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BD62A" w14:textId="77777777" w:rsidR="00D170E5" w:rsidRPr="002B55E9" w:rsidRDefault="00EF27AD">
      <w:pPr>
        <w:pStyle w:val="afffffffffffffffb"/>
        <w:ind w:hanging="357"/>
        <w:jc w:val="center"/>
      </w:pPr>
      <w:bookmarkStart w:id="0" w:name="_Toc121711615"/>
      <w:bookmarkStart w:id="1" w:name="_Toc124238076"/>
      <w:bookmarkStart w:id="2" w:name="_Toc169616153"/>
      <w:bookmarkStart w:id="3" w:name="_Toc235385231"/>
      <w:bookmarkStart w:id="4" w:name="_Toc235707429"/>
      <w:bookmarkStart w:id="5" w:name="_Toc256148908"/>
      <w:bookmarkStart w:id="6" w:name="_Toc235803821"/>
      <w:bookmarkStart w:id="7" w:name="_Toc239766860"/>
      <w:bookmarkStart w:id="8" w:name="_Toc259377409"/>
      <w:bookmarkStart w:id="9" w:name="_Toc261024836"/>
      <w:bookmarkStart w:id="10" w:name="_Toc262082765"/>
      <w:bookmarkStart w:id="11" w:name="_Toc25663156"/>
      <w:bookmarkStart w:id="12" w:name="_Toc39918249"/>
      <w:bookmarkStart w:id="13" w:name="_Toc39931394"/>
      <w:bookmarkStart w:id="14" w:name="_Toc42979059"/>
      <w:bookmarkStart w:id="15" w:name="_Toc43716712"/>
      <w:bookmarkStart w:id="16" w:name="_Toc45121392"/>
      <w:bookmarkStart w:id="17" w:name="_Toc47886295"/>
      <w:bookmarkStart w:id="18" w:name="_Toc74118929"/>
      <w:bookmarkStart w:id="19" w:name="_Toc77095956"/>
      <w:bookmarkStart w:id="20" w:name="_Toc86843628"/>
      <w:bookmarkStart w:id="21" w:name="_Toc86846445"/>
      <w:bookmarkStart w:id="22" w:name="_Toc117496334"/>
      <w:bookmarkStart w:id="23" w:name="_Toc119308966"/>
      <w:bookmarkStart w:id="24" w:name="_Toc17793619"/>
      <w:bookmarkStart w:id="25" w:name="_Toc19352808"/>
      <w:bookmarkStart w:id="26" w:name="_Toc19519188"/>
      <w:bookmarkStart w:id="27" w:name="_Toc94581925"/>
      <w:bookmarkStart w:id="28" w:name="_Toc98038456"/>
      <w:bookmarkStart w:id="29" w:name="_Toc99531799"/>
      <w:bookmarkStart w:id="30" w:name="_Toc462039057"/>
      <w:bookmarkStart w:id="31" w:name="_Toc464205788"/>
      <w:bookmarkStart w:id="32" w:name="_Toc492802415"/>
      <w:bookmarkStart w:id="33" w:name="_Toc506004251"/>
      <w:bookmarkStart w:id="34" w:name="_Toc533332789"/>
      <w:bookmarkStart w:id="35" w:name="_Toc533339196"/>
      <w:bookmarkStart w:id="36" w:name="_Toc99531886"/>
      <w:bookmarkStart w:id="37" w:name="_Toc104708219"/>
      <w:bookmarkStart w:id="38" w:name="_Toc104708367"/>
      <w:bookmarkStart w:id="39" w:name="_Toc108592822"/>
      <w:bookmarkStart w:id="40" w:name="_Toc462039049"/>
      <w:bookmarkStart w:id="41" w:name="_Toc464205778"/>
      <w:r w:rsidRPr="002B55E9">
        <w:rPr>
          <w:szCs w:val="32"/>
        </w:rPr>
        <w:t>目</w:t>
      </w:r>
      <w:r w:rsidRPr="002B55E9">
        <w:rPr>
          <w:rFonts w:hint="eastAsia"/>
          <w:szCs w:val="32"/>
        </w:rPr>
        <w:t xml:space="preserve"> </w:t>
      </w:r>
      <w:r w:rsidRPr="002B55E9">
        <w:rPr>
          <w:szCs w:val="32"/>
        </w:rPr>
        <w:t xml:space="preserve"> </w:t>
      </w:r>
      <w:r w:rsidRPr="002B55E9">
        <w:rPr>
          <w:szCs w:val="32"/>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B55E9">
        <w:rPr>
          <w:iCs/>
          <w:szCs w:val="32"/>
        </w:rPr>
        <w:fldChar w:fldCharType="begin"/>
      </w:r>
      <w:r w:rsidRPr="002B55E9">
        <w:rPr>
          <w:iCs/>
          <w:szCs w:val="32"/>
        </w:rPr>
        <w:instrText xml:space="preserve"> TOC \o "1-3" \h \z </w:instrText>
      </w:r>
      <w:r w:rsidRPr="002B55E9">
        <w:rPr>
          <w:iCs/>
          <w:szCs w:val="32"/>
        </w:rPr>
        <w:fldChar w:fldCharType="separate"/>
      </w:r>
    </w:p>
    <w:p w14:paraId="76C3F933" w14:textId="033A6FDD" w:rsidR="00D170E5" w:rsidRPr="002B55E9" w:rsidRDefault="00A8249C">
      <w:pPr>
        <w:pStyle w:val="25"/>
        <w:tabs>
          <w:tab w:val="clear" w:pos="840"/>
        </w:tabs>
        <w:rPr>
          <w:rFonts w:asciiTheme="minorHAnsi" w:eastAsiaTheme="minorEastAsia" w:hAnsiTheme="minorHAnsi" w:cstheme="minorBidi"/>
          <w:b w:val="0"/>
          <w:i w:val="0"/>
          <w:iCs w:val="0"/>
          <w:kern w:val="2"/>
          <w:sz w:val="21"/>
          <w:szCs w:val="22"/>
        </w:rPr>
      </w:pPr>
      <w:hyperlink w:anchor="_Toc119308967" w:history="1">
        <w:r w:rsidR="00EF27AD" w:rsidRPr="002B55E9">
          <w:rPr>
            <w:rStyle w:val="afff7"/>
            <w:i w:val="0"/>
            <w:color w:val="auto"/>
          </w:rPr>
          <w:t>概述</w:t>
        </w:r>
        <w:r w:rsidR="00EF27AD" w:rsidRPr="002B55E9">
          <w:rPr>
            <w:i w:val="0"/>
          </w:rPr>
          <w:tab/>
          <w:t xml:space="preserve"> </w:t>
        </w:r>
        <w:r w:rsidR="00EF27AD" w:rsidRPr="002B55E9">
          <w:rPr>
            <w:i w:val="0"/>
          </w:rPr>
          <w:fldChar w:fldCharType="begin"/>
        </w:r>
        <w:r w:rsidR="00EF27AD" w:rsidRPr="002B55E9">
          <w:rPr>
            <w:i w:val="0"/>
          </w:rPr>
          <w:instrText xml:space="preserve"> PAGEREF _Toc119308967 \h </w:instrText>
        </w:r>
        <w:r w:rsidR="00EF27AD" w:rsidRPr="002B55E9">
          <w:rPr>
            <w:i w:val="0"/>
          </w:rPr>
        </w:r>
        <w:r w:rsidR="00EF27AD" w:rsidRPr="002B55E9">
          <w:rPr>
            <w:i w:val="0"/>
          </w:rPr>
          <w:fldChar w:fldCharType="separate"/>
        </w:r>
        <w:r w:rsidR="003E0233" w:rsidRPr="002B55E9">
          <w:rPr>
            <w:i w:val="0"/>
            <w:noProof/>
          </w:rPr>
          <w:t>1</w:t>
        </w:r>
        <w:r w:rsidR="00EF27AD" w:rsidRPr="002B55E9">
          <w:rPr>
            <w:i w:val="0"/>
          </w:rPr>
          <w:fldChar w:fldCharType="end"/>
        </w:r>
      </w:hyperlink>
    </w:p>
    <w:p w14:paraId="573C019A" w14:textId="21A52FDF"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8968" w:history="1">
        <w:r w:rsidR="00EF27AD" w:rsidRPr="002B55E9">
          <w:rPr>
            <w:rStyle w:val="afff7"/>
            <w:i w:val="0"/>
            <w:color w:val="auto"/>
          </w:rPr>
          <w:t>1</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总论</w:t>
        </w:r>
        <w:r w:rsidR="00EF27AD" w:rsidRPr="002B55E9">
          <w:rPr>
            <w:i w:val="0"/>
          </w:rPr>
          <w:tab/>
        </w:r>
        <w:r w:rsidR="00EF27AD" w:rsidRPr="002B55E9">
          <w:rPr>
            <w:i w:val="0"/>
          </w:rPr>
          <w:fldChar w:fldCharType="begin"/>
        </w:r>
        <w:r w:rsidR="00EF27AD" w:rsidRPr="002B55E9">
          <w:rPr>
            <w:i w:val="0"/>
          </w:rPr>
          <w:instrText xml:space="preserve"> PAGEREF _Toc119308968 \h </w:instrText>
        </w:r>
        <w:r w:rsidR="00EF27AD" w:rsidRPr="002B55E9">
          <w:rPr>
            <w:i w:val="0"/>
          </w:rPr>
        </w:r>
        <w:r w:rsidR="00EF27AD" w:rsidRPr="002B55E9">
          <w:rPr>
            <w:i w:val="0"/>
          </w:rPr>
          <w:fldChar w:fldCharType="separate"/>
        </w:r>
        <w:r w:rsidR="003E0233" w:rsidRPr="002B55E9">
          <w:rPr>
            <w:i w:val="0"/>
            <w:noProof/>
          </w:rPr>
          <w:t>4</w:t>
        </w:r>
        <w:r w:rsidR="00EF27AD" w:rsidRPr="002B55E9">
          <w:rPr>
            <w:i w:val="0"/>
          </w:rPr>
          <w:fldChar w:fldCharType="end"/>
        </w:r>
      </w:hyperlink>
    </w:p>
    <w:p w14:paraId="34165653" w14:textId="430F9634" w:rsidR="00D170E5" w:rsidRPr="002B55E9" w:rsidRDefault="00A8249C">
      <w:pPr>
        <w:pStyle w:val="34"/>
        <w:rPr>
          <w:rFonts w:asciiTheme="minorHAnsi" w:eastAsiaTheme="minorEastAsia" w:hAnsiTheme="minorHAnsi" w:cstheme="minorBidi"/>
          <w:kern w:val="2"/>
          <w:sz w:val="21"/>
          <w:szCs w:val="22"/>
        </w:rPr>
      </w:pPr>
      <w:hyperlink w:anchor="_Toc119308969" w:history="1">
        <w:r w:rsidR="00EF27AD" w:rsidRPr="002B55E9">
          <w:rPr>
            <w:rStyle w:val="afff7"/>
            <w:color w:val="auto"/>
          </w:rPr>
          <w:t>1.1</w:t>
        </w:r>
        <w:r w:rsidR="00EF27AD" w:rsidRPr="002B55E9">
          <w:rPr>
            <w:rFonts w:asciiTheme="minorHAnsi" w:eastAsiaTheme="minorEastAsia" w:hAnsiTheme="minorHAnsi" w:cstheme="minorBidi"/>
            <w:kern w:val="2"/>
            <w:sz w:val="21"/>
            <w:szCs w:val="22"/>
          </w:rPr>
          <w:tab/>
        </w:r>
        <w:r w:rsidR="00EF27AD" w:rsidRPr="002B55E9">
          <w:rPr>
            <w:rStyle w:val="afff7"/>
            <w:color w:val="auto"/>
          </w:rPr>
          <w:t>编制目的</w:t>
        </w:r>
        <w:r w:rsidR="00EF27AD" w:rsidRPr="002B55E9">
          <w:tab/>
        </w:r>
        <w:r w:rsidR="00EF27AD" w:rsidRPr="002B55E9">
          <w:fldChar w:fldCharType="begin"/>
        </w:r>
        <w:r w:rsidR="00EF27AD" w:rsidRPr="002B55E9">
          <w:instrText xml:space="preserve"> PAGEREF _Toc119308969 \h </w:instrText>
        </w:r>
        <w:r w:rsidR="00EF27AD" w:rsidRPr="002B55E9">
          <w:fldChar w:fldCharType="separate"/>
        </w:r>
        <w:r w:rsidR="003E0233" w:rsidRPr="002B55E9">
          <w:rPr>
            <w:noProof/>
          </w:rPr>
          <w:t>4</w:t>
        </w:r>
        <w:r w:rsidR="00EF27AD" w:rsidRPr="002B55E9">
          <w:fldChar w:fldCharType="end"/>
        </w:r>
      </w:hyperlink>
    </w:p>
    <w:p w14:paraId="57FA7EC6" w14:textId="13A24121" w:rsidR="00D170E5" w:rsidRPr="002B55E9" w:rsidRDefault="00A8249C">
      <w:pPr>
        <w:pStyle w:val="34"/>
        <w:rPr>
          <w:rFonts w:asciiTheme="minorHAnsi" w:eastAsiaTheme="minorEastAsia" w:hAnsiTheme="minorHAnsi" w:cstheme="minorBidi"/>
          <w:kern w:val="2"/>
          <w:sz w:val="21"/>
          <w:szCs w:val="22"/>
        </w:rPr>
      </w:pPr>
      <w:hyperlink w:anchor="_Toc119308970" w:history="1">
        <w:r w:rsidR="00EF27AD" w:rsidRPr="002B55E9">
          <w:rPr>
            <w:rStyle w:val="afff7"/>
            <w:color w:val="auto"/>
          </w:rPr>
          <w:t>1.2</w:t>
        </w:r>
        <w:r w:rsidR="00EF27AD" w:rsidRPr="002B55E9">
          <w:rPr>
            <w:rFonts w:asciiTheme="minorHAnsi" w:eastAsiaTheme="minorEastAsia" w:hAnsiTheme="minorHAnsi" w:cstheme="minorBidi"/>
            <w:kern w:val="2"/>
            <w:sz w:val="21"/>
            <w:szCs w:val="22"/>
          </w:rPr>
          <w:tab/>
        </w:r>
        <w:r w:rsidR="00EF27AD" w:rsidRPr="002B55E9">
          <w:rPr>
            <w:rStyle w:val="afff7"/>
            <w:color w:val="auto"/>
          </w:rPr>
          <w:t>编制依据</w:t>
        </w:r>
        <w:r w:rsidR="00EF27AD" w:rsidRPr="002B55E9">
          <w:tab/>
        </w:r>
        <w:r w:rsidR="00EF27AD" w:rsidRPr="002B55E9">
          <w:fldChar w:fldCharType="begin"/>
        </w:r>
        <w:r w:rsidR="00EF27AD" w:rsidRPr="002B55E9">
          <w:instrText xml:space="preserve"> PAGEREF _Toc119308970 \h </w:instrText>
        </w:r>
        <w:r w:rsidR="00EF27AD" w:rsidRPr="002B55E9">
          <w:fldChar w:fldCharType="separate"/>
        </w:r>
        <w:r w:rsidR="003E0233" w:rsidRPr="002B55E9">
          <w:rPr>
            <w:noProof/>
          </w:rPr>
          <w:t>4</w:t>
        </w:r>
        <w:r w:rsidR="00EF27AD" w:rsidRPr="002B55E9">
          <w:fldChar w:fldCharType="end"/>
        </w:r>
      </w:hyperlink>
    </w:p>
    <w:p w14:paraId="3FDE5CDA" w14:textId="41B568EC" w:rsidR="00D170E5" w:rsidRPr="002B55E9" w:rsidRDefault="00A8249C">
      <w:pPr>
        <w:pStyle w:val="34"/>
        <w:rPr>
          <w:rFonts w:asciiTheme="minorHAnsi" w:eastAsiaTheme="minorEastAsia" w:hAnsiTheme="minorHAnsi" w:cstheme="minorBidi"/>
          <w:kern w:val="2"/>
          <w:sz w:val="21"/>
          <w:szCs w:val="22"/>
        </w:rPr>
      </w:pPr>
      <w:hyperlink w:anchor="_Toc119308971" w:history="1">
        <w:r w:rsidR="00EF27AD" w:rsidRPr="002B55E9">
          <w:rPr>
            <w:rStyle w:val="afff7"/>
            <w:color w:val="auto"/>
          </w:rPr>
          <w:t>1.3</w:t>
        </w:r>
        <w:r w:rsidR="00EF27AD" w:rsidRPr="002B55E9">
          <w:rPr>
            <w:rFonts w:asciiTheme="minorHAnsi" w:eastAsiaTheme="minorEastAsia" w:hAnsiTheme="minorHAnsi" w:cstheme="minorBidi"/>
            <w:kern w:val="2"/>
            <w:sz w:val="21"/>
            <w:szCs w:val="22"/>
          </w:rPr>
          <w:tab/>
        </w:r>
        <w:r w:rsidR="00EF27AD" w:rsidRPr="002B55E9">
          <w:rPr>
            <w:rStyle w:val="afff7"/>
            <w:color w:val="auto"/>
          </w:rPr>
          <w:t>评价工作原则和方法</w:t>
        </w:r>
        <w:r w:rsidR="00EF27AD" w:rsidRPr="002B55E9">
          <w:tab/>
        </w:r>
        <w:r w:rsidR="00EF27AD" w:rsidRPr="002B55E9">
          <w:fldChar w:fldCharType="begin"/>
        </w:r>
        <w:r w:rsidR="00EF27AD" w:rsidRPr="002B55E9">
          <w:instrText xml:space="preserve"> PAGEREF _Toc119308971 \h </w:instrText>
        </w:r>
        <w:r w:rsidR="00EF27AD" w:rsidRPr="002B55E9">
          <w:fldChar w:fldCharType="separate"/>
        </w:r>
        <w:r w:rsidR="003E0233" w:rsidRPr="002B55E9">
          <w:rPr>
            <w:noProof/>
          </w:rPr>
          <w:t>7</w:t>
        </w:r>
        <w:r w:rsidR="00EF27AD" w:rsidRPr="002B55E9">
          <w:fldChar w:fldCharType="end"/>
        </w:r>
      </w:hyperlink>
    </w:p>
    <w:p w14:paraId="509CF8C0" w14:textId="3F02135A" w:rsidR="00D170E5" w:rsidRPr="002B55E9" w:rsidRDefault="00A8249C">
      <w:pPr>
        <w:pStyle w:val="34"/>
        <w:rPr>
          <w:rFonts w:asciiTheme="minorHAnsi" w:eastAsiaTheme="minorEastAsia" w:hAnsiTheme="minorHAnsi" w:cstheme="minorBidi"/>
          <w:kern w:val="2"/>
          <w:sz w:val="21"/>
          <w:szCs w:val="22"/>
        </w:rPr>
      </w:pPr>
      <w:hyperlink w:anchor="_Toc119308972" w:history="1">
        <w:r w:rsidR="00EF27AD" w:rsidRPr="002B55E9">
          <w:rPr>
            <w:rStyle w:val="afff7"/>
            <w:color w:val="auto"/>
          </w:rPr>
          <w:t>1.4</w:t>
        </w:r>
        <w:r w:rsidR="00EF27AD" w:rsidRPr="002B55E9">
          <w:rPr>
            <w:rFonts w:asciiTheme="minorHAnsi" w:eastAsiaTheme="minorEastAsia" w:hAnsiTheme="minorHAnsi" w:cstheme="minorBidi"/>
            <w:kern w:val="2"/>
            <w:sz w:val="21"/>
            <w:szCs w:val="22"/>
          </w:rPr>
          <w:tab/>
        </w:r>
        <w:r w:rsidR="00EF27AD" w:rsidRPr="002B55E9">
          <w:rPr>
            <w:rStyle w:val="afff7"/>
            <w:color w:val="auto"/>
          </w:rPr>
          <w:t>功能区划与环境保护目标</w:t>
        </w:r>
        <w:r w:rsidR="00EF27AD" w:rsidRPr="002B55E9">
          <w:tab/>
        </w:r>
        <w:r w:rsidR="00EF27AD" w:rsidRPr="002B55E9">
          <w:fldChar w:fldCharType="begin"/>
        </w:r>
        <w:r w:rsidR="00EF27AD" w:rsidRPr="002B55E9">
          <w:instrText xml:space="preserve"> PAGEREF _Toc119308972 \h </w:instrText>
        </w:r>
        <w:r w:rsidR="00EF27AD" w:rsidRPr="002B55E9">
          <w:fldChar w:fldCharType="separate"/>
        </w:r>
        <w:r w:rsidR="003E0233" w:rsidRPr="002B55E9">
          <w:rPr>
            <w:noProof/>
          </w:rPr>
          <w:t>8</w:t>
        </w:r>
        <w:r w:rsidR="00EF27AD" w:rsidRPr="002B55E9">
          <w:fldChar w:fldCharType="end"/>
        </w:r>
      </w:hyperlink>
    </w:p>
    <w:p w14:paraId="30FFCA9F" w14:textId="0BFBACFA" w:rsidR="00D170E5" w:rsidRPr="002B55E9" w:rsidRDefault="00A8249C">
      <w:pPr>
        <w:pStyle w:val="34"/>
        <w:rPr>
          <w:rFonts w:asciiTheme="minorHAnsi" w:eastAsiaTheme="minorEastAsia" w:hAnsiTheme="minorHAnsi" w:cstheme="minorBidi"/>
          <w:kern w:val="2"/>
          <w:sz w:val="21"/>
          <w:szCs w:val="22"/>
        </w:rPr>
      </w:pPr>
      <w:hyperlink w:anchor="_Toc119308973" w:history="1">
        <w:r w:rsidR="00EF27AD" w:rsidRPr="002B55E9">
          <w:rPr>
            <w:rStyle w:val="afff7"/>
            <w:color w:val="auto"/>
          </w:rPr>
          <w:t>1.5</w:t>
        </w:r>
        <w:r w:rsidR="00EF27AD" w:rsidRPr="002B55E9">
          <w:rPr>
            <w:rFonts w:asciiTheme="minorHAnsi" w:eastAsiaTheme="minorEastAsia" w:hAnsiTheme="minorHAnsi" w:cstheme="minorBidi"/>
            <w:kern w:val="2"/>
            <w:sz w:val="21"/>
            <w:szCs w:val="22"/>
          </w:rPr>
          <w:tab/>
        </w:r>
        <w:r w:rsidR="00EF27AD" w:rsidRPr="002B55E9">
          <w:rPr>
            <w:rStyle w:val="afff7"/>
            <w:color w:val="auto"/>
          </w:rPr>
          <w:t>评价标准</w:t>
        </w:r>
        <w:r w:rsidR="00EF27AD" w:rsidRPr="002B55E9">
          <w:tab/>
        </w:r>
        <w:r w:rsidR="00EF27AD" w:rsidRPr="002B55E9">
          <w:fldChar w:fldCharType="begin"/>
        </w:r>
        <w:r w:rsidR="00EF27AD" w:rsidRPr="002B55E9">
          <w:instrText xml:space="preserve"> PAGEREF _Toc119308973 \h </w:instrText>
        </w:r>
        <w:r w:rsidR="00EF27AD" w:rsidRPr="002B55E9">
          <w:fldChar w:fldCharType="separate"/>
        </w:r>
        <w:r w:rsidR="003E0233" w:rsidRPr="002B55E9">
          <w:rPr>
            <w:noProof/>
          </w:rPr>
          <w:t>10</w:t>
        </w:r>
        <w:r w:rsidR="00EF27AD" w:rsidRPr="002B55E9">
          <w:fldChar w:fldCharType="end"/>
        </w:r>
      </w:hyperlink>
    </w:p>
    <w:p w14:paraId="600D0CAD" w14:textId="7A0978EF" w:rsidR="00D170E5" w:rsidRPr="002B55E9" w:rsidRDefault="00A8249C">
      <w:pPr>
        <w:pStyle w:val="34"/>
        <w:rPr>
          <w:rFonts w:asciiTheme="minorHAnsi" w:eastAsiaTheme="minorEastAsia" w:hAnsiTheme="minorHAnsi" w:cstheme="minorBidi"/>
          <w:kern w:val="2"/>
          <w:sz w:val="21"/>
          <w:szCs w:val="22"/>
        </w:rPr>
      </w:pPr>
      <w:hyperlink w:anchor="_Toc119308974" w:history="1">
        <w:r w:rsidR="00EF27AD" w:rsidRPr="002B55E9">
          <w:rPr>
            <w:rStyle w:val="afff7"/>
            <w:color w:val="auto"/>
          </w:rPr>
          <w:t>1.6</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环境影响识别</w:t>
        </w:r>
        <w:r w:rsidR="00EF27AD" w:rsidRPr="002B55E9">
          <w:tab/>
        </w:r>
        <w:r w:rsidR="00EF27AD" w:rsidRPr="002B55E9">
          <w:fldChar w:fldCharType="begin"/>
        </w:r>
        <w:r w:rsidR="00EF27AD" w:rsidRPr="002B55E9">
          <w:instrText xml:space="preserve"> PAGEREF _Toc119308974 \h </w:instrText>
        </w:r>
        <w:r w:rsidR="00EF27AD" w:rsidRPr="002B55E9">
          <w:fldChar w:fldCharType="separate"/>
        </w:r>
        <w:r w:rsidR="003E0233" w:rsidRPr="002B55E9">
          <w:rPr>
            <w:noProof/>
          </w:rPr>
          <w:t>15</w:t>
        </w:r>
        <w:r w:rsidR="00EF27AD" w:rsidRPr="002B55E9">
          <w:fldChar w:fldCharType="end"/>
        </w:r>
      </w:hyperlink>
    </w:p>
    <w:p w14:paraId="6FAC3DA9" w14:textId="0E5BEB62" w:rsidR="00D170E5" w:rsidRPr="002B55E9" w:rsidRDefault="00A8249C">
      <w:pPr>
        <w:pStyle w:val="34"/>
        <w:rPr>
          <w:rFonts w:asciiTheme="minorHAnsi" w:eastAsiaTheme="minorEastAsia" w:hAnsiTheme="minorHAnsi" w:cstheme="minorBidi"/>
          <w:kern w:val="2"/>
          <w:sz w:val="21"/>
          <w:szCs w:val="22"/>
        </w:rPr>
      </w:pPr>
      <w:hyperlink w:anchor="_Toc119308975" w:history="1">
        <w:r w:rsidR="00EF27AD" w:rsidRPr="002B55E9">
          <w:rPr>
            <w:rStyle w:val="afff7"/>
            <w:color w:val="auto"/>
          </w:rPr>
          <w:t>1.7</w:t>
        </w:r>
        <w:r w:rsidR="00EF27AD" w:rsidRPr="002B55E9">
          <w:rPr>
            <w:rFonts w:asciiTheme="minorHAnsi" w:eastAsiaTheme="minorEastAsia" w:hAnsiTheme="minorHAnsi" w:cstheme="minorBidi"/>
            <w:kern w:val="2"/>
            <w:sz w:val="21"/>
            <w:szCs w:val="22"/>
          </w:rPr>
          <w:tab/>
        </w:r>
        <w:r w:rsidR="00EF27AD" w:rsidRPr="002B55E9">
          <w:rPr>
            <w:rStyle w:val="afff7"/>
            <w:color w:val="auto"/>
          </w:rPr>
          <w:t>评价工作等级</w:t>
        </w:r>
        <w:r w:rsidR="00EF27AD" w:rsidRPr="002B55E9">
          <w:tab/>
        </w:r>
        <w:r w:rsidR="00EF27AD" w:rsidRPr="002B55E9">
          <w:fldChar w:fldCharType="begin"/>
        </w:r>
        <w:r w:rsidR="00EF27AD" w:rsidRPr="002B55E9">
          <w:instrText xml:space="preserve"> PAGEREF _Toc119308975 \h </w:instrText>
        </w:r>
        <w:r w:rsidR="00EF27AD" w:rsidRPr="002B55E9">
          <w:fldChar w:fldCharType="separate"/>
        </w:r>
        <w:r w:rsidR="003E0233" w:rsidRPr="002B55E9">
          <w:rPr>
            <w:noProof/>
          </w:rPr>
          <w:t>17</w:t>
        </w:r>
        <w:r w:rsidR="00EF27AD" w:rsidRPr="002B55E9">
          <w:fldChar w:fldCharType="end"/>
        </w:r>
      </w:hyperlink>
    </w:p>
    <w:p w14:paraId="3DC65D0D" w14:textId="7F140BC4" w:rsidR="00D170E5" w:rsidRPr="002B55E9" w:rsidRDefault="00A8249C">
      <w:pPr>
        <w:pStyle w:val="34"/>
        <w:rPr>
          <w:rFonts w:asciiTheme="minorHAnsi" w:eastAsiaTheme="minorEastAsia" w:hAnsiTheme="minorHAnsi" w:cstheme="minorBidi"/>
          <w:kern w:val="2"/>
          <w:sz w:val="21"/>
          <w:szCs w:val="22"/>
        </w:rPr>
      </w:pPr>
      <w:hyperlink w:anchor="_Toc119308976" w:history="1">
        <w:r w:rsidR="00EF27AD" w:rsidRPr="002B55E9">
          <w:rPr>
            <w:rStyle w:val="afff7"/>
            <w:color w:val="auto"/>
          </w:rPr>
          <w:t>1.8</w:t>
        </w:r>
        <w:r w:rsidR="00EF27AD" w:rsidRPr="002B55E9">
          <w:rPr>
            <w:rFonts w:asciiTheme="minorHAnsi" w:eastAsiaTheme="minorEastAsia" w:hAnsiTheme="minorHAnsi" w:cstheme="minorBidi"/>
            <w:kern w:val="2"/>
            <w:sz w:val="21"/>
            <w:szCs w:val="22"/>
          </w:rPr>
          <w:tab/>
        </w:r>
        <w:r w:rsidR="00EF27AD" w:rsidRPr="002B55E9">
          <w:rPr>
            <w:rStyle w:val="afff7"/>
            <w:color w:val="auto"/>
          </w:rPr>
          <w:t>评价范围、时段和重点</w:t>
        </w:r>
        <w:r w:rsidR="00EF27AD" w:rsidRPr="002B55E9">
          <w:tab/>
        </w:r>
        <w:r w:rsidR="00EF27AD" w:rsidRPr="002B55E9">
          <w:fldChar w:fldCharType="begin"/>
        </w:r>
        <w:r w:rsidR="00EF27AD" w:rsidRPr="002B55E9">
          <w:instrText xml:space="preserve"> PAGEREF _Toc119308976 \h </w:instrText>
        </w:r>
        <w:r w:rsidR="00EF27AD" w:rsidRPr="002B55E9">
          <w:fldChar w:fldCharType="separate"/>
        </w:r>
        <w:r w:rsidR="003E0233" w:rsidRPr="002B55E9">
          <w:rPr>
            <w:noProof/>
          </w:rPr>
          <w:t>22</w:t>
        </w:r>
        <w:r w:rsidR="00EF27AD" w:rsidRPr="002B55E9">
          <w:fldChar w:fldCharType="end"/>
        </w:r>
      </w:hyperlink>
    </w:p>
    <w:p w14:paraId="7DECA1D9" w14:textId="0C0C06CE"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8977" w:history="1">
        <w:r w:rsidR="00EF27AD" w:rsidRPr="002B55E9">
          <w:rPr>
            <w:rStyle w:val="afff7"/>
            <w:i w:val="0"/>
            <w:color w:val="auto"/>
          </w:rPr>
          <w:t>2</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拟建项目概况</w:t>
        </w:r>
        <w:r w:rsidR="00EF27AD" w:rsidRPr="002B55E9">
          <w:rPr>
            <w:i w:val="0"/>
          </w:rPr>
          <w:tab/>
        </w:r>
        <w:r w:rsidR="00EF27AD" w:rsidRPr="002B55E9">
          <w:rPr>
            <w:i w:val="0"/>
          </w:rPr>
          <w:fldChar w:fldCharType="begin"/>
        </w:r>
        <w:r w:rsidR="00EF27AD" w:rsidRPr="002B55E9">
          <w:rPr>
            <w:i w:val="0"/>
          </w:rPr>
          <w:instrText xml:space="preserve"> PAGEREF _Toc119308977 \h </w:instrText>
        </w:r>
        <w:r w:rsidR="00EF27AD" w:rsidRPr="002B55E9">
          <w:rPr>
            <w:i w:val="0"/>
          </w:rPr>
        </w:r>
        <w:r w:rsidR="00EF27AD" w:rsidRPr="002B55E9">
          <w:rPr>
            <w:i w:val="0"/>
          </w:rPr>
          <w:fldChar w:fldCharType="separate"/>
        </w:r>
        <w:r w:rsidR="003E0233" w:rsidRPr="002B55E9">
          <w:rPr>
            <w:i w:val="0"/>
            <w:noProof/>
          </w:rPr>
          <w:t>23</w:t>
        </w:r>
        <w:r w:rsidR="00EF27AD" w:rsidRPr="002B55E9">
          <w:rPr>
            <w:i w:val="0"/>
          </w:rPr>
          <w:fldChar w:fldCharType="end"/>
        </w:r>
      </w:hyperlink>
    </w:p>
    <w:p w14:paraId="7A09F1C6" w14:textId="44D30811" w:rsidR="00D170E5" w:rsidRPr="002B55E9" w:rsidRDefault="00A8249C">
      <w:pPr>
        <w:pStyle w:val="34"/>
        <w:rPr>
          <w:rFonts w:asciiTheme="minorHAnsi" w:eastAsiaTheme="minorEastAsia" w:hAnsiTheme="minorHAnsi" w:cstheme="minorBidi"/>
          <w:kern w:val="2"/>
          <w:sz w:val="21"/>
          <w:szCs w:val="22"/>
        </w:rPr>
      </w:pPr>
      <w:hyperlink w:anchor="_Toc119308978" w:history="1">
        <w:r w:rsidR="00EF27AD" w:rsidRPr="002B55E9">
          <w:rPr>
            <w:rStyle w:val="afff7"/>
            <w:color w:val="auto"/>
          </w:rPr>
          <w:t>2.1</w:t>
        </w:r>
        <w:r w:rsidR="00EF27AD" w:rsidRPr="002B55E9">
          <w:rPr>
            <w:rFonts w:asciiTheme="minorHAnsi" w:eastAsiaTheme="minorEastAsia" w:hAnsiTheme="minorHAnsi" w:cstheme="minorBidi"/>
            <w:kern w:val="2"/>
            <w:sz w:val="21"/>
            <w:szCs w:val="22"/>
          </w:rPr>
          <w:tab/>
        </w:r>
        <w:r w:rsidR="00EF27AD" w:rsidRPr="002B55E9">
          <w:rPr>
            <w:rStyle w:val="afff7"/>
            <w:color w:val="auto"/>
          </w:rPr>
          <w:t>拟建项目建设内容</w:t>
        </w:r>
        <w:r w:rsidR="00EF27AD" w:rsidRPr="002B55E9">
          <w:tab/>
        </w:r>
        <w:r w:rsidR="00EF27AD" w:rsidRPr="002B55E9">
          <w:fldChar w:fldCharType="begin"/>
        </w:r>
        <w:r w:rsidR="00EF27AD" w:rsidRPr="002B55E9">
          <w:instrText xml:space="preserve"> PAGEREF _Toc119308978 \h </w:instrText>
        </w:r>
        <w:r w:rsidR="00EF27AD" w:rsidRPr="002B55E9">
          <w:fldChar w:fldCharType="separate"/>
        </w:r>
        <w:r w:rsidR="003E0233" w:rsidRPr="002B55E9">
          <w:rPr>
            <w:noProof/>
          </w:rPr>
          <w:t>23</w:t>
        </w:r>
        <w:r w:rsidR="00EF27AD" w:rsidRPr="002B55E9">
          <w:fldChar w:fldCharType="end"/>
        </w:r>
      </w:hyperlink>
    </w:p>
    <w:p w14:paraId="6A8D2127" w14:textId="06A229CB" w:rsidR="00D170E5" w:rsidRPr="002B55E9" w:rsidRDefault="00A8249C">
      <w:pPr>
        <w:pStyle w:val="34"/>
        <w:rPr>
          <w:rFonts w:asciiTheme="minorHAnsi" w:eastAsiaTheme="minorEastAsia" w:hAnsiTheme="minorHAnsi" w:cstheme="minorBidi"/>
          <w:kern w:val="2"/>
          <w:sz w:val="21"/>
          <w:szCs w:val="22"/>
        </w:rPr>
      </w:pPr>
      <w:hyperlink w:anchor="_Toc119308979" w:history="1">
        <w:r w:rsidR="00EF27AD" w:rsidRPr="002B55E9">
          <w:rPr>
            <w:rStyle w:val="afff7"/>
            <w:color w:val="auto"/>
          </w:rPr>
          <w:t>2.2</w:t>
        </w:r>
        <w:r w:rsidR="00EF27AD" w:rsidRPr="002B55E9">
          <w:rPr>
            <w:rFonts w:asciiTheme="minorHAnsi" w:eastAsiaTheme="minorEastAsia" w:hAnsiTheme="minorHAnsi" w:cstheme="minorBidi"/>
            <w:kern w:val="2"/>
            <w:sz w:val="21"/>
            <w:szCs w:val="22"/>
          </w:rPr>
          <w:tab/>
        </w:r>
        <w:r w:rsidR="00EF27AD" w:rsidRPr="002B55E9">
          <w:rPr>
            <w:rStyle w:val="afff7"/>
            <w:color w:val="auto"/>
          </w:rPr>
          <w:t>项目周边环境及总平面布置</w:t>
        </w:r>
        <w:r w:rsidR="00EF27AD" w:rsidRPr="002B55E9">
          <w:tab/>
        </w:r>
        <w:r w:rsidR="00EF27AD" w:rsidRPr="002B55E9">
          <w:fldChar w:fldCharType="begin"/>
        </w:r>
        <w:r w:rsidR="00EF27AD" w:rsidRPr="002B55E9">
          <w:instrText xml:space="preserve"> PAGEREF _Toc119308979 \h </w:instrText>
        </w:r>
        <w:r w:rsidR="00EF27AD" w:rsidRPr="002B55E9">
          <w:fldChar w:fldCharType="separate"/>
        </w:r>
        <w:r w:rsidR="003E0233" w:rsidRPr="002B55E9">
          <w:rPr>
            <w:noProof/>
          </w:rPr>
          <w:t>25</w:t>
        </w:r>
        <w:r w:rsidR="00EF27AD" w:rsidRPr="002B55E9">
          <w:fldChar w:fldCharType="end"/>
        </w:r>
      </w:hyperlink>
    </w:p>
    <w:p w14:paraId="433DC87C" w14:textId="6604C3F6" w:rsidR="00D170E5" w:rsidRPr="002B55E9" w:rsidRDefault="00A8249C">
      <w:pPr>
        <w:pStyle w:val="34"/>
        <w:rPr>
          <w:rFonts w:asciiTheme="minorHAnsi" w:eastAsiaTheme="minorEastAsia" w:hAnsiTheme="minorHAnsi" w:cstheme="minorBidi"/>
          <w:kern w:val="2"/>
          <w:sz w:val="21"/>
          <w:szCs w:val="22"/>
        </w:rPr>
      </w:pPr>
      <w:hyperlink w:anchor="_Toc119308980" w:history="1">
        <w:r w:rsidR="00EF27AD" w:rsidRPr="002B55E9">
          <w:rPr>
            <w:rStyle w:val="afff7"/>
            <w:color w:val="auto"/>
          </w:rPr>
          <w:t>2.3</w:t>
        </w:r>
        <w:r w:rsidR="00EF27AD" w:rsidRPr="002B55E9">
          <w:rPr>
            <w:rFonts w:asciiTheme="minorHAnsi" w:eastAsiaTheme="minorEastAsia" w:hAnsiTheme="minorHAnsi" w:cstheme="minorBidi"/>
            <w:kern w:val="2"/>
            <w:sz w:val="21"/>
            <w:szCs w:val="22"/>
          </w:rPr>
          <w:tab/>
        </w:r>
        <w:r w:rsidR="00EF27AD" w:rsidRPr="002B55E9">
          <w:rPr>
            <w:rStyle w:val="afff7"/>
            <w:color w:val="auto"/>
          </w:rPr>
          <w:t>产品方案</w:t>
        </w:r>
        <w:r w:rsidR="00EF27AD" w:rsidRPr="002B55E9">
          <w:tab/>
        </w:r>
        <w:r w:rsidR="00EF27AD" w:rsidRPr="002B55E9">
          <w:fldChar w:fldCharType="begin"/>
        </w:r>
        <w:r w:rsidR="00EF27AD" w:rsidRPr="002B55E9">
          <w:instrText xml:space="preserve"> PAGEREF _Toc119308980 \h </w:instrText>
        </w:r>
        <w:r w:rsidR="00EF27AD" w:rsidRPr="002B55E9">
          <w:fldChar w:fldCharType="separate"/>
        </w:r>
        <w:r w:rsidR="003E0233" w:rsidRPr="002B55E9">
          <w:rPr>
            <w:noProof/>
          </w:rPr>
          <w:t>25</w:t>
        </w:r>
        <w:r w:rsidR="00EF27AD" w:rsidRPr="002B55E9">
          <w:fldChar w:fldCharType="end"/>
        </w:r>
      </w:hyperlink>
    </w:p>
    <w:p w14:paraId="3441056E" w14:textId="7BE4EC2D" w:rsidR="00D170E5" w:rsidRPr="002B55E9" w:rsidRDefault="00A8249C">
      <w:pPr>
        <w:pStyle w:val="34"/>
        <w:rPr>
          <w:rFonts w:asciiTheme="minorHAnsi" w:eastAsiaTheme="minorEastAsia" w:hAnsiTheme="minorHAnsi" w:cstheme="minorBidi"/>
          <w:kern w:val="2"/>
          <w:sz w:val="21"/>
          <w:szCs w:val="22"/>
        </w:rPr>
      </w:pPr>
      <w:hyperlink w:anchor="_Toc119308981" w:history="1">
        <w:r w:rsidR="00EF27AD" w:rsidRPr="002B55E9">
          <w:rPr>
            <w:rStyle w:val="afff7"/>
            <w:color w:val="auto"/>
          </w:rPr>
          <w:t>2.4</w:t>
        </w:r>
        <w:r w:rsidR="00EF27AD" w:rsidRPr="002B55E9">
          <w:rPr>
            <w:rFonts w:asciiTheme="minorHAnsi" w:eastAsiaTheme="minorEastAsia" w:hAnsiTheme="minorHAnsi" w:cstheme="minorBidi"/>
            <w:kern w:val="2"/>
            <w:sz w:val="21"/>
            <w:szCs w:val="22"/>
          </w:rPr>
          <w:tab/>
        </w:r>
        <w:r w:rsidR="00EF27AD" w:rsidRPr="002B55E9">
          <w:rPr>
            <w:rStyle w:val="afff7"/>
            <w:color w:val="auto"/>
          </w:rPr>
          <w:t>原辅材料消耗及能源消耗</w:t>
        </w:r>
        <w:r w:rsidR="00EF27AD" w:rsidRPr="002B55E9">
          <w:tab/>
        </w:r>
        <w:r w:rsidR="00EF27AD" w:rsidRPr="002B55E9">
          <w:fldChar w:fldCharType="begin"/>
        </w:r>
        <w:r w:rsidR="00EF27AD" w:rsidRPr="002B55E9">
          <w:instrText xml:space="preserve"> PAGEREF _Toc119308981 \h </w:instrText>
        </w:r>
        <w:r w:rsidR="00EF27AD" w:rsidRPr="002B55E9">
          <w:fldChar w:fldCharType="separate"/>
        </w:r>
        <w:r w:rsidR="003E0233" w:rsidRPr="002B55E9">
          <w:rPr>
            <w:noProof/>
          </w:rPr>
          <w:t>26</w:t>
        </w:r>
        <w:r w:rsidR="00EF27AD" w:rsidRPr="002B55E9">
          <w:fldChar w:fldCharType="end"/>
        </w:r>
      </w:hyperlink>
    </w:p>
    <w:p w14:paraId="3D7A1245" w14:textId="3B72D0DE" w:rsidR="00D170E5" w:rsidRPr="002B55E9" w:rsidRDefault="00A8249C">
      <w:pPr>
        <w:pStyle w:val="34"/>
        <w:rPr>
          <w:rFonts w:asciiTheme="minorHAnsi" w:eastAsiaTheme="minorEastAsia" w:hAnsiTheme="minorHAnsi" w:cstheme="minorBidi"/>
          <w:kern w:val="2"/>
          <w:sz w:val="21"/>
          <w:szCs w:val="22"/>
        </w:rPr>
      </w:pPr>
      <w:hyperlink w:anchor="_Toc119308982" w:history="1">
        <w:r w:rsidR="00EF27AD" w:rsidRPr="002B55E9">
          <w:rPr>
            <w:rStyle w:val="afff7"/>
            <w:color w:val="auto"/>
          </w:rPr>
          <w:t>2.5</w:t>
        </w:r>
        <w:r w:rsidR="00EF27AD" w:rsidRPr="002B55E9">
          <w:rPr>
            <w:rFonts w:asciiTheme="minorHAnsi" w:eastAsiaTheme="minorEastAsia" w:hAnsiTheme="minorHAnsi" w:cstheme="minorBidi"/>
            <w:kern w:val="2"/>
            <w:sz w:val="21"/>
            <w:szCs w:val="22"/>
          </w:rPr>
          <w:tab/>
        </w:r>
        <w:r w:rsidR="00EF27AD" w:rsidRPr="002B55E9">
          <w:rPr>
            <w:rStyle w:val="afff7"/>
            <w:color w:val="auto"/>
          </w:rPr>
          <w:t>主要设备</w:t>
        </w:r>
        <w:r w:rsidR="00EF27AD" w:rsidRPr="002B55E9">
          <w:tab/>
        </w:r>
        <w:r w:rsidR="00EF27AD" w:rsidRPr="002B55E9">
          <w:fldChar w:fldCharType="begin"/>
        </w:r>
        <w:r w:rsidR="00EF27AD" w:rsidRPr="002B55E9">
          <w:instrText xml:space="preserve"> PAGEREF _Toc119308982 \h </w:instrText>
        </w:r>
        <w:r w:rsidR="00EF27AD" w:rsidRPr="002B55E9">
          <w:fldChar w:fldCharType="separate"/>
        </w:r>
        <w:r w:rsidR="003E0233" w:rsidRPr="002B55E9">
          <w:rPr>
            <w:noProof/>
          </w:rPr>
          <w:t>29</w:t>
        </w:r>
        <w:r w:rsidR="00EF27AD" w:rsidRPr="002B55E9">
          <w:fldChar w:fldCharType="end"/>
        </w:r>
      </w:hyperlink>
    </w:p>
    <w:p w14:paraId="0F1BBB95" w14:textId="74575F96" w:rsidR="00D170E5" w:rsidRPr="002B55E9" w:rsidRDefault="00A8249C">
      <w:pPr>
        <w:pStyle w:val="34"/>
        <w:rPr>
          <w:rFonts w:asciiTheme="minorHAnsi" w:eastAsiaTheme="minorEastAsia" w:hAnsiTheme="minorHAnsi" w:cstheme="minorBidi"/>
          <w:kern w:val="2"/>
          <w:sz w:val="21"/>
          <w:szCs w:val="22"/>
        </w:rPr>
      </w:pPr>
      <w:hyperlink w:anchor="_Toc119308983" w:history="1">
        <w:r w:rsidR="00EF27AD" w:rsidRPr="002B55E9">
          <w:rPr>
            <w:rStyle w:val="afff7"/>
            <w:color w:val="auto"/>
          </w:rPr>
          <w:t>2.6</w:t>
        </w:r>
        <w:r w:rsidR="00EF27AD" w:rsidRPr="002B55E9">
          <w:rPr>
            <w:rFonts w:asciiTheme="minorHAnsi" w:eastAsiaTheme="minorEastAsia" w:hAnsiTheme="minorHAnsi" w:cstheme="minorBidi"/>
            <w:kern w:val="2"/>
            <w:sz w:val="21"/>
            <w:szCs w:val="22"/>
          </w:rPr>
          <w:tab/>
        </w:r>
        <w:r w:rsidR="00EF27AD" w:rsidRPr="002B55E9">
          <w:rPr>
            <w:rStyle w:val="afff7"/>
            <w:color w:val="auto"/>
          </w:rPr>
          <w:t>公用工程</w:t>
        </w:r>
        <w:r w:rsidR="00EF27AD" w:rsidRPr="002B55E9">
          <w:tab/>
        </w:r>
        <w:r w:rsidR="00EF27AD" w:rsidRPr="002B55E9">
          <w:fldChar w:fldCharType="begin"/>
        </w:r>
        <w:r w:rsidR="00EF27AD" w:rsidRPr="002B55E9">
          <w:instrText xml:space="preserve"> PAGEREF _Toc119308983 \h </w:instrText>
        </w:r>
        <w:r w:rsidR="00EF27AD" w:rsidRPr="002B55E9">
          <w:fldChar w:fldCharType="separate"/>
        </w:r>
        <w:r w:rsidR="003E0233" w:rsidRPr="002B55E9">
          <w:rPr>
            <w:noProof/>
          </w:rPr>
          <w:t>32</w:t>
        </w:r>
        <w:r w:rsidR="00EF27AD" w:rsidRPr="002B55E9">
          <w:fldChar w:fldCharType="end"/>
        </w:r>
      </w:hyperlink>
    </w:p>
    <w:p w14:paraId="35F806CA" w14:textId="7664C183" w:rsidR="00D170E5" w:rsidRPr="002B55E9" w:rsidRDefault="00A8249C">
      <w:pPr>
        <w:pStyle w:val="34"/>
        <w:rPr>
          <w:rFonts w:asciiTheme="minorHAnsi" w:eastAsiaTheme="minorEastAsia" w:hAnsiTheme="minorHAnsi" w:cstheme="minorBidi"/>
          <w:kern w:val="2"/>
          <w:sz w:val="21"/>
          <w:szCs w:val="22"/>
        </w:rPr>
      </w:pPr>
      <w:hyperlink w:anchor="_Toc119308984" w:history="1">
        <w:r w:rsidR="00EF27AD" w:rsidRPr="002B55E9">
          <w:rPr>
            <w:rStyle w:val="afff7"/>
            <w:color w:val="auto"/>
          </w:rPr>
          <w:t>2.7</w:t>
        </w:r>
        <w:r w:rsidR="00EF27AD" w:rsidRPr="002B55E9">
          <w:rPr>
            <w:rFonts w:asciiTheme="minorHAnsi" w:eastAsiaTheme="minorEastAsia" w:hAnsiTheme="minorHAnsi" w:cstheme="minorBidi"/>
            <w:kern w:val="2"/>
            <w:sz w:val="21"/>
            <w:szCs w:val="22"/>
          </w:rPr>
          <w:tab/>
        </w:r>
        <w:r w:rsidR="00EF27AD" w:rsidRPr="002B55E9">
          <w:rPr>
            <w:rStyle w:val="afff7"/>
            <w:color w:val="auto"/>
          </w:rPr>
          <w:t>劳动定员及工作制度</w:t>
        </w:r>
        <w:r w:rsidR="00EF27AD" w:rsidRPr="002B55E9">
          <w:tab/>
        </w:r>
        <w:r w:rsidR="00EF27AD" w:rsidRPr="002B55E9">
          <w:fldChar w:fldCharType="begin"/>
        </w:r>
        <w:r w:rsidR="00EF27AD" w:rsidRPr="002B55E9">
          <w:instrText xml:space="preserve"> PAGEREF _Toc119308984 \h </w:instrText>
        </w:r>
        <w:r w:rsidR="00EF27AD" w:rsidRPr="002B55E9">
          <w:fldChar w:fldCharType="separate"/>
        </w:r>
        <w:r w:rsidR="003E0233" w:rsidRPr="002B55E9">
          <w:rPr>
            <w:noProof/>
          </w:rPr>
          <w:t>34</w:t>
        </w:r>
        <w:r w:rsidR="00EF27AD" w:rsidRPr="002B55E9">
          <w:fldChar w:fldCharType="end"/>
        </w:r>
      </w:hyperlink>
    </w:p>
    <w:p w14:paraId="07294E0D" w14:textId="2567595A"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8985" w:history="1">
        <w:r w:rsidR="00EF27AD" w:rsidRPr="002B55E9">
          <w:rPr>
            <w:rStyle w:val="afff7"/>
            <w:i w:val="0"/>
            <w:color w:val="auto"/>
          </w:rPr>
          <w:t>3</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拟建项目工程分析</w:t>
        </w:r>
        <w:r w:rsidR="00EF27AD" w:rsidRPr="002B55E9">
          <w:rPr>
            <w:i w:val="0"/>
          </w:rPr>
          <w:tab/>
        </w:r>
        <w:r w:rsidR="00EF27AD" w:rsidRPr="002B55E9">
          <w:rPr>
            <w:i w:val="0"/>
          </w:rPr>
          <w:fldChar w:fldCharType="begin"/>
        </w:r>
        <w:r w:rsidR="00EF27AD" w:rsidRPr="002B55E9">
          <w:rPr>
            <w:i w:val="0"/>
          </w:rPr>
          <w:instrText xml:space="preserve"> PAGEREF _Toc119308985 \h </w:instrText>
        </w:r>
        <w:r w:rsidR="00EF27AD" w:rsidRPr="002B55E9">
          <w:rPr>
            <w:i w:val="0"/>
          </w:rPr>
        </w:r>
        <w:r w:rsidR="00EF27AD" w:rsidRPr="002B55E9">
          <w:rPr>
            <w:i w:val="0"/>
          </w:rPr>
          <w:fldChar w:fldCharType="separate"/>
        </w:r>
        <w:r w:rsidR="003E0233" w:rsidRPr="002B55E9">
          <w:rPr>
            <w:i w:val="0"/>
            <w:noProof/>
          </w:rPr>
          <w:t>37</w:t>
        </w:r>
        <w:r w:rsidR="00EF27AD" w:rsidRPr="002B55E9">
          <w:rPr>
            <w:i w:val="0"/>
          </w:rPr>
          <w:fldChar w:fldCharType="end"/>
        </w:r>
      </w:hyperlink>
    </w:p>
    <w:p w14:paraId="56A3F3F5" w14:textId="6D8A215D" w:rsidR="00D170E5" w:rsidRPr="002B55E9" w:rsidRDefault="00A8249C">
      <w:pPr>
        <w:pStyle w:val="34"/>
        <w:rPr>
          <w:rFonts w:asciiTheme="minorHAnsi" w:eastAsiaTheme="minorEastAsia" w:hAnsiTheme="minorHAnsi" w:cstheme="minorBidi"/>
          <w:kern w:val="2"/>
          <w:sz w:val="21"/>
          <w:szCs w:val="22"/>
        </w:rPr>
      </w:pPr>
      <w:hyperlink w:anchor="_Toc119308986" w:history="1">
        <w:r w:rsidR="00EF27AD" w:rsidRPr="002B55E9">
          <w:rPr>
            <w:rStyle w:val="afff7"/>
            <w:color w:val="auto"/>
          </w:rPr>
          <w:t>3.1</w:t>
        </w:r>
        <w:r w:rsidR="00EF27AD" w:rsidRPr="002B55E9">
          <w:rPr>
            <w:rFonts w:asciiTheme="minorHAnsi" w:eastAsiaTheme="minorEastAsia" w:hAnsiTheme="minorHAnsi" w:cstheme="minorBidi"/>
            <w:kern w:val="2"/>
            <w:sz w:val="21"/>
            <w:szCs w:val="22"/>
          </w:rPr>
          <w:tab/>
        </w:r>
        <w:r w:rsidR="00EF27AD" w:rsidRPr="002B55E9">
          <w:rPr>
            <w:rStyle w:val="afff7"/>
            <w:color w:val="auto"/>
          </w:rPr>
          <w:t>工艺流程及产污环节</w:t>
        </w:r>
        <w:r w:rsidR="00EF27AD" w:rsidRPr="002B55E9">
          <w:tab/>
        </w:r>
        <w:r w:rsidR="00EF27AD" w:rsidRPr="002B55E9">
          <w:fldChar w:fldCharType="begin"/>
        </w:r>
        <w:r w:rsidR="00EF27AD" w:rsidRPr="002B55E9">
          <w:instrText xml:space="preserve"> PAGEREF _Toc119308986 \h </w:instrText>
        </w:r>
        <w:r w:rsidR="00EF27AD" w:rsidRPr="002B55E9">
          <w:fldChar w:fldCharType="separate"/>
        </w:r>
        <w:r w:rsidR="003E0233" w:rsidRPr="002B55E9">
          <w:rPr>
            <w:noProof/>
          </w:rPr>
          <w:t>37</w:t>
        </w:r>
        <w:r w:rsidR="00EF27AD" w:rsidRPr="002B55E9">
          <w:fldChar w:fldCharType="end"/>
        </w:r>
      </w:hyperlink>
    </w:p>
    <w:p w14:paraId="6AD2D06C" w14:textId="0AD3FF4A" w:rsidR="00D170E5" w:rsidRPr="002B55E9" w:rsidRDefault="00A8249C">
      <w:pPr>
        <w:pStyle w:val="34"/>
        <w:rPr>
          <w:rFonts w:asciiTheme="minorHAnsi" w:eastAsiaTheme="minorEastAsia" w:hAnsiTheme="minorHAnsi" w:cstheme="minorBidi"/>
          <w:kern w:val="2"/>
          <w:sz w:val="21"/>
          <w:szCs w:val="22"/>
        </w:rPr>
      </w:pPr>
      <w:hyperlink w:anchor="_Toc119308987" w:history="1">
        <w:r w:rsidR="00EF27AD" w:rsidRPr="002B55E9">
          <w:rPr>
            <w:rStyle w:val="afff7"/>
            <w:color w:val="auto"/>
          </w:rPr>
          <w:t>3.2</w:t>
        </w:r>
        <w:r w:rsidR="00EF27AD" w:rsidRPr="002B55E9">
          <w:rPr>
            <w:rFonts w:asciiTheme="minorHAnsi" w:eastAsiaTheme="minorEastAsia" w:hAnsiTheme="minorHAnsi" w:cstheme="minorBidi"/>
            <w:kern w:val="2"/>
            <w:sz w:val="21"/>
            <w:szCs w:val="22"/>
          </w:rPr>
          <w:tab/>
        </w:r>
        <w:r w:rsidR="00EF27AD" w:rsidRPr="002B55E9">
          <w:rPr>
            <w:rStyle w:val="afff7"/>
            <w:color w:val="auto"/>
          </w:rPr>
          <w:t>平衡分析</w:t>
        </w:r>
        <w:r w:rsidR="00EF27AD" w:rsidRPr="002B55E9">
          <w:tab/>
        </w:r>
        <w:r w:rsidR="00EF27AD" w:rsidRPr="002B55E9">
          <w:fldChar w:fldCharType="begin"/>
        </w:r>
        <w:r w:rsidR="00EF27AD" w:rsidRPr="002B55E9">
          <w:instrText xml:space="preserve"> PAGEREF _Toc119308987 \h </w:instrText>
        </w:r>
        <w:r w:rsidR="00EF27AD" w:rsidRPr="002B55E9">
          <w:fldChar w:fldCharType="separate"/>
        </w:r>
        <w:r w:rsidR="003E0233" w:rsidRPr="002B55E9">
          <w:rPr>
            <w:noProof/>
          </w:rPr>
          <w:t>52</w:t>
        </w:r>
        <w:r w:rsidR="00EF27AD" w:rsidRPr="002B55E9">
          <w:fldChar w:fldCharType="end"/>
        </w:r>
      </w:hyperlink>
    </w:p>
    <w:p w14:paraId="3492B7F2" w14:textId="3F40564B" w:rsidR="00D170E5" w:rsidRPr="002B55E9" w:rsidRDefault="00A8249C">
      <w:pPr>
        <w:pStyle w:val="34"/>
        <w:rPr>
          <w:rFonts w:asciiTheme="minorHAnsi" w:eastAsiaTheme="minorEastAsia" w:hAnsiTheme="minorHAnsi" w:cstheme="minorBidi"/>
          <w:kern w:val="2"/>
          <w:sz w:val="21"/>
          <w:szCs w:val="22"/>
        </w:rPr>
      </w:pPr>
      <w:hyperlink w:anchor="_Toc119308988" w:history="1">
        <w:r w:rsidR="00EF27AD" w:rsidRPr="002B55E9">
          <w:rPr>
            <w:rStyle w:val="afff7"/>
            <w:color w:val="auto"/>
          </w:rPr>
          <w:t>3.3</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运营期污染源分析</w:t>
        </w:r>
        <w:r w:rsidR="00EF27AD" w:rsidRPr="002B55E9">
          <w:tab/>
        </w:r>
        <w:r w:rsidR="00EF27AD" w:rsidRPr="002B55E9">
          <w:fldChar w:fldCharType="begin"/>
        </w:r>
        <w:r w:rsidR="00EF27AD" w:rsidRPr="002B55E9">
          <w:instrText xml:space="preserve"> PAGEREF _Toc119308988 \h </w:instrText>
        </w:r>
        <w:r w:rsidR="00EF27AD" w:rsidRPr="002B55E9">
          <w:fldChar w:fldCharType="separate"/>
        </w:r>
        <w:r w:rsidR="003E0233" w:rsidRPr="002B55E9">
          <w:rPr>
            <w:noProof/>
          </w:rPr>
          <w:t>65</w:t>
        </w:r>
        <w:r w:rsidR="00EF27AD" w:rsidRPr="002B55E9">
          <w:fldChar w:fldCharType="end"/>
        </w:r>
      </w:hyperlink>
    </w:p>
    <w:p w14:paraId="7BA78A5D" w14:textId="582B01F4"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8989" w:history="1">
        <w:r w:rsidR="00EF27AD" w:rsidRPr="002B55E9">
          <w:rPr>
            <w:rStyle w:val="afff7"/>
            <w:i w:val="0"/>
            <w:color w:val="auto"/>
          </w:rPr>
          <w:t>4</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环境现状调查与评价</w:t>
        </w:r>
        <w:r w:rsidR="00EF27AD" w:rsidRPr="002B55E9">
          <w:rPr>
            <w:i w:val="0"/>
          </w:rPr>
          <w:tab/>
        </w:r>
        <w:r w:rsidR="00EF27AD" w:rsidRPr="002B55E9">
          <w:rPr>
            <w:i w:val="0"/>
          </w:rPr>
          <w:fldChar w:fldCharType="begin"/>
        </w:r>
        <w:r w:rsidR="00EF27AD" w:rsidRPr="002B55E9">
          <w:rPr>
            <w:i w:val="0"/>
          </w:rPr>
          <w:instrText xml:space="preserve"> PAGEREF _Toc119308989 \h </w:instrText>
        </w:r>
        <w:r w:rsidR="00EF27AD" w:rsidRPr="002B55E9">
          <w:rPr>
            <w:i w:val="0"/>
          </w:rPr>
        </w:r>
        <w:r w:rsidR="00EF27AD" w:rsidRPr="002B55E9">
          <w:rPr>
            <w:i w:val="0"/>
          </w:rPr>
          <w:fldChar w:fldCharType="separate"/>
        </w:r>
        <w:r w:rsidR="003E0233" w:rsidRPr="002B55E9">
          <w:rPr>
            <w:i w:val="0"/>
            <w:noProof/>
          </w:rPr>
          <w:t>85</w:t>
        </w:r>
        <w:r w:rsidR="00EF27AD" w:rsidRPr="002B55E9">
          <w:rPr>
            <w:i w:val="0"/>
          </w:rPr>
          <w:fldChar w:fldCharType="end"/>
        </w:r>
      </w:hyperlink>
    </w:p>
    <w:p w14:paraId="65740E9D" w14:textId="0A104E34" w:rsidR="00D170E5" w:rsidRPr="002B55E9" w:rsidRDefault="00A8249C">
      <w:pPr>
        <w:pStyle w:val="34"/>
        <w:rPr>
          <w:rFonts w:asciiTheme="minorHAnsi" w:eastAsiaTheme="minorEastAsia" w:hAnsiTheme="minorHAnsi" w:cstheme="minorBidi"/>
          <w:kern w:val="2"/>
          <w:sz w:val="21"/>
          <w:szCs w:val="22"/>
        </w:rPr>
      </w:pPr>
      <w:hyperlink w:anchor="_Toc119308990" w:history="1">
        <w:r w:rsidR="00EF27AD" w:rsidRPr="002B55E9">
          <w:rPr>
            <w:rStyle w:val="afff7"/>
            <w:color w:val="auto"/>
          </w:rPr>
          <w:t>4.1</w:t>
        </w:r>
        <w:r w:rsidR="00EF27AD" w:rsidRPr="002B55E9">
          <w:rPr>
            <w:rFonts w:asciiTheme="minorHAnsi" w:eastAsiaTheme="minorEastAsia" w:hAnsiTheme="minorHAnsi" w:cstheme="minorBidi"/>
            <w:kern w:val="2"/>
            <w:sz w:val="21"/>
            <w:szCs w:val="22"/>
          </w:rPr>
          <w:tab/>
        </w:r>
        <w:r w:rsidR="00EF27AD" w:rsidRPr="002B55E9">
          <w:rPr>
            <w:rStyle w:val="afff7"/>
            <w:color w:val="auto"/>
          </w:rPr>
          <w:t>自然环境概况</w:t>
        </w:r>
        <w:r w:rsidR="00EF27AD" w:rsidRPr="002B55E9">
          <w:tab/>
        </w:r>
        <w:r w:rsidR="00EF27AD" w:rsidRPr="002B55E9">
          <w:fldChar w:fldCharType="begin"/>
        </w:r>
        <w:r w:rsidR="00EF27AD" w:rsidRPr="002B55E9">
          <w:instrText xml:space="preserve"> PAGEREF _Toc119308990 \h </w:instrText>
        </w:r>
        <w:r w:rsidR="00EF27AD" w:rsidRPr="002B55E9">
          <w:fldChar w:fldCharType="separate"/>
        </w:r>
        <w:r w:rsidR="003E0233" w:rsidRPr="002B55E9">
          <w:rPr>
            <w:noProof/>
          </w:rPr>
          <w:t>85</w:t>
        </w:r>
        <w:r w:rsidR="00EF27AD" w:rsidRPr="002B55E9">
          <w:fldChar w:fldCharType="end"/>
        </w:r>
      </w:hyperlink>
    </w:p>
    <w:p w14:paraId="30618E8E" w14:textId="20A9548B" w:rsidR="00D170E5" w:rsidRPr="002B55E9" w:rsidRDefault="00A8249C">
      <w:pPr>
        <w:pStyle w:val="34"/>
        <w:rPr>
          <w:rFonts w:asciiTheme="minorHAnsi" w:eastAsiaTheme="minorEastAsia" w:hAnsiTheme="minorHAnsi" w:cstheme="minorBidi"/>
          <w:kern w:val="2"/>
          <w:sz w:val="21"/>
          <w:szCs w:val="22"/>
        </w:rPr>
      </w:pPr>
      <w:hyperlink w:anchor="_Toc119308991" w:history="1">
        <w:r w:rsidR="00EF27AD" w:rsidRPr="002B55E9">
          <w:rPr>
            <w:rStyle w:val="afff7"/>
            <w:color w:val="auto"/>
          </w:rPr>
          <w:t>4.2</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环境质量现状调查</w:t>
        </w:r>
        <w:r w:rsidR="00EF27AD" w:rsidRPr="002B55E9">
          <w:tab/>
        </w:r>
        <w:r w:rsidR="00EF27AD" w:rsidRPr="002B55E9">
          <w:fldChar w:fldCharType="begin"/>
        </w:r>
        <w:r w:rsidR="00EF27AD" w:rsidRPr="002B55E9">
          <w:instrText xml:space="preserve"> PAGEREF _Toc119308991 \h </w:instrText>
        </w:r>
        <w:r w:rsidR="00EF27AD" w:rsidRPr="002B55E9">
          <w:fldChar w:fldCharType="separate"/>
        </w:r>
        <w:r w:rsidR="003E0233" w:rsidRPr="002B55E9">
          <w:rPr>
            <w:noProof/>
          </w:rPr>
          <w:t>88</w:t>
        </w:r>
        <w:r w:rsidR="00EF27AD" w:rsidRPr="002B55E9">
          <w:fldChar w:fldCharType="end"/>
        </w:r>
      </w:hyperlink>
    </w:p>
    <w:p w14:paraId="29A6982E" w14:textId="482135EF"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8992" w:history="1">
        <w:r w:rsidR="00EF27AD" w:rsidRPr="002B55E9">
          <w:rPr>
            <w:rStyle w:val="afff7"/>
            <w:i w:val="0"/>
            <w:color w:val="auto"/>
          </w:rPr>
          <w:t>5</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环境影响预测与评价</w:t>
        </w:r>
        <w:r w:rsidR="00EF27AD" w:rsidRPr="002B55E9">
          <w:rPr>
            <w:i w:val="0"/>
          </w:rPr>
          <w:tab/>
        </w:r>
        <w:r w:rsidR="00EF27AD" w:rsidRPr="002B55E9">
          <w:rPr>
            <w:i w:val="0"/>
          </w:rPr>
          <w:fldChar w:fldCharType="begin"/>
        </w:r>
        <w:r w:rsidR="00EF27AD" w:rsidRPr="002B55E9">
          <w:rPr>
            <w:i w:val="0"/>
          </w:rPr>
          <w:instrText xml:space="preserve"> PAGEREF _Toc119308992 \h </w:instrText>
        </w:r>
        <w:r w:rsidR="00EF27AD" w:rsidRPr="002B55E9">
          <w:rPr>
            <w:i w:val="0"/>
          </w:rPr>
        </w:r>
        <w:r w:rsidR="00EF27AD" w:rsidRPr="002B55E9">
          <w:rPr>
            <w:i w:val="0"/>
          </w:rPr>
          <w:fldChar w:fldCharType="separate"/>
        </w:r>
        <w:r w:rsidR="003E0233" w:rsidRPr="002B55E9">
          <w:rPr>
            <w:i w:val="0"/>
            <w:noProof/>
          </w:rPr>
          <w:t>95</w:t>
        </w:r>
        <w:r w:rsidR="00EF27AD" w:rsidRPr="002B55E9">
          <w:rPr>
            <w:i w:val="0"/>
          </w:rPr>
          <w:fldChar w:fldCharType="end"/>
        </w:r>
      </w:hyperlink>
    </w:p>
    <w:p w14:paraId="7728F832" w14:textId="66E4A32F" w:rsidR="00D170E5" w:rsidRPr="002B55E9" w:rsidRDefault="00A8249C">
      <w:pPr>
        <w:pStyle w:val="34"/>
        <w:rPr>
          <w:rFonts w:asciiTheme="minorHAnsi" w:eastAsiaTheme="minorEastAsia" w:hAnsiTheme="minorHAnsi" w:cstheme="minorBidi"/>
          <w:kern w:val="2"/>
          <w:sz w:val="21"/>
          <w:szCs w:val="22"/>
        </w:rPr>
      </w:pPr>
      <w:hyperlink w:anchor="_Toc119308993" w:history="1">
        <w:r w:rsidR="00EF27AD" w:rsidRPr="002B55E9">
          <w:rPr>
            <w:rStyle w:val="afff7"/>
            <w:color w:val="auto"/>
          </w:rPr>
          <w:t>5.1</w:t>
        </w:r>
        <w:r w:rsidR="00EF27AD" w:rsidRPr="002B55E9">
          <w:rPr>
            <w:rFonts w:asciiTheme="minorHAnsi" w:eastAsiaTheme="minorEastAsia" w:hAnsiTheme="minorHAnsi" w:cstheme="minorBidi"/>
            <w:kern w:val="2"/>
            <w:sz w:val="21"/>
            <w:szCs w:val="22"/>
          </w:rPr>
          <w:tab/>
        </w:r>
        <w:r w:rsidR="00EF27AD" w:rsidRPr="002B55E9">
          <w:rPr>
            <w:rStyle w:val="afff7"/>
            <w:color w:val="auto"/>
          </w:rPr>
          <w:t>施工期环境影响分析</w:t>
        </w:r>
        <w:r w:rsidR="00EF27AD" w:rsidRPr="002B55E9">
          <w:tab/>
        </w:r>
        <w:r w:rsidR="00EF27AD" w:rsidRPr="002B55E9">
          <w:fldChar w:fldCharType="begin"/>
        </w:r>
        <w:r w:rsidR="00EF27AD" w:rsidRPr="002B55E9">
          <w:instrText xml:space="preserve"> PAGEREF _Toc119308993 \h </w:instrText>
        </w:r>
        <w:r w:rsidR="00EF27AD" w:rsidRPr="002B55E9">
          <w:fldChar w:fldCharType="separate"/>
        </w:r>
        <w:r w:rsidR="003E0233" w:rsidRPr="002B55E9">
          <w:rPr>
            <w:noProof/>
          </w:rPr>
          <w:t>95</w:t>
        </w:r>
        <w:r w:rsidR="00EF27AD" w:rsidRPr="002B55E9">
          <w:fldChar w:fldCharType="end"/>
        </w:r>
      </w:hyperlink>
    </w:p>
    <w:p w14:paraId="79C68E0C" w14:textId="1DB43147" w:rsidR="00D170E5" w:rsidRPr="002B55E9" w:rsidRDefault="00A8249C">
      <w:pPr>
        <w:pStyle w:val="34"/>
        <w:rPr>
          <w:rFonts w:asciiTheme="minorHAnsi" w:eastAsiaTheme="minorEastAsia" w:hAnsiTheme="minorHAnsi" w:cstheme="minorBidi"/>
          <w:kern w:val="2"/>
          <w:sz w:val="21"/>
          <w:szCs w:val="22"/>
        </w:rPr>
      </w:pPr>
      <w:hyperlink w:anchor="_Toc119308994" w:history="1">
        <w:r w:rsidR="00EF27AD" w:rsidRPr="002B55E9">
          <w:rPr>
            <w:rStyle w:val="afff7"/>
            <w:color w:val="auto"/>
          </w:rPr>
          <w:t>5.2</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运营期大气环境影响预测</w:t>
        </w:r>
        <w:r w:rsidR="00EF27AD" w:rsidRPr="002B55E9">
          <w:tab/>
        </w:r>
        <w:r w:rsidR="00EF27AD" w:rsidRPr="002B55E9">
          <w:fldChar w:fldCharType="begin"/>
        </w:r>
        <w:r w:rsidR="00EF27AD" w:rsidRPr="002B55E9">
          <w:instrText xml:space="preserve"> PAGEREF _Toc119308994 \h </w:instrText>
        </w:r>
        <w:r w:rsidR="00EF27AD" w:rsidRPr="002B55E9">
          <w:fldChar w:fldCharType="separate"/>
        </w:r>
        <w:r w:rsidR="003E0233" w:rsidRPr="002B55E9">
          <w:rPr>
            <w:noProof/>
          </w:rPr>
          <w:t>98</w:t>
        </w:r>
        <w:r w:rsidR="00EF27AD" w:rsidRPr="002B55E9">
          <w:fldChar w:fldCharType="end"/>
        </w:r>
      </w:hyperlink>
    </w:p>
    <w:p w14:paraId="5144542D" w14:textId="55F79C26" w:rsidR="00D170E5" w:rsidRPr="002B55E9" w:rsidRDefault="00A8249C">
      <w:pPr>
        <w:pStyle w:val="34"/>
        <w:rPr>
          <w:rFonts w:asciiTheme="minorHAnsi" w:eastAsiaTheme="minorEastAsia" w:hAnsiTheme="minorHAnsi" w:cstheme="minorBidi"/>
          <w:kern w:val="2"/>
          <w:sz w:val="21"/>
          <w:szCs w:val="22"/>
        </w:rPr>
      </w:pPr>
      <w:hyperlink w:anchor="_Toc119308995" w:history="1">
        <w:r w:rsidR="00EF27AD" w:rsidRPr="002B55E9">
          <w:rPr>
            <w:rStyle w:val="afff7"/>
            <w:color w:val="auto"/>
          </w:rPr>
          <w:t>5.3</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运营期水环境影响预测与评价</w:t>
        </w:r>
        <w:r w:rsidR="00EF27AD" w:rsidRPr="002B55E9">
          <w:tab/>
        </w:r>
        <w:r w:rsidR="00EF27AD" w:rsidRPr="002B55E9">
          <w:fldChar w:fldCharType="begin"/>
        </w:r>
        <w:r w:rsidR="00EF27AD" w:rsidRPr="002B55E9">
          <w:instrText xml:space="preserve"> PAGEREF _Toc119308995 \h </w:instrText>
        </w:r>
        <w:r w:rsidR="00EF27AD" w:rsidRPr="002B55E9">
          <w:fldChar w:fldCharType="separate"/>
        </w:r>
        <w:r w:rsidR="003E0233" w:rsidRPr="002B55E9">
          <w:rPr>
            <w:noProof/>
          </w:rPr>
          <w:t>112</w:t>
        </w:r>
        <w:r w:rsidR="00EF27AD" w:rsidRPr="002B55E9">
          <w:fldChar w:fldCharType="end"/>
        </w:r>
      </w:hyperlink>
    </w:p>
    <w:p w14:paraId="455E18E4" w14:textId="62A0CC0B" w:rsidR="00D170E5" w:rsidRPr="002B55E9" w:rsidRDefault="00A8249C">
      <w:pPr>
        <w:pStyle w:val="34"/>
        <w:rPr>
          <w:rFonts w:asciiTheme="minorHAnsi" w:eastAsiaTheme="minorEastAsia" w:hAnsiTheme="minorHAnsi" w:cstheme="minorBidi"/>
          <w:kern w:val="2"/>
          <w:sz w:val="21"/>
          <w:szCs w:val="22"/>
        </w:rPr>
      </w:pPr>
      <w:hyperlink w:anchor="_Toc119308996" w:history="1">
        <w:r w:rsidR="00EF27AD" w:rsidRPr="002B55E9">
          <w:rPr>
            <w:rStyle w:val="afff7"/>
            <w:color w:val="auto"/>
          </w:rPr>
          <w:t>5.4</w:t>
        </w:r>
        <w:r w:rsidR="00EF27AD" w:rsidRPr="002B55E9">
          <w:rPr>
            <w:rFonts w:asciiTheme="minorHAnsi" w:eastAsiaTheme="minorEastAsia" w:hAnsiTheme="minorHAnsi" w:cstheme="minorBidi"/>
            <w:kern w:val="2"/>
            <w:sz w:val="21"/>
            <w:szCs w:val="22"/>
          </w:rPr>
          <w:tab/>
        </w:r>
        <w:r w:rsidR="00EF27AD" w:rsidRPr="002B55E9">
          <w:rPr>
            <w:rStyle w:val="afff7"/>
            <w:color w:val="auto"/>
          </w:rPr>
          <w:t>声环境影响预测与评价</w:t>
        </w:r>
        <w:r w:rsidR="00EF27AD" w:rsidRPr="002B55E9">
          <w:tab/>
        </w:r>
        <w:r w:rsidR="00EF27AD" w:rsidRPr="002B55E9">
          <w:fldChar w:fldCharType="begin"/>
        </w:r>
        <w:r w:rsidR="00EF27AD" w:rsidRPr="002B55E9">
          <w:instrText xml:space="preserve"> PAGEREF _Toc119308996 \h </w:instrText>
        </w:r>
        <w:r w:rsidR="00EF27AD" w:rsidRPr="002B55E9">
          <w:fldChar w:fldCharType="separate"/>
        </w:r>
        <w:r w:rsidR="003E0233" w:rsidRPr="002B55E9">
          <w:rPr>
            <w:noProof/>
          </w:rPr>
          <w:t>121</w:t>
        </w:r>
        <w:r w:rsidR="00EF27AD" w:rsidRPr="002B55E9">
          <w:fldChar w:fldCharType="end"/>
        </w:r>
      </w:hyperlink>
    </w:p>
    <w:p w14:paraId="45EDB4CD" w14:textId="7407114E" w:rsidR="00D170E5" w:rsidRPr="002B55E9" w:rsidRDefault="00A8249C">
      <w:pPr>
        <w:pStyle w:val="34"/>
        <w:rPr>
          <w:rFonts w:asciiTheme="minorHAnsi" w:eastAsiaTheme="minorEastAsia" w:hAnsiTheme="minorHAnsi" w:cstheme="minorBidi"/>
          <w:kern w:val="2"/>
          <w:sz w:val="21"/>
          <w:szCs w:val="22"/>
        </w:rPr>
      </w:pPr>
      <w:hyperlink w:anchor="_Toc119308997" w:history="1">
        <w:r w:rsidR="00EF27AD" w:rsidRPr="002B55E9">
          <w:rPr>
            <w:rStyle w:val="afff7"/>
            <w:color w:val="auto"/>
          </w:rPr>
          <w:t>5.5</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运营期固体废物环境影响分析</w:t>
        </w:r>
        <w:r w:rsidR="00EF27AD" w:rsidRPr="002B55E9">
          <w:tab/>
        </w:r>
        <w:r w:rsidR="00EF27AD" w:rsidRPr="002B55E9">
          <w:fldChar w:fldCharType="begin"/>
        </w:r>
        <w:r w:rsidR="00EF27AD" w:rsidRPr="002B55E9">
          <w:instrText xml:space="preserve"> PAGEREF _Toc119308997 \h </w:instrText>
        </w:r>
        <w:r w:rsidR="00EF27AD" w:rsidRPr="002B55E9">
          <w:fldChar w:fldCharType="separate"/>
        </w:r>
        <w:r w:rsidR="003E0233" w:rsidRPr="002B55E9">
          <w:rPr>
            <w:noProof/>
          </w:rPr>
          <w:t>127</w:t>
        </w:r>
        <w:r w:rsidR="00EF27AD" w:rsidRPr="002B55E9">
          <w:fldChar w:fldCharType="end"/>
        </w:r>
      </w:hyperlink>
    </w:p>
    <w:p w14:paraId="4B3DEB5F" w14:textId="1A61AAC4" w:rsidR="00D170E5" w:rsidRPr="002B55E9" w:rsidRDefault="00A8249C">
      <w:pPr>
        <w:pStyle w:val="34"/>
        <w:rPr>
          <w:rFonts w:asciiTheme="minorHAnsi" w:eastAsiaTheme="minorEastAsia" w:hAnsiTheme="minorHAnsi" w:cstheme="minorBidi"/>
          <w:kern w:val="2"/>
          <w:sz w:val="21"/>
          <w:szCs w:val="22"/>
        </w:rPr>
      </w:pPr>
      <w:hyperlink w:anchor="_Toc119308998" w:history="1">
        <w:r w:rsidR="00EF27AD" w:rsidRPr="002B55E9">
          <w:rPr>
            <w:rStyle w:val="afff7"/>
            <w:color w:val="auto"/>
          </w:rPr>
          <w:t>5.6</w:t>
        </w:r>
        <w:r w:rsidR="00EF27AD" w:rsidRPr="002B55E9">
          <w:rPr>
            <w:rFonts w:asciiTheme="minorHAnsi" w:eastAsiaTheme="minorEastAsia" w:hAnsiTheme="minorHAnsi" w:cstheme="minorBidi"/>
            <w:kern w:val="2"/>
            <w:sz w:val="21"/>
            <w:szCs w:val="22"/>
          </w:rPr>
          <w:tab/>
        </w:r>
        <w:r w:rsidR="00EF27AD" w:rsidRPr="002B55E9">
          <w:rPr>
            <w:rStyle w:val="afff7"/>
            <w:color w:val="auto"/>
          </w:rPr>
          <w:t>地下水环境影响分析</w:t>
        </w:r>
        <w:r w:rsidR="00EF27AD" w:rsidRPr="002B55E9">
          <w:tab/>
        </w:r>
        <w:r w:rsidR="00EF27AD" w:rsidRPr="002B55E9">
          <w:fldChar w:fldCharType="begin"/>
        </w:r>
        <w:r w:rsidR="00EF27AD" w:rsidRPr="002B55E9">
          <w:instrText xml:space="preserve"> PAGEREF _Toc119308998 \h </w:instrText>
        </w:r>
        <w:r w:rsidR="00EF27AD" w:rsidRPr="002B55E9">
          <w:fldChar w:fldCharType="separate"/>
        </w:r>
        <w:r w:rsidR="003E0233" w:rsidRPr="002B55E9">
          <w:rPr>
            <w:noProof/>
          </w:rPr>
          <w:t>131</w:t>
        </w:r>
        <w:r w:rsidR="00EF27AD" w:rsidRPr="002B55E9">
          <w:fldChar w:fldCharType="end"/>
        </w:r>
      </w:hyperlink>
    </w:p>
    <w:p w14:paraId="217B7F9E" w14:textId="611AB40F" w:rsidR="00D170E5" w:rsidRPr="002B55E9" w:rsidRDefault="00A8249C">
      <w:pPr>
        <w:pStyle w:val="34"/>
        <w:rPr>
          <w:rFonts w:asciiTheme="minorHAnsi" w:eastAsiaTheme="minorEastAsia" w:hAnsiTheme="minorHAnsi" w:cstheme="minorBidi"/>
          <w:kern w:val="2"/>
          <w:sz w:val="21"/>
          <w:szCs w:val="22"/>
        </w:rPr>
      </w:pPr>
      <w:hyperlink w:anchor="_Toc119308999" w:history="1">
        <w:r w:rsidR="00EF27AD" w:rsidRPr="002B55E9">
          <w:rPr>
            <w:rStyle w:val="afff7"/>
            <w:color w:val="auto"/>
          </w:rPr>
          <w:t>5.7</w:t>
        </w:r>
        <w:r w:rsidR="00EF27AD" w:rsidRPr="002B55E9">
          <w:rPr>
            <w:rFonts w:asciiTheme="minorHAnsi" w:eastAsiaTheme="minorEastAsia" w:hAnsiTheme="minorHAnsi" w:cstheme="minorBidi"/>
            <w:kern w:val="2"/>
            <w:sz w:val="21"/>
            <w:szCs w:val="22"/>
          </w:rPr>
          <w:tab/>
        </w:r>
        <w:r w:rsidR="00EF27AD" w:rsidRPr="002B55E9">
          <w:rPr>
            <w:rStyle w:val="afff7"/>
            <w:color w:val="auto"/>
          </w:rPr>
          <w:t>土壤环境影响分析</w:t>
        </w:r>
        <w:r w:rsidR="00EF27AD" w:rsidRPr="002B55E9">
          <w:tab/>
        </w:r>
        <w:r w:rsidR="00EF27AD" w:rsidRPr="002B55E9">
          <w:fldChar w:fldCharType="begin"/>
        </w:r>
        <w:r w:rsidR="00EF27AD" w:rsidRPr="002B55E9">
          <w:instrText xml:space="preserve"> PAGEREF _Toc119308999 \h </w:instrText>
        </w:r>
        <w:r w:rsidR="00EF27AD" w:rsidRPr="002B55E9">
          <w:fldChar w:fldCharType="separate"/>
        </w:r>
        <w:r w:rsidR="003E0233" w:rsidRPr="002B55E9">
          <w:rPr>
            <w:noProof/>
          </w:rPr>
          <w:t>139</w:t>
        </w:r>
        <w:r w:rsidR="00EF27AD" w:rsidRPr="002B55E9">
          <w:fldChar w:fldCharType="end"/>
        </w:r>
      </w:hyperlink>
    </w:p>
    <w:p w14:paraId="19DB9DA7" w14:textId="7221C3A4"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00" w:history="1">
        <w:r w:rsidR="00EF27AD" w:rsidRPr="002B55E9">
          <w:rPr>
            <w:rStyle w:val="afff7"/>
            <w:i w:val="0"/>
            <w:color w:val="auto"/>
          </w:rPr>
          <w:t>6</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环境风险评价</w:t>
        </w:r>
        <w:r w:rsidR="00EF27AD" w:rsidRPr="002B55E9">
          <w:rPr>
            <w:i w:val="0"/>
          </w:rPr>
          <w:tab/>
        </w:r>
        <w:r w:rsidR="00EF27AD" w:rsidRPr="002B55E9">
          <w:rPr>
            <w:i w:val="0"/>
          </w:rPr>
          <w:fldChar w:fldCharType="begin"/>
        </w:r>
        <w:r w:rsidR="00EF27AD" w:rsidRPr="002B55E9">
          <w:rPr>
            <w:i w:val="0"/>
          </w:rPr>
          <w:instrText xml:space="preserve"> PAGEREF _Toc119309000 \h </w:instrText>
        </w:r>
        <w:r w:rsidR="00EF27AD" w:rsidRPr="002B55E9">
          <w:rPr>
            <w:i w:val="0"/>
          </w:rPr>
        </w:r>
        <w:r w:rsidR="00EF27AD" w:rsidRPr="002B55E9">
          <w:rPr>
            <w:i w:val="0"/>
          </w:rPr>
          <w:fldChar w:fldCharType="separate"/>
        </w:r>
        <w:r w:rsidR="003E0233" w:rsidRPr="002B55E9">
          <w:rPr>
            <w:i w:val="0"/>
            <w:noProof/>
          </w:rPr>
          <w:t>140</w:t>
        </w:r>
        <w:r w:rsidR="00EF27AD" w:rsidRPr="002B55E9">
          <w:rPr>
            <w:i w:val="0"/>
          </w:rPr>
          <w:fldChar w:fldCharType="end"/>
        </w:r>
      </w:hyperlink>
    </w:p>
    <w:p w14:paraId="193BCD90" w14:textId="1144B608" w:rsidR="00D170E5" w:rsidRPr="002B55E9" w:rsidRDefault="00A8249C">
      <w:pPr>
        <w:pStyle w:val="34"/>
        <w:rPr>
          <w:rFonts w:asciiTheme="minorHAnsi" w:eastAsiaTheme="minorEastAsia" w:hAnsiTheme="minorHAnsi" w:cstheme="minorBidi"/>
          <w:kern w:val="2"/>
          <w:sz w:val="21"/>
          <w:szCs w:val="22"/>
        </w:rPr>
      </w:pPr>
      <w:hyperlink w:anchor="_Toc119309001" w:history="1">
        <w:r w:rsidR="00EF27AD" w:rsidRPr="002B55E9">
          <w:rPr>
            <w:rStyle w:val="afff7"/>
            <w:color w:val="auto"/>
          </w:rPr>
          <w:t>6.1</w:t>
        </w:r>
        <w:r w:rsidR="00EF27AD" w:rsidRPr="002B55E9">
          <w:rPr>
            <w:rFonts w:asciiTheme="minorHAnsi" w:eastAsiaTheme="minorEastAsia" w:hAnsiTheme="minorHAnsi" w:cstheme="minorBidi"/>
            <w:kern w:val="2"/>
            <w:sz w:val="21"/>
            <w:szCs w:val="22"/>
          </w:rPr>
          <w:tab/>
        </w:r>
        <w:r w:rsidR="00EF27AD" w:rsidRPr="002B55E9">
          <w:rPr>
            <w:rStyle w:val="afff7"/>
            <w:color w:val="auto"/>
          </w:rPr>
          <w:t>风险调查</w:t>
        </w:r>
        <w:r w:rsidR="00EF27AD" w:rsidRPr="002B55E9">
          <w:tab/>
        </w:r>
        <w:r w:rsidR="00EF27AD" w:rsidRPr="002B55E9">
          <w:fldChar w:fldCharType="begin"/>
        </w:r>
        <w:r w:rsidR="00EF27AD" w:rsidRPr="002B55E9">
          <w:instrText xml:space="preserve"> PAGEREF _Toc119309001 \h </w:instrText>
        </w:r>
        <w:r w:rsidR="00EF27AD" w:rsidRPr="002B55E9">
          <w:fldChar w:fldCharType="separate"/>
        </w:r>
        <w:r w:rsidR="003E0233" w:rsidRPr="002B55E9">
          <w:rPr>
            <w:noProof/>
          </w:rPr>
          <w:t>140</w:t>
        </w:r>
        <w:r w:rsidR="00EF27AD" w:rsidRPr="002B55E9">
          <w:fldChar w:fldCharType="end"/>
        </w:r>
      </w:hyperlink>
    </w:p>
    <w:p w14:paraId="2649C224" w14:textId="12DF124D" w:rsidR="00D170E5" w:rsidRPr="002B55E9" w:rsidRDefault="00A8249C">
      <w:pPr>
        <w:pStyle w:val="34"/>
        <w:rPr>
          <w:rFonts w:asciiTheme="minorHAnsi" w:eastAsiaTheme="minorEastAsia" w:hAnsiTheme="minorHAnsi" w:cstheme="minorBidi"/>
          <w:kern w:val="2"/>
          <w:sz w:val="21"/>
          <w:szCs w:val="22"/>
        </w:rPr>
      </w:pPr>
      <w:hyperlink w:anchor="_Toc119309002" w:history="1">
        <w:r w:rsidR="00EF27AD" w:rsidRPr="002B55E9">
          <w:rPr>
            <w:rStyle w:val="afff7"/>
            <w:color w:val="auto"/>
          </w:rPr>
          <w:t>6.2</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环境风险潜势初判</w:t>
        </w:r>
        <w:r w:rsidR="00EF27AD" w:rsidRPr="002B55E9">
          <w:tab/>
        </w:r>
        <w:r w:rsidR="00EF27AD" w:rsidRPr="002B55E9">
          <w:fldChar w:fldCharType="begin"/>
        </w:r>
        <w:r w:rsidR="00EF27AD" w:rsidRPr="002B55E9">
          <w:instrText xml:space="preserve"> PAGEREF _Toc119309002 \h </w:instrText>
        </w:r>
        <w:r w:rsidR="00EF27AD" w:rsidRPr="002B55E9">
          <w:fldChar w:fldCharType="separate"/>
        </w:r>
        <w:r w:rsidR="003E0233" w:rsidRPr="002B55E9">
          <w:rPr>
            <w:noProof/>
          </w:rPr>
          <w:t>148</w:t>
        </w:r>
        <w:r w:rsidR="00EF27AD" w:rsidRPr="002B55E9">
          <w:fldChar w:fldCharType="end"/>
        </w:r>
      </w:hyperlink>
    </w:p>
    <w:p w14:paraId="76A994B9" w14:textId="7E63162D" w:rsidR="00D170E5" w:rsidRPr="002B55E9" w:rsidRDefault="00A8249C">
      <w:pPr>
        <w:pStyle w:val="34"/>
        <w:rPr>
          <w:rFonts w:asciiTheme="minorHAnsi" w:eastAsiaTheme="minorEastAsia" w:hAnsiTheme="minorHAnsi" w:cstheme="minorBidi"/>
          <w:kern w:val="2"/>
          <w:sz w:val="21"/>
          <w:szCs w:val="22"/>
        </w:rPr>
      </w:pPr>
      <w:hyperlink w:anchor="_Toc119309003" w:history="1">
        <w:r w:rsidR="00EF27AD" w:rsidRPr="002B55E9">
          <w:rPr>
            <w:rStyle w:val="afff7"/>
            <w:color w:val="auto"/>
          </w:rPr>
          <w:t>6.3</w:t>
        </w:r>
        <w:r w:rsidR="00EF27AD" w:rsidRPr="002B55E9">
          <w:rPr>
            <w:rFonts w:asciiTheme="minorHAnsi" w:eastAsiaTheme="minorEastAsia" w:hAnsiTheme="minorHAnsi" w:cstheme="minorBidi"/>
            <w:kern w:val="2"/>
            <w:sz w:val="21"/>
            <w:szCs w:val="22"/>
          </w:rPr>
          <w:tab/>
        </w:r>
        <w:r w:rsidR="00EF27AD" w:rsidRPr="002B55E9">
          <w:rPr>
            <w:rStyle w:val="afff7"/>
            <w:color w:val="auto"/>
          </w:rPr>
          <w:t>评价工作等级和评价范围</w:t>
        </w:r>
        <w:r w:rsidR="00EF27AD" w:rsidRPr="002B55E9">
          <w:tab/>
        </w:r>
        <w:r w:rsidR="00EF27AD" w:rsidRPr="002B55E9">
          <w:fldChar w:fldCharType="begin"/>
        </w:r>
        <w:r w:rsidR="00EF27AD" w:rsidRPr="002B55E9">
          <w:instrText xml:space="preserve"> PAGEREF _Toc119309003 \h </w:instrText>
        </w:r>
        <w:r w:rsidR="00EF27AD" w:rsidRPr="002B55E9">
          <w:fldChar w:fldCharType="separate"/>
        </w:r>
        <w:r w:rsidR="003E0233" w:rsidRPr="002B55E9">
          <w:rPr>
            <w:noProof/>
          </w:rPr>
          <w:t>149</w:t>
        </w:r>
        <w:r w:rsidR="00EF27AD" w:rsidRPr="002B55E9">
          <w:fldChar w:fldCharType="end"/>
        </w:r>
      </w:hyperlink>
    </w:p>
    <w:p w14:paraId="62BB7F81" w14:textId="29CBFEBB" w:rsidR="00D170E5" w:rsidRPr="002B55E9" w:rsidRDefault="00A8249C">
      <w:pPr>
        <w:pStyle w:val="34"/>
        <w:rPr>
          <w:rFonts w:asciiTheme="minorHAnsi" w:eastAsiaTheme="minorEastAsia" w:hAnsiTheme="minorHAnsi" w:cstheme="minorBidi"/>
          <w:kern w:val="2"/>
          <w:sz w:val="21"/>
          <w:szCs w:val="22"/>
        </w:rPr>
      </w:pPr>
      <w:hyperlink w:anchor="_Toc119309004" w:history="1">
        <w:r w:rsidR="00EF27AD" w:rsidRPr="002B55E9">
          <w:rPr>
            <w:rStyle w:val="afff7"/>
            <w:color w:val="auto"/>
          </w:rPr>
          <w:t>6.4</w:t>
        </w:r>
        <w:r w:rsidR="00EF27AD" w:rsidRPr="002B55E9">
          <w:rPr>
            <w:rFonts w:asciiTheme="minorHAnsi" w:eastAsiaTheme="minorEastAsia" w:hAnsiTheme="minorHAnsi" w:cstheme="minorBidi"/>
            <w:kern w:val="2"/>
            <w:sz w:val="21"/>
            <w:szCs w:val="22"/>
          </w:rPr>
          <w:tab/>
        </w:r>
        <w:r w:rsidR="00EF27AD" w:rsidRPr="002B55E9">
          <w:rPr>
            <w:rStyle w:val="afff7"/>
            <w:color w:val="auto"/>
          </w:rPr>
          <w:t>风险识别</w:t>
        </w:r>
        <w:r w:rsidR="00EF27AD" w:rsidRPr="002B55E9">
          <w:tab/>
        </w:r>
        <w:r w:rsidR="00EF27AD" w:rsidRPr="002B55E9">
          <w:fldChar w:fldCharType="begin"/>
        </w:r>
        <w:r w:rsidR="00EF27AD" w:rsidRPr="002B55E9">
          <w:instrText xml:space="preserve"> PAGEREF _Toc119309004 \h </w:instrText>
        </w:r>
        <w:r w:rsidR="00EF27AD" w:rsidRPr="002B55E9">
          <w:fldChar w:fldCharType="separate"/>
        </w:r>
        <w:r w:rsidR="003E0233" w:rsidRPr="002B55E9">
          <w:rPr>
            <w:noProof/>
          </w:rPr>
          <w:t>149</w:t>
        </w:r>
        <w:r w:rsidR="00EF27AD" w:rsidRPr="002B55E9">
          <w:fldChar w:fldCharType="end"/>
        </w:r>
      </w:hyperlink>
    </w:p>
    <w:p w14:paraId="4E177345" w14:textId="75E82474" w:rsidR="00D170E5" w:rsidRPr="002B55E9" w:rsidRDefault="00A8249C">
      <w:pPr>
        <w:pStyle w:val="34"/>
        <w:rPr>
          <w:rFonts w:asciiTheme="minorHAnsi" w:eastAsiaTheme="minorEastAsia" w:hAnsiTheme="minorHAnsi" w:cstheme="minorBidi"/>
          <w:kern w:val="2"/>
          <w:sz w:val="21"/>
          <w:szCs w:val="22"/>
        </w:rPr>
      </w:pPr>
      <w:hyperlink w:anchor="_Toc119309005" w:history="1">
        <w:r w:rsidR="00EF27AD" w:rsidRPr="002B55E9">
          <w:rPr>
            <w:rStyle w:val="afff7"/>
            <w:color w:val="auto"/>
          </w:rPr>
          <w:t>6.5</w:t>
        </w:r>
        <w:r w:rsidR="00EF27AD" w:rsidRPr="002B55E9">
          <w:rPr>
            <w:rFonts w:asciiTheme="minorHAnsi" w:eastAsiaTheme="minorEastAsia" w:hAnsiTheme="minorHAnsi" w:cstheme="minorBidi"/>
            <w:kern w:val="2"/>
            <w:sz w:val="21"/>
            <w:szCs w:val="22"/>
          </w:rPr>
          <w:tab/>
        </w:r>
        <w:r w:rsidR="00EF27AD" w:rsidRPr="002B55E9">
          <w:rPr>
            <w:rStyle w:val="afff7"/>
            <w:color w:val="auto"/>
          </w:rPr>
          <w:t>风险预测与评价</w:t>
        </w:r>
        <w:r w:rsidR="00EF27AD" w:rsidRPr="002B55E9">
          <w:tab/>
        </w:r>
        <w:r w:rsidR="00EF27AD" w:rsidRPr="002B55E9">
          <w:fldChar w:fldCharType="begin"/>
        </w:r>
        <w:r w:rsidR="00EF27AD" w:rsidRPr="002B55E9">
          <w:instrText xml:space="preserve"> PAGEREF _Toc119309005 \h </w:instrText>
        </w:r>
        <w:r w:rsidR="00EF27AD" w:rsidRPr="002B55E9">
          <w:fldChar w:fldCharType="separate"/>
        </w:r>
        <w:r w:rsidR="003E0233" w:rsidRPr="002B55E9">
          <w:rPr>
            <w:noProof/>
          </w:rPr>
          <w:t>151</w:t>
        </w:r>
        <w:r w:rsidR="00EF27AD" w:rsidRPr="002B55E9">
          <w:fldChar w:fldCharType="end"/>
        </w:r>
      </w:hyperlink>
    </w:p>
    <w:p w14:paraId="74ADFE1F" w14:textId="4A59B633" w:rsidR="00D170E5" w:rsidRPr="002B55E9" w:rsidRDefault="00A8249C">
      <w:pPr>
        <w:pStyle w:val="34"/>
        <w:rPr>
          <w:rFonts w:asciiTheme="minorHAnsi" w:eastAsiaTheme="minorEastAsia" w:hAnsiTheme="minorHAnsi" w:cstheme="minorBidi"/>
          <w:kern w:val="2"/>
          <w:sz w:val="21"/>
          <w:szCs w:val="22"/>
        </w:rPr>
      </w:pPr>
      <w:hyperlink w:anchor="_Toc119309006" w:history="1">
        <w:r w:rsidR="00EF27AD" w:rsidRPr="002B55E9">
          <w:rPr>
            <w:rStyle w:val="afff7"/>
            <w:color w:val="auto"/>
          </w:rPr>
          <w:t>6.6</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环境风险管理</w:t>
        </w:r>
        <w:r w:rsidR="00EF27AD" w:rsidRPr="002B55E9">
          <w:tab/>
        </w:r>
        <w:r w:rsidR="00EF27AD" w:rsidRPr="002B55E9">
          <w:fldChar w:fldCharType="begin"/>
        </w:r>
        <w:r w:rsidR="00EF27AD" w:rsidRPr="002B55E9">
          <w:instrText xml:space="preserve"> PAGEREF _Toc119309006 \h </w:instrText>
        </w:r>
        <w:r w:rsidR="00EF27AD" w:rsidRPr="002B55E9">
          <w:fldChar w:fldCharType="separate"/>
        </w:r>
        <w:r w:rsidR="003E0233" w:rsidRPr="002B55E9">
          <w:rPr>
            <w:noProof/>
          </w:rPr>
          <w:t>164</w:t>
        </w:r>
        <w:r w:rsidR="00EF27AD" w:rsidRPr="002B55E9">
          <w:fldChar w:fldCharType="end"/>
        </w:r>
      </w:hyperlink>
    </w:p>
    <w:p w14:paraId="51FAE638" w14:textId="62E62A1E" w:rsidR="00D170E5" w:rsidRPr="002B55E9" w:rsidRDefault="00A8249C">
      <w:pPr>
        <w:pStyle w:val="34"/>
        <w:rPr>
          <w:rFonts w:asciiTheme="minorHAnsi" w:eastAsiaTheme="minorEastAsia" w:hAnsiTheme="minorHAnsi" w:cstheme="minorBidi"/>
          <w:kern w:val="2"/>
          <w:sz w:val="21"/>
          <w:szCs w:val="22"/>
        </w:rPr>
      </w:pPr>
      <w:hyperlink w:anchor="_Toc119309007" w:history="1">
        <w:r w:rsidR="00EF27AD" w:rsidRPr="002B55E9">
          <w:rPr>
            <w:rStyle w:val="afff7"/>
            <w:color w:val="auto"/>
          </w:rPr>
          <w:t>6.7</w:t>
        </w:r>
        <w:r w:rsidR="00EF27AD" w:rsidRPr="002B55E9">
          <w:rPr>
            <w:rFonts w:asciiTheme="minorHAnsi" w:eastAsiaTheme="minorEastAsia" w:hAnsiTheme="minorHAnsi" w:cstheme="minorBidi"/>
            <w:kern w:val="2"/>
            <w:sz w:val="21"/>
            <w:szCs w:val="22"/>
          </w:rPr>
          <w:tab/>
        </w:r>
        <w:r w:rsidR="00EF27AD" w:rsidRPr="002B55E9">
          <w:rPr>
            <w:rStyle w:val="afff7"/>
            <w:color w:val="auto"/>
          </w:rPr>
          <w:t>制定突发环境事件应急预案</w:t>
        </w:r>
        <w:r w:rsidR="00EF27AD" w:rsidRPr="002B55E9">
          <w:tab/>
        </w:r>
        <w:r w:rsidR="00EF27AD" w:rsidRPr="002B55E9">
          <w:fldChar w:fldCharType="begin"/>
        </w:r>
        <w:r w:rsidR="00EF27AD" w:rsidRPr="002B55E9">
          <w:instrText xml:space="preserve"> PAGEREF _Toc119309007 \h </w:instrText>
        </w:r>
        <w:r w:rsidR="00EF27AD" w:rsidRPr="002B55E9">
          <w:fldChar w:fldCharType="separate"/>
        </w:r>
        <w:r w:rsidR="003E0233" w:rsidRPr="002B55E9">
          <w:rPr>
            <w:noProof/>
          </w:rPr>
          <w:t>173</w:t>
        </w:r>
        <w:r w:rsidR="00EF27AD" w:rsidRPr="002B55E9">
          <w:fldChar w:fldCharType="end"/>
        </w:r>
      </w:hyperlink>
    </w:p>
    <w:p w14:paraId="215ECF08" w14:textId="729D1883" w:rsidR="00D170E5" w:rsidRPr="002B55E9" w:rsidRDefault="00A8249C">
      <w:pPr>
        <w:pStyle w:val="34"/>
        <w:rPr>
          <w:rFonts w:asciiTheme="minorHAnsi" w:eastAsiaTheme="minorEastAsia" w:hAnsiTheme="minorHAnsi" w:cstheme="minorBidi"/>
          <w:kern w:val="2"/>
          <w:sz w:val="21"/>
          <w:szCs w:val="22"/>
        </w:rPr>
      </w:pPr>
      <w:hyperlink w:anchor="_Toc119309008" w:history="1">
        <w:r w:rsidR="00EF27AD" w:rsidRPr="002B55E9">
          <w:rPr>
            <w:rStyle w:val="afff7"/>
            <w:color w:val="auto"/>
          </w:rPr>
          <w:t>6.8</w:t>
        </w:r>
        <w:r w:rsidR="00EF27AD" w:rsidRPr="002B55E9">
          <w:rPr>
            <w:rFonts w:asciiTheme="minorHAnsi" w:eastAsiaTheme="minorEastAsia" w:hAnsiTheme="minorHAnsi" w:cstheme="minorBidi"/>
            <w:kern w:val="2"/>
            <w:sz w:val="21"/>
            <w:szCs w:val="22"/>
          </w:rPr>
          <w:tab/>
        </w:r>
        <w:r w:rsidR="00EF27AD" w:rsidRPr="002B55E9">
          <w:rPr>
            <w:rStyle w:val="afff7"/>
            <w:color w:val="auto"/>
          </w:rPr>
          <w:t>风险评价结论与建议</w:t>
        </w:r>
        <w:r w:rsidR="00EF27AD" w:rsidRPr="002B55E9">
          <w:tab/>
        </w:r>
        <w:r w:rsidR="00EF27AD" w:rsidRPr="002B55E9">
          <w:fldChar w:fldCharType="begin"/>
        </w:r>
        <w:r w:rsidR="00EF27AD" w:rsidRPr="002B55E9">
          <w:instrText xml:space="preserve"> PAGEREF _Toc119309008 \h </w:instrText>
        </w:r>
        <w:r w:rsidR="00EF27AD" w:rsidRPr="002B55E9">
          <w:fldChar w:fldCharType="separate"/>
        </w:r>
        <w:r w:rsidR="003E0233" w:rsidRPr="002B55E9">
          <w:rPr>
            <w:noProof/>
          </w:rPr>
          <w:t>177</w:t>
        </w:r>
        <w:r w:rsidR="00EF27AD" w:rsidRPr="002B55E9">
          <w:fldChar w:fldCharType="end"/>
        </w:r>
      </w:hyperlink>
    </w:p>
    <w:p w14:paraId="4D3933D5" w14:textId="2BEAAA4A"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09" w:history="1">
        <w:r w:rsidR="00EF27AD" w:rsidRPr="002B55E9">
          <w:rPr>
            <w:rStyle w:val="afff7"/>
            <w:i w:val="0"/>
            <w:color w:val="auto"/>
          </w:rPr>
          <w:t>7</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污染防治措施分析</w:t>
        </w:r>
        <w:r w:rsidR="00EF27AD" w:rsidRPr="002B55E9">
          <w:rPr>
            <w:i w:val="0"/>
          </w:rPr>
          <w:tab/>
        </w:r>
        <w:r w:rsidR="00EF27AD" w:rsidRPr="002B55E9">
          <w:rPr>
            <w:i w:val="0"/>
          </w:rPr>
          <w:fldChar w:fldCharType="begin"/>
        </w:r>
        <w:r w:rsidR="00EF27AD" w:rsidRPr="002B55E9">
          <w:rPr>
            <w:i w:val="0"/>
          </w:rPr>
          <w:instrText xml:space="preserve"> PAGEREF _Toc119309009 \h </w:instrText>
        </w:r>
        <w:r w:rsidR="00EF27AD" w:rsidRPr="002B55E9">
          <w:rPr>
            <w:i w:val="0"/>
          </w:rPr>
        </w:r>
        <w:r w:rsidR="00EF27AD" w:rsidRPr="002B55E9">
          <w:rPr>
            <w:i w:val="0"/>
          </w:rPr>
          <w:fldChar w:fldCharType="separate"/>
        </w:r>
        <w:r w:rsidR="003E0233" w:rsidRPr="002B55E9">
          <w:rPr>
            <w:i w:val="0"/>
            <w:noProof/>
          </w:rPr>
          <w:t>180</w:t>
        </w:r>
        <w:r w:rsidR="00EF27AD" w:rsidRPr="002B55E9">
          <w:rPr>
            <w:i w:val="0"/>
          </w:rPr>
          <w:fldChar w:fldCharType="end"/>
        </w:r>
      </w:hyperlink>
    </w:p>
    <w:p w14:paraId="268648A0" w14:textId="10DD5926" w:rsidR="00D170E5" w:rsidRPr="002B55E9" w:rsidRDefault="00A8249C">
      <w:pPr>
        <w:pStyle w:val="34"/>
        <w:rPr>
          <w:rFonts w:asciiTheme="minorHAnsi" w:eastAsiaTheme="minorEastAsia" w:hAnsiTheme="minorHAnsi" w:cstheme="minorBidi"/>
          <w:kern w:val="2"/>
          <w:sz w:val="21"/>
          <w:szCs w:val="22"/>
        </w:rPr>
      </w:pPr>
      <w:hyperlink w:anchor="_Toc119309010" w:history="1">
        <w:r w:rsidR="00EF27AD" w:rsidRPr="002B55E9">
          <w:rPr>
            <w:rStyle w:val="afff7"/>
            <w:color w:val="auto"/>
          </w:rPr>
          <w:t>7.1</w:t>
        </w:r>
        <w:r w:rsidR="00EF27AD" w:rsidRPr="002B55E9">
          <w:rPr>
            <w:rFonts w:asciiTheme="minorHAnsi" w:eastAsiaTheme="minorEastAsia" w:hAnsiTheme="minorHAnsi" w:cstheme="minorBidi"/>
            <w:kern w:val="2"/>
            <w:sz w:val="21"/>
            <w:szCs w:val="22"/>
          </w:rPr>
          <w:tab/>
        </w:r>
        <w:r w:rsidR="00EF27AD" w:rsidRPr="002B55E9">
          <w:rPr>
            <w:rStyle w:val="afff7"/>
            <w:color w:val="auto"/>
          </w:rPr>
          <w:t>施工期污染防治措施</w:t>
        </w:r>
        <w:r w:rsidR="00EF27AD" w:rsidRPr="002B55E9">
          <w:tab/>
        </w:r>
        <w:r w:rsidR="00EF27AD" w:rsidRPr="002B55E9">
          <w:fldChar w:fldCharType="begin"/>
        </w:r>
        <w:r w:rsidR="00EF27AD" w:rsidRPr="002B55E9">
          <w:instrText xml:space="preserve"> PAGEREF _Toc119309010 \h </w:instrText>
        </w:r>
        <w:r w:rsidR="00EF27AD" w:rsidRPr="002B55E9">
          <w:fldChar w:fldCharType="separate"/>
        </w:r>
        <w:r w:rsidR="003E0233" w:rsidRPr="002B55E9">
          <w:rPr>
            <w:noProof/>
          </w:rPr>
          <w:t>180</w:t>
        </w:r>
        <w:r w:rsidR="00EF27AD" w:rsidRPr="002B55E9">
          <w:fldChar w:fldCharType="end"/>
        </w:r>
      </w:hyperlink>
    </w:p>
    <w:p w14:paraId="089CD83A" w14:textId="3E54EA86" w:rsidR="00D170E5" w:rsidRPr="002B55E9" w:rsidRDefault="00A8249C">
      <w:pPr>
        <w:pStyle w:val="34"/>
        <w:rPr>
          <w:rFonts w:asciiTheme="minorHAnsi" w:eastAsiaTheme="minorEastAsia" w:hAnsiTheme="minorHAnsi" w:cstheme="minorBidi"/>
          <w:kern w:val="2"/>
          <w:sz w:val="21"/>
          <w:szCs w:val="22"/>
        </w:rPr>
      </w:pPr>
      <w:hyperlink w:anchor="_Toc119309011" w:history="1">
        <w:r w:rsidR="00EF27AD" w:rsidRPr="002B55E9">
          <w:rPr>
            <w:rStyle w:val="afff7"/>
            <w:color w:val="auto"/>
          </w:rPr>
          <w:t>7.2</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运营期大气污染防治措施</w:t>
        </w:r>
        <w:r w:rsidR="00EF27AD" w:rsidRPr="002B55E9">
          <w:tab/>
        </w:r>
        <w:r w:rsidR="00EF27AD" w:rsidRPr="002B55E9">
          <w:fldChar w:fldCharType="begin"/>
        </w:r>
        <w:r w:rsidR="00EF27AD" w:rsidRPr="002B55E9">
          <w:instrText xml:space="preserve"> PAGEREF _Toc119309011 \h </w:instrText>
        </w:r>
        <w:r w:rsidR="00EF27AD" w:rsidRPr="002B55E9">
          <w:fldChar w:fldCharType="separate"/>
        </w:r>
        <w:r w:rsidR="003E0233" w:rsidRPr="002B55E9">
          <w:rPr>
            <w:noProof/>
          </w:rPr>
          <w:t>182</w:t>
        </w:r>
        <w:r w:rsidR="00EF27AD" w:rsidRPr="002B55E9">
          <w:fldChar w:fldCharType="end"/>
        </w:r>
      </w:hyperlink>
    </w:p>
    <w:p w14:paraId="041FE218" w14:textId="0EE7A65D" w:rsidR="00D170E5" w:rsidRPr="002B55E9" w:rsidRDefault="00A8249C">
      <w:pPr>
        <w:pStyle w:val="34"/>
        <w:rPr>
          <w:rFonts w:asciiTheme="minorHAnsi" w:eastAsiaTheme="minorEastAsia" w:hAnsiTheme="minorHAnsi" w:cstheme="minorBidi"/>
          <w:kern w:val="2"/>
          <w:sz w:val="21"/>
          <w:szCs w:val="22"/>
        </w:rPr>
      </w:pPr>
      <w:hyperlink w:anchor="_Toc119309012" w:history="1">
        <w:r w:rsidR="00EF27AD" w:rsidRPr="002B55E9">
          <w:rPr>
            <w:rStyle w:val="afff7"/>
            <w:color w:val="auto"/>
          </w:rPr>
          <w:t>7.3</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运营期水污染防治措施</w:t>
        </w:r>
        <w:r w:rsidR="00EF27AD" w:rsidRPr="002B55E9">
          <w:tab/>
        </w:r>
        <w:r w:rsidR="00EF27AD" w:rsidRPr="002B55E9">
          <w:fldChar w:fldCharType="begin"/>
        </w:r>
        <w:r w:rsidR="00EF27AD" w:rsidRPr="002B55E9">
          <w:instrText xml:space="preserve"> PAGEREF _Toc119309012 \h </w:instrText>
        </w:r>
        <w:r w:rsidR="00EF27AD" w:rsidRPr="002B55E9">
          <w:fldChar w:fldCharType="separate"/>
        </w:r>
        <w:r w:rsidR="003E0233" w:rsidRPr="002B55E9">
          <w:rPr>
            <w:noProof/>
          </w:rPr>
          <w:t>187</w:t>
        </w:r>
        <w:r w:rsidR="00EF27AD" w:rsidRPr="002B55E9">
          <w:fldChar w:fldCharType="end"/>
        </w:r>
      </w:hyperlink>
    </w:p>
    <w:p w14:paraId="56316EF6" w14:textId="7EAFA31E" w:rsidR="00D170E5" w:rsidRPr="002B55E9" w:rsidRDefault="00A8249C">
      <w:pPr>
        <w:pStyle w:val="34"/>
        <w:rPr>
          <w:rFonts w:asciiTheme="minorHAnsi" w:eastAsiaTheme="minorEastAsia" w:hAnsiTheme="minorHAnsi" w:cstheme="minorBidi"/>
          <w:kern w:val="2"/>
          <w:sz w:val="21"/>
          <w:szCs w:val="22"/>
        </w:rPr>
      </w:pPr>
      <w:hyperlink w:anchor="_Toc119309013" w:history="1">
        <w:r w:rsidR="00EF27AD" w:rsidRPr="002B55E9">
          <w:rPr>
            <w:rStyle w:val="afff7"/>
            <w:color w:val="auto"/>
          </w:rPr>
          <w:t>7.4</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运营期噪声污染防治措施</w:t>
        </w:r>
        <w:r w:rsidR="00EF27AD" w:rsidRPr="002B55E9">
          <w:tab/>
        </w:r>
        <w:r w:rsidR="00EF27AD" w:rsidRPr="002B55E9">
          <w:fldChar w:fldCharType="begin"/>
        </w:r>
        <w:r w:rsidR="00EF27AD" w:rsidRPr="002B55E9">
          <w:instrText xml:space="preserve"> PAGEREF _Toc119309013 \h </w:instrText>
        </w:r>
        <w:r w:rsidR="00EF27AD" w:rsidRPr="002B55E9">
          <w:fldChar w:fldCharType="separate"/>
        </w:r>
        <w:r w:rsidR="003E0233" w:rsidRPr="002B55E9">
          <w:rPr>
            <w:noProof/>
          </w:rPr>
          <w:t>189</w:t>
        </w:r>
        <w:r w:rsidR="00EF27AD" w:rsidRPr="002B55E9">
          <w:fldChar w:fldCharType="end"/>
        </w:r>
      </w:hyperlink>
    </w:p>
    <w:p w14:paraId="417AAEB4" w14:textId="46B81578" w:rsidR="00D170E5" w:rsidRPr="002B55E9" w:rsidRDefault="00A8249C">
      <w:pPr>
        <w:pStyle w:val="34"/>
        <w:rPr>
          <w:rFonts w:asciiTheme="minorHAnsi" w:eastAsiaTheme="minorEastAsia" w:hAnsiTheme="minorHAnsi" w:cstheme="minorBidi"/>
          <w:kern w:val="2"/>
          <w:sz w:val="21"/>
          <w:szCs w:val="22"/>
        </w:rPr>
      </w:pPr>
      <w:hyperlink w:anchor="_Toc119309014" w:history="1">
        <w:r w:rsidR="00EF27AD" w:rsidRPr="002B55E9">
          <w:rPr>
            <w:rStyle w:val="afff7"/>
            <w:color w:val="auto"/>
          </w:rPr>
          <w:t>7.5</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运营期固体废物防治措施</w:t>
        </w:r>
        <w:r w:rsidR="00EF27AD" w:rsidRPr="002B55E9">
          <w:tab/>
        </w:r>
        <w:r w:rsidR="00EF27AD" w:rsidRPr="002B55E9">
          <w:fldChar w:fldCharType="begin"/>
        </w:r>
        <w:r w:rsidR="00EF27AD" w:rsidRPr="002B55E9">
          <w:instrText xml:space="preserve"> PAGEREF _Toc119309014 \h </w:instrText>
        </w:r>
        <w:r w:rsidR="00EF27AD" w:rsidRPr="002B55E9">
          <w:fldChar w:fldCharType="separate"/>
        </w:r>
        <w:r w:rsidR="003E0233" w:rsidRPr="002B55E9">
          <w:rPr>
            <w:noProof/>
          </w:rPr>
          <w:t>191</w:t>
        </w:r>
        <w:r w:rsidR="00EF27AD" w:rsidRPr="002B55E9">
          <w:fldChar w:fldCharType="end"/>
        </w:r>
      </w:hyperlink>
    </w:p>
    <w:p w14:paraId="1A8D1958" w14:textId="228AEB67" w:rsidR="00D170E5" w:rsidRPr="002B55E9" w:rsidRDefault="00A8249C">
      <w:pPr>
        <w:pStyle w:val="34"/>
        <w:rPr>
          <w:rFonts w:asciiTheme="minorHAnsi" w:eastAsiaTheme="minorEastAsia" w:hAnsiTheme="minorHAnsi" w:cstheme="minorBidi"/>
          <w:kern w:val="2"/>
          <w:sz w:val="21"/>
          <w:szCs w:val="22"/>
        </w:rPr>
      </w:pPr>
      <w:hyperlink w:anchor="_Toc119309015" w:history="1">
        <w:r w:rsidR="00EF27AD" w:rsidRPr="002B55E9">
          <w:rPr>
            <w:rStyle w:val="afff7"/>
            <w:color w:val="auto"/>
          </w:rPr>
          <w:t>7.6</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运营期地下水污染防治措施</w:t>
        </w:r>
        <w:r w:rsidR="00EF27AD" w:rsidRPr="002B55E9">
          <w:tab/>
        </w:r>
        <w:r w:rsidR="00EF27AD" w:rsidRPr="002B55E9">
          <w:fldChar w:fldCharType="begin"/>
        </w:r>
        <w:r w:rsidR="00EF27AD" w:rsidRPr="002B55E9">
          <w:instrText xml:space="preserve"> PAGEREF _Toc119309015 \h </w:instrText>
        </w:r>
        <w:r w:rsidR="00EF27AD" w:rsidRPr="002B55E9">
          <w:fldChar w:fldCharType="separate"/>
        </w:r>
        <w:r w:rsidR="003E0233" w:rsidRPr="002B55E9">
          <w:rPr>
            <w:noProof/>
          </w:rPr>
          <w:t>198</w:t>
        </w:r>
        <w:r w:rsidR="00EF27AD" w:rsidRPr="002B55E9">
          <w:fldChar w:fldCharType="end"/>
        </w:r>
      </w:hyperlink>
    </w:p>
    <w:p w14:paraId="3211F24D" w14:textId="27F33E1C" w:rsidR="00D170E5" w:rsidRPr="002B55E9" w:rsidRDefault="00A8249C">
      <w:pPr>
        <w:pStyle w:val="34"/>
        <w:rPr>
          <w:rFonts w:asciiTheme="minorHAnsi" w:eastAsiaTheme="minorEastAsia" w:hAnsiTheme="minorHAnsi" w:cstheme="minorBidi"/>
          <w:kern w:val="2"/>
          <w:sz w:val="21"/>
          <w:szCs w:val="22"/>
        </w:rPr>
      </w:pPr>
      <w:hyperlink w:anchor="_Toc119309016" w:history="1">
        <w:r w:rsidR="00EF27AD" w:rsidRPr="002B55E9">
          <w:rPr>
            <w:rStyle w:val="afff7"/>
            <w:color w:val="auto"/>
          </w:rPr>
          <w:t>7.7</w:t>
        </w:r>
        <w:r w:rsidR="00EF27AD" w:rsidRPr="002B55E9">
          <w:rPr>
            <w:rFonts w:asciiTheme="minorHAnsi" w:eastAsiaTheme="minorEastAsia" w:hAnsiTheme="minorHAnsi" w:cstheme="minorBidi"/>
            <w:kern w:val="2"/>
            <w:sz w:val="21"/>
            <w:szCs w:val="22"/>
          </w:rPr>
          <w:tab/>
        </w:r>
        <w:r w:rsidR="00EF27AD" w:rsidRPr="002B55E9">
          <w:rPr>
            <w:rStyle w:val="afff7"/>
            <w:color w:val="auto"/>
          </w:rPr>
          <w:t>运营期土壤污染防治措施</w:t>
        </w:r>
        <w:r w:rsidR="00EF27AD" w:rsidRPr="002B55E9">
          <w:tab/>
        </w:r>
        <w:r w:rsidR="00EF27AD" w:rsidRPr="002B55E9">
          <w:fldChar w:fldCharType="begin"/>
        </w:r>
        <w:r w:rsidR="00EF27AD" w:rsidRPr="002B55E9">
          <w:instrText xml:space="preserve"> PAGEREF _Toc119309016 \h </w:instrText>
        </w:r>
        <w:r w:rsidR="00EF27AD" w:rsidRPr="002B55E9">
          <w:fldChar w:fldCharType="separate"/>
        </w:r>
        <w:r w:rsidR="003E0233" w:rsidRPr="002B55E9">
          <w:rPr>
            <w:noProof/>
          </w:rPr>
          <w:t>201</w:t>
        </w:r>
        <w:r w:rsidR="00EF27AD" w:rsidRPr="002B55E9">
          <w:fldChar w:fldCharType="end"/>
        </w:r>
      </w:hyperlink>
    </w:p>
    <w:p w14:paraId="758949B0" w14:textId="2C8071FF" w:rsidR="00D170E5" w:rsidRPr="002B55E9" w:rsidRDefault="00A8249C">
      <w:pPr>
        <w:pStyle w:val="34"/>
        <w:rPr>
          <w:rFonts w:asciiTheme="minorHAnsi" w:eastAsiaTheme="minorEastAsia" w:hAnsiTheme="minorHAnsi" w:cstheme="minorBidi"/>
          <w:kern w:val="2"/>
          <w:sz w:val="21"/>
          <w:szCs w:val="22"/>
        </w:rPr>
      </w:pPr>
      <w:hyperlink w:anchor="_Toc119309017" w:history="1">
        <w:r w:rsidR="00EF27AD" w:rsidRPr="002B55E9">
          <w:rPr>
            <w:rStyle w:val="afff7"/>
            <w:color w:val="auto"/>
          </w:rPr>
          <w:t>7.8</w:t>
        </w:r>
        <w:r w:rsidR="00EF27AD" w:rsidRPr="002B55E9">
          <w:rPr>
            <w:rFonts w:asciiTheme="minorHAnsi" w:eastAsiaTheme="minorEastAsia" w:hAnsiTheme="minorHAnsi" w:cstheme="minorBidi"/>
            <w:kern w:val="2"/>
            <w:sz w:val="21"/>
            <w:szCs w:val="22"/>
          </w:rPr>
          <w:tab/>
        </w:r>
        <w:r w:rsidR="00EF27AD" w:rsidRPr="002B55E9">
          <w:rPr>
            <w:rStyle w:val="afff7"/>
            <w:color w:val="auto"/>
          </w:rPr>
          <w:t>环保措施投资及实施计划</w:t>
        </w:r>
        <w:r w:rsidR="00EF27AD" w:rsidRPr="002B55E9">
          <w:tab/>
        </w:r>
        <w:r w:rsidR="00EF27AD" w:rsidRPr="002B55E9">
          <w:fldChar w:fldCharType="begin"/>
        </w:r>
        <w:r w:rsidR="00EF27AD" w:rsidRPr="002B55E9">
          <w:instrText xml:space="preserve"> PAGEREF _Toc119309017 \h </w:instrText>
        </w:r>
        <w:r w:rsidR="00EF27AD" w:rsidRPr="002B55E9">
          <w:fldChar w:fldCharType="separate"/>
        </w:r>
        <w:r w:rsidR="003E0233" w:rsidRPr="002B55E9">
          <w:rPr>
            <w:noProof/>
          </w:rPr>
          <w:t>202</w:t>
        </w:r>
        <w:r w:rsidR="00EF27AD" w:rsidRPr="002B55E9">
          <w:fldChar w:fldCharType="end"/>
        </w:r>
      </w:hyperlink>
    </w:p>
    <w:p w14:paraId="2EDCDD59" w14:textId="22719897"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18" w:history="1">
        <w:r w:rsidR="00EF27AD" w:rsidRPr="002B55E9">
          <w:rPr>
            <w:rStyle w:val="afff7"/>
            <w:i w:val="0"/>
            <w:color w:val="auto"/>
          </w:rPr>
          <w:t>8</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清洁生产和总量控制</w:t>
        </w:r>
        <w:r w:rsidR="00EF27AD" w:rsidRPr="002B55E9">
          <w:rPr>
            <w:i w:val="0"/>
          </w:rPr>
          <w:tab/>
        </w:r>
        <w:r w:rsidR="00EF27AD" w:rsidRPr="002B55E9">
          <w:rPr>
            <w:i w:val="0"/>
          </w:rPr>
          <w:fldChar w:fldCharType="begin"/>
        </w:r>
        <w:r w:rsidR="00EF27AD" w:rsidRPr="002B55E9">
          <w:rPr>
            <w:i w:val="0"/>
          </w:rPr>
          <w:instrText xml:space="preserve"> PAGEREF _Toc119309018 \h </w:instrText>
        </w:r>
        <w:r w:rsidR="00EF27AD" w:rsidRPr="002B55E9">
          <w:rPr>
            <w:i w:val="0"/>
          </w:rPr>
        </w:r>
        <w:r w:rsidR="00EF27AD" w:rsidRPr="002B55E9">
          <w:rPr>
            <w:i w:val="0"/>
          </w:rPr>
          <w:fldChar w:fldCharType="separate"/>
        </w:r>
        <w:r w:rsidR="003E0233" w:rsidRPr="002B55E9">
          <w:rPr>
            <w:i w:val="0"/>
            <w:noProof/>
          </w:rPr>
          <w:t>204</w:t>
        </w:r>
        <w:r w:rsidR="00EF27AD" w:rsidRPr="002B55E9">
          <w:rPr>
            <w:i w:val="0"/>
          </w:rPr>
          <w:fldChar w:fldCharType="end"/>
        </w:r>
      </w:hyperlink>
    </w:p>
    <w:p w14:paraId="6A247546" w14:textId="0B24CD20" w:rsidR="00D170E5" w:rsidRPr="002B55E9" w:rsidRDefault="00A8249C">
      <w:pPr>
        <w:pStyle w:val="34"/>
        <w:rPr>
          <w:rFonts w:asciiTheme="minorHAnsi" w:eastAsiaTheme="minorEastAsia" w:hAnsiTheme="minorHAnsi" w:cstheme="minorBidi"/>
          <w:kern w:val="2"/>
          <w:sz w:val="21"/>
          <w:szCs w:val="22"/>
        </w:rPr>
      </w:pPr>
      <w:hyperlink w:anchor="_Toc119309019" w:history="1">
        <w:r w:rsidR="00EF27AD" w:rsidRPr="002B55E9">
          <w:rPr>
            <w:rStyle w:val="afff7"/>
            <w:color w:val="auto"/>
          </w:rPr>
          <w:t>8.1</w:t>
        </w:r>
        <w:r w:rsidR="00EF27AD" w:rsidRPr="002B55E9">
          <w:rPr>
            <w:rFonts w:asciiTheme="minorHAnsi" w:eastAsiaTheme="minorEastAsia" w:hAnsiTheme="minorHAnsi" w:cstheme="minorBidi"/>
            <w:kern w:val="2"/>
            <w:sz w:val="21"/>
            <w:szCs w:val="22"/>
          </w:rPr>
          <w:tab/>
        </w:r>
        <w:r w:rsidR="00EF27AD" w:rsidRPr="002B55E9">
          <w:rPr>
            <w:rStyle w:val="afff7"/>
            <w:color w:val="auto"/>
          </w:rPr>
          <w:t>清洁生产符合性分析</w:t>
        </w:r>
        <w:r w:rsidR="00EF27AD" w:rsidRPr="002B55E9">
          <w:tab/>
        </w:r>
        <w:r w:rsidR="00EF27AD" w:rsidRPr="002B55E9">
          <w:fldChar w:fldCharType="begin"/>
        </w:r>
        <w:r w:rsidR="00EF27AD" w:rsidRPr="002B55E9">
          <w:instrText xml:space="preserve"> PAGEREF _Toc119309019 \h </w:instrText>
        </w:r>
        <w:r w:rsidR="00EF27AD" w:rsidRPr="002B55E9">
          <w:fldChar w:fldCharType="separate"/>
        </w:r>
        <w:r w:rsidR="003E0233" w:rsidRPr="002B55E9">
          <w:rPr>
            <w:noProof/>
          </w:rPr>
          <w:t>204</w:t>
        </w:r>
        <w:r w:rsidR="00EF27AD" w:rsidRPr="002B55E9">
          <w:fldChar w:fldCharType="end"/>
        </w:r>
      </w:hyperlink>
    </w:p>
    <w:p w14:paraId="13B3E562" w14:textId="67501171" w:rsidR="00D170E5" w:rsidRPr="002B55E9" w:rsidRDefault="00A8249C">
      <w:pPr>
        <w:pStyle w:val="34"/>
        <w:rPr>
          <w:rFonts w:asciiTheme="minorHAnsi" w:eastAsiaTheme="minorEastAsia" w:hAnsiTheme="minorHAnsi" w:cstheme="minorBidi"/>
          <w:kern w:val="2"/>
          <w:sz w:val="21"/>
          <w:szCs w:val="22"/>
        </w:rPr>
      </w:pPr>
      <w:hyperlink w:anchor="_Toc119309020" w:history="1">
        <w:r w:rsidR="00EF27AD" w:rsidRPr="002B55E9">
          <w:rPr>
            <w:rStyle w:val="afff7"/>
            <w:color w:val="auto"/>
          </w:rPr>
          <w:t>8.2</w:t>
        </w:r>
        <w:r w:rsidR="00EF27AD" w:rsidRPr="002B55E9">
          <w:rPr>
            <w:rFonts w:asciiTheme="minorHAnsi" w:eastAsiaTheme="minorEastAsia" w:hAnsiTheme="minorHAnsi" w:cstheme="minorBidi"/>
            <w:kern w:val="2"/>
            <w:sz w:val="21"/>
            <w:szCs w:val="22"/>
          </w:rPr>
          <w:tab/>
        </w:r>
        <w:r w:rsidR="00EF27AD" w:rsidRPr="002B55E9">
          <w:rPr>
            <w:rStyle w:val="afff7"/>
            <w:color w:val="auto"/>
          </w:rPr>
          <w:t>总量控制</w:t>
        </w:r>
        <w:r w:rsidR="00EF27AD" w:rsidRPr="002B55E9">
          <w:tab/>
        </w:r>
        <w:r w:rsidR="00EF27AD" w:rsidRPr="002B55E9">
          <w:fldChar w:fldCharType="begin"/>
        </w:r>
        <w:r w:rsidR="00EF27AD" w:rsidRPr="002B55E9">
          <w:instrText xml:space="preserve"> PAGEREF _Toc119309020 \h </w:instrText>
        </w:r>
        <w:r w:rsidR="00EF27AD" w:rsidRPr="002B55E9">
          <w:fldChar w:fldCharType="separate"/>
        </w:r>
        <w:r w:rsidR="003E0233" w:rsidRPr="002B55E9">
          <w:rPr>
            <w:noProof/>
          </w:rPr>
          <w:t>207</w:t>
        </w:r>
        <w:r w:rsidR="00EF27AD" w:rsidRPr="002B55E9">
          <w:fldChar w:fldCharType="end"/>
        </w:r>
      </w:hyperlink>
    </w:p>
    <w:p w14:paraId="7773AA1A" w14:textId="4F67C075"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21" w:history="1">
        <w:r w:rsidR="00EF27AD" w:rsidRPr="002B55E9">
          <w:rPr>
            <w:rStyle w:val="afff7"/>
            <w:i w:val="0"/>
            <w:color w:val="auto"/>
          </w:rPr>
          <w:t>9</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产业政策与规划符合性分析</w:t>
        </w:r>
        <w:r w:rsidR="00EF27AD" w:rsidRPr="002B55E9">
          <w:rPr>
            <w:i w:val="0"/>
          </w:rPr>
          <w:tab/>
        </w:r>
        <w:r w:rsidR="00EF27AD" w:rsidRPr="002B55E9">
          <w:rPr>
            <w:i w:val="0"/>
          </w:rPr>
          <w:fldChar w:fldCharType="begin"/>
        </w:r>
        <w:r w:rsidR="00EF27AD" w:rsidRPr="002B55E9">
          <w:rPr>
            <w:i w:val="0"/>
          </w:rPr>
          <w:instrText xml:space="preserve"> PAGEREF _Toc119309021 \h </w:instrText>
        </w:r>
        <w:r w:rsidR="00EF27AD" w:rsidRPr="002B55E9">
          <w:rPr>
            <w:i w:val="0"/>
          </w:rPr>
        </w:r>
        <w:r w:rsidR="00EF27AD" w:rsidRPr="002B55E9">
          <w:rPr>
            <w:i w:val="0"/>
          </w:rPr>
          <w:fldChar w:fldCharType="separate"/>
        </w:r>
        <w:r w:rsidR="003E0233" w:rsidRPr="002B55E9">
          <w:rPr>
            <w:i w:val="0"/>
            <w:noProof/>
          </w:rPr>
          <w:t>209</w:t>
        </w:r>
        <w:r w:rsidR="00EF27AD" w:rsidRPr="002B55E9">
          <w:rPr>
            <w:i w:val="0"/>
          </w:rPr>
          <w:fldChar w:fldCharType="end"/>
        </w:r>
      </w:hyperlink>
    </w:p>
    <w:p w14:paraId="2B51AEEB" w14:textId="2A8908C3" w:rsidR="00D170E5" w:rsidRPr="002B55E9" w:rsidRDefault="00A8249C">
      <w:pPr>
        <w:pStyle w:val="34"/>
        <w:rPr>
          <w:rFonts w:asciiTheme="minorHAnsi" w:eastAsiaTheme="minorEastAsia" w:hAnsiTheme="minorHAnsi" w:cstheme="minorBidi"/>
          <w:kern w:val="2"/>
          <w:sz w:val="21"/>
          <w:szCs w:val="22"/>
        </w:rPr>
      </w:pPr>
      <w:hyperlink w:anchor="_Toc119309022" w:history="1">
        <w:r w:rsidR="00EF27AD" w:rsidRPr="002B55E9">
          <w:rPr>
            <w:rStyle w:val="afff7"/>
            <w:color w:val="auto"/>
          </w:rPr>
          <w:t>9.1</w:t>
        </w:r>
        <w:r w:rsidR="00EF27AD" w:rsidRPr="002B55E9">
          <w:rPr>
            <w:rFonts w:asciiTheme="minorHAnsi" w:eastAsiaTheme="minorEastAsia" w:hAnsiTheme="minorHAnsi" w:cstheme="minorBidi"/>
            <w:kern w:val="2"/>
            <w:sz w:val="21"/>
            <w:szCs w:val="22"/>
          </w:rPr>
          <w:tab/>
        </w:r>
        <w:r w:rsidR="00EF27AD" w:rsidRPr="002B55E9">
          <w:rPr>
            <w:rStyle w:val="afff7"/>
            <w:color w:val="auto"/>
          </w:rPr>
          <w:t>产业政策符合性分析</w:t>
        </w:r>
        <w:r w:rsidR="00EF27AD" w:rsidRPr="002B55E9">
          <w:tab/>
        </w:r>
        <w:r w:rsidR="00EF27AD" w:rsidRPr="002B55E9">
          <w:fldChar w:fldCharType="begin"/>
        </w:r>
        <w:r w:rsidR="00EF27AD" w:rsidRPr="002B55E9">
          <w:instrText xml:space="preserve"> PAGEREF _Toc119309022 \h </w:instrText>
        </w:r>
        <w:r w:rsidR="00EF27AD" w:rsidRPr="002B55E9">
          <w:fldChar w:fldCharType="separate"/>
        </w:r>
        <w:r w:rsidR="003E0233" w:rsidRPr="002B55E9">
          <w:rPr>
            <w:noProof/>
          </w:rPr>
          <w:t>209</w:t>
        </w:r>
        <w:r w:rsidR="00EF27AD" w:rsidRPr="002B55E9">
          <w:fldChar w:fldCharType="end"/>
        </w:r>
      </w:hyperlink>
    </w:p>
    <w:p w14:paraId="77B0306E" w14:textId="3C9B64EC" w:rsidR="00D170E5" w:rsidRPr="002B55E9" w:rsidRDefault="00A8249C">
      <w:pPr>
        <w:pStyle w:val="34"/>
        <w:rPr>
          <w:rFonts w:asciiTheme="minorHAnsi" w:eastAsiaTheme="minorEastAsia" w:hAnsiTheme="minorHAnsi" w:cstheme="minorBidi"/>
          <w:kern w:val="2"/>
          <w:sz w:val="21"/>
          <w:szCs w:val="22"/>
        </w:rPr>
      </w:pPr>
      <w:hyperlink w:anchor="_Toc119309023" w:history="1">
        <w:r w:rsidR="00EF27AD" w:rsidRPr="002B55E9">
          <w:rPr>
            <w:rStyle w:val="afff7"/>
            <w:color w:val="auto"/>
          </w:rPr>
          <w:t>9.2</w:t>
        </w:r>
        <w:r w:rsidR="00EF27AD" w:rsidRPr="002B55E9">
          <w:rPr>
            <w:rFonts w:asciiTheme="minorHAnsi" w:eastAsiaTheme="minorEastAsia" w:hAnsiTheme="minorHAnsi" w:cstheme="minorBidi"/>
            <w:kern w:val="2"/>
            <w:sz w:val="21"/>
            <w:szCs w:val="22"/>
          </w:rPr>
          <w:tab/>
        </w:r>
        <w:r w:rsidR="00EF27AD" w:rsidRPr="002B55E9">
          <w:rPr>
            <w:rStyle w:val="afff7"/>
            <w:color w:val="auto"/>
          </w:rPr>
          <w:t>城市总体规划符合性</w:t>
        </w:r>
        <w:r w:rsidR="00EF27AD" w:rsidRPr="002B55E9">
          <w:tab/>
        </w:r>
        <w:r w:rsidR="00EF27AD" w:rsidRPr="002B55E9">
          <w:fldChar w:fldCharType="begin"/>
        </w:r>
        <w:r w:rsidR="00EF27AD" w:rsidRPr="002B55E9">
          <w:instrText xml:space="preserve"> PAGEREF _Toc119309023 \h </w:instrText>
        </w:r>
        <w:r w:rsidR="00EF27AD" w:rsidRPr="002B55E9">
          <w:fldChar w:fldCharType="separate"/>
        </w:r>
        <w:r w:rsidR="003E0233" w:rsidRPr="002B55E9">
          <w:rPr>
            <w:noProof/>
          </w:rPr>
          <w:t>209</w:t>
        </w:r>
        <w:r w:rsidR="00EF27AD" w:rsidRPr="002B55E9">
          <w:fldChar w:fldCharType="end"/>
        </w:r>
      </w:hyperlink>
    </w:p>
    <w:p w14:paraId="3D3EDB9B" w14:textId="0FF988D1" w:rsidR="00D170E5" w:rsidRPr="002B55E9" w:rsidRDefault="00A8249C">
      <w:pPr>
        <w:pStyle w:val="34"/>
        <w:rPr>
          <w:rFonts w:asciiTheme="minorHAnsi" w:eastAsiaTheme="minorEastAsia" w:hAnsiTheme="minorHAnsi" w:cstheme="minorBidi"/>
          <w:kern w:val="2"/>
          <w:sz w:val="21"/>
          <w:szCs w:val="22"/>
        </w:rPr>
      </w:pPr>
      <w:hyperlink w:anchor="_Toc119309024" w:history="1">
        <w:r w:rsidR="00EF27AD" w:rsidRPr="002B55E9">
          <w:rPr>
            <w:rStyle w:val="afff7"/>
            <w:color w:val="auto"/>
          </w:rPr>
          <w:t>9.3</w:t>
        </w:r>
        <w:r w:rsidR="00EF27AD" w:rsidRPr="002B55E9">
          <w:rPr>
            <w:rFonts w:asciiTheme="minorHAnsi" w:eastAsiaTheme="minorEastAsia" w:hAnsiTheme="minorHAnsi" w:cstheme="minorBidi"/>
            <w:kern w:val="2"/>
            <w:sz w:val="21"/>
            <w:szCs w:val="22"/>
          </w:rPr>
          <w:tab/>
        </w:r>
        <w:r w:rsidR="00EF27AD" w:rsidRPr="002B55E9">
          <w:rPr>
            <w:rStyle w:val="afff7"/>
            <w:color w:val="auto"/>
          </w:rPr>
          <w:t>与相关水体规划符合性分析</w:t>
        </w:r>
        <w:r w:rsidR="00EF27AD" w:rsidRPr="002B55E9">
          <w:tab/>
        </w:r>
        <w:r w:rsidR="00EF27AD" w:rsidRPr="002B55E9">
          <w:fldChar w:fldCharType="begin"/>
        </w:r>
        <w:r w:rsidR="00EF27AD" w:rsidRPr="002B55E9">
          <w:instrText xml:space="preserve"> PAGEREF _Toc119309024 \h </w:instrText>
        </w:r>
        <w:r w:rsidR="00EF27AD" w:rsidRPr="002B55E9">
          <w:fldChar w:fldCharType="separate"/>
        </w:r>
        <w:r w:rsidR="003E0233" w:rsidRPr="002B55E9">
          <w:rPr>
            <w:noProof/>
          </w:rPr>
          <w:t>214</w:t>
        </w:r>
        <w:r w:rsidR="00EF27AD" w:rsidRPr="002B55E9">
          <w:fldChar w:fldCharType="end"/>
        </w:r>
      </w:hyperlink>
    </w:p>
    <w:p w14:paraId="2F7B95A9" w14:textId="40F7C566" w:rsidR="00D170E5" w:rsidRPr="002B55E9" w:rsidRDefault="00A8249C">
      <w:pPr>
        <w:pStyle w:val="34"/>
        <w:rPr>
          <w:rFonts w:asciiTheme="minorHAnsi" w:eastAsiaTheme="minorEastAsia" w:hAnsiTheme="minorHAnsi" w:cstheme="minorBidi"/>
          <w:kern w:val="2"/>
          <w:sz w:val="21"/>
          <w:szCs w:val="22"/>
        </w:rPr>
      </w:pPr>
      <w:hyperlink w:anchor="_Toc119309025" w:history="1">
        <w:r w:rsidR="00EF27AD" w:rsidRPr="002B55E9">
          <w:rPr>
            <w:rStyle w:val="afff7"/>
            <w:color w:val="auto"/>
          </w:rPr>
          <w:t>9.4</w:t>
        </w:r>
        <w:r w:rsidR="00EF27AD" w:rsidRPr="002B55E9">
          <w:rPr>
            <w:rFonts w:asciiTheme="minorHAnsi" w:eastAsiaTheme="minorEastAsia" w:hAnsiTheme="minorHAnsi" w:cstheme="minorBidi"/>
            <w:kern w:val="2"/>
            <w:sz w:val="21"/>
            <w:szCs w:val="22"/>
          </w:rPr>
          <w:tab/>
        </w:r>
        <w:r w:rsidR="00EF27AD" w:rsidRPr="002B55E9">
          <w:rPr>
            <w:rStyle w:val="afff7"/>
            <w:color w:val="auto"/>
          </w:rPr>
          <w:t>与三线一单符合性分析</w:t>
        </w:r>
        <w:r w:rsidR="00EF27AD" w:rsidRPr="002B55E9">
          <w:tab/>
        </w:r>
        <w:r w:rsidR="00EF27AD" w:rsidRPr="002B55E9">
          <w:fldChar w:fldCharType="begin"/>
        </w:r>
        <w:r w:rsidR="00EF27AD" w:rsidRPr="002B55E9">
          <w:instrText xml:space="preserve"> PAGEREF _Toc119309025 \h </w:instrText>
        </w:r>
        <w:r w:rsidR="00EF27AD" w:rsidRPr="002B55E9">
          <w:fldChar w:fldCharType="separate"/>
        </w:r>
        <w:r w:rsidR="003E0233" w:rsidRPr="002B55E9">
          <w:rPr>
            <w:noProof/>
          </w:rPr>
          <w:t>218</w:t>
        </w:r>
        <w:r w:rsidR="00EF27AD" w:rsidRPr="002B55E9">
          <w:fldChar w:fldCharType="end"/>
        </w:r>
      </w:hyperlink>
    </w:p>
    <w:p w14:paraId="332951C2" w14:textId="0A4EB6CD" w:rsidR="00D170E5" w:rsidRPr="002B55E9" w:rsidRDefault="00A8249C">
      <w:pPr>
        <w:pStyle w:val="34"/>
        <w:rPr>
          <w:rFonts w:asciiTheme="minorHAnsi" w:eastAsiaTheme="minorEastAsia" w:hAnsiTheme="minorHAnsi" w:cstheme="minorBidi"/>
          <w:kern w:val="2"/>
          <w:sz w:val="21"/>
          <w:szCs w:val="22"/>
        </w:rPr>
      </w:pPr>
      <w:hyperlink w:anchor="_Toc119309026" w:history="1">
        <w:r w:rsidR="00EF27AD" w:rsidRPr="002B55E9">
          <w:rPr>
            <w:rStyle w:val="afff7"/>
            <w:color w:val="auto"/>
          </w:rPr>
          <w:t>9.5</w:t>
        </w:r>
        <w:r w:rsidR="00EF27AD" w:rsidRPr="002B55E9">
          <w:rPr>
            <w:rFonts w:asciiTheme="minorHAnsi" w:eastAsiaTheme="minorEastAsia" w:hAnsiTheme="minorHAnsi" w:cstheme="minorBidi"/>
            <w:kern w:val="2"/>
            <w:sz w:val="21"/>
            <w:szCs w:val="22"/>
          </w:rPr>
          <w:tab/>
        </w:r>
        <w:r w:rsidR="00EF27AD" w:rsidRPr="002B55E9">
          <w:rPr>
            <w:rStyle w:val="afff7"/>
            <w:color w:val="auto"/>
          </w:rPr>
          <w:t>与《关于实施</w:t>
        </w:r>
        <w:r w:rsidR="00EF27AD" w:rsidRPr="002B55E9">
          <w:rPr>
            <w:rStyle w:val="afff7"/>
            <w:color w:val="auto"/>
          </w:rPr>
          <w:t>“</w:t>
        </w:r>
        <w:r w:rsidR="00EF27AD" w:rsidRPr="002B55E9">
          <w:rPr>
            <w:rStyle w:val="afff7"/>
            <w:color w:val="auto"/>
          </w:rPr>
          <w:t>三线一单</w:t>
        </w:r>
        <w:r w:rsidR="00EF27AD" w:rsidRPr="002B55E9">
          <w:rPr>
            <w:rStyle w:val="afff7"/>
            <w:color w:val="auto"/>
          </w:rPr>
          <w:t>”</w:t>
        </w:r>
        <w:r w:rsidR="00EF27AD" w:rsidRPr="002B55E9">
          <w:rPr>
            <w:rStyle w:val="afff7"/>
            <w:color w:val="auto"/>
          </w:rPr>
          <w:t>生态环境分区管控的指导意见（试行）》符合性分析</w:t>
        </w:r>
        <w:r w:rsidR="00EF27AD" w:rsidRPr="002B55E9">
          <w:tab/>
        </w:r>
        <w:r w:rsidR="00EF27AD" w:rsidRPr="002B55E9">
          <w:fldChar w:fldCharType="begin"/>
        </w:r>
        <w:r w:rsidR="00EF27AD" w:rsidRPr="002B55E9">
          <w:instrText xml:space="preserve"> PAGEREF _Toc119309026 \h </w:instrText>
        </w:r>
        <w:r w:rsidR="00EF27AD" w:rsidRPr="002B55E9">
          <w:fldChar w:fldCharType="separate"/>
        </w:r>
        <w:r w:rsidR="003E0233" w:rsidRPr="002B55E9">
          <w:rPr>
            <w:noProof/>
          </w:rPr>
          <w:t>219</w:t>
        </w:r>
        <w:r w:rsidR="00EF27AD" w:rsidRPr="002B55E9">
          <w:fldChar w:fldCharType="end"/>
        </w:r>
      </w:hyperlink>
    </w:p>
    <w:p w14:paraId="53323F64" w14:textId="687D1289" w:rsidR="00D170E5" w:rsidRPr="002B55E9" w:rsidRDefault="00A8249C">
      <w:pPr>
        <w:pStyle w:val="34"/>
        <w:rPr>
          <w:rFonts w:asciiTheme="minorHAnsi" w:eastAsiaTheme="minorEastAsia" w:hAnsiTheme="minorHAnsi" w:cstheme="minorBidi"/>
          <w:kern w:val="2"/>
          <w:sz w:val="21"/>
          <w:szCs w:val="22"/>
        </w:rPr>
      </w:pPr>
      <w:hyperlink w:anchor="_Toc119309027" w:history="1">
        <w:r w:rsidR="00EF27AD" w:rsidRPr="002B55E9">
          <w:rPr>
            <w:rStyle w:val="afff7"/>
            <w:color w:val="auto"/>
          </w:rPr>
          <w:t>9.6</w:t>
        </w:r>
        <w:r w:rsidR="00EF27AD" w:rsidRPr="002B55E9">
          <w:rPr>
            <w:rFonts w:asciiTheme="minorHAnsi" w:eastAsiaTheme="minorEastAsia" w:hAnsiTheme="minorHAnsi" w:cstheme="minorBidi"/>
            <w:kern w:val="2"/>
            <w:sz w:val="21"/>
            <w:szCs w:val="22"/>
          </w:rPr>
          <w:tab/>
        </w:r>
        <w:r w:rsidR="00EF27AD" w:rsidRPr="002B55E9">
          <w:rPr>
            <w:rStyle w:val="afff7"/>
            <w:color w:val="auto"/>
          </w:rPr>
          <w:t>与《省人民政府关于加快实施</w:t>
        </w:r>
        <w:r w:rsidR="00EF27AD" w:rsidRPr="002B55E9">
          <w:rPr>
            <w:rStyle w:val="afff7"/>
            <w:color w:val="auto"/>
          </w:rPr>
          <w:t>“</w:t>
        </w:r>
        <w:r w:rsidR="00EF27AD" w:rsidRPr="002B55E9">
          <w:rPr>
            <w:rStyle w:val="afff7"/>
            <w:color w:val="auto"/>
          </w:rPr>
          <w:t>三线一单</w:t>
        </w:r>
        <w:r w:rsidR="00EF27AD" w:rsidRPr="002B55E9">
          <w:rPr>
            <w:rStyle w:val="afff7"/>
            <w:color w:val="auto"/>
          </w:rPr>
          <w:t>”</w:t>
        </w:r>
        <w:r w:rsidR="00EF27AD" w:rsidRPr="002B55E9">
          <w:rPr>
            <w:rStyle w:val="afff7"/>
            <w:color w:val="auto"/>
          </w:rPr>
          <w:t>生态环境分区管控的意见》符合性分析</w:t>
        </w:r>
        <w:r w:rsidR="00EF27AD" w:rsidRPr="002B55E9">
          <w:tab/>
        </w:r>
        <w:r w:rsidR="00EF27AD" w:rsidRPr="002B55E9">
          <w:fldChar w:fldCharType="begin"/>
        </w:r>
        <w:r w:rsidR="00EF27AD" w:rsidRPr="002B55E9">
          <w:instrText xml:space="preserve"> PAGEREF _Toc119309027 \h </w:instrText>
        </w:r>
        <w:r w:rsidR="00EF27AD" w:rsidRPr="002B55E9">
          <w:fldChar w:fldCharType="separate"/>
        </w:r>
        <w:r w:rsidR="003E0233" w:rsidRPr="002B55E9">
          <w:rPr>
            <w:noProof/>
          </w:rPr>
          <w:t>220</w:t>
        </w:r>
        <w:r w:rsidR="00EF27AD" w:rsidRPr="002B55E9">
          <w:fldChar w:fldCharType="end"/>
        </w:r>
      </w:hyperlink>
    </w:p>
    <w:p w14:paraId="49B6B6D8" w14:textId="3C9729C5" w:rsidR="00D170E5" w:rsidRPr="002B55E9" w:rsidRDefault="00A8249C">
      <w:pPr>
        <w:pStyle w:val="34"/>
        <w:rPr>
          <w:rFonts w:asciiTheme="minorHAnsi" w:eastAsiaTheme="minorEastAsia" w:hAnsiTheme="minorHAnsi" w:cstheme="minorBidi"/>
          <w:kern w:val="2"/>
          <w:sz w:val="21"/>
          <w:szCs w:val="22"/>
        </w:rPr>
      </w:pPr>
      <w:hyperlink w:anchor="_Toc119309028" w:history="1">
        <w:r w:rsidR="00EF27AD" w:rsidRPr="002B55E9">
          <w:rPr>
            <w:rStyle w:val="afff7"/>
            <w:color w:val="auto"/>
          </w:rPr>
          <w:t>9.7</w:t>
        </w:r>
        <w:r w:rsidR="00EF27AD" w:rsidRPr="002B55E9">
          <w:rPr>
            <w:rFonts w:asciiTheme="minorHAnsi" w:eastAsiaTheme="minorEastAsia" w:hAnsiTheme="minorHAnsi" w:cstheme="minorBidi"/>
            <w:kern w:val="2"/>
            <w:sz w:val="21"/>
            <w:szCs w:val="22"/>
          </w:rPr>
          <w:tab/>
        </w:r>
        <w:r w:rsidR="00EF27AD" w:rsidRPr="002B55E9">
          <w:rPr>
            <w:rStyle w:val="afff7"/>
            <w:color w:val="auto"/>
          </w:rPr>
          <w:t>与《武汉市</w:t>
        </w:r>
        <w:r w:rsidR="00EF27AD" w:rsidRPr="002B55E9">
          <w:rPr>
            <w:rStyle w:val="afff7"/>
            <w:color w:val="auto"/>
          </w:rPr>
          <w:t>“</w:t>
        </w:r>
        <w:r w:rsidR="00EF27AD" w:rsidRPr="002B55E9">
          <w:rPr>
            <w:rStyle w:val="afff7"/>
            <w:color w:val="auto"/>
          </w:rPr>
          <w:t>三线一单</w:t>
        </w:r>
        <w:r w:rsidR="00EF27AD" w:rsidRPr="002B55E9">
          <w:rPr>
            <w:rStyle w:val="afff7"/>
            <w:color w:val="auto"/>
          </w:rPr>
          <w:t>”</w:t>
        </w:r>
        <w:r w:rsidR="00EF27AD" w:rsidRPr="002B55E9">
          <w:rPr>
            <w:rStyle w:val="afff7"/>
            <w:color w:val="auto"/>
          </w:rPr>
          <w:t>生态环境分区管控方案》符合性分析</w:t>
        </w:r>
        <w:r w:rsidR="00EF27AD" w:rsidRPr="002B55E9">
          <w:tab/>
        </w:r>
        <w:r w:rsidR="00EF27AD" w:rsidRPr="002B55E9">
          <w:fldChar w:fldCharType="begin"/>
        </w:r>
        <w:r w:rsidR="00EF27AD" w:rsidRPr="002B55E9">
          <w:instrText xml:space="preserve"> PAGEREF _Toc119309028 \h </w:instrText>
        </w:r>
        <w:r w:rsidR="00EF27AD" w:rsidRPr="002B55E9">
          <w:fldChar w:fldCharType="separate"/>
        </w:r>
        <w:r w:rsidR="003E0233" w:rsidRPr="002B55E9">
          <w:rPr>
            <w:noProof/>
          </w:rPr>
          <w:t>222</w:t>
        </w:r>
        <w:r w:rsidR="00EF27AD" w:rsidRPr="002B55E9">
          <w:fldChar w:fldCharType="end"/>
        </w:r>
      </w:hyperlink>
    </w:p>
    <w:p w14:paraId="01915C4E" w14:textId="073B93B3" w:rsidR="00D170E5" w:rsidRPr="002B55E9" w:rsidRDefault="00A8249C">
      <w:pPr>
        <w:pStyle w:val="34"/>
        <w:rPr>
          <w:rFonts w:asciiTheme="minorHAnsi" w:eastAsiaTheme="minorEastAsia" w:hAnsiTheme="minorHAnsi" w:cstheme="minorBidi"/>
          <w:kern w:val="2"/>
          <w:sz w:val="21"/>
          <w:szCs w:val="22"/>
        </w:rPr>
      </w:pPr>
      <w:hyperlink w:anchor="_Toc119309029" w:history="1">
        <w:r w:rsidR="00EF27AD" w:rsidRPr="002B55E9">
          <w:rPr>
            <w:rStyle w:val="afff7"/>
            <w:color w:val="auto"/>
          </w:rPr>
          <w:t>9.8</w:t>
        </w:r>
        <w:r w:rsidR="00EF27AD" w:rsidRPr="002B55E9">
          <w:rPr>
            <w:rFonts w:asciiTheme="minorHAnsi" w:eastAsiaTheme="minorEastAsia" w:hAnsiTheme="minorHAnsi" w:cstheme="minorBidi"/>
            <w:kern w:val="2"/>
            <w:sz w:val="21"/>
            <w:szCs w:val="22"/>
          </w:rPr>
          <w:tab/>
        </w:r>
        <w:r w:rsidR="00EF27AD" w:rsidRPr="002B55E9">
          <w:rPr>
            <w:rStyle w:val="afff7"/>
            <w:color w:val="auto"/>
          </w:rPr>
          <w:t>与《武汉市基本生态控制线管理条例》符合性分析</w:t>
        </w:r>
        <w:r w:rsidR="00EF27AD" w:rsidRPr="002B55E9">
          <w:tab/>
        </w:r>
        <w:r w:rsidR="00EF27AD" w:rsidRPr="002B55E9">
          <w:fldChar w:fldCharType="begin"/>
        </w:r>
        <w:r w:rsidR="00EF27AD" w:rsidRPr="002B55E9">
          <w:instrText xml:space="preserve"> PAGEREF _Toc119309029 \h </w:instrText>
        </w:r>
        <w:r w:rsidR="00EF27AD" w:rsidRPr="002B55E9">
          <w:fldChar w:fldCharType="separate"/>
        </w:r>
        <w:r w:rsidR="003E0233" w:rsidRPr="002B55E9">
          <w:rPr>
            <w:noProof/>
          </w:rPr>
          <w:t>227</w:t>
        </w:r>
        <w:r w:rsidR="00EF27AD" w:rsidRPr="002B55E9">
          <w:fldChar w:fldCharType="end"/>
        </w:r>
      </w:hyperlink>
    </w:p>
    <w:p w14:paraId="408EDC06" w14:textId="2A0C9DCD" w:rsidR="00D170E5" w:rsidRPr="002B55E9" w:rsidRDefault="00A8249C">
      <w:pPr>
        <w:pStyle w:val="34"/>
        <w:rPr>
          <w:rFonts w:asciiTheme="minorHAnsi" w:eastAsiaTheme="minorEastAsia" w:hAnsiTheme="minorHAnsi" w:cstheme="minorBidi"/>
          <w:kern w:val="2"/>
          <w:sz w:val="21"/>
          <w:szCs w:val="22"/>
        </w:rPr>
      </w:pPr>
      <w:hyperlink w:anchor="_Toc119309030" w:history="1">
        <w:r w:rsidR="00EF27AD" w:rsidRPr="002B55E9">
          <w:rPr>
            <w:rStyle w:val="afff7"/>
            <w:color w:val="auto"/>
          </w:rPr>
          <w:t>9.9</w:t>
        </w:r>
        <w:r w:rsidR="00EF27AD" w:rsidRPr="002B55E9">
          <w:rPr>
            <w:rFonts w:asciiTheme="minorHAnsi" w:eastAsiaTheme="minorEastAsia" w:hAnsiTheme="minorHAnsi" w:cstheme="minorBidi"/>
            <w:kern w:val="2"/>
            <w:sz w:val="21"/>
            <w:szCs w:val="22"/>
          </w:rPr>
          <w:tab/>
        </w:r>
        <w:r w:rsidR="00EF27AD" w:rsidRPr="002B55E9">
          <w:rPr>
            <w:rStyle w:val="afff7"/>
            <w:color w:val="auto"/>
          </w:rPr>
          <w:t>与</w:t>
        </w:r>
        <w:r w:rsidR="00EF27AD" w:rsidRPr="002B55E9">
          <w:rPr>
            <w:rStyle w:val="afff7"/>
            <w:color w:val="auto"/>
          </w:rPr>
          <w:t>“</w:t>
        </w:r>
        <w:r w:rsidR="00EF27AD" w:rsidRPr="002B55E9">
          <w:rPr>
            <w:rStyle w:val="afff7"/>
            <w:color w:val="auto"/>
          </w:rPr>
          <w:t>水十条</w:t>
        </w:r>
        <w:r w:rsidR="00EF27AD" w:rsidRPr="002B55E9">
          <w:rPr>
            <w:rStyle w:val="afff7"/>
            <w:color w:val="auto"/>
          </w:rPr>
          <w:t>”</w:t>
        </w:r>
        <w:r w:rsidR="00EF27AD" w:rsidRPr="002B55E9">
          <w:rPr>
            <w:rStyle w:val="afff7"/>
            <w:color w:val="auto"/>
          </w:rPr>
          <w:t>、</w:t>
        </w:r>
        <w:r w:rsidR="00EF27AD" w:rsidRPr="002B55E9">
          <w:rPr>
            <w:rStyle w:val="afff7"/>
            <w:color w:val="auto"/>
          </w:rPr>
          <w:t>“</w:t>
        </w:r>
        <w:r w:rsidR="00EF27AD" w:rsidRPr="002B55E9">
          <w:rPr>
            <w:rStyle w:val="afff7"/>
            <w:color w:val="auto"/>
          </w:rPr>
          <w:t>气十条</w:t>
        </w:r>
        <w:r w:rsidR="00EF27AD" w:rsidRPr="002B55E9">
          <w:rPr>
            <w:rStyle w:val="afff7"/>
            <w:color w:val="auto"/>
          </w:rPr>
          <w:t>”</w:t>
        </w:r>
        <w:r w:rsidR="00EF27AD" w:rsidRPr="002B55E9">
          <w:rPr>
            <w:rStyle w:val="afff7"/>
            <w:color w:val="auto"/>
          </w:rPr>
          <w:t>以及</w:t>
        </w:r>
        <w:r w:rsidR="00EF27AD" w:rsidRPr="002B55E9">
          <w:rPr>
            <w:rStyle w:val="afff7"/>
            <w:color w:val="auto"/>
          </w:rPr>
          <w:t>“</w:t>
        </w:r>
        <w:r w:rsidR="00EF27AD" w:rsidRPr="002B55E9">
          <w:rPr>
            <w:rStyle w:val="afff7"/>
            <w:color w:val="auto"/>
          </w:rPr>
          <w:t>土十条</w:t>
        </w:r>
        <w:r w:rsidR="00EF27AD" w:rsidRPr="002B55E9">
          <w:rPr>
            <w:rStyle w:val="afff7"/>
            <w:color w:val="auto"/>
          </w:rPr>
          <w:t>”</w:t>
        </w:r>
        <w:r w:rsidR="00EF27AD" w:rsidRPr="002B55E9">
          <w:rPr>
            <w:rStyle w:val="afff7"/>
            <w:color w:val="auto"/>
          </w:rPr>
          <w:t>符合性分析</w:t>
        </w:r>
        <w:r w:rsidR="00EF27AD" w:rsidRPr="002B55E9">
          <w:tab/>
        </w:r>
        <w:r w:rsidR="00EF27AD" w:rsidRPr="002B55E9">
          <w:fldChar w:fldCharType="begin"/>
        </w:r>
        <w:r w:rsidR="00EF27AD" w:rsidRPr="002B55E9">
          <w:instrText xml:space="preserve"> PAGEREF _Toc119309030 \h </w:instrText>
        </w:r>
        <w:r w:rsidR="00EF27AD" w:rsidRPr="002B55E9">
          <w:fldChar w:fldCharType="separate"/>
        </w:r>
        <w:r w:rsidR="003E0233" w:rsidRPr="002B55E9">
          <w:rPr>
            <w:noProof/>
          </w:rPr>
          <w:t>228</w:t>
        </w:r>
        <w:r w:rsidR="00EF27AD" w:rsidRPr="002B55E9">
          <w:fldChar w:fldCharType="end"/>
        </w:r>
      </w:hyperlink>
    </w:p>
    <w:p w14:paraId="439BBB28" w14:textId="636157AC" w:rsidR="00D170E5" w:rsidRPr="002B55E9" w:rsidRDefault="00A8249C">
      <w:pPr>
        <w:pStyle w:val="34"/>
        <w:rPr>
          <w:rFonts w:asciiTheme="minorHAnsi" w:eastAsiaTheme="minorEastAsia" w:hAnsiTheme="minorHAnsi" w:cstheme="minorBidi"/>
          <w:kern w:val="2"/>
          <w:sz w:val="21"/>
          <w:szCs w:val="22"/>
        </w:rPr>
      </w:pPr>
      <w:hyperlink w:anchor="_Toc119309031" w:history="1">
        <w:r w:rsidR="00EF27AD" w:rsidRPr="002B55E9">
          <w:rPr>
            <w:rStyle w:val="afff7"/>
            <w:color w:val="auto"/>
          </w:rPr>
          <w:t>9.10</w:t>
        </w:r>
        <w:r w:rsidR="00EF27AD" w:rsidRPr="002B55E9">
          <w:rPr>
            <w:rFonts w:asciiTheme="minorHAnsi" w:eastAsiaTheme="minorEastAsia" w:hAnsiTheme="minorHAnsi" w:cstheme="minorBidi"/>
            <w:kern w:val="2"/>
            <w:sz w:val="21"/>
            <w:szCs w:val="22"/>
          </w:rPr>
          <w:tab/>
        </w:r>
        <w:r w:rsidR="00EF27AD" w:rsidRPr="002B55E9">
          <w:rPr>
            <w:rStyle w:val="afff7"/>
            <w:color w:val="auto"/>
          </w:rPr>
          <w:t>总平面布置符合理性分析</w:t>
        </w:r>
        <w:r w:rsidR="00EF27AD" w:rsidRPr="002B55E9">
          <w:tab/>
        </w:r>
        <w:r w:rsidR="00EF27AD" w:rsidRPr="002B55E9">
          <w:fldChar w:fldCharType="begin"/>
        </w:r>
        <w:r w:rsidR="00EF27AD" w:rsidRPr="002B55E9">
          <w:instrText xml:space="preserve"> PAGEREF _Toc119309031 \h </w:instrText>
        </w:r>
        <w:r w:rsidR="00EF27AD" w:rsidRPr="002B55E9">
          <w:fldChar w:fldCharType="separate"/>
        </w:r>
        <w:r w:rsidR="003E0233" w:rsidRPr="002B55E9">
          <w:rPr>
            <w:noProof/>
          </w:rPr>
          <w:t>232</w:t>
        </w:r>
        <w:r w:rsidR="00EF27AD" w:rsidRPr="002B55E9">
          <w:fldChar w:fldCharType="end"/>
        </w:r>
      </w:hyperlink>
    </w:p>
    <w:p w14:paraId="4867BED4" w14:textId="02306954"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32" w:history="1">
        <w:r w:rsidR="00EF27AD" w:rsidRPr="002B55E9">
          <w:rPr>
            <w:rStyle w:val="afff7"/>
            <w:i w:val="0"/>
            <w:color w:val="auto"/>
          </w:rPr>
          <w:t>10</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环境经济损益分析</w:t>
        </w:r>
        <w:r w:rsidR="00EF27AD" w:rsidRPr="002B55E9">
          <w:rPr>
            <w:i w:val="0"/>
          </w:rPr>
          <w:tab/>
        </w:r>
        <w:r w:rsidR="00EF27AD" w:rsidRPr="002B55E9">
          <w:rPr>
            <w:i w:val="0"/>
          </w:rPr>
          <w:fldChar w:fldCharType="begin"/>
        </w:r>
        <w:r w:rsidR="00EF27AD" w:rsidRPr="002B55E9">
          <w:rPr>
            <w:i w:val="0"/>
          </w:rPr>
          <w:instrText xml:space="preserve"> PAGEREF _Toc119309032 \h </w:instrText>
        </w:r>
        <w:r w:rsidR="00EF27AD" w:rsidRPr="002B55E9">
          <w:rPr>
            <w:i w:val="0"/>
          </w:rPr>
        </w:r>
        <w:r w:rsidR="00EF27AD" w:rsidRPr="002B55E9">
          <w:rPr>
            <w:i w:val="0"/>
          </w:rPr>
          <w:fldChar w:fldCharType="separate"/>
        </w:r>
        <w:r w:rsidR="003E0233" w:rsidRPr="002B55E9">
          <w:rPr>
            <w:i w:val="0"/>
            <w:noProof/>
          </w:rPr>
          <w:t>234</w:t>
        </w:r>
        <w:r w:rsidR="00EF27AD" w:rsidRPr="002B55E9">
          <w:rPr>
            <w:i w:val="0"/>
          </w:rPr>
          <w:fldChar w:fldCharType="end"/>
        </w:r>
      </w:hyperlink>
    </w:p>
    <w:p w14:paraId="4F10A7ED" w14:textId="7F5B67FB" w:rsidR="00D170E5" w:rsidRPr="002B55E9" w:rsidRDefault="00A8249C">
      <w:pPr>
        <w:pStyle w:val="34"/>
        <w:rPr>
          <w:rFonts w:asciiTheme="minorHAnsi" w:eastAsiaTheme="minorEastAsia" w:hAnsiTheme="minorHAnsi" w:cstheme="minorBidi"/>
          <w:kern w:val="2"/>
          <w:sz w:val="21"/>
          <w:szCs w:val="22"/>
        </w:rPr>
      </w:pPr>
      <w:hyperlink w:anchor="_Toc119309033" w:history="1">
        <w:r w:rsidR="00EF27AD" w:rsidRPr="002B55E9">
          <w:rPr>
            <w:rStyle w:val="afff7"/>
            <w:color w:val="auto"/>
          </w:rPr>
          <w:t>10.1</w:t>
        </w:r>
        <w:r w:rsidR="00EF27AD" w:rsidRPr="002B55E9">
          <w:rPr>
            <w:rFonts w:asciiTheme="minorHAnsi" w:eastAsiaTheme="minorEastAsia" w:hAnsiTheme="minorHAnsi" w:cstheme="minorBidi"/>
            <w:kern w:val="2"/>
            <w:sz w:val="21"/>
            <w:szCs w:val="22"/>
          </w:rPr>
          <w:tab/>
        </w:r>
        <w:r w:rsidR="00EF27AD" w:rsidRPr="002B55E9">
          <w:rPr>
            <w:rStyle w:val="afff7"/>
            <w:color w:val="auto"/>
          </w:rPr>
          <w:t>经济效益分析</w:t>
        </w:r>
        <w:r w:rsidR="00EF27AD" w:rsidRPr="002B55E9">
          <w:tab/>
        </w:r>
        <w:r w:rsidR="00EF27AD" w:rsidRPr="002B55E9">
          <w:fldChar w:fldCharType="begin"/>
        </w:r>
        <w:r w:rsidR="00EF27AD" w:rsidRPr="002B55E9">
          <w:instrText xml:space="preserve"> PAGEREF _Toc119309033 \h </w:instrText>
        </w:r>
        <w:r w:rsidR="00EF27AD" w:rsidRPr="002B55E9">
          <w:fldChar w:fldCharType="separate"/>
        </w:r>
        <w:r w:rsidR="003E0233" w:rsidRPr="002B55E9">
          <w:rPr>
            <w:noProof/>
          </w:rPr>
          <w:t>234</w:t>
        </w:r>
        <w:r w:rsidR="00EF27AD" w:rsidRPr="002B55E9">
          <w:fldChar w:fldCharType="end"/>
        </w:r>
      </w:hyperlink>
    </w:p>
    <w:p w14:paraId="4D0711ED" w14:textId="521475B7" w:rsidR="00D170E5" w:rsidRPr="002B55E9" w:rsidRDefault="00A8249C">
      <w:pPr>
        <w:pStyle w:val="34"/>
        <w:rPr>
          <w:rFonts w:asciiTheme="minorHAnsi" w:eastAsiaTheme="minorEastAsia" w:hAnsiTheme="minorHAnsi" w:cstheme="minorBidi"/>
          <w:kern w:val="2"/>
          <w:sz w:val="21"/>
          <w:szCs w:val="22"/>
        </w:rPr>
      </w:pPr>
      <w:hyperlink w:anchor="_Toc119309034" w:history="1">
        <w:r w:rsidR="00EF27AD" w:rsidRPr="002B55E9">
          <w:rPr>
            <w:rStyle w:val="afff7"/>
            <w:color w:val="auto"/>
          </w:rPr>
          <w:t>10.2</w:t>
        </w:r>
        <w:r w:rsidR="00EF27AD" w:rsidRPr="002B55E9">
          <w:rPr>
            <w:rFonts w:asciiTheme="minorHAnsi" w:eastAsiaTheme="minorEastAsia" w:hAnsiTheme="minorHAnsi" w:cstheme="minorBidi"/>
            <w:kern w:val="2"/>
            <w:sz w:val="21"/>
            <w:szCs w:val="22"/>
          </w:rPr>
          <w:tab/>
        </w:r>
        <w:r w:rsidR="00EF27AD" w:rsidRPr="002B55E9">
          <w:rPr>
            <w:rStyle w:val="afff7"/>
            <w:color w:val="auto"/>
          </w:rPr>
          <w:t>社会效益分析</w:t>
        </w:r>
        <w:r w:rsidR="00EF27AD" w:rsidRPr="002B55E9">
          <w:tab/>
        </w:r>
        <w:r w:rsidR="00EF27AD" w:rsidRPr="002B55E9">
          <w:fldChar w:fldCharType="begin"/>
        </w:r>
        <w:r w:rsidR="00EF27AD" w:rsidRPr="002B55E9">
          <w:instrText xml:space="preserve"> PAGEREF _Toc119309034 \h </w:instrText>
        </w:r>
        <w:r w:rsidR="00EF27AD" w:rsidRPr="002B55E9">
          <w:fldChar w:fldCharType="separate"/>
        </w:r>
        <w:r w:rsidR="003E0233" w:rsidRPr="002B55E9">
          <w:rPr>
            <w:noProof/>
          </w:rPr>
          <w:t>234</w:t>
        </w:r>
        <w:r w:rsidR="00EF27AD" w:rsidRPr="002B55E9">
          <w:fldChar w:fldCharType="end"/>
        </w:r>
      </w:hyperlink>
    </w:p>
    <w:p w14:paraId="2347A158" w14:textId="4AC8E3E0" w:rsidR="00D170E5" w:rsidRPr="002B55E9" w:rsidRDefault="00A8249C">
      <w:pPr>
        <w:pStyle w:val="34"/>
        <w:rPr>
          <w:rFonts w:asciiTheme="minorHAnsi" w:eastAsiaTheme="minorEastAsia" w:hAnsiTheme="minorHAnsi" w:cstheme="minorBidi"/>
          <w:kern w:val="2"/>
          <w:sz w:val="21"/>
          <w:szCs w:val="22"/>
        </w:rPr>
      </w:pPr>
      <w:hyperlink w:anchor="_Toc119309035" w:history="1">
        <w:r w:rsidR="00EF27AD" w:rsidRPr="002B55E9">
          <w:rPr>
            <w:rStyle w:val="afff7"/>
            <w:color w:val="auto"/>
          </w:rPr>
          <w:t>10.3</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环境经济损益分析</w:t>
        </w:r>
        <w:r w:rsidR="00EF27AD" w:rsidRPr="002B55E9">
          <w:tab/>
        </w:r>
        <w:r w:rsidR="00EF27AD" w:rsidRPr="002B55E9">
          <w:fldChar w:fldCharType="begin"/>
        </w:r>
        <w:r w:rsidR="00EF27AD" w:rsidRPr="002B55E9">
          <w:instrText xml:space="preserve"> PAGEREF _Toc119309035 \h </w:instrText>
        </w:r>
        <w:r w:rsidR="00EF27AD" w:rsidRPr="002B55E9">
          <w:fldChar w:fldCharType="separate"/>
        </w:r>
        <w:r w:rsidR="003E0233" w:rsidRPr="002B55E9">
          <w:rPr>
            <w:noProof/>
          </w:rPr>
          <w:t>234</w:t>
        </w:r>
        <w:r w:rsidR="00EF27AD" w:rsidRPr="002B55E9">
          <w:fldChar w:fldCharType="end"/>
        </w:r>
      </w:hyperlink>
    </w:p>
    <w:p w14:paraId="0E056432" w14:textId="423F3400"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36" w:history="1">
        <w:r w:rsidR="00EF27AD" w:rsidRPr="002B55E9">
          <w:rPr>
            <w:rStyle w:val="afff7"/>
            <w:i w:val="0"/>
            <w:color w:val="auto"/>
          </w:rPr>
          <w:t>11</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snapToGrid w:val="0"/>
            <w:color w:val="auto"/>
          </w:rPr>
          <w:t>环境管理和环境监测计划</w:t>
        </w:r>
        <w:r w:rsidR="00EF27AD" w:rsidRPr="002B55E9">
          <w:rPr>
            <w:i w:val="0"/>
          </w:rPr>
          <w:tab/>
        </w:r>
        <w:r w:rsidR="00EF27AD" w:rsidRPr="002B55E9">
          <w:rPr>
            <w:i w:val="0"/>
          </w:rPr>
          <w:fldChar w:fldCharType="begin"/>
        </w:r>
        <w:r w:rsidR="00EF27AD" w:rsidRPr="002B55E9">
          <w:rPr>
            <w:i w:val="0"/>
          </w:rPr>
          <w:instrText xml:space="preserve"> PAGEREF _Toc119309036 \h </w:instrText>
        </w:r>
        <w:r w:rsidR="00EF27AD" w:rsidRPr="002B55E9">
          <w:rPr>
            <w:i w:val="0"/>
          </w:rPr>
        </w:r>
        <w:r w:rsidR="00EF27AD" w:rsidRPr="002B55E9">
          <w:rPr>
            <w:i w:val="0"/>
          </w:rPr>
          <w:fldChar w:fldCharType="separate"/>
        </w:r>
        <w:r w:rsidR="003E0233" w:rsidRPr="002B55E9">
          <w:rPr>
            <w:i w:val="0"/>
            <w:noProof/>
          </w:rPr>
          <w:t>236</w:t>
        </w:r>
        <w:r w:rsidR="00EF27AD" w:rsidRPr="002B55E9">
          <w:rPr>
            <w:i w:val="0"/>
          </w:rPr>
          <w:fldChar w:fldCharType="end"/>
        </w:r>
      </w:hyperlink>
    </w:p>
    <w:p w14:paraId="7FE1809E" w14:textId="4DAA8E74" w:rsidR="00D170E5" w:rsidRPr="002B55E9" w:rsidRDefault="00A8249C">
      <w:pPr>
        <w:pStyle w:val="34"/>
        <w:rPr>
          <w:rFonts w:asciiTheme="minorHAnsi" w:eastAsiaTheme="minorEastAsia" w:hAnsiTheme="minorHAnsi" w:cstheme="minorBidi"/>
          <w:kern w:val="2"/>
          <w:sz w:val="21"/>
          <w:szCs w:val="22"/>
        </w:rPr>
      </w:pPr>
      <w:hyperlink w:anchor="_Toc119309037" w:history="1">
        <w:r w:rsidR="00EF27AD" w:rsidRPr="002B55E9">
          <w:rPr>
            <w:rStyle w:val="afff7"/>
            <w:color w:val="auto"/>
          </w:rPr>
          <w:t>11.1</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环境监测计划</w:t>
        </w:r>
        <w:r w:rsidR="00EF27AD" w:rsidRPr="002B55E9">
          <w:tab/>
        </w:r>
        <w:r w:rsidR="00EF27AD" w:rsidRPr="002B55E9">
          <w:fldChar w:fldCharType="begin"/>
        </w:r>
        <w:r w:rsidR="00EF27AD" w:rsidRPr="002B55E9">
          <w:instrText xml:space="preserve"> PAGEREF _Toc119309037 \h </w:instrText>
        </w:r>
        <w:r w:rsidR="00EF27AD" w:rsidRPr="002B55E9">
          <w:fldChar w:fldCharType="separate"/>
        </w:r>
        <w:r w:rsidR="003E0233" w:rsidRPr="002B55E9">
          <w:rPr>
            <w:noProof/>
          </w:rPr>
          <w:t>236</w:t>
        </w:r>
        <w:r w:rsidR="00EF27AD" w:rsidRPr="002B55E9">
          <w:fldChar w:fldCharType="end"/>
        </w:r>
      </w:hyperlink>
    </w:p>
    <w:p w14:paraId="09101EEB" w14:textId="498CDD68" w:rsidR="00D170E5" w:rsidRPr="002B55E9" w:rsidRDefault="00A8249C">
      <w:pPr>
        <w:pStyle w:val="34"/>
        <w:rPr>
          <w:rFonts w:asciiTheme="minorHAnsi" w:eastAsiaTheme="minorEastAsia" w:hAnsiTheme="minorHAnsi" w:cstheme="minorBidi"/>
          <w:kern w:val="2"/>
          <w:sz w:val="21"/>
          <w:szCs w:val="22"/>
        </w:rPr>
      </w:pPr>
      <w:hyperlink w:anchor="_Toc119309038" w:history="1">
        <w:r w:rsidR="00EF27AD" w:rsidRPr="002B55E9">
          <w:rPr>
            <w:rStyle w:val="afff7"/>
            <w:color w:val="auto"/>
          </w:rPr>
          <w:t>11.2</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环境管理</w:t>
        </w:r>
        <w:r w:rsidR="00EF27AD" w:rsidRPr="002B55E9">
          <w:tab/>
        </w:r>
        <w:r w:rsidR="00EF27AD" w:rsidRPr="002B55E9">
          <w:fldChar w:fldCharType="begin"/>
        </w:r>
        <w:r w:rsidR="00EF27AD" w:rsidRPr="002B55E9">
          <w:instrText xml:space="preserve"> PAGEREF _Toc119309038 \h </w:instrText>
        </w:r>
        <w:r w:rsidR="00EF27AD" w:rsidRPr="002B55E9">
          <w:fldChar w:fldCharType="separate"/>
        </w:r>
        <w:r w:rsidR="003E0233" w:rsidRPr="002B55E9">
          <w:rPr>
            <w:noProof/>
          </w:rPr>
          <w:t>239</w:t>
        </w:r>
        <w:r w:rsidR="00EF27AD" w:rsidRPr="002B55E9">
          <w:fldChar w:fldCharType="end"/>
        </w:r>
      </w:hyperlink>
    </w:p>
    <w:p w14:paraId="4A7ED80A" w14:textId="504DAB12" w:rsidR="00D170E5" w:rsidRPr="002B55E9" w:rsidRDefault="00A8249C">
      <w:pPr>
        <w:pStyle w:val="34"/>
        <w:rPr>
          <w:rFonts w:asciiTheme="minorHAnsi" w:eastAsiaTheme="minorEastAsia" w:hAnsiTheme="minorHAnsi" w:cstheme="minorBidi"/>
          <w:kern w:val="2"/>
          <w:sz w:val="21"/>
          <w:szCs w:val="22"/>
        </w:rPr>
      </w:pPr>
      <w:hyperlink w:anchor="_Toc119309039" w:history="1">
        <w:r w:rsidR="00EF27AD" w:rsidRPr="002B55E9">
          <w:rPr>
            <w:rStyle w:val="afff7"/>
            <w:color w:val="auto"/>
          </w:rPr>
          <w:t>11.3</w:t>
        </w:r>
        <w:r w:rsidR="00EF27AD" w:rsidRPr="002B55E9">
          <w:rPr>
            <w:rFonts w:asciiTheme="minorHAnsi" w:eastAsiaTheme="minorEastAsia" w:hAnsiTheme="minorHAnsi" w:cstheme="minorBidi"/>
            <w:kern w:val="2"/>
            <w:sz w:val="21"/>
            <w:szCs w:val="22"/>
          </w:rPr>
          <w:tab/>
        </w:r>
        <w:r w:rsidR="00EF27AD" w:rsidRPr="002B55E9">
          <w:rPr>
            <w:rStyle w:val="afff7"/>
            <w:color w:val="auto"/>
          </w:rPr>
          <w:t>建立企业</w:t>
        </w:r>
        <w:r w:rsidR="00EF27AD" w:rsidRPr="002B55E9">
          <w:rPr>
            <w:rStyle w:val="afff7"/>
            <w:color w:val="auto"/>
          </w:rPr>
          <w:t>ISO14000</w:t>
        </w:r>
        <w:r w:rsidR="00EF27AD" w:rsidRPr="002B55E9">
          <w:rPr>
            <w:rStyle w:val="afff7"/>
            <w:color w:val="auto"/>
          </w:rPr>
          <w:t>环境管理体系</w:t>
        </w:r>
        <w:r w:rsidR="00EF27AD" w:rsidRPr="002B55E9">
          <w:tab/>
        </w:r>
        <w:r w:rsidR="00EF27AD" w:rsidRPr="002B55E9">
          <w:fldChar w:fldCharType="begin"/>
        </w:r>
        <w:r w:rsidR="00EF27AD" w:rsidRPr="002B55E9">
          <w:instrText xml:space="preserve"> PAGEREF _Toc119309039 \h </w:instrText>
        </w:r>
        <w:r w:rsidR="00EF27AD" w:rsidRPr="002B55E9">
          <w:fldChar w:fldCharType="separate"/>
        </w:r>
        <w:r w:rsidR="003E0233" w:rsidRPr="002B55E9">
          <w:rPr>
            <w:noProof/>
          </w:rPr>
          <w:t>242</w:t>
        </w:r>
        <w:r w:rsidR="00EF27AD" w:rsidRPr="002B55E9">
          <w:fldChar w:fldCharType="end"/>
        </w:r>
      </w:hyperlink>
    </w:p>
    <w:p w14:paraId="7F32DA16" w14:textId="363C8B80" w:rsidR="00D170E5" w:rsidRPr="002B55E9" w:rsidRDefault="00A8249C">
      <w:pPr>
        <w:pStyle w:val="25"/>
        <w:rPr>
          <w:rFonts w:asciiTheme="minorHAnsi" w:eastAsiaTheme="minorEastAsia" w:hAnsiTheme="minorHAnsi" w:cstheme="minorBidi"/>
          <w:b w:val="0"/>
          <w:i w:val="0"/>
          <w:iCs w:val="0"/>
          <w:kern w:val="2"/>
          <w:sz w:val="21"/>
          <w:szCs w:val="22"/>
        </w:rPr>
      </w:pPr>
      <w:hyperlink w:anchor="_Toc119309040" w:history="1">
        <w:r w:rsidR="00EF27AD" w:rsidRPr="002B55E9">
          <w:rPr>
            <w:rStyle w:val="afff7"/>
            <w:i w:val="0"/>
            <w:color w:val="auto"/>
          </w:rPr>
          <w:t>12</w:t>
        </w:r>
        <w:r w:rsidR="00EF27AD" w:rsidRPr="002B55E9">
          <w:rPr>
            <w:rFonts w:asciiTheme="minorHAnsi" w:eastAsiaTheme="minorEastAsia" w:hAnsiTheme="minorHAnsi" w:cstheme="minorBidi"/>
            <w:b w:val="0"/>
            <w:i w:val="0"/>
            <w:iCs w:val="0"/>
            <w:kern w:val="2"/>
            <w:sz w:val="21"/>
            <w:szCs w:val="22"/>
          </w:rPr>
          <w:tab/>
        </w:r>
        <w:r w:rsidR="00EF27AD" w:rsidRPr="002B55E9">
          <w:rPr>
            <w:rStyle w:val="afff7"/>
            <w:i w:val="0"/>
            <w:color w:val="auto"/>
          </w:rPr>
          <w:t>结论</w:t>
        </w:r>
        <w:r w:rsidR="00EF27AD" w:rsidRPr="002B55E9">
          <w:rPr>
            <w:i w:val="0"/>
          </w:rPr>
          <w:tab/>
        </w:r>
        <w:r w:rsidR="00EF27AD" w:rsidRPr="002B55E9">
          <w:rPr>
            <w:i w:val="0"/>
          </w:rPr>
          <w:fldChar w:fldCharType="begin"/>
        </w:r>
        <w:r w:rsidR="00EF27AD" w:rsidRPr="002B55E9">
          <w:rPr>
            <w:i w:val="0"/>
          </w:rPr>
          <w:instrText xml:space="preserve"> PAGEREF _Toc119309040 \h </w:instrText>
        </w:r>
        <w:r w:rsidR="00EF27AD" w:rsidRPr="002B55E9">
          <w:rPr>
            <w:i w:val="0"/>
          </w:rPr>
        </w:r>
        <w:r w:rsidR="00EF27AD" w:rsidRPr="002B55E9">
          <w:rPr>
            <w:i w:val="0"/>
          </w:rPr>
          <w:fldChar w:fldCharType="separate"/>
        </w:r>
        <w:r w:rsidR="003E0233" w:rsidRPr="002B55E9">
          <w:rPr>
            <w:i w:val="0"/>
            <w:noProof/>
          </w:rPr>
          <w:t>244</w:t>
        </w:r>
        <w:r w:rsidR="00EF27AD" w:rsidRPr="002B55E9">
          <w:rPr>
            <w:i w:val="0"/>
          </w:rPr>
          <w:fldChar w:fldCharType="end"/>
        </w:r>
      </w:hyperlink>
    </w:p>
    <w:p w14:paraId="5CE571C1" w14:textId="31C4C0EB" w:rsidR="00D170E5" w:rsidRPr="002B55E9" w:rsidRDefault="00A8249C">
      <w:pPr>
        <w:pStyle w:val="34"/>
        <w:rPr>
          <w:rFonts w:asciiTheme="minorHAnsi" w:eastAsiaTheme="minorEastAsia" w:hAnsiTheme="minorHAnsi" w:cstheme="minorBidi"/>
          <w:kern w:val="2"/>
          <w:sz w:val="21"/>
          <w:szCs w:val="22"/>
        </w:rPr>
      </w:pPr>
      <w:hyperlink w:anchor="_Toc119309041" w:history="1">
        <w:r w:rsidR="00EF27AD" w:rsidRPr="002B55E9">
          <w:rPr>
            <w:rStyle w:val="afff7"/>
            <w:color w:val="auto"/>
          </w:rPr>
          <w:t>12.1</w:t>
        </w:r>
        <w:r w:rsidR="00EF27AD" w:rsidRPr="002B55E9">
          <w:rPr>
            <w:rFonts w:asciiTheme="minorHAnsi" w:eastAsiaTheme="minorEastAsia" w:hAnsiTheme="minorHAnsi" w:cstheme="minorBidi"/>
            <w:kern w:val="2"/>
            <w:sz w:val="21"/>
            <w:szCs w:val="22"/>
          </w:rPr>
          <w:tab/>
        </w:r>
        <w:r w:rsidR="00EF27AD" w:rsidRPr="002B55E9">
          <w:rPr>
            <w:rStyle w:val="afff7"/>
            <w:color w:val="auto"/>
          </w:rPr>
          <w:t>项目基本情况</w:t>
        </w:r>
        <w:r w:rsidR="00EF27AD" w:rsidRPr="002B55E9">
          <w:tab/>
        </w:r>
        <w:r w:rsidR="00EF27AD" w:rsidRPr="002B55E9">
          <w:fldChar w:fldCharType="begin"/>
        </w:r>
        <w:r w:rsidR="00EF27AD" w:rsidRPr="002B55E9">
          <w:instrText xml:space="preserve"> PAGEREF _Toc119309041 \h </w:instrText>
        </w:r>
        <w:r w:rsidR="00EF27AD" w:rsidRPr="002B55E9">
          <w:fldChar w:fldCharType="separate"/>
        </w:r>
        <w:r w:rsidR="003E0233" w:rsidRPr="002B55E9">
          <w:rPr>
            <w:noProof/>
          </w:rPr>
          <w:t>244</w:t>
        </w:r>
        <w:r w:rsidR="00EF27AD" w:rsidRPr="002B55E9">
          <w:fldChar w:fldCharType="end"/>
        </w:r>
      </w:hyperlink>
    </w:p>
    <w:p w14:paraId="6949EB60" w14:textId="33F84E88" w:rsidR="00D170E5" w:rsidRPr="002B55E9" w:rsidRDefault="00A8249C">
      <w:pPr>
        <w:pStyle w:val="34"/>
        <w:rPr>
          <w:rFonts w:asciiTheme="minorHAnsi" w:eastAsiaTheme="minorEastAsia" w:hAnsiTheme="minorHAnsi" w:cstheme="minorBidi"/>
          <w:kern w:val="2"/>
          <w:sz w:val="21"/>
          <w:szCs w:val="22"/>
        </w:rPr>
      </w:pPr>
      <w:hyperlink w:anchor="_Toc119309042" w:history="1">
        <w:r w:rsidR="00EF27AD" w:rsidRPr="002B55E9">
          <w:rPr>
            <w:rStyle w:val="afff7"/>
            <w:color w:val="auto"/>
          </w:rPr>
          <w:t>12.2</w:t>
        </w:r>
        <w:r w:rsidR="00EF27AD" w:rsidRPr="002B55E9">
          <w:rPr>
            <w:rFonts w:asciiTheme="minorHAnsi" w:eastAsiaTheme="minorEastAsia" w:hAnsiTheme="minorHAnsi" w:cstheme="minorBidi"/>
            <w:kern w:val="2"/>
            <w:sz w:val="21"/>
            <w:szCs w:val="22"/>
          </w:rPr>
          <w:tab/>
        </w:r>
        <w:r w:rsidR="00EF27AD" w:rsidRPr="002B55E9">
          <w:rPr>
            <w:rStyle w:val="afff7"/>
            <w:color w:val="auto"/>
          </w:rPr>
          <w:t>产业政策及规划相符性分析</w:t>
        </w:r>
        <w:r w:rsidR="00EF27AD" w:rsidRPr="002B55E9">
          <w:tab/>
        </w:r>
        <w:r w:rsidR="00EF27AD" w:rsidRPr="002B55E9">
          <w:fldChar w:fldCharType="begin"/>
        </w:r>
        <w:r w:rsidR="00EF27AD" w:rsidRPr="002B55E9">
          <w:instrText xml:space="preserve"> PAGEREF _Toc119309042 \h </w:instrText>
        </w:r>
        <w:r w:rsidR="00EF27AD" w:rsidRPr="002B55E9">
          <w:fldChar w:fldCharType="separate"/>
        </w:r>
        <w:r w:rsidR="003E0233" w:rsidRPr="002B55E9">
          <w:rPr>
            <w:noProof/>
          </w:rPr>
          <w:t>244</w:t>
        </w:r>
        <w:r w:rsidR="00EF27AD" w:rsidRPr="002B55E9">
          <w:fldChar w:fldCharType="end"/>
        </w:r>
      </w:hyperlink>
    </w:p>
    <w:p w14:paraId="53D7C227" w14:textId="33D54DD2" w:rsidR="00D170E5" w:rsidRPr="002B55E9" w:rsidRDefault="00A8249C">
      <w:pPr>
        <w:pStyle w:val="34"/>
        <w:rPr>
          <w:rFonts w:asciiTheme="minorHAnsi" w:eastAsiaTheme="minorEastAsia" w:hAnsiTheme="minorHAnsi" w:cstheme="minorBidi"/>
          <w:kern w:val="2"/>
          <w:sz w:val="21"/>
          <w:szCs w:val="22"/>
        </w:rPr>
      </w:pPr>
      <w:hyperlink w:anchor="_Toc119309043" w:history="1">
        <w:r w:rsidR="00EF27AD" w:rsidRPr="002B55E9">
          <w:rPr>
            <w:rStyle w:val="afff7"/>
            <w:color w:val="auto"/>
          </w:rPr>
          <w:t>12.3</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环境质量现状</w:t>
        </w:r>
        <w:r w:rsidR="00EF27AD" w:rsidRPr="002B55E9">
          <w:tab/>
        </w:r>
        <w:r w:rsidR="00EF27AD" w:rsidRPr="002B55E9">
          <w:fldChar w:fldCharType="begin"/>
        </w:r>
        <w:r w:rsidR="00EF27AD" w:rsidRPr="002B55E9">
          <w:instrText xml:space="preserve"> PAGEREF _Toc119309043 \h </w:instrText>
        </w:r>
        <w:r w:rsidR="00EF27AD" w:rsidRPr="002B55E9">
          <w:fldChar w:fldCharType="separate"/>
        </w:r>
        <w:r w:rsidR="003E0233" w:rsidRPr="002B55E9">
          <w:rPr>
            <w:noProof/>
          </w:rPr>
          <w:t>244</w:t>
        </w:r>
        <w:r w:rsidR="00EF27AD" w:rsidRPr="002B55E9">
          <w:fldChar w:fldCharType="end"/>
        </w:r>
      </w:hyperlink>
    </w:p>
    <w:p w14:paraId="17402AD0" w14:textId="2E61FA62" w:rsidR="00D170E5" w:rsidRPr="002B55E9" w:rsidRDefault="00A8249C">
      <w:pPr>
        <w:pStyle w:val="34"/>
        <w:rPr>
          <w:rFonts w:asciiTheme="minorHAnsi" w:eastAsiaTheme="minorEastAsia" w:hAnsiTheme="minorHAnsi" w:cstheme="minorBidi"/>
          <w:kern w:val="2"/>
          <w:sz w:val="21"/>
          <w:szCs w:val="22"/>
        </w:rPr>
      </w:pPr>
      <w:hyperlink w:anchor="_Toc119309044" w:history="1">
        <w:r w:rsidR="00EF27AD" w:rsidRPr="002B55E9">
          <w:rPr>
            <w:rStyle w:val="afff7"/>
            <w:color w:val="auto"/>
          </w:rPr>
          <w:t>12.4</w:t>
        </w:r>
        <w:r w:rsidR="00EF27AD" w:rsidRPr="002B55E9">
          <w:rPr>
            <w:rFonts w:asciiTheme="minorHAnsi" w:eastAsiaTheme="minorEastAsia" w:hAnsiTheme="minorHAnsi" w:cstheme="minorBidi"/>
            <w:kern w:val="2"/>
            <w:sz w:val="21"/>
            <w:szCs w:val="22"/>
          </w:rPr>
          <w:tab/>
        </w:r>
        <w:r w:rsidR="00EF27AD" w:rsidRPr="002B55E9">
          <w:rPr>
            <w:rStyle w:val="afff7"/>
            <w:color w:val="auto"/>
          </w:rPr>
          <w:t>污染物防治措施</w:t>
        </w:r>
        <w:r w:rsidR="00EF27AD" w:rsidRPr="002B55E9">
          <w:tab/>
        </w:r>
        <w:r w:rsidR="00EF27AD" w:rsidRPr="002B55E9">
          <w:fldChar w:fldCharType="begin"/>
        </w:r>
        <w:r w:rsidR="00EF27AD" w:rsidRPr="002B55E9">
          <w:instrText xml:space="preserve"> PAGEREF _Toc119309044 \h </w:instrText>
        </w:r>
        <w:r w:rsidR="00EF27AD" w:rsidRPr="002B55E9">
          <w:fldChar w:fldCharType="separate"/>
        </w:r>
        <w:r w:rsidR="003E0233" w:rsidRPr="002B55E9">
          <w:rPr>
            <w:noProof/>
          </w:rPr>
          <w:t>245</w:t>
        </w:r>
        <w:r w:rsidR="00EF27AD" w:rsidRPr="002B55E9">
          <w:fldChar w:fldCharType="end"/>
        </w:r>
      </w:hyperlink>
    </w:p>
    <w:p w14:paraId="13B71C78" w14:textId="519A8839" w:rsidR="00D170E5" w:rsidRPr="002B55E9" w:rsidRDefault="00A8249C">
      <w:pPr>
        <w:pStyle w:val="34"/>
        <w:rPr>
          <w:rFonts w:asciiTheme="minorHAnsi" w:eastAsiaTheme="minorEastAsia" w:hAnsiTheme="minorHAnsi" w:cstheme="minorBidi"/>
          <w:kern w:val="2"/>
          <w:sz w:val="21"/>
          <w:szCs w:val="22"/>
        </w:rPr>
      </w:pPr>
      <w:hyperlink w:anchor="_Toc119309045" w:history="1">
        <w:r w:rsidR="00EF27AD" w:rsidRPr="002B55E9">
          <w:rPr>
            <w:rStyle w:val="afff7"/>
            <w:color w:val="auto"/>
          </w:rPr>
          <w:t>12.5</w:t>
        </w:r>
        <w:r w:rsidR="00EF27AD" w:rsidRPr="002B55E9">
          <w:rPr>
            <w:rFonts w:asciiTheme="minorHAnsi" w:eastAsiaTheme="minorEastAsia" w:hAnsiTheme="minorHAnsi" w:cstheme="minorBidi"/>
            <w:kern w:val="2"/>
            <w:sz w:val="21"/>
            <w:szCs w:val="22"/>
          </w:rPr>
          <w:tab/>
        </w:r>
        <w:r w:rsidR="00EF27AD" w:rsidRPr="002B55E9">
          <w:rPr>
            <w:rStyle w:val="afff7"/>
            <w:color w:val="auto"/>
          </w:rPr>
          <w:t>环境影响预测</w:t>
        </w:r>
        <w:r w:rsidR="00EF27AD" w:rsidRPr="002B55E9">
          <w:tab/>
        </w:r>
        <w:r w:rsidR="00EF27AD" w:rsidRPr="002B55E9">
          <w:fldChar w:fldCharType="begin"/>
        </w:r>
        <w:r w:rsidR="00EF27AD" w:rsidRPr="002B55E9">
          <w:instrText xml:space="preserve"> PAGEREF _Toc119309045 \h </w:instrText>
        </w:r>
        <w:r w:rsidR="00EF27AD" w:rsidRPr="002B55E9">
          <w:fldChar w:fldCharType="separate"/>
        </w:r>
        <w:r w:rsidR="003E0233" w:rsidRPr="002B55E9">
          <w:rPr>
            <w:noProof/>
          </w:rPr>
          <w:t>246</w:t>
        </w:r>
        <w:r w:rsidR="00EF27AD" w:rsidRPr="002B55E9">
          <w:fldChar w:fldCharType="end"/>
        </w:r>
      </w:hyperlink>
    </w:p>
    <w:p w14:paraId="72CBF631" w14:textId="3E177891" w:rsidR="00D170E5" w:rsidRPr="002B55E9" w:rsidRDefault="00A8249C">
      <w:pPr>
        <w:pStyle w:val="34"/>
        <w:rPr>
          <w:rFonts w:asciiTheme="minorHAnsi" w:eastAsiaTheme="minorEastAsia" w:hAnsiTheme="minorHAnsi" w:cstheme="minorBidi"/>
          <w:kern w:val="2"/>
          <w:sz w:val="21"/>
          <w:szCs w:val="22"/>
        </w:rPr>
      </w:pPr>
      <w:hyperlink w:anchor="_Toc119309046" w:history="1">
        <w:r w:rsidR="00EF27AD" w:rsidRPr="002B55E9">
          <w:rPr>
            <w:rStyle w:val="afff7"/>
            <w:color w:val="auto"/>
            <w:lang w:val="zh-CN"/>
          </w:rPr>
          <w:t>12.6</w:t>
        </w:r>
        <w:r w:rsidR="00EF27AD" w:rsidRPr="002B55E9">
          <w:rPr>
            <w:rFonts w:asciiTheme="minorHAnsi" w:eastAsiaTheme="minorEastAsia" w:hAnsiTheme="minorHAnsi" w:cstheme="minorBidi"/>
            <w:kern w:val="2"/>
            <w:sz w:val="21"/>
            <w:szCs w:val="22"/>
          </w:rPr>
          <w:tab/>
        </w:r>
        <w:r w:rsidR="00EF27AD" w:rsidRPr="002B55E9">
          <w:rPr>
            <w:rStyle w:val="afff7"/>
            <w:color w:val="auto"/>
            <w:lang w:val="zh-CN"/>
          </w:rPr>
          <w:t>环境风险</w:t>
        </w:r>
        <w:r w:rsidR="00EF27AD" w:rsidRPr="002B55E9">
          <w:tab/>
        </w:r>
        <w:r w:rsidR="00EF27AD" w:rsidRPr="002B55E9">
          <w:fldChar w:fldCharType="begin"/>
        </w:r>
        <w:r w:rsidR="00EF27AD" w:rsidRPr="002B55E9">
          <w:instrText xml:space="preserve"> PAGEREF _Toc119309046 \h </w:instrText>
        </w:r>
        <w:r w:rsidR="00EF27AD" w:rsidRPr="002B55E9">
          <w:fldChar w:fldCharType="separate"/>
        </w:r>
        <w:r w:rsidR="003E0233" w:rsidRPr="002B55E9">
          <w:rPr>
            <w:noProof/>
          </w:rPr>
          <w:t>247</w:t>
        </w:r>
        <w:r w:rsidR="00EF27AD" w:rsidRPr="002B55E9">
          <w:fldChar w:fldCharType="end"/>
        </w:r>
      </w:hyperlink>
    </w:p>
    <w:p w14:paraId="15B0A466" w14:textId="3673C131" w:rsidR="00D170E5" w:rsidRPr="002B55E9" w:rsidRDefault="00A8249C">
      <w:pPr>
        <w:pStyle w:val="34"/>
        <w:rPr>
          <w:rFonts w:asciiTheme="minorHAnsi" w:eastAsiaTheme="minorEastAsia" w:hAnsiTheme="minorHAnsi" w:cstheme="minorBidi"/>
          <w:kern w:val="2"/>
          <w:sz w:val="21"/>
          <w:szCs w:val="22"/>
        </w:rPr>
      </w:pPr>
      <w:hyperlink w:anchor="_Toc119309047" w:history="1">
        <w:r w:rsidR="00EF27AD" w:rsidRPr="002B55E9">
          <w:rPr>
            <w:rStyle w:val="afff7"/>
            <w:color w:val="auto"/>
          </w:rPr>
          <w:t>12.7</w:t>
        </w:r>
        <w:r w:rsidR="00EF27AD" w:rsidRPr="002B55E9">
          <w:rPr>
            <w:rFonts w:asciiTheme="minorHAnsi" w:eastAsiaTheme="minorEastAsia" w:hAnsiTheme="minorHAnsi" w:cstheme="minorBidi"/>
            <w:kern w:val="2"/>
            <w:sz w:val="21"/>
            <w:szCs w:val="22"/>
          </w:rPr>
          <w:tab/>
        </w:r>
        <w:r w:rsidR="00EF27AD" w:rsidRPr="002B55E9">
          <w:rPr>
            <w:rStyle w:val="afff7"/>
            <w:color w:val="auto"/>
          </w:rPr>
          <w:t>总量控制</w:t>
        </w:r>
        <w:r w:rsidR="00EF27AD" w:rsidRPr="002B55E9">
          <w:tab/>
        </w:r>
        <w:r w:rsidR="00EF27AD" w:rsidRPr="002B55E9">
          <w:fldChar w:fldCharType="begin"/>
        </w:r>
        <w:r w:rsidR="00EF27AD" w:rsidRPr="002B55E9">
          <w:instrText xml:space="preserve"> PAGEREF _Toc119309047 \h </w:instrText>
        </w:r>
        <w:r w:rsidR="00EF27AD" w:rsidRPr="002B55E9">
          <w:fldChar w:fldCharType="separate"/>
        </w:r>
        <w:r w:rsidR="003E0233" w:rsidRPr="002B55E9">
          <w:rPr>
            <w:noProof/>
          </w:rPr>
          <w:t>248</w:t>
        </w:r>
        <w:r w:rsidR="00EF27AD" w:rsidRPr="002B55E9">
          <w:fldChar w:fldCharType="end"/>
        </w:r>
      </w:hyperlink>
    </w:p>
    <w:p w14:paraId="349F946D" w14:textId="2637BA38" w:rsidR="00D170E5" w:rsidRPr="002B55E9" w:rsidRDefault="00A8249C">
      <w:pPr>
        <w:pStyle w:val="34"/>
        <w:rPr>
          <w:rFonts w:asciiTheme="minorHAnsi" w:eastAsiaTheme="minorEastAsia" w:hAnsiTheme="minorHAnsi" w:cstheme="minorBidi"/>
          <w:kern w:val="2"/>
          <w:sz w:val="21"/>
          <w:szCs w:val="22"/>
        </w:rPr>
      </w:pPr>
      <w:hyperlink w:anchor="_Toc119309048" w:history="1">
        <w:r w:rsidR="00EF27AD" w:rsidRPr="002B55E9">
          <w:rPr>
            <w:rStyle w:val="afff7"/>
            <w:color w:val="auto"/>
          </w:rPr>
          <w:t>12.8</w:t>
        </w:r>
        <w:r w:rsidR="00EF27AD" w:rsidRPr="002B55E9">
          <w:rPr>
            <w:rFonts w:asciiTheme="minorHAnsi" w:eastAsiaTheme="minorEastAsia" w:hAnsiTheme="minorHAnsi" w:cstheme="minorBidi"/>
            <w:kern w:val="2"/>
            <w:sz w:val="21"/>
            <w:szCs w:val="22"/>
          </w:rPr>
          <w:tab/>
        </w:r>
        <w:r w:rsidR="00EF27AD" w:rsidRPr="002B55E9">
          <w:rPr>
            <w:rStyle w:val="afff7"/>
            <w:color w:val="auto"/>
          </w:rPr>
          <w:t>公众参与</w:t>
        </w:r>
        <w:r w:rsidR="00EF27AD" w:rsidRPr="002B55E9">
          <w:tab/>
        </w:r>
        <w:r w:rsidR="00EF27AD" w:rsidRPr="002B55E9">
          <w:fldChar w:fldCharType="begin"/>
        </w:r>
        <w:r w:rsidR="00EF27AD" w:rsidRPr="002B55E9">
          <w:instrText xml:space="preserve"> PAGEREF _Toc119309048 \h </w:instrText>
        </w:r>
        <w:r w:rsidR="00EF27AD" w:rsidRPr="002B55E9">
          <w:fldChar w:fldCharType="separate"/>
        </w:r>
        <w:r w:rsidR="003E0233" w:rsidRPr="002B55E9">
          <w:rPr>
            <w:noProof/>
          </w:rPr>
          <w:t>248</w:t>
        </w:r>
        <w:r w:rsidR="00EF27AD" w:rsidRPr="002B55E9">
          <w:fldChar w:fldCharType="end"/>
        </w:r>
      </w:hyperlink>
    </w:p>
    <w:p w14:paraId="690DFC5A" w14:textId="0010666E" w:rsidR="00D170E5" w:rsidRPr="002B55E9" w:rsidRDefault="00A8249C">
      <w:pPr>
        <w:pStyle w:val="34"/>
        <w:rPr>
          <w:rFonts w:asciiTheme="minorHAnsi" w:eastAsiaTheme="minorEastAsia" w:hAnsiTheme="minorHAnsi" w:cstheme="minorBidi"/>
          <w:kern w:val="2"/>
          <w:sz w:val="21"/>
          <w:szCs w:val="22"/>
        </w:rPr>
      </w:pPr>
      <w:hyperlink w:anchor="_Toc119309049" w:history="1">
        <w:r w:rsidR="00EF27AD" w:rsidRPr="002B55E9">
          <w:rPr>
            <w:rStyle w:val="afff7"/>
            <w:color w:val="auto"/>
          </w:rPr>
          <w:t>12.9</w:t>
        </w:r>
        <w:r w:rsidR="00EF27AD" w:rsidRPr="002B55E9">
          <w:rPr>
            <w:rFonts w:asciiTheme="minorHAnsi" w:eastAsiaTheme="minorEastAsia" w:hAnsiTheme="minorHAnsi" w:cstheme="minorBidi"/>
            <w:kern w:val="2"/>
            <w:sz w:val="21"/>
            <w:szCs w:val="22"/>
          </w:rPr>
          <w:tab/>
        </w:r>
        <w:r w:rsidR="00EF27AD" w:rsidRPr="002B55E9">
          <w:rPr>
            <w:rStyle w:val="afff7"/>
            <w:color w:val="auto"/>
          </w:rPr>
          <w:t>环评总结论</w:t>
        </w:r>
        <w:r w:rsidR="00EF27AD" w:rsidRPr="002B55E9">
          <w:tab/>
        </w:r>
        <w:r w:rsidR="00EF27AD" w:rsidRPr="002B55E9">
          <w:fldChar w:fldCharType="begin"/>
        </w:r>
        <w:r w:rsidR="00EF27AD" w:rsidRPr="002B55E9">
          <w:instrText xml:space="preserve"> PAGEREF _Toc119309049 \h </w:instrText>
        </w:r>
        <w:r w:rsidR="00EF27AD" w:rsidRPr="002B55E9">
          <w:fldChar w:fldCharType="separate"/>
        </w:r>
        <w:r w:rsidR="003E0233" w:rsidRPr="002B55E9">
          <w:rPr>
            <w:noProof/>
          </w:rPr>
          <w:t>248</w:t>
        </w:r>
        <w:r w:rsidR="00EF27AD" w:rsidRPr="002B55E9">
          <w:fldChar w:fldCharType="end"/>
        </w:r>
      </w:hyperlink>
    </w:p>
    <w:p w14:paraId="5896F1F8" w14:textId="77777777" w:rsidR="00D170E5" w:rsidRPr="002B55E9" w:rsidRDefault="00EF27AD">
      <w:pPr>
        <w:pStyle w:val="34"/>
        <w:snapToGrid w:val="0"/>
        <w:rPr>
          <w:b/>
          <w:bCs/>
        </w:rPr>
      </w:pPr>
      <w:r w:rsidRPr="002B55E9">
        <w:rPr>
          <w:iCs/>
          <w:sz w:val="24"/>
        </w:rPr>
        <w:fldChar w:fldCharType="end"/>
      </w:r>
    </w:p>
    <w:p w14:paraId="31CD98CD" w14:textId="77777777" w:rsidR="00D170E5" w:rsidRPr="002B55E9" w:rsidRDefault="00D170E5">
      <w:pPr>
        <w:pStyle w:val="affff7"/>
        <w:ind w:firstLine="422"/>
        <w:rPr>
          <w:b/>
          <w:bCs w:val="0"/>
          <w:sz w:val="21"/>
        </w:rPr>
        <w:sectPr w:rsidR="00D170E5" w:rsidRPr="002B55E9">
          <w:headerReference w:type="default" r:id="rId11"/>
          <w:footerReference w:type="even" r:id="rId12"/>
          <w:footerReference w:type="default" r:id="rId13"/>
          <w:pgSz w:w="11906" w:h="16838"/>
          <w:pgMar w:top="1134" w:right="1134" w:bottom="1134" w:left="1134" w:header="737" w:footer="624" w:gutter="0"/>
          <w:pgNumType w:start="1"/>
          <w:cols w:space="720"/>
          <w:docGrid w:type="lines" w:linePitch="312"/>
        </w:sectPr>
      </w:pPr>
    </w:p>
    <w:p w14:paraId="376BC4EB" w14:textId="77777777" w:rsidR="00D170E5" w:rsidRPr="002B55E9" w:rsidRDefault="00EF27AD">
      <w:pPr>
        <w:pStyle w:val="affff7"/>
        <w:spacing w:after="0"/>
        <w:ind w:firstLineChars="0" w:firstLine="0"/>
        <w:rPr>
          <w:b/>
        </w:rPr>
      </w:pPr>
      <w:bookmarkStart w:id="42" w:name="OLE_LINK8"/>
      <w:r w:rsidRPr="002B55E9">
        <w:rPr>
          <w:b/>
        </w:rPr>
        <w:lastRenderedPageBreak/>
        <w:t>附表</w:t>
      </w:r>
    </w:p>
    <w:p w14:paraId="3C6E3A0C" w14:textId="77777777" w:rsidR="00D170E5" w:rsidRPr="002B55E9" w:rsidRDefault="00EF27AD">
      <w:pPr>
        <w:pStyle w:val="affff7"/>
        <w:spacing w:after="0"/>
      </w:pPr>
      <w:r w:rsidRPr="002B55E9">
        <w:rPr>
          <w:rFonts w:hint="eastAsia"/>
        </w:rPr>
        <w:t>海天醋酒建设项目（一期）环境影响报告书</w:t>
      </w:r>
      <w:r w:rsidRPr="002B55E9">
        <w:rPr>
          <w:rFonts w:hint="eastAsia"/>
          <w:bCs w:val="0"/>
        </w:rPr>
        <w:t>审批基础信息表</w:t>
      </w:r>
    </w:p>
    <w:p w14:paraId="6BB5AD8E" w14:textId="77777777" w:rsidR="00D170E5" w:rsidRPr="002B55E9" w:rsidRDefault="00EF27AD">
      <w:pPr>
        <w:pStyle w:val="affff7"/>
        <w:spacing w:after="0"/>
        <w:ind w:firstLineChars="0" w:firstLine="0"/>
        <w:rPr>
          <w:b/>
        </w:rPr>
      </w:pPr>
      <w:r w:rsidRPr="002B55E9">
        <w:rPr>
          <w:b/>
        </w:rPr>
        <w:t>二、附件</w:t>
      </w:r>
    </w:p>
    <w:p w14:paraId="33D02091" w14:textId="77777777" w:rsidR="00D170E5" w:rsidRPr="002B55E9" w:rsidRDefault="00EF27AD">
      <w:pPr>
        <w:pStyle w:val="affff7"/>
        <w:spacing w:after="0"/>
      </w:pPr>
      <w:r w:rsidRPr="002B55E9">
        <w:rPr>
          <w:rFonts w:hint="eastAsia"/>
        </w:rPr>
        <w:t>附件</w:t>
      </w:r>
      <w:r w:rsidRPr="002B55E9">
        <w:rPr>
          <w:rFonts w:hint="eastAsia"/>
        </w:rPr>
        <w:t xml:space="preserve">1  </w:t>
      </w:r>
      <w:r w:rsidRPr="002B55E9">
        <w:rPr>
          <w:rFonts w:hint="eastAsia"/>
        </w:rPr>
        <w:t>海天醋酒建设项目（一期）</w:t>
      </w:r>
      <w:r w:rsidRPr="002B55E9">
        <w:t>环境影响评价委托书</w:t>
      </w:r>
    </w:p>
    <w:p w14:paraId="527E1771" w14:textId="77777777" w:rsidR="00D170E5" w:rsidRPr="002B55E9" w:rsidRDefault="00EF27AD">
      <w:pPr>
        <w:pStyle w:val="affff7"/>
      </w:pPr>
      <w:r w:rsidRPr="002B55E9">
        <w:rPr>
          <w:rFonts w:hint="eastAsia"/>
        </w:rPr>
        <w:t>附件</w:t>
      </w:r>
      <w:r w:rsidRPr="002B55E9">
        <w:rPr>
          <w:rFonts w:hint="eastAsia"/>
        </w:rPr>
        <w:t xml:space="preserve">2   </w:t>
      </w:r>
      <w:r w:rsidRPr="002B55E9">
        <w:rPr>
          <w:rFonts w:hint="eastAsia"/>
        </w:rPr>
        <w:t>湖北省固定资产投资项目备案证</w:t>
      </w:r>
    </w:p>
    <w:p w14:paraId="4A562FCE" w14:textId="77777777" w:rsidR="00D170E5" w:rsidRPr="002B55E9" w:rsidRDefault="00EF27AD">
      <w:pPr>
        <w:pStyle w:val="affff7"/>
        <w:spacing w:after="0"/>
      </w:pPr>
      <w:r w:rsidRPr="002B55E9">
        <w:rPr>
          <w:rFonts w:hint="eastAsia"/>
        </w:rPr>
        <w:t>附件</w:t>
      </w:r>
      <w:r w:rsidRPr="002B55E9">
        <w:rPr>
          <w:rFonts w:hint="eastAsia"/>
        </w:rPr>
        <w:t xml:space="preserve">3  </w:t>
      </w:r>
      <w:r w:rsidRPr="002B55E9">
        <w:rPr>
          <w:rFonts w:hint="eastAsia"/>
        </w:rPr>
        <w:t>海天醋酒建设项目（一期）土地证</w:t>
      </w:r>
    </w:p>
    <w:p w14:paraId="6774BEEF" w14:textId="77777777" w:rsidR="00D170E5" w:rsidRPr="002B55E9" w:rsidRDefault="00EF27AD">
      <w:pPr>
        <w:pStyle w:val="affff7"/>
        <w:spacing w:after="0"/>
      </w:pPr>
      <w:r w:rsidRPr="002B55E9">
        <w:rPr>
          <w:rFonts w:hint="eastAsia"/>
        </w:rPr>
        <w:t>附件</w:t>
      </w:r>
      <w:r w:rsidRPr="002B55E9">
        <w:rPr>
          <w:rFonts w:hint="eastAsia"/>
        </w:rPr>
        <w:t xml:space="preserve">4  </w:t>
      </w:r>
      <w:r w:rsidRPr="002B55E9">
        <w:rPr>
          <w:rFonts w:hint="eastAsia"/>
        </w:rPr>
        <w:t>海天醋酒建设项目（一期）建设用地规划许可证</w:t>
      </w:r>
    </w:p>
    <w:p w14:paraId="04CDD382" w14:textId="77777777" w:rsidR="00D170E5" w:rsidRPr="002B55E9" w:rsidRDefault="00EF27AD">
      <w:pPr>
        <w:pStyle w:val="affff7"/>
      </w:pPr>
      <w:r w:rsidRPr="002B55E9">
        <w:rPr>
          <w:rFonts w:hint="eastAsia"/>
        </w:rPr>
        <w:t>附件</w:t>
      </w:r>
      <w:r w:rsidRPr="002B55E9">
        <w:rPr>
          <w:rFonts w:hint="eastAsia"/>
        </w:rPr>
        <w:t xml:space="preserve">5  </w:t>
      </w:r>
      <w:r w:rsidRPr="002B55E9">
        <w:rPr>
          <w:rFonts w:hint="eastAsia"/>
        </w:rPr>
        <w:t>武汉市生态环境局东西湖区分局关于海天调味品建设项目（一期）环境影响报告表的批复（武环东西湖审</w:t>
      </w:r>
      <w:r w:rsidRPr="002B55E9">
        <w:rPr>
          <w:rFonts w:hint="eastAsia"/>
        </w:rPr>
        <w:t>[2022]35</w:t>
      </w:r>
      <w:r w:rsidRPr="002B55E9">
        <w:rPr>
          <w:rFonts w:hint="eastAsia"/>
        </w:rPr>
        <w:t>号）</w:t>
      </w:r>
    </w:p>
    <w:p w14:paraId="6737DF4B" w14:textId="77777777" w:rsidR="00D170E5" w:rsidRPr="002B55E9" w:rsidRDefault="00EF27AD">
      <w:pPr>
        <w:pStyle w:val="affff7"/>
        <w:spacing w:after="0"/>
      </w:pPr>
      <w:r w:rsidRPr="002B55E9">
        <w:rPr>
          <w:rFonts w:hint="eastAsia"/>
        </w:rPr>
        <w:t>附件</w:t>
      </w:r>
      <w:r w:rsidRPr="002B55E9">
        <w:rPr>
          <w:rFonts w:hint="eastAsia"/>
        </w:rPr>
        <w:t xml:space="preserve">6  </w:t>
      </w:r>
      <w:r w:rsidRPr="002B55E9">
        <w:rPr>
          <w:rFonts w:hint="eastAsia"/>
        </w:rPr>
        <w:t>油墨</w:t>
      </w:r>
      <w:r w:rsidRPr="002B55E9">
        <w:t>、胶粘剂</w:t>
      </w:r>
      <w:r w:rsidRPr="002B55E9">
        <w:rPr>
          <w:rFonts w:hint="eastAsia"/>
        </w:rPr>
        <w:t>MSDS</w:t>
      </w:r>
    </w:p>
    <w:p w14:paraId="657E1B82" w14:textId="0E5623A1" w:rsidR="00D170E5" w:rsidRPr="002B55E9" w:rsidRDefault="00EF27AD">
      <w:pPr>
        <w:pStyle w:val="affff7"/>
        <w:spacing w:after="0"/>
        <w:ind w:firstLineChars="0"/>
      </w:pPr>
      <w:r w:rsidRPr="002B55E9">
        <w:rPr>
          <w:rFonts w:hint="eastAsia"/>
        </w:rPr>
        <w:t>附件</w:t>
      </w:r>
      <w:r w:rsidRPr="002B55E9">
        <w:rPr>
          <w:rFonts w:hint="eastAsia"/>
        </w:rPr>
        <w:t xml:space="preserve">7  </w:t>
      </w:r>
      <w:r w:rsidR="007B0AB6" w:rsidRPr="002B55E9">
        <w:rPr>
          <w:rFonts w:hint="eastAsia"/>
        </w:rPr>
        <w:t>武汉市东西湖区能源有限公司热力（蒸汽）供应合同</w:t>
      </w:r>
    </w:p>
    <w:p w14:paraId="31F22D35" w14:textId="77777777" w:rsidR="00D170E5" w:rsidRPr="002B55E9" w:rsidRDefault="00EF27AD">
      <w:pPr>
        <w:pStyle w:val="affff7"/>
        <w:spacing w:after="0"/>
      </w:pPr>
      <w:r w:rsidRPr="002B55E9">
        <w:rPr>
          <w:rFonts w:hint="eastAsia"/>
        </w:rPr>
        <w:t>附件</w:t>
      </w:r>
      <w:r w:rsidRPr="002B55E9">
        <w:t>8</w:t>
      </w:r>
      <w:r w:rsidRPr="002B55E9">
        <w:rPr>
          <w:rFonts w:hint="eastAsia"/>
        </w:rPr>
        <w:t xml:space="preserve">  </w:t>
      </w:r>
      <w:r w:rsidRPr="002B55E9">
        <w:rPr>
          <w:rFonts w:hint="eastAsia"/>
        </w:rPr>
        <w:t>海天醋业</w:t>
      </w:r>
      <w:r w:rsidRPr="002B55E9">
        <w:t>（</w:t>
      </w:r>
      <w:r w:rsidRPr="002B55E9">
        <w:rPr>
          <w:rFonts w:hint="eastAsia"/>
        </w:rPr>
        <w:t>武汉</w:t>
      </w:r>
      <w:r w:rsidRPr="002B55E9">
        <w:t>）</w:t>
      </w:r>
      <w:r w:rsidRPr="002B55E9">
        <w:rPr>
          <w:rFonts w:hint="eastAsia"/>
        </w:rPr>
        <w:t>有限公司</w:t>
      </w:r>
      <w:r w:rsidRPr="002B55E9">
        <w:t>海天醋酒建设项目（</w:t>
      </w:r>
      <w:r w:rsidRPr="002B55E9">
        <w:rPr>
          <w:rFonts w:hint="eastAsia"/>
        </w:rPr>
        <w:t>一期</w:t>
      </w:r>
      <w:r w:rsidRPr="002B55E9">
        <w:t>）</w:t>
      </w:r>
      <w:r w:rsidRPr="002B55E9">
        <w:rPr>
          <w:rFonts w:hint="eastAsia"/>
        </w:rPr>
        <w:t>环境</w:t>
      </w:r>
      <w:r w:rsidRPr="002B55E9">
        <w:t>质量监测报告（</w:t>
      </w:r>
      <w:r w:rsidRPr="002B55E9">
        <w:rPr>
          <w:rFonts w:hint="eastAsia"/>
        </w:rPr>
        <w:t>相融</w:t>
      </w:r>
      <w:r w:rsidRPr="002B55E9">
        <w:t>检字</w:t>
      </w:r>
      <w:r w:rsidRPr="002B55E9">
        <w:rPr>
          <w:rFonts w:hint="eastAsia"/>
        </w:rPr>
        <w:t>[2022]060053</w:t>
      </w:r>
      <w:r w:rsidRPr="002B55E9">
        <w:rPr>
          <w:rFonts w:hint="eastAsia"/>
        </w:rPr>
        <w:t>号</w:t>
      </w:r>
      <w:r w:rsidRPr="002B55E9">
        <w:t>）</w:t>
      </w:r>
    </w:p>
    <w:p w14:paraId="32BD2212" w14:textId="77777777" w:rsidR="00D170E5" w:rsidRPr="002B55E9" w:rsidRDefault="00EF27AD">
      <w:pPr>
        <w:pStyle w:val="affff7"/>
        <w:spacing w:after="0"/>
      </w:pPr>
      <w:r w:rsidRPr="002B55E9">
        <w:rPr>
          <w:rFonts w:hint="eastAsia"/>
        </w:rPr>
        <w:t>附件</w:t>
      </w:r>
      <w:r w:rsidRPr="002B55E9">
        <w:t>9</w:t>
      </w:r>
      <w:r w:rsidRPr="002B55E9">
        <w:rPr>
          <w:rFonts w:hint="eastAsia"/>
        </w:rPr>
        <w:t xml:space="preserve">  </w:t>
      </w:r>
      <w:r w:rsidRPr="002B55E9">
        <w:rPr>
          <w:rFonts w:hint="eastAsia"/>
        </w:rPr>
        <w:t>新沟镇</w:t>
      </w:r>
      <w:r w:rsidRPr="002B55E9">
        <w:t>食品医药</w:t>
      </w:r>
      <w:r w:rsidRPr="002B55E9">
        <w:rPr>
          <w:rFonts w:hint="eastAsia"/>
        </w:rPr>
        <w:t>板块</w:t>
      </w:r>
      <w:r w:rsidRPr="002B55E9">
        <w:t>规划环评环境监测报告（</w:t>
      </w:r>
      <w:r w:rsidRPr="002B55E9">
        <w:rPr>
          <w:rFonts w:hint="eastAsia"/>
        </w:rPr>
        <w:t>跃华</w:t>
      </w:r>
      <w:r w:rsidRPr="002B55E9">
        <w:t>（</w:t>
      </w:r>
      <w:r w:rsidRPr="002B55E9">
        <w:rPr>
          <w:rFonts w:hint="eastAsia"/>
        </w:rPr>
        <w:t>检</w:t>
      </w:r>
      <w:r w:rsidRPr="002B55E9">
        <w:t>）</w:t>
      </w:r>
      <w:r w:rsidRPr="002B55E9">
        <w:rPr>
          <w:rFonts w:hint="eastAsia"/>
        </w:rPr>
        <w:t>字</w:t>
      </w:r>
      <w:r w:rsidRPr="002B55E9">
        <w:rPr>
          <w:rFonts w:hint="eastAsia"/>
        </w:rPr>
        <w:t>20210790</w:t>
      </w:r>
      <w:r w:rsidRPr="002B55E9">
        <w:t>）</w:t>
      </w:r>
    </w:p>
    <w:p w14:paraId="1CD0E1E3" w14:textId="25A5DA40" w:rsidR="00D170E5" w:rsidRPr="002B55E9" w:rsidRDefault="00EF27AD">
      <w:pPr>
        <w:pStyle w:val="affff7"/>
        <w:spacing w:after="0"/>
        <w:ind w:firstLineChars="0"/>
      </w:pPr>
      <w:r w:rsidRPr="002B55E9">
        <w:rPr>
          <w:rFonts w:hint="eastAsia"/>
        </w:rPr>
        <w:t>附件</w:t>
      </w:r>
      <w:r w:rsidRPr="002B55E9">
        <w:rPr>
          <w:rFonts w:hint="eastAsia"/>
        </w:rPr>
        <w:t xml:space="preserve">10  </w:t>
      </w:r>
      <w:r w:rsidRPr="002B55E9">
        <w:rPr>
          <w:rFonts w:hint="eastAsia"/>
        </w:rPr>
        <w:t>环保</w:t>
      </w:r>
      <w:r w:rsidRPr="002B55E9">
        <w:t>责任主体协议</w:t>
      </w:r>
    </w:p>
    <w:p w14:paraId="66B2A1E3" w14:textId="20EF37F5" w:rsidR="00A841BF" w:rsidRPr="002B55E9" w:rsidRDefault="00A841BF">
      <w:pPr>
        <w:pStyle w:val="affff7"/>
        <w:spacing w:after="0"/>
        <w:ind w:firstLineChars="0"/>
      </w:pPr>
      <w:r w:rsidRPr="002B55E9">
        <w:rPr>
          <w:rFonts w:hint="eastAsia"/>
        </w:rPr>
        <w:t>附件</w:t>
      </w:r>
      <w:r w:rsidRPr="002B55E9">
        <w:rPr>
          <w:rFonts w:hint="eastAsia"/>
        </w:rPr>
        <w:t xml:space="preserve">11  </w:t>
      </w:r>
      <w:r w:rsidRPr="002B55E9">
        <w:rPr>
          <w:rFonts w:hint="eastAsia"/>
        </w:rPr>
        <w:t>废水</w:t>
      </w:r>
      <w:r w:rsidRPr="002B55E9">
        <w:t>处理协议</w:t>
      </w:r>
    </w:p>
    <w:p w14:paraId="14426735" w14:textId="1617D746" w:rsidR="00A841BF" w:rsidRPr="002B55E9" w:rsidRDefault="00A841BF">
      <w:pPr>
        <w:pStyle w:val="affff7"/>
        <w:spacing w:after="0"/>
        <w:ind w:firstLineChars="0"/>
      </w:pPr>
      <w:r w:rsidRPr="002B55E9">
        <w:rPr>
          <w:rFonts w:hint="eastAsia"/>
        </w:rPr>
        <w:t>附件</w:t>
      </w:r>
      <w:r w:rsidRPr="002B55E9">
        <w:rPr>
          <w:rFonts w:hint="eastAsia"/>
        </w:rPr>
        <w:t xml:space="preserve">12  </w:t>
      </w:r>
      <w:r w:rsidRPr="002B55E9">
        <w:rPr>
          <w:rFonts w:hint="eastAsia"/>
        </w:rPr>
        <w:t>海天醋业集团有限公司（西厂区）检测报告</w:t>
      </w:r>
    </w:p>
    <w:p w14:paraId="2BAA4D8E" w14:textId="29CC2F45" w:rsidR="00A841BF" w:rsidRPr="002B55E9" w:rsidRDefault="00A841BF">
      <w:pPr>
        <w:pStyle w:val="affff7"/>
        <w:spacing w:after="0"/>
        <w:ind w:firstLineChars="0"/>
      </w:pPr>
      <w:r w:rsidRPr="002B55E9">
        <w:rPr>
          <w:rFonts w:hint="eastAsia"/>
        </w:rPr>
        <w:t>附件</w:t>
      </w:r>
      <w:r w:rsidRPr="002B55E9">
        <w:rPr>
          <w:rFonts w:hint="eastAsia"/>
        </w:rPr>
        <w:t xml:space="preserve">13  </w:t>
      </w:r>
      <w:r w:rsidRPr="002B55E9">
        <w:rPr>
          <w:rFonts w:hint="eastAsia"/>
        </w:rPr>
        <w:t>海天醋业集团有限公司污泥</w:t>
      </w:r>
      <w:r w:rsidRPr="002B55E9">
        <w:t>含水率检测数据</w:t>
      </w:r>
    </w:p>
    <w:p w14:paraId="4073FB8C" w14:textId="3BD0541A" w:rsidR="00A841BF" w:rsidRPr="002B55E9" w:rsidRDefault="00A841BF">
      <w:pPr>
        <w:pStyle w:val="affff7"/>
        <w:spacing w:after="0"/>
        <w:ind w:firstLineChars="0"/>
      </w:pPr>
      <w:r w:rsidRPr="002B55E9">
        <w:rPr>
          <w:rFonts w:hint="eastAsia"/>
        </w:rPr>
        <w:t>附件</w:t>
      </w:r>
      <w:r w:rsidRPr="002B55E9">
        <w:rPr>
          <w:rFonts w:hint="eastAsia"/>
        </w:rPr>
        <w:t xml:space="preserve">14  </w:t>
      </w:r>
      <w:r w:rsidRPr="002B55E9">
        <w:rPr>
          <w:rFonts w:hint="eastAsia"/>
        </w:rPr>
        <w:t>市环保局关于东西湖区新城组群控制性详细规划环境影响报告书的审查意见</w:t>
      </w:r>
    </w:p>
    <w:p w14:paraId="147670AC" w14:textId="603D8CE7" w:rsidR="00D170E5" w:rsidRPr="002B55E9" w:rsidRDefault="00EF27AD">
      <w:pPr>
        <w:pStyle w:val="affff7"/>
        <w:spacing w:after="0"/>
        <w:ind w:firstLineChars="0"/>
      </w:pPr>
      <w:r w:rsidRPr="002B55E9">
        <w:rPr>
          <w:rFonts w:hint="eastAsia"/>
        </w:rPr>
        <w:t>附件</w:t>
      </w:r>
      <w:r w:rsidRPr="002B55E9">
        <w:t>1</w:t>
      </w:r>
      <w:r w:rsidR="00A841BF" w:rsidRPr="002B55E9">
        <w:t>5</w:t>
      </w:r>
      <w:r w:rsidRPr="002B55E9">
        <w:t xml:space="preserve">  </w:t>
      </w:r>
      <w:r w:rsidRPr="002B55E9">
        <w:rPr>
          <w:rFonts w:hint="eastAsia"/>
        </w:rPr>
        <w:t>武汉市</w:t>
      </w:r>
      <w:r w:rsidRPr="002B55E9">
        <w:t>生态环境局东西湖区分局关于新沟镇</w:t>
      </w:r>
      <w:r w:rsidRPr="002B55E9">
        <w:rPr>
          <w:rFonts w:hint="eastAsia"/>
        </w:rPr>
        <w:t>街</w:t>
      </w:r>
      <w:r w:rsidRPr="002B55E9">
        <w:t>食品医药用地板块总体规划环境影响</w:t>
      </w:r>
      <w:r w:rsidRPr="002B55E9">
        <w:rPr>
          <w:rFonts w:hint="eastAsia"/>
        </w:rPr>
        <w:t>报告书</w:t>
      </w:r>
      <w:r w:rsidRPr="002B55E9">
        <w:t>的</w:t>
      </w:r>
      <w:r w:rsidRPr="002B55E9">
        <w:rPr>
          <w:rFonts w:hint="eastAsia"/>
        </w:rPr>
        <w:t>审查</w:t>
      </w:r>
      <w:r w:rsidRPr="002B55E9">
        <w:t>意见</w:t>
      </w:r>
    </w:p>
    <w:p w14:paraId="1ECD3A99" w14:textId="78A3B440" w:rsidR="00D170E5" w:rsidRPr="002B55E9" w:rsidRDefault="00EF27AD">
      <w:pPr>
        <w:pStyle w:val="affff7"/>
        <w:spacing w:after="0"/>
        <w:ind w:firstLineChars="0"/>
      </w:pPr>
      <w:r w:rsidRPr="002B55E9">
        <w:rPr>
          <w:rFonts w:hint="eastAsia"/>
        </w:rPr>
        <w:t>附件</w:t>
      </w:r>
      <w:r w:rsidRPr="002B55E9">
        <w:rPr>
          <w:rFonts w:hint="eastAsia"/>
        </w:rPr>
        <w:t>1</w:t>
      </w:r>
      <w:r w:rsidR="00A841BF" w:rsidRPr="002B55E9">
        <w:t>6</w:t>
      </w:r>
      <w:r w:rsidRPr="002B55E9">
        <w:rPr>
          <w:rFonts w:hint="eastAsia"/>
        </w:rPr>
        <w:t xml:space="preserve">  </w:t>
      </w:r>
      <w:r w:rsidRPr="002B55E9">
        <w:t>危险废物处置承诺函</w:t>
      </w:r>
    </w:p>
    <w:p w14:paraId="3B46F083" w14:textId="245F0A45" w:rsidR="0020189A" w:rsidRPr="002B55E9" w:rsidRDefault="0020189A">
      <w:pPr>
        <w:pStyle w:val="affff7"/>
        <w:spacing w:after="0"/>
        <w:ind w:firstLineChars="0"/>
      </w:pPr>
      <w:r w:rsidRPr="002B55E9">
        <w:rPr>
          <w:rFonts w:hint="eastAsia"/>
        </w:rPr>
        <w:t>附件</w:t>
      </w:r>
      <w:r w:rsidRPr="002B55E9">
        <w:rPr>
          <w:rFonts w:hint="eastAsia"/>
        </w:rPr>
        <w:t xml:space="preserve">17  </w:t>
      </w:r>
      <w:r w:rsidRPr="002B55E9">
        <w:rPr>
          <w:rFonts w:hint="eastAsia"/>
        </w:rPr>
        <w:t>营业执照</w:t>
      </w:r>
    </w:p>
    <w:p w14:paraId="424DB754" w14:textId="5F631776" w:rsidR="00D170E5" w:rsidRPr="002B55E9" w:rsidRDefault="00EF27AD">
      <w:pPr>
        <w:pStyle w:val="affff7"/>
        <w:spacing w:after="0"/>
        <w:ind w:firstLineChars="0"/>
      </w:pPr>
      <w:r w:rsidRPr="002B55E9">
        <w:rPr>
          <w:rFonts w:hint="eastAsia"/>
        </w:rPr>
        <w:t>附件</w:t>
      </w:r>
      <w:r w:rsidRPr="002B55E9">
        <w:rPr>
          <w:rFonts w:hint="eastAsia"/>
        </w:rPr>
        <w:t>1</w:t>
      </w:r>
      <w:r w:rsidR="0020189A" w:rsidRPr="002B55E9">
        <w:t>8</w:t>
      </w:r>
      <w:r w:rsidRPr="002B55E9">
        <w:t xml:space="preserve">  </w:t>
      </w:r>
      <w:r w:rsidRPr="002B55E9">
        <w:rPr>
          <w:rFonts w:hint="eastAsia"/>
        </w:rPr>
        <w:t>海天</w:t>
      </w:r>
      <w:r w:rsidRPr="002B55E9">
        <w:t>醋酒建设项目（</w:t>
      </w:r>
      <w:r w:rsidRPr="002B55E9">
        <w:rPr>
          <w:rFonts w:hint="eastAsia"/>
        </w:rPr>
        <w:t>一期</w:t>
      </w:r>
      <w:r w:rsidRPr="002B55E9">
        <w:t>）</w:t>
      </w:r>
      <w:r w:rsidRPr="002B55E9">
        <w:rPr>
          <w:rFonts w:hint="eastAsia"/>
        </w:rPr>
        <w:t>环境</w:t>
      </w:r>
      <w:r w:rsidRPr="002B55E9">
        <w:t>影响评价自查表</w:t>
      </w:r>
    </w:p>
    <w:p w14:paraId="3A7EF0C0" w14:textId="77777777" w:rsidR="00D170E5" w:rsidRPr="002B55E9" w:rsidRDefault="00D170E5">
      <w:pPr>
        <w:pStyle w:val="affff7"/>
        <w:spacing w:after="0"/>
        <w:ind w:firstLineChars="0"/>
      </w:pPr>
    </w:p>
    <w:p w14:paraId="32E6CA6C" w14:textId="77777777" w:rsidR="00D170E5" w:rsidRPr="002B55E9" w:rsidRDefault="00EF27AD">
      <w:pPr>
        <w:pStyle w:val="affff7"/>
        <w:spacing w:after="0"/>
        <w:ind w:firstLineChars="0" w:firstLine="0"/>
        <w:rPr>
          <w:b/>
        </w:rPr>
      </w:pPr>
      <w:r w:rsidRPr="002B55E9">
        <w:rPr>
          <w:b/>
        </w:rPr>
        <w:t>三、附图</w:t>
      </w:r>
    </w:p>
    <w:p w14:paraId="5AF04E73" w14:textId="77777777" w:rsidR="00D170E5" w:rsidRPr="002B55E9" w:rsidRDefault="00EF27AD">
      <w:pPr>
        <w:pStyle w:val="affff7"/>
      </w:pPr>
      <w:r w:rsidRPr="002B55E9">
        <w:t>附图</w:t>
      </w:r>
      <w:r w:rsidRPr="002B55E9">
        <w:t>1</w:t>
      </w:r>
      <w:r w:rsidRPr="002B55E9">
        <w:rPr>
          <w:rFonts w:hint="eastAsia"/>
        </w:rPr>
        <w:t xml:space="preserve"> </w:t>
      </w:r>
      <w:r w:rsidRPr="002B55E9">
        <w:t xml:space="preserve"> </w:t>
      </w:r>
      <w:r w:rsidRPr="002B55E9">
        <w:rPr>
          <w:rFonts w:hint="eastAsia"/>
        </w:rPr>
        <w:t>海天醋酒建设项目（一期）</w:t>
      </w:r>
      <w:r w:rsidRPr="002B55E9">
        <w:t>地理位置图</w:t>
      </w:r>
    </w:p>
    <w:p w14:paraId="4FFE7AFA" w14:textId="77777777" w:rsidR="00D170E5" w:rsidRPr="002B55E9" w:rsidRDefault="00EF27AD">
      <w:pPr>
        <w:pStyle w:val="affff7"/>
      </w:pPr>
      <w:r w:rsidRPr="002B55E9">
        <w:t>附图</w:t>
      </w:r>
      <w:r w:rsidRPr="002B55E9">
        <w:rPr>
          <w:rFonts w:hint="eastAsia"/>
        </w:rPr>
        <w:t xml:space="preserve">2 </w:t>
      </w:r>
      <w:r w:rsidRPr="002B55E9">
        <w:t xml:space="preserve"> </w:t>
      </w:r>
      <w:r w:rsidRPr="002B55E9">
        <w:rPr>
          <w:rFonts w:hint="eastAsia"/>
        </w:rPr>
        <w:t>海天醋酒建设项目（一期）周边环境关系图</w:t>
      </w:r>
    </w:p>
    <w:p w14:paraId="70C0A38E" w14:textId="77777777" w:rsidR="00D170E5" w:rsidRPr="002B55E9" w:rsidRDefault="00EF27AD">
      <w:pPr>
        <w:pStyle w:val="affff7"/>
      </w:pPr>
      <w:r w:rsidRPr="002B55E9">
        <w:rPr>
          <w:rFonts w:hint="eastAsia"/>
        </w:rPr>
        <w:t>附图</w:t>
      </w:r>
      <w:r w:rsidRPr="002B55E9">
        <w:rPr>
          <w:rFonts w:hint="eastAsia"/>
        </w:rPr>
        <w:t xml:space="preserve">3 </w:t>
      </w:r>
      <w:r w:rsidRPr="002B55E9">
        <w:t xml:space="preserve"> </w:t>
      </w:r>
      <w:r w:rsidRPr="002B55E9">
        <w:rPr>
          <w:rFonts w:hint="eastAsia"/>
        </w:rPr>
        <w:t>海天醋酒建设项目（一期）环境质量监测点位示意图</w:t>
      </w:r>
    </w:p>
    <w:p w14:paraId="294F7D84" w14:textId="77777777" w:rsidR="00D170E5" w:rsidRPr="002B55E9" w:rsidRDefault="00EF27AD">
      <w:pPr>
        <w:pStyle w:val="affff7"/>
      </w:pPr>
      <w:r w:rsidRPr="002B55E9">
        <w:t>附图</w:t>
      </w:r>
      <w:r w:rsidRPr="002B55E9">
        <w:rPr>
          <w:rFonts w:hint="eastAsia"/>
        </w:rPr>
        <w:t xml:space="preserve">4 </w:t>
      </w:r>
      <w:r w:rsidRPr="002B55E9">
        <w:t xml:space="preserve"> </w:t>
      </w:r>
      <w:r w:rsidRPr="002B55E9">
        <w:rPr>
          <w:rFonts w:hint="eastAsia"/>
        </w:rPr>
        <w:t>海天醋酒建设项目（一期）在新沟镇街</w:t>
      </w:r>
      <w:r w:rsidRPr="002B55E9">
        <w:t>食品医药用地板块位置</w:t>
      </w:r>
      <w:r w:rsidRPr="002B55E9">
        <w:rPr>
          <w:rFonts w:hint="eastAsia"/>
        </w:rPr>
        <w:t>示意图</w:t>
      </w:r>
    </w:p>
    <w:p w14:paraId="698EFF67" w14:textId="77777777" w:rsidR="00D170E5" w:rsidRPr="002B55E9" w:rsidRDefault="00EF27AD">
      <w:pPr>
        <w:pStyle w:val="affff7"/>
        <w:spacing w:line="324" w:lineRule="auto"/>
      </w:pPr>
      <w:r w:rsidRPr="002B55E9">
        <w:lastRenderedPageBreak/>
        <w:t>附图</w:t>
      </w:r>
      <w:r w:rsidRPr="002B55E9">
        <w:rPr>
          <w:rFonts w:hint="eastAsia"/>
        </w:rPr>
        <w:t xml:space="preserve">5 </w:t>
      </w:r>
      <w:r w:rsidRPr="002B55E9">
        <w:t xml:space="preserve"> </w:t>
      </w:r>
      <w:r w:rsidRPr="002B55E9">
        <w:rPr>
          <w:rFonts w:hint="eastAsia"/>
        </w:rPr>
        <w:t>海天醋酒建设项目（一期）评价范围及敏感点分布示意图</w:t>
      </w:r>
    </w:p>
    <w:p w14:paraId="2DE8F314" w14:textId="77777777" w:rsidR="00D170E5" w:rsidRPr="002B55E9" w:rsidRDefault="00EF27AD">
      <w:pPr>
        <w:pStyle w:val="affff7"/>
      </w:pPr>
      <w:r w:rsidRPr="002B55E9">
        <w:t>附图</w:t>
      </w:r>
      <w:r w:rsidRPr="002B55E9">
        <w:rPr>
          <w:rFonts w:hint="eastAsia"/>
        </w:rPr>
        <w:t xml:space="preserve">6 </w:t>
      </w:r>
      <w:r w:rsidRPr="002B55E9">
        <w:t xml:space="preserve"> </w:t>
      </w:r>
      <w:r w:rsidRPr="002B55E9">
        <w:t>海天</w:t>
      </w:r>
      <w:r w:rsidRPr="002B55E9">
        <w:rPr>
          <w:rFonts w:hint="eastAsia"/>
        </w:rPr>
        <w:t>醋酒</w:t>
      </w:r>
      <w:r w:rsidRPr="002B55E9">
        <w:t>建设项目（</w:t>
      </w:r>
      <w:r w:rsidRPr="002B55E9">
        <w:rPr>
          <w:rFonts w:hint="eastAsia"/>
        </w:rPr>
        <w:t>一期</w:t>
      </w:r>
      <w:r w:rsidRPr="002B55E9">
        <w:t>）</w:t>
      </w:r>
      <w:r w:rsidRPr="002B55E9">
        <w:rPr>
          <w:rFonts w:hint="eastAsia"/>
        </w:rPr>
        <w:t>总平面布置图</w:t>
      </w:r>
    </w:p>
    <w:p w14:paraId="5CC205E1" w14:textId="77777777" w:rsidR="00D170E5" w:rsidRPr="002B55E9" w:rsidRDefault="00EF27AD">
      <w:pPr>
        <w:pStyle w:val="affff7"/>
      </w:pPr>
      <w:r w:rsidRPr="002B55E9">
        <w:rPr>
          <w:rFonts w:hint="eastAsia"/>
        </w:rPr>
        <w:t>附图</w:t>
      </w:r>
      <w:r w:rsidRPr="002B55E9">
        <w:rPr>
          <w:rFonts w:hint="eastAsia"/>
        </w:rPr>
        <w:t xml:space="preserve">7 </w:t>
      </w:r>
      <w:r w:rsidRPr="002B55E9">
        <w:t xml:space="preserve"> </w:t>
      </w:r>
      <w:r w:rsidRPr="002B55E9">
        <w:t>海天</w:t>
      </w:r>
      <w:r w:rsidRPr="002B55E9">
        <w:rPr>
          <w:rFonts w:hint="eastAsia"/>
        </w:rPr>
        <w:t>醋酒</w:t>
      </w:r>
      <w:r w:rsidRPr="002B55E9">
        <w:t>建设项目（</w:t>
      </w:r>
      <w:r w:rsidRPr="002B55E9">
        <w:rPr>
          <w:rFonts w:hint="eastAsia"/>
        </w:rPr>
        <w:t>一期</w:t>
      </w:r>
      <w:r w:rsidRPr="002B55E9">
        <w:t>）雨污</w:t>
      </w:r>
      <w:r w:rsidRPr="002B55E9">
        <w:rPr>
          <w:rFonts w:hint="eastAsia"/>
        </w:rPr>
        <w:t>管网</w:t>
      </w:r>
      <w:r w:rsidRPr="002B55E9">
        <w:t>图</w:t>
      </w:r>
    </w:p>
    <w:p w14:paraId="1A686ABF" w14:textId="77777777" w:rsidR="00D170E5" w:rsidRPr="002B55E9" w:rsidRDefault="00EF27AD">
      <w:pPr>
        <w:pStyle w:val="affff7"/>
      </w:pPr>
      <w:r w:rsidRPr="002B55E9">
        <w:t>附图</w:t>
      </w:r>
      <w:r w:rsidRPr="002B55E9">
        <w:rPr>
          <w:rFonts w:hint="eastAsia"/>
        </w:rPr>
        <w:t xml:space="preserve">8 </w:t>
      </w:r>
      <w:r w:rsidRPr="002B55E9">
        <w:t xml:space="preserve"> </w:t>
      </w:r>
      <w:r w:rsidRPr="002B55E9">
        <w:t>海天</w:t>
      </w:r>
      <w:r w:rsidRPr="002B55E9">
        <w:rPr>
          <w:rFonts w:hint="eastAsia"/>
        </w:rPr>
        <w:t>醋酒</w:t>
      </w:r>
      <w:r w:rsidRPr="002B55E9">
        <w:t>建设项目（</w:t>
      </w:r>
      <w:r w:rsidRPr="002B55E9">
        <w:rPr>
          <w:rFonts w:hint="eastAsia"/>
        </w:rPr>
        <w:t>一期</w:t>
      </w:r>
      <w:r w:rsidRPr="002B55E9">
        <w:t>）</w:t>
      </w:r>
      <w:r w:rsidRPr="002B55E9">
        <w:rPr>
          <w:rFonts w:hint="eastAsia"/>
        </w:rPr>
        <w:t>十三车间平面布置图</w:t>
      </w:r>
    </w:p>
    <w:p w14:paraId="32D3EB58" w14:textId="77777777" w:rsidR="00D170E5" w:rsidRPr="002B55E9" w:rsidRDefault="00EF27AD">
      <w:pPr>
        <w:pStyle w:val="affff7"/>
      </w:pPr>
      <w:r w:rsidRPr="002B55E9">
        <w:rPr>
          <w:rFonts w:hint="eastAsia"/>
        </w:rPr>
        <w:t>附体</w:t>
      </w:r>
      <w:r w:rsidRPr="002B55E9">
        <w:rPr>
          <w:rFonts w:hint="eastAsia"/>
        </w:rPr>
        <w:t xml:space="preserve">9  </w:t>
      </w:r>
      <w:r w:rsidRPr="002B55E9">
        <w:t>海天</w:t>
      </w:r>
      <w:r w:rsidRPr="002B55E9">
        <w:rPr>
          <w:rFonts w:hint="eastAsia"/>
        </w:rPr>
        <w:t>醋酒</w:t>
      </w:r>
      <w:r w:rsidRPr="002B55E9">
        <w:t>建设项目（</w:t>
      </w:r>
      <w:r w:rsidRPr="002B55E9">
        <w:rPr>
          <w:rFonts w:hint="eastAsia"/>
        </w:rPr>
        <w:t>一期</w:t>
      </w:r>
      <w:r w:rsidRPr="002B55E9">
        <w:t>）</w:t>
      </w:r>
      <w:r w:rsidRPr="002B55E9">
        <w:rPr>
          <w:rFonts w:hint="eastAsia"/>
        </w:rPr>
        <w:t>十一车间平面布置图</w:t>
      </w:r>
    </w:p>
    <w:p w14:paraId="06F84D2A" w14:textId="77777777" w:rsidR="00D170E5" w:rsidRPr="002B55E9" w:rsidRDefault="00EF27AD">
      <w:pPr>
        <w:pStyle w:val="affff7"/>
      </w:pPr>
      <w:r w:rsidRPr="002B55E9">
        <w:rPr>
          <w:rFonts w:hint="eastAsia"/>
        </w:rPr>
        <w:t>附图</w:t>
      </w:r>
      <w:r w:rsidRPr="002B55E9">
        <w:t xml:space="preserve">10  </w:t>
      </w:r>
      <w:r w:rsidRPr="002B55E9">
        <w:t>海天</w:t>
      </w:r>
      <w:r w:rsidRPr="002B55E9">
        <w:rPr>
          <w:rFonts w:hint="eastAsia"/>
        </w:rPr>
        <w:t>醋酒</w:t>
      </w:r>
      <w:r w:rsidRPr="002B55E9">
        <w:t>建设项目（</w:t>
      </w:r>
      <w:r w:rsidRPr="002B55E9">
        <w:rPr>
          <w:rFonts w:hint="eastAsia"/>
        </w:rPr>
        <w:t>一期</w:t>
      </w:r>
      <w:r w:rsidRPr="002B55E9">
        <w:t>）</w:t>
      </w:r>
      <w:r w:rsidRPr="002B55E9">
        <w:rPr>
          <w:rFonts w:hint="eastAsia"/>
        </w:rPr>
        <w:t>卫生</w:t>
      </w:r>
      <w:r w:rsidRPr="002B55E9">
        <w:t>防护范围图</w:t>
      </w:r>
    </w:p>
    <w:p w14:paraId="7EB4EE97" w14:textId="77777777" w:rsidR="00D170E5" w:rsidRPr="002B55E9" w:rsidRDefault="00EF27AD">
      <w:pPr>
        <w:pStyle w:val="affff7"/>
      </w:pPr>
      <w:r w:rsidRPr="002B55E9">
        <w:rPr>
          <w:rFonts w:hint="eastAsia"/>
        </w:rPr>
        <w:t>附图</w:t>
      </w:r>
      <w:r w:rsidRPr="002B55E9">
        <w:t xml:space="preserve">11  </w:t>
      </w:r>
      <w:r w:rsidRPr="002B55E9">
        <w:t>海天</w:t>
      </w:r>
      <w:r w:rsidRPr="002B55E9">
        <w:rPr>
          <w:rFonts w:hint="eastAsia"/>
        </w:rPr>
        <w:t>醋酒</w:t>
      </w:r>
      <w:r w:rsidRPr="002B55E9">
        <w:t>建设项目（</w:t>
      </w:r>
      <w:r w:rsidRPr="002B55E9">
        <w:rPr>
          <w:rFonts w:hint="eastAsia"/>
        </w:rPr>
        <w:t>一期</w:t>
      </w:r>
      <w:r w:rsidRPr="002B55E9">
        <w:t>）</w:t>
      </w:r>
      <w:r w:rsidRPr="002B55E9">
        <w:rPr>
          <w:rFonts w:hint="eastAsia"/>
        </w:rPr>
        <w:t>分区防渗</w:t>
      </w:r>
      <w:r w:rsidRPr="002B55E9">
        <w:t>图</w:t>
      </w:r>
    </w:p>
    <w:p w14:paraId="7E3208BE" w14:textId="30521299" w:rsidR="00D170E5" w:rsidRPr="002B55E9" w:rsidRDefault="00EF27AD">
      <w:pPr>
        <w:pStyle w:val="affff7"/>
      </w:pPr>
      <w:r w:rsidRPr="002B55E9">
        <w:rPr>
          <w:rFonts w:hint="eastAsia"/>
        </w:rPr>
        <w:t>附图</w:t>
      </w:r>
      <w:r w:rsidRPr="002B55E9">
        <w:rPr>
          <w:rFonts w:hint="eastAsia"/>
        </w:rPr>
        <w:t>1</w:t>
      </w:r>
      <w:r w:rsidRPr="002B55E9">
        <w:t>2</w:t>
      </w:r>
      <w:r w:rsidRPr="002B55E9">
        <w:rPr>
          <w:rFonts w:hint="eastAsia"/>
        </w:rPr>
        <w:t xml:space="preserve">  </w:t>
      </w:r>
      <w:r w:rsidRPr="002B55E9">
        <w:rPr>
          <w:rFonts w:hint="eastAsia"/>
        </w:rPr>
        <w:t>东西湖污水处理厂服务范围及项目排水路径示意图</w:t>
      </w:r>
    </w:p>
    <w:p w14:paraId="31FC88B7" w14:textId="4B9B2432" w:rsidR="009A0E0A" w:rsidRPr="002B55E9" w:rsidRDefault="009A0E0A">
      <w:pPr>
        <w:pStyle w:val="affff7"/>
      </w:pPr>
      <w:r w:rsidRPr="002B55E9">
        <w:rPr>
          <w:rFonts w:hint="eastAsia"/>
        </w:rPr>
        <w:t>附图</w:t>
      </w:r>
      <w:r w:rsidRPr="002B55E9">
        <w:rPr>
          <w:rFonts w:hint="eastAsia"/>
        </w:rPr>
        <w:t>1</w:t>
      </w:r>
      <w:r w:rsidRPr="002B55E9">
        <w:t xml:space="preserve">3  </w:t>
      </w:r>
      <w:r w:rsidR="00655589" w:rsidRPr="002B55E9">
        <w:rPr>
          <w:rFonts w:hint="eastAsia"/>
        </w:rPr>
        <w:t>海天醋酒建设项目（一期）</w:t>
      </w:r>
      <w:r w:rsidRPr="002B55E9">
        <w:rPr>
          <w:rFonts w:hint="eastAsia"/>
        </w:rPr>
        <w:t>所在区域雨水系统图</w:t>
      </w:r>
    </w:p>
    <w:p w14:paraId="57A03CF7" w14:textId="06957A93" w:rsidR="009A0E0A" w:rsidRPr="002B55E9" w:rsidRDefault="009A0E0A">
      <w:pPr>
        <w:pStyle w:val="affff7"/>
      </w:pPr>
      <w:r w:rsidRPr="002B55E9">
        <w:rPr>
          <w:rFonts w:hint="eastAsia"/>
        </w:rPr>
        <w:t>附图</w:t>
      </w:r>
      <w:r w:rsidRPr="002B55E9">
        <w:rPr>
          <w:rFonts w:hint="eastAsia"/>
        </w:rPr>
        <w:t>1</w:t>
      </w:r>
      <w:r w:rsidRPr="002B55E9">
        <w:t xml:space="preserve">4  </w:t>
      </w:r>
      <w:r w:rsidR="00655589" w:rsidRPr="002B55E9">
        <w:rPr>
          <w:rFonts w:hint="eastAsia"/>
        </w:rPr>
        <w:t>海天醋酒建设项目（一期）</w:t>
      </w:r>
      <w:r w:rsidRPr="002B55E9">
        <w:rPr>
          <w:rFonts w:hint="eastAsia"/>
        </w:rPr>
        <w:t>所在区域水系分布图</w:t>
      </w:r>
    </w:p>
    <w:p w14:paraId="5A760D56" w14:textId="63CAC0CD" w:rsidR="009A0E0A" w:rsidRPr="002B55E9" w:rsidRDefault="009A0E0A">
      <w:pPr>
        <w:pStyle w:val="affff7"/>
      </w:pPr>
      <w:r w:rsidRPr="002B55E9">
        <w:rPr>
          <w:rFonts w:hint="eastAsia"/>
        </w:rPr>
        <w:t>附图</w:t>
      </w:r>
      <w:r w:rsidRPr="002B55E9">
        <w:rPr>
          <w:rFonts w:hint="eastAsia"/>
        </w:rPr>
        <w:t>1</w:t>
      </w:r>
      <w:r w:rsidRPr="002B55E9">
        <w:t xml:space="preserve">5  </w:t>
      </w:r>
      <w:r w:rsidRPr="002B55E9">
        <w:rPr>
          <w:rFonts w:hint="eastAsia"/>
        </w:rPr>
        <w:t>项目厂区环境风险单元分布和区域应疏散通道及安置场所位置图</w:t>
      </w:r>
    </w:p>
    <w:p w14:paraId="608664D2" w14:textId="3E46F92E" w:rsidR="00D170E5" w:rsidRPr="002B55E9" w:rsidRDefault="00EF27AD">
      <w:pPr>
        <w:pStyle w:val="affff7"/>
      </w:pPr>
      <w:r w:rsidRPr="002B55E9">
        <w:rPr>
          <w:rFonts w:hint="eastAsia"/>
        </w:rPr>
        <w:t>附图</w:t>
      </w:r>
      <w:r w:rsidRPr="002B55E9">
        <w:rPr>
          <w:rFonts w:hint="eastAsia"/>
        </w:rPr>
        <w:t>1</w:t>
      </w:r>
      <w:r w:rsidR="009A0E0A" w:rsidRPr="002B55E9">
        <w:t>6</w:t>
      </w:r>
      <w:r w:rsidRPr="002B55E9">
        <w:rPr>
          <w:rFonts w:hint="eastAsia"/>
        </w:rPr>
        <w:t xml:space="preserve">  </w:t>
      </w:r>
      <w:r w:rsidRPr="002B55E9">
        <w:rPr>
          <w:rFonts w:hint="eastAsia"/>
        </w:rPr>
        <w:t>海天醋酒建设项目（一期）土地利用规划图</w:t>
      </w:r>
    </w:p>
    <w:p w14:paraId="1ED6B99D" w14:textId="70CE8860" w:rsidR="00D170E5" w:rsidRPr="002B55E9" w:rsidRDefault="00EF27AD">
      <w:pPr>
        <w:pStyle w:val="affff7"/>
      </w:pPr>
      <w:r w:rsidRPr="002B55E9">
        <w:rPr>
          <w:rFonts w:hint="eastAsia"/>
        </w:rPr>
        <w:t>附图</w:t>
      </w:r>
      <w:r w:rsidRPr="002B55E9">
        <w:rPr>
          <w:rFonts w:hint="eastAsia"/>
        </w:rPr>
        <w:t>1</w:t>
      </w:r>
      <w:r w:rsidR="009A0E0A" w:rsidRPr="002B55E9">
        <w:t>7</w:t>
      </w:r>
      <w:r w:rsidRPr="002B55E9">
        <w:rPr>
          <w:rFonts w:hint="eastAsia"/>
        </w:rPr>
        <w:t xml:space="preserve">  </w:t>
      </w:r>
      <w:r w:rsidRPr="002B55E9">
        <w:rPr>
          <w:rFonts w:hint="eastAsia"/>
        </w:rPr>
        <w:t>本项目与东西湖区基本生态控制线位置关系图</w:t>
      </w:r>
    </w:p>
    <w:p w14:paraId="2E9B7009" w14:textId="535C1AF4" w:rsidR="00D170E5" w:rsidRPr="002B55E9" w:rsidRDefault="00EF27AD">
      <w:pPr>
        <w:pStyle w:val="affff7"/>
      </w:pPr>
      <w:r w:rsidRPr="002B55E9">
        <w:rPr>
          <w:rFonts w:hint="eastAsia"/>
        </w:rPr>
        <w:t>附图</w:t>
      </w:r>
      <w:r w:rsidRPr="002B55E9">
        <w:rPr>
          <w:rFonts w:hint="eastAsia"/>
        </w:rPr>
        <w:t>1</w:t>
      </w:r>
      <w:r w:rsidR="009A0E0A" w:rsidRPr="002B55E9">
        <w:t>8</w:t>
      </w:r>
      <w:r w:rsidRPr="002B55E9">
        <w:rPr>
          <w:rFonts w:hint="eastAsia"/>
        </w:rPr>
        <w:t xml:space="preserve">  </w:t>
      </w:r>
      <w:r w:rsidRPr="002B55E9">
        <w:rPr>
          <w:rFonts w:hint="eastAsia"/>
        </w:rPr>
        <w:t>本项目与武汉市环境管控单元分布图位置关系图</w:t>
      </w:r>
    </w:p>
    <w:p w14:paraId="1C25E55C" w14:textId="63B5DFEB" w:rsidR="00D170E5" w:rsidRPr="002B55E9" w:rsidRDefault="00EF27AD">
      <w:pPr>
        <w:pStyle w:val="affff7"/>
      </w:pPr>
      <w:r w:rsidRPr="002B55E9">
        <w:rPr>
          <w:rFonts w:hint="eastAsia"/>
        </w:rPr>
        <w:t>附图</w:t>
      </w:r>
      <w:r w:rsidRPr="002B55E9">
        <w:rPr>
          <w:rFonts w:hint="eastAsia"/>
        </w:rPr>
        <w:t>1</w:t>
      </w:r>
      <w:r w:rsidR="009A0E0A" w:rsidRPr="002B55E9">
        <w:t>9</w:t>
      </w:r>
      <w:r w:rsidRPr="002B55E9">
        <w:rPr>
          <w:rFonts w:hint="eastAsia"/>
        </w:rPr>
        <w:t xml:space="preserve">  </w:t>
      </w:r>
      <w:r w:rsidRPr="002B55E9">
        <w:rPr>
          <w:rFonts w:hint="eastAsia"/>
        </w:rPr>
        <w:t>本项目与武汉市东西湖区红线位置关系图</w:t>
      </w:r>
    </w:p>
    <w:p w14:paraId="74DCB6F6" w14:textId="77777777" w:rsidR="00D170E5" w:rsidRPr="002B55E9" w:rsidRDefault="00D170E5">
      <w:pPr>
        <w:pStyle w:val="affff7"/>
      </w:pPr>
    </w:p>
    <w:p w14:paraId="5263F294" w14:textId="77777777" w:rsidR="00D170E5" w:rsidRPr="002B55E9" w:rsidRDefault="00D170E5">
      <w:pPr>
        <w:pStyle w:val="affff7"/>
      </w:pPr>
    </w:p>
    <w:p w14:paraId="5F5DF14E" w14:textId="77777777" w:rsidR="00D170E5" w:rsidRPr="002B55E9" w:rsidRDefault="00D170E5">
      <w:pPr>
        <w:pStyle w:val="affff7"/>
      </w:pPr>
    </w:p>
    <w:p w14:paraId="31FF1980" w14:textId="77777777" w:rsidR="00D170E5" w:rsidRPr="002B55E9" w:rsidRDefault="00D170E5">
      <w:pPr>
        <w:pStyle w:val="affff7"/>
      </w:pPr>
    </w:p>
    <w:bookmarkEnd w:id="42"/>
    <w:p w14:paraId="22820703" w14:textId="77777777" w:rsidR="00D170E5" w:rsidRPr="002B55E9" w:rsidRDefault="00D170E5">
      <w:pPr>
        <w:pStyle w:val="affff7"/>
        <w:sectPr w:rsidR="00D170E5" w:rsidRPr="002B55E9">
          <w:headerReference w:type="default" r:id="rId14"/>
          <w:footerReference w:type="default" r:id="rId15"/>
          <w:pgSz w:w="11906" w:h="16838"/>
          <w:pgMar w:top="1134" w:right="1134" w:bottom="1134" w:left="1134" w:header="737" w:footer="624" w:gutter="0"/>
          <w:pgNumType w:start="1"/>
          <w:cols w:space="720"/>
          <w:docGrid w:type="lines" w:linePitch="312"/>
        </w:sectPr>
      </w:pPr>
    </w:p>
    <w:p w14:paraId="7153CAD0" w14:textId="37E857CA" w:rsidR="00D170E5" w:rsidRPr="002B55E9" w:rsidRDefault="00EF27AD">
      <w:pPr>
        <w:pStyle w:val="2"/>
        <w:widowControl/>
        <w:numPr>
          <w:ilvl w:val="0"/>
          <w:numId w:val="0"/>
        </w:numPr>
        <w:jc w:val="left"/>
      </w:pPr>
      <w:bookmarkStart w:id="43" w:name="_Toc42979060"/>
      <w:bookmarkStart w:id="44" w:name="_Toc45121393"/>
      <w:bookmarkStart w:id="45" w:name="_Toc1028562"/>
      <w:bookmarkStart w:id="46" w:name="_Toc43716713"/>
      <w:bookmarkStart w:id="47" w:name="_Toc86843629"/>
      <w:bookmarkStart w:id="48" w:name="_Toc86846446"/>
      <w:bookmarkStart w:id="49" w:name="_Toc77095957"/>
      <w:bookmarkStart w:id="50" w:name="_Toc39931395"/>
      <w:bookmarkStart w:id="51" w:name="_Toc39918250"/>
      <w:bookmarkStart w:id="52" w:name="_Toc25663157"/>
      <w:bookmarkStart w:id="53" w:name="_Toc534893064"/>
      <w:bookmarkStart w:id="54" w:name="_Toc74118930"/>
      <w:bookmarkStart w:id="55" w:name="_Toc335384847"/>
      <w:bookmarkStart w:id="56" w:name="_Toc531966861"/>
      <w:bookmarkStart w:id="57" w:name="_Toc47886296"/>
      <w:bookmarkStart w:id="58" w:name="_Toc119308967"/>
      <w:r w:rsidRPr="002B55E9">
        <w:rPr>
          <w:rFonts w:hint="eastAsia"/>
        </w:rPr>
        <w:lastRenderedPageBreak/>
        <w:t>概述</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6988DC4" w14:textId="77777777" w:rsidR="00D170E5" w:rsidRPr="002B55E9" w:rsidRDefault="00EF27AD">
      <w:pPr>
        <w:pStyle w:val="affff7"/>
        <w:ind w:firstLineChars="0" w:firstLine="0"/>
        <w:rPr>
          <w:b/>
        </w:rPr>
      </w:pPr>
      <w:r w:rsidRPr="002B55E9">
        <w:rPr>
          <w:rFonts w:hint="eastAsia"/>
          <w:b/>
        </w:rPr>
        <w:t>一、项目由来及概况</w:t>
      </w:r>
    </w:p>
    <w:p w14:paraId="00C9A825" w14:textId="44588636" w:rsidR="009F3731" w:rsidRPr="002B55E9" w:rsidRDefault="00EF27AD" w:rsidP="009F3731">
      <w:pPr>
        <w:pStyle w:val="affff7"/>
        <w:adjustRightInd w:val="0"/>
        <w:snapToGrid w:val="0"/>
        <w:spacing w:after="0"/>
        <w:rPr>
          <w:szCs w:val="28"/>
        </w:rPr>
      </w:pPr>
      <w:r w:rsidRPr="002B55E9">
        <w:rPr>
          <w:rFonts w:hint="eastAsia"/>
          <w:szCs w:val="28"/>
        </w:rPr>
        <w:t>佛山市海天调味食品股份有限公司是一家专业的调味品生产和营销企业，历史悠久，于</w:t>
      </w:r>
      <w:r w:rsidRPr="002B55E9">
        <w:rPr>
          <w:rFonts w:hint="eastAsia"/>
          <w:szCs w:val="28"/>
        </w:rPr>
        <w:t>1955</w:t>
      </w:r>
      <w:r w:rsidRPr="002B55E9">
        <w:rPr>
          <w:rFonts w:hint="eastAsia"/>
          <w:szCs w:val="28"/>
        </w:rPr>
        <w:t>年公私合营，组建海天酱油厂。而后一步一步，由小到大，由分散到集中，由区域到全国，由传统的家庭手工作坊向现代生产智造，是中华人民共和国商务部公布的首批“中华老字号”企业之一。目前生产的产品涵盖酱油、蚝油、酱、醋、料酒、调味汁、鸡精、鸡粉、腐乳、火锅底料等十几大系列百余品种</w:t>
      </w:r>
      <w:r w:rsidRPr="002B55E9">
        <w:rPr>
          <w:rFonts w:hint="eastAsia"/>
          <w:szCs w:val="28"/>
        </w:rPr>
        <w:t>500</w:t>
      </w:r>
      <w:r w:rsidRPr="002B55E9">
        <w:rPr>
          <w:rFonts w:hint="eastAsia"/>
          <w:szCs w:val="28"/>
        </w:rPr>
        <w:t>多规格，年产值过两百亿元。</w:t>
      </w:r>
      <w:r w:rsidR="009F3731" w:rsidRPr="002B55E9">
        <w:rPr>
          <w:rFonts w:hint="eastAsia"/>
          <w:szCs w:val="28"/>
        </w:rPr>
        <w:t>佛山市海天调味食品股份有限公司下设佛山市海天（武汉）调味食品有限公司、海天</w:t>
      </w:r>
      <w:r w:rsidR="009F3731" w:rsidRPr="002B55E9">
        <w:rPr>
          <w:szCs w:val="28"/>
        </w:rPr>
        <w:t>醋业集团有限公司</w:t>
      </w:r>
      <w:r w:rsidR="009F3731" w:rsidRPr="002B55E9">
        <w:rPr>
          <w:rFonts w:hint="eastAsia"/>
          <w:szCs w:val="28"/>
        </w:rPr>
        <w:t>等全资子公司。</w:t>
      </w:r>
    </w:p>
    <w:p w14:paraId="6D846FA2" w14:textId="1C4C3B78" w:rsidR="00D170E5" w:rsidRPr="002B55E9" w:rsidRDefault="00EF27AD" w:rsidP="009F3731">
      <w:pPr>
        <w:pStyle w:val="affff7"/>
        <w:adjustRightInd w:val="0"/>
        <w:snapToGrid w:val="0"/>
        <w:spacing w:after="0"/>
        <w:rPr>
          <w:szCs w:val="28"/>
        </w:rPr>
      </w:pPr>
      <w:r w:rsidRPr="002B55E9">
        <w:rPr>
          <w:rFonts w:hint="eastAsia"/>
          <w:szCs w:val="28"/>
        </w:rPr>
        <w:t>2</w:t>
      </w:r>
      <w:r w:rsidRPr="002B55E9">
        <w:rPr>
          <w:szCs w:val="28"/>
        </w:rPr>
        <w:t>021</w:t>
      </w:r>
      <w:r w:rsidRPr="002B55E9">
        <w:rPr>
          <w:rFonts w:hint="eastAsia"/>
          <w:szCs w:val="28"/>
        </w:rPr>
        <w:t>年</w:t>
      </w:r>
      <w:r w:rsidRPr="002B55E9">
        <w:rPr>
          <w:rFonts w:hint="eastAsia"/>
          <w:szCs w:val="28"/>
        </w:rPr>
        <w:t>7</w:t>
      </w:r>
      <w:r w:rsidRPr="002B55E9">
        <w:rPr>
          <w:rFonts w:hint="eastAsia"/>
          <w:szCs w:val="28"/>
        </w:rPr>
        <w:t>月，佛山市海天（武汉）调味食品有限公司在武汉市东西湖区革新大道以西、兴工七路以北征地实施“海天调味品建设项目（一期）”，项目总投资，新建一车间、二车间、三车间、立体仓库（一）等生产车间及辅助用房，购置安装储罐、加热灭菌系统、包装生产线、自动立体仓储系统、废水处理系统等，配套建设道路、绿化、供电、给排水、消防、环保等工程，项目建成投产后预计年产蚝油</w:t>
      </w:r>
      <w:r w:rsidRPr="002B55E9">
        <w:rPr>
          <w:szCs w:val="28"/>
        </w:rPr>
        <w:t>25</w:t>
      </w:r>
      <w:r w:rsidRPr="002B55E9">
        <w:rPr>
          <w:rFonts w:hint="eastAsia"/>
          <w:szCs w:val="28"/>
        </w:rPr>
        <w:t>万吨。该</w:t>
      </w:r>
      <w:r w:rsidRPr="002B55E9">
        <w:rPr>
          <w:szCs w:val="28"/>
        </w:rPr>
        <w:t>项目于</w:t>
      </w:r>
      <w:r w:rsidRPr="002B55E9">
        <w:rPr>
          <w:szCs w:val="28"/>
        </w:rPr>
        <w:t>2022</w:t>
      </w:r>
      <w:r w:rsidRPr="002B55E9">
        <w:rPr>
          <w:szCs w:val="28"/>
        </w:rPr>
        <w:t>年</w:t>
      </w:r>
      <w:r w:rsidRPr="002B55E9">
        <w:rPr>
          <w:szCs w:val="28"/>
        </w:rPr>
        <w:t>7</w:t>
      </w:r>
      <w:r w:rsidRPr="002B55E9">
        <w:rPr>
          <w:szCs w:val="28"/>
        </w:rPr>
        <w:t>月取得武汉市生态环境局</w:t>
      </w:r>
      <w:r w:rsidRPr="002B55E9">
        <w:rPr>
          <w:rFonts w:hint="eastAsia"/>
          <w:szCs w:val="28"/>
        </w:rPr>
        <w:t>东西湖</w:t>
      </w:r>
      <w:r w:rsidRPr="002B55E9">
        <w:rPr>
          <w:szCs w:val="28"/>
        </w:rPr>
        <w:t>区分局的环评批复（</w:t>
      </w:r>
      <w:r w:rsidRPr="002B55E9">
        <w:rPr>
          <w:rFonts w:hint="eastAsia"/>
          <w:szCs w:val="28"/>
        </w:rPr>
        <w:t>武环东西湖审【</w:t>
      </w:r>
      <w:r w:rsidRPr="002B55E9">
        <w:rPr>
          <w:rFonts w:hint="eastAsia"/>
          <w:szCs w:val="28"/>
        </w:rPr>
        <w:t>2022</w:t>
      </w:r>
      <w:r w:rsidRPr="002B55E9">
        <w:rPr>
          <w:rFonts w:hint="eastAsia"/>
          <w:szCs w:val="28"/>
        </w:rPr>
        <w:t>】</w:t>
      </w:r>
      <w:r w:rsidRPr="002B55E9">
        <w:rPr>
          <w:rFonts w:hint="eastAsia"/>
          <w:szCs w:val="28"/>
        </w:rPr>
        <w:t>35</w:t>
      </w:r>
      <w:r w:rsidRPr="002B55E9">
        <w:rPr>
          <w:rFonts w:hint="eastAsia"/>
          <w:szCs w:val="28"/>
        </w:rPr>
        <w:t>号</w:t>
      </w:r>
      <w:r w:rsidRPr="002B55E9">
        <w:rPr>
          <w:szCs w:val="28"/>
        </w:rPr>
        <w:t>），随后开工建设，预计</w:t>
      </w:r>
      <w:r w:rsidRPr="002B55E9">
        <w:rPr>
          <w:szCs w:val="28"/>
        </w:rPr>
        <w:t>2024</w:t>
      </w:r>
      <w:r w:rsidRPr="002B55E9">
        <w:rPr>
          <w:szCs w:val="28"/>
        </w:rPr>
        <w:t>年建成投产。</w:t>
      </w:r>
    </w:p>
    <w:p w14:paraId="0CBB8A53" w14:textId="45553F3C" w:rsidR="00D170E5" w:rsidRPr="002B55E9" w:rsidRDefault="009F3731">
      <w:pPr>
        <w:pStyle w:val="affff7"/>
        <w:adjustRightInd w:val="0"/>
        <w:snapToGrid w:val="0"/>
        <w:spacing w:after="0"/>
      </w:pPr>
      <w:r w:rsidRPr="002B55E9">
        <w:rPr>
          <w:rFonts w:hint="eastAsia"/>
          <w:szCs w:val="28"/>
        </w:rPr>
        <w:t>2021</w:t>
      </w:r>
      <w:r w:rsidRPr="002B55E9">
        <w:rPr>
          <w:rFonts w:hint="eastAsia"/>
          <w:szCs w:val="28"/>
        </w:rPr>
        <w:t>年</w:t>
      </w:r>
      <w:r w:rsidRPr="002B55E9">
        <w:rPr>
          <w:rFonts w:hint="eastAsia"/>
          <w:szCs w:val="28"/>
        </w:rPr>
        <w:t>9</w:t>
      </w:r>
      <w:r w:rsidRPr="002B55E9">
        <w:rPr>
          <w:rFonts w:hint="eastAsia"/>
          <w:szCs w:val="28"/>
        </w:rPr>
        <w:t>月，</w:t>
      </w:r>
      <w:r w:rsidR="00EF27AD" w:rsidRPr="002B55E9">
        <w:rPr>
          <w:rFonts w:hint="eastAsia"/>
        </w:rPr>
        <w:t>为</w:t>
      </w:r>
      <w:r w:rsidR="00EF27AD" w:rsidRPr="002B55E9">
        <w:t>进一步</w:t>
      </w:r>
      <w:r w:rsidR="00EF27AD" w:rsidRPr="002B55E9">
        <w:rPr>
          <w:rFonts w:hint="eastAsia"/>
        </w:rPr>
        <w:t>扩大海天</w:t>
      </w:r>
      <w:r w:rsidR="00EF27AD" w:rsidRPr="002B55E9">
        <w:t>味业</w:t>
      </w:r>
      <w:r w:rsidR="00EF27AD" w:rsidRPr="002B55E9">
        <w:rPr>
          <w:rFonts w:hint="eastAsia"/>
        </w:rPr>
        <w:t>料酒、</w:t>
      </w:r>
      <w:r w:rsidR="00EF27AD" w:rsidRPr="002B55E9">
        <w:t>食醋</w:t>
      </w:r>
      <w:r w:rsidR="00EF27AD" w:rsidRPr="002B55E9">
        <w:rPr>
          <w:rFonts w:hint="eastAsia"/>
        </w:rPr>
        <w:t>等</w:t>
      </w:r>
      <w:r w:rsidR="00EF27AD" w:rsidRPr="002B55E9">
        <w:t>产品产能</w:t>
      </w:r>
      <w:r w:rsidR="00EF27AD" w:rsidRPr="002B55E9">
        <w:rPr>
          <w:rFonts w:hint="eastAsia"/>
        </w:rPr>
        <w:t>，</w:t>
      </w:r>
      <w:r w:rsidR="00EF27AD" w:rsidRPr="002B55E9">
        <w:rPr>
          <w:szCs w:val="28"/>
        </w:rPr>
        <w:t>海天醋业集团有限公司</w:t>
      </w:r>
      <w:r w:rsidR="00EF27AD" w:rsidRPr="002B55E9">
        <w:rPr>
          <w:rFonts w:hint="eastAsia"/>
          <w:szCs w:val="28"/>
        </w:rPr>
        <w:t>在武汉市</w:t>
      </w:r>
      <w:r w:rsidR="00EF27AD" w:rsidRPr="002B55E9">
        <w:rPr>
          <w:szCs w:val="28"/>
        </w:rPr>
        <w:t>东西湖区</w:t>
      </w:r>
      <w:r w:rsidR="00EF27AD" w:rsidRPr="002B55E9">
        <w:rPr>
          <w:rFonts w:hint="eastAsia"/>
          <w:szCs w:val="28"/>
        </w:rPr>
        <w:t>组建全资</w:t>
      </w:r>
      <w:r w:rsidR="00EF27AD" w:rsidRPr="002B55E9">
        <w:rPr>
          <w:szCs w:val="28"/>
        </w:rPr>
        <w:t>子公司海天醋业（</w:t>
      </w:r>
      <w:r w:rsidR="00EF27AD" w:rsidRPr="002B55E9">
        <w:rPr>
          <w:rFonts w:hint="eastAsia"/>
          <w:szCs w:val="28"/>
        </w:rPr>
        <w:t>武汉</w:t>
      </w:r>
      <w:r w:rsidR="00EF27AD" w:rsidRPr="002B55E9">
        <w:rPr>
          <w:szCs w:val="28"/>
        </w:rPr>
        <w:t>）</w:t>
      </w:r>
      <w:r w:rsidR="00EF27AD" w:rsidRPr="002B55E9">
        <w:rPr>
          <w:rFonts w:hint="eastAsia"/>
          <w:szCs w:val="28"/>
        </w:rPr>
        <w:t>有限公司</w:t>
      </w:r>
      <w:r w:rsidR="00EF27AD" w:rsidRPr="002B55E9">
        <w:rPr>
          <w:rFonts w:hint="eastAsia"/>
        </w:rPr>
        <w:t>实施</w:t>
      </w:r>
      <w:r w:rsidR="00907950" w:rsidRPr="002B55E9">
        <w:rPr>
          <w:rFonts w:hint="eastAsia"/>
        </w:rPr>
        <w:t>“</w:t>
      </w:r>
      <w:r w:rsidR="00EF27AD" w:rsidRPr="002B55E9">
        <w:rPr>
          <w:rFonts w:hint="eastAsia"/>
        </w:rPr>
        <w:t>海天醋酒建设项目（一期）</w:t>
      </w:r>
      <w:r w:rsidR="00907950" w:rsidRPr="002B55E9">
        <w:rPr>
          <w:rFonts w:hint="eastAsia"/>
        </w:rPr>
        <w:t>”</w:t>
      </w:r>
      <w:r w:rsidR="00EF27AD" w:rsidRPr="002B55E9">
        <w:rPr>
          <w:rFonts w:hint="eastAsia"/>
        </w:rPr>
        <w:t>（即</w:t>
      </w:r>
      <w:r w:rsidR="00EF27AD" w:rsidRPr="002B55E9">
        <w:t>本项目</w:t>
      </w:r>
      <w:r w:rsidR="00EF27AD" w:rsidRPr="002B55E9">
        <w:rPr>
          <w:rFonts w:hint="eastAsia"/>
        </w:rPr>
        <w:t>），项目于武汉市东西湖区革新大道以西、兴工六路以南征地（南侧紧邻</w:t>
      </w:r>
      <w:r w:rsidR="00EF27AD" w:rsidRPr="002B55E9">
        <w:rPr>
          <w:rFonts w:hint="eastAsia"/>
          <w:szCs w:val="28"/>
        </w:rPr>
        <w:t>佛山市海天（武汉）调味食品有限公司</w:t>
      </w:r>
      <w:r w:rsidR="00EF27AD" w:rsidRPr="002B55E9">
        <w:rPr>
          <w:rFonts w:hint="eastAsia"/>
        </w:rPr>
        <w:t>）</w:t>
      </w:r>
      <w:r w:rsidR="00EF27AD" w:rsidRPr="002B55E9">
        <w:t>，</w:t>
      </w:r>
      <w:r w:rsidR="00EF27AD" w:rsidRPr="002B55E9">
        <w:rPr>
          <w:rFonts w:hint="eastAsia"/>
        </w:rPr>
        <w:t>新建</w:t>
      </w:r>
      <w:r w:rsidR="00EF27AD" w:rsidRPr="002B55E9">
        <w:t>十一车间、十三车间</w:t>
      </w:r>
      <w:r w:rsidR="00EF27AD" w:rsidRPr="002B55E9">
        <w:rPr>
          <w:rFonts w:hint="eastAsia"/>
        </w:rPr>
        <w:t>及</w:t>
      </w:r>
      <w:r w:rsidR="00EF27AD" w:rsidRPr="002B55E9">
        <w:t>罐区</w:t>
      </w:r>
      <w:r w:rsidR="00EF27AD" w:rsidRPr="002B55E9">
        <w:rPr>
          <w:rFonts w:hint="eastAsia"/>
        </w:rPr>
        <w:t>等，</w:t>
      </w:r>
      <w:r w:rsidR="00EF27AD" w:rsidRPr="002B55E9">
        <w:t>总建筑面积</w:t>
      </w:r>
      <w:r w:rsidR="00EF27AD" w:rsidRPr="002B55E9">
        <w:rPr>
          <w:rFonts w:hint="eastAsia"/>
        </w:rPr>
        <w:t>约</w:t>
      </w:r>
      <w:r w:rsidR="00EF27AD" w:rsidRPr="002B55E9">
        <w:t>3.2</w:t>
      </w:r>
      <w:r w:rsidR="00EF27AD" w:rsidRPr="002B55E9">
        <w:rPr>
          <w:rFonts w:hint="eastAsia"/>
        </w:rPr>
        <w:t>万</w:t>
      </w:r>
      <w:r w:rsidR="00EF27AD" w:rsidRPr="002B55E9">
        <w:t>m</w:t>
      </w:r>
      <w:r w:rsidR="00EF27AD" w:rsidRPr="002B55E9">
        <w:rPr>
          <w:vertAlign w:val="superscript"/>
        </w:rPr>
        <w:t>2</w:t>
      </w:r>
      <w:r w:rsidR="00EF27AD" w:rsidRPr="002B55E9">
        <w:t>，</w:t>
      </w:r>
      <w:r w:rsidR="00EF27AD" w:rsidRPr="002B55E9">
        <w:rPr>
          <w:rFonts w:hint="eastAsia"/>
        </w:rPr>
        <w:t>建成后预计年产料酒</w:t>
      </w:r>
      <w:r w:rsidR="00EF27AD" w:rsidRPr="002B55E9">
        <w:rPr>
          <w:rFonts w:hint="eastAsia"/>
        </w:rPr>
        <w:t>1</w:t>
      </w:r>
      <w:r w:rsidR="00EF27AD" w:rsidRPr="002B55E9">
        <w:t>5</w:t>
      </w:r>
      <w:r w:rsidR="00EF27AD" w:rsidRPr="002B55E9">
        <w:rPr>
          <w:rFonts w:hint="eastAsia"/>
        </w:rPr>
        <w:t>万吨、白米醋</w:t>
      </w:r>
      <w:r w:rsidR="00EF27AD" w:rsidRPr="002B55E9">
        <w:rPr>
          <w:rFonts w:hint="eastAsia"/>
        </w:rPr>
        <w:t>6</w:t>
      </w:r>
      <w:r w:rsidR="00EF27AD" w:rsidRPr="002B55E9">
        <w:rPr>
          <w:rFonts w:hint="eastAsia"/>
        </w:rPr>
        <w:t>万吨、陈香醋</w:t>
      </w:r>
      <w:r w:rsidR="00EF27AD" w:rsidRPr="002B55E9">
        <w:rPr>
          <w:rFonts w:hint="eastAsia"/>
        </w:rPr>
        <w:t>4</w:t>
      </w:r>
      <w:r w:rsidR="00EF27AD" w:rsidRPr="002B55E9">
        <w:rPr>
          <w:rFonts w:hint="eastAsia"/>
        </w:rPr>
        <w:t>万吨。</w:t>
      </w:r>
    </w:p>
    <w:p w14:paraId="7ABDC382" w14:textId="77777777" w:rsidR="00927954" w:rsidRPr="002B55E9" w:rsidRDefault="00927954" w:rsidP="00927954">
      <w:pPr>
        <w:pStyle w:val="affff7"/>
        <w:adjustRightInd w:val="0"/>
        <w:snapToGrid w:val="0"/>
        <w:spacing w:after="0"/>
      </w:pPr>
      <w:r w:rsidRPr="002B55E9">
        <w:rPr>
          <w:rFonts w:hint="eastAsia"/>
        </w:rPr>
        <w:t>根据《中华人民共和国环境影响评价法》、《建设项目环境保护管理条例》，本项目为新建项目，需进行环境影响评价。根据《建设项目环境影响评价分类管理名录（</w:t>
      </w:r>
      <w:r w:rsidRPr="002B55E9">
        <w:rPr>
          <w:rFonts w:hint="eastAsia"/>
        </w:rPr>
        <w:t>2021</w:t>
      </w:r>
      <w:r w:rsidRPr="002B55E9">
        <w:rPr>
          <w:rFonts w:hint="eastAsia"/>
        </w:rPr>
        <w:t>年版）》，本项目属于“十四、食品制造业”行业中的“</w:t>
      </w:r>
      <w:r w:rsidRPr="002B55E9">
        <w:rPr>
          <w:rFonts w:hint="eastAsia"/>
        </w:rPr>
        <w:t>2</w:t>
      </w:r>
      <w:r w:rsidRPr="002B55E9">
        <w:t>3</w:t>
      </w:r>
      <w:r w:rsidRPr="002B55E9">
        <w:rPr>
          <w:rFonts w:hint="eastAsia"/>
        </w:rPr>
        <w:t xml:space="preserve"> </w:t>
      </w:r>
      <w:r w:rsidRPr="002B55E9">
        <w:rPr>
          <w:rFonts w:hint="eastAsia"/>
        </w:rPr>
        <w:t>调味品、发酵制品制造</w:t>
      </w:r>
      <w:r w:rsidRPr="002B55E9">
        <w:rPr>
          <w:rFonts w:hint="eastAsia"/>
        </w:rPr>
        <w:t>1</w:t>
      </w:r>
      <w:r w:rsidRPr="002B55E9">
        <w:t>46</w:t>
      </w:r>
      <w:r w:rsidRPr="002B55E9">
        <w:rPr>
          <w:rFonts w:hint="eastAsia"/>
        </w:rPr>
        <w:t>”，环评</w:t>
      </w:r>
      <w:r w:rsidRPr="002B55E9">
        <w:t>类别为</w:t>
      </w:r>
      <w:r w:rsidRPr="002B55E9">
        <w:rPr>
          <w:rFonts w:hint="eastAsia"/>
        </w:rPr>
        <w:t>“有发酵</w:t>
      </w:r>
      <w:r w:rsidRPr="002B55E9">
        <w:t>工艺的味精、柠檬酸、</w:t>
      </w:r>
      <w:r w:rsidRPr="002B55E9">
        <w:rPr>
          <w:rFonts w:hint="eastAsia"/>
        </w:rPr>
        <w:t>赖氨酸</w:t>
      </w:r>
      <w:r w:rsidRPr="002B55E9">
        <w:t>、酵母制造；</w:t>
      </w:r>
      <w:r w:rsidRPr="002B55E9">
        <w:rPr>
          <w:rFonts w:hint="eastAsia"/>
        </w:rPr>
        <w:t>年产</w:t>
      </w:r>
      <w:r w:rsidRPr="002B55E9">
        <w:rPr>
          <w:rFonts w:hint="eastAsia"/>
        </w:rPr>
        <w:t>2</w:t>
      </w:r>
      <w:r w:rsidRPr="002B55E9">
        <w:rPr>
          <w:rFonts w:hint="eastAsia"/>
        </w:rPr>
        <w:t>万吨</w:t>
      </w:r>
      <w:r w:rsidRPr="002B55E9">
        <w:t>及以上且有发酵工艺的酱油、食醋制造</w:t>
      </w:r>
      <w:r w:rsidRPr="002B55E9">
        <w:rPr>
          <w:rFonts w:hint="eastAsia"/>
        </w:rPr>
        <w:t>”，综合判定项目需编制环境影响报告书。为此</w:t>
      </w:r>
      <w:r w:rsidRPr="002B55E9">
        <w:t>，</w:t>
      </w:r>
      <w:r w:rsidRPr="002B55E9">
        <w:rPr>
          <w:rFonts w:hint="eastAsia"/>
        </w:rPr>
        <w:t>海天醋业（武汉）有</w:t>
      </w:r>
      <w:r w:rsidRPr="002B55E9">
        <w:rPr>
          <w:rFonts w:hint="eastAsia"/>
        </w:rPr>
        <w:lastRenderedPageBreak/>
        <w:t>限公司于</w:t>
      </w:r>
      <w:r w:rsidRPr="002B55E9">
        <w:rPr>
          <w:rFonts w:hint="eastAsia"/>
        </w:rPr>
        <w:t>20</w:t>
      </w:r>
      <w:r w:rsidRPr="002B55E9">
        <w:t>22</w:t>
      </w:r>
      <w:r w:rsidRPr="002B55E9">
        <w:rPr>
          <w:rFonts w:hint="eastAsia"/>
        </w:rPr>
        <w:t>年</w:t>
      </w:r>
      <w:r w:rsidRPr="002B55E9">
        <w:t>4</w:t>
      </w:r>
      <w:r w:rsidRPr="002B55E9">
        <w:rPr>
          <w:rFonts w:hint="eastAsia"/>
        </w:rPr>
        <w:t>月</w:t>
      </w:r>
      <w:r w:rsidRPr="002B55E9">
        <w:t>12</w:t>
      </w:r>
      <w:r w:rsidRPr="002B55E9">
        <w:rPr>
          <w:rFonts w:hint="eastAsia"/>
        </w:rPr>
        <w:t>日委托湖北君邦环境技术有限责任公司（以下简称“我公司”）承担本项目的环境影响评价工作。</w:t>
      </w:r>
    </w:p>
    <w:p w14:paraId="168EDAB3" w14:textId="77777777" w:rsidR="00D170E5" w:rsidRPr="002B55E9" w:rsidRDefault="00EF27AD">
      <w:pPr>
        <w:pStyle w:val="affff7"/>
        <w:ind w:firstLineChars="0" w:firstLine="0"/>
        <w:rPr>
          <w:b/>
          <w:bCs w:val="0"/>
        </w:rPr>
      </w:pPr>
      <w:r w:rsidRPr="002B55E9">
        <w:rPr>
          <w:b/>
          <w:bCs w:val="0"/>
        </w:rPr>
        <w:t>二、主要评价历程</w:t>
      </w:r>
    </w:p>
    <w:p w14:paraId="0168CD30" w14:textId="77777777" w:rsidR="00D170E5" w:rsidRPr="002B55E9" w:rsidRDefault="00EF27AD">
      <w:pPr>
        <w:pStyle w:val="affff7"/>
        <w:adjustRightInd w:val="0"/>
        <w:snapToGrid w:val="0"/>
        <w:spacing w:after="0"/>
      </w:pPr>
      <w:r w:rsidRPr="002B55E9">
        <w:rPr>
          <w:rFonts w:hint="eastAsia"/>
        </w:rPr>
        <w:t>2022</w:t>
      </w:r>
      <w:r w:rsidRPr="002B55E9">
        <w:rPr>
          <w:rFonts w:hint="eastAsia"/>
        </w:rPr>
        <w:t>年</w:t>
      </w:r>
      <w:r w:rsidRPr="002B55E9">
        <w:rPr>
          <w:rFonts w:hint="eastAsia"/>
        </w:rPr>
        <w:t>4</w:t>
      </w:r>
      <w:r w:rsidRPr="002B55E9">
        <w:rPr>
          <w:rFonts w:hint="eastAsia"/>
        </w:rPr>
        <w:t>月</w:t>
      </w:r>
      <w:r w:rsidRPr="002B55E9">
        <w:t>12</w:t>
      </w:r>
      <w:r w:rsidRPr="002B55E9">
        <w:rPr>
          <w:rFonts w:hint="eastAsia"/>
        </w:rPr>
        <w:t>日</w:t>
      </w:r>
      <w:r w:rsidRPr="002B55E9">
        <w:t>，海天</w:t>
      </w:r>
      <w:r w:rsidRPr="002B55E9">
        <w:rPr>
          <w:rFonts w:hint="eastAsia"/>
        </w:rPr>
        <w:t>醋业</w:t>
      </w:r>
      <w:r w:rsidRPr="002B55E9">
        <w:t>（</w:t>
      </w:r>
      <w:r w:rsidRPr="002B55E9">
        <w:rPr>
          <w:rFonts w:hint="eastAsia"/>
        </w:rPr>
        <w:t>武汉</w:t>
      </w:r>
      <w:r w:rsidRPr="002B55E9">
        <w:t>）</w:t>
      </w:r>
      <w:r w:rsidRPr="002B55E9">
        <w:rPr>
          <w:rFonts w:hint="eastAsia"/>
        </w:rPr>
        <w:t>有限公司委托</w:t>
      </w:r>
      <w:r w:rsidRPr="002B55E9">
        <w:t>湖北君邦环境技术有限责任公司编制</w:t>
      </w:r>
      <w:r w:rsidRPr="002B55E9">
        <w:rPr>
          <w:rFonts w:hint="eastAsia"/>
        </w:rPr>
        <w:t>“海天</w:t>
      </w:r>
      <w:r w:rsidRPr="002B55E9">
        <w:t>醋酒建设项目（</w:t>
      </w:r>
      <w:r w:rsidRPr="002B55E9">
        <w:rPr>
          <w:rFonts w:hint="eastAsia"/>
        </w:rPr>
        <w:t>一期</w:t>
      </w:r>
      <w:r w:rsidRPr="002B55E9">
        <w:t>）</w:t>
      </w:r>
      <w:r w:rsidRPr="002B55E9">
        <w:rPr>
          <w:rFonts w:hint="eastAsia"/>
        </w:rPr>
        <w:t>”环境</w:t>
      </w:r>
      <w:r w:rsidRPr="002B55E9">
        <w:t>影响报告书</w:t>
      </w:r>
      <w:r w:rsidRPr="002B55E9">
        <w:rPr>
          <w:rFonts w:hint="eastAsia"/>
        </w:rPr>
        <w:t>。</w:t>
      </w:r>
    </w:p>
    <w:p w14:paraId="2C945AD8" w14:textId="77777777" w:rsidR="00D170E5" w:rsidRPr="002B55E9" w:rsidRDefault="00EF27AD">
      <w:pPr>
        <w:pStyle w:val="affff7"/>
        <w:adjustRightInd w:val="0"/>
        <w:snapToGrid w:val="0"/>
        <w:spacing w:after="0"/>
      </w:pPr>
      <w:r w:rsidRPr="002B55E9">
        <w:rPr>
          <w:rFonts w:hint="eastAsia"/>
        </w:rPr>
        <w:t>2022</w:t>
      </w:r>
      <w:r w:rsidRPr="002B55E9">
        <w:rPr>
          <w:rFonts w:hint="eastAsia"/>
        </w:rPr>
        <w:t>年</w:t>
      </w:r>
      <w:r w:rsidRPr="002B55E9">
        <w:rPr>
          <w:rFonts w:hint="eastAsia"/>
        </w:rPr>
        <w:t>4</w:t>
      </w:r>
      <w:r w:rsidRPr="002B55E9">
        <w:rPr>
          <w:rFonts w:hint="eastAsia"/>
        </w:rPr>
        <w:t>月</w:t>
      </w:r>
      <w:r w:rsidRPr="002B55E9">
        <w:rPr>
          <w:rFonts w:hint="eastAsia"/>
        </w:rPr>
        <w:t>18</w:t>
      </w:r>
      <w:r w:rsidRPr="002B55E9">
        <w:rPr>
          <w:rFonts w:hint="eastAsia"/>
        </w:rPr>
        <w:t>日</w:t>
      </w:r>
      <w:r w:rsidRPr="002B55E9">
        <w:t>，建设单位在</w:t>
      </w:r>
      <w:r w:rsidRPr="002B55E9">
        <w:rPr>
          <w:rFonts w:hint="eastAsia"/>
        </w:rPr>
        <w:t>海天</w:t>
      </w:r>
      <w:r w:rsidRPr="002B55E9">
        <w:t>味业官方网站（</w:t>
      </w:r>
      <w:r w:rsidRPr="002B55E9">
        <w:t>http://www.haitian-food.com/index.php?ac=article&amp;at=read&amp;did=2486</w:t>
      </w:r>
      <w:r w:rsidRPr="002B55E9">
        <w:t>）</w:t>
      </w:r>
      <w:r w:rsidRPr="002B55E9">
        <w:rPr>
          <w:rFonts w:hint="eastAsia"/>
        </w:rPr>
        <w:t>发布</w:t>
      </w:r>
      <w:r w:rsidRPr="002B55E9">
        <w:t>了建设项目环评第一次公示。</w:t>
      </w:r>
      <w:r w:rsidRPr="002B55E9">
        <w:rPr>
          <w:rFonts w:hint="eastAsia"/>
        </w:rPr>
        <w:t>我公司</w:t>
      </w:r>
      <w:r w:rsidRPr="002B55E9">
        <w:t>对建设</w:t>
      </w:r>
      <w:r w:rsidRPr="002B55E9">
        <w:rPr>
          <w:rFonts w:hint="eastAsia"/>
        </w:rPr>
        <w:t>单位</w:t>
      </w:r>
      <w:r w:rsidRPr="002B55E9">
        <w:t>提供的相关技术资料进行了分析核实，并</w:t>
      </w:r>
      <w:r w:rsidRPr="002B55E9">
        <w:rPr>
          <w:rFonts w:hint="eastAsia"/>
        </w:rPr>
        <w:t>委托</w:t>
      </w:r>
      <w:r w:rsidRPr="002B55E9">
        <w:t>湖北相融</w:t>
      </w:r>
      <w:r w:rsidRPr="002B55E9">
        <w:rPr>
          <w:rFonts w:hint="eastAsia"/>
        </w:rPr>
        <w:t>检测</w:t>
      </w:r>
      <w:r w:rsidRPr="002B55E9">
        <w:t>有限公司</w:t>
      </w:r>
      <w:r w:rsidRPr="002B55E9">
        <w:rPr>
          <w:rFonts w:hint="eastAsia"/>
        </w:rPr>
        <w:t>对</w:t>
      </w:r>
      <w:r w:rsidRPr="002B55E9">
        <w:t>项目所在</w:t>
      </w:r>
      <w:r w:rsidRPr="002B55E9">
        <w:rPr>
          <w:rFonts w:hint="eastAsia"/>
        </w:rPr>
        <w:t>地</w:t>
      </w:r>
      <w:r w:rsidRPr="002B55E9">
        <w:t>周边环境质量现状进行了实测。在</w:t>
      </w:r>
      <w:r w:rsidRPr="002B55E9">
        <w:rPr>
          <w:rFonts w:hint="eastAsia"/>
        </w:rPr>
        <w:t>项目</w:t>
      </w:r>
      <w:r w:rsidRPr="002B55E9">
        <w:t>第一次公示期间内，建设单位和</w:t>
      </w:r>
      <w:r w:rsidRPr="002B55E9">
        <w:rPr>
          <w:rFonts w:hint="eastAsia"/>
        </w:rPr>
        <w:t>我公司</w:t>
      </w:r>
      <w:r w:rsidRPr="002B55E9">
        <w:t>均</w:t>
      </w:r>
      <w:r w:rsidRPr="002B55E9">
        <w:rPr>
          <w:rFonts w:hint="eastAsia"/>
        </w:rPr>
        <w:t>未</w:t>
      </w:r>
      <w:r w:rsidRPr="002B55E9">
        <w:t>收到公众任何反馈意见。</w:t>
      </w:r>
    </w:p>
    <w:p w14:paraId="526DD0FB" w14:textId="77777777" w:rsidR="00D170E5" w:rsidRPr="002B55E9" w:rsidRDefault="00EF27AD">
      <w:pPr>
        <w:pStyle w:val="affff7"/>
        <w:spacing w:after="0"/>
      </w:pPr>
      <w:r w:rsidRPr="002B55E9">
        <w:rPr>
          <w:rFonts w:hint="eastAsia"/>
        </w:rPr>
        <w:t>2022</w:t>
      </w:r>
      <w:r w:rsidRPr="002B55E9">
        <w:rPr>
          <w:rFonts w:hint="eastAsia"/>
        </w:rPr>
        <w:t>年</w:t>
      </w:r>
      <w:r w:rsidRPr="002B55E9">
        <w:t>4</w:t>
      </w:r>
      <w:r w:rsidRPr="002B55E9">
        <w:rPr>
          <w:rFonts w:hint="eastAsia"/>
        </w:rPr>
        <w:t>月</w:t>
      </w:r>
      <w:r w:rsidRPr="002B55E9">
        <w:t>~</w:t>
      </w:r>
      <w:r w:rsidRPr="002B55E9">
        <w:rPr>
          <w:rFonts w:hint="eastAsia"/>
        </w:rPr>
        <w:t>8</w:t>
      </w:r>
      <w:r w:rsidRPr="002B55E9">
        <w:rPr>
          <w:rFonts w:hint="eastAsia"/>
        </w:rPr>
        <w:t>月</w:t>
      </w:r>
      <w:r w:rsidRPr="002B55E9">
        <w:t>，根据建设单位提供的相关资料</w:t>
      </w:r>
      <w:r w:rsidRPr="002B55E9">
        <w:rPr>
          <w:rFonts w:hint="eastAsia"/>
        </w:rPr>
        <w:t>以及湖北</w:t>
      </w:r>
      <w:r w:rsidRPr="002B55E9">
        <w:t>相融检测有限公司提供的项目所在区域环境质量现状监测数据，按照《</w:t>
      </w:r>
      <w:r w:rsidRPr="002B55E9">
        <w:rPr>
          <w:rFonts w:hint="eastAsia"/>
        </w:rPr>
        <w:t>环境影响</w:t>
      </w:r>
      <w:r w:rsidRPr="002B55E9">
        <w:t>评价技术导则》</w:t>
      </w:r>
      <w:r w:rsidRPr="002B55E9">
        <w:rPr>
          <w:rFonts w:hint="eastAsia"/>
        </w:rPr>
        <w:t>所</w:t>
      </w:r>
      <w:r w:rsidRPr="002B55E9">
        <w:t>规定的原则</w:t>
      </w:r>
      <w:r w:rsidRPr="002B55E9">
        <w:rPr>
          <w:rFonts w:hint="eastAsia"/>
        </w:rPr>
        <w:t>、</w:t>
      </w:r>
      <w:r w:rsidRPr="002B55E9">
        <w:t>方法</w:t>
      </w:r>
      <w:r w:rsidRPr="002B55E9">
        <w:rPr>
          <w:rFonts w:hint="eastAsia"/>
        </w:rPr>
        <w:t>、</w:t>
      </w:r>
      <w:r w:rsidRPr="002B55E9">
        <w:t>内容及要求，我公司</w:t>
      </w:r>
      <w:r w:rsidRPr="002B55E9">
        <w:rPr>
          <w:rFonts w:hint="eastAsia"/>
        </w:rPr>
        <w:t>于</w:t>
      </w:r>
      <w:r w:rsidRPr="002B55E9">
        <w:rPr>
          <w:rFonts w:hint="eastAsia"/>
        </w:rPr>
        <w:t>2022</w:t>
      </w:r>
      <w:r w:rsidRPr="002B55E9">
        <w:rPr>
          <w:rFonts w:hint="eastAsia"/>
        </w:rPr>
        <w:t>年</w:t>
      </w:r>
      <w:r w:rsidRPr="002B55E9">
        <w:rPr>
          <w:rFonts w:hint="eastAsia"/>
        </w:rPr>
        <w:t>8</w:t>
      </w:r>
      <w:r w:rsidRPr="002B55E9">
        <w:rPr>
          <w:rFonts w:hint="eastAsia"/>
        </w:rPr>
        <w:t>月</w:t>
      </w:r>
      <w:r w:rsidRPr="002B55E9">
        <w:rPr>
          <w:rFonts w:hint="eastAsia"/>
        </w:rPr>
        <w:t>31</w:t>
      </w:r>
      <w:r w:rsidRPr="002B55E9">
        <w:rPr>
          <w:rFonts w:hint="eastAsia"/>
        </w:rPr>
        <w:t>日编制</w:t>
      </w:r>
      <w:r w:rsidRPr="002B55E9">
        <w:t>完成了《</w:t>
      </w:r>
      <w:r w:rsidRPr="002B55E9">
        <w:rPr>
          <w:rFonts w:hint="eastAsia"/>
        </w:rPr>
        <w:t>海天</w:t>
      </w:r>
      <w:r w:rsidRPr="002B55E9">
        <w:t>醋酒建设</w:t>
      </w:r>
      <w:r w:rsidRPr="002B55E9">
        <w:rPr>
          <w:rFonts w:hint="eastAsia"/>
        </w:rPr>
        <w:t>项目</w:t>
      </w:r>
      <w:r w:rsidRPr="002B55E9">
        <w:t>（</w:t>
      </w:r>
      <w:r w:rsidRPr="002B55E9">
        <w:rPr>
          <w:rFonts w:hint="eastAsia"/>
        </w:rPr>
        <w:t>一期</w:t>
      </w:r>
      <w:r w:rsidRPr="002B55E9">
        <w:t>）</w:t>
      </w:r>
      <w:r w:rsidRPr="002B55E9">
        <w:rPr>
          <w:rFonts w:hint="eastAsia"/>
        </w:rPr>
        <w:t>环境</w:t>
      </w:r>
      <w:r w:rsidRPr="002B55E9">
        <w:t>影响报告书》</w:t>
      </w:r>
      <w:r w:rsidRPr="002B55E9">
        <w:rPr>
          <w:rFonts w:hint="eastAsia"/>
        </w:rPr>
        <w:t>（征求</w:t>
      </w:r>
      <w:r w:rsidRPr="002B55E9">
        <w:t>意见稿</w:t>
      </w:r>
      <w:r w:rsidRPr="002B55E9">
        <w:rPr>
          <w:rFonts w:hint="eastAsia"/>
        </w:rPr>
        <w:t>）</w:t>
      </w:r>
      <w:r w:rsidRPr="002B55E9">
        <w:t>。</w:t>
      </w:r>
    </w:p>
    <w:p w14:paraId="59F72195" w14:textId="77777777" w:rsidR="00D170E5" w:rsidRPr="002B55E9" w:rsidRDefault="00EF27AD">
      <w:pPr>
        <w:pStyle w:val="affff7"/>
        <w:spacing w:after="0"/>
      </w:pPr>
      <w:r w:rsidRPr="002B55E9">
        <w:t>2022</w:t>
      </w:r>
      <w:r w:rsidRPr="002B55E9">
        <w:rPr>
          <w:rFonts w:hint="eastAsia"/>
        </w:rPr>
        <w:t>年</w:t>
      </w:r>
      <w:r w:rsidRPr="002B55E9">
        <w:rPr>
          <w:rFonts w:hint="eastAsia"/>
        </w:rPr>
        <w:t>9</w:t>
      </w:r>
      <w:r w:rsidRPr="002B55E9">
        <w:rPr>
          <w:rFonts w:hint="eastAsia"/>
        </w:rPr>
        <w:t>月</w:t>
      </w:r>
      <w:r w:rsidRPr="002B55E9">
        <w:rPr>
          <w:rFonts w:hint="eastAsia"/>
        </w:rPr>
        <w:t>5</w:t>
      </w:r>
      <w:r w:rsidRPr="002B55E9">
        <w:rPr>
          <w:rFonts w:hint="eastAsia"/>
        </w:rPr>
        <w:t>日</w:t>
      </w:r>
      <w:r w:rsidRPr="002B55E9">
        <w:t>，海天醋业（</w:t>
      </w:r>
      <w:r w:rsidRPr="002B55E9">
        <w:rPr>
          <w:rFonts w:hint="eastAsia"/>
        </w:rPr>
        <w:t>武汉</w:t>
      </w:r>
      <w:r w:rsidRPr="002B55E9">
        <w:t>）</w:t>
      </w:r>
      <w:r w:rsidRPr="002B55E9">
        <w:rPr>
          <w:rFonts w:hint="eastAsia"/>
        </w:rPr>
        <w:t>有限公司</w:t>
      </w:r>
      <w:r w:rsidRPr="002B55E9">
        <w:t>在海天味业官方网站（</w:t>
      </w:r>
      <w:r w:rsidRPr="002B55E9">
        <w:t>http://www.haitian-food.com/index.php?ac=article&amp;at=read&amp;did=2558</w:t>
      </w:r>
      <w:r w:rsidRPr="002B55E9">
        <w:t>）</w:t>
      </w:r>
      <w:r w:rsidRPr="002B55E9">
        <w:rPr>
          <w:rFonts w:hint="eastAsia"/>
        </w:rPr>
        <w:t>上</w:t>
      </w:r>
      <w:r w:rsidRPr="002B55E9">
        <w:t>发布了</w:t>
      </w:r>
      <w:r w:rsidRPr="002B55E9">
        <w:rPr>
          <w:rFonts w:hint="eastAsia"/>
        </w:rPr>
        <w:t>《海天醋酒建设项目（一期）环境影响报告书》（</w:t>
      </w:r>
      <w:r w:rsidRPr="002B55E9">
        <w:t>征求意见稿</w:t>
      </w:r>
      <w:r w:rsidRPr="002B55E9">
        <w:rPr>
          <w:rFonts w:hint="eastAsia"/>
        </w:rPr>
        <w:t>）</w:t>
      </w:r>
      <w:r w:rsidRPr="002B55E9">
        <w:t>，公示</w:t>
      </w:r>
      <w:r w:rsidRPr="002B55E9">
        <w:rPr>
          <w:rFonts w:hint="eastAsia"/>
        </w:rPr>
        <w:t>时限</w:t>
      </w:r>
      <w:r w:rsidRPr="002B55E9">
        <w:t>为</w:t>
      </w:r>
      <w:r w:rsidRPr="002B55E9">
        <w:rPr>
          <w:rFonts w:hint="eastAsia"/>
        </w:rPr>
        <w:t>2022</w:t>
      </w:r>
      <w:r w:rsidRPr="002B55E9">
        <w:rPr>
          <w:rFonts w:hint="eastAsia"/>
        </w:rPr>
        <w:t>年</w:t>
      </w:r>
      <w:r w:rsidRPr="002B55E9">
        <w:rPr>
          <w:rFonts w:hint="eastAsia"/>
        </w:rPr>
        <w:t>9</w:t>
      </w:r>
      <w:r w:rsidRPr="002B55E9">
        <w:rPr>
          <w:rFonts w:hint="eastAsia"/>
        </w:rPr>
        <w:t>月</w:t>
      </w:r>
      <w:r w:rsidRPr="002B55E9">
        <w:rPr>
          <w:rFonts w:hint="eastAsia"/>
        </w:rPr>
        <w:t>5</w:t>
      </w:r>
      <w:r w:rsidRPr="002B55E9">
        <w:rPr>
          <w:rFonts w:hint="eastAsia"/>
        </w:rPr>
        <w:t>日至</w:t>
      </w:r>
      <w:r w:rsidRPr="002B55E9">
        <w:rPr>
          <w:rFonts w:hint="eastAsia"/>
        </w:rPr>
        <w:t>9</w:t>
      </w:r>
      <w:r w:rsidRPr="002B55E9">
        <w:rPr>
          <w:rFonts w:hint="eastAsia"/>
        </w:rPr>
        <w:t>月</w:t>
      </w:r>
      <w:r w:rsidRPr="002B55E9">
        <w:rPr>
          <w:rFonts w:hint="eastAsia"/>
        </w:rPr>
        <w:t>19</w:t>
      </w:r>
      <w:r w:rsidRPr="002B55E9">
        <w:rPr>
          <w:rFonts w:hint="eastAsia"/>
        </w:rPr>
        <w:t>日，同时</w:t>
      </w:r>
      <w:r w:rsidRPr="002B55E9">
        <w:rPr>
          <w:rStyle w:val="afff7"/>
          <w:rFonts w:hint="eastAsia"/>
          <w:color w:val="auto"/>
          <w:u w:val="none"/>
        </w:rPr>
        <w:t>在</w:t>
      </w:r>
      <w:r w:rsidRPr="002B55E9">
        <w:rPr>
          <w:rFonts w:hint="eastAsia"/>
        </w:rPr>
        <w:t>海天</w:t>
      </w:r>
      <w:r w:rsidRPr="002B55E9">
        <w:t>醋业（</w:t>
      </w:r>
      <w:r w:rsidRPr="002B55E9">
        <w:rPr>
          <w:rFonts w:hint="eastAsia"/>
        </w:rPr>
        <w:t>武汉</w:t>
      </w:r>
      <w:r w:rsidRPr="002B55E9">
        <w:t>）</w:t>
      </w:r>
      <w:r w:rsidRPr="002B55E9">
        <w:rPr>
          <w:rFonts w:hint="eastAsia"/>
        </w:rPr>
        <w:t>有限公司</w:t>
      </w:r>
      <w:r w:rsidRPr="002B55E9">
        <w:t>厂区周边</w:t>
      </w:r>
      <w:r w:rsidRPr="002B55E9">
        <w:rPr>
          <w:rFonts w:hint="eastAsia"/>
        </w:rPr>
        <w:t>的</w:t>
      </w:r>
      <w:r w:rsidRPr="002B55E9">
        <w:t>孙家湾新村</w:t>
      </w:r>
      <w:r w:rsidRPr="002B55E9">
        <w:rPr>
          <w:rFonts w:hint="eastAsia"/>
        </w:rPr>
        <w:t>居委会</w:t>
      </w:r>
      <w:r w:rsidRPr="002B55E9">
        <w:t>、燕岭社区管委会、</w:t>
      </w:r>
      <w:r w:rsidRPr="002B55E9">
        <w:rPr>
          <w:rFonts w:hint="eastAsia"/>
        </w:rPr>
        <w:t>荷包湖农场</w:t>
      </w:r>
      <w:r w:rsidRPr="002B55E9">
        <w:t>四大队</w:t>
      </w:r>
      <w:r w:rsidRPr="002B55E9">
        <w:rPr>
          <w:rFonts w:hint="eastAsia"/>
        </w:rPr>
        <w:t>村</w:t>
      </w:r>
      <w:r w:rsidRPr="002B55E9">
        <w:t>居委会、</w:t>
      </w:r>
      <w:r w:rsidRPr="002B55E9">
        <w:rPr>
          <w:rFonts w:hint="eastAsia"/>
        </w:rPr>
        <w:t>新</w:t>
      </w:r>
      <w:r w:rsidRPr="002B55E9">
        <w:t>池村张贴了</w:t>
      </w:r>
      <w:r w:rsidRPr="002B55E9">
        <w:rPr>
          <w:rFonts w:hint="eastAsia"/>
        </w:rPr>
        <w:t>现场</w:t>
      </w:r>
      <w:r w:rsidRPr="002B55E9">
        <w:t>公告，公告</w:t>
      </w:r>
      <w:r w:rsidRPr="002B55E9">
        <w:rPr>
          <w:rFonts w:hint="eastAsia"/>
        </w:rPr>
        <w:t>时限</w:t>
      </w:r>
      <w:r w:rsidRPr="002B55E9">
        <w:t>为</w:t>
      </w:r>
      <w:r w:rsidRPr="002B55E9">
        <w:rPr>
          <w:rFonts w:hint="eastAsia"/>
        </w:rPr>
        <w:t>2022</w:t>
      </w:r>
      <w:r w:rsidRPr="002B55E9">
        <w:rPr>
          <w:rFonts w:hint="eastAsia"/>
        </w:rPr>
        <w:t>年</w:t>
      </w:r>
      <w:r w:rsidRPr="002B55E9">
        <w:rPr>
          <w:rFonts w:hint="eastAsia"/>
        </w:rPr>
        <w:t>9</w:t>
      </w:r>
      <w:r w:rsidRPr="002B55E9">
        <w:rPr>
          <w:rFonts w:hint="eastAsia"/>
        </w:rPr>
        <w:t>月</w:t>
      </w:r>
      <w:r w:rsidRPr="002B55E9">
        <w:rPr>
          <w:rFonts w:hint="eastAsia"/>
        </w:rPr>
        <w:t>5</w:t>
      </w:r>
      <w:r w:rsidRPr="002B55E9">
        <w:rPr>
          <w:rFonts w:hint="eastAsia"/>
        </w:rPr>
        <w:t>日</w:t>
      </w:r>
      <w:r w:rsidRPr="002B55E9">
        <w:t>至</w:t>
      </w:r>
      <w:r w:rsidRPr="002B55E9">
        <w:rPr>
          <w:rFonts w:hint="eastAsia"/>
        </w:rPr>
        <w:t>9</w:t>
      </w:r>
      <w:r w:rsidRPr="002B55E9">
        <w:rPr>
          <w:rFonts w:hint="eastAsia"/>
        </w:rPr>
        <w:t>月</w:t>
      </w:r>
      <w:r w:rsidRPr="002B55E9">
        <w:rPr>
          <w:rFonts w:hint="eastAsia"/>
        </w:rPr>
        <w:t>19</w:t>
      </w:r>
      <w:r w:rsidRPr="002B55E9">
        <w:rPr>
          <w:rFonts w:hint="eastAsia"/>
        </w:rPr>
        <w:t>日</w:t>
      </w:r>
      <w:r w:rsidRPr="002B55E9">
        <w:t>；并</w:t>
      </w:r>
      <w:r w:rsidRPr="002B55E9">
        <w:rPr>
          <w:rFonts w:hint="eastAsia"/>
        </w:rPr>
        <w:t>于</w:t>
      </w:r>
      <w:r w:rsidRPr="002B55E9">
        <w:rPr>
          <w:rFonts w:hint="eastAsia"/>
        </w:rPr>
        <w:t>2022</w:t>
      </w:r>
      <w:r w:rsidRPr="002B55E9">
        <w:rPr>
          <w:rFonts w:hint="eastAsia"/>
        </w:rPr>
        <w:t>年</w:t>
      </w:r>
      <w:r w:rsidRPr="002B55E9">
        <w:rPr>
          <w:rFonts w:hint="eastAsia"/>
        </w:rPr>
        <w:t>9</w:t>
      </w:r>
      <w:r w:rsidRPr="002B55E9">
        <w:rPr>
          <w:rFonts w:hint="eastAsia"/>
        </w:rPr>
        <w:t>月</w:t>
      </w:r>
      <w:r w:rsidRPr="002B55E9">
        <w:rPr>
          <w:rFonts w:hint="eastAsia"/>
        </w:rPr>
        <w:t>15</w:t>
      </w:r>
      <w:r w:rsidRPr="002B55E9">
        <w:rPr>
          <w:rFonts w:hint="eastAsia"/>
        </w:rPr>
        <w:t>日</w:t>
      </w:r>
      <w:r w:rsidRPr="002B55E9">
        <w:t>、</w:t>
      </w:r>
      <w:r w:rsidRPr="002B55E9">
        <w:rPr>
          <w:rFonts w:hint="eastAsia"/>
        </w:rPr>
        <w:t>16</w:t>
      </w:r>
      <w:r w:rsidRPr="002B55E9">
        <w:rPr>
          <w:rFonts w:hint="eastAsia"/>
        </w:rPr>
        <w:t>日</w:t>
      </w:r>
      <w:r w:rsidRPr="002B55E9">
        <w:t>先后在湖北日报上</w:t>
      </w:r>
      <w:r w:rsidRPr="002B55E9">
        <w:rPr>
          <w:rFonts w:hint="eastAsia"/>
        </w:rPr>
        <w:t>进行</w:t>
      </w:r>
      <w:r w:rsidRPr="002B55E9">
        <w:t>了征求意见稿公示。</w:t>
      </w:r>
      <w:r w:rsidRPr="002B55E9">
        <w:rPr>
          <w:rFonts w:hint="eastAsia"/>
        </w:rPr>
        <w:t>本次</w:t>
      </w:r>
      <w:r w:rsidRPr="002B55E9">
        <w:t>公示内容包括</w:t>
      </w:r>
      <w:r w:rsidRPr="002B55E9">
        <w:rPr>
          <w:rFonts w:hint="eastAsia"/>
        </w:rPr>
        <w:t>：项目环境影响报告书征求意见稿全文及查阅纸质报告的方式和途径、征求意见的公众范围、公众意见表的网络链接、公众提出意见的方式和途径、起止时间等，公示期间建设单位和环评单位均未收到个人及单位对该项目的意见。</w:t>
      </w:r>
    </w:p>
    <w:p w14:paraId="78D044F7" w14:textId="77777777" w:rsidR="00D170E5" w:rsidRPr="002B55E9" w:rsidRDefault="00EF27AD">
      <w:pPr>
        <w:pStyle w:val="affff7"/>
        <w:spacing w:after="0"/>
      </w:pPr>
      <w:r w:rsidRPr="002B55E9">
        <w:t>在上述工作的基础上，我公司进一步对</w:t>
      </w:r>
      <w:r w:rsidRPr="002B55E9">
        <w:rPr>
          <w:rFonts w:hint="eastAsia"/>
        </w:rPr>
        <w:t>报告书</w:t>
      </w:r>
      <w:r w:rsidRPr="002B55E9">
        <w:t>初稿进行了完善，形成</w:t>
      </w:r>
      <w:r w:rsidRPr="002B55E9">
        <w:rPr>
          <w:rFonts w:hint="eastAsia"/>
        </w:rPr>
        <w:t>《海天</w:t>
      </w:r>
      <w:r w:rsidRPr="002B55E9">
        <w:t>醋酒建设项目（</w:t>
      </w:r>
      <w:r w:rsidRPr="002B55E9">
        <w:rPr>
          <w:rFonts w:hint="eastAsia"/>
        </w:rPr>
        <w:t>一期</w:t>
      </w:r>
      <w:r w:rsidRPr="002B55E9">
        <w:t>）</w:t>
      </w:r>
      <w:r w:rsidRPr="002B55E9">
        <w:rPr>
          <w:rFonts w:hint="eastAsia"/>
        </w:rPr>
        <w:t>环境</w:t>
      </w:r>
      <w:r w:rsidRPr="002B55E9">
        <w:t>影响报告书（</w:t>
      </w:r>
      <w:r w:rsidRPr="002B55E9">
        <w:rPr>
          <w:rFonts w:hint="eastAsia"/>
        </w:rPr>
        <w:t>送审</w:t>
      </w:r>
      <w:r w:rsidRPr="002B55E9">
        <w:t>稿）</w:t>
      </w:r>
      <w:r w:rsidRPr="002B55E9">
        <w:rPr>
          <w:rFonts w:hint="eastAsia"/>
        </w:rPr>
        <w:t>》，</w:t>
      </w:r>
      <w:r w:rsidRPr="002B55E9">
        <w:t>交由建设单位呈报武汉市生态环境</w:t>
      </w:r>
      <w:r w:rsidRPr="002B55E9">
        <w:rPr>
          <w:rFonts w:hint="eastAsia"/>
        </w:rPr>
        <w:t>科技</w:t>
      </w:r>
      <w:r w:rsidRPr="002B55E9">
        <w:t>中心审查。</w:t>
      </w:r>
    </w:p>
    <w:p w14:paraId="68F2B0E3" w14:textId="77777777" w:rsidR="00D170E5" w:rsidRPr="002B55E9" w:rsidRDefault="00EF27AD">
      <w:pPr>
        <w:pStyle w:val="affff7"/>
        <w:snapToGrid w:val="0"/>
        <w:spacing w:after="0"/>
        <w:ind w:firstLineChars="0" w:firstLine="0"/>
        <w:rPr>
          <w:b/>
        </w:rPr>
      </w:pPr>
      <w:r w:rsidRPr="002B55E9">
        <w:rPr>
          <w:rFonts w:hint="eastAsia"/>
          <w:b/>
          <w:bCs w:val="0"/>
        </w:rPr>
        <w:t>三、</w:t>
      </w:r>
      <w:r w:rsidRPr="002B55E9">
        <w:rPr>
          <w:rFonts w:hint="eastAsia"/>
          <w:b/>
        </w:rPr>
        <w:t>关注的主要环境问题</w:t>
      </w:r>
    </w:p>
    <w:p w14:paraId="4178E9BA" w14:textId="77777777" w:rsidR="00D170E5" w:rsidRPr="002B55E9" w:rsidRDefault="00EF27AD">
      <w:pPr>
        <w:pStyle w:val="affff7"/>
        <w:snapToGrid w:val="0"/>
        <w:spacing w:after="0"/>
      </w:pPr>
      <w:r w:rsidRPr="002B55E9">
        <w:rPr>
          <w:rFonts w:hint="eastAsia"/>
        </w:rPr>
        <w:t>根据项目工程分析及区域环境的现状特点，主要关注以下环境问题：</w:t>
      </w:r>
    </w:p>
    <w:p w14:paraId="56AB68AC" w14:textId="77777777" w:rsidR="00D170E5" w:rsidRPr="002B55E9" w:rsidRDefault="00EF27AD">
      <w:pPr>
        <w:pStyle w:val="affff7"/>
        <w:snapToGrid w:val="0"/>
        <w:spacing w:after="0"/>
      </w:pPr>
      <w:r w:rsidRPr="002B55E9">
        <w:rPr>
          <w:rFonts w:hint="eastAsia"/>
        </w:rPr>
        <w:t>（</w:t>
      </w:r>
      <w:r w:rsidRPr="002B55E9">
        <w:t>1</w:t>
      </w:r>
      <w:r w:rsidRPr="002B55E9">
        <w:rPr>
          <w:rFonts w:hint="eastAsia"/>
        </w:rPr>
        <w:t>）大气环境：关注项目产生的废气对周边环境空气的影响。</w:t>
      </w:r>
    </w:p>
    <w:p w14:paraId="08DB821A" w14:textId="77777777" w:rsidR="00D170E5" w:rsidRPr="002B55E9" w:rsidRDefault="00EF27AD">
      <w:pPr>
        <w:pStyle w:val="affff7"/>
        <w:snapToGrid w:val="0"/>
        <w:spacing w:after="0"/>
      </w:pPr>
      <w:r w:rsidRPr="002B55E9">
        <w:rPr>
          <w:rFonts w:hint="eastAsia"/>
        </w:rPr>
        <w:t>（</w:t>
      </w:r>
      <w:r w:rsidRPr="002B55E9">
        <w:t>2</w:t>
      </w:r>
      <w:r w:rsidRPr="002B55E9">
        <w:rPr>
          <w:rFonts w:hint="eastAsia"/>
        </w:rPr>
        <w:t>）地表水环境：关注项目废水排放的达标可行性分析。</w:t>
      </w:r>
    </w:p>
    <w:p w14:paraId="681ADD55" w14:textId="77777777" w:rsidR="00D170E5" w:rsidRPr="002B55E9" w:rsidRDefault="00EF27AD">
      <w:pPr>
        <w:pStyle w:val="affff7"/>
        <w:snapToGrid w:val="0"/>
        <w:spacing w:after="0"/>
      </w:pPr>
      <w:r w:rsidRPr="002B55E9">
        <w:rPr>
          <w:rFonts w:hint="eastAsia"/>
        </w:rPr>
        <w:t>（</w:t>
      </w:r>
      <w:r w:rsidRPr="002B55E9">
        <w:t>3</w:t>
      </w:r>
      <w:r w:rsidRPr="002B55E9">
        <w:rPr>
          <w:rFonts w:hint="eastAsia"/>
        </w:rPr>
        <w:t>）土壤</w:t>
      </w:r>
      <w:r w:rsidRPr="002B55E9">
        <w:t>、</w:t>
      </w:r>
      <w:r w:rsidRPr="002B55E9">
        <w:rPr>
          <w:rFonts w:hint="eastAsia"/>
        </w:rPr>
        <w:t>地下水：关注土壤</w:t>
      </w:r>
      <w:r w:rsidRPr="002B55E9">
        <w:t>、</w:t>
      </w:r>
      <w:r w:rsidRPr="002B55E9">
        <w:rPr>
          <w:rFonts w:hint="eastAsia"/>
        </w:rPr>
        <w:t>地下水污染及防渗措施。</w:t>
      </w:r>
      <w:r w:rsidRPr="002B55E9">
        <w:t xml:space="preserve"> </w:t>
      </w:r>
    </w:p>
    <w:p w14:paraId="69AA076D" w14:textId="77777777" w:rsidR="00D170E5" w:rsidRPr="002B55E9" w:rsidRDefault="00EF27AD">
      <w:pPr>
        <w:pStyle w:val="affff7"/>
        <w:snapToGrid w:val="0"/>
        <w:spacing w:after="0"/>
      </w:pPr>
      <w:r w:rsidRPr="002B55E9">
        <w:rPr>
          <w:rFonts w:hint="eastAsia"/>
        </w:rPr>
        <w:t>（</w:t>
      </w:r>
      <w:r w:rsidRPr="002B55E9">
        <w:t>4</w:t>
      </w:r>
      <w:r w:rsidRPr="002B55E9">
        <w:rPr>
          <w:rFonts w:hint="eastAsia"/>
        </w:rPr>
        <w:t>）声环境：关注设备噪声对周边环境的影响。</w:t>
      </w:r>
    </w:p>
    <w:p w14:paraId="3AEBE2F9" w14:textId="77777777" w:rsidR="00D170E5" w:rsidRPr="002B55E9" w:rsidRDefault="00EF27AD">
      <w:pPr>
        <w:pStyle w:val="affff7"/>
        <w:snapToGrid w:val="0"/>
        <w:spacing w:after="0"/>
      </w:pPr>
      <w:r w:rsidRPr="002B55E9">
        <w:rPr>
          <w:rFonts w:hint="eastAsia"/>
        </w:rPr>
        <w:lastRenderedPageBreak/>
        <w:t>（</w:t>
      </w:r>
      <w:r w:rsidRPr="002B55E9">
        <w:t>5</w:t>
      </w:r>
      <w:r w:rsidRPr="002B55E9">
        <w:rPr>
          <w:rFonts w:hint="eastAsia"/>
        </w:rPr>
        <w:t>）固体废物：关注固体废物的分类收集、贮存及危险废物识别、污染防治及影响分析。</w:t>
      </w:r>
    </w:p>
    <w:p w14:paraId="066F4666" w14:textId="77777777" w:rsidR="00D170E5" w:rsidRPr="002B55E9" w:rsidRDefault="00EF27AD">
      <w:pPr>
        <w:pStyle w:val="affff7"/>
        <w:snapToGrid w:val="0"/>
        <w:spacing w:after="0"/>
      </w:pPr>
      <w:r w:rsidRPr="002B55E9">
        <w:rPr>
          <w:rFonts w:hint="eastAsia"/>
        </w:rPr>
        <w:t>（</w:t>
      </w:r>
      <w:r w:rsidRPr="002B55E9">
        <w:rPr>
          <w:rFonts w:hint="eastAsia"/>
        </w:rPr>
        <w:t>6</w:t>
      </w:r>
      <w:r w:rsidRPr="002B55E9">
        <w:rPr>
          <w:rFonts w:hint="eastAsia"/>
        </w:rPr>
        <w:t>）环境风险：关注化学品在事故状态下的环境风险影响程度及范围。</w:t>
      </w:r>
    </w:p>
    <w:p w14:paraId="75EC65A8" w14:textId="77777777" w:rsidR="00D170E5" w:rsidRPr="002B55E9" w:rsidRDefault="00EF27AD">
      <w:pPr>
        <w:pStyle w:val="affff7"/>
        <w:ind w:firstLineChars="0" w:firstLine="0"/>
        <w:rPr>
          <w:b/>
          <w:bCs w:val="0"/>
        </w:rPr>
      </w:pPr>
      <w:r w:rsidRPr="002B55E9">
        <w:rPr>
          <w:rFonts w:hint="eastAsia"/>
          <w:b/>
          <w:bCs w:val="0"/>
        </w:rPr>
        <w:t>四、主要评价结论</w:t>
      </w:r>
    </w:p>
    <w:p w14:paraId="0904DD7D" w14:textId="77777777" w:rsidR="00D170E5" w:rsidRPr="002B55E9" w:rsidRDefault="00EF27AD">
      <w:pPr>
        <w:pStyle w:val="affff7"/>
        <w:adjustRightInd w:val="0"/>
        <w:snapToGrid w:val="0"/>
        <w:spacing w:after="0"/>
        <w:rPr>
          <w:bCs w:val="0"/>
          <w:szCs w:val="24"/>
        </w:rPr>
      </w:pPr>
      <w:r w:rsidRPr="002B55E9">
        <w:rPr>
          <w:rFonts w:hint="eastAsia"/>
          <w:bCs w:val="0"/>
          <w:szCs w:val="24"/>
        </w:rPr>
        <w:t>评价得出如下结论：</w:t>
      </w:r>
      <w:r w:rsidRPr="002B55E9">
        <w:t>拟建项目符合国家相关产业政策</w:t>
      </w:r>
      <w:r w:rsidRPr="002B55E9">
        <w:rPr>
          <w:rFonts w:hint="eastAsia"/>
        </w:rPr>
        <w:t>、</w:t>
      </w:r>
      <w:r w:rsidRPr="002B55E9">
        <w:t>城市总体规划</w:t>
      </w:r>
      <w:r w:rsidRPr="002B55E9">
        <w:rPr>
          <w:rFonts w:hint="eastAsia"/>
        </w:rPr>
        <w:t>，符合长江经济带相关政策</w:t>
      </w:r>
      <w:r w:rsidRPr="002B55E9">
        <w:t>。项目在建设中和建成运行以后将产生一定程度的废气、污水、噪声及固体废物的污染，在落实清洁生产、严格采取本评价</w:t>
      </w:r>
      <w:r w:rsidRPr="002B55E9">
        <w:rPr>
          <w:rFonts w:hint="eastAsia"/>
        </w:rPr>
        <w:t>提出的各项污染防治措施</w:t>
      </w:r>
      <w:r w:rsidRPr="002B55E9">
        <w:t>、实施环境管理与监测计划</w:t>
      </w:r>
      <w:r w:rsidRPr="002B55E9">
        <w:rPr>
          <w:rFonts w:hint="eastAsia"/>
        </w:rPr>
        <w:t>以及主要污染物总量控制方案以</w:t>
      </w:r>
      <w:r w:rsidRPr="002B55E9">
        <w:t>后</w:t>
      </w:r>
      <w:r w:rsidRPr="002B55E9">
        <w:rPr>
          <w:rFonts w:hint="eastAsia"/>
        </w:rPr>
        <w:t>，项目对周围环境的影响可以控制在国家有关标准和要求的允许范围以内，并将产生较好的社会、经济和环境效益</w:t>
      </w:r>
      <w:r w:rsidRPr="002B55E9">
        <w:t>。因此，</w:t>
      </w:r>
      <w:r w:rsidRPr="002B55E9">
        <w:rPr>
          <w:rFonts w:hint="eastAsia"/>
        </w:rPr>
        <w:t>从环境保护角度而言，拟建项目</w:t>
      </w:r>
      <w:r w:rsidRPr="002B55E9">
        <w:t>可以按</w:t>
      </w:r>
      <w:r w:rsidRPr="002B55E9">
        <w:rPr>
          <w:rFonts w:hint="eastAsia"/>
        </w:rPr>
        <w:t>拟定规模及计划实施。</w:t>
      </w:r>
    </w:p>
    <w:p w14:paraId="1AB1B6D7" w14:textId="77777777" w:rsidR="00D170E5" w:rsidRPr="002B55E9" w:rsidRDefault="00D170E5">
      <w:pPr>
        <w:pStyle w:val="affff7"/>
        <w:spacing w:after="0"/>
        <w:rPr>
          <w:bCs w:val="0"/>
          <w:szCs w:val="24"/>
        </w:rPr>
        <w:sectPr w:rsidR="00D170E5" w:rsidRPr="002B55E9">
          <w:headerReference w:type="default" r:id="rId16"/>
          <w:pgSz w:w="11906" w:h="16838"/>
          <w:pgMar w:top="1134" w:right="1134" w:bottom="1134" w:left="1134" w:header="737" w:footer="624" w:gutter="0"/>
          <w:pgNumType w:start="1"/>
          <w:cols w:space="720"/>
          <w:docGrid w:type="lines" w:linePitch="312"/>
        </w:sectPr>
      </w:pPr>
    </w:p>
    <w:p w14:paraId="2EC012F3" w14:textId="77777777" w:rsidR="00D170E5" w:rsidRPr="002B55E9" w:rsidRDefault="00EF27AD">
      <w:pPr>
        <w:pStyle w:val="2"/>
      </w:pPr>
      <w:bookmarkStart w:id="59" w:name="_Toc119308968"/>
      <w:bookmarkStart w:id="60" w:name="_Toc169616154"/>
      <w:bookmarkStart w:id="61" w:name="_Toc121711616"/>
      <w:bookmarkStart w:id="62" w:name="_Toc124238077"/>
      <w:bookmarkStart w:id="63" w:name="_Toc492802416"/>
      <w:bookmarkStart w:id="64" w:name="_Toc464205789"/>
      <w:bookmarkStart w:id="65" w:name="_Toc533332790"/>
      <w:bookmarkStart w:id="66" w:name="_Toc462039058"/>
      <w:bookmarkStart w:id="67" w:name="_Toc533339197"/>
      <w:bookmarkStart w:id="68" w:name="_Toc50600425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B55E9">
        <w:lastRenderedPageBreak/>
        <w:t>总论</w:t>
      </w:r>
      <w:bookmarkEnd w:id="59"/>
      <w:bookmarkEnd w:id="60"/>
      <w:bookmarkEnd w:id="61"/>
      <w:bookmarkEnd w:id="62"/>
    </w:p>
    <w:p w14:paraId="19A3BAA3" w14:textId="77777777" w:rsidR="00D170E5" w:rsidRPr="002B55E9" w:rsidRDefault="00EF27AD">
      <w:pPr>
        <w:pStyle w:val="3"/>
      </w:pPr>
      <w:bookmarkStart w:id="69" w:name="_Toc119308969"/>
      <w:r w:rsidRPr="002B55E9">
        <w:t>编制目的</w:t>
      </w:r>
      <w:bookmarkEnd w:id="69"/>
    </w:p>
    <w:p w14:paraId="393BC832" w14:textId="77777777" w:rsidR="00D170E5" w:rsidRPr="002B55E9" w:rsidRDefault="00EF27AD">
      <w:pPr>
        <w:pStyle w:val="affff7"/>
        <w:snapToGrid w:val="0"/>
        <w:spacing w:after="0"/>
      </w:pPr>
      <w:bookmarkStart w:id="70" w:name="_Toc124238080"/>
      <w:bookmarkStart w:id="71" w:name="_Toc169616157"/>
      <w:bookmarkStart w:id="72" w:name="_Toc121711619"/>
      <w:r w:rsidRPr="002B55E9">
        <w:t>开展环境影响评价的目的就是通过查清环境背景，明确环境保护目标，对可能产生的环境问题进行剖析，提出防治对策，以求将不利的环境影响减小到最低程度，促使项目建成运行后能取得最佳的社会、环境和经济综合效益。</w:t>
      </w:r>
    </w:p>
    <w:p w14:paraId="457BFCDB" w14:textId="77777777" w:rsidR="00D170E5" w:rsidRPr="002B55E9" w:rsidRDefault="00EF27AD">
      <w:pPr>
        <w:pStyle w:val="affff7"/>
        <w:snapToGrid w:val="0"/>
        <w:spacing w:after="0"/>
      </w:pPr>
      <w:r w:rsidRPr="002B55E9">
        <w:t>（</w:t>
      </w:r>
      <w:r w:rsidRPr="002B55E9">
        <w:t>1</w:t>
      </w:r>
      <w:r w:rsidRPr="002B55E9">
        <w:t>）通过对拟建项目所在地区自然环境现状的调查、项目的工程分析、环境影响预测等系统性的工作，查明该地区的环境质量现状，掌握其环境特征，分析本项目污染物排放状况以及实施污染防治措施后能够实现的污染物削减量，预测</w:t>
      </w:r>
      <w:r w:rsidRPr="002B55E9">
        <w:rPr>
          <w:rFonts w:hint="eastAsia"/>
        </w:rPr>
        <w:t>拟建项目建成后</w:t>
      </w:r>
      <w:r w:rsidRPr="002B55E9">
        <w:t>对环境影响的特点、范围和程度以及环境质量可能发生的变化；</w:t>
      </w:r>
    </w:p>
    <w:p w14:paraId="40A03D78" w14:textId="77777777" w:rsidR="00D170E5" w:rsidRPr="002B55E9" w:rsidRDefault="00EF27AD">
      <w:pPr>
        <w:pStyle w:val="affff7"/>
        <w:snapToGrid w:val="0"/>
        <w:spacing w:after="0"/>
      </w:pPr>
      <w:r w:rsidRPr="002B55E9">
        <w:t>（</w:t>
      </w:r>
      <w:r w:rsidRPr="002B55E9">
        <w:t>2</w:t>
      </w:r>
      <w:r w:rsidRPr="002B55E9">
        <w:t>）评述项目污染防治方案的可行性，并根据国家对建设项目进行环境管理的</w:t>
      </w:r>
      <w:r w:rsidRPr="002B55E9">
        <w:rPr>
          <w:rFonts w:hint="eastAsia"/>
        </w:rPr>
        <w:t>“</w:t>
      </w:r>
      <w:r w:rsidRPr="002B55E9">
        <w:t>污染物达标排放</w:t>
      </w:r>
      <w:r w:rsidRPr="002B55E9">
        <w:rPr>
          <w:rFonts w:hint="eastAsia"/>
        </w:rPr>
        <w:t>”</w:t>
      </w:r>
      <w:r w:rsidRPr="002B55E9">
        <w:t>和</w:t>
      </w:r>
      <w:r w:rsidRPr="002B55E9">
        <w:rPr>
          <w:rFonts w:hint="eastAsia"/>
        </w:rPr>
        <w:t>“</w:t>
      </w:r>
      <w:r w:rsidRPr="002B55E9">
        <w:t>总量控制</w:t>
      </w:r>
      <w:r w:rsidRPr="002B55E9">
        <w:rPr>
          <w:rFonts w:hint="eastAsia"/>
        </w:rPr>
        <w:t>”</w:t>
      </w:r>
      <w:r w:rsidRPr="002B55E9">
        <w:t>、</w:t>
      </w:r>
      <w:r w:rsidRPr="002B55E9">
        <w:rPr>
          <w:rFonts w:hint="eastAsia"/>
        </w:rPr>
        <w:t>“</w:t>
      </w:r>
      <w:r w:rsidRPr="002B55E9">
        <w:t>清洁生产</w:t>
      </w:r>
      <w:r w:rsidRPr="002B55E9">
        <w:rPr>
          <w:rFonts w:hint="eastAsia"/>
        </w:rPr>
        <w:t>”、“环境风险”</w:t>
      </w:r>
      <w:r w:rsidRPr="002B55E9">
        <w:t>以及产业政策、城市总体规划等方面的要求，从环境保护的角度，论证项目的可行性，并对项目的生产管理和污染防治措施提出技术经济分析论证；</w:t>
      </w:r>
    </w:p>
    <w:p w14:paraId="5E62EB40" w14:textId="77777777" w:rsidR="00D170E5" w:rsidRPr="002B55E9" w:rsidRDefault="00EF27AD">
      <w:pPr>
        <w:pStyle w:val="affff7"/>
        <w:snapToGrid w:val="0"/>
        <w:spacing w:after="0"/>
      </w:pPr>
      <w:r w:rsidRPr="002B55E9">
        <w:t>（</w:t>
      </w:r>
      <w:r w:rsidRPr="002B55E9">
        <w:t>3</w:t>
      </w:r>
      <w:r w:rsidRPr="002B55E9">
        <w:t>）根据项目环境影响的特点，对其环境管理及环境监测计划提出要求；</w:t>
      </w:r>
    </w:p>
    <w:p w14:paraId="13E7DB1B" w14:textId="77777777" w:rsidR="00D170E5" w:rsidRPr="002B55E9" w:rsidRDefault="00EF27AD">
      <w:pPr>
        <w:pStyle w:val="affff7"/>
        <w:snapToGrid w:val="0"/>
        <w:spacing w:after="0"/>
      </w:pPr>
      <w:r w:rsidRPr="002B55E9">
        <w:t>（</w:t>
      </w:r>
      <w:r w:rsidRPr="002B55E9">
        <w:t>4</w:t>
      </w:r>
      <w:r w:rsidRPr="002B55E9">
        <w:t>）为项目的初步设计和环境监督管理提供科学依据。</w:t>
      </w:r>
    </w:p>
    <w:p w14:paraId="40CD6104" w14:textId="77777777" w:rsidR="00D170E5" w:rsidRPr="002B55E9" w:rsidRDefault="00EF27AD">
      <w:pPr>
        <w:pStyle w:val="3"/>
      </w:pPr>
      <w:bookmarkStart w:id="73" w:name="_Toc119308970"/>
      <w:r w:rsidRPr="002B55E9">
        <w:t>编制依据</w:t>
      </w:r>
      <w:bookmarkEnd w:id="70"/>
      <w:bookmarkEnd w:id="71"/>
      <w:bookmarkEnd w:id="72"/>
      <w:bookmarkEnd w:id="73"/>
    </w:p>
    <w:p w14:paraId="220FB7DD" w14:textId="77777777" w:rsidR="00D170E5" w:rsidRPr="002B55E9" w:rsidRDefault="00EF27AD">
      <w:pPr>
        <w:pStyle w:val="4"/>
        <w:rPr>
          <w:color w:val="auto"/>
        </w:rPr>
      </w:pPr>
      <w:bookmarkStart w:id="74" w:name="_Toc169616158"/>
      <w:r w:rsidRPr="002B55E9">
        <w:rPr>
          <w:color w:val="auto"/>
        </w:rPr>
        <w:t>法律、法规</w:t>
      </w:r>
      <w:bookmarkEnd w:id="74"/>
      <w:r w:rsidRPr="002B55E9">
        <w:rPr>
          <w:rFonts w:hint="eastAsia"/>
          <w:color w:val="auto"/>
        </w:rPr>
        <w:t>文件</w:t>
      </w:r>
    </w:p>
    <w:p w14:paraId="500D51DB"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1</w:t>
      </w:r>
      <w:r w:rsidRPr="002B55E9">
        <w:rPr>
          <w:sz w:val="24"/>
        </w:rPr>
        <w:t>）</w:t>
      </w:r>
      <w:r w:rsidRPr="002B55E9">
        <w:rPr>
          <w:rFonts w:hint="eastAsia"/>
          <w:sz w:val="24"/>
        </w:rPr>
        <w:t>《中华人民共和国环境保护法》（</w:t>
      </w:r>
      <w:r w:rsidRPr="002B55E9">
        <w:rPr>
          <w:rFonts w:hint="eastAsia"/>
          <w:sz w:val="24"/>
        </w:rPr>
        <w:t>1989</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26</w:t>
      </w:r>
      <w:r w:rsidRPr="002B55E9">
        <w:rPr>
          <w:rFonts w:hint="eastAsia"/>
          <w:sz w:val="24"/>
        </w:rPr>
        <w:t>日通过，</w:t>
      </w:r>
      <w:r w:rsidRPr="002B55E9">
        <w:rPr>
          <w:rFonts w:hint="eastAsia"/>
          <w:sz w:val="24"/>
        </w:rPr>
        <w:t>2014</w:t>
      </w:r>
      <w:r w:rsidRPr="002B55E9">
        <w:rPr>
          <w:rFonts w:hint="eastAsia"/>
          <w:sz w:val="24"/>
        </w:rPr>
        <w:t>年</w:t>
      </w:r>
      <w:r w:rsidRPr="002B55E9">
        <w:rPr>
          <w:rFonts w:hint="eastAsia"/>
          <w:sz w:val="24"/>
        </w:rPr>
        <w:t>4</w:t>
      </w:r>
      <w:r w:rsidRPr="002B55E9">
        <w:rPr>
          <w:rFonts w:hint="eastAsia"/>
          <w:sz w:val="24"/>
        </w:rPr>
        <w:t>月</w:t>
      </w:r>
      <w:r w:rsidRPr="002B55E9">
        <w:rPr>
          <w:rFonts w:hint="eastAsia"/>
          <w:sz w:val="24"/>
        </w:rPr>
        <w:t>24</w:t>
      </w:r>
      <w:r w:rsidRPr="002B55E9">
        <w:rPr>
          <w:rFonts w:hint="eastAsia"/>
          <w:sz w:val="24"/>
        </w:rPr>
        <w:t>日修订，</w:t>
      </w:r>
      <w:r w:rsidRPr="002B55E9">
        <w:rPr>
          <w:rFonts w:hint="eastAsia"/>
          <w:sz w:val="24"/>
        </w:rPr>
        <w:t>2015</w:t>
      </w:r>
      <w:r w:rsidRPr="002B55E9">
        <w:rPr>
          <w:rFonts w:hint="eastAsia"/>
          <w:sz w:val="24"/>
        </w:rPr>
        <w:t>年</w:t>
      </w:r>
      <w:r w:rsidRPr="002B55E9">
        <w:rPr>
          <w:rFonts w:hint="eastAsia"/>
          <w:sz w:val="24"/>
        </w:rPr>
        <w:t>1</w:t>
      </w:r>
      <w:r w:rsidRPr="002B55E9">
        <w:rPr>
          <w:rFonts w:hint="eastAsia"/>
          <w:sz w:val="24"/>
        </w:rPr>
        <w:t>月</w:t>
      </w:r>
      <w:r w:rsidRPr="002B55E9">
        <w:rPr>
          <w:rFonts w:hint="eastAsia"/>
          <w:sz w:val="24"/>
        </w:rPr>
        <w:t>1</w:t>
      </w:r>
      <w:r w:rsidRPr="002B55E9">
        <w:rPr>
          <w:rFonts w:hint="eastAsia"/>
          <w:sz w:val="24"/>
        </w:rPr>
        <w:t>日实施）</w:t>
      </w:r>
      <w:r w:rsidRPr="002B55E9">
        <w:rPr>
          <w:sz w:val="24"/>
        </w:rPr>
        <w:t>；</w:t>
      </w:r>
    </w:p>
    <w:p w14:paraId="2A0A1DB8"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2</w:t>
      </w:r>
      <w:r w:rsidRPr="002B55E9">
        <w:rPr>
          <w:sz w:val="24"/>
        </w:rPr>
        <w:t>）</w:t>
      </w:r>
      <w:r w:rsidRPr="002B55E9">
        <w:rPr>
          <w:rFonts w:hint="eastAsia"/>
          <w:sz w:val="24"/>
        </w:rPr>
        <w:t>《中华人民共和国环境影响评价法》（</w:t>
      </w:r>
      <w:r w:rsidRPr="002B55E9">
        <w:rPr>
          <w:rFonts w:hint="eastAsia"/>
          <w:sz w:val="24"/>
        </w:rPr>
        <w:t>2002</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28</w:t>
      </w:r>
      <w:r w:rsidRPr="002B55E9">
        <w:rPr>
          <w:rFonts w:hint="eastAsia"/>
          <w:sz w:val="24"/>
        </w:rPr>
        <w:t>日通过，</w:t>
      </w:r>
      <w:r w:rsidRPr="002B55E9">
        <w:rPr>
          <w:rFonts w:hint="eastAsia"/>
          <w:sz w:val="24"/>
        </w:rPr>
        <w:t>2018</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29</w:t>
      </w:r>
      <w:r w:rsidRPr="002B55E9">
        <w:rPr>
          <w:rFonts w:hint="eastAsia"/>
          <w:sz w:val="24"/>
        </w:rPr>
        <w:t>日第二次修正，</w:t>
      </w:r>
      <w:r w:rsidRPr="002B55E9">
        <w:rPr>
          <w:rFonts w:hint="eastAsia"/>
          <w:sz w:val="24"/>
        </w:rPr>
        <w:t>2018</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29</w:t>
      </w:r>
      <w:r w:rsidRPr="002B55E9">
        <w:rPr>
          <w:rFonts w:hint="eastAsia"/>
          <w:sz w:val="24"/>
        </w:rPr>
        <w:t>日实施）</w:t>
      </w:r>
      <w:r w:rsidRPr="002B55E9">
        <w:rPr>
          <w:sz w:val="24"/>
        </w:rPr>
        <w:t>；</w:t>
      </w:r>
    </w:p>
    <w:p w14:paraId="6122E98B"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3</w:t>
      </w:r>
      <w:r w:rsidRPr="002B55E9">
        <w:rPr>
          <w:sz w:val="24"/>
        </w:rPr>
        <w:t>）</w:t>
      </w:r>
      <w:r w:rsidRPr="002B55E9">
        <w:rPr>
          <w:rFonts w:hint="eastAsia"/>
          <w:sz w:val="24"/>
        </w:rPr>
        <w:t>《中华人民共和国大气污染防治法》（</w:t>
      </w:r>
      <w:r w:rsidRPr="002B55E9">
        <w:rPr>
          <w:rFonts w:hint="eastAsia"/>
          <w:sz w:val="24"/>
        </w:rPr>
        <w:t>1987</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5</w:t>
      </w:r>
      <w:r w:rsidRPr="002B55E9">
        <w:rPr>
          <w:rFonts w:hint="eastAsia"/>
          <w:sz w:val="24"/>
        </w:rPr>
        <w:t>日通过，</w:t>
      </w:r>
      <w:r w:rsidRPr="002B55E9">
        <w:rPr>
          <w:rFonts w:hint="eastAsia"/>
          <w:sz w:val="24"/>
        </w:rPr>
        <w:t>2018</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26</w:t>
      </w:r>
      <w:r w:rsidRPr="002B55E9">
        <w:rPr>
          <w:rFonts w:hint="eastAsia"/>
          <w:sz w:val="24"/>
        </w:rPr>
        <w:t>日第二次修正，</w:t>
      </w:r>
      <w:r w:rsidRPr="002B55E9">
        <w:rPr>
          <w:rFonts w:hint="eastAsia"/>
          <w:sz w:val="24"/>
        </w:rPr>
        <w:t>2018</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26</w:t>
      </w:r>
      <w:r w:rsidRPr="002B55E9">
        <w:rPr>
          <w:rFonts w:hint="eastAsia"/>
          <w:sz w:val="24"/>
        </w:rPr>
        <w:t>日起施行）</w:t>
      </w:r>
      <w:r w:rsidRPr="002B55E9">
        <w:rPr>
          <w:sz w:val="24"/>
        </w:rPr>
        <w:t>；</w:t>
      </w:r>
    </w:p>
    <w:p w14:paraId="13666133"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4</w:t>
      </w:r>
      <w:r w:rsidRPr="002B55E9">
        <w:rPr>
          <w:sz w:val="24"/>
        </w:rPr>
        <w:t>）</w:t>
      </w:r>
      <w:r w:rsidRPr="002B55E9">
        <w:rPr>
          <w:rFonts w:hint="eastAsia"/>
          <w:sz w:val="24"/>
        </w:rPr>
        <w:t>《中华人民共和国水污染防治法》（</w:t>
      </w:r>
      <w:r w:rsidRPr="002B55E9">
        <w:rPr>
          <w:rFonts w:hint="eastAsia"/>
          <w:sz w:val="24"/>
        </w:rPr>
        <w:t>1984</w:t>
      </w:r>
      <w:r w:rsidRPr="002B55E9">
        <w:rPr>
          <w:rFonts w:hint="eastAsia"/>
          <w:sz w:val="24"/>
        </w:rPr>
        <w:t>年</w:t>
      </w:r>
      <w:r w:rsidRPr="002B55E9">
        <w:rPr>
          <w:rFonts w:hint="eastAsia"/>
          <w:sz w:val="24"/>
        </w:rPr>
        <w:t>5</w:t>
      </w:r>
      <w:r w:rsidRPr="002B55E9">
        <w:rPr>
          <w:rFonts w:hint="eastAsia"/>
          <w:sz w:val="24"/>
        </w:rPr>
        <w:t>月</w:t>
      </w:r>
      <w:r w:rsidRPr="002B55E9">
        <w:rPr>
          <w:rFonts w:hint="eastAsia"/>
          <w:sz w:val="24"/>
        </w:rPr>
        <w:t>11</w:t>
      </w:r>
      <w:r w:rsidRPr="002B55E9">
        <w:rPr>
          <w:rFonts w:hint="eastAsia"/>
          <w:sz w:val="24"/>
        </w:rPr>
        <w:t>日通过，</w:t>
      </w:r>
      <w:r w:rsidRPr="002B55E9">
        <w:rPr>
          <w:rFonts w:hint="eastAsia"/>
          <w:sz w:val="24"/>
        </w:rPr>
        <w:t xml:space="preserve"> 2017</w:t>
      </w:r>
      <w:r w:rsidRPr="002B55E9">
        <w:rPr>
          <w:rFonts w:hint="eastAsia"/>
          <w:sz w:val="24"/>
        </w:rPr>
        <w:t>年</w:t>
      </w:r>
      <w:r w:rsidRPr="002B55E9">
        <w:rPr>
          <w:rFonts w:hint="eastAsia"/>
          <w:sz w:val="24"/>
        </w:rPr>
        <w:t>6</w:t>
      </w:r>
      <w:r w:rsidRPr="002B55E9">
        <w:rPr>
          <w:rFonts w:hint="eastAsia"/>
          <w:sz w:val="24"/>
        </w:rPr>
        <w:t>月</w:t>
      </w:r>
      <w:r w:rsidRPr="002B55E9">
        <w:rPr>
          <w:rFonts w:hint="eastAsia"/>
          <w:sz w:val="24"/>
        </w:rPr>
        <w:t>27</w:t>
      </w:r>
      <w:r w:rsidRPr="002B55E9">
        <w:rPr>
          <w:rFonts w:hint="eastAsia"/>
          <w:sz w:val="24"/>
        </w:rPr>
        <w:t>日第二次修正，</w:t>
      </w:r>
      <w:r w:rsidRPr="002B55E9">
        <w:rPr>
          <w:rFonts w:hint="eastAsia"/>
          <w:sz w:val="24"/>
        </w:rPr>
        <w:t>2018</w:t>
      </w:r>
      <w:r w:rsidRPr="002B55E9">
        <w:rPr>
          <w:rFonts w:hint="eastAsia"/>
          <w:sz w:val="24"/>
        </w:rPr>
        <w:t>年</w:t>
      </w:r>
      <w:r w:rsidRPr="002B55E9">
        <w:rPr>
          <w:rFonts w:hint="eastAsia"/>
          <w:sz w:val="24"/>
        </w:rPr>
        <w:t>1</w:t>
      </w:r>
      <w:r w:rsidRPr="002B55E9">
        <w:rPr>
          <w:rFonts w:hint="eastAsia"/>
          <w:sz w:val="24"/>
        </w:rPr>
        <w:t>月</w:t>
      </w:r>
      <w:r w:rsidRPr="002B55E9">
        <w:rPr>
          <w:rFonts w:hint="eastAsia"/>
          <w:sz w:val="24"/>
        </w:rPr>
        <w:t>1</w:t>
      </w:r>
      <w:r w:rsidRPr="002B55E9">
        <w:rPr>
          <w:rFonts w:hint="eastAsia"/>
          <w:sz w:val="24"/>
        </w:rPr>
        <w:t>日起施行）</w:t>
      </w:r>
      <w:r w:rsidRPr="002B55E9">
        <w:rPr>
          <w:sz w:val="24"/>
        </w:rPr>
        <w:t>；</w:t>
      </w:r>
    </w:p>
    <w:p w14:paraId="59ABA3FD"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5</w:t>
      </w:r>
      <w:r w:rsidRPr="002B55E9">
        <w:rPr>
          <w:sz w:val="24"/>
        </w:rPr>
        <w:t>）</w:t>
      </w:r>
      <w:r w:rsidRPr="002B55E9">
        <w:rPr>
          <w:rFonts w:hint="eastAsia"/>
          <w:sz w:val="24"/>
        </w:rPr>
        <w:t>《中华人民共和国环境噪声污染防治法》（</w:t>
      </w:r>
      <w:r w:rsidRPr="002B55E9">
        <w:rPr>
          <w:rFonts w:hint="eastAsia"/>
          <w:sz w:val="24"/>
        </w:rPr>
        <w:t>1996</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29</w:t>
      </w:r>
      <w:r w:rsidRPr="002B55E9">
        <w:rPr>
          <w:rFonts w:hint="eastAsia"/>
          <w:sz w:val="24"/>
        </w:rPr>
        <w:t>日通过，</w:t>
      </w:r>
      <w:r w:rsidRPr="002B55E9">
        <w:rPr>
          <w:rFonts w:hint="eastAsia"/>
          <w:sz w:val="24"/>
        </w:rPr>
        <w:t>2021</w:t>
      </w:r>
      <w:r w:rsidRPr="002B55E9">
        <w:rPr>
          <w:rFonts w:hint="eastAsia"/>
          <w:sz w:val="24"/>
        </w:rPr>
        <w:t>年</w:t>
      </w:r>
      <w:r w:rsidRPr="002B55E9">
        <w:rPr>
          <w:rFonts w:hint="eastAsia"/>
          <w:sz w:val="24"/>
        </w:rPr>
        <w:t>12</w:t>
      </w:r>
      <w:r w:rsidRPr="002B55E9">
        <w:rPr>
          <w:rFonts w:hint="eastAsia"/>
          <w:sz w:val="24"/>
        </w:rPr>
        <w:lastRenderedPageBreak/>
        <w:t>月</w:t>
      </w:r>
      <w:r w:rsidRPr="002B55E9">
        <w:rPr>
          <w:rFonts w:hint="eastAsia"/>
          <w:sz w:val="24"/>
        </w:rPr>
        <w:t>24</w:t>
      </w:r>
      <w:r w:rsidRPr="002B55E9">
        <w:rPr>
          <w:rFonts w:hint="eastAsia"/>
          <w:sz w:val="24"/>
        </w:rPr>
        <w:t>日修正，</w:t>
      </w:r>
      <w:r w:rsidRPr="002B55E9">
        <w:rPr>
          <w:rFonts w:hint="eastAsia"/>
          <w:sz w:val="24"/>
        </w:rPr>
        <w:t>2022</w:t>
      </w:r>
      <w:r w:rsidRPr="002B55E9">
        <w:rPr>
          <w:rFonts w:hint="eastAsia"/>
          <w:sz w:val="24"/>
        </w:rPr>
        <w:t>年</w:t>
      </w:r>
      <w:r w:rsidRPr="002B55E9">
        <w:rPr>
          <w:rFonts w:hint="eastAsia"/>
          <w:sz w:val="24"/>
        </w:rPr>
        <w:t>5</w:t>
      </w:r>
      <w:r w:rsidRPr="002B55E9">
        <w:rPr>
          <w:rFonts w:hint="eastAsia"/>
          <w:sz w:val="24"/>
        </w:rPr>
        <w:t>月</w:t>
      </w:r>
      <w:r w:rsidRPr="002B55E9">
        <w:rPr>
          <w:rFonts w:hint="eastAsia"/>
          <w:sz w:val="24"/>
        </w:rPr>
        <w:t>5</w:t>
      </w:r>
      <w:r w:rsidRPr="002B55E9">
        <w:rPr>
          <w:rFonts w:hint="eastAsia"/>
          <w:sz w:val="24"/>
        </w:rPr>
        <w:t>日起施行）</w:t>
      </w:r>
      <w:r w:rsidRPr="002B55E9">
        <w:rPr>
          <w:sz w:val="24"/>
        </w:rPr>
        <w:t>；</w:t>
      </w:r>
    </w:p>
    <w:p w14:paraId="28BEFF2C"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6</w:t>
      </w:r>
      <w:r w:rsidRPr="002B55E9">
        <w:rPr>
          <w:sz w:val="24"/>
        </w:rPr>
        <w:t>）</w:t>
      </w:r>
      <w:r w:rsidRPr="002B55E9">
        <w:rPr>
          <w:rFonts w:hint="eastAsia"/>
          <w:sz w:val="24"/>
        </w:rPr>
        <w:t>《中华人民共和国固体废物污染环境防治法》（</w:t>
      </w:r>
      <w:r w:rsidRPr="002B55E9">
        <w:rPr>
          <w:rFonts w:hint="eastAsia"/>
          <w:sz w:val="24"/>
        </w:rPr>
        <w:t>2020</w:t>
      </w:r>
      <w:r w:rsidRPr="002B55E9">
        <w:rPr>
          <w:rFonts w:hint="eastAsia"/>
          <w:sz w:val="24"/>
        </w:rPr>
        <w:t>年</w:t>
      </w:r>
      <w:r w:rsidRPr="002B55E9">
        <w:rPr>
          <w:rFonts w:hint="eastAsia"/>
          <w:sz w:val="24"/>
        </w:rPr>
        <w:t>4</w:t>
      </w:r>
      <w:r w:rsidRPr="002B55E9">
        <w:rPr>
          <w:rFonts w:hint="eastAsia"/>
          <w:sz w:val="24"/>
        </w:rPr>
        <w:t>月</w:t>
      </w:r>
      <w:r w:rsidRPr="002B55E9">
        <w:rPr>
          <w:rFonts w:hint="eastAsia"/>
          <w:sz w:val="24"/>
        </w:rPr>
        <w:t>29</w:t>
      </w:r>
      <w:r w:rsidRPr="002B55E9">
        <w:rPr>
          <w:rFonts w:hint="eastAsia"/>
          <w:sz w:val="24"/>
        </w:rPr>
        <w:t>日修订通过，</w:t>
      </w:r>
      <w:r w:rsidRPr="002B55E9">
        <w:rPr>
          <w:rFonts w:hint="eastAsia"/>
          <w:sz w:val="24"/>
        </w:rPr>
        <w:t>2020</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1</w:t>
      </w:r>
      <w:r w:rsidRPr="002B55E9">
        <w:rPr>
          <w:rFonts w:hint="eastAsia"/>
          <w:sz w:val="24"/>
        </w:rPr>
        <w:t>日起施行）</w:t>
      </w:r>
      <w:r w:rsidRPr="002B55E9">
        <w:rPr>
          <w:sz w:val="24"/>
        </w:rPr>
        <w:t>；</w:t>
      </w:r>
    </w:p>
    <w:p w14:paraId="425001CB"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7</w:t>
      </w:r>
      <w:r w:rsidRPr="002B55E9">
        <w:rPr>
          <w:sz w:val="24"/>
        </w:rPr>
        <w:t>）</w:t>
      </w:r>
      <w:r w:rsidRPr="002B55E9">
        <w:rPr>
          <w:rFonts w:hint="eastAsia"/>
          <w:sz w:val="24"/>
        </w:rPr>
        <w:t>《中华人民共和国土壤污染防治法》（</w:t>
      </w:r>
      <w:r w:rsidRPr="002B55E9">
        <w:rPr>
          <w:rFonts w:hint="eastAsia"/>
          <w:sz w:val="24"/>
        </w:rPr>
        <w:t>2018</w:t>
      </w:r>
      <w:r w:rsidRPr="002B55E9">
        <w:rPr>
          <w:rFonts w:hint="eastAsia"/>
          <w:sz w:val="24"/>
        </w:rPr>
        <w:t>年</w:t>
      </w:r>
      <w:r w:rsidRPr="002B55E9">
        <w:rPr>
          <w:rFonts w:hint="eastAsia"/>
          <w:sz w:val="24"/>
        </w:rPr>
        <w:t>8</w:t>
      </w:r>
      <w:r w:rsidRPr="002B55E9">
        <w:rPr>
          <w:rFonts w:hint="eastAsia"/>
          <w:sz w:val="24"/>
        </w:rPr>
        <w:t>月</w:t>
      </w:r>
      <w:r w:rsidRPr="002B55E9">
        <w:rPr>
          <w:rFonts w:hint="eastAsia"/>
          <w:sz w:val="24"/>
        </w:rPr>
        <w:t>31</w:t>
      </w:r>
      <w:r w:rsidRPr="002B55E9">
        <w:rPr>
          <w:rFonts w:hint="eastAsia"/>
          <w:sz w:val="24"/>
        </w:rPr>
        <w:t>日通过，</w:t>
      </w:r>
      <w:r w:rsidRPr="002B55E9">
        <w:rPr>
          <w:rFonts w:hint="eastAsia"/>
          <w:sz w:val="24"/>
        </w:rPr>
        <w:t xml:space="preserve"> 2019</w:t>
      </w:r>
      <w:r w:rsidRPr="002B55E9">
        <w:rPr>
          <w:rFonts w:hint="eastAsia"/>
          <w:sz w:val="24"/>
        </w:rPr>
        <w:t>年</w:t>
      </w:r>
      <w:r w:rsidRPr="002B55E9">
        <w:rPr>
          <w:rFonts w:hint="eastAsia"/>
          <w:sz w:val="24"/>
        </w:rPr>
        <w:t>1</w:t>
      </w:r>
      <w:r w:rsidRPr="002B55E9">
        <w:rPr>
          <w:rFonts w:hint="eastAsia"/>
          <w:sz w:val="24"/>
        </w:rPr>
        <w:t>月</w:t>
      </w:r>
      <w:r w:rsidRPr="002B55E9">
        <w:rPr>
          <w:rFonts w:hint="eastAsia"/>
          <w:sz w:val="24"/>
        </w:rPr>
        <w:t>1</w:t>
      </w:r>
      <w:r w:rsidRPr="002B55E9">
        <w:rPr>
          <w:rFonts w:hint="eastAsia"/>
          <w:sz w:val="24"/>
        </w:rPr>
        <w:t>日起施行）</w:t>
      </w:r>
      <w:r w:rsidRPr="002B55E9">
        <w:rPr>
          <w:sz w:val="24"/>
        </w:rPr>
        <w:t>；</w:t>
      </w:r>
    </w:p>
    <w:p w14:paraId="1261952D"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8</w:t>
      </w:r>
      <w:r w:rsidRPr="002B55E9">
        <w:rPr>
          <w:sz w:val="24"/>
        </w:rPr>
        <w:t>）</w:t>
      </w:r>
      <w:r w:rsidRPr="002B55E9">
        <w:rPr>
          <w:rFonts w:hint="eastAsia"/>
          <w:sz w:val="24"/>
        </w:rPr>
        <w:t>《建设项目环境保护管理条例》（</w:t>
      </w:r>
      <w:r w:rsidRPr="002B55E9">
        <w:rPr>
          <w:rFonts w:hint="eastAsia"/>
          <w:sz w:val="24"/>
        </w:rPr>
        <w:t>1998</w:t>
      </w:r>
      <w:r w:rsidRPr="002B55E9">
        <w:rPr>
          <w:rFonts w:hint="eastAsia"/>
          <w:sz w:val="24"/>
        </w:rPr>
        <w:t>年</w:t>
      </w:r>
      <w:r w:rsidRPr="002B55E9">
        <w:rPr>
          <w:rFonts w:hint="eastAsia"/>
          <w:sz w:val="24"/>
        </w:rPr>
        <w:t>11</w:t>
      </w:r>
      <w:r w:rsidRPr="002B55E9">
        <w:rPr>
          <w:rFonts w:hint="eastAsia"/>
          <w:sz w:val="24"/>
        </w:rPr>
        <w:t>月</w:t>
      </w:r>
      <w:r w:rsidRPr="002B55E9">
        <w:rPr>
          <w:rFonts w:hint="eastAsia"/>
          <w:sz w:val="24"/>
        </w:rPr>
        <w:t>29</w:t>
      </w:r>
      <w:r w:rsidRPr="002B55E9">
        <w:rPr>
          <w:rFonts w:hint="eastAsia"/>
          <w:sz w:val="24"/>
        </w:rPr>
        <w:t>日颁布实施，</w:t>
      </w:r>
      <w:r w:rsidRPr="002B55E9">
        <w:rPr>
          <w:rFonts w:hint="eastAsia"/>
          <w:sz w:val="24"/>
        </w:rPr>
        <w:t>2017</w:t>
      </w:r>
      <w:r w:rsidRPr="002B55E9">
        <w:rPr>
          <w:rFonts w:hint="eastAsia"/>
          <w:sz w:val="24"/>
        </w:rPr>
        <w:t>年</w:t>
      </w:r>
      <w:r w:rsidRPr="002B55E9">
        <w:rPr>
          <w:rFonts w:hint="eastAsia"/>
          <w:sz w:val="24"/>
        </w:rPr>
        <w:t>7</w:t>
      </w:r>
      <w:r w:rsidRPr="002B55E9">
        <w:rPr>
          <w:rFonts w:hint="eastAsia"/>
          <w:sz w:val="24"/>
        </w:rPr>
        <w:t>月</w:t>
      </w:r>
      <w:r w:rsidRPr="002B55E9">
        <w:rPr>
          <w:rFonts w:hint="eastAsia"/>
          <w:sz w:val="24"/>
        </w:rPr>
        <w:t>16</w:t>
      </w:r>
      <w:r w:rsidRPr="002B55E9">
        <w:rPr>
          <w:rFonts w:hint="eastAsia"/>
          <w:sz w:val="24"/>
        </w:rPr>
        <w:t>日第一次修订通过，</w:t>
      </w:r>
      <w:r w:rsidRPr="002B55E9">
        <w:rPr>
          <w:rFonts w:hint="eastAsia"/>
          <w:sz w:val="24"/>
        </w:rPr>
        <w:t>2017</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1</w:t>
      </w:r>
      <w:r w:rsidRPr="002B55E9">
        <w:rPr>
          <w:rFonts w:hint="eastAsia"/>
          <w:sz w:val="24"/>
        </w:rPr>
        <w:t>日实施）</w:t>
      </w:r>
      <w:r w:rsidRPr="002B55E9">
        <w:rPr>
          <w:sz w:val="24"/>
        </w:rPr>
        <w:t>；</w:t>
      </w:r>
    </w:p>
    <w:p w14:paraId="44A49D50"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9</w:t>
      </w:r>
      <w:r w:rsidRPr="002B55E9">
        <w:rPr>
          <w:rFonts w:hint="eastAsia"/>
          <w:sz w:val="24"/>
        </w:rPr>
        <w:t>）</w:t>
      </w:r>
      <w:r w:rsidRPr="002B55E9">
        <w:rPr>
          <w:rFonts w:hint="eastAsia"/>
          <w:sz w:val="24"/>
        </w:rPr>
        <w:tab/>
      </w:r>
      <w:r w:rsidRPr="002B55E9">
        <w:rPr>
          <w:rFonts w:hint="eastAsia"/>
          <w:sz w:val="24"/>
        </w:rPr>
        <w:t>《中华人民共和国清洁生产促进法》（</w:t>
      </w:r>
      <w:r w:rsidRPr="002B55E9">
        <w:rPr>
          <w:rFonts w:hint="eastAsia"/>
          <w:sz w:val="24"/>
        </w:rPr>
        <w:t>2002</w:t>
      </w:r>
      <w:r w:rsidRPr="002B55E9">
        <w:rPr>
          <w:rFonts w:hint="eastAsia"/>
          <w:sz w:val="24"/>
        </w:rPr>
        <w:t>年</w:t>
      </w:r>
      <w:r w:rsidRPr="002B55E9">
        <w:rPr>
          <w:rFonts w:hint="eastAsia"/>
          <w:sz w:val="24"/>
        </w:rPr>
        <w:t>6</w:t>
      </w:r>
      <w:r w:rsidRPr="002B55E9">
        <w:rPr>
          <w:rFonts w:hint="eastAsia"/>
          <w:sz w:val="24"/>
        </w:rPr>
        <w:t>月</w:t>
      </w:r>
      <w:r w:rsidRPr="002B55E9">
        <w:rPr>
          <w:rFonts w:hint="eastAsia"/>
          <w:sz w:val="24"/>
        </w:rPr>
        <w:t>29</w:t>
      </w:r>
      <w:r w:rsidRPr="002B55E9">
        <w:rPr>
          <w:rFonts w:hint="eastAsia"/>
          <w:sz w:val="24"/>
        </w:rPr>
        <w:t>日通过，</w:t>
      </w:r>
      <w:r w:rsidRPr="002B55E9">
        <w:rPr>
          <w:rFonts w:hint="eastAsia"/>
          <w:sz w:val="24"/>
        </w:rPr>
        <w:t>2012</w:t>
      </w:r>
      <w:r w:rsidRPr="002B55E9">
        <w:rPr>
          <w:rFonts w:hint="eastAsia"/>
          <w:sz w:val="24"/>
        </w:rPr>
        <w:t>年</w:t>
      </w:r>
      <w:r w:rsidRPr="002B55E9">
        <w:rPr>
          <w:rFonts w:hint="eastAsia"/>
          <w:sz w:val="24"/>
        </w:rPr>
        <w:t>2</w:t>
      </w:r>
      <w:r w:rsidRPr="002B55E9">
        <w:rPr>
          <w:rFonts w:hint="eastAsia"/>
          <w:sz w:val="24"/>
        </w:rPr>
        <w:t>月</w:t>
      </w:r>
      <w:r w:rsidRPr="002B55E9">
        <w:rPr>
          <w:rFonts w:hint="eastAsia"/>
          <w:sz w:val="24"/>
        </w:rPr>
        <w:t>29</w:t>
      </w:r>
      <w:r w:rsidRPr="002B55E9">
        <w:rPr>
          <w:rFonts w:hint="eastAsia"/>
          <w:sz w:val="24"/>
        </w:rPr>
        <w:t>日修正，</w:t>
      </w:r>
      <w:r w:rsidRPr="002B55E9">
        <w:rPr>
          <w:rFonts w:hint="eastAsia"/>
          <w:sz w:val="24"/>
        </w:rPr>
        <w:t>2012</w:t>
      </w:r>
      <w:r w:rsidRPr="002B55E9">
        <w:rPr>
          <w:rFonts w:hint="eastAsia"/>
          <w:sz w:val="24"/>
        </w:rPr>
        <w:t>年</w:t>
      </w:r>
      <w:r w:rsidRPr="002B55E9">
        <w:rPr>
          <w:rFonts w:hint="eastAsia"/>
          <w:sz w:val="24"/>
        </w:rPr>
        <w:t>7</w:t>
      </w:r>
      <w:r w:rsidRPr="002B55E9">
        <w:rPr>
          <w:rFonts w:hint="eastAsia"/>
          <w:sz w:val="24"/>
        </w:rPr>
        <w:t>月</w:t>
      </w:r>
      <w:r w:rsidRPr="002B55E9">
        <w:rPr>
          <w:rFonts w:hint="eastAsia"/>
          <w:sz w:val="24"/>
        </w:rPr>
        <w:t>1</w:t>
      </w:r>
      <w:r w:rsidRPr="002B55E9">
        <w:rPr>
          <w:rFonts w:hint="eastAsia"/>
          <w:sz w:val="24"/>
        </w:rPr>
        <w:t>日起施行）；</w:t>
      </w:r>
    </w:p>
    <w:p w14:paraId="7A33E837"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10</w:t>
      </w:r>
      <w:r w:rsidRPr="002B55E9">
        <w:rPr>
          <w:rFonts w:hint="eastAsia"/>
          <w:sz w:val="24"/>
        </w:rPr>
        <w:t>）</w:t>
      </w:r>
      <w:r w:rsidRPr="002B55E9">
        <w:rPr>
          <w:rFonts w:hint="eastAsia"/>
          <w:sz w:val="24"/>
        </w:rPr>
        <w:tab/>
      </w:r>
      <w:r w:rsidRPr="002B55E9">
        <w:rPr>
          <w:rFonts w:hint="eastAsia"/>
          <w:sz w:val="24"/>
        </w:rPr>
        <w:t>《中华人民共和国长江保护法》（</w:t>
      </w:r>
      <w:r w:rsidRPr="002B55E9">
        <w:rPr>
          <w:rFonts w:hint="eastAsia"/>
          <w:sz w:val="24"/>
        </w:rPr>
        <w:t>2020</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26</w:t>
      </w:r>
      <w:r w:rsidRPr="002B55E9">
        <w:rPr>
          <w:rFonts w:hint="eastAsia"/>
          <w:sz w:val="24"/>
        </w:rPr>
        <w:t>日通过，</w:t>
      </w:r>
      <w:r w:rsidRPr="002B55E9">
        <w:rPr>
          <w:rFonts w:hint="eastAsia"/>
          <w:sz w:val="24"/>
        </w:rPr>
        <w:t>2021</w:t>
      </w:r>
      <w:r w:rsidRPr="002B55E9">
        <w:rPr>
          <w:rFonts w:hint="eastAsia"/>
          <w:sz w:val="24"/>
        </w:rPr>
        <w:t>年</w:t>
      </w:r>
      <w:r w:rsidRPr="002B55E9">
        <w:rPr>
          <w:rFonts w:hint="eastAsia"/>
          <w:sz w:val="24"/>
        </w:rPr>
        <w:t>3</w:t>
      </w:r>
      <w:r w:rsidRPr="002B55E9">
        <w:rPr>
          <w:rFonts w:hint="eastAsia"/>
          <w:sz w:val="24"/>
        </w:rPr>
        <w:t>月</w:t>
      </w:r>
      <w:r w:rsidRPr="002B55E9">
        <w:rPr>
          <w:rFonts w:hint="eastAsia"/>
          <w:sz w:val="24"/>
        </w:rPr>
        <w:t>1</w:t>
      </w:r>
      <w:r w:rsidRPr="002B55E9">
        <w:rPr>
          <w:rFonts w:hint="eastAsia"/>
          <w:sz w:val="24"/>
        </w:rPr>
        <w:t>日起施行）；</w:t>
      </w:r>
    </w:p>
    <w:p w14:paraId="3460843C"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11</w:t>
      </w:r>
      <w:r w:rsidRPr="002B55E9">
        <w:rPr>
          <w:rFonts w:hint="eastAsia"/>
          <w:sz w:val="24"/>
        </w:rPr>
        <w:t>）</w:t>
      </w:r>
      <w:r w:rsidRPr="002B55E9">
        <w:rPr>
          <w:rFonts w:hint="eastAsia"/>
          <w:sz w:val="24"/>
        </w:rPr>
        <w:tab/>
      </w:r>
      <w:r w:rsidRPr="002B55E9">
        <w:rPr>
          <w:rFonts w:hint="eastAsia"/>
          <w:sz w:val="24"/>
        </w:rPr>
        <w:t>《地下水管理条例》（</w:t>
      </w:r>
      <w:r w:rsidRPr="002B55E9">
        <w:rPr>
          <w:rFonts w:hint="eastAsia"/>
          <w:sz w:val="24"/>
        </w:rPr>
        <w:t>2021</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15</w:t>
      </w:r>
      <w:r w:rsidRPr="002B55E9">
        <w:rPr>
          <w:rFonts w:hint="eastAsia"/>
          <w:sz w:val="24"/>
        </w:rPr>
        <w:t>日通过，</w:t>
      </w:r>
      <w:r w:rsidRPr="002B55E9">
        <w:rPr>
          <w:rFonts w:hint="eastAsia"/>
          <w:sz w:val="24"/>
        </w:rPr>
        <w:t>2021</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1</w:t>
      </w:r>
      <w:r w:rsidRPr="002B55E9">
        <w:rPr>
          <w:rFonts w:hint="eastAsia"/>
          <w:sz w:val="24"/>
        </w:rPr>
        <w:t>日施行）；</w:t>
      </w:r>
    </w:p>
    <w:p w14:paraId="75BDCE2E"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12</w:t>
      </w:r>
      <w:r w:rsidRPr="002B55E9">
        <w:rPr>
          <w:rFonts w:hint="eastAsia"/>
          <w:sz w:val="24"/>
        </w:rPr>
        <w:t>）</w:t>
      </w:r>
      <w:r w:rsidRPr="002B55E9">
        <w:rPr>
          <w:rFonts w:hint="eastAsia"/>
          <w:sz w:val="24"/>
        </w:rPr>
        <w:tab/>
      </w:r>
      <w:r w:rsidRPr="002B55E9">
        <w:rPr>
          <w:rFonts w:hint="eastAsia"/>
          <w:sz w:val="24"/>
        </w:rPr>
        <w:t>《排污许可管理条例》（</w:t>
      </w:r>
      <w:r w:rsidRPr="002B55E9">
        <w:rPr>
          <w:rFonts w:hint="eastAsia"/>
          <w:sz w:val="24"/>
        </w:rPr>
        <w:t>2020</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9</w:t>
      </w:r>
      <w:r w:rsidRPr="002B55E9">
        <w:rPr>
          <w:rFonts w:hint="eastAsia"/>
          <w:sz w:val="24"/>
        </w:rPr>
        <w:t>日通过，</w:t>
      </w:r>
      <w:r w:rsidRPr="002B55E9">
        <w:rPr>
          <w:rFonts w:hint="eastAsia"/>
          <w:sz w:val="24"/>
        </w:rPr>
        <w:t>2021</w:t>
      </w:r>
      <w:r w:rsidRPr="002B55E9">
        <w:rPr>
          <w:rFonts w:hint="eastAsia"/>
          <w:sz w:val="24"/>
        </w:rPr>
        <w:t>年</w:t>
      </w:r>
      <w:r w:rsidRPr="002B55E9">
        <w:rPr>
          <w:rFonts w:hint="eastAsia"/>
          <w:sz w:val="24"/>
        </w:rPr>
        <w:t>3</w:t>
      </w:r>
      <w:r w:rsidRPr="002B55E9">
        <w:rPr>
          <w:rFonts w:hint="eastAsia"/>
          <w:sz w:val="24"/>
        </w:rPr>
        <w:t>月</w:t>
      </w:r>
      <w:r w:rsidRPr="002B55E9">
        <w:rPr>
          <w:rFonts w:hint="eastAsia"/>
          <w:sz w:val="24"/>
        </w:rPr>
        <w:t>1</w:t>
      </w:r>
      <w:r w:rsidRPr="002B55E9">
        <w:rPr>
          <w:rFonts w:hint="eastAsia"/>
          <w:sz w:val="24"/>
        </w:rPr>
        <w:t>日施行）；</w:t>
      </w:r>
    </w:p>
    <w:p w14:paraId="0D9BB97E"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13</w:t>
      </w:r>
      <w:r w:rsidRPr="002B55E9">
        <w:rPr>
          <w:rFonts w:hint="eastAsia"/>
          <w:sz w:val="24"/>
        </w:rPr>
        <w:t>）</w:t>
      </w:r>
      <w:r w:rsidRPr="002B55E9">
        <w:rPr>
          <w:rFonts w:hint="eastAsia"/>
          <w:sz w:val="24"/>
        </w:rPr>
        <w:tab/>
      </w:r>
      <w:r w:rsidRPr="002B55E9">
        <w:rPr>
          <w:rFonts w:hint="eastAsia"/>
          <w:sz w:val="24"/>
        </w:rPr>
        <w:t>《危险化学品安全管理条例》（</w:t>
      </w:r>
      <w:r w:rsidRPr="002B55E9">
        <w:rPr>
          <w:rFonts w:hint="eastAsia"/>
          <w:sz w:val="24"/>
        </w:rPr>
        <w:t>2002</w:t>
      </w:r>
      <w:r w:rsidRPr="002B55E9">
        <w:rPr>
          <w:rFonts w:hint="eastAsia"/>
          <w:sz w:val="24"/>
        </w:rPr>
        <w:t>年</w:t>
      </w:r>
      <w:r w:rsidRPr="002B55E9">
        <w:rPr>
          <w:rFonts w:hint="eastAsia"/>
          <w:sz w:val="24"/>
        </w:rPr>
        <w:t>1</w:t>
      </w:r>
      <w:r w:rsidRPr="002B55E9">
        <w:rPr>
          <w:rFonts w:hint="eastAsia"/>
          <w:sz w:val="24"/>
        </w:rPr>
        <w:t>月</w:t>
      </w:r>
      <w:r w:rsidRPr="002B55E9">
        <w:rPr>
          <w:rFonts w:hint="eastAsia"/>
          <w:sz w:val="24"/>
        </w:rPr>
        <w:t>26</w:t>
      </w:r>
      <w:r w:rsidRPr="002B55E9">
        <w:rPr>
          <w:rFonts w:hint="eastAsia"/>
          <w:sz w:val="24"/>
        </w:rPr>
        <w:t>日公布，</w:t>
      </w:r>
      <w:r w:rsidRPr="002B55E9">
        <w:rPr>
          <w:rFonts w:hint="eastAsia"/>
          <w:sz w:val="24"/>
        </w:rPr>
        <w:t>2013</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7</w:t>
      </w:r>
      <w:r w:rsidRPr="002B55E9">
        <w:rPr>
          <w:rFonts w:hint="eastAsia"/>
          <w:sz w:val="24"/>
        </w:rPr>
        <w:t>日第二次修正，</w:t>
      </w:r>
      <w:r w:rsidRPr="002B55E9">
        <w:rPr>
          <w:rFonts w:hint="eastAsia"/>
          <w:sz w:val="24"/>
        </w:rPr>
        <w:t>2013</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7</w:t>
      </w:r>
      <w:r w:rsidRPr="002B55E9">
        <w:rPr>
          <w:rFonts w:hint="eastAsia"/>
          <w:sz w:val="24"/>
        </w:rPr>
        <w:t>日起施行）；</w:t>
      </w:r>
    </w:p>
    <w:p w14:paraId="2A27D723"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4</w:t>
      </w:r>
      <w:r w:rsidRPr="002B55E9">
        <w:rPr>
          <w:rFonts w:hint="eastAsia"/>
          <w:sz w:val="24"/>
        </w:rPr>
        <w:t>）</w:t>
      </w:r>
      <w:r w:rsidRPr="002B55E9">
        <w:rPr>
          <w:rFonts w:hint="eastAsia"/>
          <w:sz w:val="24"/>
        </w:rPr>
        <w:tab/>
      </w:r>
      <w:r w:rsidRPr="002B55E9">
        <w:rPr>
          <w:rFonts w:hint="eastAsia"/>
          <w:sz w:val="24"/>
        </w:rPr>
        <w:t>《湖北省大气污染防治条例》（</w:t>
      </w:r>
      <w:r w:rsidRPr="002B55E9">
        <w:rPr>
          <w:rFonts w:hint="eastAsia"/>
          <w:sz w:val="24"/>
        </w:rPr>
        <w:t>1997</w:t>
      </w:r>
      <w:r w:rsidRPr="002B55E9">
        <w:rPr>
          <w:rFonts w:hint="eastAsia"/>
          <w:sz w:val="24"/>
        </w:rPr>
        <w:t>年</w:t>
      </w:r>
      <w:r w:rsidRPr="002B55E9">
        <w:rPr>
          <w:rFonts w:hint="eastAsia"/>
          <w:sz w:val="24"/>
        </w:rPr>
        <w:t>12</w:t>
      </w:r>
      <w:r w:rsidRPr="002B55E9">
        <w:rPr>
          <w:rFonts w:hint="eastAsia"/>
          <w:sz w:val="24"/>
        </w:rPr>
        <w:t>月</w:t>
      </w:r>
      <w:r w:rsidRPr="002B55E9">
        <w:rPr>
          <w:rFonts w:hint="eastAsia"/>
          <w:sz w:val="24"/>
        </w:rPr>
        <w:t>3</w:t>
      </w:r>
      <w:r w:rsidRPr="002B55E9">
        <w:rPr>
          <w:rFonts w:hint="eastAsia"/>
          <w:sz w:val="24"/>
        </w:rPr>
        <w:t>日通过；</w:t>
      </w:r>
      <w:r w:rsidRPr="002B55E9">
        <w:rPr>
          <w:rFonts w:hint="eastAsia"/>
          <w:sz w:val="24"/>
        </w:rPr>
        <w:t>2018</w:t>
      </w:r>
      <w:r w:rsidRPr="002B55E9">
        <w:rPr>
          <w:rFonts w:hint="eastAsia"/>
          <w:sz w:val="24"/>
        </w:rPr>
        <w:t>年</w:t>
      </w:r>
      <w:r w:rsidRPr="002B55E9">
        <w:rPr>
          <w:rFonts w:hint="eastAsia"/>
          <w:sz w:val="24"/>
        </w:rPr>
        <w:t>11</w:t>
      </w:r>
      <w:r w:rsidRPr="002B55E9">
        <w:rPr>
          <w:rFonts w:hint="eastAsia"/>
          <w:sz w:val="24"/>
        </w:rPr>
        <w:t>月</w:t>
      </w:r>
      <w:r w:rsidRPr="002B55E9">
        <w:rPr>
          <w:rFonts w:hint="eastAsia"/>
          <w:sz w:val="24"/>
        </w:rPr>
        <w:t>19</w:t>
      </w:r>
      <w:r w:rsidRPr="002B55E9">
        <w:rPr>
          <w:rFonts w:hint="eastAsia"/>
          <w:sz w:val="24"/>
        </w:rPr>
        <w:t>日第三次修订，</w:t>
      </w:r>
      <w:r w:rsidRPr="002B55E9">
        <w:rPr>
          <w:rFonts w:hint="eastAsia"/>
          <w:sz w:val="24"/>
        </w:rPr>
        <w:t>2019</w:t>
      </w:r>
      <w:r w:rsidRPr="002B55E9">
        <w:rPr>
          <w:rFonts w:hint="eastAsia"/>
          <w:sz w:val="24"/>
        </w:rPr>
        <w:t>年</w:t>
      </w:r>
      <w:r w:rsidRPr="002B55E9">
        <w:rPr>
          <w:rFonts w:hint="eastAsia"/>
          <w:sz w:val="24"/>
        </w:rPr>
        <w:t>6</w:t>
      </w:r>
      <w:r w:rsidRPr="002B55E9">
        <w:rPr>
          <w:rFonts w:hint="eastAsia"/>
          <w:sz w:val="24"/>
        </w:rPr>
        <w:t>月</w:t>
      </w:r>
      <w:r w:rsidRPr="002B55E9">
        <w:rPr>
          <w:rFonts w:hint="eastAsia"/>
          <w:sz w:val="24"/>
        </w:rPr>
        <w:t>1</w:t>
      </w:r>
      <w:r w:rsidRPr="002B55E9">
        <w:rPr>
          <w:rFonts w:hint="eastAsia"/>
          <w:sz w:val="24"/>
        </w:rPr>
        <w:t>日实施）；</w:t>
      </w:r>
    </w:p>
    <w:p w14:paraId="557534AD"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5</w:t>
      </w:r>
      <w:r w:rsidRPr="002B55E9">
        <w:rPr>
          <w:rFonts w:hint="eastAsia"/>
          <w:sz w:val="24"/>
        </w:rPr>
        <w:t>）</w:t>
      </w:r>
      <w:r w:rsidRPr="002B55E9">
        <w:rPr>
          <w:rFonts w:hint="eastAsia"/>
          <w:sz w:val="24"/>
        </w:rPr>
        <w:tab/>
      </w:r>
      <w:r w:rsidRPr="002B55E9">
        <w:rPr>
          <w:rFonts w:hint="eastAsia"/>
          <w:sz w:val="24"/>
        </w:rPr>
        <w:t>《湖北省水污染防治条例》（</w:t>
      </w:r>
      <w:r w:rsidRPr="002B55E9">
        <w:rPr>
          <w:rFonts w:hint="eastAsia"/>
          <w:sz w:val="24"/>
        </w:rPr>
        <w:t>2014</w:t>
      </w:r>
      <w:r w:rsidRPr="002B55E9">
        <w:rPr>
          <w:rFonts w:hint="eastAsia"/>
          <w:sz w:val="24"/>
        </w:rPr>
        <w:t>年</w:t>
      </w:r>
      <w:r w:rsidRPr="002B55E9">
        <w:rPr>
          <w:rFonts w:hint="eastAsia"/>
          <w:sz w:val="24"/>
        </w:rPr>
        <w:t>1</w:t>
      </w:r>
      <w:r w:rsidRPr="002B55E9">
        <w:rPr>
          <w:rFonts w:hint="eastAsia"/>
          <w:sz w:val="24"/>
        </w:rPr>
        <w:t>月</w:t>
      </w:r>
      <w:r w:rsidRPr="002B55E9">
        <w:rPr>
          <w:rFonts w:hint="eastAsia"/>
          <w:sz w:val="24"/>
        </w:rPr>
        <w:t>22</w:t>
      </w:r>
      <w:r w:rsidRPr="002B55E9">
        <w:rPr>
          <w:rFonts w:hint="eastAsia"/>
          <w:sz w:val="24"/>
        </w:rPr>
        <w:t>日通过，</w:t>
      </w:r>
      <w:r w:rsidRPr="002B55E9">
        <w:rPr>
          <w:rFonts w:hint="eastAsia"/>
          <w:sz w:val="24"/>
        </w:rPr>
        <w:t>2022</w:t>
      </w:r>
      <w:r w:rsidRPr="002B55E9">
        <w:rPr>
          <w:rFonts w:hint="eastAsia"/>
          <w:sz w:val="24"/>
        </w:rPr>
        <w:t>年</w:t>
      </w:r>
      <w:r w:rsidRPr="002B55E9">
        <w:rPr>
          <w:rFonts w:hint="eastAsia"/>
          <w:sz w:val="24"/>
        </w:rPr>
        <w:t>3</w:t>
      </w:r>
      <w:r w:rsidRPr="002B55E9">
        <w:rPr>
          <w:rFonts w:hint="eastAsia"/>
          <w:sz w:val="24"/>
        </w:rPr>
        <w:t>月</w:t>
      </w:r>
      <w:r w:rsidRPr="002B55E9">
        <w:rPr>
          <w:rFonts w:hint="eastAsia"/>
          <w:sz w:val="24"/>
        </w:rPr>
        <w:t>31</w:t>
      </w:r>
      <w:r w:rsidRPr="002B55E9">
        <w:rPr>
          <w:rFonts w:hint="eastAsia"/>
          <w:sz w:val="24"/>
        </w:rPr>
        <w:t>日修订施行）；</w:t>
      </w:r>
    </w:p>
    <w:p w14:paraId="0C72BE52"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6</w:t>
      </w:r>
      <w:r w:rsidRPr="002B55E9">
        <w:rPr>
          <w:rFonts w:hint="eastAsia"/>
          <w:sz w:val="24"/>
        </w:rPr>
        <w:t>）</w:t>
      </w:r>
      <w:r w:rsidRPr="002B55E9">
        <w:rPr>
          <w:rFonts w:hint="eastAsia"/>
          <w:sz w:val="24"/>
        </w:rPr>
        <w:tab/>
      </w:r>
      <w:r w:rsidRPr="002B55E9">
        <w:rPr>
          <w:rFonts w:hint="eastAsia"/>
          <w:sz w:val="24"/>
        </w:rPr>
        <w:t>《湖北省土壤污染防治条例》（</w:t>
      </w:r>
      <w:r w:rsidRPr="002B55E9">
        <w:rPr>
          <w:rFonts w:hint="eastAsia"/>
          <w:sz w:val="24"/>
        </w:rPr>
        <w:t>2016</w:t>
      </w:r>
      <w:r w:rsidRPr="002B55E9">
        <w:rPr>
          <w:rFonts w:hint="eastAsia"/>
          <w:sz w:val="24"/>
        </w:rPr>
        <w:t>年</w:t>
      </w:r>
      <w:r w:rsidRPr="002B55E9">
        <w:rPr>
          <w:rFonts w:hint="eastAsia"/>
          <w:sz w:val="24"/>
        </w:rPr>
        <w:t>2</w:t>
      </w:r>
      <w:r w:rsidRPr="002B55E9">
        <w:rPr>
          <w:rFonts w:hint="eastAsia"/>
          <w:sz w:val="24"/>
        </w:rPr>
        <w:t>月</w:t>
      </w:r>
      <w:r w:rsidRPr="002B55E9">
        <w:rPr>
          <w:rFonts w:hint="eastAsia"/>
          <w:sz w:val="24"/>
        </w:rPr>
        <w:t>1</w:t>
      </w:r>
      <w:r w:rsidRPr="002B55E9">
        <w:rPr>
          <w:rFonts w:hint="eastAsia"/>
          <w:sz w:val="24"/>
        </w:rPr>
        <w:t>日通过，</w:t>
      </w:r>
      <w:r w:rsidRPr="002B55E9">
        <w:rPr>
          <w:rFonts w:hint="eastAsia"/>
          <w:sz w:val="24"/>
        </w:rPr>
        <w:t>2019</w:t>
      </w:r>
      <w:r w:rsidRPr="002B55E9">
        <w:rPr>
          <w:rFonts w:hint="eastAsia"/>
          <w:sz w:val="24"/>
        </w:rPr>
        <w:t>年</w:t>
      </w:r>
      <w:r w:rsidRPr="002B55E9">
        <w:rPr>
          <w:rFonts w:hint="eastAsia"/>
          <w:sz w:val="24"/>
        </w:rPr>
        <w:t>11</w:t>
      </w:r>
      <w:r w:rsidRPr="002B55E9">
        <w:rPr>
          <w:rFonts w:hint="eastAsia"/>
          <w:sz w:val="24"/>
        </w:rPr>
        <w:t>月</w:t>
      </w:r>
      <w:r w:rsidRPr="002B55E9">
        <w:rPr>
          <w:rFonts w:hint="eastAsia"/>
          <w:sz w:val="24"/>
        </w:rPr>
        <w:t>29</w:t>
      </w:r>
      <w:r w:rsidRPr="002B55E9">
        <w:rPr>
          <w:rFonts w:hint="eastAsia"/>
          <w:sz w:val="24"/>
        </w:rPr>
        <w:t>日修订，</w:t>
      </w:r>
      <w:r w:rsidRPr="002B55E9">
        <w:rPr>
          <w:rFonts w:hint="eastAsia"/>
          <w:sz w:val="24"/>
        </w:rPr>
        <w:t>2019</w:t>
      </w:r>
      <w:r w:rsidRPr="002B55E9">
        <w:rPr>
          <w:rFonts w:hint="eastAsia"/>
          <w:sz w:val="24"/>
        </w:rPr>
        <w:t>年</w:t>
      </w:r>
      <w:r w:rsidRPr="002B55E9">
        <w:rPr>
          <w:rFonts w:hint="eastAsia"/>
          <w:sz w:val="24"/>
        </w:rPr>
        <w:t>11</w:t>
      </w:r>
      <w:r w:rsidRPr="002B55E9">
        <w:rPr>
          <w:rFonts w:hint="eastAsia"/>
          <w:sz w:val="24"/>
        </w:rPr>
        <w:t>月</w:t>
      </w:r>
      <w:r w:rsidRPr="002B55E9">
        <w:rPr>
          <w:rFonts w:hint="eastAsia"/>
          <w:sz w:val="24"/>
        </w:rPr>
        <w:t>29</w:t>
      </w:r>
      <w:r w:rsidRPr="002B55E9">
        <w:rPr>
          <w:rFonts w:hint="eastAsia"/>
          <w:sz w:val="24"/>
        </w:rPr>
        <w:t>日实施）；</w:t>
      </w:r>
    </w:p>
    <w:p w14:paraId="28FC11BA"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17</w:t>
      </w:r>
      <w:r w:rsidRPr="002B55E9">
        <w:rPr>
          <w:rFonts w:hint="eastAsia"/>
          <w:sz w:val="24"/>
        </w:rPr>
        <w:t>）</w:t>
      </w:r>
      <w:r w:rsidRPr="002B55E9">
        <w:rPr>
          <w:rFonts w:hint="eastAsia"/>
          <w:sz w:val="24"/>
        </w:rPr>
        <w:tab/>
      </w:r>
      <w:r w:rsidRPr="002B55E9">
        <w:rPr>
          <w:rFonts w:hint="eastAsia"/>
          <w:sz w:val="24"/>
        </w:rPr>
        <w:t>《武汉市实施〈中华人民共和国环境保护法〉办法》（</w:t>
      </w:r>
      <w:r w:rsidRPr="002B55E9">
        <w:rPr>
          <w:rFonts w:hint="eastAsia"/>
          <w:sz w:val="24"/>
        </w:rPr>
        <w:t>2019</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1</w:t>
      </w:r>
      <w:r w:rsidRPr="002B55E9">
        <w:rPr>
          <w:rFonts w:hint="eastAsia"/>
          <w:sz w:val="24"/>
        </w:rPr>
        <w:t>日起施行）；</w:t>
      </w:r>
    </w:p>
    <w:p w14:paraId="6940E06A" w14:textId="77777777" w:rsidR="00D170E5" w:rsidRPr="002B55E9" w:rsidRDefault="00EF27AD">
      <w:pPr>
        <w:adjustRightInd w:val="0"/>
        <w:snapToGrid w:val="0"/>
        <w:spacing w:line="360" w:lineRule="auto"/>
        <w:ind w:firstLineChars="200" w:firstLine="480"/>
      </w:pPr>
      <w:r w:rsidRPr="002B55E9">
        <w:rPr>
          <w:rFonts w:hint="eastAsia"/>
          <w:sz w:val="24"/>
        </w:rPr>
        <w:t>（</w:t>
      </w:r>
      <w:r w:rsidRPr="002B55E9">
        <w:rPr>
          <w:sz w:val="24"/>
        </w:rPr>
        <w:t>18</w:t>
      </w:r>
      <w:r w:rsidRPr="002B55E9">
        <w:rPr>
          <w:rFonts w:hint="eastAsia"/>
          <w:sz w:val="24"/>
        </w:rPr>
        <w:t>）</w:t>
      </w:r>
      <w:r w:rsidRPr="002B55E9">
        <w:rPr>
          <w:rFonts w:hint="eastAsia"/>
          <w:sz w:val="24"/>
        </w:rPr>
        <w:tab/>
      </w:r>
      <w:r w:rsidRPr="002B55E9">
        <w:rPr>
          <w:rFonts w:hint="eastAsia"/>
          <w:sz w:val="24"/>
        </w:rPr>
        <w:t>《武汉市基本生态控制线管理条例》（</w:t>
      </w:r>
      <w:r w:rsidRPr="002B55E9">
        <w:rPr>
          <w:rFonts w:hint="eastAsia"/>
          <w:sz w:val="24"/>
        </w:rPr>
        <w:t>2016</w:t>
      </w:r>
      <w:r w:rsidRPr="002B55E9">
        <w:rPr>
          <w:rFonts w:hint="eastAsia"/>
          <w:sz w:val="24"/>
        </w:rPr>
        <w:t>年</w:t>
      </w:r>
      <w:r w:rsidRPr="002B55E9">
        <w:rPr>
          <w:rFonts w:hint="eastAsia"/>
          <w:sz w:val="24"/>
        </w:rPr>
        <w:t>5</w:t>
      </w:r>
      <w:r w:rsidRPr="002B55E9">
        <w:rPr>
          <w:rFonts w:hint="eastAsia"/>
          <w:sz w:val="24"/>
        </w:rPr>
        <w:t>月</w:t>
      </w:r>
      <w:r w:rsidRPr="002B55E9">
        <w:rPr>
          <w:rFonts w:hint="eastAsia"/>
          <w:sz w:val="24"/>
        </w:rPr>
        <w:t>26</w:t>
      </w:r>
      <w:r w:rsidRPr="002B55E9">
        <w:rPr>
          <w:rFonts w:hint="eastAsia"/>
          <w:sz w:val="24"/>
        </w:rPr>
        <w:t>日通过，</w:t>
      </w:r>
      <w:r w:rsidRPr="002B55E9">
        <w:rPr>
          <w:rFonts w:hint="eastAsia"/>
          <w:sz w:val="24"/>
        </w:rPr>
        <w:t>2016</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1</w:t>
      </w:r>
      <w:r w:rsidRPr="002B55E9">
        <w:rPr>
          <w:rFonts w:hint="eastAsia"/>
          <w:sz w:val="24"/>
        </w:rPr>
        <w:t>日起施行）</w:t>
      </w:r>
      <w:r w:rsidRPr="002B55E9">
        <w:rPr>
          <w:kern w:val="2"/>
          <w:szCs w:val="24"/>
        </w:rPr>
        <w:t>。</w:t>
      </w:r>
    </w:p>
    <w:p w14:paraId="78EE2629" w14:textId="77777777" w:rsidR="00D170E5" w:rsidRPr="002B55E9" w:rsidRDefault="00EF27AD">
      <w:pPr>
        <w:pStyle w:val="4"/>
        <w:rPr>
          <w:color w:val="auto"/>
        </w:rPr>
      </w:pPr>
      <w:r w:rsidRPr="002B55E9">
        <w:rPr>
          <w:rFonts w:hint="eastAsia"/>
          <w:color w:val="auto"/>
        </w:rPr>
        <w:t>政策、规范性文件</w:t>
      </w:r>
    </w:p>
    <w:p w14:paraId="633AE30F" w14:textId="77777777" w:rsidR="00D170E5" w:rsidRPr="002B55E9" w:rsidRDefault="00EF27AD">
      <w:pPr>
        <w:adjustRightInd w:val="0"/>
        <w:snapToGrid w:val="0"/>
        <w:spacing w:line="360" w:lineRule="auto"/>
        <w:ind w:firstLineChars="200" w:firstLine="480"/>
        <w:rPr>
          <w:sz w:val="24"/>
        </w:rPr>
      </w:pPr>
      <w:bookmarkStart w:id="75" w:name="_Hlk40876458"/>
      <w:r w:rsidRPr="002B55E9">
        <w:rPr>
          <w:sz w:val="24"/>
        </w:rPr>
        <w:t>（</w:t>
      </w:r>
      <w:r w:rsidRPr="002B55E9">
        <w:rPr>
          <w:sz w:val="24"/>
        </w:rPr>
        <w:t>1</w:t>
      </w:r>
      <w:r w:rsidRPr="002B55E9">
        <w:rPr>
          <w:sz w:val="24"/>
        </w:rPr>
        <w:t>）</w:t>
      </w:r>
      <w:bookmarkStart w:id="76" w:name="_Hlk40876475"/>
      <w:r w:rsidRPr="002B55E9">
        <w:rPr>
          <w:sz w:val="24"/>
        </w:rPr>
        <w:t>国发〔</w:t>
      </w:r>
      <w:r w:rsidRPr="002B55E9">
        <w:rPr>
          <w:sz w:val="24"/>
        </w:rPr>
        <w:t>2013</w:t>
      </w:r>
      <w:r w:rsidRPr="002B55E9">
        <w:rPr>
          <w:sz w:val="24"/>
        </w:rPr>
        <w:t>〕</w:t>
      </w:r>
      <w:r w:rsidRPr="002B55E9">
        <w:rPr>
          <w:sz w:val="24"/>
        </w:rPr>
        <w:t>37</w:t>
      </w:r>
      <w:r w:rsidRPr="002B55E9">
        <w:rPr>
          <w:sz w:val="24"/>
        </w:rPr>
        <w:t>号《国务院关于印发大气污染防治行动计划的通知》（</w:t>
      </w:r>
      <w:r w:rsidRPr="002B55E9">
        <w:rPr>
          <w:sz w:val="24"/>
        </w:rPr>
        <w:t>2013</w:t>
      </w:r>
      <w:r w:rsidRPr="002B55E9">
        <w:rPr>
          <w:sz w:val="24"/>
        </w:rPr>
        <w:t>年</w:t>
      </w:r>
      <w:r w:rsidRPr="002B55E9">
        <w:rPr>
          <w:sz w:val="24"/>
        </w:rPr>
        <w:t>9</w:t>
      </w:r>
      <w:r w:rsidRPr="002B55E9">
        <w:rPr>
          <w:sz w:val="24"/>
        </w:rPr>
        <w:t>月</w:t>
      </w:r>
      <w:r w:rsidRPr="002B55E9">
        <w:rPr>
          <w:sz w:val="24"/>
        </w:rPr>
        <w:t>10</w:t>
      </w:r>
      <w:r w:rsidRPr="002B55E9">
        <w:rPr>
          <w:sz w:val="24"/>
        </w:rPr>
        <w:t>日实施）</w:t>
      </w:r>
      <w:bookmarkEnd w:id="76"/>
      <w:r w:rsidRPr="002B55E9">
        <w:rPr>
          <w:sz w:val="24"/>
        </w:rPr>
        <w:t>；</w:t>
      </w:r>
    </w:p>
    <w:bookmarkEnd w:id="75"/>
    <w:p w14:paraId="6525B381"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2</w:t>
      </w:r>
      <w:r w:rsidRPr="002B55E9">
        <w:rPr>
          <w:sz w:val="24"/>
        </w:rPr>
        <w:t>）</w:t>
      </w:r>
      <w:bookmarkStart w:id="77" w:name="_Hlk40876505"/>
      <w:r w:rsidRPr="002B55E9">
        <w:rPr>
          <w:sz w:val="24"/>
        </w:rPr>
        <w:t>国</w:t>
      </w:r>
      <w:bookmarkStart w:id="78" w:name="_Hlk40876500"/>
      <w:r w:rsidRPr="002B55E9">
        <w:rPr>
          <w:sz w:val="24"/>
        </w:rPr>
        <w:t>发〔</w:t>
      </w:r>
      <w:r w:rsidRPr="002B55E9">
        <w:rPr>
          <w:sz w:val="24"/>
        </w:rPr>
        <w:t>2015</w:t>
      </w:r>
      <w:r w:rsidRPr="002B55E9">
        <w:rPr>
          <w:sz w:val="24"/>
        </w:rPr>
        <w:t>〕</w:t>
      </w:r>
      <w:r w:rsidRPr="002B55E9">
        <w:rPr>
          <w:sz w:val="24"/>
        </w:rPr>
        <w:t>17</w:t>
      </w:r>
      <w:r w:rsidRPr="002B55E9">
        <w:rPr>
          <w:sz w:val="24"/>
        </w:rPr>
        <w:t>号《国务院关于印发水污染防治行动计划的通知》（</w:t>
      </w:r>
      <w:r w:rsidRPr="002B55E9">
        <w:rPr>
          <w:sz w:val="24"/>
        </w:rPr>
        <w:t>2015</w:t>
      </w:r>
      <w:r w:rsidRPr="002B55E9">
        <w:rPr>
          <w:sz w:val="24"/>
        </w:rPr>
        <w:t>年</w:t>
      </w:r>
      <w:r w:rsidRPr="002B55E9">
        <w:rPr>
          <w:sz w:val="24"/>
        </w:rPr>
        <w:t>4</w:t>
      </w:r>
      <w:r w:rsidRPr="002B55E9">
        <w:rPr>
          <w:sz w:val="24"/>
        </w:rPr>
        <w:t>月</w:t>
      </w:r>
      <w:r w:rsidRPr="002B55E9">
        <w:rPr>
          <w:sz w:val="24"/>
        </w:rPr>
        <w:t>2</w:t>
      </w:r>
      <w:r w:rsidRPr="002B55E9">
        <w:rPr>
          <w:sz w:val="24"/>
        </w:rPr>
        <w:t>日实施）</w:t>
      </w:r>
      <w:bookmarkEnd w:id="77"/>
      <w:bookmarkEnd w:id="78"/>
      <w:r w:rsidRPr="002B55E9">
        <w:rPr>
          <w:sz w:val="24"/>
        </w:rPr>
        <w:t>；</w:t>
      </w:r>
    </w:p>
    <w:p w14:paraId="72643BC5"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3</w:t>
      </w:r>
      <w:r w:rsidRPr="002B55E9">
        <w:rPr>
          <w:sz w:val="24"/>
        </w:rPr>
        <w:t>）</w:t>
      </w:r>
      <w:bookmarkStart w:id="79" w:name="_Hlk40876517"/>
      <w:r w:rsidRPr="002B55E9">
        <w:rPr>
          <w:sz w:val="24"/>
        </w:rPr>
        <w:t>国发〔</w:t>
      </w:r>
      <w:r w:rsidRPr="002B55E9">
        <w:rPr>
          <w:sz w:val="24"/>
        </w:rPr>
        <w:t>2016</w:t>
      </w:r>
      <w:r w:rsidRPr="002B55E9">
        <w:rPr>
          <w:sz w:val="24"/>
        </w:rPr>
        <w:t>〕</w:t>
      </w:r>
      <w:r w:rsidRPr="002B55E9">
        <w:rPr>
          <w:sz w:val="24"/>
        </w:rPr>
        <w:t>31</w:t>
      </w:r>
      <w:r w:rsidRPr="002B55E9">
        <w:rPr>
          <w:sz w:val="24"/>
        </w:rPr>
        <w:t>号《国务院关于印发土壤污染防治行动计划的通知》（</w:t>
      </w:r>
      <w:r w:rsidRPr="002B55E9">
        <w:rPr>
          <w:sz w:val="24"/>
        </w:rPr>
        <w:t>2016</w:t>
      </w:r>
      <w:r w:rsidRPr="002B55E9">
        <w:rPr>
          <w:sz w:val="24"/>
        </w:rPr>
        <w:t>年</w:t>
      </w:r>
      <w:r w:rsidRPr="002B55E9">
        <w:rPr>
          <w:sz w:val="24"/>
        </w:rPr>
        <w:t>5</w:t>
      </w:r>
      <w:r w:rsidRPr="002B55E9">
        <w:rPr>
          <w:sz w:val="24"/>
        </w:rPr>
        <w:t>月</w:t>
      </w:r>
      <w:r w:rsidRPr="002B55E9">
        <w:rPr>
          <w:sz w:val="24"/>
        </w:rPr>
        <w:t>28</w:t>
      </w:r>
      <w:r w:rsidRPr="002B55E9">
        <w:rPr>
          <w:sz w:val="24"/>
        </w:rPr>
        <w:t>日实施）</w:t>
      </w:r>
      <w:bookmarkEnd w:id="79"/>
      <w:r w:rsidRPr="002B55E9">
        <w:rPr>
          <w:sz w:val="24"/>
        </w:rPr>
        <w:t>；</w:t>
      </w:r>
    </w:p>
    <w:p w14:paraId="0A55E197" w14:textId="77777777" w:rsidR="00D170E5" w:rsidRPr="002B55E9" w:rsidRDefault="00EF27AD">
      <w:pPr>
        <w:adjustRightInd w:val="0"/>
        <w:snapToGrid w:val="0"/>
        <w:spacing w:line="360" w:lineRule="auto"/>
        <w:ind w:firstLineChars="200" w:firstLine="480"/>
        <w:rPr>
          <w:sz w:val="24"/>
        </w:rPr>
      </w:pPr>
      <w:r w:rsidRPr="002B55E9">
        <w:rPr>
          <w:sz w:val="24"/>
        </w:rPr>
        <w:lastRenderedPageBreak/>
        <w:t>（</w:t>
      </w:r>
      <w:r w:rsidRPr="002B55E9">
        <w:rPr>
          <w:sz w:val="24"/>
        </w:rPr>
        <w:t>4</w:t>
      </w:r>
      <w:r w:rsidRPr="002B55E9">
        <w:rPr>
          <w:sz w:val="24"/>
        </w:rPr>
        <w:t>）</w:t>
      </w:r>
      <w:bookmarkStart w:id="80" w:name="_Hlk40876525"/>
      <w:r w:rsidRPr="002B55E9">
        <w:rPr>
          <w:sz w:val="24"/>
        </w:rPr>
        <w:t>国发</w:t>
      </w:r>
      <w:r w:rsidRPr="002B55E9">
        <w:rPr>
          <w:sz w:val="24"/>
        </w:rPr>
        <w:t>[2018]22</w:t>
      </w:r>
      <w:r w:rsidRPr="002B55E9">
        <w:rPr>
          <w:sz w:val="24"/>
        </w:rPr>
        <w:t>号《国务院关于印发打赢蓝天保卫战三年行动计划的通知》（</w:t>
      </w:r>
      <w:r w:rsidRPr="002B55E9">
        <w:rPr>
          <w:sz w:val="24"/>
        </w:rPr>
        <w:t>2018</w:t>
      </w:r>
      <w:r w:rsidRPr="002B55E9">
        <w:rPr>
          <w:sz w:val="24"/>
        </w:rPr>
        <w:t>年</w:t>
      </w:r>
      <w:r w:rsidRPr="002B55E9">
        <w:rPr>
          <w:sz w:val="24"/>
        </w:rPr>
        <w:t>6</w:t>
      </w:r>
      <w:r w:rsidRPr="002B55E9">
        <w:rPr>
          <w:sz w:val="24"/>
        </w:rPr>
        <w:t>月</w:t>
      </w:r>
      <w:r w:rsidRPr="002B55E9">
        <w:rPr>
          <w:sz w:val="24"/>
        </w:rPr>
        <w:t>27</w:t>
      </w:r>
      <w:r w:rsidRPr="002B55E9">
        <w:rPr>
          <w:sz w:val="24"/>
        </w:rPr>
        <w:t>日实施）</w:t>
      </w:r>
      <w:bookmarkEnd w:id="80"/>
      <w:r w:rsidRPr="002B55E9">
        <w:rPr>
          <w:sz w:val="24"/>
        </w:rPr>
        <w:t>；</w:t>
      </w:r>
    </w:p>
    <w:p w14:paraId="1BBC1C6C"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5</w:t>
      </w:r>
      <w:r w:rsidRPr="002B55E9">
        <w:rPr>
          <w:sz w:val="24"/>
        </w:rPr>
        <w:t>）</w:t>
      </w:r>
      <w:bookmarkStart w:id="81" w:name="_Hlk40879005"/>
      <w:r w:rsidRPr="002B55E9">
        <w:rPr>
          <w:sz w:val="24"/>
        </w:rPr>
        <w:t>国家发展和改革委员会令第</w:t>
      </w:r>
      <w:r w:rsidRPr="002B55E9">
        <w:rPr>
          <w:sz w:val="24"/>
        </w:rPr>
        <w:t>29</w:t>
      </w:r>
      <w:r w:rsidRPr="002B55E9">
        <w:rPr>
          <w:sz w:val="24"/>
        </w:rPr>
        <w:t>号《产业结构调整指导目录（</w:t>
      </w:r>
      <w:r w:rsidRPr="002B55E9">
        <w:rPr>
          <w:sz w:val="24"/>
        </w:rPr>
        <w:t>2019</w:t>
      </w:r>
      <w:r w:rsidRPr="002B55E9">
        <w:rPr>
          <w:sz w:val="24"/>
        </w:rPr>
        <w:t>年本）》；</w:t>
      </w:r>
      <w:bookmarkEnd w:id="81"/>
    </w:p>
    <w:p w14:paraId="1A9B286A" w14:textId="77777777" w:rsidR="00D170E5" w:rsidRPr="002B55E9" w:rsidRDefault="00EF27AD">
      <w:pPr>
        <w:pStyle w:val="affff7"/>
        <w:adjustRightInd w:val="0"/>
        <w:snapToGrid w:val="0"/>
        <w:spacing w:after="0"/>
      </w:pPr>
      <w:r w:rsidRPr="002B55E9">
        <w:t>（</w:t>
      </w:r>
      <w:r w:rsidRPr="002B55E9">
        <w:t>6</w:t>
      </w:r>
      <w:r w:rsidRPr="002B55E9">
        <w:t>）《国家危险废物名录》（</w:t>
      </w:r>
      <w:r w:rsidRPr="002B55E9">
        <w:t>2021</w:t>
      </w:r>
      <w:r w:rsidRPr="002B55E9">
        <w:rPr>
          <w:rFonts w:hint="eastAsia"/>
        </w:rPr>
        <w:t>年</w:t>
      </w:r>
      <w:r w:rsidRPr="002B55E9">
        <w:t>版），</w:t>
      </w:r>
      <w:r w:rsidRPr="002B55E9">
        <w:t>2020</w:t>
      </w:r>
      <w:r w:rsidRPr="002B55E9">
        <w:t>年</w:t>
      </w:r>
      <w:r w:rsidRPr="002B55E9">
        <w:t>11</w:t>
      </w:r>
      <w:r w:rsidRPr="002B55E9">
        <w:t>月</w:t>
      </w:r>
      <w:r w:rsidRPr="002B55E9">
        <w:t>5</w:t>
      </w:r>
      <w:r w:rsidRPr="002B55E9">
        <w:t>日通过，自</w:t>
      </w:r>
      <w:r w:rsidRPr="002B55E9">
        <w:t>2021</w:t>
      </w:r>
      <w:r w:rsidRPr="002B55E9">
        <w:t>年</w:t>
      </w:r>
      <w:r w:rsidRPr="002B55E9">
        <w:t>1</w:t>
      </w:r>
      <w:r w:rsidRPr="002B55E9">
        <w:t>月</w:t>
      </w:r>
      <w:r w:rsidRPr="002B55E9">
        <w:t>1</w:t>
      </w:r>
      <w:r w:rsidRPr="002B55E9">
        <w:t>日起施行；</w:t>
      </w:r>
    </w:p>
    <w:p w14:paraId="4D6A216E" w14:textId="77777777" w:rsidR="00D170E5" w:rsidRPr="002B55E9" w:rsidRDefault="00EF27AD">
      <w:pPr>
        <w:pStyle w:val="affff7"/>
        <w:adjustRightInd w:val="0"/>
        <w:snapToGrid w:val="0"/>
        <w:spacing w:after="0"/>
      </w:pPr>
      <w:r w:rsidRPr="002B55E9">
        <w:rPr>
          <w:rFonts w:hint="eastAsia"/>
        </w:rPr>
        <w:t>（</w:t>
      </w:r>
      <w:r w:rsidRPr="002B55E9">
        <w:t>7</w:t>
      </w:r>
      <w:r w:rsidRPr="002B55E9">
        <w:rPr>
          <w:rFonts w:hint="eastAsia"/>
        </w:rPr>
        <w:t>）《建设项目环境影响评价分类管理名录（</w:t>
      </w:r>
      <w:r w:rsidRPr="002B55E9">
        <w:rPr>
          <w:rFonts w:hint="eastAsia"/>
        </w:rPr>
        <w:t>2021</w:t>
      </w:r>
      <w:r w:rsidRPr="002B55E9">
        <w:rPr>
          <w:rFonts w:hint="eastAsia"/>
        </w:rPr>
        <w:t>年版）》，</w:t>
      </w:r>
      <w:r w:rsidRPr="002B55E9">
        <w:rPr>
          <w:rFonts w:hint="eastAsia"/>
        </w:rPr>
        <w:t>2020</w:t>
      </w:r>
      <w:r w:rsidRPr="002B55E9">
        <w:rPr>
          <w:rFonts w:hint="eastAsia"/>
        </w:rPr>
        <w:t>年</w:t>
      </w:r>
      <w:r w:rsidRPr="002B55E9">
        <w:rPr>
          <w:rFonts w:hint="eastAsia"/>
        </w:rPr>
        <w:t>11</w:t>
      </w:r>
      <w:r w:rsidRPr="002B55E9">
        <w:rPr>
          <w:rFonts w:hint="eastAsia"/>
        </w:rPr>
        <w:t>月</w:t>
      </w:r>
      <w:r w:rsidRPr="002B55E9">
        <w:rPr>
          <w:rFonts w:hint="eastAsia"/>
        </w:rPr>
        <w:t>5</w:t>
      </w:r>
      <w:r w:rsidRPr="002B55E9">
        <w:rPr>
          <w:rFonts w:hint="eastAsia"/>
        </w:rPr>
        <w:t>日通过，自</w:t>
      </w:r>
      <w:r w:rsidRPr="002B55E9">
        <w:rPr>
          <w:rFonts w:hint="eastAsia"/>
        </w:rPr>
        <w:t>2021</w:t>
      </w:r>
      <w:r w:rsidRPr="002B55E9">
        <w:rPr>
          <w:rFonts w:hint="eastAsia"/>
        </w:rPr>
        <w:t>年</w:t>
      </w:r>
      <w:r w:rsidRPr="002B55E9">
        <w:rPr>
          <w:rFonts w:hint="eastAsia"/>
        </w:rPr>
        <w:t>1</w:t>
      </w:r>
      <w:r w:rsidRPr="002B55E9">
        <w:rPr>
          <w:rFonts w:hint="eastAsia"/>
        </w:rPr>
        <w:t>月</w:t>
      </w:r>
      <w:r w:rsidRPr="002B55E9">
        <w:rPr>
          <w:rFonts w:hint="eastAsia"/>
        </w:rPr>
        <w:t>1</w:t>
      </w:r>
      <w:r w:rsidRPr="002B55E9">
        <w:rPr>
          <w:rFonts w:hint="eastAsia"/>
        </w:rPr>
        <w:t>日起施行；</w:t>
      </w:r>
    </w:p>
    <w:p w14:paraId="7B915844"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8</w:t>
      </w:r>
      <w:r w:rsidRPr="002B55E9">
        <w:rPr>
          <w:rFonts w:hint="eastAsia"/>
          <w:sz w:val="24"/>
        </w:rPr>
        <w:t>）</w:t>
      </w:r>
      <w:bookmarkStart w:id="82" w:name="_Hlk40879776"/>
      <w:r w:rsidRPr="002B55E9">
        <w:rPr>
          <w:rFonts w:hint="eastAsia"/>
          <w:sz w:val="24"/>
        </w:rPr>
        <w:t>环大气</w:t>
      </w:r>
      <w:r w:rsidRPr="002B55E9">
        <w:rPr>
          <w:rFonts w:hint="eastAsia"/>
          <w:sz w:val="24"/>
        </w:rPr>
        <w:t>[2017]121</w:t>
      </w:r>
      <w:r w:rsidRPr="002B55E9">
        <w:rPr>
          <w:rFonts w:hint="eastAsia"/>
          <w:sz w:val="24"/>
        </w:rPr>
        <w:t>号《“十三五”挥发性有机物污染防治工作方案》，</w:t>
      </w:r>
      <w:r w:rsidRPr="002B55E9">
        <w:rPr>
          <w:rFonts w:hint="eastAsia"/>
          <w:sz w:val="24"/>
        </w:rPr>
        <w:t>2017</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14</w:t>
      </w:r>
      <w:r w:rsidRPr="002B55E9">
        <w:rPr>
          <w:rFonts w:hint="eastAsia"/>
          <w:sz w:val="24"/>
        </w:rPr>
        <w:t>日</w:t>
      </w:r>
      <w:r w:rsidRPr="002B55E9">
        <w:rPr>
          <w:sz w:val="24"/>
        </w:rPr>
        <w:t>印发</w:t>
      </w:r>
      <w:r w:rsidRPr="002B55E9">
        <w:rPr>
          <w:rFonts w:hint="eastAsia"/>
          <w:sz w:val="24"/>
        </w:rPr>
        <w:t>；</w:t>
      </w:r>
      <w:bookmarkEnd w:id="82"/>
    </w:p>
    <w:p w14:paraId="11F42AB5"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9</w:t>
      </w:r>
      <w:r w:rsidRPr="002B55E9">
        <w:rPr>
          <w:rFonts w:hint="eastAsia"/>
          <w:sz w:val="24"/>
        </w:rPr>
        <w:t>）环大气</w:t>
      </w:r>
      <w:r w:rsidRPr="002B55E9">
        <w:rPr>
          <w:rFonts w:hint="eastAsia"/>
          <w:sz w:val="24"/>
        </w:rPr>
        <w:t>[2019]53</w:t>
      </w:r>
      <w:r w:rsidRPr="002B55E9">
        <w:rPr>
          <w:rFonts w:hint="eastAsia"/>
          <w:sz w:val="24"/>
        </w:rPr>
        <w:t>号《重点行业挥发性有机物综合治理方案》，</w:t>
      </w:r>
      <w:r w:rsidRPr="002B55E9">
        <w:rPr>
          <w:rFonts w:hint="eastAsia"/>
          <w:sz w:val="24"/>
        </w:rPr>
        <w:t>2019</w:t>
      </w:r>
      <w:r w:rsidRPr="002B55E9">
        <w:rPr>
          <w:rFonts w:hint="eastAsia"/>
          <w:sz w:val="24"/>
        </w:rPr>
        <w:t>年</w:t>
      </w:r>
      <w:r w:rsidRPr="002B55E9">
        <w:rPr>
          <w:rFonts w:hint="eastAsia"/>
          <w:sz w:val="24"/>
        </w:rPr>
        <w:t>9</w:t>
      </w:r>
      <w:r w:rsidRPr="002B55E9">
        <w:rPr>
          <w:rFonts w:hint="eastAsia"/>
          <w:sz w:val="24"/>
        </w:rPr>
        <w:t>月</w:t>
      </w:r>
      <w:r w:rsidRPr="002B55E9">
        <w:rPr>
          <w:rFonts w:hint="eastAsia"/>
          <w:sz w:val="24"/>
        </w:rPr>
        <w:t>26</w:t>
      </w:r>
      <w:r w:rsidRPr="002B55E9">
        <w:rPr>
          <w:rFonts w:hint="eastAsia"/>
          <w:sz w:val="24"/>
        </w:rPr>
        <w:t>日；</w:t>
      </w:r>
    </w:p>
    <w:p w14:paraId="5F171AEC"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w:t>
      </w:r>
      <w:r w:rsidRPr="002B55E9">
        <w:rPr>
          <w:bCs/>
          <w:sz w:val="24"/>
        </w:rPr>
        <w:t>10</w:t>
      </w:r>
      <w:r w:rsidRPr="002B55E9">
        <w:rPr>
          <w:rFonts w:hint="eastAsia"/>
          <w:bCs/>
          <w:sz w:val="24"/>
        </w:rPr>
        <w:t>）生态环境部、公安部、交通运输部部令第</w:t>
      </w:r>
      <w:r w:rsidRPr="002B55E9">
        <w:rPr>
          <w:bCs/>
          <w:sz w:val="24"/>
        </w:rPr>
        <w:t>23</w:t>
      </w:r>
      <w:r w:rsidRPr="002B55E9">
        <w:rPr>
          <w:rFonts w:hint="eastAsia"/>
          <w:bCs/>
          <w:sz w:val="24"/>
        </w:rPr>
        <w:t>号《危险废物转移管理办法》，</w:t>
      </w:r>
      <w:r w:rsidRPr="002B55E9">
        <w:rPr>
          <w:bCs/>
          <w:sz w:val="24"/>
        </w:rPr>
        <w:t>2021</w:t>
      </w:r>
      <w:r w:rsidRPr="002B55E9">
        <w:rPr>
          <w:rFonts w:hint="eastAsia"/>
          <w:bCs/>
          <w:sz w:val="24"/>
        </w:rPr>
        <w:t>年</w:t>
      </w:r>
      <w:r w:rsidRPr="002B55E9">
        <w:rPr>
          <w:bCs/>
          <w:sz w:val="24"/>
        </w:rPr>
        <w:t>11</w:t>
      </w:r>
      <w:r w:rsidRPr="002B55E9">
        <w:rPr>
          <w:rFonts w:hint="eastAsia"/>
          <w:bCs/>
          <w:sz w:val="24"/>
        </w:rPr>
        <w:t>月</w:t>
      </w:r>
      <w:r w:rsidRPr="002B55E9">
        <w:rPr>
          <w:bCs/>
          <w:sz w:val="24"/>
        </w:rPr>
        <w:t>30</w:t>
      </w:r>
      <w:r w:rsidRPr="002B55E9">
        <w:rPr>
          <w:rFonts w:hint="eastAsia"/>
          <w:bCs/>
          <w:sz w:val="24"/>
        </w:rPr>
        <w:t>日发布，</w:t>
      </w:r>
      <w:r w:rsidRPr="002B55E9">
        <w:rPr>
          <w:bCs/>
          <w:sz w:val="24"/>
        </w:rPr>
        <w:t>2022</w:t>
      </w:r>
      <w:r w:rsidRPr="002B55E9">
        <w:rPr>
          <w:rFonts w:hint="eastAsia"/>
          <w:bCs/>
          <w:sz w:val="24"/>
        </w:rPr>
        <w:t>年</w:t>
      </w:r>
      <w:r w:rsidRPr="002B55E9">
        <w:rPr>
          <w:bCs/>
          <w:sz w:val="24"/>
        </w:rPr>
        <w:t>1</w:t>
      </w:r>
      <w:r w:rsidRPr="002B55E9">
        <w:rPr>
          <w:rFonts w:hint="eastAsia"/>
          <w:bCs/>
          <w:sz w:val="24"/>
        </w:rPr>
        <w:t>月</w:t>
      </w:r>
      <w:r w:rsidRPr="002B55E9">
        <w:rPr>
          <w:bCs/>
          <w:sz w:val="24"/>
        </w:rPr>
        <w:t>1</w:t>
      </w:r>
      <w:r w:rsidRPr="002B55E9">
        <w:rPr>
          <w:rFonts w:hint="eastAsia"/>
          <w:bCs/>
          <w:sz w:val="24"/>
        </w:rPr>
        <w:t>日起实施；</w:t>
      </w:r>
    </w:p>
    <w:p w14:paraId="1470C048"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w:t>
      </w:r>
      <w:r w:rsidRPr="002B55E9">
        <w:rPr>
          <w:rFonts w:hint="eastAsia"/>
          <w:bCs/>
          <w:sz w:val="24"/>
        </w:rPr>
        <w:t>1</w:t>
      </w:r>
      <w:r w:rsidRPr="002B55E9">
        <w:rPr>
          <w:bCs/>
          <w:sz w:val="24"/>
        </w:rPr>
        <w:t>1</w:t>
      </w:r>
      <w:r w:rsidRPr="002B55E9">
        <w:rPr>
          <w:rFonts w:hint="eastAsia"/>
          <w:bCs/>
          <w:sz w:val="24"/>
        </w:rPr>
        <w:t>）湖北省生态环境厅《湖北省生态环境保护“十四五”规划》，</w:t>
      </w:r>
      <w:r w:rsidRPr="002B55E9">
        <w:rPr>
          <w:bCs/>
          <w:sz w:val="24"/>
        </w:rPr>
        <w:t>2021</w:t>
      </w:r>
      <w:r w:rsidRPr="002B55E9">
        <w:rPr>
          <w:rFonts w:hint="eastAsia"/>
          <w:bCs/>
          <w:sz w:val="24"/>
        </w:rPr>
        <w:t>年</w:t>
      </w:r>
      <w:r w:rsidRPr="002B55E9">
        <w:rPr>
          <w:bCs/>
          <w:sz w:val="24"/>
        </w:rPr>
        <w:t>11</w:t>
      </w:r>
      <w:r w:rsidRPr="002B55E9">
        <w:rPr>
          <w:rFonts w:hint="eastAsia"/>
          <w:bCs/>
          <w:sz w:val="24"/>
        </w:rPr>
        <w:t>月</w:t>
      </w:r>
      <w:r w:rsidRPr="002B55E9">
        <w:rPr>
          <w:bCs/>
          <w:sz w:val="24"/>
        </w:rPr>
        <w:t>23</w:t>
      </w:r>
      <w:r w:rsidRPr="002B55E9">
        <w:rPr>
          <w:rFonts w:hint="eastAsia"/>
          <w:bCs/>
          <w:sz w:val="24"/>
        </w:rPr>
        <w:t>日；</w:t>
      </w:r>
    </w:p>
    <w:p w14:paraId="448D36E3"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12</w:t>
      </w:r>
      <w:r w:rsidRPr="002B55E9">
        <w:rPr>
          <w:rFonts w:hint="eastAsia"/>
          <w:sz w:val="24"/>
        </w:rPr>
        <w:t>）鄂政发</w:t>
      </w:r>
      <w:r w:rsidRPr="002B55E9">
        <w:rPr>
          <w:sz w:val="24"/>
        </w:rPr>
        <w:t>[2016]3</w:t>
      </w:r>
      <w:r w:rsidRPr="002B55E9">
        <w:rPr>
          <w:rFonts w:hint="eastAsia"/>
          <w:sz w:val="24"/>
        </w:rPr>
        <w:t>号《湖北省水污染防治行动计划工作方案》，</w:t>
      </w:r>
      <w:r w:rsidRPr="002B55E9">
        <w:rPr>
          <w:sz w:val="24"/>
        </w:rPr>
        <w:t>2016</w:t>
      </w:r>
      <w:r w:rsidRPr="002B55E9">
        <w:rPr>
          <w:rFonts w:hint="eastAsia"/>
          <w:sz w:val="24"/>
        </w:rPr>
        <w:t>年</w:t>
      </w:r>
      <w:r w:rsidRPr="002B55E9">
        <w:rPr>
          <w:sz w:val="24"/>
        </w:rPr>
        <w:t>1</w:t>
      </w:r>
      <w:r w:rsidRPr="002B55E9">
        <w:rPr>
          <w:rFonts w:hint="eastAsia"/>
          <w:sz w:val="24"/>
        </w:rPr>
        <w:t>月</w:t>
      </w:r>
      <w:r w:rsidRPr="002B55E9">
        <w:rPr>
          <w:sz w:val="24"/>
        </w:rPr>
        <w:t>1</w:t>
      </w:r>
      <w:r w:rsidRPr="002B55E9">
        <w:rPr>
          <w:rFonts w:hint="eastAsia"/>
          <w:sz w:val="24"/>
        </w:rPr>
        <w:t>日；</w:t>
      </w:r>
    </w:p>
    <w:p w14:paraId="787F8D29"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13</w:t>
      </w:r>
      <w:r w:rsidRPr="002B55E9">
        <w:rPr>
          <w:rFonts w:hint="eastAsia"/>
          <w:sz w:val="24"/>
        </w:rPr>
        <w:t>）湖北省人民政府鄂政发〔</w:t>
      </w:r>
      <w:r w:rsidRPr="002B55E9">
        <w:rPr>
          <w:sz w:val="24"/>
        </w:rPr>
        <w:t>2000</w:t>
      </w:r>
      <w:r w:rsidRPr="002B55E9">
        <w:rPr>
          <w:rFonts w:hint="eastAsia"/>
          <w:sz w:val="24"/>
        </w:rPr>
        <w:t>〕</w:t>
      </w:r>
      <w:r w:rsidRPr="002B55E9">
        <w:rPr>
          <w:sz w:val="24"/>
        </w:rPr>
        <w:t>10</w:t>
      </w:r>
      <w:r w:rsidRPr="002B55E9">
        <w:rPr>
          <w:rFonts w:hint="eastAsia"/>
          <w:sz w:val="24"/>
        </w:rPr>
        <w:t>号《省人民政府办公厅转发省环境保护局关于湖北省地表水环境功能类别的通知》，</w:t>
      </w:r>
      <w:r w:rsidRPr="002B55E9">
        <w:rPr>
          <w:sz w:val="24"/>
        </w:rPr>
        <w:t>2000</w:t>
      </w:r>
      <w:r w:rsidRPr="002B55E9">
        <w:rPr>
          <w:rFonts w:hint="eastAsia"/>
          <w:sz w:val="24"/>
        </w:rPr>
        <w:t>年</w:t>
      </w:r>
      <w:r w:rsidRPr="002B55E9">
        <w:rPr>
          <w:sz w:val="24"/>
        </w:rPr>
        <w:t>1</w:t>
      </w:r>
      <w:r w:rsidRPr="002B55E9">
        <w:rPr>
          <w:rFonts w:hint="eastAsia"/>
          <w:sz w:val="24"/>
        </w:rPr>
        <w:t>月</w:t>
      </w:r>
      <w:r w:rsidRPr="002B55E9">
        <w:rPr>
          <w:sz w:val="24"/>
        </w:rPr>
        <w:t>31</w:t>
      </w:r>
      <w:r w:rsidRPr="002B55E9">
        <w:rPr>
          <w:rFonts w:hint="eastAsia"/>
          <w:sz w:val="24"/>
        </w:rPr>
        <w:t>日；</w:t>
      </w:r>
    </w:p>
    <w:p w14:paraId="505750E9"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14</w:t>
      </w:r>
      <w:r w:rsidRPr="002B55E9">
        <w:rPr>
          <w:rFonts w:hint="eastAsia"/>
          <w:sz w:val="24"/>
        </w:rPr>
        <w:t>）湖北省人民政府办公厅鄂政办函</w:t>
      </w:r>
      <w:r w:rsidRPr="002B55E9">
        <w:rPr>
          <w:sz w:val="24"/>
        </w:rPr>
        <w:t>[2000]74</w:t>
      </w:r>
      <w:r w:rsidRPr="002B55E9">
        <w:rPr>
          <w:rFonts w:hint="eastAsia"/>
          <w:sz w:val="24"/>
        </w:rPr>
        <w:t>号《省人民政府办公厅关于武汉市地表水环境功能区类别和集中式地表水饮用水水源保护区级别规定有关问题的批复》；</w:t>
      </w:r>
    </w:p>
    <w:p w14:paraId="40C7CD97"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15</w:t>
      </w:r>
      <w:r w:rsidRPr="002B55E9">
        <w:rPr>
          <w:rFonts w:hint="eastAsia"/>
          <w:sz w:val="24"/>
        </w:rPr>
        <w:t>）湖北省人民政府办公厅鄂政办发〔</w:t>
      </w:r>
      <w:r w:rsidRPr="002B55E9">
        <w:rPr>
          <w:sz w:val="24"/>
        </w:rPr>
        <w:t>2014</w:t>
      </w:r>
      <w:r w:rsidRPr="002B55E9">
        <w:rPr>
          <w:rFonts w:hint="eastAsia"/>
          <w:sz w:val="24"/>
        </w:rPr>
        <w:t>〕</w:t>
      </w:r>
      <w:r w:rsidRPr="002B55E9">
        <w:rPr>
          <w:sz w:val="24"/>
        </w:rPr>
        <w:t>6</w:t>
      </w:r>
      <w:r w:rsidRPr="002B55E9">
        <w:rPr>
          <w:rFonts w:hint="eastAsia"/>
          <w:sz w:val="24"/>
        </w:rPr>
        <w:t>号《省人民政府关于贯彻落实国务院大气污染防治行动计划的实施意见》，</w:t>
      </w:r>
      <w:r w:rsidRPr="002B55E9">
        <w:rPr>
          <w:sz w:val="24"/>
        </w:rPr>
        <w:t>2014</w:t>
      </w:r>
      <w:r w:rsidRPr="002B55E9">
        <w:rPr>
          <w:rFonts w:hint="eastAsia"/>
          <w:sz w:val="24"/>
        </w:rPr>
        <w:t>年</w:t>
      </w:r>
      <w:r w:rsidRPr="002B55E9">
        <w:rPr>
          <w:sz w:val="24"/>
        </w:rPr>
        <w:t>1</w:t>
      </w:r>
      <w:r w:rsidRPr="002B55E9">
        <w:rPr>
          <w:rFonts w:hint="eastAsia"/>
          <w:sz w:val="24"/>
        </w:rPr>
        <w:t>月</w:t>
      </w:r>
      <w:r w:rsidRPr="002B55E9">
        <w:rPr>
          <w:sz w:val="24"/>
        </w:rPr>
        <w:t>21</w:t>
      </w:r>
      <w:r w:rsidRPr="002B55E9">
        <w:rPr>
          <w:rFonts w:hint="eastAsia"/>
          <w:sz w:val="24"/>
        </w:rPr>
        <w:t>日；</w:t>
      </w:r>
    </w:p>
    <w:p w14:paraId="4C26F69E"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16</w:t>
      </w:r>
      <w:r w:rsidRPr="002B55E9">
        <w:rPr>
          <w:rFonts w:hint="eastAsia"/>
          <w:sz w:val="24"/>
        </w:rPr>
        <w:t>）鄂环发</w:t>
      </w:r>
      <w:r w:rsidRPr="002B55E9">
        <w:rPr>
          <w:sz w:val="24"/>
        </w:rPr>
        <w:t>[2018]7</w:t>
      </w:r>
      <w:r w:rsidRPr="002B55E9">
        <w:rPr>
          <w:rFonts w:hint="eastAsia"/>
          <w:sz w:val="24"/>
        </w:rPr>
        <w:t>号《湖北省挥发性有机物污染防治三年行动方案》，</w:t>
      </w:r>
      <w:r w:rsidRPr="002B55E9">
        <w:rPr>
          <w:sz w:val="24"/>
        </w:rPr>
        <w:t>2018</w:t>
      </w:r>
      <w:r w:rsidRPr="002B55E9">
        <w:rPr>
          <w:rFonts w:hint="eastAsia"/>
          <w:sz w:val="24"/>
        </w:rPr>
        <w:t>年</w:t>
      </w:r>
      <w:r w:rsidRPr="002B55E9">
        <w:rPr>
          <w:sz w:val="24"/>
        </w:rPr>
        <w:t>5</w:t>
      </w:r>
      <w:r w:rsidRPr="002B55E9">
        <w:rPr>
          <w:rFonts w:hint="eastAsia"/>
          <w:sz w:val="24"/>
        </w:rPr>
        <w:t>月</w:t>
      </w:r>
      <w:r w:rsidRPr="002B55E9">
        <w:rPr>
          <w:sz w:val="24"/>
        </w:rPr>
        <w:t>28</w:t>
      </w:r>
      <w:r w:rsidRPr="002B55E9">
        <w:rPr>
          <w:rFonts w:hint="eastAsia"/>
          <w:sz w:val="24"/>
        </w:rPr>
        <w:t>日；</w:t>
      </w:r>
    </w:p>
    <w:p w14:paraId="0DCFE04C"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17</w:t>
      </w:r>
      <w:r w:rsidRPr="002B55E9">
        <w:rPr>
          <w:rFonts w:hint="eastAsia"/>
          <w:sz w:val="24"/>
        </w:rPr>
        <w:t>）湖北省人民政府《关于加快实施”三线一单“生态环境分区管控的意见》（鄂政发</w:t>
      </w:r>
      <w:r w:rsidRPr="002B55E9">
        <w:rPr>
          <w:sz w:val="24"/>
        </w:rPr>
        <w:t xml:space="preserve">[2020]21 </w:t>
      </w:r>
      <w:r w:rsidRPr="002B55E9">
        <w:rPr>
          <w:rFonts w:hint="eastAsia"/>
          <w:sz w:val="24"/>
        </w:rPr>
        <w:t>号）；</w:t>
      </w:r>
    </w:p>
    <w:p w14:paraId="7ADC6F5D"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18</w:t>
      </w:r>
      <w:r w:rsidRPr="002B55E9">
        <w:rPr>
          <w:rFonts w:hint="eastAsia"/>
          <w:sz w:val="24"/>
        </w:rPr>
        <w:t>）武汉市人民政府武政〔</w:t>
      </w:r>
      <w:r w:rsidRPr="002B55E9">
        <w:rPr>
          <w:sz w:val="24"/>
        </w:rPr>
        <w:t>2022</w:t>
      </w:r>
      <w:r w:rsidRPr="002B55E9">
        <w:rPr>
          <w:rFonts w:hint="eastAsia"/>
          <w:sz w:val="24"/>
        </w:rPr>
        <w:t>〕</w:t>
      </w:r>
      <w:r w:rsidRPr="002B55E9">
        <w:rPr>
          <w:sz w:val="24"/>
        </w:rPr>
        <w:t>1</w:t>
      </w:r>
      <w:r w:rsidRPr="002B55E9">
        <w:rPr>
          <w:rFonts w:hint="eastAsia"/>
          <w:sz w:val="24"/>
        </w:rPr>
        <w:t>号《市人民政府关于印发武汉市生态环境保护“十四五”规划的通知》，</w:t>
      </w:r>
      <w:r w:rsidRPr="002B55E9">
        <w:rPr>
          <w:sz w:val="24"/>
        </w:rPr>
        <w:t>2022</w:t>
      </w:r>
      <w:r w:rsidRPr="002B55E9">
        <w:rPr>
          <w:rFonts w:hint="eastAsia"/>
          <w:sz w:val="24"/>
        </w:rPr>
        <w:t>年</w:t>
      </w:r>
      <w:r w:rsidRPr="002B55E9">
        <w:rPr>
          <w:sz w:val="24"/>
        </w:rPr>
        <w:t>3</w:t>
      </w:r>
      <w:r w:rsidRPr="002B55E9">
        <w:rPr>
          <w:rFonts w:hint="eastAsia"/>
          <w:sz w:val="24"/>
        </w:rPr>
        <w:t>月</w:t>
      </w:r>
      <w:r w:rsidRPr="002B55E9">
        <w:rPr>
          <w:sz w:val="24"/>
        </w:rPr>
        <w:t>25</w:t>
      </w:r>
      <w:r w:rsidRPr="002B55E9">
        <w:rPr>
          <w:rFonts w:hint="eastAsia"/>
          <w:sz w:val="24"/>
        </w:rPr>
        <w:t>日；</w:t>
      </w:r>
    </w:p>
    <w:p w14:paraId="75A945FB"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w:t>
      </w:r>
      <w:r w:rsidRPr="002B55E9">
        <w:rPr>
          <w:bCs/>
          <w:sz w:val="24"/>
        </w:rPr>
        <w:t>19</w:t>
      </w:r>
      <w:r w:rsidRPr="002B55E9">
        <w:rPr>
          <w:rFonts w:hint="eastAsia"/>
          <w:bCs/>
          <w:sz w:val="24"/>
        </w:rPr>
        <w:t>）武政办〔</w:t>
      </w:r>
      <w:r w:rsidRPr="002B55E9">
        <w:rPr>
          <w:bCs/>
          <w:sz w:val="24"/>
        </w:rPr>
        <w:t>2019</w:t>
      </w:r>
      <w:r w:rsidRPr="002B55E9">
        <w:rPr>
          <w:rFonts w:hint="eastAsia"/>
          <w:bCs/>
          <w:sz w:val="24"/>
        </w:rPr>
        <w:t>〕</w:t>
      </w:r>
      <w:r w:rsidRPr="002B55E9">
        <w:rPr>
          <w:bCs/>
          <w:sz w:val="24"/>
        </w:rPr>
        <w:t>15</w:t>
      </w:r>
      <w:r w:rsidRPr="002B55E9">
        <w:rPr>
          <w:rFonts w:hint="eastAsia"/>
          <w:bCs/>
          <w:sz w:val="24"/>
        </w:rPr>
        <w:t>号《市人民政府办公厅关于印发武汉市水污染防治规划的通知》，</w:t>
      </w:r>
      <w:r w:rsidRPr="002B55E9">
        <w:rPr>
          <w:bCs/>
          <w:sz w:val="24"/>
        </w:rPr>
        <w:t>2019</w:t>
      </w:r>
      <w:r w:rsidRPr="002B55E9">
        <w:rPr>
          <w:rFonts w:hint="eastAsia"/>
          <w:bCs/>
          <w:sz w:val="24"/>
        </w:rPr>
        <w:t>年</w:t>
      </w:r>
      <w:r w:rsidRPr="002B55E9">
        <w:rPr>
          <w:bCs/>
          <w:sz w:val="24"/>
        </w:rPr>
        <w:t>2</w:t>
      </w:r>
      <w:r w:rsidRPr="002B55E9">
        <w:rPr>
          <w:rFonts w:hint="eastAsia"/>
          <w:bCs/>
          <w:sz w:val="24"/>
        </w:rPr>
        <w:t>月</w:t>
      </w:r>
      <w:r w:rsidRPr="002B55E9">
        <w:rPr>
          <w:bCs/>
          <w:sz w:val="24"/>
        </w:rPr>
        <w:t>19</w:t>
      </w:r>
      <w:r w:rsidRPr="002B55E9">
        <w:rPr>
          <w:rFonts w:hint="eastAsia"/>
          <w:bCs/>
          <w:sz w:val="24"/>
        </w:rPr>
        <w:t>日；</w:t>
      </w:r>
    </w:p>
    <w:p w14:paraId="79EEB07B"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w:t>
      </w:r>
      <w:r w:rsidRPr="002B55E9">
        <w:rPr>
          <w:bCs/>
          <w:sz w:val="24"/>
        </w:rPr>
        <w:t>20</w:t>
      </w:r>
      <w:r w:rsidRPr="002B55E9">
        <w:rPr>
          <w:rFonts w:hint="eastAsia"/>
          <w:bCs/>
          <w:sz w:val="24"/>
        </w:rPr>
        <w:t>）武汉市人民政府办公厅文件武政办</w:t>
      </w:r>
      <w:r w:rsidRPr="002B55E9">
        <w:rPr>
          <w:bCs/>
          <w:sz w:val="24"/>
        </w:rPr>
        <w:t>[2013]129</w:t>
      </w:r>
      <w:r w:rsidRPr="002B55E9">
        <w:rPr>
          <w:rFonts w:hint="eastAsia"/>
          <w:bCs/>
          <w:sz w:val="24"/>
        </w:rPr>
        <w:t>号《市人民政府办公厅关于转发武汉市环境空气质量功能区类别规定的通知》；</w:t>
      </w:r>
    </w:p>
    <w:p w14:paraId="54F55A17"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21</w:t>
      </w:r>
      <w:r w:rsidRPr="002B55E9">
        <w:rPr>
          <w:rFonts w:hint="eastAsia"/>
          <w:sz w:val="24"/>
        </w:rPr>
        <w:t>）武汉市人民政府文件《市人民政府关于印发武汉市</w:t>
      </w:r>
      <w:r w:rsidRPr="002B55E9">
        <w:rPr>
          <w:sz w:val="24"/>
        </w:rPr>
        <w:t>2022</w:t>
      </w:r>
      <w:r w:rsidRPr="002B55E9">
        <w:rPr>
          <w:rFonts w:hint="eastAsia"/>
          <w:sz w:val="24"/>
        </w:rPr>
        <w:t>年改善空气质量攻坚方</w:t>
      </w:r>
      <w:r w:rsidRPr="002B55E9">
        <w:rPr>
          <w:rFonts w:hint="eastAsia"/>
          <w:sz w:val="24"/>
        </w:rPr>
        <w:lastRenderedPageBreak/>
        <w:t>案的通知》（武政规</w:t>
      </w:r>
      <w:r w:rsidRPr="002B55E9">
        <w:rPr>
          <w:sz w:val="24"/>
        </w:rPr>
        <w:t>[2022]10</w:t>
      </w:r>
      <w:r w:rsidRPr="002B55E9">
        <w:rPr>
          <w:rFonts w:hint="eastAsia"/>
          <w:sz w:val="24"/>
        </w:rPr>
        <w:t>号）；</w:t>
      </w:r>
    </w:p>
    <w:p w14:paraId="638E047D"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w:t>
      </w:r>
      <w:r w:rsidRPr="002B55E9">
        <w:rPr>
          <w:bCs/>
          <w:sz w:val="24"/>
        </w:rPr>
        <w:t>22</w:t>
      </w:r>
      <w:r w:rsidRPr="002B55E9">
        <w:rPr>
          <w:rFonts w:hint="eastAsia"/>
          <w:bCs/>
          <w:sz w:val="24"/>
        </w:rPr>
        <w:t>）武汉市人民政府办公厅文件武政办</w:t>
      </w:r>
      <w:r w:rsidRPr="002B55E9">
        <w:rPr>
          <w:bCs/>
          <w:sz w:val="24"/>
        </w:rPr>
        <w:t>[2019]12</w:t>
      </w:r>
      <w:r w:rsidRPr="002B55E9">
        <w:rPr>
          <w:rFonts w:hint="eastAsia"/>
          <w:bCs/>
          <w:sz w:val="24"/>
        </w:rPr>
        <w:t>号《市人民政府办公厅关于印发武汉市声环境功能区类别规定的通知》；</w:t>
      </w:r>
    </w:p>
    <w:p w14:paraId="5A4F0AF9"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23</w:t>
      </w:r>
      <w:r w:rsidRPr="002B55E9">
        <w:rPr>
          <w:rFonts w:hint="eastAsia"/>
          <w:sz w:val="24"/>
        </w:rPr>
        <w:t>）武汉市人民政府办公厅《关于印发武汉市三线一单生态环境分区管控方案的通知》（武政办〔</w:t>
      </w:r>
      <w:r w:rsidRPr="002B55E9">
        <w:rPr>
          <w:sz w:val="24"/>
        </w:rPr>
        <w:t>2021</w:t>
      </w:r>
      <w:r w:rsidRPr="002B55E9">
        <w:rPr>
          <w:rFonts w:hint="eastAsia"/>
          <w:sz w:val="24"/>
        </w:rPr>
        <w:t>〕</w:t>
      </w:r>
      <w:r w:rsidRPr="002B55E9">
        <w:rPr>
          <w:sz w:val="24"/>
        </w:rPr>
        <w:t>96</w:t>
      </w:r>
      <w:r w:rsidRPr="002B55E9">
        <w:rPr>
          <w:rFonts w:hint="eastAsia"/>
          <w:sz w:val="24"/>
        </w:rPr>
        <w:t>号）。</w:t>
      </w:r>
    </w:p>
    <w:p w14:paraId="2564CAF3" w14:textId="77777777" w:rsidR="00D170E5" w:rsidRPr="002B55E9" w:rsidRDefault="00EF27AD">
      <w:pPr>
        <w:pStyle w:val="4"/>
        <w:rPr>
          <w:color w:val="auto"/>
        </w:rPr>
      </w:pPr>
      <w:r w:rsidRPr="002B55E9">
        <w:rPr>
          <w:rFonts w:hint="eastAsia"/>
          <w:color w:val="auto"/>
        </w:rPr>
        <w:t>主要技术规范</w:t>
      </w:r>
    </w:p>
    <w:p w14:paraId="26CA939C"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1</w:t>
      </w:r>
      <w:r w:rsidRPr="002B55E9">
        <w:rPr>
          <w:sz w:val="24"/>
        </w:rPr>
        <w:t>）《建设项目环境影响评价技术导则</w:t>
      </w:r>
      <w:r w:rsidRPr="002B55E9">
        <w:rPr>
          <w:sz w:val="24"/>
        </w:rPr>
        <w:t xml:space="preserve"> </w:t>
      </w:r>
      <w:r w:rsidRPr="002B55E9">
        <w:rPr>
          <w:sz w:val="24"/>
        </w:rPr>
        <w:t>总纲》</w:t>
      </w:r>
      <w:r w:rsidRPr="002B55E9">
        <w:rPr>
          <w:rFonts w:hint="eastAsia"/>
          <w:sz w:val="24"/>
        </w:rPr>
        <w:t>（</w:t>
      </w:r>
      <w:r w:rsidRPr="002B55E9">
        <w:rPr>
          <w:sz w:val="24"/>
        </w:rPr>
        <w:t>HJ 2.1-201</w:t>
      </w:r>
      <w:r w:rsidRPr="002B55E9">
        <w:rPr>
          <w:rFonts w:hint="eastAsia"/>
          <w:sz w:val="24"/>
        </w:rPr>
        <w:t>6</w:t>
      </w:r>
      <w:r w:rsidRPr="002B55E9">
        <w:rPr>
          <w:rFonts w:hint="eastAsia"/>
          <w:sz w:val="24"/>
        </w:rPr>
        <w:t>）</w:t>
      </w:r>
      <w:r w:rsidRPr="002B55E9">
        <w:rPr>
          <w:sz w:val="24"/>
        </w:rPr>
        <w:t>，</w:t>
      </w:r>
      <w:r w:rsidRPr="002B55E9">
        <w:rPr>
          <w:sz w:val="24"/>
        </w:rPr>
        <w:t>201</w:t>
      </w:r>
      <w:r w:rsidRPr="002B55E9">
        <w:rPr>
          <w:rFonts w:hint="eastAsia"/>
          <w:sz w:val="24"/>
        </w:rPr>
        <w:t>7</w:t>
      </w:r>
      <w:r w:rsidRPr="002B55E9">
        <w:rPr>
          <w:sz w:val="24"/>
        </w:rPr>
        <w:t>年</w:t>
      </w:r>
      <w:r w:rsidRPr="002B55E9">
        <w:rPr>
          <w:sz w:val="24"/>
        </w:rPr>
        <w:t>1</w:t>
      </w:r>
      <w:r w:rsidRPr="002B55E9">
        <w:rPr>
          <w:sz w:val="24"/>
        </w:rPr>
        <w:t>月</w:t>
      </w:r>
      <w:r w:rsidRPr="002B55E9">
        <w:rPr>
          <w:sz w:val="24"/>
        </w:rPr>
        <w:t>1</w:t>
      </w:r>
      <w:r w:rsidRPr="002B55E9">
        <w:rPr>
          <w:sz w:val="24"/>
        </w:rPr>
        <w:t>日实施</w:t>
      </w:r>
      <w:r w:rsidRPr="002B55E9">
        <w:rPr>
          <w:rFonts w:hint="eastAsia"/>
          <w:sz w:val="24"/>
        </w:rPr>
        <w:t>；</w:t>
      </w:r>
    </w:p>
    <w:p w14:paraId="448D9E84"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2</w:t>
      </w:r>
      <w:r w:rsidRPr="002B55E9">
        <w:rPr>
          <w:sz w:val="24"/>
        </w:rPr>
        <w:t>）《环境影响评价技术导则</w:t>
      </w:r>
      <w:r w:rsidRPr="002B55E9">
        <w:rPr>
          <w:sz w:val="24"/>
        </w:rPr>
        <w:t xml:space="preserve">  </w:t>
      </w:r>
      <w:r w:rsidRPr="002B55E9">
        <w:rPr>
          <w:sz w:val="24"/>
        </w:rPr>
        <w:t>大气环境》</w:t>
      </w:r>
      <w:r w:rsidRPr="002B55E9">
        <w:rPr>
          <w:rFonts w:hint="eastAsia"/>
          <w:sz w:val="24"/>
        </w:rPr>
        <w:t>（</w:t>
      </w:r>
      <w:r w:rsidRPr="002B55E9">
        <w:rPr>
          <w:sz w:val="24"/>
        </w:rPr>
        <w:t>HJ2.2-20</w:t>
      </w:r>
      <w:r w:rsidRPr="002B55E9">
        <w:rPr>
          <w:rFonts w:hint="eastAsia"/>
          <w:sz w:val="24"/>
        </w:rPr>
        <w:t>1</w:t>
      </w:r>
      <w:r w:rsidRPr="002B55E9">
        <w:rPr>
          <w:sz w:val="24"/>
        </w:rPr>
        <w:t>8</w:t>
      </w:r>
      <w:r w:rsidRPr="002B55E9">
        <w:rPr>
          <w:rFonts w:hint="eastAsia"/>
          <w:sz w:val="24"/>
        </w:rPr>
        <w:t>）</w:t>
      </w:r>
      <w:r w:rsidRPr="002B55E9">
        <w:rPr>
          <w:sz w:val="24"/>
        </w:rPr>
        <w:t>，</w:t>
      </w:r>
      <w:r w:rsidRPr="002B55E9">
        <w:rPr>
          <w:sz w:val="24"/>
        </w:rPr>
        <w:t>20</w:t>
      </w:r>
      <w:r w:rsidRPr="002B55E9">
        <w:rPr>
          <w:rFonts w:hint="eastAsia"/>
          <w:sz w:val="24"/>
        </w:rPr>
        <w:t>18</w:t>
      </w:r>
      <w:r w:rsidRPr="002B55E9">
        <w:rPr>
          <w:sz w:val="24"/>
        </w:rPr>
        <w:t>年</w:t>
      </w:r>
      <w:r w:rsidRPr="002B55E9">
        <w:rPr>
          <w:rFonts w:hint="eastAsia"/>
          <w:sz w:val="24"/>
        </w:rPr>
        <w:t>12</w:t>
      </w:r>
      <w:r w:rsidRPr="002B55E9">
        <w:rPr>
          <w:sz w:val="24"/>
        </w:rPr>
        <w:t>月</w:t>
      </w:r>
      <w:r w:rsidRPr="002B55E9">
        <w:rPr>
          <w:sz w:val="24"/>
        </w:rPr>
        <w:t>1</w:t>
      </w:r>
      <w:r w:rsidRPr="002B55E9">
        <w:rPr>
          <w:sz w:val="24"/>
        </w:rPr>
        <w:t>日实施</w:t>
      </w:r>
      <w:r w:rsidRPr="002B55E9">
        <w:rPr>
          <w:rFonts w:hint="eastAsia"/>
          <w:sz w:val="24"/>
        </w:rPr>
        <w:t>；</w:t>
      </w:r>
    </w:p>
    <w:p w14:paraId="0806F570"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3</w:t>
      </w:r>
      <w:r w:rsidRPr="002B55E9">
        <w:rPr>
          <w:sz w:val="24"/>
        </w:rPr>
        <w:t>）《环境影响评价技术导则</w:t>
      </w:r>
      <w:r w:rsidRPr="002B55E9">
        <w:rPr>
          <w:sz w:val="24"/>
        </w:rPr>
        <w:t xml:space="preserve">  </w:t>
      </w:r>
      <w:r w:rsidRPr="002B55E9">
        <w:rPr>
          <w:sz w:val="24"/>
        </w:rPr>
        <w:t>地</w:t>
      </w:r>
      <w:r w:rsidRPr="002B55E9">
        <w:rPr>
          <w:rFonts w:hint="eastAsia"/>
          <w:sz w:val="24"/>
        </w:rPr>
        <w:t>表</w:t>
      </w:r>
      <w:r w:rsidRPr="002B55E9">
        <w:rPr>
          <w:sz w:val="24"/>
        </w:rPr>
        <w:t>水环境》</w:t>
      </w:r>
      <w:r w:rsidRPr="002B55E9">
        <w:rPr>
          <w:rFonts w:hint="eastAsia"/>
          <w:sz w:val="24"/>
        </w:rPr>
        <w:t>（</w:t>
      </w:r>
      <w:r w:rsidRPr="002B55E9">
        <w:rPr>
          <w:sz w:val="24"/>
        </w:rPr>
        <w:t>HJ2.3-</w:t>
      </w:r>
      <w:r w:rsidRPr="002B55E9">
        <w:rPr>
          <w:rFonts w:hint="eastAsia"/>
          <w:sz w:val="24"/>
        </w:rPr>
        <w:t>2018</w:t>
      </w:r>
      <w:r w:rsidRPr="002B55E9">
        <w:rPr>
          <w:rFonts w:hint="eastAsia"/>
          <w:sz w:val="24"/>
        </w:rPr>
        <w:t>）</w:t>
      </w:r>
      <w:r w:rsidRPr="002B55E9">
        <w:rPr>
          <w:sz w:val="24"/>
        </w:rPr>
        <w:t>，</w:t>
      </w:r>
      <w:r w:rsidRPr="002B55E9">
        <w:rPr>
          <w:rFonts w:hint="eastAsia"/>
          <w:sz w:val="24"/>
        </w:rPr>
        <w:t>2019</w:t>
      </w:r>
      <w:r w:rsidRPr="002B55E9">
        <w:rPr>
          <w:rFonts w:hint="eastAsia"/>
          <w:sz w:val="24"/>
        </w:rPr>
        <w:t>年</w:t>
      </w:r>
      <w:r w:rsidRPr="002B55E9">
        <w:rPr>
          <w:rFonts w:hint="eastAsia"/>
          <w:sz w:val="24"/>
        </w:rPr>
        <w:t>3</w:t>
      </w:r>
      <w:r w:rsidRPr="002B55E9">
        <w:rPr>
          <w:rFonts w:hint="eastAsia"/>
          <w:sz w:val="24"/>
        </w:rPr>
        <w:t>月</w:t>
      </w:r>
      <w:r w:rsidRPr="002B55E9">
        <w:rPr>
          <w:rFonts w:hint="eastAsia"/>
          <w:sz w:val="24"/>
        </w:rPr>
        <w:t>1</w:t>
      </w:r>
      <w:r w:rsidRPr="002B55E9">
        <w:rPr>
          <w:rFonts w:hint="eastAsia"/>
          <w:sz w:val="24"/>
        </w:rPr>
        <w:t>日实施；</w:t>
      </w:r>
    </w:p>
    <w:p w14:paraId="0E02881B"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4</w:t>
      </w:r>
      <w:r w:rsidRPr="002B55E9">
        <w:rPr>
          <w:sz w:val="24"/>
        </w:rPr>
        <w:t>）《环境影响评价技术导则</w:t>
      </w:r>
      <w:r w:rsidRPr="002B55E9">
        <w:rPr>
          <w:sz w:val="24"/>
        </w:rPr>
        <w:t xml:space="preserve">  </w:t>
      </w:r>
      <w:r w:rsidRPr="002B55E9">
        <w:rPr>
          <w:sz w:val="24"/>
        </w:rPr>
        <w:t>声环境》</w:t>
      </w:r>
      <w:r w:rsidRPr="002B55E9">
        <w:rPr>
          <w:rFonts w:hint="eastAsia"/>
          <w:sz w:val="24"/>
        </w:rPr>
        <w:t>（</w:t>
      </w:r>
      <w:r w:rsidRPr="002B55E9">
        <w:rPr>
          <w:sz w:val="24"/>
        </w:rPr>
        <w:t>HJ2.4-2021</w:t>
      </w:r>
      <w:r w:rsidRPr="002B55E9">
        <w:rPr>
          <w:rFonts w:hint="eastAsia"/>
          <w:sz w:val="24"/>
        </w:rPr>
        <w:t>）</w:t>
      </w:r>
      <w:r w:rsidRPr="002B55E9">
        <w:rPr>
          <w:sz w:val="24"/>
        </w:rPr>
        <w:t>，</w:t>
      </w:r>
      <w:r w:rsidRPr="002B55E9">
        <w:rPr>
          <w:sz w:val="24"/>
        </w:rPr>
        <w:t>2022</w:t>
      </w:r>
      <w:r w:rsidRPr="002B55E9">
        <w:rPr>
          <w:sz w:val="24"/>
        </w:rPr>
        <w:t>年</w:t>
      </w:r>
      <w:r w:rsidRPr="002B55E9">
        <w:rPr>
          <w:sz w:val="24"/>
        </w:rPr>
        <w:t>7</w:t>
      </w:r>
      <w:r w:rsidRPr="002B55E9">
        <w:rPr>
          <w:sz w:val="24"/>
        </w:rPr>
        <w:t>月</w:t>
      </w:r>
      <w:r w:rsidRPr="002B55E9">
        <w:rPr>
          <w:sz w:val="24"/>
        </w:rPr>
        <w:t>1</w:t>
      </w:r>
      <w:r w:rsidRPr="002B55E9">
        <w:rPr>
          <w:sz w:val="24"/>
        </w:rPr>
        <w:t>日实施</w:t>
      </w:r>
      <w:r w:rsidRPr="002B55E9">
        <w:rPr>
          <w:rFonts w:hint="eastAsia"/>
          <w:sz w:val="24"/>
        </w:rPr>
        <w:t>；</w:t>
      </w:r>
    </w:p>
    <w:p w14:paraId="122C330D"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5</w:t>
      </w:r>
      <w:r w:rsidRPr="002B55E9">
        <w:rPr>
          <w:sz w:val="24"/>
        </w:rPr>
        <w:t>）《环境影响评价技术导则</w:t>
      </w:r>
      <w:r w:rsidRPr="002B55E9">
        <w:rPr>
          <w:sz w:val="24"/>
        </w:rPr>
        <w:t xml:space="preserve">  </w:t>
      </w:r>
      <w:r w:rsidRPr="002B55E9">
        <w:rPr>
          <w:sz w:val="24"/>
        </w:rPr>
        <w:t>生态影响》</w:t>
      </w:r>
      <w:r w:rsidRPr="002B55E9">
        <w:rPr>
          <w:rFonts w:hint="eastAsia"/>
          <w:sz w:val="24"/>
        </w:rPr>
        <w:t>（</w:t>
      </w:r>
      <w:r w:rsidRPr="002B55E9">
        <w:rPr>
          <w:sz w:val="24"/>
        </w:rPr>
        <w:t>HJ19-2022</w:t>
      </w:r>
      <w:r w:rsidRPr="002B55E9">
        <w:rPr>
          <w:rFonts w:hint="eastAsia"/>
          <w:sz w:val="24"/>
        </w:rPr>
        <w:t>）</w:t>
      </w:r>
      <w:r w:rsidRPr="002B55E9">
        <w:rPr>
          <w:sz w:val="24"/>
        </w:rPr>
        <w:t>，</w:t>
      </w:r>
      <w:r w:rsidRPr="002B55E9">
        <w:rPr>
          <w:sz w:val="24"/>
        </w:rPr>
        <w:t>2022</w:t>
      </w:r>
      <w:r w:rsidRPr="002B55E9">
        <w:rPr>
          <w:sz w:val="24"/>
        </w:rPr>
        <w:t>年</w:t>
      </w:r>
      <w:r w:rsidRPr="002B55E9">
        <w:rPr>
          <w:sz w:val="24"/>
        </w:rPr>
        <w:t>7</w:t>
      </w:r>
      <w:r w:rsidRPr="002B55E9">
        <w:rPr>
          <w:sz w:val="24"/>
        </w:rPr>
        <w:t>月</w:t>
      </w:r>
      <w:r w:rsidRPr="002B55E9">
        <w:rPr>
          <w:sz w:val="24"/>
        </w:rPr>
        <w:t>1</w:t>
      </w:r>
      <w:r w:rsidRPr="002B55E9">
        <w:rPr>
          <w:sz w:val="24"/>
        </w:rPr>
        <w:t>日实施</w:t>
      </w:r>
      <w:r w:rsidRPr="002B55E9">
        <w:rPr>
          <w:rFonts w:hint="eastAsia"/>
          <w:sz w:val="24"/>
        </w:rPr>
        <w:t>；</w:t>
      </w:r>
    </w:p>
    <w:p w14:paraId="44AF38E3"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sz w:val="24"/>
        </w:rPr>
        <w:t>6</w:t>
      </w:r>
      <w:r w:rsidRPr="002B55E9">
        <w:rPr>
          <w:sz w:val="24"/>
        </w:rPr>
        <w:t>）《环境影响评价技术导则</w:t>
      </w:r>
      <w:r w:rsidRPr="002B55E9">
        <w:rPr>
          <w:sz w:val="24"/>
        </w:rPr>
        <w:t xml:space="preserve">  </w:t>
      </w:r>
      <w:r w:rsidRPr="002B55E9">
        <w:rPr>
          <w:sz w:val="24"/>
        </w:rPr>
        <w:t>地下水环境》</w:t>
      </w:r>
      <w:r w:rsidRPr="002B55E9">
        <w:rPr>
          <w:rFonts w:hint="eastAsia"/>
          <w:sz w:val="24"/>
        </w:rPr>
        <w:t>（</w:t>
      </w:r>
      <w:r w:rsidRPr="002B55E9">
        <w:rPr>
          <w:sz w:val="24"/>
        </w:rPr>
        <w:t>HJ610-201</w:t>
      </w:r>
      <w:r w:rsidRPr="002B55E9">
        <w:rPr>
          <w:rFonts w:hint="eastAsia"/>
          <w:sz w:val="24"/>
        </w:rPr>
        <w:t>6</w:t>
      </w:r>
      <w:r w:rsidRPr="002B55E9">
        <w:rPr>
          <w:rFonts w:hint="eastAsia"/>
          <w:sz w:val="24"/>
        </w:rPr>
        <w:t>）</w:t>
      </w:r>
      <w:r w:rsidRPr="002B55E9">
        <w:rPr>
          <w:sz w:val="24"/>
        </w:rPr>
        <w:t>，</w:t>
      </w:r>
      <w:r w:rsidRPr="002B55E9">
        <w:rPr>
          <w:sz w:val="24"/>
        </w:rPr>
        <w:t>201</w:t>
      </w:r>
      <w:r w:rsidRPr="002B55E9">
        <w:rPr>
          <w:rFonts w:hint="eastAsia"/>
          <w:sz w:val="24"/>
        </w:rPr>
        <w:t>6</w:t>
      </w:r>
      <w:r w:rsidRPr="002B55E9">
        <w:rPr>
          <w:sz w:val="24"/>
        </w:rPr>
        <w:t>年</w:t>
      </w:r>
      <w:r w:rsidRPr="002B55E9">
        <w:rPr>
          <w:rFonts w:hint="eastAsia"/>
          <w:sz w:val="24"/>
        </w:rPr>
        <w:t>1</w:t>
      </w:r>
      <w:r w:rsidRPr="002B55E9">
        <w:rPr>
          <w:sz w:val="24"/>
        </w:rPr>
        <w:t>月</w:t>
      </w:r>
      <w:r w:rsidRPr="002B55E9">
        <w:rPr>
          <w:rFonts w:hint="eastAsia"/>
          <w:sz w:val="24"/>
        </w:rPr>
        <w:t>7</w:t>
      </w:r>
      <w:r w:rsidRPr="002B55E9">
        <w:rPr>
          <w:sz w:val="24"/>
        </w:rPr>
        <w:t>日实施</w:t>
      </w:r>
      <w:r w:rsidRPr="002B55E9">
        <w:rPr>
          <w:rFonts w:hint="eastAsia"/>
          <w:sz w:val="24"/>
        </w:rPr>
        <w:t>；</w:t>
      </w:r>
    </w:p>
    <w:p w14:paraId="11263B07"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7</w:t>
      </w:r>
      <w:r w:rsidRPr="002B55E9">
        <w:rPr>
          <w:rFonts w:hint="eastAsia"/>
          <w:sz w:val="24"/>
        </w:rPr>
        <w:t>）《环境影响评价技术导则</w:t>
      </w:r>
      <w:r w:rsidRPr="002B55E9">
        <w:rPr>
          <w:rFonts w:hint="eastAsia"/>
          <w:sz w:val="24"/>
        </w:rPr>
        <w:t xml:space="preserve"> </w:t>
      </w:r>
      <w:r w:rsidRPr="002B55E9">
        <w:rPr>
          <w:rFonts w:hint="eastAsia"/>
          <w:sz w:val="24"/>
        </w:rPr>
        <w:t>土壤环境（试行）》（</w:t>
      </w:r>
      <w:r w:rsidRPr="002B55E9">
        <w:rPr>
          <w:rFonts w:hint="eastAsia"/>
          <w:sz w:val="24"/>
        </w:rPr>
        <w:t>HJ964-2018</w:t>
      </w:r>
      <w:r w:rsidRPr="002B55E9">
        <w:rPr>
          <w:rFonts w:hint="eastAsia"/>
          <w:sz w:val="24"/>
        </w:rPr>
        <w:t>），</w:t>
      </w:r>
      <w:r w:rsidRPr="002B55E9">
        <w:rPr>
          <w:rFonts w:hint="eastAsia"/>
          <w:sz w:val="24"/>
        </w:rPr>
        <w:t>2019</w:t>
      </w:r>
      <w:r w:rsidRPr="002B55E9">
        <w:rPr>
          <w:rFonts w:hint="eastAsia"/>
          <w:sz w:val="24"/>
        </w:rPr>
        <w:t>年</w:t>
      </w:r>
      <w:r w:rsidRPr="002B55E9">
        <w:rPr>
          <w:rFonts w:hint="eastAsia"/>
          <w:sz w:val="24"/>
        </w:rPr>
        <w:t>7</w:t>
      </w:r>
      <w:r w:rsidRPr="002B55E9">
        <w:rPr>
          <w:rFonts w:hint="eastAsia"/>
          <w:sz w:val="24"/>
        </w:rPr>
        <w:t>月</w:t>
      </w:r>
      <w:r w:rsidRPr="002B55E9">
        <w:rPr>
          <w:rFonts w:hint="eastAsia"/>
          <w:sz w:val="24"/>
        </w:rPr>
        <w:t>1</w:t>
      </w:r>
      <w:r w:rsidRPr="002B55E9">
        <w:rPr>
          <w:rFonts w:hint="eastAsia"/>
          <w:sz w:val="24"/>
        </w:rPr>
        <w:t>日实施；</w:t>
      </w:r>
    </w:p>
    <w:p w14:paraId="02B337DD" w14:textId="77777777" w:rsidR="00D170E5" w:rsidRPr="002B55E9" w:rsidRDefault="00EF27AD">
      <w:pPr>
        <w:adjustRightInd w:val="0"/>
        <w:snapToGrid w:val="0"/>
        <w:spacing w:line="360" w:lineRule="auto"/>
        <w:ind w:firstLineChars="200" w:firstLine="480"/>
        <w:rPr>
          <w:sz w:val="24"/>
        </w:rPr>
      </w:pPr>
      <w:r w:rsidRPr="002B55E9">
        <w:rPr>
          <w:sz w:val="24"/>
        </w:rPr>
        <w:t>（</w:t>
      </w:r>
      <w:r w:rsidRPr="002B55E9">
        <w:rPr>
          <w:rFonts w:hint="eastAsia"/>
          <w:sz w:val="24"/>
        </w:rPr>
        <w:t>8</w:t>
      </w:r>
      <w:r w:rsidRPr="002B55E9">
        <w:rPr>
          <w:sz w:val="24"/>
        </w:rPr>
        <w:t>）《建设项目环境风险评价技术导则》</w:t>
      </w:r>
      <w:r w:rsidRPr="002B55E9">
        <w:rPr>
          <w:rFonts w:hint="eastAsia"/>
          <w:sz w:val="24"/>
        </w:rPr>
        <w:t>（</w:t>
      </w:r>
      <w:r w:rsidRPr="002B55E9">
        <w:rPr>
          <w:sz w:val="24"/>
        </w:rPr>
        <w:t>HJ169-20</w:t>
      </w:r>
      <w:r w:rsidRPr="002B55E9">
        <w:rPr>
          <w:rFonts w:hint="eastAsia"/>
          <w:sz w:val="24"/>
        </w:rPr>
        <w:t>18</w:t>
      </w:r>
      <w:r w:rsidRPr="002B55E9">
        <w:rPr>
          <w:rFonts w:hint="eastAsia"/>
          <w:sz w:val="24"/>
        </w:rPr>
        <w:t>）</w:t>
      </w:r>
      <w:r w:rsidRPr="002B55E9">
        <w:rPr>
          <w:sz w:val="24"/>
        </w:rPr>
        <w:t>，</w:t>
      </w:r>
      <w:r w:rsidRPr="002B55E9">
        <w:rPr>
          <w:rFonts w:hint="eastAsia"/>
          <w:sz w:val="24"/>
        </w:rPr>
        <w:t>2019</w:t>
      </w:r>
      <w:r w:rsidRPr="002B55E9">
        <w:rPr>
          <w:rFonts w:hint="eastAsia"/>
          <w:sz w:val="24"/>
        </w:rPr>
        <w:t>年</w:t>
      </w:r>
      <w:r w:rsidRPr="002B55E9">
        <w:rPr>
          <w:rFonts w:hint="eastAsia"/>
          <w:sz w:val="24"/>
        </w:rPr>
        <w:t>3</w:t>
      </w:r>
      <w:r w:rsidRPr="002B55E9">
        <w:rPr>
          <w:rFonts w:hint="eastAsia"/>
          <w:sz w:val="24"/>
        </w:rPr>
        <w:t>月</w:t>
      </w:r>
      <w:r w:rsidRPr="002B55E9">
        <w:rPr>
          <w:rFonts w:hint="eastAsia"/>
          <w:sz w:val="24"/>
        </w:rPr>
        <w:t>1</w:t>
      </w:r>
      <w:r w:rsidRPr="002B55E9">
        <w:rPr>
          <w:rFonts w:hint="eastAsia"/>
          <w:sz w:val="24"/>
        </w:rPr>
        <w:t>日实施；</w:t>
      </w:r>
    </w:p>
    <w:p w14:paraId="3072D53B"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sz w:val="24"/>
        </w:rPr>
        <w:t>9</w:t>
      </w:r>
      <w:r w:rsidRPr="002B55E9">
        <w:rPr>
          <w:rFonts w:hint="eastAsia"/>
          <w:sz w:val="24"/>
        </w:rPr>
        <w:t>）《排污许可证申请与核发技术规范</w:t>
      </w:r>
      <w:r w:rsidRPr="002B55E9">
        <w:rPr>
          <w:rFonts w:hint="eastAsia"/>
          <w:sz w:val="24"/>
        </w:rPr>
        <w:t xml:space="preserve"> </w:t>
      </w:r>
      <w:r w:rsidRPr="002B55E9">
        <w:rPr>
          <w:sz w:val="24"/>
        </w:rPr>
        <w:t xml:space="preserve"> </w:t>
      </w:r>
      <w:r w:rsidRPr="002B55E9">
        <w:rPr>
          <w:rFonts w:hint="eastAsia"/>
          <w:sz w:val="24"/>
        </w:rPr>
        <w:t>食品制造业—调味品、发酵制品制造工业》（</w:t>
      </w:r>
      <w:r w:rsidRPr="002B55E9">
        <w:rPr>
          <w:rFonts w:hint="eastAsia"/>
          <w:sz w:val="24"/>
        </w:rPr>
        <w:t>H</w:t>
      </w:r>
      <w:r w:rsidRPr="002B55E9">
        <w:rPr>
          <w:sz w:val="24"/>
        </w:rPr>
        <w:t>J1030.2</w:t>
      </w:r>
      <w:r w:rsidRPr="002B55E9">
        <w:rPr>
          <w:rFonts w:hint="eastAsia"/>
          <w:sz w:val="24"/>
        </w:rPr>
        <w:t>—</w:t>
      </w:r>
      <w:r w:rsidRPr="002B55E9">
        <w:rPr>
          <w:rFonts w:hint="eastAsia"/>
          <w:sz w:val="24"/>
        </w:rPr>
        <w:t>2</w:t>
      </w:r>
      <w:r w:rsidRPr="002B55E9">
        <w:rPr>
          <w:sz w:val="24"/>
        </w:rPr>
        <w:t>019</w:t>
      </w:r>
      <w:r w:rsidRPr="002B55E9">
        <w:rPr>
          <w:rFonts w:hint="eastAsia"/>
          <w:sz w:val="24"/>
        </w:rPr>
        <w:t>），</w:t>
      </w:r>
      <w:r w:rsidRPr="002B55E9">
        <w:rPr>
          <w:rFonts w:hint="eastAsia"/>
          <w:sz w:val="24"/>
        </w:rPr>
        <w:t>2019</w:t>
      </w:r>
      <w:r w:rsidRPr="002B55E9">
        <w:rPr>
          <w:rFonts w:hint="eastAsia"/>
          <w:sz w:val="24"/>
        </w:rPr>
        <w:t>年</w:t>
      </w:r>
      <w:r w:rsidRPr="002B55E9">
        <w:rPr>
          <w:rFonts w:hint="eastAsia"/>
          <w:sz w:val="24"/>
        </w:rPr>
        <w:t>6</w:t>
      </w:r>
      <w:r w:rsidRPr="002B55E9">
        <w:rPr>
          <w:rFonts w:hint="eastAsia"/>
          <w:sz w:val="24"/>
        </w:rPr>
        <w:t>月</w:t>
      </w:r>
      <w:r w:rsidRPr="002B55E9">
        <w:rPr>
          <w:rFonts w:hint="eastAsia"/>
          <w:sz w:val="24"/>
        </w:rPr>
        <w:t>19</w:t>
      </w:r>
      <w:r w:rsidRPr="002B55E9">
        <w:rPr>
          <w:rFonts w:hint="eastAsia"/>
          <w:sz w:val="24"/>
        </w:rPr>
        <w:t>日</w:t>
      </w:r>
      <w:r w:rsidRPr="002B55E9">
        <w:rPr>
          <w:sz w:val="24"/>
        </w:rPr>
        <w:t>实施</w:t>
      </w:r>
      <w:r w:rsidRPr="002B55E9">
        <w:rPr>
          <w:rFonts w:hint="eastAsia"/>
          <w:sz w:val="24"/>
        </w:rPr>
        <w:t>；</w:t>
      </w:r>
    </w:p>
    <w:p w14:paraId="406AF7E7"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0</w:t>
      </w:r>
      <w:r w:rsidRPr="002B55E9">
        <w:rPr>
          <w:rFonts w:hint="eastAsia"/>
          <w:sz w:val="24"/>
        </w:rPr>
        <w:t>）《排污单位自行监测技术指南</w:t>
      </w:r>
      <w:r w:rsidRPr="002B55E9">
        <w:rPr>
          <w:rFonts w:hint="eastAsia"/>
          <w:sz w:val="24"/>
        </w:rPr>
        <w:t xml:space="preserve"> </w:t>
      </w:r>
      <w:r w:rsidRPr="002B55E9">
        <w:rPr>
          <w:rFonts w:hint="eastAsia"/>
          <w:sz w:val="24"/>
        </w:rPr>
        <w:t>总则》（</w:t>
      </w:r>
      <w:r w:rsidRPr="002B55E9">
        <w:rPr>
          <w:rFonts w:hint="eastAsia"/>
          <w:sz w:val="24"/>
        </w:rPr>
        <w:t>HJ819-2017</w:t>
      </w:r>
      <w:r w:rsidRPr="002B55E9">
        <w:rPr>
          <w:rFonts w:hint="eastAsia"/>
          <w:sz w:val="24"/>
        </w:rPr>
        <w:t>），</w:t>
      </w:r>
      <w:r w:rsidRPr="002B55E9">
        <w:rPr>
          <w:rFonts w:hint="eastAsia"/>
          <w:sz w:val="24"/>
        </w:rPr>
        <w:t>2017</w:t>
      </w:r>
      <w:r w:rsidRPr="002B55E9">
        <w:rPr>
          <w:rFonts w:hint="eastAsia"/>
          <w:sz w:val="24"/>
        </w:rPr>
        <w:t>年</w:t>
      </w:r>
      <w:r w:rsidRPr="002B55E9">
        <w:rPr>
          <w:rFonts w:hint="eastAsia"/>
          <w:sz w:val="24"/>
        </w:rPr>
        <w:t>6</w:t>
      </w:r>
      <w:r w:rsidRPr="002B55E9">
        <w:rPr>
          <w:rFonts w:hint="eastAsia"/>
          <w:sz w:val="24"/>
        </w:rPr>
        <w:t>月</w:t>
      </w:r>
      <w:r w:rsidRPr="002B55E9">
        <w:rPr>
          <w:rFonts w:hint="eastAsia"/>
          <w:sz w:val="24"/>
        </w:rPr>
        <w:t>1</w:t>
      </w:r>
      <w:r w:rsidRPr="002B55E9">
        <w:rPr>
          <w:rFonts w:hint="eastAsia"/>
          <w:sz w:val="24"/>
        </w:rPr>
        <w:t>日</w:t>
      </w:r>
      <w:r w:rsidRPr="002B55E9">
        <w:rPr>
          <w:sz w:val="24"/>
        </w:rPr>
        <w:t>实施</w:t>
      </w:r>
      <w:r w:rsidRPr="002B55E9">
        <w:rPr>
          <w:rFonts w:hint="eastAsia"/>
          <w:sz w:val="24"/>
        </w:rPr>
        <w:t>；</w:t>
      </w:r>
    </w:p>
    <w:p w14:paraId="62B51DA0"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1</w:t>
      </w:r>
      <w:r w:rsidRPr="002B55E9">
        <w:rPr>
          <w:rFonts w:hint="eastAsia"/>
          <w:sz w:val="24"/>
        </w:rPr>
        <w:t>）《排污单位自行监测技术指南</w:t>
      </w:r>
      <w:r w:rsidRPr="002B55E9">
        <w:rPr>
          <w:rFonts w:hint="eastAsia"/>
          <w:sz w:val="24"/>
        </w:rPr>
        <w:t xml:space="preserve"> </w:t>
      </w:r>
      <w:r w:rsidRPr="002B55E9">
        <w:rPr>
          <w:rFonts w:hint="eastAsia"/>
          <w:sz w:val="24"/>
        </w:rPr>
        <w:t>食品制造》（</w:t>
      </w:r>
      <w:r w:rsidRPr="002B55E9">
        <w:rPr>
          <w:rFonts w:hint="eastAsia"/>
          <w:sz w:val="24"/>
        </w:rPr>
        <w:t>H</w:t>
      </w:r>
      <w:r w:rsidRPr="002B55E9">
        <w:rPr>
          <w:sz w:val="24"/>
        </w:rPr>
        <w:t>J1084-2020</w:t>
      </w:r>
      <w:r w:rsidRPr="002B55E9">
        <w:rPr>
          <w:rFonts w:hint="eastAsia"/>
          <w:sz w:val="24"/>
        </w:rPr>
        <w:t>），</w:t>
      </w:r>
      <w:r w:rsidRPr="002B55E9">
        <w:rPr>
          <w:rFonts w:hint="eastAsia"/>
          <w:sz w:val="24"/>
        </w:rPr>
        <w:t>2020</w:t>
      </w:r>
      <w:r w:rsidRPr="002B55E9">
        <w:rPr>
          <w:rFonts w:hint="eastAsia"/>
          <w:sz w:val="24"/>
        </w:rPr>
        <w:t>年</w:t>
      </w:r>
      <w:r w:rsidRPr="002B55E9">
        <w:rPr>
          <w:rFonts w:hint="eastAsia"/>
          <w:sz w:val="24"/>
        </w:rPr>
        <w:t>4</w:t>
      </w:r>
      <w:r w:rsidRPr="002B55E9">
        <w:rPr>
          <w:rFonts w:hint="eastAsia"/>
          <w:sz w:val="24"/>
        </w:rPr>
        <w:t>月</w:t>
      </w:r>
      <w:r w:rsidRPr="002B55E9">
        <w:rPr>
          <w:rFonts w:hint="eastAsia"/>
          <w:sz w:val="24"/>
        </w:rPr>
        <w:t>1</w:t>
      </w:r>
      <w:r w:rsidRPr="002B55E9">
        <w:rPr>
          <w:rFonts w:hint="eastAsia"/>
          <w:sz w:val="24"/>
        </w:rPr>
        <w:t>日</w:t>
      </w:r>
      <w:r w:rsidRPr="002B55E9">
        <w:rPr>
          <w:sz w:val="24"/>
        </w:rPr>
        <w:t>实施</w:t>
      </w:r>
      <w:r w:rsidRPr="002B55E9">
        <w:rPr>
          <w:rFonts w:hint="eastAsia"/>
          <w:sz w:val="24"/>
        </w:rPr>
        <w:t>；</w:t>
      </w:r>
    </w:p>
    <w:p w14:paraId="593E729E" w14:textId="77777777" w:rsidR="00D170E5" w:rsidRPr="002B55E9" w:rsidRDefault="00EF27AD">
      <w:pPr>
        <w:adjustRightInd w:val="0"/>
        <w:snapToGrid w:val="0"/>
        <w:spacing w:line="360" w:lineRule="auto"/>
        <w:ind w:firstLineChars="200" w:firstLine="480"/>
        <w:rPr>
          <w:sz w:val="24"/>
        </w:rPr>
      </w:pPr>
      <w:r w:rsidRPr="002B55E9">
        <w:rPr>
          <w:rFonts w:hint="eastAsia"/>
          <w:sz w:val="24"/>
        </w:rPr>
        <w:t>（</w:t>
      </w:r>
      <w:r w:rsidRPr="002B55E9">
        <w:rPr>
          <w:rFonts w:hint="eastAsia"/>
          <w:sz w:val="24"/>
        </w:rPr>
        <w:t>1</w:t>
      </w:r>
      <w:r w:rsidRPr="002B55E9">
        <w:rPr>
          <w:sz w:val="24"/>
        </w:rPr>
        <w:t>2</w:t>
      </w:r>
      <w:r w:rsidRPr="002B55E9">
        <w:rPr>
          <w:rFonts w:hint="eastAsia"/>
          <w:sz w:val="24"/>
        </w:rPr>
        <w:t>）《建设项目危险废物环境影响评价指南》（</w:t>
      </w:r>
      <w:r w:rsidRPr="002B55E9">
        <w:rPr>
          <w:rFonts w:hint="eastAsia"/>
          <w:sz w:val="24"/>
        </w:rPr>
        <w:t>2017</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1</w:t>
      </w:r>
      <w:r w:rsidRPr="002B55E9">
        <w:rPr>
          <w:rFonts w:hint="eastAsia"/>
          <w:sz w:val="24"/>
        </w:rPr>
        <w:t>日起实施）。</w:t>
      </w:r>
    </w:p>
    <w:p w14:paraId="4BBFFC07" w14:textId="77777777" w:rsidR="00D170E5" w:rsidRPr="002B55E9" w:rsidRDefault="00EF27AD">
      <w:pPr>
        <w:pStyle w:val="4"/>
        <w:rPr>
          <w:color w:val="auto"/>
        </w:rPr>
      </w:pPr>
      <w:bookmarkStart w:id="83" w:name="_Toc169616159"/>
      <w:r w:rsidRPr="002B55E9">
        <w:rPr>
          <w:color w:val="auto"/>
        </w:rPr>
        <w:t>委托文件</w:t>
      </w:r>
      <w:r w:rsidRPr="002B55E9">
        <w:rPr>
          <w:rFonts w:hint="eastAsia"/>
          <w:color w:val="auto"/>
        </w:rPr>
        <w:t>及工程资料</w:t>
      </w:r>
    </w:p>
    <w:p w14:paraId="1F347036" w14:textId="77777777" w:rsidR="00D170E5" w:rsidRPr="002B55E9" w:rsidRDefault="00EF27AD">
      <w:pPr>
        <w:pStyle w:val="affff7"/>
      </w:pPr>
      <w:r w:rsidRPr="002B55E9">
        <w:rPr>
          <w:rFonts w:hint="eastAsia"/>
        </w:rPr>
        <w:t>（</w:t>
      </w:r>
      <w:r w:rsidRPr="002B55E9">
        <w:rPr>
          <w:rFonts w:hint="eastAsia"/>
        </w:rPr>
        <w:t>1</w:t>
      </w:r>
      <w:r w:rsidRPr="002B55E9">
        <w:rPr>
          <w:rFonts w:hint="eastAsia"/>
        </w:rPr>
        <w:t>）海天醋酒建设项目（一期）</w:t>
      </w:r>
      <w:r w:rsidRPr="002B55E9">
        <w:t>环境影响评价委托书（见附件</w:t>
      </w:r>
      <w:r w:rsidRPr="002B55E9">
        <w:t>1</w:t>
      </w:r>
      <w:r w:rsidRPr="002B55E9">
        <w:t>）</w:t>
      </w:r>
      <w:r w:rsidRPr="002B55E9">
        <w:rPr>
          <w:rFonts w:hint="eastAsia"/>
        </w:rPr>
        <w:t>；</w:t>
      </w:r>
    </w:p>
    <w:p w14:paraId="39C18F06" w14:textId="77777777" w:rsidR="00D170E5" w:rsidRPr="002B55E9" w:rsidRDefault="00EF27AD">
      <w:pPr>
        <w:pStyle w:val="affff7"/>
      </w:pPr>
      <w:r w:rsidRPr="002B55E9">
        <w:rPr>
          <w:rFonts w:hint="eastAsia"/>
        </w:rPr>
        <w:t>（</w:t>
      </w:r>
      <w:r w:rsidRPr="002B55E9">
        <w:t>2</w:t>
      </w:r>
      <w:r w:rsidRPr="002B55E9">
        <w:rPr>
          <w:rFonts w:hint="eastAsia"/>
        </w:rPr>
        <w:t>）海天醋业（武汉）有限公司提供的其它资料。</w:t>
      </w:r>
    </w:p>
    <w:p w14:paraId="5198B6FD" w14:textId="77777777" w:rsidR="00D170E5" w:rsidRPr="002B55E9" w:rsidRDefault="00EF27AD">
      <w:pPr>
        <w:pStyle w:val="3"/>
      </w:pPr>
      <w:bookmarkStart w:id="84" w:name="_Toc247186163"/>
      <w:bookmarkStart w:id="85" w:name="_Toc119308971"/>
      <w:bookmarkStart w:id="86" w:name="_Toc124238081"/>
      <w:bookmarkStart w:id="87" w:name="_Toc169616161"/>
      <w:bookmarkStart w:id="88" w:name="_Toc121711620"/>
      <w:bookmarkEnd w:id="83"/>
      <w:r w:rsidRPr="002B55E9">
        <w:t>评价工作原则和方法</w:t>
      </w:r>
      <w:bookmarkEnd w:id="84"/>
      <w:bookmarkEnd w:id="85"/>
    </w:p>
    <w:p w14:paraId="6AB0F1A2" w14:textId="77777777" w:rsidR="00D170E5" w:rsidRPr="002B55E9" w:rsidRDefault="00EF27AD">
      <w:pPr>
        <w:pStyle w:val="4"/>
        <w:rPr>
          <w:color w:val="auto"/>
        </w:rPr>
      </w:pPr>
      <w:bookmarkStart w:id="89" w:name="_Toc169616162"/>
      <w:r w:rsidRPr="002B55E9">
        <w:rPr>
          <w:color w:val="auto"/>
        </w:rPr>
        <w:t>评价工作原则</w:t>
      </w:r>
      <w:bookmarkEnd w:id="89"/>
    </w:p>
    <w:p w14:paraId="2132B902" w14:textId="77777777" w:rsidR="00D170E5" w:rsidRPr="002B55E9" w:rsidRDefault="00EF27AD">
      <w:pPr>
        <w:pStyle w:val="affff7"/>
        <w:snapToGrid w:val="0"/>
        <w:spacing w:after="0"/>
      </w:pPr>
      <w:bookmarkStart w:id="90" w:name="_Toc169616163"/>
      <w:r w:rsidRPr="002B55E9">
        <w:t>突出环境影响评价的源头预防作用，坚持保护和改善环境质量。</w:t>
      </w:r>
    </w:p>
    <w:p w14:paraId="31F03D72" w14:textId="77777777" w:rsidR="00D170E5" w:rsidRPr="002B55E9" w:rsidRDefault="00EF27AD">
      <w:pPr>
        <w:pStyle w:val="affff7"/>
        <w:snapToGrid w:val="0"/>
        <w:spacing w:after="0"/>
      </w:pPr>
      <w:r w:rsidRPr="002B55E9">
        <w:t>（</w:t>
      </w:r>
      <w:r w:rsidRPr="002B55E9">
        <w:t>1</w:t>
      </w:r>
      <w:r w:rsidRPr="002B55E9">
        <w:t>）依法评价</w:t>
      </w:r>
    </w:p>
    <w:p w14:paraId="68720F56" w14:textId="77777777" w:rsidR="00D170E5" w:rsidRPr="002B55E9" w:rsidRDefault="00EF27AD">
      <w:pPr>
        <w:pStyle w:val="affff7"/>
        <w:snapToGrid w:val="0"/>
        <w:spacing w:after="0"/>
      </w:pPr>
      <w:r w:rsidRPr="002B55E9">
        <w:t>贯彻执行我国环境保护相关法律法规、标准、政策和规划等，优化项目建设，服务环境管理。</w:t>
      </w:r>
    </w:p>
    <w:p w14:paraId="7AC336AC" w14:textId="77777777" w:rsidR="00D170E5" w:rsidRPr="002B55E9" w:rsidRDefault="00EF27AD">
      <w:pPr>
        <w:pStyle w:val="affff7"/>
        <w:snapToGrid w:val="0"/>
        <w:spacing w:after="0"/>
      </w:pPr>
      <w:r w:rsidRPr="002B55E9">
        <w:lastRenderedPageBreak/>
        <w:t>（</w:t>
      </w:r>
      <w:r w:rsidRPr="002B55E9">
        <w:t>2</w:t>
      </w:r>
      <w:r w:rsidRPr="002B55E9">
        <w:t>）科学评价</w:t>
      </w:r>
    </w:p>
    <w:p w14:paraId="2E155BEC" w14:textId="77777777" w:rsidR="00D170E5" w:rsidRPr="002B55E9" w:rsidRDefault="00EF27AD">
      <w:pPr>
        <w:pStyle w:val="affff7"/>
        <w:snapToGrid w:val="0"/>
        <w:spacing w:after="0"/>
      </w:pPr>
      <w:r w:rsidRPr="002B55E9">
        <w:t>规范环境影响评价方法，科学分析项目建设对环境质量的影响。</w:t>
      </w:r>
    </w:p>
    <w:p w14:paraId="047434E5" w14:textId="77777777" w:rsidR="00D170E5" w:rsidRPr="002B55E9" w:rsidRDefault="00EF27AD">
      <w:pPr>
        <w:pStyle w:val="affff7"/>
        <w:snapToGrid w:val="0"/>
        <w:spacing w:after="0"/>
      </w:pPr>
      <w:r w:rsidRPr="002B55E9">
        <w:t>（</w:t>
      </w:r>
      <w:r w:rsidRPr="002B55E9">
        <w:t>3</w:t>
      </w:r>
      <w:r w:rsidRPr="002B55E9">
        <w:t>）突出重点</w:t>
      </w:r>
    </w:p>
    <w:p w14:paraId="791DE598" w14:textId="77777777" w:rsidR="00D170E5" w:rsidRPr="002B55E9" w:rsidRDefault="00EF27AD">
      <w:pPr>
        <w:pStyle w:val="affff7"/>
        <w:snapToGrid w:val="0"/>
        <w:spacing w:after="0"/>
      </w:pPr>
      <w:r w:rsidRPr="002B55E9">
        <w:t>根据建设项目的工程内容及其特点，明确与环境要素间的作用效应关系，根据规划环境影响评价结论和审查意见，充分利用符合时效的数据资料及成果，对建设项目主要环境影响予以重点分析和评价。</w:t>
      </w:r>
    </w:p>
    <w:p w14:paraId="0AFDDF19" w14:textId="77777777" w:rsidR="00D170E5" w:rsidRPr="002B55E9" w:rsidRDefault="00EF27AD">
      <w:pPr>
        <w:pStyle w:val="4"/>
        <w:rPr>
          <w:color w:val="auto"/>
        </w:rPr>
      </w:pPr>
      <w:r w:rsidRPr="002B55E9">
        <w:rPr>
          <w:color w:val="auto"/>
        </w:rPr>
        <w:t>评价方法</w:t>
      </w:r>
      <w:bookmarkEnd w:id="90"/>
    </w:p>
    <w:p w14:paraId="486484B1" w14:textId="77777777" w:rsidR="00D170E5" w:rsidRPr="002B55E9" w:rsidRDefault="00EF27AD">
      <w:pPr>
        <w:pStyle w:val="affff7"/>
      </w:pPr>
      <w:r w:rsidRPr="002B55E9">
        <w:t>（</w:t>
      </w:r>
      <w:r w:rsidRPr="002B55E9">
        <w:t>1</w:t>
      </w:r>
      <w:r w:rsidRPr="002B55E9">
        <w:t>）环境质量现状评价采用现状实测和资料调查法；</w:t>
      </w:r>
    </w:p>
    <w:p w14:paraId="5343667F" w14:textId="77777777" w:rsidR="00D170E5" w:rsidRPr="002B55E9" w:rsidRDefault="00EF27AD">
      <w:pPr>
        <w:pStyle w:val="affff7"/>
      </w:pPr>
      <w:r w:rsidRPr="002B55E9">
        <w:t>（</w:t>
      </w:r>
      <w:r w:rsidRPr="002B55E9">
        <w:t>2</w:t>
      </w:r>
      <w:r w:rsidRPr="002B55E9">
        <w:t>）工程分析采用类比调查和物料衡算法等；</w:t>
      </w:r>
    </w:p>
    <w:p w14:paraId="5BBFFB10" w14:textId="77777777" w:rsidR="00D170E5" w:rsidRPr="002B55E9" w:rsidRDefault="00EF27AD">
      <w:pPr>
        <w:pStyle w:val="affff7"/>
      </w:pPr>
      <w:r w:rsidRPr="002B55E9">
        <w:t>（</w:t>
      </w:r>
      <w:r w:rsidRPr="002B55E9">
        <w:t>3</w:t>
      </w:r>
      <w:r w:rsidRPr="002B55E9">
        <w:t>）地下水环境、大气环境影响、环境噪声影响等采用模型预测法；</w:t>
      </w:r>
    </w:p>
    <w:p w14:paraId="6F0F8859" w14:textId="77777777" w:rsidR="00D170E5" w:rsidRPr="002B55E9" w:rsidRDefault="00EF27AD">
      <w:pPr>
        <w:pStyle w:val="affff7"/>
      </w:pPr>
      <w:r w:rsidRPr="002B55E9">
        <w:t>（</w:t>
      </w:r>
      <w:r w:rsidRPr="002B55E9">
        <w:t>4</w:t>
      </w:r>
      <w:r w:rsidRPr="002B55E9">
        <w:t>）设置合理的评价专题，将建设项目大气和水污染防治措施分析、环境风险评价等专题列为重点评价专题；</w:t>
      </w:r>
    </w:p>
    <w:p w14:paraId="41EEC1FB" w14:textId="77777777" w:rsidR="00D170E5" w:rsidRPr="002B55E9" w:rsidRDefault="00EF27AD">
      <w:pPr>
        <w:pStyle w:val="affff7"/>
      </w:pPr>
      <w:r w:rsidRPr="002B55E9">
        <w:t>（</w:t>
      </w:r>
      <w:r w:rsidRPr="002B55E9">
        <w:t>5</w:t>
      </w:r>
      <w:r w:rsidRPr="002B55E9">
        <w:t>）事故风险采用类比调查、风险概率分析方法，事故泄漏排放源强采用理论计算法和类比估算法。</w:t>
      </w:r>
    </w:p>
    <w:p w14:paraId="7F949990" w14:textId="77777777" w:rsidR="00D170E5" w:rsidRPr="002B55E9" w:rsidRDefault="00EF27AD">
      <w:pPr>
        <w:pStyle w:val="3"/>
      </w:pPr>
      <w:bookmarkStart w:id="91" w:name="_Toc121711621"/>
      <w:bookmarkStart w:id="92" w:name="_Toc124238082"/>
      <w:bookmarkStart w:id="93" w:name="_Toc169616164"/>
      <w:bookmarkStart w:id="94" w:name="_Toc119308972"/>
      <w:bookmarkStart w:id="95" w:name="_Toc104708222"/>
      <w:bookmarkStart w:id="96" w:name="_Toc104708370"/>
      <w:bookmarkEnd w:id="86"/>
      <w:bookmarkEnd w:id="87"/>
      <w:bookmarkEnd w:id="88"/>
      <w:r w:rsidRPr="002B55E9">
        <w:t>功能区划与环境保护目标</w:t>
      </w:r>
      <w:bookmarkEnd w:id="91"/>
      <w:bookmarkEnd w:id="92"/>
      <w:bookmarkEnd w:id="93"/>
      <w:bookmarkEnd w:id="94"/>
    </w:p>
    <w:p w14:paraId="02D43249" w14:textId="77777777" w:rsidR="00D170E5" w:rsidRPr="002B55E9" w:rsidRDefault="00EF27AD">
      <w:pPr>
        <w:pStyle w:val="4"/>
        <w:rPr>
          <w:color w:val="auto"/>
        </w:rPr>
      </w:pPr>
      <w:bookmarkStart w:id="97" w:name="_Toc169616165"/>
      <w:r w:rsidRPr="002B55E9">
        <w:rPr>
          <w:color w:val="auto"/>
        </w:rPr>
        <w:t>功能区划</w:t>
      </w:r>
      <w:bookmarkEnd w:id="97"/>
    </w:p>
    <w:p w14:paraId="2199CF7F" w14:textId="77777777" w:rsidR="00D170E5" w:rsidRPr="002B55E9" w:rsidRDefault="00EF27AD">
      <w:pPr>
        <w:pStyle w:val="affff7"/>
        <w:snapToGrid w:val="0"/>
        <w:spacing w:after="0"/>
      </w:pPr>
      <w:bookmarkStart w:id="98" w:name="_Toc169616166"/>
      <w:r w:rsidRPr="002B55E9">
        <w:rPr>
          <w:rFonts w:hint="eastAsia"/>
        </w:rPr>
        <w:t>（</w:t>
      </w:r>
      <w:r w:rsidRPr="002B55E9">
        <w:rPr>
          <w:rFonts w:hint="eastAsia"/>
        </w:rPr>
        <w:t>1</w:t>
      </w:r>
      <w:r w:rsidRPr="002B55E9">
        <w:rPr>
          <w:rFonts w:hint="eastAsia"/>
        </w:rPr>
        <w:t>）环境空气</w:t>
      </w:r>
    </w:p>
    <w:p w14:paraId="24B9FEBA" w14:textId="77777777" w:rsidR="00D170E5" w:rsidRPr="002B55E9" w:rsidRDefault="00EF27AD">
      <w:pPr>
        <w:pStyle w:val="affff7"/>
        <w:snapToGrid w:val="0"/>
        <w:spacing w:after="0"/>
      </w:pPr>
      <w:r w:rsidRPr="002B55E9">
        <w:rPr>
          <w:rFonts w:hint="eastAsia"/>
        </w:rPr>
        <w:t>项目位于武汉市东西湖区新沟镇街食品医疗用地板块内，根据武政办</w:t>
      </w:r>
      <w:r w:rsidRPr="002B55E9">
        <w:rPr>
          <w:rFonts w:hint="eastAsia"/>
        </w:rPr>
        <w:t>[2013]129</w:t>
      </w:r>
      <w:r w:rsidRPr="002B55E9">
        <w:rPr>
          <w:rFonts w:hint="eastAsia"/>
        </w:rPr>
        <w:t>号《市人民政府办公厅关于转发武汉市环境空气质量功能区类别规定的通知》，项目所在区域环境空气功能区划为二类区。</w:t>
      </w:r>
    </w:p>
    <w:p w14:paraId="0E6DE9E9" w14:textId="77777777" w:rsidR="00D170E5" w:rsidRPr="002B55E9" w:rsidRDefault="00EF27AD">
      <w:pPr>
        <w:pStyle w:val="affff7"/>
        <w:snapToGrid w:val="0"/>
        <w:spacing w:after="0"/>
      </w:pPr>
      <w:r w:rsidRPr="002B55E9">
        <w:rPr>
          <w:rFonts w:hint="eastAsia"/>
        </w:rPr>
        <w:t>（</w:t>
      </w:r>
      <w:r w:rsidRPr="002B55E9">
        <w:rPr>
          <w:rFonts w:hint="eastAsia"/>
        </w:rPr>
        <w:t>2</w:t>
      </w:r>
      <w:r w:rsidRPr="002B55E9">
        <w:rPr>
          <w:rFonts w:hint="eastAsia"/>
        </w:rPr>
        <w:t>）地表水环境</w:t>
      </w:r>
    </w:p>
    <w:p w14:paraId="29B335EF" w14:textId="77777777" w:rsidR="00D170E5" w:rsidRPr="002B55E9" w:rsidRDefault="00EF27AD">
      <w:pPr>
        <w:pStyle w:val="affff7"/>
        <w:snapToGrid w:val="0"/>
        <w:spacing w:after="0"/>
      </w:pPr>
      <w:r w:rsidRPr="002B55E9">
        <w:rPr>
          <w:rFonts w:hint="eastAsia"/>
        </w:rPr>
        <w:t>项目最终纳污水体为府河（黄花涝</w:t>
      </w:r>
      <w:r w:rsidRPr="002B55E9">
        <w:rPr>
          <w:rFonts w:hint="eastAsia"/>
        </w:rPr>
        <w:t>~</w:t>
      </w:r>
      <w:r w:rsidRPr="002B55E9">
        <w:rPr>
          <w:rFonts w:hint="eastAsia"/>
        </w:rPr>
        <w:t>入江段），根据鄂政办函</w:t>
      </w:r>
      <w:r w:rsidRPr="002B55E9">
        <w:rPr>
          <w:rFonts w:hint="eastAsia"/>
        </w:rPr>
        <w:t>[2000]74</w:t>
      </w:r>
      <w:r w:rsidRPr="002B55E9">
        <w:rPr>
          <w:rFonts w:hint="eastAsia"/>
        </w:rPr>
        <w:t>号《省人民政府办公厅关于武汉市地表水环境功能类别和集中式地表水饮用水水源保护区级别规定有关问题的批复》，府河（黄花涝</w:t>
      </w:r>
      <w:r w:rsidRPr="002B55E9">
        <w:rPr>
          <w:rFonts w:hint="eastAsia"/>
        </w:rPr>
        <w:t>~</w:t>
      </w:r>
      <w:r w:rsidRPr="002B55E9">
        <w:rPr>
          <w:rFonts w:hint="eastAsia"/>
        </w:rPr>
        <w:t>入江段）属地表水</w:t>
      </w:r>
      <w:r w:rsidRPr="002B55E9">
        <w:rPr>
          <w:rFonts w:ascii="宋体" w:hAnsi="宋体" w:hint="eastAsia"/>
        </w:rPr>
        <w:t>Ⅴ</w:t>
      </w:r>
      <w:r w:rsidRPr="002B55E9">
        <w:rPr>
          <w:rFonts w:hint="eastAsia"/>
        </w:rPr>
        <w:t>类水体。</w:t>
      </w:r>
    </w:p>
    <w:p w14:paraId="5B28E4B2" w14:textId="77777777" w:rsidR="00D170E5" w:rsidRPr="002B55E9" w:rsidRDefault="00EF27AD">
      <w:pPr>
        <w:pStyle w:val="affff7"/>
        <w:snapToGrid w:val="0"/>
        <w:spacing w:after="0"/>
      </w:pPr>
      <w:r w:rsidRPr="002B55E9">
        <w:rPr>
          <w:rFonts w:hint="eastAsia"/>
        </w:rPr>
        <w:t>（</w:t>
      </w:r>
      <w:r w:rsidRPr="002B55E9">
        <w:rPr>
          <w:rFonts w:hint="eastAsia"/>
        </w:rPr>
        <w:t>3</w:t>
      </w:r>
      <w:r w:rsidRPr="002B55E9">
        <w:rPr>
          <w:rFonts w:hint="eastAsia"/>
        </w:rPr>
        <w:t>）声环境</w:t>
      </w:r>
    </w:p>
    <w:p w14:paraId="4ADA5675" w14:textId="77777777" w:rsidR="00D170E5" w:rsidRPr="002B55E9" w:rsidRDefault="00EF27AD">
      <w:pPr>
        <w:pStyle w:val="affff7"/>
        <w:snapToGrid w:val="0"/>
        <w:spacing w:after="0"/>
      </w:pPr>
      <w:r w:rsidRPr="002B55E9">
        <w:rPr>
          <w:rFonts w:hint="eastAsia"/>
        </w:rPr>
        <w:t>根据《市人民政府办公厅关于印发武汉市声环境功能区类别规定的通知》（武政办</w:t>
      </w:r>
      <w:r w:rsidRPr="002B55E9">
        <w:rPr>
          <w:rFonts w:hint="eastAsia"/>
        </w:rPr>
        <w:t>[2019]12</w:t>
      </w:r>
      <w:r w:rsidRPr="002B55E9">
        <w:rPr>
          <w:rFonts w:hint="eastAsia"/>
        </w:rPr>
        <w:t>号），项目所在区域划为声环境</w:t>
      </w:r>
      <w:r w:rsidRPr="002B55E9">
        <w:t>功能</w:t>
      </w:r>
      <w:r w:rsidRPr="002B55E9">
        <w:rPr>
          <w:rFonts w:hint="eastAsia"/>
        </w:rPr>
        <w:t>2</w:t>
      </w:r>
      <w:r w:rsidRPr="002B55E9">
        <w:rPr>
          <w:rFonts w:hint="eastAsia"/>
        </w:rPr>
        <w:t>类区，厂界东侧临近革新大道（城市主干路）</w:t>
      </w:r>
      <w:r w:rsidRPr="002B55E9">
        <w:rPr>
          <w:rFonts w:hint="eastAsia"/>
        </w:rPr>
        <w:t>40m</w:t>
      </w:r>
      <w:r w:rsidRPr="002B55E9">
        <w:rPr>
          <w:rFonts w:hint="eastAsia"/>
        </w:rPr>
        <w:t>范围内</w:t>
      </w:r>
      <w:r w:rsidRPr="002B55E9">
        <w:t>划分为</w:t>
      </w:r>
      <w:r w:rsidRPr="002B55E9">
        <w:rPr>
          <w:rFonts w:hint="eastAsia"/>
        </w:rPr>
        <w:t>4</w:t>
      </w:r>
      <w:r w:rsidRPr="002B55E9">
        <w:t>a</w:t>
      </w:r>
      <w:r w:rsidRPr="002B55E9">
        <w:t>类声环境功能区</w:t>
      </w:r>
      <w:r w:rsidRPr="002B55E9">
        <w:rPr>
          <w:rFonts w:hint="eastAsia"/>
        </w:rPr>
        <w:t>。</w:t>
      </w:r>
    </w:p>
    <w:p w14:paraId="35339F85" w14:textId="77777777" w:rsidR="00D170E5" w:rsidRPr="002B55E9" w:rsidRDefault="00EF27AD">
      <w:pPr>
        <w:pStyle w:val="affff7"/>
        <w:snapToGrid w:val="0"/>
        <w:spacing w:after="0"/>
      </w:pPr>
      <w:r w:rsidRPr="002B55E9">
        <w:rPr>
          <w:rFonts w:hint="eastAsia"/>
        </w:rPr>
        <w:t>（</w:t>
      </w:r>
      <w:r w:rsidRPr="002B55E9">
        <w:t>4</w:t>
      </w:r>
      <w:r w:rsidRPr="002B55E9">
        <w:rPr>
          <w:rFonts w:hint="eastAsia"/>
        </w:rPr>
        <w:t>）地下水</w:t>
      </w:r>
    </w:p>
    <w:p w14:paraId="187B8311" w14:textId="77777777" w:rsidR="00D170E5" w:rsidRPr="002B55E9" w:rsidRDefault="00EF27AD">
      <w:pPr>
        <w:pStyle w:val="affff7"/>
        <w:snapToGrid w:val="0"/>
        <w:spacing w:after="0"/>
      </w:pPr>
      <w:r w:rsidRPr="002B55E9">
        <w:rPr>
          <w:rFonts w:hint="eastAsia"/>
        </w:rPr>
        <w:lastRenderedPageBreak/>
        <w:t>根据《新沟镇</w:t>
      </w:r>
      <w:r w:rsidRPr="002B55E9">
        <w:t>食品医药用地板块总体规划环境影响报告书</w:t>
      </w:r>
      <w:r w:rsidRPr="002B55E9">
        <w:rPr>
          <w:rFonts w:hint="eastAsia"/>
        </w:rPr>
        <w:t>》及其审查意见中环境功能区划可知，，拟建项目所在区域地下水质量类别为</w:t>
      </w:r>
      <w:r w:rsidRPr="002B55E9">
        <w:rPr>
          <w:rFonts w:ascii="宋体" w:hAnsi="宋体" w:hint="eastAsia"/>
        </w:rPr>
        <w:t>Ⅳ</w:t>
      </w:r>
      <w:r w:rsidRPr="002B55E9">
        <w:rPr>
          <w:rFonts w:hint="eastAsia"/>
        </w:rPr>
        <w:t>类。</w:t>
      </w:r>
    </w:p>
    <w:p w14:paraId="555FDD2B" w14:textId="77777777" w:rsidR="00D170E5" w:rsidRPr="002B55E9" w:rsidRDefault="00EF27AD">
      <w:pPr>
        <w:pStyle w:val="affff7"/>
        <w:snapToGrid w:val="0"/>
        <w:spacing w:after="0"/>
      </w:pPr>
      <w:r w:rsidRPr="002B55E9">
        <w:rPr>
          <w:rFonts w:hint="eastAsia"/>
        </w:rPr>
        <w:t>（</w:t>
      </w:r>
      <w:r w:rsidRPr="002B55E9">
        <w:rPr>
          <w:rFonts w:hint="eastAsia"/>
        </w:rPr>
        <w:t>5</w:t>
      </w:r>
      <w:r w:rsidRPr="002B55E9">
        <w:rPr>
          <w:rFonts w:hint="eastAsia"/>
        </w:rPr>
        <w:t>）土壤</w:t>
      </w:r>
    </w:p>
    <w:p w14:paraId="59B4AB16" w14:textId="77777777" w:rsidR="00D170E5" w:rsidRPr="002B55E9" w:rsidRDefault="00EF27AD">
      <w:pPr>
        <w:pStyle w:val="affff7"/>
        <w:snapToGrid w:val="0"/>
        <w:spacing w:after="0"/>
      </w:pPr>
      <w:r w:rsidRPr="002B55E9">
        <w:rPr>
          <w:rFonts w:hint="eastAsia"/>
        </w:rPr>
        <w:t>项目所在区域属于《城市用地分类与规划建设用地标准》（</w:t>
      </w:r>
      <w:r w:rsidRPr="002B55E9">
        <w:rPr>
          <w:rFonts w:hint="eastAsia"/>
        </w:rPr>
        <w:t>GB50137</w:t>
      </w:r>
      <w:r w:rsidRPr="002B55E9">
        <w:rPr>
          <w:rFonts w:hint="eastAsia"/>
        </w:rPr>
        <w:t>）规定的城市建设用地中的工业用地，根据《土壤环境质量</w:t>
      </w:r>
      <w:r w:rsidRPr="002B55E9">
        <w:rPr>
          <w:rFonts w:hint="eastAsia"/>
        </w:rPr>
        <w:t xml:space="preserve"> </w:t>
      </w:r>
      <w:r w:rsidRPr="002B55E9">
        <w:rPr>
          <w:rFonts w:hint="eastAsia"/>
        </w:rPr>
        <w:t>建设用地土壤污染风险管控标准（试行）》（</w:t>
      </w:r>
      <w:r w:rsidRPr="002B55E9">
        <w:rPr>
          <w:rFonts w:hint="eastAsia"/>
        </w:rPr>
        <w:t>GB36600-2018</w:t>
      </w:r>
      <w:r w:rsidRPr="002B55E9">
        <w:rPr>
          <w:rFonts w:hint="eastAsia"/>
        </w:rPr>
        <w:t>）可知，拟建项目所在区域土壤环境质量执行第二类用地标准限值。</w:t>
      </w:r>
    </w:p>
    <w:p w14:paraId="03145D7D" w14:textId="77777777" w:rsidR="00D170E5" w:rsidRPr="002B55E9" w:rsidRDefault="00EF27AD">
      <w:pPr>
        <w:pStyle w:val="affff7"/>
        <w:snapToGrid w:val="0"/>
        <w:spacing w:after="0"/>
      </w:pPr>
      <w:r w:rsidRPr="002B55E9">
        <w:t>建设项目所在地环境功能区划见表</w:t>
      </w:r>
      <w:r w:rsidRPr="002B55E9">
        <w:t>1-</w:t>
      </w:r>
      <w:r w:rsidRPr="002B55E9">
        <w:rPr>
          <w:rFonts w:hint="eastAsia"/>
        </w:rPr>
        <w:t>4</w:t>
      </w:r>
      <w:r w:rsidRPr="002B55E9">
        <w:t>-1</w:t>
      </w:r>
      <w:r w:rsidRPr="002B55E9">
        <w:t>。</w:t>
      </w:r>
    </w:p>
    <w:p w14:paraId="3F532681" w14:textId="77777777" w:rsidR="00D170E5" w:rsidRPr="002B55E9" w:rsidRDefault="00EF27AD">
      <w:pPr>
        <w:pStyle w:val="1f3"/>
        <w:spacing w:beforeLines="0" w:before="0"/>
      </w:pPr>
      <w:r w:rsidRPr="002B55E9">
        <w:t>表</w:t>
      </w:r>
      <w:r w:rsidRPr="002B55E9">
        <w:t>1</w:t>
      </w:r>
      <w:r w:rsidRPr="002B55E9">
        <w:rPr>
          <w:rFonts w:hint="eastAsia"/>
        </w:rPr>
        <w:t>-</w:t>
      </w:r>
      <w:r w:rsidRPr="002B55E9">
        <w:t xml:space="preserve">4-1   </w:t>
      </w:r>
      <w:r w:rsidRPr="002B55E9">
        <w:t>项目所在地环境功能区划一览表</w:t>
      </w:r>
    </w:p>
    <w:tbl>
      <w:tblPr>
        <w:tblW w:w="962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8"/>
        <w:gridCol w:w="2845"/>
        <w:gridCol w:w="2847"/>
        <w:gridCol w:w="2845"/>
      </w:tblGrid>
      <w:tr w:rsidR="002B55E9" w:rsidRPr="002B55E9" w14:paraId="1192F21D" w14:textId="77777777">
        <w:trPr>
          <w:trHeight w:val="284"/>
          <w:jc w:val="center"/>
        </w:trPr>
        <w:tc>
          <w:tcPr>
            <w:tcW w:w="1088" w:type="dxa"/>
            <w:tcBorders>
              <w:top w:val="single" w:sz="12" w:space="0" w:color="auto"/>
              <w:bottom w:val="single" w:sz="12" w:space="0" w:color="auto"/>
            </w:tcBorders>
            <w:vAlign w:val="center"/>
          </w:tcPr>
          <w:p w14:paraId="73F8EF24" w14:textId="77777777" w:rsidR="00D170E5" w:rsidRPr="002B55E9" w:rsidRDefault="00EF27AD">
            <w:pPr>
              <w:pStyle w:val="affff6"/>
              <w:snapToGrid w:val="0"/>
              <w:spacing w:line="0" w:lineRule="atLeast"/>
            </w:pPr>
            <w:bookmarkStart w:id="99" w:name="_Hlk40175141"/>
            <w:r w:rsidRPr="002B55E9">
              <w:t>环境要素</w:t>
            </w:r>
          </w:p>
        </w:tc>
        <w:tc>
          <w:tcPr>
            <w:tcW w:w="2845" w:type="dxa"/>
            <w:tcBorders>
              <w:top w:val="single" w:sz="12" w:space="0" w:color="auto"/>
              <w:bottom w:val="single" w:sz="12" w:space="0" w:color="auto"/>
            </w:tcBorders>
            <w:vAlign w:val="center"/>
          </w:tcPr>
          <w:p w14:paraId="2FFB257A" w14:textId="77777777" w:rsidR="00D170E5" w:rsidRPr="002B55E9" w:rsidRDefault="00EF27AD">
            <w:pPr>
              <w:pStyle w:val="affff6"/>
              <w:snapToGrid w:val="0"/>
              <w:spacing w:line="0" w:lineRule="atLeast"/>
            </w:pPr>
            <w:r w:rsidRPr="002B55E9">
              <w:t>区域</w:t>
            </w:r>
          </w:p>
        </w:tc>
        <w:tc>
          <w:tcPr>
            <w:tcW w:w="2847" w:type="dxa"/>
            <w:tcBorders>
              <w:top w:val="single" w:sz="12" w:space="0" w:color="auto"/>
              <w:bottom w:val="single" w:sz="12" w:space="0" w:color="auto"/>
            </w:tcBorders>
            <w:vAlign w:val="center"/>
          </w:tcPr>
          <w:p w14:paraId="50D9744A" w14:textId="77777777" w:rsidR="00D170E5" w:rsidRPr="002B55E9" w:rsidRDefault="00EF27AD">
            <w:pPr>
              <w:pStyle w:val="affff6"/>
              <w:snapToGrid w:val="0"/>
              <w:spacing w:line="0" w:lineRule="atLeast"/>
            </w:pPr>
            <w:r w:rsidRPr="002B55E9">
              <w:t>功能</w:t>
            </w:r>
            <w:r w:rsidRPr="002B55E9">
              <w:rPr>
                <w:rFonts w:hint="eastAsia"/>
              </w:rPr>
              <w:t>/</w:t>
            </w:r>
            <w:r w:rsidRPr="002B55E9">
              <w:rPr>
                <w:rFonts w:hint="eastAsia"/>
              </w:rPr>
              <w:t>质量</w:t>
            </w:r>
            <w:r w:rsidRPr="002B55E9">
              <w:t>类别</w:t>
            </w:r>
          </w:p>
        </w:tc>
        <w:tc>
          <w:tcPr>
            <w:tcW w:w="2845" w:type="dxa"/>
            <w:tcBorders>
              <w:top w:val="single" w:sz="12" w:space="0" w:color="auto"/>
              <w:bottom w:val="single" w:sz="12" w:space="0" w:color="auto"/>
            </w:tcBorders>
            <w:vAlign w:val="center"/>
          </w:tcPr>
          <w:p w14:paraId="414F12D9" w14:textId="77777777" w:rsidR="00D170E5" w:rsidRPr="002B55E9" w:rsidRDefault="00EF27AD">
            <w:pPr>
              <w:pStyle w:val="affff6"/>
              <w:spacing w:line="0" w:lineRule="atLeast"/>
            </w:pPr>
            <w:r w:rsidRPr="002B55E9">
              <w:t>依据</w:t>
            </w:r>
          </w:p>
        </w:tc>
      </w:tr>
      <w:tr w:rsidR="002B55E9" w:rsidRPr="002B55E9" w14:paraId="78789A73" w14:textId="77777777">
        <w:trPr>
          <w:trHeight w:val="284"/>
          <w:jc w:val="center"/>
        </w:trPr>
        <w:tc>
          <w:tcPr>
            <w:tcW w:w="1088" w:type="dxa"/>
            <w:tcBorders>
              <w:top w:val="single" w:sz="12" w:space="0" w:color="auto"/>
            </w:tcBorders>
            <w:vAlign w:val="center"/>
          </w:tcPr>
          <w:p w14:paraId="4D5F0FDC" w14:textId="77777777" w:rsidR="00D170E5" w:rsidRPr="002B55E9" w:rsidRDefault="00EF27AD">
            <w:pPr>
              <w:pStyle w:val="affff6"/>
              <w:snapToGrid w:val="0"/>
              <w:spacing w:line="0" w:lineRule="atLeast"/>
            </w:pPr>
            <w:r w:rsidRPr="002B55E9">
              <w:t>环境空气</w:t>
            </w:r>
          </w:p>
        </w:tc>
        <w:tc>
          <w:tcPr>
            <w:tcW w:w="2845" w:type="dxa"/>
            <w:tcBorders>
              <w:top w:val="single" w:sz="12" w:space="0" w:color="auto"/>
            </w:tcBorders>
            <w:vAlign w:val="center"/>
          </w:tcPr>
          <w:p w14:paraId="52F05625" w14:textId="77777777" w:rsidR="00D170E5" w:rsidRPr="002B55E9" w:rsidRDefault="00EF27AD">
            <w:pPr>
              <w:pStyle w:val="affff6"/>
              <w:snapToGrid w:val="0"/>
              <w:spacing w:line="0" w:lineRule="atLeast"/>
            </w:pPr>
            <w:r w:rsidRPr="002B55E9">
              <w:t>项目所在地</w:t>
            </w:r>
          </w:p>
        </w:tc>
        <w:tc>
          <w:tcPr>
            <w:tcW w:w="2847" w:type="dxa"/>
            <w:tcBorders>
              <w:top w:val="single" w:sz="12" w:space="0" w:color="auto"/>
            </w:tcBorders>
            <w:vAlign w:val="center"/>
          </w:tcPr>
          <w:p w14:paraId="6925A082" w14:textId="77777777" w:rsidR="00D170E5" w:rsidRPr="002B55E9" w:rsidRDefault="00EF27AD">
            <w:pPr>
              <w:pStyle w:val="affff6"/>
              <w:snapToGrid w:val="0"/>
              <w:spacing w:line="0" w:lineRule="atLeast"/>
            </w:pPr>
            <w:r w:rsidRPr="002B55E9">
              <w:t>二类</w:t>
            </w:r>
          </w:p>
        </w:tc>
        <w:tc>
          <w:tcPr>
            <w:tcW w:w="2845" w:type="dxa"/>
            <w:tcBorders>
              <w:top w:val="single" w:sz="12" w:space="0" w:color="auto"/>
            </w:tcBorders>
            <w:vAlign w:val="center"/>
          </w:tcPr>
          <w:p w14:paraId="638B779C" w14:textId="77777777" w:rsidR="00D170E5" w:rsidRPr="002B55E9" w:rsidRDefault="00EF27AD">
            <w:pPr>
              <w:pStyle w:val="affff6"/>
              <w:snapToGrid w:val="0"/>
              <w:spacing w:line="0" w:lineRule="atLeast"/>
            </w:pPr>
            <w:r w:rsidRPr="002B55E9">
              <w:t>武政办</w:t>
            </w:r>
            <w:r w:rsidRPr="002B55E9">
              <w:t>[2013]129</w:t>
            </w:r>
            <w:r w:rsidRPr="002B55E9">
              <w:t>号</w:t>
            </w:r>
          </w:p>
        </w:tc>
      </w:tr>
      <w:tr w:rsidR="002B55E9" w:rsidRPr="002B55E9" w14:paraId="6D77DC19" w14:textId="77777777">
        <w:trPr>
          <w:trHeight w:val="284"/>
          <w:jc w:val="center"/>
        </w:trPr>
        <w:tc>
          <w:tcPr>
            <w:tcW w:w="1088" w:type="dxa"/>
            <w:vAlign w:val="center"/>
          </w:tcPr>
          <w:p w14:paraId="45CA1481" w14:textId="77777777" w:rsidR="00D170E5" w:rsidRPr="002B55E9" w:rsidRDefault="00EF27AD">
            <w:pPr>
              <w:pStyle w:val="affff6"/>
              <w:snapToGrid w:val="0"/>
              <w:spacing w:line="0" w:lineRule="atLeast"/>
            </w:pPr>
            <w:r w:rsidRPr="002B55E9">
              <w:t>地表水</w:t>
            </w:r>
          </w:p>
        </w:tc>
        <w:tc>
          <w:tcPr>
            <w:tcW w:w="2845" w:type="dxa"/>
            <w:vAlign w:val="center"/>
          </w:tcPr>
          <w:p w14:paraId="748173E6" w14:textId="77777777" w:rsidR="00D170E5" w:rsidRPr="002B55E9" w:rsidRDefault="00EF27AD">
            <w:pPr>
              <w:pStyle w:val="affff6"/>
              <w:snapToGrid w:val="0"/>
              <w:spacing w:line="0" w:lineRule="atLeast"/>
            </w:pPr>
            <w:r w:rsidRPr="002B55E9">
              <w:rPr>
                <w:rFonts w:hint="eastAsia"/>
              </w:rPr>
              <w:t>府河（黄花涝</w:t>
            </w:r>
            <w:r w:rsidRPr="002B55E9">
              <w:rPr>
                <w:rFonts w:hint="eastAsia"/>
              </w:rPr>
              <w:t>~</w:t>
            </w:r>
            <w:r w:rsidRPr="002B55E9">
              <w:rPr>
                <w:rFonts w:hint="eastAsia"/>
              </w:rPr>
              <w:t>入江段）</w:t>
            </w:r>
          </w:p>
        </w:tc>
        <w:tc>
          <w:tcPr>
            <w:tcW w:w="2847" w:type="dxa"/>
            <w:vAlign w:val="center"/>
          </w:tcPr>
          <w:p w14:paraId="254832FF" w14:textId="77777777" w:rsidR="00D170E5" w:rsidRPr="002B55E9" w:rsidRDefault="00EF27AD">
            <w:pPr>
              <w:pStyle w:val="affff6"/>
              <w:snapToGrid w:val="0"/>
              <w:spacing w:line="0" w:lineRule="atLeast"/>
            </w:pPr>
            <w:r w:rsidRPr="002B55E9">
              <w:rPr>
                <w:rFonts w:ascii="宋体" w:hAnsi="宋体" w:cs="宋体" w:hint="eastAsia"/>
              </w:rPr>
              <w:t>Ⅴ</w:t>
            </w:r>
            <w:r w:rsidRPr="002B55E9">
              <w:t>类</w:t>
            </w:r>
          </w:p>
        </w:tc>
        <w:tc>
          <w:tcPr>
            <w:tcW w:w="2845" w:type="dxa"/>
            <w:vAlign w:val="center"/>
          </w:tcPr>
          <w:p w14:paraId="5DD91E9A" w14:textId="77777777" w:rsidR="00D170E5" w:rsidRPr="002B55E9" w:rsidRDefault="00EF27AD">
            <w:pPr>
              <w:pStyle w:val="affff6"/>
              <w:snapToGrid w:val="0"/>
              <w:spacing w:line="0" w:lineRule="atLeast"/>
            </w:pPr>
            <w:r w:rsidRPr="002B55E9">
              <w:t>鄂政办函</w:t>
            </w:r>
            <w:r w:rsidRPr="002B55E9">
              <w:t>[2000]74</w:t>
            </w:r>
            <w:r w:rsidRPr="002B55E9">
              <w:t>号</w:t>
            </w:r>
          </w:p>
        </w:tc>
      </w:tr>
      <w:bookmarkEnd w:id="99"/>
      <w:tr w:rsidR="002B55E9" w:rsidRPr="002B55E9" w14:paraId="18140085" w14:textId="77777777">
        <w:tblPrEx>
          <w:tblBorders>
            <w:insideH w:val="single" w:sz="6" w:space="0" w:color="auto"/>
            <w:insideV w:val="single" w:sz="6" w:space="0" w:color="auto"/>
          </w:tblBorders>
        </w:tblPrEx>
        <w:trPr>
          <w:trHeight w:val="284"/>
          <w:jc w:val="center"/>
        </w:trPr>
        <w:tc>
          <w:tcPr>
            <w:tcW w:w="1088" w:type="dxa"/>
            <w:vMerge w:val="restart"/>
            <w:tcBorders>
              <w:top w:val="single" w:sz="4" w:space="0" w:color="auto"/>
              <w:bottom w:val="single" w:sz="4" w:space="0" w:color="auto"/>
              <w:right w:val="single" w:sz="4" w:space="0" w:color="auto"/>
            </w:tcBorders>
            <w:vAlign w:val="center"/>
          </w:tcPr>
          <w:p w14:paraId="2A43A956" w14:textId="77777777" w:rsidR="00D170E5" w:rsidRPr="002B55E9" w:rsidRDefault="00EF27AD">
            <w:pPr>
              <w:pStyle w:val="affff6"/>
              <w:snapToGrid w:val="0"/>
              <w:spacing w:line="0" w:lineRule="atLeast"/>
            </w:pPr>
            <w:r w:rsidRPr="002B55E9">
              <w:t>环境噪声</w:t>
            </w:r>
          </w:p>
        </w:tc>
        <w:tc>
          <w:tcPr>
            <w:tcW w:w="2845" w:type="dxa"/>
            <w:tcBorders>
              <w:top w:val="single" w:sz="4" w:space="0" w:color="auto"/>
              <w:left w:val="single" w:sz="4" w:space="0" w:color="auto"/>
              <w:bottom w:val="single" w:sz="4" w:space="0" w:color="auto"/>
              <w:right w:val="single" w:sz="4" w:space="0" w:color="auto"/>
            </w:tcBorders>
            <w:vAlign w:val="center"/>
          </w:tcPr>
          <w:p w14:paraId="00C424A2" w14:textId="77777777" w:rsidR="00D170E5" w:rsidRPr="002B55E9" w:rsidRDefault="00EF27AD">
            <w:pPr>
              <w:pStyle w:val="affff6"/>
              <w:snapToGrid w:val="0"/>
              <w:spacing w:line="0" w:lineRule="atLeast"/>
            </w:pPr>
            <w:r w:rsidRPr="002B55E9">
              <w:rPr>
                <w:rFonts w:hint="eastAsia"/>
              </w:rPr>
              <w:t>项目所在区域</w:t>
            </w:r>
          </w:p>
        </w:tc>
        <w:tc>
          <w:tcPr>
            <w:tcW w:w="2847" w:type="dxa"/>
            <w:tcBorders>
              <w:top w:val="single" w:sz="4" w:space="0" w:color="auto"/>
              <w:left w:val="single" w:sz="4" w:space="0" w:color="auto"/>
              <w:bottom w:val="single" w:sz="4" w:space="0" w:color="auto"/>
              <w:right w:val="single" w:sz="4" w:space="0" w:color="auto"/>
            </w:tcBorders>
            <w:vAlign w:val="center"/>
          </w:tcPr>
          <w:p w14:paraId="7FBE0CE6" w14:textId="77777777" w:rsidR="00D170E5" w:rsidRPr="002B55E9" w:rsidRDefault="00EF27AD">
            <w:pPr>
              <w:pStyle w:val="affff6"/>
              <w:snapToGrid w:val="0"/>
              <w:spacing w:line="0" w:lineRule="atLeast"/>
            </w:pPr>
            <w:r w:rsidRPr="002B55E9">
              <w:t>2</w:t>
            </w:r>
            <w:r w:rsidRPr="002B55E9">
              <w:t>类</w:t>
            </w:r>
          </w:p>
        </w:tc>
        <w:tc>
          <w:tcPr>
            <w:tcW w:w="2845" w:type="dxa"/>
            <w:vMerge w:val="restart"/>
            <w:tcBorders>
              <w:top w:val="single" w:sz="4" w:space="0" w:color="auto"/>
              <w:left w:val="single" w:sz="4" w:space="0" w:color="auto"/>
              <w:bottom w:val="single" w:sz="4" w:space="0" w:color="auto"/>
            </w:tcBorders>
            <w:vAlign w:val="center"/>
          </w:tcPr>
          <w:p w14:paraId="3901E0A6" w14:textId="77777777" w:rsidR="00D170E5" w:rsidRPr="002B55E9" w:rsidRDefault="00EF27AD">
            <w:pPr>
              <w:pStyle w:val="affff6"/>
              <w:snapToGrid w:val="0"/>
              <w:spacing w:line="0" w:lineRule="atLeast"/>
            </w:pPr>
            <w:r w:rsidRPr="002B55E9">
              <w:t>武政办</w:t>
            </w:r>
            <w:r w:rsidRPr="002B55E9">
              <w:t>[201</w:t>
            </w:r>
            <w:r w:rsidRPr="002B55E9">
              <w:rPr>
                <w:rFonts w:hint="eastAsia"/>
              </w:rPr>
              <w:t>9</w:t>
            </w:r>
            <w:r w:rsidRPr="002B55E9">
              <w:t>]</w:t>
            </w:r>
            <w:r w:rsidRPr="002B55E9">
              <w:rPr>
                <w:rFonts w:hint="eastAsia"/>
              </w:rPr>
              <w:t>12</w:t>
            </w:r>
            <w:r w:rsidRPr="002B55E9">
              <w:t>号</w:t>
            </w:r>
          </w:p>
        </w:tc>
      </w:tr>
      <w:tr w:rsidR="002B55E9" w:rsidRPr="002B55E9" w14:paraId="5CB9B2FF" w14:textId="77777777">
        <w:tblPrEx>
          <w:tblBorders>
            <w:insideH w:val="single" w:sz="6" w:space="0" w:color="auto"/>
            <w:insideV w:val="single" w:sz="6" w:space="0" w:color="auto"/>
          </w:tblBorders>
        </w:tblPrEx>
        <w:trPr>
          <w:trHeight w:val="284"/>
          <w:jc w:val="center"/>
        </w:trPr>
        <w:tc>
          <w:tcPr>
            <w:tcW w:w="1088" w:type="dxa"/>
            <w:vMerge/>
            <w:tcBorders>
              <w:top w:val="single" w:sz="4" w:space="0" w:color="auto"/>
              <w:bottom w:val="single" w:sz="4" w:space="0" w:color="auto"/>
              <w:right w:val="single" w:sz="4" w:space="0" w:color="auto"/>
            </w:tcBorders>
            <w:vAlign w:val="center"/>
          </w:tcPr>
          <w:p w14:paraId="5264BB58" w14:textId="77777777" w:rsidR="00D170E5" w:rsidRPr="002B55E9" w:rsidRDefault="00D170E5">
            <w:pPr>
              <w:pStyle w:val="affff6"/>
              <w:snapToGrid w:val="0"/>
              <w:spacing w:line="0" w:lineRule="atLeast"/>
            </w:pPr>
          </w:p>
        </w:tc>
        <w:tc>
          <w:tcPr>
            <w:tcW w:w="2845" w:type="dxa"/>
            <w:tcBorders>
              <w:top w:val="single" w:sz="4" w:space="0" w:color="auto"/>
              <w:left w:val="single" w:sz="4" w:space="0" w:color="auto"/>
              <w:bottom w:val="single" w:sz="4" w:space="0" w:color="auto"/>
              <w:right w:val="single" w:sz="4" w:space="0" w:color="auto"/>
            </w:tcBorders>
            <w:vAlign w:val="center"/>
          </w:tcPr>
          <w:p w14:paraId="7D73EE50" w14:textId="77777777" w:rsidR="00D170E5" w:rsidRPr="002B55E9" w:rsidRDefault="00EF27AD">
            <w:pPr>
              <w:pStyle w:val="affff6"/>
              <w:snapToGrid w:val="0"/>
              <w:spacing w:line="0" w:lineRule="atLeast"/>
            </w:pPr>
            <w:r w:rsidRPr="002B55E9">
              <w:rPr>
                <w:rFonts w:hint="eastAsia"/>
              </w:rPr>
              <w:t>项目东厂界</w:t>
            </w:r>
          </w:p>
        </w:tc>
        <w:tc>
          <w:tcPr>
            <w:tcW w:w="2847" w:type="dxa"/>
            <w:tcBorders>
              <w:top w:val="single" w:sz="4" w:space="0" w:color="auto"/>
              <w:left w:val="single" w:sz="4" w:space="0" w:color="auto"/>
              <w:bottom w:val="single" w:sz="4" w:space="0" w:color="auto"/>
              <w:right w:val="single" w:sz="4" w:space="0" w:color="auto"/>
            </w:tcBorders>
            <w:vAlign w:val="center"/>
          </w:tcPr>
          <w:p w14:paraId="638A80FA" w14:textId="77777777" w:rsidR="00D170E5" w:rsidRPr="002B55E9" w:rsidRDefault="00EF27AD">
            <w:pPr>
              <w:pStyle w:val="affff6"/>
              <w:snapToGrid w:val="0"/>
              <w:spacing w:line="0" w:lineRule="atLeast"/>
            </w:pPr>
            <w:r w:rsidRPr="002B55E9">
              <w:rPr>
                <w:rFonts w:hint="eastAsia"/>
              </w:rPr>
              <w:t>4a</w:t>
            </w:r>
            <w:r w:rsidRPr="002B55E9">
              <w:t>类</w:t>
            </w:r>
          </w:p>
        </w:tc>
        <w:tc>
          <w:tcPr>
            <w:tcW w:w="2845" w:type="dxa"/>
            <w:vMerge/>
            <w:tcBorders>
              <w:top w:val="single" w:sz="4" w:space="0" w:color="auto"/>
              <w:left w:val="single" w:sz="4" w:space="0" w:color="auto"/>
              <w:bottom w:val="single" w:sz="4" w:space="0" w:color="auto"/>
            </w:tcBorders>
            <w:vAlign w:val="center"/>
          </w:tcPr>
          <w:p w14:paraId="5382D1DB" w14:textId="77777777" w:rsidR="00D170E5" w:rsidRPr="002B55E9" w:rsidRDefault="00D170E5">
            <w:pPr>
              <w:pStyle w:val="affff6"/>
              <w:snapToGrid w:val="0"/>
              <w:spacing w:line="0" w:lineRule="atLeast"/>
            </w:pPr>
          </w:p>
        </w:tc>
      </w:tr>
      <w:tr w:rsidR="002B55E9" w:rsidRPr="002B55E9" w14:paraId="623BBB38" w14:textId="77777777">
        <w:tblPrEx>
          <w:tblBorders>
            <w:insideH w:val="single" w:sz="6" w:space="0" w:color="auto"/>
            <w:insideV w:val="single" w:sz="6" w:space="0" w:color="auto"/>
          </w:tblBorders>
        </w:tblPrEx>
        <w:trPr>
          <w:trHeight w:val="284"/>
          <w:jc w:val="center"/>
        </w:trPr>
        <w:tc>
          <w:tcPr>
            <w:tcW w:w="1088" w:type="dxa"/>
            <w:tcBorders>
              <w:top w:val="single" w:sz="4" w:space="0" w:color="auto"/>
              <w:bottom w:val="single" w:sz="4" w:space="0" w:color="auto"/>
              <w:right w:val="single" w:sz="4" w:space="0" w:color="auto"/>
            </w:tcBorders>
            <w:vAlign w:val="center"/>
          </w:tcPr>
          <w:p w14:paraId="5B14C4D1" w14:textId="77777777" w:rsidR="00D170E5" w:rsidRPr="002B55E9" w:rsidRDefault="00EF27AD">
            <w:pPr>
              <w:pStyle w:val="affff6"/>
              <w:snapToGrid w:val="0"/>
              <w:spacing w:line="0" w:lineRule="atLeast"/>
            </w:pPr>
            <w:r w:rsidRPr="002B55E9">
              <w:rPr>
                <w:rFonts w:hint="eastAsia"/>
              </w:rPr>
              <w:t>土壤</w:t>
            </w:r>
          </w:p>
        </w:tc>
        <w:tc>
          <w:tcPr>
            <w:tcW w:w="2845" w:type="dxa"/>
            <w:tcBorders>
              <w:top w:val="single" w:sz="4" w:space="0" w:color="auto"/>
              <w:left w:val="single" w:sz="4" w:space="0" w:color="auto"/>
              <w:bottom w:val="single" w:sz="4" w:space="0" w:color="auto"/>
              <w:right w:val="single" w:sz="4" w:space="0" w:color="auto"/>
            </w:tcBorders>
            <w:vAlign w:val="center"/>
          </w:tcPr>
          <w:p w14:paraId="46CF5A25" w14:textId="77777777" w:rsidR="00D170E5" w:rsidRPr="002B55E9" w:rsidRDefault="00EF27AD">
            <w:pPr>
              <w:pStyle w:val="affff6"/>
              <w:snapToGrid w:val="0"/>
              <w:spacing w:line="0" w:lineRule="atLeast"/>
            </w:pPr>
            <w:r w:rsidRPr="002B55E9">
              <w:t>项目所在</w:t>
            </w:r>
            <w:r w:rsidRPr="002B55E9">
              <w:rPr>
                <w:rFonts w:hint="eastAsia"/>
              </w:rPr>
              <w:t>厂区</w:t>
            </w:r>
          </w:p>
        </w:tc>
        <w:tc>
          <w:tcPr>
            <w:tcW w:w="2847" w:type="dxa"/>
            <w:tcBorders>
              <w:top w:val="single" w:sz="4" w:space="0" w:color="auto"/>
              <w:left w:val="single" w:sz="4" w:space="0" w:color="auto"/>
              <w:bottom w:val="single" w:sz="4" w:space="0" w:color="auto"/>
              <w:right w:val="single" w:sz="4" w:space="0" w:color="auto"/>
            </w:tcBorders>
            <w:vAlign w:val="center"/>
          </w:tcPr>
          <w:p w14:paraId="1BC21D94" w14:textId="77777777" w:rsidR="00D170E5" w:rsidRPr="002B55E9" w:rsidRDefault="00EF27AD">
            <w:pPr>
              <w:pStyle w:val="affff6"/>
              <w:snapToGrid w:val="0"/>
              <w:spacing w:line="0" w:lineRule="atLeast"/>
            </w:pPr>
            <w:r w:rsidRPr="002B55E9">
              <w:rPr>
                <w:rFonts w:hint="eastAsia"/>
              </w:rPr>
              <w:t>第二类建设用地</w:t>
            </w:r>
          </w:p>
        </w:tc>
        <w:tc>
          <w:tcPr>
            <w:tcW w:w="2845" w:type="dxa"/>
            <w:vMerge w:val="restart"/>
            <w:tcBorders>
              <w:top w:val="single" w:sz="4" w:space="0" w:color="auto"/>
              <w:left w:val="single" w:sz="4" w:space="0" w:color="auto"/>
              <w:bottom w:val="single" w:sz="4" w:space="0" w:color="auto"/>
            </w:tcBorders>
            <w:vAlign w:val="center"/>
          </w:tcPr>
          <w:p w14:paraId="00F56BF8" w14:textId="77777777" w:rsidR="00D170E5" w:rsidRPr="002B55E9" w:rsidRDefault="00EF27AD">
            <w:pPr>
              <w:pStyle w:val="affff6"/>
              <w:snapToGrid w:val="0"/>
              <w:spacing w:line="0" w:lineRule="atLeast"/>
            </w:pPr>
            <w:r w:rsidRPr="002B55E9">
              <w:rPr>
                <w:rFonts w:hint="eastAsia"/>
              </w:rPr>
              <w:t>《新沟镇街食品医疗用地板块总体规划》</w:t>
            </w:r>
          </w:p>
        </w:tc>
      </w:tr>
      <w:tr w:rsidR="002B55E9" w:rsidRPr="002B55E9" w14:paraId="4BCBFB07" w14:textId="77777777">
        <w:tblPrEx>
          <w:tblBorders>
            <w:insideH w:val="single" w:sz="6" w:space="0" w:color="auto"/>
            <w:insideV w:val="single" w:sz="6" w:space="0" w:color="auto"/>
          </w:tblBorders>
        </w:tblPrEx>
        <w:trPr>
          <w:trHeight w:val="284"/>
          <w:jc w:val="center"/>
        </w:trPr>
        <w:tc>
          <w:tcPr>
            <w:tcW w:w="1088" w:type="dxa"/>
            <w:tcBorders>
              <w:top w:val="single" w:sz="4" w:space="0" w:color="auto"/>
              <w:bottom w:val="single" w:sz="12" w:space="0" w:color="auto"/>
              <w:right w:val="single" w:sz="4" w:space="0" w:color="auto"/>
            </w:tcBorders>
            <w:vAlign w:val="center"/>
          </w:tcPr>
          <w:p w14:paraId="288A410B" w14:textId="77777777" w:rsidR="00D170E5" w:rsidRPr="002B55E9" w:rsidRDefault="00EF27AD">
            <w:pPr>
              <w:pStyle w:val="affff6"/>
            </w:pPr>
            <w:r w:rsidRPr="002B55E9">
              <w:t>地下水</w:t>
            </w:r>
          </w:p>
        </w:tc>
        <w:tc>
          <w:tcPr>
            <w:tcW w:w="2845" w:type="dxa"/>
            <w:tcBorders>
              <w:top w:val="single" w:sz="4" w:space="0" w:color="auto"/>
              <w:left w:val="single" w:sz="4" w:space="0" w:color="auto"/>
              <w:bottom w:val="single" w:sz="12" w:space="0" w:color="auto"/>
              <w:right w:val="single" w:sz="4" w:space="0" w:color="auto"/>
            </w:tcBorders>
            <w:vAlign w:val="center"/>
          </w:tcPr>
          <w:p w14:paraId="5AEDFEF0" w14:textId="77777777" w:rsidR="00D170E5" w:rsidRPr="002B55E9" w:rsidRDefault="00EF27AD">
            <w:pPr>
              <w:pStyle w:val="affff6"/>
            </w:pPr>
            <w:r w:rsidRPr="002B55E9">
              <w:t>项目所在区域</w:t>
            </w:r>
          </w:p>
        </w:tc>
        <w:tc>
          <w:tcPr>
            <w:tcW w:w="2847" w:type="dxa"/>
            <w:tcBorders>
              <w:top w:val="single" w:sz="4" w:space="0" w:color="auto"/>
              <w:left w:val="single" w:sz="4" w:space="0" w:color="auto"/>
              <w:bottom w:val="single" w:sz="12" w:space="0" w:color="auto"/>
              <w:right w:val="single" w:sz="4" w:space="0" w:color="auto"/>
            </w:tcBorders>
            <w:vAlign w:val="center"/>
          </w:tcPr>
          <w:p w14:paraId="775A2303" w14:textId="77777777" w:rsidR="00D170E5" w:rsidRPr="002B55E9" w:rsidRDefault="00EF27AD">
            <w:pPr>
              <w:pStyle w:val="affff6"/>
            </w:pPr>
            <w:r w:rsidRPr="002B55E9">
              <w:rPr>
                <w:rFonts w:ascii="宋体" w:hAnsi="宋体" w:hint="eastAsia"/>
              </w:rPr>
              <w:t>Ⅳ</w:t>
            </w:r>
            <w:r w:rsidRPr="002B55E9">
              <w:t>类</w:t>
            </w:r>
          </w:p>
        </w:tc>
        <w:tc>
          <w:tcPr>
            <w:tcW w:w="2845" w:type="dxa"/>
            <w:vMerge/>
            <w:tcBorders>
              <w:top w:val="single" w:sz="4" w:space="0" w:color="auto"/>
              <w:left w:val="single" w:sz="4" w:space="0" w:color="auto"/>
              <w:bottom w:val="single" w:sz="12" w:space="0" w:color="auto"/>
            </w:tcBorders>
            <w:vAlign w:val="center"/>
          </w:tcPr>
          <w:p w14:paraId="57FE2486" w14:textId="77777777" w:rsidR="00D170E5" w:rsidRPr="002B55E9" w:rsidRDefault="00D170E5">
            <w:pPr>
              <w:pStyle w:val="affff6"/>
              <w:snapToGrid w:val="0"/>
              <w:spacing w:line="0" w:lineRule="atLeast"/>
            </w:pPr>
          </w:p>
        </w:tc>
      </w:tr>
    </w:tbl>
    <w:p w14:paraId="6B6A06EB" w14:textId="77777777" w:rsidR="00D170E5" w:rsidRPr="002B55E9" w:rsidRDefault="00EF27AD">
      <w:pPr>
        <w:pStyle w:val="4"/>
        <w:rPr>
          <w:color w:val="auto"/>
        </w:rPr>
      </w:pPr>
      <w:r w:rsidRPr="002B55E9">
        <w:rPr>
          <w:color w:val="auto"/>
        </w:rPr>
        <w:t>环境保护目标及敏感点</w:t>
      </w:r>
      <w:bookmarkEnd w:id="98"/>
    </w:p>
    <w:p w14:paraId="5D985B3B" w14:textId="77777777" w:rsidR="00D170E5" w:rsidRPr="002B55E9" w:rsidRDefault="00EF27AD">
      <w:pPr>
        <w:pStyle w:val="affff7"/>
        <w:snapToGrid w:val="0"/>
        <w:spacing w:after="0"/>
      </w:pPr>
      <w:r w:rsidRPr="002B55E9">
        <w:t>（</w:t>
      </w:r>
      <w:r w:rsidRPr="002B55E9">
        <w:t>1</w:t>
      </w:r>
      <w:r w:rsidRPr="002B55E9">
        <w:t>）环境空气</w:t>
      </w:r>
    </w:p>
    <w:p w14:paraId="38F0DBFF" w14:textId="77777777" w:rsidR="00D170E5" w:rsidRPr="002B55E9" w:rsidRDefault="00EF27AD">
      <w:pPr>
        <w:pStyle w:val="affff7"/>
        <w:snapToGrid w:val="0"/>
        <w:spacing w:after="0"/>
      </w:pPr>
      <w:r w:rsidRPr="002B55E9">
        <w:rPr>
          <w:rFonts w:hint="eastAsia"/>
        </w:rPr>
        <w:t>项目所在地环境空气为二类功能区，周边区域及大气环境敏感目标需满足《环境空气质量标准》（</w:t>
      </w:r>
      <w:r w:rsidRPr="002B55E9">
        <w:rPr>
          <w:rFonts w:hint="eastAsia"/>
        </w:rPr>
        <w:t>GB3095-2012</w:t>
      </w:r>
      <w:r w:rsidRPr="002B55E9">
        <w:rPr>
          <w:rFonts w:hint="eastAsia"/>
        </w:rPr>
        <w:t>）及其修改单二级标准和《环境影响评价技术导则大气环境》（</w:t>
      </w:r>
      <w:r w:rsidRPr="002B55E9">
        <w:rPr>
          <w:rFonts w:hint="eastAsia"/>
        </w:rPr>
        <w:t>HJ2.2-2018</w:t>
      </w:r>
      <w:r w:rsidRPr="002B55E9">
        <w:rPr>
          <w:rFonts w:hint="eastAsia"/>
        </w:rPr>
        <w:t>）附录</w:t>
      </w:r>
      <w:r w:rsidRPr="002B55E9">
        <w:rPr>
          <w:rFonts w:hint="eastAsia"/>
        </w:rPr>
        <w:t>D</w:t>
      </w:r>
      <w:r w:rsidRPr="002B55E9">
        <w:rPr>
          <w:rFonts w:hint="eastAsia"/>
        </w:rPr>
        <w:t>表</w:t>
      </w:r>
      <w:r w:rsidRPr="002B55E9">
        <w:rPr>
          <w:rFonts w:hint="eastAsia"/>
        </w:rPr>
        <w:t>D.1</w:t>
      </w:r>
      <w:r w:rsidRPr="002B55E9">
        <w:rPr>
          <w:rFonts w:hint="eastAsia"/>
        </w:rPr>
        <w:t>“其他污染物空气</w:t>
      </w:r>
      <w:r w:rsidRPr="002B55E9">
        <w:rPr>
          <w:rFonts w:hint="eastAsia"/>
        </w:rPr>
        <w:t xml:space="preserve"> </w:t>
      </w:r>
      <w:r w:rsidRPr="002B55E9">
        <w:rPr>
          <w:rFonts w:hint="eastAsia"/>
        </w:rPr>
        <w:t>质量浓度参考限值”。</w:t>
      </w:r>
    </w:p>
    <w:p w14:paraId="0B349F41" w14:textId="77777777" w:rsidR="00D170E5" w:rsidRPr="002B55E9" w:rsidRDefault="00EF27AD">
      <w:pPr>
        <w:pStyle w:val="affff7"/>
        <w:snapToGrid w:val="0"/>
        <w:spacing w:after="0"/>
      </w:pPr>
      <w:r w:rsidRPr="002B55E9">
        <w:rPr>
          <w:rFonts w:hint="eastAsia"/>
        </w:rPr>
        <w:t>拟建项目大气环境评价范围内（厂址</w:t>
      </w:r>
      <w:r w:rsidRPr="002B55E9">
        <w:t>为中心</w:t>
      </w:r>
      <w:r w:rsidRPr="002B55E9">
        <w:rPr>
          <w:rFonts w:hint="eastAsia"/>
        </w:rPr>
        <w:t>边长</w:t>
      </w:r>
      <w:r w:rsidRPr="002B55E9">
        <w:rPr>
          <w:rFonts w:hint="eastAsia"/>
        </w:rPr>
        <w:t>5</w:t>
      </w:r>
      <w:r w:rsidRPr="002B55E9">
        <w:t>km</w:t>
      </w:r>
      <w:r w:rsidRPr="002B55E9">
        <w:rPr>
          <w:rFonts w:hint="eastAsia"/>
        </w:rPr>
        <w:t>的矩形）主要环境保护目标见表</w:t>
      </w:r>
      <w:r w:rsidRPr="002B55E9">
        <w:rPr>
          <w:rFonts w:hint="eastAsia"/>
        </w:rPr>
        <w:t>1-4-2</w:t>
      </w:r>
      <w:r w:rsidRPr="002B55E9">
        <w:rPr>
          <w:rFonts w:hint="eastAsia"/>
        </w:rPr>
        <w:t>。</w:t>
      </w:r>
    </w:p>
    <w:p w14:paraId="7CCE3D60" w14:textId="77777777" w:rsidR="00D170E5" w:rsidRPr="002B55E9" w:rsidRDefault="00EF27AD">
      <w:pPr>
        <w:pStyle w:val="1f3"/>
        <w:snapToGrid w:val="0"/>
        <w:spacing w:beforeLines="0" w:before="0"/>
      </w:pPr>
      <w:r w:rsidRPr="002B55E9">
        <w:rPr>
          <w:rFonts w:hint="eastAsia"/>
        </w:rPr>
        <w:t>表</w:t>
      </w:r>
      <w:r w:rsidRPr="002B55E9">
        <w:rPr>
          <w:rFonts w:hint="eastAsia"/>
        </w:rPr>
        <w:t xml:space="preserve">1-4-2  </w:t>
      </w:r>
      <w:r w:rsidRPr="002B55E9">
        <w:rPr>
          <w:rFonts w:hint="eastAsia"/>
        </w:rPr>
        <w:t>拟建项目评价范围内主要大气环境保护目标一览表</w:t>
      </w:r>
    </w:p>
    <w:tbl>
      <w:tblPr>
        <w:tblStyle w:val="lgy2"/>
        <w:tblW w:w="5000" w:type="pct"/>
        <w:tblLayout w:type="fixed"/>
        <w:tblCellMar>
          <w:left w:w="28" w:type="dxa"/>
          <w:right w:w="28" w:type="dxa"/>
        </w:tblCellMar>
        <w:tblLook w:val="04A0" w:firstRow="1" w:lastRow="0" w:firstColumn="1" w:lastColumn="0" w:noHBand="0" w:noVBand="1"/>
      </w:tblPr>
      <w:tblGrid>
        <w:gridCol w:w="1710"/>
        <w:gridCol w:w="1536"/>
        <w:gridCol w:w="1177"/>
        <w:gridCol w:w="713"/>
        <w:gridCol w:w="1140"/>
        <w:gridCol w:w="1518"/>
        <w:gridCol w:w="899"/>
        <w:gridCol w:w="1001"/>
      </w:tblGrid>
      <w:tr w:rsidR="002B55E9" w:rsidRPr="002B55E9" w14:paraId="13210E69" w14:textId="77777777" w:rsidTr="006D37FD">
        <w:trPr>
          <w:cnfStyle w:val="100000000000" w:firstRow="1" w:lastRow="0" w:firstColumn="0" w:lastColumn="0" w:oddVBand="0" w:evenVBand="0" w:oddHBand="0" w:evenHBand="0" w:firstRowFirstColumn="0" w:firstRowLastColumn="0" w:lastRowFirstColumn="0" w:lastRowLastColumn="0"/>
          <w:trHeight w:val="283"/>
        </w:trPr>
        <w:tc>
          <w:tcPr>
            <w:tcW w:w="1701" w:type="dxa"/>
            <w:vMerge w:val="restart"/>
          </w:tcPr>
          <w:p w14:paraId="0F1597FF" w14:textId="77777777" w:rsidR="00D170E5" w:rsidRPr="002B55E9" w:rsidRDefault="00EF27AD" w:rsidP="006D37FD">
            <w:pPr>
              <w:pStyle w:val="lgy-"/>
              <w:rPr>
                <w:rFonts w:eastAsia="宋体"/>
              </w:rPr>
            </w:pPr>
            <w:r w:rsidRPr="002B55E9">
              <w:rPr>
                <w:rFonts w:eastAsia="宋体"/>
              </w:rPr>
              <w:t>名称</w:t>
            </w:r>
          </w:p>
        </w:tc>
        <w:tc>
          <w:tcPr>
            <w:tcW w:w="2697" w:type="dxa"/>
            <w:gridSpan w:val="2"/>
          </w:tcPr>
          <w:p w14:paraId="4A74B886" w14:textId="77777777" w:rsidR="00D170E5" w:rsidRPr="002B55E9" w:rsidRDefault="00EF27AD" w:rsidP="006D37FD">
            <w:pPr>
              <w:pStyle w:val="lgy-"/>
              <w:rPr>
                <w:rFonts w:eastAsia="宋体"/>
              </w:rPr>
            </w:pPr>
            <w:r w:rsidRPr="002B55E9">
              <w:rPr>
                <w:rFonts w:eastAsia="宋体" w:hint="eastAsia"/>
              </w:rPr>
              <w:t>中心</w:t>
            </w:r>
            <w:r w:rsidRPr="002B55E9">
              <w:rPr>
                <w:rFonts w:eastAsia="宋体"/>
              </w:rPr>
              <w:t>坐标</w:t>
            </w:r>
          </w:p>
        </w:tc>
        <w:tc>
          <w:tcPr>
            <w:tcW w:w="709" w:type="dxa"/>
            <w:vMerge w:val="restart"/>
          </w:tcPr>
          <w:p w14:paraId="7AD7D0EE" w14:textId="77777777" w:rsidR="00D170E5" w:rsidRPr="002B55E9" w:rsidRDefault="00EF27AD" w:rsidP="006D37FD">
            <w:pPr>
              <w:pStyle w:val="lgy-"/>
              <w:rPr>
                <w:rFonts w:eastAsia="宋体"/>
              </w:rPr>
            </w:pPr>
            <w:r w:rsidRPr="002B55E9">
              <w:rPr>
                <w:rFonts w:eastAsia="宋体"/>
              </w:rPr>
              <w:t>保护对象</w:t>
            </w:r>
          </w:p>
        </w:tc>
        <w:tc>
          <w:tcPr>
            <w:tcW w:w="1133" w:type="dxa"/>
            <w:vMerge w:val="restart"/>
          </w:tcPr>
          <w:p w14:paraId="44773C03" w14:textId="77777777" w:rsidR="00D170E5" w:rsidRPr="002B55E9" w:rsidRDefault="00EF27AD" w:rsidP="006D37FD">
            <w:pPr>
              <w:pStyle w:val="lgy-"/>
              <w:rPr>
                <w:rFonts w:eastAsia="宋体"/>
              </w:rPr>
            </w:pPr>
            <w:r w:rsidRPr="002B55E9">
              <w:rPr>
                <w:rFonts w:eastAsia="宋体"/>
              </w:rPr>
              <w:t>保护内容</w:t>
            </w:r>
            <w:r w:rsidRPr="002B55E9">
              <w:rPr>
                <w:rFonts w:eastAsia="宋体" w:hint="eastAsia"/>
              </w:rPr>
              <w:t>（人）</w:t>
            </w:r>
          </w:p>
        </w:tc>
        <w:tc>
          <w:tcPr>
            <w:tcW w:w="1509" w:type="dxa"/>
            <w:vMerge w:val="restart"/>
          </w:tcPr>
          <w:p w14:paraId="2D461B2E" w14:textId="77777777" w:rsidR="00D170E5" w:rsidRPr="002B55E9" w:rsidRDefault="00EF27AD" w:rsidP="006D37FD">
            <w:pPr>
              <w:pStyle w:val="lgy-"/>
              <w:rPr>
                <w:rFonts w:eastAsia="宋体"/>
              </w:rPr>
            </w:pPr>
            <w:r w:rsidRPr="002B55E9">
              <w:rPr>
                <w:rFonts w:eastAsia="宋体"/>
              </w:rPr>
              <w:t>环境功能区</w:t>
            </w:r>
          </w:p>
        </w:tc>
        <w:tc>
          <w:tcPr>
            <w:tcW w:w="894" w:type="dxa"/>
            <w:vMerge w:val="restart"/>
          </w:tcPr>
          <w:p w14:paraId="758D7040" w14:textId="77777777" w:rsidR="00D170E5" w:rsidRPr="002B55E9" w:rsidRDefault="00EF27AD" w:rsidP="006D37FD">
            <w:pPr>
              <w:pStyle w:val="lgy-"/>
              <w:rPr>
                <w:rFonts w:eastAsia="宋体"/>
              </w:rPr>
            </w:pPr>
            <w:r w:rsidRPr="002B55E9">
              <w:rPr>
                <w:rFonts w:eastAsia="宋体"/>
              </w:rPr>
              <w:t>相对厂址方位</w:t>
            </w:r>
          </w:p>
        </w:tc>
        <w:tc>
          <w:tcPr>
            <w:tcW w:w="995" w:type="dxa"/>
            <w:vMerge w:val="restart"/>
          </w:tcPr>
          <w:p w14:paraId="4E183E76" w14:textId="77777777" w:rsidR="00D170E5" w:rsidRPr="002B55E9" w:rsidRDefault="00EF27AD" w:rsidP="006D37FD">
            <w:pPr>
              <w:pStyle w:val="lgy-"/>
              <w:rPr>
                <w:rFonts w:eastAsia="宋体"/>
              </w:rPr>
            </w:pPr>
            <w:r w:rsidRPr="002B55E9">
              <w:rPr>
                <w:rFonts w:eastAsia="宋体"/>
              </w:rPr>
              <w:t>相对</w:t>
            </w:r>
            <w:r w:rsidRPr="002B55E9">
              <w:rPr>
                <w:rFonts w:eastAsia="宋体" w:hint="eastAsia"/>
              </w:rPr>
              <w:t>厂界最近</w:t>
            </w:r>
            <w:r w:rsidRPr="002B55E9">
              <w:rPr>
                <w:rFonts w:eastAsia="宋体"/>
              </w:rPr>
              <w:t>距离</w:t>
            </w:r>
            <w:r w:rsidRPr="002B55E9">
              <w:rPr>
                <w:rFonts w:eastAsia="宋体"/>
              </w:rPr>
              <w:t>/m</w:t>
            </w:r>
          </w:p>
        </w:tc>
      </w:tr>
      <w:tr w:rsidR="002B55E9" w:rsidRPr="002B55E9" w14:paraId="082A8950" w14:textId="77777777" w:rsidTr="006D37FD">
        <w:trPr>
          <w:trHeight w:val="283"/>
        </w:trPr>
        <w:tc>
          <w:tcPr>
            <w:tcW w:w="1701" w:type="dxa"/>
            <w:vMerge/>
          </w:tcPr>
          <w:p w14:paraId="763287F1" w14:textId="77777777" w:rsidR="00D170E5" w:rsidRPr="002B55E9" w:rsidRDefault="00D170E5" w:rsidP="006D37FD">
            <w:pPr>
              <w:pStyle w:val="lgy-"/>
              <w:rPr>
                <w:rFonts w:eastAsia="宋体"/>
              </w:rPr>
            </w:pPr>
          </w:p>
        </w:tc>
        <w:tc>
          <w:tcPr>
            <w:tcW w:w="1527" w:type="dxa"/>
          </w:tcPr>
          <w:p w14:paraId="0B96126E" w14:textId="77777777" w:rsidR="00D170E5" w:rsidRPr="002B55E9" w:rsidRDefault="00EF27AD" w:rsidP="006D37FD">
            <w:pPr>
              <w:pStyle w:val="lgy-"/>
              <w:rPr>
                <w:rFonts w:eastAsia="宋体"/>
              </w:rPr>
            </w:pPr>
            <w:r w:rsidRPr="002B55E9">
              <w:rPr>
                <w:rFonts w:eastAsia="宋体"/>
              </w:rPr>
              <w:t>经度</w:t>
            </w:r>
          </w:p>
        </w:tc>
        <w:tc>
          <w:tcPr>
            <w:tcW w:w="1170" w:type="dxa"/>
          </w:tcPr>
          <w:p w14:paraId="174DAC67" w14:textId="77777777" w:rsidR="00D170E5" w:rsidRPr="002B55E9" w:rsidRDefault="00EF27AD" w:rsidP="006D37FD">
            <w:pPr>
              <w:pStyle w:val="lgy-"/>
              <w:rPr>
                <w:rFonts w:eastAsia="宋体"/>
              </w:rPr>
            </w:pPr>
            <w:r w:rsidRPr="002B55E9">
              <w:rPr>
                <w:rFonts w:eastAsia="宋体"/>
              </w:rPr>
              <w:t>纬度</w:t>
            </w:r>
          </w:p>
        </w:tc>
        <w:tc>
          <w:tcPr>
            <w:tcW w:w="709" w:type="dxa"/>
            <w:vMerge/>
          </w:tcPr>
          <w:p w14:paraId="19DBA5DD" w14:textId="77777777" w:rsidR="00D170E5" w:rsidRPr="002B55E9" w:rsidRDefault="00D170E5" w:rsidP="006D37FD">
            <w:pPr>
              <w:pStyle w:val="lgy-"/>
              <w:rPr>
                <w:rFonts w:eastAsia="宋体"/>
              </w:rPr>
            </w:pPr>
          </w:p>
        </w:tc>
        <w:tc>
          <w:tcPr>
            <w:tcW w:w="1133" w:type="dxa"/>
            <w:vMerge/>
          </w:tcPr>
          <w:p w14:paraId="1A76DCD7" w14:textId="77777777" w:rsidR="00D170E5" w:rsidRPr="002B55E9" w:rsidRDefault="00D170E5" w:rsidP="006D37FD">
            <w:pPr>
              <w:pStyle w:val="lgy-"/>
              <w:rPr>
                <w:rFonts w:eastAsia="宋体"/>
              </w:rPr>
            </w:pPr>
          </w:p>
        </w:tc>
        <w:tc>
          <w:tcPr>
            <w:tcW w:w="1509" w:type="dxa"/>
            <w:vMerge/>
          </w:tcPr>
          <w:p w14:paraId="5D02D781" w14:textId="77777777" w:rsidR="00D170E5" w:rsidRPr="002B55E9" w:rsidRDefault="00D170E5" w:rsidP="006D37FD">
            <w:pPr>
              <w:pStyle w:val="lgy-"/>
              <w:rPr>
                <w:rFonts w:eastAsia="宋体"/>
              </w:rPr>
            </w:pPr>
          </w:p>
        </w:tc>
        <w:tc>
          <w:tcPr>
            <w:tcW w:w="894" w:type="dxa"/>
            <w:vMerge/>
          </w:tcPr>
          <w:p w14:paraId="511260EE" w14:textId="77777777" w:rsidR="00D170E5" w:rsidRPr="002B55E9" w:rsidRDefault="00D170E5" w:rsidP="006D37FD">
            <w:pPr>
              <w:pStyle w:val="lgy-"/>
              <w:rPr>
                <w:rFonts w:eastAsia="宋体"/>
              </w:rPr>
            </w:pPr>
          </w:p>
        </w:tc>
        <w:tc>
          <w:tcPr>
            <w:tcW w:w="995" w:type="dxa"/>
            <w:vMerge/>
          </w:tcPr>
          <w:p w14:paraId="491D67F9" w14:textId="77777777" w:rsidR="00D170E5" w:rsidRPr="002B55E9" w:rsidRDefault="00D170E5" w:rsidP="006D37FD">
            <w:pPr>
              <w:pStyle w:val="lgy-"/>
              <w:rPr>
                <w:rFonts w:eastAsia="宋体"/>
              </w:rPr>
            </w:pPr>
          </w:p>
        </w:tc>
      </w:tr>
      <w:tr w:rsidR="002B55E9" w:rsidRPr="002B55E9" w14:paraId="59728EB8" w14:textId="77777777" w:rsidTr="006D37FD">
        <w:trPr>
          <w:trHeight w:val="283"/>
        </w:trPr>
        <w:tc>
          <w:tcPr>
            <w:tcW w:w="1701" w:type="dxa"/>
          </w:tcPr>
          <w:p w14:paraId="62E26AF9" w14:textId="77777777" w:rsidR="00D170E5" w:rsidRPr="002B55E9" w:rsidRDefault="00EF27AD" w:rsidP="006D37FD">
            <w:pPr>
              <w:pStyle w:val="lgy-"/>
              <w:rPr>
                <w:rFonts w:eastAsia="宋体"/>
              </w:rPr>
            </w:pPr>
            <w:r w:rsidRPr="002B55E9">
              <w:rPr>
                <w:rFonts w:eastAsia="宋体" w:hint="eastAsia"/>
              </w:rPr>
              <w:t>燕岭社区</w:t>
            </w:r>
          </w:p>
        </w:tc>
        <w:tc>
          <w:tcPr>
            <w:tcW w:w="1527" w:type="dxa"/>
          </w:tcPr>
          <w:p w14:paraId="232EB30B" w14:textId="77777777" w:rsidR="00D170E5" w:rsidRPr="002B55E9" w:rsidRDefault="00EF27AD" w:rsidP="006D37FD">
            <w:pPr>
              <w:pStyle w:val="lgy-"/>
              <w:rPr>
                <w:rFonts w:eastAsia="宋体"/>
              </w:rPr>
            </w:pPr>
            <w:r w:rsidRPr="002B55E9">
              <w:rPr>
                <w:rFonts w:eastAsia="宋体"/>
              </w:rPr>
              <w:t>113.98389896</w:t>
            </w:r>
          </w:p>
        </w:tc>
        <w:tc>
          <w:tcPr>
            <w:tcW w:w="1170" w:type="dxa"/>
          </w:tcPr>
          <w:p w14:paraId="519765A4" w14:textId="77777777" w:rsidR="00D170E5" w:rsidRPr="002B55E9" w:rsidRDefault="00EF27AD" w:rsidP="006D37FD">
            <w:pPr>
              <w:pStyle w:val="lgy-"/>
              <w:rPr>
                <w:rFonts w:eastAsia="宋体"/>
              </w:rPr>
            </w:pPr>
            <w:r w:rsidRPr="002B55E9">
              <w:rPr>
                <w:rFonts w:eastAsia="宋体"/>
              </w:rPr>
              <w:t>30.68400177</w:t>
            </w:r>
          </w:p>
        </w:tc>
        <w:tc>
          <w:tcPr>
            <w:tcW w:w="709" w:type="dxa"/>
          </w:tcPr>
          <w:p w14:paraId="38232AB5"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382A2B56" w14:textId="77777777" w:rsidR="00D170E5" w:rsidRPr="002B55E9" w:rsidRDefault="00EF27AD" w:rsidP="006D37FD">
            <w:pPr>
              <w:pStyle w:val="lgy-"/>
              <w:rPr>
                <w:rFonts w:eastAsia="宋体"/>
              </w:rPr>
            </w:pPr>
            <w:r w:rsidRPr="002B55E9">
              <w:rPr>
                <w:rFonts w:eastAsia="宋体" w:hint="eastAsia"/>
              </w:rPr>
              <w:t>3000</w:t>
            </w:r>
          </w:p>
        </w:tc>
        <w:tc>
          <w:tcPr>
            <w:tcW w:w="1509" w:type="dxa"/>
            <w:vMerge w:val="restart"/>
          </w:tcPr>
          <w:p w14:paraId="44CD43F4" w14:textId="77777777" w:rsidR="00D170E5" w:rsidRPr="002B55E9" w:rsidRDefault="00EF27AD" w:rsidP="006D37FD">
            <w:pPr>
              <w:pStyle w:val="lgy-"/>
              <w:rPr>
                <w:rFonts w:eastAsia="宋体"/>
              </w:rPr>
            </w:pPr>
            <w:r w:rsidRPr="002B55E9">
              <w:rPr>
                <w:rFonts w:eastAsia="宋体"/>
              </w:rPr>
              <w:t>《环境空气质量标准》（</w:t>
            </w:r>
            <w:r w:rsidRPr="002B55E9">
              <w:rPr>
                <w:rFonts w:eastAsia="宋体"/>
              </w:rPr>
              <w:t>GB3095-2012</w:t>
            </w:r>
            <w:r w:rsidRPr="002B55E9">
              <w:rPr>
                <w:rFonts w:eastAsia="宋体"/>
              </w:rPr>
              <w:t>）及其修改单二类区</w:t>
            </w:r>
          </w:p>
        </w:tc>
        <w:tc>
          <w:tcPr>
            <w:tcW w:w="894" w:type="dxa"/>
          </w:tcPr>
          <w:p w14:paraId="11B4CCF2" w14:textId="77777777" w:rsidR="00D170E5" w:rsidRPr="002B55E9" w:rsidRDefault="00EF27AD" w:rsidP="006D37FD">
            <w:pPr>
              <w:pStyle w:val="lgy-"/>
              <w:rPr>
                <w:rFonts w:eastAsia="宋体"/>
              </w:rPr>
            </w:pPr>
            <w:r w:rsidRPr="002B55E9">
              <w:rPr>
                <w:rFonts w:eastAsia="宋体" w:hint="eastAsia"/>
              </w:rPr>
              <w:t>西北</w:t>
            </w:r>
          </w:p>
        </w:tc>
        <w:tc>
          <w:tcPr>
            <w:tcW w:w="995" w:type="dxa"/>
          </w:tcPr>
          <w:p w14:paraId="60272991" w14:textId="77777777" w:rsidR="00D170E5" w:rsidRPr="002B55E9" w:rsidRDefault="00EF27AD" w:rsidP="006D37FD">
            <w:pPr>
              <w:pStyle w:val="lgy-"/>
              <w:rPr>
                <w:rFonts w:eastAsia="宋体"/>
              </w:rPr>
            </w:pPr>
            <w:r w:rsidRPr="002B55E9">
              <w:rPr>
                <w:rFonts w:eastAsia="宋体"/>
              </w:rPr>
              <w:t>800</w:t>
            </w:r>
          </w:p>
        </w:tc>
      </w:tr>
      <w:tr w:rsidR="002B55E9" w:rsidRPr="002B55E9" w14:paraId="2F6D03B2" w14:textId="77777777" w:rsidTr="006D37FD">
        <w:trPr>
          <w:trHeight w:val="283"/>
        </w:trPr>
        <w:tc>
          <w:tcPr>
            <w:tcW w:w="1701" w:type="dxa"/>
          </w:tcPr>
          <w:p w14:paraId="1ADA0A07" w14:textId="4B35E9E2" w:rsidR="00D170E5" w:rsidRPr="002B55E9" w:rsidRDefault="004A09E8" w:rsidP="006D37FD">
            <w:pPr>
              <w:pStyle w:val="lgy-"/>
              <w:rPr>
                <w:rFonts w:eastAsia="宋体"/>
              </w:rPr>
            </w:pPr>
            <w:r w:rsidRPr="002B55E9">
              <w:rPr>
                <w:rFonts w:eastAsia="宋体" w:hint="eastAsia"/>
              </w:rPr>
              <w:t>莲港村</w:t>
            </w:r>
          </w:p>
        </w:tc>
        <w:tc>
          <w:tcPr>
            <w:tcW w:w="1527" w:type="dxa"/>
          </w:tcPr>
          <w:p w14:paraId="39BF7893" w14:textId="77777777" w:rsidR="00D170E5" w:rsidRPr="002B55E9" w:rsidRDefault="00EF27AD" w:rsidP="006D37FD">
            <w:pPr>
              <w:pStyle w:val="lgy-"/>
              <w:rPr>
                <w:rFonts w:eastAsia="宋体"/>
              </w:rPr>
            </w:pPr>
            <w:r w:rsidRPr="002B55E9">
              <w:rPr>
                <w:rFonts w:eastAsia="宋体"/>
              </w:rPr>
              <w:t>114.01169653</w:t>
            </w:r>
          </w:p>
        </w:tc>
        <w:tc>
          <w:tcPr>
            <w:tcW w:w="1170" w:type="dxa"/>
          </w:tcPr>
          <w:p w14:paraId="01816491" w14:textId="77777777" w:rsidR="00D170E5" w:rsidRPr="002B55E9" w:rsidRDefault="00EF27AD" w:rsidP="006D37FD">
            <w:pPr>
              <w:pStyle w:val="lgy-"/>
              <w:rPr>
                <w:rFonts w:eastAsia="宋体"/>
              </w:rPr>
            </w:pPr>
            <w:r w:rsidRPr="002B55E9">
              <w:rPr>
                <w:rFonts w:eastAsia="宋体"/>
              </w:rPr>
              <w:t>30.68689067</w:t>
            </w:r>
          </w:p>
        </w:tc>
        <w:tc>
          <w:tcPr>
            <w:tcW w:w="709" w:type="dxa"/>
          </w:tcPr>
          <w:p w14:paraId="5BFBB4E3"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62575ABB" w14:textId="77777777" w:rsidR="00D170E5" w:rsidRPr="002B55E9" w:rsidRDefault="00EF27AD" w:rsidP="006D37FD">
            <w:pPr>
              <w:pStyle w:val="lgy-"/>
              <w:rPr>
                <w:rFonts w:eastAsia="宋体"/>
              </w:rPr>
            </w:pPr>
            <w:r w:rsidRPr="002B55E9">
              <w:rPr>
                <w:rFonts w:eastAsia="宋体" w:hint="eastAsia"/>
              </w:rPr>
              <w:t>400</w:t>
            </w:r>
          </w:p>
        </w:tc>
        <w:tc>
          <w:tcPr>
            <w:tcW w:w="1509" w:type="dxa"/>
            <w:vMerge/>
          </w:tcPr>
          <w:p w14:paraId="4C409D50" w14:textId="77777777" w:rsidR="00D170E5" w:rsidRPr="002B55E9" w:rsidRDefault="00D170E5" w:rsidP="006D37FD">
            <w:pPr>
              <w:pStyle w:val="lgy-"/>
              <w:rPr>
                <w:rFonts w:eastAsia="宋体"/>
              </w:rPr>
            </w:pPr>
          </w:p>
        </w:tc>
        <w:tc>
          <w:tcPr>
            <w:tcW w:w="894" w:type="dxa"/>
          </w:tcPr>
          <w:p w14:paraId="65DFD6AF" w14:textId="77777777" w:rsidR="00D170E5" w:rsidRPr="002B55E9" w:rsidRDefault="00EF27AD" w:rsidP="006D37FD">
            <w:pPr>
              <w:pStyle w:val="lgy-"/>
              <w:rPr>
                <w:rFonts w:eastAsia="宋体"/>
              </w:rPr>
            </w:pPr>
            <w:r w:rsidRPr="002B55E9">
              <w:rPr>
                <w:rFonts w:eastAsia="宋体" w:hint="eastAsia"/>
              </w:rPr>
              <w:t>东北</w:t>
            </w:r>
          </w:p>
        </w:tc>
        <w:tc>
          <w:tcPr>
            <w:tcW w:w="995" w:type="dxa"/>
          </w:tcPr>
          <w:p w14:paraId="573BE27F" w14:textId="77777777" w:rsidR="00D170E5" w:rsidRPr="002B55E9" w:rsidRDefault="00EF27AD" w:rsidP="006D37FD">
            <w:pPr>
              <w:pStyle w:val="lgy-"/>
              <w:rPr>
                <w:rFonts w:eastAsia="宋体"/>
              </w:rPr>
            </w:pPr>
            <w:r w:rsidRPr="002B55E9">
              <w:rPr>
                <w:rFonts w:eastAsia="宋体"/>
              </w:rPr>
              <w:t>1800</w:t>
            </w:r>
          </w:p>
        </w:tc>
      </w:tr>
      <w:tr w:rsidR="002B55E9" w:rsidRPr="002B55E9" w14:paraId="729F1E36" w14:textId="77777777" w:rsidTr="006D37FD">
        <w:trPr>
          <w:trHeight w:val="283"/>
        </w:trPr>
        <w:tc>
          <w:tcPr>
            <w:tcW w:w="1701" w:type="dxa"/>
          </w:tcPr>
          <w:p w14:paraId="04338A2D" w14:textId="77777777" w:rsidR="00D170E5" w:rsidRPr="002B55E9" w:rsidRDefault="00EF27AD" w:rsidP="006D37FD">
            <w:pPr>
              <w:pStyle w:val="lgy-"/>
              <w:rPr>
                <w:rFonts w:eastAsia="宋体"/>
              </w:rPr>
            </w:pPr>
            <w:r w:rsidRPr="002B55E9">
              <w:rPr>
                <w:rFonts w:eastAsia="宋体" w:hint="eastAsia"/>
              </w:rPr>
              <w:t>新池村</w:t>
            </w:r>
          </w:p>
        </w:tc>
        <w:tc>
          <w:tcPr>
            <w:tcW w:w="1527" w:type="dxa"/>
          </w:tcPr>
          <w:p w14:paraId="484890E7" w14:textId="77777777" w:rsidR="00D170E5" w:rsidRPr="002B55E9" w:rsidRDefault="00EF27AD" w:rsidP="006D37FD">
            <w:pPr>
              <w:pStyle w:val="lgy-"/>
              <w:rPr>
                <w:rFonts w:eastAsia="宋体"/>
              </w:rPr>
            </w:pPr>
            <w:r w:rsidRPr="002B55E9">
              <w:rPr>
                <w:rFonts w:eastAsia="宋体"/>
              </w:rPr>
              <w:t>114.01350296</w:t>
            </w:r>
          </w:p>
        </w:tc>
        <w:tc>
          <w:tcPr>
            <w:tcW w:w="1170" w:type="dxa"/>
          </w:tcPr>
          <w:p w14:paraId="22EBBC5F" w14:textId="77777777" w:rsidR="00D170E5" w:rsidRPr="002B55E9" w:rsidRDefault="00EF27AD" w:rsidP="006D37FD">
            <w:pPr>
              <w:pStyle w:val="lgy-"/>
              <w:rPr>
                <w:rFonts w:eastAsia="宋体"/>
              </w:rPr>
            </w:pPr>
            <w:r w:rsidRPr="002B55E9">
              <w:rPr>
                <w:rFonts w:eastAsia="宋体"/>
              </w:rPr>
              <w:t>30.67677889</w:t>
            </w:r>
          </w:p>
        </w:tc>
        <w:tc>
          <w:tcPr>
            <w:tcW w:w="709" w:type="dxa"/>
          </w:tcPr>
          <w:p w14:paraId="48A642CE"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2D5DBED1" w14:textId="77777777" w:rsidR="00D170E5" w:rsidRPr="002B55E9" w:rsidRDefault="00EF27AD" w:rsidP="006D37FD">
            <w:pPr>
              <w:pStyle w:val="lgy-"/>
              <w:rPr>
                <w:rFonts w:eastAsia="宋体"/>
              </w:rPr>
            </w:pPr>
            <w:r w:rsidRPr="002B55E9">
              <w:rPr>
                <w:rFonts w:eastAsia="宋体" w:hint="eastAsia"/>
              </w:rPr>
              <w:t>200</w:t>
            </w:r>
          </w:p>
        </w:tc>
        <w:tc>
          <w:tcPr>
            <w:tcW w:w="1509" w:type="dxa"/>
            <w:vMerge/>
          </w:tcPr>
          <w:p w14:paraId="006E1393" w14:textId="77777777" w:rsidR="00D170E5" w:rsidRPr="002B55E9" w:rsidRDefault="00D170E5" w:rsidP="006D37FD">
            <w:pPr>
              <w:pStyle w:val="lgy-"/>
              <w:rPr>
                <w:rFonts w:eastAsia="宋体"/>
              </w:rPr>
            </w:pPr>
          </w:p>
        </w:tc>
        <w:tc>
          <w:tcPr>
            <w:tcW w:w="894" w:type="dxa"/>
          </w:tcPr>
          <w:p w14:paraId="19F191FF" w14:textId="77777777" w:rsidR="00D170E5" w:rsidRPr="002B55E9" w:rsidRDefault="00EF27AD" w:rsidP="006D37FD">
            <w:pPr>
              <w:pStyle w:val="lgy-"/>
              <w:rPr>
                <w:rFonts w:eastAsia="宋体"/>
              </w:rPr>
            </w:pPr>
            <w:r w:rsidRPr="002B55E9">
              <w:rPr>
                <w:rFonts w:eastAsia="宋体" w:hint="eastAsia"/>
              </w:rPr>
              <w:t>东</w:t>
            </w:r>
          </w:p>
        </w:tc>
        <w:tc>
          <w:tcPr>
            <w:tcW w:w="995" w:type="dxa"/>
          </w:tcPr>
          <w:p w14:paraId="637AA1D4" w14:textId="77777777" w:rsidR="00D170E5" w:rsidRPr="002B55E9" w:rsidRDefault="00EF27AD" w:rsidP="006D37FD">
            <w:pPr>
              <w:pStyle w:val="lgy-"/>
              <w:rPr>
                <w:rFonts w:eastAsia="宋体"/>
              </w:rPr>
            </w:pPr>
            <w:r w:rsidRPr="002B55E9">
              <w:rPr>
                <w:rFonts w:eastAsia="宋体" w:hint="eastAsia"/>
              </w:rPr>
              <w:t>1</w:t>
            </w:r>
            <w:r w:rsidRPr="002B55E9">
              <w:rPr>
                <w:rFonts w:eastAsia="宋体"/>
              </w:rPr>
              <w:t>700</w:t>
            </w:r>
          </w:p>
        </w:tc>
      </w:tr>
      <w:tr w:rsidR="002B55E9" w:rsidRPr="002B55E9" w14:paraId="45296FAA" w14:textId="77777777" w:rsidTr="006D37FD">
        <w:trPr>
          <w:trHeight w:val="283"/>
        </w:trPr>
        <w:tc>
          <w:tcPr>
            <w:tcW w:w="1701" w:type="dxa"/>
          </w:tcPr>
          <w:p w14:paraId="5D56FE31" w14:textId="77777777" w:rsidR="00D170E5" w:rsidRPr="002B55E9" w:rsidRDefault="00EF27AD" w:rsidP="006D37FD">
            <w:pPr>
              <w:pStyle w:val="lgy-"/>
              <w:rPr>
                <w:rFonts w:eastAsia="宋体"/>
              </w:rPr>
            </w:pPr>
            <w:r w:rsidRPr="002B55E9">
              <w:rPr>
                <w:rFonts w:eastAsia="宋体" w:hint="eastAsia"/>
              </w:rPr>
              <w:t>汉湖村</w:t>
            </w:r>
          </w:p>
        </w:tc>
        <w:tc>
          <w:tcPr>
            <w:tcW w:w="1527" w:type="dxa"/>
          </w:tcPr>
          <w:p w14:paraId="6D629250" w14:textId="77777777" w:rsidR="00D170E5" w:rsidRPr="002B55E9" w:rsidRDefault="00EF27AD" w:rsidP="006D37FD">
            <w:pPr>
              <w:pStyle w:val="lgy-"/>
              <w:rPr>
                <w:rFonts w:eastAsia="宋体"/>
              </w:rPr>
            </w:pPr>
            <w:r w:rsidRPr="002B55E9">
              <w:rPr>
                <w:rFonts w:eastAsia="宋体"/>
              </w:rPr>
              <w:t>114.01737431</w:t>
            </w:r>
          </w:p>
        </w:tc>
        <w:tc>
          <w:tcPr>
            <w:tcW w:w="1170" w:type="dxa"/>
          </w:tcPr>
          <w:p w14:paraId="7993F235" w14:textId="77777777" w:rsidR="00D170E5" w:rsidRPr="002B55E9" w:rsidRDefault="00EF27AD" w:rsidP="006D37FD">
            <w:pPr>
              <w:pStyle w:val="lgy-"/>
              <w:rPr>
                <w:rFonts w:eastAsia="宋体"/>
              </w:rPr>
            </w:pPr>
            <w:r w:rsidRPr="002B55E9">
              <w:rPr>
                <w:rFonts w:eastAsia="宋体"/>
              </w:rPr>
              <w:t>30.66105885</w:t>
            </w:r>
          </w:p>
        </w:tc>
        <w:tc>
          <w:tcPr>
            <w:tcW w:w="709" w:type="dxa"/>
          </w:tcPr>
          <w:p w14:paraId="3BBFD1DE"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48E2F9CE" w14:textId="77777777" w:rsidR="00D170E5" w:rsidRPr="002B55E9" w:rsidRDefault="00EF27AD" w:rsidP="006D37FD">
            <w:pPr>
              <w:pStyle w:val="lgy-"/>
              <w:rPr>
                <w:rFonts w:eastAsia="宋体"/>
              </w:rPr>
            </w:pPr>
            <w:r w:rsidRPr="002B55E9">
              <w:rPr>
                <w:rFonts w:eastAsia="宋体" w:hint="eastAsia"/>
              </w:rPr>
              <w:t>60</w:t>
            </w:r>
          </w:p>
        </w:tc>
        <w:tc>
          <w:tcPr>
            <w:tcW w:w="1509" w:type="dxa"/>
            <w:vMerge/>
          </w:tcPr>
          <w:p w14:paraId="46962A9A" w14:textId="77777777" w:rsidR="00D170E5" w:rsidRPr="002B55E9" w:rsidRDefault="00D170E5" w:rsidP="006D37FD">
            <w:pPr>
              <w:pStyle w:val="lgy-"/>
              <w:rPr>
                <w:rFonts w:eastAsia="宋体"/>
              </w:rPr>
            </w:pPr>
          </w:p>
        </w:tc>
        <w:tc>
          <w:tcPr>
            <w:tcW w:w="894" w:type="dxa"/>
          </w:tcPr>
          <w:p w14:paraId="09ED3CD3" w14:textId="77777777" w:rsidR="00D170E5" w:rsidRPr="002B55E9" w:rsidRDefault="00EF27AD" w:rsidP="006D37FD">
            <w:pPr>
              <w:pStyle w:val="lgy-"/>
              <w:rPr>
                <w:rFonts w:eastAsia="宋体"/>
              </w:rPr>
            </w:pPr>
            <w:r w:rsidRPr="002B55E9">
              <w:rPr>
                <w:rFonts w:eastAsia="宋体" w:hint="eastAsia"/>
              </w:rPr>
              <w:t>东南</w:t>
            </w:r>
          </w:p>
        </w:tc>
        <w:tc>
          <w:tcPr>
            <w:tcW w:w="995" w:type="dxa"/>
          </w:tcPr>
          <w:p w14:paraId="6D432D30" w14:textId="2102B227" w:rsidR="00D170E5" w:rsidRPr="002B55E9" w:rsidRDefault="0054398B" w:rsidP="006D37FD">
            <w:pPr>
              <w:pStyle w:val="lgy-"/>
              <w:rPr>
                <w:rFonts w:eastAsia="宋体"/>
              </w:rPr>
            </w:pPr>
            <w:r w:rsidRPr="002B55E9">
              <w:rPr>
                <w:rFonts w:eastAsia="宋体"/>
              </w:rPr>
              <w:t>2460</w:t>
            </w:r>
          </w:p>
        </w:tc>
      </w:tr>
      <w:tr w:rsidR="002B55E9" w:rsidRPr="002B55E9" w14:paraId="19969530" w14:textId="77777777" w:rsidTr="006D37FD">
        <w:trPr>
          <w:trHeight w:val="283"/>
        </w:trPr>
        <w:tc>
          <w:tcPr>
            <w:tcW w:w="1701" w:type="dxa"/>
          </w:tcPr>
          <w:p w14:paraId="61ADB5E1" w14:textId="77777777" w:rsidR="00D170E5" w:rsidRPr="002B55E9" w:rsidRDefault="00EF27AD" w:rsidP="006D37FD">
            <w:pPr>
              <w:pStyle w:val="lgy-"/>
              <w:rPr>
                <w:rFonts w:eastAsia="宋体"/>
              </w:rPr>
            </w:pPr>
            <w:r w:rsidRPr="002B55E9">
              <w:rPr>
                <w:rFonts w:eastAsia="宋体" w:hint="eastAsia"/>
              </w:rPr>
              <w:t>汉江湖畔小区</w:t>
            </w:r>
          </w:p>
        </w:tc>
        <w:tc>
          <w:tcPr>
            <w:tcW w:w="1527" w:type="dxa"/>
          </w:tcPr>
          <w:p w14:paraId="602772DF" w14:textId="77777777" w:rsidR="00D170E5" w:rsidRPr="002B55E9" w:rsidRDefault="00EF27AD" w:rsidP="006D37FD">
            <w:pPr>
              <w:pStyle w:val="lgy-"/>
              <w:rPr>
                <w:rFonts w:eastAsia="宋体"/>
              </w:rPr>
            </w:pPr>
            <w:r w:rsidRPr="002B55E9">
              <w:rPr>
                <w:rFonts w:eastAsia="宋体"/>
              </w:rPr>
              <w:t>113.97735758</w:t>
            </w:r>
          </w:p>
        </w:tc>
        <w:tc>
          <w:tcPr>
            <w:tcW w:w="1170" w:type="dxa"/>
          </w:tcPr>
          <w:p w14:paraId="646EB1B2" w14:textId="77777777" w:rsidR="00D170E5" w:rsidRPr="002B55E9" w:rsidRDefault="00EF27AD" w:rsidP="006D37FD">
            <w:pPr>
              <w:pStyle w:val="lgy-"/>
              <w:rPr>
                <w:rFonts w:eastAsia="宋体"/>
              </w:rPr>
            </w:pPr>
            <w:r w:rsidRPr="002B55E9">
              <w:rPr>
                <w:rFonts w:eastAsia="宋体"/>
              </w:rPr>
              <w:t>30.65702613</w:t>
            </w:r>
          </w:p>
        </w:tc>
        <w:tc>
          <w:tcPr>
            <w:tcW w:w="709" w:type="dxa"/>
          </w:tcPr>
          <w:p w14:paraId="05A3EDF5"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7CEC7FE1" w14:textId="77777777" w:rsidR="00D170E5" w:rsidRPr="002B55E9" w:rsidRDefault="00EF27AD" w:rsidP="006D37FD">
            <w:pPr>
              <w:pStyle w:val="lgy-"/>
              <w:rPr>
                <w:rFonts w:eastAsia="宋体"/>
              </w:rPr>
            </w:pPr>
            <w:r w:rsidRPr="002B55E9">
              <w:rPr>
                <w:rFonts w:eastAsia="宋体" w:hint="eastAsia"/>
              </w:rPr>
              <w:t>3000</w:t>
            </w:r>
          </w:p>
        </w:tc>
        <w:tc>
          <w:tcPr>
            <w:tcW w:w="1509" w:type="dxa"/>
            <w:vMerge/>
          </w:tcPr>
          <w:p w14:paraId="17F2DD91" w14:textId="77777777" w:rsidR="00D170E5" w:rsidRPr="002B55E9" w:rsidRDefault="00D170E5" w:rsidP="006D37FD">
            <w:pPr>
              <w:pStyle w:val="lgy-"/>
              <w:rPr>
                <w:rFonts w:eastAsia="宋体"/>
              </w:rPr>
            </w:pPr>
          </w:p>
        </w:tc>
        <w:tc>
          <w:tcPr>
            <w:tcW w:w="894" w:type="dxa"/>
          </w:tcPr>
          <w:p w14:paraId="5B2ABCD8" w14:textId="77777777" w:rsidR="00D170E5" w:rsidRPr="002B55E9" w:rsidRDefault="00EF27AD" w:rsidP="006D37FD">
            <w:pPr>
              <w:pStyle w:val="lgy-"/>
              <w:rPr>
                <w:rFonts w:eastAsia="宋体"/>
              </w:rPr>
            </w:pPr>
            <w:r w:rsidRPr="002B55E9">
              <w:rPr>
                <w:rFonts w:eastAsia="宋体" w:hint="eastAsia"/>
              </w:rPr>
              <w:t>西南</w:t>
            </w:r>
          </w:p>
        </w:tc>
        <w:tc>
          <w:tcPr>
            <w:tcW w:w="995" w:type="dxa"/>
          </w:tcPr>
          <w:p w14:paraId="119B9B04" w14:textId="52FFC353" w:rsidR="00D170E5" w:rsidRPr="002B55E9" w:rsidRDefault="0054398B" w:rsidP="006D37FD">
            <w:pPr>
              <w:pStyle w:val="lgy-"/>
              <w:rPr>
                <w:rFonts w:eastAsia="宋体"/>
              </w:rPr>
            </w:pPr>
            <w:r w:rsidRPr="002B55E9">
              <w:rPr>
                <w:rFonts w:eastAsia="宋体"/>
              </w:rPr>
              <w:t>2200</w:t>
            </w:r>
          </w:p>
        </w:tc>
      </w:tr>
      <w:tr w:rsidR="002B55E9" w:rsidRPr="002B55E9" w14:paraId="21B7A4D8" w14:textId="77777777" w:rsidTr="006D37FD">
        <w:trPr>
          <w:trHeight w:val="283"/>
        </w:trPr>
        <w:tc>
          <w:tcPr>
            <w:tcW w:w="1701" w:type="dxa"/>
          </w:tcPr>
          <w:p w14:paraId="40E616C6" w14:textId="77777777" w:rsidR="00D170E5" w:rsidRPr="002B55E9" w:rsidRDefault="00EF27AD" w:rsidP="006D37FD">
            <w:pPr>
              <w:pStyle w:val="lgy-"/>
              <w:rPr>
                <w:rFonts w:eastAsia="宋体"/>
              </w:rPr>
            </w:pPr>
            <w:r w:rsidRPr="002B55E9">
              <w:rPr>
                <w:rFonts w:eastAsia="宋体" w:hint="eastAsia"/>
              </w:rPr>
              <w:t>孙家湾大队村</w:t>
            </w:r>
          </w:p>
        </w:tc>
        <w:tc>
          <w:tcPr>
            <w:tcW w:w="1527" w:type="dxa"/>
          </w:tcPr>
          <w:p w14:paraId="56047695" w14:textId="77777777" w:rsidR="00D170E5" w:rsidRPr="002B55E9" w:rsidRDefault="00EF27AD" w:rsidP="006D37FD">
            <w:pPr>
              <w:pStyle w:val="lgy-"/>
              <w:rPr>
                <w:rFonts w:eastAsia="宋体"/>
              </w:rPr>
            </w:pPr>
            <w:r w:rsidRPr="002B55E9">
              <w:rPr>
                <w:rFonts w:eastAsia="宋体"/>
              </w:rPr>
              <w:t>113.98811344</w:t>
            </w:r>
          </w:p>
        </w:tc>
        <w:tc>
          <w:tcPr>
            <w:tcW w:w="1170" w:type="dxa"/>
          </w:tcPr>
          <w:p w14:paraId="04460501" w14:textId="77777777" w:rsidR="00D170E5" w:rsidRPr="002B55E9" w:rsidRDefault="00EF27AD" w:rsidP="006D37FD">
            <w:pPr>
              <w:pStyle w:val="lgy-"/>
              <w:rPr>
                <w:rFonts w:eastAsia="宋体"/>
              </w:rPr>
            </w:pPr>
            <w:r w:rsidRPr="002B55E9">
              <w:rPr>
                <w:rFonts w:eastAsia="宋体"/>
              </w:rPr>
              <w:t>30.66185754</w:t>
            </w:r>
          </w:p>
        </w:tc>
        <w:tc>
          <w:tcPr>
            <w:tcW w:w="709" w:type="dxa"/>
          </w:tcPr>
          <w:p w14:paraId="0D3AA6CC"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1E1D92C3" w14:textId="77777777" w:rsidR="00D170E5" w:rsidRPr="002B55E9" w:rsidRDefault="00EF27AD" w:rsidP="006D37FD">
            <w:pPr>
              <w:pStyle w:val="lgy-"/>
              <w:rPr>
                <w:rFonts w:eastAsia="宋体"/>
              </w:rPr>
            </w:pPr>
            <w:r w:rsidRPr="002B55E9">
              <w:rPr>
                <w:rFonts w:eastAsia="宋体" w:hint="eastAsia"/>
              </w:rPr>
              <w:t>900</w:t>
            </w:r>
          </w:p>
        </w:tc>
        <w:tc>
          <w:tcPr>
            <w:tcW w:w="1509" w:type="dxa"/>
            <w:vMerge/>
          </w:tcPr>
          <w:p w14:paraId="6F941496" w14:textId="77777777" w:rsidR="00D170E5" w:rsidRPr="002B55E9" w:rsidRDefault="00D170E5" w:rsidP="006D37FD">
            <w:pPr>
              <w:pStyle w:val="lgy-"/>
              <w:rPr>
                <w:rFonts w:eastAsia="宋体"/>
              </w:rPr>
            </w:pPr>
          </w:p>
        </w:tc>
        <w:tc>
          <w:tcPr>
            <w:tcW w:w="894" w:type="dxa"/>
          </w:tcPr>
          <w:p w14:paraId="1EE69EDA" w14:textId="77777777" w:rsidR="00D170E5" w:rsidRPr="002B55E9" w:rsidRDefault="00EF27AD" w:rsidP="006D37FD">
            <w:pPr>
              <w:pStyle w:val="lgy-"/>
              <w:rPr>
                <w:rFonts w:eastAsia="宋体"/>
              </w:rPr>
            </w:pPr>
            <w:r w:rsidRPr="002B55E9">
              <w:rPr>
                <w:rFonts w:eastAsia="宋体" w:hint="eastAsia"/>
              </w:rPr>
              <w:t>西南</w:t>
            </w:r>
          </w:p>
        </w:tc>
        <w:tc>
          <w:tcPr>
            <w:tcW w:w="995" w:type="dxa"/>
          </w:tcPr>
          <w:p w14:paraId="1068DB74" w14:textId="77777777" w:rsidR="00D170E5" w:rsidRPr="002B55E9" w:rsidRDefault="00EF27AD" w:rsidP="006D37FD">
            <w:pPr>
              <w:pStyle w:val="lgy-"/>
              <w:rPr>
                <w:rFonts w:eastAsia="宋体"/>
              </w:rPr>
            </w:pPr>
            <w:r w:rsidRPr="002B55E9">
              <w:rPr>
                <w:rFonts w:eastAsia="宋体"/>
              </w:rPr>
              <w:t>1500</w:t>
            </w:r>
          </w:p>
        </w:tc>
      </w:tr>
      <w:tr w:rsidR="002B55E9" w:rsidRPr="002B55E9" w14:paraId="5164EB40" w14:textId="77777777" w:rsidTr="006D37FD">
        <w:trPr>
          <w:trHeight w:val="283"/>
        </w:trPr>
        <w:tc>
          <w:tcPr>
            <w:tcW w:w="1701" w:type="dxa"/>
          </w:tcPr>
          <w:p w14:paraId="1D3BB2AF" w14:textId="77777777" w:rsidR="00D170E5" w:rsidRPr="002B55E9" w:rsidRDefault="00EF27AD" w:rsidP="006D37FD">
            <w:pPr>
              <w:pStyle w:val="lgy-"/>
              <w:rPr>
                <w:rFonts w:eastAsia="宋体"/>
              </w:rPr>
            </w:pPr>
            <w:r w:rsidRPr="002B55E9">
              <w:rPr>
                <w:rFonts w:eastAsia="宋体" w:hint="eastAsia"/>
              </w:rPr>
              <w:t>复原</w:t>
            </w:r>
            <w:r w:rsidRPr="002B55E9">
              <w:rPr>
                <w:rFonts w:eastAsia="宋体"/>
              </w:rPr>
              <w:t>村</w:t>
            </w:r>
          </w:p>
        </w:tc>
        <w:tc>
          <w:tcPr>
            <w:tcW w:w="1527" w:type="dxa"/>
          </w:tcPr>
          <w:p w14:paraId="1642B09A" w14:textId="77777777" w:rsidR="00D170E5" w:rsidRPr="002B55E9" w:rsidRDefault="00EF27AD" w:rsidP="006D37FD">
            <w:pPr>
              <w:pStyle w:val="lgy-"/>
              <w:rPr>
                <w:rFonts w:eastAsia="宋体"/>
              </w:rPr>
            </w:pPr>
            <w:r w:rsidRPr="002B55E9">
              <w:rPr>
                <w:rFonts w:eastAsia="宋体"/>
              </w:rPr>
              <w:t>113.96594524</w:t>
            </w:r>
          </w:p>
        </w:tc>
        <w:tc>
          <w:tcPr>
            <w:tcW w:w="1170" w:type="dxa"/>
          </w:tcPr>
          <w:p w14:paraId="177DD34C" w14:textId="77777777" w:rsidR="00D170E5" w:rsidRPr="002B55E9" w:rsidRDefault="00EF27AD" w:rsidP="006D37FD">
            <w:pPr>
              <w:pStyle w:val="lgy-"/>
              <w:rPr>
                <w:rFonts w:eastAsia="宋体"/>
              </w:rPr>
            </w:pPr>
            <w:r w:rsidRPr="002B55E9">
              <w:rPr>
                <w:rFonts w:eastAsia="宋体"/>
              </w:rPr>
              <w:t>30.65729549</w:t>
            </w:r>
          </w:p>
        </w:tc>
        <w:tc>
          <w:tcPr>
            <w:tcW w:w="709" w:type="dxa"/>
          </w:tcPr>
          <w:p w14:paraId="511FCBCC" w14:textId="77777777" w:rsidR="00D170E5" w:rsidRPr="002B55E9" w:rsidRDefault="00EF27AD" w:rsidP="006D37FD">
            <w:pPr>
              <w:pStyle w:val="lgy-"/>
              <w:rPr>
                <w:rFonts w:eastAsia="宋体"/>
              </w:rPr>
            </w:pPr>
            <w:r w:rsidRPr="002B55E9">
              <w:rPr>
                <w:rFonts w:eastAsia="宋体" w:hint="eastAsia"/>
              </w:rPr>
              <w:t>居民</w:t>
            </w:r>
          </w:p>
        </w:tc>
        <w:tc>
          <w:tcPr>
            <w:tcW w:w="1133" w:type="dxa"/>
          </w:tcPr>
          <w:p w14:paraId="4BDA2BFF" w14:textId="77777777" w:rsidR="00D170E5" w:rsidRPr="002B55E9" w:rsidRDefault="00EF27AD" w:rsidP="006D37FD">
            <w:pPr>
              <w:pStyle w:val="lgy-"/>
              <w:rPr>
                <w:rFonts w:eastAsia="宋体"/>
              </w:rPr>
            </w:pPr>
            <w:r w:rsidRPr="002B55E9">
              <w:rPr>
                <w:rFonts w:eastAsia="宋体" w:hint="eastAsia"/>
              </w:rPr>
              <w:t>2</w:t>
            </w:r>
            <w:r w:rsidRPr="002B55E9">
              <w:rPr>
                <w:rFonts w:eastAsia="宋体"/>
              </w:rPr>
              <w:t>50</w:t>
            </w:r>
          </w:p>
        </w:tc>
        <w:tc>
          <w:tcPr>
            <w:tcW w:w="1509" w:type="dxa"/>
            <w:vMerge/>
          </w:tcPr>
          <w:p w14:paraId="0BD6BC24" w14:textId="77777777" w:rsidR="00D170E5" w:rsidRPr="002B55E9" w:rsidRDefault="00D170E5" w:rsidP="006D37FD">
            <w:pPr>
              <w:pStyle w:val="lgy-"/>
              <w:rPr>
                <w:rFonts w:eastAsia="宋体"/>
              </w:rPr>
            </w:pPr>
          </w:p>
        </w:tc>
        <w:tc>
          <w:tcPr>
            <w:tcW w:w="894" w:type="dxa"/>
          </w:tcPr>
          <w:p w14:paraId="47FC7723" w14:textId="77777777" w:rsidR="00D170E5" w:rsidRPr="002B55E9" w:rsidRDefault="00EF27AD" w:rsidP="006D37FD">
            <w:pPr>
              <w:pStyle w:val="lgy-"/>
              <w:rPr>
                <w:rFonts w:eastAsia="宋体"/>
              </w:rPr>
            </w:pPr>
            <w:r w:rsidRPr="002B55E9">
              <w:rPr>
                <w:rFonts w:eastAsia="宋体" w:hint="eastAsia"/>
              </w:rPr>
              <w:t>西南</w:t>
            </w:r>
          </w:p>
        </w:tc>
        <w:tc>
          <w:tcPr>
            <w:tcW w:w="995" w:type="dxa"/>
          </w:tcPr>
          <w:p w14:paraId="3B734D30" w14:textId="084E20B5" w:rsidR="00D170E5" w:rsidRPr="002B55E9" w:rsidRDefault="003F6AD7" w:rsidP="006D37FD">
            <w:pPr>
              <w:pStyle w:val="lgy-"/>
              <w:rPr>
                <w:rFonts w:eastAsia="宋体"/>
              </w:rPr>
            </w:pPr>
            <w:r w:rsidRPr="002B55E9">
              <w:rPr>
                <w:rFonts w:eastAsia="宋体"/>
              </w:rPr>
              <w:t>2960</w:t>
            </w:r>
          </w:p>
        </w:tc>
      </w:tr>
      <w:tr w:rsidR="002B55E9" w:rsidRPr="002B55E9" w14:paraId="186DE11C" w14:textId="77777777" w:rsidTr="006D37FD">
        <w:trPr>
          <w:trHeight w:val="283"/>
        </w:trPr>
        <w:tc>
          <w:tcPr>
            <w:tcW w:w="1701" w:type="dxa"/>
          </w:tcPr>
          <w:p w14:paraId="38A2742D" w14:textId="268557C5" w:rsidR="006D37FD" w:rsidRPr="002B55E9" w:rsidRDefault="006D37FD" w:rsidP="006D37FD">
            <w:pPr>
              <w:pStyle w:val="lgy-"/>
              <w:rPr>
                <w:rFonts w:eastAsia="宋体"/>
              </w:rPr>
            </w:pPr>
            <w:r w:rsidRPr="002B55E9">
              <w:rPr>
                <w:rFonts w:eastAsia="宋体" w:hint="eastAsia"/>
              </w:rPr>
              <w:t>飞利浦希望小学</w:t>
            </w:r>
          </w:p>
        </w:tc>
        <w:tc>
          <w:tcPr>
            <w:tcW w:w="1527" w:type="dxa"/>
          </w:tcPr>
          <w:p w14:paraId="4B4FB4B2" w14:textId="6719ED53" w:rsidR="006D37FD" w:rsidRPr="002B55E9" w:rsidRDefault="006D37FD" w:rsidP="006D37FD">
            <w:pPr>
              <w:pStyle w:val="lgy-"/>
              <w:rPr>
                <w:rFonts w:eastAsia="宋体"/>
              </w:rPr>
            </w:pPr>
            <w:r w:rsidRPr="002B55E9">
              <w:rPr>
                <w:rFonts w:eastAsia="宋体"/>
              </w:rPr>
              <w:t>113.98389896</w:t>
            </w:r>
          </w:p>
        </w:tc>
        <w:tc>
          <w:tcPr>
            <w:tcW w:w="1170" w:type="dxa"/>
          </w:tcPr>
          <w:p w14:paraId="4BD3DC0B" w14:textId="68B28648" w:rsidR="006D37FD" w:rsidRPr="002B55E9" w:rsidRDefault="006D37FD" w:rsidP="006D37FD">
            <w:pPr>
              <w:pStyle w:val="lgy-"/>
              <w:rPr>
                <w:rFonts w:eastAsia="宋体"/>
              </w:rPr>
            </w:pPr>
            <w:r w:rsidRPr="002B55E9">
              <w:rPr>
                <w:rFonts w:eastAsia="宋体"/>
              </w:rPr>
              <w:t>30.68400177</w:t>
            </w:r>
          </w:p>
        </w:tc>
        <w:tc>
          <w:tcPr>
            <w:tcW w:w="709" w:type="dxa"/>
          </w:tcPr>
          <w:p w14:paraId="19AD617F" w14:textId="62BEE4B3" w:rsidR="006D37FD" w:rsidRPr="002B55E9" w:rsidRDefault="006D37FD" w:rsidP="006D37FD">
            <w:pPr>
              <w:pStyle w:val="lgy-"/>
              <w:rPr>
                <w:rFonts w:eastAsia="宋体"/>
              </w:rPr>
            </w:pPr>
            <w:r w:rsidRPr="002B55E9">
              <w:rPr>
                <w:rFonts w:eastAsia="宋体" w:hint="eastAsia"/>
              </w:rPr>
              <w:t>学校</w:t>
            </w:r>
          </w:p>
        </w:tc>
        <w:tc>
          <w:tcPr>
            <w:tcW w:w="1133" w:type="dxa"/>
          </w:tcPr>
          <w:p w14:paraId="2B821443" w14:textId="43B1F67B" w:rsidR="006D37FD" w:rsidRPr="002B55E9" w:rsidRDefault="006D37FD" w:rsidP="006D37FD">
            <w:pPr>
              <w:pStyle w:val="lgy-"/>
              <w:rPr>
                <w:rFonts w:eastAsia="宋体"/>
              </w:rPr>
            </w:pPr>
            <w:r w:rsidRPr="002B55E9">
              <w:rPr>
                <w:rFonts w:eastAsia="宋体" w:hint="eastAsia"/>
              </w:rPr>
              <w:t>10</w:t>
            </w:r>
            <w:r w:rsidRPr="002B55E9">
              <w:rPr>
                <w:rFonts w:eastAsia="宋体"/>
              </w:rPr>
              <w:t>0</w:t>
            </w:r>
          </w:p>
        </w:tc>
        <w:tc>
          <w:tcPr>
            <w:tcW w:w="1509" w:type="dxa"/>
            <w:vMerge/>
          </w:tcPr>
          <w:p w14:paraId="385020FD" w14:textId="77777777" w:rsidR="006D37FD" w:rsidRPr="002B55E9" w:rsidRDefault="006D37FD" w:rsidP="006D37FD">
            <w:pPr>
              <w:pStyle w:val="lgy-"/>
              <w:rPr>
                <w:rFonts w:eastAsia="宋体"/>
              </w:rPr>
            </w:pPr>
          </w:p>
        </w:tc>
        <w:tc>
          <w:tcPr>
            <w:tcW w:w="894" w:type="dxa"/>
          </w:tcPr>
          <w:p w14:paraId="750E4ACC" w14:textId="745FDF73" w:rsidR="006D37FD" w:rsidRPr="002B55E9" w:rsidRDefault="006D37FD" w:rsidP="006D37FD">
            <w:pPr>
              <w:pStyle w:val="lgy-"/>
              <w:rPr>
                <w:rFonts w:eastAsia="宋体"/>
              </w:rPr>
            </w:pPr>
            <w:r w:rsidRPr="002B55E9">
              <w:rPr>
                <w:rFonts w:eastAsia="宋体" w:hint="eastAsia"/>
              </w:rPr>
              <w:t>东</w:t>
            </w:r>
          </w:p>
        </w:tc>
        <w:tc>
          <w:tcPr>
            <w:tcW w:w="995" w:type="dxa"/>
          </w:tcPr>
          <w:p w14:paraId="4058597D" w14:textId="6DACEDEC" w:rsidR="006D37FD" w:rsidRPr="002B55E9" w:rsidRDefault="006D37FD" w:rsidP="006D37FD">
            <w:pPr>
              <w:pStyle w:val="lgy-"/>
              <w:rPr>
                <w:rFonts w:eastAsia="宋体"/>
              </w:rPr>
            </w:pPr>
            <w:r w:rsidRPr="002B55E9">
              <w:rPr>
                <w:rFonts w:eastAsia="宋体" w:hint="eastAsia"/>
              </w:rPr>
              <w:t>77</w:t>
            </w:r>
            <w:r w:rsidRPr="002B55E9">
              <w:rPr>
                <w:rFonts w:eastAsia="宋体"/>
              </w:rPr>
              <w:t>0</w:t>
            </w:r>
          </w:p>
        </w:tc>
      </w:tr>
      <w:tr w:rsidR="002B55E9" w:rsidRPr="002B55E9" w14:paraId="5183CC8E" w14:textId="77777777" w:rsidTr="006D37FD">
        <w:trPr>
          <w:trHeight w:val="283"/>
        </w:trPr>
        <w:tc>
          <w:tcPr>
            <w:tcW w:w="1701" w:type="dxa"/>
          </w:tcPr>
          <w:p w14:paraId="27A1D4A9" w14:textId="77777777" w:rsidR="006D37FD" w:rsidRPr="002B55E9" w:rsidRDefault="006D37FD" w:rsidP="006D37FD">
            <w:pPr>
              <w:pStyle w:val="lgy-"/>
              <w:rPr>
                <w:rFonts w:eastAsia="宋体"/>
              </w:rPr>
            </w:pPr>
            <w:r w:rsidRPr="002B55E9">
              <w:rPr>
                <w:rFonts w:eastAsia="宋体" w:hint="eastAsia"/>
              </w:rPr>
              <w:t>后河岭</w:t>
            </w:r>
          </w:p>
        </w:tc>
        <w:tc>
          <w:tcPr>
            <w:tcW w:w="1527" w:type="dxa"/>
          </w:tcPr>
          <w:p w14:paraId="06682C24" w14:textId="77777777" w:rsidR="006D37FD" w:rsidRPr="002B55E9" w:rsidRDefault="006D37FD" w:rsidP="006D37FD">
            <w:pPr>
              <w:pStyle w:val="lgy-"/>
              <w:rPr>
                <w:rFonts w:eastAsia="宋体"/>
              </w:rPr>
            </w:pPr>
            <w:r w:rsidRPr="002B55E9">
              <w:rPr>
                <w:rFonts w:eastAsia="宋体"/>
              </w:rPr>
              <w:t>113.96815386</w:t>
            </w:r>
          </w:p>
        </w:tc>
        <w:tc>
          <w:tcPr>
            <w:tcW w:w="1170" w:type="dxa"/>
          </w:tcPr>
          <w:p w14:paraId="65722543" w14:textId="77777777" w:rsidR="006D37FD" w:rsidRPr="002B55E9" w:rsidRDefault="006D37FD" w:rsidP="006D37FD">
            <w:pPr>
              <w:pStyle w:val="lgy-"/>
              <w:rPr>
                <w:rFonts w:eastAsia="宋体"/>
              </w:rPr>
            </w:pPr>
            <w:r w:rsidRPr="002B55E9">
              <w:rPr>
                <w:rFonts w:eastAsia="宋体"/>
              </w:rPr>
              <w:t>30.66401926</w:t>
            </w:r>
          </w:p>
        </w:tc>
        <w:tc>
          <w:tcPr>
            <w:tcW w:w="709" w:type="dxa"/>
          </w:tcPr>
          <w:p w14:paraId="670C606B"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60DBC3FB" w14:textId="77777777" w:rsidR="006D37FD" w:rsidRPr="002B55E9" w:rsidRDefault="006D37FD" w:rsidP="006D37FD">
            <w:pPr>
              <w:pStyle w:val="lgy-"/>
              <w:rPr>
                <w:rFonts w:eastAsia="宋体"/>
              </w:rPr>
            </w:pPr>
            <w:r w:rsidRPr="002B55E9">
              <w:rPr>
                <w:rFonts w:eastAsia="宋体" w:hint="eastAsia"/>
              </w:rPr>
              <w:t>1</w:t>
            </w:r>
            <w:r w:rsidRPr="002B55E9">
              <w:rPr>
                <w:rFonts w:eastAsia="宋体"/>
              </w:rPr>
              <w:t>80</w:t>
            </w:r>
          </w:p>
        </w:tc>
        <w:tc>
          <w:tcPr>
            <w:tcW w:w="1509" w:type="dxa"/>
            <w:vMerge/>
          </w:tcPr>
          <w:p w14:paraId="69FA6F97" w14:textId="77777777" w:rsidR="006D37FD" w:rsidRPr="002B55E9" w:rsidRDefault="006D37FD" w:rsidP="006D37FD">
            <w:pPr>
              <w:pStyle w:val="lgy-"/>
              <w:rPr>
                <w:rFonts w:eastAsia="宋体"/>
              </w:rPr>
            </w:pPr>
          </w:p>
        </w:tc>
        <w:tc>
          <w:tcPr>
            <w:tcW w:w="894" w:type="dxa"/>
          </w:tcPr>
          <w:p w14:paraId="4797D3EA" w14:textId="77777777" w:rsidR="006D37FD" w:rsidRPr="002B55E9" w:rsidRDefault="006D37FD" w:rsidP="006D37FD">
            <w:pPr>
              <w:pStyle w:val="lgy-"/>
              <w:rPr>
                <w:rFonts w:eastAsia="宋体"/>
              </w:rPr>
            </w:pPr>
            <w:r w:rsidRPr="002B55E9">
              <w:rPr>
                <w:rFonts w:eastAsia="宋体" w:hint="eastAsia"/>
              </w:rPr>
              <w:t>西</w:t>
            </w:r>
          </w:p>
        </w:tc>
        <w:tc>
          <w:tcPr>
            <w:tcW w:w="995" w:type="dxa"/>
          </w:tcPr>
          <w:p w14:paraId="26A98C9B" w14:textId="7F375915" w:rsidR="006D37FD" w:rsidRPr="002B55E9" w:rsidRDefault="003F6AD7" w:rsidP="006D37FD">
            <w:pPr>
              <w:pStyle w:val="lgy-"/>
              <w:rPr>
                <w:rFonts w:eastAsia="宋体"/>
              </w:rPr>
            </w:pPr>
            <w:r w:rsidRPr="002B55E9">
              <w:rPr>
                <w:rFonts w:eastAsia="宋体"/>
              </w:rPr>
              <w:t>2480</w:t>
            </w:r>
          </w:p>
        </w:tc>
      </w:tr>
      <w:tr w:rsidR="002B55E9" w:rsidRPr="002B55E9" w14:paraId="2D6ECCEA" w14:textId="77777777" w:rsidTr="006D37FD">
        <w:trPr>
          <w:trHeight w:val="283"/>
        </w:trPr>
        <w:tc>
          <w:tcPr>
            <w:tcW w:w="1701" w:type="dxa"/>
          </w:tcPr>
          <w:p w14:paraId="484B50E8" w14:textId="77777777" w:rsidR="006D37FD" w:rsidRPr="002B55E9" w:rsidRDefault="006D37FD" w:rsidP="006D37FD">
            <w:pPr>
              <w:pStyle w:val="lgy-"/>
              <w:rPr>
                <w:rFonts w:eastAsia="宋体"/>
              </w:rPr>
            </w:pPr>
            <w:r w:rsidRPr="002B55E9">
              <w:rPr>
                <w:rFonts w:eastAsia="宋体" w:hint="eastAsia"/>
              </w:rPr>
              <w:t>张彭家台村</w:t>
            </w:r>
          </w:p>
        </w:tc>
        <w:tc>
          <w:tcPr>
            <w:tcW w:w="1527" w:type="dxa"/>
          </w:tcPr>
          <w:p w14:paraId="0C6BAEA6" w14:textId="77777777" w:rsidR="006D37FD" w:rsidRPr="002B55E9" w:rsidRDefault="006D37FD" w:rsidP="006D37FD">
            <w:pPr>
              <w:pStyle w:val="lgy-"/>
              <w:rPr>
                <w:rFonts w:eastAsia="宋体"/>
              </w:rPr>
            </w:pPr>
            <w:r w:rsidRPr="002B55E9">
              <w:rPr>
                <w:rFonts w:eastAsia="宋体"/>
              </w:rPr>
              <w:t>113.97107950</w:t>
            </w:r>
          </w:p>
        </w:tc>
        <w:tc>
          <w:tcPr>
            <w:tcW w:w="1170" w:type="dxa"/>
          </w:tcPr>
          <w:p w14:paraId="1A17CC08" w14:textId="77777777" w:rsidR="006D37FD" w:rsidRPr="002B55E9" w:rsidRDefault="006D37FD" w:rsidP="006D37FD">
            <w:pPr>
              <w:pStyle w:val="lgy-"/>
              <w:rPr>
                <w:rFonts w:eastAsia="宋体"/>
              </w:rPr>
            </w:pPr>
            <w:r w:rsidRPr="002B55E9">
              <w:rPr>
                <w:rFonts w:eastAsia="宋体"/>
              </w:rPr>
              <w:t>30.67746839</w:t>
            </w:r>
          </w:p>
        </w:tc>
        <w:tc>
          <w:tcPr>
            <w:tcW w:w="709" w:type="dxa"/>
          </w:tcPr>
          <w:p w14:paraId="1DFB0B73"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42F30BA0" w14:textId="77777777" w:rsidR="006D37FD" w:rsidRPr="002B55E9" w:rsidRDefault="006D37FD" w:rsidP="006D37FD">
            <w:pPr>
              <w:pStyle w:val="lgy-"/>
              <w:rPr>
                <w:rFonts w:eastAsia="宋体"/>
              </w:rPr>
            </w:pPr>
            <w:r w:rsidRPr="002B55E9">
              <w:rPr>
                <w:rFonts w:eastAsia="宋体" w:hint="eastAsia"/>
              </w:rPr>
              <w:t>200</w:t>
            </w:r>
          </w:p>
        </w:tc>
        <w:tc>
          <w:tcPr>
            <w:tcW w:w="1509" w:type="dxa"/>
            <w:vMerge/>
          </w:tcPr>
          <w:p w14:paraId="0111D298" w14:textId="77777777" w:rsidR="006D37FD" w:rsidRPr="002B55E9" w:rsidRDefault="006D37FD" w:rsidP="006D37FD">
            <w:pPr>
              <w:pStyle w:val="lgy-"/>
              <w:rPr>
                <w:rFonts w:eastAsia="宋体"/>
              </w:rPr>
            </w:pPr>
          </w:p>
        </w:tc>
        <w:tc>
          <w:tcPr>
            <w:tcW w:w="894" w:type="dxa"/>
          </w:tcPr>
          <w:p w14:paraId="23C8C00D" w14:textId="77777777" w:rsidR="006D37FD" w:rsidRPr="002B55E9" w:rsidRDefault="006D37FD" w:rsidP="006D37FD">
            <w:pPr>
              <w:pStyle w:val="lgy-"/>
              <w:rPr>
                <w:rFonts w:eastAsia="宋体"/>
              </w:rPr>
            </w:pPr>
            <w:r w:rsidRPr="002B55E9">
              <w:rPr>
                <w:rFonts w:eastAsia="宋体" w:hint="eastAsia"/>
              </w:rPr>
              <w:t>西</w:t>
            </w:r>
          </w:p>
        </w:tc>
        <w:tc>
          <w:tcPr>
            <w:tcW w:w="995" w:type="dxa"/>
          </w:tcPr>
          <w:p w14:paraId="677C7A5A" w14:textId="77777777" w:rsidR="006D37FD" w:rsidRPr="002B55E9" w:rsidRDefault="006D37FD" w:rsidP="006D37FD">
            <w:pPr>
              <w:pStyle w:val="lgy-"/>
              <w:rPr>
                <w:rFonts w:eastAsia="宋体"/>
              </w:rPr>
            </w:pPr>
            <w:r w:rsidRPr="002B55E9">
              <w:rPr>
                <w:rFonts w:eastAsia="宋体" w:hint="eastAsia"/>
              </w:rPr>
              <w:t>1</w:t>
            </w:r>
            <w:r w:rsidRPr="002B55E9">
              <w:rPr>
                <w:rFonts w:eastAsia="宋体"/>
              </w:rPr>
              <w:t>900</w:t>
            </w:r>
          </w:p>
        </w:tc>
      </w:tr>
      <w:tr w:rsidR="002B55E9" w:rsidRPr="002B55E9" w14:paraId="0461B349" w14:textId="77777777" w:rsidTr="006D37FD">
        <w:trPr>
          <w:trHeight w:val="283"/>
        </w:trPr>
        <w:tc>
          <w:tcPr>
            <w:tcW w:w="1701" w:type="dxa"/>
          </w:tcPr>
          <w:p w14:paraId="0EB7F2B2" w14:textId="77777777" w:rsidR="006D37FD" w:rsidRPr="002B55E9" w:rsidRDefault="006D37FD" w:rsidP="006D37FD">
            <w:pPr>
              <w:pStyle w:val="lgy-"/>
              <w:rPr>
                <w:rFonts w:eastAsia="宋体"/>
              </w:rPr>
            </w:pPr>
            <w:r w:rsidRPr="002B55E9">
              <w:rPr>
                <w:rFonts w:eastAsia="宋体" w:hint="eastAsia"/>
              </w:rPr>
              <w:t>新沟村</w:t>
            </w:r>
          </w:p>
        </w:tc>
        <w:tc>
          <w:tcPr>
            <w:tcW w:w="1527" w:type="dxa"/>
          </w:tcPr>
          <w:p w14:paraId="41E6474B" w14:textId="77777777" w:rsidR="006D37FD" w:rsidRPr="002B55E9" w:rsidRDefault="006D37FD" w:rsidP="006D37FD">
            <w:pPr>
              <w:pStyle w:val="lgy-"/>
              <w:rPr>
                <w:rFonts w:eastAsia="宋体"/>
              </w:rPr>
            </w:pPr>
            <w:r w:rsidRPr="002B55E9">
              <w:rPr>
                <w:rFonts w:eastAsia="宋体"/>
              </w:rPr>
              <w:t>113.97340268</w:t>
            </w:r>
          </w:p>
        </w:tc>
        <w:tc>
          <w:tcPr>
            <w:tcW w:w="1170" w:type="dxa"/>
          </w:tcPr>
          <w:p w14:paraId="3A49DDAA" w14:textId="77777777" w:rsidR="006D37FD" w:rsidRPr="002B55E9" w:rsidRDefault="006D37FD" w:rsidP="006D37FD">
            <w:pPr>
              <w:pStyle w:val="lgy-"/>
              <w:rPr>
                <w:rFonts w:eastAsia="宋体"/>
              </w:rPr>
            </w:pPr>
            <w:r w:rsidRPr="002B55E9">
              <w:rPr>
                <w:rFonts w:eastAsia="宋体"/>
              </w:rPr>
              <w:t>30.68463771</w:t>
            </w:r>
          </w:p>
        </w:tc>
        <w:tc>
          <w:tcPr>
            <w:tcW w:w="709" w:type="dxa"/>
          </w:tcPr>
          <w:p w14:paraId="3EC99F4B"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57F0E699" w14:textId="77777777" w:rsidR="006D37FD" w:rsidRPr="002B55E9" w:rsidRDefault="006D37FD" w:rsidP="006D37FD">
            <w:pPr>
              <w:pStyle w:val="lgy-"/>
              <w:rPr>
                <w:rFonts w:eastAsia="宋体"/>
              </w:rPr>
            </w:pPr>
            <w:r w:rsidRPr="002B55E9">
              <w:rPr>
                <w:rFonts w:eastAsia="宋体" w:hint="eastAsia"/>
              </w:rPr>
              <w:t>100</w:t>
            </w:r>
          </w:p>
        </w:tc>
        <w:tc>
          <w:tcPr>
            <w:tcW w:w="1509" w:type="dxa"/>
            <w:vMerge/>
          </w:tcPr>
          <w:p w14:paraId="4FCB5A11" w14:textId="77777777" w:rsidR="006D37FD" w:rsidRPr="002B55E9" w:rsidRDefault="006D37FD" w:rsidP="006D37FD">
            <w:pPr>
              <w:pStyle w:val="lgy-"/>
              <w:rPr>
                <w:rFonts w:eastAsia="宋体"/>
              </w:rPr>
            </w:pPr>
          </w:p>
        </w:tc>
        <w:tc>
          <w:tcPr>
            <w:tcW w:w="894" w:type="dxa"/>
          </w:tcPr>
          <w:p w14:paraId="474B19E3" w14:textId="77777777" w:rsidR="006D37FD" w:rsidRPr="002B55E9" w:rsidRDefault="006D37FD" w:rsidP="006D37FD">
            <w:pPr>
              <w:pStyle w:val="lgy-"/>
              <w:rPr>
                <w:rFonts w:eastAsia="宋体"/>
              </w:rPr>
            </w:pPr>
            <w:r w:rsidRPr="002B55E9">
              <w:rPr>
                <w:rFonts w:eastAsia="宋体" w:hint="eastAsia"/>
              </w:rPr>
              <w:t>西</w:t>
            </w:r>
          </w:p>
        </w:tc>
        <w:tc>
          <w:tcPr>
            <w:tcW w:w="995" w:type="dxa"/>
          </w:tcPr>
          <w:p w14:paraId="272CFFE5" w14:textId="77777777" w:rsidR="006D37FD" w:rsidRPr="002B55E9" w:rsidRDefault="006D37FD" w:rsidP="006D37FD">
            <w:pPr>
              <w:pStyle w:val="lgy-"/>
              <w:rPr>
                <w:rFonts w:eastAsia="宋体"/>
              </w:rPr>
            </w:pPr>
            <w:r w:rsidRPr="002B55E9">
              <w:rPr>
                <w:rFonts w:eastAsia="宋体" w:hint="eastAsia"/>
              </w:rPr>
              <w:t>1</w:t>
            </w:r>
            <w:r w:rsidRPr="002B55E9">
              <w:rPr>
                <w:rFonts w:eastAsia="宋体"/>
              </w:rPr>
              <w:t>900</w:t>
            </w:r>
          </w:p>
        </w:tc>
      </w:tr>
      <w:tr w:rsidR="002B55E9" w:rsidRPr="002B55E9" w14:paraId="184A379A" w14:textId="77777777" w:rsidTr="006D37FD">
        <w:trPr>
          <w:trHeight w:val="283"/>
        </w:trPr>
        <w:tc>
          <w:tcPr>
            <w:tcW w:w="1701" w:type="dxa"/>
          </w:tcPr>
          <w:p w14:paraId="3327A8C0" w14:textId="77777777" w:rsidR="006D37FD" w:rsidRPr="002B55E9" w:rsidRDefault="006D37FD" w:rsidP="006D37FD">
            <w:pPr>
              <w:pStyle w:val="lgy-"/>
              <w:rPr>
                <w:rFonts w:eastAsia="宋体"/>
              </w:rPr>
            </w:pPr>
            <w:r w:rsidRPr="002B55E9">
              <w:rPr>
                <w:rFonts w:eastAsia="宋体" w:hint="eastAsia"/>
              </w:rPr>
              <w:t>荷花苑</w:t>
            </w:r>
          </w:p>
        </w:tc>
        <w:tc>
          <w:tcPr>
            <w:tcW w:w="1527" w:type="dxa"/>
          </w:tcPr>
          <w:p w14:paraId="13818E31" w14:textId="77777777" w:rsidR="006D37FD" w:rsidRPr="002B55E9" w:rsidRDefault="006D37FD" w:rsidP="006D37FD">
            <w:pPr>
              <w:pStyle w:val="lgy-"/>
              <w:rPr>
                <w:rFonts w:eastAsia="宋体"/>
              </w:rPr>
            </w:pPr>
            <w:r w:rsidRPr="002B55E9">
              <w:rPr>
                <w:rFonts w:eastAsia="宋体"/>
              </w:rPr>
              <w:t>113.98338358</w:t>
            </w:r>
          </w:p>
        </w:tc>
        <w:tc>
          <w:tcPr>
            <w:tcW w:w="1170" w:type="dxa"/>
          </w:tcPr>
          <w:p w14:paraId="6C38A95E" w14:textId="77777777" w:rsidR="006D37FD" w:rsidRPr="002B55E9" w:rsidRDefault="006D37FD" w:rsidP="006D37FD">
            <w:pPr>
              <w:pStyle w:val="lgy-"/>
              <w:rPr>
                <w:rFonts w:eastAsia="宋体"/>
              </w:rPr>
            </w:pPr>
            <w:r w:rsidRPr="002B55E9">
              <w:rPr>
                <w:rFonts w:eastAsia="宋体"/>
              </w:rPr>
              <w:t>30.69426449</w:t>
            </w:r>
          </w:p>
        </w:tc>
        <w:tc>
          <w:tcPr>
            <w:tcW w:w="709" w:type="dxa"/>
          </w:tcPr>
          <w:p w14:paraId="54C6647F"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5A0A44F6" w14:textId="77777777" w:rsidR="006D37FD" w:rsidRPr="002B55E9" w:rsidRDefault="006D37FD" w:rsidP="006D37FD">
            <w:pPr>
              <w:pStyle w:val="lgy-"/>
              <w:rPr>
                <w:rFonts w:eastAsia="宋体"/>
              </w:rPr>
            </w:pPr>
            <w:r w:rsidRPr="002B55E9">
              <w:rPr>
                <w:rFonts w:eastAsia="宋体" w:hint="eastAsia"/>
              </w:rPr>
              <w:t>3000</w:t>
            </w:r>
          </w:p>
        </w:tc>
        <w:tc>
          <w:tcPr>
            <w:tcW w:w="1509" w:type="dxa"/>
            <w:vMerge/>
          </w:tcPr>
          <w:p w14:paraId="57046FA0" w14:textId="77777777" w:rsidR="006D37FD" w:rsidRPr="002B55E9" w:rsidRDefault="006D37FD" w:rsidP="006D37FD">
            <w:pPr>
              <w:pStyle w:val="lgy-"/>
              <w:rPr>
                <w:rFonts w:eastAsia="宋体"/>
              </w:rPr>
            </w:pPr>
          </w:p>
        </w:tc>
        <w:tc>
          <w:tcPr>
            <w:tcW w:w="894" w:type="dxa"/>
          </w:tcPr>
          <w:p w14:paraId="603B3A4B" w14:textId="77777777" w:rsidR="006D37FD" w:rsidRPr="002B55E9" w:rsidRDefault="006D37FD" w:rsidP="006D37FD">
            <w:pPr>
              <w:pStyle w:val="lgy-"/>
              <w:rPr>
                <w:rFonts w:eastAsia="宋体"/>
              </w:rPr>
            </w:pPr>
            <w:r w:rsidRPr="002B55E9">
              <w:rPr>
                <w:rFonts w:eastAsia="宋体" w:hint="eastAsia"/>
              </w:rPr>
              <w:t>北</w:t>
            </w:r>
          </w:p>
        </w:tc>
        <w:tc>
          <w:tcPr>
            <w:tcW w:w="995" w:type="dxa"/>
          </w:tcPr>
          <w:p w14:paraId="5B384209" w14:textId="77777777" w:rsidR="006D37FD" w:rsidRPr="002B55E9" w:rsidRDefault="006D37FD" w:rsidP="006D37FD">
            <w:pPr>
              <w:pStyle w:val="lgy-"/>
              <w:rPr>
                <w:rFonts w:eastAsia="宋体"/>
              </w:rPr>
            </w:pPr>
            <w:r w:rsidRPr="002B55E9">
              <w:rPr>
                <w:rFonts w:eastAsia="宋体" w:hint="eastAsia"/>
              </w:rPr>
              <w:t>1</w:t>
            </w:r>
            <w:r w:rsidRPr="002B55E9">
              <w:rPr>
                <w:rFonts w:eastAsia="宋体"/>
              </w:rPr>
              <w:t>850</w:t>
            </w:r>
          </w:p>
        </w:tc>
      </w:tr>
      <w:tr w:rsidR="002B55E9" w:rsidRPr="002B55E9" w14:paraId="2D9B8E10" w14:textId="77777777" w:rsidTr="006D37FD">
        <w:trPr>
          <w:trHeight w:val="283"/>
        </w:trPr>
        <w:tc>
          <w:tcPr>
            <w:tcW w:w="1701" w:type="dxa"/>
          </w:tcPr>
          <w:p w14:paraId="7243CABC" w14:textId="77777777" w:rsidR="006D37FD" w:rsidRPr="002B55E9" w:rsidRDefault="006D37FD" w:rsidP="006D37FD">
            <w:pPr>
              <w:pStyle w:val="lgy-"/>
              <w:rPr>
                <w:rFonts w:eastAsia="宋体"/>
              </w:rPr>
            </w:pPr>
            <w:r w:rsidRPr="002B55E9">
              <w:rPr>
                <w:rFonts w:eastAsia="宋体" w:hint="eastAsia"/>
              </w:rPr>
              <w:t>荷花街</w:t>
            </w:r>
            <w:r w:rsidRPr="002B55E9">
              <w:rPr>
                <w:rFonts w:eastAsia="宋体"/>
              </w:rPr>
              <w:t>村</w:t>
            </w:r>
          </w:p>
        </w:tc>
        <w:tc>
          <w:tcPr>
            <w:tcW w:w="1527" w:type="dxa"/>
          </w:tcPr>
          <w:p w14:paraId="2DC58C8D" w14:textId="77777777" w:rsidR="006D37FD" w:rsidRPr="002B55E9" w:rsidRDefault="006D37FD" w:rsidP="006D37FD">
            <w:pPr>
              <w:pStyle w:val="lgy-"/>
              <w:rPr>
                <w:rFonts w:eastAsia="宋体"/>
              </w:rPr>
            </w:pPr>
            <w:r w:rsidRPr="002B55E9">
              <w:rPr>
                <w:rFonts w:eastAsia="宋体"/>
              </w:rPr>
              <w:t>113.97976398</w:t>
            </w:r>
          </w:p>
        </w:tc>
        <w:tc>
          <w:tcPr>
            <w:tcW w:w="1170" w:type="dxa"/>
          </w:tcPr>
          <w:p w14:paraId="0EADD99D" w14:textId="77777777" w:rsidR="006D37FD" w:rsidRPr="002B55E9" w:rsidRDefault="006D37FD" w:rsidP="006D37FD">
            <w:pPr>
              <w:pStyle w:val="lgy-"/>
              <w:rPr>
                <w:rFonts w:eastAsia="宋体"/>
              </w:rPr>
            </w:pPr>
            <w:r w:rsidRPr="002B55E9">
              <w:rPr>
                <w:rFonts w:eastAsia="宋体"/>
              </w:rPr>
              <w:t>30.69974092</w:t>
            </w:r>
          </w:p>
        </w:tc>
        <w:tc>
          <w:tcPr>
            <w:tcW w:w="709" w:type="dxa"/>
          </w:tcPr>
          <w:p w14:paraId="3E820E16"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1E6348B9" w14:textId="77777777" w:rsidR="006D37FD" w:rsidRPr="002B55E9" w:rsidRDefault="006D37FD" w:rsidP="006D37FD">
            <w:pPr>
              <w:pStyle w:val="lgy-"/>
              <w:rPr>
                <w:rFonts w:eastAsia="宋体"/>
              </w:rPr>
            </w:pPr>
            <w:r w:rsidRPr="002B55E9">
              <w:rPr>
                <w:rFonts w:eastAsia="宋体" w:hint="eastAsia"/>
              </w:rPr>
              <w:t>3</w:t>
            </w:r>
            <w:r w:rsidRPr="002B55E9">
              <w:rPr>
                <w:rFonts w:eastAsia="宋体"/>
              </w:rPr>
              <w:t>00</w:t>
            </w:r>
          </w:p>
        </w:tc>
        <w:tc>
          <w:tcPr>
            <w:tcW w:w="1509" w:type="dxa"/>
            <w:vMerge/>
          </w:tcPr>
          <w:p w14:paraId="61E995CE" w14:textId="77777777" w:rsidR="006D37FD" w:rsidRPr="002B55E9" w:rsidRDefault="006D37FD" w:rsidP="006D37FD">
            <w:pPr>
              <w:pStyle w:val="lgy-"/>
              <w:rPr>
                <w:rFonts w:eastAsia="宋体"/>
              </w:rPr>
            </w:pPr>
          </w:p>
        </w:tc>
        <w:tc>
          <w:tcPr>
            <w:tcW w:w="894" w:type="dxa"/>
          </w:tcPr>
          <w:p w14:paraId="5924ED4E" w14:textId="77777777" w:rsidR="006D37FD" w:rsidRPr="002B55E9" w:rsidRDefault="006D37FD" w:rsidP="006D37FD">
            <w:pPr>
              <w:pStyle w:val="lgy-"/>
              <w:rPr>
                <w:rFonts w:eastAsia="宋体"/>
              </w:rPr>
            </w:pPr>
            <w:r w:rsidRPr="002B55E9">
              <w:rPr>
                <w:rFonts w:eastAsia="宋体" w:hint="eastAsia"/>
              </w:rPr>
              <w:t>西北</w:t>
            </w:r>
          </w:p>
        </w:tc>
        <w:tc>
          <w:tcPr>
            <w:tcW w:w="995" w:type="dxa"/>
          </w:tcPr>
          <w:p w14:paraId="78B0B1A2" w14:textId="0ACC91EE" w:rsidR="006D37FD" w:rsidRPr="002B55E9" w:rsidRDefault="0054398B" w:rsidP="006D37FD">
            <w:pPr>
              <w:pStyle w:val="lgy-"/>
              <w:rPr>
                <w:rFonts w:eastAsia="宋体"/>
              </w:rPr>
            </w:pPr>
            <w:r w:rsidRPr="002B55E9">
              <w:rPr>
                <w:rFonts w:eastAsia="宋体"/>
              </w:rPr>
              <w:t>2560</w:t>
            </w:r>
          </w:p>
        </w:tc>
      </w:tr>
      <w:tr w:rsidR="002B55E9" w:rsidRPr="002B55E9" w14:paraId="1854A2EE" w14:textId="77777777" w:rsidTr="006D37FD">
        <w:trPr>
          <w:trHeight w:val="283"/>
        </w:trPr>
        <w:tc>
          <w:tcPr>
            <w:tcW w:w="1701" w:type="dxa"/>
          </w:tcPr>
          <w:p w14:paraId="43A5B92E" w14:textId="77777777" w:rsidR="006D37FD" w:rsidRPr="002B55E9" w:rsidRDefault="006D37FD" w:rsidP="006D37FD">
            <w:pPr>
              <w:pStyle w:val="lgy-"/>
              <w:rPr>
                <w:rFonts w:eastAsia="宋体"/>
              </w:rPr>
            </w:pPr>
            <w:r w:rsidRPr="002B55E9">
              <w:rPr>
                <w:rFonts w:eastAsia="宋体" w:hint="eastAsia"/>
              </w:rPr>
              <w:t>六大队</w:t>
            </w:r>
          </w:p>
        </w:tc>
        <w:tc>
          <w:tcPr>
            <w:tcW w:w="1527" w:type="dxa"/>
          </w:tcPr>
          <w:p w14:paraId="47BDEA7C" w14:textId="77777777" w:rsidR="006D37FD" w:rsidRPr="002B55E9" w:rsidRDefault="006D37FD" w:rsidP="006D37FD">
            <w:pPr>
              <w:pStyle w:val="lgy-"/>
              <w:rPr>
                <w:rFonts w:eastAsia="宋体"/>
              </w:rPr>
            </w:pPr>
            <w:r w:rsidRPr="002B55E9">
              <w:rPr>
                <w:rFonts w:eastAsia="宋体"/>
              </w:rPr>
              <w:t>113.99439838</w:t>
            </w:r>
          </w:p>
        </w:tc>
        <w:tc>
          <w:tcPr>
            <w:tcW w:w="1170" w:type="dxa"/>
          </w:tcPr>
          <w:p w14:paraId="5BD9698B" w14:textId="77777777" w:rsidR="006D37FD" w:rsidRPr="002B55E9" w:rsidRDefault="006D37FD" w:rsidP="006D37FD">
            <w:pPr>
              <w:pStyle w:val="lgy-"/>
              <w:rPr>
                <w:rFonts w:eastAsia="宋体"/>
              </w:rPr>
            </w:pPr>
            <w:r w:rsidRPr="002B55E9">
              <w:rPr>
                <w:rFonts w:eastAsia="宋体"/>
              </w:rPr>
              <w:t>30.69414886</w:t>
            </w:r>
          </w:p>
        </w:tc>
        <w:tc>
          <w:tcPr>
            <w:tcW w:w="709" w:type="dxa"/>
          </w:tcPr>
          <w:p w14:paraId="3EB2D2D0" w14:textId="77777777" w:rsidR="006D37FD" w:rsidRPr="002B55E9" w:rsidRDefault="006D37FD" w:rsidP="006D37FD">
            <w:pPr>
              <w:pStyle w:val="lgy-"/>
              <w:rPr>
                <w:rFonts w:eastAsia="宋体"/>
              </w:rPr>
            </w:pPr>
            <w:r w:rsidRPr="002B55E9">
              <w:rPr>
                <w:rFonts w:eastAsia="宋体" w:hint="eastAsia"/>
              </w:rPr>
              <w:t>居民</w:t>
            </w:r>
          </w:p>
        </w:tc>
        <w:tc>
          <w:tcPr>
            <w:tcW w:w="1133" w:type="dxa"/>
          </w:tcPr>
          <w:p w14:paraId="6D4E3CD1" w14:textId="77777777" w:rsidR="006D37FD" w:rsidRPr="002B55E9" w:rsidRDefault="006D37FD" w:rsidP="006D37FD">
            <w:pPr>
              <w:pStyle w:val="lgy-"/>
              <w:rPr>
                <w:rFonts w:eastAsia="宋体"/>
              </w:rPr>
            </w:pPr>
            <w:r w:rsidRPr="002B55E9">
              <w:rPr>
                <w:rFonts w:eastAsia="宋体" w:hint="eastAsia"/>
              </w:rPr>
              <w:t>9</w:t>
            </w:r>
            <w:r w:rsidRPr="002B55E9">
              <w:rPr>
                <w:rFonts w:eastAsia="宋体"/>
              </w:rPr>
              <w:t>0</w:t>
            </w:r>
          </w:p>
        </w:tc>
        <w:tc>
          <w:tcPr>
            <w:tcW w:w="1509" w:type="dxa"/>
            <w:vMerge/>
          </w:tcPr>
          <w:p w14:paraId="6D801429" w14:textId="77777777" w:rsidR="006D37FD" w:rsidRPr="002B55E9" w:rsidRDefault="006D37FD" w:rsidP="006D37FD">
            <w:pPr>
              <w:pStyle w:val="lgy-"/>
              <w:rPr>
                <w:rFonts w:eastAsia="宋体"/>
              </w:rPr>
            </w:pPr>
          </w:p>
        </w:tc>
        <w:tc>
          <w:tcPr>
            <w:tcW w:w="894" w:type="dxa"/>
          </w:tcPr>
          <w:p w14:paraId="65925B02" w14:textId="77777777" w:rsidR="006D37FD" w:rsidRPr="002B55E9" w:rsidRDefault="006D37FD" w:rsidP="006D37FD">
            <w:pPr>
              <w:pStyle w:val="lgy-"/>
              <w:rPr>
                <w:rFonts w:eastAsia="宋体"/>
              </w:rPr>
            </w:pPr>
            <w:r w:rsidRPr="002B55E9">
              <w:rPr>
                <w:rFonts w:eastAsia="宋体" w:hint="eastAsia"/>
              </w:rPr>
              <w:t>北</w:t>
            </w:r>
          </w:p>
        </w:tc>
        <w:tc>
          <w:tcPr>
            <w:tcW w:w="995" w:type="dxa"/>
          </w:tcPr>
          <w:p w14:paraId="3ABA4E25" w14:textId="77777777" w:rsidR="006D37FD" w:rsidRPr="002B55E9" w:rsidRDefault="006D37FD" w:rsidP="006D37FD">
            <w:pPr>
              <w:pStyle w:val="lgy-"/>
              <w:rPr>
                <w:rFonts w:eastAsia="宋体"/>
              </w:rPr>
            </w:pPr>
            <w:r w:rsidRPr="002B55E9">
              <w:rPr>
                <w:rFonts w:eastAsia="宋体" w:hint="eastAsia"/>
              </w:rPr>
              <w:t>1</w:t>
            </w:r>
            <w:r w:rsidRPr="002B55E9">
              <w:rPr>
                <w:rFonts w:eastAsia="宋体"/>
              </w:rPr>
              <w:t>800</w:t>
            </w:r>
          </w:p>
        </w:tc>
      </w:tr>
      <w:tr w:rsidR="002B55E9" w:rsidRPr="002B55E9" w14:paraId="35602C9A" w14:textId="77777777" w:rsidTr="006D37FD">
        <w:trPr>
          <w:trHeight w:val="283"/>
        </w:trPr>
        <w:tc>
          <w:tcPr>
            <w:tcW w:w="1701" w:type="dxa"/>
          </w:tcPr>
          <w:p w14:paraId="01FB54DD" w14:textId="77777777" w:rsidR="006D37FD" w:rsidRPr="002B55E9" w:rsidRDefault="006D37FD" w:rsidP="006D37FD">
            <w:pPr>
              <w:pStyle w:val="lgy-"/>
              <w:rPr>
                <w:rFonts w:eastAsia="宋体"/>
              </w:rPr>
            </w:pPr>
            <w:r w:rsidRPr="002B55E9">
              <w:rPr>
                <w:rFonts w:eastAsia="宋体" w:hint="eastAsia"/>
              </w:rPr>
              <w:t>智明职业培训学校</w:t>
            </w:r>
          </w:p>
        </w:tc>
        <w:tc>
          <w:tcPr>
            <w:tcW w:w="1527" w:type="dxa"/>
          </w:tcPr>
          <w:p w14:paraId="21F351F1" w14:textId="77777777" w:rsidR="006D37FD" w:rsidRPr="002B55E9" w:rsidRDefault="006D37FD" w:rsidP="006D37FD">
            <w:pPr>
              <w:pStyle w:val="lgy-"/>
              <w:rPr>
                <w:rFonts w:eastAsia="宋体"/>
              </w:rPr>
            </w:pPr>
            <w:r w:rsidRPr="002B55E9">
              <w:rPr>
                <w:rFonts w:eastAsia="宋体"/>
              </w:rPr>
              <w:t>113.99534483</w:t>
            </w:r>
          </w:p>
        </w:tc>
        <w:tc>
          <w:tcPr>
            <w:tcW w:w="1170" w:type="dxa"/>
          </w:tcPr>
          <w:p w14:paraId="0E9B521D" w14:textId="77777777" w:rsidR="006D37FD" w:rsidRPr="002B55E9" w:rsidRDefault="006D37FD" w:rsidP="006D37FD">
            <w:pPr>
              <w:pStyle w:val="lgy-"/>
              <w:rPr>
                <w:rFonts w:eastAsia="宋体"/>
              </w:rPr>
            </w:pPr>
            <w:r w:rsidRPr="002B55E9">
              <w:rPr>
                <w:rFonts w:eastAsia="宋体"/>
              </w:rPr>
              <w:t>30.69171495</w:t>
            </w:r>
          </w:p>
        </w:tc>
        <w:tc>
          <w:tcPr>
            <w:tcW w:w="709" w:type="dxa"/>
          </w:tcPr>
          <w:p w14:paraId="77A9D88E" w14:textId="77777777" w:rsidR="006D37FD" w:rsidRPr="002B55E9" w:rsidRDefault="006D37FD" w:rsidP="006D37FD">
            <w:pPr>
              <w:pStyle w:val="lgy-"/>
              <w:rPr>
                <w:rFonts w:eastAsia="宋体"/>
              </w:rPr>
            </w:pPr>
            <w:r w:rsidRPr="002B55E9">
              <w:rPr>
                <w:rFonts w:eastAsia="宋体" w:hint="eastAsia"/>
              </w:rPr>
              <w:t>学校</w:t>
            </w:r>
          </w:p>
        </w:tc>
        <w:tc>
          <w:tcPr>
            <w:tcW w:w="1133" w:type="dxa"/>
          </w:tcPr>
          <w:p w14:paraId="49E5BE5D" w14:textId="77777777" w:rsidR="006D37FD" w:rsidRPr="002B55E9" w:rsidRDefault="006D37FD" w:rsidP="006D37FD">
            <w:pPr>
              <w:pStyle w:val="lgy-"/>
              <w:rPr>
                <w:rFonts w:eastAsia="宋体"/>
              </w:rPr>
            </w:pPr>
            <w:r w:rsidRPr="002B55E9">
              <w:rPr>
                <w:rFonts w:eastAsia="宋体" w:hint="eastAsia"/>
              </w:rPr>
              <w:t>100</w:t>
            </w:r>
          </w:p>
        </w:tc>
        <w:tc>
          <w:tcPr>
            <w:tcW w:w="1509" w:type="dxa"/>
            <w:vMerge/>
          </w:tcPr>
          <w:p w14:paraId="0DC4DC84" w14:textId="77777777" w:rsidR="006D37FD" w:rsidRPr="002B55E9" w:rsidRDefault="006D37FD" w:rsidP="006D37FD">
            <w:pPr>
              <w:pStyle w:val="lgy-"/>
              <w:rPr>
                <w:rFonts w:eastAsia="宋体"/>
              </w:rPr>
            </w:pPr>
          </w:p>
        </w:tc>
        <w:tc>
          <w:tcPr>
            <w:tcW w:w="894" w:type="dxa"/>
          </w:tcPr>
          <w:p w14:paraId="544C688D" w14:textId="77777777" w:rsidR="006D37FD" w:rsidRPr="002B55E9" w:rsidRDefault="006D37FD" w:rsidP="006D37FD">
            <w:pPr>
              <w:pStyle w:val="lgy-"/>
              <w:rPr>
                <w:rFonts w:eastAsia="宋体"/>
              </w:rPr>
            </w:pPr>
            <w:r w:rsidRPr="002B55E9">
              <w:rPr>
                <w:rFonts w:eastAsia="宋体" w:hint="eastAsia"/>
              </w:rPr>
              <w:t>北</w:t>
            </w:r>
          </w:p>
        </w:tc>
        <w:tc>
          <w:tcPr>
            <w:tcW w:w="995" w:type="dxa"/>
          </w:tcPr>
          <w:p w14:paraId="1253D6B2" w14:textId="77777777" w:rsidR="006D37FD" w:rsidRPr="002B55E9" w:rsidRDefault="006D37FD" w:rsidP="006D37FD">
            <w:pPr>
              <w:pStyle w:val="lgy-"/>
              <w:rPr>
                <w:rFonts w:eastAsia="宋体"/>
              </w:rPr>
            </w:pPr>
            <w:r w:rsidRPr="002B55E9">
              <w:rPr>
                <w:rFonts w:eastAsia="宋体" w:hint="eastAsia"/>
              </w:rPr>
              <w:t>9</w:t>
            </w:r>
            <w:r w:rsidRPr="002B55E9">
              <w:rPr>
                <w:rFonts w:eastAsia="宋体"/>
              </w:rPr>
              <w:t>40</w:t>
            </w:r>
          </w:p>
        </w:tc>
      </w:tr>
    </w:tbl>
    <w:p w14:paraId="459BE3CA" w14:textId="77777777" w:rsidR="00D170E5" w:rsidRPr="002B55E9" w:rsidRDefault="00EF27AD">
      <w:pPr>
        <w:pStyle w:val="affff7"/>
        <w:snapToGrid w:val="0"/>
        <w:spacing w:after="0"/>
      </w:pPr>
      <w:r w:rsidRPr="002B55E9">
        <w:lastRenderedPageBreak/>
        <w:t>（</w:t>
      </w:r>
      <w:r w:rsidRPr="002B55E9">
        <w:t>2</w:t>
      </w:r>
      <w:r w:rsidRPr="002B55E9">
        <w:t>）水环境</w:t>
      </w:r>
    </w:p>
    <w:p w14:paraId="087EA00B" w14:textId="77777777" w:rsidR="00D170E5" w:rsidRPr="002B55E9" w:rsidRDefault="00EF27AD">
      <w:pPr>
        <w:adjustRightInd w:val="0"/>
        <w:snapToGrid w:val="0"/>
        <w:spacing w:line="360" w:lineRule="auto"/>
        <w:ind w:firstLineChars="200" w:firstLine="492"/>
        <w:rPr>
          <w:spacing w:val="6"/>
          <w:sz w:val="24"/>
        </w:rPr>
      </w:pPr>
      <w:bookmarkStart w:id="100" w:name="_Hlk40175154"/>
      <w:r w:rsidRPr="002B55E9">
        <w:rPr>
          <w:rFonts w:hint="eastAsia"/>
          <w:spacing w:val="6"/>
          <w:sz w:val="24"/>
        </w:rPr>
        <w:t>拟建项目</w:t>
      </w:r>
      <w:r w:rsidRPr="002B55E9">
        <w:rPr>
          <w:spacing w:val="6"/>
          <w:sz w:val="24"/>
        </w:rPr>
        <w:t>废水</w:t>
      </w:r>
      <w:r w:rsidRPr="002B55E9">
        <w:rPr>
          <w:rFonts w:hint="eastAsia"/>
          <w:spacing w:val="6"/>
          <w:sz w:val="24"/>
        </w:rPr>
        <w:t>最终</w:t>
      </w:r>
      <w:r w:rsidRPr="002B55E9">
        <w:rPr>
          <w:spacing w:val="6"/>
          <w:sz w:val="24"/>
        </w:rPr>
        <w:t>纳入东西湖污水处理厂进行处理</w:t>
      </w:r>
      <w:r w:rsidRPr="002B55E9">
        <w:rPr>
          <w:rFonts w:hint="eastAsia"/>
          <w:spacing w:val="6"/>
          <w:sz w:val="24"/>
        </w:rPr>
        <w:t>，污水受纳水体为府河。府河</w:t>
      </w:r>
      <w:r w:rsidRPr="002B55E9">
        <w:rPr>
          <w:spacing w:val="6"/>
          <w:sz w:val="24"/>
        </w:rPr>
        <w:t>属</w:t>
      </w:r>
      <w:r w:rsidRPr="002B55E9">
        <w:rPr>
          <w:rFonts w:ascii="宋体" w:hAnsi="宋体" w:hint="eastAsia"/>
          <w:spacing w:val="6"/>
          <w:sz w:val="24"/>
        </w:rPr>
        <w:t>Ⅴ</w:t>
      </w:r>
      <w:r w:rsidRPr="002B55E9">
        <w:rPr>
          <w:spacing w:val="6"/>
          <w:sz w:val="24"/>
        </w:rPr>
        <w:t>类水体</w:t>
      </w:r>
      <w:r w:rsidRPr="002B55E9">
        <w:rPr>
          <w:rFonts w:hint="eastAsia"/>
          <w:spacing w:val="6"/>
          <w:sz w:val="24"/>
        </w:rPr>
        <w:t>，目标执行《地表水环境质量标准》（</w:t>
      </w:r>
      <w:r w:rsidRPr="002B55E9">
        <w:rPr>
          <w:rFonts w:hint="eastAsia"/>
          <w:spacing w:val="6"/>
          <w:sz w:val="24"/>
        </w:rPr>
        <w:t>GB3838</w:t>
      </w:r>
      <w:r w:rsidRPr="002B55E9">
        <w:rPr>
          <w:spacing w:val="6"/>
          <w:sz w:val="24"/>
        </w:rPr>
        <w:t>-2002</w:t>
      </w:r>
      <w:r w:rsidRPr="002B55E9">
        <w:rPr>
          <w:rFonts w:hint="eastAsia"/>
          <w:spacing w:val="6"/>
          <w:sz w:val="24"/>
        </w:rPr>
        <w:t>）中的</w:t>
      </w:r>
      <w:r w:rsidRPr="002B55E9">
        <w:rPr>
          <w:rFonts w:ascii="宋体" w:hAnsi="宋体" w:hint="eastAsia"/>
          <w:spacing w:val="6"/>
          <w:sz w:val="24"/>
        </w:rPr>
        <w:t>Ⅴ</w:t>
      </w:r>
      <w:r w:rsidRPr="002B55E9">
        <w:rPr>
          <w:rFonts w:hint="eastAsia"/>
          <w:spacing w:val="6"/>
          <w:sz w:val="24"/>
        </w:rPr>
        <w:t>类标准。</w:t>
      </w:r>
    </w:p>
    <w:bookmarkEnd w:id="100"/>
    <w:p w14:paraId="7CCE696F" w14:textId="77777777" w:rsidR="00D170E5" w:rsidRPr="002B55E9" w:rsidRDefault="00EF27AD">
      <w:pPr>
        <w:pStyle w:val="affff7"/>
        <w:snapToGrid w:val="0"/>
        <w:spacing w:after="0"/>
      </w:pPr>
      <w:r w:rsidRPr="002B55E9">
        <w:t>（</w:t>
      </w:r>
      <w:r w:rsidRPr="002B55E9">
        <w:t>3</w:t>
      </w:r>
      <w:r w:rsidRPr="002B55E9">
        <w:t>）声环境</w:t>
      </w:r>
    </w:p>
    <w:p w14:paraId="15AFC44F" w14:textId="77777777" w:rsidR="00D170E5" w:rsidRPr="002B55E9" w:rsidRDefault="00EF27AD">
      <w:pPr>
        <w:adjustRightInd w:val="0"/>
        <w:snapToGrid w:val="0"/>
        <w:spacing w:line="360" w:lineRule="auto"/>
        <w:ind w:firstLineChars="200" w:firstLine="492"/>
        <w:rPr>
          <w:bCs/>
          <w:spacing w:val="6"/>
          <w:sz w:val="24"/>
        </w:rPr>
      </w:pPr>
      <w:r w:rsidRPr="002B55E9">
        <w:rPr>
          <w:rFonts w:hint="eastAsia"/>
          <w:bCs/>
          <w:spacing w:val="6"/>
          <w:sz w:val="24"/>
        </w:rPr>
        <w:t>项目所在地声环境功能区划为</w:t>
      </w:r>
      <w:r w:rsidRPr="002B55E9">
        <w:rPr>
          <w:bCs/>
          <w:spacing w:val="6"/>
          <w:sz w:val="24"/>
        </w:rPr>
        <w:t>2</w:t>
      </w:r>
      <w:r w:rsidRPr="002B55E9">
        <w:rPr>
          <w:rFonts w:hint="eastAsia"/>
          <w:bCs/>
          <w:spacing w:val="6"/>
          <w:sz w:val="24"/>
        </w:rPr>
        <w:t>类区，质量目标为《声环境质量标准》（</w:t>
      </w:r>
      <w:r w:rsidRPr="002B55E9">
        <w:rPr>
          <w:bCs/>
          <w:spacing w:val="6"/>
          <w:sz w:val="24"/>
        </w:rPr>
        <w:t>GB3096-2008</w:t>
      </w:r>
      <w:r w:rsidRPr="002B55E9">
        <w:rPr>
          <w:rFonts w:hint="eastAsia"/>
          <w:bCs/>
          <w:spacing w:val="6"/>
          <w:sz w:val="24"/>
        </w:rPr>
        <w:t>）中“</w:t>
      </w:r>
      <w:r w:rsidRPr="002B55E9">
        <w:rPr>
          <w:bCs/>
          <w:spacing w:val="6"/>
          <w:sz w:val="24"/>
        </w:rPr>
        <w:t>2</w:t>
      </w:r>
      <w:r w:rsidRPr="002B55E9">
        <w:rPr>
          <w:rFonts w:hint="eastAsia"/>
          <w:bCs/>
          <w:spacing w:val="6"/>
          <w:sz w:val="24"/>
        </w:rPr>
        <w:t>类标准”（昼间</w:t>
      </w:r>
      <w:r w:rsidRPr="002B55E9">
        <w:rPr>
          <w:rFonts w:hint="eastAsia"/>
          <w:bCs/>
          <w:spacing w:val="6"/>
          <w:sz w:val="24"/>
        </w:rPr>
        <w:t>6</w:t>
      </w:r>
      <w:r w:rsidRPr="002B55E9">
        <w:rPr>
          <w:bCs/>
          <w:spacing w:val="6"/>
          <w:sz w:val="24"/>
        </w:rPr>
        <w:t>0dB</w:t>
      </w:r>
      <w:r w:rsidRPr="002B55E9">
        <w:rPr>
          <w:rFonts w:hint="eastAsia"/>
          <w:bCs/>
          <w:spacing w:val="6"/>
          <w:sz w:val="24"/>
        </w:rPr>
        <w:t>（</w:t>
      </w:r>
      <w:r w:rsidRPr="002B55E9">
        <w:rPr>
          <w:bCs/>
          <w:spacing w:val="6"/>
          <w:sz w:val="24"/>
        </w:rPr>
        <w:t>A</w:t>
      </w:r>
      <w:r w:rsidRPr="002B55E9">
        <w:rPr>
          <w:rFonts w:hint="eastAsia"/>
          <w:bCs/>
          <w:spacing w:val="6"/>
          <w:sz w:val="24"/>
        </w:rPr>
        <w:t>），夜间</w:t>
      </w:r>
      <w:r w:rsidRPr="002B55E9">
        <w:rPr>
          <w:bCs/>
          <w:spacing w:val="6"/>
          <w:sz w:val="24"/>
        </w:rPr>
        <w:t>50dB</w:t>
      </w:r>
      <w:r w:rsidRPr="002B55E9">
        <w:rPr>
          <w:rFonts w:hint="eastAsia"/>
          <w:bCs/>
          <w:spacing w:val="6"/>
          <w:sz w:val="24"/>
        </w:rPr>
        <w:t>（</w:t>
      </w:r>
      <w:r w:rsidRPr="002B55E9">
        <w:rPr>
          <w:bCs/>
          <w:spacing w:val="6"/>
          <w:sz w:val="24"/>
        </w:rPr>
        <w:t>A</w:t>
      </w:r>
      <w:r w:rsidRPr="002B55E9">
        <w:rPr>
          <w:rFonts w:hint="eastAsia"/>
          <w:bCs/>
          <w:spacing w:val="6"/>
          <w:sz w:val="24"/>
        </w:rPr>
        <w:t>））。东侧临近革新大道（武汉城市主干路）</w:t>
      </w:r>
      <w:r w:rsidRPr="002B55E9">
        <w:rPr>
          <w:bCs/>
          <w:spacing w:val="6"/>
          <w:sz w:val="24"/>
        </w:rPr>
        <w:t>40m</w:t>
      </w:r>
      <w:r w:rsidRPr="002B55E9">
        <w:rPr>
          <w:rFonts w:hint="eastAsia"/>
          <w:bCs/>
          <w:spacing w:val="6"/>
          <w:sz w:val="24"/>
        </w:rPr>
        <w:t>范围内，质量目标为《声环境质量标准》（</w:t>
      </w:r>
      <w:r w:rsidRPr="002B55E9">
        <w:rPr>
          <w:bCs/>
          <w:spacing w:val="6"/>
          <w:sz w:val="24"/>
        </w:rPr>
        <w:t>GB3096-2008</w:t>
      </w:r>
      <w:r w:rsidRPr="002B55E9">
        <w:rPr>
          <w:rFonts w:hint="eastAsia"/>
          <w:bCs/>
          <w:spacing w:val="6"/>
          <w:sz w:val="24"/>
        </w:rPr>
        <w:t>）中“</w:t>
      </w:r>
      <w:r w:rsidRPr="002B55E9">
        <w:rPr>
          <w:bCs/>
          <w:spacing w:val="6"/>
          <w:sz w:val="24"/>
        </w:rPr>
        <w:t>4</w:t>
      </w:r>
      <w:r w:rsidRPr="002B55E9">
        <w:rPr>
          <w:rFonts w:hint="eastAsia"/>
          <w:bCs/>
          <w:spacing w:val="6"/>
          <w:sz w:val="24"/>
        </w:rPr>
        <w:t>a</w:t>
      </w:r>
      <w:r w:rsidRPr="002B55E9">
        <w:rPr>
          <w:rFonts w:hint="eastAsia"/>
          <w:bCs/>
          <w:spacing w:val="6"/>
          <w:sz w:val="24"/>
        </w:rPr>
        <w:t>类标准”（昼间</w:t>
      </w:r>
      <w:r w:rsidRPr="002B55E9">
        <w:rPr>
          <w:bCs/>
          <w:spacing w:val="6"/>
          <w:sz w:val="24"/>
        </w:rPr>
        <w:t>70dB</w:t>
      </w:r>
      <w:r w:rsidRPr="002B55E9">
        <w:rPr>
          <w:rFonts w:hint="eastAsia"/>
          <w:bCs/>
          <w:spacing w:val="6"/>
          <w:sz w:val="24"/>
        </w:rPr>
        <w:t>（</w:t>
      </w:r>
      <w:r w:rsidRPr="002B55E9">
        <w:rPr>
          <w:bCs/>
          <w:spacing w:val="6"/>
          <w:sz w:val="24"/>
        </w:rPr>
        <w:t>A</w:t>
      </w:r>
      <w:r w:rsidRPr="002B55E9">
        <w:rPr>
          <w:rFonts w:hint="eastAsia"/>
          <w:bCs/>
          <w:spacing w:val="6"/>
          <w:sz w:val="24"/>
        </w:rPr>
        <w:t>），夜间</w:t>
      </w:r>
      <w:r w:rsidRPr="002B55E9">
        <w:rPr>
          <w:bCs/>
          <w:spacing w:val="6"/>
          <w:sz w:val="24"/>
        </w:rPr>
        <w:t>5</w:t>
      </w:r>
      <w:r w:rsidRPr="002B55E9">
        <w:rPr>
          <w:rFonts w:hint="eastAsia"/>
          <w:bCs/>
          <w:spacing w:val="6"/>
          <w:sz w:val="24"/>
        </w:rPr>
        <w:t>5</w:t>
      </w:r>
      <w:r w:rsidRPr="002B55E9">
        <w:rPr>
          <w:bCs/>
          <w:spacing w:val="6"/>
          <w:sz w:val="24"/>
        </w:rPr>
        <w:t>dB</w:t>
      </w:r>
      <w:r w:rsidRPr="002B55E9">
        <w:rPr>
          <w:rFonts w:hint="eastAsia"/>
          <w:bCs/>
          <w:spacing w:val="6"/>
          <w:sz w:val="24"/>
        </w:rPr>
        <w:t>（</w:t>
      </w:r>
      <w:r w:rsidRPr="002B55E9">
        <w:rPr>
          <w:bCs/>
          <w:spacing w:val="6"/>
          <w:sz w:val="24"/>
        </w:rPr>
        <w:t>A</w:t>
      </w:r>
      <w:r w:rsidRPr="002B55E9">
        <w:rPr>
          <w:rFonts w:hint="eastAsia"/>
          <w:bCs/>
          <w:spacing w:val="6"/>
          <w:sz w:val="24"/>
        </w:rPr>
        <w:t>））。</w:t>
      </w:r>
    </w:p>
    <w:p w14:paraId="130ABD47" w14:textId="77777777" w:rsidR="00D170E5" w:rsidRPr="002B55E9" w:rsidRDefault="00EF27AD">
      <w:pPr>
        <w:adjustRightInd w:val="0"/>
        <w:snapToGrid w:val="0"/>
        <w:spacing w:line="360" w:lineRule="auto"/>
        <w:ind w:firstLineChars="200" w:firstLine="492"/>
        <w:rPr>
          <w:bCs/>
          <w:spacing w:val="6"/>
          <w:sz w:val="24"/>
        </w:rPr>
      </w:pPr>
      <w:r w:rsidRPr="002B55E9">
        <w:rPr>
          <w:rFonts w:hint="eastAsia"/>
          <w:bCs/>
          <w:spacing w:val="6"/>
          <w:sz w:val="24"/>
        </w:rPr>
        <w:t>项目厂界周边</w:t>
      </w:r>
      <w:r w:rsidRPr="002B55E9">
        <w:rPr>
          <w:rFonts w:hint="eastAsia"/>
          <w:bCs/>
          <w:spacing w:val="6"/>
          <w:sz w:val="24"/>
        </w:rPr>
        <w:t>2</w:t>
      </w:r>
      <w:r w:rsidRPr="002B55E9">
        <w:rPr>
          <w:bCs/>
          <w:spacing w:val="6"/>
          <w:sz w:val="24"/>
        </w:rPr>
        <w:t>00m</w:t>
      </w:r>
      <w:r w:rsidRPr="002B55E9">
        <w:rPr>
          <w:rFonts w:hint="eastAsia"/>
          <w:bCs/>
          <w:spacing w:val="6"/>
          <w:sz w:val="24"/>
        </w:rPr>
        <w:t>范围内无声环境敏感点。</w:t>
      </w:r>
    </w:p>
    <w:p w14:paraId="1E0C1793" w14:textId="77777777" w:rsidR="00D170E5" w:rsidRPr="002B55E9" w:rsidRDefault="00EF27AD">
      <w:pPr>
        <w:pStyle w:val="affff7"/>
        <w:snapToGrid w:val="0"/>
        <w:spacing w:after="0"/>
      </w:pPr>
      <w:r w:rsidRPr="002B55E9">
        <w:t>（</w:t>
      </w:r>
      <w:r w:rsidRPr="002B55E9">
        <w:rPr>
          <w:rFonts w:hint="eastAsia"/>
        </w:rPr>
        <w:t>4</w:t>
      </w:r>
      <w:r w:rsidRPr="002B55E9">
        <w:t>）</w:t>
      </w:r>
      <w:r w:rsidRPr="002B55E9">
        <w:rPr>
          <w:rFonts w:hint="eastAsia"/>
        </w:rPr>
        <w:t>地下水</w:t>
      </w:r>
    </w:p>
    <w:p w14:paraId="50F12084" w14:textId="77777777" w:rsidR="00D170E5" w:rsidRPr="002B55E9" w:rsidRDefault="00EF27AD">
      <w:pPr>
        <w:pStyle w:val="affff7"/>
        <w:snapToGrid w:val="0"/>
        <w:spacing w:after="0"/>
      </w:pPr>
      <w:r w:rsidRPr="002B55E9">
        <w:rPr>
          <w:rFonts w:hint="eastAsia"/>
        </w:rPr>
        <w:t>根据《新沟镇</w:t>
      </w:r>
      <w:r w:rsidRPr="002B55E9">
        <w:t>食品医药用地板块总体规划环境影响报告书</w:t>
      </w:r>
      <w:r w:rsidRPr="002B55E9">
        <w:rPr>
          <w:rFonts w:hint="eastAsia"/>
        </w:rPr>
        <w:t>》及其审查</w:t>
      </w:r>
      <w:r w:rsidRPr="002B55E9">
        <w:t>意见</w:t>
      </w:r>
      <w:r w:rsidRPr="002B55E9">
        <w:rPr>
          <w:rFonts w:hint="eastAsia"/>
        </w:rPr>
        <w:t>中环境功能区划可知，拟建项目所在区域地下水环境应满足《地下水质量标准》（</w:t>
      </w:r>
      <w:r w:rsidRPr="002B55E9">
        <w:rPr>
          <w:rFonts w:hint="eastAsia"/>
        </w:rPr>
        <w:t>GB/T14848-2017</w:t>
      </w:r>
      <w:r w:rsidRPr="002B55E9">
        <w:rPr>
          <w:rFonts w:hint="eastAsia"/>
        </w:rPr>
        <w:t>）“</w:t>
      </w:r>
      <w:r w:rsidRPr="002B55E9">
        <w:rPr>
          <w:rFonts w:ascii="宋体" w:hAnsi="宋体" w:hint="eastAsia"/>
        </w:rPr>
        <w:t>Ⅳ</w:t>
      </w:r>
      <w:r w:rsidRPr="002B55E9">
        <w:rPr>
          <w:rFonts w:hint="eastAsia"/>
        </w:rPr>
        <w:t>类水域”水质标准。</w:t>
      </w:r>
    </w:p>
    <w:p w14:paraId="4D79580C" w14:textId="77777777" w:rsidR="00D170E5" w:rsidRPr="002B55E9" w:rsidRDefault="00EF27AD">
      <w:pPr>
        <w:pStyle w:val="affff7"/>
        <w:snapToGrid w:val="0"/>
        <w:spacing w:after="0"/>
        <w:rPr>
          <w:rFonts w:cs="宋体"/>
        </w:rPr>
      </w:pPr>
      <w:r w:rsidRPr="002B55E9">
        <w:rPr>
          <w:rFonts w:hint="eastAsia"/>
        </w:rPr>
        <w:t>项目所在水文地质单元不涉及集中式饮用水水源地、分散式饮用水水源地，也无特殊地下水资源（如热水、矿泉水）保护区，及与上述保护区以外的补给径流区、分布区等。因此，项目地下水评价范围内不存在地下水环境保护目标。</w:t>
      </w:r>
    </w:p>
    <w:p w14:paraId="43339402" w14:textId="77777777" w:rsidR="00D170E5" w:rsidRPr="002B55E9" w:rsidRDefault="00EF27AD">
      <w:pPr>
        <w:pStyle w:val="affff7"/>
        <w:snapToGrid w:val="0"/>
        <w:spacing w:after="0"/>
      </w:pPr>
      <w:r w:rsidRPr="002B55E9">
        <w:rPr>
          <w:rFonts w:hint="eastAsia"/>
        </w:rPr>
        <w:t>（</w:t>
      </w:r>
      <w:r w:rsidRPr="002B55E9">
        <w:rPr>
          <w:rFonts w:hint="eastAsia"/>
        </w:rPr>
        <w:t>5</w:t>
      </w:r>
      <w:r w:rsidRPr="002B55E9">
        <w:rPr>
          <w:rFonts w:hint="eastAsia"/>
        </w:rPr>
        <w:t>）土壤</w:t>
      </w:r>
    </w:p>
    <w:p w14:paraId="2CC1EDCA" w14:textId="77777777" w:rsidR="00D170E5" w:rsidRPr="002B55E9" w:rsidRDefault="00EF27AD">
      <w:pPr>
        <w:pStyle w:val="affff7"/>
        <w:snapToGrid w:val="0"/>
        <w:spacing w:after="0"/>
      </w:pPr>
      <w:r w:rsidRPr="002B55E9">
        <w:rPr>
          <w:rFonts w:hint="eastAsia"/>
        </w:rPr>
        <w:t>拟建项目场地内土壤环境应满足</w:t>
      </w:r>
      <w:r w:rsidRPr="002B55E9">
        <w:t>《土壤环境质量</w:t>
      </w:r>
      <w:r w:rsidRPr="002B55E9">
        <w:t xml:space="preserve"> </w:t>
      </w:r>
      <w:r w:rsidRPr="002B55E9">
        <w:t>建设用土壤污染风险管控标准（试行）》（</w:t>
      </w:r>
      <w:r w:rsidRPr="002B55E9">
        <w:t>GB36600-2018</w:t>
      </w:r>
      <w:r w:rsidRPr="002B55E9">
        <w:t>）的第二类用地</w:t>
      </w:r>
      <w:r w:rsidRPr="002B55E9">
        <w:rPr>
          <w:rFonts w:hint="eastAsia"/>
        </w:rPr>
        <w:t>筛选</w:t>
      </w:r>
      <w:r w:rsidRPr="002B55E9">
        <w:t>值</w:t>
      </w:r>
      <w:r w:rsidRPr="002B55E9">
        <w:rPr>
          <w:rFonts w:hint="eastAsia"/>
        </w:rPr>
        <w:t>要求</w:t>
      </w:r>
      <w:bookmarkStart w:id="101" w:name="_Toc121711622"/>
      <w:bookmarkStart w:id="102" w:name="_Toc124238083"/>
      <w:bookmarkStart w:id="103" w:name="_Toc169616167"/>
      <w:bookmarkEnd w:id="95"/>
      <w:bookmarkEnd w:id="96"/>
      <w:r w:rsidRPr="002B55E9">
        <w:rPr>
          <w:rFonts w:hint="eastAsia"/>
        </w:rPr>
        <w:t>，根据</w:t>
      </w:r>
      <w:r w:rsidRPr="002B55E9">
        <w:t>现场踏勘，项目</w:t>
      </w:r>
      <w:r w:rsidRPr="002B55E9">
        <w:rPr>
          <w:rFonts w:hint="eastAsia"/>
        </w:rPr>
        <w:t>场地</w:t>
      </w:r>
      <w:r w:rsidRPr="002B55E9">
        <w:t>周边</w:t>
      </w:r>
      <w:r w:rsidRPr="002B55E9">
        <w:rPr>
          <w:rFonts w:hint="eastAsia"/>
        </w:rPr>
        <w:t>200</w:t>
      </w:r>
      <w:r w:rsidRPr="002B55E9">
        <w:t>m</w:t>
      </w:r>
      <w:r w:rsidRPr="002B55E9">
        <w:t>范围内无居民等敏感点。</w:t>
      </w:r>
    </w:p>
    <w:p w14:paraId="26CC28CA" w14:textId="77777777" w:rsidR="00D170E5" w:rsidRPr="002B55E9" w:rsidRDefault="00EF27AD">
      <w:pPr>
        <w:pStyle w:val="3"/>
      </w:pPr>
      <w:bookmarkStart w:id="104" w:name="_Toc119308973"/>
      <w:r w:rsidRPr="002B55E9">
        <w:t>评价标准</w:t>
      </w:r>
      <w:bookmarkEnd w:id="101"/>
      <w:bookmarkEnd w:id="102"/>
      <w:bookmarkEnd w:id="103"/>
      <w:bookmarkEnd w:id="104"/>
    </w:p>
    <w:p w14:paraId="01458F06" w14:textId="77777777" w:rsidR="00D170E5" w:rsidRPr="002B55E9" w:rsidRDefault="00EF27AD">
      <w:pPr>
        <w:pStyle w:val="4"/>
        <w:rPr>
          <w:color w:val="auto"/>
        </w:rPr>
      </w:pPr>
      <w:bookmarkStart w:id="105" w:name="_Toc169616168"/>
      <w:r w:rsidRPr="002B55E9">
        <w:rPr>
          <w:color w:val="auto"/>
        </w:rPr>
        <w:t>环境质量标准</w:t>
      </w:r>
      <w:bookmarkEnd w:id="105"/>
    </w:p>
    <w:p w14:paraId="648C9126" w14:textId="77777777" w:rsidR="00D170E5" w:rsidRPr="002B55E9" w:rsidRDefault="00EF27AD">
      <w:pPr>
        <w:pStyle w:val="5"/>
      </w:pPr>
      <w:r w:rsidRPr="002B55E9">
        <w:t>环境空气</w:t>
      </w:r>
    </w:p>
    <w:p w14:paraId="62783F01" w14:textId="38D11D5B" w:rsidR="00D170E5" w:rsidRPr="002B55E9" w:rsidRDefault="00EF27AD">
      <w:pPr>
        <w:pStyle w:val="affff7"/>
        <w:ind w:firstLine="472"/>
      </w:pPr>
      <w:bookmarkStart w:id="106" w:name="_Toc169616170"/>
      <w:bookmarkStart w:id="107" w:name="_Toc94581929"/>
      <w:r w:rsidRPr="002B55E9">
        <w:rPr>
          <w:spacing w:val="-4"/>
        </w:rPr>
        <w:t>根据武政办</w:t>
      </w:r>
      <w:r w:rsidRPr="002B55E9">
        <w:rPr>
          <w:spacing w:val="-4"/>
        </w:rPr>
        <w:t>[2013]129</w:t>
      </w:r>
      <w:r w:rsidRPr="002B55E9">
        <w:rPr>
          <w:spacing w:val="-4"/>
        </w:rPr>
        <w:t>号《市人民政府办公厅关于转发武汉市环境空气质量功能区类别规定的通知》，</w:t>
      </w:r>
      <w:r w:rsidRPr="002B55E9">
        <w:t>项目所在地其环境空气质量功能区划为二类区，</w:t>
      </w:r>
      <w:r w:rsidRPr="002B55E9">
        <w:t>SO</w:t>
      </w:r>
      <w:r w:rsidRPr="002B55E9">
        <w:rPr>
          <w:vertAlign w:val="subscript"/>
        </w:rPr>
        <w:t>2</w:t>
      </w:r>
      <w:r w:rsidRPr="002B55E9">
        <w:t>、</w:t>
      </w:r>
      <w:r w:rsidRPr="002B55E9">
        <w:t>NO</w:t>
      </w:r>
      <w:r w:rsidRPr="002B55E9">
        <w:rPr>
          <w:vertAlign w:val="subscript"/>
        </w:rPr>
        <w:t>2</w:t>
      </w:r>
      <w:r w:rsidRPr="002B55E9">
        <w:t>、</w:t>
      </w:r>
      <w:r w:rsidRPr="002B55E9">
        <w:t>PM</w:t>
      </w:r>
      <w:r w:rsidRPr="002B55E9">
        <w:rPr>
          <w:vertAlign w:val="subscript"/>
        </w:rPr>
        <w:t>10</w:t>
      </w:r>
      <w:r w:rsidRPr="002B55E9">
        <w:t>、</w:t>
      </w:r>
      <w:r w:rsidRPr="002B55E9">
        <w:t>PM</w:t>
      </w:r>
      <w:r w:rsidRPr="002B55E9">
        <w:rPr>
          <w:vertAlign w:val="subscript"/>
        </w:rPr>
        <w:t>2.5</w:t>
      </w:r>
      <w:r w:rsidRPr="002B55E9">
        <w:t>、</w:t>
      </w:r>
      <w:r w:rsidRPr="002B55E9">
        <w:t>CO</w:t>
      </w:r>
      <w:r w:rsidRPr="002B55E9">
        <w:t>、</w:t>
      </w:r>
      <w:r w:rsidRPr="002B55E9">
        <w:rPr>
          <w:rFonts w:hint="eastAsia"/>
        </w:rPr>
        <w:t>T</w:t>
      </w:r>
      <w:r w:rsidRPr="002B55E9">
        <w:t>SP</w:t>
      </w:r>
      <w:r w:rsidRPr="002B55E9">
        <w:rPr>
          <w:rFonts w:hint="eastAsia"/>
        </w:rPr>
        <w:t>、</w:t>
      </w:r>
      <w:r w:rsidRPr="002B55E9">
        <w:t>O</w:t>
      </w:r>
      <w:r w:rsidRPr="002B55E9">
        <w:rPr>
          <w:vertAlign w:val="subscript"/>
        </w:rPr>
        <w:t>3</w:t>
      </w:r>
      <w:r w:rsidRPr="002B55E9">
        <w:t>执行《环境空气质量标准》（</w:t>
      </w:r>
      <w:r w:rsidRPr="002B55E9">
        <w:t>GB3095-2012</w:t>
      </w:r>
      <w:r w:rsidRPr="002B55E9">
        <w:t>）及其修改单二级标准；</w:t>
      </w:r>
      <w:r w:rsidR="00924AFA" w:rsidRPr="002B55E9">
        <w:rPr>
          <w:rFonts w:hint="eastAsia"/>
        </w:rPr>
        <w:t>总挥发性有机物</w:t>
      </w:r>
      <w:r w:rsidRPr="002B55E9">
        <w:rPr>
          <w:rFonts w:hint="eastAsia"/>
        </w:rPr>
        <w:t>、</w:t>
      </w:r>
      <w:r w:rsidRPr="002B55E9">
        <w:t>甲醛、硫酸、氯化氢</w:t>
      </w:r>
      <w:r w:rsidR="007E47F0" w:rsidRPr="002B55E9">
        <w:rPr>
          <w:rFonts w:hint="eastAsia"/>
        </w:rPr>
        <w:t>、</w:t>
      </w:r>
      <w:r w:rsidR="007E47F0" w:rsidRPr="002B55E9">
        <w:t>氨</w:t>
      </w:r>
      <w:r w:rsidR="007E47F0" w:rsidRPr="002B55E9">
        <w:rPr>
          <w:rFonts w:hint="eastAsia"/>
        </w:rPr>
        <w:t>、</w:t>
      </w:r>
      <w:r w:rsidR="007E47F0" w:rsidRPr="002B55E9">
        <w:t>硫化氢</w:t>
      </w:r>
      <w:r w:rsidRPr="002B55E9">
        <w:rPr>
          <w:rFonts w:hint="eastAsia"/>
        </w:rPr>
        <w:t>参照</w:t>
      </w:r>
      <w:r w:rsidRPr="002B55E9">
        <w:t>执行《环境影响评价技术导则</w:t>
      </w:r>
      <w:r w:rsidRPr="002B55E9">
        <w:t>·</w:t>
      </w:r>
      <w:r w:rsidRPr="002B55E9">
        <w:t>大气环境》（</w:t>
      </w:r>
      <w:r w:rsidRPr="002B55E9">
        <w:t>HJ2.2-2018</w:t>
      </w:r>
      <w:r w:rsidRPr="002B55E9">
        <w:t>）附录</w:t>
      </w:r>
      <w:r w:rsidRPr="002B55E9">
        <w:t>D</w:t>
      </w:r>
      <w:r w:rsidRPr="002B55E9">
        <w:rPr>
          <w:rFonts w:hint="eastAsia"/>
        </w:rPr>
        <w:t>。</w:t>
      </w:r>
      <w:r w:rsidR="007E47F0" w:rsidRPr="002B55E9">
        <w:rPr>
          <w:rFonts w:hint="eastAsia"/>
        </w:rPr>
        <w:t>非甲烷总烃参照执行《大气污染综合排放标准详解》中推荐的小时标准限值的要求。</w:t>
      </w:r>
    </w:p>
    <w:p w14:paraId="3003666C" w14:textId="77777777" w:rsidR="00B942D5" w:rsidRPr="002B55E9" w:rsidRDefault="00B942D5">
      <w:pPr>
        <w:pStyle w:val="aa"/>
        <w:spacing w:line="240" w:lineRule="auto"/>
        <w:ind w:firstLine="0"/>
        <w:jc w:val="center"/>
        <w:rPr>
          <w:rFonts w:eastAsia="黑体"/>
          <w:b/>
        </w:rPr>
      </w:pPr>
    </w:p>
    <w:p w14:paraId="1D86A32A" w14:textId="77777777" w:rsidR="00B942D5" w:rsidRPr="002B55E9" w:rsidRDefault="00B942D5">
      <w:pPr>
        <w:pStyle w:val="aa"/>
        <w:spacing w:line="240" w:lineRule="auto"/>
        <w:ind w:firstLine="0"/>
        <w:jc w:val="center"/>
        <w:rPr>
          <w:rFonts w:eastAsia="黑体"/>
          <w:b/>
        </w:rPr>
      </w:pPr>
    </w:p>
    <w:p w14:paraId="78B3A5C7" w14:textId="1D0680C4" w:rsidR="00D170E5" w:rsidRPr="002B55E9" w:rsidRDefault="00EF27AD">
      <w:pPr>
        <w:pStyle w:val="aa"/>
        <w:spacing w:line="240" w:lineRule="auto"/>
        <w:ind w:firstLine="0"/>
        <w:jc w:val="center"/>
      </w:pPr>
      <w:r w:rsidRPr="002B55E9">
        <w:rPr>
          <w:rFonts w:eastAsia="黑体" w:hint="eastAsia"/>
          <w:b/>
        </w:rPr>
        <w:lastRenderedPageBreak/>
        <w:t>表</w:t>
      </w:r>
      <w:r w:rsidRPr="002B55E9">
        <w:rPr>
          <w:rFonts w:eastAsia="黑体" w:hint="eastAsia"/>
          <w:b/>
        </w:rPr>
        <w:t xml:space="preserve">1-5-1  </w:t>
      </w:r>
      <w:r w:rsidRPr="002B55E9">
        <w:rPr>
          <w:rFonts w:eastAsia="黑体" w:hint="eastAsia"/>
          <w:b/>
        </w:rPr>
        <w:t>环境空气质量标准一览表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08"/>
        <w:gridCol w:w="2128"/>
        <w:gridCol w:w="1843"/>
        <w:gridCol w:w="3259"/>
      </w:tblGrid>
      <w:tr w:rsidR="002B55E9" w:rsidRPr="002B55E9" w14:paraId="50927F34" w14:textId="77777777" w:rsidTr="007E47F0">
        <w:trPr>
          <w:cantSplit/>
          <w:trHeight w:val="284"/>
          <w:jc w:val="center"/>
        </w:trPr>
        <w:tc>
          <w:tcPr>
            <w:tcW w:w="2408" w:type="dxa"/>
            <w:tcBorders>
              <w:bottom w:val="single" w:sz="12" w:space="0" w:color="auto"/>
            </w:tcBorders>
            <w:vAlign w:val="center"/>
          </w:tcPr>
          <w:p w14:paraId="1EEBC200" w14:textId="77777777" w:rsidR="00D170E5" w:rsidRPr="002B55E9" w:rsidRDefault="00EF27AD">
            <w:pPr>
              <w:pStyle w:val="affff6"/>
              <w:adjustRightInd w:val="0"/>
              <w:snapToGrid w:val="0"/>
              <w:rPr>
                <w:szCs w:val="18"/>
              </w:rPr>
            </w:pPr>
            <w:r w:rsidRPr="002B55E9">
              <w:rPr>
                <w:rFonts w:hint="eastAsia"/>
                <w:szCs w:val="18"/>
              </w:rPr>
              <w:t>评价因子</w:t>
            </w:r>
          </w:p>
        </w:tc>
        <w:tc>
          <w:tcPr>
            <w:tcW w:w="2128" w:type="dxa"/>
            <w:tcBorders>
              <w:bottom w:val="single" w:sz="12" w:space="0" w:color="auto"/>
            </w:tcBorders>
            <w:vAlign w:val="center"/>
          </w:tcPr>
          <w:p w14:paraId="557E3378" w14:textId="77777777" w:rsidR="00D170E5" w:rsidRPr="002B55E9" w:rsidRDefault="00EF27AD">
            <w:pPr>
              <w:pStyle w:val="affff6"/>
              <w:adjustRightInd w:val="0"/>
              <w:snapToGrid w:val="0"/>
              <w:rPr>
                <w:szCs w:val="18"/>
              </w:rPr>
            </w:pPr>
            <w:r w:rsidRPr="002B55E9">
              <w:rPr>
                <w:rFonts w:hint="eastAsia"/>
                <w:szCs w:val="18"/>
              </w:rPr>
              <w:t>平均时段</w:t>
            </w:r>
          </w:p>
        </w:tc>
        <w:tc>
          <w:tcPr>
            <w:tcW w:w="1843" w:type="dxa"/>
            <w:tcBorders>
              <w:bottom w:val="single" w:sz="12" w:space="0" w:color="auto"/>
            </w:tcBorders>
            <w:vAlign w:val="center"/>
          </w:tcPr>
          <w:p w14:paraId="658968A5" w14:textId="77777777" w:rsidR="00D170E5" w:rsidRPr="002B55E9" w:rsidRDefault="00EF27AD">
            <w:pPr>
              <w:pStyle w:val="affff6"/>
              <w:adjustRightInd w:val="0"/>
              <w:snapToGrid w:val="0"/>
              <w:rPr>
                <w:szCs w:val="18"/>
              </w:rPr>
            </w:pPr>
            <w:r w:rsidRPr="002B55E9">
              <w:rPr>
                <w:szCs w:val="18"/>
              </w:rPr>
              <w:t>标准值</w:t>
            </w:r>
            <w:r w:rsidRPr="002B55E9">
              <w:rPr>
                <w:szCs w:val="18"/>
              </w:rPr>
              <w:t>/</w:t>
            </w:r>
            <w:r w:rsidRPr="002B55E9">
              <w:rPr>
                <w:szCs w:val="18"/>
              </w:rPr>
              <w:t>（</w:t>
            </w:r>
            <w:r w:rsidRPr="002B55E9">
              <w:rPr>
                <w:szCs w:val="18"/>
              </w:rPr>
              <w:t>μg/m</w:t>
            </w:r>
            <w:r w:rsidRPr="002B55E9">
              <w:rPr>
                <w:szCs w:val="18"/>
                <w:vertAlign w:val="superscript"/>
              </w:rPr>
              <w:t>3</w:t>
            </w:r>
            <w:r w:rsidRPr="002B55E9">
              <w:rPr>
                <w:szCs w:val="18"/>
              </w:rPr>
              <w:t>）</w:t>
            </w:r>
          </w:p>
        </w:tc>
        <w:tc>
          <w:tcPr>
            <w:tcW w:w="3259" w:type="dxa"/>
            <w:tcBorders>
              <w:bottom w:val="single" w:sz="12" w:space="0" w:color="auto"/>
            </w:tcBorders>
            <w:vAlign w:val="center"/>
          </w:tcPr>
          <w:p w14:paraId="63806AEA" w14:textId="77777777" w:rsidR="00D170E5" w:rsidRPr="002B55E9" w:rsidRDefault="00EF27AD">
            <w:pPr>
              <w:pStyle w:val="affff6"/>
              <w:adjustRightInd w:val="0"/>
              <w:snapToGrid w:val="0"/>
              <w:rPr>
                <w:szCs w:val="18"/>
              </w:rPr>
            </w:pPr>
            <w:r w:rsidRPr="002B55E9">
              <w:rPr>
                <w:rFonts w:hint="eastAsia"/>
                <w:szCs w:val="18"/>
              </w:rPr>
              <w:t>标准来源</w:t>
            </w:r>
          </w:p>
        </w:tc>
      </w:tr>
      <w:tr w:rsidR="002B55E9" w:rsidRPr="002B55E9" w14:paraId="5B361DFA" w14:textId="77777777" w:rsidTr="007E47F0">
        <w:trPr>
          <w:cantSplit/>
          <w:trHeight w:val="284"/>
          <w:jc w:val="center"/>
        </w:trPr>
        <w:tc>
          <w:tcPr>
            <w:tcW w:w="2408" w:type="dxa"/>
            <w:vMerge w:val="restart"/>
            <w:tcBorders>
              <w:top w:val="single" w:sz="12" w:space="0" w:color="auto"/>
              <w:bottom w:val="single" w:sz="4" w:space="0" w:color="auto"/>
            </w:tcBorders>
            <w:vAlign w:val="center"/>
          </w:tcPr>
          <w:p w14:paraId="1F26D2D2" w14:textId="77777777" w:rsidR="00D170E5" w:rsidRPr="002B55E9" w:rsidRDefault="00EF27AD">
            <w:pPr>
              <w:pStyle w:val="affff6"/>
              <w:adjustRightInd w:val="0"/>
              <w:snapToGrid w:val="0"/>
              <w:rPr>
                <w:szCs w:val="18"/>
              </w:rPr>
            </w:pPr>
            <w:r w:rsidRPr="002B55E9">
              <w:rPr>
                <w:szCs w:val="18"/>
              </w:rPr>
              <w:t>二氧化硫（</w:t>
            </w:r>
            <w:r w:rsidRPr="002B55E9">
              <w:rPr>
                <w:szCs w:val="18"/>
              </w:rPr>
              <w:t>SO</w:t>
            </w:r>
            <w:r w:rsidRPr="002B55E9">
              <w:rPr>
                <w:szCs w:val="18"/>
                <w:vertAlign w:val="subscript"/>
              </w:rPr>
              <w:t>2</w:t>
            </w:r>
            <w:r w:rsidRPr="002B55E9">
              <w:rPr>
                <w:szCs w:val="18"/>
              </w:rPr>
              <w:t>）</w:t>
            </w:r>
          </w:p>
        </w:tc>
        <w:tc>
          <w:tcPr>
            <w:tcW w:w="2128" w:type="dxa"/>
            <w:tcBorders>
              <w:top w:val="single" w:sz="12" w:space="0" w:color="auto"/>
              <w:bottom w:val="single" w:sz="4" w:space="0" w:color="auto"/>
            </w:tcBorders>
            <w:vAlign w:val="center"/>
          </w:tcPr>
          <w:p w14:paraId="2F728F77" w14:textId="77777777" w:rsidR="00D170E5" w:rsidRPr="002B55E9" w:rsidRDefault="00EF27AD">
            <w:pPr>
              <w:pStyle w:val="affff6"/>
              <w:adjustRightInd w:val="0"/>
              <w:snapToGrid w:val="0"/>
            </w:pPr>
            <w:r w:rsidRPr="002B55E9">
              <w:rPr>
                <w:rFonts w:hint="eastAsia"/>
              </w:rPr>
              <w:t>年平均</w:t>
            </w:r>
          </w:p>
        </w:tc>
        <w:tc>
          <w:tcPr>
            <w:tcW w:w="1843" w:type="dxa"/>
            <w:tcBorders>
              <w:top w:val="single" w:sz="12" w:space="0" w:color="auto"/>
              <w:bottom w:val="single" w:sz="4" w:space="0" w:color="auto"/>
            </w:tcBorders>
            <w:vAlign w:val="center"/>
          </w:tcPr>
          <w:p w14:paraId="58F6A584" w14:textId="77777777" w:rsidR="00D170E5" w:rsidRPr="002B55E9" w:rsidRDefault="00EF27AD">
            <w:pPr>
              <w:pStyle w:val="affff6"/>
              <w:adjustRightInd w:val="0"/>
              <w:snapToGrid w:val="0"/>
            </w:pPr>
            <w:r w:rsidRPr="002B55E9">
              <w:rPr>
                <w:rFonts w:hint="eastAsia"/>
              </w:rPr>
              <w:t>60</w:t>
            </w:r>
          </w:p>
        </w:tc>
        <w:tc>
          <w:tcPr>
            <w:tcW w:w="3259" w:type="dxa"/>
            <w:vMerge w:val="restart"/>
            <w:tcBorders>
              <w:top w:val="single" w:sz="12" w:space="0" w:color="auto"/>
            </w:tcBorders>
            <w:vAlign w:val="center"/>
          </w:tcPr>
          <w:p w14:paraId="09389844" w14:textId="77777777" w:rsidR="00D170E5" w:rsidRPr="002B55E9" w:rsidRDefault="00EF27AD">
            <w:pPr>
              <w:pStyle w:val="affff6"/>
              <w:adjustRightInd w:val="0"/>
              <w:snapToGrid w:val="0"/>
              <w:rPr>
                <w:szCs w:val="18"/>
              </w:rPr>
            </w:pPr>
            <w:r w:rsidRPr="002B55E9">
              <w:rPr>
                <w:rFonts w:hint="eastAsia"/>
                <w:szCs w:val="18"/>
              </w:rPr>
              <w:t>《环境空气质量标准》（</w:t>
            </w:r>
            <w:r w:rsidRPr="002B55E9">
              <w:rPr>
                <w:rFonts w:hint="eastAsia"/>
                <w:szCs w:val="18"/>
              </w:rPr>
              <w:t>GB3095-2012</w:t>
            </w:r>
            <w:r w:rsidRPr="002B55E9">
              <w:rPr>
                <w:rFonts w:hint="eastAsia"/>
                <w:szCs w:val="18"/>
              </w:rPr>
              <w:t>）及其修改单</w:t>
            </w:r>
            <w:r w:rsidRPr="002B55E9">
              <w:rPr>
                <w:szCs w:val="18"/>
              </w:rPr>
              <w:t>二级标准</w:t>
            </w:r>
          </w:p>
        </w:tc>
      </w:tr>
      <w:tr w:rsidR="002B55E9" w:rsidRPr="002B55E9" w14:paraId="2A001959" w14:textId="77777777" w:rsidTr="007E47F0">
        <w:trPr>
          <w:cantSplit/>
          <w:trHeight w:val="284"/>
          <w:jc w:val="center"/>
        </w:trPr>
        <w:tc>
          <w:tcPr>
            <w:tcW w:w="2408" w:type="dxa"/>
            <w:vMerge/>
            <w:tcBorders>
              <w:top w:val="single" w:sz="4" w:space="0" w:color="auto"/>
            </w:tcBorders>
            <w:vAlign w:val="center"/>
          </w:tcPr>
          <w:p w14:paraId="4628DF47" w14:textId="77777777" w:rsidR="00D170E5" w:rsidRPr="002B55E9" w:rsidRDefault="00D170E5">
            <w:pPr>
              <w:pStyle w:val="affff6"/>
              <w:adjustRightInd w:val="0"/>
              <w:snapToGrid w:val="0"/>
              <w:rPr>
                <w:szCs w:val="18"/>
              </w:rPr>
            </w:pPr>
          </w:p>
        </w:tc>
        <w:tc>
          <w:tcPr>
            <w:tcW w:w="2128" w:type="dxa"/>
            <w:tcBorders>
              <w:top w:val="single" w:sz="4" w:space="0" w:color="auto"/>
            </w:tcBorders>
            <w:vAlign w:val="center"/>
          </w:tcPr>
          <w:p w14:paraId="290A905E" w14:textId="77777777" w:rsidR="00D170E5" w:rsidRPr="002B55E9" w:rsidRDefault="00EF27AD">
            <w:pPr>
              <w:pStyle w:val="affff6"/>
              <w:adjustRightInd w:val="0"/>
              <w:snapToGrid w:val="0"/>
            </w:pPr>
            <w:r w:rsidRPr="002B55E9">
              <w:rPr>
                <w:rFonts w:hint="eastAsia"/>
              </w:rPr>
              <w:t>24</w:t>
            </w:r>
            <w:r w:rsidRPr="002B55E9">
              <w:rPr>
                <w:rFonts w:hint="eastAsia"/>
              </w:rPr>
              <w:t>小时平均</w:t>
            </w:r>
          </w:p>
        </w:tc>
        <w:tc>
          <w:tcPr>
            <w:tcW w:w="1843" w:type="dxa"/>
            <w:tcBorders>
              <w:top w:val="single" w:sz="4" w:space="0" w:color="auto"/>
            </w:tcBorders>
            <w:vAlign w:val="center"/>
          </w:tcPr>
          <w:p w14:paraId="15513D5E" w14:textId="77777777" w:rsidR="00D170E5" w:rsidRPr="002B55E9" w:rsidRDefault="00EF27AD">
            <w:pPr>
              <w:pStyle w:val="affff6"/>
              <w:adjustRightInd w:val="0"/>
              <w:snapToGrid w:val="0"/>
            </w:pPr>
            <w:r w:rsidRPr="002B55E9">
              <w:rPr>
                <w:rFonts w:hint="eastAsia"/>
              </w:rPr>
              <w:t>150</w:t>
            </w:r>
          </w:p>
        </w:tc>
        <w:tc>
          <w:tcPr>
            <w:tcW w:w="3259" w:type="dxa"/>
            <w:vMerge/>
            <w:vAlign w:val="center"/>
          </w:tcPr>
          <w:p w14:paraId="68AC031B" w14:textId="77777777" w:rsidR="00D170E5" w:rsidRPr="002B55E9" w:rsidRDefault="00D170E5">
            <w:pPr>
              <w:pStyle w:val="affff6"/>
              <w:adjustRightInd w:val="0"/>
              <w:snapToGrid w:val="0"/>
              <w:rPr>
                <w:szCs w:val="18"/>
              </w:rPr>
            </w:pPr>
          </w:p>
        </w:tc>
      </w:tr>
      <w:tr w:rsidR="002B55E9" w:rsidRPr="002B55E9" w14:paraId="6CB4DBD9" w14:textId="77777777" w:rsidTr="007E47F0">
        <w:trPr>
          <w:cantSplit/>
          <w:trHeight w:val="284"/>
          <w:jc w:val="center"/>
        </w:trPr>
        <w:tc>
          <w:tcPr>
            <w:tcW w:w="2408" w:type="dxa"/>
            <w:vMerge/>
            <w:vAlign w:val="center"/>
          </w:tcPr>
          <w:p w14:paraId="60D92C71" w14:textId="77777777" w:rsidR="00D170E5" w:rsidRPr="002B55E9" w:rsidRDefault="00D170E5">
            <w:pPr>
              <w:pStyle w:val="affff6"/>
              <w:adjustRightInd w:val="0"/>
              <w:snapToGrid w:val="0"/>
              <w:rPr>
                <w:szCs w:val="18"/>
              </w:rPr>
            </w:pPr>
          </w:p>
        </w:tc>
        <w:tc>
          <w:tcPr>
            <w:tcW w:w="2128" w:type="dxa"/>
            <w:vAlign w:val="center"/>
          </w:tcPr>
          <w:p w14:paraId="068AE556" w14:textId="77777777" w:rsidR="00D170E5" w:rsidRPr="002B55E9" w:rsidRDefault="00EF27AD">
            <w:pPr>
              <w:pStyle w:val="affff6"/>
              <w:adjustRightInd w:val="0"/>
              <w:snapToGrid w:val="0"/>
            </w:pPr>
            <w:r w:rsidRPr="002B55E9">
              <w:rPr>
                <w:rFonts w:hint="eastAsia"/>
              </w:rPr>
              <w:t>1</w:t>
            </w:r>
            <w:r w:rsidRPr="002B55E9">
              <w:rPr>
                <w:rFonts w:hint="eastAsia"/>
              </w:rPr>
              <w:t>小时平均</w:t>
            </w:r>
          </w:p>
        </w:tc>
        <w:tc>
          <w:tcPr>
            <w:tcW w:w="1843" w:type="dxa"/>
            <w:vAlign w:val="center"/>
          </w:tcPr>
          <w:p w14:paraId="198CD881" w14:textId="77777777" w:rsidR="00D170E5" w:rsidRPr="002B55E9" w:rsidRDefault="00EF27AD">
            <w:pPr>
              <w:pStyle w:val="affff6"/>
              <w:adjustRightInd w:val="0"/>
              <w:snapToGrid w:val="0"/>
            </w:pPr>
            <w:r w:rsidRPr="002B55E9">
              <w:rPr>
                <w:rFonts w:hint="eastAsia"/>
              </w:rPr>
              <w:t>500</w:t>
            </w:r>
          </w:p>
        </w:tc>
        <w:tc>
          <w:tcPr>
            <w:tcW w:w="3259" w:type="dxa"/>
            <w:vMerge/>
            <w:vAlign w:val="center"/>
          </w:tcPr>
          <w:p w14:paraId="4B5A928C" w14:textId="77777777" w:rsidR="00D170E5" w:rsidRPr="002B55E9" w:rsidRDefault="00D170E5">
            <w:pPr>
              <w:pStyle w:val="affff6"/>
              <w:adjustRightInd w:val="0"/>
              <w:snapToGrid w:val="0"/>
              <w:rPr>
                <w:szCs w:val="18"/>
              </w:rPr>
            </w:pPr>
          </w:p>
        </w:tc>
      </w:tr>
      <w:tr w:rsidR="002B55E9" w:rsidRPr="002B55E9" w14:paraId="541C1E8D" w14:textId="77777777" w:rsidTr="007E47F0">
        <w:trPr>
          <w:cantSplit/>
          <w:trHeight w:val="284"/>
          <w:jc w:val="center"/>
        </w:trPr>
        <w:tc>
          <w:tcPr>
            <w:tcW w:w="2408" w:type="dxa"/>
            <w:vMerge w:val="restart"/>
            <w:vAlign w:val="center"/>
          </w:tcPr>
          <w:p w14:paraId="71630F9C" w14:textId="77777777" w:rsidR="00D170E5" w:rsidRPr="002B55E9" w:rsidRDefault="00EF27AD">
            <w:pPr>
              <w:pStyle w:val="affff6"/>
              <w:adjustRightInd w:val="0"/>
              <w:snapToGrid w:val="0"/>
              <w:rPr>
                <w:szCs w:val="18"/>
              </w:rPr>
            </w:pPr>
            <w:r w:rsidRPr="002B55E9">
              <w:rPr>
                <w:szCs w:val="18"/>
              </w:rPr>
              <w:t>二氧化氮（</w:t>
            </w:r>
            <w:r w:rsidRPr="002B55E9">
              <w:rPr>
                <w:szCs w:val="18"/>
              </w:rPr>
              <w:t>NO</w:t>
            </w:r>
            <w:r w:rsidRPr="002B55E9">
              <w:rPr>
                <w:szCs w:val="18"/>
                <w:vertAlign w:val="subscript"/>
              </w:rPr>
              <w:t>2</w:t>
            </w:r>
            <w:r w:rsidRPr="002B55E9">
              <w:rPr>
                <w:szCs w:val="18"/>
              </w:rPr>
              <w:t>）</w:t>
            </w:r>
          </w:p>
        </w:tc>
        <w:tc>
          <w:tcPr>
            <w:tcW w:w="2128" w:type="dxa"/>
            <w:vAlign w:val="center"/>
          </w:tcPr>
          <w:p w14:paraId="005AD693" w14:textId="77777777" w:rsidR="00D170E5" w:rsidRPr="002B55E9" w:rsidRDefault="00EF27AD">
            <w:pPr>
              <w:pStyle w:val="affff6"/>
              <w:adjustRightInd w:val="0"/>
              <w:snapToGrid w:val="0"/>
            </w:pPr>
            <w:r w:rsidRPr="002B55E9">
              <w:rPr>
                <w:rFonts w:hint="eastAsia"/>
              </w:rPr>
              <w:t>年平均</w:t>
            </w:r>
          </w:p>
        </w:tc>
        <w:tc>
          <w:tcPr>
            <w:tcW w:w="1843" w:type="dxa"/>
            <w:vAlign w:val="center"/>
          </w:tcPr>
          <w:p w14:paraId="37E68578" w14:textId="77777777" w:rsidR="00D170E5" w:rsidRPr="002B55E9" w:rsidRDefault="00EF27AD">
            <w:pPr>
              <w:pStyle w:val="affff6"/>
              <w:adjustRightInd w:val="0"/>
              <w:snapToGrid w:val="0"/>
            </w:pPr>
            <w:r w:rsidRPr="002B55E9">
              <w:rPr>
                <w:rFonts w:hint="eastAsia"/>
              </w:rPr>
              <w:t>40</w:t>
            </w:r>
          </w:p>
        </w:tc>
        <w:tc>
          <w:tcPr>
            <w:tcW w:w="3259" w:type="dxa"/>
            <w:vMerge/>
            <w:vAlign w:val="center"/>
          </w:tcPr>
          <w:p w14:paraId="219B0BB0" w14:textId="77777777" w:rsidR="00D170E5" w:rsidRPr="002B55E9" w:rsidRDefault="00D170E5">
            <w:pPr>
              <w:pStyle w:val="affff6"/>
              <w:adjustRightInd w:val="0"/>
              <w:snapToGrid w:val="0"/>
              <w:rPr>
                <w:szCs w:val="18"/>
              </w:rPr>
            </w:pPr>
          </w:p>
        </w:tc>
      </w:tr>
      <w:tr w:rsidR="002B55E9" w:rsidRPr="002B55E9" w14:paraId="17A12FFC" w14:textId="77777777" w:rsidTr="007E47F0">
        <w:trPr>
          <w:cantSplit/>
          <w:trHeight w:val="284"/>
          <w:jc w:val="center"/>
        </w:trPr>
        <w:tc>
          <w:tcPr>
            <w:tcW w:w="2408" w:type="dxa"/>
            <w:vMerge/>
            <w:vAlign w:val="center"/>
          </w:tcPr>
          <w:p w14:paraId="55CCE93A" w14:textId="77777777" w:rsidR="00D170E5" w:rsidRPr="002B55E9" w:rsidRDefault="00D170E5">
            <w:pPr>
              <w:pStyle w:val="affff6"/>
              <w:adjustRightInd w:val="0"/>
              <w:snapToGrid w:val="0"/>
              <w:rPr>
                <w:szCs w:val="18"/>
              </w:rPr>
            </w:pPr>
          </w:p>
        </w:tc>
        <w:tc>
          <w:tcPr>
            <w:tcW w:w="2128" w:type="dxa"/>
            <w:vAlign w:val="center"/>
          </w:tcPr>
          <w:p w14:paraId="311C4664" w14:textId="77777777" w:rsidR="00D170E5" w:rsidRPr="002B55E9" w:rsidRDefault="00EF27AD">
            <w:pPr>
              <w:pStyle w:val="affff6"/>
              <w:adjustRightInd w:val="0"/>
              <w:snapToGrid w:val="0"/>
            </w:pPr>
            <w:r w:rsidRPr="002B55E9">
              <w:rPr>
                <w:rFonts w:hint="eastAsia"/>
              </w:rPr>
              <w:t>24</w:t>
            </w:r>
            <w:r w:rsidRPr="002B55E9">
              <w:rPr>
                <w:rFonts w:hint="eastAsia"/>
              </w:rPr>
              <w:t>小时平均</w:t>
            </w:r>
          </w:p>
        </w:tc>
        <w:tc>
          <w:tcPr>
            <w:tcW w:w="1843" w:type="dxa"/>
            <w:vAlign w:val="center"/>
          </w:tcPr>
          <w:p w14:paraId="24C52885" w14:textId="77777777" w:rsidR="00D170E5" w:rsidRPr="002B55E9" w:rsidRDefault="00EF27AD">
            <w:pPr>
              <w:pStyle w:val="affff6"/>
              <w:adjustRightInd w:val="0"/>
              <w:snapToGrid w:val="0"/>
            </w:pPr>
            <w:r w:rsidRPr="002B55E9">
              <w:rPr>
                <w:rFonts w:hint="eastAsia"/>
              </w:rPr>
              <w:t>80</w:t>
            </w:r>
          </w:p>
        </w:tc>
        <w:tc>
          <w:tcPr>
            <w:tcW w:w="3259" w:type="dxa"/>
            <w:vMerge/>
            <w:vAlign w:val="center"/>
          </w:tcPr>
          <w:p w14:paraId="3AB04704" w14:textId="77777777" w:rsidR="00D170E5" w:rsidRPr="002B55E9" w:rsidRDefault="00D170E5">
            <w:pPr>
              <w:pStyle w:val="affff6"/>
              <w:adjustRightInd w:val="0"/>
              <w:snapToGrid w:val="0"/>
              <w:rPr>
                <w:szCs w:val="18"/>
              </w:rPr>
            </w:pPr>
          </w:p>
        </w:tc>
      </w:tr>
      <w:tr w:rsidR="002B55E9" w:rsidRPr="002B55E9" w14:paraId="050FC950" w14:textId="77777777" w:rsidTr="007E47F0">
        <w:trPr>
          <w:cantSplit/>
          <w:trHeight w:val="284"/>
          <w:jc w:val="center"/>
        </w:trPr>
        <w:tc>
          <w:tcPr>
            <w:tcW w:w="2408" w:type="dxa"/>
            <w:vMerge/>
            <w:vAlign w:val="center"/>
          </w:tcPr>
          <w:p w14:paraId="1DBA8D9F" w14:textId="77777777" w:rsidR="00D170E5" w:rsidRPr="002B55E9" w:rsidRDefault="00D170E5">
            <w:pPr>
              <w:pStyle w:val="affff6"/>
              <w:adjustRightInd w:val="0"/>
              <w:snapToGrid w:val="0"/>
              <w:rPr>
                <w:szCs w:val="18"/>
              </w:rPr>
            </w:pPr>
          </w:p>
        </w:tc>
        <w:tc>
          <w:tcPr>
            <w:tcW w:w="2128" w:type="dxa"/>
            <w:vAlign w:val="center"/>
          </w:tcPr>
          <w:p w14:paraId="18D7D3A6" w14:textId="77777777" w:rsidR="00D170E5" w:rsidRPr="002B55E9" w:rsidRDefault="00EF27AD">
            <w:pPr>
              <w:pStyle w:val="affff6"/>
              <w:adjustRightInd w:val="0"/>
              <w:snapToGrid w:val="0"/>
            </w:pPr>
            <w:r w:rsidRPr="002B55E9">
              <w:rPr>
                <w:rFonts w:hint="eastAsia"/>
              </w:rPr>
              <w:t>1</w:t>
            </w:r>
            <w:r w:rsidRPr="002B55E9">
              <w:rPr>
                <w:rFonts w:hint="eastAsia"/>
              </w:rPr>
              <w:t>小时平均</w:t>
            </w:r>
          </w:p>
        </w:tc>
        <w:tc>
          <w:tcPr>
            <w:tcW w:w="1843" w:type="dxa"/>
            <w:vAlign w:val="center"/>
          </w:tcPr>
          <w:p w14:paraId="2ADF3457" w14:textId="77777777" w:rsidR="00D170E5" w:rsidRPr="002B55E9" w:rsidRDefault="00EF27AD">
            <w:pPr>
              <w:pStyle w:val="affff6"/>
              <w:adjustRightInd w:val="0"/>
              <w:snapToGrid w:val="0"/>
            </w:pPr>
            <w:r w:rsidRPr="002B55E9">
              <w:rPr>
                <w:rFonts w:hint="eastAsia"/>
              </w:rPr>
              <w:t>200</w:t>
            </w:r>
          </w:p>
        </w:tc>
        <w:tc>
          <w:tcPr>
            <w:tcW w:w="3259" w:type="dxa"/>
            <w:vMerge/>
            <w:vAlign w:val="center"/>
          </w:tcPr>
          <w:p w14:paraId="4FE7A773" w14:textId="77777777" w:rsidR="00D170E5" w:rsidRPr="002B55E9" w:rsidRDefault="00D170E5">
            <w:pPr>
              <w:pStyle w:val="affff6"/>
              <w:adjustRightInd w:val="0"/>
              <w:snapToGrid w:val="0"/>
              <w:rPr>
                <w:szCs w:val="18"/>
              </w:rPr>
            </w:pPr>
          </w:p>
        </w:tc>
      </w:tr>
      <w:tr w:rsidR="002B55E9" w:rsidRPr="002B55E9" w14:paraId="761FA06C" w14:textId="77777777" w:rsidTr="007E47F0">
        <w:trPr>
          <w:cantSplit/>
          <w:trHeight w:val="284"/>
          <w:jc w:val="center"/>
        </w:trPr>
        <w:tc>
          <w:tcPr>
            <w:tcW w:w="2408" w:type="dxa"/>
            <w:vMerge w:val="restart"/>
            <w:vAlign w:val="center"/>
          </w:tcPr>
          <w:p w14:paraId="49AAB011" w14:textId="77777777" w:rsidR="00D170E5" w:rsidRPr="002B55E9" w:rsidRDefault="00EF27AD">
            <w:pPr>
              <w:pStyle w:val="affff6"/>
              <w:adjustRightInd w:val="0"/>
              <w:snapToGrid w:val="0"/>
              <w:rPr>
                <w:szCs w:val="18"/>
              </w:rPr>
            </w:pPr>
            <w:r w:rsidRPr="002B55E9">
              <w:rPr>
                <w:szCs w:val="18"/>
              </w:rPr>
              <w:t>可吸入颗粒物（</w:t>
            </w:r>
            <w:r w:rsidRPr="002B55E9">
              <w:rPr>
                <w:szCs w:val="18"/>
              </w:rPr>
              <w:t>PM</w:t>
            </w:r>
            <w:r w:rsidRPr="002B55E9">
              <w:rPr>
                <w:szCs w:val="18"/>
                <w:vertAlign w:val="subscript"/>
              </w:rPr>
              <w:t>10</w:t>
            </w:r>
            <w:r w:rsidRPr="002B55E9">
              <w:rPr>
                <w:szCs w:val="18"/>
              </w:rPr>
              <w:t>）</w:t>
            </w:r>
          </w:p>
        </w:tc>
        <w:tc>
          <w:tcPr>
            <w:tcW w:w="2128" w:type="dxa"/>
            <w:vAlign w:val="center"/>
          </w:tcPr>
          <w:p w14:paraId="34316A3F" w14:textId="77777777" w:rsidR="00D170E5" w:rsidRPr="002B55E9" w:rsidRDefault="00EF27AD">
            <w:pPr>
              <w:pStyle w:val="affff6"/>
              <w:adjustRightInd w:val="0"/>
              <w:snapToGrid w:val="0"/>
            </w:pPr>
            <w:r w:rsidRPr="002B55E9">
              <w:rPr>
                <w:rFonts w:hint="eastAsia"/>
              </w:rPr>
              <w:t>年平均</w:t>
            </w:r>
          </w:p>
        </w:tc>
        <w:tc>
          <w:tcPr>
            <w:tcW w:w="1843" w:type="dxa"/>
            <w:vAlign w:val="center"/>
          </w:tcPr>
          <w:p w14:paraId="66C5C634" w14:textId="77777777" w:rsidR="00D170E5" w:rsidRPr="002B55E9" w:rsidRDefault="00EF27AD">
            <w:pPr>
              <w:pStyle w:val="affff6"/>
              <w:adjustRightInd w:val="0"/>
              <w:snapToGrid w:val="0"/>
            </w:pPr>
            <w:r w:rsidRPr="002B55E9">
              <w:rPr>
                <w:rFonts w:hint="eastAsia"/>
              </w:rPr>
              <w:t>70</w:t>
            </w:r>
          </w:p>
        </w:tc>
        <w:tc>
          <w:tcPr>
            <w:tcW w:w="3259" w:type="dxa"/>
            <w:vMerge/>
            <w:vAlign w:val="center"/>
          </w:tcPr>
          <w:p w14:paraId="4C51B87E" w14:textId="77777777" w:rsidR="00D170E5" w:rsidRPr="002B55E9" w:rsidRDefault="00D170E5">
            <w:pPr>
              <w:pStyle w:val="affff6"/>
              <w:adjustRightInd w:val="0"/>
              <w:snapToGrid w:val="0"/>
              <w:rPr>
                <w:szCs w:val="18"/>
              </w:rPr>
            </w:pPr>
          </w:p>
        </w:tc>
      </w:tr>
      <w:tr w:rsidR="002B55E9" w:rsidRPr="002B55E9" w14:paraId="7A4FEA8E" w14:textId="77777777" w:rsidTr="007E47F0">
        <w:trPr>
          <w:cantSplit/>
          <w:trHeight w:val="284"/>
          <w:jc w:val="center"/>
        </w:trPr>
        <w:tc>
          <w:tcPr>
            <w:tcW w:w="2408" w:type="dxa"/>
            <w:vMerge/>
            <w:vAlign w:val="center"/>
          </w:tcPr>
          <w:p w14:paraId="365A4998" w14:textId="77777777" w:rsidR="00D170E5" w:rsidRPr="002B55E9" w:rsidRDefault="00D170E5">
            <w:pPr>
              <w:pStyle w:val="affff6"/>
              <w:adjustRightInd w:val="0"/>
              <w:snapToGrid w:val="0"/>
              <w:rPr>
                <w:szCs w:val="18"/>
              </w:rPr>
            </w:pPr>
          </w:p>
        </w:tc>
        <w:tc>
          <w:tcPr>
            <w:tcW w:w="2128" w:type="dxa"/>
            <w:vAlign w:val="center"/>
          </w:tcPr>
          <w:p w14:paraId="40C61786" w14:textId="77777777" w:rsidR="00D170E5" w:rsidRPr="002B55E9" w:rsidRDefault="00EF27AD">
            <w:pPr>
              <w:pStyle w:val="affff6"/>
              <w:adjustRightInd w:val="0"/>
              <w:snapToGrid w:val="0"/>
            </w:pPr>
            <w:r w:rsidRPr="002B55E9">
              <w:rPr>
                <w:rFonts w:hint="eastAsia"/>
              </w:rPr>
              <w:t>24</w:t>
            </w:r>
            <w:r w:rsidRPr="002B55E9">
              <w:rPr>
                <w:rFonts w:hint="eastAsia"/>
              </w:rPr>
              <w:t>小时平均</w:t>
            </w:r>
          </w:p>
        </w:tc>
        <w:tc>
          <w:tcPr>
            <w:tcW w:w="1843" w:type="dxa"/>
            <w:vAlign w:val="center"/>
          </w:tcPr>
          <w:p w14:paraId="0A813837" w14:textId="77777777" w:rsidR="00D170E5" w:rsidRPr="002B55E9" w:rsidRDefault="00EF27AD">
            <w:pPr>
              <w:pStyle w:val="affff6"/>
              <w:adjustRightInd w:val="0"/>
              <w:snapToGrid w:val="0"/>
            </w:pPr>
            <w:r w:rsidRPr="002B55E9">
              <w:rPr>
                <w:rFonts w:hint="eastAsia"/>
              </w:rPr>
              <w:t>150</w:t>
            </w:r>
          </w:p>
        </w:tc>
        <w:tc>
          <w:tcPr>
            <w:tcW w:w="3259" w:type="dxa"/>
            <w:vMerge/>
            <w:vAlign w:val="center"/>
          </w:tcPr>
          <w:p w14:paraId="1A5642DD" w14:textId="77777777" w:rsidR="00D170E5" w:rsidRPr="002B55E9" w:rsidRDefault="00D170E5">
            <w:pPr>
              <w:pStyle w:val="affff6"/>
              <w:adjustRightInd w:val="0"/>
              <w:snapToGrid w:val="0"/>
              <w:rPr>
                <w:szCs w:val="18"/>
              </w:rPr>
            </w:pPr>
          </w:p>
        </w:tc>
      </w:tr>
      <w:tr w:rsidR="002B55E9" w:rsidRPr="002B55E9" w14:paraId="73E2875B" w14:textId="77777777" w:rsidTr="007E47F0">
        <w:trPr>
          <w:cantSplit/>
          <w:trHeight w:val="284"/>
          <w:jc w:val="center"/>
        </w:trPr>
        <w:tc>
          <w:tcPr>
            <w:tcW w:w="2408" w:type="dxa"/>
            <w:vMerge w:val="restart"/>
            <w:vAlign w:val="center"/>
          </w:tcPr>
          <w:p w14:paraId="66E6345B" w14:textId="77777777" w:rsidR="00D170E5" w:rsidRPr="002B55E9" w:rsidRDefault="00EF27AD">
            <w:pPr>
              <w:pStyle w:val="affff6"/>
              <w:adjustRightInd w:val="0"/>
              <w:snapToGrid w:val="0"/>
              <w:rPr>
                <w:szCs w:val="18"/>
              </w:rPr>
            </w:pPr>
            <w:r w:rsidRPr="002B55E9">
              <w:rPr>
                <w:szCs w:val="18"/>
              </w:rPr>
              <w:t>一氧化碳（</w:t>
            </w:r>
            <w:r w:rsidRPr="002B55E9">
              <w:rPr>
                <w:szCs w:val="18"/>
              </w:rPr>
              <w:t>CO</w:t>
            </w:r>
            <w:r w:rsidRPr="002B55E9">
              <w:rPr>
                <w:szCs w:val="18"/>
              </w:rPr>
              <w:t>）</w:t>
            </w:r>
          </w:p>
        </w:tc>
        <w:tc>
          <w:tcPr>
            <w:tcW w:w="2128" w:type="dxa"/>
            <w:vAlign w:val="center"/>
          </w:tcPr>
          <w:p w14:paraId="2873811E" w14:textId="77777777" w:rsidR="00D170E5" w:rsidRPr="002B55E9" w:rsidRDefault="00EF27AD">
            <w:pPr>
              <w:pStyle w:val="affff6"/>
              <w:adjustRightInd w:val="0"/>
              <w:snapToGrid w:val="0"/>
            </w:pPr>
            <w:r w:rsidRPr="002B55E9">
              <w:rPr>
                <w:rFonts w:hint="eastAsia"/>
              </w:rPr>
              <w:t>24</w:t>
            </w:r>
            <w:r w:rsidRPr="002B55E9">
              <w:rPr>
                <w:rFonts w:hint="eastAsia"/>
              </w:rPr>
              <w:t>小时平均</w:t>
            </w:r>
          </w:p>
        </w:tc>
        <w:tc>
          <w:tcPr>
            <w:tcW w:w="1843" w:type="dxa"/>
            <w:vAlign w:val="center"/>
          </w:tcPr>
          <w:p w14:paraId="722D319D" w14:textId="77777777" w:rsidR="00D170E5" w:rsidRPr="002B55E9" w:rsidRDefault="00EF27AD">
            <w:pPr>
              <w:pStyle w:val="affff6"/>
              <w:adjustRightInd w:val="0"/>
              <w:snapToGrid w:val="0"/>
              <w:rPr>
                <w:szCs w:val="18"/>
              </w:rPr>
            </w:pPr>
            <w:r w:rsidRPr="002B55E9">
              <w:rPr>
                <w:rFonts w:hint="eastAsia"/>
                <w:szCs w:val="18"/>
              </w:rPr>
              <w:t>4000</w:t>
            </w:r>
          </w:p>
        </w:tc>
        <w:tc>
          <w:tcPr>
            <w:tcW w:w="3259" w:type="dxa"/>
            <w:vMerge/>
            <w:vAlign w:val="center"/>
          </w:tcPr>
          <w:p w14:paraId="4AD54C72" w14:textId="77777777" w:rsidR="00D170E5" w:rsidRPr="002B55E9" w:rsidRDefault="00D170E5">
            <w:pPr>
              <w:pStyle w:val="affff6"/>
              <w:adjustRightInd w:val="0"/>
              <w:snapToGrid w:val="0"/>
              <w:rPr>
                <w:szCs w:val="18"/>
              </w:rPr>
            </w:pPr>
          </w:p>
        </w:tc>
      </w:tr>
      <w:tr w:rsidR="002B55E9" w:rsidRPr="002B55E9" w14:paraId="7D5BA573" w14:textId="77777777" w:rsidTr="007E47F0">
        <w:trPr>
          <w:cantSplit/>
          <w:trHeight w:val="284"/>
          <w:jc w:val="center"/>
        </w:trPr>
        <w:tc>
          <w:tcPr>
            <w:tcW w:w="2408" w:type="dxa"/>
            <w:vMerge/>
            <w:vAlign w:val="center"/>
          </w:tcPr>
          <w:p w14:paraId="546F9502" w14:textId="77777777" w:rsidR="00D170E5" w:rsidRPr="002B55E9" w:rsidRDefault="00D170E5">
            <w:pPr>
              <w:pStyle w:val="affff6"/>
              <w:adjustRightInd w:val="0"/>
              <w:snapToGrid w:val="0"/>
              <w:rPr>
                <w:szCs w:val="18"/>
              </w:rPr>
            </w:pPr>
          </w:p>
        </w:tc>
        <w:tc>
          <w:tcPr>
            <w:tcW w:w="2128" w:type="dxa"/>
            <w:vAlign w:val="center"/>
          </w:tcPr>
          <w:p w14:paraId="57B45DBE" w14:textId="77777777" w:rsidR="00D170E5" w:rsidRPr="002B55E9" w:rsidRDefault="00EF27AD">
            <w:pPr>
              <w:pStyle w:val="affff6"/>
              <w:adjustRightInd w:val="0"/>
              <w:snapToGrid w:val="0"/>
              <w:rPr>
                <w:szCs w:val="18"/>
              </w:rPr>
            </w:pPr>
            <w:r w:rsidRPr="002B55E9">
              <w:rPr>
                <w:rFonts w:hint="eastAsia"/>
              </w:rPr>
              <w:t>1</w:t>
            </w:r>
            <w:r w:rsidRPr="002B55E9">
              <w:rPr>
                <w:rFonts w:hint="eastAsia"/>
              </w:rPr>
              <w:t>小时平均</w:t>
            </w:r>
          </w:p>
        </w:tc>
        <w:tc>
          <w:tcPr>
            <w:tcW w:w="1843" w:type="dxa"/>
            <w:vAlign w:val="center"/>
          </w:tcPr>
          <w:p w14:paraId="3D7D3111" w14:textId="77777777" w:rsidR="00D170E5" w:rsidRPr="002B55E9" w:rsidRDefault="00EF27AD">
            <w:pPr>
              <w:pStyle w:val="affff6"/>
              <w:adjustRightInd w:val="0"/>
              <w:snapToGrid w:val="0"/>
              <w:rPr>
                <w:szCs w:val="18"/>
              </w:rPr>
            </w:pPr>
            <w:r w:rsidRPr="002B55E9">
              <w:rPr>
                <w:rFonts w:hint="eastAsia"/>
                <w:szCs w:val="18"/>
              </w:rPr>
              <w:t>10000</w:t>
            </w:r>
          </w:p>
        </w:tc>
        <w:tc>
          <w:tcPr>
            <w:tcW w:w="3259" w:type="dxa"/>
            <w:vMerge/>
            <w:vAlign w:val="center"/>
          </w:tcPr>
          <w:p w14:paraId="06D03A5D" w14:textId="77777777" w:rsidR="00D170E5" w:rsidRPr="002B55E9" w:rsidRDefault="00D170E5">
            <w:pPr>
              <w:pStyle w:val="affff6"/>
              <w:adjustRightInd w:val="0"/>
              <w:snapToGrid w:val="0"/>
              <w:rPr>
                <w:szCs w:val="18"/>
              </w:rPr>
            </w:pPr>
          </w:p>
        </w:tc>
      </w:tr>
      <w:tr w:rsidR="002B55E9" w:rsidRPr="002B55E9" w14:paraId="51ED22FA" w14:textId="77777777" w:rsidTr="007E47F0">
        <w:trPr>
          <w:cantSplit/>
          <w:trHeight w:val="284"/>
          <w:jc w:val="center"/>
        </w:trPr>
        <w:tc>
          <w:tcPr>
            <w:tcW w:w="2408" w:type="dxa"/>
            <w:vMerge w:val="restart"/>
            <w:vAlign w:val="center"/>
          </w:tcPr>
          <w:p w14:paraId="3FE7184D" w14:textId="77777777" w:rsidR="00D170E5" w:rsidRPr="002B55E9" w:rsidRDefault="00EF27AD">
            <w:pPr>
              <w:pStyle w:val="affff6"/>
              <w:adjustRightInd w:val="0"/>
              <w:snapToGrid w:val="0"/>
              <w:rPr>
                <w:szCs w:val="18"/>
              </w:rPr>
            </w:pPr>
            <w:r w:rsidRPr="002B55E9">
              <w:rPr>
                <w:szCs w:val="18"/>
              </w:rPr>
              <w:t>臭氧（</w:t>
            </w:r>
            <w:r w:rsidRPr="002B55E9">
              <w:rPr>
                <w:szCs w:val="18"/>
              </w:rPr>
              <w:t>O</w:t>
            </w:r>
            <w:r w:rsidRPr="002B55E9">
              <w:rPr>
                <w:szCs w:val="18"/>
                <w:vertAlign w:val="subscript"/>
              </w:rPr>
              <w:t>3</w:t>
            </w:r>
            <w:r w:rsidRPr="002B55E9">
              <w:rPr>
                <w:szCs w:val="18"/>
              </w:rPr>
              <w:t>）</w:t>
            </w:r>
          </w:p>
        </w:tc>
        <w:tc>
          <w:tcPr>
            <w:tcW w:w="2128" w:type="dxa"/>
            <w:vAlign w:val="center"/>
          </w:tcPr>
          <w:p w14:paraId="1F9C0EA0" w14:textId="77777777" w:rsidR="00D170E5" w:rsidRPr="002B55E9" w:rsidRDefault="00EF27AD">
            <w:pPr>
              <w:pStyle w:val="affff6"/>
              <w:adjustRightInd w:val="0"/>
              <w:snapToGrid w:val="0"/>
            </w:pPr>
            <w:r w:rsidRPr="002B55E9">
              <w:rPr>
                <w:rFonts w:hint="eastAsia"/>
              </w:rPr>
              <w:t>日最大</w:t>
            </w:r>
            <w:r w:rsidRPr="002B55E9">
              <w:rPr>
                <w:rFonts w:hint="eastAsia"/>
              </w:rPr>
              <w:t>8</w:t>
            </w:r>
            <w:r w:rsidRPr="002B55E9">
              <w:rPr>
                <w:rFonts w:hint="eastAsia"/>
              </w:rPr>
              <w:t>小时平均</w:t>
            </w:r>
          </w:p>
        </w:tc>
        <w:tc>
          <w:tcPr>
            <w:tcW w:w="1843" w:type="dxa"/>
            <w:vAlign w:val="center"/>
          </w:tcPr>
          <w:p w14:paraId="40E9E2FF" w14:textId="77777777" w:rsidR="00D170E5" w:rsidRPr="002B55E9" w:rsidRDefault="00EF27AD">
            <w:pPr>
              <w:pStyle w:val="affff6"/>
              <w:adjustRightInd w:val="0"/>
              <w:snapToGrid w:val="0"/>
              <w:rPr>
                <w:szCs w:val="18"/>
              </w:rPr>
            </w:pPr>
            <w:r w:rsidRPr="002B55E9">
              <w:rPr>
                <w:rFonts w:hint="eastAsia"/>
                <w:szCs w:val="18"/>
              </w:rPr>
              <w:t>160</w:t>
            </w:r>
          </w:p>
        </w:tc>
        <w:tc>
          <w:tcPr>
            <w:tcW w:w="3259" w:type="dxa"/>
            <w:vMerge/>
            <w:vAlign w:val="center"/>
          </w:tcPr>
          <w:p w14:paraId="67B6266D" w14:textId="77777777" w:rsidR="00D170E5" w:rsidRPr="002B55E9" w:rsidRDefault="00D170E5">
            <w:pPr>
              <w:pStyle w:val="affff6"/>
              <w:adjustRightInd w:val="0"/>
              <w:snapToGrid w:val="0"/>
              <w:rPr>
                <w:szCs w:val="18"/>
              </w:rPr>
            </w:pPr>
          </w:p>
        </w:tc>
      </w:tr>
      <w:tr w:rsidR="002B55E9" w:rsidRPr="002B55E9" w14:paraId="2221C5D2" w14:textId="77777777" w:rsidTr="007E47F0">
        <w:trPr>
          <w:cantSplit/>
          <w:trHeight w:val="284"/>
          <w:jc w:val="center"/>
        </w:trPr>
        <w:tc>
          <w:tcPr>
            <w:tcW w:w="2408" w:type="dxa"/>
            <w:vMerge/>
            <w:vAlign w:val="center"/>
          </w:tcPr>
          <w:p w14:paraId="1163A292" w14:textId="77777777" w:rsidR="00D170E5" w:rsidRPr="002B55E9" w:rsidRDefault="00D170E5">
            <w:pPr>
              <w:pStyle w:val="affff6"/>
              <w:adjustRightInd w:val="0"/>
              <w:snapToGrid w:val="0"/>
              <w:rPr>
                <w:szCs w:val="18"/>
              </w:rPr>
            </w:pPr>
          </w:p>
        </w:tc>
        <w:tc>
          <w:tcPr>
            <w:tcW w:w="2128" w:type="dxa"/>
            <w:vAlign w:val="center"/>
          </w:tcPr>
          <w:p w14:paraId="36607509" w14:textId="77777777" w:rsidR="00D170E5" w:rsidRPr="002B55E9" w:rsidRDefault="00EF27AD">
            <w:pPr>
              <w:pStyle w:val="affff6"/>
              <w:adjustRightInd w:val="0"/>
              <w:snapToGrid w:val="0"/>
              <w:rPr>
                <w:szCs w:val="18"/>
              </w:rPr>
            </w:pPr>
            <w:r w:rsidRPr="002B55E9">
              <w:rPr>
                <w:rFonts w:hint="eastAsia"/>
              </w:rPr>
              <w:t>1</w:t>
            </w:r>
            <w:r w:rsidRPr="002B55E9">
              <w:rPr>
                <w:rFonts w:hint="eastAsia"/>
              </w:rPr>
              <w:t>小时平均</w:t>
            </w:r>
          </w:p>
        </w:tc>
        <w:tc>
          <w:tcPr>
            <w:tcW w:w="1843" w:type="dxa"/>
            <w:vAlign w:val="center"/>
          </w:tcPr>
          <w:p w14:paraId="2D76A460" w14:textId="77777777" w:rsidR="00D170E5" w:rsidRPr="002B55E9" w:rsidRDefault="00EF27AD">
            <w:pPr>
              <w:pStyle w:val="affff6"/>
              <w:adjustRightInd w:val="0"/>
              <w:snapToGrid w:val="0"/>
              <w:rPr>
                <w:szCs w:val="18"/>
              </w:rPr>
            </w:pPr>
            <w:r w:rsidRPr="002B55E9">
              <w:rPr>
                <w:rFonts w:hint="eastAsia"/>
                <w:szCs w:val="18"/>
              </w:rPr>
              <w:t>200</w:t>
            </w:r>
          </w:p>
        </w:tc>
        <w:tc>
          <w:tcPr>
            <w:tcW w:w="3259" w:type="dxa"/>
            <w:vMerge/>
            <w:vAlign w:val="center"/>
          </w:tcPr>
          <w:p w14:paraId="3B8CC301" w14:textId="77777777" w:rsidR="00D170E5" w:rsidRPr="002B55E9" w:rsidRDefault="00D170E5">
            <w:pPr>
              <w:pStyle w:val="affff6"/>
              <w:adjustRightInd w:val="0"/>
              <w:snapToGrid w:val="0"/>
              <w:rPr>
                <w:szCs w:val="18"/>
              </w:rPr>
            </w:pPr>
          </w:p>
        </w:tc>
      </w:tr>
      <w:tr w:rsidR="002B55E9" w:rsidRPr="002B55E9" w14:paraId="2D65BDDA" w14:textId="77777777" w:rsidTr="007E47F0">
        <w:trPr>
          <w:cantSplit/>
          <w:trHeight w:val="284"/>
          <w:jc w:val="center"/>
        </w:trPr>
        <w:tc>
          <w:tcPr>
            <w:tcW w:w="2408" w:type="dxa"/>
            <w:vMerge w:val="restart"/>
            <w:vAlign w:val="center"/>
          </w:tcPr>
          <w:p w14:paraId="04AED592" w14:textId="77777777" w:rsidR="00D170E5" w:rsidRPr="002B55E9" w:rsidRDefault="00EF27AD">
            <w:pPr>
              <w:pStyle w:val="affff6"/>
              <w:adjustRightInd w:val="0"/>
              <w:snapToGrid w:val="0"/>
              <w:rPr>
                <w:szCs w:val="18"/>
              </w:rPr>
            </w:pPr>
            <w:r w:rsidRPr="002B55E9">
              <w:rPr>
                <w:rFonts w:hint="eastAsia"/>
                <w:szCs w:val="18"/>
              </w:rPr>
              <w:t>T</w:t>
            </w:r>
            <w:r w:rsidRPr="002B55E9">
              <w:rPr>
                <w:szCs w:val="18"/>
              </w:rPr>
              <w:t>SP</w:t>
            </w:r>
          </w:p>
        </w:tc>
        <w:tc>
          <w:tcPr>
            <w:tcW w:w="2128" w:type="dxa"/>
            <w:vAlign w:val="center"/>
          </w:tcPr>
          <w:p w14:paraId="4243F211" w14:textId="77777777" w:rsidR="00D170E5" w:rsidRPr="002B55E9" w:rsidRDefault="00EF27AD">
            <w:pPr>
              <w:pStyle w:val="affff6"/>
              <w:adjustRightInd w:val="0"/>
              <w:snapToGrid w:val="0"/>
            </w:pPr>
            <w:r w:rsidRPr="002B55E9">
              <w:rPr>
                <w:rFonts w:hint="eastAsia"/>
              </w:rPr>
              <w:t>24</w:t>
            </w:r>
            <w:r w:rsidRPr="002B55E9">
              <w:rPr>
                <w:rFonts w:hint="eastAsia"/>
              </w:rPr>
              <w:t>小时平均</w:t>
            </w:r>
          </w:p>
        </w:tc>
        <w:tc>
          <w:tcPr>
            <w:tcW w:w="1843" w:type="dxa"/>
            <w:vAlign w:val="center"/>
          </w:tcPr>
          <w:p w14:paraId="43AA6093" w14:textId="77777777" w:rsidR="00D170E5" w:rsidRPr="002B55E9" w:rsidRDefault="00EF27AD">
            <w:pPr>
              <w:pStyle w:val="affff6"/>
              <w:adjustRightInd w:val="0"/>
              <w:snapToGrid w:val="0"/>
              <w:rPr>
                <w:szCs w:val="18"/>
              </w:rPr>
            </w:pPr>
            <w:r w:rsidRPr="002B55E9">
              <w:rPr>
                <w:rFonts w:hint="eastAsia"/>
                <w:szCs w:val="18"/>
              </w:rPr>
              <w:t>3</w:t>
            </w:r>
            <w:r w:rsidRPr="002B55E9">
              <w:rPr>
                <w:szCs w:val="18"/>
              </w:rPr>
              <w:t>00</w:t>
            </w:r>
          </w:p>
        </w:tc>
        <w:tc>
          <w:tcPr>
            <w:tcW w:w="3259" w:type="dxa"/>
            <w:vMerge/>
            <w:vAlign w:val="center"/>
          </w:tcPr>
          <w:p w14:paraId="7A47BE8A" w14:textId="77777777" w:rsidR="00D170E5" w:rsidRPr="002B55E9" w:rsidRDefault="00D170E5">
            <w:pPr>
              <w:pStyle w:val="affff6"/>
              <w:adjustRightInd w:val="0"/>
              <w:snapToGrid w:val="0"/>
              <w:rPr>
                <w:szCs w:val="18"/>
              </w:rPr>
            </w:pPr>
          </w:p>
        </w:tc>
      </w:tr>
      <w:tr w:rsidR="002B55E9" w:rsidRPr="002B55E9" w14:paraId="7566D058" w14:textId="77777777" w:rsidTr="007E47F0">
        <w:trPr>
          <w:cantSplit/>
          <w:trHeight w:val="284"/>
          <w:jc w:val="center"/>
        </w:trPr>
        <w:tc>
          <w:tcPr>
            <w:tcW w:w="2408" w:type="dxa"/>
            <w:vMerge/>
            <w:vAlign w:val="center"/>
          </w:tcPr>
          <w:p w14:paraId="333128A4" w14:textId="77777777" w:rsidR="00D170E5" w:rsidRPr="002B55E9" w:rsidRDefault="00D170E5">
            <w:pPr>
              <w:pStyle w:val="affff6"/>
              <w:adjustRightInd w:val="0"/>
              <w:snapToGrid w:val="0"/>
              <w:rPr>
                <w:szCs w:val="18"/>
              </w:rPr>
            </w:pPr>
          </w:p>
        </w:tc>
        <w:tc>
          <w:tcPr>
            <w:tcW w:w="2128" w:type="dxa"/>
            <w:vAlign w:val="center"/>
          </w:tcPr>
          <w:p w14:paraId="7FF0EA40" w14:textId="77777777" w:rsidR="00D170E5" w:rsidRPr="002B55E9" w:rsidRDefault="00EF27AD">
            <w:pPr>
              <w:pStyle w:val="affff6"/>
              <w:adjustRightInd w:val="0"/>
              <w:snapToGrid w:val="0"/>
            </w:pPr>
            <w:r w:rsidRPr="002B55E9">
              <w:rPr>
                <w:rFonts w:hint="eastAsia"/>
              </w:rPr>
              <w:t>年平均</w:t>
            </w:r>
          </w:p>
        </w:tc>
        <w:tc>
          <w:tcPr>
            <w:tcW w:w="1843" w:type="dxa"/>
            <w:vAlign w:val="center"/>
          </w:tcPr>
          <w:p w14:paraId="58578ED0" w14:textId="77777777" w:rsidR="00D170E5" w:rsidRPr="002B55E9" w:rsidRDefault="00EF27AD">
            <w:pPr>
              <w:pStyle w:val="affff6"/>
              <w:adjustRightInd w:val="0"/>
              <w:snapToGrid w:val="0"/>
              <w:rPr>
                <w:szCs w:val="18"/>
              </w:rPr>
            </w:pPr>
            <w:r w:rsidRPr="002B55E9">
              <w:rPr>
                <w:szCs w:val="18"/>
              </w:rPr>
              <w:t>200</w:t>
            </w:r>
          </w:p>
        </w:tc>
        <w:tc>
          <w:tcPr>
            <w:tcW w:w="3259" w:type="dxa"/>
            <w:vMerge/>
            <w:vAlign w:val="center"/>
          </w:tcPr>
          <w:p w14:paraId="320E9B41" w14:textId="77777777" w:rsidR="00D170E5" w:rsidRPr="002B55E9" w:rsidRDefault="00D170E5">
            <w:pPr>
              <w:pStyle w:val="affff6"/>
              <w:adjustRightInd w:val="0"/>
              <w:snapToGrid w:val="0"/>
              <w:rPr>
                <w:szCs w:val="18"/>
              </w:rPr>
            </w:pPr>
          </w:p>
        </w:tc>
      </w:tr>
      <w:tr w:rsidR="002B55E9" w:rsidRPr="002B55E9" w14:paraId="4B29B533" w14:textId="77777777" w:rsidTr="007E47F0">
        <w:trPr>
          <w:cantSplit/>
          <w:trHeight w:val="284"/>
          <w:jc w:val="center"/>
        </w:trPr>
        <w:tc>
          <w:tcPr>
            <w:tcW w:w="2408" w:type="dxa"/>
            <w:vAlign w:val="center"/>
          </w:tcPr>
          <w:p w14:paraId="0453C7F8" w14:textId="1DDAE3CD" w:rsidR="007E47F0" w:rsidRPr="002B55E9" w:rsidRDefault="007E47F0" w:rsidP="00FB20E5">
            <w:pPr>
              <w:pStyle w:val="affff6"/>
              <w:adjustRightInd w:val="0"/>
              <w:snapToGrid w:val="0"/>
              <w:rPr>
                <w:szCs w:val="18"/>
              </w:rPr>
            </w:pPr>
            <w:r w:rsidRPr="002B55E9">
              <w:rPr>
                <w:rFonts w:hint="eastAsia"/>
                <w:szCs w:val="18"/>
              </w:rPr>
              <w:t>总挥发性有机物</w:t>
            </w:r>
          </w:p>
        </w:tc>
        <w:tc>
          <w:tcPr>
            <w:tcW w:w="2128" w:type="dxa"/>
            <w:vAlign w:val="center"/>
          </w:tcPr>
          <w:p w14:paraId="1D2B1C49" w14:textId="77777777" w:rsidR="007E47F0" w:rsidRPr="002B55E9" w:rsidRDefault="007E47F0">
            <w:pPr>
              <w:pStyle w:val="affff6"/>
              <w:adjustRightInd w:val="0"/>
              <w:snapToGrid w:val="0"/>
              <w:rPr>
                <w:szCs w:val="18"/>
              </w:rPr>
            </w:pPr>
            <w:r w:rsidRPr="002B55E9">
              <w:rPr>
                <w:rFonts w:hint="eastAsia"/>
                <w:szCs w:val="18"/>
              </w:rPr>
              <w:t>8h</w:t>
            </w:r>
            <w:r w:rsidRPr="002B55E9">
              <w:rPr>
                <w:rFonts w:hint="eastAsia"/>
                <w:szCs w:val="18"/>
              </w:rPr>
              <w:t>平均</w:t>
            </w:r>
          </w:p>
        </w:tc>
        <w:tc>
          <w:tcPr>
            <w:tcW w:w="1843" w:type="dxa"/>
            <w:vAlign w:val="center"/>
          </w:tcPr>
          <w:p w14:paraId="19E8CFEC" w14:textId="77777777" w:rsidR="007E47F0" w:rsidRPr="002B55E9" w:rsidRDefault="007E47F0">
            <w:pPr>
              <w:pStyle w:val="affff6"/>
              <w:adjustRightInd w:val="0"/>
              <w:snapToGrid w:val="0"/>
              <w:rPr>
                <w:szCs w:val="18"/>
              </w:rPr>
            </w:pPr>
            <w:r w:rsidRPr="002B55E9">
              <w:rPr>
                <w:rFonts w:hint="eastAsia"/>
                <w:szCs w:val="18"/>
              </w:rPr>
              <w:t>600</w:t>
            </w:r>
          </w:p>
        </w:tc>
        <w:tc>
          <w:tcPr>
            <w:tcW w:w="3259" w:type="dxa"/>
            <w:vMerge w:val="restart"/>
            <w:vAlign w:val="center"/>
          </w:tcPr>
          <w:p w14:paraId="137D5B71" w14:textId="77777777" w:rsidR="007E47F0" w:rsidRPr="002B55E9" w:rsidRDefault="007E47F0">
            <w:pPr>
              <w:pStyle w:val="affff6"/>
              <w:adjustRightInd w:val="0"/>
              <w:snapToGrid w:val="0"/>
              <w:rPr>
                <w:szCs w:val="18"/>
              </w:rPr>
            </w:pPr>
            <w:r w:rsidRPr="002B55E9">
              <w:rPr>
                <w:rFonts w:hint="eastAsia"/>
              </w:rPr>
              <w:t>《环境影响评价技术导则•大气环境》（</w:t>
            </w:r>
            <w:r w:rsidRPr="002B55E9">
              <w:rPr>
                <w:rFonts w:hint="eastAsia"/>
              </w:rPr>
              <w:t>HJ2.2-2018</w:t>
            </w:r>
            <w:r w:rsidRPr="002B55E9">
              <w:rPr>
                <w:rFonts w:hint="eastAsia"/>
              </w:rPr>
              <w:t>）附录</w:t>
            </w:r>
            <w:r w:rsidRPr="002B55E9">
              <w:rPr>
                <w:rFonts w:hint="eastAsia"/>
              </w:rPr>
              <w:t>D</w:t>
            </w:r>
          </w:p>
        </w:tc>
      </w:tr>
      <w:tr w:rsidR="002B55E9" w:rsidRPr="002B55E9" w14:paraId="5DA94166" w14:textId="77777777" w:rsidTr="007E47F0">
        <w:trPr>
          <w:cantSplit/>
          <w:trHeight w:val="284"/>
          <w:jc w:val="center"/>
        </w:trPr>
        <w:tc>
          <w:tcPr>
            <w:tcW w:w="2408" w:type="dxa"/>
            <w:vAlign w:val="center"/>
          </w:tcPr>
          <w:p w14:paraId="1A193361" w14:textId="77777777" w:rsidR="007E47F0" w:rsidRPr="002B55E9" w:rsidRDefault="007E47F0">
            <w:pPr>
              <w:pStyle w:val="affff6"/>
              <w:adjustRightInd w:val="0"/>
              <w:snapToGrid w:val="0"/>
              <w:rPr>
                <w:szCs w:val="18"/>
              </w:rPr>
            </w:pPr>
            <w:r w:rsidRPr="002B55E9">
              <w:rPr>
                <w:rFonts w:hint="eastAsia"/>
                <w:szCs w:val="18"/>
              </w:rPr>
              <w:t>甲醛</w:t>
            </w:r>
          </w:p>
        </w:tc>
        <w:tc>
          <w:tcPr>
            <w:tcW w:w="2128" w:type="dxa"/>
            <w:vAlign w:val="center"/>
          </w:tcPr>
          <w:p w14:paraId="53D4DF83" w14:textId="77777777" w:rsidR="007E47F0" w:rsidRPr="002B55E9" w:rsidRDefault="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288F852D" w14:textId="77777777" w:rsidR="007E47F0" w:rsidRPr="002B55E9" w:rsidRDefault="007E47F0">
            <w:pPr>
              <w:pStyle w:val="affff6"/>
              <w:adjustRightInd w:val="0"/>
              <w:snapToGrid w:val="0"/>
            </w:pPr>
            <w:r w:rsidRPr="002B55E9">
              <w:rPr>
                <w:rFonts w:hint="eastAsia"/>
              </w:rPr>
              <w:t>5</w:t>
            </w:r>
            <w:r w:rsidRPr="002B55E9">
              <w:t>0</w:t>
            </w:r>
          </w:p>
        </w:tc>
        <w:tc>
          <w:tcPr>
            <w:tcW w:w="3259" w:type="dxa"/>
            <w:vMerge/>
            <w:vAlign w:val="center"/>
          </w:tcPr>
          <w:p w14:paraId="24F4C7FF" w14:textId="77777777" w:rsidR="007E47F0" w:rsidRPr="002B55E9" w:rsidRDefault="007E47F0">
            <w:pPr>
              <w:pStyle w:val="affff6"/>
              <w:adjustRightInd w:val="0"/>
              <w:snapToGrid w:val="0"/>
              <w:rPr>
                <w:szCs w:val="18"/>
              </w:rPr>
            </w:pPr>
          </w:p>
        </w:tc>
      </w:tr>
      <w:tr w:rsidR="002B55E9" w:rsidRPr="002B55E9" w14:paraId="2E3C4983" w14:textId="77777777" w:rsidTr="007E47F0">
        <w:trPr>
          <w:cantSplit/>
          <w:trHeight w:val="284"/>
          <w:jc w:val="center"/>
        </w:trPr>
        <w:tc>
          <w:tcPr>
            <w:tcW w:w="2408" w:type="dxa"/>
            <w:vMerge w:val="restart"/>
            <w:vAlign w:val="center"/>
          </w:tcPr>
          <w:p w14:paraId="413ED5FF" w14:textId="77777777" w:rsidR="007E47F0" w:rsidRPr="002B55E9" w:rsidRDefault="007E47F0">
            <w:pPr>
              <w:pStyle w:val="affff6"/>
              <w:adjustRightInd w:val="0"/>
              <w:snapToGrid w:val="0"/>
              <w:rPr>
                <w:szCs w:val="18"/>
              </w:rPr>
            </w:pPr>
            <w:r w:rsidRPr="002B55E9">
              <w:rPr>
                <w:rFonts w:hint="eastAsia"/>
                <w:szCs w:val="18"/>
              </w:rPr>
              <w:t>硫酸</w:t>
            </w:r>
          </w:p>
        </w:tc>
        <w:tc>
          <w:tcPr>
            <w:tcW w:w="2128" w:type="dxa"/>
            <w:vAlign w:val="center"/>
          </w:tcPr>
          <w:p w14:paraId="22A47FB7" w14:textId="77777777" w:rsidR="007E47F0" w:rsidRPr="002B55E9" w:rsidRDefault="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1BC44E6C" w14:textId="77777777" w:rsidR="007E47F0" w:rsidRPr="002B55E9" w:rsidRDefault="007E47F0">
            <w:pPr>
              <w:pStyle w:val="affff6"/>
              <w:adjustRightInd w:val="0"/>
              <w:snapToGrid w:val="0"/>
            </w:pPr>
            <w:r w:rsidRPr="002B55E9">
              <w:rPr>
                <w:rFonts w:hint="eastAsia"/>
              </w:rPr>
              <w:t>3</w:t>
            </w:r>
            <w:r w:rsidRPr="002B55E9">
              <w:t>00</w:t>
            </w:r>
          </w:p>
        </w:tc>
        <w:tc>
          <w:tcPr>
            <w:tcW w:w="3259" w:type="dxa"/>
            <w:vMerge/>
            <w:vAlign w:val="center"/>
          </w:tcPr>
          <w:p w14:paraId="55014EE3" w14:textId="77777777" w:rsidR="007E47F0" w:rsidRPr="002B55E9" w:rsidRDefault="007E47F0">
            <w:pPr>
              <w:pStyle w:val="affff6"/>
              <w:adjustRightInd w:val="0"/>
              <w:snapToGrid w:val="0"/>
              <w:rPr>
                <w:szCs w:val="18"/>
              </w:rPr>
            </w:pPr>
          </w:p>
        </w:tc>
      </w:tr>
      <w:tr w:rsidR="002B55E9" w:rsidRPr="002B55E9" w14:paraId="45919FBD" w14:textId="77777777" w:rsidTr="007E47F0">
        <w:trPr>
          <w:cantSplit/>
          <w:trHeight w:val="284"/>
          <w:jc w:val="center"/>
        </w:trPr>
        <w:tc>
          <w:tcPr>
            <w:tcW w:w="2408" w:type="dxa"/>
            <w:vMerge/>
            <w:vAlign w:val="center"/>
          </w:tcPr>
          <w:p w14:paraId="59DCE168" w14:textId="77777777" w:rsidR="007E47F0" w:rsidRPr="002B55E9" w:rsidRDefault="007E47F0">
            <w:pPr>
              <w:pStyle w:val="affff6"/>
              <w:adjustRightInd w:val="0"/>
              <w:snapToGrid w:val="0"/>
              <w:rPr>
                <w:szCs w:val="18"/>
              </w:rPr>
            </w:pPr>
          </w:p>
        </w:tc>
        <w:tc>
          <w:tcPr>
            <w:tcW w:w="2128" w:type="dxa"/>
            <w:vAlign w:val="center"/>
          </w:tcPr>
          <w:p w14:paraId="09C0432D" w14:textId="77777777" w:rsidR="007E47F0" w:rsidRPr="002B55E9" w:rsidRDefault="007E47F0">
            <w:pPr>
              <w:pStyle w:val="affff6"/>
              <w:adjustRightInd w:val="0"/>
              <w:snapToGrid w:val="0"/>
            </w:pPr>
            <w:r w:rsidRPr="002B55E9">
              <w:rPr>
                <w:rFonts w:hint="eastAsia"/>
              </w:rPr>
              <w:t>24</w:t>
            </w:r>
            <w:r w:rsidRPr="002B55E9">
              <w:rPr>
                <w:rFonts w:hint="eastAsia"/>
              </w:rPr>
              <w:t>小时平均</w:t>
            </w:r>
          </w:p>
        </w:tc>
        <w:tc>
          <w:tcPr>
            <w:tcW w:w="1843" w:type="dxa"/>
            <w:vAlign w:val="center"/>
          </w:tcPr>
          <w:p w14:paraId="2FDDDA82" w14:textId="77777777" w:rsidR="007E47F0" w:rsidRPr="002B55E9" w:rsidRDefault="007E47F0">
            <w:pPr>
              <w:pStyle w:val="affff6"/>
              <w:adjustRightInd w:val="0"/>
              <w:snapToGrid w:val="0"/>
            </w:pPr>
            <w:r w:rsidRPr="002B55E9">
              <w:rPr>
                <w:rFonts w:hint="eastAsia"/>
              </w:rPr>
              <w:t>1</w:t>
            </w:r>
            <w:r w:rsidRPr="002B55E9">
              <w:t>00</w:t>
            </w:r>
          </w:p>
        </w:tc>
        <w:tc>
          <w:tcPr>
            <w:tcW w:w="3259" w:type="dxa"/>
            <w:vMerge/>
            <w:vAlign w:val="center"/>
          </w:tcPr>
          <w:p w14:paraId="6D1479CD" w14:textId="77777777" w:rsidR="007E47F0" w:rsidRPr="002B55E9" w:rsidRDefault="007E47F0">
            <w:pPr>
              <w:pStyle w:val="affff6"/>
              <w:adjustRightInd w:val="0"/>
              <w:snapToGrid w:val="0"/>
              <w:rPr>
                <w:szCs w:val="18"/>
              </w:rPr>
            </w:pPr>
          </w:p>
        </w:tc>
      </w:tr>
      <w:tr w:rsidR="002B55E9" w:rsidRPr="002B55E9" w14:paraId="25AF04F0" w14:textId="77777777" w:rsidTr="007E47F0">
        <w:trPr>
          <w:cantSplit/>
          <w:trHeight w:val="284"/>
          <w:jc w:val="center"/>
        </w:trPr>
        <w:tc>
          <w:tcPr>
            <w:tcW w:w="2408" w:type="dxa"/>
            <w:vMerge w:val="restart"/>
            <w:vAlign w:val="center"/>
          </w:tcPr>
          <w:p w14:paraId="7EA9EFA5" w14:textId="77777777" w:rsidR="007E47F0" w:rsidRPr="002B55E9" w:rsidRDefault="007E47F0">
            <w:pPr>
              <w:pStyle w:val="affff6"/>
              <w:adjustRightInd w:val="0"/>
              <w:snapToGrid w:val="0"/>
              <w:rPr>
                <w:szCs w:val="18"/>
              </w:rPr>
            </w:pPr>
            <w:r w:rsidRPr="002B55E9">
              <w:rPr>
                <w:rFonts w:hint="eastAsia"/>
                <w:szCs w:val="18"/>
              </w:rPr>
              <w:t>氯化氢</w:t>
            </w:r>
          </w:p>
        </w:tc>
        <w:tc>
          <w:tcPr>
            <w:tcW w:w="2128" w:type="dxa"/>
            <w:vAlign w:val="center"/>
          </w:tcPr>
          <w:p w14:paraId="585B92E9" w14:textId="77777777" w:rsidR="007E47F0" w:rsidRPr="002B55E9" w:rsidRDefault="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4C1FEC28" w14:textId="77777777" w:rsidR="007E47F0" w:rsidRPr="002B55E9" w:rsidRDefault="007E47F0">
            <w:pPr>
              <w:pStyle w:val="affff6"/>
              <w:adjustRightInd w:val="0"/>
              <w:snapToGrid w:val="0"/>
            </w:pPr>
            <w:r w:rsidRPr="002B55E9">
              <w:rPr>
                <w:rFonts w:hint="eastAsia"/>
              </w:rPr>
              <w:t>5</w:t>
            </w:r>
            <w:r w:rsidRPr="002B55E9">
              <w:t>0</w:t>
            </w:r>
          </w:p>
        </w:tc>
        <w:tc>
          <w:tcPr>
            <w:tcW w:w="3259" w:type="dxa"/>
            <w:vMerge/>
            <w:vAlign w:val="center"/>
          </w:tcPr>
          <w:p w14:paraId="7FB38981" w14:textId="77777777" w:rsidR="007E47F0" w:rsidRPr="002B55E9" w:rsidRDefault="007E47F0">
            <w:pPr>
              <w:pStyle w:val="affff6"/>
              <w:adjustRightInd w:val="0"/>
              <w:snapToGrid w:val="0"/>
              <w:rPr>
                <w:szCs w:val="18"/>
              </w:rPr>
            </w:pPr>
          </w:p>
        </w:tc>
      </w:tr>
      <w:tr w:rsidR="002B55E9" w:rsidRPr="002B55E9" w14:paraId="2624C209" w14:textId="77777777" w:rsidTr="007E47F0">
        <w:trPr>
          <w:cantSplit/>
          <w:trHeight w:val="284"/>
          <w:jc w:val="center"/>
        </w:trPr>
        <w:tc>
          <w:tcPr>
            <w:tcW w:w="2408" w:type="dxa"/>
            <w:vMerge/>
            <w:vAlign w:val="center"/>
          </w:tcPr>
          <w:p w14:paraId="465D3464" w14:textId="77777777" w:rsidR="007E47F0" w:rsidRPr="002B55E9" w:rsidRDefault="007E47F0">
            <w:pPr>
              <w:pStyle w:val="affff6"/>
              <w:adjustRightInd w:val="0"/>
              <w:snapToGrid w:val="0"/>
              <w:rPr>
                <w:szCs w:val="18"/>
              </w:rPr>
            </w:pPr>
          </w:p>
        </w:tc>
        <w:tc>
          <w:tcPr>
            <w:tcW w:w="2128" w:type="dxa"/>
            <w:vAlign w:val="center"/>
          </w:tcPr>
          <w:p w14:paraId="00AFCBEE" w14:textId="77777777" w:rsidR="007E47F0" w:rsidRPr="002B55E9" w:rsidRDefault="007E47F0">
            <w:pPr>
              <w:pStyle w:val="affff6"/>
              <w:adjustRightInd w:val="0"/>
              <w:snapToGrid w:val="0"/>
            </w:pPr>
            <w:r w:rsidRPr="002B55E9">
              <w:rPr>
                <w:rFonts w:hint="eastAsia"/>
              </w:rPr>
              <w:t>24</w:t>
            </w:r>
            <w:r w:rsidRPr="002B55E9">
              <w:rPr>
                <w:rFonts w:hint="eastAsia"/>
              </w:rPr>
              <w:t>小时平均</w:t>
            </w:r>
          </w:p>
        </w:tc>
        <w:tc>
          <w:tcPr>
            <w:tcW w:w="1843" w:type="dxa"/>
            <w:vAlign w:val="center"/>
          </w:tcPr>
          <w:p w14:paraId="732F16A4" w14:textId="77777777" w:rsidR="007E47F0" w:rsidRPr="002B55E9" w:rsidRDefault="007E47F0">
            <w:pPr>
              <w:pStyle w:val="affff6"/>
              <w:adjustRightInd w:val="0"/>
              <w:snapToGrid w:val="0"/>
            </w:pPr>
            <w:r w:rsidRPr="002B55E9">
              <w:rPr>
                <w:rFonts w:hint="eastAsia"/>
              </w:rPr>
              <w:t>1</w:t>
            </w:r>
            <w:r w:rsidRPr="002B55E9">
              <w:t>5</w:t>
            </w:r>
          </w:p>
        </w:tc>
        <w:tc>
          <w:tcPr>
            <w:tcW w:w="3259" w:type="dxa"/>
            <w:vMerge/>
            <w:vAlign w:val="center"/>
          </w:tcPr>
          <w:p w14:paraId="70847FB9" w14:textId="77777777" w:rsidR="007E47F0" w:rsidRPr="002B55E9" w:rsidRDefault="007E47F0">
            <w:pPr>
              <w:pStyle w:val="affff6"/>
              <w:adjustRightInd w:val="0"/>
              <w:snapToGrid w:val="0"/>
              <w:rPr>
                <w:szCs w:val="18"/>
              </w:rPr>
            </w:pPr>
          </w:p>
        </w:tc>
      </w:tr>
      <w:tr w:rsidR="002B55E9" w:rsidRPr="002B55E9" w14:paraId="0A29A759" w14:textId="77777777" w:rsidTr="007E47F0">
        <w:trPr>
          <w:cantSplit/>
          <w:trHeight w:val="284"/>
          <w:jc w:val="center"/>
        </w:trPr>
        <w:tc>
          <w:tcPr>
            <w:tcW w:w="2408" w:type="dxa"/>
            <w:vAlign w:val="center"/>
          </w:tcPr>
          <w:p w14:paraId="0A2896C5" w14:textId="62B0C388" w:rsidR="007E47F0" w:rsidRPr="002B55E9" w:rsidRDefault="007E47F0">
            <w:pPr>
              <w:pStyle w:val="affff6"/>
              <w:adjustRightInd w:val="0"/>
              <w:snapToGrid w:val="0"/>
              <w:rPr>
                <w:szCs w:val="18"/>
              </w:rPr>
            </w:pPr>
            <w:r w:rsidRPr="002B55E9">
              <w:rPr>
                <w:rFonts w:hint="eastAsia"/>
                <w:szCs w:val="18"/>
              </w:rPr>
              <w:t>氨</w:t>
            </w:r>
          </w:p>
        </w:tc>
        <w:tc>
          <w:tcPr>
            <w:tcW w:w="2128" w:type="dxa"/>
            <w:vAlign w:val="center"/>
          </w:tcPr>
          <w:p w14:paraId="522CBDC9" w14:textId="46927655" w:rsidR="007E47F0" w:rsidRPr="002B55E9" w:rsidRDefault="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1979B288" w14:textId="368CD349" w:rsidR="007E47F0" w:rsidRPr="002B55E9" w:rsidRDefault="007E47F0">
            <w:pPr>
              <w:pStyle w:val="affff6"/>
              <w:adjustRightInd w:val="0"/>
              <w:snapToGrid w:val="0"/>
            </w:pPr>
            <w:r w:rsidRPr="002B55E9">
              <w:rPr>
                <w:rFonts w:hint="eastAsia"/>
              </w:rPr>
              <w:t>200</w:t>
            </w:r>
          </w:p>
        </w:tc>
        <w:tc>
          <w:tcPr>
            <w:tcW w:w="3259" w:type="dxa"/>
            <w:vMerge/>
            <w:vAlign w:val="center"/>
          </w:tcPr>
          <w:p w14:paraId="6CC2D9C7" w14:textId="77777777" w:rsidR="007E47F0" w:rsidRPr="002B55E9" w:rsidRDefault="007E47F0">
            <w:pPr>
              <w:pStyle w:val="affff6"/>
              <w:adjustRightInd w:val="0"/>
              <w:snapToGrid w:val="0"/>
              <w:rPr>
                <w:szCs w:val="18"/>
              </w:rPr>
            </w:pPr>
          </w:p>
        </w:tc>
      </w:tr>
      <w:tr w:rsidR="002B55E9" w:rsidRPr="002B55E9" w14:paraId="212DD53C" w14:textId="77777777" w:rsidTr="007E47F0">
        <w:trPr>
          <w:cantSplit/>
          <w:trHeight w:val="284"/>
          <w:jc w:val="center"/>
        </w:trPr>
        <w:tc>
          <w:tcPr>
            <w:tcW w:w="2408" w:type="dxa"/>
            <w:vAlign w:val="center"/>
          </w:tcPr>
          <w:p w14:paraId="75BC7494" w14:textId="37284D59" w:rsidR="007E47F0" w:rsidRPr="002B55E9" w:rsidRDefault="007E47F0">
            <w:pPr>
              <w:pStyle w:val="affff6"/>
              <w:adjustRightInd w:val="0"/>
              <w:snapToGrid w:val="0"/>
              <w:rPr>
                <w:szCs w:val="18"/>
              </w:rPr>
            </w:pPr>
            <w:r w:rsidRPr="002B55E9">
              <w:rPr>
                <w:rFonts w:hint="eastAsia"/>
                <w:szCs w:val="18"/>
              </w:rPr>
              <w:t>硫化氢</w:t>
            </w:r>
          </w:p>
        </w:tc>
        <w:tc>
          <w:tcPr>
            <w:tcW w:w="2128" w:type="dxa"/>
            <w:vAlign w:val="center"/>
          </w:tcPr>
          <w:p w14:paraId="59D15A0F" w14:textId="58E4BEEF" w:rsidR="007E47F0" w:rsidRPr="002B55E9" w:rsidRDefault="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4F78DADF" w14:textId="04120F14" w:rsidR="007E47F0" w:rsidRPr="002B55E9" w:rsidRDefault="007E47F0">
            <w:pPr>
              <w:pStyle w:val="affff6"/>
              <w:adjustRightInd w:val="0"/>
              <w:snapToGrid w:val="0"/>
            </w:pPr>
            <w:r w:rsidRPr="002B55E9">
              <w:rPr>
                <w:rFonts w:hint="eastAsia"/>
              </w:rPr>
              <w:t>10</w:t>
            </w:r>
          </w:p>
        </w:tc>
        <w:tc>
          <w:tcPr>
            <w:tcW w:w="3259" w:type="dxa"/>
            <w:vMerge/>
            <w:vAlign w:val="center"/>
          </w:tcPr>
          <w:p w14:paraId="6A718CA7" w14:textId="77777777" w:rsidR="007E47F0" w:rsidRPr="002B55E9" w:rsidRDefault="007E47F0">
            <w:pPr>
              <w:pStyle w:val="affff6"/>
              <w:adjustRightInd w:val="0"/>
              <w:snapToGrid w:val="0"/>
              <w:rPr>
                <w:szCs w:val="18"/>
              </w:rPr>
            </w:pPr>
          </w:p>
        </w:tc>
      </w:tr>
      <w:tr w:rsidR="002B55E9" w:rsidRPr="002B55E9" w14:paraId="72D5E8A2" w14:textId="77777777" w:rsidTr="007E47F0">
        <w:trPr>
          <w:cantSplit/>
          <w:trHeight w:val="284"/>
          <w:jc w:val="center"/>
        </w:trPr>
        <w:tc>
          <w:tcPr>
            <w:tcW w:w="2408" w:type="dxa"/>
            <w:vAlign w:val="center"/>
          </w:tcPr>
          <w:p w14:paraId="669B3908" w14:textId="6D5C7448" w:rsidR="007E47F0" w:rsidRPr="002B55E9" w:rsidRDefault="007E47F0" w:rsidP="007E47F0">
            <w:pPr>
              <w:pStyle w:val="affff6"/>
              <w:adjustRightInd w:val="0"/>
              <w:snapToGrid w:val="0"/>
              <w:rPr>
                <w:szCs w:val="18"/>
              </w:rPr>
            </w:pPr>
            <w:r w:rsidRPr="002B55E9">
              <w:rPr>
                <w:rFonts w:hint="eastAsia"/>
                <w:szCs w:val="18"/>
              </w:rPr>
              <w:t>非甲烷总烃</w:t>
            </w:r>
          </w:p>
        </w:tc>
        <w:tc>
          <w:tcPr>
            <w:tcW w:w="2128" w:type="dxa"/>
            <w:vAlign w:val="center"/>
          </w:tcPr>
          <w:p w14:paraId="6BE7D959" w14:textId="725CD42E" w:rsidR="007E47F0" w:rsidRPr="002B55E9" w:rsidRDefault="007E47F0" w:rsidP="007E47F0">
            <w:pPr>
              <w:pStyle w:val="affff6"/>
              <w:adjustRightInd w:val="0"/>
              <w:snapToGrid w:val="0"/>
            </w:pPr>
            <w:r w:rsidRPr="002B55E9">
              <w:rPr>
                <w:rFonts w:hint="eastAsia"/>
              </w:rPr>
              <w:t>1</w:t>
            </w:r>
            <w:r w:rsidRPr="002B55E9">
              <w:rPr>
                <w:rFonts w:hint="eastAsia"/>
              </w:rPr>
              <w:t>小时平均</w:t>
            </w:r>
          </w:p>
        </w:tc>
        <w:tc>
          <w:tcPr>
            <w:tcW w:w="1843" w:type="dxa"/>
            <w:vAlign w:val="center"/>
          </w:tcPr>
          <w:p w14:paraId="388A1C53" w14:textId="21E20574" w:rsidR="007E47F0" w:rsidRPr="002B55E9" w:rsidRDefault="007E47F0" w:rsidP="007E47F0">
            <w:pPr>
              <w:pStyle w:val="affff6"/>
              <w:adjustRightInd w:val="0"/>
              <w:snapToGrid w:val="0"/>
            </w:pPr>
            <w:r w:rsidRPr="002B55E9">
              <w:t>2000</w:t>
            </w:r>
          </w:p>
        </w:tc>
        <w:tc>
          <w:tcPr>
            <w:tcW w:w="3259" w:type="dxa"/>
            <w:vAlign w:val="center"/>
          </w:tcPr>
          <w:p w14:paraId="256D72B2" w14:textId="67EEAA62" w:rsidR="007E47F0" w:rsidRPr="002B55E9" w:rsidRDefault="007E47F0" w:rsidP="007E47F0">
            <w:pPr>
              <w:pStyle w:val="affff6"/>
              <w:adjustRightInd w:val="0"/>
              <w:snapToGrid w:val="0"/>
              <w:rPr>
                <w:szCs w:val="18"/>
              </w:rPr>
            </w:pPr>
            <w:r w:rsidRPr="002B55E9">
              <w:rPr>
                <w:rFonts w:hint="eastAsia"/>
                <w:szCs w:val="18"/>
              </w:rPr>
              <w:t>《大气污染综合排放标准详解》中推荐的小时标准限值</w:t>
            </w:r>
          </w:p>
        </w:tc>
      </w:tr>
    </w:tbl>
    <w:bookmarkEnd w:id="106"/>
    <w:p w14:paraId="6B34A769" w14:textId="77777777" w:rsidR="00D170E5" w:rsidRPr="002B55E9" w:rsidRDefault="00EF27AD">
      <w:pPr>
        <w:pStyle w:val="5"/>
      </w:pPr>
      <w:r w:rsidRPr="002B55E9">
        <w:t>地表水</w:t>
      </w:r>
    </w:p>
    <w:p w14:paraId="5E0766AC" w14:textId="77777777" w:rsidR="00D170E5" w:rsidRPr="002B55E9" w:rsidRDefault="00EF27AD">
      <w:pPr>
        <w:spacing w:after="60" w:line="360" w:lineRule="auto"/>
        <w:ind w:firstLineChars="200" w:firstLine="480"/>
        <w:rPr>
          <w:sz w:val="24"/>
        </w:rPr>
      </w:pPr>
      <w:bookmarkStart w:id="108" w:name="_Toc121711623"/>
      <w:bookmarkStart w:id="109" w:name="_Toc124238084"/>
      <w:bookmarkStart w:id="110" w:name="_Toc169616177"/>
      <w:bookmarkEnd w:id="107"/>
      <w:r w:rsidRPr="002B55E9">
        <w:rPr>
          <w:sz w:val="24"/>
        </w:rPr>
        <w:t>项目污水最终排入</w:t>
      </w:r>
      <w:r w:rsidRPr="002B55E9">
        <w:rPr>
          <w:rFonts w:hint="eastAsia"/>
          <w:sz w:val="24"/>
        </w:rPr>
        <w:t>府河</w:t>
      </w:r>
      <w:r w:rsidRPr="002B55E9">
        <w:rPr>
          <w:sz w:val="24"/>
        </w:rPr>
        <w:t>，地表水环境质量标准</w:t>
      </w:r>
      <w:r w:rsidRPr="002B55E9">
        <w:rPr>
          <w:rFonts w:hint="eastAsia"/>
          <w:sz w:val="24"/>
        </w:rPr>
        <w:t>均</w:t>
      </w:r>
      <w:r w:rsidRPr="002B55E9">
        <w:rPr>
          <w:sz w:val="24"/>
        </w:rPr>
        <w:t>执行《地表水环境质量标准》</w:t>
      </w:r>
      <w:r w:rsidRPr="002B55E9">
        <w:rPr>
          <w:rFonts w:hint="eastAsia"/>
          <w:sz w:val="24"/>
        </w:rPr>
        <w:t>（</w:t>
      </w:r>
      <w:r w:rsidRPr="002B55E9">
        <w:rPr>
          <w:sz w:val="24"/>
        </w:rPr>
        <w:t>GB3838-2002</w:t>
      </w:r>
      <w:r w:rsidRPr="002B55E9">
        <w:rPr>
          <w:rFonts w:hint="eastAsia"/>
          <w:sz w:val="24"/>
        </w:rPr>
        <w:t>）</w:t>
      </w:r>
      <w:r w:rsidRPr="002B55E9">
        <w:rPr>
          <w:rFonts w:ascii="宋体" w:hAnsi="宋体" w:cs="宋体" w:hint="eastAsia"/>
        </w:rPr>
        <w:t>Ⅴ</w:t>
      </w:r>
      <w:r w:rsidRPr="002B55E9">
        <w:rPr>
          <w:sz w:val="24"/>
        </w:rPr>
        <w:t>类水域水质标准，具体如表</w:t>
      </w:r>
      <w:r w:rsidRPr="002B55E9">
        <w:rPr>
          <w:sz w:val="24"/>
        </w:rPr>
        <w:t>1-</w:t>
      </w:r>
      <w:r w:rsidRPr="002B55E9">
        <w:rPr>
          <w:rFonts w:hint="eastAsia"/>
          <w:sz w:val="24"/>
        </w:rPr>
        <w:t>5</w:t>
      </w:r>
      <w:r w:rsidRPr="002B55E9">
        <w:rPr>
          <w:sz w:val="24"/>
        </w:rPr>
        <w:t>-2</w:t>
      </w:r>
      <w:r w:rsidRPr="002B55E9">
        <w:rPr>
          <w:sz w:val="24"/>
        </w:rPr>
        <w:t>。</w:t>
      </w:r>
    </w:p>
    <w:p w14:paraId="5CFAB451" w14:textId="77777777" w:rsidR="00D170E5" w:rsidRPr="002B55E9" w:rsidRDefault="00EF27AD">
      <w:pPr>
        <w:spacing w:after="40"/>
        <w:jc w:val="center"/>
        <w:rPr>
          <w:rFonts w:eastAsia="黑体"/>
          <w:b/>
          <w:sz w:val="24"/>
        </w:rPr>
      </w:pPr>
      <w:r w:rsidRPr="002B55E9">
        <w:rPr>
          <w:rFonts w:eastAsia="黑体"/>
          <w:b/>
          <w:sz w:val="24"/>
        </w:rPr>
        <w:t>表</w:t>
      </w:r>
      <w:r w:rsidRPr="002B55E9">
        <w:rPr>
          <w:rFonts w:eastAsia="黑体"/>
          <w:b/>
          <w:sz w:val="24"/>
        </w:rPr>
        <w:t xml:space="preserve">1-5-2  </w:t>
      </w:r>
      <w:r w:rsidRPr="002B55E9">
        <w:rPr>
          <w:rFonts w:eastAsia="黑体"/>
          <w:b/>
          <w:sz w:val="24"/>
        </w:rPr>
        <w:t>地表水环境质量标准一览表</w:t>
      </w:r>
      <w:r w:rsidRPr="002B55E9">
        <w:rPr>
          <w:rFonts w:eastAsia="黑体"/>
          <w:b/>
          <w:sz w:val="24"/>
        </w:rPr>
        <w:t xml:space="preserve">    </w:t>
      </w:r>
      <w:r w:rsidRPr="002B55E9">
        <w:rPr>
          <w:rFonts w:eastAsia="黑体"/>
          <w:b/>
          <w:sz w:val="24"/>
        </w:rPr>
        <w:t>单位：</w:t>
      </w:r>
      <w:r w:rsidRPr="002B55E9">
        <w:rPr>
          <w:rFonts w:eastAsia="黑体"/>
          <w:b/>
          <w:sz w:val="24"/>
        </w:rPr>
        <w:t>mg/L</w:t>
      </w:r>
      <w:r w:rsidRPr="002B55E9">
        <w:rPr>
          <w:rFonts w:eastAsia="黑体"/>
          <w:b/>
          <w:sz w:val="24"/>
        </w:rPr>
        <w:t>（</w:t>
      </w:r>
      <w:r w:rsidRPr="002B55E9">
        <w:rPr>
          <w:rFonts w:eastAsia="黑体"/>
          <w:b/>
          <w:sz w:val="24"/>
        </w:rPr>
        <w:t>pH</w:t>
      </w:r>
      <w:r w:rsidRPr="002B55E9">
        <w:rPr>
          <w:rFonts w:eastAsia="黑体"/>
          <w:b/>
          <w:sz w:val="24"/>
        </w:rPr>
        <w:t>无量纲）</w:t>
      </w:r>
    </w:p>
    <w:tbl>
      <w:tblPr>
        <w:tblW w:w="96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73"/>
        <w:gridCol w:w="647"/>
        <w:gridCol w:w="903"/>
        <w:gridCol w:w="905"/>
        <w:gridCol w:w="1158"/>
        <w:gridCol w:w="853"/>
        <w:gridCol w:w="853"/>
        <w:gridCol w:w="853"/>
        <w:gridCol w:w="853"/>
        <w:gridCol w:w="853"/>
      </w:tblGrid>
      <w:tr w:rsidR="002B55E9" w:rsidRPr="002B55E9" w14:paraId="2CB467BB" w14:textId="77777777">
        <w:trPr>
          <w:trHeight w:val="284"/>
          <w:jc w:val="center"/>
        </w:trPr>
        <w:tc>
          <w:tcPr>
            <w:tcW w:w="1773" w:type="dxa"/>
            <w:tcBorders>
              <w:top w:val="single" w:sz="12" w:space="0" w:color="auto"/>
              <w:left w:val="nil"/>
              <w:bottom w:val="single" w:sz="12" w:space="0" w:color="auto"/>
              <w:right w:val="single" w:sz="4" w:space="0" w:color="auto"/>
            </w:tcBorders>
            <w:vAlign w:val="center"/>
          </w:tcPr>
          <w:p w14:paraId="18E46D7B"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参数</w:t>
            </w:r>
          </w:p>
        </w:tc>
        <w:tc>
          <w:tcPr>
            <w:tcW w:w="647" w:type="dxa"/>
            <w:tcBorders>
              <w:top w:val="single" w:sz="12" w:space="0" w:color="auto"/>
              <w:left w:val="single" w:sz="4" w:space="0" w:color="auto"/>
              <w:bottom w:val="single" w:sz="12" w:space="0" w:color="auto"/>
              <w:right w:val="nil"/>
            </w:tcBorders>
            <w:vAlign w:val="center"/>
          </w:tcPr>
          <w:p w14:paraId="0E48CA4C"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pH</w:t>
            </w:r>
          </w:p>
        </w:tc>
        <w:tc>
          <w:tcPr>
            <w:tcW w:w="903" w:type="dxa"/>
            <w:tcBorders>
              <w:top w:val="single" w:sz="12" w:space="0" w:color="auto"/>
              <w:left w:val="single" w:sz="4" w:space="0" w:color="auto"/>
              <w:bottom w:val="single" w:sz="12" w:space="0" w:color="auto"/>
              <w:right w:val="single" w:sz="4" w:space="0" w:color="auto"/>
            </w:tcBorders>
            <w:vAlign w:val="center"/>
          </w:tcPr>
          <w:p w14:paraId="19858B72" w14:textId="77777777" w:rsidR="00D170E5" w:rsidRPr="002B55E9" w:rsidRDefault="00EF27AD">
            <w:pPr>
              <w:pStyle w:val="affff6"/>
              <w:adjustRightInd w:val="0"/>
              <w:snapToGrid w:val="0"/>
            </w:pPr>
            <w:r w:rsidRPr="002B55E9">
              <w:rPr>
                <w:rFonts w:hint="eastAsia"/>
              </w:rPr>
              <w:t>COD</w:t>
            </w:r>
          </w:p>
        </w:tc>
        <w:tc>
          <w:tcPr>
            <w:tcW w:w="905" w:type="dxa"/>
            <w:tcBorders>
              <w:top w:val="single" w:sz="12" w:space="0" w:color="auto"/>
              <w:left w:val="single" w:sz="4" w:space="0" w:color="auto"/>
              <w:bottom w:val="single" w:sz="12" w:space="0" w:color="auto"/>
              <w:right w:val="nil"/>
            </w:tcBorders>
            <w:vAlign w:val="center"/>
          </w:tcPr>
          <w:p w14:paraId="334352FB" w14:textId="77777777" w:rsidR="00D170E5" w:rsidRPr="002B55E9" w:rsidRDefault="00EF27AD">
            <w:pPr>
              <w:pStyle w:val="affff6"/>
              <w:adjustRightInd w:val="0"/>
              <w:snapToGrid w:val="0"/>
            </w:pPr>
            <w:r w:rsidRPr="002B55E9">
              <w:rPr>
                <w:rFonts w:hint="eastAsia"/>
              </w:rPr>
              <w:t>溶解氧</w:t>
            </w:r>
          </w:p>
        </w:tc>
        <w:tc>
          <w:tcPr>
            <w:tcW w:w="1158" w:type="dxa"/>
            <w:tcBorders>
              <w:top w:val="single" w:sz="12" w:space="0" w:color="auto"/>
              <w:left w:val="single" w:sz="4" w:space="0" w:color="auto"/>
              <w:bottom w:val="single" w:sz="12" w:space="0" w:color="auto"/>
              <w:right w:val="nil"/>
            </w:tcBorders>
            <w:vAlign w:val="center"/>
          </w:tcPr>
          <w:p w14:paraId="38D3345C" w14:textId="77777777" w:rsidR="00D170E5" w:rsidRPr="002B55E9" w:rsidRDefault="00EF27AD">
            <w:pPr>
              <w:pStyle w:val="affff6"/>
              <w:adjustRightInd w:val="0"/>
              <w:snapToGrid w:val="0"/>
            </w:pPr>
            <w:r w:rsidRPr="002B55E9">
              <w:rPr>
                <w:rFonts w:hint="eastAsia"/>
              </w:rPr>
              <w:t>高锰酸指数</w:t>
            </w:r>
          </w:p>
        </w:tc>
        <w:tc>
          <w:tcPr>
            <w:tcW w:w="853" w:type="dxa"/>
            <w:tcBorders>
              <w:top w:val="single" w:sz="12" w:space="0" w:color="auto"/>
              <w:left w:val="single" w:sz="4" w:space="0" w:color="auto"/>
              <w:bottom w:val="single" w:sz="12" w:space="0" w:color="auto"/>
              <w:right w:val="nil"/>
            </w:tcBorders>
            <w:vAlign w:val="center"/>
          </w:tcPr>
          <w:p w14:paraId="198C8AB6" w14:textId="77777777" w:rsidR="00D170E5" w:rsidRPr="002B55E9" w:rsidRDefault="00EF27AD">
            <w:pPr>
              <w:pStyle w:val="affff6"/>
              <w:adjustRightInd w:val="0"/>
              <w:snapToGrid w:val="0"/>
            </w:pPr>
            <w:r w:rsidRPr="002B55E9">
              <w:rPr>
                <w:rFonts w:hint="eastAsia"/>
              </w:rPr>
              <w:t>BOD</w:t>
            </w:r>
            <w:r w:rsidRPr="002B55E9">
              <w:rPr>
                <w:rFonts w:hint="eastAsia"/>
                <w:vertAlign w:val="subscript"/>
              </w:rPr>
              <w:t>5</w:t>
            </w:r>
          </w:p>
        </w:tc>
        <w:tc>
          <w:tcPr>
            <w:tcW w:w="853" w:type="dxa"/>
            <w:tcBorders>
              <w:top w:val="single" w:sz="12" w:space="0" w:color="auto"/>
              <w:left w:val="single" w:sz="4" w:space="0" w:color="auto"/>
              <w:bottom w:val="single" w:sz="12" w:space="0" w:color="auto"/>
              <w:right w:val="nil"/>
            </w:tcBorders>
            <w:vAlign w:val="center"/>
          </w:tcPr>
          <w:p w14:paraId="3FB22110" w14:textId="77777777" w:rsidR="00D170E5" w:rsidRPr="002B55E9" w:rsidRDefault="00EF27AD">
            <w:pPr>
              <w:pStyle w:val="affff6"/>
              <w:adjustRightInd w:val="0"/>
              <w:snapToGrid w:val="0"/>
            </w:pPr>
            <w:r w:rsidRPr="002B55E9">
              <w:rPr>
                <w:rFonts w:hint="eastAsia"/>
              </w:rPr>
              <w:t>氨氮</w:t>
            </w:r>
          </w:p>
        </w:tc>
        <w:tc>
          <w:tcPr>
            <w:tcW w:w="853" w:type="dxa"/>
            <w:tcBorders>
              <w:top w:val="single" w:sz="12" w:space="0" w:color="auto"/>
              <w:left w:val="single" w:sz="4" w:space="0" w:color="auto"/>
              <w:bottom w:val="single" w:sz="12" w:space="0" w:color="auto"/>
              <w:right w:val="nil"/>
            </w:tcBorders>
            <w:vAlign w:val="center"/>
          </w:tcPr>
          <w:p w14:paraId="2FAB3E73" w14:textId="77777777" w:rsidR="00D170E5" w:rsidRPr="002B55E9" w:rsidRDefault="00EF27AD">
            <w:pPr>
              <w:pStyle w:val="affff6"/>
              <w:adjustRightInd w:val="0"/>
              <w:snapToGrid w:val="0"/>
            </w:pPr>
            <w:r w:rsidRPr="002B55E9">
              <w:rPr>
                <w:rFonts w:hint="eastAsia"/>
              </w:rPr>
              <w:t>石油类</w:t>
            </w:r>
          </w:p>
        </w:tc>
        <w:tc>
          <w:tcPr>
            <w:tcW w:w="853" w:type="dxa"/>
            <w:tcBorders>
              <w:top w:val="single" w:sz="12" w:space="0" w:color="auto"/>
              <w:left w:val="single" w:sz="4" w:space="0" w:color="auto"/>
              <w:bottom w:val="single" w:sz="12" w:space="0" w:color="auto"/>
              <w:right w:val="single" w:sz="4" w:space="0" w:color="auto"/>
            </w:tcBorders>
            <w:vAlign w:val="center"/>
          </w:tcPr>
          <w:p w14:paraId="5787A13C" w14:textId="77777777" w:rsidR="00D170E5" w:rsidRPr="002B55E9" w:rsidRDefault="00EF27AD">
            <w:pPr>
              <w:pStyle w:val="affff6"/>
              <w:adjustRightInd w:val="0"/>
              <w:snapToGrid w:val="0"/>
            </w:pPr>
            <w:r w:rsidRPr="002B55E9">
              <w:rPr>
                <w:rFonts w:hint="eastAsia"/>
              </w:rPr>
              <w:t>总磷</w:t>
            </w:r>
          </w:p>
        </w:tc>
        <w:tc>
          <w:tcPr>
            <w:tcW w:w="853" w:type="dxa"/>
            <w:tcBorders>
              <w:top w:val="single" w:sz="12" w:space="0" w:color="auto"/>
              <w:left w:val="single" w:sz="4" w:space="0" w:color="auto"/>
              <w:bottom w:val="single" w:sz="12" w:space="0" w:color="auto"/>
              <w:right w:val="nil"/>
            </w:tcBorders>
            <w:vAlign w:val="center"/>
          </w:tcPr>
          <w:p w14:paraId="09416460" w14:textId="77777777" w:rsidR="00D170E5" w:rsidRPr="002B55E9" w:rsidRDefault="00EF27AD">
            <w:pPr>
              <w:pStyle w:val="affff6"/>
              <w:adjustRightInd w:val="0"/>
              <w:snapToGrid w:val="0"/>
            </w:pPr>
            <w:r w:rsidRPr="002B55E9">
              <w:rPr>
                <w:rFonts w:hint="eastAsia"/>
              </w:rPr>
              <w:t>总氮</w:t>
            </w:r>
          </w:p>
        </w:tc>
      </w:tr>
      <w:tr w:rsidR="002B55E9" w:rsidRPr="002B55E9" w14:paraId="3C5810FE" w14:textId="77777777">
        <w:trPr>
          <w:trHeight w:val="284"/>
          <w:jc w:val="center"/>
        </w:trPr>
        <w:tc>
          <w:tcPr>
            <w:tcW w:w="1773" w:type="dxa"/>
            <w:tcBorders>
              <w:top w:val="single" w:sz="12" w:space="0" w:color="auto"/>
              <w:left w:val="nil"/>
              <w:bottom w:val="single" w:sz="12" w:space="0" w:color="auto"/>
              <w:right w:val="single" w:sz="4" w:space="0" w:color="auto"/>
            </w:tcBorders>
            <w:vAlign w:val="center"/>
          </w:tcPr>
          <w:p w14:paraId="1FFC34E5"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GB3838-2002</w:t>
            </w:r>
            <w:r w:rsidRPr="002B55E9">
              <w:rPr>
                <w:rFonts w:ascii="Times New Roman" w:hAnsi="Times New Roman" w:hint="eastAsia"/>
                <w:sz w:val="18"/>
                <w:szCs w:val="18"/>
              </w:rPr>
              <w:t xml:space="preserve"> </w:t>
            </w:r>
            <w:r w:rsidRPr="002B55E9">
              <w:rPr>
                <w:rFonts w:hAnsi="宋体" w:cs="宋体" w:hint="eastAsia"/>
                <w:sz w:val="18"/>
                <w:szCs w:val="18"/>
              </w:rPr>
              <w:t>Ⅴ</w:t>
            </w:r>
            <w:r w:rsidRPr="002B55E9">
              <w:rPr>
                <w:rFonts w:ascii="Times New Roman" w:hAnsi="Times New Roman"/>
                <w:sz w:val="18"/>
                <w:szCs w:val="18"/>
              </w:rPr>
              <w:t>类</w:t>
            </w:r>
          </w:p>
        </w:tc>
        <w:tc>
          <w:tcPr>
            <w:tcW w:w="647" w:type="dxa"/>
            <w:tcBorders>
              <w:top w:val="single" w:sz="12" w:space="0" w:color="auto"/>
              <w:left w:val="single" w:sz="4" w:space="0" w:color="auto"/>
              <w:bottom w:val="single" w:sz="12" w:space="0" w:color="auto"/>
              <w:right w:val="nil"/>
            </w:tcBorders>
            <w:vAlign w:val="center"/>
          </w:tcPr>
          <w:p w14:paraId="2986055E"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6~9</w:t>
            </w:r>
          </w:p>
        </w:tc>
        <w:tc>
          <w:tcPr>
            <w:tcW w:w="903" w:type="dxa"/>
            <w:tcBorders>
              <w:top w:val="single" w:sz="12" w:space="0" w:color="auto"/>
              <w:left w:val="single" w:sz="4" w:space="0" w:color="auto"/>
              <w:bottom w:val="single" w:sz="12" w:space="0" w:color="auto"/>
              <w:right w:val="single" w:sz="4" w:space="0" w:color="auto"/>
            </w:tcBorders>
            <w:vAlign w:val="center"/>
          </w:tcPr>
          <w:p w14:paraId="1588A844"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hint="eastAsia"/>
                <w:sz w:val="18"/>
                <w:szCs w:val="18"/>
              </w:rPr>
              <w:t>4</w:t>
            </w:r>
            <w:r w:rsidRPr="002B55E9">
              <w:rPr>
                <w:rFonts w:ascii="Times New Roman" w:hAnsi="Times New Roman"/>
                <w:sz w:val="18"/>
                <w:szCs w:val="18"/>
              </w:rPr>
              <w:t>0</w:t>
            </w:r>
          </w:p>
        </w:tc>
        <w:tc>
          <w:tcPr>
            <w:tcW w:w="905" w:type="dxa"/>
            <w:tcBorders>
              <w:top w:val="single" w:sz="12" w:space="0" w:color="auto"/>
              <w:left w:val="single" w:sz="4" w:space="0" w:color="auto"/>
              <w:bottom w:val="single" w:sz="12" w:space="0" w:color="auto"/>
              <w:right w:val="nil"/>
            </w:tcBorders>
            <w:vAlign w:val="center"/>
          </w:tcPr>
          <w:p w14:paraId="36ABE643"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2</w:t>
            </w:r>
          </w:p>
        </w:tc>
        <w:tc>
          <w:tcPr>
            <w:tcW w:w="1158" w:type="dxa"/>
            <w:tcBorders>
              <w:top w:val="single" w:sz="12" w:space="0" w:color="auto"/>
              <w:left w:val="single" w:sz="4" w:space="0" w:color="auto"/>
              <w:bottom w:val="single" w:sz="12" w:space="0" w:color="auto"/>
              <w:right w:val="nil"/>
            </w:tcBorders>
            <w:vAlign w:val="center"/>
          </w:tcPr>
          <w:p w14:paraId="7BAD5C99"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15</w:t>
            </w:r>
          </w:p>
        </w:tc>
        <w:tc>
          <w:tcPr>
            <w:tcW w:w="853" w:type="dxa"/>
            <w:tcBorders>
              <w:top w:val="single" w:sz="12" w:space="0" w:color="auto"/>
              <w:left w:val="single" w:sz="4" w:space="0" w:color="auto"/>
              <w:bottom w:val="single" w:sz="12" w:space="0" w:color="auto"/>
              <w:right w:val="nil"/>
            </w:tcBorders>
            <w:vAlign w:val="center"/>
          </w:tcPr>
          <w:p w14:paraId="44C645A1"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10</w:t>
            </w:r>
          </w:p>
        </w:tc>
        <w:tc>
          <w:tcPr>
            <w:tcW w:w="853" w:type="dxa"/>
            <w:tcBorders>
              <w:top w:val="single" w:sz="12" w:space="0" w:color="auto"/>
              <w:left w:val="single" w:sz="4" w:space="0" w:color="auto"/>
              <w:bottom w:val="single" w:sz="12" w:space="0" w:color="auto"/>
              <w:right w:val="nil"/>
            </w:tcBorders>
            <w:vAlign w:val="center"/>
          </w:tcPr>
          <w:p w14:paraId="056A08A2"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sz w:val="18"/>
                <w:szCs w:val="18"/>
              </w:rPr>
              <w:t>2.0</w:t>
            </w:r>
          </w:p>
        </w:tc>
        <w:tc>
          <w:tcPr>
            <w:tcW w:w="853" w:type="dxa"/>
            <w:tcBorders>
              <w:top w:val="single" w:sz="12" w:space="0" w:color="auto"/>
              <w:left w:val="single" w:sz="4" w:space="0" w:color="auto"/>
              <w:bottom w:val="single" w:sz="12" w:space="0" w:color="auto"/>
              <w:right w:val="nil"/>
            </w:tcBorders>
            <w:vAlign w:val="center"/>
          </w:tcPr>
          <w:p w14:paraId="4FD9EBD8"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hint="eastAsia"/>
                <w:sz w:val="18"/>
                <w:szCs w:val="18"/>
              </w:rPr>
              <w:t>1</w:t>
            </w:r>
            <w:r w:rsidRPr="002B55E9">
              <w:rPr>
                <w:rFonts w:ascii="Times New Roman" w:hAnsi="Times New Roman"/>
                <w:sz w:val="18"/>
                <w:szCs w:val="18"/>
              </w:rPr>
              <w:t>.0</w:t>
            </w:r>
          </w:p>
        </w:tc>
        <w:tc>
          <w:tcPr>
            <w:tcW w:w="853" w:type="dxa"/>
            <w:tcBorders>
              <w:top w:val="single" w:sz="12" w:space="0" w:color="auto"/>
              <w:left w:val="single" w:sz="4" w:space="0" w:color="auto"/>
              <w:bottom w:val="single" w:sz="12" w:space="0" w:color="auto"/>
              <w:right w:val="single" w:sz="4" w:space="0" w:color="auto"/>
            </w:tcBorders>
            <w:vAlign w:val="center"/>
          </w:tcPr>
          <w:p w14:paraId="763991C3"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hint="eastAsia"/>
                <w:sz w:val="18"/>
                <w:szCs w:val="18"/>
              </w:rPr>
              <w:t>0</w:t>
            </w:r>
            <w:r w:rsidRPr="002B55E9">
              <w:rPr>
                <w:rFonts w:ascii="Times New Roman" w:hAnsi="Times New Roman"/>
                <w:sz w:val="18"/>
                <w:szCs w:val="18"/>
              </w:rPr>
              <w:t>.4</w:t>
            </w:r>
          </w:p>
        </w:tc>
        <w:tc>
          <w:tcPr>
            <w:tcW w:w="853" w:type="dxa"/>
            <w:tcBorders>
              <w:top w:val="single" w:sz="12" w:space="0" w:color="auto"/>
              <w:left w:val="single" w:sz="4" w:space="0" w:color="auto"/>
              <w:bottom w:val="single" w:sz="12" w:space="0" w:color="auto"/>
              <w:right w:val="nil"/>
            </w:tcBorders>
            <w:vAlign w:val="center"/>
          </w:tcPr>
          <w:p w14:paraId="1999CCF2" w14:textId="77777777" w:rsidR="00D170E5" w:rsidRPr="002B55E9" w:rsidRDefault="00EF27AD">
            <w:pPr>
              <w:pStyle w:val="aff1"/>
              <w:adjustRightInd w:val="0"/>
              <w:snapToGrid w:val="0"/>
              <w:jc w:val="center"/>
              <w:rPr>
                <w:rFonts w:ascii="Times New Roman" w:hAnsi="Times New Roman"/>
                <w:sz w:val="18"/>
                <w:szCs w:val="18"/>
              </w:rPr>
            </w:pPr>
            <w:r w:rsidRPr="002B55E9">
              <w:rPr>
                <w:rFonts w:ascii="Times New Roman" w:hAnsi="Times New Roman" w:hint="eastAsia"/>
                <w:sz w:val="18"/>
                <w:szCs w:val="18"/>
              </w:rPr>
              <w:t>2</w:t>
            </w:r>
            <w:r w:rsidRPr="002B55E9">
              <w:rPr>
                <w:rFonts w:ascii="Times New Roman" w:hAnsi="Times New Roman"/>
                <w:sz w:val="18"/>
                <w:szCs w:val="18"/>
              </w:rPr>
              <w:t>.0</w:t>
            </w:r>
          </w:p>
        </w:tc>
      </w:tr>
    </w:tbl>
    <w:p w14:paraId="1990B924" w14:textId="77777777" w:rsidR="00D170E5" w:rsidRPr="002B55E9" w:rsidRDefault="00EF27AD">
      <w:pPr>
        <w:pStyle w:val="5"/>
      </w:pPr>
      <w:r w:rsidRPr="002B55E9">
        <w:t>声环境</w:t>
      </w:r>
    </w:p>
    <w:p w14:paraId="601B5DE3" w14:textId="77777777" w:rsidR="00D170E5" w:rsidRPr="002B55E9" w:rsidRDefault="00EF27AD">
      <w:pPr>
        <w:pStyle w:val="affff7"/>
        <w:snapToGrid w:val="0"/>
        <w:spacing w:after="0"/>
        <w:ind w:firstLine="492"/>
      </w:pPr>
      <w:bookmarkStart w:id="111" w:name="_Toc169616172"/>
      <w:r w:rsidRPr="002B55E9">
        <w:rPr>
          <w:rFonts w:hint="eastAsia"/>
          <w:bCs w:val="0"/>
          <w:spacing w:val="6"/>
        </w:rPr>
        <w:t>项目所在地声环境功能区划为</w:t>
      </w:r>
      <w:r w:rsidRPr="002B55E9">
        <w:rPr>
          <w:bCs w:val="0"/>
          <w:spacing w:val="6"/>
        </w:rPr>
        <w:t>2</w:t>
      </w:r>
      <w:r w:rsidRPr="002B55E9">
        <w:rPr>
          <w:rFonts w:hint="eastAsia"/>
          <w:bCs w:val="0"/>
          <w:spacing w:val="6"/>
        </w:rPr>
        <w:t>类区，质量目标为《声环境质量标准》（</w:t>
      </w:r>
      <w:r w:rsidRPr="002B55E9">
        <w:rPr>
          <w:bCs w:val="0"/>
          <w:spacing w:val="6"/>
        </w:rPr>
        <w:t>GB3096-2008</w:t>
      </w:r>
      <w:r w:rsidRPr="002B55E9">
        <w:rPr>
          <w:rFonts w:hint="eastAsia"/>
          <w:bCs w:val="0"/>
          <w:spacing w:val="6"/>
        </w:rPr>
        <w:t>）中“</w:t>
      </w:r>
      <w:r w:rsidRPr="002B55E9">
        <w:rPr>
          <w:bCs w:val="0"/>
          <w:spacing w:val="6"/>
        </w:rPr>
        <w:t>2</w:t>
      </w:r>
      <w:r w:rsidRPr="002B55E9">
        <w:rPr>
          <w:rFonts w:hint="eastAsia"/>
          <w:bCs w:val="0"/>
          <w:spacing w:val="6"/>
        </w:rPr>
        <w:t>类标准”（昼间</w:t>
      </w:r>
      <w:r w:rsidRPr="002B55E9">
        <w:rPr>
          <w:rFonts w:hint="eastAsia"/>
          <w:bCs w:val="0"/>
          <w:spacing w:val="6"/>
        </w:rPr>
        <w:t>6</w:t>
      </w:r>
      <w:r w:rsidRPr="002B55E9">
        <w:rPr>
          <w:bCs w:val="0"/>
          <w:spacing w:val="6"/>
        </w:rPr>
        <w:t>0dB</w:t>
      </w:r>
      <w:r w:rsidRPr="002B55E9">
        <w:rPr>
          <w:rFonts w:hint="eastAsia"/>
          <w:bCs w:val="0"/>
          <w:spacing w:val="6"/>
        </w:rPr>
        <w:t>（</w:t>
      </w:r>
      <w:r w:rsidRPr="002B55E9">
        <w:rPr>
          <w:bCs w:val="0"/>
          <w:spacing w:val="6"/>
        </w:rPr>
        <w:t>A</w:t>
      </w:r>
      <w:r w:rsidRPr="002B55E9">
        <w:rPr>
          <w:rFonts w:hint="eastAsia"/>
          <w:bCs w:val="0"/>
          <w:spacing w:val="6"/>
        </w:rPr>
        <w:t>），夜间</w:t>
      </w:r>
      <w:r w:rsidRPr="002B55E9">
        <w:rPr>
          <w:bCs w:val="0"/>
          <w:spacing w:val="6"/>
        </w:rPr>
        <w:t>50dB</w:t>
      </w:r>
      <w:r w:rsidRPr="002B55E9">
        <w:rPr>
          <w:rFonts w:hint="eastAsia"/>
          <w:bCs w:val="0"/>
          <w:spacing w:val="6"/>
        </w:rPr>
        <w:t>（</w:t>
      </w:r>
      <w:r w:rsidRPr="002B55E9">
        <w:rPr>
          <w:bCs w:val="0"/>
          <w:spacing w:val="6"/>
        </w:rPr>
        <w:t>A</w:t>
      </w:r>
      <w:r w:rsidRPr="002B55E9">
        <w:rPr>
          <w:rFonts w:hint="eastAsia"/>
          <w:bCs w:val="0"/>
          <w:spacing w:val="6"/>
        </w:rPr>
        <w:t>））。东侧临近革新大道（城市主干路）</w:t>
      </w:r>
      <w:r w:rsidRPr="002B55E9">
        <w:rPr>
          <w:bCs w:val="0"/>
          <w:spacing w:val="6"/>
        </w:rPr>
        <w:t>40m</w:t>
      </w:r>
      <w:r w:rsidRPr="002B55E9">
        <w:rPr>
          <w:rFonts w:hint="eastAsia"/>
          <w:bCs w:val="0"/>
          <w:spacing w:val="6"/>
        </w:rPr>
        <w:t>范围内，质量目标为《声环境质量标准》（</w:t>
      </w:r>
      <w:r w:rsidRPr="002B55E9">
        <w:rPr>
          <w:bCs w:val="0"/>
          <w:spacing w:val="6"/>
        </w:rPr>
        <w:t>GB3096-2008</w:t>
      </w:r>
      <w:r w:rsidRPr="002B55E9">
        <w:rPr>
          <w:rFonts w:hint="eastAsia"/>
          <w:bCs w:val="0"/>
          <w:spacing w:val="6"/>
        </w:rPr>
        <w:t>）中“</w:t>
      </w:r>
      <w:r w:rsidRPr="002B55E9">
        <w:rPr>
          <w:bCs w:val="0"/>
          <w:spacing w:val="6"/>
        </w:rPr>
        <w:t>4</w:t>
      </w:r>
      <w:r w:rsidRPr="002B55E9">
        <w:rPr>
          <w:rFonts w:hint="eastAsia"/>
          <w:bCs w:val="0"/>
          <w:spacing w:val="6"/>
        </w:rPr>
        <w:t>a</w:t>
      </w:r>
      <w:r w:rsidRPr="002B55E9">
        <w:rPr>
          <w:rFonts w:hint="eastAsia"/>
          <w:bCs w:val="0"/>
          <w:spacing w:val="6"/>
        </w:rPr>
        <w:t>类标准”（昼间</w:t>
      </w:r>
      <w:r w:rsidRPr="002B55E9">
        <w:rPr>
          <w:bCs w:val="0"/>
          <w:spacing w:val="6"/>
        </w:rPr>
        <w:t>70dB</w:t>
      </w:r>
      <w:r w:rsidRPr="002B55E9">
        <w:rPr>
          <w:rFonts w:hint="eastAsia"/>
          <w:bCs w:val="0"/>
          <w:spacing w:val="6"/>
        </w:rPr>
        <w:t>（</w:t>
      </w:r>
      <w:r w:rsidRPr="002B55E9">
        <w:rPr>
          <w:bCs w:val="0"/>
          <w:spacing w:val="6"/>
        </w:rPr>
        <w:t>A</w:t>
      </w:r>
      <w:r w:rsidRPr="002B55E9">
        <w:rPr>
          <w:rFonts w:hint="eastAsia"/>
          <w:bCs w:val="0"/>
          <w:spacing w:val="6"/>
        </w:rPr>
        <w:t>），夜间</w:t>
      </w:r>
      <w:r w:rsidRPr="002B55E9">
        <w:rPr>
          <w:bCs w:val="0"/>
          <w:spacing w:val="6"/>
        </w:rPr>
        <w:t>5</w:t>
      </w:r>
      <w:r w:rsidRPr="002B55E9">
        <w:rPr>
          <w:rFonts w:hint="eastAsia"/>
          <w:bCs w:val="0"/>
          <w:spacing w:val="6"/>
        </w:rPr>
        <w:t>5</w:t>
      </w:r>
      <w:r w:rsidRPr="002B55E9">
        <w:rPr>
          <w:bCs w:val="0"/>
          <w:spacing w:val="6"/>
        </w:rPr>
        <w:t>dB</w:t>
      </w:r>
      <w:r w:rsidRPr="002B55E9">
        <w:rPr>
          <w:rFonts w:hint="eastAsia"/>
          <w:bCs w:val="0"/>
          <w:spacing w:val="6"/>
        </w:rPr>
        <w:t>（</w:t>
      </w:r>
      <w:r w:rsidRPr="002B55E9">
        <w:rPr>
          <w:bCs w:val="0"/>
          <w:spacing w:val="6"/>
        </w:rPr>
        <w:t>A</w:t>
      </w:r>
      <w:r w:rsidRPr="002B55E9">
        <w:rPr>
          <w:rFonts w:hint="eastAsia"/>
          <w:bCs w:val="0"/>
          <w:spacing w:val="6"/>
        </w:rPr>
        <w:t>））</w:t>
      </w:r>
      <w:r w:rsidRPr="002B55E9">
        <w:t>。</w:t>
      </w:r>
    </w:p>
    <w:p w14:paraId="14EDB611" w14:textId="77777777" w:rsidR="00D170E5" w:rsidRPr="002B55E9" w:rsidRDefault="00EF27AD">
      <w:pPr>
        <w:spacing w:after="40"/>
        <w:jc w:val="center"/>
        <w:rPr>
          <w:rFonts w:eastAsia="黑体"/>
          <w:b/>
          <w:sz w:val="24"/>
        </w:rPr>
      </w:pPr>
      <w:r w:rsidRPr="002B55E9">
        <w:rPr>
          <w:rFonts w:eastAsia="黑体"/>
          <w:b/>
          <w:sz w:val="24"/>
        </w:rPr>
        <w:t>表</w:t>
      </w:r>
      <w:r w:rsidRPr="002B55E9">
        <w:rPr>
          <w:rFonts w:eastAsia="黑体"/>
          <w:b/>
          <w:sz w:val="24"/>
        </w:rPr>
        <w:t>1-</w:t>
      </w:r>
      <w:r w:rsidRPr="002B55E9">
        <w:rPr>
          <w:rFonts w:eastAsia="黑体" w:hint="eastAsia"/>
          <w:b/>
          <w:sz w:val="24"/>
        </w:rPr>
        <w:t>5</w:t>
      </w:r>
      <w:r w:rsidRPr="002B55E9">
        <w:rPr>
          <w:rFonts w:eastAsia="黑体"/>
          <w:b/>
          <w:sz w:val="24"/>
        </w:rPr>
        <w:t xml:space="preserve">-3  </w:t>
      </w:r>
      <w:r w:rsidRPr="002B55E9">
        <w:rPr>
          <w:rFonts w:eastAsia="黑体"/>
          <w:b/>
          <w:sz w:val="24"/>
        </w:rPr>
        <w:t>声环境质量标准一览表</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6"/>
        <w:gridCol w:w="1282"/>
        <w:gridCol w:w="1110"/>
        <w:gridCol w:w="3855"/>
      </w:tblGrid>
      <w:tr w:rsidR="002B55E9" w:rsidRPr="002B55E9" w14:paraId="0E54B30E" w14:textId="77777777">
        <w:trPr>
          <w:trHeight w:val="284"/>
          <w:jc w:val="center"/>
        </w:trPr>
        <w:tc>
          <w:tcPr>
            <w:tcW w:w="3406" w:type="dxa"/>
            <w:tcBorders>
              <w:top w:val="single" w:sz="12" w:space="0" w:color="auto"/>
              <w:left w:val="nil"/>
              <w:bottom w:val="single" w:sz="12" w:space="0" w:color="auto"/>
              <w:tl2br w:val="single" w:sz="4" w:space="0" w:color="auto"/>
            </w:tcBorders>
            <w:vAlign w:val="center"/>
          </w:tcPr>
          <w:p w14:paraId="7E6E7387" w14:textId="77777777" w:rsidR="00D170E5" w:rsidRPr="002B55E9" w:rsidRDefault="00EF27AD">
            <w:pPr>
              <w:pStyle w:val="affff6"/>
              <w:spacing w:line="0" w:lineRule="atLeast"/>
            </w:pPr>
            <w:r w:rsidRPr="002B55E9">
              <w:t xml:space="preserve">                  </w:t>
            </w:r>
            <w:r w:rsidRPr="002B55E9">
              <w:t>执行时段</w:t>
            </w:r>
            <w:r w:rsidRPr="002B55E9">
              <w:t xml:space="preserve"> </w:t>
            </w:r>
          </w:p>
          <w:p w14:paraId="6E52FB93" w14:textId="77777777" w:rsidR="00D170E5" w:rsidRPr="002B55E9" w:rsidRDefault="00EF27AD">
            <w:pPr>
              <w:pStyle w:val="affff6"/>
              <w:spacing w:line="0" w:lineRule="atLeast"/>
              <w:jc w:val="both"/>
            </w:pPr>
            <w:r w:rsidRPr="002B55E9">
              <w:t>标准类别</w:t>
            </w:r>
          </w:p>
        </w:tc>
        <w:tc>
          <w:tcPr>
            <w:tcW w:w="1282" w:type="dxa"/>
            <w:tcBorders>
              <w:top w:val="single" w:sz="12" w:space="0" w:color="auto"/>
              <w:bottom w:val="single" w:sz="12" w:space="0" w:color="auto"/>
            </w:tcBorders>
            <w:vAlign w:val="center"/>
          </w:tcPr>
          <w:p w14:paraId="008A2839" w14:textId="77777777" w:rsidR="00D170E5" w:rsidRPr="002B55E9" w:rsidRDefault="00EF27AD">
            <w:pPr>
              <w:pStyle w:val="affff6"/>
              <w:spacing w:line="0" w:lineRule="atLeast"/>
            </w:pPr>
            <w:r w:rsidRPr="002B55E9">
              <w:t>昼</w:t>
            </w:r>
            <w:r w:rsidRPr="002B55E9">
              <w:t xml:space="preserve">    </w:t>
            </w:r>
            <w:r w:rsidRPr="002B55E9">
              <w:t>间</w:t>
            </w:r>
          </w:p>
        </w:tc>
        <w:tc>
          <w:tcPr>
            <w:tcW w:w="1110" w:type="dxa"/>
            <w:tcBorders>
              <w:top w:val="single" w:sz="12" w:space="0" w:color="auto"/>
              <w:bottom w:val="single" w:sz="12" w:space="0" w:color="auto"/>
              <w:right w:val="single" w:sz="4" w:space="0" w:color="auto"/>
            </w:tcBorders>
            <w:vAlign w:val="center"/>
          </w:tcPr>
          <w:p w14:paraId="4F35C2E3" w14:textId="77777777" w:rsidR="00D170E5" w:rsidRPr="002B55E9" w:rsidRDefault="00EF27AD">
            <w:pPr>
              <w:pStyle w:val="affff6"/>
              <w:spacing w:line="0" w:lineRule="atLeast"/>
            </w:pPr>
            <w:r w:rsidRPr="002B55E9">
              <w:t>夜</w:t>
            </w:r>
            <w:r w:rsidRPr="002B55E9">
              <w:t xml:space="preserve">    </w:t>
            </w:r>
            <w:r w:rsidRPr="002B55E9">
              <w:t>间</w:t>
            </w:r>
          </w:p>
        </w:tc>
        <w:tc>
          <w:tcPr>
            <w:tcW w:w="3855" w:type="dxa"/>
            <w:tcBorders>
              <w:top w:val="single" w:sz="12" w:space="0" w:color="auto"/>
              <w:left w:val="single" w:sz="4" w:space="0" w:color="auto"/>
              <w:bottom w:val="single" w:sz="12" w:space="0" w:color="auto"/>
              <w:right w:val="nil"/>
            </w:tcBorders>
            <w:vAlign w:val="center"/>
          </w:tcPr>
          <w:p w14:paraId="5C825070" w14:textId="77777777" w:rsidR="00D170E5" w:rsidRPr="002B55E9" w:rsidRDefault="00EF27AD">
            <w:pPr>
              <w:pStyle w:val="affff6"/>
              <w:spacing w:line="0" w:lineRule="atLeast"/>
            </w:pPr>
            <w:r w:rsidRPr="002B55E9">
              <w:t>适用区域</w:t>
            </w:r>
          </w:p>
        </w:tc>
      </w:tr>
      <w:tr w:rsidR="002B55E9" w:rsidRPr="002B55E9" w14:paraId="6E711433" w14:textId="77777777">
        <w:trPr>
          <w:trHeight w:val="284"/>
          <w:jc w:val="center"/>
        </w:trPr>
        <w:tc>
          <w:tcPr>
            <w:tcW w:w="3406" w:type="dxa"/>
            <w:tcBorders>
              <w:top w:val="single" w:sz="4" w:space="0" w:color="auto"/>
              <w:left w:val="nil"/>
              <w:bottom w:val="single" w:sz="4" w:space="0" w:color="auto"/>
            </w:tcBorders>
            <w:vAlign w:val="center"/>
          </w:tcPr>
          <w:p w14:paraId="6265D5CF" w14:textId="77777777" w:rsidR="00D170E5" w:rsidRPr="002B55E9" w:rsidRDefault="00EF27AD">
            <w:pPr>
              <w:pStyle w:val="affff6"/>
              <w:spacing w:line="0" w:lineRule="atLeast"/>
              <w:rPr>
                <w:bCs/>
              </w:rPr>
            </w:pPr>
            <w:r w:rsidRPr="002B55E9">
              <w:rPr>
                <w:bCs/>
              </w:rPr>
              <w:t>GB3096-2008</w:t>
            </w:r>
            <w:r w:rsidRPr="002B55E9">
              <w:rPr>
                <w:bCs/>
              </w:rPr>
              <w:t>，</w:t>
            </w:r>
            <w:r w:rsidRPr="002B55E9">
              <w:rPr>
                <w:rFonts w:hint="eastAsia"/>
                <w:bCs/>
              </w:rPr>
              <w:t>4a</w:t>
            </w:r>
            <w:r w:rsidRPr="002B55E9">
              <w:rPr>
                <w:bCs/>
              </w:rPr>
              <w:t>类</w:t>
            </w:r>
          </w:p>
        </w:tc>
        <w:tc>
          <w:tcPr>
            <w:tcW w:w="1282" w:type="dxa"/>
            <w:tcBorders>
              <w:top w:val="single" w:sz="4" w:space="0" w:color="auto"/>
              <w:bottom w:val="single" w:sz="4" w:space="0" w:color="auto"/>
            </w:tcBorders>
            <w:vAlign w:val="center"/>
          </w:tcPr>
          <w:p w14:paraId="77C8491A" w14:textId="77777777" w:rsidR="00D170E5" w:rsidRPr="002B55E9" w:rsidRDefault="00EF27AD">
            <w:pPr>
              <w:pStyle w:val="affff6"/>
              <w:spacing w:line="0" w:lineRule="atLeast"/>
            </w:pPr>
            <w:r w:rsidRPr="002B55E9">
              <w:rPr>
                <w:rFonts w:hint="eastAsia"/>
              </w:rPr>
              <w:t>70</w:t>
            </w:r>
            <w:r w:rsidRPr="002B55E9">
              <w:t>dB(A)</w:t>
            </w:r>
          </w:p>
        </w:tc>
        <w:tc>
          <w:tcPr>
            <w:tcW w:w="1110" w:type="dxa"/>
            <w:tcBorders>
              <w:top w:val="single" w:sz="4" w:space="0" w:color="auto"/>
              <w:bottom w:val="single" w:sz="4" w:space="0" w:color="auto"/>
              <w:right w:val="single" w:sz="4" w:space="0" w:color="auto"/>
            </w:tcBorders>
            <w:vAlign w:val="center"/>
          </w:tcPr>
          <w:p w14:paraId="59A961A8" w14:textId="77777777" w:rsidR="00D170E5" w:rsidRPr="002B55E9" w:rsidRDefault="00EF27AD">
            <w:pPr>
              <w:pStyle w:val="affff6"/>
              <w:spacing w:line="0" w:lineRule="atLeast"/>
            </w:pPr>
            <w:r w:rsidRPr="002B55E9">
              <w:t>5</w:t>
            </w:r>
            <w:r w:rsidRPr="002B55E9">
              <w:rPr>
                <w:rFonts w:hint="eastAsia"/>
              </w:rPr>
              <w:t>5</w:t>
            </w:r>
            <w:r w:rsidRPr="002B55E9">
              <w:t>dB(A)</w:t>
            </w:r>
          </w:p>
        </w:tc>
        <w:tc>
          <w:tcPr>
            <w:tcW w:w="3855" w:type="dxa"/>
            <w:tcBorders>
              <w:top w:val="single" w:sz="4" w:space="0" w:color="auto"/>
              <w:left w:val="single" w:sz="4" w:space="0" w:color="auto"/>
              <w:bottom w:val="single" w:sz="4" w:space="0" w:color="auto"/>
              <w:right w:val="nil"/>
            </w:tcBorders>
            <w:vAlign w:val="center"/>
          </w:tcPr>
          <w:p w14:paraId="52144392" w14:textId="77777777" w:rsidR="00D170E5" w:rsidRPr="002B55E9" w:rsidRDefault="00EF27AD">
            <w:pPr>
              <w:pStyle w:val="affff6"/>
              <w:spacing w:line="0" w:lineRule="atLeast"/>
            </w:pPr>
            <w:r w:rsidRPr="002B55E9">
              <w:rPr>
                <w:rFonts w:hint="eastAsia"/>
              </w:rPr>
              <w:t>东侧厂界</w:t>
            </w:r>
          </w:p>
        </w:tc>
      </w:tr>
      <w:tr w:rsidR="002B55E9" w:rsidRPr="002B55E9" w14:paraId="3839A0E8" w14:textId="77777777">
        <w:trPr>
          <w:trHeight w:val="284"/>
          <w:jc w:val="center"/>
        </w:trPr>
        <w:tc>
          <w:tcPr>
            <w:tcW w:w="3406" w:type="dxa"/>
            <w:tcBorders>
              <w:top w:val="single" w:sz="4" w:space="0" w:color="auto"/>
              <w:left w:val="nil"/>
              <w:bottom w:val="single" w:sz="12" w:space="0" w:color="auto"/>
            </w:tcBorders>
            <w:vAlign w:val="center"/>
          </w:tcPr>
          <w:p w14:paraId="0320D268" w14:textId="77777777" w:rsidR="00D170E5" w:rsidRPr="002B55E9" w:rsidRDefault="00EF27AD">
            <w:pPr>
              <w:pStyle w:val="affff6"/>
              <w:spacing w:line="0" w:lineRule="atLeast"/>
              <w:rPr>
                <w:bCs/>
              </w:rPr>
            </w:pPr>
            <w:r w:rsidRPr="002B55E9">
              <w:rPr>
                <w:bCs/>
              </w:rPr>
              <w:t>GB3096-2008</w:t>
            </w:r>
            <w:r w:rsidRPr="002B55E9">
              <w:rPr>
                <w:bCs/>
              </w:rPr>
              <w:t>，</w:t>
            </w:r>
            <w:r w:rsidRPr="002B55E9">
              <w:rPr>
                <w:bCs/>
              </w:rPr>
              <w:t>2</w:t>
            </w:r>
            <w:r w:rsidRPr="002B55E9">
              <w:rPr>
                <w:bCs/>
              </w:rPr>
              <w:t>类</w:t>
            </w:r>
          </w:p>
        </w:tc>
        <w:tc>
          <w:tcPr>
            <w:tcW w:w="1282" w:type="dxa"/>
            <w:tcBorders>
              <w:top w:val="single" w:sz="4" w:space="0" w:color="auto"/>
              <w:bottom w:val="single" w:sz="12" w:space="0" w:color="auto"/>
            </w:tcBorders>
            <w:vAlign w:val="center"/>
          </w:tcPr>
          <w:p w14:paraId="1D348639" w14:textId="77777777" w:rsidR="00D170E5" w:rsidRPr="002B55E9" w:rsidRDefault="00EF27AD">
            <w:pPr>
              <w:pStyle w:val="affff6"/>
              <w:spacing w:line="0" w:lineRule="atLeast"/>
            </w:pPr>
            <w:r w:rsidRPr="002B55E9">
              <w:t>60dB(A)</w:t>
            </w:r>
          </w:p>
        </w:tc>
        <w:tc>
          <w:tcPr>
            <w:tcW w:w="1110" w:type="dxa"/>
            <w:tcBorders>
              <w:top w:val="single" w:sz="4" w:space="0" w:color="auto"/>
              <w:bottom w:val="single" w:sz="12" w:space="0" w:color="auto"/>
              <w:right w:val="single" w:sz="4" w:space="0" w:color="auto"/>
            </w:tcBorders>
            <w:vAlign w:val="center"/>
          </w:tcPr>
          <w:p w14:paraId="030DF328" w14:textId="77777777" w:rsidR="00D170E5" w:rsidRPr="002B55E9" w:rsidRDefault="00EF27AD">
            <w:pPr>
              <w:pStyle w:val="affff6"/>
              <w:spacing w:line="0" w:lineRule="atLeast"/>
            </w:pPr>
            <w:r w:rsidRPr="002B55E9">
              <w:t>50dB(A)</w:t>
            </w:r>
          </w:p>
        </w:tc>
        <w:tc>
          <w:tcPr>
            <w:tcW w:w="3855" w:type="dxa"/>
            <w:tcBorders>
              <w:top w:val="single" w:sz="4" w:space="0" w:color="auto"/>
              <w:left w:val="single" w:sz="4" w:space="0" w:color="auto"/>
              <w:bottom w:val="single" w:sz="12" w:space="0" w:color="auto"/>
              <w:right w:val="nil"/>
            </w:tcBorders>
            <w:vAlign w:val="center"/>
          </w:tcPr>
          <w:p w14:paraId="493603B9" w14:textId="77777777" w:rsidR="00D170E5" w:rsidRPr="002B55E9" w:rsidRDefault="00EF27AD">
            <w:pPr>
              <w:pStyle w:val="affff6"/>
              <w:spacing w:line="0" w:lineRule="atLeast"/>
            </w:pPr>
            <w:r w:rsidRPr="002B55E9">
              <w:rPr>
                <w:rFonts w:hint="eastAsia"/>
              </w:rPr>
              <w:t>南、西、北侧厂界</w:t>
            </w:r>
          </w:p>
        </w:tc>
      </w:tr>
    </w:tbl>
    <w:p w14:paraId="15DEC6D1" w14:textId="77777777" w:rsidR="00D170E5" w:rsidRPr="002B55E9" w:rsidRDefault="00EF27AD">
      <w:pPr>
        <w:pStyle w:val="5"/>
        <w:numPr>
          <w:ilvl w:val="4"/>
          <w:numId w:val="15"/>
        </w:numPr>
        <w:adjustRightInd w:val="0"/>
      </w:pPr>
      <w:r w:rsidRPr="002B55E9">
        <w:rPr>
          <w:rFonts w:hint="eastAsia"/>
        </w:rPr>
        <w:lastRenderedPageBreak/>
        <w:t>土壤</w:t>
      </w:r>
    </w:p>
    <w:p w14:paraId="1E7DEDEF" w14:textId="77777777" w:rsidR="00D170E5" w:rsidRPr="002B55E9" w:rsidRDefault="00EF27AD">
      <w:pPr>
        <w:pStyle w:val="aa"/>
      </w:pPr>
      <w:r w:rsidRPr="002B55E9">
        <w:rPr>
          <w:rFonts w:hint="eastAsia"/>
        </w:rPr>
        <w:t>本项目用地为工业用地，主要用于工业开发活动，项目</w:t>
      </w:r>
      <w:r w:rsidRPr="002B55E9">
        <w:t>范围内土壤环境质量</w:t>
      </w:r>
      <w:r w:rsidRPr="002B55E9">
        <w:rPr>
          <w:rFonts w:hint="eastAsia"/>
        </w:rPr>
        <w:t>需执行</w:t>
      </w:r>
      <w:r w:rsidRPr="002B55E9">
        <w:t>《土壤环境质量</w:t>
      </w:r>
      <w:r w:rsidRPr="002B55E9">
        <w:rPr>
          <w:rFonts w:hint="eastAsia"/>
        </w:rPr>
        <w:t>建设用地土壤污染风险管控标准（试行）</w:t>
      </w:r>
      <w:r w:rsidRPr="002B55E9">
        <w:t>》（</w:t>
      </w:r>
      <w:r w:rsidRPr="002B55E9">
        <w:t>GB</w:t>
      </w:r>
      <w:r w:rsidRPr="002B55E9">
        <w:rPr>
          <w:rFonts w:hint="eastAsia"/>
        </w:rPr>
        <w:t>3660</w:t>
      </w:r>
      <w:r w:rsidRPr="002B55E9">
        <w:t>-</w:t>
      </w:r>
      <w:r w:rsidRPr="002B55E9">
        <w:rPr>
          <w:rFonts w:hint="eastAsia"/>
        </w:rPr>
        <w:t>2018</w:t>
      </w:r>
      <w:r w:rsidRPr="002B55E9">
        <w:t>）中</w:t>
      </w:r>
      <w:r w:rsidRPr="002B55E9">
        <w:rPr>
          <w:rFonts w:hint="eastAsia"/>
        </w:rPr>
        <w:t>第二类建设用地污染风险筛选值和管控值，</w:t>
      </w:r>
      <w:r w:rsidRPr="002B55E9">
        <w:t>具体见表</w:t>
      </w:r>
      <w:r w:rsidRPr="002B55E9">
        <w:t>1-</w:t>
      </w:r>
      <w:r w:rsidRPr="002B55E9">
        <w:rPr>
          <w:rFonts w:hint="eastAsia"/>
        </w:rPr>
        <w:t>5</w:t>
      </w:r>
      <w:r w:rsidRPr="002B55E9">
        <w:t>-</w:t>
      </w:r>
      <w:r w:rsidRPr="002B55E9">
        <w:rPr>
          <w:rFonts w:hint="eastAsia"/>
        </w:rPr>
        <w:t>4</w:t>
      </w:r>
      <w:r w:rsidRPr="002B55E9">
        <w:rPr>
          <w:rFonts w:hint="eastAsia"/>
        </w:rPr>
        <w:t>。</w:t>
      </w:r>
    </w:p>
    <w:p w14:paraId="601DB187" w14:textId="77777777" w:rsidR="00D170E5" w:rsidRPr="002B55E9" w:rsidRDefault="00EF27AD">
      <w:pPr>
        <w:spacing w:after="40"/>
        <w:jc w:val="center"/>
        <w:rPr>
          <w:rFonts w:eastAsia="黑体"/>
          <w:b/>
          <w:sz w:val="24"/>
        </w:rPr>
      </w:pPr>
      <w:r w:rsidRPr="002B55E9">
        <w:rPr>
          <w:rFonts w:eastAsia="黑体"/>
          <w:b/>
          <w:sz w:val="24"/>
        </w:rPr>
        <w:t>表</w:t>
      </w:r>
      <w:r w:rsidRPr="002B55E9">
        <w:rPr>
          <w:rFonts w:eastAsia="黑体"/>
          <w:b/>
          <w:sz w:val="24"/>
        </w:rPr>
        <w:t>1-</w:t>
      </w:r>
      <w:r w:rsidRPr="002B55E9">
        <w:rPr>
          <w:rFonts w:eastAsia="黑体" w:hint="eastAsia"/>
          <w:b/>
          <w:sz w:val="24"/>
        </w:rPr>
        <w:t>5</w:t>
      </w:r>
      <w:r w:rsidRPr="002B55E9">
        <w:rPr>
          <w:rFonts w:eastAsia="黑体"/>
          <w:b/>
          <w:sz w:val="24"/>
        </w:rPr>
        <w:t>-</w:t>
      </w:r>
      <w:r w:rsidRPr="002B55E9">
        <w:rPr>
          <w:rFonts w:eastAsia="黑体" w:hint="eastAsia"/>
          <w:b/>
          <w:sz w:val="24"/>
        </w:rPr>
        <w:t xml:space="preserve">4  </w:t>
      </w:r>
      <w:r w:rsidRPr="002B55E9">
        <w:rPr>
          <w:rFonts w:eastAsia="黑体"/>
          <w:b/>
          <w:sz w:val="24"/>
        </w:rPr>
        <w:t>土壤环境质量评价标准一览表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8"/>
        <w:gridCol w:w="2080"/>
        <w:gridCol w:w="1108"/>
        <w:gridCol w:w="1106"/>
        <w:gridCol w:w="692"/>
        <w:gridCol w:w="1798"/>
        <w:gridCol w:w="1099"/>
        <w:gridCol w:w="1087"/>
      </w:tblGrid>
      <w:tr w:rsidR="002B55E9" w:rsidRPr="002B55E9" w14:paraId="0C921055" w14:textId="77777777">
        <w:trPr>
          <w:trHeight w:val="284"/>
          <w:jc w:val="center"/>
        </w:trPr>
        <w:tc>
          <w:tcPr>
            <w:tcW w:w="668" w:type="dxa"/>
            <w:vMerge w:val="restart"/>
            <w:vAlign w:val="center"/>
          </w:tcPr>
          <w:p w14:paraId="6E3081B9" w14:textId="77777777" w:rsidR="00D170E5" w:rsidRPr="002B55E9" w:rsidRDefault="00EF27AD">
            <w:pPr>
              <w:jc w:val="center"/>
              <w:rPr>
                <w:bCs/>
                <w:sz w:val="18"/>
                <w:szCs w:val="18"/>
              </w:rPr>
            </w:pPr>
            <w:r w:rsidRPr="002B55E9">
              <w:rPr>
                <w:bCs/>
                <w:sz w:val="18"/>
                <w:szCs w:val="18"/>
              </w:rPr>
              <w:t>序号</w:t>
            </w:r>
          </w:p>
        </w:tc>
        <w:tc>
          <w:tcPr>
            <w:tcW w:w="2080" w:type="dxa"/>
            <w:vMerge w:val="restart"/>
            <w:vAlign w:val="center"/>
          </w:tcPr>
          <w:p w14:paraId="55ED95CF" w14:textId="77777777" w:rsidR="00D170E5" w:rsidRPr="002B55E9" w:rsidRDefault="00EF27AD">
            <w:pPr>
              <w:jc w:val="center"/>
              <w:rPr>
                <w:bCs/>
                <w:sz w:val="18"/>
                <w:szCs w:val="18"/>
              </w:rPr>
            </w:pPr>
            <w:r w:rsidRPr="002B55E9">
              <w:rPr>
                <w:bCs/>
                <w:sz w:val="18"/>
                <w:szCs w:val="18"/>
              </w:rPr>
              <w:t>污染物项目</w:t>
            </w:r>
          </w:p>
        </w:tc>
        <w:tc>
          <w:tcPr>
            <w:tcW w:w="2214" w:type="dxa"/>
            <w:gridSpan w:val="2"/>
            <w:vAlign w:val="center"/>
          </w:tcPr>
          <w:p w14:paraId="16990CEE" w14:textId="77777777" w:rsidR="00D170E5" w:rsidRPr="002B55E9" w:rsidRDefault="00EF27AD">
            <w:pPr>
              <w:jc w:val="center"/>
              <w:rPr>
                <w:bCs/>
                <w:sz w:val="18"/>
                <w:szCs w:val="18"/>
              </w:rPr>
            </w:pPr>
            <w:r w:rsidRPr="002B55E9">
              <w:rPr>
                <w:bCs/>
                <w:sz w:val="18"/>
                <w:szCs w:val="18"/>
              </w:rPr>
              <w:t>第二类用地</w:t>
            </w:r>
          </w:p>
        </w:tc>
        <w:tc>
          <w:tcPr>
            <w:tcW w:w="692" w:type="dxa"/>
            <w:vMerge w:val="restart"/>
            <w:vAlign w:val="center"/>
          </w:tcPr>
          <w:p w14:paraId="0891BB10" w14:textId="77777777" w:rsidR="00D170E5" w:rsidRPr="002B55E9" w:rsidRDefault="00EF27AD">
            <w:pPr>
              <w:jc w:val="center"/>
              <w:rPr>
                <w:bCs/>
                <w:sz w:val="18"/>
                <w:szCs w:val="18"/>
              </w:rPr>
            </w:pPr>
            <w:r w:rsidRPr="002B55E9">
              <w:rPr>
                <w:bCs/>
                <w:sz w:val="18"/>
                <w:szCs w:val="18"/>
              </w:rPr>
              <w:t>序号</w:t>
            </w:r>
          </w:p>
        </w:tc>
        <w:tc>
          <w:tcPr>
            <w:tcW w:w="1798" w:type="dxa"/>
            <w:vMerge w:val="restart"/>
            <w:vAlign w:val="center"/>
          </w:tcPr>
          <w:p w14:paraId="59C21BEB" w14:textId="77777777" w:rsidR="00D170E5" w:rsidRPr="002B55E9" w:rsidRDefault="00EF27AD">
            <w:pPr>
              <w:jc w:val="center"/>
              <w:rPr>
                <w:bCs/>
                <w:sz w:val="18"/>
                <w:szCs w:val="18"/>
              </w:rPr>
            </w:pPr>
            <w:r w:rsidRPr="002B55E9">
              <w:rPr>
                <w:bCs/>
                <w:sz w:val="18"/>
                <w:szCs w:val="18"/>
              </w:rPr>
              <w:t>污染物项目</w:t>
            </w:r>
          </w:p>
        </w:tc>
        <w:tc>
          <w:tcPr>
            <w:tcW w:w="2186" w:type="dxa"/>
            <w:gridSpan w:val="2"/>
            <w:vAlign w:val="center"/>
          </w:tcPr>
          <w:p w14:paraId="06B5EEAD" w14:textId="77777777" w:rsidR="00D170E5" w:rsidRPr="002B55E9" w:rsidRDefault="00EF27AD">
            <w:pPr>
              <w:jc w:val="center"/>
              <w:rPr>
                <w:bCs/>
                <w:sz w:val="18"/>
                <w:szCs w:val="18"/>
              </w:rPr>
            </w:pPr>
            <w:r w:rsidRPr="002B55E9">
              <w:rPr>
                <w:bCs/>
                <w:sz w:val="18"/>
                <w:szCs w:val="18"/>
              </w:rPr>
              <w:t>第二类用地</w:t>
            </w:r>
          </w:p>
        </w:tc>
      </w:tr>
      <w:tr w:rsidR="002B55E9" w:rsidRPr="002B55E9" w14:paraId="0F76748B" w14:textId="77777777">
        <w:trPr>
          <w:trHeight w:val="284"/>
          <w:jc w:val="center"/>
        </w:trPr>
        <w:tc>
          <w:tcPr>
            <w:tcW w:w="668" w:type="dxa"/>
            <w:vMerge/>
            <w:tcBorders>
              <w:bottom w:val="single" w:sz="12" w:space="0" w:color="auto"/>
            </w:tcBorders>
            <w:vAlign w:val="center"/>
          </w:tcPr>
          <w:p w14:paraId="5A894A2B" w14:textId="77777777" w:rsidR="00D170E5" w:rsidRPr="002B55E9" w:rsidRDefault="00D170E5">
            <w:pPr>
              <w:jc w:val="center"/>
              <w:rPr>
                <w:bCs/>
                <w:sz w:val="18"/>
                <w:szCs w:val="18"/>
              </w:rPr>
            </w:pPr>
          </w:p>
        </w:tc>
        <w:tc>
          <w:tcPr>
            <w:tcW w:w="2080" w:type="dxa"/>
            <w:vMerge/>
            <w:tcBorders>
              <w:bottom w:val="single" w:sz="12" w:space="0" w:color="auto"/>
            </w:tcBorders>
            <w:vAlign w:val="center"/>
          </w:tcPr>
          <w:p w14:paraId="5FEF43CA" w14:textId="77777777" w:rsidR="00D170E5" w:rsidRPr="002B55E9" w:rsidRDefault="00D170E5">
            <w:pPr>
              <w:jc w:val="center"/>
              <w:rPr>
                <w:bCs/>
                <w:sz w:val="18"/>
                <w:szCs w:val="18"/>
              </w:rPr>
            </w:pPr>
          </w:p>
        </w:tc>
        <w:tc>
          <w:tcPr>
            <w:tcW w:w="1108" w:type="dxa"/>
            <w:tcBorders>
              <w:bottom w:val="single" w:sz="12" w:space="0" w:color="auto"/>
            </w:tcBorders>
            <w:vAlign w:val="center"/>
          </w:tcPr>
          <w:p w14:paraId="790872FF" w14:textId="77777777" w:rsidR="00D170E5" w:rsidRPr="002B55E9" w:rsidRDefault="00EF27AD">
            <w:pPr>
              <w:jc w:val="center"/>
              <w:rPr>
                <w:bCs/>
                <w:sz w:val="18"/>
                <w:szCs w:val="18"/>
              </w:rPr>
            </w:pPr>
            <w:r w:rsidRPr="002B55E9">
              <w:rPr>
                <w:bCs/>
                <w:sz w:val="18"/>
                <w:szCs w:val="18"/>
              </w:rPr>
              <w:t>筛选值</w:t>
            </w:r>
          </w:p>
        </w:tc>
        <w:tc>
          <w:tcPr>
            <w:tcW w:w="1106" w:type="dxa"/>
            <w:tcBorders>
              <w:bottom w:val="single" w:sz="12" w:space="0" w:color="auto"/>
            </w:tcBorders>
            <w:vAlign w:val="center"/>
          </w:tcPr>
          <w:p w14:paraId="54309FF0" w14:textId="77777777" w:rsidR="00D170E5" w:rsidRPr="002B55E9" w:rsidRDefault="00EF27AD">
            <w:pPr>
              <w:jc w:val="center"/>
              <w:rPr>
                <w:bCs/>
                <w:sz w:val="18"/>
                <w:szCs w:val="18"/>
              </w:rPr>
            </w:pPr>
            <w:r w:rsidRPr="002B55E9">
              <w:rPr>
                <w:bCs/>
                <w:sz w:val="18"/>
                <w:szCs w:val="18"/>
              </w:rPr>
              <w:t>管制值</w:t>
            </w:r>
          </w:p>
        </w:tc>
        <w:tc>
          <w:tcPr>
            <w:tcW w:w="692" w:type="dxa"/>
            <w:vMerge/>
            <w:tcBorders>
              <w:bottom w:val="single" w:sz="12" w:space="0" w:color="auto"/>
            </w:tcBorders>
            <w:vAlign w:val="center"/>
          </w:tcPr>
          <w:p w14:paraId="6874AB67" w14:textId="77777777" w:rsidR="00D170E5" w:rsidRPr="002B55E9" w:rsidRDefault="00D170E5">
            <w:pPr>
              <w:jc w:val="center"/>
              <w:rPr>
                <w:bCs/>
                <w:sz w:val="18"/>
                <w:szCs w:val="18"/>
              </w:rPr>
            </w:pPr>
          </w:p>
        </w:tc>
        <w:tc>
          <w:tcPr>
            <w:tcW w:w="1798" w:type="dxa"/>
            <w:vMerge/>
            <w:tcBorders>
              <w:bottom w:val="single" w:sz="12" w:space="0" w:color="auto"/>
            </w:tcBorders>
            <w:vAlign w:val="center"/>
          </w:tcPr>
          <w:p w14:paraId="5EE079DD" w14:textId="77777777" w:rsidR="00D170E5" w:rsidRPr="002B55E9" w:rsidRDefault="00D170E5">
            <w:pPr>
              <w:jc w:val="center"/>
              <w:rPr>
                <w:bCs/>
                <w:sz w:val="18"/>
                <w:szCs w:val="18"/>
              </w:rPr>
            </w:pPr>
          </w:p>
        </w:tc>
        <w:tc>
          <w:tcPr>
            <w:tcW w:w="1099" w:type="dxa"/>
            <w:tcBorders>
              <w:bottom w:val="single" w:sz="12" w:space="0" w:color="auto"/>
            </w:tcBorders>
            <w:vAlign w:val="center"/>
          </w:tcPr>
          <w:p w14:paraId="64AFFF41" w14:textId="77777777" w:rsidR="00D170E5" w:rsidRPr="002B55E9" w:rsidRDefault="00EF27AD">
            <w:pPr>
              <w:jc w:val="center"/>
              <w:rPr>
                <w:bCs/>
                <w:sz w:val="18"/>
                <w:szCs w:val="18"/>
              </w:rPr>
            </w:pPr>
            <w:r w:rsidRPr="002B55E9">
              <w:rPr>
                <w:bCs/>
                <w:sz w:val="18"/>
                <w:szCs w:val="18"/>
              </w:rPr>
              <w:t>筛选值</w:t>
            </w:r>
          </w:p>
        </w:tc>
        <w:tc>
          <w:tcPr>
            <w:tcW w:w="1087" w:type="dxa"/>
            <w:tcBorders>
              <w:bottom w:val="single" w:sz="12" w:space="0" w:color="auto"/>
            </w:tcBorders>
            <w:vAlign w:val="center"/>
          </w:tcPr>
          <w:p w14:paraId="4EE05700" w14:textId="77777777" w:rsidR="00D170E5" w:rsidRPr="002B55E9" w:rsidRDefault="00EF27AD">
            <w:pPr>
              <w:jc w:val="center"/>
              <w:rPr>
                <w:bCs/>
                <w:sz w:val="18"/>
                <w:szCs w:val="18"/>
              </w:rPr>
            </w:pPr>
            <w:r w:rsidRPr="002B55E9">
              <w:rPr>
                <w:bCs/>
                <w:sz w:val="18"/>
                <w:szCs w:val="18"/>
              </w:rPr>
              <w:t>管制值</w:t>
            </w:r>
          </w:p>
        </w:tc>
      </w:tr>
      <w:tr w:rsidR="002B55E9" w:rsidRPr="002B55E9" w14:paraId="02C93AFE" w14:textId="77777777">
        <w:trPr>
          <w:trHeight w:val="284"/>
          <w:jc w:val="center"/>
        </w:trPr>
        <w:tc>
          <w:tcPr>
            <w:tcW w:w="668" w:type="dxa"/>
            <w:tcBorders>
              <w:top w:val="single" w:sz="12" w:space="0" w:color="auto"/>
              <w:bottom w:val="single" w:sz="4" w:space="0" w:color="auto"/>
            </w:tcBorders>
            <w:vAlign w:val="center"/>
          </w:tcPr>
          <w:p w14:paraId="4E61AE4B" w14:textId="77777777" w:rsidR="00D170E5" w:rsidRPr="002B55E9" w:rsidRDefault="00EF27AD">
            <w:pPr>
              <w:jc w:val="center"/>
              <w:rPr>
                <w:b/>
                <w:bCs/>
                <w:sz w:val="18"/>
                <w:szCs w:val="18"/>
              </w:rPr>
            </w:pPr>
            <w:r w:rsidRPr="002B55E9">
              <w:rPr>
                <w:b/>
                <w:bCs/>
                <w:sz w:val="18"/>
                <w:szCs w:val="18"/>
              </w:rPr>
              <w:t>一</w:t>
            </w:r>
          </w:p>
        </w:tc>
        <w:tc>
          <w:tcPr>
            <w:tcW w:w="8970" w:type="dxa"/>
            <w:gridSpan w:val="7"/>
            <w:tcBorders>
              <w:top w:val="single" w:sz="12" w:space="0" w:color="auto"/>
              <w:bottom w:val="single" w:sz="4" w:space="0" w:color="auto"/>
            </w:tcBorders>
            <w:vAlign w:val="center"/>
          </w:tcPr>
          <w:p w14:paraId="14685D1F" w14:textId="77777777" w:rsidR="00D170E5" w:rsidRPr="002B55E9" w:rsidRDefault="00EF27AD">
            <w:pPr>
              <w:jc w:val="left"/>
              <w:rPr>
                <w:b/>
                <w:bCs/>
                <w:sz w:val="18"/>
                <w:szCs w:val="18"/>
              </w:rPr>
            </w:pPr>
            <w:r w:rsidRPr="002B55E9">
              <w:rPr>
                <w:b/>
                <w:bCs/>
                <w:sz w:val="18"/>
                <w:szCs w:val="18"/>
              </w:rPr>
              <w:t>重金属和无机物</w:t>
            </w:r>
          </w:p>
        </w:tc>
      </w:tr>
      <w:tr w:rsidR="002B55E9" w:rsidRPr="002B55E9" w14:paraId="158D419F" w14:textId="77777777">
        <w:trPr>
          <w:trHeight w:val="284"/>
          <w:jc w:val="center"/>
        </w:trPr>
        <w:tc>
          <w:tcPr>
            <w:tcW w:w="668" w:type="dxa"/>
            <w:tcBorders>
              <w:top w:val="single" w:sz="4" w:space="0" w:color="auto"/>
            </w:tcBorders>
            <w:vAlign w:val="center"/>
          </w:tcPr>
          <w:p w14:paraId="7CE8D5BF" w14:textId="77777777" w:rsidR="00D170E5" w:rsidRPr="002B55E9" w:rsidRDefault="00EF27AD">
            <w:pPr>
              <w:jc w:val="center"/>
              <w:rPr>
                <w:bCs/>
                <w:sz w:val="18"/>
                <w:szCs w:val="18"/>
              </w:rPr>
            </w:pPr>
            <w:r w:rsidRPr="002B55E9">
              <w:rPr>
                <w:bCs/>
                <w:sz w:val="18"/>
                <w:szCs w:val="18"/>
              </w:rPr>
              <w:t>1</w:t>
            </w:r>
          </w:p>
        </w:tc>
        <w:tc>
          <w:tcPr>
            <w:tcW w:w="2080" w:type="dxa"/>
            <w:tcBorders>
              <w:top w:val="single" w:sz="4" w:space="0" w:color="auto"/>
            </w:tcBorders>
            <w:vAlign w:val="center"/>
          </w:tcPr>
          <w:p w14:paraId="0B5CF86D" w14:textId="77777777" w:rsidR="00D170E5" w:rsidRPr="002B55E9" w:rsidRDefault="00EF27AD">
            <w:pPr>
              <w:jc w:val="center"/>
              <w:rPr>
                <w:bCs/>
                <w:sz w:val="18"/>
                <w:szCs w:val="18"/>
              </w:rPr>
            </w:pPr>
            <w:r w:rsidRPr="002B55E9">
              <w:rPr>
                <w:bCs/>
                <w:sz w:val="18"/>
                <w:szCs w:val="18"/>
              </w:rPr>
              <w:t>砷</w:t>
            </w:r>
            <w:r w:rsidRPr="002B55E9">
              <w:rPr>
                <w:rFonts w:ascii="宋体" w:hAnsi="宋体" w:cs="宋体" w:hint="eastAsia"/>
                <w:bCs/>
                <w:sz w:val="18"/>
                <w:szCs w:val="18"/>
                <w:vertAlign w:val="superscript"/>
              </w:rPr>
              <w:t>①</w:t>
            </w:r>
          </w:p>
        </w:tc>
        <w:tc>
          <w:tcPr>
            <w:tcW w:w="1108" w:type="dxa"/>
            <w:tcBorders>
              <w:top w:val="single" w:sz="4" w:space="0" w:color="auto"/>
            </w:tcBorders>
            <w:vAlign w:val="center"/>
          </w:tcPr>
          <w:p w14:paraId="08B337B5" w14:textId="77777777" w:rsidR="00D170E5" w:rsidRPr="002B55E9" w:rsidRDefault="00EF27AD">
            <w:pPr>
              <w:jc w:val="center"/>
              <w:rPr>
                <w:bCs/>
                <w:sz w:val="18"/>
                <w:szCs w:val="18"/>
              </w:rPr>
            </w:pPr>
            <w:r w:rsidRPr="002B55E9">
              <w:rPr>
                <w:bCs/>
                <w:sz w:val="18"/>
                <w:szCs w:val="18"/>
              </w:rPr>
              <w:t>60</w:t>
            </w:r>
          </w:p>
        </w:tc>
        <w:tc>
          <w:tcPr>
            <w:tcW w:w="1106" w:type="dxa"/>
            <w:tcBorders>
              <w:top w:val="single" w:sz="4" w:space="0" w:color="auto"/>
            </w:tcBorders>
            <w:vAlign w:val="center"/>
          </w:tcPr>
          <w:p w14:paraId="5E6CC084" w14:textId="77777777" w:rsidR="00D170E5" w:rsidRPr="002B55E9" w:rsidRDefault="00EF27AD">
            <w:pPr>
              <w:jc w:val="center"/>
              <w:rPr>
                <w:bCs/>
                <w:sz w:val="18"/>
                <w:szCs w:val="18"/>
              </w:rPr>
            </w:pPr>
            <w:r w:rsidRPr="002B55E9">
              <w:rPr>
                <w:bCs/>
                <w:sz w:val="18"/>
                <w:szCs w:val="18"/>
              </w:rPr>
              <w:t>140</w:t>
            </w:r>
          </w:p>
        </w:tc>
        <w:tc>
          <w:tcPr>
            <w:tcW w:w="692" w:type="dxa"/>
            <w:tcBorders>
              <w:top w:val="single" w:sz="4" w:space="0" w:color="auto"/>
            </w:tcBorders>
            <w:vAlign w:val="center"/>
          </w:tcPr>
          <w:p w14:paraId="0D2276C7" w14:textId="77777777" w:rsidR="00D170E5" w:rsidRPr="002B55E9" w:rsidRDefault="00EF27AD">
            <w:pPr>
              <w:jc w:val="center"/>
              <w:rPr>
                <w:bCs/>
                <w:sz w:val="18"/>
                <w:szCs w:val="18"/>
              </w:rPr>
            </w:pPr>
            <w:r w:rsidRPr="002B55E9">
              <w:rPr>
                <w:bCs/>
                <w:sz w:val="18"/>
                <w:szCs w:val="18"/>
              </w:rPr>
              <w:t>5</w:t>
            </w:r>
          </w:p>
        </w:tc>
        <w:tc>
          <w:tcPr>
            <w:tcW w:w="1798" w:type="dxa"/>
            <w:tcBorders>
              <w:top w:val="single" w:sz="4" w:space="0" w:color="auto"/>
            </w:tcBorders>
            <w:vAlign w:val="center"/>
          </w:tcPr>
          <w:p w14:paraId="7E335634" w14:textId="77777777" w:rsidR="00D170E5" w:rsidRPr="002B55E9" w:rsidRDefault="00EF27AD">
            <w:pPr>
              <w:jc w:val="center"/>
              <w:rPr>
                <w:bCs/>
                <w:sz w:val="18"/>
                <w:szCs w:val="18"/>
              </w:rPr>
            </w:pPr>
            <w:r w:rsidRPr="002B55E9">
              <w:rPr>
                <w:bCs/>
                <w:sz w:val="18"/>
                <w:szCs w:val="18"/>
              </w:rPr>
              <w:t>铅</w:t>
            </w:r>
          </w:p>
        </w:tc>
        <w:tc>
          <w:tcPr>
            <w:tcW w:w="1099" w:type="dxa"/>
            <w:tcBorders>
              <w:top w:val="single" w:sz="4" w:space="0" w:color="auto"/>
            </w:tcBorders>
            <w:vAlign w:val="center"/>
          </w:tcPr>
          <w:p w14:paraId="127F05A6" w14:textId="77777777" w:rsidR="00D170E5" w:rsidRPr="002B55E9" w:rsidRDefault="00EF27AD">
            <w:pPr>
              <w:jc w:val="center"/>
              <w:rPr>
                <w:bCs/>
                <w:sz w:val="18"/>
                <w:szCs w:val="18"/>
              </w:rPr>
            </w:pPr>
            <w:r w:rsidRPr="002B55E9">
              <w:rPr>
                <w:bCs/>
                <w:sz w:val="18"/>
                <w:szCs w:val="18"/>
              </w:rPr>
              <w:t>800</w:t>
            </w:r>
          </w:p>
        </w:tc>
        <w:tc>
          <w:tcPr>
            <w:tcW w:w="1087" w:type="dxa"/>
            <w:tcBorders>
              <w:top w:val="single" w:sz="4" w:space="0" w:color="auto"/>
            </w:tcBorders>
            <w:vAlign w:val="center"/>
          </w:tcPr>
          <w:p w14:paraId="2E08756A" w14:textId="77777777" w:rsidR="00D170E5" w:rsidRPr="002B55E9" w:rsidRDefault="00EF27AD">
            <w:pPr>
              <w:jc w:val="center"/>
              <w:rPr>
                <w:bCs/>
                <w:sz w:val="18"/>
                <w:szCs w:val="18"/>
              </w:rPr>
            </w:pPr>
            <w:r w:rsidRPr="002B55E9">
              <w:rPr>
                <w:bCs/>
                <w:sz w:val="18"/>
                <w:szCs w:val="18"/>
              </w:rPr>
              <w:t>2500</w:t>
            </w:r>
          </w:p>
        </w:tc>
      </w:tr>
      <w:tr w:rsidR="002B55E9" w:rsidRPr="002B55E9" w14:paraId="5F927C03" w14:textId="77777777">
        <w:trPr>
          <w:trHeight w:val="284"/>
          <w:jc w:val="center"/>
        </w:trPr>
        <w:tc>
          <w:tcPr>
            <w:tcW w:w="668" w:type="dxa"/>
            <w:vAlign w:val="center"/>
          </w:tcPr>
          <w:p w14:paraId="671B29A1" w14:textId="77777777" w:rsidR="00D170E5" w:rsidRPr="002B55E9" w:rsidRDefault="00EF27AD">
            <w:pPr>
              <w:jc w:val="center"/>
              <w:rPr>
                <w:bCs/>
                <w:sz w:val="18"/>
                <w:szCs w:val="18"/>
              </w:rPr>
            </w:pPr>
            <w:r w:rsidRPr="002B55E9">
              <w:rPr>
                <w:bCs/>
                <w:sz w:val="18"/>
                <w:szCs w:val="18"/>
              </w:rPr>
              <w:t>2</w:t>
            </w:r>
          </w:p>
        </w:tc>
        <w:tc>
          <w:tcPr>
            <w:tcW w:w="2080" w:type="dxa"/>
            <w:vAlign w:val="center"/>
          </w:tcPr>
          <w:p w14:paraId="18190086" w14:textId="77777777" w:rsidR="00D170E5" w:rsidRPr="002B55E9" w:rsidRDefault="00EF27AD">
            <w:pPr>
              <w:jc w:val="center"/>
              <w:rPr>
                <w:bCs/>
                <w:sz w:val="18"/>
                <w:szCs w:val="18"/>
              </w:rPr>
            </w:pPr>
            <w:r w:rsidRPr="002B55E9">
              <w:rPr>
                <w:bCs/>
                <w:sz w:val="18"/>
                <w:szCs w:val="18"/>
              </w:rPr>
              <w:t>镉</w:t>
            </w:r>
          </w:p>
        </w:tc>
        <w:tc>
          <w:tcPr>
            <w:tcW w:w="1108" w:type="dxa"/>
            <w:vAlign w:val="center"/>
          </w:tcPr>
          <w:p w14:paraId="1235D1E6" w14:textId="77777777" w:rsidR="00D170E5" w:rsidRPr="002B55E9" w:rsidRDefault="00EF27AD">
            <w:pPr>
              <w:jc w:val="center"/>
              <w:rPr>
                <w:bCs/>
                <w:sz w:val="18"/>
                <w:szCs w:val="18"/>
              </w:rPr>
            </w:pPr>
            <w:r w:rsidRPr="002B55E9">
              <w:rPr>
                <w:bCs/>
                <w:sz w:val="18"/>
                <w:szCs w:val="18"/>
              </w:rPr>
              <w:t>65</w:t>
            </w:r>
          </w:p>
        </w:tc>
        <w:tc>
          <w:tcPr>
            <w:tcW w:w="1106" w:type="dxa"/>
            <w:vAlign w:val="center"/>
          </w:tcPr>
          <w:p w14:paraId="35C22764" w14:textId="77777777" w:rsidR="00D170E5" w:rsidRPr="002B55E9" w:rsidRDefault="00EF27AD">
            <w:pPr>
              <w:jc w:val="center"/>
              <w:rPr>
                <w:bCs/>
                <w:sz w:val="18"/>
                <w:szCs w:val="18"/>
              </w:rPr>
            </w:pPr>
            <w:r w:rsidRPr="002B55E9">
              <w:rPr>
                <w:bCs/>
                <w:sz w:val="18"/>
                <w:szCs w:val="18"/>
              </w:rPr>
              <w:t>172</w:t>
            </w:r>
          </w:p>
        </w:tc>
        <w:tc>
          <w:tcPr>
            <w:tcW w:w="692" w:type="dxa"/>
            <w:vAlign w:val="center"/>
          </w:tcPr>
          <w:p w14:paraId="746E0210" w14:textId="77777777" w:rsidR="00D170E5" w:rsidRPr="002B55E9" w:rsidRDefault="00EF27AD">
            <w:pPr>
              <w:jc w:val="center"/>
              <w:rPr>
                <w:bCs/>
                <w:sz w:val="18"/>
                <w:szCs w:val="18"/>
              </w:rPr>
            </w:pPr>
            <w:r w:rsidRPr="002B55E9">
              <w:rPr>
                <w:bCs/>
                <w:sz w:val="18"/>
                <w:szCs w:val="18"/>
              </w:rPr>
              <w:t>6</w:t>
            </w:r>
          </w:p>
        </w:tc>
        <w:tc>
          <w:tcPr>
            <w:tcW w:w="1798" w:type="dxa"/>
            <w:vAlign w:val="center"/>
          </w:tcPr>
          <w:p w14:paraId="3B521EBE" w14:textId="77777777" w:rsidR="00D170E5" w:rsidRPr="002B55E9" w:rsidRDefault="00EF27AD">
            <w:pPr>
              <w:jc w:val="center"/>
              <w:rPr>
                <w:bCs/>
                <w:sz w:val="18"/>
                <w:szCs w:val="18"/>
              </w:rPr>
            </w:pPr>
            <w:r w:rsidRPr="002B55E9">
              <w:rPr>
                <w:bCs/>
                <w:sz w:val="18"/>
                <w:szCs w:val="18"/>
              </w:rPr>
              <w:t>汞</w:t>
            </w:r>
          </w:p>
        </w:tc>
        <w:tc>
          <w:tcPr>
            <w:tcW w:w="1099" w:type="dxa"/>
            <w:vAlign w:val="center"/>
          </w:tcPr>
          <w:p w14:paraId="58722D79" w14:textId="77777777" w:rsidR="00D170E5" w:rsidRPr="002B55E9" w:rsidRDefault="00EF27AD">
            <w:pPr>
              <w:jc w:val="center"/>
              <w:rPr>
                <w:bCs/>
                <w:sz w:val="18"/>
                <w:szCs w:val="18"/>
              </w:rPr>
            </w:pPr>
            <w:r w:rsidRPr="002B55E9">
              <w:rPr>
                <w:bCs/>
                <w:sz w:val="18"/>
                <w:szCs w:val="18"/>
              </w:rPr>
              <w:t>38</w:t>
            </w:r>
          </w:p>
        </w:tc>
        <w:tc>
          <w:tcPr>
            <w:tcW w:w="1087" w:type="dxa"/>
            <w:vAlign w:val="center"/>
          </w:tcPr>
          <w:p w14:paraId="2F475B9E" w14:textId="77777777" w:rsidR="00D170E5" w:rsidRPr="002B55E9" w:rsidRDefault="00EF27AD">
            <w:pPr>
              <w:jc w:val="center"/>
              <w:rPr>
                <w:bCs/>
                <w:sz w:val="18"/>
                <w:szCs w:val="18"/>
              </w:rPr>
            </w:pPr>
            <w:r w:rsidRPr="002B55E9">
              <w:rPr>
                <w:bCs/>
                <w:sz w:val="18"/>
                <w:szCs w:val="18"/>
              </w:rPr>
              <w:t>82</w:t>
            </w:r>
          </w:p>
        </w:tc>
      </w:tr>
      <w:tr w:rsidR="002B55E9" w:rsidRPr="002B55E9" w14:paraId="12C919D0" w14:textId="77777777">
        <w:trPr>
          <w:trHeight w:val="284"/>
          <w:jc w:val="center"/>
        </w:trPr>
        <w:tc>
          <w:tcPr>
            <w:tcW w:w="668" w:type="dxa"/>
            <w:vAlign w:val="center"/>
          </w:tcPr>
          <w:p w14:paraId="11AC6119" w14:textId="77777777" w:rsidR="00D170E5" w:rsidRPr="002B55E9" w:rsidRDefault="00EF27AD">
            <w:pPr>
              <w:jc w:val="center"/>
              <w:rPr>
                <w:bCs/>
                <w:sz w:val="18"/>
                <w:szCs w:val="18"/>
              </w:rPr>
            </w:pPr>
            <w:r w:rsidRPr="002B55E9">
              <w:rPr>
                <w:bCs/>
                <w:sz w:val="18"/>
                <w:szCs w:val="18"/>
              </w:rPr>
              <w:t>3</w:t>
            </w:r>
          </w:p>
        </w:tc>
        <w:tc>
          <w:tcPr>
            <w:tcW w:w="2080" w:type="dxa"/>
            <w:vAlign w:val="center"/>
          </w:tcPr>
          <w:p w14:paraId="1D15C60A" w14:textId="77777777" w:rsidR="00D170E5" w:rsidRPr="002B55E9" w:rsidRDefault="00EF27AD">
            <w:pPr>
              <w:jc w:val="center"/>
              <w:rPr>
                <w:bCs/>
                <w:sz w:val="18"/>
                <w:szCs w:val="18"/>
              </w:rPr>
            </w:pPr>
            <w:r w:rsidRPr="002B55E9">
              <w:rPr>
                <w:bCs/>
                <w:sz w:val="18"/>
                <w:szCs w:val="18"/>
              </w:rPr>
              <w:t>铬（六价）</w:t>
            </w:r>
          </w:p>
        </w:tc>
        <w:tc>
          <w:tcPr>
            <w:tcW w:w="1108" w:type="dxa"/>
            <w:vAlign w:val="center"/>
          </w:tcPr>
          <w:p w14:paraId="675B2BD2" w14:textId="77777777" w:rsidR="00D170E5" w:rsidRPr="002B55E9" w:rsidRDefault="00EF27AD">
            <w:pPr>
              <w:jc w:val="center"/>
              <w:rPr>
                <w:bCs/>
                <w:sz w:val="18"/>
                <w:szCs w:val="18"/>
              </w:rPr>
            </w:pPr>
            <w:r w:rsidRPr="002B55E9">
              <w:rPr>
                <w:bCs/>
                <w:sz w:val="18"/>
                <w:szCs w:val="18"/>
              </w:rPr>
              <w:t>5.7</w:t>
            </w:r>
          </w:p>
        </w:tc>
        <w:tc>
          <w:tcPr>
            <w:tcW w:w="1106" w:type="dxa"/>
            <w:vAlign w:val="center"/>
          </w:tcPr>
          <w:p w14:paraId="2FAD0E5A" w14:textId="77777777" w:rsidR="00D170E5" w:rsidRPr="002B55E9" w:rsidRDefault="00EF27AD">
            <w:pPr>
              <w:jc w:val="center"/>
              <w:rPr>
                <w:bCs/>
                <w:sz w:val="18"/>
                <w:szCs w:val="18"/>
              </w:rPr>
            </w:pPr>
            <w:r w:rsidRPr="002B55E9">
              <w:rPr>
                <w:bCs/>
                <w:sz w:val="18"/>
                <w:szCs w:val="18"/>
              </w:rPr>
              <w:t>78</w:t>
            </w:r>
          </w:p>
        </w:tc>
        <w:tc>
          <w:tcPr>
            <w:tcW w:w="692" w:type="dxa"/>
            <w:vAlign w:val="center"/>
          </w:tcPr>
          <w:p w14:paraId="1D0C5E3A" w14:textId="77777777" w:rsidR="00D170E5" w:rsidRPr="002B55E9" w:rsidRDefault="00EF27AD">
            <w:pPr>
              <w:jc w:val="center"/>
              <w:rPr>
                <w:bCs/>
                <w:sz w:val="18"/>
                <w:szCs w:val="18"/>
              </w:rPr>
            </w:pPr>
            <w:r w:rsidRPr="002B55E9">
              <w:rPr>
                <w:bCs/>
                <w:sz w:val="18"/>
                <w:szCs w:val="18"/>
              </w:rPr>
              <w:t>7</w:t>
            </w:r>
          </w:p>
        </w:tc>
        <w:tc>
          <w:tcPr>
            <w:tcW w:w="1798" w:type="dxa"/>
            <w:vAlign w:val="center"/>
          </w:tcPr>
          <w:p w14:paraId="7E878E24" w14:textId="77777777" w:rsidR="00D170E5" w:rsidRPr="002B55E9" w:rsidRDefault="00EF27AD">
            <w:pPr>
              <w:jc w:val="center"/>
              <w:rPr>
                <w:bCs/>
                <w:sz w:val="18"/>
                <w:szCs w:val="18"/>
              </w:rPr>
            </w:pPr>
            <w:r w:rsidRPr="002B55E9">
              <w:rPr>
                <w:bCs/>
                <w:sz w:val="18"/>
                <w:szCs w:val="18"/>
              </w:rPr>
              <w:t>镍</w:t>
            </w:r>
          </w:p>
        </w:tc>
        <w:tc>
          <w:tcPr>
            <w:tcW w:w="1099" w:type="dxa"/>
            <w:vAlign w:val="center"/>
          </w:tcPr>
          <w:p w14:paraId="3164E853" w14:textId="77777777" w:rsidR="00D170E5" w:rsidRPr="002B55E9" w:rsidRDefault="00EF27AD">
            <w:pPr>
              <w:jc w:val="center"/>
              <w:rPr>
                <w:bCs/>
                <w:sz w:val="18"/>
                <w:szCs w:val="18"/>
              </w:rPr>
            </w:pPr>
            <w:r w:rsidRPr="002B55E9">
              <w:rPr>
                <w:bCs/>
                <w:sz w:val="18"/>
                <w:szCs w:val="18"/>
              </w:rPr>
              <w:t>900</w:t>
            </w:r>
          </w:p>
        </w:tc>
        <w:tc>
          <w:tcPr>
            <w:tcW w:w="1087" w:type="dxa"/>
            <w:vAlign w:val="center"/>
          </w:tcPr>
          <w:p w14:paraId="07318BB4" w14:textId="77777777" w:rsidR="00D170E5" w:rsidRPr="002B55E9" w:rsidRDefault="00EF27AD">
            <w:pPr>
              <w:jc w:val="center"/>
              <w:rPr>
                <w:bCs/>
                <w:sz w:val="18"/>
                <w:szCs w:val="18"/>
              </w:rPr>
            </w:pPr>
            <w:r w:rsidRPr="002B55E9">
              <w:rPr>
                <w:bCs/>
                <w:sz w:val="18"/>
                <w:szCs w:val="18"/>
              </w:rPr>
              <w:t>2000</w:t>
            </w:r>
          </w:p>
        </w:tc>
      </w:tr>
      <w:tr w:rsidR="002B55E9" w:rsidRPr="002B55E9" w14:paraId="41831180" w14:textId="77777777">
        <w:trPr>
          <w:trHeight w:val="284"/>
          <w:jc w:val="center"/>
        </w:trPr>
        <w:tc>
          <w:tcPr>
            <w:tcW w:w="668" w:type="dxa"/>
            <w:vAlign w:val="center"/>
          </w:tcPr>
          <w:p w14:paraId="47EFF47D" w14:textId="77777777" w:rsidR="00D170E5" w:rsidRPr="002B55E9" w:rsidRDefault="00EF27AD">
            <w:pPr>
              <w:jc w:val="center"/>
              <w:rPr>
                <w:bCs/>
                <w:sz w:val="18"/>
                <w:szCs w:val="18"/>
              </w:rPr>
            </w:pPr>
            <w:r w:rsidRPr="002B55E9">
              <w:rPr>
                <w:bCs/>
                <w:sz w:val="18"/>
                <w:szCs w:val="18"/>
              </w:rPr>
              <w:t>4</w:t>
            </w:r>
          </w:p>
        </w:tc>
        <w:tc>
          <w:tcPr>
            <w:tcW w:w="2080" w:type="dxa"/>
            <w:vAlign w:val="center"/>
          </w:tcPr>
          <w:p w14:paraId="5B833487" w14:textId="77777777" w:rsidR="00D170E5" w:rsidRPr="002B55E9" w:rsidRDefault="00EF27AD">
            <w:pPr>
              <w:jc w:val="center"/>
              <w:rPr>
                <w:bCs/>
                <w:sz w:val="18"/>
                <w:szCs w:val="18"/>
              </w:rPr>
            </w:pPr>
            <w:r w:rsidRPr="002B55E9">
              <w:rPr>
                <w:bCs/>
                <w:sz w:val="18"/>
                <w:szCs w:val="18"/>
              </w:rPr>
              <w:t>铜</w:t>
            </w:r>
          </w:p>
        </w:tc>
        <w:tc>
          <w:tcPr>
            <w:tcW w:w="1108" w:type="dxa"/>
            <w:vAlign w:val="center"/>
          </w:tcPr>
          <w:p w14:paraId="53830612" w14:textId="77777777" w:rsidR="00D170E5" w:rsidRPr="002B55E9" w:rsidRDefault="00EF27AD">
            <w:pPr>
              <w:jc w:val="center"/>
              <w:rPr>
                <w:bCs/>
                <w:sz w:val="18"/>
                <w:szCs w:val="18"/>
              </w:rPr>
            </w:pPr>
            <w:r w:rsidRPr="002B55E9">
              <w:rPr>
                <w:bCs/>
                <w:sz w:val="18"/>
                <w:szCs w:val="18"/>
              </w:rPr>
              <w:t>18000</w:t>
            </w:r>
          </w:p>
        </w:tc>
        <w:tc>
          <w:tcPr>
            <w:tcW w:w="1106" w:type="dxa"/>
            <w:vAlign w:val="center"/>
          </w:tcPr>
          <w:p w14:paraId="648CB103" w14:textId="77777777" w:rsidR="00D170E5" w:rsidRPr="002B55E9" w:rsidRDefault="00EF27AD">
            <w:pPr>
              <w:jc w:val="center"/>
              <w:rPr>
                <w:bCs/>
                <w:sz w:val="18"/>
                <w:szCs w:val="18"/>
              </w:rPr>
            </w:pPr>
            <w:r w:rsidRPr="002B55E9">
              <w:rPr>
                <w:bCs/>
                <w:sz w:val="18"/>
                <w:szCs w:val="18"/>
              </w:rPr>
              <w:t>36000</w:t>
            </w:r>
          </w:p>
        </w:tc>
        <w:tc>
          <w:tcPr>
            <w:tcW w:w="692" w:type="dxa"/>
            <w:vAlign w:val="center"/>
          </w:tcPr>
          <w:p w14:paraId="046F9D14" w14:textId="77777777" w:rsidR="00D170E5" w:rsidRPr="002B55E9" w:rsidRDefault="00D170E5">
            <w:pPr>
              <w:jc w:val="center"/>
              <w:rPr>
                <w:bCs/>
                <w:sz w:val="18"/>
                <w:szCs w:val="18"/>
              </w:rPr>
            </w:pPr>
          </w:p>
        </w:tc>
        <w:tc>
          <w:tcPr>
            <w:tcW w:w="1798" w:type="dxa"/>
            <w:vAlign w:val="center"/>
          </w:tcPr>
          <w:p w14:paraId="48E9CBB3" w14:textId="77777777" w:rsidR="00D170E5" w:rsidRPr="002B55E9" w:rsidRDefault="00D170E5">
            <w:pPr>
              <w:jc w:val="center"/>
              <w:rPr>
                <w:bCs/>
                <w:sz w:val="18"/>
                <w:szCs w:val="18"/>
              </w:rPr>
            </w:pPr>
          </w:p>
        </w:tc>
        <w:tc>
          <w:tcPr>
            <w:tcW w:w="1099" w:type="dxa"/>
            <w:vAlign w:val="center"/>
          </w:tcPr>
          <w:p w14:paraId="4C387E26" w14:textId="77777777" w:rsidR="00D170E5" w:rsidRPr="002B55E9" w:rsidRDefault="00D170E5">
            <w:pPr>
              <w:jc w:val="center"/>
              <w:rPr>
                <w:bCs/>
                <w:sz w:val="18"/>
                <w:szCs w:val="18"/>
              </w:rPr>
            </w:pPr>
          </w:p>
        </w:tc>
        <w:tc>
          <w:tcPr>
            <w:tcW w:w="1087" w:type="dxa"/>
            <w:vAlign w:val="center"/>
          </w:tcPr>
          <w:p w14:paraId="2E4C55C4" w14:textId="77777777" w:rsidR="00D170E5" w:rsidRPr="002B55E9" w:rsidRDefault="00D170E5">
            <w:pPr>
              <w:jc w:val="center"/>
              <w:rPr>
                <w:bCs/>
                <w:sz w:val="18"/>
                <w:szCs w:val="18"/>
              </w:rPr>
            </w:pPr>
          </w:p>
        </w:tc>
      </w:tr>
      <w:tr w:rsidR="002B55E9" w:rsidRPr="002B55E9" w14:paraId="0D2A9EB4" w14:textId="77777777">
        <w:trPr>
          <w:trHeight w:val="284"/>
          <w:jc w:val="center"/>
        </w:trPr>
        <w:tc>
          <w:tcPr>
            <w:tcW w:w="668" w:type="dxa"/>
            <w:vAlign w:val="center"/>
          </w:tcPr>
          <w:p w14:paraId="5C433869" w14:textId="77777777" w:rsidR="00D170E5" w:rsidRPr="002B55E9" w:rsidRDefault="00EF27AD">
            <w:pPr>
              <w:jc w:val="center"/>
              <w:rPr>
                <w:b/>
                <w:bCs/>
                <w:sz w:val="18"/>
                <w:szCs w:val="18"/>
              </w:rPr>
            </w:pPr>
            <w:r w:rsidRPr="002B55E9">
              <w:rPr>
                <w:b/>
                <w:bCs/>
                <w:sz w:val="18"/>
                <w:szCs w:val="18"/>
              </w:rPr>
              <w:t>二</w:t>
            </w:r>
          </w:p>
        </w:tc>
        <w:tc>
          <w:tcPr>
            <w:tcW w:w="8970" w:type="dxa"/>
            <w:gridSpan w:val="7"/>
            <w:vAlign w:val="center"/>
          </w:tcPr>
          <w:p w14:paraId="19D7F6FA" w14:textId="77777777" w:rsidR="00D170E5" w:rsidRPr="002B55E9" w:rsidRDefault="00EF27AD">
            <w:pPr>
              <w:jc w:val="left"/>
              <w:rPr>
                <w:b/>
                <w:bCs/>
                <w:sz w:val="18"/>
                <w:szCs w:val="18"/>
              </w:rPr>
            </w:pPr>
            <w:r w:rsidRPr="002B55E9">
              <w:rPr>
                <w:b/>
                <w:bCs/>
                <w:sz w:val="18"/>
                <w:szCs w:val="18"/>
              </w:rPr>
              <w:t>挥发性有机物</w:t>
            </w:r>
          </w:p>
        </w:tc>
      </w:tr>
      <w:tr w:rsidR="002B55E9" w:rsidRPr="002B55E9" w14:paraId="3ECBD3EF" w14:textId="77777777">
        <w:trPr>
          <w:trHeight w:val="284"/>
          <w:jc w:val="center"/>
        </w:trPr>
        <w:tc>
          <w:tcPr>
            <w:tcW w:w="668" w:type="dxa"/>
            <w:vAlign w:val="center"/>
          </w:tcPr>
          <w:p w14:paraId="3717169D" w14:textId="77777777" w:rsidR="00D170E5" w:rsidRPr="002B55E9" w:rsidRDefault="00EF27AD">
            <w:pPr>
              <w:jc w:val="center"/>
              <w:rPr>
                <w:bCs/>
                <w:sz w:val="18"/>
                <w:szCs w:val="18"/>
              </w:rPr>
            </w:pPr>
            <w:r w:rsidRPr="002B55E9">
              <w:rPr>
                <w:bCs/>
                <w:sz w:val="18"/>
                <w:szCs w:val="18"/>
              </w:rPr>
              <w:t>1</w:t>
            </w:r>
          </w:p>
        </w:tc>
        <w:tc>
          <w:tcPr>
            <w:tcW w:w="2080" w:type="dxa"/>
            <w:vAlign w:val="center"/>
          </w:tcPr>
          <w:p w14:paraId="0BCB59DC" w14:textId="77777777" w:rsidR="00D170E5" w:rsidRPr="002B55E9" w:rsidRDefault="00EF27AD">
            <w:pPr>
              <w:jc w:val="center"/>
              <w:rPr>
                <w:bCs/>
                <w:sz w:val="18"/>
                <w:szCs w:val="18"/>
              </w:rPr>
            </w:pPr>
            <w:r w:rsidRPr="002B55E9">
              <w:rPr>
                <w:bCs/>
                <w:sz w:val="18"/>
                <w:szCs w:val="18"/>
              </w:rPr>
              <w:t>四氯化碳</w:t>
            </w:r>
          </w:p>
        </w:tc>
        <w:tc>
          <w:tcPr>
            <w:tcW w:w="1108" w:type="dxa"/>
            <w:vAlign w:val="center"/>
          </w:tcPr>
          <w:p w14:paraId="1342F1B7" w14:textId="77777777" w:rsidR="00D170E5" w:rsidRPr="002B55E9" w:rsidRDefault="00EF27AD">
            <w:pPr>
              <w:jc w:val="center"/>
              <w:rPr>
                <w:bCs/>
                <w:sz w:val="18"/>
                <w:szCs w:val="18"/>
              </w:rPr>
            </w:pPr>
            <w:r w:rsidRPr="002B55E9">
              <w:rPr>
                <w:bCs/>
                <w:sz w:val="18"/>
                <w:szCs w:val="18"/>
              </w:rPr>
              <w:t>2.8</w:t>
            </w:r>
          </w:p>
        </w:tc>
        <w:tc>
          <w:tcPr>
            <w:tcW w:w="1106" w:type="dxa"/>
            <w:vAlign w:val="center"/>
          </w:tcPr>
          <w:p w14:paraId="0A3FB414" w14:textId="77777777" w:rsidR="00D170E5" w:rsidRPr="002B55E9" w:rsidRDefault="00EF27AD">
            <w:pPr>
              <w:jc w:val="center"/>
              <w:rPr>
                <w:bCs/>
                <w:sz w:val="18"/>
                <w:szCs w:val="18"/>
              </w:rPr>
            </w:pPr>
            <w:r w:rsidRPr="002B55E9">
              <w:rPr>
                <w:bCs/>
                <w:sz w:val="18"/>
                <w:szCs w:val="18"/>
              </w:rPr>
              <w:t>36</w:t>
            </w:r>
          </w:p>
        </w:tc>
        <w:tc>
          <w:tcPr>
            <w:tcW w:w="692" w:type="dxa"/>
            <w:vAlign w:val="center"/>
          </w:tcPr>
          <w:p w14:paraId="48EC1864" w14:textId="77777777" w:rsidR="00D170E5" w:rsidRPr="002B55E9" w:rsidRDefault="00EF27AD">
            <w:pPr>
              <w:jc w:val="center"/>
              <w:rPr>
                <w:bCs/>
                <w:sz w:val="18"/>
                <w:szCs w:val="18"/>
              </w:rPr>
            </w:pPr>
            <w:r w:rsidRPr="002B55E9">
              <w:rPr>
                <w:bCs/>
                <w:sz w:val="18"/>
                <w:szCs w:val="18"/>
              </w:rPr>
              <w:t>15</w:t>
            </w:r>
          </w:p>
        </w:tc>
        <w:tc>
          <w:tcPr>
            <w:tcW w:w="1798" w:type="dxa"/>
            <w:vAlign w:val="center"/>
          </w:tcPr>
          <w:p w14:paraId="247085DA" w14:textId="77777777" w:rsidR="00D170E5" w:rsidRPr="002B55E9" w:rsidRDefault="00EF27AD">
            <w:pPr>
              <w:jc w:val="center"/>
              <w:rPr>
                <w:bCs/>
                <w:sz w:val="18"/>
                <w:szCs w:val="18"/>
              </w:rPr>
            </w:pPr>
            <w:r w:rsidRPr="002B55E9">
              <w:rPr>
                <w:bCs/>
                <w:sz w:val="18"/>
                <w:szCs w:val="18"/>
              </w:rPr>
              <w:t>1,1,2-</w:t>
            </w:r>
            <w:r w:rsidRPr="002B55E9">
              <w:rPr>
                <w:bCs/>
                <w:sz w:val="18"/>
                <w:szCs w:val="18"/>
              </w:rPr>
              <w:t>三氯乙烷</w:t>
            </w:r>
          </w:p>
        </w:tc>
        <w:tc>
          <w:tcPr>
            <w:tcW w:w="1099" w:type="dxa"/>
            <w:vAlign w:val="center"/>
          </w:tcPr>
          <w:p w14:paraId="0BCBC7A7" w14:textId="77777777" w:rsidR="00D170E5" w:rsidRPr="002B55E9" w:rsidRDefault="00EF27AD">
            <w:pPr>
              <w:jc w:val="center"/>
              <w:rPr>
                <w:bCs/>
                <w:sz w:val="18"/>
                <w:szCs w:val="18"/>
              </w:rPr>
            </w:pPr>
            <w:r w:rsidRPr="002B55E9">
              <w:rPr>
                <w:bCs/>
                <w:sz w:val="18"/>
                <w:szCs w:val="18"/>
              </w:rPr>
              <w:t>2.8</w:t>
            </w:r>
          </w:p>
        </w:tc>
        <w:tc>
          <w:tcPr>
            <w:tcW w:w="1087" w:type="dxa"/>
            <w:vAlign w:val="center"/>
          </w:tcPr>
          <w:p w14:paraId="23B701C6" w14:textId="77777777" w:rsidR="00D170E5" w:rsidRPr="002B55E9" w:rsidRDefault="00EF27AD">
            <w:pPr>
              <w:jc w:val="center"/>
              <w:rPr>
                <w:bCs/>
                <w:sz w:val="18"/>
                <w:szCs w:val="18"/>
              </w:rPr>
            </w:pPr>
            <w:r w:rsidRPr="002B55E9">
              <w:rPr>
                <w:bCs/>
                <w:sz w:val="18"/>
                <w:szCs w:val="18"/>
              </w:rPr>
              <w:t>15</w:t>
            </w:r>
          </w:p>
        </w:tc>
      </w:tr>
      <w:tr w:rsidR="002B55E9" w:rsidRPr="002B55E9" w14:paraId="6375084E" w14:textId="77777777">
        <w:trPr>
          <w:trHeight w:val="284"/>
          <w:jc w:val="center"/>
        </w:trPr>
        <w:tc>
          <w:tcPr>
            <w:tcW w:w="668" w:type="dxa"/>
            <w:vAlign w:val="center"/>
          </w:tcPr>
          <w:p w14:paraId="2C8E4AD9" w14:textId="77777777" w:rsidR="00D170E5" w:rsidRPr="002B55E9" w:rsidRDefault="00EF27AD">
            <w:pPr>
              <w:jc w:val="center"/>
              <w:rPr>
                <w:bCs/>
                <w:sz w:val="18"/>
                <w:szCs w:val="18"/>
              </w:rPr>
            </w:pPr>
            <w:r w:rsidRPr="002B55E9">
              <w:rPr>
                <w:bCs/>
                <w:sz w:val="18"/>
                <w:szCs w:val="18"/>
              </w:rPr>
              <w:t>2</w:t>
            </w:r>
          </w:p>
        </w:tc>
        <w:tc>
          <w:tcPr>
            <w:tcW w:w="2080" w:type="dxa"/>
            <w:vAlign w:val="center"/>
          </w:tcPr>
          <w:p w14:paraId="69DA2432" w14:textId="77777777" w:rsidR="00D170E5" w:rsidRPr="002B55E9" w:rsidRDefault="00EF27AD">
            <w:pPr>
              <w:jc w:val="center"/>
              <w:rPr>
                <w:bCs/>
                <w:sz w:val="18"/>
                <w:szCs w:val="18"/>
              </w:rPr>
            </w:pPr>
            <w:r w:rsidRPr="002B55E9">
              <w:rPr>
                <w:bCs/>
                <w:sz w:val="18"/>
                <w:szCs w:val="18"/>
              </w:rPr>
              <w:t>氯仿</w:t>
            </w:r>
          </w:p>
        </w:tc>
        <w:tc>
          <w:tcPr>
            <w:tcW w:w="1108" w:type="dxa"/>
            <w:vAlign w:val="center"/>
          </w:tcPr>
          <w:p w14:paraId="70AB894C" w14:textId="77777777" w:rsidR="00D170E5" w:rsidRPr="002B55E9" w:rsidRDefault="00EF27AD">
            <w:pPr>
              <w:jc w:val="center"/>
              <w:rPr>
                <w:bCs/>
                <w:sz w:val="18"/>
                <w:szCs w:val="18"/>
              </w:rPr>
            </w:pPr>
            <w:r w:rsidRPr="002B55E9">
              <w:rPr>
                <w:bCs/>
                <w:sz w:val="18"/>
                <w:szCs w:val="18"/>
              </w:rPr>
              <w:t>0.9</w:t>
            </w:r>
          </w:p>
        </w:tc>
        <w:tc>
          <w:tcPr>
            <w:tcW w:w="1106" w:type="dxa"/>
            <w:vAlign w:val="center"/>
          </w:tcPr>
          <w:p w14:paraId="7FBF2177" w14:textId="77777777" w:rsidR="00D170E5" w:rsidRPr="002B55E9" w:rsidRDefault="00EF27AD">
            <w:pPr>
              <w:jc w:val="center"/>
              <w:rPr>
                <w:bCs/>
                <w:sz w:val="18"/>
                <w:szCs w:val="18"/>
              </w:rPr>
            </w:pPr>
            <w:r w:rsidRPr="002B55E9">
              <w:rPr>
                <w:bCs/>
                <w:sz w:val="18"/>
                <w:szCs w:val="18"/>
              </w:rPr>
              <w:t>10</w:t>
            </w:r>
          </w:p>
        </w:tc>
        <w:tc>
          <w:tcPr>
            <w:tcW w:w="692" w:type="dxa"/>
            <w:vAlign w:val="center"/>
          </w:tcPr>
          <w:p w14:paraId="6273D1FB" w14:textId="77777777" w:rsidR="00D170E5" w:rsidRPr="002B55E9" w:rsidRDefault="00EF27AD">
            <w:pPr>
              <w:jc w:val="center"/>
              <w:rPr>
                <w:bCs/>
                <w:sz w:val="18"/>
                <w:szCs w:val="18"/>
              </w:rPr>
            </w:pPr>
            <w:r w:rsidRPr="002B55E9">
              <w:rPr>
                <w:bCs/>
                <w:sz w:val="18"/>
                <w:szCs w:val="18"/>
              </w:rPr>
              <w:t>16</w:t>
            </w:r>
          </w:p>
        </w:tc>
        <w:tc>
          <w:tcPr>
            <w:tcW w:w="1798" w:type="dxa"/>
            <w:vAlign w:val="center"/>
          </w:tcPr>
          <w:p w14:paraId="104B7EDA" w14:textId="77777777" w:rsidR="00D170E5" w:rsidRPr="002B55E9" w:rsidRDefault="00EF27AD">
            <w:pPr>
              <w:jc w:val="center"/>
              <w:rPr>
                <w:bCs/>
                <w:sz w:val="18"/>
                <w:szCs w:val="18"/>
              </w:rPr>
            </w:pPr>
            <w:r w:rsidRPr="002B55E9">
              <w:rPr>
                <w:bCs/>
                <w:sz w:val="18"/>
                <w:szCs w:val="18"/>
              </w:rPr>
              <w:t>三氯乙烯</w:t>
            </w:r>
          </w:p>
        </w:tc>
        <w:tc>
          <w:tcPr>
            <w:tcW w:w="1099" w:type="dxa"/>
            <w:vAlign w:val="center"/>
          </w:tcPr>
          <w:p w14:paraId="3B4E1D8E" w14:textId="77777777" w:rsidR="00D170E5" w:rsidRPr="002B55E9" w:rsidRDefault="00EF27AD">
            <w:pPr>
              <w:jc w:val="center"/>
              <w:rPr>
                <w:bCs/>
                <w:sz w:val="18"/>
                <w:szCs w:val="18"/>
              </w:rPr>
            </w:pPr>
            <w:r w:rsidRPr="002B55E9">
              <w:rPr>
                <w:bCs/>
                <w:sz w:val="18"/>
                <w:szCs w:val="18"/>
              </w:rPr>
              <w:t>2.8</w:t>
            </w:r>
          </w:p>
        </w:tc>
        <w:tc>
          <w:tcPr>
            <w:tcW w:w="1087" w:type="dxa"/>
            <w:vAlign w:val="center"/>
          </w:tcPr>
          <w:p w14:paraId="3ED09871" w14:textId="77777777" w:rsidR="00D170E5" w:rsidRPr="002B55E9" w:rsidRDefault="00EF27AD">
            <w:pPr>
              <w:jc w:val="center"/>
              <w:rPr>
                <w:bCs/>
                <w:sz w:val="18"/>
                <w:szCs w:val="18"/>
              </w:rPr>
            </w:pPr>
            <w:r w:rsidRPr="002B55E9">
              <w:rPr>
                <w:bCs/>
                <w:sz w:val="18"/>
                <w:szCs w:val="18"/>
              </w:rPr>
              <w:t>20</w:t>
            </w:r>
          </w:p>
        </w:tc>
      </w:tr>
      <w:tr w:rsidR="002B55E9" w:rsidRPr="002B55E9" w14:paraId="0D933713" w14:textId="77777777">
        <w:trPr>
          <w:trHeight w:val="284"/>
          <w:jc w:val="center"/>
        </w:trPr>
        <w:tc>
          <w:tcPr>
            <w:tcW w:w="668" w:type="dxa"/>
            <w:vAlign w:val="center"/>
          </w:tcPr>
          <w:p w14:paraId="1BCC8FB3" w14:textId="77777777" w:rsidR="00D170E5" w:rsidRPr="002B55E9" w:rsidRDefault="00EF27AD">
            <w:pPr>
              <w:jc w:val="center"/>
              <w:rPr>
                <w:bCs/>
                <w:sz w:val="18"/>
                <w:szCs w:val="18"/>
              </w:rPr>
            </w:pPr>
            <w:r w:rsidRPr="002B55E9">
              <w:rPr>
                <w:bCs/>
                <w:sz w:val="18"/>
                <w:szCs w:val="18"/>
              </w:rPr>
              <w:t>3</w:t>
            </w:r>
          </w:p>
        </w:tc>
        <w:tc>
          <w:tcPr>
            <w:tcW w:w="2080" w:type="dxa"/>
            <w:vAlign w:val="center"/>
          </w:tcPr>
          <w:p w14:paraId="11B18711" w14:textId="77777777" w:rsidR="00D170E5" w:rsidRPr="002B55E9" w:rsidRDefault="00EF27AD">
            <w:pPr>
              <w:jc w:val="center"/>
              <w:rPr>
                <w:bCs/>
                <w:sz w:val="18"/>
                <w:szCs w:val="18"/>
              </w:rPr>
            </w:pPr>
            <w:r w:rsidRPr="002B55E9">
              <w:rPr>
                <w:bCs/>
                <w:sz w:val="18"/>
                <w:szCs w:val="18"/>
              </w:rPr>
              <w:t>氯甲烷</w:t>
            </w:r>
          </w:p>
        </w:tc>
        <w:tc>
          <w:tcPr>
            <w:tcW w:w="1108" w:type="dxa"/>
            <w:vAlign w:val="center"/>
          </w:tcPr>
          <w:p w14:paraId="62976420" w14:textId="77777777" w:rsidR="00D170E5" w:rsidRPr="002B55E9" w:rsidRDefault="00EF27AD">
            <w:pPr>
              <w:jc w:val="center"/>
              <w:rPr>
                <w:bCs/>
                <w:sz w:val="18"/>
                <w:szCs w:val="18"/>
              </w:rPr>
            </w:pPr>
            <w:r w:rsidRPr="002B55E9">
              <w:rPr>
                <w:bCs/>
                <w:sz w:val="18"/>
                <w:szCs w:val="18"/>
              </w:rPr>
              <w:t>37</w:t>
            </w:r>
          </w:p>
        </w:tc>
        <w:tc>
          <w:tcPr>
            <w:tcW w:w="1106" w:type="dxa"/>
            <w:vAlign w:val="center"/>
          </w:tcPr>
          <w:p w14:paraId="64E90E5E" w14:textId="77777777" w:rsidR="00D170E5" w:rsidRPr="002B55E9" w:rsidRDefault="00EF27AD">
            <w:pPr>
              <w:jc w:val="center"/>
              <w:rPr>
                <w:bCs/>
                <w:sz w:val="18"/>
                <w:szCs w:val="18"/>
              </w:rPr>
            </w:pPr>
            <w:r w:rsidRPr="002B55E9">
              <w:rPr>
                <w:bCs/>
                <w:sz w:val="18"/>
                <w:szCs w:val="18"/>
              </w:rPr>
              <w:t>120</w:t>
            </w:r>
          </w:p>
        </w:tc>
        <w:tc>
          <w:tcPr>
            <w:tcW w:w="692" w:type="dxa"/>
            <w:vAlign w:val="center"/>
          </w:tcPr>
          <w:p w14:paraId="5BD917D2" w14:textId="77777777" w:rsidR="00D170E5" w:rsidRPr="002B55E9" w:rsidRDefault="00EF27AD">
            <w:pPr>
              <w:jc w:val="center"/>
              <w:rPr>
                <w:bCs/>
                <w:sz w:val="18"/>
                <w:szCs w:val="18"/>
              </w:rPr>
            </w:pPr>
            <w:r w:rsidRPr="002B55E9">
              <w:rPr>
                <w:bCs/>
                <w:sz w:val="18"/>
                <w:szCs w:val="18"/>
              </w:rPr>
              <w:t>17</w:t>
            </w:r>
          </w:p>
        </w:tc>
        <w:tc>
          <w:tcPr>
            <w:tcW w:w="1798" w:type="dxa"/>
            <w:vAlign w:val="center"/>
          </w:tcPr>
          <w:p w14:paraId="3273ADCE" w14:textId="77777777" w:rsidR="00D170E5" w:rsidRPr="002B55E9" w:rsidRDefault="00EF27AD">
            <w:pPr>
              <w:jc w:val="center"/>
              <w:rPr>
                <w:bCs/>
                <w:sz w:val="18"/>
                <w:szCs w:val="18"/>
              </w:rPr>
            </w:pPr>
            <w:r w:rsidRPr="002B55E9">
              <w:rPr>
                <w:bCs/>
                <w:sz w:val="18"/>
                <w:szCs w:val="18"/>
              </w:rPr>
              <w:t>1,2,3-</w:t>
            </w:r>
            <w:r w:rsidRPr="002B55E9">
              <w:rPr>
                <w:bCs/>
                <w:sz w:val="18"/>
                <w:szCs w:val="18"/>
              </w:rPr>
              <w:t>三氯丙烷</w:t>
            </w:r>
          </w:p>
        </w:tc>
        <w:tc>
          <w:tcPr>
            <w:tcW w:w="1099" w:type="dxa"/>
            <w:vAlign w:val="center"/>
          </w:tcPr>
          <w:p w14:paraId="1ADF7B80" w14:textId="77777777" w:rsidR="00D170E5" w:rsidRPr="002B55E9" w:rsidRDefault="00EF27AD">
            <w:pPr>
              <w:jc w:val="center"/>
              <w:rPr>
                <w:bCs/>
                <w:sz w:val="18"/>
                <w:szCs w:val="18"/>
              </w:rPr>
            </w:pPr>
            <w:r w:rsidRPr="002B55E9">
              <w:rPr>
                <w:bCs/>
                <w:sz w:val="18"/>
                <w:szCs w:val="18"/>
              </w:rPr>
              <w:t>0.5</w:t>
            </w:r>
          </w:p>
        </w:tc>
        <w:tc>
          <w:tcPr>
            <w:tcW w:w="1087" w:type="dxa"/>
            <w:vAlign w:val="center"/>
          </w:tcPr>
          <w:p w14:paraId="0A9191CE" w14:textId="77777777" w:rsidR="00D170E5" w:rsidRPr="002B55E9" w:rsidRDefault="00EF27AD">
            <w:pPr>
              <w:jc w:val="center"/>
              <w:rPr>
                <w:bCs/>
                <w:sz w:val="18"/>
                <w:szCs w:val="18"/>
              </w:rPr>
            </w:pPr>
            <w:r w:rsidRPr="002B55E9">
              <w:rPr>
                <w:bCs/>
                <w:sz w:val="18"/>
                <w:szCs w:val="18"/>
              </w:rPr>
              <w:t>5</w:t>
            </w:r>
          </w:p>
        </w:tc>
      </w:tr>
      <w:tr w:rsidR="002B55E9" w:rsidRPr="002B55E9" w14:paraId="5899E271" w14:textId="77777777">
        <w:trPr>
          <w:trHeight w:val="284"/>
          <w:jc w:val="center"/>
        </w:trPr>
        <w:tc>
          <w:tcPr>
            <w:tcW w:w="668" w:type="dxa"/>
            <w:vAlign w:val="center"/>
          </w:tcPr>
          <w:p w14:paraId="63B47FF5" w14:textId="77777777" w:rsidR="00D170E5" w:rsidRPr="002B55E9" w:rsidRDefault="00EF27AD">
            <w:pPr>
              <w:jc w:val="center"/>
              <w:rPr>
                <w:bCs/>
                <w:sz w:val="18"/>
                <w:szCs w:val="18"/>
              </w:rPr>
            </w:pPr>
            <w:r w:rsidRPr="002B55E9">
              <w:rPr>
                <w:bCs/>
                <w:sz w:val="18"/>
                <w:szCs w:val="18"/>
              </w:rPr>
              <w:t>4</w:t>
            </w:r>
          </w:p>
        </w:tc>
        <w:tc>
          <w:tcPr>
            <w:tcW w:w="2080" w:type="dxa"/>
            <w:vAlign w:val="center"/>
          </w:tcPr>
          <w:p w14:paraId="1E9DD2B7" w14:textId="77777777" w:rsidR="00D170E5" w:rsidRPr="002B55E9" w:rsidRDefault="00EF27AD">
            <w:pPr>
              <w:jc w:val="center"/>
              <w:rPr>
                <w:bCs/>
                <w:sz w:val="18"/>
                <w:szCs w:val="18"/>
              </w:rPr>
            </w:pPr>
            <w:r w:rsidRPr="002B55E9">
              <w:rPr>
                <w:bCs/>
                <w:sz w:val="18"/>
                <w:szCs w:val="18"/>
              </w:rPr>
              <w:t>1,1-</w:t>
            </w:r>
            <w:r w:rsidRPr="002B55E9">
              <w:rPr>
                <w:bCs/>
                <w:sz w:val="18"/>
                <w:szCs w:val="18"/>
              </w:rPr>
              <w:t>二氯乙烷</w:t>
            </w:r>
          </w:p>
        </w:tc>
        <w:tc>
          <w:tcPr>
            <w:tcW w:w="1108" w:type="dxa"/>
            <w:vAlign w:val="center"/>
          </w:tcPr>
          <w:p w14:paraId="27A981DC" w14:textId="77777777" w:rsidR="00D170E5" w:rsidRPr="002B55E9" w:rsidRDefault="00EF27AD">
            <w:pPr>
              <w:jc w:val="center"/>
              <w:rPr>
                <w:bCs/>
                <w:sz w:val="18"/>
                <w:szCs w:val="18"/>
              </w:rPr>
            </w:pPr>
            <w:r w:rsidRPr="002B55E9">
              <w:rPr>
                <w:bCs/>
                <w:sz w:val="18"/>
                <w:szCs w:val="18"/>
              </w:rPr>
              <w:t>9</w:t>
            </w:r>
          </w:p>
        </w:tc>
        <w:tc>
          <w:tcPr>
            <w:tcW w:w="1106" w:type="dxa"/>
            <w:vAlign w:val="center"/>
          </w:tcPr>
          <w:p w14:paraId="2CE7A46C" w14:textId="77777777" w:rsidR="00D170E5" w:rsidRPr="002B55E9" w:rsidRDefault="00EF27AD">
            <w:pPr>
              <w:jc w:val="center"/>
              <w:rPr>
                <w:bCs/>
                <w:sz w:val="18"/>
                <w:szCs w:val="18"/>
              </w:rPr>
            </w:pPr>
            <w:r w:rsidRPr="002B55E9">
              <w:rPr>
                <w:bCs/>
                <w:sz w:val="18"/>
                <w:szCs w:val="18"/>
              </w:rPr>
              <w:t>100</w:t>
            </w:r>
          </w:p>
        </w:tc>
        <w:tc>
          <w:tcPr>
            <w:tcW w:w="692" w:type="dxa"/>
            <w:vAlign w:val="center"/>
          </w:tcPr>
          <w:p w14:paraId="4D9B925C" w14:textId="77777777" w:rsidR="00D170E5" w:rsidRPr="002B55E9" w:rsidRDefault="00EF27AD">
            <w:pPr>
              <w:jc w:val="center"/>
              <w:rPr>
                <w:bCs/>
                <w:sz w:val="18"/>
                <w:szCs w:val="18"/>
              </w:rPr>
            </w:pPr>
            <w:r w:rsidRPr="002B55E9">
              <w:rPr>
                <w:bCs/>
                <w:sz w:val="18"/>
                <w:szCs w:val="18"/>
              </w:rPr>
              <w:t>18</w:t>
            </w:r>
          </w:p>
        </w:tc>
        <w:tc>
          <w:tcPr>
            <w:tcW w:w="1798" w:type="dxa"/>
            <w:vAlign w:val="center"/>
          </w:tcPr>
          <w:p w14:paraId="644AA611" w14:textId="77777777" w:rsidR="00D170E5" w:rsidRPr="002B55E9" w:rsidRDefault="00EF27AD">
            <w:pPr>
              <w:jc w:val="center"/>
              <w:rPr>
                <w:bCs/>
                <w:sz w:val="18"/>
                <w:szCs w:val="18"/>
              </w:rPr>
            </w:pPr>
            <w:r w:rsidRPr="002B55E9">
              <w:rPr>
                <w:bCs/>
                <w:sz w:val="18"/>
                <w:szCs w:val="18"/>
              </w:rPr>
              <w:t>氯乙烯</w:t>
            </w:r>
          </w:p>
        </w:tc>
        <w:tc>
          <w:tcPr>
            <w:tcW w:w="1099" w:type="dxa"/>
            <w:vAlign w:val="center"/>
          </w:tcPr>
          <w:p w14:paraId="1ED1C16E" w14:textId="77777777" w:rsidR="00D170E5" w:rsidRPr="002B55E9" w:rsidRDefault="00EF27AD">
            <w:pPr>
              <w:jc w:val="center"/>
              <w:rPr>
                <w:bCs/>
                <w:sz w:val="18"/>
                <w:szCs w:val="18"/>
              </w:rPr>
            </w:pPr>
            <w:r w:rsidRPr="002B55E9">
              <w:rPr>
                <w:bCs/>
                <w:sz w:val="18"/>
                <w:szCs w:val="18"/>
              </w:rPr>
              <w:t>0.43</w:t>
            </w:r>
          </w:p>
        </w:tc>
        <w:tc>
          <w:tcPr>
            <w:tcW w:w="1087" w:type="dxa"/>
            <w:vAlign w:val="center"/>
          </w:tcPr>
          <w:p w14:paraId="6FF657F9" w14:textId="77777777" w:rsidR="00D170E5" w:rsidRPr="002B55E9" w:rsidRDefault="00EF27AD">
            <w:pPr>
              <w:jc w:val="center"/>
              <w:rPr>
                <w:bCs/>
                <w:sz w:val="18"/>
                <w:szCs w:val="18"/>
              </w:rPr>
            </w:pPr>
            <w:r w:rsidRPr="002B55E9">
              <w:rPr>
                <w:bCs/>
                <w:sz w:val="18"/>
                <w:szCs w:val="18"/>
              </w:rPr>
              <w:t>4.3</w:t>
            </w:r>
          </w:p>
        </w:tc>
      </w:tr>
      <w:tr w:rsidR="002B55E9" w:rsidRPr="002B55E9" w14:paraId="1A9A7FB9" w14:textId="77777777">
        <w:trPr>
          <w:trHeight w:val="284"/>
          <w:jc w:val="center"/>
        </w:trPr>
        <w:tc>
          <w:tcPr>
            <w:tcW w:w="668" w:type="dxa"/>
            <w:vAlign w:val="center"/>
          </w:tcPr>
          <w:p w14:paraId="2290F3FA" w14:textId="77777777" w:rsidR="00D170E5" w:rsidRPr="002B55E9" w:rsidRDefault="00EF27AD">
            <w:pPr>
              <w:jc w:val="center"/>
              <w:rPr>
                <w:bCs/>
                <w:sz w:val="18"/>
                <w:szCs w:val="18"/>
              </w:rPr>
            </w:pPr>
            <w:r w:rsidRPr="002B55E9">
              <w:rPr>
                <w:bCs/>
                <w:sz w:val="18"/>
                <w:szCs w:val="18"/>
              </w:rPr>
              <w:t>5</w:t>
            </w:r>
          </w:p>
        </w:tc>
        <w:tc>
          <w:tcPr>
            <w:tcW w:w="2080" w:type="dxa"/>
            <w:vAlign w:val="center"/>
          </w:tcPr>
          <w:p w14:paraId="2DEC7904" w14:textId="77777777" w:rsidR="00D170E5" w:rsidRPr="002B55E9" w:rsidRDefault="00EF27AD">
            <w:pPr>
              <w:jc w:val="center"/>
              <w:rPr>
                <w:bCs/>
                <w:sz w:val="18"/>
                <w:szCs w:val="18"/>
              </w:rPr>
            </w:pPr>
            <w:r w:rsidRPr="002B55E9">
              <w:rPr>
                <w:bCs/>
                <w:sz w:val="18"/>
                <w:szCs w:val="18"/>
              </w:rPr>
              <w:t>1,2-</w:t>
            </w:r>
            <w:r w:rsidRPr="002B55E9">
              <w:rPr>
                <w:bCs/>
                <w:sz w:val="18"/>
                <w:szCs w:val="18"/>
              </w:rPr>
              <w:t>二氯乙烷</w:t>
            </w:r>
          </w:p>
        </w:tc>
        <w:tc>
          <w:tcPr>
            <w:tcW w:w="1108" w:type="dxa"/>
            <w:vAlign w:val="center"/>
          </w:tcPr>
          <w:p w14:paraId="63EB54F5" w14:textId="77777777" w:rsidR="00D170E5" w:rsidRPr="002B55E9" w:rsidRDefault="00EF27AD">
            <w:pPr>
              <w:jc w:val="center"/>
              <w:rPr>
                <w:bCs/>
                <w:sz w:val="18"/>
                <w:szCs w:val="18"/>
              </w:rPr>
            </w:pPr>
            <w:r w:rsidRPr="002B55E9">
              <w:rPr>
                <w:bCs/>
                <w:sz w:val="18"/>
                <w:szCs w:val="18"/>
              </w:rPr>
              <w:t>5</w:t>
            </w:r>
          </w:p>
        </w:tc>
        <w:tc>
          <w:tcPr>
            <w:tcW w:w="1106" w:type="dxa"/>
            <w:vAlign w:val="center"/>
          </w:tcPr>
          <w:p w14:paraId="56273848" w14:textId="77777777" w:rsidR="00D170E5" w:rsidRPr="002B55E9" w:rsidRDefault="00EF27AD">
            <w:pPr>
              <w:jc w:val="center"/>
              <w:rPr>
                <w:bCs/>
                <w:sz w:val="18"/>
                <w:szCs w:val="18"/>
              </w:rPr>
            </w:pPr>
            <w:r w:rsidRPr="002B55E9">
              <w:rPr>
                <w:bCs/>
                <w:sz w:val="18"/>
                <w:szCs w:val="18"/>
              </w:rPr>
              <w:t>21</w:t>
            </w:r>
          </w:p>
        </w:tc>
        <w:tc>
          <w:tcPr>
            <w:tcW w:w="692" w:type="dxa"/>
            <w:vAlign w:val="center"/>
          </w:tcPr>
          <w:p w14:paraId="39A716F8" w14:textId="77777777" w:rsidR="00D170E5" w:rsidRPr="002B55E9" w:rsidRDefault="00EF27AD">
            <w:pPr>
              <w:jc w:val="center"/>
              <w:rPr>
                <w:bCs/>
                <w:sz w:val="18"/>
                <w:szCs w:val="18"/>
              </w:rPr>
            </w:pPr>
            <w:r w:rsidRPr="002B55E9">
              <w:rPr>
                <w:bCs/>
                <w:sz w:val="18"/>
                <w:szCs w:val="18"/>
              </w:rPr>
              <w:t>19</w:t>
            </w:r>
          </w:p>
        </w:tc>
        <w:tc>
          <w:tcPr>
            <w:tcW w:w="1798" w:type="dxa"/>
            <w:vAlign w:val="center"/>
          </w:tcPr>
          <w:p w14:paraId="5A2908C0" w14:textId="77777777" w:rsidR="00D170E5" w:rsidRPr="002B55E9" w:rsidRDefault="00EF27AD">
            <w:pPr>
              <w:jc w:val="center"/>
              <w:rPr>
                <w:bCs/>
                <w:sz w:val="18"/>
                <w:szCs w:val="18"/>
              </w:rPr>
            </w:pPr>
            <w:r w:rsidRPr="002B55E9">
              <w:rPr>
                <w:bCs/>
                <w:sz w:val="18"/>
                <w:szCs w:val="18"/>
              </w:rPr>
              <w:t>苯</w:t>
            </w:r>
          </w:p>
        </w:tc>
        <w:tc>
          <w:tcPr>
            <w:tcW w:w="1099" w:type="dxa"/>
            <w:vAlign w:val="center"/>
          </w:tcPr>
          <w:p w14:paraId="734193B9" w14:textId="77777777" w:rsidR="00D170E5" w:rsidRPr="002B55E9" w:rsidRDefault="00EF27AD">
            <w:pPr>
              <w:jc w:val="center"/>
              <w:rPr>
                <w:bCs/>
                <w:sz w:val="18"/>
                <w:szCs w:val="18"/>
              </w:rPr>
            </w:pPr>
            <w:r w:rsidRPr="002B55E9">
              <w:rPr>
                <w:bCs/>
                <w:sz w:val="18"/>
                <w:szCs w:val="18"/>
              </w:rPr>
              <w:t>4</w:t>
            </w:r>
          </w:p>
        </w:tc>
        <w:tc>
          <w:tcPr>
            <w:tcW w:w="1087" w:type="dxa"/>
            <w:vAlign w:val="center"/>
          </w:tcPr>
          <w:p w14:paraId="35CD2894" w14:textId="77777777" w:rsidR="00D170E5" w:rsidRPr="002B55E9" w:rsidRDefault="00EF27AD">
            <w:pPr>
              <w:jc w:val="center"/>
              <w:rPr>
                <w:bCs/>
                <w:sz w:val="18"/>
                <w:szCs w:val="18"/>
              </w:rPr>
            </w:pPr>
            <w:r w:rsidRPr="002B55E9">
              <w:rPr>
                <w:bCs/>
                <w:sz w:val="18"/>
                <w:szCs w:val="18"/>
              </w:rPr>
              <w:t>40</w:t>
            </w:r>
          </w:p>
        </w:tc>
      </w:tr>
      <w:tr w:rsidR="002B55E9" w:rsidRPr="002B55E9" w14:paraId="1C1351BF" w14:textId="77777777">
        <w:trPr>
          <w:trHeight w:val="284"/>
          <w:jc w:val="center"/>
        </w:trPr>
        <w:tc>
          <w:tcPr>
            <w:tcW w:w="668" w:type="dxa"/>
            <w:vAlign w:val="center"/>
          </w:tcPr>
          <w:p w14:paraId="34229A66" w14:textId="77777777" w:rsidR="00D170E5" w:rsidRPr="002B55E9" w:rsidRDefault="00EF27AD">
            <w:pPr>
              <w:jc w:val="center"/>
              <w:rPr>
                <w:bCs/>
                <w:sz w:val="18"/>
                <w:szCs w:val="18"/>
              </w:rPr>
            </w:pPr>
            <w:r w:rsidRPr="002B55E9">
              <w:rPr>
                <w:bCs/>
                <w:sz w:val="18"/>
                <w:szCs w:val="18"/>
              </w:rPr>
              <w:t>6</w:t>
            </w:r>
          </w:p>
        </w:tc>
        <w:tc>
          <w:tcPr>
            <w:tcW w:w="2080" w:type="dxa"/>
            <w:vAlign w:val="center"/>
          </w:tcPr>
          <w:p w14:paraId="2E8A0BC1" w14:textId="77777777" w:rsidR="00D170E5" w:rsidRPr="002B55E9" w:rsidRDefault="00EF27AD">
            <w:pPr>
              <w:jc w:val="center"/>
              <w:rPr>
                <w:bCs/>
                <w:sz w:val="18"/>
                <w:szCs w:val="18"/>
              </w:rPr>
            </w:pPr>
            <w:r w:rsidRPr="002B55E9">
              <w:rPr>
                <w:bCs/>
                <w:sz w:val="18"/>
                <w:szCs w:val="18"/>
              </w:rPr>
              <w:t>1,1-</w:t>
            </w:r>
            <w:r w:rsidRPr="002B55E9">
              <w:rPr>
                <w:bCs/>
                <w:sz w:val="18"/>
                <w:szCs w:val="18"/>
              </w:rPr>
              <w:t>二氯乙烯</w:t>
            </w:r>
          </w:p>
        </w:tc>
        <w:tc>
          <w:tcPr>
            <w:tcW w:w="1108" w:type="dxa"/>
            <w:vAlign w:val="center"/>
          </w:tcPr>
          <w:p w14:paraId="00F1B6A5" w14:textId="77777777" w:rsidR="00D170E5" w:rsidRPr="002B55E9" w:rsidRDefault="00EF27AD">
            <w:pPr>
              <w:jc w:val="center"/>
              <w:rPr>
                <w:bCs/>
                <w:sz w:val="18"/>
                <w:szCs w:val="18"/>
              </w:rPr>
            </w:pPr>
            <w:r w:rsidRPr="002B55E9">
              <w:rPr>
                <w:bCs/>
                <w:sz w:val="18"/>
                <w:szCs w:val="18"/>
              </w:rPr>
              <w:t>66</w:t>
            </w:r>
          </w:p>
        </w:tc>
        <w:tc>
          <w:tcPr>
            <w:tcW w:w="1106" w:type="dxa"/>
            <w:vAlign w:val="center"/>
          </w:tcPr>
          <w:p w14:paraId="53F88F03" w14:textId="77777777" w:rsidR="00D170E5" w:rsidRPr="002B55E9" w:rsidRDefault="00EF27AD">
            <w:pPr>
              <w:jc w:val="center"/>
              <w:rPr>
                <w:bCs/>
                <w:sz w:val="18"/>
                <w:szCs w:val="18"/>
              </w:rPr>
            </w:pPr>
            <w:r w:rsidRPr="002B55E9">
              <w:rPr>
                <w:bCs/>
                <w:sz w:val="18"/>
                <w:szCs w:val="18"/>
              </w:rPr>
              <w:t>200</w:t>
            </w:r>
          </w:p>
        </w:tc>
        <w:tc>
          <w:tcPr>
            <w:tcW w:w="692" w:type="dxa"/>
            <w:vAlign w:val="center"/>
          </w:tcPr>
          <w:p w14:paraId="01935357" w14:textId="77777777" w:rsidR="00D170E5" w:rsidRPr="002B55E9" w:rsidRDefault="00EF27AD">
            <w:pPr>
              <w:jc w:val="center"/>
              <w:rPr>
                <w:bCs/>
                <w:sz w:val="18"/>
                <w:szCs w:val="18"/>
              </w:rPr>
            </w:pPr>
            <w:r w:rsidRPr="002B55E9">
              <w:rPr>
                <w:bCs/>
                <w:sz w:val="18"/>
                <w:szCs w:val="18"/>
              </w:rPr>
              <w:t>20</w:t>
            </w:r>
          </w:p>
        </w:tc>
        <w:tc>
          <w:tcPr>
            <w:tcW w:w="1798" w:type="dxa"/>
            <w:vAlign w:val="center"/>
          </w:tcPr>
          <w:p w14:paraId="0BF0E91B" w14:textId="77777777" w:rsidR="00D170E5" w:rsidRPr="002B55E9" w:rsidRDefault="00EF27AD">
            <w:pPr>
              <w:jc w:val="center"/>
              <w:rPr>
                <w:bCs/>
                <w:sz w:val="18"/>
                <w:szCs w:val="18"/>
              </w:rPr>
            </w:pPr>
            <w:r w:rsidRPr="002B55E9">
              <w:rPr>
                <w:bCs/>
                <w:sz w:val="18"/>
                <w:szCs w:val="18"/>
              </w:rPr>
              <w:t>氯苯</w:t>
            </w:r>
          </w:p>
        </w:tc>
        <w:tc>
          <w:tcPr>
            <w:tcW w:w="1099" w:type="dxa"/>
            <w:vAlign w:val="center"/>
          </w:tcPr>
          <w:p w14:paraId="342B62A3" w14:textId="77777777" w:rsidR="00D170E5" w:rsidRPr="002B55E9" w:rsidRDefault="00EF27AD">
            <w:pPr>
              <w:jc w:val="center"/>
              <w:rPr>
                <w:bCs/>
                <w:sz w:val="18"/>
                <w:szCs w:val="18"/>
              </w:rPr>
            </w:pPr>
            <w:r w:rsidRPr="002B55E9">
              <w:rPr>
                <w:bCs/>
                <w:sz w:val="18"/>
                <w:szCs w:val="18"/>
              </w:rPr>
              <w:t>270</w:t>
            </w:r>
          </w:p>
        </w:tc>
        <w:tc>
          <w:tcPr>
            <w:tcW w:w="1087" w:type="dxa"/>
            <w:vAlign w:val="center"/>
          </w:tcPr>
          <w:p w14:paraId="7F73E489" w14:textId="77777777" w:rsidR="00D170E5" w:rsidRPr="002B55E9" w:rsidRDefault="00EF27AD">
            <w:pPr>
              <w:jc w:val="center"/>
              <w:rPr>
                <w:bCs/>
                <w:sz w:val="18"/>
                <w:szCs w:val="18"/>
              </w:rPr>
            </w:pPr>
            <w:r w:rsidRPr="002B55E9">
              <w:rPr>
                <w:bCs/>
                <w:sz w:val="18"/>
                <w:szCs w:val="18"/>
              </w:rPr>
              <w:t>1000</w:t>
            </w:r>
          </w:p>
        </w:tc>
      </w:tr>
      <w:tr w:rsidR="002B55E9" w:rsidRPr="002B55E9" w14:paraId="0779E737" w14:textId="77777777">
        <w:trPr>
          <w:trHeight w:val="284"/>
          <w:jc w:val="center"/>
        </w:trPr>
        <w:tc>
          <w:tcPr>
            <w:tcW w:w="668" w:type="dxa"/>
            <w:vAlign w:val="center"/>
          </w:tcPr>
          <w:p w14:paraId="2C33D2E5" w14:textId="77777777" w:rsidR="00D170E5" w:rsidRPr="002B55E9" w:rsidRDefault="00EF27AD">
            <w:pPr>
              <w:jc w:val="center"/>
              <w:rPr>
                <w:bCs/>
                <w:sz w:val="18"/>
                <w:szCs w:val="18"/>
              </w:rPr>
            </w:pPr>
            <w:r w:rsidRPr="002B55E9">
              <w:rPr>
                <w:bCs/>
                <w:sz w:val="18"/>
                <w:szCs w:val="18"/>
              </w:rPr>
              <w:t>7</w:t>
            </w:r>
          </w:p>
        </w:tc>
        <w:tc>
          <w:tcPr>
            <w:tcW w:w="2080" w:type="dxa"/>
            <w:vAlign w:val="center"/>
          </w:tcPr>
          <w:p w14:paraId="5B2E721B" w14:textId="77777777" w:rsidR="00D170E5" w:rsidRPr="002B55E9" w:rsidRDefault="00EF27AD">
            <w:pPr>
              <w:ind w:rightChars="-45" w:right="-90"/>
              <w:jc w:val="center"/>
              <w:rPr>
                <w:bCs/>
                <w:sz w:val="18"/>
                <w:szCs w:val="18"/>
              </w:rPr>
            </w:pPr>
            <w:r w:rsidRPr="002B55E9">
              <w:rPr>
                <w:bCs/>
                <w:sz w:val="18"/>
                <w:szCs w:val="18"/>
              </w:rPr>
              <w:t>顺</w:t>
            </w:r>
            <w:r w:rsidRPr="002B55E9">
              <w:rPr>
                <w:bCs/>
                <w:sz w:val="18"/>
                <w:szCs w:val="18"/>
              </w:rPr>
              <w:t>-1,2-</w:t>
            </w:r>
            <w:r w:rsidRPr="002B55E9">
              <w:rPr>
                <w:bCs/>
                <w:sz w:val="18"/>
                <w:szCs w:val="18"/>
              </w:rPr>
              <w:t>二氯乙烯</w:t>
            </w:r>
          </w:p>
        </w:tc>
        <w:tc>
          <w:tcPr>
            <w:tcW w:w="1108" w:type="dxa"/>
            <w:vAlign w:val="center"/>
          </w:tcPr>
          <w:p w14:paraId="1FDC6AA0" w14:textId="77777777" w:rsidR="00D170E5" w:rsidRPr="002B55E9" w:rsidRDefault="00EF27AD">
            <w:pPr>
              <w:jc w:val="center"/>
              <w:rPr>
                <w:bCs/>
                <w:sz w:val="18"/>
                <w:szCs w:val="18"/>
              </w:rPr>
            </w:pPr>
            <w:r w:rsidRPr="002B55E9">
              <w:rPr>
                <w:bCs/>
                <w:sz w:val="18"/>
                <w:szCs w:val="18"/>
              </w:rPr>
              <w:t>596</w:t>
            </w:r>
          </w:p>
        </w:tc>
        <w:tc>
          <w:tcPr>
            <w:tcW w:w="1106" w:type="dxa"/>
            <w:vAlign w:val="center"/>
          </w:tcPr>
          <w:p w14:paraId="65F3366B" w14:textId="77777777" w:rsidR="00D170E5" w:rsidRPr="002B55E9" w:rsidRDefault="00EF27AD">
            <w:pPr>
              <w:jc w:val="center"/>
              <w:rPr>
                <w:bCs/>
                <w:sz w:val="18"/>
                <w:szCs w:val="18"/>
              </w:rPr>
            </w:pPr>
            <w:r w:rsidRPr="002B55E9">
              <w:rPr>
                <w:bCs/>
                <w:sz w:val="18"/>
                <w:szCs w:val="18"/>
              </w:rPr>
              <w:t>2000</w:t>
            </w:r>
          </w:p>
        </w:tc>
        <w:tc>
          <w:tcPr>
            <w:tcW w:w="692" w:type="dxa"/>
            <w:vAlign w:val="center"/>
          </w:tcPr>
          <w:p w14:paraId="3E7B8CD9" w14:textId="77777777" w:rsidR="00D170E5" w:rsidRPr="002B55E9" w:rsidRDefault="00EF27AD">
            <w:pPr>
              <w:jc w:val="center"/>
              <w:rPr>
                <w:bCs/>
                <w:sz w:val="18"/>
                <w:szCs w:val="18"/>
              </w:rPr>
            </w:pPr>
            <w:r w:rsidRPr="002B55E9">
              <w:rPr>
                <w:bCs/>
                <w:sz w:val="18"/>
                <w:szCs w:val="18"/>
              </w:rPr>
              <w:t>21</w:t>
            </w:r>
          </w:p>
        </w:tc>
        <w:tc>
          <w:tcPr>
            <w:tcW w:w="1798" w:type="dxa"/>
            <w:vAlign w:val="center"/>
          </w:tcPr>
          <w:p w14:paraId="24D742D7" w14:textId="77777777" w:rsidR="00D170E5" w:rsidRPr="002B55E9" w:rsidRDefault="00EF27AD">
            <w:pPr>
              <w:jc w:val="center"/>
              <w:rPr>
                <w:bCs/>
                <w:sz w:val="18"/>
                <w:szCs w:val="18"/>
              </w:rPr>
            </w:pPr>
            <w:r w:rsidRPr="002B55E9">
              <w:rPr>
                <w:bCs/>
                <w:sz w:val="18"/>
                <w:szCs w:val="18"/>
              </w:rPr>
              <w:t>1,2-</w:t>
            </w:r>
            <w:r w:rsidRPr="002B55E9">
              <w:rPr>
                <w:bCs/>
                <w:sz w:val="18"/>
                <w:szCs w:val="18"/>
              </w:rPr>
              <w:t>二氯苯</w:t>
            </w:r>
          </w:p>
        </w:tc>
        <w:tc>
          <w:tcPr>
            <w:tcW w:w="1099" w:type="dxa"/>
            <w:vAlign w:val="center"/>
          </w:tcPr>
          <w:p w14:paraId="712BFC0F" w14:textId="77777777" w:rsidR="00D170E5" w:rsidRPr="002B55E9" w:rsidRDefault="00EF27AD">
            <w:pPr>
              <w:jc w:val="center"/>
              <w:rPr>
                <w:bCs/>
                <w:sz w:val="18"/>
                <w:szCs w:val="18"/>
              </w:rPr>
            </w:pPr>
            <w:r w:rsidRPr="002B55E9">
              <w:rPr>
                <w:bCs/>
                <w:sz w:val="18"/>
                <w:szCs w:val="18"/>
              </w:rPr>
              <w:t>560</w:t>
            </w:r>
          </w:p>
        </w:tc>
        <w:tc>
          <w:tcPr>
            <w:tcW w:w="1087" w:type="dxa"/>
            <w:vAlign w:val="center"/>
          </w:tcPr>
          <w:p w14:paraId="3F71B001" w14:textId="77777777" w:rsidR="00D170E5" w:rsidRPr="002B55E9" w:rsidRDefault="00EF27AD">
            <w:pPr>
              <w:jc w:val="center"/>
              <w:rPr>
                <w:bCs/>
                <w:sz w:val="18"/>
                <w:szCs w:val="18"/>
              </w:rPr>
            </w:pPr>
            <w:r w:rsidRPr="002B55E9">
              <w:rPr>
                <w:bCs/>
                <w:sz w:val="18"/>
                <w:szCs w:val="18"/>
              </w:rPr>
              <w:t>560</w:t>
            </w:r>
          </w:p>
        </w:tc>
      </w:tr>
      <w:tr w:rsidR="002B55E9" w:rsidRPr="002B55E9" w14:paraId="797BBC04" w14:textId="77777777">
        <w:trPr>
          <w:trHeight w:val="284"/>
          <w:jc w:val="center"/>
        </w:trPr>
        <w:tc>
          <w:tcPr>
            <w:tcW w:w="668" w:type="dxa"/>
            <w:vAlign w:val="center"/>
          </w:tcPr>
          <w:p w14:paraId="6AA7DC14" w14:textId="77777777" w:rsidR="00D170E5" w:rsidRPr="002B55E9" w:rsidRDefault="00EF27AD">
            <w:pPr>
              <w:jc w:val="center"/>
              <w:rPr>
                <w:bCs/>
                <w:sz w:val="18"/>
                <w:szCs w:val="18"/>
              </w:rPr>
            </w:pPr>
            <w:r w:rsidRPr="002B55E9">
              <w:rPr>
                <w:bCs/>
                <w:sz w:val="18"/>
                <w:szCs w:val="18"/>
              </w:rPr>
              <w:t>8</w:t>
            </w:r>
          </w:p>
        </w:tc>
        <w:tc>
          <w:tcPr>
            <w:tcW w:w="2080" w:type="dxa"/>
            <w:vAlign w:val="center"/>
          </w:tcPr>
          <w:p w14:paraId="44B2E6D3" w14:textId="77777777" w:rsidR="00D170E5" w:rsidRPr="002B55E9" w:rsidRDefault="00EF27AD">
            <w:pPr>
              <w:ind w:rightChars="-45" w:right="-90"/>
              <w:jc w:val="center"/>
              <w:rPr>
                <w:bCs/>
                <w:sz w:val="18"/>
                <w:szCs w:val="18"/>
              </w:rPr>
            </w:pPr>
            <w:r w:rsidRPr="002B55E9">
              <w:rPr>
                <w:bCs/>
                <w:sz w:val="18"/>
                <w:szCs w:val="18"/>
              </w:rPr>
              <w:t>反</w:t>
            </w:r>
            <w:r w:rsidRPr="002B55E9">
              <w:rPr>
                <w:bCs/>
                <w:sz w:val="18"/>
                <w:szCs w:val="18"/>
              </w:rPr>
              <w:t>-1,2-</w:t>
            </w:r>
            <w:r w:rsidRPr="002B55E9">
              <w:rPr>
                <w:bCs/>
                <w:sz w:val="18"/>
                <w:szCs w:val="18"/>
              </w:rPr>
              <w:t>二氯乙烯</w:t>
            </w:r>
          </w:p>
        </w:tc>
        <w:tc>
          <w:tcPr>
            <w:tcW w:w="1108" w:type="dxa"/>
            <w:vAlign w:val="center"/>
          </w:tcPr>
          <w:p w14:paraId="1E4DF449" w14:textId="77777777" w:rsidR="00D170E5" w:rsidRPr="002B55E9" w:rsidRDefault="00EF27AD">
            <w:pPr>
              <w:jc w:val="center"/>
              <w:rPr>
                <w:bCs/>
                <w:sz w:val="18"/>
                <w:szCs w:val="18"/>
              </w:rPr>
            </w:pPr>
            <w:r w:rsidRPr="002B55E9">
              <w:rPr>
                <w:bCs/>
                <w:sz w:val="18"/>
                <w:szCs w:val="18"/>
              </w:rPr>
              <w:t>54</w:t>
            </w:r>
          </w:p>
        </w:tc>
        <w:tc>
          <w:tcPr>
            <w:tcW w:w="1106" w:type="dxa"/>
            <w:vAlign w:val="center"/>
          </w:tcPr>
          <w:p w14:paraId="2FA160DF" w14:textId="77777777" w:rsidR="00D170E5" w:rsidRPr="002B55E9" w:rsidRDefault="00EF27AD">
            <w:pPr>
              <w:jc w:val="center"/>
              <w:rPr>
                <w:bCs/>
                <w:sz w:val="18"/>
                <w:szCs w:val="18"/>
              </w:rPr>
            </w:pPr>
            <w:r w:rsidRPr="002B55E9">
              <w:rPr>
                <w:bCs/>
                <w:sz w:val="18"/>
                <w:szCs w:val="18"/>
              </w:rPr>
              <w:t>163</w:t>
            </w:r>
          </w:p>
        </w:tc>
        <w:tc>
          <w:tcPr>
            <w:tcW w:w="692" w:type="dxa"/>
            <w:vAlign w:val="center"/>
          </w:tcPr>
          <w:p w14:paraId="5D0E285F" w14:textId="77777777" w:rsidR="00D170E5" w:rsidRPr="002B55E9" w:rsidRDefault="00EF27AD">
            <w:pPr>
              <w:jc w:val="center"/>
              <w:rPr>
                <w:bCs/>
                <w:sz w:val="18"/>
                <w:szCs w:val="18"/>
              </w:rPr>
            </w:pPr>
            <w:r w:rsidRPr="002B55E9">
              <w:rPr>
                <w:bCs/>
                <w:sz w:val="18"/>
                <w:szCs w:val="18"/>
              </w:rPr>
              <w:t>22</w:t>
            </w:r>
          </w:p>
        </w:tc>
        <w:tc>
          <w:tcPr>
            <w:tcW w:w="1798" w:type="dxa"/>
            <w:vAlign w:val="center"/>
          </w:tcPr>
          <w:p w14:paraId="032FAACB" w14:textId="77777777" w:rsidR="00D170E5" w:rsidRPr="002B55E9" w:rsidRDefault="00EF27AD">
            <w:pPr>
              <w:jc w:val="center"/>
              <w:rPr>
                <w:bCs/>
                <w:sz w:val="18"/>
                <w:szCs w:val="18"/>
              </w:rPr>
            </w:pPr>
            <w:r w:rsidRPr="002B55E9">
              <w:rPr>
                <w:bCs/>
                <w:sz w:val="18"/>
                <w:szCs w:val="18"/>
              </w:rPr>
              <w:t>1,4-</w:t>
            </w:r>
            <w:r w:rsidRPr="002B55E9">
              <w:rPr>
                <w:bCs/>
                <w:sz w:val="18"/>
                <w:szCs w:val="18"/>
              </w:rPr>
              <w:t>二氯苯</w:t>
            </w:r>
          </w:p>
        </w:tc>
        <w:tc>
          <w:tcPr>
            <w:tcW w:w="1099" w:type="dxa"/>
            <w:vAlign w:val="center"/>
          </w:tcPr>
          <w:p w14:paraId="56B7DEE6" w14:textId="77777777" w:rsidR="00D170E5" w:rsidRPr="002B55E9" w:rsidRDefault="00EF27AD">
            <w:pPr>
              <w:jc w:val="center"/>
              <w:rPr>
                <w:bCs/>
                <w:sz w:val="18"/>
                <w:szCs w:val="18"/>
              </w:rPr>
            </w:pPr>
            <w:r w:rsidRPr="002B55E9">
              <w:rPr>
                <w:bCs/>
                <w:sz w:val="18"/>
                <w:szCs w:val="18"/>
              </w:rPr>
              <w:t>20</w:t>
            </w:r>
          </w:p>
        </w:tc>
        <w:tc>
          <w:tcPr>
            <w:tcW w:w="1087" w:type="dxa"/>
            <w:vAlign w:val="center"/>
          </w:tcPr>
          <w:p w14:paraId="66EEFD63" w14:textId="77777777" w:rsidR="00D170E5" w:rsidRPr="002B55E9" w:rsidRDefault="00EF27AD">
            <w:pPr>
              <w:jc w:val="center"/>
              <w:rPr>
                <w:bCs/>
                <w:sz w:val="18"/>
                <w:szCs w:val="18"/>
              </w:rPr>
            </w:pPr>
            <w:r w:rsidRPr="002B55E9">
              <w:rPr>
                <w:bCs/>
                <w:sz w:val="18"/>
                <w:szCs w:val="18"/>
              </w:rPr>
              <w:t>200</w:t>
            </w:r>
          </w:p>
        </w:tc>
      </w:tr>
      <w:tr w:rsidR="002B55E9" w:rsidRPr="002B55E9" w14:paraId="588305E3" w14:textId="77777777">
        <w:trPr>
          <w:trHeight w:val="284"/>
          <w:jc w:val="center"/>
        </w:trPr>
        <w:tc>
          <w:tcPr>
            <w:tcW w:w="668" w:type="dxa"/>
            <w:vAlign w:val="center"/>
          </w:tcPr>
          <w:p w14:paraId="1AE8EBBA" w14:textId="77777777" w:rsidR="00D170E5" w:rsidRPr="002B55E9" w:rsidRDefault="00EF27AD">
            <w:pPr>
              <w:jc w:val="center"/>
              <w:rPr>
                <w:bCs/>
                <w:sz w:val="18"/>
                <w:szCs w:val="18"/>
              </w:rPr>
            </w:pPr>
            <w:r w:rsidRPr="002B55E9">
              <w:rPr>
                <w:bCs/>
                <w:sz w:val="18"/>
                <w:szCs w:val="18"/>
              </w:rPr>
              <w:t>9</w:t>
            </w:r>
          </w:p>
        </w:tc>
        <w:tc>
          <w:tcPr>
            <w:tcW w:w="2080" w:type="dxa"/>
            <w:vAlign w:val="center"/>
          </w:tcPr>
          <w:p w14:paraId="74A8053A" w14:textId="77777777" w:rsidR="00D170E5" w:rsidRPr="002B55E9" w:rsidRDefault="00EF27AD">
            <w:pPr>
              <w:jc w:val="center"/>
              <w:rPr>
                <w:bCs/>
                <w:sz w:val="18"/>
                <w:szCs w:val="18"/>
              </w:rPr>
            </w:pPr>
            <w:r w:rsidRPr="002B55E9">
              <w:rPr>
                <w:bCs/>
                <w:sz w:val="18"/>
                <w:szCs w:val="18"/>
              </w:rPr>
              <w:t>二氯甲烷</w:t>
            </w:r>
          </w:p>
        </w:tc>
        <w:tc>
          <w:tcPr>
            <w:tcW w:w="1108" w:type="dxa"/>
            <w:vAlign w:val="center"/>
          </w:tcPr>
          <w:p w14:paraId="6CDD66EC" w14:textId="77777777" w:rsidR="00D170E5" w:rsidRPr="002B55E9" w:rsidRDefault="00EF27AD">
            <w:pPr>
              <w:jc w:val="center"/>
              <w:rPr>
                <w:bCs/>
                <w:sz w:val="18"/>
                <w:szCs w:val="18"/>
              </w:rPr>
            </w:pPr>
            <w:r w:rsidRPr="002B55E9">
              <w:rPr>
                <w:bCs/>
                <w:sz w:val="18"/>
                <w:szCs w:val="18"/>
              </w:rPr>
              <w:t>616</w:t>
            </w:r>
          </w:p>
        </w:tc>
        <w:tc>
          <w:tcPr>
            <w:tcW w:w="1106" w:type="dxa"/>
            <w:vAlign w:val="center"/>
          </w:tcPr>
          <w:p w14:paraId="04C25876" w14:textId="77777777" w:rsidR="00D170E5" w:rsidRPr="002B55E9" w:rsidRDefault="00EF27AD">
            <w:pPr>
              <w:jc w:val="center"/>
              <w:rPr>
                <w:bCs/>
                <w:sz w:val="18"/>
                <w:szCs w:val="18"/>
              </w:rPr>
            </w:pPr>
            <w:r w:rsidRPr="002B55E9">
              <w:rPr>
                <w:bCs/>
                <w:sz w:val="18"/>
                <w:szCs w:val="18"/>
              </w:rPr>
              <w:t>2000</w:t>
            </w:r>
          </w:p>
        </w:tc>
        <w:tc>
          <w:tcPr>
            <w:tcW w:w="692" w:type="dxa"/>
            <w:vAlign w:val="center"/>
          </w:tcPr>
          <w:p w14:paraId="2EC8498F" w14:textId="77777777" w:rsidR="00D170E5" w:rsidRPr="002B55E9" w:rsidRDefault="00EF27AD">
            <w:pPr>
              <w:jc w:val="center"/>
              <w:rPr>
                <w:bCs/>
                <w:sz w:val="18"/>
                <w:szCs w:val="18"/>
              </w:rPr>
            </w:pPr>
            <w:r w:rsidRPr="002B55E9">
              <w:rPr>
                <w:bCs/>
                <w:sz w:val="18"/>
                <w:szCs w:val="18"/>
              </w:rPr>
              <w:t>23</w:t>
            </w:r>
          </w:p>
        </w:tc>
        <w:tc>
          <w:tcPr>
            <w:tcW w:w="1798" w:type="dxa"/>
            <w:vAlign w:val="center"/>
          </w:tcPr>
          <w:p w14:paraId="54BAD09C" w14:textId="77777777" w:rsidR="00D170E5" w:rsidRPr="002B55E9" w:rsidRDefault="00EF27AD">
            <w:pPr>
              <w:jc w:val="center"/>
              <w:rPr>
                <w:bCs/>
                <w:sz w:val="18"/>
                <w:szCs w:val="18"/>
              </w:rPr>
            </w:pPr>
            <w:r w:rsidRPr="002B55E9">
              <w:rPr>
                <w:bCs/>
                <w:sz w:val="18"/>
                <w:szCs w:val="18"/>
              </w:rPr>
              <w:t>乙苯</w:t>
            </w:r>
          </w:p>
        </w:tc>
        <w:tc>
          <w:tcPr>
            <w:tcW w:w="1099" w:type="dxa"/>
            <w:vAlign w:val="center"/>
          </w:tcPr>
          <w:p w14:paraId="1DE1CC76" w14:textId="77777777" w:rsidR="00D170E5" w:rsidRPr="002B55E9" w:rsidRDefault="00EF27AD">
            <w:pPr>
              <w:jc w:val="center"/>
              <w:rPr>
                <w:bCs/>
                <w:sz w:val="18"/>
                <w:szCs w:val="18"/>
              </w:rPr>
            </w:pPr>
            <w:r w:rsidRPr="002B55E9">
              <w:rPr>
                <w:bCs/>
                <w:sz w:val="18"/>
                <w:szCs w:val="18"/>
              </w:rPr>
              <w:t>28</w:t>
            </w:r>
          </w:p>
        </w:tc>
        <w:tc>
          <w:tcPr>
            <w:tcW w:w="1087" w:type="dxa"/>
            <w:vAlign w:val="center"/>
          </w:tcPr>
          <w:p w14:paraId="7A6D91E5" w14:textId="77777777" w:rsidR="00D170E5" w:rsidRPr="002B55E9" w:rsidRDefault="00EF27AD">
            <w:pPr>
              <w:jc w:val="center"/>
              <w:rPr>
                <w:bCs/>
                <w:sz w:val="18"/>
                <w:szCs w:val="18"/>
              </w:rPr>
            </w:pPr>
            <w:r w:rsidRPr="002B55E9">
              <w:rPr>
                <w:bCs/>
                <w:sz w:val="18"/>
                <w:szCs w:val="18"/>
              </w:rPr>
              <w:t>280</w:t>
            </w:r>
          </w:p>
        </w:tc>
      </w:tr>
      <w:tr w:rsidR="002B55E9" w:rsidRPr="002B55E9" w14:paraId="7E704954" w14:textId="77777777">
        <w:trPr>
          <w:trHeight w:val="284"/>
          <w:jc w:val="center"/>
        </w:trPr>
        <w:tc>
          <w:tcPr>
            <w:tcW w:w="668" w:type="dxa"/>
            <w:vAlign w:val="center"/>
          </w:tcPr>
          <w:p w14:paraId="3585AD82" w14:textId="77777777" w:rsidR="00D170E5" w:rsidRPr="002B55E9" w:rsidRDefault="00EF27AD">
            <w:pPr>
              <w:jc w:val="center"/>
              <w:rPr>
                <w:bCs/>
                <w:sz w:val="18"/>
                <w:szCs w:val="18"/>
              </w:rPr>
            </w:pPr>
            <w:r w:rsidRPr="002B55E9">
              <w:rPr>
                <w:bCs/>
                <w:sz w:val="18"/>
                <w:szCs w:val="18"/>
              </w:rPr>
              <w:t>10</w:t>
            </w:r>
          </w:p>
        </w:tc>
        <w:tc>
          <w:tcPr>
            <w:tcW w:w="2080" w:type="dxa"/>
            <w:vAlign w:val="center"/>
          </w:tcPr>
          <w:p w14:paraId="645E181C" w14:textId="77777777" w:rsidR="00D170E5" w:rsidRPr="002B55E9" w:rsidRDefault="00EF27AD">
            <w:pPr>
              <w:jc w:val="center"/>
              <w:rPr>
                <w:bCs/>
                <w:sz w:val="18"/>
                <w:szCs w:val="18"/>
              </w:rPr>
            </w:pPr>
            <w:r w:rsidRPr="002B55E9">
              <w:rPr>
                <w:bCs/>
                <w:sz w:val="18"/>
                <w:szCs w:val="18"/>
              </w:rPr>
              <w:t>1,2-</w:t>
            </w:r>
            <w:r w:rsidRPr="002B55E9">
              <w:rPr>
                <w:bCs/>
                <w:sz w:val="18"/>
                <w:szCs w:val="18"/>
              </w:rPr>
              <w:t>二氯丙烷</w:t>
            </w:r>
          </w:p>
        </w:tc>
        <w:tc>
          <w:tcPr>
            <w:tcW w:w="1108" w:type="dxa"/>
            <w:vAlign w:val="center"/>
          </w:tcPr>
          <w:p w14:paraId="08CFD9BE" w14:textId="77777777" w:rsidR="00D170E5" w:rsidRPr="002B55E9" w:rsidRDefault="00EF27AD">
            <w:pPr>
              <w:jc w:val="center"/>
              <w:rPr>
                <w:bCs/>
                <w:sz w:val="18"/>
                <w:szCs w:val="18"/>
              </w:rPr>
            </w:pPr>
            <w:r w:rsidRPr="002B55E9">
              <w:rPr>
                <w:bCs/>
                <w:sz w:val="18"/>
                <w:szCs w:val="18"/>
              </w:rPr>
              <w:t>5</w:t>
            </w:r>
          </w:p>
        </w:tc>
        <w:tc>
          <w:tcPr>
            <w:tcW w:w="1106" w:type="dxa"/>
            <w:vAlign w:val="center"/>
          </w:tcPr>
          <w:p w14:paraId="28E11342" w14:textId="77777777" w:rsidR="00D170E5" w:rsidRPr="002B55E9" w:rsidRDefault="00EF27AD">
            <w:pPr>
              <w:jc w:val="center"/>
              <w:rPr>
                <w:bCs/>
                <w:sz w:val="18"/>
                <w:szCs w:val="18"/>
              </w:rPr>
            </w:pPr>
            <w:r w:rsidRPr="002B55E9">
              <w:rPr>
                <w:bCs/>
                <w:sz w:val="18"/>
                <w:szCs w:val="18"/>
              </w:rPr>
              <w:t>47</w:t>
            </w:r>
          </w:p>
        </w:tc>
        <w:tc>
          <w:tcPr>
            <w:tcW w:w="692" w:type="dxa"/>
            <w:vAlign w:val="center"/>
          </w:tcPr>
          <w:p w14:paraId="5DAC9E85" w14:textId="77777777" w:rsidR="00D170E5" w:rsidRPr="002B55E9" w:rsidRDefault="00EF27AD">
            <w:pPr>
              <w:jc w:val="center"/>
              <w:rPr>
                <w:bCs/>
                <w:sz w:val="18"/>
                <w:szCs w:val="18"/>
              </w:rPr>
            </w:pPr>
            <w:r w:rsidRPr="002B55E9">
              <w:rPr>
                <w:bCs/>
                <w:sz w:val="18"/>
                <w:szCs w:val="18"/>
              </w:rPr>
              <w:t>24</w:t>
            </w:r>
          </w:p>
        </w:tc>
        <w:tc>
          <w:tcPr>
            <w:tcW w:w="1798" w:type="dxa"/>
            <w:vAlign w:val="center"/>
          </w:tcPr>
          <w:p w14:paraId="424A4276" w14:textId="77777777" w:rsidR="00D170E5" w:rsidRPr="002B55E9" w:rsidRDefault="00EF27AD">
            <w:pPr>
              <w:jc w:val="center"/>
              <w:rPr>
                <w:bCs/>
                <w:sz w:val="18"/>
                <w:szCs w:val="18"/>
              </w:rPr>
            </w:pPr>
            <w:r w:rsidRPr="002B55E9">
              <w:rPr>
                <w:bCs/>
                <w:sz w:val="18"/>
                <w:szCs w:val="18"/>
              </w:rPr>
              <w:t>苯乙烯</w:t>
            </w:r>
          </w:p>
        </w:tc>
        <w:tc>
          <w:tcPr>
            <w:tcW w:w="1099" w:type="dxa"/>
            <w:vAlign w:val="center"/>
          </w:tcPr>
          <w:p w14:paraId="35E48328" w14:textId="77777777" w:rsidR="00D170E5" w:rsidRPr="002B55E9" w:rsidRDefault="00EF27AD">
            <w:pPr>
              <w:jc w:val="center"/>
              <w:rPr>
                <w:bCs/>
                <w:sz w:val="18"/>
                <w:szCs w:val="18"/>
              </w:rPr>
            </w:pPr>
            <w:r w:rsidRPr="002B55E9">
              <w:rPr>
                <w:bCs/>
                <w:sz w:val="18"/>
                <w:szCs w:val="18"/>
              </w:rPr>
              <w:t>1290</w:t>
            </w:r>
          </w:p>
        </w:tc>
        <w:tc>
          <w:tcPr>
            <w:tcW w:w="1087" w:type="dxa"/>
            <w:vAlign w:val="center"/>
          </w:tcPr>
          <w:p w14:paraId="1A886AA7" w14:textId="77777777" w:rsidR="00D170E5" w:rsidRPr="002B55E9" w:rsidRDefault="00EF27AD">
            <w:pPr>
              <w:jc w:val="center"/>
              <w:rPr>
                <w:bCs/>
                <w:sz w:val="18"/>
                <w:szCs w:val="18"/>
              </w:rPr>
            </w:pPr>
            <w:r w:rsidRPr="002B55E9">
              <w:rPr>
                <w:bCs/>
                <w:sz w:val="18"/>
                <w:szCs w:val="18"/>
              </w:rPr>
              <w:t>1290</w:t>
            </w:r>
          </w:p>
        </w:tc>
      </w:tr>
      <w:tr w:rsidR="002B55E9" w:rsidRPr="002B55E9" w14:paraId="3A349843" w14:textId="77777777">
        <w:trPr>
          <w:trHeight w:val="284"/>
          <w:jc w:val="center"/>
        </w:trPr>
        <w:tc>
          <w:tcPr>
            <w:tcW w:w="668" w:type="dxa"/>
            <w:vAlign w:val="center"/>
          </w:tcPr>
          <w:p w14:paraId="34BA125A" w14:textId="77777777" w:rsidR="00D170E5" w:rsidRPr="002B55E9" w:rsidRDefault="00EF27AD">
            <w:pPr>
              <w:jc w:val="center"/>
              <w:rPr>
                <w:bCs/>
                <w:sz w:val="18"/>
                <w:szCs w:val="18"/>
              </w:rPr>
            </w:pPr>
            <w:r w:rsidRPr="002B55E9">
              <w:rPr>
                <w:bCs/>
                <w:sz w:val="18"/>
                <w:szCs w:val="18"/>
              </w:rPr>
              <w:t>11</w:t>
            </w:r>
          </w:p>
        </w:tc>
        <w:tc>
          <w:tcPr>
            <w:tcW w:w="2080" w:type="dxa"/>
            <w:vAlign w:val="center"/>
          </w:tcPr>
          <w:p w14:paraId="615EE3D4" w14:textId="77777777" w:rsidR="00D170E5" w:rsidRPr="002B55E9" w:rsidRDefault="00EF27AD">
            <w:pPr>
              <w:jc w:val="center"/>
              <w:rPr>
                <w:bCs/>
                <w:sz w:val="18"/>
                <w:szCs w:val="18"/>
              </w:rPr>
            </w:pPr>
            <w:r w:rsidRPr="002B55E9">
              <w:rPr>
                <w:bCs/>
                <w:sz w:val="18"/>
                <w:szCs w:val="18"/>
              </w:rPr>
              <w:t>1,1,1,2-</w:t>
            </w:r>
            <w:r w:rsidRPr="002B55E9">
              <w:rPr>
                <w:bCs/>
                <w:sz w:val="18"/>
                <w:szCs w:val="18"/>
              </w:rPr>
              <w:t>四氯乙烷</w:t>
            </w:r>
          </w:p>
        </w:tc>
        <w:tc>
          <w:tcPr>
            <w:tcW w:w="1108" w:type="dxa"/>
            <w:vAlign w:val="center"/>
          </w:tcPr>
          <w:p w14:paraId="105733C1" w14:textId="77777777" w:rsidR="00D170E5" w:rsidRPr="002B55E9" w:rsidRDefault="00EF27AD">
            <w:pPr>
              <w:jc w:val="center"/>
              <w:rPr>
                <w:bCs/>
                <w:sz w:val="18"/>
                <w:szCs w:val="18"/>
              </w:rPr>
            </w:pPr>
            <w:r w:rsidRPr="002B55E9">
              <w:rPr>
                <w:bCs/>
                <w:sz w:val="18"/>
                <w:szCs w:val="18"/>
              </w:rPr>
              <w:t>10</w:t>
            </w:r>
          </w:p>
        </w:tc>
        <w:tc>
          <w:tcPr>
            <w:tcW w:w="1106" w:type="dxa"/>
            <w:vAlign w:val="center"/>
          </w:tcPr>
          <w:p w14:paraId="7C6930A0" w14:textId="77777777" w:rsidR="00D170E5" w:rsidRPr="002B55E9" w:rsidRDefault="00EF27AD">
            <w:pPr>
              <w:jc w:val="center"/>
              <w:rPr>
                <w:bCs/>
                <w:sz w:val="18"/>
                <w:szCs w:val="18"/>
              </w:rPr>
            </w:pPr>
            <w:r w:rsidRPr="002B55E9">
              <w:rPr>
                <w:bCs/>
                <w:sz w:val="18"/>
                <w:szCs w:val="18"/>
              </w:rPr>
              <w:t>100</w:t>
            </w:r>
          </w:p>
        </w:tc>
        <w:tc>
          <w:tcPr>
            <w:tcW w:w="692" w:type="dxa"/>
            <w:vAlign w:val="center"/>
          </w:tcPr>
          <w:p w14:paraId="6A7B6F32" w14:textId="77777777" w:rsidR="00D170E5" w:rsidRPr="002B55E9" w:rsidRDefault="00EF27AD">
            <w:pPr>
              <w:jc w:val="center"/>
              <w:rPr>
                <w:bCs/>
                <w:sz w:val="18"/>
                <w:szCs w:val="18"/>
              </w:rPr>
            </w:pPr>
            <w:r w:rsidRPr="002B55E9">
              <w:rPr>
                <w:bCs/>
                <w:sz w:val="18"/>
                <w:szCs w:val="18"/>
              </w:rPr>
              <w:t>25</w:t>
            </w:r>
          </w:p>
        </w:tc>
        <w:tc>
          <w:tcPr>
            <w:tcW w:w="1798" w:type="dxa"/>
            <w:vAlign w:val="center"/>
          </w:tcPr>
          <w:p w14:paraId="1C65C1C9" w14:textId="77777777" w:rsidR="00D170E5" w:rsidRPr="002B55E9" w:rsidRDefault="00EF27AD">
            <w:pPr>
              <w:jc w:val="center"/>
              <w:rPr>
                <w:bCs/>
                <w:sz w:val="18"/>
                <w:szCs w:val="18"/>
              </w:rPr>
            </w:pPr>
            <w:r w:rsidRPr="002B55E9">
              <w:rPr>
                <w:bCs/>
                <w:sz w:val="18"/>
                <w:szCs w:val="18"/>
              </w:rPr>
              <w:t>甲苯</w:t>
            </w:r>
          </w:p>
        </w:tc>
        <w:tc>
          <w:tcPr>
            <w:tcW w:w="1099" w:type="dxa"/>
            <w:vAlign w:val="center"/>
          </w:tcPr>
          <w:p w14:paraId="06C7EFB9" w14:textId="77777777" w:rsidR="00D170E5" w:rsidRPr="002B55E9" w:rsidRDefault="00EF27AD">
            <w:pPr>
              <w:jc w:val="center"/>
              <w:rPr>
                <w:bCs/>
                <w:sz w:val="18"/>
                <w:szCs w:val="18"/>
              </w:rPr>
            </w:pPr>
            <w:r w:rsidRPr="002B55E9">
              <w:rPr>
                <w:bCs/>
                <w:sz w:val="18"/>
                <w:szCs w:val="18"/>
              </w:rPr>
              <w:t>1200</w:t>
            </w:r>
          </w:p>
        </w:tc>
        <w:tc>
          <w:tcPr>
            <w:tcW w:w="1087" w:type="dxa"/>
            <w:vAlign w:val="center"/>
          </w:tcPr>
          <w:p w14:paraId="3F444C6C" w14:textId="77777777" w:rsidR="00D170E5" w:rsidRPr="002B55E9" w:rsidRDefault="00EF27AD">
            <w:pPr>
              <w:jc w:val="center"/>
              <w:rPr>
                <w:bCs/>
                <w:sz w:val="18"/>
                <w:szCs w:val="18"/>
              </w:rPr>
            </w:pPr>
            <w:r w:rsidRPr="002B55E9">
              <w:rPr>
                <w:bCs/>
                <w:sz w:val="18"/>
                <w:szCs w:val="18"/>
              </w:rPr>
              <w:t>1200</w:t>
            </w:r>
          </w:p>
        </w:tc>
      </w:tr>
      <w:tr w:rsidR="002B55E9" w:rsidRPr="002B55E9" w14:paraId="0915A1A9" w14:textId="77777777">
        <w:trPr>
          <w:trHeight w:val="284"/>
          <w:jc w:val="center"/>
        </w:trPr>
        <w:tc>
          <w:tcPr>
            <w:tcW w:w="668" w:type="dxa"/>
            <w:vAlign w:val="center"/>
          </w:tcPr>
          <w:p w14:paraId="0EC211B1" w14:textId="77777777" w:rsidR="00D170E5" w:rsidRPr="002B55E9" w:rsidRDefault="00EF27AD">
            <w:pPr>
              <w:jc w:val="center"/>
              <w:rPr>
                <w:bCs/>
                <w:sz w:val="18"/>
                <w:szCs w:val="18"/>
              </w:rPr>
            </w:pPr>
            <w:r w:rsidRPr="002B55E9">
              <w:rPr>
                <w:bCs/>
                <w:sz w:val="18"/>
                <w:szCs w:val="18"/>
              </w:rPr>
              <w:t>12</w:t>
            </w:r>
          </w:p>
        </w:tc>
        <w:tc>
          <w:tcPr>
            <w:tcW w:w="2080" w:type="dxa"/>
            <w:vAlign w:val="center"/>
          </w:tcPr>
          <w:p w14:paraId="462D747D" w14:textId="77777777" w:rsidR="00D170E5" w:rsidRPr="002B55E9" w:rsidRDefault="00EF27AD">
            <w:pPr>
              <w:jc w:val="center"/>
              <w:rPr>
                <w:bCs/>
                <w:sz w:val="18"/>
                <w:szCs w:val="18"/>
              </w:rPr>
            </w:pPr>
            <w:r w:rsidRPr="002B55E9">
              <w:rPr>
                <w:bCs/>
                <w:sz w:val="18"/>
                <w:szCs w:val="18"/>
              </w:rPr>
              <w:t>1,1,2,2-</w:t>
            </w:r>
            <w:r w:rsidRPr="002B55E9">
              <w:rPr>
                <w:bCs/>
                <w:sz w:val="18"/>
                <w:szCs w:val="18"/>
              </w:rPr>
              <w:t>四氯乙烷</w:t>
            </w:r>
          </w:p>
        </w:tc>
        <w:tc>
          <w:tcPr>
            <w:tcW w:w="1108" w:type="dxa"/>
            <w:vAlign w:val="center"/>
          </w:tcPr>
          <w:p w14:paraId="58DABA4C" w14:textId="77777777" w:rsidR="00D170E5" w:rsidRPr="002B55E9" w:rsidRDefault="00EF27AD">
            <w:pPr>
              <w:jc w:val="center"/>
              <w:rPr>
                <w:bCs/>
                <w:sz w:val="18"/>
                <w:szCs w:val="18"/>
              </w:rPr>
            </w:pPr>
            <w:r w:rsidRPr="002B55E9">
              <w:rPr>
                <w:bCs/>
                <w:sz w:val="18"/>
                <w:szCs w:val="18"/>
              </w:rPr>
              <w:t>6.8</w:t>
            </w:r>
          </w:p>
        </w:tc>
        <w:tc>
          <w:tcPr>
            <w:tcW w:w="1106" w:type="dxa"/>
            <w:vAlign w:val="center"/>
          </w:tcPr>
          <w:p w14:paraId="5A29DC1C" w14:textId="77777777" w:rsidR="00D170E5" w:rsidRPr="002B55E9" w:rsidRDefault="00EF27AD">
            <w:pPr>
              <w:jc w:val="center"/>
              <w:rPr>
                <w:bCs/>
                <w:sz w:val="18"/>
                <w:szCs w:val="18"/>
              </w:rPr>
            </w:pPr>
            <w:r w:rsidRPr="002B55E9">
              <w:rPr>
                <w:bCs/>
                <w:sz w:val="18"/>
                <w:szCs w:val="18"/>
              </w:rPr>
              <w:t>50</w:t>
            </w:r>
          </w:p>
        </w:tc>
        <w:tc>
          <w:tcPr>
            <w:tcW w:w="692" w:type="dxa"/>
            <w:vAlign w:val="center"/>
          </w:tcPr>
          <w:p w14:paraId="12EE0A99" w14:textId="77777777" w:rsidR="00D170E5" w:rsidRPr="002B55E9" w:rsidRDefault="00EF27AD">
            <w:pPr>
              <w:jc w:val="center"/>
              <w:rPr>
                <w:bCs/>
                <w:sz w:val="18"/>
                <w:szCs w:val="18"/>
              </w:rPr>
            </w:pPr>
            <w:r w:rsidRPr="002B55E9">
              <w:rPr>
                <w:bCs/>
                <w:sz w:val="18"/>
                <w:szCs w:val="18"/>
              </w:rPr>
              <w:t>26</w:t>
            </w:r>
          </w:p>
        </w:tc>
        <w:tc>
          <w:tcPr>
            <w:tcW w:w="1798" w:type="dxa"/>
            <w:vAlign w:val="center"/>
          </w:tcPr>
          <w:p w14:paraId="51193CB0" w14:textId="77777777" w:rsidR="00D170E5" w:rsidRPr="002B55E9" w:rsidRDefault="00EF27AD">
            <w:pPr>
              <w:jc w:val="center"/>
              <w:rPr>
                <w:bCs/>
                <w:sz w:val="18"/>
                <w:szCs w:val="18"/>
              </w:rPr>
            </w:pPr>
            <w:r w:rsidRPr="002B55E9">
              <w:rPr>
                <w:bCs/>
                <w:sz w:val="18"/>
                <w:szCs w:val="18"/>
              </w:rPr>
              <w:t>间二甲苯</w:t>
            </w:r>
            <w:r w:rsidRPr="002B55E9">
              <w:rPr>
                <w:bCs/>
                <w:sz w:val="18"/>
                <w:szCs w:val="18"/>
              </w:rPr>
              <w:t>+</w:t>
            </w:r>
            <w:r w:rsidRPr="002B55E9">
              <w:rPr>
                <w:bCs/>
                <w:sz w:val="18"/>
                <w:szCs w:val="18"/>
              </w:rPr>
              <w:t>对二甲苯</w:t>
            </w:r>
          </w:p>
        </w:tc>
        <w:tc>
          <w:tcPr>
            <w:tcW w:w="1099" w:type="dxa"/>
            <w:vAlign w:val="center"/>
          </w:tcPr>
          <w:p w14:paraId="503A131D" w14:textId="77777777" w:rsidR="00D170E5" w:rsidRPr="002B55E9" w:rsidRDefault="00EF27AD">
            <w:pPr>
              <w:jc w:val="center"/>
              <w:rPr>
                <w:bCs/>
                <w:sz w:val="18"/>
                <w:szCs w:val="18"/>
              </w:rPr>
            </w:pPr>
            <w:r w:rsidRPr="002B55E9">
              <w:rPr>
                <w:bCs/>
                <w:sz w:val="18"/>
                <w:szCs w:val="18"/>
              </w:rPr>
              <w:t>570</w:t>
            </w:r>
          </w:p>
        </w:tc>
        <w:tc>
          <w:tcPr>
            <w:tcW w:w="1087" w:type="dxa"/>
            <w:vAlign w:val="center"/>
          </w:tcPr>
          <w:p w14:paraId="5EFC1DF1" w14:textId="77777777" w:rsidR="00D170E5" w:rsidRPr="002B55E9" w:rsidRDefault="00EF27AD">
            <w:pPr>
              <w:jc w:val="center"/>
              <w:rPr>
                <w:bCs/>
                <w:sz w:val="18"/>
                <w:szCs w:val="18"/>
              </w:rPr>
            </w:pPr>
            <w:r w:rsidRPr="002B55E9">
              <w:rPr>
                <w:bCs/>
                <w:sz w:val="18"/>
                <w:szCs w:val="18"/>
              </w:rPr>
              <w:t>570</w:t>
            </w:r>
          </w:p>
        </w:tc>
      </w:tr>
      <w:tr w:rsidR="002B55E9" w:rsidRPr="002B55E9" w14:paraId="265C0897" w14:textId="77777777">
        <w:trPr>
          <w:trHeight w:val="284"/>
          <w:jc w:val="center"/>
        </w:trPr>
        <w:tc>
          <w:tcPr>
            <w:tcW w:w="668" w:type="dxa"/>
            <w:vAlign w:val="center"/>
          </w:tcPr>
          <w:p w14:paraId="1DE79495" w14:textId="77777777" w:rsidR="00D170E5" w:rsidRPr="002B55E9" w:rsidRDefault="00EF27AD">
            <w:pPr>
              <w:jc w:val="center"/>
              <w:rPr>
                <w:bCs/>
                <w:sz w:val="18"/>
                <w:szCs w:val="18"/>
              </w:rPr>
            </w:pPr>
            <w:r w:rsidRPr="002B55E9">
              <w:rPr>
                <w:bCs/>
                <w:sz w:val="18"/>
                <w:szCs w:val="18"/>
              </w:rPr>
              <w:t>13</w:t>
            </w:r>
          </w:p>
        </w:tc>
        <w:tc>
          <w:tcPr>
            <w:tcW w:w="2080" w:type="dxa"/>
            <w:vAlign w:val="center"/>
          </w:tcPr>
          <w:p w14:paraId="583BD6D8" w14:textId="77777777" w:rsidR="00D170E5" w:rsidRPr="002B55E9" w:rsidRDefault="00EF27AD">
            <w:pPr>
              <w:jc w:val="center"/>
              <w:rPr>
                <w:bCs/>
                <w:sz w:val="18"/>
                <w:szCs w:val="18"/>
              </w:rPr>
            </w:pPr>
            <w:r w:rsidRPr="002B55E9">
              <w:rPr>
                <w:bCs/>
                <w:sz w:val="18"/>
                <w:szCs w:val="18"/>
              </w:rPr>
              <w:t>四氯乙烯</w:t>
            </w:r>
          </w:p>
        </w:tc>
        <w:tc>
          <w:tcPr>
            <w:tcW w:w="1108" w:type="dxa"/>
            <w:vAlign w:val="center"/>
          </w:tcPr>
          <w:p w14:paraId="0AADF796" w14:textId="77777777" w:rsidR="00D170E5" w:rsidRPr="002B55E9" w:rsidRDefault="00EF27AD">
            <w:pPr>
              <w:jc w:val="center"/>
              <w:rPr>
                <w:bCs/>
                <w:sz w:val="18"/>
                <w:szCs w:val="18"/>
              </w:rPr>
            </w:pPr>
            <w:r w:rsidRPr="002B55E9">
              <w:rPr>
                <w:bCs/>
                <w:sz w:val="18"/>
                <w:szCs w:val="18"/>
              </w:rPr>
              <w:t>53</w:t>
            </w:r>
          </w:p>
        </w:tc>
        <w:tc>
          <w:tcPr>
            <w:tcW w:w="1106" w:type="dxa"/>
            <w:vAlign w:val="center"/>
          </w:tcPr>
          <w:p w14:paraId="4EFFE42C" w14:textId="77777777" w:rsidR="00D170E5" w:rsidRPr="002B55E9" w:rsidRDefault="00EF27AD">
            <w:pPr>
              <w:jc w:val="center"/>
              <w:rPr>
                <w:bCs/>
                <w:sz w:val="18"/>
                <w:szCs w:val="18"/>
              </w:rPr>
            </w:pPr>
            <w:r w:rsidRPr="002B55E9">
              <w:rPr>
                <w:bCs/>
                <w:sz w:val="18"/>
                <w:szCs w:val="18"/>
              </w:rPr>
              <w:t>183</w:t>
            </w:r>
          </w:p>
        </w:tc>
        <w:tc>
          <w:tcPr>
            <w:tcW w:w="692" w:type="dxa"/>
            <w:vAlign w:val="center"/>
          </w:tcPr>
          <w:p w14:paraId="49E14C0B" w14:textId="77777777" w:rsidR="00D170E5" w:rsidRPr="002B55E9" w:rsidRDefault="00EF27AD">
            <w:pPr>
              <w:jc w:val="center"/>
              <w:rPr>
                <w:bCs/>
                <w:sz w:val="18"/>
                <w:szCs w:val="18"/>
              </w:rPr>
            </w:pPr>
            <w:r w:rsidRPr="002B55E9">
              <w:rPr>
                <w:bCs/>
                <w:sz w:val="18"/>
                <w:szCs w:val="18"/>
              </w:rPr>
              <w:t>27</w:t>
            </w:r>
          </w:p>
        </w:tc>
        <w:tc>
          <w:tcPr>
            <w:tcW w:w="1798" w:type="dxa"/>
            <w:vAlign w:val="center"/>
          </w:tcPr>
          <w:p w14:paraId="632F1697" w14:textId="77777777" w:rsidR="00D170E5" w:rsidRPr="002B55E9" w:rsidRDefault="00EF27AD">
            <w:pPr>
              <w:jc w:val="center"/>
              <w:rPr>
                <w:bCs/>
                <w:sz w:val="18"/>
                <w:szCs w:val="18"/>
              </w:rPr>
            </w:pPr>
            <w:r w:rsidRPr="002B55E9">
              <w:rPr>
                <w:bCs/>
                <w:sz w:val="18"/>
                <w:szCs w:val="18"/>
              </w:rPr>
              <w:t>邻二甲苯</w:t>
            </w:r>
          </w:p>
        </w:tc>
        <w:tc>
          <w:tcPr>
            <w:tcW w:w="1099" w:type="dxa"/>
            <w:vAlign w:val="center"/>
          </w:tcPr>
          <w:p w14:paraId="20827B78" w14:textId="77777777" w:rsidR="00D170E5" w:rsidRPr="002B55E9" w:rsidRDefault="00EF27AD">
            <w:pPr>
              <w:jc w:val="center"/>
              <w:rPr>
                <w:bCs/>
                <w:sz w:val="18"/>
                <w:szCs w:val="18"/>
              </w:rPr>
            </w:pPr>
            <w:r w:rsidRPr="002B55E9">
              <w:rPr>
                <w:bCs/>
                <w:sz w:val="18"/>
                <w:szCs w:val="18"/>
              </w:rPr>
              <w:t>640</w:t>
            </w:r>
          </w:p>
        </w:tc>
        <w:tc>
          <w:tcPr>
            <w:tcW w:w="1087" w:type="dxa"/>
            <w:vAlign w:val="center"/>
          </w:tcPr>
          <w:p w14:paraId="48C7718D" w14:textId="77777777" w:rsidR="00D170E5" w:rsidRPr="002B55E9" w:rsidRDefault="00EF27AD">
            <w:pPr>
              <w:jc w:val="center"/>
              <w:rPr>
                <w:bCs/>
                <w:sz w:val="18"/>
                <w:szCs w:val="18"/>
              </w:rPr>
            </w:pPr>
            <w:r w:rsidRPr="002B55E9">
              <w:rPr>
                <w:bCs/>
                <w:sz w:val="18"/>
                <w:szCs w:val="18"/>
              </w:rPr>
              <w:t>640</w:t>
            </w:r>
          </w:p>
        </w:tc>
      </w:tr>
      <w:tr w:rsidR="002B55E9" w:rsidRPr="002B55E9" w14:paraId="675BBE34" w14:textId="77777777">
        <w:trPr>
          <w:trHeight w:val="284"/>
          <w:jc w:val="center"/>
        </w:trPr>
        <w:tc>
          <w:tcPr>
            <w:tcW w:w="668" w:type="dxa"/>
            <w:vAlign w:val="center"/>
          </w:tcPr>
          <w:p w14:paraId="33C23E95" w14:textId="77777777" w:rsidR="00D170E5" w:rsidRPr="002B55E9" w:rsidRDefault="00EF27AD">
            <w:pPr>
              <w:jc w:val="center"/>
              <w:rPr>
                <w:bCs/>
                <w:sz w:val="18"/>
                <w:szCs w:val="18"/>
              </w:rPr>
            </w:pPr>
            <w:r w:rsidRPr="002B55E9">
              <w:rPr>
                <w:bCs/>
                <w:sz w:val="18"/>
                <w:szCs w:val="18"/>
              </w:rPr>
              <w:t>14</w:t>
            </w:r>
          </w:p>
        </w:tc>
        <w:tc>
          <w:tcPr>
            <w:tcW w:w="2080" w:type="dxa"/>
            <w:vAlign w:val="center"/>
          </w:tcPr>
          <w:p w14:paraId="3DE796AC" w14:textId="77777777" w:rsidR="00D170E5" w:rsidRPr="002B55E9" w:rsidRDefault="00EF27AD">
            <w:pPr>
              <w:jc w:val="center"/>
              <w:rPr>
                <w:bCs/>
                <w:sz w:val="18"/>
                <w:szCs w:val="18"/>
              </w:rPr>
            </w:pPr>
            <w:r w:rsidRPr="002B55E9">
              <w:rPr>
                <w:bCs/>
                <w:sz w:val="18"/>
                <w:szCs w:val="18"/>
              </w:rPr>
              <w:t>1,1,1-</w:t>
            </w:r>
            <w:r w:rsidRPr="002B55E9">
              <w:rPr>
                <w:bCs/>
                <w:sz w:val="18"/>
                <w:szCs w:val="18"/>
              </w:rPr>
              <w:t>三氯乙烷</w:t>
            </w:r>
          </w:p>
        </w:tc>
        <w:tc>
          <w:tcPr>
            <w:tcW w:w="1108" w:type="dxa"/>
            <w:vAlign w:val="center"/>
          </w:tcPr>
          <w:p w14:paraId="788C1554" w14:textId="77777777" w:rsidR="00D170E5" w:rsidRPr="002B55E9" w:rsidRDefault="00EF27AD">
            <w:pPr>
              <w:jc w:val="center"/>
              <w:rPr>
                <w:bCs/>
                <w:sz w:val="18"/>
                <w:szCs w:val="18"/>
              </w:rPr>
            </w:pPr>
            <w:r w:rsidRPr="002B55E9">
              <w:rPr>
                <w:bCs/>
                <w:sz w:val="18"/>
                <w:szCs w:val="18"/>
              </w:rPr>
              <w:t>840</w:t>
            </w:r>
          </w:p>
        </w:tc>
        <w:tc>
          <w:tcPr>
            <w:tcW w:w="1106" w:type="dxa"/>
            <w:vAlign w:val="center"/>
          </w:tcPr>
          <w:p w14:paraId="311B3758" w14:textId="77777777" w:rsidR="00D170E5" w:rsidRPr="002B55E9" w:rsidRDefault="00EF27AD">
            <w:pPr>
              <w:jc w:val="center"/>
              <w:rPr>
                <w:bCs/>
                <w:sz w:val="18"/>
                <w:szCs w:val="18"/>
              </w:rPr>
            </w:pPr>
            <w:r w:rsidRPr="002B55E9">
              <w:rPr>
                <w:bCs/>
                <w:sz w:val="18"/>
                <w:szCs w:val="18"/>
              </w:rPr>
              <w:t>840</w:t>
            </w:r>
          </w:p>
        </w:tc>
        <w:tc>
          <w:tcPr>
            <w:tcW w:w="692" w:type="dxa"/>
            <w:vAlign w:val="center"/>
          </w:tcPr>
          <w:p w14:paraId="7C27004F" w14:textId="77777777" w:rsidR="00D170E5" w:rsidRPr="002B55E9" w:rsidRDefault="00D170E5">
            <w:pPr>
              <w:jc w:val="center"/>
              <w:rPr>
                <w:bCs/>
                <w:sz w:val="18"/>
                <w:szCs w:val="18"/>
              </w:rPr>
            </w:pPr>
          </w:p>
        </w:tc>
        <w:tc>
          <w:tcPr>
            <w:tcW w:w="1798" w:type="dxa"/>
            <w:vAlign w:val="center"/>
          </w:tcPr>
          <w:p w14:paraId="7F43D2A1" w14:textId="77777777" w:rsidR="00D170E5" w:rsidRPr="002B55E9" w:rsidRDefault="00D170E5">
            <w:pPr>
              <w:jc w:val="center"/>
              <w:rPr>
                <w:bCs/>
                <w:sz w:val="18"/>
                <w:szCs w:val="18"/>
              </w:rPr>
            </w:pPr>
          </w:p>
        </w:tc>
        <w:tc>
          <w:tcPr>
            <w:tcW w:w="1099" w:type="dxa"/>
            <w:vAlign w:val="center"/>
          </w:tcPr>
          <w:p w14:paraId="67F4551C" w14:textId="77777777" w:rsidR="00D170E5" w:rsidRPr="002B55E9" w:rsidRDefault="00D170E5">
            <w:pPr>
              <w:jc w:val="center"/>
              <w:rPr>
                <w:bCs/>
                <w:sz w:val="18"/>
                <w:szCs w:val="18"/>
              </w:rPr>
            </w:pPr>
          </w:p>
        </w:tc>
        <w:tc>
          <w:tcPr>
            <w:tcW w:w="1087" w:type="dxa"/>
            <w:vAlign w:val="center"/>
          </w:tcPr>
          <w:p w14:paraId="2371FF4C" w14:textId="77777777" w:rsidR="00D170E5" w:rsidRPr="002B55E9" w:rsidRDefault="00D170E5">
            <w:pPr>
              <w:jc w:val="center"/>
              <w:rPr>
                <w:bCs/>
                <w:sz w:val="18"/>
                <w:szCs w:val="18"/>
              </w:rPr>
            </w:pPr>
          </w:p>
        </w:tc>
      </w:tr>
      <w:tr w:rsidR="002B55E9" w:rsidRPr="002B55E9" w14:paraId="21E0492F" w14:textId="77777777">
        <w:trPr>
          <w:trHeight w:val="284"/>
          <w:jc w:val="center"/>
        </w:trPr>
        <w:tc>
          <w:tcPr>
            <w:tcW w:w="668" w:type="dxa"/>
            <w:vAlign w:val="center"/>
          </w:tcPr>
          <w:p w14:paraId="459CC88D" w14:textId="77777777" w:rsidR="00D170E5" w:rsidRPr="002B55E9" w:rsidRDefault="00EF27AD">
            <w:pPr>
              <w:jc w:val="center"/>
              <w:rPr>
                <w:bCs/>
                <w:sz w:val="18"/>
                <w:szCs w:val="18"/>
              </w:rPr>
            </w:pPr>
            <w:r w:rsidRPr="002B55E9">
              <w:rPr>
                <w:bCs/>
                <w:sz w:val="18"/>
                <w:szCs w:val="18"/>
              </w:rPr>
              <w:t>三</w:t>
            </w:r>
          </w:p>
        </w:tc>
        <w:tc>
          <w:tcPr>
            <w:tcW w:w="8970" w:type="dxa"/>
            <w:gridSpan w:val="7"/>
            <w:vAlign w:val="center"/>
          </w:tcPr>
          <w:p w14:paraId="2AC6A623" w14:textId="77777777" w:rsidR="00D170E5" w:rsidRPr="002B55E9" w:rsidRDefault="00EF27AD">
            <w:pPr>
              <w:jc w:val="left"/>
              <w:rPr>
                <w:bCs/>
                <w:sz w:val="18"/>
                <w:szCs w:val="18"/>
              </w:rPr>
            </w:pPr>
            <w:r w:rsidRPr="002B55E9">
              <w:rPr>
                <w:b/>
                <w:bCs/>
                <w:sz w:val="18"/>
                <w:szCs w:val="18"/>
              </w:rPr>
              <w:t>半挥发性有机物</w:t>
            </w:r>
          </w:p>
        </w:tc>
      </w:tr>
      <w:tr w:rsidR="002B55E9" w:rsidRPr="002B55E9" w14:paraId="60CB48CD" w14:textId="77777777">
        <w:trPr>
          <w:trHeight w:val="284"/>
          <w:jc w:val="center"/>
        </w:trPr>
        <w:tc>
          <w:tcPr>
            <w:tcW w:w="668" w:type="dxa"/>
            <w:vAlign w:val="center"/>
          </w:tcPr>
          <w:p w14:paraId="346459F4" w14:textId="77777777" w:rsidR="00D170E5" w:rsidRPr="002B55E9" w:rsidRDefault="00EF27AD">
            <w:pPr>
              <w:jc w:val="center"/>
              <w:rPr>
                <w:bCs/>
                <w:sz w:val="18"/>
                <w:szCs w:val="18"/>
              </w:rPr>
            </w:pPr>
            <w:r w:rsidRPr="002B55E9">
              <w:rPr>
                <w:bCs/>
                <w:sz w:val="18"/>
                <w:szCs w:val="18"/>
              </w:rPr>
              <w:t>1</w:t>
            </w:r>
          </w:p>
        </w:tc>
        <w:tc>
          <w:tcPr>
            <w:tcW w:w="2080" w:type="dxa"/>
            <w:vAlign w:val="center"/>
          </w:tcPr>
          <w:p w14:paraId="08DBC33B" w14:textId="77777777" w:rsidR="00D170E5" w:rsidRPr="002B55E9" w:rsidRDefault="00EF27AD">
            <w:pPr>
              <w:spacing w:line="240" w:lineRule="atLeast"/>
              <w:ind w:rightChars="-45" w:right="-90"/>
              <w:jc w:val="center"/>
              <w:rPr>
                <w:bCs/>
                <w:sz w:val="18"/>
                <w:szCs w:val="18"/>
              </w:rPr>
            </w:pPr>
            <w:r w:rsidRPr="002B55E9">
              <w:rPr>
                <w:bCs/>
                <w:sz w:val="18"/>
                <w:szCs w:val="18"/>
              </w:rPr>
              <w:t>硝基苯</w:t>
            </w:r>
          </w:p>
        </w:tc>
        <w:tc>
          <w:tcPr>
            <w:tcW w:w="1108" w:type="dxa"/>
            <w:vAlign w:val="center"/>
          </w:tcPr>
          <w:p w14:paraId="71DD5CE3" w14:textId="77777777" w:rsidR="00D170E5" w:rsidRPr="002B55E9" w:rsidRDefault="00EF27AD">
            <w:pPr>
              <w:jc w:val="center"/>
              <w:rPr>
                <w:bCs/>
                <w:sz w:val="18"/>
                <w:szCs w:val="18"/>
              </w:rPr>
            </w:pPr>
            <w:r w:rsidRPr="002B55E9">
              <w:rPr>
                <w:bCs/>
                <w:sz w:val="18"/>
                <w:szCs w:val="18"/>
              </w:rPr>
              <w:t>76</w:t>
            </w:r>
          </w:p>
        </w:tc>
        <w:tc>
          <w:tcPr>
            <w:tcW w:w="1106" w:type="dxa"/>
            <w:vAlign w:val="center"/>
          </w:tcPr>
          <w:p w14:paraId="544161FB" w14:textId="77777777" w:rsidR="00D170E5" w:rsidRPr="002B55E9" w:rsidRDefault="00EF27AD">
            <w:pPr>
              <w:jc w:val="center"/>
              <w:rPr>
                <w:bCs/>
                <w:sz w:val="18"/>
                <w:szCs w:val="18"/>
              </w:rPr>
            </w:pPr>
            <w:r w:rsidRPr="002B55E9">
              <w:rPr>
                <w:bCs/>
                <w:sz w:val="18"/>
                <w:szCs w:val="18"/>
              </w:rPr>
              <w:t>760</w:t>
            </w:r>
          </w:p>
        </w:tc>
        <w:tc>
          <w:tcPr>
            <w:tcW w:w="692" w:type="dxa"/>
            <w:vAlign w:val="center"/>
          </w:tcPr>
          <w:p w14:paraId="6B58BB37" w14:textId="77777777" w:rsidR="00D170E5" w:rsidRPr="002B55E9" w:rsidRDefault="00EF27AD">
            <w:pPr>
              <w:jc w:val="center"/>
              <w:rPr>
                <w:bCs/>
                <w:sz w:val="18"/>
                <w:szCs w:val="18"/>
              </w:rPr>
            </w:pPr>
            <w:r w:rsidRPr="002B55E9">
              <w:rPr>
                <w:bCs/>
                <w:sz w:val="18"/>
                <w:szCs w:val="18"/>
              </w:rPr>
              <w:t>7</w:t>
            </w:r>
          </w:p>
        </w:tc>
        <w:tc>
          <w:tcPr>
            <w:tcW w:w="1798" w:type="dxa"/>
            <w:vAlign w:val="center"/>
          </w:tcPr>
          <w:p w14:paraId="46130F70" w14:textId="77777777" w:rsidR="00D170E5" w:rsidRPr="002B55E9" w:rsidRDefault="00EF27AD">
            <w:pPr>
              <w:spacing w:line="240" w:lineRule="atLeast"/>
              <w:ind w:rightChars="-45" w:right="-90"/>
              <w:jc w:val="center"/>
              <w:rPr>
                <w:bCs/>
                <w:sz w:val="18"/>
                <w:szCs w:val="18"/>
              </w:rPr>
            </w:pPr>
            <w:r w:rsidRPr="002B55E9">
              <w:rPr>
                <w:bCs/>
                <w:sz w:val="18"/>
                <w:szCs w:val="18"/>
              </w:rPr>
              <w:t>苯并</w:t>
            </w:r>
            <w:r w:rsidRPr="002B55E9">
              <w:rPr>
                <w:bCs/>
                <w:sz w:val="18"/>
                <w:szCs w:val="18"/>
              </w:rPr>
              <w:t>[k]</w:t>
            </w:r>
            <w:r w:rsidRPr="002B55E9">
              <w:rPr>
                <w:bCs/>
                <w:sz w:val="18"/>
                <w:szCs w:val="18"/>
              </w:rPr>
              <w:t>荧蒽</w:t>
            </w:r>
          </w:p>
        </w:tc>
        <w:tc>
          <w:tcPr>
            <w:tcW w:w="1099" w:type="dxa"/>
            <w:vAlign w:val="center"/>
          </w:tcPr>
          <w:p w14:paraId="6444093D" w14:textId="77777777" w:rsidR="00D170E5" w:rsidRPr="002B55E9" w:rsidRDefault="00EF27AD">
            <w:pPr>
              <w:jc w:val="center"/>
              <w:rPr>
                <w:bCs/>
                <w:sz w:val="18"/>
                <w:szCs w:val="18"/>
              </w:rPr>
            </w:pPr>
            <w:r w:rsidRPr="002B55E9">
              <w:rPr>
                <w:bCs/>
                <w:sz w:val="18"/>
                <w:szCs w:val="18"/>
              </w:rPr>
              <w:t>151</w:t>
            </w:r>
          </w:p>
        </w:tc>
        <w:tc>
          <w:tcPr>
            <w:tcW w:w="1087" w:type="dxa"/>
            <w:vAlign w:val="center"/>
          </w:tcPr>
          <w:p w14:paraId="212342ED" w14:textId="77777777" w:rsidR="00D170E5" w:rsidRPr="002B55E9" w:rsidRDefault="00EF27AD">
            <w:pPr>
              <w:jc w:val="center"/>
              <w:rPr>
                <w:bCs/>
                <w:sz w:val="18"/>
                <w:szCs w:val="18"/>
              </w:rPr>
            </w:pPr>
            <w:r w:rsidRPr="002B55E9">
              <w:rPr>
                <w:bCs/>
                <w:sz w:val="18"/>
                <w:szCs w:val="18"/>
              </w:rPr>
              <w:t>1500</w:t>
            </w:r>
          </w:p>
        </w:tc>
      </w:tr>
      <w:tr w:rsidR="002B55E9" w:rsidRPr="002B55E9" w14:paraId="08942CFD" w14:textId="77777777">
        <w:trPr>
          <w:trHeight w:val="284"/>
          <w:jc w:val="center"/>
        </w:trPr>
        <w:tc>
          <w:tcPr>
            <w:tcW w:w="668" w:type="dxa"/>
            <w:vAlign w:val="center"/>
          </w:tcPr>
          <w:p w14:paraId="71B4BDFB" w14:textId="77777777" w:rsidR="00D170E5" w:rsidRPr="002B55E9" w:rsidRDefault="00EF27AD">
            <w:pPr>
              <w:jc w:val="center"/>
              <w:rPr>
                <w:bCs/>
                <w:sz w:val="18"/>
                <w:szCs w:val="18"/>
              </w:rPr>
            </w:pPr>
            <w:r w:rsidRPr="002B55E9">
              <w:rPr>
                <w:bCs/>
                <w:sz w:val="18"/>
                <w:szCs w:val="18"/>
              </w:rPr>
              <w:t>2</w:t>
            </w:r>
          </w:p>
        </w:tc>
        <w:tc>
          <w:tcPr>
            <w:tcW w:w="2080" w:type="dxa"/>
            <w:vAlign w:val="center"/>
          </w:tcPr>
          <w:p w14:paraId="3DE93A66" w14:textId="77777777" w:rsidR="00D170E5" w:rsidRPr="002B55E9" w:rsidRDefault="00EF27AD">
            <w:pPr>
              <w:spacing w:line="240" w:lineRule="atLeast"/>
              <w:ind w:rightChars="-45" w:right="-90"/>
              <w:jc w:val="center"/>
              <w:rPr>
                <w:bCs/>
                <w:sz w:val="18"/>
                <w:szCs w:val="18"/>
              </w:rPr>
            </w:pPr>
            <w:r w:rsidRPr="002B55E9">
              <w:rPr>
                <w:bCs/>
                <w:sz w:val="18"/>
                <w:szCs w:val="18"/>
              </w:rPr>
              <w:t>苯胺</w:t>
            </w:r>
          </w:p>
        </w:tc>
        <w:tc>
          <w:tcPr>
            <w:tcW w:w="1108" w:type="dxa"/>
            <w:vAlign w:val="center"/>
          </w:tcPr>
          <w:p w14:paraId="37722A68" w14:textId="77777777" w:rsidR="00D170E5" w:rsidRPr="002B55E9" w:rsidRDefault="00EF27AD">
            <w:pPr>
              <w:jc w:val="center"/>
              <w:rPr>
                <w:bCs/>
                <w:sz w:val="18"/>
                <w:szCs w:val="18"/>
              </w:rPr>
            </w:pPr>
            <w:r w:rsidRPr="002B55E9">
              <w:rPr>
                <w:bCs/>
                <w:sz w:val="18"/>
                <w:szCs w:val="18"/>
              </w:rPr>
              <w:t>260</w:t>
            </w:r>
          </w:p>
        </w:tc>
        <w:tc>
          <w:tcPr>
            <w:tcW w:w="1106" w:type="dxa"/>
            <w:vAlign w:val="center"/>
          </w:tcPr>
          <w:p w14:paraId="31D198F8" w14:textId="77777777" w:rsidR="00D170E5" w:rsidRPr="002B55E9" w:rsidRDefault="00EF27AD">
            <w:pPr>
              <w:jc w:val="center"/>
              <w:rPr>
                <w:bCs/>
                <w:sz w:val="18"/>
                <w:szCs w:val="18"/>
              </w:rPr>
            </w:pPr>
            <w:r w:rsidRPr="002B55E9">
              <w:rPr>
                <w:bCs/>
                <w:sz w:val="18"/>
                <w:szCs w:val="18"/>
              </w:rPr>
              <w:t>663</w:t>
            </w:r>
          </w:p>
        </w:tc>
        <w:tc>
          <w:tcPr>
            <w:tcW w:w="692" w:type="dxa"/>
            <w:vAlign w:val="center"/>
          </w:tcPr>
          <w:p w14:paraId="50E63CFB" w14:textId="77777777" w:rsidR="00D170E5" w:rsidRPr="002B55E9" w:rsidRDefault="00EF27AD">
            <w:pPr>
              <w:jc w:val="center"/>
              <w:rPr>
                <w:bCs/>
                <w:sz w:val="18"/>
                <w:szCs w:val="18"/>
              </w:rPr>
            </w:pPr>
            <w:r w:rsidRPr="002B55E9">
              <w:rPr>
                <w:bCs/>
                <w:sz w:val="18"/>
                <w:szCs w:val="18"/>
              </w:rPr>
              <w:t>8</w:t>
            </w:r>
          </w:p>
        </w:tc>
        <w:tc>
          <w:tcPr>
            <w:tcW w:w="1798" w:type="dxa"/>
            <w:vAlign w:val="center"/>
          </w:tcPr>
          <w:p w14:paraId="2BBE4FB0" w14:textId="77777777" w:rsidR="00D170E5" w:rsidRPr="002B55E9" w:rsidRDefault="00EF27AD">
            <w:pPr>
              <w:spacing w:line="240" w:lineRule="atLeast"/>
              <w:ind w:rightChars="-45" w:right="-90"/>
              <w:jc w:val="center"/>
              <w:rPr>
                <w:bCs/>
                <w:sz w:val="18"/>
                <w:szCs w:val="18"/>
              </w:rPr>
            </w:pPr>
            <w:r w:rsidRPr="002B55E9">
              <w:rPr>
                <w:bCs/>
                <w:sz w:val="18"/>
                <w:szCs w:val="18"/>
              </w:rPr>
              <w:t>䓛</w:t>
            </w:r>
          </w:p>
        </w:tc>
        <w:tc>
          <w:tcPr>
            <w:tcW w:w="1099" w:type="dxa"/>
            <w:vAlign w:val="center"/>
          </w:tcPr>
          <w:p w14:paraId="3F03D8FF" w14:textId="77777777" w:rsidR="00D170E5" w:rsidRPr="002B55E9" w:rsidRDefault="00EF27AD">
            <w:pPr>
              <w:jc w:val="center"/>
              <w:rPr>
                <w:bCs/>
                <w:sz w:val="18"/>
                <w:szCs w:val="18"/>
              </w:rPr>
            </w:pPr>
            <w:r w:rsidRPr="002B55E9">
              <w:rPr>
                <w:bCs/>
                <w:sz w:val="18"/>
                <w:szCs w:val="18"/>
              </w:rPr>
              <w:t>1293</w:t>
            </w:r>
          </w:p>
        </w:tc>
        <w:tc>
          <w:tcPr>
            <w:tcW w:w="1087" w:type="dxa"/>
            <w:vAlign w:val="center"/>
          </w:tcPr>
          <w:p w14:paraId="11A8821C" w14:textId="77777777" w:rsidR="00D170E5" w:rsidRPr="002B55E9" w:rsidRDefault="00EF27AD">
            <w:pPr>
              <w:jc w:val="center"/>
              <w:rPr>
                <w:bCs/>
                <w:sz w:val="18"/>
                <w:szCs w:val="18"/>
              </w:rPr>
            </w:pPr>
            <w:r w:rsidRPr="002B55E9">
              <w:rPr>
                <w:bCs/>
                <w:sz w:val="18"/>
                <w:szCs w:val="18"/>
              </w:rPr>
              <w:t>12900</w:t>
            </w:r>
          </w:p>
        </w:tc>
      </w:tr>
      <w:tr w:rsidR="002B55E9" w:rsidRPr="002B55E9" w14:paraId="5F7F0B2A" w14:textId="77777777">
        <w:trPr>
          <w:trHeight w:val="284"/>
          <w:jc w:val="center"/>
        </w:trPr>
        <w:tc>
          <w:tcPr>
            <w:tcW w:w="668" w:type="dxa"/>
            <w:vAlign w:val="center"/>
          </w:tcPr>
          <w:p w14:paraId="378E9DF5" w14:textId="77777777" w:rsidR="00D170E5" w:rsidRPr="002B55E9" w:rsidRDefault="00EF27AD">
            <w:pPr>
              <w:jc w:val="center"/>
              <w:rPr>
                <w:bCs/>
                <w:sz w:val="18"/>
                <w:szCs w:val="18"/>
              </w:rPr>
            </w:pPr>
            <w:r w:rsidRPr="002B55E9">
              <w:rPr>
                <w:bCs/>
                <w:sz w:val="18"/>
                <w:szCs w:val="18"/>
              </w:rPr>
              <w:t>3</w:t>
            </w:r>
          </w:p>
        </w:tc>
        <w:tc>
          <w:tcPr>
            <w:tcW w:w="2080" w:type="dxa"/>
            <w:vAlign w:val="center"/>
          </w:tcPr>
          <w:p w14:paraId="754E94BF" w14:textId="77777777" w:rsidR="00D170E5" w:rsidRPr="002B55E9" w:rsidRDefault="00EF27AD">
            <w:pPr>
              <w:spacing w:line="240" w:lineRule="atLeast"/>
              <w:ind w:rightChars="-45" w:right="-90"/>
              <w:jc w:val="center"/>
              <w:rPr>
                <w:bCs/>
                <w:sz w:val="18"/>
                <w:szCs w:val="18"/>
              </w:rPr>
            </w:pPr>
            <w:r w:rsidRPr="002B55E9">
              <w:rPr>
                <w:bCs/>
                <w:sz w:val="18"/>
                <w:szCs w:val="18"/>
              </w:rPr>
              <w:t>2-</w:t>
            </w:r>
            <w:r w:rsidRPr="002B55E9">
              <w:rPr>
                <w:bCs/>
                <w:sz w:val="18"/>
                <w:szCs w:val="18"/>
              </w:rPr>
              <w:t>氯酚</w:t>
            </w:r>
          </w:p>
        </w:tc>
        <w:tc>
          <w:tcPr>
            <w:tcW w:w="1108" w:type="dxa"/>
            <w:vAlign w:val="center"/>
          </w:tcPr>
          <w:p w14:paraId="62AD4DEF" w14:textId="77777777" w:rsidR="00D170E5" w:rsidRPr="002B55E9" w:rsidRDefault="00EF27AD">
            <w:pPr>
              <w:jc w:val="center"/>
              <w:rPr>
                <w:bCs/>
                <w:sz w:val="18"/>
                <w:szCs w:val="18"/>
              </w:rPr>
            </w:pPr>
            <w:r w:rsidRPr="002B55E9">
              <w:rPr>
                <w:bCs/>
                <w:sz w:val="18"/>
                <w:szCs w:val="18"/>
              </w:rPr>
              <w:t>2256</w:t>
            </w:r>
          </w:p>
        </w:tc>
        <w:tc>
          <w:tcPr>
            <w:tcW w:w="1106" w:type="dxa"/>
            <w:vAlign w:val="center"/>
          </w:tcPr>
          <w:p w14:paraId="2D93AF0E" w14:textId="77777777" w:rsidR="00D170E5" w:rsidRPr="002B55E9" w:rsidRDefault="00EF27AD">
            <w:pPr>
              <w:jc w:val="center"/>
              <w:rPr>
                <w:bCs/>
                <w:sz w:val="18"/>
                <w:szCs w:val="18"/>
              </w:rPr>
            </w:pPr>
            <w:r w:rsidRPr="002B55E9">
              <w:rPr>
                <w:bCs/>
                <w:sz w:val="18"/>
                <w:szCs w:val="18"/>
              </w:rPr>
              <w:t>4500</w:t>
            </w:r>
          </w:p>
        </w:tc>
        <w:tc>
          <w:tcPr>
            <w:tcW w:w="692" w:type="dxa"/>
            <w:vAlign w:val="center"/>
          </w:tcPr>
          <w:p w14:paraId="15AF6EC6" w14:textId="77777777" w:rsidR="00D170E5" w:rsidRPr="002B55E9" w:rsidRDefault="00EF27AD">
            <w:pPr>
              <w:jc w:val="center"/>
              <w:rPr>
                <w:bCs/>
                <w:sz w:val="18"/>
                <w:szCs w:val="18"/>
              </w:rPr>
            </w:pPr>
            <w:r w:rsidRPr="002B55E9">
              <w:rPr>
                <w:bCs/>
                <w:sz w:val="18"/>
                <w:szCs w:val="18"/>
              </w:rPr>
              <w:t>9</w:t>
            </w:r>
          </w:p>
        </w:tc>
        <w:tc>
          <w:tcPr>
            <w:tcW w:w="1798" w:type="dxa"/>
            <w:vAlign w:val="center"/>
          </w:tcPr>
          <w:p w14:paraId="06396EBC" w14:textId="77777777" w:rsidR="00D170E5" w:rsidRPr="002B55E9" w:rsidRDefault="00EF27AD">
            <w:pPr>
              <w:spacing w:line="240" w:lineRule="atLeast"/>
              <w:ind w:rightChars="-45" w:right="-90"/>
              <w:jc w:val="center"/>
              <w:rPr>
                <w:bCs/>
                <w:sz w:val="18"/>
                <w:szCs w:val="18"/>
              </w:rPr>
            </w:pPr>
            <w:r w:rsidRPr="002B55E9">
              <w:rPr>
                <w:bCs/>
                <w:sz w:val="18"/>
                <w:szCs w:val="18"/>
              </w:rPr>
              <w:t>二苯并</w:t>
            </w:r>
            <w:r w:rsidRPr="002B55E9">
              <w:rPr>
                <w:bCs/>
                <w:sz w:val="18"/>
                <w:szCs w:val="18"/>
              </w:rPr>
              <w:t>[a, h]</w:t>
            </w:r>
            <w:r w:rsidRPr="002B55E9">
              <w:rPr>
                <w:bCs/>
                <w:sz w:val="18"/>
                <w:szCs w:val="18"/>
              </w:rPr>
              <w:t>蒽</w:t>
            </w:r>
          </w:p>
        </w:tc>
        <w:tc>
          <w:tcPr>
            <w:tcW w:w="1099" w:type="dxa"/>
            <w:vAlign w:val="center"/>
          </w:tcPr>
          <w:p w14:paraId="6459DCBD" w14:textId="77777777" w:rsidR="00D170E5" w:rsidRPr="002B55E9" w:rsidRDefault="00EF27AD">
            <w:pPr>
              <w:jc w:val="center"/>
              <w:rPr>
                <w:bCs/>
                <w:sz w:val="18"/>
                <w:szCs w:val="18"/>
              </w:rPr>
            </w:pPr>
            <w:r w:rsidRPr="002B55E9">
              <w:rPr>
                <w:bCs/>
                <w:sz w:val="18"/>
                <w:szCs w:val="18"/>
              </w:rPr>
              <w:t>1.5</w:t>
            </w:r>
          </w:p>
        </w:tc>
        <w:tc>
          <w:tcPr>
            <w:tcW w:w="1087" w:type="dxa"/>
            <w:vAlign w:val="center"/>
          </w:tcPr>
          <w:p w14:paraId="66763292" w14:textId="77777777" w:rsidR="00D170E5" w:rsidRPr="002B55E9" w:rsidRDefault="00EF27AD">
            <w:pPr>
              <w:jc w:val="center"/>
              <w:rPr>
                <w:bCs/>
                <w:sz w:val="18"/>
                <w:szCs w:val="18"/>
              </w:rPr>
            </w:pPr>
            <w:r w:rsidRPr="002B55E9">
              <w:rPr>
                <w:bCs/>
                <w:sz w:val="18"/>
                <w:szCs w:val="18"/>
              </w:rPr>
              <w:t>15</w:t>
            </w:r>
          </w:p>
        </w:tc>
      </w:tr>
      <w:tr w:rsidR="002B55E9" w:rsidRPr="002B55E9" w14:paraId="5224B558" w14:textId="77777777">
        <w:trPr>
          <w:trHeight w:val="284"/>
          <w:jc w:val="center"/>
        </w:trPr>
        <w:tc>
          <w:tcPr>
            <w:tcW w:w="668" w:type="dxa"/>
            <w:vAlign w:val="center"/>
          </w:tcPr>
          <w:p w14:paraId="27DC3B54" w14:textId="77777777" w:rsidR="00D170E5" w:rsidRPr="002B55E9" w:rsidRDefault="00EF27AD">
            <w:pPr>
              <w:jc w:val="center"/>
              <w:rPr>
                <w:bCs/>
                <w:sz w:val="18"/>
                <w:szCs w:val="18"/>
              </w:rPr>
            </w:pPr>
            <w:r w:rsidRPr="002B55E9">
              <w:rPr>
                <w:bCs/>
                <w:sz w:val="18"/>
                <w:szCs w:val="18"/>
              </w:rPr>
              <w:t>4</w:t>
            </w:r>
          </w:p>
        </w:tc>
        <w:tc>
          <w:tcPr>
            <w:tcW w:w="2080" w:type="dxa"/>
            <w:vAlign w:val="center"/>
          </w:tcPr>
          <w:p w14:paraId="46DCBCAA" w14:textId="77777777" w:rsidR="00D170E5" w:rsidRPr="002B55E9" w:rsidRDefault="00EF27AD">
            <w:pPr>
              <w:spacing w:line="240" w:lineRule="atLeast"/>
              <w:ind w:rightChars="-45" w:right="-90"/>
              <w:jc w:val="center"/>
              <w:rPr>
                <w:bCs/>
                <w:sz w:val="18"/>
                <w:szCs w:val="18"/>
              </w:rPr>
            </w:pPr>
            <w:r w:rsidRPr="002B55E9">
              <w:rPr>
                <w:bCs/>
                <w:sz w:val="18"/>
                <w:szCs w:val="18"/>
              </w:rPr>
              <w:t>苯并</w:t>
            </w:r>
            <w:r w:rsidRPr="002B55E9">
              <w:rPr>
                <w:bCs/>
                <w:sz w:val="18"/>
                <w:szCs w:val="18"/>
              </w:rPr>
              <w:t>[a]</w:t>
            </w:r>
            <w:r w:rsidRPr="002B55E9">
              <w:rPr>
                <w:bCs/>
                <w:sz w:val="18"/>
                <w:szCs w:val="18"/>
              </w:rPr>
              <w:t>蒽</w:t>
            </w:r>
          </w:p>
        </w:tc>
        <w:tc>
          <w:tcPr>
            <w:tcW w:w="1108" w:type="dxa"/>
            <w:vAlign w:val="center"/>
          </w:tcPr>
          <w:p w14:paraId="1D3E939C" w14:textId="77777777" w:rsidR="00D170E5" w:rsidRPr="002B55E9" w:rsidRDefault="00EF27AD">
            <w:pPr>
              <w:jc w:val="center"/>
              <w:rPr>
                <w:bCs/>
                <w:sz w:val="18"/>
                <w:szCs w:val="18"/>
              </w:rPr>
            </w:pPr>
            <w:r w:rsidRPr="002B55E9">
              <w:rPr>
                <w:bCs/>
                <w:sz w:val="18"/>
                <w:szCs w:val="18"/>
              </w:rPr>
              <w:t>15</w:t>
            </w:r>
          </w:p>
        </w:tc>
        <w:tc>
          <w:tcPr>
            <w:tcW w:w="1106" w:type="dxa"/>
            <w:vAlign w:val="center"/>
          </w:tcPr>
          <w:p w14:paraId="04B196F3" w14:textId="77777777" w:rsidR="00D170E5" w:rsidRPr="002B55E9" w:rsidRDefault="00EF27AD">
            <w:pPr>
              <w:jc w:val="center"/>
              <w:rPr>
                <w:bCs/>
                <w:sz w:val="18"/>
                <w:szCs w:val="18"/>
              </w:rPr>
            </w:pPr>
            <w:r w:rsidRPr="002B55E9">
              <w:rPr>
                <w:bCs/>
                <w:sz w:val="18"/>
                <w:szCs w:val="18"/>
              </w:rPr>
              <w:t>151</w:t>
            </w:r>
          </w:p>
        </w:tc>
        <w:tc>
          <w:tcPr>
            <w:tcW w:w="692" w:type="dxa"/>
            <w:vAlign w:val="center"/>
          </w:tcPr>
          <w:p w14:paraId="2BF8A280" w14:textId="77777777" w:rsidR="00D170E5" w:rsidRPr="002B55E9" w:rsidRDefault="00EF27AD">
            <w:pPr>
              <w:jc w:val="center"/>
              <w:rPr>
                <w:bCs/>
                <w:sz w:val="18"/>
                <w:szCs w:val="18"/>
              </w:rPr>
            </w:pPr>
            <w:r w:rsidRPr="002B55E9">
              <w:rPr>
                <w:bCs/>
                <w:sz w:val="18"/>
                <w:szCs w:val="18"/>
              </w:rPr>
              <w:t>10</w:t>
            </w:r>
          </w:p>
        </w:tc>
        <w:tc>
          <w:tcPr>
            <w:tcW w:w="1798" w:type="dxa"/>
            <w:vAlign w:val="center"/>
          </w:tcPr>
          <w:p w14:paraId="7C7EC124" w14:textId="77777777" w:rsidR="00D170E5" w:rsidRPr="002B55E9" w:rsidRDefault="00EF27AD">
            <w:pPr>
              <w:spacing w:line="240" w:lineRule="atLeast"/>
              <w:ind w:rightChars="-45" w:right="-90"/>
              <w:jc w:val="center"/>
              <w:rPr>
                <w:bCs/>
                <w:sz w:val="18"/>
                <w:szCs w:val="18"/>
              </w:rPr>
            </w:pPr>
            <w:r w:rsidRPr="002B55E9">
              <w:rPr>
                <w:bCs/>
                <w:sz w:val="18"/>
                <w:szCs w:val="18"/>
              </w:rPr>
              <w:t>茚并</w:t>
            </w:r>
            <w:r w:rsidRPr="002B55E9">
              <w:rPr>
                <w:bCs/>
                <w:sz w:val="18"/>
                <w:szCs w:val="18"/>
              </w:rPr>
              <w:t>[1,2,3-cd]</w:t>
            </w:r>
            <w:r w:rsidRPr="002B55E9">
              <w:rPr>
                <w:bCs/>
                <w:sz w:val="18"/>
                <w:szCs w:val="18"/>
              </w:rPr>
              <w:t>芘</w:t>
            </w:r>
          </w:p>
        </w:tc>
        <w:tc>
          <w:tcPr>
            <w:tcW w:w="1099" w:type="dxa"/>
            <w:vAlign w:val="center"/>
          </w:tcPr>
          <w:p w14:paraId="25C48E92" w14:textId="77777777" w:rsidR="00D170E5" w:rsidRPr="002B55E9" w:rsidRDefault="00EF27AD">
            <w:pPr>
              <w:jc w:val="center"/>
              <w:rPr>
                <w:bCs/>
                <w:sz w:val="18"/>
                <w:szCs w:val="18"/>
              </w:rPr>
            </w:pPr>
            <w:r w:rsidRPr="002B55E9">
              <w:rPr>
                <w:bCs/>
                <w:sz w:val="18"/>
                <w:szCs w:val="18"/>
              </w:rPr>
              <w:t>15</w:t>
            </w:r>
          </w:p>
        </w:tc>
        <w:tc>
          <w:tcPr>
            <w:tcW w:w="1087" w:type="dxa"/>
            <w:vAlign w:val="center"/>
          </w:tcPr>
          <w:p w14:paraId="009E40B3" w14:textId="77777777" w:rsidR="00D170E5" w:rsidRPr="002B55E9" w:rsidRDefault="00EF27AD">
            <w:pPr>
              <w:jc w:val="center"/>
              <w:rPr>
                <w:bCs/>
                <w:sz w:val="18"/>
                <w:szCs w:val="18"/>
              </w:rPr>
            </w:pPr>
            <w:r w:rsidRPr="002B55E9">
              <w:rPr>
                <w:bCs/>
                <w:sz w:val="18"/>
                <w:szCs w:val="18"/>
              </w:rPr>
              <w:t>151</w:t>
            </w:r>
          </w:p>
        </w:tc>
      </w:tr>
      <w:tr w:rsidR="002B55E9" w:rsidRPr="002B55E9" w14:paraId="09FB4A1C" w14:textId="77777777">
        <w:trPr>
          <w:trHeight w:val="284"/>
          <w:jc w:val="center"/>
        </w:trPr>
        <w:tc>
          <w:tcPr>
            <w:tcW w:w="668" w:type="dxa"/>
            <w:vAlign w:val="center"/>
          </w:tcPr>
          <w:p w14:paraId="654DD226" w14:textId="77777777" w:rsidR="00D170E5" w:rsidRPr="002B55E9" w:rsidRDefault="00EF27AD">
            <w:pPr>
              <w:jc w:val="center"/>
              <w:rPr>
                <w:bCs/>
                <w:sz w:val="18"/>
                <w:szCs w:val="18"/>
              </w:rPr>
            </w:pPr>
            <w:r w:rsidRPr="002B55E9">
              <w:rPr>
                <w:bCs/>
                <w:sz w:val="18"/>
                <w:szCs w:val="18"/>
              </w:rPr>
              <w:t>5</w:t>
            </w:r>
          </w:p>
        </w:tc>
        <w:tc>
          <w:tcPr>
            <w:tcW w:w="2080" w:type="dxa"/>
            <w:vAlign w:val="center"/>
          </w:tcPr>
          <w:p w14:paraId="7583F7A9" w14:textId="77777777" w:rsidR="00D170E5" w:rsidRPr="002B55E9" w:rsidRDefault="00EF27AD">
            <w:pPr>
              <w:spacing w:line="240" w:lineRule="atLeast"/>
              <w:ind w:rightChars="-45" w:right="-90"/>
              <w:jc w:val="center"/>
              <w:rPr>
                <w:bCs/>
                <w:sz w:val="18"/>
                <w:szCs w:val="18"/>
              </w:rPr>
            </w:pPr>
            <w:r w:rsidRPr="002B55E9">
              <w:rPr>
                <w:bCs/>
                <w:sz w:val="18"/>
                <w:szCs w:val="18"/>
              </w:rPr>
              <w:t>苯并</w:t>
            </w:r>
            <w:r w:rsidRPr="002B55E9">
              <w:rPr>
                <w:bCs/>
                <w:sz w:val="18"/>
                <w:szCs w:val="18"/>
              </w:rPr>
              <w:t>[a]</w:t>
            </w:r>
            <w:r w:rsidRPr="002B55E9">
              <w:rPr>
                <w:bCs/>
                <w:sz w:val="18"/>
                <w:szCs w:val="18"/>
              </w:rPr>
              <w:t>芘</w:t>
            </w:r>
          </w:p>
        </w:tc>
        <w:tc>
          <w:tcPr>
            <w:tcW w:w="1108" w:type="dxa"/>
            <w:vAlign w:val="center"/>
          </w:tcPr>
          <w:p w14:paraId="62C0F1E6" w14:textId="77777777" w:rsidR="00D170E5" w:rsidRPr="002B55E9" w:rsidRDefault="00EF27AD">
            <w:pPr>
              <w:jc w:val="center"/>
              <w:rPr>
                <w:bCs/>
                <w:sz w:val="18"/>
                <w:szCs w:val="18"/>
              </w:rPr>
            </w:pPr>
            <w:r w:rsidRPr="002B55E9">
              <w:rPr>
                <w:bCs/>
                <w:sz w:val="18"/>
                <w:szCs w:val="18"/>
              </w:rPr>
              <w:t>1.5</w:t>
            </w:r>
          </w:p>
        </w:tc>
        <w:tc>
          <w:tcPr>
            <w:tcW w:w="1106" w:type="dxa"/>
            <w:vAlign w:val="center"/>
          </w:tcPr>
          <w:p w14:paraId="1F0CE6CA" w14:textId="77777777" w:rsidR="00D170E5" w:rsidRPr="002B55E9" w:rsidRDefault="00EF27AD">
            <w:pPr>
              <w:jc w:val="center"/>
              <w:rPr>
                <w:bCs/>
                <w:sz w:val="18"/>
                <w:szCs w:val="18"/>
              </w:rPr>
            </w:pPr>
            <w:r w:rsidRPr="002B55E9">
              <w:rPr>
                <w:bCs/>
                <w:sz w:val="18"/>
                <w:szCs w:val="18"/>
              </w:rPr>
              <w:t>15</w:t>
            </w:r>
          </w:p>
        </w:tc>
        <w:tc>
          <w:tcPr>
            <w:tcW w:w="692" w:type="dxa"/>
            <w:vAlign w:val="center"/>
          </w:tcPr>
          <w:p w14:paraId="4CFE8BE1" w14:textId="77777777" w:rsidR="00D170E5" w:rsidRPr="002B55E9" w:rsidRDefault="00EF27AD">
            <w:pPr>
              <w:jc w:val="center"/>
              <w:rPr>
                <w:bCs/>
                <w:sz w:val="18"/>
                <w:szCs w:val="18"/>
              </w:rPr>
            </w:pPr>
            <w:r w:rsidRPr="002B55E9">
              <w:rPr>
                <w:bCs/>
                <w:sz w:val="18"/>
                <w:szCs w:val="18"/>
              </w:rPr>
              <w:t>11</w:t>
            </w:r>
          </w:p>
        </w:tc>
        <w:tc>
          <w:tcPr>
            <w:tcW w:w="1798" w:type="dxa"/>
            <w:vAlign w:val="center"/>
          </w:tcPr>
          <w:p w14:paraId="5C490EED" w14:textId="77777777" w:rsidR="00D170E5" w:rsidRPr="002B55E9" w:rsidRDefault="00EF27AD">
            <w:pPr>
              <w:spacing w:line="240" w:lineRule="atLeast"/>
              <w:ind w:rightChars="-45" w:right="-90"/>
              <w:jc w:val="center"/>
              <w:rPr>
                <w:bCs/>
                <w:sz w:val="18"/>
                <w:szCs w:val="18"/>
              </w:rPr>
            </w:pPr>
            <w:r w:rsidRPr="002B55E9">
              <w:rPr>
                <w:bCs/>
                <w:sz w:val="18"/>
                <w:szCs w:val="18"/>
              </w:rPr>
              <w:t>萘</w:t>
            </w:r>
          </w:p>
        </w:tc>
        <w:tc>
          <w:tcPr>
            <w:tcW w:w="1099" w:type="dxa"/>
            <w:vAlign w:val="center"/>
          </w:tcPr>
          <w:p w14:paraId="79CE9248" w14:textId="77777777" w:rsidR="00D170E5" w:rsidRPr="002B55E9" w:rsidRDefault="00EF27AD">
            <w:pPr>
              <w:jc w:val="center"/>
              <w:rPr>
                <w:bCs/>
                <w:sz w:val="18"/>
                <w:szCs w:val="18"/>
              </w:rPr>
            </w:pPr>
            <w:r w:rsidRPr="002B55E9">
              <w:rPr>
                <w:bCs/>
                <w:sz w:val="18"/>
                <w:szCs w:val="18"/>
              </w:rPr>
              <w:t>70</w:t>
            </w:r>
          </w:p>
        </w:tc>
        <w:tc>
          <w:tcPr>
            <w:tcW w:w="1087" w:type="dxa"/>
            <w:vAlign w:val="center"/>
          </w:tcPr>
          <w:p w14:paraId="04CEBB7C" w14:textId="77777777" w:rsidR="00D170E5" w:rsidRPr="002B55E9" w:rsidRDefault="00EF27AD">
            <w:pPr>
              <w:jc w:val="center"/>
              <w:rPr>
                <w:bCs/>
                <w:sz w:val="18"/>
                <w:szCs w:val="18"/>
              </w:rPr>
            </w:pPr>
            <w:r w:rsidRPr="002B55E9">
              <w:rPr>
                <w:bCs/>
                <w:sz w:val="18"/>
                <w:szCs w:val="18"/>
              </w:rPr>
              <w:t>700</w:t>
            </w:r>
          </w:p>
        </w:tc>
      </w:tr>
      <w:tr w:rsidR="002B55E9" w:rsidRPr="002B55E9" w14:paraId="5F0D797E" w14:textId="77777777">
        <w:trPr>
          <w:trHeight w:val="284"/>
          <w:jc w:val="center"/>
        </w:trPr>
        <w:tc>
          <w:tcPr>
            <w:tcW w:w="668" w:type="dxa"/>
            <w:vAlign w:val="center"/>
          </w:tcPr>
          <w:p w14:paraId="0856C148" w14:textId="77777777" w:rsidR="00D170E5" w:rsidRPr="002B55E9" w:rsidRDefault="00EF27AD">
            <w:pPr>
              <w:jc w:val="center"/>
              <w:rPr>
                <w:bCs/>
                <w:sz w:val="18"/>
                <w:szCs w:val="18"/>
              </w:rPr>
            </w:pPr>
            <w:r w:rsidRPr="002B55E9">
              <w:rPr>
                <w:bCs/>
                <w:sz w:val="18"/>
                <w:szCs w:val="18"/>
              </w:rPr>
              <w:t>6</w:t>
            </w:r>
          </w:p>
        </w:tc>
        <w:tc>
          <w:tcPr>
            <w:tcW w:w="2080" w:type="dxa"/>
            <w:vAlign w:val="center"/>
          </w:tcPr>
          <w:p w14:paraId="0341A7F9" w14:textId="77777777" w:rsidR="00D170E5" w:rsidRPr="002B55E9" w:rsidRDefault="00EF27AD">
            <w:pPr>
              <w:spacing w:line="240" w:lineRule="atLeast"/>
              <w:ind w:rightChars="-45" w:right="-90"/>
              <w:jc w:val="center"/>
              <w:rPr>
                <w:bCs/>
                <w:sz w:val="18"/>
                <w:szCs w:val="18"/>
              </w:rPr>
            </w:pPr>
            <w:r w:rsidRPr="002B55E9">
              <w:rPr>
                <w:bCs/>
                <w:sz w:val="18"/>
                <w:szCs w:val="18"/>
              </w:rPr>
              <w:t>苯并</w:t>
            </w:r>
            <w:r w:rsidRPr="002B55E9">
              <w:rPr>
                <w:bCs/>
                <w:sz w:val="18"/>
                <w:szCs w:val="18"/>
              </w:rPr>
              <w:t>[b]</w:t>
            </w:r>
            <w:r w:rsidRPr="002B55E9">
              <w:rPr>
                <w:bCs/>
                <w:sz w:val="18"/>
                <w:szCs w:val="18"/>
              </w:rPr>
              <w:t>荧蒽</w:t>
            </w:r>
          </w:p>
        </w:tc>
        <w:tc>
          <w:tcPr>
            <w:tcW w:w="1108" w:type="dxa"/>
            <w:vAlign w:val="center"/>
          </w:tcPr>
          <w:p w14:paraId="08D5B382" w14:textId="77777777" w:rsidR="00D170E5" w:rsidRPr="002B55E9" w:rsidRDefault="00EF27AD">
            <w:pPr>
              <w:jc w:val="center"/>
              <w:rPr>
                <w:bCs/>
                <w:sz w:val="18"/>
                <w:szCs w:val="18"/>
              </w:rPr>
            </w:pPr>
            <w:r w:rsidRPr="002B55E9">
              <w:rPr>
                <w:bCs/>
                <w:sz w:val="18"/>
                <w:szCs w:val="18"/>
              </w:rPr>
              <w:t>15</w:t>
            </w:r>
          </w:p>
        </w:tc>
        <w:tc>
          <w:tcPr>
            <w:tcW w:w="1106" w:type="dxa"/>
            <w:vAlign w:val="center"/>
          </w:tcPr>
          <w:p w14:paraId="0954309D" w14:textId="77777777" w:rsidR="00D170E5" w:rsidRPr="002B55E9" w:rsidRDefault="00EF27AD">
            <w:pPr>
              <w:jc w:val="center"/>
              <w:rPr>
                <w:bCs/>
                <w:sz w:val="18"/>
                <w:szCs w:val="18"/>
              </w:rPr>
            </w:pPr>
            <w:r w:rsidRPr="002B55E9">
              <w:rPr>
                <w:bCs/>
                <w:sz w:val="18"/>
                <w:szCs w:val="18"/>
              </w:rPr>
              <w:t>151</w:t>
            </w:r>
          </w:p>
        </w:tc>
        <w:tc>
          <w:tcPr>
            <w:tcW w:w="692" w:type="dxa"/>
            <w:vAlign w:val="center"/>
          </w:tcPr>
          <w:p w14:paraId="7DD9ABD9" w14:textId="77777777" w:rsidR="00D170E5" w:rsidRPr="002B55E9" w:rsidRDefault="00D170E5">
            <w:pPr>
              <w:jc w:val="center"/>
              <w:rPr>
                <w:bCs/>
                <w:sz w:val="18"/>
                <w:szCs w:val="18"/>
              </w:rPr>
            </w:pPr>
          </w:p>
        </w:tc>
        <w:tc>
          <w:tcPr>
            <w:tcW w:w="1798" w:type="dxa"/>
            <w:vAlign w:val="center"/>
          </w:tcPr>
          <w:p w14:paraId="22A296F4" w14:textId="77777777" w:rsidR="00D170E5" w:rsidRPr="002B55E9" w:rsidRDefault="00D170E5">
            <w:pPr>
              <w:jc w:val="center"/>
              <w:rPr>
                <w:bCs/>
                <w:sz w:val="18"/>
                <w:szCs w:val="18"/>
              </w:rPr>
            </w:pPr>
          </w:p>
        </w:tc>
        <w:tc>
          <w:tcPr>
            <w:tcW w:w="1099" w:type="dxa"/>
            <w:vAlign w:val="center"/>
          </w:tcPr>
          <w:p w14:paraId="5285C99C" w14:textId="77777777" w:rsidR="00D170E5" w:rsidRPr="002B55E9" w:rsidRDefault="00D170E5">
            <w:pPr>
              <w:jc w:val="center"/>
              <w:rPr>
                <w:bCs/>
                <w:sz w:val="18"/>
                <w:szCs w:val="18"/>
              </w:rPr>
            </w:pPr>
          </w:p>
        </w:tc>
        <w:tc>
          <w:tcPr>
            <w:tcW w:w="1087" w:type="dxa"/>
            <w:vAlign w:val="center"/>
          </w:tcPr>
          <w:p w14:paraId="71943DA3" w14:textId="77777777" w:rsidR="00D170E5" w:rsidRPr="002B55E9" w:rsidRDefault="00D170E5">
            <w:pPr>
              <w:jc w:val="center"/>
              <w:rPr>
                <w:bCs/>
                <w:sz w:val="18"/>
                <w:szCs w:val="18"/>
              </w:rPr>
            </w:pPr>
          </w:p>
        </w:tc>
      </w:tr>
      <w:tr w:rsidR="002B55E9" w:rsidRPr="002B55E9" w14:paraId="425B3F50" w14:textId="77777777">
        <w:trPr>
          <w:trHeight w:val="284"/>
          <w:jc w:val="center"/>
        </w:trPr>
        <w:tc>
          <w:tcPr>
            <w:tcW w:w="668" w:type="dxa"/>
            <w:vAlign w:val="center"/>
          </w:tcPr>
          <w:p w14:paraId="22FACA8A" w14:textId="77777777" w:rsidR="00D170E5" w:rsidRPr="002B55E9" w:rsidRDefault="00EF27AD">
            <w:pPr>
              <w:jc w:val="center"/>
              <w:rPr>
                <w:b/>
                <w:bCs/>
                <w:sz w:val="18"/>
                <w:szCs w:val="18"/>
              </w:rPr>
            </w:pPr>
            <w:r w:rsidRPr="002B55E9">
              <w:rPr>
                <w:rFonts w:hint="eastAsia"/>
                <w:b/>
                <w:bCs/>
                <w:sz w:val="18"/>
                <w:szCs w:val="18"/>
              </w:rPr>
              <w:t>四</w:t>
            </w:r>
          </w:p>
        </w:tc>
        <w:tc>
          <w:tcPr>
            <w:tcW w:w="8970" w:type="dxa"/>
            <w:gridSpan w:val="7"/>
            <w:vAlign w:val="center"/>
          </w:tcPr>
          <w:p w14:paraId="0A38DBF7" w14:textId="77777777" w:rsidR="00D170E5" w:rsidRPr="002B55E9" w:rsidRDefault="00EF27AD">
            <w:pPr>
              <w:jc w:val="left"/>
              <w:rPr>
                <w:b/>
                <w:bCs/>
                <w:sz w:val="18"/>
                <w:szCs w:val="18"/>
              </w:rPr>
            </w:pPr>
            <w:r w:rsidRPr="002B55E9">
              <w:rPr>
                <w:rFonts w:hint="eastAsia"/>
                <w:b/>
                <w:bCs/>
                <w:sz w:val="18"/>
                <w:szCs w:val="18"/>
              </w:rPr>
              <w:t>石油烃类</w:t>
            </w:r>
          </w:p>
        </w:tc>
      </w:tr>
      <w:tr w:rsidR="002B55E9" w:rsidRPr="002B55E9" w14:paraId="5147A31D" w14:textId="77777777">
        <w:trPr>
          <w:trHeight w:val="284"/>
          <w:jc w:val="center"/>
        </w:trPr>
        <w:tc>
          <w:tcPr>
            <w:tcW w:w="668" w:type="dxa"/>
            <w:vAlign w:val="center"/>
          </w:tcPr>
          <w:p w14:paraId="4198BCD3" w14:textId="77777777" w:rsidR="00D170E5" w:rsidRPr="002B55E9" w:rsidRDefault="00EF27AD">
            <w:pPr>
              <w:jc w:val="center"/>
              <w:rPr>
                <w:bCs/>
                <w:sz w:val="18"/>
                <w:szCs w:val="18"/>
              </w:rPr>
            </w:pPr>
            <w:r w:rsidRPr="002B55E9">
              <w:rPr>
                <w:rFonts w:hint="eastAsia"/>
                <w:bCs/>
                <w:sz w:val="18"/>
                <w:szCs w:val="18"/>
              </w:rPr>
              <w:t>1</w:t>
            </w:r>
          </w:p>
        </w:tc>
        <w:tc>
          <w:tcPr>
            <w:tcW w:w="2080" w:type="dxa"/>
            <w:vAlign w:val="center"/>
          </w:tcPr>
          <w:p w14:paraId="1B90BF8C" w14:textId="77777777" w:rsidR="00D170E5" w:rsidRPr="002B55E9" w:rsidRDefault="00EF27AD">
            <w:pPr>
              <w:spacing w:line="240" w:lineRule="atLeast"/>
              <w:ind w:rightChars="-45" w:right="-90"/>
              <w:jc w:val="center"/>
              <w:rPr>
                <w:bCs/>
                <w:sz w:val="18"/>
                <w:szCs w:val="18"/>
              </w:rPr>
            </w:pPr>
            <w:r w:rsidRPr="002B55E9">
              <w:rPr>
                <w:rFonts w:hint="eastAsia"/>
                <w:bCs/>
                <w:sz w:val="18"/>
                <w:szCs w:val="18"/>
              </w:rPr>
              <w:t>石油烃（</w:t>
            </w:r>
            <w:r w:rsidRPr="002B55E9">
              <w:rPr>
                <w:rFonts w:hint="eastAsia"/>
                <w:bCs/>
                <w:sz w:val="18"/>
                <w:szCs w:val="18"/>
              </w:rPr>
              <w:t>C</w:t>
            </w:r>
            <w:r w:rsidRPr="002B55E9">
              <w:rPr>
                <w:rFonts w:hint="eastAsia"/>
                <w:bCs/>
                <w:sz w:val="18"/>
                <w:szCs w:val="18"/>
                <w:vertAlign w:val="subscript"/>
              </w:rPr>
              <w:t>10</w:t>
            </w:r>
            <w:r w:rsidRPr="002B55E9">
              <w:rPr>
                <w:rFonts w:hint="eastAsia"/>
                <w:bCs/>
                <w:sz w:val="18"/>
                <w:szCs w:val="18"/>
              </w:rPr>
              <w:t>-C</w:t>
            </w:r>
            <w:r w:rsidRPr="002B55E9">
              <w:rPr>
                <w:rFonts w:hint="eastAsia"/>
                <w:bCs/>
                <w:sz w:val="18"/>
                <w:szCs w:val="18"/>
                <w:vertAlign w:val="subscript"/>
              </w:rPr>
              <w:t>40</w:t>
            </w:r>
            <w:r w:rsidRPr="002B55E9">
              <w:rPr>
                <w:rFonts w:hint="eastAsia"/>
                <w:bCs/>
                <w:sz w:val="18"/>
                <w:szCs w:val="18"/>
              </w:rPr>
              <w:t>）</w:t>
            </w:r>
          </w:p>
        </w:tc>
        <w:tc>
          <w:tcPr>
            <w:tcW w:w="1108" w:type="dxa"/>
            <w:vAlign w:val="center"/>
          </w:tcPr>
          <w:p w14:paraId="1B112FFC" w14:textId="77777777" w:rsidR="00D170E5" w:rsidRPr="002B55E9" w:rsidRDefault="00EF27AD">
            <w:pPr>
              <w:jc w:val="center"/>
              <w:rPr>
                <w:bCs/>
                <w:sz w:val="18"/>
                <w:szCs w:val="18"/>
              </w:rPr>
            </w:pPr>
            <w:r w:rsidRPr="002B55E9">
              <w:rPr>
                <w:rFonts w:hint="eastAsia"/>
                <w:bCs/>
                <w:sz w:val="18"/>
                <w:szCs w:val="18"/>
              </w:rPr>
              <w:t>4500</w:t>
            </w:r>
          </w:p>
        </w:tc>
        <w:tc>
          <w:tcPr>
            <w:tcW w:w="1106" w:type="dxa"/>
            <w:vAlign w:val="center"/>
          </w:tcPr>
          <w:p w14:paraId="7D6A8D04" w14:textId="77777777" w:rsidR="00D170E5" w:rsidRPr="002B55E9" w:rsidRDefault="00EF27AD">
            <w:pPr>
              <w:jc w:val="center"/>
              <w:rPr>
                <w:bCs/>
                <w:sz w:val="18"/>
                <w:szCs w:val="18"/>
              </w:rPr>
            </w:pPr>
            <w:r w:rsidRPr="002B55E9">
              <w:rPr>
                <w:rFonts w:hint="eastAsia"/>
                <w:bCs/>
                <w:sz w:val="18"/>
                <w:szCs w:val="18"/>
              </w:rPr>
              <w:t>9000</w:t>
            </w:r>
          </w:p>
        </w:tc>
        <w:tc>
          <w:tcPr>
            <w:tcW w:w="692" w:type="dxa"/>
            <w:vAlign w:val="center"/>
          </w:tcPr>
          <w:p w14:paraId="7BB0D4AD" w14:textId="77777777" w:rsidR="00D170E5" w:rsidRPr="002B55E9" w:rsidRDefault="00D170E5">
            <w:pPr>
              <w:jc w:val="center"/>
              <w:rPr>
                <w:bCs/>
                <w:sz w:val="18"/>
                <w:szCs w:val="18"/>
              </w:rPr>
            </w:pPr>
          </w:p>
        </w:tc>
        <w:tc>
          <w:tcPr>
            <w:tcW w:w="1798" w:type="dxa"/>
            <w:vAlign w:val="center"/>
          </w:tcPr>
          <w:p w14:paraId="49DBE55C" w14:textId="77777777" w:rsidR="00D170E5" w:rsidRPr="002B55E9" w:rsidRDefault="00D170E5">
            <w:pPr>
              <w:jc w:val="center"/>
              <w:rPr>
                <w:bCs/>
                <w:sz w:val="18"/>
                <w:szCs w:val="18"/>
              </w:rPr>
            </w:pPr>
          </w:p>
        </w:tc>
        <w:tc>
          <w:tcPr>
            <w:tcW w:w="1099" w:type="dxa"/>
            <w:vAlign w:val="center"/>
          </w:tcPr>
          <w:p w14:paraId="13FAE5A6" w14:textId="77777777" w:rsidR="00D170E5" w:rsidRPr="002B55E9" w:rsidRDefault="00D170E5">
            <w:pPr>
              <w:jc w:val="center"/>
              <w:rPr>
                <w:bCs/>
                <w:sz w:val="18"/>
                <w:szCs w:val="18"/>
              </w:rPr>
            </w:pPr>
          </w:p>
        </w:tc>
        <w:tc>
          <w:tcPr>
            <w:tcW w:w="1087" w:type="dxa"/>
            <w:vAlign w:val="center"/>
          </w:tcPr>
          <w:p w14:paraId="1B48C203" w14:textId="77777777" w:rsidR="00D170E5" w:rsidRPr="002B55E9" w:rsidRDefault="00D170E5">
            <w:pPr>
              <w:jc w:val="center"/>
              <w:rPr>
                <w:bCs/>
                <w:sz w:val="18"/>
                <w:szCs w:val="18"/>
              </w:rPr>
            </w:pPr>
          </w:p>
        </w:tc>
      </w:tr>
      <w:tr w:rsidR="002B55E9" w:rsidRPr="002B55E9" w14:paraId="4F25BC01" w14:textId="77777777">
        <w:trPr>
          <w:trHeight w:val="284"/>
          <w:jc w:val="center"/>
        </w:trPr>
        <w:tc>
          <w:tcPr>
            <w:tcW w:w="9638" w:type="dxa"/>
            <w:gridSpan w:val="8"/>
            <w:vAlign w:val="center"/>
          </w:tcPr>
          <w:p w14:paraId="444967F3" w14:textId="77777777" w:rsidR="00D170E5" w:rsidRPr="002B55E9" w:rsidRDefault="00EF27AD">
            <w:pPr>
              <w:rPr>
                <w:bCs/>
                <w:sz w:val="18"/>
                <w:szCs w:val="18"/>
              </w:rPr>
            </w:pPr>
            <w:r w:rsidRPr="002B55E9">
              <w:rPr>
                <w:rFonts w:ascii="宋体" w:hAnsi="宋体" w:cs="宋体" w:hint="eastAsia"/>
                <w:bCs/>
                <w:sz w:val="18"/>
                <w:szCs w:val="18"/>
              </w:rPr>
              <w:t>①</w:t>
            </w:r>
            <w:r w:rsidRPr="002B55E9">
              <w:rPr>
                <w:bCs/>
                <w:sz w:val="18"/>
                <w:szCs w:val="18"/>
              </w:rPr>
              <w:t>具体地块土壤中污染物检测含量超过筛选值，但等于或者低于土壤环境背景值水平的，不纳入污染地块管理。</w:t>
            </w:r>
          </w:p>
        </w:tc>
      </w:tr>
    </w:tbl>
    <w:p w14:paraId="75AA4D53" w14:textId="77777777" w:rsidR="00D170E5" w:rsidRPr="002B55E9" w:rsidRDefault="00EF27AD">
      <w:pPr>
        <w:pStyle w:val="5"/>
        <w:adjustRightInd w:val="0"/>
      </w:pPr>
      <w:bookmarkStart w:id="112" w:name="_Toc169616173"/>
      <w:bookmarkStart w:id="113" w:name="_Toc169616175"/>
      <w:bookmarkEnd w:id="111"/>
      <w:r w:rsidRPr="002B55E9">
        <w:rPr>
          <w:rFonts w:hint="eastAsia"/>
        </w:rPr>
        <w:t>地下水</w:t>
      </w:r>
    </w:p>
    <w:p w14:paraId="216556A0" w14:textId="77777777" w:rsidR="00D170E5" w:rsidRPr="002B55E9" w:rsidRDefault="00EF27AD">
      <w:pPr>
        <w:pStyle w:val="affff7"/>
        <w:widowControl w:val="0"/>
        <w:snapToGrid w:val="0"/>
        <w:spacing w:after="0"/>
      </w:pPr>
      <w:r w:rsidRPr="002B55E9">
        <w:t>项目所在地地下水环境执行《地下水质量标准》（</w:t>
      </w:r>
      <w:r w:rsidRPr="002B55E9">
        <w:t>GB/T14848-2017</w:t>
      </w:r>
      <w:r w:rsidRPr="002B55E9">
        <w:t>）中</w:t>
      </w:r>
      <w:r w:rsidRPr="002B55E9">
        <w:rPr>
          <w:rFonts w:ascii="宋体" w:hAnsi="宋体" w:hint="eastAsia"/>
        </w:rPr>
        <w:t>Ⅳ</w:t>
      </w:r>
      <w:r w:rsidRPr="002B55E9">
        <w:t>类标准要求，具体标准值见表</w:t>
      </w:r>
      <w:r w:rsidRPr="002B55E9">
        <w:t>1-5-5</w:t>
      </w:r>
      <w:r w:rsidRPr="002B55E9">
        <w:rPr>
          <w:rFonts w:hint="eastAsia"/>
        </w:rPr>
        <w:t>。</w:t>
      </w:r>
    </w:p>
    <w:p w14:paraId="47B8FA23" w14:textId="77777777" w:rsidR="00D170E5" w:rsidRPr="002B55E9" w:rsidRDefault="00D170E5">
      <w:pPr>
        <w:pStyle w:val="affff7"/>
        <w:widowControl w:val="0"/>
        <w:snapToGrid w:val="0"/>
        <w:spacing w:after="0"/>
      </w:pPr>
    </w:p>
    <w:p w14:paraId="4B3AD302" w14:textId="77777777" w:rsidR="00D170E5" w:rsidRPr="002B55E9" w:rsidRDefault="00D170E5">
      <w:pPr>
        <w:pStyle w:val="affff7"/>
        <w:widowControl w:val="0"/>
        <w:snapToGrid w:val="0"/>
        <w:spacing w:after="0"/>
      </w:pPr>
    </w:p>
    <w:p w14:paraId="2ABDDE6D" w14:textId="77777777" w:rsidR="00D170E5" w:rsidRPr="002B55E9" w:rsidRDefault="00D170E5">
      <w:pPr>
        <w:pStyle w:val="affff7"/>
        <w:widowControl w:val="0"/>
        <w:snapToGrid w:val="0"/>
        <w:spacing w:after="0"/>
      </w:pPr>
    </w:p>
    <w:p w14:paraId="510AC840" w14:textId="77777777" w:rsidR="00D170E5" w:rsidRPr="002B55E9" w:rsidRDefault="00EF27AD">
      <w:pPr>
        <w:pStyle w:val="aa"/>
        <w:keepNext/>
        <w:spacing w:line="240" w:lineRule="auto"/>
        <w:ind w:firstLine="0"/>
        <w:jc w:val="center"/>
        <w:rPr>
          <w:rFonts w:eastAsia="黑体"/>
          <w:b/>
        </w:rPr>
      </w:pPr>
      <w:r w:rsidRPr="002B55E9">
        <w:rPr>
          <w:rFonts w:eastAsia="黑体"/>
          <w:b/>
        </w:rPr>
        <w:lastRenderedPageBreak/>
        <w:t>表</w:t>
      </w:r>
      <w:r w:rsidRPr="002B55E9">
        <w:rPr>
          <w:rFonts w:eastAsia="黑体"/>
          <w:b/>
        </w:rPr>
        <w:t xml:space="preserve">1-5-5  </w:t>
      </w:r>
      <w:r w:rsidRPr="002B55E9">
        <w:rPr>
          <w:rFonts w:eastAsia="黑体"/>
          <w:b/>
        </w:rPr>
        <w:t>地下水环境质量标准一览表</w:t>
      </w:r>
      <w:r w:rsidRPr="002B55E9">
        <w:rPr>
          <w:rFonts w:eastAsia="黑体" w:hint="eastAsia"/>
          <w:b/>
        </w:rPr>
        <w:t xml:space="preserve"> </w:t>
      </w:r>
      <w:r w:rsidRPr="002B55E9">
        <w:rPr>
          <w:rFonts w:eastAsia="黑体"/>
          <w:b/>
        </w:rPr>
        <w:t xml:space="preserve">   </w:t>
      </w:r>
      <w:r w:rsidRPr="002B55E9">
        <w:rPr>
          <w:rFonts w:eastAsia="黑体"/>
          <w:b/>
        </w:rPr>
        <w:t>单位：</w:t>
      </w:r>
      <w:r w:rsidRPr="002B55E9">
        <w:rPr>
          <w:rFonts w:eastAsia="黑体"/>
          <w:b/>
        </w:rPr>
        <w:t>mg/L</w:t>
      </w:r>
      <w:r w:rsidRPr="002B55E9">
        <w:rPr>
          <w:rFonts w:eastAsia="黑体"/>
          <w:b/>
        </w:rPr>
        <w:t>（</w:t>
      </w:r>
      <w:r w:rsidRPr="002B55E9">
        <w:rPr>
          <w:rFonts w:eastAsia="黑体"/>
          <w:b/>
        </w:rPr>
        <w:t>pH</w:t>
      </w:r>
      <w:r w:rsidRPr="002B55E9">
        <w:rPr>
          <w:rFonts w:eastAsia="黑体"/>
          <w:b/>
        </w:rPr>
        <w:t>无量纲）</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3"/>
        <w:gridCol w:w="4222"/>
        <w:gridCol w:w="4359"/>
      </w:tblGrid>
      <w:tr w:rsidR="002B55E9" w:rsidRPr="002B55E9" w14:paraId="7D788E30" w14:textId="77777777">
        <w:trPr>
          <w:cantSplit/>
          <w:trHeight w:val="284"/>
          <w:tblHeader/>
          <w:jc w:val="center"/>
        </w:trPr>
        <w:tc>
          <w:tcPr>
            <w:tcW w:w="1273" w:type="dxa"/>
            <w:tcBorders>
              <w:top w:val="single" w:sz="12" w:space="0" w:color="auto"/>
              <w:bottom w:val="single" w:sz="12" w:space="0" w:color="auto"/>
            </w:tcBorders>
            <w:vAlign w:val="center"/>
          </w:tcPr>
          <w:p w14:paraId="25B1121F" w14:textId="77777777" w:rsidR="00D170E5" w:rsidRPr="002B55E9" w:rsidRDefault="00EF27AD">
            <w:pPr>
              <w:pStyle w:val="affff6"/>
              <w:snapToGrid w:val="0"/>
              <w:ind w:left="-105" w:right="-105"/>
              <w:rPr>
                <w:szCs w:val="18"/>
              </w:rPr>
            </w:pPr>
            <w:r w:rsidRPr="002B55E9">
              <w:rPr>
                <w:szCs w:val="18"/>
              </w:rPr>
              <w:t>序号</w:t>
            </w:r>
          </w:p>
        </w:tc>
        <w:tc>
          <w:tcPr>
            <w:tcW w:w="4222" w:type="dxa"/>
            <w:tcBorders>
              <w:top w:val="single" w:sz="12" w:space="0" w:color="auto"/>
              <w:bottom w:val="single" w:sz="12" w:space="0" w:color="auto"/>
            </w:tcBorders>
            <w:vAlign w:val="center"/>
          </w:tcPr>
          <w:p w14:paraId="1511050F" w14:textId="77777777" w:rsidR="00D170E5" w:rsidRPr="002B55E9" w:rsidRDefault="00EF27AD">
            <w:pPr>
              <w:pStyle w:val="affff6"/>
              <w:snapToGrid w:val="0"/>
              <w:ind w:left="-105" w:right="-105"/>
              <w:rPr>
                <w:szCs w:val="18"/>
              </w:rPr>
            </w:pPr>
            <w:r w:rsidRPr="002B55E9">
              <w:rPr>
                <w:szCs w:val="18"/>
              </w:rPr>
              <w:t>检测项目</w:t>
            </w:r>
          </w:p>
        </w:tc>
        <w:tc>
          <w:tcPr>
            <w:tcW w:w="4359" w:type="dxa"/>
            <w:tcBorders>
              <w:top w:val="single" w:sz="12" w:space="0" w:color="auto"/>
              <w:bottom w:val="single" w:sz="12" w:space="0" w:color="auto"/>
            </w:tcBorders>
            <w:vAlign w:val="center"/>
          </w:tcPr>
          <w:p w14:paraId="48FBC31A" w14:textId="77777777" w:rsidR="00D170E5" w:rsidRPr="002B55E9" w:rsidRDefault="00EF27AD">
            <w:pPr>
              <w:pStyle w:val="affff6"/>
              <w:snapToGrid w:val="0"/>
              <w:ind w:left="-105" w:right="-105"/>
              <w:rPr>
                <w:szCs w:val="18"/>
              </w:rPr>
            </w:pPr>
            <w:r w:rsidRPr="002B55E9">
              <w:rPr>
                <w:szCs w:val="18"/>
              </w:rPr>
              <w:t>评价标准</w:t>
            </w:r>
            <w:r w:rsidRPr="002B55E9">
              <w:rPr>
                <w:rFonts w:hint="eastAsia"/>
                <w:szCs w:val="18"/>
              </w:rPr>
              <w:t>（</w:t>
            </w:r>
            <w:r w:rsidRPr="002B55E9">
              <w:rPr>
                <w:szCs w:val="18"/>
              </w:rPr>
              <w:t>mg/L</w:t>
            </w:r>
            <w:r w:rsidRPr="002B55E9">
              <w:rPr>
                <w:rFonts w:hint="eastAsia"/>
                <w:szCs w:val="18"/>
              </w:rPr>
              <w:t>，</w:t>
            </w:r>
            <w:r w:rsidRPr="002B55E9">
              <w:rPr>
                <w:rFonts w:hint="eastAsia"/>
                <w:szCs w:val="18"/>
              </w:rPr>
              <w:t>pH</w:t>
            </w:r>
            <w:r w:rsidRPr="002B55E9">
              <w:rPr>
                <w:rFonts w:hint="eastAsia"/>
                <w:szCs w:val="18"/>
              </w:rPr>
              <w:t>无量纲）</w:t>
            </w:r>
          </w:p>
        </w:tc>
      </w:tr>
      <w:tr w:rsidR="002B55E9" w:rsidRPr="002B55E9" w14:paraId="6A905739" w14:textId="77777777">
        <w:trPr>
          <w:cantSplit/>
          <w:trHeight w:val="284"/>
          <w:tblHeader/>
          <w:jc w:val="center"/>
        </w:trPr>
        <w:tc>
          <w:tcPr>
            <w:tcW w:w="1273" w:type="dxa"/>
            <w:tcBorders>
              <w:top w:val="single" w:sz="12" w:space="0" w:color="auto"/>
            </w:tcBorders>
            <w:vAlign w:val="center"/>
          </w:tcPr>
          <w:p w14:paraId="14F3CE29" w14:textId="77777777" w:rsidR="00D170E5" w:rsidRPr="002B55E9" w:rsidRDefault="00EF27AD">
            <w:pPr>
              <w:pStyle w:val="affff6"/>
              <w:snapToGrid w:val="0"/>
              <w:ind w:left="-105" w:right="-105"/>
              <w:rPr>
                <w:szCs w:val="18"/>
              </w:rPr>
            </w:pPr>
            <w:r w:rsidRPr="002B55E9">
              <w:rPr>
                <w:szCs w:val="18"/>
              </w:rPr>
              <w:t>1</w:t>
            </w:r>
          </w:p>
        </w:tc>
        <w:tc>
          <w:tcPr>
            <w:tcW w:w="4222" w:type="dxa"/>
            <w:tcBorders>
              <w:top w:val="single" w:sz="12" w:space="0" w:color="auto"/>
            </w:tcBorders>
            <w:vAlign w:val="center"/>
          </w:tcPr>
          <w:p w14:paraId="6838C525" w14:textId="77777777" w:rsidR="00D170E5" w:rsidRPr="002B55E9" w:rsidRDefault="00EF27AD">
            <w:pPr>
              <w:pStyle w:val="affff6"/>
              <w:snapToGrid w:val="0"/>
              <w:ind w:left="-105" w:right="-105"/>
              <w:rPr>
                <w:szCs w:val="18"/>
              </w:rPr>
            </w:pPr>
            <w:r w:rsidRPr="002B55E9">
              <w:rPr>
                <w:szCs w:val="18"/>
              </w:rPr>
              <w:t>pH</w:t>
            </w:r>
          </w:p>
        </w:tc>
        <w:tc>
          <w:tcPr>
            <w:tcW w:w="4359" w:type="dxa"/>
            <w:tcBorders>
              <w:top w:val="single" w:sz="12" w:space="0" w:color="auto"/>
            </w:tcBorders>
            <w:vAlign w:val="center"/>
          </w:tcPr>
          <w:p w14:paraId="64F01CDE" w14:textId="77777777" w:rsidR="00D170E5" w:rsidRPr="002B55E9" w:rsidRDefault="00EF27AD">
            <w:pPr>
              <w:pStyle w:val="affff6"/>
              <w:snapToGrid w:val="0"/>
              <w:ind w:left="-105" w:right="-105"/>
              <w:rPr>
                <w:szCs w:val="18"/>
              </w:rPr>
            </w:pPr>
            <w:r w:rsidRPr="002B55E9">
              <w:rPr>
                <w:szCs w:val="18"/>
              </w:rPr>
              <w:t>6.</w:t>
            </w:r>
            <w:r w:rsidRPr="002B55E9">
              <w:rPr>
                <w:rFonts w:hint="eastAsia"/>
                <w:szCs w:val="18"/>
              </w:rPr>
              <w:t>5</w:t>
            </w:r>
            <w:r w:rsidRPr="002B55E9">
              <w:rPr>
                <w:szCs w:val="18"/>
              </w:rPr>
              <w:t>-8.5</w:t>
            </w:r>
          </w:p>
        </w:tc>
      </w:tr>
      <w:tr w:rsidR="002B55E9" w:rsidRPr="002B55E9" w14:paraId="5B086E7A" w14:textId="77777777">
        <w:trPr>
          <w:cantSplit/>
          <w:trHeight w:val="284"/>
          <w:tblHeader/>
          <w:jc w:val="center"/>
        </w:trPr>
        <w:tc>
          <w:tcPr>
            <w:tcW w:w="1273" w:type="dxa"/>
            <w:vAlign w:val="center"/>
          </w:tcPr>
          <w:p w14:paraId="3E6F1919" w14:textId="77777777" w:rsidR="00D170E5" w:rsidRPr="002B55E9" w:rsidRDefault="00EF27AD">
            <w:pPr>
              <w:pStyle w:val="affff6"/>
              <w:snapToGrid w:val="0"/>
              <w:ind w:left="-105" w:right="-105"/>
              <w:rPr>
                <w:szCs w:val="18"/>
              </w:rPr>
            </w:pPr>
            <w:r w:rsidRPr="002B55E9">
              <w:rPr>
                <w:szCs w:val="18"/>
              </w:rPr>
              <w:t>2</w:t>
            </w:r>
          </w:p>
        </w:tc>
        <w:tc>
          <w:tcPr>
            <w:tcW w:w="4222" w:type="dxa"/>
            <w:vAlign w:val="center"/>
          </w:tcPr>
          <w:p w14:paraId="4722A36E" w14:textId="77777777" w:rsidR="00D170E5" w:rsidRPr="002B55E9" w:rsidRDefault="00EF27AD">
            <w:pPr>
              <w:pStyle w:val="affff6"/>
              <w:snapToGrid w:val="0"/>
              <w:ind w:left="-105" w:right="-105"/>
              <w:rPr>
                <w:szCs w:val="18"/>
              </w:rPr>
            </w:pPr>
            <w:r w:rsidRPr="002B55E9">
              <w:rPr>
                <w:szCs w:val="18"/>
              </w:rPr>
              <w:t>总硬度</w:t>
            </w:r>
          </w:p>
        </w:tc>
        <w:tc>
          <w:tcPr>
            <w:tcW w:w="4359" w:type="dxa"/>
            <w:vAlign w:val="center"/>
          </w:tcPr>
          <w:p w14:paraId="16E49A84" w14:textId="77777777" w:rsidR="00D170E5" w:rsidRPr="002B55E9" w:rsidRDefault="00EF27AD">
            <w:pPr>
              <w:pStyle w:val="affff6"/>
              <w:snapToGrid w:val="0"/>
              <w:ind w:left="-105" w:right="-105"/>
              <w:rPr>
                <w:szCs w:val="18"/>
              </w:rPr>
            </w:pPr>
            <w:r w:rsidRPr="002B55E9">
              <w:rPr>
                <w:szCs w:val="18"/>
              </w:rPr>
              <w:t>≤650</w:t>
            </w:r>
          </w:p>
        </w:tc>
      </w:tr>
      <w:tr w:rsidR="002B55E9" w:rsidRPr="002B55E9" w14:paraId="67CB8E89" w14:textId="77777777">
        <w:trPr>
          <w:cantSplit/>
          <w:trHeight w:val="284"/>
          <w:tblHeader/>
          <w:jc w:val="center"/>
        </w:trPr>
        <w:tc>
          <w:tcPr>
            <w:tcW w:w="1273" w:type="dxa"/>
            <w:vAlign w:val="center"/>
          </w:tcPr>
          <w:p w14:paraId="6D8324D2" w14:textId="77777777" w:rsidR="00D170E5" w:rsidRPr="002B55E9" w:rsidRDefault="00EF27AD">
            <w:pPr>
              <w:pStyle w:val="affff6"/>
              <w:snapToGrid w:val="0"/>
              <w:ind w:left="-105" w:right="-105"/>
              <w:rPr>
                <w:szCs w:val="18"/>
              </w:rPr>
            </w:pPr>
            <w:r w:rsidRPr="002B55E9">
              <w:rPr>
                <w:szCs w:val="18"/>
              </w:rPr>
              <w:t>3</w:t>
            </w:r>
          </w:p>
        </w:tc>
        <w:tc>
          <w:tcPr>
            <w:tcW w:w="4222" w:type="dxa"/>
            <w:vAlign w:val="center"/>
          </w:tcPr>
          <w:p w14:paraId="5B2878B5" w14:textId="77777777" w:rsidR="00D170E5" w:rsidRPr="002B55E9" w:rsidRDefault="00EF27AD">
            <w:pPr>
              <w:pStyle w:val="affff6"/>
              <w:snapToGrid w:val="0"/>
              <w:ind w:left="-105" w:right="-105"/>
              <w:rPr>
                <w:szCs w:val="18"/>
              </w:rPr>
            </w:pPr>
            <w:r w:rsidRPr="002B55E9">
              <w:rPr>
                <w:szCs w:val="18"/>
              </w:rPr>
              <w:t>溶解性总固体</w:t>
            </w:r>
          </w:p>
        </w:tc>
        <w:tc>
          <w:tcPr>
            <w:tcW w:w="4359" w:type="dxa"/>
            <w:vAlign w:val="center"/>
          </w:tcPr>
          <w:p w14:paraId="3AABB1AA"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2000</w:t>
            </w:r>
          </w:p>
        </w:tc>
      </w:tr>
      <w:tr w:rsidR="002B55E9" w:rsidRPr="002B55E9" w14:paraId="45653AAE" w14:textId="77777777">
        <w:trPr>
          <w:cantSplit/>
          <w:trHeight w:val="284"/>
          <w:tblHeader/>
          <w:jc w:val="center"/>
        </w:trPr>
        <w:tc>
          <w:tcPr>
            <w:tcW w:w="1273" w:type="dxa"/>
            <w:vAlign w:val="center"/>
          </w:tcPr>
          <w:p w14:paraId="07281E6D" w14:textId="77777777" w:rsidR="00D170E5" w:rsidRPr="002B55E9" w:rsidRDefault="00EF27AD">
            <w:pPr>
              <w:pStyle w:val="affff6"/>
              <w:snapToGrid w:val="0"/>
              <w:ind w:left="-105" w:right="-105"/>
              <w:rPr>
                <w:szCs w:val="18"/>
              </w:rPr>
            </w:pPr>
            <w:r w:rsidRPr="002B55E9">
              <w:rPr>
                <w:szCs w:val="18"/>
              </w:rPr>
              <w:t>4</w:t>
            </w:r>
          </w:p>
        </w:tc>
        <w:tc>
          <w:tcPr>
            <w:tcW w:w="4222" w:type="dxa"/>
            <w:vAlign w:val="center"/>
          </w:tcPr>
          <w:p w14:paraId="2923EA5B" w14:textId="77777777" w:rsidR="00D170E5" w:rsidRPr="002B55E9" w:rsidRDefault="00EF27AD">
            <w:pPr>
              <w:pStyle w:val="affff6"/>
              <w:snapToGrid w:val="0"/>
              <w:ind w:left="-105" w:right="-105"/>
              <w:rPr>
                <w:szCs w:val="18"/>
              </w:rPr>
            </w:pPr>
            <w:r w:rsidRPr="002B55E9">
              <w:rPr>
                <w:szCs w:val="18"/>
              </w:rPr>
              <w:t>硝酸盐</w:t>
            </w:r>
          </w:p>
        </w:tc>
        <w:tc>
          <w:tcPr>
            <w:tcW w:w="4359" w:type="dxa"/>
            <w:vAlign w:val="center"/>
          </w:tcPr>
          <w:p w14:paraId="61E265B8" w14:textId="77777777" w:rsidR="00D170E5" w:rsidRPr="002B55E9" w:rsidRDefault="00EF27AD">
            <w:pPr>
              <w:pStyle w:val="affff6"/>
              <w:snapToGrid w:val="0"/>
              <w:ind w:left="-105" w:right="-105"/>
              <w:rPr>
                <w:szCs w:val="18"/>
              </w:rPr>
            </w:pPr>
            <w:r w:rsidRPr="002B55E9">
              <w:rPr>
                <w:szCs w:val="18"/>
              </w:rPr>
              <w:t>≤30.0</w:t>
            </w:r>
          </w:p>
        </w:tc>
      </w:tr>
      <w:tr w:rsidR="002B55E9" w:rsidRPr="002B55E9" w14:paraId="7158875E" w14:textId="77777777">
        <w:trPr>
          <w:cantSplit/>
          <w:trHeight w:val="284"/>
          <w:tblHeader/>
          <w:jc w:val="center"/>
        </w:trPr>
        <w:tc>
          <w:tcPr>
            <w:tcW w:w="1273" w:type="dxa"/>
            <w:vAlign w:val="center"/>
          </w:tcPr>
          <w:p w14:paraId="57890232" w14:textId="77777777" w:rsidR="00D170E5" w:rsidRPr="002B55E9" w:rsidRDefault="00EF27AD">
            <w:pPr>
              <w:pStyle w:val="affff6"/>
              <w:snapToGrid w:val="0"/>
              <w:ind w:left="-105" w:right="-105"/>
              <w:rPr>
                <w:szCs w:val="18"/>
              </w:rPr>
            </w:pPr>
            <w:r w:rsidRPr="002B55E9">
              <w:rPr>
                <w:szCs w:val="18"/>
              </w:rPr>
              <w:t>5</w:t>
            </w:r>
          </w:p>
        </w:tc>
        <w:tc>
          <w:tcPr>
            <w:tcW w:w="4222" w:type="dxa"/>
            <w:vAlign w:val="center"/>
          </w:tcPr>
          <w:p w14:paraId="3E2621F7" w14:textId="77777777" w:rsidR="00D170E5" w:rsidRPr="002B55E9" w:rsidRDefault="00EF27AD">
            <w:pPr>
              <w:pStyle w:val="affff6"/>
              <w:snapToGrid w:val="0"/>
              <w:ind w:left="-105" w:right="-105"/>
              <w:rPr>
                <w:szCs w:val="18"/>
              </w:rPr>
            </w:pPr>
            <w:r w:rsidRPr="002B55E9">
              <w:rPr>
                <w:szCs w:val="18"/>
              </w:rPr>
              <w:t>硫酸盐</w:t>
            </w:r>
          </w:p>
        </w:tc>
        <w:tc>
          <w:tcPr>
            <w:tcW w:w="4359" w:type="dxa"/>
            <w:vAlign w:val="center"/>
          </w:tcPr>
          <w:p w14:paraId="57F1C67D" w14:textId="77777777" w:rsidR="00D170E5" w:rsidRPr="002B55E9" w:rsidRDefault="00EF27AD">
            <w:pPr>
              <w:pStyle w:val="affff6"/>
              <w:snapToGrid w:val="0"/>
              <w:ind w:left="-105" w:right="-105"/>
              <w:rPr>
                <w:szCs w:val="18"/>
              </w:rPr>
            </w:pPr>
            <w:r w:rsidRPr="002B55E9">
              <w:rPr>
                <w:szCs w:val="18"/>
              </w:rPr>
              <w:t>≤250</w:t>
            </w:r>
          </w:p>
        </w:tc>
      </w:tr>
      <w:tr w:rsidR="002B55E9" w:rsidRPr="002B55E9" w14:paraId="293DC501" w14:textId="77777777">
        <w:trPr>
          <w:cantSplit/>
          <w:trHeight w:val="284"/>
          <w:tblHeader/>
          <w:jc w:val="center"/>
        </w:trPr>
        <w:tc>
          <w:tcPr>
            <w:tcW w:w="1273" w:type="dxa"/>
            <w:vAlign w:val="center"/>
          </w:tcPr>
          <w:p w14:paraId="6C4E18CE" w14:textId="77777777" w:rsidR="00D170E5" w:rsidRPr="002B55E9" w:rsidRDefault="00EF27AD">
            <w:pPr>
              <w:pStyle w:val="affff6"/>
              <w:snapToGrid w:val="0"/>
              <w:ind w:left="-105" w:right="-105"/>
              <w:rPr>
                <w:szCs w:val="18"/>
              </w:rPr>
            </w:pPr>
            <w:r w:rsidRPr="002B55E9">
              <w:rPr>
                <w:szCs w:val="18"/>
              </w:rPr>
              <w:t>6</w:t>
            </w:r>
          </w:p>
        </w:tc>
        <w:tc>
          <w:tcPr>
            <w:tcW w:w="4222" w:type="dxa"/>
            <w:vAlign w:val="center"/>
          </w:tcPr>
          <w:p w14:paraId="0B1A9A30" w14:textId="77777777" w:rsidR="00D170E5" w:rsidRPr="002B55E9" w:rsidRDefault="00EF27AD">
            <w:pPr>
              <w:pStyle w:val="affff6"/>
              <w:snapToGrid w:val="0"/>
              <w:ind w:left="-105" w:right="-105"/>
              <w:rPr>
                <w:szCs w:val="18"/>
              </w:rPr>
            </w:pPr>
            <w:r w:rsidRPr="002B55E9">
              <w:rPr>
                <w:szCs w:val="18"/>
              </w:rPr>
              <w:t>氯化物</w:t>
            </w:r>
          </w:p>
        </w:tc>
        <w:tc>
          <w:tcPr>
            <w:tcW w:w="4359" w:type="dxa"/>
            <w:vAlign w:val="center"/>
          </w:tcPr>
          <w:p w14:paraId="1699E6F3"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350</w:t>
            </w:r>
          </w:p>
        </w:tc>
      </w:tr>
      <w:tr w:rsidR="002B55E9" w:rsidRPr="002B55E9" w14:paraId="4623B19E" w14:textId="77777777">
        <w:trPr>
          <w:cantSplit/>
          <w:trHeight w:val="284"/>
          <w:tblHeader/>
          <w:jc w:val="center"/>
        </w:trPr>
        <w:tc>
          <w:tcPr>
            <w:tcW w:w="1273" w:type="dxa"/>
            <w:vAlign w:val="center"/>
          </w:tcPr>
          <w:p w14:paraId="41BB9134" w14:textId="77777777" w:rsidR="00D170E5" w:rsidRPr="002B55E9" w:rsidRDefault="00EF27AD">
            <w:pPr>
              <w:pStyle w:val="affff6"/>
              <w:snapToGrid w:val="0"/>
              <w:ind w:left="-105" w:right="-105"/>
              <w:rPr>
                <w:szCs w:val="18"/>
              </w:rPr>
            </w:pPr>
            <w:r w:rsidRPr="002B55E9">
              <w:rPr>
                <w:rFonts w:hint="eastAsia"/>
                <w:szCs w:val="18"/>
              </w:rPr>
              <w:t>7</w:t>
            </w:r>
          </w:p>
        </w:tc>
        <w:tc>
          <w:tcPr>
            <w:tcW w:w="4222" w:type="dxa"/>
            <w:vAlign w:val="center"/>
          </w:tcPr>
          <w:p w14:paraId="53BE4990" w14:textId="77777777" w:rsidR="00D170E5" w:rsidRPr="002B55E9" w:rsidRDefault="00EF27AD">
            <w:pPr>
              <w:pStyle w:val="affff6"/>
              <w:snapToGrid w:val="0"/>
              <w:ind w:left="-105" w:right="-105"/>
              <w:rPr>
                <w:szCs w:val="18"/>
              </w:rPr>
            </w:pPr>
            <w:r w:rsidRPr="002B55E9">
              <w:rPr>
                <w:szCs w:val="18"/>
              </w:rPr>
              <w:t>亚硝酸盐</w:t>
            </w:r>
          </w:p>
        </w:tc>
        <w:tc>
          <w:tcPr>
            <w:tcW w:w="4359" w:type="dxa"/>
            <w:vAlign w:val="center"/>
          </w:tcPr>
          <w:p w14:paraId="4618F2B4"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4.80</w:t>
            </w:r>
          </w:p>
        </w:tc>
      </w:tr>
      <w:tr w:rsidR="002B55E9" w:rsidRPr="002B55E9" w14:paraId="0E2222AD" w14:textId="77777777">
        <w:trPr>
          <w:cantSplit/>
          <w:trHeight w:val="284"/>
          <w:tblHeader/>
          <w:jc w:val="center"/>
        </w:trPr>
        <w:tc>
          <w:tcPr>
            <w:tcW w:w="1273" w:type="dxa"/>
            <w:vAlign w:val="center"/>
          </w:tcPr>
          <w:p w14:paraId="6261C626" w14:textId="77777777" w:rsidR="00D170E5" w:rsidRPr="002B55E9" w:rsidRDefault="00EF27AD">
            <w:pPr>
              <w:pStyle w:val="affff6"/>
              <w:snapToGrid w:val="0"/>
              <w:ind w:left="-105" w:right="-105"/>
              <w:rPr>
                <w:szCs w:val="18"/>
              </w:rPr>
            </w:pPr>
            <w:r w:rsidRPr="002B55E9">
              <w:rPr>
                <w:rFonts w:hint="eastAsia"/>
                <w:szCs w:val="18"/>
              </w:rPr>
              <w:t>8</w:t>
            </w:r>
          </w:p>
        </w:tc>
        <w:tc>
          <w:tcPr>
            <w:tcW w:w="4222" w:type="dxa"/>
            <w:vAlign w:val="center"/>
          </w:tcPr>
          <w:p w14:paraId="5BFB9225" w14:textId="77777777" w:rsidR="00D170E5" w:rsidRPr="002B55E9" w:rsidRDefault="00EF27AD">
            <w:pPr>
              <w:pStyle w:val="affff6"/>
              <w:snapToGrid w:val="0"/>
              <w:ind w:left="-105" w:right="-105"/>
              <w:rPr>
                <w:szCs w:val="18"/>
              </w:rPr>
            </w:pPr>
            <w:r w:rsidRPr="002B55E9">
              <w:rPr>
                <w:bCs/>
                <w:szCs w:val="18"/>
              </w:rPr>
              <w:t>铁</w:t>
            </w:r>
            <w:r w:rsidRPr="002B55E9">
              <w:rPr>
                <w:bCs/>
                <w:szCs w:val="18"/>
              </w:rPr>
              <w:t>(Fe)</w:t>
            </w:r>
          </w:p>
        </w:tc>
        <w:tc>
          <w:tcPr>
            <w:tcW w:w="4359" w:type="dxa"/>
            <w:vAlign w:val="center"/>
          </w:tcPr>
          <w:p w14:paraId="5D227652"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2.0</w:t>
            </w:r>
          </w:p>
        </w:tc>
      </w:tr>
      <w:tr w:rsidR="002B55E9" w:rsidRPr="002B55E9" w14:paraId="60726BDD" w14:textId="77777777">
        <w:trPr>
          <w:cantSplit/>
          <w:trHeight w:val="284"/>
          <w:tblHeader/>
          <w:jc w:val="center"/>
        </w:trPr>
        <w:tc>
          <w:tcPr>
            <w:tcW w:w="1273" w:type="dxa"/>
            <w:vAlign w:val="center"/>
          </w:tcPr>
          <w:p w14:paraId="4E98F620" w14:textId="77777777" w:rsidR="00D170E5" w:rsidRPr="002B55E9" w:rsidRDefault="00EF27AD">
            <w:pPr>
              <w:pStyle w:val="affff6"/>
              <w:snapToGrid w:val="0"/>
              <w:ind w:left="-105" w:right="-105"/>
              <w:rPr>
                <w:szCs w:val="18"/>
              </w:rPr>
            </w:pPr>
            <w:r w:rsidRPr="002B55E9">
              <w:rPr>
                <w:rFonts w:hint="eastAsia"/>
                <w:szCs w:val="18"/>
              </w:rPr>
              <w:t>9</w:t>
            </w:r>
          </w:p>
        </w:tc>
        <w:tc>
          <w:tcPr>
            <w:tcW w:w="4222" w:type="dxa"/>
            <w:vAlign w:val="center"/>
          </w:tcPr>
          <w:p w14:paraId="5D271B11" w14:textId="77777777" w:rsidR="00D170E5" w:rsidRPr="002B55E9" w:rsidRDefault="00EF27AD">
            <w:pPr>
              <w:pStyle w:val="affff6"/>
              <w:snapToGrid w:val="0"/>
              <w:ind w:left="-105" w:right="-105"/>
              <w:rPr>
                <w:szCs w:val="18"/>
              </w:rPr>
            </w:pPr>
            <w:r w:rsidRPr="002B55E9">
              <w:rPr>
                <w:bCs/>
                <w:szCs w:val="18"/>
              </w:rPr>
              <w:t>锰</w:t>
            </w:r>
            <w:r w:rsidRPr="002B55E9">
              <w:rPr>
                <w:bCs/>
                <w:szCs w:val="18"/>
              </w:rPr>
              <w:t>(Mn)</w:t>
            </w:r>
          </w:p>
        </w:tc>
        <w:tc>
          <w:tcPr>
            <w:tcW w:w="4359" w:type="dxa"/>
            <w:vAlign w:val="center"/>
          </w:tcPr>
          <w:p w14:paraId="4046352A" w14:textId="77777777" w:rsidR="00D170E5" w:rsidRPr="002B55E9" w:rsidRDefault="00EF27AD">
            <w:pPr>
              <w:pStyle w:val="affff6"/>
              <w:snapToGrid w:val="0"/>
              <w:ind w:left="-105" w:right="-105"/>
              <w:rPr>
                <w:szCs w:val="18"/>
              </w:rPr>
            </w:pPr>
            <w:r w:rsidRPr="002B55E9">
              <w:rPr>
                <w:szCs w:val="18"/>
              </w:rPr>
              <w:t>≤1.5</w:t>
            </w:r>
          </w:p>
        </w:tc>
      </w:tr>
      <w:tr w:rsidR="002B55E9" w:rsidRPr="002B55E9" w14:paraId="0ACE7F86" w14:textId="77777777">
        <w:trPr>
          <w:cantSplit/>
          <w:trHeight w:val="284"/>
          <w:tblHeader/>
          <w:jc w:val="center"/>
        </w:trPr>
        <w:tc>
          <w:tcPr>
            <w:tcW w:w="1273" w:type="dxa"/>
            <w:vAlign w:val="center"/>
          </w:tcPr>
          <w:p w14:paraId="20A0F4CC" w14:textId="77777777" w:rsidR="00D170E5" w:rsidRPr="002B55E9" w:rsidRDefault="00EF27AD">
            <w:pPr>
              <w:pStyle w:val="affff6"/>
              <w:snapToGrid w:val="0"/>
              <w:ind w:left="-105" w:right="-105"/>
              <w:rPr>
                <w:szCs w:val="18"/>
              </w:rPr>
            </w:pPr>
            <w:r w:rsidRPr="002B55E9">
              <w:rPr>
                <w:rFonts w:hint="eastAsia"/>
                <w:szCs w:val="18"/>
              </w:rPr>
              <w:t>10</w:t>
            </w:r>
          </w:p>
        </w:tc>
        <w:tc>
          <w:tcPr>
            <w:tcW w:w="4222" w:type="dxa"/>
            <w:vAlign w:val="center"/>
          </w:tcPr>
          <w:p w14:paraId="59DC0515" w14:textId="77777777" w:rsidR="00D170E5" w:rsidRPr="002B55E9" w:rsidRDefault="00EF27AD">
            <w:pPr>
              <w:pStyle w:val="affff6"/>
              <w:snapToGrid w:val="0"/>
              <w:ind w:left="-105" w:right="-105"/>
              <w:rPr>
                <w:szCs w:val="18"/>
              </w:rPr>
            </w:pPr>
            <w:r w:rsidRPr="002B55E9">
              <w:rPr>
                <w:szCs w:val="18"/>
              </w:rPr>
              <w:t>挥发酚</w:t>
            </w:r>
          </w:p>
        </w:tc>
        <w:tc>
          <w:tcPr>
            <w:tcW w:w="4359" w:type="dxa"/>
            <w:vAlign w:val="center"/>
          </w:tcPr>
          <w:p w14:paraId="68BBE1B3"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0.01</w:t>
            </w:r>
          </w:p>
        </w:tc>
      </w:tr>
      <w:tr w:rsidR="002B55E9" w:rsidRPr="002B55E9" w14:paraId="75C43094" w14:textId="77777777">
        <w:trPr>
          <w:cantSplit/>
          <w:trHeight w:val="284"/>
          <w:tblHeader/>
          <w:jc w:val="center"/>
        </w:trPr>
        <w:tc>
          <w:tcPr>
            <w:tcW w:w="1273" w:type="dxa"/>
            <w:vAlign w:val="center"/>
          </w:tcPr>
          <w:p w14:paraId="2EFEF5F2" w14:textId="77777777" w:rsidR="00D170E5" w:rsidRPr="002B55E9" w:rsidRDefault="00EF27AD">
            <w:pPr>
              <w:pStyle w:val="affff6"/>
              <w:snapToGrid w:val="0"/>
              <w:ind w:left="-105" w:right="-105"/>
              <w:rPr>
                <w:szCs w:val="18"/>
              </w:rPr>
            </w:pPr>
            <w:r w:rsidRPr="002B55E9">
              <w:rPr>
                <w:rFonts w:hint="eastAsia"/>
                <w:szCs w:val="18"/>
              </w:rPr>
              <w:t>11</w:t>
            </w:r>
          </w:p>
        </w:tc>
        <w:tc>
          <w:tcPr>
            <w:tcW w:w="4222" w:type="dxa"/>
            <w:vAlign w:val="center"/>
          </w:tcPr>
          <w:p w14:paraId="062E1C96" w14:textId="77777777" w:rsidR="00D170E5" w:rsidRPr="002B55E9" w:rsidRDefault="00EF27AD">
            <w:pPr>
              <w:pStyle w:val="affff6"/>
              <w:snapToGrid w:val="0"/>
              <w:ind w:left="-105" w:right="-105"/>
              <w:rPr>
                <w:szCs w:val="18"/>
              </w:rPr>
            </w:pPr>
            <w:r w:rsidRPr="002B55E9">
              <w:rPr>
                <w:szCs w:val="18"/>
              </w:rPr>
              <w:t>氨氮</w:t>
            </w:r>
          </w:p>
        </w:tc>
        <w:tc>
          <w:tcPr>
            <w:tcW w:w="4359" w:type="dxa"/>
            <w:vAlign w:val="center"/>
          </w:tcPr>
          <w:p w14:paraId="320B4789" w14:textId="77777777" w:rsidR="00D170E5" w:rsidRPr="002B55E9" w:rsidRDefault="00EF27AD">
            <w:pPr>
              <w:pStyle w:val="affff6"/>
              <w:snapToGrid w:val="0"/>
              <w:ind w:left="-105" w:right="-105"/>
              <w:rPr>
                <w:szCs w:val="18"/>
              </w:rPr>
            </w:pPr>
            <w:r w:rsidRPr="002B55E9">
              <w:rPr>
                <w:szCs w:val="18"/>
              </w:rPr>
              <w:t>≤1.50</w:t>
            </w:r>
          </w:p>
        </w:tc>
      </w:tr>
      <w:tr w:rsidR="002B55E9" w:rsidRPr="002B55E9" w14:paraId="02829583" w14:textId="77777777">
        <w:trPr>
          <w:cantSplit/>
          <w:trHeight w:val="284"/>
          <w:tblHeader/>
          <w:jc w:val="center"/>
        </w:trPr>
        <w:tc>
          <w:tcPr>
            <w:tcW w:w="1273" w:type="dxa"/>
            <w:vAlign w:val="center"/>
          </w:tcPr>
          <w:p w14:paraId="0288877E" w14:textId="77777777" w:rsidR="00D170E5" w:rsidRPr="002B55E9" w:rsidRDefault="00EF27AD">
            <w:pPr>
              <w:pStyle w:val="affff6"/>
              <w:snapToGrid w:val="0"/>
              <w:ind w:left="-105" w:right="-105"/>
              <w:rPr>
                <w:szCs w:val="18"/>
              </w:rPr>
            </w:pPr>
            <w:r w:rsidRPr="002B55E9">
              <w:rPr>
                <w:rFonts w:hint="eastAsia"/>
                <w:szCs w:val="18"/>
              </w:rPr>
              <w:t>12</w:t>
            </w:r>
          </w:p>
        </w:tc>
        <w:tc>
          <w:tcPr>
            <w:tcW w:w="4222" w:type="dxa"/>
            <w:vAlign w:val="center"/>
          </w:tcPr>
          <w:p w14:paraId="4AC2ABA3" w14:textId="77777777" w:rsidR="00D170E5" w:rsidRPr="002B55E9" w:rsidRDefault="00EF27AD">
            <w:pPr>
              <w:pStyle w:val="affff6"/>
              <w:snapToGrid w:val="0"/>
              <w:ind w:left="-105" w:right="-105"/>
              <w:rPr>
                <w:szCs w:val="18"/>
              </w:rPr>
            </w:pPr>
            <w:r w:rsidRPr="002B55E9">
              <w:rPr>
                <w:bCs/>
                <w:szCs w:val="18"/>
              </w:rPr>
              <w:t>钠</w:t>
            </w:r>
            <w:r w:rsidRPr="002B55E9">
              <w:rPr>
                <w:bCs/>
                <w:szCs w:val="18"/>
              </w:rPr>
              <w:t>(Na)</w:t>
            </w:r>
          </w:p>
        </w:tc>
        <w:tc>
          <w:tcPr>
            <w:tcW w:w="4359" w:type="dxa"/>
            <w:vAlign w:val="center"/>
          </w:tcPr>
          <w:p w14:paraId="293F7545"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400</w:t>
            </w:r>
          </w:p>
        </w:tc>
      </w:tr>
      <w:tr w:rsidR="002B55E9" w:rsidRPr="002B55E9" w14:paraId="66EF848D" w14:textId="77777777">
        <w:trPr>
          <w:cantSplit/>
          <w:trHeight w:val="284"/>
          <w:tblHeader/>
          <w:jc w:val="center"/>
        </w:trPr>
        <w:tc>
          <w:tcPr>
            <w:tcW w:w="1273" w:type="dxa"/>
            <w:vAlign w:val="center"/>
          </w:tcPr>
          <w:p w14:paraId="66AE73F7" w14:textId="77777777" w:rsidR="00D170E5" w:rsidRPr="002B55E9" w:rsidRDefault="00EF27AD">
            <w:pPr>
              <w:pStyle w:val="affff6"/>
              <w:snapToGrid w:val="0"/>
              <w:ind w:left="-105" w:right="-105"/>
              <w:rPr>
                <w:szCs w:val="18"/>
              </w:rPr>
            </w:pPr>
            <w:r w:rsidRPr="002B55E9">
              <w:rPr>
                <w:rFonts w:hint="eastAsia"/>
                <w:szCs w:val="18"/>
              </w:rPr>
              <w:t>13</w:t>
            </w:r>
          </w:p>
        </w:tc>
        <w:tc>
          <w:tcPr>
            <w:tcW w:w="4222" w:type="dxa"/>
            <w:vAlign w:val="center"/>
          </w:tcPr>
          <w:p w14:paraId="4DA3BF78" w14:textId="77777777" w:rsidR="00D170E5" w:rsidRPr="002B55E9" w:rsidRDefault="00EF27AD">
            <w:pPr>
              <w:pStyle w:val="affff6"/>
              <w:snapToGrid w:val="0"/>
              <w:ind w:left="-105" w:right="-105"/>
              <w:rPr>
                <w:szCs w:val="18"/>
              </w:rPr>
            </w:pPr>
            <w:r w:rsidRPr="002B55E9">
              <w:rPr>
                <w:szCs w:val="18"/>
              </w:rPr>
              <w:t>总大肠菌群（</w:t>
            </w:r>
            <w:r w:rsidRPr="002B55E9">
              <w:rPr>
                <w:rFonts w:hint="eastAsia"/>
                <w:szCs w:val="18"/>
              </w:rPr>
              <w:t>C</w:t>
            </w:r>
            <w:r w:rsidRPr="002B55E9">
              <w:rPr>
                <w:szCs w:val="18"/>
              </w:rPr>
              <w:t>FU/100mL</w:t>
            </w:r>
            <w:r w:rsidRPr="002B55E9">
              <w:rPr>
                <w:szCs w:val="18"/>
              </w:rPr>
              <w:t>）</w:t>
            </w:r>
          </w:p>
        </w:tc>
        <w:tc>
          <w:tcPr>
            <w:tcW w:w="4359" w:type="dxa"/>
            <w:vAlign w:val="center"/>
          </w:tcPr>
          <w:p w14:paraId="1DF54F4A"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100</w:t>
            </w:r>
          </w:p>
        </w:tc>
      </w:tr>
      <w:tr w:rsidR="002B55E9" w:rsidRPr="002B55E9" w14:paraId="7B1A6E3A" w14:textId="77777777">
        <w:trPr>
          <w:cantSplit/>
          <w:trHeight w:val="284"/>
          <w:tblHeader/>
          <w:jc w:val="center"/>
        </w:trPr>
        <w:tc>
          <w:tcPr>
            <w:tcW w:w="1273" w:type="dxa"/>
            <w:vAlign w:val="center"/>
          </w:tcPr>
          <w:p w14:paraId="0DBCF7AF" w14:textId="77777777" w:rsidR="00D170E5" w:rsidRPr="002B55E9" w:rsidRDefault="00EF27AD">
            <w:pPr>
              <w:pStyle w:val="affff6"/>
              <w:snapToGrid w:val="0"/>
              <w:ind w:left="-105" w:right="-105"/>
              <w:rPr>
                <w:szCs w:val="18"/>
              </w:rPr>
            </w:pPr>
            <w:r w:rsidRPr="002B55E9">
              <w:rPr>
                <w:rFonts w:hint="eastAsia"/>
                <w:szCs w:val="18"/>
              </w:rPr>
              <w:t>14</w:t>
            </w:r>
          </w:p>
        </w:tc>
        <w:tc>
          <w:tcPr>
            <w:tcW w:w="4222" w:type="dxa"/>
            <w:vAlign w:val="center"/>
          </w:tcPr>
          <w:p w14:paraId="25769B9D" w14:textId="77777777" w:rsidR="00D170E5" w:rsidRPr="002B55E9" w:rsidRDefault="00EF27AD">
            <w:pPr>
              <w:pStyle w:val="affff6"/>
              <w:snapToGrid w:val="0"/>
              <w:ind w:left="-105" w:right="-105"/>
              <w:rPr>
                <w:szCs w:val="18"/>
              </w:rPr>
            </w:pPr>
            <w:r w:rsidRPr="002B55E9">
              <w:rPr>
                <w:rFonts w:hint="eastAsia"/>
                <w:szCs w:val="18"/>
              </w:rPr>
              <w:t>菌落</w:t>
            </w:r>
            <w:r w:rsidRPr="002B55E9">
              <w:rPr>
                <w:szCs w:val="18"/>
              </w:rPr>
              <w:t>总数（</w:t>
            </w:r>
            <w:r w:rsidRPr="002B55E9">
              <w:rPr>
                <w:szCs w:val="18"/>
              </w:rPr>
              <w:t>CFU/mL</w:t>
            </w:r>
            <w:r w:rsidRPr="002B55E9">
              <w:rPr>
                <w:szCs w:val="18"/>
              </w:rPr>
              <w:t>）</w:t>
            </w:r>
          </w:p>
        </w:tc>
        <w:tc>
          <w:tcPr>
            <w:tcW w:w="4359" w:type="dxa"/>
            <w:vAlign w:val="center"/>
          </w:tcPr>
          <w:p w14:paraId="523CA1DD"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100</w:t>
            </w:r>
            <w:r w:rsidRPr="002B55E9">
              <w:rPr>
                <w:szCs w:val="18"/>
              </w:rPr>
              <w:t>0</w:t>
            </w:r>
          </w:p>
        </w:tc>
      </w:tr>
      <w:tr w:rsidR="002B55E9" w:rsidRPr="002B55E9" w14:paraId="74CD3BA7" w14:textId="77777777">
        <w:trPr>
          <w:cantSplit/>
          <w:trHeight w:val="284"/>
          <w:tblHeader/>
          <w:jc w:val="center"/>
        </w:trPr>
        <w:tc>
          <w:tcPr>
            <w:tcW w:w="1273" w:type="dxa"/>
            <w:vAlign w:val="center"/>
          </w:tcPr>
          <w:p w14:paraId="4003AA32" w14:textId="77777777" w:rsidR="00D170E5" w:rsidRPr="002B55E9" w:rsidRDefault="00EF27AD">
            <w:pPr>
              <w:pStyle w:val="affff6"/>
              <w:snapToGrid w:val="0"/>
              <w:ind w:left="-105" w:right="-105"/>
              <w:rPr>
                <w:szCs w:val="18"/>
              </w:rPr>
            </w:pPr>
            <w:r w:rsidRPr="002B55E9">
              <w:rPr>
                <w:rFonts w:hint="eastAsia"/>
                <w:szCs w:val="18"/>
              </w:rPr>
              <w:t>15</w:t>
            </w:r>
          </w:p>
        </w:tc>
        <w:tc>
          <w:tcPr>
            <w:tcW w:w="4222" w:type="dxa"/>
            <w:vAlign w:val="center"/>
          </w:tcPr>
          <w:p w14:paraId="67A51535" w14:textId="77777777" w:rsidR="00D170E5" w:rsidRPr="002B55E9" w:rsidRDefault="00EF27AD">
            <w:pPr>
              <w:pStyle w:val="affff6"/>
              <w:snapToGrid w:val="0"/>
              <w:ind w:left="-105" w:right="-105"/>
              <w:rPr>
                <w:szCs w:val="18"/>
              </w:rPr>
            </w:pPr>
            <w:r w:rsidRPr="002B55E9">
              <w:rPr>
                <w:szCs w:val="18"/>
              </w:rPr>
              <w:t>氰化物</w:t>
            </w:r>
          </w:p>
        </w:tc>
        <w:tc>
          <w:tcPr>
            <w:tcW w:w="4359" w:type="dxa"/>
            <w:vAlign w:val="center"/>
          </w:tcPr>
          <w:p w14:paraId="432B7250"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0.1</w:t>
            </w:r>
          </w:p>
        </w:tc>
      </w:tr>
      <w:tr w:rsidR="002B55E9" w:rsidRPr="002B55E9" w14:paraId="796863EB" w14:textId="77777777">
        <w:trPr>
          <w:cantSplit/>
          <w:trHeight w:val="284"/>
          <w:tblHeader/>
          <w:jc w:val="center"/>
        </w:trPr>
        <w:tc>
          <w:tcPr>
            <w:tcW w:w="1273" w:type="dxa"/>
            <w:vAlign w:val="center"/>
          </w:tcPr>
          <w:p w14:paraId="007678A6" w14:textId="77777777" w:rsidR="00D170E5" w:rsidRPr="002B55E9" w:rsidRDefault="00EF27AD">
            <w:pPr>
              <w:pStyle w:val="affff6"/>
              <w:snapToGrid w:val="0"/>
              <w:ind w:left="-105" w:right="-105"/>
              <w:rPr>
                <w:szCs w:val="18"/>
              </w:rPr>
            </w:pPr>
            <w:r w:rsidRPr="002B55E9">
              <w:rPr>
                <w:rFonts w:hint="eastAsia"/>
                <w:szCs w:val="18"/>
              </w:rPr>
              <w:t>16</w:t>
            </w:r>
          </w:p>
        </w:tc>
        <w:tc>
          <w:tcPr>
            <w:tcW w:w="4222" w:type="dxa"/>
            <w:vAlign w:val="center"/>
          </w:tcPr>
          <w:p w14:paraId="5BFF18E6" w14:textId="77777777" w:rsidR="00D170E5" w:rsidRPr="002B55E9" w:rsidRDefault="00EF27AD">
            <w:pPr>
              <w:pStyle w:val="affff6"/>
              <w:snapToGrid w:val="0"/>
              <w:ind w:left="-105" w:right="-105"/>
              <w:rPr>
                <w:szCs w:val="18"/>
              </w:rPr>
            </w:pPr>
            <w:r w:rsidRPr="002B55E9">
              <w:rPr>
                <w:rFonts w:hint="eastAsia"/>
                <w:szCs w:val="18"/>
              </w:rPr>
              <w:t>硫化物</w:t>
            </w:r>
          </w:p>
        </w:tc>
        <w:tc>
          <w:tcPr>
            <w:tcW w:w="4359" w:type="dxa"/>
            <w:vAlign w:val="center"/>
          </w:tcPr>
          <w:p w14:paraId="646B09EB" w14:textId="77777777" w:rsidR="00D170E5" w:rsidRPr="002B55E9" w:rsidRDefault="00EF27AD">
            <w:pPr>
              <w:pStyle w:val="affff6"/>
              <w:snapToGrid w:val="0"/>
              <w:ind w:left="-105" w:right="-105"/>
              <w:rPr>
                <w:szCs w:val="18"/>
              </w:rPr>
            </w:pPr>
            <w:r w:rsidRPr="002B55E9">
              <w:rPr>
                <w:rFonts w:hint="eastAsia"/>
                <w:szCs w:val="18"/>
              </w:rPr>
              <w:t>0.1</w:t>
            </w:r>
          </w:p>
        </w:tc>
      </w:tr>
      <w:tr w:rsidR="002B55E9" w:rsidRPr="002B55E9" w14:paraId="5632C933" w14:textId="77777777">
        <w:trPr>
          <w:cantSplit/>
          <w:trHeight w:val="284"/>
          <w:tblHeader/>
          <w:jc w:val="center"/>
        </w:trPr>
        <w:tc>
          <w:tcPr>
            <w:tcW w:w="1273" w:type="dxa"/>
            <w:vAlign w:val="center"/>
          </w:tcPr>
          <w:p w14:paraId="34CE2FA0" w14:textId="77777777" w:rsidR="00D170E5" w:rsidRPr="002B55E9" w:rsidRDefault="00EF27AD">
            <w:pPr>
              <w:pStyle w:val="affff6"/>
              <w:snapToGrid w:val="0"/>
              <w:ind w:left="-105" w:right="-105"/>
              <w:rPr>
                <w:szCs w:val="18"/>
              </w:rPr>
            </w:pPr>
            <w:r w:rsidRPr="002B55E9">
              <w:rPr>
                <w:rFonts w:hint="eastAsia"/>
                <w:szCs w:val="18"/>
              </w:rPr>
              <w:t>17</w:t>
            </w:r>
          </w:p>
        </w:tc>
        <w:tc>
          <w:tcPr>
            <w:tcW w:w="4222" w:type="dxa"/>
            <w:vAlign w:val="center"/>
          </w:tcPr>
          <w:p w14:paraId="6505CD56" w14:textId="77777777" w:rsidR="00D170E5" w:rsidRPr="002B55E9" w:rsidRDefault="00EF27AD">
            <w:pPr>
              <w:pStyle w:val="affff6"/>
              <w:snapToGrid w:val="0"/>
              <w:ind w:left="-105" w:right="-105"/>
              <w:rPr>
                <w:szCs w:val="18"/>
              </w:rPr>
            </w:pPr>
            <w:r w:rsidRPr="002B55E9">
              <w:rPr>
                <w:szCs w:val="18"/>
              </w:rPr>
              <w:t>氟化物</w:t>
            </w:r>
          </w:p>
        </w:tc>
        <w:tc>
          <w:tcPr>
            <w:tcW w:w="4359" w:type="dxa"/>
            <w:vAlign w:val="center"/>
          </w:tcPr>
          <w:p w14:paraId="2AA34FA2"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2.0</w:t>
            </w:r>
          </w:p>
        </w:tc>
      </w:tr>
      <w:tr w:rsidR="002B55E9" w:rsidRPr="002B55E9" w14:paraId="39AC716A" w14:textId="77777777">
        <w:trPr>
          <w:cantSplit/>
          <w:trHeight w:val="284"/>
          <w:tblHeader/>
          <w:jc w:val="center"/>
        </w:trPr>
        <w:tc>
          <w:tcPr>
            <w:tcW w:w="1273" w:type="dxa"/>
            <w:vAlign w:val="center"/>
          </w:tcPr>
          <w:p w14:paraId="755D9113" w14:textId="77777777" w:rsidR="00D170E5" w:rsidRPr="002B55E9" w:rsidRDefault="00EF27AD">
            <w:pPr>
              <w:pStyle w:val="affff6"/>
              <w:snapToGrid w:val="0"/>
              <w:ind w:left="-105" w:right="-105"/>
              <w:rPr>
                <w:szCs w:val="18"/>
              </w:rPr>
            </w:pPr>
            <w:r w:rsidRPr="002B55E9">
              <w:rPr>
                <w:rFonts w:hint="eastAsia"/>
                <w:szCs w:val="18"/>
              </w:rPr>
              <w:t>18</w:t>
            </w:r>
          </w:p>
        </w:tc>
        <w:tc>
          <w:tcPr>
            <w:tcW w:w="4222" w:type="dxa"/>
            <w:vAlign w:val="center"/>
          </w:tcPr>
          <w:p w14:paraId="21938728" w14:textId="77777777" w:rsidR="00D170E5" w:rsidRPr="002B55E9" w:rsidRDefault="00EF27AD">
            <w:pPr>
              <w:pStyle w:val="affff6"/>
              <w:snapToGrid w:val="0"/>
              <w:ind w:left="-105" w:right="-105"/>
              <w:rPr>
                <w:szCs w:val="18"/>
              </w:rPr>
            </w:pPr>
            <w:r w:rsidRPr="002B55E9">
              <w:rPr>
                <w:szCs w:val="18"/>
              </w:rPr>
              <w:t>汞</w:t>
            </w:r>
            <w:r w:rsidRPr="002B55E9">
              <w:rPr>
                <w:rFonts w:hint="eastAsia"/>
                <w:szCs w:val="18"/>
              </w:rPr>
              <w:t>(Hg)</w:t>
            </w:r>
          </w:p>
        </w:tc>
        <w:tc>
          <w:tcPr>
            <w:tcW w:w="4359" w:type="dxa"/>
            <w:vAlign w:val="center"/>
          </w:tcPr>
          <w:p w14:paraId="33B4C9BF" w14:textId="77777777" w:rsidR="00D170E5" w:rsidRPr="002B55E9" w:rsidRDefault="00EF27AD">
            <w:pPr>
              <w:pStyle w:val="affff6"/>
              <w:snapToGrid w:val="0"/>
              <w:ind w:left="-105" w:right="-105"/>
              <w:rPr>
                <w:szCs w:val="18"/>
              </w:rPr>
            </w:pPr>
            <w:r w:rsidRPr="002B55E9">
              <w:rPr>
                <w:szCs w:val="18"/>
              </w:rPr>
              <w:t>≤0.002</w:t>
            </w:r>
          </w:p>
        </w:tc>
      </w:tr>
      <w:tr w:rsidR="002B55E9" w:rsidRPr="002B55E9" w14:paraId="03C0D5F5" w14:textId="77777777">
        <w:trPr>
          <w:cantSplit/>
          <w:trHeight w:val="284"/>
          <w:tblHeader/>
          <w:jc w:val="center"/>
        </w:trPr>
        <w:tc>
          <w:tcPr>
            <w:tcW w:w="1273" w:type="dxa"/>
            <w:vAlign w:val="center"/>
          </w:tcPr>
          <w:p w14:paraId="2787BEDC" w14:textId="77777777" w:rsidR="00D170E5" w:rsidRPr="002B55E9" w:rsidRDefault="00EF27AD">
            <w:pPr>
              <w:pStyle w:val="affff6"/>
              <w:snapToGrid w:val="0"/>
              <w:ind w:left="-105" w:right="-105"/>
              <w:rPr>
                <w:szCs w:val="18"/>
              </w:rPr>
            </w:pPr>
            <w:r w:rsidRPr="002B55E9">
              <w:rPr>
                <w:rFonts w:hint="eastAsia"/>
                <w:szCs w:val="18"/>
              </w:rPr>
              <w:t>19</w:t>
            </w:r>
          </w:p>
        </w:tc>
        <w:tc>
          <w:tcPr>
            <w:tcW w:w="4222" w:type="dxa"/>
            <w:vAlign w:val="center"/>
          </w:tcPr>
          <w:p w14:paraId="1DB1BF1D" w14:textId="77777777" w:rsidR="00D170E5" w:rsidRPr="002B55E9" w:rsidRDefault="00EF27AD">
            <w:pPr>
              <w:pStyle w:val="affff6"/>
              <w:snapToGrid w:val="0"/>
              <w:ind w:left="-105" w:right="-105"/>
              <w:rPr>
                <w:szCs w:val="18"/>
              </w:rPr>
            </w:pPr>
            <w:r w:rsidRPr="002B55E9">
              <w:rPr>
                <w:szCs w:val="18"/>
              </w:rPr>
              <w:t>砷</w:t>
            </w:r>
            <w:r w:rsidRPr="002B55E9">
              <w:rPr>
                <w:rFonts w:hint="eastAsia"/>
                <w:szCs w:val="18"/>
              </w:rPr>
              <w:t>(As)</w:t>
            </w:r>
          </w:p>
        </w:tc>
        <w:tc>
          <w:tcPr>
            <w:tcW w:w="4359" w:type="dxa"/>
            <w:vAlign w:val="center"/>
          </w:tcPr>
          <w:p w14:paraId="46FD700F"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0.05</w:t>
            </w:r>
          </w:p>
        </w:tc>
      </w:tr>
      <w:tr w:rsidR="002B55E9" w:rsidRPr="002B55E9" w14:paraId="60239778" w14:textId="77777777">
        <w:trPr>
          <w:cantSplit/>
          <w:trHeight w:val="284"/>
          <w:tblHeader/>
          <w:jc w:val="center"/>
        </w:trPr>
        <w:tc>
          <w:tcPr>
            <w:tcW w:w="1273" w:type="dxa"/>
            <w:vAlign w:val="center"/>
          </w:tcPr>
          <w:p w14:paraId="17DCB7B4" w14:textId="77777777" w:rsidR="00D170E5" w:rsidRPr="002B55E9" w:rsidRDefault="00EF27AD">
            <w:pPr>
              <w:pStyle w:val="affff6"/>
              <w:snapToGrid w:val="0"/>
              <w:ind w:left="-105" w:right="-105"/>
              <w:rPr>
                <w:szCs w:val="18"/>
              </w:rPr>
            </w:pPr>
            <w:r w:rsidRPr="002B55E9">
              <w:rPr>
                <w:rFonts w:hint="eastAsia"/>
                <w:szCs w:val="18"/>
              </w:rPr>
              <w:t>20</w:t>
            </w:r>
          </w:p>
        </w:tc>
        <w:tc>
          <w:tcPr>
            <w:tcW w:w="4222" w:type="dxa"/>
            <w:vAlign w:val="center"/>
          </w:tcPr>
          <w:p w14:paraId="09802180" w14:textId="77777777" w:rsidR="00D170E5" w:rsidRPr="002B55E9" w:rsidRDefault="00EF27AD">
            <w:pPr>
              <w:pStyle w:val="affff6"/>
              <w:snapToGrid w:val="0"/>
              <w:ind w:left="-105" w:right="-105"/>
              <w:rPr>
                <w:szCs w:val="18"/>
              </w:rPr>
            </w:pPr>
            <w:r w:rsidRPr="002B55E9">
              <w:rPr>
                <w:szCs w:val="18"/>
              </w:rPr>
              <w:t>镉（</w:t>
            </w:r>
            <w:r w:rsidRPr="002B55E9">
              <w:rPr>
                <w:szCs w:val="18"/>
              </w:rPr>
              <w:t>Cd</w:t>
            </w:r>
            <w:r w:rsidRPr="002B55E9">
              <w:rPr>
                <w:szCs w:val="18"/>
              </w:rPr>
              <w:t>）</w:t>
            </w:r>
          </w:p>
        </w:tc>
        <w:tc>
          <w:tcPr>
            <w:tcW w:w="4359" w:type="dxa"/>
            <w:vAlign w:val="center"/>
          </w:tcPr>
          <w:p w14:paraId="1391EC51"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0.01</w:t>
            </w:r>
          </w:p>
        </w:tc>
      </w:tr>
      <w:tr w:rsidR="002B55E9" w:rsidRPr="002B55E9" w14:paraId="7A2D7FDE" w14:textId="77777777">
        <w:trPr>
          <w:cantSplit/>
          <w:trHeight w:val="284"/>
          <w:tblHeader/>
          <w:jc w:val="center"/>
        </w:trPr>
        <w:tc>
          <w:tcPr>
            <w:tcW w:w="1273" w:type="dxa"/>
            <w:vAlign w:val="center"/>
          </w:tcPr>
          <w:p w14:paraId="5076D1B3" w14:textId="77777777" w:rsidR="00D170E5" w:rsidRPr="002B55E9" w:rsidRDefault="00EF27AD">
            <w:pPr>
              <w:pStyle w:val="affff6"/>
              <w:snapToGrid w:val="0"/>
              <w:ind w:left="-105" w:right="-105"/>
              <w:rPr>
                <w:szCs w:val="18"/>
              </w:rPr>
            </w:pPr>
            <w:r w:rsidRPr="002B55E9">
              <w:rPr>
                <w:rFonts w:hint="eastAsia"/>
                <w:szCs w:val="18"/>
              </w:rPr>
              <w:t>21</w:t>
            </w:r>
          </w:p>
        </w:tc>
        <w:tc>
          <w:tcPr>
            <w:tcW w:w="4222" w:type="dxa"/>
            <w:vAlign w:val="center"/>
          </w:tcPr>
          <w:p w14:paraId="7957AA92" w14:textId="77777777" w:rsidR="00D170E5" w:rsidRPr="002B55E9" w:rsidRDefault="00EF27AD">
            <w:pPr>
              <w:pStyle w:val="affff6"/>
              <w:snapToGrid w:val="0"/>
              <w:ind w:left="-105" w:right="-105"/>
              <w:rPr>
                <w:szCs w:val="18"/>
              </w:rPr>
            </w:pPr>
            <w:r w:rsidRPr="002B55E9">
              <w:rPr>
                <w:szCs w:val="18"/>
              </w:rPr>
              <w:t>六价铬</w:t>
            </w:r>
          </w:p>
        </w:tc>
        <w:tc>
          <w:tcPr>
            <w:tcW w:w="4359" w:type="dxa"/>
            <w:vAlign w:val="center"/>
          </w:tcPr>
          <w:p w14:paraId="3337AE7B" w14:textId="77777777" w:rsidR="00D170E5" w:rsidRPr="002B55E9" w:rsidRDefault="00EF27AD">
            <w:pPr>
              <w:pStyle w:val="affff6"/>
              <w:snapToGrid w:val="0"/>
              <w:ind w:left="-105" w:right="-105"/>
              <w:rPr>
                <w:szCs w:val="18"/>
              </w:rPr>
            </w:pPr>
            <w:r w:rsidRPr="002B55E9">
              <w:rPr>
                <w:szCs w:val="18"/>
              </w:rPr>
              <w:t>≤0</w:t>
            </w:r>
            <w:r w:rsidRPr="002B55E9">
              <w:rPr>
                <w:rFonts w:hint="eastAsia"/>
                <w:szCs w:val="18"/>
              </w:rPr>
              <w:t>.1</w:t>
            </w:r>
          </w:p>
        </w:tc>
      </w:tr>
      <w:tr w:rsidR="002B55E9" w:rsidRPr="002B55E9" w14:paraId="486FA8BD" w14:textId="77777777">
        <w:trPr>
          <w:cantSplit/>
          <w:trHeight w:val="284"/>
          <w:tblHeader/>
          <w:jc w:val="center"/>
        </w:trPr>
        <w:tc>
          <w:tcPr>
            <w:tcW w:w="1273" w:type="dxa"/>
            <w:vAlign w:val="center"/>
          </w:tcPr>
          <w:p w14:paraId="3E8F6A06" w14:textId="77777777" w:rsidR="00D170E5" w:rsidRPr="002B55E9" w:rsidRDefault="00EF27AD">
            <w:pPr>
              <w:pStyle w:val="affff6"/>
              <w:snapToGrid w:val="0"/>
              <w:ind w:left="-105" w:right="-105"/>
              <w:rPr>
                <w:szCs w:val="18"/>
              </w:rPr>
            </w:pPr>
            <w:r w:rsidRPr="002B55E9">
              <w:rPr>
                <w:rFonts w:hint="eastAsia"/>
                <w:szCs w:val="18"/>
              </w:rPr>
              <w:t>22</w:t>
            </w:r>
          </w:p>
        </w:tc>
        <w:tc>
          <w:tcPr>
            <w:tcW w:w="4222" w:type="dxa"/>
            <w:vAlign w:val="center"/>
          </w:tcPr>
          <w:p w14:paraId="1EE3441E" w14:textId="77777777" w:rsidR="00D170E5" w:rsidRPr="002B55E9" w:rsidRDefault="00EF27AD">
            <w:pPr>
              <w:pStyle w:val="affff6"/>
              <w:snapToGrid w:val="0"/>
              <w:ind w:left="-105" w:right="-105"/>
              <w:rPr>
                <w:szCs w:val="18"/>
              </w:rPr>
            </w:pPr>
            <w:r w:rsidRPr="002B55E9">
              <w:rPr>
                <w:szCs w:val="18"/>
              </w:rPr>
              <w:t>铅（</w:t>
            </w:r>
            <w:r w:rsidRPr="002B55E9">
              <w:rPr>
                <w:szCs w:val="18"/>
              </w:rPr>
              <w:t>Pb</w:t>
            </w:r>
            <w:r w:rsidRPr="002B55E9">
              <w:rPr>
                <w:szCs w:val="18"/>
              </w:rPr>
              <w:t>）</w:t>
            </w:r>
          </w:p>
        </w:tc>
        <w:tc>
          <w:tcPr>
            <w:tcW w:w="4359" w:type="dxa"/>
            <w:vAlign w:val="center"/>
          </w:tcPr>
          <w:p w14:paraId="0FB907DF" w14:textId="77777777" w:rsidR="00D170E5" w:rsidRPr="002B55E9" w:rsidRDefault="00EF27AD">
            <w:pPr>
              <w:pStyle w:val="affff6"/>
              <w:snapToGrid w:val="0"/>
              <w:ind w:left="-105" w:right="-105"/>
              <w:rPr>
                <w:szCs w:val="18"/>
              </w:rPr>
            </w:pPr>
            <w:r w:rsidRPr="002B55E9">
              <w:rPr>
                <w:szCs w:val="18"/>
              </w:rPr>
              <w:t>≤</w:t>
            </w:r>
            <w:r w:rsidRPr="002B55E9">
              <w:rPr>
                <w:rFonts w:hint="eastAsia"/>
                <w:szCs w:val="18"/>
              </w:rPr>
              <w:t>0.1</w:t>
            </w:r>
          </w:p>
        </w:tc>
      </w:tr>
      <w:tr w:rsidR="002B55E9" w:rsidRPr="002B55E9" w14:paraId="14896EEF" w14:textId="77777777">
        <w:trPr>
          <w:cantSplit/>
          <w:trHeight w:val="284"/>
          <w:tblHeader/>
          <w:jc w:val="center"/>
        </w:trPr>
        <w:tc>
          <w:tcPr>
            <w:tcW w:w="1273" w:type="dxa"/>
            <w:vAlign w:val="center"/>
          </w:tcPr>
          <w:p w14:paraId="7EA9335F" w14:textId="77777777" w:rsidR="00D170E5" w:rsidRPr="002B55E9" w:rsidRDefault="00EF27AD">
            <w:pPr>
              <w:pStyle w:val="affff6"/>
              <w:snapToGrid w:val="0"/>
              <w:ind w:left="-105" w:right="-105"/>
              <w:rPr>
                <w:szCs w:val="18"/>
              </w:rPr>
            </w:pPr>
            <w:r w:rsidRPr="002B55E9">
              <w:rPr>
                <w:rFonts w:hint="eastAsia"/>
                <w:szCs w:val="18"/>
              </w:rPr>
              <w:t>23</w:t>
            </w:r>
          </w:p>
        </w:tc>
        <w:tc>
          <w:tcPr>
            <w:tcW w:w="4222" w:type="dxa"/>
            <w:vAlign w:val="center"/>
          </w:tcPr>
          <w:p w14:paraId="3C24C61D" w14:textId="77777777" w:rsidR="00D170E5" w:rsidRPr="002B55E9" w:rsidRDefault="00EF27AD">
            <w:pPr>
              <w:pStyle w:val="affff6"/>
              <w:snapToGrid w:val="0"/>
              <w:ind w:left="-105" w:right="-105"/>
              <w:rPr>
                <w:szCs w:val="18"/>
              </w:rPr>
            </w:pPr>
            <w:r w:rsidRPr="002B55E9">
              <w:rPr>
                <w:rFonts w:hint="eastAsia"/>
                <w:szCs w:val="18"/>
              </w:rPr>
              <w:t>耗氧量（</w:t>
            </w:r>
            <w:r w:rsidRPr="002B55E9">
              <w:rPr>
                <w:rFonts w:hint="eastAsia"/>
                <w:szCs w:val="18"/>
              </w:rPr>
              <w:t>COD</w:t>
            </w:r>
            <w:r w:rsidRPr="002B55E9">
              <w:rPr>
                <w:rFonts w:hint="eastAsia"/>
                <w:szCs w:val="18"/>
                <w:vertAlign w:val="subscript"/>
              </w:rPr>
              <w:t>Mn</w:t>
            </w:r>
            <w:r w:rsidRPr="002B55E9">
              <w:rPr>
                <w:rFonts w:hint="eastAsia"/>
                <w:szCs w:val="18"/>
              </w:rPr>
              <w:t>法，以</w:t>
            </w:r>
            <w:r w:rsidRPr="002B55E9">
              <w:rPr>
                <w:rFonts w:hint="eastAsia"/>
                <w:szCs w:val="18"/>
              </w:rPr>
              <w:t>O</w:t>
            </w:r>
            <w:r w:rsidRPr="002B55E9">
              <w:rPr>
                <w:rFonts w:hint="eastAsia"/>
                <w:szCs w:val="18"/>
                <w:vertAlign w:val="subscript"/>
              </w:rPr>
              <w:t>3</w:t>
            </w:r>
            <w:r w:rsidRPr="002B55E9">
              <w:rPr>
                <w:rFonts w:hint="eastAsia"/>
                <w:szCs w:val="18"/>
              </w:rPr>
              <w:t>计）</w:t>
            </w:r>
          </w:p>
        </w:tc>
        <w:tc>
          <w:tcPr>
            <w:tcW w:w="4359" w:type="dxa"/>
            <w:vAlign w:val="center"/>
          </w:tcPr>
          <w:p w14:paraId="69D11116" w14:textId="77777777" w:rsidR="00D170E5" w:rsidRPr="002B55E9" w:rsidRDefault="00EF27AD">
            <w:pPr>
              <w:pStyle w:val="affff6"/>
              <w:snapToGrid w:val="0"/>
              <w:ind w:left="-105" w:right="-105"/>
              <w:rPr>
                <w:szCs w:val="18"/>
              </w:rPr>
            </w:pPr>
            <w:r w:rsidRPr="002B55E9">
              <w:rPr>
                <w:rFonts w:hint="eastAsia"/>
                <w:szCs w:val="18"/>
              </w:rPr>
              <w:t>10</w:t>
            </w:r>
          </w:p>
        </w:tc>
      </w:tr>
    </w:tbl>
    <w:p w14:paraId="7771768D" w14:textId="77777777" w:rsidR="00D170E5" w:rsidRPr="002B55E9" w:rsidRDefault="00EF27AD">
      <w:pPr>
        <w:pStyle w:val="4"/>
        <w:rPr>
          <w:color w:val="auto"/>
        </w:rPr>
      </w:pPr>
      <w:r w:rsidRPr="002B55E9">
        <w:rPr>
          <w:color w:val="auto"/>
        </w:rPr>
        <w:t>污染物排放标准</w:t>
      </w:r>
    </w:p>
    <w:p w14:paraId="56DDF41C" w14:textId="77777777" w:rsidR="00D170E5" w:rsidRPr="002B55E9" w:rsidRDefault="00EF27AD">
      <w:pPr>
        <w:pStyle w:val="5"/>
      </w:pPr>
      <w:r w:rsidRPr="002B55E9">
        <w:rPr>
          <w:rFonts w:hint="eastAsia"/>
        </w:rPr>
        <w:t>废气</w:t>
      </w:r>
    </w:p>
    <w:p w14:paraId="1BEABDCD" w14:textId="77777777" w:rsidR="00D170E5" w:rsidRPr="002B55E9" w:rsidRDefault="00EF27AD">
      <w:pPr>
        <w:pStyle w:val="aa"/>
      </w:pPr>
      <w:r w:rsidRPr="002B55E9">
        <w:rPr>
          <w:rFonts w:hint="eastAsia"/>
        </w:rPr>
        <w:t>（</w:t>
      </w:r>
      <w:r w:rsidRPr="002B55E9">
        <w:rPr>
          <w:rFonts w:hint="eastAsia"/>
        </w:rPr>
        <w:t>1</w:t>
      </w:r>
      <w:r w:rsidRPr="002B55E9">
        <w:rPr>
          <w:rFonts w:hint="eastAsia"/>
        </w:rPr>
        <w:t>）生产</w:t>
      </w:r>
      <w:r w:rsidRPr="002B55E9">
        <w:t>车间工艺废气</w:t>
      </w:r>
    </w:p>
    <w:p w14:paraId="17801CF8" w14:textId="599108B0" w:rsidR="00D170E5" w:rsidRPr="002B55E9" w:rsidRDefault="00EF27AD">
      <w:pPr>
        <w:pStyle w:val="aa"/>
      </w:pPr>
      <w:r w:rsidRPr="002B55E9">
        <w:rPr>
          <w:rFonts w:hint="eastAsia"/>
        </w:rPr>
        <w:t>拟建</w:t>
      </w:r>
      <w:r w:rsidRPr="002B55E9">
        <w:t>项目</w:t>
      </w:r>
      <w:r w:rsidRPr="002B55E9">
        <w:rPr>
          <w:rFonts w:hint="eastAsia"/>
        </w:rPr>
        <w:t>生产</w:t>
      </w:r>
      <w:r w:rsidRPr="002B55E9">
        <w:t>车间中料酒、食醋</w:t>
      </w:r>
      <w:r w:rsidRPr="002B55E9">
        <w:rPr>
          <w:rFonts w:hint="eastAsia"/>
        </w:rPr>
        <w:t>生产</w:t>
      </w:r>
      <w:r w:rsidRPr="002B55E9">
        <w:t>过程中</w:t>
      </w:r>
      <w:r w:rsidRPr="002B55E9">
        <w:rPr>
          <w:rFonts w:hint="eastAsia"/>
        </w:rPr>
        <w:t>会</w:t>
      </w:r>
      <w:r w:rsidRPr="002B55E9">
        <w:t>产生乙醇、乙酸等挥发性有机</w:t>
      </w:r>
      <w:r w:rsidRPr="002B55E9">
        <w:rPr>
          <w:rFonts w:hint="eastAsia"/>
        </w:rPr>
        <w:t>废气，</w:t>
      </w:r>
      <w:r w:rsidRPr="002B55E9">
        <w:t>根据《</w:t>
      </w:r>
      <w:r w:rsidRPr="002B55E9">
        <w:rPr>
          <w:rFonts w:hint="eastAsia"/>
        </w:rPr>
        <w:t>市人民政府</w:t>
      </w:r>
      <w:r w:rsidRPr="002B55E9">
        <w:t>关于印发武汉市</w:t>
      </w:r>
      <w:r w:rsidRPr="002B55E9">
        <w:rPr>
          <w:rFonts w:hint="eastAsia"/>
        </w:rPr>
        <w:t>2022</w:t>
      </w:r>
      <w:r w:rsidRPr="002B55E9">
        <w:rPr>
          <w:rFonts w:hint="eastAsia"/>
        </w:rPr>
        <w:t>年</w:t>
      </w:r>
      <w:r w:rsidRPr="002B55E9">
        <w:t>改善</w:t>
      </w:r>
      <w:r w:rsidRPr="002B55E9">
        <w:rPr>
          <w:rFonts w:hint="eastAsia"/>
        </w:rPr>
        <w:t>空气</w:t>
      </w:r>
      <w:r w:rsidRPr="002B55E9">
        <w:t>质量</w:t>
      </w:r>
      <w:r w:rsidRPr="002B55E9">
        <w:rPr>
          <w:rFonts w:hint="eastAsia"/>
        </w:rPr>
        <w:t>攻坚</w:t>
      </w:r>
      <w:r w:rsidRPr="002B55E9">
        <w:t>方案的通知》</w:t>
      </w:r>
      <w:r w:rsidRPr="002B55E9">
        <w:rPr>
          <w:rFonts w:hint="eastAsia"/>
        </w:rPr>
        <w:t>（武</w:t>
      </w:r>
      <w:r w:rsidRPr="002B55E9">
        <w:t>政规</w:t>
      </w:r>
      <w:r w:rsidRPr="002B55E9">
        <w:rPr>
          <w:rFonts w:hint="eastAsia"/>
        </w:rPr>
        <w:t>[2022]10</w:t>
      </w:r>
      <w:r w:rsidRPr="002B55E9">
        <w:rPr>
          <w:rFonts w:hint="eastAsia"/>
        </w:rPr>
        <w:t>号）要求，项目有机废气执行</w:t>
      </w:r>
      <w:r w:rsidRPr="002B55E9">
        <w:rPr>
          <w:rFonts w:hint="eastAsia"/>
        </w:rPr>
        <w:t>60</w:t>
      </w:r>
      <w:r w:rsidRPr="002B55E9">
        <w:rPr>
          <w:rFonts w:hint="eastAsia"/>
        </w:rPr>
        <w:t>毫克</w:t>
      </w:r>
      <w:r w:rsidRPr="002B55E9">
        <w:rPr>
          <w:rFonts w:hint="eastAsia"/>
        </w:rPr>
        <w:t>/</w:t>
      </w:r>
      <w:r w:rsidRPr="002B55E9">
        <w:rPr>
          <w:rFonts w:hint="eastAsia"/>
        </w:rPr>
        <w:t>立方</w:t>
      </w:r>
      <w:r w:rsidRPr="002B55E9">
        <w:t>米的</w:t>
      </w:r>
      <w:r w:rsidRPr="002B55E9">
        <w:rPr>
          <w:rFonts w:hint="eastAsia"/>
        </w:rPr>
        <w:t>排放限值</w:t>
      </w:r>
      <w:r w:rsidRPr="002B55E9">
        <w:t>。</w:t>
      </w:r>
      <w:r w:rsidRPr="002B55E9">
        <w:rPr>
          <w:rFonts w:hint="eastAsia"/>
        </w:rPr>
        <w:t>香辛料</w:t>
      </w:r>
      <w:r w:rsidRPr="002B55E9">
        <w:t>破碎过程中</w:t>
      </w:r>
      <w:r w:rsidRPr="002B55E9">
        <w:rPr>
          <w:rFonts w:hint="eastAsia"/>
        </w:rPr>
        <w:t>会</w:t>
      </w:r>
      <w:r w:rsidRPr="002B55E9">
        <w:t>产生颗粒物</w:t>
      </w:r>
      <w:r w:rsidRPr="002B55E9">
        <w:rPr>
          <w:rFonts w:hint="eastAsia"/>
        </w:rPr>
        <w:t>，</w:t>
      </w:r>
      <w:r w:rsidRPr="002B55E9">
        <w:t>执行《</w:t>
      </w:r>
      <w:r w:rsidRPr="002B55E9">
        <w:rPr>
          <w:rFonts w:hint="eastAsia"/>
        </w:rPr>
        <w:t>大气</w:t>
      </w:r>
      <w:r w:rsidRPr="002B55E9">
        <w:t>污染物综合排放标准》</w:t>
      </w:r>
      <w:r w:rsidRPr="002B55E9">
        <w:rPr>
          <w:rFonts w:hint="eastAsia"/>
        </w:rPr>
        <w:t>（</w:t>
      </w:r>
      <w:r w:rsidRPr="002B55E9">
        <w:rPr>
          <w:rFonts w:hint="eastAsia"/>
        </w:rPr>
        <w:t>GB16297-1996</w:t>
      </w:r>
      <w:r w:rsidRPr="002B55E9">
        <w:rPr>
          <w:rFonts w:hint="eastAsia"/>
        </w:rPr>
        <w:t>）表</w:t>
      </w:r>
      <w:r w:rsidRPr="002B55E9">
        <w:rPr>
          <w:rFonts w:hint="eastAsia"/>
        </w:rPr>
        <w:t>2</w:t>
      </w:r>
      <w:r w:rsidRPr="002B55E9">
        <w:rPr>
          <w:rFonts w:hint="eastAsia"/>
        </w:rPr>
        <w:t>的二</w:t>
      </w:r>
      <w:r w:rsidRPr="002B55E9">
        <w:t>级排放标准。</w:t>
      </w:r>
      <w:r w:rsidR="00043242" w:rsidRPr="002B55E9">
        <w:rPr>
          <w:rFonts w:hint="eastAsia"/>
        </w:rPr>
        <w:t>白米醋发酵环节产生的异味废气执行《恶臭污染物排放标准》（</w:t>
      </w:r>
      <w:r w:rsidR="00043242" w:rsidRPr="002B55E9">
        <w:rPr>
          <w:rFonts w:hint="eastAsia"/>
        </w:rPr>
        <w:t>GB14554-93</w:t>
      </w:r>
      <w:r w:rsidR="00043242" w:rsidRPr="002B55E9">
        <w:rPr>
          <w:rFonts w:hint="eastAsia"/>
        </w:rPr>
        <w:t>）表</w:t>
      </w:r>
      <w:r w:rsidR="00043242" w:rsidRPr="002B55E9">
        <w:rPr>
          <w:rFonts w:hint="eastAsia"/>
        </w:rPr>
        <w:t>2</w:t>
      </w:r>
      <w:r w:rsidR="00043242" w:rsidRPr="002B55E9">
        <w:rPr>
          <w:rFonts w:hint="eastAsia"/>
        </w:rPr>
        <w:t>中臭气浓度排放限值。</w:t>
      </w:r>
    </w:p>
    <w:p w14:paraId="28E4121D"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1</w:t>
      </w:r>
      <w:r w:rsidRPr="002B55E9">
        <w:rPr>
          <w:rFonts w:eastAsia="黑体"/>
          <w:b/>
        </w:rPr>
        <w:t xml:space="preserve">-5-6  </w:t>
      </w:r>
      <w:r w:rsidRPr="002B55E9">
        <w:rPr>
          <w:rFonts w:eastAsia="黑体" w:hint="eastAsia"/>
          <w:b/>
        </w:rPr>
        <w:t>拟建项目工艺</w:t>
      </w:r>
      <w:r w:rsidRPr="002B55E9">
        <w:rPr>
          <w:rFonts w:eastAsia="黑体"/>
          <w:b/>
        </w:rPr>
        <w:t>废气</w:t>
      </w:r>
      <w:r w:rsidRPr="002B55E9">
        <w:rPr>
          <w:rFonts w:eastAsia="黑体" w:hint="eastAsia"/>
          <w:b/>
        </w:rPr>
        <w:t>有组织废气排放标准一览表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709"/>
        <w:gridCol w:w="851"/>
        <w:gridCol w:w="1092"/>
        <w:gridCol w:w="980"/>
        <w:gridCol w:w="1674"/>
        <w:gridCol w:w="1497"/>
      </w:tblGrid>
      <w:tr w:rsidR="002B55E9" w:rsidRPr="002B55E9" w14:paraId="6BF4ACC4" w14:textId="77777777">
        <w:trPr>
          <w:trHeight w:val="284"/>
          <w:jc w:val="center"/>
        </w:trPr>
        <w:tc>
          <w:tcPr>
            <w:tcW w:w="2835" w:type="dxa"/>
            <w:tcBorders>
              <w:top w:val="single" w:sz="12" w:space="0" w:color="auto"/>
              <w:bottom w:val="single" w:sz="12" w:space="0" w:color="auto"/>
            </w:tcBorders>
            <w:vAlign w:val="center"/>
          </w:tcPr>
          <w:p w14:paraId="5097A8F8" w14:textId="77777777" w:rsidR="00D170E5" w:rsidRPr="002B55E9" w:rsidRDefault="00EF27AD">
            <w:pPr>
              <w:pStyle w:val="aa"/>
              <w:snapToGrid w:val="0"/>
              <w:spacing w:line="240" w:lineRule="auto"/>
              <w:ind w:firstLine="0"/>
              <w:jc w:val="center"/>
              <w:rPr>
                <w:sz w:val="18"/>
                <w:szCs w:val="18"/>
              </w:rPr>
            </w:pPr>
            <w:r w:rsidRPr="002B55E9">
              <w:rPr>
                <w:sz w:val="18"/>
                <w:szCs w:val="18"/>
              </w:rPr>
              <w:t>标准名称</w:t>
            </w:r>
          </w:p>
        </w:tc>
        <w:tc>
          <w:tcPr>
            <w:tcW w:w="709" w:type="dxa"/>
            <w:tcBorders>
              <w:top w:val="single" w:sz="12" w:space="0" w:color="auto"/>
              <w:bottom w:val="single" w:sz="12" w:space="0" w:color="auto"/>
            </w:tcBorders>
            <w:vAlign w:val="center"/>
          </w:tcPr>
          <w:p w14:paraId="653A020A"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级别</w:t>
            </w:r>
          </w:p>
        </w:tc>
        <w:tc>
          <w:tcPr>
            <w:tcW w:w="851" w:type="dxa"/>
            <w:tcBorders>
              <w:top w:val="single" w:sz="12" w:space="0" w:color="auto"/>
              <w:bottom w:val="single" w:sz="12" w:space="0" w:color="auto"/>
            </w:tcBorders>
            <w:shd w:val="clear" w:color="auto" w:fill="auto"/>
            <w:vAlign w:val="center"/>
          </w:tcPr>
          <w:p w14:paraId="7D6D3290"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污染源</w:t>
            </w:r>
          </w:p>
        </w:tc>
        <w:tc>
          <w:tcPr>
            <w:tcW w:w="1092" w:type="dxa"/>
            <w:tcBorders>
              <w:top w:val="single" w:sz="12" w:space="0" w:color="auto"/>
              <w:bottom w:val="single" w:sz="12" w:space="0" w:color="auto"/>
            </w:tcBorders>
            <w:shd w:val="clear" w:color="auto" w:fill="auto"/>
            <w:vAlign w:val="center"/>
          </w:tcPr>
          <w:p w14:paraId="6139C4F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污染物</w:t>
            </w:r>
          </w:p>
        </w:tc>
        <w:tc>
          <w:tcPr>
            <w:tcW w:w="980" w:type="dxa"/>
            <w:tcBorders>
              <w:top w:val="single" w:sz="12" w:space="0" w:color="auto"/>
              <w:bottom w:val="single" w:sz="12" w:space="0" w:color="auto"/>
            </w:tcBorders>
            <w:shd w:val="clear" w:color="auto" w:fill="auto"/>
            <w:vAlign w:val="center"/>
          </w:tcPr>
          <w:p w14:paraId="0045D49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排气筒高度（</w:t>
            </w:r>
            <w:r w:rsidRPr="002B55E9">
              <w:rPr>
                <w:rFonts w:hint="eastAsia"/>
                <w:sz w:val="18"/>
                <w:szCs w:val="18"/>
              </w:rPr>
              <w:t>m</w:t>
            </w:r>
            <w:r w:rsidRPr="002B55E9">
              <w:rPr>
                <w:rFonts w:hint="eastAsia"/>
                <w:sz w:val="18"/>
                <w:szCs w:val="18"/>
              </w:rPr>
              <w:t>）</w:t>
            </w:r>
          </w:p>
        </w:tc>
        <w:tc>
          <w:tcPr>
            <w:tcW w:w="1674" w:type="dxa"/>
            <w:tcBorders>
              <w:top w:val="single" w:sz="12" w:space="0" w:color="auto"/>
              <w:bottom w:val="single" w:sz="12" w:space="0" w:color="auto"/>
            </w:tcBorders>
            <w:shd w:val="clear" w:color="auto" w:fill="auto"/>
            <w:vAlign w:val="center"/>
          </w:tcPr>
          <w:p w14:paraId="11F908FC"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最高允许排放浓度（</w:t>
            </w:r>
            <w:r w:rsidRPr="002B55E9">
              <w:rPr>
                <w:rFonts w:hint="eastAsia"/>
                <w:sz w:val="18"/>
                <w:szCs w:val="18"/>
              </w:rPr>
              <w:t>mg</w:t>
            </w:r>
            <w:r w:rsidRPr="002B55E9">
              <w:rPr>
                <w:sz w:val="18"/>
                <w:szCs w:val="18"/>
              </w:rPr>
              <w:t>/</w:t>
            </w:r>
            <w:r w:rsidRPr="002B55E9">
              <w:rPr>
                <w:rFonts w:hint="eastAsia"/>
                <w:sz w:val="18"/>
                <w:szCs w:val="18"/>
              </w:rPr>
              <w:t>m</w:t>
            </w:r>
            <w:r w:rsidRPr="002B55E9">
              <w:rPr>
                <w:sz w:val="18"/>
                <w:szCs w:val="18"/>
                <w:vertAlign w:val="superscript"/>
              </w:rPr>
              <w:t>3</w:t>
            </w:r>
            <w:r w:rsidRPr="002B55E9">
              <w:rPr>
                <w:rFonts w:hint="eastAsia"/>
                <w:sz w:val="18"/>
                <w:szCs w:val="18"/>
              </w:rPr>
              <w:t>）</w:t>
            </w:r>
          </w:p>
        </w:tc>
        <w:tc>
          <w:tcPr>
            <w:tcW w:w="1497" w:type="dxa"/>
            <w:tcBorders>
              <w:top w:val="single" w:sz="12" w:space="0" w:color="auto"/>
              <w:bottom w:val="single" w:sz="12" w:space="0" w:color="auto"/>
            </w:tcBorders>
            <w:shd w:val="clear" w:color="auto" w:fill="auto"/>
            <w:vAlign w:val="center"/>
          </w:tcPr>
          <w:p w14:paraId="19DA6F83"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最高允许排放速率（</w:t>
            </w:r>
            <w:r w:rsidRPr="002B55E9">
              <w:rPr>
                <w:rFonts w:hint="eastAsia"/>
                <w:sz w:val="18"/>
                <w:szCs w:val="18"/>
              </w:rPr>
              <w:t>kg</w:t>
            </w:r>
            <w:r w:rsidRPr="002B55E9">
              <w:rPr>
                <w:sz w:val="18"/>
                <w:szCs w:val="18"/>
              </w:rPr>
              <w:t>/</w:t>
            </w:r>
            <w:r w:rsidRPr="002B55E9">
              <w:rPr>
                <w:rFonts w:hint="eastAsia"/>
                <w:sz w:val="18"/>
                <w:szCs w:val="18"/>
              </w:rPr>
              <w:t>h</w:t>
            </w:r>
            <w:r w:rsidRPr="002B55E9">
              <w:rPr>
                <w:rFonts w:hint="eastAsia"/>
                <w:sz w:val="18"/>
                <w:szCs w:val="18"/>
              </w:rPr>
              <w:t>）</w:t>
            </w:r>
          </w:p>
        </w:tc>
      </w:tr>
      <w:tr w:rsidR="002B55E9" w:rsidRPr="002B55E9" w14:paraId="1D80C1DD" w14:textId="77777777">
        <w:trPr>
          <w:trHeight w:val="284"/>
          <w:jc w:val="center"/>
        </w:trPr>
        <w:tc>
          <w:tcPr>
            <w:tcW w:w="2835" w:type="dxa"/>
            <w:vAlign w:val="center"/>
          </w:tcPr>
          <w:p w14:paraId="2494C5BC"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《市人民政府关于印发武汉市</w:t>
            </w:r>
            <w:r w:rsidRPr="002B55E9">
              <w:rPr>
                <w:rFonts w:hint="eastAsia"/>
                <w:sz w:val="18"/>
                <w:szCs w:val="18"/>
              </w:rPr>
              <w:t>2022</w:t>
            </w:r>
            <w:r w:rsidRPr="002B55E9">
              <w:rPr>
                <w:rFonts w:hint="eastAsia"/>
                <w:sz w:val="18"/>
                <w:szCs w:val="18"/>
              </w:rPr>
              <w:t>年改善空气质量攻坚方案的通知》（武政规</w:t>
            </w:r>
            <w:r w:rsidRPr="002B55E9">
              <w:rPr>
                <w:rFonts w:hint="eastAsia"/>
                <w:sz w:val="18"/>
                <w:szCs w:val="18"/>
              </w:rPr>
              <w:t>[2022]10</w:t>
            </w:r>
            <w:r w:rsidRPr="002B55E9">
              <w:rPr>
                <w:rFonts w:hint="eastAsia"/>
                <w:sz w:val="18"/>
                <w:szCs w:val="18"/>
              </w:rPr>
              <w:t>号）</w:t>
            </w:r>
          </w:p>
        </w:tc>
        <w:tc>
          <w:tcPr>
            <w:tcW w:w="709" w:type="dxa"/>
            <w:vAlign w:val="center"/>
          </w:tcPr>
          <w:p w14:paraId="7A7283F3"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w:t>
            </w:r>
          </w:p>
        </w:tc>
        <w:tc>
          <w:tcPr>
            <w:tcW w:w="851" w:type="dxa"/>
            <w:vMerge w:val="restart"/>
            <w:shd w:val="clear" w:color="auto" w:fill="auto"/>
            <w:vAlign w:val="center"/>
          </w:tcPr>
          <w:p w14:paraId="163D0C7F"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生产</w:t>
            </w:r>
            <w:r w:rsidRPr="002B55E9">
              <w:rPr>
                <w:sz w:val="18"/>
                <w:szCs w:val="18"/>
              </w:rPr>
              <w:t>车间工艺废气</w:t>
            </w:r>
          </w:p>
        </w:tc>
        <w:tc>
          <w:tcPr>
            <w:tcW w:w="1092" w:type="dxa"/>
            <w:shd w:val="clear" w:color="auto" w:fill="auto"/>
            <w:vAlign w:val="center"/>
          </w:tcPr>
          <w:p w14:paraId="3F152A7F"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非甲烷总烃</w:t>
            </w:r>
          </w:p>
        </w:tc>
        <w:tc>
          <w:tcPr>
            <w:tcW w:w="980" w:type="dxa"/>
            <w:shd w:val="clear" w:color="auto" w:fill="auto"/>
            <w:vAlign w:val="center"/>
          </w:tcPr>
          <w:p w14:paraId="2A0C131E" w14:textId="77777777" w:rsidR="00051272" w:rsidRPr="002B55E9" w:rsidRDefault="00051272">
            <w:pPr>
              <w:pStyle w:val="aa"/>
              <w:snapToGrid w:val="0"/>
              <w:spacing w:line="240" w:lineRule="auto"/>
              <w:ind w:firstLine="0"/>
              <w:jc w:val="center"/>
              <w:rPr>
                <w:sz w:val="18"/>
                <w:szCs w:val="18"/>
              </w:rPr>
            </w:pPr>
            <w:r w:rsidRPr="002B55E9">
              <w:rPr>
                <w:sz w:val="18"/>
                <w:szCs w:val="18"/>
              </w:rPr>
              <w:t>18</w:t>
            </w:r>
          </w:p>
        </w:tc>
        <w:tc>
          <w:tcPr>
            <w:tcW w:w="1674" w:type="dxa"/>
            <w:shd w:val="clear" w:color="auto" w:fill="auto"/>
            <w:vAlign w:val="center"/>
          </w:tcPr>
          <w:p w14:paraId="2C463C98" w14:textId="77777777" w:rsidR="00051272" w:rsidRPr="002B55E9" w:rsidRDefault="00051272">
            <w:pPr>
              <w:pStyle w:val="aa"/>
              <w:snapToGrid w:val="0"/>
              <w:spacing w:line="240" w:lineRule="auto"/>
              <w:ind w:firstLine="0"/>
              <w:jc w:val="center"/>
              <w:rPr>
                <w:sz w:val="18"/>
                <w:szCs w:val="18"/>
              </w:rPr>
            </w:pPr>
            <w:r w:rsidRPr="002B55E9">
              <w:rPr>
                <w:sz w:val="18"/>
                <w:szCs w:val="18"/>
              </w:rPr>
              <w:t>60</w:t>
            </w:r>
          </w:p>
        </w:tc>
        <w:tc>
          <w:tcPr>
            <w:tcW w:w="1497" w:type="dxa"/>
            <w:shd w:val="clear" w:color="auto" w:fill="auto"/>
            <w:vAlign w:val="center"/>
          </w:tcPr>
          <w:p w14:paraId="1D8F4CC4"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w:t>
            </w:r>
          </w:p>
        </w:tc>
      </w:tr>
      <w:tr w:rsidR="002B55E9" w:rsidRPr="002B55E9" w14:paraId="79C16E06" w14:textId="77777777">
        <w:trPr>
          <w:trHeight w:val="284"/>
          <w:jc w:val="center"/>
        </w:trPr>
        <w:tc>
          <w:tcPr>
            <w:tcW w:w="2835" w:type="dxa"/>
            <w:vAlign w:val="center"/>
          </w:tcPr>
          <w:p w14:paraId="6F99F9C6"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《大气污染物综合排放标准》（</w:t>
            </w:r>
            <w:r w:rsidRPr="002B55E9">
              <w:rPr>
                <w:rFonts w:hint="eastAsia"/>
                <w:sz w:val="18"/>
                <w:szCs w:val="18"/>
              </w:rPr>
              <w:t>GB16297-1996</w:t>
            </w:r>
            <w:r w:rsidRPr="002B55E9">
              <w:rPr>
                <w:rFonts w:hint="eastAsia"/>
                <w:sz w:val="18"/>
                <w:szCs w:val="18"/>
              </w:rPr>
              <w:t>）</w:t>
            </w:r>
          </w:p>
        </w:tc>
        <w:tc>
          <w:tcPr>
            <w:tcW w:w="709" w:type="dxa"/>
            <w:vAlign w:val="center"/>
          </w:tcPr>
          <w:p w14:paraId="01100D81"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表</w:t>
            </w:r>
            <w:r w:rsidRPr="002B55E9">
              <w:rPr>
                <w:rFonts w:hint="eastAsia"/>
                <w:sz w:val="18"/>
                <w:szCs w:val="18"/>
              </w:rPr>
              <w:t>2</w:t>
            </w:r>
          </w:p>
        </w:tc>
        <w:tc>
          <w:tcPr>
            <w:tcW w:w="851" w:type="dxa"/>
            <w:vMerge/>
            <w:shd w:val="clear" w:color="auto" w:fill="auto"/>
            <w:vAlign w:val="center"/>
          </w:tcPr>
          <w:p w14:paraId="5FE2C8FB" w14:textId="77777777" w:rsidR="00051272" w:rsidRPr="002B55E9" w:rsidRDefault="00051272">
            <w:pPr>
              <w:pStyle w:val="affff6"/>
              <w:spacing w:line="0" w:lineRule="atLeast"/>
              <w:rPr>
                <w:rFonts w:hAnsi="宋体"/>
                <w:szCs w:val="18"/>
              </w:rPr>
            </w:pPr>
          </w:p>
        </w:tc>
        <w:tc>
          <w:tcPr>
            <w:tcW w:w="1092" w:type="dxa"/>
            <w:shd w:val="clear" w:color="auto" w:fill="auto"/>
            <w:vAlign w:val="center"/>
          </w:tcPr>
          <w:p w14:paraId="1A452B17" w14:textId="77777777" w:rsidR="00051272" w:rsidRPr="002B55E9" w:rsidRDefault="00051272">
            <w:pPr>
              <w:pStyle w:val="affff6"/>
              <w:spacing w:line="0" w:lineRule="atLeast"/>
              <w:rPr>
                <w:szCs w:val="18"/>
                <w:vertAlign w:val="superscript"/>
              </w:rPr>
            </w:pPr>
            <w:r w:rsidRPr="002B55E9">
              <w:rPr>
                <w:rFonts w:hint="eastAsia"/>
                <w:szCs w:val="18"/>
              </w:rPr>
              <w:t>颗粒物</w:t>
            </w:r>
          </w:p>
        </w:tc>
        <w:tc>
          <w:tcPr>
            <w:tcW w:w="980" w:type="dxa"/>
            <w:shd w:val="clear" w:color="auto" w:fill="auto"/>
            <w:vAlign w:val="center"/>
          </w:tcPr>
          <w:p w14:paraId="6A92D17E" w14:textId="77777777" w:rsidR="00051272" w:rsidRPr="002B55E9" w:rsidRDefault="00051272">
            <w:pPr>
              <w:pStyle w:val="aa"/>
              <w:snapToGrid w:val="0"/>
              <w:spacing w:line="240" w:lineRule="auto"/>
              <w:ind w:firstLine="0"/>
              <w:jc w:val="center"/>
              <w:rPr>
                <w:sz w:val="18"/>
                <w:szCs w:val="18"/>
              </w:rPr>
            </w:pPr>
            <w:r w:rsidRPr="002B55E9">
              <w:rPr>
                <w:sz w:val="18"/>
                <w:szCs w:val="18"/>
              </w:rPr>
              <w:t>18</w:t>
            </w:r>
          </w:p>
        </w:tc>
        <w:tc>
          <w:tcPr>
            <w:tcW w:w="1674" w:type="dxa"/>
            <w:shd w:val="clear" w:color="auto" w:fill="auto"/>
            <w:vAlign w:val="center"/>
          </w:tcPr>
          <w:p w14:paraId="1D7BBB32" w14:textId="77777777" w:rsidR="00051272" w:rsidRPr="002B55E9" w:rsidRDefault="00051272">
            <w:pPr>
              <w:pStyle w:val="aa"/>
              <w:snapToGrid w:val="0"/>
              <w:spacing w:line="240" w:lineRule="auto"/>
              <w:ind w:firstLine="0"/>
              <w:jc w:val="center"/>
              <w:rPr>
                <w:sz w:val="18"/>
                <w:szCs w:val="18"/>
              </w:rPr>
            </w:pPr>
            <w:r w:rsidRPr="002B55E9">
              <w:rPr>
                <w:rFonts w:hint="eastAsia"/>
                <w:sz w:val="18"/>
                <w:szCs w:val="18"/>
              </w:rPr>
              <w:t>120</w:t>
            </w:r>
          </w:p>
        </w:tc>
        <w:tc>
          <w:tcPr>
            <w:tcW w:w="1497" w:type="dxa"/>
            <w:shd w:val="clear" w:color="auto" w:fill="auto"/>
            <w:vAlign w:val="center"/>
          </w:tcPr>
          <w:p w14:paraId="2EC940A3" w14:textId="77777777" w:rsidR="00051272" w:rsidRPr="002B55E9" w:rsidRDefault="00051272">
            <w:pPr>
              <w:pStyle w:val="aa"/>
              <w:snapToGrid w:val="0"/>
              <w:spacing w:line="240" w:lineRule="auto"/>
              <w:ind w:firstLine="0"/>
              <w:jc w:val="center"/>
              <w:rPr>
                <w:sz w:val="18"/>
                <w:szCs w:val="18"/>
              </w:rPr>
            </w:pPr>
            <w:r w:rsidRPr="002B55E9">
              <w:rPr>
                <w:sz w:val="18"/>
                <w:szCs w:val="18"/>
              </w:rPr>
              <w:t>2.47</w:t>
            </w:r>
            <w:r w:rsidRPr="002B55E9">
              <w:rPr>
                <w:rFonts w:hint="eastAsia"/>
                <w:szCs w:val="18"/>
                <w:vertAlign w:val="superscript"/>
              </w:rPr>
              <w:t>*</w:t>
            </w:r>
          </w:p>
        </w:tc>
      </w:tr>
      <w:tr w:rsidR="002B55E9" w:rsidRPr="002B55E9" w14:paraId="0E60CC37" w14:textId="77777777">
        <w:trPr>
          <w:trHeight w:val="284"/>
          <w:jc w:val="center"/>
        </w:trPr>
        <w:tc>
          <w:tcPr>
            <w:tcW w:w="2835" w:type="dxa"/>
            <w:vAlign w:val="center"/>
          </w:tcPr>
          <w:p w14:paraId="6A7B00FA" w14:textId="1E8BDECC" w:rsidR="00051272" w:rsidRPr="002B55E9" w:rsidRDefault="00051272">
            <w:pPr>
              <w:pStyle w:val="aa"/>
              <w:snapToGrid w:val="0"/>
              <w:spacing w:line="240" w:lineRule="auto"/>
              <w:ind w:firstLine="0"/>
              <w:jc w:val="center"/>
              <w:rPr>
                <w:sz w:val="18"/>
                <w:szCs w:val="18"/>
              </w:rPr>
            </w:pPr>
            <w:r w:rsidRPr="002B55E9">
              <w:rPr>
                <w:rFonts w:hint="eastAsia"/>
                <w:sz w:val="18"/>
                <w:szCs w:val="18"/>
              </w:rPr>
              <w:t>《恶臭污染物排放标准》（</w:t>
            </w:r>
            <w:r w:rsidRPr="002B55E9">
              <w:rPr>
                <w:rFonts w:hint="eastAsia"/>
                <w:sz w:val="18"/>
                <w:szCs w:val="18"/>
              </w:rPr>
              <w:t>GB14554-93</w:t>
            </w:r>
            <w:r w:rsidRPr="002B55E9">
              <w:rPr>
                <w:rFonts w:hint="eastAsia"/>
                <w:sz w:val="18"/>
                <w:szCs w:val="18"/>
              </w:rPr>
              <w:t>）</w:t>
            </w:r>
          </w:p>
        </w:tc>
        <w:tc>
          <w:tcPr>
            <w:tcW w:w="709" w:type="dxa"/>
            <w:vAlign w:val="center"/>
          </w:tcPr>
          <w:p w14:paraId="0BE15A1B" w14:textId="468BAE45" w:rsidR="00051272" w:rsidRPr="002B55E9" w:rsidRDefault="00051272">
            <w:pPr>
              <w:pStyle w:val="aa"/>
              <w:snapToGrid w:val="0"/>
              <w:spacing w:line="240" w:lineRule="auto"/>
              <w:ind w:firstLine="0"/>
              <w:jc w:val="center"/>
              <w:rPr>
                <w:sz w:val="18"/>
                <w:szCs w:val="18"/>
              </w:rPr>
            </w:pPr>
            <w:r w:rsidRPr="002B55E9">
              <w:rPr>
                <w:rFonts w:hint="eastAsia"/>
                <w:sz w:val="18"/>
                <w:szCs w:val="18"/>
              </w:rPr>
              <w:t>表</w:t>
            </w:r>
            <w:r w:rsidRPr="002B55E9">
              <w:rPr>
                <w:rFonts w:hint="eastAsia"/>
                <w:sz w:val="18"/>
                <w:szCs w:val="18"/>
              </w:rPr>
              <w:t>2</w:t>
            </w:r>
          </w:p>
        </w:tc>
        <w:tc>
          <w:tcPr>
            <w:tcW w:w="851" w:type="dxa"/>
            <w:vMerge/>
            <w:shd w:val="clear" w:color="auto" w:fill="auto"/>
            <w:vAlign w:val="center"/>
          </w:tcPr>
          <w:p w14:paraId="5F4A64C5" w14:textId="77777777" w:rsidR="00051272" w:rsidRPr="002B55E9" w:rsidRDefault="00051272">
            <w:pPr>
              <w:pStyle w:val="affff6"/>
              <w:spacing w:line="0" w:lineRule="atLeast"/>
              <w:rPr>
                <w:rFonts w:hAnsi="宋体"/>
                <w:szCs w:val="18"/>
              </w:rPr>
            </w:pPr>
          </w:p>
        </w:tc>
        <w:tc>
          <w:tcPr>
            <w:tcW w:w="1092" w:type="dxa"/>
            <w:shd w:val="clear" w:color="auto" w:fill="auto"/>
            <w:vAlign w:val="center"/>
          </w:tcPr>
          <w:p w14:paraId="4408C4CA" w14:textId="355C68B5" w:rsidR="00051272" w:rsidRPr="002B55E9" w:rsidRDefault="00051272">
            <w:pPr>
              <w:pStyle w:val="affff6"/>
              <w:spacing w:line="0" w:lineRule="atLeast"/>
              <w:rPr>
                <w:szCs w:val="18"/>
              </w:rPr>
            </w:pPr>
            <w:r w:rsidRPr="002B55E9">
              <w:rPr>
                <w:rFonts w:hint="eastAsia"/>
                <w:szCs w:val="18"/>
              </w:rPr>
              <w:t>臭气浓度</w:t>
            </w:r>
          </w:p>
        </w:tc>
        <w:tc>
          <w:tcPr>
            <w:tcW w:w="980" w:type="dxa"/>
            <w:shd w:val="clear" w:color="auto" w:fill="auto"/>
            <w:vAlign w:val="center"/>
          </w:tcPr>
          <w:p w14:paraId="1F725074" w14:textId="1CEF21A9" w:rsidR="00051272" w:rsidRPr="002B55E9" w:rsidRDefault="00051272">
            <w:pPr>
              <w:pStyle w:val="aa"/>
              <w:snapToGrid w:val="0"/>
              <w:spacing w:line="240" w:lineRule="auto"/>
              <w:ind w:firstLine="0"/>
              <w:jc w:val="center"/>
              <w:rPr>
                <w:sz w:val="18"/>
                <w:szCs w:val="18"/>
              </w:rPr>
            </w:pPr>
            <w:r w:rsidRPr="002B55E9">
              <w:rPr>
                <w:rFonts w:hint="eastAsia"/>
                <w:sz w:val="18"/>
                <w:szCs w:val="18"/>
              </w:rPr>
              <w:t>1</w:t>
            </w:r>
            <w:r w:rsidRPr="002B55E9">
              <w:rPr>
                <w:sz w:val="18"/>
                <w:szCs w:val="18"/>
              </w:rPr>
              <w:t>8</w:t>
            </w:r>
          </w:p>
        </w:tc>
        <w:tc>
          <w:tcPr>
            <w:tcW w:w="1674" w:type="dxa"/>
            <w:shd w:val="clear" w:color="auto" w:fill="auto"/>
            <w:vAlign w:val="center"/>
          </w:tcPr>
          <w:p w14:paraId="7F852829" w14:textId="267AA48F" w:rsidR="00051272" w:rsidRPr="002B55E9" w:rsidRDefault="00043242">
            <w:pPr>
              <w:pStyle w:val="aa"/>
              <w:snapToGrid w:val="0"/>
              <w:spacing w:line="240" w:lineRule="auto"/>
              <w:ind w:firstLine="0"/>
              <w:jc w:val="center"/>
              <w:rPr>
                <w:sz w:val="18"/>
                <w:szCs w:val="18"/>
              </w:rPr>
            </w:pPr>
            <w:r w:rsidRPr="002B55E9">
              <w:rPr>
                <w:rFonts w:hint="eastAsia"/>
                <w:sz w:val="18"/>
                <w:szCs w:val="18"/>
              </w:rPr>
              <w:t>2</w:t>
            </w:r>
            <w:r w:rsidRPr="002B55E9">
              <w:rPr>
                <w:sz w:val="18"/>
                <w:szCs w:val="18"/>
              </w:rPr>
              <w:t>000</w:t>
            </w:r>
            <w:r w:rsidRPr="002B55E9">
              <w:rPr>
                <w:rFonts w:hint="eastAsia"/>
                <w:sz w:val="18"/>
                <w:szCs w:val="18"/>
              </w:rPr>
              <w:t>（无量纲）</w:t>
            </w:r>
          </w:p>
        </w:tc>
        <w:tc>
          <w:tcPr>
            <w:tcW w:w="1497" w:type="dxa"/>
            <w:shd w:val="clear" w:color="auto" w:fill="auto"/>
            <w:vAlign w:val="center"/>
          </w:tcPr>
          <w:p w14:paraId="3262ABAD" w14:textId="4A07B713" w:rsidR="00051272" w:rsidRPr="002B55E9" w:rsidRDefault="00043242">
            <w:pPr>
              <w:pStyle w:val="aa"/>
              <w:snapToGrid w:val="0"/>
              <w:spacing w:line="240" w:lineRule="auto"/>
              <w:ind w:firstLine="0"/>
              <w:jc w:val="center"/>
              <w:rPr>
                <w:sz w:val="18"/>
                <w:szCs w:val="18"/>
              </w:rPr>
            </w:pPr>
            <w:r w:rsidRPr="002B55E9">
              <w:rPr>
                <w:rFonts w:hint="eastAsia"/>
                <w:sz w:val="18"/>
                <w:szCs w:val="18"/>
              </w:rPr>
              <w:t>/</w:t>
            </w:r>
          </w:p>
        </w:tc>
      </w:tr>
      <w:tr w:rsidR="002B55E9" w:rsidRPr="002B55E9" w14:paraId="7910C562" w14:textId="77777777">
        <w:trPr>
          <w:trHeight w:val="284"/>
          <w:jc w:val="center"/>
        </w:trPr>
        <w:tc>
          <w:tcPr>
            <w:tcW w:w="9638" w:type="dxa"/>
            <w:gridSpan w:val="7"/>
            <w:vAlign w:val="center"/>
          </w:tcPr>
          <w:p w14:paraId="0CA6E0F5" w14:textId="0729FA73" w:rsidR="00D170E5" w:rsidRPr="002B55E9" w:rsidRDefault="00EF27AD">
            <w:pPr>
              <w:pStyle w:val="aa"/>
              <w:snapToGrid w:val="0"/>
              <w:spacing w:line="240" w:lineRule="auto"/>
              <w:ind w:firstLine="0"/>
              <w:jc w:val="left"/>
              <w:rPr>
                <w:sz w:val="18"/>
                <w:szCs w:val="18"/>
              </w:rPr>
            </w:pPr>
            <w:r w:rsidRPr="002B55E9">
              <w:rPr>
                <w:rFonts w:hint="eastAsia"/>
                <w:sz w:val="18"/>
                <w:szCs w:val="18"/>
              </w:rPr>
              <w:t>注：由于</w:t>
            </w:r>
            <w:r w:rsidR="001F0A00" w:rsidRPr="002B55E9">
              <w:rPr>
                <w:rFonts w:hint="eastAsia"/>
                <w:sz w:val="18"/>
                <w:szCs w:val="18"/>
              </w:rPr>
              <w:t>厂区最高建筑为十一车间东侧的局部两层结构，最高高度</w:t>
            </w:r>
            <w:r w:rsidR="001F0A00" w:rsidRPr="002B55E9">
              <w:rPr>
                <w:rFonts w:hint="eastAsia"/>
                <w:sz w:val="18"/>
                <w:szCs w:val="18"/>
              </w:rPr>
              <w:t>1</w:t>
            </w:r>
            <w:r w:rsidR="001F0A00" w:rsidRPr="002B55E9">
              <w:rPr>
                <w:sz w:val="18"/>
                <w:szCs w:val="18"/>
              </w:rPr>
              <w:t>7.4</w:t>
            </w:r>
            <w:r w:rsidR="001F0A00" w:rsidRPr="002B55E9">
              <w:rPr>
                <w:rFonts w:hint="eastAsia"/>
                <w:sz w:val="18"/>
                <w:szCs w:val="18"/>
              </w:rPr>
              <w:t>m</w:t>
            </w:r>
            <w:r w:rsidR="001F0A00" w:rsidRPr="002B55E9">
              <w:rPr>
                <w:rFonts w:hint="eastAsia"/>
                <w:sz w:val="18"/>
                <w:szCs w:val="18"/>
              </w:rPr>
              <w:t>，</w:t>
            </w:r>
            <w:r w:rsidRPr="002B55E9">
              <w:rPr>
                <w:rFonts w:hint="eastAsia"/>
                <w:sz w:val="18"/>
                <w:szCs w:val="18"/>
              </w:rPr>
              <w:t>排放</w:t>
            </w:r>
            <w:r w:rsidRPr="002B55E9">
              <w:rPr>
                <w:sz w:val="18"/>
                <w:szCs w:val="18"/>
              </w:rPr>
              <w:t>颗粒物</w:t>
            </w:r>
            <w:r w:rsidRPr="002B55E9">
              <w:rPr>
                <w:rFonts w:hint="eastAsia"/>
                <w:sz w:val="18"/>
                <w:szCs w:val="18"/>
              </w:rPr>
              <w:t>的</w:t>
            </w:r>
            <w:r w:rsidRPr="002B55E9">
              <w:rPr>
                <w:sz w:val="18"/>
                <w:szCs w:val="18"/>
              </w:rPr>
              <w:t>排气筒</w:t>
            </w:r>
            <w:r w:rsidR="001F0A00" w:rsidRPr="002B55E9">
              <w:rPr>
                <w:rFonts w:hint="eastAsia"/>
                <w:sz w:val="18"/>
                <w:szCs w:val="18"/>
              </w:rPr>
              <w:t>高度</w:t>
            </w:r>
            <w:r w:rsidR="001F0A00" w:rsidRPr="002B55E9">
              <w:rPr>
                <w:rFonts w:hint="eastAsia"/>
                <w:sz w:val="18"/>
                <w:szCs w:val="18"/>
              </w:rPr>
              <w:t>1</w:t>
            </w:r>
            <w:r w:rsidR="001F0A00" w:rsidRPr="002B55E9">
              <w:rPr>
                <w:sz w:val="18"/>
                <w:szCs w:val="18"/>
              </w:rPr>
              <w:t>8</w:t>
            </w:r>
            <w:r w:rsidR="001F0A00" w:rsidRPr="002B55E9">
              <w:rPr>
                <w:rFonts w:hint="eastAsia"/>
                <w:sz w:val="18"/>
                <w:szCs w:val="18"/>
              </w:rPr>
              <w:t>m</w:t>
            </w:r>
            <w:r w:rsidR="001F0A00" w:rsidRPr="002B55E9">
              <w:rPr>
                <w:rFonts w:hint="eastAsia"/>
                <w:sz w:val="18"/>
                <w:szCs w:val="18"/>
              </w:rPr>
              <w:t>，</w:t>
            </w:r>
            <w:r w:rsidRPr="002B55E9">
              <w:rPr>
                <w:sz w:val="18"/>
                <w:szCs w:val="18"/>
              </w:rPr>
              <w:t>不能满足</w:t>
            </w:r>
            <w:r w:rsidR="001F0A00" w:rsidRPr="002B55E9">
              <w:rPr>
                <w:rFonts w:hint="eastAsia"/>
                <w:sz w:val="18"/>
                <w:szCs w:val="18"/>
              </w:rPr>
              <w:t>《大气污染物综合排放标准》（</w:t>
            </w:r>
            <w:r w:rsidR="001F0A00" w:rsidRPr="002B55E9">
              <w:rPr>
                <w:rFonts w:hint="eastAsia"/>
                <w:sz w:val="18"/>
                <w:szCs w:val="18"/>
              </w:rPr>
              <w:t>GB16297-1996</w:t>
            </w:r>
            <w:r w:rsidR="001F0A00" w:rsidRPr="002B55E9">
              <w:rPr>
                <w:rFonts w:hint="eastAsia"/>
                <w:sz w:val="18"/>
                <w:szCs w:val="18"/>
              </w:rPr>
              <w:t>）中</w:t>
            </w:r>
            <w:r w:rsidRPr="002B55E9">
              <w:rPr>
                <w:rFonts w:hint="eastAsia"/>
                <w:sz w:val="18"/>
                <w:szCs w:val="18"/>
              </w:rPr>
              <w:t>“</w:t>
            </w:r>
            <w:r w:rsidRPr="002B55E9">
              <w:rPr>
                <w:sz w:val="18"/>
                <w:szCs w:val="18"/>
              </w:rPr>
              <w:t>排气筒高度应高出周边</w:t>
            </w:r>
            <w:r w:rsidRPr="002B55E9">
              <w:rPr>
                <w:rFonts w:hint="eastAsia"/>
                <w:sz w:val="18"/>
                <w:szCs w:val="18"/>
              </w:rPr>
              <w:t>半径</w:t>
            </w:r>
            <w:r w:rsidRPr="002B55E9">
              <w:rPr>
                <w:rFonts w:hint="eastAsia"/>
                <w:sz w:val="18"/>
                <w:szCs w:val="18"/>
              </w:rPr>
              <w:t>200</w:t>
            </w:r>
            <w:r w:rsidRPr="002B55E9">
              <w:rPr>
                <w:sz w:val="18"/>
                <w:szCs w:val="18"/>
              </w:rPr>
              <w:t>m</w:t>
            </w:r>
            <w:r w:rsidRPr="002B55E9">
              <w:rPr>
                <w:sz w:val="18"/>
                <w:szCs w:val="18"/>
              </w:rPr>
              <w:t>范围</w:t>
            </w:r>
            <w:r w:rsidRPr="002B55E9">
              <w:rPr>
                <w:rFonts w:hint="eastAsia"/>
                <w:sz w:val="18"/>
                <w:szCs w:val="18"/>
              </w:rPr>
              <w:t>的</w:t>
            </w:r>
            <w:r w:rsidRPr="002B55E9">
              <w:rPr>
                <w:sz w:val="18"/>
                <w:szCs w:val="18"/>
              </w:rPr>
              <w:t>建筑物</w:t>
            </w:r>
            <w:r w:rsidRPr="002B55E9">
              <w:rPr>
                <w:rFonts w:hint="eastAsia"/>
                <w:sz w:val="18"/>
                <w:szCs w:val="18"/>
              </w:rPr>
              <w:t>5</w:t>
            </w:r>
            <w:r w:rsidRPr="002B55E9">
              <w:rPr>
                <w:sz w:val="18"/>
                <w:szCs w:val="18"/>
              </w:rPr>
              <w:t>m</w:t>
            </w:r>
            <w:r w:rsidRPr="002B55E9">
              <w:rPr>
                <w:sz w:val="18"/>
                <w:szCs w:val="18"/>
              </w:rPr>
              <w:t>以上</w:t>
            </w:r>
            <w:r w:rsidRPr="002B55E9">
              <w:rPr>
                <w:rFonts w:hint="eastAsia"/>
                <w:sz w:val="18"/>
                <w:szCs w:val="18"/>
              </w:rPr>
              <w:t>”的</w:t>
            </w:r>
            <w:r w:rsidRPr="002B55E9">
              <w:rPr>
                <w:sz w:val="18"/>
                <w:szCs w:val="18"/>
              </w:rPr>
              <w:t>要求，排放</w:t>
            </w:r>
            <w:r w:rsidRPr="002B55E9">
              <w:rPr>
                <w:rFonts w:hint="eastAsia"/>
                <w:sz w:val="18"/>
                <w:szCs w:val="18"/>
              </w:rPr>
              <w:t>速率</w:t>
            </w:r>
            <w:r w:rsidRPr="002B55E9">
              <w:rPr>
                <w:sz w:val="18"/>
                <w:szCs w:val="18"/>
              </w:rPr>
              <w:t>按</w:t>
            </w:r>
            <w:r w:rsidRPr="002B55E9">
              <w:rPr>
                <w:rFonts w:hint="eastAsia"/>
                <w:sz w:val="18"/>
                <w:szCs w:val="18"/>
              </w:rPr>
              <w:t>标准值</w:t>
            </w:r>
            <w:r w:rsidRPr="002B55E9">
              <w:rPr>
                <w:sz w:val="18"/>
                <w:szCs w:val="18"/>
              </w:rPr>
              <w:t>严格</w:t>
            </w:r>
            <w:r w:rsidRPr="002B55E9">
              <w:rPr>
                <w:rFonts w:hint="eastAsia"/>
                <w:sz w:val="18"/>
                <w:szCs w:val="18"/>
              </w:rPr>
              <w:t>50</w:t>
            </w:r>
            <w:r w:rsidRPr="002B55E9">
              <w:rPr>
                <w:sz w:val="18"/>
                <w:szCs w:val="18"/>
              </w:rPr>
              <w:t>%</w:t>
            </w:r>
            <w:r w:rsidRPr="002B55E9">
              <w:rPr>
                <w:sz w:val="18"/>
                <w:szCs w:val="18"/>
              </w:rPr>
              <w:t>执行</w:t>
            </w:r>
            <w:r w:rsidRPr="002B55E9">
              <w:rPr>
                <w:rFonts w:hint="eastAsia"/>
                <w:sz w:val="18"/>
                <w:szCs w:val="18"/>
              </w:rPr>
              <w:t>。</w:t>
            </w:r>
            <w:r w:rsidRPr="002B55E9">
              <w:rPr>
                <w:sz w:val="18"/>
                <w:szCs w:val="18"/>
              </w:rPr>
              <w:t xml:space="preserve"> </w:t>
            </w:r>
          </w:p>
        </w:tc>
      </w:tr>
    </w:tbl>
    <w:p w14:paraId="13712B27" w14:textId="77777777" w:rsidR="00D170E5" w:rsidRPr="002B55E9" w:rsidRDefault="00EF27AD">
      <w:pPr>
        <w:pStyle w:val="aa"/>
      </w:pPr>
      <w:r w:rsidRPr="002B55E9">
        <w:rPr>
          <w:rFonts w:hint="eastAsia"/>
        </w:rPr>
        <w:lastRenderedPageBreak/>
        <w:t>（</w:t>
      </w:r>
      <w:r w:rsidRPr="002B55E9">
        <w:rPr>
          <w:rFonts w:hint="eastAsia"/>
        </w:rPr>
        <w:t>2</w:t>
      </w:r>
      <w:r w:rsidRPr="002B55E9">
        <w:rPr>
          <w:rFonts w:hint="eastAsia"/>
        </w:rPr>
        <w:t>）</w:t>
      </w:r>
      <w:r w:rsidRPr="002B55E9">
        <w:t>实验室检测废气</w:t>
      </w:r>
    </w:p>
    <w:p w14:paraId="77913608" w14:textId="77777777" w:rsidR="00D170E5" w:rsidRPr="002B55E9" w:rsidRDefault="00EF27AD">
      <w:pPr>
        <w:pStyle w:val="aa"/>
        <w:jc w:val="left"/>
      </w:pPr>
      <w:r w:rsidRPr="002B55E9">
        <w:rPr>
          <w:rFonts w:hint="eastAsia"/>
        </w:rPr>
        <w:t>实验室</w:t>
      </w:r>
      <w:r w:rsidRPr="002B55E9">
        <w:t>质检</w:t>
      </w:r>
      <w:r w:rsidRPr="002B55E9">
        <w:rPr>
          <w:rFonts w:hint="eastAsia"/>
        </w:rPr>
        <w:t>实验</w:t>
      </w:r>
      <w:r w:rsidRPr="002B55E9">
        <w:t>过程中使用硫酸、盐酸、</w:t>
      </w:r>
      <w:r w:rsidRPr="002B55E9">
        <w:rPr>
          <w:rFonts w:hint="eastAsia"/>
        </w:rPr>
        <w:t>乙酸</w:t>
      </w:r>
      <w:r w:rsidRPr="002B55E9">
        <w:t>、乙醇等</w:t>
      </w:r>
      <w:r w:rsidRPr="002B55E9">
        <w:rPr>
          <w:rFonts w:hint="eastAsia"/>
        </w:rPr>
        <w:t>试剂</w:t>
      </w:r>
      <w:r w:rsidRPr="002B55E9">
        <w:t>，会挥发产生</w:t>
      </w:r>
      <w:r w:rsidRPr="002B55E9">
        <w:rPr>
          <w:rFonts w:hint="eastAsia"/>
        </w:rPr>
        <w:t>废气，</w:t>
      </w:r>
      <w:r w:rsidRPr="002B55E9">
        <w:t>甲醛、硫酸、氯化氢等污染物执行《</w:t>
      </w:r>
      <w:r w:rsidRPr="002B55E9">
        <w:rPr>
          <w:rFonts w:hint="eastAsia"/>
        </w:rPr>
        <w:t>大气</w:t>
      </w:r>
      <w:r w:rsidRPr="002B55E9">
        <w:t>污染物综合</w:t>
      </w:r>
      <w:r w:rsidRPr="002B55E9">
        <w:rPr>
          <w:rFonts w:hint="eastAsia"/>
        </w:rPr>
        <w:t>排放</w:t>
      </w:r>
      <w:r w:rsidRPr="002B55E9">
        <w:t>标准》</w:t>
      </w:r>
      <w:r w:rsidRPr="002B55E9">
        <w:rPr>
          <w:rFonts w:hint="eastAsia"/>
        </w:rPr>
        <w:t>（</w:t>
      </w:r>
      <w:r w:rsidRPr="002B55E9">
        <w:rPr>
          <w:rFonts w:hint="eastAsia"/>
        </w:rPr>
        <w:t>GB16297-199</w:t>
      </w:r>
      <w:r w:rsidRPr="002B55E9">
        <w:t>6</w:t>
      </w:r>
      <w:r w:rsidRPr="002B55E9">
        <w:rPr>
          <w:rFonts w:hint="eastAsia"/>
        </w:rPr>
        <w:t>）表</w:t>
      </w:r>
      <w:r w:rsidRPr="002B55E9">
        <w:rPr>
          <w:rFonts w:hint="eastAsia"/>
        </w:rPr>
        <w:t>2</w:t>
      </w:r>
      <w:r w:rsidRPr="002B55E9">
        <w:rPr>
          <w:rFonts w:hint="eastAsia"/>
        </w:rPr>
        <w:t>的</w:t>
      </w:r>
      <w:r w:rsidRPr="002B55E9">
        <w:t>限值要求。</w:t>
      </w:r>
    </w:p>
    <w:p w14:paraId="18D2B9F5"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1</w:t>
      </w:r>
      <w:r w:rsidRPr="002B55E9">
        <w:rPr>
          <w:rFonts w:eastAsia="黑体"/>
          <w:b/>
        </w:rPr>
        <w:t xml:space="preserve">-5-7  </w:t>
      </w:r>
      <w:r w:rsidRPr="002B55E9">
        <w:rPr>
          <w:rFonts w:eastAsia="黑体" w:hint="eastAsia"/>
          <w:b/>
        </w:rPr>
        <w:t>拟建项目有组织废气排放标准一览表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613"/>
        <w:gridCol w:w="1101"/>
        <w:gridCol w:w="1508"/>
        <w:gridCol w:w="980"/>
        <w:gridCol w:w="1672"/>
        <w:gridCol w:w="1496"/>
      </w:tblGrid>
      <w:tr w:rsidR="002B55E9" w:rsidRPr="002B55E9" w14:paraId="366AB8B9" w14:textId="77777777">
        <w:trPr>
          <w:trHeight w:val="284"/>
          <w:jc w:val="center"/>
        </w:trPr>
        <w:tc>
          <w:tcPr>
            <w:tcW w:w="2268" w:type="dxa"/>
            <w:tcBorders>
              <w:top w:val="single" w:sz="12" w:space="0" w:color="auto"/>
              <w:bottom w:val="single" w:sz="12" w:space="0" w:color="auto"/>
            </w:tcBorders>
            <w:vAlign w:val="center"/>
          </w:tcPr>
          <w:p w14:paraId="6734B8F4" w14:textId="77777777" w:rsidR="00D170E5" w:rsidRPr="002B55E9" w:rsidRDefault="00EF27AD">
            <w:pPr>
              <w:pStyle w:val="aa"/>
              <w:snapToGrid w:val="0"/>
              <w:spacing w:line="240" w:lineRule="auto"/>
              <w:ind w:firstLine="0"/>
              <w:jc w:val="center"/>
              <w:rPr>
                <w:sz w:val="18"/>
                <w:szCs w:val="18"/>
              </w:rPr>
            </w:pPr>
            <w:r w:rsidRPr="002B55E9">
              <w:rPr>
                <w:sz w:val="18"/>
                <w:szCs w:val="18"/>
              </w:rPr>
              <w:t>标准名称</w:t>
            </w:r>
          </w:p>
        </w:tc>
        <w:tc>
          <w:tcPr>
            <w:tcW w:w="613" w:type="dxa"/>
            <w:tcBorders>
              <w:top w:val="single" w:sz="12" w:space="0" w:color="auto"/>
              <w:bottom w:val="single" w:sz="12" w:space="0" w:color="auto"/>
            </w:tcBorders>
            <w:vAlign w:val="center"/>
          </w:tcPr>
          <w:p w14:paraId="6CA85762"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级别</w:t>
            </w:r>
          </w:p>
        </w:tc>
        <w:tc>
          <w:tcPr>
            <w:tcW w:w="1101" w:type="dxa"/>
            <w:tcBorders>
              <w:top w:val="single" w:sz="12" w:space="0" w:color="auto"/>
              <w:bottom w:val="single" w:sz="12" w:space="0" w:color="auto"/>
            </w:tcBorders>
            <w:shd w:val="clear" w:color="auto" w:fill="auto"/>
            <w:vAlign w:val="center"/>
          </w:tcPr>
          <w:p w14:paraId="112D3647"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污染源</w:t>
            </w:r>
          </w:p>
        </w:tc>
        <w:tc>
          <w:tcPr>
            <w:tcW w:w="1508" w:type="dxa"/>
            <w:tcBorders>
              <w:top w:val="single" w:sz="12" w:space="0" w:color="auto"/>
              <w:bottom w:val="single" w:sz="12" w:space="0" w:color="auto"/>
            </w:tcBorders>
            <w:shd w:val="clear" w:color="auto" w:fill="auto"/>
            <w:vAlign w:val="center"/>
          </w:tcPr>
          <w:p w14:paraId="0E87F60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污染物</w:t>
            </w:r>
          </w:p>
        </w:tc>
        <w:tc>
          <w:tcPr>
            <w:tcW w:w="980" w:type="dxa"/>
            <w:tcBorders>
              <w:top w:val="single" w:sz="12" w:space="0" w:color="auto"/>
              <w:bottom w:val="single" w:sz="12" w:space="0" w:color="auto"/>
            </w:tcBorders>
            <w:shd w:val="clear" w:color="auto" w:fill="auto"/>
            <w:vAlign w:val="center"/>
          </w:tcPr>
          <w:p w14:paraId="10F5E873"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排气筒高度（</w:t>
            </w:r>
            <w:r w:rsidRPr="002B55E9">
              <w:rPr>
                <w:rFonts w:hint="eastAsia"/>
                <w:sz w:val="18"/>
                <w:szCs w:val="18"/>
              </w:rPr>
              <w:t>m</w:t>
            </w:r>
            <w:r w:rsidRPr="002B55E9">
              <w:rPr>
                <w:rFonts w:hint="eastAsia"/>
                <w:sz w:val="18"/>
                <w:szCs w:val="18"/>
              </w:rPr>
              <w:t>）</w:t>
            </w:r>
          </w:p>
        </w:tc>
        <w:tc>
          <w:tcPr>
            <w:tcW w:w="1672" w:type="dxa"/>
            <w:tcBorders>
              <w:top w:val="single" w:sz="12" w:space="0" w:color="auto"/>
              <w:bottom w:val="single" w:sz="12" w:space="0" w:color="auto"/>
            </w:tcBorders>
            <w:shd w:val="clear" w:color="auto" w:fill="auto"/>
            <w:vAlign w:val="center"/>
          </w:tcPr>
          <w:p w14:paraId="44E333F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最高允许排放浓度（</w:t>
            </w:r>
            <w:r w:rsidRPr="002B55E9">
              <w:rPr>
                <w:rFonts w:hint="eastAsia"/>
                <w:sz w:val="18"/>
                <w:szCs w:val="18"/>
              </w:rPr>
              <w:t>mg</w:t>
            </w:r>
            <w:r w:rsidRPr="002B55E9">
              <w:rPr>
                <w:sz w:val="18"/>
                <w:szCs w:val="18"/>
              </w:rPr>
              <w:t>/</w:t>
            </w:r>
            <w:r w:rsidRPr="002B55E9">
              <w:rPr>
                <w:rFonts w:hint="eastAsia"/>
                <w:sz w:val="18"/>
                <w:szCs w:val="18"/>
              </w:rPr>
              <w:t>m</w:t>
            </w:r>
            <w:r w:rsidRPr="002B55E9">
              <w:rPr>
                <w:sz w:val="18"/>
                <w:szCs w:val="18"/>
                <w:vertAlign w:val="superscript"/>
              </w:rPr>
              <w:t>3</w:t>
            </w:r>
            <w:r w:rsidRPr="002B55E9">
              <w:rPr>
                <w:rFonts w:hint="eastAsia"/>
                <w:sz w:val="18"/>
                <w:szCs w:val="18"/>
              </w:rPr>
              <w:t>）</w:t>
            </w:r>
          </w:p>
        </w:tc>
        <w:tc>
          <w:tcPr>
            <w:tcW w:w="1496" w:type="dxa"/>
            <w:tcBorders>
              <w:top w:val="single" w:sz="12" w:space="0" w:color="auto"/>
              <w:bottom w:val="single" w:sz="12" w:space="0" w:color="auto"/>
            </w:tcBorders>
            <w:shd w:val="clear" w:color="auto" w:fill="auto"/>
            <w:vAlign w:val="center"/>
          </w:tcPr>
          <w:p w14:paraId="5B4D0FF9"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最高允许排放速率（</w:t>
            </w:r>
            <w:r w:rsidRPr="002B55E9">
              <w:rPr>
                <w:rFonts w:hint="eastAsia"/>
                <w:sz w:val="18"/>
                <w:szCs w:val="18"/>
              </w:rPr>
              <w:t>kg</w:t>
            </w:r>
            <w:r w:rsidRPr="002B55E9">
              <w:rPr>
                <w:sz w:val="18"/>
                <w:szCs w:val="18"/>
              </w:rPr>
              <w:t>/</w:t>
            </w:r>
            <w:r w:rsidRPr="002B55E9">
              <w:rPr>
                <w:rFonts w:hint="eastAsia"/>
                <w:sz w:val="18"/>
                <w:szCs w:val="18"/>
              </w:rPr>
              <w:t>h</w:t>
            </w:r>
            <w:r w:rsidRPr="002B55E9">
              <w:rPr>
                <w:rFonts w:hint="eastAsia"/>
                <w:sz w:val="18"/>
                <w:szCs w:val="18"/>
              </w:rPr>
              <w:t>）</w:t>
            </w:r>
          </w:p>
        </w:tc>
      </w:tr>
      <w:tr w:rsidR="002B55E9" w:rsidRPr="002B55E9" w14:paraId="540C5B3A" w14:textId="77777777" w:rsidTr="00D10F7D">
        <w:trPr>
          <w:trHeight w:val="284"/>
          <w:jc w:val="center"/>
        </w:trPr>
        <w:tc>
          <w:tcPr>
            <w:tcW w:w="2268" w:type="dxa"/>
            <w:vAlign w:val="center"/>
          </w:tcPr>
          <w:p w14:paraId="373D4EF3"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《市人民政府关于印发武汉市</w:t>
            </w:r>
            <w:r w:rsidRPr="002B55E9">
              <w:rPr>
                <w:rFonts w:hint="eastAsia"/>
                <w:sz w:val="18"/>
                <w:szCs w:val="18"/>
              </w:rPr>
              <w:t>2022</w:t>
            </w:r>
            <w:r w:rsidRPr="002B55E9">
              <w:rPr>
                <w:rFonts w:hint="eastAsia"/>
                <w:sz w:val="18"/>
                <w:szCs w:val="18"/>
              </w:rPr>
              <w:t>年改善空气质量攻坚方案的通知》（武政规</w:t>
            </w:r>
            <w:r w:rsidRPr="002B55E9">
              <w:rPr>
                <w:rFonts w:hint="eastAsia"/>
                <w:sz w:val="18"/>
                <w:szCs w:val="18"/>
              </w:rPr>
              <w:t>[2022]10</w:t>
            </w:r>
            <w:r w:rsidRPr="002B55E9">
              <w:rPr>
                <w:rFonts w:hint="eastAsia"/>
                <w:sz w:val="18"/>
                <w:szCs w:val="18"/>
              </w:rPr>
              <w:t>号）</w:t>
            </w:r>
          </w:p>
        </w:tc>
        <w:tc>
          <w:tcPr>
            <w:tcW w:w="613" w:type="dxa"/>
            <w:vAlign w:val="center"/>
          </w:tcPr>
          <w:p w14:paraId="460A8D87"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p>
        </w:tc>
        <w:tc>
          <w:tcPr>
            <w:tcW w:w="1101" w:type="dxa"/>
            <w:vMerge w:val="restart"/>
            <w:shd w:val="clear" w:color="auto" w:fill="auto"/>
            <w:vAlign w:val="center"/>
          </w:tcPr>
          <w:p w14:paraId="1DE4584D"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化验室</w:t>
            </w:r>
          </w:p>
        </w:tc>
        <w:tc>
          <w:tcPr>
            <w:tcW w:w="1508" w:type="dxa"/>
            <w:shd w:val="clear" w:color="auto" w:fill="auto"/>
            <w:vAlign w:val="center"/>
          </w:tcPr>
          <w:p w14:paraId="5C1C36CC"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非甲烷总烃</w:t>
            </w:r>
          </w:p>
        </w:tc>
        <w:tc>
          <w:tcPr>
            <w:tcW w:w="980" w:type="dxa"/>
            <w:shd w:val="clear" w:color="auto" w:fill="auto"/>
            <w:vAlign w:val="center"/>
          </w:tcPr>
          <w:p w14:paraId="416F0C1F" w14:textId="77777777" w:rsidR="00D170E5" w:rsidRPr="002B55E9" w:rsidRDefault="00EF27AD">
            <w:pPr>
              <w:pStyle w:val="aa"/>
              <w:snapToGrid w:val="0"/>
              <w:spacing w:line="240" w:lineRule="auto"/>
              <w:ind w:firstLine="0"/>
              <w:jc w:val="center"/>
              <w:rPr>
                <w:sz w:val="18"/>
                <w:szCs w:val="18"/>
              </w:rPr>
            </w:pPr>
            <w:r w:rsidRPr="002B55E9">
              <w:rPr>
                <w:sz w:val="18"/>
                <w:szCs w:val="18"/>
              </w:rPr>
              <w:t>18m</w:t>
            </w:r>
          </w:p>
        </w:tc>
        <w:tc>
          <w:tcPr>
            <w:tcW w:w="1672" w:type="dxa"/>
            <w:shd w:val="clear" w:color="auto" w:fill="auto"/>
            <w:vAlign w:val="center"/>
          </w:tcPr>
          <w:p w14:paraId="5C30DD33" w14:textId="77777777" w:rsidR="00D170E5" w:rsidRPr="002B55E9" w:rsidRDefault="00EF27AD" w:rsidP="00D10F7D">
            <w:pPr>
              <w:pStyle w:val="aa"/>
              <w:snapToGrid w:val="0"/>
              <w:spacing w:line="240" w:lineRule="auto"/>
              <w:ind w:firstLine="0"/>
              <w:jc w:val="center"/>
              <w:rPr>
                <w:sz w:val="18"/>
                <w:szCs w:val="18"/>
              </w:rPr>
            </w:pPr>
            <w:r w:rsidRPr="002B55E9">
              <w:rPr>
                <w:rFonts w:hint="eastAsia"/>
                <w:sz w:val="18"/>
                <w:szCs w:val="18"/>
              </w:rPr>
              <w:t>60</w:t>
            </w:r>
          </w:p>
        </w:tc>
        <w:tc>
          <w:tcPr>
            <w:tcW w:w="1496" w:type="dxa"/>
            <w:shd w:val="clear" w:color="auto" w:fill="auto"/>
            <w:vAlign w:val="center"/>
          </w:tcPr>
          <w:p w14:paraId="59A2C27F" w14:textId="77777777" w:rsidR="00D170E5" w:rsidRPr="002B55E9" w:rsidRDefault="00EF27AD" w:rsidP="00D10F7D">
            <w:pPr>
              <w:pStyle w:val="aa"/>
              <w:snapToGrid w:val="0"/>
              <w:spacing w:line="240" w:lineRule="auto"/>
              <w:ind w:firstLine="0"/>
              <w:jc w:val="center"/>
              <w:rPr>
                <w:sz w:val="18"/>
                <w:szCs w:val="18"/>
              </w:rPr>
            </w:pPr>
            <w:r w:rsidRPr="002B55E9">
              <w:rPr>
                <w:sz w:val="18"/>
                <w:szCs w:val="18"/>
              </w:rPr>
              <w:t>/</w:t>
            </w:r>
          </w:p>
        </w:tc>
      </w:tr>
      <w:tr w:rsidR="002B55E9" w:rsidRPr="002B55E9" w14:paraId="4C1AD594" w14:textId="77777777" w:rsidTr="00D10F7D">
        <w:trPr>
          <w:trHeight w:val="284"/>
          <w:jc w:val="center"/>
        </w:trPr>
        <w:tc>
          <w:tcPr>
            <w:tcW w:w="2268" w:type="dxa"/>
            <w:vMerge w:val="restart"/>
            <w:vAlign w:val="center"/>
          </w:tcPr>
          <w:p w14:paraId="791498C8"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《大气污染物综合排放标准》（</w:t>
            </w:r>
            <w:r w:rsidRPr="002B55E9">
              <w:rPr>
                <w:rFonts w:hint="eastAsia"/>
                <w:sz w:val="18"/>
                <w:szCs w:val="18"/>
              </w:rPr>
              <w:t>GB16297-1996</w:t>
            </w:r>
            <w:r w:rsidRPr="002B55E9">
              <w:rPr>
                <w:rFonts w:hint="eastAsia"/>
                <w:sz w:val="18"/>
                <w:szCs w:val="18"/>
              </w:rPr>
              <w:t>）</w:t>
            </w:r>
          </w:p>
        </w:tc>
        <w:tc>
          <w:tcPr>
            <w:tcW w:w="613" w:type="dxa"/>
            <w:vMerge w:val="restart"/>
            <w:vAlign w:val="center"/>
          </w:tcPr>
          <w:p w14:paraId="26363342"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表</w:t>
            </w:r>
            <w:r w:rsidRPr="002B55E9">
              <w:rPr>
                <w:rFonts w:hint="eastAsia"/>
                <w:sz w:val="18"/>
                <w:szCs w:val="18"/>
              </w:rPr>
              <w:t>2</w:t>
            </w:r>
          </w:p>
        </w:tc>
        <w:tc>
          <w:tcPr>
            <w:tcW w:w="1101" w:type="dxa"/>
            <w:vMerge/>
            <w:shd w:val="clear" w:color="auto" w:fill="auto"/>
            <w:vAlign w:val="center"/>
          </w:tcPr>
          <w:p w14:paraId="08593589" w14:textId="77777777" w:rsidR="00D170E5" w:rsidRPr="002B55E9" w:rsidRDefault="00D170E5">
            <w:pPr>
              <w:pStyle w:val="affff6"/>
              <w:spacing w:line="0" w:lineRule="atLeast"/>
              <w:rPr>
                <w:rFonts w:hAnsi="宋体"/>
                <w:szCs w:val="18"/>
              </w:rPr>
            </w:pPr>
          </w:p>
        </w:tc>
        <w:tc>
          <w:tcPr>
            <w:tcW w:w="1508" w:type="dxa"/>
            <w:shd w:val="clear" w:color="auto" w:fill="auto"/>
            <w:vAlign w:val="center"/>
          </w:tcPr>
          <w:p w14:paraId="616771FA" w14:textId="77777777" w:rsidR="00D170E5" w:rsidRPr="002B55E9" w:rsidRDefault="00EF27AD">
            <w:pPr>
              <w:pStyle w:val="affff6"/>
              <w:spacing w:line="0" w:lineRule="atLeast"/>
              <w:rPr>
                <w:szCs w:val="18"/>
                <w:vertAlign w:val="superscript"/>
              </w:rPr>
            </w:pPr>
            <w:r w:rsidRPr="002B55E9">
              <w:rPr>
                <w:rFonts w:hint="eastAsia"/>
                <w:szCs w:val="18"/>
              </w:rPr>
              <w:t>甲醛</w:t>
            </w:r>
          </w:p>
        </w:tc>
        <w:tc>
          <w:tcPr>
            <w:tcW w:w="980" w:type="dxa"/>
            <w:shd w:val="clear" w:color="auto" w:fill="auto"/>
            <w:vAlign w:val="center"/>
          </w:tcPr>
          <w:p w14:paraId="588C8046" w14:textId="77777777" w:rsidR="00D170E5" w:rsidRPr="002B55E9" w:rsidRDefault="00EF27AD">
            <w:pPr>
              <w:pStyle w:val="aa"/>
              <w:snapToGrid w:val="0"/>
              <w:spacing w:line="240" w:lineRule="auto"/>
              <w:ind w:firstLine="0"/>
              <w:jc w:val="center"/>
              <w:rPr>
                <w:sz w:val="18"/>
                <w:szCs w:val="18"/>
              </w:rPr>
            </w:pPr>
            <w:r w:rsidRPr="002B55E9">
              <w:rPr>
                <w:sz w:val="18"/>
                <w:szCs w:val="18"/>
              </w:rPr>
              <w:t>18m</w:t>
            </w:r>
          </w:p>
        </w:tc>
        <w:tc>
          <w:tcPr>
            <w:tcW w:w="1672" w:type="dxa"/>
            <w:shd w:val="clear" w:color="auto" w:fill="auto"/>
            <w:vAlign w:val="center"/>
          </w:tcPr>
          <w:p w14:paraId="2121F252" w14:textId="77777777" w:rsidR="00D170E5" w:rsidRPr="002B55E9" w:rsidRDefault="00EF27AD" w:rsidP="00D10F7D">
            <w:pPr>
              <w:pStyle w:val="aa"/>
              <w:snapToGrid w:val="0"/>
              <w:spacing w:line="240" w:lineRule="auto"/>
              <w:ind w:firstLine="0"/>
              <w:jc w:val="center"/>
              <w:rPr>
                <w:sz w:val="18"/>
                <w:szCs w:val="18"/>
              </w:rPr>
            </w:pPr>
            <w:r w:rsidRPr="002B55E9">
              <w:rPr>
                <w:sz w:val="18"/>
                <w:szCs w:val="18"/>
              </w:rPr>
              <w:t>25</w:t>
            </w:r>
          </w:p>
        </w:tc>
        <w:tc>
          <w:tcPr>
            <w:tcW w:w="1496" w:type="dxa"/>
            <w:shd w:val="clear" w:color="auto" w:fill="auto"/>
            <w:vAlign w:val="center"/>
          </w:tcPr>
          <w:p w14:paraId="2E59F50E" w14:textId="77777777" w:rsidR="00D170E5" w:rsidRPr="002B55E9" w:rsidRDefault="00EF27AD" w:rsidP="00D10F7D">
            <w:pPr>
              <w:pStyle w:val="aa"/>
              <w:snapToGrid w:val="0"/>
              <w:spacing w:line="240" w:lineRule="auto"/>
              <w:ind w:firstLine="0"/>
              <w:jc w:val="center"/>
              <w:rPr>
                <w:sz w:val="18"/>
                <w:szCs w:val="18"/>
              </w:rPr>
            </w:pPr>
            <w:r w:rsidRPr="002B55E9">
              <w:rPr>
                <w:sz w:val="18"/>
                <w:szCs w:val="18"/>
              </w:rPr>
              <w:t>0.181</w:t>
            </w:r>
            <w:r w:rsidRPr="002B55E9">
              <w:rPr>
                <w:rFonts w:hint="eastAsia"/>
                <w:sz w:val="18"/>
                <w:szCs w:val="18"/>
              </w:rPr>
              <w:t>*</w:t>
            </w:r>
          </w:p>
        </w:tc>
      </w:tr>
      <w:tr w:rsidR="002B55E9" w:rsidRPr="002B55E9" w14:paraId="7E3B985A" w14:textId="77777777" w:rsidTr="00D10F7D">
        <w:trPr>
          <w:trHeight w:val="284"/>
          <w:jc w:val="center"/>
        </w:trPr>
        <w:tc>
          <w:tcPr>
            <w:tcW w:w="2268" w:type="dxa"/>
            <w:vMerge/>
            <w:vAlign w:val="center"/>
          </w:tcPr>
          <w:p w14:paraId="3C807126" w14:textId="77777777" w:rsidR="00D170E5" w:rsidRPr="002B55E9" w:rsidRDefault="00D170E5">
            <w:pPr>
              <w:pStyle w:val="aa"/>
              <w:snapToGrid w:val="0"/>
              <w:spacing w:line="240" w:lineRule="auto"/>
              <w:ind w:firstLine="0"/>
              <w:jc w:val="center"/>
              <w:rPr>
                <w:sz w:val="18"/>
                <w:szCs w:val="18"/>
              </w:rPr>
            </w:pPr>
          </w:p>
        </w:tc>
        <w:tc>
          <w:tcPr>
            <w:tcW w:w="613" w:type="dxa"/>
            <w:vMerge/>
            <w:vAlign w:val="center"/>
          </w:tcPr>
          <w:p w14:paraId="2681853D" w14:textId="77777777" w:rsidR="00D170E5" w:rsidRPr="002B55E9" w:rsidRDefault="00D170E5">
            <w:pPr>
              <w:pStyle w:val="aa"/>
              <w:snapToGrid w:val="0"/>
              <w:spacing w:line="240" w:lineRule="auto"/>
              <w:ind w:firstLine="0"/>
              <w:jc w:val="center"/>
              <w:rPr>
                <w:sz w:val="18"/>
                <w:szCs w:val="18"/>
              </w:rPr>
            </w:pPr>
          </w:p>
        </w:tc>
        <w:tc>
          <w:tcPr>
            <w:tcW w:w="1101" w:type="dxa"/>
            <w:vMerge/>
            <w:shd w:val="clear" w:color="auto" w:fill="auto"/>
            <w:vAlign w:val="center"/>
          </w:tcPr>
          <w:p w14:paraId="51E1451C" w14:textId="77777777" w:rsidR="00D170E5" w:rsidRPr="002B55E9" w:rsidRDefault="00D170E5">
            <w:pPr>
              <w:pStyle w:val="affff6"/>
              <w:spacing w:line="0" w:lineRule="atLeast"/>
              <w:rPr>
                <w:rFonts w:hAnsi="宋体"/>
                <w:szCs w:val="18"/>
              </w:rPr>
            </w:pPr>
          </w:p>
        </w:tc>
        <w:tc>
          <w:tcPr>
            <w:tcW w:w="1508" w:type="dxa"/>
            <w:shd w:val="clear" w:color="auto" w:fill="auto"/>
            <w:vAlign w:val="center"/>
          </w:tcPr>
          <w:p w14:paraId="4A2515BE" w14:textId="77777777" w:rsidR="00D170E5" w:rsidRPr="002B55E9" w:rsidRDefault="00EF27AD">
            <w:pPr>
              <w:pStyle w:val="affff6"/>
              <w:spacing w:line="0" w:lineRule="atLeast"/>
              <w:rPr>
                <w:szCs w:val="18"/>
              </w:rPr>
            </w:pPr>
            <w:r w:rsidRPr="002B55E9">
              <w:rPr>
                <w:rFonts w:hint="eastAsia"/>
                <w:szCs w:val="18"/>
              </w:rPr>
              <w:t>硫酸</w:t>
            </w:r>
          </w:p>
        </w:tc>
        <w:tc>
          <w:tcPr>
            <w:tcW w:w="980" w:type="dxa"/>
            <w:shd w:val="clear" w:color="auto" w:fill="auto"/>
            <w:vAlign w:val="center"/>
          </w:tcPr>
          <w:p w14:paraId="0BBFFA4F" w14:textId="77777777" w:rsidR="00D170E5" w:rsidRPr="002B55E9" w:rsidRDefault="00EF27AD">
            <w:pPr>
              <w:pStyle w:val="aa"/>
              <w:snapToGrid w:val="0"/>
              <w:spacing w:line="240" w:lineRule="auto"/>
              <w:ind w:firstLine="0"/>
              <w:jc w:val="center"/>
              <w:rPr>
                <w:sz w:val="18"/>
                <w:szCs w:val="18"/>
              </w:rPr>
            </w:pPr>
            <w:r w:rsidRPr="002B55E9">
              <w:rPr>
                <w:sz w:val="18"/>
                <w:szCs w:val="18"/>
              </w:rPr>
              <w:t>18m</w:t>
            </w:r>
          </w:p>
        </w:tc>
        <w:tc>
          <w:tcPr>
            <w:tcW w:w="1672" w:type="dxa"/>
            <w:shd w:val="clear" w:color="auto" w:fill="auto"/>
            <w:vAlign w:val="center"/>
          </w:tcPr>
          <w:p w14:paraId="5EF26BD5" w14:textId="77777777" w:rsidR="00D170E5" w:rsidRPr="002B55E9" w:rsidRDefault="00EF27AD" w:rsidP="00D10F7D">
            <w:pPr>
              <w:pStyle w:val="aa"/>
              <w:snapToGrid w:val="0"/>
              <w:spacing w:line="240" w:lineRule="auto"/>
              <w:ind w:firstLine="0"/>
              <w:jc w:val="center"/>
              <w:rPr>
                <w:sz w:val="18"/>
                <w:szCs w:val="18"/>
              </w:rPr>
            </w:pPr>
            <w:r w:rsidRPr="002B55E9">
              <w:rPr>
                <w:rFonts w:hint="eastAsia"/>
                <w:sz w:val="18"/>
                <w:szCs w:val="18"/>
              </w:rPr>
              <w:t>45</w:t>
            </w:r>
          </w:p>
        </w:tc>
        <w:tc>
          <w:tcPr>
            <w:tcW w:w="1496" w:type="dxa"/>
            <w:shd w:val="clear" w:color="auto" w:fill="auto"/>
            <w:vAlign w:val="center"/>
          </w:tcPr>
          <w:p w14:paraId="151FC0FE" w14:textId="77777777" w:rsidR="00D170E5" w:rsidRPr="002B55E9" w:rsidRDefault="00EF27AD" w:rsidP="00D10F7D">
            <w:pPr>
              <w:pStyle w:val="aa"/>
              <w:snapToGrid w:val="0"/>
              <w:spacing w:line="240" w:lineRule="auto"/>
              <w:ind w:firstLine="0"/>
              <w:jc w:val="center"/>
              <w:rPr>
                <w:sz w:val="18"/>
                <w:szCs w:val="18"/>
              </w:rPr>
            </w:pPr>
            <w:r w:rsidRPr="002B55E9">
              <w:rPr>
                <w:sz w:val="18"/>
                <w:szCs w:val="18"/>
              </w:rPr>
              <w:t>1.08</w:t>
            </w:r>
            <w:r w:rsidRPr="002B55E9">
              <w:rPr>
                <w:rFonts w:hint="eastAsia"/>
                <w:sz w:val="18"/>
                <w:szCs w:val="18"/>
              </w:rPr>
              <w:t>*</w:t>
            </w:r>
          </w:p>
        </w:tc>
      </w:tr>
      <w:tr w:rsidR="002B55E9" w:rsidRPr="002B55E9" w14:paraId="408E8AEF" w14:textId="77777777" w:rsidTr="00D10F7D">
        <w:trPr>
          <w:trHeight w:val="64"/>
          <w:jc w:val="center"/>
        </w:trPr>
        <w:tc>
          <w:tcPr>
            <w:tcW w:w="2268" w:type="dxa"/>
            <w:vMerge/>
            <w:vAlign w:val="center"/>
          </w:tcPr>
          <w:p w14:paraId="4F50AADB" w14:textId="77777777" w:rsidR="00D170E5" w:rsidRPr="002B55E9" w:rsidRDefault="00D170E5">
            <w:pPr>
              <w:pStyle w:val="aa"/>
              <w:snapToGrid w:val="0"/>
              <w:spacing w:line="240" w:lineRule="auto"/>
              <w:ind w:firstLine="0"/>
              <w:jc w:val="center"/>
              <w:rPr>
                <w:sz w:val="18"/>
                <w:szCs w:val="18"/>
              </w:rPr>
            </w:pPr>
          </w:p>
        </w:tc>
        <w:tc>
          <w:tcPr>
            <w:tcW w:w="613" w:type="dxa"/>
            <w:vMerge/>
            <w:vAlign w:val="center"/>
          </w:tcPr>
          <w:p w14:paraId="64B77EA1" w14:textId="77777777" w:rsidR="00D170E5" w:rsidRPr="002B55E9" w:rsidRDefault="00D170E5">
            <w:pPr>
              <w:pStyle w:val="aa"/>
              <w:snapToGrid w:val="0"/>
              <w:spacing w:line="240" w:lineRule="auto"/>
              <w:ind w:firstLine="0"/>
              <w:jc w:val="center"/>
              <w:rPr>
                <w:sz w:val="18"/>
                <w:szCs w:val="18"/>
              </w:rPr>
            </w:pPr>
          </w:p>
        </w:tc>
        <w:tc>
          <w:tcPr>
            <w:tcW w:w="1101" w:type="dxa"/>
            <w:vMerge/>
            <w:shd w:val="clear" w:color="auto" w:fill="auto"/>
            <w:vAlign w:val="center"/>
          </w:tcPr>
          <w:p w14:paraId="6E81D5FB" w14:textId="77777777" w:rsidR="00D170E5" w:rsidRPr="002B55E9" w:rsidRDefault="00D170E5">
            <w:pPr>
              <w:pStyle w:val="affff6"/>
              <w:spacing w:line="0" w:lineRule="atLeast"/>
              <w:rPr>
                <w:rFonts w:hAnsi="宋体"/>
                <w:szCs w:val="18"/>
              </w:rPr>
            </w:pPr>
          </w:p>
        </w:tc>
        <w:tc>
          <w:tcPr>
            <w:tcW w:w="1508" w:type="dxa"/>
            <w:shd w:val="clear" w:color="auto" w:fill="auto"/>
            <w:vAlign w:val="center"/>
          </w:tcPr>
          <w:p w14:paraId="05FAE2D1" w14:textId="77777777" w:rsidR="00D170E5" w:rsidRPr="002B55E9" w:rsidRDefault="00EF27AD">
            <w:pPr>
              <w:pStyle w:val="affff6"/>
              <w:spacing w:line="0" w:lineRule="atLeast"/>
              <w:rPr>
                <w:szCs w:val="18"/>
              </w:rPr>
            </w:pPr>
            <w:r w:rsidRPr="002B55E9">
              <w:rPr>
                <w:rFonts w:hint="eastAsia"/>
                <w:szCs w:val="18"/>
              </w:rPr>
              <w:t>氯化氢</w:t>
            </w:r>
          </w:p>
        </w:tc>
        <w:tc>
          <w:tcPr>
            <w:tcW w:w="980" w:type="dxa"/>
            <w:shd w:val="clear" w:color="auto" w:fill="auto"/>
            <w:vAlign w:val="center"/>
          </w:tcPr>
          <w:p w14:paraId="04DC1D4F" w14:textId="77777777" w:rsidR="00D170E5" w:rsidRPr="002B55E9" w:rsidRDefault="00EF27AD">
            <w:pPr>
              <w:pStyle w:val="aa"/>
              <w:snapToGrid w:val="0"/>
              <w:spacing w:line="240" w:lineRule="auto"/>
              <w:ind w:firstLine="0"/>
              <w:jc w:val="center"/>
              <w:rPr>
                <w:sz w:val="18"/>
                <w:szCs w:val="18"/>
              </w:rPr>
            </w:pPr>
            <w:r w:rsidRPr="002B55E9">
              <w:rPr>
                <w:sz w:val="18"/>
                <w:szCs w:val="18"/>
              </w:rPr>
              <w:t>18m</w:t>
            </w:r>
          </w:p>
        </w:tc>
        <w:tc>
          <w:tcPr>
            <w:tcW w:w="1672" w:type="dxa"/>
            <w:shd w:val="clear" w:color="auto" w:fill="auto"/>
            <w:vAlign w:val="center"/>
          </w:tcPr>
          <w:p w14:paraId="0B5D07B7" w14:textId="77777777" w:rsidR="00D170E5" w:rsidRPr="002B55E9" w:rsidRDefault="00EF27AD" w:rsidP="00D10F7D">
            <w:pPr>
              <w:pStyle w:val="aa"/>
              <w:snapToGrid w:val="0"/>
              <w:spacing w:line="240" w:lineRule="auto"/>
              <w:ind w:firstLine="0"/>
              <w:jc w:val="center"/>
              <w:rPr>
                <w:sz w:val="18"/>
                <w:szCs w:val="18"/>
              </w:rPr>
            </w:pPr>
            <w:r w:rsidRPr="002B55E9">
              <w:rPr>
                <w:rFonts w:hint="eastAsia"/>
                <w:sz w:val="18"/>
                <w:szCs w:val="18"/>
              </w:rPr>
              <w:t>100</w:t>
            </w:r>
          </w:p>
        </w:tc>
        <w:tc>
          <w:tcPr>
            <w:tcW w:w="1496" w:type="dxa"/>
            <w:shd w:val="clear" w:color="auto" w:fill="auto"/>
            <w:vAlign w:val="center"/>
          </w:tcPr>
          <w:p w14:paraId="0AFDAACF" w14:textId="77777777" w:rsidR="00D170E5" w:rsidRPr="002B55E9" w:rsidRDefault="00EF27AD" w:rsidP="00D10F7D">
            <w:pPr>
              <w:pStyle w:val="aa"/>
              <w:snapToGrid w:val="0"/>
              <w:spacing w:line="240" w:lineRule="auto"/>
              <w:ind w:firstLine="0"/>
              <w:jc w:val="center"/>
              <w:rPr>
                <w:sz w:val="18"/>
                <w:szCs w:val="18"/>
              </w:rPr>
            </w:pPr>
            <w:r w:rsidRPr="002B55E9">
              <w:rPr>
                <w:sz w:val="18"/>
                <w:szCs w:val="18"/>
              </w:rPr>
              <w:t>0.181</w:t>
            </w:r>
            <w:r w:rsidRPr="002B55E9">
              <w:rPr>
                <w:rFonts w:hint="eastAsia"/>
                <w:sz w:val="18"/>
                <w:szCs w:val="18"/>
              </w:rPr>
              <w:t>*</w:t>
            </w:r>
          </w:p>
        </w:tc>
      </w:tr>
      <w:tr w:rsidR="002B55E9" w:rsidRPr="002B55E9" w14:paraId="180759FC" w14:textId="77777777">
        <w:trPr>
          <w:trHeight w:val="284"/>
          <w:jc w:val="center"/>
        </w:trPr>
        <w:tc>
          <w:tcPr>
            <w:tcW w:w="9638" w:type="dxa"/>
            <w:gridSpan w:val="7"/>
            <w:vAlign w:val="center"/>
          </w:tcPr>
          <w:p w14:paraId="3774D475" w14:textId="08A817D9" w:rsidR="00D170E5" w:rsidRPr="002B55E9" w:rsidRDefault="00EF27AD">
            <w:pPr>
              <w:pStyle w:val="aa"/>
              <w:snapToGrid w:val="0"/>
              <w:spacing w:line="240" w:lineRule="auto"/>
              <w:ind w:firstLine="0"/>
              <w:rPr>
                <w:sz w:val="18"/>
                <w:szCs w:val="18"/>
              </w:rPr>
            </w:pPr>
            <w:r w:rsidRPr="002B55E9">
              <w:rPr>
                <w:rFonts w:hint="eastAsia"/>
                <w:sz w:val="18"/>
                <w:szCs w:val="18"/>
              </w:rPr>
              <w:t>注：</w:t>
            </w:r>
            <w:r w:rsidR="001F0A00" w:rsidRPr="002B55E9">
              <w:rPr>
                <w:rFonts w:hint="eastAsia"/>
                <w:sz w:val="18"/>
                <w:szCs w:val="18"/>
              </w:rPr>
              <w:t>由于厂区最高建筑为十一车间东侧的局部两层结构，最高高度</w:t>
            </w:r>
            <w:r w:rsidR="001F0A00" w:rsidRPr="002B55E9">
              <w:rPr>
                <w:rFonts w:hint="eastAsia"/>
                <w:sz w:val="18"/>
                <w:szCs w:val="18"/>
              </w:rPr>
              <w:t>1</w:t>
            </w:r>
            <w:r w:rsidR="001F0A00" w:rsidRPr="002B55E9">
              <w:rPr>
                <w:sz w:val="18"/>
                <w:szCs w:val="18"/>
              </w:rPr>
              <w:t>7.4</w:t>
            </w:r>
            <w:r w:rsidR="001F0A00" w:rsidRPr="002B55E9">
              <w:rPr>
                <w:rFonts w:hint="eastAsia"/>
                <w:sz w:val="18"/>
                <w:szCs w:val="18"/>
              </w:rPr>
              <w:t>m</w:t>
            </w:r>
            <w:r w:rsidR="001F0A00" w:rsidRPr="002B55E9">
              <w:rPr>
                <w:rFonts w:hint="eastAsia"/>
                <w:sz w:val="18"/>
                <w:szCs w:val="18"/>
              </w:rPr>
              <w:t>，</w:t>
            </w:r>
            <w:r w:rsidRPr="002B55E9">
              <w:rPr>
                <w:rFonts w:hint="eastAsia"/>
                <w:sz w:val="18"/>
                <w:szCs w:val="18"/>
              </w:rPr>
              <w:t>排放甲醛、</w:t>
            </w:r>
            <w:r w:rsidRPr="002B55E9">
              <w:rPr>
                <w:sz w:val="18"/>
                <w:szCs w:val="18"/>
              </w:rPr>
              <w:t>硫酸、氯化氢</w:t>
            </w:r>
            <w:r w:rsidRPr="002B55E9">
              <w:rPr>
                <w:rFonts w:hint="eastAsia"/>
                <w:sz w:val="18"/>
                <w:szCs w:val="18"/>
              </w:rPr>
              <w:t>的</w:t>
            </w:r>
            <w:r w:rsidRPr="002B55E9">
              <w:rPr>
                <w:sz w:val="18"/>
                <w:szCs w:val="18"/>
              </w:rPr>
              <w:t>排气筒不能满足</w:t>
            </w:r>
            <w:r w:rsidR="001F0A00" w:rsidRPr="002B55E9">
              <w:rPr>
                <w:rFonts w:hint="eastAsia"/>
                <w:sz w:val="18"/>
                <w:szCs w:val="18"/>
              </w:rPr>
              <w:t>《大气污染物综合排放标准》（</w:t>
            </w:r>
            <w:r w:rsidR="001F0A00" w:rsidRPr="002B55E9">
              <w:rPr>
                <w:rFonts w:hint="eastAsia"/>
                <w:sz w:val="18"/>
                <w:szCs w:val="18"/>
              </w:rPr>
              <w:t>GB16297-1996</w:t>
            </w:r>
            <w:r w:rsidR="001F0A00" w:rsidRPr="002B55E9">
              <w:rPr>
                <w:rFonts w:hint="eastAsia"/>
                <w:sz w:val="18"/>
                <w:szCs w:val="18"/>
              </w:rPr>
              <w:t>）中</w:t>
            </w:r>
            <w:r w:rsidRPr="002B55E9">
              <w:rPr>
                <w:rFonts w:hint="eastAsia"/>
                <w:sz w:val="18"/>
                <w:szCs w:val="18"/>
              </w:rPr>
              <w:t>“</w:t>
            </w:r>
            <w:r w:rsidRPr="002B55E9">
              <w:rPr>
                <w:sz w:val="18"/>
                <w:szCs w:val="18"/>
              </w:rPr>
              <w:t>排气筒高度应高出周边</w:t>
            </w:r>
            <w:r w:rsidRPr="002B55E9">
              <w:rPr>
                <w:rFonts w:hint="eastAsia"/>
                <w:sz w:val="18"/>
                <w:szCs w:val="18"/>
              </w:rPr>
              <w:t>半径</w:t>
            </w:r>
            <w:r w:rsidRPr="002B55E9">
              <w:rPr>
                <w:rFonts w:hint="eastAsia"/>
                <w:sz w:val="18"/>
                <w:szCs w:val="18"/>
              </w:rPr>
              <w:t>200</w:t>
            </w:r>
            <w:r w:rsidRPr="002B55E9">
              <w:rPr>
                <w:sz w:val="18"/>
                <w:szCs w:val="18"/>
              </w:rPr>
              <w:t>m</w:t>
            </w:r>
            <w:r w:rsidRPr="002B55E9">
              <w:rPr>
                <w:sz w:val="18"/>
                <w:szCs w:val="18"/>
              </w:rPr>
              <w:t>范围</w:t>
            </w:r>
            <w:r w:rsidRPr="002B55E9">
              <w:rPr>
                <w:rFonts w:hint="eastAsia"/>
                <w:sz w:val="18"/>
                <w:szCs w:val="18"/>
              </w:rPr>
              <w:t>的</w:t>
            </w:r>
            <w:r w:rsidRPr="002B55E9">
              <w:rPr>
                <w:sz w:val="18"/>
                <w:szCs w:val="18"/>
              </w:rPr>
              <w:t>建筑物</w:t>
            </w:r>
            <w:r w:rsidRPr="002B55E9">
              <w:rPr>
                <w:rFonts w:hint="eastAsia"/>
                <w:sz w:val="18"/>
                <w:szCs w:val="18"/>
              </w:rPr>
              <w:t>5</w:t>
            </w:r>
            <w:r w:rsidRPr="002B55E9">
              <w:rPr>
                <w:sz w:val="18"/>
                <w:szCs w:val="18"/>
              </w:rPr>
              <w:t>m</w:t>
            </w:r>
            <w:r w:rsidRPr="002B55E9">
              <w:rPr>
                <w:sz w:val="18"/>
                <w:szCs w:val="18"/>
              </w:rPr>
              <w:t>以上</w:t>
            </w:r>
            <w:r w:rsidRPr="002B55E9">
              <w:rPr>
                <w:rFonts w:hint="eastAsia"/>
                <w:sz w:val="18"/>
                <w:szCs w:val="18"/>
              </w:rPr>
              <w:t>”的</w:t>
            </w:r>
            <w:r w:rsidRPr="002B55E9">
              <w:rPr>
                <w:sz w:val="18"/>
                <w:szCs w:val="18"/>
              </w:rPr>
              <w:t>要求，排放</w:t>
            </w:r>
            <w:r w:rsidRPr="002B55E9">
              <w:rPr>
                <w:rFonts w:hint="eastAsia"/>
                <w:sz w:val="18"/>
                <w:szCs w:val="18"/>
              </w:rPr>
              <w:t>速率</w:t>
            </w:r>
            <w:r w:rsidRPr="002B55E9">
              <w:rPr>
                <w:sz w:val="18"/>
                <w:szCs w:val="18"/>
              </w:rPr>
              <w:t>按</w:t>
            </w:r>
            <w:r w:rsidRPr="002B55E9">
              <w:rPr>
                <w:rFonts w:hint="eastAsia"/>
                <w:sz w:val="18"/>
                <w:szCs w:val="18"/>
              </w:rPr>
              <w:t>标准值</w:t>
            </w:r>
            <w:r w:rsidRPr="002B55E9">
              <w:rPr>
                <w:sz w:val="18"/>
                <w:szCs w:val="18"/>
              </w:rPr>
              <w:t>严格</w:t>
            </w:r>
            <w:r w:rsidRPr="002B55E9">
              <w:rPr>
                <w:rFonts w:hint="eastAsia"/>
                <w:sz w:val="18"/>
                <w:szCs w:val="18"/>
              </w:rPr>
              <w:t>50</w:t>
            </w:r>
            <w:r w:rsidRPr="002B55E9">
              <w:rPr>
                <w:sz w:val="18"/>
                <w:szCs w:val="18"/>
              </w:rPr>
              <w:t>%</w:t>
            </w:r>
            <w:r w:rsidRPr="002B55E9">
              <w:rPr>
                <w:sz w:val="18"/>
                <w:szCs w:val="18"/>
              </w:rPr>
              <w:t>执行</w:t>
            </w:r>
            <w:r w:rsidRPr="002B55E9">
              <w:rPr>
                <w:rFonts w:hint="eastAsia"/>
                <w:sz w:val="18"/>
                <w:szCs w:val="18"/>
              </w:rPr>
              <w:t>。</w:t>
            </w:r>
            <w:r w:rsidRPr="002B55E9">
              <w:rPr>
                <w:sz w:val="18"/>
                <w:szCs w:val="18"/>
              </w:rPr>
              <w:t xml:space="preserve"> </w:t>
            </w:r>
          </w:p>
        </w:tc>
      </w:tr>
    </w:tbl>
    <w:p w14:paraId="6D13C4FA" w14:textId="77777777" w:rsidR="00D170E5" w:rsidRPr="002B55E9" w:rsidRDefault="00EF27AD">
      <w:pPr>
        <w:pStyle w:val="aa"/>
      </w:pPr>
      <w:r w:rsidRPr="002B55E9">
        <w:rPr>
          <w:rFonts w:hint="eastAsia"/>
        </w:rPr>
        <w:t>（</w:t>
      </w:r>
      <w:r w:rsidRPr="002B55E9">
        <w:t>3</w:t>
      </w:r>
      <w:r w:rsidRPr="002B55E9">
        <w:rPr>
          <w:rFonts w:hint="eastAsia"/>
        </w:rPr>
        <w:t>）无组织</w:t>
      </w:r>
      <w:r w:rsidRPr="002B55E9">
        <w:t>废气</w:t>
      </w:r>
    </w:p>
    <w:p w14:paraId="2A78A003" w14:textId="0A23937C" w:rsidR="00D170E5" w:rsidRPr="002B55E9" w:rsidRDefault="00EF27AD">
      <w:pPr>
        <w:pStyle w:val="aa"/>
        <w:wordWrap w:val="0"/>
        <w:jc w:val="left"/>
      </w:pPr>
      <w:r w:rsidRPr="002B55E9">
        <w:rPr>
          <w:rFonts w:hint="eastAsia"/>
        </w:rPr>
        <w:t>拟</w:t>
      </w:r>
      <w:r w:rsidRPr="002B55E9">
        <w:t>建项目无组织废气中</w:t>
      </w:r>
      <w:r w:rsidRPr="002B55E9">
        <w:rPr>
          <w:rFonts w:hint="eastAsia"/>
        </w:rPr>
        <w:t>的非甲烷总烃</w:t>
      </w:r>
      <w:r w:rsidRPr="002B55E9">
        <w:t>执行《</w:t>
      </w:r>
      <w:r w:rsidRPr="002B55E9">
        <w:rPr>
          <w:rFonts w:hint="eastAsia"/>
        </w:rPr>
        <w:t>挥发性有机物</w:t>
      </w:r>
      <w:r w:rsidRPr="002B55E9">
        <w:t>无组织排放标准》</w:t>
      </w:r>
      <w:r w:rsidRPr="002B55E9">
        <w:rPr>
          <w:rFonts w:hint="eastAsia"/>
        </w:rPr>
        <w:t>（</w:t>
      </w:r>
      <w:r w:rsidRPr="002B55E9">
        <w:rPr>
          <w:rFonts w:hint="eastAsia"/>
        </w:rPr>
        <w:t>GB37822-2019</w:t>
      </w:r>
      <w:r w:rsidRPr="002B55E9">
        <w:rPr>
          <w:rFonts w:hint="eastAsia"/>
        </w:rPr>
        <w:t>）</w:t>
      </w:r>
      <w:r w:rsidRPr="002B55E9">
        <w:t>要求</w:t>
      </w:r>
      <w:r w:rsidRPr="002B55E9">
        <w:rPr>
          <w:rFonts w:hint="eastAsia"/>
        </w:rPr>
        <w:t>，</w:t>
      </w:r>
      <w:r w:rsidRPr="002B55E9">
        <w:t>颗粒物、甲醛、硫酸、氯化氢等执行《</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）表</w:t>
      </w:r>
      <w:r w:rsidRPr="002B55E9">
        <w:rPr>
          <w:rFonts w:hint="eastAsia"/>
        </w:rPr>
        <w:t>2</w:t>
      </w:r>
      <w:r w:rsidRPr="002B55E9">
        <w:rPr>
          <w:rFonts w:hint="eastAsia"/>
        </w:rPr>
        <w:t>的</w:t>
      </w:r>
      <w:r w:rsidRPr="002B55E9">
        <w:t>限值要求</w:t>
      </w:r>
      <w:r w:rsidR="006E72EB" w:rsidRPr="002B55E9">
        <w:rPr>
          <w:rFonts w:hint="eastAsia"/>
        </w:rPr>
        <w:t>，臭气浓度执行《恶臭污染物排放标准》（</w:t>
      </w:r>
      <w:r w:rsidR="006E72EB" w:rsidRPr="002B55E9">
        <w:rPr>
          <w:rFonts w:hint="eastAsia"/>
        </w:rPr>
        <w:t>GB14554-93</w:t>
      </w:r>
      <w:r w:rsidR="006E72EB" w:rsidRPr="002B55E9">
        <w:rPr>
          <w:rFonts w:hint="eastAsia"/>
        </w:rPr>
        <w:t>）表</w:t>
      </w:r>
      <w:r w:rsidR="006E72EB" w:rsidRPr="002B55E9">
        <w:t>1</w:t>
      </w:r>
      <w:r w:rsidR="006E72EB" w:rsidRPr="002B55E9">
        <w:rPr>
          <w:rFonts w:hint="eastAsia"/>
        </w:rPr>
        <w:t>中臭气浓度排放限值。</w:t>
      </w:r>
    </w:p>
    <w:p w14:paraId="709F49DC"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1</w:t>
      </w:r>
      <w:r w:rsidRPr="002B55E9">
        <w:rPr>
          <w:rFonts w:eastAsia="黑体"/>
          <w:b/>
        </w:rPr>
        <w:t xml:space="preserve">-5-8  </w:t>
      </w:r>
      <w:r w:rsidRPr="002B55E9">
        <w:rPr>
          <w:rFonts w:eastAsia="黑体" w:hint="eastAsia"/>
          <w:b/>
        </w:rPr>
        <w:t>拟建项目无组织排放标准一览表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93"/>
        <w:gridCol w:w="3852"/>
        <w:gridCol w:w="1418"/>
        <w:gridCol w:w="2975"/>
      </w:tblGrid>
      <w:tr w:rsidR="002B55E9" w:rsidRPr="002B55E9" w14:paraId="585CE59B" w14:textId="77777777" w:rsidTr="00073A5B">
        <w:trPr>
          <w:trHeight w:val="284"/>
        </w:trPr>
        <w:tc>
          <w:tcPr>
            <w:tcW w:w="1393" w:type="dxa"/>
            <w:tcBorders>
              <w:top w:val="single" w:sz="12" w:space="0" w:color="auto"/>
              <w:bottom w:val="single" w:sz="12" w:space="0" w:color="auto"/>
            </w:tcBorders>
            <w:vAlign w:val="center"/>
          </w:tcPr>
          <w:p w14:paraId="29E174A9"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污染物</w:t>
            </w:r>
          </w:p>
        </w:tc>
        <w:tc>
          <w:tcPr>
            <w:tcW w:w="3852" w:type="dxa"/>
            <w:tcBorders>
              <w:top w:val="single" w:sz="12" w:space="0" w:color="auto"/>
              <w:bottom w:val="single" w:sz="12" w:space="0" w:color="auto"/>
            </w:tcBorders>
            <w:vAlign w:val="center"/>
          </w:tcPr>
          <w:p w14:paraId="4945350F"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sz w:val="18"/>
                <w:szCs w:val="18"/>
              </w:rPr>
              <w:t>标准名称</w:t>
            </w:r>
          </w:p>
        </w:tc>
        <w:tc>
          <w:tcPr>
            <w:tcW w:w="1418" w:type="dxa"/>
            <w:tcBorders>
              <w:top w:val="single" w:sz="12" w:space="0" w:color="auto"/>
              <w:bottom w:val="single" w:sz="12" w:space="0" w:color="auto"/>
            </w:tcBorders>
            <w:vAlign w:val="center"/>
          </w:tcPr>
          <w:p w14:paraId="7F116D17"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监控点</w:t>
            </w:r>
          </w:p>
        </w:tc>
        <w:tc>
          <w:tcPr>
            <w:tcW w:w="2975" w:type="dxa"/>
            <w:tcBorders>
              <w:top w:val="single" w:sz="12" w:space="0" w:color="auto"/>
              <w:bottom w:val="single" w:sz="12" w:space="0" w:color="auto"/>
            </w:tcBorders>
            <w:vAlign w:val="center"/>
          </w:tcPr>
          <w:p w14:paraId="5A931A18"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无组织监控浓度（</w:t>
            </w:r>
            <w:r w:rsidRPr="002B55E9">
              <w:rPr>
                <w:rFonts w:hint="eastAsia"/>
                <w:sz w:val="18"/>
                <w:szCs w:val="18"/>
              </w:rPr>
              <w:t>mg</w:t>
            </w:r>
            <w:r w:rsidRPr="002B55E9">
              <w:rPr>
                <w:sz w:val="18"/>
                <w:szCs w:val="18"/>
              </w:rPr>
              <w:t>/</w:t>
            </w:r>
            <w:r w:rsidRPr="002B55E9">
              <w:rPr>
                <w:rFonts w:hint="eastAsia"/>
                <w:sz w:val="18"/>
                <w:szCs w:val="18"/>
              </w:rPr>
              <w:t>m</w:t>
            </w:r>
            <w:r w:rsidRPr="002B55E9">
              <w:rPr>
                <w:sz w:val="18"/>
                <w:szCs w:val="18"/>
                <w:vertAlign w:val="superscript"/>
              </w:rPr>
              <w:t>3</w:t>
            </w:r>
            <w:r w:rsidRPr="002B55E9">
              <w:rPr>
                <w:rFonts w:hint="eastAsia"/>
                <w:sz w:val="18"/>
                <w:szCs w:val="18"/>
              </w:rPr>
              <w:t>）</w:t>
            </w:r>
          </w:p>
        </w:tc>
      </w:tr>
      <w:tr w:rsidR="002B55E9" w:rsidRPr="002B55E9" w14:paraId="6F44A3F8" w14:textId="77777777" w:rsidTr="00073A5B">
        <w:trPr>
          <w:trHeight w:val="284"/>
        </w:trPr>
        <w:tc>
          <w:tcPr>
            <w:tcW w:w="1393" w:type="dxa"/>
            <w:vAlign w:val="center"/>
          </w:tcPr>
          <w:p w14:paraId="7EE151CF"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颗粒物</w:t>
            </w:r>
          </w:p>
        </w:tc>
        <w:tc>
          <w:tcPr>
            <w:tcW w:w="3852" w:type="dxa"/>
            <w:vMerge w:val="restart"/>
            <w:vAlign w:val="center"/>
          </w:tcPr>
          <w:p w14:paraId="250C5E9F"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《大气污染物综合排放标准》（</w:t>
            </w:r>
            <w:r w:rsidRPr="002B55E9">
              <w:rPr>
                <w:rFonts w:hint="eastAsia"/>
                <w:sz w:val="18"/>
                <w:szCs w:val="18"/>
              </w:rPr>
              <w:t>GB16297-1996</w:t>
            </w:r>
            <w:r w:rsidRPr="002B55E9">
              <w:rPr>
                <w:rFonts w:hint="eastAsia"/>
                <w:sz w:val="18"/>
                <w:szCs w:val="18"/>
              </w:rPr>
              <w:t>）</w:t>
            </w:r>
          </w:p>
        </w:tc>
        <w:tc>
          <w:tcPr>
            <w:tcW w:w="1418" w:type="dxa"/>
            <w:vMerge w:val="restart"/>
            <w:vAlign w:val="center"/>
          </w:tcPr>
          <w:p w14:paraId="6696CD4E"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厂界</w:t>
            </w:r>
          </w:p>
        </w:tc>
        <w:tc>
          <w:tcPr>
            <w:tcW w:w="2975" w:type="dxa"/>
            <w:vAlign w:val="center"/>
          </w:tcPr>
          <w:p w14:paraId="424F177B"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1.0</w:t>
            </w:r>
          </w:p>
        </w:tc>
      </w:tr>
      <w:tr w:rsidR="002B55E9" w:rsidRPr="002B55E9" w14:paraId="25775180" w14:textId="77777777" w:rsidTr="00073A5B">
        <w:trPr>
          <w:trHeight w:val="284"/>
        </w:trPr>
        <w:tc>
          <w:tcPr>
            <w:tcW w:w="1393" w:type="dxa"/>
            <w:vAlign w:val="center"/>
          </w:tcPr>
          <w:p w14:paraId="37535C94"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甲醛</w:t>
            </w:r>
          </w:p>
        </w:tc>
        <w:tc>
          <w:tcPr>
            <w:tcW w:w="3852" w:type="dxa"/>
            <w:vMerge/>
            <w:vAlign w:val="center"/>
          </w:tcPr>
          <w:p w14:paraId="14135A6F"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1418" w:type="dxa"/>
            <w:vMerge/>
            <w:vAlign w:val="center"/>
          </w:tcPr>
          <w:p w14:paraId="4580FE6F"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2975" w:type="dxa"/>
            <w:vAlign w:val="center"/>
          </w:tcPr>
          <w:p w14:paraId="00ADC550"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0.2</w:t>
            </w:r>
          </w:p>
        </w:tc>
      </w:tr>
      <w:tr w:rsidR="002B55E9" w:rsidRPr="002B55E9" w14:paraId="652BF0E7" w14:textId="77777777" w:rsidTr="00073A5B">
        <w:trPr>
          <w:trHeight w:val="284"/>
        </w:trPr>
        <w:tc>
          <w:tcPr>
            <w:tcW w:w="1393" w:type="dxa"/>
            <w:vAlign w:val="center"/>
          </w:tcPr>
          <w:p w14:paraId="6D7E6142"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硫酸</w:t>
            </w:r>
          </w:p>
        </w:tc>
        <w:tc>
          <w:tcPr>
            <w:tcW w:w="3852" w:type="dxa"/>
            <w:vMerge/>
            <w:vAlign w:val="center"/>
          </w:tcPr>
          <w:p w14:paraId="24660A71"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1418" w:type="dxa"/>
            <w:vMerge/>
            <w:vAlign w:val="center"/>
          </w:tcPr>
          <w:p w14:paraId="79AB4AAB"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2975" w:type="dxa"/>
            <w:vAlign w:val="center"/>
          </w:tcPr>
          <w:p w14:paraId="3B5C761C"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1.2</w:t>
            </w:r>
          </w:p>
        </w:tc>
      </w:tr>
      <w:tr w:rsidR="002B55E9" w:rsidRPr="002B55E9" w14:paraId="1CA7D92D" w14:textId="77777777" w:rsidTr="00073A5B">
        <w:trPr>
          <w:trHeight w:val="284"/>
        </w:trPr>
        <w:tc>
          <w:tcPr>
            <w:tcW w:w="1393" w:type="dxa"/>
            <w:vAlign w:val="center"/>
          </w:tcPr>
          <w:p w14:paraId="61C5BADD"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氯化氢</w:t>
            </w:r>
          </w:p>
        </w:tc>
        <w:tc>
          <w:tcPr>
            <w:tcW w:w="3852" w:type="dxa"/>
            <w:vMerge/>
            <w:vAlign w:val="center"/>
          </w:tcPr>
          <w:p w14:paraId="799E8E2B"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1418" w:type="dxa"/>
            <w:vMerge/>
            <w:vAlign w:val="center"/>
          </w:tcPr>
          <w:p w14:paraId="52C0F850"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2975" w:type="dxa"/>
            <w:vAlign w:val="center"/>
          </w:tcPr>
          <w:p w14:paraId="5002F618" w14:textId="77777777"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0.2</w:t>
            </w:r>
          </w:p>
        </w:tc>
      </w:tr>
      <w:tr w:rsidR="002B55E9" w:rsidRPr="002B55E9" w14:paraId="6177BDBF" w14:textId="77777777" w:rsidTr="00073A5B">
        <w:trPr>
          <w:trHeight w:val="284"/>
        </w:trPr>
        <w:tc>
          <w:tcPr>
            <w:tcW w:w="1393" w:type="dxa"/>
            <w:vAlign w:val="center"/>
          </w:tcPr>
          <w:p w14:paraId="7AC831CA" w14:textId="14EA85A0"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臭气浓度</w:t>
            </w:r>
          </w:p>
        </w:tc>
        <w:tc>
          <w:tcPr>
            <w:tcW w:w="3852" w:type="dxa"/>
            <w:vAlign w:val="center"/>
          </w:tcPr>
          <w:p w14:paraId="6D2B016D" w14:textId="4E2ED2EC"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《恶臭污染物排放标准》（</w:t>
            </w:r>
            <w:r w:rsidRPr="002B55E9">
              <w:rPr>
                <w:rFonts w:hint="eastAsia"/>
                <w:sz w:val="18"/>
                <w:szCs w:val="18"/>
              </w:rPr>
              <w:t>GB14554-93</w:t>
            </w:r>
            <w:r w:rsidRPr="002B55E9">
              <w:rPr>
                <w:rFonts w:hint="eastAsia"/>
                <w:sz w:val="18"/>
                <w:szCs w:val="18"/>
              </w:rPr>
              <w:t>）</w:t>
            </w:r>
          </w:p>
        </w:tc>
        <w:tc>
          <w:tcPr>
            <w:tcW w:w="1418" w:type="dxa"/>
            <w:vMerge/>
            <w:vAlign w:val="center"/>
          </w:tcPr>
          <w:p w14:paraId="25E293EE" w14:textId="77777777" w:rsidR="00073A5B" w:rsidRPr="002B55E9" w:rsidRDefault="00073A5B">
            <w:pPr>
              <w:pStyle w:val="affff7"/>
              <w:widowControl w:val="0"/>
              <w:snapToGrid w:val="0"/>
              <w:spacing w:after="0" w:line="240" w:lineRule="auto"/>
              <w:ind w:firstLineChars="0" w:firstLine="0"/>
              <w:jc w:val="center"/>
              <w:rPr>
                <w:sz w:val="18"/>
                <w:szCs w:val="18"/>
              </w:rPr>
            </w:pPr>
          </w:p>
        </w:tc>
        <w:tc>
          <w:tcPr>
            <w:tcW w:w="2975" w:type="dxa"/>
            <w:vAlign w:val="center"/>
          </w:tcPr>
          <w:p w14:paraId="0051E982" w14:textId="5AC28BCD" w:rsidR="00073A5B" w:rsidRPr="002B55E9" w:rsidRDefault="00073A5B">
            <w:pPr>
              <w:pStyle w:val="affff7"/>
              <w:widowControl w:val="0"/>
              <w:snapToGrid w:val="0"/>
              <w:spacing w:after="0" w:line="240" w:lineRule="auto"/>
              <w:ind w:firstLineChars="0" w:firstLine="0"/>
              <w:jc w:val="center"/>
              <w:rPr>
                <w:sz w:val="18"/>
                <w:szCs w:val="18"/>
              </w:rPr>
            </w:pPr>
            <w:r w:rsidRPr="002B55E9">
              <w:rPr>
                <w:rFonts w:hint="eastAsia"/>
                <w:sz w:val="18"/>
                <w:szCs w:val="18"/>
              </w:rPr>
              <w:t>2</w:t>
            </w:r>
            <w:r w:rsidRPr="002B55E9">
              <w:rPr>
                <w:sz w:val="18"/>
                <w:szCs w:val="18"/>
              </w:rPr>
              <w:t>0</w:t>
            </w:r>
            <w:r w:rsidRPr="002B55E9">
              <w:rPr>
                <w:rFonts w:hint="eastAsia"/>
                <w:sz w:val="18"/>
                <w:szCs w:val="18"/>
              </w:rPr>
              <w:t>（无量纲）</w:t>
            </w:r>
          </w:p>
        </w:tc>
      </w:tr>
      <w:tr w:rsidR="002B55E9" w:rsidRPr="002B55E9" w14:paraId="38031BA2" w14:textId="77777777" w:rsidTr="00073A5B">
        <w:trPr>
          <w:trHeight w:val="284"/>
        </w:trPr>
        <w:tc>
          <w:tcPr>
            <w:tcW w:w="1393" w:type="dxa"/>
            <w:vMerge w:val="restart"/>
            <w:vAlign w:val="center"/>
          </w:tcPr>
          <w:p w14:paraId="6E4360BF"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非甲烷总烃</w:t>
            </w:r>
          </w:p>
        </w:tc>
        <w:tc>
          <w:tcPr>
            <w:tcW w:w="3852" w:type="dxa"/>
            <w:vMerge w:val="restart"/>
            <w:vAlign w:val="center"/>
          </w:tcPr>
          <w:p w14:paraId="29E37194"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《挥发性有机物</w:t>
            </w:r>
            <w:r w:rsidRPr="002B55E9">
              <w:rPr>
                <w:sz w:val="18"/>
                <w:szCs w:val="18"/>
              </w:rPr>
              <w:t>无组织排放标准</w:t>
            </w:r>
            <w:r w:rsidRPr="002B55E9">
              <w:rPr>
                <w:rFonts w:hint="eastAsia"/>
                <w:sz w:val="18"/>
                <w:szCs w:val="18"/>
              </w:rPr>
              <w:t>》（</w:t>
            </w:r>
            <w:r w:rsidRPr="002B55E9">
              <w:rPr>
                <w:rFonts w:hint="eastAsia"/>
                <w:sz w:val="18"/>
                <w:szCs w:val="18"/>
              </w:rPr>
              <w:t>GB37822</w:t>
            </w:r>
            <w:r w:rsidRPr="002B55E9">
              <w:rPr>
                <w:sz w:val="18"/>
                <w:szCs w:val="18"/>
              </w:rPr>
              <w:t>-2019</w:t>
            </w:r>
            <w:r w:rsidRPr="002B55E9">
              <w:rPr>
                <w:rFonts w:hint="eastAsia"/>
                <w:sz w:val="18"/>
                <w:szCs w:val="18"/>
              </w:rPr>
              <w:t>）</w:t>
            </w:r>
          </w:p>
        </w:tc>
        <w:tc>
          <w:tcPr>
            <w:tcW w:w="1418" w:type="dxa"/>
            <w:vAlign w:val="center"/>
          </w:tcPr>
          <w:p w14:paraId="15890DB7"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厂界</w:t>
            </w:r>
          </w:p>
        </w:tc>
        <w:tc>
          <w:tcPr>
            <w:tcW w:w="2975" w:type="dxa"/>
            <w:vAlign w:val="center"/>
          </w:tcPr>
          <w:p w14:paraId="45DFDBE1"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4</w:t>
            </w:r>
          </w:p>
        </w:tc>
      </w:tr>
      <w:tr w:rsidR="002B55E9" w:rsidRPr="002B55E9" w14:paraId="12688E33" w14:textId="77777777" w:rsidTr="00073A5B">
        <w:trPr>
          <w:trHeight w:val="284"/>
        </w:trPr>
        <w:tc>
          <w:tcPr>
            <w:tcW w:w="1393" w:type="dxa"/>
            <w:vMerge/>
            <w:vAlign w:val="center"/>
          </w:tcPr>
          <w:p w14:paraId="6A47E7F9"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3852" w:type="dxa"/>
            <w:vMerge/>
            <w:vAlign w:val="center"/>
          </w:tcPr>
          <w:p w14:paraId="639B184B"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418" w:type="dxa"/>
            <w:vMerge w:val="restart"/>
            <w:vAlign w:val="center"/>
          </w:tcPr>
          <w:p w14:paraId="4FFFD11C"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厂房外监控点</w:t>
            </w:r>
          </w:p>
        </w:tc>
        <w:tc>
          <w:tcPr>
            <w:tcW w:w="2975" w:type="dxa"/>
            <w:vAlign w:val="center"/>
          </w:tcPr>
          <w:p w14:paraId="2405ED2D"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监控点处</w:t>
            </w:r>
            <w:r w:rsidRPr="002B55E9">
              <w:rPr>
                <w:rFonts w:hint="eastAsia"/>
                <w:sz w:val="18"/>
                <w:szCs w:val="18"/>
              </w:rPr>
              <w:t>1h</w:t>
            </w:r>
            <w:r w:rsidRPr="002B55E9">
              <w:rPr>
                <w:rFonts w:hint="eastAsia"/>
                <w:sz w:val="18"/>
                <w:szCs w:val="18"/>
              </w:rPr>
              <w:t>平均浓度限值</w:t>
            </w:r>
            <w:r w:rsidRPr="002B55E9">
              <w:rPr>
                <w:rFonts w:hint="eastAsia"/>
                <w:sz w:val="18"/>
                <w:szCs w:val="18"/>
              </w:rPr>
              <w:t>6</w:t>
            </w:r>
            <w:r w:rsidRPr="002B55E9">
              <w:rPr>
                <w:rFonts w:hint="eastAsia"/>
                <w:bCs w:val="0"/>
                <w:snapToGrid/>
                <w:sz w:val="18"/>
                <w:szCs w:val="18"/>
              </w:rPr>
              <w:t xml:space="preserve"> </w:t>
            </w:r>
            <w:r w:rsidRPr="002B55E9">
              <w:rPr>
                <w:rFonts w:hint="eastAsia"/>
                <w:sz w:val="18"/>
                <w:szCs w:val="18"/>
              </w:rPr>
              <w:t>mg</w:t>
            </w:r>
            <w:r w:rsidRPr="002B55E9">
              <w:rPr>
                <w:sz w:val="18"/>
                <w:szCs w:val="18"/>
              </w:rPr>
              <w:t>/</w:t>
            </w:r>
            <w:r w:rsidRPr="002B55E9">
              <w:rPr>
                <w:rFonts w:hint="eastAsia"/>
                <w:sz w:val="18"/>
                <w:szCs w:val="18"/>
              </w:rPr>
              <w:t>m</w:t>
            </w:r>
            <w:r w:rsidRPr="002B55E9">
              <w:rPr>
                <w:sz w:val="18"/>
                <w:szCs w:val="18"/>
                <w:vertAlign w:val="superscript"/>
              </w:rPr>
              <w:t>3</w:t>
            </w:r>
          </w:p>
        </w:tc>
      </w:tr>
      <w:tr w:rsidR="002B55E9" w:rsidRPr="002B55E9" w14:paraId="567B3122" w14:textId="77777777" w:rsidTr="00073A5B">
        <w:trPr>
          <w:trHeight w:val="284"/>
        </w:trPr>
        <w:tc>
          <w:tcPr>
            <w:tcW w:w="1393" w:type="dxa"/>
            <w:vMerge/>
            <w:vAlign w:val="center"/>
          </w:tcPr>
          <w:p w14:paraId="5023EC81"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3852" w:type="dxa"/>
            <w:vMerge/>
            <w:vAlign w:val="center"/>
          </w:tcPr>
          <w:p w14:paraId="0D34F0A0"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418" w:type="dxa"/>
            <w:vMerge/>
            <w:vAlign w:val="center"/>
          </w:tcPr>
          <w:p w14:paraId="42FFE2D9"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2975" w:type="dxa"/>
            <w:vAlign w:val="center"/>
          </w:tcPr>
          <w:p w14:paraId="6DAE6590"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监控点任意一次浓度值</w:t>
            </w:r>
            <w:r w:rsidRPr="002B55E9">
              <w:rPr>
                <w:rFonts w:hint="eastAsia"/>
                <w:sz w:val="18"/>
                <w:szCs w:val="18"/>
              </w:rPr>
              <w:t>2</w:t>
            </w:r>
            <w:r w:rsidRPr="002B55E9">
              <w:rPr>
                <w:sz w:val="18"/>
                <w:szCs w:val="18"/>
              </w:rPr>
              <w:t>0</w:t>
            </w:r>
            <w:r w:rsidRPr="002B55E9">
              <w:rPr>
                <w:rFonts w:hint="eastAsia"/>
                <w:bCs w:val="0"/>
                <w:snapToGrid/>
                <w:sz w:val="18"/>
                <w:szCs w:val="18"/>
              </w:rPr>
              <w:t xml:space="preserve"> </w:t>
            </w:r>
            <w:r w:rsidRPr="002B55E9">
              <w:rPr>
                <w:rFonts w:hint="eastAsia"/>
                <w:sz w:val="18"/>
                <w:szCs w:val="18"/>
              </w:rPr>
              <w:t>mg</w:t>
            </w:r>
            <w:r w:rsidRPr="002B55E9">
              <w:rPr>
                <w:sz w:val="18"/>
                <w:szCs w:val="18"/>
              </w:rPr>
              <w:t>/</w:t>
            </w:r>
            <w:r w:rsidRPr="002B55E9">
              <w:rPr>
                <w:rFonts w:hint="eastAsia"/>
                <w:sz w:val="18"/>
                <w:szCs w:val="18"/>
              </w:rPr>
              <w:t>m</w:t>
            </w:r>
            <w:r w:rsidRPr="002B55E9">
              <w:rPr>
                <w:sz w:val="18"/>
                <w:szCs w:val="18"/>
                <w:vertAlign w:val="superscript"/>
              </w:rPr>
              <w:t>3</w:t>
            </w:r>
          </w:p>
        </w:tc>
      </w:tr>
    </w:tbl>
    <w:bookmarkEnd w:id="112"/>
    <w:p w14:paraId="4F18CDE0" w14:textId="77777777" w:rsidR="00D170E5" w:rsidRPr="002B55E9" w:rsidRDefault="00EF27AD">
      <w:pPr>
        <w:pStyle w:val="5"/>
      </w:pPr>
      <w:r w:rsidRPr="002B55E9">
        <w:rPr>
          <w:rFonts w:hint="eastAsia"/>
        </w:rPr>
        <w:t>废水</w:t>
      </w:r>
    </w:p>
    <w:p w14:paraId="059EF321" w14:textId="77777777" w:rsidR="00D170E5" w:rsidRPr="002B55E9" w:rsidRDefault="00EF27AD">
      <w:pPr>
        <w:pStyle w:val="aa"/>
      </w:pPr>
      <w:r w:rsidRPr="002B55E9">
        <w:rPr>
          <w:rFonts w:hint="eastAsia"/>
        </w:rPr>
        <w:t>本项目生活污水</w:t>
      </w:r>
      <w:r w:rsidRPr="002B55E9">
        <w:t>、设备清洗水、地面清洗水、</w:t>
      </w:r>
      <w:r w:rsidRPr="002B55E9">
        <w:rPr>
          <w:rFonts w:hint="eastAsia"/>
        </w:rPr>
        <w:t>实验</w:t>
      </w:r>
      <w:r w:rsidRPr="002B55E9">
        <w:t>废水等</w:t>
      </w:r>
      <w:r w:rsidRPr="002B55E9">
        <w:rPr>
          <w:rFonts w:hint="eastAsia"/>
        </w:rPr>
        <w:t>依托佛山市</w:t>
      </w:r>
      <w:r w:rsidRPr="002B55E9">
        <w:t>海天（</w:t>
      </w:r>
      <w:r w:rsidRPr="002B55E9">
        <w:rPr>
          <w:rFonts w:hint="eastAsia"/>
        </w:rPr>
        <w:t>武汉</w:t>
      </w:r>
      <w:r w:rsidRPr="002B55E9">
        <w:t>）</w:t>
      </w:r>
      <w:r w:rsidRPr="002B55E9">
        <w:rPr>
          <w:rFonts w:hint="eastAsia"/>
        </w:rPr>
        <w:t>调味食品</w:t>
      </w:r>
      <w:r w:rsidRPr="002B55E9">
        <w:t>有限公司</w:t>
      </w:r>
      <w:r w:rsidRPr="002B55E9">
        <w:rPr>
          <w:rFonts w:hint="eastAsia"/>
        </w:rPr>
        <w:t>（以下</w:t>
      </w:r>
      <w:r w:rsidRPr="002B55E9">
        <w:t>简称</w:t>
      </w:r>
      <w:r w:rsidRPr="002B55E9">
        <w:rPr>
          <w:rFonts w:hint="eastAsia"/>
        </w:rPr>
        <w:t>“</w:t>
      </w:r>
      <w:r w:rsidRPr="002B55E9">
        <w:t>海天调味品公司</w:t>
      </w:r>
      <w:r w:rsidRPr="002B55E9">
        <w:rPr>
          <w:rFonts w:hint="eastAsia"/>
        </w:rPr>
        <w:t>”）</w:t>
      </w:r>
      <w:r w:rsidRPr="002B55E9">
        <w:t>污水处理站</w:t>
      </w:r>
      <w:r w:rsidRPr="002B55E9">
        <w:rPr>
          <w:rFonts w:hint="eastAsia"/>
        </w:rPr>
        <w:t>处理，该</w:t>
      </w:r>
      <w:r w:rsidRPr="002B55E9">
        <w:t>污水处理站已于《海天调味品建设项目（一期）环境影响报告表》中进行了评价</w:t>
      </w:r>
      <w:r w:rsidRPr="002B55E9">
        <w:rPr>
          <w:rFonts w:hint="eastAsia"/>
        </w:rPr>
        <w:t>（处理规模</w:t>
      </w:r>
      <w:r w:rsidRPr="002B55E9">
        <w:rPr>
          <w:rFonts w:hint="eastAsia"/>
        </w:rPr>
        <w:t>1000m</w:t>
      </w:r>
      <w:r w:rsidRPr="002B55E9">
        <w:rPr>
          <w:rFonts w:hint="eastAsia"/>
          <w:vertAlign w:val="superscript"/>
        </w:rPr>
        <w:t>3</w:t>
      </w:r>
      <w:r w:rsidRPr="002B55E9">
        <w:rPr>
          <w:rFonts w:hint="eastAsia"/>
        </w:rPr>
        <w:t>/d</w:t>
      </w:r>
      <w:r w:rsidRPr="002B55E9">
        <w:rPr>
          <w:rFonts w:hint="eastAsia"/>
        </w:rPr>
        <w:t>）</w:t>
      </w:r>
      <w:r w:rsidRPr="002B55E9">
        <w:t>。</w:t>
      </w:r>
    </w:p>
    <w:p w14:paraId="3DE1E9EB" w14:textId="77777777" w:rsidR="00D170E5" w:rsidRPr="002B55E9" w:rsidRDefault="00EF27AD">
      <w:pPr>
        <w:pStyle w:val="aa"/>
      </w:pPr>
      <w:r w:rsidRPr="002B55E9">
        <w:rPr>
          <w:rFonts w:hint="eastAsia"/>
        </w:rPr>
        <w:t>项目</w:t>
      </w:r>
      <w:r w:rsidRPr="002B55E9">
        <w:t>污水经厂区污水管网收集后</w:t>
      </w:r>
      <w:r w:rsidRPr="002B55E9">
        <w:rPr>
          <w:rFonts w:hint="eastAsia"/>
        </w:rPr>
        <w:t>从厂区</w:t>
      </w:r>
      <w:r w:rsidRPr="002B55E9">
        <w:t>南侧接入</w:t>
      </w:r>
      <w:r w:rsidRPr="002B55E9">
        <w:rPr>
          <w:rFonts w:hint="eastAsia"/>
        </w:rPr>
        <w:t>海天调味品</w:t>
      </w:r>
      <w:r w:rsidRPr="002B55E9">
        <w:t>公司</w:t>
      </w:r>
      <w:r w:rsidRPr="002B55E9">
        <w:rPr>
          <w:rFonts w:hint="eastAsia"/>
        </w:rPr>
        <w:t>厂区污水</w:t>
      </w:r>
      <w:r w:rsidRPr="002B55E9">
        <w:t>管网，</w:t>
      </w:r>
      <w:r w:rsidRPr="002B55E9">
        <w:rPr>
          <w:rFonts w:hint="eastAsia"/>
        </w:rPr>
        <w:t>经</w:t>
      </w:r>
      <w:r w:rsidRPr="002B55E9">
        <w:t>管网输送至</w:t>
      </w:r>
      <w:r w:rsidRPr="002B55E9">
        <w:rPr>
          <w:rFonts w:hint="eastAsia"/>
        </w:rPr>
        <w:t>西侧</w:t>
      </w:r>
      <w:r w:rsidRPr="002B55E9">
        <w:t>一体化污水提升装置</w:t>
      </w:r>
      <w:r w:rsidRPr="002B55E9">
        <w:rPr>
          <w:rFonts w:hint="eastAsia"/>
        </w:rPr>
        <w:t>架空</w:t>
      </w:r>
      <w:r w:rsidRPr="002B55E9">
        <w:t>提升</w:t>
      </w:r>
      <w:r w:rsidRPr="002B55E9">
        <w:rPr>
          <w:rFonts w:hint="eastAsia"/>
        </w:rPr>
        <w:t>跨过</w:t>
      </w:r>
      <w:r w:rsidRPr="002B55E9">
        <w:t>荷安</w:t>
      </w:r>
      <w:r w:rsidRPr="002B55E9">
        <w:rPr>
          <w:rFonts w:hint="eastAsia"/>
        </w:rPr>
        <w:t>路</w:t>
      </w:r>
      <w:r w:rsidRPr="002B55E9">
        <w:t>后输送至</w:t>
      </w:r>
      <w:r w:rsidRPr="002B55E9">
        <w:rPr>
          <w:rFonts w:hint="eastAsia"/>
        </w:rPr>
        <w:t>海天调味品</w:t>
      </w:r>
      <w:r w:rsidRPr="002B55E9">
        <w:t>公司污水处理站</w:t>
      </w:r>
      <w:r w:rsidRPr="002B55E9">
        <w:rPr>
          <w:rFonts w:hint="eastAsia"/>
        </w:rPr>
        <w:t>处理</w:t>
      </w:r>
      <w:r w:rsidRPr="002B55E9">
        <w:t>，处理后的污水经</w:t>
      </w:r>
      <w:r w:rsidRPr="002B55E9">
        <w:rPr>
          <w:rFonts w:hint="eastAsia"/>
        </w:rPr>
        <w:t>海天调味品</w:t>
      </w:r>
      <w:r w:rsidRPr="002B55E9">
        <w:t>公司</w:t>
      </w:r>
      <w:r w:rsidRPr="002B55E9">
        <w:rPr>
          <w:rFonts w:hint="eastAsia"/>
        </w:rPr>
        <w:t>污水</w:t>
      </w:r>
      <w:r w:rsidRPr="002B55E9">
        <w:t>总排口排入污水处理站北侧</w:t>
      </w:r>
      <w:r w:rsidRPr="002B55E9">
        <w:rPr>
          <w:rFonts w:hint="eastAsia"/>
        </w:rPr>
        <w:t>兴</w:t>
      </w:r>
      <w:r w:rsidRPr="002B55E9">
        <w:t>工六路</w:t>
      </w:r>
      <w:r w:rsidRPr="002B55E9">
        <w:rPr>
          <w:rFonts w:hint="eastAsia"/>
        </w:rPr>
        <w:t>市政</w:t>
      </w:r>
      <w:r w:rsidRPr="002B55E9">
        <w:t>污水管网</w:t>
      </w:r>
      <w:r w:rsidRPr="002B55E9">
        <w:rPr>
          <w:rFonts w:hint="eastAsia"/>
        </w:rPr>
        <w:t>，进入</w:t>
      </w:r>
      <w:r w:rsidRPr="002B55E9">
        <w:t>东西湖区污水处理厂处理后最终排入府河</w:t>
      </w:r>
      <w:r w:rsidRPr="002B55E9">
        <w:rPr>
          <w:rFonts w:hint="eastAsia"/>
        </w:rPr>
        <w:t>。</w:t>
      </w:r>
    </w:p>
    <w:p w14:paraId="523A0106" w14:textId="7226CC10" w:rsidR="00DA7812" w:rsidRPr="002B55E9" w:rsidRDefault="00EF27AD">
      <w:pPr>
        <w:pStyle w:val="aa"/>
      </w:pPr>
      <w:r w:rsidRPr="002B55E9">
        <w:rPr>
          <w:rFonts w:hint="eastAsia"/>
        </w:rPr>
        <w:lastRenderedPageBreak/>
        <w:t>根据</w:t>
      </w:r>
      <w:r w:rsidRPr="002B55E9">
        <w:t>《</w:t>
      </w:r>
      <w:r w:rsidRPr="002B55E9">
        <w:rPr>
          <w:rFonts w:hint="eastAsia"/>
        </w:rPr>
        <w:t>新沟镇</w:t>
      </w:r>
      <w:r w:rsidRPr="002B55E9">
        <w:t>食品医疗用地板块总体规划环境影响评价报告书》，规划区内工业废水和生活污水经预处理后排入城市市政管网，需满足《污水综合排放标准》（</w:t>
      </w:r>
      <w:r w:rsidRPr="002B55E9">
        <w:t>GB8978-1996</w:t>
      </w:r>
      <w:r w:rsidRPr="002B55E9">
        <w:t>）中</w:t>
      </w:r>
      <w:r w:rsidRPr="002B55E9">
        <w:rPr>
          <w:rFonts w:hint="eastAsia"/>
        </w:rPr>
        <w:t>表</w:t>
      </w:r>
      <w:r w:rsidRPr="002B55E9">
        <w:rPr>
          <w:rFonts w:hint="eastAsia"/>
        </w:rPr>
        <w:t>4</w:t>
      </w:r>
      <w:r w:rsidRPr="002B55E9">
        <w:t>三级标准</w:t>
      </w:r>
      <w:r w:rsidRPr="002B55E9">
        <w:rPr>
          <w:rFonts w:hint="eastAsia"/>
        </w:rPr>
        <w:t>以及东西湖区污水处理厂纳管标准。</w:t>
      </w:r>
    </w:p>
    <w:p w14:paraId="16462B08" w14:textId="77777777" w:rsidR="00D170E5" w:rsidRPr="002B55E9" w:rsidRDefault="00EF27AD">
      <w:pPr>
        <w:pStyle w:val="1f3"/>
        <w:snapToGrid w:val="0"/>
        <w:spacing w:beforeLines="0" w:before="0"/>
      </w:pPr>
      <w:r w:rsidRPr="002B55E9">
        <w:rPr>
          <w:rFonts w:hint="eastAsia"/>
        </w:rPr>
        <w:t>表</w:t>
      </w:r>
      <w:r w:rsidRPr="002B55E9">
        <w:rPr>
          <w:rFonts w:hint="eastAsia"/>
        </w:rPr>
        <w:t>1</w:t>
      </w:r>
      <w:r w:rsidRPr="002B55E9">
        <w:t xml:space="preserve">-5-9  </w:t>
      </w:r>
      <w:r w:rsidRPr="002B55E9">
        <w:rPr>
          <w:rFonts w:hint="eastAsia"/>
        </w:rPr>
        <w:t>项目污水排放标准一览表（单位：</w:t>
      </w:r>
      <w:r w:rsidRPr="002B55E9">
        <w:rPr>
          <w:rFonts w:hint="eastAsia"/>
        </w:rPr>
        <w:t>mg/L</w:t>
      </w:r>
      <w:r w:rsidRPr="002B55E9">
        <w:rPr>
          <w:rFonts w:hint="eastAsia"/>
        </w:rPr>
        <w:t>）</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15"/>
        <w:gridCol w:w="1305"/>
        <w:gridCol w:w="2849"/>
        <w:gridCol w:w="2251"/>
        <w:gridCol w:w="2618"/>
      </w:tblGrid>
      <w:tr w:rsidR="002B55E9" w:rsidRPr="002B55E9" w14:paraId="48014AB1" w14:textId="77777777">
        <w:trPr>
          <w:trHeight w:val="284"/>
        </w:trPr>
        <w:tc>
          <w:tcPr>
            <w:tcW w:w="615" w:type="dxa"/>
            <w:tcBorders>
              <w:top w:val="single" w:sz="12" w:space="0" w:color="auto"/>
              <w:bottom w:val="single" w:sz="12" w:space="0" w:color="auto"/>
            </w:tcBorders>
            <w:noWrap/>
            <w:vAlign w:val="center"/>
          </w:tcPr>
          <w:p w14:paraId="1CEDA24F" w14:textId="77777777" w:rsidR="00D170E5" w:rsidRPr="002B55E9" w:rsidRDefault="00EF27AD">
            <w:pPr>
              <w:widowControl/>
              <w:spacing w:line="0" w:lineRule="atLeast"/>
              <w:jc w:val="center"/>
              <w:rPr>
                <w:sz w:val="18"/>
                <w:szCs w:val="18"/>
              </w:rPr>
            </w:pPr>
            <w:r w:rsidRPr="002B55E9">
              <w:rPr>
                <w:rFonts w:hint="eastAsia"/>
                <w:sz w:val="18"/>
                <w:szCs w:val="18"/>
              </w:rPr>
              <w:t>序号</w:t>
            </w:r>
          </w:p>
        </w:tc>
        <w:tc>
          <w:tcPr>
            <w:tcW w:w="1305" w:type="dxa"/>
            <w:tcBorders>
              <w:top w:val="single" w:sz="12" w:space="0" w:color="auto"/>
              <w:bottom w:val="single" w:sz="12" w:space="0" w:color="auto"/>
            </w:tcBorders>
            <w:vAlign w:val="center"/>
          </w:tcPr>
          <w:p w14:paraId="6378605A" w14:textId="77777777" w:rsidR="00D170E5" w:rsidRPr="002B55E9" w:rsidRDefault="00EF27AD">
            <w:pPr>
              <w:spacing w:line="0" w:lineRule="atLeast"/>
              <w:jc w:val="center"/>
              <w:rPr>
                <w:sz w:val="18"/>
                <w:szCs w:val="18"/>
              </w:rPr>
            </w:pPr>
            <w:r w:rsidRPr="002B55E9">
              <w:rPr>
                <w:rFonts w:hint="eastAsia"/>
                <w:sz w:val="18"/>
                <w:szCs w:val="18"/>
              </w:rPr>
              <w:t>指标值</w:t>
            </w:r>
          </w:p>
        </w:tc>
        <w:tc>
          <w:tcPr>
            <w:tcW w:w="2849" w:type="dxa"/>
            <w:tcBorders>
              <w:top w:val="single" w:sz="12" w:space="0" w:color="auto"/>
              <w:bottom w:val="single" w:sz="12" w:space="0" w:color="auto"/>
            </w:tcBorders>
            <w:vAlign w:val="center"/>
          </w:tcPr>
          <w:p w14:paraId="1C154A9E" w14:textId="77777777" w:rsidR="00D170E5" w:rsidRPr="002B55E9" w:rsidRDefault="00EF27AD">
            <w:pPr>
              <w:spacing w:line="0" w:lineRule="atLeast"/>
              <w:jc w:val="center"/>
              <w:rPr>
                <w:sz w:val="18"/>
                <w:szCs w:val="18"/>
              </w:rPr>
            </w:pPr>
            <w:r w:rsidRPr="002B55E9">
              <w:rPr>
                <w:rFonts w:hint="eastAsia"/>
                <w:sz w:val="18"/>
                <w:szCs w:val="18"/>
              </w:rPr>
              <w:t>东西湖</w:t>
            </w:r>
            <w:r w:rsidRPr="002B55E9">
              <w:rPr>
                <w:sz w:val="18"/>
                <w:szCs w:val="18"/>
              </w:rPr>
              <w:t>污水处理厂进水设计值</w:t>
            </w:r>
          </w:p>
        </w:tc>
        <w:tc>
          <w:tcPr>
            <w:tcW w:w="2251" w:type="dxa"/>
            <w:tcBorders>
              <w:top w:val="single" w:sz="12" w:space="0" w:color="auto"/>
              <w:bottom w:val="single" w:sz="12" w:space="0" w:color="auto"/>
            </w:tcBorders>
            <w:vAlign w:val="center"/>
          </w:tcPr>
          <w:p w14:paraId="77DC54C7" w14:textId="77777777" w:rsidR="00D170E5" w:rsidRPr="002B55E9" w:rsidRDefault="00EF27AD">
            <w:pPr>
              <w:spacing w:line="0" w:lineRule="atLeast"/>
              <w:jc w:val="center"/>
              <w:rPr>
                <w:sz w:val="18"/>
                <w:szCs w:val="18"/>
              </w:rPr>
            </w:pPr>
            <w:r w:rsidRPr="002B55E9">
              <w:rPr>
                <w:rFonts w:hint="eastAsia"/>
                <w:sz w:val="18"/>
                <w:szCs w:val="18"/>
              </w:rPr>
              <w:t>《污水</w:t>
            </w:r>
            <w:r w:rsidRPr="002B55E9">
              <w:rPr>
                <w:sz w:val="18"/>
                <w:szCs w:val="18"/>
              </w:rPr>
              <w:t>综合排放标准</w:t>
            </w:r>
            <w:r w:rsidRPr="002B55E9">
              <w:rPr>
                <w:rFonts w:hint="eastAsia"/>
                <w:sz w:val="18"/>
                <w:szCs w:val="18"/>
              </w:rPr>
              <w:t>》（</w:t>
            </w:r>
            <w:r w:rsidRPr="002B55E9">
              <w:rPr>
                <w:rFonts w:hint="eastAsia"/>
                <w:sz w:val="18"/>
                <w:szCs w:val="18"/>
              </w:rPr>
              <w:t>GB8978-1996</w:t>
            </w:r>
            <w:r w:rsidRPr="002B55E9">
              <w:rPr>
                <w:rFonts w:hint="eastAsia"/>
                <w:sz w:val="18"/>
                <w:szCs w:val="18"/>
              </w:rPr>
              <w:t>）</w:t>
            </w:r>
          </w:p>
        </w:tc>
        <w:tc>
          <w:tcPr>
            <w:tcW w:w="2618" w:type="dxa"/>
            <w:tcBorders>
              <w:top w:val="single" w:sz="12" w:space="0" w:color="auto"/>
              <w:bottom w:val="single" w:sz="12" w:space="0" w:color="auto"/>
            </w:tcBorders>
            <w:noWrap/>
            <w:vAlign w:val="center"/>
          </w:tcPr>
          <w:p w14:paraId="5AAD5E23" w14:textId="77777777" w:rsidR="00D170E5" w:rsidRPr="002B55E9" w:rsidRDefault="00EF27AD">
            <w:pPr>
              <w:pStyle w:val="affff6"/>
              <w:spacing w:line="0" w:lineRule="atLeast"/>
              <w:rPr>
                <w:szCs w:val="18"/>
              </w:rPr>
            </w:pPr>
            <w:r w:rsidRPr="002B55E9">
              <w:rPr>
                <w:rFonts w:hint="eastAsia"/>
                <w:szCs w:val="18"/>
              </w:rPr>
              <w:t>本项目执行</w:t>
            </w:r>
            <w:r w:rsidRPr="002B55E9">
              <w:rPr>
                <w:szCs w:val="18"/>
              </w:rPr>
              <w:t>标准</w:t>
            </w:r>
          </w:p>
        </w:tc>
      </w:tr>
      <w:tr w:rsidR="002B55E9" w:rsidRPr="002B55E9" w14:paraId="44F96D56" w14:textId="77777777">
        <w:trPr>
          <w:trHeight w:val="284"/>
        </w:trPr>
        <w:tc>
          <w:tcPr>
            <w:tcW w:w="615" w:type="dxa"/>
            <w:tcBorders>
              <w:top w:val="single" w:sz="12" w:space="0" w:color="auto"/>
            </w:tcBorders>
            <w:noWrap/>
            <w:vAlign w:val="center"/>
          </w:tcPr>
          <w:p w14:paraId="749B4A4E" w14:textId="77777777" w:rsidR="00D170E5" w:rsidRPr="002B55E9" w:rsidRDefault="00EF27AD">
            <w:pPr>
              <w:widowControl/>
              <w:spacing w:line="0" w:lineRule="atLeast"/>
              <w:jc w:val="center"/>
              <w:rPr>
                <w:sz w:val="18"/>
                <w:szCs w:val="18"/>
              </w:rPr>
            </w:pPr>
            <w:r w:rsidRPr="002B55E9">
              <w:rPr>
                <w:rFonts w:hint="eastAsia"/>
                <w:sz w:val="18"/>
                <w:szCs w:val="18"/>
              </w:rPr>
              <w:t>1</w:t>
            </w:r>
          </w:p>
        </w:tc>
        <w:tc>
          <w:tcPr>
            <w:tcW w:w="1305" w:type="dxa"/>
            <w:tcBorders>
              <w:top w:val="single" w:sz="12" w:space="0" w:color="auto"/>
            </w:tcBorders>
            <w:vAlign w:val="center"/>
          </w:tcPr>
          <w:p w14:paraId="047E82A8" w14:textId="77777777" w:rsidR="00D170E5" w:rsidRPr="002B55E9" w:rsidRDefault="00EF27AD">
            <w:pPr>
              <w:spacing w:line="0" w:lineRule="atLeast"/>
              <w:jc w:val="center"/>
              <w:rPr>
                <w:sz w:val="18"/>
                <w:szCs w:val="18"/>
              </w:rPr>
            </w:pPr>
            <w:r w:rsidRPr="002B55E9">
              <w:rPr>
                <w:sz w:val="18"/>
                <w:szCs w:val="18"/>
              </w:rPr>
              <w:t>pH</w:t>
            </w:r>
          </w:p>
        </w:tc>
        <w:tc>
          <w:tcPr>
            <w:tcW w:w="2849" w:type="dxa"/>
            <w:tcBorders>
              <w:top w:val="single" w:sz="12" w:space="0" w:color="auto"/>
            </w:tcBorders>
            <w:vAlign w:val="center"/>
          </w:tcPr>
          <w:p w14:paraId="0467254D" w14:textId="77777777" w:rsidR="00D170E5" w:rsidRPr="002B55E9" w:rsidRDefault="00EF27AD">
            <w:pPr>
              <w:spacing w:line="0" w:lineRule="atLeast"/>
              <w:jc w:val="center"/>
              <w:rPr>
                <w:sz w:val="18"/>
                <w:szCs w:val="18"/>
              </w:rPr>
            </w:pPr>
            <w:r w:rsidRPr="002B55E9">
              <w:rPr>
                <w:rFonts w:hint="eastAsia"/>
                <w:sz w:val="18"/>
                <w:szCs w:val="18"/>
              </w:rPr>
              <w:t>/</w:t>
            </w:r>
          </w:p>
        </w:tc>
        <w:tc>
          <w:tcPr>
            <w:tcW w:w="2251" w:type="dxa"/>
            <w:tcBorders>
              <w:top w:val="single" w:sz="12" w:space="0" w:color="auto"/>
            </w:tcBorders>
            <w:vAlign w:val="center"/>
          </w:tcPr>
          <w:p w14:paraId="040EAC48" w14:textId="77777777" w:rsidR="00D170E5" w:rsidRPr="002B55E9" w:rsidRDefault="00EF27AD">
            <w:pPr>
              <w:pStyle w:val="affff6"/>
              <w:spacing w:line="0" w:lineRule="atLeast"/>
              <w:rPr>
                <w:szCs w:val="18"/>
              </w:rPr>
            </w:pPr>
            <w:r w:rsidRPr="002B55E9">
              <w:rPr>
                <w:rFonts w:hint="eastAsia"/>
                <w:szCs w:val="18"/>
              </w:rPr>
              <w:t>6</w:t>
            </w:r>
            <w:r w:rsidRPr="002B55E9">
              <w:rPr>
                <w:szCs w:val="18"/>
              </w:rPr>
              <w:t>~9</w:t>
            </w:r>
          </w:p>
        </w:tc>
        <w:tc>
          <w:tcPr>
            <w:tcW w:w="2618" w:type="dxa"/>
            <w:tcBorders>
              <w:top w:val="single" w:sz="12" w:space="0" w:color="auto"/>
            </w:tcBorders>
            <w:noWrap/>
            <w:vAlign w:val="center"/>
          </w:tcPr>
          <w:p w14:paraId="41F3E733" w14:textId="77777777" w:rsidR="00D170E5" w:rsidRPr="002B55E9" w:rsidRDefault="00EF27AD">
            <w:pPr>
              <w:widowControl/>
              <w:spacing w:line="0" w:lineRule="atLeast"/>
              <w:jc w:val="center"/>
              <w:rPr>
                <w:sz w:val="18"/>
                <w:szCs w:val="18"/>
              </w:rPr>
            </w:pPr>
            <w:r w:rsidRPr="002B55E9">
              <w:rPr>
                <w:rFonts w:hint="eastAsia"/>
                <w:sz w:val="18"/>
                <w:szCs w:val="18"/>
              </w:rPr>
              <w:t>6</w:t>
            </w:r>
            <w:r w:rsidRPr="002B55E9">
              <w:rPr>
                <w:sz w:val="18"/>
                <w:szCs w:val="18"/>
              </w:rPr>
              <w:t>~9</w:t>
            </w:r>
          </w:p>
        </w:tc>
      </w:tr>
      <w:tr w:rsidR="002B55E9" w:rsidRPr="002B55E9" w14:paraId="2EEC7A9D" w14:textId="77777777">
        <w:trPr>
          <w:trHeight w:val="284"/>
        </w:trPr>
        <w:tc>
          <w:tcPr>
            <w:tcW w:w="615" w:type="dxa"/>
            <w:noWrap/>
            <w:vAlign w:val="center"/>
          </w:tcPr>
          <w:p w14:paraId="2FE465F8" w14:textId="77777777" w:rsidR="00D170E5" w:rsidRPr="002B55E9" w:rsidRDefault="00EF27AD">
            <w:pPr>
              <w:widowControl/>
              <w:spacing w:line="0" w:lineRule="atLeast"/>
              <w:jc w:val="center"/>
              <w:rPr>
                <w:sz w:val="18"/>
                <w:szCs w:val="18"/>
              </w:rPr>
            </w:pPr>
            <w:r w:rsidRPr="002B55E9">
              <w:rPr>
                <w:rFonts w:hint="eastAsia"/>
                <w:sz w:val="18"/>
                <w:szCs w:val="18"/>
              </w:rPr>
              <w:t>2</w:t>
            </w:r>
          </w:p>
        </w:tc>
        <w:tc>
          <w:tcPr>
            <w:tcW w:w="1305" w:type="dxa"/>
            <w:vAlign w:val="center"/>
          </w:tcPr>
          <w:p w14:paraId="682899E2" w14:textId="77777777" w:rsidR="00D170E5" w:rsidRPr="002B55E9" w:rsidRDefault="00EF27AD">
            <w:pPr>
              <w:spacing w:line="0" w:lineRule="atLeast"/>
              <w:jc w:val="center"/>
              <w:rPr>
                <w:sz w:val="18"/>
                <w:szCs w:val="18"/>
              </w:rPr>
            </w:pPr>
            <w:r w:rsidRPr="002B55E9">
              <w:rPr>
                <w:sz w:val="18"/>
                <w:szCs w:val="18"/>
              </w:rPr>
              <w:t>COD</w:t>
            </w:r>
          </w:p>
        </w:tc>
        <w:tc>
          <w:tcPr>
            <w:tcW w:w="2849" w:type="dxa"/>
            <w:vAlign w:val="center"/>
          </w:tcPr>
          <w:p w14:paraId="78A4552E" w14:textId="77777777" w:rsidR="00D170E5" w:rsidRPr="002B55E9" w:rsidRDefault="00EF27AD">
            <w:pPr>
              <w:widowControl/>
              <w:spacing w:line="0" w:lineRule="atLeast"/>
              <w:jc w:val="center"/>
              <w:rPr>
                <w:sz w:val="18"/>
                <w:szCs w:val="18"/>
              </w:rPr>
            </w:pPr>
            <w:r w:rsidRPr="002B55E9">
              <w:rPr>
                <w:rFonts w:hint="eastAsia"/>
                <w:sz w:val="18"/>
                <w:szCs w:val="18"/>
              </w:rPr>
              <w:t>320</w:t>
            </w:r>
          </w:p>
        </w:tc>
        <w:tc>
          <w:tcPr>
            <w:tcW w:w="2251" w:type="dxa"/>
            <w:vAlign w:val="center"/>
          </w:tcPr>
          <w:p w14:paraId="5364BCFF" w14:textId="77777777" w:rsidR="00D170E5" w:rsidRPr="002B55E9" w:rsidRDefault="00EF27AD">
            <w:pPr>
              <w:spacing w:line="0" w:lineRule="atLeast"/>
              <w:jc w:val="center"/>
              <w:rPr>
                <w:sz w:val="18"/>
                <w:szCs w:val="18"/>
              </w:rPr>
            </w:pPr>
            <w:r w:rsidRPr="002B55E9">
              <w:rPr>
                <w:rFonts w:hint="eastAsia"/>
                <w:sz w:val="18"/>
                <w:szCs w:val="18"/>
              </w:rPr>
              <w:t>500</w:t>
            </w:r>
          </w:p>
        </w:tc>
        <w:tc>
          <w:tcPr>
            <w:tcW w:w="2618" w:type="dxa"/>
            <w:noWrap/>
            <w:vAlign w:val="center"/>
          </w:tcPr>
          <w:p w14:paraId="5AB36311" w14:textId="77777777" w:rsidR="00D170E5" w:rsidRPr="002B55E9" w:rsidRDefault="00EF27AD">
            <w:pPr>
              <w:widowControl/>
              <w:spacing w:line="0" w:lineRule="atLeast"/>
              <w:jc w:val="center"/>
              <w:rPr>
                <w:sz w:val="18"/>
                <w:szCs w:val="18"/>
              </w:rPr>
            </w:pPr>
            <w:r w:rsidRPr="002B55E9">
              <w:rPr>
                <w:rFonts w:hint="eastAsia"/>
                <w:sz w:val="18"/>
                <w:szCs w:val="18"/>
              </w:rPr>
              <w:t>320</w:t>
            </w:r>
          </w:p>
        </w:tc>
      </w:tr>
      <w:tr w:rsidR="002B55E9" w:rsidRPr="002B55E9" w14:paraId="3893DAA6" w14:textId="77777777">
        <w:trPr>
          <w:trHeight w:val="284"/>
        </w:trPr>
        <w:tc>
          <w:tcPr>
            <w:tcW w:w="615" w:type="dxa"/>
            <w:noWrap/>
            <w:vAlign w:val="center"/>
          </w:tcPr>
          <w:p w14:paraId="4128A10B" w14:textId="77777777" w:rsidR="00D170E5" w:rsidRPr="002B55E9" w:rsidRDefault="00EF27AD">
            <w:pPr>
              <w:widowControl/>
              <w:spacing w:line="0" w:lineRule="atLeast"/>
              <w:jc w:val="center"/>
              <w:rPr>
                <w:sz w:val="18"/>
                <w:szCs w:val="18"/>
              </w:rPr>
            </w:pPr>
            <w:r w:rsidRPr="002B55E9">
              <w:rPr>
                <w:rFonts w:hint="eastAsia"/>
                <w:sz w:val="18"/>
                <w:szCs w:val="18"/>
              </w:rPr>
              <w:t>3</w:t>
            </w:r>
          </w:p>
        </w:tc>
        <w:tc>
          <w:tcPr>
            <w:tcW w:w="1305" w:type="dxa"/>
            <w:vAlign w:val="center"/>
          </w:tcPr>
          <w:p w14:paraId="4EB6EBD3" w14:textId="77777777" w:rsidR="00D170E5" w:rsidRPr="002B55E9" w:rsidRDefault="00EF27AD">
            <w:pPr>
              <w:spacing w:line="0" w:lineRule="atLeast"/>
              <w:jc w:val="center"/>
              <w:rPr>
                <w:sz w:val="18"/>
                <w:szCs w:val="18"/>
              </w:rPr>
            </w:pPr>
            <w:r w:rsidRPr="002B55E9">
              <w:rPr>
                <w:sz w:val="18"/>
                <w:szCs w:val="18"/>
              </w:rPr>
              <w:t>BOD</w:t>
            </w:r>
            <w:r w:rsidRPr="002B55E9">
              <w:rPr>
                <w:sz w:val="18"/>
                <w:szCs w:val="18"/>
                <w:vertAlign w:val="subscript"/>
              </w:rPr>
              <w:t>5</w:t>
            </w:r>
          </w:p>
        </w:tc>
        <w:tc>
          <w:tcPr>
            <w:tcW w:w="2849" w:type="dxa"/>
            <w:vAlign w:val="center"/>
          </w:tcPr>
          <w:p w14:paraId="5A81ECC5" w14:textId="77777777" w:rsidR="00D170E5" w:rsidRPr="002B55E9" w:rsidRDefault="00EF27AD">
            <w:pPr>
              <w:widowControl/>
              <w:spacing w:line="0" w:lineRule="atLeast"/>
              <w:jc w:val="center"/>
              <w:rPr>
                <w:sz w:val="18"/>
                <w:szCs w:val="18"/>
              </w:rPr>
            </w:pPr>
            <w:r w:rsidRPr="002B55E9">
              <w:rPr>
                <w:rFonts w:hint="eastAsia"/>
                <w:sz w:val="18"/>
                <w:szCs w:val="18"/>
              </w:rPr>
              <w:t>170</w:t>
            </w:r>
          </w:p>
        </w:tc>
        <w:tc>
          <w:tcPr>
            <w:tcW w:w="2251" w:type="dxa"/>
            <w:vAlign w:val="center"/>
          </w:tcPr>
          <w:p w14:paraId="456529B7" w14:textId="77777777" w:rsidR="00D170E5" w:rsidRPr="002B55E9" w:rsidRDefault="00EF27AD">
            <w:pPr>
              <w:spacing w:line="0" w:lineRule="atLeast"/>
              <w:jc w:val="center"/>
              <w:rPr>
                <w:sz w:val="18"/>
                <w:szCs w:val="18"/>
              </w:rPr>
            </w:pPr>
            <w:r w:rsidRPr="002B55E9">
              <w:rPr>
                <w:rFonts w:hint="eastAsia"/>
                <w:sz w:val="18"/>
                <w:szCs w:val="18"/>
              </w:rPr>
              <w:t>300</w:t>
            </w:r>
          </w:p>
        </w:tc>
        <w:tc>
          <w:tcPr>
            <w:tcW w:w="2618" w:type="dxa"/>
            <w:noWrap/>
            <w:vAlign w:val="center"/>
          </w:tcPr>
          <w:p w14:paraId="54FE3DC0" w14:textId="77777777" w:rsidR="00D170E5" w:rsidRPr="002B55E9" w:rsidRDefault="00EF27AD">
            <w:pPr>
              <w:widowControl/>
              <w:spacing w:line="0" w:lineRule="atLeast"/>
              <w:jc w:val="center"/>
              <w:rPr>
                <w:sz w:val="18"/>
                <w:szCs w:val="18"/>
              </w:rPr>
            </w:pPr>
            <w:r w:rsidRPr="002B55E9">
              <w:rPr>
                <w:rFonts w:hint="eastAsia"/>
                <w:sz w:val="18"/>
                <w:szCs w:val="18"/>
              </w:rPr>
              <w:t>170</w:t>
            </w:r>
          </w:p>
        </w:tc>
      </w:tr>
      <w:tr w:rsidR="002B55E9" w:rsidRPr="002B55E9" w14:paraId="2E383438" w14:textId="77777777">
        <w:trPr>
          <w:trHeight w:val="284"/>
        </w:trPr>
        <w:tc>
          <w:tcPr>
            <w:tcW w:w="615" w:type="dxa"/>
            <w:noWrap/>
            <w:vAlign w:val="center"/>
          </w:tcPr>
          <w:p w14:paraId="1B37DB5D" w14:textId="77777777" w:rsidR="00D170E5" w:rsidRPr="002B55E9" w:rsidRDefault="00EF27AD">
            <w:pPr>
              <w:widowControl/>
              <w:spacing w:line="0" w:lineRule="atLeast"/>
              <w:jc w:val="center"/>
              <w:rPr>
                <w:sz w:val="18"/>
                <w:szCs w:val="18"/>
              </w:rPr>
            </w:pPr>
            <w:r w:rsidRPr="002B55E9">
              <w:rPr>
                <w:rFonts w:hint="eastAsia"/>
                <w:sz w:val="18"/>
                <w:szCs w:val="18"/>
              </w:rPr>
              <w:t>4</w:t>
            </w:r>
          </w:p>
        </w:tc>
        <w:tc>
          <w:tcPr>
            <w:tcW w:w="1305" w:type="dxa"/>
            <w:vAlign w:val="center"/>
          </w:tcPr>
          <w:p w14:paraId="48E73615" w14:textId="77777777" w:rsidR="00D170E5" w:rsidRPr="002B55E9" w:rsidRDefault="00EF27AD">
            <w:pPr>
              <w:spacing w:line="0" w:lineRule="atLeast"/>
              <w:jc w:val="center"/>
              <w:rPr>
                <w:sz w:val="18"/>
                <w:szCs w:val="18"/>
              </w:rPr>
            </w:pPr>
            <w:r w:rsidRPr="002B55E9">
              <w:rPr>
                <w:sz w:val="18"/>
                <w:szCs w:val="18"/>
              </w:rPr>
              <w:t>SS</w:t>
            </w:r>
          </w:p>
        </w:tc>
        <w:tc>
          <w:tcPr>
            <w:tcW w:w="2849" w:type="dxa"/>
            <w:vAlign w:val="center"/>
          </w:tcPr>
          <w:p w14:paraId="69129F6A" w14:textId="77777777" w:rsidR="00D170E5" w:rsidRPr="002B55E9" w:rsidRDefault="00EF27AD">
            <w:pPr>
              <w:widowControl/>
              <w:spacing w:line="0" w:lineRule="atLeast"/>
              <w:jc w:val="center"/>
              <w:rPr>
                <w:sz w:val="18"/>
                <w:szCs w:val="18"/>
              </w:rPr>
            </w:pPr>
            <w:r w:rsidRPr="002B55E9">
              <w:rPr>
                <w:rFonts w:hint="eastAsia"/>
                <w:sz w:val="18"/>
                <w:szCs w:val="18"/>
              </w:rPr>
              <w:t>200</w:t>
            </w:r>
          </w:p>
        </w:tc>
        <w:tc>
          <w:tcPr>
            <w:tcW w:w="2251" w:type="dxa"/>
            <w:vAlign w:val="center"/>
          </w:tcPr>
          <w:p w14:paraId="0A7A92E8" w14:textId="77777777" w:rsidR="00D170E5" w:rsidRPr="002B55E9" w:rsidRDefault="00EF27AD">
            <w:pPr>
              <w:spacing w:line="0" w:lineRule="atLeast"/>
              <w:jc w:val="center"/>
              <w:rPr>
                <w:sz w:val="18"/>
                <w:szCs w:val="18"/>
              </w:rPr>
            </w:pPr>
            <w:r w:rsidRPr="002B55E9">
              <w:rPr>
                <w:rFonts w:hint="eastAsia"/>
                <w:sz w:val="18"/>
                <w:szCs w:val="18"/>
              </w:rPr>
              <w:t>400</w:t>
            </w:r>
          </w:p>
        </w:tc>
        <w:tc>
          <w:tcPr>
            <w:tcW w:w="2618" w:type="dxa"/>
            <w:noWrap/>
            <w:vAlign w:val="center"/>
          </w:tcPr>
          <w:p w14:paraId="1B628941" w14:textId="77777777" w:rsidR="00D170E5" w:rsidRPr="002B55E9" w:rsidRDefault="00EF27AD">
            <w:pPr>
              <w:widowControl/>
              <w:spacing w:line="0" w:lineRule="atLeast"/>
              <w:jc w:val="center"/>
              <w:rPr>
                <w:sz w:val="18"/>
                <w:szCs w:val="18"/>
              </w:rPr>
            </w:pPr>
            <w:r w:rsidRPr="002B55E9">
              <w:rPr>
                <w:rFonts w:hint="eastAsia"/>
                <w:sz w:val="18"/>
                <w:szCs w:val="18"/>
              </w:rPr>
              <w:t>200</w:t>
            </w:r>
          </w:p>
        </w:tc>
      </w:tr>
      <w:tr w:rsidR="002B55E9" w:rsidRPr="002B55E9" w14:paraId="4434FC5F" w14:textId="77777777">
        <w:trPr>
          <w:trHeight w:val="284"/>
        </w:trPr>
        <w:tc>
          <w:tcPr>
            <w:tcW w:w="615" w:type="dxa"/>
            <w:noWrap/>
            <w:vAlign w:val="center"/>
          </w:tcPr>
          <w:p w14:paraId="3D380543" w14:textId="77777777" w:rsidR="00D170E5" w:rsidRPr="002B55E9" w:rsidRDefault="00EF27AD">
            <w:pPr>
              <w:widowControl/>
              <w:spacing w:line="0" w:lineRule="atLeast"/>
              <w:jc w:val="center"/>
              <w:rPr>
                <w:sz w:val="18"/>
                <w:szCs w:val="18"/>
              </w:rPr>
            </w:pPr>
            <w:r w:rsidRPr="002B55E9">
              <w:rPr>
                <w:rFonts w:hint="eastAsia"/>
                <w:sz w:val="18"/>
                <w:szCs w:val="18"/>
              </w:rPr>
              <w:t>5</w:t>
            </w:r>
          </w:p>
        </w:tc>
        <w:tc>
          <w:tcPr>
            <w:tcW w:w="1305" w:type="dxa"/>
            <w:vAlign w:val="center"/>
          </w:tcPr>
          <w:p w14:paraId="292EA8AB" w14:textId="77777777" w:rsidR="00D170E5" w:rsidRPr="002B55E9" w:rsidRDefault="00EF27AD">
            <w:pPr>
              <w:spacing w:line="0" w:lineRule="atLeast"/>
              <w:jc w:val="center"/>
              <w:rPr>
                <w:sz w:val="18"/>
                <w:szCs w:val="18"/>
              </w:rPr>
            </w:pPr>
            <w:r w:rsidRPr="002B55E9">
              <w:rPr>
                <w:sz w:val="18"/>
                <w:szCs w:val="18"/>
              </w:rPr>
              <w:t>NH</w:t>
            </w:r>
            <w:r w:rsidRPr="002B55E9">
              <w:rPr>
                <w:sz w:val="18"/>
                <w:szCs w:val="18"/>
                <w:vertAlign w:val="subscript"/>
              </w:rPr>
              <w:t>3</w:t>
            </w:r>
            <w:r w:rsidRPr="002B55E9">
              <w:rPr>
                <w:sz w:val="18"/>
                <w:szCs w:val="18"/>
              </w:rPr>
              <w:t>-N</w:t>
            </w:r>
          </w:p>
        </w:tc>
        <w:tc>
          <w:tcPr>
            <w:tcW w:w="2849" w:type="dxa"/>
            <w:vAlign w:val="center"/>
          </w:tcPr>
          <w:p w14:paraId="7E096CFA" w14:textId="77777777" w:rsidR="00D170E5" w:rsidRPr="002B55E9" w:rsidRDefault="00EF27AD">
            <w:pPr>
              <w:widowControl/>
              <w:spacing w:line="0" w:lineRule="atLeast"/>
              <w:jc w:val="center"/>
              <w:rPr>
                <w:sz w:val="18"/>
                <w:szCs w:val="18"/>
              </w:rPr>
            </w:pPr>
            <w:r w:rsidRPr="002B55E9">
              <w:rPr>
                <w:rFonts w:hint="eastAsia"/>
                <w:sz w:val="18"/>
                <w:szCs w:val="18"/>
              </w:rPr>
              <w:t>35</w:t>
            </w:r>
          </w:p>
        </w:tc>
        <w:tc>
          <w:tcPr>
            <w:tcW w:w="2251" w:type="dxa"/>
            <w:vAlign w:val="center"/>
          </w:tcPr>
          <w:p w14:paraId="4AA6B040" w14:textId="77777777" w:rsidR="00D170E5" w:rsidRPr="002B55E9" w:rsidRDefault="00EF27AD">
            <w:pPr>
              <w:spacing w:line="0" w:lineRule="atLeast"/>
              <w:jc w:val="center"/>
              <w:rPr>
                <w:sz w:val="18"/>
                <w:szCs w:val="18"/>
              </w:rPr>
            </w:pPr>
            <w:r w:rsidRPr="002B55E9">
              <w:rPr>
                <w:rFonts w:hint="eastAsia"/>
                <w:sz w:val="18"/>
                <w:szCs w:val="18"/>
              </w:rPr>
              <w:t>/</w:t>
            </w:r>
          </w:p>
        </w:tc>
        <w:tc>
          <w:tcPr>
            <w:tcW w:w="2618" w:type="dxa"/>
            <w:noWrap/>
            <w:vAlign w:val="center"/>
          </w:tcPr>
          <w:p w14:paraId="77C463C9" w14:textId="77777777" w:rsidR="00D170E5" w:rsidRPr="002B55E9" w:rsidRDefault="00EF27AD">
            <w:pPr>
              <w:widowControl/>
              <w:spacing w:line="0" w:lineRule="atLeast"/>
              <w:jc w:val="center"/>
              <w:rPr>
                <w:sz w:val="18"/>
                <w:szCs w:val="18"/>
              </w:rPr>
            </w:pPr>
            <w:r w:rsidRPr="002B55E9">
              <w:rPr>
                <w:rFonts w:hint="eastAsia"/>
                <w:sz w:val="18"/>
                <w:szCs w:val="18"/>
              </w:rPr>
              <w:t>35</w:t>
            </w:r>
          </w:p>
        </w:tc>
      </w:tr>
      <w:tr w:rsidR="002B55E9" w:rsidRPr="002B55E9" w14:paraId="2083146A" w14:textId="77777777">
        <w:trPr>
          <w:trHeight w:val="284"/>
        </w:trPr>
        <w:tc>
          <w:tcPr>
            <w:tcW w:w="615" w:type="dxa"/>
            <w:noWrap/>
            <w:vAlign w:val="center"/>
          </w:tcPr>
          <w:p w14:paraId="3FC2A726" w14:textId="77777777" w:rsidR="00D170E5" w:rsidRPr="002B55E9" w:rsidRDefault="00EF27AD">
            <w:pPr>
              <w:widowControl/>
              <w:spacing w:line="0" w:lineRule="atLeast"/>
              <w:jc w:val="center"/>
              <w:rPr>
                <w:sz w:val="18"/>
                <w:szCs w:val="18"/>
              </w:rPr>
            </w:pPr>
            <w:r w:rsidRPr="002B55E9">
              <w:rPr>
                <w:rFonts w:hint="eastAsia"/>
                <w:sz w:val="18"/>
                <w:szCs w:val="18"/>
              </w:rPr>
              <w:t>6</w:t>
            </w:r>
          </w:p>
        </w:tc>
        <w:tc>
          <w:tcPr>
            <w:tcW w:w="1305" w:type="dxa"/>
            <w:vAlign w:val="center"/>
          </w:tcPr>
          <w:p w14:paraId="29932018" w14:textId="77777777" w:rsidR="00D170E5" w:rsidRPr="002B55E9" w:rsidRDefault="00EF27AD">
            <w:pPr>
              <w:spacing w:line="0" w:lineRule="atLeast"/>
              <w:jc w:val="center"/>
              <w:rPr>
                <w:rFonts w:hAnsi="宋体"/>
                <w:sz w:val="18"/>
                <w:szCs w:val="18"/>
              </w:rPr>
            </w:pPr>
            <w:r w:rsidRPr="002B55E9">
              <w:rPr>
                <w:rFonts w:hAnsi="宋体" w:hint="eastAsia"/>
                <w:sz w:val="18"/>
                <w:szCs w:val="18"/>
              </w:rPr>
              <w:t>总磷</w:t>
            </w:r>
          </w:p>
        </w:tc>
        <w:tc>
          <w:tcPr>
            <w:tcW w:w="2849" w:type="dxa"/>
            <w:vAlign w:val="center"/>
          </w:tcPr>
          <w:p w14:paraId="0C42F08B" w14:textId="77777777" w:rsidR="00D170E5" w:rsidRPr="002B55E9" w:rsidRDefault="00EF27AD">
            <w:pPr>
              <w:widowControl/>
              <w:spacing w:line="0" w:lineRule="atLeast"/>
              <w:jc w:val="center"/>
              <w:rPr>
                <w:sz w:val="18"/>
                <w:szCs w:val="18"/>
              </w:rPr>
            </w:pPr>
            <w:r w:rsidRPr="002B55E9">
              <w:rPr>
                <w:rFonts w:hint="eastAsia"/>
                <w:sz w:val="18"/>
                <w:szCs w:val="18"/>
              </w:rPr>
              <w:t>3.5</w:t>
            </w:r>
          </w:p>
        </w:tc>
        <w:tc>
          <w:tcPr>
            <w:tcW w:w="2251" w:type="dxa"/>
            <w:vAlign w:val="center"/>
          </w:tcPr>
          <w:p w14:paraId="7F12C455" w14:textId="77777777" w:rsidR="00D170E5" w:rsidRPr="002B55E9" w:rsidRDefault="00EF27AD">
            <w:pPr>
              <w:spacing w:line="0" w:lineRule="atLeast"/>
              <w:jc w:val="center"/>
              <w:rPr>
                <w:rFonts w:hAnsi="宋体"/>
                <w:sz w:val="18"/>
                <w:szCs w:val="18"/>
              </w:rPr>
            </w:pPr>
            <w:r w:rsidRPr="002B55E9">
              <w:rPr>
                <w:rFonts w:hAnsi="宋体" w:hint="eastAsia"/>
                <w:sz w:val="18"/>
                <w:szCs w:val="18"/>
              </w:rPr>
              <w:t>/</w:t>
            </w:r>
          </w:p>
        </w:tc>
        <w:tc>
          <w:tcPr>
            <w:tcW w:w="2618" w:type="dxa"/>
            <w:noWrap/>
            <w:vAlign w:val="center"/>
          </w:tcPr>
          <w:p w14:paraId="0E02E7CB" w14:textId="77777777" w:rsidR="00D170E5" w:rsidRPr="002B55E9" w:rsidRDefault="00EF27AD">
            <w:pPr>
              <w:widowControl/>
              <w:spacing w:line="0" w:lineRule="atLeast"/>
              <w:jc w:val="center"/>
              <w:rPr>
                <w:sz w:val="18"/>
                <w:szCs w:val="18"/>
              </w:rPr>
            </w:pPr>
            <w:r w:rsidRPr="002B55E9">
              <w:rPr>
                <w:rFonts w:hint="eastAsia"/>
                <w:sz w:val="18"/>
                <w:szCs w:val="18"/>
              </w:rPr>
              <w:t>3.5</w:t>
            </w:r>
          </w:p>
        </w:tc>
      </w:tr>
      <w:tr w:rsidR="002B55E9" w:rsidRPr="002B55E9" w14:paraId="6F906CD1" w14:textId="77777777">
        <w:trPr>
          <w:trHeight w:val="284"/>
        </w:trPr>
        <w:tc>
          <w:tcPr>
            <w:tcW w:w="615" w:type="dxa"/>
            <w:noWrap/>
            <w:vAlign w:val="center"/>
          </w:tcPr>
          <w:p w14:paraId="5FB2ECCA" w14:textId="77777777" w:rsidR="00D170E5" w:rsidRPr="002B55E9" w:rsidRDefault="00EF27AD">
            <w:pPr>
              <w:widowControl/>
              <w:spacing w:line="0" w:lineRule="atLeast"/>
              <w:jc w:val="center"/>
              <w:rPr>
                <w:sz w:val="18"/>
                <w:szCs w:val="18"/>
              </w:rPr>
            </w:pPr>
            <w:r w:rsidRPr="002B55E9">
              <w:rPr>
                <w:rFonts w:hint="eastAsia"/>
                <w:sz w:val="18"/>
                <w:szCs w:val="18"/>
              </w:rPr>
              <w:t>7</w:t>
            </w:r>
          </w:p>
        </w:tc>
        <w:tc>
          <w:tcPr>
            <w:tcW w:w="1305" w:type="dxa"/>
            <w:vAlign w:val="center"/>
          </w:tcPr>
          <w:p w14:paraId="6E32E9C1" w14:textId="77777777" w:rsidR="00D170E5" w:rsidRPr="002B55E9" w:rsidRDefault="00EF27AD">
            <w:pPr>
              <w:spacing w:line="0" w:lineRule="atLeast"/>
              <w:jc w:val="center"/>
              <w:rPr>
                <w:rFonts w:hAnsi="宋体"/>
                <w:sz w:val="18"/>
                <w:szCs w:val="18"/>
              </w:rPr>
            </w:pPr>
            <w:r w:rsidRPr="002B55E9">
              <w:rPr>
                <w:rFonts w:hAnsi="宋体" w:hint="eastAsia"/>
                <w:sz w:val="18"/>
                <w:szCs w:val="18"/>
              </w:rPr>
              <w:t>总氮</w:t>
            </w:r>
          </w:p>
        </w:tc>
        <w:tc>
          <w:tcPr>
            <w:tcW w:w="2849" w:type="dxa"/>
            <w:vAlign w:val="center"/>
          </w:tcPr>
          <w:p w14:paraId="323E924A" w14:textId="77777777" w:rsidR="00D170E5" w:rsidRPr="002B55E9" w:rsidRDefault="00EF27AD">
            <w:pPr>
              <w:widowControl/>
              <w:spacing w:line="0" w:lineRule="atLeast"/>
              <w:jc w:val="center"/>
              <w:rPr>
                <w:sz w:val="18"/>
                <w:szCs w:val="18"/>
              </w:rPr>
            </w:pPr>
            <w:r w:rsidRPr="002B55E9">
              <w:rPr>
                <w:rFonts w:hint="eastAsia"/>
                <w:sz w:val="18"/>
                <w:szCs w:val="18"/>
              </w:rPr>
              <w:t>40</w:t>
            </w:r>
          </w:p>
        </w:tc>
        <w:tc>
          <w:tcPr>
            <w:tcW w:w="2251" w:type="dxa"/>
            <w:vAlign w:val="center"/>
          </w:tcPr>
          <w:p w14:paraId="257F006B" w14:textId="77777777" w:rsidR="00D170E5" w:rsidRPr="002B55E9" w:rsidRDefault="00EF27AD">
            <w:pPr>
              <w:spacing w:line="0" w:lineRule="atLeast"/>
              <w:jc w:val="center"/>
              <w:rPr>
                <w:rFonts w:hAnsi="宋体"/>
                <w:sz w:val="18"/>
                <w:szCs w:val="18"/>
              </w:rPr>
            </w:pPr>
            <w:r w:rsidRPr="002B55E9">
              <w:rPr>
                <w:rFonts w:hAnsi="宋体" w:hint="eastAsia"/>
                <w:sz w:val="18"/>
                <w:szCs w:val="18"/>
              </w:rPr>
              <w:t>/</w:t>
            </w:r>
          </w:p>
        </w:tc>
        <w:tc>
          <w:tcPr>
            <w:tcW w:w="2618" w:type="dxa"/>
            <w:noWrap/>
            <w:vAlign w:val="center"/>
          </w:tcPr>
          <w:p w14:paraId="143FD30E" w14:textId="77777777" w:rsidR="00D170E5" w:rsidRPr="002B55E9" w:rsidRDefault="00EF27AD">
            <w:pPr>
              <w:widowControl/>
              <w:spacing w:line="0" w:lineRule="atLeast"/>
              <w:jc w:val="center"/>
              <w:rPr>
                <w:sz w:val="18"/>
                <w:szCs w:val="18"/>
              </w:rPr>
            </w:pPr>
            <w:r w:rsidRPr="002B55E9">
              <w:rPr>
                <w:rFonts w:hint="eastAsia"/>
                <w:sz w:val="18"/>
                <w:szCs w:val="18"/>
              </w:rPr>
              <w:t>40</w:t>
            </w:r>
          </w:p>
        </w:tc>
      </w:tr>
      <w:tr w:rsidR="002B55E9" w:rsidRPr="002B55E9" w14:paraId="7357C367" w14:textId="77777777">
        <w:trPr>
          <w:trHeight w:val="284"/>
        </w:trPr>
        <w:tc>
          <w:tcPr>
            <w:tcW w:w="615" w:type="dxa"/>
            <w:noWrap/>
            <w:vAlign w:val="center"/>
          </w:tcPr>
          <w:p w14:paraId="12AB78A0" w14:textId="77777777" w:rsidR="00D170E5" w:rsidRPr="002B55E9" w:rsidRDefault="00EF27AD">
            <w:pPr>
              <w:widowControl/>
              <w:spacing w:line="0" w:lineRule="atLeast"/>
              <w:jc w:val="center"/>
              <w:rPr>
                <w:sz w:val="18"/>
                <w:szCs w:val="18"/>
              </w:rPr>
            </w:pPr>
            <w:r w:rsidRPr="002B55E9">
              <w:rPr>
                <w:rFonts w:hint="eastAsia"/>
                <w:sz w:val="18"/>
                <w:szCs w:val="18"/>
              </w:rPr>
              <w:t>8</w:t>
            </w:r>
          </w:p>
        </w:tc>
        <w:tc>
          <w:tcPr>
            <w:tcW w:w="1305" w:type="dxa"/>
            <w:vAlign w:val="center"/>
          </w:tcPr>
          <w:p w14:paraId="573F5EC7" w14:textId="77777777" w:rsidR="00D170E5" w:rsidRPr="002B55E9" w:rsidRDefault="00EF27AD">
            <w:pPr>
              <w:spacing w:line="0" w:lineRule="atLeast"/>
              <w:jc w:val="center"/>
              <w:rPr>
                <w:rFonts w:hAnsi="宋体"/>
                <w:sz w:val="18"/>
                <w:szCs w:val="18"/>
              </w:rPr>
            </w:pPr>
            <w:r w:rsidRPr="002B55E9">
              <w:rPr>
                <w:rFonts w:hAnsi="宋体" w:hint="eastAsia"/>
                <w:sz w:val="18"/>
                <w:szCs w:val="18"/>
              </w:rPr>
              <w:t>动植物</w:t>
            </w:r>
            <w:r w:rsidRPr="002B55E9">
              <w:rPr>
                <w:rFonts w:hAnsi="宋体"/>
                <w:sz w:val="18"/>
                <w:szCs w:val="18"/>
              </w:rPr>
              <w:t>油</w:t>
            </w:r>
          </w:p>
        </w:tc>
        <w:tc>
          <w:tcPr>
            <w:tcW w:w="2849" w:type="dxa"/>
            <w:vAlign w:val="center"/>
          </w:tcPr>
          <w:p w14:paraId="3523CB2A" w14:textId="77777777" w:rsidR="00D170E5" w:rsidRPr="002B55E9" w:rsidRDefault="00EF27AD">
            <w:pPr>
              <w:spacing w:line="0" w:lineRule="atLeast"/>
              <w:jc w:val="center"/>
              <w:rPr>
                <w:rFonts w:hAnsi="宋体"/>
                <w:sz w:val="18"/>
                <w:szCs w:val="18"/>
              </w:rPr>
            </w:pPr>
            <w:r w:rsidRPr="002B55E9">
              <w:rPr>
                <w:rFonts w:hAnsi="宋体" w:hint="eastAsia"/>
                <w:sz w:val="18"/>
                <w:szCs w:val="18"/>
              </w:rPr>
              <w:t>/</w:t>
            </w:r>
          </w:p>
        </w:tc>
        <w:tc>
          <w:tcPr>
            <w:tcW w:w="2251" w:type="dxa"/>
            <w:vAlign w:val="center"/>
          </w:tcPr>
          <w:p w14:paraId="3935E00D" w14:textId="77777777" w:rsidR="00D170E5" w:rsidRPr="002B55E9" w:rsidRDefault="00EF27AD">
            <w:pPr>
              <w:spacing w:line="0" w:lineRule="atLeast"/>
              <w:jc w:val="center"/>
              <w:rPr>
                <w:rFonts w:hAnsi="宋体"/>
                <w:sz w:val="18"/>
                <w:szCs w:val="18"/>
              </w:rPr>
            </w:pPr>
            <w:r w:rsidRPr="002B55E9">
              <w:rPr>
                <w:rFonts w:hAnsi="宋体" w:hint="eastAsia"/>
                <w:sz w:val="18"/>
                <w:szCs w:val="18"/>
              </w:rPr>
              <w:t>100</w:t>
            </w:r>
          </w:p>
        </w:tc>
        <w:tc>
          <w:tcPr>
            <w:tcW w:w="2618" w:type="dxa"/>
            <w:noWrap/>
            <w:vAlign w:val="center"/>
          </w:tcPr>
          <w:p w14:paraId="62E12BBC" w14:textId="77777777" w:rsidR="00D170E5" w:rsidRPr="002B55E9" w:rsidRDefault="00EF27AD">
            <w:pPr>
              <w:widowControl/>
              <w:spacing w:line="0" w:lineRule="atLeast"/>
              <w:jc w:val="center"/>
              <w:rPr>
                <w:sz w:val="18"/>
                <w:szCs w:val="18"/>
              </w:rPr>
            </w:pPr>
            <w:r w:rsidRPr="002B55E9">
              <w:rPr>
                <w:rFonts w:hint="eastAsia"/>
                <w:sz w:val="18"/>
                <w:szCs w:val="18"/>
              </w:rPr>
              <w:t>100</w:t>
            </w:r>
          </w:p>
        </w:tc>
      </w:tr>
    </w:tbl>
    <w:p w14:paraId="0E1FF11A" w14:textId="77777777" w:rsidR="00D170E5" w:rsidRPr="002B55E9" w:rsidRDefault="00EF27AD">
      <w:pPr>
        <w:pStyle w:val="5"/>
      </w:pPr>
      <w:bookmarkStart w:id="114" w:name="_Toc169616176"/>
      <w:bookmarkEnd w:id="113"/>
      <w:r w:rsidRPr="002B55E9">
        <w:rPr>
          <w:rFonts w:hint="eastAsia"/>
        </w:rPr>
        <w:t>噪声</w:t>
      </w:r>
    </w:p>
    <w:p w14:paraId="7A712DEF" w14:textId="77777777" w:rsidR="00D170E5" w:rsidRPr="002B55E9" w:rsidRDefault="00EF27AD">
      <w:pPr>
        <w:pStyle w:val="affff7"/>
        <w:snapToGrid w:val="0"/>
        <w:spacing w:after="0"/>
      </w:pPr>
      <w:r w:rsidRPr="002B55E9">
        <w:rPr>
          <w:rFonts w:hint="eastAsia"/>
        </w:rPr>
        <w:t>1</w:t>
      </w:r>
      <w:r w:rsidRPr="002B55E9">
        <w:rPr>
          <w:rFonts w:hint="eastAsia"/>
        </w:rPr>
        <w:t>）施工期噪声</w:t>
      </w:r>
    </w:p>
    <w:p w14:paraId="62FC3291" w14:textId="77777777" w:rsidR="00D170E5" w:rsidRPr="002B55E9" w:rsidRDefault="00EF27AD">
      <w:pPr>
        <w:pStyle w:val="affff7"/>
        <w:snapToGrid w:val="0"/>
        <w:spacing w:after="0"/>
      </w:pPr>
      <w:r w:rsidRPr="002B55E9">
        <w:t>施工期场界噪声执行《建筑施工场界环境噪声排放标准》（</w:t>
      </w:r>
      <w:r w:rsidRPr="002B55E9">
        <w:t>GB12523-2011</w:t>
      </w:r>
      <w:r w:rsidRPr="002B55E9">
        <w:t>）中相应标准限值，具体见表</w:t>
      </w:r>
      <w:r w:rsidRPr="002B55E9">
        <w:t>1-5-11</w:t>
      </w:r>
      <w:r w:rsidRPr="002B55E9">
        <w:t>。</w:t>
      </w:r>
    </w:p>
    <w:p w14:paraId="002CD18D" w14:textId="77777777" w:rsidR="00D170E5" w:rsidRPr="002B55E9" w:rsidRDefault="00EF27AD">
      <w:pPr>
        <w:spacing w:after="40"/>
        <w:jc w:val="center"/>
        <w:rPr>
          <w:rFonts w:eastAsia="黑体"/>
          <w:b/>
          <w:sz w:val="24"/>
        </w:rPr>
      </w:pPr>
      <w:r w:rsidRPr="002B55E9">
        <w:rPr>
          <w:rFonts w:eastAsia="黑体"/>
          <w:b/>
          <w:sz w:val="24"/>
        </w:rPr>
        <w:t>表</w:t>
      </w:r>
      <w:r w:rsidRPr="002B55E9">
        <w:rPr>
          <w:rFonts w:eastAsia="黑体"/>
          <w:b/>
          <w:sz w:val="24"/>
        </w:rPr>
        <w:t xml:space="preserve">1-5-10  </w:t>
      </w:r>
      <w:r w:rsidRPr="002B55E9">
        <w:rPr>
          <w:rFonts w:eastAsia="黑体"/>
          <w:b/>
          <w:sz w:val="24"/>
        </w:rPr>
        <w:t>建筑施工场界噪声限值表</w:t>
      </w:r>
    </w:p>
    <w:tbl>
      <w:tblPr>
        <w:tblW w:w="9854"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927"/>
        <w:gridCol w:w="4927"/>
      </w:tblGrid>
      <w:tr w:rsidR="002B55E9" w:rsidRPr="002B55E9" w14:paraId="4867B611" w14:textId="77777777">
        <w:trPr>
          <w:cantSplit/>
          <w:trHeight w:val="284"/>
          <w:jc w:val="center"/>
        </w:trPr>
        <w:tc>
          <w:tcPr>
            <w:tcW w:w="4927" w:type="dxa"/>
            <w:tcBorders>
              <w:top w:val="single" w:sz="12" w:space="0" w:color="auto"/>
              <w:bottom w:val="single" w:sz="12" w:space="0" w:color="auto"/>
            </w:tcBorders>
            <w:vAlign w:val="center"/>
          </w:tcPr>
          <w:bookmarkEnd w:id="114"/>
          <w:p w14:paraId="526FBEC7" w14:textId="77777777" w:rsidR="00D170E5" w:rsidRPr="002B55E9" w:rsidRDefault="00EF27AD">
            <w:pPr>
              <w:pStyle w:val="affff6"/>
            </w:pPr>
            <w:r w:rsidRPr="002B55E9">
              <w:t>昼间</w:t>
            </w:r>
          </w:p>
        </w:tc>
        <w:tc>
          <w:tcPr>
            <w:tcW w:w="4927" w:type="dxa"/>
            <w:tcBorders>
              <w:top w:val="single" w:sz="12" w:space="0" w:color="auto"/>
              <w:bottom w:val="single" w:sz="12" w:space="0" w:color="auto"/>
            </w:tcBorders>
            <w:vAlign w:val="center"/>
          </w:tcPr>
          <w:p w14:paraId="23F6A6BF" w14:textId="77777777" w:rsidR="00D170E5" w:rsidRPr="002B55E9" w:rsidRDefault="00EF27AD">
            <w:pPr>
              <w:pStyle w:val="affff6"/>
            </w:pPr>
            <w:r w:rsidRPr="002B55E9">
              <w:t>夜间</w:t>
            </w:r>
          </w:p>
        </w:tc>
      </w:tr>
      <w:tr w:rsidR="002B55E9" w:rsidRPr="002B55E9" w14:paraId="4D63B14D" w14:textId="77777777">
        <w:trPr>
          <w:cantSplit/>
          <w:trHeight w:val="284"/>
          <w:jc w:val="center"/>
        </w:trPr>
        <w:tc>
          <w:tcPr>
            <w:tcW w:w="4927" w:type="dxa"/>
            <w:tcBorders>
              <w:top w:val="single" w:sz="12" w:space="0" w:color="auto"/>
              <w:bottom w:val="single" w:sz="12" w:space="0" w:color="auto"/>
            </w:tcBorders>
            <w:vAlign w:val="center"/>
          </w:tcPr>
          <w:p w14:paraId="4DC08B5B" w14:textId="77777777" w:rsidR="00D170E5" w:rsidRPr="002B55E9" w:rsidRDefault="00EF27AD">
            <w:pPr>
              <w:pStyle w:val="affff6"/>
            </w:pPr>
            <w:r w:rsidRPr="002B55E9">
              <w:t>70</w:t>
            </w:r>
            <w:r w:rsidRPr="002B55E9">
              <w:rPr>
                <w:szCs w:val="18"/>
              </w:rPr>
              <w:t>dB(A)</w:t>
            </w:r>
          </w:p>
        </w:tc>
        <w:tc>
          <w:tcPr>
            <w:tcW w:w="4927" w:type="dxa"/>
            <w:tcBorders>
              <w:top w:val="single" w:sz="12" w:space="0" w:color="auto"/>
              <w:bottom w:val="single" w:sz="12" w:space="0" w:color="auto"/>
            </w:tcBorders>
            <w:vAlign w:val="center"/>
          </w:tcPr>
          <w:p w14:paraId="6EAF1273" w14:textId="77777777" w:rsidR="00D170E5" w:rsidRPr="002B55E9" w:rsidRDefault="00EF27AD">
            <w:pPr>
              <w:pStyle w:val="affff6"/>
            </w:pPr>
            <w:r w:rsidRPr="002B55E9">
              <w:t>55</w:t>
            </w:r>
            <w:r w:rsidRPr="002B55E9">
              <w:rPr>
                <w:szCs w:val="18"/>
              </w:rPr>
              <w:t>dB(A)</w:t>
            </w:r>
          </w:p>
        </w:tc>
      </w:tr>
    </w:tbl>
    <w:p w14:paraId="0495A3A1" w14:textId="77777777" w:rsidR="00D170E5" w:rsidRPr="002B55E9" w:rsidRDefault="00EF27AD">
      <w:pPr>
        <w:pStyle w:val="affff7"/>
        <w:snapToGrid w:val="0"/>
        <w:spacing w:after="0"/>
      </w:pPr>
      <w:r w:rsidRPr="002B55E9">
        <w:t>2</w:t>
      </w:r>
      <w:r w:rsidRPr="002B55E9">
        <w:t>）营运期厂界噪声</w:t>
      </w:r>
    </w:p>
    <w:p w14:paraId="7BB303FE" w14:textId="77777777" w:rsidR="00D170E5" w:rsidRPr="002B55E9" w:rsidRDefault="00EF27AD">
      <w:pPr>
        <w:pStyle w:val="affff7"/>
        <w:snapToGrid w:val="0"/>
        <w:spacing w:after="0"/>
      </w:pPr>
      <w:r w:rsidRPr="002B55E9">
        <w:t>营运期厂界噪声执行《工业企业厂界环境噪声排放标准》</w:t>
      </w:r>
      <w:r w:rsidRPr="002B55E9">
        <w:rPr>
          <w:rFonts w:hint="eastAsia"/>
        </w:rPr>
        <w:t>（</w:t>
      </w:r>
      <w:r w:rsidRPr="002B55E9">
        <w:t>GB12348-2008</w:t>
      </w:r>
      <w:r w:rsidRPr="002B55E9">
        <w:rPr>
          <w:rFonts w:hint="eastAsia"/>
        </w:rPr>
        <w:t>）</w:t>
      </w:r>
      <w:r w:rsidRPr="002B55E9">
        <w:t>2</w:t>
      </w:r>
      <w:r w:rsidRPr="002B55E9">
        <w:rPr>
          <w:rFonts w:hint="eastAsia"/>
        </w:rPr>
        <w:t>、</w:t>
      </w:r>
      <w:r w:rsidRPr="002B55E9">
        <w:rPr>
          <w:rFonts w:hint="eastAsia"/>
        </w:rPr>
        <w:t>4</w:t>
      </w:r>
      <w:r w:rsidRPr="002B55E9">
        <w:rPr>
          <w:rFonts w:hint="eastAsia"/>
        </w:rPr>
        <w:t>类</w:t>
      </w:r>
      <w:r w:rsidRPr="002B55E9">
        <w:t>标准，具体见表</w:t>
      </w:r>
      <w:r w:rsidRPr="002B55E9">
        <w:t>1-5-12</w:t>
      </w:r>
      <w:r w:rsidRPr="002B55E9">
        <w:t>。</w:t>
      </w:r>
    </w:p>
    <w:p w14:paraId="1DAD236F" w14:textId="77777777" w:rsidR="00D170E5" w:rsidRPr="002B55E9" w:rsidRDefault="00EF27AD">
      <w:pPr>
        <w:pStyle w:val="1f3"/>
        <w:spacing w:beforeLines="0" w:before="0"/>
      </w:pPr>
      <w:r w:rsidRPr="002B55E9">
        <w:t>表</w:t>
      </w:r>
      <w:r w:rsidRPr="002B55E9">
        <w:t xml:space="preserve">1-5-11  </w:t>
      </w:r>
      <w:r w:rsidRPr="002B55E9">
        <w:t>工业企业厂界环境噪声排放标准一览表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2"/>
        <w:gridCol w:w="1193"/>
        <w:gridCol w:w="1386"/>
        <w:gridCol w:w="3847"/>
      </w:tblGrid>
      <w:tr w:rsidR="002B55E9" w:rsidRPr="002B55E9" w14:paraId="4E36BDBA" w14:textId="77777777">
        <w:trPr>
          <w:trHeight w:val="284"/>
          <w:jc w:val="center"/>
        </w:trPr>
        <w:tc>
          <w:tcPr>
            <w:tcW w:w="3212" w:type="dxa"/>
            <w:tcBorders>
              <w:top w:val="single" w:sz="12" w:space="0" w:color="auto"/>
              <w:left w:val="nil"/>
              <w:bottom w:val="single" w:sz="12" w:space="0" w:color="auto"/>
              <w:right w:val="single" w:sz="4" w:space="0" w:color="auto"/>
              <w:tl2br w:val="single" w:sz="4" w:space="0" w:color="auto"/>
            </w:tcBorders>
            <w:vAlign w:val="center"/>
          </w:tcPr>
          <w:p w14:paraId="16350C0E" w14:textId="77777777" w:rsidR="00D170E5" w:rsidRPr="002B55E9" w:rsidRDefault="00EF27AD">
            <w:pPr>
              <w:pStyle w:val="affff6"/>
              <w:snapToGrid w:val="0"/>
              <w:jc w:val="right"/>
            </w:pPr>
            <w:r w:rsidRPr="002B55E9">
              <w:t xml:space="preserve">  </w:t>
            </w:r>
            <w:r w:rsidRPr="002B55E9">
              <w:t>执行时段</w:t>
            </w:r>
          </w:p>
          <w:p w14:paraId="0C1C2771" w14:textId="77777777" w:rsidR="00D170E5" w:rsidRPr="002B55E9" w:rsidRDefault="00EF27AD">
            <w:pPr>
              <w:pStyle w:val="affff6"/>
              <w:snapToGrid w:val="0"/>
              <w:jc w:val="both"/>
            </w:pPr>
            <w:r w:rsidRPr="002B55E9">
              <w:t>标准类别</w:t>
            </w:r>
          </w:p>
        </w:tc>
        <w:tc>
          <w:tcPr>
            <w:tcW w:w="1193" w:type="dxa"/>
            <w:tcBorders>
              <w:top w:val="single" w:sz="12" w:space="0" w:color="auto"/>
              <w:left w:val="single" w:sz="4" w:space="0" w:color="auto"/>
              <w:bottom w:val="single" w:sz="12" w:space="0" w:color="auto"/>
              <w:right w:val="single" w:sz="4" w:space="0" w:color="auto"/>
            </w:tcBorders>
            <w:vAlign w:val="center"/>
          </w:tcPr>
          <w:p w14:paraId="2F21CFED" w14:textId="77777777" w:rsidR="00D170E5" w:rsidRPr="002B55E9" w:rsidRDefault="00EF27AD">
            <w:pPr>
              <w:pStyle w:val="affff6"/>
              <w:snapToGrid w:val="0"/>
            </w:pPr>
            <w:r w:rsidRPr="002B55E9">
              <w:t>昼</w:t>
            </w:r>
            <w:r w:rsidRPr="002B55E9">
              <w:t xml:space="preserve">    </w:t>
            </w:r>
            <w:r w:rsidRPr="002B55E9">
              <w:t>间</w:t>
            </w:r>
          </w:p>
        </w:tc>
        <w:tc>
          <w:tcPr>
            <w:tcW w:w="1386" w:type="dxa"/>
            <w:tcBorders>
              <w:top w:val="single" w:sz="12" w:space="0" w:color="auto"/>
              <w:left w:val="single" w:sz="4" w:space="0" w:color="auto"/>
              <w:bottom w:val="single" w:sz="12" w:space="0" w:color="auto"/>
              <w:right w:val="single" w:sz="4" w:space="0" w:color="auto"/>
            </w:tcBorders>
            <w:vAlign w:val="center"/>
          </w:tcPr>
          <w:p w14:paraId="3F328194" w14:textId="77777777" w:rsidR="00D170E5" w:rsidRPr="002B55E9" w:rsidRDefault="00EF27AD">
            <w:pPr>
              <w:pStyle w:val="affff6"/>
              <w:snapToGrid w:val="0"/>
            </w:pPr>
            <w:r w:rsidRPr="002B55E9">
              <w:t>夜</w:t>
            </w:r>
            <w:r w:rsidRPr="002B55E9">
              <w:t xml:space="preserve">    </w:t>
            </w:r>
            <w:r w:rsidRPr="002B55E9">
              <w:t>间</w:t>
            </w:r>
          </w:p>
        </w:tc>
        <w:tc>
          <w:tcPr>
            <w:tcW w:w="3847" w:type="dxa"/>
            <w:tcBorders>
              <w:top w:val="single" w:sz="12" w:space="0" w:color="auto"/>
              <w:left w:val="single" w:sz="4" w:space="0" w:color="auto"/>
              <w:bottom w:val="single" w:sz="12" w:space="0" w:color="auto"/>
              <w:right w:val="nil"/>
            </w:tcBorders>
            <w:vAlign w:val="center"/>
          </w:tcPr>
          <w:p w14:paraId="0FA1D360" w14:textId="77777777" w:rsidR="00D170E5" w:rsidRPr="002B55E9" w:rsidRDefault="00EF27AD">
            <w:pPr>
              <w:pStyle w:val="affff6"/>
              <w:snapToGrid w:val="0"/>
            </w:pPr>
            <w:r w:rsidRPr="002B55E9">
              <w:rPr>
                <w:rFonts w:hint="eastAsia"/>
              </w:rPr>
              <w:t>适用区域</w:t>
            </w:r>
          </w:p>
        </w:tc>
      </w:tr>
      <w:tr w:rsidR="002B55E9" w:rsidRPr="002B55E9" w14:paraId="7042A7DB" w14:textId="77777777">
        <w:trPr>
          <w:trHeight w:val="284"/>
          <w:jc w:val="center"/>
        </w:trPr>
        <w:tc>
          <w:tcPr>
            <w:tcW w:w="3212" w:type="dxa"/>
            <w:tcBorders>
              <w:top w:val="single" w:sz="4" w:space="0" w:color="auto"/>
              <w:left w:val="nil"/>
              <w:bottom w:val="single" w:sz="4" w:space="0" w:color="auto"/>
              <w:right w:val="single" w:sz="4" w:space="0" w:color="auto"/>
            </w:tcBorders>
            <w:vAlign w:val="center"/>
          </w:tcPr>
          <w:p w14:paraId="251956B9" w14:textId="77777777" w:rsidR="00D170E5" w:rsidRPr="002B55E9" w:rsidRDefault="00EF27AD">
            <w:pPr>
              <w:pStyle w:val="affff6"/>
              <w:spacing w:line="0" w:lineRule="atLeast"/>
              <w:rPr>
                <w:szCs w:val="18"/>
              </w:rPr>
            </w:pPr>
            <w:r w:rsidRPr="002B55E9">
              <w:rPr>
                <w:szCs w:val="18"/>
              </w:rPr>
              <w:t>GB12348-2008</w:t>
            </w:r>
            <w:r w:rsidRPr="002B55E9">
              <w:rPr>
                <w:szCs w:val="18"/>
              </w:rPr>
              <w:t>，</w:t>
            </w:r>
            <w:r w:rsidRPr="002B55E9">
              <w:rPr>
                <w:rFonts w:hint="eastAsia"/>
                <w:bCs/>
                <w:szCs w:val="18"/>
              </w:rPr>
              <w:t>4</w:t>
            </w:r>
            <w:r w:rsidRPr="002B55E9">
              <w:rPr>
                <w:bCs/>
                <w:szCs w:val="18"/>
              </w:rPr>
              <w:t>类</w:t>
            </w:r>
          </w:p>
        </w:tc>
        <w:tc>
          <w:tcPr>
            <w:tcW w:w="1193" w:type="dxa"/>
            <w:tcBorders>
              <w:top w:val="single" w:sz="4" w:space="0" w:color="auto"/>
              <w:left w:val="single" w:sz="4" w:space="0" w:color="auto"/>
              <w:bottom w:val="single" w:sz="4" w:space="0" w:color="auto"/>
              <w:right w:val="single" w:sz="4" w:space="0" w:color="auto"/>
            </w:tcBorders>
            <w:vAlign w:val="center"/>
          </w:tcPr>
          <w:p w14:paraId="5820BBFD" w14:textId="77777777" w:rsidR="00D170E5" w:rsidRPr="002B55E9" w:rsidRDefault="00EF27AD">
            <w:pPr>
              <w:pStyle w:val="affff6"/>
              <w:spacing w:line="0" w:lineRule="atLeast"/>
              <w:rPr>
                <w:szCs w:val="18"/>
              </w:rPr>
            </w:pPr>
            <w:r w:rsidRPr="002B55E9">
              <w:rPr>
                <w:rFonts w:hint="eastAsia"/>
                <w:szCs w:val="18"/>
              </w:rPr>
              <w:t>70</w:t>
            </w:r>
            <w:r w:rsidRPr="002B55E9">
              <w:rPr>
                <w:szCs w:val="18"/>
              </w:rPr>
              <w:t>dB(A)</w:t>
            </w:r>
          </w:p>
        </w:tc>
        <w:tc>
          <w:tcPr>
            <w:tcW w:w="1386" w:type="dxa"/>
            <w:tcBorders>
              <w:top w:val="single" w:sz="4" w:space="0" w:color="auto"/>
              <w:left w:val="single" w:sz="4" w:space="0" w:color="auto"/>
              <w:bottom w:val="single" w:sz="4" w:space="0" w:color="auto"/>
              <w:right w:val="single" w:sz="4" w:space="0" w:color="auto"/>
            </w:tcBorders>
            <w:vAlign w:val="center"/>
          </w:tcPr>
          <w:p w14:paraId="7AD8CF5E" w14:textId="77777777" w:rsidR="00D170E5" w:rsidRPr="002B55E9" w:rsidRDefault="00EF27AD">
            <w:pPr>
              <w:pStyle w:val="affff6"/>
              <w:spacing w:line="0" w:lineRule="atLeast"/>
              <w:rPr>
                <w:szCs w:val="18"/>
              </w:rPr>
            </w:pPr>
            <w:r w:rsidRPr="002B55E9">
              <w:rPr>
                <w:szCs w:val="18"/>
              </w:rPr>
              <w:t>5</w:t>
            </w:r>
            <w:r w:rsidRPr="002B55E9">
              <w:rPr>
                <w:rFonts w:hint="eastAsia"/>
                <w:szCs w:val="18"/>
              </w:rPr>
              <w:t>5</w:t>
            </w:r>
            <w:r w:rsidRPr="002B55E9">
              <w:rPr>
                <w:szCs w:val="18"/>
              </w:rPr>
              <w:t>dB(A)</w:t>
            </w:r>
          </w:p>
        </w:tc>
        <w:tc>
          <w:tcPr>
            <w:tcW w:w="3847" w:type="dxa"/>
            <w:tcBorders>
              <w:top w:val="single" w:sz="4" w:space="0" w:color="auto"/>
              <w:left w:val="single" w:sz="4" w:space="0" w:color="auto"/>
              <w:bottom w:val="single" w:sz="4" w:space="0" w:color="auto"/>
              <w:right w:val="nil"/>
            </w:tcBorders>
            <w:vAlign w:val="center"/>
          </w:tcPr>
          <w:p w14:paraId="6A985004" w14:textId="77777777" w:rsidR="00D170E5" w:rsidRPr="002B55E9" w:rsidRDefault="00EF27AD">
            <w:pPr>
              <w:pStyle w:val="affff6"/>
              <w:spacing w:line="0" w:lineRule="atLeast"/>
            </w:pPr>
            <w:r w:rsidRPr="002B55E9">
              <w:rPr>
                <w:rFonts w:hint="eastAsia"/>
              </w:rPr>
              <w:t>东侧厂界</w:t>
            </w:r>
          </w:p>
        </w:tc>
      </w:tr>
      <w:tr w:rsidR="002B55E9" w:rsidRPr="002B55E9" w14:paraId="74DCC030" w14:textId="77777777">
        <w:trPr>
          <w:trHeight w:val="284"/>
          <w:jc w:val="center"/>
        </w:trPr>
        <w:tc>
          <w:tcPr>
            <w:tcW w:w="3212" w:type="dxa"/>
            <w:tcBorders>
              <w:top w:val="single" w:sz="4" w:space="0" w:color="auto"/>
              <w:left w:val="nil"/>
              <w:bottom w:val="single" w:sz="12" w:space="0" w:color="auto"/>
              <w:right w:val="single" w:sz="4" w:space="0" w:color="auto"/>
            </w:tcBorders>
            <w:vAlign w:val="center"/>
          </w:tcPr>
          <w:p w14:paraId="482E66CF" w14:textId="77777777" w:rsidR="00D170E5" w:rsidRPr="002B55E9" w:rsidRDefault="00EF27AD">
            <w:pPr>
              <w:pStyle w:val="affff6"/>
              <w:spacing w:line="0" w:lineRule="atLeast"/>
              <w:rPr>
                <w:szCs w:val="18"/>
              </w:rPr>
            </w:pPr>
            <w:r w:rsidRPr="002B55E9">
              <w:rPr>
                <w:szCs w:val="18"/>
              </w:rPr>
              <w:t>GB12348-2008</w:t>
            </w:r>
            <w:r w:rsidRPr="002B55E9">
              <w:rPr>
                <w:szCs w:val="18"/>
              </w:rPr>
              <w:t>，</w:t>
            </w:r>
            <w:r w:rsidRPr="002B55E9">
              <w:rPr>
                <w:bCs/>
                <w:szCs w:val="18"/>
              </w:rPr>
              <w:t>2</w:t>
            </w:r>
            <w:r w:rsidRPr="002B55E9">
              <w:rPr>
                <w:bCs/>
                <w:szCs w:val="18"/>
              </w:rPr>
              <w:t>类</w:t>
            </w:r>
          </w:p>
        </w:tc>
        <w:tc>
          <w:tcPr>
            <w:tcW w:w="1193" w:type="dxa"/>
            <w:tcBorders>
              <w:top w:val="single" w:sz="4" w:space="0" w:color="auto"/>
              <w:left w:val="single" w:sz="4" w:space="0" w:color="auto"/>
              <w:bottom w:val="single" w:sz="12" w:space="0" w:color="auto"/>
              <w:right w:val="single" w:sz="4" w:space="0" w:color="auto"/>
            </w:tcBorders>
            <w:vAlign w:val="center"/>
          </w:tcPr>
          <w:p w14:paraId="372ADC8E" w14:textId="77777777" w:rsidR="00D170E5" w:rsidRPr="002B55E9" w:rsidRDefault="00EF27AD">
            <w:pPr>
              <w:pStyle w:val="affff6"/>
              <w:spacing w:line="0" w:lineRule="atLeast"/>
              <w:rPr>
                <w:szCs w:val="18"/>
              </w:rPr>
            </w:pPr>
            <w:r w:rsidRPr="002B55E9">
              <w:rPr>
                <w:szCs w:val="18"/>
              </w:rPr>
              <w:t>60dB(A)</w:t>
            </w:r>
          </w:p>
        </w:tc>
        <w:tc>
          <w:tcPr>
            <w:tcW w:w="1386" w:type="dxa"/>
            <w:tcBorders>
              <w:top w:val="single" w:sz="4" w:space="0" w:color="auto"/>
              <w:left w:val="single" w:sz="4" w:space="0" w:color="auto"/>
              <w:bottom w:val="single" w:sz="12" w:space="0" w:color="auto"/>
              <w:right w:val="single" w:sz="4" w:space="0" w:color="auto"/>
            </w:tcBorders>
            <w:vAlign w:val="center"/>
          </w:tcPr>
          <w:p w14:paraId="025C06C3" w14:textId="77777777" w:rsidR="00D170E5" w:rsidRPr="002B55E9" w:rsidRDefault="00EF27AD">
            <w:pPr>
              <w:pStyle w:val="affff6"/>
              <w:spacing w:line="0" w:lineRule="atLeast"/>
              <w:rPr>
                <w:szCs w:val="18"/>
              </w:rPr>
            </w:pPr>
            <w:r w:rsidRPr="002B55E9">
              <w:rPr>
                <w:szCs w:val="18"/>
              </w:rPr>
              <w:t>50dB(A)</w:t>
            </w:r>
          </w:p>
        </w:tc>
        <w:tc>
          <w:tcPr>
            <w:tcW w:w="3847" w:type="dxa"/>
            <w:tcBorders>
              <w:top w:val="single" w:sz="4" w:space="0" w:color="auto"/>
              <w:left w:val="single" w:sz="4" w:space="0" w:color="auto"/>
              <w:bottom w:val="single" w:sz="12" w:space="0" w:color="auto"/>
              <w:right w:val="nil"/>
            </w:tcBorders>
            <w:vAlign w:val="center"/>
          </w:tcPr>
          <w:p w14:paraId="1F7C0BC8" w14:textId="77777777" w:rsidR="00D170E5" w:rsidRPr="002B55E9" w:rsidRDefault="00EF27AD">
            <w:pPr>
              <w:pStyle w:val="affff6"/>
              <w:spacing w:line="0" w:lineRule="atLeast"/>
            </w:pPr>
            <w:r w:rsidRPr="002B55E9">
              <w:rPr>
                <w:rFonts w:hint="eastAsia"/>
              </w:rPr>
              <w:t>南、西、北侧厂界</w:t>
            </w:r>
          </w:p>
        </w:tc>
      </w:tr>
    </w:tbl>
    <w:p w14:paraId="53C5DBAF" w14:textId="77777777" w:rsidR="00D170E5" w:rsidRPr="002B55E9" w:rsidRDefault="00EF27AD">
      <w:pPr>
        <w:pStyle w:val="3"/>
      </w:pPr>
      <w:bookmarkStart w:id="115" w:name="_Toc119308974"/>
      <w:r w:rsidRPr="002B55E9">
        <w:t>环境影响识别</w:t>
      </w:r>
      <w:bookmarkEnd w:id="108"/>
      <w:bookmarkEnd w:id="109"/>
      <w:bookmarkEnd w:id="110"/>
      <w:bookmarkEnd w:id="115"/>
    </w:p>
    <w:p w14:paraId="6889B84A" w14:textId="77777777" w:rsidR="00D170E5" w:rsidRPr="002B55E9" w:rsidRDefault="00EF27AD">
      <w:pPr>
        <w:pStyle w:val="4"/>
        <w:rPr>
          <w:color w:val="auto"/>
        </w:rPr>
      </w:pPr>
      <w:bookmarkStart w:id="116" w:name="_Toc169616178"/>
      <w:bookmarkStart w:id="117" w:name="_Toc169616182"/>
      <w:bookmarkStart w:id="118" w:name="_Toc121711624"/>
      <w:bookmarkStart w:id="119" w:name="_Toc124238085"/>
      <w:r w:rsidRPr="002B55E9">
        <w:rPr>
          <w:color w:val="auto"/>
        </w:rPr>
        <w:t>环境影响识别原则</w:t>
      </w:r>
      <w:bookmarkEnd w:id="116"/>
    </w:p>
    <w:p w14:paraId="066FE86C" w14:textId="77777777" w:rsidR="00D170E5" w:rsidRPr="002B55E9" w:rsidRDefault="00EF27AD">
      <w:pPr>
        <w:pStyle w:val="affff7"/>
      </w:pPr>
      <w:r w:rsidRPr="002B55E9">
        <w:t>综合考虑项目的性质、工程特点、实施阶段（施工期、运营期）及其所处区域的环境特征，识别出可能对自然环境产生影响的因子，并确定其影响性质时间、范围和影响程度等，为筛选评价因子及确定评价重点提供依据。</w:t>
      </w:r>
    </w:p>
    <w:p w14:paraId="0E341C2D" w14:textId="77777777" w:rsidR="00D170E5" w:rsidRPr="002B55E9" w:rsidRDefault="00EF27AD">
      <w:pPr>
        <w:pStyle w:val="4"/>
        <w:rPr>
          <w:color w:val="auto"/>
        </w:rPr>
      </w:pPr>
      <w:bookmarkStart w:id="120" w:name="_Toc169616179"/>
      <w:r w:rsidRPr="002B55E9">
        <w:rPr>
          <w:color w:val="auto"/>
        </w:rPr>
        <w:t>环境影响识别</w:t>
      </w:r>
      <w:bookmarkEnd w:id="120"/>
    </w:p>
    <w:p w14:paraId="0029B2E2" w14:textId="77777777" w:rsidR="00D170E5" w:rsidRPr="002B55E9" w:rsidRDefault="00EF27AD">
      <w:pPr>
        <w:pStyle w:val="affff7"/>
        <w:snapToGrid w:val="0"/>
        <w:spacing w:after="0"/>
      </w:pPr>
      <w:r w:rsidRPr="002B55E9">
        <w:t>采用矩阵识别法对拟建项目在建设期和运营期产生的环境影响因素进行识别，识别结果见表</w:t>
      </w:r>
      <w:r w:rsidRPr="002B55E9">
        <w:t>1-6-1</w:t>
      </w:r>
      <w:r w:rsidRPr="002B55E9">
        <w:t>。</w:t>
      </w:r>
    </w:p>
    <w:p w14:paraId="35625AD1" w14:textId="77777777" w:rsidR="00D170E5" w:rsidRPr="002B55E9" w:rsidRDefault="00EF27AD">
      <w:pPr>
        <w:pStyle w:val="1f3"/>
        <w:spacing w:beforeLines="0" w:before="0"/>
      </w:pPr>
      <w:r w:rsidRPr="002B55E9">
        <w:lastRenderedPageBreak/>
        <w:t>表</w:t>
      </w:r>
      <w:r w:rsidRPr="002B55E9">
        <w:t xml:space="preserve">1-6-1  </w:t>
      </w:r>
      <w:r w:rsidRPr="002B55E9">
        <w:t>建设项目环境影响因素识别矩阵一览表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10"/>
        <w:gridCol w:w="1140"/>
        <w:gridCol w:w="1336"/>
        <w:gridCol w:w="914"/>
        <w:gridCol w:w="1130"/>
        <w:gridCol w:w="1128"/>
        <w:gridCol w:w="1130"/>
        <w:gridCol w:w="1130"/>
        <w:gridCol w:w="1120"/>
      </w:tblGrid>
      <w:tr w:rsidR="002B55E9" w:rsidRPr="002B55E9" w14:paraId="41511BCB" w14:textId="77777777">
        <w:trPr>
          <w:trHeight w:val="284"/>
          <w:jc w:val="center"/>
        </w:trPr>
        <w:tc>
          <w:tcPr>
            <w:tcW w:w="1750" w:type="dxa"/>
            <w:gridSpan w:val="2"/>
            <w:tcBorders>
              <w:top w:val="single" w:sz="12" w:space="0" w:color="auto"/>
              <w:bottom w:val="single" w:sz="12" w:space="0" w:color="auto"/>
            </w:tcBorders>
            <w:vAlign w:val="center"/>
          </w:tcPr>
          <w:p w14:paraId="1942E110" w14:textId="77777777" w:rsidR="00D170E5" w:rsidRPr="002B55E9" w:rsidRDefault="00EF27AD">
            <w:pPr>
              <w:pStyle w:val="affff6"/>
              <w:adjustRightInd w:val="0"/>
            </w:pPr>
            <w:r w:rsidRPr="002B55E9">
              <w:t>时</w:t>
            </w:r>
            <w:r w:rsidRPr="002B55E9">
              <w:t xml:space="preserve">  </w:t>
            </w:r>
            <w:r w:rsidRPr="002B55E9">
              <w:t>段</w:t>
            </w:r>
          </w:p>
        </w:tc>
        <w:tc>
          <w:tcPr>
            <w:tcW w:w="1336" w:type="dxa"/>
            <w:tcBorders>
              <w:top w:val="single" w:sz="12" w:space="0" w:color="auto"/>
              <w:bottom w:val="single" w:sz="12" w:space="0" w:color="auto"/>
            </w:tcBorders>
            <w:vAlign w:val="center"/>
          </w:tcPr>
          <w:p w14:paraId="35C0F430" w14:textId="77777777" w:rsidR="00D170E5" w:rsidRPr="002B55E9" w:rsidRDefault="00EF27AD">
            <w:pPr>
              <w:pStyle w:val="affff6"/>
              <w:adjustRightInd w:val="0"/>
            </w:pPr>
            <w:r w:rsidRPr="002B55E9">
              <w:t>评价因子</w:t>
            </w:r>
          </w:p>
        </w:tc>
        <w:tc>
          <w:tcPr>
            <w:tcW w:w="914" w:type="dxa"/>
            <w:tcBorders>
              <w:top w:val="single" w:sz="12" w:space="0" w:color="auto"/>
              <w:bottom w:val="single" w:sz="12" w:space="0" w:color="auto"/>
            </w:tcBorders>
            <w:vAlign w:val="center"/>
          </w:tcPr>
          <w:p w14:paraId="466492F4" w14:textId="77777777" w:rsidR="00D170E5" w:rsidRPr="002B55E9" w:rsidRDefault="00EF27AD">
            <w:pPr>
              <w:pStyle w:val="affff6"/>
              <w:adjustRightInd w:val="0"/>
            </w:pPr>
            <w:r w:rsidRPr="002B55E9">
              <w:t>性质</w:t>
            </w:r>
          </w:p>
        </w:tc>
        <w:tc>
          <w:tcPr>
            <w:tcW w:w="1130" w:type="dxa"/>
            <w:tcBorders>
              <w:top w:val="single" w:sz="12" w:space="0" w:color="auto"/>
              <w:bottom w:val="single" w:sz="12" w:space="0" w:color="auto"/>
            </w:tcBorders>
            <w:vAlign w:val="center"/>
          </w:tcPr>
          <w:p w14:paraId="1B66795A" w14:textId="77777777" w:rsidR="00D170E5" w:rsidRPr="002B55E9" w:rsidRDefault="00EF27AD">
            <w:pPr>
              <w:pStyle w:val="affff6"/>
              <w:adjustRightInd w:val="0"/>
            </w:pPr>
            <w:r w:rsidRPr="002B55E9">
              <w:t>程度</w:t>
            </w:r>
          </w:p>
        </w:tc>
        <w:tc>
          <w:tcPr>
            <w:tcW w:w="1128" w:type="dxa"/>
            <w:tcBorders>
              <w:top w:val="single" w:sz="12" w:space="0" w:color="auto"/>
              <w:bottom w:val="single" w:sz="12" w:space="0" w:color="auto"/>
            </w:tcBorders>
            <w:vAlign w:val="center"/>
          </w:tcPr>
          <w:p w14:paraId="454A3BF3" w14:textId="77777777" w:rsidR="00D170E5" w:rsidRPr="002B55E9" w:rsidRDefault="00EF27AD">
            <w:pPr>
              <w:pStyle w:val="affff6"/>
              <w:adjustRightInd w:val="0"/>
            </w:pPr>
            <w:r w:rsidRPr="002B55E9">
              <w:t>时间</w:t>
            </w:r>
          </w:p>
        </w:tc>
        <w:tc>
          <w:tcPr>
            <w:tcW w:w="1130" w:type="dxa"/>
            <w:tcBorders>
              <w:top w:val="single" w:sz="12" w:space="0" w:color="auto"/>
              <w:bottom w:val="single" w:sz="12" w:space="0" w:color="auto"/>
            </w:tcBorders>
            <w:vAlign w:val="center"/>
          </w:tcPr>
          <w:p w14:paraId="4BEAB357" w14:textId="77777777" w:rsidR="00D170E5" w:rsidRPr="002B55E9" w:rsidRDefault="00EF27AD">
            <w:pPr>
              <w:pStyle w:val="affff6"/>
              <w:adjustRightInd w:val="0"/>
            </w:pPr>
            <w:r w:rsidRPr="002B55E9">
              <w:t>可能性</w:t>
            </w:r>
          </w:p>
        </w:tc>
        <w:tc>
          <w:tcPr>
            <w:tcW w:w="1130" w:type="dxa"/>
            <w:tcBorders>
              <w:top w:val="single" w:sz="12" w:space="0" w:color="auto"/>
              <w:bottom w:val="single" w:sz="12" w:space="0" w:color="auto"/>
            </w:tcBorders>
            <w:vAlign w:val="center"/>
          </w:tcPr>
          <w:p w14:paraId="05EEF730" w14:textId="77777777" w:rsidR="00D170E5" w:rsidRPr="002B55E9" w:rsidRDefault="00EF27AD">
            <w:pPr>
              <w:pStyle w:val="affff6"/>
              <w:adjustRightInd w:val="0"/>
            </w:pPr>
            <w:r w:rsidRPr="002B55E9">
              <w:t>范围</w:t>
            </w:r>
          </w:p>
        </w:tc>
        <w:tc>
          <w:tcPr>
            <w:tcW w:w="1120" w:type="dxa"/>
            <w:tcBorders>
              <w:top w:val="single" w:sz="12" w:space="0" w:color="auto"/>
              <w:bottom w:val="single" w:sz="12" w:space="0" w:color="auto"/>
            </w:tcBorders>
            <w:vAlign w:val="center"/>
          </w:tcPr>
          <w:p w14:paraId="3B8D931A" w14:textId="77777777" w:rsidR="00D170E5" w:rsidRPr="002B55E9" w:rsidRDefault="00EF27AD">
            <w:pPr>
              <w:pStyle w:val="affff6"/>
              <w:adjustRightInd w:val="0"/>
              <w:rPr>
                <w:szCs w:val="24"/>
              </w:rPr>
            </w:pPr>
            <w:r w:rsidRPr="002B55E9">
              <w:rPr>
                <w:szCs w:val="24"/>
              </w:rPr>
              <w:t>可逆性</w:t>
            </w:r>
          </w:p>
        </w:tc>
      </w:tr>
      <w:tr w:rsidR="002B55E9" w:rsidRPr="002B55E9" w14:paraId="351E7017" w14:textId="77777777">
        <w:trPr>
          <w:trHeight w:val="284"/>
          <w:tblHeader/>
          <w:jc w:val="center"/>
        </w:trPr>
        <w:tc>
          <w:tcPr>
            <w:tcW w:w="610" w:type="dxa"/>
            <w:vMerge w:val="restart"/>
            <w:tcBorders>
              <w:top w:val="single" w:sz="12" w:space="0" w:color="auto"/>
            </w:tcBorders>
            <w:vAlign w:val="center"/>
          </w:tcPr>
          <w:p w14:paraId="5FA4224C" w14:textId="77777777" w:rsidR="00D170E5" w:rsidRPr="002B55E9" w:rsidRDefault="00EF27AD">
            <w:pPr>
              <w:pStyle w:val="affff6"/>
              <w:adjustRightInd w:val="0"/>
            </w:pPr>
            <w:r w:rsidRPr="002B55E9">
              <w:t>施</w:t>
            </w:r>
          </w:p>
          <w:p w14:paraId="36C49880" w14:textId="77777777" w:rsidR="00D170E5" w:rsidRPr="002B55E9" w:rsidRDefault="00EF27AD">
            <w:pPr>
              <w:pStyle w:val="affff6"/>
              <w:adjustRightInd w:val="0"/>
            </w:pPr>
            <w:r w:rsidRPr="002B55E9">
              <w:t>工</w:t>
            </w:r>
          </w:p>
          <w:p w14:paraId="2F1B26A4" w14:textId="77777777" w:rsidR="00D170E5" w:rsidRPr="002B55E9" w:rsidRDefault="00EF27AD">
            <w:pPr>
              <w:pStyle w:val="affff6"/>
              <w:adjustRightInd w:val="0"/>
            </w:pPr>
            <w:r w:rsidRPr="002B55E9">
              <w:t>期</w:t>
            </w:r>
          </w:p>
        </w:tc>
        <w:tc>
          <w:tcPr>
            <w:tcW w:w="1140" w:type="dxa"/>
            <w:vMerge w:val="restart"/>
            <w:tcBorders>
              <w:top w:val="single" w:sz="12" w:space="0" w:color="auto"/>
            </w:tcBorders>
            <w:vAlign w:val="center"/>
          </w:tcPr>
          <w:p w14:paraId="3FA627A3" w14:textId="77777777" w:rsidR="00D170E5" w:rsidRPr="002B55E9" w:rsidRDefault="00EF27AD">
            <w:pPr>
              <w:pStyle w:val="affff6"/>
              <w:adjustRightInd w:val="0"/>
            </w:pPr>
            <w:r w:rsidRPr="002B55E9">
              <w:rPr>
                <w:rFonts w:hint="eastAsia"/>
              </w:rPr>
              <w:t>场地施工</w:t>
            </w:r>
          </w:p>
        </w:tc>
        <w:tc>
          <w:tcPr>
            <w:tcW w:w="1336" w:type="dxa"/>
            <w:tcBorders>
              <w:top w:val="single" w:sz="12" w:space="0" w:color="auto"/>
              <w:bottom w:val="single" w:sz="4" w:space="0" w:color="auto"/>
            </w:tcBorders>
            <w:vAlign w:val="center"/>
          </w:tcPr>
          <w:p w14:paraId="644B6BAF" w14:textId="77777777" w:rsidR="00D170E5" w:rsidRPr="002B55E9" w:rsidRDefault="00EF27AD">
            <w:pPr>
              <w:pStyle w:val="affff6"/>
              <w:adjustRightInd w:val="0"/>
            </w:pPr>
            <w:r w:rsidRPr="002B55E9">
              <w:t>地表水</w:t>
            </w:r>
          </w:p>
        </w:tc>
        <w:tc>
          <w:tcPr>
            <w:tcW w:w="914" w:type="dxa"/>
            <w:tcBorders>
              <w:top w:val="single" w:sz="12" w:space="0" w:color="auto"/>
              <w:bottom w:val="single" w:sz="4" w:space="0" w:color="auto"/>
            </w:tcBorders>
            <w:vAlign w:val="center"/>
          </w:tcPr>
          <w:p w14:paraId="3C6EFFC0" w14:textId="77777777" w:rsidR="00D170E5" w:rsidRPr="002B55E9" w:rsidRDefault="00EF27AD">
            <w:pPr>
              <w:pStyle w:val="affff6"/>
              <w:adjustRightInd w:val="0"/>
            </w:pPr>
            <w:r w:rsidRPr="002B55E9">
              <w:t>－</w:t>
            </w:r>
          </w:p>
        </w:tc>
        <w:tc>
          <w:tcPr>
            <w:tcW w:w="1130" w:type="dxa"/>
            <w:tcBorders>
              <w:top w:val="single" w:sz="12" w:space="0" w:color="auto"/>
              <w:bottom w:val="single" w:sz="4" w:space="0" w:color="auto"/>
            </w:tcBorders>
            <w:vAlign w:val="center"/>
          </w:tcPr>
          <w:p w14:paraId="0956472A" w14:textId="77777777" w:rsidR="00D170E5" w:rsidRPr="002B55E9" w:rsidRDefault="00EF27AD">
            <w:pPr>
              <w:pStyle w:val="affff6"/>
              <w:adjustRightInd w:val="0"/>
            </w:pPr>
            <w:r w:rsidRPr="002B55E9">
              <w:t>较小</w:t>
            </w:r>
          </w:p>
        </w:tc>
        <w:tc>
          <w:tcPr>
            <w:tcW w:w="1128" w:type="dxa"/>
            <w:tcBorders>
              <w:top w:val="single" w:sz="12" w:space="0" w:color="auto"/>
              <w:bottom w:val="single" w:sz="4" w:space="0" w:color="auto"/>
            </w:tcBorders>
            <w:vAlign w:val="center"/>
          </w:tcPr>
          <w:p w14:paraId="4DF4C4A3" w14:textId="77777777" w:rsidR="00D170E5" w:rsidRPr="002B55E9" w:rsidRDefault="00EF27AD">
            <w:pPr>
              <w:pStyle w:val="affff6"/>
              <w:adjustRightInd w:val="0"/>
            </w:pPr>
            <w:r w:rsidRPr="002B55E9">
              <w:t>短</w:t>
            </w:r>
          </w:p>
        </w:tc>
        <w:tc>
          <w:tcPr>
            <w:tcW w:w="1130" w:type="dxa"/>
            <w:tcBorders>
              <w:top w:val="single" w:sz="12" w:space="0" w:color="auto"/>
              <w:bottom w:val="single" w:sz="4" w:space="0" w:color="auto"/>
            </w:tcBorders>
            <w:vAlign w:val="center"/>
          </w:tcPr>
          <w:p w14:paraId="42288BC3" w14:textId="77777777" w:rsidR="00D170E5" w:rsidRPr="002B55E9" w:rsidRDefault="00EF27AD">
            <w:pPr>
              <w:pStyle w:val="affff6"/>
              <w:adjustRightInd w:val="0"/>
            </w:pPr>
            <w:r w:rsidRPr="002B55E9">
              <w:t>较小</w:t>
            </w:r>
          </w:p>
        </w:tc>
        <w:tc>
          <w:tcPr>
            <w:tcW w:w="1130" w:type="dxa"/>
            <w:tcBorders>
              <w:top w:val="single" w:sz="12" w:space="0" w:color="auto"/>
              <w:bottom w:val="single" w:sz="4" w:space="0" w:color="auto"/>
            </w:tcBorders>
            <w:vAlign w:val="center"/>
          </w:tcPr>
          <w:p w14:paraId="28869CEB" w14:textId="77777777" w:rsidR="00D170E5" w:rsidRPr="002B55E9" w:rsidRDefault="00EF27AD">
            <w:pPr>
              <w:pStyle w:val="affff6"/>
              <w:adjustRightInd w:val="0"/>
            </w:pPr>
            <w:r w:rsidRPr="002B55E9">
              <w:t>局部</w:t>
            </w:r>
          </w:p>
        </w:tc>
        <w:tc>
          <w:tcPr>
            <w:tcW w:w="1120" w:type="dxa"/>
            <w:tcBorders>
              <w:top w:val="single" w:sz="12" w:space="0" w:color="auto"/>
              <w:bottom w:val="single" w:sz="4" w:space="0" w:color="auto"/>
            </w:tcBorders>
            <w:vAlign w:val="center"/>
          </w:tcPr>
          <w:p w14:paraId="4F3EBE7C" w14:textId="77777777" w:rsidR="00D170E5" w:rsidRPr="002B55E9" w:rsidRDefault="00EF27AD">
            <w:pPr>
              <w:pStyle w:val="affff6"/>
              <w:adjustRightInd w:val="0"/>
              <w:rPr>
                <w:szCs w:val="24"/>
              </w:rPr>
            </w:pPr>
            <w:r w:rsidRPr="002B55E9">
              <w:t>可</w:t>
            </w:r>
          </w:p>
        </w:tc>
      </w:tr>
      <w:tr w:rsidR="002B55E9" w:rsidRPr="002B55E9" w14:paraId="1C43CCA0" w14:textId="77777777">
        <w:trPr>
          <w:trHeight w:val="284"/>
          <w:tblHeader/>
          <w:jc w:val="center"/>
        </w:trPr>
        <w:tc>
          <w:tcPr>
            <w:tcW w:w="610" w:type="dxa"/>
            <w:vMerge/>
            <w:vAlign w:val="center"/>
          </w:tcPr>
          <w:p w14:paraId="6BBF0269" w14:textId="77777777" w:rsidR="00D170E5" w:rsidRPr="002B55E9" w:rsidRDefault="00D170E5">
            <w:pPr>
              <w:pStyle w:val="affff6"/>
              <w:adjustRightInd w:val="0"/>
            </w:pPr>
          </w:p>
        </w:tc>
        <w:tc>
          <w:tcPr>
            <w:tcW w:w="1140" w:type="dxa"/>
            <w:vMerge/>
            <w:vAlign w:val="center"/>
          </w:tcPr>
          <w:p w14:paraId="19CC711B" w14:textId="77777777" w:rsidR="00D170E5" w:rsidRPr="002B55E9" w:rsidRDefault="00D170E5">
            <w:pPr>
              <w:pStyle w:val="affff6"/>
              <w:adjustRightInd w:val="0"/>
            </w:pPr>
          </w:p>
        </w:tc>
        <w:tc>
          <w:tcPr>
            <w:tcW w:w="1336" w:type="dxa"/>
            <w:tcBorders>
              <w:top w:val="single" w:sz="4" w:space="0" w:color="auto"/>
              <w:bottom w:val="single" w:sz="4" w:space="0" w:color="auto"/>
            </w:tcBorders>
            <w:vAlign w:val="center"/>
          </w:tcPr>
          <w:p w14:paraId="531BCF21" w14:textId="77777777" w:rsidR="00D170E5" w:rsidRPr="002B55E9" w:rsidRDefault="00EF27AD">
            <w:pPr>
              <w:pStyle w:val="affff6"/>
              <w:adjustRightInd w:val="0"/>
            </w:pPr>
            <w:r w:rsidRPr="002B55E9">
              <w:t>环境空气</w:t>
            </w:r>
          </w:p>
        </w:tc>
        <w:tc>
          <w:tcPr>
            <w:tcW w:w="914" w:type="dxa"/>
            <w:tcBorders>
              <w:top w:val="single" w:sz="4" w:space="0" w:color="auto"/>
              <w:bottom w:val="single" w:sz="4" w:space="0" w:color="auto"/>
            </w:tcBorders>
            <w:vAlign w:val="center"/>
          </w:tcPr>
          <w:p w14:paraId="6CE61946" w14:textId="77777777" w:rsidR="00D170E5" w:rsidRPr="002B55E9" w:rsidRDefault="00EF27AD">
            <w:pPr>
              <w:pStyle w:val="affff6"/>
              <w:adjustRightInd w:val="0"/>
            </w:pPr>
            <w:r w:rsidRPr="002B55E9">
              <w:t>－</w:t>
            </w:r>
          </w:p>
        </w:tc>
        <w:tc>
          <w:tcPr>
            <w:tcW w:w="1130" w:type="dxa"/>
            <w:tcBorders>
              <w:top w:val="single" w:sz="4" w:space="0" w:color="auto"/>
              <w:bottom w:val="single" w:sz="4" w:space="0" w:color="auto"/>
            </w:tcBorders>
            <w:vAlign w:val="center"/>
          </w:tcPr>
          <w:p w14:paraId="52648F09" w14:textId="77777777" w:rsidR="00D170E5" w:rsidRPr="002B55E9" w:rsidRDefault="00EF27AD">
            <w:pPr>
              <w:pStyle w:val="affff6"/>
              <w:adjustRightInd w:val="0"/>
            </w:pPr>
            <w:r w:rsidRPr="002B55E9">
              <w:t>较大</w:t>
            </w:r>
          </w:p>
        </w:tc>
        <w:tc>
          <w:tcPr>
            <w:tcW w:w="1128" w:type="dxa"/>
            <w:tcBorders>
              <w:top w:val="single" w:sz="4" w:space="0" w:color="auto"/>
              <w:bottom w:val="single" w:sz="4" w:space="0" w:color="auto"/>
            </w:tcBorders>
            <w:vAlign w:val="center"/>
          </w:tcPr>
          <w:p w14:paraId="76D028CE" w14:textId="77777777" w:rsidR="00D170E5" w:rsidRPr="002B55E9" w:rsidRDefault="00EF27AD">
            <w:pPr>
              <w:pStyle w:val="affff6"/>
              <w:adjustRightInd w:val="0"/>
            </w:pPr>
            <w:r w:rsidRPr="002B55E9">
              <w:t>短</w:t>
            </w:r>
          </w:p>
        </w:tc>
        <w:tc>
          <w:tcPr>
            <w:tcW w:w="1130" w:type="dxa"/>
            <w:tcBorders>
              <w:top w:val="single" w:sz="4" w:space="0" w:color="auto"/>
              <w:bottom w:val="single" w:sz="4" w:space="0" w:color="auto"/>
            </w:tcBorders>
            <w:vAlign w:val="center"/>
          </w:tcPr>
          <w:p w14:paraId="2ABA4D31" w14:textId="77777777" w:rsidR="00D170E5" w:rsidRPr="002B55E9" w:rsidRDefault="00EF27AD">
            <w:pPr>
              <w:pStyle w:val="affff6"/>
              <w:adjustRightInd w:val="0"/>
            </w:pPr>
            <w:r w:rsidRPr="002B55E9">
              <w:t>较大</w:t>
            </w:r>
          </w:p>
        </w:tc>
        <w:tc>
          <w:tcPr>
            <w:tcW w:w="1130" w:type="dxa"/>
            <w:tcBorders>
              <w:top w:val="single" w:sz="4" w:space="0" w:color="auto"/>
              <w:bottom w:val="single" w:sz="4" w:space="0" w:color="auto"/>
            </w:tcBorders>
            <w:vAlign w:val="center"/>
          </w:tcPr>
          <w:p w14:paraId="48300912" w14:textId="77777777" w:rsidR="00D170E5" w:rsidRPr="002B55E9" w:rsidRDefault="00EF27AD">
            <w:pPr>
              <w:pStyle w:val="affff6"/>
              <w:adjustRightInd w:val="0"/>
            </w:pPr>
            <w:r w:rsidRPr="002B55E9">
              <w:t>局部</w:t>
            </w:r>
          </w:p>
        </w:tc>
        <w:tc>
          <w:tcPr>
            <w:tcW w:w="1120" w:type="dxa"/>
            <w:tcBorders>
              <w:top w:val="single" w:sz="4" w:space="0" w:color="auto"/>
              <w:bottom w:val="single" w:sz="4" w:space="0" w:color="auto"/>
            </w:tcBorders>
            <w:vAlign w:val="center"/>
          </w:tcPr>
          <w:p w14:paraId="75D8E12F" w14:textId="77777777" w:rsidR="00D170E5" w:rsidRPr="002B55E9" w:rsidRDefault="00EF27AD">
            <w:pPr>
              <w:pStyle w:val="affff6"/>
              <w:adjustRightInd w:val="0"/>
              <w:rPr>
                <w:szCs w:val="24"/>
              </w:rPr>
            </w:pPr>
            <w:r w:rsidRPr="002B55E9">
              <w:t>可</w:t>
            </w:r>
          </w:p>
        </w:tc>
      </w:tr>
      <w:tr w:rsidR="002B55E9" w:rsidRPr="002B55E9" w14:paraId="0CFE51AE" w14:textId="77777777">
        <w:trPr>
          <w:trHeight w:val="284"/>
          <w:tblHeader/>
          <w:jc w:val="center"/>
        </w:trPr>
        <w:tc>
          <w:tcPr>
            <w:tcW w:w="610" w:type="dxa"/>
            <w:vMerge/>
            <w:vAlign w:val="center"/>
          </w:tcPr>
          <w:p w14:paraId="700DD609" w14:textId="77777777" w:rsidR="00D170E5" w:rsidRPr="002B55E9" w:rsidRDefault="00D170E5">
            <w:pPr>
              <w:pStyle w:val="affff6"/>
              <w:adjustRightInd w:val="0"/>
            </w:pPr>
          </w:p>
        </w:tc>
        <w:tc>
          <w:tcPr>
            <w:tcW w:w="1140" w:type="dxa"/>
            <w:vMerge/>
            <w:vAlign w:val="center"/>
          </w:tcPr>
          <w:p w14:paraId="5DD91526" w14:textId="77777777" w:rsidR="00D170E5" w:rsidRPr="002B55E9" w:rsidRDefault="00D170E5">
            <w:pPr>
              <w:pStyle w:val="affff6"/>
              <w:adjustRightInd w:val="0"/>
            </w:pPr>
          </w:p>
        </w:tc>
        <w:tc>
          <w:tcPr>
            <w:tcW w:w="1336" w:type="dxa"/>
            <w:tcBorders>
              <w:top w:val="single" w:sz="4" w:space="0" w:color="auto"/>
              <w:bottom w:val="single" w:sz="4" w:space="0" w:color="auto"/>
            </w:tcBorders>
            <w:vAlign w:val="center"/>
          </w:tcPr>
          <w:p w14:paraId="6C0D32A3" w14:textId="77777777" w:rsidR="00D170E5" w:rsidRPr="002B55E9" w:rsidRDefault="00EF27AD">
            <w:pPr>
              <w:pStyle w:val="affff6"/>
              <w:adjustRightInd w:val="0"/>
            </w:pPr>
            <w:r w:rsidRPr="002B55E9">
              <w:t>声环境</w:t>
            </w:r>
          </w:p>
        </w:tc>
        <w:tc>
          <w:tcPr>
            <w:tcW w:w="914" w:type="dxa"/>
            <w:tcBorders>
              <w:top w:val="single" w:sz="4" w:space="0" w:color="auto"/>
              <w:bottom w:val="single" w:sz="4" w:space="0" w:color="auto"/>
            </w:tcBorders>
            <w:vAlign w:val="center"/>
          </w:tcPr>
          <w:p w14:paraId="515C7D44" w14:textId="77777777" w:rsidR="00D170E5" w:rsidRPr="002B55E9" w:rsidRDefault="00EF27AD">
            <w:pPr>
              <w:pStyle w:val="affff6"/>
              <w:adjustRightInd w:val="0"/>
            </w:pPr>
            <w:r w:rsidRPr="002B55E9">
              <w:t>－</w:t>
            </w:r>
          </w:p>
        </w:tc>
        <w:tc>
          <w:tcPr>
            <w:tcW w:w="1130" w:type="dxa"/>
            <w:tcBorders>
              <w:top w:val="single" w:sz="4" w:space="0" w:color="auto"/>
              <w:bottom w:val="single" w:sz="4" w:space="0" w:color="auto"/>
            </w:tcBorders>
            <w:vAlign w:val="center"/>
          </w:tcPr>
          <w:p w14:paraId="643E82D3" w14:textId="77777777" w:rsidR="00D170E5" w:rsidRPr="002B55E9" w:rsidRDefault="00EF27AD">
            <w:pPr>
              <w:pStyle w:val="affff6"/>
              <w:adjustRightInd w:val="0"/>
            </w:pPr>
            <w:r w:rsidRPr="002B55E9">
              <w:t>较大</w:t>
            </w:r>
          </w:p>
        </w:tc>
        <w:tc>
          <w:tcPr>
            <w:tcW w:w="1128" w:type="dxa"/>
            <w:tcBorders>
              <w:top w:val="single" w:sz="4" w:space="0" w:color="auto"/>
              <w:bottom w:val="single" w:sz="4" w:space="0" w:color="auto"/>
            </w:tcBorders>
            <w:vAlign w:val="center"/>
          </w:tcPr>
          <w:p w14:paraId="4D2DD2C9" w14:textId="77777777" w:rsidR="00D170E5" w:rsidRPr="002B55E9" w:rsidRDefault="00EF27AD">
            <w:pPr>
              <w:pStyle w:val="affff6"/>
              <w:adjustRightInd w:val="0"/>
            </w:pPr>
            <w:r w:rsidRPr="002B55E9">
              <w:t>短</w:t>
            </w:r>
          </w:p>
        </w:tc>
        <w:tc>
          <w:tcPr>
            <w:tcW w:w="1130" w:type="dxa"/>
            <w:tcBorders>
              <w:top w:val="single" w:sz="4" w:space="0" w:color="auto"/>
              <w:bottom w:val="single" w:sz="4" w:space="0" w:color="auto"/>
            </w:tcBorders>
            <w:vAlign w:val="center"/>
          </w:tcPr>
          <w:p w14:paraId="71FC45B4" w14:textId="77777777" w:rsidR="00D170E5" w:rsidRPr="002B55E9" w:rsidRDefault="00EF27AD">
            <w:pPr>
              <w:pStyle w:val="affff6"/>
              <w:adjustRightInd w:val="0"/>
            </w:pPr>
            <w:r w:rsidRPr="002B55E9">
              <w:t>较大</w:t>
            </w:r>
          </w:p>
        </w:tc>
        <w:tc>
          <w:tcPr>
            <w:tcW w:w="1130" w:type="dxa"/>
            <w:tcBorders>
              <w:top w:val="single" w:sz="4" w:space="0" w:color="auto"/>
              <w:bottom w:val="single" w:sz="4" w:space="0" w:color="auto"/>
            </w:tcBorders>
            <w:vAlign w:val="center"/>
          </w:tcPr>
          <w:p w14:paraId="760AFEAD" w14:textId="77777777" w:rsidR="00D170E5" w:rsidRPr="002B55E9" w:rsidRDefault="00EF27AD">
            <w:pPr>
              <w:pStyle w:val="affff6"/>
              <w:adjustRightInd w:val="0"/>
            </w:pPr>
            <w:r w:rsidRPr="002B55E9">
              <w:t>局部</w:t>
            </w:r>
          </w:p>
        </w:tc>
        <w:tc>
          <w:tcPr>
            <w:tcW w:w="1120" w:type="dxa"/>
            <w:tcBorders>
              <w:top w:val="single" w:sz="4" w:space="0" w:color="auto"/>
              <w:bottom w:val="single" w:sz="4" w:space="0" w:color="auto"/>
            </w:tcBorders>
            <w:vAlign w:val="center"/>
          </w:tcPr>
          <w:p w14:paraId="1ED92F75" w14:textId="77777777" w:rsidR="00D170E5" w:rsidRPr="002B55E9" w:rsidRDefault="00EF27AD">
            <w:pPr>
              <w:pStyle w:val="affff6"/>
              <w:adjustRightInd w:val="0"/>
              <w:rPr>
                <w:szCs w:val="24"/>
              </w:rPr>
            </w:pPr>
            <w:r w:rsidRPr="002B55E9">
              <w:t>可</w:t>
            </w:r>
          </w:p>
        </w:tc>
      </w:tr>
      <w:tr w:rsidR="002B55E9" w:rsidRPr="002B55E9" w14:paraId="6B2A7528" w14:textId="77777777">
        <w:trPr>
          <w:trHeight w:val="284"/>
          <w:tblHeader/>
          <w:jc w:val="center"/>
        </w:trPr>
        <w:tc>
          <w:tcPr>
            <w:tcW w:w="610" w:type="dxa"/>
            <w:vMerge/>
            <w:vAlign w:val="center"/>
          </w:tcPr>
          <w:p w14:paraId="13904034" w14:textId="77777777" w:rsidR="00D170E5" w:rsidRPr="002B55E9" w:rsidRDefault="00D170E5">
            <w:pPr>
              <w:pStyle w:val="affff6"/>
              <w:adjustRightInd w:val="0"/>
            </w:pPr>
          </w:p>
        </w:tc>
        <w:tc>
          <w:tcPr>
            <w:tcW w:w="1140" w:type="dxa"/>
            <w:vMerge/>
            <w:vAlign w:val="center"/>
          </w:tcPr>
          <w:p w14:paraId="1FFBC304" w14:textId="77777777" w:rsidR="00D170E5" w:rsidRPr="002B55E9" w:rsidRDefault="00D170E5">
            <w:pPr>
              <w:pStyle w:val="affff6"/>
              <w:adjustRightInd w:val="0"/>
            </w:pPr>
          </w:p>
        </w:tc>
        <w:tc>
          <w:tcPr>
            <w:tcW w:w="1336" w:type="dxa"/>
            <w:tcBorders>
              <w:top w:val="single" w:sz="4" w:space="0" w:color="auto"/>
              <w:bottom w:val="single" w:sz="4" w:space="0" w:color="auto"/>
            </w:tcBorders>
            <w:vAlign w:val="center"/>
          </w:tcPr>
          <w:p w14:paraId="187525CE" w14:textId="77777777" w:rsidR="00D170E5" w:rsidRPr="002B55E9" w:rsidRDefault="00EF27AD">
            <w:pPr>
              <w:pStyle w:val="affff6"/>
              <w:adjustRightInd w:val="0"/>
            </w:pPr>
            <w:r w:rsidRPr="002B55E9">
              <w:t>地下水</w:t>
            </w:r>
          </w:p>
        </w:tc>
        <w:tc>
          <w:tcPr>
            <w:tcW w:w="914" w:type="dxa"/>
            <w:tcBorders>
              <w:top w:val="single" w:sz="4" w:space="0" w:color="auto"/>
              <w:bottom w:val="single" w:sz="4" w:space="0" w:color="auto"/>
            </w:tcBorders>
            <w:vAlign w:val="center"/>
          </w:tcPr>
          <w:p w14:paraId="61380FE6" w14:textId="77777777" w:rsidR="00D170E5" w:rsidRPr="002B55E9" w:rsidRDefault="00EF27AD">
            <w:pPr>
              <w:pStyle w:val="affff6"/>
              <w:adjustRightInd w:val="0"/>
            </w:pPr>
            <w:r w:rsidRPr="002B55E9">
              <w:t>－</w:t>
            </w:r>
          </w:p>
        </w:tc>
        <w:tc>
          <w:tcPr>
            <w:tcW w:w="1130" w:type="dxa"/>
            <w:tcBorders>
              <w:top w:val="single" w:sz="4" w:space="0" w:color="auto"/>
              <w:bottom w:val="single" w:sz="4" w:space="0" w:color="auto"/>
            </w:tcBorders>
            <w:vAlign w:val="center"/>
          </w:tcPr>
          <w:p w14:paraId="3EC6D002" w14:textId="77777777" w:rsidR="00D170E5" w:rsidRPr="002B55E9" w:rsidRDefault="00EF27AD">
            <w:pPr>
              <w:pStyle w:val="affff6"/>
              <w:adjustRightInd w:val="0"/>
            </w:pPr>
            <w:r w:rsidRPr="002B55E9">
              <w:t>一般</w:t>
            </w:r>
          </w:p>
        </w:tc>
        <w:tc>
          <w:tcPr>
            <w:tcW w:w="1128" w:type="dxa"/>
            <w:tcBorders>
              <w:top w:val="single" w:sz="4" w:space="0" w:color="auto"/>
              <w:bottom w:val="single" w:sz="4" w:space="0" w:color="auto"/>
            </w:tcBorders>
            <w:vAlign w:val="center"/>
          </w:tcPr>
          <w:p w14:paraId="6C26B451" w14:textId="77777777" w:rsidR="00D170E5" w:rsidRPr="002B55E9" w:rsidRDefault="00EF27AD">
            <w:pPr>
              <w:pStyle w:val="affff6"/>
              <w:adjustRightInd w:val="0"/>
            </w:pPr>
            <w:r w:rsidRPr="002B55E9">
              <w:t>短</w:t>
            </w:r>
          </w:p>
        </w:tc>
        <w:tc>
          <w:tcPr>
            <w:tcW w:w="1130" w:type="dxa"/>
            <w:tcBorders>
              <w:top w:val="single" w:sz="4" w:space="0" w:color="auto"/>
              <w:bottom w:val="single" w:sz="4" w:space="0" w:color="auto"/>
            </w:tcBorders>
            <w:vAlign w:val="center"/>
          </w:tcPr>
          <w:p w14:paraId="23E06E3B" w14:textId="77777777" w:rsidR="00D170E5" w:rsidRPr="002B55E9" w:rsidRDefault="00EF27AD">
            <w:pPr>
              <w:pStyle w:val="affff6"/>
              <w:adjustRightInd w:val="0"/>
            </w:pPr>
            <w:r w:rsidRPr="002B55E9">
              <w:t>较小</w:t>
            </w:r>
          </w:p>
        </w:tc>
        <w:tc>
          <w:tcPr>
            <w:tcW w:w="1130" w:type="dxa"/>
            <w:tcBorders>
              <w:top w:val="single" w:sz="4" w:space="0" w:color="auto"/>
              <w:bottom w:val="single" w:sz="4" w:space="0" w:color="auto"/>
            </w:tcBorders>
            <w:vAlign w:val="center"/>
          </w:tcPr>
          <w:p w14:paraId="73F18900" w14:textId="77777777" w:rsidR="00D170E5" w:rsidRPr="002B55E9" w:rsidRDefault="00EF27AD">
            <w:pPr>
              <w:pStyle w:val="affff6"/>
              <w:adjustRightInd w:val="0"/>
            </w:pPr>
            <w:r w:rsidRPr="002B55E9">
              <w:t>局部</w:t>
            </w:r>
          </w:p>
        </w:tc>
        <w:tc>
          <w:tcPr>
            <w:tcW w:w="1120" w:type="dxa"/>
            <w:tcBorders>
              <w:top w:val="single" w:sz="4" w:space="0" w:color="auto"/>
              <w:bottom w:val="single" w:sz="4" w:space="0" w:color="auto"/>
            </w:tcBorders>
            <w:vAlign w:val="center"/>
          </w:tcPr>
          <w:p w14:paraId="1421AE5A" w14:textId="77777777" w:rsidR="00D170E5" w:rsidRPr="002B55E9" w:rsidRDefault="00EF27AD">
            <w:pPr>
              <w:pStyle w:val="affff6"/>
              <w:adjustRightInd w:val="0"/>
              <w:rPr>
                <w:szCs w:val="24"/>
              </w:rPr>
            </w:pPr>
            <w:r w:rsidRPr="002B55E9">
              <w:t>可</w:t>
            </w:r>
          </w:p>
        </w:tc>
      </w:tr>
      <w:tr w:rsidR="002B55E9" w:rsidRPr="002B55E9" w14:paraId="708D05F3" w14:textId="77777777">
        <w:trPr>
          <w:trHeight w:val="284"/>
          <w:tblHeader/>
          <w:jc w:val="center"/>
        </w:trPr>
        <w:tc>
          <w:tcPr>
            <w:tcW w:w="610" w:type="dxa"/>
            <w:vMerge/>
            <w:vAlign w:val="center"/>
          </w:tcPr>
          <w:p w14:paraId="56DD5DCA" w14:textId="77777777" w:rsidR="00D170E5" w:rsidRPr="002B55E9" w:rsidRDefault="00D170E5">
            <w:pPr>
              <w:pStyle w:val="affff6"/>
              <w:adjustRightInd w:val="0"/>
            </w:pPr>
          </w:p>
        </w:tc>
        <w:tc>
          <w:tcPr>
            <w:tcW w:w="1140" w:type="dxa"/>
            <w:vMerge/>
            <w:tcBorders>
              <w:bottom w:val="single" w:sz="4" w:space="0" w:color="auto"/>
            </w:tcBorders>
            <w:vAlign w:val="center"/>
          </w:tcPr>
          <w:p w14:paraId="0563FBB5" w14:textId="77777777" w:rsidR="00D170E5" w:rsidRPr="002B55E9" w:rsidRDefault="00D170E5">
            <w:pPr>
              <w:pStyle w:val="affff6"/>
              <w:adjustRightInd w:val="0"/>
            </w:pPr>
          </w:p>
        </w:tc>
        <w:tc>
          <w:tcPr>
            <w:tcW w:w="1336" w:type="dxa"/>
            <w:tcBorders>
              <w:top w:val="single" w:sz="4" w:space="0" w:color="auto"/>
              <w:bottom w:val="single" w:sz="4" w:space="0" w:color="auto"/>
            </w:tcBorders>
            <w:vAlign w:val="center"/>
          </w:tcPr>
          <w:p w14:paraId="67BC02C1" w14:textId="77777777" w:rsidR="00D170E5" w:rsidRPr="002B55E9" w:rsidRDefault="00EF27AD">
            <w:pPr>
              <w:pStyle w:val="affff6"/>
              <w:adjustRightInd w:val="0"/>
            </w:pPr>
            <w:r w:rsidRPr="002B55E9">
              <w:rPr>
                <w:rFonts w:hint="eastAsia"/>
              </w:rPr>
              <w:t>土壤</w:t>
            </w:r>
          </w:p>
        </w:tc>
        <w:tc>
          <w:tcPr>
            <w:tcW w:w="914" w:type="dxa"/>
            <w:tcBorders>
              <w:top w:val="single" w:sz="4" w:space="0" w:color="auto"/>
              <w:bottom w:val="single" w:sz="4" w:space="0" w:color="auto"/>
            </w:tcBorders>
            <w:vAlign w:val="center"/>
          </w:tcPr>
          <w:p w14:paraId="32C28234" w14:textId="77777777" w:rsidR="00D170E5" w:rsidRPr="002B55E9" w:rsidRDefault="00EF27AD">
            <w:pPr>
              <w:pStyle w:val="affff6"/>
              <w:adjustRightInd w:val="0"/>
            </w:pPr>
            <w:r w:rsidRPr="002B55E9">
              <w:t>－</w:t>
            </w:r>
          </w:p>
        </w:tc>
        <w:tc>
          <w:tcPr>
            <w:tcW w:w="1130" w:type="dxa"/>
            <w:tcBorders>
              <w:top w:val="single" w:sz="4" w:space="0" w:color="auto"/>
              <w:bottom w:val="single" w:sz="4" w:space="0" w:color="auto"/>
            </w:tcBorders>
            <w:vAlign w:val="center"/>
          </w:tcPr>
          <w:p w14:paraId="6B09C16E" w14:textId="77777777" w:rsidR="00D170E5" w:rsidRPr="002B55E9" w:rsidRDefault="00EF27AD">
            <w:pPr>
              <w:pStyle w:val="affff6"/>
              <w:adjustRightInd w:val="0"/>
            </w:pPr>
            <w:r w:rsidRPr="002B55E9">
              <w:t>一般</w:t>
            </w:r>
          </w:p>
        </w:tc>
        <w:tc>
          <w:tcPr>
            <w:tcW w:w="1128" w:type="dxa"/>
            <w:tcBorders>
              <w:top w:val="single" w:sz="4" w:space="0" w:color="auto"/>
              <w:bottom w:val="single" w:sz="4" w:space="0" w:color="auto"/>
            </w:tcBorders>
            <w:vAlign w:val="center"/>
          </w:tcPr>
          <w:p w14:paraId="704E902B" w14:textId="77777777" w:rsidR="00D170E5" w:rsidRPr="002B55E9" w:rsidRDefault="00EF27AD">
            <w:pPr>
              <w:pStyle w:val="affff6"/>
              <w:adjustRightInd w:val="0"/>
            </w:pPr>
            <w:r w:rsidRPr="002B55E9">
              <w:t>短</w:t>
            </w:r>
          </w:p>
        </w:tc>
        <w:tc>
          <w:tcPr>
            <w:tcW w:w="1130" w:type="dxa"/>
            <w:tcBorders>
              <w:top w:val="single" w:sz="4" w:space="0" w:color="auto"/>
              <w:bottom w:val="single" w:sz="4" w:space="0" w:color="auto"/>
            </w:tcBorders>
            <w:vAlign w:val="center"/>
          </w:tcPr>
          <w:p w14:paraId="10FDC187" w14:textId="77777777" w:rsidR="00D170E5" w:rsidRPr="002B55E9" w:rsidRDefault="00EF27AD">
            <w:pPr>
              <w:pStyle w:val="affff6"/>
              <w:adjustRightInd w:val="0"/>
            </w:pPr>
            <w:r w:rsidRPr="002B55E9">
              <w:t>较小</w:t>
            </w:r>
          </w:p>
        </w:tc>
        <w:tc>
          <w:tcPr>
            <w:tcW w:w="1130" w:type="dxa"/>
            <w:tcBorders>
              <w:top w:val="single" w:sz="4" w:space="0" w:color="auto"/>
              <w:bottom w:val="single" w:sz="4" w:space="0" w:color="auto"/>
            </w:tcBorders>
            <w:vAlign w:val="center"/>
          </w:tcPr>
          <w:p w14:paraId="71F60DEA" w14:textId="77777777" w:rsidR="00D170E5" w:rsidRPr="002B55E9" w:rsidRDefault="00EF27AD">
            <w:pPr>
              <w:pStyle w:val="affff6"/>
              <w:adjustRightInd w:val="0"/>
            </w:pPr>
            <w:r w:rsidRPr="002B55E9">
              <w:t>局部</w:t>
            </w:r>
          </w:p>
        </w:tc>
        <w:tc>
          <w:tcPr>
            <w:tcW w:w="1120" w:type="dxa"/>
            <w:tcBorders>
              <w:top w:val="single" w:sz="4" w:space="0" w:color="auto"/>
              <w:bottom w:val="single" w:sz="4" w:space="0" w:color="auto"/>
            </w:tcBorders>
            <w:vAlign w:val="center"/>
          </w:tcPr>
          <w:p w14:paraId="0780BADB" w14:textId="77777777" w:rsidR="00D170E5" w:rsidRPr="002B55E9" w:rsidRDefault="00EF27AD">
            <w:pPr>
              <w:pStyle w:val="affff6"/>
              <w:adjustRightInd w:val="0"/>
              <w:rPr>
                <w:szCs w:val="24"/>
              </w:rPr>
            </w:pPr>
            <w:r w:rsidRPr="002B55E9">
              <w:t>可</w:t>
            </w:r>
          </w:p>
        </w:tc>
      </w:tr>
      <w:tr w:rsidR="002B55E9" w:rsidRPr="002B55E9" w14:paraId="28665304" w14:textId="77777777">
        <w:trPr>
          <w:trHeight w:val="284"/>
          <w:jc w:val="center"/>
        </w:trPr>
        <w:tc>
          <w:tcPr>
            <w:tcW w:w="610" w:type="dxa"/>
            <w:vMerge/>
            <w:vAlign w:val="center"/>
          </w:tcPr>
          <w:p w14:paraId="6D2A236D" w14:textId="77777777" w:rsidR="00D170E5" w:rsidRPr="002B55E9" w:rsidRDefault="00D170E5">
            <w:pPr>
              <w:pStyle w:val="affff6"/>
              <w:adjustRightInd w:val="0"/>
            </w:pPr>
          </w:p>
        </w:tc>
        <w:tc>
          <w:tcPr>
            <w:tcW w:w="1140" w:type="dxa"/>
            <w:vMerge w:val="restart"/>
            <w:tcBorders>
              <w:top w:val="single" w:sz="4" w:space="0" w:color="auto"/>
            </w:tcBorders>
            <w:vAlign w:val="center"/>
          </w:tcPr>
          <w:p w14:paraId="049DF906" w14:textId="77777777" w:rsidR="00D170E5" w:rsidRPr="002B55E9" w:rsidRDefault="00EF27AD">
            <w:pPr>
              <w:pStyle w:val="affff6"/>
              <w:adjustRightInd w:val="0"/>
            </w:pPr>
            <w:r w:rsidRPr="002B55E9">
              <w:t>基础施工</w:t>
            </w:r>
          </w:p>
        </w:tc>
        <w:tc>
          <w:tcPr>
            <w:tcW w:w="1336" w:type="dxa"/>
            <w:tcBorders>
              <w:top w:val="single" w:sz="4" w:space="0" w:color="auto"/>
            </w:tcBorders>
            <w:vAlign w:val="center"/>
          </w:tcPr>
          <w:p w14:paraId="3B67085D" w14:textId="77777777" w:rsidR="00D170E5" w:rsidRPr="002B55E9" w:rsidRDefault="00EF27AD">
            <w:pPr>
              <w:pStyle w:val="affff6"/>
              <w:adjustRightInd w:val="0"/>
            </w:pPr>
            <w:r w:rsidRPr="002B55E9">
              <w:t>地表水</w:t>
            </w:r>
          </w:p>
        </w:tc>
        <w:tc>
          <w:tcPr>
            <w:tcW w:w="914" w:type="dxa"/>
            <w:tcBorders>
              <w:top w:val="single" w:sz="4" w:space="0" w:color="auto"/>
            </w:tcBorders>
            <w:vAlign w:val="center"/>
          </w:tcPr>
          <w:p w14:paraId="7AB89F90" w14:textId="77777777" w:rsidR="00D170E5" w:rsidRPr="002B55E9" w:rsidRDefault="00EF27AD">
            <w:pPr>
              <w:pStyle w:val="affff6"/>
              <w:adjustRightInd w:val="0"/>
            </w:pPr>
            <w:r w:rsidRPr="002B55E9">
              <w:t>－</w:t>
            </w:r>
          </w:p>
        </w:tc>
        <w:tc>
          <w:tcPr>
            <w:tcW w:w="1130" w:type="dxa"/>
            <w:tcBorders>
              <w:top w:val="single" w:sz="4" w:space="0" w:color="auto"/>
            </w:tcBorders>
            <w:vAlign w:val="center"/>
          </w:tcPr>
          <w:p w14:paraId="17CE57F8" w14:textId="77777777" w:rsidR="00D170E5" w:rsidRPr="002B55E9" w:rsidRDefault="00EF27AD">
            <w:pPr>
              <w:pStyle w:val="affff6"/>
              <w:adjustRightInd w:val="0"/>
            </w:pPr>
            <w:r w:rsidRPr="002B55E9">
              <w:t>较小</w:t>
            </w:r>
          </w:p>
        </w:tc>
        <w:tc>
          <w:tcPr>
            <w:tcW w:w="1128" w:type="dxa"/>
            <w:tcBorders>
              <w:top w:val="single" w:sz="4" w:space="0" w:color="auto"/>
            </w:tcBorders>
            <w:vAlign w:val="center"/>
          </w:tcPr>
          <w:p w14:paraId="621173EC" w14:textId="77777777" w:rsidR="00D170E5" w:rsidRPr="002B55E9" w:rsidRDefault="00EF27AD">
            <w:pPr>
              <w:pStyle w:val="affff6"/>
              <w:adjustRightInd w:val="0"/>
            </w:pPr>
            <w:r w:rsidRPr="002B55E9">
              <w:t>短</w:t>
            </w:r>
          </w:p>
        </w:tc>
        <w:tc>
          <w:tcPr>
            <w:tcW w:w="1130" w:type="dxa"/>
            <w:tcBorders>
              <w:top w:val="single" w:sz="4" w:space="0" w:color="auto"/>
            </w:tcBorders>
            <w:vAlign w:val="center"/>
          </w:tcPr>
          <w:p w14:paraId="529912BA" w14:textId="77777777" w:rsidR="00D170E5" w:rsidRPr="002B55E9" w:rsidRDefault="00EF27AD">
            <w:pPr>
              <w:pStyle w:val="affff6"/>
              <w:adjustRightInd w:val="0"/>
            </w:pPr>
            <w:r w:rsidRPr="002B55E9">
              <w:t>较小</w:t>
            </w:r>
          </w:p>
        </w:tc>
        <w:tc>
          <w:tcPr>
            <w:tcW w:w="1130" w:type="dxa"/>
            <w:tcBorders>
              <w:top w:val="single" w:sz="4" w:space="0" w:color="auto"/>
            </w:tcBorders>
            <w:vAlign w:val="center"/>
          </w:tcPr>
          <w:p w14:paraId="55705C49" w14:textId="77777777" w:rsidR="00D170E5" w:rsidRPr="002B55E9" w:rsidRDefault="00EF27AD">
            <w:pPr>
              <w:pStyle w:val="affff6"/>
              <w:adjustRightInd w:val="0"/>
            </w:pPr>
            <w:r w:rsidRPr="002B55E9">
              <w:t>局部</w:t>
            </w:r>
          </w:p>
        </w:tc>
        <w:tc>
          <w:tcPr>
            <w:tcW w:w="1120" w:type="dxa"/>
            <w:tcBorders>
              <w:top w:val="single" w:sz="4" w:space="0" w:color="auto"/>
            </w:tcBorders>
            <w:vAlign w:val="center"/>
          </w:tcPr>
          <w:p w14:paraId="529139E1" w14:textId="77777777" w:rsidR="00D170E5" w:rsidRPr="002B55E9" w:rsidRDefault="00EF27AD">
            <w:pPr>
              <w:pStyle w:val="affff6"/>
              <w:adjustRightInd w:val="0"/>
            </w:pPr>
            <w:r w:rsidRPr="002B55E9">
              <w:t>可</w:t>
            </w:r>
          </w:p>
        </w:tc>
      </w:tr>
      <w:tr w:rsidR="002B55E9" w:rsidRPr="002B55E9" w14:paraId="6DD5DD39" w14:textId="77777777">
        <w:trPr>
          <w:trHeight w:val="284"/>
          <w:jc w:val="center"/>
        </w:trPr>
        <w:tc>
          <w:tcPr>
            <w:tcW w:w="610" w:type="dxa"/>
            <w:vMerge/>
            <w:vAlign w:val="center"/>
          </w:tcPr>
          <w:p w14:paraId="788B97F7" w14:textId="77777777" w:rsidR="00D170E5" w:rsidRPr="002B55E9" w:rsidRDefault="00D170E5">
            <w:pPr>
              <w:pStyle w:val="affff6"/>
              <w:adjustRightInd w:val="0"/>
            </w:pPr>
          </w:p>
        </w:tc>
        <w:tc>
          <w:tcPr>
            <w:tcW w:w="1140" w:type="dxa"/>
            <w:vMerge/>
            <w:vAlign w:val="center"/>
          </w:tcPr>
          <w:p w14:paraId="1E51E4EE" w14:textId="77777777" w:rsidR="00D170E5" w:rsidRPr="002B55E9" w:rsidRDefault="00D170E5">
            <w:pPr>
              <w:pStyle w:val="affff6"/>
              <w:adjustRightInd w:val="0"/>
            </w:pPr>
          </w:p>
        </w:tc>
        <w:tc>
          <w:tcPr>
            <w:tcW w:w="1336" w:type="dxa"/>
            <w:vAlign w:val="center"/>
          </w:tcPr>
          <w:p w14:paraId="46C83E3A" w14:textId="77777777" w:rsidR="00D170E5" w:rsidRPr="002B55E9" w:rsidRDefault="00EF27AD">
            <w:pPr>
              <w:pStyle w:val="affff6"/>
              <w:adjustRightInd w:val="0"/>
            </w:pPr>
            <w:r w:rsidRPr="002B55E9">
              <w:t>环境空气</w:t>
            </w:r>
          </w:p>
        </w:tc>
        <w:tc>
          <w:tcPr>
            <w:tcW w:w="914" w:type="dxa"/>
            <w:vAlign w:val="center"/>
          </w:tcPr>
          <w:p w14:paraId="0B0800A7" w14:textId="77777777" w:rsidR="00D170E5" w:rsidRPr="002B55E9" w:rsidRDefault="00EF27AD">
            <w:pPr>
              <w:pStyle w:val="affff6"/>
              <w:adjustRightInd w:val="0"/>
            </w:pPr>
            <w:r w:rsidRPr="002B55E9">
              <w:t>－</w:t>
            </w:r>
          </w:p>
        </w:tc>
        <w:tc>
          <w:tcPr>
            <w:tcW w:w="1130" w:type="dxa"/>
            <w:vAlign w:val="center"/>
          </w:tcPr>
          <w:p w14:paraId="4D0DC861" w14:textId="77777777" w:rsidR="00D170E5" w:rsidRPr="002B55E9" w:rsidRDefault="00EF27AD">
            <w:pPr>
              <w:pStyle w:val="affff6"/>
              <w:adjustRightInd w:val="0"/>
            </w:pPr>
            <w:r w:rsidRPr="002B55E9">
              <w:t>较大</w:t>
            </w:r>
          </w:p>
        </w:tc>
        <w:tc>
          <w:tcPr>
            <w:tcW w:w="1128" w:type="dxa"/>
            <w:vAlign w:val="center"/>
          </w:tcPr>
          <w:p w14:paraId="24CD168B" w14:textId="77777777" w:rsidR="00D170E5" w:rsidRPr="002B55E9" w:rsidRDefault="00EF27AD">
            <w:pPr>
              <w:pStyle w:val="affff6"/>
              <w:adjustRightInd w:val="0"/>
            </w:pPr>
            <w:r w:rsidRPr="002B55E9">
              <w:t>短</w:t>
            </w:r>
          </w:p>
        </w:tc>
        <w:tc>
          <w:tcPr>
            <w:tcW w:w="1130" w:type="dxa"/>
            <w:vAlign w:val="center"/>
          </w:tcPr>
          <w:p w14:paraId="6AE69C26" w14:textId="77777777" w:rsidR="00D170E5" w:rsidRPr="002B55E9" w:rsidRDefault="00EF27AD">
            <w:pPr>
              <w:pStyle w:val="affff6"/>
              <w:adjustRightInd w:val="0"/>
            </w:pPr>
            <w:r w:rsidRPr="002B55E9">
              <w:t>较大</w:t>
            </w:r>
          </w:p>
        </w:tc>
        <w:tc>
          <w:tcPr>
            <w:tcW w:w="1130" w:type="dxa"/>
            <w:vAlign w:val="center"/>
          </w:tcPr>
          <w:p w14:paraId="2C014CDA" w14:textId="77777777" w:rsidR="00D170E5" w:rsidRPr="002B55E9" w:rsidRDefault="00EF27AD">
            <w:pPr>
              <w:pStyle w:val="affff6"/>
              <w:adjustRightInd w:val="0"/>
            </w:pPr>
            <w:r w:rsidRPr="002B55E9">
              <w:t>局部</w:t>
            </w:r>
          </w:p>
        </w:tc>
        <w:tc>
          <w:tcPr>
            <w:tcW w:w="1120" w:type="dxa"/>
            <w:vAlign w:val="center"/>
          </w:tcPr>
          <w:p w14:paraId="48EE022A" w14:textId="77777777" w:rsidR="00D170E5" w:rsidRPr="002B55E9" w:rsidRDefault="00EF27AD">
            <w:pPr>
              <w:pStyle w:val="affff6"/>
              <w:adjustRightInd w:val="0"/>
            </w:pPr>
            <w:r w:rsidRPr="002B55E9">
              <w:t>可</w:t>
            </w:r>
          </w:p>
        </w:tc>
      </w:tr>
      <w:tr w:rsidR="002B55E9" w:rsidRPr="002B55E9" w14:paraId="080987F4" w14:textId="77777777">
        <w:trPr>
          <w:trHeight w:val="284"/>
          <w:jc w:val="center"/>
        </w:trPr>
        <w:tc>
          <w:tcPr>
            <w:tcW w:w="610" w:type="dxa"/>
            <w:vMerge/>
            <w:vAlign w:val="center"/>
          </w:tcPr>
          <w:p w14:paraId="4094B6FD" w14:textId="77777777" w:rsidR="00D170E5" w:rsidRPr="002B55E9" w:rsidRDefault="00D170E5">
            <w:pPr>
              <w:pStyle w:val="affff6"/>
              <w:adjustRightInd w:val="0"/>
            </w:pPr>
          </w:p>
        </w:tc>
        <w:tc>
          <w:tcPr>
            <w:tcW w:w="1140" w:type="dxa"/>
            <w:vMerge/>
            <w:vAlign w:val="center"/>
          </w:tcPr>
          <w:p w14:paraId="243CD550" w14:textId="77777777" w:rsidR="00D170E5" w:rsidRPr="002B55E9" w:rsidRDefault="00D170E5">
            <w:pPr>
              <w:pStyle w:val="affff6"/>
              <w:adjustRightInd w:val="0"/>
            </w:pPr>
          </w:p>
        </w:tc>
        <w:tc>
          <w:tcPr>
            <w:tcW w:w="1336" w:type="dxa"/>
            <w:vAlign w:val="center"/>
          </w:tcPr>
          <w:p w14:paraId="4CD029E4" w14:textId="77777777" w:rsidR="00D170E5" w:rsidRPr="002B55E9" w:rsidRDefault="00EF27AD">
            <w:pPr>
              <w:pStyle w:val="affff6"/>
              <w:adjustRightInd w:val="0"/>
            </w:pPr>
            <w:r w:rsidRPr="002B55E9">
              <w:t>声环境</w:t>
            </w:r>
          </w:p>
        </w:tc>
        <w:tc>
          <w:tcPr>
            <w:tcW w:w="914" w:type="dxa"/>
            <w:vAlign w:val="center"/>
          </w:tcPr>
          <w:p w14:paraId="68E3E2C6" w14:textId="77777777" w:rsidR="00D170E5" w:rsidRPr="002B55E9" w:rsidRDefault="00EF27AD">
            <w:pPr>
              <w:pStyle w:val="affff6"/>
              <w:adjustRightInd w:val="0"/>
            </w:pPr>
            <w:r w:rsidRPr="002B55E9">
              <w:t>－</w:t>
            </w:r>
          </w:p>
        </w:tc>
        <w:tc>
          <w:tcPr>
            <w:tcW w:w="1130" w:type="dxa"/>
            <w:vAlign w:val="center"/>
          </w:tcPr>
          <w:p w14:paraId="097FA2B2" w14:textId="77777777" w:rsidR="00D170E5" w:rsidRPr="002B55E9" w:rsidRDefault="00EF27AD">
            <w:pPr>
              <w:pStyle w:val="affff6"/>
              <w:adjustRightInd w:val="0"/>
            </w:pPr>
            <w:r w:rsidRPr="002B55E9">
              <w:t>较大</w:t>
            </w:r>
          </w:p>
        </w:tc>
        <w:tc>
          <w:tcPr>
            <w:tcW w:w="1128" w:type="dxa"/>
            <w:vAlign w:val="center"/>
          </w:tcPr>
          <w:p w14:paraId="00913533" w14:textId="77777777" w:rsidR="00D170E5" w:rsidRPr="002B55E9" w:rsidRDefault="00EF27AD">
            <w:pPr>
              <w:pStyle w:val="affff6"/>
              <w:adjustRightInd w:val="0"/>
            </w:pPr>
            <w:r w:rsidRPr="002B55E9">
              <w:t>短</w:t>
            </w:r>
          </w:p>
        </w:tc>
        <w:tc>
          <w:tcPr>
            <w:tcW w:w="1130" w:type="dxa"/>
            <w:vAlign w:val="center"/>
          </w:tcPr>
          <w:p w14:paraId="5DB29149" w14:textId="77777777" w:rsidR="00D170E5" w:rsidRPr="002B55E9" w:rsidRDefault="00EF27AD">
            <w:pPr>
              <w:pStyle w:val="affff6"/>
              <w:adjustRightInd w:val="0"/>
            </w:pPr>
            <w:r w:rsidRPr="002B55E9">
              <w:t>较大</w:t>
            </w:r>
          </w:p>
        </w:tc>
        <w:tc>
          <w:tcPr>
            <w:tcW w:w="1130" w:type="dxa"/>
            <w:vAlign w:val="center"/>
          </w:tcPr>
          <w:p w14:paraId="267C7A5C" w14:textId="77777777" w:rsidR="00D170E5" w:rsidRPr="002B55E9" w:rsidRDefault="00EF27AD">
            <w:pPr>
              <w:pStyle w:val="affff6"/>
              <w:adjustRightInd w:val="0"/>
            </w:pPr>
            <w:r w:rsidRPr="002B55E9">
              <w:t>局部</w:t>
            </w:r>
          </w:p>
        </w:tc>
        <w:tc>
          <w:tcPr>
            <w:tcW w:w="1120" w:type="dxa"/>
            <w:vAlign w:val="center"/>
          </w:tcPr>
          <w:p w14:paraId="106EDC63" w14:textId="77777777" w:rsidR="00D170E5" w:rsidRPr="002B55E9" w:rsidRDefault="00EF27AD">
            <w:pPr>
              <w:pStyle w:val="affff6"/>
              <w:adjustRightInd w:val="0"/>
            </w:pPr>
            <w:r w:rsidRPr="002B55E9">
              <w:t>可</w:t>
            </w:r>
          </w:p>
        </w:tc>
      </w:tr>
      <w:tr w:rsidR="002B55E9" w:rsidRPr="002B55E9" w14:paraId="65E803BD" w14:textId="77777777">
        <w:trPr>
          <w:trHeight w:val="284"/>
          <w:jc w:val="center"/>
        </w:trPr>
        <w:tc>
          <w:tcPr>
            <w:tcW w:w="610" w:type="dxa"/>
            <w:vMerge/>
            <w:vAlign w:val="center"/>
          </w:tcPr>
          <w:p w14:paraId="70B141C7" w14:textId="77777777" w:rsidR="00D170E5" w:rsidRPr="002B55E9" w:rsidRDefault="00D170E5">
            <w:pPr>
              <w:pStyle w:val="affff6"/>
              <w:adjustRightInd w:val="0"/>
            </w:pPr>
          </w:p>
        </w:tc>
        <w:tc>
          <w:tcPr>
            <w:tcW w:w="1140" w:type="dxa"/>
            <w:vMerge/>
            <w:vAlign w:val="center"/>
          </w:tcPr>
          <w:p w14:paraId="5B355A97" w14:textId="77777777" w:rsidR="00D170E5" w:rsidRPr="002B55E9" w:rsidRDefault="00D170E5">
            <w:pPr>
              <w:pStyle w:val="affff6"/>
              <w:adjustRightInd w:val="0"/>
            </w:pPr>
          </w:p>
        </w:tc>
        <w:tc>
          <w:tcPr>
            <w:tcW w:w="1336" w:type="dxa"/>
            <w:vAlign w:val="center"/>
          </w:tcPr>
          <w:p w14:paraId="28E130E4" w14:textId="77777777" w:rsidR="00D170E5" w:rsidRPr="002B55E9" w:rsidRDefault="00EF27AD">
            <w:pPr>
              <w:pStyle w:val="affff6"/>
              <w:adjustRightInd w:val="0"/>
            </w:pPr>
            <w:r w:rsidRPr="002B55E9">
              <w:t>地下水</w:t>
            </w:r>
          </w:p>
        </w:tc>
        <w:tc>
          <w:tcPr>
            <w:tcW w:w="914" w:type="dxa"/>
            <w:vAlign w:val="center"/>
          </w:tcPr>
          <w:p w14:paraId="621D7318" w14:textId="77777777" w:rsidR="00D170E5" w:rsidRPr="002B55E9" w:rsidRDefault="00EF27AD">
            <w:pPr>
              <w:pStyle w:val="affff6"/>
              <w:adjustRightInd w:val="0"/>
            </w:pPr>
            <w:r w:rsidRPr="002B55E9">
              <w:t>－</w:t>
            </w:r>
          </w:p>
        </w:tc>
        <w:tc>
          <w:tcPr>
            <w:tcW w:w="1130" w:type="dxa"/>
            <w:vAlign w:val="center"/>
          </w:tcPr>
          <w:p w14:paraId="1ED53883" w14:textId="77777777" w:rsidR="00D170E5" w:rsidRPr="002B55E9" w:rsidRDefault="00EF27AD">
            <w:pPr>
              <w:pStyle w:val="affff6"/>
              <w:adjustRightInd w:val="0"/>
            </w:pPr>
            <w:r w:rsidRPr="002B55E9">
              <w:t>一般</w:t>
            </w:r>
          </w:p>
        </w:tc>
        <w:tc>
          <w:tcPr>
            <w:tcW w:w="1128" w:type="dxa"/>
            <w:vAlign w:val="center"/>
          </w:tcPr>
          <w:p w14:paraId="74E5B66E" w14:textId="77777777" w:rsidR="00D170E5" w:rsidRPr="002B55E9" w:rsidRDefault="00EF27AD">
            <w:pPr>
              <w:pStyle w:val="affff6"/>
              <w:adjustRightInd w:val="0"/>
            </w:pPr>
            <w:r w:rsidRPr="002B55E9">
              <w:t>短</w:t>
            </w:r>
          </w:p>
        </w:tc>
        <w:tc>
          <w:tcPr>
            <w:tcW w:w="1130" w:type="dxa"/>
            <w:vAlign w:val="center"/>
          </w:tcPr>
          <w:p w14:paraId="2B9486AF" w14:textId="77777777" w:rsidR="00D170E5" w:rsidRPr="002B55E9" w:rsidRDefault="00EF27AD">
            <w:pPr>
              <w:pStyle w:val="affff6"/>
              <w:adjustRightInd w:val="0"/>
            </w:pPr>
            <w:r w:rsidRPr="002B55E9">
              <w:t>较小</w:t>
            </w:r>
          </w:p>
        </w:tc>
        <w:tc>
          <w:tcPr>
            <w:tcW w:w="1130" w:type="dxa"/>
            <w:vAlign w:val="center"/>
          </w:tcPr>
          <w:p w14:paraId="7BFFB0A0" w14:textId="77777777" w:rsidR="00D170E5" w:rsidRPr="002B55E9" w:rsidRDefault="00EF27AD">
            <w:pPr>
              <w:pStyle w:val="affff6"/>
              <w:adjustRightInd w:val="0"/>
            </w:pPr>
            <w:r w:rsidRPr="002B55E9">
              <w:t>局部</w:t>
            </w:r>
          </w:p>
        </w:tc>
        <w:tc>
          <w:tcPr>
            <w:tcW w:w="1120" w:type="dxa"/>
            <w:vAlign w:val="center"/>
          </w:tcPr>
          <w:p w14:paraId="1B27EE27" w14:textId="77777777" w:rsidR="00D170E5" w:rsidRPr="002B55E9" w:rsidRDefault="00EF27AD">
            <w:pPr>
              <w:pStyle w:val="affff6"/>
              <w:adjustRightInd w:val="0"/>
            </w:pPr>
            <w:r w:rsidRPr="002B55E9">
              <w:t>可</w:t>
            </w:r>
          </w:p>
        </w:tc>
      </w:tr>
      <w:tr w:rsidR="002B55E9" w:rsidRPr="002B55E9" w14:paraId="18F152D6" w14:textId="77777777">
        <w:trPr>
          <w:trHeight w:val="284"/>
          <w:jc w:val="center"/>
        </w:trPr>
        <w:tc>
          <w:tcPr>
            <w:tcW w:w="610" w:type="dxa"/>
            <w:vMerge/>
            <w:vAlign w:val="center"/>
          </w:tcPr>
          <w:p w14:paraId="10E464FF" w14:textId="77777777" w:rsidR="00D170E5" w:rsidRPr="002B55E9" w:rsidRDefault="00D170E5">
            <w:pPr>
              <w:pStyle w:val="affff6"/>
              <w:adjustRightInd w:val="0"/>
            </w:pPr>
          </w:p>
        </w:tc>
        <w:tc>
          <w:tcPr>
            <w:tcW w:w="1140" w:type="dxa"/>
            <w:vMerge/>
            <w:vAlign w:val="center"/>
          </w:tcPr>
          <w:p w14:paraId="25033D5D" w14:textId="77777777" w:rsidR="00D170E5" w:rsidRPr="002B55E9" w:rsidRDefault="00D170E5">
            <w:pPr>
              <w:pStyle w:val="affff6"/>
              <w:adjustRightInd w:val="0"/>
            </w:pPr>
          </w:p>
        </w:tc>
        <w:tc>
          <w:tcPr>
            <w:tcW w:w="1336" w:type="dxa"/>
            <w:vAlign w:val="center"/>
          </w:tcPr>
          <w:p w14:paraId="0855F181" w14:textId="77777777" w:rsidR="00D170E5" w:rsidRPr="002B55E9" w:rsidRDefault="00EF27AD">
            <w:pPr>
              <w:pStyle w:val="affff6"/>
              <w:adjustRightInd w:val="0"/>
            </w:pPr>
            <w:r w:rsidRPr="002B55E9">
              <w:rPr>
                <w:rFonts w:hint="eastAsia"/>
              </w:rPr>
              <w:t>土壤</w:t>
            </w:r>
          </w:p>
        </w:tc>
        <w:tc>
          <w:tcPr>
            <w:tcW w:w="914" w:type="dxa"/>
            <w:vAlign w:val="center"/>
          </w:tcPr>
          <w:p w14:paraId="641E97BC" w14:textId="77777777" w:rsidR="00D170E5" w:rsidRPr="002B55E9" w:rsidRDefault="00EF27AD">
            <w:pPr>
              <w:pStyle w:val="affff6"/>
              <w:adjustRightInd w:val="0"/>
            </w:pPr>
            <w:r w:rsidRPr="002B55E9">
              <w:t>－</w:t>
            </w:r>
          </w:p>
        </w:tc>
        <w:tc>
          <w:tcPr>
            <w:tcW w:w="1130" w:type="dxa"/>
            <w:vAlign w:val="center"/>
          </w:tcPr>
          <w:p w14:paraId="04AFF825" w14:textId="77777777" w:rsidR="00D170E5" w:rsidRPr="002B55E9" w:rsidRDefault="00EF27AD">
            <w:pPr>
              <w:pStyle w:val="affff6"/>
              <w:adjustRightInd w:val="0"/>
            </w:pPr>
            <w:r w:rsidRPr="002B55E9">
              <w:t>一般</w:t>
            </w:r>
          </w:p>
        </w:tc>
        <w:tc>
          <w:tcPr>
            <w:tcW w:w="1128" w:type="dxa"/>
            <w:vAlign w:val="center"/>
          </w:tcPr>
          <w:p w14:paraId="6DCF45AE" w14:textId="77777777" w:rsidR="00D170E5" w:rsidRPr="002B55E9" w:rsidRDefault="00EF27AD">
            <w:pPr>
              <w:pStyle w:val="affff6"/>
              <w:adjustRightInd w:val="0"/>
            </w:pPr>
            <w:r w:rsidRPr="002B55E9">
              <w:t>短</w:t>
            </w:r>
          </w:p>
        </w:tc>
        <w:tc>
          <w:tcPr>
            <w:tcW w:w="1130" w:type="dxa"/>
            <w:vAlign w:val="center"/>
          </w:tcPr>
          <w:p w14:paraId="43B124CA" w14:textId="77777777" w:rsidR="00D170E5" w:rsidRPr="002B55E9" w:rsidRDefault="00EF27AD">
            <w:pPr>
              <w:pStyle w:val="affff6"/>
              <w:adjustRightInd w:val="0"/>
            </w:pPr>
            <w:r w:rsidRPr="002B55E9">
              <w:t>较小</w:t>
            </w:r>
          </w:p>
        </w:tc>
        <w:tc>
          <w:tcPr>
            <w:tcW w:w="1130" w:type="dxa"/>
            <w:vAlign w:val="center"/>
          </w:tcPr>
          <w:p w14:paraId="7DDD2788" w14:textId="77777777" w:rsidR="00D170E5" w:rsidRPr="002B55E9" w:rsidRDefault="00EF27AD">
            <w:pPr>
              <w:pStyle w:val="affff6"/>
              <w:adjustRightInd w:val="0"/>
            </w:pPr>
            <w:r w:rsidRPr="002B55E9">
              <w:t>局部</w:t>
            </w:r>
          </w:p>
        </w:tc>
        <w:tc>
          <w:tcPr>
            <w:tcW w:w="1120" w:type="dxa"/>
            <w:vAlign w:val="center"/>
          </w:tcPr>
          <w:p w14:paraId="2842778E" w14:textId="77777777" w:rsidR="00D170E5" w:rsidRPr="002B55E9" w:rsidRDefault="00EF27AD">
            <w:pPr>
              <w:pStyle w:val="affff6"/>
              <w:adjustRightInd w:val="0"/>
            </w:pPr>
            <w:r w:rsidRPr="002B55E9">
              <w:t>可</w:t>
            </w:r>
          </w:p>
        </w:tc>
      </w:tr>
      <w:tr w:rsidR="002B55E9" w:rsidRPr="002B55E9" w14:paraId="36117716" w14:textId="77777777">
        <w:trPr>
          <w:trHeight w:val="284"/>
          <w:jc w:val="center"/>
        </w:trPr>
        <w:tc>
          <w:tcPr>
            <w:tcW w:w="610" w:type="dxa"/>
            <w:vMerge/>
            <w:vAlign w:val="center"/>
          </w:tcPr>
          <w:p w14:paraId="7D03A3D2" w14:textId="77777777" w:rsidR="00D170E5" w:rsidRPr="002B55E9" w:rsidRDefault="00D170E5">
            <w:pPr>
              <w:pStyle w:val="affff6"/>
              <w:adjustRightInd w:val="0"/>
            </w:pPr>
          </w:p>
        </w:tc>
        <w:tc>
          <w:tcPr>
            <w:tcW w:w="1140" w:type="dxa"/>
            <w:vMerge w:val="restart"/>
            <w:vAlign w:val="center"/>
          </w:tcPr>
          <w:p w14:paraId="0FB0A574" w14:textId="77777777" w:rsidR="00D170E5" w:rsidRPr="002B55E9" w:rsidRDefault="00EF27AD">
            <w:pPr>
              <w:pStyle w:val="affff6"/>
              <w:adjustRightInd w:val="0"/>
            </w:pPr>
            <w:r w:rsidRPr="002B55E9">
              <w:t>结构施工</w:t>
            </w:r>
          </w:p>
        </w:tc>
        <w:tc>
          <w:tcPr>
            <w:tcW w:w="1336" w:type="dxa"/>
            <w:vAlign w:val="center"/>
          </w:tcPr>
          <w:p w14:paraId="06C817DB" w14:textId="77777777" w:rsidR="00D170E5" w:rsidRPr="002B55E9" w:rsidRDefault="00EF27AD">
            <w:pPr>
              <w:pStyle w:val="affff6"/>
              <w:adjustRightInd w:val="0"/>
            </w:pPr>
            <w:r w:rsidRPr="002B55E9">
              <w:t>地表水</w:t>
            </w:r>
          </w:p>
        </w:tc>
        <w:tc>
          <w:tcPr>
            <w:tcW w:w="914" w:type="dxa"/>
            <w:vAlign w:val="center"/>
          </w:tcPr>
          <w:p w14:paraId="4547CF53" w14:textId="77777777" w:rsidR="00D170E5" w:rsidRPr="002B55E9" w:rsidRDefault="00EF27AD">
            <w:pPr>
              <w:pStyle w:val="affff6"/>
              <w:adjustRightInd w:val="0"/>
            </w:pPr>
            <w:r w:rsidRPr="002B55E9">
              <w:t>－</w:t>
            </w:r>
          </w:p>
        </w:tc>
        <w:tc>
          <w:tcPr>
            <w:tcW w:w="1130" w:type="dxa"/>
            <w:vAlign w:val="center"/>
          </w:tcPr>
          <w:p w14:paraId="6EE987C7" w14:textId="77777777" w:rsidR="00D170E5" w:rsidRPr="002B55E9" w:rsidRDefault="00EF27AD">
            <w:pPr>
              <w:pStyle w:val="affff6"/>
              <w:adjustRightInd w:val="0"/>
            </w:pPr>
            <w:r w:rsidRPr="002B55E9">
              <w:t>一般</w:t>
            </w:r>
          </w:p>
        </w:tc>
        <w:tc>
          <w:tcPr>
            <w:tcW w:w="1128" w:type="dxa"/>
            <w:vAlign w:val="center"/>
          </w:tcPr>
          <w:p w14:paraId="100ADB53" w14:textId="77777777" w:rsidR="00D170E5" w:rsidRPr="002B55E9" w:rsidRDefault="00EF27AD">
            <w:pPr>
              <w:pStyle w:val="affff6"/>
              <w:adjustRightInd w:val="0"/>
            </w:pPr>
            <w:r w:rsidRPr="002B55E9">
              <w:t>短</w:t>
            </w:r>
          </w:p>
        </w:tc>
        <w:tc>
          <w:tcPr>
            <w:tcW w:w="1130" w:type="dxa"/>
            <w:vAlign w:val="center"/>
          </w:tcPr>
          <w:p w14:paraId="0B8CC6B6" w14:textId="77777777" w:rsidR="00D170E5" w:rsidRPr="002B55E9" w:rsidRDefault="00EF27AD">
            <w:pPr>
              <w:pStyle w:val="affff6"/>
              <w:adjustRightInd w:val="0"/>
            </w:pPr>
            <w:r w:rsidRPr="002B55E9">
              <w:t>较大</w:t>
            </w:r>
          </w:p>
        </w:tc>
        <w:tc>
          <w:tcPr>
            <w:tcW w:w="1130" w:type="dxa"/>
            <w:vAlign w:val="center"/>
          </w:tcPr>
          <w:p w14:paraId="32AFF980" w14:textId="77777777" w:rsidR="00D170E5" w:rsidRPr="002B55E9" w:rsidRDefault="00EF27AD">
            <w:pPr>
              <w:pStyle w:val="affff6"/>
              <w:adjustRightInd w:val="0"/>
            </w:pPr>
            <w:r w:rsidRPr="002B55E9">
              <w:t>局部</w:t>
            </w:r>
          </w:p>
        </w:tc>
        <w:tc>
          <w:tcPr>
            <w:tcW w:w="1120" w:type="dxa"/>
            <w:vAlign w:val="center"/>
          </w:tcPr>
          <w:p w14:paraId="240384FC" w14:textId="77777777" w:rsidR="00D170E5" w:rsidRPr="002B55E9" w:rsidRDefault="00EF27AD">
            <w:pPr>
              <w:pStyle w:val="affff6"/>
              <w:adjustRightInd w:val="0"/>
            </w:pPr>
            <w:r w:rsidRPr="002B55E9">
              <w:t>可</w:t>
            </w:r>
          </w:p>
        </w:tc>
      </w:tr>
      <w:tr w:rsidR="002B55E9" w:rsidRPr="002B55E9" w14:paraId="48BF98E0" w14:textId="77777777">
        <w:trPr>
          <w:trHeight w:val="284"/>
          <w:jc w:val="center"/>
        </w:trPr>
        <w:tc>
          <w:tcPr>
            <w:tcW w:w="610" w:type="dxa"/>
            <w:vMerge/>
            <w:vAlign w:val="center"/>
          </w:tcPr>
          <w:p w14:paraId="57126207" w14:textId="77777777" w:rsidR="00D170E5" w:rsidRPr="002B55E9" w:rsidRDefault="00D170E5">
            <w:pPr>
              <w:pStyle w:val="affff6"/>
              <w:adjustRightInd w:val="0"/>
            </w:pPr>
          </w:p>
        </w:tc>
        <w:tc>
          <w:tcPr>
            <w:tcW w:w="1140" w:type="dxa"/>
            <w:vMerge/>
            <w:vAlign w:val="center"/>
          </w:tcPr>
          <w:p w14:paraId="77479AFA" w14:textId="77777777" w:rsidR="00D170E5" w:rsidRPr="002B55E9" w:rsidRDefault="00D170E5">
            <w:pPr>
              <w:pStyle w:val="affff6"/>
              <w:adjustRightInd w:val="0"/>
            </w:pPr>
          </w:p>
        </w:tc>
        <w:tc>
          <w:tcPr>
            <w:tcW w:w="1336" w:type="dxa"/>
            <w:vAlign w:val="center"/>
          </w:tcPr>
          <w:p w14:paraId="1111735E" w14:textId="77777777" w:rsidR="00D170E5" w:rsidRPr="002B55E9" w:rsidRDefault="00EF27AD">
            <w:pPr>
              <w:pStyle w:val="affff6"/>
              <w:adjustRightInd w:val="0"/>
            </w:pPr>
            <w:r w:rsidRPr="002B55E9">
              <w:t>地下水</w:t>
            </w:r>
          </w:p>
        </w:tc>
        <w:tc>
          <w:tcPr>
            <w:tcW w:w="914" w:type="dxa"/>
            <w:vAlign w:val="center"/>
          </w:tcPr>
          <w:p w14:paraId="65838B14" w14:textId="77777777" w:rsidR="00D170E5" w:rsidRPr="002B55E9" w:rsidRDefault="00EF27AD">
            <w:pPr>
              <w:pStyle w:val="affff6"/>
              <w:adjustRightInd w:val="0"/>
            </w:pPr>
            <w:r w:rsidRPr="002B55E9">
              <w:t>－</w:t>
            </w:r>
          </w:p>
        </w:tc>
        <w:tc>
          <w:tcPr>
            <w:tcW w:w="1130" w:type="dxa"/>
            <w:vAlign w:val="center"/>
          </w:tcPr>
          <w:p w14:paraId="027B655F" w14:textId="77777777" w:rsidR="00D170E5" w:rsidRPr="002B55E9" w:rsidRDefault="00EF27AD">
            <w:pPr>
              <w:pStyle w:val="affff6"/>
              <w:adjustRightInd w:val="0"/>
            </w:pPr>
            <w:r w:rsidRPr="002B55E9">
              <w:t>一般</w:t>
            </w:r>
          </w:p>
        </w:tc>
        <w:tc>
          <w:tcPr>
            <w:tcW w:w="1128" w:type="dxa"/>
            <w:vAlign w:val="center"/>
          </w:tcPr>
          <w:p w14:paraId="52EC9E97" w14:textId="77777777" w:rsidR="00D170E5" w:rsidRPr="002B55E9" w:rsidRDefault="00EF27AD">
            <w:pPr>
              <w:pStyle w:val="affff6"/>
              <w:adjustRightInd w:val="0"/>
            </w:pPr>
            <w:r w:rsidRPr="002B55E9">
              <w:t>短</w:t>
            </w:r>
          </w:p>
        </w:tc>
        <w:tc>
          <w:tcPr>
            <w:tcW w:w="1130" w:type="dxa"/>
            <w:vAlign w:val="center"/>
          </w:tcPr>
          <w:p w14:paraId="5A8CDFB9" w14:textId="77777777" w:rsidR="00D170E5" w:rsidRPr="002B55E9" w:rsidRDefault="00EF27AD">
            <w:pPr>
              <w:pStyle w:val="affff6"/>
              <w:adjustRightInd w:val="0"/>
            </w:pPr>
            <w:r w:rsidRPr="002B55E9">
              <w:t>较小</w:t>
            </w:r>
          </w:p>
        </w:tc>
        <w:tc>
          <w:tcPr>
            <w:tcW w:w="1130" w:type="dxa"/>
            <w:vAlign w:val="center"/>
          </w:tcPr>
          <w:p w14:paraId="696F9705" w14:textId="77777777" w:rsidR="00D170E5" w:rsidRPr="002B55E9" w:rsidRDefault="00EF27AD">
            <w:pPr>
              <w:pStyle w:val="affff6"/>
              <w:adjustRightInd w:val="0"/>
            </w:pPr>
            <w:r w:rsidRPr="002B55E9">
              <w:t>局部</w:t>
            </w:r>
          </w:p>
        </w:tc>
        <w:tc>
          <w:tcPr>
            <w:tcW w:w="1120" w:type="dxa"/>
            <w:vAlign w:val="center"/>
          </w:tcPr>
          <w:p w14:paraId="79017A59" w14:textId="77777777" w:rsidR="00D170E5" w:rsidRPr="002B55E9" w:rsidRDefault="00EF27AD">
            <w:pPr>
              <w:pStyle w:val="affff6"/>
              <w:adjustRightInd w:val="0"/>
            </w:pPr>
            <w:r w:rsidRPr="002B55E9">
              <w:t>可</w:t>
            </w:r>
          </w:p>
        </w:tc>
      </w:tr>
      <w:tr w:rsidR="002B55E9" w:rsidRPr="002B55E9" w14:paraId="14EA1BBA" w14:textId="77777777">
        <w:trPr>
          <w:trHeight w:val="284"/>
          <w:jc w:val="center"/>
        </w:trPr>
        <w:tc>
          <w:tcPr>
            <w:tcW w:w="610" w:type="dxa"/>
            <w:vMerge/>
            <w:vAlign w:val="center"/>
          </w:tcPr>
          <w:p w14:paraId="79589C9E" w14:textId="77777777" w:rsidR="00D170E5" w:rsidRPr="002B55E9" w:rsidRDefault="00D170E5">
            <w:pPr>
              <w:pStyle w:val="affff6"/>
              <w:adjustRightInd w:val="0"/>
            </w:pPr>
          </w:p>
        </w:tc>
        <w:tc>
          <w:tcPr>
            <w:tcW w:w="1140" w:type="dxa"/>
            <w:vMerge/>
            <w:vAlign w:val="center"/>
          </w:tcPr>
          <w:p w14:paraId="577D5208" w14:textId="77777777" w:rsidR="00D170E5" w:rsidRPr="002B55E9" w:rsidRDefault="00D170E5">
            <w:pPr>
              <w:pStyle w:val="affff6"/>
              <w:adjustRightInd w:val="0"/>
            </w:pPr>
          </w:p>
        </w:tc>
        <w:tc>
          <w:tcPr>
            <w:tcW w:w="1336" w:type="dxa"/>
            <w:vAlign w:val="center"/>
          </w:tcPr>
          <w:p w14:paraId="7DC0E7D3" w14:textId="77777777" w:rsidR="00D170E5" w:rsidRPr="002B55E9" w:rsidRDefault="00EF27AD">
            <w:pPr>
              <w:pStyle w:val="affff6"/>
              <w:adjustRightInd w:val="0"/>
            </w:pPr>
            <w:r w:rsidRPr="002B55E9">
              <w:rPr>
                <w:rFonts w:hint="eastAsia"/>
              </w:rPr>
              <w:t>土壤</w:t>
            </w:r>
          </w:p>
        </w:tc>
        <w:tc>
          <w:tcPr>
            <w:tcW w:w="914" w:type="dxa"/>
            <w:vAlign w:val="center"/>
          </w:tcPr>
          <w:p w14:paraId="6C8A9192" w14:textId="77777777" w:rsidR="00D170E5" w:rsidRPr="002B55E9" w:rsidRDefault="00EF27AD">
            <w:pPr>
              <w:pStyle w:val="affff6"/>
              <w:adjustRightInd w:val="0"/>
            </w:pPr>
            <w:r w:rsidRPr="002B55E9">
              <w:t>－</w:t>
            </w:r>
          </w:p>
        </w:tc>
        <w:tc>
          <w:tcPr>
            <w:tcW w:w="1130" w:type="dxa"/>
            <w:vAlign w:val="center"/>
          </w:tcPr>
          <w:p w14:paraId="1AFF7B10" w14:textId="77777777" w:rsidR="00D170E5" w:rsidRPr="002B55E9" w:rsidRDefault="00EF27AD">
            <w:pPr>
              <w:pStyle w:val="affff6"/>
              <w:adjustRightInd w:val="0"/>
            </w:pPr>
            <w:r w:rsidRPr="002B55E9">
              <w:t>一般</w:t>
            </w:r>
          </w:p>
        </w:tc>
        <w:tc>
          <w:tcPr>
            <w:tcW w:w="1128" w:type="dxa"/>
            <w:vAlign w:val="center"/>
          </w:tcPr>
          <w:p w14:paraId="5620D360" w14:textId="77777777" w:rsidR="00D170E5" w:rsidRPr="002B55E9" w:rsidRDefault="00EF27AD">
            <w:pPr>
              <w:pStyle w:val="affff6"/>
              <w:adjustRightInd w:val="0"/>
            </w:pPr>
            <w:r w:rsidRPr="002B55E9">
              <w:t>短</w:t>
            </w:r>
          </w:p>
        </w:tc>
        <w:tc>
          <w:tcPr>
            <w:tcW w:w="1130" w:type="dxa"/>
            <w:vAlign w:val="center"/>
          </w:tcPr>
          <w:p w14:paraId="4459FD6A" w14:textId="77777777" w:rsidR="00D170E5" w:rsidRPr="002B55E9" w:rsidRDefault="00EF27AD">
            <w:pPr>
              <w:pStyle w:val="affff6"/>
              <w:adjustRightInd w:val="0"/>
            </w:pPr>
            <w:r w:rsidRPr="002B55E9">
              <w:t>较小</w:t>
            </w:r>
          </w:p>
        </w:tc>
        <w:tc>
          <w:tcPr>
            <w:tcW w:w="1130" w:type="dxa"/>
            <w:vAlign w:val="center"/>
          </w:tcPr>
          <w:p w14:paraId="4B5BA8CB" w14:textId="77777777" w:rsidR="00D170E5" w:rsidRPr="002B55E9" w:rsidRDefault="00EF27AD">
            <w:pPr>
              <w:pStyle w:val="affff6"/>
              <w:adjustRightInd w:val="0"/>
            </w:pPr>
            <w:r w:rsidRPr="002B55E9">
              <w:t>局部</w:t>
            </w:r>
          </w:p>
        </w:tc>
        <w:tc>
          <w:tcPr>
            <w:tcW w:w="1120" w:type="dxa"/>
            <w:vAlign w:val="center"/>
          </w:tcPr>
          <w:p w14:paraId="1667530F" w14:textId="77777777" w:rsidR="00D170E5" w:rsidRPr="002B55E9" w:rsidRDefault="00EF27AD">
            <w:pPr>
              <w:pStyle w:val="affff6"/>
              <w:adjustRightInd w:val="0"/>
            </w:pPr>
            <w:r w:rsidRPr="002B55E9">
              <w:t>可</w:t>
            </w:r>
          </w:p>
        </w:tc>
      </w:tr>
      <w:tr w:rsidR="002B55E9" w:rsidRPr="002B55E9" w14:paraId="757CC07B" w14:textId="77777777">
        <w:trPr>
          <w:trHeight w:val="284"/>
          <w:jc w:val="center"/>
        </w:trPr>
        <w:tc>
          <w:tcPr>
            <w:tcW w:w="610" w:type="dxa"/>
            <w:vMerge/>
            <w:vAlign w:val="center"/>
          </w:tcPr>
          <w:p w14:paraId="743667AA" w14:textId="77777777" w:rsidR="00D170E5" w:rsidRPr="002B55E9" w:rsidRDefault="00D170E5">
            <w:pPr>
              <w:pStyle w:val="affff6"/>
              <w:adjustRightInd w:val="0"/>
            </w:pPr>
          </w:p>
        </w:tc>
        <w:tc>
          <w:tcPr>
            <w:tcW w:w="1140" w:type="dxa"/>
            <w:vMerge/>
            <w:vAlign w:val="center"/>
          </w:tcPr>
          <w:p w14:paraId="6633CE54" w14:textId="77777777" w:rsidR="00D170E5" w:rsidRPr="002B55E9" w:rsidRDefault="00D170E5">
            <w:pPr>
              <w:pStyle w:val="affff6"/>
              <w:adjustRightInd w:val="0"/>
            </w:pPr>
          </w:p>
        </w:tc>
        <w:tc>
          <w:tcPr>
            <w:tcW w:w="1336" w:type="dxa"/>
            <w:vAlign w:val="center"/>
          </w:tcPr>
          <w:p w14:paraId="6C7F6A2B" w14:textId="77777777" w:rsidR="00D170E5" w:rsidRPr="002B55E9" w:rsidRDefault="00EF27AD">
            <w:pPr>
              <w:pStyle w:val="affff6"/>
              <w:adjustRightInd w:val="0"/>
            </w:pPr>
            <w:r w:rsidRPr="002B55E9">
              <w:t>环境空气</w:t>
            </w:r>
          </w:p>
        </w:tc>
        <w:tc>
          <w:tcPr>
            <w:tcW w:w="914" w:type="dxa"/>
            <w:vAlign w:val="center"/>
          </w:tcPr>
          <w:p w14:paraId="6F18E4E9" w14:textId="77777777" w:rsidR="00D170E5" w:rsidRPr="002B55E9" w:rsidRDefault="00EF27AD">
            <w:pPr>
              <w:pStyle w:val="affff6"/>
              <w:adjustRightInd w:val="0"/>
            </w:pPr>
            <w:r w:rsidRPr="002B55E9">
              <w:t>－</w:t>
            </w:r>
          </w:p>
        </w:tc>
        <w:tc>
          <w:tcPr>
            <w:tcW w:w="1130" w:type="dxa"/>
            <w:vAlign w:val="center"/>
          </w:tcPr>
          <w:p w14:paraId="2912B110" w14:textId="77777777" w:rsidR="00D170E5" w:rsidRPr="002B55E9" w:rsidRDefault="00EF27AD">
            <w:pPr>
              <w:pStyle w:val="affff6"/>
              <w:adjustRightInd w:val="0"/>
            </w:pPr>
            <w:r w:rsidRPr="002B55E9">
              <w:t>较小</w:t>
            </w:r>
          </w:p>
        </w:tc>
        <w:tc>
          <w:tcPr>
            <w:tcW w:w="1128" w:type="dxa"/>
            <w:vAlign w:val="center"/>
          </w:tcPr>
          <w:p w14:paraId="4D1F7460" w14:textId="77777777" w:rsidR="00D170E5" w:rsidRPr="002B55E9" w:rsidRDefault="00EF27AD">
            <w:pPr>
              <w:pStyle w:val="affff6"/>
              <w:adjustRightInd w:val="0"/>
            </w:pPr>
            <w:r w:rsidRPr="002B55E9">
              <w:t>短</w:t>
            </w:r>
          </w:p>
        </w:tc>
        <w:tc>
          <w:tcPr>
            <w:tcW w:w="1130" w:type="dxa"/>
            <w:vAlign w:val="center"/>
          </w:tcPr>
          <w:p w14:paraId="4AC05E3E" w14:textId="77777777" w:rsidR="00D170E5" w:rsidRPr="002B55E9" w:rsidRDefault="00EF27AD">
            <w:pPr>
              <w:pStyle w:val="affff6"/>
              <w:adjustRightInd w:val="0"/>
            </w:pPr>
            <w:r w:rsidRPr="002B55E9">
              <w:t>较大</w:t>
            </w:r>
          </w:p>
        </w:tc>
        <w:tc>
          <w:tcPr>
            <w:tcW w:w="1130" w:type="dxa"/>
            <w:vAlign w:val="center"/>
          </w:tcPr>
          <w:p w14:paraId="50EC426B" w14:textId="77777777" w:rsidR="00D170E5" w:rsidRPr="002B55E9" w:rsidRDefault="00EF27AD">
            <w:pPr>
              <w:pStyle w:val="affff6"/>
              <w:adjustRightInd w:val="0"/>
            </w:pPr>
            <w:r w:rsidRPr="002B55E9">
              <w:t>局部</w:t>
            </w:r>
          </w:p>
        </w:tc>
        <w:tc>
          <w:tcPr>
            <w:tcW w:w="1120" w:type="dxa"/>
            <w:vAlign w:val="center"/>
          </w:tcPr>
          <w:p w14:paraId="12BCF12B" w14:textId="77777777" w:rsidR="00D170E5" w:rsidRPr="002B55E9" w:rsidRDefault="00EF27AD">
            <w:pPr>
              <w:pStyle w:val="affff6"/>
              <w:adjustRightInd w:val="0"/>
            </w:pPr>
            <w:r w:rsidRPr="002B55E9">
              <w:t>可</w:t>
            </w:r>
          </w:p>
        </w:tc>
      </w:tr>
      <w:tr w:rsidR="002B55E9" w:rsidRPr="002B55E9" w14:paraId="6750E1C5" w14:textId="77777777">
        <w:trPr>
          <w:trHeight w:val="284"/>
          <w:jc w:val="center"/>
        </w:trPr>
        <w:tc>
          <w:tcPr>
            <w:tcW w:w="610" w:type="dxa"/>
            <w:vMerge/>
            <w:vAlign w:val="center"/>
          </w:tcPr>
          <w:p w14:paraId="4DF121EC" w14:textId="77777777" w:rsidR="00D170E5" w:rsidRPr="002B55E9" w:rsidRDefault="00D170E5">
            <w:pPr>
              <w:pStyle w:val="affff6"/>
              <w:adjustRightInd w:val="0"/>
            </w:pPr>
          </w:p>
        </w:tc>
        <w:tc>
          <w:tcPr>
            <w:tcW w:w="1140" w:type="dxa"/>
            <w:vMerge/>
            <w:vAlign w:val="center"/>
          </w:tcPr>
          <w:p w14:paraId="36AF42A9" w14:textId="77777777" w:rsidR="00D170E5" w:rsidRPr="002B55E9" w:rsidRDefault="00D170E5">
            <w:pPr>
              <w:pStyle w:val="affff6"/>
              <w:adjustRightInd w:val="0"/>
            </w:pPr>
          </w:p>
        </w:tc>
        <w:tc>
          <w:tcPr>
            <w:tcW w:w="1336" w:type="dxa"/>
            <w:vAlign w:val="center"/>
          </w:tcPr>
          <w:p w14:paraId="7C9D24C2" w14:textId="77777777" w:rsidR="00D170E5" w:rsidRPr="002B55E9" w:rsidRDefault="00EF27AD">
            <w:pPr>
              <w:pStyle w:val="affff6"/>
              <w:adjustRightInd w:val="0"/>
            </w:pPr>
            <w:r w:rsidRPr="002B55E9">
              <w:t>声环境</w:t>
            </w:r>
          </w:p>
        </w:tc>
        <w:tc>
          <w:tcPr>
            <w:tcW w:w="914" w:type="dxa"/>
            <w:vAlign w:val="center"/>
          </w:tcPr>
          <w:p w14:paraId="33981EBD" w14:textId="77777777" w:rsidR="00D170E5" w:rsidRPr="002B55E9" w:rsidRDefault="00EF27AD">
            <w:pPr>
              <w:pStyle w:val="affff6"/>
              <w:adjustRightInd w:val="0"/>
            </w:pPr>
            <w:r w:rsidRPr="002B55E9">
              <w:t>－</w:t>
            </w:r>
          </w:p>
        </w:tc>
        <w:tc>
          <w:tcPr>
            <w:tcW w:w="1130" w:type="dxa"/>
            <w:vAlign w:val="center"/>
          </w:tcPr>
          <w:p w14:paraId="6DE000AA" w14:textId="77777777" w:rsidR="00D170E5" w:rsidRPr="002B55E9" w:rsidRDefault="00EF27AD">
            <w:pPr>
              <w:pStyle w:val="affff6"/>
              <w:adjustRightInd w:val="0"/>
            </w:pPr>
            <w:r w:rsidRPr="002B55E9">
              <w:t>一般</w:t>
            </w:r>
          </w:p>
        </w:tc>
        <w:tc>
          <w:tcPr>
            <w:tcW w:w="1128" w:type="dxa"/>
            <w:vAlign w:val="center"/>
          </w:tcPr>
          <w:p w14:paraId="458668F4" w14:textId="77777777" w:rsidR="00D170E5" w:rsidRPr="002B55E9" w:rsidRDefault="00EF27AD">
            <w:pPr>
              <w:pStyle w:val="affff6"/>
              <w:adjustRightInd w:val="0"/>
            </w:pPr>
            <w:r w:rsidRPr="002B55E9">
              <w:t>短</w:t>
            </w:r>
          </w:p>
        </w:tc>
        <w:tc>
          <w:tcPr>
            <w:tcW w:w="1130" w:type="dxa"/>
            <w:vAlign w:val="center"/>
          </w:tcPr>
          <w:p w14:paraId="50752165" w14:textId="77777777" w:rsidR="00D170E5" w:rsidRPr="002B55E9" w:rsidRDefault="00EF27AD">
            <w:pPr>
              <w:pStyle w:val="affff6"/>
              <w:adjustRightInd w:val="0"/>
            </w:pPr>
            <w:r w:rsidRPr="002B55E9">
              <w:t>较大</w:t>
            </w:r>
          </w:p>
        </w:tc>
        <w:tc>
          <w:tcPr>
            <w:tcW w:w="1130" w:type="dxa"/>
            <w:vAlign w:val="center"/>
          </w:tcPr>
          <w:p w14:paraId="388F07D8" w14:textId="77777777" w:rsidR="00D170E5" w:rsidRPr="002B55E9" w:rsidRDefault="00EF27AD">
            <w:pPr>
              <w:pStyle w:val="affff6"/>
              <w:adjustRightInd w:val="0"/>
            </w:pPr>
            <w:r w:rsidRPr="002B55E9">
              <w:t>局部</w:t>
            </w:r>
          </w:p>
        </w:tc>
        <w:tc>
          <w:tcPr>
            <w:tcW w:w="1120" w:type="dxa"/>
            <w:vAlign w:val="center"/>
          </w:tcPr>
          <w:p w14:paraId="622CAF60" w14:textId="77777777" w:rsidR="00D170E5" w:rsidRPr="002B55E9" w:rsidRDefault="00EF27AD">
            <w:pPr>
              <w:pStyle w:val="affff6"/>
              <w:adjustRightInd w:val="0"/>
            </w:pPr>
            <w:r w:rsidRPr="002B55E9">
              <w:t>可</w:t>
            </w:r>
          </w:p>
        </w:tc>
      </w:tr>
      <w:tr w:rsidR="002B55E9" w:rsidRPr="002B55E9" w14:paraId="56939076" w14:textId="77777777">
        <w:trPr>
          <w:trHeight w:val="284"/>
          <w:jc w:val="center"/>
        </w:trPr>
        <w:tc>
          <w:tcPr>
            <w:tcW w:w="610" w:type="dxa"/>
            <w:vMerge/>
            <w:vAlign w:val="center"/>
          </w:tcPr>
          <w:p w14:paraId="24F231FD" w14:textId="77777777" w:rsidR="00D170E5" w:rsidRPr="002B55E9" w:rsidRDefault="00D170E5">
            <w:pPr>
              <w:pStyle w:val="affff6"/>
              <w:adjustRightInd w:val="0"/>
            </w:pPr>
          </w:p>
        </w:tc>
        <w:tc>
          <w:tcPr>
            <w:tcW w:w="1140" w:type="dxa"/>
            <w:vMerge w:val="restart"/>
            <w:vAlign w:val="center"/>
          </w:tcPr>
          <w:p w14:paraId="7A746E34" w14:textId="77777777" w:rsidR="00D170E5" w:rsidRPr="002B55E9" w:rsidRDefault="00EF27AD">
            <w:pPr>
              <w:pStyle w:val="affff6"/>
              <w:adjustRightInd w:val="0"/>
            </w:pPr>
            <w:r w:rsidRPr="002B55E9">
              <w:t>设备安装</w:t>
            </w:r>
          </w:p>
        </w:tc>
        <w:tc>
          <w:tcPr>
            <w:tcW w:w="1336" w:type="dxa"/>
            <w:vAlign w:val="center"/>
          </w:tcPr>
          <w:p w14:paraId="5FB4C30A" w14:textId="77777777" w:rsidR="00D170E5" w:rsidRPr="002B55E9" w:rsidRDefault="00EF27AD">
            <w:pPr>
              <w:pStyle w:val="affff6"/>
              <w:adjustRightInd w:val="0"/>
            </w:pPr>
            <w:r w:rsidRPr="002B55E9">
              <w:t>地表水</w:t>
            </w:r>
          </w:p>
        </w:tc>
        <w:tc>
          <w:tcPr>
            <w:tcW w:w="914" w:type="dxa"/>
            <w:vAlign w:val="center"/>
          </w:tcPr>
          <w:p w14:paraId="34AB441B" w14:textId="77777777" w:rsidR="00D170E5" w:rsidRPr="002B55E9" w:rsidRDefault="00EF27AD">
            <w:pPr>
              <w:pStyle w:val="affff6"/>
              <w:adjustRightInd w:val="0"/>
            </w:pPr>
            <w:r w:rsidRPr="002B55E9">
              <w:t>－</w:t>
            </w:r>
          </w:p>
        </w:tc>
        <w:tc>
          <w:tcPr>
            <w:tcW w:w="1130" w:type="dxa"/>
            <w:vAlign w:val="center"/>
          </w:tcPr>
          <w:p w14:paraId="296081BF" w14:textId="77777777" w:rsidR="00D170E5" w:rsidRPr="002B55E9" w:rsidRDefault="00EF27AD">
            <w:pPr>
              <w:pStyle w:val="affff6"/>
              <w:adjustRightInd w:val="0"/>
            </w:pPr>
            <w:r w:rsidRPr="002B55E9">
              <w:t>较小</w:t>
            </w:r>
          </w:p>
        </w:tc>
        <w:tc>
          <w:tcPr>
            <w:tcW w:w="1128" w:type="dxa"/>
            <w:vAlign w:val="center"/>
          </w:tcPr>
          <w:p w14:paraId="765E503A" w14:textId="77777777" w:rsidR="00D170E5" w:rsidRPr="002B55E9" w:rsidRDefault="00EF27AD">
            <w:pPr>
              <w:pStyle w:val="affff6"/>
              <w:adjustRightInd w:val="0"/>
            </w:pPr>
            <w:r w:rsidRPr="002B55E9">
              <w:t>短</w:t>
            </w:r>
          </w:p>
        </w:tc>
        <w:tc>
          <w:tcPr>
            <w:tcW w:w="1130" w:type="dxa"/>
            <w:vAlign w:val="center"/>
          </w:tcPr>
          <w:p w14:paraId="1B38CB17" w14:textId="77777777" w:rsidR="00D170E5" w:rsidRPr="002B55E9" w:rsidRDefault="00EF27AD">
            <w:pPr>
              <w:pStyle w:val="affff6"/>
              <w:adjustRightInd w:val="0"/>
            </w:pPr>
            <w:r w:rsidRPr="002B55E9">
              <w:t>较大</w:t>
            </w:r>
          </w:p>
        </w:tc>
        <w:tc>
          <w:tcPr>
            <w:tcW w:w="1130" w:type="dxa"/>
            <w:vAlign w:val="center"/>
          </w:tcPr>
          <w:p w14:paraId="6CD3FB4F" w14:textId="77777777" w:rsidR="00D170E5" w:rsidRPr="002B55E9" w:rsidRDefault="00EF27AD">
            <w:pPr>
              <w:pStyle w:val="affff6"/>
              <w:adjustRightInd w:val="0"/>
            </w:pPr>
            <w:r w:rsidRPr="002B55E9">
              <w:t>局部</w:t>
            </w:r>
          </w:p>
        </w:tc>
        <w:tc>
          <w:tcPr>
            <w:tcW w:w="1120" w:type="dxa"/>
            <w:vAlign w:val="center"/>
          </w:tcPr>
          <w:p w14:paraId="1B5CEA41" w14:textId="77777777" w:rsidR="00D170E5" w:rsidRPr="002B55E9" w:rsidRDefault="00EF27AD">
            <w:pPr>
              <w:pStyle w:val="affff6"/>
              <w:adjustRightInd w:val="0"/>
            </w:pPr>
            <w:r w:rsidRPr="002B55E9">
              <w:t>可</w:t>
            </w:r>
          </w:p>
        </w:tc>
      </w:tr>
      <w:tr w:rsidR="002B55E9" w:rsidRPr="002B55E9" w14:paraId="6DB44B99" w14:textId="77777777">
        <w:trPr>
          <w:trHeight w:val="284"/>
          <w:jc w:val="center"/>
        </w:trPr>
        <w:tc>
          <w:tcPr>
            <w:tcW w:w="610" w:type="dxa"/>
            <w:vMerge/>
            <w:vAlign w:val="center"/>
          </w:tcPr>
          <w:p w14:paraId="7619D854" w14:textId="77777777" w:rsidR="00D170E5" w:rsidRPr="002B55E9" w:rsidRDefault="00D170E5">
            <w:pPr>
              <w:pStyle w:val="affff6"/>
              <w:adjustRightInd w:val="0"/>
            </w:pPr>
          </w:p>
        </w:tc>
        <w:tc>
          <w:tcPr>
            <w:tcW w:w="1140" w:type="dxa"/>
            <w:vMerge/>
            <w:vAlign w:val="center"/>
          </w:tcPr>
          <w:p w14:paraId="588D0A12" w14:textId="77777777" w:rsidR="00D170E5" w:rsidRPr="002B55E9" w:rsidRDefault="00D170E5">
            <w:pPr>
              <w:pStyle w:val="affff6"/>
              <w:adjustRightInd w:val="0"/>
            </w:pPr>
          </w:p>
        </w:tc>
        <w:tc>
          <w:tcPr>
            <w:tcW w:w="1336" w:type="dxa"/>
            <w:vAlign w:val="center"/>
          </w:tcPr>
          <w:p w14:paraId="35C8429C" w14:textId="77777777" w:rsidR="00D170E5" w:rsidRPr="002B55E9" w:rsidRDefault="00EF27AD">
            <w:pPr>
              <w:pStyle w:val="affff6"/>
              <w:adjustRightInd w:val="0"/>
            </w:pPr>
            <w:r w:rsidRPr="002B55E9">
              <w:t>地下水</w:t>
            </w:r>
          </w:p>
        </w:tc>
        <w:tc>
          <w:tcPr>
            <w:tcW w:w="914" w:type="dxa"/>
            <w:vAlign w:val="center"/>
          </w:tcPr>
          <w:p w14:paraId="5EB02DFE" w14:textId="77777777" w:rsidR="00D170E5" w:rsidRPr="002B55E9" w:rsidRDefault="00EF27AD">
            <w:pPr>
              <w:pStyle w:val="affff6"/>
              <w:adjustRightInd w:val="0"/>
            </w:pPr>
            <w:r w:rsidRPr="002B55E9">
              <w:t>－</w:t>
            </w:r>
          </w:p>
        </w:tc>
        <w:tc>
          <w:tcPr>
            <w:tcW w:w="1130" w:type="dxa"/>
            <w:vAlign w:val="center"/>
          </w:tcPr>
          <w:p w14:paraId="27E14284" w14:textId="77777777" w:rsidR="00D170E5" w:rsidRPr="002B55E9" w:rsidRDefault="00EF27AD">
            <w:pPr>
              <w:pStyle w:val="affff6"/>
              <w:adjustRightInd w:val="0"/>
            </w:pPr>
            <w:r w:rsidRPr="002B55E9">
              <w:t>一般</w:t>
            </w:r>
          </w:p>
        </w:tc>
        <w:tc>
          <w:tcPr>
            <w:tcW w:w="1128" w:type="dxa"/>
            <w:vAlign w:val="center"/>
          </w:tcPr>
          <w:p w14:paraId="07C1823F" w14:textId="77777777" w:rsidR="00D170E5" w:rsidRPr="002B55E9" w:rsidRDefault="00EF27AD">
            <w:pPr>
              <w:pStyle w:val="affff6"/>
              <w:adjustRightInd w:val="0"/>
            </w:pPr>
            <w:r w:rsidRPr="002B55E9">
              <w:t>短</w:t>
            </w:r>
          </w:p>
        </w:tc>
        <w:tc>
          <w:tcPr>
            <w:tcW w:w="1130" w:type="dxa"/>
            <w:vAlign w:val="center"/>
          </w:tcPr>
          <w:p w14:paraId="25AE5885" w14:textId="77777777" w:rsidR="00D170E5" w:rsidRPr="002B55E9" w:rsidRDefault="00EF27AD">
            <w:pPr>
              <w:pStyle w:val="affff6"/>
              <w:adjustRightInd w:val="0"/>
            </w:pPr>
            <w:r w:rsidRPr="002B55E9">
              <w:t>较小</w:t>
            </w:r>
          </w:p>
        </w:tc>
        <w:tc>
          <w:tcPr>
            <w:tcW w:w="1130" w:type="dxa"/>
            <w:vAlign w:val="center"/>
          </w:tcPr>
          <w:p w14:paraId="2C86B18C" w14:textId="77777777" w:rsidR="00D170E5" w:rsidRPr="002B55E9" w:rsidRDefault="00EF27AD">
            <w:pPr>
              <w:pStyle w:val="affff6"/>
              <w:adjustRightInd w:val="0"/>
            </w:pPr>
            <w:r w:rsidRPr="002B55E9">
              <w:t>局部</w:t>
            </w:r>
          </w:p>
        </w:tc>
        <w:tc>
          <w:tcPr>
            <w:tcW w:w="1120" w:type="dxa"/>
            <w:vAlign w:val="center"/>
          </w:tcPr>
          <w:p w14:paraId="4656096C" w14:textId="77777777" w:rsidR="00D170E5" w:rsidRPr="002B55E9" w:rsidRDefault="00EF27AD">
            <w:pPr>
              <w:pStyle w:val="affff6"/>
              <w:adjustRightInd w:val="0"/>
            </w:pPr>
            <w:r w:rsidRPr="002B55E9">
              <w:t>可</w:t>
            </w:r>
          </w:p>
        </w:tc>
      </w:tr>
      <w:tr w:rsidR="002B55E9" w:rsidRPr="002B55E9" w14:paraId="7CB9C639" w14:textId="77777777">
        <w:trPr>
          <w:trHeight w:val="284"/>
          <w:jc w:val="center"/>
        </w:trPr>
        <w:tc>
          <w:tcPr>
            <w:tcW w:w="610" w:type="dxa"/>
            <w:vMerge/>
            <w:vAlign w:val="center"/>
          </w:tcPr>
          <w:p w14:paraId="38C524D8" w14:textId="77777777" w:rsidR="00D170E5" w:rsidRPr="002B55E9" w:rsidRDefault="00D170E5">
            <w:pPr>
              <w:pStyle w:val="affff6"/>
              <w:adjustRightInd w:val="0"/>
            </w:pPr>
          </w:p>
        </w:tc>
        <w:tc>
          <w:tcPr>
            <w:tcW w:w="1140" w:type="dxa"/>
            <w:vMerge/>
            <w:vAlign w:val="center"/>
          </w:tcPr>
          <w:p w14:paraId="7E233A79" w14:textId="77777777" w:rsidR="00D170E5" w:rsidRPr="002B55E9" w:rsidRDefault="00D170E5">
            <w:pPr>
              <w:pStyle w:val="affff6"/>
              <w:adjustRightInd w:val="0"/>
            </w:pPr>
          </w:p>
        </w:tc>
        <w:tc>
          <w:tcPr>
            <w:tcW w:w="1336" w:type="dxa"/>
            <w:vAlign w:val="center"/>
          </w:tcPr>
          <w:p w14:paraId="28872327" w14:textId="77777777" w:rsidR="00D170E5" w:rsidRPr="002B55E9" w:rsidRDefault="00EF27AD">
            <w:pPr>
              <w:pStyle w:val="affff6"/>
              <w:adjustRightInd w:val="0"/>
            </w:pPr>
            <w:r w:rsidRPr="002B55E9">
              <w:rPr>
                <w:rFonts w:hint="eastAsia"/>
              </w:rPr>
              <w:t>土壤</w:t>
            </w:r>
          </w:p>
        </w:tc>
        <w:tc>
          <w:tcPr>
            <w:tcW w:w="914" w:type="dxa"/>
            <w:vAlign w:val="center"/>
          </w:tcPr>
          <w:p w14:paraId="635C57EC" w14:textId="77777777" w:rsidR="00D170E5" w:rsidRPr="002B55E9" w:rsidRDefault="00EF27AD">
            <w:pPr>
              <w:pStyle w:val="affff6"/>
              <w:adjustRightInd w:val="0"/>
            </w:pPr>
            <w:r w:rsidRPr="002B55E9">
              <w:t>－</w:t>
            </w:r>
          </w:p>
        </w:tc>
        <w:tc>
          <w:tcPr>
            <w:tcW w:w="1130" w:type="dxa"/>
            <w:vAlign w:val="center"/>
          </w:tcPr>
          <w:p w14:paraId="68A5E0E2" w14:textId="77777777" w:rsidR="00D170E5" w:rsidRPr="002B55E9" w:rsidRDefault="00EF27AD">
            <w:pPr>
              <w:pStyle w:val="affff6"/>
              <w:adjustRightInd w:val="0"/>
            </w:pPr>
            <w:r w:rsidRPr="002B55E9">
              <w:t>一般</w:t>
            </w:r>
          </w:p>
        </w:tc>
        <w:tc>
          <w:tcPr>
            <w:tcW w:w="1128" w:type="dxa"/>
            <w:vAlign w:val="center"/>
          </w:tcPr>
          <w:p w14:paraId="3EB12A60" w14:textId="77777777" w:rsidR="00D170E5" w:rsidRPr="002B55E9" w:rsidRDefault="00EF27AD">
            <w:pPr>
              <w:pStyle w:val="affff6"/>
              <w:adjustRightInd w:val="0"/>
            </w:pPr>
            <w:r w:rsidRPr="002B55E9">
              <w:t>短</w:t>
            </w:r>
          </w:p>
        </w:tc>
        <w:tc>
          <w:tcPr>
            <w:tcW w:w="1130" w:type="dxa"/>
            <w:vAlign w:val="center"/>
          </w:tcPr>
          <w:p w14:paraId="2DB36A69" w14:textId="77777777" w:rsidR="00D170E5" w:rsidRPr="002B55E9" w:rsidRDefault="00EF27AD">
            <w:pPr>
              <w:pStyle w:val="affff6"/>
              <w:adjustRightInd w:val="0"/>
            </w:pPr>
            <w:r w:rsidRPr="002B55E9">
              <w:t>较小</w:t>
            </w:r>
          </w:p>
        </w:tc>
        <w:tc>
          <w:tcPr>
            <w:tcW w:w="1130" w:type="dxa"/>
            <w:vAlign w:val="center"/>
          </w:tcPr>
          <w:p w14:paraId="57060733" w14:textId="77777777" w:rsidR="00D170E5" w:rsidRPr="002B55E9" w:rsidRDefault="00EF27AD">
            <w:pPr>
              <w:pStyle w:val="affff6"/>
              <w:adjustRightInd w:val="0"/>
            </w:pPr>
            <w:r w:rsidRPr="002B55E9">
              <w:t>局部</w:t>
            </w:r>
          </w:p>
        </w:tc>
        <w:tc>
          <w:tcPr>
            <w:tcW w:w="1120" w:type="dxa"/>
            <w:vAlign w:val="center"/>
          </w:tcPr>
          <w:p w14:paraId="1D4F0D31" w14:textId="77777777" w:rsidR="00D170E5" w:rsidRPr="002B55E9" w:rsidRDefault="00EF27AD">
            <w:pPr>
              <w:pStyle w:val="affff6"/>
              <w:adjustRightInd w:val="0"/>
            </w:pPr>
            <w:r w:rsidRPr="002B55E9">
              <w:t>可</w:t>
            </w:r>
          </w:p>
        </w:tc>
      </w:tr>
      <w:tr w:rsidR="002B55E9" w:rsidRPr="002B55E9" w14:paraId="69F3F865" w14:textId="77777777">
        <w:trPr>
          <w:trHeight w:val="284"/>
          <w:jc w:val="center"/>
        </w:trPr>
        <w:tc>
          <w:tcPr>
            <w:tcW w:w="610" w:type="dxa"/>
            <w:vMerge/>
            <w:vAlign w:val="center"/>
          </w:tcPr>
          <w:p w14:paraId="7DF66619" w14:textId="77777777" w:rsidR="00D170E5" w:rsidRPr="002B55E9" w:rsidRDefault="00D170E5">
            <w:pPr>
              <w:pStyle w:val="affff6"/>
              <w:adjustRightInd w:val="0"/>
            </w:pPr>
          </w:p>
        </w:tc>
        <w:tc>
          <w:tcPr>
            <w:tcW w:w="1140" w:type="dxa"/>
            <w:vMerge/>
            <w:vAlign w:val="center"/>
          </w:tcPr>
          <w:p w14:paraId="70B7D4C6" w14:textId="77777777" w:rsidR="00D170E5" w:rsidRPr="002B55E9" w:rsidRDefault="00D170E5">
            <w:pPr>
              <w:pStyle w:val="affff6"/>
              <w:adjustRightInd w:val="0"/>
            </w:pPr>
          </w:p>
        </w:tc>
        <w:tc>
          <w:tcPr>
            <w:tcW w:w="1336" w:type="dxa"/>
            <w:vAlign w:val="center"/>
          </w:tcPr>
          <w:p w14:paraId="576AAE55" w14:textId="77777777" w:rsidR="00D170E5" w:rsidRPr="002B55E9" w:rsidRDefault="00EF27AD">
            <w:pPr>
              <w:pStyle w:val="affff6"/>
              <w:adjustRightInd w:val="0"/>
            </w:pPr>
            <w:r w:rsidRPr="002B55E9">
              <w:t>环境空气</w:t>
            </w:r>
          </w:p>
        </w:tc>
        <w:tc>
          <w:tcPr>
            <w:tcW w:w="914" w:type="dxa"/>
            <w:vAlign w:val="center"/>
          </w:tcPr>
          <w:p w14:paraId="32AEDD34" w14:textId="77777777" w:rsidR="00D170E5" w:rsidRPr="002B55E9" w:rsidRDefault="00EF27AD">
            <w:pPr>
              <w:pStyle w:val="affff6"/>
              <w:adjustRightInd w:val="0"/>
            </w:pPr>
            <w:r w:rsidRPr="002B55E9">
              <w:t>－</w:t>
            </w:r>
          </w:p>
        </w:tc>
        <w:tc>
          <w:tcPr>
            <w:tcW w:w="1130" w:type="dxa"/>
            <w:vAlign w:val="center"/>
          </w:tcPr>
          <w:p w14:paraId="7968E410" w14:textId="77777777" w:rsidR="00D170E5" w:rsidRPr="002B55E9" w:rsidRDefault="00EF27AD">
            <w:pPr>
              <w:pStyle w:val="affff6"/>
              <w:adjustRightInd w:val="0"/>
            </w:pPr>
            <w:r w:rsidRPr="002B55E9">
              <w:t>较小</w:t>
            </w:r>
          </w:p>
        </w:tc>
        <w:tc>
          <w:tcPr>
            <w:tcW w:w="1128" w:type="dxa"/>
            <w:vAlign w:val="center"/>
          </w:tcPr>
          <w:p w14:paraId="4802214A" w14:textId="77777777" w:rsidR="00D170E5" w:rsidRPr="002B55E9" w:rsidRDefault="00EF27AD">
            <w:pPr>
              <w:pStyle w:val="affff6"/>
              <w:adjustRightInd w:val="0"/>
            </w:pPr>
            <w:r w:rsidRPr="002B55E9">
              <w:t>短</w:t>
            </w:r>
          </w:p>
        </w:tc>
        <w:tc>
          <w:tcPr>
            <w:tcW w:w="1130" w:type="dxa"/>
            <w:vAlign w:val="center"/>
          </w:tcPr>
          <w:p w14:paraId="14C3E7E1" w14:textId="77777777" w:rsidR="00D170E5" w:rsidRPr="002B55E9" w:rsidRDefault="00EF27AD">
            <w:pPr>
              <w:pStyle w:val="affff6"/>
              <w:adjustRightInd w:val="0"/>
            </w:pPr>
            <w:r w:rsidRPr="002B55E9">
              <w:t>较大</w:t>
            </w:r>
          </w:p>
        </w:tc>
        <w:tc>
          <w:tcPr>
            <w:tcW w:w="1130" w:type="dxa"/>
            <w:vAlign w:val="center"/>
          </w:tcPr>
          <w:p w14:paraId="3AA36DF8" w14:textId="77777777" w:rsidR="00D170E5" w:rsidRPr="002B55E9" w:rsidRDefault="00EF27AD">
            <w:pPr>
              <w:pStyle w:val="affff6"/>
              <w:adjustRightInd w:val="0"/>
            </w:pPr>
            <w:r w:rsidRPr="002B55E9">
              <w:t>局部</w:t>
            </w:r>
          </w:p>
        </w:tc>
        <w:tc>
          <w:tcPr>
            <w:tcW w:w="1120" w:type="dxa"/>
            <w:vAlign w:val="center"/>
          </w:tcPr>
          <w:p w14:paraId="2ABE84A8" w14:textId="77777777" w:rsidR="00D170E5" w:rsidRPr="002B55E9" w:rsidRDefault="00EF27AD">
            <w:pPr>
              <w:pStyle w:val="affff6"/>
              <w:adjustRightInd w:val="0"/>
            </w:pPr>
            <w:r w:rsidRPr="002B55E9">
              <w:t>可</w:t>
            </w:r>
          </w:p>
        </w:tc>
      </w:tr>
      <w:tr w:rsidR="002B55E9" w:rsidRPr="002B55E9" w14:paraId="37017475" w14:textId="77777777">
        <w:trPr>
          <w:trHeight w:val="284"/>
          <w:jc w:val="center"/>
        </w:trPr>
        <w:tc>
          <w:tcPr>
            <w:tcW w:w="610" w:type="dxa"/>
            <w:vMerge/>
            <w:vAlign w:val="center"/>
          </w:tcPr>
          <w:p w14:paraId="4F8D32F3" w14:textId="77777777" w:rsidR="00D170E5" w:rsidRPr="002B55E9" w:rsidRDefault="00D170E5">
            <w:pPr>
              <w:pStyle w:val="affff6"/>
              <w:adjustRightInd w:val="0"/>
            </w:pPr>
          </w:p>
        </w:tc>
        <w:tc>
          <w:tcPr>
            <w:tcW w:w="1140" w:type="dxa"/>
            <w:vMerge/>
            <w:vAlign w:val="center"/>
          </w:tcPr>
          <w:p w14:paraId="76E88292" w14:textId="77777777" w:rsidR="00D170E5" w:rsidRPr="002B55E9" w:rsidRDefault="00D170E5">
            <w:pPr>
              <w:pStyle w:val="affff6"/>
              <w:adjustRightInd w:val="0"/>
            </w:pPr>
          </w:p>
        </w:tc>
        <w:tc>
          <w:tcPr>
            <w:tcW w:w="1336" w:type="dxa"/>
            <w:vAlign w:val="center"/>
          </w:tcPr>
          <w:p w14:paraId="50E60343" w14:textId="77777777" w:rsidR="00D170E5" w:rsidRPr="002B55E9" w:rsidRDefault="00EF27AD">
            <w:pPr>
              <w:pStyle w:val="affff6"/>
              <w:adjustRightInd w:val="0"/>
            </w:pPr>
            <w:r w:rsidRPr="002B55E9">
              <w:t>声环境</w:t>
            </w:r>
          </w:p>
        </w:tc>
        <w:tc>
          <w:tcPr>
            <w:tcW w:w="914" w:type="dxa"/>
            <w:vAlign w:val="center"/>
          </w:tcPr>
          <w:p w14:paraId="231814A8" w14:textId="77777777" w:rsidR="00D170E5" w:rsidRPr="002B55E9" w:rsidRDefault="00EF27AD">
            <w:pPr>
              <w:pStyle w:val="affff6"/>
              <w:adjustRightInd w:val="0"/>
            </w:pPr>
            <w:r w:rsidRPr="002B55E9">
              <w:t>－</w:t>
            </w:r>
          </w:p>
        </w:tc>
        <w:tc>
          <w:tcPr>
            <w:tcW w:w="1130" w:type="dxa"/>
            <w:vAlign w:val="center"/>
          </w:tcPr>
          <w:p w14:paraId="6DDD3969" w14:textId="77777777" w:rsidR="00D170E5" w:rsidRPr="002B55E9" w:rsidRDefault="00EF27AD">
            <w:pPr>
              <w:pStyle w:val="affff6"/>
              <w:adjustRightInd w:val="0"/>
            </w:pPr>
            <w:r w:rsidRPr="002B55E9">
              <w:t>较大</w:t>
            </w:r>
          </w:p>
        </w:tc>
        <w:tc>
          <w:tcPr>
            <w:tcW w:w="1128" w:type="dxa"/>
            <w:vAlign w:val="center"/>
          </w:tcPr>
          <w:p w14:paraId="5AF05CD1" w14:textId="77777777" w:rsidR="00D170E5" w:rsidRPr="002B55E9" w:rsidRDefault="00EF27AD">
            <w:pPr>
              <w:pStyle w:val="affff6"/>
              <w:adjustRightInd w:val="0"/>
            </w:pPr>
            <w:r w:rsidRPr="002B55E9">
              <w:t>短</w:t>
            </w:r>
          </w:p>
        </w:tc>
        <w:tc>
          <w:tcPr>
            <w:tcW w:w="1130" w:type="dxa"/>
            <w:vAlign w:val="center"/>
          </w:tcPr>
          <w:p w14:paraId="52259883" w14:textId="77777777" w:rsidR="00D170E5" w:rsidRPr="002B55E9" w:rsidRDefault="00EF27AD">
            <w:pPr>
              <w:pStyle w:val="affff6"/>
              <w:adjustRightInd w:val="0"/>
            </w:pPr>
            <w:r w:rsidRPr="002B55E9">
              <w:t>较大</w:t>
            </w:r>
          </w:p>
        </w:tc>
        <w:tc>
          <w:tcPr>
            <w:tcW w:w="1130" w:type="dxa"/>
            <w:vAlign w:val="center"/>
          </w:tcPr>
          <w:p w14:paraId="0758CA96" w14:textId="77777777" w:rsidR="00D170E5" w:rsidRPr="002B55E9" w:rsidRDefault="00EF27AD">
            <w:pPr>
              <w:pStyle w:val="affff6"/>
              <w:adjustRightInd w:val="0"/>
            </w:pPr>
            <w:r w:rsidRPr="002B55E9">
              <w:t>局部</w:t>
            </w:r>
          </w:p>
        </w:tc>
        <w:tc>
          <w:tcPr>
            <w:tcW w:w="1120" w:type="dxa"/>
            <w:vAlign w:val="center"/>
          </w:tcPr>
          <w:p w14:paraId="74608CAB" w14:textId="77777777" w:rsidR="00D170E5" w:rsidRPr="002B55E9" w:rsidRDefault="00EF27AD">
            <w:pPr>
              <w:pStyle w:val="affff6"/>
              <w:adjustRightInd w:val="0"/>
            </w:pPr>
            <w:r w:rsidRPr="002B55E9">
              <w:t>可</w:t>
            </w:r>
          </w:p>
        </w:tc>
      </w:tr>
      <w:tr w:rsidR="002B55E9" w:rsidRPr="002B55E9" w14:paraId="690F88D7" w14:textId="77777777">
        <w:trPr>
          <w:trHeight w:val="284"/>
          <w:jc w:val="center"/>
        </w:trPr>
        <w:tc>
          <w:tcPr>
            <w:tcW w:w="1750" w:type="dxa"/>
            <w:gridSpan w:val="2"/>
            <w:vMerge w:val="restart"/>
            <w:vAlign w:val="center"/>
          </w:tcPr>
          <w:p w14:paraId="4DDD7B8E" w14:textId="77777777" w:rsidR="00D170E5" w:rsidRPr="002B55E9" w:rsidRDefault="00EF27AD">
            <w:pPr>
              <w:pStyle w:val="affff6"/>
              <w:adjustRightInd w:val="0"/>
            </w:pPr>
            <w:r w:rsidRPr="002B55E9">
              <w:t>运</w:t>
            </w:r>
          </w:p>
          <w:p w14:paraId="44D9C243" w14:textId="77777777" w:rsidR="00D170E5" w:rsidRPr="002B55E9" w:rsidRDefault="00EF27AD">
            <w:pPr>
              <w:pStyle w:val="affff6"/>
              <w:adjustRightInd w:val="0"/>
            </w:pPr>
            <w:r w:rsidRPr="002B55E9">
              <w:t>营</w:t>
            </w:r>
          </w:p>
          <w:p w14:paraId="70FE6FB6" w14:textId="77777777" w:rsidR="00D170E5" w:rsidRPr="002B55E9" w:rsidRDefault="00EF27AD">
            <w:pPr>
              <w:pStyle w:val="affff6"/>
              <w:adjustRightInd w:val="0"/>
            </w:pPr>
            <w:r w:rsidRPr="002B55E9">
              <w:t>期</w:t>
            </w:r>
          </w:p>
        </w:tc>
        <w:tc>
          <w:tcPr>
            <w:tcW w:w="1336" w:type="dxa"/>
            <w:vAlign w:val="center"/>
          </w:tcPr>
          <w:p w14:paraId="6C107E1E" w14:textId="77777777" w:rsidR="00D170E5" w:rsidRPr="002B55E9" w:rsidRDefault="00EF27AD">
            <w:pPr>
              <w:pStyle w:val="affff6"/>
              <w:adjustRightInd w:val="0"/>
            </w:pPr>
            <w:r w:rsidRPr="002B55E9">
              <w:t>地表水</w:t>
            </w:r>
          </w:p>
        </w:tc>
        <w:tc>
          <w:tcPr>
            <w:tcW w:w="914" w:type="dxa"/>
            <w:vAlign w:val="center"/>
          </w:tcPr>
          <w:p w14:paraId="4FC33F68" w14:textId="77777777" w:rsidR="00D170E5" w:rsidRPr="002B55E9" w:rsidRDefault="00EF27AD">
            <w:pPr>
              <w:pStyle w:val="affff6"/>
              <w:adjustRightInd w:val="0"/>
            </w:pPr>
            <w:r w:rsidRPr="002B55E9">
              <w:t>－</w:t>
            </w:r>
          </w:p>
        </w:tc>
        <w:tc>
          <w:tcPr>
            <w:tcW w:w="1130" w:type="dxa"/>
            <w:vAlign w:val="center"/>
          </w:tcPr>
          <w:p w14:paraId="10645206" w14:textId="77777777" w:rsidR="00D170E5" w:rsidRPr="002B55E9" w:rsidRDefault="00EF27AD">
            <w:pPr>
              <w:pStyle w:val="affff6"/>
              <w:adjustRightInd w:val="0"/>
            </w:pPr>
            <w:r w:rsidRPr="002B55E9">
              <w:t>一般</w:t>
            </w:r>
          </w:p>
        </w:tc>
        <w:tc>
          <w:tcPr>
            <w:tcW w:w="1128" w:type="dxa"/>
            <w:vAlign w:val="center"/>
          </w:tcPr>
          <w:p w14:paraId="73AB7077" w14:textId="77777777" w:rsidR="00D170E5" w:rsidRPr="002B55E9" w:rsidRDefault="00EF27AD">
            <w:pPr>
              <w:pStyle w:val="affff6"/>
              <w:adjustRightInd w:val="0"/>
            </w:pPr>
            <w:r w:rsidRPr="002B55E9">
              <w:t>长期</w:t>
            </w:r>
          </w:p>
        </w:tc>
        <w:tc>
          <w:tcPr>
            <w:tcW w:w="1130" w:type="dxa"/>
            <w:vAlign w:val="center"/>
          </w:tcPr>
          <w:p w14:paraId="13067F97" w14:textId="77777777" w:rsidR="00D170E5" w:rsidRPr="002B55E9" w:rsidRDefault="00EF27AD">
            <w:pPr>
              <w:pStyle w:val="affff6"/>
              <w:adjustRightInd w:val="0"/>
            </w:pPr>
            <w:r w:rsidRPr="002B55E9">
              <w:t>一般</w:t>
            </w:r>
          </w:p>
        </w:tc>
        <w:tc>
          <w:tcPr>
            <w:tcW w:w="1130" w:type="dxa"/>
            <w:vAlign w:val="center"/>
          </w:tcPr>
          <w:p w14:paraId="7B598F28" w14:textId="77777777" w:rsidR="00D170E5" w:rsidRPr="002B55E9" w:rsidRDefault="00EF27AD">
            <w:pPr>
              <w:pStyle w:val="affff6"/>
              <w:adjustRightInd w:val="0"/>
            </w:pPr>
            <w:r w:rsidRPr="002B55E9">
              <w:t>局部</w:t>
            </w:r>
          </w:p>
        </w:tc>
        <w:tc>
          <w:tcPr>
            <w:tcW w:w="1120" w:type="dxa"/>
            <w:vAlign w:val="center"/>
          </w:tcPr>
          <w:p w14:paraId="35D5E06D" w14:textId="77777777" w:rsidR="00D170E5" w:rsidRPr="002B55E9" w:rsidRDefault="00EF27AD">
            <w:pPr>
              <w:pStyle w:val="affff6"/>
              <w:adjustRightInd w:val="0"/>
            </w:pPr>
            <w:r w:rsidRPr="002B55E9">
              <w:t>可</w:t>
            </w:r>
          </w:p>
        </w:tc>
      </w:tr>
      <w:tr w:rsidR="002B55E9" w:rsidRPr="002B55E9" w14:paraId="12239488" w14:textId="77777777">
        <w:trPr>
          <w:trHeight w:val="284"/>
          <w:jc w:val="center"/>
        </w:trPr>
        <w:tc>
          <w:tcPr>
            <w:tcW w:w="1750" w:type="dxa"/>
            <w:gridSpan w:val="2"/>
            <w:vMerge/>
            <w:vAlign w:val="center"/>
          </w:tcPr>
          <w:p w14:paraId="140198BE" w14:textId="77777777" w:rsidR="00D170E5" w:rsidRPr="002B55E9" w:rsidRDefault="00D170E5">
            <w:pPr>
              <w:pStyle w:val="affff6"/>
              <w:adjustRightInd w:val="0"/>
            </w:pPr>
          </w:p>
        </w:tc>
        <w:tc>
          <w:tcPr>
            <w:tcW w:w="1336" w:type="dxa"/>
            <w:vAlign w:val="center"/>
          </w:tcPr>
          <w:p w14:paraId="1C4D756F" w14:textId="77777777" w:rsidR="00D170E5" w:rsidRPr="002B55E9" w:rsidRDefault="00EF27AD">
            <w:pPr>
              <w:pStyle w:val="affff6"/>
              <w:adjustRightInd w:val="0"/>
            </w:pPr>
            <w:r w:rsidRPr="002B55E9">
              <w:t>环境空气</w:t>
            </w:r>
          </w:p>
        </w:tc>
        <w:tc>
          <w:tcPr>
            <w:tcW w:w="914" w:type="dxa"/>
            <w:vAlign w:val="center"/>
          </w:tcPr>
          <w:p w14:paraId="629EF6F1" w14:textId="77777777" w:rsidR="00D170E5" w:rsidRPr="002B55E9" w:rsidRDefault="00EF27AD">
            <w:pPr>
              <w:pStyle w:val="affff6"/>
              <w:adjustRightInd w:val="0"/>
            </w:pPr>
            <w:r w:rsidRPr="002B55E9">
              <w:t>－</w:t>
            </w:r>
          </w:p>
        </w:tc>
        <w:tc>
          <w:tcPr>
            <w:tcW w:w="1130" w:type="dxa"/>
            <w:vAlign w:val="center"/>
          </w:tcPr>
          <w:p w14:paraId="077470AB" w14:textId="77777777" w:rsidR="00D170E5" w:rsidRPr="002B55E9" w:rsidRDefault="00EF27AD">
            <w:pPr>
              <w:pStyle w:val="affff6"/>
              <w:adjustRightInd w:val="0"/>
              <w:rPr>
                <w:szCs w:val="24"/>
              </w:rPr>
            </w:pPr>
            <w:r w:rsidRPr="002B55E9">
              <w:rPr>
                <w:szCs w:val="24"/>
              </w:rPr>
              <w:t>一般</w:t>
            </w:r>
          </w:p>
        </w:tc>
        <w:tc>
          <w:tcPr>
            <w:tcW w:w="1128" w:type="dxa"/>
            <w:vAlign w:val="center"/>
          </w:tcPr>
          <w:p w14:paraId="1912FFEE" w14:textId="77777777" w:rsidR="00D170E5" w:rsidRPr="002B55E9" w:rsidRDefault="00EF27AD">
            <w:pPr>
              <w:pStyle w:val="affff6"/>
              <w:adjustRightInd w:val="0"/>
            </w:pPr>
            <w:r w:rsidRPr="002B55E9">
              <w:t>长期</w:t>
            </w:r>
          </w:p>
        </w:tc>
        <w:tc>
          <w:tcPr>
            <w:tcW w:w="1130" w:type="dxa"/>
            <w:vAlign w:val="center"/>
          </w:tcPr>
          <w:p w14:paraId="08F0FC98" w14:textId="77777777" w:rsidR="00D170E5" w:rsidRPr="002B55E9" w:rsidRDefault="00EF27AD">
            <w:pPr>
              <w:pStyle w:val="affff6"/>
              <w:adjustRightInd w:val="0"/>
            </w:pPr>
            <w:r w:rsidRPr="002B55E9">
              <w:t>一般</w:t>
            </w:r>
          </w:p>
        </w:tc>
        <w:tc>
          <w:tcPr>
            <w:tcW w:w="1130" w:type="dxa"/>
            <w:vAlign w:val="center"/>
          </w:tcPr>
          <w:p w14:paraId="2017105D" w14:textId="77777777" w:rsidR="00D170E5" w:rsidRPr="002B55E9" w:rsidRDefault="00EF27AD">
            <w:pPr>
              <w:pStyle w:val="affff6"/>
              <w:adjustRightInd w:val="0"/>
            </w:pPr>
            <w:r w:rsidRPr="002B55E9">
              <w:t>局部</w:t>
            </w:r>
          </w:p>
        </w:tc>
        <w:tc>
          <w:tcPr>
            <w:tcW w:w="1120" w:type="dxa"/>
            <w:vAlign w:val="center"/>
          </w:tcPr>
          <w:p w14:paraId="2FDB7BA7" w14:textId="77777777" w:rsidR="00D170E5" w:rsidRPr="002B55E9" w:rsidRDefault="00EF27AD">
            <w:pPr>
              <w:pStyle w:val="affff6"/>
              <w:adjustRightInd w:val="0"/>
            </w:pPr>
            <w:r w:rsidRPr="002B55E9">
              <w:t>可</w:t>
            </w:r>
          </w:p>
        </w:tc>
      </w:tr>
      <w:tr w:rsidR="002B55E9" w:rsidRPr="002B55E9" w14:paraId="474D1B01" w14:textId="77777777">
        <w:trPr>
          <w:trHeight w:val="284"/>
          <w:jc w:val="center"/>
        </w:trPr>
        <w:tc>
          <w:tcPr>
            <w:tcW w:w="1750" w:type="dxa"/>
            <w:gridSpan w:val="2"/>
            <w:vMerge/>
            <w:vAlign w:val="center"/>
          </w:tcPr>
          <w:p w14:paraId="7A05D73B" w14:textId="77777777" w:rsidR="00D170E5" w:rsidRPr="002B55E9" w:rsidRDefault="00D170E5">
            <w:pPr>
              <w:pStyle w:val="affff6"/>
              <w:adjustRightInd w:val="0"/>
            </w:pPr>
          </w:p>
        </w:tc>
        <w:tc>
          <w:tcPr>
            <w:tcW w:w="1336" w:type="dxa"/>
            <w:vAlign w:val="center"/>
          </w:tcPr>
          <w:p w14:paraId="4D1EEA9E" w14:textId="77777777" w:rsidR="00D170E5" w:rsidRPr="002B55E9" w:rsidRDefault="00EF27AD">
            <w:pPr>
              <w:pStyle w:val="affff6"/>
              <w:adjustRightInd w:val="0"/>
            </w:pPr>
            <w:r w:rsidRPr="002B55E9">
              <w:t>声环境</w:t>
            </w:r>
          </w:p>
        </w:tc>
        <w:tc>
          <w:tcPr>
            <w:tcW w:w="914" w:type="dxa"/>
            <w:vAlign w:val="center"/>
          </w:tcPr>
          <w:p w14:paraId="361B96BA" w14:textId="77777777" w:rsidR="00D170E5" w:rsidRPr="002B55E9" w:rsidRDefault="00EF27AD">
            <w:pPr>
              <w:pStyle w:val="affff6"/>
              <w:adjustRightInd w:val="0"/>
            </w:pPr>
            <w:r w:rsidRPr="002B55E9">
              <w:t>－</w:t>
            </w:r>
          </w:p>
        </w:tc>
        <w:tc>
          <w:tcPr>
            <w:tcW w:w="1130" w:type="dxa"/>
            <w:vAlign w:val="center"/>
          </w:tcPr>
          <w:p w14:paraId="5B72238D" w14:textId="77777777" w:rsidR="00D170E5" w:rsidRPr="002B55E9" w:rsidRDefault="00EF27AD">
            <w:pPr>
              <w:pStyle w:val="affff6"/>
              <w:adjustRightInd w:val="0"/>
            </w:pPr>
            <w:r w:rsidRPr="002B55E9">
              <w:t>一般</w:t>
            </w:r>
          </w:p>
        </w:tc>
        <w:tc>
          <w:tcPr>
            <w:tcW w:w="1128" w:type="dxa"/>
            <w:vAlign w:val="center"/>
          </w:tcPr>
          <w:p w14:paraId="44CACB16" w14:textId="77777777" w:rsidR="00D170E5" w:rsidRPr="002B55E9" w:rsidRDefault="00EF27AD">
            <w:pPr>
              <w:pStyle w:val="affff6"/>
              <w:adjustRightInd w:val="0"/>
            </w:pPr>
            <w:r w:rsidRPr="002B55E9">
              <w:t>长期</w:t>
            </w:r>
          </w:p>
        </w:tc>
        <w:tc>
          <w:tcPr>
            <w:tcW w:w="1130" w:type="dxa"/>
            <w:vAlign w:val="center"/>
          </w:tcPr>
          <w:p w14:paraId="32DDF64A" w14:textId="77777777" w:rsidR="00D170E5" w:rsidRPr="002B55E9" w:rsidRDefault="00EF27AD">
            <w:pPr>
              <w:pStyle w:val="affff6"/>
              <w:adjustRightInd w:val="0"/>
            </w:pPr>
            <w:r w:rsidRPr="002B55E9">
              <w:t>一般</w:t>
            </w:r>
          </w:p>
        </w:tc>
        <w:tc>
          <w:tcPr>
            <w:tcW w:w="1130" w:type="dxa"/>
            <w:vAlign w:val="center"/>
          </w:tcPr>
          <w:p w14:paraId="083E52EC" w14:textId="77777777" w:rsidR="00D170E5" w:rsidRPr="002B55E9" w:rsidRDefault="00EF27AD">
            <w:pPr>
              <w:pStyle w:val="affff6"/>
              <w:adjustRightInd w:val="0"/>
            </w:pPr>
            <w:r w:rsidRPr="002B55E9">
              <w:t>局部</w:t>
            </w:r>
          </w:p>
        </w:tc>
        <w:tc>
          <w:tcPr>
            <w:tcW w:w="1120" w:type="dxa"/>
            <w:vAlign w:val="center"/>
          </w:tcPr>
          <w:p w14:paraId="59FFD9A3" w14:textId="77777777" w:rsidR="00D170E5" w:rsidRPr="002B55E9" w:rsidRDefault="00EF27AD">
            <w:pPr>
              <w:pStyle w:val="affff6"/>
              <w:adjustRightInd w:val="0"/>
            </w:pPr>
            <w:r w:rsidRPr="002B55E9">
              <w:t>可</w:t>
            </w:r>
          </w:p>
        </w:tc>
      </w:tr>
      <w:tr w:rsidR="002B55E9" w:rsidRPr="002B55E9" w14:paraId="71FD2BEA" w14:textId="77777777">
        <w:trPr>
          <w:trHeight w:val="284"/>
          <w:jc w:val="center"/>
        </w:trPr>
        <w:tc>
          <w:tcPr>
            <w:tcW w:w="1750" w:type="dxa"/>
            <w:gridSpan w:val="2"/>
            <w:vMerge/>
            <w:vAlign w:val="center"/>
          </w:tcPr>
          <w:p w14:paraId="7411D891" w14:textId="77777777" w:rsidR="00D170E5" w:rsidRPr="002B55E9" w:rsidRDefault="00D170E5">
            <w:pPr>
              <w:pStyle w:val="affff6"/>
              <w:adjustRightInd w:val="0"/>
            </w:pPr>
          </w:p>
        </w:tc>
        <w:tc>
          <w:tcPr>
            <w:tcW w:w="1336" w:type="dxa"/>
            <w:vAlign w:val="center"/>
          </w:tcPr>
          <w:p w14:paraId="6BAE1F65" w14:textId="77777777" w:rsidR="00D170E5" w:rsidRPr="002B55E9" w:rsidRDefault="00EF27AD">
            <w:pPr>
              <w:pStyle w:val="affff6"/>
              <w:adjustRightInd w:val="0"/>
            </w:pPr>
            <w:r w:rsidRPr="002B55E9">
              <w:t>地下水</w:t>
            </w:r>
          </w:p>
        </w:tc>
        <w:tc>
          <w:tcPr>
            <w:tcW w:w="914" w:type="dxa"/>
            <w:vAlign w:val="center"/>
          </w:tcPr>
          <w:p w14:paraId="11F7551D" w14:textId="77777777" w:rsidR="00D170E5" w:rsidRPr="002B55E9" w:rsidRDefault="00EF27AD">
            <w:pPr>
              <w:pStyle w:val="affff6"/>
              <w:adjustRightInd w:val="0"/>
            </w:pPr>
            <w:r w:rsidRPr="002B55E9">
              <w:t>－</w:t>
            </w:r>
          </w:p>
        </w:tc>
        <w:tc>
          <w:tcPr>
            <w:tcW w:w="1130" w:type="dxa"/>
            <w:vAlign w:val="center"/>
          </w:tcPr>
          <w:p w14:paraId="5888F0E8" w14:textId="77777777" w:rsidR="00D170E5" w:rsidRPr="002B55E9" w:rsidRDefault="00EF27AD">
            <w:pPr>
              <w:pStyle w:val="affff6"/>
              <w:adjustRightInd w:val="0"/>
            </w:pPr>
            <w:r w:rsidRPr="002B55E9">
              <w:t>一般</w:t>
            </w:r>
          </w:p>
        </w:tc>
        <w:tc>
          <w:tcPr>
            <w:tcW w:w="1128" w:type="dxa"/>
            <w:vAlign w:val="center"/>
          </w:tcPr>
          <w:p w14:paraId="188ED70A" w14:textId="77777777" w:rsidR="00D170E5" w:rsidRPr="002B55E9" w:rsidRDefault="00EF27AD">
            <w:pPr>
              <w:pStyle w:val="affff6"/>
              <w:adjustRightInd w:val="0"/>
            </w:pPr>
            <w:r w:rsidRPr="002B55E9">
              <w:t>长期</w:t>
            </w:r>
          </w:p>
        </w:tc>
        <w:tc>
          <w:tcPr>
            <w:tcW w:w="1130" w:type="dxa"/>
            <w:vAlign w:val="center"/>
          </w:tcPr>
          <w:p w14:paraId="3ADC5D8B" w14:textId="77777777" w:rsidR="00D170E5" w:rsidRPr="002B55E9" w:rsidRDefault="00EF27AD">
            <w:pPr>
              <w:pStyle w:val="affff6"/>
              <w:adjustRightInd w:val="0"/>
            </w:pPr>
            <w:r w:rsidRPr="002B55E9">
              <w:t>一般</w:t>
            </w:r>
          </w:p>
        </w:tc>
        <w:tc>
          <w:tcPr>
            <w:tcW w:w="1130" w:type="dxa"/>
            <w:vAlign w:val="center"/>
          </w:tcPr>
          <w:p w14:paraId="32FD7F34" w14:textId="77777777" w:rsidR="00D170E5" w:rsidRPr="002B55E9" w:rsidRDefault="00EF27AD">
            <w:pPr>
              <w:pStyle w:val="affff6"/>
              <w:adjustRightInd w:val="0"/>
            </w:pPr>
            <w:r w:rsidRPr="002B55E9">
              <w:t>局部</w:t>
            </w:r>
          </w:p>
        </w:tc>
        <w:tc>
          <w:tcPr>
            <w:tcW w:w="1120" w:type="dxa"/>
            <w:vAlign w:val="center"/>
          </w:tcPr>
          <w:p w14:paraId="4205C256" w14:textId="77777777" w:rsidR="00D170E5" w:rsidRPr="002B55E9" w:rsidRDefault="00EF27AD">
            <w:pPr>
              <w:pStyle w:val="affff6"/>
              <w:adjustRightInd w:val="0"/>
            </w:pPr>
            <w:r w:rsidRPr="002B55E9">
              <w:t>可</w:t>
            </w:r>
          </w:p>
        </w:tc>
      </w:tr>
      <w:tr w:rsidR="002B55E9" w:rsidRPr="002B55E9" w14:paraId="6485C5E8" w14:textId="77777777">
        <w:trPr>
          <w:trHeight w:val="284"/>
          <w:jc w:val="center"/>
        </w:trPr>
        <w:tc>
          <w:tcPr>
            <w:tcW w:w="1750" w:type="dxa"/>
            <w:gridSpan w:val="2"/>
            <w:vMerge/>
            <w:vAlign w:val="center"/>
          </w:tcPr>
          <w:p w14:paraId="188AA593" w14:textId="77777777" w:rsidR="00D170E5" w:rsidRPr="002B55E9" w:rsidRDefault="00D170E5">
            <w:pPr>
              <w:pStyle w:val="affff6"/>
              <w:adjustRightInd w:val="0"/>
            </w:pPr>
          </w:p>
        </w:tc>
        <w:tc>
          <w:tcPr>
            <w:tcW w:w="1336" w:type="dxa"/>
            <w:vAlign w:val="center"/>
          </w:tcPr>
          <w:p w14:paraId="19FEABBB" w14:textId="77777777" w:rsidR="00D170E5" w:rsidRPr="002B55E9" w:rsidRDefault="00EF27AD">
            <w:pPr>
              <w:pStyle w:val="affff6"/>
              <w:adjustRightInd w:val="0"/>
            </w:pPr>
            <w:r w:rsidRPr="002B55E9">
              <w:rPr>
                <w:rFonts w:hint="eastAsia"/>
              </w:rPr>
              <w:t>土壤</w:t>
            </w:r>
          </w:p>
        </w:tc>
        <w:tc>
          <w:tcPr>
            <w:tcW w:w="914" w:type="dxa"/>
            <w:vAlign w:val="center"/>
          </w:tcPr>
          <w:p w14:paraId="5A0EE8AB" w14:textId="77777777" w:rsidR="00D170E5" w:rsidRPr="002B55E9" w:rsidRDefault="00EF27AD">
            <w:pPr>
              <w:pStyle w:val="affff6"/>
              <w:adjustRightInd w:val="0"/>
            </w:pPr>
            <w:r w:rsidRPr="002B55E9">
              <w:t>－</w:t>
            </w:r>
          </w:p>
        </w:tc>
        <w:tc>
          <w:tcPr>
            <w:tcW w:w="1130" w:type="dxa"/>
            <w:vAlign w:val="center"/>
          </w:tcPr>
          <w:p w14:paraId="0900C9C2" w14:textId="77777777" w:rsidR="00D170E5" w:rsidRPr="002B55E9" w:rsidRDefault="00EF27AD">
            <w:pPr>
              <w:pStyle w:val="affff6"/>
              <w:adjustRightInd w:val="0"/>
            </w:pPr>
            <w:r w:rsidRPr="002B55E9">
              <w:t>一般</w:t>
            </w:r>
          </w:p>
        </w:tc>
        <w:tc>
          <w:tcPr>
            <w:tcW w:w="1128" w:type="dxa"/>
            <w:vAlign w:val="center"/>
          </w:tcPr>
          <w:p w14:paraId="7E48BE96" w14:textId="77777777" w:rsidR="00D170E5" w:rsidRPr="002B55E9" w:rsidRDefault="00EF27AD">
            <w:pPr>
              <w:pStyle w:val="affff6"/>
              <w:adjustRightInd w:val="0"/>
            </w:pPr>
            <w:r w:rsidRPr="002B55E9">
              <w:t>长期</w:t>
            </w:r>
          </w:p>
        </w:tc>
        <w:tc>
          <w:tcPr>
            <w:tcW w:w="1130" w:type="dxa"/>
            <w:vAlign w:val="center"/>
          </w:tcPr>
          <w:p w14:paraId="47C479A7" w14:textId="77777777" w:rsidR="00D170E5" w:rsidRPr="002B55E9" w:rsidRDefault="00EF27AD">
            <w:pPr>
              <w:pStyle w:val="affff6"/>
              <w:adjustRightInd w:val="0"/>
            </w:pPr>
            <w:r w:rsidRPr="002B55E9">
              <w:t>一般</w:t>
            </w:r>
          </w:p>
        </w:tc>
        <w:tc>
          <w:tcPr>
            <w:tcW w:w="1130" w:type="dxa"/>
            <w:vAlign w:val="center"/>
          </w:tcPr>
          <w:p w14:paraId="577BCA91" w14:textId="77777777" w:rsidR="00D170E5" w:rsidRPr="002B55E9" w:rsidRDefault="00EF27AD">
            <w:pPr>
              <w:pStyle w:val="affff6"/>
              <w:adjustRightInd w:val="0"/>
            </w:pPr>
            <w:r w:rsidRPr="002B55E9">
              <w:t>局部</w:t>
            </w:r>
          </w:p>
        </w:tc>
        <w:tc>
          <w:tcPr>
            <w:tcW w:w="1120" w:type="dxa"/>
            <w:vAlign w:val="center"/>
          </w:tcPr>
          <w:p w14:paraId="431700C8" w14:textId="77777777" w:rsidR="00D170E5" w:rsidRPr="002B55E9" w:rsidRDefault="00EF27AD">
            <w:pPr>
              <w:pStyle w:val="affff6"/>
              <w:adjustRightInd w:val="0"/>
            </w:pPr>
            <w:r w:rsidRPr="002B55E9">
              <w:t>可</w:t>
            </w:r>
          </w:p>
        </w:tc>
      </w:tr>
    </w:tbl>
    <w:p w14:paraId="7B063988" w14:textId="77777777" w:rsidR="00D170E5" w:rsidRPr="002B55E9" w:rsidRDefault="00EF27AD">
      <w:pPr>
        <w:pStyle w:val="affff7"/>
        <w:spacing w:after="0" w:line="0" w:lineRule="atLeast"/>
        <w:ind w:firstLine="360"/>
      </w:pPr>
      <w:r w:rsidRPr="002B55E9">
        <w:rPr>
          <w:sz w:val="18"/>
        </w:rPr>
        <w:t>注：</w:t>
      </w:r>
      <w:r w:rsidRPr="002B55E9">
        <w:rPr>
          <w:sz w:val="18"/>
        </w:rPr>
        <w:t>“</w:t>
      </w:r>
      <w:r w:rsidRPr="002B55E9">
        <w:rPr>
          <w:sz w:val="18"/>
        </w:rPr>
        <w:t>＋</w:t>
      </w:r>
      <w:r w:rsidRPr="002B55E9">
        <w:rPr>
          <w:sz w:val="18"/>
        </w:rPr>
        <w:t>”</w:t>
      </w:r>
      <w:r w:rsidRPr="002B55E9">
        <w:rPr>
          <w:sz w:val="18"/>
        </w:rPr>
        <w:t>为有利影响，</w:t>
      </w:r>
      <w:r w:rsidRPr="002B55E9">
        <w:rPr>
          <w:sz w:val="18"/>
        </w:rPr>
        <w:t>“</w:t>
      </w:r>
      <w:r w:rsidRPr="002B55E9">
        <w:rPr>
          <w:sz w:val="18"/>
        </w:rPr>
        <w:t>－</w:t>
      </w:r>
      <w:r w:rsidRPr="002B55E9">
        <w:rPr>
          <w:sz w:val="18"/>
        </w:rPr>
        <w:t>”</w:t>
      </w:r>
      <w:r w:rsidRPr="002B55E9">
        <w:rPr>
          <w:sz w:val="18"/>
        </w:rPr>
        <w:t>为不利影响。</w:t>
      </w:r>
    </w:p>
    <w:p w14:paraId="38DA17F5" w14:textId="77777777" w:rsidR="00D170E5" w:rsidRPr="002B55E9" w:rsidRDefault="00EF27AD">
      <w:pPr>
        <w:pStyle w:val="4"/>
        <w:rPr>
          <w:color w:val="auto"/>
        </w:rPr>
      </w:pPr>
      <w:bookmarkStart w:id="121" w:name="_Toc169616180"/>
      <w:r w:rsidRPr="002B55E9">
        <w:rPr>
          <w:color w:val="auto"/>
        </w:rPr>
        <w:t>评价因子筛选</w:t>
      </w:r>
      <w:bookmarkEnd w:id="121"/>
    </w:p>
    <w:p w14:paraId="21D5EE18" w14:textId="77777777" w:rsidR="00D170E5" w:rsidRPr="002B55E9" w:rsidRDefault="00EF27AD">
      <w:pPr>
        <w:pStyle w:val="affff7"/>
      </w:pPr>
      <w:r w:rsidRPr="002B55E9">
        <w:t>根据对项目的工程分析、项目所在地区各环境要素的特征以及存在的环境问题，确定的评价因子见表</w:t>
      </w:r>
      <w:r w:rsidRPr="002B55E9">
        <w:t>1-6-2</w:t>
      </w:r>
      <w:r w:rsidRPr="002B55E9">
        <w:t>。</w:t>
      </w:r>
    </w:p>
    <w:p w14:paraId="271BCB43" w14:textId="77777777" w:rsidR="00D170E5" w:rsidRPr="002B55E9" w:rsidRDefault="00EF27AD">
      <w:pPr>
        <w:pStyle w:val="1f3"/>
      </w:pPr>
      <w:r w:rsidRPr="002B55E9">
        <w:t>表</w:t>
      </w:r>
      <w:r w:rsidRPr="002B55E9">
        <w:t xml:space="preserve">1-6-2  </w:t>
      </w:r>
      <w:r w:rsidRPr="002B55E9">
        <w:t>评价因子一览表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38"/>
        <w:gridCol w:w="6066"/>
      </w:tblGrid>
      <w:tr w:rsidR="002B55E9" w:rsidRPr="002B55E9" w14:paraId="6A6B82E8" w14:textId="77777777">
        <w:trPr>
          <w:trHeight w:val="312"/>
          <w:jc w:val="center"/>
        </w:trPr>
        <w:tc>
          <w:tcPr>
            <w:tcW w:w="1134" w:type="dxa"/>
            <w:tcBorders>
              <w:top w:val="single" w:sz="12" w:space="0" w:color="auto"/>
              <w:left w:val="nil"/>
              <w:bottom w:val="single" w:sz="12" w:space="0" w:color="auto"/>
              <w:right w:val="single" w:sz="4" w:space="0" w:color="auto"/>
            </w:tcBorders>
            <w:vAlign w:val="center"/>
          </w:tcPr>
          <w:p w14:paraId="70519A2F" w14:textId="77777777" w:rsidR="00D170E5" w:rsidRPr="002B55E9" w:rsidRDefault="00EF27AD">
            <w:pPr>
              <w:pStyle w:val="affff6"/>
              <w:adjustRightInd w:val="0"/>
              <w:snapToGrid w:val="0"/>
            </w:pPr>
            <w:r w:rsidRPr="002B55E9">
              <w:t>类别</w:t>
            </w:r>
          </w:p>
        </w:tc>
        <w:tc>
          <w:tcPr>
            <w:tcW w:w="2438" w:type="dxa"/>
            <w:tcBorders>
              <w:top w:val="single" w:sz="12" w:space="0" w:color="auto"/>
              <w:left w:val="nil"/>
              <w:bottom w:val="single" w:sz="12" w:space="0" w:color="auto"/>
            </w:tcBorders>
            <w:vAlign w:val="center"/>
          </w:tcPr>
          <w:p w14:paraId="0594FCE8" w14:textId="77777777" w:rsidR="00D170E5" w:rsidRPr="002B55E9" w:rsidRDefault="00EF27AD">
            <w:pPr>
              <w:pStyle w:val="affff6"/>
              <w:adjustRightInd w:val="0"/>
              <w:snapToGrid w:val="0"/>
            </w:pPr>
            <w:r w:rsidRPr="002B55E9">
              <w:t>要素</w:t>
            </w:r>
          </w:p>
        </w:tc>
        <w:tc>
          <w:tcPr>
            <w:tcW w:w="6066" w:type="dxa"/>
            <w:tcBorders>
              <w:top w:val="single" w:sz="12" w:space="0" w:color="auto"/>
              <w:bottom w:val="single" w:sz="12" w:space="0" w:color="auto"/>
              <w:right w:val="nil"/>
            </w:tcBorders>
            <w:vAlign w:val="center"/>
          </w:tcPr>
          <w:p w14:paraId="3FB6FF43" w14:textId="77777777" w:rsidR="00D170E5" w:rsidRPr="002B55E9" w:rsidRDefault="00EF27AD">
            <w:pPr>
              <w:pStyle w:val="affff6"/>
              <w:adjustRightInd w:val="0"/>
              <w:snapToGrid w:val="0"/>
            </w:pPr>
            <w:r w:rsidRPr="002B55E9">
              <w:t>评价因子</w:t>
            </w:r>
          </w:p>
        </w:tc>
      </w:tr>
      <w:tr w:rsidR="002B55E9" w:rsidRPr="002B55E9" w14:paraId="1871394C" w14:textId="77777777">
        <w:trPr>
          <w:trHeight w:val="312"/>
          <w:jc w:val="center"/>
        </w:trPr>
        <w:tc>
          <w:tcPr>
            <w:tcW w:w="1134" w:type="dxa"/>
            <w:vMerge w:val="restart"/>
            <w:tcBorders>
              <w:top w:val="single" w:sz="12" w:space="0" w:color="auto"/>
              <w:left w:val="nil"/>
              <w:right w:val="single" w:sz="4" w:space="0" w:color="auto"/>
            </w:tcBorders>
            <w:vAlign w:val="center"/>
          </w:tcPr>
          <w:p w14:paraId="3989E8C1" w14:textId="77777777" w:rsidR="00D170E5" w:rsidRPr="002B55E9" w:rsidRDefault="00EF27AD">
            <w:pPr>
              <w:pStyle w:val="affff6"/>
              <w:adjustRightInd w:val="0"/>
              <w:snapToGrid w:val="0"/>
            </w:pPr>
            <w:r w:rsidRPr="002B55E9">
              <w:t>环境质量现状评价</w:t>
            </w:r>
          </w:p>
        </w:tc>
        <w:tc>
          <w:tcPr>
            <w:tcW w:w="2438" w:type="dxa"/>
            <w:tcBorders>
              <w:top w:val="single" w:sz="12" w:space="0" w:color="auto"/>
              <w:left w:val="nil"/>
            </w:tcBorders>
            <w:vAlign w:val="center"/>
          </w:tcPr>
          <w:p w14:paraId="7AB31238" w14:textId="77777777" w:rsidR="00D170E5" w:rsidRPr="002B55E9" w:rsidRDefault="00EF27AD">
            <w:pPr>
              <w:pStyle w:val="affff6"/>
              <w:adjustRightInd w:val="0"/>
              <w:snapToGrid w:val="0"/>
            </w:pPr>
            <w:r w:rsidRPr="002B55E9">
              <w:t>环境空气质量现状</w:t>
            </w:r>
          </w:p>
        </w:tc>
        <w:tc>
          <w:tcPr>
            <w:tcW w:w="6066" w:type="dxa"/>
            <w:tcBorders>
              <w:top w:val="single" w:sz="12" w:space="0" w:color="auto"/>
              <w:right w:val="nil"/>
            </w:tcBorders>
            <w:vAlign w:val="center"/>
          </w:tcPr>
          <w:p w14:paraId="42CEF3F1" w14:textId="2DA11180" w:rsidR="00D170E5" w:rsidRPr="002B55E9" w:rsidRDefault="00EF27AD">
            <w:pPr>
              <w:pStyle w:val="affff6"/>
              <w:adjustRightInd w:val="0"/>
              <w:snapToGrid w:val="0"/>
            </w:pPr>
            <w:r w:rsidRPr="002B55E9">
              <w:t>SO</w:t>
            </w:r>
            <w:r w:rsidRPr="002B55E9">
              <w:rPr>
                <w:vertAlign w:val="subscript"/>
              </w:rPr>
              <w:t>2</w:t>
            </w:r>
            <w:r w:rsidRPr="002B55E9">
              <w:t>、</w:t>
            </w:r>
            <w:r w:rsidRPr="002B55E9">
              <w:t>NO</w:t>
            </w:r>
            <w:r w:rsidRPr="002B55E9">
              <w:rPr>
                <w:vertAlign w:val="subscript"/>
              </w:rPr>
              <w:t>2</w:t>
            </w:r>
            <w:r w:rsidRPr="002B55E9">
              <w:t>、</w:t>
            </w:r>
            <w:r w:rsidRPr="002B55E9">
              <w:t>PM</w:t>
            </w:r>
            <w:r w:rsidRPr="002B55E9">
              <w:rPr>
                <w:vertAlign w:val="subscript"/>
              </w:rPr>
              <w:t>10</w:t>
            </w:r>
            <w:r w:rsidRPr="002B55E9">
              <w:t>、</w:t>
            </w:r>
            <w:r w:rsidRPr="002B55E9">
              <w:t>PM</w:t>
            </w:r>
            <w:r w:rsidRPr="002B55E9">
              <w:rPr>
                <w:vertAlign w:val="subscript"/>
              </w:rPr>
              <w:t>2.5</w:t>
            </w:r>
            <w:r w:rsidRPr="002B55E9">
              <w:t>、</w:t>
            </w:r>
            <w:r w:rsidRPr="002B55E9">
              <w:t>CO</w:t>
            </w:r>
            <w:r w:rsidRPr="002B55E9">
              <w:t>、</w:t>
            </w:r>
            <w:r w:rsidRPr="002B55E9">
              <w:t>O</w:t>
            </w:r>
            <w:r w:rsidRPr="002B55E9">
              <w:rPr>
                <w:vertAlign w:val="subscript"/>
              </w:rPr>
              <w:t>3</w:t>
            </w:r>
            <w:r w:rsidRPr="002B55E9">
              <w:t>、</w:t>
            </w:r>
            <w:r w:rsidR="00924AFA" w:rsidRPr="002B55E9">
              <w:t>总挥发性有机物</w:t>
            </w:r>
            <w:r w:rsidRPr="002B55E9">
              <w:rPr>
                <w:rFonts w:hint="eastAsia"/>
              </w:rPr>
              <w:t>、</w:t>
            </w:r>
            <w:r w:rsidRPr="002B55E9">
              <w:rPr>
                <w:rFonts w:hint="eastAsia"/>
              </w:rPr>
              <w:t>T</w:t>
            </w:r>
            <w:r w:rsidRPr="002B55E9">
              <w:t>SP</w:t>
            </w:r>
            <w:r w:rsidRPr="002B55E9">
              <w:rPr>
                <w:rFonts w:hint="eastAsia"/>
              </w:rPr>
              <w:t>、硫酸、氯化氢、甲醛</w:t>
            </w:r>
            <w:r w:rsidR="006E72EB" w:rsidRPr="002B55E9">
              <w:rPr>
                <w:rFonts w:hint="eastAsia"/>
              </w:rPr>
              <w:t>、硫化氢、氨、非甲烷总烃</w:t>
            </w:r>
          </w:p>
        </w:tc>
      </w:tr>
      <w:tr w:rsidR="002B55E9" w:rsidRPr="002B55E9" w14:paraId="40A9453F" w14:textId="77777777">
        <w:trPr>
          <w:trHeight w:val="312"/>
          <w:jc w:val="center"/>
        </w:trPr>
        <w:tc>
          <w:tcPr>
            <w:tcW w:w="1134" w:type="dxa"/>
            <w:vMerge/>
            <w:tcBorders>
              <w:left w:val="nil"/>
              <w:right w:val="single" w:sz="4" w:space="0" w:color="auto"/>
            </w:tcBorders>
            <w:vAlign w:val="center"/>
          </w:tcPr>
          <w:p w14:paraId="4AAFDCCB" w14:textId="77777777" w:rsidR="00D170E5" w:rsidRPr="002B55E9" w:rsidRDefault="00D170E5">
            <w:pPr>
              <w:pStyle w:val="affff6"/>
              <w:adjustRightInd w:val="0"/>
              <w:snapToGrid w:val="0"/>
            </w:pPr>
          </w:p>
        </w:tc>
        <w:tc>
          <w:tcPr>
            <w:tcW w:w="2438" w:type="dxa"/>
            <w:tcBorders>
              <w:left w:val="nil"/>
            </w:tcBorders>
            <w:vAlign w:val="center"/>
          </w:tcPr>
          <w:p w14:paraId="57B63CD3" w14:textId="77777777" w:rsidR="00D170E5" w:rsidRPr="002B55E9" w:rsidRDefault="00EF27AD">
            <w:pPr>
              <w:pStyle w:val="affff6"/>
              <w:adjustRightInd w:val="0"/>
              <w:snapToGrid w:val="0"/>
            </w:pPr>
            <w:r w:rsidRPr="002B55E9">
              <w:rPr>
                <w:rFonts w:hint="eastAsia"/>
              </w:rPr>
              <w:t>地表</w:t>
            </w:r>
            <w:r w:rsidRPr="002B55E9">
              <w:t>水环境质量现状</w:t>
            </w:r>
          </w:p>
        </w:tc>
        <w:tc>
          <w:tcPr>
            <w:tcW w:w="6066" w:type="dxa"/>
            <w:tcBorders>
              <w:right w:val="nil"/>
            </w:tcBorders>
            <w:vAlign w:val="center"/>
          </w:tcPr>
          <w:p w14:paraId="054845C5" w14:textId="77777777" w:rsidR="00D170E5" w:rsidRPr="002B55E9" w:rsidRDefault="00EF27AD">
            <w:pPr>
              <w:pStyle w:val="affff6"/>
              <w:adjustRightInd w:val="0"/>
              <w:snapToGrid w:val="0"/>
              <w:rPr>
                <w:spacing w:val="-6"/>
              </w:rPr>
            </w:pPr>
            <w:r w:rsidRPr="002B55E9">
              <w:rPr>
                <w:rFonts w:hint="eastAsia"/>
              </w:rPr>
              <w:t>pH</w:t>
            </w:r>
            <w:r w:rsidRPr="002B55E9">
              <w:rPr>
                <w:rFonts w:hint="eastAsia"/>
              </w:rPr>
              <w:t>、溶解氧、高锰酸盐指数、</w:t>
            </w:r>
            <w:r w:rsidRPr="002B55E9">
              <w:t>COD</w:t>
            </w:r>
            <w:r w:rsidRPr="002B55E9">
              <w:rPr>
                <w:rFonts w:hint="eastAsia"/>
              </w:rPr>
              <w:t>、</w:t>
            </w:r>
            <w:r w:rsidRPr="002B55E9">
              <w:t>NH</w:t>
            </w:r>
            <w:r w:rsidRPr="002B55E9">
              <w:rPr>
                <w:vertAlign w:val="subscript"/>
              </w:rPr>
              <w:t>3</w:t>
            </w:r>
            <w:r w:rsidRPr="002B55E9">
              <w:t>-N</w:t>
            </w:r>
            <w:r w:rsidRPr="002B55E9">
              <w:t>、</w:t>
            </w:r>
            <w:r w:rsidRPr="002B55E9">
              <w:rPr>
                <w:rFonts w:hint="eastAsia"/>
              </w:rPr>
              <w:t>总氮、</w:t>
            </w:r>
            <w:r w:rsidRPr="002B55E9">
              <w:rPr>
                <w:rFonts w:hint="eastAsia"/>
              </w:rPr>
              <w:t>BOD</w:t>
            </w:r>
            <w:r w:rsidRPr="002B55E9">
              <w:rPr>
                <w:rFonts w:hint="eastAsia"/>
                <w:vertAlign w:val="subscript"/>
              </w:rPr>
              <w:t>5</w:t>
            </w:r>
            <w:r w:rsidRPr="002B55E9">
              <w:rPr>
                <w:rFonts w:hint="eastAsia"/>
              </w:rPr>
              <w:t>、总磷、石油类</w:t>
            </w:r>
          </w:p>
        </w:tc>
      </w:tr>
      <w:tr w:rsidR="002B55E9" w:rsidRPr="002B55E9" w14:paraId="2DFE5710" w14:textId="77777777">
        <w:trPr>
          <w:trHeight w:val="312"/>
          <w:jc w:val="center"/>
        </w:trPr>
        <w:tc>
          <w:tcPr>
            <w:tcW w:w="1134" w:type="dxa"/>
            <w:vMerge/>
            <w:tcBorders>
              <w:left w:val="nil"/>
              <w:right w:val="single" w:sz="4" w:space="0" w:color="auto"/>
            </w:tcBorders>
            <w:vAlign w:val="center"/>
          </w:tcPr>
          <w:p w14:paraId="38D261F2" w14:textId="77777777" w:rsidR="00D170E5" w:rsidRPr="002B55E9" w:rsidRDefault="00D170E5">
            <w:pPr>
              <w:pStyle w:val="affff6"/>
              <w:adjustRightInd w:val="0"/>
              <w:snapToGrid w:val="0"/>
            </w:pPr>
          </w:p>
        </w:tc>
        <w:tc>
          <w:tcPr>
            <w:tcW w:w="2438" w:type="dxa"/>
            <w:tcBorders>
              <w:left w:val="nil"/>
            </w:tcBorders>
            <w:vAlign w:val="center"/>
          </w:tcPr>
          <w:p w14:paraId="7A045581" w14:textId="77777777" w:rsidR="00D170E5" w:rsidRPr="002B55E9" w:rsidRDefault="00EF27AD">
            <w:pPr>
              <w:pStyle w:val="affff6"/>
              <w:adjustRightInd w:val="0"/>
              <w:snapToGrid w:val="0"/>
            </w:pPr>
            <w:r w:rsidRPr="002B55E9">
              <w:rPr>
                <w:rFonts w:hint="eastAsia"/>
              </w:rPr>
              <w:t>声</w:t>
            </w:r>
            <w:r w:rsidRPr="002B55E9">
              <w:t>环境质量现状</w:t>
            </w:r>
          </w:p>
        </w:tc>
        <w:tc>
          <w:tcPr>
            <w:tcW w:w="6066" w:type="dxa"/>
            <w:tcBorders>
              <w:right w:val="nil"/>
            </w:tcBorders>
            <w:vAlign w:val="center"/>
          </w:tcPr>
          <w:p w14:paraId="135138D7" w14:textId="77777777" w:rsidR="00D170E5" w:rsidRPr="002B55E9" w:rsidRDefault="00EF27AD">
            <w:pPr>
              <w:pStyle w:val="affff6"/>
              <w:adjustRightInd w:val="0"/>
              <w:snapToGrid w:val="0"/>
            </w:pPr>
            <w:r w:rsidRPr="002B55E9">
              <w:t>LeqdB(A)</w:t>
            </w:r>
          </w:p>
        </w:tc>
      </w:tr>
      <w:tr w:rsidR="002B55E9" w:rsidRPr="002B55E9" w14:paraId="7783E59E" w14:textId="77777777">
        <w:trPr>
          <w:trHeight w:val="312"/>
          <w:jc w:val="center"/>
        </w:trPr>
        <w:tc>
          <w:tcPr>
            <w:tcW w:w="1134" w:type="dxa"/>
            <w:vMerge/>
            <w:tcBorders>
              <w:left w:val="nil"/>
              <w:bottom w:val="single" w:sz="4" w:space="0" w:color="auto"/>
              <w:right w:val="single" w:sz="4" w:space="0" w:color="auto"/>
            </w:tcBorders>
            <w:vAlign w:val="center"/>
          </w:tcPr>
          <w:p w14:paraId="115EDB2E" w14:textId="77777777" w:rsidR="00D170E5" w:rsidRPr="002B55E9" w:rsidRDefault="00D170E5">
            <w:pPr>
              <w:pStyle w:val="affff6"/>
              <w:adjustRightInd w:val="0"/>
              <w:snapToGrid w:val="0"/>
            </w:pPr>
          </w:p>
        </w:tc>
        <w:tc>
          <w:tcPr>
            <w:tcW w:w="2438" w:type="dxa"/>
            <w:tcBorders>
              <w:left w:val="nil"/>
              <w:bottom w:val="single" w:sz="4" w:space="0" w:color="auto"/>
            </w:tcBorders>
            <w:vAlign w:val="center"/>
          </w:tcPr>
          <w:p w14:paraId="7F0B296E" w14:textId="77777777" w:rsidR="00D170E5" w:rsidRPr="002B55E9" w:rsidRDefault="00EF27AD">
            <w:pPr>
              <w:pStyle w:val="affff6"/>
              <w:adjustRightInd w:val="0"/>
              <w:snapToGrid w:val="0"/>
            </w:pPr>
            <w:r w:rsidRPr="002B55E9">
              <w:rPr>
                <w:rFonts w:hint="eastAsia"/>
              </w:rPr>
              <w:t>地下水</w:t>
            </w:r>
          </w:p>
        </w:tc>
        <w:tc>
          <w:tcPr>
            <w:tcW w:w="6066" w:type="dxa"/>
            <w:tcBorders>
              <w:bottom w:val="single" w:sz="4" w:space="0" w:color="auto"/>
              <w:right w:val="nil"/>
            </w:tcBorders>
            <w:vAlign w:val="center"/>
          </w:tcPr>
          <w:p w14:paraId="6A416A3A" w14:textId="77777777" w:rsidR="00D170E5" w:rsidRPr="002B55E9" w:rsidRDefault="00EF27AD">
            <w:pPr>
              <w:pStyle w:val="affff6"/>
              <w:adjustRightInd w:val="0"/>
              <w:snapToGrid w:val="0"/>
            </w:pPr>
            <w:r w:rsidRPr="002B55E9">
              <w:t>pH</w:t>
            </w:r>
            <w:r w:rsidRPr="002B55E9">
              <w:t>、氨氮、硝酸盐、亚硝酸盐、挥发性酚类、氰化物、砷、汞、铬（六价）、总硬度、铅、氟、镉、铁、锰、溶解性总固体、</w:t>
            </w:r>
            <w:r w:rsidRPr="002B55E9">
              <w:rPr>
                <w:rFonts w:hint="eastAsia"/>
              </w:rPr>
              <w:t>耗氧量</w:t>
            </w:r>
            <w:r w:rsidRPr="002B55E9">
              <w:t>、硫酸盐、氯化物、总大肠菌群、</w:t>
            </w:r>
            <w:r w:rsidRPr="002B55E9">
              <w:rPr>
                <w:rFonts w:hint="eastAsia"/>
              </w:rPr>
              <w:t>菌落</w:t>
            </w:r>
            <w:r w:rsidRPr="002B55E9">
              <w:t>总数；</w:t>
            </w:r>
          </w:p>
          <w:p w14:paraId="6A952A47" w14:textId="77777777" w:rsidR="00D170E5" w:rsidRPr="002B55E9" w:rsidRDefault="00EF27AD">
            <w:pPr>
              <w:pStyle w:val="affff6"/>
              <w:adjustRightInd w:val="0"/>
              <w:snapToGrid w:val="0"/>
            </w:pPr>
            <w:r w:rsidRPr="002B55E9">
              <w:t>K</w:t>
            </w:r>
            <w:r w:rsidRPr="002B55E9">
              <w:rPr>
                <w:vertAlign w:val="superscript"/>
              </w:rPr>
              <w:t>+</w:t>
            </w:r>
            <w:r w:rsidRPr="002B55E9">
              <w:t>、</w:t>
            </w:r>
            <w:r w:rsidRPr="002B55E9">
              <w:t>Na</w:t>
            </w:r>
            <w:r w:rsidRPr="002B55E9">
              <w:rPr>
                <w:vertAlign w:val="superscript"/>
              </w:rPr>
              <w:t>+</w:t>
            </w:r>
            <w:r w:rsidRPr="002B55E9">
              <w:t>、</w:t>
            </w:r>
            <w:r w:rsidRPr="002B55E9">
              <w:t>Ca</w:t>
            </w:r>
            <w:r w:rsidRPr="002B55E9">
              <w:rPr>
                <w:vertAlign w:val="superscript"/>
              </w:rPr>
              <w:t>2+</w:t>
            </w:r>
            <w:r w:rsidRPr="002B55E9">
              <w:t>、</w:t>
            </w:r>
            <w:r w:rsidRPr="002B55E9">
              <w:t>Mg</w:t>
            </w:r>
            <w:r w:rsidRPr="002B55E9">
              <w:rPr>
                <w:vertAlign w:val="superscript"/>
              </w:rPr>
              <w:t>2+</w:t>
            </w:r>
            <w:r w:rsidRPr="002B55E9">
              <w:t>、</w:t>
            </w:r>
            <w:r w:rsidRPr="002B55E9">
              <w:t>CO</w:t>
            </w:r>
            <w:r w:rsidRPr="002B55E9">
              <w:rPr>
                <w:vertAlign w:val="subscript"/>
              </w:rPr>
              <w:t>3</w:t>
            </w:r>
            <w:r w:rsidRPr="002B55E9">
              <w:rPr>
                <w:vertAlign w:val="superscript"/>
              </w:rPr>
              <w:t>2-</w:t>
            </w:r>
            <w:r w:rsidRPr="002B55E9">
              <w:t>、</w:t>
            </w:r>
            <w:r w:rsidRPr="002B55E9">
              <w:t>HCO</w:t>
            </w:r>
            <w:r w:rsidRPr="002B55E9">
              <w:rPr>
                <w:vertAlign w:val="subscript"/>
              </w:rPr>
              <w:t>3</w:t>
            </w:r>
            <w:r w:rsidRPr="002B55E9">
              <w:rPr>
                <w:vertAlign w:val="superscript"/>
              </w:rPr>
              <w:t>-</w:t>
            </w:r>
            <w:r w:rsidRPr="002B55E9">
              <w:t>、</w:t>
            </w:r>
            <w:r w:rsidRPr="002B55E9">
              <w:t>Cl</w:t>
            </w:r>
            <w:r w:rsidRPr="002B55E9">
              <w:rPr>
                <w:vertAlign w:val="superscript"/>
              </w:rPr>
              <w:t>-</w:t>
            </w:r>
            <w:r w:rsidRPr="002B55E9">
              <w:t>、</w:t>
            </w:r>
            <w:r w:rsidRPr="002B55E9">
              <w:t>SO</w:t>
            </w:r>
            <w:r w:rsidRPr="002B55E9">
              <w:rPr>
                <w:vertAlign w:val="subscript"/>
              </w:rPr>
              <w:t>4</w:t>
            </w:r>
            <w:r w:rsidRPr="002B55E9">
              <w:rPr>
                <w:vertAlign w:val="superscript"/>
              </w:rPr>
              <w:t>2-</w:t>
            </w:r>
          </w:p>
        </w:tc>
      </w:tr>
      <w:tr w:rsidR="002B55E9" w:rsidRPr="002B55E9" w14:paraId="390EE1EE" w14:textId="77777777">
        <w:trPr>
          <w:trHeight w:val="312"/>
          <w:jc w:val="center"/>
        </w:trPr>
        <w:tc>
          <w:tcPr>
            <w:tcW w:w="1134" w:type="dxa"/>
            <w:vMerge w:val="restart"/>
            <w:tcBorders>
              <w:left w:val="nil"/>
              <w:right w:val="single" w:sz="4" w:space="0" w:color="auto"/>
            </w:tcBorders>
            <w:vAlign w:val="center"/>
          </w:tcPr>
          <w:p w14:paraId="1A0CD9F5" w14:textId="77777777" w:rsidR="00D170E5" w:rsidRPr="002B55E9" w:rsidRDefault="00EF27AD">
            <w:pPr>
              <w:pStyle w:val="affff6"/>
              <w:adjustRightInd w:val="0"/>
              <w:snapToGrid w:val="0"/>
            </w:pPr>
            <w:r w:rsidRPr="002B55E9">
              <w:t>环境影响预测与评价</w:t>
            </w:r>
          </w:p>
        </w:tc>
        <w:tc>
          <w:tcPr>
            <w:tcW w:w="2438" w:type="dxa"/>
            <w:tcBorders>
              <w:left w:val="nil"/>
            </w:tcBorders>
            <w:vAlign w:val="center"/>
          </w:tcPr>
          <w:p w14:paraId="7A1253B5" w14:textId="77777777" w:rsidR="00D170E5" w:rsidRPr="002B55E9" w:rsidRDefault="00EF27AD">
            <w:pPr>
              <w:pStyle w:val="affff6"/>
              <w:adjustRightInd w:val="0"/>
              <w:snapToGrid w:val="0"/>
            </w:pPr>
            <w:r w:rsidRPr="002B55E9">
              <w:t>大气环境影响预测及评价</w:t>
            </w:r>
          </w:p>
        </w:tc>
        <w:tc>
          <w:tcPr>
            <w:tcW w:w="6066" w:type="dxa"/>
            <w:tcBorders>
              <w:right w:val="nil"/>
            </w:tcBorders>
            <w:vAlign w:val="center"/>
          </w:tcPr>
          <w:p w14:paraId="2C224070" w14:textId="77777777" w:rsidR="00D170E5" w:rsidRPr="002B55E9" w:rsidRDefault="00EF27AD">
            <w:pPr>
              <w:pStyle w:val="affff6"/>
              <w:adjustRightInd w:val="0"/>
              <w:snapToGrid w:val="0"/>
              <w:rPr>
                <w:szCs w:val="18"/>
              </w:rPr>
            </w:pPr>
            <w:r w:rsidRPr="002B55E9">
              <w:rPr>
                <w:rFonts w:hint="eastAsia"/>
              </w:rPr>
              <w:t>总挥发性有机物、颗粒物、硫酸</w:t>
            </w:r>
            <w:r w:rsidRPr="002B55E9">
              <w:t>、氯化氢、甲醛</w:t>
            </w:r>
          </w:p>
        </w:tc>
      </w:tr>
      <w:tr w:rsidR="002B55E9" w:rsidRPr="002B55E9" w14:paraId="39F8D4F6" w14:textId="77777777">
        <w:trPr>
          <w:trHeight w:val="312"/>
          <w:jc w:val="center"/>
        </w:trPr>
        <w:tc>
          <w:tcPr>
            <w:tcW w:w="1134" w:type="dxa"/>
            <w:vMerge/>
            <w:tcBorders>
              <w:left w:val="nil"/>
              <w:right w:val="single" w:sz="4" w:space="0" w:color="auto"/>
            </w:tcBorders>
            <w:vAlign w:val="center"/>
          </w:tcPr>
          <w:p w14:paraId="0AFE27C1" w14:textId="77777777" w:rsidR="00D170E5" w:rsidRPr="002B55E9" w:rsidRDefault="00D170E5">
            <w:pPr>
              <w:pStyle w:val="affff6"/>
              <w:adjustRightInd w:val="0"/>
              <w:snapToGrid w:val="0"/>
            </w:pPr>
          </w:p>
        </w:tc>
        <w:tc>
          <w:tcPr>
            <w:tcW w:w="2438" w:type="dxa"/>
            <w:tcBorders>
              <w:left w:val="nil"/>
            </w:tcBorders>
            <w:vAlign w:val="center"/>
          </w:tcPr>
          <w:p w14:paraId="5347C4BE" w14:textId="77777777" w:rsidR="00D170E5" w:rsidRPr="002B55E9" w:rsidRDefault="00EF27AD">
            <w:pPr>
              <w:pStyle w:val="affff6"/>
              <w:adjustRightInd w:val="0"/>
              <w:snapToGrid w:val="0"/>
            </w:pPr>
            <w:r w:rsidRPr="002B55E9">
              <w:rPr>
                <w:rFonts w:hint="eastAsia"/>
              </w:rPr>
              <w:t>地表</w:t>
            </w:r>
            <w:r w:rsidRPr="002B55E9">
              <w:t>水环境影响分析</w:t>
            </w:r>
          </w:p>
        </w:tc>
        <w:tc>
          <w:tcPr>
            <w:tcW w:w="6066" w:type="dxa"/>
            <w:tcBorders>
              <w:right w:val="nil"/>
            </w:tcBorders>
            <w:vAlign w:val="center"/>
          </w:tcPr>
          <w:p w14:paraId="03539E9E" w14:textId="77777777" w:rsidR="00D170E5" w:rsidRPr="002B55E9" w:rsidRDefault="00EF27AD">
            <w:pPr>
              <w:pStyle w:val="affff6"/>
              <w:adjustRightInd w:val="0"/>
              <w:snapToGrid w:val="0"/>
            </w:pPr>
            <w:r w:rsidRPr="002B55E9">
              <w:rPr>
                <w:rFonts w:hint="eastAsia"/>
              </w:rPr>
              <w:t>pH</w:t>
            </w:r>
            <w:r w:rsidRPr="002B55E9">
              <w:rPr>
                <w:rFonts w:hint="eastAsia"/>
              </w:rPr>
              <w:t>、</w:t>
            </w:r>
            <w:r w:rsidRPr="002B55E9">
              <w:rPr>
                <w:rFonts w:hint="eastAsia"/>
              </w:rPr>
              <w:t>COD</w:t>
            </w:r>
            <w:r w:rsidRPr="002B55E9">
              <w:rPr>
                <w:rFonts w:hint="eastAsia"/>
              </w:rPr>
              <w:t>、</w:t>
            </w:r>
            <w:r w:rsidRPr="002B55E9">
              <w:rPr>
                <w:rFonts w:hint="eastAsia"/>
              </w:rPr>
              <w:t>BOD</w:t>
            </w:r>
            <w:r w:rsidRPr="002B55E9">
              <w:rPr>
                <w:rFonts w:hint="eastAsia"/>
                <w:vertAlign w:val="subscript"/>
              </w:rPr>
              <w:t>5</w:t>
            </w:r>
            <w:r w:rsidRPr="002B55E9">
              <w:rPr>
                <w:rFonts w:hint="eastAsia"/>
              </w:rPr>
              <w:t>、氨氮、总氮、悬浮物、动植物油、总磷</w:t>
            </w:r>
          </w:p>
        </w:tc>
      </w:tr>
      <w:tr w:rsidR="002B55E9" w:rsidRPr="002B55E9" w14:paraId="7501F160" w14:textId="77777777">
        <w:trPr>
          <w:trHeight w:val="312"/>
          <w:jc w:val="center"/>
        </w:trPr>
        <w:tc>
          <w:tcPr>
            <w:tcW w:w="1134" w:type="dxa"/>
            <w:vMerge/>
            <w:tcBorders>
              <w:left w:val="nil"/>
              <w:right w:val="single" w:sz="4" w:space="0" w:color="auto"/>
            </w:tcBorders>
            <w:vAlign w:val="center"/>
          </w:tcPr>
          <w:p w14:paraId="1A0EB8BD" w14:textId="77777777" w:rsidR="00D170E5" w:rsidRPr="002B55E9" w:rsidRDefault="00D170E5">
            <w:pPr>
              <w:pStyle w:val="affff6"/>
              <w:adjustRightInd w:val="0"/>
              <w:snapToGrid w:val="0"/>
            </w:pPr>
          </w:p>
        </w:tc>
        <w:tc>
          <w:tcPr>
            <w:tcW w:w="2438" w:type="dxa"/>
            <w:tcBorders>
              <w:left w:val="nil"/>
            </w:tcBorders>
            <w:vAlign w:val="center"/>
          </w:tcPr>
          <w:p w14:paraId="41D1ED32" w14:textId="77777777" w:rsidR="00D170E5" w:rsidRPr="002B55E9" w:rsidRDefault="00EF27AD">
            <w:pPr>
              <w:pStyle w:val="affff6"/>
              <w:adjustRightInd w:val="0"/>
              <w:snapToGrid w:val="0"/>
            </w:pPr>
            <w:r w:rsidRPr="002B55E9">
              <w:t>噪声环境影响预测</w:t>
            </w:r>
          </w:p>
        </w:tc>
        <w:tc>
          <w:tcPr>
            <w:tcW w:w="6066" w:type="dxa"/>
            <w:tcBorders>
              <w:right w:val="nil"/>
            </w:tcBorders>
            <w:vAlign w:val="center"/>
          </w:tcPr>
          <w:p w14:paraId="2D857C65" w14:textId="77777777" w:rsidR="00D170E5" w:rsidRPr="002B55E9" w:rsidRDefault="00EF27AD">
            <w:pPr>
              <w:pStyle w:val="affff6"/>
              <w:adjustRightInd w:val="0"/>
              <w:snapToGrid w:val="0"/>
            </w:pPr>
            <w:r w:rsidRPr="002B55E9">
              <w:t>LeqdB(A)</w:t>
            </w:r>
          </w:p>
        </w:tc>
      </w:tr>
      <w:tr w:rsidR="002B55E9" w:rsidRPr="002B55E9" w14:paraId="7B8E7299" w14:textId="77777777">
        <w:trPr>
          <w:trHeight w:val="312"/>
          <w:jc w:val="center"/>
        </w:trPr>
        <w:tc>
          <w:tcPr>
            <w:tcW w:w="1134" w:type="dxa"/>
            <w:vMerge/>
            <w:tcBorders>
              <w:left w:val="nil"/>
              <w:right w:val="single" w:sz="4" w:space="0" w:color="auto"/>
            </w:tcBorders>
            <w:vAlign w:val="center"/>
          </w:tcPr>
          <w:p w14:paraId="6695E30A" w14:textId="77777777" w:rsidR="00D170E5" w:rsidRPr="002B55E9" w:rsidRDefault="00D170E5">
            <w:pPr>
              <w:pStyle w:val="affff6"/>
              <w:adjustRightInd w:val="0"/>
              <w:snapToGrid w:val="0"/>
            </w:pPr>
          </w:p>
        </w:tc>
        <w:tc>
          <w:tcPr>
            <w:tcW w:w="2438" w:type="dxa"/>
            <w:tcBorders>
              <w:left w:val="nil"/>
            </w:tcBorders>
            <w:vAlign w:val="center"/>
          </w:tcPr>
          <w:p w14:paraId="1F33D784" w14:textId="77777777" w:rsidR="00D170E5" w:rsidRPr="002B55E9" w:rsidRDefault="00EF27AD">
            <w:pPr>
              <w:pStyle w:val="affff6"/>
              <w:adjustRightInd w:val="0"/>
              <w:snapToGrid w:val="0"/>
            </w:pPr>
            <w:r w:rsidRPr="002B55E9">
              <w:t>固体废物环境影响分析</w:t>
            </w:r>
          </w:p>
        </w:tc>
        <w:tc>
          <w:tcPr>
            <w:tcW w:w="6066" w:type="dxa"/>
            <w:tcBorders>
              <w:right w:val="nil"/>
            </w:tcBorders>
            <w:vAlign w:val="center"/>
          </w:tcPr>
          <w:p w14:paraId="22DFB779" w14:textId="77777777" w:rsidR="00D170E5" w:rsidRPr="002B55E9" w:rsidRDefault="00EF27AD">
            <w:pPr>
              <w:pStyle w:val="affff6"/>
              <w:adjustRightInd w:val="0"/>
              <w:snapToGrid w:val="0"/>
            </w:pPr>
            <w:r w:rsidRPr="002B55E9">
              <w:rPr>
                <w:rFonts w:hint="eastAsia"/>
              </w:rPr>
              <w:t>生活垃圾、工业固体废物（一般工业固废、危险废物）</w:t>
            </w:r>
          </w:p>
        </w:tc>
      </w:tr>
      <w:tr w:rsidR="002B55E9" w:rsidRPr="002B55E9" w14:paraId="1A4D165D" w14:textId="77777777">
        <w:trPr>
          <w:trHeight w:val="312"/>
          <w:jc w:val="center"/>
        </w:trPr>
        <w:tc>
          <w:tcPr>
            <w:tcW w:w="1134" w:type="dxa"/>
            <w:vMerge/>
            <w:tcBorders>
              <w:left w:val="nil"/>
              <w:right w:val="single" w:sz="4" w:space="0" w:color="auto"/>
            </w:tcBorders>
            <w:vAlign w:val="center"/>
          </w:tcPr>
          <w:p w14:paraId="22CF4907" w14:textId="77777777" w:rsidR="00D170E5" w:rsidRPr="002B55E9" w:rsidRDefault="00D170E5">
            <w:pPr>
              <w:pStyle w:val="affff6"/>
              <w:adjustRightInd w:val="0"/>
              <w:snapToGrid w:val="0"/>
            </w:pPr>
          </w:p>
        </w:tc>
        <w:tc>
          <w:tcPr>
            <w:tcW w:w="2438" w:type="dxa"/>
            <w:tcBorders>
              <w:left w:val="nil"/>
            </w:tcBorders>
            <w:vAlign w:val="center"/>
          </w:tcPr>
          <w:p w14:paraId="05314553" w14:textId="77777777" w:rsidR="00D170E5" w:rsidRPr="002B55E9" w:rsidRDefault="00EF27AD">
            <w:pPr>
              <w:pStyle w:val="affff6"/>
              <w:adjustRightInd w:val="0"/>
              <w:snapToGrid w:val="0"/>
            </w:pPr>
            <w:r w:rsidRPr="002B55E9">
              <w:rPr>
                <w:rFonts w:hint="eastAsia"/>
              </w:rPr>
              <w:t>地下水环境影响预测</w:t>
            </w:r>
          </w:p>
        </w:tc>
        <w:tc>
          <w:tcPr>
            <w:tcW w:w="6066" w:type="dxa"/>
            <w:tcBorders>
              <w:right w:val="nil"/>
            </w:tcBorders>
            <w:vAlign w:val="center"/>
          </w:tcPr>
          <w:p w14:paraId="4E3D21F8" w14:textId="77777777" w:rsidR="00D170E5" w:rsidRPr="002B55E9" w:rsidRDefault="00EF27AD">
            <w:pPr>
              <w:pStyle w:val="affff6"/>
              <w:adjustRightInd w:val="0"/>
              <w:snapToGrid w:val="0"/>
            </w:pPr>
            <w:r w:rsidRPr="002B55E9">
              <w:rPr>
                <w:rFonts w:hint="eastAsia"/>
              </w:rPr>
              <w:t>化学需氧量</w:t>
            </w:r>
          </w:p>
        </w:tc>
      </w:tr>
      <w:tr w:rsidR="002B55E9" w:rsidRPr="002B55E9" w14:paraId="79A2D659" w14:textId="77777777">
        <w:trPr>
          <w:trHeight w:val="312"/>
          <w:jc w:val="center"/>
        </w:trPr>
        <w:tc>
          <w:tcPr>
            <w:tcW w:w="1134" w:type="dxa"/>
            <w:vMerge w:val="restart"/>
            <w:tcBorders>
              <w:left w:val="nil"/>
              <w:right w:val="single" w:sz="4" w:space="0" w:color="auto"/>
            </w:tcBorders>
            <w:vAlign w:val="center"/>
          </w:tcPr>
          <w:p w14:paraId="1A5FBD83" w14:textId="77777777" w:rsidR="00D170E5" w:rsidRPr="002B55E9" w:rsidRDefault="00EF27AD">
            <w:pPr>
              <w:pStyle w:val="affff6"/>
              <w:adjustRightInd w:val="0"/>
              <w:snapToGrid w:val="0"/>
            </w:pPr>
            <w:r w:rsidRPr="002B55E9">
              <w:lastRenderedPageBreak/>
              <w:t>总量控制</w:t>
            </w:r>
          </w:p>
        </w:tc>
        <w:tc>
          <w:tcPr>
            <w:tcW w:w="2438" w:type="dxa"/>
            <w:tcBorders>
              <w:left w:val="nil"/>
            </w:tcBorders>
            <w:vAlign w:val="center"/>
          </w:tcPr>
          <w:p w14:paraId="65F60841" w14:textId="77777777" w:rsidR="00D170E5" w:rsidRPr="002B55E9" w:rsidRDefault="00EF27AD">
            <w:pPr>
              <w:pStyle w:val="affff6"/>
              <w:adjustRightInd w:val="0"/>
              <w:snapToGrid w:val="0"/>
            </w:pPr>
            <w:r w:rsidRPr="002B55E9">
              <w:t>废水污染物</w:t>
            </w:r>
          </w:p>
        </w:tc>
        <w:tc>
          <w:tcPr>
            <w:tcW w:w="6066" w:type="dxa"/>
            <w:tcBorders>
              <w:right w:val="nil"/>
            </w:tcBorders>
            <w:vAlign w:val="center"/>
          </w:tcPr>
          <w:p w14:paraId="2AA79243" w14:textId="77777777" w:rsidR="00D170E5" w:rsidRPr="002B55E9" w:rsidRDefault="00EF27AD">
            <w:pPr>
              <w:pStyle w:val="affff6"/>
              <w:adjustRightInd w:val="0"/>
              <w:snapToGrid w:val="0"/>
            </w:pPr>
            <w:r w:rsidRPr="002B55E9">
              <w:rPr>
                <w:spacing w:val="-6"/>
              </w:rPr>
              <w:t>化学需氧量</w:t>
            </w:r>
            <w:r w:rsidRPr="002B55E9">
              <w:t>、氨氮</w:t>
            </w:r>
          </w:p>
        </w:tc>
      </w:tr>
      <w:tr w:rsidR="002B55E9" w:rsidRPr="002B55E9" w14:paraId="6D249CC8" w14:textId="77777777">
        <w:trPr>
          <w:trHeight w:val="312"/>
          <w:jc w:val="center"/>
        </w:trPr>
        <w:tc>
          <w:tcPr>
            <w:tcW w:w="1134" w:type="dxa"/>
            <w:vMerge/>
            <w:tcBorders>
              <w:left w:val="nil"/>
              <w:bottom w:val="single" w:sz="12" w:space="0" w:color="auto"/>
              <w:right w:val="single" w:sz="4" w:space="0" w:color="auto"/>
            </w:tcBorders>
            <w:vAlign w:val="center"/>
          </w:tcPr>
          <w:p w14:paraId="77061581" w14:textId="77777777" w:rsidR="00D170E5" w:rsidRPr="002B55E9" w:rsidRDefault="00D170E5">
            <w:pPr>
              <w:pStyle w:val="affff6"/>
              <w:adjustRightInd w:val="0"/>
              <w:snapToGrid w:val="0"/>
            </w:pPr>
          </w:p>
        </w:tc>
        <w:tc>
          <w:tcPr>
            <w:tcW w:w="2438" w:type="dxa"/>
            <w:tcBorders>
              <w:left w:val="nil"/>
              <w:bottom w:val="single" w:sz="12" w:space="0" w:color="auto"/>
            </w:tcBorders>
            <w:vAlign w:val="center"/>
          </w:tcPr>
          <w:p w14:paraId="3F73FBC3" w14:textId="77777777" w:rsidR="00D170E5" w:rsidRPr="002B55E9" w:rsidRDefault="00EF27AD">
            <w:pPr>
              <w:pStyle w:val="affff6"/>
              <w:adjustRightInd w:val="0"/>
              <w:snapToGrid w:val="0"/>
            </w:pPr>
            <w:r w:rsidRPr="002B55E9">
              <w:t>废气污染物</w:t>
            </w:r>
          </w:p>
        </w:tc>
        <w:tc>
          <w:tcPr>
            <w:tcW w:w="6066" w:type="dxa"/>
            <w:tcBorders>
              <w:bottom w:val="single" w:sz="12" w:space="0" w:color="auto"/>
              <w:right w:val="nil"/>
            </w:tcBorders>
            <w:vAlign w:val="center"/>
          </w:tcPr>
          <w:p w14:paraId="5F8E3218" w14:textId="77777777" w:rsidR="00D170E5" w:rsidRPr="002B55E9" w:rsidRDefault="00EF27AD">
            <w:pPr>
              <w:pStyle w:val="affff6"/>
              <w:adjustRightInd w:val="0"/>
              <w:snapToGrid w:val="0"/>
            </w:pPr>
            <w:r w:rsidRPr="002B55E9">
              <w:rPr>
                <w:rFonts w:hint="eastAsia"/>
              </w:rPr>
              <w:t>挥发性有机物、</w:t>
            </w:r>
            <w:r w:rsidRPr="002B55E9">
              <w:t>颗粒物</w:t>
            </w:r>
          </w:p>
        </w:tc>
      </w:tr>
    </w:tbl>
    <w:p w14:paraId="309F8B3C" w14:textId="77777777" w:rsidR="00D170E5" w:rsidRPr="002B55E9" w:rsidRDefault="00EF27AD">
      <w:pPr>
        <w:pStyle w:val="3"/>
      </w:pPr>
      <w:bookmarkStart w:id="122" w:name="_Toc119308975"/>
      <w:r w:rsidRPr="002B55E9">
        <w:t>评价工作等级</w:t>
      </w:r>
      <w:bookmarkEnd w:id="117"/>
      <w:bookmarkEnd w:id="118"/>
      <w:bookmarkEnd w:id="119"/>
      <w:bookmarkEnd w:id="122"/>
    </w:p>
    <w:p w14:paraId="73AD49E5" w14:textId="77777777" w:rsidR="00D170E5" w:rsidRPr="002B55E9" w:rsidRDefault="00EF27AD">
      <w:pPr>
        <w:pStyle w:val="4"/>
        <w:rPr>
          <w:color w:val="auto"/>
        </w:rPr>
      </w:pPr>
      <w:bookmarkStart w:id="123" w:name="_Toc169616183"/>
      <w:r w:rsidRPr="002B55E9">
        <w:rPr>
          <w:color w:val="auto"/>
        </w:rPr>
        <w:t>大气环境评价等级</w:t>
      </w:r>
      <w:bookmarkEnd w:id="123"/>
    </w:p>
    <w:p w14:paraId="59F8D2DF" w14:textId="77777777" w:rsidR="00D170E5" w:rsidRPr="002B55E9" w:rsidRDefault="00EF27AD">
      <w:pPr>
        <w:pStyle w:val="5"/>
        <w:rPr>
          <w:lang w:val="zh-CN"/>
        </w:rPr>
      </w:pPr>
      <w:r w:rsidRPr="002B55E9">
        <w:rPr>
          <w:rFonts w:hint="eastAsia"/>
          <w:lang w:val="zh-CN"/>
        </w:rPr>
        <w:t>估算模型参数</w:t>
      </w:r>
    </w:p>
    <w:p w14:paraId="39BE9871" w14:textId="77777777" w:rsidR="00D170E5" w:rsidRPr="002B55E9" w:rsidRDefault="00EF27AD">
      <w:pPr>
        <w:pStyle w:val="aa"/>
        <w:ind w:firstLineChars="200" w:firstLine="480"/>
        <w:rPr>
          <w:lang w:val="zh-CN"/>
        </w:rPr>
      </w:pPr>
      <w:r w:rsidRPr="002B55E9">
        <w:rPr>
          <w:lang w:val="zh-CN"/>
        </w:rPr>
        <w:t>估算模型采用《环境影响评价技术导则</w:t>
      </w:r>
      <w:r w:rsidRPr="002B55E9">
        <w:rPr>
          <w:lang w:val="zh-CN"/>
        </w:rPr>
        <w:t>·</w:t>
      </w:r>
      <w:r w:rsidRPr="002B55E9">
        <w:rPr>
          <w:lang w:val="zh-CN"/>
        </w:rPr>
        <w:t>大气环境》（</w:t>
      </w:r>
      <w:r w:rsidRPr="002B55E9">
        <w:rPr>
          <w:lang w:val="zh-CN"/>
        </w:rPr>
        <w:t>HJ2.2-2018</w:t>
      </w:r>
      <w:r w:rsidRPr="002B55E9">
        <w:rPr>
          <w:lang w:val="zh-CN"/>
        </w:rPr>
        <w:t>）</w:t>
      </w:r>
      <w:r w:rsidRPr="002B55E9">
        <w:rPr>
          <w:lang w:val="zh-CN"/>
        </w:rPr>
        <w:t>AERSCREEN</w:t>
      </w:r>
      <w:r w:rsidRPr="002B55E9">
        <w:rPr>
          <w:lang w:val="zh-CN"/>
        </w:rPr>
        <w:t>模型。</w:t>
      </w:r>
    </w:p>
    <w:p w14:paraId="5FEB0250" w14:textId="77777777" w:rsidR="00D170E5" w:rsidRPr="002B55E9" w:rsidRDefault="00EF27AD">
      <w:pPr>
        <w:pStyle w:val="affff7"/>
        <w:spacing w:after="0"/>
      </w:pPr>
      <w:r w:rsidRPr="002B55E9">
        <w:t>根据</w:t>
      </w:r>
      <w:r w:rsidRPr="002B55E9">
        <w:t>HJ2.2-2018“ 5.3.2.2</w:t>
      </w:r>
      <w:r w:rsidRPr="002B55E9">
        <w:t>编制环境影响报告</w:t>
      </w:r>
      <w:r w:rsidRPr="002B55E9">
        <w:rPr>
          <w:rFonts w:hint="eastAsia"/>
        </w:rPr>
        <w:t>书</w:t>
      </w:r>
      <w:r w:rsidRPr="002B55E9">
        <w:t>的项目在采用估算模型计算评价等级时，应输入地形参数</w:t>
      </w:r>
      <w:r w:rsidRPr="002B55E9">
        <w:t>”</w:t>
      </w:r>
      <w:r w:rsidRPr="002B55E9">
        <w:rPr>
          <w:rFonts w:hint="eastAsia"/>
        </w:rPr>
        <w:t>。本次预测地形数据分辨率为</w:t>
      </w:r>
      <w:r w:rsidRPr="002B55E9">
        <w:rPr>
          <w:rFonts w:hint="eastAsia"/>
        </w:rPr>
        <w:t>9</w:t>
      </w:r>
      <w:r w:rsidRPr="002B55E9">
        <w:t>0</w:t>
      </w:r>
      <w:r w:rsidRPr="002B55E9">
        <w:rPr>
          <w:rFonts w:hint="eastAsia"/>
        </w:rPr>
        <w:t>m</w:t>
      </w:r>
      <w:r w:rsidRPr="002B55E9">
        <w:rPr>
          <w:rFonts w:hint="eastAsia"/>
        </w:rPr>
        <w:t>。</w:t>
      </w:r>
      <w:r w:rsidRPr="002B55E9">
        <w:t>根据</w:t>
      </w:r>
      <w:r w:rsidRPr="002B55E9">
        <w:t>HJ2.2-2018</w:t>
      </w:r>
      <w:r w:rsidRPr="002B55E9">
        <w:t>附录</w:t>
      </w:r>
      <w:r w:rsidRPr="002B55E9">
        <w:t>B.6.2</w:t>
      </w:r>
      <w:r w:rsidRPr="002B55E9">
        <w:t>污染源附近</w:t>
      </w:r>
      <w:r w:rsidRPr="002B55E9">
        <w:t>3km</w:t>
      </w:r>
      <w:r w:rsidRPr="002B55E9">
        <w:t>范围内有大型水体时，需选择熏烟选项，本项目周边</w:t>
      </w:r>
      <w:r w:rsidRPr="002B55E9">
        <w:t>3km</w:t>
      </w:r>
      <w:r w:rsidRPr="002B55E9">
        <w:t>范围内无大型海或湖水体，无需选择熏烟选项。项目周边模型参数见下表。</w:t>
      </w:r>
    </w:p>
    <w:p w14:paraId="55C49A0B"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 xml:space="preserve">1-7-1  </w:t>
      </w:r>
      <w:r w:rsidRPr="002B55E9">
        <w:rPr>
          <w:rFonts w:eastAsia="黑体" w:hint="eastAsia"/>
          <w:b/>
        </w:rPr>
        <w:t>估算模型参数一览表</w:t>
      </w:r>
    </w:p>
    <w:tbl>
      <w:tblPr>
        <w:tblStyle w:val="lgy2"/>
        <w:tblW w:w="5000" w:type="pct"/>
        <w:tblLayout w:type="fixed"/>
        <w:tblCellMar>
          <w:left w:w="28" w:type="dxa"/>
          <w:right w:w="28" w:type="dxa"/>
        </w:tblCellMar>
        <w:tblLook w:val="04A0" w:firstRow="1" w:lastRow="0" w:firstColumn="1" w:lastColumn="0" w:noHBand="0" w:noVBand="1"/>
      </w:tblPr>
      <w:tblGrid>
        <w:gridCol w:w="1844"/>
        <w:gridCol w:w="2127"/>
        <w:gridCol w:w="1434"/>
        <w:gridCol w:w="4289"/>
      </w:tblGrid>
      <w:tr w:rsidR="002B55E9" w:rsidRPr="002B55E9" w14:paraId="1D250F41" w14:textId="77777777" w:rsidTr="00EB7EFA">
        <w:trPr>
          <w:cnfStyle w:val="100000000000" w:firstRow="1" w:lastRow="0" w:firstColumn="0" w:lastColumn="0" w:oddVBand="0" w:evenVBand="0" w:oddHBand="0" w:evenHBand="0" w:firstRowFirstColumn="0" w:firstRowLastColumn="0" w:lastRowFirstColumn="0" w:lastRowLastColumn="0"/>
          <w:trHeight w:val="283"/>
        </w:trPr>
        <w:tc>
          <w:tcPr>
            <w:tcW w:w="3948" w:type="dxa"/>
            <w:gridSpan w:val="2"/>
          </w:tcPr>
          <w:p w14:paraId="72566FCF" w14:textId="77777777" w:rsidR="00D170E5" w:rsidRPr="002B55E9" w:rsidRDefault="00EF27AD" w:rsidP="00EB7EFA">
            <w:pPr>
              <w:pStyle w:val="lgy-"/>
            </w:pPr>
            <w:r w:rsidRPr="002B55E9">
              <w:rPr>
                <w:rFonts w:hint="eastAsia"/>
              </w:rPr>
              <w:t>参数</w:t>
            </w:r>
          </w:p>
        </w:tc>
        <w:tc>
          <w:tcPr>
            <w:tcW w:w="1426" w:type="dxa"/>
          </w:tcPr>
          <w:p w14:paraId="790C53E7" w14:textId="77777777" w:rsidR="00D170E5" w:rsidRPr="002B55E9" w:rsidRDefault="00EF27AD">
            <w:pPr>
              <w:pStyle w:val="lgy-"/>
            </w:pPr>
            <w:r w:rsidRPr="002B55E9">
              <w:rPr>
                <w:rFonts w:eastAsia="宋体" w:hint="eastAsia"/>
              </w:rPr>
              <w:t>取值</w:t>
            </w:r>
          </w:p>
        </w:tc>
        <w:tc>
          <w:tcPr>
            <w:tcW w:w="4264" w:type="dxa"/>
          </w:tcPr>
          <w:p w14:paraId="68FBC0EC" w14:textId="77777777" w:rsidR="00D170E5" w:rsidRPr="002B55E9" w:rsidRDefault="00EF27AD">
            <w:pPr>
              <w:pStyle w:val="lgy-"/>
              <w:rPr>
                <w:rFonts w:eastAsia="宋体"/>
              </w:rPr>
            </w:pPr>
            <w:r w:rsidRPr="002B55E9">
              <w:rPr>
                <w:rFonts w:eastAsia="宋体" w:hint="eastAsia"/>
              </w:rPr>
              <w:t>取值依据</w:t>
            </w:r>
          </w:p>
        </w:tc>
      </w:tr>
      <w:tr w:rsidR="002B55E9" w:rsidRPr="002B55E9" w14:paraId="7589B287" w14:textId="77777777" w:rsidTr="00EB7EFA">
        <w:trPr>
          <w:trHeight w:val="283"/>
        </w:trPr>
        <w:tc>
          <w:tcPr>
            <w:tcW w:w="1833" w:type="dxa"/>
            <w:vMerge w:val="restart"/>
          </w:tcPr>
          <w:p w14:paraId="31C6EB35" w14:textId="77777777" w:rsidR="00D170E5" w:rsidRPr="002B55E9" w:rsidRDefault="00EF27AD">
            <w:pPr>
              <w:pStyle w:val="lgy-"/>
            </w:pPr>
            <w:r w:rsidRPr="002B55E9">
              <w:rPr>
                <w:rFonts w:eastAsia="宋体" w:hint="eastAsia"/>
              </w:rPr>
              <w:t>城市农村</w:t>
            </w:r>
            <w:r w:rsidRPr="002B55E9">
              <w:rPr>
                <w:rFonts w:eastAsia="宋体"/>
              </w:rPr>
              <w:t>/</w:t>
            </w:r>
            <w:r w:rsidRPr="002B55E9">
              <w:rPr>
                <w:rFonts w:eastAsia="宋体" w:hint="eastAsia"/>
              </w:rPr>
              <w:t>选项</w:t>
            </w:r>
          </w:p>
        </w:tc>
        <w:tc>
          <w:tcPr>
            <w:tcW w:w="2115" w:type="dxa"/>
          </w:tcPr>
          <w:p w14:paraId="373A2BBE" w14:textId="77777777" w:rsidR="00D170E5" w:rsidRPr="002B55E9" w:rsidRDefault="00EF27AD">
            <w:pPr>
              <w:pStyle w:val="lgy-"/>
            </w:pPr>
            <w:r w:rsidRPr="002B55E9">
              <w:rPr>
                <w:rFonts w:eastAsia="宋体" w:hint="eastAsia"/>
              </w:rPr>
              <w:t>城市</w:t>
            </w:r>
            <w:r w:rsidRPr="002B55E9">
              <w:rPr>
                <w:rFonts w:eastAsia="宋体"/>
              </w:rPr>
              <w:t>/</w:t>
            </w:r>
            <w:r w:rsidRPr="002B55E9">
              <w:rPr>
                <w:rFonts w:eastAsia="宋体" w:hint="eastAsia"/>
              </w:rPr>
              <w:t>农村</w:t>
            </w:r>
          </w:p>
        </w:tc>
        <w:tc>
          <w:tcPr>
            <w:tcW w:w="1426" w:type="dxa"/>
          </w:tcPr>
          <w:p w14:paraId="4DACE98B" w14:textId="77777777" w:rsidR="00D170E5" w:rsidRPr="002B55E9" w:rsidRDefault="00EF27AD">
            <w:pPr>
              <w:pStyle w:val="lgy-"/>
            </w:pPr>
            <w:r w:rsidRPr="002B55E9">
              <w:rPr>
                <w:rFonts w:eastAsia="宋体" w:hint="eastAsia"/>
              </w:rPr>
              <w:t>城市</w:t>
            </w:r>
          </w:p>
        </w:tc>
        <w:tc>
          <w:tcPr>
            <w:tcW w:w="4264" w:type="dxa"/>
          </w:tcPr>
          <w:p w14:paraId="7D886B4F" w14:textId="77777777" w:rsidR="00D170E5" w:rsidRPr="002B55E9" w:rsidRDefault="00EF27AD">
            <w:pPr>
              <w:pStyle w:val="lgy-"/>
              <w:rPr>
                <w:rFonts w:eastAsia="宋体"/>
              </w:rPr>
            </w:pPr>
            <w:r w:rsidRPr="002B55E9">
              <w:rPr>
                <w:rFonts w:eastAsia="宋体" w:hint="eastAsia"/>
              </w:rPr>
              <w:t>武汉市城市总体规划</w:t>
            </w:r>
          </w:p>
        </w:tc>
      </w:tr>
      <w:tr w:rsidR="002B55E9" w:rsidRPr="002B55E9" w14:paraId="70053C02" w14:textId="77777777" w:rsidTr="00EB7EFA">
        <w:trPr>
          <w:trHeight w:val="283"/>
        </w:trPr>
        <w:tc>
          <w:tcPr>
            <w:tcW w:w="1833" w:type="dxa"/>
            <w:vMerge/>
          </w:tcPr>
          <w:p w14:paraId="3E92D68F" w14:textId="77777777" w:rsidR="00D170E5" w:rsidRPr="002B55E9" w:rsidRDefault="00D170E5">
            <w:pPr>
              <w:pStyle w:val="lgy-"/>
            </w:pPr>
          </w:p>
        </w:tc>
        <w:tc>
          <w:tcPr>
            <w:tcW w:w="2115" w:type="dxa"/>
          </w:tcPr>
          <w:p w14:paraId="223E0CFC" w14:textId="77777777" w:rsidR="00D170E5" w:rsidRPr="002B55E9" w:rsidRDefault="00EF27AD">
            <w:pPr>
              <w:pStyle w:val="lgy-"/>
            </w:pPr>
            <w:r w:rsidRPr="002B55E9">
              <w:rPr>
                <w:rFonts w:eastAsia="宋体" w:hint="eastAsia"/>
              </w:rPr>
              <w:t>人口数</w:t>
            </w:r>
            <w:r w:rsidRPr="002B55E9">
              <w:rPr>
                <w:rFonts w:eastAsia="宋体"/>
              </w:rPr>
              <w:t>(</w:t>
            </w:r>
            <w:r w:rsidRPr="002B55E9">
              <w:rPr>
                <w:rFonts w:eastAsia="宋体" w:hint="eastAsia"/>
              </w:rPr>
              <w:t>城市人口数</w:t>
            </w:r>
            <w:r w:rsidRPr="002B55E9">
              <w:rPr>
                <w:rFonts w:eastAsia="宋体"/>
              </w:rPr>
              <w:t>)</w:t>
            </w:r>
          </w:p>
        </w:tc>
        <w:tc>
          <w:tcPr>
            <w:tcW w:w="1426" w:type="dxa"/>
          </w:tcPr>
          <w:p w14:paraId="4184DBA4" w14:textId="77777777" w:rsidR="00D170E5" w:rsidRPr="002B55E9" w:rsidRDefault="00EF27AD">
            <w:pPr>
              <w:pStyle w:val="lgy-"/>
            </w:pPr>
            <w:r w:rsidRPr="002B55E9">
              <w:rPr>
                <w:rFonts w:eastAsia="宋体"/>
              </w:rPr>
              <w:t>1232.65</w:t>
            </w:r>
            <w:r w:rsidRPr="002B55E9">
              <w:rPr>
                <w:rFonts w:eastAsia="宋体"/>
              </w:rPr>
              <w:t>万</w:t>
            </w:r>
          </w:p>
        </w:tc>
        <w:tc>
          <w:tcPr>
            <w:tcW w:w="4264" w:type="dxa"/>
          </w:tcPr>
          <w:p w14:paraId="20EAEFFB" w14:textId="77777777" w:rsidR="00D170E5" w:rsidRPr="002B55E9" w:rsidRDefault="00EF27AD">
            <w:pPr>
              <w:pStyle w:val="lgy-"/>
              <w:rPr>
                <w:rFonts w:eastAsia="宋体"/>
              </w:rPr>
            </w:pPr>
            <w:r w:rsidRPr="002B55E9">
              <w:rPr>
                <w:rFonts w:eastAsia="宋体" w:hint="eastAsia"/>
              </w:rPr>
              <w:t>《武汉市第七次全国人口普查公报》（</w:t>
            </w:r>
            <w:r w:rsidRPr="002B55E9">
              <w:rPr>
                <w:rFonts w:eastAsia="宋体" w:hint="eastAsia"/>
              </w:rPr>
              <w:t>2</w:t>
            </w:r>
            <w:r w:rsidRPr="002B55E9">
              <w:rPr>
                <w:rFonts w:eastAsia="宋体"/>
              </w:rPr>
              <w:t>021</w:t>
            </w:r>
            <w:r w:rsidRPr="002B55E9">
              <w:rPr>
                <w:rFonts w:eastAsia="宋体" w:hint="eastAsia"/>
              </w:rPr>
              <w:t>年）</w:t>
            </w:r>
          </w:p>
        </w:tc>
      </w:tr>
      <w:tr w:rsidR="002B55E9" w:rsidRPr="002B55E9" w14:paraId="1FF73FA3" w14:textId="77777777" w:rsidTr="00EB7EFA">
        <w:trPr>
          <w:trHeight w:val="283"/>
        </w:trPr>
        <w:tc>
          <w:tcPr>
            <w:tcW w:w="3948" w:type="dxa"/>
            <w:gridSpan w:val="2"/>
          </w:tcPr>
          <w:p w14:paraId="13DC120A" w14:textId="77777777" w:rsidR="00D170E5" w:rsidRPr="002B55E9" w:rsidRDefault="00EF27AD">
            <w:pPr>
              <w:pStyle w:val="lgy-"/>
            </w:pPr>
            <w:r w:rsidRPr="002B55E9">
              <w:rPr>
                <w:rFonts w:eastAsia="宋体" w:hint="eastAsia"/>
              </w:rPr>
              <w:t>最高环境温度</w:t>
            </w:r>
          </w:p>
        </w:tc>
        <w:tc>
          <w:tcPr>
            <w:tcW w:w="1426" w:type="dxa"/>
          </w:tcPr>
          <w:p w14:paraId="7CACC01A" w14:textId="77777777" w:rsidR="00D170E5" w:rsidRPr="002B55E9" w:rsidRDefault="00EF27AD">
            <w:pPr>
              <w:pStyle w:val="lgy-"/>
            </w:pPr>
            <w:r w:rsidRPr="002B55E9">
              <w:rPr>
                <w:rFonts w:eastAsia="宋体"/>
              </w:rPr>
              <w:t>38.1 °C</w:t>
            </w:r>
          </w:p>
        </w:tc>
        <w:tc>
          <w:tcPr>
            <w:tcW w:w="4264" w:type="dxa"/>
            <w:vMerge w:val="restart"/>
          </w:tcPr>
          <w:p w14:paraId="0A52A7AD" w14:textId="77777777" w:rsidR="00D170E5" w:rsidRPr="002B55E9" w:rsidRDefault="00EF27AD">
            <w:pPr>
              <w:pStyle w:val="lgy-"/>
              <w:rPr>
                <w:rFonts w:eastAsia="宋体"/>
              </w:rPr>
            </w:pPr>
            <w:r w:rsidRPr="002B55E9">
              <w:rPr>
                <w:rFonts w:eastAsia="宋体" w:hint="eastAsia"/>
              </w:rPr>
              <w:t>武汉气象资料分析报告（</w:t>
            </w:r>
            <w:r w:rsidRPr="002B55E9">
              <w:rPr>
                <w:rFonts w:eastAsia="宋体" w:hint="eastAsia"/>
              </w:rPr>
              <w:t>2000~2020</w:t>
            </w:r>
            <w:r w:rsidRPr="002B55E9">
              <w:rPr>
                <w:rFonts w:eastAsia="宋体" w:hint="eastAsia"/>
              </w:rPr>
              <w:t>年）</w:t>
            </w:r>
          </w:p>
        </w:tc>
      </w:tr>
      <w:tr w:rsidR="002B55E9" w:rsidRPr="002B55E9" w14:paraId="0A66D4C5" w14:textId="77777777" w:rsidTr="00EB7EFA">
        <w:trPr>
          <w:trHeight w:val="283"/>
        </w:trPr>
        <w:tc>
          <w:tcPr>
            <w:tcW w:w="3948" w:type="dxa"/>
            <w:gridSpan w:val="2"/>
          </w:tcPr>
          <w:p w14:paraId="6B5114FF" w14:textId="77777777" w:rsidR="00D170E5" w:rsidRPr="002B55E9" w:rsidRDefault="00EF27AD">
            <w:pPr>
              <w:pStyle w:val="lgy-"/>
            </w:pPr>
            <w:r w:rsidRPr="002B55E9">
              <w:rPr>
                <w:rFonts w:eastAsia="宋体" w:hint="eastAsia"/>
              </w:rPr>
              <w:t>最低环境温度</w:t>
            </w:r>
          </w:p>
        </w:tc>
        <w:tc>
          <w:tcPr>
            <w:tcW w:w="1426" w:type="dxa"/>
          </w:tcPr>
          <w:p w14:paraId="209F711A" w14:textId="77777777" w:rsidR="00D170E5" w:rsidRPr="002B55E9" w:rsidRDefault="00EF27AD">
            <w:pPr>
              <w:pStyle w:val="lgy-"/>
            </w:pPr>
            <w:r w:rsidRPr="002B55E9">
              <w:rPr>
                <w:rFonts w:eastAsia="宋体"/>
              </w:rPr>
              <w:t>-5.2 °C</w:t>
            </w:r>
          </w:p>
        </w:tc>
        <w:tc>
          <w:tcPr>
            <w:tcW w:w="4264" w:type="dxa"/>
            <w:vMerge/>
          </w:tcPr>
          <w:p w14:paraId="1FC2ACAB" w14:textId="77777777" w:rsidR="00D170E5" w:rsidRPr="002B55E9" w:rsidRDefault="00D170E5">
            <w:pPr>
              <w:pStyle w:val="lgy-"/>
              <w:rPr>
                <w:rFonts w:eastAsia="宋体"/>
              </w:rPr>
            </w:pPr>
          </w:p>
        </w:tc>
      </w:tr>
      <w:tr w:rsidR="002B55E9" w:rsidRPr="002B55E9" w14:paraId="5CC46612" w14:textId="77777777" w:rsidTr="00EB7EFA">
        <w:trPr>
          <w:trHeight w:val="283"/>
        </w:trPr>
        <w:tc>
          <w:tcPr>
            <w:tcW w:w="3948" w:type="dxa"/>
            <w:gridSpan w:val="2"/>
          </w:tcPr>
          <w:p w14:paraId="25FD4955" w14:textId="77777777" w:rsidR="00D170E5" w:rsidRPr="002B55E9" w:rsidRDefault="00EF27AD">
            <w:pPr>
              <w:pStyle w:val="lgy-"/>
            </w:pPr>
            <w:r w:rsidRPr="002B55E9">
              <w:rPr>
                <w:rFonts w:eastAsia="宋体" w:hint="eastAsia"/>
              </w:rPr>
              <w:t>土地利用类型</w:t>
            </w:r>
          </w:p>
        </w:tc>
        <w:tc>
          <w:tcPr>
            <w:tcW w:w="1426" w:type="dxa"/>
          </w:tcPr>
          <w:p w14:paraId="00F30B76" w14:textId="77777777" w:rsidR="00D170E5" w:rsidRPr="002B55E9" w:rsidRDefault="00EF27AD">
            <w:pPr>
              <w:pStyle w:val="lgy-"/>
            </w:pPr>
            <w:r w:rsidRPr="002B55E9">
              <w:rPr>
                <w:rFonts w:eastAsia="宋体" w:hint="eastAsia"/>
              </w:rPr>
              <w:t>城市</w:t>
            </w:r>
          </w:p>
        </w:tc>
        <w:tc>
          <w:tcPr>
            <w:tcW w:w="4264" w:type="dxa"/>
          </w:tcPr>
          <w:p w14:paraId="070B6F95" w14:textId="77777777" w:rsidR="00D170E5" w:rsidRPr="002B55E9" w:rsidRDefault="00EF27AD">
            <w:pPr>
              <w:pStyle w:val="lgy-"/>
              <w:rPr>
                <w:rFonts w:eastAsia="宋体"/>
              </w:rPr>
            </w:pPr>
            <w:r w:rsidRPr="002B55E9">
              <w:rPr>
                <w:rFonts w:eastAsia="宋体" w:hint="eastAsia"/>
              </w:rPr>
              <w:t>武汉市城市总体规划</w:t>
            </w:r>
          </w:p>
        </w:tc>
      </w:tr>
      <w:tr w:rsidR="002B55E9" w:rsidRPr="002B55E9" w14:paraId="6D826782" w14:textId="77777777" w:rsidTr="00EB7EFA">
        <w:trPr>
          <w:trHeight w:val="283"/>
        </w:trPr>
        <w:tc>
          <w:tcPr>
            <w:tcW w:w="3948" w:type="dxa"/>
            <w:gridSpan w:val="2"/>
          </w:tcPr>
          <w:p w14:paraId="758C95B1" w14:textId="77777777" w:rsidR="00D170E5" w:rsidRPr="002B55E9" w:rsidRDefault="00EF27AD">
            <w:pPr>
              <w:pStyle w:val="lgy-"/>
            </w:pPr>
            <w:r w:rsidRPr="002B55E9">
              <w:rPr>
                <w:rFonts w:eastAsia="宋体" w:hint="eastAsia"/>
              </w:rPr>
              <w:t>区域湿度条件</w:t>
            </w:r>
          </w:p>
        </w:tc>
        <w:tc>
          <w:tcPr>
            <w:tcW w:w="1426" w:type="dxa"/>
          </w:tcPr>
          <w:p w14:paraId="2D57A508" w14:textId="77777777" w:rsidR="00D170E5" w:rsidRPr="002B55E9" w:rsidRDefault="00EF27AD">
            <w:pPr>
              <w:pStyle w:val="lgy-"/>
            </w:pPr>
            <w:r w:rsidRPr="002B55E9">
              <w:rPr>
                <w:rFonts w:eastAsia="宋体" w:hint="eastAsia"/>
              </w:rPr>
              <w:t>潮湿</w:t>
            </w:r>
          </w:p>
        </w:tc>
        <w:tc>
          <w:tcPr>
            <w:tcW w:w="4264" w:type="dxa"/>
          </w:tcPr>
          <w:p w14:paraId="1662F5F5" w14:textId="77777777" w:rsidR="00D170E5" w:rsidRPr="002B55E9" w:rsidRDefault="00EF27AD">
            <w:pPr>
              <w:pStyle w:val="lgy-"/>
              <w:rPr>
                <w:rFonts w:eastAsia="宋体"/>
              </w:rPr>
            </w:pPr>
            <w:r w:rsidRPr="002B55E9">
              <w:rPr>
                <w:rFonts w:eastAsia="宋体"/>
                <w:szCs w:val="21"/>
              </w:rPr>
              <w:t>中国干湿</w:t>
            </w:r>
            <w:r w:rsidRPr="002B55E9">
              <w:rPr>
                <w:rFonts w:eastAsia="宋体" w:hint="eastAsia"/>
                <w:szCs w:val="21"/>
              </w:rPr>
              <w:t>分布</w:t>
            </w:r>
            <w:r w:rsidRPr="002B55E9">
              <w:rPr>
                <w:rFonts w:eastAsia="宋体"/>
                <w:szCs w:val="21"/>
              </w:rPr>
              <w:t>图</w:t>
            </w:r>
          </w:p>
        </w:tc>
      </w:tr>
      <w:tr w:rsidR="002B55E9" w:rsidRPr="002B55E9" w14:paraId="54C24009" w14:textId="77777777" w:rsidTr="00EB7EFA">
        <w:trPr>
          <w:trHeight w:val="283"/>
        </w:trPr>
        <w:tc>
          <w:tcPr>
            <w:tcW w:w="1833" w:type="dxa"/>
            <w:vMerge w:val="restart"/>
          </w:tcPr>
          <w:p w14:paraId="3EC9C636" w14:textId="77777777" w:rsidR="00D170E5" w:rsidRPr="002B55E9" w:rsidRDefault="00EF27AD">
            <w:pPr>
              <w:pStyle w:val="lgy-"/>
            </w:pPr>
            <w:r w:rsidRPr="002B55E9">
              <w:rPr>
                <w:rFonts w:eastAsia="宋体" w:hint="eastAsia"/>
              </w:rPr>
              <w:t>是否考虑地形</w:t>
            </w:r>
          </w:p>
        </w:tc>
        <w:tc>
          <w:tcPr>
            <w:tcW w:w="2115" w:type="dxa"/>
          </w:tcPr>
          <w:p w14:paraId="5DC5D351" w14:textId="77777777" w:rsidR="00D170E5" w:rsidRPr="002B55E9" w:rsidRDefault="00EF27AD">
            <w:pPr>
              <w:pStyle w:val="lgy-"/>
            </w:pPr>
            <w:r w:rsidRPr="002B55E9">
              <w:rPr>
                <w:rFonts w:eastAsia="宋体" w:hint="eastAsia"/>
              </w:rPr>
              <w:t>考虑地形</w:t>
            </w:r>
          </w:p>
        </w:tc>
        <w:tc>
          <w:tcPr>
            <w:tcW w:w="1426" w:type="dxa"/>
          </w:tcPr>
          <w:p w14:paraId="0948B221" w14:textId="77777777" w:rsidR="00D170E5" w:rsidRPr="002B55E9" w:rsidRDefault="00EF27AD">
            <w:pPr>
              <w:pStyle w:val="lgy-"/>
            </w:pPr>
            <w:r w:rsidRPr="002B55E9">
              <w:rPr>
                <w:rFonts w:eastAsia="宋体" w:hint="eastAsia"/>
              </w:rPr>
              <w:t>是</w:t>
            </w:r>
          </w:p>
        </w:tc>
        <w:tc>
          <w:tcPr>
            <w:tcW w:w="4264" w:type="dxa"/>
          </w:tcPr>
          <w:p w14:paraId="44E65E73" w14:textId="77777777" w:rsidR="00D170E5" w:rsidRPr="002B55E9" w:rsidRDefault="00EF27AD">
            <w:pPr>
              <w:pStyle w:val="lgy-"/>
              <w:rPr>
                <w:rFonts w:eastAsia="宋体"/>
              </w:rPr>
            </w:pPr>
            <w:r w:rsidRPr="002B55E9">
              <w:rPr>
                <w:rFonts w:eastAsia="宋体" w:hint="eastAsia"/>
              </w:rPr>
              <w:t>/</w:t>
            </w:r>
          </w:p>
        </w:tc>
      </w:tr>
      <w:tr w:rsidR="002B55E9" w:rsidRPr="002B55E9" w14:paraId="4BEA99C2" w14:textId="77777777" w:rsidTr="00EB7EFA">
        <w:trPr>
          <w:trHeight w:val="283"/>
        </w:trPr>
        <w:tc>
          <w:tcPr>
            <w:tcW w:w="1833" w:type="dxa"/>
            <w:vMerge/>
          </w:tcPr>
          <w:p w14:paraId="3B1F8671" w14:textId="77777777" w:rsidR="00D170E5" w:rsidRPr="002B55E9" w:rsidRDefault="00D170E5">
            <w:pPr>
              <w:pStyle w:val="lgy-"/>
            </w:pPr>
          </w:p>
        </w:tc>
        <w:tc>
          <w:tcPr>
            <w:tcW w:w="2115" w:type="dxa"/>
          </w:tcPr>
          <w:p w14:paraId="4375697A" w14:textId="77777777" w:rsidR="00D170E5" w:rsidRPr="002B55E9" w:rsidRDefault="00EF27AD">
            <w:pPr>
              <w:pStyle w:val="lgy-"/>
            </w:pPr>
            <w:r w:rsidRPr="002B55E9">
              <w:rPr>
                <w:rFonts w:eastAsia="宋体" w:hint="eastAsia"/>
              </w:rPr>
              <w:t>地形数据分辨率</w:t>
            </w:r>
            <w:r w:rsidRPr="002B55E9">
              <w:rPr>
                <w:rFonts w:eastAsia="宋体"/>
              </w:rPr>
              <w:t>(m)</w:t>
            </w:r>
          </w:p>
        </w:tc>
        <w:tc>
          <w:tcPr>
            <w:tcW w:w="1426" w:type="dxa"/>
          </w:tcPr>
          <w:p w14:paraId="0A5C51A7" w14:textId="77777777" w:rsidR="00D170E5" w:rsidRPr="002B55E9" w:rsidRDefault="00EF27AD">
            <w:pPr>
              <w:pStyle w:val="lgy-"/>
            </w:pPr>
            <w:r w:rsidRPr="002B55E9">
              <w:rPr>
                <w:rFonts w:eastAsia="宋体"/>
              </w:rPr>
              <w:t>90</w:t>
            </w:r>
          </w:p>
        </w:tc>
        <w:tc>
          <w:tcPr>
            <w:tcW w:w="4264" w:type="dxa"/>
          </w:tcPr>
          <w:p w14:paraId="12B52F77" w14:textId="77777777" w:rsidR="00D170E5" w:rsidRPr="002B55E9" w:rsidRDefault="00EF27AD">
            <w:pPr>
              <w:pStyle w:val="lgy-"/>
              <w:rPr>
                <w:rFonts w:eastAsia="宋体"/>
              </w:rPr>
            </w:pPr>
            <w:r w:rsidRPr="002B55E9">
              <w:rPr>
                <w:rFonts w:eastAsia="宋体" w:hint="eastAsia"/>
              </w:rPr>
              <w:t>/</w:t>
            </w:r>
          </w:p>
        </w:tc>
      </w:tr>
      <w:tr w:rsidR="002B55E9" w:rsidRPr="002B55E9" w14:paraId="62FCB44C" w14:textId="77777777" w:rsidTr="00EB7EFA">
        <w:trPr>
          <w:trHeight w:val="283"/>
        </w:trPr>
        <w:tc>
          <w:tcPr>
            <w:tcW w:w="1833" w:type="dxa"/>
            <w:vMerge w:val="restart"/>
          </w:tcPr>
          <w:p w14:paraId="021983CB" w14:textId="77777777" w:rsidR="00D170E5" w:rsidRPr="002B55E9" w:rsidRDefault="00EF27AD">
            <w:pPr>
              <w:pStyle w:val="lgy-"/>
            </w:pPr>
            <w:r w:rsidRPr="002B55E9">
              <w:rPr>
                <w:rFonts w:eastAsia="宋体" w:hint="eastAsia"/>
              </w:rPr>
              <w:t>是否考虑海岸线熏烟</w:t>
            </w:r>
          </w:p>
        </w:tc>
        <w:tc>
          <w:tcPr>
            <w:tcW w:w="2115" w:type="dxa"/>
          </w:tcPr>
          <w:p w14:paraId="27E1ADD5" w14:textId="77777777" w:rsidR="00D170E5" w:rsidRPr="002B55E9" w:rsidRDefault="00EF27AD">
            <w:pPr>
              <w:pStyle w:val="lgy-"/>
            </w:pPr>
            <w:r w:rsidRPr="002B55E9">
              <w:rPr>
                <w:rFonts w:eastAsia="宋体" w:hint="eastAsia"/>
              </w:rPr>
              <w:t>考虑海岸线熏烟</w:t>
            </w:r>
          </w:p>
        </w:tc>
        <w:tc>
          <w:tcPr>
            <w:tcW w:w="1426" w:type="dxa"/>
          </w:tcPr>
          <w:p w14:paraId="17D688DE" w14:textId="77777777" w:rsidR="00D170E5" w:rsidRPr="002B55E9" w:rsidRDefault="00EF27AD">
            <w:pPr>
              <w:pStyle w:val="lgy-"/>
            </w:pPr>
            <w:r w:rsidRPr="002B55E9">
              <w:rPr>
                <w:rFonts w:eastAsia="宋体" w:hint="eastAsia"/>
              </w:rPr>
              <w:t>否</w:t>
            </w:r>
          </w:p>
        </w:tc>
        <w:tc>
          <w:tcPr>
            <w:tcW w:w="4264" w:type="dxa"/>
          </w:tcPr>
          <w:p w14:paraId="1C4D77E1" w14:textId="77777777" w:rsidR="00D170E5" w:rsidRPr="002B55E9" w:rsidRDefault="00EF27AD">
            <w:pPr>
              <w:pStyle w:val="lgy-"/>
              <w:rPr>
                <w:rFonts w:eastAsia="宋体"/>
              </w:rPr>
            </w:pPr>
            <w:r w:rsidRPr="002B55E9">
              <w:rPr>
                <w:rFonts w:eastAsia="宋体"/>
                <w:szCs w:val="21"/>
              </w:rPr>
              <w:t>周边</w:t>
            </w:r>
            <w:r w:rsidRPr="002B55E9">
              <w:rPr>
                <w:rFonts w:eastAsia="宋体"/>
                <w:szCs w:val="21"/>
              </w:rPr>
              <w:t>3km</w:t>
            </w:r>
            <w:r w:rsidRPr="002B55E9">
              <w:rPr>
                <w:rFonts w:eastAsia="宋体"/>
                <w:szCs w:val="21"/>
              </w:rPr>
              <w:t>范围内无大型水体</w:t>
            </w:r>
          </w:p>
        </w:tc>
      </w:tr>
      <w:tr w:rsidR="002B55E9" w:rsidRPr="002B55E9" w14:paraId="26CD5C56" w14:textId="77777777" w:rsidTr="00EB7EFA">
        <w:trPr>
          <w:trHeight w:val="283"/>
        </w:trPr>
        <w:tc>
          <w:tcPr>
            <w:tcW w:w="1833" w:type="dxa"/>
            <w:vMerge/>
          </w:tcPr>
          <w:p w14:paraId="139DC558" w14:textId="77777777" w:rsidR="00D170E5" w:rsidRPr="002B55E9" w:rsidRDefault="00D170E5">
            <w:pPr>
              <w:pStyle w:val="lgy-"/>
            </w:pPr>
          </w:p>
        </w:tc>
        <w:tc>
          <w:tcPr>
            <w:tcW w:w="2115" w:type="dxa"/>
          </w:tcPr>
          <w:p w14:paraId="26A86C81" w14:textId="77777777" w:rsidR="00D170E5" w:rsidRPr="002B55E9" w:rsidRDefault="00EF27AD">
            <w:pPr>
              <w:pStyle w:val="lgy-"/>
            </w:pPr>
            <w:r w:rsidRPr="002B55E9">
              <w:rPr>
                <w:rFonts w:eastAsia="宋体" w:hint="eastAsia"/>
              </w:rPr>
              <w:t>海岸线距离</w:t>
            </w:r>
            <w:r w:rsidRPr="002B55E9">
              <w:rPr>
                <w:rFonts w:eastAsia="宋体"/>
              </w:rPr>
              <w:t>/m</w:t>
            </w:r>
          </w:p>
        </w:tc>
        <w:tc>
          <w:tcPr>
            <w:tcW w:w="1426" w:type="dxa"/>
          </w:tcPr>
          <w:p w14:paraId="265758CC" w14:textId="77777777" w:rsidR="00D170E5" w:rsidRPr="002B55E9" w:rsidRDefault="00EF27AD">
            <w:pPr>
              <w:pStyle w:val="lgy-"/>
            </w:pPr>
            <w:r w:rsidRPr="002B55E9">
              <w:rPr>
                <w:rFonts w:eastAsia="宋体" w:hint="eastAsia"/>
              </w:rPr>
              <w:t>/</w:t>
            </w:r>
          </w:p>
        </w:tc>
        <w:tc>
          <w:tcPr>
            <w:tcW w:w="4264" w:type="dxa"/>
          </w:tcPr>
          <w:p w14:paraId="7FF64BF8" w14:textId="77777777" w:rsidR="00D170E5" w:rsidRPr="002B55E9" w:rsidRDefault="00EF27AD">
            <w:pPr>
              <w:pStyle w:val="lgy-"/>
              <w:rPr>
                <w:rFonts w:eastAsia="宋体"/>
              </w:rPr>
            </w:pPr>
            <w:r w:rsidRPr="002B55E9">
              <w:rPr>
                <w:rFonts w:eastAsia="宋体" w:hint="eastAsia"/>
              </w:rPr>
              <w:t>/</w:t>
            </w:r>
          </w:p>
        </w:tc>
      </w:tr>
      <w:tr w:rsidR="002B55E9" w:rsidRPr="002B55E9" w14:paraId="20AB9829" w14:textId="77777777" w:rsidTr="00EB7EFA">
        <w:trPr>
          <w:trHeight w:val="283"/>
        </w:trPr>
        <w:tc>
          <w:tcPr>
            <w:tcW w:w="1833" w:type="dxa"/>
            <w:vMerge/>
          </w:tcPr>
          <w:p w14:paraId="2F5C10CE" w14:textId="77777777" w:rsidR="00D170E5" w:rsidRPr="002B55E9" w:rsidRDefault="00D170E5">
            <w:pPr>
              <w:pStyle w:val="lgy-"/>
            </w:pPr>
          </w:p>
        </w:tc>
        <w:tc>
          <w:tcPr>
            <w:tcW w:w="2115" w:type="dxa"/>
          </w:tcPr>
          <w:p w14:paraId="79FD8633" w14:textId="77777777" w:rsidR="00D170E5" w:rsidRPr="002B55E9" w:rsidRDefault="00EF27AD">
            <w:pPr>
              <w:pStyle w:val="lgy-"/>
            </w:pPr>
            <w:r w:rsidRPr="002B55E9">
              <w:rPr>
                <w:rFonts w:eastAsia="宋体" w:hint="eastAsia"/>
              </w:rPr>
              <w:t>海岸线方向</w:t>
            </w:r>
            <w:r w:rsidRPr="002B55E9">
              <w:rPr>
                <w:rFonts w:eastAsia="宋体"/>
              </w:rPr>
              <w:t>/</w:t>
            </w:r>
            <w:r w:rsidRPr="002B55E9">
              <w:rPr>
                <w:rFonts w:eastAsia="宋体"/>
                <w:vertAlign w:val="superscript"/>
              </w:rPr>
              <w:t>o</w:t>
            </w:r>
          </w:p>
        </w:tc>
        <w:tc>
          <w:tcPr>
            <w:tcW w:w="1426" w:type="dxa"/>
          </w:tcPr>
          <w:p w14:paraId="0E124ACA" w14:textId="77777777" w:rsidR="00D170E5" w:rsidRPr="002B55E9" w:rsidRDefault="00EF27AD">
            <w:pPr>
              <w:pStyle w:val="lgy-"/>
            </w:pPr>
            <w:r w:rsidRPr="002B55E9">
              <w:rPr>
                <w:rFonts w:eastAsia="宋体" w:hint="eastAsia"/>
              </w:rPr>
              <w:t>/</w:t>
            </w:r>
          </w:p>
        </w:tc>
        <w:tc>
          <w:tcPr>
            <w:tcW w:w="4264" w:type="dxa"/>
          </w:tcPr>
          <w:p w14:paraId="6ECBEF63" w14:textId="77777777" w:rsidR="00D170E5" w:rsidRPr="002B55E9" w:rsidRDefault="00EF27AD">
            <w:pPr>
              <w:pStyle w:val="lgy-"/>
              <w:rPr>
                <w:rFonts w:eastAsia="宋体"/>
              </w:rPr>
            </w:pPr>
            <w:r w:rsidRPr="002B55E9">
              <w:rPr>
                <w:rFonts w:eastAsia="宋体" w:hint="eastAsia"/>
              </w:rPr>
              <w:t>/</w:t>
            </w:r>
          </w:p>
        </w:tc>
      </w:tr>
    </w:tbl>
    <w:p w14:paraId="71F925A6" w14:textId="77777777" w:rsidR="00D170E5" w:rsidRPr="002B55E9" w:rsidRDefault="00EF27AD">
      <w:pPr>
        <w:pStyle w:val="5"/>
      </w:pPr>
      <w:r w:rsidRPr="002B55E9">
        <w:rPr>
          <w:rFonts w:hint="eastAsia"/>
        </w:rPr>
        <w:t>评价等级</w:t>
      </w:r>
    </w:p>
    <w:p w14:paraId="7E263974" w14:textId="77777777" w:rsidR="00D170E5" w:rsidRPr="002B55E9" w:rsidRDefault="00EF27AD">
      <w:pPr>
        <w:pStyle w:val="affff7"/>
      </w:pPr>
      <w:r w:rsidRPr="002B55E9">
        <w:t>评价工作等级表（</w:t>
      </w:r>
      <w:r w:rsidRPr="002B55E9">
        <w:t>HJ2.2-2018</w:t>
      </w:r>
      <w:r w:rsidRPr="002B55E9">
        <w:t>表</w:t>
      </w:r>
      <w:r w:rsidRPr="002B55E9">
        <w:t>2</w:t>
      </w:r>
      <w:r w:rsidRPr="002B55E9">
        <w:t>）见表</w:t>
      </w:r>
      <w:r w:rsidRPr="002B55E9">
        <w:t>1-</w:t>
      </w:r>
      <w:r w:rsidRPr="002B55E9">
        <w:rPr>
          <w:rFonts w:hint="eastAsia"/>
        </w:rPr>
        <w:t>7</w:t>
      </w:r>
      <w:r w:rsidRPr="002B55E9">
        <w:t>-</w:t>
      </w:r>
      <w:r w:rsidRPr="002B55E9">
        <w:rPr>
          <w:rFonts w:hint="eastAsia"/>
        </w:rPr>
        <w:t>2</w:t>
      </w:r>
      <w:r w:rsidRPr="002B55E9">
        <w:t>。</w:t>
      </w:r>
    </w:p>
    <w:p w14:paraId="1B770390" w14:textId="77777777" w:rsidR="00D170E5" w:rsidRPr="002B55E9" w:rsidRDefault="00EF27AD">
      <w:pPr>
        <w:pStyle w:val="aa"/>
        <w:spacing w:line="240" w:lineRule="auto"/>
        <w:ind w:firstLine="0"/>
        <w:jc w:val="center"/>
        <w:rPr>
          <w:rFonts w:eastAsia="黑体"/>
          <w:b/>
        </w:rPr>
      </w:pPr>
      <w:r w:rsidRPr="002B55E9">
        <w:rPr>
          <w:rFonts w:eastAsia="黑体"/>
          <w:b/>
        </w:rPr>
        <w:t>表</w:t>
      </w:r>
      <w:r w:rsidRPr="002B55E9">
        <w:rPr>
          <w:rFonts w:eastAsia="黑体"/>
          <w:b/>
        </w:rPr>
        <w:t>1-</w:t>
      </w:r>
      <w:r w:rsidRPr="002B55E9">
        <w:rPr>
          <w:rFonts w:eastAsia="黑体" w:hint="eastAsia"/>
          <w:b/>
        </w:rPr>
        <w:t>7</w:t>
      </w:r>
      <w:r w:rsidRPr="002B55E9">
        <w:rPr>
          <w:rFonts w:eastAsia="黑体"/>
          <w:b/>
        </w:rPr>
        <w:t xml:space="preserve">-2  </w:t>
      </w:r>
      <w:r w:rsidRPr="002B55E9">
        <w:rPr>
          <w:rFonts w:eastAsia="黑体"/>
          <w:b/>
        </w:rPr>
        <w:t>评价工作级别</w:t>
      </w:r>
      <w:r w:rsidRPr="002B55E9">
        <w:rPr>
          <w:rFonts w:eastAsia="黑体" w:hint="eastAsia"/>
          <w:b/>
        </w:rPr>
        <w:t>划分表</w:t>
      </w:r>
    </w:p>
    <w:tbl>
      <w:tblPr>
        <w:tblW w:w="985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77"/>
        <w:gridCol w:w="7377"/>
      </w:tblGrid>
      <w:tr w:rsidR="002B55E9" w:rsidRPr="002B55E9" w14:paraId="4ED924AE" w14:textId="77777777">
        <w:trPr>
          <w:trHeight w:val="284"/>
        </w:trPr>
        <w:tc>
          <w:tcPr>
            <w:tcW w:w="2477" w:type="dxa"/>
            <w:tcBorders>
              <w:bottom w:val="single" w:sz="12" w:space="0" w:color="auto"/>
            </w:tcBorders>
            <w:vAlign w:val="center"/>
          </w:tcPr>
          <w:p w14:paraId="3FD07EDC" w14:textId="77777777" w:rsidR="00D170E5" w:rsidRPr="002B55E9" w:rsidRDefault="00EF27AD">
            <w:pPr>
              <w:pStyle w:val="affff6"/>
            </w:pPr>
            <w:r w:rsidRPr="002B55E9">
              <w:t>评价工作等级</w:t>
            </w:r>
          </w:p>
        </w:tc>
        <w:tc>
          <w:tcPr>
            <w:tcW w:w="7377" w:type="dxa"/>
            <w:tcBorders>
              <w:bottom w:val="single" w:sz="12" w:space="0" w:color="auto"/>
            </w:tcBorders>
            <w:vAlign w:val="center"/>
          </w:tcPr>
          <w:p w14:paraId="3C9F85B4" w14:textId="77777777" w:rsidR="00D170E5" w:rsidRPr="002B55E9" w:rsidRDefault="00EF27AD">
            <w:pPr>
              <w:pStyle w:val="affff6"/>
            </w:pPr>
            <w:r w:rsidRPr="002B55E9">
              <w:t>评价工作分级判据</w:t>
            </w:r>
          </w:p>
        </w:tc>
      </w:tr>
      <w:tr w:rsidR="002B55E9" w:rsidRPr="002B55E9" w14:paraId="3923EA0B" w14:textId="77777777">
        <w:trPr>
          <w:trHeight w:val="284"/>
        </w:trPr>
        <w:tc>
          <w:tcPr>
            <w:tcW w:w="2477" w:type="dxa"/>
            <w:tcBorders>
              <w:top w:val="single" w:sz="12" w:space="0" w:color="auto"/>
            </w:tcBorders>
            <w:vAlign w:val="center"/>
          </w:tcPr>
          <w:p w14:paraId="7B60FC54" w14:textId="77777777" w:rsidR="00D170E5" w:rsidRPr="002B55E9" w:rsidRDefault="00EF27AD">
            <w:pPr>
              <w:pStyle w:val="affff6"/>
            </w:pPr>
            <w:r w:rsidRPr="002B55E9">
              <w:t>一级</w:t>
            </w:r>
          </w:p>
        </w:tc>
        <w:tc>
          <w:tcPr>
            <w:tcW w:w="7377" w:type="dxa"/>
            <w:tcBorders>
              <w:top w:val="single" w:sz="12" w:space="0" w:color="auto"/>
            </w:tcBorders>
            <w:vAlign w:val="center"/>
          </w:tcPr>
          <w:p w14:paraId="52BD098B" w14:textId="77777777" w:rsidR="00D170E5" w:rsidRPr="002B55E9" w:rsidRDefault="00EF27AD">
            <w:pPr>
              <w:pStyle w:val="affff6"/>
            </w:pPr>
            <w:r w:rsidRPr="002B55E9">
              <w:t>P</w:t>
            </w:r>
            <w:r w:rsidRPr="002B55E9">
              <w:rPr>
                <w:vertAlign w:val="subscript"/>
              </w:rPr>
              <w:t>max</w:t>
            </w:r>
            <w:r w:rsidRPr="002B55E9">
              <w:t>≥10</w:t>
            </w:r>
            <w:r w:rsidRPr="002B55E9">
              <w:t>％</w:t>
            </w:r>
            <w:r w:rsidRPr="002B55E9">
              <w:t xml:space="preserve"> </w:t>
            </w:r>
          </w:p>
        </w:tc>
      </w:tr>
      <w:tr w:rsidR="002B55E9" w:rsidRPr="002B55E9" w14:paraId="08E75324" w14:textId="77777777">
        <w:trPr>
          <w:trHeight w:val="284"/>
        </w:trPr>
        <w:tc>
          <w:tcPr>
            <w:tcW w:w="2477" w:type="dxa"/>
            <w:vAlign w:val="center"/>
          </w:tcPr>
          <w:p w14:paraId="31D68BF4" w14:textId="77777777" w:rsidR="00D170E5" w:rsidRPr="002B55E9" w:rsidRDefault="00EF27AD">
            <w:pPr>
              <w:pStyle w:val="affff6"/>
            </w:pPr>
            <w:r w:rsidRPr="002B55E9">
              <w:t>二级</w:t>
            </w:r>
          </w:p>
        </w:tc>
        <w:tc>
          <w:tcPr>
            <w:tcW w:w="7377" w:type="dxa"/>
            <w:vAlign w:val="center"/>
          </w:tcPr>
          <w:p w14:paraId="0EC3CEF5" w14:textId="77777777" w:rsidR="00D170E5" w:rsidRPr="002B55E9" w:rsidRDefault="00EF27AD">
            <w:pPr>
              <w:pStyle w:val="affff6"/>
            </w:pPr>
            <w:r w:rsidRPr="002B55E9">
              <w:t>1</w:t>
            </w:r>
            <w:r w:rsidRPr="002B55E9">
              <w:t>％</w:t>
            </w:r>
            <w:r w:rsidRPr="002B55E9">
              <w:t>≤P</w:t>
            </w:r>
            <w:r w:rsidRPr="002B55E9">
              <w:rPr>
                <w:vertAlign w:val="subscript"/>
              </w:rPr>
              <w:t>max</w:t>
            </w:r>
            <w:r w:rsidRPr="002B55E9">
              <w:t>＜</w:t>
            </w:r>
            <w:r w:rsidRPr="002B55E9">
              <w:t>10</w:t>
            </w:r>
            <w:r w:rsidRPr="002B55E9">
              <w:t>％</w:t>
            </w:r>
          </w:p>
        </w:tc>
      </w:tr>
      <w:tr w:rsidR="002B55E9" w:rsidRPr="002B55E9" w14:paraId="4BAC987E" w14:textId="77777777">
        <w:trPr>
          <w:trHeight w:val="284"/>
        </w:trPr>
        <w:tc>
          <w:tcPr>
            <w:tcW w:w="2477" w:type="dxa"/>
            <w:vAlign w:val="center"/>
          </w:tcPr>
          <w:p w14:paraId="2D6D4028" w14:textId="77777777" w:rsidR="00D170E5" w:rsidRPr="002B55E9" w:rsidRDefault="00EF27AD">
            <w:pPr>
              <w:pStyle w:val="affff6"/>
            </w:pPr>
            <w:r w:rsidRPr="002B55E9">
              <w:t>三级</w:t>
            </w:r>
          </w:p>
        </w:tc>
        <w:tc>
          <w:tcPr>
            <w:tcW w:w="7377" w:type="dxa"/>
            <w:vAlign w:val="center"/>
          </w:tcPr>
          <w:p w14:paraId="5342FB39" w14:textId="77777777" w:rsidR="00D170E5" w:rsidRPr="002B55E9" w:rsidRDefault="00EF27AD">
            <w:pPr>
              <w:pStyle w:val="affff6"/>
            </w:pPr>
            <w:r w:rsidRPr="002B55E9">
              <w:t>P</w:t>
            </w:r>
            <w:r w:rsidRPr="002B55E9">
              <w:rPr>
                <w:vertAlign w:val="subscript"/>
              </w:rPr>
              <w:t>max</w:t>
            </w:r>
            <w:r w:rsidRPr="002B55E9">
              <w:t>＜</w:t>
            </w:r>
            <w:r w:rsidRPr="002B55E9">
              <w:t>1</w:t>
            </w:r>
            <w:r w:rsidRPr="002B55E9">
              <w:t>％</w:t>
            </w:r>
            <w:r w:rsidRPr="002B55E9">
              <w:t xml:space="preserve"> </w:t>
            </w:r>
          </w:p>
        </w:tc>
      </w:tr>
    </w:tbl>
    <w:p w14:paraId="3762EAFF" w14:textId="77777777" w:rsidR="00D170E5" w:rsidRPr="002B55E9" w:rsidRDefault="00EF27AD">
      <w:pPr>
        <w:pStyle w:val="affff7"/>
      </w:pPr>
      <w:r w:rsidRPr="002B55E9">
        <w:t>主要污染物最大地面浓度占标率（</w:t>
      </w:r>
      <w:r w:rsidRPr="002B55E9">
        <w:t>P</w:t>
      </w:r>
      <w:r w:rsidRPr="002B55E9">
        <w:rPr>
          <w:vertAlign w:val="subscript"/>
        </w:rPr>
        <w:t>i</w:t>
      </w:r>
      <w:r w:rsidRPr="002B55E9">
        <w:t>）计算公式如下：</w:t>
      </w:r>
    </w:p>
    <w:p w14:paraId="68DE0E94" w14:textId="77777777" w:rsidR="00D170E5" w:rsidRPr="002B55E9" w:rsidRDefault="00EF27AD">
      <w:pPr>
        <w:pStyle w:val="affff7"/>
        <w:jc w:val="center"/>
      </w:pPr>
      <w:r w:rsidRPr="002B55E9">
        <w:rPr>
          <w:position w:val="-30"/>
        </w:rPr>
        <w:object w:dxaOrig="1590" w:dyaOrig="714" w14:anchorId="704B3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34.35pt" o:ole="">
            <v:imagedata r:id="rId17" o:title=""/>
          </v:shape>
          <o:OLEObject Type="Embed" ProgID="Equation.3" ShapeID="_x0000_i1025" DrawAspect="Content" ObjectID="_1732338921" r:id="rId18"/>
        </w:object>
      </w:r>
    </w:p>
    <w:p w14:paraId="29E22AB8" w14:textId="77777777" w:rsidR="00D170E5" w:rsidRPr="002B55E9" w:rsidRDefault="00EF27AD">
      <w:pPr>
        <w:pStyle w:val="affff7"/>
      </w:pPr>
      <w:r w:rsidRPr="002B55E9">
        <w:t>式中：</w:t>
      </w:r>
      <w:r w:rsidRPr="002B55E9">
        <w:t>P</w:t>
      </w:r>
      <w:r w:rsidRPr="002B55E9">
        <w:rPr>
          <w:vertAlign w:val="subscript"/>
        </w:rPr>
        <w:t>i</w:t>
      </w:r>
      <w:r w:rsidRPr="002B55E9">
        <w:t>—</w:t>
      </w:r>
      <w:r w:rsidRPr="002B55E9">
        <w:t>第</w:t>
      </w:r>
      <w:r w:rsidRPr="002B55E9">
        <w:t xml:space="preserve">I </w:t>
      </w:r>
      <w:r w:rsidRPr="002B55E9">
        <w:t>个污染物的最大地面空气质量浓度占标率，</w:t>
      </w:r>
      <w:r w:rsidRPr="002B55E9">
        <w:t>%</w:t>
      </w:r>
      <w:r w:rsidRPr="002B55E9">
        <w:t>；</w:t>
      </w:r>
    </w:p>
    <w:p w14:paraId="648D9E59" w14:textId="77777777" w:rsidR="00D170E5" w:rsidRPr="002B55E9" w:rsidRDefault="00EF27AD">
      <w:pPr>
        <w:pStyle w:val="affff7"/>
      </w:pPr>
      <w:r w:rsidRPr="002B55E9">
        <w:t>C</w:t>
      </w:r>
      <w:r w:rsidRPr="002B55E9">
        <w:rPr>
          <w:vertAlign w:val="subscript"/>
        </w:rPr>
        <w:t>i</w:t>
      </w:r>
      <w:r w:rsidRPr="002B55E9">
        <w:t>－采用估算模式计算出的第</w:t>
      </w:r>
      <w:r w:rsidRPr="002B55E9">
        <w:t>i</w:t>
      </w:r>
      <w:r w:rsidRPr="002B55E9">
        <w:t>个污染物的最大</w:t>
      </w:r>
      <w:r w:rsidRPr="002B55E9">
        <w:t>1h</w:t>
      </w:r>
      <w:r w:rsidRPr="002B55E9">
        <w:t>地面浓度，</w:t>
      </w:r>
      <w:r w:rsidRPr="002B55E9">
        <w:t>μg /m</w:t>
      </w:r>
      <w:r w:rsidRPr="002B55E9">
        <w:rPr>
          <w:vertAlign w:val="superscript"/>
        </w:rPr>
        <w:t>3</w:t>
      </w:r>
    </w:p>
    <w:p w14:paraId="28009D71" w14:textId="77777777" w:rsidR="00D170E5" w:rsidRPr="002B55E9" w:rsidRDefault="00EF27AD">
      <w:pPr>
        <w:pStyle w:val="affff7"/>
      </w:pPr>
      <w:r w:rsidRPr="002B55E9">
        <w:t>C</w:t>
      </w:r>
      <w:r w:rsidRPr="002B55E9">
        <w:rPr>
          <w:vertAlign w:val="subscript"/>
        </w:rPr>
        <w:t>oi</w:t>
      </w:r>
      <w:r w:rsidRPr="002B55E9">
        <w:t>—</w:t>
      </w:r>
      <w:r w:rsidRPr="002B55E9">
        <w:t>第</w:t>
      </w:r>
      <w:r w:rsidRPr="002B55E9">
        <w:t xml:space="preserve">I </w:t>
      </w:r>
      <w:r w:rsidRPr="002B55E9">
        <w:t>个污染物的环境空气质量标准，</w:t>
      </w:r>
      <w:r w:rsidRPr="002B55E9">
        <w:t>μg/m</w:t>
      </w:r>
      <w:r w:rsidRPr="002B55E9">
        <w:rPr>
          <w:vertAlign w:val="superscript"/>
        </w:rPr>
        <w:t>3</w:t>
      </w:r>
      <w:r w:rsidRPr="002B55E9">
        <w:t>；</w:t>
      </w:r>
    </w:p>
    <w:p w14:paraId="3AA4BB1D" w14:textId="77777777" w:rsidR="00D170E5" w:rsidRPr="002B55E9" w:rsidRDefault="00EF27AD">
      <w:pPr>
        <w:pStyle w:val="affff7"/>
      </w:pPr>
      <w:r w:rsidRPr="002B55E9">
        <w:lastRenderedPageBreak/>
        <w:t>C</w:t>
      </w:r>
      <w:r w:rsidRPr="002B55E9">
        <w:rPr>
          <w:vertAlign w:val="subscript"/>
        </w:rPr>
        <w:t>oi</w:t>
      </w:r>
      <w:r w:rsidRPr="002B55E9">
        <w:t>—</w:t>
      </w:r>
      <w:r w:rsidRPr="002B55E9">
        <w:t>第</w:t>
      </w:r>
      <w:r w:rsidRPr="002B55E9">
        <w:t xml:space="preserve">I </w:t>
      </w:r>
      <w:r w:rsidRPr="002B55E9">
        <w:t>个污染物的环境空气质量标准，</w:t>
      </w:r>
      <w:r w:rsidRPr="002B55E9">
        <w:t>μg/m</w:t>
      </w:r>
      <w:r w:rsidRPr="002B55E9">
        <w:rPr>
          <w:vertAlign w:val="superscript"/>
        </w:rPr>
        <w:t>3</w:t>
      </w:r>
      <w:r w:rsidRPr="002B55E9">
        <w:t>。一般选用</w:t>
      </w:r>
      <w:r w:rsidRPr="002B55E9">
        <w:t xml:space="preserve">GB3095 </w:t>
      </w:r>
      <w:r w:rsidRPr="002B55E9">
        <w:t>中</w:t>
      </w:r>
      <w:r w:rsidRPr="002B55E9">
        <w:t>1 h</w:t>
      </w:r>
      <w:r w:rsidRPr="002B55E9">
        <w:t>平均质量浓度的二级浓度限值；如项目位于一类环境空气功能区，应选择相应的一级浓度限值；对标准中未包含的污染物，使用</w:t>
      </w:r>
      <w:r w:rsidRPr="002B55E9">
        <w:t>5.2</w:t>
      </w:r>
      <w:r w:rsidRPr="002B55E9">
        <w:t>确定各评价因子</w:t>
      </w:r>
      <w:r w:rsidRPr="002B55E9">
        <w:t>1h</w:t>
      </w:r>
      <w:r w:rsidRPr="002B55E9">
        <w:t>评价质量浓度限值。对仅有</w:t>
      </w:r>
      <w:r w:rsidRPr="002B55E9">
        <w:t>8h</w:t>
      </w:r>
      <w:r w:rsidRPr="002B55E9">
        <w:t>平均质量浓度限值、日均质量浓度限值或年均质量浓度限值的，可分别按</w:t>
      </w:r>
      <w:r w:rsidRPr="002B55E9">
        <w:t>2</w:t>
      </w:r>
      <w:r w:rsidRPr="002B55E9">
        <w:t>倍、</w:t>
      </w:r>
      <w:r w:rsidRPr="002B55E9">
        <w:t>3</w:t>
      </w:r>
      <w:r w:rsidRPr="002B55E9">
        <w:t>倍、</w:t>
      </w:r>
      <w:r w:rsidRPr="002B55E9">
        <w:t>6</w:t>
      </w:r>
      <w:r w:rsidRPr="002B55E9">
        <w:t>倍折算为</w:t>
      </w:r>
      <w:r w:rsidRPr="002B55E9">
        <w:t>1h</w:t>
      </w:r>
      <w:r w:rsidRPr="002B55E9">
        <w:t>平均质量浓度限值。</w:t>
      </w:r>
    </w:p>
    <w:p w14:paraId="5CAB10D0" w14:textId="6468C8C4" w:rsidR="00D170E5" w:rsidRPr="002B55E9" w:rsidRDefault="00EF27AD">
      <w:pPr>
        <w:pStyle w:val="1f3"/>
        <w:spacing w:beforeLines="0" w:before="0"/>
      </w:pPr>
      <w:r w:rsidRPr="002B55E9">
        <w:rPr>
          <w:rFonts w:hint="eastAsia"/>
        </w:rPr>
        <w:t>表</w:t>
      </w:r>
      <w:r w:rsidRPr="002B55E9">
        <w:rPr>
          <w:rFonts w:hint="eastAsia"/>
        </w:rPr>
        <w:t>1</w:t>
      </w:r>
      <w:r w:rsidRPr="002B55E9">
        <w:t xml:space="preserve">-7-3  </w:t>
      </w:r>
      <w:r w:rsidR="00EB7EFA" w:rsidRPr="002B55E9">
        <w:rPr>
          <w:rFonts w:hint="eastAsia"/>
        </w:rPr>
        <w:t>正常排放条件下</w:t>
      </w:r>
      <w:r w:rsidRPr="002B55E9">
        <w:rPr>
          <w:rFonts w:hint="eastAsia"/>
        </w:rPr>
        <w:t>拟建主要废气污染源参数一览表（点源）</w:t>
      </w:r>
    </w:p>
    <w:tbl>
      <w:tblPr>
        <w:tblStyle w:val="lgy2"/>
        <w:tblW w:w="5000" w:type="pct"/>
        <w:tblLayout w:type="fixed"/>
        <w:tblCellMar>
          <w:left w:w="28" w:type="dxa"/>
          <w:right w:w="28" w:type="dxa"/>
        </w:tblCellMar>
        <w:tblLook w:val="04A0" w:firstRow="1" w:lastRow="0" w:firstColumn="1" w:lastColumn="0" w:noHBand="0" w:noVBand="1"/>
      </w:tblPr>
      <w:tblGrid>
        <w:gridCol w:w="849"/>
        <w:gridCol w:w="1037"/>
        <w:gridCol w:w="1305"/>
        <w:gridCol w:w="1020"/>
        <w:gridCol w:w="729"/>
        <w:gridCol w:w="558"/>
        <w:gridCol w:w="491"/>
        <w:gridCol w:w="789"/>
        <w:gridCol w:w="547"/>
        <w:gridCol w:w="550"/>
        <w:gridCol w:w="466"/>
        <w:gridCol w:w="558"/>
        <w:gridCol w:w="795"/>
      </w:tblGrid>
      <w:tr w:rsidR="002B55E9" w:rsidRPr="002B55E9" w14:paraId="2D917F92" w14:textId="77777777" w:rsidTr="00AE5254">
        <w:trPr>
          <w:cnfStyle w:val="100000000000" w:firstRow="1" w:lastRow="0" w:firstColumn="0" w:lastColumn="0" w:oddVBand="0" w:evenVBand="0" w:oddHBand="0" w:evenHBand="0" w:firstRowFirstColumn="0" w:firstRowLastColumn="0" w:lastRowFirstColumn="0" w:lastRowLastColumn="0"/>
          <w:trHeight w:val="283"/>
        </w:trPr>
        <w:tc>
          <w:tcPr>
            <w:tcW w:w="844" w:type="dxa"/>
            <w:vMerge w:val="restart"/>
          </w:tcPr>
          <w:p w14:paraId="0906C02D" w14:textId="77777777" w:rsidR="00EB7EFA" w:rsidRPr="002B55E9" w:rsidRDefault="00EB7EFA" w:rsidP="00AE5254">
            <w:pPr>
              <w:pStyle w:val="lgy-"/>
            </w:pPr>
            <w:r w:rsidRPr="002B55E9">
              <w:rPr>
                <w:rFonts w:eastAsia="宋体" w:hint="eastAsia"/>
              </w:rPr>
              <w:t>编号</w:t>
            </w:r>
          </w:p>
        </w:tc>
        <w:tc>
          <w:tcPr>
            <w:tcW w:w="1031" w:type="dxa"/>
            <w:vMerge w:val="restart"/>
          </w:tcPr>
          <w:p w14:paraId="6307216A" w14:textId="77777777" w:rsidR="00EB7EFA" w:rsidRPr="002B55E9" w:rsidRDefault="00EB7EFA" w:rsidP="00AE5254">
            <w:pPr>
              <w:pStyle w:val="lgy-"/>
            </w:pPr>
            <w:r w:rsidRPr="002B55E9">
              <w:rPr>
                <w:rFonts w:eastAsia="宋体" w:hint="eastAsia"/>
              </w:rPr>
              <w:t>名称</w:t>
            </w:r>
          </w:p>
        </w:tc>
        <w:tc>
          <w:tcPr>
            <w:tcW w:w="2311" w:type="dxa"/>
            <w:gridSpan w:val="2"/>
          </w:tcPr>
          <w:p w14:paraId="2399B9A6" w14:textId="77777777" w:rsidR="00EB7EFA" w:rsidRPr="002B55E9" w:rsidRDefault="00EB7EFA" w:rsidP="00AE5254">
            <w:pPr>
              <w:pStyle w:val="lgy-"/>
            </w:pPr>
            <w:r w:rsidRPr="002B55E9">
              <w:rPr>
                <w:rFonts w:eastAsia="宋体" w:hint="eastAsia"/>
              </w:rPr>
              <w:t>排气筒底部中心坐标</w:t>
            </w:r>
            <w:r w:rsidRPr="002B55E9">
              <w:rPr>
                <w:rFonts w:eastAsia="宋体" w:hint="eastAsia"/>
              </w:rPr>
              <w:t>/</w:t>
            </w:r>
            <w:r w:rsidRPr="002B55E9">
              <w:rPr>
                <w:rFonts w:eastAsia="宋体" w:hint="eastAsia"/>
              </w:rPr>
              <w:t>°</w:t>
            </w:r>
          </w:p>
        </w:tc>
        <w:tc>
          <w:tcPr>
            <w:tcW w:w="725" w:type="dxa"/>
            <w:vMerge w:val="restart"/>
          </w:tcPr>
          <w:p w14:paraId="5B73DC7C" w14:textId="77777777" w:rsidR="00EB7EFA" w:rsidRPr="002B55E9" w:rsidRDefault="00EB7EFA" w:rsidP="00AE5254">
            <w:pPr>
              <w:pStyle w:val="lgy-"/>
            </w:pPr>
            <w:r w:rsidRPr="002B55E9">
              <w:rPr>
                <w:rFonts w:eastAsia="宋体" w:hint="eastAsia"/>
              </w:rPr>
              <w:t>排气筒底部海拔高度</w:t>
            </w:r>
            <w:r w:rsidRPr="002B55E9">
              <w:rPr>
                <w:rFonts w:eastAsia="宋体" w:hint="eastAsia"/>
              </w:rPr>
              <w:t>/m</w:t>
            </w:r>
          </w:p>
        </w:tc>
        <w:tc>
          <w:tcPr>
            <w:tcW w:w="555" w:type="dxa"/>
            <w:vMerge w:val="restart"/>
          </w:tcPr>
          <w:p w14:paraId="06DE7052" w14:textId="77777777" w:rsidR="00EB7EFA" w:rsidRPr="002B55E9" w:rsidRDefault="00EB7EFA" w:rsidP="00AE5254">
            <w:pPr>
              <w:pStyle w:val="lgy-"/>
            </w:pPr>
            <w:r w:rsidRPr="002B55E9">
              <w:rPr>
                <w:rFonts w:eastAsia="宋体" w:hint="eastAsia"/>
              </w:rPr>
              <w:t>排气筒高度</w:t>
            </w:r>
            <w:r w:rsidRPr="002B55E9">
              <w:rPr>
                <w:rFonts w:eastAsia="宋体" w:hint="eastAsia"/>
              </w:rPr>
              <w:t>/m</w:t>
            </w:r>
          </w:p>
        </w:tc>
        <w:tc>
          <w:tcPr>
            <w:tcW w:w="488" w:type="dxa"/>
            <w:vMerge w:val="restart"/>
          </w:tcPr>
          <w:p w14:paraId="1E87A327" w14:textId="77777777" w:rsidR="00EB7EFA" w:rsidRPr="002B55E9" w:rsidRDefault="00EB7EFA" w:rsidP="00AE5254">
            <w:pPr>
              <w:pStyle w:val="lgy-"/>
            </w:pPr>
            <w:r w:rsidRPr="002B55E9">
              <w:rPr>
                <w:rFonts w:eastAsia="宋体" w:hint="eastAsia"/>
              </w:rPr>
              <w:t>排气筒内径</w:t>
            </w:r>
            <w:r w:rsidRPr="002B55E9">
              <w:rPr>
                <w:rFonts w:eastAsia="宋体" w:hint="eastAsia"/>
              </w:rPr>
              <w:t>/m</w:t>
            </w:r>
          </w:p>
        </w:tc>
        <w:tc>
          <w:tcPr>
            <w:tcW w:w="784" w:type="dxa"/>
            <w:vMerge w:val="restart"/>
          </w:tcPr>
          <w:p w14:paraId="548ACCD5" w14:textId="77777777" w:rsidR="00EB7EFA" w:rsidRPr="002B55E9" w:rsidRDefault="00EB7EFA" w:rsidP="00AE5254">
            <w:pPr>
              <w:pStyle w:val="lgy-"/>
            </w:pPr>
            <w:r w:rsidRPr="002B55E9">
              <w:rPr>
                <w:rFonts w:eastAsia="宋体" w:hint="eastAsia"/>
              </w:rPr>
              <w:t>烟气量</w:t>
            </w:r>
            <w:r w:rsidRPr="002B55E9">
              <w:rPr>
                <w:rFonts w:eastAsia="宋体" w:hint="eastAsia"/>
              </w:rPr>
              <w:t>/</w:t>
            </w:r>
            <w:r w:rsidRPr="002B55E9">
              <w:rPr>
                <w:rFonts w:eastAsia="宋体" w:hint="eastAsia"/>
              </w:rPr>
              <w:t>（</w:t>
            </w:r>
            <w:r w:rsidRPr="002B55E9">
              <w:rPr>
                <w:rFonts w:eastAsia="宋体" w:hint="eastAsia"/>
              </w:rPr>
              <w:t>m</w:t>
            </w:r>
            <w:r w:rsidRPr="002B55E9">
              <w:rPr>
                <w:rFonts w:eastAsia="宋体"/>
                <w:vertAlign w:val="superscript"/>
              </w:rPr>
              <w:t>3</w:t>
            </w:r>
            <w:r w:rsidRPr="002B55E9">
              <w:rPr>
                <w:rFonts w:eastAsia="宋体"/>
              </w:rPr>
              <w:t>/</w:t>
            </w:r>
            <w:r w:rsidRPr="002B55E9">
              <w:rPr>
                <w:rFonts w:eastAsia="宋体" w:hint="eastAsia"/>
              </w:rPr>
              <w:t>h</w:t>
            </w:r>
            <w:r w:rsidRPr="002B55E9">
              <w:rPr>
                <w:rFonts w:eastAsia="宋体" w:hint="eastAsia"/>
              </w:rPr>
              <w:t>）</w:t>
            </w:r>
          </w:p>
        </w:tc>
        <w:tc>
          <w:tcPr>
            <w:tcW w:w="544" w:type="dxa"/>
            <w:vMerge w:val="restart"/>
          </w:tcPr>
          <w:p w14:paraId="6BE0F406" w14:textId="77777777" w:rsidR="00EB7EFA" w:rsidRPr="002B55E9" w:rsidRDefault="00EB7EFA" w:rsidP="00AE5254">
            <w:pPr>
              <w:pStyle w:val="lgy-"/>
            </w:pPr>
            <w:r w:rsidRPr="002B55E9">
              <w:rPr>
                <w:rFonts w:eastAsia="宋体" w:hint="eastAsia"/>
              </w:rPr>
              <w:t>烟气温度</w:t>
            </w:r>
            <w:r w:rsidRPr="002B55E9">
              <w:rPr>
                <w:rFonts w:eastAsia="宋体" w:hint="eastAsia"/>
              </w:rPr>
              <w:t>/</w:t>
            </w:r>
            <w:r w:rsidRPr="002B55E9">
              <w:rPr>
                <w:rFonts w:eastAsia="宋体" w:hint="eastAsia"/>
              </w:rPr>
              <w:t>℃</w:t>
            </w:r>
          </w:p>
        </w:tc>
        <w:tc>
          <w:tcPr>
            <w:tcW w:w="547" w:type="dxa"/>
            <w:vMerge w:val="restart"/>
          </w:tcPr>
          <w:p w14:paraId="2FFE728E" w14:textId="77777777" w:rsidR="00EB7EFA" w:rsidRPr="002B55E9" w:rsidRDefault="00EB7EFA" w:rsidP="00AE5254">
            <w:pPr>
              <w:pStyle w:val="lgy-"/>
            </w:pPr>
            <w:r w:rsidRPr="002B55E9">
              <w:rPr>
                <w:rFonts w:eastAsia="宋体" w:hint="eastAsia"/>
              </w:rPr>
              <w:t>年排放小时数</w:t>
            </w:r>
            <w:r w:rsidRPr="002B55E9">
              <w:rPr>
                <w:rFonts w:eastAsia="宋体" w:hint="eastAsia"/>
              </w:rPr>
              <w:t>/h</w:t>
            </w:r>
          </w:p>
        </w:tc>
        <w:tc>
          <w:tcPr>
            <w:tcW w:w="463" w:type="dxa"/>
            <w:vMerge w:val="restart"/>
          </w:tcPr>
          <w:p w14:paraId="4F7D8C79" w14:textId="77777777" w:rsidR="00EB7EFA" w:rsidRPr="002B55E9" w:rsidRDefault="00EB7EFA" w:rsidP="00AE5254">
            <w:pPr>
              <w:pStyle w:val="lgy-"/>
            </w:pPr>
            <w:r w:rsidRPr="002B55E9">
              <w:rPr>
                <w:rFonts w:eastAsia="宋体" w:hint="eastAsia"/>
              </w:rPr>
              <w:t>排放工况</w:t>
            </w:r>
          </w:p>
        </w:tc>
        <w:tc>
          <w:tcPr>
            <w:tcW w:w="555" w:type="dxa"/>
            <w:vMerge w:val="restart"/>
          </w:tcPr>
          <w:p w14:paraId="1E82E476" w14:textId="77777777" w:rsidR="00EB7EFA" w:rsidRPr="002B55E9" w:rsidRDefault="00EB7EFA" w:rsidP="00AE5254">
            <w:pPr>
              <w:pStyle w:val="lgy-"/>
            </w:pPr>
            <w:r w:rsidRPr="002B55E9">
              <w:rPr>
                <w:rFonts w:eastAsia="宋体" w:hint="eastAsia"/>
              </w:rPr>
              <w:t>污染物</w:t>
            </w:r>
            <w:r w:rsidRPr="002B55E9">
              <w:rPr>
                <w:rFonts w:eastAsia="宋体"/>
              </w:rPr>
              <w:t>种类</w:t>
            </w:r>
          </w:p>
        </w:tc>
        <w:tc>
          <w:tcPr>
            <w:tcW w:w="790" w:type="dxa"/>
            <w:vMerge w:val="restart"/>
          </w:tcPr>
          <w:p w14:paraId="1E8348ED" w14:textId="77777777" w:rsidR="00EB7EFA" w:rsidRPr="002B55E9" w:rsidRDefault="00EB7EFA" w:rsidP="00AE5254">
            <w:pPr>
              <w:pStyle w:val="lgy-"/>
              <w:rPr>
                <w:rFonts w:eastAsia="宋体"/>
              </w:rPr>
            </w:pPr>
            <w:r w:rsidRPr="002B55E9">
              <w:rPr>
                <w:rFonts w:eastAsia="宋体" w:hint="eastAsia"/>
              </w:rPr>
              <w:t>排放</w:t>
            </w:r>
            <w:r w:rsidRPr="002B55E9">
              <w:rPr>
                <w:rFonts w:eastAsia="宋体"/>
              </w:rPr>
              <w:t>速率</w:t>
            </w:r>
            <w:r w:rsidRPr="002B55E9">
              <w:rPr>
                <w:rFonts w:eastAsia="宋体"/>
              </w:rPr>
              <w:t>kg/h</w:t>
            </w:r>
          </w:p>
        </w:tc>
      </w:tr>
      <w:tr w:rsidR="002B55E9" w:rsidRPr="002B55E9" w14:paraId="687C7296" w14:textId="77777777" w:rsidTr="00AE5254">
        <w:trPr>
          <w:trHeight w:val="283"/>
        </w:trPr>
        <w:tc>
          <w:tcPr>
            <w:tcW w:w="844" w:type="dxa"/>
            <w:vMerge/>
          </w:tcPr>
          <w:p w14:paraId="41D7C4DA" w14:textId="77777777" w:rsidR="00EB7EFA" w:rsidRPr="002B55E9" w:rsidRDefault="00EB7EFA" w:rsidP="00AE5254">
            <w:pPr>
              <w:pStyle w:val="lgy-"/>
            </w:pPr>
          </w:p>
        </w:tc>
        <w:tc>
          <w:tcPr>
            <w:tcW w:w="1031" w:type="dxa"/>
            <w:vMerge/>
          </w:tcPr>
          <w:p w14:paraId="0DA7BD9C" w14:textId="77777777" w:rsidR="00EB7EFA" w:rsidRPr="002B55E9" w:rsidRDefault="00EB7EFA" w:rsidP="00AE5254">
            <w:pPr>
              <w:pStyle w:val="lgy-"/>
            </w:pPr>
          </w:p>
        </w:tc>
        <w:tc>
          <w:tcPr>
            <w:tcW w:w="1297" w:type="dxa"/>
          </w:tcPr>
          <w:p w14:paraId="7721B80D" w14:textId="77777777" w:rsidR="00EB7EFA" w:rsidRPr="002B55E9" w:rsidRDefault="00EB7EFA" w:rsidP="00AE5254">
            <w:pPr>
              <w:pStyle w:val="lgy-"/>
            </w:pPr>
            <w:r w:rsidRPr="002B55E9">
              <w:rPr>
                <w:rFonts w:eastAsia="宋体" w:hint="eastAsia"/>
              </w:rPr>
              <w:t>经度</w:t>
            </w:r>
          </w:p>
        </w:tc>
        <w:tc>
          <w:tcPr>
            <w:tcW w:w="1014" w:type="dxa"/>
          </w:tcPr>
          <w:p w14:paraId="639EB545" w14:textId="77777777" w:rsidR="00EB7EFA" w:rsidRPr="002B55E9" w:rsidRDefault="00EB7EFA" w:rsidP="00AE5254">
            <w:pPr>
              <w:pStyle w:val="lgy-"/>
            </w:pPr>
            <w:r w:rsidRPr="002B55E9">
              <w:rPr>
                <w:rFonts w:eastAsia="宋体" w:hint="eastAsia"/>
              </w:rPr>
              <w:t>纬度</w:t>
            </w:r>
          </w:p>
        </w:tc>
        <w:tc>
          <w:tcPr>
            <w:tcW w:w="725" w:type="dxa"/>
            <w:vMerge/>
          </w:tcPr>
          <w:p w14:paraId="5A9CFD4B" w14:textId="77777777" w:rsidR="00EB7EFA" w:rsidRPr="002B55E9" w:rsidRDefault="00EB7EFA" w:rsidP="00AE5254">
            <w:pPr>
              <w:pStyle w:val="lgy-"/>
            </w:pPr>
          </w:p>
        </w:tc>
        <w:tc>
          <w:tcPr>
            <w:tcW w:w="555" w:type="dxa"/>
            <w:vMerge/>
          </w:tcPr>
          <w:p w14:paraId="53AE0F4B" w14:textId="77777777" w:rsidR="00EB7EFA" w:rsidRPr="002B55E9" w:rsidRDefault="00EB7EFA" w:rsidP="00AE5254">
            <w:pPr>
              <w:pStyle w:val="lgy-"/>
            </w:pPr>
          </w:p>
        </w:tc>
        <w:tc>
          <w:tcPr>
            <w:tcW w:w="488" w:type="dxa"/>
            <w:vMerge/>
          </w:tcPr>
          <w:p w14:paraId="578DA369" w14:textId="77777777" w:rsidR="00EB7EFA" w:rsidRPr="002B55E9" w:rsidRDefault="00EB7EFA" w:rsidP="00AE5254">
            <w:pPr>
              <w:pStyle w:val="lgy-"/>
            </w:pPr>
          </w:p>
        </w:tc>
        <w:tc>
          <w:tcPr>
            <w:tcW w:w="784" w:type="dxa"/>
            <w:vMerge/>
          </w:tcPr>
          <w:p w14:paraId="6FC2D3F3" w14:textId="77777777" w:rsidR="00EB7EFA" w:rsidRPr="002B55E9" w:rsidRDefault="00EB7EFA" w:rsidP="00AE5254">
            <w:pPr>
              <w:pStyle w:val="lgy-"/>
            </w:pPr>
          </w:p>
        </w:tc>
        <w:tc>
          <w:tcPr>
            <w:tcW w:w="544" w:type="dxa"/>
            <w:vMerge/>
          </w:tcPr>
          <w:p w14:paraId="204A0532" w14:textId="77777777" w:rsidR="00EB7EFA" w:rsidRPr="002B55E9" w:rsidRDefault="00EB7EFA" w:rsidP="00AE5254">
            <w:pPr>
              <w:pStyle w:val="lgy-"/>
            </w:pPr>
          </w:p>
        </w:tc>
        <w:tc>
          <w:tcPr>
            <w:tcW w:w="547" w:type="dxa"/>
            <w:vMerge/>
          </w:tcPr>
          <w:p w14:paraId="52B602A4" w14:textId="77777777" w:rsidR="00EB7EFA" w:rsidRPr="002B55E9" w:rsidRDefault="00EB7EFA" w:rsidP="00AE5254">
            <w:pPr>
              <w:pStyle w:val="lgy-"/>
            </w:pPr>
          </w:p>
        </w:tc>
        <w:tc>
          <w:tcPr>
            <w:tcW w:w="463" w:type="dxa"/>
            <w:vMerge/>
          </w:tcPr>
          <w:p w14:paraId="2B901F40" w14:textId="77777777" w:rsidR="00EB7EFA" w:rsidRPr="002B55E9" w:rsidRDefault="00EB7EFA" w:rsidP="00AE5254">
            <w:pPr>
              <w:pStyle w:val="lgy-"/>
            </w:pPr>
          </w:p>
        </w:tc>
        <w:tc>
          <w:tcPr>
            <w:tcW w:w="555" w:type="dxa"/>
            <w:vMerge/>
          </w:tcPr>
          <w:p w14:paraId="530BB3A3" w14:textId="77777777" w:rsidR="00EB7EFA" w:rsidRPr="002B55E9" w:rsidRDefault="00EB7EFA" w:rsidP="00AE5254">
            <w:pPr>
              <w:pStyle w:val="lgy-"/>
            </w:pPr>
          </w:p>
        </w:tc>
        <w:tc>
          <w:tcPr>
            <w:tcW w:w="790" w:type="dxa"/>
            <w:vMerge/>
          </w:tcPr>
          <w:p w14:paraId="02F768CF" w14:textId="77777777" w:rsidR="00EB7EFA" w:rsidRPr="002B55E9" w:rsidRDefault="00EB7EFA" w:rsidP="00AE5254">
            <w:pPr>
              <w:pStyle w:val="lgy-"/>
              <w:rPr>
                <w:rFonts w:eastAsia="宋体"/>
              </w:rPr>
            </w:pPr>
          </w:p>
        </w:tc>
      </w:tr>
      <w:tr w:rsidR="002B55E9" w:rsidRPr="002B55E9" w14:paraId="46630E9A" w14:textId="77777777" w:rsidTr="00AE5254">
        <w:trPr>
          <w:trHeight w:val="283"/>
        </w:trPr>
        <w:tc>
          <w:tcPr>
            <w:tcW w:w="844" w:type="dxa"/>
          </w:tcPr>
          <w:p w14:paraId="0944D6D7" w14:textId="77777777" w:rsidR="00EB7EFA" w:rsidRPr="002B55E9" w:rsidRDefault="00EB7EFA" w:rsidP="00AE5254">
            <w:pPr>
              <w:pStyle w:val="lgy-"/>
            </w:pPr>
            <w:r w:rsidRPr="002B55E9">
              <w:rPr>
                <w:rFonts w:eastAsia="宋体" w:hint="eastAsia"/>
              </w:rPr>
              <w:t>DA001</w:t>
            </w:r>
          </w:p>
        </w:tc>
        <w:tc>
          <w:tcPr>
            <w:tcW w:w="1031" w:type="dxa"/>
          </w:tcPr>
          <w:p w14:paraId="30F2A144" w14:textId="77777777" w:rsidR="00EB7EFA" w:rsidRPr="002B55E9" w:rsidRDefault="00EB7EFA" w:rsidP="00AE5254">
            <w:pPr>
              <w:pStyle w:val="lgy-"/>
            </w:pPr>
            <w:r w:rsidRPr="002B55E9">
              <w:rPr>
                <w:rFonts w:eastAsia="宋体"/>
              </w:rPr>
              <w:t>破碎粉尘</w:t>
            </w:r>
            <w:r w:rsidRPr="002B55E9">
              <w:rPr>
                <w:rFonts w:eastAsia="宋体" w:hint="eastAsia"/>
              </w:rPr>
              <w:t>排气筒</w:t>
            </w:r>
          </w:p>
        </w:tc>
        <w:tc>
          <w:tcPr>
            <w:tcW w:w="1297" w:type="dxa"/>
          </w:tcPr>
          <w:p w14:paraId="67217927" w14:textId="77777777" w:rsidR="00EB7EFA" w:rsidRPr="002B55E9" w:rsidRDefault="00EB7EFA" w:rsidP="00AE5254">
            <w:pPr>
              <w:pStyle w:val="lgy-"/>
            </w:pPr>
            <w:r w:rsidRPr="002B55E9">
              <w:rPr>
                <w:rFonts w:eastAsia="宋体"/>
              </w:rPr>
              <w:t>113.9933252</w:t>
            </w:r>
          </w:p>
        </w:tc>
        <w:tc>
          <w:tcPr>
            <w:tcW w:w="1014" w:type="dxa"/>
          </w:tcPr>
          <w:p w14:paraId="0A31CA01" w14:textId="77777777" w:rsidR="00EB7EFA" w:rsidRPr="002B55E9" w:rsidRDefault="00EB7EFA" w:rsidP="00AE5254">
            <w:pPr>
              <w:pStyle w:val="lgy-"/>
            </w:pPr>
            <w:r w:rsidRPr="002B55E9">
              <w:rPr>
                <w:rFonts w:eastAsia="宋体"/>
              </w:rPr>
              <w:t>30.6758630</w:t>
            </w:r>
          </w:p>
        </w:tc>
        <w:tc>
          <w:tcPr>
            <w:tcW w:w="725" w:type="dxa"/>
          </w:tcPr>
          <w:p w14:paraId="331F2D01" w14:textId="77777777" w:rsidR="00EB7EFA" w:rsidRPr="002B55E9" w:rsidRDefault="00EB7EFA" w:rsidP="00AE5254">
            <w:pPr>
              <w:pStyle w:val="lgy-"/>
            </w:pPr>
            <w:r w:rsidRPr="002B55E9">
              <w:rPr>
                <w:rFonts w:eastAsia="宋体" w:hint="eastAsia"/>
              </w:rPr>
              <w:t>25</w:t>
            </w:r>
          </w:p>
        </w:tc>
        <w:tc>
          <w:tcPr>
            <w:tcW w:w="555" w:type="dxa"/>
          </w:tcPr>
          <w:p w14:paraId="4E0E5262" w14:textId="77777777" w:rsidR="00EB7EFA" w:rsidRPr="002B55E9" w:rsidRDefault="00EB7EFA" w:rsidP="00AE5254">
            <w:pPr>
              <w:pStyle w:val="lgy-"/>
            </w:pPr>
            <w:r w:rsidRPr="002B55E9">
              <w:rPr>
                <w:rFonts w:eastAsia="宋体"/>
              </w:rPr>
              <w:t>18</w:t>
            </w:r>
          </w:p>
        </w:tc>
        <w:tc>
          <w:tcPr>
            <w:tcW w:w="488" w:type="dxa"/>
          </w:tcPr>
          <w:p w14:paraId="167B5D55" w14:textId="77777777" w:rsidR="00EB7EFA" w:rsidRPr="002B55E9" w:rsidRDefault="00EB7EFA" w:rsidP="00AE5254">
            <w:pPr>
              <w:pStyle w:val="lgy-"/>
            </w:pPr>
            <w:r w:rsidRPr="002B55E9">
              <w:rPr>
                <w:rFonts w:eastAsia="宋体" w:hint="eastAsia"/>
              </w:rPr>
              <w:t>0.4</w:t>
            </w:r>
          </w:p>
        </w:tc>
        <w:tc>
          <w:tcPr>
            <w:tcW w:w="784" w:type="dxa"/>
          </w:tcPr>
          <w:p w14:paraId="15B856A8" w14:textId="77777777" w:rsidR="00EB7EFA" w:rsidRPr="002B55E9" w:rsidRDefault="00EB7EFA" w:rsidP="00AE5254">
            <w:pPr>
              <w:pStyle w:val="lgy-"/>
            </w:pPr>
            <w:r w:rsidRPr="002B55E9">
              <w:rPr>
                <w:rFonts w:eastAsia="宋体" w:hint="eastAsia"/>
              </w:rPr>
              <w:t>5000</w:t>
            </w:r>
          </w:p>
        </w:tc>
        <w:tc>
          <w:tcPr>
            <w:tcW w:w="544" w:type="dxa"/>
          </w:tcPr>
          <w:p w14:paraId="5BE1172A" w14:textId="77777777" w:rsidR="00EB7EFA" w:rsidRPr="002B55E9" w:rsidRDefault="00EB7EFA" w:rsidP="00AE5254">
            <w:pPr>
              <w:pStyle w:val="lgy-"/>
            </w:pPr>
            <w:r w:rsidRPr="002B55E9">
              <w:rPr>
                <w:rFonts w:eastAsia="宋体" w:hint="eastAsia"/>
              </w:rPr>
              <w:t>2</w:t>
            </w:r>
            <w:r w:rsidRPr="002B55E9">
              <w:rPr>
                <w:rFonts w:eastAsia="宋体"/>
              </w:rPr>
              <w:t>5</w:t>
            </w:r>
          </w:p>
        </w:tc>
        <w:tc>
          <w:tcPr>
            <w:tcW w:w="547" w:type="dxa"/>
          </w:tcPr>
          <w:p w14:paraId="65427F92" w14:textId="77777777" w:rsidR="00EB7EFA" w:rsidRPr="002B55E9" w:rsidRDefault="00EB7EFA" w:rsidP="00AE5254">
            <w:pPr>
              <w:pStyle w:val="lgy-"/>
            </w:pPr>
            <w:r w:rsidRPr="002B55E9">
              <w:rPr>
                <w:rFonts w:eastAsia="宋体" w:hint="eastAsia"/>
              </w:rPr>
              <w:t>1000</w:t>
            </w:r>
          </w:p>
        </w:tc>
        <w:tc>
          <w:tcPr>
            <w:tcW w:w="463" w:type="dxa"/>
          </w:tcPr>
          <w:p w14:paraId="4324F1A9" w14:textId="77777777" w:rsidR="00EB7EFA" w:rsidRPr="002B55E9" w:rsidRDefault="00EB7EFA" w:rsidP="00AE5254">
            <w:pPr>
              <w:pStyle w:val="lgy-"/>
            </w:pPr>
            <w:r w:rsidRPr="002B55E9">
              <w:rPr>
                <w:rFonts w:eastAsia="宋体" w:hint="eastAsia"/>
              </w:rPr>
              <w:t>正常</w:t>
            </w:r>
          </w:p>
        </w:tc>
        <w:tc>
          <w:tcPr>
            <w:tcW w:w="555" w:type="dxa"/>
          </w:tcPr>
          <w:p w14:paraId="7B57B044" w14:textId="77777777" w:rsidR="00EB7EFA" w:rsidRPr="002B55E9" w:rsidRDefault="00EB7EFA" w:rsidP="00AE5254">
            <w:pPr>
              <w:pStyle w:val="lgy-"/>
            </w:pPr>
            <w:r w:rsidRPr="002B55E9">
              <w:rPr>
                <w:rFonts w:eastAsia="宋体" w:hint="eastAsia"/>
              </w:rPr>
              <w:t>颗粒物</w:t>
            </w:r>
          </w:p>
        </w:tc>
        <w:tc>
          <w:tcPr>
            <w:tcW w:w="790" w:type="dxa"/>
          </w:tcPr>
          <w:p w14:paraId="6E1212AB" w14:textId="77777777" w:rsidR="00EB7EFA" w:rsidRPr="002B55E9" w:rsidRDefault="00EB7EFA" w:rsidP="00AE5254">
            <w:pPr>
              <w:pStyle w:val="lgy-"/>
              <w:rPr>
                <w:rFonts w:eastAsia="宋体"/>
              </w:rPr>
            </w:pPr>
            <w:r w:rsidRPr="002B55E9">
              <w:rPr>
                <w:rFonts w:eastAsia="宋体"/>
              </w:rPr>
              <w:t>0.051</w:t>
            </w:r>
          </w:p>
        </w:tc>
      </w:tr>
      <w:tr w:rsidR="002B55E9" w:rsidRPr="002B55E9" w14:paraId="533ADD1C" w14:textId="77777777" w:rsidTr="00AE5254">
        <w:trPr>
          <w:trHeight w:val="283"/>
        </w:trPr>
        <w:tc>
          <w:tcPr>
            <w:tcW w:w="844" w:type="dxa"/>
          </w:tcPr>
          <w:p w14:paraId="6133F3BF" w14:textId="77777777" w:rsidR="00EB7EFA" w:rsidRPr="002B55E9" w:rsidRDefault="00EB7EFA" w:rsidP="00AE5254">
            <w:pPr>
              <w:pStyle w:val="lgy-"/>
            </w:pPr>
            <w:r w:rsidRPr="002B55E9">
              <w:rPr>
                <w:rFonts w:eastAsia="宋体" w:hint="eastAsia"/>
              </w:rPr>
              <w:t>DA002</w:t>
            </w:r>
          </w:p>
        </w:tc>
        <w:tc>
          <w:tcPr>
            <w:tcW w:w="1031" w:type="dxa"/>
          </w:tcPr>
          <w:p w14:paraId="211AE35F" w14:textId="77777777" w:rsidR="00EB7EFA" w:rsidRPr="002B55E9" w:rsidRDefault="00EB7EFA" w:rsidP="00AE5254">
            <w:pPr>
              <w:pStyle w:val="lgy-"/>
            </w:pPr>
            <w:r w:rsidRPr="002B55E9">
              <w:rPr>
                <w:rFonts w:eastAsia="宋体"/>
              </w:rPr>
              <w:t>工艺废气</w:t>
            </w:r>
            <w:r w:rsidRPr="002B55E9">
              <w:rPr>
                <w:rFonts w:eastAsia="宋体" w:hint="eastAsia"/>
              </w:rPr>
              <w:t>排气筒</w:t>
            </w:r>
          </w:p>
        </w:tc>
        <w:tc>
          <w:tcPr>
            <w:tcW w:w="1297" w:type="dxa"/>
          </w:tcPr>
          <w:p w14:paraId="1F916617" w14:textId="77777777" w:rsidR="00EB7EFA" w:rsidRPr="002B55E9" w:rsidRDefault="00EB7EFA" w:rsidP="00AE5254">
            <w:pPr>
              <w:pStyle w:val="lgy-"/>
            </w:pPr>
            <w:r w:rsidRPr="002B55E9">
              <w:rPr>
                <w:rFonts w:eastAsia="宋体"/>
              </w:rPr>
              <w:t>113.993744</w:t>
            </w:r>
          </w:p>
        </w:tc>
        <w:tc>
          <w:tcPr>
            <w:tcW w:w="1014" w:type="dxa"/>
          </w:tcPr>
          <w:p w14:paraId="28064B23" w14:textId="77777777" w:rsidR="00EB7EFA" w:rsidRPr="002B55E9" w:rsidRDefault="00EB7EFA" w:rsidP="00AE5254">
            <w:pPr>
              <w:pStyle w:val="lgy-"/>
            </w:pPr>
            <w:r w:rsidRPr="002B55E9">
              <w:rPr>
                <w:rFonts w:eastAsia="宋体"/>
              </w:rPr>
              <w:t>30.676038</w:t>
            </w:r>
          </w:p>
        </w:tc>
        <w:tc>
          <w:tcPr>
            <w:tcW w:w="725" w:type="dxa"/>
          </w:tcPr>
          <w:p w14:paraId="147D3BD5" w14:textId="77777777" w:rsidR="00EB7EFA" w:rsidRPr="002B55E9" w:rsidRDefault="00EB7EFA" w:rsidP="00AE5254">
            <w:pPr>
              <w:pStyle w:val="lgy-"/>
            </w:pPr>
            <w:r w:rsidRPr="002B55E9">
              <w:rPr>
                <w:rFonts w:eastAsia="宋体" w:hint="eastAsia"/>
              </w:rPr>
              <w:t>25</w:t>
            </w:r>
          </w:p>
        </w:tc>
        <w:tc>
          <w:tcPr>
            <w:tcW w:w="555" w:type="dxa"/>
          </w:tcPr>
          <w:p w14:paraId="236D241C" w14:textId="77777777" w:rsidR="00EB7EFA" w:rsidRPr="002B55E9" w:rsidRDefault="00EB7EFA" w:rsidP="00AE5254">
            <w:pPr>
              <w:pStyle w:val="lgy-"/>
            </w:pPr>
            <w:r w:rsidRPr="002B55E9">
              <w:rPr>
                <w:rFonts w:eastAsia="宋体" w:hint="eastAsia"/>
              </w:rPr>
              <w:t>18</w:t>
            </w:r>
          </w:p>
        </w:tc>
        <w:tc>
          <w:tcPr>
            <w:tcW w:w="488" w:type="dxa"/>
          </w:tcPr>
          <w:p w14:paraId="2D0F15D2" w14:textId="77777777" w:rsidR="00EB7EFA" w:rsidRPr="002B55E9" w:rsidRDefault="00EB7EFA" w:rsidP="00AE5254">
            <w:pPr>
              <w:pStyle w:val="lgy-"/>
            </w:pPr>
            <w:r w:rsidRPr="002B55E9">
              <w:rPr>
                <w:rFonts w:eastAsia="宋体" w:hint="eastAsia"/>
              </w:rPr>
              <w:t>0.5</w:t>
            </w:r>
          </w:p>
        </w:tc>
        <w:tc>
          <w:tcPr>
            <w:tcW w:w="784" w:type="dxa"/>
          </w:tcPr>
          <w:p w14:paraId="36C4F65A" w14:textId="77777777" w:rsidR="00EB7EFA" w:rsidRPr="002B55E9" w:rsidRDefault="00EB7EFA" w:rsidP="00AE5254">
            <w:pPr>
              <w:pStyle w:val="lgy-"/>
            </w:pPr>
            <w:r w:rsidRPr="002B55E9">
              <w:rPr>
                <w:rFonts w:eastAsia="宋体" w:hint="eastAsia"/>
              </w:rPr>
              <w:t>1</w:t>
            </w:r>
            <w:r w:rsidRPr="002B55E9">
              <w:rPr>
                <w:rFonts w:eastAsia="宋体"/>
              </w:rPr>
              <w:t>2</w:t>
            </w:r>
            <w:r w:rsidRPr="002B55E9">
              <w:rPr>
                <w:rFonts w:eastAsia="宋体" w:hint="eastAsia"/>
              </w:rPr>
              <w:t>000</w:t>
            </w:r>
          </w:p>
        </w:tc>
        <w:tc>
          <w:tcPr>
            <w:tcW w:w="544" w:type="dxa"/>
          </w:tcPr>
          <w:p w14:paraId="3D2BA519" w14:textId="77777777" w:rsidR="00EB7EFA" w:rsidRPr="002B55E9" w:rsidRDefault="00EB7EFA" w:rsidP="00AE5254">
            <w:pPr>
              <w:pStyle w:val="lgy-"/>
            </w:pPr>
            <w:r w:rsidRPr="002B55E9">
              <w:rPr>
                <w:rFonts w:eastAsia="宋体" w:hint="eastAsia"/>
              </w:rPr>
              <w:t>25</w:t>
            </w:r>
          </w:p>
        </w:tc>
        <w:tc>
          <w:tcPr>
            <w:tcW w:w="547" w:type="dxa"/>
          </w:tcPr>
          <w:p w14:paraId="4E699815" w14:textId="77777777" w:rsidR="00EB7EFA" w:rsidRPr="002B55E9" w:rsidRDefault="00EB7EFA" w:rsidP="00AE5254">
            <w:pPr>
              <w:pStyle w:val="lgy-"/>
            </w:pPr>
            <w:r w:rsidRPr="002B55E9">
              <w:rPr>
                <w:rFonts w:eastAsia="宋体" w:hint="eastAsia"/>
              </w:rPr>
              <w:t>7500</w:t>
            </w:r>
          </w:p>
        </w:tc>
        <w:tc>
          <w:tcPr>
            <w:tcW w:w="463" w:type="dxa"/>
          </w:tcPr>
          <w:p w14:paraId="43FC3BF7" w14:textId="77777777" w:rsidR="00EB7EFA" w:rsidRPr="002B55E9" w:rsidRDefault="00EB7EFA" w:rsidP="00AE5254">
            <w:pPr>
              <w:pStyle w:val="lgy-"/>
            </w:pPr>
            <w:r w:rsidRPr="002B55E9">
              <w:rPr>
                <w:rFonts w:eastAsia="宋体" w:hint="eastAsia"/>
              </w:rPr>
              <w:t>正常</w:t>
            </w:r>
          </w:p>
        </w:tc>
        <w:tc>
          <w:tcPr>
            <w:tcW w:w="555" w:type="dxa"/>
          </w:tcPr>
          <w:p w14:paraId="3E954082" w14:textId="77777777" w:rsidR="00EB7EFA" w:rsidRPr="002B55E9" w:rsidRDefault="00EB7EFA" w:rsidP="00AE5254">
            <w:pPr>
              <w:pStyle w:val="lgy-"/>
            </w:pPr>
            <w:r w:rsidRPr="002B55E9">
              <w:rPr>
                <w:rFonts w:eastAsia="宋体" w:hint="eastAsia"/>
              </w:rPr>
              <w:t>非甲烷总烃</w:t>
            </w:r>
          </w:p>
        </w:tc>
        <w:tc>
          <w:tcPr>
            <w:tcW w:w="790" w:type="dxa"/>
          </w:tcPr>
          <w:p w14:paraId="7ED88387" w14:textId="77777777" w:rsidR="00EB7EFA" w:rsidRPr="002B55E9" w:rsidRDefault="00EB7EFA" w:rsidP="00AE5254">
            <w:pPr>
              <w:pStyle w:val="lgy-"/>
              <w:rPr>
                <w:rFonts w:eastAsia="宋体"/>
              </w:rPr>
            </w:pPr>
            <w:r w:rsidRPr="002B55E9">
              <w:rPr>
                <w:rFonts w:eastAsia="宋体"/>
              </w:rPr>
              <w:t>0.477</w:t>
            </w:r>
          </w:p>
        </w:tc>
      </w:tr>
      <w:tr w:rsidR="002B55E9" w:rsidRPr="002B55E9" w14:paraId="081213EF" w14:textId="77777777" w:rsidTr="00AE5254">
        <w:trPr>
          <w:trHeight w:val="283"/>
        </w:trPr>
        <w:tc>
          <w:tcPr>
            <w:tcW w:w="844" w:type="dxa"/>
            <w:vMerge w:val="restart"/>
          </w:tcPr>
          <w:p w14:paraId="144159CF" w14:textId="77777777" w:rsidR="00EB7EFA" w:rsidRPr="002B55E9" w:rsidRDefault="00EB7EFA" w:rsidP="00AE5254">
            <w:pPr>
              <w:pStyle w:val="lgy-"/>
            </w:pPr>
            <w:r w:rsidRPr="002B55E9">
              <w:rPr>
                <w:rFonts w:eastAsia="宋体" w:hint="eastAsia"/>
              </w:rPr>
              <w:t>DA00</w:t>
            </w:r>
            <w:r w:rsidRPr="002B55E9">
              <w:rPr>
                <w:rFonts w:eastAsia="宋体"/>
              </w:rPr>
              <w:t>3</w:t>
            </w:r>
          </w:p>
        </w:tc>
        <w:tc>
          <w:tcPr>
            <w:tcW w:w="1031" w:type="dxa"/>
            <w:vMerge w:val="restart"/>
          </w:tcPr>
          <w:p w14:paraId="2A1F1D7D" w14:textId="77777777" w:rsidR="00EB7EFA" w:rsidRPr="002B55E9" w:rsidRDefault="00EB7EFA" w:rsidP="00AE5254">
            <w:pPr>
              <w:pStyle w:val="lgy-"/>
            </w:pPr>
            <w:r w:rsidRPr="002B55E9">
              <w:rPr>
                <w:rFonts w:eastAsia="宋体" w:hint="eastAsia"/>
              </w:rPr>
              <w:t>化验室废气排气筒</w:t>
            </w:r>
          </w:p>
        </w:tc>
        <w:tc>
          <w:tcPr>
            <w:tcW w:w="1297" w:type="dxa"/>
            <w:vMerge w:val="restart"/>
          </w:tcPr>
          <w:p w14:paraId="06BAFC3C" w14:textId="77777777" w:rsidR="00EB7EFA" w:rsidRPr="002B55E9" w:rsidRDefault="00EB7EFA" w:rsidP="00AE5254">
            <w:pPr>
              <w:pStyle w:val="lgy-"/>
            </w:pPr>
            <w:r w:rsidRPr="002B55E9">
              <w:rPr>
                <w:rFonts w:eastAsia="宋体"/>
              </w:rPr>
              <w:t>113.9935934</w:t>
            </w:r>
          </w:p>
        </w:tc>
        <w:tc>
          <w:tcPr>
            <w:tcW w:w="1014" w:type="dxa"/>
            <w:vMerge w:val="restart"/>
          </w:tcPr>
          <w:p w14:paraId="4E6B49A3" w14:textId="77777777" w:rsidR="00EB7EFA" w:rsidRPr="002B55E9" w:rsidRDefault="00EB7EFA" w:rsidP="00AE5254">
            <w:pPr>
              <w:pStyle w:val="lgy-"/>
            </w:pPr>
            <w:r w:rsidRPr="002B55E9">
              <w:rPr>
                <w:rFonts w:eastAsia="宋体"/>
              </w:rPr>
              <w:t>30.6756323</w:t>
            </w:r>
          </w:p>
        </w:tc>
        <w:tc>
          <w:tcPr>
            <w:tcW w:w="725" w:type="dxa"/>
            <w:vMerge w:val="restart"/>
          </w:tcPr>
          <w:p w14:paraId="04F4C2C4" w14:textId="77777777" w:rsidR="00EB7EFA" w:rsidRPr="002B55E9" w:rsidRDefault="00EB7EFA" w:rsidP="00AE5254">
            <w:pPr>
              <w:pStyle w:val="lgy-"/>
            </w:pPr>
            <w:r w:rsidRPr="002B55E9">
              <w:rPr>
                <w:rFonts w:eastAsia="宋体" w:hint="eastAsia"/>
              </w:rPr>
              <w:t>25</w:t>
            </w:r>
          </w:p>
        </w:tc>
        <w:tc>
          <w:tcPr>
            <w:tcW w:w="555" w:type="dxa"/>
            <w:vMerge w:val="restart"/>
          </w:tcPr>
          <w:p w14:paraId="3CE096CB" w14:textId="77777777" w:rsidR="00EB7EFA" w:rsidRPr="002B55E9" w:rsidRDefault="00EB7EFA" w:rsidP="00AE5254">
            <w:pPr>
              <w:pStyle w:val="lgy-"/>
            </w:pPr>
            <w:r w:rsidRPr="002B55E9">
              <w:rPr>
                <w:rFonts w:eastAsia="宋体" w:hint="eastAsia"/>
              </w:rPr>
              <w:t>18</w:t>
            </w:r>
          </w:p>
        </w:tc>
        <w:tc>
          <w:tcPr>
            <w:tcW w:w="488" w:type="dxa"/>
            <w:vMerge w:val="restart"/>
          </w:tcPr>
          <w:p w14:paraId="0F05CF6D" w14:textId="77777777" w:rsidR="00EB7EFA" w:rsidRPr="002B55E9" w:rsidRDefault="00EB7EFA" w:rsidP="00AE5254">
            <w:pPr>
              <w:pStyle w:val="lgy-"/>
            </w:pPr>
            <w:r w:rsidRPr="002B55E9">
              <w:rPr>
                <w:rFonts w:eastAsia="宋体" w:hint="eastAsia"/>
              </w:rPr>
              <w:t>0.</w:t>
            </w:r>
            <w:r w:rsidRPr="002B55E9">
              <w:rPr>
                <w:rFonts w:eastAsia="宋体"/>
              </w:rPr>
              <w:t>3</w:t>
            </w:r>
          </w:p>
        </w:tc>
        <w:tc>
          <w:tcPr>
            <w:tcW w:w="784" w:type="dxa"/>
            <w:vMerge w:val="restart"/>
          </w:tcPr>
          <w:p w14:paraId="6CF34EBA" w14:textId="77777777" w:rsidR="00EB7EFA" w:rsidRPr="002B55E9" w:rsidRDefault="00EB7EFA" w:rsidP="00AE5254">
            <w:pPr>
              <w:pStyle w:val="lgy-"/>
            </w:pPr>
            <w:r w:rsidRPr="002B55E9">
              <w:rPr>
                <w:rFonts w:eastAsia="宋体" w:hint="eastAsia"/>
              </w:rPr>
              <w:t>4000</w:t>
            </w:r>
          </w:p>
        </w:tc>
        <w:tc>
          <w:tcPr>
            <w:tcW w:w="544" w:type="dxa"/>
            <w:vMerge w:val="restart"/>
          </w:tcPr>
          <w:p w14:paraId="4D20365F" w14:textId="77777777" w:rsidR="00EB7EFA" w:rsidRPr="002B55E9" w:rsidRDefault="00EB7EFA" w:rsidP="00AE5254">
            <w:pPr>
              <w:pStyle w:val="lgy-"/>
            </w:pPr>
            <w:r w:rsidRPr="002B55E9">
              <w:rPr>
                <w:rFonts w:eastAsia="宋体" w:hint="eastAsia"/>
              </w:rPr>
              <w:t>2</w:t>
            </w:r>
            <w:r w:rsidRPr="002B55E9">
              <w:rPr>
                <w:rFonts w:eastAsia="宋体"/>
              </w:rPr>
              <w:t>5</w:t>
            </w:r>
          </w:p>
        </w:tc>
        <w:tc>
          <w:tcPr>
            <w:tcW w:w="547" w:type="dxa"/>
            <w:vMerge w:val="restart"/>
          </w:tcPr>
          <w:p w14:paraId="67D2BDA4" w14:textId="77777777" w:rsidR="00EB7EFA" w:rsidRPr="002B55E9" w:rsidRDefault="00EB7EFA" w:rsidP="00AE5254">
            <w:pPr>
              <w:pStyle w:val="lgy-"/>
            </w:pPr>
            <w:r w:rsidRPr="002B55E9">
              <w:rPr>
                <w:rFonts w:eastAsia="宋体"/>
              </w:rPr>
              <w:t>99</w:t>
            </w:r>
            <w:r w:rsidRPr="002B55E9">
              <w:rPr>
                <w:rFonts w:eastAsia="宋体" w:hint="eastAsia"/>
              </w:rPr>
              <w:t>0</w:t>
            </w:r>
          </w:p>
        </w:tc>
        <w:tc>
          <w:tcPr>
            <w:tcW w:w="463" w:type="dxa"/>
            <w:vMerge w:val="restart"/>
          </w:tcPr>
          <w:p w14:paraId="1AC22255" w14:textId="77777777" w:rsidR="00EB7EFA" w:rsidRPr="002B55E9" w:rsidRDefault="00EB7EFA" w:rsidP="00AE5254">
            <w:pPr>
              <w:pStyle w:val="lgy-"/>
            </w:pPr>
            <w:r w:rsidRPr="002B55E9">
              <w:rPr>
                <w:rFonts w:eastAsia="宋体" w:hint="eastAsia"/>
              </w:rPr>
              <w:t>正常</w:t>
            </w:r>
          </w:p>
        </w:tc>
        <w:tc>
          <w:tcPr>
            <w:tcW w:w="555" w:type="dxa"/>
          </w:tcPr>
          <w:p w14:paraId="24ABE3FB" w14:textId="77777777" w:rsidR="00EB7EFA" w:rsidRPr="002B55E9" w:rsidRDefault="00EB7EFA" w:rsidP="00AE5254">
            <w:pPr>
              <w:pStyle w:val="lgy-"/>
            </w:pPr>
            <w:r w:rsidRPr="002B55E9">
              <w:rPr>
                <w:rFonts w:eastAsia="宋体" w:hint="eastAsia"/>
              </w:rPr>
              <w:t>非甲烷总烃</w:t>
            </w:r>
          </w:p>
        </w:tc>
        <w:tc>
          <w:tcPr>
            <w:tcW w:w="790" w:type="dxa"/>
          </w:tcPr>
          <w:p w14:paraId="7155EA80" w14:textId="77777777" w:rsidR="00EB7EFA" w:rsidRPr="002B55E9" w:rsidRDefault="00EB7EFA" w:rsidP="00AE5254">
            <w:pPr>
              <w:pStyle w:val="lgy-"/>
              <w:rPr>
                <w:rFonts w:eastAsia="宋体"/>
              </w:rPr>
            </w:pPr>
            <w:r w:rsidRPr="002B55E9">
              <w:rPr>
                <w:rFonts w:eastAsia="宋体"/>
              </w:rPr>
              <w:t>0.005</w:t>
            </w:r>
          </w:p>
        </w:tc>
      </w:tr>
      <w:tr w:rsidR="002B55E9" w:rsidRPr="002B55E9" w14:paraId="11CF97C1" w14:textId="77777777" w:rsidTr="00AE5254">
        <w:trPr>
          <w:trHeight w:val="283"/>
        </w:trPr>
        <w:tc>
          <w:tcPr>
            <w:tcW w:w="844" w:type="dxa"/>
            <w:vMerge/>
          </w:tcPr>
          <w:p w14:paraId="38936CCD" w14:textId="77777777" w:rsidR="00EB7EFA" w:rsidRPr="002B55E9" w:rsidRDefault="00EB7EFA" w:rsidP="00AE5254">
            <w:pPr>
              <w:pStyle w:val="lgy-"/>
            </w:pPr>
          </w:p>
        </w:tc>
        <w:tc>
          <w:tcPr>
            <w:tcW w:w="1031" w:type="dxa"/>
            <w:vMerge/>
          </w:tcPr>
          <w:p w14:paraId="0AC1B810" w14:textId="77777777" w:rsidR="00EB7EFA" w:rsidRPr="002B55E9" w:rsidRDefault="00EB7EFA" w:rsidP="00AE5254">
            <w:pPr>
              <w:pStyle w:val="lgy-"/>
            </w:pPr>
          </w:p>
        </w:tc>
        <w:tc>
          <w:tcPr>
            <w:tcW w:w="1297" w:type="dxa"/>
            <w:vMerge/>
          </w:tcPr>
          <w:p w14:paraId="44BEEB25" w14:textId="77777777" w:rsidR="00EB7EFA" w:rsidRPr="002B55E9" w:rsidRDefault="00EB7EFA" w:rsidP="00AE5254">
            <w:pPr>
              <w:pStyle w:val="lgy-"/>
            </w:pPr>
          </w:p>
        </w:tc>
        <w:tc>
          <w:tcPr>
            <w:tcW w:w="1014" w:type="dxa"/>
            <w:vMerge/>
          </w:tcPr>
          <w:p w14:paraId="6B4FC028" w14:textId="77777777" w:rsidR="00EB7EFA" w:rsidRPr="002B55E9" w:rsidRDefault="00EB7EFA" w:rsidP="00AE5254">
            <w:pPr>
              <w:pStyle w:val="lgy-"/>
            </w:pPr>
          </w:p>
        </w:tc>
        <w:tc>
          <w:tcPr>
            <w:tcW w:w="725" w:type="dxa"/>
            <w:vMerge/>
          </w:tcPr>
          <w:p w14:paraId="6D8BB6F0" w14:textId="77777777" w:rsidR="00EB7EFA" w:rsidRPr="002B55E9" w:rsidRDefault="00EB7EFA" w:rsidP="00AE5254">
            <w:pPr>
              <w:pStyle w:val="lgy-"/>
            </w:pPr>
          </w:p>
        </w:tc>
        <w:tc>
          <w:tcPr>
            <w:tcW w:w="555" w:type="dxa"/>
            <w:vMerge/>
          </w:tcPr>
          <w:p w14:paraId="23F6117F" w14:textId="77777777" w:rsidR="00EB7EFA" w:rsidRPr="002B55E9" w:rsidRDefault="00EB7EFA" w:rsidP="00AE5254">
            <w:pPr>
              <w:pStyle w:val="lgy-"/>
            </w:pPr>
          </w:p>
        </w:tc>
        <w:tc>
          <w:tcPr>
            <w:tcW w:w="488" w:type="dxa"/>
            <w:vMerge/>
          </w:tcPr>
          <w:p w14:paraId="3209F5CD" w14:textId="77777777" w:rsidR="00EB7EFA" w:rsidRPr="002B55E9" w:rsidRDefault="00EB7EFA" w:rsidP="00AE5254">
            <w:pPr>
              <w:pStyle w:val="lgy-"/>
            </w:pPr>
          </w:p>
        </w:tc>
        <w:tc>
          <w:tcPr>
            <w:tcW w:w="784" w:type="dxa"/>
            <w:vMerge/>
          </w:tcPr>
          <w:p w14:paraId="432789F2" w14:textId="77777777" w:rsidR="00EB7EFA" w:rsidRPr="002B55E9" w:rsidRDefault="00EB7EFA" w:rsidP="00AE5254">
            <w:pPr>
              <w:pStyle w:val="lgy-"/>
            </w:pPr>
          </w:p>
        </w:tc>
        <w:tc>
          <w:tcPr>
            <w:tcW w:w="544" w:type="dxa"/>
            <w:vMerge/>
          </w:tcPr>
          <w:p w14:paraId="5EE3E5E6" w14:textId="77777777" w:rsidR="00EB7EFA" w:rsidRPr="002B55E9" w:rsidRDefault="00EB7EFA" w:rsidP="00AE5254">
            <w:pPr>
              <w:pStyle w:val="lgy-"/>
            </w:pPr>
          </w:p>
        </w:tc>
        <w:tc>
          <w:tcPr>
            <w:tcW w:w="547" w:type="dxa"/>
            <w:vMerge/>
          </w:tcPr>
          <w:p w14:paraId="67F7925A" w14:textId="77777777" w:rsidR="00EB7EFA" w:rsidRPr="002B55E9" w:rsidRDefault="00EB7EFA" w:rsidP="00AE5254">
            <w:pPr>
              <w:pStyle w:val="lgy-"/>
            </w:pPr>
          </w:p>
        </w:tc>
        <w:tc>
          <w:tcPr>
            <w:tcW w:w="463" w:type="dxa"/>
            <w:vMerge/>
          </w:tcPr>
          <w:p w14:paraId="1FB672D2" w14:textId="77777777" w:rsidR="00EB7EFA" w:rsidRPr="002B55E9" w:rsidRDefault="00EB7EFA" w:rsidP="00AE5254">
            <w:pPr>
              <w:pStyle w:val="lgy-"/>
            </w:pPr>
          </w:p>
        </w:tc>
        <w:tc>
          <w:tcPr>
            <w:tcW w:w="555" w:type="dxa"/>
          </w:tcPr>
          <w:p w14:paraId="355F99E3" w14:textId="77777777" w:rsidR="00EB7EFA" w:rsidRPr="002B55E9" w:rsidRDefault="00EB7EFA" w:rsidP="00AE5254">
            <w:pPr>
              <w:pStyle w:val="lgy-"/>
            </w:pPr>
            <w:r w:rsidRPr="002B55E9">
              <w:rPr>
                <w:rFonts w:eastAsia="宋体" w:hint="eastAsia"/>
              </w:rPr>
              <w:t>甲醛</w:t>
            </w:r>
          </w:p>
        </w:tc>
        <w:tc>
          <w:tcPr>
            <w:tcW w:w="790" w:type="dxa"/>
          </w:tcPr>
          <w:p w14:paraId="2F9F6AC3" w14:textId="77777777" w:rsidR="00EB7EFA" w:rsidRPr="002B55E9" w:rsidRDefault="00EB7EFA" w:rsidP="00AE5254">
            <w:pPr>
              <w:pStyle w:val="lgy-"/>
              <w:rPr>
                <w:rFonts w:eastAsia="宋体"/>
              </w:rPr>
            </w:pPr>
            <w:r w:rsidRPr="002B55E9">
              <w:rPr>
                <w:rFonts w:eastAsia="宋体"/>
              </w:rPr>
              <w:t>0.003</w:t>
            </w:r>
          </w:p>
        </w:tc>
      </w:tr>
      <w:tr w:rsidR="002B55E9" w:rsidRPr="002B55E9" w14:paraId="448145F8" w14:textId="77777777" w:rsidTr="00AE5254">
        <w:trPr>
          <w:trHeight w:val="283"/>
        </w:trPr>
        <w:tc>
          <w:tcPr>
            <w:tcW w:w="844" w:type="dxa"/>
            <w:vMerge/>
          </w:tcPr>
          <w:p w14:paraId="63FD8394" w14:textId="77777777" w:rsidR="00EB7EFA" w:rsidRPr="002B55E9" w:rsidRDefault="00EB7EFA" w:rsidP="00AE5254">
            <w:pPr>
              <w:pStyle w:val="lgy-"/>
            </w:pPr>
          </w:p>
        </w:tc>
        <w:tc>
          <w:tcPr>
            <w:tcW w:w="1031" w:type="dxa"/>
            <w:vMerge/>
          </w:tcPr>
          <w:p w14:paraId="0FADB503" w14:textId="77777777" w:rsidR="00EB7EFA" w:rsidRPr="002B55E9" w:rsidRDefault="00EB7EFA" w:rsidP="00AE5254">
            <w:pPr>
              <w:pStyle w:val="lgy-"/>
            </w:pPr>
          </w:p>
        </w:tc>
        <w:tc>
          <w:tcPr>
            <w:tcW w:w="1297" w:type="dxa"/>
            <w:vMerge/>
          </w:tcPr>
          <w:p w14:paraId="1605EB51" w14:textId="77777777" w:rsidR="00EB7EFA" w:rsidRPr="002B55E9" w:rsidRDefault="00EB7EFA" w:rsidP="00AE5254">
            <w:pPr>
              <w:pStyle w:val="lgy-"/>
            </w:pPr>
          </w:p>
        </w:tc>
        <w:tc>
          <w:tcPr>
            <w:tcW w:w="1014" w:type="dxa"/>
            <w:vMerge/>
          </w:tcPr>
          <w:p w14:paraId="7C2130E1" w14:textId="77777777" w:rsidR="00EB7EFA" w:rsidRPr="002B55E9" w:rsidRDefault="00EB7EFA" w:rsidP="00AE5254">
            <w:pPr>
              <w:pStyle w:val="lgy-"/>
            </w:pPr>
          </w:p>
        </w:tc>
        <w:tc>
          <w:tcPr>
            <w:tcW w:w="725" w:type="dxa"/>
            <w:vMerge/>
          </w:tcPr>
          <w:p w14:paraId="205D1942" w14:textId="77777777" w:rsidR="00EB7EFA" w:rsidRPr="002B55E9" w:rsidRDefault="00EB7EFA" w:rsidP="00AE5254">
            <w:pPr>
              <w:pStyle w:val="lgy-"/>
            </w:pPr>
          </w:p>
        </w:tc>
        <w:tc>
          <w:tcPr>
            <w:tcW w:w="555" w:type="dxa"/>
            <w:vMerge/>
          </w:tcPr>
          <w:p w14:paraId="2E9EB3A6" w14:textId="77777777" w:rsidR="00EB7EFA" w:rsidRPr="002B55E9" w:rsidRDefault="00EB7EFA" w:rsidP="00AE5254">
            <w:pPr>
              <w:pStyle w:val="lgy-"/>
            </w:pPr>
          </w:p>
        </w:tc>
        <w:tc>
          <w:tcPr>
            <w:tcW w:w="488" w:type="dxa"/>
            <w:vMerge/>
          </w:tcPr>
          <w:p w14:paraId="195EA366" w14:textId="77777777" w:rsidR="00EB7EFA" w:rsidRPr="002B55E9" w:rsidRDefault="00EB7EFA" w:rsidP="00AE5254">
            <w:pPr>
              <w:pStyle w:val="lgy-"/>
            </w:pPr>
          </w:p>
        </w:tc>
        <w:tc>
          <w:tcPr>
            <w:tcW w:w="784" w:type="dxa"/>
            <w:vMerge/>
          </w:tcPr>
          <w:p w14:paraId="5EAF4D74" w14:textId="77777777" w:rsidR="00EB7EFA" w:rsidRPr="002B55E9" w:rsidRDefault="00EB7EFA" w:rsidP="00AE5254">
            <w:pPr>
              <w:pStyle w:val="lgy-"/>
            </w:pPr>
          </w:p>
        </w:tc>
        <w:tc>
          <w:tcPr>
            <w:tcW w:w="544" w:type="dxa"/>
            <w:vMerge/>
          </w:tcPr>
          <w:p w14:paraId="063B4D56" w14:textId="77777777" w:rsidR="00EB7EFA" w:rsidRPr="002B55E9" w:rsidRDefault="00EB7EFA" w:rsidP="00AE5254">
            <w:pPr>
              <w:pStyle w:val="lgy-"/>
            </w:pPr>
          </w:p>
        </w:tc>
        <w:tc>
          <w:tcPr>
            <w:tcW w:w="547" w:type="dxa"/>
            <w:vMerge/>
          </w:tcPr>
          <w:p w14:paraId="2C1288D3" w14:textId="77777777" w:rsidR="00EB7EFA" w:rsidRPr="002B55E9" w:rsidRDefault="00EB7EFA" w:rsidP="00AE5254">
            <w:pPr>
              <w:pStyle w:val="lgy-"/>
            </w:pPr>
          </w:p>
        </w:tc>
        <w:tc>
          <w:tcPr>
            <w:tcW w:w="463" w:type="dxa"/>
            <w:vMerge/>
          </w:tcPr>
          <w:p w14:paraId="5E17E369" w14:textId="77777777" w:rsidR="00EB7EFA" w:rsidRPr="002B55E9" w:rsidRDefault="00EB7EFA" w:rsidP="00AE5254">
            <w:pPr>
              <w:pStyle w:val="lgy-"/>
            </w:pPr>
          </w:p>
        </w:tc>
        <w:tc>
          <w:tcPr>
            <w:tcW w:w="555" w:type="dxa"/>
          </w:tcPr>
          <w:p w14:paraId="557C2E67" w14:textId="77777777" w:rsidR="00EB7EFA" w:rsidRPr="002B55E9" w:rsidRDefault="00EB7EFA" w:rsidP="00AE5254">
            <w:pPr>
              <w:pStyle w:val="lgy-"/>
            </w:pPr>
            <w:r w:rsidRPr="002B55E9">
              <w:rPr>
                <w:rFonts w:eastAsia="宋体" w:hint="eastAsia"/>
              </w:rPr>
              <w:t>硫酸</w:t>
            </w:r>
          </w:p>
        </w:tc>
        <w:tc>
          <w:tcPr>
            <w:tcW w:w="790" w:type="dxa"/>
          </w:tcPr>
          <w:p w14:paraId="180CF78B" w14:textId="77777777" w:rsidR="00EB7EFA" w:rsidRPr="002B55E9" w:rsidRDefault="00EB7EFA" w:rsidP="00AE5254">
            <w:pPr>
              <w:pStyle w:val="lgy-"/>
              <w:rPr>
                <w:rFonts w:eastAsia="宋体"/>
              </w:rPr>
            </w:pPr>
            <w:r w:rsidRPr="002B55E9">
              <w:rPr>
                <w:rFonts w:eastAsia="宋体"/>
              </w:rPr>
              <w:t>0.011</w:t>
            </w:r>
          </w:p>
        </w:tc>
      </w:tr>
      <w:tr w:rsidR="002B55E9" w:rsidRPr="002B55E9" w14:paraId="40581820" w14:textId="77777777" w:rsidTr="00AE5254">
        <w:trPr>
          <w:trHeight w:val="283"/>
        </w:trPr>
        <w:tc>
          <w:tcPr>
            <w:tcW w:w="844" w:type="dxa"/>
            <w:vMerge/>
          </w:tcPr>
          <w:p w14:paraId="2E6616F5" w14:textId="77777777" w:rsidR="00EB7EFA" w:rsidRPr="002B55E9" w:rsidRDefault="00EB7EFA" w:rsidP="00AE5254">
            <w:pPr>
              <w:pStyle w:val="lgy-"/>
            </w:pPr>
          </w:p>
        </w:tc>
        <w:tc>
          <w:tcPr>
            <w:tcW w:w="1031" w:type="dxa"/>
            <w:vMerge/>
          </w:tcPr>
          <w:p w14:paraId="1D8B8302" w14:textId="77777777" w:rsidR="00EB7EFA" w:rsidRPr="002B55E9" w:rsidRDefault="00EB7EFA" w:rsidP="00AE5254">
            <w:pPr>
              <w:pStyle w:val="lgy-"/>
            </w:pPr>
          </w:p>
        </w:tc>
        <w:tc>
          <w:tcPr>
            <w:tcW w:w="1297" w:type="dxa"/>
            <w:vMerge/>
          </w:tcPr>
          <w:p w14:paraId="0C2D9A94" w14:textId="77777777" w:rsidR="00EB7EFA" w:rsidRPr="002B55E9" w:rsidRDefault="00EB7EFA" w:rsidP="00AE5254">
            <w:pPr>
              <w:pStyle w:val="lgy-"/>
            </w:pPr>
          </w:p>
        </w:tc>
        <w:tc>
          <w:tcPr>
            <w:tcW w:w="1014" w:type="dxa"/>
            <w:vMerge/>
          </w:tcPr>
          <w:p w14:paraId="4C8FD1BE" w14:textId="77777777" w:rsidR="00EB7EFA" w:rsidRPr="002B55E9" w:rsidRDefault="00EB7EFA" w:rsidP="00AE5254">
            <w:pPr>
              <w:pStyle w:val="lgy-"/>
            </w:pPr>
          </w:p>
        </w:tc>
        <w:tc>
          <w:tcPr>
            <w:tcW w:w="725" w:type="dxa"/>
            <w:vMerge/>
          </w:tcPr>
          <w:p w14:paraId="446E45C8" w14:textId="77777777" w:rsidR="00EB7EFA" w:rsidRPr="002B55E9" w:rsidRDefault="00EB7EFA" w:rsidP="00AE5254">
            <w:pPr>
              <w:pStyle w:val="lgy-"/>
            </w:pPr>
          </w:p>
        </w:tc>
        <w:tc>
          <w:tcPr>
            <w:tcW w:w="555" w:type="dxa"/>
            <w:vMerge/>
          </w:tcPr>
          <w:p w14:paraId="5577E8BD" w14:textId="77777777" w:rsidR="00EB7EFA" w:rsidRPr="002B55E9" w:rsidRDefault="00EB7EFA" w:rsidP="00AE5254">
            <w:pPr>
              <w:pStyle w:val="lgy-"/>
            </w:pPr>
          </w:p>
        </w:tc>
        <w:tc>
          <w:tcPr>
            <w:tcW w:w="488" w:type="dxa"/>
            <w:vMerge/>
          </w:tcPr>
          <w:p w14:paraId="742887C1" w14:textId="77777777" w:rsidR="00EB7EFA" w:rsidRPr="002B55E9" w:rsidRDefault="00EB7EFA" w:rsidP="00AE5254">
            <w:pPr>
              <w:pStyle w:val="lgy-"/>
            </w:pPr>
          </w:p>
        </w:tc>
        <w:tc>
          <w:tcPr>
            <w:tcW w:w="784" w:type="dxa"/>
            <w:vMerge/>
          </w:tcPr>
          <w:p w14:paraId="51ECE2EF" w14:textId="77777777" w:rsidR="00EB7EFA" w:rsidRPr="002B55E9" w:rsidRDefault="00EB7EFA" w:rsidP="00AE5254">
            <w:pPr>
              <w:pStyle w:val="lgy-"/>
            </w:pPr>
          </w:p>
        </w:tc>
        <w:tc>
          <w:tcPr>
            <w:tcW w:w="544" w:type="dxa"/>
            <w:vMerge/>
          </w:tcPr>
          <w:p w14:paraId="07CAD35A" w14:textId="77777777" w:rsidR="00EB7EFA" w:rsidRPr="002B55E9" w:rsidRDefault="00EB7EFA" w:rsidP="00AE5254">
            <w:pPr>
              <w:pStyle w:val="lgy-"/>
            </w:pPr>
          </w:p>
        </w:tc>
        <w:tc>
          <w:tcPr>
            <w:tcW w:w="547" w:type="dxa"/>
            <w:vMerge/>
          </w:tcPr>
          <w:p w14:paraId="0B1AE616" w14:textId="77777777" w:rsidR="00EB7EFA" w:rsidRPr="002B55E9" w:rsidRDefault="00EB7EFA" w:rsidP="00AE5254">
            <w:pPr>
              <w:pStyle w:val="lgy-"/>
            </w:pPr>
          </w:p>
        </w:tc>
        <w:tc>
          <w:tcPr>
            <w:tcW w:w="463" w:type="dxa"/>
            <w:vMerge/>
          </w:tcPr>
          <w:p w14:paraId="21F98AEC" w14:textId="77777777" w:rsidR="00EB7EFA" w:rsidRPr="002B55E9" w:rsidRDefault="00EB7EFA" w:rsidP="00AE5254">
            <w:pPr>
              <w:pStyle w:val="lgy-"/>
            </w:pPr>
          </w:p>
        </w:tc>
        <w:tc>
          <w:tcPr>
            <w:tcW w:w="555" w:type="dxa"/>
          </w:tcPr>
          <w:p w14:paraId="7D534AA9" w14:textId="77777777" w:rsidR="00EB7EFA" w:rsidRPr="002B55E9" w:rsidRDefault="00EB7EFA" w:rsidP="00AE5254">
            <w:pPr>
              <w:pStyle w:val="lgy-"/>
            </w:pPr>
            <w:r w:rsidRPr="002B55E9">
              <w:rPr>
                <w:rFonts w:eastAsia="宋体" w:hint="eastAsia"/>
              </w:rPr>
              <w:t>氯化氢</w:t>
            </w:r>
          </w:p>
        </w:tc>
        <w:tc>
          <w:tcPr>
            <w:tcW w:w="790" w:type="dxa"/>
          </w:tcPr>
          <w:p w14:paraId="7F6427CE" w14:textId="77777777" w:rsidR="00EB7EFA" w:rsidRPr="002B55E9" w:rsidRDefault="00EB7EFA" w:rsidP="00AE5254">
            <w:pPr>
              <w:pStyle w:val="lgy-"/>
              <w:rPr>
                <w:rFonts w:eastAsia="宋体"/>
              </w:rPr>
            </w:pPr>
            <w:r w:rsidRPr="002B55E9">
              <w:rPr>
                <w:rFonts w:eastAsia="宋体"/>
              </w:rPr>
              <w:t>2.16E-05</w:t>
            </w:r>
          </w:p>
        </w:tc>
      </w:tr>
    </w:tbl>
    <w:p w14:paraId="31B47B5E" w14:textId="0EA25B12" w:rsidR="00D170E5" w:rsidRPr="002B55E9" w:rsidRDefault="00EF27AD">
      <w:pPr>
        <w:pStyle w:val="1f3"/>
        <w:spacing w:beforeLines="0" w:before="0"/>
      </w:pPr>
      <w:r w:rsidRPr="002B55E9">
        <w:rPr>
          <w:rFonts w:hint="eastAsia"/>
        </w:rPr>
        <w:t>表</w:t>
      </w:r>
      <w:r w:rsidRPr="002B55E9">
        <w:rPr>
          <w:rFonts w:hint="eastAsia"/>
        </w:rPr>
        <w:t>1</w:t>
      </w:r>
      <w:r w:rsidRPr="002B55E9">
        <w:t xml:space="preserve">-7-4  </w:t>
      </w:r>
      <w:r w:rsidR="00EB7EFA" w:rsidRPr="002B55E9">
        <w:rPr>
          <w:rFonts w:hint="eastAsia"/>
        </w:rPr>
        <w:t>正常排放条件下</w:t>
      </w:r>
      <w:r w:rsidRPr="002B55E9">
        <w:rPr>
          <w:rFonts w:hint="eastAsia"/>
        </w:rPr>
        <w:t>主要废气污染源参数一览表（面源）</w:t>
      </w:r>
    </w:p>
    <w:tbl>
      <w:tblPr>
        <w:tblStyle w:val="lgy2"/>
        <w:tblW w:w="5000" w:type="pct"/>
        <w:tblLayout w:type="fixed"/>
        <w:tblCellMar>
          <w:left w:w="28" w:type="dxa"/>
          <w:right w:w="28" w:type="dxa"/>
        </w:tblCellMar>
        <w:tblLook w:val="04A0" w:firstRow="1" w:lastRow="0" w:firstColumn="1" w:lastColumn="0" w:noHBand="0" w:noVBand="1"/>
      </w:tblPr>
      <w:tblGrid>
        <w:gridCol w:w="752"/>
        <w:gridCol w:w="1141"/>
        <w:gridCol w:w="1046"/>
        <w:gridCol w:w="750"/>
        <w:gridCol w:w="750"/>
        <w:gridCol w:w="754"/>
        <w:gridCol w:w="754"/>
        <w:gridCol w:w="754"/>
        <w:gridCol w:w="754"/>
        <w:gridCol w:w="673"/>
        <w:gridCol w:w="824"/>
        <w:gridCol w:w="742"/>
      </w:tblGrid>
      <w:tr w:rsidR="002B55E9" w:rsidRPr="002B55E9" w14:paraId="46FB8631" w14:textId="77777777" w:rsidTr="00AE5254">
        <w:trPr>
          <w:cnfStyle w:val="100000000000" w:firstRow="1" w:lastRow="0" w:firstColumn="0" w:lastColumn="0" w:oddVBand="0" w:evenVBand="0" w:oddHBand="0" w:evenHBand="0" w:firstRowFirstColumn="0" w:firstRowLastColumn="0" w:lastRowFirstColumn="0" w:lastRowLastColumn="0"/>
          <w:trHeight w:val="283"/>
        </w:trPr>
        <w:tc>
          <w:tcPr>
            <w:tcW w:w="747" w:type="dxa"/>
            <w:vMerge w:val="restart"/>
          </w:tcPr>
          <w:p w14:paraId="214023B6" w14:textId="77777777" w:rsidR="00EB7EFA" w:rsidRPr="002B55E9" w:rsidRDefault="00EB7EFA" w:rsidP="00AE5254">
            <w:pPr>
              <w:pStyle w:val="lgy-"/>
            </w:pPr>
            <w:r w:rsidRPr="002B55E9">
              <w:rPr>
                <w:rFonts w:eastAsia="宋体" w:hint="eastAsia"/>
              </w:rPr>
              <w:t>面源名称</w:t>
            </w:r>
          </w:p>
        </w:tc>
        <w:tc>
          <w:tcPr>
            <w:tcW w:w="2172" w:type="dxa"/>
            <w:gridSpan w:val="2"/>
          </w:tcPr>
          <w:p w14:paraId="34A6D263" w14:textId="77777777" w:rsidR="00EB7EFA" w:rsidRPr="002B55E9" w:rsidRDefault="00EB7EFA" w:rsidP="00AE5254">
            <w:pPr>
              <w:pStyle w:val="lgy-"/>
            </w:pPr>
            <w:r w:rsidRPr="002B55E9">
              <w:rPr>
                <w:rFonts w:eastAsia="宋体" w:hint="eastAsia"/>
              </w:rPr>
              <w:t>面源起点坐标</w:t>
            </w:r>
            <w:r w:rsidRPr="002B55E9">
              <w:rPr>
                <w:rFonts w:eastAsia="宋体" w:hint="eastAsia"/>
              </w:rPr>
              <w:t>/</w:t>
            </w:r>
            <w:r w:rsidRPr="002B55E9">
              <w:rPr>
                <w:rFonts w:eastAsia="宋体" w:hint="eastAsia"/>
              </w:rPr>
              <w:t>°</w:t>
            </w:r>
          </w:p>
        </w:tc>
        <w:tc>
          <w:tcPr>
            <w:tcW w:w="746" w:type="dxa"/>
            <w:vMerge w:val="restart"/>
          </w:tcPr>
          <w:p w14:paraId="7EE1EE90" w14:textId="77777777" w:rsidR="00EB7EFA" w:rsidRPr="002B55E9" w:rsidRDefault="00EB7EFA" w:rsidP="00AE5254">
            <w:pPr>
              <w:pStyle w:val="lgy-"/>
            </w:pPr>
            <w:r w:rsidRPr="002B55E9">
              <w:rPr>
                <w:rFonts w:eastAsia="宋体" w:hint="eastAsia"/>
              </w:rPr>
              <w:t>面源海报高度</w:t>
            </w:r>
            <w:r w:rsidRPr="002B55E9">
              <w:rPr>
                <w:rFonts w:eastAsia="宋体" w:hint="eastAsia"/>
              </w:rPr>
              <w:t>/m</w:t>
            </w:r>
          </w:p>
        </w:tc>
        <w:tc>
          <w:tcPr>
            <w:tcW w:w="746" w:type="dxa"/>
            <w:vMerge w:val="restart"/>
          </w:tcPr>
          <w:p w14:paraId="3C89F8E8" w14:textId="77777777" w:rsidR="00EB7EFA" w:rsidRPr="002B55E9" w:rsidRDefault="00EB7EFA" w:rsidP="00AE5254">
            <w:pPr>
              <w:pStyle w:val="lgy-"/>
            </w:pPr>
            <w:r w:rsidRPr="002B55E9">
              <w:rPr>
                <w:rFonts w:eastAsia="宋体" w:hint="eastAsia"/>
              </w:rPr>
              <w:t>面源长度</w:t>
            </w:r>
            <w:r w:rsidRPr="002B55E9">
              <w:rPr>
                <w:rFonts w:eastAsia="宋体" w:hint="eastAsia"/>
              </w:rPr>
              <w:t>/m</w:t>
            </w:r>
          </w:p>
        </w:tc>
        <w:tc>
          <w:tcPr>
            <w:tcW w:w="750" w:type="dxa"/>
            <w:vMerge w:val="restart"/>
          </w:tcPr>
          <w:p w14:paraId="141EBA05" w14:textId="77777777" w:rsidR="00EB7EFA" w:rsidRPr="002B55E9" w:rsidRDefault="00EB7EFA" w:rsidP="00AE5254">
            <w:pPr>
              <w:pStyle w:val="lgy-"/>
            </w:pPr>
            <w:r w:rsidRPr="002B55E9">
              <w:rPr>
                <w:rFonts w:eastAsia="宋体" w:hint="eastAsia"/>
              </w:rPr>
              <w:t>面源宽度</w:t>
            </w:r>
            <w:r w:rsidRPr="002B55E9">
              <w:rPr>
                <w:rFonts w:eastAsia="宋体" w:hint="eastAsia"/>
              </w:rPr>
              <w:t>/m</w:t>
            </w:r>
          </w:p>
        </w:tc>
        <w:tc>
          <w:tcPr>
            <w:tcW w:w="750" w:type="dxa"/>
            <w:vMerge w:val="restart"/>
          </w:tcPr>
          <w:p w14:paraId="79D30E35" w14:textId="77777777" w:rsidR="00EB7EFA" w:rsidRPr="002B55E9" w:rsidRDefault="00EB7EFA" w:rsidP="00AE5254">
            <w:pPr>
              <w:pStyle w:val="lgy-"/>
            </w:pPr>
            <w:r w:rsidRPr="002B55E9">
              <w:rPr>
                <w:rFonts w:eastAsia="宋体" w:hint="eastAsia"/>
              </w:rPr>
              <w:t>与正北向夹角</w:t>
            </w:r>
            <w:r w:rsidRPr="002B55E9">
              <w:rPr>
                <w:rFonts w:eastAsia="宋体" w:hint="eastAsia"/>
              </w:rPr>
              <w:t>/</w:t>
            </w:r>
            <w:r w:rsidRPr="002B55E9">
              <w:rPr>
                <w:rFonts w:eastAsia="宋体" w:hint="eastAsia"/>
              </w:rPr>
              <w:t>°</w:t>
            </w:r>
          </w:p>
        </w:tc>
        <w:tc>
          <w:tcPr>
            <w:tcW w:w="750" w:type="dxa"/>
            <w:vMerge w:val="restart"/>
          </w:tcPr>
          <w:p w14:paraId="30D4F088" w14:textId="77777777" w:rsidR="00EB7EFA" w:rsidRPr="002B55E9" w:rsidRDefault="00EB7EFA" w:rsidP="00AE5254">
            <w:pPr>
              <w:pStyle w:val="lgy-"/>
            </w:pPr>
            <w:r w:rsidRPr="002B55E9">
              <w:rPr>
                <w:rFonts w:eastAsia="宋体" w:hint="eastAsia"/>
              </w:rPr>
              <w:t>面源有效排放高度</w:t>
            </w:r>
            <w:r w:rsidRPr="002B55E9">
              <w:rPr>
                <w:rFonts w:eastAsia="宋体" w:hint="eastAsia"/>
              </w:rPr>
              <w:t>/m</w:t>
            </w:r>
          </w:p>
        </w:tc>
        <w:tc>
          <w:tcPr>
            <w:tcW w:w="750" w:type="dxa"/>
            <w:vMerge w:val="restart"/>
          </w:tcPr>
          <w:p w14:paraId="741C4CD2" w14:textId="77777777" w:rsidR="00EB7EFA" w:rsidRPr="002B55E9" w:rsidRDefault="00EB7EFA" w:rsidP="00AE5254">
            <w:pPr>
              <w:pStyle w:val="lgy-"/>
            </w:pPr>
            <w:r w:rsidRPr="002B55E9">
              <w:rPr>
                <w:rFonts w:eastAsia="宋体" w:hint="eastAsia"/>
              </w:rPr>
              <w:t>年排放小时数</w:t>
            </w:r>
            <w:r w:rsidRPr="002B55E9">
              <w:rPr>
                <w:rFonts w:eastAsia="宋体" w:hint="eastAsia"/>
              </w:rPr>
              <w:t>/h</w:t>
            </w:r>
          </w:p>
        </w:tc>
        <w:tc>
          <w:tcPr>
            <w:tcW w:w="669" w:type="dxa"/>
            <w:vMerge w:val="restart"/>
          </w:tcPr>
          <w:p w14:paraId="7CBC1610" w14:textId="77777777" w:rsidR="00EB7EFA" w:rsidRPr="002B55E9" w:rsidRDefault="00EB7EFA" w:rsidP="00AE5254">
            <w:pPr>
              <w:pStyle w:val="lgy-"/>
            </w:pPr>
            <w:r w:rsidRPr="002B55E9">
              <w:rPr>
                <w:rFonts w:eastAsia="宋体" w:hint="eastAsia"/>
              </w:rPr>
              <w:t>排放工况</w:t>
            </w:r>
          </w:p>
        </w:tc>
        <w:tc>
          <w:tcPr>
            <w:tcW w:w="819" w:type="dxa"/>
            <w:vMerge w:val="restart"/>
          </w:tcPr>
          <w:p w14:paraId="56A754BA" w14:textId="77777777" w:rsidR="00EB7EFA" w:rsidRPr="002B55E9" w:rsidRDefault="00EB7EFA" w:rsidP="00AE5254">
            <w:pPr>
              <w:pStyle w:val="lgy-"/>
            </w:pPr>
            <w:r w:rsidRPr="002B55E9">
              <w:rPr>
                <w:rFonts w:eastAsia="宋体" w:hint="eastAsia"/>
              </w:rPr>
              <w:t>污染物</w:t>
            </w:r>
            <w:r w:rsidRPr="002B55E9">
              <w:rPr>
                <w:rFonts w:eastAsia="宋体"/>
              </w:rPr>
              <w:t>种类</w:t>
            </w:r>
          </w:p>
        </w:tc>
        <w:tc>
          <w:tcPr>
            <w:tcW w:w="738" w:type="dxa"/>
            <w:vMerge w:val="restart"/>
          </w:tcPr>
          <w:p w14:paraId="6C6A5994" w14:textId="77777777" w:rsidR="00EB7EFA" w:rsidRPr="002B55E9" w:rsidRDefault="00EB7EFA" w:rsidP="00AE5254">
            <w:pPr>
              <w:pStyle w:val="lgy-"/>
              <w:rPr>
                <w:rFonts w:eastAsia="宋体"/>
              </w:rPr>
            </w:pPr>
            <w:r w:rsidRPr="002B55E9">
              <w:rPr>
                <w:rFonts w:eastAsia="宋体" w:hint="eastAsia"/>
              </w:rPr>
              <w:t>最大排放</w:t>
            </w:r>
            <w:r w:rsidRPr="002B55E9">
              <w:rPr>
                <w:rFonts w:eastAsia="宋体"/>
              </w:rPr>
              <w:t>速率</w:t>
            </w:r>
            <w:r w:rsidRPr="002B55E9">
              <w:rPr>
                <w:rFonts w:eastAsia="宋体" w:hint="eastAsia"/>
              </w:rPr>
              <w:t>k</w:t>
            </w:r>
            <w:r w:rsidRPr="002B55E9">
              <w:rPr>
                <w:rFonts w:eastAsia="宋体"/>
              </w:rPr>
              <w:t>g/h</w:t>
            </w:r>
          </w:p>
        </w:tc>
      </w:tr>
      <w:tr w:rsidR="002B55E9" w:rsidRPr="002B55E9" w14:paraId="6BAB1E6F" w14:textId="77777777" w:rsidTr="00AE5254">
        <w:trPr>
          <w:trHeight w:val="283"/>
        </w:trPr>
        <w:tc>
          <w:tcPr>
            <w:tcW w:w="747" w:type="dxa"/>
            <w:vMerge/>
          </w:tcPr>
          <w:p w14:paraId="3A57D05B" w14:textId="77777777" w:rsidR="00EB7EFA" w:rsidRPr="002B55E9" w:rsidRDefault="00EB7EFA" w:rsidP="00AE5254">
            <w:pPr>
              <w:pStyle w:val="lgy-"/>
            </w:pPr>
          </w:p>
        </w:tc>
        <w:tc>
          <w:tcPr>
            <w:tcW w:w="1133" w:type="dxa"/>
          </w:tcPr>
          <w:p w14:paraId="55E102A2" w14:textId="77777777" w:rsidR="00EB7EFA" w:rsidRPr="002B55E9" w:rsidRDefault="00EB7EFA" w:rsidP="00AE5254">
            <w:pPr>
              <w:pStyle w:val="lgy-"/>
            </w:pPr>
            <w:r w:rsidRPr="002B55E9">
              <w:rPr>
                <w:rFonts w:eastAsia="宋体" w:hint="eastAsia"/>
              </w:rPr>
              <w:t>经度</w:t>
            </w:r>
          </w:p>
        </w:tc>
        <w:tc>
          <w:tcPr>
            <w:tcW w:w="1039" w:type="dxa"/>
          </w:tcPr>
          <w:p w14:paraId="342ED6F2" w14:textId="77777777" w:rsidR="00EB7EFA" w:rsidRPr="002B55E9" w:rsidRDefault="00EB7EFA" w:rsidP="00AE5254">
            <w:pPr>
              <w:pStyle w:val="lgy-"/>
            </w:pPr>
            <w:r w:rsidRPr="002B55E9">
              <w:rPr>
                <w:rFonts w:eastAsia="宋体" w:hint="eastAsia"/>
              </w:rPr>
              <w:t>纬度</w:t>
            </w:r>
          </w:p>
        </w:tc>
        <w:tc>
          <w:tcPr>
            <w:tcW w:w="746" w:type="dxa"/>
            <w:vMerge/>
          </w:tcPr>
          <w:p w14:paraId="03F8D071" w14:textId="77777777" w:rsidR="00EB7EFA" w:rsidRPr="002B55E9" w:rsidRDefault="00EB7EFA" w:rsidP="00AE5254">
            <w:pPr>
              <w:pStyle w:val="lgy-"/>
            </w:pPr>
          </w:p>
        </w:tc>
        <w:tc>
          <w:tcPr>
            <w:tcW w:w="746" w:type="dxa"/>
            <w:vMerge/>
          </w:tcPr>
          <w:p w14:paraId="7B61404F" w14:textId="77777777" w:rsidR="00EB7EFA" w:rsidRPr="002B55E9" w:rsidRDefault="00EB7EFA" w:rsidP="00AE5254">
            <w:pPr>
              <w:pStyle w:val="lgy-"/>
            </w:pPr>
          </w:p>
        </w:tc>
        <w:tc>
          <w:tcPr>
            <w:tcW w:w="750" w:type="dxa"/>
            <w:vMerge/>
          </w:tcPr>
          <w:p w14:paraId="5CED1EEB" w14:textId="77777777" w:rsidR="00EB7EFA" w:rsidRPr="002B55E9" w:rsidRDefault="00EB7EFA" w:rsidP="00AE5254">
            <w:pPr>
              <w:pStyle w:val="lgy-"/>
            </w:pPr>
          </w:p>
        </w:tc>
        <w:tc>
          <w:tcPr>
            <w:tcW w:w="750" w:type="dxa"/>
            <w:vMerge/>
          </w:tcPr>
          <w:p w14:paraId="0FC7FFE8" w14:textId="77777777" w:rsidR="00EB7EFA" w:rsidRPr="002B55E9" w:rsidRDefault="00EB7EFA" w:rsidP="00AE5254">
            <w:pPr>
              <w:pStyle w:val="lgy-"/>
            </w:pPr>
          </w:p>
        </w:tc>
        <w:tc>
          <w:tcPr>
            <w:tcW w:w="750" w:type="dxa"/>
            <w:vMerge/>
          </w:tcPr>
          <w:p w14:paraId="06B1154B" w14:textId="77777777" w:rsidR="00EB7EFA" w:rsidRPr="002B55E9" w:rsidRDefault="00EB7EFA" w:rsidP="00AE5254">
            <w:pPr>
              <w:pStyle w:val="lgy-"/>
            </w:pPr>
          </w:p>
        </w:tc>
        <w:tc>
          <w:tcPr>
            <w:tcW w:w="750" w:type="dxa"/>
            <w:vMerge/>
          </w:tcPr>
          <w:p w14:paraId="528A7F97" w14:textId="77777777" w:rsidR="00EB7EFA" w:rsidRPr="002B55E9" w:rsidRDefault="00EB7EFA" w:rsidP="00AE5254">
            <w:pPr>
              <w:pStyle w:val="lgy-"/>
            </w:pPr>
          </w:p>
        </w:tc>
        <w:tc>
          <w:tcPr>
            <w:tcW w:w="669" w:type="dxa"/>
            <w:vMerge/>
          </w:tcPr>
          <w:p w14:paraId="264D972D" w14:textId="77777777" w:rsidR="00EB7EFA" w:rsidRPr="002B55E9" w:rsidRDefault="00EB7EFA" w:rsidP="00AE5254">
            <w:pPr>
              <w:pStyle w:val="lgy-"/>
            </w:pPr>
          </w:p>
        </w:tc>
        <w:tc>
          <w:tcPr>
            <w:tcW w:w="819" w:type="dxa"/>
            <w:vMerge/>
          </w:tcPr>
          <w:p w14:paraId="09AD7297" w14:textId="77777777" w:rsidR="00EB7EFA" w:rsidRPr="002B55E9" w:rsidRDefault="00EB7EFA" w:rsidP="00AE5254">
            <w:pPr>
              <w:pStyle w:val="lgy-"/>
            </w:pPr>
          </w:p>
        </w:tc>
        <w:tc>
          <w:tcPr>
            <w:tcW w:w="738" w:type="dxa"/>
            <w:vMerge/>
          </w:tcPr>
          <w:p w14:paraId="5E11CB24" w14:textId="77777777" w:rsidR="00EB7EFA" w:rsidRPr="002B55E9" w:rsidRDefault="00EB7EFA" w:rsidP="00AE5254">
            <w:pPr>
              <w:pStyle w:val="lgy-"/>
              <w:rPr>
                <w:rFonts w:eastAsia="宋体"/>
              </w:rPr>
            </w:pPr>
          </w:p>
        </w:tc>
      </w:tr>
      <w:tr w:rsidR="002B55E9" w:rsidRPr="002B55E9" w14:paraId="1D6F3979" w14:textId="77777777" w:rsidTr="00AE5254">
        <w:trPr>
          <w:trHeight w:val="283"/>
        </w:trPr>
        <w:tc>
          <w:tcPr>
            <w:tcW w:w="747" w:type="dxa"/>
          </w:tcPr>
          <w:p w14:paraId="1EBB79EB" w14:textId="77777777" w:rsidR="00EB7EFA" w:rsidRPr="002B55E9" w:rsidRDefault="00EB7EFA" w:rsidP="00AE5254">
            <w:pPr>
              <w:pStyle w:val="lgy-"/>
            </w:pPr>
            <w:r w:rsidRPr="002B55E9">
              <w:rPr>
                <w:rFonts w:eastAsia="宋体" w:hint="eastAsia"/>
              </w:rPr>
              <w:t>十三车间</w:t>
            </w:r>
          </w:p>
        </w:tc>
        <w:tc>
          <w:tcPr>
            <w:tcW w:w="1133" w:type="dxa"/>
          </w:tcPr>
          <w:p w14:paraId="1940EDF0" w14:textId="77777777" w:rsidR="00EB7EFA" w:rsidRPr="002B55E9" w:rsidRDefault="00EB7EFA" w:rsidP="00AE5254">
            <w:pPr>
              <w:pStyle w:val="lgy-"/>
            </w:pPr>
            <w:r w:rsidRPr="002B55E9">
              <w:rPr>
                <w:rFonts w:eastAsia="宋体"/>
              </w:rPr>
              <w:t>113.99318576</w:t>
            </w:r>
          </w:p>
        </w:tc>
        <w:tc>
          <w:tcPr>
            <w:tcW w:w="1039" w:type="dxa"/>
          </w:tcPr>
          <w:p w14:paraId="6AF4C130" w14:textId="77777777" w:rsidR="00EB7EFA" w:rsidRPr="002B55E9" w:rsidRDefault="00EB7EFA" w:rsidP="00AE5254">
            <w:pPr>
              <w:pStyle w:val="lgy-"/>
            </w:pPr>
            <w:r w:rsidRPr="002B55E9">
              <w:rPr>
                <w:rFonts w:eastAsia="宋体"/>
              </w:rPr>
              <w:t>30.67571540</w:t>
            </w:r>
          </w:p>
        </w:tc>
        <w:tc>
          <w:tcPr>
            <w:tcW w:w="746" w:type="dxa"/>
          </w:tcPr>
          <w:p w14:paraId="4AA446B2" w14:textId="77777777" w:rsidR="00EB7EFA" w:rsidRPr="002B55E9" w:rsidRDefault="00EB7EFA" w:rsidP="00AE5254">
            <w:pPr>
              <w:pStyle w:val="lgy-"/>
            </w:pPr>
            <w:r w:rsidRPr="002B55E9">
              <w:rPr>
                <w:rFonts w:eastAsia="宋体" w:hint="eastAsia"/>
              </w:rPr>
              <w:t>25</w:t>
            </w:r>
          </w:p>
        </w:tc>
        <w:tc>
          <w:tcPr>
            <w:tcW w:w="746" w:type="dxa"/>
          </w:tcPr>
          <w:p w14:paraId="1B390909" w14:textId="77777777" w:rsidR="00EB7EFA" w:rsidRPr="002B55E9" w:rsidRDefault="00EB7EFA" w:rsidP="00AE5254">
            <w:pPr>
              <w:pStyle w:val="lgy-"/>
            </w:pPr>
            <w:r w:rsidRPr="002B55E9">
              <w:rPr>
                <w:rFonts w:eastAsia="宋体" w:hint="eastAsia"/>
              </w:rPr>
              <w:t>16</w:t>
            </w:r>
            <w:r w:rsidRPr="002B55E9">
              <w:rPr>
                <w:rFonts w:eastAsia="宋体"/>
              </w:rPr>
              <w:t>4</w:t>
            </w:r>
          </w:p>
        </w:tc>
        <w:tc>
          <w:tcPr>
            <w:tcW w:w="750" w:type="dxa"/>
          </w:tcPr>
          <w:p w14:paraId="761C6719" w14:textId="77777777" w:rsidR="00EB7EFA" w:rsidRPr="002B55E9" w:rsidRDefault="00EB7EFA" w:rsidP="00AE5254">
            <w:pPr>
              <w:pStyle w:val="lgy-"/>
            </w:pPr>
            <w:r w:rsidRPr="002B55E9">
              <w:rPr>
                <w:rFonts w:eastAsia="宋体" w:hint="eastAsia"/>
              </w:rPr>
              <w:t>40</w:t>
            </w:r>
          </w:p>
        </w:tc>
        <w:tc>
          <w:tcPr>
            <w:tcW w:w="750" w:type="dxa"/>
          </w:tcPr>
          <w:p w14:paraId="3AAC1934" w14:textId="77777777" w:rsidR="00EB7EFA" w:rsidRPr="002B55E9" w:rsidRDefault="00EB7EFA" w:rsidP="00AE5254">
            <w:pPr>
              <w:pStyle w:val="lgy-"/>
            </w:pPr>
            <w:r w:rsidRPr="002B55E9">
              <w:rPr>
                <w:rFonts w:eastAsia="宋体"/>
              </w:rPr>
              <w:t>135</w:t>
            </w:r>
          </w:p>
        </w:tc>
        <w:tc>
          <w:tcPr>
            <w:tcW w:w="750" w:type="dxa"/>
          </w:tcPr>
          <w:p w14:paraId="774FA1C0" w14:textId="77777777" w:rsidR="00EB7EFA" w:rsidRPr="002B55E9" w:rsidRDefault="00EB7EFA" w:rsidP="00AE5254">
            <w:pPr>
              <w:pStyle w:val="lgy-"/>
            </w:pPr>
            <w:r w:rsidRPr="002B55E9">
              <w:rPr>
                <w:rFonts w:eastAsia="宋体"/>
              </w:rPr>
              <w:t>7</w:t>
            </w:r>
          </w:p>
        </w:tc>
        <w:tc>
          <w:tcPr>
            <w:tcW w:w="750" w:type="dxa"/>
          </w:tcPr>
          <w:p w14:paraId="44FD35FD" w14:textId="77777777" w:rsidR="00EB7EFA" w:rsidRPr="002B55E9" w:rsidRDefault="00EB7EFA" w:rsidP="00AE5254">
            <w:pPr>
              <w:pStyle w:val="lgy-"/>
            </w:pPr>
            <w:r w:rsidRPr="002B55E9">
              <w:rPr>
                <w:rFonts w:eastAsia="宋体"/>
              </w:rPr>
              <w:t>7920</w:t>
            </w:r>
          </w:p>
        </w:tc>
        <w:tc>
          <w:tcPr>
            <w:tcW w:w="669" w:type="dxa"/>
          </w:tcPr>
          <w:p w14:paraId="410D12D6" w14:textId="77777777" w:rsidR="00EB7EFA" w:rsidRPr="002B55E9" w:rsidRDefault="00EB7EFA" w:rsidP="00AE5254">
            <w:pPr>
              <w:pStyle w:val="lgy-"/>
            </w:pPr>
            <w:r w:rsidRPr="002B55E9">
              <w:rPr>
                <w:rFonts w:eastAsia="宋体" w:hint="eastAsia"/>
              </w:rPr>
              <w:t>正常</w:t>
            </w:r>
          </w:p>
        </w:tc>
        <w:tc>
          <w:tcPr>
            <w:tcW w:w="819" w:type="dxa"/>
          </w:tcPr>
          <w:p w14:paraId="2D98731C" w14:textId="77777777" w:rsidR="00EB7EFA" w:rsidRPr="002B55E9" w:rsidRDefault="00EB7EFA" w:rsidP="00AE5254">
            <w:pPr>
              <w:pStyle w:val="lgy-"/>
            </w:pPr>
            <w:r w:rsidRPr="002B55E9">
              <w:rPr>
                <w:rFonts w:eastAsia="宋体" w:hint="eastAsia"/>
              </w:rPr>
              <w:t>颗粒物</w:t>
            </w:r>
          </w:p>
        </w:tc>
        <w:tc>
          <w:tcPr>
            <w:tcW w:w="738" w:type="dxa"/>
          </w:tcPr>
          <w:p w14:paraId="4C84CB11" w14:textId="77777777" w:rsidR="00EB7EFA" w:rsidRPr="002B55E9" w:rsidRDefault="00EB7EFA" w:rsidP="00AE5254">
            <w:pPr>
              <w:pStyle w:val="lgy-"/>
              <w:rPr>
                <w:rFonts w:eastAsia="宋体"/>
              </w:rPr>
            </w:pPr>
            <w:r w:rsidRPr="002B55E9">
              <w:rPr>
                <w:rFonts w:eastAsia="宋体"/>
              </w:rPr>
              <w:t>0.014</w:t>
            </w:r>
          </w:p>
        </w:tc>
      </w:tr>
      <w:tr w:rsidR="002B55E9" w:rsidRPr="002B55E9" w14:paraId="21CEA628" w14:textId="77777777" w:rsidTr="00AE5254">
        <w:trPr>
          <w:trHeight w:val="283"/>
        </w:trPr>
        <w:tc>
          <w:tcPr>
            <w:tcW w:w="747" w:type="dxa"/>
            <w:vMerge w:val="restart"/>
          </w:tcPr>
          <w:p w14:paraId="4EFC98D2" w14:textId="77777777" w:rsidR="00EB7EFA" w:rsidRPr="002B55E9" w:rsidRDefault="00EB7EFA" w:rsidP="00AE5254">
            <w:pPr>
              <w:pStyle w:val="lgy-"/>
            </w:pPr>
            <w:r w:rsidRPr="002B55E9">
              <w:rPr>
                <w:rFonts w:eastAsia="宋体" w:hint="eastAsia"/>
              </w:rPr>
              <w:t>十一</w:t>
            </w:r>
            <w:r w:rsidRPr="002B55E9">
              <w:rPr>
                <w:rFonts w:eastAsia="宋体"/>
              </w:rPr>
              <w:t>车间</w:t>
            </w:r>
          </w:p>
        </w:tc>
        <w:tc>
          <w:tcPr>
            <w:tcW w:w="1133" w:type="dxa"/>
            <w:vMerge w:val="restart"/>
          </w:tcPr>
          <w:p w14:paraId="4B7F7D2A" w14:textId="77777777" w:rsidR="00EB7EFA" w:rsidRPr="002B55E9" w:rsidRDefault="00EB7EFA" w:rsidP="00AE5254">
            <w:pPr>
              <w:pStyle w:val="lgy-"/>
            </w:pPr>
            <w:r w:rsidRPr="002B55E9">
              <w:rPr>
                <w:rFonts w:eastAsia="宋体"/>
              </w:rPr>
              <w:t>113.99316430</w:t>
            </w:r>
          </w:p>
        </w:tc>
        <w:tc>
          <w:tcPr>
            <w:tcW w:w="1039" w:type="dxa"/>
            <w:vMerge w:val="restart"/>
          </w:tcPr>
          <w:p w14:paraId="74F19C08" w14:textId="77777777" w:rsidR="00EB7EFA" w:rsidRPr="002B55E9" w:rsidRDefault="00EB7EFA" w:rsidP="00AE5254">
            <w:pPr>
              <w:pStyle w:val="lgy-"/>
            </w:pPr>
            <w:r w:rsidRPr="002B55E9">
              <w:rPr>
                <w:rFonts w:eastAsia="宋体"/>
              </w:rPr>
              <w:t>30.67504179</w:t>
            </w:r>
          </w:p>
        </w:tc>
        <w:tc>
          <w:tcPr>
            <w:tcW w:w="746" w:type="dxa"/>
            <w:vMerge w:val="restart"/>
          </w:tcPr>
          <w:p w14:paraId="73FBCEB2" w14:textId="77777777" w:rsidR="00EB7EFA" w:rsidRPr="002B55E9" w:rsidRDefault="00EB7EFA" w:rsidP="00AE5254">
            <w:pPr>
              <w:pStyle w:val="lgy-"/>
            </w:pPr>
            <w:r w:rsidRPr="002B55E9">
              <w:rPr>
                <w:rFonts w:eastAsia="宋体" w:hint="eastAsia"/>
              </w:rPr>
              <w:t>25</w:t>
            </w:r>
          </w:p>
        </w:tc>
        <w:tc>
          <w:tcPr>
            <w:tcW w:w="746" w:type="dxa"/>
            <w:vMerge w:val="restart"/>
          </w:tcPr>
          <w:p w14:paraId="1E35832B" w14:textId="77777777" w:rsidR="00EB7EFA" w:rsidRPr="002B55E9" w:rsidRDefault="00EB7EFA" w:rsidP="00AE5254">
            <w:pPr>
              <w:pStyle w:val="lgy-"/>
            </w:pPr>
            <w:r w:rsidRPr="002B55E9">
              <w:rPr>
                <w:rFonts w:eastAsia="宋体" w:hint="eastAsia"/>
              </w:rPr>
              <w:t>16</w:t>
            </w:r>
            <w:r w:rsidRPr="002B55E9">
              <w:rPr>
                <w:rFonts w:eastAsia="宋体"/>
              </w:rPr>
              <w:t>0</w:t>
            </w:r>
          </w:p>
        </w:tc>
        <w:tc>
          <w:tcPr>
            <w:tcW w:w="750" w:type="dxa"/>
            <w:vMerge w:val="restart"/>
          </w:tcPr>
          <w:p w14:paraId="05F5CFE2" w14:textId="77777777" w:rsidR="00EB7EFA" w:rsidRPr="002B55E9" w:rsidRDefault="00EB7EFA" w:rsidP="00AE5254">
            <w:pPr>
              <w:pStyle w:val="lgy-"/>
            </w:pPr>
            <w:r w:rsidRPr="002B55E9">
              <w:rPr>
                <w:rFonts w:eastAsia="宋体" w:hint="eastAsia"/>
              </w:rPr>
              <w:t>88</w:t>
            </w:r>
          </w:p>
        </w:tc>
        <w:tc>
          <w:tcPr>
            <w:tcW w:w="750" w:type="dxa"/>
            <w:vMerge w:val="restart"/>
          </w:tcPr>
          <w:p w14:paraId="4234BA9D" w14:textId="77777777" w:rsidR="00EB7EFA" w:rsidRPr="002B55E9" w:rsidRDefault="00EB7EFA" w:rsidP="00AE5254">
            <w:pPr>
              <w:pStyle w:val="lgy-"/>
            </w:pPr>
            <w:r w:rsidRPr="002B55E9">
              <w:rPr>
                <w:rFonts w:eastAsia="宋体"/>
              </w:rPr>
              <w:t>135</w:t>
            </w:r>
          </w:p>
        </w:tc>
        <w:tc>
          <w:tcPr>
            <w:tcW w:w="750" w:type="dxa"/>
            <w:vMerge w:val="restart"/>
          </w:tcPr>
          <w:p w14:paraId="7BE7E4A2" w14:textId="77777777" w:rsidR="00EB7EFA" w:rsidRPr="002B55E9" w:rsidRDefault="00EB7EFA" w:rsidP="00AE5254">
            <w:pPr>
              <w:pStyle w:val="lgy-"/>
            </w:pPr>
            <w:r w:rsidRPr="002B55E9">
              <w:rPr>
                <w:rFonts w:eastAsia="宋体"/>
              </w:rPr>
              <w:t>7</w:t>
            </w:r>
          </w:p>
        </w:tc>
        <w:tc>
          <w:tcPr>
            <w:tcW w:w="750" w:type="dxa"/>
            <w:vMerge w:val="restart"/>
          </w:tcPr>
          <w:p w14:paraId="0A3B259F" w14:textId="77777777" w:rsidR="00EB7EFA" w:rsidRPr="002B55E9" w:rsidRDefault="00EB7EFA" w:rsidP="00AE5254">
            <w:pPr>
              <w:pStyle w:val="lgy-"/>
            </w:pPr>
            <w:r w:rsidRPr="002B55E9">
              <w:rPr>
                <w:rFonts w:eastAsia="宋体"/>
              </w:rPr>
              <w:t>7920</w:t>
            </w:r>
          </w:p>
        </w:tc>
        <w:tc>
          <w:tcPr>
            <w:tcW w:w="669" w:type="dxa"/>
            <w:vMerge w:val="restart"/>
          </w:tcPr>
          <w:p w14:paraId="1A1F0787" w14:textId="77777777" w:rsidR="00EB7EFA" w:rsidRPr="002B55E9" w:rsidRDefault="00EB7EFA" w:rsidP="00AE5254">
            <w:pPr>
              <w:pStyle w:val="lgy-"/>
            </w:pPr>
            <w:r w:rsidRPr="002B55E9">
              <w:rPr>
                <w:rFonts w:eastAsia="宋体" w:hint="eastAsia"/>
              </w:rPr>
              <w:t>正常</w:t>
            </w:r>
          </w:p>
        </w:tc>
        <w:tc>
          <w:tcPr>
            <w:tcW w:w="819" w:type="dxa"/>
          </w:tcPr>
          <w:p w14:paraId="33707373" w14:textId="77777777" w:rsidR="00EB7EFA" w:rsidRPr="002B55E9" w:rsidRDefault="00EB7EFA" w:rsidP="00AE5254">
            <w:pPr>
              <w:pStyle w:val="lgy-"/>
            </w:pPr>
            <w:r w:rsidRPr="002B55E9">
              <w:rPr>
                <w:rFonts w:eastAsia="宋体" w:hint="eastAsia"/>
              </w:rPr>
              <w:t>非甲烷总烃</w:t>
            </w:r>
          </w:p>
        </w:tc>
        <w:tc>
          <w:tcPr>
            <w:tcW w:w="738" w:type="dxa"/>
          </w:tcPr>
          <w:p w14:paraId="7C09DF76" w14:textId="77777777" w:rsidR="00EB7EFA" w:rsidRPr="002B55E9" w:rsidRDefault="00EB7EFA" w:rsidP="00AE5254">
            <w:pPr>
              <w:pStyle w:val="lgy-"/>
              <w:rPr>
                <w:rFonts w:eastAsia="宋体"/>
              </w:rPr>
            </w:pPr>
            <w:r w:rsidRPr="002B55E9">
              <w:rPr>
                <w:rFonts w:eastAsia="宋体"/>
              </w:rPr>
              <w:t>0.022</w:t>
            </w:r>
          </w:p>
        </w:tc>
      </w:tr>
      <w:tr w:rsidR="002B55E9" w:rsidRPr="002B55E9" w14:paraId="62C257ED" w14:textId="77777777" w:rsidTr="00AE5254">
        <w:trPr>
          <w:trHeight w:val="283"/>
        </w:trPr>
        <w:tc>
          <w:tcPr>
            <w:tcW w:w="747" w:type="dxa"/>
            <w:vMerge/>
          </w:tcPr>
          <w:p w14:paraId="0FC922C7" w14:textId="77777777" w:rsidR="00EB7EFA" w:rsidRPr="002B55E9" w:rsidRDefault="00EB7EFA" w:rsidP="00AE5254">
            <w:pPr>
              <w:pStyle w:val="lgy-"/>
            </w:pPr>
          </w:p>
        </w:tc>
        <w:tc>
          <w:tcPr>
            <w:tcW w:w="1133" w:type="dxa"/>
            <w:vMerge/>
          </w:tcPr>
          <w:p w14:paraId="3247E264" w14:textId="77777777" w:rsidR="00EB7EFA" w:rsidRPr="002B55E9" w:rsidRDefault="00EB7EFA" w:rsidP="00AE5254">
            <w:pPr>
              <w:pStyle w:val="lgy-"/>
            </w:pPr>
          </w:p>
        </w:tc>
        <w:tc>
          <w:tcPr>
            <w:tcW w:w="1039" w:type="dxa"/>
            <w:vMerge/>
          </w:tcPr>
          <w:p w14:paraId="0AC4F5B7" w14:textId="77777777" w:rsidR="00EB7EFA" w:rsidRPr="002B55E9" w:rsidRDefault="00EB7EFA" w:rsidP="00AE5254">
            <w:pPr>
              <w:pStyle w:val="lgy-"/>
            </w:pPr>
          </w:p>
        </w:tc>
        <w:tc>
          <w:tcPr>
            <w:tcW w:w="746" w:type="dxa"/>
            <w:vMerge/>
          </w:tcPr>
          <w:p w14:paraId="411329B9" w14:textId="77777777" w:rsidR="00EB7EFA" w:rsidRPr="002B55E9" w:rsidRDefault="00EB7EFA" w:rsidP="00AE5254">
            <w:pPr>
              <w:pStyle w:val="lgy-"/>
            </w:pPr>
          </w:p>
        </w:tc>
        <w:tc>
          <w:tcPr>
            <w:tcW w:w="746" w:type="dxa"/>
            <w:vMerge/>
          </w:tcPr>
          <w:p w14:paraId="1734798C" w14:textId="77777777" w:rsidR="00EB7EFA" w:rsidRPr="002B55E9" w:rsidRDefault="00EB7EFA" w:rsidP="00AE5254">
            <w:pPr>
              <w:pStyle w:val="lgy-"/>
            </w:pPr>
          </w:p>
        </w:tc>
        <w:tc>
          <w:tcPr>
            <w:tcW w:w="750" w:type="dxa"/>
            <w:vMerge/>
          </w:tcPr>
          <w:p w14:paraId="5327B372" w14:textId="77777777" w:rsidR="00EB7EFA" w:rsidRPr="002B55E9" w:rsidRDefault="00EB7EFA" w:rsidP="00AE5254">
            <w:pPr>
              <w:pStyle w:val="lgy-"/>
            </w:pPr>
          </w:p>
        </w:tc>
        <w:tc>
          <w:tcPr>
            <w:tcW w:w="750" w:type="dxa"/>
            <w:vMerge/>
          </w:tcPr>
          <w:p w14:paraId="351BF01C" w14:textId="77777777" w:rsidR="00EB7EFA" w:rsidRPr="002B55E9" w:rsidRDefault="00EB7EFA" w:rsidP="00AE5254">
            <w:pPr>
              <w:pStyle w:val="lgy-"/>
            </w:pPr>
          </w:p>
        </w:tc>
        <w:tc>
          <w:tcPr>
            <w:tcW w:w="750" w:type="dxa"/>
            <w:vMerge/>
          </w:tcPr>
          <w:p w14:paraId="0BD737E5" w14:textId="77777777" w:rsidR="00EB7EFA" w:rsidRPr="002B55E9" w:rsidRDefault="00EB7EFA" w:rsidP="00AE5254">
            <w:pPr>
              <w:pStyle w:val="lgy-"/>
            </w:pPr>
          </w:p>
        </w:tc>
        <w:tc>
          <w:tcPr>
            <w:tcW w:w="750" w:type="dxa"/>
            <w:vMerge/>
          </w:tcPr>
          <w:p w14:paraId="5A87F7E0" w14:textId="77777777" w:rsidR="00EB7EFA" w:rsidRPr="002B55E9" w:rsidRDefault="00EB7EFA" w:rsidP="00AE5254">
            <w:pPr>
              <w:pStyle w:val="lgy-"/>
            </w:pPr>
          </w:p>
        </w:tc>
        <w:tc>
          <w:tcPr>
            <w:tcW w:w="669" w:type="dxa"/>
            <w:vMerge/>
          </w:tcPr>
          <w:p w14:paraId="2D3D223F" w14:textId="77777777" w:rsidR="00EB7EFA" w:rsidRPr="002B55E9" w:rsidRDefault="00EB7EFA" w:rsidP="00AE5254">
            <w:pPr>
              <w:pStyle w:val="lgy-"/>
            </w:pPr>
          </w:p>
        </w:tc>
        <w:tc>
          <w:tcPr>
            <w:tcW w:w="819" w:type="dxa"/>
          </w:tcPr>
          <w:p w14:paraId="1D578482" w14:textId="77777777" w:rsidR="00EB7EFA" w:rsidRPr="002B55E9" w:rsidRDefault="00EB7EFA" w:rsidP="00AE5254">
            <w:pPr>
              <w:pStyle w:val="lgy-"/>
              <w:rPr>
                <w:kern w:val="2"/>
              </w:rPr>
            </w:pPr>
            <w:r w:rsidRPr="002B55E9">
              <w:rPr>
                <w:rFonts w:eastAsia="宋体" w:hint="eastAsia"/>
                <w:kern w:val="2"/>
              </w:rPr>
              <w:t>甲醛</w:t>
            </w:r>
          </w:p>
        </w:tc>
        <w:tc>
          <w:tcPr>
            <w:tcW w:w="738" w:type="dxa"/>
            <w:tcBorders>
              <w:top w:val="nil"/>
              <w:left w:val="nil"/>
              <w:bottom w:val="single" w:sz="8" w:space="0" w:color="auto"/>
              <w:right w:val="nil"/>
            </w:tcBorders>
          </w:tcPr>
          <w:p w14:paraId="41833CDA" w14:textId="77777777" w:rsidR="00EB7EFA" w:rsidRPr="002B55E9" w:rsidRDefault="00EB7EFA" w:rsidP="00AE5254">
            <w:pPr>
              <w:pStyle w:val="lgy-"/>
              <w:rPr>
                <w:rFonts w:eastAsia="宋体"/>
              </w:rPr>
            </w:pPr>
            <w:r w:rsidRPr="002B55E9">
              <w:rPr>
                <w:rFonts w:eastAsia="等线"/>
              </w:rPr>
              <w:t>9.88E-05</w:t>
            </w:r>
          </w:p>
        </w:tc>
      </w:tr>
      <w:tr w:rsidR="002B55E9" w:rsidRPr="002B55E9" w14:paraId="31967BFE" w14:textId="77777777" w:rsidTr="00AE5254">
        <w:trPr>
          <w:trHeight w:val="283"/>
        </w:trPr>
        <w:tc>
          <w:tcPr>
            <w:tcW w:w="747" w:type="dxa"/>
            <w:vMerge/>
          </w:tcPr>
          <w:p w14:paraId="54B40C0B" w14:textId="77777777" w:rsidR="00EB7EFA" w:rsidRPr="002B55E9" w:rsidRDefault="00EB7EFA" w:rsidP="00AE5254">
            <w:pPr>
              <w:pStyle w:val="lgy-"/>
            </w:pPr>
          </w:p>
        </w:tc>
        <w:tc>
          <w:tcPr>
            <w:tcW w:w="1133" w:type="dxa"/>
            <w:vMerge/>
          </w:tcPr>
          <w:p w14:paraId="1A3EDFE2" w14:textId="77777777" w:rsidR="00EB7EFA" w:rsidRPr="002B55E9" w:rsidRDefault="00EB7EFA" w:rsidP="00AE5254">
            <w:pPr>
              <w:pStyle w:val="lgy-"/>
            </w:pPr>
          </w:p>
        </w:tc>
        <w:tc>
          <w:tcPr>
            <w:tcW w:w="1039" w:type="dxa"/>
            <w:vMerge/>
          </w:tcPr>
          <w:p w14:paraId="791FAB6D" w14:textId="77777777" w:rsidR="00EB7EFA" w:rsidRPr="002B55E9" w:rsidRDefault="00EB7EFA" w:rsidP="00AE5254">
            <w:pPr>
              <w:pStyle w:val="lgy-"/>
            </w:pPr>
          </w:p>
        </w:tc>
        <w:tc>
          <w:tcPr>
            <w:tcW w:w="746" w:type="dxa"/>
            <w:vMerge/>
          </w:tcPr>
          <w:p w14:paraId="4F007BFE" w14:textId="77777777" w:rsidR="00EB7EFA" w:rsidRPr="002B55E9" w:rsidRDefault="00EB7EFA" w:rsidP="00AE5254">
            <w:pPr>
              <w:pStyle w:val="lgy-"/>
            </w:pPr>
          </w:p>
        </w:tc>
        <w:tc>
          <w:tcPr>
            <w:tcW w:w="746" w:type="dxa"/>
            <w:vMerge/>
          </w:tcPr>
          <w:p w14:paraId="60A1A1CD" w14:textId="77777777" w:rsidR="00EB7EFA" w:rsidRPr="002B55E9" w:rsidRDefault="00EB7EFA" w:rsidP="00AE5254">
            <w:pPr>
              <w:pStyle w:val="lgy-"/>
            </w:pPr>
          </w:p>
        </w:tc>
        <w:tc>
          <w:tcPr>
            <w:tcW w:w="750" w:type="dxa"/>
            <w:vMerge/>
          </w:tcPr>
          <w:p w14:paraId="33C93035" w14:textId="77777777" w:rsidR="00EB7EFA" w:rsidRPr="002B55E9" w:rsidRDefault="00EB7EFA" w:rsidP="00AE5254">
            <w:pPr>
              <w:pStyle w:val="lgy-"/>
            </w:pPr>
          </w:p>
        </w:tc>
        <w:tc>
          <w:tcPr>
            <w:tcW w:w="750" w:type="dxa"/>
            <w:vMerge/>
          </w:tcPr>
          <w:p w14:paraId="484B28F6" w14:textId="77777777" w:rsidR="00EB7EFA" w:rsidRPr="002B55E9" w:rsidRDefault="00EB7EFA" w:rsidP="00AE5254">
            <w:pPr>
              <w:pStyle w:val="lgy-"/>
            </w:pPr>
          </w:p>
        </w:tc>
        <w:tc>
          <w:tcPr>
            <w:tcW w:w="750" w:type="dxa"/>
            <w:vMerge/>
          </w:tcPr>
          <w:p w14:paraId="066F38B1" w14:textId="77777777" w:rsidR="00EB7EFA" w:rsidRPr="002B55E9" w:rsidRDefault="00EB7EFA" w:rsidP="00AE5254">
            <w:pPr>
              <w:pStyle w:val="lgy-"/>
            </w:pPr>
          </w:p>
        </w:tc>
        <w:tc>
          <w:tcPr>
            <w:tcW w:w="750" w:type="dxa"/>
            <w:vMerge/>
          </w:tcPr>
          <w:p w14:paraId="73DE912D" w14:textId="77777777" w:rsidR="00EB7EFA" w:rsidRPr="002B55E9" w:rsidRDefault="00EB7EFA" w:rsidP="00AE5254">
            <w:pPr>
              <w:pStyle w:val="lgy-"/>
            </w:pPr>
          </w:p>
        </w:tc>
        <w:tc>
          <w:tcPr>
            <w:tcW w:w="669" w:type="dxa"/>
            <w:vMerge/>
          </w:tcPr>
          <w:p w14:paraId="3C745200" w14:textId="77777777" w:rsidR="00EB7EFA" w:rsidRPr="002B55E9" w:rsidRDefault="00EB7EFA" w:rsidP="00AE5254">
            <w:pPr>
              <w:pStyle w:val="lgy-"/>
            </w:pPr>
          </w:p>
        </w:tc>
        <w:tc>
          <w:tcPr>
            <w:tcW w:w="819" w:type="dxa"/>
          </w:tcPr>
          <w:p w14:paraId="557A9E25" w14:textId="77777777" w:rsidR="00EB7EFA" w:rsidRPr="002B55E9" w:rsidRDefault="00EB7EFA" w:rsidP="00AE5254">
            <w:pPr>
              <w:pStyle w:val="lgy-"/>
              <w:rPr>
                <w:kern w:val="2"/>
              </w:rPr>
            </w:pPr>
            <w:r w:rsidRPr="002B55E9">
              <w:rPr>
                <w:rFonts w:eastAsia="宋体" w:hint="eastAsia"/>
                <w:kern w:val="2"/>
              </w:rPr>
              <w:t>硫酸</w:t>
            </w:r>
          </w:p>
        </w:tc>
        <w:tc>
          <w:tcPr>
            <w:tcW w:w="738" w:type="dxa"/>
            <w:tcBorders>
              <w:top w:val="nil"/>
              <w:left w:val="nil"/>
              <w:bottom w:val="single" w:sz="8" w:space="0" w:color="auto"/>
              <w:right w:val="nil"/>
            </w:tcBorders>
          </w:tcPr>
          <w:p w14:paraId="5C11CA9B" w14:textId="77777777" w:rsidR="00EB7EFA" w:rsidRPr="002B55E9" w:rsidRDefault="00EB7EFA" w:rsidP="00AE5254">
            <w:pPr>
              <w:pStyle w:val="lgy-"/>
              <w:rPr>
                <w:rFonts w:eastAsia="宋体"/>
              </w:rPr>
            </w:pPr>
            <w:r w:rsidRPr="002B55E9">
              <w:rPr>
                <w:rFonts w:eastAsia="等线"/>
              </w:rPr>
              <w:t>2.23E-04</w:t>
            </w:r>
          </w:p>
        </w:tc>
      </w:tr>
      <w:tr w:rsidR="002B55E9" w:rsidRPr="002B55E9" w14:paraId="7181AFEE" w14:textId="77777777" w:rsidTr="00AE5254">
        <w:trPr>
          <w:trHeight w:val="283"/>
        </w:trPr>
        <w:tc>
          <w:tcPr>
            <w:tcW w:w="747" w:type="dxa"/>
            <w:vMerge/>
          </w:tcPr>
          <w:p w14:paraId="751F9763" w14:textId="77777777" w:rsidR="00EB7EFA" w:rsidRPr="002B55E9" w:rsidRDefault="00EB7EFA" w:rsidP="00AE5254">
            <w:pPr>
              <w:pStyle w:val="lgy-"/>
            </w:pPr>
          </w:p>
        </w:tc>
        <w:tc>
          <w:tcPr>
            <w:tcW w:w="1133" w:type="dxa"/>
            <w:vMerge/>
          </w:tcPr>
          <w:p w14:paraId="57FFA22E" w14:textId="77777777" w:rsidR="00EB7EFA" w:rsidRPr="002B55E9" w:rsidRDefault="00EB7EFA" w:rsidP="00AE5254">
            <w:pPr>
              <w:pStyle w:val="lgy-"/>
            </w:pPr>
          </w:p>
        </w:tc>
        <w:tc>
          <w:tcPr>
            <w:tcW w:w="1039" w:type="dxa"/>
            <w:vMerge/>
          </w:tcPr>
          <w:p w14:paraId="04FDAA3D" w14:textId="77777777" w:rsidR="00EB7EFA" w:rsidRPr="002B55E9" w:rsidRDefault="00EB7EFA" w:rsidP="00AE5254">
            <w:pPr>
              <w:pStyle w:val="lgy-"/>
            </w:pPr>
          </w:p>
        </w:tc>
        <w:tc>
          <w:tcPr>
            <w:tcW w:w="746" w:type="dxa"/>
            <w:vMerge/>
          </w:tcPr>
          <w:p w14:paraId="12788C60" w14:textId="77777777" w:rsidR="00EB7EFA" w:rsidRPr="002B55E9" w:rsidRDefault="00EB7EFA" w:rsidP="00AE5254">
            <w:pPr>
              <w:pStyle w:val="lgy-"/>
            </w:pPr>
          </w:p>
        </w:tc>
        <w:tc>
          <w:tcPr>
            <w:tcW w:w="746" w:type="dxa"/>
            <w:vMerge/>
          </w:tcPr>
          <w:p w14:paraId="35AE0AC7" w14:textId="77777777" w:rsidR="00EB7EFA" w:rsidRPr="002B55E9" w:rsidRDefault="00EB7EFA" w:rsidP="00AE5254">
            <w:pPr>
              <w:pStyle w:val="lgy-"/>
            </w:pPr>
          </w:p>
        </w:tc>
        <w:tc>
          <w:tcPr>
            <w:tcW w:w="750" w:type="dxa"/>
            <w:vMerge/>
          </w:tcPr>
          <w:p w14:paraId="70E04E34" w14:textId="77777777" w:rsidR="00EB7EFA" w:rsidRPr="002B55E9" w:rsidRDefault="00EB7EFA" w:rsidP="00AE5254">
            <w:pPr>
              <w:pStyle w:val="lgy-"/>
            </w:pPr>
          </w:p>
        </w:tc>
        <w:tc>
          <w:tcPr>
            <w:tcW w:w="750" w:type="dxa"/>
            <w:vMerge/>
          </w:tcPr>
          <w:p w14:paraId="68251FE4" w14:textId="77777777" w:rsidR="00EB7EFA" w:rsidRPr="002B55E9" w:rsidRDefault="00EB7EFA" w:rsidP="00AE5254">
            <w:pPr>
              <w:pStyle w:val="lgy-"/>
            </w:pPr>
          </w:p>
        </w:tc>
        <w:tc>
          <w:tcPr>
            <w:tcW w:w="750" w:type="dxa"/>
            <w:vMerge/>
          </w:tcPr>
          <w:p w14:paraId="73456988" w14:textId="77777777" w:rsidR="00EB7EFA" w:rsidRPr="002B55E9" w:rsidRDefault="00EB7EFA" w:rsidP="00AE5254">
            <w:pPr>
              <w:pStyle w:val="lgy-"/>
            </w:pPr>
          </w:p>
        </w:tc>
        <w:tc>
          <w:tcPr>
            <w:tcW w:w="750" w:type="dxa"/>
            <w:vMerge/>
          </w:tcPr>
          <w:p w14:paraId="48EE8256" w14:textId="77777777" w:rsidR="00EB7EFA" w:rsidRPr="002B55E9" w:rsidRDefault="00EB7EFA" w:rsidP="00AE5254">
            <w:pPr>
              <w:pStyle w:val="lgy-"/>
            </w:pPr>
          </w:p>
        </w:tc>
        <w:tc>
          <w:tcPr>
            <w:tcW w:w="669" w:type="dxa"/>
            <w:vMerge/>
          </w:tcPr>
          <w:p w14:paraId="010B07DF" w14:textId="77777777" w:rsidR="00EB7EFA" w:rsidRPr="002B55E9" w:rsidRDefault="00EB7EFA" w:rsidP="00AE5254">
            <w:pPr>
              <w:pStyle w:val="lgy-"/>
            </w:pPr>
          </w:p>
        </w:tc>
        <w:tc>
          <w:tcPr>
            <w:tcW w:w="819" w:type="dxa"/>
          </w:tcPr>
          <w:p w14:paraId="1F399556" w14:textId="77777777" w:rsidR="00EB7EFA" w:rsidRPr="002B55E9" w:rsidRDefault="00EB7EFA" w:rsidP="00AE5254">
            <w:pPr>
              <w:pStyle w:val="lgy-"/>
              <w:rPr>
                <w:kern w:val="2"/>
              </w:rPr>
            </w:pPr>
            <w:r w:rsidRPr="002B55E9">
              <w:rPr>
                <w:rFonts w:eastAsia="宋体" w:hint="eastAsia"/>
                <w:kern w:val="2"/>
              </w:rPr>
              <w:t>氯化氢</w:t>
            </w:r>
          </w:p>
        </w:tc>
        <w:tc>
          <w:tcPr>
            <w:tcW w:w="738" w:type="dxa"/>
            <w:tcBorders>
              <w:top w:val="nil"/>
              <w:left w:val="nil"/>
              <w:bottom w:val="single" w:sz="8" w:space="0" w:color="auto"/>
              <w:right w:val="nil"/>
            </w:tcBorders>
          </w:tcPr>
          <w:p w14:paraId="7F22B4DE" w14:textId="77777777" w:rsidR="00EB7EFA" w:rsidRPr="002B55E9" w:rsidRDefault="00EB7EFA" w:rsidP="00AE5254">
            <w:pPr>
              <w:pStyle w:val="lgy-"/>
              <w:rPr>
                <w:rFonts w:eastAsia="宋体"/>
              </w:rPr>
            </w:pPr>
            <w:r w:rsidRPr="002B55E9">
              <w:rPr>
                <w:rFonts w:eastAsia="等线"/>
              </w:rPr>
              <w:t>4.41E-07</w:t>
            </w:r>
          </w:p>
        </w:tc>
      </w:tr>
      <w:tr w:rsidR="002B55E9" w:rsidRPr="002B55E9" w14:paraId="513DACC9" w14:textId="77777777" w:rsidTr="00AE5254">
        <w:trPr>
          <w:trHeight w:val="283"/>
        </w:trPr>
        <w:tc>
          <w:tcPr>
            <w:tcW w:w="747" w:type="dxa"/>
          </w:tcPr>
          <w:p w14:paraId="174728B0" w14:textId="77777777" w:rsidR="00EB7EFA" w:rsidRPr="002B55E9" w:rsidRDefault="00EB7EFA" w:rsidP="00AE5254">
            <w:pPr>
              <w:pStyle w:val="lgy-"/>
            </w:pPr>
            <w:r w:rsidRPr="002B55E9">
              <w:rPr>
                <w:rFonts w:eastAsia="宋体" w:hint="eastAsia"/>
              </w:rPr>
              <w:t>罐区三</w:t>
            </w:r>
          </w:p>
        </w:tc>
        <w:tc>
          <w:tcPr>
            <w:tcW w:w="1133" w:type="dxa"/>
          </w:tcPr>
          <w:p w14:paraId="1FF098B8" w14:textId="77777777" w:rsidR="00EB7EFA" w:rsidRPr="002B55E9" w:rsidRDefault="00EB7EFA" w:rsidP="00AE5254">
            <w:pPr>
              <w:pStyle w:val="lgy-"/>
            </w:pPr>
            <w:r w:rsidRPr="002B55E9">
              <w:rPr>
                <w:rFonts w:eastAsia="宋体"/>
              </w:rPr>
              <w:t>113.99198413</w:t>
            </w:r>
          </w:p>
        </w:tc>
        <w:tc>
          <w:tcPr>
            <w:tcW w:w="1039" w:type="dxa"/>
          </w:tcPr>
          <w:p w14:paraId="6C1F87D5" w14:textId="77777777" w:rsidR="00EB7EFA" w:rsidRPr="002B55E9" w:rsidRDefault="00EB7EFA" w:rsidP="00AE5254">
            <w:pPr>
              <w:pStyle w:val="lgy-"/>
            </w:pPr>
            <w:r w:rsidRPr="002B55E9">
              <w:rPr>
                <w:rFonts w:eastAsia="宋体"/>
              </w:rPr>
              <w:t>30.67542935</w:t>
            </w:r>
          </w:p>
        </w:tc>
        <w:tc>
          <w:tcPr>
            <w:tcW w:w="746" w:type="dxa"/>
          </w:tcPr>
          <w:p w14:paraId="10AAF10A" w14:textId="77777777" w:rsidR="00EB7EFA" w:rsidRPr="002B55E9" w:rsidRDefault="00EB7EFA" w:rsidP="00AE5254">
            <w:pPr>
              <w:pStyle w:val="lgy-"/>
            </w:pPr>
            <w:r w:rsidRPr="002B55E9">
              <w:rPr>
                <w:rFonts w:eastAsia="宋体" w:hint="eastAsia"/>
              </w:rPr>
              <w:t>25</w:t>
            </w:r>
          </w:p>
        </w:tc>
        <w:tc>
          <w:tcPr>
            <w:tcW w:w="746" w:type="dxa"/>
          </w:tcPr>
          <w:p w14:paraId="08EDCD73" w14:textId="77777777" w:rsidR="00EB7EFA" w:rsidRPr="002B55E9" w:rsidRDefault="00EB7EFA" w:rsidP="00AE5254">
            <w:pPr>
              <w:pStyle w:val="lgy-"/>
            </w:pPr>
            <w:r w:rsidRPr="002B55E9">
              <w:rPr>
                <w:rFonts w:eastAsia="宋体" w:hint="eastAsia"/>
              </w:rPr>
              <w:t>63</w:t>
            </w:r>
          </w:p>
        </w:tc>
        <w:tc>
          <w:tcPr>
            <w:tcW w:w="750" w:type="dxa"/>
          </w:tcPr>
          <w:p w14:paraId="25EF6CD3" w14:textId="77777777" w:rsidR="00EB7EFA" w:rsidRPr="002B55E9" w:rsidRDefault="00EB7EFA" w:rsidP="00AE5254">
            <w:pPr>
              <w:pStyle w:val="lgy-"/>
            </w:pPr>
            <w:r w:rsidRPr="002B55E9">
              <w:rPr>
                <w:rFonts w:eastAsia="宋体" w:hint="eastAsia"/>
              </w:rPr>
              <w:t>3</w:t>
            </w:r>
            <w:r w:rsidRPr="002B55E9">
              <w:rPr>
                <w:rFonts w:eastAsia="宋体"/>
              </w:rPr>
              <w:t>3</w:t>
            </w:r>
          </w:p>
        </w:tc>
        <w:tc>
          <w:tcPr>
            <w:tcW w:w="750" w:type="dxa"/>
          </w:tcPr>
          <w:p w14:paraId="6D2EAF65" w14:textId="77777777" w:rsidR="00EB7EFA" w:rsidRPr="002B55E9" w:rsidRDefault="00EB7EFA" w:rsidP="00AE5254">
            <w:pPr>
              <w:pStyle w:val="lgy-"/>
            </w:pPr>
            <w:r w:rsidRPr="002B55E9">
              <w:rPr>
                <w:rFonts w:eastAsia="宋体"/>
              </w:rPr>
              <w:t>135</w:t>
            </w:r>
          </w:p>
        </w:tc>
        <w:tc>
          <w:tcPr>
            <w:tcW w:w="750" w:type="dxa"/>
          </w:tcPr>
          <w:p w14:paraId="330BA03E" w14:textId="77777777" w:rsidR="00EB7EFA" w:rsidRPr="002B55E9" w:rsidRDefault="00EB7EFA" w:rsidP="00AE5254">
            <w:pPr>
              <w:pStyle w:val="lgy-"/>
            </w:pPr>
            <w:r w:rsidRPr="002B55E9">
              <w:rPr>
                <w:rFonts w:eastAsia="宋体" w:hint="eastAsia"/>
              </w:rPr>
              <w:t>12</w:t>
            </w:r>
            <w:r w:rsidRPr="002B55E9">
              <w:rPr>
                <w:rFonts w:eastAsia="宋体"/>
              </w:rPr>
              <w:t>.5</w:t>
            </w:r>
          </w:p>
        </w:tc>
        <w:tc>
          <w:tcPr>
            <w:tcW w:w="750" w:type="dxa"/>
          </w:tcPr>
          <w:p w14:paraId="600F2963" w14:textId="77777777" w:rsidR="00EB7EFA" w:rsidRPr="002B55E9" w:rsidRDefault="00EB7EFA" w:rsidP="00AE5254">
            <w:pPr>
              <w:pStyle w:val="lgy-"/>
            </w:pPr>
            <w:r w:rsidRPr="002B55E9">
              <w:rPr>
                <w:rFonts w:eastAsia="宋体" w:hint="eastAsia"/>
              </w:rPr>
              <w:t>8760</w:t>
            </w:r>
          </w:p>
        </w:tc>
        <w:tc>
          <w:tcPr>
            <w:tcW w:w="669" w:type="dxa"/>
          </w:tcPr>
          <w:p w14:paraId="40B3A404" w14:textId="77777777" w:rsidR="00EB7EFA" w:rsidRPr="002B55E9" w:rsidRDefault="00EB7EFA" w:rsidP="00AE5254">
            <w:pPr>
              <w:pStyle w:val="lgy-"/>
            </w:pPr>
            <w:r w:rsidRPr="002B55E9">
              <w:rPr>
                <w:rFonts w:eastAsia="宋体" w:hint="eastAsia"/>
              </w:rPr>
              <w:t>正常</w:t>
            </w:r>
          </w:p>
        </w:tc>
        <w:tc>
          <w:tcPr>
            <w:tcW w:w="819" w:type="dxa"/>
          </w:tcPr>
          <w:p w14:paraId="46A7FA41" w14:textId="77777777" w:rsidR="00EB7EFA" w:rsidRPr="002B55E9" w:rsidRDefault="00EB7EFA" w:rsidP="00AE5254">
            <w:pPr>
              <w:pStyle w:val="lgy-"/>
              <w:rPr>
                <w:kern w:val="2"/>
              </w:rPr>
            </w:pPr>
            <w:r w:rsidRPr="002B55E9">
              <w:rPr>
                <w:rFonts w:eastAsia="宋体" w:hint="eastAsia"/>
                <w:kern w:val="2"/>
              </w:rPr>
              <w:t>非甲烷总烃</w:t>
            </w:r>
          </w:p>
        </w:tc>
        <w:tc>
          <w:tcPr>
            <w:tcW w:w="738" w:type="dxa"/>
          </w:tcPr>
          <w:p w14:paraId="3538706C" w14:textId="77777777" w:rsidR="00EB7EFA" w:rsidRPr="002B55E9" w:rsidRDefault="00EB7EFA" w:rsidP="00AE5254">
            <w:pPr>
              <w:pStyle w:val="lgy-"/>
              <w:rPr>
                <w:rFonts w:eastAsia="宋体"/>
              </w:rPr>
            </w:pPr>
            <w:r w:rsidRPr="002B55E9">
              <w:rPr>
                <w:rFonts w:eastAsia="宋体"/>
              </w:rPr>
              <w:t>0.058</w:t>
            </w:r>
          </w:p>
        </w:tc>
      </w:tr>
      <w:tr w:rsidR="002B55E9" w:rsidRPr="002B55E9" w14:paraId="58E43318" w14:textId="77777777" w:rsidTr="00AE5254">
        <w:trPr>
          <w:trHeight w:val="283"/>
        </w:trPr>
        <w:tc>
          <w:tcPr>
            <w:tcW w:w="747" w:type="dxa"/>
          </w:tcPr>
          <w:p w14:paraId="461A74C9" w14:textId="77777777" w:rsidR="00EB7EFA" w:rsidRPr="002B55E9" w:rsidRDefault="00EB7EFA" w:rsidP="00AE5254">
            <w:pPr>
              <w:pStyle w:val="lgy-"/>
            </w:pPr>
            <w:r w:rsidRPr="002B55E9">
              <w:rPr>
                <w:rFonts w:eastAsia="宋体" w:hint="eastAsia"/>
              </w:rPr>
              <w:t>酒精</w:t>
            </w:r>
            <w:r w:rsidRPr="002B55E9">
              <w:rPr>
                <w:rFonts w:eastAsia="宋体"/>
              </w:rPr>
              <w:t>罐区</w:t>
            </w:r>
          </w:p>
        </w:tc>
        <w:tc>
          <w:tcPr>
            <w:tcW w:w="1133" w:type="dxa"/>
          </w:tcPr>
          <w:p w14:paraId="7FFF0DB8" w14:textId="77777777" w:rsidR="00EB7EFA" w:rsidRPr="002B55E9" w:rsidRDefault="00EB7EFA" w:rsidP="00AE5254">
            <w:pPr>
              <w:pStyle w:val="lgy-"/>
            </w:pPr>
            <w:r w:rsidRPr="002B55E9">
              <w:rPr>
                <w:rFonts w:eastAsia="宋体"/>
              </w:rPr>
              <w:t>113.98930192</w:t>
            </w:r>
          </w:p>
        </w:tc>
        <w:tc>
          <w:tcPr>
            <w:tcW w:w="1039" w:type="dxa"/>
          </w:tcPr>
          <w:p w14:paraId="76BE4FB7" w14:textId="77777777" w:rsidR="00EB7EFA" w:rsidRPr="002B55E9" w:rsidRDefault="00EB7EFA" w:rsidP="00AE5254">
            <w:pPr>
              <w:pStyle w:val="lgy-"/>
            </w:pPr>
            <w:r w:rsidRPr="002B55E9">
              <w:rPr>
                <w:rFonts w:eastAsia="宋体"/>
              </w:rPr>
              <w:t>30.67417439</w:t>
            </w:r>
          </w:p>
        </w:tc>
        <w:tc>
          <w:tcPr>
            <w:tcW w:w="746" w:type="dxa"/>
          </w:tcPr>
          <w:p w14:paraId="7E0513B1" w14:textId="77777777" w:rsidR="00EB7EFA" w:rsidRPr="002B55E9" w:rsidRDefault="00EB7EFA" w:rsidP="00AE5254">
            <w:pPr>
              <w:pStyle w:val="lgy-"/>
            </w:pPr>
            <w:r w:rsidRPr="002B55E9">
              <w:rPr>
                <w:rFonts w:eastAsia="宋体" w:hint="eastAsia"/>
              </w:rPr>
              <w:t>25</w:t>
            </w:r>
          </w:p>
        </w:tc>
        <w:tc>
          <w:tcPr>
            <w:tcW w:w="746" w:type="dxa"/>
          </w:tcPr>
          <w:p w14:paraId="23D16304" w14:textId="77777777" w:rsidR="00EB7EFA" w:rsidRPr="002B55E9" w:rsidRDefault="00EB7EFA" w:rsidP="00AE5254">
            <w:pPr>
              <w:pStyle w:val="lgy-"/>
            </w:pPr>
            <w:r w:rsidRPr="002B55E9">
              <w:rPr>
                <w:rFonts w:eastAsia="宋体"/>
              </w:rPr>
              <w:t>26.7</w:t>
            </w:r>
          </w:p>
        </w:tc>
        <w:tc>
          <w:tcPr>
            <w:tcW w:w="750" w:type="dxa"/>
          </w:tcPr>
          <w:p w14:paraId="32D051B8" w14:textId="77777777" w:rsidR="00EB7EFA" w:rsidRPr="002B55E9" w:rsidRDefault="00EB7EFA" w:rsidP="00AE5254">
            <w:pPr>
              <w:pStyle w:val="lgy-"/>
            </w:pPr>
            <w:r w:rsidRPr="002B55E9">
              <w:rPr>
                <w:rFonts w:eastAsia="宋体" w:hint="eastAsia"/>
              </w:rPr>
              <w:t>2</w:t>
            </w:r>
            <w:r w:rsidRPr="002B55E9">
              <w:rPr>
                <w:rFonts w:eastAsia="宋体"/>
              </w:rPr>
              <w:t>6.7</w:t>
            </w:r>
          </w:p>
        </w:tc>
        <w:tc>
          <w:tcPr>
            <w:tcW w:w="750" w:type="dxa"/>
          </w:tcPr>
          <w:p w14:paraId="7CDBBB55" w14:textId="77777777" w:rsidR="00EB7EFA" w:rsidRPr="002B55E9" w:rsidRDefault="00EB7EFA" w:rsidP="00AE5254">
            <w:pPr>
              <w:pStyle w:val="lgy-"/>
            </w:pPr>
            <w:r w:rsidRPr="002B55E9">
              <w:rPr>
                <w:rFonts w:eastAsia="宋体"/>
              </w:rPr>
              <w:t>135</w:t>
            </w:r>
          </w:p>
        </w:tc>
        <w:tc>
          <w:tcPr>
            <w:tcW w:w="750" w:type="dxa"/>
          </w:tcPr>
          <w:p w14:paraId="14AEB4A0" w14:textId="77777777" w:rsidR="00EB7EFA" w:rsidRPr="002B55E9" w:rsidRDefault="00EB7EFA" w:rsidP="00AE5254">
            <w:pPr>
              <w:pStyle w:val="lgy-"/>
            </w:pPr>
            <w:r w:rsidRPr="002B55E9">
              <w:rPr>
                <w:rFonts w:eastAsia="宋体"/>
              </w:rPr>
              <w:t>10.5</w:t>
            </w:r>
          </w:p>
        </w:tc>
        <w:tc>
          <w:tcPr>
            <w:tcW w:w="750" w:type="dxa"/>
          </w:tcPr>
          <w:p w14:paraId="0D5424A3" w14:textId="77777777" w:rsidR="00EB7EFA" w:rsidRPr="002B55E9" w:rsidRDefault="00EB7EFA" w:rsidP="00AE5254">
            <w:pPr>
              <w:pStyle w:val="lgy-"/>
            </w:pPr>
            <w:r w:rsidRPr="002B55E9">
              <w:rPr>
                <w:rFonts w:eastAsia="宋体" w:hint="eastAsia"/>
              </w:rPr>
              <w:t>8760</w:t>
            </w:r>
          </w:p>
        </w:tc>
        <w:tc>
          <w:tcPr>
            <w:tcW w:w="669" w:type="dxa"/>
          </w:tcPr>
          <w:p w14:paraId="700E31C4" w14:textId="77777777" w:rsidR="00EB7EFA" w:rsidRPr="002B55E9" w:rsidRDefault="00EB7EFA" w:rsidP="00AE5254">
            <w:pPr>
              <w:pStyle w:val="lgy-"/>
            </w:pPr>
            <w:r w:rsidRPr="002B55E9">
              <w:rPr>
                <w:rFonts w:eastAsia="宋体" w:hint="eastAsia"/>
              </w:rPr>
              <w:t>正常</w:t>
            </w:r>
          </w:p>
        </w:tc>
        <w:tc>
          <w:tcPr>
            <w:tcW w:w="819" w:type="dxa"/>
          </w:tcPr>
          <w:p w14:paraId="6B982104" w14:textId="77777777" w:rsidR="00EB7EFA" w:rsidRPr="002B55E9" w:rsidRDefault="00EB7EFA" w:rsidP="00AE5254">
            <w:pPr>
              <w:pStyle w:val="lgy-"/>
              <w:rPr>
                <w:kern w:val="2"/>
              </w:rPr>
            </w:pPr>
            <w:r w:rsidRPr="002B55E9">
              <w:rPr>
                <w:rFonts w:eastAsia="宋体"/>
                <w:kern w:val="2"/>
              </w:rPr>
              <w:t>非甲烷总烃</w:t>
            </w:r>
          </w:p>
        </w:tc>
        <w:tc>
          <w:tcPr>
            <w:tcW w:w="738" w:type="dxa"/>
          </w:tcPr>
          <w:p w14:paraId="4637772F" w14:textId="77777777" w:rsidR="00EB7EFA" w:rsidRPr="002B55E9" w:rsidRDefault="00EB7EFA" w:rsidP="00AE5254">
            <w:pPr>
              <w:pStyle w:val="lgy-"/>
              <w:rPr>
                <w:rFonts w:eastAsia="宋体"/>
              </w:rPr>
            </w:pPr>
            <w:r w:rsidRPr="002B55E9">
              <w:rPr>
                <w:rFonts w:eastAsia="宋体"/>
              </w:rPr>
              <w:t>0.049</w:t>
            </w:r>
          </w:p>
        </w:tc>
      </w:tr>
    </w:tbl>
    <w:p w14:paraId="4A35AE21" w14:textId="77777777" w:rsidR="00D170E5" w:rsidRPr="002B55E9" w:rsidRDefault="00EF27AD">
      <w:pPr>
        <w:pStyle w:val="affff7"/>
      </w:pPr>
      <w:r w:rsidRPr="002B55E9">
        <w:t>针对每个污染源确定评价等级见</w:t>
      </w:r>
      <w:r w:rsidRPr="002B55E9">
        <w:rPr>
          <w:szCs w:val="24"/>
        </w:rPr>
        <w:t>表</w:t>
      </w:r>
      <w:r w:rsidRPr="002B55E9">
        <w:t>1-</w:t>
      </w:r>
      <w:r w:rsidRPr="002B55E9">
        <w:rPr>
          <w:rFonts w:hint="eastAsia"/>
        </w:rPr>
        <w:t>7</w:t>
      </w:r>
      <w:r w:rsidRPr="002B55E9">
        <w:t>-5</w:t>
      </w:r>
      <w:r w:rsidRPr="002B55E9">
        <w:t>。</w:t>
      </w:r>
    </w:p>
    <w:p w14:paraId="086610BE" w14:textId="783CE69C" w:rsidR="00D170E5" w:rsidRPr="002B55E9" w:rsidRDefault="00EF27AD">
      <w:pPr>
        <w:pStyle w:val="1f3"/>
        <w:spacing w:beforeLines="0" w:before="0"/>
      </w:pPr>
      <w:r w:rsidRPr="002B55E9">
        <w:rPr>
          <w:rFonts w:hint="eastAsia"/>
        </w:rPr>
        <w:t>表</w:t>
      </w:r>
      <w:r w:rsidRPr="002B55E9">
        <w:rPr>
          <w:rFonts w:hint="eastAsia"/>
        </w:rPr>
        <w:t>1</w:t>
      </w:r>
      <w:r w:rsidRPr="002B55E9">
        <w:t>-</w:t>
      </w:r>
      <w:r w:rsidRPr="002B55E9">
        <w:rPr>
          <w:rFonts w:hint="eastAsia"/>
        </w:rPr>
        <w:t>7</w:t>
      </w:r>
      <w:r w:rsidRPr="002B55E9">
        <w:t xml:space="preserve">-5  </w:t>
      </w:r>
      <w:r w:rsidR="00EB7EFA" w:rsidRPr="002B55E9">
        <w:rPr>
          <w:rFonts w:hint="eastAsia"/>
        </w:rPr>
        <w:t>正常排放条件下</w:t>
      </w:r>
      <w:r w:rsidRPr="002B55E9">
        <w:rPr>
          <w:rFonts w:hint="eastAsia"/>
        </w:rPr>
        <w:t>Pmax</w:t>
      </w:r>
      <w:r w:rsidRPr="002B55E9">
        <w:rPr>
          <w:rFonts w:hint="eastAsia"/>
        </w:rPr>
        <w:t>和</w:t>
      </w:r>
      <w:r w:rsidRPr="002B55E9">
        <w:rPr>
          <w:rFonts w:hint="eastAsia"/>
        </w:rPr>
        <w:t>D</w:t>
      </w:r>
      <w:r w:rsidRPr="002B55E9">
        <w:t>10</w:t>
      </w:r>
      <w:r w:rsidRPr="002B55E9">
        <w:rPr>
          <w:rFonts w:hint="eastAsia"/>
        </w:rPr>
        <w:t>%</w:t>
      </w:r>
      <w:r w:rsidRPr="002B55E9">
        <w:rPr>
          <w:rFonts w:hint="eastAsia"/>
        </w:rPr>
        <w:t>预测和计算结果一览表</w:t>
      </w:r>
    </w:p>
    <w:tbl>
      <w:tblPr>
        <w:tblW w:w="96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3"/>
        <w:gridCol w:w="1124"/>
        <w:gridCol w:w="1638"/>
        <w:gridCol w:w="1559"/>
        <w:gridCol w:w="1278"/>
        <w:gridCol w:w="1135"/>
        <w:gridCol w:w="1270"/>
      </w:tblGrid>
      <w:tr w:rsidR="002B55E9" w:rsidRPr="002B55E9" w14:paraId="23B16D7A" w14:textId="77777777" w:rsidTr="00AE5254">
        <w:trPr>
          <w:trHeight w:val="284"/>
        </w:trPr>
        <w:tc>
          <w:tcPr>
            <w:tcW w:w="1633" w:type="dxa"/>
            <w:tcBorders>
              <w:top w:val="single" w:sz="12" w:space="0" w:color="auto"/>
              <w:bottom w:val="single" w:sz="12" w:space="0" w:color="auto"/>
            </w:tcBorders>
            <w:vAlign w:val="center"/>
          </w:tcPr>
          <w:p w14:paraId="6DA4F541" w14:textId="77777777" w:rsidR="00EB7EFA" w:rsidRPr="002B55E9" w:rsidRDefault="00EB7EFA" w:rsidP="00AE5254">
            <w:pPr>
              <w:jc w:val="center"/>
              <w:rPr>
                <w:sz w:val="18"/>
                <w:szCs w:val="18"/>
              </w:rPr>
            </w:pPr>
            <w:r w:rsidRPr="002B55E9">
              <w:rPr>
                <w:sz w:val="18"/>
                <w:szCs w:val="18"/>
              </w:rPr>
              <w:t>污染源名称</w:t>
            </w:r>
          </w:p>
        </w:tc>
        <w:tc>
          <w:tcPr>
            <w:tcW w:w="1124" w:type="dxa"/>
            <w:tcBorders>
              <w:top w:val="single" w:sz="12" w:space="0" w:color="auto"/>
              <w:bottom w:val="single" w:sz="12" w:space="0" w:color="auto"/>
            </w:tcBorders>
            <w:vAlign w:val="center"/>
          </w:tcPr>
          <w:p w14:paraId="6C61C2DC" w14:textId="77777777" w:rsidR="00EB7EFA" w:rsidRPr="002B55E9" w:rsidRDefault="00EB7EFA" w:rsidP="00AE5254">
            <w:pPr>
              <w:jc w:val="center"/>
              <w:rPr>
                <w:sz w:val="18"/>
                <w:szCs w:val="18"/>
              </w:rPr>
            </w:pPr>
            <w:r w:rsidRPr="002B55E9">
              <w:rPr>
                <w:rFonts w:hint="eastAsia"/>
                <w:sz w:val="18"/>
                <w:szCs w:val="18"/>
              </w:rPr>
              <w:t>排气筒编号</w:t>
            </w:r>
          </w:p>
        </w:tc>
        <w:tc>
          <w:tcPr>
            <w:tcW w:w="1638" w:type="dxa"/>
            <w:tcBorders>
              <w:top w:val="single" w:sz="12" w:space="0" w:color="auto"/>
              <w:bottom w:val="single" w:sz="12" w:space="0" w:color="auto"/>
            </w:tcBorders>
            <w:vAlign w:val="center"/>
          </w:tcPr>
          <w:p w14:paraId="7D7D62AF" w14:textId="77777777" w:rsidR="00EB7EFA" w:rsidRPr="002B55E9" w:rsidRDefault="00EB7EFA" w:rsidP="00AE5254">
            <w:pPr>
              <w:jc w:val="center"/>
              <w:rPr>
                <w:sz w:val="18"/>
                <w:szCs w:val="18"/>
              </w:rPr>
            </w:pPr>
            <w:r w:rsidRPr="002B55E9">
              <w:rPr>
                <w:sz w:val="18"/>
                <w:szCs w:val="18"/>
              </w:rPr>
              <w:t>评价因子</w:t>
            </w:r>
          </w:p>
        </w:tc>
        <w:tc>
          <w:tcPr>
            <w:tcW w:w="1559" w:type="dxa"/>
            <w:tcBorders>
              <w:top w:val="single" w:sz="12" w:space="0" w:color="auto"/>
              <w:bottom w:val="single" w:sz="12" w:space="0" w:color="auto"/>
            </w:tcBorders>
            <w:vAlign w:val="center"/>
          </w:tcPr>
          <w:p w14:paraId="4E3FE203" w14:textId="77777777" w:rsidR="00EB7EFA" w:rsidRPr="002B55E9" w:rsidRDefault="00EB7EFA" w:rsidP="00AE5254">
            <w:pPr>
              <w:jc w:val="center"/>
              <w:rPr>
                <w:sz w:val="18"/>
                <w:szCs w:val="18"/>
              </w:rPr>
            </w:pPr>
            <w:r w:rsidRPr="002B55E9">
              <w:rPr>
                <w:sz w:val="18"/>
                <w:szCs w:val="18"/>
              </w:rPr>
              <w:t>评价标准</w:t>
            </w:r>
            <w:r w:rsidRPr="002B55E9">
              <w:rPr>
                <w:sz w:val="18"/>
                <w:szCs w:val="18"/>
              </w:rPr>
              <w:t>(μg/m</w:t>
            </w:r>
            <w:r w:rsidRPr="002B55E9">
              <w:rPr>
                <w:sz w:val="18"/>
                <w:szCs w:val="18"/>
                <w:vertAlign w:val="superscript"/>
              </w:rPr>
              <w:t>3</w:t>
            </w:r>
            <w:r w:rsidRPr="002B55E9">
              <w:rPr>
                <w:sz w:val="18"/>
                <w:szCs w:val="18"/>
              </w:rPr>
              <w:t>)</w:t>
            </w:r>
          </w:p>
        </w:tc>
        <w:tc>
          <w:tcPr>
            <w:tcW w:w="1278" w:type="dxa"/>
            <w:tcBorders>
              <w:top w:val="single" w:sz="12" w:space="0" w:color="auto"/>
              <w:bottom w:val="single" w:sz="12" w:space="0" w:color="auto"/>
            </w:tcBorders>
            <w:vAlign w:val="center"/>
          </w:tcPr>
          <w:p w14:paraId="03CE7279" w14:textId="77777777" w:rsidR="00EB7EFA" w:rsidRPr="002B55E9" w:rsidRDefault="00EB7EFA" w:rsidP="00AE5254">
            <w:pPr>
              <w:jc w:val="center"/>
              <w:rPr>
                <w:sz w:val="18"/>
                <w:szCs w:val="18"/>
              </w:rPr>
            </w:pPr>
            <w:r w:rsidRPr="002B55E9">
              <w:rPr>
                <w:sz w:val="18"/>
                <w:szCs w:val="18"/>
              </w:rPr>
              <w:t>C</w:t>
            </w:r>
            <w:r w:rsidRPr="002B55E9">
              <w:rPr>
                <w:sz w:val="18"/>
                <w:szCs w:val="18"/>
                <w:vertAlign w:val="subscript"/>
              </w:rPr>
              <w:t>max</w:t>
            </w:r>
            <w:r w:rsidRPr="002B55E9">
              <w:rPr>
                <w:sz w:val="18"/>
                <w:szCs w:val="18"/>
              </w:rPr>
              <w:t>(μg/m</w:t>
            </w:r>
            <w:r w:rsidRPr="002B55E9">
              <w:rPr>
                <w:sz w:val="18"/>
                <w:szCs w:val="18"/>
                <w:vertAlign w:val="superscript"/>
              </w:rPr>
              <w:t>3</w:t>
            </w:r>
            <w:r w:rsidRPr="002B55E9">
              <w:rPr>
                <w:sz w:val="18"/>
                <w:szCs w:val="18"/>
              </w:rPr>
              <w:t>)</w:t>
            </w:r>
          </w:p>
        </w:tc>
        <w:tc>
          <w:tcPr>
            <w:tcW w:w="1135" w:type="dxa"/>
            <w:tcBorders>
              <w:top w:val="single" w:sz="12" w:space="0" w:color="auto"/>
              <w:bottom w:val="single" w:sz="12" w:space="0" w:color="auto"/>
            </w:tcBorders>
            <w:vAlign w:val="center"/>
          </w:tcPr>
          <w:p w14:paraId="220A3638" w14:textId="77777777" w:rsidR="00EB7EFA" w:rsidRPr="002B55E9" w:rsidRDefault="00EB7EFA" w:rsidP="00AE5254">
            <w:pPr>
              <w:jc w:val="center"/>
              <w:rPr>
                <w:sz w:val="18"/>
                <w:szCs w:val="18"/>
              </w:rPr>
            </w:pPr>
            <w:r w:rsidRPr="002B55E9">
              <w:rPr>
                <w:sz w:val="18"/>
                <w:szCs w:val="18"/>
              </w:rPr>
              <w:t>P</w:t>
            </w:r>
            <w:r w:rsidRPr="002B55E9">
              <w:rPr>
                <w:sz w:val="18"/>
                <w:szCs w:val="18"/>
                <w:vertAlign w:val="subscript"/>
              </w:rPr>
              <w:t>max</w:t>
            </w:r>
            <w:r w:rsidRPr="002B55E9">
              <w:rPr>
                <w:sz w:val="18"/>
                <w:szCs w:val="18"/>
              </w:rPr>
              <w:t>(%)</w:t>
            </w:r>
          </w:p>
        </w:tc>
        <w:tc>
          <w:tcPr>
            <w:tcW w:w="1270" w:type="dxa"/>
            <w:tcBorders>
              <w:top w:val="single" w:sz="12" w:space="0" w:color="auto"/>
              <w:bottom w:val="single" w:sz="12" w:space="0" w:color="auto"/>
            </w:tcBorders>
            <w:vAlign w:val="center"/>
          </w:tcPr>
          <w:p w14:paraId="7CCEC6E6" w14:textId="77777777" w:rsidR="00EB7EFA" w:rsidRPr="002B55E9" w:rsidRDefault="00EB7EFA" w:rsidP="00AE5254">
            <w:pPr>
              <w:jc w:val="center"/>
              <w:rPr>
                <w:sz w:val="18"/>
                <w:szCs w:val="18"/>
              </w:rPr>
            </w:pPr>
            <w:r w:rsidRPr="002B55E9">
              <w:rPr>
                <w:sz w:val="18"/>
                <w:szCs w:val="18"/>
              </w:rPr>
              <w:t>D</w:t>
            </w:r>
            <w:r w:rsidRPr="002B55E9">
              <w:rPr>
                <w:sz w:val="18"/>
                <w:szCs w:val="18"/>
                <w:vertAlign w:val="subscript"/>
              </w:rPr>
              <w:t>10%</w:t>
            </w:r>
            <w:r w:rsidRPr="002B55E9">
              <w:rPr>
                <w:sz w:val="18"/>
                <w:szCs w:val="18"/>
              </w:rPr>
              <w:t>(m)</w:t>
            </w:r>
          </w:p>
        </w:tc>
      </w:tr>
      <w:tr w:rsidR="002B55E9" w:rsidRPr="002B55E9" w14:paraId="50694274" w14:textId="77777777" w:rsidTr="00AE5254">
        <w:trPr>
          <w:trHeight w:val="284"/>
        </w:trPr>
        <w:tc>
          <w:tcPr>
            <w:tcW w:w="1633" w:type="dxa"/>
            <w:vAlign w:val="center"/>
          </w:tcPr>
          <w:p w14:paraId="68C1A7FA" w14:textId="77777777" w:rsidR="00EB7EFA" w:rsidRPr="002B55E9" w:rsidRDefault="00EB7EFA" w:rsidP="00AE5254">
            <w:pPr>
              <w:jc w:val="center"/>
              <w:rPr>
                <w:sz w:val="18"/>
                <w:szCs w:val="18"/>
              </w:rPr>
            </w:pPr>
            <w:r w:rsidRPr="002B55E9">
              <w:rPr>
                <w:rFonts w:hint="eastAsia"/>
                <w:sz w:val="18"/>
                <w:szCs w:val="18"/>
              </w:rPr>
              <w:t>破碎</w:t>
            </w:r>
            <w:r w:rsidRPr="002B55E9">
              <w:rPr>
                <w:sz w:val="18"/>
                <w:szCs w:val="18"/>
              </w:rPr>
              <w:t>粉尘</w:t>
            </w:r>
            <w:r w:rsidRPr="002B55E9">
              <w:rPr>
                <w:rFonts w:hint="eastAsia"/>
                <w:sz w:val="18"/>
                <w:szCs w:val="18"/>
              </w:rPr>
              <w:t>排气筒</w:t>
            </w:r>
          </w:p>
        </w:tc>
        <w:tc>
          <w:tcPr>
            <w:tcW w:w="1124" w:type="dxa"/>
            <w:vAlign w:val="center"/>
          </w:tcPr>
          <w:p w14:paraId="685606AC" w14:textId="77777777" w:rsidR="00EB7EFA" w:rsidRPr="002B55E9" w:rsidRDefault="00EB7EFA" w:rsidP="00AE5254">
            <w:pPr>
              <w:jc w:val="center"/>
              <w:rPr>
                <w:sz w:val="18"/>
                <w:szCs w:val="18"/>
              </w:rPr>
            </w:pPr>
            <w:r w:rsidRPr="002B55E9">
              <w:rPr>
                <w:rFonts w:hint="eastAsia"/>
                <w:sz w:val="18"/>
                <w:szCs w:val="18"/>
              </w:rPr>
              <w:t>DA001</w:t>
            </w:r>
          </w:p>
        </w:tc>
        <w:tc>
          <w:tcPr>
            <w:tcW w:w="1638" w:type="dxa"/>
            <w:vAlign w:val="center"/>
          </w:tcPr>
          <w:p w14:paraId="474AE10E" w14:textId="77777777" w:rsidR="00EB7EFA" w:rsidRPr="002B55E9" w:rsidRDefault="00EB7EFA" w:rsidP="00AE5254">
            <w:pPr>
              <w:jc w:val="center"/>
              <w:rPr>
                <w:sz w:val="18"/>
                <w:szCs w:val="18"/>
              </w:rPr>
            </w:pPr>
            <w:r w:rsidRPr="002B55E9">
              <w:rPr>
                <w:sz w:val="18"/>
                <w:szCs w:val="18"/>
              </w:rPr>
              <w:t>PM10</w:t>
            </w:r>
          </w:p>
        </w:tc>
        <w:tc>
          <w:tcPr>
            <w:tcW w:w="1559" w:type="dxa"/>
            <w:vAlign w:val="center"/>
          </w:tcPr>
          <w:p w14:paraId="1EA8B77F" w14:textId="77777777" w:rsidR="00EB7EFA" w:rsidRPr="002B55E9" w:rsidRDefault="00EB7EFA" w:rsidP="00AE5254">
            <w:pPr>
              <w:jc w:val="center"/>
              <w:rPr>
                <w:sz w:val="18"/>
                <w:szCs w:val="18"/>
              </w:rPr>
            </w:pPr>
            <w:r w:rsidRPr="002B55E9">
              <w:rPr>
                <w:rFonts w:hint="eastAsia"/>
                <w:sz w:val="18"/>
                <w:szCs w:val="18"/>
              </w:rPr>
              <w:t>4</w:t>
            </w:r>
            <w:r w:rsidRPr="002B55E9">
              <w:rPr>
                <w:sz w:val="18"/>
                <w:szCs w:val="18"/>
              </w:rPr>
              <w:t>50</w:t>
            </w:r>
          </w:p>
        </w:tc>
        <w:tc>
          <w:tcPr>
            <w:tcW w:w="1278" w:type="dxa"/>
            <w:vAlign w:val="center"/>
          </w:tcPr>
          <w:p w14:paraId="49943BB5" w14:textId="77777777" w:rsidR="00EB7EFA" w:rsidRPr="002B55E9" w:rsidRDefault="00EB7EFA" w:rsidP="00AE5254">
            <w:pPr>
              <w:jc w:val="center"/>
              <w:rPr>
                <w:sz w:val="18"/>
                <w:szCs w:val="18"/>
              </w:rPr>
            </w:pPr>
            <w:r w:rsidRPr="002B55E9">
              <w:rPr>
                <w:sz w:val="18"/>
                <w:szCs w:val="18"/>
              </w:rPr>
              <w:t>1.10E-03</w:t>
            </w:r>
          </w:p>
        </w:tc>
        <w:tc>
          <w:tcPr>
            <w:tcW w:w="1135" w:type="dxa"/>
            <w:vAlign w:val="center"/>
          </w:tcPr>
          <w:p w14:paraId="56C36DE9" w14:textId="77777777" w:rsidR="00EB7EFA" w:rsidRPr="002B55E9" w:rsidRDefault="00EB7EFA" w:rsidP="00AE5254">
            <w:pPr>
              <w:jc w:val="center"/>
              <w:rPr>
                <w:rFonts w:eastAsia="等线"/>
                <w:sz w:val="18"/>
                <w:szCs w:val="18"/>
              </w:rPr>
            </w:pPr>
            <w:r w:rsidRPr="002B55E9">
              <w:rPr>
                <w:rFonts w:eastAsia="等线"/>
                <w:sz w:val="18"/>
                <w:szCs w:val="18"/>
              </w:rPr>
              <w:t>0.24</w:t>
            </w:r>
          </w:p>
        </w:tc>
        <w:tc>
          <w:tcPr>
            <w:tcW w:w="1270" w:type="dxa"/>
            <w:vAlign w:val="center"/>
          </w:tcPr>
          <w:p w14:paraId="225C77B6"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27F44EE9" w14:textId="77777777" w:rsidTr="00AE5254">
        <w:trPr>
          <w:trHeight w:val="284"/>
        </w:trPr>
        <w:tc>
          <w:tcPr>
            <w:tcW w:w="1633" w:type="dxa"/>
            <w:vAlign w:val="center"/>
          </w:tcPr>
          <w:p w14:paraId="712744F6" w14:textId="77777777" w:rsidR="00EB7EFA" w:rsidRPr="002B55E9" w:rsidRDefault="00EB7EFA" w:rsidP="00AE5254">
            <w:pPr>
              <w:jc w:val="center"/>
              <w:rPr>
                <w:sz w:val="18"/>
                <w:szCs w:val="18"/>
              </w:rPr>
            </w:pPr>
            <w:r w:rsidRPr="002B55E9">
              <w:rPr>
                <w:rFonts w:hint="eastAsia"/>
                <w:sz w:val="18"/>
                <w:szCs w:val="18"/>
              </w:rPr>
              <w:t>工艺</w:t>
            </w:r>
            <w:r w:rsidRPr="002B55E9">
              <w:rPr>
                <w:sz w:val="18"/>
                <w:szCs w:val="18"/>
              </w:rPr>
              <w:t>废气排气筒</w:t>
            </w:r>
          </w:p>
        </w:tc>
        <w:tc>
          <w:tcPr>
            <w:tcW w:w="1124" w:type="dxa"/>
            <w:vAlign w:val="center"/>
          </w:tcPr>
          <w:p w14:paraId="0A8D95FE" w14:textId="77777777" w:rsidR="00EB7EFA" w:rsidRPr="002B55E9" w:rsidRDefault="00EB7EFA" w:rsidP="00AE5254">
            <w:pPr>
              <w:jc w:val="center"/>
              <w:rPr>
                <w:sz w:val="18"/>
                <w:szCs w:val="18"/>
              </w:rPr>
            </w:pPr>
            <w:r w:rsidRPr="002B55E9">
              <w:rPr>
                <w:rFonts w:hint="eastAsia"/>
                <w:sz w:val="18"/>
                <w:szCs w:val="18"/>
              </w:rPr>
              <w:t>DA00</w:t>
            </w:r>
            <w:r w:rsidRPr="002B55E9">
              <w:rPr>
                <w:sz w:val="18"/>
                <w:szCs w:val="18"/>
              </w:rPr>
              <w:t>2</w:t>
            </w:r>
          </w:p>
        </w:tc>
        <w:tc>
          <w:tcPr>
            <w:tcW w:w="1638" w:type="dxa"/>
            <w:vAlign w:val="center"/>
          </w:tcPr>
          <w:p w14:paraId="74BFF83A" w14:textId="77777777" w:rsidR="00EB7EFA" w:rsidRPr="002B55E9" w:rsidRDefault="00EB7EFA" w:rsidP="00AE5254">
            <w:pPr>
              <w:jc w:val="center"/>
              <w:rPr>
                <w:sz w:val="18"/>
                <w:szCs w:val="18"/>
              </w:rPr>
            </w:pPr>
            <w:r w:rsidRPr="002B55E9">
              <w:rPr>
                <w:rFonts w:hint="eastAsia"/>
                <w:sz w:val="18"/>
                <w:szCs w:val="18"/>
              </w:rPr>
              <w:t>总挥发性有机物</w:t>
            </w:r>
          </w:p>
        </w:tc>
        <w:tc>
          <w:tcPr>
            <w:tcW w:w="1559" w:type="dxa"/>
            <w:vAlign w:val="center"/>
          </w:tcPr>
          <w:p w14:paraId="03A2C9CD" w14:textId="77777777" w:rsidR="00EB7EFA" w:rsidRPr="002B55E9" w:rsidRDefault="00EB7EFA" w:rsidP="00AE5254">
            <w:pPr>
              <w:jc w:val="center"/>
              <w:rPr>
                <w:sz w:val="18"/>
                <w:szCs w:val="18"/>
              </w:rPr>
            </w:pPr>
            <w:r w:rsidRPr="002B55E9">
              <w:rPr>
                <w:rFonts w:hint="eastAsia"/>
                <w:sz w:val="18"/>
                <w:szCs w:val="18"/>
              </w:rPr>
              <w:t>1200</w:t>
            </w:r>
          </w:p>
        </w:tc>
        <w:tc>
          <w:tcPr>
            <w:tcW w:w="1278" w:type="dxa"/>
            <w:vAlign w:val="center"/>
          </w:tcPr>
          <w:p w14:paraId="17247359" w14:textId="77777777" w:rsidR="00EB7EFA" w:rsidRPr="002B55E9" w:rsidRDefault="00EB7EFA" w:rsidP="00AE5254">
            <w:pPr>
              <w:jc w:val="center"/>
              <w:rPr>
                <w:sz w:val="18"/>
                <w:szCs w:val="18"/>
              </w:rPr>
            </w:pPr>
            <w:r w:rsidRPr="002B55E9">
              <w:rPr>
                <w:sz w:val="18"/>
                <w:szCs w:val="18"/>
              </w:rPr>
              <w:t>7.77E-03</w:t>
            </w:r>
          </w:p>
        </w:tc>
        <w:tc>
          <w:tcPr>
            <w:tcW w:w="1135" w:type="dxa"/>
            <w:vAlign w:val="center"/>
          </w:tcPr>
          <w:p w14:paraId="6C69E7CF" w14:textId="77777777" w:rsidR="00EB7EFA" w:rsidRPr="002B55E9" w:rsidRDefault="00EB7EFA" w:rsidP="00AE5254">
            <w:pPr>
              <w:jc w:val="center"/>
              <w:rPr>
                <w:rFonts w:eastAsia="等线"/>
                <w:sz w:val="18"/>
                <w:szCs w:val="18"/>
              </w:rPr>
            </w:pPr>
            <w:r w:rsidRPr="002B55E9">
              <w:rPr>
                <w:rFonts w:eastAsia="等线"/>
                <w:sz w:val="18"/>
                <w:szCs w:val="18"/>
              </w:rPr>
              <w:t>0.65</w:t>
            </w:r>
          </w:p>
        </w:tc>
        <w:tc>
          <w:tcPr>
            <w:tcW w:w="1270" w:type="dxa"/>
            <w:vAlign w:val="center"/>
          </w:tcPr>
          <w:p w14:paraId="35EEDF2B" w14:textId="6867B775" w:rsidR="00EB7EFA" w:rsidRPr="002B55E9" w:rsidRDefault="006E72EB" w:rsidP="00AE5254">
            <w:pPr>
              <w:jc w:val="center"/>
              <w:rPr>
                <w:sz w:val="18"/>
                <w:szCs w:val="18"/>
              </w:rPr>
            </w:pPr>
            <w:r w:rsidRPr="002B55E9">
              <w:rPr>
                <w:rFonts w:hint="eastAsia"/>
                <w:sz w:val="18"/>
                <w:szCs w:val="18"/>
              </w:rPr>
              <w:t>/</w:t>
            </w:r>
          </w:p>
        </w:tc>
      </w:tr>
      <w:tr w:rsidR="002B55E9" w:rsidRPr="002B55E9" w14:paraId="4D53365A" w14:textId="77777777" w:rsidTr="00AE5254">
        <w:trPr>
          <w:trHeight w:val="284"/>
        </w:trPr>
        <w:tc>
          <w:tcPr>
            <w:tcW w:w="1633" w:type="dxa"/>
            <w:vMerge w:val="restart"/>
            <w:vAlign w:val="center"/>
          </w:tcPr>
          <w:p w14:paraId="628415C3" w14:textId="77777777" w:rsidR="00EB7EFA" w:rsidRPr="002B55E9" w:rsidRDefault="00EB7EFA" w:rsidP="00AE5254">
            <w:pPr>
              <w:jc w:val="center"/>
              <w:rPr>
                <w:sz w:val="18"/>
                <w:szCs w:val="18"/>
              </w:rPr>
            </w:pPr>
            <w:r w:rsidRPr="002B55E9">
              <w:rPr>
                <w:rFonts w:hint="eastAsia"/>
                <w:sz w:val="18"/>
                <w:szCs w:val="18"/>
              </w:rPr>
              <w:t>化验室废气排气筒</w:t>
            </w:r>
          </w:p>
        </w:tc>
        <w:tc>
          <w:tcPr>
            <w:tcW w:w="1124" w:type="dxa"/>
            <w:vMerge w:val="restart"/>
            <w:vAlign w:val="center"/>
          </w:tcPr>
          <w:p w14:paraId="0043C0DF" w14:textId="77777777" w:rsidR="00EB7EFA" w:rsidRPr="002B55E9" w:rsidRDefault="00EB7EFA" w:rsidP="00AE5254">
            <w:pPr>
              <w:jc w:val="center"/>
              <w:rPr>
                <w:sz w:val="18"/>
                <w:szCs w:val="18"/>
              </w:rPr>
            </w:pPr>
            <w:r w:rsidRPr="002B55E9">
              <w:rPr>
                <w:rFonts w:hint="eastAsia"/>
                <w:sz w:val="18"/>
                <w:szCs w:val="18"/>
              </w:rPr>
              <w:t>DA00</w:t>
            </w:r>
            <w:r w:rsidRPr="002B55E9">
              <w:rPr>
                <w:sz w:val="18"/>
                <w:szCs w:val="18"/>
              </w:rPr>
              <w:t>3</w:t>
            </w:r>
          </w:p>
        </w:tc>
        <w:tc>
          <w:tcPr>
            <w:tcW w:w="1638" w:type="dxa"/>
            <w:vAlign w:val="center"/>
          </w:tcPr>
          <w:p w14:paraId="424AD51F" w14:textId="77777777" w:rsidR="00EB7EFA" w:rsidRPr="002B55E9" w:rsidRDefault="00EB7EFA" w:rsidP="00AE5254">
            <w:pPr>
              <w:jc w:val="center"/>
              <w:rPr>
                <w:sz w:val="18"/>
                <w:szCs w:val="18"/>
              </w:rPr>
            </w:pPr>
            <w:r w:rsidRPr="002B55E9">
              <w:rPr>
                <w:rFonts w:hint="eastAsia"/>
                <w:sz w:val="18"/>
                <w:szCs w:val="18"/>
              </w:rPr>
              <w:t>总挥发性有机物</w:t>
            </w:r>
          </w:p>
        </w:tc>
        <w:tc>
          <w:tcPr>
            <w:tcW w:w="1559" w:type="dxa"/>
            <w:vAlign w:val="center"/>
          </w:tcPr>
          <w:p w14:paraId="4BDEE340" w14:textId="77777777" w:rsidR="00EB7EFA" w:rsidRPr="002B55E9" w:rsidRDefault="00EB7EFA" w:rsidP="00AE5254">
            <w:pPr>
              <w:jc w:val="center"/>
              <w:rPr>
                <w:sz w:val="18"/>
                <w:szCs w:val="18"/>
              </w:rPr>
            </w:pPr>
            <w:r w:rsidRPr="002B55E9">
              <w:rPr>
                <w:rFonts w:hint="eastAsia"/>
                <w:sz w:val="18"/>
                <w:szCs w:val="18"/>
              </w:rPr>
              <w:t>1200</w:t>
            </w:r>
          </w:p>
        </w:tc>
        <w:tc>
          <w:tcPr>
            <w:tcW w:w="1278" w:type="dxa"/>
            <w:vAlign w:val="center"/>
          </w:tcPr>
          <w:p w14:paraId="40C0E012" w14:textId="77777777" w:rsidR="00EB7EFA" w:rsidRPr="002B55E9" w:rsidRDefault="00EB7EFA" w:rsidP="00AE5254">
            <w:pPr>
              <w:jc w:val="center"/>
              <w:rPr>
                <w:sz w:val="18"/>
                <w:szCs w:val="18"/>
              </w:rPr>
            </w:pPr>
            <w:r w:rsidRPr="002B55E9">
              <w:rPr>
                <w:sz w:val="18"/>
                <w:szCs w:val="18"/>
              </w:rPr>
              <w:t>1.04E-04</w:t>
            </w:r>
          </w:p>
        </w:tc>
        <w:tc>
          <w:tcPr>
            <w:tcW w:w="1135" w:type="dxa"/>
            <w:vAlign w:val="center"/>
          </w:tcPr>
          <w:p w14:paraId="4260F9DE"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.01</w:t>
            </w:r>
          </w:p>
        </w:tc>
        <w:tc>
          <w:tcPr>
            <w:tcW w:w="1270" w:type="dxa"/>
            <w:vAlign w:val="center"/>
          </w:tcPr>
          <w:p w14:paraId="1D5E7FA2"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5776E6BA" w14:textId="77777777" w:rsidTr="00AE5254">
        <w:trPr>
          <w:trHeight w:val="284"/>
        </w:trPr>
        <w:tc>
          <w:tcPr>
            <w:tcW w:w="1633" w:type="dxa"/>
            <w:vMerge/>
            <w:vAlign w:val="center"/>
          </w:tcPr>
          <w:p w14:paraId="0C5905FF" w14:textId="77777777" w:rsidR="00EB7EFA" w:rsidRPr="002B55E9" w:rsidRDefault="00EB7EFA" w:rsidP="00AE5254">
            <w:pPr>
              <w:jc w:val="center"/>
              <w:rPr>
                <w:sz w:val="18"/>
                <w:szCs w:val="18"/>
              </w:rPr>
            </w:pPr>
          </w:p>
        </w:tc>
        <w:tc>
          <w:tcPr>
            <w:tcW w:w="1124" w:type="dxa"/>
            <w:vMerge/>
            <w:vAlign w:val="center"/>
          </w:tcPr>
          <w:p w14:paraId="4E47BF4F" w14:textId="77777777" w:rsidR="00EB7EFA" w:rsidRPr="002B55E9" w:rsidRDefault="00EB7EFA" w:rsidP="00AE5254">
            <w:pPr>
              <w:jc w:val="center"/>
              <w:rPr>
                <w:sz w:val="18"/>
                <w:szCs w:val="18"/>
              </w:rPr>
            </w:pPr>
          </w:p>
        </w:tc>
        <w:tc>
          <w:tcPr>
            <w:tcW w:w="1638" w:type="dxa"/>
            <w:vAlign w:val="center"/>
          </w:tcPr>
          <w:p w14:paraId="318311F7" w14:textId="77777777" w:rsidR="00EB7EFA" w:rsidRPr="002B55E9" w:rsidRDefault="00EB7EFA" w:rsidP="00AE5254">
            <w:pPr>
              <w:jc w:val="center"/>
              <w:rPr>
                <w:sz w:val="18"/>
                <w:szCs w:val="18"/>
              </w:rPr>
            </w:pPr>
            <w:r w:rsidRPr="002B55E9">
              <w:rPr>
                <w:rFonts w:hint="eastAsia"/>
                <w:sz w:val="18"/>
                <w:szCs w:val="18"/>
              </w:rPr>
              <w:t>甲醛</w:t>
            </w:r>
          </w:p>
        </w:tc>
        <w:tc>
          <w:tcPr>
            <w:tcW w:w="1559" w:type="dxa"/>
            <w:vAlign w:val="center"/>
          </w:tcPr>
          <w:p w14:paraId="0C550986" w14:textId="77777777" w:rsidR="00EB7EFA" w:rsidRPr="002B55E9" w:rsidRDefault="00EB7EFA" w:rsidP="00AE5254">
            <w:pPr>
              <w:jc w:val="center"/>
              <w:rPr>
                <w:sz w:val="18"/>
                <w:szCs w:val="18"/>
              </w:rPr>
            </w:pPr>
            <w:r w:rsidRPr="002B55E9">
              <w:rPr>
                <w:rFonts w:hint="eastAsia"/>
                <w:sz w:val="18"/>
                <w:szCs w:val="18"/>
              </w:rPr>
              <w:t>50</w:t>
            </w:r>
          </w:p>
        </w:tc>
        <w:tc>
          <w:tcPr>
            <w:tcW w:w="1278" w:type="dxa"/>
            <w:vAlign w:val="center"/>
          </w:tcPr>
          <w:p w14:paraId="355B1686" w14:textId="77777777" w:rsidR="00EB7EFA" w:rsidRPr="002B55E9" w:rsidRDefault="00EB7EFA" w:rsidP="00AE5254">
            <w:pPr>
              <w:jc w:val="center"/>
              <w:rPr>
                <w:sz w:val="18"/>
                <w:szCs w:val="18"/>
              </w:rPr>
            </w:pPr>
            <w:r w:rsidRPr="002B55E9">
              <w:rPr>
                <w:sz w:val="18"/>
                <w:szCs w:val="18"/>
              </w:rPr>
              <w:t>6.26E-05</w:t>
            </w:r>
          </w:p>
        </w:tc>
        <w:tc>
          <w:tcPr>
            <w:tcW w:w="1135" w:type="dxa"/>
            <w:vAlign w:val="center"/>
          </w:tcPr>
          <w:p w14:paraId="027BD90B"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.13</w:t>
            </w:r>
          </w:p>
        </w:tc>
        <w:tc>
          <w:tcPr>
            <w:tcW w:w="1270" w:type="dxa"/>
            <w:vAlign w:val="center"/>
          </w:tcPr>
          <w:p w14:paraId="64421D9C"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38978642" w14:textId="77777777" w:rsidTr="00AE5254">
        <w:trPr>
          <w:trHeight w:val="284"/>
        </w:trPr>
        <w:tc>
          <w:tcPr>
            <w:tcW w:w="1633" w:type="dxa"/>
            <w:vMerge/>
            <w:vAlign w:val="center"/>
          </w:tcPr>
          <w:p w14:paraId="077E647C" w14:textId="77777777" w:rsidR="00EB7EFA" w:rsidRPr="002B55E9" w:rsidRDefault="00EB7EFA" w:rsidP="00AE5254">
            <w:pPr>
              <w:jc w:val="center"/>
              <w:rPr>
                <w:sz w:val="18"/>
                <w:szCs w:val="18"/>
              </w:rPr>
            </w:pPr>
          </w:p>
        </w:tc>
        <w:tc>
          <w:tcPr>
            <w:tcW w:w="1124" w:type="dxa"/>
            <w:vMerge/>
            <w:vAlign w:val="center"/>
          </w:tcPr>
          <w:p w14:paraId="16E1A6A4" w14:textId="77777777" w:rsidR="00EB7EFA" w:rsidRPr="002B55E9" w:rsidRDefault="00EB7EFA" w:rsidP="00AE5254">
            <w:pPr>
              <w:jc w:val="center"/>
              <w:rPr>
                <w:sz w:val="18"/>
                <w:szCs w:val="18"/>
              </w:rPr>
            </w:pPr>
          </w:p>
        </w:tc>
        <w:tc>
          <w:tcPr>
            <w:tcW w:w="1638" w:type="dxa"/>
            <w:vAlign w:val="center"/>
          </w:tcPr>
          <w:p w14:paraId="69C2A0E4" w14:textId="77777777" w:rsidR="00EB7EFA" w:rsidRPr="002B55E9" w:rsidRDefault="00EB7EFA" w:rsidP="00AE5254">
            <w:pPr>
              <w:jc w:val="center"/>
              <w:rPr>
                <w:sz w:val="18"/>
                <w:szCs w:val="18"/>
              </w:rPr>
            </w:pPr>
            <w:r w:rsidRPr="002B55E9">
              <w:rPr>
                <w:rFonts w:hint="eastAsia"/>
                <w:sz w:val="18"/>
                <w:szCs w:val="18"/>
              </w:rPr>
              <w:t>硫酸</w:t>
            </w:r>
          </w:p>
        </w:tc>
        <w:tc>
          <w:tcPr>
            <w:tcW w:w="1559" w:type="dxa"/>
            <w:vAlign w:val="center"/>
          </w:tcPr>
          <w:p w14:paraId="6AA33752" w14:textId="77777777" w:rsidR="00EB7EFA" w:rsidRPr="002B55E9" w:rsidRDefault="00EB7EFA" w:rsidP="00AE5254">
            <w:pPr>
              <w:jc w:val="center"/>
              <w:rPr>
                <w:sz w:val="18"/>
                <w:szCs w:val="18"/>
              </w:rPr>
            </w:pPr>
            <w:r w:rsidRPr="002B55E9">
              <w:rPr>
                <w:rFonts w:hint="eastAsia"/>
                <w:sz w:val="18"/>
                <w:szCs w:val="18"/>
              </w:rPr>
              <w:t>300</w:t>
            </w:r>
          </w:p>
        </w:tc>
        <w:tc>
          <w:tcPr>
            <w:tcW w:w="1278" w:type="dxa"/>
            <w:vAlign w:val="center"/>
          </w:tcPr>
          <w:p w14:paraId="128E4598" w14:textId="77777777" w:rsidR="00EB7EFA" w:rsidRPr="002B55E9" w:rsidRDefault="00EB7EFA" w:rsidP="00AE5254">
            <w:pPr>
              <w:jc w:val="center"/>
              <w:rPr>
                <w:sz w:val="18"/>
                <w:szCs w:val="18"/>
              </w:rPr>
            </w:pPr>
            <w:r w:rsidRPr="002B55E9">
              <w:rPr>
                <w:sz w:val="18"/>
                <w:szCs w:val="18"/>
              </w:rPr>
              <w:t>2.29E-04</w:t>
            </w:r>
          </w:p>
        </w:tc>
        <w:tc>
          <w:tcPr>
            <w:tcW w:w="1135" w:type="dxa"/>
            <w:vAlign w:val="center"/>
          </w:tcPr>
          <w:p w14:paraId="771094E8" w14:textId="77777777" w:rsidR="00EB7EFA" w:rsidRPr="002B55E9" w:rsidRDefault="00EB7EFA" w:rsidP="00AE5254">
            <w:pPr>
              <w:jc w:val="center"/>
              <w:rPr>
                <w:rFonts w:eastAsia="等线"/>
                <w:sz w:val="18"/>
                <w:szCs w:val="18"/>
              </w:rPr>
            </w:pPr>
            <w:r w:rsidRPr="002B55E9">
              <w:rPr>
                <w:rFonts w:eastAsia="等线"/>
                <w:sz w:val="18"/>
                <w:szCs w:val="18"/>
              </w:rPr>
              <w:t>0.08</w:t>
            </w:r>
          </w:p>
        </w:tc>
        <w:tc>
          <w:tcPr>
            <w:tcW w:w="1270" w:type="dxa"/>
            <w:vAlign w:val="center"/>
          </w:tcPr>
          <w:p w14:paraId="522D8D6E"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04C21646" w14:textId="77777777" w:rsidTr="00AE5254">
        <w:trPr>
          <w:trHeight w:val="284"/>
        </w:trPr>
        <w:tc>
          <w:tcPr>
            <w:tcW w:w="1633" w:type="dxa"/>
            <w:vMerge/>
            <w:vAlign w:val="center"/>
          </w:tcPr>
          <w:p w14:paraId="28066EE4" w14:textId="77777777" w:rsidR="00EB7EFA" w:rsidRPr="002B55E9" w:rsidRDefault="00EB7EFA" w:rsidP="00AE5254">
            <w:pPr>
              <w:jc w:val="center"/>
              <w:rPr>
                <w:sz w:val="18"/>
                <w:szCs w:val="18"/>
              </w:rPr>
            </w:pPr>
          </w:p>
        </w:tc>
        <w:tc>
          <w:tcPr>
            <w:tcW w:w="1124" w:type="dxa"/>
            <w:vMerge/>
            <w:vAlign w:val="center"/>
          </w:tcPr>
          <w:p w14:paraId="19D8DD4C" w14:textId="77777777" w:rsidR="00EB7EFA" w:rsidRPr="002B55E9" w:rsidRDefault="00EB7EFA" w:rsidP="00AE5254">
            <w:pPr>
              <w:jc w:val="center"/>
              <w:rPr>
                <w:sz w:val="18"/>
                <w:szCs w:val="18"/>
              </w:rPr>
            </w:pPr>
          </w:p>
        </w:tc>
        <w:tc>
          <w:tcPr>
            <w:tcW w:w="1638" w:type="dxa"/>
            <w:vAlign w:val="center"/>
          </w:tcPr>
          <w:p w14:paraId="2FAE767D" w14:textId="77777777" w:rsidR="00EB7EFA" w:rsidRPr="002B55E9" w:rsidRDefault="00EB7EFA" w:rsidP="00AE5254">
            <w:pPr>
              <w:jc w:val="center"/>
              <w:rPr>
                <w:sz w:val="18"/>
                <w:szCs w:val="18"/>
              </w:rPr>
            </w:pPr>
            <w:r w:rsidRPr="002B55E9">
              <w:rPr>
                <w:rFonts w:hint="eastAsia"/>
                <w:sz w:val="18"/>
                <w:szCs w:val="18"/>
              </w:rPr>
              <w:t>氯化氢</w:t>
            </w:r>
          </w:p>
        </w:tc>
        <w:tc>
          <w:tcPr>
            <w:tcW w:w="1559" w:type="dxa"/>
            <w:vAlign w:val="center"/>
          </w:tcPr>
          <w:p w14:paraId="530476FF" w14:textId="77777777" w:rsidR="00EB7EFA" w:rsidRPr="002B55E9" w:rsidRDefault="00EB7EFA" w:rsidP="00AE5254">
            <w:pPr>
              <w:jc w:val="center"/>
              <w:rPr>
                <w:sz w:val="18"/>
                <w:szCs w:val="18"/>
              </w:rPr>
            </w:pPr>
            <w:r w:rsidRPr="002B55E9">
              <w:rPr>
                <w:rFonts w:hint="eastAsia"/>
                <w:sz w:val="18"/>
                <w:szCs w:val="18"/>
              </w:rPr>
              <w:t>50</w:t>
            </w:r>
          </w:p>
        </w:tc>
        <w:tc>
          <w:tcPr>
            <w:tcW w:w="1278" w:type="dxa"/>
            <w:vAlign w:val="center"/>
          </w:tcPr>
          <w:p w14:paraId="6D55E974" w14:textId="77777777" w:rsidR="00EB7EFA" w:rsidRPr="002B55E9" w:rsidRDefault="00EB7EFA" w:rsidP="00AE5254">
            <w:pPr>
              <w:jc w:val="center"/>
              <w:rPr>
                <w:sz w:val="18"/>
                <w:szCs w:val="18"/>
              </w:rPr>
            </w:pPr>
            <w:r w:rsidRPr="002B55E9">
              <w:rPr>
                <w:sz w:val="18"/>
                <w:szCs w:val="18"/>
              </w:rPr>
              <w:t>4.51E-07</w:t>
            </w:r>
          </w:p>
        </w:tc>
        <w:tc>
          <w:tcPr>
            <w:tcW w:w="1135" w:type="dxa"/>
            <w:vAlign w:val="center"/>
          </w:tcPr>
          <w:p w14:paraId="13E9F8A9" w14:textId="77777777" w:rsidR="00EB7EFA" w:rsidRPr="002B55E9" w:rsidRDefault="00EB7EFA" w:rsidP="00AE5254">
            <w:pPr>
              <w:jc w:val="center"/>
              <w:rPr>
                <w:rFonts w:eastAsia="等线"/>
                <w:sz w:val="18"/>
                <w:szCs w:val="18"/>
              </w:rPr>
            </w:pPr>
            <w:r w:rsidRPr="002B55E9">
              <w:rPr>
                <w:rFonts w:eastAsia="等线" w:hint="eastAsia"/>
                <w:sz w:val="18"/>
                <w:szCs w:val="18"/>
              </w:rPr>
              <w:t>0</w:t>
            </w:r>
          </w:p>
        </w:tc>
        <w:tc>
          <w:tcPr>
            <w:tcW w:w="1270" w:type="dxa"/>
            <w:vAlign w:val="center"/>
          </w:tcPr>
          <w:p w14:paraId="11F52611"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11647D35" w14:textId="77777777" w:rsidTr="00AE5254">
        <w:trPr>
          <w:trHeight w:val="284"/>
        </w:trPr>
        <w:tc>
          <w:tcPr>
            <w:tcW w:w="1633" w:type="dxa"/>
            <w:vMerge w:val="restart"/>
            <w:vAlign w:val="center"/>
          </w:tcPr>
          <w:p w14:paraId="24DD2278" w14:textId="77777777" w:rsidR="00EB7EFA" w:rsidRPr="002B55E9" w:rsidRDefault="00EB7EFA" w:rsidP="00AE5254">
            <w:pPr>
              <w:jc w:val="center"/>
              <w:rPr>
                <w:sz w:val="18"/>
                <w:szCs w:val="18"/>
              </w:rPr>
            </w:pPr>
            <w:r w:rsidRPr="002B55E9">
              <w:rPr>
                <w:rFonts w:hint="eastAsia"/>
                <w:sz w:val="18"/>
                <w:szCs w:val="18"/>
              </w:rPr>
              <w:t>十一</w:t>
            </w:r>
            <w:r w:rsidRPr="002B55E9">
              <w:rPr>
                <w:sz w:val="18"/>
                <w:szCs w:val="18"/>
              </w:rPr>
              <w:t>车间面源</w:t>
            </w:r>
          </w:p>
        </w:tc>
        <w:tc>
          <w:tcPr>
            <w:tcW w:w="1124" w:type="dxa"/>
            <w:vMerge w:val="restart"/>
            <w:vAlign w:val="center"/>
          </w:tcPr>
          <w:p w14:paraId="5280216C" w14:textId="77777777" w:rsidR="00EB7EFA" w:rsidRPr="002B55E9" w:rsidRDefault="00EB7EFA" w:rsidP="00AE5254">
            <w:pPr>
              <w:jc w:val="center"/>
              <w:rPr>
                <w:sz w:val="18"/>
                <w:szCs w:val="18"/>
              </w:rPr>
            </w:pPr>
            <w:r w:rsidRPr="002B55E9">
              <w:rPr>
                <w:rFonts w:hint="eastAsia"/>
                <w:sz w:val="18"/>
                <w:szCs w:val="18"/>
              </w:rPr>
              <w:t>/</w:t>
            </w:r>
          </w:p>
        </w:tc>
        <w:tc>
          <w:tcPr>
            <w:tcW w:w="1638" w:type="dxa"/>
            <w:vAlign w:val="center"/>
          </w:tcPr>
          <w:p w14:paraId="188EFF2F" w14:textId="77777777" w:rsidR="00EB7EFA" w:rsidRPr="002B55E9" w:rsidRDefault="00EB7EFA" w:rsidP="00AE5254">
            <w:pPr>
              <w:jc w:val="center"/>
              <w:rPr>
                <w:sz w:val="18"/>
                <w:szCs w:val="18"/>
              </w:rPr>
            </w:pPr>
            <w:r w:rsidRPr="002B55E9">
              <w:rPr>
                <w:rFonts w:hint="eastAsia"/>
                <w:sz w:val="18"/>
                <w:szCs w:val="18"/>
              </w:rPr>
              <w:t>总挥发性有机物</w:t>
            </w:r>
          </w:p>
        </w:tc>
        <w:tc>
          <w:tcPr>
            <w:tcW w:w="1559" w:type="dxa"/>
            <w:vAlign w:val="center"/>
          </w:tcPr>
          <w:p w14:paraId="40E06479" w14:textId="77777777" w:rsidR="00EB7EFA" w:rsidRPr="002B55E9" w:rsidRDefault="00EB7EFA" w:rsidP="00AE5254">
            <w:pPr>
              <w:jc w:val="center"/>
              <w:rPr>
                <w:sz w:val="18"/>
                <w:szCs w:val="18"/>
              </w:rPr>
            </w:pPr>
            <w:r w:rsidRPr="002B55E9">
              <w:rPr>
                <w:rFonts w:hint="eastAsia"/>
                <w:sz w:val="18"/>
                <w:szCs w:val="18"/>
              </w:rPr>
              <w:t>1200</w:t>
            </w:r>
          </w:p>
        </w:tc>
        <w:tc>
          <w:tcPr>
            <w:tcW w:w="1278" w:type="dxa"/>
            <w:vAlign w:val="center"/>
          </w:tcPr>
          <w:p w14:paraId="7B7B4AD9" w14:textId="77777777" w:rsidR="00EB7EFA" w:rsidRPr="002B55E9" w:rsidRDefault="00EB7EFA" w:rsidP="00AE5254">
            <w:pPr>
              <w:jc w:val="center"/>
              <w:rPr>
                <w:sz w:val="18"/>
                <w:szCs w:val="18"/>
              </w:rPr>
            </w:pPr>
            <w:r w:rsidRPr="002B55E9">
              <w:rPr>
                <w:sz w:val="18"/>
                <w:szCs w:val="18"/>
              </w:rPr>
              <w:t>3.74E-03</w:t>
            </w:r>
          </w:p>
        </w:tc>
        <w:tc>
          <w:tcPr>
            <w:tcW w:w="1135" w:type="dxa"/>
            <w:vAlign w:val="center"/>
          </w:tcPr>
          <w:p w14:paraId="43F35F51" w14:textId="77777777" w:rsidR="00EB7EFA" w:rsidRPr="002B55E9" w:rsidRDefault="00EB7EFA" w:rsidP="00AE5254">
            <w:pPr>
              <w:jc w:val="center"/>
              <w:rPr>
                <w:rFonts w:eastAsia="等线"/>
                <w:sz w:val="18"/>
                <w:szCs w:val="18"/>
              </w:rPr>
            </w:pPr>
            <w:r w:rsidRPr="002B55E9">
              <w:rPr>
                <w:rFonts w:eastAsia="等线"/>
                <w:sz w:val="18"/>
                <w:szCs w:val="18"/>
              </w:rPr>
              <w:t>0.31</w:t>
            </w:r>
          </w:p>
        </w:tc>
        <w:tc>
          <w:tcPr>
            <w:tcW w:w="1270" w:type="dxa"/>
            <w:vAlign w:val="center"/>
          </w:tcPr>
          <w:p w14:paraId="6A9C8342"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1CF548E6" w14:textId="77777777" w:rsidTr="00AE5254">
        <w:trPr>
          <w:trHeight w:val="284"/>
        </w:trPr>
        <w:tc>
          <w:tcPr>
            <w:tcW w:w="1633" w:type="dxa"/>
            <w:vMerge/>
            <w:vAlign w:val="center"/>
          </w:tcPr>
          <w:p w14:paraId="572401E4" w14:textId="77777777" w:rsidR="00EB7EFA" w:rsidRPr="002B55E9" w:rsidRDefault="00EB7EFA" w:rsidP="00AE5254">
            <w:pPr>
              <w:jc w:val="center"/>
              <w:rPr>
                <w:sz w:val="18"/>
                <w:szCs w:val="18"/>
              </w:rPr>
            </w:pPr>
          </w:p>
        </w:tc>
        <w:tc>
          <w:tcPr>
            <w:tcW w:w="1124" w:type="dxa"/>
            <w:vMerge/>
            <w:vAlign w:val="center"/>
          </w:tcPr>
          <w:p w14:paraId="1B69650B" w14:textId="77777777" w:rsidR="00EB7EFA" w:rsidRPr="002B55E9" w:rsidRDefault="00EB7EFA" w:rsidP="00AE5254">
            <w:pPr>
              <w:jc w:val="center"/>
              <w:rPr>
                <w:sz w:val="18"/>
                <w:szCs w:val="18"/>
              </w:rPr>
            </w:pPr>
          </w:p>
        </w:tc>
        <w:tc>
          <w:tcPr>
            <w:tcW w:w="1638" w:type="dxa"/>
            <w:vAlign w:val="center"/>
          </w:tcPr>
          <w:p w14:paraId="355608F9" w14:textId="77777777" w:rsidR="00EB7EFA" w:rsidRPr="002B55E9" w:rsidRDefault="00EB7EFA" w:rsidP="00AE5254">
            <w:pPr>
              <w:jc w:val="center"/>
              <w:rPr>
                <w:sz w:val="18"/>
                <w:szCs w:val="18"/>
              </w:rPr>
            </w:pPr>
            <w:r w:rsidRPr="002B55E9">
              <w:rPr>
                <w:rFonts w:hint="eastAsia"/>
                <w:sz w:val="18"/>
                <w:szCs w:val="18"/>
              </w:rPr>
              <w:t>甲醛</w:t>
            </w:r>
          </w:p>
        </w:tc>
        <w:tc>
          <w:tcPr>
            <w:tcW w:w="1559" w:type="dxa"/>
            <w:vAlign w:val="center"/>
          </w:tcPr>
          <w:p w14:paraId="40A31837" w14:textId="77777777" w:rsidR="00EB7EFA" w:rsidRPr="002B55E9" w:rsidRDefault="00EB7EFA" w:rsidP="00AE5254">
            <w:pPr>
              <w:jc w:val="center"/>
              <w:rPr>
                <w:sz w:val="18"/>
                <w:szCs w:val="18"/>
              </w:rPr>
            </w:pPr>
            <w:r w:rsidRPr="002B55E9">
              <w:rPr>
                <w:rFonts w:hint="eastAsia"/>
                <w:sz w:val="18"/>
                <w:szCs w:val="18"/>
              </w:rPr>
              <w:t>50</w:t>
            </w:r>
          </w:p>
        </w:tc>
        <w:tc>
          <w:tcPr>
            <w:tcW w:w="1278" w:type="dxa"/>
            <w:vAlign w:val="center"/>
          </w:tcPr>
          <w:p w14:paraId="4BE4D510" w14:textId="77777777" w:rsidR="00EB7EFA" w:rsidRPr="002B55E9" w:rsidRDefault="00EB7EFA" w:rsidP="00AE5254">
            <w:pPr>
              <w:jc w:val="center"/>
              <w:rPr>
                <w:sz w:val="18"/>
                <w:szCs w:val="18"/>
              </w:rPr>
            </w:pPr>
            <w:r w:rsidRPr="002B55E9">
              <w:rPr>
                <w:sz w:val="18"/>
                <w:szCs w:val="18"/>
              </w:rPr>
              <w:t>1.68E-05</w:t>
            </w:r>
          </w:p>
        </w:tc>
        <w:tc>
          <w:tcPr>
            <w:tcW w:w="1135" w:type="dxa"/>
            <w:vAlign w:val="center"/>
          </w:tcPr>
          <w:p w14:paraId="24CEB3E9"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.03</w:t>
            </w:r>
          </w:p>
        </w:tc>
        <w:tc>
          <w:tcPr>
            <w:tcW w:w="1270" w:type="dxa"/>
            <w:vAlign w:val="center"/>
          </w:tcPr>
          <w:p w14:paraId="28D8B71B"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3D2EAF64" w14:textId="77777777" w:rsidTr="00AE5254">
        <w:trPr>
          <w:trHeight w:val="284"/>
        </w:trPr>
        <w:tc>
          <w:tcPr>
            <w:tcW w:w="1633" w:type="dxa"/>
            <w:vMerge/>
            <w:vAlign w:val="center"/>
          </w:tcPr>
          <w:p w14:paraId="08FA5AFA" w14:textId="77777777" w:rsidR="00EB7EFA" w:rsidRPr="002B55E9" w:rsidRDefault="00EB7EFA" w:rsidP="00AE5254">
            <w:pPr>
              <w:jc w:val="center"/>
              <w:rPr>
                <w:sz w:val="18"/>
                <w:szCs w:val="18"/>
              </w:rPr>
            </w:pPr>
          </w:p>
        </w:tc>
        <w:tc>
          <w:tcPr>
            <w:tcW w:w="1124" w:type="dxa"/>
            <w:vMerge/>
            <w:vAlign w:val="center"/>
          </w:tcPr>
          <w:p w14:paraId="0780DDE0" w14:textId="77777777" w:rsidR="00EB7EFA" w:rsidRPr="002B55E9" w:rsidRDefault="00EB7EFA" w:rsidP="00AE5254">
            <w:pPr>
              <w:jc w:val="center"/>
              <w:rPr>
                <w:sz w:val="18"/>
                <w:szCs w:val="18"/>
              </w:rPr>
            </w:pPr>
          </w:p>
        </w:tc>
        <w:tc>
          <w:tcPr>
            <w:tcW w:w="1638" w:type="dxa"/>
            <w:vAlign w:val="center"/>
          </w:tcPr>
          <w:p w14:paraId="75CC7E90" w14:textId="77777777" w:rsidR="00EB7EFA" w:rsidRPr="002B55E9" w:rsidRDefault="00EB7EFA" w:rsidP="00AE5254">
            <w:pPr>
              <w:jc w:val="center"/>
              <w:rPr>
                <w:sz w:val="18"/>
                <w:szCs w:val="18"/>
              </w:rPr>
            </w:pPr>
            <w:r w:rsidRPr="002B55E9">
              <w:rPr>
                <w:rFonts w:hint="eastAsia"/>
                <w:sz w:val="18"/>
                <w:szCs w:val="18"/>
              </w:rPr>
              <w:t>硫酸</w:t>
            </w:r>
          </w:p>
        </w:tc>
        <w:tc>
          <w:tcPr>
            <w:tcW w:w="1559" w:type="dxa"/>
            <w:vAlign w:val="center"/>
          </w:tcPr>
          <w:p w14:paraId="41205040" w14:textId="77777777" w:rsidR="00EB7EFA" w:rsidRPr="002B55E9" w:rsidRDefault="00EB7EFA" w:rsidP="00AE5254">
            <w:pPr>
              <w:jc w:val="center"/>
              <w:rPr>
                <w:sz w:val="18"/>
                <w:szCs w:val="18"/>
              </w:rPr>
            </w:pPr>
            <w:r w:rsidRPr="002B55E9">
              <w:rPr>
                <w:rFonts w:hint="eastAsia"/>
                <w:sz w:val="18"/>
                <w:szCs w:val="18"/>
              </w:rPr>
              <w:t>300</w:t>
            </w:r>
          </w:p>
        </w:tc>
        <w:tc>
          <w:tcPr>
            <w:tcW w:w="1278" w:type="dxa"/>
            <w:vAlign w:val="center"/>
          </w:tcPr>
          <w:p w14:paraId="0FB37D7F" w14:textId="77777777" w:rsidR="00EB7EFA" w:rsidRPr="002B55E9" w:rsidRDefault="00EB7EFA" w:rsidP="00AE5254">
            <w:pPr>
              <w:jc w:val="center"/>
              <w:rPr>
                <w:sz w:val="18"/>
                <w:szCs w:val="18"/>
              </w:rPr>
            </w:pPr>
            <w:r w:rsidRPr="002B55E9">
              <w:rPr>
                <w:sz w:val="18"/>
                <w:szCs w:val="18"/>
              </w:rPr>
              <w:t>3.79E-05</w:t>
            </w:r>
          </w:p>
        </w:tc>
        <w:tc>
          <w:tcPr>
            <w:tcW w:w="1135" w:type="dxa"/>
            <w:vAlign w:val="center"/>
          </w:tcPr>
          <w:p w14:paraId="73E2273B"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.01</w:t>
            </w:r>
          </w:p>
        </w:tc>
        <w:tc>
          <w:tcPr>
            <w:tcW w:w="1270" w:type="dxa"/>
            <w:vAlign w:val="center"/>
          </w:tcPr>
          <w:p w14:paraId="4608082E"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79BF673E" w14:textId="77777777" w:rsidTr="00AE5254">
        <w:trPr>
          <w:trHeight w:val="284"/>
        </w:trPr>
        <w:tc>
          <w:tcPr>
            <w:tcW w:w="1633" w:type="dxa"/>
            <w:vMerge/>
            <w:vAlign w:val="center"/>
          </w:tcPr>
          <w:p w14:paraId="430B71A2" w14:textId="77777777" w:rsidR="00EB7EFA" w:rsidRPr="002B55E9" w:rsidRDefault="00EB7EFA" w:rsidP="00AE5254">
            <w:pPr>
              <w:jc w:val="center"/>
              <w:rPr>
                <w:sz w:val="18"/>
                <w:szCs w:val="18"/>
              </w:rPr>
            </w:pPr>
          </w:p>
        </w:tc>
        <w:tc>
          <w:tcPr>
            <w:tcW w:w="1124" w:type="dxa"/>
            <w:vMerge/>
            <w:vAlign w:val="center"/>
          </w:tcPr>
          <w:p w14:paraId="291339AE" w14:textId="77777777" w:rsidR="00EB7EFA" w:rsidRPr="002B55E9" w:rsidRDefault="00EB7EFA" w:rsidP="00AE5254">
            <w:pPr>
              <w:jc w:val="center"/>
              <w:rPr>
                <w:sz w:val="18"/>
                <w:szCs w:val="18"/>
              </w:rPr>
            </w:pPr>
          </w:p>
        </w:tc>
        <w:tc>
          <w:tcPr>
            <w:tcW w:w="1638" w:type="dxa"/>
            <w:vAlign w:val="center"/>
          </w:tcPr>
          <w:p w14:paraId="61989C47" w14:textId="77777777" w:rsidR="00EB7EFA" w:rsidRPr="002B55E9" w:rsidRDefault="00EB7EFA" w:rsidP="00AE5254">
            <w:pPr>
              <w:jc w:val="center"/>
              <w:rPr>
                <w:sz w:val="18"/>
                <w:szCs w:val="18"/>
              </w:rPr>
            </w:pPr>
            <w:r w:rsidRPr="002B55E9">
              <w:rPr>
                <w:rFonts w:hint="eastAsia"/>
                <w:sz w:val="18"/>
                <w:szCs w:val="18"/>
              </w:rPr>
              <w:t>氯化氢</w:t>
            </w:r>
          </w:p>
        </w:tc>
        <w:tc>
          <w:tcPr>
            <w:tcW w:w="1559" w:type="dxa"/>
            <w:vAlign w:val="center"/>
          </w:tcPr>
          <w:p w14:paraId="36B0485A" w14:textId="77777777" w:rsidR="00EB7EFA" w:rsidRPr="002B55E9" w:rsidRDefault="00EB7EFA" w:rsidP="00AE5254">
            <w:pPr>
              <w:jc w:val="center"/>
              <w:rPr>
                <w:sz w:val="18"/>
                <w:szCs w:val="18"/>
              </w:rPr>
            </w:pPr>
            <w:r w:rsidRPr="002B55E9">
              <w:rPr>
                <w:rFonts w:hint="eastAsia"/>
                <w:sz w:val="18"/>
                <w:szCs w:val="18"/>
              </w:rPr>
              <w:t>50</w:t>
            </w:r>
          </w:p>
        </w:tc>
        <w:tc>
          <w:tcPr>
            <w:tcW w:w="1278" w:type="dxa"/>
            <w:vAlign w:val="center"/>
          </w:tcPr>
          <w:p w14:paraId="23D48880" w14:textId="77777777" w:rsidR="00EB7EFA" w:rsidRPr="002B55E9" w:rsidRDefault="00EB7EFA" w:rsidP="00AE5254">
            <w:pPr>
              <w:jc w:val="center"/>
              <w:rPr>
                <w:sz w:val="18"/>
                <w:szCs w:val="18"/>
              </w:rPr>
            </w:pPr>
            <w:r w:rsidRPr="002B55E9">
              <w:rPr>
                <w:sz w:val="18"/>
                <w:szCs w:val="18"/>
              </w:rPr>
              <w:t>7.49E-08</w:t>
            </w:r>
          </w:p>
        </w:tc>
        <w:tc>
          <w:tcPr>
            <w:tcW w:w="1135" w:type="dxa"/>
            <w:vAlign w:val="center"/>
          </w:tcPr>
          <w:p w14:paraId="2B856E3E" w14:textId="77777777" w:rsidR="00EB7EFA" w:rsidRPr="002B55E9" w:rsidRDefault="00EB7EFA" w:rsidP="00AE5254">
            <w:pPr>
              <w:jc w:val="center"/>
              <w:rPr>
                <w:rFonts w:eastAsia="等线"/>
                <w:sz w:val="18"/>
                <w:szCs w:val="18"/>
              </w:rPr>
            </w:pPr>
            <w:r w:rsidRPr="002B55E9">
              <w:rPr>
                <w:rFonts w:eastAsia="等线" w:hint="eastAsia"/>
                <w:sz w:val="18"/>
                <w:szCs w:val="18"/>
              </w:rPr>
              <w:t>0</w:t>
            </w:r>
          </w:p>
        </w:tc>
        <w:tc>
          <w:tcPr>
            <w:tcW w:w="1270" w:type="dxa"/>
            <w:vAlign w:val="center"/>
          </w:tcPr>
          <w:p w14:paraId="38E30EE6"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084FC5F6" w14:textId="77777777" w:rsidTr="00AE5254">
        <w:trPr>
          <w:trHeight w:val="284"/>
        </w:trPr>
        <w:tc>
          <w:tcPr>
            <w:tcW w:w="1633" w:type="dxa"/>
            <w:vAlign w:val="center"/>
          </w:tcPr>
          <w:p w14:paraId="3EE89F9F" w14:textId="77777777" w:rsidR="00EB7EFA" w:rsidRPr="002B55E9" w:rsidRDefault="00EB7EFA" w:rsidP="00AE5254">
            <w:pPr>
              <w:jc w:val="center"/>
              <w:rPr>
                <w:sz w:val="18"/>
                <w:szCs w:val="18"/>
              </w:rPr>
            </w:pPr>
            <w:r w:rsidRPr="002B55E9">
              <w:rPr>
                <w:rFonts w:hint="eastAsia"/>
                <w:sz w:val="18"/>
                <w:szCs w:val="18"/>
              </w:rPr>
              <w:t>十三</w:t>
            </w:r>
            <w:r w:rsidRPr="002B55E9">
              <w:rPr>
                <w:sz w:val="18"/>
                <w:szCs w:val="18"/>
              </w:rPr>
              <w:t>车间面源</w:t>
            </w:r>
          </w:p>
        </w:tc>
        <w:tc>
          <w:tcPr>
            <w:tcW w:w="1124" w:type="dxa"/>
            <w:vAlign w:val="center"/>
          </w:tcPr>
          <w:p w14:paraId="7D407864" w14:textId="77777777" w:rsidR="00EB7EFA" w:rsidRPr="002B55E9" w:rsidRDefault="00EB7EFA" w:rsidP="00AE5254">
            <w:pPr>
              <w:jc w:val="center"/>
              <w:rPr>
                <w:sz w:val="18"/>
                <w:szCs w:val="18"/>
              </w:rPr>
            </w:pPr>
            <w:r w:rsidRPr="002B55E9">
              <w:rPr>
                <w:rFonts w:hint="eastAsia"/>
                <w:sz w:val="18"/>
                <w:szCs w:val="18"/>
              </w:rPr>
              <w:t>/</w:t>
            </w:r>
          </w:p>
        </w:tc>
        <w:tc>
          <w:tcPr>
            <w:tcW w:w="1638" w:type="dxa"/>
            <w:vAlign w:val="center"/>
          </w:tcPr>
          <w:p w14:paraId="2D57882B" w14:textId="77777777" w:rsidR="00EB7EFA" w:rsidRPr="002B55E9" w:rsidRDefault="00EB7EFA" w:rsidP="00AE5254">
            <w:pPr>
              <w:jc w:val="center"/>
              <w:rPr>
                <w:sz w:val="18"/>
                <w:szCs w:val="18"/>
              </w:rPr>
            </w:pPr>
            <w:r w:rsidRPr="002B55E9">
              <w:rPr>
                <w:rFonts w:hint="eastAsia"/>
                <w:sz w:val="18"/>
                <w:szCs w:val="18"/>
              </w:rPr>
              <w:t>TSP</w:t>
            </w:r>
          </w:p>
        </w:tc>
        <w:tc>
          <w:tcPr>
            <w:tcW w:w="1559" w:type="dxa"/>
            <w:vAlign w:val="center"/>
          </w:tcPr>
          <w:p w14:paraId="120FAC92" w14:textId="77777777" w:rsidR="00EB7EFA" w:rsidRPr="002B55E9" w:rsidRDefault="00EB7EFA" w:rsidP="00AE5254">
            <w:pPr>
              <w:jc w:val="center"/>
              <w:rPr>
                <w:sz w:val="18"/>
                <w:szCs w:val="18"/>
              </w:rPr>
            </w:pPr>
            <w:r w:rsidRPr="002B55E9">
              <w:rPr>
                <w:rFonts w:hint="eastAsia"/>
                <w:sz w:val="18"/>
                <w:szCs w:val="18"/>
              </w:rPr>
              <w:t>900</w:t>
            </w:r>
          </w:p>
        </w:tc>
        <w:tc>
          <w:tcPr>
            <w:tcW w:w="1278" w:type="dxa"/>
            <w:vAlign w:val="center"/>
          </w:tcPr>
          <w:p w14:paraId="7E5C136F" w14:textId="77777777" w:rsidR="00EB7EFA" w:rsidRPr="002B55E9" w:rsidRDefault="00EB7EFA" w:rsidP="00AE5254">
            <w:pPr>
              <w:jc w:val="center"/>
              <w:rPr>
                <w:sz w:val="18"/>
                <w:szCs w:val="18"/>
              </w:rPr>
            </w:pPr>
            <w:r w:rsidRPr="002B55E9">
              <w:rPr>
                <w:sz w:val="18"/>
                <w:szCs w:val="18"/>
              </w:rPr>
              <w:t>3.09E-03</w:t>
            </w:r>
          </w:p>
        </w:tc>
        <w:tc>
          <w:tcPr>
            <w:tcW w:w="1135" w:type="dxa"/>
            <w:vAlign w:val="center"/>
          </w:tcPr>
          <w:p w14:paraId="2D628495"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.34</w:t>
            </w:r>
          </w:p>
        </w:tc>
        <w:tc>
          <w:tcPr>
            <w:tcW w:w="1270" w:type="dxa"/>
            <w:vAlign w:val="center"/>
          </w:tcPr>
          <w:p w14:paraId="37851A53"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452C3817" w14:textId="77777777" w:rsidTr="00AE5254">
        <w:trPr>
          <w:trHeight w:val="284"/>
        </w:trPr>
        <w:tc>
          <w:tcPr>
            <w:tcW w:w="1633" w:type="dxa"/>
            <w:vAlign w:val="center"/>
          </w:tcPr>
          <w:p w14:paraId="776A1FBE" w14:textId="77777777" w:rsidR="00EB7EFA" w:rsidRPr="002B55E9" w:rsidRDefault="00EB7EFA" w:rsidP="00AE5254">
            <w:pPr>
              <w:jc w:val="center"/>
              <w:rPr>
                <w:sz w:val="18"/>
                <w:szCs w:val="18"/>
              </w:rPr>
            </w:pPr>
            <w:r w:rsidRPr="002B55E9">
              <w:rPr>
                <w:rFonts w:hint="eastAsia"/>
                <w:sz w:val="18"/>
                <w:szCs w:val="18"/>
              </w:rPr>
              <w:t>罐区三面源</w:t>
            </w:r>
          </w:p>
        </w:tc>
        <w:tc>
          <w:tcPr>
            <w:tcW w:w="1124" w:type="dxa"/>
            <w:vAlign w:val="center"/>
          </w:tcPr>
          <w:p w14:paraId="3D50B0C3" w14:textId="77777777" w:rsidR="00EB7EFA" w:rsidRPr="002B55E9" w:rsidRDefault="00EB7EFA" w:rsidP="00AE5254">
            <w:pPr>
              <w:jc w:val="center"/>
              <w:rPr>
                <w:sz w:val="18"/>
                <w:szCs w:val="18"/>
              </w:rPr>
            </w:pPr>
            <w:r w:rsidRPr="002B55E9">
              <w:rPr>
                <w:rFonts w:hint="eastAsia"/>
                <w:sz w:val="18"/>
                <w:szCs w:val="18"/>
              </w:rPr>
              <w:t>/</w:t>
            </w:r>
          </w:p>
        </w:tc>
        <w:tc>
          <w:tcPr>
            <w:tcW w:w="1638" w:type="dxa"/>
            <w:vAlign w:val="center"/>
          </w:tcPr>
          <w:p w14:paraId="5B9A02AD" w14:textId="77777777" w:rsidR="00EB7EFA" w:rsidRPr="002B55E9" w:rsidRDefault="00EB7EFA" w:rsidP="00AE5254">
            <w:pPr>
              <w:jc w:val="center"/>
              <w:rPr>
                <w:sz w:val="18"/>
                <w:szCs w:val="18"/>
              </w:rPr>
            </w:pPr>
            <w:r w:rsidRPr="002B55E9">
              <w:rPr>
                <w:rFonts w:hint="eastAsia"/>
                <w:sz w:val="18"/>
                <w:szCs w:val="18"/>
              </w:rPr>
              <w:t>总挥发性有机物</w:t>
            </w:r>
          </w:p>
        </w:tc>
        <w:tc>
          <w:tcPr>
            <w:tcW w:w="1559" w:type="dxa"/>
            <w:vAlign w:val="center"/>
          </w:tcPr>
          <w:p w14:paraId="3E659EE2" w14:textId="77777777" w:rsidR="00EB7EFA" w:rsidRPr="002B55E9" w:rsidRDefault="00EB7EFA" w:rsidP="00AE5254">
            <w:pPr>
              <w:jc w:val="center"/>
              <w:rPr>
                <w:sz w:val="18"/>
                <w:szCs w:val="18"/>
              </w:rPr>
            </w:pPr>
            <w:r w:rsidRPr="002B55E9">
              <w:rPr>
                <w:rFonts w:hint="eastAsia"/>
                <w:sz w:val="18"/>
                <w:szCs w:val="18"/>
              </w:rPr>
              <w:t>1200</w:t>
            </w:r>
          </w:p>
        </w:tc>
        <w:tc>
          <w:tcPr>
            <w:tcW w:w="1278" w:type="dxa"/>
            <w:vAlign w:val="center"/>
          </w:tcPr>
          <w:p w14:paraId="5B8D1D7D" w14:textId="77777777" w:rsidR="00EB7EFA" w:rsidRPr="002B55E9" w:rsidRDefault="00EB7EFA" w:rsidP="00AE5254">
            <w:pPr>
              <w:jc w:val="center"/>
              <w:rPr>
                <w:sz w:val="18"/>
                <w:szCs w:val="18"/>
              </w:rPr>
            </w:pPr>
            <w:r w:rsidRPr="002B55E9">
              <w:rPr>
                <w:sz w:val="18"/>
                <w:szCs w:val="18"/>
              </w:rPr>
              <w:t>9.70E-03</w:t>
            </w:r>
          </w:p>
        </w:tc>
        <w:tc>
          <w:tcPr>
            <w:tcW w:w="1135" w:type="dxa"/>
            <w:vAlign w:val="center"/>
          </w:tcPr>
          <w:p w14:paraId="4FB138FF" w14:textId="77777777" w:rsidR="00EB7EFA" w:rsidRPr="002B55E9" w:rsidRDefault="00EB7EFA"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.81</w:t>
            </w:r>
          </w:p>
        </w:tc>
        <w:tc>
          <w:tcPr>
            <w:tcW w:w="1270" w:type="dxa"/>
            <w:vAlign w:val="center"/>
          </w:tcPr>
          <w:p w14:paraId="5CE480C0" w14:textId="77777777" w:rsidR="00EB7EFA" w:rsidRPr="002B55E9" w:rsidRDefault="00EB7EFA" w:rsidP="00AE5254">
            <w:pPr>
              <w:jc w:val="center"/>
              <w:rPr>
                <w:sz w:val="18"/>
                <w:szCs w:val="18"/>
              </w:rPr>
            </w:pPr>
            <w:r w:rsidRPr="002B55E9">
              <w:rPr>
                <w:rFonts w:hint="eastAsia"/>
                <w:sz w:val="18"/>
                <w:szCs w:val="18"/>
              </w:rPr>
              <w:t>/</w:t>
            </w:r>
          </w:p>
        </w:tc>
      </w:tr>
      <w:tr w:rsidR="002B55E9" w:rsidRPr="002B55E9" w14:paraId="133332B0" w14:textId="77777777" w:rsidTr="00AE5254">
        <w:trPr>
          <w:trHeight w:val="284"/>
        </w:trPr>
        <w:tc>
          <w:tcPr>
            <w:tcW w:w="1633" w:type="dxa"/>
            <w:vAlign w:val="center"/>
          </w:tcPr>
          <w:p w14:paraId="4C70AB3D" w14:textId="77777777" w:rsidR="00EB7EFA" w:rsidRPr="002B55E9" w:rsidRDefault="00EB7EFA" w:rsidP="00AE5254">
            <w:pPr>
              <w:jc w:val="center"/>
              <w:rPr>
                <w:sz w:val="18"/>
                <w:szCs w:val="18"/>
              </w:rPr>
            </w:pPr>
            <w:r w:rsidRPr="002B55E9">
              <w:rPr>
                <w:rFonts w:hint="eastAsia"/>
                <w:sz w:val="18"/>
                <w:szCs w:val="18"/>
              </w:rPr>
              <w:t>酒精</w:t>
            </w:r>
            <w:r w:rsidRPr="002B55E9">
              <w:rPr>
                <w:sz w:val="18"/>
                <w:szCs w:val="18"/>
              </w:rPr>
              <w:t>罐区面源</w:t>
            </w:r>
          </w:p>
        </w:tc>
        <w:tc>
          <w:tcPr>
            <w:tcW w:w="1124" w:type="dxa"/>
            <w:vAlign w:val="center"/>
          </w:tcPr>
          <w:p w14:paraId="196617AF" w14:textId="77777777" w:rsidR="00EB7EFA" w:rsidRPr="002B55E9" w:rsidRDefault="00EB7EFA" w:rsidP="00AE5254">
            <w:pPr>
              <w:jc w:val="center"/>
              <w:rPr>
                <w:sz w:val="18"/>
                <w:szCs w:val="18"/>
              </w:rPr>
            </w:pPr>
            <w:r w:rsidRPr="002B55E9">
              <w:rPr>
                <w:rFonts w:hint="eastAsia"/>
                <w:sz w:val="18"/>
                <w:szCs w:val="18"/>
              </w:rPr>
              <w:t>/</w:t>
            </w:r>
          </w:p>
        </w:tc>
        <w:tc>
          <w:tcPr>
            <w:tcW w:w="1638" w:type="dxa"/>
            <w:vAlign w:val="center"/>
          </w:tcPr>
          <w:p w14:paraId="7CA743DA" w14:textId="77777777" w:rsidR="00EB7EFA" w:rsidRPr="002B55E9" w:rsidRDefault="00EB7EFA" w:rsidP="00AE5254">
            <w:pPr>
              <w:jc w:val="center"/>
              <w:rPr>
                <w:sz w:val="18"/>
                <w:szCs w:val="18"/>
              </w:rPr>
            </w:pPr>
            <w:r w:rsidRPr="002B55E9">
              <w:rPr>
                <w:rFonts w:hint="eastAsia"/>
                <w:sz w:val="18"/>
                <w:szCs w:val="18"/>
              </w:rPr>
              <w:t>总挥发性有机物</w:t>
            </w:r>
          </w:p>
        </w:tc>
        <w:tc>
          <w:tcPr>
            <w:tcW w:w="1559" w:type="dxa"/>
            <w:vAlign w:val="center"/>
          </w:tcPr>
          <w:p w14:paraId="37E2F3A3" w14:textId="77777777" w:rsidR="00EB7EFA" w:rsidRPr="002B55E9" w:rsidRDefault="00EB7EFA" w:rsidP="00AE5254">
            <w:pPr>
              <w:jc w:val="center"/>
              <w:rPr>
                <w:sz w:val="18"/>
                <w:szCs w:val="18"/>
              </w:rPr>
            </w:pPr>
            <w:r w:rsidRPr="002B55E9">
              <w:rPr>
                <w:rFonts w:hint="eastAsia"/>
                <w:sz w:val="18"/>
                <w:szCs w:val="18"/>
              </w:rPr>
              <w:t>1200</w:t>
            </w:r>
          </w:p>
        </w:tc>
        <w:tc>
          <w:tcPr>
            <w:tcW w:w="1278" w:type="dxa"/>
            <w:vAlign w:val="center"/>
          </w:tcPr>
          <w:p w14:paraId="18A98E5B" w14:textId="77777777" w:rsidR="00EB7EFA" w:rsidRPr="002B55E9" w:rsidRDefault="00EB7EFA" w:rsidP="00AE5254">
            <w:pPr>
              <w:jc w:val="center"/>
              <w:rPr>
                <w:rFonts w:eastAsia="等线"/>
                <w:sz w:val="18"/>
                <w:szCs w:val="18"/>
              </w:rPr>
            </w:pPr>
            <w:r w:rsidRPr="002B55E9">
              <w:rPr>
                <w:rFonts w:eastAsia="等线"/>
                <w:sz w:val="18"/>
                <w:szCs w:val="18"/>
              </w:rPr>
              <w:t>1.62E-02</w:t>
            </w:r>
          </w:p>
        </w:tc>
        <w:tc>
          <w:tcPr>
            <w:tcW w:w="1135" w:type="dxa"/>
            <w:vAlign w:val="center"/>
          </w:tcPr>
          <w:p w14:paraId="3BC7003E" w14:textId="77777777" w:rsidR="00EB7EFA" w:rsidRPr="002B55E9" w:rsidRDefault="00EB7EFA" w:rsidP="00AE5254">
            <w:pPr>
              <w:jc w:val="center"/>
              <w:rPr>
                <w:rFonts w:eastAsia="等线"/>
                <w:sz w:val="18"/>
                <w:szCs w:val="18"/>
              </w:rPr>
            </w:pPr>
            <w:r w:rsidRPr="002B55E9">
              <w:rPr>
                <w:rFonts w:eastAsia="等线" w:hint="eastAsia"/>
                <w:sz w:val="18"/>
                <w:szCs w:val="18"/>
              </w:rPr>
              <w:t>1</w:t>
            </w:r>
            <w:r w:rsidRPr="002B55E9">
              <w:rPr>
                <w:rFonts w:eastAsia="等线"/>
                <w:sz w:val="18"/>
                <w:szCs w:val="18"/>
              </w:rPr>
              <w:t>.35</w:t>
            </w:r>
          </w:p>
        </w:tc>
        <w:tc>
          <w:tcPr>
            <w:tcW w:w="1270" w:type="dxa"/>
            <w:vAlign w:val="center"/>
          </w:tcPr>
          <w:p w14:paraId="5C61136D" w14:textId="77777777" w:rsidR="00EB7EFA" w:rsidRPr="002B55E9" w:rsidRDefault="00EB7EFA" w:rsidP="00AE5254">
            <w:pPr>
              <w:jc w:val="center"/>
              <w:rPr>
                <w:sz w:val="18"/>
                <w:szCs w:val="18"/>
              </w:rPr>
            </w:pPr>
            <w:r w:rsidRPr="002B55E9">
              <w:rPr>
                <w:rFonts w:hint="eastAsia"/>
                <w:sz w:val="18"/>
                <w:szCs w:val="18"/>
              </w:rPr>
              <w:t>/</w:t>
            </w:r>
          </w:p>
        </w:tc>
      </w:tr>
    </w:tbl>
    <w:p w14:paraId="168B4697" w14:textId="77777777" w:rsidR="00D170E5" w:rsidRPr="002B55E9" w:rsidRDefault="00EF27AD">
      <w:pPr>
        <w:pStyle w:val="affff7"/>
        <w:rPr>
          <w:vertAlign w:val="subscript"/>
        </w:rPr>
      </w:pPr>
      <w:r w:rsidRPr="002B55E9">
        <w:t>由上表可知，本项目</w:t>
      </w:r>
      <w:r w:rsidRPr="002B55E9">
        <w:t>P</w:t>
      </w:r>
      <w:r w:rsidRPr="002B55E9">
        <w:rPr>
          <w:vertAlign w:val="subscript"/>
        </w:rPr>
        <w:t>max</w:t>
      </w:r>
      <w:r w:rsidRPr="002B55E9">
        <w:rPr>
          <w:rFonts w:hint="eastAsia"/>
          <w:vertAlign w:val="subscript"/>
        </w:rPr>
        <w:t>（酒精罐区）</w:t>
      </w:r>
      <w:r w:rsidRPr="002B55E9">
        <w:rPr>
          <w:szCs w:val="24"/>
        </w:rPr>
        <w:t>=1.35%</w:t>
      </w:r>
      <w:r w:rsidRPr="002B55E9">
        <w:t>＜</w:t>
      </w:r>
      <w:r w:rsidRPr="002B55E9">
        <w:t>10%</w:t>
      </w:r>
      <w:r w:rsidRPr="002B55E9">
        <w:t>，因此确定本项目评价等级为二级。</w:t>
      </w:r>
    </w:p>
    <w:p w14:paraId="781FBD75" w14:textId="77777777" w:rsidR="00D170E5" w:rsidRPr="002B55E9" w:rsidRDefault="00EF27AD">
      <w:pPr>
        <w:pStyle w:val="4"/>
        <w:rPr>
          <w:color w:val="auto"/>
        </w:rPr>
      </w:pPr>
      <w:bookmarkStart w:id="124" w:name="_Toc169616184"/>
      <w:r w:rsidRPr="002B55E9">
        <w:rPr>
          <w:color w:val="auto"/>
        </w:rPr>
        <w:t>水环境影响评价等级</w:t>
      </w:r>
      <w:bookmarkEnd w:id="124"/>
    </w:p>
    <w:p w14:paraId="74B430F4" w14:textId="77777777" w:rsidR="00D170E5" w:rsidRPr="002B55E9" w:rsidRDefault="00EF27AD">
      <w:pPr>
        <w:pStyle w:val="affff7"/>
      </w:pPr>
      <w:r w:rsidRPr="002B55E9">
        <w:rPr>
          <w:rFonts w:hint="eastAsia"/>
        </w:rPr>
        <w:t>拟建</w:t>
      </w:r>
      <w:r w:rsidRPr="002B55E9">
        <w:t>项目为水污染</w:t>
      </w:r>
      <w:r w:rsidRPr="002B55E9">
        <w:rPr>
          <w:rFonts w:hint="eastAsia"/>
        </w:rPr>
        <w:t>影响</w:t>
      </w:r>
      <w:r w:rsidRPr="002B55E9">
        <w:t>型建设项目</w:t>
      </w:r>
      <w:r w:rsidRPr="002B55E9">
        <w:rPr>
          <w:rFonts w:hint="eastAsia"/>
        </w:rPr>
        <w:t>，</w:t>
      </w:r>
      <w:r w:rsidRPr="002B55E9">
        <w:t>项目</w:t>
      </w:r>
      <w:r w:rsidRPr="002B55E9">
        <w:rPr>
          <w:rFonts w:hint="eastAsia"/>
        </w:rPr>
        <w:t>生产</w:t>
      </w:r>
      <w:r w:rsidRPr="002B55E9">
        <w:t>废水和生活污水</w:t>
      </w:r>
      <w:r w:rsidRPr="002B55E9">
        <w:rPr>
          <w:rFonts w:hint="eastAsia"/>
        </w:rPr>
        <w:t>依托</w:t>
      </w:r>
      <w:r w:rsidRPr="002B55E9">
        <w:t>佛山市海天（</w:t>
      </w:r>
      <w:r w:rsidRPr="002B55E9">
        <w:rPr>
          <w:rFonts w:hint="eastAsia"/>
        </w:rPr>
        <w:t>武汉</w:t>
      </w:r>
      <w:r w:rsidRPr="002B55E9">
        <w:t>）</w:t>
      </w:r>
      <w:r w:rsidRPr="002B55E9">
        <w:rPr>
          <w:rFonts w:hint="eastAsia"/>
        </w:rPr>
        <w:t>调味食品有限公司</w:t>
      </w:r>
      <w:r w:rsidRPr="002B55E9">
        <w:t>污水处理站处理后汇同蒸汽冷凝一同</w:t>
      </w:r>
      <w:r w:rsidRPr="002B55E9">
        <w:rPr>
          <w:rFonts w:hint="eastAsia"/>
        </w:rPr>
        <w:t>经</w:t>
      </w:r>
      <w:r w:rsidRPr="002B55E9">
        <w:t>污水</w:t>
      </w:r>
      <w:r w:rsidRPr="002B55E9">
        <w:rPr>
          <w:rFonts w:hint="eastAsia"/>
        </w:rPr>
        <w:t>总排口排</w:t>
      </w:r>
      <w:r w:rsidRPr="002B55E9">
        <w:t>入污水管网</w:t>
      </w:r>
      <w:r w:rsidRPr="002B55E9">
        <w:rPr>
          <w:rFonts w:hint="eastAsia"/>
        </w:rPr>
        <w:t>进入</w:t>
      </w:r>
      <w:r w:rsidRPr="002B55E9">
        <w:t>东西湖区污水</w:t>
      </w:r>
      <w:r w:rsidRPr="002B55E9">
        <w:rPr>
          <w:rFonts w:hint="eastAsia"/>
        </w:rPr>
        <w:t>处理厂</w:t>
      </w:r>
      <w:r w:rsidRPr="002B55E9">
        <w:t>，处理达标后排入府河，为间接排放。</w:t>
      </w:r>
    </w:p>
    <w:p w14:paraId="3FC6FFCB" w14:textId="77777777" w:rsidR="00D170E5" w:rsidRPr="002B55E9" w:rsidRDefault="00EF27AD">
      <w:pPr>
        <w:pStyle w:val="affff7"/>
      </w:pPr>
      <w:r w:rsidRPr="002B55E9">
        <w:t>根据</w:t>
      </w:r>
      <w:r w:rsidRPr="002B55E9">
        <w:rPr>
          <w:rFonts w:hint="eastAsia"/>
        </w:rPr>
        <w:t>《环境影响评价技术导则</w:t>
      </w:r>
      <w:r w:rsidRPr="002B55E9">
        <w:rPr>
          <w:rFonts w:hint="eastAsia"/>
        </w:rPr>
        <w:t xml:space="preserve"> </w:t>
      </w:r>
      <w:r w:rsidRPr="002B55E9">
        <w:rPr>
          <w:rFonts w:hint="eastAsia"/>
        </w:rPr>
        <w:t>地表水环境》（</w:t>
      </w:r>
      <w:r w:rsidRPr="002B55E9">
        <w:t>HJ2.3-2018</w:t>
      </w:r>
      <w:r w:rsidRPr="002B55E9">
        <w:rPr>
          <w:rFonts w:hint="eastAsia"/>
        </w:rPr>
        <w:t>）</w:t>
      </w:r>
      <w:r w:rsidRPr="002B55E9">
        <w:t>表</w:t>
      </w:r>
      <w:r w:rsidRPr="002B55E9">
        <w:t>1</w:t>
      </w:r>
      <w:r w:rsidRPr="002B55E9">
        <w:t>中所列出的地</w:t>
      </w:r>
      <w:r w:rsidRPr="002B55E9">
        <w:rPr>
          <w:rFonts w:hint="eastAsia"/>
        </w:rPr>
        <w:t>表</w:t>
      </w:r>
      <w:r w:rsidRPr="002B55E9">
        <w:t>水环境影响评价分级判</w:t>
      </w:r>
      <w:r w:rsidRPr="002B55E9">
        <w:rPr>
          <w:rFonts w:hint="eastAsia"/>
        </w:rPr>
        <w:t>定</w:t>
      </w:r>
      <w:r w:rsidRPr="002B55E9">
        <w:t>标准，拟建项目地表水环境影响评价工作等级确定因素见下表。</w:t>
      </w:r>
    </w:p>
    <w:p w14:paraId="504FF207" w14:textId="77777777" w:rsidR="00D170E5" w:rsidRPr="002B55E9" w:rsidRDefault="00EF27AD">
      <w:pPr>
        <w:pStyle w:val="aa"/>
        <w:spacing w:line="240" w:lineRule="auto"/>
        <w:ind w:firstLine="0"/>
        <w:jc w:val="center"/>
        <w:rPr>
          <w:rFonts w:eastAsia="黑体"/>
          <w:b/>
        </w:rPr>
      </w:pPr>
      <w:r w:rsidRPr="002B55E9">
        <w:rPr>
          <w:rFonts w:eastAsia="黑体"/>
          <w:b/>
        </w:rPr>
        <w:t>表</w:t>
      </w:r>
      <w:r w:rsidRPr="002B55E9">
        <w:rPr>
          <w:rFonts w:eastAsia="黑体"/>
          <w:b/>
        </w:rPr>
        <w:t>1-</w:t>
      </w:r>
      <w:r w:rsidRPr="002B55E9">
        <w:rPr>
          <w:rFonts w:eastAsia="黑体" w:hint="eastAsia"/>
          <w:b/>
        </w:rPr>
        <w:t>7</w:t>
      </w:r>
      <w:r w:rsidRPr="002B55E9">
        <w:rPr>
          <w:rFonts w:eastAsia="黑体"/>
          <w:b/>
        </w:rPr>
        <w:t xml:space="preserve">-6  </w:t>
      </w:r>
      <w:r w:rsidRPr="002B55E9">
        <w:rPr>
          <w:rFonts w:eastAsia="黑体"/>
          <w:b/>
        </w:rPr>
        <w:t>地表水环境评价工作等级判定表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514"/>
        <w:gridCol w:w="1448"/>
        <w:gridCol w:w="4676"/>
      </w:tblGrid>
      <w:tr w:rsidR="002B55E9" w:rsidRPr="002B55E9" w14:paraId="30A37014" w14:textId="77777777">
        <w:trPr>
          <w:trHeight w:val="284"/>
          <w:jc w:val="center"/>
        </w:trPr>
        <w:tc>
          <w:tcPr>
            <w:tcW w:w="3514" w:type="dxa"/>
            <w:vMerge w:val="restart"/>
            <w:tcBorders>
              <w:top w:val="single" w:sz="12" w:space="0" w:color="auto"/>
            </w:tcBorders>
            <w:vAlign w:val="center"/>
          </w:tcPr>
          <w:p w14:paraId="2604C3DF" w14:textId="77777777" w:rsidR="00D170E5" w:rsidRPr="002B55E9" w:rsidRDefault="00EF27AD">
            <w:pPr>
              <w:pStyle w:val="affff6"/>
            </w:pPr>
            <w:r w:rsidRPr="002B55E9">
              <w:t>评价等级</w:t>
            </w:r>
          </w:p>
        </w:tc>
        <w:tc>
          <w:tcPr>
            <w:tcW w:w="6124" w:type="dxa"/>
            <w:gridSpan w:val="2"/>
            <w:tcBorders>
              <w:top w:val="single" w:sz="12" w:space="0" w:color="auto"/>
              <w:bottom w:val="single" w:sz="6" w:space="0" w:color="auto"/>
            </w:tcBorders>
            <w:vAlign w:val="center"/>
          </w:tcPr>
          <w:p w14:paraId="1FDB06E0" w14:textId="77777777" w:rsidR="00D170E5" w:rsidRPr="002B55E9" w:rsidRDefault="00EF27AD">
            <w:pPr>
              <w:pStyle w:val="affff6"/>
            </w:pPr>
            <w:r w:rsidRPr="002B55E9">
              <w:t>判定依据</w:t>
            </w:r>
          </w:p>
        </w:tc>
      </w:tr>
      <w:tr w:rsidR="002B55E9" w:rsidRPr="002B55E9" w14:paraId="5BFBA805" w14:textId="77777777">
        <w:trPr>
          <w:trHeight w:val="284"/>
          <w:jc w:val="center"/>
        </w:trPr>
        <w:tc>
          <w:tcPr>
            <w:tcW w:w="3514" w:type="dxa"/>
            <w:vMerge/>
            <w:tcBorders>
              <w:bottom w:val="single" w:sz="12" w:space="0" w:color="auto"/>
            </w:tcBorders>
            <w:vAlign w:val="center"/>
          </w:tcPr>
          <w:p w14:paraId="090F8BA8" w14:textId="77777777" w:rsidR="00D170E5" w:rsidRPr="002B55E9" w:rsidRDefault="00D170E5">
            <w:pPr>
              <w:pStyle w:val="affff6"/>
            </w:pPr>
          </w:p>
        </w:tc>
        <w:tc>
          <w:tcPr>
            <w:tcW w:w="1448" w:type="dxa"/>
            <w:tcBorders>
              <w:top w:val="single" w:sz="6" w:space="0" w:color="auto"/>
              <w:bottom w:val="single" w:sz="12" w:space="0" w:color="auto"/>
            </w:tcBorders>
            <w:vAlign w:val="center"/>
          </w:tcPr>
          <w:p w14:paraId="346D5E16" w14:textId="77777777" w:rsidR="00D170E5" w:rsidRPr="002B55E9" w:rsidRDefault="00EF27AD">
            <w:pPr>
              <w:pStyle w:val="affff6"/>
              <w:rPr>
                <w:vertAlign w:val="subscript"/>
              </w:rPr>
            </w:pPr>
            <w:r w:rsidRPr="002B55E9">
              <w:t>排放方式</w:t>
            </w:r>
          </w:p>
        </w:tc>
        <w:tc>
          <w:tcPr>
            <w:tcW w:w="4676" w:type="dxa"/>
            <w:tcBorders>
              <w:top w:val="single" w:sz="6" w:space="0" w:color="auto"/>
              <w:bottom w:val="single" w:sz="12" w:space="0" w:color="auto"/>
              <w:right w:val="nil"/>
            </w:tcBorders>
            <w:vAlign w:val="center"/>
          </w:tcPr>
          <w:p w14:paraId="62BF325B" w14:textId="77777777" w:rsidR="00D170E5" w:rsidRPr="002B55E9" w:rsidRDefault="00EF27AD">
            <w:pPr>
              <w:pStyle w:val="affff6"/>
            </w:pPr>
            <w:r w:rsidRPr="002B55E9">
              <w:t>废水排放量</w:t>
            </w:r>
            <w:r w:rsidRPr="002B55E9">
              <w:t>Q/( m</w:t>
            </w:r>
            <w:r w:rsidRPr="002B55E9">
              <w:rPr>
                <w:vertAlign w:val="superscript"/>
              </w:rPr>
              <w:t>3</w:t>
            </w:r>
            <w:r w:rsidRPr="002B55E9">
              <w:t>/d)</w:t>
            </w:r>
            <w:r w:rsidRPr="002B55E9">
              <w:t>；水污染当量数</w:t>
            </w:r>
            <w:r w:rsidRPr="002B55E9">
              <w:t>W/</w:t>
            </w:r>
            <w:r w:rsidRPr="002B55E9">
              <w:t>（无量纲）</w:t>
            </w:r>
          </w:p>
        </w:tc>
      </w:tr>
      <w:tr w:rsidR="002B55E9" w:rsidRPr="002B55E9" w14:paraId="3C1AB902" w14:textId="77777777">
        <w:trPr>
          <w:trHeight w:val="284"/>
          <w:jc w:val="center"/>
        </w:trPr>
        <w:tc>
          <w:tcPr>
            <w:tcW w:w="3514" w:type="dxa"/>
            <w:tcBorders>
              <w:top w:val="single" w:sz="12" w:space="0" w:color="auto"/>
            </w:tcBorders>
            <w:vAlign w:val="center"/>
          </w:tcPr>
          <w:p w14:paraId="6069B549" w14:textId="77777777" w:rsidR="00D170E5" w:rsidRPr="002B55E9" w:rsidRDefault="00EF27AD">
            <w:pPr>
              <w:pStyle w:val="affff6"/>
            </w:pPr>
            <w:r w:rsidRPr="002B55E9">
              <w:t>一级</w:t>
            </w:r>
          </w:p>
        </w:tc>
        <w:tc>
          <w:tcPr>
            <w:tcW w:w="1448" w:type="dxa"/>
            <w:tcBorders>
              <w:top w:val="single" w:sz="12" w:space="0" w:color="auto"/>
            </w:tcBorders>
            <w:vAlign w:val="center"/>
          </w:tcPr>
          <w:p w14:paraId="525C99D2" w14:textId="77777777" w:rsidR="00D170E5" w:rsidRPr="002B55E9" w:rsidRDefault="00EF27AD">
            <w:pPr>
              <w:pStyle w:val="affff6"/>
            </w:pPr>
            <w:r w:rsidRPr="002B55E9">
              <w:t>直接排放</w:t>
            </w:r>
          </w:p>
        </w:tc>
        <w:tc>
          <w:tcPr>
            <w:tcW w:w="4676" w:type="dxa"/>
            <w:tcBorders>
              <w:top w:val="single" w:sz="12" w:space="0" w:color="auto"/>
              <w:right w:val="nil"/>
            </w:tcBorders>
            <w:vAlign w:val="center"/>
          </w:tcPr>
          <w:p w14:paraId="4585E122" w14:textId="77777777" w:rsidR="00D170E5" w:rsidRPr="002B55E9" w:rsidRDefault="00EF27AD">
            <w:pPr>
              <w:pStyle w:val="affff6"/>
            </w:pPr>
            <w:r w:rsidRPr="002B55E9">
              <w:t>Q≥20000</w:t>
            </w:r>
            <w:r w:rsidRPr="002B55E9">
              <w:t>或</w:t>
            </w:r>
            <w:r w:rsidRPr="002B55E9">
              <w:t>W≥600000</w:t>
            </w:r>
          </w:p>
        </w:tc>
      </w:tr>
      <w:tr w:rsidR="002B55E9" w:rsidRPr="002B55E9" w14:paraId="6988420A" w14:textId="77777777">
        <w:trPr>
          <w:trHeight w:val="284"/>
          <w:jc w:val="center"/>
        </w:trPr>
        <w:tc>
          <w:tcPr>
            <w:tcW w:w="3514" w:type="dxa"/>
            <w:vAlign w:val="center"/>
          </w:tcPr>
          <w:p w14:paraId="68384B87" w14:textId="77777777" w:rsidR="00D170E5" w:rsidRPr="002B55E9" w:rsidRDefault="00EF27AD">
            <w:pPr>
              <w:pStyle w:val="affff6"/>
            </w:pPr>
            <w:r w:rsidRPr="002B55E9">
              <w:t>二级</w:t>
            </w:r>
          </w:p>
        </w:tc>
        <w:tc>
          <w:tcPr>
            <w:tcW w:w="1448" w:type="dxa"/>
            <w:vAlign w:val="center"/>
          </w:tcPr>
          <w:p w14:paraId="52B67706" w14:textId="77777777" w:rsidR="00D170E5" w:rsidRPr="002B55E9" w:rsidRDefault="00EF27AD">
            <w:pPr>
              <w:pStyle w:val="affff6"/>
            </w:pPr>
            <w:r w:rsidRPr="002B55E9">
              <w:t>直接排放</w:t>
            </w:r>
          </w:p>
        </w:tc>
        <w:tc>
          <w:tcPr>
            <w:tcW w:w="4676" w:type="dxa"/>
            <w:tcBorders>
              <w:right w:val="nil"/>
            </w:tcBorders>
            <w:vAlign w:val="center"/>
          </w:tcPr>
          <w:p w14:paraId="3D00FA1F" w14:textId="77777777" w:rsidR="00D170E5" w:rsidRPr="002B55E9" w:rsidRDefault="00EF27AD">
            <w:pPr>
              <w:pStyle w:val="affff6"/>
            </w:pPr>
            <w:r w:rsidRPr="002B55E9">
              <w:t>其他</w:t>
            </w:r>
          </w:p>
        </w:tc>
      </w:tr>
      <w:tr w:rsidR="002B55E9" w:rsidRPr="002B55E9" w14:paraId="0D36E1C2" w14:textId="77777777">
        <w:trPr>
          <w:trHeight w:val="284"/>
          <w:jc w:val="center"/>
        </w:trPr>
        <w:tc>
          <w:tcPr>
            <w:tcW w:w="3514" w:type="dxa"/>
            <w:vAlign w:val="center"/>
          </w:tcPr>
          <w:p w14:paraId="2B5A5E1D" w14:textId="77777777" w:rsidR="00D170E5" w:rsidRPr="002B55E9" w:rsidRDefault="00EF27AD">
            <w:pPr>
              <w:pStyle w:val="affff6"/>
            </w:pPr>
            <w:r w:rsidRPr="002B55E9">
              <w:t>三级</w:t>
            </w:r>
            <w:r w:rsidRPr="002B55E9">
              <w:t>A</w:t>
            </w:r>
          </w:p>
        </w:tc>
        <w:tc>
          <w:tcPr>
            <w:tcW w:w="1448" w:type="dxa"/>
            <w:vAlign w:val="center"/>
          </w:tcPr>
          <w:p w14:paraId="44D94844" w14:textId="77777777" w:rsidR="00D170E5" w:rsidRPr="002B55E9" w:rsidRDefault="00EF27AD">
            <w:pPr>
              <w:pStyle w:val="affff6"/>
            </w:pPr>
            <w:r w:rsidRPr="002B55E9">
              <w:t>直接排放</w:t>
            </w:r>
          </w:p>
        </w:tc>
        <w:tc>
          <w:tcPr>
            <w:tcW w:w="4676" w:type="dxa"/>
            <w:tcBorders>
              <w:right w:val="nil"/>
            </w:tcBorders>
            <w:vAlign w:val="center"/>
          </w:tcPr>
          <w:p w14:paraId="5EB6285A" w14:textId="77777777" w:rsidR="00D170E5" w:rsidRPr="002B55E9" w:rsidRDefault="00EF27AD">
            <w:pPr>
              <w:pStyle w:val="affff6"/>
            </w:pPr>
            <w:r w:rsidRPr="002B55E9">
              <w:t>Q &lt;200</w:t>
            </w:r>
            <w:r w:rsidRPr="002B55E9">
              <w:t>或</w:t>
            </w:r>
            <w:r w:rsidRPr="002B55E9">
              <w:t>W &lt;6000</w:t>
            </w:r>
          </w:p>
        </w:tc>
      </w:tr>
      <w:tr w:rsidR="002B55E9" w:rsidRPr="002B55E9" w14:paraId="084D487E" w14:textId="77777777">
        <w:trPr>
          <w:trHeight w:val="284"/>
          <w:jc w:val="center"/>
        </w:trPr>
        <w:tc>
          <w:tcPr>
            <w:tcW w:w="3514" w:type="dxa"/>
            <w:tcBorders>
              <w:bottom w:val="single" w:sz="12" w:space="0" w:color="auto"/>
            </w:tcBorders>
            <w:vAlign w:val="center"/>
          </w:tcPr>
          <w:p w14:paraId="0D7F99E2" w14:textId="77777777" w:rsidR="00D170E5" w:rsidRPr="002B55E9" w:rsidRDefault="00EF27AD">
            <w:pPr>
              <w:pStyle w:val="affff6"/>
            </w:pPr>
            <w:r w:rsidRPr="002B55E9">
              <w:t>三级</w:t>
            </w:r>
            <w:r w:rsidRPr="002B55E9">
              <w:t>B</w:t>
            </w:r>
          </w:p>
        </w:tc>
        <w:tc>
          <w:tcPr>
            <w:tcW w:w="1448" w:type="dxa"/>
            <w:tcBorders>
              <w:bottom w:val="single" w:sz="12" w:space="0" w:color="auto"/>
            </w:tcBorders>
            <w:vAlign w:val="center"/>
          </w:tcPr>
          <w:p w14:paraId="733F34BC" w14:textId="77777777" w:rsidR="00D170E5" w:rsidRPr="002B55E9" w:rsidRDefault="00EF27AD">
            <w:pPr>
              <w:pStyle w:val="affff6"/>
              <w:rPr>
                <w:lang w:val="en-GB"/>
              </w:rPr>
            </w:pPr>
            <w:r w:rsidRPr="002B55E9">
              <w:t>间接排放</w:t>
            </w:r>
          </w:p>
        </w:tc>
        <w:tc>
          <w:tcPr>
            <w:tcW w:w="4676" w:type="dxa"/>
            <w:tcBorders>
              <w:bottom w:val="single" w:sz="12" w:space="0" w:color="auto"/>
              <w:right w:val="nil"/>
            </w:tcBorders>
            <w:vAlign w:val="center"/>
          </w:tcPr>
          <w:p w14:paraId="5AD714FE" w14:textId="77777777" w:rsidR="00D170E5" w:rsidRPr="002B55E9" w:rsidRDefault="00EF27AD">
            <w:pPr>
              <w:pStyle w:val="affff6"/>
            </w:pPr>
            <w:r w:rsidRPr="002B55E9">
              <w:t>--</w:t>
            </w:r>
          </w:p>
        </w:tc>
      </w:tr>
    </w:tbl>
    <w:p w14:paraId="17E2B2B0" w14:textId="77777777" w:rsidR="00D170E5" w:rsidRPr="002B55E9" w:rsidRDefault="00EF27AD">
      <w:pPr>
        <w:pStyle w:val="affff7"/>
      </w:pPr>
      <w:r w:rsidRPr="002B55E9">
        <w:rPr>
          <w:rFonts w:hint="eastAsia"/>
        </w:rPr>
        <w:t>拟建项目废水通过佛山市海天（武汉）调味食品有限公司总排口排入东西湖污水处理厂进行深度处理，属于间接排放，因此</w:t>
      </w:r>
      <w:r w:rsidRPr="002B55E9">
        <w:t>拟建项目地表水影响评价等级为三级</w:t>
      </w:r>
      <w:r w:rsidRPr="002B55E9">
        <w:t>B</w:t>
      </w:r>
      <w:r w:rsidRPr="002B55E9">
        <w:t>。</w:t>
      </w:r>
    </w:p>
    <w:p w14:paraId="6EEDC427" w14:textId="77777777" w:rsidR="00D170E5" w:rsidRPr="002B55E9" w:rsidRDefault="00EF27AD">
      <w:pPr>
        <w:pStyle w:val="affff7"/>
      </w:pPr>
      <w:r w:rsidRPr="002B55E9">
        <w:rPr>
          <w:rFonts w:hint="eastAsia"/>
        </w:rPr>
        <w:t>按照</w:t>
      </w:r>
      <w:r w:rsidRPr="002B55E9">
        <w:rPr>
          <w:rFonts w:hint="eastAsia"/>
        </w:rPr>
        <w:t>HJ2.3-2018</w:t>
      </w:r>
      <w:r w:rsidRPr="002B55E9">
        <w:rPr>
          <w:rFonts w:hint="eastAsia"/>
        </w:rPr>
        <w:t>的有关规定，水污染影响型三级</w:t>
      </w:r>
      <w:r w:rsidRPr="002B55E9">
        <w:rPr>
          <w:rFonts w:hint="eastAsia"/>
        </w:rPr>
        <w:t>B</w:t>
      </w:r>
      <w:r w:rsidRPr="002B55E9">
        <w:rPr>
          <w:rFonts w:hint="eastAsia"/>
        </w:rPr>
        <w:t>评价，可不开展区域污染源调查，主要调查依托污水处理设施的日处理能力、处理工艺、设计进水水质、处理后的废水稳定达标排放情况，同时应该调查依托污水处理设施执行的排放标准是否涵盖建设项目排放的有毒有害的特征水污染物。</w:t>
      </w:r>
    </w:p>
    <w:p w14:paraId="328B118B" w14:textId="77777777" w:rsidR="00D170E5" w:rsidRPr="002B55E9" w:rsidRDefault="00EF27AD">
      <w:pPr>
        <w:pStyle w:val="4"/>
        <w:rPr>
          <w:color w:val="auto"/>
        </w:rPr>
      </w:pPr>
      <w:bookmarkStart w:id="125" w:name="_Toc169616185"/>
      <w:r w:rsidRPr="002B55E9">
        <w:rPr>
          <w:color w:val="auto"/>
        </w:rPr>
        <w:t>声环境影响评价等级</w:t>
      </w:r>
      <w:bookmarkEnd w:id="125"/>
    </w:p>
    <w:p w14:paraId="1C2CC143" w14:textId="77777777" w:rsidR="00D170E5" w:rsidRPr="002B55E9" w:rsidRDefault="00EF27AD">
      <w:pPr>
        <w:pStyle w:val="affff7"/>
        <w:snapToGrid w:val="0"/>
        <w:spacing w:after="0"/>
      </w:pPr>
      <w:bookmarkStart w:id="126" w:name="_Toc169616186"/>
      <w:bookmarkStart w:id="127" w:name="_Toc121711625"/>
      <w:bookmarkStart w:id="128" w:name="_Toc124238086"/>
      <w:bookmarkStart w:id="129" w:name="_Toc169616187"/>
      <w:bookmarkStart w:id="130" w:name="_Toc199925085"/>
      <w:r w:rsidRPr="002B55E9">
        <w:rPr>
          <w:rFonts w:hint="eastAsia"/>
        </w:rPr>
        <w:t>《环境</w:t>
      </w:r>
      <w:r w:rsidRPr="002B55E9">
        <w:t>影响评价技术导则</w:t>
      </w:r>
      <w:r w:rsidRPr="002B55E9">
        <w:rPr>
          <w:rFonts w:hint="eastAsia"/>
        </w:rPr>
        <w:t xml:space="preserve"> </w:t>
      </w:r>
      <w:r w:rsidRPr="002B55E9">
        <w:rPr>
          <w:rFonts w:hint="eastAsia"/>
        </w:rPr>
        <w:t>声环境》（</w:t>
      </w:r>
      <w:r w:rsidRPr="002B55E9">
        <w:rPr>
          <w:rFonts w:hint="eastAsia"/>
        </w:rPr>
        <w:t>HJ2.4-2021</w:t>
      </w:r>
      <w:r w:rsidRPr="002B55E9">
        <w:rPr>
          <w:rFonts w:hint="eastAsia"/>
        </w:rPr>
        <w:t>）第</w:t>
      </w:r>
      <w:r w:rsidRPr="002B55E9">
        <w:rPr>
          <w:rFonts w:hint="eastAsia"/>
        </w:rPr>
        <w:t>5.1</w:t>
      </w:r>
      <w:r w:rsidRPr="002B55E9">
        <w:rPr>
          <w:rFonts w:hint="eastAsia"/>
        </w:rPr>
        <w:t>条</w:t>
      </w:r>
      <w:r w:rsidRPr="002B55E9">
        <w:t>规定：</w:t>
      </w:r>
      <w:r w:rsidRPr="002B55E9">
        <w:rPr>
          <w:rFonts w:hint="eastAsia"/>
        </w:rPr>
        <w:t>5.1.2</w:t>
      </w:r>
      <w:r w:rsidRPr="002B55E9">
        <w:rPr>
          <w:rFonts w:hint="eastAsia"/>
        </w:rPr>
        <w:t>评价范围</w:t>
      </w:r>
      <w:r w:rsidRPr="002B55E9">
        <w:t>内有适用于</w:t>
      </w:r>
      <w:r w:rsidRPr="002B55E9">
        <w:rPr>
          <w:rFonts w:hint="eastAsia"/>
        </w:rPr>
        <w:t>GB3096</w:t>
      </w:r>
      <w:r w:rsidRPr="002B55E9">
        <w:rPr>
          <w:rFonts w:hint="eastAsia"/>
        </w:rPr>
        <w:t>规定</w:t>
      </w:r>
      <w:r w:rsidRPr="002B55E9">
        <w:t>的</w:t>
      </w:r>
      <w:r w:rsidRPr="002B55E9">
        <w:rPr>
          <w:rFonts w:hint="eastAsia"/>
        </w:rPr>
        <w:t>0</w:t>
      </w:r>
      <w:r w:rsidRPr="002B55E9">
        <w:rPr>
          <w:rFonts w:hint="eastAsia"/>
        </w:rPr>
        <w:t>类</w:t>
      </w:r>
      <w:r w:rsidRPr="002B55E9">
        <w:t>声环境功能</w:t>
      </w:r>
      <w:r w:rsidRPr="002B55E9">
        <w:rPr>
          <w:rFonts w:hint="eastAsia"/>
        </w:rPr>
        <w:t>区域</w:t>
      </w:r>
      <w:r w:rsidRPr="002B55E9">
        <w:t>，或</w:t>
      </w:r>
      <w:r w:rsidRPr="002B55E9">
        <w:rPr>
          <w:rFonts w:hint="eastAsia"/>
        </w:rPr>
        <w:t>建设</w:t>
      </w:r>
      <w:r w:rsidRPr="002B55E9">
        <w:t>项目</w:t>
      </w:r>
      <w:r w:rsidRPr="002B55E9">
        <w:rPr>
          <w:rFonts w:hint="eastAsia"/>
        </w:rPr>
        <w:t>建设</w:t>
      </w:r>
      <w:r w:rsidRPr="002B55E9">
        <w:t>前后评价范围内有声环境保护目标噪声级增量达</w:t>
      </w:r>
      <w:r w:rsidRPr="002B55E9">
        <w:rPr>
          <w:rFonts w:hint="eastAsia"/>
        </w:rPr>
        <w:t>5</w:t>
      </w:r>
      <w:r w:rsidRPr="002B55E9">
        <w:t>dB</w:t>
      </w:r>
      <w:r w:rsidRPr="002B55E9">
        <w:t>（</w:t>
      </w:r>
      <w:r w:rsidRPr="002B55E9">
        <w:rPr>
          <w:rFonts w:hint="eastAsia"/>
        </w:rPr>
        <w:t>A</w:t>
      </w:r>
      <w:r w:rsidRPr="002B55E9">
        <w:t>）</w:t>
      </w:r>
      <w:r w:rsidRPr="002B55E9">
        <w:rPr>
          <w:rFonts w:hint="eastAsia"/>
        </w:rPr>
        <w:t>以上</w:t>
      </w:r>
      <w:r w:rsidRPr="002B55E9">
        <w:t>（</w:t>
      </w:r>
      <w:r w:rsidRPr="002B55E9">
        <w:rPr>
          <w:rFonts w:hint="eastAsia"/>
        </w:rPr>
        <w:t>不含</w:t>
      </w:r>
      <w:r w:rsidRPr="002B55E9">
        <w:rPr>
          <w:rFonts w:hint="eastAsia"/>
        </w:rPr>
        <w:t>5</w:t>
      </w:r>
      <w:r w:rsidRPr="002B55E9">
        <w:t>dB</w:t>
      </w:r>
      <w:r w:rsidRPr="002B55E9">
        <w:t>（</w:t>
      </w:r>
      <w:r w:rsidRPr="002B55E9">
        <w:rPr>
          <w:rFonts w:hint="eastAsia"/>
        </w:rPr>
        <w:t>A</w:t>
      </w:r>
      <w:r w:rsidRPr="002B55E9">
        <w:t>））</w:t>
      </w:r>
      <w:r w:rsidRPr="002B55E9">
        <w:rPr>
          <w:rFonts w:hint="eastAsia"/>
        </w:rPr>
        <w:t>，</w:t>
      </w:r>
      <w:r w:rsidRPr="002B55E9">
        <w:t>或受影响</w:t>
      </w:r>
      <w:r w:rsidRPr="002B55E9">
        <w:rPr>
          <w:rFonts w:hint="eastAsia"/>
        </w:rPr>
        <w:t>人口</w:t>
      </w:r>
      <w:r w:rsidRPr="002B55E9">
        <w:t>数量显著增加</w:t>
      </w:r>
      <w:r w:rsidRPr="002B55E9">
        <w:rPr>
          <w:rFonts w:hint="eastAsia"/>
        </w:rPr>
        <w:t>时</w:t>
      </w:r>
      <w:r w:rsidRPr="002B55E9">
        <w:t>，按一级</w:t>
      </w:r>
      <w:r w:rsidRPr="002B55E9">
        <w:rPr>
          <w:rFonts w:hint="eastAsia"/>
        </w:rPr>
        <w:t>评价。</w:t>
      </w:r>
      <w:r w:rsidRPr="002B55E9">
        <w:rPr>
          <w:rFonts w:hint="eastAsia"/>
        </w:rPr>
        <w:t>5</w:t>
      </w:r>
      <w:r w:rsidRPr="002B55E9">
        <w:t>.1.3</w:t>
      </w:r>
      <w:r w:rsidRPr="002B55E9">
        <w:rPr>
          <w:rFonts w:hint="eastAsia"/>
        </w:rPr>
        <w:t>建设</w:t>
      </w:r>
      <w:r w:rsidRPr="002B55E9">
        <w:t>项目</w:t>
      </w:r>
      <w:r w:rsidRPr="002B55E9">
        <w:rPr>
          <w:rFonts w:hint="eastAsia"/>
        </w:rPr>
        <w:t>所处</w:t>
      </w:r>
      <w:r w:rsidRPr="002B55E9">
        <w:t>的声环境功能区为</w:t>
      </w:r>
      <w:r w:rsidRPr="002B55E9">
        <w:rPr>
          <w:rFonts w:hint="eastAsia"/>
        </w:rPr>
        <w:t>GB3096</w:t>
      </w:r>
      <w:r w:rsidRPr="002B55E9">
        <w:rPr>
          <w:rFonts w:hint="eastAsia"/>
        </w:rPr>
        <w:t>规定</w:t>
      </w:r>
      <w:r w:rsidRPr="002B55E9">
        <w:t>的</w:t>
      </w:r>
      <w:r w:rsidRPr="002B55E9">
        <w:rPr>
          <w:rFonts w:hint="eastAsia"/>
        </w:rPr>
        <w:t>1</w:t>
      </w:r>
      <w:r w:rsidRPr="002B55E9">
        <w:rPr>
          <w:rFonts w:hint="eastAsia"/>
        </w:rPr>
        <w:t>类、</w:t>
      </w:r>
      <w:r w:rsidRPr="002B55E9">
        <w:rPr>
          <w:rFonts w:hint="eastAsia"/>
        </w:rPr>
        <w:t>2</w:t>
      </w:r>
      <w:r w:rsidRPr="002B55E9">
        <w:rPr>
          <w:rFonts w:hint="eastAsia"/>
        </w:rPr>
        <w:t>类</w:t>
      </w:r>
      <w:r w:rsidRPr="002B55E9">
        <w:t>地区，或建设项目建设前后评价范围内声环境保护目标噪声级增量达</w:t>
      </w:r>
      <w:r w:rsidRPr="002B55E9">
        <w:rPr>
          <w:rFonts w:hint="eastAsia"/>
        </w:rPr>
        <w:t>3</w:t>
      </w:r>
      <w:r w:rsidRPr="002B55E9">
        <w:t>dB</w:t>
      </w:r>
      <w:r w:rsidRPr="002B55E9">
        <w:t>（</w:t>
      </w:r>
      <w:r w:rsidRPr="002B55E9">
        <w:rPr>
          <w:rFonts w:hint="eastAsia"/>
        </w:rPr>
        <w:t>A</w:t>
      </w:r>
      <w:r w:rsidRPr="002B55E9">
        <w:t>）</w:t>
      </w:r>
      <w:r w:rsidRPr="002B55E9">
        <w:rPr>
          <w:rFonts w:hint="eastAsia"/>
        </w:rPr>
        <w:t>~</w:t>
      </w:r>
      <w:r w:rsidRPr="002B55E9">
        <w:t>5dB</w:t>
      </w:r>
      <w:r w:rsidRPr="002B55E9">
        <w:rPr>
          <w:rFonts w:hint="eastAsia"/>
        </w:rPr>
        <w:t>（</w:t>
      </w:r>
      <w:r w:rsidRPr="002B55E9">
        <w:rPr>
          <w:rFonts w:hint="eastAsia"/>
        </w:rPr>
        <w:t>A</w:t>
      </w:r>
      <w:r w:rsidRPr="002B55E9">
        <w:rPr>
          <w:rFonts w:hint="eastAsia"/>
        </w:rPr>
        <w:t>），</w:t>
      </w:r>
      <w:r w:rsidRPr="002B55E9">
        <w:t>或受噪声影响人口数量增加较多时，按二级评价。</w:t>
      </w:r>
      <w:r w:rsidRPr="002B55E9">
        <w:rPr>
          <w:rFonts w:hint="eastAsia"/>
        </w:rPr>
        <w:t>5</w:t>
      </w:r>
      <w:r w:rsidRPr="002B55E9">
        <w:t>.1.4</w:t>
      </w:r>
      <w:r w:rsidRPr="002B55E9">
        <w:rPr>
          <w:rFonts w:hint="eastAsia"/>
        </w:rPr>
        <w:t>建设</w:t>
      </w:r>
      <w:r w:rsidRPr="002B55E9">
        <w:t>项目所处的声环境功能区为</w:t>
      </w:r>
      <w:r w:rsidRPr="002B55E9">
        <w:rPr>
          <w:rFonts w:hint="eastAsia"/>
        </w:rPr>
        <w:t>GB3096</w:t>
      </w:r>
      <w:r w:rsidRPr="002B55E9">
        <w:rPr>
          <w:rFonts w:hint="eastAsia"/>
        </w:rPr>
        <w:t>规定</w:t>
      </w:r>
      <w:r w:rsidRPr="002B55E9">
        <w:t>的</w:t>
      </w:r>
      <w:r w:rsidRPr="002B55E9">
        <w:rPr>
          <w:rFonts w:hint="eastAsia"/>
        </w:rPr>
        <w:t>3</w:t>
      </w:r>
      <w:r w:rsidRPr="002B55E9">
        <w:rPr>
          <w:rFonts w:hint="eastAsia"/>
        </w:rPr>
        <w:t>类</w:t>
      </w:r>
      <w:r w:rsidRPr="002B55E9">
        <w:t>、</w:t>
      </w:r>
      <w:r w:rsidRPr="002B55E9">
        <w:rPr>
          <w:rFonts w:hint="eastAsia"/>
        </w:rPr>
        <w:t>4</w:t>
      </w:r>
      <w:r w:rsidRPr="002B55E9">
        <w:rPr>
          <w:rFonts w:hint="eastAsia"/>
        </w:rPr>
        <w:t>类地区</w:t>
      </w:r>
      <w:r w:rsidRPr="002B55E9">
        <w:t>，或</w:t>
      </w:r>
      <w:r w:rsidRPr="002B55E9">
        <w:rPr>
          <w:rFonts w:hint="eastAsia"/>
        </w:rPr>
        <w:t>建设</w:t>
      </w:r>
      <w:r w:rsidRPr="002B55E9">
        <w:t>项目建设前后评价范围内声环境保护目标噪声级增量在</w:t>
      </w:r>
      <w:r w:rsidRPr="002B55E9">
        <w:rPr>
          <w:rFonts w:hint="eastAsia"/>
        </w:rPr>
        <w:t>3</w:t>
      </w:r>
      <w:r w:rsidRPr="002B55E9">
        <w:t>dB</w:t>
      </w:r>
      <w:r w:rsidRPr="002B55E9">
        <w:t>（</w:t>
      </w:r>
      <w:r w:rsidRPr="002B55E9">
        <w:rPr>
          <w:rFonts w:hint="eastAsia"/>
        </w:rPr>
        <w:t>A</w:t>
      </w:r>
      <w:r w:rsidRPr="002B55E9">
        <w:t>）</w:t>
      </w:r>
      <w:r w:rsidRPr="002B55E9">
        <w:rPr>
          <w:rFonts w:hint="eastAsia"/>
        </w:rPr>
        <w:t>一下</w:t>
      </w:r>
      <w:r w:rsidRPr="002B55E9">
        <w:t>（</w:t>
      </w:r>
      <w:r w:rsidRPr="002B55E9">
        <w:rPr>
          <w:rFonts w:hint="eastAsia"/>
        </w:rPr>
        <w:t>不含</w:t>
      </w:r>
      <w:r w:rsidRPr="002B55E9">
        <w:rPr>
          <w:rFonts w:hint="eastAsia"/>
        </w:rPr>
        <w:t>3</w:t>
      </w:r>
      <w:r w:rsidRPr="002B55E9">
        <w:t>dB</w:t>
      </w:r>
      <w:r w:rsidRPr="002B55E9">
        <w:rPr>
          <w:rFonts w:hint="eastAsia"/>
        </w:rPr>
        <w:t>（</w:t>
      </w:r>
      <w:r w:rsidRPr="002B55E9">
        <w:rPr>
          <w:rFonts w:hint="eastAsia"/>
        </w:rPr>
        <w:t>A</w:t>
      </w:r>
      <w:r w:rsidRPr="002B55E9">
        <w:rPr>
          <w:rFonts w:hint="eastAsia"/>
        </w:rPr>
        <w:t>）</w:t>
      </w:r>
      <w:r w:rsidRPr="002B55E9">
        <w:t>）</w:t>
      </w:r>
      <w:r w:rsidRPr="002B55E9">
        <w:rPr>
          <w:rFonts w:hint="eastAsia"/>
        </w:rPr>
        <w:t>，</w:t>
      </w:r>
      <w:r w:rsidRPr="002B55E9">
        <w:t>且受影响人口数量变化不大时，按三级评价。第</w:t>
      </w:r>
      <w:r w:rsidRPr="002B55E9">
        <w:t>5.2.5</w:t>
      </w:r>
      <w:r w:rsidRPr="002B55E9">
        <w:t>条规定：在确定评价工作等级时，如建设项目符合两个以上级别的划分原则，按较高级别的评价等级评价。</w:t>
      </w:r>
    </w:p>
    <w:p w14:paraId="7BFEF0EB" w14:textId="77777777" w:rsidR="00D170E5" w:rsidRPr="002B55E9" w:rsidRDefault="00EF27AD">
      <w:pPr>
        <w:pStyle w:val="affff7"/>
        <w:snapToGrid w:val="0"/>
        <w:spacing w:after="0"/>
        <w:rPr>
          <w:szCs w:val="24"/>
        </w:rPr>
      </w:pPr>
      <w:r w:rsidRPr="002B55E9">
        <w:lastRenderedPageBreak/>
        <w:t>按</w:t>
      </w:r>
      <w:r w:rsidRPr="002B55E9">
        <w:t>HJ2.4-2021</w:t>
      </w:r>
      <w:r w:rsidRPr="002B55E9">
        <w:t>中评价工作分级的规定，确定本次声环境影响评价工作等级为</w:t>
      </w:r>
      <w:r w:rsidRPr="002B55E9">
        <w:rPr>
          <w:rFonts w:hint="eastAsia"/>
        </w:rPr>
        <w:t>二</w:t>
      </w:r>
      <w:r w:rsidRPr="002B55E9">
        <w:t>级</w:t>
      </w:r>
      <w:r w:rsidRPr="002B55E9">
        <w:rPr>
          <w:szCs w:val="24"/>
        </w:rPr>
        <w:t>。</w:t>
      </w:r>
    </w:p>
    <w:p w14:paraId="7E6D4F71" w14:textId="77777777" w:rsidR="00D170E5" w:rsidRPr="002B55E9" w:rsidRDefault="00EF27AD">
      <w:pPr>
        <w:pStyle w:val="4"/>
        <w:rPr>
          <w:color w:val="auto"/>
        </w:rPr>
      </w:pPr>
      <w:r w:rsidRPr="002B55E9">
        <w:rPr>
          <w:rFonts w:hint="eastAsia"/>
          <w:color w:val="auto"/>
        </w:rPr>
        <w:t>地下水评价等级</w:t>
      </w:r>
    </w:p>
    <w:p w14:paraId="428DADCB" w14:textId="77777777" w:rsidR="00D170E5" w:rsidRPr="002B55E9" w:rsidRDefault="00EF27AD">
      <w:pPr>
        <w:pStyle w:val="affff7"/>
      </w:pPr>
      <w:r w:rsidRPr="002B55E9">
        <w:t>拟建项目不对区域地下水进行开采，不会引起地下水流场或地下水水位变化；项目建成投产后，生产及生活废水最终进入</w:t>
      </w:r>
      <w:r w:rsidRPr="002B55E9">
        <w:rPr>
          <w:rFonts w:hint="eastAsia"/>
        </w:rPr>
        <w:t>东西湖污水处理厂</w:t>
      </w:r>
      <w:r w:rsidRPr="002B55E9">
        <w:t>处理，对地下水的影响主要为废水的渗漏对地下水水质的影响。按其特征</w:t>
      </w:r>
      <w:r w:rsidRPr="002B55E9">
        <w:rPr>
          <w:rFonts w:hint="eastAsia"/>
        </w:rPr>
        <w:t>并</w:t>
      </w:r>
      <w:r w:rsidRPr="002B55E9">
        <w:t>根据《环境影响评价技术导则</w:t>
      </w:r>
      <w:r w:rsidRPr="002B55E9">
        <w:rPr>
          <w:rFonts w:hint="eastAsia"/>
        </w:rPr>
        <w:t xml:space="preserve">  </w:t>
      </w:r>
      <w:r w:rsidRPr="002B55E9">
        <w:t>地下水环境》</w:t>
      </w:r>
      <w:r w:rsidRPr="002B55E9">
        <w:t>(HJ610-2016)</w:t>
      </w:r>
      <w:r w:rsidRPr="002B55E9">
        <w:t>的定义，拟建项目属于</w:t>
      </w:r>
      <w:r w:rsidRPr="002B55E9">
        <w:rPr>
          <w:rFonts w:ascii="宋体" w:hAnsi="宋体" w:hint="eastAsia"/>
        </w:rPr>
        <w:t>Ⅲ</w:t>
      </w:r>
      <w:r w:rsidRPr="002B55E9">
        <w:t>类建设项目，</w:t>
      </w:r>
      <w:bookmarkStart w:id="131" w:name="_Hlk35275750"/>
      <w:r w:rsidRPr="002B55E9">
        <w:t>项目所在区域的地下水环境敏感程度为不敏感</w:t>
      </w:r>
      <w:bookmarkEnd w:id="131"/>
      <w:r w:rsidRPr="002B55E9">
        <w:t>，按照</w:t>
      </w:r>
      <w:r w:rsidRPr="002B55E9">
        <w:t>HJ610-2016</w:t>
      </w:r>
      <w:r w:rsidRPr="002B55E9">
        <w:t>中</w:t>
      </w:r>
      <w:r w:rsidRPr="002B55E9">
        <w:t>6.2.2.1</w:t>
      </w:r>
      <w:r w:rsidRPr="002B55E9">
        <w:t>条</w:t>
      </w:r>
      <w:r w:rsidRPr="002B55E9">
        <w:t>“</w:t>
      </w:r>
      <w:r w:rsidRPr="002B55E9">
        <w:t>评价工作等级分级表</w:t>
      </w:r>
      <w:r w:rsidRPr="002B55E9">
        <w:t>”</w:t>
      </w:r>
      <w:r w:rsidRPr="002B55E9">
        <w:t>，确定本次地下水环境影响评价工作等级为</w:t>
      </w:r>
      <w:r w:rsidRPr="002B55E9">
        <w:rPr>
          <w:rFonts w:hint="eastAsia"/>
        </w:rPr>
        <w:t>三</w:t>
      </w:r>
      <w:r w:rsidRPr="002B55E9">
        <w:t>级，详见下表。</w:t>
      </w:r>
    </w:p>
    <w:p w14:paraId="50511571"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1-7-</w:t>
      </w:r>
      <w:r w:rsidRPr="002B55E9">
        <w:rPr>
          <w:rFonts w:eastAsia="黑体"/>
          <w:b/>
        </w:rPr>
        <w:t>7</w:t>
      </w:r>
      <w:r w:rsidRPr="002B55E9">
        <w:rPr>
          <w:rFonts w:eastAsia="黑体" w:hint="eastAsia"/>
          <w:b/>
        </w:rPr>
        <w:t xml:space="preserve">  </w:t>
      </w:r>
      <w:bookmarkStart w:id="132" w:name="_Hlk35275806"/>
      <w:r w:rsidRPr="002B55E9">
        <w:rPr>
          <w:rFonts w:eastAsia="黑体"/>
          <w:b/>
        </w:rPr>
        <w:t>地下水环境评价工作等级</w:t>
      </w:r>
      <w:r w:rsidRPr="002B55E9">
        <w:rPr>
          <w:rFonts w:eastAsia="黑体" w:hint="eastAsia"/>
          <w:b/>
        </w:rPr>
        <w:t>分级</w:t>
      </w:r>
      <w:r w:rsidRPr="002B55E9">
        <w:rPr>
          <w:rFonts w:eastAsia="黑体"/>
          <w:b/>
        </w:rPr>
        <w:t>表</w:t>
      </w:r>
      <w:bookmarkEnd w:id="132"/>
    </w:p>
    <w:tbl>
      <w:tblPr>
        <w:tblW w:w="9606"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70"/>
        <w:gridCol w:w="2268"/>
        <w:gridCol w:w="2126"/>
        <w:gridCol w:w="1542"/>
      </w:tblGrid>
      <w:tr w:rsidR="002B55E9" w:rsidRPr="002B55E9" w14:paraId="0D3305B5" w14:textId="77777777">
        <w:trPr>
          <w:trHeight w:val="227"/>
          <w:jc w:val="center"/>
        </w:trPr>
        <w:tc>
          <w:tcPr>
            <w:tcW w:w="3670" w:type="dxa"/>
            <w:tcBorders>
              <w:top w:val="single" w:sz="12" w:space="0" w:color="000000"/>
              <w:bottom w:val="single" w:sz="12" w:space="0" w:color="auto"/>
              <w:right w:val="single" w:sz="4" w:space="0" w:color="auto"/>
              <w:tl2br w:val="single" w:sz="12" w:space="0" w:color="auto"/>
            </w:tcBorders>
            <w:vAlign w:val="center"/>
          </w:tcPr>
          <w:p w14:paraId="51B081F1" w14:textId="77777777" w:rsidR="00D170E5" w:rsidRPr="002B55E9" w:rsidRDefault="00EF27AD">
            <w:pPr>
              <w:ind w:firstLineChars="1500" w:firstLine="2700"/>
              <w:rPr>
                <w:sz w:val="18"/>
                <w:szCs w:val="18"/>
              </w:rPr>
            </w:pPr>
            <w:bookmarkStart w:id="133" w:name="_Hlk35275769"/>
            <w:r w:rsidRPr="002B55E9">
              <w:rPr>
                <w:sz w:val="18"/>
                <w:szCs w:val="18"/>
              </w:rPr>
              <w:t>项目类别</w:t>
            </w:r>
          </w:p>
          <w:p w14:paraId="7B75D7FC" w14:textId="77777777" w:rsidR="00D170E5" w:rsidRPr="002B55E9" w:rsidRDefault="00EF27AD">
            <w:pPr>
              <w:rPr>
                <w:sz w:val="18"/>
                <w:szCs w:val="18"/>
              </w:rPr>
            </w:pPr>
            <w:r w:rsidRPr="002B55E9">
              <w:rPr>
                <w:sz w:val="18"/>
                <w:szCs w:val="18"/>
              </w:rPr>
              <w:t>环境敏感程度</w:t>
            </w:r>
          </w:p>
        </w:tc>
        <w:tc>
          <w:tcPr>
            <w:tcW w:w="2268" w:type="dxa"/>
            <w:tcBorders>
              <w:top w:val="single" w:sz="12" w:space="0" w:color="000000"/>
              <w:bottom w:val="single" w:sz="12" w:space="0" w:color="auto"/>
              <w:right w:val="single" w:sz="4" w:space="0" w:color="auto"/>
            </w:tcBorders>
            <w:vAlign w:val="center"/>
          </w:tcPr>
          <w:p w14:paraId="72EBCBCA" w14:textId="77777777" w:rsidR="00D170E5" w:rsidRPr="002B55E9" w:rsidRDefault="00EF27AD">
            <w:pPr>
              <w:jc w:val="center"/>
              <w:rPr>
                <w:sz w:val="18"/>
                <w:szCs w:val="18"/>
              </w:rPr>
            </w:pPr>
            <w:r w:rsidRPr="002B55E9">
              <w:rPr>
                <w:sz w:val="18"/>
                <w:szCs w:val="18"/>
              </w:rPr>
              <w:t>I</w:t>
            </w:r>
            <w:r w:rsidRPr="002B55E9">
              <w:rPr>
                <w:sz w:val="18"/>
                <w:szCs w:val="18"/>
              </w:rPr>
              <w:t>类项目</w:t>
            </w:r>
          </w:p>
        </w:tc>
        <w:tc>
          <w:tcPr>
            <w:tcW w:w="2126" w:type="dxa"/>
            <w:tcBorders>
              <w:top w:val="single" w:sz="12" w:space="0" w:color="000000"/>
              <w:left w:val="single" w:sz="4" w:space="0" w:color="auto"/>
              <w:bottom w:val="single" w:sz="12" w:space="0" w:color="auto"/>
              <w:right w:val="nil"/>
            </w:tcBorders>
            <w:vAlign w:val="center"/>
          </w:tcPr>
          <w:p w14:paraId="5AF5FE4A" w14:textId="77777777" w:rsidR="00D170E5" w:rsidRPr="002B55E9" w:rsidRDefault="00EF27AD">
            <w:pPr>
              <w:jc w:val="center"/>
              <w:rPr>
                <w:sz w:val="18"/>
                <w:szCs w:val="18"/>
              </w:rPr>
            </w:pPr>
            <w:r w:rsidRPr="002B55E9">
              <w:rPr>
                <w:sz w:val="18"/>
                <w:szCs w:val="18"/>
              </w:rPr>
              <w:t>II</w:t>
            </w:r>
            <w:r w:rsidRPr="002B55E9">
              <w:rPr>
                <w:sz w:val="18"/>
                <w:szCs w:val="18"/>
              </w:rPr>
              <w:t>类项目</w:t>
            </w:r>
          </w:p>
        </w:tc>
        <w:tc>
          <w:tcPr>
            <w:tcW w:w="1542" w:type="dxa"/>
            <w:tcBorders>
              <w:top w:val="single" w:sz="12" w:space="0" w:color="000000"/>
              <w:left w:val="single" w:sz="4" w:space="0" w:color="auto"/>
              <w:bottom w:val="single" w:sz="12" w:space="0" w:color="auto"/>
              <w:right w:val="nil"/>
            </w:tcBorders>
            <w:vAlign w:val="center"/>
          </w:tcPr>
          <w:p w14:paraId="2A294B1B" w14:textId="77777777" w:rsidR="00D170E5" w:rsidRPr="002B55E9" w:rsidRDefault="00EF27AD">
            <w:pPr>
              <w:jc w:val="center"/>
              <w:rPr>
                <w:sz w:val="18"/>
                <w:szCs w:val="18"/>
              </w:rPr>
            </w:pPr>
            <w:r w:rsidRPr="002B55E9">
              <w:rPr>
                <w:sz w:val="18"/>
                <w:szCs w:val="18"/>
              </w:rPr>
              <w:t>III</w:t>
            </w:r>
            <w:r w:rsidRPr="002B55E9">
              <w:rPr>
                <w:sz w:val="18"/>
                <w:szCs w:val="18"/>
              </w:rPr>
              <w:t>类项目</w:t>
            </w:r>
          </w:p>
        </w:tc>
      </w:tr>
      <w:tr w:rsidR="002B55E9" w:rsidRPr="002B55E9" w14:paraId="6678DA53" w14:textId="77777777">
        <w:trPr>
          <w:trHeight w:val="227"/>
          <w:jc w:val="center"/>
        </w:trPr>
        <w:tc>
          <w:tcPr>
            <w:tcW w:w="3670" w:type="dxa"/>
            <w:tcBorders>
              <w:top w:val="single" w:sz="12" w:space="0" w:color="auto"/>
              <w:bottom w:val="single" w:sz="6" w:space="0" w:color="auto"/>
              <w:right w:val="single" w:sz="6" w:space="0" w:color="auto"/>
            </w:tcBorders>
            <w:vAlign w:val="center"/>
          </w:tcPr>
          <w:p w14:paraId="796E9B63" w14:textId="77777777" w:rsidR="00D170E5" w:rsidRPr="002B55E9" w:rsidRDefault="00EF27AD">
            <w:pPr>
              <w:jc w:val="center"/>
              <w:rPr>
                <w:sz w:val="18"/>
                <w:szCs w:val="18"/>
              </w:rPr>
            </w:pPr>
            <w:r w:rsidRPr="002B55E9">
              <w:rPr>
                <w:sz w:val="18"/>
                <w:szCs w:val="18"/>
              </w:rPr>
              <w:t>敏感</w:t>
            </w:r>
          </w:p>
        </w:tc>
        <w:tc>
          <w:tcPr>
            <w:tcW w:w="2268" w:type="dxa"/>
            <w:tcBorders>
              <w:top w:val="single" w:sz="12" w:space="0" w:color="auto"/>
              <w:left w:val="single" w:sz="6" w:space="0" w:color="auto"/>
              <w:bottom w:val="single" w:sz="6" w:space="0" w:color="auto"/>
              <w:right w:val="single" w:sz="6" w:space="0" w:color="auto"/>
            </w:tcBorders>
            <w:vAlign w:val="center"/>
          </w:tcPr>
          <w:p w14:paraId="234C0C5E" w14:textId="77777777" w:rsidR="00D170E5" w:rsidRPr="002B55E9" w:rsidRDefault="00EF27AD">
            <w:pPr>
              <w:jc w:val="center"/>
              <w:rPr>
                <w:sz w:val="18"/>
                <w:szCs w:val="18"/>
              </w:rPr>
            </w:pPr>
            <w:r w:rsidRPr="002B55E9">
              <w:rPr>
                <w:sz w:val="18"/>
                <w:szCs w:val="18"/>
              </w:rPr>
              <w:t>一</w:t>
            </w:r>
          </w:p>
        </w:tc>
        <w:tc>
          <w:tcPr>
            <w:tcW w:w="2126" w:type="dxa"/>
            <w:tcBorders>
              <w:top w:val="single" w:sz="12" w:space="0" w:color="auto"/>
              <w:left w:val="single" w:sz="6" w:space="0" w:color="auto"/>
              <w:bottom w:val="single" w:sz="6" w:space="0" w:color="auto"/>
              <w:right w:val="single" w:sz="6" w:space="0" w:color="auto"/>
            </w:tcBorders>
            <w:vAlign w:val="center"/>
          </w:tcPr>
          <w:p w14:paraId="37833F1A" w14:textId="77777777" w:rsidR="00D170E5" w:rsidRPr="002B55E9" w:rsidRDefault="00EF27AD">
            <w:pPr>
              <w:jc w:val="center"/>
              <w:rPr>
                <w:sz w:val="18"/>
                <w:szCs w:val="18"/>
              </w:rPr>
            </w:pPr>
            <w:r w:rsidRPr="002B55E9">
              <w:rPr>
                <w:sz w:val="18"/>
                <w:szCs w:val="18"/>
              </w:rPr>
              <w:t>一</w:t>
            </w:r>
          </w:p>
        </w:tc>
        <w:tc>
          <w:tcPr>
            <w:tcW w:w="1542" w:type="dxa"/>
            <w:tcBorders>
              <w:top w:val="single" w:sz="12" w:space="0" w:color="auto"/>
              <w:left w:val="single" w:sz="6" w:space="0" w:color="auto"/>
              <w:bottom w:val="single" w:sz="6" w:space="0" w:color="auto"/>
              <w:right w:val="nil"/>
            </w:tcBorders>
            <w:vAlign w:val="center"/>
          </w:tcPr>
          <w:p w14:paraId="411890D4" w14:textId="77777777" w:rsidR="00D170E5" w:rsidRPr="002B55E9" w:rsidRDefault="00EF27AD">
            <w:pPr>
              <w:jc w:val="center"/>
              <w:rPr>
                <w:sz w:val="18"/>
                <w:szCs w:val="18"/>
              </w:rPr>
            </w:pPr>
            <w:r w:rsidRPr="002B55E9">
              <w:rPr>
                <w:sz w:val="18"/>
                <w:szCs w:val="18"/>
              </w:rPr>
              <w:t>二</w:t>
            </w:r>
          </w:p>
        </w:tc>
      </w:tr>
      <w:tr w:rsidR="002B55E9" w:rsidRPr="002B55E9" w14:paraId="01204D77" w14:textId="77777777">
        <w:trPr>
          <w:trHeight w:val="227"/>
          <w:jc w:val="center"/>
        </w:trPr>
        <w:tc>
          <w:tcPr>
            <w:tcW w:w="3670" w:type="dxa"/>
            <w:tcBorders>
              <w:top w:val="single" w:sz="6" w:space="0" w:color="auto"/>
              <w:bottom w:val="single" w:sz="6" w:space="0" w:color="auto"/>
              <w:right w:val="single" w:sz="6" w:space="0" w:color="auto"/>
            </w:tcBorders>
            <w:vAlign w:val="center"/>
          </w:tcPr>
          <w:p w14:paraId="455C7CAA" w14:textId="77777777" w:rsidR="00D170E5" w:rsidRPr="002B55E9" w:rsidRDefault="00EF27AD">
            <w:pPr>
              <w:jc w:val="center"/>
              <w:rPr>
                <w:sz w:val="18"/>
                <w:szCs w:val="18"/>
              </w:rPr>
            </w:pPr>
            <w:r w:rsidRPr="002B55E9">
              <w:rPr>
                <w:sz w:val="18"/>
                <w:szCs w:val="18"/>
              </w:rPr>
              <w:t>较敏感</w:t>
            </w:r>
          </w:p>
        </w:tc>
        <w:tc>
          <w:tcPr>
            <w:tcW w:w="2268" w:type="dxa"/>
            <w:tcBorders>
              <w:top w:val="single" w:sz="6" w:space="0" w:color="auto"/>
              <w:left w:val="single" w:sz="6" w:space="0" w:color="auto"/>
              <w:bottom w:val="single" w:sz="6" w:space="0" w:color="auto"/>
              <w:right w:val="single" w:sz="6" w:space="0" w:color="auto"/>
            </w:tcBorders>
            <w:vAlign w:val="center"/>
          </w:tcPr>
          <w:p w14:paraId="08276FC9" w14:textId="77777777" w:rsidR="00D170E5" w:rsidRPr="002B55E9" w:rsidRDefault="00EF27AD">
            <w:pPr>
              <w:jc w:val="center"/>
              <w:rPr>
                <w:sz w:val="18"/>
                <w:szCs w:val="18"/>
              </w:rPr>
            </w:pPr>
            <w:r w:rsidRPr="002B55E9">
              <w:rPr>
                <w:sz w:val="18"/>
                <w:szCs w:val="18"/>
              </w:rPr>
              <w:t>一</w:t>
            </w:r>
          </w:p>
        </w:tc>
        <w:tc>
          <w:tcPr>
            <w:tcW w:w="2126" w:type="dxa"/>
            <w:tcBorders>
              <w:top w:val="single" w:sz="6" w:space="0" w:color="auto"/>
              <w:left w:val="single" w:sz="6" w:space="0" w:color="auto"/>
              <w:bottom w:val="single" w:sz="6" w:space="0" w:color="auto"/>
              <w:right w:val="single" w:sz="6" w:space="0" w:color="auto"/>
            </w:tcBorders>
            <w:vAlign w:val="center"/>
          </w:tcPr>
          <w:p w14:paraId="6BF82651" w14:textId="77777777" w:rsidR="00D170E5" w:rsidRPr="002B55E9" w:rsidRDefault="00EF27AD">
            <w:pPr>
              <w:jc w:val="center"/>
              <w:rPr>
                <w:sz w:val="18"/>
                <w:szCs w:val="18"/>
              </w:rPr>
            </w:pPr>
            <w:r w:rsidRPr="002B55E9">
              <w:rPr>
                <w:sz w:val="18"/>
                <w:szCs w:val="18"/>
              </w:rPr>
              <w:t>二</w:t>
            </w:r>
          </w:p>
        </w:tc>
        <w:tc>
          <w:tcPr>
            <w:tcW w:w="1542" w:type="dxa"/>
            <w:tcBorders>
              <w:top w:val="single" w:sz="6" w:space="0" w:color="auto"/>
              <w:left w:val="single" w:sz="6" w:space="0" w:color="auto"/>
              <w:bottom w:val="single" w:sz="6" w:space="0" w:color="auto"/>
              <w:right w:val="nil"/>
            </w:tcBorders>
            <w:vAlign w:val="center"/>
          </w:tcPr>
          <w:p w14:paraId="29E2E963" w14:textId="77777777" w:rsidR="00D170E5" w:rsidRPr="002B55E9" w:rsidRDefault="00EF27AD">
            <w:pPr>
              <w:jc w:val="center"/>
              <w:rPr>
                <w:sz w:val="18"/>
                <w:szCs w:val="18"/>
              </w:rPr>
            </w:pPr>
            <w:r w:rsidRPr="002B55E9">
              <w:rPr>
                <w:sz w:val="18"/>
                <w:szCs w:val="18"/>
              </w:rPr>
              <w:t>三</w:t>
            </w:r>
          </w:p>
        </w:tc>
      </w:tr>
      <w:tr w:rsidR="002B55E9" w:rsidRPr="002B55E9" w14:paraId="49856C28" w14:textId="77777777">
        <w:trPr>
          <w:trHeight w:val="227"/>
          <w:jc w:val="center"/>
        </w:trPr>
        <w:tc>
          <w:tcPr>
            <w:tcW w:w="3670" w:type="dxa"/>
            <w:tcBorders>
              <w:top w:val="single" w:sz="6" w:space="0" w:color="auto"/>
              <w:bottom w:val="single" w:sz="12" w:space="0" w:color="auto"/>
              <w:right w:val="single" w:sz="6" w:space="0" w:color="auto"/>
            </w:tcBorders>
            <w:shd w:val="clear" w:color="auto" w:fill="auto"/>
            <w:vAlign w:val="center"/>
          </w:tcPr>
          <w:p w14:paraId="4F48812E" w14:textId="77777777" w:rsidR="00D170E5" w:rsidRPr="002B55E9" w:rsidRDefault="00EF27AD">
            <w:pPr>
              <w:jc w:val="center"/>
              <w:rPr>
                <w:sz w:val="18"/>
                <w:szCs w:val="18"/>
              </w:rPr>
            </w:pPr>
            <w:r w:rsidRPr="002B55E9">
              <w:rPr>
                <w:sz w:val="18"/>
                <w:szCs w:val="18"/>
              </w:rPr>
              <w:t>不敏感</w:t>
            </w:r>
          </w:p>
        </w:tc>
        <w:tc>
          <w:tcPr>
            <w:tcW w:w="2268" w:type="dxa"/>
            <w:tcBorders>
              <w:top w:val="single" w:sz="6" w:space="0" w:color="auto"/>
              <w:left w:val="single" w:sz="6" w:space="0" w:color="auto"/>
              <w:bottom w:val="single" w:sz="12" w:space="0" w:color="auto"/>
              <w:right w:val="single" w:sz="6" w:space="0" w:color="auto"/>
            </w:tcBorders>
            <w:shd w:val="clear" w:color="auto" w:fill="auto"/>
            <w:vAlign w:val="center"/>
          </w:tcPr>
          <w:p w14:paraId="2B90AF55" w14:textId="77777777" w:rsidR="00D170E5" w:rsidRPr="002B55E9" w:rsidRDefault="00EF27AD">
            <w:pPr>
              <w:jc w:val="center"/>
              <w:rPr>
                <w:sz w:val="18"/>
                <w:szCs w:val="18"/>
              </w:rPr>
            </w:pPr>
            <w:r w:rsidRPr="002B55E9">
              <w:rPr>
                <w:sz w:val="18"/>
                <w:szCs w:val="18"/>
              </w:rPr>
              <w:t>二</w:t>
            </w:r>
          </w:p>
        </w:tc>
        <w:tc>
          <w:tcPr>
            <w:tcW w:w="2126" w:type="dxa"/>
            <w:tcBorders>
              <w:top w:val="single" w:sz="6" w:space="0" w:color="auto"/>
              <w:left w:val="single" w:sz="6" w:space="0" w:color="auto"/>
              <w:bottom w:val="single" w:sz="12" w:space="0" w:color="auto"/>
              <w:right w:val="single" w:sz="6" w:space="0" w:color="auto"/>
            </w:tcBorders>
            <w:shd w:val="clear" w:color="auto" w:fill="auto"/>
            <w:vAlign w:val="center"/>
          </w:tcPr>
          <w:p w14:paraId="68A32B37" w14:textId="77777777" w:rsidR="00D170E5" w:rsidRPr="002B55E9" w:rsidRDefault="00EF27AD">
            <w:pPr>
              <w:jc w:val="center"/>
              <w:rPr>
                <w:sz w:val="18"/>
                <w:szCs w:val="18"/>
              </w:rPr>
            </w:pPr>
            <w:r w:rsidRPr="002B55E9">
              <w:rPr>
                <w:sz w:val="18"/>
                <w:szCs w:val="18"/>
              </w:rPr>
              <w:t>三</w:t>
            </w:r>
          </w:p>
        </w:tc>
        <w:tc>
          <w:tcPr>
            <w:tcW w:w="1542" w:type="dxa"/>
            <w:tcBorders>
              <w:top w:val="single" w:sz="6" w:space="0" w:color="auto"/>
              <w:left w:val="single" w:sz="6" w:space="0" w:color="auto"/>
              <w:bottom w:val="single" w:sz="12" w:space="0" w:color="auto"/>
              <w:right w:val="nil"/>
            </w:tcBorders>
            <w:shd w:val="clear" w:color="auto" w:fill="BFBFBF"/>
            <w:vAlign w:val="center"/>
          </w:tcPr>
          <w:p w14:paraId="56BDC6EE" w14:textId="77777777" w:rsidR="00D170E5" w:rsidRPr="002B55E9" w:rsidRDefault="00EF27AD">
            <w:pPr>
              <w:jc w:val="center"/>
              <w:rPr>
                <w:sz w:val="18"/>
                <w:szCs w:val="18"/>
              </w:rPr>
            </w:pPr>
            <w:r w:rsidRPr="002B55E9">
              <w:rPr>
                <w:sz w:val="18"/>
                <w:szCs w:val="18"/>
              </w:rPr>
              <w:t>三</w:t>
            </w:r>
          </w:p>
        </w:tc>
      </w:tr>
    </w:tbl>
    <w:bookmarkEnd w:id="133"/>
    <w:p w14:paraId="1E931040" w14:textId="77777777" w:rsidR="00D170E5" w:rsidRPr="002B55E9" w:rsidRDefault="00EF27AD">
      <w:pPr>
        <w:pStyle w:val="4"/>
        <w:rPr>
          <w:color w:val="auto"/>
        </w:rPr>
      </w:pPr>
      <w:r w:rsidRPr="002B55E9">
        <w:rPr>
          <w:rFonts w:hint="eastAsia"/>
          <w:color w:val="auto"/>
        </w:rPr>
        <w:t>土壤评价等级</w:t>
      </w:r>
    </w:p>
    <w:p w14:paraId="0AE3394D" w14:textId="77777777" w:rsidR="00D170E5" w:rsidRPr="002B55E9" w:rsidRDefault="00EF27AD">
      <w:pPr>
        <w:pStyle w:val="affff7"/>
      </w:pPr>
      <w:r w:rsidRPr="002B55E9">
        <w:t>根据《环境影响评价技术导则</w:t>
      </w:r>
      <w:r w:rsidRPr="002B55E9">
        <w:t xml:space="preserve"> </w:t>
      </w:r>
      <w:r w:rsidRPr="002B55E9">
        <w:t>土壤环境（试行）》（</w:t>
      </w:r>
      <w:r w:rsidRPr="002B55E9">
        <w:t>HJ964-2018</w:t>
      </w:r>
      <w:r w:rsidRPr="002B55E9">
        <w:t>）附录</w:t>
      </w:r>
      <w:r w:rsidRPr="002B55E9">
        <w:t>A</w:t>
      </w:r>
      <w:r w:rsidRPr="002B55E9">
        <w:t>，拟建项目为</w:t>
      </w:r>
      <w:r w:rsidRPr="002B55E9">
        <w:rPr>
          <w:rFonts w:ascii="宋体" w:hAnsi="宋体" w:hint="eastAsia"/>
        </w:rPr>
        <w:t>Ⅳ</w:t>
      </w:r>
      <w:r w:rsidRPr="002B55E9">
        <w:t>类建设项目，</w:t>
      </w:r>
      <w:r w:rsidRPr="002B55E9">
        <w:rPr>
          <w:rFonts w:hint="eastAsia"/>
        </w:rPr>
        <w:t>可不开展土壤评价</w:t>
      </w:r>
      <w:r w:rsidRPr="002B55E9">
        <w:t>。</w:t>
      </w:r>
    </w:p>
    <w:bookmarkEnd w:id="126"/>
    <w:p w14:paraId="4A19EE7A" w14:textId="77777777" w:rsidR="00D170E5" w:rsidRPr="002B55E9" w:rsidRDefault="00EF27AD">
      <w:pPr>
        <w:pStyle w:val="4"/>
        <w:rPr>
          <w:color w:val="auto"/>
        </w:rPr>
      </w:pPr>
      <w:r w:rsidRPr="002B55E9">
        <w:rPr>
          <w:rFonts w:hint="eastAsia"/>
          <w:color w:val="auto"/>
        </w:rPr>
        <w:t>环境风险</w:t>
      </w:r>
      <w:r w:rsidRPr="002B55E9">
        <w:rPr>
          <w:color w:val="auto"/>
        </w:rPr>
        <w:t>评价等级</w:t>
      </w:r>
    </w:p>
    <w:p w14:paraId="5FDE9E4D" w14:textId="77777777" w:rsidR="00D170E5" w:rsidRPr="002B55E9" w:rsidRDefault="00EF27AD">
      <w:pPr>
        <w:spacing w:line="360" w:lineRule="auto"/>
        <w:ind w:firstLineChars="200" w:firstLine="480"/>
        <w:rPr>
          <w:sz w:val="24"/>
        </w:rPr>
      </w:pPr>
      <w:r w:rsidRPr="002B55E9">
        <w:rPr>
          <w:rFonts w:hAnsi="宋体" w:hint="eastAsia"/>
          <w:sz w:val="24"/>
        </w:rPr>
        <w:t>根据</w:t>
      </w:r>
      <w:r w:rsidRPr="002B55E9">
        <w:rPr>
          <w:sz w:val="24"/>
        </w:rPr>
        <w:t>《建设项目环境风险评价技术导则》（</w:t>
      </w:r>
      <w:r w:rsidRPr="002B55E9">
        <w:rPr>
          <w:sz w:val="24"/>
        </w:rPr>
        <w:t>HJ169-2018</w:t>
      </w:r>
      <w:r w:rsidRPr="002B55E9">
        <w:rPr>
          <w:sz w:val="24"/>
        </w:rPr>
        <w:t>）</w:t>
      </w:r>
      <w:r w:rsidRPr="002B55E9">
        <w:rPr>
          <w:rFonts w:hint="eastAsia"/>
          <w:sz w:val="24"/>
        </w:rPr>
        <w:t>，当只涉及一种危险物质时，计算该物质的总量与其临界量比值，即为</w:t>
      </w:r>
      <w:r w:rsidRPr="002B55E9">
        <w:rPr>
          <w:rFonts w:hint="eastAsia"/>
          <w:sz w:val="24"/>
        </w:rPr>
        <w:t>Q</w:t>
      </w:r>
      <w:r w:rsidRPr="002B55E9">
        <w:rPr>
          <w:rFonts w:hint="eastAsia"/>
          <w:sz w:val="24"/>
        </w:rPr>
        <w:t>。</w:t>
      </w:r>
    </w:p>
    <w:p w14:paraId="7A6BE3F5" w14:textId="77777777" w:rsidR="00D170E5" w:rsidRPr="002B55E9" w:rsidRDefault="00EF27AD">
      <w:pPr>
        <w:spacing w:line="360" w:lineRule="auto"/>
        <w:ind w:firstLineChars="200" w:firstLine="480"/>
        <w:rPr>
          <w:rFonts w:hAnsi="宋体"/>
          <w:sz w:val="24"/>
        </w:rPr>
      </w:pPr>
      <w:r w:rsidRPr="002B55E9">
        <w:rPr>
          <w:rFonts w:hint="eastAsia"/>
          <w:sz w:val="24"/>
        </w:rPr>
        <w:t>当存在多种危险物质时，则按式（</w:t>
      </w:r>
      <w:r w:rsidRPr="002B55E9">
        <w:rPr>
          <w:rFonts w:hint="eastAsia"/>
          <w:sz w:val="24"/>
        </w:rPr>
        <w:t>1</w:t>
      </w:r>
      <w:r w:rsidRPr="002B55E9">
        <w:rPr>
          <w:rFonts w:hint="eastAsia"/>
          <w:sz w:val="24"/>
        </w:rPr>
        <w:t>）计算物质总量与其临界量比值（</w:t>
      </w:r>
      <w:r w:rsidRPr="002B55E9">
        <w:rPr>
          <w:rFonts w:hint="eastAsia"/>
          <w:sz w:val="24"/>
        </w:rPr>
        <w:t>Q</w:t>
      </w:r>
      <w:r w:rsidRPr="002B55E9">
        <w:rPr>
          <w:rFonts w:hint="eastAsia"/>
          <w:sz w:val="24"/>
        </w:rPr>
        <w:t>）：</w:t>
      </w:r>
    </w:p>
    <w:p w14:paraId="1815351A" w14:textId="77777777" w:rsidR="00D170E5" w:rsidRPr="002B55E9" w:rsidRDefault="00EF27AD">
      <w:pPr>
        <w:widowControl/>
        <w:jc w:val="center"/>
        <w:rPr>
          <w:rFonts w:ascii="宋体" w:hAnsi="宋体" w:cs="宋体"/>
          <w:sz w:val="24"/>
        </w:rPr>
      </w:pPr>
      <w:r w:rsidRPr="002B55E9">
        <w:rPr>
          <w:rFonts w:ascii="宋体" w:hAnsi="宋体" w:cs="宋体" w:hint="eastAsia"/>
          <w:sz w:val="24"/>
        </w:rPr>
        <w:t xml:space="preserve">                  </w:t>
      </w:r>
      <w:r w:rsidRPr="002B55E9">
        <w:rPr>
          <w:rFonts w:ascii="宋体" w:hAnsi="宋体" w:cs="宋体"/>
          <w:noProof/>
          <w:sz w:val="24"/>
        </w:rPr>
        <w:drawing>
          <wp:inline distT="0" distB="0" distL="0" distR="0" wp14:anchorId="1128A4DB" wp14:editId="5F4911D7">
            <wp:extent cx="2249805" cy="529590"/>
            <wp:effectExtent l="0" t="0" r="0" b="0"/>
            <wp:docPr id="2" name="图片 4" descr="D:\我的文档\Tencent Files\942277795\Image\C2C\]PCI}Y0UR$1L7S7TOGP_6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D:\我的文档\Tencent Files\942277795\Image\C2C\]PCI}Y0UR$1L7S7TOGP_6R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49805" cy="529590"/>
                    </a:xfrm>
                    <a:prstGeom prst="rect">
                      <a:avLst/>
                    </a:prstGeom>
                    <a:noFill/>
                    <a:ln>
                      <a:noFill/>
                    </a:ln>
                  </pic:spPr>
                </pic:pic>
              </a:graphicData>
            </a:graphic>
          </wp:inline>
        </w:drawing>
      </w:r>
      <w:r w:rsidRPr="002B55E9">
        <w:rPr>
          <w:rFonts w:ascii="宋体" w:hAnsi="宋体" w:cs="宋体" w:hint="eastAsia"/>
          <w:sz w:val="24"/>
        </w:rPr>
        <w:t xml:space="preserve">            （</w:t>
      </w:r>
      <w:r w:rsidRPr="002B55E9">
        <w:rPr>
          <w:rFonts w:cs="宋体" w:hint="eastAsia"/>
          <w:sz w:val="24"/>
        </w:rPr>
        <w:t>1</w:t>
      </w:r>
      <w:r w:rsidRPr="002B55E9">
        <w:rPr>
          <w:rFonts w:ascii="宋体" w:hAnsi="宋体" w:cs="宋体" w:hint="eastAsia"/>
          <w:sz w:val="24"/>
        </w:rPr>
        <w:t>）</w:t>
      </w:r>
    </w:p>
    <w:p w14:paraId="00A2ED1B" w14:textId="77777777" w:rsidR="00D170E5" w:rsidRPr="002B55E9" w:rsidRDefault="00EF27AD">
      <w:pPr>
        <w:pStyle w:val="affff7"/>
      </w:pPr>
      <w:r w:rsidRPr="002B55E9">
        <w:t>其中：</w:t>
      </w:r>
      <w:r w:rsidRPr="002B55E9">
        <w:t>q</w:t>
      </w:r>
      <w:r w:rsidRPr="002B55E9">
        <w:rPr>
          <w:vertAlign w:val="subscript"/>
        </w:rPr>
        <w:t>1</w:t>
      </w:r>
      <w:r w:rsidRPr="002B55E9">
        <w:t>、</w:t>
      </w:r>
      <w:r w:rsidRPr="002B55E9">
        <w:t>q</w:t>
      </w:r>
      <w:r w:rsidRPr="002B55E9">
        <w:rPr>
          <w:vertAlign w:val="subscript"/>
        </w:rPr>
        <w:t>2</w:t>
      </w:r>
      <w:r w:rsidRPr="002B55E9">
        <w:t>……q</w:t>
      </w:r>
      <w:r w:rsidRPr="002B55E9">
        <w:rPr>
          <w:vertAlign w:val="subscript"/>
        </w:rPr>
        <w:t>n</w:t>
      </w:r>
      <w:r w:rsidRPr="002B55E9">
        <w:t>－每种危险物质贮存场所或生产场所实际存在量，</w:t>
      </w:r>
      <w:r w:rsidRPr="002B55E9">
        <w:t>t</w:t>
      </w:r>
      <w:r w:rsidRPr="002B55E9">
        <w:t>；</w:t>
      </w:r>
    </w:p>
    <w:p w14:paraId="056EE34D" w14:textId="77777777" w:rsidR="00D170E5" w:rsidRPr="002B55E9" w:rsidRDefault="00EF27AD">
      <w:pPr>
        <w:pStyle w:val="affff7"/>
      </w:pPr>
      <w:r w:rsidRPr="002B55E9">
        <w:t>Q</w:t>
      </w:r>
      <w:r w:rsidRPr="002B55E9">
        <w:rPr>
          <w:vertAlign w:val="subscript"/>
        </w:rPr>
        <w:t>1</w:t>
      </w:r>
      <w:r w:rsidRPr="002B55E9">
        <w:t>、</w:t>
      </w:r>
      <w:r w:rsidRPr="002B55E9">
        <w:t>Q</w:t>
      </w:r>
      <w:r w:rsidRPr="002B55E9">
        <w:rPr>
          <w:vertAlign w:val="subscript"/>
        </w:rPr>
        <w:t>2</w:t>
      </w:r>
      <w:r w:rsidRPr="002B55E9">
        <w:t>……Q</w:t>
      </w:r>
      <w:r w:rsidRPr="002B55E9">
        <w:rPr>
          <w:vertAlign w:val="subscript"/>
        </w:rPr>
        <w:t>n</w:t>
      </w:r>
      <w:r w:rsidRPr="002B55E9">
        <w:t>－与各危险物质相对应的生产场所或贮存区的临界量，</w:t>
      </w:r>
      <w:r w:rsidRPr="002B55E9">
        <w:t>t</w:t>
      </w:r>
      <w:r w:rsidRPr="002B55E9">
        <w:t>；</w:t>
      </w:r>
    </w:p>
    <w:p w14:paraId="0A12C72F" w14:textId="77777777" w:rsidR="00D170E5" w:rsidRPr="002B55E9" w:rsidRDefault="00EF27AD">
      <w:pPr>
        <w:spacing w:line="360" w:lineRule="auto"/>
        <w:ind w:firstLineChars="200" w:firstLine="480"/>
        <w:rPr>
          <w:rFonts w:hAnsi="宋体"/>
          <w:sz w:val="24"/>
        </w:rPr>
      </w:pPr>
      <w:r w:rsidRPr="002B55E9">
        <w:rPr>
          <w:rFonts w:hAnsi="宋体" w:hint="eastAsia"/>
          <w:sz w:val="24"/>
        </w:rPr>
        <w:t>当</w:t>
      </w:r>
      <w:r w:rsidRPr="002B55E9">
        <w:rPr>
          <w:rFonts w:hint="eastAsia"/>
          <w:sz w:val="24"/>
        </w:rPr>
        <w:t>Q</w:t>
      </w:r>
      <w:r w:rsidRPr="002B55E9">
        <w:rPr>
          <w:rFonts w:hAnsi="宋体" w:hint="eastAsia"/>
          <w:sz w:val="24"/>
        </w:rPr>
        <w:t>＜</w:t>
      </w:r>
      <w:r w:rsidRPr="002B55E9">
        <w:rPr>
          <w:rFonts w:hint="eastAsia"/>
          <w:sz w:val="24"/>
        </w:rPr>
        <w:t>1</w:t>
      </w:r>
      <w:r w:rsidRPr="002B55E9">
        <w:rPr>
          <w:rFonts w:hAnsi="宋体" w:hint="eastAsia"/>
          <w:sz w:val="24"/>
        </w:rPr>
        <w:t>时，该项目环境风险潜势为Ⅰ。</w:t>
      </w:r>
    </w:p>
    <w:p w14:paraId="0D701C9E" w14:textId="77777777" w:rsidR="00D170E5" w:rsidRPr="002B55E9" w:rsidRDefault="00EF27AD">
      <w:pPr>
        <w:spacing w:line="360" w:lineRule="auto"/>
        <w:ind w:firstLineChars="200" w:firstLine="480"/>
        <w:rPr>
          <w:rFonts w:hAnsi="宋体"/>
          <w:sz w:val="24"/>
        </w:rPr>
      </w:pPr>
      <w:r w:rsidRPr="002B55E9">
        <w:rPr>
          <w:rFonts w:hAnsi="宋体" w:hint="eastAsia"/>
          <w:sz w:val="24"/>
        </w:rPr>
        <w:t>当</w:t>
      </w:r>
      <w:r w:rsidRPr="002B55E9">
        <w:rPr>
          <w:rFonts w:hint="eastAsia"/>
          <w:sz w:val="24"/>
        </w:rPr>
        <w:t>Q</w:t>
      </w:r>
      <w:r w:rsidRPr="002B55E9">
        <w:rPr>
          <w:rFonts w:hAnsi="宋体" w:hint="eastAsia"/>
          <w:sz w:val="24"/>
        </w:rPr>
        <w:t>≥</w:t>
      </w:r>
      <w:r w:rsidRPr="002B55E9">
        <w:rPr>
          <w:rFonts w:hint="eastAsia"/>
          <w:sz w:val="24"/>
        </w:rPr>
        <w:t>1</w:t>
      </w:r>
      <w:r w:rsidRPr="002B55E9">
        <w:rPr>
          <w:rFonts w:hAnsi="宋体" w:hint="eastAsia"/>
          <w:sz w:val="24"/>
        </w:rPr>
        <w:t>时，将</w:t>
      </w:r>
      <w:r w:rsidRPr="002B55E9">
        <w:rPr>
          <w:rFonts w:hint="eastAsia"/>
          <w:sz w:val="24"/>
        </w:rPr>
        <w:t>Q</w:t>
      </w:r>
      <w:r w:rsidRPr="002B55E9">
        <w:rPr>
          <w:rFonts w:hAnsi="宋体" w:hint="eastAsia"/>
          <w:sz w:val="24"/>
        </w:rPr>
        <w:t>值划分为：（</w:t>
      </w:r>
      <w:r w:rsidRPr="002B55E9">
        <w:rPr>
          <w:rFonts w:hint="eastAsia"/>
          <w:sz w:val="24"/>
        </w:rPr>
        <w:t>1</w:t>
      </w:r>
      <w:r w:rsidRPr="002B55E9">
        <w:rPr>
          <w:rFonts w:hAnsi="宋体"/>
          <w:sz w:val="24"/>
        </w:rPr>
        <w:t>）</w:t>
      </w:r>
      <w:r w:rsidRPr="002B55E9">
        <w:rPr>
          <w:sz w:val="24"/>
        </w:rPr>
        <w:t>1</w:t>
      </w:r>
      <w:r w:rsidRPr="002B55E9">
        <w:rPr>
          <w:rFonts w:hAnsi="宋体"/>
          <w:sz w:val="24"/>
        </w:rPr>
        <w:t>≤</w:t>
      </w:r>
      <w:r w:rsidRPr="002B55E9">
        <w:rPr>
          <w:sz w:val="24"/>
        </w:rPr>
        <w:t>Q</w:t>
      </w:r>
      <w:r w:rsidRPr="002B55E9">
        <w:rPr>
          <w:rFonts w:hAnsi="宋体"/>
          <w:sz w:val="24"/>
        </w:rPr>
        <w:t>＜</w:t>
      </w:r>
      <w:r w:rsidRPr="002B55E9">
        <w:rPr>
          <w:sz w:val="24"/>
        </w:rPr>
        <w:t>10</w:t>
      </w:r>
      <w:r w:rsidRPr="002B55E9">
        <w:rPr>
          <w:rFonts w:hAnsi="宋体"/>
          <w:sz w:val="24"/>
        </w:rPr>
        <w:t>；（</w:t>
      </w:r>
      <w:r w:rsidRPr="002B55E9">
        <w:rPr>
          <w:rFonts w:hint="eastAsia"/>
          <w:sz w:val="24"/>
        </w:rPr>
        <w:t>2</w:t>
      </w:r>
      <w:r w:rsidRPr="002B55E9">
        <w:rPr>
          <w:rFonts w:hAnsi="宋体"/>
          <w:sz w:val="24"/>
        </w:rPr>
        <w:t>）</w:t>
      </w:r>
      <w:r w:rsidRPr="002B55E9">
        <w:rPr>
          <w:sz w:val="24"/>
        </w:rPr>
        <w:t>10</w:t>
      </w:r>
      <w:r w:rsidRPr="002B55E9">
        <w:rPr>
          <w:rFonts w:hAnsi="宋体"/>
          <w:sz w:val="24"/>
        </w:rPr>
        <w:t>≤</w:t>
      </w:r>
      <w:r w:rsidRPr="002B55E9">
        <w:rPr>
          <w:sz w:val="24"/>
        </w:rPr>
        <w:t>Q</w:t>
      </w:r>
      <w:r w:rsidRPr="002B55E9">
        <w:rPr>
          <w:rFonts w:hAnsi="宋体"/>
          <w:sz w:val="24"/>
        </w:rPr>
        <w:t>＜</w:t>
      </w:r>
      <w:r w:rsidRPr="002B55E9">
        <w:rPr>
          <w:sz w:val="24"/>
        </w:rPr>
        <w:t>100</w:t>
      </w:r>
      <w:r w:rsidRPr="002B55E9">
        <w:rPr>
          <w:rFonts w:hAnsi="宋体"/>
          <w:sz w:val="24"/>
        </w:rPr>
        <w:t>；（</w:t>
      </w:r>
      <w:r w:rsidRPr="002B55E9">
        <w:rPr>
          <w:rFonts w:hint="eastAsia"/>
          <w:sz w:val="24"/>
        </w:rPr>
        <w:t>3</w:t>
      </w:r>
      <w:r w:rsidRPr="002B55E9">
        <w:rPr>
          <w:rFonts w:hAnsi="宋体"/>
          <w:sz w:val="24"/>
        </w:rPr>
        <w:t>）</w:t>
      </w:r>
      <w:r w:rsidRPr="002B55E9">
        <w:rPr>
          <w:sz w:val="24"/>
        </w:rPr>
        <w:t>Q</w:t>
      </w:r>
      <w:r w:rsidRPr="002B55E9">
        <w:rPr>
          <w:rFonts w:hAnsi="宋体"/>
          <w:sz w:val="24"/>
        </w:rPr>
        <w:t>≥</w:t>
      </w:r>
      <w:r w:rsidRPr="002B55E9">
        <w:rPr>
          <w:sz w:val="24"/>
        </w:rPr>
        <w:t>100</w:t>
      </w:r>
      <w:r w:rsidRPr="002B55E9">
        <w:rPr>
          <w:rFonts w:hAnsi="宋体" w:hint="eastAsia"/>
          <w:sz w:val="24"/>
        </w:rPr>
        <w:t>。</w:t>
      </w:r>
    </w:p>
    <w:p w14:paraId="210698FF" w14:textId="77777777" w:rsidR="00D170E5" w:rsidRPr="002B55E9" w:rsidRDefault="00EF27AD">
      <w:pPr>
        <w:spacing w:line="360" w:lineRule="auto"/>
        <w:ind w:firstLineChars="200" w:firstLine="480"/>
        <w:rPr>
          <w:sz w:val="24"/>
        </w:rPr>
      </w:pPr>
      <w:r w:rsidRPr="002B55E9">
        <w:rPr>
          <w:sz w:val="24"/>
        </w:rPr>
        <w:t>对照《建设项目环境风险评价技术导则》（</w:t>
      </w:r>
      <w:r w:rsidRPr="002B55E9">
        <w:rPr>
          <w:sz w:val="24"/>
        </w:rPr>
        <w:t>HJ169-2018</w:t>
      </w:r>
      <w:r w:rsidRPr="002B55E9">
        <w:rPr>
          <w:sz w:val="24"/>
        </w:rPr>
        <w:t>）附录</w:t>
      </w:r>
      <w:r w:rsidRPr="002B55E9">
        <w:rPr>
          <w:sz w:val="24"/>
        </w:rPr>
        <w:t>B</w:t>
      </w:r>
      <w:r w:rsidRPr="002B55E9">
        <w:rPr>
          <w:rFonts w:hint="eastAsia"/>
          <w:sz w:val="24"/>
        </w:rPr>
        <w:t>，项目涉及的突发性环境事件风险物质见表</w:t>
      </w:r>
      <w:r w:rsidRPr="002B55E9">
        <w:rPr>
          <w:rFonts w:hint="eastAsia"/>
          <w:sz w:val="24"/>
        </w:rPr>
        <w:t>1-7-</w:t>
      </w:r>
      <w:r w:rsidRPr="002B55E9">
        <w:rPr>
          <w:sz w:val="24"/>
        </w:rPr>
        <w:t>8</w:t>
      </w:r>
      <w:r w:rsidRPr="002B55E9">
        <w:rPr>
          <w:rFonts w:hint="eastAsia"/>
          <w:sz w:val="24"/>
        </w:rPr>
        <w:t>。</w:t>
      </w:r>
    </w:p>
    <w:p w14:paraId="15283222" w14:textId="77777777" w:rsidR="00D170E5" w:rsidRPr="002B55E9" w:rsidRDefault="00EF27AD">
      <w:pPr>
        <w:pStyle w:val="1f3"/>
      </w:pPr>
      <w:r w:rsidRPr="002B55E9">
        <w:rPr>
          <w:rFonts w:hint="eastAsia"/>
        </w:rPr>
        <w:t>表</w:t>
      </w:r>
      <w:r w:rsidRPr="002B55E9">
        <w:rPr>
          <w:rFonts w:hint="eastAsia"/>
        </w:rPr>
        <w:t>1-7-</w:t>
      </w:r>
      <w:r w:rsidRPr="002B55E9">
        <w:t>8</w:t>
      </w:r>
      <w:r w:rsidRPr="002B55E9">
        <w:rPr>
          <w:rFonts w:hint="eastAsia"/>
        </w:rPr>
        <w:t xml:space="preserve">  </w:t>
      </w:r>
      <w:r w:rsidRPr="002B55E9">
        <w:rPr>
          <w:rFonts w:hint="eastAsia"/>
        </w:rPr>
        <w:t>项目涉及的突发性环境事件风险物质一览表</w:t>
      </w:r>
    </w:p>
    <w:tbl>
      <w:tblPr>
        <w:tblStyle w:val="lgy2"/>
        <w:tblW w:w="5000" w:type="pct"/>
        <w:tblLayout w:type="fixed"/>
        <w:tblCellMar>
          <w:left w:w="28" w:type="dxa"/>
          <w:right w:w="28" w:type="dxa"/>
        </w:tblCellMar>
        <w:tblLook w:val="04A0" w:firstRow="1" w:lastRow="0" w:firstColumn="1" w:lastColumn="0" w:noHBand="0" w:noVBand="1"/>
      </w:tblPr>
      <w:tblGrid>
        <w:gridCol w:w="888"/>
        <w:gridCol w:w="1592"/>
        <w:gridCol w:w="1450"/>
        <w:gridCol w:w="1773"/>
        <w:gridCol w:w="1464"/>
        <w:gridCol w:w="1466"/>
        <w:gridCol w:w="1061"/>
      </w:tblGrid>
      <w:tr w:rsidR="002B55E9" w:rsidRPr="002B55E9" w14:paraId="70C3C4F0" w14:textId="77777777" w:rsidTr="00DA7812">
        <w:trPr>
          <w:cnfStyle w:val="100000000000" w:firstRow="1" w:lastRow="0" w:firstColumn="0" w:lastColumn="0" w:oddVBand="0" w:evenVBand="0" w:oddHBand="0" w:evenHBand="0" w:firstRowFirstColumn="0" w:firstRowLastColumn="0" w:lastRowFirstColumn="0" w:lastRowLastColumn="0"/>
          <w:trHeight w:val="283"/>
        </w:trPr>
        <w:tc>
          <w:tcPr>
            <w:tcW w:w="882" w:type="dxa"/>
          </w:tcPr>
          <w:p w14:paraId="4217F095" w14:textId="77777777" w:rsidR="00D170E5" w:rsidRPr="002B55E9" w:rsidRDefault="00EF27AD">
            <w:pPr>
              <w:pStyle w:val="lgy-"/>
            </w:pPr>
            <w:r w:rsidRPr="002B55E9">
              <w:rPr>
                <w:rFonts w:eastAsia="宋体" w:hint="eastAsia"/>
              </w:rPr>
              <w:t>序号</w:t>
            </w:r>
          </w:p>
        </w:tc>
        <w:tc>
          <w:tcPr>
            <w:tcW w:w="1582" w:type="dxa"/>
          </w:tcPr>
          <w:p w14:paraId="2B7560BE" w14:textId="77777777" w:rsidR="00D170E5" w:rsidRPr="002B55E9" w:rsidRDefault="00EF27AD" w:rsidP="00DA7812">
            <w:pPr>
              <w:pStyle w:val="lgy-"/>
            </w:pPr>
            <w:r w:rsidRPr="002B55E9">
              <w:rPr>
                <w:rFonts w:eastAsia="宋体" w:hint="eastAsia"/>
              </w:rPr>
              <w:t>危险物质名称</w:t>
            </w:r>
          </w:p>
        </w:tc>
        <w:tc>
          <w:tcPr>
            <w:tcW w:w="1442" w:type="dxa"/>
          </w:tcPr>
          <w:p w14:paraId="510D1FFB" w14:textId="77777777" w:rsidR="00D170E5" w:rsidRPr="002B55E9" w:rsidRDefault="00EF27AD">
            <w:pPr>
              <w:pStyle w:val="lgy-"/>
            </w:pPr>
            <w:r w:rsidRPr="002B55E9">
              <w:rPr>
                <w:rFonts w:eastAsia="宋体" w:hint="eastAsia"/>
              </w:rPr>
              <w:t>C</w:t>
            </w:r>
            <w:r w:rsidRPr="002B55E9">
              <w:rPr>
                <w:rFonts w:eastAsia="宋体"/>
              </w:rPr>
              <w:t>AS</w:t>
            </w:r>
            <w:r w:rsidRPr="002B55E9">
              <w:rPr>
                <w:rFonts w:eastAsia="宋体" w:hint="eastAsia"/>
              </w:rPr>
              <w:t>号</w:t>
            </w:r>
          </w:p>
        </w:tc>
        <w:tc>
          <w:tcPr>
            <w:tcW w:w="1763" w:type="dxa"/>
          </w:tcPr>
          <w:p w14:paraId="7F90BA8B" w14:textId="77777777" w:rsidR="00D170E5" w:rsidRPr="002B55E9" w:rsidRDefault="00EF27AD">
            <w:pPr>
              <w:pStyle w:val="lgy-"/>
            </w:pPr>
            <w:r w:rsidRPr="002B55E9">
              <w:rPr>
                <w:rFonts w:eastAsia="宋体" w:hint="eastAsia"/>
              </w:rPr>
              <w:t>最大暂存量，</w:t>
            </w:r>
            <w:r w:rsidRPr="002B55E9">
              <w:rPr>
                <w:rFonts w:eastAsia="宋体"/>
              </w:rPr>
              <w:t>t</w:t>
            </w:r>
          </w:p>
        </w:tc>
        <w:tc>
          <w:tcPr>
            <w:tcW w:w="1456" w:type="dxa"/>
          </w:tcPr>
          <w:p w14:paraId="6E5168F2" w14:textId="77777777" w:rsidR="00D170E5" w:rsidRPr="002B55E9" w:rsidRDefault="00EF27AD">
            <w:pPr>
              <w:pStyle w:val="lgy-"/>
            </w:pPr>
            <w:r w:rsidRPr="002B55E9">
              <w:rPr>
                <w:rFonts w:eastAsia="宋体" w:hint="eastAsia"/>
              </w:rPr>
              <w:t>储存方式</w:t>
            </w:r>
          </w:p>
        </w:tc>
        <w:tc>
          <w:tcPr>
            <w:tcW w:w="1458" w:type="dxa"/>
          </w:tcPr>
          <w:p w14:paraId="4433EEE5" w14:textId="77777777" w:rsidR="00D170E5" w:rsidRPr="002B55E9" w:rsidRDefault="00EF27AD">
            <w:pPr>
              <w:pStyle w:val="lgy-"/>
            </w:pPr>
            <w:r w:rsidRPr="002B55E9">
              <w:rPr>
                <w:rFonts w:eastAsia="宋体" w:hint="eastAsia"/>
              </w:rPr>
              <w:t>临界量，</w:t>
            </w:r>
            <w:r w:rsidRPr="002B55E9">
              <w:rPr>
                <w:rFonts w:eastAsia="宋体"/>
              </w:rPr>
              <w:t>t</w:t>
            </w:r>
          </w:p>
        </w:tc>
        <w:tc>
          <w:tcPr>
            <w:tcW w:w="1055" w:type="dxa"/>
          </w:tcPr>
          <w:p w14:paraId="17609F16" w14:textId="77777777" w:rsidR="00D170E5" w:rsidRPr="002B55E9" w:rsidRDefault="00EF27AD">
            <w:pPr>
              <w:pStyle w:val="lgy-"/>
              <w:rPr>
                <w:rFonts w:eastAsia="宋体"/>
              </w:rPr>
            </w:pPr>
            <w:r w:rsidRPr="002B55E9">
              <w:rPr>
                <w:rFonts w:eastAsia="宋体"/>
              </w:rPr>
              <w:t>Q</w:t>
            </w:r>
            <w:r w:rsidRPr="002B55E9">
              <w:rPr>
                <w:rFonts w:eastAsia="宋体" w:hint="eastAsia"/>
              </w:rPr>
              <w:t>值</w:t>
            </w:r>
          </w:p>
        </w:tc>
      </w:tr>
      <w:tr w:rsidR="002B55E9" w:rsidRPr="002B55E9" w14:paraId="4803B160" w14:textId="77777777" w:rsidTr="00DA7812">
        <w:trPr>
          <w:trHeight w:val="283"/>
        </w:trPr>
        <w:tc>
          <w:tcPr>
            <w:tcW w:w="882" w:type="dxa"/>
            <w:noWrap/>
          </w:tcPr>
          <w:p w14:paraId="21672300" w14:textId="77777777" w:rsidR="00D170E5" w:rsidRPr="002B55E9" w:rsidRDefault="00EF27AD">
            <w:pPr>
              <w:pStyle w:val="lgy-"/>
              <w:rPr>
                <w:szCs w:val="20"/>
              </w:rPr>
            </w:pPr>
            <w:r w:rsidRPr="002B55E9">
              <w:rPr>
                <w:rFonts w:eastAsia="宋体" w:hint="eastAsia"/>
                <w:szCs w:val="20"/>
              </w:rPr>
              <w:t>1</w:t>
            </w:r>
          </w:p>
        </w:tc>
        <w:tc>
          <w:tcPr>
            <w:tcW w:w="1582" w:type="dxa"/>
            <w:noWrap/>
          </w:tcPr>
          <w:p w14:paraId="0CB67B90" w14:textId="77777777" w:rsidR="00D170E5" w:rsidRPr="002B55E9" w:rsidRDefault="00EF27AD">
            <w:pPr>
              <w:pStyle w:val="lgy-"/>
            </w:pPr>
            <w:r w:rsidRPr="002B55E9">
              <w:rPr>
                <w:rFonts w:eastAsia="宋体" w:hint="eastAsia"/>
              </w:rPr>
              <w:t>乙酸</w:t>
            </w:r>
          </w:p>
        </w:tc>
        <w:tc>
          <w:tcPr>
            <w:tcW w:w="1442" w:type="dxa"/>
          </w:tcPr>
          <w:p w14:paraId="4FAEFE81" w14:textId="77777777" w:rsidR="00D170E5" w:rsidRPr="002B55E9" w:rsidRDefault="00EF27AD">
            <w:pPr>
              <w:pStyle w:val="lgy-"/>
            </w:pPr>
            <w:r w:rsidRPr="002B55E9">
              <w:rPr>
                <w:rFonts w:eastAsia="宋体" w:hint="eastAsia"/>
              </w:rPr>
              <w:t>6</w:t>
            </w:r>
            <w:r w:rsidRPr="002B55E9">
              <w:rPr>
                <w:rFonts w:eastAsia="宋体"/>
              </w:rPr>
              <w:t>4-19-7</w:t>
            </w:r>
          </w:p>
        </w:tc>
        <w:tc>
          <w:tcPr>
            <w:tcW w:w="1763" w:type="dxa"/>
            <w:noWrap/>
          </w:tcPr>
          <w:p w14:paraId="076687BD" w14:textId="77777777" w:rsidR="00D170E5" w:rsidRPr="002B55E9" w:rsidRDefault="00EF27AD">
            <w:pPr>
              <w:pStyle w:val="lgy-"/>
            </w:pPr>
            <w:r w:rsidRPr="002B55E9">
              <w:rPr>
                <w:rFonts w:eastAsia="宋体"/>
              </w:rPr>
              <w:t>448.69</w:t>
            </w:r>
          </w:p>
        </w:tc>
        <w:tc>
          <w:tcPr>
            <w:tcW w:w="1456" w:type="dxa"/>
            <w:noWrap/>
          </w:tcPr>
          <w:p w14:paraId="03720E38" w14:textId="77777777" w:rsidR="00D170E5" w:rsidRPr="002B55E9" w:rsidRDefault="00EF27AD">
            <w:pPr>
              <w:pStyle w:val="lgy-"/>
            </w:pPr>
            <w:r w:rsidRPr="002B55E9">
              <w:rPr>
                <w:rFonts w:eastAsia="宋体" w:hint="eastAsia"/>
              </w:rPr>
              <w:t>储罐</w:t>
            </w:r>
          </w:p>
        </w:tc>
        <w:tc>
          <w:tcPr>
            <w:tcW w:w="1458" w:type="dxa"/>
            <w:noWrap/>
          </w:tcPr>
          <w:p w14:paraId="4998226E" w14:textId="77777777" w:rsidR="00D170E5" w:rsidRPr="002B55E9" w:rsidRDefault="00EF27AD">
            <w:pPr>
              <w:pStyle w:val="lgy-"/>
            </w:pPr>
            <w:r w:rsidRPr="002B55E9">
              <w:rPr>
                <w:rFonts w:eastAsia="宋体" w:hint="eastAsia"/>
              </w:rPr>
              <w:t>1</w:t>
            </w:r>
            <w:r w:rsidRPr="002B55E9">
              <w:rPr>
                <w:rFonts w:eastAsia="宋体"/>
              </w:rPr>
              <w:t>0</w:t>
            </w:r>
          </w:p>
        </w:tc>
        <w:tc>
          <w:tcPr>
            <w:tcW w:w="1055" w:type="dxa"/>
            <w:noWrap/>
          </w:tcPr>
          <w:p w14:paraId="6C6DB69E" w14:textId="77777777" w:rsidR="00D170E5" w:rsidRPr="002B55E9" w:rsidRDefault="00EF27AD">
            <w:pPr>
              <w:pStyle w:val="lgy-"/>
              <w:rPr>
                <w:rFonts w:eastAsia="宋体"/>
                <w:szCs w:val="20"/>
              </w:rPr>
            </w:pPr>
            <w:r w:rsidRPr="002B55E9">
              <w:rPr>
                <w:rFonts w:eastAsia="宋体"/>
                <w:szCs w:val="20"/>
              </w:rPr>
              <w:t xml:space="preserve">44.87 </w:t>
            </w:r>
          </w:p>
        </w:tc>
      </w:tr>
      <w:tr w:rsidR="002B55E9" w:rsidRPr="002B55E9" w14:paraId="56CF3FF5" w14:textId="77777777" w:rsidTr="00DA7812">
        <w:trPr>
          <w:trHeight w:val="283"/>
        </w:trPr>
        <w:tc>
          <w:tcPr>
            <w:tcW w:w="882" w:type="dxa"/>
            <w:noWrap/>
          </w:tcPr>
          <w:p w14:paraId="50B891F5" w14:textId="77777777" w:rsidR="00D170E5" w:rsidRPr="002B55E9" w:rsidRDefault="00EF27AD">
            <w:pPr>
              <w:pStyle w:val="lgy-"/>
              <w:rPr>
                <w:szCs w:val="20"/>
              </w:rPr>
            </w:pPr>
            <w:r w:rsidRPr="002B55E9">
              <w:rPr>
                <w:rFonts w:eastAsia="宋体" w:hint="eastAsia"/>
                <w:szCs w:val="20"/>
              </w:rPr>
              <w:t>2</w:t>
            </w:r>
          </w:p>
        </w:tc>
        <w:tc>
          <w:tcPr>
            <w:tcW w:w="1582" w:type="dxa"/>
            <w:noWrap/>
          </w:tcPr>
          <w:p w14:paraId="53C434ED" w14:textId="77777777" w:rsidR="00D170E5" w:rsidRPr="002B55E9" w:rsidRDefault="00EF27AD">
            <w:pPr>
              <w:pStyle w:val="lgy-"/>
            </w:pPr>
            <w:r w:rsidRPr="002B55E9">
              <w:rPr>
                <w:rFonts w:eastAsia="宋体" w:hint="eastAsia"/>
              </w:rPr>
              <w:t>过氧乙酸</w:t>
            </w:r>
          </w:p>
        </w:tc>
        <w:tc>
          <w:tcPr>
            <w:tcW w:w="1442" w:type="dxa"/>
          </w:tcPr>
          <w:p w14:paraId="292F4888" w14:textId="77777777" w:rsidR="00D170E5" w:rsidRPr="002B55E9" w:rsidRDefault="00EF27AD">
            <w:pPr>
              <w:pStyle w:val="lgy-"/>
            </w:pPr>
            <w:r w:rsidRPr="002B55E9">
              <w:rPr>
                <w:rFonts w:eastAsia="宋体" w:hint="eastAsia"/>
              </w:rPr>
              <w:t>7</w:t>
            </w:r>
            <w:r w:rsidRPr="002B55E9">
              <w:rPr>
                <w:rFonts w:eastAsia="宋体"/>
              </w:rPr>
              <w:t>9-21-0</w:t>
            </w:r>
          </w:p>
        </w:tc>
        <w:tc>
          <w:tcPr>
            <w:tcW w:w="1763" w:type="dxa"/>
            <w:noWrap/>
          </w:tcPr>
          <w:p w14:paraId="15FE5A7B" w14:textId="77777777" w:rsidR="00D170E5" w:rsidRPr="002B55E9" w:rsidRDefault="00EF27AD">
            <w:pPr>
              <w:pStyle w:val="lgy-"/>
            </w:pPr>
            <w:r w:rsidRPr="002B55E9">
              <w:rPr>
                <w:rFonts w:eastAsia="宋体" w:hint="eastAsia"/>
              </w:rPr>
              <w:t>0.1</w:t>
            </w:r>
          </w:p>
        </w:tc>
        <w:tc>
          <w:tcPr>
            <w:tcW w:w="1456" w:type="dxa"/>
            <w:noWrap/>
          </w:tcPr>
          <w:p w14:paraId="59E1E8B0" w14:textId="77777777" w:rsidR="00D170E5" w:rsidRPr="002B55E9" w:rsidRDefault="00EF27AD">
            <w:pPr>
              <w:pStyle w:val="lgy-"/>
            </w:pPr>
            <w:r w:rsidRPr="002B55E9">
              <w:rPr>
                <w:rFonts w:eastAsia="宋体" w:hint="eastAsia"/>
              </w:rPr>
              <w:t>瓶装</w:t>
            </w:r>
          </w:p>
        </w:tc>
        <w:tc>
          <w:tcPr>
            <w:tcW w:w="1458" w:type="dxa"/>
            <w:noWrap/>
          </w:tcPr>
          <w:p w14:paraId="4AA89721" w14:textId="77777777" w:rsidR="00D170E5" w:rsidRPr="002B55E9" w:rsidRDefault="00EF27AD">
            <w:pPr>
              <w:pStyle w:val="lgy-"/>
            </w:pPr>
            <w:r w:rsidRPr="002B55E9">
              <w:rPr>
                <w:rFonts w:eastAsia="宋体" w:hint="eastAsia"/>
              </w:rPr>
              <w:t>5</w:t>
            </w:r>
          </w:p>
        </w:tc>
        <w:tc>
          <w:tcPr>
            <w:tcW w:w="1055" w:type="dxa"/>
            <w:noWrap/>
          </w:tcPr>
          <w:p w14:paraId="40BABC1B" w14:textId="77777777" w:rsidR="00D170E5" w:rsidRPr="002B55E9" w:rsidRDefault="00EF27AD">
            <w:pPr>
              <w:pStyle w:val="lgy-"/>
              <w:rPr>
                <w:rFonts w:eastAsia="宋体"/>
                <w:szCs w:val="20"/>
              </w:rPr>
            </w:pPr>
            <w:r w:rsidRPr="002B55E9">
              <w:rPr>
                <w:rFonts w:eastAsia="宋体"/>
                <w:szCs w:val="20"/>
              </w:rPr>
              <w:t xml:space="preserve">0.02 </w:t>
            </w:r>
          </w:p>
        </w:tc>
      </w:tr>
      <w:tr w:rsidR="002B55E9" w:rsidRPr="002B55E9" w14:paraId="62428135" w14:textId="77777777" w:rsidTr="00DA7812">
        <w:trPr>
          <w:trHeight w:val="283"/>
        </w:trPr>
        <w:tc>
          <w:tcPr>
            <w:tcW w:w="882" w:type="dxa"/>
            <w:noWrap/>
          </w:tcPr>
          <w:p w14:paraId="67D58646" w14:textId="77777777" w:rsidR="00D170E5" w:rsidRPr="002B55E9" w:rsidRDefault="00EF27AD">
            <w:pPr>
              <w:pStyle w:val="lgy-"/>
              <w:rPr>
                <w:szCs w:val="20"/>
              </w:rPr>
            </w:pPr>
            <w:r w:rsidRPr="002B55E9">
              <w:rPr>
                <w:rFonts w:eastAsia="宋体" w:hint="eastAsia"/>
                <w:szCs w:val="20"/>
              </w:rPr>
              <w:t>3</w:t>
            </w:r>
          </w:p>
        </w:tc>
        <w:tc>
          <w:tcPr>
            <w:tcW w:w="1582" w:type="dxa"/>
            <w:noWrap/>
          </w:tcPr>
          <w:p w14:paraId="058D1755" w14:textId="77777777" w:rsidR="00D170E5" w:rsidRPr="002B55E9" w:rsidRDefault="00EF27AD">
            <w:pPr>
              <w:pStyle w:val="lgy-"/>
            </w:pPr>
            <w:r w:rsidRPr="002B55E9">
              <w:rPr>
                <w:rFonts w:eastAsia="宋体" w:hint="eastAsia"/>
              </w:rPr>
              <w:t>二氧化氯</w:t>
            </w:r>
          </w:p>
        </w:tc>
        <w:tc>
          <w:tcPr>
            <w:tcW w:w="1442" w:type="dxa"/>
          </w:tcPr>
          <w:p w14:paraId="10C4BA93" w14:textId="77777777" w:rsidR="00D170E5" w:rsidRPr="002B55E9" w:rsidRDefault="00EF27AD">
            <w:pPr>
              <w:pStyle w:val="lgy-"/>
            </w:pPr>
            <w:r w:rsidRPr="002B55E9">
              <w:rPr>
                <w:rFonts w:eastAsia="宋体" w:hint="eastAsia"/>
              </w:rPr>
              <w:t>1</w:t>
            </w:r>
            <w:r w:rsidRPr="002B55E9">
              <w:rPr>
                <w:rFonts w:eastAsia="宋体"/>
              </w:rPr>
              <w:t>0049-04-4</w:t>
            </w:r>
          </w:p>
        </w:tc>
        <w:tc>
          <w:tcPr>
            <w:tcW w:w="1763" w:type="dxa"/>
            <w:noWrap/>
          </w:tcPr>
          <w:p w14:paraId="663650B3" w14:textId="77777777" w:rsidR="00D170E5" w:rsidRPr="002B55E9" w:rsidRDefault="00EF27AD">
            <w:pPr>
              <w:pStyle w:val="lgy-"/>
            </w:pPr>
            <w:r w:rsidRPr="002B55E9">
              <w:rPr>
                <w:rFonts w:eastAsia="宋体" w:hint="eastAsia"/>
              </w:rPr>
              <w:t>0.6</w:t>
            </w:r>
          </w:p>
        </w:tc>
        <w:tc>
          <w:tcPr>
            <w:tcW w:w="1456" w:type="dxa"/>
            <w:noWrap/>
          </w:tcPr>
          <w:p w14:paraId="4CC2BED0" w14:textId="77777777" w:rsidR="00D170E5" w:rsidRPr="002B55E9" w:rsidRDefault="00EF27AD">
            <w:pPr>
              <w:pStyle w:val="lgy-"/>
            </w:pPr>
            <w:r w:rsidRPr="002B55E9">
              <w:rPr>
                <w:rFonts w:eastAsia="宋体" w:hint="eastAsia"/>
              </w:rPr>
              <w:t>瓶装</w:t>
            </w:r>
          </w:p>
        </w:tc>
        <w:tc>
          <w:tcPr>
            <w:tcW w:w="1458" w:type="dxa"/>
            <w:noWrap/>
          </w:tcPr>
          <w:p w14:paraId="661F1EF5" w14:textId="77777777" w:rsidR="00D170E5" w:rsidRPr="002B55E9" w:rsidRDefault="00EF27AD">
            <w:pPr>
              <w:pStyle w:val="lgy-"/>
            </w:pPr>
            <w:r w:rsidRPr="002B55E9">
              <w:rPr>
                <w:rFonts w:eastAsia="宋体" w:hint="eastAsia"/>
              </w:rPr>
              <w:t>0</w:t>
            </w:r>
            <w:r w:rsidRPr="002B55E9">
              <w:rPr>
                <w:rFonts w:eastAsia="宋体"/>
              </w:rPr>
              <w:t>.5</w:t>
            </w:r>
          </w:p>
        </w:tc>
        <w:tc>
          <w:tcPr>
            <w:tcW w:w="1055" w:type="dxa"/>
            <w:noWrap/>
          </w:tcPr>
          <w:p w14:paraId="52F37E56" w14:textId="77777777" w:rsidR="00D170E5" w:rsidRPr="002B55E9" w:rsidRDefault="00EF27AD">
            <w:pPr>
              <w:pStyle w:val="lgy-"/>
              <w:rPr>
                <w:rFonts w:eastAsia="宋体"/>
                <w:szCs w:val="20"/>
              </w:rPr>
            </w:pPr>
            <w:r w:rsidRPr="002B55E9">
              <w:rPr>
                <w:rFonts w:eastAsia="宋体"/>
                <w:szCs w:val="20"/>
              </w:rPr>
              <w:t xml:space="preserve">1.20 </w:t>
            </w:r>
          </w:p>
        </w:tc>
      </w:tr>
      <w:tr w:rsidR="002B55E9" w:rsidRPr="002B55E9" w14:paraId="1B4C1C18" w14:textId="77777777" w:rsidTr="00DA7812">
        <w:trPr>
          <w:trHeight w:val="283"/>
        </w:trPr>
        <w:tc>
          <w:tcPr>
            <w:tcW w:w="882" w:type="dxa"/>
            <w:noWrap/>
          </w:tcPr>
          <w:p w14:paraId="2C63B189" w14:textId="77777777" w:rsidR="00D170E5" w:rsidRPr="002B55E9" w:rsidRDefault="00EF27AD">
            <w:pPr>
              <w:pStyle w:val="lgy-"/>
              <w:rPr>
                <w:szCs w:val="20"/>
              </w:rPr>
            </w:pPr>
            <w:r w:rsidRPr="002B55E9">
              <w:rPr>
                <w:rFonts w:eastAsia="宋体" w:hint="eastAsia"/>
                <w:szCs w:val="20"/>
              </w:rPr>
              <w:lastRenderedPageBreak/>
              <w:t>4</w:t>
            </w:r>
          </w:p>
        </w:tc>
        <w:tc>
          <w:tcPr>
            <w:tcW w:w="1582" w:type="dxa"/>
            <w:noWrap/>
          </w:tcPr>
          <w:p w14:paraId="079EA219" w14:textId="77777777" w:rsidR="00D170E5" w:rsidRPr="002B55E9" w:rsidRDefault="00EF27AD">
            <w:pPr>
              <w:pStyle w:val="lgy-"/>
            </w:pPr>
            <w:r w:rsidRPr="002B55E9">
              <w:rPr>
                <w:rFonts w:eastAsia="宋体" w:hint="eastAsia"/>
              </w:rPr>
              <w:t>硫酸</w:t>
            </w:r>
          </w:p>
        </w:tc>
        <w:tc>
          <w:tcPr>
            <w:tcW w:w="1442" w:type="dxa"/>
          </w:tcPr>
          <w:p w14:paraId="6BBD5DF0" w14:textId="77777777" w:rsidR="00D170E5" w:rsidRPr="002B55E9" w:rsidRDefault="00EF27AD">
            <w:pPr>
              <w:pStyle w:val="lgy-"/>
            </w:pPr>
            <w:r w:rsidRPr="002B55E9">
              <w:rPr>
                <w:rFonts w:eastAsia="宋体" w:hint="eastAsia"/>
              </w:rPr>
              <w:t>7</w:t>
            </w:r>
            <w:r w:rsidRPr="002B55E9">
              <w:rPr>
                <w:rFonts w:eastAsia="宋体"/>
              </w:rPr>
              <w:t>664-93-9</w:t>
            </w:r>
          </w:p>
        </w:tc>
        <w:tc>
          <w:tcPr>
            <w:tcW w:w="1763" w:type="dxa"/>
            <w:noWrap/>
          </w:tcPr>
          <w:p w14:paraId="5AC9BD9E" w14:textId="77777777" w:rsidR="00D170E5" w:rsidRPr="002B55E9" w:rsidRDefault="00EF27AD">
            <w:pPr>
              <w:pStyle w:val="lgy-"/>
            </w:pPr>
            <w:r w:rsidRPr="002B55E9">
              <w:rPr>
                <w:rFonts w:eastAsia="宋体" w:hint="eastAsia"/>
              </w:rPr>
              <w:t>0.0137</w:t>
            </w:r>
          </w:p>
        </w:tc>
        <w:tc>
          <w:tcPr>
            <w:tcW w:w="1456" w:type="dxa"/>
            <w:noWrap/>
          </w:tcPr>
          <w:p w14:paraId="087C32F0" w14:textId="77777777" w:rsidR="00D170E5" w:rsidRPr="002B55E9" w:rsidRDefault="00EF27AD">
            <w:pPr>
              <w:pStyle w:val="lgy-"/>
            </w:pPr>
            <w:r w:rsidRPr="002B55E9">
              <w:rPr>
                <w:rFonts w:eastAsia="宋体" w:hint="eastAsia"/>
              </w:rPr>
              <w:t>瓶装</w:t>
            </w:r>
          </w:p>
        </w:tc>
        <w:tc>
          <w:tcPr>
            <w:tcW w:w="1458" w:type="dxa"/>
            <w:noWrap/>
          </w:tcPr>
          <w:p w14:paraId="1FBAE12E" w14:textId="77777777" w:rsidR="00D170E5" w:rsidRPr="002B55E9" w:rsidRDefault="00EF27AD">
            <w:pPr>
              <w:pStyle w:val="lgy-"/>
            </w:pPr>
            <w:r w:rsidRPr="002B55E9">
              <w:rPr>
                <w:rFonts w:eastAsia="宋体" w:hint="eastAsia"/>
              </w:rPr>
              <w:t>1</w:t>
            </w:r>
            <w:r w:rsidRPr="002B55E9">
              <w:rPr>
                <w:rFonts w:eastAsia="宋体"/>
              </w:rPr>
              <w:t>0</w:t>
            </w:r>
          </w:p>
        </w:tc>
        <w:tc>
          <w:tcPr>
            <w:tcW w:w="1055" w:type="dxa"/>
            <w:noWrap/>
          </w:tcPr>
          <w:p w14:paraId="5F5D59D5" w14:textId="77777777" w:rsidR="00D170E5" w:rsidRPr="002B55E9" w:rsidRDefault="00EF27AD">
            <w:pPr>
              <w:pStyle w:val="lgy-"/>
              <w:rPr>
                <w:rFonts w:eastAsia="宋体"/>
                <w:szCs w:val="20"/>
              </w:rPr>
            </w:pPr>
            <w:r w:rsidRPr="002B55E9">
              <w:rPr>
                <w:rFonts w:eastAsia="宋体"/>
                <w:szCs w:val="20"/>
              </w:rPr>
              <w:t>1.37E-03</w:t>
            </w:r>
          </w:p>
        </w:tc>
      </w:tr>
      <w:tr w:rsidR="002B55E9" w:rsidRPr="002B55E9" w14:paraId="1590F2AB" w14:textId="77777777" w:rsidTr="00DA7812">
        <w:trPr>
          <w:trHeight w:val="283"/>
        </w:trPr>
        <w:tc>
          <w:tcPr>
            <w:tcW w:w="882" w:type="dxa"/>
            <w:noWrap/>
          </w:tcPr>
          <w:p w14:paraId="51DE84C8" w14:textId="77777777" w:rsidR="00D170E5" w:rsidRPr="002B55E9" w:rsidRDefault="00EF27AD">
            <w:pPr>
              <w:pStyle w:val="lgy-"/>
              <w:rPr>
                <w:szCs w:val="20"/>
              </w:rPr>
            </w:pPr>
            <w:r w:rsidRPr="002B55E9">
              <w:rPr>
                <w:rFonts w:eastAsia="宋体" w:hint="eastAsia"/>
                <w:szCs w:val="20"/>
              </w:rPr>
              <w:t>5</w:t>
            </w:r>
          </w:p>
        </w:tc>
        <w:tc>
          <w:tcPr>
            <w:tcW w:w="1582" w:type="dxa"/>
            <w:noWrap/>
          </w:tcPr>
          <w:p w14:paraId="6098D21C" w14:textId="77777777" w:rsidR="00D170E5" w:rsidRPr="002B55E9" w:rsidRDefault="00EF27AD">
            <w:pPr>
              <w:pStyle w:val="lgy-"/>
            </w:pPr>
            <w:r w:rsidRPr="002B55E9">
              <w:rPr>
                <w:rFonts w:eastAsia="宋体" w:hint="eastAsia"/>
              </w:rPr>
              <w:t>甲醛</w:t>
            </w:r>
          </w:p>
        </w:tc>
        <w:tc>
          <w:tcPr>
            <w:tcW w:w="1442" w:type="dxa"/>
          </w:tcPr>
          <w:p w14:paraId="61C153C3" w14:textId="77777777" w:rsidR="00D170E5" w:rsidRPr="002B55E9" w:rsidRDefault="00EF27AD">
            <w:pPr>
              <w:pStyle w:val="lgy-"/>
            </w:pPr>
            <w:r w:rsidRPr="002B55E9">
              <w:rPr>
                <w:rFonts w:eastAsia="宋体" w:hint="eastAsia"/>
              </w:rPr>
              <w:t>5</w:t>
            </w:r>
            <w:r w:rsidRPr="002B55E9">
              <w:rPr>
                <w:rFonts w:eastAsia="宋体"/>
              </w:rPr>
              <w:t>0-00-0</w:t>
            </w:r>
          </w:p>
        </w:tc>
        <w:tc>
          <w:tcPr>
            <w:tcW w:w="1763" w:type="dxa"/>
            <w:noWrap/>
          </w:tcPr>
          <w:p w14:paraId="50B746A4" w14:textId="77777777" w:rsidR="00D170E5" w:rsidRPr="002B55E9" w:rsidRDefault="00EF27AD">
            <w:pPr>
              <w:pStyle w:val="lgy-"/>
            </w:pPr>
            <w:r w:rsidRPr="002B55E9">
              <w:rPr>
                <w:rFonts w:eastAsia="宋体" w:hint="eastAsia"/>
              </w:rPr>
              <w:t>0.005</w:t>
            </w:r>
          </w:p>
        </w:tc>
        <w:tc>
          <w:tcPr>
            <w:tcW w:w="1456" w:type="dxa"/>
            <w:noWrap/>
          </w:tcPr>
          <w:p w14:paraId="221DE383" w14:textId="77777777" w:rsidR="00D170E5" w:rsidRPr="002B55E9" w:rsidRDefault="00EF27AD">
            <w:pPr>
              <w:pStyle w:val="lgy-"/>
            </w:pPr>
            <w:r w:rsidRPr="002B55E9">
              <w:rPr>
                <w:rFonts w:eastAsia="宋体" w:hint="eastAsia"/>
              </w:rPr>
              <w:t>瓶装</w:t>
            </w:r>
          </w:p>
        </w:tc>
        <w:tc>
          <w:tcPr>
            <w:tcW w:w="1458" w:type="dxa"/>
            <w:noWrap/>
          </w:tcPr>
          <w:p w14:paraId="6FADDB93" w14:textId="77777777" w:rsidR="00D170E5" w:rsidRPr="002B55E9" w:rsidRDefault="00EF27AD">
            <w:pPr>
              <w:pStyle w:val="lgy-"/>
            </w:pPr>
            <w:r w:rsidRPr="002B55E9">
              <w:rPr>
                <w:rFonts w:eastAsia="宋体" w:hint="eastAsia"/>
              </w:rPr>
              <w:t>0</w:t>
            </w:r>
            <w:r w:rsidRPr="002B55E9">
              <w:rPr>
                <w:rFonts w:eastAsia="宋体"/>
              </w:rPr>
              <w:t>.5</w:t>
            </w:r>
          </w:p>
        </w:tc>
        <w:tc>
          <w:tcPr>
            <w:tcW w:w="1055" w:type="dxa"/>
            <w:noWrap/>
          </w:tcPr>
          <w:p w14:paraId="7BCD7F13" w14:textId="77777777" w:rsidR="00D170E5" w:rsidRPr="002B55E9" w:rsidRDefault="00EF27AD">
            <w:pPr>
              <w:pStyle w:val="lgy-"/>
              <w:rPr>
                <w:rFonts w:eastAsia="宋体"/>
                <w:szCs w:val="20"/>
              </w:rPr>
            </w:pPr>
            <w:r w:rsidRPr="002B55E9">
              <w:rPr>
                <w:rFonts w:eastAsia="宋体"/>
                <w:szCs w:val="20"/>
              </w:rPr>
              <w:t xml:space="preserve">0.01 </w:t>
            </w:r>
          </w:p>
        </w:tc>
      </w:tr>
      <w:tr w:rsidR="002B55E9" w:rsidRPr="002B55E9" w14:paraId="0AA9ABCE" w14:textId="77777777" w:rsidTr="00DA7812">
        <w:trPr>
          <w:trHeight w:val="283"/>
        </w:trPr>
        <w:tc>
          <w:tcPr>
            <w:tcW w:w="882" w:type="dxa"/>
            <w:noWrap/>
          </w:tcPr>
          <w:p w14:paraId="74BA39D9" w14:textId="77777777" w:rsidR="00D170E5" w:rsidRPr="002B55E9" w:rsidRDefault="00EF27AD">
            <w:pPr>
              <w:pStyle w:val="lgy-"/>
              <w:rPr>
                <w:szCs w:val="20"/>
              </w:rPr>
            </w:pPr>
            <w:r w:rsidRPr="002B55E9">
              <w:rPr>
                <w:rFonts w:eastAsia="宋体" w:hint="eastAsia"/>
                <w:szCs w:val="20"/>
              </w:rPr>
              <w:t>6</w:t>
            </w:r>
          </w:p>
        </w:tc>
        <w:tc>
          <w:tcPr>
            <w:tcW w:w="1582" w:type="dxa"/>
            <w:noWrap/>
          </w:tcPr>
          <w:p w14:paraId="274A2EB9" w14:textId="77777777" w:rsidR="00D170E5" w:rsidRPr="002B55E9" w:rsidRDefault="00EF27AD">
            <w:pPr>
              <w:pStyle w:val="lgy-"/>
            </w:pPr>
            <w:r w:rsidRPr="002B55E9">
              <w:rPr>
                <w:rFonts w:eastAsia="宋体" w:hint="eastAsia"/>
              </w:rPr>
              <w:t>盐酸</w:t>
            </w:r>
          </w:p>
        </w:tc>
        <w:tc>
          <w:tcPr>
            <w:tcW w:w="1442" w:type="dxa"/>
          </w:tcPr>
          <w:p w14:paraId="63EF3078" w14:textId="77777777" w:rsidR="00D170E5" w:rsidRPr="002B55E9" w:rsidRDefault="00EF27AD">
            <w:pPr>
              <w:pStyle w:val="lgy-"/>
            </w:pPr>
            <w:r w:rsidRPr="002B55E9">
              <w:rPr>
                <w:rFonts w:eastAsia="宋体" w:hint="eastAsia"/>
              </w:rPr>
              <w:t>7</w:t>
            </w:r>
            <w:r w:rsidRPr="002B55E9">
              <w:rPr>
                <w:rFonts w:eastAsia="宋体"/>
              </w:rPr>
              <w:t>647-01-0</w:t>
            </w:r>
          </w:p>
        </w:tc>
        <w:tc>
          <w:tcPr>
            <w:tcW w:w="1763" w:type="dxa"/>
            <w:noWrap/>
          </w:tcPr>
          <w:p w14:paraId="6A234D73" w14:textId="77777777" w:rsidR="00D170E5" w:rsidRPr="002B55E9" w:rsidRDefault="00EF27AD">
            <w:pPr>
              <w:pStyle w:val="lgy-"/>
            </w:pPr>
            <w:r w:rsidRPr="002B55E9">
              <w:rPr>
                <w:rFonts w:eastAsia="宋体" w:hint="eastAsia"/>
              </w:rPr>
              <w:t>0.00059</w:t>
            </w:r>
          </w:p>
        </w:tc>
        <w:tc>
          <w:tcPr>
            <w:tcW w:w="1456" w:type="dxa"/>
            <w:noWrap/>
          </w:tcPr>
          <w:p w14:paraId="675F1728" w14:textId="77777777" w:rsidR="00D170E5" w:rsidRPr="002B55E9" w:rsidRDefault="00EF27AD">
            <w:pPr>
              <w:pStyle w:val="lgy-"/>
            </w:pPr>
            <w:r w:rsidRPr="002B55E9">
              <w:rPr>
                <w:rFonts w:eastAsia="宋体" w:hint="eastAsia"/>
              </w:rPr>
              <w:t>瓶装</w:t>
            </w:r>
          </w:p>
        </w:tc>
        <w:tc>
          <w:tcPr>
            <w:tcW w:w="1458" w:type="dxa"/>
            <w:noWrap/>
          </w:tcPr>
          <w:p w14:paraId="46084654" w14:textId="77777777" w:rsidR="00D170E5" w:rsidRPr="002B55E9" w:rsidRDefault="00EF27AD">
            <w:pPr>
              <w:pStyle w:val="lgy-"/>
            </w:pPr>
            <w:r w:rsidRPr="002B55E9">
              <w:rPr>
                <w:rFonts w:eastAsia="宋体" w:hint="eastAsia"/>
              </w:rPr>
              <w:t>7</w:t>
            </w:r>
            <w:r w:rsidRPr="002B55E9">
              <w:rPr>
                <w:rFonts w:eastAsia="宋体"/>
              </w:rPr>
              <w:t>.5</w:t>
            </w:r>
          </w:p>
        </w:tc>
        <w:tc>
          <w:tcPr>
            <w:tcW w:w="1055" w:type="dxa"/>
            <w:noWrap/>
          </w:tcPr>
          <w:p w14:paraId="467ED477" w14:textId="77777777" w:rsidR="00D170E5" w:rsidRPr="002B55E9" w:rsidRDefault="00EF27AD">
            <w:pPr>
              <w:pStyle w:val="lgy-"/>
              <w:rPr>
                <w:rFonts w:eastAsia="宋体"/>
                <w:szCs w:val="20"/>
              </w:rPr>
            </w:pPr>
            <w:r w:rsidRPr="002B55E9">
              <w:rPr>
                <w:rFonts w:eastAsia="宋体"/>
                <w:szCs w:val="20"/>
              </w:rPr>
              <w:t>7.87E-05</w:t>
            </w:r>
          </w:p>
        </w:tc>
      </w:tr>
      <w:tr w:rsidR="002B55E9" w:rsidRPr="002B55E9" w14:paraId="05EA805C" w14:textId="77777777" w:rsidTr="00DA7812">
        <w:trPr>
          <w:trHeight w:val="283"/>
        </w:trPr>
        <w:tc>
          <w:tcPr>
            <w:tcW w:w="882" w:type="dxa"/>
            <w:noWrap/>
          </w:tcPr>
          <w:p w14:paraId="2A30B7C2" w14:textId="77777777" w:rsidR="00D170E5" w:rsidRPr="002B55E9" w:rsidRDefault="00EF27AD">
            <w:pPr>
              <w:pStyle w:val="lgy-"/>
              <w:rPr>
                <w:szCs w:val="20"/>
              </w:rPr>
            </w:pPr>
            <w:r w:rsidRPr="002B55E9">
              <w:rPr>
                <w:rFonts w:eastAsia="宋体" w:hint="eastAsia"/>
                <w:szCs w:val="20"/>
              </w:rPr>
              <w:t>7</w:t>
            </w:r>
          </w:p>
        </w:tc>
        <w:tc>
          <w:tcPr>
            <w:tcW w:w="1582" w:type="dxa"/>
            <w:noWrap/>
          </w:tcPr>
          <w:p w14:paraId="2A06509D" w14:textId="77777777" w:rsidR="00D170E5" w:rsidRPr="002B55E9" w:rsidRDefault="00EF27AD">
            <w:pPr>
              <w:pStyle w:val="lgy-"/>
            </w:pPr>
            <w:r w:rsidRPr="002B55E9">
              <w:rPr>
                <w:rFonts w:eastAsia="宋体" w:hint="eastAsia"/>
              </w:rPr>
              <w:t>乙醚</w:t>
            </w:r>
          </w:p>
        </w:tc>
        <w:tc>
          <w:tcPr>
            <w:tcW w:w="1442" w:type="dxa"/>
          </w:tcPr>
          <w:p w14:paraId="4F4F6748" w14:textId="77777777" w:rsidR="00D170E5" w:rsidRPr="002B55E9" w:rsidRDefault="00EF27AD">
            <w:pPr>
              <w:pStyle w:val="lgy-"/>
            </w:pPr>
            <w:r w:rsidRPr="002B55E9">
              <w:rPr>
                <w:rFonts w:eastAsia="宋体" w:hint="eastAsia"/>
              </w:rPr>
              <w:t>6</w:t>
            </w:r>
            <w:r w:rsidRPr="002B55E9">
              <w:rPr>
                <w:rFonts w:eastAsia="宋体"/>
              </w:rPr>
              <w:t>0-29-7</w:t>
            </w:r>
          </w:p>
        </w:tc>
        <w:tc>
          <w:tcPr>
            <w:tcW w:w="1763" w:type="dxa"/>
            <w:noWrap/>
          </w:tcPr>
          <w:p w14:paraId="343A239A" w14:textId="77777777" w:rsidR="00D170E5" w:rsidRPr="002B55E9" w:rsidRDefault="00EF27AD">
            <w:pPr>
              <w:pStyle w:val="lgy-"/>
            </w:pPr>
            <w:r w:rsidRPr="002B55E9">
              <w:rPr>
                <w:rFonts w:eastAsia="宋体" w:hint="eastAsia"/>
              </w:rPr>
              <w:t>0.000357</w:t>
            </w:r>
          </w:p>
        </w:tc>
        <w:tc>
          <w:tcPr>
            <w:tcW w:w="1456" w:type="dxa"/>
            <w:noWrap/>
          </w:tcPr>
          <w:p w14:paraId="35749ABF" w14:textId="77777777" w:rsidR="00D170E5" w:rsidRPr="002B55E9" w:rsidRDefault="00EF27AD">
            <w:pPr>
              <w:pStyle w:val="lgy-"/>
            </w:pPr>
            <w:r w:rsidRPr="002B55E9">
              <w:rPr>
                <w:rFonts w:eastAsia="宋体" w:hint="eastAsia"/>
              </w:rPr>
              <w:t>瓶装</w:t>
            </w:r>
          </w:p>
        </w:tc>
        <w:tc>
          <w:tcPr>
            <w:tcW w:w="1458" w:type="dxa"/>
            <w:noWrap/>
          </w:tcPr>
          <w:p w14:paraId="55615605" w14:textId="77777777" w:rsidR="00D170E5" w:rsidRPr="002B55E9" w:rsidRDefault="00EF27AD">
            <w:pPr>
              <w:pStyle w:val="lgy-"/>
            </w:pPr>
            <w:r w:rsidRPr="002B55E9">
              <w:rPr>
                <w:rFonts w:eastAsia="宋体" w:hint="eastAsia"/>
              </w:rPr>
              <w:t>1</w:t>
            </w:r>
            <w:r w:rsidRPr="002B55E9">
              <w:rPr>
                <w:rFonts w:eastAsia="宋体"/>
              </w:rPr>
              <w:t>0</w:t>
            </w:r>
          </w:p>
        </w:tc>
        <w:tc>
          <w:tcPr>
            <w:tcW w:w="1055" w:type="dxa"/>
            <w:noWrap/>
          </w:tcPr>
          <w:p w14:paraId="122DE658" w14:textId="77777777" w:rsidR="00D170E5" w:rsidRPr="002B55E9" w:rsidRDefault="00EF27AD">
            <w:pPr>
              <w:pStyle w:val="lgy-"/>
              <w:rPr>
                <w:rFonts w:eastAsia="宋体"/>
              </w:rPr>
            </w:pPr>
            <w:r w:rsidRPr="002B55E9">
              <w:rPr>
                <w:rFonts w:eastAsia="宋体"/>
                <w:szCs w:val="20"/>
              </w:rPr>
              <w:t>3.57E-05</w:t>
            </w:r>
          </w:p>
        </w:tc>
      </w:tr>
      <w:tr w:rsidR="002B55E9" w:rsidRPr="002B55E9" w14:paraId="250CEEE4" w14:textId="77777777" w:rsidTr="00DA7812">
        <w:trPr>
          <w:trHeight w:val="283"/>
        </w:trPr>
        <w:tc>
          <w:tcPr>
            <w:tcW w:w="882" w:type="dxa"/>
            <w:noWrap/>
          </w:tcPr>
          <w:p w14:paraId="104AFA5A" w14:textId="77777777" w:rsidR="00D170E5" w:rsidRPr="002B55E9" w:rsidRDefault="00EF27AD">
            <w:pPr>
              <w:pStyle w:val="lgy-"/>
              <w:rPr>
                <w:szCs w:val="20"/>
              </w:rPr>
            </w:pPr>
            <w:r w:rsidRPr="002B55E9">
              <w:rPr>
                <w:rFonts w:eastAsia="宋体" w:hint="eastAsia"/>
                <w:szCs w:val="20"/>
              </w:rPr>
              <w:t>8</w:t>
            </w:r>
          </w:p>
        </w:tc>
        <w:tc>
          <w:tcPr>
            <w:tcW w:w="1582" w:type="dxa"/>
            <w:noWrap/>
          </w:tcPr>
          <w:p w14:paraId="277319A0" w14:textId="77777777" w:rsidR="00D170E5" w:rsidRPr="002B55E9" w:rsidRDefault="00EF27AD">
            <w:pPr>
              <w:pStyle w:val="lgy-"/>
            </w:pPr>
            <w:r w:rsidRPr="002B55E9">
              <w:rPr>
                <w:rFonts w:eastAsia="宋体" w:hint="eastAsia"/>
              </w:rPr>
              <w:t>磷酸</w:t>
            </w:r>
          </w:p>
        </w:tc>
        <w:tc>
          <w:tcPr>
            <w:tcW w:w="1442" w:type="dxa"/>
          </w:tcPr>
          <w:p w14:paraId="05AADB2E" w14:textId="77777777" w:rsidR="00D170E5" w:rsidRPr="002B55E9" w:rsidRDefault="00EF27AD">
            <w:pPr>
              <w:pStyle w:val="lgy-"/>
            </w:pPr>
            <w:r w:rsidRPr="002B55E9">
              <w:rPr>
                <w:rFonts w:eastAsia="宋体" w:hint="eastAsia"/>
              </w:rPr>
              <w:t>7664-38-2</w:t>
            </w:r>
          </w:p>
        </w:tc>
        <w:tc>
          <w:tcPr>
            <w:tcW w:w="1763" w:type="dxa"/>
            <w:noWrap/>
          </w:tcPr>
          <w:p w14:paraId="06A73534" w14:textId="77777777" w:rsidR="00D170E5" w:rsidRPr="002B55E9" w:rsidRDefault="00EF27AD">
            <w:pPr>
              <w:pStyle w:val="lgy-"/>
            </w:pPr>
            <w:r w:rsidRPr="002B55E9">
              <w:rPr>
                <w:rFonts w:eastAsia="宋体"/>
              </w:rPr>
              <w:t>0.45</w:t>
            </w:r>
          </w:p>
        </w:tc>
        <w:tc>
          <w:tcPr>
            <w:tcW w:w="1456" w:type="dxa"/>
            <w:noWrap/>
          </w:tcPr>
          <w:p w14:paraId="57B0B5ED" w14:textId="77777777" w:rsidR="00D170E5" w:rsidRPr="002B55E9" w:rsidRDefault="00EF27AD">
            <w:pPr>
              <w:pStyle w:val="lgy-"/>
            </w:pPr>
            <w:r w:rsidRPr="002B55E9">
              <w:rPr>
                <w:rFonts w:eastAsia="宋体" w:hint="eastAsia"/>
              </w:rPr>
              <w:t>储罐</w:t>
            </w:r>
          </w:p>
        </w:tc>
        <w:tc>
          <w:tcPr>
            <w:tcW w:w="1458" w:type="dxa"/>
            <w:noWrap/>
          </w:tcPr>
          <w:p w14:paraId="31401B1E" w14:textId="77777777" w:rsidR="00D170E5" w:rsidRPr="002B55E9" w:rsidRDefault="00EF27AD">
            <w:pPr>
              <w:pStyle w:val="lgy-"/>
              <w:rPr>
                <w:szCs w:val="20"/>
              </w:rPr>
            </w:pPr>
            <w:r w:rsidRPr="002B55E9">
              <w:rPr>
                <w:rFonts w:eastAsia="宋体" w:hint="eastAsia"/>
                <w:szCs w:val="20"/>
              </w:rPr>
              <w:t>10</w:t>
            </w:r>
          </w:p>
        </w:tc>
        <w:tc>
          <w:tcPr>
            <w:tcW w:w="1055" w:type="dxa"/>
            <w:noWrap/>
          </w:tcPr>
          <w:p w14:paraId="035D1576" w14:textId="77777777" w:rsidR="00D170E5" w:rsidRPr="002B55E9" w:rsidRDefault="00EF27AD">
            <w:pPr>
              <w:pStyle w:val="lgy-"/>
              <w:rPr>
                <w:rFonts w:eastAsia="宋体"/>
                <w:szCs w:val="20"/>
              </w:rPr>
            </w:pPr>
            <w:r w:rsidRPr="002B55E9">
              <w:rPr>
                <w:rFonts w:eastAsia="宋体"/>
                <w:szCs w:val="20"/>
              </w:rPr>
              <w:t xml:space="preserve">0.11 </w:t>
            </w:r>
          </w:p>
        </w:tc>
      </w:tr>
      <w:tr w:rsidR="002B55E9" w:rsidRPr="002B55E9" w14:paraId="0C93100A" w14:textId="77777777" w:rsidTr="00DA7812">
        <w:trPr>
          <w:trHeight w:val="283"/>
        </w:trPr>
        <w:tc>
          <w:tcPr>
            <w:tcW w:w="882" w:type="dxa"/>
            <w:noWrap/>
          </w:tcPr>
          <w:p w14:paraId="7C355BF1" w14:textId="77777777" w:rsidR="00D170E5" w:rsidRPr="002B55E9" w:rsidRDefault="00EF27AD">
            <w:pPr>
              <w:pStyle w:val="lgy-"/>
              <w:rPr>
                <w:szCs w:val="20"/>
              </w:rPr>
            </w:pPr>
            <w:r w:rsidRPr="002B55E9">
              <w:rPr>
                <w:rFonts w:eastAsia="宋体" w:hint="eastAsia"/>
                <w:szCs w:val="20"/>
              </w:rPr>
              <w:t>9</w:t>
            </w:r>
          </w:p>
        </w:tc>
        <w:tc>
          <w:tcPr>
            <w:tcW w:w="1582" w:type="dxa"/>
            <w:noWrap/>
          </w:tcPr>
          <w:p w14:paraId="261538D2" w14:textId="77777777" w:rsidR="00D170E5" w:rsidRPr="002B55E9" w:rsidRDefault="00EF27AD">
            <w:pPr>
              <w:pStyle w:val="lgy-"/>
            </w:pPr>
            <w:r w:rsidRPr="002B55E9">
              <w:rPr>
                <w:rFonts w:eastAsia="宋体" w:hint="eastAsia"/>
              </w:rPr>
              <w:t>硝酸</w:t>
            </w:r>
          </w:p>
        </w:tc>
        <w:tc>
          <w:tcPr>
            <w:tcW w:w="1442" w:type="dxa"/>
          </w:tcPr>
          <w:p w14:paraId="173184F7" w14:textId="77777777" w:rsidR="00D170E5" w:rsidRPr="002B55E9" w:rsidRDefault="00EF27AD">
            <w:pPr>
              <w:pStyle w:val="lgy-"/>
            </w:pPr>
            <w:r w:rsidRPr="002B55E9">
              <w:rPr>
                <w:rFonts w:eastAsia="宋体" w:hint="eastAsia"/>
              </w:rPr>
              <w:t>7697-37-2</w:t>
            </w:r>
          </w:p>
        </w:tc>
        <w:tc>
          <w:tcPr>
            <w:tcW w:w="1763" w:type="dxa"/>
            <w:noWrap/>
          </w:tcPr>
          <w:p w14:paraId="61C6C5CE" w14:textId="77777777" w:rsidR="00D170E5" w:rsidRPr="002B55E9" w:rsidRDefault="00EF27AD">
            <w:pPr>
              <w:pStyle w:val="lgy-"/>
            </w:pPr>
            <w:r w:rsidRPr="002B55E9">
              <w:rPr>
                <w:rFonts w:eastAsia="宋体"/>
              </w:rPr>
              <w:t>0.225</w:t>
            </w:r>
          </w:p>
        </w:tc>
        <w:tc>
          <w:tcPr>
            <w:tcW w:w="1456" w:type="dxa"/>
            <w:noWrap/>
          </w:tcPr>
          <w:p w14:paraId="219F5404" w14:textId="77777777" w:rsidR="00D170E5" w:rsidRPr="002B55E9" w:rsidRDefault="00EF27AD">
            <w:pPr>
              <w:pStyle w:val="lgy-"/>
            </w:pPr>
            <w:r w:rsidRPr="002B55E9">
              <w:rPr>
                <w:rFonts w:eastAsia="宋体" w:hint="eastAsia"/>
              </w:rPr>
              <w:t>储罐</w:t>
            </w:r>
          </w:p>
        </w:tc>
        <w:tc>
          <w:tcPr>
            <w:tcW w:w="1458" w:type="dxa"/>
            <w:noWrap/>
          </w:tcPr>
          <w:p w14:paraId="7866F1AB" w14:textId="77777777" w:rsidR="00D170E5" w:rsidRPr="002B55E9" w:rsidRDefault="00EF27AD">
            <w:pPr>
              <w:pStyle w:val="lgy-"/>
              <w:rPr>
                <w:szCs w:val="20"/>
              </w:rPr>
            </w:pPr>
            <w:r w:rsidRPr="002B55E9">
              <w:rPr>
                <w:rFonts w:eastAsia="宋体" w:hint="eastAsia"/>
                <w:szCs w:val="20"/>
              </w:rPr>
              <w:t>7.5</w:t>
            </w:r>
          </w:p>
        </w:tc>
        <w:tc>
          <w:tcPr>
            <w:tcW w:w="1055" w:type="dxa"/>
            <w:noWrap/>
          </w:tcPr>
          <w:p w14:paraId="2052339F" w14:textId="77777777" w:rsidR="00D170E5" w:rsidRPr="002B55E9" w:rsidRDefault="00EF27AD">
            <w:pPr>
              <w:pStyle w:val="lgy-"/>
              <w:rPr>
                <w:rFonts w:eastAsia="宋体"/>
                <w:szCs w:val="20"/>
              </w:rPr>
            </w:pPr>
            <w:r w:rsidRPr="002B55E9">
              <w:rPr>
                <w:rFonts w:eastAsia="宋体"/>
                <w:szCs w:val="20"/>
              </w:rPr>
              <w:t xml:space="preserve">0.07 </w:t>
            </w:r>
          </w:p>
        </w:tc>
      </w:tr>
      <w:tr w:rsidR="002B55E9" w:rsidRPr="002B55E9" w14:paraId="5F9AAFA8" w14:textId="77777777" w:rsidTr="00DA7812">
        <w:trPr>
          <w:trHeight w:val="283"/>
        </w:trPr>
        <w:tc>
          <w:tcPr>
            <w:tcW w:w="8583" w:type="dxa"/>
            <w:gridSpan w:val="6"/>
            <w:noWrap/>
          </w:tcPr>
          <w:p w14:paraId="00DB08BB" w14:textId="77777777" w:rsidR="00D170E5" w:rsidRPr="002B55E9" w:rsidRDefault="00EF27AD">
            <w:pPr>
              <w:pStyle w:val="lgy-"/>
              <w:rPr>
                <w:szCs w:val="20"/>
              </w:rPr>
            </w:pPr>
            <w:r w:rsidRPr="002B55E9">
              <w:rPr>
                <w:rFonts w:eastAsia="宋体" w:hint="eastAsia"/>
                <w:szCs w:val="20"/>
              </w:rPr>
              <w:t>合计</w:t>
            </w:r>
          </w:p>
        </w:tc>
        <w:tc>
          <w:tcPr>
            <w:tcW w:w="1055" w:type="dxa"/>
            <w:noWrap/>
          </w:tcPr>
          <w:p w14:paraId="6DEAB124" w14:textId="77777777" w:rsidR="00D170E5" w:rsidRPr="002B55E9" w:rsidRDefault="00EF27AD">
            <w:pPr>
              <w:pStyle w:val="lgy-"/>
              <w:rPr>
                <w:rFonts w:eastAsia="宋体"/>
                <w:szCs w:val="20"/>
              </w:rPr>
            </w:pPr>
            <w:r w:rsidRPr="002B55E9">
              <w:rPr>
                <w:rFonts w:eastAsia="宋体" w:hint="eastAsia"/>
                <w:szCs w:val="20"/>
              </w:rPr>
              <w:t>4</w:t>
            </w:r>
            <w:r w:rsidRPr="002B55E9">
              <w:rPr>
                <w:rFonts w:eastAsia="宋体"/>
                <w:szCs w:val="20"/>
              </w:rPr>
              <w:t>6.28</w:t>
            </w:r>
          </w:p>
        </w:tc>
      </w:tr>
    </w:tbl>
    <w:p w14:paraId="4C51B5E5" w14:textId="3016EBE2" w:rsidR="00D170E5" w:rsidRPr="002B55E9" w:rsidRDefault="00EF27AD">
      <w:pPr>
        <w:pStyle w:val="affff7"/>
        <w:snapToGrid w:val="0"/>
        <w:spacing w:after="0"/>
        <w:rPr>
          <w:rFonts w:ascii="宋体" w:hAnsi="宋体"/>
          <w:szCs w:val="24"/>
        </w:rPr>
      </w:pPr>
      <w:r w:rsidRPr="002B55E9">
        <w:t>由上表可知，拟建项目风险物质的</w:t>
      </w:r>
      <w:r w:rsidRPr="002B55E9">
        <w:t>Q</w:t>
      </w:r>
      <w:r w:rsidRPr="002B55E9">
        <w:t>值为</w:t>
      </w:r>
      <w:r w:rsidRPr="002B55E9">
        <w:t>46.28</w:t>
      </w:r>
      <w:r w:rsidRPr="002B55E9">
        <w:t>，属于</w:t>
      </w:r>
      <w:r w:rsidRPr="002B55E9">
        <w:rPr>
          <w:rFonts w:hint="eastAsia"/>
        </w:rPr>
        <w:t>10</w:t>
      </w:r>
      <w:r w:rsidRPr="002B55E9">
        <w:rPr>
          <w:rFonts w:hint="eastAsia"/>
        </w:rPr>
        <w:t>＜</w:t>
      </w:r>
      <w:r w:rsidRPr="002B55E9">
        <w:t>Q</w:t>
      </w:r>
      <w:r w:rsidRPr="002B55E9">
        <w:rPr>
          <w:rFonts w:hint="eastAsia"/>
        </w:rPr>
        <w:t>＜</w:t>
      </w:r>
      <w:r w:rsidRPr="002B55E9">
        <w:rPr>
          <w:rFonts w:hint="eastAsia"/>
        </w:rPr>
        <w:t>100</w:t>
      </w:r>
      <w:r w:rsidRPr="002B55E9">
        <w:t>的情况</w:t>
      </w:r>
      <w:r w:rsidRPr="002B55E9">
        <w:rPr>
          <w:rFonts w:hint="eastAsia"/>
        </w:rPr>
        <w:t>。</w:t>
      </w:r>
      <w:r w:rsidRPr="002B55E9">
        <w:rPr>
          <w:rFonts w:ascii="宋体" w:hAnsi="宋体" w:hint="eastAsia"/>
          <w:szCs w:val="24"/>
        </w:rPr>
        <w:t>本项目危险生产工艺得分为</w:t>
      </w:r>
      <w:r w:rsidRPr="002B55E9">
        <w:rPr>
          <w:szCs w:val="24"/>
        </w:rPr>
        <w:t>5</w:t>
      </w:r>
      <w:r w:rsidRPr="002B55E9">
        <w:rPr>
          <w:rFonts w:ascii="宋体" w:hAnsi="宋体" w:hint="eastAsia"/>
          <w:szCs w:val="24"/>
        </w:rPr>
        <w:t>分，以</w:t>
      </w:r>
      <w:r w:rsidRPr="002B55E9">
        <w:rPr>
          <w:rFonts w:hint="eastAsia"/>
          <w:szCs w:val="24"/>
        </w:rPr>
        <w:t>M</w:t>
      </w:r>
      <w:r w:rsidRPr="002B55E9">
        <w:rPr>
          <w:szCs w:val="24"/>
        </w:rPr>
        <w:t>4</w:t>
      </w:r>
      <w:r w:rsidRPr="002B55E9">
        <w:rPr>
          <w:rFonts w:ascii="宋体" w:hAnsi="宋体" w:hint="eastAsia"/>
          <w:szCs w:val="24"/>
        </w:rPr>
        <w:t>标识（</w:t>
      </w:r>
      <w:r w:rsidRPr="002B55E9">
        <w:rPr>
          <w:rFonts w:hint="eastAsia"/>
          <w:szCs w:val="24"/>
        </w:rPr>
        <w:t>M</w:t>
      </w:r>
      <w:r w:rsidRPr="002B55E9">
        <w:rPr>
          <w:rFonts w:ascii="宋体" w:hAnsi="宋体"/>
          <w:szCs w:val="24"/>
        </w:rPr>
        <w:t>=</w:t>
      </w:r>
      <w:r w:rsidRPr="002B55E9">
        <w:rPr>
          <w:szCs w:val="24"/>
        </w:rPr>
        <w:t>5</w:t>
      </w:r>
      <w:r w:rsidRPr="002B55E9">
        <w:rPr>
          <w:rFonts w:ascii="宋体" w:hAnsi="宋体" w:hint="eastAsia"/>
          <w:szCs w:val="24"/>
        </w:rPr>
        <w:t>）。</w:t>
      </w:r>
    </w:p>
    <w:p w14:paraId="75BBE150"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1-7-9</w:t>
      </w:r>
      <w:r w:rsidRPr="002B55E9">
        <w:rPr>
          <w:rFonts w:eastAsia="黑体" w:hint="eastAsia"/>
          <w:b/>
          <w:sz w:val="24"/>
          <w:szCs w:val="28"/>
        </w:rPr>
        <w:t xml:space="preserve">  </w:t>
      </w:r>
      <w:r w:rsidRPr="002B55E9">
        <w:rPr>
          <w:rFonts w:eastAsia="黑体"/>
          <w:b/>
          <w:sz w:val="24"/>
          <w:szCs w:val="28"/>
        </w:rPr>
        <w:t>危险物质及工艺系统危险性等级</w:t>
      </w:r>
      <w:r w:rsidRPr="002B55E9">
        <w:rPr>
          <w:rFonts w:eastAsia="黑体" w:hint="eastAsia"/>
          <w:b/>
          <w:sz w:val="24"/>
          <w:szCs w:val="28"/>
        </w:rPr>
        <w:t>判断</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27"/>
        <w:gridCol w:w="1928"/>
        <w:gridCol w:w="1928"/>
        <w:gridCol w:w="1928"/>
        <w:gridCol w:w="1928"/>
      </w:tblGrid>
      <w:tr w:rsidR="002B55E9" w:rsidRPr="002B55E9" w14:paraId="06392AA3" w14:textId="77777777">
        <w:trPr>
          <w:trHeight w:val="284"/>
        </w:trPr>
        <w:tc>
          <w:tcPr>
            <w:tcW w:w="1927" w:type="dxa"/>
            <w:vMerge w:val="restart"/>
            <w:tcBorders>
              <w:top w:val="single" w:sz="12" w:space="0" w:color="auto"/>
              <w:bottom w:val="single" w:sz="4" w:space="0" w:color="auto"/>
            </w:tcBorders>
            <w:vAlign w:val="center"/>
          </w:tcPr>
          <w:p w14:paraId="43BFB312" w14:textId="77777777" w:rsidR="00D170E5" w:rsidRPr="002B55E9" w:rsidRDefault="00EF27AD">
            <w:pPr>
              <w:pStyle w:val="affffffffffffffffff6"/>
              <w:ind w:left="-40" w:right="-40"/>
            </w:pPr>
            <w:r w:rsidRPr="002B55E9">
              <w:rPr>
                <w:rFonts w:hint="eastAsia"/>
              </w:rPr>
              <w:t>危险物质</w:t>
            </w:r>
            <w:r w:rsidRPr="002B55E9">
              <w:t>数量与临界量比值（</w:t>
            </w:r>
            <w:r w:rsidRPr="002B55E9">
              <w:rPr>
                <w:rFonts w:hint="eastAsia"/>
              </w:rPr>
              <w:t>Q</w:t>
            </w:r>
            <w:r w:rsidRPr="002B55E9">
              <w:t>）</w:t>
            </w:r>
          </w:p>
        </w:tc>
        <w:tc>
          <w:tcPr>
            <w:tcW w:w="7712" w:type="dxa"/>
            <w:gridSpan w:val="4"/>
            <w:tcBorders>
              <w:top w:val="single" w:sz="12" w:space="0" w:color="auto"/>
              <w:bottom w:val="single" w:sz="4" w:space="0" w:color="auto"/>
            </w:tcBorders>
            <w:vAlign w:val="center"/>
          </w:tcPr>
          <w:p w14:paraId="2C45A0DE" w14:textId="77777777" w:rsidR="00D170E5" w:rsidRPr="002B55E9" w:rsidRDefault="00EF27AD">
            <w:pPr>
              <w:pStyle w:val="affffffffffffffffff6"/>
              <w:ind w:left="-40" w:right="-40"/>
            </w:pPr>
            <w:r w:rsidRPr="002B55E9">
              <w:rPr>
                <w:rFonts w:hint="eastAsia"/>
              </w:rPr>
              <w:t>行业及</w:t>
            </w:r>
            <w:r w:rsidRPr="002B55E9">
              <w:t>生产工艺</w:t>
            </w:r>
            <w:r w:rsidRPr="002B55E9">
              <w:rPr>
                <w:rFonts w:hint="eastAsia"/>
              </w:rPr>
              <w:t>（</w:t>
            </w:r>
            <w:r w:rsidRPr="002B55E9">
              <w:rPr>
                <w:rFonts w:hint="eastAsia"/>
              </w:rPr>
              <w:t>M</w:t>
            </w:r>
            <w:r w:rsidRPr="002B55E9">
              <w:rPr>
                <w:rFonts w:hint="eastAsia"/>
              </w:rPr>
              <w:t>）</w:t>
            </w:r>
          </w:p>
        </w:tc>
      </w:tr>
      <w:tr w:rsidR="002B55E9" w:rsidRPr="002B55E9" w14:paraId="74A5C985" w14:textId="77777777">
        <w:trPr>
          <w:trHeight w:val="284"/>
        </w:trPr>
        <w:tc>
          <w:tcPr>
            <w:tcW w:w="1927" w:type="dxa"/>
            <w:vMerge/>
            <w:tcBorders>
              <w:top w:val="single" w:sz="4" w:space="0" w:color="auto"/>
              <w:bottom w:val="single" w:sz="12" w:space="0" w:color="auto"/>
            </w:tcBorders>
            <w:vAlign w:val="center"/>
          </w:tcPr>
          <w:p w14:paraId="5A25555A" w14:textId="77777777" w:rsidR="00D170E5" w:rsidRPr="002B55E9" w:rsidRDefault="00D170E5">
            <w:pPr>
              <w:pStyle w:val="affffffffffffffffff6"/>
              <w:ind w:left="-40" w:right="-40"/>
            </w:pPr>
          </w:p>
        </w:tc>
        <w:tc>
          <w:tcPr>
            <w:tcW w:w="1928" w:type="dxa"/>
            <w:tcBorders>
              <w:top w:val="single" w:sz="4" w:space="0" w:color="auto"/>
              <w:bottom w:val="single" w:sz="12" w:space="0" w:color="auto"/>
            </w:tcBorders>
            <w:vAlign w:val="center"/>
          </w:tcPr>
          <w:p w14:paraId="654848FE" w14:textId="77777777" w:rsidR="00D170E5" w:rsidRPr="002B55E9" w:rsidRDefault="00EF27AD">
            <w:pPr>
              <w:pStyle w:val="affffffffffffffffff6"/>
              <w:ind w:left="-40" w:right="-40"/>
            </w:pPr>
            <w:r w:rsidRPr="002B55E9">
              <w:t>M1</w:t>
            </w:r>
          </w:p>
        </w:tc>
        <w:tc>
          <w:tcPr>
            <w:tcW w:w="1928" w:type="dxa"/>
            <w:tcBorders>
              <w:top w:val="single" w:sz="4" w:space="0" w:color="auto"/>
              <w:bottom w:val="single" w:sz="12" w:space="0" w:color="auto"/>
            </w:tcBorders>
            <w:vAlign w:val="center"/>
          </w:tcPr>
          <w:p w14:paraId="21251650" w14:textId="77777777" w:rsidR="00D170E5" w:rsidRPr="002B55E9" w:rsidRDefault="00EF27AD">
            <w:pPr>
              <w:pStyle w:val="affffffffffffffffff6"/>
              <w:ind w:left="-40" w:right="-40"/>
            </w:pPr>
            <w:r w:rsidRPr="002B55E9">
              <w:rPr>
                <w:rFonts w:hint="eastAsia"/>
              </w:rPr>
              <w:t>M2</w:t>
            </w:r>
          </w:p>
        </w:tc>
        <w:tc>
          <w:tcPr>
            <w:tcW w:w="1928" w:type="dxa"/>
            <w:tcBorders>
              <w:top w:val="single" w:sz="4" w:space="0" w:color="auto"/>
              <w:bottom w:val="single" w:sz="12" w:space="0" w:color="auto"/>
            </w:tcBorders>
            <w:vAlign w:val="center"/>
          </w:tcPr>
          <w:p w14:paraId="26D5ACF7" w14:textId="77777777" w:rsidR="00D170E5" w:rsidRPr="002B55E9" w:rsidRDefault="00EF27AD">
            <w:pPr>
              <w:pStyle w:val="affffffffffffffffff6"/>
              <w:ind w:left="-40" w:right="-40"/>
            </w:pPr>
            <w:r w:rsidRPr="002B55E9">
              <w:rPr>
                <w:rFonts w:hint="eastAsia"/>
              </w:rPr>
              <w:t>M3</w:t>
            </w:r>
          </w:p>
        </w:tc>
        <w:tc>
          <w:tcPr>
            <w:tcW w:w="1928" w:type="dxa"/>
            <w:tcBorders>
              <w:top w:val="single" w:sz="4" w:space="0" w:color="auto"/>
              <w:bottom w:val="single" w:sz="12" w:space="0" w:color="auto"/>
            </w:tcBorders>
            <w:vAlign w:val="center"/>
          </w:tcPr>
          <w:p w14:paraId="6E595885" w14:textId="77777777" w:rsidR="00D170E5" w:rsidRPr="002B55E9" w:rsidRDefault="00EF27AD">
            <w:pPr>
              <w:pStyle w:val="affffffffffffffffff6"/>
              <w:ind w:left="-40" w:right="-40"/>
            </w:pPr>
            <w:r w:rsidRPr="002B55E9">
              <w:rPr>
                <w:rFonts w:hint="eastAsia"/>
              </w:rPr>
              <w:t>M4</w:t>
            </w:r>
          </w:p>
        </w:tc>
      </w:tr>
      <w:tr w:rsidR="002B55E9" w:rsidRPr="002B55E9" w14:paraId="10B0D6B4" w14:textId="77777777">
        <w:trPr>
          <w:trHeight w:val="284"/>
        </w:trPr>
        <w:tc>
          <w:tcPr>
            <w:tcW w:w="1927" w:type="dxa"/>
            <w:tcBorders>
              <w:top w:val="single" w:sz="12" w:space="0" w:color="auto"/>
            </w:tcBorders>
            <w:vAlign w:val="center"/>
          </w:tcPr>
          <w:p w14:paraId="1730E00A" w14:textId="77777777" w:rsidR="00D170E5" w:rsidRPr="002B55E9" w:rsidRDefault="00EF27AD">
            <w:pPr>
              <w:pStyle w:val="affffffffffffffffff6"/>
              <w:ind w:left="-40" w:right="-40"/>
            </w:pPr>
            <w:r w:rsidRPr="002B55E9">
              <w:rPr>
                <w:rFonts w:hint="eastAsia"/>
              </w:rPr>
              <w:t>Q</w:t>
            </w:r>
            <w:r w:rsidRPr="002B55E9">
              <w:rPr>
                <w:rFonts w:hint="eastAsia"/>
              </w:rPr>
              <w:t>≥</w:t>
            </w:r>
            <w:r w:rsidRPr="002B55E9">
              <w:rPr>
                <w:rFonts w:hint="eastAsia"/>
              </w:rPr>
              <w:t>10</w:t>
            </w:r>
            <w:r w:rsidRPr="002B55E9">
              <w:t>0</w:t>
            </w:r>
          </w:p>
        </w:tc>
        <w:tc>
          <w:tcPr>
            <w:tcW w:w="1928" w:type="dxa"/>
            <w:tcBorders>
              <w:top w:val="single" w:sz="12" w:space="0" w:color="auto"/>
            </w:tcBorders>
            <w:vAlign w:val="center"/>
          </w:tcPr>
          <w:p w14:paraId="490FA8B0" w14:textId="77777777" w:rsidR="00D170E5" w:rsidRPr="002B55E9" w:rsidRDefault="00EF27AD">
            <w:pPr>
              <w:pStyle w:val="affffffffffffffffff6"/>
              <w:ind w:left="-40" w:right="-40"/>
            </w:pPr>
            <w:r w:rsidRPr="002B55E9">
              <w:rPr>
                <w:rFonts w:hint="eastAsia"/>
              </w:rPr>
              <w:t>P1</w:t>
            </w:r>
          </w:p>
        </w:tc>
        <w:tc>
          <w:tcPr>
            <w:tcW w:w="1928" w:type="dxa"/>
            <w:tcBorders>
              <w:top w:val="single" w:sz="12" w:space="0" w:color="auto"/>
            </w:tcBorders>
            <w:vAlign w:val="center"/>
          </w:tcPr>
          <w:p w14:paraId="78C74598" w14:textId="77777777" w:rsidR="00D170E5" w:rsidRPr="002B55E9" w:rsidRDefault="00EF27AD">
            <w:pPr>
              <w:pStyle w:val="affffffffffffffffff6"/>
              <w:ind w:left="-40" w:right="-40"/>
            </w:pPr>
            <w:r w:rsidRPr="002B55E9">
              <w:rPr>
                <w:rFonts w:hint="eastAsia"/>
              </w:rPr>
              <w:t>P</w:t>
            </w:r>
            <w:r w:rsidRPr="002B55E9">
              <w:t>1</w:t>
            </w:r>
          </w:p>
        </w:tc>
        <w:tc>
          <w:tcPr>
            <w:tcW w:w="1928" w:type="dxa"/>
            <w:tcBorders>
              <w:top w:val="single" w:sz="12" w:space="0" w:color="auto"/>
            </w:tcBorders>
            <w:vAlign w:val="center"/>
          </w:tcPr>
          <w:p w14:paraId="0FC5DA5F" w14:textId="77777777" w:rsidR="00D170E5" w:rsidRPr="002B55E9" w:rsidRDefault="00EF27AD">
            <w:pPr>
              <w:pStyle w:val="affffffffffffffffff6"/>
              <w:ind w:left="-40" w:right="-40"/>
            </w:pPr>
            <w:r w:rsidRPr="002B55E9">
              <w:rPr>
                <w:rFonts w:hint="eastAsia"/>
              </w:rPr>
              <w:t>P</w:t>
            </w:r>
            <w:r w:rsidRPr="002B55E9">
              <w:t>2</w:t>
            </w:r>
          </w:p>
        </w:tc>
        <w:tc>
          <w:tcPr>
            <w:tcW w:w="1928" w:type="dxa"/>
            <w:tcBorders>
              <w:top w:val="single" w:sz="12" w:space="0" w:color="auto"/>
            </w:tcBorders>
            <w:vAlign w:val="center"/>
          </w:tcPr>
          <w:p w14:paraId="3457359F" w14:textId="77777777" w:rsidR="00D170E5" w:rsidRPr="002B55E9" w:rsidRDefault="00EF27AD">
            <w:pPr>
              <w:pStyle w:val="affffffffffffffffff6"/>
              <w:ind w:left="-40" w:right="-40"/>
            </w:pPr>
            <w:r w:rsidRPr="002B55E9">
              <w:rPr>
                <w:rFonts w:hint="eastAsia"/>
              </w:rPr>
              <w:t>P</w:t>
            </w:r>
            <w:r w:rsidRPr="002B55E9">
              <w:t>3</w:t>
            </w:r>
          </w:p>
        </w:tc>
      </w:tr>
      <w:tr w:rsidR="002B55E9" w:rsidRPr="002B55E9" w14:paraId="64B6A46B" w14:textId="77777777">
        <w:trPr>
          <w:trHeight w:val="284"/>
        </w:trPr>
        <w:tc>
          <w:tcPr>
            <w:tcW w:w="1927" w:type="dxa"/>
            <w:vAlign w:val="center"/>
          </w:tcPr>
          <w:p w14:paraId="6B2964DF" w14:textId="77777777" w:rsidR="00D170E5" w:rsidRPr="002B55E9" w:rsidRDefault="00EF27AD">
            <w:pPr>
              <w:pStyle w:val="affffffffffffffffff6"/>
              <w:ind w:left="-40" w:right="-40"/>
            </w:pPr>
            <w:r w:rsidRPr="002B55E9">
              <w:rPr>
                <w:rFonts w:hint="eastAsia"/>
              </w:rPr>
              <w:t>1</w:t>
            </w:r>
            <w:r w:rsidRPr="002B55E9">
              <w:t>0</w:t>
            </w:r>
            <w:r w:rsidRPr="002B55E9">
              <w:rPr>
                <w:rFonts w:hint="eastAsia"/>
              </w:rPr>
              <w:t>≤</w:t>
            </w:r>
            <w:r w:rsidRPr="002B55E9">
              <w:rPr>
                <w:rFonts w:hint="eastAsia"/>
              </w:rPr>
              <w:t>Q</w:t>
            </w:r>
            <w:r w:rsidRPr="002B55E9">
              <w:rPr>
                <w:rFonts w:hint="eastAsia"/>
              </w:rPr>
              <w:t>＜</w:t>
            </w:r>
            <w:r w:rsidRPr="002B55E9">
              <w:rPr>
                <w:rFonts w:hint="eastAsia"/>
              </w:rPr>
              <w:t>10</w:t>
            </w:r>
            <w:r w:rsidRPr="002B55E9">
              <w:t>0</w:t>
            </w:r>
          </w:p>
        </w:tc>
        <w:tc>
          <w:tcPr>
            <w:tcW w:w="1928" w:type="dxa"/>
            <w:vAlign w:val="center"/>
          </w:tcPr>
          <w:p w14:paraId="2E0FA2AB" w14:textId="77777777" w:rsidR="00D170E5" w:rsidRPr="002B55E9" w:rsidRDefault="00EF27AD">
            <w:pPr>
              <w:pStyle w:val="affffffffffffffffff6"/>
              <w:ind w:left="-40" w:right="-40"/>
            </w:pPr>
            <w:r w:rsidRPr="002B55E9">
              <w:rPr>
                <w:rFonts w:hint="eastAsia"/>
              </w:rPr>
              <w:t>P</w:t>
            </w:r>
            <w:r w:rsidRPr="002B55E9">
              <w:t>1</w:t>
            </w:r>
          </w:p>
        </w:tc>
        <w:tc>
          <w:tcPr>
            <w:tcW w:w="1928" w:type="dxa"/>
            <w:vAlign w:val="center"/>
          </w:tcPr>
          <w:p w14:paraId="28E04414" w14:textId="77777777" w:rsidR="00D170E5" w:rsidRPr="002B55E9" w:rsidRDefault="00EF27AD">
            <w:pPr>
              <w:pStyle w:val="affffffffffffffffff6"/>
              <w:ind w:left="-40" w:right="-40"/>
            </w:pPr>
            <w:r w:rsidRPr="002B55E9">
              <w:rPr>
                <w:rFonts w:hint="eastAsia"/>
              </w:rPr>
              <w:t>P</w:t>
            </w:r>
            <w:r w:rsidRPr="002B55E9">
              <w:t>2</w:t>
            </w:r>
          </w:p>
        </w:tc>
        <w:tc>
          <w:tcPr>
            <w:tcW w:w="1928" w:type="dxa"/>
            <w:vAlign w:val="center"/>
          </w:tcPr>
          <w:p w14:paraId="3EA07175" w14:textId="77777777" w:rsidR="00D170E5" w:rsidRPr="002B55E9" w:rsidRDefault="00EF27AD">
            <w:pPr>
              <w:pStyle w:val="affffffffffffffffff6"/>
              <w:ind w:left="-40" w:right="-40"/>
            </w:pPr>
            <w:r w:rsidRPr="002B55E9">
              <w:rPr>
                <w:rFonts w:hint="eastAsia"/>
              </w:rPr>
              <w:t>P</w:t>
            </w:r>
            <w:r w:rsidRPr="002B55E9">
              <w:t>3</w:t>
            </w:r>
          </w:p>
        </w:tc>
        <w:tc>
          <w:tcPr>
            <w:tcW w:w="1928" w:type="dxa"/>
            <w:vAlign w:val="center"/>
          </w:tcPr>
          <w:p w14:paraId="2C2D6634" w14:textId="77777777" w:rsidR="00D170E5" w:rsidRPr="002B55E9" w:rsidRDefault="00EF27AD">
            <w:pPr>
              <w:pStyle w:val="affffffffffffffffff6"/>
              <w:ind w:left="-40" w:right="-40"/>
            </w:pPr>
            <w:r w:rsidRPr="002B55E9">
              <w:rPr>
                <w:rFonts w:hint="eastAsia"/>
              </w:rPr>
              <w:t>P</w:t>
            </w:r>
            <w:r w:rsidRPr="002B55E9">
              <w:t>4</w:t>
            </w:r>
          </w:p>
        </w:tc>
      </w:tr>
      <w:tr w:rsidR="002B55E9" w:rsidRPr="002B55E9" w14:paraId="7D8E0F01" w14:textId="77777777">
        <w:trPr>
          <w:trHeight w:val="284"/>
        </w:trPr>
        <w:tc>
          <w:tcPr>
            <w:tcW w:w="1927" w:type="dxa"/>
            <w:vAlign w:val="center"/>
          </w:tcPr>
          <w:p w14:paraId="4DCE7A4E" w14:textId="77777777" w:rsidR="00D170E5" w:rsidRPr="002B55E9" w:rsidRDefault="00EF27AD">
            <w:pPr>
              <w:pStyle w:val="affffffffffffffffff6"/>
              <w:ind w:left="-40" w:right="-40"/>
            </w:pPr>
            <w:r w:rsidRPr="002B55E9">
              <w:rPr>
                <w:rFonts w:hint="eastAsia"/>
              </w:rPr>
              <w:t>1</w:t>
            </w:r>
            <w:r w:rsidRPr="002B55E9">
              <w:rPr>
                <w:rFonts w:hint="eastAsia"/>
              </w:rPr>
              <w:t>≤</w:t>
            </w:r>
            <w:r w:rsidRPr="002B55E9">
              <w:rPr>
                <w:rFonts w:hint="eastAsia"/>
              </w:rPr>
              <w:t>Q</w:t>
            </w:r>
            <w:r w:rsidRPr="002B55E9">
              <w:rPr>
                <w:rFonts w:hint="eastAsia"/>
              </w:rPr>
              <w:t>＜</w:t>
            </w:r>
            <w:r w:rsidRPr="002B55E9">
              <w:rPr>
                <w:rFonts w:hint="eastAsia"/>
              </w:rPr>
              <w:t>10</w:t>
            </w:r>
          </w:p>
        </w:tc>
        <w:tc>
          <w:tcPr>
            <w:tcW w:w="1928" w:type="dxa"/>
            <w:vAlign w:val="center"/>
          </w:tcPr>
          <w:p w14:paraId="0536EF96" w14:textId="77777777" w:rsidR="00D170E5" w:rsidRPr="002B55E9" w:rsidRDefault="00EF27AD">
            <w:pPr>
              <w:pStyle w:val="affffffffffffffffff6"/>
              <w:ind w:left="-40" w:right="-40"/>
            </w:pPr>
            <w:r w:rsidRPr="002B55E9">
              <w:rPr>
                <w:rFonts w:hint="eastAsia"/>
              </w:rPr>
              <w:t>P</w:t>
            </w:r>
            <w:r w:rsidRPr="002B55E9">
              <w:t>2</w:t>
            </w:r>
          </w:p>
        </w:tc>
        <w:tc>
          <w:tcPr>
            <w:tcW w:w="1928" w:type="dxa"/>
            <w:vAlign w:val="center"/>
          </w:tcPr>
          <w:p w14:paraId="2791FA87" w14:textId="77777777" w:rsidR="00D170E5" w:rsidRPr="002B55E9" w:rsidRDefault="00EF27AD">
            <w:pPr>
              <w:pStyle w:val="affffffffffffffffff6"/>
              <w:ind w:left="-40" w:right="-40"/>
            </w:pPr>
            <w:r w:rsidRPr="002B55E9">
              <w:rPr>
                <w:rFonts w:hint="eastAsia"/>
              </w:rPr>
              <w:t>P</w:t>
            </w:r>
            <w:r w:rsidRPr="002B55E9">
              <w:t>3</w:t>
            </w:r>
          </w:p>
        </w:tc>
        <w:tc>
          <w:tcPr>
            <w:tcW w:w="1928" w:type="dxa"/>
            <w:vAlign w:val="center"/>
          </w:tcPr>
          <w:p w14:paraId="2644C6E4" w14:textId="77777777" w:rsidR="00D170E5" w:rsidRPr="002B55E9" w:rsidRDefault="00EF27AD">
            <w:pPr>
              <w:pStyle w:val="affffffffffffffffff6"/>
              <w:ind w:left="-40" w:right="-40"/>
            </w:pPr>
            <w:r w:rsidRPr="002B55E9">
              <w:rPr>
                <w:rFonts w:hint="eastAsia"/>
              </w:rPr>
              <w:t>P</w:t>
            </w:r>
            <w:r w:rsidRPr="002B55E9">
              <w:t>4</w:t>
            </w:r>
          </w:p>
        </w:tc>
        <w:tc>
          <w:tcPr>
            <w:tcW w:w="1928" w:type="dxa"/>
            <w:vAlign w:val="center"/>
          </w:tcPr>
          <w:p w14:paraId="378ED4FF" w14:textId="77777777" w:rsidR="00D170E5" w:rsidRPr="002B55E9" w:rsidRDefault="00EF27AD">
            <w:pPr>
              <w:pStyle w:val="affffffffffffffffff6"/>
              <w:ind w:left="-40" w:right="-40"/>
            </w:pPr>
            <w:r w:rsidRPr="002B55E9">
              <w:rPr>
                <w:rFonts w:hint="eastAsia"/>
              </w:rPr>
              <w:t>P</w:t>
            </w:r>
            <w:r w:rsidRPr="002B55E9">
              <w:t>4</w:t>
            </w:r>
          </w:p>
        </w:tc>
      </w:tr>
    </w:tbl>
    <w:p w14:paraId="4DE2876F" w14:textId="77777777" w:rsidR="00D170E5" w:rsidRPr="002B55E9" w:rsidRDefault="00EF27AD">
      <w:pPr>
        <w:pStyle w:val="aa"/>
      </w:pPr>
      <w:r w:rsidRPr="002B55E9">
        <w:rPr>
          <w:rFonts w:hint="eastAsia"/>
        </w:rPr>
        <w:t>由上表可知，本项目危险物质及工艺系统危险性等级为</w:t>
      </w:r>
      <w:r w:rsidRPr="002B55E9">
        <w:rPr>
          <w:rFonts w:hint="eastAsia"/>
        </w:rPr>
        <w:t>P</w:t>
      </w:r>
      <w:r w:rsidRPr="002B55E9">
        <w:t>4</w:t>
      </w:r>
      <w:r w:rsidRPr="002B55E9">
        <w:rPr>
          <w:rFonts w:hint="eastAsia"/>
        </w:rPr>
        <w:t>。</w:t>
      </w:r>
    </w:p>
    <w:p w14:paraId="067280B9" w14:textId="77777777" w:rsidR="00D170E5" w:rsidRPr="002B55E9" w:rsidRDefault="00EF27AD">
      <w:pPr>
        <w:pStyle w:val="affff7"/>
        <w:snapToGrid w:val="0"/>
        <w:spacing w:after="0"/>
        <w:rPr>
          <w:bCs w:val="0"/>
          <w:lang w:val="zh-CN"/>
        </w:rPr>
      </w:pPr>
      <w:r w:rsidRPr="002B55E9">
        <w:rPr>
          <w:rFonts w:hint="eastAsia"/>
        </w:rPr>
        <w:t>本项目</w:t>
      </w:r>
      <w:r w:rsidRPr="002B55E9">
        <w:t>大气环境风险</w:t>
      </w:r>
      <w:r w:rsidRPr="002B55E9">
        <w:rPr>
          <w:rFonts w:hint="eastAsia"/>
        </w:rPr>
        <w:t>受体</w:t>
      </w:r>
      <w:r w:rsidRPr="002B55E9">
        <w:t>敏感程度类型为</w:t>
      </w:r>
      <w:r w:rsidRPr="002B55E9">
        <w:rPr>
          <w:rFonts w:hint="eastAsia"/>
        </w:rPr>
        <w:t>E1</w:t>
      </w:r>
      <w:r w:rsidRPr="002B55E9">
        <w:rPr>
          <w:rFonts w:hint="eastAsia"/>
        </w:rPr>
        <w:t>，</w:t>
      </w:r>
      <w:r w:rsidRPr="002B55E9">
        <w:rPr>
          <w:rFonts w:hint="eastAsia"/>
          <w:bCs w:val="0"/>
          <w:lang w:val="zh-CN"/>
        </w:rPr>
        <w:t>地表水环境属于环境低度敏感区</w:t>
      </w:r>
      <w:r w:rsidRPr="002B55E9">
        <w:rPr>
          <w:rFonts w:hint="eastAsia"/>
          <w:bCs w:val="0"/>
          <w:lang w:val="zh-CN"/>
        </w:rPr>
        <w:t>E</w:t>
      </w:r>
      <w:r w:rsidRPr="002B55E9">
        <w:rPr>
          <w:bCs w:val="0"/>
          <w:lang w:val="zh-CN"/>
        </w:rPr>
        <w:t>3</w:t>
      </w:r>
      <w:r w:rsidRPr="002B55E9">
        <w:rPr>
          <w:rFonts w:hint="eastAsia"/>
          <w:bCs w:val="0"/>
          <w:lang w:val="zh-CN"/>
        </w:rPr>
        <w:t>，地下水环境敏感程度为</w:t>
      </w:r>
      <w:r w:rsidRPr="002B55E9">
        <w:rPr>
          <w:rFonts w:hint="eastAsia"/>
          <w:bCs w:val="0"/>
          <w:lang w:val="zh-CN"/>
        </w:rPr>
        <w:t>E</w:t>
      </w:r>
      <w:r w:rsidRPr="002B55E9">
        <w:rPr>
          <w:bCs w:val="0"/>
          <w:lang w:val="zh-CN"/>
        </w:rPr>
        <w:t>3</w:t>
      </w:r>
      <w:r w:rsidRPr="002B55E9">
        <w:rPr>
          <w:rFonts w:hint="eastAsia"/>
          <w:bCs w:val="0"/>
          <w:lang w:val="zh-CN"/>
        </w:rPr>
        <w:t>环境低度敏感区。</w:t>
      </w:r>
    </w:p>
    <w:p w14:paraId="71C0F30D"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1-7-10</w:t>
      </w:r>
      <w:r w:rsidRPr="002B55E9">
        <w:rPr>
          <w:rFonts w:eastAsia="黑体" w:hint="eastAsia"/>
          <w:b/>
          <w:sz w:val="24"/>
          <w:szCs w:val="28"/>
        </w:rPr>
        <w:t xml:space="preserve">  </w:t>
      </w:r>
      <w:r w:rsidRPr="002B55E9">
        <w:rPr>
          <w:rFonts w:eastAsia="黑体" w:hint="eastAsia"/>
          <w:b/>
          <w:sz w:val="24"/>
          <w:szCs w:val="28"/>
        </w:rPr>
        <w:t>建设项目环境</w:t>
      </w:r>
      <w:r w:rsidRPr="002B55E9">
        <w:rPr>
          <w:rFonts w:eastAsia="黑体"/>
          <w:b/>
          <w:sz w:val="24"/>
          <w:szCs w:val="28"/>
        </w:rPr>
        <w:t>风险潜势</w:t>
      </w:r>
      <w:r w:rsidRPr="002B55E9">
        <w:rPr>
          <w:rFonts w:eastAsia="黑体" w:hint="eastAsia"/>
          <w:b/>
          <w:sz w:val="24"/>
          <w:szCs w:val="28"/>
        </w:rPr>
        <w:t>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57"/>
        <w:gridCol w:w="1795"/>
        <w:gridCol w:w="1795"/>
        <w:gridCol w:w="1795"/>
        <w:gridCol w:w="1797"/>
      </w:tblGrid>
      <w:tr w:rsidR="002B55E9" w:rsidRPr="002B55E9" w14:paraId="28711420" w14:textId="77777777">
        <w:trPr>
          <w:trHeight w:val="284"/>
        </w:trPr>
        <w:tc>
          <w:tcPr>
            <w:tcW w:w="2457" w:type="dxa"/>
            <w:vMerge w:val="restart"/>
            <w:tcBorders>
              <w:top w:val="single" w:sz="12" w:space="0" w:color="auto"/>
              <w:bottom w:val="single" w:sz="4" w:space="0" w:color="auto"/>
            </w:tcBorders>
            <w:vAlign w:val="center"/>
          </w:tcPr>
          <w:p w14:paraId="12391C42"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环境敏感程度</w:t>
            </w:r>
            <w:r w:rsidRPr="002B55E9">
              <w:rPr>
                <w:rFonts w:cs="宋体"/>
                <w:sz w:val="18"/>
                <w:szCs w:val="18"/>
                <w:lang w:bidi="ne-NP"/>
              </w:rPr>
              <w:t>（</w:t>
            </w:r>
            <w:r w:rsidRPr="002B55E9">
              <w:rPr>
                <w:rFonts w:cs="宋体" w:hint="eastAsia"/>
                <w:sz w:val="18"/>
                <w:szCs w:val="18"/>
                <w:lang w:bidi="ne-NP"/>
              </w:rPr>
              <w:t>E</w:t>
            </w:r>
            <w:r w:rsidRPr="002B55E9">
              <w:rPr>
                <w:rFonts w:cs="宋体"/>
                <w:sz w:val="18"/>
                <w:szCs w:val="18"/>
                <w:lang w:bidi="ne-NP"/>
              </w:rPr>
              <w:t>）</w:t>
            </w:r>
          </w:p>
        </w:tc>
        <w:tc>
          <w:tcPr>
            <w:tcW w:w="7182" w:type="dxa"/>
            <w:gridSpan w:val="4"/>
            <w:tcBorders>
              <w:top w:val="single" w:sz="12" w:space="0" w:color="auto"/>
              <w:bottom w:val="single" w:sz="4" w:space="0" w:color="auto"/>
            </w:tcBorders>
            <w:vAlign w:val="center"/>
          </w:tcPr>
          <w:p w14:paraId="33FDBE0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危险物质及</w:t>
            </w:r>
            <w:r w:rsidRPr="002B55E9">
              <w:rPr>
                <w:rFonts w:cs="宋体"/>
                <w:sz w:val="18"/>
                <w:szCs w:val="18"/>
                <w:lang w:bidi="ne-NP"/>
              </w:rPr>
              <w:t>工艺系统危险性（</w:t>
            </w:r>
            <w:r w:rsidRPr="002B55E9">
              <w:rPr>
                <w:rFonts w:cs="宋体" w:hint="eastAsia"/>
                <w:sz w:val="18"/>
                <w:szCs w:val="18"/>
                <w:lang w:bidi="ne-NP"/>
              </w:rPr>
              <w:t>P</w:t>
            </w:r>
            <w:r w:rsidRPr="002B55E9">
              <w:rPr>
                <w:rFonts w:cs="宋体"/>
                <w:sz w:val="18"/>
                <w:szCs w:val="18"/>
                <w:lang w:bidi="ne-NP"/>
              </w:rPr>
              <w:t>）</w:t>
            </w:r>
          </w:p>
        </w:tc>
      </w:tr>
      <w:tr w:rsidR="002B55E9" w:rsidRPr="002B55E9" w14:paraId="1EA95F76" w14:textId="77777777">
        <w:trPr>
          <w:trHeight w:val="284"/>
        </w:trPr>
        <w:tc>
          <w:tcPr>
            <w:tcW w:w="2457" w:type="dxa"/>
            <w:vMerge/>
            <w:tcBorders>
              <w:top w:val="single" w:sz="4" w:space="0" w:color="auto"/>
              <w:bottom w:val="single" w:sz="12" w:space="0" w:color="auto"/>
            </w:tcBorders>
            <w:vAlign w:val="center"/>
          </w:tcPr>
          <w:p w14:paraId="151DDED4" w14:textId="77777777" w:rsidR="00D170E5" w:rsidRPr="002B55E9" w:rsidRDefault="00D170E5">
            <w:pPr>
              <w:widowControl/>
              <w:autoSpaceDE w:val="0"/>
              <w:autoSpaceDN w:val="0"/>
              <w:adjustRightInd w:val="0"/>
              <w:snapToGrid w:val="0"/>
              <w:jc w:val="center"/>
              <w:rPr>
                <w:rFonts w:cs="宋体"/>
                <w:sz w:val="18"/>
                <w:szCs w:val="18"/>
                <w:lang w:bidi="ne-NP"/>
              </w:rPr>
            </w:pPr>
          </w:p>
        </w:tc>
        <w:tc>
          <w:tcPr>
            <w:tcW w:w="1795" w:type="dxa"/>
            <w:tcBorders>
              <w:top w:val="single" w:sz="4" w:space="0" w:color="auto"/>
              <w:bottom w:val="single" w:sz="12" w:space="0" w:color="auto"/>
            </w:tcBorders>
            <w:vAlign w:val="center"/>
          </w:tcPr>
          <w:p w14:paraId="35FA1E4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极高危险（</w:t>
            </w:r>
            <w:r w:rsidRPr="002B55E9">
              <w:rPr>
                <w:rFonts w:cs="宋体" w:hint="eastAsia"/>
                <w:sz w:val="18"/>
                <w:szCs w:val="18"/>
                <w:lang w:bidi="ne-NP"/>
              </w:rPr>
              <w:t>P1</w:t>
            </w:r>
            <w:r w:rsidRPr="002B55E9">
              <w:rPr>
                <w:rFonts w:cs="宋体" w:hint="eastAsia"/>
                <w:sz w:val="18"/>
                <w:szCs w:val="18"/>
                <w:lang w:bidi="ne-NP"/>
              </w:rPr>
              <w:t>）</w:t>
            </w:r>
          </w:p>
        </w:tc>
        <w:tc>
          <w:tcPr>
            <w:tcW w:w="1795" w:type="dxa"/>
            <w:tcBorders>
              <w:top w:val="single" w:sz="4" w:space="0" w:color="auto"/>
              <w:bottom w:val="single" w:sz="12" w:space="0" w:color="auto"/>
            </w:tcBorders>
            <w:vAlign w:val="center"/>
          </w:tcPr>
          <w:p w14:paraId="5767F9D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高度危险（</w:t>
            </w:r>
            <w:r w:rsidRPr="002B55E9">
              <w:rPr>
                <w:rFonts w:cs="宋体" w:hint="eastAsia"/>
                <w:sz w:val="18"/>
                <w:szCs w:val="18"/>
                <w:lang w:bidi="ne-NP"/>
              </w:rPr>
              <w:t>P</w:t>
            </w:r>
            <w:r w:rsidRPr="002B55E9">
              <w:rPr>
                <w:rFonts w:cs="宋体"/>
                <w:sz w:val="18"/>
                <w:szCs w:val="18"/>
                <w:lang w:bidi="ne-NP"/>
              </w:rPr>
              <w:t>2</w:t>
            </w:r>
            <w:r w:rsidRPr="002B55E9">
              <w:rPr>
                <w:rFonts w:cs="宋体" w:hint="eastAsia"/>
                <w:sz w:val="18"/>
                <w:szCs w:val="18"/>
                <w:lang w:bidi="ne-NP"/>
              </w:rPr>
              <w:t>）</w:t>
            </w:r>
          </w:p>
        </w:tc>
        <w:tc>
          <w:tcPr>
            <w:tcW w:w="1795" w:type="dxa"/>
            <w:tcBorders>
              <w:top w:val="single" w:sz="4" w:space="0" w:color="auto"/>
              <w:bottom w:val="single" w:sz="12" w:space="0" w:color="auto"/>
            </w:tcBorders>
            <w:vAlign w:val="center"/>
          </w:tcPr>
          <w:p w14:paraId="4AE84622"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中度危险（</w:t>
            </w:r>
            <w:r w:rsidRPr="002B55E9">
              <w:rPr>
                <w:rFonts w:cs="宋体" w:hint="eastAsia"/>
                <w:sz w:val="18"/>
                <w:szCs w:val="18"/>
                <w:lang w:bidi="ne-NP"/>
              </w:rPr>
              <w:t>P3</w:t>
            </w:r>
            <w:r w:rsidRPr="002B55E9">
              <w:rPr>
                <w:rFonts w:cs="宋体" w:hint="eastAsia"/>
                <w:sz w:val="18"/>
                <w:szCs w:val="18"/>
                <w:lang w:bidi="ne-NP"/>
              </w:rPr>
              <w:t>）</w:t>
            </w:r>
          </w:p>
        </w:tc>
        <w:tc>
          <w:tcPr>
            <w:tcW w:w="1797" w:type="dxa"/>
            <w:tcBorders>
              <w:top w:val="single" w:sz="4" w:space="0" w:color="auto"/>
              <w:bottom w:val="single" w:sz="12" w:space="0" w:color="auto"/>
            </w:tcBorders>
            <w:vAlign w:val="center"/>
          </w:tcPr>
          <w:p w14:paraId="4BD7537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轻度危险（</w:t>
            </w:r>
            <w:r w:rsidRPr="002B55E9">
              <w:rPr>
                <w:rFonts w:cs="宋体" w:hint="eastAsia"/>
                <w:sz w:val="18"/>
                <w:szCs w:val="18"/>
                <w:lang w:bidi="ne-NP"/>
              </w:rPr>
              <w:t>P4</w:t>
            </w:r>
            <w:r w:rsidRPr="002B55E9">
              <w:rPr>
                <w:rFonts w:cs="宋体" w:hint="eastAsia"/>
                <w:sz w:val="18"/>
                <w:szCs w:val="18"/>
                <w:lang w:bidi="ne-NP"/>
              </w:rPr>
              <w:t>）</w:t>
            </w:r>
          </w:p>
        </w:tc>
      </w:tr>
      <w:tr w:rsidR="002B55E9" w:rsidRPr="002B55E9" w14:paraId="10A7DC78" w14:textId="77777777">
        <w:trPr>
          <w:trHeight w:val="284"/>
        </w:trPr>
        <w:tc>
          <w:tcPr>
            <w:tcW w:w="2457" w:type="dxa"/>
            <w:tcBorders>
              <w:top w:val="single" w:sz="12" w:space="0" w:color="auto"/>
            </w:tcBorders>
            <w:vAlign w:val="center"/>
          </w:tcPr>
          <w:p w14:paraId="62BFEEE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环境高度</w:t>
            </w:r>
            <w:r w:rsidRPr="002B55E9">
              <w:rPr>
                <w:rFonts w:cs="宋体"/>
                <w:sz w:val="18"/>
                <w:szCs w:val="18"/>
                <w:lang w:bidi="ne-NP"/>
              </w:rPr>
              <w:t>敏感区（</w:t>
            </w:r>
            <w:r w:rsidRPr="002B55E9">
              <w:rPr>
                <w:rFonts w:cs="宋体" w:hint="eastAsia"/>
                <w:sz w:val="18"/>
                <w:szCs w:val="18"/>
                <w:lang w:bidi="ne-NP"/>
              </w:rPr>
              <w:t>E1</w:t>
            </w:r>
            <w:r w:rsidRPr="002B55E9">
              <w:rPr>
                <w:rFonts w:cs="宋体"/>
                <w:sz w:val="18"/>
                <w:szCs w:val="18"/>
                <w:lang w:bidi="ne-NP"/>
              </w:rPr>
              <w:t>）</w:t>
            </w:r>
          </w:p>
        </w:tc>
        <w:tc>
          <w:tcPr>
            <w:tcW w:w="1795" w:type="dxa"/>
            <w:tcBorders>
              <w:top w:val="single" w:sz="12" w:space="0" w:color="auto"/>
            </w:tcBorders>
            <w:vAlign w:val="center"/>
          </w:tcPr>
          <w:p w14:paraId="783E221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r w:rsidRPr="002B55E9">
              <w:rPr>
                <w:rFonts w:cs="宋体" w:hint="eastAsia"/>
                <w:sz w:val="18"/>
                <w:szCs w:val="18"/>
                <w:vertAlign w:val="superscript"/>
                <w:lang w:bidi="ne-NP"/>
              </w:rPr>
              <w:t>+</w:t>
            </w:r>
          </w:p>
        </w:tc>
        <w:tc>
          <w:tcPr>
            <w:tcW w:w="1795" w:type="dxa"/>
            <w:tcBorders>
              <w:top w:val="single" w:sz="12" w:space="0" w:color="auto"/>
            </w:tcBorders>
            <w:vAlign w:val="center"/>
          </w:tcPr>
          <w:p w14:paraId="02AE88F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p>
        </w:tc>
        <w:tc>
          <w:tcPr>
            <w:tcW w:w="1795" w:type="dxa"/>
            <w:tcBorders>
              <w:top w:val="single" w:sz="12" w:space="0" w:color="auto"/>
            </w:tcBorders>
            <w:vAlign w:val="center"/>
          </w:tcPr>
          <w:p w14:paraId="7CC99058"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7" w:type="dxa"/>
            <w:tcBorders>
              <w:top w:val="single" w:sz="12" w:space="0" w:color="auto"/>
            </w:tcBorders>
            <w:vAlign w:val="center"/>
          </w:tcPr>
          <w:p w14:paraId="5BB382A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r>
      <w:tr w:rsidR="002B55E9" w:rsidRPr="002B55E9" w14:paraId="2833BF0D" w14:textId="77777777">
        <w:trPr>
          <w:trHeight w:val="284"/>
        </w:trPr>
        <w:tc>
          <w:tcPr>
            <w:tcW w:w="2457" w:type="dxa"/>
            <w:vAlign w:val="center"/>
          </w:tcPr>
          <w:p w14:paraId="12C1A9FC"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环境中度</w:t>
            </w:r>
            <w:r w:rsidRPr="002B55E9">
              <w:rPr>
                <w:rFonts w:cs="宋体"/>
                <w:sz w:val="18"/>
                <w:szCs w:val="18"/>
                <w:lang w:bidi="ne-NP"/>
              </w:rPr>
              <w:t>敏感区（</w:t>
            </w:r>
            <w:r w:rsidRPr="002B55E9">
              <w:rPr>
                <w:rFonts w:cs="宋体" w:hint="eastAsia"/>
                <w:sz w:val="18"/>
                <w:szCs w:val="18"/>
                <w:lang w:bidi="ne-NP"/>
              </w:rPr>
              <w:t>E</w:t>
            </w:r>
            <w:r w:rsidRPr="002B55E9">
              <w:rPr>
                <w:rFonts w:cs="宋体"/>
                <w:sz w:val="18"/>
                <w:szCs w:val="18"/>
                <w:lang w:bidi="ne-NP"/>
              </w:rPr>
              <w:t>2</w:t>
            </w:r>
            <w:r w:rsidRPr="002B55E9">
              <w:rPr>
                <w:rFonts w:cs="宋体"/>
                <w:sz w:val="18"/>
                <w:szCs w:val="18"/>
                <w:lang w:bidi="ne-NP"/>
              </w:rPr>
              <w:t>）</w:t>
            </w:r>
          </w:p>
        </w:tc>
        <w:tc>
          <w:tcPr>
            <w:tcW w:w="1795" w:type="dxa"/>
            <w:vAlign w:val="center"/>
          </w:tcPr>
          <w:p w14:paraId="2AA2D97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p>
        </w:tc>
        <w:tc>
          <w:tcPr>
            <w:tcW w:w="1795" w:type="dxa"/>
            <w:vAlign w:val="center"/>
          </w:tcPr>
          <w:p w14:paraId="447DE840"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2D43AB4E"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7" w:type="dxa"/>
            <w:vAlign w:val="center"/>
          </w:tcPr>
          <w:p w14:paraId="180F90D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Ⅱ</w:t>
            </w:r>
          </w:p>
        </w:tc>
      </w:tr>
      <w:tr w:rsidR="002B55E9" w:rsidRPr="002B55E9" w14:paraId="29076917" w14:textId="77777777">
        <w:trPr>
          <w:trHeight w:val="284"/>
        </w:trPr>
        <w:tc>
          <w:tcPr>
            <w:tcW w:w="2457" w:type="dxa"/>
            <w:vAlign w:val="center"/>
          </w:tcPr>
          <w:p w14:paraId="64352BB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环境低度</w:t>
            </w:r>
            <w:r w:rsidRPr="002B55E9">
              <w:rPr>
                <w:rFonts w:cs="宋体"/>
                <w:sz w:val="18"/>
                <w:szCs w:val="18"/>
                <w:lang w:bidi="ne-NP"/>
              </w:rPr>
              <w:t>敏感区（</w:t>
            </w:r>
            <w:r w:rsidRPr="002B55E9">
              <w:rPr>
                <w:rFonts w:cs="宋体" w:hint="eastAsia"/>
                <w:sz w:val="18"/>
                <w:szCs w:val="18"/>
                <w:lang w:bidi="ne-NP"/>
              </w:rPr>
              <w:t>E</w:t>
            </w:r>
            <w:r w:rsidRPr="002B55E9">
              <w:rPr>
                <w:rFonts w:cs="宋体"/>
                <w:sz w:val="18"/>
                <w:szCs w:val="18"/>
                <w:lang w:bidi="ne-NP"/>
              </w:rPr>
              <w:t>3</w:t>
            </w:r>
            <w:r w:rsidRPr="002B55E9">
              <w:rPr>
                <w:rFonts w:cs="宋体"/>
                <w:sz w:val="18"/>
                <w:szCs w:val="18"/>
                <w:lang w:bidi="ne-NP"/>
              </w:rPr>
              <w:t>）</w:t>
            </w:r>
          </w:p>
        </w:tc>
        <w:tc>
          <w:tcPr>
            <w:tcW w:w="1795" w:type="dxa"/>
            <w:vAlign w:val="center"/>
          </w:tcPr>
          <w:p w14:paraId="66DBDF9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1C1D1C8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23DBAF1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Ⅱ</w:t>
            </w:r>
          </w:p>
        </w:tc>
        <w:tc>
          <w:tcPr>
            <w:tcW w:w="1797" w:type="dxa"/>
            <w:vAlign w:val="center"/>
          </w:tcPr>
          <w:p w14:paraId="3DD82B7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Ⅰ</w:t>
            </w:r>
          </w:p>
        </w:tc>
      </w:tr>
      <w:tr w:rsidR="002B55E9" w:rsidRPr="002B55E9" w14:paraId="5FDB1123" w14:textId="77777777">
        <w:trPr>
          <w:trHeight w:val="284"/>
        </w:trPr>
        <w:tc>
          <w:tcPr>
            <w:tcW w:w="9639" w:type="dxa"/>
            <w:gridSpan w:val="5"/>
            <w:vAlign w:val="center"/>
          </w:tcPr>
          <w:p w14:paraId="1C57656F"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注</w:t>
            </w:r>
            <w:r w:rsidRPr="002B55E9">
              <w:rPr>
                <w:rFonts w:cs="宋体"/>
                <w:sz w:val="18"/>
                <w:szCs w:val="18"/>
                <w:lang w:bidi="ne-NP"/>
              </w:rPr>
              <w:t>：</w:t>
            </w:r>
            <w:r w:rsidRPr="002B55E9">
              <w:rPr>
                <w:rFonts w:cs="宋体" w:hint="eastAsia"/>
                <w:sz w:val="18"/>
                <w:szCs w:val="18"/>
                <w:lang w:bidi="ne-NP"/>
              </w:rPr>
              <w:t>Ⅳ</w:t>
            </w:r>
            <w:r w:rsidRPr="002B55E9">
              <w:rPr>
                <w:rFonts w:cs="宋体" w:hint="eastAsia"/>
                <w:sz w:val="18"/>
                <w:szCs w:val="18"/>
                <w:vertAlign w:val="superscript"/>
                <w:lang w:bidi="ne-NP"/>
              </w:rPr>
              <w:t>+</w:t>
            </w:r>
            <w:r w:rsidRPr="002B55E9">
              <w:rPr>
                <w:rFonts w:cs="宋体" w:hint="eastAsia"/>
                <w:sz w:val="18"/>
                <w:szCs w:val="18"/>
                <w:lang w:bidi="ne-NP"/>
              </w:rPr>
              <w:t>为</w:t>
            </w:r>
            <w:r w:rsidRPr="002B55E9">
              <w:rPr>
                <w:rFonts w:cs="宋体"/>
                <w:sz w:val="18"/>
                <w:szCs w:val="18"/>
                <w:lang w:bidi="ne-NP"/>
              </w:rPr>
              <w:t>极高环境风险</w:t>
            </w:r>
            <w:r w:rsidRPr="002B55E9">
              <w:rPr>
                <w:rFonts w:cs="宋体" w:hint="eastAsia"/>
                <w:sz w:val="18"/>
                <w:szCs w:val="18"/>
                <w:lang w:bidi="ne-NP"/>
              </w:rPr>
              <w:t>。</w:t>
            </w:r>
          </w:p>
        </w:tc>
      </w:tr>
    </w:tbl>
    <w:p w14:paraId="722D664B" w14:textId="77777777" w:rsidR="00D170E5" w:rsidRPr="002B55E9" w:rsidRDefault="00EF27AD">
      <w:pPr>
        <w:pStyle w:val="affff7"/>
        <w:snapToGrid w:val="0"/>
        <w:spacing w:after="0"/>
      </w:pPr>
      <w:r w:rsidRPr="002B55E9">
        <w:rPr>
          <w:rFonts w:hint="eastAsia"/>
        </w:rPr>
        <w:t>本项目大气环境风险潜势判判定为</w:t>
      </w:r>
      <w:r w:rsidRPr="002B55E9">
        <w:rPr>
          <w:rFonts w:ascii="宋体" w:hAnsi="宋体" w:hint="eastAsia"/>
        </w:rPr>
        <w:t>Ⅲ</w:t>
      </w:r>
      <w:r w:rsidRPr="002B55E9">
        <w:rPr>
          <w:rFonts w:hint="eastAsia"/>
        </w:rPr>
        <w:t>级，</w:t>
      </w:r>
      <w:r w:rsidRPr="002B55E9">
        <w:rPr>
          <w:rFonts w:hint="eastAsia"/>
          <w:bCs w:val="0"/>
        </w:rPr>
        <w:t>地表水环境风险潜势判定为</w:t>
      </w:r>
      <w:r w:rsidRPr="002B55E9">
        <w:rPr>
          <w:rFonts w:hint="eastAsia"/>
        </w:rPr>
        <w:t>Ⅰ级</w:t>
      </w:r>
      <w:r w:rsidRPr="002B55E9">
        <w:rPr>
          <w:rFonts w:hint="eastAsia"/>
          <w:bCs w:val="0"/>
        </w:rPr>
        <w:t>，</w:t>
      </w:r>
      <w:r w:rsidRPr="002B55E9">
        <w:rPr>
          <w:rFonts w:hint="eastAsia"/>
        </w:rPr>
        <w:t>地下水环境风险潜势判定为</w:t>
      </w:r>
      <w:r w:rsidRPr="002B55E9">
        <w:rPr>
          <w:rFonts w:ascii="宋体" w:hAnsi="宋体" w:hint="eastAsia"/>
          <w:bCs w:val="0"/>
        </w:rPr>
        <w:t>Ⅰ</w:t>
      </w:r>
      <w:r w:rsidRPr="002B55E9">
        <w:rPr>
          <w:rFonts w:hint="eastAsia"/>
        </w:rPr>
        <w:t>级。</w:t>
      </w:r>
    </w:p>
    <w:p w14:paraId="52BA51BE" w14:textId="77777777" w:rsidR="00D170E5" w:rsidRPr="002B55E9" w:rsidRDefault="00EF27AD">
      <w:pPr>
        <w:pStyle w:val="affff7"/>
        <w:snapToGrid w:val="0"/>
        <w:spacing w:after="0"/>
      </w:pPr>
      <w:r w:rsidRPr="002B55E9">
        <w:t>按照《建设项目环境风险评价技术导则》（</w:t>
      </w:r>
      <w:r w:rsidRPr="002B55E9">
        <w:t>HJ169-2018</w:t>
      </w:r>
      <w:r w:rsidRPr="002B55E9">
        <w:t>），环境风险评价工作等级划分为一级、二级、三级。根据建设项目涉及的物质及工艺系统危险性和所在地的环境敏感性确定环境风险潜势，由表</w:t>
      </w:r>
      <w:r w:rsidRPr="002B55E9">
        <w:t>6-3</w:t>
      </w:r>
      <w:r w:rsidRPr="002B55E9">
        <w:t>确定评价工作等级。风险潜势为</w:t>
      </w:r>
      <w:r w:rsidRPr="002B55E9">
        <w:t>Ⅳ</w:t>
      </w:r>
      <w:r w:rsidRPr="002B55E9">
        <w:t>及以上，进行一级评价；风险潜势为</w:t>
      </w:r>
      <w:r w:rsidRPr="002B55E9">
        <w:t>Ⅲ</w:t>
      </w:r>
      <w:r w:rsidRPr="002B55E9">
        <w:t>，进行二级评价；风险潜势为</w:t>
      </w:r>
      <w:r w:rsidRPr="002B55E9">
        <w:t>Ⅱ</w:t>
      </w:r>
      <w:r w:rsidRPr="002B55E9">
        <w:t>，进行三级评价；风险潜势为</w:t>
      </w:r>
      <w:r w:rsidRPr="002B55E9">
        <w:t>Ⅰ</w:t>
      </w:r>
      <w:r w:rsidRPr="002B55E9">
        <w:t>，可开展简单分析。</w:t>
      </w:r>
    </w:p>
    <w:p w14:paraId="50DEC1A9" w14:textId="77777777" w:rsidR="00D170E5" w:rsidRPr="002B55E9" w:rsidRDefault="00EF27AD">
      <w:pPr>
        <w:pStyle w:val="1f3"/>
        <w:spacing w:beforeLines="0" w:before="0" w:line="360" w:lineRule="auto"/>
      </w:pPr>
      <w:r w:rsidRPr="002B55E9">
        <w:t>表</w:t>
      </w:r>
      <w:r w:rsidRPr="002B55E9">
        <w:t xml:space="preserve">1-7-11  </w:t>
      </w:r>
      <w:r w:rsidRPr="002B55E9">
        <w:t>评价工作等级划分</w:t>
      </w:r>
    </w:p>
    <w:tbl>
      <w:tblPr>
        <w:tblW w:w="9638"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26"/>
        <w:gridCol w:w="1931"/>
        <w:gridCol w:w="1927"/>
        <w:gridCol w:w="1927"/>
        <w:gridCol w:w="1927"/>
      </w:tblGrid>
      <w:tr w:rsidR="002B55E9" w:rsidRPr="002B55E9" w14:paraId="613A5888" w14:textId="77777777">
        <w:trPr>
          <w:trHeight w:val="284"/>
        </w:trPr>
        <w:tc>
          <w:tcPr>
            <w:tcW w:w="1926" w:type="dxa"/>
            <w:vAlign w:val="center"/>
          </w:tcPr>
          <w:p w14:paraId="0CB84FDB" w14:textId="77777777" w:rsidR="00D170E5" w:rsidRPr="002B55E9" w:rsidRDefault="00EF27AD">
            <w:pPr>
              <w:adjustRightInd w:val="0"/>
              <w:snapToGrid w:val="0"/>
              <w:jc w:val="center"/>
              <w:rPr>
                <w:sz w:val="18"/>
                <w:szCs w:val="18"/>
              </w:rPr>
            </w:pPr>
            <w:r w:rsidRPr="002B55E9">
              <w:rPr>
                <w:sz w:val="18"/>
                <w:szCs w:val="18"/>
              </w:rPr>
              <w:t>环境风险潜势</w:t>
            </w:r>
          </w:p>
        </w:tc>
        <w:tc>
          <w:tcPr>
            <w:tcW w:w="1931" w:type="dxa"/>
            <w:vAlign w:val="center"/>
          </w:tcPr>
          <w:p w14:paraId="15DC47C6" w14:textId="77777777" w:rsidR="00D170E5" w:rsidRPr="002B55E9" w:rsidRDefault="00EF27AD">
            <w:pPr>
              <w:adjustRightInd w:val="0"/>
              <w:snapToGrid w:val="0"/>
              <w:jc w:val="center"/>
              <w:rPr>
                <w:sz w:val="18"/>
                <w:szCs w:val="18"/>
              </w:rPr>
            </w:pPr>
            <w:r w:rsidRPr="002B55E9">
              <w:rPr>
                <w:sz w:val="18"/>
                <w:szCs w:val="18"/>
              </w:rPr>
              <w:t>Ⅳ</w:t>
            </w:r>
            <w:r w:rsidRPr="002B55E9">
              <w:rPr>
                <w:sz w:val="18"/>
                <w:szCs w:val="18"/>
              </w:rPr>
              <w:t>、</w:t>
            </w:r>
            <w:r w:rsidRPr="002B55E9">
              <w:rPr>
                <w:sz w:val="18"/>
                <w:szCs w:val="18"/>
              </w:rPr>
              <w:t>Ⅳ+</w:t>
            </w:r>
          </w:p>
        </w:tc>
        <w:tc>
          <w:tcPr>
            <w:tcW w:w="1927" w:type="dxa"/>
            <w:vAlign w:val="center"/>
          </w:tcPr>
          <w:p w14:paraId="3EBA27C9" w14:textId="77777777" w:rsidR="00D170E5" w:rsidRPr="002B55E9" w:rsidRDefault="00EF27AD">
            <w:pPr>
              <w:adjustRightInd w:val="0"/>
              <w:snapToGrid w:val="0"/>
              <w:jc w:val="center"/>
              <w:rPr>
                <w:sz w:val="18"/>
                <w:szCs w:val="18"/>
              </w:rPr>
            </w:pPr>
            <w:r w:rsidRPr="002B55E9">
              <w:rPr>
                <w:sz w:val="18"/>
                <w:szCs w:val="18"/>
              </w:rPr>
              <w:t>Ⅲ</w:t>
            </w:r>
          </w:p>
        </w:tc>
        <w:tc>
          <w:tcPr>
            <w:tcW w:w="1927" w:type="dxa"/>
            <w:vAlign w:val="center"/>
          </w:tcPr>
          <w:p w14:paraId="06950DFC" w14:textId="77777777" w:rsidR="00D170E5" w:rsidRPr="002B55E9" w:rsidRDefault="00EF27AD">
            <w:pPr>
              <w:adjustRightInd w:val="0"/>
              <w:snapToGrid w:val="0"/>
              <w:jc w:val="center"/>
              <w:rPr>
                <w:sz w:val="18"/>
                <w:szCs w:val="18"/>
              </w:rPr>
            </w:pPr>
            <w:r w:rsidRPr="002B55E9">
              <w:rPr>
                <w:sz w:val="18"/>
                <w:szCs w:val="18"/>
              </w:rPr>
              <w:t>Ⅱ</w:t>
            </w:r>
          </w:p>
        </w:tc>
        <w:tc>
          <w:tcPr>
            <w:tcW w:w="1927" w:type="dxa"/>
            <w:vAlign w:val="center"/>
          </w:tcPr>
          <w:p w14:paraId="1F46265C" w14:textId="77777777" w:rsidR="00D170E5" w:rsidRPr="002B55E9" w:rsidRDefault="00EF27AD">
            <w:pPr>
              <w:adjustRightInd w:val="0"/>
              <w:snapToGrid w:val="0"/>
              <w:jc w:val="center"/>
              <w:rPr>
                <w:sz w:val="18"/>
                <w:szCs w:val="18"/>
              </w:rPr>
            </w:pPr>
            <w:r w:rsidRPr="002B55E9">
              <w:rPr>
                <w:sz w:val="18"/>
                <w:szCs w:val="18"/>
              </w:rPr>
              <w:t>Ⅰ</w:t>
            </w:r>
          </w:p>
        </w:tc>
      </w:tr>
      <w:tr w:rsidR="002B55E9" w:rsidRPr="002B55E9" w14:paraId="162AA89A" w14:textId="77777777">
        <w:trPr>
          <w:trHeight w:val="284"/>
        </w:trPr>
        <w:tc>
          <w:tcPr>
            <w:tcW w:w="1926" w:type="dxa"/>
            <w:vAlign w:val="center"/>
          </w:tcPr>
          <w:p w14:paraId="166353B1" w14:textId="77777777" w:rsidR="00D170E5" w:rsidRPr="002B55E9" w:rsidRDefault="00EF27AD">
            <w:pPr>
              <w:adjustRightInd w:val="0"/>
              <w:snapToGrid w:val="0"/>
              <w:jc w:val="center"/>
              <w:rPr>
                <w:sz w:val="18"/>
                <w:szCs w:val="18"/>
              </w:rPr>
            </w:pPr>
            <w:r w:rsidRPr="002B55E9">
              <w:rPr>
                <w:sz w:val="18"/>
                <w:szCs w:val="18"/>
              </w:rPr>
              <w:t>评价工作等级</w:t>
            </w:r>
          </w:p>
        </w:tc>
        <w:tc>
          <w:tcPr>
            <w:tcW w:w="1931" w:type="dxa"/>
            <w:vAlign w:val="center"/>
          </w:tcPr>
          <w:p w14:paraId="7B8E718F" w14:textId="77777777" w:rsidR="00D170E5" w:rsidRPr="002B55E9" w:rsidRDefault="00EF27AD">
            <w:pPr>
              <w:adjustRightInd w:val="0"/>
              <w:snapToGrid w:val="0"/>
              <w:jc w:val="center"/>
              <w:rPr>
                <w:sz w:val="18"/>
                <w:szCs w:val="18"/>
              </w:rPr>
            </w:pPr>
            <w:r w:rsidRPr="002B55E9">
              <w:rPr>
                <w:sz w:val="18"/>
                <w:szCs w:val="18"/>
              </w:rPr>
              <w:t>一</w:t>
            </w:r>
          </w:p>
        </w:tc>
        <w:tc>
          <w:tcPr>
            <w:tcW w:w="1927" w:type="dxa"/>
            <w:vAlign w:val="center"/>
          </w:tcPr>
          <w:p w14:paraId="22A766FF" w14:textId="77777777" w:rsidR="00D170E5" w:rsidRPr="002B55E9" w:rsidRDefault="00EF27AD">
            <w:pPr>
              <w:adjustRightInd w:val="0"/>
              <w:snapToGrid w:val="0"/>
              <w:jc w:val="center"/>
              <w:rPr>
                <w:sz w:val="18"/>
                <w:szCs w:val="18"/>
              </w:rPr>
            </w:pPr>
            <w:r w:rsidRPr="002B55E9">
              <w:rPr>
                <w:sz w:val="18"/>
                <w:szCs w:val="18"/>
              </w:rPr>
              <w:t>二</w:t>
            </w:r>
          </w:p>
        </w:tc>
        <w:tc>
          <w:tcPr>
            <w:tcW w:w="1927" w:type="dxa"/>
            <w:vAlign w:val="center"/>
          </w:tcPr>
          <w:p w14:paraId="0B271BC8" w14:textId="77777777" w:rsidR="00D170E5" w:rsidRPr="002B55E9" w:rsidRDefault="00EF27AD">
            <w:pPr>
              <w:adjustRightInd w:val="0"/>
              <w:snapToGrid w:val="0"/>
              <w:jc w:val="center"/>
              <w:rPr>
                <w:sz w:val="18"/>
                <w:szCs w:val="18"/>
              </w:rPr>
            </w:pPr>
            <w:r w:rsidRPr="002B55E9">
              <w:rPr>
                <w:sz w:val="18"/>
                <w:szCs w:val="18"/>
              </w:rPr>
              <w:t>三</w:t>
            </w:r>
          </w:p>
        </w:tc>
        <w:tc>
          <w:tcPr>
            <w:tcW w:w="1927" w:type="dxa"/>
            <w:vAlign w:val="center"/>
          </w:tcPr>
          <w:p w14:paraId="766184A5" w14:textId="77777777" w:rsidR="00D170E5" w:rsidRPr="002B55E9" w:rsidRDefault="00EF27AD">
            <w:pPr>
              <w:adjustRightInd w:val="0"/>
              <w:snapToGrid w:val="0"/>
              <w:jc w:val="center"/>
              <w:rPr>
                <w:sz w:val="18"/>
                <w:szCs w:val="18"/>
                <w:vertAlign w:val="superscript"/>
              </w:rPr>
            </w:pPr>
            <w:r w:rsidRPr="002B55E9">
              <w:rPr>
                <w:sz w:val="18"/>
                <w:szCs w:val="18"/>
              </w:rPr>
              <w:t>简单分析</w:t>
            </w:r>
            <w:r w:rsidRPr="002B55E9">
              <w:rPr>
                <w:sz w:val="18"/>
                <w:szCs w:val="18"/>
                <w:vertAlign w:val="superscript"/>
              </w:rPr>
              <w:t>a</w:t>
            </w:r>
          </w:p>
        </w:tc>
      </w:tr>
      <w:tr w:rsidR="002B55E9" w:rsidRPr="002B55E9" w14:paraId="062BDCE4" w14:textId="77777777">
        <w:trPr>
          <w:trHeight w:val="284"/>
        </w:trPr>
        <w:tc>
          <w:tcPr>
            <w:tcW w:w="9638" w:type="dxa"/>
            <w:gridSpan w:val="5"/>
            <w:vAlign w:val="center"/>
          </w:tcPr>
          <w:p w14:paraId="7D92DCC1" w14:textId="77777777" w:rsidR="00D170E5" w:rsidRPr="002B55E9" w:rsidRDefault="00EF27AD">
            <w:pPr>
              <w:adjustRightInd w:val="0"/>
              <w:snapToGrid w:val="0"/>
              <w:rPr>
                <w:sz w:val="18"/>
                <w:szCs w:val="18"/>
              </w:rPr>
            </w:pPr>
            <w:r w:rsidRPr="002B55E9">
              <w:rPr>
                <w:sz w:val="18"/>
                <w:szCs w:val="18"/>
              </w:rPr>
              <w:t>a</w:t>
            </w:r>
            <w:r w:rsidRPr="002B55E9">
              <w:rPr>
                <w:sz w:val="18"/>
                <w:szCs w:val="18"/>
              </w:rPr>
              <w:t>是相对于详细评价工作内容而言，在描述危险物质、环境影响途径、环境危害后果、风险防范措施等方面给出定性的说明。见附录</w:t>
            </w:r>
            <w:r w:rsidRPr="002B55E9">
              <w:rPr>
                <w:sz w:val="18"/>
                <w:szCs w:val="18"/>
              </w:rPr>
              <w:t>A</w:t>
            </w:r>
          </w:p>
        </w:tc>
      </w:tr>
    </w:tbl>
    <w:p w14:paraId="5BC5C535" w14:textId="77777777" w:rsidR="00D170E5" w:rsidRPr="002B55E9" w:rsidRDefault="00EF27AD">
      <w:pPr>
        <w:pStyle w:val="affff7"/>
      </w:pPr>
      <w:r w:rsidRPr="002B55E9">
        <w:rPr>
          <w:rFonts w:hint="eastAsia"/>
          <w:bCs w:val="0"/>
        </w:rPr>
        <w:t>综上所述，项目大气环境风险潜势为</w:t>
      </w:r>
      <w:r w:rsidRPr="002B55E9">
        <w:rPr>
          <w:rFonts w:ascii="宋体" w:hAnsi="宋体" w:hint="eastAsia"/>
          <w:bCs w:val="0"/>
        </w:rPr>
        <w:t>Ⅲ</w:t>
      </w:r>
      <w:r w:rsidRPr="002B55E9">
        <w:rPr>
          <w:rFonts w:hint="eastAsia"/>
          <w:bCs w:val="0"/>
        </w:rPr>
        <w:t>级，对应评价工作等级为二级，地表水和地下水环境风险潜势为</w:t>
      </w:r>
      <w:r w:rsidRPr="002B55E9">
        <w:t>Ⅰ</w:t>
      </w:r>
      <w:r w:rsidRPr="002B55E9">
        <w:rPr>
          <w:rFonts w:hint="eastAsia"/>
          <w:bCs w:val="0"/>
        </w:rPr>
        <w:t>级，对应评价工作等级为简单分析。本项目风险潜势最大为</w:t>
      </w:r>
      <w:r w:rsidRPr="002B55E9">
        <w:rPr>
          <w:rFonts w:ascii="宋体" w:hAnsi="宋体" w:hint="eastAsia"/>
          <w:bCs w:val="0"/>
        </w:rPr>
        <w:t>Ⅲ</w:t>
      </w:r>
      <w:r w:rsidRPr="002B55E9">
        <w:rPr>
          <w:rFonts w:hint="eastAsia"/>
          <w:bCs w:val="0"/>
        </w:rPr>
        <w:t>，因此环境风险评价工作等级为二级</w:t>
      </w:r>
      <w:r w:rsidRPr="002B55E9">
        <w:t>。</w:t>
      </w:r>
    </w:p>
    <w:p w14:paraId="4D2B6CCD" w14:textId="77777777" w:rsidR="00D170E5" w:rsidRPr="002B55E9" w:rsidRDefault="00EF27AD">
      <w:pPr>
        <w:pStyle w:val="4"/>
        <w:rPr>
          <w:color w:val="auto"/>
        </w:rPr>
      </w:pPr>
      <w:bookmarkStart w:id="134" w:name="_Hlk35279204"/>
      <w:r w:rsidRPr="002B55E9">
        <w:rPr>
          <w:rFonts w:hint="eastAsia"/>
          <w:color w:val="auto"/>
        </w:rPr>
        <w:lastRenderedPageBreak/>
        <w:t>生态环境评价等级</w:t>
      </w:r>
    </w:p>
    <w:p w14:paraId="15F9D98E" w14:textId="77777777" w:rsidR="00D170E5" w:rsidRPr="002B55E9" w:rsidRDefault="00EF27AD">
      <w:pPr>
        <w:pStyle w:val="00"/>
        <w:rPr>
          <w:rFonts w:ascii="宋体" w:hAnsi="宋体"/>
        </w:rPr>
      </w:pPr>
      <w:r w:rsidRPr="002B55E9">
        <w:t>根据《环境影响评价技术导则</w:t>
      </w:r>
      <w:r w:rsidRPr="002B55E9">
        <w:t xml:space="preserve"> </w:t>
      </w:r>
      <w:r w:rsidRPr="002B55E9">
        <w:t>生态影响》（</w:t>
      </w:r>
      <w:r w:rsidRPr="002B55E9">
        <w:t>HJ 19-2022</w:t>
      </w:r>
      <w:r w:rsidRPr="002B55E9">
        <w:t>）中</w:t>
      </w:r>
      <w:r w:rsidRPr="002B55E9">
        <w:rPr>
          <w:rFonts w:ascii="宋体" w:hAnsi="宋体"/>
        </w:rPr>
        <w:t>“</w:t>
      </w:r>
      <w:r w:rsidRPr="002B55E9">
        <w:t>6.1.8</w:t>
      </w:r>
      <w:r w:rsidRPr="002B55E9">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r w:rsidRPr="002B55E9">
        <w:rPr>
          <w:rFonts w:ascii="宋体" w:hAnsi="宋体"/>
        </w:rPr>
        <w:t>”</w:t>
      </w:r>
    </w:p>
    <w:p w14:paraId="2D1BD156" w14:textId="77777777" w:rsidR="00D170E5" w:rsidRPr="002B55E9" w:rsidRDefault="00EF27AD">
      <w:pPr>
        <w:pStyle w:val="00"/>
      </w:pPr>
      <w:r w:rsidRPr="002B55E9">
        <w:t>拟建项目位于</w:t>
      </w:r>
      <w:r w:rsidRPr="002B55E9">
        <w:rPr>
          <w:rFonts w:hint="eastAsia"/>
        </w:rPr>
        <w:t>武汉市东西湖区革新大道以西，兴工六路以南</w:t>
      </w:r>
      <w:r w:rsidRPr="002B55E9">
        <w:t>，</w:t>
      </w:r>
      <w:r w:rsidRPr="002B55E9">
        <w:rPr>
          <w:rFonts w:hint="eastAsia"/>
        </w:rPr>
        <w:t>属于新沟镇街食品医药用地板块，《新沟镇街食品医药用地板块总体规划环境影响报告书》已取得武汉市</w:t>
      </w:r>
      <w:r w:rsidRPr="002B55E9">
        <w:t>生态环境局东西湖区分局</w:t>
      </w:r>
      <w:r w:rsidRPr="002B55E9">
        <w:rPr>
          <w:rFonts w:hint="eastAsia"/>
        </w:rPr>
        <w:t>审查。拟建</w:t>
      </w:r>
      <w:r w:rsidRPr="002B55E9">
        <w:t>项目</w:t>
      </w:r>
      <w:r w:rsidRPr="002B55E9">
        <w:rPr>
          <w:rFonts w:hint="eastAsia"/>
        </w:rPr>
        <w:t>从事料酒、食醋的生产，属于食品制造业，</w:t>
      </w:r>
      <w:r w:rsidRPr="002B55E9">
        <w:t>符合规划环评要求</w:t>
      </w:r>
      <w:r w:rsidRPr="002B55E9">
        <w:rPr>
          <w:rFonts w:hint="eastAsia"/>
        </w:rPr>
        <w:t>且</w:t>
      </w:r>
      <w:r w:rsidRPr="002B55E9">
        <w:t>不涉及生态敏感区，故本项目可不确定评价等级，直接进行生态影响简单分析。</w:t>
      </w:r>
    </w:p>
    <w:p w14:paraId="1F3AA54A" w14:textId="77777777" w:rsidR="00D170E5" w:rsidRPr="002B55E9" w:rsidRDefault="00EF27AD">
      <w:pPr>
        <w:pStyle w:val="3"/>
      </w:pPr>
      <w:bookmarkStart w:id="135" w:name="_Toc119308976"/>
      <w:bookmarkEnd w:id="134"/>
      <w:r w:rsidRPr="002B55E9">
        <w:t>评价范围、时段和重点</w:t>
      </w:r>
      <w:bookmarkEnd w:id="127"/>
      <w:bookmarkEnd w:id="128"/>
      <w:bookmarkEnd w:id="129"/>
      <w:bookmarkEnd w:id="130"/>
      <w:bookmarkEnd w:id="135"/>
    </w:p>
    <w:p w14:paraId="27E3C194" w14:textId="77777777" w:rsidR="00D170E5" w:rsidRPr="002B55E9" w:rsidRDefault="00EF27AD">
      <w:pPr>
        <w:pStyle w:val="4"/>
        <w:rPr>
          <w:color w:val="auto"/>
        </w:rPr>
      </w:pPr>
      <w:bookmarkStart w:id="136" w:name="_Toc169616188"/>
      <w:r w:rsidRPr="002B55E9">
        <w:rPr>
          <w:color w:val="auto"/>
        </w:rPr>
        <w:t>评价范围</w:t>
      </w:r>
      <w:bookmarkEnd w:id="136"/>
    </w:p>
    <w:p w14:paraId="67861F5C" w14:textId="77777777" w:rsidR="00D170E5" w:rsidRPr="002B55E9" w:rsidRDefault="00EF27AD">
      <w:pPr>
        <w:spacing w:after="60" w:line="360" w:lineRule="auto"/>
        <w:ind w:firstLineChars="200" w:firstLine="480"/>
        <w:rPr>
          <w:sz w:val="24"/>
        </w:rPr>
      </w:pPr>
      <w:bookmarkStart w:id="137" w:name="_Toc169616189"/>
      <w:r w:rsidRPr="002B55E9">
        <w:rPr>
          <w:sz w:val="24"/>
        </w:rPr>
        <w:t>项目评级范围见表</w:t>
      </w:r>
      <w:r w:rsidRPr="002B55E9">
        <w:rPr>
          <w:sz w:val="24"/>
        </w:rPr>
        <w:t>1-8-1</w:t>
      </w:r>
      <w:r w:rsidRPr="002B55E9">
        <w:rPr>
          <w:sz w:val="24"/>
        </w:rPr>
        <w:t>。</w:t>
      </w:r>
    </w:p>
    <w:p w14:paraId="1F6DE909" w14:textId="77777777" w:rsidR="00D170E5" w:rsidRPr="002B55E9" w:rsidRDefault="00EF27AD">
      <w:pPr>
        <w:spacing w:after="40"/>
        <w:jc w:val="center"/>
        <w:rPr>
          <w:rFonts w:eastAsia="黑体"/>
          <w:b/>
          <w:sz w:val="24"/>
        </w:rPr>
      </w:pPr>
      <w:r w:rsidRPr="002B55E9">
        <w:rPr>
          <w:rFonts w:eastAsia="黑体"/>
          <w:b/>
          <w:sz w:val="24"/>
        </w:rPr>
        <w:t>表</w:t>
      </w:r>
      <w:r w:rsidRPr="002B55E9">
        <w:rPr>
          <w:rFonts w:eastAsia="黑体"/>
          <w:b/>
          <w:sz w:val="24"/>
        </w:rPr>
        <w:t xml:space="preserve">1-8-1  </w:t>
      </w:r>
      <w:r w:rsidRPr="002B55E9">
        <w:rPr>
          <w:rFonts w:eastAsia="黑体"/>
          <w:b/>
          <w:sz w:val="24"/>
        </w:rPr>
        <w:t>项目环境影响评价范围一览表</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347"/>
        <w:gridCol w:w="6879"/>
      </w:tblGrid>
      <w:tr w:rsidR="002B55E9" w:rsidRPr="002B55E9" w14:paraId="3677AA69" w14:textId="77777777">
        <w:trPr>
          <w:cantSplit/>
          <w:trHeight w:val="284"/>
        </w:trPr>
        <w:tc>
          <w:tcPr>
            <w:tcW w:w="2943" w:type="dxa"/>
            <w:gridSpan w:val="2"/>
            <w:tcBorders>
              <w:top w:val="single" w:sz="12" w:space="0" w:color="auto"/>
              <w:left w:val="nil"/>
              <w:bottom w:val="single" w:sz="12" w:space="0" w:color="auto"/>
            </w:tcBorders>
            <w:vAlign w:val="center"/>
          </w:tcPr>
          <w:p w14:paraId="5691C53A" w14:textId="77777777" w:rsidR="00D170E5" w:rsidRPr="002B55E9" w:rsidRDefault="00EF27AD">
            <w:pPr>
              <w:pStyle w:val="affff6"/>
            </w:pPr>
            <w:r w:rsidRPr="002B55E9">
              <w:t>评价项目</w:t>
            </w:r>
          </w:p>
        </w:tc>
        <w:tc>
          <w:tcPr>
            <w:tcW w:w="6879" w:type="dxa"/>
            <w:tcBorders>
              <w:top w:val="single" w:sz="12" w:space="0" w:color="auto"/>
              <w:bottom w:val="single" w:sz="12" w:space="0" w:color="auto"/>
              <w:right w:val="nil"/>
            </w:tcBorders>
            <w:vAlign w:val="center"/>
          </w:tcPr>
          <w:p w14:paraId="31481C6F" w14:textId="77777777" w:rsidR="00D170E5" w:rsidRPr="002B55E9" w:rsidRDefault="00EF27AD">
            <w:pPr>
              <w:pStyle w:val="affff6"/>
            </w:pPr>
            <w:r w:rsidRPr="002B55E9">
              <w:t>评</w:t>
            </w:r>
            <w:r w:rsidRPr="002B55E9">
              <w:t xml:space="preserve">   </w:t>
            </w:r>
            <w:r w:rsidRPr="002B55E9">
              <w:t>价</w:t>
            </w:r>
            <w:r w:rsidRPr="002B55E9">
              <w:t xml:space="preserve">   </w:t>
            </w:r>
            <w:r w:rsidRPr="002B55E9">
              <w:t>范</w:t>
            </w:r>
            <w:r w:rsidRPr="002B55E9">
              <w:t xml:space="preserve">   </w:t>
            </w:r>
            <w:r w:rsidRPr="002B55E9">
              <w:t>围</w:t>
            </w:r>
          </w:p>
        </w:tc>
      </w:tr>
      <w:tr w:rsidR="002B55E9" w:rsidRPr="002B55E9" w14:paraId="0DC6BC0F" w14:textId="77777777">
        <w:trPr>
          <w:cantSplit/>
          <w:trHeight w:val="284"/>
        </w:trPr>
        <w:tc>
          <w:tcPr>
            <w:tcW w:w="1596" w:type="dxa"/>
            <w:vMerge w:val="restart"/>
            <w:tcBorders>
              <w:top w:val="single" w:sz="12" w:space="0" w:color="auto"/>
              <w:left w:val="nil"/>
            </w:tcBorders>
            <w:vAlign w:val="center"/>
          </w:tcPr>
          <w:p w14:paraId="27D1610D" w14:textId="77777777" w:rsidR="00D170E5" w:rsidRPr="002B55E9" w:rsidRDefault="00EF27AD">
            <w:pPr>
              <w:pStyle w:val="affff6"/>
            </w:pPr>
            <w:r w:rsidRPr="002B55E9">
              <w:t>现状评价</w:t>
            </w:r>
          </w:p>
        </w:tc>
        <w:tc>
          <w:tcPr>
            <w:tcW w:w="1347" w:type="dxa"/>
            <w:tcBorders>
              <w:top w:val="single" w:sz="12" w:space="0" w:color="auto"/>
              <w:left w:val="nil"/>
            </w:tcBorders>
            <w:vAlign w:val="center"/>
          </w:tcPr>
          <w:p w14:paraId="26850092" w14:textId="77777777" w:rsidR="00D170E5" w:rsidRPr="002B55E9" w:rsidRDefault="00EF27AD">
            <w:pPr>
              <w:pStyle w:val="affff6"/>
            </w:pPr>
            <w:r w:rsidRPr="002B55E9">
              <w:t>环境空气</w:t>
            </w:r>
          </w:p>
        </w:tc>
        <w:tc>
          <w:tcPr>
            <w:tcW w:w="6879" w:type="dxa"/>
            <w:tcBorders>
              <w:top w:val="single" w:sz="12" w:space="0" w:color="auto"/>
              <w:right w:val="nil"/>
            </w:tcBorders>
            <w:vAlign w:val="center"/>
          </w:tcPr>
          <w:p w14:paraId="5773BA81" w14:textId="77777777" w:rsidR="00D170E5" w:rsidRPr="002B55E9" w:rsidRDefault="00EF27AD">
            <w:pPr>
              <w:pStyle w:val="affff7"/>
              <w:spacing w:after="0" w:line="240" w:lineRule="auto"/>
              <w:ind w:firstLineChars="0" w:firstLine="0"/>
              <w:jc w:val="center"/>
              <w:rPr>
                <w:sz w:val="18"/>
                <w:szCs w:val="18"/>
              </w:rPr>
            </w:pPr>
            <w:r w:rsidRPr="002B55E9">
              <w:rPr>
                <w:rFonts w:hint="eastAsia"/>
                <w:sz w:val="18"/>
                <w:szCs w:val="18"/>
              </w:rPr>
              <w:t>以项目厂址为中心，边长</w:t>
            </w:r>
            <w:r w:rsidRPr="002B55E9">
              <w:rPr>
                <w:rFonts w:hint="eastAsia"/>
                <w:sz w:val="18"/>
                <w:szCs w:val="18"/>
              </w:rPr>
              <w:t>5km</w:t>
            </w:r>
            <w:r w:rsidRPr="002B55E9">
              <w:rPr>
                <w:rFonts w:hint="eastAsia"/>
                <w:sz w:val="18"/>
                <w:szCs w:val="18"/>
              </w:rPr>
              <w:t>的矩形区域</w:t>
            </w:r>
          </w:p>
        </w:tc>
      </w:tr>
      <w:tr w:rsidR="002B55E9" w:rsidRPr="002B55E9" w14:paraId="0CABE4ED" w14:textId="77777777">
        <w:trPr>
          <w:cantSplit/>
          <w:trHeight w:val="284"/>
        </w:trPr>
        <w:tc>
          <w:tcPr>
            <w:tcW w:w="1596" w:type="dxa"/>
            <w:vMerge/>
            <w:tcBorders>
              <w:left w:val="nil"/>
            </w:tcBorders>
            <w:vAlign w:val="center"/>
          </w:tcPr>
          <w:p w14:paraId="1C295315" w14:textId="77777777" w:rsidR="00D170E5" w:rsidRPr="002B55E9" w:rsidRDefault="00D170E5">
            <w:pPr>
              <w:pStyle w:val="affff6"/>
            </w:pPr>
          </w:p>
        </w:tc>
        <w:tc>
          <w:tcPr>
            <w:tcW w:w="1347" w:type="dxa"/>
            <w:tcBorders>
              <w:left w:val="nil"/>
            </w:tcBorders>
            <w:vAlign w:val="center"/>
          </w:tcPr>
          <w:p w14:paraId="786518FA" w14:textId="77777777" w:rsidR="00D170E5" w:rsidRPr="002B55E9" w:rsidRDefault="00EF27AD">
            <w:pPr>
              <w:pStyle w:val="affff6"/>
            </w:pPr>
            <w:r w:rsidRPr="002B55E9">
              <w:t>地表水环境</w:t>
            </w:r>
          </w:p>
        </w:tc>
        <w:tc>
          <w:tcPr>
            <w:tcW w:w="6879" w:type="dxa"/>
            <w:tcBorders>
              <w:right w:val="nil"/>
            </w:tcBorders>
            <w:vAlign w:val="center"/>
          </w:tcPr>
          <w:p w14:paraId="597C328B" w14:textId="77777777" w:rsidR="00D170E5" w:rsidRPr="002B55E9" w:rsidRDefault="00EF27AD">
            <w:pPr>
              <w:pStyle w:val="affff6"/>
            </w:pPr>
            <w:r w:rsidRPr="002B55E9">
              <w:rPr>
                <w:rFonts w:hint="eastAsia"/>
              </w:rPr>
              <w:t>府河（黄花涝</w:t>
            </w:r>
            <w:r w:rsidRPr="002B55E9">
              <w:rPr>
                <w:rFonts w:hint="eastAsia"/>
              </w:rPr>
              <w:t>~</w:t>
            </w:r>
            <w:r w:rsidRPr="002B55E9">
              <w:rPr>
                <w:rFonts w:hint="eastAsia"/>
              </w:rPr>
              <w:t>入江段）</w:t>
            </w:r>
          </w:p>
        </w:tc>
      </w:tr>
      <w:tr w:rsidR="002B55E9" w:rsidRPr="002B55E9" w14:paraId="3BF7DCE7" w14:textId="77777777">
        <w:trPr>
          <w:cantSplit/>
          <w:trHeight w:val="284"/>
        </w:trPr>
        <w:tc>
          <w:tcPr>
            <w:tcW w:w="1596" w:type="dxa"/>
            <w:vMerge/>
            <w:tcBorders>
              <w:left w:val="nil"/>
            </w:tcBorders>
            <w:vAlign w:val="center"/>
          </w:tcPr>
          <w:p w14:paraId="397A1730" w14:textId="77777777" w:rsidR="00D170E5" w:rsidRPr="002B55E9" w:rsidRDefault="00D170E5">
            <w:pPr>
              <w:pStyle w:val="affff6"/>
            </w:pPr>
          </w:p>
        </w:tc>
        <w:tc>
          <w:tcPr>
            <w:tcW w:w="1347" w:type="dxa"/>
            <w:tcBorders>
              <w:left w:val="nil"/>
              <w:bottom w:val="nil"/>
            </w:tcBorders>
            <w:vAlign w:val="center"/>
          </w:tcPr>
          <w:p w14:paraId="1BD86408" w14:textId="77777777" w:rsidR="00D170E5" w:rsidRPr="002B55E9" w:rsidRDefault="00EF27AD">
            <w:pPr>
              <w:pStyle w:val="affff6"/>
            </w:pPr>
            <w:r w:rsidRPr="002B55E9">
              <w:t>声</w:t>
            </w:r>
            <w:r w:rsidRPr="002B55E9">
              <w:t xml:space="preserve"> </w:t>
            </w:r>
            <w:r w:rsidRPr="002B55E9">
              <w:t>环</w:t>
            </w:r>
            <w:r w:rsidRPr="002B55E9">
              <w:t xml:space="preserve"> </w:t>
            </w:r>
            <w:r w:rsidRPr="002B55E9">
              <w:t>境</w:t>
            </w:r>
          </w:p>
        </w:tc>
        <w:tc>
          <w:tcPr>
            <w:tcW w:w="6879" w:type="dxa"/>
            <w:tcBorders>
              <w:bottom w:val="nil"/>
              <w:right w:val="nil"/>
            </w:tcBorders>
            <w:vAlign w:val="center"/>
          </w:tcPr>
          <w:p w14:paraId="57824758" w14:textId="77777777" w:rsidR="00D170E5" w:rsidRPr="002B55E9" w:rsidRDefault="00EF27AD">
            <w:pPr>
              <w:pStyle w:val="affff6"/>
            </w:pPr>
            <w:r w:rsidRPr="002B55E9">
              <w:t>厂界</w:t>
            </w:r>
            <w:r w:rsidRPr="002B55E9">
              <w:rPr>
                <w:rFonts w:hint="eastAsia"/>
              </w:rPr>
              <w:t>及厂界</w:t>
            </w:r>
            <w:r w:rsidRPr="002B55E9">
              <w:t>外</w:t>
            </w:r>
            <w:r w:rsidRPr="002B55E9">
              <w:rPr>
                <w:rFonts w:hint="eastAsia"/>
              </w:rPr>
              <w:t>200m</w:t>
            </w:r>
            <w:r w:rsidRPr="002B55E9">
              <w:t>范围</w:t>
            </w:r>
          </w:p>
        </w:tc>
      </w:tr>
      <w:tr w:rsidR="002B55E9" w:rsidRPr="002B55E9" w14:paraId="0183308D" w14:textId="77777777">
        <w:trPr>
          <w:cantSplit/>
          <w:trHeight w:val="284"/>
        </w:trPr>
        <w:tc>
          <w:tcPr>
            <w:tcW w:w="1596" w:type="dxa"/>
            <w:vMerge/>
            <w:tcBorders>
              <w:left w:val="nil"/>
            </w:tcBorders>
            <w:vAlign w:val="center"/>
          </w:tcPr>
          <w:p w14:paraId="2EE24CE8" w14:textId="77777777" w:rsidR="00D170E5" w:rsidRPr="002B55E9" w:rsidRDefault="00D170E5">
            <w:pPr>
              <w:pStyle w:val="affff6"/>
            </w:pPr>
          </w:p>
        </w:tc>
        <w:tc>
          <w:tcPr>
            <w:tcW w:w="1347" w:type="dxa"/>
            <w:tcBorders>
              <w:left w:val="nil"/>
              <w:bottom w:val="single" w:sz="4" w:space="0" w:color="auto"/>
            </w:tcBorders>
            <w:vAlign w:val="center"/>
          </w:tcPr>
          <w:p w14:paraId="3AAD2298" w14:textId="77777777" w:rsidR="00D170E5" w:rsidRPr="002B55E9" w:rsidRDefault="00EF27AD">
            <w:pPr>
              <w:pStyle w:val="affff6"/>
            </w:pPr>
            <w:r w:rsidRPr="002B55E9">
              <w:t>地下水环境</w:t>
            </w:r>
          </w:p>
        </w:tc>
        <w:tc>
          <w:tcPr>
            <w:tcW w:w="6879" w:type="dxa"/>
            <w:tcBorders>
              <w:bottom w:val="single" w:sz="4" w:space="0" w:color="auto"/>
              <w:right w:val="nil"/>
            </w:tcBorders>
            <w:vAlign w:val="center"/>
          </w:tcPr>
          <w:p w14:paraId="1F14F18B" w14:textId="77777777" w:rsidR="00D170E5" w:rsidRPr="002B55E9" w:rsidRDefault="00EF27AD">
            <w:pPr>
              <w:pStyle w:val="affff6"/>
              <w:rPr>
                <w:szCs w:val="18"/>
              </w:rPr>
            </w:pPr>
            <w:r w:rsidRPr="002B55E9">
              <w:rPr>
                <w:rFonts w:hAnsi="宋体" w:hint="eastAsia"/>
                <w:szCs w:val="18"/>
              </w:rPr>
              <w:t>项目所在区域地下水水文地质单元，</w:t>
            </w:r>
            <w:r w:rsidRPr="002B55E9">
              <w:rPr>
                <w:szCs w:val="32"/>
              </w:rPr>
              <w:t>面积约</w:t>
            </w:r>
            <w:r w:rsidRPr="002B55E9">
              <w:rPr>
                <w:szCs w:val="32"/>
              </w:rPr>
              <w:t>6km</w:t>
            </w:r>
            <w:r w:rsidRPr="002B55E9">
              <w:rPr>
                <w:szCs w:val="32"/>
                <w:vertAlign w:val="superscript"/>
              </w:rPr>
              <w:t>2</w:t>
            </w:r>
          </w:p>
        </w:tc>
      </w:tr>
      <w:tr w:rsidR="002B55E9" w:rsidRPr="002B55E9" w14:paraId="165770E3" w14:textId="77777777">
        <w:trPr>
          <w:cantSplit/>
          <w:trHeight w:val="284"/>
        </w:trPr>
        <w:tc>
          <w:tcPr>
            <w:tcW w:w="1596" w:type="dxa"/>
            <w:vMerge/>
            <w:tcBorders>
              <w:left w:val="nil"/>
            </w:tcBorders>
            <w:vAlign w:val="center"/>
          </w:tcPr>
          <w:p w14:paraId="20EA368A" w14:textId="77777777" w:rsidR="00D170E5" w:rsidRPr="002B55E9" w:rsidRDefault="00D170E5">
            <w:pPr>
              <w:pStyle w:val="affff6"/>
            </w:pPr>
          </w:p>
        </w:tc>
        <w:tc>
          <w:tcPr>
            <w:tcW w:w="1347" w:type="dxa"/>
            <w:tcBorders>
              <w:left w:val="nil"/>
              <w:bottom w:val="single" w:sz="4" w:space="0" w:color="auto"/>
            </w:tcBorders>
            <w:vAlign w:val="center"/>
          </w:tcPr>
          <w:p w14:paraId="543B1124" w14:textId="77777777" w:rsidR="00D170E5" w:rsidRPr="002B55E9" w:rsidRDefault="00EF27AD">
            <w:pPr>
              <w:pStyle w:val="affff6"/>
            </w:pPr>
            <w:r w:rsidRPr="002B55E9">
              <w:rPr>
                <w:rFonts w:hint="eastAsia"/>
              </w:rPr>
              <w:t>土壤环境</w:t>
            </w:r>
          </w:p>
        </w:tc>
        <w:tc>
          <w:tcPr>
            <w:tcW w:w="6879" w:type="dxa"/>
            <w:tcBorders>
              <w:bottom w:val="single" w:sz="4" w:space="0" w:color="auto"/>
              <w:right w:val="nil"/>
            </w:tcBorders>
            <w:vAlign w:val="center"/>
          </w:tcPr>
          <w:p w14:paraId="790D8294" w14:textId="77777777" w:rsidR="00D170E5" w:rsidRPr="002B55E9" w:rsidRDefault="00EF27AD">
            <w:pPr>
              <w:pStyle w:val="affff6"/>
              <w:rPr>
                <w:rFonts w:hAnsi="宋体"/>
                <w:szCs w:val="18"/>
              </w:rPr>
            </w:pPr>
            <w:r w:rsidRPr="002B55E9">
              <w:rPr>
                <w:rFonts w:hint="eastAsia"/>
              </w:rPr>
              <w:t>/</w:t>
            </w:r>
          </w:p>
        </w:tc>
      </w:tr>
      <w:tr w:rsidR="002B55E9" w:rsidRPr="002B55E9" w14:paraId="5EE1B57B" w14:textId="77777777">
        <w:trPr>
          <w:cantSplit/>
          <w:trHeight w:val="284"/>
        </w:trPr>
        <w:tc>
          <w:tcPr>
            <w:tcW w:w="1596" w:type="dxa"/>
            <w:vMerge w:val="restart"/>
            <w:tcBorders>
              <w:left w:val="nil"/>
            </w:tcBorders>
            <w:vAlign w:val="center"/>
          </w:tcPr>
          <w:p w14:paraId="33927787" w14:textId="77777777" w:rsidR="00D170E5" w:rsidRPr="002B55E9" w:rsidRDefault="00EF27AD">
            <w:pPr>
              <w:pStyle w:val="affff6"/>
            </w:pPr>
            <w:r w:rsidRPr="002B55E9">
              <w:t>影响评价</w:t>
            </w:r>
          </w:p>
        </w:tc>
        <w:tc>
          <w:tcPr>
            <w:tcW w:w="1347" w:type="dxa"/>
            <w:tcBorders>
              <w:top w:val="single" w:sz="4" w:space="0" w:color="auto"/>
              <w:left w:val="nil"/>
              <w:bottom w:val="nil"/>
            </w:tcBorders>
            <w:vAlign w:val="center"/>
          </w:tcPr>
          <w:p w14:paraId="15003F53" w14:textId="77777777" w:rsidR="00D170E5" w:rsidRPr="002B55E9" w:rsidRDefault="00EF27AD">
            <w:pPr>
              <w:pStyle w:val="affff6"/>
            </w:pPr>
            <w:r w:rsidRPr="002B55E9">
              <w:t>环境空气</w:t>
            </w:r>
          </w:p>
        </w:tc>
        <w:tc>
          <w:tcPr>
            <w:tcW w:w="6879" w:type="dxa"/>
            <w:tcBorders>
              <w:top w:val="single" w:sz="4" w:space="0" w:color="auto"/>
              <w:bottom w:val="nil"/>
              <w:right w:val="nil"/>
            </w:tcBorders>
            <w:vAlign w:val="center"/>
          </w:tcPr>
          <w:p w14:paraId="458A1F5B" w14:textId="77777777" w:rsidR="00D170E5" w:rsidRPr="002B55E9" w:rsidRDefault="00EF27AD">
            <w:pPr>
              <w:pStyle w:val="affff6"/>
            </w:pPr>
            <w:r w:rsidRPr="002B55E9">
              <w:rPr>
                <w:rFonts w:hint="eastAsia"/>
                <w:szCs w:val="18"/>
              </w:rPr>
              <w:t>以项目厂址为中心区域，边长</w:t>
            </w:r>
            <w:r w:rsidRPr="002B55E9">
              <w:rPr>
                <w:rFonts w:hint="eastAsia"/>
                <w:szCs w:val="18"/>
              </w:rPr>
              <w:t>5km</w:t>
            </w:r>
            <w:r w:rsidRPr="002B55E9">
              <w:rPr>
                <w:rFonts w:hint="eastAsia"/>
                <w:szCs w:val="18"/>
              </w:rPr>
              <w:t>的矩形区域</w:t>
            </w:r>
          </w:p>
        </w:tc>
      </w:tr>
      <w:tr w:rsidR="002B55E9" w:rsidRPr="002B55E9" w14:paraId="5142932E" w14:textId="77777777">
        <w:trPr>
          <w:cantSplit/>
          <w:trHeight w:val="284"/>
        </w:trPr>
        <w:tc>
          <w:tcPr>
            <w:tcW w:w="1596" w:type="dxa"/>
            <w:vMerge/>
            <w:tcBorders>
              <w:left w:val="nil"/>
            </w:tcBorders>
            <w:vAlign w:val="center"/>
          </w:tcPr>
          <w:p w14:paraId="13FC1E35" w14:textId="77777777" w:rsidR="00D170E5" w:rsidRPr="002B55E9" w:rsidRDefault="00D170E5">
            <w:pPr>
              <w:pStyle w:val="affff6"/>
            </w:pPr>
          </w:p>
        </w:tc>
        <w:tc>
          <w:tcPr>
            <w:tcW w:w="1347" w:type="dxa"/>
            <w:tcBorders>
              <w:left w:val="nil"/>
              <w:bottom w:val="single" w:sz="4" w:space="0" w:color="auto"/>
            </w:tcBorders>
            <w:vAlign w:val="center"/>
          </w:tcPr>
          <w:p w14:paraId="4A1F87A8" w14:textId="77777777" w:rsidR="00D170E5" w:rsidRPr="002B55E9" w:rsidRDefault="00EF27AD">
            <w:pPr>
              <w:pStyle w:val="affff6"/>
            </w:pPr>
            <w:r w:rsidRPr="002B55E9">
              <w:t>地表水环境</w:t>
            </w:r>
          </w:p>
        </w:tc>
        <w:tc>
          <w:tcPr>
            <w:tcW w:w="6879" w:type="dxa"/>
            <w:tcBorders>
              <w:bottom w:val="single" w:sz="4" w:space="0" w:color="auto"/>
              <w:right w:val="nil"/>
            </w:tcBorders>
            <w:vAlign w:val="center"/>
          </w:tcPr>
          <w:p w14:paraId="36A41EE9" w14:textId="77777777" w:rsidR="00D170E5" w:rsidRPr="002B55E9" w:rsidRDefault="00EF27AD">
            <w:pPr>
              <w:pStyle w:val="affff6"/>
            </w:pPr>
            <w:r w:rsidRPr="002B55E9">
              <w:rPr>
                <w:rFonts w:hint="eastAsia"/>
              </w:rPr>
              <w:t>府河（黄花涝</w:t>
            </w:r>
            <w:r w:rsidRPr="002B55E9">
              <w:rPr>
                <w:rFonts w:hint="eastAsia"/>
              </w:rPr>
              <w:t>~</w:t>
            </w:r>
            <w:r w:rsidRPr="002B55E9">
              <w:rPr>
                <w:rFonts w:hint="eastAsia"/>
              </w:rPr>
              <w:t>入江段）</w:t>
            </w:r>
          </w:p>
        </w:tc>
      </w:tr>
      <w:tr w:rsidR="002B55E9" w:rsidRPr="002B55E9" w14:paraId="6A73D52C" w14:textId="77777777">
        <w:trPr>
          <w:cantSplit/>
          <w:trHeight w:val="284"/>
        </w:trPr>
        <w:tc>
          <w:tcPr>
            <w:tcW w:w="1596" w:type="dxa"/>
            <w:vMerge/>
            <w:tcBorders>
              <w:left w:val="nil"/>
            </w:tcBorders>
            <w:vAlign w:val="center"/>
          </w:tcPr>
          <w:p w14:paraId="021530F1" w14:textId="77777777" w:rsidR="00D170E5" w:rsidRPr="002B55E9" w:rsidRDefault="00D170E5">
            <w:pPr>
              <w:pStyle w:val="affff6"/>
            </w:pPr>
          </w:p>
        </w:tc>
        <w:tc>
          <w:tcPr>
            <w:tcW w:w="1347" w:type="dxa"/>
            <w:tcBorders>
              <w:left w:val="nil"/>
              <w:bottom w:val="single" w:sz="4" w:space="0" w:color="auto"/>
            </w:tcBorders>
            <w:vAlign w:val="center"/>
          </w:tcPr>
          <w:p w14:paraId="0203503E" w14:textId="77777777" w:rsidR="00D170E5" w:rsidRPr="002B55E9" w:rsidRDefault="00EF27AD">
            <w:pPr>
              <w:pStyle w:val="affff6"/>
            </w:pPr>
            <w:r w:rsidRPr="002B55E9">
              <w:t>声</w:t>
            </w:r>
            <w:r w:rsidRPr="002B55E9">
              <w:t xml:space="preserve"> </w:t>
            </w:r>
            <w:r w:rsidRPr="002B55E9">
              <w:t>环</w:t>
            </w:r>
            <w:r w:rsidRPr="002B55E9">
              <w:t xml:space="preserve"> </w:t>
            </w:r>
            <w:r w:rsidRPr="002B55E9">
              <w:t>境</w:t>
            </w:r>
          </w:p>
        </w:tc>
        <w:tc>
          <w:tcPr>
            <w:tcW w:w="6879" w:type="dxa"/>
            <w:tcBorders>
              <w:bottom w:val="single" w:sz="4" w:space="0" w:color="auto"/>
              <w:right w:val="nil"/>
            </w:tcBorders>
            <w:vAlign w:val="center"/>
          </w:tcPr>
          <w:p w14:paraId="542A00F7" w14:textId="77777777" w:rsidR="00D170E5" w:rsidRPr="002B55E9" w:rsidRDefault="00EF27AD">
            <w:pPr>
              <w:pStyle w:val="affff6"/>
            </w:pPr>
            <w:r w:rsidRPr="002B55E9">
              <w:rPr>
                <w:rFonts w:hint="eastAsia"/>
              </w:rPr>
              <w:t>厂界及</w:t>
            </w:r>
            <w:r w:rsidRPr="002B55E9">
              <w:t>厂界外</w:t>
            </w:r>
            <w:r w:rsidRPr="002B55E9">
              <w:t>200m</w:t>
            </w:r>
            <w:r w:rsidRPr="002B55E9">
              <w:t>范围</w:t>
            </w:r>
          </w:p>
        </w:tc>
      </w:tr>
      <w:tr w:rsidR="002B55E9" w:rsidRPr="002B55E9" w14:paraId="02EE3AF1" w14:textId="77777777">
        <w:trPr>
          <w:cantSplit/>
          <w:trHeight w:val="284"/>
        </w:trPr>
        <w:tc>
          <w:tcPr>
            <w:tcW w:w="1596" w:type="dxa"/>
            <w:vMerge/>
            <w:tcBorders>
              <w:left w:val="nil"/>
            </w:tcBorders>
            <w:vAlign w:val="center"/>
          </w:tcPr>
          <w:p w14:paraId="78C5DC30" w14:textId="77777777" w:rsidR="00D170E5" w:rsidRPr="002B55E9" w:rsidRDefault="00D170E5">
            <w:pPr>
              <w:pStyle w:val="affff6"/>
            </w:pPr>
          </w:p>
        </w:tc>
        <w:tc>
          <w:tcPr>
            <w:tcW w:w="1347" w:type="dxa"/>
            <w:tcBorders>
              <w:top w:val="single" w:sz="4" w:space="0" w:color="auto"/>
              <w:left w:val="nil"/>
              <w:bottom w:val="nil"/>
            </w:tcBorders>
            <w:vAlign w:val="center"/>
          </w:tcPr>
          <w:p w14:paraId="599D0A28" w14:textId="77777777" w:rsidR="00D170E5" w:rsidRPr="002B55E9" w:rsidRDefault="00EF27AD">
            <w:pPr>
              <w:pStyle w:val="affff6"/>
            </w:pPr>
            <w:r w:rsidRPr="002B55E9">
              <w:t>地下水环境</w:t>
            </w:r>
          </w:p>
        </w:tc>
        <w:tc>
          <w:tcPr>
            <w:tcW w:w="6879" w:type="dxa"/>
            <w:tcBorders>
              <w:top w:val="single" w:sz="4" w:space="0" w:color="auto"/>
              <w:bottom w:val="nil"/>
              <w:right w:val="nil"/>
            </w:tcBorders>
            <w:vAlign w:val="center"/>
          </w:tcPr>
          <w:p w14:paraId="789B8FF2" w14:textId="77777777" w:rsidR="00D170E5" w:rsidRPr="002B55E9" w:rsidRDefault="00EF27AD">
            <w:pPr>
              <w:pStyle w:val="affff6"/>
            </w:pPr>
            <w:r w:rsidRPr="002B55E9">
              <w:rPr>
                <w:rFonts w:hAnsi="宋体" w:hint="eastAsia"/>
                <w:szCs w:val="18"/>
              </w:rPr>
              <w:t>项目所在区域地下水水文地质单元，</w:t>
            </w:r>
            <w:r w:rsidRPr="002B55E9">
              <w:rPr>
                <w:szCs w:val="32"/>
              </w:rPr>
              <w:t>面积约</w:t>
            </w:r>
            <w:r w:rsidRPr="002B55E9">
              <w:rPr>
                <w:szCs w:val="32"/>
              </w:rPr>
              <w:t>6km</w:t>
            </w:r>
            <w:r w:rsidRPr="002B55E9">
              <w:rPr>
                <w:szCs w:val="32"/>
                <w:vertAlign w:val="superscript"/>
              </w:rPr>
              <w:t>2</w:t>
            </w:r>
          </w:p>
        </w:tc>
      </w:tr>
      <w:tr w:rsidR="002B55E9" w:rsidRPr="002B55E9" w14:paraId="7BD204BC" w14:textId="77777777">
        <w:trPr>
          <w:cantSplit/>
          <w:trHeight w:val="284"/>
        </w:trPr>
        <w:tc>
          <w:tcPr>
            <w:tcW w:w="1596" w:type="dxa"/>
            <w:vMerge/>
            <w:tcBorders>
              <w:left w:val="nil"/>
              <w:bottom w:val="single" w:sz="12" w:space="0" w:color="auto"/>
            </w:tcBorders>
            <w:vAlign w:val="center"/>
          </w:tcPr>
          <w:p w14:paraId="0857E521" w14:textId="77777777" w:rsidR="00D170E5" w:rsidRPr="002B55E9" w:rsidRDefault="00D170E5">
            <w:pPr>
              <w:pStyle w:val="affff6"/>
            </w:pPr>
          </w:p>
        </w:tc>
        <w:tc>
          <w:tcPr>
            <w:tcW w:w="1347" w:type="dxa"/>
            <w:tcBorders>
              <w:left w:val="nil"/>
              <w:bottom w:val="single" w:sz="12" w:space="0" w:color="auto"/>
            </w:tcBorders>
            <w:vAlign w:val="center"/>
          </w:tcPr>
          <w:p w14:paraId="2EFDD199" w14:textId="77777777" w:rsidR="00D170E5" w:rsidRPr="002B55E9" w:rsidRDefault="00EF27AD">
            <w:pPr>
              <w:pStyle w:val="affff6"/>
            </w:pPr>
            <w:r w:rsidRPr="002B55E9">
              <w:rPr>
                <w:rFonts w:hint="eastAsia"/>
              </w:rPr>
              <w:t>土壤环境</w:t>
            </w:r>
          </w:p>
        </w:tc>
        <w:tc>
          <w:tcPr>
            <w:tcW w:w="6879" w:type="dxa"/>
            <w:tcBorders>
              <w:bottom w:val="single" w:sz="12" w:space="0" w:color="auto"/>
              <w:right w:val="nil"/>
            </w:tcBorders>
            <w:vAlign w:val="center"/>
          </w:tcPr>
          <w:p w14:paraId="5A5EA44D" w14:textId="77777777" w:rsidR="00D170E5" w:rsidRPr="002B55E9" w:rsidRDefault="00EF27AD">
            <w:pPr>
              <w:pStyle w:val="affff6"/>
              <w:rPr>
                <w:szCs w:val="24"/>
              </w:rPr>
            </w:pPr>
            <w:r w:rsidRPr="002B55E9">
              <w:rPr>
                <w:rFonts w:hint="eastAsia"/>
              </w:rPr>
              <w:t>/</w:t>
            </w:r>
          </w:p>
        </w:tc>
      </w:tr>
    </w:tbl>
    <w:bookmarkEnd w:id="137"/>
    <w:p w14:paraId="430C91E3" w14:textId="77777777" w:rsidR="00D170E5" w:rsidRPr="002B55E9" w:rsidRDefault="00EF27AD">
      <w:pPr>
        <w:pStyle w:val="4"/>
        <w:rPr>
          <w:color w:val="auto"/>
        </w:rPr>
      </w:pPr>
      <w:r w:rsidRPr="002B55E9">
        <w:rPr>
          <w:color w:val="auto"/>
        </w:rPr>
        <w:t>评价时段</w:t>
      </w:r>
    </w:p>
    <w:p w14:paraId="54459964" w14:textId="77777777" w:rsidR="00D170E5" w:rsidRPr="002B55E9" w:rsidRDefault="00EF27AD">
      <w:pPr>
        <w:pStyle w:val="affff7"/>
      </w:pPr>
      <w:bookmarkStart w:id="138" w:name="_Toc169616190"/>
      <w:r w:rsidRPr="002B55E9">
        <w:t>分施工期和运营期，本次评价时段以运营期为主，兼顾施工期。</w:t>
      </w:r>
    </w:p>
    <w:p w14:paraId="0D1A68B3" w14:textId="77777777" w:rsidR="00D170E5" w:rsidRPr="002B55E9" w:rsidRDefault="00EF27AD">
      <w:pPr>
        <w:pStyle w:val="4"/>
        <w:rPr>
          <w:color w:val="auto"/>
        </w:rPr>
      </w:pPr>
      <w:r w:rsidRPr="002B55E9">
        <w:rPr>
          <w:color w:val="auto"/>
        </w:rPr>
        <w:t>评价重点</w:t>
      </w:r>
      <w:bookmarkEnd w:id="138"/>
    </w:p>
    <w:p w14:paraId="492F468F" w14:textId="77777777" w:rsidR="00D170E5" w:rsidRPr="002B55E9" w:rsidRDefault="00EF27AD">
      <w:pPr>
        <w:pStyle w:val="affff7"/>
      </w:pPr>
      <w:r w:rsidRPr="002B55E9">
        <w:t>对项目厂址附近的空气、水、声</w:t>
      </w:r>
      <w:r w:rsidRPr="002B55E9">
        <w:rPr>
          <w:rFonts w:hint="eastAsia"/>
        </w:rPr>
        <w:t>、地下水</w:t>
      </w:r>
      <w:r w:rsidRPr="002B55E9">
        <w:t>环境质量进行现状评价，结合项目所在区域规划以及周边环境情况分析项目选址的合理性，预测项目建成后对周围环境，特别是对周围环境保护目标可能造成的不良影响提出切实可行的污染防治措施。根据本项目工程和周围环境特征，确定评价中需要重点关注拟建项目主要污染物废水、废气污染防治措施的可行性、固废处置的合理性、环境风险是否可以接受等方面</w:t>
      </w:r>
      <w:r w:rsidRPr="002B55E9">
        <w:rPr>
          <w:rFonts w:hint="eastAsia"/>
        </w:rPr>
        <w:t>。</w:t>
      </w:r>
    </w:p>
    <w:p w14:paraId="35B2CA3F" w14:textId="77777777" w:rsidR="00D170E5" w:rsidRPr="002B55E9" w:rsidRDefault="00D170E5">
      <w:pPr>
        <w:pStyle w:val="affff7"/>
      </w:pPr>
    </w:p>
    <w:p w14:paraId="270594C0" w14:textId="77777777" w:rsidR="00D170E5" w:rsidRPr="002B55E9" w:rsidRDefault="00D170E5">
      <w:pPr>
        <w:pStyle w:val="affff7"/>
        <w:sectPr w:rsidR="00D170E5" w:rsidRPr="002B55E9">
          <w:headerReference w:type="default" r:id="rId20"/>
          <w:pgSz w:w="11906" w:h="16838"/>
          <w:pgMar w:top="1134" w:right="1134" w:bottom="1134" w:left="1134" w:header="737" w:footer="624" w:gutter="0"/>
          <w:pgNumType w:chapStyle="1"/>
          <w:cols w:space="720"/>
          <w:docGrid w:type="lines" w:linePitch="312"/>
        </w:sectPr>
      </w:pPr>
    </w:p>
    <w:p w14:paraId="1C2856A1" w14:textId="77777777" w:rsidR="00D170E5" w:rsidRPr="002B55E9" w:rsidRDefault="00EF27AD">
      <w:pPr>
        <w:pStyle w:val="2"/>
      </w:pPr>
      <w:bookmarkStart w:id="139" w:name="_Toc119308977"/>
      <w:bookmarkStart w:id="140" w:name="OLE_LINK2"/>
      <w:bookmarkStart w:id="141" w:name="OLE_LINK1"/>
      <w:r w:rsidRPr="002B55E9">
        <w:rPr>
          <w:rFonts w:hint="eastAsia"/>
        </w:rPr>
        <w:lastRenderedPageBreak/>
        <w:t>拟建项目概况</w:t>
      </w:r>
      <w:bookmarkEnd w:id="139"/>
    </w:p>
    <w:p w14:paraId="52901FE6" w14:textId="77777777" w:rsidR="00D170E5" w:rsidRPr="002B55E9" w:rsidRDefault="00EF27AD">
      <w:pPr>
        <w:pStyle w:val="3"/>
      </w:pPr>
      <w:bookmarkStart w:id="142" w:name="_Toc247186170"/>
      <w:bookmarkStart w:id="143" w:name="_Toc223950465"/>
      <w:bookmarkStart w:id="144" w:name="_Toc119308978"/>
      <w:r w:rsidRPr="002B55E9">
        <w:t>拟建项目</w:t>
      </w:r>
      <w:bookmarkEnd w:id="142"/>
      <w:bookmarkEnd w:id="143"/>
      <w:r w:rsidRPr="002B55E9">
        <w:rPr>
          <w:rFonts w:hint="eastAsia"/>
        </w:rPr>
        <w:t>建设内容</w:t>
      </w:r>
      <w:bookmarkEnd w:id="144"/>
    </w:p>
    <w:p w14:paraId="7E24AA58" w14:textId="77777777" w:rsidR="00D170E5" w:rsidRPr="002B55E9" w:rsidRDefault="00EF27AD">
      <w:pPr>
        <w:pStyle w:val="4"/>
        <w:rPr>
          <w:color w:val="auto"/>
        </w:rPr>
      </w:pPr>
      <w:r w:rsidRPr="002B55E9">
        <w:rPr>
          <w:color w:val="auto"/>
        </w:rPr>
        <w:t>基本构成</w:t>
      </w:r>
    </w:p>
    <w:p w14:paraId="5FA7F278" w14:textId="77777777" w:rsidR="00D170E5" w:rsidRPr="002B55E9" w:rsidRDefault="00EF27AD">
      <w:pPr>
        <w:pStyle w:val="affff7"/>
        <w:rPr>
          <w:szCs w:val="24"/>
        </w:rPr>
      </w:pPr>
      <w:r w:rsidRPr="002B55E9">
        <w:rPr>
          <w:szCs w:val="24"/>
        </w:rPr>
        <w:t>拟建项目基本构成见表</w:t>
      </w:r>
      <w:r w:rsidRPr="002B55E9">
        <w:rPr>
          <w:rFonts w:hint="eastAsia"/>
          <w:szCs w:val="24"/>
        </w:rPr>
        <w:t>2</w:t>
      </w:r>
      <w:r w:rsidRPr="002B55E9">
        <w:rPr>
          <w:szCs w:val="24"/>
        </w:rPr>
        <w:t>-1-1</w:t>
      </w:r>
      <w:r w:rsidRPr="002B55E9">
        <w:rPr>
          <w:szCs w:val="24"/>
        </w:rPr>
        <w:t>。</w:t>
      </w:r>
    </w:p>
    <w:p w14:paraId="490DD337" w14:textId="77777777" w:rsidR="00D170E5" w:rsidRPr="002B55E9" w:rsidRDefault="00EF27AD">
      <w:pPr>
        <w:pStyle w:val="1f3"/>
        <w:spacing w:before="120"/>
      </w:pPr>
      <w:r w:rsidRPr="002B55E9">
        <w:t>表</w:t>
      </w:r>
      <w:r w:rsidRPr="002B55E9">
        <w:rPr>
          <w:rFonts w:hint="eastAsia"/>
        </w:rPr>
        <w:t>2</w:t>
      </w:r>
      <w:r w:rsidRPr="002B55E9">
        <w:t xml:space="preserve">-1-1  </w:t>
      </w:r>
      <w:r w:rsidRPr="002B55E9">
        <w:t>拟建项目基本构成一览表</w:t>
      </w:r>
    </w:p>
    <w:tbl>
      <w:tblPr>
        <w:tblW w:w="934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1"/>
        <w:gridCol w:w="2860"/>
        <w:gridCol w:w="1277"/>
        <w:gridCol w:w="1484"/>
        <w:gridCol w:w="925"/>
        <w:gridCol w:w="1550"/>
      </w:tblGrid>
      <w:tr w:rsidR="002B55E9" w:rsidRPr="002B55E9" w14:paraId="6430664C" w14:textId="77777777">
        <w:trPr>
          <w:cantSplit/>
          <w:trHeight w:val="284"/>
          <w:jc w:val="center"/>
        </w:trPr>
        <w:tc>
          <w:tcPr>
            <w:tcW w:w="1251" w:type="dxa"/>
            <w:vAlign w:val="center"/>
          </w:tcPr>
          <w:p w14:paraId="326CB4DB" w14:textId="77777777" w:rsidR="00D170E5" w:rsidRPr="002B55E9" w:rsidRDefault="00EF27AD">
            <w:pPr>
              <w:pStyle w:val="affff6"/>
              <w:snapToGrid w:val="0"/>
              <w:ind w:leftChars="-50" w:left="-100" w:rightChars="-50" w:right="-100"/>
            </w:pPr>
            <w:r w:rsidRPr="002B55E9">
              <w:t>项目名称</w:t>
            </w:r>
          </w:p>
        </w:tc>
        <w:tc>
          <w:tcPr>
            <w:tcW w:w="8096" w:type="dxa"/>
            <w:gridSpan w:val="5"/>
            <w:vAlign w:val="center"/>
          </w:tcPr>
          <w:p w14:paraId="0F63012A" w14:textId="77777777" w:rsidR="00D170E5" w:rsidRPr="002B55E9" w:rsidRDefault="00EF27AD">
            <w:pPr>
              <w:pStyle w:val="affff6"/>
              <w:snapToGrid w:val="0"/>
              <w:ind w:leftChars="-50" w:left="-100" w:rightChars="-50" w:right="-100"/>
            </w:pPr>
            <w:r w:rsidRPr="002B55E9">
              <w:rPr>
                <w:rFonts w:hint="eastAsia"/>
              </w:rPr>
              <w:t>海天醋酒建设项目（一期）</w:t>
            </w:r>
          </w:p>
        </w:tc>
      </w:tr>
      <w:tr w:rsidR="002B55E9" w:rsidRPr="002B55E9" w14:paraId="4FC612DD" w14:textId="77777777">
        <w:trPr>
          <w:cantSplit/>
          <w:trHeight w:val="284"/>
          <w:jc w:val="center"/>
        </w:trPr>
        <w:tc>
          <w:tcPr>
            <w:tcW w:w="1251" w:type="dxa"/>
            <w:vAlign w:val="center"/>
          </w:tcPr>
          <w:p w14:paraId="2FD15ABC" w14:textId="77777777" w:rsidR="00D170E5" w:rsidRPr="002B55E9" w:rsidRDefault="00EF27AD">
            <w:pPr>
              <w:pStyle w:val="affff6"/>
              <w:snapToGrid w:val="0"/>
              <w:ind w:leftChars="-50" w:left="-100" w:rightChars="-50" w:right="-100"/>
            </w:pPr>
            <w:r w:rsidRPr="002B55E9">
              <w:t>单位名称</w:t>
            </w:r>
          </w:p>
        </w:tc>
        <w:tc>
          <w:tcPr>
            <w:tcW w:w="8096" w:type="dxa"/>
            <w:gridSpan w:val="5"/>
            <w:vAlign w:val="center"/>
          </w:tcPr>
          <w:p w14:paraId="0D92B212" w14:textId="77777777" w:rsidR="00D170E5" w:rsidRPr="002B55E9" w:rsidRDefault="00EF27AD">
            <w:pPr>
              <w:pStyle w:val="affff6"/>
              <w:snapToGrid w:val="0"/>
              <w:ind w:leftChars="-50" w:left="-100" w:rightChars="-50" w:right="-100"/>
            </w:pPr>
            <w:r w:rsidRPr="002B55E9">
              <w:rPr>
                <w:rFonts w:hint="eastAsia"/>
              </w:rPr>
              <w:t>海天醋业（武汉）有限公司</w:t>
            </w:r>
          </w:p>
        </w:tc>
      </w:tr>
      <w:tr w:rsidR="002B55E9" w:rsidRPr="002B55E9" w14:paraId="3FA8110C" w14:textId="77777777">
        <w:trPr>
          <w:cantSplit/>
          <w:trHeight w:val="284"/>
          <w:jc w:val="center"/>
        </w:trPr>
        <w:tc>
          <w:tcPr>
            <w:tcW w:w="1251" w:type="dxa"/>
            <w:vAlign w:val="center"/>
          </w:tcPr>
          <w:p w14:paraId="7CCE7635" w14:textId="77777777" w:rsidR="00D170E5" w:rsidRPr="002B55E9" w:rsidRDefault="00EF27AD">
            <w:pPr>
              <w:pStyle w:val="affff6"/>
              <w:snapToGrid w:val="0"/>
              <w:ind w:leftChars="-50" w:left="-100" w:rightChars="-50" w:right="-100"/>
            </w:pPr>
            <w:r w:rsidRPr="002B55E9">
              <w:t>总投资</w:t>
            </w:r>
          </w:p>
        </w:tc>
        <w:tc>
          <w:tcPr>
            <w:tcW w:w="2860" w:type="dxa"/>
            <w:vAlign w:val="center"/>
          </w:tcPr>
          <w:p w14:paraId="1799CBDD" w14:textId="74E9B199" w:rsidR="00D170E5" w:rsidRPr="002B55E9" w:rsidRDefault="00D170E5">
            <w:pPr>
              <w:pStyle w:val="affff6"/>
              <w:snapToGrid w:val="0"/>
              <w:ind w:leftChars="-50" w:left="-100" w:rightChars="-50" w:right="-100"/>
            </w:pPr>
          </w:p>
        </w:tc>
        <w:tc>
          <w:tcPr>
            <w:tcW w:w="1277" w:type="dxa"/>
            <w:vAlign w:val="center"/>
          </w:tcPr>
          <w:p w14:paraId="022E9376" w14:textId="77777777" w:rsidR="00D170E5" w:rsidRPr="002B55E9" w:rsidRDefault="00EF27AD">
            <w:pPr>
              <w:pStyle w:val="affff6"/>
              <w:snapToGrid w:val="0"/>
              <w:ind w:leftChars="-50" w:left="-100" w:rightChars="-50" w:right="-100"/>
              <w:rPr>
                <w:rFonts w:ascii="宋体" w:hAnsi="宋体"/>
              </w:rPr>
            </w:pPr>
            <w:r w:rsidRPr="002B55E9">
              <w:rPr>
                <w:rFonts w:ascii="宋体" w:hAnsi="宋体"/>
              </w:rPr>
              <w:t>性</w:t>
            </w:r>
            <w:r w:rsidRPr="002B55E9">
              <w:rPr>
                <w:rFonts w:ascii="宋体" w:hAnsi="宋体" w:hint="eastAsia"/>
              </w:rPr>
              <w:t xml:space="preserve">  </w:t>
            </w:r>
            <w:r w:rsidRPr="002B55E9">
              <w:rPr>
                <w:rFonts w:ascii="宋体" w:hAnsi="宋体"/>
              </w:rPr>
              <w:t>质</w:t>
            </w:r>
          </w:p>
        </w:tc>
        <w:tc>
          <w:tcPr>
            <w:tcW w:w="3959" w:type="dxa"/>
            <w:gridSpan w:val="3"/>
            <w:vAlign w:val="center"/>
          </w:tcPr>
          <w:p w14:paraId="4FDBD5DB" w14:textId="77777777" w:rsidR="00D170E5" w:rsidRPr="002B55E9" w:rsidRDefault="00EF27AD">
            <w:pPr>
              <w:pStyle w:val="affff6"/>
              <w:snapToGrid w:val="0"/>
              <w:ind w:leftChars="-50" w:left="-100" w:rightChars="-50" w:right="-100"/>
              <w:rPr>
                <w:rFonts w:ascii="宋体" w:hAnsi="宋体"/>
              </w:rPr>
            </w:pPr>
            <w:r w:rsidRPr="002B55E9">
              <w:rPr>
                <w:rFonts w:ascii="宋体" w:hAnsi="宋体" w:hint="eastAsia"/>
              </w:rPr>
              <w:t>新建</w:t>
            </w:r>
          </w:p>
        </w:tc>
      </w:tr>
      <w:tr w:rsidR="002B55E9" w:rsidRPr="002B55E9" w14:paraId="3F3AFC6D" w14:textId="77777777">
        <w:trPr>
          <w:cantSplit/>
          <w:trHeight w:val="284"/>
          <w:jc w:val="center"/>
        </w:trPr>
        <w:tc>
          <w:tcPr>
            <w:tcW w:w="1251" w:type="dxa"/>
            <w:vAlign w:val="center"/>
          </w:tcPr>
          <w:p w14:paraId="2DA2C5B6" w14:textId="77777777" w:rsidR="00D170E5" w:rsidRPr="002B55E9" w:rsidRDefault="00EF27AD">
            <w:pPr>
              <w:pStyle w:val="affff6"/>
              <w:snapToGrid w:val="0"/>
              <w:ind w:leftChars="-50" w:left="-100" w:rightChars="-50" w:right="-100"/>
            </w:pPr>
            <w:r w:rsidRPr="002B55E9">
              <w:t>法人代表</w:t>
            </w:r>
          </w:p>
        </w:tc>
        <w:tc>
          <w:tcPr>
            <w:tcW w:w="2860" w:type="dxa"/>
            <w:vAlign w:val="center"/>
          </w:tcPr>
          <w:p w14:paraId="5887B47A" w14:textId="77777777" w:rsidR="00D170E5" w:rsidRPr="002B55E9" w:rsidRDefault="00EF27AD">
            <w:pPr>
              <w:pStyle w:val="affff6"/>
              <w:snapToGrid w:val="0"/>
              <w:ind w:leftChars="-50" w:left="-100" w:rightChars="-50" w:right="-100"/>
              <w:rPr>
                <w:rFonts w:ascii="宋体" w:hAnsi="宋体"/>
              </w:rPr>
            </w:pPr>
            <w:r w:rsidRPr="002B55E9">
              <w:rPr>
                <w:rFonts w:ascii="宋体" w:hAnsi="宋体" w:hint="eastAsia"/>
              </w:rPr>
              <w:t>赵超</w:t>
            </w:r>
          </w:p>
        </w:tc>
        <w:tc>
          <w:tcPr>
            <w:tcW w:w="1277" w:type="dxa"/>
            <w:vMerge w:val="restart"/>
            <w:vAlign w:val="center"/>
          </w:tcPr>
          <w:p w14:paraId="69239298" w14:textId="77777777" w:rsidR="00D170E5" w:rsidRPr="002B55E9" w:rsidRDefault="00EF27AD">
            <w:pPr>
              <w:pStyle w:val="affff6"/>
              <w:snapToGrid w:val="0"/>
              <w:ind w:leftChars="-50" w:left="-100" w:rightChars="-50" w:right="-100"/>
              <w:rPr>
                <w:rFonts w:ascii="宋体" w:hAnsi="宋体"/>
              </w:rPr>
            </w:pPr>
            <w:r w:rsidRPr="002B55E9">
              <w:rPr>
                <w:rFonts w:ascii="宋体" w:hAnsi="宋体"/>
              </w:rPr>
              <w:t>联系电话</w:t>
            </w:r>
          </w:p>
        </w:tc>
        <w:tc>
          <w:tcPr>
            <w:tcW w:w="1484" w:type="dxa"/>
            <w:vMerge w:val="restart"/>
            <w:vAlign w:val="center"/>
          </w:tcPr>
          <w:p w14:paraId="14BBCF1A" w14:textId="3423F7F8" w:rsidR="00D170E5" w:rsidRPr="002B55E9" w:rsidRDefault="00EF27AD" w:rsidP="00C60999">
            <w:pPr>
              <w:pStyle w:val="affff6"/>
              <w:snapToGrid w:val="0"/>
              <w:ind w:leftChars="-50" w:left="-100" w:rightChars="-50" w:right="-100"/>
            </w:pPr>
            <w:r w:rsidRPr="002B55E9">
              <w:t>15</w:t>
            </w:r>
            <w:r w:rsidR="00C60999">
              <w:t>****</w:t>
            </w:r>
            <w:r w:rsidRPr="002B55E9">
              <w:t>915</w:t>
            </w:r>
          </w:p>
        </w:tc>
        <w:tc>
          <w:tcPr>
            <w:tcW w:w="925" w:type="dxa"/>
            <w:vMerge w:val="restart"/>
            <w:vAlign w:val="center"/>
          </w:tcPr>
          <w:p w14:paraId="0404D1EB" w14:textId="77777777" w:rsidR="00D170E5" w:rsidRPr="002B55E9" w:rsidRDefault="00EF27AD">
            <w:pPr>
              <w:pStyle w:val="affff6"/>
              <w:snapToGrid w:val="0"/>
              <w:ind w:leftChars="-50" w:left="-100" w:rightChars="-50" w:right="-100"/>
              <w:rPr>
                <w:rFonts w:ascii="宋体" w:hAnsi="宋体"/>
              </w:rPr>
            </w:pPr>
            <w:r w:rsidRPr="002B55E9">
              <w:rPr>
                <w:rFonts w:ascii="宋体" w:hAnsi="宋体"/>
              </w:rPr>
              <w:t>邮政编码</w:t>
            </w:r>
          </w:p>
        </w:tc>
        <w:tc>
          <w:tcPr>
            <w:tcW w:w="1550" w:type="dxa"/>
            <w:vMerge w:val="restart"/>
            <w:vAlign w:val="center"/>
          </w:tcPr>
          <w:p w14:paraId="47F5E40F" w14:textId="77777777" w:rsidR="00D170E5" w:rsidRPr="002B55E9" w:rsidRDefault="00EF27AD">
            <w:pPr>
              <w:pStyle w:val="affff6"/>
              <w:snapToGrid w:val="0"/>
              <w:ind w:leftChars="-50" w:left="-100" w:rightChars="-50" w:right="-100"/>
              <w:rPr>
                <w:rFonts w:ascii="宋体" w:hAnsi="宋体"/>
              </w:rPr>
            </w:pPr>
            <w:r w:rsidRPr="002B55E9">
              <w:t>430000</w:t>
            </w:r>
          </w:p>
        </w:tc>
      </w:tr>
      <w:tr w:rsidR="002B55E9" w:rsidRPr="002B55E9" w14:paraId="78FC4D16" w14:textId="77777777">
        <w:trPr>
          <w:cantSplit/>
          <w:trHeight w:val="284"/>
          <w:jc w:val="center"/>
        </w:trPr>
        <w:tc>
          <w:tcPr>
            <w:tcW w:w="1251" w:type="dxa"/>
            <w:vAlign w:val="center"/>
          </w:tcPr>
          <w:p w14:paraId="54F2A76E" w14:textId="77777777" w:rsidR="00D170E5" w:rsidRPr="002B55E9" w:rsidRDefault="00EF27AD">
            <w:pPr>
              <w:pStyle w:val="affff6"/>
              <w:snapToGrid w:val="0"/>
              <w:ind w:leftChars="-50" w:left="-100" w:rightChars="-50" w:right="-100"/>
            </w:pPr>
            <w:r w:rsidRPr="002B55E9">
              <w:t>联系人</w:t>
            </w:r>
          </w:p>
        </w:tc>
        <w:tc>
          <w:tcPr>
            <w:tcW w:w="2860" w:type="dxa"/>
            <w:vAlign w:val="center"/>
          </w:tcPr>
          <w:p w14:paraId="7C0E0BE3" w14:textId="77777777" w:rsidR="00D170E5" w:rsidRPr="002B55E9" w:rsidRDefault="00EF27AD">
            <w:pPr>
              <w:pStyle w:val="affff6"/>
              <w:snapToGrid w:val="0"/>
              <w:ind w:leftChars="-50" w:left="-100" w:rightChars="-50" w:right="-100"/>
              <w:rPr>
                <w:rFonts w:ascii="宋体" w:hAnsi="宋体"/>
              </w:rPr>
            </w:pPr>
            <w:r w:rsidRPr="002B55E9">
              <w:rPr>
                <w:rFonts w:ascii="宋体" w:hAnsi="宋体" w:hint="eastAsia"/>
              </w:rPr>
              <w:t>陈梅</w:t>
            </w:r>
          </w:p>
        </w:tc>
        <w:tc>
          <w:tcPr>
            <w:tcW w:w="1277" w:type="dxa"/>
            <w:vMerge/>
            <w:vAlign w:val="center"/>
          </w:tcPr>
          <w:p w14:paraId="41EAF701" w14:textId="77777777" w:rsidR="00D170E5" w:rsidRPr="002B55E9" w:rsidRDefault="00D170E5">
            <w:pPr>
              <w:pStyle w:val="affff6"/>
              <w:snapToGrid w:val="0"/>
              <w:ind w:leftChars="-50" w:left="-100" w:rightChars="-50" w:right="-100"/>
              <w:rPr>
                <w:rFonts w:ascii="宋体" w:hAnsi="宋体"/>
              </w:rPr>
            </w:pPr>
          </w:p>
        </w:tc>
        <w:tc>
          <w:tcPr>
            <w:tcW w:w="1484" w:type="dxa"/>
            <w:vMerge/>
            <w:vAlign w:val="center"/>
          </w:tcPr>
          <w:p w14:paraId="6E12BECC" w14:textId="77777777" w:rsidR="00D170E5" w:rsidRPr="002B55E9" w:rsidRDefault="00D170E5">
            <w:pPr>
              <w:pStyle w:val="affff6"/>
              <w:snapToGrid w:val="0"/>
              <w:ind w:leftChars="-50" w:left="-100" w:rightChars="-50" w:right="-100"/>
              <w:rPr>
                <w:rFonts w:ascii="宋体" w:hAnsi="宋体"/>
              </w:rPr>
            </w:pPr>
          </w:p>
        </w:tc>
        <w:tc>
          <w:tcPr>
            <w:tcW w:w="925" w:type="dxa"/>
            <w:vMerge/>
            <w:vAlign w:val="center"/>
          </w:tcPr>
          <w:p w14:paraId="602E855A" w14:textId="77777777" w:rsidR="00D170E5" w:rsidRPr="002B55E9" w:rsidRDefault="00D170E5">
            <w:pPr>
              <w:pStyle w:val="affff6"/>
              <w:snapToGrid w:val="0"/>
              <w:ind w:leftChars="-50" w:left="-100" w:rightChars="-50" w:right="-100"/>
              <w:rPr>
                <w:rFonts w:ascii="宋体" w:hAnsi="宋体"/>
              </w:rPr>
            </w:pPr>
          </w:p>
        </w:tc>
        <w:tc>
          <w:tcPr>
            <w:tcW w:w="1550" w:type="dxa"/>
            <w:vMerge/>
            <w:vAlign w:val="center"/>
          </w:tcPr>
          <w:p w14:paraId="73BEC79A" w14:textId="77777777" w:rsidR="00D170E5" w:rsidRPr="002B55E9" w:rsidRDefault="00D170E5">
            <w:pPr>
              <w:pStyle w:val="affff6"/>
              <w:snapToGrid w:val="0"/>
              <w:ind w:leftChars="-50" w:left="-100" w:rightChars="-50" w:right="-100"/>
              <w:rPr>
                <w:rFonts w:ascii="宋体" w:hAnsi="宋体"/>
              </w:rPr>
            </w:pPr>
          </w:p>
        </w:tc>
      </w:tr>
      <w:tr w:rsidR="002B55E9" w:rsidRPr="002B55E9" w14:paraId="726F6DF8" w14:textId="77777777">
        <w:trPr>
          <w:cantSplit/>
          <w:trHeight w:val="284"/>
          <w:jc w:val="center"/>
        </w:trPr>
        <w:tc>
          <w:tcPr>
            <w:tcW w:w="1251" w:type="dxa"/>
            <w:vAlign w:val="center"/>
          </w:tcPr>
          <w:p w14:paraId="022645CC" w14:textId="77777777" w:rsidR="00D170E5" w:rsidRPr="002B55E9" w:rsidRDefault="00EF27AD">
            <w:pPr>
              <w:pStyle w:val="affff6"/>
              <w:snapToGrid w:val="0"/>
              <w:ind w:leftChars="-50" w:left="-100" w:rightChars="-50" w:right="-100"/>
            </w:pPr>
            <w:r w:rsidRPr="002B55E9">
              <w:t>联系地址</w:t>
            </w:r>
          </w:p>
        </w:tc>
        <w:tc>
          <w:tcPr>
            <w:tcW w:w="2860" w:type="dxa"/>
            <w:tcBorders>
              <w:top w:val="nil"/>
            </w:tcBorders>
            <w:vAlign w:val="center"/>
          </w:tcPr>
          <w:p w14:paraId="11505FE1" w14:textId="77777777" w:rsidR="00D170E5" w:rsidRPr="002B55E9" w:rsidRDefault="00EF27AD">
            <w:pPr>
              <w:pStyle w:val="affff6"/>
              <w:snapToGrid w:val="0"/>
              <w:ind w:leftChars="-50" w:left="-100" w:rightChars="-50" w:right="-100"/>
              <w:rPr>
                <w:rFonts w:ascii="宋体" w:hAnsi="宋体"/>
              </w:rPr>
            </w:pPr>
            <w:r w:rsidRPr="002B55E9">
              <w:rPr>
                <w:rFonts w:hint="eastAsia"/>
              </w:rPr>
              <w:t>武汉市东西湖区革新大道以西、兴工六路以南海天</w:t>
            </w:r>
            <w:r w:rsidRPr="002B55E9">
              <w:t>项目部</w:t>
            </w:r>
          </w:p>
        </w:tc>
        <w:tc>
          <w:tcPr>
            <w:tcW w:w="1277" w:type="dxa"/>
            <w:tcBorders>
              <w:top w:val="nil"/>
            </w:tcBorders>
            <w:vAlign w:val="center"/>
          </w:tcPr>
          <w:p w14:paraId="537AFA21" w14:textId="77777777" w:rsidR="00D170E5" w:rsidRPr="002B55E9" w:rsidRDefault="00EF27AD">
            <w:pPr>
              <w:pStyle w:val="affff6"/>
              <w:snapToGrid w:val="0"/>
              <w:ind w:leftChars="-50" w:left="-100" w:rightChars="-50" w:right="-100"/>
              <w:rPr>
                <w:rFonts w:ascii="宋体" w:hAnsi="宋体"/>
              </w:rPr>
            </w:pPr>
            <w:r w:rsidRPr="002B55E9">
              <w:rPr>
                <w:rFonts w:ascii="宋体" w:hAnsi="宋体"/>
              </w:rPr>
              <w:t>建设地点</w:t>
            </w:r>
          </w:p>
        </w:tc>
        <w:tc>
          <w:tcPr>
            <w:tcW w:w="3959" w:type="dxa"/>
            <w:gridSpan w:val="3"/>
            <w:vAlign w:val="center"/>
          </w:tcPr>
          <w:p w14:paraId="2FDAA818" w14:textId="77777777" w:rsidR="00D170E5" w:rsidRPr="002B55E9" w:rsidRDefault="00EF27AD">
            <w:pPr>
              <w:pStyle w:val="affff6"/>
              <w:snapToGrid w:val="0"/>
              <w:ind w:leftChars="-50" w:left="-100" w:rightChars="-50" w:right="-100"/>
              <w:rPr>
                <w:rFonts w:ascii="宋体" w:hAnsi="宋体"/>
              </w:rPr>
            </w:pPr>
            <w:r w:rsidRPr="002B55E9">
              <w:rPr>
                <w:rFonts w:hint="eastAsia"/>
              </w:rPr>
              <w:t>武汉市东西湖区革新大道以西，兴工六路以南</w:t>
            </w:r>
          </w:p>
        </w:tc>
      </w:tr>
      <w:tr w:rsidR="002B55E9" w:rsidRPr="002B55E9" w14:paraId="37E87612" w14:textId="77777777">
        <w:trPr>
          <w:cantSplit/>
          <w:trHeight w:val="284"/>
          <w:jc w:val="center"/>
        </w:trPr>
        <w:tc>
          <w:tcPr>
            <w:tcW w:w="1251" w:type="dxa"/>
            <w:vAlign w:val="center"/>
          </w:tcPr>
          <w:p w14:paraId="37DAA759" w14:textId="77777777" w:rsidR="00D170E5" w:rsidRPr="002B55E9" w:rsidRDefault="00EF27AD">
            <w:pPr>
              <w:pStyle w:val="affff6"/>
              <w:snapToGrid w:val="0"/>
              <w:ind w:leftChars="-50" w:left="-100" w:rightChars="-50" w:right="-100"/>
            </w:pPr>
            <w:r w:rsidRPr="002B55E9">
              <w:t>主要建设内容</w:t>
            </w:r>
          </w:p>
        </w:tc>
        <w:tc>
          <w:tcPr>
            <w:tcW w:w="8096" w:type="dxa"/>
            <w:gridSpan w:val="5"/>
            <w:tcBorders>
              <w:top w:val="nil"/>
            </w:tcBorders>
            <w:vAlign w:val="center"/>
          </w:tcPr>
          <w:p w14:paraId="5A52DCAB" w14:textId="77777777" w:rsidR="00D170E5" w:rsidRPr="002B55E9" w:rsidRDefault="00EF27AD">
            <w:pPr>
              <w:pStyle w:val="affff6"/>
              <w:snapToGrid w:val="0"/>
              <w:ind w:leftChars="-50" w:left="-100" w:rightChars="-50" w:right="-100"/>
              <w:jc w:val="both"/>
            </w:pPr>
            <w:r w:rsidRPr="002B55E9">
              <w:rPr>
                <w:rFonts w:hint="eastAsia"/>
              </w:rPr>
              <w:t>新建十一车间、十三车间、罐区及配套的辅助设施，十一车间</w:t>
            </w:r>
            <w:r w:rsidRPr="002B55E9">
              <w:t>为前处理车间，主要用于料酒、食醋的</w:t>
            </w:r>
            <w:r w:rsidRPr="002B55E9">
              <w:rPr>
                <w:rFonts w:hint="eastAsia"/>
              </w:rPr>
              <w:t>生产</w:t>
            </w:r>
            <w:r w:rsidRPr="002B55E9">
              <w:t>，</w:t>
            </w:r>
            <w:r w:rsidRPr="002B55E9">
              <w:rPr>
                <w:rFonts w:hint="eastAsia"/>
              </w:rPr>
              <w:t>十三车间</w:t>
            </w:r>
            <w:r w:rsidRPr="002B55E9">
              <w:t>为灭菌</w:t>
            </w:r>
            <w:r w:rsidRPr="002B55E9">
              <w:rPr>
                <w:rFonts w:hint="eastAsia"/>
              </w:rPr>
              <w:t>灌装</w:t>
            </w:r>
            <w:r w:rsidRPr="002B55E9">
              <w:t>车间，主要用于成品的灭菌以及</w:t>
            </w:r>
            <w:r w:rsidRPr="002B55E9">
              <w:rPr>
                <w:rFonts w:hint="eastAsia"/>
              </w:rPr>
              <w:t>灌装</w:t>
            </w:r>
            <w:r w:rsidRPr="002B55E9">
              <w:t>包装等</w:t>
            </w:r>
            <w:r w:rsidRPr="002B55E9">
              <w:rPr>
                <w:rFonts w:hint="eastAsia"/>
              </w:rPr>
              <w:t>，建成后年产料酒</w:t>
            </w:r>
            <w:r w:rsidRPr="002B55E9">
              <w:rPr>
                <w:rFonts w:hint="eastAsia"/>
              </w:rPr>
              <w:t>1</w:t>
            </w:r>
            <w:r w:rsidRPr="002B55E9">
              <w:t>5</w:t>
            </w:r>
            <w:r w:rsidRPr="002B55E9">
              <w:rPr>
                <w:rFonts w:hint="eastAsia"/>
              </w:rPr>
              <w:t>万吨</w:t>
            </w:r>
            <w:r w:rsidRPr="002B55E9">
              <w:rPr>
                <w:rFonts w:hint="eastAsia"/>
              </w:rPr>
              <w:t>/</w:t>
            </w:r>
            <w:r w:rsidRPr="002B55E9">
              <w:rPr>
                <w:rFonts w:hint="eastAsia"/>
              </w:rPr>
              <w:t>年、白米醋</w:t>
            </w:r>
            <w:r w:rsidRPr="002B55E9">
              <w:rPr>
                <w:rFonts w:hint="eastAsia"/>
              </w:rPr>
              <w:t>6</w:t>
            </w:r>
            <w:r w:rsidRPr="002B55E9">
              <w:rPr>
                <w:rFonts w:hint="eastAsia"/>
              </w:rPr>
              <w:t>万吨</w:t>
            </w:r>
            <w:r w:rsidRPr="002B55E9">
              <w:rPr>
                <w:rFonts w:hint="eastAsia"/>
              </w:rPr>
              <w:t>/</w:t>
            </w:r>
            <w:r w:rsidRPr="002B55E9">
              <w:rPr>
                <w:rFonts w:hint="eastAsia"/>
              </w:rPr>
              <w:t>年、陈香醋</w:t>
            </w:r>
            <w:r w:rsidRPr="002B55E9">
              <w:rPr>
                <w:rFonts w:hint="eastAsia"/>
              </w:rPr>
              <w:t>4</w:t>
            </w:r>
            <w:r w:rsidRPr="002B55E9">
              <w:rPr>
                <w:rFonts w:hint="eastAsia"/>
              </w:rPr>
              <w:t>万吨</w:t>
            </w:r>
            <w:r w:rsidRPr="002B55E9">
              <w:t>/</w:t>
            </w:r>
            <w:r w:rsidRPr="002B55E9">
              <w:rPr>
                <w:rFonts w:hint="eastAsia"/>
              </w:rPr>
              <w:t>年。</w:t>
            </w:r>
          </w:p>
        </w:tc>
      </w:tr>
      <w:tr w:rsidR="002B55E9" w:rsidRPr="002B55E9" w14:paraId="20EA66DF" w14:textId="77777777">
        <w:trPr>
          <w:cantSplit/>
          <w:trHeight w:val="284"/>
          <w:jc w:val="center"/>
        </w:trPr>
        <w:tc>
          <w:tcPr>
            <w:tcW w:w="1251" w:type="dxa"/>
            <w:vAlign w:val="center"/>
          </w:tcPr>
          <w:p w14:paraId="6C06643B" w14:textId="77777777" w:rsidR="00D170E5" w:rsidRPr="002B55E9" w:rsidRDefault="00EF27AD">
            <w:pPr>
              <w:pStyle w:val="affff6"/>
              <w:snapToGrid w:val="0"/>
              <w:ind w:leftChars="-50" w:left="-100" w:rightChars="-50" w:right="-100"/>
            </w:pPr>
            <w:r w:rsidRPr="002B55E9">
              <w:t>生产班制和</w:t>
            </w:r>
          </w:p>
          <w:p w14:paraId="4C402784" w14:textId="77777777" w:rsidR="00D170E5" w:rsidRPr="002B55E9" w:rsidRDefault="00EF27AD">
            <w:pPr>
              <w:pStyle w:val="affff6"/>
              <w:snapToGrid w:val="0"/>
              <w:ind w:leftChars="-50" w:left="-100" w:rightChars="-50" w:right="-100"/>
            </w:pPr>
            <w:r w:rsidRPr="002B55E9">
              <w:t>职工人数</w:t>
            </w:r>
          </w:p>
        </w:tc>
        <w:tc>
          <w:tcPr>
            <w:tcW w:w="8096" w:type="dxa"/>
            <w:gridSpan w:val="5"/>
            <w:vAlign w:val="center"/>
          </w:tcPr>
          <w:p w14:paraId="5438C500" w14:textId="535B82F9" w:rsidR="00D170E5" w:rsidRPr="002B55E9" w:rsidRDefault="00EF27AD" w:rsidP="003C27EE">
            <w:pPr>
              <w:pStyle w:val="affff6"/>
              <w:snapToGrid w:val="0"/>
              <w:ind w:leftChars="-50" w:left="-100" w:rightChars="-50" w:right="-100"/>
              <w:jc w:val="both"/>
            </w:pPr>
            <w:r w:rsidRPr="002B55E9">
              <w:rPr>
                <w:rFonts w:hint="eastAsia"/>
              </w:rPr>
              <w:t>本项目劳动定员约</w:t>
            </w:r>
            <w:r w:rsidRPr="002B55E9">
              <w:rPr>
                <w:rFonts w:hint="eastAsia"/>
              </w:rPr>
              <w:t>1</w:t>
            </w:r>
            <w:r w:rsidRPr="002B55E9">
              <w:t>36</w:t>
            </w:r>
            <w:r w:rsidRPr="002B55E9">
              <w:rPr>
                <w:rFonts w:hint="eastAsia"/>
              </w:rPr>
              <w:t>人，年生产</w:t>
            </w:r>
            <w:r w:rsidRPr="002B55E9">
              <w:t>330</w:t>
            </w:r>
            <w:r w:rsidRPr="002B55E9">
              <w:rPr>
                <w:rFonts w:hint="eastAsia"/>
              </w:rPr>
              <w:t>天。</w:t>
            </w:r>
          </w:p>
        </w:tc>
      </w:tr>
      <w:tr w:rsidR="002B55E9" w:rsidRPr="002B55E9" w14:paraId="12A1AF0E" w14:textId="77777777">
        <w:trPr>
          <w:cantSplit/>
          <w:trHeight w:val="284"/>
          <w:jc w:val="center"/>
        </w:trPr>
        <w:tc>
          <w:tcPr>
            <w:tcW w:w="1251" w:type="dxa"/>
            <w:tcBorders>
              <w:top w:val="single" w:sz="4" w:space="0" w:color="auto"/>
              <w:bottom w:val="single" w:sz="12" w:space="0" w:color="auto"/>
              <w:right w:val="single" w:sz="4" w:space="0" w:color="auto"/>
            </w:tcBorders>
            <w:vAlign w:val="center"/>
          </w:tcPr>
          <w:p w14:paraId="5B7932A1" w14:textId="77777777" w:rsidR="00D170E5" w:rsidRPr="002B55E9" w:rsidRDefault="00EF27AD">
            <w:pPr>
              <w:pStyle w:val="affff6"/>
              <w:snapToGrid w:val="0"/>
              <w:ind w:leftChars="-50" w:left="-100" w:rightChars="-50" w:right="-100"/>
            </w:pPr>
            <w:r w:rsidRPr="002B55E9">
              <w:rPr>
                <w:rFonts w:hint="eastAsia"/>
              </w:rPr>
              <w:t>预计投产日期</w:t>
            </w:r>
          </w:p>
        </w:tc>
        <w:tc>
          <w:tcPr>
            <w:tcW w:w="8096" w:type="dxa"/>
            <w:gridSpan w:val="5"/>
            <w:tcBorders>
              <w:top w:val="single" w:sz="4" w:space="0" w:color="auto"/>
              <w:left w:val="single" w:sz="4" w:space="0" w:color="auto"/>
              <w:bottom w:val="single" w:sz="12" w:space="0" w:color="auto"/>
            </w:tcBorders>
            <w:vAlign w:val="center"/>
          </w:tcPr>
          <w:p w14:paraId="53983E7A" w14:textId="25D13E9B" w:rsidR="00D170E5" w:rsidRPr="002B55E9" w:rsidRDefault="00EF27AD" w:rsidP="00C60999">
            <w:pPr>
              <w:pStyle w:val="affff6"/>
              <w:snapToGrid w:val="0"/>
              <w:ind w:leftChars="-50" w:left="-100" w:rightChars="-50" w:right="-100"/>
              <w:jc w:val="both"/>
            </w:pPr>
            <w:r w:rsidRPr="002B55E9">
              <w:rPr>
                <w:rFonts w:hint="eastAsia"/>
              </w:rPr>
              <w:t>预计</w:t>
            </w:r>
            <w:r w:rsidRPr="002B55E9">
              <w:rPr>
                <w:rFonts w:hint="eastAsia"/>
              </w:rPr>
              <w:t>202</w:t>
            </w:r>
            <w:r w:rsidR="00C60999">
              <w:t>3</w:t>
            </w:r>
            <w:r w:rsidRPr="002B55E9">
              <w:rPr>
                <w:rFonts w:hint="eastAsia"/>
              </w:rPr>
              <w:t>年</w:t>
            </w:r>
            <w:r w:rsidRPr="002B55E9">
              <w:rPr>
                <w:rFonts w:hint="eastAsia"/>
              </w:rPr>
              <w:t>1</w:t>
            </w:r>
            <w:r w:rsidRPr="002B55E9">
              <w:rPr>
                <w:rFonts w:hint="eastAsia"/>
              </w:rPr>
              <w:t>月动工，建设期</w:t>
            </w:r>
            <w:r w:rsidRPr="002B55E9">
              <w:rPr>
                <w:rFonts w:hint="eastAsia"/>
              </w:rPr>
              <w:t>1</w:t>
            </w:r>
            <w:r w:rsidRPr="002B55E9">
              <w:t>2</w:t>
            </w:r>
            <w:r w:rsidRPr="002B55E9">
              <w:rPr>
                <w:rFonts w:hint="eastAsia"/>
              </w:rPr>
              <w:t>个月，</w:t>
            </w:r>
            <w:r w:rsidRPr="002B55E9">
              <w:rPr>
                <w:rFonts w:hint="eastAsia"/>
              </w:rPr>
              <w:t>202</w:t>
            </w:r>
            <w:r w:rsidRPr="002B55E9">
              <w:t>3</w:t>
            </w:r>
            <w:r w:rsidRPr="002B55E9">
              <w:rPr>
                <w:rFonts w:hint="eastAsia"/>
              </w:rPr>
              <w:t>年</w:t>
            </w:r>
            <w:r w:rsidRPr="002B55E9">
              <w:t>1</w:t>
            </w:r>
            <w:r w:rsidR="00C60999">
              <w:t>2</w:t>
            </w:r>
            <w:r w:rsidRPr="002B55E9">
              <w:rPr>
                <w:rFonts w:hint="eastAsia"/>
              </w:rPr>
              <w:t>月建成。</w:t>
            </w:r>
          </w:p>
        </w:tc>
      </w:tr>
    </w:tbl>
    <w:p w14:paraId="5FC572AB" w14:textId="77777777" w:rsidR="00D170E5" w:rsidRPr="002B55E9" w:rsidRDefault="00EF27AD">
      <w:pPr>
        <w:pStyle w:val="4"/>
        <w:numPr>
          <w:ilvl w:val="3"/>
          <w:numId w:val="16"/>
        </w:numPr>
        <w:rPr>
          <w:color w:val="auto"/>
        </w:rPr>
      </w:pPr>
      <w:r w:rsidRPr="002B55E9">
        <w:rPr>
          <w:rFonts w:hint="eastAsia"/>
          <w:color w:val="auto"/>
        </w:rPr>
        <w:t>主要建设内容及组成</w:t>
      </w:r>
    </w:p>
    <w:p w14:paraId="34CCE802" w14:textId="27A0D03F" w:rsidR="00D170E5" w:rsidRPr="002B55E9" w:rsidRDefault="00EF27AD">
      <w:pPr>
        <w:pStyle w:val="afffffffffffff4"/>
        <w:snapToGrid w:val="0"/>
        <w:spacing w:line="360" w:lineRule="auto"/>
        <w:ind w:firstLine="480"/>
      </w:pPr>
      <w:r w:rsidRPr="002B55E9">
        <w:rPr>
          <w:spacing w:val="0"/>
        </w:rPr>
        <w:t>项目主要建设内容</w:t>
      </w:r>
      <w:r w:rsidRPr="002B55E9">
        <w:rPr>
          <w:rFonts w:hint="eastAsia"/>
          <w:spacing w:val="0"/>
        </w:rPr>
        <w:t>为新建十一车间、十三车间及罐区，总建筑面积约</w:t>
      </w:r>
      <w:r w:rsidRPr="002B55E9">
        <w:rPr>
          <w:rFonts w:hint="eastAsia"/>
          <w:spacing w:val="0"/>
        </w:rPr>
        <w:t>3.2</w:t>
      </w:r>
      <w:r w:rsidRPr="002B55E9">
        <w:rPr>
          <w:rFonts w:hint="eastAsia"/>
          <w:spacing w:val="0"/>
        </w:rPr>
        <w:t>万</w:t>
      </w:r>
      <w:r w:rsidRPr="002B55E9">
        <w:rPr>
          <w:spacing w:val="0"/>
        </w:rPr>
        <w:t>m</w:t>
      </w:r>
      <w:r w:rsidRPr="002B55E9">
        <w:rPr>
          <w:spacing w:val="0"/>
          <w:vertAlign w:val="superscript"/>
        </w:rPr>
        <w:t>2</w:t>
      </w:r>
      <w:r w:rsidRPr="002B55E9">
        <w:rPr>
          <w:rFonts w:hint="eastAsia"/>
          <w:spacing w:val="0"/>
        </w:rPr>
        <w:t>，十三车间</w:t>
      </w:r>
      <w:r w:rsidRPr="002B55E9">
        <w:t>为前处理车间</w:t>
      </w:r>
      <w:r w:rsidRPr="002B55E9">
        <w:rPr>
          <w:rFonts w:hint="eastAsia"/>
        </w:rPr>
        <w:t>，</w:t>
      </w:r>
      <w:r w:rsidRPr="002B55E9">
        <w:rPr>
          <w:rFonts w:hint="eastAsia"/>
          <w:spacing w:val="0"/>
        </w:rPr>
        <w:t>用于料酒、食醋的生产；十一车间为</w:t>
      </w:r>
      <w:r w:rsidR="005D3EDA">
        <w:rPr>
          <w:rFonts w:hint="eastAsia"/>
          <w:spacing w:val="0"/>
        </w:rPr>
        <w:t>包装</w:t>
      </w:r>
      <w:r w:rsidRPr="002B55E9">
        <w:rPr>
          <w:rFonts w:hint="eastAsia"/>
          <w:spacing w:val="0"/>
        </w:rPr>
        <w:t>车间，，主要用于包装等；罐区用于</w:t>
      </w:r>
      <w:r w:rsidRPr="002B55E9">
        <w:rPr>
          <w:spacing w:val="0"/>
        </w:rPr>
        <w:t>乙醇</w:t>
      </w:r>
      <w:r w:rsidRPr="002B55E9">
        <w:rPr>
          <w:rFonts w:hint="eastAsia"/>
          <w:spacing w:val="0"/>
        </w:rPr>
        <w:t>、醋胚等液态物料的暂存，项目建成后年产料酒</w:t>
      </w:r>
      <w:r w:rsidRPr="002B55E9">
        <w:rPr>
          <w:rFonts w:hint="eastAsia"/>
          <w:spacing w:val="0"/>
        </w:rPr>
        <w:t>1</w:t>
      </w:r>
      <w:r w:rsidRPr="002B55E9">
        <w:rPr>
          <w:spacing w:val="0"/>
        </w:rPr>
        <w:t>5</w:t>
      </w:r>
      <w:r w:rsidRPr="002B55E9">
        <w:rPr>
          <w:rFonts w:hint="eastAsia"/>
          <w:spacing w:val="0"/>
        </w:rPr>
        <w:t>万吨</w:t>
      </w:r>
      <w:r w:rsidRPr="002B55E9">
        <w:rPr>
          <w:rFonts w:hint="eastAsia"/>
          <w:spacing w:val="0"/>
        </w:rPr>
        <w:t>/</w:t>
      </w:r>
      <w:r w:rsidRPr="002B55E9">
        <w:rPr>
          <w:rFonts w:hint="eastAsia"/>
          <w:spacing w:val="0"/>
        </w:rPr>
        <w:t>年、白米醋</w:t>
      </w:r>
      <w:r w:rsidRPr="002B55E9">
        <w:rPr>
          <w:rFonts w:hint="eastAsia"/>
          <w:spacing w:val="0"/>
        </w:rPr>
        <w:t>6</w:t>
      </w:r>
      <w:r w:rsidRPr="002B55E9">
        <w:rPr>
          <w:rFonts w:hint="eastAsia"/>
          <w:spacing w:val="0"/>
        </w:rPr>
        <w:t>万吨</w:t>
      </w:r>
      <w:r w:rsidRPr="002B55E9">
        <w:rPr>
          <w:rFonts w:hint="eastAsia"/>
          <w:spacing w:val="0"/>
        </w:rPr>
        <w:t>/</w:t>
      </w:r>
      <w:r w:rsidRPr="002B55E9">
        <w:rPr>
          <w:rFonts w:hint="eastAsia"/>
          <w:spacing w:val="0"/>
        </w:rPr>
        <w:t>年、陈香醋</w:t>
      </w:r>
      <w:r w:rsidRPr="002B55E9">
        <w:rPr>
          <w:rFonts w:hint="eastAsia"/>
          <w:spacing w:val="0"/>
        </w:rPr>
        <w:t>4</w:t>
      </w:r>
      <w:r w:rsidRPr="002B55E9">
        <w:rPr>
          <w:rFonts w:hint="eastAsia"/>
          <w:spacing w:val="0"/>
        </w:rPr>
        <w:t>万吨</w:t>
      </w:r>
      <w:r w:rsidRPr="002B55E9">
        <w:rPr>
          <w:rFonts w:hint="eastAsia"/>
          <w:spacing w:val="0"/>
        </w:rPr>
        <w:t>/</w:t>
      </w:r>
      <w:r w:rsidRPr="002B55E9">
        <w:rPr>
          <w:rFonts w:hint="eastAsia"/>
          <w:spacing w:val="0"/>
        </w:rPr>
        <w:t>年。</w:t>
      </w:r>
    </w:p>
    <w:p w14:paraId="33ED5F0E" w14:textId="77777777" w:rsidR="00D170E5" w:rsidRPr="002B55E9" w:rsidRDefault="00EF27AD">
      <w:pPr>
        <w:pStyle w:val="afffffffffffff4"/>
        <w:snapToGrid w:val="0"/>
        <w:spacing w:line="360" w:lineRule="auto"/>
        <w:ind w:firstLine="480"/>
        <w:rPr>
          <w:spacing w:val="0"/>
        </w:rPr>
      </w:pPr>
      <w:r w:rsidRPr="002B55E9">
        <w:rPr>
          <w:spacing w:val="0"/>
        </w:rPr>
        <w:t>拟建项目组成情况详见下表所示：</w:t>
      </w:r>
    </w:p>
    <w:p w14:paraId="34647D1E" w14:textId="77777777" w:rsidR="00D170E5" w:rsidRPr="002B55E9" w:rsidRDefault="00EF27AD">
      <w:pPr>
        <w:pStyle w:val="1f3"/>
        <w:snapToGrid w:val="0"/>
        <w:spacing w:beforeLines="0" w:before="0"/>
      </w:pPr>
      <w:r w:rsidRPr="002B55E9">
        <w:t>表</w:t>
      </w:r>
      <w:r w:rsidRPr="002B55E9">
        <w:rPr>
          <w:rFonts w:hint="eastAsia"/>
        </w:rPr>
        <w:t>2</w:t>
      </w:r>
      <w:r w:rsidRPr="002B55E9">
        <w:t>-1-</w:t>
      </w:r>
      <w:r w:rsidRPr="002B55E9">
        <w:rPr>
          <w:rFonts w:hint="eastAsia"/>
        </w:rPr>
        <w:t>2</w:t>
      </w:r>
      <w:r w:rsidRPr="002B55E9">
        <w:t xml:space="preserve">  </w:t>
      </w:r>
      <w:r w:rsidRPr="002B55E9">
        <w:t>拟建项目组成一览表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6"/>
        <w:gridCol w:w="361"/>
        <w:gridCol w:w="1015"/>
        <w:gridCol w:w="6462"/>
        <w:gridCol w:w="1274"/>
      </w:tblGrid>
      <w:tr w:rsidR="002B55E9" w:rsidRPr="002B55E9" w14:paraId="3A3BB39C" w14:textId="77777777" w:rsidTr="00DA7812">
        <w:trPr>
          <w:trHeight w:val="284"/>
          <w:tblHeader/>
          <w:jc w:val="center"/>
        </w:trPr>
        <w:tc>
          <w:tcPr>
            <w:tcW w:w="1902" w:type="dxa"/>
            <w:gridSpan w:val="3"/>
            <w:tcBorders>
              <w:top w:val="single" w:sz="12" w:space="0" w:color="auto"/>
              <w:bottom w:val="single" w:sz="12" w:space="0" w:color="auto"/>
            </w:tcBorders>
            <w:vAlign w:val="center"/>
          </w:tcPr>
          <w:p w14:paraId="0E20CA5C" w14:textId="3199C88B" w:rsidR="00D170E5" w:rsidRPr="002B55E9" w:rsidRDefault="00EF27AD">
            <w:pPr>
              <w:pStyle w:val="1f3"/>
              <w:adjustRightInd w:val="0"/>
              <w:snapToGrid w:val="0"/>
              <w:spacing w:beforeLines="0" w:before="0"/>
              <w:rPr>
                <w:rFonts w:ascii="宋体" w:eastAsia="宋体" w:hAnsi="宋体"/>
                <w:b w:val="0"/>
                <w:bCs/>
                <w:sz w:val="18"/>
                <w:szCs w:val="18"/>
              </w:rPr>
            </w:pPr>
            <w:r w:rsidRPr="002B55E9">
              <w:rPr>
                <w:rFonts w:ascii="宋体" w:eastAsia="宋体" w:hAnsi="宋体" w:hint="eastAsia"/>
                <w:b w:val="0"/>
                <w:bCs/>
                <w:sz w:val="18"/>
                <w:szCs w:val="18"/>
              </w:rPr>
              <w:t>项目</w:t>
            </w:r>
            <w:r w:rsidR="00DC785B" w:rsidRPr="002B55E9">
              <w:rPr>
                <w:rFonts w:ascii="宋体" w:eastAsia="宋体" w:hAnsi="宋体" w:hint="eastAsia"/>
                <w:b w:val="0"/>
                <w:bCs/>
                <w:sz w:val="18"/>
                <w:szCs w:val="18"/>
              </w:rPr>
              <w:t>类别</w:t>
            </w:r>
          </w:p>
        </w:tc>
        <w:tc>
          <w:tcPr>
            <w:tcW w:w="6462" w:type="dxa"/>
            <w:tcBorders>
              <w:top w:val="single" w:sz="12" w:space="0" w:color="auto"/>
              <w:bottom w:val="single" w:sz="12" w:space="0" w:color="auto"/>
            </w:tcBorders>
            <w:vAlign w:val="center"/>
          </w:tcPr>
          <w:p w14:paraId="1AFFD276" w14:textId="77777777" w:rsidR="00D170E5" w:rsidRPr="002B55E9" w:rsidRDefault="00EF27AD">
            <w:pPr>
              <w:pStyle w:val="1f3"/>
              <w:adjustRightInd w:val="0"/>
              <w:snapToGrid w:val="0"/>
              <w:spacing w:beforeLines="0" w:before="0"/>
              <w:rPr>
                <w:rFonts w:ascii="宋体" w:eastAsia="宋体" w:hAnsi="宋体"/>
                <w:b w:val="0"/>
                <w:bCs/>
                <w:sz w:val="18"/>
                <w:szCs w:val="18"/>
              </w:rPr>
            </w:pPr>
            <w:r w:rsidRPr="002B55E9">
              <w:rPr>
                <w:rFonts w:ascii="宋体" w:eastAsia="宋体" w:hAnsi="宋体"/>
                <w:b w:val="0"/>
                <w:bCs/>
                <w:sz w:val="18"/>
                <w:szCs w:val="18"/>
              </w:rPr>
              <w:t>内容</w:t>
            </w:r>
          </w:p>
        </w:tc>
        <w:tc>
          <w:tcPr>
            <w:tcW w:w="1274" w:type="dxa"/>
            <w:tcBorders>
              <w:top w:val="single" w:sz="12" w:space="0" w:color="auto"/>
              <w:bottom w:val="single" w:sz="12" w:space="0" w:color="auto"/>
            </w:tcBorders>
            <w:vAlign w:val="center"/>
          </w:tcPr>
          <w:p w14:paraId="6339C4B1" w14:textId="77777777" w:rsidR="00D170E5" w:rsidRPr="002B55E9" w:rsidRDefault="00EF27AD">
            <w:pPr>
              <w:pStyle w:val="1f3"/>
              <w:adjustRightInd w:val="0"/>
              <w:snapToGrid w:val="0"/>
              <w:spacing w:beforeLines="0" w:before="0"/>
              <w:rPr>
                <w:rFonts w:ascii="宋体" w:eastAsia="宋体" w:hAnsi="宋体"/>
                <w:b w:val="0"/>
                <w:bCs/>
                <w:sz w:val="18"/>
                <w:szCs w:val="18"/>
              </w:rPr>
            </w:pPr>
            <w:r w:rsidRPr="002B55E9">
              <w:rPr>
                <w:rFonts w:ascii="宋体" w:eastAsia="宋体" w:hAnsi="宋体" w:hint="eastAsia"/>
                <w:b w:val="0"/>
                <w:bCs/>
                <w:sz w:val="18"/>
                <w:szCs w:val="18"/>
              </w:rPr>
              <w:t>备注</w:t>
            </w:r>
          </w:p>
        </w:tc>
      </w:tr>
      <w:tr w:rsidR="002B55E9" w:rsidRPr="002B55E9" w14:paraId="58C100C8" w14:textId="77777777">
        <w:trPr>
          <w:trHeight w:val="284"/>
          <w:jc w:val="center"/>
        </w:trPr>
        <w:tc>
          <w:tcPr>
            <w:tcW w:w="526" w:type="dxa"/>
            <w:vMerge w:val="restart"/>
            <w:vAlign w:val="center"/>
          </w:tcPr>
          <w:p w14:paraId="1F66446F"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主体工程</w:t>
            </w:r>
          </w:p>
        </w:tc>
        <w:tc>
          <w:tcPr>
            <w:tcW w:w="361" w:type="dxa"/>
            <w:vAlign w:val="center"/>
          </w:tcPr>
          <w:p w14:paraId="315C2B38"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1</w:t>
            </w:r>
          </w:p>
        </w:tc>
        <w:tc>
          <w:tcPr>
            <w:tcW w:w="1015" w:type="dxa"/>
            <w:vAlign w:val="center"/>
          </w:tcPr>
          <w:p w14:paraId="37F2D577" w14:textId="77777777" w:rsidR="00D170E5" w:rsidRPr="002B55E9" w:rsidRDefault="00EF27AD">
            <w:pPr>
              <w:pStyle w:val="affff6"/>
              <w:adjustRightInd w:val="0"/>
              <w:snapToGrid w:val="0"/>
            </w:pPr>
            <w:r w:rsidRPr="002B55E9">
              <w:rPr>
                <w:rFonts w:hint="eastAsia"/>
              </w:rPr>
              <w:t>十一车间</w:t>
            </w:r>
          </w:p>
        </w:tc>
        <w:tc>
          <w:tcPr>
            <w:tcW w:w="6462" w:type="dxa"/>
            <w:vAlign w:val="center"/>
          </w:tcPr>
          <w:p w14:paraId="79F41310" w14:textId="3BB54B7E" w:rsidR="00D170E5" w:rsidRPr="002B55E9" w:rsidRDefault="00EF27AD" w:rsidP="005D3EDA">
            <w:pPr>
              <w:pStyle w:val="affff6"/>
              <w:adjustRightInd w:val="0"/>
              <w:snapToGrid w:val="0"/>
              <w:jc w:val="left"/>
            </w:pPr>
            <w:r w:rsidRPr="002B55E9">
              <w:rPr>
                <w:rFonts w:hint="eastAsia"/>
              </w:rPr>
              <w:t>灌装包装</w:t>
            </w:r>
            <w:r w:rsidRPr="002B55E9">
              <w:t>车间</w:t>
            </w:r>
            <w:r w:rsidRPr="002B55E9">
              <w:rPr>
                <w:rFonts w:hint="eastAsia"/>
              </w:rPr>
              <w:t>，主体</w:t>
            </w:r>
            <w:r w:rsidRPr="002B55E9">
              <w:t>一层，</w:t>
            </w:r>
            <w:r w:rsidRPr="002B55E9">
              <w:rPr>
                <w:rFonts w:hint="eastAsia"/>
              </w:rPr>
              <w:t>东</w:t>
            </w:r>
            <w:r w:rsidRPr="002B55E9">
              <w:t>侧局部</w:t>
            </w:r>
            <w:r w:rsidRPr="002B55E9">
              <w:rPr>
                <w:rFonts w:hint="eastAsia"/>
              </w:rPr>
              <w:t>二</w:t>
            </w:r>
            <w:r w:rsidRPr="002B55E9">
              <w:t>层</w:t>
            </w:r>
            <w:r w:rsidRPr="002B55E9">
              <w:rPr>
                <w:rFonts w:hint="eastAsia"/>
              </w:rPr>
              <w:t>，</w:t>
            </w:r>
            <w:r w:rsidRPr="002B55E9">
              <w:t>西侧局部三层，</w:t>
            </w:r>
            <w:r w:rsidRPr="002B55E9">
              <w:rPr>
                <w:rFonts w:hint="eastAsia"/>
              </w:rPr>
              <w:t>总建筑面积</w:t>
            </w:r>
            <w:r w:rsidRPr="002B55E9">
              <w:t>20039.78m</w:t>
            </w:r>
            <w:r w:rsidRPr="002B55E9">
              <w:rPr>
                <w:vertAlign w:val="superscript"/>
              </w:rPr>
              <w:t>2</w:t>
            </w:r>
            <w:r w:rsidRPr="002B55E9">
              <w:rPr>
                <w:rFonts w:hint="eastAsia"/>
              </w:rPr>
              <w:t>，</w:t>
            </w:r>
            <w:r w:rsidR="005D3EDA" w:rsidRPr="002B55E9" w:rsidDel="005D3EDA">
              <w:rPr>
                <w:rFonts w:hint="eastAsia"/>
              </w:rPr>
              <w:t xml:space="preserve"> </w:t>
            </w:r>
          </w:p>
        </w:tc>
        <w:tc>
          <w:tcPr>
            <w:tcW w:w="1274" w:type="dxa"/>
            <w:vAlign w:val="center"/>
          </w:tcPr>
          <w:p w14:paraId="238C4F0A" w14:textId="77777777" w:rsidR="00D170E5" w:rsidRPr="002B55E9" w:rsidRDefault="00EF27AD">
            <w:pPr>
              <w:pStyle w:val="affff6"/>
              <w:adjustRightInd w:val="0"/>
              <w:snapToGrid w:val="0"/>
            </w:pPr>
            <w:r w:rsidRPr="002B55E9">
              <w:rPr>
                <w:rFonts w:hint="eastAsia"/>
              </w:rPr>
              <w:t>新建</w:t>
            </w:r>
          </w:p>
        </w:tc>
      </w:tr>
      <w:tr w:rsidR="002B55E9" w:rsidRPr="002B55E9" w14:paraId="1A53C82C" w14:textId="77777777">
        <w:trPr>
          <w:trHeight w:val="284"/>
          <w:jc w:val="center"/>
        </w:trPr>
        <w:tc>
          <w:tcPr>
            <w:tcW w:w="526" w:type="dxa"/>
            <w:vMerge/>
            <w:vAlign w:val="center"/>
          </w:tcPr>
          <w:p w14:paraId="7F47E3CD"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03FB25F0"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2</w:t>
            </w:r>
          </w:p>
        </w:tc>
        <w:tc>
          <w:tcPr>
            <w:tcW w:w="1015" w:type="dxa"/>
            <w:vAlign w:val="center"/>
          </w:tcPr>
          <w:p w14:paraId="54EB2268" w14:textId="77777777" w:rsidR="00D170E5" w:rsidRPr="002B55E9" w:rsidRDefault="00EF27AD">
            <w:pPr>
              <w:pStyle w:val="affff6"/>
              <w:adjustRightInd w:val="0"/>
              <w:snapToGrid w:val="0"/>
            </w:pPr>
            <w:r w:rsidRPr="002B55E9">
              <w:rPr>
                <w:rFonts w:hint="eastAsia"/>
              </w:rPr>
              <w:t>十三车间</w:t>
            </w:r>
          </w:p>
        </w:tc>
        <w:tc>
          <w:tcPr>
            <w:tcW w:w="6462" w:type="dxa"/>
            <w:vAlign w:val="center"/>
          </w:tcPr>
          <w:p w14:paraId="5B93CECA" w14:textId="1DFC4F3D" w:rsidR="00D170E5" w:rsidRPr="002B55E9" w:rsidRDefault="00EF27AD" w:rsidP="005D3EDA">
            <w:pPr>
              <w:pStyle w:val="affff6"/>
              <w:adjustRightInd w:val="0"/>
              <w:snapToGrid w:val="0"/>
              <w:jc w:val="left"/>
            </w:pPr>
            <w:r w:rsidRPr="002B55E9">
              <w:rPr>
                <w:rFonts w:hint="eastAsia"/>
              </w:rPr>
              <w:t>前处理</w:t>
            </w:r>
            <w:r w:rsidRPr="002B55E9">
              <w:t>车间</w:t>
            </w:r>
            <w:r w:rsidRPr="002B55E9">
              <w:rPr>
                <w:rFonts w:hint="eastAsia"/>
              </w:rPr>
              <w:t>，主体一层</w:t>
            </w:r>
            <w:r w:rsidRPr="002B55E9">
              <w:t>，</w:t>
            </w:r>
            <w:r w:rsidRPr="002B55E9">
              <w:rPr>
                <w:rFonts w:hint="eastAsia"/>
              </w:rPr>
              <w:t>中间</w:t>
            </w:r>
            <w:r w:rsidRPr="002B55E9">
              <w:t>局部三层</w:t>
            </w:r>
            <w:r w:rsidRPr="002B55E9">
              <w:rPr>
                <w:rFonts w:hint="eastAsia"/>
              </w:rPr>
              <w:t>厂房，建筑面积</w:t>
            </w:r>
            <w:r w:rsidRPr="002B55E9">
              <w:t>9655.21m</w:t>
            </w:r>
            <w:r w:rsidRPr="002B55E9">
              <w:rPr>
                <w:vertAlign w:val="superscript"/>
              </w:rPr>
              <w:t>2</w:t>
            </w:r>
            <w:r w:rsidRPr="002B55E9">
              <w:rPr>
                <w:rFonts w:hint="eastAsia"/>
              </w:rPr>
              <w:t>，</w:t>
            </w:r>
            <w:r w:rsidR="005D3EDA" w:rsidRPr="002B55E9" w:rsidDel="005D3EDA">
              <w:rPr>
                <w:rFonts w:hint="eastAsia"/>
              </w:rPr>
              <w:t xml:space="preserve"> </w:t>
            </w:r>
          </w:p>
        </w:tc>
        <w:tc>
          <w:tcPr>
            <w:tcW w:w="1274" w:type="dxa"/>
            <w:vAlign w:val="center"/>
          </w:tcPr>
          <w:p w14:paraId="50710182" w14:textId="77777777" w:rsidR="00D170E5" w:rsidRPr="002B55E9" w:rsidRDefault="00EF27AD">
            <w:pPr>
              <w:pStyle w:val="affff6"/>
              <w:adjustRightInd w:val="0"/>
              <w:snapToGrid w:val="0"/>
            </w:pPr>
            <w:r w:rsidRPr="002B55E9">
              <w:rPr>
                <w:rFonts w:hint="eastAsia"/>
              </w:rPr>
              <w:t>新建</w:t>
            </w:r>
          </w:p>
        </w:tc>
      </w:tr>
      <w:tr w:rsidR="002B55E9" w:rsidRPr="002B55E9" w14:paraId="226BA979" w14:textId="77777777">
        <w:trPr>
          <w:trHeight w:val="284"/>
          <w:jc w:val="center"/>
        </w:trPr>
        <w:tc>
          <w:tcPr>
            <w:tcW w:w="526" w:type="dxa"/>
            <w:vMerge w:val="restart"/>
            <w:vAlign w:val="center"/>
          </w:tcPr>
          <w:p w14:paraId="1B3301B3"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储运系统</w:t>
            </w:r>
          </w:p>
        </w:tc>
        <w:tc>
          <w:tcPr>
            <w:tcW w:w="361" w:type="dxa"/>
            <w:vAlign w:val="center"/>
          </w:tcPr>
          <w:p w14:paraId="0ED4EEF8"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1</w:t>
            </w:r>
          </w:p>
        </w:tc>
        <w:tc>
          <w:tcPr>
            <w:tcW w:w="1015" w:type="dxa"/>
            <w:vAlign w:val="center"/>
          </w:tcPr>
          <w:p w14:paraId="19E069C0" w14:textId="77777777" w:rsidR="00D170E5" w:rsidRPr="002B55E9" w:rsidRDefault="00EF27AD">
            <w:pPr>
              <w:pStyle w:val="affff6"/>
              <w:adjustRightInd w:val="0"/>
              <w:snapToGrid w:val="0"/>
            </w:pPr>
            <w:r w:rsidRPr="002B55E9">
              <w:rPr>
                <w:rFonts w:hint="eastAsia"/>
              </w:rPr>
              <w:t>罐区三</w:t>
            </w:r>
          </w:p>
        </w:tc>
        <w:tc>
          <w:tcPr>
            <w:tcW w:w="6462" w:type="dxa"/>
            <w:vAlign w:val="center"/>
          </w:tcPr>
          <w:p w14:paraId="5145B36E" w14:textId="3ED1A9FC" w:rsidR="00D170E5" w:rsidRPr="002B55E9" w:rsidRDefault="00EF27AD" w:rsidP="005D3EDA">
            <w:pPr>
              <w:pStyle w:val="affff6"/>
              <w:adjustRightInd w:val="0"/>
              <w:snapToGrid w:val="0"/>
              <w:jc w:val="both"/>
            </w:pPr>
            <w:r w:rsidRPr="002B55E9">
              <w:t>厂区</w:t>
            </w:r>
            <w:r w:rsidRPr="002B55E9">
              <w:rPr>
                <w:rFonts w:hint="eastAsia"/>
              </w:rPr>
              <w:t>西侧</w:t>
            </w:r>
            <w:r w:rsidRPr="002B55E9">
              <w:t>设置罐区</w:t>
            </w:r>
            <w:r w:rsidRPr="002B55E9">
              <w:rPr>
                <w:rFonts w:hint="eastAsia"/>
              </w:rPr>
              <w:t>三，占地面积</w:t>
            </w:r>
            <w:r w:rsidRPr="002B55E9">
              <w:rPr>
                <w:rFonts w:hint="eastAsia"/>
              </w:rPr>
              <w:t>1</w:t>
            </w:r>
            <w:r w:rsidRPr="002B55E9">
              <w:t>879.5</w:t>
            </w:r>
            <w:r w:rsidRPr="002B55E9">
              <w:rPr>
                <w:rFonts w:hint="eastAsia"/>
              </w:rPr>
              <w:t>m</w:t>
            </w:r>
            <w:r w:rsidRPr="002B55E9">
              <w:rPr>
                <w:vertAlign w:val="superscript"/>
              </w:rPr>
              <w:t>2</w:t>
            </w:r>
            <w:r w:rsidRPr="002B55E9">
              <w:rPr>
                <w:rFonts w:hint="eastAsia"/>
              </w:rPr>
              <w:t>，设有</w:t>
            </w:r>
            <w:r w:rsidRPr="002B55E9">
              <w:rPr>
                <w:rFonts w:hint="eastAsia"/>
              </w:rPr>
              <w:t>3</w:t>
            </w:r>
            <w:r w:rsidRPr="002B55E9">
              <w:t>7</w:t>
            </w:r>
            <w:r w:rsidRPr="002B55E9">
              <w:rPr>
                <w:rFonts w:hint="eastAsia"/>
              </w:rPr>
              <w:t>个储罐，</w:t>
            </w:r>
            <w:r w:rsidR="005D3EDA" w:rsidRPr="002B55E9" w:rsidDel="005D3EDA">
              <w:t xml:space="preserve"> </w:t>
            </w:r>
          </w:p>
        </w:tc>
        <w:tc>
          <w:tcPr>
            <w:tcW w:w="1274" w:type="dxa"/>
            <w:vAlign w:val="center"/>
          </w:tcPr>
          <w:p w14:paraId="7A016424" w14:textId="77777777" w:rsidR="00D170E5" w:rsidRPr="002B55E9" w:rsidRDefault="00EF27AD">
            <w:pPr>
              <w:pStyle w:val="affff6"/>
              <w:adjustRightInd w:val="0"/>
              <w:snapToGrid w:val="0"/>
            </w:pPr>
            <w:r w:rsidRPr="002B55E9">
              <w:rPr>
                <w:rFonts w:hint="eastAsia"/>
              </w:rPr>
              <w:t>新建</w:t>
            </w:r>
          </w:p>
        </w:tc>
      </w:tr>
      <w:tr w:rsidR="002B55E9" w:rsidRPr="002B55E9" w14:paraId="3F303FB0" w14:textId="77777777">
        <w:trPr>
          <w:trHeight w:val="284"/>
          <w:jc w:val="center"/>
        </w:trPr>
        <w:tc>
          <w:tcPr>
            <w:tcW w:w="526" w:type="dxa"/>
            <w:vMerge/>
            <w:vAlign w:val="center"/>
          </w:tcPr>
          <w:p w14:paraId="17514C1E"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24E1E77A"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2</w:t>
            </w:r>
          </w:p>
        </w:tc>
        <w:tc>
          <w:tcPr>
            <w:tcW w:w="1015" w:type="dxa"/>
            <w:vAlign w:val="center"/>
          </w:tcPr>
          <w:p w14:paraId="0979FF3A" w14:textId="77777777" w:rsidR="00D170E5" w:rsidRPr="002B55E9" w:rsidRDefault="00EF27AD">
            <w:pPr>
              <w:pStyle w:val="affff6"/>
              <w:adjustRightInd w:val="0"/>
              <w:snapToGrid w:val="0"/>
            </w:pPr>
            <w:r w:rsidRPr="002B55E9">
              <w:rPr>
                <w:rFonts w:hint="eastAsia"/>
              </w:rPr>
              <w:t>酒精</w:t>
            </w:r>
            <w:r w:rsidRPr="002B55E9">
              <w:t>罐</w:t>
            </w:r>
            <w:r w:rsidRPr="002B55E9">
              <w:rPr>
                <w:rFonts w:hint="eastAsia"/>
              </w:rPr>
              <w:t>区</w:t>
            </w:r>
          </w:p>
        </w:tc>
        <w:tc>
          <w:tcPr>
            <w:tcW w:w="6462" w:type="dxa"/>
            <w:vAlign w:val="center"/>
          </w:tcPr>
          <w:p w14:paraId="2841079F" w14:textId="7236B45C" w:rsidR="00D170E5" w:rsidRPr="002B55E9" w:rsidRDefault="00EF27AD" w:rsidP="005D3EDA">
            <w:pPr>
              <w:pStyle w:val="affff6"/>
              <w:adjustRightInd w:val="0"/>
              <w:snapToGrid w:val="0"/>
              <w:jc w:val="left"/>
            </w:pPr>
            <w:r w:rsidRPr="002B55E9">
              <w:rPr>
                <w:rFonts w:hint="eastAsia"/>
              </w:rPr>
              <w:t>厂区西北角设置酒精</w:t>
            </w:r>
            <w:r w:rsidRPr="002B55E9">
              <w:t>罐区</w:t>
            </w:r>
            <w:r w:rsidRPr="002B55E9">
              <w:rPr>
                <w:rFonts w:hint="eastAsia"/>
              </w:rPr>
              <w:t>，占地面积</w:t>
            </w:r>
            <w:r w:rsidRPr="002B55E9">
              <w:rPr>
                <w:rFonts w:hint="eastAsia"/>
              </w:rPr>
              <w:t>7</w:t>
            </w:r>
            <w:r w:rsidRPr="002B55E9">
              <w:t>12.89</w:t>
            </w:r>
            <w:r w:rsidRPr="002B55E9">
              <w:rPr>
                <w:rFonts w:hint="eastAsia"/>
              </w:rPr>
              <w:t xml:space="preserve"> m</w:t>
            </w:r>
            <w:r w:rsidRPr="002B55E9">
              <w:rPr>
                <w:vertAlign w:val="superscript"/>
              </w:rPr>
              <w:t>2</w:t>
            </w:r>
            <w:r w:rsidRPr="002B55E9">
              <w:rPr>
                <w:rFonts w:hint="eastAsia"/>
              </w:rPr>
              <w:t>，设有</w:t>
            </w:r>
            <w:r w:rsidRPr="002B55E9">
              <w:rPr>
                <w:rFonts w:hint="eastAsia"/>
              </w:rPr>
              <w:t>4</w:t>
            </w:r>
            <w:r w:rsidRPr="002B55E9">
              <w:rPr>
                <w:rFonts w:hint="eastAsia"/>
              </w:rPr>
              <w:t>个</w:t>
            </w:r>
            <w:r w:rsidRPr="002B55E9">
              <w:rPr>
                <w:rFonts w:hint="eastAsia"/>
              </w:rPr>
              <w:t>260</w:t>
            </w:r>
            <w:r w:rsidRPr="002B55E9">
              <w:t>m</w:t>
            </w:r>
            <w:r w:rsidRPr="002B55E9">
              <w:rPr>
                <w:vertAlign w:val="superscript"/>
              </w:rPr>
              <w:t>3</w:t>
            </w:r>
            <w:r w:rsidRPr="002B55E9">
              <w:rPr>
                <w:rFonts w:hint="eastAsia"/>
              </w:rPr>
              <w:t>的</w:t>
            </w:r>
            <w:r w:rsidRPr="002B55E9">
              <w:t>内浮顶罐</w:t>
            </w:r>
            <w:r w:rsidRPr="002B55E9">
              <w:rPr>
                <w:rFonts w:hint="eastAsia"/>
              </w:rPr>
              <w:t>用于</w:t>
            </w:r>
            <w:r w:rsidRPr="002B55E9">
              <w:rPr>
                <w:rFonts w:hint="eastAsia"/>
              </w:rPr>
              <w:t>3</w:t>
            </w:r>
            <w:r w:rsidRPr="002B55E9">
              <w:t>0%</w:t>
            </w:r>
            <w:r w:rsidRPr="002B55E9">
              <w:rPr>
                <w:rFonts w:hint="eastAsia"/>
              </w:rPr>
              <w:t>的乙醇储存。</w:t>
            </w:r>
          </w:p>
        </w:tc>
        <w:tc>
          <w:tcPr>
            <w:tcW w:w="1274" w:type="dxa"/>
            <w:vAlign w:val="center"/>
          </w:tcPr>
          <w:p w14:paraId="61CE3766" w14:textId="77777777" w:rsidR="00D170E5" w:rsidRPr="002B55E9" w:rsidRDefault="00EF27AD">
            <w:pPr>
              <w:pStyle w:val="affff6"/>
              <w:adjustRightInd w:val="0"/>
              <w:snapToGrid w:val="0"/>
            </w:pPr>
            <w:r w:rsidRPr="002B55E9">
              <w:rPr>
                <w:rFonts w:hint="eastAsia"/>
              </w:rPr>
              <w:t>新建</w:t>
            </w:r>
          </w:p>
        </w:tc>
      </w:tr>
      <w:tr w:rsidR="002B55E9" w:rsidRPr="002B55E9" w14:paraId="49578945" w14:textId="77777777">
        <w:trPr>
          <w:trHeight w:val="284"/>
          <w:jc w:val="center"/>
        </w:trPr>
        <w:tc>
          <w:tcPr>
            <w:tcW w:w="526" w:type="dxa"/>
            <w:vMerge/>
            <w:vAlign w:val="center"/>
          </w:tcPr>
          <w:p w14:paraId="3908118A"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0595A35E"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3</w:t>
            </w:r>
          </w:p>
        </w:tc>
        <w:tc>
          <w:tcPr>
            <w:tcW w:w="1015" w:type="dxa"/>
            <w:vAlign w:val="center"/>
          </w:tcPr>
          <w:p w14:paraId="58A90485" w14:textId="77777777" w:rsidR="00D170E5" w:rsidRPr="002B55E9" w:rsidRDefault="00EF27AD">
            <w:pPr>
              <w:pStyle w:val="affff6"/>
              <w:adjustRightInd w:val="0"/>
              <w:snapToGrid w:val="0"/>
            </w:pPr>
            <w:r w:rsidRPr="002B55E9">
              <w:rPr>
                <w:rFonts w:hint="eastAsia"/>
              </w:rPr>
              <w:t>原料、成品</w:t>
            </w:r>
            <w:r w:rsidRPr="002B55E9">
              <w:t>缓冲区</w:t>
            </w:r>
          </w:p>
        </w:tc>
        <w:tc>
          <w:tcPr>
            <w:tcW w:w="6462" w:type="dxa"/>
            <w:vAlign w:val="center"/>
          </w:tcPr>
          <w:p w14:paraId="671F4512" w14:textId="77777777" w:rsidR="00D170E5" w:rsidRPr="002B55E9" w:rsidRDefault="00EF27AD">
            <w:pPr>
              <w:pStyle w:val="affff6"/>
              <w:adjustRightInd w:val="0"/>
              <w:snapToGrid w:val="0"/>
              <w:jc w:val="left"/>
            </w:pPr>
            <w:r w:rsidRPr="002B55E9">
              <w:rPr>
                <w:rFonts w:hint="eastAsia"/>
              </w:rPr>
              <w:t>于</w:t>
            </w:r>
            <w:r w:rsidRPr="002B55E9">
              <w:t>十</w:t>
            </w:r>
            <w:r w:rsidRPr="002B55E9">
              <w:rPr>
                <w:rFonts w:hint="eastAsia"/>
              </w:rPr>
              <w:t>一</w:t>
            </w:r>
            <w:r w:rsidRPr="002B55E9">
              <w:t>车间</w:t>
            </w:r>
            <w:r w:rsidRPr="002B55E9">
              <w:rPr>
                <w:rFonts w:hint="eastAsia"/>
              </w:rPr>
              <w:t>内</w:t>
            </w:r>
            <w:r w:rsidRPr="002B55E9">
              <w:t>北侧、南侧分别设置原料储存区、产品储存区</w:t>
            </w:r>
            <w:r w:rsidRPr="002B55E9">
              <w:rPr>
                <w:rFonts w:hint="eastAsia"/>
              </w:rPr>
              <w:t>，</w:t>
            </w:r>
            <w:r w:rsidRPr="002B55E9">
              <w:t>用于</w:t>
            </w:r>
            <w:r w:rsidRPr="002B55E9">
              <w:rPr>
                <w:rFonts w:hint="eastAsia"/>
              </w:rPr>
              <w:t>临时</w:t>
            </w:r>
            <w:r w:rsidRPr="002B55E9">
              <w:t>存放原料及产品</w:t>
            </w:r>
            <w:r w:rsidRPr="002B55E9">
              <w:rPr>
                <w:rFonts w:hint="eastAsia"/>
              </w:rPr>
              <w:t>。</w:t>
            </w:r>
          </w:p>
        </w:tc>
        <w:tc>
          <w:tcPr>
            <w:tcW w:w="1274" w:type="dxa"/>
            <w:vAlign w:val="center"/>
          </w:tcPr>
          <w:p w14:paraId="35A9ACD0" w14:textId="77777777" w:rsidR="00D170E5" w:rsidRPr="002B55E9" w:rsidRDefault="00EF27AD">
            <w:pPr>
              <w:pStyle w:val="affff6"/>
              <w:adjustRightInd w:val="0"/>
              <w:snapToGrid w:val="0"/>
            </w:pPr>
            <w:r w:rsidRPr="002B55E9">
              <w:rPr>
                <w:rFonts w:hint="eastAsia"/>
              </w:rPr>
              <w:t>新建</w:t>
            </w:r>
          </w:p>
        </w:tc>
      </w:tr>
      <w:tr w:rsidR="002B55E9" w:rsidRPr="002B55E9" w14:paraId="38882B99" w14:textId="77777777">
        <w:trPr>
          <w:trHeight w:val="284"/>
          <w:jc w:val="center"/>
        </w:trPr>
        <w:tc>
          <w:tcPr>
            <w:tcW w:w="526" w:type="dxa"/>
            <w:vMerge w:val="restart"/>
            <w:vAlign w:val="center"/>
          </w:tcPr>
          <w:p w14:paraId="3E39F083"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公用辅助工程</w:t>
            </w:r>
          </w:p>
        </w:tc>
        <w:tc>
          <w:tcPr>
            <w:tcW w:w="361" w:type="dxa"/>
            <w:vAlign w:val="center"/>
          </w:tcPr>
          <w:p w14:paraId="4FCCA044" w14:textId="77777777" w:rsidR="00D170E5" w:rsidRPr="002B55E9" w:rsidRDefault="00EF27AD">
            <w:pPr>
              <w:pStyle w:val="affff6"/>
              <w:adjustRightInd w:val="0"/>
              <w:snapToGrid w:val="0"/>
            </w:pPr>
            <w:r w:rsidRPr="002B55E9">
              <w:rPr>
                <w:rFonts w:hint="eastAsia"/>
              </w:rPr>
              <w:t>1</w:t>
            </w:r>
          </w:p>
        </w:tc>
        <w:tc>
          <w:tcPr>
            <w:tcW w:w="1015" w:type="dxa"/>
            <w:vAlign w:val="center"/>
          </w:tcPr>
          <w:p w14:paraId="782D1FE6" w14:textId="77777777" w:rsidR="00D170E5" w:rsidRPr="002B55E9" w:rsidRDefault="00EF27AD">
            <w:pPr>
              <w:pStyle w:val="affff6"/>
              <w:adjustRightInd w:val="0"/>
              <w:snapToGrid w:val="0"/>
            </w:pPr>
            <w:r w:rsidRPr="002B55E9">
              <w:rPr>
                <w:rFonts w:hint="eastAsia"/>
              </w:rPr>
              <w:t>供电系统</w:t>
            </w:r>
          </w:p>
        </w:tc>
        <w:tc>
          <w:tcPr>
            <w:tcW w:w="6462" w:type="dxa"/>
            <w:vAlign w:val="center"/>
          </w:tcPr>
          <w:p w14:paraId="762DBA87" w14:textId="77777777" w:rsidR="00D170E5" w:rsidRPr="002B55E9" w:rsidRDefault="00EF27AD">
            <w:pPr>
              <w:pStyle w:val="affff6"/>
              <w:adjustRightInd w:val="0"/>
              <w:snapToGrid w:val="0"/>
              <w:jc w:val="both"/>
            </w:pPr>
            <w:r w:rsidRPr="002B55E9">
              <w:rPr>
                <w:rFonts w:hint="eastAsia"/>
              </w:rPr>
              <w:t>厂区供电从市政电网引入供电电源</w:t>
            </w:r>
            <w:r w:rsidRPr="002B55E9">
              <w:t>。</w:t>
            </w:r>
          </w:p>
        </w:tc>
        <w:tc>
          <w:tcPr>
            <w:tcW w:w="1274" w:type="dxa"/>
            <w:vAlign w:val="center"/>
          </w:tcPr>
          <w:p w14:paraId="5359D689" w14:textId="77777777" w:rsidR="00D170E5" w:rsidRPr="002B55E9" w:rsidRDefault="00EF27AD">
            <w:pPr>
              <w:pStyle w:val="affff6"/>
              <w:adjustRightInd w:val="0"/>
              <w:snapToGrid w:val="0"/>
            </w:pPr>
            <w:r w:rsidRPr="002B55E9">
              <w:rPr>
                <w:rFonts w:hint="eastAsia"/>
              </w:rPr>
              <w:t>依托</w:t>
            </w:r>
          </w:p>
        </w:tc>
      </w:tr>
      <w:tr w:rsidR="002B55E9" w:rsidRPr="002B55E9" w14:paraId="73D0F731" w14:textId="77777777">
        <w:trPr>
          <w:trHeight w:val="284"/>
          <w:jc w:val="center"/>
        </w:trPr>
        <w:tc>
          <w:tcPr>
            <w:tcW w:w="526" w:type="dxa"/>
            <w:vMerge/>
            <w:vAlign w:val="center"/>
          </w:tcPr>
          <w:p w14:paraId="5AFD60A6"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4571B8DD" w14:textId="77777777" w:rsidR="00D170E5" w:rsidRPr="002B55E9" w:rsidRDefault="00EF27AD">
            <w:pPr>
              <w:pStyle w:val="affff6"/>
              <w:adjustRightInd w:val="0"/>
              <w:snapToGrid w:val="0"/>
            </w:pPr>
            <w:r w:rsidRPr="002B55E9">
              <w:rPr>
                <w:rFonts w:hint="eastAsia"/>
              </w:rPr>
              <w:t>2</w:t>
            </w:r>
          </w:p>
        </w:tc>
        <w:tc>
          <w:tcPr>
            <w:tcW w:w="1015" w:type="dxa"/>
            <w:vAlign w:val="center"/>
          </w:tcPr>
          <w:p w14:paraId="36CDDA17" w14:textId="77777777" w:rsidR="00D170E5" w:rsidRPr="002B55E9" w:rsidRDefault="00EF27AD">
            <w:pPr>
              <w:pStyle w:val="affff6"/>
              <w:adjustRightInd w:val="0"/>
              <w:snapToGrid w:val="0"/>
            </w:pPr>
            <w:r w:rsidRPr="002B55E9">
              <w:rPr>
                <w:rFonts w:hint="eastAsia"/>
              </w:rPr>
              <w:t>给水系统</w:t>
            </w:r>
          </w:p>
        </w:tc>
        <w:tc>
          <w:tcPr>
            <w:tcW w:w="6462" w:type="dxa"/>
            <w:vAlign w:val="center"/>
          </w:tcPr>
          <w:p w14:paraId="12347C1A" w14:textId="77777777" w:rsidR="00D170E5" w:rsidRPr="002B55E9" w:rsidRDefault="00EF27AD">
            <w:pPr>
              <w:pStyle w:val="affff6"/>
              <w:adjustRightInd w:val="0"/>
              <w:snapToGrid w:val="0"/>
              <w:jc w:val="both"/>
            </w:pPr>
            <w:r w:rsidRPr="002B55E9">
              <w:rPr>
                <w:rFonts w:hint="eastAsia"/>
              </w:rPr>
              <w:t>项目自来水供水依托市政自来水管网供给，</w:t>
            </w:r>
            <w:r w:rsidRPr="002B55E9">
              <w:t>其中工艺用水为经砂滤和碳</w:t>
            </w:r>
            <w:r w:rsidRPr="002B55E9">
              <w:rPr>
                <w:rFonts w:hint="eastAsia"/>
              </w:rPr>
              <w:t>滤</w:t>
            </w:r>
            <w:r w:rsidRPr="002B55E9">
              <w:t>处理后的自来水</w:t>
            </w:r>
            <w:r w:rsidRPr="002B55E9">
              <w:rPr>
                <w:rFonts w:hint="eastAsia"/>
              </w:rPr>
              <w:t>。</w:t>
            </w:r>
          </w:p>
        </w:tc>
        <w:tc>
          <w:tcPr>
            <w:tcW w:w="1274" w:type="dxa"/>
            <w:vAlign w:val="center"/>
          </w:tcPr>
          <w:p w14:paraId="02899976" w14:textId="77777777" w:rsidR="00D170E5" w:rsidRPr="002B55E9" w:rsidRDefault="00EF27AD">
            <w:pPr>
              <w:pStyle w:val="affff6"/>
              <w:adjustRightInd w:val="0"/>
              <w:snapToGrid w:val="0"/>
            </w:pPr>
            <w:r w:rsidRPr="002B55E9">
              <w:rPr>
                <w:rFonts w:hint="eastAsia"/>
              </w:rPr>
              <w:t>依托</w:t>
            </w:r>
          </w:p>
        </w:tc>
      </w:tr>
      <w:tr w:rsidR="002B55E9" w:rsidRPr="002B55E9" w14:paraId="44D120F6" w14:textId="77777777">
        <w:trPr>
          <w:trHeight w:val="284"/>
          <w:jc w:val="center"/>
        </w:trPr>
        <w:tc>
          <w:tcPr>
            <w:tcW w:w="526" w:type="dxa"/>
            <w:vMerge/>
            <w:vAlign w:val="center"/>
          </w:tcPr>
          <w:p w14:paraId="32A7FCE7"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719DFC43" w14:textId="77777777" w:rsidR="00D170E5" w:rsidRPr="002B55E9" w:rsidRDefault="00EF27AD">
            <w:pPr>
              <w:pStyle w:val="affff6"/>
              <w:adjustRightInd w:val="0"/>
              <w:snapToGrid w:val="0"/>
            </w:pPr>
            <w:r w:rsidRPr="002B55E9">
              <w:rPr>
                <w:rFonts w:hint="eastAsia"/>
              </w:rPr>
              <w:t>3</w:t>
            </w:r>
          </w:p>
        </w:tc>
        <w:tc>
          <w:tcPr>
            <w:tcW w:w="1015" w:type="dxa"/>
            <w:vAlign w:val="center"/>
          </w:tcPr>
          <w:p w14:paraId="54E38814" w14:textId="77777777" w:rsidR="00D170E5" w:rsidRPr="002B55E9" w:rsidRDefault="00EF27AD">
            <w:pPr>
              <w:pStyle w:val="affff6"/>
              <w:adjustRightInd w:val="0"/>
              <w:snapToGrid w:val="0"/>
            </w:pPr>
            <w:r w:rsidRPr="002B55E9">
              <w:rPr>
                <w:rFonts w:hint="eastAsia"/>
              </w:rPr>
              <w:t>排水系统</w:t>
            </w:r>
          </w:p>
        </w:tc>
        <w:tc>
          <w:tcPr>
            <w:tcW w:w="6462" w:type="dxa"/>
            <w:vAlign w:val="center"/>
          </w:tcPr>
          <w:p w14:paraId="37E85D47" w14:textId="77777777" w:rsidR="00D170E5" w:rsidRPr="002B55E9" w:rsidRDefault="00EF27AD">
            <w:pPr>
              <w:pStyle w:val="affff6"/>
              <w:adjustRightInd w:val="0"/>
              <w:snapToGrid w:val="0"/>
              <w:jc w:val="both"/>
            </w:pPr>
            <w:r w:rsidRPr="002B55E9">
              <w:rPr>
                <w:rFonts w:hint="eastAsia"/>
              </w:rPr>
              <w:t>项目废水主要包括设备清洗水等生产废水、蒸汽冷凝水和生活污水，设备清洗水等生产废水</w:t>
            </w:r>
            <w:r w:rsidRPr="002B55E9">
              <w:t>和生活污水</w:t>
            </w:r>
            <w:r w:rsidRPr="002B55E9">
              <w:rPr>
                <w:rFonts w:hint="eastAsia"/>
              </w:rPr>
              <w:t>依托佛山市</w:t>
            </w:r>
            <w:r w:rsidRPr="002B55E9">
              <w:t>海天（武汉）调味品有限公司污水处理站处理</w:t>
            </w:r>
            <w:r w:rsidRPr="002B55E9">
              <w:lastRenderedPageBreak/>
              <w:t>后</w:t>
            </w:r>
            <w:r w:rsidRPr="002B55E9">
              <w:rPr>
                <w:rFonts w:hint="eastAsia"/>
              </w:rPr>
              <w:t>汇同蒸汽冷凝水一同排入市政污水管网，经东西湖污水处理厂处理达标后排入府河。</w:t>
            </w:r>
          </w:p>
        </w:tc>
        <w:tc>
          <w:tcPr>
            <w:tcW w:w="1274" w:type="dxa"/>
            <w:vAlign w:val="center"/>
          </w:tcPr>
          <w:p w14:paraId="684F49DA" w14:textId="77777777" w:rsidR="00D170E5" w:rsidRPr="002B55E9" w:rsidRDefault="00EF27AD">
            <w:pPr>
              <w:pStyle w:val="affff6"/>
              <w:adjustRightInd w:val="0"/>
              <w:snapToGrid w:val="0"/>
            </w:pPr>
            <w:r w:rsidRPr="002B55E9">
              <w:rPr>
                <w:rFonts w:hint="eastAsia"/>
              </w:rPr>
              <w:lastRenderedPageBreak/>
              <w:t>依托佛山市海天（武汉）调</w:t>
            </w:r>
            <w:r w:rsidRPr="002B55E9">
              <w:rPr>
                <w:rFonts w:hint="eastAsia"/>
              </w:rPr>
              <w:lastRenderedPageBreak/>
              <w:t>味品有限公司</w:t>
            </w:r>
          </w:p>
        </w:tc>
      </w:tr>
      <w:tr w:rsidR="002B55E9" w:rsidRPr="002B55E9" w14:paraId="3DDF0264" w14:textId="77777777">
        <w:trPr>
          <w:trHeight w:val="284"/>
          <w:jc w:val="center"/>
        </w:trPr>
        <w:tc>
          <w:tcPr>
            <w:tcW w:w="526" w:type="dxa"/>
            <w:vMerge/>
            <w:vAlign w:val="center"/>
          </w:tcPr>
          <w:p w14:paraId="25EA655F"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2C3FA57C" w14:textId="77777777" w:rsidR="00D170E5" w:rsidRPr="002B55E9" w:rsidRDefault="00EF27AD">
            <w:pPr>
              <w:pStyle w:val="affff6"/>
              <w:adjustRightInd w:val="0"/>
              <w:snapToGrid w:val="0"/>
            </w:pPr>
            <w:r w:rsidRPr="002B55E9">
              <w:rPr>
                <w:rFonts w:hint="eastAsia"/>
              </w:rPr>
              <w:t>4</w:t>
            </w:r>
          </w:p>
        </w:tc>
        <w:tc>
          <w:tcPr>
            <w:tcW w:w="1015" w:type="dxa"/>
            <w:vAlign w:val="center"/>
          </w:tcPr>
          <w:p w14:paraId="20BC53D3" w14:textId="77777777" w:rsidR="00D170E5" w:rsidRPr="002B55E9" w:rsidRDefault="00EF27AD">
            <w:pPr>
              <w:pStyle w:val="affff6"/>
              <w:adjustRightInd w:val="0"/>
              <w:snapToGrid w:val="0"/>
            </w:pPr>
            <w:r w:rsidRPr="002B55E9">
              <w:rPr>
                <w:rFonts w:hint="eastAsia"/>
              </w:rPr>
              <w:t>供蒸汽系统</w:t>
            </w:r>
          </w:p>
        </w:tc>
        <w:tc>
          <w:tcPr>
            <w:tcW w:w="6462" w:type="dxa"/>
            <w:vAlign w:val="center"/>
          </w:tcPr>
          <w:p w14:paraId="73E88DF5" w14:textId="366295EB" w:rsidR="00D170E5" w:rsidRPr="002B55E9" w:rsidRDefault="00EF27AD" w:rsidP="007B0AB6">
            <w:pPr>
              <w:pStyle w:val="affff6"/>
              <w:adjustRightInd w:val="0"/>
              <w:snapToGrid w:val="0"/>
              <w:jc w:val="both"/>
            </w:pPr>
            <w:r w:rsidRPr="002B55E9">
              <w:rPr>
                <w:rFonts w:hint="eastAsia"/>
              </w:rPr>
              <w:t>项目使用工业蒸汽由园区蒸汽管道供应</w:t>
            </w:r>
            <w:r w:rsidR="007B0AB6" w:rsidRPr="002B55E9">
              <w:rPr>
                <w:rFonts w:hint="eastAsia"/>
              </w:rPr>
              <w:t>（武汉市东西湖区能源有限公司）</w:t>
            </w:r>
            <w:r w:rsidRPr="002B55E9">
              <w:rPr>
                <w:rFonts w:hint="eastAsia"/>
              </w:rPr>
              <w:t>，蒸汽压力为</w:t>
            </w:r>
            <w:r w:rsidRPr="002B55E9">
              <w:rPr>
                <w:rFonts w:hint="eastAsia"/>
              </w:rPr>
              <w:t>1.0MPa</w:t>
            </w:r>
            <w:r w:rsidRPr="002B55E9">
              <w:rPr>
                <w:rFonts w:hint="eastAsia"/>
              </w:rPr>
              <w:t>，温度</w:t>
            </w:r>
            <w:r w:rsidRPr="002B55E9">
              <w:rPr>
                <w:rFonts w:hint="eastAsia"/>
              </w:rPr>
              <w:t>184</w:t>
            </w:r>
            <w:r w:rsidRPr="002B55E9">
              <w:rPr>
                <w:rFonts w:hint="eastAsia"/>
              </w:rPr>
              <w:t>℃，年用蒸汽量</w:t>
            </w:r>
            <w:r w:rsidRPr="002B55E9">
              <w:rPr>
                <w:rFonts w:hint="eastAsia"/>
              </w:rPr>
              <w:t>7</w:t>
            </w:r>
            <w:r w:rsidRPr="002B55E9">
              <w:t>.125</w:t>
            </w:r>
            <w:r w:rsidRPr="002B55E9">
              <w:rPr>
                <w:rFonts w:hint="eastAsia"/>
              </w:rPr>
              <w:t>万吨。</w:t>
            </w:r>
          </w:p>
        </w:tc>
        <w:tc>
          <w:tcPr>
            <w:tcW w:w="1274" w:type="dxa"/>
            <w:vAlign w:val="center"/>
          </w:tcPr>
          <w:p w14:paraId="3B9AD4B5" w14:textId="77777777" w:rsidR="00D170E5" w:rsidRPr="002B55E9" w:rsidRDefault="00EF27AD">
            <w:pPr>
              <w:pStyle w:val="affff6"/>
              <w:adjustRightInd w:val="0"/>
              <w:snapToGrid w:val="0"/>
            </w:pPr>
            <w:r w:rsidRPr="002B55E9">
              <w:rPr>
                <w:rFonts w:hint="eastAsia"/>
              </w:rPr>
              <w:t>依托</w:t>
            </w:r>
          </w:p>
        </w:tc>
      </w:tr>
      <w:tr w:rsidR="002B55E9" w:rsidRPr="002B55E9" w14:paraId="09CD55FA" w14:textId="77777777">
        <w:trPr>
          <w:trHeight w:val="284"/>
          <w:jc w:val="center"/>
        </w:trPr>
        <w:tc>
          <w:tcPr>
            <w:tcW w:w="526" w:type="dxa"/>
            <w:vMerge w:val="restart"/>
            <w:vAlign w:val="center"/>
          </w:tcPr>
          <w:p w14:paraId="2F6B799D" w14:textId="77777777" w:rsidR="00D170E5" w:rsidRPr="002B55E9" w:rsidRDefault="00EF27AD">
            <w:pPr>
              <w:pStyle w:val="1f3"/>
              <w:adjustRightInd w:val="0"/>
              <w:snapToGrid w:val="0"/>
              <w:spacing w:beforeLines="0" w:before="0"/>
              <w:rPr>
                <w:rFonts w:eastAsia="宋体"/>
                <w:b w:val="0"/>
                <w:bCs/>
                <w:sz w:val="18"/>
                <w:szCs w:val="18"/>
              </w:rPr>
            </w:pPr>
            <w:r w:rsidRPr="002B55E9">
              <w:rPr>
                <w:rFonts w:eastAsia="宋体" w:hint="eastAsia"/>
                <w:b w:val="0"/>
                <w:bCs/>
                <w:sz w:val="18"/>
                <w:szCs w:val="18"/>
              </w:rPr>
              <w:t>环保工程</w:t>
            </w:r>
          </w:p>
        </w:tc>
        <w:tc>
          <w:tcPr>
            <w:tcW w:w="361" w:type="dxa"/>
            <w:vAlign w:val="center"/>
          </w:tcPr>
          <w:p w14:paraId="49255A38" w14:textId="77777777" w:rsidR="00D170E5" w:rsidRPr="002B55E9" w:rsidRDefault="00EF27AD">
            <w:pPr>
              <w:pStyle w:val="affff6"/>
              <w:adjustRightInd w:val="0"/>
              <w:snapToGrid w:val="0"/>
            </w:pPr>
            <w:r w:rsidRPr="002B55E9">
              <w:rPr>
                <w:rFonts w:hint="eastAsia"/>
              </w:rPr>
              <w:t>1</w:t>
            </w:r>
          </w:p>
        </w:tc>
        <w:tc>
          <w:tcPr>
            <w:tcW w:w="1015" w:type="dxa"/>
            <w:vAlign w:val="center"/>
          </w:tcPr>
          <w:p w14:paraId="3902FC8C" w14:textId="77777777" w:rsidR="00D170E5" w:rsidRPr="002B55E9" w:rsidRDefault="00EF27AD">
            <w:pPr>
              <w:pStyle w:val="affff6"/>
              <w:adjustRightInd w:val="0"/>
              <w:snapToGrid w:val="0"/>
            </w:pPr>
            <w:r w:rsidRPr="002B55E9">
              <w:rPr>
                <w:rFonts w:hint="eastAsia"/>
              </w:rPr>
              <w:t>废气</w:t>
            </w:r>
          </w:p>
        </w:tc>
        <w:tc>
          <w:tcPr>
            <w:tcW w:w="6462" w:type="dxa"/>
            <w:vAlign w:val="center"/>
          </w:tcPr>
          <w:p w14:paraId="429F5768" w14:textId="7FF07A27" w:rsidR="00D170E5" w:rsidRPr="002B55E9" w:rsidRDefault="00EF27AD">
            <w:pPr>
              <w:pStyle w:val="affff6"/>
              <w:adjustRightInd w:val="0"/>
              <w:snapToGrid w:val="0"/>
              <w:jc w:val="both"/>
            </w:pPr>
            <w:r w:rsidRPr="002B55E9">
              <w:rPr>
                <w:rFonts w:hint="eastAsia"/>
              </w:rPr>
              <w:t>①料酒生产过程中香辛料破碎产生的颗粒物经粉碎机自带袋式除尘器处理后由</w:t>
            </w:r>
            <w:r w:rsidRPr="002B55E9">
              <w:rPr>
                <w:rFonts w:hint="eastAsia"/>
              </w:rPr>
              <w:t>1</w:t>
            </w:r>
            <w:r w:rsidRPr="002B55E9">
              <w:rPr>
                <w:rFonts w:hint="eastAsia"/>
              </w:rPr>
              <w:t>根</w:t>
            </w:r>
            <w:r w:rsidRPr="002B55E9">
              <w:rPr>
                <w:rFonts w:hint="eastAsia"/>
              </w:rPr>
              <w:t>1</w:t>
            </w:r>
            <w:r w:rsidRPr="002B55E9">
              <w:t>8</w:t>
            </w:r>
            <w:r w:rsidRPr="002B55E9">
              <w:rPr>
                <w:rFonts w:hint="eastAsia"/>
              </w:rPr>
              <w:t>m</w:t>
            </w:r>
            <w:r w:rsidRPr="002B55E9">
              <w:rPr>
                <w:rFonts w:hint="eastAsia"/>
              </w:rPr>
              <w:t>高排气筒（</w:t>
            </w:r>
            <w:r w:rsidRPr="002B55E9">
              <w:rPr>
                <w:rFonts w:hint="eastAsia"/>
              </w:rPr>
              <w:t>DA001</w:t>
            </w:r>
            <w:r w:rsidRPr="002B55E9">
              <w:rPr>
                <w:rFonts w:hint="eastAsia"/>
              </w:rPr>
              <w:t>）排放；②料酒、</w:t>
            </w:r>
            <w:r w:rsidRPr="002B55E9">
              <w:t>白米醋</w:t>
            </w:r>
            <w:r w:rsidRPr="002B55E9">
              <w:rPr>
                <w:rFonts w:hint="eastAsia"/>
              </w:rPr>
              <w:t>生产过程中投料</w:t>
            </w:r>
            <w:r w:rsidRPr="002B55E9">
              <w:t>发酵等</w:t>
            </w:r>
            <w:r w:rsidRPr="002B55E9">
              <w:rPr>
                <w:rFonts w:hint="eastAsia"/>
              </w:rPr>
              <w:t>挥发</w:t>
            </w:r>
            <w:r w:rsidRPr="002B55E9">
              <w:t>废气经一套</w:t>
            </w:r>
            <w:r w:rsidR="00CE536C" w:rsidRPr="002B55E9">
              <w:t>二级碱喷淋</w:t>
            </w:r>
            <w:r w:rsidR="00CE536C" w:rsidRPr="002B55E9">
              <w:t>+</w:t>
            </w:r>
            <w:r w:rsidR="00CE536C" w:rsidRPr="002B55E9">
              <w:t>水喷淋</w:t>
            </w:r>
            <w:r w:rsidRPr="002B55E9">
              <w:t>装置处理后由</w:t>
            </w:r>
            <w:r w:rsidRPr="002B55E9">
              <w:rPr>
                <w:rFonts w:hint="eastAsia"/>
              </w:rPr>
              <w:t>1</w:t>
            </w:r>
            <w:r w:rsidRPr="002B55E9">
              <w:rPr>
                <w:rFonts w:hint="eastAsia"/>
              </w:rPr>
              <w:t>根</w:t>
            </w:r>
            <w:r w:rsidRPr="002B55E9">
              <w:rPr>
                <w:rFonts w:hint="eastAsia"/>
              </w:rPr>
              <w:t>18</w:t>
            </w:r>
            <w:r w:rsidRPr="002B55E9">
              <w:t>m</w:t>
            </w:r>
            <w:r w:rsidRPr="002B55E9">
              <w:rPr>
                <w:rFonts w:hint="eastAsia"/>
              </w:rPr>
              <w:t>高</w:t>
            </w:r>
            <w:r w:rsidRPr="002B55E9">
              <w:t>排气筒（</w:t>
            </w:r>
            <w:r w:rsidRPr="002B55E9">
              <w:rPr>
                <w:rFonts w:hint="eastAsia"/>
              </w:rPr>
              <w:t>DA002</w:t>
            </w:r>
            <w:r w:rsidRPr="002B55E9">
              <w:t>）</w:t>
            </w:r>
            <w:r w:rsidRPr="002B55E9">
              <w:rPr>
                <w:rFonts w:hint="eastAsia"/>
              </w:rPr>
              <w:t>排放；③化验室</w:t>
            </w:r>
            <w:r w:rsidRPr="002B55E9">
              <w:t>废气经</w:t>
            </w:r>
            <w:r w:rsidRPr="002B55E9">
              <w:rPr>
                <w:rFonts w:hint="eastAsia"/>
              </w:rPr>
              <w:t>通风橱</w:t>
            </w:r>
            <w:r w:rsidRPr="002B55E9">
              <w:t>收集</w:t>
            </w:r>
            <w:r w:rsidRPr="002B55E9">
              <w:rPr>
                <w:rFonts w:hint="eastAsia"/>
              </w:rPr>
              <w:t>、</w:t>
            </w:r>
            <w:r w:rsidRPr="002B55E9">
              <w:t>活性炭吸附装置处理后</w:t>
            </w:r>
            <w:r w:rsidRPr="002B55E9">
              <w:rPr>
                <w:rFonts w:hint="eastAsia"/>
              </w:rPr>
              <w:t>由</w:t>
            </w:r>
            <w:r w:rsidRPr="002B55E9">
              <w:rPr>
                <w:rFonts w:hint="eastAsia"/>
              </w:rPr>
              <w:t>1</w:t>
            </w:r>
            <w:r w:rsidRPr="002B55E9">
              <w:rPr>
                <w:rFonts w:hint="eastAsia"/>
              </w:rPr>
              <w:t>根</w:t>
            </w:r>
            <w:r w:rsidRPr="002B55E9">
              <w:rPr>
                <w:rFonts w:hint="eastAsia"/>
              </w:rPr>
              <w:t>18</w:t>
            </w:r>
            <w:r w:rsidRPr="002B55E9">
              <w:t>m</w:t>
            </w:r>
            <w:r w:rsidRPr="002B55E9">
              <w:rPr>
                <w:rFonts w:hint="eastAsia"/>
              </w:rPr>
              <w:t>高</w:t>
            </w:r>
            <w:r w:rsidRPr="002B55E9">
              <w:t>排气筒</w:t>
            </w:r>
            <w:r w:rsidRPr="002B55E9">
              <w:rPr>
                <w:rFonts w:hint="eastAsia"/>
              </w:rPr>
              <w:t>（</w:t>
            </w:r>
            <w:r w:rsidRPr="002B55E9">
              <w:rPr>
                <w:rFonts w:hint="eastAsia"/>
              </w:rPr>
              <w:t>DA00</w:t>
            </w:r>
            <w:r w:rsidRPr="002B55E9">
              <w:t>3</w:t>
            </w:r>
            <w:r w:rsidRPr="002B55E9">
              <w:rPr>
                <w:rFonts w:hint="eastAsia"/>
              </w:rPr>
              <w:t>）排放。</w:t>
            </w:r>
          </w:p>
        </w:tc>
        <w:tc>
          <w:tcPr>
            <w:tcW w:w="1274" w:type="dxa"/>
            <w:vAlign w:val="center"/>
          </w:tcPr>
          <w:p w14:paraId="75E914BC" w14:textId="77777777" w:rsidR="00D170E5" w:rsidRPr="002B55E9" w:rsidRDefault="00EF27AD">
            <w:pPr>
              <w:pStyle w:val="affff6"/>
              <w:adjustRightInd w:val="0"/>
              <w:snapToGrid w:val="0"/>
            </w:pPr>
            <w:r w:rsidRPr="002B55E9">
              <w:rPr>
                <w:rFonts w:hint="eastAsia"/>
              </w:rPr>
              <w:t>新建</w:t>
            </w:r>
          </w:p>
        </w:tc>
      </w:tr>
      <w:tr w:rsidR="002B55E9" w:rsidRPr="002B55E9" w14:paraId="147F910D" w14:textId="77777777">
        <w:trPr>
          <w:trHeight w:val="284"/>
          <w:jc w:val="center"/>
        </w:trPr>
        <w:tc>
          <w:tcPr>
            <w:tcW w:w="526" w:type="dxa"/>
            <w:vMerge/>
            <w:vAlign w:val="center"/>
          </w:tcPr>
          <w:p w14:paraId="25681E08"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2654D3F4" w14:textId="77777777" w:rsidR="00D170E5" w:rsidRPr="002B55E9" w:rsidRDefault="00EF27AD">
            <w:pPr>
              <w:pStyle w:val="affff6"/>
              <w:adjustRightInd w:val="0"/>
              <w:snapToGrid w:val="0"/>
            </w:pPr>
            <w:r w:rsidRPr="002B55E9">
              <w:rPr>
                <w:rFonts w:hint="eastAsia"/>
              </w:rPr>
              <w:t>2</w:t>
            </w:r>
          </w:p>
        </w:tc>
        <w:tc>
          <w:tcPr>
            <w:tcW w:w="1015" w:type="dxa"/>
            <w:vAlign w:val="center"/>
          </w:tcPr>
          <w:p w14:paraId="1F53F037" w14:textId="77777777" w:rsidR="00D170E5" w:rsidRPr="002B55E9" w:rsidRDefault="00EF27AD">
            <w:pPr>
              <w:pStyle w:val="affff6"/>
              <w:adjustRightInd w:val="0"/>
              <w:snapToGrid w:val="0"/>
            </w:pPr>
            <w:r w:rsidRPr="002B55E9">
              <w:rPr>
                <w:rFonts w:hint="eastAsia"/>
              </w:rPr>
              <w:t>废水</w:t>
            </w:r>
          </w:p>
        </w:tc>
        <w:tc>
          <w:tcPr>
            <w:tcW w:w="6462" w:type="dxa"/>
            <w:vAlign w:val="center"/>
          </w:tcPr>
          <w:p w14:paraId="723326C6" w14:textId="59E9DA1A" w:rsidR="00D170E5" w:rsidRPr="002B55E9" w:rsidRDefault="00EF27AD">
            <w:pPr>
              <w:pStyle w:val="affff6"/>
              <w:adjustRightInd w:val="0"/>
              <w:snapToGrid w:val="0"/>
              <w:jc w:val="both"/>
            </w:pPr>
            <w:r w:rsidRPr="002B55E9">
              <w:t>生活</w:t>
            </w:r>
            <w:r w:rsidRPr="002B55E9">
              <w:rPr>
                <w:rFonts w:hint="eastAsia"/>
              </w:rPr>
              <w:t>污水经</w:t>
            </w:r>
            <w:r w:rsidRPr="002B55E9">
              <w:t>化粪池处理后与</w:t>
            </w:r>
            <w:r w:rsidRPr="002B55E9">
              <w:rPr>
                <w:rFonts w:hint="eastAsia"/>
              </w:rPr>
              <w:t>生产废水一并</w:t>
            </w:r>
            <w:r w:rsidRPr="002B55E9">
              <w:t>排入佛山市海天（</w:t>
            </w:r>
            <w:r w:rsidRPr="002B55E9">
              <w:rPr>
                <w:rFonts w:hint="eastAsia"/>
              </w:rPr>
              <w:t>武汉</w:t>
            </w:r>
            <w:r w:rsidRPr="002B55E9">
              <w:t>）</w:t>
            </w:r>
            <w:r w:rsidRPr="002B55E9">
              <w:rPr>
                <w:rFonts w:hint="eastAsia"/>
              </w:rPr>
              <w:t>调味</w:t>
            </w:r>
            <w:r w:rsidRPr="002B55E9">
              <w:t>食品有限公司厂区污水处理</w:t>
            </w:r>
            <w:r w:rsidRPr="002B55E9">
              <w:rPr>
                <w:rFonts w:hint="eastAsia"/>
              </w:rPr>
              <w:t>站</w:t>
            </w:r>
            <w:r w:rsidRPr="002B55E9">
              <w:t>处理</w:t>
            </w:r>
            <w:r w:rsidRPr="002B55E9">
              <w:rPr>
                <w:rFonts w:hint="eastAsia"/>
              </w:rPr>
              <w:t>达标后</w:t>
            </w:r>
            <w:r w:rsidRPr="002B55E9">
              <w:t>排放，蒸汽冷凝水</w:t>
            </w:r>
            <w:r w:rsidRPr="002B55E9">
              <w:rPr>
                <w:rFonts w:hint="eastAsia"/>
              </w:rPr>
              <w:t>经</w:t>
            </w:r>
            <w:r w:rsidRPr="002B55E9">
              <w:t>专用管道收集后</w:t>
            </w:r>
            <w:r w:rsidRPr="002B55E9">
              <w:rPr>
                <w:rFonts w:hint="eastAsia"/>
              </w:rPr>
              <w:t>接入</w:t>
            </w:r>
            <w:r w:rsidRPr="002B55E9">
              <w:t>佛山市海天（</w:t>
            </w:r>
            <w:r w:rsidRPr="002B55E9">
              <w:rPr>
                <w:rFonts w:hint="eastAsia"/>
              </w:rPr>
              <w:t>武汉</w:t>
            </w:r>
            <w:r w:rsidRPr="002B55E9">
              <w:t>）</w:t>
            </w:r>
            <w:r w:rsidRPr="002B55E9">
              <w:rPr>
                <w:rFonts w:hint="eastAsia"/>
              </w:rPr>
              <w:t>调味</w:t>
            </w:r>
            <w:r w:rsidRPr="002B55E9">
              <w:t>食品有限公司污水总排口排</w:t>
            </w:r>
            <w:r w:rsidRPr="002B55E9">
              <w:rPr>
                <w:rFonts w:hint="eastAsia"/>
              </w:rPr>
              <w:t>放</w:t>
            </w:r>
            <w:r w:rsidRPr="002B55E9">
              <w:t>，最终进入东西湖污水处理厂处理</w:t>
            </w:r>
            <w:r w:rsidRPr="002B55E9">
              <w:rPr>
                <w:rFonts w:hint="eastAsia"/>
              </w:rPr>
              <w:t>达标</w:t>
            </w:r>
            <w:r w:rsidRPr="002B55E9">
              <w:t>后</w:t>
            </w:r>
            <w:r w:rsidRPr="002B55E9">
              <w:rPr>
                <w:rFonts w:hint="eastAsia"/>
              </w:rPr>
              <w:t>尾水</w:t>
            </w:r>
            <w:r w:rsidRPr="002B55E9">
              <w:t>排入府河，</w:t>
            </w:r>
            <w:r w:rsidRPr="002B55E9">
              <w:rPr>
                <w:rFonts w:hint="eastAsia"/>
              </w:rPr>
              <w:t>所依托的</w:t>
            </w:r>
            <w:r w:rsidRPr="002B55E9">
              <w:t>佛山市</w:t>
            </w:r>
            <w:r w:rsidRPr="002B55E9">
              <w:rPr>
                <w:rFonts w:hint="eastAsia"/>
              </w:rPr>
              <w:t>海天</w:t>
            </w:r>
            <w:r w:rsidRPr="002B55E9">
              <w:t>（</w:t>
            </w:r>
            <w:r w:rsidRPr="002B55E9">
              <w:rPr>
                <w:rFonts w:hint="eastAsia"/>
              </w:rPr>
              <w:t>武汉</w:t>
            </w:r>
            <w:r w:rsidRPr="002B55E9">
              <w:t>）</w:t>
            </w:r>
            <w:r w:rsidRPr="002B55E9">
              <w:rPr>
                <w:rFonts w:hint="eastAsia"/>
              </w:rPr>
              <w:t>调味食品</w:t>
            </w:r>
            <w:r w:rsidRPr="002B55E9">
              <w:t>有限公司污水处理站处理工艺为</w:t>
            </w:r>
            <w:r w:rsidRPr="002B55E9">
              <w:t>“</w:t>
            </w:r>
            <w:r w:rsidR="007F1BA2" w:rsidRPr="002B55E9">
              <w:rPr>
                <w:rFonts w:hint="eastAsia"/>
              </w:rPr>
              <w:t>预处理</w:t>
            </w:r>
            <w:r w:rsidR="007F1BA2" w:rsidRPr="002B55E9">
              <w:rPr>
                <w:rFonts w:hint="eastAsia"/>
              </w:rPr>
              <w:t>+</w:t>
            </w:r>
            <w:r w:rsidR="007F1BA2" w:rsidRPr="002B55E9">
              <w:rPr>
                <w:rFonts w:hint="eastAsia"/>
              </w:rPr>
              <w:t>厌氧</w:t>
            </w:r>
            <w:r w:rsidR="007F1BA2" w:rsidRPr="002B55E9">
              <w:rPr>
                <w:rFonts w:hint="eastAsia"/>
              </w:rPr>
              <w:t>+AO</w:t>
            </w:r>
            <w:r w:rsidR="007F1BA2" w:rsidRPr="002B55E9">
              <w:rPr>
                <w:rFonts w:hint="eastAsia"/>
              </w:rPr>
              <w:t>系统</w:t>
            </w:r>
            <w:r w:rsidR="007F1BA2" w:rsidRPr="002B55E9">
              <w:rPr>
                <w:rFonts w:hint="eastAsia"/>
              </w:rPr>
              <w:t>+</w:t>
            </w:r>
            <w:r w:rsidR="007F1BA2" w:rsidRPr="002B55E9">
              <w:rPr>
                <w:rFonts w:hint="eastAsia"/>
              </w:rPr>
              <w:t>深度处理</w:t>
            </w:r>
            <w:r w:rsidRPr="002B55E9">
              <w:t>”</w:t>
            </w:r>
            <w:r w:rsidRPr="002B55E9">
              <w:rPr>
                <w:rFonts w:hint="eastAsia"/>
              </w:rPr>
              <w:t>，设计</w:t>
            </w:r>
            <w:r w:rsidRPr="002B55E9">
              <w:t>处理能力为</w:t>
            </w:r>
            <w:r w:rsidRPr="002B55E9">
              <w:rPr>
                <w:rFonts w:hint="eastAsia"/>
              </w:rPr>
              <w:t>1000</w:t>
            </w:r>
            <w:r w:rsidRPr="002B55E9">
              <w:t>m</w:t>
            </w:r>
            <w:r w:rsidRPr="002B55E9">
              <w:rPr>
                <w:vertAlign w:val="superscript"/>
              </w:rPr>
              <w:t>3</w:t>
            </w:r>
            <w:r w:rsidRPr="002B55E9">
              <w:t>/d</w:t>
            </w:r>
            <w:r w:rsidRPr="002B55E9">
              <w:rPr>
                <w:rFonts w:hint="eastAsia"/>
              </w:rPr>
              <w:t>，剩余处理能力</w:t>
            </w:r>
            <w:r w:rsidRPr="002B55E9">
              <w:rPr>
                <w:rFonts w:hint="eastAsia"/>
              </w:rPr>
              <w:t>615</w:t>
            </w:r>
            <w:r w:rsidRPr="002B55E9">
              <w:t>m</w:t>
            </w:r>
            <w:r w:rsidRPr="002B55E9">
              <w:rPr>
                <w:vertAlign w:val="superscript"/>
              </w:rPr>
              <w:t>3</w:t>
            </w:r>
            <w:r w:rsidRPr="002B55E9">
              <w:t>/d</w:t>
            </w:r>
            <w:r w:rsidRPr="002B55E9">
              <w:rPr>
                <w:rFonts w:hint="eastAsia"/>
              </w:rPr>
              <w:t>。</w:t>
            </w:r>
          </w:p>
        </w:tc>
        <w:tc>
          <w:tcPr>
            <w:tcW w:w="1274" w:type="dxa"/>
            <w:vAlign w:val="center"/>
          </w:tcPr>
          <w:p w14:paraId="2F636DFF" w14:textId="77777777" w:rsidR="00D170E5" w:rsidRPr="002B55E9" w:rsidRDefault="00EF27AD">
            <w:pPr>
              <w:pStyle w:val="affff6"/>
              <w:adjustRightInd w:val="0"/>
              <w:snapToGrid w:val="0"/>
            </w:pPr>
            <w:r w:rsidRPr="002B55E9">
              <w:rPr>
                <w:rFonts w:hint="eastAsia"/>
              </w:rPr>
              <w:t>依托佛山市海天（武汉）调味品有限公司</w:t>
            </w:r>
          </w:p>
        </w:tc>
      </w:tr>
      <w:tr w:rsidR="002B55E9" w:rsidRPr="002B55E9" w14:paraId="713F5302" w14:textId="77777777">
        <w:trPr>
          <w:trHeight w:val="284"/>
          <w:jc w:val="center"/>
        </w:trPr>
        <w:tc>
          <w:tcPr>
            <w:tcW w:w="526" w:type="dxa"/>
            <w:vMerge/>
            <w:vAlign w:val="center"/>
          </w:tcPr>
          <w:p w14:paraId="7CEC6926"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148AD74F" w14:textId="77777777" w:rsidR="00D170E5" w:rsidRPr="002B55E9" w:rsidRDefault="00EF27AD">
            <w:pPr>
              <w:pStyle w:val="affff6"/>
              <w:adjustRightInd w:val="0"/>
              <w:snapToGrid w:val="0"/>
            </w:pPr>
            <w:r w:rsidRPr="002B55E9">
              <w:rPr>
                <w:rFonts w:hint="eastAsia"/>
              </w:rPr>
              <w:t>3</w:t>
            </w:r>
          </w:p>
        </w:tc>
        <w:tc>
          <w:tcPr>
            <w:tcW w:w="1015" w:type="dxa"/>
            <w:vAlign w:val="center"/>
          </w:tcPr>
          <w:p w14:paraId="2D72B8F5" w14:textId="77777777" w:rsidR="00D170E5" w:rsidRPr="002B55E9" w:rsidRDefault="00EF27AD">
            <w:pPr>
              <w:pStyle w:val="affff6"/>
              <w:adjustRightInd w:val="0"/>
              <w:snapToGrid w:val="0"/>
            </w:pPr>
            <w:r w:rsidRPr="002B55E9">
              <w:rPr>
                <w:rFonts w:hint="eastAsia"/>
              </w:rPr>
              <w:t>噪声</w:t>
            </w:r>
          </w:p>
        </w:tc>
        <w:tc>
          <w:tcPr>
            <w:tcW w:w="6462" w:type="dxa"/>
            <w:vAlign w:val="center"/>
          </w:tcPr>
          <w:p w14:paraId="252E5EE1" w14:textId="77777777" w:rsidR="00D170E5" w:rsidRPr="002B55E9" w:rsidRDefault="00EF27AD">
            <w:pPr>
              <w:pStyle w:val="affff6"/>
              <w:adjustRightInd w:val="0"/>
              <w:snapToGrid w:val="0"/>
              <w:jc w:val="both"/>
            </w:pPr>
            <w:r w:rsidRPr="002B55E9">
              <w:rPr>
                <w:szCs w:val="18"/>
              </w:rPr>
              <w:t>通过选用低噪声设备、</w:t>
            </w:r>
            <w:r w:rsidRPr="002B55E9">
              <w:rPr>
                <w:rFonts w:hint="eastAsia"/>
                <w:szCs w:val="18"/>
              </w:rPr>
              <w:t>合理</w:t>
            </w:r>
            <w:r w:rsidRPr="002B55E9">
              <w:rPr>
                <w:szCs w:val="18"/>
              </w:rPr>
              <w:t>布局</w:t>
            </w:r>
            <w:r w:rsidRPr="002B55E9">
              <w:rPr>
                <w:rFonts w:hint="eastAsia"/>
                <w:szCs w:val="18"/>
              </w:rPr>
              <w:t>、</w:t>
            </w:r>
            <w:r w:rsidRPr="002B55E9">
              <w:rPr>
                <w:szCs w:val="18"/>
              </w:rPr>
              <w:t>隔声减振等措施降低噪声排放</w:t>
            </w:r>
            <w:r w:rsidRPr="002B55E9">
              <w:rPr>
                <w:rFonts w:hint="eastAsia"/>
                <w:szCs w:val="18"/>
              </w:rPr>
              <w:t>。</w:t>
            </w:r>
          </w:p>
        </w:tc>
        <w:tc>
          <w:tcPr>
            <w:tcW w:w="1274" w:type="dxa"/>
            <w:vAlign w:val="center"/>
          </w:tcPr>
          <w:p w14:paraId="7EFAA956" w14:textId="77777777" w:rsidR="00D170E5" w:rsidRPr="002B55E9" w:rsidRDefault="00EF27AD">
            <w:pPr>
              <w:pStyle w:val="affff6"/>
              <w:adjustRightInd w:val="0"/>
              <w:snapToGrid w:val="0"/>
            </w:pPr>
            <w:r w:rsidRPr="002B55E9">
              <w:rPr>
                <w:rFonts w:hint="eastAsia"/>
              </w:rPr>
              <w:t>新建</w:t>
            </w:r>
          </w:p>
        </w:tc>
      </w:tr>
      <w:tr w:rsidR="002B55E9" w:rsidRPr="002B55E9" w14:paraId="7D1A8481" w14:textId="77777777">
        <w:trPr>
          <w:trHeight w:val="284"/>
          <w:jc w:val="center"/>
        </w:trPr>
        <w:tc>
          <w:tcPr>
            <w:tcW w:w="526" w:type="dxa"/>
            <w:vMerge/>
            <w:vAlign w:val="center"/>
          </w:tcPr>
          <w:p w14:paraId="25605CDA"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7CD6EB09" w14:textId="77777777" w:rsidR="00D170E5" w:rsidRPr="002B55E9" w:rsidRDefault="00EF27AD">
            <w:pPr>
              <w:pStyle w:val="affff6"/>
              <w:adjustRightInd w:val="0"/>
              <w:snapToGrid w:val="0"/>
            </w:pPr>
            <w:r w:rsidRPr="002B55E9">
              <w:rPr>
                <w:rFonts w:hint="eastAsia"/>
              </w:rPr>
              <w:t>4</w:t>
            </w:r>
          </w:p>
        </w:tc>
        <w:tc>
          <w:tcPr>
            <w:tcW w:w="1015" w:type="dxa"/>
            <w:vAlign w:val="center"/>
          </w:tcPr>
          <w:p w14:paraId="5C03C249" w14:textId="77777777" w:rsidR="00D170E5" w:rsidRPr="002B55E9" w:rsidRDefault="00EF27AD">
            <w:pPr>
              <w:pStyle w:val="affff6"/>
              <w:adjustRightInd w:val="0"/>
              <w:snapToGrid w:val="0"/>
            </w:pPr>
            <w:r w:rsidRPr="002B55E9">
              <w:rPr>
                <w:rFonts w:hint="eastAsia"/>
              </w:rPr>
              <w:t>固废</w:t>
            </w:r>
          </w:p>
        </w:tc>
        <w:tc>
          <w:tcPr>
            <w:tcW w:w="6462" w:type="dxa"/>
            <w:vAlign w:val="center"/>
          </w:tcPr>
          <w:p w14:paraId="17415AD7" w14:textId="77777777" w:rsidR="00D170E5" w:rsidRPr="002B55E9" w:rsidRDefault="00EF27AD">
            <w:pPr>
              <w:pStyle w:val="affff6"/>
              <w:adjustRightInd w:val="0"/>
              <w:snapToGrid w:val="0"/>
              <w:jc w:val="both"/>
            </w:pPr>
            <w:r w:rsidRPr="002B55E9">
              <w:rPr>
                <w:rFonts w:hint="eastAsia"/>
              </w:rPr>
              <w:t>危险</w:t>
            </w:r>
            <w:r w:rsidRPr="002B55E9">
              <w:t>废物收集后暂存于</w:t>
            </w:r>
            <w:r w:rsidRPr="002B55E9">
              <w:rPr>
                <w:rFonts w:hint="eastAsia"/>
              </w:rPr>
              <w:t>罐区三北侧危废</w:t>
            </w:r>
            <w:r w:rsidRPr="002B55E9">
              <w:t>暂存</w:t>
            </w:r>
            <w:r w:rsidRPr="002B55E9">
              <w:rPr>
                <w:rFonts w:hint="eastAsia"/>
              </w:rPr>
              <w:t>间内</w:t>
            </w:r>
            <w:r w:rsidRPr="002B55E9">
              <w:t>（</w:t>
            </w:r>
            <w:r w:rsidRPr="002B55E9">
              <w:rPr>
                <w:rFonts w:hint="eastAsia"/>
              </w:rPr>
              <w:t>面积</w:t>
            </w:r>
            <w:r w:rsidRPr="002B55E9">
              <w:t>12m</w:t>
            </w:r>
            <w:r w:rsidRPr="002B55E9">
              <w:rPr>
                <w:vertAlign w:val="superscript"/>
              </w:rPr>
              <w:t>2</w:t>
            </w:r>
            <w:r w:rsidRPr="002B55E9">
              <w:t>）委托资质单位定期</w:t>
            </w:r>
            <w:r w:rsidRPr="002B55E9">
              <w:rPr>
                <w:rFonts w:hint="eastAsia"/>
              </w:rPr>
              <w:t>处置</w:t>
            </w:r>
            <w:r w:rsidRPr="002B55E9">
              <w:t>；</w:t>
            </w:r>
          </w:p>
          <w:p w14:paraId="4146A84C" w14:textId="77777777" w:rsidR="00D170E5" w:rsidRPr="002B55E9" w:rsidRDefault="00EF27AD">
            <w:pPr>
              <w:pStyle w:val="affff6"/>
              <w:adjustRightInd w:val="0"/>
              <w:snapToGrid w:val="0"/>
              <w:jc w:val="both"/>
            </w:pPr>
            <w:r w:rsidRPr="002B55E9">
              <w:rPr>
                <w:rFonts w:hint="eastAsia"/>
              </w:rPr>
              <w:t>一般</w:t>
            </w:r>
            <w:r w:rsidRPr="002B55E9">
              <w:t>固废中的</w:t>
            </w:r>
            <w:r w:rsidRPr="002B55E9">
              <w:rPr>
                <w:rFonts w:hint="eastAsia"/>
              </w:rPr>
              <w:t>滤渣</w:t>
            </w:r>
            <w:r w:rsidRPr="002B55E9">
              <w:t>暂存于十</w:t>
            </w:r>
            <w:r w:rsidRPr="002B55E9">
              <w:rPr>
                <w:rFonts w:hint="eastAsia"/>
              </w:rPr>
              <w:t>三</w:t>
            </w:r>
            <w:r w:rsidRPr="002B55E9">
              <w:t>车间滤渣间内，定期委托有机肥企业综合利用，其余一般固废暂存于一般固废暂存间内定期委托物资回收单位综合利用；</w:t>
            </w:r>
          </w:p>
          <w:p w14:paraId="4EB33C4E" w14:textId="77777777" w:rsidR="00D170E5" w:rsidRPr="002B55E9" w:rsidRDefault="00EF27AD">
            <w:pPr>
              <w:pStyle w:val="affff6"/>
              <w:adjustRightInd w:val="0"/>
              <w:snapToGrid w:val="0"/>
              <w:jc w:val="both"/>
            </w:pPr>
            <w:r w:rsidRPr="002B55E9">
              <w:rPr>
                <w:rFonts w:hint="eastAsia"/>
              </w:rPr>
              <w:t>生活垃圾委托环卫</w:t>
            </w:r>
            <w:r w:rsidRPr="002B55E9">
              <w:t>部门定期清运</w:t>
            </w:r>
            <w:r w:rsidRPr="002B55E9">
              <w:rPr>
                <w:rFonts w:hint="eastAsia"/>
              </w:rPr>
              <w:t>。</w:t>
            </w:r>
          </w:p>
        </w:tc>
        <w:tc>
          <w:tcPr>
            <w:tcW w:w="1274" w:type="dxa"/>
            <w:vAlign w:val="center"/>
          </w:tcPr>
          <w:p w14:paraId="4D1D6E3A" w14:textId="77777777" w:rsidR="00D170E5" w:rsidRPr="002B55E9" w:rsidRDefault="00EF27AD">
            <w:pPr>
              <w:pStyle w:val="affff6"/>
              <w:adjustRightInd w:val="0"/>
              <w:snapToGrid w:val="0"/>
            </w:pPr>
            <w:r w:rsidRPr="002B55E9">
              <w:rPr>
                <w:rFonts w:hint="eastAsia"/>
              </w:rPr>
              <w:t>新建</w:t>
            </w:r>
          </w:p>
        </w:tc>
      </w:tr>
      <w:tr w:rsidR="002B55E9" w:rsidRPr="002B55E9" w14:paraId="35A5F56E" w14:textId="77777777">
        <w:trPr>
          <w:trHeight w:val="284"/>
          <w:jc w:val="center"/>
        </w:trPr>
        <w:tc>
          <w:tcPr>
            <w:tcW w:w="526" w:type="dxa"/>
            <w:vMerge/>
            <w:vAlign w:val="center"/>
          </w:tcPr>
          <w:p w14:paraId="7D5A361B"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08DAA3B8" w14:textId="77777777" w:rsidR="00D170E5" w:rsidRPr="002B55E9" w:rsidRDefault="00EF27AD">
            <w:pPr>
              <w:pStyle w:val="affff6"/>
              <w:adjustRightInd w:val="0"/>
              <w:snapToGrid w:val="0"/>
            </w:pPr>
            <w:r w:rsidRPr="002B55E9">
              <w:rPr>
                <w:rFonts w:hint="eastAsia"/>
              </w:rPr>
              <w:t>5</w:t>
            </w:r>
          </w:p>
        </w:tc>
        <w:tc>
          <w:tcPr>
            <w:tcW w:w="1015" w:type="dxa"/>
            <w:vAlign w:val="center"/>
          </w:tcPr>
          <w:p w14:paraId="46C791B3" w14:textId="77777777" w:rsidR="00D170E5" w:rsidRPr="002B55E9" w:rsidRDefault="00EF27AD">
            <w:pPr>
              <w:pStyle w:val="affff6"/>
              <w:adjustRightInd w:val="0"/>
              <w:snapToGrid w:val="0"/>
            </w:pPr>
            <w:r w:rsidRPr="002B55E9">
              <w:rPr>
                <w:rFonts w:hint="eastAsia"/>
              </w:rPr>
              <w:t>地下水</w:t>
            </w:r>
            <w:r w:rsidRPr="002B55E9">
              <w:t>、</w:t>
            </w:r>
            <w:r w:rsidRPr="002B55E9">
              <w:rPr>
                <w:rFonts w:hint="eastAsia"/>
              </w:rPr>
              <w:t>土壤</w:t>
            </w:r>
          </w:p>
        </w:tc>
        <w:tc>
          <w:tcPr>
            <w:tcW w:w="6462" w:type="dxa"/>
            <w:vAlign w:val="center"/>
          </w:tcPr>
          <w:p w14:paraId="712D6148" w14:textId="77777777" w:rsidR="00D170E5" w:rsidRPr="002B55E9" w:rsidRDefault="00EF27AD">
            <w:pPr>
              <w:pStyle w:val="affff6"/>
              <w:adjustRightInd w:val="0"/>
              <w:snapToGrid w:val="0"/>
              <w:jc w:val="both"/>
            </w:pPr>
            <w:r w:rsidRPr="002B55E9">
              <w:rPr>
                <w:rFonts w:hint="eastAsia"/>
                <w:szCs w:val="18"/>
              </w:rPr>
              <w:t>危废暂存间按照《危险废物贮存污染控制标准》（</w:t>
            </w:r>
            <w:r w:rsidRPr="002B55E9">
              <w:rPr>
                <w:rFonts w:hint="eastAsia"/>
                <w:szCs w:val="18"/>
              </w:rPr>
              <w:t>GB 18597-2001</w:t>
            </w:r>
            <w:r w:rsidRPr="002B55E9">
              <w:rPr>
                <w:rFonts w:hint="eastAsia"/>
                <w:szCs w:val="18"/>
              </w:rPr>
              <w:t>）设置防渗措施，罐区等</w:t>
            </w:r>
            <w:r w:rsidRPr="002B55E9">
              <w:rPr>
                <w:szCs w:val="18"/>
              </w:rPr>
              <w:t>设施</w:t>
            </w:r>
            <w:r w:rsidRPr="002B55E9">
              <w:rPr>
                <w:rFonts w:hint="eastAsia"/>
                <w:szCs w:val="18"/>
              </w:rPr>
              <w:t>按照《环境影响评价技术导则</w:t>
            </w:r>
            <w:r w:rsidRPr="002B55E9">
              <w:rPr>
                <w:rFonts w:hint="eastAsia"/>
                <w:szCs w:val="18"/>
              </w:rPr>
              <w:t xml:space="preserve"> </w:t>
            </w:r>
            <w:r w:rsidRPr="002B55E9">
              <w:rPr>
                <w:rFonts w:hint="eastAsia"/>
                <w:szCs w:val="18"/>
              </w:rPr>
              <w:t>地下水环境》（</w:t>
            </w:r>
            <w:r w:rsidRPr="002B55E9">
              <w:rPr>
                <w:rFonts w:hint="eastAsia"/>
                <w:szCs w:val="18"/>
              </w:rPr>
              <w:t>HJ610-2016</w:t>
            </w:r>
            <w:r w:rsidRPr="002B55E9">
              <w:rPr>
                <w:rFonts w:hint="eastAsia"/>
                <w:szCs w:val="18"/>
              </w:rPr>
              <w:t>）重点防渗区要求设置防渗措施。</w:t>
            </w:r>
          </w:p>
        </w:tc>
        <w:tc>
          <w:tcPr>
            <w:tcW w:w="1274" w:type="dxa"/>
            <w:vAlign w:val="center"/>
          </w:tcPr>
          <w:p w14:paraId="74F9FE84" w14:textId="77777777" w:rsidR="00D170E5" w:rsidRPr="002B55E9" w:rsidRDefault="00EF27AD">
            <w:pPr>
              <w:pStyle w:val="affff6"/>
              <w:adjustRightInd w:val="0"/>
              <w:snapToGrid w:val="0"/>
            </w:pPr>
            <w:r w:rsidRPr="002B55E9">
              <w:rPr>
                <w:rFonts w:hint="eastAsia"/>
              </w:rPr>
              <w:t>新建</w:t>
            </w:r>
          </w:p>
        </w:tc>
      </w:tr>
      <w:tr w:rsidR="002B55E9" w:rsidRPr="002B55E9" w14:paraId="2EF97A17" w14:textId="77777777">
        <w:trPr>
          <w:trHeight w:val="284"/>
          <w:jc w:val="center"/>
        </w:trPr>
        <w:tc>
          <w:tcPr>
            <w:tcW w:w="526" w:type="dxa"/>
            <w:vMerge/>
            <w:vAlign w:val="center"/>
          </w:tcPr>
          <w:p w14:paraId="3AC550F5" w14:textId="77777777" w:rsidR="00D170E5" w:rsidRPr="002B55E9" w:rsidRDefault="00D170E5">
            <w:pPr>
              <w:pStyle w:val="1f3"/>
              <w:adjustRightInd w:val="0"/>
              <w:snapToGrid w:val="0"/>
              <w:spacing w:beforeLines="0" w:before="0"/>
              <w:rPr>
                <w:rFonts w:eastAsia="宋体"/>
                <w:b w:val="0"/>
                <w:bCs/>
                <w:sz w:val="18"/>
                <w:szCs w:val="18"/>
              </w:rPr>
            </w:pPr>
          </w:p>
        </w:tc>
        <w:tc>
          <w:tcPr>
            <w:tcW w:w="361" w:type="dxa"/>
            <w:vAlign w:val="center"/>
          </w:tcPr>
          <w:p w14:paraId="3EBF923B" w14:textId="77777777" w:rsidR="00D170E5" w:rsidRPr="002B55E9" w:rsidRDefault="00EF27AD">
            <w:pPr>
              <w:pStyle w:val="affff6"/>
              <w:adjustRightInd w:val="0"/>
              <w:snapToGrid w:val="0"/>
            </w:pPr>
            <w:r w:rsidRPr="002B55E9">
              <w:rPr>
                <w:rFonts w:hint="eastAsia"/>
              </w:rPr>
              <w:t>6</w:t>
            </w:r>
          </w:p>
        </w:tc>
        <w:tc>
          <w:tcPr>
            <w:tcW w:w="1015" w:type="dxa"/>
            <w:vAlign w:val="center"/>
          </w:tcPr>
          <w:p w14:paraId="5659C95C" w14:textId="77777777" w:rsidR="00D170E5" w:rsidRPr="002B55E9" w:rsidRDefault="00EF27AD">
            <w:pPr>
              <w:pStyle w:val="affff6"/>
              <w:adjustRightInd w:val="0"/>
              <w:snapToGrid w:val="0"/>
            </w:pPr>
            <w:r w:rsidRPr="002B55E9">
              <w:rPr>
                <w:rFonts w:hint="eastAsia"/>
              </w:rPr>
              <w:t>环境</w:t>
            </w:r>
            <w:r w:rsidRPr="002B55E9">
              <w:t>风险</w:t>
            </w:r>
          </w:p>
        </w:tc>
        <w:tc>
          <w:tcPr>
            <w:tcW w:w="6462" w:type="dxa"/>
            <w:vAlign w:val="center"/>
          </w:tcPr>
          <w:p w14:paraId="4D8EA5CA" w14:textId="77777777" w:rsidR="00D170E5" w:rsidRPr="002B55E9" w:rsidRDefault="00EF27AD">
            <w:pPr>
              <w:pStyle w:val="affff6"/>
              <w:adjustRightInd w:val="0"/>
              <w:snapToGrid w:val="0"/>
              <w:jc w:val="both"/>
            </w:pPr>
            <w:r w:rsidRPr="002B55E9">
              <w:rPr>
                <w:rFonts w:hint="eastAsia"/>
                <w:szCs w:val="18"/>
              </w:rPr>
              <w:t>罐区三拟</w:t>
            </w:r>
            <w:r w:rsidRPr="002B55E9">
              <w:rPr>
                <w:szCs w:val="18"/>
              </w:rPr>
              <w:t>建设</w:t>
            </w:r>
            <w:r w:rsidRPr="002B55E9">
              <w:rPr>
                <w:rFonts w:hint="eastAsia"/>
                <w:szCs w:val="18"/>
              </w:rPr>
              <w:t>0.4</w:t>
            </w:r>
            <w:r w:rsidRPr="002B55E9">
              <w:rPr>
                <w:szCs w:val="18"/>
              </w:rPr>
              <w:t>m</w:t>
            </w:r>
            <w:r w:rsidRPr="002B55E9">
              <w:rPr>
                <w:szCs w:val="18"/>
              </w:rPr>
              <w:t>高围堰，酒精罐区</w:t>
            </w:r>
            <w:r w:rsidRPr="002B55E9">
              <w:rPr>
                <w:rFonts w:hint="eastAsia"/>
                <w:szCs w:val="18"/>
              </w:rPr>
              <w:t>拟建设</w:t>
            </w:r>
            <w:r w:rsidRPr="002B55E9">
              <w:rPr>
                <w:rFonts w:hint="eastAsia"/>
                <w:szCs w:val="18"/>
              </w:rPr>
              <w:t>1</w:t>
            </w:r>
            <w:r w:rsidRPr="002B55E9">
              <w:rPr>
                <w:szCs w:val="18"/>
              </w:rPr>
              <w:t>m</w:t>
            </w:r>
            <w:r w:rsidRPr="002B55E9">
              <w:rPr>
                <w:szCs w:val="18"/>
              </w:rPr>
              <w:t>高围堰，</w:t>
            </w:r>
            <w:r w:rsidRPr="002B55E9">
              <w:rPr>
                <w:rFonts w:hint="eastAsia"/>
                <w:szCs w:val="18"/>
              </w:rPr>
              <w:t>依托位于</w:t>
            </w:r>
            <w:r w:rsidRPr="002B55E9">
              <w:t>佛山市海天（</w:t>
            </w:r>
            <w:r w:rsidRPr="002B55E9">
              <w:rPr>
                <w:rFonts w:hint="eastAsia"/>
              </w:rPr>
              <w:t>武汉</w:t>
            </w:r>
            <w:r w:rsidRPr="002B55E9">
              <w:t>）</w:t>
            </w:r>
            <w:r w:rsidRPr="002B55E9">
              <w:rPr>
                <w:rFonts w:hint="eastAsia"/>
              </w:rPr>
              <w:t>调味</w:t>
            </w:r>
            <w:r w:rsidRPr="002B55E9">
              <w:t>食品有限公司厂区污水处理</w:t>
            </w:r>
            <w:r w:rsidRPr="002B55E9">
              <w:rPr>
                <w:rFonts w:hint="eastAsia"/>
              </w:rPr>
              <w:t>站</w:t>
            </w:r>
            <w:r w:rsidRPr="002B55E9">
              <w:rPr>
                <w:rFonts w:hint="eastAsia"/>
                <w:szCs w:val="18"/>
              </w:rPr>
              <w:t>旁的一座容积</w:t>
            </w:r>
            <w:r w:rsidRPr="002B55E9">
              <w:rPr>
                <w:rFonts w:hint="eastAsia"/>
                <w:szCs w:val="18"/>
              </w:rPr>
              <w:t>3</w:t>
            </w:r>
            <w:r w:rsidRPr="002B55E9">
              <w:rPr>
                <w:szCs w:val="18"/>
              </w:rPr>
              <w:t>38</w:t>
            </w:r>
            <w:r w:rsidRPr="002B55E9">
              <w:rPr>
                <w:rFonts w:hint="eastAsia"/>
                <w:szCs w:val="18"/>
              </w:rPr>
              <w:t>m</w:t>
            </w:r>
            <w:r w:rsidRPr="002B55E9">
              <w:rPr>
                <w:szCs w:val="18"/>
                <w:vertAlign w:val="superscript"/>
              </w:rPr>
              <w:t>3</w:t>
            </w:r>
            <w:r w:rsidRPr="002B55E9">
              <w:rPr>
                <w:rFonts w:hint="eastAsia"/>
                <w:szCs w:val="18"/>
              </w:rPr>
              <w:t>事故应急池，同时在厂区雨水排口设置切断阀，确保火灾、爆炸风险事故情况下产生的消防废水等不直接外排至厂外，能够将风险控制在厂区内。</w:t>
            </w:r>
          </w:p>
        </w:tc>
        <w:tc>
          <w:tcPr>
            <w:tcW w:w="1274" w:type="dxa"/>
            <w:vAlign w:val="center"/>
          </w:tcPr>
          <w:p w14:paraId="747B0847" w14:textId="77777777" w:rsidR="00D170E5" w:rsidRPr="002B55E9" w:rsidRDefault="00EF27AD">
            <w:pPr>
              <w:pStyle w:val="affff6"/>
              <w:adjustRightInd w:val="0"/>
              <w:snapToGrid w:val="0"/>
            </w:pPr>
            <w:r w:rsidRPr="002B55E9">
              <w:rPr>
                <w:rFonts w:hint="eastAsia"/>
              </w:rPr>
              <w:t>部分依托佛山市</w:t>
            </w:r>
            <w:r w:rsidRPr="002B55E9">
              <w:t>海天（武汉）调味品有限公司</w:t>
            </w:r>
          </w:p>
        </w:tc>
      </w:tr>
    </w:tbl>
    <w:p w14:paraId="33CD8638" w14:textId="77777777" w:rsidR="00D170E5" w:rsidRPr="002B55E9" w:rsidRDefault="00EF27AD">
      <w:pPr>
        <w:pStyle w:val="4"/>
        <w:rPr>
          <w:color w:val="auto"/>
        </w:rPr>
      </w:pPr>
      <w:r w:rsidRPr="002B55E9">
        <w:rPr>
          <w:rFonts w:hint="eastAsia"/>
          <w:color w:val="auto"/>
        </w:rPr>
        <w:t>建筑物经济指标</w:t>
      </w:r>
    </w:p>
    <w:p w14:paraId="6EA2DF38" w14:textId="77777777" w:rsidR="00D170E5" w:rsidRPr="002B55E9" w:rsidRDefault="00EF27AD">
      <w:pPr>
        <w:adjustRightInd w:val="0"/>
        <w:snapToGrid w:val="0"/>
        <w:spacing w:line="360" w:lineRule="auto"/>
        <w:ind w:firstLineChars="200" w:firstLine="480"/>
        <w:rPr>
          <w:sz w:val="24"/>
        </w:rPr>
      </w:pPr>
      <w:r w:rsidRPr="002B55E9">
        <w:rPr>
          <w:rFonts w:hint="eastAsia"/>
          <w:sz w:val="24"/>
        </w:rPr>
        <w:t>本次新建构筑物主要经济指标见下表所示：</w:t>
      </w:r>
    </w:p>
    <w:p w14:paraId="795A4F1E" w14:textId="77777777" w:rsidR="00D170E5" w:rsidRPr="002B55E9" w:rsidRDefault="00EF27AD">
      <w:pPr>
        <w:pStyle w:val="1f3"/>
        <w:snapToGrid w:val="0"/>
        <w:spacing w:beforeLines="0" w:before="0"/>
      </w:pPr>
      <w:r w:rsidRPr="002B55E9">
        <w:rPr>
          <w:rFonts w:hint="eastAsia"/>
        </w:rPr>
        <w:t>表</w:t>
      </w:r>
      <w:r w:rsidRPr="002B55E9">
        <w:rPr>
          <w:rFonts w:hint="eastAsia"/>
        </w:rPr>
        <w:t>2</w:t>
      </w:r>
      <w:r w:rsidRPr="002B55E9">
        <w:t xml:space="preserve">-1-3  </w:t>
      </w:r>
      <w:r w:rsidRPr="002B55E9">
        <w:rPr>
          <w:rFonts w:hint="eastAsia"/>
        </w:rPr>
        <w:t>拟建项目构筑物主要经济指标一览表</w:t>
      </w:r>
    </w:p>
    <w:tbl>
      <w:tblPr>
        <w:tblStyle w:val="lgy2"/>
        <w:tblW w:w="5000" w:type="pct"/>
        <w:tblLayout w:type="fixed"/>
        <w:tblCellMar>
          <w:left w:w="28" w:type="dxa"/>
          <w:right w:w="28" w:type="dxa"/>
        </w:tblCellMar>
        <w:tblLook w:val="04A0" w:firstRow="1" w:lastRow="0" w:firstColumn="1" w:lastColumn="0" w:noHBand="0" w:noVBand="1"/>
      </w:tblPr>
      <w:tblGrid>
        <w:gridCol w:w="739"/>
        <w:gridCol w:w="1606"/>
        <w:gridCol w:w="737"/>
        <w:gridCol w:w="1713"/>
        <w:gridCol w:w="1633"/>
        <w:gridCol w:w="1633"/>
        <w:gridCol w:w="1633"/>
      </w:tblGrid>
      <w:tr w:rsidR="002B55E9" w:rsidRPr="002B55E9" w14:paraId="2C5A888D" w14:textId="77777777" w:rsidTr="00494D6F">
        <w:trPr>
          <w:cnfStyle w:val="100000000000" w:firstRow="1" w:lastRow="0" w:firstColumn="0" w:lastColumn="0" w:oddVBand="0" w:evenVBand="0" w:oddHBand="0" w:evenHBand="0" w:firstRowFirstColumn="0" w:firstRowLastColumn="0" w:lastRowFirstColumn="0" w:lastRowLastColumn="0"/>
          <w:trHeight w:val="283"/>
        </w:trPr>
        <w:tc>
          <w:tcPr>
            <w:tcW w:w="734" w:type="dxa"/>
            <w:noWrap/>
          </w:tcPr>
          <w:p w14:paraId="189A21C5" w14:textId="77777777" w:rsidR="00D170E5" w:rsidRPr="002B55E9" w:rsidRDefault="00EF27AD" w:rsidP="00494D6F">
            <w:pPr>
              <w:pStyle w:val="lgy-"/>
              <w:rPr>
                <w:rFonts w:eastAsia="宋体"/>
              </w:rPr>
            </w:pPr>
            <w:r w:rsidRPr="002B55E9">
              <w:rPr>
                <w:rFonts w:eastAsia="宋体"/>
              </w:rPr>
              <w:t>编号</w:t>
            </w:r>
          </w:p>
        </w:tc>
        <w:tc>
          <w:tcPr>
            <w:tcW w:w="1596" w:type="dxa"/>
          </w:tcPr>
          <w:p w14:paraId="6C0E3D62" w14:textId="77777777" w:rsidR="00D170E5" w:rsidRPr="002B55E9" w:rsidRDefault="00EF27AD" w:rsidP="00494D6F">
            <w:pPr>
              <w:pStyle w:val="lgy-"/>
              <w:rPr>
                <w:rFonts w:eastAsia="宋体"/>
              </w:rPr>
            </w:pPr>
            <w:r w:rsidRPr="002B55E9">
              <w:rPr>
                <w:rFonts w:eastAsia="宋体"/>
              </w:rPr>
              <w:t>建筑名称</w:t>
            </w:r>
          </w:p>
        </w:tc>
        <w:tc>
          <w:tcPr>
            <w:tcW w:w="733" w:type="dxa"/>
            <w:noWrap/>
          </w:tcPr>
          <w:p w14:paraId="7955C8FE" w14:textId="77777777" w:rsidR="00D170E5" w:rsidRPr="002B55E9" w:rsidRDefault="00EF27AD" w:rsidP="00494D6F">
            <w:pPr>
              <w:pStyle w:val="lgy-"/>
              <w:rPr>
                <w:rFonts w:eastAsia="宋体"/>
              </w:rPr>
            </w:pPr>
            <w:r w:rsidRPr="002B55E9">
              <w:rPr>
                <w:rFonts w:eastAsia="宋体"/>
              </w:rPr>
              <w:t>层数</w:t>
            </w:r>
          </w:p>
        </w:tc>
        <w:tc>
          <w:tcPr>
            <w:tcW w:w="1703" w:type="dxa"/>
          </w:tcPr>
          <w:p w14:paraId="6B0CA3CB" w14:textId="77777777" w:rsidR="00D170E5" w:rsidRPr="002B55E9" w:rsidRDefault="00EF27AD" w:rsidP="00494D6F">
            <w:pPr>
              <w:pStyle w:val="lgy-"/>
              <w:rPr>
                <w:rFonts w:eastAsia="宋体"/>
              </w:rPr>
            </w:pPr>
            <w:r w:rsidRPr="002B55E9">
              <w:rPr>
                <w:rFonts w:eastAsia="宋体"/>
              </w:rPr>
              <w:t>建筑规划高度（</w:t>
            </w:r>
            <w:r w:rsidRPr="002B55E9">
              <w:rPr>
                <w:rFonts w:eastAsia="宋体"/>
              </w:rPr>
              <w:t>m</w:t>
            </w:r>
            <w:r w:rsidRPr="002B55E9">
              <w:rPr>
                <w:rFonts w:eastAsia="宋体"/>
              </w:rPr>
              <w:t>）</w:t>
            </w:r>
          </w:p>
        </w:tc>
        <w:tc>
          <w:tcPr>
            <w:tcW w:w="1624" w:type="dxa"/>
          </w:tcPr>
          <w:p w14:paraId="5EF495C2" w14:textId="77777777" w:rsidR="00D170E5" w:rsidRPr="002B55E9" w:rsidRDefault="00EF27AD" w:rsidP="00494D6F">
            <w:pPr>
              <w:pStyle w:val="lgy-"/>
              <w:rPr>
                <w:rFonts w:eastAsia="宋体"/>
              </w:rPr>
            </w:pPr>
            <w:r w:rsidRPr="002B55E9">
              <w:rPr>
                <w:rFonts w:eastAsia="宋体"/>
              </w:rPr>
              <w:t>基底面积（</w:t>
            </w:r>
            <w:r w:rsidRPr="002B55E9">
              <w:rPr>
                <w:rFonts w:eastAsia="宋体" w:hint="eastAsia"/>
              </w:rPr>
              <w:t>㎡）</w:t>
            </w:r>
          </w:p>
        </w:tc>
        <w:tc>
          <w:tcPr>
            <w:tcW w:w="1624" w:type="dxa"/>
          </w:tcPr>
          <w:p w14:paraId="68222CC9" w14:textId="77777777" w:rsidR="00D170E5" w:rsidRPr="002B55E9" w:rsidRDefault="00EF27AD" w:rsidP="00494D6F">
            <w:pPr>
              <w:pStyle w:val="lgy-"/>
              <w:rPr>
                <w:rFonts w:eastAsia="宋体"/>
              </w:rPr>
            </w:pPr>
            <w:r w:rsidRPr="002B55E9">
              <w:rPr>
                <w:rFonts w:eastAsia="宋体"/>
              </w:rPr>
              <w:t>建筑面积（</w:t>
            </w:r>
            <w:r w:rsidRPr="002B55E9">
              <w:rPr>
                <w:rFonts w:eastAsia="宋体" w:hint="eastAsia"/>
              </w:rPr>
              <w:t>㎡）</w:t>
            </w:r>
          </w:p>
        </w:tc>
        <w:tc>
          <w:tcPr>
            <w:tcW w:w="1624" w:type="dxa"/>
          </w:tcPr>
          <w:p w14:paraId="021CF7C9" w14:textId="77777777" w:rsidR="00D170E5" w:rsidRPr="002B55E9" w:rsidRDefault="00EF27AD" w:rsidP="00494D6F">
            <w:pPr>
              <w:pStyle w:val="lgy-"/>
              <w:rPr>
                <w:rFonts w:eastAsia="宋体"/>
              </w:rPr>
            </w:pPr>
            <w:r w:rsidRPr="002B55E9">
              <w:rPr>
                <w:rFonts w:eastAsia="宋体"/>
              </w:rPr>
              <w:t>计容面积（</w:t>
            </w:r>
            <w:r w:rsidRPr="002B55E9">
              <w:rPr>
                <w:rFonts w:eastAsia="宋体" w:hint="eastAsia"/>
              </w:rPr>
              <w:t>㎡）</w:t>
            </w:r>
          </w:p>
        </w:tc>
      </w:tr>
      <w:tr w:rsidR="002B55E9" w:rsidRPr="002B55E9" w14:paraId="1E771A10" w14:textId="77777777" w:rsidTr="00494D6F">
        <w:trPr>
          <w:trHeight w:val="283"/>
        </w:trPr>
        <w:tc>
          <w:tcPr>
            <w:tcW w:w="734" w:type="dxa"/>
            <w:noWrap/>
          </w:tcPr>
          <w:p w14:paraId="28355B59" w14:textId="77777777" w:rsidR="00D170E5" w:rsidRPr="002B55E9" w:rsidRDefault="00EF27AD" w:rsidP="00494D6F">
            <w:pPr>
              <w:pStyle w:val="lgy-"/>
              <w:rPr>
                <w:rFonts w:eastAsia="宋体"/>
              </w:rPr>
            </w:pPr>
            <w:r w:rsidRPr="002B55E9">
              <w:rPr>
                <w:rFonts w:eastAsia="宋体"/>
              </w:rPr>
              <w:t>1</w:t>
            </w:r>
          </w:p>
        </w:tc>
        <w:tc>
          <w:tcPr>
            <w:tcW w:w="1596" w:type="dxa"/>
            <w:noWrap/>
          </w:tcPr>
          <w:p w14:paraId="21FE32CF" w14:textId="77777777" w:rsidR="00D170E5" w:rsidRPr="002B55E9" w:rsidRDefault="00EF27AD" w:rsidP="00494D6F">
            <w:pPr>
              <w:pStyle w:val="lgy-"/>
              <w:rPr>
                <w:rFonts w:eastAsia="宋体"/>
              </w:rPr>
            </w:pPr>
            <w:r w:rsidRPr="002B55E9">
              <w:rPr>
                <w:rFonts w:eastAsia="宋体"/>
              </w:rPr>
              <w:t>十一车间</w:t>
            </w:r>
          </w:p>
        </w:tc>
        <w:tc>
          <w:tcPr>
            <w:tcW w:w="733" w:type="dxa"/>
            <w:noWrap/>
          </w:tcPr>
          <w:p w14:paraId="2FF001FF" w14:textId="195A4A68" w:rsidR="00D170E5" w:rsidRPr="002B55E9" w:rsidRDefault="00D170E5" w:rsidP="00494D6F">
            <w:pPr>
              <w:pStyle w:val="lgy-"/>
              <w:rPr>
                <w:rFonts w:eastAsia="宋体"/>
              </w:rPr>
            </w:pPr>
          </w:p>
        </w:tc>
        <w:tc>
          <w:tcPr>
            <w:tcW w:w="1703" w:type="dxa"/>
            <w:noWrap/>
          </w:tcPr>
          <w:p w14:paraId="25896277" w14:textId="37E53A3E" w:rsidR="00D170E5" w:rsidRPr="002B55E9" w:rsidRDefault="00D170E5" w:rsidP="00494D6F">
            <w:pPr>
              <w:pStyle w:val="lgy-"/>
              <w:rPr>
                <w:rFonts w:eastAsia="宋体"/>
              </w:rPr>
            </w:pPr>
          </w:p>
        </w:tc>
        <w:tc>
          <w:tcPr>
            <w:tcW w:w="1624" w:type="dxa"/>
            <w:noWrap/>
          </w:tcPr>
          <w:p w14:paraId="22932601" w14:textId="6FF83AC8" w:rsidR="00D170E5" w:rsidRPr="002B55E9" w:rsidRDefault="00D170E5" w:rsidP="00494D6F">
            <w:pPr>
              <w:pStyle w:val="lgy-"/>
              <w:rPr>
                <w:rFonts w:eastAsia="宋体"/>
              </w:rPr>
            </w:pPr>
          </w:p>
        </w:tc>
        <w:tc>
          <w:tcPr>
            <w:tcW w:w="1624" w:type="dxa"/>
            <w:noWrap/>
          </w:tcPr>
          <w:p w14:paraId="0225C5BD" w14:textId="20F3F7D4" w:rsidR="00D170E5" w:rsidRPr="002B55E9" w:rsidRDefault="00D170E5" w:rsidP="00494D6F">
            <w:pPr>
              <w:pStyle w:val="lgy-"/>
              <w:rPr>
                <w:rFonts w:eastAsia="宋体"/>
              </w:rPr>
            </w:pPr>
          </w:p>
        </w:tc>
        <w:tc>
          <w:tcPr>
            <w:tcW w:w="1624" w:type="dxa"/>
            <w:noWrap/>
          </w:tcPr>
          <w:p w14:paraId="7E1FA12C" w14:textId="4A774C84" w:rsidR="00D170E5" w:rsidRPr="002B55E9" w:rsidRDefault="00D170E5" w:rsidP="00494D6F">
            <w:pPr>
              <w:pStyle w:val="lgy-"/>
              <w:rPr>
                <w:rFonts w:eastAsia="宋体"/>
              </w:rPr>
            </w:pPr>
          </w:p>
        </w:tc>
      </w:tr>
      <w:tr w:rsidR="002B55E9" w:rsidRPr="002B55E9" w14:paraId="4395B41A" w14:textId="77777777" w:rsidTr="00494D6F">
        <w:trPr>
          <w:trHeight w:val="283"/>
        </w:trPr>
        <w:tc>
          <w:tcPr>
            <w:tcW w:w="734" w:type="dxa"/>
            <w:noWrap/>
          </w:tcPr>
          <w:p w14:paraId="5A2F92C8" w14:textId="77777777" w:rsidR="00D170E5" w:rsidRPr="002B55E9" w:rsidRDefault="00EF27AD" w:rsidP="00494D6F">
            <w:pPr>
              <w:pStyle w:val="lgy-"/>
              <w:rPr>
                <w:rFonts w:eastAsia="宋体"/>
              </w:rPr>
            </w:pPr>
            <w:r w:rsidRPr="002B55E9">
              <w:rPr>
                <w:rFonts w:eastAsia="宋体"/>
              </w:rPr>
              <w:t>3</w:t>
            </w:r>
          </w:p>
        </w:tc>
        <w:tc>
          <w:tcPr>
            <w:tcW w:w="1596" w:type="dxa"/>
            <w:noWrap/>
          </w:tcPr>
          <w:p w14:paraId="6E1EDA9F" w14:textId="77777777" w:rsidR="00D170E5" w:rsidRPr="002B55E9" w:rsidRDefault="00EF27AD" w:rsidP="00494D6F">
            <w:pPr>
              <w:pStyle w:val="lgy-"/>
              <w:rPr>
                <w:rFonts w:eastAsia="宋体"/>
              </w:rPr>
            </w:pPr>
            <w:r w:rsidRPr="002B55E9">
              <w:rPr>
                <w:rFonts w:eastAsia="宋体"/>
              </w:rPr>
              <w:t>十三车间</w:t>
            </w:r>
          </w:p>
        </w:tc>
        <w:tc>
          <w:tcPr>
            <w:tcW w:w="733" w:type="dxa"/>
            <w:noWrap/>
          </w:tcPr>
          <w:p w14:paraId="30B5E90B" w14:textId="5DBF4F40" w:rsidR="00D170E5" w:rsidRPr="002B55E9" w:rsidRDefault="00D170E5" w:rsidP="00494D6F">
            <w:pPr>
              <w:pStyle w:val="lgy-"/>
              <w:rPr>
                <w:rFonts w:eastAsia="宋体"/>
              </w:rPr>
            </w:pPr>
          </w:p>
        </w:tc>
        <w:tc>
          <w:tcPr>
            <w:tcW w:w="1703" w:type="dxa"/>
            <w:noWrap/>
          </w:tcPr>
          <w:p w14:paraId="4DBA1866" w14:textId="0F50284A" w:rsidR="00D170E5" w:rsidRPr="002B55E9" w:rsidRDefault="00D170E5" w:rsidP="00494D6F">
            <w:pPr>
              <w:pStyle w:val="lgy-"/>
              <w:rPr>
                <w:rFonts w:eastAsia="宋体"/>
              </w:rPr>
            </w:pPr>
          </w:p>
        </w:tc>
        <w:tc>
          <w:tcPr>
            <w:tcW w:w="1624" w:type="dxa"/>
            <w:noWrap/>
          </w:tcPr>
          <w:p w14:paraId="7746CCE1" w14:textId="112650CA" w:rsidR="00D170E5" w:rsidRPr="002B55E9" w:rsidRDefault="00D170E5" w:rsidP="00494D6F">
            <w:pPr>
              <w:pStyle w:val="lgy-"/>
              <w:rPr>
                <w:rFonts w:eastAsia="宋体"/>
              </w:rPr>
            </w:pPr>
          </w:p>
        </w:tc>
        <w:tc>
          <w:tcPr>
            <w:tcW w:w="1624" w:type="dxa"/>
            <w:noWrap/>
          </w:tcPr>
          <w:p w14:paraId="722ECD0B" w14:textId="05F607D0" w:rsidR="00D170E5" w:rsidRPr="002B55E9" w:rsidRDefault="00D170E5" w:rsidP="00494D6F">
            <w:pPr>
              <w:pStyle w:val="lgy-"/>
              <w:rPr>
                <w:rFonts w:eastAsia="宋体"/>
              </w:rPr>
            </w:pPr>
          </w:p>
        </w:tc>
        <w:tc>
          <w:tcPr>
            <w:tcW w:w="1624" w:type="dxa"/>
            <w:noWrap/>
          </w:tcPr>
          <w:p w14:paraId="087D2233" w14:textId="4A967367" w:rsidR="00D170E5" w:rsidRPr="002B55E9" w:rsidRDefault="00D170E5" w:rsidP="00494D6F">
            <w:pPr>
              <w:pStyle w:val="lgy-"/>
              <w:rPr>
                <w:rFonts w:eastAsia="宋体"/>
              </w:rPr>
            </w:pPr>
          </w:p>
        </w:tc>
      </w:tr>
      <w:tr w:rsidR="002B55E9" w:rsidRPr="002B55E9" w14:paraId="68E2B164" w14:textId="77777777" w:rsidTr="00494D6F">
        <w:trPr>
          <w:trHeight w:val="283"/>
        </w:trPr>
        <w:tc>
          <w:tcPr>
            <w:tcW w:w="734" w:type="dxa"/>
            <w:noWrap/>
          </w:tcPr>
          <w:p w14:paraId="612B1E6A" w14:textId="77777777" w:rsidR="00D170E5" w:rsidRPr="002B55E9" w:rsidRDefault="00EF27AD" w:rsidP="00494D6F">
            <w:pPr>
              <w:pStyle w:val="lgy-"/>
              <w:rPr>
                <w:rFonts w:eastAsia="宋体"/>
              </w:rPr>
            </w:pPr>
            <w:r w:rsidRPr="002B55E9">
              <w:rPr>
                <w:rFonts w:eastAsia="宋体" w:hint="eastAsia"/>
              </w:rPr>
              <w:t>4</w:t>
            </w:r>
          </w:p>
        </w:tc>
        <w:tc>
          <w:tcPr>
            <w:tcW w:w="1596" w:type="dxa"/>
            <w:noWrap/>
          </w:tcPr>
          <w:p w14:paraId="4E3AA199" w14:textId="77777777" w:rsidR="00D170E5" w:rsidRPr="002B55E9" w:rsidRDefault="00EF27AD" w:rsidP="00494D6F">
            <w:pPr>
              <w:pStyle w:val="lgy-"/>
              <w:rPr>
                <w:rFonts w:eastAsia="宋体"/>
              </w:rPr>
            </w:pPr>
            <w:r w:rsidRPr="002B55E9">
              <w:rPr>
                <w:rFonts w:eastAsia="宋体"/>
              </w:rPr>
              <w:t>罐区三</w:t>
            </w:r>
          </w:p>
        </w:tc>
        <w:tc>
          <w:tcPr>
            <w:tcW w:w="733" w:type="dxa"/>
            <w:noWrap/>
          </w:tcPr>
          <w:p w14:paraId="3A56434C" w14:textId="08D62325" w:rsidR="00D170E5" w:rsidRPr="002B55E9" w:rsidRDefault="00D170E5" w:rsidP="00494D6F">
            <w:pPr>
              <w:pStyle w:val="lgy-"/>
              <w:rPr>
                <w:rFonts w:eastAsia="宋体"/>
              </w:rPr>
            </w:pPr>
          </w:p>
        </w:tc>
        <w:tc>
          <w:tcPr>
            <w:tcW w:w="1703" w:type="dxa"/>
            <w:noWrap/>
          </w:tcPr>
          <w:p w14:paraId="1A6096D9" w14:textId="1A0EE510" w:rsidR="00D170E5" w:rsidRPr="002B55E9" w:rsidRDefault="00D170E5" w:rsidP="00494D6F">
            <w:pPr>
              <w:pStyle w:val="lgy-"/>
              <w:rPr>
                <w:rFonts w:eastAsia="宋体"/>
              </w:rPr>
            </w:pPr>
          </w:p>
        </w:tc>
        <w:tc>
          <w:tcPr>
            <w:tcW w:w="1624" w:type="dxa"/>
            <w:noWrap/>
          </w:tcPr>
          <w:p w14:paraId="0687CD51" w14:textId="48764724" w:rsidR="00D170E5" w:rsidRPr="002B55E9" w:rsidRDefault="00D170E5" w:rsidP="00494D6F">
            <w:pPr>
              <w:pStyle w:val="lgy-"/>
              <w:rPr>
                <w:rFonts w:eastAsia="宋体"/>
              </w:rPr>
            </w:pPr>
          </w:p>
        </w:tc>
        <w:tc>
          <w:tcPr>
            <w:tcW w:w="1624" w:type="dxa"/>
            <w:noWrap/>
          </w:tcPr>
          <w:p w14:paraId="22DC3EAC" w14:textId="7C940FFC" w:rsidR="00D170E5" w:rsidRPr="002B55E9" w:rsidRDefault="00D170E5" w:rsidP="00494D6F">
            <w:pPr>
              <w:pStyle w:val="lgy-"/>
              <w:rPr>
                <w:rFonts w:eastAsia="宋体"/>
              </w:rPr>
            </w:pPr>
          </w:p>
        </w:tc>
        <w:tc>
          <w:tcPr>
            <w:tcW w:w="1624" w:type="dxa"/>
            <w:noWrap/>
          </w:tcPr>
          <w:p w14:paraId="765D0055" w14:textId="57362391" w:rsidR="00D170E5" w:rsidRPr="002B55E9" w:rsidRDefault="00D170E5" w:rsidP="00494D6F">
            <w:pPr>
              <w:pStyle w:val="lgy-"/>
              <w:rPr>
                <w:rFonts w:eastAsia="宋体"/>
              </w:rPr>
            </w:pPr>
          </w:p>
        </w:tc>
      </w:tr>
      <w:tr w:rsidR="002B55E9" w:rsidRPr="002B55E9" w14:paraId="6DEE0B17" w14:textId="77777777" w:rsidTr="00494D6F">
        <w:trPr>
          <w:trHeight w:val="283"/>
        </w:trPr>
        <w:tc>
          <w:tcPr>
            <w:tcW w:w="734" w:type="dxa"/>
          </w:tcPr>
          <w:p w14:paraId="5BBC348D" w14:textId="77777777" w:rsidR="00D170E5" w:rsidRPr="002B55E9" w:rsidRDefault="00EF27AD" w:rsidP="00494D6F">
            <w:pPr>
              <w:pStyle w:val="lgy-"/>
              <w:rPr>
                <w:rFonts w:eastAsia="宋体"/>
              </w:rPr>
            </w:pPr>
            <w:r w:rsidRPr="002B55E9">
              <w:rPr>
                <w:rFonts w:eastAsia="宋体" w:hint="eastAsia"/>
              </w:rPr>
              <w:t>5</w:t>
            </w:r>
          </w:p>
        </w:tc>
        <w:tc>
          <w:tcPr>
            <w:tcW w:w="1596" w:type="dxa"/>
            <w:noWrap/>
          </w:tcPr>
          <w:p w14:paraId="5E38DC4A" w14:textId="77777777" w:rsidR="00D170E5" w:rsidRPr="002B55E9" w:rsidRDefault="00EF27AD" w:rsidP="00494D6F">
            <w:pPr>
              <w:pStyle w:val="lgy-"/>
              <w:rPr>
                <w:rFonts w:eastAsia="宋体"/>
              </w:rPr>
            </w:pPr>
            <w:r w:rsidRPr="002B55E9">
              <w:rPr>
                <w:rFonts w:eastAsia="宋体"/>
              </w:rPr>
              <w:t>罐区泵房</w:t>
            </w:r>
          </w:p>
        </w:tc>
        <w:tc>
          <w:tcPr>
            <w:tcW w:w="733" w:type="dxa"/>
            <w:noWrap/>
          </w:tcPr>
          <w:p w14:paraId="4667DF45" w14:textId="52FF569A" w:rsidR="00D170E5" w:rsidRPr="002B55E9" w:rsidRDefault="00D170E5" w:rsidP="00494D6F">
            <w:pPr>
              <w:pStyle w:val="lgy-"/>
              <w:rPr>
                <w:rFonts w:eastAsia="宋体"/>
              </w:rPr>
            </w:pPr>
          </w:p>
        </w:tc>
        <w:tc>
          <w:tcPr>
            <w:tcW w:w="1703" w:type="dxa"/>
            <w:noWrap/>
          </w:tcPr>
          <w:p w14:paraId="19ED327C" w14:textId="28AA457D" w:rsidR="00D170E5" w:rsidRPr="002B55E9" w:rsidRDefault="00D170E5" w:rsidP="00494D6F">
            <w:pPr>
              <w:pStyle w:val="lgy-"/>
              <w:rPr>
                <w:rFonts w:eastAsia="宋体"/>
              </w:rPr>
            </w:pPr>
          </w:p>
        </w:tc>
        <w:tc>
          <w:tcPr>
            <w:tcW w:w="1624" w:type="dxa"/>
            <w:noWrap/>
          </w:tcPr>
          <w:p w14:paraId="3BB67F69" w14:textId="27388356" w:rsidR="00D170E5" w:rsidRPr="002B55E9" w:rsidRDefault="00D170E5" w:rsidP="00494D6F">
            <w:pPr>
              <w:pStyle w:val="lgy-"/>
              <w:rPr>
                <w:rFonts w:eastAsia="宋体"/>
              </w:rPr>
            </w:pPr>
          </w:p>
        </w:tc>
        <w:tc>
          <w:tcPr>
            <w:tcW w:w="1624" w:type="dxa"/>
            <w:noWrap/>
          </w:tcPr>
          <w:p w14:paraId="6342BA1B" w14:textId="3E133330" w:rsidR="00D170E5" w:rsidRPr="002B55E9" w:rsidRDefault="00D170E5" w:rsidP="00494D6F">
            <w:pPr>
              <w:pStyle w:val="lgy-"/>
              <w:rPr>
                <w:rFonts w:eastAsia="宋体"/>
              </w:rPr>
            </w:pPr>
          </w:p>
        </w:tc>
        <w:tc>
          <w:tcPr>
            <w:tcW w:w="1624" w:type="dxa"/>
            <w:noWrap/>
          </w:tcPr>
          <w:p w14:paraId="11EA8B48" w14:textId="019F9414" w:rsidR="00D170E5" w:rsidRPr="002B55E9" w:rsidRDefault="00D170E5" w:rsidP="00494D6F">
            <w:pPr>
              <w:pStyle w:val="lgy-"/>
              <w:rPr>
                <w:rFonts w:eastAsia="宋体"/>
              </w:rPr>
            </w:pPr>
          </w:p>
        </w:tc>
      </w:tr>
      <w:tr w:rsidR="002B55E9" w:rsidRPr="002B55E9" w14:paraId="294F5598" w14:textId="77777777" w:rsidTr="00494D6F">
        <w:trPr>
          <w:trHeight w:val="283"/>
        </w:trPr>
        <w:tc>
          <w:tcPr>
            <w:tcW w:w="734" w:type="dxa"/>
            <w:vMerge w:val="restart"/>
            <w:noWrap/>
          </w:tcPr>
          <w:p w14:paraId="602C6B90" w14:textId="77777777" w:rsidR="00D170E5" w:rsidRPr="002B55E9" w:rsidRDefault="00EF27AD" w:rsidP="00494D6F">
            <w:pPr>
              <w:pStyle w:val="lgy-"/>
              <w:rPr>
                <w:rFonts w:eastAsia="宋体"/>
              </w:rPr>
            </w:pPr>
            <w:r w:rsidRPr="002B55E9">
              <w:rPr>
                <w:rFonts w:eastAsia="宋体" w:hint="eastAsia"/>
              </w:rPr>
              <w:t>6</w:t>
            </w:r>
          </w:p>
        </w:tc>
        <w:tc>
          <w:tcPr>
            <w:tcW w:w="1596" w:type="dxa"/>
            <w:noWrap/>
          </w:tcPr>
          <w:p w14:paraId="2327570B" w14:textId="77777777" w:rsidR="00D170E5" w:rsidRPr="002B55E9" w:rsidRDefault="00EF27AD" w:rsidP="00494D6F">
            <w:pPr>
              <w:pStyle w:val="lgy-"/>
              <w:rPr>
                <w:rFonts w:eastAsia="宋体"/>
              </w:rPr>
            </w:pPr>
            <w:r w:rsidRPr="002B55E9">
              <w:rPr>
                <w:rFonts w:eastAsia="宋体"/>
              </w:rPr>
              <w:t>酒精罐区</w:t>
            </w:r>
          </w:p>
        </w:tc>
        <w:tc>
          <w:tcPr>
            <w:tcW w:w="733" w:type="dxa"/>
            <w:noWrap/>
          </w:tcPr>
          <w:p w14:paraId="374311C5" w14:textId="77777777" w:rsidR="00D170E5" w:rsidRPr="002B55E9" w:rsidRDefault="00EF27AD" w:rsidP="00494D6F">
            <w:pPr>
              <w:pStyle w:val="lgy-"/>
              <w:rPr>
                <w:rFonts w:eastAsia="宋体"/>
              </w:rPr>
            </w:pPr>
            <w:r w:rsidRPr="002B55E9">
              <w:rPr>
                <w:rFonts w:eastAsia="宋体"/>
              </w:rPr>
              <w:t>1</w:t>
            </w:r>
          </w:p>
        </w:tc>
        <w:tc>
          <w:tcPr>
            <w:tcW w:w="1703" w:type="dxa"/>
            <w:noWrap/>
          </w:tcPr>
          <w:p w14:paraId="230D8511" w14:textId="62007C5C" w:rsidR="00D170E5" w:rsidRPr="002B55E9" w:rsidRDefault="00D170E5" w:rsidP="00494D6F">
            <w:pPr>
              <w:pStyle w:val="lgy-"/>
              <w:rPr>
                <w:rFonts w:eastAsia="宋体"/>
              </w:rPr>
            </w:pPr>
          </w:p>
        </w:tc>
        <w:tc>
          <w:tcPr>
            <w:tcW w:w="1624" w:type="dxa"/>
            <w:noWrap/>
          </w:tcPr>
          <w:p w14:paraId="58B69020" w14:textId="47AFBEFF" w:rsidR="00D170E5" w:rsidRPr="002B55E9" w:rsidRDefault="00D170E5" w:rsidP="00494D6F">
            <w:pPr>
              <w:pStyle w:val="lgy-"/>
              <w:rPr>
                <w:rFonts w:eastAsia="宋体"/>
              </w:rPr>
            </w:pPr>
          </w:p>
        </w:tc>
        <w:tc>
          <w:tcPr>
            <w:tcW w:w="1624" w:type="dxa"/>
            <w:noWrap/>
          </w:tcPr>
          <w:p w14:paraId="6EC4093E" w14:textId="3C3F1F51" w:rsidR="00D170E5" w:rsidRPr="002B55E9" w:rsidRDefault="00D170E5" w:rsidP="00494D6F">
            <w:pPr>
              <w:pStyle w:val="lgy-"/>
              <w:rPr>
                <w:rFonts w:eastAsia="宋体"/>
              </w:rPr>
            </w:pPr>
          </w:p>
        </w:tc>
        <w:tc>
          <w:tcPr>
            <w:tcW w:w="1624" w:type="dxa"/>
            <w:noWrap/>
          </w:tcPr>
          <w:p w14:paraId="71A385C2" w14:textId="5CA148BB" w:rsidR="00D170E5" w:rsidRPr="002B55E9" w:rsidRDefault="00D170E5" w:rsidP="00494D6F">
            <w:pPr>
              <w:pStyle w:val="lgy-"/>
              <w:rPr>
                <w:rFonts w:eastAsia="宋体"/>
              </w:rPr>
            </w:pPr>
          </w:p>
        </w:tc>
      </w:tr>
      <w:tr w:rsidR="002B55E9" w:rsidRPr="002B55E9" w14:paraId="05682FCA" w14:textId="77777777" w:rsidTr="00494D6F">
        <w:trPr>
          <w:trHeight w:val="283"/>
        </w:trPr>
        <w:tc>
          <w:tcPr>
            <w:tcW w:w="734" w:type="dxa"/>
            <w:vMerge/>
          </w:tcPr>
          <w:p w14:paraId="63937445" w14:textId="77777777" w:rsidR="00D170E5" w:rsidRPr="002B55E9" w:rsidRDefault="00D170E5" w:rsidP="00494D6F">
            <w:pPr>
              <w:pStyle w:val="lgy-"/>
              <w:rPr>
                <w:rFonts w:eastAsia="宋体"/>
              </w:rPr>
            </w:pPr>
          </w:p>
        </w:tc>
        <w:tc>
          <w:tcPr>
            <w:tcW w:w="1596" w:type="dxa"/>
            <w:noWrap/>
          </w:tcPr>
          <w:p w14:paraId="2AE062EB" w14:textId="77777777" w:rsidR="00D170E5" w:rsidRPr="002B55E9" w:rsidRDefault="00EF27AD" w:rsidP="00494D6F">
            <w:pPr>
              <w:pStyle w:val="lgy-"/>
              <w:rPr>
                <w:rFonts w:eastAsia="宋体"/>
              </w:rPr>
            </w:pPr>
            <w:r w:rsidRPr="002B55E9">
              <w:rPr>
                <w:rFonts w:eastAsia="宋体"/>
              </w:rPr>
              <w:t>泵房</w:t>
            </w:r>
            <w:r w:rsidRPr="002B55E9">
              <w:rPr>
                <w:rFonts w:eastAsia="宋体"/>
              </w:rPr>
              <w:t>4</w:t>
            </w:r>
          </w:p>
        </w:tc>
        <w:tc>
          <w:tcPr>
            <w:tcW w:w="733" w:type="dxa"/>
            <w:noWrap/>
          </w:tcPr>
          <w:p w14:paraId="7D3FA1C4" w14:textId="77777777" w:rsidR="00D170E5" w:rsidRPr="002B55E9" w:rsidRDefault="00EF27AD" w:rsidP="00494D6F">
            <w:pPr>
              <w:pStyle w:val="lgy-"/>
              <w:rPr>
                <w:rFonts w:eastAsia="宋体"/>
              </w:rPr>
            </w:pPr>
            <w:r w:rsidRPr="002B55E9">
              <w:rPr>
                <w:rFonts w:eastAsia="宋体"/>
              </w:rPr>
              <w:t>1</w:t>
            </w:r>
          </w:p>
        </w:tc>
        <w:tc>
          <w:tcPr>
            <w:tcW w:w="1703" w:type="dxa"/>
            <w:noWrap/>
          </w:tcPr>
          <w:p w14:paraId="0D2DD896" w14:textId="327013C3" w:rsidR="00D170E5" w:rsidRPr="002B55E9" w:rsidRDefault="00D170E5" w:rsidP="00494D6F">
            <w:pPr>
              <w:pStyle w:val="lgy-"/>
              <w:rPr>
                <w:rFonts w:eastAsia="宋体"/>
              </w:rPr>
            </w:pPr>
          </w:p>
        </w:tc>
        <w:tc>
          <w:tcPr>
            <w:tcW w:w="1624" w:type="dxa"/>
            <w:noWrap/>
          </w:tcPr>
          <w:p w14:paraId="32DABA0D" w14:textId="10B2F3EA" w:rsidR="00D170E5" w:rsidRPr="002B55E9" w:rsidRDefault="00D170E5" w:rsidP="00494D6F">
            <w:pPr>
              <w:pStyle w:val="lgy-"/>
              <w:rPr>
                <w:rFonts w:eastAsia="宋体"/>
              </w:rPr>
            </w:pPr>
          </w:p>
        </w:tc>
        <w:tc>
          <w:tcPr>
            <w:tcW w:w="1624" w:type="dxa"/>
            <w:noWrap/>
          </w:tcPr>
          <w:p w14:paraId="0C204A1C" w14:textId="3C4403D7" w:rsidR="00D170E5" w:rsidRPr="002B55E9" w:rsidRDefault="00D170E5" w:rsidP="00494D6F">
            <w:pPr>
              <w:pStyle w:val="lgy-"/>
              <w:rPr>
                <w:rFonts w:eastAsia="宋体"/>
              </w:rPr>
            </w:pPr>
          </w:p>
        </w:tc>
        <w:tc>
          <w:tcPr>
            <w:tcW w:w="1624" w:type="dxa"/>
            <w:noWrap/>
          </w:tcPr>
          <w:p w14:paraId="4DC7CF4A" w14:textId="185432EA" w:rsidR="00D170E5" w:rsidRPr="002B55E9" w:rsidRDefault="00D170E5" w:rsidP="00494D6F">
            <w:pPr>
              <w:pStyle w:val="lgy-"/>
              <w:rPr>
                <w:rFonts w:eastAsia="宋体"/>
              </w:rPr>
            </w:pPr>
          </w:p>
        </w:tc>
      </w:tr>
      <w:tr w:rsidR="002B55E9" w:rsidRPr="002B55E9" w14:paraId="576AD939" w14:textId="77777777" w:rsidTr="00494D6F">
        <w:trPr>
          <w:trHeight w:val="283"/>
        </w:trPr>
        <w:tc>
          <w:tcPr>
            <w:tcW w:w="734" w:type="dxa"/>
            <w:noWrap/>
          </w:tcPr>
          <w:p w14:paraId="08FE0D10" w14:textId="77777777" w:rsidR="00D170E5" w:rsidRPr="002B55E9" w:rsidRDefault="00EF27AD" w:rsidP="00494D6F">
            <w:pPr>
              <w:pStyle w:val="lgy-"/>
              <w:rPr>
                <w:rFonts w:eastAsia="宋体"/>
              </w:rPr>
            </w:pPr>
            <w:r w:rsidRPr="002B55E9">
              <w:rPr>
                <w:rFonts w:eastAsia="宋体" w:hint="eastAsia"/>
              </w:rPr>
              <w:t>7</w:t>
            </w:r>
          </w:p>
        </w:tc>
        <w:tc>
          <w:tcPr>
            <w:tcW w:w="1596" w:type="dxa"/>
            <w:noWrap/>
          </w:tcPr>
          <w:p w14:paraId="1547C687" w14:textId="77777777" w:rsidR="00D170E5" w:rsidRPr="002B55E9" w:rsidRDefault="00EF27AD" w:rsidP="00494D6F">
            <w:pPr>
              <w:pStyle w:val="lgy-"/>
              <w:rPr>
                <w:rFonts w:eastAsia="宋体"/>
              </w:rPr>
            </w:pPr>
            <w:r w:rsidRPr="002B55E9">
              <w:rPr>
                <w:rFonts w:eastAsia="宋体"/>
              </w:rPr>
              <w:t>地磅车间</w:t>
            </w:r>
            <w:r w:rsidRPr="002B55E9">
              <w:rPr>
                <w:rFonts w:eastAsia="宋体"/>
              </w:rPr>
              <w:t>3</w:t>
            </w:r>
          </w:p>
        </w:tc>
        <w:tc>
          <w:tcPr>
            <w:tcW w:w="733" w:type="dxa"/>
            <w:noWrap/>
          </w:tcPr>
          <w:p w14:paraId="7D97E6DB" w14:textId="77777777" w:rsidR="00D170E5" w:rsidRPr="002B55E9" w:rsidRDefault="00EF27AD" w:rsidP="00494D6F">
            <w:pPr>
              <w:pStyle w:val="lgy-"/>
              <w:rPr>
                <w:rFonts w:eastAsia="宋体"/>
              </w:rPr>
            </w:pPr>
            <w:r w:rsidRPr="002B55E9">
              <w:rPr>
                <w:rFonts w:eastAsia="宋体"/>
              </w:rPr>
              <w:t>1</w:t>
            </w:r>
          </w:p>
        </w:tc>
        <w:tc>
          <w:tcPr>
            <w:tcW w:w="1703" w:type="dxa"/>
            <w:noWrap/>
          </w:tcPr>
          <w:p w14:paraId="47805A24" w14:textId="7131EC62" w:rsidR="00D170E5" w:rsidRPr="002B55E9" w:rsidRDefault="00D170E5" w:rsidP="00494D6F">
            <w:pPr>
              <w:pStyle w:val="lgy-"/>
              <w:rPr>
                <w:rFonts w:eastAsia="宋体"/>
              </w:rPr>
            </w:pPr>
          </w:p>
        </w:tc>
        <w:tc>
          <w:tcPr>
            <w:tcW w:w="1624" w:type="dxa"/>
            <w:noWrap/>
          </w:tcPr>
          <w:p w14:paraId="220EF737" w14:textId="23466058" w:rsidR="00D170E5" w:rsidRPr="002B55E9" w:rsidRDefault="00D170E5" w:rsidP="00494D6F">
            <w:pPr>
              <w:pStyle w:val="lgy-"/>
              <w:rPr>
                <w:rFonts w:eastAsia="宋体"/>
              </w:rPr>
            </w:pPr>
          </w:p>
        </w:tc>
        <w:tc>
          <w:tcPr>
            <w:tcW w:w="1624" w:type="dxa"/>
            <w:noWrap/>
          </w:tcPr>
          <w:p w14:paraId="332EAE2E" w14:textId="5DEAC34B" w:rsidR="00D170E5" w:rsidRPr="002B55E9" w:rsidRDefault="00D170E5" w:rsidP="00494D6F">
            <w:pPr>
              <w:pStyle w:val="lgy-"/>
              <w:rPr>
                <w:rFonts w:eastAsia="宋体"/>
              </w:rPr>
            </w:pPr>
          </w:p>
        </w:tc>
        <w:tc>
          <w:tcPr>
            <w:tcW w:w="1624" w:type="dxa"/>
            <w:noWrap/>
          </w:tcPr>
          <w:p w14:paraId="20DCF334" w14:textId="1252FE59" w:rsidR="00D170E5" w:rsidRPr="002B55E9" w:rsidRDefault="00D170E5" w:rsidP="00494D6F">
            <w:pPr>
              <w:pStyle w:val="lgy-"/>
              <w:rPr>
                <w:rFonts w:eastAsia="宋体"/>
              </w:rPr>
            </w:pPr>
          </w:p>
        </w:tc>
      </w:tr>
    </w:tbl>
    <w:p w14:paraId="391C368D" w14:textId="77777777" w:rsidR="00D170E5" w:rsidRPr="002B55E9" w:rsidRDefault="00D170E5">
      <w:pPr>
        <w:pStyle w:val="1f3"/>
        <w:snapToGrid w:val="0"/>
        <w:spacing w:beforeLines="0" w:before="0"/>
      </w:pPr>
    </w:p>
    <w:p w14:paraId="0577971E" w14:textId="77777777" w:rsidR="00DC785B" w:rsidRPr="002B55E9" w:rsidRDefault="00DC785B">
      <w:pPr>
        <w:pStyle w:val="1f3"/>
        <w:snapToGrid w:val="0"/>
        <w:spacing w:beforeLines="0" w:before="0"/>
      </w:pPr>
    </w:p>
    <w:p w14:paraId="73ED8C2B" w14:textId="77777777" w:rsidR="00D170E5" w:rsidRPr="002B55E9" w:rsidRDefault="00EF27AD">
      <w:pPr>
        <w:pStyle w:val="3"/>
      </w:pPr>
      <w:bookmarkStart w:id="145" w:name="_Toc119308979"/>
      <w:r w:rsidRPr="002B55E9">
        <w:rPr>
          <w:rFonts w:hint="eastAsia"/>
        </w:rPr>
        <w:t>项目</w:t>
      </w:r>
      <w:r w:rsidRPr="002B55E9">
        <w:t>周边环境及总平面布置</w:t>
      </w:r>
      <w:bookmarkEnd w:id="145"/>
    </w:p>
    <w:p w14:paraId="7B273338" w14:textId="77777777" w:rsidR="00D170E5" w:rsidRPr="002B55E9" w:rsidRDefault="00EF27AD">
      <w:pPr>
        <w:pStyle w:val="4"/>
        <w:rPr>
          <w:color w:val="auto"/>
        </w:rPr>
      </w:pPr>
      <w:r w:rsidRPr="002B55E9">
        <w:rPr>
          <w:rFonts w:hint="eastAsia"/>
          <w:color w:val="auto"/>
        </w:rPr>
        <w:t>周边</w:t>
      </w:r>
      <w:r w:rsidRPr="002B55E9">
        <w:rPr>
          <w:color w:val="auto"/>
        </w:rPr>
        <w:t>环境</w:t>
      </w:r>
    </w:p>
    <w:p w14:paraId="6353181A" w14:textId="7C914A8E" w:rsidR="00C968B1" w:rsidRPr="002B55E9" w:rsidRDefault="00C968B1">
      <w:pPr>
        <w:pStyle w:val="aa"/>
      </w:pPr>
      <w:r w:rsidRPr="002B55E9">
        <w:rPr>
          <w:rFonts w:hint="eastAsia"/>
        </w:rPr>
        <w:t>拟建项目位于武汉市东西湖区革新大道以西、兴工六路以南，项目地块目前为空地，地块东侧为革新大道，南侧紧邻佛山市海天（武汉）调味食品有限公司海天调味品建设项目（一期）用地（在建），西侧为荷兴路（在建），北侧为兴工六路。距离地块最近敏感目标为</w:t>
      </w:r>
      <w:r w:rsidR="006D37FD" w:rsidRPr="002B55E9">
        <w:rPr>
          <w:rFonts w:hint="eastAsia"/>
        </w:rPr>
        <w:t>东侧约</w:t>
      </w:r>
      <w:r w:rsidR="006D37FD" w:rsidRPr="002B55E9">
        <w:rPr>
          <w:rFonts w:hint="eastAsia"/>
        </w:rPr>
        <w:t>770</w:t>
      </w:r>
      <w:r w:rsidR="006D37FD" w:rsidRPr="002B55E9">
        <w:rPr>
          <w:rFonts w:hint="eastAsia"/>
        </w:rPr>
        <w:t>处</w:t>
      </w:r>
      <w:r w:rsidR="006D37FD" w:rsidRPr="002B55E9">
        <w:t>的</w:t>
      </w:r>
      <w:r w:rsidR="006D37FD" w:rsidRPr="002B55E9">
        <w:rPr>
          <w:rFonts w:hint="eastAsia"/>
        </w:rPr>
        <w:t>飞利浦希望小学和</w:t>
      </w:r>
      <w:r w:rsidRPr="002B55E9">
        <w:rPr>
          <w:rFonts w:hint="eastAsia"/>
        </w:rPr>
        <w:t>西北侧约</w:t>
      </w:r>
      <w:r w:rsidRPr="002B55E9">
        <w:t>800m</w:t>
      </w:r>
      <w:r w:rsidRPr="002B55E9">
        <w:rPr>
          <w:rFonts w:hint="eastAsia"/>
        </w:rPr>
        <w:t>处的燕岭社区。</w:t>
      </w:r>
    </w:p>
    <w:p w14:paraId="4FED976E" w14:textId="77777777" w:rsidR="00D170E5" w:rsidRPr="002B55E9" w:rsidRDefault="00EF27AD">
      <w:pPr>
        <w:pStyle w:val="4"/>
        <w:rPr>
          <w:color w:val="auto"/>
        </w:rPr>
      </w:pPr>
      <w:r w:rsidRPr="002B55E9">
        <w:rPr>
          <w:rFonts w:hint="eastAsia"/>
          <w:color w:val="auto"/>
        </w:rPr>
        <w:t>总</w:t>
      </w:r>
      <w:r w:rsidRPr="002B55E9">
        <w:rPr>
          <w:color w:val="auto"/>
        </w:rPr>
        <w:t>平面布置</w:t>
      </w:r>
    </w:p>
    <w:p w14:paraId="6B864DBA" w14:textId="77777777" w:rsidR="00C968B1" w:rsidRPr="002B55E9" w:rsidRDefault="00C968B1" w:rsidP="00C968B1">
      <w:pPr>
        <w:pStyle w:val="aa"/>
      </w:pPr>
      <w:r w:rsidRPr="002B55E9">
        <w:rPr>
          <w:rFonts w:hint="eastAsia"/>
        </w:rPr>
        <w:lastRenderedPageBreak/>
        <w:t>项目地块呈梯形，本次建设的十一车间、十三车间位于厂区中部南侧，罐区三位于厂区西侧，酒精罐区位于厂区西北侧，危废暂存间位于罐区三的泵房北侧。</w:t>
      </w:r>
    </w:p>
    <w:p w14:paraId="1A60C525" w14:textId="5DE3ABB9" w:rsidR="00C968B1" w:rsidRPr="002B55E9" w:rsidRDefault="00C968B1" w:rsidP="00C968B1">
      <w:pPr>
        <w:pStyle w:val="aa"/>
      </w:pPr>
      <w:r w:rsidRPr="002B55E9">
        <w:rPr>
          <w:rFonts w:hint="eastAsia"/>
        </w:rPr>
        <w:t>厂区中部北侧的十四车间、十五车间，东部的十车间、十七车间、罐区一以及罐区二均为后期</w:t>
      </w:r>
      <w:r w:rsidR="00E1005A" w:rsidRPr="002B55E9">
        <w:rPr>
          <w:rFonts w:hint="eastAsia"/>
        </w:rPr>
        <w:t>二期</w:t>
      </w:r>
      <w:r w:rsidRPr="002B55E9">
        <w:rPr>
          <w:rFonts w:hint="eastAsia"/>
        </w:rPr>
        <w:t>项目预留用地，不在本次评价范围内</w:t>
      </w:r>
      <w:r w:rsidR="00E1005A" w:rsidRPr="002B55E9">
        <w:rPr>
          <w:rFonts w:hint="eastAsia"/>
        </w:rPr>
        <w:t>。经与建设单位</w:t>
      </w:r>
      <w:r w:rsidR="00E1005A" w:rsidRPr="002B55E9">
        <w:t>核实，</w:t>
      </w:r>
      <w:r w:rsidR="00E1005A" w:rsidRPr="002B55E9">
        <w:rPr>
          <w:rFonts w:hint="eastAsia"/>
        </w:rPr>
        <w:t>二期</w:t>
      </w:r>
      <w:r w:rsidR="00E1005A" w:rsidRPr="002B55E9">
        <w:t>项目预计</w:t>
      </w:r>
      <w:r w:rsidR="00E1005A" w:rsidRPr="002B55E9">
        <w:rPr>
          <w:rFonts w:hint="eastAsia"/>
        </w:rPr>
        <w:t>202</w:t>
      </w:r>
      <w:r w:rsidR="00E1005A" w:rsidRPr="002B55E9">
        <w:t>4</w:t>
      </w:r>
      <w:r w:rsidR="00E1005A" w:rsidRPr="002B55E9">
        <w:rPr>
          <w:rFonts w:hint="eastAsia"/>
        </w:rPr>
        <w:t>年</w:t>
      </w:r>
      <w:r w:rsidR="00E1005A" w:rsidRPr="002B55E9">
        <w:t>开始建设</w:t>
      </w:r>
      <w:r w:rsidR="00E1005A" w:rsidRPr="002B55E9">
        <w:rPr>
          <w:rFonts w:hint="eastAsia"/>
        </w:rPr>
        <w:t>，</w:t>
      </w:r>
      <w:r w:rsidR="00E1005A" w:rsidRPr="002B55E9">
        <w:t>后续项目开工前建设单位需依法办理相应环评手续。</w:t>
      </w:r>
    </w:p>
    <w:p w14:paraId="24D67EDC" w14:textId="4E046858" w:rsidR="00D170E5" w:rsidRPr="002B55E9" w:rsidRDefault="00EF27AD">
      <w:pPr>
        <w:pStyle w:val="aa"/>
      </w:pPr>
      <w:r w:rsidRPr="002B55E9">
        <w:rPr>
          <w:rFonts w:hint="eastAsia"/>
        </w:rPr>
        <w:t>本项目所依托的佛山市海天（武汉）调味食品有限公司污水处理站及应急事故池位于厂区外西侧，距本项目西</w:t>
      </w:r>
      <w:r w:rsidR="00C968B1" w:rsidRPr="002B55E9">
        <w:rPr>
          <w:rFonts w:hint="eastAsia"/>
        </w:rPr>
        <w:t>侧</w:t>
      </w:r>
      <w:r w:rsidRPr="002B55E9">
        <w:rPr>
          <w:rFonts w:hint="eastAsia"/>
        </w:rPr>
        <w:t>厂界约</w:t>
      </w:r>
      <w:r w:rsidRPr="002B55E9">
        <w:rPr>
          <w:rFonts w:hint="eastAsia"/>
        </w:rPr>
        <w:t>3</w:t>
      </w:r>
      <w:r w:rsidRPr="002B55E9">
        <w:t>00</w:t>
      </w:r>
      <w:r w:rsidRPr="002B55E9">
        <w:rPr>
          <w:rFonts w:hint="eastAsia"/>
        </w:rPr>
        <w:t>m</w:t>
      </w:r>
      <w:r w:rsidRPr="002B55E9">
        <w:rPr>
          <w:rFonts w:hint="eastAsia"/>
        </w:rPr>
        <w:t>。</w:t>
      </w:r>
    </w:p>
    <w:p w14:paraId="53CD7DC3" w14:textId="77777777" w:rsidR="00D170E5" w:rsidRPr="002B55E9" w:rsidRDefault="00EF27AD">
      <w:pPr>
        <w:pStyle w:val="3"/>
      </w:pPr>
      <w:bookmarkStart w:id="146" w:name="_Toc119308980"/>
      <w:r w:rsidRPr="002B55E9">
        <w:rPr>
          <w:rFonts w:hint="eastAsia"/>
        </w:rPr>
        <w:t>产品方案</w:t>
      </w:r>
      <w:bookmarkEnd w:id="146"/>
    </w:p>
    <w:p w14:paraId="0D5E7264" w14:textId="77777777" w:rsidR="00D170E5" w:rsidRPr="002B55E9" w:rsidRDefault="00EF27AD">
      <w:pPr>
        <w:pStyle w:val="aa"/>
        <w:snapToGrid w:val="0"/>
      </w:pPr>
      <w:r w:rsidRPr="002B55E9">
        <w:rPr>
          <w:rFonts w:hint="eastAsia"/>
        </w:rPr>
        <w:t>拟建项目主要从事料酒、白米醋、陈香醋的生产。</w:t>
      </w:r>
    </w:p>
    <w:p w14:paraId="7B5723EA" w14:textId="52091B57" w:rsidR="00D170E5" w:rsidRDefault="00EF27AD">
      <w:pPr>
        <w:pStyle w:val="1f3"/>
        <w:snapToGrid w:val="0"/>
        <w:spacing w:beforeLines="0" w:before="0"/>
      </w:pPr>
      <w:r w:rsidRPr="002B55E9">
        <w:rPr>
          <w:rFonts w:hint="eastAsia"/>
        </w:rPr>
        <w:t>表</w:t>
      </w:r>
      <w:r w:rsidRPr="002B55E9">
        <w:rPr>
          <w:rFonts w:hint="eastAsia"/>
        </w:rPr>
        <w:t>2</w:t>
      </w:r>
      <w:r w:rsidRPr="002B55E9">
        <w:t xml:space="preserve">-3-1  </w:t>
      </w:r>
      <w:r w:rsidRPr="002B55E9">
        <w:rPr>
          <w:rFonts w:hint="eastAsia"/>
        </w:rPr>
        <w:t>拟建项目生产情况一览表</w:t>
      </w:r>
    </w:p>
    <w:p w14:paraId="2FF7DE71" w14:textId="77777777" w:rsidR="00C60999" w:rsidRDefault="00C60999" w:rsidP="00C60999">
      <w:pPr>
        <w:pStyle w:val="1f3"/>
        <w:spacing w:beforeLines="0" w:before="0"/>
      </w:pPr>
    </w:p>
    <w:p w14:paraId="531D514B"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331BEE1C" w14:textId="77777777" w:rsidR="00C60999" w:rsidRPr="002B55E9" w:rsidRDefault="00C60999">
      <w:pPr>
        <w:pStyle w:val="1f3"/>
        <w:snapToGrid w:val="0"/>
        <w:spacing w:beforeLines="0" w:before="0"/>
      </w:pPr>
    </w:p>
    <w:p w14:paraId="1B2E43A9" w14:textId="39CD7D58" w:rsidR="00B622DC" w:rsidRPr="002B55E9" w:rsidRDefault="00EF27AD">
      <w:pPr>
        <w:pStyle w:val="aa"/>
        <w:rPr>
          <w:szCs w:val="24"/>
        </w:rPr>
      </w:pPr>
      <w:r w:rsidRPr="002B55E9">
        <w:rPr>
          <w:rFonts w:hint="eastAsia"/>
          <w:szCs w:val="24"/>
        </w:rPr>
        <w:t>项目产品标准需符合《调味料酒》（</w:t>
      </w:r>
      <w:r w:rsidRPr="002B55E9">
        <w:rPr>
          <w:rFonts w:hint="eastAsia"/>
          <w:szCs w:val="24"/>
        </w:rPr>
        <w:t>S</w:t>
      </w:r>
      <w:r w:rsidRPr="002B55E9">
        <w:rPr>
          <w:szCs w:val="24"/>
        </w:rPr>
        <w:t>B/T10416-2007</w:t>
      </w:r>
      <w:r w:rsidRPr="002B55E9">
        <w:rPr>
          <w:rFonts w:hint="eastAsia"/>
          <w:szCs w:val="24"/>
        </w:rPr>
        <w:t>）、《酿造食醋》（</w:t>
      </w:r>
      <w:r w:rsidRPr="002B55E9">
        <w:rPr>
          <w:rFonts w:hint="eastAsia"/>
          <w:szCs w:val="24"/>
        </w:rPr>
        <w:t>G</w:t>
      </w:r>
      <w:r w:rsidRPr="002B55E9">
        <w:rPr>
          <w:szCs w:val="24"/>
        </w:rPr>
        <w:t>B18187-2000</w:t>
      </w:r>
      <w:r w:rsidRPr="002B55E9">
        <w:rPr>
          <w:rFonts w:hint="eastAsia"/>
          <w:szCs w:val="24"/>
        </w:rPr>
        <w:t>）要求，具体产品质量标准见表</w:t>
      </w:r>
      <w:r w:rsidRPr="002B55E9">
        <w:rPr>
          <w:szCs w:val="24"/>
        </w:rPr>
        <w:t>2-3-2</w:t>
      </w:r>
      <w:r w:rsidRPr="002B55E9">
        <w:rPr>
          <w:rFonts w:hint="eastAsia"/>
          <w:szCs w:val="24"/>
        </w:rPr>
        <w:t>所示：</w:t>
      </w:r>
    </w:p>
    <w:p w14:paraId="0C0182E4" w14:textId="77777777" w:rsidR="00D170E5" w:rsidRPr="002B55E9" w:rsidRDefault="00EF27AD">
      <w:pPr>
        <w:pStyle w:val="1f3"/>
        <w:snapToGrid w:val="0"/>
        <w:spacing w:beforeLines="0" w:before="0"/>
      </w:pPr>
      <w:r w:rsidRPr="002B55E9">
        <w:rPr>
          <w:rFonts w:hint="eastAsia"/>
        </w:rPr>
        <w:t>表</w:t>
      </w:r>
      <w:r w:rsidRPr="002B55E9">
        <w:rPr>
          <w:rFonts w:hint="eastAsia"/>
        </w:rPr>
        <w:t>2</w:t>
      </w:r>
      <w:r w:rsidRPr="002B55E9">
        <w:t xml:space="preserve">-3-2  </w:t>
      </w:r>
      <w:r w:rsidRPr="002B55E9">
        <w:rPr>
          <w:rFonts w:hint="eastAsia"/>
        </w:rPr>
        <w:t>拟建项目产品标准一览表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53"/>
        <w:gridCol w:w="2357"/>
        <w:gridCol w:w="2774"/>
        <w:gridCol w:w="3154"/>
      </w:tblGrid>
      <w:tr w:rsidR="002B55E9" w:rsidRPr="002B55E9" w14:paraId="5C36BE3D" w14:textId="77777777">
        <w:trPr>
          <w:trHeight w:val="255"/>
        </w:trPr>
        <w:tc>
          <w:tcPr>
            <w:tcW w:w="1353" w:type="dxa"/>
            <w:tcBorders>
              <w:top w:val="single" w:sz="12" w:space="0" w:color="auto"/>
              <w:bottom w:val="single" w:sz="12" w:space="0" w:color="auto"/>
            </w:tcBorders>
            <w:vAlign w:val="center"/>
          </w:tcPr>
          <w:p w14:paraId="310724E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产品</w:t>
            </w:r>
          </w:p>
        </w:tc>
        <w:tc>
          <w:tcPr>
            <w:tcW w:w="2357" w:type="dxa"/>
            <w:tcBorders>
              <w:top w:val="single" w:sz="12" w:space="0" w:color="auto"/>
              <w:bottom w:val="single" w:sz="12" w:space="0" w:color="auto"/>
            </w:tcBorders>
            <w:vAlign w:val="center"/>
          </w:tcPr>
          <w:p w14:paraId="7A1F2447"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产品标准</w:t>
            </w:r>
          </w:p>
        </w:tc>
        <w:tc>
          <w:tcPr>
            <w:tcW w:w="2774" w:type="dxa"/>
            <w:tcBorders>
              <w:top w:val="single" w:sz="12" w:space="0" w:color="auto"/>
              <w:bottom w:val="single" w:sz="12" w:space="0" w:color="auto"/>
            </w:tcBorders>
          </w:tcPr>
          <w:p w14:paraId="17BFB5C0"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指标</w:t>
            </w:r>
          </w:p>
        </w:tc>
        <w:tc>
          <w:tcPr>
            <w:tcW w:w="3154" w:type="dxa"/>
            <w:tcBorders>
              <w:top w:val="single" w:sz="12" w:space="0" w:color="auto"/>
              <w:bottom w:val="single" w:sz="12" w:space="0" w:color="auto"/>
            </w:tcBorders>
          </w:tcPr>
          <w:p w14:paraId="30AC474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要求</w:t>
            </w:r>
          </w:p>
        </w:tc>
      </w:tr>
      <w:tr w:rsidR="002B55E9" w:rsidRPr="002B55E9" w14:paraId="7C3072C8" w14:textId="77777777">
        <w:trPr>
          <w:trHeight w:val="255"/>
        </w:trPr>
        <w:tc>
          <w:tcPr>
            <w:tcW w:w="1353" w:type="dxa"/>
            <w:vMerge w:val="restart"/>
            <w:tcBorders>
              <w:top w:val="single" w:sz="12" w:space="0" w:color="auto"/>
            </w:tcBorders>
            <w:vAlign w:val="center"/>
          </w:tcPr>
          <w:p w14:paraId="3B2D0F6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料酒</w:t>
            </w:r>
          </w:p>
        </w:tc>
        <w:tc>
          <w:tcPr>
            <w:tcW w:w="2357" w:type="dxa"/>
            <w:vMerge w:val="restart"/>
            <w:tcBorders>
              <w:top w:val="single" w:sz="12" w:space="0" w:color="auto"/>
            </w:tcBorders>
            <w:vAlign w:val="center"/>
          </w:tcPr>
          <w:p w14:paraId="4AB4320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S</w:t>
            </w:r>
            <w:r w:rsidRPr="002B55E9">
              <w:rPr>
                <w:sz w:val="18"/>
                <w:szCs w:val="18"/>
              </w:rPr>
              <w:t>B/T10416</w:t>
            </w:r>
            <w:r w:rsidRPr="002B55E9">
              <w:rPr>
                <w:rFonts w:hint="eastAsia"/>
                <w:sz w:val="18"/>
                <w:szCs w:val="18"/>
              </w:rPr>
              <w:t>《调味料酒》</w:t>
            </w:r>
          </w:p>
        </w:tc>
        <w:tc>
          <w:tcPr>
            <w:tcW w:w="2774" w:type="dxa"/>
            <w:tcBorders>
              <w:top w:val="single" w:sz="12" w:space="0" w:color="auto"/>
            </w:tcBorders>
          </w:tcPr>
          <w:p w14:paraId="7DEF9040"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色泽</w:t>
            </w:r>
          </w:p>
        </w:tc>
        <w:tc>
          <w:tcPr>
            <w:tcW w:w="3154" w:type="dxa"/>
            <w:tcBorders>
              <w:top w:val="single" w:sz="12" w:space="0" w:color="auto"/>
            </w:tcBorders>
          </w:tcPr>
          <w:p w14:paraId="6A7DEE6B"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色泽</w:t>
            </w:r>
            <w:r w:rsidRPr="002B55E9">
              <w:rPr>
                <w:sz w:val="18"/>
                <w:szCs w:val="18"/>
              </w:rPr>
              <w:t>浅黄至黄褐色、有光泽</w:t>
            </w:r>
          </w:p>
        </w:tc>
      </w:tr>
      <w:tr w:rsidR="002B55E9" w:rsidRPr="002B55E9" w14:paraId="4A935158" w14:textId="77777777">
        <w:trPr>
          <w:trHeight w:val="255"/>
        </w:trPr>
        <w:tc>
          <w:tcPr>
            <w:tcW w:w="1353" w:type="dxa"/>
            <w:vMerge/>
            <w:vAlign w:val="center"/>
          </w:tcPr>
          <w:p w14:paraId="69B062C8"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2ECA83E0" w14:textId="77777777" w:rsidR="00D170E5" w:rsidRPr="002B55E9" w:rsidRDefault="00D170E5">
            <w:pPr>
              <w:pStyle w:val="aa"/>
              <w:snapToGrid w:val="0"/>
              <w:spacing w:line="240" w:lineRule="auto"/>
              <w:ind w:firstLine="0"/>
              <w:jc w:val="center"/>
              <w:rPr>
                <w:sz w:val="18"/>
                <w:szCs w:val="18"/>
              </w:rPr>
            </w:pPr>
          </w:p>
        </w:tc>
        <w:tc>
          <w:tcPr>
            <w:tcW w:w="2774" w:type="dxa"/>
          </w:tcPr>
          <w:p w14:paraId="2A31ED76"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香气</w:t>
            </w:r>
          </w:p>
        </w:tc>
        <w:tc>
          <w:tcPr>
            <w:tcW w:w="3154" w:type="dxa"/>
          </w:tcPr>
          <w:p w14:paraId="586F8D79"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具有</w:t>
            </w:r>
            <w:r w:rsidRPr="002B55E9">
              <w:rPr>
                <w:sz w:val="18"/>
                <w:szCs w:val="18"/>
              </w:rPr>
              <w:t>调味料酒</w:t>
            </w:r>
            <w:r w:rsidRPr="002B55E9">
              <w:rPr>
                <w:rFonts w:hint="eastAsia"/>
                <w:sz w:val="18"/>
                <w:szCs w:val="18"/>
              </w:rPr>
              <w:t>特有</w:t>
            </w:r>
            <w:r w:rsidRPr="002B55E9">
              <w:rPr>
                <w:sz w:val="18"/>
                <w:szCs w:val="18"/>
              </w:rPr>
              <w:t>的醇香，香气协调</w:t>
            </w:r>
          </w:p>
        </w:tc>
      </w:tr>
      <w:tr w:rsidR="002B55E9" w:rsidRPr="002B55E9" w14:paraId="71433937" w14:textId="77777777">
        <w:trPr>
          <w:trHeight w:val="255"/>
        </w:trPr>
        <w:tc>
          <w:tcPr>
            <w:tcW w:w="1353" w:type="dxa"/>
            <w:vMerge/>
            <w:vAlign w:val="center"/>
          </w:tcPr>
          <w:p w14:paraId="10A47683"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10633564" w14:textId="77777777" w:rsidR="00D170E5" w:rsidRPr="002B55E9" w:rsidRDefault="00D170E5">
            <w:pPr>
              <w:pStyle w:val="aa"/>
              <w:snapToGrid w:val="0"/>
              <w:spacing w:line="240" w:lineRule="auto"/>
              <w:ind w:firstLine="0"/>
              <w:jc w:val="center"/>
              <w:rPr>
                <w:sz w:val="18"/>
                <w:szCs w:val="18"/>
              </w:rPr>
            </w:pPr>
          </w:p>
        </w:tc>
        <w:tc>
          <w:tcPr>
            <w:tcW w:w="2774" w:type="dxa"/>
          </w:tcPr>
          <w:p w14:paraId="490400D7"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滋味</w:t>
            </w:r>
          </w:p>
        </w:tc>
        <w:tc>
          <w:tcPr>
            <w:tcW w:w="3154" w:type="dxa"/>
          </w:tcPr>
          <w:p w14:paraId="39A104D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滋味</w:t>
            </w:r>
            <w:r w:rsidRPr="002B55E9">
              <w:rPr>
                <w:sz w:val="18"/>
                <w:szCs w:val="18"/>
              </w:rPr>
              <w:t>纯正</w:t>
            </w:r>
            <w:r w:rsidRPr="002B55E9">
              <w:rPr>
                <w:rFonts w:hint="eastAsia"/>
                <w:sz w:val="18"/>
                <w:szCs w:val="18"/>
              </w:rPr>
              <w:t>、</w:t>
            </w:r>
            <w:r w:rsidRPr="002B55E9">
              <w:rPr>
                <w:sz w:val="18"/>
                <w:szCs w:val="18"/>
              </w:rPr>
              <w:t>无异味</w:t>
            </w:r>
          </w:p>
        </w:tc>
      </w:tr>
      <w:tr w:rsidR="002B55E9" w:rsidRPr="002B55E9" w14:paraId="3945AE41" w14:textId="77777777">
        <w:trPr>
          <w:trHeight w:val="255"/>
        </w:trPr>
        <w:tc>
          <w:tcPr>
            <w:tcW w:w="1353" w:type="dxa"/>
            <w:vMerge/>
            <w:vAlign w:val="center"/>
          </w:tcPr>
          <w:p w14:paraId="3AF6EB04"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2DA2D1FE" w14:textId="77777777" w:rsidR="00D170E5" w:rsidRPr="002B55E9" w:rsidRDefault="00D170E5">
            <w:pPr>
              <w:pStyle w:val="aa"/>
              <w:snapToGrid w:val="0"/>
              <w:spacing w:line="240" w:lineRule="auto"/>
              <w:ind w:firstLine="0"/>
              <w:jc w:val="center"/>
              <w:rPr>
                <w:sz w:val="18"/>
                <w:szCs w:val="18"/>
              </w:rPr>
            </w:pPr>
          </w:p>
        </w:tc>
        <w:tc>
          <w:tcPr>
            <w:tcW w:w="2774" w:type="dxa"/>
          </w:tcPr>
          <w:p w14:paraId="5A5ED96F"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体态</w:t>
            </w:r>
          </w:p>
        </w:tc>
        <w:tc>
          <w:tcPr>
            <w:tcW w:w="3154" w:type="dxa"/>
          </w:tcPr>
          <w:p w14:paraId="03C8613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清亮</w:t>
            </w:r>
            <w:r w:rsidRPr="002B55E9">
              <w:rPr>
                <w:sz w:val="18"/>
                <w:szCs w:val="18"/>
              </w:rPr>
              <w:t>透明、允许有微量聚集物</w:t>
            </w:r>
          </w:p>
        </w:tc>
      </w:tr>
      <w:tr w:rsidR="002B55E9" w:rsidRPr="002B55E9" w14:paraId="527FB666" w14:textId="77777777">
        <w:trPr>
          <w:trHeight w:val="255"/>
        </w:trPr>
        <w:tc>
          <w:tcPr>
            <w:tcW w:w="1353" w:type="dxa"/>
            <w:vMerge/>
            <w:vAlign w:val="center"/>
          </w:tcPr>
          <w:p w14:paraId="413ACD74"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07E8ACD1" w14:textId="77777777" w:rsidR="00D170E5" w:rsidRPr="002B55E9" w:rsidRDefault="00D170E5">
            <w:pPr>
              <w:pStyle w:val="aa"/>
              <w:snapToGrid w:val="0"/>
              <w:spacing w:line="240" w:lineRule="auto"/>
              <w:ind w:firstLine="0"/>
              <w:jc w:val="center"/>
              <w:rPr>
                <w:sz w:val="18"/>
                <w:szCs w:val="18"/>
              </w:rPr>
            </w:pPr>
          </w:p>
        </w:tc>
        <w:tc>
          <w:tcPr>
            <w:tcW w:w="2774" w:type="dxa"/>
          </w:tcPr>
          <w:p w14:paraId="043A80F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酒精</w:t>
            </w:r>
            <w:r w:rsidRPr="002B55E9">
              <w:rPr>
                <w:sz w:val="18"/>
                <w:szCs w:val="18"/>
              </w:rPr>
              <w:t>度（</w:t>
            </w:r>
            <w:r w:rsidRPr="002B55E9">
              <w:rPr>
                <w:rFonts w:hint="eastAsia"/>
                <w:sz w:val="18"/>
                <w:szCs w:val="18"/>
              </w:rPr>
              <w:t>20</w:t>
            </w:r>
            <w:r w:rsidRPr="002B55E9">
              <w:rPr>
                <w:rFonts w:hint="eastAsia"/>
                <w:sz w:val="18"/>
                <w:szCs w:val="18"/>
              </w:rPr>
              <w:t>℃</w:t>
            </w:r>
            <w:r w:rsidRPr="002B55E9">
              <w:rPr>
                <w:sz w:val="18"/>
                <w:szCs w:val="18"/>
              </w:rPr>
              <w:t>）</w:t>
            </w:r>
            <w:r w:rsidRPr="002B55E9">
              <w:rPr>
                <w:rFonts w:hint="eastAsia"/>
                <w:sz w:val="18"/>
                <w:szCs w:val="18"/>
              </w:rPr>
              <w:t>%</w:t>
            </w:r>
            <w:r w:rsidRPr="002B55E9">
              <w:rPr>
                <w:sz w:val="18"/>
                <w:szCs w:val="18"/>
              </w:rPr>
              <w:t>vol</w:t>
            </w:r>
          </w:p>
        </w:tc>
        <w:tc>
          <w:tcPr>
            <w:tcW w:w="3154" w:type="dxa"/>
          </w:tcPr>
          <w:p w14:paraId="5371DEDD"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10.0</w:t>
            </w:r>
          </w:p>
        </w:tc>
      </w:tr>
      <w:tr w:rsidR="002B55E9" w:rsidRPr="002B55E9" w14:paraId="30CD8651" w14:textId="77777777">
        <w:trPr>
          <w:trHeight w:val="255"/>
        </w:trPr>
        <w:tc>
          <w:tcPr>
            <w:tcW w:w="1353" w:type="dxa"/>
            <w:vMerge/>
            <w:vAlign w:val="center"/>
          </w:tcPr>
          <w:p w14:paraId="08855966"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7EC35892" w14:textId="77777777" w:rsidR="00D170E5" w:rsidRPr="002B55E9" w:rsidRDefault="00D170E5">
            <w:pPr>
              <w:pStyle w:val="aa"/>
              <w:snapToGrid w:val="0"/>
              <w:spacing w:line="240" w:lineRule="auto"/>
              <w:ind w:firstLine="0"/>
              <w:jc w:val="center"/>
              <w:rPr>
                <w:sz w:val="18"/>
                <w:szCs w:val="18"/>
              </w:rPr>
            </w:pPr>
          </w:p>
        </w:tc>
        <w:tc>
          <w:tcPr>
            <w:tcW w:w="2774" w:type="dxa"/>
          </w:tcPr>
          <w:p w14:paraId="2729D3EC"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氨基酸态氮</w:t>
            </w:r>
            <w:r w:rsidRPr="002B55E9">
              <w:rPr>
                <w:sz w:val="18"/>
                <w:szCs w:val="18"/>
              </w:rPr>
              <w:t>（</w:t>
            </w:r>
            <w:r w:rsidRPr="002B55E9">
              <w:rPr>
                <w:rFonts w:hint="eastAsia"/>
                <w:sz w:val="18"/>
                <w:szCs w:val="18"/>
              </w:rPr>
              <w:t>g/L</w:t>
            </w:r>
            <w:r w:rsidRPr="002B55E9">
              <w:rPr>
                <w:sz w:val="18"/>
                <w:szCs w:val="18"/>
              </w:rPr>
              <w:t>）</w:t>
            </w:r>
          </w:p>
        </w:tc>
        <w:tc>
          <w:tcPr>
            <w:tcW w:w="3154" w:type="dxa"/>
          </w:tcPr>
          <w:p w14:paraId="0AB3DA62"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0.2</w:t>
            </w:r>
          </w:p>
        </w:tc>
      </w:tr>
      <w:tr w:rsidR="002B55E9" w:rsidRPr="002B55E9" w14:paraId="36102BF4" w14:textId="77777777">
        <w:trPr>
          <w:trHeight w:val="255"/>
        </w:trPr>
        <w:tc>
          <w:tcPr>
            <w:tcW w:w="1353" w:type="dxa"/>
            <w:vMerge/>
            <w:vAlign w:val="center"/>
          </w:tcPr>
          <w:p w14:paraId="57A6AB6A"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300AE11E" w14:textId="77777777" w:rsidR="00D170E5" w:rsidRPr="002B55E9" w:rsidRDefault="00D170E5">
            <w:pPr>
              <w:pStyle w:val="aa"/>
              <w:snapToGrid w:val="0"/>
              <w:spacing w:line="240" w:lineRule="auto"/>
              <w:ind w:firstLine="0"/>
              <w:jc w:val="center"/>
              <w:rPr>
                <w:sz w:val="18"/>
                <w:szCs w:val="18"/>
              </w:rPr>
            </w:pPr>
          </w:p>
        </w:tc>
        <w:tc>
          <w:tcPr>
            <w:tcW w:w="2774" w:type="dxa"/>
          </w:tcPr>
          <w:p w14:paraId="2C6B0D0C"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总算</w:t>
            </w:r>
            <w:r w:rsidRPr="002B55E9">
              <w:rPr>
                <w:sz w:val="18"/>
                <w:szCs w:val="18"/>
              </w:rPr>
              <w:t>（</w:t>
            </w:r>
            <w:r w:rsidRPr="002B55E9">
              <w:rPr>
                <w:rFonts w:hint="eastAsia"/>
                <w:sz w:val="18"/>
                <w:szCs w:val="18"/>
              </w:rPr>
              <w:t>以</w:t>
            </w:r>
            <w:r w:rsidRPr="002B55E9">
              <w:rPr>
                <w:sz w:val="18"/>
                <w:szCs w:val="18"/>
              </w:rPr>
              <w:t>乳酸</w:t>
            </w:r>
            <w:r w:rsidRPr="002B55E9">
              <w:rPr>
                <w:rFonts w:hint="eastAsia"/>
                <w:sz w:val="18"/>
                <w:szCs w:val="18"/>
              </w:rPr>
              <w:t>计</w:t>
            </w:r>
            <w:r w:rsidRPr="002B55E9">
              <w:rPr>
                <w:sz w:val="18"/>
                <w:szCs w:val="18"/>
              </w:rPr>
              <w:t>）（</w:t>
            </w:r>
            <w:r w:rsidRPr="002B55E9">
              <w:rPr>
                <w:rFonts w:hint="eastAsia"/>
                <w:sz w:val="18"/>
                <w:szCs w:val="18"/>
              </w:rPr>
              <w:t>g/L</w:t>
            </w:r>
            <w:r w:rsidRPr="002B55E9">
              <w:rPr>
                <w:sz w:val="18"/>
                <w:szCs w:val="18"/>
              </w:rPr>
              <w:t>）</w:t>
            </w:r>
          </w:p>
        </w:tc>
        <w:tc>
          <w:tcPr>
            <w:tcW w:w="3154" w:type="dxa"/>
          </w:tcPr>
          <w:p w14:paraId="21E05456"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5.0</w:t>
            </w:r>
          </w:p>
        </w:tc>
      </w:tr>
      <w:tr w:rsidR="002B55E9" w:rsidRPr="002B55E9" w14:paraId="2AD3EDD5" w14:textId="77777777">
        <w:trPr>
          <w:trHeight w:val="255"/>
        </w:trPr>
        <w:tc>
          <w:tcPr>
            <w:tcW w:w="1353" w:type="dxa"/>
            <w:vMerge/>
            <w:vAlign w:val="center"/>
          </w:tcPr>
          <w:p w14:paraId="2572F8C6"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46BE8232" w14:textId="77777777" w:rsidR="00D170E5" w:rsidRPr="002B55E9" w:rsidRDefault="00D170E5">
            <w:pPr>
              <w:pStyle w:val="aa"/>
              <w:snapToGrid w:val="0"/>
              <w:spacing w:line="240" w:lineRule="auto"/>
              <w:ind w:firstLine="0"/>
              <w:jc w:val="center"/>
              <w:rPr>
                <w:sz w:val="18"/>
                <w:szCs w:val="18"/>
              </w:rPr>
            </w:pPr>
          </w:p>
        </w:tc>
        <w:tc>
          <w:tcPr>
            <w:tcW w:w="2774" w:type="dxa"/>
          </w:tcPr>
          <w:p w14:paraId="15958FD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食盐</w:t>
            </w:r>
            <w:r w:rsidRPr="002B55E9">
              <w:rPr>
                <w:sz w:val="18"/>
                <w:szCs w:val="18"/>
              </w:rPr>
              <w:t>（</w:t>
            </w:r>
            <w:r w:rsidRPr="002B55E9">
              <w:rPr>
                <w:rFonts w:hint="eastAsia"/>
                <w:sz w:val="18"/>
                <w:szCs w:val="18"/>
              </w:rPr>
              <w:t>以</w:t>
            </w:r>
            <w:r w:rsidRPr="002B55E9">
              <w:rPr>
                <w:sz w:val="18"/>
                <w:szCs w:val="18"/>
              </w:rPr>
              <w:t>氯化钠计）</w:t>
            </w:r>
            <w:r w:rsidRPr="002B55E9">
              <w:rPr>
                <w:rFonts w:hint="eastAsia"/>
                <w:sz w:val="18"/>
                <w:szCs w:val="18"/>
              </w:rPr>
              <w:t>（</w:t>
            </w:r>
            <w:r w:rsidRPr="002B55E9">
              <w:rPr>
                <w:rFonts w:hint="eastAsia"/>
                <w:sz w:val="18"/>
                <w:szCs w:val="18"/>
              </w:rPr>
              <w:t>g/L</w:t>
            </w:r>
            <w:r w:rsidRPr="002B55E9">
              <w:rPr>
                <w:rFonts w:hint="eastAsia"/>
                <w:sz w:val="18"/>
                <w:szCs w:val="18"/>
              </w:rPr>
              <w:t>）</w:t>
            </w:r>
          </w:p>
        </w:tc>
        <w:tc>
          <w:tcPr>
            <w:tcW w:w="3154" w:type="dxa"/>
          </w:tcPr>
          <w:p w14:paraId="25BBA5CA"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10.0</w:t>
            </w:r>
          </w:p>
        </w:tc>
      </w:tr>
      <w:tr w:rsidR="002B55E9" w:rsidRPr="002B55E9" w14:paraId="76BC2474" w14:textId="77777777">
        <w:trPr>
          <w:trHeight w:val="255"/>
        </w:trPr>
        <w:tc>
          <w:tcPr>
            <w:tcW w:w="1353" w:type="dxa"/>
            <w:vMerge w:val="restart"/>
            <w:vAlign w:val="center"/>
          </w:tcPr>
          <w:p w14:paraId="1F57C7BE"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白米醋</w:t>
            </w:r>
          </w:p>
          <w:p w14:paraId="059682D1"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陈香醋</w:t>
            </w:r>
          </w:p>
        </w:tc>
        <w:tc>
          <w:tcPr>
            <w:tcW w:w="2357" w:type="dxa"/>
            <w:vMerge w:val="restart"/>
            <w:vAlign w:val="center"/>
          </w:tcPr>
          <w:p w14:paraId="7A2547A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G</w:t>
            </w:r>
            <w:r w:rsidRPr="002B55E9">
              <w:rPr>
                <w:sz w:val="18"/>
                <w:szCs w:val="18"/>
              </w:rPr>
              <w:t>B/T18187</w:t>
            </w:r>
            <w:r w:rsidRPr="002B55E9">
              <w:rPr>
                <w:rFonts w:hint="eastAsia"/>
                <w:sz w:val="18"/>
                <w:szCs w:val="18"/>
              </w:rPr>
              <w:t>《酿造食醋》</w:t>
            </w:r>
          </w:p>
          <w:p w14:paraId="033A55DE"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液态</w:t>
            </w:r>
            <w:r w:rsidRPr="002B55E9">
              <w:rPr>
                <w:sz w:val="18"/>
                <w:szCs w:val="18"/>
              </w:rPr>
              <w:t>发酵</w:t>
            </w:r>
            <w:r w:rsidRPr="002B55E9">
              <w:rPr>
                <w:rFonts w:hint="eastAsia"/>
                <w:sz w:val="18"/>
                <w:szCs w:val="18"/>
              </w:rPr>
              <w:t>食醋</w:t>
            </w:r>
          </w:p>
        </w:tc>
        <w:tc>
          <w:tcPr>
            <w:tcW w:w="2774" w:type="dxa"/>
          </w:tcPr>
          <w:p w14:paraId="6FFCDFB7"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色泽</w:t>
            </w:r>
          </w:p>
        </w:tc>
        <w:tc>
          <w:tcPr>
            <w:tcW w:w="3154" w:type="dxa"/>
          </w:tcPr>
          <w:p w14:paraId="531F66EB"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具有</w:t>
            </w:r>
            <w:r w:rsidRPr="002B55E9">
              <w:rPr>
                <w:sz w:val="18"/>
                <w:szCs w:val="18"/>
              </w:rPr>
              <w:t>液态发酵食醋固有的色泽</w:t>
            </w:r>
          </w:p>
        </w:tc>
      </w:tr>
      <w:tr w:rsidR="002B55E9" w:rsidRPr="002B55E9" w14:paraId="29208D31" w14:textId="77777777">
        <w:trPr>
          <w:trHeight w:val="255"/>
        </w:trPr>
        <w:tc>
          <w:tcPr>
            <w:tcW w:w="1353" w:type="dxa"/>
            <w:vMerge/>
            <w:vAlign w:val="center"/>
          </w:tcPr>
          <w:p w14:paraId="2ACF633D" w14:textId="77777777" w:rsidR="00D170E5" w:rsidRPr="002B55E9" w:rsidRDefault="00D170E5">
            <w:pPr>
              <w:pStyle w:val="aa"/>
              <w:snapToGrid w:val="0"/>
              <w:spacing w:line="240" w:lineRule="auto"/>
              <w:jc w:val="center"/>
              <w:rPr>
                <w:sz w:val="18"/>
                <w:szCs w:val="18"/>
              </w:rPr>
            </w:pPr>
          </w:p>
        </w:tc>
        <w:tc>
          <w:tcPr>
            <w:tcW w:w="2357" w:type="dxa"/>
            <w:vMerge/>
            <w:vAlign w:val="center"/>
          </w:tcPr>
          <w:p w14:paraId="711EE09E" w14:textId="77777777" w:rsidR="00D170E5" w:rsidRPr="002B55E9" w:rsidRDefault="00D170E5">
            <w:pPr>
              <w:pStyle w:val="aa"/>
              <w:snapToGrid w:val="0"/>
              <w:spacing w:line="240" w:lineRule="auto"/>
              <w:jc w:val="center"/>
              <w:rPr>
                <w:sz w:val="18"/>
                <w:szCs w:val="18"/>
              </w:rPr>
            </w:pPr>
          </w:p>
        </w:tc>
        <w:tc>
          <w:tcPr>
            <w:tcW w:w="2774" w:type="dxa"/>
          </w:tcPr>
          <w:p w14:paraId="489BF5D9"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香气</w:t>
            </w:r>
          </w:p>
        </w:tc>
        <w:tc>
          <w:tcPr>
            <w:tcW w:w="3154" w:type="dxa"/>
          </w:tcPr>
          <w:p w14:paraId="223367C4"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具有</w:t>
            </w:r>
            <w:r w:rsidRPr="002B55E9">
              <w:rPr>
                <w:sz w:val="18"/>
                <w:szCs w:val="18"/>
              </w:rPr>
              <w:t>液态</w:t>
            </w:r>
            <w:r w:rsidRPr="002B55E9">
              <w:rPr>
                <w:rFonts w:hint="eastAsia"/>
                <w:sz w:val="18"/>
                <w:szCs w:val="18"/>
              </w:rPr>
              <w:t>发酵</w:t>
            </w:r>
            <w:r w:rsidRPr="002B55E9">
              <w:rPr>
                <w:sz w:val="18"/>
                <w:szCs w:val="18"/>
              </w:rPr>
              <w:t>食醋特有的香气</w:t>
            </w:r>
          </w:p>
        </w:tc>
      </w:tr>
      <w:tr w:rsidR="002B55E9" w:rsidRPr="002B55E9" w14:paraId="71B310AB" w14:textId="77777777">
        <w:trPr>
          <w:trHeight w:val="255"/>
        </w:trPr>
        <w:tc>
          <w:tcPr>
            <w:tcW w:w="1353" w:type="dxa"/>
            <w:vMerge/>
            <w:vAlign w:val="center"/>
          </w:tcPr>
          <w:p w14:paraId="60D5531C" w14:textId="77777777" w:rsidR="00D170E5" w:rsidRPr="002B55E9" w:rsidRDefault="00D170E5">
            <w:pPr>
              <w:pStyle w:val="aa"/>
              <w:snapToGrid w:val="0"/>
              <w:spacing w:line="240" w:lineRule="auto"/>
              <w:jc w:val="center"/>
              <w:rPr>
                <w:sz w:val="18"/>
                <w:szCs w:val="18"/>
              </w:rPr>
            </w:pPr>
          </w:p>
        </w:tc>
        <w:tc>
          <w:tcPr>
            <w:tcW w:w="2357" w:type="dxa"/>
            <w:vMerge/>
            <w:vAlign w:val="center"/>
          </w:tcPr>
          <w:p w14:paraId="72E24FDB" w14:textId="77777777" w:rsidR="00D170E5" w:rsidRPr="002B55E9" w:rsidRDefault="00D170E5">
            <w:pPr>
              <w:pStyle w:val="aa"/>
              <w:snapToGrid w:val="0"/>
              <w:spacing w:line="240" w:lineRule="auto"/>
              <w:jc w:val="center"/>
              <w:rPr>
                <w:sz w:val="18"/>
                <w:szCs w:val="18"/>
              </w:rPr>
            </w:pPr>
          </w:p>
        </w:tc>
        <w:tc>
          <w:tcPr>
            <w:tcW w:w="2774" w:type="dxa"/>
          </w:tcPr>
          <w:p w14:paraId="6F1E79F8"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滋味</w:t>
            </w:r>
          </w:p>
        </w:tc>
        <w:tc>
          <w:tcPr>
            <w:tcW w:w="3154" w:type="dxa"/>
          </w:tcPr>
          <w:p w14:paraId="7F3A1135"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酸味</w:t>
            </w:r>
            <w:r w:rsidRPr="002B55E9">
              <w:rPr>
                <w:sz w:val="18"/>
                <w:szCs w:val="18"/>
              </w:rPr>
              <w:t>柔和，无异味</w:t>
            </w:r>
          </w:p>
        </w:tc>
      </w:tr>
      <w:tr w:rsidR="002B55E9" w:rsidRPr="002B55E9" w14:paraId="01C68E01" w14:textId="77777777">
        <w:trPr>
          <w:trHeight w:val="255"/>
        </w:trPr>
        <w:tc>
          <w:tcPr>
            <w:tcW w:w="1353" w:type="dxa"/>
            <w:vMerge/>
            <w:vAlign w:val="center"/>
          </w:tcPr>
          <w:p w14:paraId="7D93580B" w14:textId="77777777" w:rsidR="00D170E5" w:rsidRPr="002B55E9" w:rsidRDefault="00D170E5">
            <w:pPr>
              <w:pStyle w:val="aa"/>
              <w:snapToGrid w:val="0"/>
              <w:spacing w:line="240" w:lineRule="auto"/>
              <w:jc w:val="center"/>
              <w:rPr>
                <w:sz w:val="18"/>
                <w:szCs w:val="18"/>
              </w:rPr>
            </w:pPr>
          </w:p>
        </w:tc>
        <w:tc>
          <w:tcPr>
            <w:tcW w:w="2357" w:type="dxa"/>
            <w:vMerge/>
            <w:vAlign w:val="center"/>
          </w:tcPr>
          <w:p w14:paraId="18A59BCE" w14:textId="77777777" w:rsidR="00D170E5" w:rsidRPr="002B55E9" w:rsidRDefault="00D170E5">
            <w:pPr>
              <w:pStyle w:val="aa"/>
              <w:snapToGrid w:val="0"/>
              <w:spacing w:line="240" w:lineRule="auto"/>
              <w:jc w:val="center"/>
              <w:rPr>
                <w:sz w:val="18"/>
                <w:szCs w:val="18"/>
              </w:rPr>
            </w:pPr>
          </w:p>
        </w:tc>
        <w:tc>
          <w:tcPr>
            <w:tcW w:w="2774" w:type="dxa"/>
          </w:tcPr>
          <w:p w14:paraId="2456E06A"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体态</w:t>
            </w:r>
          </w:p>
        </w:tc>
        <w:tc>
          <w:tcPr>
            <w:tcW w:w="3154" w:type="dxa"/>
          </w:tcPr>
          <w:p w14:paraId="33EC0D4A"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澄清</w:t>
            </w:r>
          </w:p>
        </w:tc>
      </w:tr>
      <w:tr w:rsidR="002B55E9" w:rsidRPr="002B55E9" w14:paraId="564D3A53" w14:textId="77777777">
        <w:trPr>
          <w:trHeight w:val="255"/>
        </w:trPr>
        <w:tc>
          <w:tcPr>
            <w:tcW w:w="1353" w:type="dxa"/>
            <w:vMerge/>
            <w:vAlign w:val="center"/>
          </w:tcPr>
          <w:p w14:paraId="39425FBB" w14:textId="77777777" w:rsidR="00D170E5" w:rsidRPr="002B55E9" w:rsidRDefault="00D170E5">
            <w:pPr>
              <w:pStyle w:val="aa"/>
              <w:snapToGrid w:val="0"/>
              <w:spacing w:line="240" w:lineRule="auto"/>
              <w:jc w:val="center"/>
              <w:rPr>
                <w:sz w:val="18"/>
                <w:szCs w:val="18"/>
              </w:rPr>
            </w:pPr>
          </w:p>
        </w:tc>
        <w:tc>
          <w:tcPr>
            <w:tcW w:w="2357" w:type="dxa"/>
            <w:vMerge/>
            <w:vAlign w:val="center"/>
          </w:tcPr>
          <w:p w14:paraId="425F5896" w14:textId="77777777" w:rsidR="00D170E5" w:rsidRPr="002B55E9" w:rsidRDefault="00D170E5">
            <w:pPr>
              <w:pStyle w:val="aa"/>
              <w:snapToGrid w:val="0"/>
              <w:spacing w:line="240" w:lineRule="auto"/>
              <w:jc w:val="center"/>
              <w:rPr>
                <w:sz w:val="18"/>
                <w:szCs w:val="18"/>
              </w:rPr>
            </w:pPr>
          </w:p>
        </w:tc>
        <w:tc>
          <w:tcPr>
            <w:tcW w:w="2774" w:type="dxa"/>
          </w:tcPr>
          <w:p w14:paraId="5ED64031"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总酸（以</w:t>
            </w:r>
            <w:r w:rsidRPr="002B55E9">
              <w:rPr>
                <w:sz w:val="18"/>
                <w:szCs w:val="18"/>
              </w:rPr>
              <w:t>乙酸计</w:t>
            </w:r>
            <w:r w:rsidRPr="002B55E9">
              <w:rPr>
                <w:rFonts w:hint="eastAsia"/>
                <w:sz w:val="18"/>
                <w:szCs w:val="18"/>
              </w:rPr>
              <w:t>）（</w:t>
            </w:r>
            <w:r w:rsidRPr="002B55E9">
              <w:rPr>
                <w:rFonts w:hint="eastAsia"/>
                <w:sz w:val="18"/>
                <w:szCs w:val="18"/>
              </w:rPr>
              <w:t>g/100mL</w:t>
            </w:r>
            <w:r w:rsidRPr="002B55E9">
              <w:rPr>
                <w:rFonts w:hint="eastAsia"/>
                <w:sz w:val="18"/>
                <w:szCs w:val="18"/>
              </w:rPr>
              <w:t>）</w:t>
            </w:r>
          </w:p>
        </w:tc>
        <w:tc>
          <w:tcPr>
            <w:tcW w:w="3154" w:type="dxa"/>
          </w:tcPr>
          <w:p w14:paraId="5C697F80"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3.5</w:t>
            </w:r>
            <w:r w:rsidRPr="002B55E9">
              <w:rPr>
                <w:sz w:val="18"/>
                <w:szCs w:val="18"/>
              </w:rPr>
              <w:t>0</w:t>
            </w:r>
          </w:p>
        </w:tc>
      </w:tr>
      <w:tr w:rsidR="002B55E9" w:rsidRPr="002B55E9" w14:paraId="78EDA7B9" w14:textId="77777777">
        <w:trPr>
          <w:trHeight w:val="255"/>
        </w:trPr>
        <w:tc>
          <w:tcPr>
            <w:tcW w:w="1353" w:type="dxa"/>
            <w:vMerge/>
            <w:vAlign w:val="center"/>
          </w:tcPr>
          <w:p w14:paraId="6BC36069" w14:textId="77777777" w:rsidR="00D170E5" w:rsidRPr="002B55E9" w:rsidRDefault="00D170E5">
            <w:pPr>
              <w:pStyle w:val="aa"/>
              <w:snapToGrid w:val="0"/>
              <w:spacing w:line="240" w:lineRule="auto"/>
              <w:jc w:val="center"/>
              <w:rPr>
                <w:sz w:val="18"/>
                <w:szCs w:val="18"/>
              </w:rPr>
            </w:pPr>
          </w:p>
        </w:tc>
        <w:tc>
          <w:tcPr>
            <w:tcW w:w="2357" w:type="dxa"/>
            <w:vMerge/>
            <w:vAlign w:val="center"/>
          </w:tcPr>
          <w:p w14:paraId="41568951" w14:textId="77777777" w:rsidR="00D170E5" w:rsidRPr="002B55E9" w:rsidRDefault="00D170E5">
            <w:pPr>
              <w:pStyle w:val="aa"/>
              <w:snapToGrid w:val="0"/>
              <w:spacing w:line="240" w:lineRule="auto"/>
              <w:jc w:val="center"/>
              <w:rPr>
                <w:sz w:val="18"/>
                <w:szCs w:val="18"/>
              </w:rPr>
            </w:pPr>
          </w:p>
        </w:tc>
        <w:tc>
          <w:tcPr>
            <w:tcW w:w="2774" w:type="dxa"/>
          </w:tcPr>
          <w:p w14:paraId="2FDEB4EE"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不挥发</w:t>
            </w:r>
            <w:r w:rsidRPr="002B55E9">
              <w:rPr>
                <w:sz w:val="18"/>
                <w:szCs w:val="18"/>
              </w:rPr>
              <w:t>酸</w:t>
            </w:r>
            <w:r w:rsidRPr="002B55E9">
              <w:rPr>
                <w:rFonts w:hint="eastAsia"/>
                <w:sz w:val="18"/>
                <w:szCs w:val="18"/>
              </w:rPr>
              <w:t>（</w:t>
            </w:r>
            <w:r w:rsidRPr="002B55E9">
              <w:rPr>
                <w:rFonts w:hint="eastAsia"/>
                <w:sz w:val="18"/>
                <w:szCs w:val="18"/>
              </w:rPr>
              <w:t>g/100mL</w:t>
            </w:r>
            <w:r w:rsidRPr="002B55E9">
              <w:rPr>
                <w:rFonts w:hint="eastAsia"/>
                <w:sz w:val="18"/>
                <w:szCs w:val="18"/>
              </w:rPr>
              <w:t>）</w:t>
            </w:r>
          </w:p>
        </w:tc>
        <w:tc>
          <w:tcPr>
            <w:tcW w:w="3154" w:type="dxa"/>
          </w:tcPr>
          <w:p w14:paraId="0DCFD366"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p>
        </w:tc>
      </w:tr>
      <w:tr w:rsidR="002B55E9" w:rsidRPr="002B55E9" w14:paraId="60DB7D13" w14:textId="77777777">
        <w:trPr>
          <w:trHeight w:val="255"/>
        </w:trPr>
        <w:tc>
          <w:tcPr>
            <w:tcW w:w="1353" w:type="dxa"/>
            <w:vMerge/>
            <w:vAlign w:val="center"/>
          </w:tcPr>
          <w:p w14:paraId="504862D6" w14:textId="77777777" w:rsidR="00D170E5" w:rsidRPr="002B55E9" w:rsidRDefault="00D170E5">
            <w:pPr>
              <w:pStyle w:val="aa"/>
              <w:snapToGrid w:val="0"/>
              <w:spacing w:line="240" w:lineRule="auto"/>
              <w:ind w:firstLine="0"/>
              <w:jc w:val="center"/>
              <w:rPr>
                <w:sz w:val="18"/>
                <w:szCs w:val="18"/>
              </w:rPr>
            </w:pPr>
          </w:p>
        </w:tc>
        <w:tc>
          <w:tcPr>
            <w:tcW w:w="2357" w:type="dxa"/>
            <w:vMerge/>
            <w:vAlign w:val="center"/>
          </w:tcPr>
          <w:p w14:paraId="040484B0" w14:textId="77777777" w:rsidR="00D170E5" w:rsidRPr="002B55E9" w:rsidRDefault="00D170E5">
            <w:pPr>
              <w:pStyle w:val="aa"/>
              <w:snapToGrid w:val="0"/>
              <w:spacing w:line="240" w:lineRule="auto"/>
              <w:ind w:firstLine="0"/>
              <w:jc w:val="center"/>
              <w:rPr>
                <w:sz w:val="18"/>
                <w:szCs w:val="18"/>
              </w:rPr>
            </w:pPr>
          </w:p>
        </w:tc>
        <w:tc>
          <w:tcPr>
            <w:tcW w:w="2774" w:type="dxa"/>
          </w:tcPr>
          <w:p w14:paraId="3C62F85A"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可溶性</w:t>
            </w:r>
            <w:r w:rsidRPr="002B55E9">
              <w:rPr>
                <w:sz w:val="18"/>
                <w:szCs w:val="18"/>
              </w:rPr>
              <w:t>无</w:t>
            </w:r>
            <w:r w:rsidRPr="002B55E9">
              <w:rPr>
                <w:rFonts w:hint="eastAsia"/>
                <w:sz w:val="18"/>
                <w:szCs w:val="18"/>
              </w:rPr>
              <w:t>盐</w:t>
            </w:r>
            <w:r w:rsidRPr="002B55E9">
              <w:rPr>
                <w:sz w:val="18"/>
                <w:szCs w:val="18"/>
              </w:rPr>
              <w:t>固形物</w:t>
            </w:r>
            <w:r w:rsidRPr="002B55E9">
              <w:rPr>
                <w:rFonts w:hint="eastAsia"/>
                <w:sz w:val="18"/>
                <w:szCs w:val="18"/>
              </w:rPr>
              <w:t>（</w:t>
            </w:r>
            <w:r w:rsidRPr="002B55E9">
              <w:rPr>
                <w:rFonts w:hint="eastAsia"/>
                <w:sz w:val="18"/>
                <w:szCs w:val="18"/>
              </w:rPr>
              <w:t>g/100mL</w:t>
            </w:r>
            <w:r w:rsidRPr="002B55E9">
              <w:rPr>
                <w:rFonts w:hint="eastAsia"/>
                <w:sz w:val="18"/>
                <w:szCs w:val="18"/>
              </w:rPr>
              <w:t>）</w:t>
            </w:r>
          </w:p>
        </w:tc>
        <w:tc>
          <w:tcPr>
            <w:tcW w:w="3154" w:type="dxa"/>
          </w:tcPr>
          <w:p w14:paraId="3BDE792D" w14:textId="77777777" w:rsidR="00D170E5" w:rsidRPr="002B55E9" w:rsidRDefault="00EF27AD">
            <w:pPr>
              <w:pStyle w:val="aa"/>
              <w:snapToGrid w:val="0"/>
              <w:spacing w:line="240" w:lineRule="auto"/>
              <w:ind w:firstLine="0"/>
              <w:jc w:val="center"/>
              <w:rPr>
                <w:sz w:val="18"/>
                <w:szCs w:val="18"/>
              </w:rPr>
            </w:pPr>
            <w:r w:rsidRPr="002B55E9">
              <w:rPr>
                <w:rFonts w:hint="eastAsia"/>
                <w:sz w:val="18"/>
                <w:szCs w:val="18"/>
              </w:rPr>
              <w:t>≥</w:t>
            </w:r>
            <w:r w:rsidRPr="002B55E9">
              <w:rPr>
                <w:rFonts w:hint="eastAsia"/>
                <w:sz w:val="18"/>
                <w:szCs w:val="18"/>
              </w:rPr>
              <w:t>0.5</w:t>
            </w:r>
            <w:r w:rsidRPr="002B55E9">
              <w:rPr>
                <w:sz w:val="18"/>
                <w:szCs w:val="18"/>
              </w:rPr>
              <w:t>0</w:t>
            </w:r>
          </w:p>
        </w:tc>
      </w:tr>
    </w:tbl>
    <w:p w14:paraId="5F5A37EA" w14:textId="77777777" w:rsidR="00D170E5" w:rsidRPr="002B55E9" w:rsidRDefault="00EF27AD">
      <w:pPr>
        <w:pStyle w:val="3"/>
      </w:pPr>
      <w:bookmarkStart w:id="147" w:name="_Toc119308981"/>
      <w:r w:rsidRPr="002B55E9">
        <w:rPr>
          <w:rFonts w:hint="eastAsia"/>
        </w:rPr>
        <w:t>原辅材料消耗及能源消耗</w:t>
      </w:r>
      <w:bookmarkEnd w:id="147"/>
    </w:p>
    <w:p w14:paraId="231FE912" w14:textId="77777777" w:rsidR="00D170E5" w:rsidRPr="002B55E9" w:rsidRDefault="00EF27AD">
      <w:pPr>
        <w:pStyle w:val="4"/>
        <w:rPr>
          <w:color w:val="auto"/>
        </w:rPr>
      </w:pPr>
      <w:r w:rsidRPr="002B55E9">
        <w:rPr>
          <w:rFonts w:hint="eastAsia"/>
          <w:color w:val="auto"/>
        </w:rPr>
        <w:t>主要原辅材料消耗情况</w:t>
      </w:r>
    </w:p>
    <w:p w14:paraId="1A3D21F2" w14:textId="77777777" w:rsidR="00D170E5" w:rsidRPr="002B55E9" w:rsidRDefault="00EF27AD">
      <w:pPr>
        <w:pStyle w:val="affff7"/>
      </w:pPr>
      <w:r w:rsidRPr="002B55E9">
        <w:rPr>
          <w:rFonts w:hint="eastAsia"/>
        </w:rPr>
        <w:t>拟建项目原辅料消耗情况见表</w:t>
      </w:r>
      <w:r w:rsidRPr="002B55E9">
        <w:t>2-4-1</w:t>
      </w:r>
      <w:r w:rsidRPr="002B55E9">
        <w:t>所示</w:t>
      </w:r>
      <w:r w:rsidRPr="002B55E9">
        <w:rPr>
          <w:rFonts w:hint="eastAsia"/>
        </w:rPr>
        <w:t>：</w:t>
      </w:r>
    </w:p>
    <w:p w14:paraId="364C028D" w14:textId="6374AEE6" w:rsidR="00D170E5" w:rsidRDefault="00EF27AD">
      <w:pPr>
        <w:pStyle w:val="affff7"/>
        <w:snapToGrid w:val="0"/>
        <w:spacing w:after="0" w:line="240" w:lineRule="auto"/>
        <w:ind w:firstLineChars="0" w:firstLine="0"/>
        <w:jc w:val="center"/>
        <w:rPr>
          <w:rFonts w:eastAsia="黑体"/>
          <w:b/>
        </w:rPr>
      </w:pPr>
      <w:r w:rsidRPr="002B55E9">
        <w:rPr>
          <w:rFonts w:eastAsia="黑体" w:hint="eastAsia"/>
          <w:b/>
        </w:rPr>
        <w:t>表</w:t>
      </w:r>
      <w:r w:rsidRPr="002B55E9">
        <w:rPr>
          <w:rFonts w:eastAsia="黑体"/>
          <w:b/>
        </w:rPr>
        <w:t xml:space="preserve">2-4-1  </w:t>
      </w:r>
      <w:r w:rsidRPr="002B55E9">
        <w:rPr>
          <w:rFonts w:eastAsia="黑体" w:hint="eastAsia"/>
          <w:b/>
        </w:rPr>
        <w:t>本项目生产车间主要原辅材料消耗情况一览表</w:t>
      </w:r>
    </w:p>
    <w:p w14:paraId="0E66A1FF" w14:textId="4D7A9FE8" w:rsidR="00C60999" w:rsidRDefault="00C60999">
      <w:pPr>
        <w:pStyle w:val="affff7"/>
        <w:snapToGrid w:val="0"/>
        <w:spacing w:after="0" w:line="240" w:lineRule="auto"/>
        <w:ind w:firstLineChars="0" w:firstLine="0"/>
        <w:jc w:val="center"/>
        <w:rPr>
          <w:rFonts w:eastAsia="黑体"/>
          <w:b/>
        </w:rPr>
      </w:pPr>
    </w:p>
    <w:p w14:paraId="74555DBF" w14:textId="1981A38E" w:rsidR="00C60999" w:rsidRDefault="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65DFC6EA" w14:textId="77777777" w:rsidR="00C60999" w:rsidRPr="002B55E9" w:rsidRDefault="00C60999">
      <w:pPr>
        <w:pStyle w:val="affff7"/>
        <w:snapToGrid w:val="0"/>
        <w:spacing w:after="0" w:line="240" w:lineRule="auto"/>
        <w:ind w:firstLineChars="0" w:firstLine="0"/>
        <w:jc w:val="center"/>
        <w:rPr>
          <w:rFonts w:eastAsia="黑体"/>
          <w:b/>
        </w:rPr>
      </w:pPr>
    </w:p>
    <w:p w14:paraId="52DAAD2B" w14:textId="44F0CB5B" w:rsidR="00D170E5" w:rsidRDefault="00EF27AD">
      <w:pPr>
        <w:pStyle w:val="affff7"/>
        <w:snapToGrid w:val="0"/>
        <w:spacing w:after="0" w:line="240" w:lineRule="auto"/>
        <w:ind w:firstLineChars="0" w:firstLine="0"/>
        <w:jc w:val="center"/>
        <w:rPr>
          <w:rFonts w:eastAsia="黑体"/>
          <w:b/>
        </w:rPr>
      </w:pPr>
      <w:r w:rsidRPr="002B55E9">
        <w:rPr>
          <w:rFonts w:eastAsia="黑体" w:hint="eastAsia"/>
          <w:b/>
        </w:rPr>
        <w:t>表</w:t>
      </w:r>
      <w:r w:rsidRPr="002B55E9">
        <w:rPr>
          <w:rFonts w:eastAsia="黑体"/>
          <w:b/>
        </w:rPr>
        <w:t xml:space="preserve">2-4-2  </w:t>
      </w:r>
      <w:r w:rsidRPr="002B55E9">
        <w:rPr>
          <w:rFonts w:eastAsia="黑体" w:hint="eastAsia"/>
          <w:b/>
        </w:rPr>
        <w:t>本项目化验室主要原辅材料消耗情况一览表</w:t>
      </w:r>
    </w:p>
    <w:p w14:paraId="64B6372D" w14:textId="30945199" w:rsidR="00C60999" w:rsidRDefault="00C60999">
      <w:pPr>
        <w:pStyle w:val="affff7"/>
        <w:snapToGrid w:val="0"/>
        <w:spacing w:after="0" w:line="240" w:lineRule="auto"/>
        <w:ind w:firstLineChars="0" w:firstLine="0"/>
        <w:jc w:val="center"/>
        <w:rPr>
          <w:rFonts w:eastAsia="黑体"/>
          <w:b/>
        </w:rPr>
      </w:pPr>
    </w:p>
    <w:p w14:paraId="314A9EDE"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450B2A99" w14:textId="77777777" w:rsidR="00C60999" w:rsidRPr="00C60999" w:rsidRDefault="00C60999">
      <w:pPr>
        <w:pStyle w:val="affff7"/>
        <w:snapToGrid w:val="0"/>
        <w:spacing w:after="0" w:line="240" w:lineRule="auto"/>
        <w:ind w:firstLineChars="0" w:firstLine="0"/>
        <w:jc w:val="center"/>
        <w:rPr>
          <w:rFonts w:eastAsia="黑体"/>
          <w:b/>
        </w:rPr>
      </w:pPr>
    </w:p>
    <w:p w14:paraId="31B52CC1" w14:textId="77777777" w:rsidR="00D170E5" w:rsidRPr="002B55E9" w:rsidRDefault="00EF27AD">
      <w:pPr>
        <w:pStyle w:val="4"/>
        <w:rPr>
          <w:color w:val="auto"/>
        </w:rPr>
      </w:pPr>
      <w:r w:rsidRPr="002B55E9">
        <w:rPr>
          <w:rFonts w:hint="eastAsia"/>
          <w:color w:val="auto"/>
        </w:rPr>
        <w:t>主要原辅料理化性质</w:t>
      </w:r>
    </w:p>
    <w:p w14:paraId="7903E22E" w14:textId="77777777" w:rsidR="00C60999" w:rsidRDefault="00C60999">
      <w:pPr>
        <w:pStyle w:val="affff7"/>
        <w:snapToGrid w:val="0"/>
        <w:spacing w:after="0"/>
      </w:pPr>
    </w:p>
    <w:p w14:paraId="735679B3"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1053DBD1" w14:textId="77777777" w:rsidR="00C60999" w:rsidRPr="00C60999" w:rsidRDefault="00C60999">
      <w:pPr>
        <w:pStyle w:val="affff7"/>
        <w:snapToGrid w:val="0"/>
        <w:spacing w:after="0"/>
      </w:pPr>
    </w:p>
    <w:p w14:paraId="04F44666" w14:textId="77777777" w:rsidR="00D170E5" w:rsidRPr="002B55E9" w:rsidRDefault="00D170E5">
      <w:pPr>
        <w:pStyle w:val="lgy-"/>
      </w:pPr>
    </w:p>
    <w:p w14:paraId="2A3D6058" w14:textId="77777777" w:rsidR="00D170E5" w:rsidRPr="002B55E9" w:rsidRDefault="00EF27AD">
      <w:pPr>
        <w:pStyle w:val="4"/>
        <w:rPr>
          <w:color w:val="auto"/>
        </w:rPr>
      </w:pPr>
      <w:r w:rsidRPr="002B55E9">
        <w:rPr>
          <w:rFonts w:hint="eastAsia"/>
          <w:color w:val="auto"/>
        </w:rPr>
        <w:t>原辅材料使用合规性分析</w:t>
      </w:r>
    </w:p>
    <w:p w14:paraId="75216FD6" w14:textId="377249B1" w:rsidR="00C60999" w:rsidRDefault="00C60999">
      <w:pPr>
        <w:pStyle w:val="lgy-"/>
        <w:wordWrap w:val="0"/>
        <w:spacing w:line="360" w:lineRule="auto"/>
        <w:ind w:firstLineChars="200" w:firstLine="480"/>
        <w:jc w:val="left"/>
        <w:rPr>
          <w:bCs w:val="0"/>
          <w:sz w:val="24"/>
          <w:szCs w:val="20"/>
        </w:rPr>
      </w:pPr>
    </w:p>
    <w:p w14:paraId="682F726D"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3681ECB5" w14:textId="77777777" w:rsidR="00C60999" w:rsidRPr="00C60999" w:rsidRDefault="00C60999">
      <w:pPr>
        <w:pStyle w:val="lgy-"/>
        <w:wordWrap w:val="0"/>
        <w:spacing w:line="360" w:lineRule="auto"/>
        <w:ind w:firstLineChars="200" w:firstLine="480"/>
        <w:jc w:val="left"/>
        <w:rPr>
          <w:bCs w:val="0"/>
          <w:sz w:val="24"/>
          <w:szCs w:val="20"/>
        </w:rPr>
      </w:pPr>
    </w:p>
    <w:p w14:paraId="1227F4AF" w14:textId="77777777" w:rsidR="00D170E5" w:rsidRPr="002B55E9" w:rsidRDefault="00EF27AD">
      <w:pPr>
        <w:pStyle w:val="4"/>
        <w:rPr>
          <w:color w:val="auto"/>
        </w:rPr>
      </w:pPr>
      <w:r w:rsidRPr="002B55E9">
        <w:rPr>
          <w:rFonts w:hint="eastAsia"/>
          <w:color w:val="auto"/>
        </w:rPr>
        <w:t>主要能源消耗</w:t>
      </w:r>
    </w:p>
    <w:p w14:paraId="21E2958C" w14:textId="77777777" w:rsidR="00D170E5" w:rsidRPr="002B55E9" w:rsidRDefault="00EF27AD">
      <w:pPr>
        <w:pStyle w:val="aa"/>
      </w:pPr>
      <w:r w:rsidRPr="002B55E9">
        <w:rPr>
          <w:rFonts w:hint="eastAsia"/>
        </w:rPr>
        <w:t>本项目主要能源消耗情况统计见下表。</w:t>
      </w:r>
    </w:p>
    <w:p w14:paraId="0C8FE9A3" w14:textId="77777777" w:rsidR="00D170E5" w:rsidRPr="002B55E9" w:rsidRDefault="00EF27AD">
      <w:pPr>
        <w:pStyle w:val="1f3"/>
        <w:spacing w:beforeLines="0" w:before="0"/>
      </w:pPr>
      <w:r w:rsidRPr="002B55E9">
        <w:rPr>
          <w:rFonts w:hint="eastAsia"/>
        </w:rPr>
        <w:t>表</w:t>
      </w:r>
      <w:r w:rsidRPr="002B55E9">
        <w:t xml:space="preserve">2-4-7  </w:t>
      </w:r>
      <w:r w:rsidRPr="002B55E9">
        <w:rPr>
          <w:rFonts w:hint="eastAsia"/>
        </w:rPr>
        <w:t>拟建项目主要能源消耗一览表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6"/>
        <w:gridCol w:w="2247"/>
        <w:gridCol w:w="2763"/>
        <w:gridCol w:w="2076"/>
        <w:gridCol w:w="1556"/>
      </w:tblGrid>
      <w:tr w:rsidR="002B55E9" w:rsidRPr="002B55E9" w14:paraId="2DBC07E7" w14:textId="77777777">
        <w:trPr>
          <w:trHeight w:val="284"/>
          <w:tblHeader/>
        </w:trPr>
        <w:tc>
          <w:tcPr>
            <w:tcW w:w="996" w:type="dxa"/>
            <w:tcBorders>
              <w:top w:val="single" w:sz="12" w:space="0" w:color="auto"/>
              <w:bottom w:val="single" w:sz="12" w:space="0" w:color="auto"/>
            </w:tcBorders>
            <w:vAlign w:val="center"/>
          </w:tcPr>
          <w:p w14:paraId="0802DA86"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sz w:val="18"/>
                <w:szCs w:val="18"/>
              </w:rPr>
              <w:t>序号</w:t>
            </w:r>
          </w:p>
        </w:tc>
        <w:tc>
          <w:tcPr>
            <w:tcW w:w="2247" w:type="dxa"/>
            <w:tcBorders>
              <w:top w:val="single" w:sz="12" w:space="0" w:color="auto"/>
              <w:bottom w:val="single" w:sz="12" w:space="0" w:color="auto"/>
            </w:tcBorders>
            <w:vAlign w:val="center"/>
          </w:tcPr>
          <w:p w14:paraId="70860504"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名称</w:t>
            </w:r>
          </w:p>
        </w:tc>
        <w:tc>
          <w:tcPr>
            <w:tcW w:w="2763" w:type="dxa"/>
            <w:tcBorders>
              <w:top w:val="single" w:sz="12" w:space="0" w:color="auto"/>
              <w:bottom w:val="single" w:sz="12" w:space="0" w:color="auto"/>
            </w:tcBorders>
            <w:vAlign w:val="center"/>
          </w:tcPr>
          <w:p w14:paraId="607B6F73"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单位</w:t>
            </w:r>
          </w:p>
        </w:tc>
        <w:tc>
          <w:tcPr>
            <w:tcW w:w="2076" w:type="dxa"/>
            <w:tcBorders>
              <w:top w:val="single" w:sz="12" w:space="0" w:color="auto"/>
              <w:bottom w:val="single" w:sz="12" w:space="0" w:color="auto"/>
            </w:tcBorders>
            <w:vAlign w:val="center"/>
          </w:tcPr>
          <w:p w14:paraId="7A6F787F" w14:textId="77777777" w:rsidR="00D170E5" w:rsidRPr="002B55E9" w:rsidRDefault="00EF27AD">
            <w:pPr>
              <w:jc w:val="center"/>
              <w:rPr>
                <w:sz w:val="18"/>
                <w:szCs w:val="18"/>
              </w:rPr>
            </w:pPr>
            <w:r w:rsidRPr="002B55E9">
              <w:rPr>
                <w:rFonts w:hint="eastAsia"/>
                <w:sz w:val="18"/>
                <w:szCs w:val="18"/>
              </w:rPr>
              <w:t>用量</w:t>
            </w:r>
          </w:p>
        </w:tc>
        <w:tc>
          <w:tcPr>
            <w:tcW w:w="1556" w:type="dxa"/>
            <w:tcBorders>
              <w:top w:val="single" w:sz="12" w:space="0" w:color="auto"/>
              <w:bottom w:val="single" w:sz="12" w:space="0" w:color="auto"/>
            </w:tcBorders>
            <w:vAlign w:val="center"/>
          </w:tcPr>
          <w:p w14:paraId="216EABA8"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备注</w:t>
            </w:r>
          </w:p>
        </w:tc>
      </w:tr>
      <w:tr w:rsidR="002B55E9" w:rsidRPr="002B55E9" w14:paraId="1266AD3E" w14:textId="77777777">
        <w:trPr>
          <w:trHeight w:val="284"/>
        </w:trPr>
        <w:tc>
          <w:tcPr>
            <w:tcW w:w="996" w:type="dxa"/>
            <w:tcBorders>
              <w:top w:val="single" w:sz="12" w:space="0" w:color="auto"/>
              <w:bottom w:val="single" w:sz="4" w:space="0" w:color="auto"/>
            </w:tcBorders>
            <w:vAlign w:val="center"/>
          </w:tcPr>
          <w:p w14:paraId="2187E16B"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1</w:t>
            </w:r>
          </w:p>
        </w:tc>
        <w:tc>
          <w:tcPr>
            <w:tcW w:w="2247" w:type="dxa"/>
            <w:tcBorders>
              <w:top w:val="single" w:sz="12" w:space="0" w:color="auto"/>
              <w:bottom w:val="single" w:sz="4" w:space="0" w:color="auto"/>
            </w:tcBorders>
            <w:vAlign w:val="center"/>
          </w:tcPr>
          <w:p w14:paraId="74DF77B2"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水</w:t>
            </w:r>
          </w:p>
        </w:tc>
        <w:tc>
          <w:tcPr>
            <w:tcW w:w="2763" w:type="dxa"/>
            <w:tcBorders>
              <w:top w:val="single" w:sz="12" w:space="0" w:color="auto"/>
              <w:bottom w:val="single" w:sz="4" w:space="0" w:color="auto"/>
            </w:tcBorders>
            <w:vAlign w:val="center"/>
          </w:tcPr>
          <w:p w14:paraId="3BFFDFDA"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万</w:t>
            </w:r>
            <w:r w:rsidRPr="002B55E9">
              <w:rPr>
                <w:rFonts w:hint="eastAsia"/>
                <w:sz w:val="18"/>
                <w:szCs w:val="18"/>
              </w:rPr>
              <w:t>m</w:t>
            </w:r>
            <w:r w:rsidRPr="002B55E9">
              <w:rPr>
                <w:sz w:val="18"/>
                <w:szCs w:val="18"/>
                <w:vertAlign w:val="superscript"/>
              </w:rPr>
              <w:t>3</w:t>
            </w:r>
            <w:r w:rsidRPr="002B55E9">
              <w:rPr>
                <w:rFonts w:hint="eastAsia"/>
                <w:sz w:val="18"/>
                <w:szCs w:val="18"/>
              </w:rPr>
              <w:t>/a</w:t>
            </w:r>
          </w:p>
        </w:tc>
        <w:tc>
          <w:tcPr>
            <w:tcW w:w="2076" w:type="dxa"/>
            <w:tcBorders>
              <w:top w:val="single" w:sz="12" w:space="0" w:color="auto"/>
              <w:bottom w:val="single" w:sz="4" w:space="0" w:color="auto"/>
            </w:tcBorders>
            <w:vAlign w:val="center"/>
          </w:tcPr>
          <w:p w14:paraId="623B6F28" w14:textId="0F11853F" w:rsidR="00D170E5" w:rsidRPr="002B55E9" w:rsidRDefault="00F54EA6">
            <w:pPr>
              <w:jc w:val="center"/>
              <w:rPr>
                <w:sz w:val="18"/>
                <w:szCs w:val="18"/>
              </w:rPr>
            </w:pPr>
            <w:r w:rsidRPr="002B55E9">
              <w:rPr>
                <w:sz w:val="18"/>
                <w:szCs w:val="18"/>
              </w:rPr>
              <w:t>45.</w:t>
            </w:r>
            <w:r w:rsidR="00AD4C34" w:rsidRPr="002B55E9">
              <w:rPr>
                <w:sz w:val="18"/>
                <w:szCs w:val="18"/>
              </w:rPr>
              <w:t>80</w:t>
            </w:r>
          </w:p>
        </w:tc>
        <w:tc>
          <w:tcPr>
            <w:tcW w:w="1556" w:type="dxa"/>
            <w:tcBorders>
              <w:top w:val="single" w:sz="12" w:space="0" w:color="auto"/>
              <w:bottom w:val="single" w:sz="4" w:space="0" w:color="auto"/>
            </w:tcBorders>
            <w:vAlign w:val="center"/>
          </w:tcPr>
          <w:p w14:paraId="1D243DE1"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w:t>
            </w:r>
          </w:p>
        </w:tc>
      </w:tr>
      <w:tr w:rsidR="002B55E9" w:rsidRPr="002B55E9" w14:paraId="39E9E535" w14:textId="77777777">
        <w:trPr>
          <w:trHeight w:val="284"/>
        </w:trPr>
        <w:tc>
          <w:tcPr>
            <w:tcW w:w="996" w:type="dxa"/>
            <w:tcBorders>
              <w:top w:val="single" w:sz="4" w:space="0" w:color="auto"/>
              <w:bottom w:val="single" w:sz="4" w:space="0" w:color="auto"/>
            </w:tcBorders>
            <w:vAlign w:val="center"/>
          </w:tcPr>
          <w:p w14:paraId="0810E876"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2</w:t>
            </w:r>
          </w:p>
        </w:tc>
        <w:tc>
          <w:tcPr>
            <w:tcW w:w="2247" w:type="dxa"/>
            <w:tcBorders>
              <w:top w:val="single" w:sz="4" w:space="0" w:color="auto"/>
              <w:bottom w:val="single" w:sz="4" w:space="0" w:color="auto"/>
            </w:tcBorders>
            <w:vAlign w:val="center"/>
          </w:tcPr>
          <w:p w14:paraId="0BB2AE8B"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电</w:t>
            </w:r>
          </w:p>
        </w:tc>
        <w:tc>
          <w:tcPr>
            <w:tcW w:w="2763" w:type="dxa"/>
            <w:tcBorders>
              <w:top w:val="single" w:sz="4" w:space="0" w:color="auto"/>
              <w:bottom w:val="single" w:sz="4" w:space="0" w:color="auto"/>
            </w:tcBorders>
            <w:vAlign w:val="center"/>
          </w:tcPr>
          <w:p w14:paraId="60DEBC66"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万</w:t>
            </w:r>
            <w:r w:rsidRPr="002B55E9">
              <w:rPr>
                <w:rFonts w:hint="eastAsia"/>
                <w:sz w:val="18"/>
                <w:szCs w:val="18"/>
              </w:rPr>
              <w:t>kwh</w:t>
            </w:r>
            <w:r w:rsidRPr="002B55E9">
              <w:rPr>
                <w:sz w:val="18"/>
                <w:szCs w:val="18"/>
              </w:rPr>
              <w:t>/a</w:t>
            </w:r>
          </w:p>
        </w:tc>
        <w:tc>
          <w:tcPr>
            <w:tcW w:w="2076" w:type="dxa"/>
            <w:tcBorders>
              <w:top w:val="single" w:sz="4" w:space="0" w:color="auto"/>
              <w:bottom w:val="single" w:sz="4" w:space="0" w:color="auto"/>
            </w:tcBorders>
            <w:vAlign w:val="center"/>
          </w:tcPr>
          <w:p w14:paraId="5BEE6DD8" w14:textId="77777777" w:rsidR="00D170E5" w:rsidRPr="002B55E9" w:rsidRDefault="00EF27AD">
            <w:pPr>
              <w:jc w:val="center"/>
              <w:rPr>
                <w:sz w:val="18"/>
                <w:szCs w:val="18"/>
              </w:rPr>
            </w:pPr>
            <w:r w:rsidRPr="002B55E9">
              <w:rPr>
                <w:rFonts w:hint="eastAsia"/>
                <w:sz w:val="18"/>
                <w:szCs w:val="18"/>
              </w:rPr>
              <w:t>1</w:t>
            </w:r>
            <w:r w:rsidRPr="002B55E9">
              <w:rPr>
                <w:sz w:val="18"/>
                <w:szCs w:val="18"/>
              </w:rPr>
              <w:t>169</w:t>
            </w:r>
          </w:p>
        </w:tc>
        <w:tc>
          <w:tcPr>
            <w:tcW w:w="1556" w:type="dxa"/>
            <w:tcBorders>
              <w:top w:val="single" w:sz="4" w:space="0" w:color="auto"/>
              <w:bottom w:val="single" w:sz="4" w:space="0" w:color="auto"/>
            </w:tcBorders>
            <w:vAlign w:val="center"/>
          </w:tcPr>
          <w:p w14:paraId="64F8DAAC"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w:t>
            </w:r>
          </w:p>
        </w:tc>
      </w:tr>
      <w:tr w:rsidR="002B55E9" w:rsidRPr="002B55E9" w14:paraId="60182946" w14:textId="77777777">
        <w:trPr>
          <w:trHeight w:val="284"/>
        </w:trPr>
        <w:tc>
          <w:tcPr>
            <w:tcW w:w="996" w:type="dxa"/>
            <w:tcBorders>
              <w:top w:val="single" w:sz="4" w:space="0" w:color="auto"/>
              <w:bottom w:val="single" w:sz="12" w:space="0" w:color="auto"/>
            </w:tcBorders>
            <w:vAlign w:val="center"/>
          </w:tcPr>
          <w:p w14:paraId="5D0AEB3C"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3</w:t>
            </w:r>
          </w:p>
        </w:tc>
        <w:tc>
          <w:tcPr>
            <w:tcW w:w="2247" w:type="dxa"/>
            <w:tcBorders>
              <w:top w:val="single" w:sz="4" w:space="0" w:color="auto"/>
              <w:bottom w:val="single" w:sz="12" w:space="0" w:color="auto"/>
            </w:tcBorders>
            <w:vAlign w:val="center"/>
          </w:tcPr>
          <w:p w14:paraId="06EF337E"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蒸汽</w:t>
            </w:r>
          </w:p>
        </w:tc>
        <w:tc>
          <w:tcPr>
            <w:tcW w:w="2763" w:type="dxa"/>
            <w:tcBorders>
              <w:top w:val="single" w:sz="4" w:space="0" w:color="auto"/>
              <w:bottom w:val="single" w:sz="12" w:space="0" w:color="auto"/>
            </w:tcBorders>
            <w:vAlign w:val="center"/>
          </w:tcPr>
          <w:p w14:paraId="21972252"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万</w:t>
            </w:r>
            <w:r w:rsidRPr="002B55E9">
              <w:rPr>
                <w:rFonts w:hint="eastAsia"/>
                <w:sz w:val="18"/>
                <w:szCs w:val="18"/>
              </w:rPr>
              <w:t>t</w:t>
            </w:r>
            <w:r w:rsidRPr="002B55E9">
              <w:rPr>
                <w:sz w:val="18"/>
                <w:szCs w:val="18"/>
              </w:rPr>
              <w:t>/</w:t>
            </w:r>
            <w:r w:rsidRPr="002B55E9">
              <w:rPr>
                <w:rFonts w:hint="eastAsia"/>
                <w:sz w:val="18"/>
                <w:szCs w:val="18"/>
              </w:rPr>
              <w:t>a</w:t>
            </w:r>
          </w:p>
        </w:tc>
        <w:tc>
          <w:tcPr>
            <w:tcW w:w="2076" w:type="dxa"/>
            <w:tcBorders>
              <w:top w:val="single" w:sz="4" w:space="0" w:color="auto"/>
              <w:bottom w:val="single" w:sz="12" w:space="0" w:color="auto"/>
            </w:tcBorders>
            <w:vAlign w:val="center"/>
          </w:tcPr>
          <w:p w14:paraId="3E0C6A72" w14:textId="77777777" w:rsidR="00D170E5" w:rsidRPr="002B55E9" w:rsidRDefault="00EF27AD">
            <w:pPr>
              <w:jc w:val="center"/>
              <w:rPr>
                <w:sz w:val="18"/>
                <w:szCs w:val="18"/>
              </w:rPr>
            </w:pPr>
            <w:r w:rsidRPr="002B55E9">
              <w:rPr>
                <w:rFonts w:hint="eastAsia"/>
                <w:sz w:val="18"/>
                <w:szCs w:val="18"/>
              </w:rPr>
              <w:t>7</w:t>
            </w:r>
            <w:r w:rsidRPr="002B55E9">
              <w:rPr>
                <w:sz w:val="18"/>
                <w:szCs w:val="18"/>
              </w:rPr>
              <w:t>.125</w:t>
            </w:r>
          </w:p>
        </w:tc>
        <w:tc>
          <w:tcPr>
            <w:tcW w:w="1556" w:type="dxa"/>
            <w:tcBorders>
              <w:top w:val="single" w:sz="4" w:space="0" w:color="auto"/>
              <w:bottom w:val="single" w:sz="12" w:space="0" w:color="auto"/>
            </w:tcBorders>
            <w:vAlign w:val="center"/>
          </w:tcPr>
          <w:p w14:paraId="7D5C7C44" w14:textId="77777777" w:rsidR="00D170E5" w:rsidRPr="002B55E9" w:rsidRDefault="00EF27AD">
            <w:pPr>
              <w:pStyle w:val="affff7"/>
              <w:widowControl w:val="0"/>
              <w:adjustRightInd w:val="0"/>
              <w:snapToGrid w:val="0"/>
              <w:spacing w:after="0" w:line="240" w:lineRule="auto"/>
              <w:ind w:firstLineChars="0" w:firstLine="0"/>
              <w:jc w:val="center"/>
              <w:rPr>
                <w:sz w:val="18"/>
                <w:szCs w:val="18"/>
              </w:rPr>
            </w:pPr>
            <w:r w:rsidRPr="002B55E9">
              <w:rPr>
                <w:rFonts w:hint="eastAsia"/>
                <w:sz w:val="18"/>
                <w:szCs w:val="18"/>
              </w:rPr>
              <w:t>外购蒸汽</w:t>
            </w:r>
          </w:p>
        </w:tc>
      </w:tr>
    </w:tbl>
    <w:p w14:paraId="19F443EA" w14:textId="77777777" w:rsidR="00D170E5" w:rsidRPr="002B55E9" w:rsidRDefault="00EF27AD">
      <w:pPr>
        <w:pStyle w:val="3"/>
      </w:pPr>
      <w:bookmarkStart w:id="148" w:name="_Toc119308982"/>
      <w:r w:rsidRPr="002B55E9">
        <w:rPr>
          <w:rFonts w:hint="eastAsia"/>
        </w:rPr>
        <w:t>主要设备</w:t>
      </w:r>
      <w:bookmarkEnd w:id="148"/>
    </w:p>
    <w:p w14:paraId="4ADE278C" w14:textId="77777777" w:rsidR="00D170E5" w:rsidRPr="002B55E9" w:rsidRDefault="00EF27AD">
      <w:pPr>
        <w:pStyle w:val="4"/>
        <w:rPr>
          <w:color w:val="auto"/>
        </w:rPr>
      </w:pPr>
      <w:r w:rsidRPr="002B55E9">
        <w:rPr>
          <w:rFonts w:hint="eastAsia"/>
          <w:color w:val="auto"/>
        </w:rPr>
        <w:t>主要</w:t>
      </w:r>
      <w:r w:rsidRPr="002B55E9">
        <w:rPr>
          <w:color w:val="auto"/>
        </w:rPr>
        <w:t>生产</w:t>
      </w:r>
      <w:r w:rsidRPr="002B55E9">
        <w:rPr>
          <w:rFonts w:hint="eastAsia"/>
          <w:color w:val="auto"/>
        </w:rPr>
        <w:t>设备</w:t>
      </w:r>
    </w:p>
    <w:p w14:paraId="47A000E6" w14:textId="31D2F392" w:rsidR="00D170E5" w:rsidRPr="002B55E9" w:rsidRDefault="00EF27AD">
      <w:pPr>
        <w:pStyle w:val="affff7"/>
        <w:snapToGrid w:val="0"/>
        <w:spacing w:after="0"/>
      </w:pPr>
      <w:r w:rsidRPr="002B55E9">
        <w:rPr>
          <w:rFonts w:hint="eastAsia"/>
        </w:rPr>
        <w:t>拟建项目主要设备清单见</w:t>
      </w:r>
      <w:r w:rsidR="008A42D1" w:rsidRPr="002B55E9">
        <w:rPr>
          <w:rFonts w:hint="eastAsia"/>
        </w:rPr>
        <w:t>下</w:t>
      </w:r>
      <w:r w:rsidRPr="002B55E9">
        <w:rPr>
          <w:rFonts w:hint="eastAsia"/>
        </w:rPr>
        <w:t>表所示：</w:t>
      </w:r>
    </w:p>
    <w:p w14:paraId="604F45A1" w14:textId="2ABEFB5E" w:rsidR="00D170E5" w:rsidRDefault="00EF27AD">
      <w:pPr>
        <w:pStyle w:val="1f3"/>
        <w:spacing w:beforeLines="0" w:before="0"/>
      </w:pPr>
      <w:r w:rsidRPr="002B55E9">
        <w:rPr>
          <w:rFonts w:hint="eastAsia"/>
        </w:rPr>
        <w:t>表</w:t>
      </w:r>
      <w:r w:rsidRPr="002B55E9">
        <w:t xml:space="preserve">2-5-1  </w:t>
      </w:r>
      <w:r w:rsidRPr="002B55E9">
        <w:rPr>
          <w:rFonts w:hint="eastAsia"/>
        </w:rPr>
        <w:t>拟建项目主要生产设备清单一览表</w:t>
      </w:r>
    </w:p>
    <w:p w14:paraId="7BBE0B34" w14:textId="77777777" w:rsidR="00C60999" w:rsidRDefault="00C60999">
      <w:pPr>
        <w:pStyle w:val="1f3"/>
        <w:spacing w:beforeLines="0" w:before="0"/>
      </w:pPr>
    </w:p>
    <w:p w14:paraId="5747C7F3"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49228EE2" w14:textId="77777777" w:rsidR="00D170E5" w:rsidRPr="002B55E9" w:rsidRDefault="00D170E5">
      <w:pPr>
        <w:pStyle w:val="1f3"/>
        <w:spacing w:beforeLines="0" w:before="0"/>
      </w:pPr>
    </w:p>
    <w:p w14:paraId="4DD04E3D" w14:textId="77777777" w:rsidR="00D170E5" w:rsidRPr="002B55E9" w:rsidRDefault="00EF27AD">
      <w:pPr>
        <w:pStyle w:val="4"/>
        <w:rPr>
          <w:color w:val="auto"/>
        </w:rPr>
      </w:pPr>
      <w:r w:rsidRPr="002B55E9">
        <w:rPr>
          <w:rFonts w:hint="eastAsia"/>
          <w:color w:val="auto"/>
        </w:rPr>
        <w:t>主要</w:t>
      </w:r>
      <w:r w:rsidRPr="002B55E9">
        <w:rPr>
          <w:color w:val="auto"/>
        </w:rPr>
        <w:t>实验</w:t>
      </w:r>
      <w:r w:rsidRPr="002B55E9">
        <w:rPr>
          <w:rFonts w:hint="eastAsia"/>
          <w:color w:val="auto"/>
        </w:rPr>
        <w:t>检测设备</w:t>
      </w:r>
    </w:p>
    <w:p w14:paraId="4B5667B4" w14:textId="28807193" w:rsidR="00D170E5" w:rsidRDefault="00EF27AD">
      <w:pPr>
        <w:pStyle w:val="1f3"/>
        <w:spacing w:beforeLines="0" w:before="0"/>
      </w:pPr>
      <w:r w:rsidRPr="002B55E9">
        <w:rPr>
          <w:rFonts w:hint="eastAsia"/>
        </w:rPr>
        <w:t>表</w:t>
      </w:r>
      <w:r w:rsidRPr="002B55E9">
        <w:rPr>
          <w:rFonts w:hint="eastAsia"/>
        </w:rPr>
        <w:t>2-5-2</w:t>
      </w:r>
      <w:r w:rsidRPr="002B55E9">
        <w:t xml:space="preserve">  </w:t>
      </w:r>
      <w:r w:rsidRPr="002B55E9">
        <w:rPr>
          <w:rFonts w:hint="eastAsia"/>
        </w:rPr>
        <w:t>拟建项目主要实验检测设备清单一览表</w:t>
      </w:r>
    </w:p>
    <w:p w14:paraId="6E5E412C" w14:textId="77777777" w:rsidR="00C60999" w:rsidRDefault="00C60999" w:rsidP="00C60999">
      <w:pPr>
        <w:pStyle w:val="1f3"/>
        <w:spacing w:beforeLines="0" w:before="0"/>
      </w:pPr>
    </w:p>
    <w:p w14:paraId="30F718CA"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29287897" w14:textId="77777777" w:rsidR="00C60999" w:rsidRPr="002B55E9" w:rsidRDefault="00C60999">
      <w:pPr>
        <w:pStyle w:val="1f3"/>
        <w:spacing w:beforeLines="0" w:before="0"/>
      </w:pPr>
    </w:p>
    <w:p w14:paraId="4EE56F11" w14:textId="77777777" w:rsidR="00D170E5" w:rsidRPr="002B55E9" w:rsidRDefault="00EF27AD">
      <w:pPr>
        <w:pStyle w:val="3"/>
      </w:pPr>
      <w:bookmarkStart w:id="149" w:name="_Toc119308983"/>
      <w:r w:rsidRPr="002B55E9">
        <w:rPr>
          <w:rFonts w:hint="eastAsia"/>
        </w:rPr>
        <w:t>公用工程</w:t>
      </w:r>
      <w:bookmarkEnd w:id="149"/>
    </w:p>
    <w:p w14:paraId="52E2C407" w14:textId="77777777" w:rsidR="00D170E5" w:rsidRPr="002B55E9" w:rsidRDefault="00EF27AD">
      <w:pPr>
        <w:pStyle w:val="4"/>
        <w:rPr>
          <w:color w:val="auto"/>
        </w:rPr>
      </w:pPr>
      <w:r w:rsidRPr="002B55E9">
        <w:rPr>
          <w:rFonts w:hint="eastAsia"/>
          <w:color w:val="auto"/>
        </w:rPr>
        <w:t>给排水</w:t>
      </w:r>
    </w:p>
    <w:p w14:paraId="60872D1D" w14:textId="77777777" w:rsidR="00D170E5" w:rsidRPr="002B55E9" w:rsidRDefault="00EF27AD">
      <w:pPr>
        <w:pStyle w:val="affff7"/>
        <w:snapToGrid w:val="0"/>
        <w:spacing w:after="0"/>
      </w:pPr>
      <w:r w:rsidRPr="002B55E9">
        <w:rPr>
          <w:rFonts w:hint="eastAsia"/>
          <w:szCs w:val="24"/>
        </w:rPr>
        <w:t>厂区内排水采用雨污分流。生活污水、生产废水依托佛山市海天（武汉）调味食品有限公司污水处理站处理后与蒸汽冷凝水一同排入市政污水管网，最终由东西湖污水处理厂处理达标后排入府河（黄花涝</w:t>
      </w:r>
      <w:r w:rsidRPr="002B55E9">
        <w:rPr>
          <w:rFonts w:hint="eastAsia"/>
          <w:szCs w:val="24"/>
        </w:rPr>
        <w:t>~</w:t>
      </w:r>
      <w:r w:rsidRPr="002B55E9">
        <w:rPr>
          <w:rFonts w:hint="eastAsia"/>
          <w:szCs w:val="24"/>
        </w:rPr>
        <w:t>入江段）。</w:t>
      </w:r>
      <w:r w:rsidRPr="002B55E9">
        <w:rPr>
          <w:rFonts w:hint="eastAsia"/>
        </w:rPr>
        <w:t>全厂给排水系统如下图所示：</w:t>
      </w:r>
    </w:p>
    <w:p w14:paraId="3CDA92F1" w14:textId="77777777" w:rsidR="00D170E5" w:rsidRPr="002B55E9" w:rsidRDefault="00EF27AD">
      <w:pPr>
        <w:pStyle w:val="affff7"/>
        <w:spacing w:after="0"/>
        <w:ind w:firstLineChars="0" w:firstLine="0"/>
        <w:jc w:val="center"/>
      </w:pPr>
      <w:r w:rsidRPr="002B55E9">
        <w:rPr>
          <w:noProof/>
          <w:snapToGrid/>
        </w:rPr>
        <w:lastRenderedPageBreak/>
        <w:drawing>
          <wp:inline distT="0" distB="0" distL="0" distR="0" wp14:anchorId="113E4C5C" wp14:editId="1E042470">
            <wp:extent cx="4980940" cy="213550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80940" cy="2135505"/>
                    </a:xfrm>
                    <a:prstGeom prst="rect">
                      <a:avLst/>
                    </a:prstGeom>
                    <a:noFill/>
                    <a:ln>
                      <a:noFill/>
                    </a:ln>
                  </pic:spPr>
                </pic:pic>
              </a:graphicData>
            </a:graphic>
          </wp:inline>
        </w:drawing>
      </w:r>
    </w:p>
    <w:p w14:paraId="2844067D" w14:textId="77777777" w:rsidR="00D170E5" w:rsidRPr="002B55E9" w:rsidRDefault="00EF27AD">
      <w:pPr>
        <w:pStyle w:val="1f3"/>
        <w:spacing w:beforeLines="0" w:before="0"/>
      </w:pPr>
      <w:r w:rsidRPr="002B55E9">
        <w:rPr>
          <w:rFonts w:hint="eastAsia"/>
        </w:rPr>
        <w:t>图</w:t>
      </w:r>
      <w:r w:rsidRPr="002B55E9">
        <w:t>2</w:t>
      </w:r>
      <w:r w:rsidRPr="002B55E9">
        <w:rPr>
          <w:rFonts w:hint="eastAsia"/>
        </w:rPr>
        <w:t>-</w:t>
      </w:r>
      <w:r w:rsidRPr="002B55E9">
        <w:t>6</w:t>
      </w:r>
      <w:r w:rsidRPr="002B55E9">
        <w:rPr>
          <w:rFonts w:hint="eastAsia"/>
        </w:rPr>
        <w:t xml:space="preserve">-1  </w:t>
      </w:r>
      <w:r w:rsidRPr="002B55E9">
        <w:rPr>
          <w:rFonts w:hint="eastAsia"/>
        </w:rPr>
        <w:t>全厂给排水系统示意图</w:t>
      </w:r>
    </w:p>
    <w:p w14:paraId="54B9A234" w14:textId="77777777" w:rsidR="00D170E5" w:rsidRPr="002B55E9" w:rsidRDefault="00EF27AD">
      <w:pPr>
        <w:pStyle w:val="5"/>
        <w:keepNext w:val="0"/>
        <w:keepLines/>
      </w:pPr>
      <w:r w:rsidRPr="002B55E9">
        <w:rPr>
          <w:rFonts w:hint="eastAsia"/>
        </w:rPr>
        <w:t>给水系统</w:t>
      </w:r>
    </w:p>
    <w:p w14:paraId="709098F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1</w:t>
      </w:r>
      <w:r w:rsidRPr="002B55E9">
        <w:rPr>
          <w:rFonts w:hint="eastAsia"/>
          <w:kern w:val="2"/>
          <w:sz w:val="24"/>
          <w:szCs w:val="22"/>
        </w:rPr>
        <w:t>）水源</w:t>
      </w:r>
    </w:p>
    <w:p w14:paraId="7648B057" w14:textId="36020E72"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给水类型包括</w:t>
      </w:r>
      <w:r w:rsidRPr="002B55E9">
        <w:rPr>
          <w:kern w:val="2"/>
          <w:sz w:val="24"/>
          <w:szCs w:val="22"/>
        </w:rPr>
        <w:t>自来水</w:t>
      </w:r>
      <w:r w:rsidRPr="002B55E9">
        <w:rPr>
          <w:rFonts w:hint="eastAsia"/>
          <w:kern w:val="2"/>
          <w:sz w:val="24"/>
          <w:szCs w:val="22"/>
        </w:rPr>
        <w:t>、工艺水</w:t>
      </w:r>
      <w:r w:rsidRPr="002B55E9">
        <w:rPr>
          <w:kern w:val="2"/>
          <w:sz w:val="24"/>
          <w:szCs w:val="22"/>
        </w:rPr>
        <w:t>、纯化水</w:t>
      </w:r>
      <w:r w:rsidRPr="002B55E9">
        <w:rPr>
          <w:rFonts w:hint="eastAsia"/>
          <w:kern w:val="2"/>
          <w:sz w:val="24"/>
          <w:szCs w:val="22"/>
        </w:rPr>
        <w:t>、工业蒸汽。</w:t>
      </w:r>
      <w:r w:rsidRPr="002B55E9">
        <w:rPr>
          <w:kern w:val="2"/>
          <w:sz w:val="24"/>
          <w:szCs w:val="22"/>
        </w:rPr>
        <w:t>自来水</w:t>
      </w:r>
      <w:r w:rsidRPr="002B55E9">
        <w:rPr>
          <w:rFonts w:hint="eastAsia"/>
          <w:kern w:val="2"/>
          <w:sz w:val="24"/>
          <w:szCs w:val="22"/>
        </w:rPr>
        <w:t>、工业蒸汽由市政管网供应，工艺水、纯水由厂区制备。本项目年最大用水量约</w:t>
      </w:r>
      <w:r w:rsidR="00AD4C34" w:rsidRPr="002B55E9">
        <w:rPr>
          <w:kern w:val="2"/>
          <w:sz w:val="24"/>
          <w:szCs w:val="22"/>
        </w:rPr>
        <w:t xml:space="preserve">457997 </w:t>
      </w:r>
      <w:r w:rsidRPr="002B55E9">
        <w:rPr>
          <w:rFonts w:hint="eastAsia"/>
          <w:kern w:val="2"/>
          <w:sz w:val="24"/>
          <w:szCs w:val="22"/>
        </w:rPr>
        <w:t>m</w:t>
      </w:r>
      <w:r w:rsidRPr="002B55E9">
        <w:rPr>
          <w:rFonts w:hint="eastAsia"/>
          <w:kern w:val="2"/>
          <w:sz w:val="24"/>
          <w:szCs w:val="22"/>
          <w:vertAlign w:val="superscript"/>
        </w:rPr>
        <w:t>3</w:t>
      </w:r>
      <w:r w:rsidRPr="002B55E9">
        <w:rPr>
          <w:rFonts w:hint="eastAsia"/>
          <w:kern w:val="2"/>
          <w:sz w:val="24"/>
          <w:szCs w:val="22"/>
        </w:rPr>
        <w:t>/a</w:t>
      </w:r>
      <w:r w:rsidRPr="002B55E9">
        <w:rPr>
          <w:rFonts w:hint="eastAsia"/>
          <w:kern w:val="2"/>
          <w:sz w:val="24"/>
          <w:szCs w:val="22"/>
        </w:rPr>
        <w:t>，工业蒸汽年最大用量约</w:t>
      </w:r>
      <w:r w:rsidRPr="002B55E9">
        <w:rPr>
          <w:rFonts w:hint="eastAsia"/>
          <w:kern w:val="2"/>
          <w:sz w:val="24"/>
          <w:szCs w:val="22"/>
        </w:rPr>
        <w:t>7</w:t>
      </w:r>
      <w:r w:rsidRPr="002B55E9">
        <w:rPr>
          <w:kern w:val="2"/>
          <w:sz w:val="24"/>
          <w:szCs w:val="22"/>
        </w:rPr>
        <w:t>.125</w:t>
      </w:r>
      <w:r w:rsidRPr="002B55E9">
        <w:rPr>
          <w:rFonts w:hint="eastAsia"/>
          <w:kern w:val="2"/>
          <w:sz w:val="24"/>
          <w:szCs w:val="22"/>
        </w:rPr>
        <w:t>万</w:t>
      </w:r>
      <w:r w:rsidRPr="002B55E9">
        <w:rPr>
          <w:rFonts w:hint="eastAsia"/>
          <w:kern w:val="2"/>
          <w:sz w:val="24"/>
          <w:szCs w:val="22"/>
        </w:rPr>
        <w:t>t/a</w:t>
      </w:r>
      <w:r w:rsidRPr="002B55E9">
        <w:rPr>
          <w:rFonts w:hint="eastAsia"/>
          <w:kern w:val="2"/>
          <w:sz w:val="24"/>
          <w:szCs w:val="22"/>
        </w:rPr>
        <w:t>。</w:t>
      </w:r>
    </w:p>
    <w:p w14:paraId="5DA1E26E"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2</w:t>
      </w:r>
      <w:r w:rsidRPr="002B55E9">
        <w:rPr>
          <w:rFonts w:hint="eastAsia"/>
          <w:kern w:val="2"/>
          <w:sz w:val="24"/>
          <w:szCs w:val="22"/>
        </w:rPr>
        <w:t>）用水部门</w:t>
      </w:r>
    </w:p>
    <w:p w14:paraId="2678744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拟建项目用水主要</w:t>
      </w:r>
      <w:r w:rsidRPr="002B55E9">
        <w:rPr>
          <w:kern w:val="2"/>
          <w:sz w:val="24"/>
          <w:szCs w:val="22"/>
        </w:rPr>
        <w:t>包括生产、生活用水</w:t>
      </w:r>
      <w:r w:rsidRPr="002B55E9">
        <w:rPr>
          <w:rFonts w:hint="eastAsia"/>
          <w:kern w:val="2"/>
          <w:sz w:val="24"/>
          <w:szCs w:val="22"/>
        </w:rPr>
        <w:t>，项目设置有工艺水</w:t>
      </w:r>
      <w:r w:rsidRPr="002B55E9">
        <w:rPr>
          <w:kern w:val="2"/>
          <w:sz w:val="24"/>
          <w:szCs w:val="22"/>
        </w:rPr>
        <w:t>制备系统，</w:t>
      </w:r>
      <w:r w:rsidRPr="002B55E9">
        <w:rPr>
          <w:rFonts w:hint="eastAsia"/>
          <w:kern w:val="2"/>
          <w:sz w:val="24"/>
          <w:szCs w:val="22"/>
        </w:rPr>
        <w:t>处理</w:t>
      </w:r>
      <w:r w:rsidRPr="002B55E9">
        <w:rPr>
          <w:kern w:val="2"/>
          <w:sz w:val="24"/>
          <w:szCs w:val="22"/>
        </w:rPr>
        <w:t>工艺为</w:t>
      </w:r>
      <w:r w:rsidRPr="002B55E9">
        <w:rPr>
          <w:rFonts w:hint="eastAsia"/>
          <w:kern w:val="2"/>
          <w:sz w:val="24"/>
          <w:szCs w:val="22"/>
        </w:rPr>
        <w:t>石英砂</w:t>
      </w:r>
      <w:r w:rsidRPr="002B55E9">
        <w:rPr>
          <w:rFonts w:hint="eastAsia"/>
          <w:kern w:val="2"/>
          <w:sz w:val="24"/>
          <w:szCs w:val="22"/>
        </w:rPr>
        <w:t>+</w:t>
      </w:r>
      <w:r w:rsidRPr="002B55E9">
        <w:rPr>
          <w:rFonts w:hint="eastAsia"/>
          <w:kern w:val="2"/>
          <w:sz w:val="24"/>
          <w:szCs w:val="22"/>
        </w:rPr>
        <w:t>活性炭过滤，所有用于产品、原料等的均为工艺水，化验室</w:t>
      </w:r>
      <w:r w:rsidRPr="002B55E9">
        <w:rPr>
          <w:kern w:val="2"/>
          <w:sz w:val="24"/>
          <w:szCs w:val="22"/>
        </w:rPr>
        <w:t>会涉及纯水，</w:t>
      </w:r>
      <w:r w:rsidRPr="002B55E9">
        <w:rPr>
          <w:rFonts w:hint="eastAsia"/>
          <w:kern w:val="2"/>
          <w:sz w:val="24"/>
          <w:szCs w:val="22"/>
        </w:rPr>
        <w:t>制备工艺为</w:t>
      </w:r>
      <w:r w:rsidRPr="002B55E9">
        <w:rPr>
          <w:rFonts w:hint="eastAsia"/>
          <w:kern w:val="2"/>
          <w:sz w:val="24"/>
          <w:szCs w:val="22"/>
        </w:rPr>
        <w:t>R</w:t>
      </w:r>
      <w:r w:rsidRPr="002B55E9">
        <w:rPr>
          <w:kern w:val="2"/>
          <w:sz w:val="24"/>
          <w:szCs w:val="22"/>
        </w:rPr>
        <w:t>O</w:t>
      </w:r>
      <w:r w:rsidRPr="002B55E9">
        <w:rPr>
          <w:rFonts w:hint="eastAsia"/>
          <w:kern w:val="2"/>
          <w:sz w:val="24"/>
          <w:szCs w:val="22"/>
        </w:rPr>
        <w:t>反渗透，其他用水均为自来水。</w:t>
      </w:r>
    </w:p>
    <w:p w14:paraId="7612556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3</w:t>
      </w:r>
      <w:r w:rsidRPr="002B55E9">
        <w:rPr>
          <w:rFonts w:hint="eastAsia"/>
          <w:kern w:val="2"/>
          <w:sz w:val="24"/>
          <w:szCs w:val="22"/>
        </w:rPr>
        <w:t>）制水系统</w:t>
      </w:r>
    </w:p>
    <w:p w14:paraId="38627F45"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本项目自来水</w:t>
      </w:r>
      <w:r w:rsidRPr="002B55E9">
        <w:rPr>
          <w:kern w:val="2"/>
          <w:sz w:val="24"/>
          <w:szCs w:val="22"/>
        </w:rPr>
        <w:t>、</w:t>
      </w:r>
      <w:r w:rsidRPr="002B55E9">
        <w:rPr>
          <w:rFonts w:hint="eastAsia"/>
          <w:kern w:val="2"/>
          <w:sz w:val="24"/>
          <w:szCs w:val="22"/>
        </w:rPr>
        <w:t>工业</w:t>
      </w:r>
      <w:r w:rsidRPr="002B55E9">
        <w:rPr>
          <w:kern w:val="2"/>
          <w:sz w:val="24"/>
          <w:szCs w:val="22"/>
        </w:rPr>
        <w:t>蒸汽由园区直接提供，</w:t>
      </w:r>
      <w:r w:rsidRPr="002B55E9">
        <w:rPr>
          <w:rFonts w:hint="eastAsia"/>
          <w:kern w:val="2"/>
          <w:sz w:val="24"/>
          <w:szCs w:val="22"/>
        </w:rPr>
        <w:t>工艺</w:t>
      </w:r>
      <w:r w:rsidRPr="002B55E9">
        <w:rPr>
          <w:kern w:val="2"/>
          <w:sz w:val="24"/>
          <w:szCs w:val="22"/>
        </w:rPr>
        <w:t>水</w:t>
      </w:r>
      <w:r w:rsidRPr="002B55E9">
        <w:rPr>
          <w:rFonts w:hint="eastAsia"/>
          <w:kern w:val="2"/>
          <w:sz w:val="24"/>
          <w:szCs w:val="22"/>
        </w:rPr>
        <w:t>、纯水由厂区制备，十三车间设有一套工艺水制备系统，主体工艺为石英砂</w:t>
      </w:r>
      <w:r w:rsidRPr="002B55E9">
        <w:rPr>
          <w:rFonts w:hint="eastAsia"/>
          <w:kern w:val="2"/>
          <w:sz w:val="24"/>
          <w:szCs w:val="22"/>
        </w:rPr>
        <w:t>+</w:t>
      </w:r>
      <w:r w:rsidRPr="002B55E9">
        <w:rPr>
          <w:rFonts w:hint="eastAsia"/>
          <w:kern w:val="2"/>
          <w:sz w:val="24"/>
          <w:szCs w:val="22"/>
        </w:rPr>
        <w:t>活性炭过滤，十一车间</w:t>
      </w:r>
      <w:r w:rsidRPr="002B55E9">
        <w:rPr>
          <w:rFonts w:hint="eastAsia"/>
          <w:bCs/>
          <w:kern w:val="2"/>
          <w:sz w:val="24"/>
          <w:szCs w:val="22"/>
        </w:rPr>
        <w:t>化验室设有</w:t>
      </w:r>
      <w:r w:rsidRPr="002B55E9">
        <w:rPr>
          <w:bCs/>
          <w:kern w:val="2"/>
          <w:sz w:val="24"/>
          <w:szCs w:val="22"/>
        </w:rPr>
        <w:t>2</w:t>
      </w:r>
      <w:r w:rsidRPr="002B55E9">
        <w:rPr>
          <w:rFonts w:hint="eastAsia"/>
          <w:bCs/>
          <w:kern w:val="2"/>
          <w:sz w:val="24"/>
          <w:szCs w:val="22"/>
        </w:rPr>
        <w:t>台纯水机，主体工艺为反渗透（</w:t>
      </w:r>
      <w:r w:rsidRPr="002B55E9">
        <w:rPr>
          <w:rFonts w:hint="eastAsia"/>
          <w:bCs/>
          <w:kern w:val="2"/>
          <w:sz w:val="24"/>
          <w:szCs w:val="22"/>
        </w:rPr>
        <w:t>RO</w:t>
      </w:r>
      <w:r w:rsidRPr="002B55E9">
        <w:rPr>
          <w:rFonts w:hint="eastAsia"/>
          <w:bCs/>
          <w:kern w:val="2"/>
          <w:sz w:val="24"/>
          <w:szCs w:val="22"/>
        </w:rPr>
        <w:t>）工艺，其原理是原水在高压力的作用下通过反渗透膜，水中的溶剂由高浓度向低浓度扩散从而达到分离、提纯、浓缩的目的，由于它与自然界的渗透方向相反，因而称它为反渗透。反渗透可以去除水中的细菌、病毒、胶体、有机物和</w:t>
      </w:r>
      <w:r w:rsidRPr="002B55E9">
        <w:rPr>
          <w:rFonts w:hint="eastAsia"/>
          <w:bCs/>
          <w:kern w:val="2"/>
          <w:sz w:val="24"/>
          <w:szCs w:val="22"/>
        </w:rPr>
        <w:t>98.6%</w:t>
      </w:r>
      <w:r w:rsidRPr="002B55E9">
        <w:rPr>
          <w:rFonts w:hint="eastAsia"/>
          <w:bCs/>
          <w:kern w:val="2"/>
          <w:sz w:val="24"/>
          <w:szCs w:val="22"/>
        </w:rPr>
        <w:t>以上的溶解性离子。</w:t>
      </w:r>
      <w:r w:rsidRPr="002B55E9">
        <w:rPr>
          <w:rFonts w:hint="eastAsia"/>
          <w:kern w:val="2"/>
          <w:sz w:val="24"/>
          <w:szCs w:val="22"/>
        </w:rPr>
        <w:t>各类水制备规模</w:t>
      </w:r>
      <w:r w:rsidRPr="002B55E9">
        <w:rPr>
          <w:kern w:val="2"/>
          <w:sz w:val="24"/>
          <w:szCs w:val="22"/>
        </w:rPr>
        <w:t>及参数</w:t>
      </w:r>
      <w:r w:rsidRPr="002B55E9">
        <w:rPr>
          <w:rFonts w:hint="eastAsia"/>
          <w:kern w:val="2"/>
          <w:sz w:val="24"/>
          <w:szCs w:val="22"/>
        </w:rPr>
        <w:t>具体见下表。</w:t>
      </w:r>
    </w:p>
    <w:p w14:paraId="35B95ED9" w14:textId="77777777"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 xml:space="preserve">2-6-1  </w:t>
      </w:r>
      <w:r w:rsidRPr="002B55E9">
        <w:rPr>
          <w:rFonts w:eastAsia="黑体" w:hint="eastAsia"/>
          <w:b/>
          <w:kern w:val="2"/>
          <w:sz w:val="24"/>
          <w:szCs w:val="22"/>
        </w:rPr>
        <w:t>制水设备规模及参数一览表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14"/>
        <w:gridCol w:w="1010"/>
        <w:gridCol w:w="1744"/>
        <w:gridCol w:w="1419"/>
        <w:gridCol w:w="1388"/>
        <w:gridCol w:w="1332"/>
        <w:gridCol w:w="1531"/>
      </w:tblGrid>
      <w:tr w:rsidR="002B55E9" w:rsidRPr="002B55E9" w14:paraId="3F0A37AF" w14:textId="77777777">
        <w:trPr>
          <w:trHeight w:val="284"/>
        </w:trPr>
        <w:tc>
          <w:tcPr>
            <w:tcW w:w="1214" w:type="dxa"/>
            <w:tcBorders>
              <w:top w:val="single" w:sz="12" w:space="0" w:color="auto"/>
              <w:bottom w:val="single" w:sz="12" w:space="0" w:color="auto"/>
            </w:tcBorders>
            <w:vAlign w:val="center"/>
          </w:tcPr>
          <w:p w14:paraId="23786A13"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位置</w:t>
            </w:r>
          </w:p>
        </w:tc>
        <w:tc>
          <w:tcPr>
            <w:tcW w:w="1010" w:type="dxa"/>
            <w:tcBorders>
              <w:top w:val="single" w:sz="12" w:space="0" w:color="auto"/>
              <w:bottom w:val="single" w:sz="12" w:space="0" w:color="auto"/>
            </w:tcBorders>
            <w:vAlign w:val="center"/>
          </w:tcPr>
          <w:p w14:paraId="5D8A1A11"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制水设备</w:t>
            </w:r>
          </w:p>
        </w:tc>
        <w:tc>
          <w:tcPr>
            <w:tcW w:w="1744" w:type="dxa"/>
            <w:tcBorders>
              <w:top w:val="single" w:sz="12" w:space="0" w:color="auto"/>
              <w:bottom w:val="single" w:sz="12" w:space="0" w:color="auto"/>
            </w:tcBorders>
            <w:vAlign w:val="center"/>
          </w:tcPr>
          <w:p w14:paraId="1616DCBD"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设备数量（台</w:t>
            </w:r>
            <w:r w:rsidRPr="002B55E9">
              <w:rPr>
                <w:kern w:val="2"/>
                <w:sz w:val="18"/>
                <w:szCs w:val="22"/>
              </w:rPr>
              <w:t>/</w:t>
            </w:r>
            <w:r w:rsidRPr="002B55E9">
              <w:rPr>
                <w:rFonts w:hint="eastAsia"/>
                <w:kern w:val="2"/>
                <w:sz w:val="18"/>
                <w:szCs w:val="22"/>
              </w:rPr>
              <w:t>套）</w:t>
            </w:r>
          </w:p>
        </w:tc>
        <w:tc>
          <w:tcPr>
            <w:tcW w:w="1419" w:type="dxa"/>
            <w:tcBorders>
              <w:top w:val="single" w:sz="12" w:space="0" w:color="auto"/>
              <w:bottom w:val="single" w:sz="12" w:space="0" w:color="auto"/>
            </w:tcBorders>
            <w:vAlign w:val="center"/>
          </w:tcPr>
          <w:p w14:paraId="061EFAFB"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制水能力</w:t>
            </w:r>
            <w:r w:rsidRPr="002B55E9">
              <w:rPr>
                <w:rFonts w:hint="eastAsia"/>
                <w:kern w:val="2"/>
                <w:sz w:val="18"/>
                <w:szCs w:val="22"/>
              </w:rPr>
              <w:t>m</w:t>
            </w:r>
            <w:r w:rsidRPr="002B55E9">
              <w:rPr>
                <w:kern w:val="2"/>
                <w:sz w:val="18"/>
                <w:szCs w:val="22"/>
                <w:vertAlign w:val="superscript"/>
              </w:rPr>
              <w:t>3</w:t>
            </w:r>
            <w:r w:rsidRPr="002B55E9">
              <w:rPr>
                <w:kern w:val="2"/>
                <w:sz w:val="18"/>
                <w:szCs w:val="22"/>
              </w:rPr>
              <w:t>/h</w:t>
            </w:r>
          </w:p>
        </w:tc>
        <w:tc>
          <w:tcPr>
            <w:tcW w:w="1388" w:type="dxa"/>
            <w:tcBorders>
              <w:top w:val="single" w:sz="12" w:space="0" w:color="auto"/>
              <w:bottom w:val="single" w:sz="12" w:space="0" w:color="auto"/>
            </w:tcBorders>
            <w:vAlign w:val="center"/>
          </w:tcPr>
          <w:p w14:paraId="6D8F2B20"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用水类型</w:t>
            </w:r>
          </w:p>
        </w:tc>
        <w:tc>
          <w:tcPr>
            <w:tcW w:w="1332" w:type="dxa"/>
            <w:tcBorders>
              <w:top w:val="single" w:sz="12" w:space="0" w:color="auto"/>
              <w:bottom w:val="single" w:sz="12" w:space="0" w:color="auto"/>
            </w:tcBorders>
            <w:vAlign w:val="center"/>
          </w:tcPr>
          <w:p w14:paraId="28765074"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产水类型</w:t>
            </w:r>
          </w:p>
        </w:tc>
        <w:tc>
          <w:tcPr>
            <w:tcW w:w="1531" w:type="dxa"/>
            <w:tcBorders>
              <w:top w:val="single" w:sz="12" w:space="0" w:color="auto"/>
              <w:bottom w:val="single" w:sz="12" w:space="0" w:color="auto"/>
            </w:tcBorders>
            <w:vAlign w:val="center"/>
          </w:tcPr>
          <w:p w14:paraId="5DF94649"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产水率</w:t>
            </w:r>
          </w:p>
        </w:tc>
      </w:tr>
      <w:tr w:rsidR="002B55E9" w:rsidRPr="002B55E9" w14:paraId="13BDC21B" w14:textId="77777777">
        <w:trPr>
          <w:trHeight w:val="284"/>
        </w:trPr>
        <w:tc>
          <w:tcPr>
            <w:tcW w:w="1214" w:type="dxa"/>
            <w:tcBorders>
              <w:top w:val="single" w:sz="12" w:space="0" w:color="auto"/>
            </w:tcBorders>
            <w:vAlign w:val="center"/>
          </w:tcPr>
          <w:p w14:paraId="06071443"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十三车间</w:t>
            </w:r>
          </w:p>
        </w:tc>
        <w:tc>
          <w:tcPr>
            <w:tcW w:w="1010" w:type="dxa"/>
            <w:tcBorders>
              <w:top w:val="single" w:sz="12" w:space="0" w:color="auto"/>
            </w:tcBorders>
            <w:vAlign w:val="center"/>
          </w:tcPr>
          <w:p w14:paraId="58A10017"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工艺水系统</w:t>
            </w:r>
          </w:p>
        </w:tc>
        <w:tc>
          <w:tcPr>
            <w:tcW w:w="1744" w:type="dxa"/>
            <w:tcBorders>
              <w:top w:val="single" w:sz="12" w:space="0" w:color="auto"/>
            </w:tcBorders>
            <w:vAlign w:val="center"/>
          </w:tcPr>
          <w:p w14:paraId="338D6393"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1</w:t>
            </w:r>
          </w:p>
        </w:tc>
        <w:tc>
          <w:tcPr>
            <w:tcW w:w="1419" w:type="dxa"/>
            <w:tcBorders>
              <w:top w:val="single" w:sz="12" w:space="0" w:color="auto"/>
            </w:tcBorders>
            <w:vAlign w:val="center"/>
          </w:tcPr>
          <w:p w14:paraId="5231C37C"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10</w:t>
            </w:r>
          </w:p>
        </w:tc>
        <w:tc>
          <w:tcPr>
            <w:tcW w:w="1388" w:type="dxa"/>
            <w:tcBorders>
              <w:top w:val="single" w:sz="12" w:space="0" w:color="auto"/>
            </w:tcBorders>
            <w:vAlign w:val="center"/>
          </w:tcPr>
          <w:p w14:paraId="5A255804"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自来水</w:t>
            </w:r>
          </w:p>
        </w:tc>
        <w:tc>
          <w:tcPr>
            <w:tcW w:w="1332" w:type="dxa"/>
            <w:tcBorders>
              <w:top w:val="single" w:sz="12" w:space="0" w:color="auto"/>
            </w:tcBorders>
            <w:vAlign w:val="center"/>
          </w:tcPr>
          <w:p w14:paraId="65AE87D6"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工艺水</w:t>
            </w:r>
          </w:p>
        </w:tc>
        <w:tc>
          <w:tcPr>
            <w:tcW w:w="1531" w:type="dxa"/>
            <w:tcBorders>
              <w:top w:val="single" w:sz="12" w:space="0" w:color="auto"/>
            </w:tcBorders>
            <w:vAlign w:val="center"/>
          </w:tcPr>
          <w:p w14:paraId="739E1CA4"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100%</w:t>
            </w:r>
          </w:p>
        </w:tc>
      </w:tr>
      <w:tr w:rsidR="002B55E9" w:rsidRPr="002B55E9" w14:paraId="70E4D498" w14:textId="77777777">
        <w:trPr>
          <w:trHeight w:val="284"/>
        </w:trPr>
        <w:tc>
          <w:tcPr>
            <w:tcW w:w="1214" w:type="dxa"/>
            <w:vAlign w:val="center"/>
          </w:tcPr>
          <w:p w14:paraId="71CC4977"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化验室</w:t>
            </w:r>
          </w:p>
        </w:tc>
        <w:tc>
          <w:tcPr>
            <w:tcW w:w="1010" w:type="dxa"/>
            <w:vAlign w:val="center"/>
          </w:tcPr>
          <w:p w14:paraId="452B5B42"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纯水系统</w:t>
            </w:r>
          </w:p>
        </w:tc>
        <w:tc>
          <w:tcPr>
            <w:tcW w:w="1744" w:type="dxa"/>
            <w:noWrap/>
            <w:vAlign w:val="center"/>
          </w:tcPr>
          <w:p w14:paraId="2B58C4BA"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2</w:t>
            </w:r>
          </w:p>
        </w:tc>
        <w:tc>
          <w:tcPr>
            <w:tcW w:w="1419" w:type="dxa"/>
            <w:vAlign w:val="center"/>
          </w:tcPr>
          <w:p w14:paraId="077FCD92"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0.5</w:t>
            </w:r>
          </w:p>
        </w:tc>
        <w:tc>
          <w:tcPr>
            <w:tcW w:w="1388" w:type="dxa"/>
            <w:vAlign w:val="center"/>
          </w:tcPr>
          <w:p w14:paraId="4CFDFDC8"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rFonts w:hint="eastAsia"/>
                <w:kern w:val="2"/>
                <w:sz w:val="18"/>
                <w:szCs w:val="22"/>
              </w:rPr>
              <w:t>自来水</w:t>
            </w:r>
          </w:p>
        </w:tc>
        <w:tc>
          <w:tcPr>
            <w:tcW w:w="1332" w:type="dxa"/>
            <w:vAlign w:val="center"/>
          </w:tcPr>
          <w:p w14:paraId="46FDADC9"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纯水</w:t>
            </w:r>
          </w:p>
        </w:tc>
        <w:tc>
          <w:tcPr>
            <w:tcW w:w="1531" w:type="dxa"/>
            <w:vAlign w:val="center"/>
          </w:tcPr>
          <w:p w14:paraId="0D00C07B" w14:textId="77777777" w:rsidR="00D170E5" w:rsidRPr="002B55E9" w:rsidRDefault="00EF27AD">
            <w:pPr>
              <w:adjustRightInd w:val="0"/>
              <w:snapToGrid w:val="0"/>
              <w:ind w:leftChars="-50" w:left="-100" w:rightChars="-50" w:right="-100"/>
              <w:jc w:val="center"/>
              <w:textAlignment w:val="center"/>
              <w:rPr>
                <w:kern w:val="2"/>
                <w:sz w:val="18"/>
                <w:szCs w:val="22"/>
              </w:rPr>
            </w:pPr>
            <w:r w:rsidRPr="002B55E9">
              <w:rPr>
                <w:kern w:val="2"/>
                <w:sz w:val="18"/>
                <w:szCs w:val="22"/>
              </w:rPr>
              <w:t>75%</w:t>
            </w:r>
          </w:p>
        </w:tc>
      </w:tr>
    </w:tbl>
    <w:p w14:paraId="15BCC7FA" w14:textId="77777777" w:rsidR="00D170E5" w:rsidRPr="002B55E9" w:rsidRDefault="00EF27AD">
      <w:pPr>
        <w:pStyle w:val="5"/>
        <w:keepNext w:val="0"/>
      </w:pPr>
      <w:r w:rsidRPr="002B55E9">
        <w:rPr>
          <w:rFonts w:hint="eastAsia"/>
        </w:rPr>
        <w:t>排水系统</w:t>
      </w:r>
    </w:p>
    <w:p w14:paraId="065085EF" w14:textId="77777777" w:rsidR="00D170E5" w:rsidRPr="002B55E9" w:rsidRDefault="00EF27AD">
      <w:pPr>
        <w:pStyle w:val="affff7"/>
        <w:widowControl w:val="0"/>
        <w:snapToGrid w:val="0"/>
        <w:spacing w:after="0"/>
        <w:rPr>
          <w:szCs w:val="24"/>
        </w:rPr>
      </w:pPr>
      <w:r w:rsidRPr="002B55E9">
        <w:rPr>
          <w:rFonts w:hint="eastAsia"/>
        </w:rPr>
        <w:t>本项目排水系统采用雨污水分流原则设置。全厂排水系统分为生活污水及生产废水系统和消防事故水系统组成。</w:t>
      </w:r>
      <w:r w:rsidRPr="002B55E9">
        <w:rPr>
          <w:rFonts w:hint="eastAsia"/>
          <w:szCs w:val="24"/>
        </w:rPr>
        <w:t>生活废水与生产废水依托佛山市海天（武汉）调味食品有限公司污</w:t>
      </w:r>
      <w:r w:rsidRPr="002B55E9">
        <w:rPr>
          <w:rFonts w:hint="eastAsia"/>
          <w:szCs w:val="24"/>
        </w:rPr>
        <w:lastRenderedPageBreak/>
        <w:t>水处理站处理后与蒸汽冷凝水一同经</w:t>
      </w:r>
      <w:r w:rsidRPr="002B55E9">
        <w:rPr>
          <w:rFonts w:hint="eastAsia"/>
        </w:rPr>
        <w:t>由</w:t>
      </w:r>
      <w:r w:rsidRPr="002B55E9">
        <w:rPr>
          <w:rFonts w:hint="eastAsia"/>
          <w:szCs w:val="24"/>
        </w:rPr>
        <w:t>佛山市海天（武汉）调味食品有限公司</w:t>
      </w:r>
      <w:r w:rsidRPr="002B55E9">
        <w:rPr>
          <w:rFonts w:hint="eastAsia"/>
        </w:rPr>
        <w:t>总排口排放</w:t>
      </w:r>
      <w:r w:rsidRPr="002B55E9">
        <w:rPr>
          <w:rFonts w:hint="eastAsia"/>
          <w:szCs w:val="24"/>
        </w:rPr>
        <w:t>。</w:t>
      </w:r>
    </w:p>
    <w:p w14:paraId="5A2ED992" w14:textId="77777777" w:rsidR="00D170E5" w:rsidRPr="002B55E9" w:rsidRDefault="00EF27AD">
      <w:pPr>
        <w:pStyle w:val="affff7"/>
        <w:snapToGrid w:val="0"/>
        <w:spacing w:after="0"/>
        <w:rPr>
          <w:szCs w:val="24"/>
        </w:rPr>
      </w:pPr>
      <w:r w:rsidRPr="002B55E9">
        <w:t>项目污水处理所依托的佛山市海天（武汉）调味食品有限公司污水处理站已于《海天调味品建设项目（一期）环境影响报告表》中进行了分析评价</w:t>
      </w:r>
      <w:r w:rsidRPr="002B55E9">
        <w:rPr>
          <w:rFonts w:hint="eastAsia"/>
        </w:rPr>
        <w:t>（</w:t>
      </w:r>
      <w:r w:rsidRPr="002B55E9">
        <w:t>1000m</w:t>
      </w:r>
      <w:r w:rsidRPr="002B55E9">
        <w:rPr>
          <w:vertAlign w:val="superscript"/>
        </w:rPr>
        <w:t>3</w:t>
      </w:r>
      <w:r w:rsidRPr="002B55E9">
        <w:t>/d</w:t>
      </w:r>
      <w:r w:rsidRPr="002B55E9">
        <w:rPr>
          <w:rFonts w:hint="eastAsia"/>
        </w:rPr>
        <w:t>），</w:t>
      </w:r>
      <w:r w:rsidRPr="002B55E9">
        <w:rPr>
          <w:rFonts w:hint="eastAsia"/>
          <w:szCs w:val="24"/>
        </w:rPr>
        <w:t>佛山市海天（武汉）调味食品有限公司污水处理站的处理规模具体如下：</w:t>
      </w:r>
    </w:p>
    <w:p w14:paraId="525D9546" w14:textId="77777777" w:rsidR="00D170E5" w:rsidRPr="002B55E9" w:rsidRDefault="00EF27AD">
      <w:pPr>
        <w:pStyle w:val="1f3"/>
        <w:spacing w:beforeLines="0" w:before="0"/>
      </w:pPr>
      <w:r w:rsidRPr="002B55E9">
        <w:rPr>
          <w:rFonts w:hint="eastAsia"/>
        </w:rPr>
        <w:t>表</w:t>
      </w:r>
      <w:r w:rsidRPr="002B55E9">
        <w:t>2</w:t>
      </w:r>
      <w:r w:rsidRPr="002B55E9">
        <w:rPr>
          <w:rFonts w:hint="eastAsia"/>
        </w:rPr>
        <w:t>-</w:t>
      </w:r>
      <w:r w:rsidRPr="002B55E9">
        <w:t>6-2</w:t>
      </w:r>
      <w:r w:rsidRPr="002B55E9">
        <w:rPr>
          <w:rFonts w:hint="eastAsia"/>
        </w:rPr>
        <w:t xml:space="preserve">  </w:t>
      </w:r>
      <w:r w:rsidRPr="002B55E9">
        <w:rPr>
          <w:rFonts w:hint="eastAsia"/>
        </w:rPr>
        <w:t>本项目所</w:t>
      </w:r>
      <w:r w:rsidRPr="002B55E9">
        <w:t>依托的</w:t>
      </w:r>
      <w:r w:rsidRPr="002B55E9">
        <w:rPr>
          <w:rFonts w:hint="eastAsia"/>
        </w:rPr>
        <w:t>废水处理单元情况一览表</w:t>
      </w:r>
    </w:p>
    <w:tbl>
      <w:tblPr>
        <w:tblW w:w="9638" w:type="dxa"/>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2091"/>
        <w:gridCol w:w="1340"/>
        <w:gridCol w:w="1012"/>
        <w:gridCol w:w="1369"/>
        <w:gridCol w:w="992"/>
        <w:gridCol w:w="2834"/>
      </w:tblGrid>
      <w:tr w:rsidR="002B55E9" w:rsidRPr="002B55E9" w14:paraId="178CE3B3" w14:textId="77777777" w:rsidTr="00DE3826">
        <w:trPr>
          <w:trHeight w:val="284"/>
        </w:trPr>
        <w:tc>
          <w:tcPr>
            <w:tcW w:w="2091" w:type="dxa"/>
            <w:vAlign w:val="center"/>
          </w:tcPr>
          <w:p w14:paraId="6B347319" w14:textId="77777777" w:rsidR="00D170E5" w:rsidRPr="002B55E9" w:rsidRDefault="00EF27AD">
            <w:pPr>
              <w:pStyle w:val="affff6"/>
            </w:pPr>
            <w:r w:rsidRPr="002B55E9">
              <w:rPr>
                <w:rFonts w:hint="eastAsia"/>
              </w:rPr>
              <w:t>安装地点</w:t>
            </w:r>
          </w:p>
        </w:tc>
        <w:tc>
          <w:tcPr>
            <w:tcW w:w="1340" w:type="dxa"/>
            <w:vAlign w:val="center"/>
          </w:tcPr>
          <w:p w14:paraId="563069A9" w14:textId="77777777" w:rsidR="00D170E5" w:rsidRPr="002B55E9" w:rsidRDefault="00EF27AD">
            <w:pPr>
              <w:pStyle w:val="affff6"/>
            </w:pPr>
            <w:r w:rsidRPr="002B55E9">
              <w:t>处理单元名称</w:t>
            </w:r>
          </w:p>
        </w:tc>
        <w:tc>
          <w:tcPr>
            <w:tcW w:w="1012" w:type="dxa"/>
            <w:vAlign w:val="center"/>
          </w:tcPr>
          <w:p w14:paraId="1A5261AC" w14:textId="77777777" w:rsidR="00D170E5" w:rsidRPr="002B55E9" w:rsidRDefault="00EF27AD">
            <w:pPr>
              <w:pStyle w:val="affff6"/>
            </w:pPr>
            <w:r w:rsidRPr="002B55E9">
              <w:t>设计规模</w:t>
            </w:r>
          </w:p>
        </w:tc>
        <w:tc>
          <w:tcPr>
            <w:tcW w:w="1369" w:type="dxa"/>
            <w:vAlign w:val="center"/>
          </w:tcPr>
          <w:p w14:paraId="6579BED3" w14:textId="77777777" w:rsidR="00D170E5" w:rsidRPr="002B55E9" w:rsidRDefault="00EF27AD">
            <w:pPr>
              <w:pStyle w:val="affff6"/>
            </w:pPr>
            <w:r w:rsidRPr="002B55E9">
              <w:rPr>
                <w:rFonts w:hint="eastAsia"/>
              </w:rPr>
              <w:t>已使用规模</w:t>
            </w:r>
          </w:p>
        </w:tc>
        <w:tc>
          <w:tcPr>
            <w:tcW w:w="992" w:type="dxa"/>
            <w:vAlign w:val="center"/>
          </w:tcPr>
          <w:p w14:paraId="0A9A9F77" w14:textId="77777777" w:rsidR="00D170E5" w:rsidRPr="002B55E9" w:rsidRDefault="00EF27AD">
            <w:pPr>
              <w:pStyle w:val="affff6"/>
            </w:pPr>
            <w:r w:rsidRPr="002B55E9">
              <w:rPr>
                <w:rFonts w:hint="eastAsia"/>
              </w:rPr>
              <w:t>余量</w:t>
            </w:r>
          </w:p>
        </w:tc>
        <w:tc>
          <w:tcPr>
            <w:tcW w:w="2834" w:type="dxa"/>
            <w:vAlign w:val="center"/>
          </w:tcPr>
          <w:p w14:paraId="68E4408A" w14:textId="77777777" w:rsidR="00D170E5" w:rsidRPr="002B55E9" w:rsidRDefault="00EF27AD">
            <w:pPr>
              <w:pStyle w:val="affff6"/>
            </w:pPr>
            <w:r w:rsidRPr="002B55E9">
              <w:rPr>
                <w:rFonts w:hint="eastAsia"/>
              </w:rPr>
              <w:t>备注</w:t>
            </w:r>
          </w:p>
        </w:tc>
      </w:tr>
      <w:tr w:rsidR="002B55E9" w:rsidRPr="002B55E9" w14:paraId="145A5962" w14:textId="77777777" w:rsidTr="00DE3826">
        <w:trPr>
          <w:trHeight w:val="284"/>
        </w:trPr>
        <w:tc>
          <w:tcPr>
            <w:tcW w:w="2091" w:type="dxa"/>
            <w:vAlign w:val="center"/>
          </w:tcPr>
          <w:p w14:paraId="1307FD48" w14:textId="77777777" w:rsidR="00D170E5" w:rsidRPr="002B55E9" w:rsidRDefault="00EF27AD">
            <w:pPr>
              <w:pStyle w:val="affff6"/>
            </w:pPr>
            <w:r w:rsidRPr="002B55E9">
              <w:rPr>
                <w:rFonts w:hint="eastAsia"/>
                <w:szCs w:val="24"/>
              </w:rPr>
              <w:t>佛山市海天（武汉）调味食品有限公司</w:t>
            </w:r>
          </w:p>
        </w:tc>
        <w:tc>
          <w:tcPr>
            <w:tcW w:w="1340" w:type="dxa"/>
            <w:vAlign w:val="center"/>
          </w:tcPr>
          <w:p w14:paraId="348C6FED" w14:textId="77777777" w:rsidR="00D170E5" w:rsidRPr="002B55E9" w:rsidRDefault="00EF27AD">
            <w:pPr>
              <w:pStyle w:val="affff6"/>
            </w:pPr>
            <w:r w:rsidRPr="002B55E9">
              <w:rPr>
                <w:rFonts w:hint="eastAsia"/>
              </w:rPr>
              <w:t>污水处理站</w:t>
            </w:r>
          </w:p>
        </w:tc>
        <w:tc>
          <w:tcPr>
            <w:tcW w:w="1012" w:type="dxa"/>
            <w:vAlign w:val="center"/>
          </w:tcPr>
          <w:p w14:paraId="0AAE967E" w14:textId="77777777" w:rsidR="00D170E5" w:rsidRPr="002B55E9" w:rsidRDefault="00EF27AD">
            <w:pPr>
              <w:pStyle w:val="affff6"/>
            </w:pPr>
            <w:r w:rsidRPr="002B55E9">
              <w:rPr>
                <w:rFonts w:hint="eastAsia"/>
              </w:rPr>
              <w:t>1</w:t>
            </w:r>
            <w:r w:rsidRPr="002B55E9">
              <w:t>000</w:t>
            </w:r>
            <w:r w:rsidRPr="002B55E9">
              <w:rPr>
                <w:szCs w:val="24"/>
              </w:rPr>
              <w:t xml:space="preserve"> m</w:t>
            </w:r>
            <w:r w:rsidRPr="002B55E9">
              <w:rPr>
                <w:szCs w:val="24"/>
                <w:vertAlign w:val="superscript"/>
              </w:rPr>
              <w:t>3</w:t>
            </w:r>
            <w:r w:rsidRPr="002B55E9">
              <w:rPr>
                <w:szCs w:val="24"/>
              </w:rPr>
              <w:t>/d</w:t>
            </w:r>
          </w:p>
        </w:tc>
        <w:tc>
          <w:tcPr>
            <w:tcW w:w="1369" w:type="dxa"/>
            <w:vAlign w:val="center"/>
          </w:tcPr>
          <w:p w14:paraId="66D00682" w14:textId="77777777" w:rsidR="00D170E5" w:rsidRPr="002B55E9" w:rsidRDefault="00EF27AD">
            <w:pPr>
              <w:pStyle w:val="affff6"/>
            </w:pPr>
            <w:r w:rsidRPr="002B55E9">
              <w:rPr>
                <w:rFonts w:hint="eastAsia"/>
              </w:rPr>
              <w:t>3</w:t>
            </w:r>
            <w:r w:rsidRPr="002B55E9">
              <w:t>85</w:t>
            </w:r>
            <w:r w:rsidRPr="002B55E9">
              <w:rPr>
                <w:szCs w:val="24"/>
              </w:rPr>
              <w:t xml:space="preserve"> m</w:t>
            </w:r>
            <w:r w:rsidRPr="002B55E9">
              <w:rPr>
                <w:szCs w:val="24"/>
                <w:vertAlign w:val="superscript"/>
              </w:rPr>
              <w:t>3</w:t>
            </w:r>
            <w:r w:rsidRPr="002B55E9">
              <w:rPr>
                <w:szCs w:val="24"/>
              </w:rPr>
              <w:t>/d</w:t>
            </w:r>
          </w:p>
        </w:tc>
        <w:tc>
          <w:tcPr>
            <w:tcW w:w="992" w:type="dxa"/>
            <w:vAlign w:val="center"/>
          </w:tcPr>
          <w:p w14:paraId="5596A5E8" w14:textId="77777777" w:rsidR="00D170E5" w:rsidRPr="002B55E9" w:rsidRDefault="00EF27AD">
            <w:pPr>
              <w:pStyle w:val="affff6"/>
            </w:pPr>
            <w:r w:rsidRPr="002B55E9">
              <w:rPr>
                <w:szCs w:val="24"/>
              </w:rPr>
              <w:t>615m</w:t>
            </w:r>
            <w:r w:rsidRPr="002B55E9">
              <w:rPr>
                <w:szCs w:val="24"/>
                <w:vertAlign w:val="superscript"/>
              </w:rPr>
              <w:t>3</w:t>
            </w:r>
            <w:r w:rsidRPr="002B55E9">
              <w:rPr>
                <w:szCs w:val="24"/>
              </w:rPr>
              <w:t>/d</w:t>
            </w:r>
          </w:p>
        </w:tc>
        <w:tc>
          <w:tcPr>
            <w:tcW w:w="2834" w:type="dxa"/>
            <w:vAlign w:val="center"/>
          </w:tcPr>
          <w:p w14:paraId="0F6798B7" w14:textId="77777777" w:rsidR="00D170E5" w:rsidRPr="002B55E9" w:rsidRDefault="00EF27AD">
            <w:pPr>
              <w:pStyle w:val="affff6"/>
              <w:rPr>
                <w:szCs w:val="24"/>
              </w:rPr>
            </w:pPr>
            <w:r w:rsidRPr="002B55E9">
              <w:rPr>
                <w:rFonts w:hint="eastAsia"/>
                <w:szCs w:val="24"/>
              </w:rPr>
              <w:t>已使用规模为佛山市海天（武汉）调味食品有限公司自身使用</w:t>
            </w:r>
          </w:p>
        </w:tc>
      </w:tr>
    </w:tbl>
    <w:p w14:paraId="6923C137" w14:textId="77777777" w:rsidR="00D170E5" w:rsidRPr="002B55E9" w:rsidRDefault="00EF27AD">
      <w:pPr>
        <w:pStyle w:val="affff7"/>
        <w:snapToGrid w:val="0"/>
        <w:spacing w:after="0"/>
      </w:pPr>
      <w:r w:rsidRPr="002B55E9">
        <w:rPr>
          <w:rFonts w:hint="eastAsia"/>
        </w:rPr>
        <w:t>（</w:t>
      </w:r>
      <w:r w:rsidRPr="002B55E9">
        <w:rPr>
          <w:rFonts w:hint="eastAsia"/>
        </w:rPr>
        <w:t>1</w:t>
      </w:r>
      <w:r w:rsidRPr="002B55E9">
        <w:rPr>
          <w:rFonts w:hint="eastAsia"/>
        </w:rPr>
        <w:t>）生活污水</w:t>
      </w:r>
      <w:r w:rsidRPr="002B55E9">
        <w:t>及生产废水系统</w:t>
      </w:r>
    </w:p>
    <w:p w14:paraId="1BB8592A" w14:textId="77777777" w:rsidR="00D170E5" w:rsidRPr="002B55E9" w:rsidRDefault="00EF27AD">
      <w:pPr>
        <w:pStyle w:val="affff7"/>
        <w:snapToGrid w:val="0"/>
        <w:spacing w:after="0"/>
      </w:pPr>
      <w:r w:rsidRPr="002B55E9">
        <w:rPr>
          <w:rFonts w:hint="eastAsia"/>
        </w:rPr>
        <w:t>生活</w:t>
      </w:r>
      <w:r w:rsidRPr="002B55E9">
        <w:t>污水及生产废水主要来源于车间生产及人员生活，经污水管网收集后通过</w:t>
      </w:r>
      <w:r w:rsidRPr="002B55E9">
        <w:rPr>
          <w:rFonts w:hint="eastAsia"/>
        </w:rPr>
        <w:t>加压</w:t>
      </w:r>
      <w:r w:rsidRPr="002B55E9">
        <w:t>泵送的方式</w:t>
      </w:r>
      <w:r w:rsidRPr="002B55E9">
        <w:rPr>
          <w:rFonts w:hint="eastAsia"/>
        </w:rPr>
        <w:t>排至污水</w:t>
      </w:r>
      <w:r w:rsidRPr="002B55E9">
        <w:t>处理站调节池。</w:t>
      </w:r>
    </w:p>
    <w:p w14:paraId="0A414F3E" w14:textId="77777777" w:rsidR="00D170E5" w:rsidRPr="002B55E9" w:rsidRDefault="00EF27AD">
      <w:pPr>
        <w:pStyle w:val="affff7"/>
        <w:snapToGrid w:val="0"/>
        <w:spacing w:after="0"/>
      </w:pPr>
      <w:r w:rsidRPr="002B55E9">
        <w:rPr>
          <w:rFonts w:hint="eastAsia"/>
        </w:rPr>
        <w:t>（</w:t>
      </w:r>
      <w:r w:rsidRPr="002B55E9">
        <w:rPr>
          <w:rFonts w:hint="eastAsia"/>
        </w:rPr>
        <w:t>2</w:t>
      </w:r>
      <w:r w:rsidRPr="002B55E9">
        <w:rPr>
          <w:rFonts w:hint="eastAsia"/>
        </w:rPr>
        <w:t>）消防</w:t>
      </w:r>
      <w:r w:rsidRPr="002B55E9">
        <w:t>事故水系统</w:t>
      </w:r>
    </w:p>
    <w:p w14:paraId="0689ACBB" w14:textId="77777777" w:rsidR="00D170E5" w:rsidRPr="002B55E9" w:rsidRDefault="00EF27AD">
      <w:pPr>
        <w:pStyle w:val="affff7"/>
        <w:snapToGrid w:val="0"/>
        <w:spacing w:after="0"/>
      </w:pPr>
      <w:r w:rsidRPr="002B55E9">
        <w:rPr>
          <w:rFonts w:hint="eastAsia"/>
        </w:rPr>
        <w:t>本项目依托佛山市海天（武汉）调味食品有限公司污水</w:t>
      </w:r>
      <w:r w:rsidRPr="002B55E9">
        <w:t>处理站</w:t>
      </w:r>
      <w:r w:rsidRPr="002B55E9">
        <w:rPr>
          <w:rFonts w:hint="eastAsia"/>
        </w:rPr>
        <w:t>的</w:t>
      </w:r>
      <w:r w:rsidRPr="002B55E9">
        <w:t>一座</w:t>
      </w:r>
      <w:r w:rsidRPr="002B55E9">
        <w:rPr>
          <w:rFonts w:hint="eastAsia"/>
        </w:rPr>
        <w:t>338</w:t>
      </w:r>
      <w:r w:rsidRPr="002B55E9">
        <w:t>m</w:t>
      </w:r>
      <w:r w:rsidRPr="002B55E9">
        <w:rPr>
          <w:vertAlign w:val="superscript"/>
        </w:rPr>
        <w:t>3</w:t>
      </w:r>
      <w:r w:rsidRPr="002B55E9">
        <w:rPr>
          <w:rFonts w:hint="eastAsia"/>
        </w:rPr>
        <w:t>的</w:t>
      </w:r>
      <w:r w:rsidRPr="002B55E9">
        <w:t>应急事故水池用于收集消防事故</w:t>
      </w:r>
      <w:r w:rsidRPr="002B55E9">
        <w:rPr>
          <w:rFonts w:hint="eastAsia"/>
        </w:rPr>
        <w:t>水，消防废水包括污染消防水、火灾时泄漏的物料、火灾时必须收集的雨水等。本项目发生消防事故时，消防废水通过污水系统收集经提升站提升至应急事故水池暂存，经污水处理站处理达标后排放。</w:t>
      </w:r>
    </w:p>
    <w:p w14:paraId="6AB4460B" w14:textId="77777777" w:rsidR="00D170E5" w:rsidRPr="002B55E9" w:rsidRDefault="00EF27AD">
      <w:pPr>
        <w:pStyle w:val="4"/>
        <w:rPr>
          <w:color w:val="auto"/>
        </w:rPr>
      </w:pPr>
      <w:r w:rsidRPr="002B55E9">
        <w:rPr>
          <w:rFonts w:hint="eastAsia"/>
          <w:color w:val="auto"/>
        </w:rPr>
        <w:t>供电</w:t>
      </w:r>
    </w:p>
    <w:p w14:paraId="20EFF21C" w14:textId="77777777" w:rsidR="00D170E5" w:rsidRPr="002B55E9" w:rsidRDefault="00EF27AD">
      <w:pPr>
        <w:pStyle w:val="affff7"/>
        <w:adjustRightInd w:val="0"/>
        <w:snapToGrid w:val="0"/>
        <w:spacing w:after="0"/>
        <w:rPr>
          <w:snapToGrid/>
          <w:szCs w:val="24"/>
          <w:lang w:val="zh-CN"/>
        </w:rPr>
      </w:pPr>
      <w:r w:rsidRPr="002B55E9">
        <w:rPr>
          <w:rFonts w:hint="eastAsia"/>
          <w:snapToGrid/>
          <w:szCs w:val="24"/>
          <w:lang w:val="zh-CN"/>
        </w:rPr>
        <w:t>海天醋业（武汉）有限公司主要电源来自市政电网，厂区内设配电间，预计用电量为</w:t>
      </w:r>
      <w:r w:rsidRPr="002B55E9">
        <w:rPr>
          <w:snapToGrid/>
          <w:szCs w:val="24"/>
          <w:lang w:val="zh-CN"/>
        </w:rPr>
        <w:t>1169</w:t>
      </w:r>
      <w:r w:rsidRPr="002B55E9">
        <w:rPr>
          <w:rFonts w:hint="eastAsia"/>
          <w:snapToGrid/>
          <w:szCs w:val="24"/>
          <w:lang w:val="zh-CN"/>
        </w:rPr>
        <w:t>万</w:t>
      </w:r>
      <w:r w:rsidRPr="002B55E9">
        <w:rPr>
          <w:rFonts w:hint="eastAsia"/>
        </w:rPr>
        <w:t xml:space="preserve"> </w:t>
      </w:r>
      <w:r w:rsidRPr="002B55E9">
        <w:t>kW·h/a</w:t>
      </w:r>
      <w:r w:rsidRPr="002B55E9">
        <w:rPr>
          <w:rFonts w:hint="eastAsia"/>
          <w:snapToGrid/>
          <w:szCs w:val="24"/>
          <w:lang w:val="zh-CN"/>
        </w:rPr>
        <w:t>。</w:t>
      </w:r>
    </w:p>
    <w:p w14:paraId="3027D50B" w14:textId="77777777" w:rsidR="00D170E5" w:rsidRPr="002B55E9" w:rsidRDefault="00EF27AD">
      <w:pPr>
        <w:pStyle w:val="4"/>
        <w:rPr>
          <w:color w:val="auto"/>
        </w:rPr>
      </w:pPr>
      <w:r w:rsidRPr="002B55E9">
        <w:rPr>
          <w:rFonts w:hint="eastAsia"/>
          <w:color w:val="auto"/>
        </w:rPr>
        <w:t>供蒸汽</w:t>
      </w:r>
    </w:p>
    <w:p w14:paraId="0324DBAB" w14:textId="77777777" w:rsidR="00D170E5" w:rsidRPr="002B55E9" w:rsidRDefault="00EF27AD">
      <w:pPr>
        <w:pStyle w:val="affff7"/>
        <w:snapToGrid w:val="0"/>
        <w:spacing w:after="0"/>
        <w:rPr>
          <w:szCs w:val="24"/>
          <w:u w:color="000000"/>
        </w:rPr>
      </w:pPr>
      <w:r w:rsidRPr="002B55E9">
        <w:rPr>
          <w:rFonts w:hint="eastAsia"/>
          <w:szCs w:val="24"/>
          <w:u w:color="000000"/>
        </w:rPr>
        <w:t>本项目</w:t>
      </w:r>
      <w:r w:rsidRPr="002B55E9">
        <w:rPr>
          <w:szCs w:val="24"/>
          <w:u w:color="000000"/>
        </w:rPr>
        <w:t>需使用的蒸汽</w:t>
      </w:r>
      <w:r w:rsidRPr="002B55E9">
        <w:rPr>
          <w:rFonts w:hint="eastAsia"/>
          <w:szCs w:val="24"/>
          <w:u w:color="000000"/>
        </w:rPr>
        <w:t>压力</w:t>
      </w:r>
      <w:r w:rsidRPr="002B55E9">
        <w:rPr>
          <w:szCs w:val="24"/>
          <w:u w:color="000000"/>
        </w:rPr>
        <w:t>为</w:t>
      </w:r>
      <w:r w:rsidRPr="002B55E9">
        <w:rPr>
          <w:rFonts w:hint="eastAsia"/>
        </w:rPr>
        <w:t>1.0MPa</w:t>
      </w:r>
      <w:r w:rsidRPr="002B55E9">
        <w:rPr>
          <w:rFonts w:hint="eastAsia"/>
        </w:rPr>
        <w:t>，</w:t>
      </w:r>
      <w:r w:rsidRPr="002B55E9">
        <w:t>温度</w:t>
      </w:r>
      <w:r w:rsidRPr="002B55E9">
        <w:rPr>
          <w:rFonts w:hint="eastAsia"/>
        </w:rPr>
        <w:t>184</w:t>
      </w:r>
      <w:r w:rsidRPr="002B55E9">
        <w:rPr>
          <w:rFonts w:hint="eastAsia"/>
        </w:rPr>
        <w:t>℃，</w:t>
      </w:r>
      <w:r w:rsidRPr="002B55E9">
        <w:rPr>
          <w:rFonts w:hint="eastAsia"/>
          <w:szCs w:val="24"/>
          <w:u w:color="000000"/>
        </w:rPr>
        <w:t>由园区蒸汽管道供应，预计年用蒸汽量</w:t>
      </w:r>
      <w:r w:rsidRPr="002B55E9">
        <w:rPr>
          <w:rFonts w:hint="eastAsia"/>
          <w:szCs w:val="24"/>
          <w:u w:color="000000"/>
        </w:rPr>
        <w:t>7</w:t>
      </w:r>
      <w:r w:rsidRPr="002B55E9">
        <w:rPr>
          <w:szCs w:val="24"/>
          <w:u w:color="000000"/>
        </w:rPr>
        <w:t>.125</w:t>
      </w:r>
      <w:r w:rsidRPr="002B55E9">
        <w:rPr>
          <w:rFonts w:hint="eastAsia"/>
          <w:szCs w:val="24"/>
          <w:u w:color="000000"/>
        </w:rPr>
        <w:t>万</w:t>
      </w:r>
      <w:r w:rsidRPr="002B55E9">
        <w:rPr>
          <w:rFonts w:hint="eastAsia"/>
          <w:szCs w:val="24"/>
          <w:u w:color="000000"/>
        </w:rPr>
        <w:t>t/a</w:t>
      </w:r>
      <w:r w:rsidRPr="002B55E9">
        <w:rPr>
          <w:rFonts w:hint="eastAsia"/>
          <w:szCs w:val="24"/>
          <w:u w:color="000000"/>
        </w:rPr>
        <w:t>。</w:t>
      </w:r>
    </w:p>
    <w:p w14:paraId="380BEC57" w14:textId="77777777" w:rsidR="00D170E5" w:rsidRPr="002B55E9" w:rsidRDefault="00EF27AD">
      <w:pPr>
        <w:pStyle w:val="4"/>
        <w:rPr>
          <w:color w:val="auto"/>
        </w:rPr>
      </w:pPr>
      <w:r w:rsidRPr="002B55E9">
        <w:rPr>
          <w:rFonts w:hint="eastAsia"/>
          <w:color w:val="auto"/>
        </w:rPr>
        <w:t>储运工程</w:t>
      </w:r>
    </w:p>
    <w:p w14:paraId="3C768872" w14:textId="77777777" w:rsidR="00D170E5" w:rsidRPr="002B55E9" w:rsidRDefault="00EF27AD">
      <w:pPr>
        <w:pStyle w:val="5"/>
      </w:pPr>
      <w:r w:rsidRPr="002B55E9">
        <w:rPr>
          <w:rFonts w:hint="eastAsia"/>
        </w:rPr>
        <w:t>储罐</w:t>
      </w:r>
    </w:p>
    <w:p w14:paraId="2A5D48CB" w14:textId="40E9AAD6"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拟建</w:t>
      </w:r>
      <w:r w:rsidRPr="002B55E9">
        <w:rPr>
          <w:kern w:val="2"/>
          <w:sz w:val="24"/>
          <w:szCs w:val="22"/>
        </w:rPr>
        <w:t>项目设置有</w:t>
      </w:r>
      <w:r w:rsidRPr="002B55E9">
        <w:rPr>
          <w:rFonts w:hint="eastAsia"/>
          <w:kern w:val="2"/>
          <w:sz w:val="24"/>
          <w:szCs w:val="22"/>
        </w:rPr>
        <w:t>罐区</w:t>
      </w:r>
      <w:r w:rsidRPr="002B55E9">
        <w:rPr>
          <w:kern w:val="2"/>
          <w:sz w:val="24"/>
          <w:szCs w:val="22"/>
        </w:rPr>
        <w:t>三</w:t>
      </w:r>
      <w:r w:rsidRPr="002B55E9">
        <w:rPr>
          <w:rFonts w:hint="eastAsia"/>
          <w:kern w:val="2"/>
          <w:sz w:val="24"/>
          <w:szCs w:val="22"/>
        </w:rPr>
        <w:t>、</w:t>
      </w:r>
      <w:r w:rsidRPr="002B55E9">
        <w:rPr>
          <w:kern w:val="2"/>
          <w:sz w:val="24"/>
          <w:szCs w:val="22"/>
        </w:rPr>
        <w:t>酒精罐区两个</w:t>
      </w:r>
      <w:r w:rsidRPr="002B55E9">
        <w:rPr>
          <w:rFonts w:hint="eastAsia"/>
          <w:kern w:val="2"/>
          <w:sz w:val="24"/>
          <w:szCs w:val="22"/>
        </w:rPr>
        <w:t>罐区</w:t>
      </w:r>
      <w:r w:rsidRPr="002B55E9">
        <w:rPr>
          <w:kern w:val="2"/>
          <w:sz w:val="24"/>
          <w:szCs w:val="22"/>
        </w:rPr>
        <w:t>，</w:t>
      </w:r>
      <w:r w:rsidRPr="002B55E9">
        <w:rPr>
          <w:rFonts w:hint="eastAsia"/>
          <w:kern w:val="2"/>
          <w:sz w:val="24"/>
          <w:szCs w:val="22"/>
        </w:rPr>
        <w:t>罐区三设</w:t>
      </w:r>
      <w:r w:rsidRPr="002B55E9">
        <w:rPr>
          <w:kern w:val="2"/>
          <w:sz w:val="24"/>
          <w:szCs w:val="22"/>
        </w:rPr>
        <w:t>3</w:t>
      </w:r>
      <w:r w:rsidR="003C43F7" w:rsidRPr="002B55E9">
        <w:rPr>
          <w:kern w:val="2"/>
          <w:sz w:val="24"/>
          <w:szCs w:val="22"/>
        </w:rPr>
        <w:t>7</w:t>
      </w:r>
      <w:r w:rsidRPr="002B55E9">
        <w:rPr>
          <w:rFonts w:hint="eastAsia"/>
          <w:kern w:val="2"/>
          <w:sz w:val="24"/>
          <w:szCs w:val="22"/>
        </w:rPr>
        <w:t>个立式固定顶储罐，酒精罐区设</w:t>
      </w:r>
      <w:r w:rsidRPr="002B55E9">
        <w:rPr>
          <w:rFonts w:hint="eastAsia"/>
          <w:kern w:val="2"/>
          <w:sz w:val="24"/>
          <w:szCs w:val="22"/>
        </w:rPr>
        <w:t>4</w:t>
      </w:r>
      <w:r w:rsidRPr="002B55E9">
        <w:rPr>
          <w:rFonts w:hint="eastAsia"/>
          <w:kern w:val="2"/>
          <w:sz w:val="24"/>
          <w:szCs w:val="22"/>
        </w:rPr>
        <w:t>个内浮顶储罐，各物料通过管道周转进罐体，之后通过固定管道密闭接入相应车间。罐区物料储运信息一览表见下表。</w:t>
      </w:r>
    </w:p>
    <w:p w14:paraId="5BEF073C" w14:textId="03688577" w:rsidR="00D170E5"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2-</w:t>
      </w:r>
      <w:r w:rsidRPr="002B55E9">
        <w:rPr>
          <w:rFonts w:eastAsia="黑体"/>
          <w:b/>
          <w:kern w:val="2"/>
          <w:sz w:val="24"/>
          <w:szCs w:val="22"/>
        </w:rPr>
        <w:t>6</w:t>
      </w:r>
      <w:r w:rsidRPr="002B55E9">
        <w:rPr>
          <w:rFonts w:eastAsia="黑体" w:hint="eastAsia"/>
          <w:b/>
          <w:kern w:val="2"/>
          <w:sz w:val="24"/>
          <w:szCs w:val="22"/>
        </w:rPr>
        <w:t>-</w:t>
      </w:r>
      <w:r w:rsidRPr="002B55E9">
        <w:rPr>
          <w:rFonts w:eastAsia="黑体"/>
          <w:b/>
          <w:kern w:val="2"/>
          <w:sz w:val="24"/>
          <w:szCs w:val="22"/>
        </w:rPr>
        <w:t xml:space="preserve">3  </w:t>
      </w:r>
      <w:r w:rsidRPr="002B55E9">
        <w:rPr>
          <w:rFonts w:eastAsia="黑体" w:hint="eastAsia"/>
          <w:b/>
          <w:kern w:val="2"/>
          <w:sz w:val="24"/>
          <w:szCs w:val="22"/>
        </w:rPr>
        <w:t>罐区三物料储运信息一览表</w:t>
      </w:r>
    </w:p>
    <w:p w14:paraId="3690C922" w14:textId="77777777" w:rsidR="00C60999" w:rsidRDefault="00C60999" w:rsidP="00C60999">
      <w:pPr>
        <w:pStyle w:val="1f3"/>
        <w:spacing w:beforeLines="0" w:before="0"/>
      </w:pPr>
    </w:p>
    <w:p w14:paraId="6B80F876"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4DC8C246" w14:textId="77777777" w:rsidR="00C60999" w:rsidRPr="002B55E9" w:rsidRDefault="00C60999" w:rsidP="00C60999">
      <w:pPr>
        <w:pStyle w:val="1f3"/>
        <w:spacing w:beforeLines="0" w:before="0"/>
      </w:pPr>
    </w:p>
    <w:p w14:paraId="07BF2958" w14:textId="77777777" w:rsidR="00C60999" w:rsidRPr="002B55E9" w:rsidRDefault="00C60999">
      <w:pPr>
        <w:snapToGrid w:val="0"/>
        <w:jc w:val="center"/>
        <w:rPr>
          <w:rFonts w:eastAsia="黑体"/>
          <w:b/>
          <w:kern w:val="2"/>
          <w:sz w:val="24"/>
          <w:szCs w:val="22"/>
        </w:rPr>
      </w:pPr>
    </w:p>
    <w:p w14:paraId="7019CB55" w14:textId="4F666BB2" w:rsidR="00D170E5"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2-</w:t>
      </w:r>
      <w:r w:rsidRPr="002B55E9">
        <w:rPr>
          <w:rFonts w:eastAsia="黑体"/>
          <w:b/>
          <w:kern w:val="2"/>
          <w:sz w:val="24"/>
          <w:szCs w:val="22"/>
        </w:rPr>
        <w:t>6</w:t>
      </w:r>
      <w:r w:rsidRPr="002B55E9">
        <w:rPr>
          <w:rFonts w:eastAsia="黑体" w:hint="eastAsia"/>
          <w:b/>
          <w:kern w:val="2"/>
          <w:sz w:val="24"/>
          <w:szCs w:val="22"/>
        </w:rPr>
        <w:t>-</w:t>
      </w:r>
      <w:r w:rsidRPr="002B55E9">
        <w:rPr>
          <w:rFonts w:eastAsia="黑体"/>
          <w:b/>
          <w:kern w:val="2"/>
          <w:sz w:val="24"/>
          <w:szCs w:val="22"/>
        </w:rPr>
        <w:t xml:space="preserve">4  </w:t>
      </w:r>
      <w:r w:rsidRPr="002B55E9">
        <w:rPr>
          <w:rFonts w:eastAsia="黑体" w:hint="eastAsia"/>
          <w:b/>
          <w:kern w:val="2"/>
          <w:sz w:val="24"/>
          <w:szCs w:val="22"/>
        </w:rPr>
        <w:t>酒精罐区物料储运信息一览表</w:t>
      </w:r>
    </w:p>
    <w:p w14:paraId="137631BF" w14:textId="77777777" w:rsidR="00C60999" w:rsidRDefault="00C60999" w:rsidP="00C60999">
      <w:pPr>
        <w:pStyle w:val="1f3"/>
        <w:spacing w:beforeLines="0" w:before="0"/>
      </w:pPr>
    </w:p>
    <w:p w14:paraId="385F1DC4"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25B32F37" w14:textId="77777777" w:rsidR="00C60999" w:rsidRPr="002B55E9" w:rsidRDefault="00C60999">
      <w:pPr>
        <w:snapToGrid w:val="0"/>
        <w:jc w:val="center"/>
        <w:rPr>
          <w:kern w:val="2"/>
          <w:sz w:val="24"/>
          <w:szCs w:val="22"/>
        </w:rPr>
      </w:pPr>
    </w:p>
    <w:p w14:paraId="26BDC375" w14:textId="77777777" w:rsidR="00D170E5" w:rsidRPr="002B55E9" w:rsidRDefault="00EF27AD">
      <w:pPr>
        <w:pStyle w:val="5"/>
        <w:numPr>
          <w:ilvl w:val="4"/>
          <w:numId w:val="18"/>
        </w:numPr>
      </w:pPr>
      <w:r w:rsidRPr="002B55E9">
        <w:rPr>
          <w:rFonts w:hint="eastAsia"/>
          <w:kern w:val="2"/>
          <w:szCs w:val="22"/>
        </w:rPr>
        <w:t>设备与管线密封点</w:t>
      </w:r>
    </w:p>
    <w:p w14:paraId="5900286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本项目涉挥发性有机物排放的设备与管线密封点密封点主要存在于涉</w:t>
      </w:r>
      <w:r w:rsidRPr="002B55E9">
        <w:rPr>
          <w:rFonts w:hint="eastAsia"/>
          <w:kern w:val="2"/>
          <w:sz w:val="24"/>
          <w:szCs w:val="22"/>
        </w:rPr>
        <w:t>VOCs</w:t>
      </w:r>
      <w:r w:rsidRPr="002B55E9">
        <w:rPr>
          <w:rFonts w:hint="eastAsia"/>
          <w:kern w:val="2"/>
          <w:sz w:val="24"/>
          <w:szCs w:val="22"/>
        </w:rPr>
        <w:t>物料的储罐和少部分生产</w:t>
      </w:r>
      <w:r w:rsidRPr="002B55E9">
        <w:rPr>
          <w:kern w:val="2"/>
          <w:sz w:val="24"/>
          <w:szCs w:val="22"/>
        </w:rPr>
        <w:t>罐</w:t>
      </w:r>
      <w:r w:rsidRPr="002B55E9">
        <w:rPr>
          <w:rFonts w:hint="eastAsia"/>
          <w:kern w:val="2"/>
          <w:sz w:val="24"/>
          <w:szCs w:val="22"/>
        </w:rPr>
        <w:t>，具体见下表：</w:t>
      </w:r>
    </w:p>
    <w:p w14:paraId="761B13DE" w14:textId="77777777"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b/>
          <w:kern w:val="2"/>
          <w:sz w:val="24"/>
          <w:szCs w:val="22"/>
        </w:rPr>
        <w:t>2</w:t>
      </w:r>
      <w:r w:rsidRPr="002B55E9">
        <w:rPr>
          <w:rFonts w:eastAsia="黑体" w:hint="eastAsia"/>
          <w:b/>
          <w:kern w:val="2"/>
          <w:sz w:val="24"/>
          <w:szCs w:val="22"/>
        </w:rPr>
        <w:t>-</w:t>
      </w:r>
      <w:r w:rsidRPr="002B55E9">
        <w:rPr>
          <w:rFonts w:eastAsia="黑体"/>
          <w:b/>
          <w:kern w:val="2"/>
          <w:sz w:val="24"/>
          <w:szCs w:val="22"/>
        </w:rPr>
        <w:t xml:space="preserve">6-5  </w:t>
      </w:r>
      <w:r w:rsidRPr="002B55E9">
        <w:rPr>
          <w:rFonts w:eastAsia="黑体" w:hint="eastAsia"/>
          <w:b/>
          <w:kern w:val="2"/>
          <w:sz w:val="24"/>
          <w:szCs w:val="22"/>
        </w:rPr>
        <w:t>本项目全厂设备与管线组件密封点统计</w:t>
      </w:r>
    </w:p>
    <w:tbl>
      <w:tblPr>
        <w:tblStyle w:val="lgy2"/>
        <w:tblW w:w="9638" w:type="dxa"/>
        <w:tblLayout w:type="fixed"/>
        <w:tblLook w:val="04A0" w:firstRow="1" w:lastRow="0" w:firstColumn="1" w:lastColumn="0" w:noHBand="0" w:noVBand="1"/>
      </w:tblPr>
      <w:tblGrid>
        <w:gridCol w:w="2836"/>
        <w:gridCol w:w="1275"/>
        <w:gridCol w:w="1277"/>
        <w:gridCol w:w="1295"/>
        <w:gridCol w:w="1480"/>
        <w:gridCol w:w="1475"/>
      </w:tblGrid>
      <w:tr w:rsidR="002B55E9" w:rsidRPr="002B55E9" w14:paraId="2918D15C" w14:textId="77777777" w:rsidTr="00EF27AD">
        <w:trPr>
          <w:cnfStyle w:val="100000000000" w:firstRow="1" w:lastRow="0" w:firstColumn="0" w:lastColumn="0" w:oddVBand="0" w:evenVBand="0" w:oddHBand="0" w:evenHBand="0" w:firstRowFirstColumn="0" w:firstRowLastColumn="0" w:lastRowFirstColumn="0" w:lastRowLastColumn="0"/>
          <w:trHeight w:val="284"/>
        </w:trPr>
        <w:tc>
          <w:tcPr>
            <w:tcW w:w="2836" w:type="dxa"/>
            <w:tcBorders>
              <w:right w:val="nil"/>
              <w:tl2br w:val="single" w:sz="4" w:space="0" w:color="auto"/>
            </w:tcBorders>
          </w:tcPr>
          <w:p w14:paraId="07D60FAE" w14:textId="77777777" w:rsidR="00D170E5" w:rsidRPr="002B55E9" w:rsidRDefault="00EF27AD">
            <w:pPr>
              <w:ind w:leftChars="-50" w:left="-100" w:rightChars="-50" w:right="-100"/>
              <w:jc w:val="right"/>
              <w:textAlignment w:val="center"/>
              <w:rPr>
                <w:rFonts w:eastAsia="宋体"/>
                <w:kern w:val="2"/>
                <w:szCs w:val="22"/>
              </w:rPr>
            </w:pPr>
            <w:r w:rsidRPr="002B55E9">
              <w:rPr>
                <w:rFonts w:eastAsia="宋体"/>
                <w:kern w:val="2"/>
                <w:szCs w:val="22"/>
              </w:rPr>
              <w:t>生产线</w:t>
            </w:r>
          </w:p>
          <w:p w14:paraId="3A244C92" w14:textId="77777777" w:rsidR="00D170E5" w:rsidRPr="002B55E9" w:rsidRDefault="00EF27AD">
            <w:pPr>
              <w:ind w:leftChars="-50" w:left="-100" w:rightChars="-50" w:right="-100"/>
              <w:jc w:val="left"/>
              <w:textAlignment w:val="center"/>
              <w:rPr>
                <w:kern w:val="2"/>
                <w:szCs w:val="22"/>
              </w:rPr>
            </w:pPr>
            <w:r w:rsidRPr="002B55E9">
              <w:rPr>
                <w:rFonts w:eastAsia="宋体"/>
                <w:kern w:val="2"/>
                <w:szCs w:val="22"/>
              </w:rPr>
              <w:t>组件类型</w:t>
            </w:r>
          </w:p>
        </w:tc>
        <w:tc>
          <w:tcPr>
            <w:tcW w:w="1275" w:type="dxa"/>
            <w:tcBorders>
              <w:right w:val="nil"/>
            </w:tcBorders>
          </w:tcPr>
          <w:p w14:paraId="1D9A4606"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罐区三</w:t>
            </w:r>
          </w:p>
        </w:tc>
        <w:tc>
          <w:tcPr>
            <w:tcW w:w="1277" w:type="dxa"/>
            <w:tcBorders>
              <w:right w:val="nil"/>
            </w:tcBorders>
          </w:tcPr>
          <w:p w14:paraId="427D0482"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酒精罐区</w:t>
            </w:r>
          </w:p>
        </w:tc>
        <w:tc>
          <w:tcPr>
            <w:tcW w:w="1295" w:type="dxa"/>
            <w:tcBorders>
              <w:right w:val="nil"/>
            </w:tcBorders>
          </w:tcPr>
          <w:p w14:paraId="5122CF22"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十一车间</w:t>
            </w:r>
          </w:p>
        </w:tc>
        <w:tc>
          <w:tcPr>
            <w:tcW w:w="1480" w:type="dxa"/>
            <w:tcBorders>
              <w:right w:val="nil"/>
            </w:tcBorders>
          </w:tcPr>
          <w:p w14:paraId="3F71385F"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十三车间</w:t>
            </w:r>
          </w:p>
        </w:tc>
        <w:tc>
          <w:tcPr>
            <w:tcW w:w="1475" w:type="dxa"/>
          </w:tcPr>
          <w:p w14:paraId="758C795D" w14:textId="77777777" w:rsidR="00D170E5" w:rsidRPr="002B55E9" w:rsidRDefault="00EF27AD">
            <w:pPr>
              <w:ind w:leftChars="-50" w:left="-100" w:rightChars="-50" w:right="-100"/>
              <w:jc w:val="center"/>
              <w:textAlignment w:val="center"/>
              <w:rPr>
                <w:rFonts w:eastAsia="宋体"/>
                <w:kern w:val="2"/>
                <w:szCs w:val="22"/>
              </w:rPr>
            </w:pPr>
            <w:r w:rsidRPr="002B55E9">
              <w:rPr>
                <w:rFonts w:eastAsia="宋体"/>
                <w:kern w:val="2"/>
                <w:szCs w:val="22"/>
              </w:rPr>
              <w:t>密封点数合计</w:t>
            </w:r>
          </w:p>
        </w:tc>
      </w:tr>
      <w:tr w:rsidR="002B55E9" w:rsidRPr="002B55E9" w14:paraId="142ECF77" w14:textId="77777777" w:rsidTr="00D170E5">
        <w:trPr>
          <w:trHeight w:val="284"/>
        </w:trPr>
        <w:tc>
          <w:tcPr>
            <w:tcW w:w="2836" w:type="dxa"/>
          </w:tcPr>
          <w:p w14:paraId="3824718B"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开口阀或开口管线</w:t>
            </w:r>
          </w:p>
        </w:tc>
        <w:tc>
          <w:tcPr>
            <w:tcW w:w="1275" w:type="dxa"/>
          </w:tcPr>
          <w:p w14:paraId="6924A108"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18</w:t>
            </w:r>
          </w:p>
        </w:tc>
        <w:tc>
          <w:tcPr>
            <w:tcW w:w="1277" w:type="dxa"/>
          </w:tcPr>
          <w:p w14:paraId="3D42B14F"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12</w:t>
            </w:r>
          </w:p>
        </w:tc>
        <w:tc>
          <w:tcPr>
            <w:tcW w:w="1295" w:type="dxa"/>
          </w:tcPr>
          <w:p w14:paraId="4298F1C6" w14:textId="77777777" w:rsidR="00D170E5" w:rsidRPr="002B55E9" w:rsidRDefault="00EF27AD">
            <w:pPr>
              <w:ind w:leftChars="-50" w:left="-100" w:rightChars="-50" w:right="-100"/>
              <w:jc w:val="center"/>
              <w:textAlignment w:val="center"/>
              <w:rPr>
                <w:kern w:val="2"/>
                <w:szCs w:val="22"/>
              </w:rPr>
            </w:pPr>
            <w:r w:rsidRPr="002B55E9">
              <w:rPr>
                <w:rFonts w:eastAsia="宋体" w:hint="eastAsia"/>
                <w:kern w:val="2"/>
                <w:szCs w:val="22"/>
              </w:rPr>
              <w:t>10</w:t>
            </w:r>
          </w:p>
        </w:tc>
        <w:tc>
          <w:tcPr>
            <w:tcW w:w="1480" w:type="dxa"/>
          </w:tcPr>
          <w:p w14:paraId="00801D1D"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10</w:t>
            </w:r>
          </w:p>
        </w:tc>
        <w:tc>
          <w:tcPr>
            <w:tcW w:w="1475" w:type="dxa"/>
          </w:tcPr>
          <w:p w14:paraId="4DE98F64" w14:textId="77777777" w:rsidR="00D170E5" w:rsidRPr="002B55E9" w:rsidRDefault="00EF27AD">
            <w:pPr>
              <w:ind w:leftChars="-50" w:left="-100" w:rightChars="-50" w:right="-100"/>
              <w:jc w:val="center"/>
              <w:textAlignment w:val="center"/>
              <w:rPr>
                <w:rFonts w:eastAsia="宋体"/>
                <w:kern w:val="2"/>
                <w:szCs w:val="22"/>
              </w:rPr>
            </w:pPr>
            <w:r w:rsidRPr="002B55E9">
              <w:rPr>
                <w:rFonts w:eastAsia="宋体"/>
                <w:szCs w:val="22"/>
              </w:rPr>
              <w:t>50</w:t>
            </w:r>
          </w:p>
        </w:tc>
      </w:tr>
      <w:tr w:rsidR="002B55E9" w:rsidRPr="002B55E9" w14:paraId="1AE6881C" w14:textId="77777777" w:rsidTr="00D170E5">
        <w:trPr>
          <w:trHeight w:val="284"/>
        </w:trPr>
        <w:tc>
          <w:tcPr>
            <w:tcW w:w="2836" w:type="dxa"/>
          </w:tcPr>
          <w:p w14:paraId="62D9C8E4"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有机液体阀门</w:t>
            </w:r>
          </w:p>
        </w:tc>
        <w:tc>
          <w:tcPr>
            <w:tcW w:w="1275" w:type="dxa"/>
          </w:tcPr>
          <w:p w14:paraId="57FCC9AA"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15</w:t>
            </w:r>
          </w:p>
        </w:tc>
        <w:tc>
          <w:tcPr>
            <w:tcW w:w="1277" w:type="dxa"/>
          </w:tcPr>
          <w:p w14:paraId="17D15BBF"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10</w:t>
            </w:r>
          </w:p>
        </w:tc>
        <w:tc>
          <w:tcPr>
            <w:tcW w:w="1295" w:type="dxa"/>
          </w:tcPr>
          <w:p w14:paraId="55B971D2"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5</w:t>
            </w:r>
          </w:p>
        </w:tc>
        <w:tc>
          <w:tcPr>
            <w:tcW w:w="1480" w:type="dxa"/>
          </w:tcPr>
          <w:p w14:paraId="46507169"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10</w:t>
            </w:r>
          </w:p>
        </w:tc>
        <w:tc>
          <w:tcPr>
            <w:tcW w:w="1475" w:type="dxa"/>
          </w:tcPr>
          <w:p w14:paraId="171BA71C" w14:textId="77777777" w:rsidR="00D170E5" w:rsidRPr="002B55E9" w:rsidRDefault="00EF27AD">
            <w:pPr>
              <w:ind w:leftChars="-50" w:left="-100" w:rightChars="-50" w:right="-100"/>
              <w:jc w:val="center"/>
              <w:textAlignment w:val="center"/>
              <w:rPr>
                <w:rFonts w:eastAsia="宋体"/>
                <w:kern w:val="2"/>
                <w:szCs w:val="22"/>
              </w:rPr>
            </w:pPr>
            <w:r w:rsidRPr="002B55E9">
              <w:rPr>
                <w:rFonts w:eastAsia="宋体"/>
                <w:szCs w:val="22"/>
              </w:rPr>
              <w:t>40</w:t>
            </w:r>
          </w:p>
        </w:tc>
      </w:tr>
      <w:tr w:rsidR="002B55E9" w:rsidRPr="002B55E9" w14:paraId="318243CA" w14:textId="77777777" w:rsidTr="00D170E5">
        <w:trPr>
          <w:trHeight w:val="284"/>
        </w:trPr>
        <w:tc>
          <w:tcPr>
            <w:tcW w:w="2836" w:type="dxa"/>
          </w:tcPr>
          <w:p w14:paraId="190050B9"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法兰或连接件</w:t>
            </w:r>
          </w:p>
        </w:tc>
        <w:tc>
          <w:tcPr>
            <w:tcW w:w="1275" w:type="dxa"/>
          </w:tcPr>
          <w:p w14:paraId="3C2585AD" w14:textId="77777777" w:rsidR="00D170E5" w:rsidRPr="002B55E9" w:rsidRDefault="00EF27AD">
            <w:pPr>
              <w:ind w:leftChars="-50" w:left="-100" w:rightChars="-50" w:right="-100"/>
              <w:jc w:val="center"/>
              <w:textAlignment w:val="center"/>
              <w:rPr>
                <w:kern w:val="2"/>
                <w:szCs w:val="22"/>
              </w:rPr>
            </w:pPr>
            <w:r w:rsidRPr="002B55E9">
              <w:rPr>
                <w:rFonts w:eastAsia="宋体" w:hint="eastAsia"/>
                <w:kern w:val="2"/>
                <w:szCs w:val="22"/>
              </w:rPr>
              <w:t>100</w:t>
            </w:r>
          </w:p>
        </w:tc>
        <w:tc>
          <w:tcPr>
            <w:tcW w:w="1277" w:type="dxa"/>
          </w:tcPr>
          <w:p w14:paraId="068607BB" w14:textId="77777777" w:rsidR="00D170E5" w:rsidRPr="002B55E9" w:rsidRDefault="00EF27AD">
            <w:pPr>
              <w:ind w:leftChars="-50" w:left="-100" w:rightChars="-50" w:right="-100"/>
              <w:jc w:val="center"/>
              <w:textAlignment w:val="center"/>
              <w:rPr>
                <w:kern w:val="2"/>
                <w:szCs w:val="22"/>
              </w:rPr>
            </w:pPr>
            <w:r w:rsidRPr="002B55E9">
              <w:rPr>
                <w:rFonts w:eastAsia="宋体" w:hint="eastAsia"/>
                <w:kern w:val="2"/>
                <w:szCs w:val="22"/>
              </w:rPr>
              <w:t>80</w:t>
            </w:r>
          </w:p>
        </w:tc>
        <w:tc>
          <w:tcPr>
            <w:tcW w:w="1295" w:type="dxa"/>
          </w:tcPr>
          <w:p w14:paraId="5EE34827"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40</w:t>
            </w:r>
          </w:p>
        </w:tc>
        <w:tc>
          <w:tcPr>
            <w:tcW w:w="1480" w:type="dxa"/>
          </w:tcPr>
          <w:p w14:paraId="5053FB59"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80</w:t>
            </w:r>
          </w:p>
        </w:tc>
        <w:tc>
          <w:tcPr>
            <w:tcW w:w="1475" w:type="dxa"/>
          </w:tcPr>
          <w:p w14:paraId="40DE76D9" w14:textId="77777777" w:rsidR="00D170E5" w:rsidRPr="002B55E9" w:rsidRDefault="00EF27AD">
            <w:pPr>
              <w:ind w:leftChars="-50" w:left="-100" w:rightChars="-50" w:right="-100"/>
              <w:jc w:val="center"/>
              <w:textAlignment w:val="center"/>
              <w:rPr>
                <w:rFonts w:eastAsia="宋体"/>
                <w:kern w:val="2"/>
                <w:szCs w:val="22"/>
              </w:rPr>
            </w:pPr>
            <w:r w:rsidRPr="002B55E9">
              <w:rPr>
                <w:rFonts w:eastAsia="宋体"/>
                <w:szCs w:val="22"/>
              </w:rPr>
              <w:t>300</w:t>
            </w:r>
          </w:p>
        </w:tc>
      </w:tr>
      <w:tr w:rsidR="002B55E9" w:rsidRPr="002B55E9" w14:paraId="572C4714" w14:textId="77777777" w:rsidTr="00D170E5">
        <w:trPr>
          <w:trHeight w:val="284"/>
        </w:trPr>
        <w:tc>
          <w:tcPr>
            <w:tcW w:w="2836" w:type="dxa"/>
          </w:tcPr>
          <w:p w14:paraId="6D6F77DE"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泵、压缩机、搅拌器、泄压设备等</w:t>
            </w:r>
          </w:p>
        </w:tc>
        <w:tc>
          <w:tcPr>
            <w:tcW w:w="1275" w:type="dxa"/>
          </w:tcPr>
          <w:p w14:paraId="68567788" w14:textId="77777777" w:rsidR="00D170E5" w:rsidRPr="002B55E9" w:rsidRDefault="00EF27AD">
            <w:pPr>
              <w:ind w:leftChars="-50" w:left="-100" w:rightChars="-50" w:right="-100"/>
              <w:jc w:val="center"/>
              <w:textAlignment w:val="center"/>
              <w:rPr>
                <w:kern w:val="2"/>
                <w:szCs w:val="22"/>
              </w:rPr>
            </w:pPr>
            <w:r w:rsidRPr="002B55E9">
              <w:rPr>
                <w:rFonts w:eastAsia="宋体" w:hint="eastAsia"/>
                <w:kern w:val="2"/>
                <w:szCs w:val="22"/>
              </w:rPr>
              <w:t>8</w:t>
            </w:r>
          </w:p>
        </w:tc>
        <w:tc>
          <w:tcPr>
            <w:tcW w:w="1277" w:type="dxa"/>
          </w:tcPr>
          <w:p w14:paraId="58348E39"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4</w:t>
            </w:r>
          </w:p>
        </w:tc>
        <w:tc>
          <w:tcPr>
            <w:tcW w:w="1295" w:type="dxa"/>
          </w:tcPr>
          <w:p w14:paraId="7340F72C"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3</w:t>
            </w:r>
          </w:p>
        </w:tc>
        <w:tc>
          <w:tcPr>
            <w:tcW w:w="1480" w:type="dxa"/>
          </w:tcPr>
          <w:p w14:paraId="1E57445A" w14:textId="77777777" w:rsidR="00D170E5" w:rsidRPr="002B55E9" w:rsidRDefault="00EF27AD">
            <w:pPr>
              <w:ind w:leftChars="-50" w:left="-100" w:rightChars="-50" w:right="-100"/>
              <w:jc w:val="center"/>
              <w:textAlignment w:val="center"/>
              <w:rPr>
                <w:kern w:val="2"/>
                <w:szCs w:val="22"/>
              </w:rPr>
            </w:pPr>
            <w:r w:rsidRPr="002B55E9">
              <w:rPr>
                <w:rFonts w:eastAsia="宋体"/>
                <w:kern w:val="2"/>
                <w:szCs w:val="22"/>
              </w:rPr>
              <w:t>5</w:t>
            </w:r>
          </w:p>
        </w:tc>
        <w:tc>
          <w:tcPr>
            <w:tcW w:w="1475" w:type="dxa"/>
          </w:tcPr>
          <w:p w14:paraId="14E603CB" w14:textId="77777777" w:rsidR="00D170E5" w:rsidRPr="002B55E9" w:rsidRDefault="00EF27AD">
            <w:pPr>
              <w:ind w:leftChars="-50" w:left="-100" w:rightChars="-50" w:right="-100"/>
              <w:jc w:val="center"/>
              <w:textAlignment w:val="center"/>
              <w:rPr>
                <w:rFonts w:eastAsia="宋体"/>
                <w:kern w:val="2"/>
                <w:szCs w:val="22"/>
              </w:rPr>
            </w:pPr>
            <w:r w:rsidRPr="002B55E9">
              <w:rPr>
                <w:rFonts w:eastAsia="宋体"/>
                <w:szCs w:val="22"/>
              </w:rPr>
              <w:t>20</w:t>
            </w:r>
          </w:p>
        </w:tc>
      </w:tr>
    </w:tbl>
    <w:p w14:paraId="0483E538" w14:textId="77777777" w:rsidR="00B622DC" w:rsidRPr="002B55E9" w:rsidRDefault="00B622DC" w:rsidP="00B622DC">
      <w:pPr>
        <w:pStyle w:val="lgy-"/>
      </w:pPr>
      <w:bookmarkStart w:id="150" w:name="_Toc119308984"/>
    </w:p>
    <w:p w14:paraId="58AFBD48" w14:textId="6D946774" w:rsidR="00D170E5" w:rsidRPr="002B55E9" w:rsidRDefault="00EF27AD">
      <w:pPr>
        <w:pStyle w:val="3"/>
      </w:pPr>
      <w:r w:rsidRPr="002B55E9">
        <w:rPr>
          <w:rFonts w:hint="eastAsia"/>
        </w:rPr>
        <w:t>劳动定员</w:t>
      </w:r>
      <w:r w:rsidRPr="002B55E9">
        <w:t>及工作制度</w:t>
      </w:r>
      <w:bookmarkEnd w:id="150"/>
    </w:p>
    <w:p w14:paraId="265905E2" w14:textId="02A01DF2" w:rsidR="00AA2E89" w:rsidRPr="002B55E9" w:rsidRDefault="00EF27AD" w:rsidP="00DE3826">
      <w:pPr>
        <w:pStyle w:val="affff7"/>
        <w:widowControl w:val="0"/>
        <w:snapToGrid w:val="0"/>
        <w:spacing w:after="0"/>
        <w:rPr>
          <w:szCs w:val="24"/>
          <w:u w:color="000000"/>
        </w:rPr>
      </w:pPr>
      <w:r w:rsidRPr="002B55E9">
        <w:rPr>
          <w:rFonts w:hint="eastAsia"/>
          <w:szCs w:val="24"/>
          <w:u w:color="000000"/>
        </w:rPr>
        <w:t>拟</w:t>
      </w:r>
      <w:r w:rsidRPr="002B55E9">
        <w:rPr>
          <w:szCs w:val="24"/>
          <w:u w:color="000000"/>
        </w:rPr>
        <w:t>建项目劳动定员</w:t>
      </w:r>
      <w:r w:rsidRPr="002B55E9">
        <w:rPr>
          <w:szCs w:val="24"/>
          <w:u w:color="000000"/>
        </w:rPr>
        <w:t>136</w:t>
      </w:r>
      <w:r w:rsidRPr="002B55E9">
        <w:rPr>
          <w:rFonts w:hint="eastAsia"/>
          <w:szCs w:val="24"/>
          <w:u w:color="000000"/>
        </w:rPr>
        <w:t>人，</w:t>
      </w:r>
      <w:r w:rsidRPr="002B55E9">
        <w:rPr>
          <w:szCs w:val="24"/>
          <w:u w:color="000000"/>
        </w:rPr>
        <w:t>包括管理人员、技术人员、操作人员等，全年工作</w:t>
      </w:r>
      <w:r w:rsidRPr="002B55E9">
        <w:rPr>
          <w:szCs w:val="24"/>
          <w:u w:color="000000"/>
        </w:rPr>
        <w:t>330</w:t>
      </w:r>
      <w:r w:rsidRPr="002B55E9">
        <w:rPr>
          <w:rFonts w:hint="eastAsia"/>
          <w:szCs w:val="24"/>
          <w:u w:color="000000"/>
        </w:rPr>
        <w:t>天</w:t>
      </w:r>
      <w:r w:rsidRPr="002B55E9">
        <w:rPr>
          <w:szCs w:val="24"/>
          <w:u w:color="000000"/>
        </w:rPr>
        <w:t>，</w:t>
      </w:r>
      <w:r w:rsidRPr="002B55E9">
        <w:rPr>
          <w:rFonts w:hint="eastAsia"/>
          <w:szCs w:val="24"/>
          <w:u w:color="000000"/>
        </w:rPr>
        <w:t>厂区不设食堂和宿舍，员工就餐依托周边社会资源配给，厂区内仅设置配餐区和进餐区。</w:t>
      </w:r>
    </w:p>
    <w:p w14:paraId="6E918FA6" w14:textId="05319B43" w:rsidR="00AA2E89" w:rsidRPr="002B55E9" w:rsidRDefault="00DE3826" w:rsidP="00AA2E89">
      <w:pPr>
        <w:numPr>
          <w:ilvl w:val="2"/>
          <w:numId w:val="1"/>
        </w:numPr>
        <w:tabs>
          <w:tab w:val="left" w:pos="432"/>
        </w:tabs>
        <w:spacing w:line="360" w:lineRule="auto"/>
        <w:outlineLvl w:val="2"/>
        <w:rPr>
          <w:rFonts w:eastAsia="黑体"/>
          <w:b/>
          <w:kern w:val="2"/>
          <w:sz w:val="24"/>
        </w:rPr>
      </w:pPr>
      <w:bookmarkStart w:id="151" w:name="_Toc22547960"/>
      <w:r w:rsidRPr="002B55E9">
        <w:rPr>
          <w:rFonts w:eastAsia="黑体" w:hint="eastAsia"/>
          <w:b/>
          <w:kern w:val="2"/>
          <w:sz w:val="24"/>
        </w:rPr>
        <w:t>项目</w:t>
      </w:r>
      <w:r w:rsidR="00AA2E89" w:rsidRPr="002B55E9">
        <w:rPr>
          <w:rFonts w:eastAsia="黑体" w:hint="eastAsia"/>
          <w:b/>
          <w:kern w:val="2"/>
          <w:sz w:val="24"/>
        </w:rPr>
        <w:t>依托工程</w:t>
      </w:r>
      <w:bookmarkEnd w:id="151"/>
    </w:p>
    <w:p w14:paraId="6140B802" w14:textId="07CF3991" w:rsidR="00AA2E89" w:rsidRPr="002B55E9" w:rsidRDefault="00AA2E89" w:rsidP="00B622DC">
      <w:pPr>
        <w:spacing w:line="360" w:lineRule="auto"/>
        <w:ind w:firstLineChars="200" w:firstLine="480"/>
        <w:jc w:val="left"/>
        <w:rPr>
          <w:kern w:val="2"/>
          <w:sz w:val="24"/>
          <w:szCs w:val="24"/>
          <w:lang w:val="pt-BR"/>
        </w:rPr>
      </w:pPr>
      <w:r w:rsidRPr="002B55E9">
        <w:rPr>
          <w:kern w:val="2"/>
          <w:sz w:val="24"/>
          <w:szCs w:val="24"/>
          <w:lang w:val="pt-BR"/>
        </w:rPr>
        <w:t>拟建项目依托工程</w:t>
      </w:r>
      <w:r w:rsidRPr="002B55E9">
        <w:rPr>
          <w:rFonts w:hint="eastAsia"/>
          <w:kern w:val="2"/>
          <w:sz w:val="24"/>
          <w:szCs w:val="24"/>
          <w:lang w:val="pt-BR"/>
        </w:rPr>
        <w:t>及可行性分析</w:t>
      </w:r>
      <w:r w:rsidRPr="002B55E9">
        <w:rPr>
          <w:kern w:val="2"/>
          <w:sz w:val="24"/>
          <w:szCs w:val="24"/>
          <w:lang w:val="pt-BR"/>
        </w:rPr>
        <w:t>见表</w:t>
      </w:r>
      <w:r w:rsidRPr="002B55E9">
        <w:rPr>
          <w:kern w:val="2"/>
          <w:sz w:val="24"/>
          <w:szCs w:val="24"/>
          <w:lang w:val="pt-BR"/>
        </w:rPr>
        <w:t>2-8-</w:t>
      </w:r>
      <w:r w:rsidRPr="002B55E9">
        <w:rPr>
          <w:rFonts w:hint="eastAsia"/>
          <w:kern w:val="2"/>
          <w:sz w:val="24"/>
          <w:szCs w:val="24"/>
          <w:lang w:val="pt-BR"/>
        </w:rPr>
        <w:t>1</w:t>
      </w:r>
      <w:r w:rsidRPr="002B55E9">
        <w:rPr>
          <w:kern w:val="2"/>
          <w:sz w:val="24"/>
          <w:szCs w:val="24"/>
          <w:lang w:val="pt-BR"/>
        </w:rPr>
        <w:t>。</w:t>
      </w:r>
    </w:p>
    <w:p w14:paraId="7B7551B0" w14:textId="5845F3DA" w:rsidR="00AA2E89" w:rsidRPr="002B55E9" w:rsidRDefault="00AA2E89" w:rsidP="00B622DC">
      <w:pPr>
        <w:jc w:val="center"/>
        <w:rPr>
          <w:rFonts w:eastAsia="黑体"/>
          <w:b/>
          <w:kern w:val="2"/>
          <w:sz w:val="24"/>
        </w:rPr>
      </w:pPr>
      <w:r w:rsidRPr="002B55E9">
        <w:rPr>
          <w:rFonts w:eastAsia="黑体"/>
          <w:b/>
          <w:kern w:val="2"/>
          <w:sz w:val="24"/>
        </w:rPr>
        <w:t>表</w:t>
      </w:r>
      <w:r w:rsidRPr="002B55E9">
        <w:rPr>
          <w:rFonts w:eastAsia="黑体"/>
          <w:b/>
          <w:kern w:val="2"/>
          <w:sz w:val="24"/>
        </w:rPr>
        <w:t>2-8-</w:t>
      </w:r>
      <w:r w:rsidRPr="002B55E9">
        <w:rPr>
          <w:rFonts w:eastAsia="黑体" w:hint="eastAsia"/>
          <w:b/>
          <w:kern w:val="2"/>
          <w:sz w:val="24"/>
        </w:rPr>
        <w:t>1</w:t>
      </w:r>
      <w:r w:rsidRPr="002B55E9">
        <w:rPr>
          <w:rFonts w:eastAsia="黑体"/>
          <w:b/>
          <w:kern w:val="2"/>
          <w:sz w:val="24"/>
        </w:rPr>
        <w:t xml:space="preserve">  </w:t>
      </w:r>
      <w:r w:rsidRPr="002B55E9">
        <w:rPr>
          <w:rFonts w:eastAsia="黑体"/>
          <w:b/>
          <w:kern w:val="2"/>
          <w:sz w:val="24"/>
        </w:rPr>
        <w:t>拟建项目区域依托工程</w:t>
      </w:r>
      <w:r w:rsidRPr="002B55E9">
        <w:rPr>
          <w:rFonts w:eastAsia="黑体" w:hint="eastAsia"/>
          <w:b/>
          <w:kern w:val="2"/>
          <w:sz w:val="24"/>
        </w:rPr>
        <w:t>及依托可行性分析</w:t>
      </w:r>
      <w:r w:rsidRPr="002B55E9">
        <w:rPr>
          <w:rFonts w:eastAsia="黑体"/>
          <w:b/>
          <w:kern w:val="2"/>
          <w:sz w:val="24"/>
        </w:rPr>
        <w:t>一览表</w:t>
      </w:r>
    </w:p>
    <w:tbl>
      <w:tblPr>
        <w:tblStyle w:val="lgy2"/>
        <w:tblW w:w="5000" w:type="pct"/>
        <w:tblLayout w:type="fixed"/>
        <w:tblCellMar>
          <w:left w:w="28" w:type="dxa"/>
          <w:right w:w="28" w:type="dxa"/>
        </w:tblCellMar>
        <w:tblLook w:val="04A0" w:firstRow="1" w:lastRow="0" w:firstColumn="1" w:lastColumn="0" w:noHBand="0" w:noVBand="1"/>
      </w:tblPr>
      <w:tblGrid>
        <w:gridCol w:w="670"/>
        <w:gridCol w:w="727"/>
        <w:gridCol w:w="1952"/>
        <w:gridCol w:w="6345"/>
      </w:tblGrid>
      <w:tr w:rsidR="002B55E9" w:rsidRPr="002B55E9" w14:paraId="5BE962C5" w14:textId="77777777" w:rsidTr="00BC587C">
        <w:trPr>
          <w:cnfStyle w:val="100000000000" w:firstRow="1" w:lastRow="0" w:firstColumn="0" w:lastColumn="0" w:oddVBand="0" w:evenVBand="0" w:oddHBand="0" w:evenHBand="0" w:firstRowFirstColumn="0" w:firstRowLastColumn="0" w:lastRowFirstColumn="0" w:lastRowLastColumn="0"/>
          <w:trHeight w:val="283"/>
          <w:tblHeader/>
        </w:trPr>
        <w:tc>
          <w:tcPr>
            <w:tcW w:w="666" w:type="dxa"/>
            <w:vMerge w:val="restart"/>
          </w:tcPr>
          <w:p w14:paraId="5ECBD754" w14:textId="77777777" w:rsidR="00AA2E89" w:rsidRPr="002B55E9" w:rsidRDefault="00AA2E89" w:rsidP="00111C28">
            <w:pPr>
              <w:pStyle w:val="lgy-"/>
              <w:rPr>
                <w:rFonts w:eastAsia="宋体"/>
              </w:rPr>
            </w:pPr>
            <w:r w:rsidRPr="002B55E9">
              <w:rPr>
                <w:rFonts w:eastAsia="宋体"/>
              </w:rPr>
              <w:t>序号</w:t>
            </w:r>
          </w:p>
        </w:tc>
        <w:tc>
          <w:tcPr>
            <w:tcW w:w="723" w:type="dxa"/>
            <w:vMerge w:val="restart"/>
          </w:tcPr>
          <w:p w14:paraId="4D109E3C" w14:textId="77777777" w:rsidR="00AA2E89" w:rsidRPr="002B55E9" w:rsidRDefault="00AA2E89" w:rsidP="00111C28">
            <w:pPr>
              <w:pStyle w:val="lgy-"/>
              <w:rPr>
                <w:rFonts w:eastAsia="宋体"/>
              </w:rPr>
            </w:pPr>
            <w:r w:rsidRPr="002B55E9">
              <w:rPr>
                <w:rFonts w:eastAsia="宋体"/>
              </w:rPr>
              <w:t>项目</w:t>
            </w:r>
          </w:p>
        </w:tc>
        <w:tc>
          <w:tcPr>
            <w:tcW w:w="8249" w:type="dxa"/>
            <w:gridSpan w:val="2"/>
          </w:tcPr>
          <w:p w14:paraId="11935325" w14:textId="77777777" w:rsidR="00AA2E89" w:rsidRPr="002B55E9" w:rsidRDefault="00AA2E89" w:rsidP="00111C28">
            <w:pPr>
              <w:pStyle w:val="lgy-"/>
              <w:rPr>
                <w:rFonts w:eastAsia="宋体"/>
              </w:rPr>
            </w:pPr>
            <w:r w:rsidRPr="002B55E9">
              <w:rPr>
                <w:rFonts w:eastAsia="宋体"/>
              </w:rPr>
              <w:t>区域依托工程</w:t>
            </w:r>
          </w:p>
        </w:tc>
      </w:tr>
      <w:tr w:rsidR="002B55E9" w:rsidRPr="002B55E9" w14:paraId="6B3AE991" w14:textId="77777777" w:rsidTr="00BC587C">
        <w:trPr>
          <w:cnfStyle w:val="100000000000" w:firstRow="1" w:lastRow="0" w:firstColumn="0" w:lastColumn="0" w:oddVBand="0" w:evenVBand="0" w:oddHBand="0" w:evenHBand="0" w:firstRowFirstColumn="0" w:firstRowLastColumn="0" w:lastRowFirstColumn="0" w:lastRowLastColumn="0"/>
          <w:trHeight w:val="283"/>
          <w:tblHeader/>
        </w:trPr>
        <w:tc>
          <w:tcPr>
            <w:tcW w:w="666" w:type="dxa"/>
            <w:vMerge/>
          </w:tcPr>
          <w:p w14:paraId="237EFF7A" w14:textId="77777777" w:rsidR="00AA2E89" w:rsidRPr="002B55E9" w:rsidRDefault="00AA2E89" w:rsidP="00111C28">
            <w:pPr>
              <w:pStyle w:val="lgy-"/>
              <w:rPr>
                <w:rFonts w:eastAsia="宋体"/>
              </w:rPr>
            </w:pPr>
          </w:p>
        </w:tc>
        <w:tc>
          <w:tcPr>
            <w:tcW w:w="723" w:type="dxa"/>
            <w:vMerge/>
          </w:tcPr>
          <w:p w14:paraId="5A1BB1FA" w14:textId="77777777" w:rsidR="00AA2E89" w:rsidRPr="002B55E9" w:rsidRDefault="00AA2E89" w:rsidP="00111C28">
            <w:pPr>
              <w:pStyle w:val="lgy-"/>
              <w:rPr>
                <w:rFonts w:eastAsia="宋体"/>
              </w:rPr>
            </w:pPr>
          </w:p>
        </w:tc>
        <w:tc>
          <w:tcPr>
            <w:tcW w:w="1941" w:type="dxa"/>
          </w:tcPr>
          <w:p w14:paraId="7387A8AC" w14:textId="77777777" w:rsidR="00AA2E89" w:rsidRPr="002B55E9" w:rsidRDefault="00AA2E89" w:rsidP="00111C28">
            <w:pPr>
              <w:pStyle w:val="lgy-"/>
              <w:rPr>
                <w:rFonts w:eastAsia="宋体"/>
              </w:rPr>
            </w:pPr>
            <w:r w:rsidRPr="002B55E9">
              <w:rPr>
                <w:rFonts w:eastAsia="宋体"/>
              </w:rPr>
              <w:t>名称</w:t>
            </w:r>
            <w:r w:rsidRPr="002B55E9">
              <w:rPr>
                <w:rFonts w:eastAsia="宋体" w:hint="eastAsia"/>
              </w:rPr>
              <w:t>及规模</w:t>
            </w:r>
          </w:p>
        </w:tc>
        <w:tc>
          <w:tcPr>
            <w:tcW w:w="6308" w:type="dxa"/>
          </w:tcPr>
          <w:p w14:paraId="365EBB0E" w14:textId="77777777" w:rsidR="00AA2E89" w:rsidRPr="002B55E9" w:rsidRDefault="00AA2E89" w:rsidP="00111C28">
            <w:pPr>
              <w:pStyle w:val="lgy-"/>
              <w:rPr>
                <w:rFonts w:eastAsia="宋体"/>
              </w:rPr>
            </w:pPr>
            <w:r w:rsidRPr="002B55E9">
              <w:rPr>
                <w:rFonts w:eastAsia="宋体" w:hint="eastAsia"/>
              </w:rPr>
              <w:t>依托可行性</w:t>
            </w:r>
          </w:p>
        </w:tc>
      </w:tr>
      <w:tr w:rsidR="002B55E9" w:rsidRPr="002B55E9" w14:paraId="759DD1DE" w14:textId="77777777" w:rsidTr="00111C28">
        <w:trPr>
          <w:trHeight w:val="283"/>
        </w:trPr>
        <w:tc>
          <w:tcPr>
            <w:tcW w:w="666" w:type="dxa"/>
          </w:tcPr>
          <w:p w14:paraId="4E1F4594" w14:textId="77777777" w:rsidR="00AA2E89" w:rsidRPr="002B55E9" w:rsidRDefault="00AA2E89" w:rsidP="00111C28">
            <w:pPr>
              <w:pStyle w:val="lgy-"/>
              <w:rPr>
                <w:rFonts w:eastAsia="宋体"/>
              </w:rPr>
            </w:pPr>
            <w:r w:rsidRPr="002B55E9">
              <w:rPr>
                <w:rFonts w:eastAsia="宋体"/>
              </w:rPr>
              <w:t>1</w:t>
            </w:r>
          </w:p>
        </w:tc>
        <w:tc>
          <w:tcPr>
            <w:tcW w:w="723" w:type="dxa"/>
          </w:tcPr>
          <w:p w14:paraId="20BD19CE" w14:textId="77777777" w:rsidR="00AA2E89" w:rsidRPr="002B55E9" w:rsidRDefault="00AA2E89" w:rsidP="00111C28">
            <w:pPr>
              <w:pStyle w:val="lgy-"/>
              <w:rPr>
                <w:rFonts w:eastAsia="宋体"/>
              </w:rPr>
            </w:pPr>
            <w:r w:rsidRPr="002B55E9">
              <w:rPr>
                <w:rFonts w:eastAsia="宋体"/>
              </w:rPr>
              <w:t>给水</w:t>
            </w:r>
          </w:p>
        </w:tc>
        <w:tc>
          <w:tcPr>
            <w:tcW w:w="1941" w:type="dxa"/>
          </w:tcPr>
          <w:p w14:paraId="1193C1EA" w14:textId="71E0A68E" w:rsidR="00AA2E89" w:rsidRPr="002B55E9" w:rsidRDefault="00AA2E89" w:rsidP="00111C28">
            <w:pPr>
              <w:pStyle w:val="lgy-"/>
              <w:rPr>
                <w:rFonts w:eastAsia="宋体"/>
              </w:rPr>
            </w:pPr>
            <w:r w:rsidRPr="002B55E9">
              <w:rPr>
                <w:rFonts w:eastAsia="宋体" w:hint="eastAsia"/>
              </w:rPr>
              <w:t>由</w:t>
            </w:r>
            <w:r w:rsidR="00771E0B" w:rsidRPr="002B55E9">
              <w:rPr>
                <w:rFonts w:eastAsia="宋体" w:hint="eastAsia"/>
              </w:rPr>
              <w:t>西湖</w:t>
            </w:r>
            <w:r w:rsidRPr="002B55E9">
              <w:rPr>
                <w:rFonts w:eastAsia="宋体" w:hint="eastAsia"/>
              </w:rPr>
              <w:t>水厂供给，能力为</w:t>
            </w:r>
            <w:r w:rsidR="00771E0B" w:rsidRPr="002B55E9">
              <w:rPr>
                <w:rFonts w:eastAsia="宋体" w:hint="eastAsia"/>
              </w:rPr>
              <w:t>5</w:t>
            </w:r>
            <w:r w:rsidRPr="002B55E9">
              <w:rPr>
                <w:rFonts w:eastAsia="宋体" w:hint="eastAsia"/>
              </w:rPr>
              <w:t>万</w:t>
            </w:r>
            <w:r w:rsidRPr="002B55E9">
              <w:rPr>
                <w:rFonts w:eastAsia="宋体"/>
              </w:rPr>
              <w:t>m</w:t>
            </w:r>
            <w:r w:rsidRPr="002B55E9">
              <w:rPr>
                <w:rFonts w:eastAsia="宋体"/>
                <w:vertAlign w:val="superscript"/>
              </w:rPr>
              <w:t>3</w:t>
            </w:r>
            <w:r w:rsidRPr="002B55E9">
              <w:rPr>
                <w:rFonts w:eastAsia="宋体"/>
              </w:rPr>
              <w:t>/d</w:t>
            </w:r>
            <w:r w:rsidRPr="002B55E9">
              <w:rPr>
                <w:rFonts w:eastAsia="宋体" w:hint="eastAsia"/>
              </w:rPr>
              <w:t>，供水压力均大于等于</w:t>
            </w:r>
            <w:r w:rsidRPr="002B55E9">
              <w:rPr>
                <w:rFonts w:eastAsia="宋体" w:hint="eastAsia"/>
              </w:rPr>
              <w:t>0.28MPa</w:t>
            </w:r>
            <w:r w:rsidRPr="002B55E9">
              <w:rPr>
                <w:rFonts w:eastAsia="宋体" w:hint="eastAsia"/>
              </w:rPr>
              <w:t>。</w:t>
            </w:r>
          </w:p>
        </w:tc>
        <w:tc>
          <w:tcPr>
            <w:tcW w:w="6308" w:type="dxa"/>
          </w:tcPr>
          <w:p w14:paraId="6C82EBD2" w14:textId="27C498E3" w:rsidR="001C634D" w:rsidRPr="002B55E9" w:rsidRDefault="00771E0B" w:rsidP="00111C28">
            <w:pPr>
              <w:pStyle w:val="lgy-"/>
              <w:jc w:val="both"/>
              <w:rPr>
                <w:rFonts w:eastAsia="宋体"/>
              </w:rPr>
            </w:pPr>
            <w:r w:rsidRPr="002B55E9">
              <w:rPr>
                <w:rFonts w:eastAsia="宋体" w:hint="eastAsia"/>
              </w:rPr>
              <w:t>根据《东西湖区水务发展“十四五”规划》，全区共有余氏墩、走马岭和西湖三座供水厂，余氏墩水厂供水范围为九通路以东，走马岭水厂供水范围为走新路以东，西湖水厂供水范围为走新路以西。现供水能力分别为</w:t>
            </w:r>
            <w:r w:rsidRPr="002B55E9">
              <w:rPr>
                <w:rFonts w:eastAsia="宋体" w:hint="eastAsia"/>
              </w:rPr>
              <w:t>15</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w:t>
            </w:r>
            <w:r w:rsidRPr="002B55E9">
              <w:rPr>
                <w:rFonts w:eastAsia="宋体" w:hint="eastAsia"/>
              </w:rPr>
              <w:t>30</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w:t>
            </w:r>
            <w:r w:rsidRPr="002B55E9">
              <w:rPr>
                <w:rFonts w:eastAsia="宋体" w:hint="eastAsia"/>
              </w:rPr>
              <w:t>5</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，全区供水总能力为</w:t>
            </w:r>
            <w:r w:rsidRPr="002B55E9">
              <w:rPr>
                <w:rFonts w:eastAsia="宋体" w:hint="eastAsia"/>
              </w:rPr>
              <w:t>50</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，现已实现了三座水厂的连接。目前全区高峰期供水量达到</w:t>
            </w:r>
            <w:r w:rsidRPr="002B55E9">
              <w:rPr>
                <w:rFonts w:eastAsia="宋体" w:hint="eastAsia"/>
              </w:rPr>
              <w:t>35</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，富余的</w:t>
            </w:r>
            <w:r w:rsidRPr="002B55E9">
              <w:rPr>
                <w:rFonts w:eastAsia="宋体" w:hint="eastAsia"/>
              </w:rPr>
              <w:t>15</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供水能力基本集中在东西湖西部。</w:t>
            </w:r>
            <w:r w:rsidR="00AA2E89" w:rsidRPr="002B55E9">
              <w:rPr>
                <w:rFonts w:eastAsia="宋体" w:hint="eastAsia"/>
              </w:rPr>
              <w:t>拟建项目位于</w:t>
            </w:r>
            <w:r w:rsidRPr="002B55E9">
              <w:rPr>
                <w:rFonts w:eastAsia="宋体" w:hint="eastAsia"/>
              </w:rPr>
              <w:t>武汉市东西湖区革新大道以西、兴工六路以南</w:t>
            </w:r>
            <w:r w:rsidR="00AA2E89" w:rsidRPr="002B55E9">
              <w:rPr>
                <w:rFonts w:eastAsia="宋体" w:hint="eastAsia"/>
              </w:rPr>
              <w:t>，属于</w:t>
            </w:r>
            <w:r w:rsidRPr="002B55E9">
              <w:rPr>
                <w:rFonts w:eastAsia="宋体" w:hint="eastAsia"/>
              </w:rPr>
              <w:t>西湖水厂</w:t>
            </w:r>
            <w:r w:rsidR="00AA2E89" w:rsidRPr="002B55E9">
              <w:rPr>
                <w:rFonts w:eastAsia="宋体" w:hint="eastAsia"/>
              </w:rPr>
              <w:t>服务范围；且项目年用水量约为</w:t>
            </w:r>
            <w:r w:rsidR="00AD4C34" w:rsidRPr="002B55E9">
              <w:rPr>
                <w:rFonts w:eastAsia="宋体"/>
              </w:rPr>
              <w:t xml:space="preserve">457997 </w:t>
            </w:r>
            <w:r w:rsidR="00AA2E89" w:rsidRPr="002B55E9">
              <w:rPr>
                <w:rFonts w:eastAsia="宋体"/>
              </w:rPr>
              <w:t>m</w:t>
            </w:r>
            <w:r w:rsidR="00AA2E89" w:rsidRPr="002B55E9">
              <w:rPr>
                <w:rFonts w:eastAsia="宋体"/>
                <w:vertAlign w:val="superscript"/>
              </w:rPr>
              <w:t>3</w:t>
            </w:r>
            <w:r w:rsidR="00245333" w:rsidRPr="002B55E9">
              <w:rPr>
                <w:rFonts w:eastAsia="宋体" w:hint="eastAsia"/>
              </w:rPr>
              <w:t>/a</w:t>
            </w:r>
            <w:r w:rsidR="00AA2E89" w:rsidRPr="002B55E9">
              <w:rPr>
                <w:rFonts w:eastAsia="宋体" w:hint="eastAsia"/>
              </w:rPr>
              <w:t>，日最大用水量为</w:t>
            </w:r>
            <w:r w:rsidR="00245333" w:rsidRPr="002B55E9">
              <w:rPr>
                <w:rFonts w:eastAsia="宋体"/>
              </w:rPr>
              <w:t>138</w:t>
            </w:r>
            <w:r w:rsidR="00AD4C34" w:rsidRPr="002B55E9">
              <w:rPr>
                <w:rFonts w:eastAsia="宋体"/>
              </w:rPr>
              <w:t>8</w:t>
            </w:r>
            <w:r w:rsidR="00AA2E89" w:rsidRPr="002B55E9">
              <w:rPr>
                <w:rFonts w:eastAsia="宋体" w:hint="eastAsia"/>
              </w:rPr>
              <w:t>m</w:t>
            </w:r>
            <w:r w:rsidR="00AA2E89" w:rsidRPr="002B55E9">
              <w:rPr>
                <w:rFonts w:eastAsia="宋体" w:hint="eastAsia"/>
                <w:vertAlign w:val="superscript"/>
              </w:rPr>
              <w:t>3</w:t>
            </w:r>
            <w:r w:rsidR="00245333" w:rsidRPr="002B55E9">
              <w:rPr>
                <w:rFonts w:eastAsia="宋体" w:hint="eastAsia"/>
              </w:rPr>
              <w:t>/d</w:t>
            </w:r>
            <w:r w:rsidR="00AA2E89" w:rsidRPr="002B55E9">
              <w:rPr>
                <w:rFonts w:eastAsia="宋体" w:hint="eastAsia"/>
              </w:rPr>
              <w:t>，约占</w:t>
            </w:r>
            <w:r w:rsidRPr="002B55E9">
              <w:rPr>
                <w:rFonts w:eastAsia="宋体" w:hint="eastAsia"/>
              </w:rPr>
              <w:t>西湖</w:t>
            </w:r>
            <w:r w:rsidR="00AA2E89" w:rsidRPr="002B55E9">
              <w:rPr>
                <w:rFonts w:eastAsia="宋体" w:hint="eastAsia"/>
              </w:rPr>
              <w:t>水厂供水量为</w:t>
            </w:r>
            <w:r w:rsidR="00245333" w:rsidRPr="002B55E9">
              <w:rPr>
                <w:rFonts w:eastAsia="宋体"/>
              </w:rPr>
              <w:t>2.7</w:t>
            </w:r>
            <w:r w:rsidR="00AD4C34" w:rsidRPr="002B55E9">
              <w:rPr>
                <w:rFonts w:eastAsia="宋体"/>
              </w:rPr>
              <w:t>8</w:t>
            </w:r>
            <w:r w:rsidR="00AA2E89" w:rsidRPr="002B55E9">
              <w:rPr>
                <w:rFonts w:eastAsia="宋体" w:hint="eastAsia"/>
              </w:rPr>
              <w:t>%</w:t>
            </w:r>
            <w:r w:rsidR="00AA2E89" w:rsidRPr="002B55E9">
              <w:rPr>
                <w:rFonts w:eastAsia="宋体" w:hint="eastAsia"/>
              </w:rPr>
              <w:t>，所占份额较小，</w:t>
            </w:r>
            <w:r w:rsidR="001C634D" w:rsidRPr="002B55E9">
              <w:rPr>
                <w:rFonts w:eastAsia="宋体" w:hint="eastAsia"/>
              </w:rPr>
              <w:t>供水能力可满足项目</w:t>
            </w:r>
            <w:r w:rsidR="001C634D" w:rsidRPr="002B55E9">
              <w:rPr>
                <w:rFonts w:eastAsia="宋体"/>
              </w:rPr>
              <w:t>用水</w:t>
            </w:r>
            <w:r w:rsidR="001C634D" w:rsidRPr="002B55E9">
              <w:rPr>
                <w:rFonts w:eastAsia="宋体" w:hint="eastAsia"/>
              </w:rPr>
              <w:t>需求。</w:t>
            </w:r>
          </w:p>
        </w:tc>
      </w:tr>
      <w:tr w:rsidR="002B55E9" w:rsidRPr="002B55E9" w14:paraId="6DB7B2DF" w14:textId="77777777" w:rsidTr="00111C28">
        <w:trPr>
          <w:trHeight w:val="283"/>
        </w:trPr>
        <w:tc>
          <w:tcPr>
            <w:tcW w:w="666" w:type="dxa"/>
          </w:tcPr>
          <w:p w14:paraId="42893825" w14:textId="77777777" w:rsidR="00AA2E89" w:rsidRPr="002B55E9" w:rsidRDefault="00AA2E89" w:rsidP="00111C28">
            <w:pPr>
              <w:pStyle w:val="lgy-"/>
              <w:rPr>
                <w:rFonts w:eastAsia="宋体"/>
              </w:rPr>
            </w:pPr>
            <w:r w:rsidRPr="002B55E9">
              <w:rPr>
                <w:rFonts w:eastAsia="宋体" w:hint="eastAsia"/>
              </w:rPr>
              <w:t>2</w:t>
            </w:r>
          </w:p>
        </w:tc>
        <w:tc>
          <w:tcPr>
            <w:tcW w:w="723" w:type="dxa"/>
          </w:tcPr>
          <w:p w14:paraId="253BBF15" w14:textId="77777777" w:rsidR="00AA2E89" w:rsidRPr="002B55E9" w:rsidRDefault="00AA2E89" w:rsidP="00111C28">
            <w:pPr>
              <w:pStyle w:val="lgy-"/>
              <w:rPr>
                <w:rFonts w:eastAsia="宋体"/>
              </w:rPr>
            </w:pPr>
            <w:r w:rsidRPr="002B55E9">
              <w:rPr>
                <w:rFonts w:eastAsia="宋体" w:hint="eastAsia"/>
              </w:rPr>
              <w:t>排水</w:t>
            </w:r>
          </w:p>
        </w:tc>
        <w:tc>
          <w:tcPr>
            <w:tcW w:w="1941" w:type="dxa"/>
          </w:tcPr>
          <w:p w14:paraId="001E41BA" w14:textId="305EBB7C" w:rsidR="00AA2E89" w:rsidRPr="002B55E9" w:rsidRDefault="00245333" w:rsidP="00111C28">
            <w:pPr>
              <w:pStyle w:val="lgy-"/>
              <w:rPr>
                <w:rFonts w:eastAsia="宋体"/>
              </w:rPr>
            </w:pPr>
            <w:r w:rsidRPr="002B55E9">
              <w:rPr>
                <w:rFonts w:eastAsia="宋体" w:hint="eastAsia"/>
              </w:rPr>
              <w:t>项目生产废水</w:t>
            </w:r>
            <w:r w:rsidRPr="002B55E9">
              <w:rPr>
                <w:rFonts w:eastAsia="宋体"/>
              </w:rPr>
              <w:t>和生活污水</w:t>
            </w:r>
            <w:r w:rsidRPr="002B55E9">
              <w:rPr>
                <w:rFonts w:eastAsia="宋体" w:hint="eastAsia"/>
              </w:rPr>
              <w:t>依托佛山市</w:t>
            </w:r>
            <w:r w:rsidRPr="002B55E9">
              <w:rPr>
                <w:rFonts w:eastAsia="宋体"/>
              </w:rPr>
              <w:t>海天（武汉）调味品有限公司污水处理站处理后</w:t>
            </w:r>
            <w:r w:rsidRPr="002B55E9">
              <w:rPr>
                <w:rFonts w:eastAsia="宋体" w:hint="eastAsia"/>
              </w:rPr>
              <w:t>汇同蒸汽冷凝水一同排入市政污水管网，经东西湖污水处理厂处理达标后排入府河。</w:t>
            </w:r>
          </w:p>
        </w:tc>
        <w:tc>
          <w:tcPr>
            <w:tcW w:w="6308" w:type="dxa"/>
          </w:tcPr>
          <w:p w14:paraId="23CC3FC8" w14:textId="263CDEBA" w:rsidR="00BE51C7" w:rsidRPr="002B55E9" w:rsidRDefault="00494D6F" w:rsidP="00111C28">
            <w:pPr>
              <w:pStyle w:val="lgy-"/>
              <w:jc w:val="both"/>
              <w:rPr>
                <w:rFonts w:eastAsia="宋体"/>
              </w:rPr>
            </w:pPr>
            <w:r w:rsidRPr="002B55E9">
              <w:rPr>
                <w:rFonts w:eastAsia="宋体" w:hint="eastAsia"/>
              </w:rPr>
              <w:t>本项目</w:t>
            </w:r>
            <w:r w:rsidRPr="002B55E9">
              <w:rPr>
                <w:rFonts w:eastAsia="宋体"/>
              </w:rPr>
              <w:t>生活</w:t>
            </w:r>
            <w:r w:rsidRPr="002B55E9">
              <w:rPr>
                <w:rFonts w:eastAsia="宋体" w:hint="eastAsia"/>
              </w:rPr>
              <w:t>污水经</w:t>
            </w:r>
            <w:r w:rsidRPr="002B55E9">
              <w:rPr>
                <w:rFonts w:eastAsia="宋体"/>
              </w:rPr>
              <w:t>化粪池处理后与</w:t>
            </w:r>
            <w:r w:rsidRPr="002B55E9">
              <w:rPr>
                <w:rFonts w:eastAsia="宋体" w:hint="eastAsia"/>
              </w:rPr>
              <w:t>生产废水经自建管道一并</w:t>
            </w:r>
            <w:r w:rsidRPr="002B55E9">
              <w:rPr>
                <w:rFonts w:eastAsia="宋体"/>
              </w:rPr>
              <w:t>排入佛山市海天（</w:t>
            </w:r>
            <w:r w:rsidRPr="002B55E9">
              <w:rPr>
                <w:rFonts w:eastAsia="宋体" w:hint="eastAsia"/>
              </w:rPr>
              <w:t>武汉</w:t>
            </w:r>
            <w:r w:rsidRPr="002B55E9">
              <w:rPr>
                <w:rFonts w:eastAsia="宋体"/>
              </w:rPr>
              <w:t>）</w:t>
            </w:r>
            <w:r w:rsidRPr="002B55E9">
              <w:rPr>
                <w:rFonts w:eastAsia="宋体" w:hint="eastAsia"/>
              </w:rPr>
              <w:t>调味</w:t>
            </w:r>
            <w:r w:rsidRPr="002B55E9">
              <w:rPr>
                <w:rFonts w:eastAsia="宋体"/>
              </w:rPr>
              <w:t>食品有限公司厂区污水处理</w:t>
            </w:r>
            <w:r w:rsidRPr="002B55E9">
              <w:rPr>
                <w:rFonts w:eastAsia="宋体" w:hint="eastAsia"/>
              </w:rPr>
              <w:t>站调节池，经</w:t>
            </w:r>
            <w:r w:rsidRPr="002B55E9">
              <w:rPr>
                <w:rFonts w:eastAsia="宋体"/>
              </w:rPr>
              <w:t>处理</w:t>
            </w:r>
            <w:r w:rsidRPr="002B55E9">
              <w:rPr>
                <w:rFonts w:eastAsia="宋体" w:hint="eastAsia"/>
              </w:rPr>
              <w:t>达标后</w:t>
            </w:r>
            <w:r w:rsidRPr="002B55E9">
              <w:rPr>
                <w:rFonts w:eastAsia="宋体"/>
              </w:rPr>
              <w:t>排放，蒸汽冷凝水</w:t>
            </w:r>
            <w:r w:rsidRPr="002B55E9">
              <w:rPr>
                <w:rFonts w:eastAsia="宋体" w:hint="eastAsia"/>
              </w:rPr>
              <w:t>经</w:t>
            </w:r>
            <w:r w:rsidRPr="002B55E9">
              <w:rPr>
                <w:rFonts w:eastAsia="宋体"/>
              </w:rPr>
              <w:t>专用管道收集后</w:t>
            </w:r>
            <w:r w:rsidRPr="002B55E9">
              <w:rPr>
                <w:rFonts w:eastAsia="宋体" w:hint="eastAsia"/>
              </w:rPr>
              <w:t>接入</w:t>
            </w:r>
            <w:r w:rsidRPr="002B55E9">
              <w:rPr>
                <w:rFonts w:eastAsia="宋体"/>
              </w:rPr>
              <w:t>佛山市海天（</w:t>
            </w:r>
            <w:r w:rsidRPr="002B55E9">
              <w:rPr>
                <w:rFonts w:eastAsia="宋体" w:hint="eastAsia"/>
              </w:rPr>
              <w:t>武汉</w:t>
            </w:r>
            <w:r w:rsidRPr="002B55E9">
              <w:rPr>
                <w:rFonts w:eastAsia="宋体"/>
              </w:rPr>
              <w:t>）</w:t>
            </w:r>
            <w:r w:rsidRPr="002B55E9">
              <w:rPr>
                <w:rFonts w:eastAsia="宋体" w:hint="eastAsia"/>
              </w:rPr>
              <w:t>调味</w:t>
            </w:r>
            <w:r w:rsidRPr="002B55E9">
              <w:rPr>
                <w:rFonts w:eastAsia="宋体"/>
              </w:rPr>
              <w:t>食品有限公司污水总排口排</w:t>
            </w:r>
            <w:r w:rsidRPr="002B55E9">
              <w:rPr>
                <w:rFonts w:eastAsia="宋体" w:hint="eastAsia"/>
              </w:rPr>
              <w:t>放。</w:t>
            </w:r>
            <w:r w:rsidR="001635BA" w:rsidRPr="002B55E9">
              <w:rPr>
                <w:rFonts w:eastAsia="宋体" w:hint="eastAsia"/>
              </w:rPr>
              <w:t>佛山市海天（武汉）调味食品有限公司污水处理站设计服务对象为佛山市海天（武汉）调味食品有限公司的“海天调味品建设项目（一期）”和海天醋业（武汉）有限公司的“海天醋酒建设项目（一期）”，主要收集处理两家公司生产过程中的生产废水、生活污水等，涉及的产品种类为蚝油、醋、料酒等调味品，前尚未开工建设，预计</w:t>
            </w:r>
            <w:r w:rsidR="001635BA" w:rsidRPr="002B55E9">
              <w:rPr>
                <w:rFonts w:eastAsia="宋体" w:hint="eastAsia"/>
              </w:rPr>
              <w:t>2023</w:t>
            </w:r>
            <w:r w:rsidR="001635BA" w:rsidRPr="002B55E9">
              <w:rPr>
                <w:rFonts w:eastAsia="宋体" w:hint="eastAsia"/>
              </w:rPr>
              <w:t>年</w:t>
            </w:r>
            <w:r w:rsidR="001635BA" w:rsidRPr="002B55E9">
              <w:rPr>
                <w:rFonts w:eastAsia="宋体" w:hint="eastAsia"/>
              </w:rPr>
              <w:t>8</w:t>
            </w:r>
            <w:r w:rsidR="001635BA" w:rsidRPr="002B55E9">
              <w:rPr>
                <w:rFonts w:eastAsia="宋体" w:hint="eastAsia"/>
              </w:rPr>
              <w:t>月</w:t>
            </w:r>
            <w:r w:rsidR="001635BA" w:rsidRPr="002B55E9">
              <w:rPr>
                <w:rFonts w:eastAsia="宋体" w:hint="eastAsia"/>
              </w:rPr>
              <w:t>30</w:t>
            </w:r>
            <w:r w:rsidR="001635BA" w:rsidRPr="002B55E9">
              <w:rPr>
                <w:rFonts w:eastAsia="宋体" w:hint="eastAsia"/>
              </w:rPr>
              <w:t>日建设投运，</w:t>
            </w:r>
            <w:r w:rsidR="001635BA" w:rsidRPr="002B55E9">
              <w:rPr>
                <w:rFonts w:eastAsia="宋体"/>
              </w:rPr>
              <w:t>污水处理站处理工艺为</w:t>
            </w:r>
            <w:r w:rsidR="001635BA" w:rsidRPr="002B55E9">
              <w:rPr>
                <w:rFonts w:eastAsia="宋体"/>
              </w:rPr>
              <w:t>“</w:t>
            </w:r>
            <w:r w:rsidR="001635BA" w:rsidRPr="002B55E9">
              <w:rPr>
                <w:rFonts w:eastAsia="宋体" w:hint="eastAsia"/>
              </w:rPr>
              <w:t>集水</w:t>
            </w:r>
            <w:r w:rsidR="001635BA" w:rsidRPr="002B55E9">
              <w:rPr>
                <w:rFonts w:eastAsia="宋体" w:hint="eastAsia"/>
              </w:rPr>
              <w:t>+</w:t>
            </w:r>
            <w:r w:rsidR="001635BA" w:rsidRPr="002B55E9">
              <w:rPr>
                <w:rFonts w:eastAsia="宋体" w:hint="eastAsia"/>
              </w:rPr>
              <w:t>调节</w:t>
            </w:r>
            <w:r w:rsidR="001635BA" w:rsidRPr="002B55E9">
              <w:rPr>
                <w:rFonts w:eastAsia="宋体" w:hint="eastAsia"/>
              </w:rPr>
              <w:t>+</w:t>
            </w:r>
            <w:r w:rsidR="001635BA" w:rsidRPr="002B55E9">
              <w:rPr>
                <w:rFonts w:eastAsia="宋体" w:hint="eastAsia"/>
              </w:rPr>
              <w:t>厌氧系统</w:t>
            </w:r>
            <w:r w:rsidR="001635BA" w:rsidRPr="002B55E9">
              <w:rPr>
                <w:rFonts w:eastAsia="宋体" w:hint="eastAsia"/>
              </w:rPr>
              <w:t>+A/O+</w:t>
            </w:r>
            <w:r w:rsidR="001635BA" w:rsidRPr="002B55E9">
              <w:rPr>
                <w:rFonts w:eastAsia="宋体" w:hint="eastAsia"/>
              </w:rPr>
              <w:t>二沉池</w:t>
            </w:r>
            <w:r w:rsidR="001635BA" w:rsidRPr="002B55E9">
              <w:rPr>
                <w:rFonts w:eastAsia="宋体" w:hint="eastAsia"/>
              </w:rPr>
              <w:t>+</w:t>
            </w:r>
            <w:r w:rsidR="001635BA" w:rsidRPr="002B55E9">
              <w:rPr>
                <w:rFonts w:eastAsia="宋体" w:hint="eastAsia"/>
              </w:rPr>
              <w:t>深度处理</w:t>
            </w:r>
            <w:r w:rsidR="001635BA" w:rsidRPr="002B55E9">
              <w:rPr>
                <w:rFonts w:eastAsia="宋体"/>
              </w:rPr>
              <w:t>”</w:t>
            </w:r>
            <w:r w:rsidR="001635BA" w:rsidRPr="002B55E9">
              <w:rPr>
                <w:rFonts w:eastAsia="宋体" w:hint="eastAsia"/>
              </w:rPr>
              <w:t>，设计</w:t>
            </w:r>
            <w:r w:rsidR="001635BA" w:rsidRPr="002B55E9">
              <w:rPr>
                <w:rFonts w:eastAsia="宋体"/>
              </w:rPr>
              <w:t>处理能力为</w:t>
            </w:r>
            <w:r w:rsidR="001635BA" w:rsidRPr="002B55E9">
              <w:rPr>
                <w:rFonts w:eastAsia="宋体" w:hint="eastAsia"/>
              </w:rPr>
              <w:t>1000</w:t>
            </w:r>
            <w:r w:rsidR="001635BA" w:rsidRPr="002B55E9">
              <w:rPr>
                <w:rFonts w:eastAsia="宋体"/>
              </w:rPr>
              <w:t>m</w:t>
            </w:r>
            <w:r w:rsidR="001635BA" w:rsidRPr="002B55E9">
              <w:rPr>
                <w:rFonts w:eastAsia="宋体"/>
                <w:vertAlign w:val="superscript"/>
              </w:rPr>
              <w:t>3</w:t>
            </w:r>
            <w:r w:rsidR="001635BA" w:rsidRPr="002B55E9">
              <w:rPr>
                <w:rFonts w:eastAsia="宋体"/>
              </w:rPr>
              <w:t>/d</w:t>
            </w:r>
            <w:r w:rsidR="001635BA" w:rsidRPr="002B55E9">
              <w:rPr>
                <w:rFonts w:eastAsia="宋体" w:hint="eastAsia"/>
              </w:rPr>
              <w:t>，佛山市海天（武汉）调味食品有限公司最大</w:t>
            </w:r>
            <w:r w:rsidR="001635BA" w:rsidRPr="002B55E9">
              <w:rPr>
                <w:rFonts w:eastAsia="宋体"/>
              </w:rPr>
              <w:t>日排水量为</w:t>
            </w:r>
            <w:r w:rsidR="001635BA" w:rsidRPr="002B55E9">
              <w:rPr>
                <w:rFonts w:eastAsia="宋体" w:hint="eastAsia"/>
              </w:rPr>
              <w:t>385</w:t>
            </w:r>
            <w:r w:rsidR="001635BA" w:rsidRPr="002B55E9">
              <w:rPr>
                <w:rFonts w:eastAsia="宋体"/>
              </w:rPr>
              <w:t>m</w:t>
            </w:r>
            <w:r w:rsidR="001635BA" w:rsidRPr="002B55E9">
              <w:rPr>
                <w:rFonts w:eastAsia="宋体"/>
                <w:vertAlign w:val="superscript"/>
              </w:rPr>
              <w:t>3</w:t>
            </w:r>
            <w:r w:rsidR="001635BA" w:rsidRPr="002B55E9">
              <w:rPr>
                <w:rFonts w:eastAsia="宋体" w:hint="eastAsia"/>
              </w:rPr>
              <w:t>/d</w:t>
            </w:r>
            <w:r w:rsidR="001635BA" w:rsidRPr="002B55E9">
              <w:rPr>
                <w:rFonts w:eastAsia="宋体" w:hint="eastAsia"/>
              </w:rPr>
              <w:t>，</w:t>
            </w:r>
            <w:r w:rsidR="001635BA" w:rsidRPr="002B55E9">
              <w:rPr>
                <w:rFonts w:eastAsia="宋体"/>
              </w:rPr>
              <w:t>剩余</w:t>
            </w:r>
            <w:r w:rsidR="001635BA" w:rsidRPr="002B55E9">
              <w:rPr>
                <w:rFonts w:eastAsia="宋体" w:hint="eastAsia"/>
              </w:rPr>
              <w:t>处理</w:t>
            </w:r>
            <w:r w:rsidR="001635BA" w:rsidRPr="002B55E9">
              <w:rPr>
                <w:rFonts w:eastAsia="宋体"/>
              </w:rPr>
              <w:t>能力为</w:t>
            </w:r>
            <w:r w:rsidR="001635BA" w:rsidRPr="002B55E9">
              <w:rPr>
                <w:rFonts w:eastAsia="宋体" w:hint="eastAsia"/>
              </w:rPr>
              <w:t>615</w:t>
            </w:r>
            <w:r w:rsidR="001635BA" w:rsidRPr="002B55E9">
              <w:rPr>
                <w:rFonts w:eastAsia="宋体"/>
              </w:rPr>
              <w:t xml:space="preserve"> m</w:t>
            </w:r>
            <w:r w:rsidR="001635BA" w:rsidRPr="002B55E9">
              <w:rPr>
                <w:rFonts w:eastAsia="宋体"/>
                <w:vertAlign w:val="superscript"/>
              </w:rPr>
              <w:t>3</w:t>
            </w:r>
            <w:r w:rsidR="001635BA" w:rsidRPr="002B55E9">
              <w:rPr>
                <w:rFonts w:eastAsia="宋体" w:hint="eastAsia"/>
              </w:rPr>
              <w:t>/d</w:t>
            </w:r>
            <w:r w:rsidR="001635BA" w:rsidRPr="002B55E9">
              <w:rPr>
                <w:rFonts w:eastAsia="宋体" w:hint="eastAsia"/>
              </w:rPr>
              <w:t>，</w:t>
            </w:r>
            <w:r w:rsidR="001635BA" w:rsidRPr="002B55E9">
              <w:rPr>
                <w:rFonts w:eastAsia="宋体"/>
              </w:rPr>
              <w:t>本项目需排入污水处理站的</w:t>
            </w:r>
            <w:r w:rsidR="001635BA" w:rsidRPr="002B55E9">
              <w:rPr>
                <w:rFonts w:eastAsia="宋体" w:hint="eastAsia"/>
              </w:rPr>
              <w:t>水量约</w:t>
            </w:r>
            <w:r w:rsidR="001635BA" w:rsidRPr="002B55E9">
              <w:rPr>
                <w:rFonts w:eastAsia="宋体"/>
              </w:rPr>
              <w:t>为</w:t>
            </w:r>
            <w:r w:rsidR="001635BA" w:rsidRPr="002B55E9">
              <w:rPr>
                <w:rFonts w:eastAsia="宋体" w:hint="eastAsia"/>
              </w:rPr>
              <w:t>5</w:t>
            </w:r>
            <w:r w:rsidR="001635BA" w:rsidRPr="002B55E9">
              <w:rPr>
                <w:rFonts w:eastAsia="宋体"/>
              </w:rPr>
              <w:t>23m</w:t>
            </w:r>
            <w:r w:rsidR="001635BA" w:rsidRPr="002B55E9">
              <w:rPr>
                <w:rFonts w:eastAsia="宋体"/>
                <w:vertAlign w:val="superscript"/>
              </w:rPr>
              <w:t>3</w:t>
            </w:r>
            <w:r w:rsidR="001635BA" w:rsidRPr="002B55E9">
              <w:rPr>
                <w:rFonts w:eastAsia="宋体" w:hint="eastAsia"/>
              </w:rPr>
              <w:t>/d</w:t>
            </w:r>
            <w:r w:rsidR="001635BA" w:rsidRPr="002B55E9">
              <w:rPr>
                <w:rFonts w:eastAsia="宋体" w:hint="eastAsia"/>
              </w:rPr>
              <w:t>，处理能力</w:t>
            </w:r>
            <w:r w:rsidR="001635BA" w:rsidRPr="002B55E9">
              <w:rPr>
                <w:rFonts w:eastAsia="宋体"/>
              </w:rPr>
              <w:t>可满足本项目</w:t>
            </w:r>
            <w:r w:rsidR="001635BA" w:rsidRPr="002B55E9">
              <w:rPr>
                <w:rFonts w:eastAsia="宋体" w:hint="eastAsia"/>
              </w:rPr>
              <w:t>废水</w:t>
            </w:r>
            <w:r w:rsidR="001635BA" w:rsidRPr="002B55E9">
              <w:rPr>
                <w:rFonts w:eastAsia="宋体"/>
              </w:rPr>
              <w:t>排放要求</w:t>
            </w:r>
            <w:r w:rsidR="001635BA" w:rsidRPr="002B55E9">
              <w:rPr>
                <w:rFonts w:eastAsia="宋体" w:hint="eastAsia"/>
              </w:rPr>
              <w:t>。根据工程分析，项目排放的废水水质均可满足污水处理站设计进水水质要求。污水处理站采用的处理工艺为《排污许可证申请与核发技术规范食品制造工业</w:t>
            </w:r>
            <w:r w:rsidR="001635BA" w:rsidRPr="002B55E9">
              <w:rPr>
                <w:rFonts w:eastAsia="宋体"/>
              </w:rPr>
              <w:t xml:space="preserve">  </w:t>
            </w:r>
            <w:r w:rsidR="001635BA" w:rsidRPr="002B55E9">
              <w:rPr>
                <w:rFonts w:eastAsia="宋体" w:hint="eastAsia"/>
              </w:rPr>
              <w:t>调味品、发酵制品制造业》（</w:t>
            </w:r>
            <w:r w:rsidR="001635BA" w:rsidRPr="002B55E9">
              <w:rPr>
                <w:rFonts w:eastAsia="宋体"/>
              </w:rPr>
              <w:t>HJ 1030.2--2019</w:t>
            </w:r>
            <w:r w:rsidR="001635BA" w:rsidRPr="002B55E9">
              <w:rPr>
                <w:rFonts w:eastAsia="宋体" w:hint="eastAsia"/>
              </w:rPr>
              <w:t>）中推荐的可行技术，废水经污水处理站处理后总排口污染物排放浓度均可满足《污水综合排放标准》（</w:t>
            </w:r>
            <w:r w:rsidR="001635BA" w:rsidRPr="002B55E9">
              <w:rPr>
                <w:rFonts w:eastAsia="宋体" w:hint="eastAsia"/>
              </w:rPr>
              <w:t>GB8978-1996</w:t>
            </w:r>
            <w:r w:rsidR="001635BA" w:rsidRPr="002B55E9">
              <w:rPr>
                <w:rFonts w:eastAsia="宋体" w:hint="eastAsia"/>
              </w:rPr>
              <w:t>）中三级标准以及东西湖区污水处理厂纳管要求。</w:t>
            </w:r>
          </w:p>
        </w:tc>
      </w:tr>
      <w:tr w:rsidR="002B55E9" w:rsidRPr="002B55E9" w14:paraId="0B02B0A6" w14:textId="77777777" w:rsidTr="00111C28">
        <w:trPr>
          <w:trHeight w:val="283"/>
        </w:trPr>
        <w:tc>
          <w:tcPr>
            <w:tcW w:w="666" w:type="dxa"/>
          </w:tcPr>
          <w:p w14:paraId="3B560DB9" w14:textId="77777777" w:rsidR="00494D6F" w:rsidRPr="002B55E9" w:rsidRDefault="00494D6F" w:rsidP="00111C28">
            <w:pPr>
              <w:pStyle w:val="lgy-"/>
              <w:rPr>
                <w:rFonts w:eastAsia="宋体"/>
              </w:rPr>
            </w:pPr>
            <w:r w:rsidRPr="002B55E9">
              <w:rPr>
                <w:rFonts w:eastAsia="宋体" w:hint="eastAsia"/>
              </w:rPr>
              <w:t>3</w:t>
            </w:r>
          </w:p>
        </w:tc>
        <w:tc>
          <w:tcPr>
            <w:tcW w:w="723" w:type="dxa"/>
          </w:tcPr>
          <w:p w14:paraId="6F593DA8" w14:textId="0E455514" w:rsidR="00494D6F" w:rsidRPr="002B55E9" w:rsidRDefault="00494D6F" w:rsidP="00111C28">
            <w:pPr>
              <w:pStyle w:val="lgy-"/>
              <w:rPr>
                <w:rFonts w:eastAsia="宋体"/>
              </w:rPr>
            </w:pPr>
            <w:r w:rsidRPr="002B55E9">
              <w:rPr>
                <w:rFonts w:eastAsia="宋体" w:hint="eastAsia"/>
              </w:rPr>
              <w:t>供电系统</w:t>
            </w:r>
          </w:p>
        </w:tc>
        <w:tc>
          <w:tcPr>
            <w:tcW w:w="1941" w:type="dxa"/>
          </w:tcPr>
          <w:p w14:paraId="4D9F52DC" w14:textId="7C4B1888" w:rsidR="00494D6F" w:rsidRPr="002B55E9" w:rsidRDefault="00494D6F" w:rsidP="00111C28">
            <w:pPr>
              <w:pStyle w:val="lgy-"/>
              <w:rPr>
                <w:rFonts w:eastAsia="宋体"/>
              </w:rPr>
            </w:pPr>
            <w:r w:rsidRPr="002B55E9">
              <w:rPr>
                <w:rFonts w:eastAsia="宋体" w:hint="eastAsia"/>
              </w:rPr>
              <w:t>厂区供电从市政电网引入供电电源</w:t>
            </w:r>
          </w:p>
        </w:tc>
        <w:tc>
          <w:tcPr>
            <w:tcW w:w="6308" w:type="dxa"/>
          </w:tcPr>
          <w:p w14:paraId="743AB36F" w14:textId="2A6B08DF" w:rsidR="00494D6F" w:rsidRPr="002B55E9" w:rsidRDefault="00494D6F" w:rsidP="00111C28">
            <w:pPr>
              <w:pStyle w:val="lgy-"/>
              <w:jc w:val="both"/>
              <w:rPr>
                <w:rFonts w:eastAsia="宋体"/>
              </w:rPr>
            </w:pPr>
            <w:r w:rsidRPr="002B55E9">
              <w:rPr>
                <w:rFonts w:eastAsia="宋体" w:hint="eastAsia"/>
              </w:rPr>
              <w:t>项目位于新沟镇街食品医药用地板块内，已与园区达成协议，依托园区供电设施。</w:t>
            </w:r>
          </w:p>
        </w:tc>
      </w:tr>
      <w:tr w:rsidR="002B55E9" w:rsidRPr="002B55E9" w14:paraId="12E04671" w14:textId="77777777" w:rsidTr="00111C28">
        <w:trPr>
          <w:trHeight w:val="283"/>
        </w:trPr>
        <w:tc>
          <w:tcPr>
            <w:tcW w:w="666" w:type="dxa"/>
          </w:tcPr>
          <w:p w14:paraId="21501974" w14:textId="21F57191" w:rsidR="00494D6F" w:rsidRPr="002B55E9" w:rsidRDefault="00494D6F" w:rsidP="00111C28">
            <w:pPr>
              <w:pStyle w:val="lgy-"/>
              <w:rPr>
                <w:rFonts w:eastAsia="宋体"/>
              </w:rPr>
            </w:pPr>
            <w:r w:rsidRPr="002B55E9">
              <w:rPr>
                <w:rFonts w:eastAsia="宋体"/>
              </w:rPr>
              <w:t>4</w:t>
            </w:r>
          </w:p>
        </w:tc>
        <w:tc>
          <w:tcPr>
            <w:tcW w:w="723" w:type="dxa"/>
          </w:tcPr>
          <w:p w14:paraId="18ED4465" w14:textId="0BB1AC10" w:rsidR="00494D6F" w:rsidRPr="002B55E9" w:rsidRDefault="00494D6F" w:rsidP="00111C28">
            <w:pPr>
              <w:pStyle w:val="lgy-"/>
              <w:rPr>
                <w:rFonts w:eastAsia="宋体"/>
              </w:rPr>
            </w:pPr>
            <w:r w:rsidRPr="002B55E9">
              <w:rPr>
                <w:rFonts w:eastAsia="宋体" w:hint="eastAsia"/>
              </w:rPr>
              <w:t>供蒸汽系统</w:t>
            </w:r>
          </w:p>
        </w:tc>
        <w:tc>
          <w:tcPr>
            <w:tcW w:w="1941" w:type="dxa"/>
          </w:tcPr>
          <w:p w14:paraId="61659495" w14:textId="25A61036" w:rsidR="00494D6F" w:rsidRPr="002B55E9" w:rsidRDefault="00494D6F" w:rsidP="00111C28">
            <w:pPr>
              <w:pStyle w:val="lgy-"/>
              <w:rPr>
                <w:rFonts w:eastAsia="宋体"/>
              </w:rPr>
            </w:pPr>
            <w:r w:rsidRPr="002B55E9">
              <w:rPr>
                <w:rFonts w:eastAsia="宋体" w:hint="eastAsia"/>
              </w:rPr>
              <w:t>项目使用工业蒸汽由园区蒸汽管道供应，蒸汽</w:t>
            </w:r>
            <w:r w:rsidRPr="002B55E9">
              <w:rPr>
                <w:rFonts w:eastAsia="宋体" w:hint="eastAsia"/>
              </w:rPr>
              <w:lastRenderedPageBreak/>
              <w:t>压力为</w:t>
            </w:r>
            <w:r w:rsidRPr="002B55E9">
              <w:rPr>
                <w:rFonts w:eastAsia="宋体" w:hint="eastAsia"/>
              </w:rPr>
              <w:t>1.0MPa</w:t>
            </w:r>
            <w:r w:rsidRPr="002B55E9">
              <w:rPr>
                <w:rFonts w:eastAsia="宋体" w:hint="eastAsia"/>
              </w:rPr>
              <w:t>，温度</w:t>
            </w:r>
            <w:r w:rsidRPr="002B55E9">
              <w:rPr>
                <w:rFonts w:eastAsia="宋体" w:hint="eastAsia"/>
              </w:rPr>
              <w:t>184</w:t>
            </w:r>
            <w:r w:rsidRPr="002B55E9">
              <w:rPr>
                <w:rFonts w:eastAsia="宋体" w:hint="eastAsia"/>
              </w:rPr>
              <w:t>℃，年用蒸汽量</w:t>
            </w:r>
            <w:r w:rsidRPr="002B55E9">
              <w:rPr>
                <w:rFonts w:eastAsia="宋体" w:hint="eastAsia"/>
              </w:rPr>
              <w:t>7</w:t>
            </w:r>
            <w:r w:rsidRPr="002B55E9">
              <w:rPr>
                <w:rFonts w:eastAsia="宋体"/>
              </w:rPr>
              <w:t>.125</w:t>
            </w:r>
            <w:r w:rsidRPr="002B55E9">
              <w:rPr>
                <w:rFonts w:eastAsia="宋体" w:hint="eastAsia"/>
              </w:rPr>
              <w:t>万吨</w:t>
            </w:r>
          </w:p>
        </w:tc>
        <w:tc>
          <w:tcPr>
            <w:tcW w:w="6308" w:type="dxa"/>
          </w:tcPr>
          <w:p w14:paraId="1101F352" w14:textId="17584BE3" w:rsidR="00494D6F" w:rsidRPr="002B55E9" w:rsidRDefault="00494D6F" w:rsidP="00111C28">
            <w:pPr>
              <w:pStyle w:val="lgy-"/>
              <w:jc w:val="both"/>
              <w:rPr>
                <w:rFonts w:eastAsia="宋体"/>
              </w:rPr>
            </w:pPr>
            <w:r w:rsidRPr="002B55E9">
              <w:rPr>
                <w:rFonts w:eastAsia="宋体" w:hint="eastAsia"/>
              </w:rPr>
              <w:lastRenderedPageBreak/>
              <w:t>建设单位已与武汉市东西湖区能源有限公司签订了《武汉市东西湖区能源有限公司热力（蒸汽）供应合同》，蒸汽依托可行。</w:t>
            </w:r>
          </w:p>
        </w:tc>
      </w:tr>
      <w:tr w:rsidR="002B55E9" w:rsidRPr="002B55E9" w14:paraId="710619C9" w14:textId="77777777" w:rsidTr="00111C28">
        <w:trPr>
          <w:trHeight w:val="283"/>
        </w:trPr>
        <w:tc>
          <w:tcPr>
            <w:tcW w:w="666" w:type="dxa"/>
          </w:tcPr>
          <w:p w14:paraId="013F8595" w14:textId="6012893D" w:rsidR="00AA2E89" w:rsidRPr="002B55E9" w:rsidRDefault="00494D6F" w:rsidP="00111C28">
            <w:pPr>
              <w:pStyle w:val="lgy-"/>
              <w:rPr>
                <w:rFonts w:eastAsia="宋体"/>
              </w:rPr>
            </w:pPr>
            <w:r w:rsidRPr="002B55E9">
              <w:rPr>
                <w:rFonts w:eastAsia="宋体" w:hint="eastAsia"/>
              </w:rPr>
              <w:lastRenderedPageBreak/>
              <w:t>5</w:t>
            </w:r>
          </w:p>
        </w:tc>
        <w:tc>
          <w:tcPr>
            <w:tcW w:w="723" w:type="dxa"/>
          </w:tcPr>
          <w:p w14:paraId="7CF45E39" w14:textId="0430DC3F" w:rsidR="00AA2E89" w:rsidRPr="002B55E9" w:rsidRDefault="00494D6F" w:rsidP="00111C28">
            <w:pPr>
              <w:pStyle w:val="lgy-"/>
              <w:rPr>
                <w:rFonts w:eastAsia="宋体"/>
              </w:rPr>
            </w:pPr>
            <w:r w:rsidRPr="002B55E9">
              <w:rPr>
                <w:rFonts w:eastAsia="宋体" w:hint="eastAsia"/>
              </w:rPr>
              <w:t>城市</w:t>
            </w:r>
            <w:r w:rsidR="00AA2E89" w:rsidRPr="002B55E9">
              <w:rPr>
                <w:rFonts w:eastAsia="宋体"/>
              </w:rPr>
              <w:t>污水处理系统</w:t>
            </w:r>
          </w:p>
        </w:tc>
        <w:tc>
          <w:tcPr>
            <w:tcW w:w="1941" w:type="dxa"/>
          </w:tcPr>
          <w:p w14:paraId="45CF9A48" w14:textId="7BD8398B" w:rsidR="00AA2E89" w:rsidRPr="002B55E9" w:rsidRDefault="00494D6F" w:rsidP="00111C28">
            <w:pPr>
              <w:pStyle w:val="lgy-"/>
              <w:rPr>
                <w:rFonts w:eastAsia="宋体"/>
              </w:rPr>
            </w:pPr>
            <w:r w:rsidRPr="002B55E9">
              <w:rPr>
                <w:rFonts w:eastAsia="宋体" w:hint="eastAsia"/>
              </w:rPr>
              <w:t>项目废水经市政污水管网排入东西湖污水处理厂处理达标后排入府河。</w:t>
            </w:r>
          </w:p>
        </w:tc>
        <w:tc>
          <w:tcPr>
            <w:tcW w:w="6308" w:type="dxa"/>
          </w:tcPr>
          <w:p w14:paraId="485E9EFD" w14:textId="28050437" w:rsidR="00AA2E89" w:rsidRPr="002B55E9" w:rsidRDefault="00494D6F" w:rsidP="0017048E">
            <w:pPr>
              <w:pStyle w:val="lgy-"/>
              <w:jc w:val="both"/>
              <w:rPr>
                <w:rFonts w:eastAsia="宋体"/>
              </w:rPr>
            </w:pPr>
            <w:r w:rsidRPr="002B55E9">
              <w:rPr>
                <w:rFonts w:eastAsia="宋体" w:hint="eastAsia"/>
              </w:rPr>
              <w:t>本项目位于东西湖污水处理厂的服务范围内，东西湖污水处理厂</w:t>
            </w:r>
            <w:r w:rsidRPr="002B55E9">
              <w:rPr>
                <w:rFonts w:eastAsia="宋体"/>
              </w:rPr>
              <w:t>现状处理水量为</w:t>
            </w:r>
            <w:r w:rsidRPr="002B55E9">
              <w:rPr>
                <w:rFonts w:eastAsia="宋体" w:hint="eastAsia"/>
              </w:rPr>
              <w:t>7.67</w:t>
            </w:r>
            <w:r w:rsidRPr="002B55E9">
              <w:rPr>
                <w:rFonts w:eastAsia="宋体" w:hint="eastAsia"/>
              </w:rPr>
              <w:t>万吨</w:t>
            </w:r>
            <w:r w:rsidRPr="002B55E9">
              <w:rPr>
                <w:rFonts w:eastAsia="宋体" w:hint="eastAsia"/>
              </w:rPr>
              <w:t>/</w:t>
            </w:r>
            <w:r w:rsidRPr="002B55E9">
              <w:rPr>
                <w:rFonts w:eastAsia="宋体"/>
              </w:rPr>
              <w:t>d</w:t>
            </w:r>
            <w:r w:rsidRPr="002B55E9">
              <w:rPr>
                <w:rFonts w:eastAsia="宋体" w:hint="eastAsia"/>
              </w:rPr>
              <w:t>，本项目实施后，新增废水排放量约为</w:t>
            </w:r>
            <w:r w:rsidR="0017048E" w:rsidRPr="002B55E9">
              <w:rPr>
                <w:rFonts w:eastAsia="宋体"/>
              </w:rPr>
              <w:t>696</w:t>
            </w:r>
            <w:r w:rsidRPr="002B55E9">
              <w:rPr>
                <w:rFonts w:eastAsia="宋体" w:hint="eastAsia"/>
              </w:rPr>
              <w:t>m</w:t>
            </w:r>
            <w:r w:rsidRPr="002B55E9">
              <w:rPr>
                <w:rFonts w:eastAsia="宋体"/>
                <w:vertAlign w:val="superscript"/>
              </w:rPr>
              <w:t>3</w:t>
            </w:r>
            <w:r w:rsidRPr="002B55E9">
              <w:rPr>
                <w:rFonts w:eastAsia="宋体"/>
              </w:rPr>
              <w:t>/</w:t>
            </w:r>
            <w:r w:rsidRPr="002B55E9">
              <w:rPr>
                <w:rFonts w:eastAsia="宋体" w:hint="eastAsia"/>
              </w:rPr>
              <w:t>d</w:t>
            </w:r>
            <w:r w:rsidRPr="002B55E9">
              <w:rPr>
                <w:rFonts w:eastAsia="宋体" w:hint="eastAsia"/>
              </w:rPr>
              <w:t>，占东西湖污水处理厂剩余</w:t>
            </w:r>
            <w:r w:rsidRPr="002B55E9">
              <w:rPr>
                <w:rFonts w:eastAsia="宋体"/>
              </w:rPr>
              <w:t>2.33</w:t>
            </w:r>
            <w:r w:rsidRPr="002B55E9">
              <w:rPr>
                <w:rFonts w:eastAsia="宋体" w:hint="eastAsia"/>
              </w:rPr>
              <w:t>万</w:t>
            </w:r>
            <w:r w:rsidRPr="002B55E9">
              <w:rPr>
                <w:rFonts w:eastAsia="宋体" w:hint="eastAsia"/>
              </w:rPr>
              <w:t>m</w:t>
            </w:r>
            <w:r w:rsidRPr="002B55E9">
              <w:rPr>
                <w:rFonts w:eastAsia="宋体" w:hint="eastAsia"/>
                <w:vertAlign w:val="superscript"/>
              </w:rPr>
              <w:t>3</w:t>
            </w:r>
            <w:r w:rsidRPr="002B55E9">
              <w:rPr>
                <w:rFonts w:eastAsia="宋体" w:hint="eastAsia"/>
              </w:rPr>
              <w:t>/d</w:t>
            </w:r>
            <w:r w:rsidRPr="002B55E9">
              <w:rPr>
                <w:rFonts w:eastAsia="宋体" w:hint="eastAsia"/>
              </w:rPr>
              <w:t>处理能力的</w:t>
            </w:r>
            <w:r w:rsidR="0017048E" w:rsidRPr="002B55E9">
              <w:rPr>
                <w:rFonts w:eastAsia="宋体"/>
              </w:rPr>
              <w:t>2.99</w:t>
            </w:r>
            <w:r w:rsidRPr="002B55E9">
              <w:rPr>
                <w:rFonts w:eastAsia="宋体" w:hint="eastAsia"/>
              </w:rPr>
              <w:t>%</w:t>
            </w:r>
            <w:r w:rsidRPr="002B55E9">
              <w:rPr>
                <w:rFonts w:eastAsia="宋体" w:hint="eastAsia"/>
              </w:rPr>
              <w:t>，东西湖污水处理厂具备对本项目排放废水的接纳能力。本</w:t>
            </w:r>
            <w:r w:rsidRPr="002B55E9">
              <w:rPr>
                <w:rFonts w:eastAsia="宋体"/>
              </w:rPr>
              <w:t>项目废水经厂区污水处理站处理达标后，总排口废水污染物排放浓度</w:t>
            </w:r>
            <w:r w:rsidRPr="002B55E9">
              <w:rPr>
                <w:rFonts w:eastAsia="宋体" w:hint="eastAsia"/>
              </w:rPr>
              <w:t>均可满足东西湖污水处理厂污水纳管标准要求，且项目废水属于食品生产废水，具有可生化性强、无难降解有机物等特点，适用于东西湖污水处理厂的</w:t>
            </w:r>
            <w:r w:rsidRPr="002B55E9">
              <w:rPr>
                <w:rFonts w:eastAsia="宋体"/>
              </w:rPr>
              <w:t>A/A/O</w:t>
            </w:r>
            <w:r w:rsidRPr="002B55E9">
              <w:rPr>
                <w:rFonts w:eastAsia="宋体"/>
              </w:rPr>
              <w:t>处理工艺，</w:t>
            </w:r>
            <w:r w:rsidRPr="002B55E9">
              <w:rPr>
                <w:rFonts w:eastAsia="宋体" w:hint="eastAsia"/>
              </w:rPr>
              <w:t>对污水处理厂的运行可起到改良作用</w:t>
            </w:r>
            <w:r w:rsidRPr="002B55E9">
              <w:rPr>
                <w:rFonts w:eastAsia="宋体"/>
              </w:rPr>
              <w:t>。</w:t>
            </w:r>
            <w:r w:rsidRPr="002B55E9">
              <w:rPr>
                <w:rFonts w:eastAsia="宋体" w:hint="eastAsia"/>
              </w:rPr>
              <w:t>因此，拟建项目废水排入东西湖污水处理厂进行处理可行。</w:t>
            </w:r>
          </w:p>
        </w:tc>
      </w:tr>
      <w:tr w:rsidR="002B55E9" w:rsidRPr="002B55E9" w14:paraId="6D7040E2" w14:textId="77777777" w:rsidTr="00111C28">
        <w:trPr>
          <w:trHeight w:val="283"/>
        </w:trPr>
        <w:tc>
          <w:tcPr>
            <w:tcW w:w="666" w:type="dxa"/>
          </w:tcPr>
          <w:p w14:paraId="121837F9" w14:textId="0A11CCF1" w:rsidR="00AA2E89" w:rsidRPr="002B55E9" w:rsidRDefault="00494D6F" w:rsidP="00111C28">
            <w:pPr>
              <w:pStyle w:val="lgy-"/>
              <w:rPr>
                <w:rFonts w:eastAsia="宋体"/>
              </w:rPr>
            </w:pPr>
            <w:r w:rsidRPr="002B55E9">
              <w:rPr>
                <w:rFonts w:eastAsia="宋体"/>
              </w:rPr>
              <w:t>6</w:t>
            </w:r>
          </w:p>
        </w:tc>
        <w:tc>
          <w:tcPr>
            <w:tcW w:w="723" w:type="dxa"/>
          </w:tcPr>
          <w:p w14:paraId="4627F9FD" w14:textId="77777777" w:rsidR="00AA2E89" w:rsidRPr="002B55E9" w:rsidRDefault="00AA2E89" w:rsidP="00111C28">
            <w:pPr>
              <w:pStyle w:val="lgy-"/>
              <w:rPr>
                <w:rFonts w:eastAsia="宋体"/>
              </w:rPr>
            </w:pPr>
            <w:r w:rsidRPr="002B55E9">
              <w:rPr>
                <w:rFonts w:eastAsia="宋体" w:hint="eastAsia"/>
              </w:rPr>
              <w:t>固废处理系统</w:t>
            </w:r>
          </w:p>
        </w:tc>
        <w:tc>
          <w:tcPr>
            <w:tcW w:w="1941" w:type="dxa"/>
          </w:tcPr>
          <w:p w14:paraId="06AE3109" w14:textId="4A62B05C" w:rsidR="00AA2E89" w:rsidRPr="002B55E9" w:rsidRDefault="00AA2E89" w:rsidP="00111C28">
            <w:pPr>
              <w:pStyle w:val="lgy-"/>
              <w:rPr>
                <w:rFonts w:eastAsia="宋体"/>
              </w:rPr>
            </w:pPr>
            <w:r w:rsidRPr="002B55E9">
              <w:rPr>
                <w:rFonts w:eastAsia="宋体" w:hint="eastAsia"/>
              </w:rPr>
              <w:t>生活垃圾收集系统</w:t>
            </w:r>
            <w:r w:rsidR="00111C28" w:rsidRPr="002B55E9">
              <w:rPr>
                <w:rFonts w:eastAsia="宋体" w:hint="eastAsia"/>
              </w:rPr>
              <w:t>依托</w:t>
            </w:r>
            <w:r w:rsidRPr="002B55E9">
              <w:rPr>
                <w:rFonts w:eastAsia="宋体" w:hint="eastAsia"/>
              </w:rPr>
              <w:t>当地环卫</w:t>
            </w:r>
            <w:r w:rsidR="00111C28" w:rsidRPr="002B55E9">
              <w:rPr>
                <w:rFonts w:eastAsia="宋体" w:hint="eastAsia"/>
              </w:rPr>
              <w:t>部门</w:t>
            </w:r>
            <w:r w:rsidRPr="002B55E9">
              <w:rPr>
                <w:rFonts w:eastAsia="宋体" w:hint="eastAsia"/>
              </w:rPr>
              <w:t>清运</w:t>
            </w:r>
          </w:p>
        </w:tc>
        <w:tc>
          <w:tcPr>
            <w:tcW w:w="6308" w:type="dxa"/>
          </w:tcPr>
          <w:p w14:paraId="639BDCBE" w14:textId="47149954" w:rsidR="00AA2E89" w:rsidRPr="002B55E9" w:rsidRDefault="00AA2E89" w:rsidP="00111C28">
            <w:pPr>
              <w:pStyle w:val="lgy-"/>
              <w:jc w:val="both"/>
              <w:rPr>
                <w:rFonts w:eastAsia="宋体"/>
              </w:rPr>
            </w:pPr>
            <w:r w:rsidRPr="002B55E9">
              <w:rPr>
                <w:rFonts w:eastAsia="宋体" w:hint="eastAsia"/>
              </w:rPr>
              <w:t>厂</w:t>
            </w:r>
            <w:r w:rsidR="00111C28" w:rsidRPr="002B55E9">
              <w:rPr>
                <w:rFonts w:eastAsia="宋体" w:hint="eastAsia"/>
              </w:rPr>
              <w:t>区</w:t>
            </w:r>
            <w:r w:rsidRPr="002B55E9">
              <w:rPr>
                <w:rFonts w:eastAsia="宋体" w:hint="eastAsia"/>
              </w:rPr>
              <w:t>内垃圾桶收集，依托园区生活垃圾清运系统</w:t>
            </w:r>
          </w:p>
        </w:tc>
      </w:tr>
      <w:tr w:rsidR="002B55E9" w:rsidRPr="002B55E9" w14:paraId="1D0CDB1D" w14:textId="77777777" w:rsidTr="00111C28">
        <w:trPr>
          <w:trHeight w:val="283"/>
        </w:trPr>
        <w:tc>
          <w:tcPr>
            <w:tcW w:w="666" w:type="dxa"/>
          </w:tcPr>
          <w:p w14:paraId="4E98C1FB" w14:textId="113EA1D5" w:rsidR="00494D6F" w:rsidRPr="002B55E9" w:rsidRDefault="00494D6F" w:rsidP="00111C28">
            <w:pPr>
              <w:pStyle w:val="lgy-"/>
              <w:rPr>
                <w:rFonts w:eastAsia="宋体"/>
              </w:rPr>
            </w:pPr>
            <w:r w:rsidRPr="002B55E9">
              <w:rPr>
                <w:rFonts w:eastAsia="宋体" w:hint="eastAsia"/>
              </w:rPr>
              <w:t>7</w:t>
            </w:r>
          </w:p>
        </w:tc>
        <w:tc>
          <w:tcPr>
            <w:tcW w:w="723" w:type="dxa"/>
          </w:tcPr>
          <w:p w14:paraId="55568C61" w14:textId="2AD327FF" w:rsidR="00494D6F" w:rsidRPr="002B55E9" w:rsidRDefault="00494D6F" w:rsidP="00111C28">
            <w:pPr>
              <w:pStyle w:val="lgy-"/>
              <w:rPr>
                <w:rFonts w:eastAsia="宋体"/>
              </w:rPr>
            </w:pPr>
            <w:r w:rsidRPr="002B55E9">
              <w:rPr>
                <w:rFonts w:eastAsia="宋体" w:hint="eastAsia"/>
              </w:rPr>
              <w:t>环境风险</w:t>
            </w:r>
          </w:p>
        </w:tc>
        <w:tc>
          <w:tcPr>
            <w:tcW w:w="1941" w:type="dxa"/>
          </w:tcPr>
          <w:p w14:paraId="7454490A" w14:textId="6F6F951F" w:rsidR="00494D6F" w:rsidRPr="002B55E9" w:rsidRDefault="00494D6F" w:rsidP="00111C28">
            <w:pPr>
              <w:pStyle w:val="lgy-"/>
              <w:rPr>
                <w:rFonts w:eastAsia="宋体"/>
              </w:rPr>
            </w:pPr>
            <w:r w:rsidRPr="002B55E9">
              <w:rPr>
                <w:rFonts w:eastAsia="宋体" w:hint="eastAsia"/>
              </w:rPr>
              <w:t>依托位于</w:t>
            </w:r>
            <w:r w:rsidRPr="002B55E9">
              <w:rPr>
                <w:rFonts w:eastAsia="宋体"/>
              </w:rPr>
              <w:t>佛山市海天（</w:t>
            </w:r>
            <w:r w:rsidRPr="002B55E9">
              <w:rPr>
                <w:rFonts w:eastAsia="宋体" w:hint="eastAsia"/>
              </w:rPr>
              <w:t>武汉</w:t>
            </w:r>
            <w:r w:rsidRPr="002B55E9">
              <w:rPr>
                <w:rFonts w:eastAsia="宋体"/>
              </w:rPr>
              <w:t>）</w:t>
            </w:r>
            <w:r w:rsidRPr="002B55E9">
              <w:rPr>
                <w:rFonts w:eastAsia="宋体" w:hint="eastAsia"/>
              </w:rPr>
              <w:t>调味</w:t>
            </w:r>
            <w:r w:rsidRPr="002B55E9">
              <w:rPr>
                <w:rFonts w:eastAsia="宋体"/>
              </w:rPr>
              <w:t>食品有限公司厂区污水处理</w:t>
            </w:r>
            <w:r w:rsidRPr="002B55E9">
              <w:rPr>
                <w:rFonts w:eastAsia="宋体" w:hint="eastAsia"/>
              </w:rPr>
              <w:t>站旁的一座容积</w:t>
            </w:r>
            <w:r w:rsidRPr="002B55E9">
              <w:rPr>
                <w:rFonts w:eastAsia="宋体" w:hint="eastAsia"/>
              </w:rPr>
              <w:t>3</w:t>
            </w:r>
            <w:r w:rsidRPr="002B55E9">
              <w:rPr>
                <w:rFonts w:eastAsia="宋体"/>
              </w:rPr>
              <w:t>38</w:t>
            </w:r>
            <w:r w:rsidRPr="002B55E9">
              <w:rPr>
                <w:rFonts w:eastAsia="宋体" w:hint="eastAsia"/>
              </w:rPr>
              <w:t>m</w:t>
            </w:r>
            <w:r w:rsidRPr="002B55E9">
              <w:rPr>
                <w:rFonts w:eastAsia="宋体"/>
                <w:vertAlign w:val="superscript"/>
              </w:rPr>
              <w:t>3</w:t>
            </w:r>
            <w:r w:rsidRPr="002B55E9">
              <w:rPr>
                <w:rFonts w:eastAsia="宋体" w:hint="eastAsia"/>
              </w:rPr>
              <w:t>事故应急池</w:t>
            </w:r>
          </w:p>
        </w:tc>
        <w:tc>
          <w:tcPr>
            <w:tcW w:w="6308" w:type="dxa"/>
          </w:tcPr>
          <w:p w14:paraId="39203E91" w14:textId="020EA2D1" w:rsidR="0042675A" w:rsidRPr="002B55E9" w:rsidRDefault="00494D6F" w:rsidP="00111C28">
            <w:pPr>
              <w:pStyle w:val="lgy-"/>
              <w:jc w:val="both"/>
              <w:rPr>
                <w:rFonts w:eastAsia="宋体"/>
              </w:rPr>
            </w:pPr>
            <w:r w:rsidRPr="002B55E9">
              <w:rPr>
                <w:rFonts w:eastAsia="宋体" w:hint="eastAsia"/>
              </w:rPr>
              <w:t>根据建设单位提供资料，</w:t>
            </w:r>
            <w:r w:rsidRPr="002B55E9">
              <w:rPr>
                <w:rFonts w:eastAsia="宋体"/>
              </w:rPr>
              <w:t>佛山市海天（</w:t>
            </w:r>
            <w:r w:rsidRPr="002B55E9">
              <w:rPr>
                <w:rFonts w:eastAsia="宋体" w:hint="eastAsia"/>
              </w:rPr>
              <w:t>武汉</w:t>
            </w:r>
            <w:r w:rsidRPr="002B55E9">
              <w:rPr>
                <w:rFonts w:eastAsia="宋体"/>
              </w:rPr>
              <w:t>）</w:t>
            </w:r>
            <w:r w:rsidRPr="002B55E9">
              <w:rPr>
                <w:rFonts w:eastAsia="宋体" w:hint="eastAsia"/>
              </w:rPr>
              <w:t>调味</w:t>
            </w:r>
            <w:r w:rsidRPr="002B55E9">
              <w:rPr>
                <w:rFonts w:eastAsia="宋体"/>
              </w:rPr>
              <w:t>食品有限公司</w:t>
            </w:r>
            <w:r w:rsidRPr="002B55E9">
              <w:rPr>
                <w:rFonts w:eastAsia="宋体" w:hint="eastAsia"/>
              </w:rPr>
              <w:t>在污水处理站旁设置有一座容积</w:t>
            </w:r>
            <w:r w:rsidRPr="002B55E9">
              <w:rPr>
                <w:rFonts w:eastAsia="宋体" w:hint="eastAsia"/>
              </w:rPr>
              <w:t>3</w:t>
            </w:r>
            <w:r w:rsidRPr="002B55E9">
              <w:rPr>
                <w:rFonts w:eastAsia="宋体"/>
              </w:rPr>
              <w:t>38</w:t>
            </w:r>
            <w:r w:rsidRPr="002B55E9">
              <w:rPr>
                <w:rFonts w:eastAsia="宋体" w:hint="eastAsia"/>
              </w:rPr>
              <w:t>m</w:t>
            </w:r>
            <w:r w:rsidRPr="002B55E9">
              <w:rPr>
                <w:rFonts w:eastAsia="宋体"/>
                <w:vertAlign w:val="superscript"/>
              </w:rPr>
              <w:t>3</w:t>
            </w:r>
            <w:r w:rsidRPr="002B55E9">
              <w:rPr>
                <w:rFonts w:eastAsia="宋体" w:hint="eastAsia"/>
              </w:rPr>
              <w:t>事故应急池</w:t>
            </w:r>
            <w:r w:rsidR="004007DF" w:rsidRPr="002B55E9">
              <w:rPr>
                <w:rFonts w:eastAsia="宋体" w:hint="eastAsia"/>
              </w:rPr>
              <w:t>和</w:t>
            </w:r>
            <w:r w:rsidR="004007DF" w:rsidRPr="002B55E9">
              <w:rPr>
                <w:rFonts w:eastAsia="宋体" w:hint="eastAsia"/>
              </w:rPr>
              <w:t>1</w:t>
            </w:r>
            <w:r w:rsidR="004007DF" w:rsidRPr="002B55E9">
              <w:rPr>
                <w:rFonts w:eastAsia="宋体" w:hint="eastAsia"/>
              </w:rPr>
              <w:t>座容积</w:t>
            </w:r>
            <w:r w:rsidR="004007DF" w:rsidRPr="002B55E9">
              <w:rPr>
                <w:rFonts w:eastAsia="宋体" w:hint="eastAsia"/>
              </w:rPr>
              <w:t>1000m</w:t>
            </w:r>
            <w:r w:rsidR="004007DF" w:rsidRPr="002B55E9">
              <w:rPr>
                <w:rFonts w:eastAsia="宋体"/>
              </w:rPr>
              <w:t>³</w:t>
            </w:r>
            <w:r w:rsidR="004007DF" w:rsidRPr="002B55E9">
              <w:rPr>
                <w:rFonts w:eastAsia="宋体" w:hint="eastAsia"/>
              </w:rPr>
              <w:t>应急罐（原环评</w:t>
            </w:r>
            <w:r w:rsidR="004007DF" w:rsidRPr="002B55E9">
              <w:rPr>
                <w:rFonts w:eastAsia="宋体"/>
              </w:rPr>
              <w:t>未提及</w:t>
            </w:r>
            <w:r w:rsidR="004007DF" w:rsidRPr="002B55E9">
              <w:rPr>
                <w:rFonts w:eastAsia="宋体" w:hint="eastAsia"/>
              </w:rPr>
              <w:t>该</w:t>
            </w:r>
            <w:r w:rsidR="004007DF" w:rsidRPr="002B55E9">
              <w:rPr>
                <w:rFonts w:eastAsia="宋体" w:hint="eastAsia"/>
              </w:rPr>
              <w:t>1000m</w:t>
            </w:r>
            <w:r w:rsidR="004007DF" w:rsidRPr="002B55E9">
              <w:rPr>
                <w:rFonts w:eastAsia="宋体"/>
              </w:rPr>
              <w:t>³</w:t>
            </w:r>
            <w:r w:rsidR="004007DF" w:rsidRPr="002B55E9">
              <w:rPr>
                <w:rFonts w:eastAsia="宋体" w:hint="eastAsia"/>
              </w:rPr>
              <w:t>应急罐</w:t>
            </w:r>
            <w:r w:rsidR="004007DF" w:rsidRPr="002B55E9">
              <w:rPr>
                <w:rFonts w:eastAsia="宋体"/>
              </w:rPr>
              <w:t>，</w:t>
            </w:r>
            <w:r w:rsidR="004007DF" w:rsidRPr="002B55E9">
              <w:rPr>
                <w:rFonts w:eastAsia="宋体" w:hint="eastAsia"/>
              </w:rPr>
              <w:t>“海天调味品建设项目（一期）”</w:t>
            </w:r>
            <w:r w:rsidR="004007DF" w:rsidRPr="002B55E9">
              <w:rPr>
                <w:rFonts w:eastAsia="宋体"/>
              </w:rPr>
              <w:t>实际拟建设，</w:t>
            </w:r>
            <w:r w:rsidR="004007DF" w:rsidRPr="002B55E9">
              <w:rPr>
                <w:rFonts w:eastAsia="宋体" w:hint="eastAsia"/>
              </w:rPr>
              <w:t>预计</w:t>
            </w:r>
            <w:r w:rsidR="004007DF" w:rsidRPr="002B55E9">
              <w:rPr>
                <w:rFonts w:eastAsia="宋体" w:hint="eastAsia"/>
              </w:rPr>
              <w:t>2023</w:t>
            </w:r>
            <w:r w:rsidR="004007DF" w:rsidRPr="002B55E9">
              <w:rPr>
                <w:rFonts w:eastAsia="宋体" w:hint="eastAsia"/>
              </w:rPr>
              <w:t>年</w:t>
            </w:r>
            <w:r w:rsidR="004007DF" w:rsidRPr="002B55E9">
              <w:rPr>
                <w:rFonts w:eastAsia="宋体" w:hint="eastAsia"/>
              </w:rPr>
              <w:t>8</w:t>
            </w:r>
            <w:r w:rsidR="004007DF" w:rsidRPr="002B55E9">
              <w:rPr>
                <w:rFonts w:eastAsia="宋体" w:hint="eastAsia"/>
              </w:rPr>
              <w:t>月</w:t>
            </w:r>
            <w:r w:rsidR="004007DF" w:rsidRPr="002B55E9">
              <w:rPr>
                <w:rFonts w:eastAsia="宋体" w:hint="eastAsia"/>
              </w:rPr>
              <w:t>30</w:t>
            </w:r>
            <w:r w:rsidR="004007DF" w:rsidRPr="002B55E9">
              <w:rPr>
                <w:rFonts w:eastAsia="宋体" w:hint="eastAsia"/>
              </w:rPr>
              <w:t>日建设投运。根据《污染影响类建设项目重大变动清单（试行）》，</w:t>
            </w:r>
            <w:r w:rsidR="004007DF" w:rsidRPr="002B55E9">
              <w:rPr>
                <w:rFonts w:eastAsia="宋体"/>
              </w:rPr>
              <w:t>新增</w:t>
            </w:r>
            <w:r w:rsidR="004007DF" w:rsidRPr="002B55E9">
              <w:rPr>
                <w:rFonts w:eastAsia="宋体" w:hint="eastAsia"/>
              </w:rPr>
              <w:t>1000m</w:t>
            </w:r>
            <w:r w:rsidR="004007DF" w:rsidRPr="002B55E9">
              <w:rPr>
                <w:rFonts w:eastAsia="宋体"/>
              </w:rPr>
              <w:t>³</w:t>
            </w:r>
            <w:r w:rsidR="004007DF" w:rsidRPr="002B55E9">
              <w:rPr>
                <w:rFonts w:eastAsia="宋体" w:hint="eastAsia"/>
              </w:rPr>
              <w:t>应急罐不属于</w:t>
            </w:r>
            <w:r w:rsidR="004007DF" w:rsidRPr="002B55E9">
              <w:rPr>
                <w:rFonts w:eastAsia="宋体"/>
              </w:rPr>
              <w:t>重大变动，可</w:t>
            </w:r>
            <w:r w:rsidR="004007DF" w:rsidRPr="002B55E9">
              <w:rPr>
                <w:rFonts w:eastAsia="宋体" w:hint="eastAsia"/>
              </w:rPr>
              <w:t>纳入竣工环境保护验收管理），即共设置有</w:t>
            </w:r>
            <w:r w:rsidR="004007DF" w:rsidRPr="002B55E9">
              <w:rPr>
                <w:rFonts w:eastAsia="宋体" w:hint="eastAsia"/>
              </w:rPr>
              <w:t>13</w:t>
            </w:r>
            <w:r w:rsidR="004007DF" w:rsidRPr="002B55E9">
              <w:rPr>
                <w:rFonts w:eastAsia="宋体"/>
              </w:rPr>
              <w:t>38</w:t>
            </w:r>
            <w:r w:rsidR="004007DF" w:rsidRPr="002B55E9">
              <w:rPr>
                <w:rFonts w:eastAsia="宋体" w:hint="eastAsia"/>
              </w:rPr>
              <w:t>m</w:t>
            </w:r>
            <w:r w:rsidR="004007DF" w:rsidRPr="002B55E9">
              <w:rPr>
                <w:rFonts w:eastAsia="宋体"/>
              </w:rPr>
              <w:t>³</w:t>
            </w:r>
            <w:r w:rsidR="004007DF" w:rsidRPr="002B55E9">
              <w:rPr>
                <w:rFonts w:eastAsia="宋体" w:hint="eastAsia"/>
              </w:rPr>
              <w:t>应急储存设施。</w:t>
            </w:r>
            <w:r w:rsidR="009559FA" w:rsidRPr="002B55E9">
              <w:rPr>
                <w:rFonts w:eastAsia="宋体" w:hint="eastAsia"/>
              </w:rPr>
              <w:t>根据</w:t>
            </w:r>
            <w:r w:rsidR="009559FA" w:rsidRPr="002B55E9">
              <w:rPr>
                <w:rFonts w:eastAsia="宋体"/>
              </w:rPr>
              <w:t>《</w:t>
            </w:r>
            <w:r w:rsidR="009559FA" w:rsidRPr="002B55E9">
              <w:rPr>
                <w:rFonts w:eastAsia="宋体" w:hint="eastAsia"/>
              </w:rPr>
              <w:t>海天调味品建设项目（一期）环境影响报告表</w:t>
            </w:r>
            <w:r w:rsidR="009559FA" w:rsidRPr="002B55E9">
              <w:rPr>
                <w:rFonts w:eastAsia="宋体"/>
              </w:rPr>
              <w:t>》</w:t>
            </w:r>
            <w:r w:rsidR="009559FA" w:rsidRPr="002B55E9">
              <w:rPr>
                <w:rFonts w:eastAsia="宋体" w:hint="eastAsia"/>
              </w:rPr>
              <w:t>（报批稿），该项目事故状态下，最大废水量约</w:t>
            </w:r>
            <w:r w:rsidR="009559FA" w:rsidRPr="002B55E9">
              <w:rPr>
                <w:rFonts w:eastAsia="宋体" w:hint="eastAsia"/>
              </w:rPr>
              <w:t>1</w:t>
            </w:r>
            <w:r w:rsidR="009559FA" w:rsidRPr="002B55E9">
              <w:rPr>
                <w:rFonts w:eastAsia="宋体"/>
              </w:rPr>
              <w:t>04</w:t>
            </w:r>
            <w:r w:rsidR="009559FA" w:rsidRPr="002B55E9">
              <w:rPr>
                <w:rFonts w:eastAsia="宋体" w:hint="eastAsia"/>
              </w:rPr>
              <w:t xml:space="preserve"> m</w:t>
            </w:r>
            <w:r w:rsidR="009559FA" w:rsidRPr="002B55E9">
              <w:rPr>
                <w:rFonts w:eastAsia="宋体"/>
              </w:rPr>
              <w:t>³</w:t>
            </w:r>
            <w:r w:rsidR="00111C28" w:rsidRPr="002B55E9">
              <w:rPr>
                <w:rFonts w:eastAsia="宋体" w:hint="eastAsia"/>
              </w:rPr>
              <w:t>，本项目事故废水量约</w:t>
            </w:r>
            <w:r w:rsidR="00111C28" w:rsidRPr="002B55E9">
              <w:rPr>
                <w:rFonts w:eastAsia="宋体" w:hint="eastAsia"/>
              </w:rPr>
              <w:t>2</w:t>
            </w:r>
            <w:r w:rsidR="00111C28" w:rsidRPr="002B55E9">
              <w:rPr>
                <w:rFonts w:eastAsia="宋体"/>
              </w:rPr>
              <w:t>96</w:t>
            </w:r>
            <w:r w:rsidR="00111C28" w:rsidRPr="002B55E9">
              <w:rPr>
                <w:rFonts w:eastAsia="宋体" w:hint="eastAsia"/>
              </w:rPr>
              <w:t xml:space="preserve"> m</w:t>
            </w:r>
            <w:r w:rsidR="00111C28" w:rsidRPr="002B55E9">
              <w:rPr>
                <w:rFonts w:eastAsia="宋体"/>
              </w:rPr>
              <w:t>³</w:t>
            </w:r>
            <w:r w:rsidR="009559FA" w:rsidRPr="002B55E9">
              <w:rPr>
                <w:rFonts w:eastAsia="宋体" w:hint="eastAsia"/>
              </w:rPr>
              <w:t>，即使考虑两个厂区同时发生事故，事故废水也可得到有效</w:t>
            </w:r>
            <w:r w:rsidR="00111C28" w:rsidRPr="002B55E9">
              <w:rPr>
                <w:rFonts w:eastAsia="宋体" w:hint="eastAsia"/>
              </w:rPr>
              <w:t>处置，故事故应急池容积依托可行。</w:t>
            </w:r>
          </w:p>
          <w:p w14:paraId="608302BC" w14:textId="6E41740C" w:rsidR="00494D6F" w:rsidRPr="002B55E9" w:rsidRDefault="00111C28" w:rsidP="00111C28">
            <w:pPr>
              <w:pStyle w:val="lgy-"/>
              <w:jc w:val="both"/>
              <w:rPr>
                <w:rFonts w:eastAsia="宋体"/>
              </w:rPr>
            </w:pPr>
            <w:r w:rsidRPr="002B55E9">
              <w:rPr>
                <w:rFonts w:eastAsia="宋体" w:hint="eastAsia"/>
              </w:rPr>
              <w:t>本项目</w:t>
            </w:r>
            <w:r w:rsidR="00494D6F" w:rsidRPr="002B55E9">
              <w:rPr>
                <w:rFonts w:eastAsia="宋体" w:hint="eastAsia"/>
              </w:rPr>
              <w:t>废水提升泵站均按二级负荷供电，配置双回路电源，</w:t>
            </w:r>
            <w:r w:rsidRPr="002B55E9">
              <w:rPr>
                <w:rFonts w:eastAsia="宋体" w:hint="eastAsia"/>
              </w:rPr>
              <w:t>事故状态下如</w:t>
            </w:r>
            <w:r w:rsidR="00494D6F" w:rsidRPr="002B55E9">
              <w:rPr>
                <w:rFonts w:eastAsia="宋体" w:hint="eastAsia"/>
              </w:rPr>
              <w:t>其中一路电源故障断电，</w:t>
            </w:r>
            <w:r w:rsidRPr="002B55E9">
              <w:rPr>
                <w:rFonts w:eastAsia="宋体" w:hint="eastAsia"/>
              </w:rPr>
              <w:t>可立即</w:t>
            </w:r>
            <w:r w:rsidR="00494D6F" w:rsidRPr="002B55E9">
              <w:rPr>
                <w:rFonts w:eastAsia="宋体" w:hint="eastAsia"/>
              </w:rPr>
              <w:t>启用备用电源，保证车间废水可以排到废水站调节池或</w:t>
            </w:r>
            <w:r w:rsidRPr="002B55E9">
              <w:rPr>
                <w:rFonts w:eastAsia="宋体" w:hint="eastAsia"/>
              </w:rPr>
              <w:t>事故应急池，且本项目为间歇式生产，排放的废水主要为清洗废水，</w:t>
            </w:r>
            <w:r w:rsidR="00494D6F" w:rsidRPr="002B55E9">
              <w:rPr>
                <w:rFonts w:eastAsia="宋体" w:hint="eastAsia"/>
              </w:rPr>
              <w:t>可根据</w:t>
            </w:r>
            <w:r w:rsidRPr="002B55E9">
              <w:rPr>
                <w:rFonts w:eastAsia="宋体" w:hint="eastAsia"/>
              </w:rPr>
              <w:t>事故状态的</w:t>
            </w:r>
            <w:r w:rsidR="00494D6F" w:rsidRPr="002B55E9">
              <w:rPr>
                <w:rFonts w:eastAsia="宋体" w:hint="eastAsia"/>
              </w:rPr>
              <w:t>实际需求停止设备清洗和排放废水。</w:t>
            </w:r>
            <w:r w:rsidR="00494D6F" w:rsidRPr="002B55E9">
              <w:rPr>
                <w:rFonts w:eastAsia="宋体" w:hint="eastAsia"/>
              </w:rPr>
              <w:t xml:space="preserve"> </w:t>
            </w:r>
          </w:p>
        </w:tc>
      </w:tr>
    </w:tbl>
    <w:p w14:paraId="7FE4429B" w14:textId="029F3EE5" w:rsidR="00AA2E89" w:rsidRPr="002B55E9" w:rsidRDefault="00AA2E89">
      <w:pPr>
        <w:pStyle w:val="affff7"/>
        <w:snapToGrid w:val="0"/>
        <w:spacing w:after="0"/>
        <w:rPr>
          <w:szCs w:val="24"/>
          <w:u w:color="000000"/>
        </w:rPr>
      </w:pPr>
    </w:p>
    <w:p w14:paraId="323C93BC" w14:textId="2D462C1F" w:rsidR="00AA2E89" w:rsidRPr="002B55E9" w:rsidRDefault="00AA2E89">
      <w:pPr>
        <w:pStyle w:val="affff7"/>
        <w:snapToGrid w:val="0"/>
        <w:spacing w:after="0"/>
        <w:rPr>
          <w:szCs w:val="24"/>
          <w:u w:color="000000"/>
        </w:rPr>
      </w:pPr>
    </w:p>
    <w:p w14:paraId="78175AF4" w14:textId="77777777" w:rsidR="00AA2E89" w:rsidRPr="002B55E9" w:rsidRDefault="00AA2E89">
      <w:pPr>
        <w:pStyle w:val="affff7"/>
        <w:snapToGrid w:val="0"/>
        <w:spacing w:after="0"/>
      </w:pPr>
    </w:p>
    <w:p w14:paraId="57745056" w14:textId="77777777" w:rsidR="00D170E5" w:rsidRPr="002B55E9" w:rsidRDefault="00D170E5">
      <w:pPr>
        <w:autoSpaceDE w:val="0"/>
        <w:autoSpaceDN w:val="0"/>
        <w:adjustRightInd w:val="0"/>
        <w:snapToGrid w:val="0"/>
        <w:spacing w:line="360" w:lineRule="auto"/>
        <w:rPr>
          <w:sz w:val="24"/>
        </w:rPr>
        <w:sectPr w:rsidR="00D170E5" w:rsidRPr="002B55E9">
          <w:headerReference w:type="default" r:id="rId22"/>
          <w:footerReference w:type="default" r:id="rId23"/>
          <w:pgSz w:w="11906" w:h="16838"/>
          <w:pgMar w:top="1134" w:right="1134" w:bottom="1134" w:left="1134" w:header="737" w:footer="624" w:gutter="0"/>
          <w:pgNumType w:chapStyle="1"/>
          <w:cols w:space="720"/>
          <w:docGrid w:linePitch="312"/>
        </w:sectPr>
      </w:pPr>
    </w:p>
    <w:p w14:paraId="243ACC42" w14:textId="77777777" w:rsidR="00D170E5" w:rsidRPr="002B55E9" w:rsidRDefault="00EF27AD">
      <w:pPr>
        <w:pStyle w:val="2"/>
      </w:pPr>
      <w:bookmarkStart w:id="152" w:name="_Toc119308985"/>
      <w:r w:rsidRPr="002B55E9">
        <w:rPr>
          <w:rFonts w:hint="eastAsia"/>
        </w:rPr>
        <w:lastRenderedPageBreak/>
        <w:t>拟建</w:t>
      </w:r>
      <w:r w:rsidRPr="002B55E9">
        <w:t>项目工程分析</w:t>
      </w:r>
      <w:bookmarkEnd w:id="152"/>
    </w:p>
    <w:p w14:paraId="7EBAD1B8" w14:textId="77777777" w:rsidR="00D170E5" w:rsidRPr="002B55E9" w:rsidRDefault="00EF27AD">
      <w:pPr>
        <w:pStyle w:val="3"/>
      </w:pPr>
      <w:bookmarkStart w:id="153" w:name="_Toc119308986"/>
      <w:r w:rsidRPr="002B55E9">
        <w:rPr>
          <w:rFonts w:hint="eastAsia"/>
        </w:rPr>
        <w:t>工艺流程及产污环节</w:t>
      </w:r>
      <w:bookmarkEnd w:id="153"/>
    </w:p>
    <w:p w14:paraId="600C8690" w14:textId="77777777" w:rsidR="00D170E5" w:rsidRPr="002B55E9" w:rsidRDefault="00EF27AD">
      <w:pPr>
        <w:pStyle w:val="affff7"/>
        <w:snapToGrid w:val="0"/>
        <w:spacing w:after="0"/>
      </w:pPr>
      <w:r w:rsidRPr="002B55E9">
        <w:rPr>
          <w:rFonts w:hint="eastAsia"/>
        </w:rPr>
        <w:t>项目主要产品为料酒、白米醋、陈香醋。</w:t>
      </w:r>
    </w:p>
    <w:p w14:paraId="5B9332EE" w14:textId="77777777" w:rsidR="00D170E5" w:rsidRPr="002B55E9" w:rsidRDefault="00EF27AD">
      <w:pPr>
        <w:pStyle w:val="4"/>
        <w:rPr>
          <w:color w:val="auto"/>
        </w:rPr>
      </w:pPr>
      <w:bookmarkStart w:id="154" w:name="_Hlk103861871"/>
      <w:r w:rsidRPr="002B55E9">
        <w:rPr>
          <w:rFonts w:hint="eastAsia"/>
          <w:color w:val="auto"/>
        </w:rPr>
        <w:t>料酒生产</w:t>
      </w:r>
    </w:p>
    <w:p w14:paraId="3915AE87" w14:textId="77777777" w:rsidR="00D170E5" w:rsidRPr="002B55E9" w:rsidRDefault="00EF27AD">
      <w:pPr>
        <w:pStyle w:val="5"/>
      </w:pPr>
      <w:r w:rsidRPr="002B55E9">
        <w:rPr>
          <w:rFonts w:hint="eastAsia"/>
        </w:rPr>
        <w:t>工艺流程及产污环节</w:t>
      </w:r>
    </w:p>
    <w:p w14:paraId="0FD53143" w14:textId="26CC63BB" w:rsidR="00D170E5" w:rsidRDefault="00EF27AD">
      <w:pPr>
        <w:pStyle w:val="affff7"/>
        <w:adjustRightInd w:val="0"/>
        <w:snapToGrid w:val="0"/>
        <w:spacing w:after="0"/>
      </w:pPr>
      <w:r w:rsidRPr="002B55E9">
        <w:rPr>
          <w:rFonts w:hint="eastAsia"/>
        </w:rPr>
        <w:t>料酒是以黄酒、乙醇及香辛料为原料，经过原料预处理、提取、</w:t>
      </w:r>
      <w:r w:rsidRPr="002B55E9">
        <w:t>过滤</w:t>
      </w:r>
      <w:r w:rsidRPr="002B55E9">
        <w:rPr>
          <w:rFonts w:hint="eastAsia"/>
        </w:rPr>
        <w:t>、配兑、灭菌、超滤</w:t>
      </w:r>
      <w:r w:rsidRPr="002B55E9">
        <w:t>、</w:t>
      </w:r>
      <w:r w:rsidRPr="002B55E9">
        <w:rPr>
          <w:rFonts w:hint="eastAsia"/>
        </w:rPr>
        <w:t>灌装等工艺生产的澄清度高、香气浓郁的调味产品，具体工艺流程如下：</w:t>
      </w:r>
    </w:p>
    <w:p w14:paraId="23B0CB2E" w14:textId="77777777" w:rsidR="00C60999" w:rsidRDefault="00C60999" w:rsidP="00C60999">
      <w:pPr>
        <w:pStyle w:val="1f3"/>
        <w:spacing w:beforeLines="0" w:before="0"/>
      </w:pPr>
    </w:p>
    <w:p w14:paraId="506F6785"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5CE341EA" w14:textId="77777777" w:rsidR="00C60999" w:rsidRPr="002B55E9" w:rsidRDefault="00C60999" w:rsidP="00C60999">
      <w:pPr>
        <w:pStyle w:val="1f3"/>
        <w:spacing w:beforeLines="0" w:before="0"/>
      </w:pPr>
    </w:p>
    <w:p w14:paraId="0F1434DB" w14:textId="00B60957" w:rsidR="00D170E5" w:rsidRPr="002B55E9" w:rsidRDefault="00D170E5">
      <w:pPr>
        <w:pStyle w:val="affff7"/>
        <w:adjustRightInd w:val="0"/>
        <w:snapToGrid w:val="0"/>
      </w:pPr>
      <w:bookmarkStart w:id="155" w:name="_Hlk81410467"/>
      <w:bookmarkStart w:id="156" w:name="_Hlk66110126"/>
    </w:p>
    <w:p w14:paraId="153C60B8" w14:textId="77777777" w:rsidR="00D170E5" w:rsidRPr="002B55E9" w:rsidRDefault="00EF27AD">
      <w:pPr>
        <w:pStyle w:val="5"/>
      </w:pPr>
      <w:r w:rsidRPr="002B55E9">
        <w:rPr>
          <w:rFonts w:hint="eastAsia"/>
        </w:rPr>
        <w:t>物料</w:t>
      </w:r>
      <w:r w:rsidRPr="002B55E9">
        <w:t>平衡</w:t>
      </w:r>
    </w:p>
    <w:p w14:paraId="4125BBDD" w14:textId="77777777" w:rsidR="00C60999" w:rsidRDefault="00C60999" w:rsidP="00C60999">
      <w:pPr>
        <w:pStyle w:val="1f3"/>
        <w:spacing w:beforeLines="0" w:before="0"/>
      </w:pPr>
    </w:p>
    <w:p w14:paraId="5FA4ED31"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552C5DD2" w14:textId="77777777" w:rsidR="00C60999" w:rsidRPr="002B55E9" w:rsidRDefault="00C60999" w:rsidP="00C60999">
      <w:pPr>
        <w:pStyle w:val="1f3"/>
        <w:spacing w:beforeLines="0" w:before="0"/>
      </w:pPr>
    </w:p>
    <w:p w14:paraId="72744407" w14:textId="77777777" w:rsidR="00C60999" w:rsidRPr="00C60999" w:rsidRDefault="00C60999">
      <w:pPr>
        <w:pStyle w:val="aa"/>
      </w:pPr>
    </w:p>
    <w:p w14:paraId="4923CFC8" w14:textId="77777777" w:rsidR="00D170E5" w:rsidRPr="002B55E9" w:rsidRDefault="00EF27AD">
      <w:pPr>
        <w:pStyle w:val="5"/>
      </w:pPr>
      <w:r w:rsidRPr="002B55E9">
        <w:rPr>
          <w:rFonts w:hint="eastAsia"/>
        </w:rPr>
        <w:t>产污分析及防治措施</w:t>
      </w:r>
    </w:p>
    <w:p w14:paraId="7DE71AD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结合工艺流程及物料平衡，料酒生产线产污环节及治理措施见下表。</w:t>
      </w:r>
    </w:p>
    <w:p w14:paraId="25FDE5F4" w14:textId="110B4702"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3-</w:t>
      </w:r>
      <w:r w:rsidRPr="002B55E9">
        <w:rPr>
          <w:rFonts w:eastAsia="黑体"/>
          <w:b/>
          <w:kern w:val="2"/>
          <w:sz w:val="24"/>
          <w:szCs w:val="22"/>
        </w:rPr>
        <w:t>1</w:t>
      </w:r>
      <w:r w:rsidRPr="002B55E9">
        <w:rPr>
          <w:rFonts w:eastAsia="黑体" w:hint="eastAsia"/>
          <w:b/>
          <w:kern w:val="2"/>
          <w:sz w:val="24"/>
          <w:szCs w:val="22"/>
        </w:rPr>
        <w:t>-</w:t>
      </w:r>
      <w:r w:rsidR="00BA10FA" w:rsidRPr="002B55E9">
        <w:rPr>
          <w:rFonts w:eastAsia="黑体"/>
          <w:b/>
          <w:kern w:val="2"/>
          <w:sz w:val="24"/>
          <w:szCs w:val="22"/>
        </w:rPr>
        <w:t>5</w:t>
      </w:r>
      <w:r w:rsidRPr="002B55E9">
        <w:rPr>
          <w:rFonts w:eastAsia="黑体" w:hint="eastAsia"/>
          <w:b/>
          <w:kern w:val="2"/>
          <w:sz w:val="24"/>
          <w:szCs w:val="22"/>
        </w:rPr>
        <w:t xml:space="preserve">  </w:t>
      </w:r>
      <w:r w:rsidRPr="002B55E9">
        <w:rPr>
          <w:rFonts w:eastAsia="黑体" w:hint="eastAsia"/>
          <w:b/>
          <w:kern w:val="2"/>
          <w:sz w:val="24"/>
          <w:szCs w:val="22"/>
        </w:rPr>
        <w:t>料酒生产线产污环节分析及治理措施</w:t>
      </w:r>
    </w:p>
    <w:tbl>
      <w:tblPr>
        <w:tblStyle w:val="lgy2"/>
        <w:tblW w:w="5000" w:type="pct"/>
        <w:tblLayout w:type="fixed"/>
        <w:tblCellMar>
          <w:left w:w="28" w:type="dxa"/>
          <w:right w:w="28" w:type="dxa"/>
        </w:tblCellMar>
        <w:tblLook w:val="04A0" w:firstRow="1" w:lastRow="0" w:firstColumn="1" w:lastColumn="0" w:noHBand="0" w:noVBand="1"/>
      </w:tblPr>
      <w:tblGrid>
        <w:gridCol w:w="538"/>
        <w:gridCol w:w="888"/>
        <w:gridCol w:w="713"/>
        <w:gridCol w:w="1425"/>
        <w:gridCol w:w="1141"/>
        <w:gridCol w:w="856"/>
        <w:gridCol w:w="855"/>
        <w:gridCol w:w="1426"/>
        <w:gridCol w:w="1852"/>
      </w:tblGrid>
      <w:tr w:rsidR="002B55E9" w:rsidRPr="002B55E9" w14:paraId="5BF15874" w14:textId="77777777" w:rsidTr="0068604F">
        <w:trPr>
          <w:cnfStyle w:val="100000000000" w:firstRow="1" w:lastRow="0" w:firstColumn="0" w:lastColumn="0" w:oddVBand="0" w:evenVBand="0" w:oddHBand="0" w:evenHBand="0" w:firstRowFirstColumn="0" w:firstRowLastColumn="0" w:lastRowFirstColumn="0" w:lastRowLastColumn="0"/>
          <w:trHeight w:val="283"/>
        </w:trPr>
        <w:tc>
          <w:tcPr>
            <w:tcW w:w="535" w:type="dxa"/>
          </w:tcPr>
          <w:p w14:paraId="186B8381" w14:textId="77777777" w:rsidR="00D170E5" w:rsidRPr="002B55E9" w:rsidRDefault="00EF27AD" w:rsidP="0068604F">
            <w:pPr>
              <w:pStyle w:val="lgy-"/>
              <w:rPr>
                <w:rFonts w:eastAsia="宋体"/>
              </w:rPr>
            </w:pPr>
            <w:r w:rsidRPr="002B55E9">
              <w:rPr>
                <w:rFonts w:eastAsia="宋体" w:hint="eastAsia"/>
              </w:rPr>
              <w:t>类别</w:t>
            </w:r>
          </w:p>
        </w:tc>
        <w:tc>
          <w:tcPr>
            <w:tcW w:w="883" w:type="dxa"/>
          </w:tcPr>
          <w:p w14:paraId="6FA0B8BD" w14:textId="77777777" w:rsidR="00D170E5" w:rsidRPr="002B55E9" w:rsidRDefault="00EF27AD" w:rsidP="0068604F">
            <w:pPr>
              <w:pStyle w:val="lgy-"/>
              <w:rPr>
                <w:rFonts w:eastAsia="宋体"/>
              </w:rPr>
            </w:pPr>
            <w:r w:rsidRPr="002B55E9">
              <w:rPr>
                <w:rFonts w:eastAsia="宋体" w:hint="eastAsia"/>
              </w:rPr>
              <w:t>产污工序</w:t>
            </w:r>
          </w:p>
        </w:tc>
        <w:tc>
          <w:tcPr>
            <w:tcW w:w="2126" w:type="dxa"/>
            <w:gridSpan w:val="2"/>
          </w:tcPr>
          <w:p w14:paraId="03DC1271" w14:textId="77777777" w:rsidR="00D170E5" w:rsidRPr="002B55E9" w:rsidRDefault="00EF27AD" w:rsidP="0068604F">
            <w:pPr>
              <w:pStyle w:val="lgy-"/>
              <w:rPr>
                <w:rFonts w:eastAsia="宋体"/>
              </w:rPr>
            </w:pPr>
            <w:r w:rsidRPr="002B55E9">
              <w:rPr>
                <w:rFonts w:eastAsia="宋体" w:hint="eastAsia"/>
              </w:rPr>
              <w:t>产废类型</w:t>
            </w:r>
          </w:p>
        </w:tc>
        <w:tc>
          <w:tcPr>
            <w:tcW w:w="1134" w:type="dxa"/>
          </w:tcPr>
          <w:p w14:paraId="2CBC1C32" w14:textId="77777777" w:rsidR="00D170E5" w:rsidRPr="002B55E9" w:rsidRDefault="00EF27AD" w:rsidP="0068604F">
            <w:pPr>
              <w:pStyle w:val="lgy-"/>
              <w:rPr>
                <w:rFonts w:eastAsia="宋体"/>
              </w:rPr>
            </w:pPr>
            <w:r w:rsidRPr="002B55E9">
              <w:rPr>
                <w:rFonts w:eastAsia="宋体" w:hint="eastAsia"/>
              </w:rPr>
              <w:t>污染物</w:t>
            </w:r>
          </w:p>
        </w:tc>
        <w:tc>
          <w:tcPr>
            <w:tcW w:w="851" w:type="dxa"/>
          </w:tcPr>
          <w:p w14:paraId="479264E8" w14:textId="77777777" w:rsidR="00D170E5" w:rsidRPr="002B55E9" w:rsidRDefault="00EF27AD" w:rsidP="0068604F">
            <w:pPr>
              <w:pStyle w:val="lgy-"/>
              <w:rPr>
                <w:rFonts w:eastAsia="宋体"/>
              </w:rPr>
            </w:pPr>
            <w:r w:rsidRPr="002B55E9">
              <w:rPr>
                <w:rFonts w:eastAsia="宋体" w:hint="eastAsia"/>
              </w:rPr>
              <w:t>产生量（</w:t>
            </w:r>
            <w:r w:rsidRPr="002B55E9">
              <w:rPr>
                <w:rFonts w:eastAsia="宋体"/>
              </w:rPr>
              <w:t>t/a</w:t>
            </w:r>
            <w:r w:rsidRPr="002B55E9">
              <w:rPr>
                <w:rFonts w:eastAsia="宋体" w:hint="eastAsia"/>
              </w:rPr>
              <w:t>）</w:t>
            </w:r>
          </w:p>
        </w:tc>
        <w:tc>
          <w:tcPr>
            <w:tcW w:w="850" w:type="dxa"/>
          </w:tcPr>
          <w:p w14:paraId="563601B4" w14:textId="77777777" w:rsidR="00D170E5" w:rsidRPr="002B55E9" w:rsidRDefault="00EF27AD" w:rsidP="0068604F">
            <w:pPr>
              <w:pStyle w:val="lgy-"/>
              <w:rPr>
                <w:rFonts w:eastAsia="宋体"/>
              </w:rPr>
            </w:pPr>
            <w:r w:rsidRPr="002B55E9">
              <w:rPr>
                <w:rFonts w:eastAsia="宋体" w:hint="eastAsia"/>
              </w:rPr>
              <w:t>产生强度（</w:t>
            </w:r>
            <w:r w:rsidRPr="002B55E9">
              <w:rPr>
                <w:rFonts w:eastAsia="宋体"/>
              </w:rPr>
              <w:t>kg/h</w:t>
            </w:r>
            <w:r w:rsidRPr="002B55E9">
              <w:rPr>
                <w:rFonts w:eastAsia="宋体" w:hint="eastAsia"/>
              </w:rPr>
              <w:t>）</w:t>
            </w:r>
          </w:p>
        </w:tc>
        <w:tc>
          <w:tcPr>
            <w:tcW w:w="1418" w:type="dxa"/>
          </w:tcPr>
          <w:p w14:paraId="70EC4608" w14:textId="77777777" w:rsidR="00D170E5" w:rsidRPr="002B55E9" w:rsidRDefault="00EF27AD" w:rsidP="0068604F">
            <w:pPr>
              <w:pStyle w:val="lgy-"/>
              <w:rPr>
                <w:rFonts w:eastAsia="宋体"/>
              </w:rPr>
            </w:pPr>
            <w:r w:rsidRPr="002B55E9">
              <w:rPr>
                <w:rFonts w:eastAsia="宋体" w:hint="eastAsia"/>
              </w:rPr>
              <w:t>收集措施</w:t>
            </w:r>
          </w:p>
        </w:tc>
        <w:tc>
          <w:tcPr>
            <w:tcW w:w="1841" w:type="dxa"/>
          </w:tcPr>
          <w:p w14:paraId="33479379" w14:textId="77777777" w:rsidR="00D170E5" w:rsidRPr="002B55E9" w:rsidRDefault="00EF27AD" w:rsidP="0068604F">
            <w:pPr>
              <w:pStyle w:val="lgy-"/>
              <w:rPr>
                <w:rFonts w:eastAsia="宋体"/>
              </w:rPr>
            </w:pPr>
            <w:r w:rsidRPr="002B55E9">
              <w:rPr>
                <w:rFonts w:eastAsia="宋体" w:hint="eastAsia"/>
              </w:rPr>
              <w:t>去向</w:t>
            </w:r>
          </w:p>
        </w:tc>
      </w:tr>
      <w:tr w:rsidR="002B55E9" w:rsidRPr="002B55E9" w14:paraId="4D6E3CE0" w14:textId="77777777" w:rsidTr="0068604F">
        <w:trPr>
          <w:trHeight w:val="283"/>
        </w:trPr>
        <w:tc>
          <w:tcPr>
            <w:tcW w:w="535" w:type="dxa"/>
            <w:vMerge w:val="restart"/>
          </w:tcPr>
          <w:p w14:paraId="54DB4FA1" w14:textId="77777777" w:rsidR="00177CC3" w:rsidRPr="002B55E9" w:rsidRDefault="00177CC3" w:rsidP="0068604F">
            <w:pPr>
              <w:pStyle w:val="lgy-"/>
              <w:rPr>
                <w:rFonts w:eastAsia="宋体"/>
              </w:rPr>
            </w:pPr>
            <w:r w:rsidRPr="002B55E9">
              <w:rPr>
                <w:rFonts w:eastAsia="宋体" w:hint="eastAsia"/>
              </w:rPr>
              <w:t>废气</w:t>
            </w:r>
          </w:p>
        </w:tc>
        <w:tc>
          <w:tcPr>
            <w:tcW w:w="883" w:type="dxa"/>
          </w:tcPr>
          <w:p w14:paraId="7C8AA621" w14:textId="77777777" w:rsidR="00177CC3" w:rsidRPr="002B55E9" w:rsidRDefault="00177CC3" w:rsidP="0068604F">
            <w:pPr>
              <w:pStyle w:val="lgy-"/>
              <w:rPr>
                <w:rFonts w:eastAsia="宋体"/>
              </w:rPr>
            </w:pPr>
            <w:r w:rsidRPr="002B55E9">
              <w:rPr>
                <w:rFonts w:eastAsia="宋体" w:hint="eastAsia"/>
              </w:rPr>
              <w:t>破碎</w:t>
            </w:r>
          </w:p>
        </w:tc>
        <w:tc>
          <w:tcPr>
            <w:tcW w:w="709" w:type="dxa"/>
          </w:tcPr>
          <w:p w14:paraId="6E144D9A" w14:textId="77777777" w:rsidR="00177CC3" w:rsidRPr="002B55E9" w:rsidRDefault="00177CC3" w:rsidP="0068604F">
            <w:pPr>
              <w:pStyle w:val="lgy-"/>
              <w:rPr>
                <w:rFonts w:eastAsia="宋体"/>
              </w:rPr>
            </w:pPr>
            <w:r w:rsidRPr="002B55E9">
              <w:rPr>
                <w:rFonts w:eastAsia="宋体"/>
              </w:rPr>
              <w:t>G1-1</w:t>
            </w:r>
          </w:p>
        </w:tc>
        <w:tc>
          <w:tcPr>
            <w:tcW w:w="1417" w:type="dxa"/>
          </w:tcPr>
          <w:p w14:paraId="1BF1F27A" w14:textId="77777777" w:rsidR="00177CC3" w:rsidRPr="002B55E9" w:rsidRDefault="00177CC3" w:rsidP="0068604F">
            <w:pPr>
              <w:pStyle w:val="lgy-"/>
              <w:rPr>
                <w:rFonts w:eastAsia="宋体"/>
              </w:rPr>
            </w:pPr>
            <w:r w:rsidRPr="002B55E9">
              <w:rPr>
                <w:rFonts w:eastAsia="宋体" w:hint="eastAsia"/>
              </w:rPr>
              <w:t>破碎粉尘</w:t>
            </w:r>
          </w:p>
        </w:tc>
        <w:tc>
          <w:tcPr>
            <w:tcW w:w="1134" w:type="dxa"/>
            <w:noWrap/>
          </w:tcPr>
          <w:p w14:paraId="2BEFEA98" w14:textId="77777777" w:rsidR="00177CC3" w:rsidRPr="002B55E9" w:rsidRDefault="00177CC3" w:rsidP="0068604F">
            <w:pPr>
              <w:pStyle w:val="lgy-"/>
              <w:rPr>
                <w:rFonts w:eastAsia="宋体"/>
              </w:rPr>
            </w:pPr>
            <w:r w:rsidRPr="002B55E9">
              <w:rPr>
                <w:rFonts w:eastAsia="宋体" w:hint="eastAsia"/>
              </w:rPr>
              <w:t>颗粒物</w:t>
            </w:r>
          </w:p>
        </w:tc>
        <w:tc>
          <w:tcPr>
            <w:tcW w:w="851" w:type="dxa"/>
          </w:tcPr>
          <w:p w14:paraId="2E078C81" w14:textId="1CE4016B" w:rsidR="00177CC3" w:rsidRPr="002B55E9" w:rsidRDefault="00177CC3" w:rsidP="0068604F">
            <w:pPr>
              <w:pStyle w:val="lgy-"/>
              <w:rPr>
                <w:rFonts w:eastAsia="宋体"/>
              </w:rPr>
            </w:pPr>
            <w:r w:rsidRPr="002B55E9">
              <w:rPr>
                <w:rFonts w:eastAsia="宋体"/>
              </w:rPr>
              <w:t xml:space="preserve">0.141 </w:t>
            </w:r>
          </w:p>
        </w:tc>
        <w:tc>
          <w:tcPr>
            <w:tcW w:w="850" w:type="dxa"/>
          </w:tcPr>
          <w:p w14:paraId="72A60F0C" w14:textId="77777777" w:rsidR="00177CC3" w:rsidRPr="002B55E9" w:rsidRDefault="00177CC3" w:rsidP="0068604F">
            <w:pPr>
              <w:pStyle w:val="lgy-"/>
              <w:rPr>
                <w:rFonts w:eastAsia="宋体"/>
              </w:rPr>
            </w:pPr>
            <w:r w:rsidRPr="002B55E9">
              <w:rPr>
                <w:rFonts w:eastAsia="宋体"/>
              </w:rPr>
              <w:t>0.141</w:t>
            </w:r>
          </w:p>
        </w:tc>
        <w:tc>
          <w:tcPr>
            <w:tcW w:w="1418" w:type="dxa"/>
          </w:tcPr>
          <w:p w14:paraId="679C258F" w14:textId="77777777" w:rsidR="00177CC3" w:rsidRPr="002B55E9" w:rsidRDefault="00177CC3" w:rsidP="0068604F">
            <w:pPr>
              <w:pStyle w:val="lgy-"/>
              <w:rPr>
                <w:rFonts w:eastAsia="宋体"/>
              </w:rPr>
            </w:pPr>
            <w:r w:rsidRPr="002B55E9">
              <w:rPr>
                <w:rFonts w:eastAsia="宋体" w:hint="eastAsia"/>
              </w:rPr>
              <w:t>密闭管道收集</w:t>
            </w:r>
          </w:p>
        </w:tc>
        <w:tc>
          <w:tcPr>
            <w:tcW w:w="1841" w:type="dxa"/>
          </w:tcPr>
          <w:p w14:paraId="6C59D5DC" w14:textId="77777777" w:rsidR="00177CC3" w:rsidRPr="002B55E9" w:rsidRDefault="00177CC3" w:rsidP="0068604F">
            <w:pPr>
              <w:pStyle w:val="lgy-"/>
              <w:rPr>
                <w:rFonts w:eastAsia="宋体"/>
              </w:rPr>
            </w:pPr>
            <w:r w:rsidRPr="002B55E9">
              <w:rPr>
                <w:rFonts w:eastAsia="宋体" w:hint="eastAsia"/>
              </w:rPr>
              <w:t>经自带袋式除尘器处理后由</w:t>
            </w:r>
            <w:r w:rsidRPr="002B55E9">
              <w:rPr>
                <w:rFonts w:eastAsia="宋体"/>
              </w:rPr>
              <w:t>18</w:t>
            </w:r>
            <w:r w:rsidRPr="002B55E9">
              <w:rPr>
                <w:rFonts w:eastAsia="宋体" w:hint="eastAsia"/>
              </w:rPr>
              <w:t>高排气筒（</w:t>
            </w:r>
            <w:r w:rsidRPr="002B55E9">
              <w:rPr>
                <w:rFonts w:eastAsia="宋体"/>
              </w:rPr>
              <w:t>DA001</w:t>
            </w:r>
            <w:r w:rsidRPr="002B55E9">
              <w:rPr>
                <w:rFonts w:eastAsia="宋体" w:hint="eastAsia"/>
              </w:rPr>
              <w:t>）排放</w:t>
            </w:r>
          </w:p>
        </w:tc>
      </w:tr>
      <w:tr w:rsidR="002B55E9" w:rsidRPr="002B55E9" w14:paraId="37508AD0" w14:textId="77777777" w:rsidTr="0068604F">
        <w:trPr>
          <w:trHeight w:val="283"/>
        </w:trPr>
        <w:tc>
          <w:tcPr>
            <w:tcW w:w="535" w:type="dxa"/>
            <w:vMerge/>
          </w:tcPr>
          <w:p w14:paraId="19224335" w14:textId="77777777" w:rsidR="00177CC3" w:rsidRPr="002B55E9" w:rsidRDefault="00177CC3" w:rsidP="0068604F">
            <w:pPr>
              <w:pStyle w:val="lgy-"/>
              <w:rPr>
                <w:rFonts w:eastAsia="宋体"/>
              </w:rPr>
            </w:pPr>
          </w:p>
        </w:tc>
        <w:tc>
          <w:tcPr>
            <w:tcW w:w="883" w:type="dxa"/>
          </w:tcPr>
          <w:p w14:paraId="5278F5F6" w14:textId="77777777" w:rsidR="00177CC3" w:rsidRPr="002B55E9" w:rsidRDefault="00177CC3" w:rsidP="0068604F">
            <w:pPr>
              <w:pStyle w:val="lgy-"/>
              <w:rPr>
                <w:rFonts w:eastAsia="宋体"/>
              </w:rPr>
            </w:pPr>
            <w:r w:rsidRPr="002B55E9">
              <w:rPr>
                <w:rFonts w:eastAsia="宋体" w:hint="eastAsia"/>
              </w:rPr>
              <w:t>浸提</w:t>
            </w:r>
          </w:p>
        </w:tc>
        <w:tc>
          <w:tcPr>
            <w:tcW w:w="709" w:type="dxa"/>
          </w:tcPr>
          <w:p w14:paraId="0580B091" w14:textId="77777777" w:rsidR="00177CC3" w:rsidRPr="002B55E9" w:rsidRDefault="00177CC3" w:rsidP="0068604F">
            <w:pPr>
              <w:pStyle w:val="lgy-"/>
              <w:rPr>
                <w:rFonts w:eastAsia="宋体"/>
              </w:rPr>
            </w:pPr>
            <w:r w:rsidRPr="002B55E9">
              <w:rPr>
                <w:rFonts w:eastAsia="宋体"/>
              </w:rPr>
              <w:t>G1-2</w:t>
            </w:r>
          </w:p>
        </w:tc>
        <w:tc>
          <w:tcPr>
            <w:tcW w:w="1417" w:type="dxa"/>
          </w:tcPr>
          <w:p w14:paraId="3502681E" w14:textId="77777777" w:rsidR="00177CC3" w:rsidRPr="002B55E9" w:rsidRDefault="00177CC3" w:rsidP="0068604F">
            <w:pPr>
              <w:pStyle w:val="lgy-"/>
              <w:rPr>
                <w:rFonts w:eastAsia="宋体"/>
              </w:rPr>
            </w:pPr>
            <w:r w:rsidRPr="002B55E9">
              <w:rPr>
                <w:rFonts w:eastAsia="宋体" w:hint="eastAsia"/>
              </w:rPr>
              <w:t>投料废气</w:t>
            </w:r>
          </w:p>
        </w:tc>
        <w:tc>
          <w:tcPr>
            <w:tcW w:w="1134" w:type="dxa"/>
            <w:noWrap/>
          </w:tcPr>
          <w:p w14:paraId="38611EA4" w14:textId="6EB589E0" w:rsidR="00177CC3" w:rsidRPr="002B55E9" w:rsidRDefault="00177CC3" w:rsidP="0068604F">
            <w:pPr>
              <w:pStyle w:val="lgy-"/>
              <w:rPr>
                <w:rFonts w:eastAsia="宋体"/>
              </w:rPr>
            </w:pPr>
            <w:r w:rsidRPr="002B55E9">
              <w:rPr>
                <w:rFonts w:eastAsia="宋体"/>
              </w:rPr>
              <w:t>非甲烷总烃</w:t>
            </w:r>
          </w:p>
        </w:tc>
        <w:tc>
          <w:tcPr>
            <w:tcW w:w="851" w:type="dxa"/>
          </w:tcPr>
          <w:p w14:paraId="00E147F5" w14:textId="7B709A49" w:rsidR="00177CC3" w:rsidRPr="002B55E9" w:rsidRDefault="00177CC3" w:rsidP="0068604F">
            <w:pPr>
              <w:pStyle w:val="lgy-"/>
              <w:rPr>
                <w:rFonts w:eastAsia="宋体"/>
              </w:rPr>
            </w:pPr>
            <w:r w:rsidRPr="002B55E9">
              <w:rPr>
                <w:rFonts w:eastAsia="宋体"/>
              </w:rPr>
              <w:t xml:space="preserve">0.504 </w:t>
            </w:r>
          </w:p>
        </w:tc>
        <w:tc>
          <w:tcPr>
            <w:tcW w:w="850" w:type="dxa"/>
          </w:tcPr>
          <w:p w14:paraId="5D923554" w14:textId="77777777" w:rsidR="00177CC3" w:rsidRPr="002B55E9" w:rsidRDefault="00177CC3" w:rsidP="0068604F">
            <w:pPr>
              <w:pStyle w:val="lgy-"/>
              <w:rPr>
                <w:rFonts w:eastAsia="宋体"/>
              </w:rPr>
            </w:pPr>
            <w:r w:rsidRPr="002B55E9">
              <w:rPr>
                <w:rFonts w:eastAsia="宋体"/>
              </w:rPr>
              <w:t>0.292</w:t>
            </w:r>
          </w:p>
        </w:tc>
        <w:tc>
          <w:tcPr>
            <w:tcW w:w="1418" w:type="dxa"/>
          </w:tcPr>
          <w:p w14:paraId="4D14C19D" w14:textId="77777777" w:rsidR="00177CC3" w:rsidRPr="002B55E9" w:rsidRDefault="00177CC3" w:rsidP="0068604F">
            <w:pPr>
              <w:pStyle w:val="lgy-"/>
              <w:rPr>
                <w:rFonts w:eastAsia="宋体"/>
              </w:rPr>
            </w:pPr>
            <w:r w:rsidRPr="002B55E9">
              <w:rPr>
                <w:rFonts w:eastAsia="宋体" w:hint="eastAsia"/>
              </w:rPr>
              <w:t>密闭管道收集</w:t>
            </w:r>
          </w:p>
        </w:tc>
        <w:tc>
          <w:tcPr>
            <w:tcW w:w="1841" w:type="dxa"/>
            <w:vMerge w:val="restart"/>
          </w:tcPr>
          <w:p w14:paraId="30549122" w14:textId="39739768" w:rsidR="00177CC3" w:rsidRPr="002B55E9" w:rsidRDefault="00177CC3" w:rsidP="0068604F">
            <w:pPr>
              <w:pStyle w:val="lgy-"/>
              <w:rPr>
                <w:rFonts w:eastAsia="宋体"/>
              </w:rPr>
            </w:pPr>
            <w:r w:rsidRPr="002B55E9">
              <w:rPr>
                <w:rFonts w:eastAsia="宋体" w:hint="eastAsia"/>
              </w:rPr>
              <w:t>经</w:t>
            </w:r>
            <w:r w:rsidRPr="002B55E9">
              <w:rPr>
                <w:rFonts w:eastAsia="宋体"/>
              </w:rPr>
              <w:t>1</w:t>
            </w:r>
            <w:r w:rsidRPr="002B55E9">
              <w:rPr>
                <w:rFonts w:eastAsia="宋体" w:hint="eastAsia"/>
              </w:rPr>
              <w:t>套二级碱喷淋</w:t>
            </w:r>
            <w:r w:rsidRPr="002B55E9">
              <w:rPr>
                <w:rFonts w:eastAsia="宋体" w:hint="eastAsia"/>
              </w:rPr>
              <w:t>+</w:t>
            </w:r>
            <w:r w:rsidRPr="002B55E9">
              <w:rPr>
                <w:rFonts w:eastAsia="宋体" w:hint="eastAsia"/>
              </w:rPr>
              <w:t>水喷淋装置处理后由</w:t>
            </w:r>
            <w:r w:rsidRPr="002B55E9">
              <w:rPr>
                <w:rFonts w:eastAsia="宋体"/>
              </w:rPr>
              <w:t>18m</w:t>
            </w:r>
            <w:r w:rsidRPr="002B55E9">
              <w:rPr>
                <w:rFonts w:eastAsia="宋体" w:hint="eastAsia"/>
              </w:rPr>
              <w:t>高排气筒（</w:t>
            </w:r>
            <w:r w:rsidRPr="002B55E9">
              <w:rPr>
                <w:rFonts w:eastAsia="宋体"/>
              </w:rPr>
              <w:t>DA002</w:t>
            </w:r>
            <w:r w:rsidRPr="002B55E9">
              <w:rPr>
                <w:rFonts w:eastAsia="宋体" w:hint="eastAsia"/>
              </w:rPr>
              <w:t>）排放</w:t>
            </w:r>
          </w:p>
        </w:tc>
      </w:tr>
      <w:tr w:rsidR="002B55E9" w:rsidRPr="002B55E9" w14:paraId="7CA5D777" w14:textId="77777777" w:rsidTr="0068604F">
        <w:trPr>
          <w:trHeight w:val="283"/>
        </w:trPr>
        <w:tc>
          <w:tcPr>
            <w:tcW w:w="535" w:type="dxa"/>
            <w:vMerge/>
          </w:tcPr>
          <w:p w14:paraId="27EA0FA7" w14:textId="77777777" w:rsidR="00177CC3" w:rsidRPr="002B55E9" w:rsidRDefault="00177CC3" w:rsidP="0068604F">
            <w:pPr>
              <w:pStyle w:val="lgy-"/>
              <w:rPr>
                <w:rFonts w:eastAsia="宋体"/>
              </w:rPr>
            </w:pPr>
          </w:p>
        </w:tc>
        <w:tc>
          <w:tcPr>
            <w:tcW w:w="883" w:type="dxa"/>
          </w:tcPr>
          <w:p w14:paraId="59673516" w14:textId="77777777" w:rsidR="00177CC3" w:rsidRPr="002B55E9" w:rsidRDefault="00177CC3" w:rsidP="0068604F">
            <w:pPr>
              <w:pStyle w:val="lgy-"/>
              <w:rPr>
                <w:rFonts w:eastAsia="宋体"/>
              </w:rPr>
            </w:pPr>
            <w:r w:rsidRPr="002B55E9">
              <w:rPr>
                <w:rFonts w:eastAsia="宋体" w:hint="eastAsia"/>
              </w:rPr>
              <w:t>过滤</w:t>
            </w:r>
          </w:p>
        </w:tc>
        <w:tc>
          <w:tcPr>
            <w:tcW w:w="709" w:type="dxa"/>
          </w:tcPr>
          <w:p w14:paraId="676C6867" w14:textId="77777777" w:rsidR="00177CC3" w:rsidRPr="002B55E9" w:rsidRDefault="00177CC3" w:rsidP="0068604F">
            <w:pPr>
              <w:pStyle w:val="lgy-"/>
              <w:rPr>
                <w:rFonts w:eastAsia="宋体"/>
              </w:rPr>
            </w:pPr>
            <w:r w:rsidRPr="002B55E9">
              <w:rPr>
                <w:rFonts w:eastAsia="宋体"/>
              </w:rPr>
              <w:t>G1-3</w:t>
            </w:r>
          </w:p>
        </w:tc>
        <w:tc>
          <w:tcPr>
            <w:tcW w:w="1417" w:type="dxa"/>
          </w:tcPr>
          <w:p w14:paraId="44EE2856" w14:textId="77777777" w:rsidR="00177CC3" w:rsidRPr="002B55E9" w:rsidRDefault="00177CC3" w:rsidP="0068604F">
            <w:pPr>
              <w:pStyle w:val="lgy-"/>
              <w:rPr>
                <w:rFonts w:eastAsia="宋体"/>
              </w:rPr>
            </w:pPr>
            <w:r w:rsidRPr="002B55E9">
              <w:rPr>
                <w:rFonts w:eastAsia="宋体" w:hint="eastAsia"/>
              </w:rPr>
              <w:t>投料废气</w:t>
            </w:r>
          </w:p>
        </w:tc>
        <w:tc>
          <w:tcPr>
            <w:tcW w:w="1134" w:type="dxa"/>
            <w:noWrap/>
          </w:tcPr>
          <w:p w14:paraId="7F8E3AD0" w14:textId="3DFBD65A" w:rsidR="00177CC3" w:rsidRPr="002B55E9" w:rsidRDefault="00177CC3" w:rsidP="0068604F">
            <w:pPr>
              <w:pStyle w:val="lgy-"/>
              <w:rPr>
                <w:rFonts w:eastAsia="宋体"/>
              </w:rPr>
            </w:pPr>
            <w:r w:rsidRPr="002B55E9">
              <w:rPr>
                <w:rFonts w:eastAsia="宋体"/>
              </w:rPr>
              <w:t>非甲烷总烃</w:t>
            </w:r>
          </w:p>
        </w:tc>
        <w:tc>
          <w:tcPr>
            <w:tcW w:w="851" w:type="dxa"/>
          </w:tcPr>
          <w:p w14:paraId="0E733A06" w14:textId="720EB68A" w:rsidR="00177CC3" w:rsidRPr="002B55E9" w:rsidRDefault="00177CC3" w:rsidP="0068604F">
            <w:pPr>
              <w:pStyle w:val="lgy-"/>
              <w:rPr>
                <w:rFonts w:eastAsia="宋体"/>
              </w:rPr>
            </w:pPr>
            <w:r w:rsidRPr="002B55E9">
              <w:rPr>
                <w:rFonts w:eastAsia="宋体"/>
              </w:rPr>
              <w:t xml:space="preserve">0.504 </w:t>
            </w:r>
          </w:p>
        </w:tc>
        <w:tc>
          <w:tcPr>
            <w:tcW w:w="850" w:type="dxa"/>
          </w:tcPr>
          <w:p w14:paraId="7585A06A" w14:textId="77777777" w:rsidR="00177CC3" w:rsidRPr="002B55E9" w:rsidRDefault="00177CC3" w:rsidP="0068604F">
            <w:pPr>
              <w:pStyle w:val="lgy-"/>
              <w:rPr>
                <w:rFonts w:eastAsia="宋体"/>
              </w:rPr>
            </w:pPr>
            <w:r w:rsidRPr="002B55E9">
              <w:rPr>
                <w:rFonts w:eastAsia="宋体"/>
              </w:rPr>
              <w:t>0.292</w:t>
            </w:r>
          </w:p>
        </w:tc>
        <w:tc>
          <w:tcPr>
            <w:tcW w:w="1418" w:type="dxa"/>
          </w:tcPr>
          <w:p w14:paraId="2267F11B" w14:textId="77777777" w:rsidR="00177CC3" w:rsidRPr="002B55E9" w:rsidRDefault="00177CC3" w:rsidP="0068604F">
            <w:pPr>
              <w:pStyle w:val="lgy-"/>
              <w:rPr>
                <w:rFonts w:eastAsia="宋体"/>
              </w:rPr>
            </w:pPr>
            <w:r w:rsidRPr="002B55E9">
              <w:rPr>
                <w:rFonts w:eastAsia="宋体" w:hint="eastAsia"/>
              </w:rPr>
              <w:t>密闭管道收集</w:t>
            </w:r>
          </w:p>
        </w:tc>
        <w:tc>
          <w:tcPr>
            <w:tcW w:w="1841" w:type="dxa"/>
            <w:vMerge/>
          </w:tcPr>
          <w:p w14:paraId="0899502F" w14:textId="77777777" w:rsidR="00177CC3" w:rsidRPr="002B55E9" w:rsidRDefault="00177CC3" w:rsidP="0068604F">
            <w:pPr>
              <w:pStyle w:val="lgy-"/>
              <w:rPr>
                <w:rFonts w:eastAsia="宋体"/>
              </w:rPr>
            </w:pPr>
          </w:p>
        </w:tc>
      </w:tr>
      <w:tr w:rsidR="002B55E9" w:rsidRPr="002B55E9" w14:paraId="35AFCE33" w14:textId="77777777" w:rsidTr="0068604F">
        <w:trPr>
          <w:trHeight w:val="283"/>
        </w:trPr>
        <w:tc>
          <w:tcPr>
            <w:tcW w:w="535" w:type="dxa"/>
            <w:vMerge/>
          </w:tcPr>
          <w:p w14:paraId="0147D982" w14:textId="77777777" w:rsidR="00177CC3" w:rsidRPr="002B55E9" w:rsidRDefault="00177CC3" w:rsidP="0068604F">
            <w:pPr>
              <w:pStyle w:val="lgy-"/>
              <w:rPr>
                <w:rFonts w:eastAsia="宋体"/>
              </w:rPr>
            </w:pPr>
          </w:p>
        </w:tc>
        <w:tc>
          <w:tcPr>
            <w:tcW w:w="883" w:type="dxa"/>
          </w:tcPr>
          <w:p w14:paraId="3C700BA5" w14:textId="77777777" w:rsidR="00177CC3" w:rsidRPr="002B55E9" w:rsidRDefault="00177CC3" w:rsidP="0068604F">
            <w:pPr>
              <w:pStyle w:val="lgy-"/>
              <w:rPr>
                <w:rFonts w:eastAsia="宋体"/>
              </w:rPr>
            </w:pPr>
            <w:r w:rsidRPr="002B55E9">
              <w:rPr>
                <w:rFonts w:eastAsia="宋体" w:hint="eastAsia"/>
              </w:rPr>
              <w:t>调配混合</w:t>
            </w:r>
          </w:p>
        </w:tc>
        <w:tc>
          <w:tcPr>
            <w:tcW w:w="709" w:type="dxa"/>
          </w:tcPr>
          <w:p w14:paraId="317B945B" w14:textId="77777777" w:rsidR="00177CC3" w:rsidRPr="002B55E9" w:rsidRDefault="00177CC3" w:rsidP="0068604F">
            <w:pPr>
              <w:pStyle w:val="lgy-"/>
              <w:rPr>
                <w:rFonts w:eastAsia="宋体"/>
              </w:rPr>
            </w:pPr>
            <w:r w:rsidRPr="002B55E9">
              <w:rPr>
                <w:rFonts w:eastAsia="宋体"/>
              </w:rPr>
              <w:t>G1-4</w:t>
            </w:r>
          </w:p>
        </w:tc>
        <w:tc>
          <w:tcPr>
            <w:tcW w:w="1417" w:type="dxa"/>
          </w:tcPr>
          <w:p w14:paraId="6CF73D13" w14:textId="77777777" w:rsidR="00177CC3" w:rsidRPr="002B55E9" w:rsidRDefault="00177CC3" w:rsidP="0068604F">
            <w:pPr>
              <w:pStyle w:val="lgy-"/>
              <w:rPr>
                <w:rFonts w:eastAsia="宋体"/>
              </w:rPr>
            </w:pPr>
            <w:r w:rsidRPr="002B55E9">
              <w:rPr>
                <w:rFonts w:eastAsia="宋体" w:hint="eastAsia"/>
              </w:rPr>
              <w:t>投料废气</w:t>
            </w:r>
          </w:p>
        </w:tc>
        <w:tc>
          <w:tcPr>
            <w:tcW w:w="1134" w:type="dxa"/>
            <w:noWrap/>
          </w:tcPr>
          <w:p w14:paraId="63EEEFD2" w14:textId="1B647625" w:rsidR="00177CC3" w:rsidRPr="002B55E9" w:rsidRDefault="00177CC3" w:rsidP="0068604F">
            <w:pPr>
              <w:pStyle w:val="lgy-"/>
              <w:rPr>
                <w:rFonts w:eastAsia="宋体"/>
              </w:rPr>
            </w:pPr>
            <w:r w:rsidRPr="002B55E9">
              <w:rPr>
                <w:rFonts w:eastAsia="宋体"/>
              </w:rPr>
              <w:t>非甲烷总烃</w:t>
            </w:r>
          </w:p>
        </w:tc>
        <w:tc>
          <w:tcPr>
            <w:tcW w:w="851" w:type="dxa"/>
          </w:tcPr>
          <w:p w14:paraId="6073371C" w14:textId="738134DC" w:rsidR="00177CC3" w:rsidRPr="002B55E9" w:rsidRDefault="00177CC3" w:rsidP="0068604F">
            <w:pPr>
              <w:pStyle w:val="lgy-"/>
              <w:rPr>
                <w:rFonts w:eastAsia="宋体"/>
              </w:rPr>
            </w:pPr>
            <w:r w:rsidRPr="002B55E9">
              <w:rPr>
                <w:rFonts w:eastAsia="宋体"/>
              </w:rPr>
              <w:t>3.6</w:t>
            </w:r>
            <w:r w:rsidR="0068604F" w:rsidRPr="002B55E9">
              <w:rPr>
                <w:rFonts w:eastAsia="宋体"/>
              </w:rPr>
              <w:t>9</w:t>
            </w:r>
          </w:p>
        </w:tc>
        <w:tc>
          <w:tcPr>
            <w:tcW w:w="850" w:type="dxa"/>
          </w:tcPr>
          <w:p w14:paraId="3F16159F" w14:textId="5504E5D2" w:rsidR="00177CC3" w:rsidRPr="002B55E9" w:rsidRDefault="00177CC3" w:rsidP="0068604F">
            <w:pPr>
              <w:pStyle w:val="lgy-"/>
              <w:rPr>
                <w:rFonts w:eastAsia="宋体"/>
              </w:rPr>
            </w:pPr>
            <w:r w:rsidRPr="002B55E9">
              <w:rPr>
                <w:rFonts w:eastAsia="宋体"/>
              </w:rPr>
              <w:t>0.615</w:t>
            </w:r>
          </w:p>
        </w:tc>
        <w:tc>
          <w:tcPr>
            <w:tcW w:w="1418" w:type="dxa"/>
          </w:tcPr>
          <w:p w14:paraId="4D48568B" w14:textId="77777777" w:rsidR="00177CC3" w:rsidRPr="002B55E9" w:rsidRDefault="00177CC3" w:rsidP="0068604F">
            <w:pPr>
              <w:pStyle w:val="lgy-"/>
              <w:rPr>
                <w:rFonts w:eastAsia="宋体"/>
              </w:rPr>
            </w:pPr>
            <w:r w:rsidRPr="002B55E9">
              <w:rPr>
                <w:rFonts w:eastAsia="宋体" w:hint="eastAsia"/>
              </w:rPr>
              <w:t>密闭管道收集</w:t>
            </w:r>
          </w:p>
        </w:tc>
        <w:tc>
          <w:tcPr>
            <w:tcW w:w="1841" w:type="dxa"/>
            <w:vMerge/>
          </w:tcPr>
          <w:p w14:paraId="6B2CEDE8" w14:textId="77777777" w:rsidR="00177CC3" w:rsidRPr="002B55E9" w:rsidRDefault="00177CC3" w:rsidP="0068604F">
            <w:pPr>
              <w:pStyle w:val="lgy-"/>
              <w:rPr>
                <w:rFonts w:eastAsia="宋体"/>
              </w:rPr>
            </w:pPr>
          </w:p>
        </w:tc>
      </w:tr>
      <w:tr w:rsidR="002B55E9" w:rsidRPr="002B55E9" w14:paraId="64338D49" w14:textId="77777777" w:rsidTr="0068604F">
        <w:trPr>
          <w:trHeight w:val="283"/>
        </w:trPr>
        <w:tc>
          <w:tcPr>
            <w:tcW w:w="535" w:type="dxa"/>
            <w:vMerge/>
          </w:tcPr>
          <w:p w14:paraId="34864A2D" w14:textId="77777777" w:rsidR="00177CC3" w:rsidRPr="002B55E9" w:rsidRDefault="00177CC3" w:rsidP="0068604F">
            <w:pPr>
              <w:pStyle w:val="lgy-"/>
              <w:rPr>
                <w:rFonts w:eastAsia="宋体"/>
              </w:rPr>
            </w:pPr>
          </w:p>
        </w:tc>
        <w:tc>
          <w:tcPr>
            <w:tcW w:w="883" w:type="dxa"/>
          </w:tcPr>
          <w:p w14:paraId="1ED87D69" w14:textId="1AA60180" w:rsidR="00177CC3" w:rsidRPr="002B55E9" w:rsidRDefault="00177CC3" w:rsidP="0068604F">
            <w:pPr>
              <w:pStyle w:val="lgy-"/>
              <w:rPr>
                <w:rFonts w:eastAsia="宋体"/>
              </w:rPr>
            </w:pPr>
            <w:r w:rsidRPr="002B55E9">
              <w:rPr>
                <w:rFonts w:eastAsia="宋体" w:hint="eastAsia"/>
              </w:rPr>
              <w:t>包装</w:t>
            </w:r>
          </w:p>
        </w:tc>
        <w:tc>
          <w:tcPr>
            <w:tcW w:w="709" w:type="dxa"/>
          </w:tcPr>
          <w:p w14:paraId="724FEF8C" w14:textId="41358452" w:rsidR="00177CC3" w:rsidRPr="002B55E9" w:rsidRDefault="00177CC3" w:rsidP="0068604F">
            <w:pPr>
              <w:pStyle w:val="lgy-"/>
              <w:rPr>
                <w:rFonts w:eastAsia="宋体"/>
              </w:rPr>
            </w:pPr>
            <w:r w:rsidRPr="002B55E9">
              <w:rPr>
                <w:rFonts w:eastAsia="宋体"/>
              </w:rPr>
              <w:t>G1-5</w:t>
            </w:r>
          </w:p>
        </w:tc>
        <w:tc>
          <w:tcPr>
            <w:tcW w:w="1417" w:type="dxa"/>
          </w:tcPr>
          <w:p w14:paraId="7FA5B5DB" w14:textId="48FBA02E" w:rsidR="00177CC3" w:rsidRPr="002B55E9" w:rsidRDefault="00177CC3" w:rsidP="0068604F">
            <w:pPr>
              <w:pStyle w:val="lgy-"/>
              <w:rPr>
                <w:rFonts w:eastAsia="宋体"/>
              </w:rPr>
            </w:pPr>
            <w:r w:rsidRPr="002B55E9">
              <w:rPr>
                <w:rFonts w:eastAsia="宋体" w:hint="eastAsia"/>
              </w:rPr>
              <w:t>贴标、喷码废气</w:t>
            </w:r>
          </w:p>
        </w:tc>
        <w:tc>
          <w:tcPr>
            <w:tcW w:w="1134" w:type="dxa"/>
            <w:noWrap/>
          </w:tcPr>
          <w:p w14:paraId="133E9742" w14:textId="130FD581" w:rsidR="00177CC3" w:rsidRPr="002B55E9" w:rsidRDefault="00177CC3" w:rsidP="0068604F">
            <w:pPr>
              <w:pStyle w:val="lgy-"/>
              <w:rPr>
                <w:rFonts w:eastAsia="宋体"/>
              </w:rPr>
            </w:pPr>
            <w:r w:rsidRPr="002B55E9">
              <w:rPr>
                <w:rFonts w:eastAsia="宋体"/>
              </w:rPr>
              <w:t>非甲烷总烃</w:t>
            </w:r>
          </w:p>
        </w:tc>
        <w:tc>
          <w:tcPr>
            <w:tcW w:w="851" w:type="dxa"/>
          </w:tcPr>
          <w:p w14:paraId="633D8CD3" w14:textId="0F427610" w:rsidR="00177CC3" w:rsidRPr="002B55E9" w:rsidRDefault="00177CC3" w:rsidP="0068604F">
            <w:pPr>
              <w:pStyle w:val="lgy-"/>
              <w:rPr>
                <w:rFonts w:eastAsia="宋体"/>
              </w:rPr>
            </w:pPr>
            <w:r w:rsidRPr="002B55E9">
              <w:rPr>
                <w:rFonts w:eastAsia="宋体"/>
              </w:rPr>
              <w:t xml:space="preserve">0.10 </w:t>
            </w:r>
          </w:p>
        </w:tc>
        <w:tc>
          <w:tcPr>
            <w:tcW w:w="850" w:type="dxa"/>
          </w:tcPr>
          <w:p w14:paraId="4B50704A" w14:textId="11760932" w:rsidR="00177CC3" w:rsidRPr="002B55E9" w:rsidRDefault="00177CC3" w:rsidP="0068604F">
            <w:pPr>
              <w:pStyle w:val="lgy-"/>
              <w:rPr>
                <w:rFonts w:eastAsia="宋体"/>
              </w:rPr>
            </w:pPr>
            <w:r w:rsidRPr="002B55E9">
              <w:rPr>
                <w:rFonts w:eastAsia="宋体"/>
              </w:rPr>
              <w:t>0.013</w:t>
            </w:r>
          </w:p>
        </w:tc>
        <w:tc>
          <w:tcPr>
            <w:tcW w:w="1418" w:type="dxa"/>
          </w:tcPr>
          <w:p w14:paraId="67F0A777" w14:textId="77777777" w:rsidR="00177CC3" w:rsidRPr="002B55E9" w:rsidRDefault="00177CC3" w:rsidP="0068604F">
            <w:pPr>
              <w:pStyle w:val="lgy-"/>
              <w:rPr>
                <w:rFonts w:eastAsia="宋体"/>
              </w:rPr>
            </w:pPr>
            <w:r w:rsidRPr="002B55E9">
              <w:rPr>
                <w:rFonts w:eastAsia="宋体" w:hint="eastAsia"/>
              </w:rPr>
              <w:t>车间通风设施抽排</w:t>
            </w:r>
          </w:p>
        </w:tc>
        <w:tc>
          <w:tcPr>
            <w:tcW w:w="1841" w:type="dxa"/>
          </w:tcPr>
          <w:p w14:paraId="16555F3E" w14:textId="77777777" w:rsidR="00177CC3" w:rsidRPr="002B55E9" w:rsidRDefault="00177CC3" w:rsidP="0068604F">
            <w:pPr>
              <w:pStyle w:val="lgy-"/>
              <w:rPr>
                <w:rFonts w:eastAsia="宋体"/>
              </w:rPr>
            </w:pPr>
            <w:r w:rsidRPr="002B55E9">
              <w:rPr>
                <w:rFonts w:eastAsia="宋体" w:hint="eastAsia"/>
              </w:rPr>
              <w:t>无组织排放</w:t>
            </w:r>
          </w:p>
        </w:tc>
      </w:tr>
      <w:tr w:rsidR="002B55E9" w:rsidRPr="002B55E9" w14:paraId="14F5580F" w14:textId="77777777" w:rsidTr="0068604F">
        <w:trPr>
          <w:trHeight w:val="283"/>
        </w:trPr>
        <w:tc>
          <w:tcPr>
            <w:tcW w:w="535" w:type="dxa"/>
          </w:tcPr>
          <w:p w14:paraId="28C01977" w14:textId="77777777" w:rsidR="00177CC3" w:rsidRPr="002B55E9" w:rsidRDefault="00177CC3" w:rsidP="0068604F">
            <w:pPr>
              <w:pStyle w:val="lgy-"/>
              <w:rPr>
                <w:rFonts w:eastAsia="宋体"/>
              </w:rPr>
            </w:pPr>
            <w:r w:rsidRPr="002B55E9">
              <w:rPr>
                <w:rFonts w:eastAsia="宋体" w:hint="eastAsia"/>
              </w:rPr>
              <w:t>废水</w:t>
            </w:r>
          </w:p>
        </w:tc>
        <w:tc>
          <w:tcPr>
            <w:tcW w:w="883" w:type="dxa"/>
          </w:tcPr>
          <w:p w14:paraId="6C9DABF1" w14:textId="77777777" w:rsidR="00177CC3" w:rsidRPr="002B55E9" w:rsidRDefault="00177CC3" w:rsidP="0068604F">
            <w:pPr>
              <w:pStyle w:val="lgy-"/>
              <w:rPr>
                <w:rFonts w:eastAsia="宋体"/>
              </w:rPr>
            </w:pPr>
            <w:r w:rsidRPr="002B55E9">
              <w:rPr>
                <w:rFonts w:eastAsia="宋体" w:hint="eastAsia"/>
              </w:rPr>
              <w:t>洗瓶</w:t>
            </w:r>
          </w:p>
        </w:tc>
        <w:tc>
          <w:tcPr>
            <w:tcW w:w="709" w:type="dxa"/>
          </w:tcPr>
          <w:p w14:paraId="77DA21DA" w14:textId="77777777" w:rsidR="00177CC3" w:rsidRPr="002B55E9" w:rsidRDefault="00177CC3" w:rsidP="0068604F">
            <w:pPr>
              <w:pStyle w:val="lgy-"/>
              <w:rPr>
                <w:rFonts w:eastAsia="宋体"/>
              </w:rPr>
            </w:pPr>
            <w:r w:rsidRPr="002B55E9">
              <w:rPr>
                <w:rFonts w:eastAsia="宋体"/>
              </w:rPr>
              <w:t>W1-1</w:t>
            </w:r>
          </w:p>
        </w:tc>
        <w:tc>
          <w:tcPr>
            <w:tcW w:w="1417" w:type="dxa"/>
          </w:tcPr>
          <w:p w14:paraId="06519838" w14:textId="77777777" w:rsidR="00177CC3" w:rsidRPr="002B55E9" w:rsidRDefault="00177CC3" w:rsidP="0068604F">
            <w:pPr>
              <w:pStyle w:val="lgy-"/>
              <w:rPr>
                <w:rFonts w:eastAsia="宋体"/>
              </w:rPr>
            </w:pPr>
            <w:r w:rsidRPr="002B55E9">
              <w:rPr>
                <w:rFonts w:eastAsia="宋体" w:hint="eastAsia"/>
              </w:rPr>
              <w:t>洗瓶废水</w:t>
            </w:r>
          </w:p>
        </w:tc>
        <w:tc>
          <w:tcPr>
            <w:tcW w:w="1134" w:type="dxa"/>
            <w:noWrap/>
          </w:tcPr>
          <w:p w14:paraId="03493EBD" w14:textId="77777777" w:rsidR="00177CC3" w:rsidRPr="002B55E9" w:rsidRDefault="00177CC3" w:rsidP="0068604F">
            <w:pPr>
              <w:pStyle w:val="lgy-"/>
              <w:rPr>
                <w:rFonts w:eastAsia="宋体"/>
              </w:rPr>
            </w:pPr>
            <w:r w:rsidRPr="002B55E9">
              <w:rPr>
                <w:rFonts w:eastAsia="宋体"/>
              </w:rPr>
              <w:t>COD</w:t>
            </w:r>
            <w:r w:rsidRPr="002B55E9">
              <w:rPr>
                <w:rFonts w:eastAsia="宋体" w:hint="eastAsia"/>
              </w:rPr>
              <w:t>、</w:t>
            </w:r>
            <w:r w:rsidRPr="002B55E9">
              <w:rPr>
                <w:rFonts w:eastAsia="宋体"/>
              </w:rPr>
              <w:t>SS</w:t>
            </w:r>
            <w:r w:rsidRPr="002B55E9">
              <w:rPr>
                <w:rFonts w:eastAsia="宋体" w:hint="eastAsia"/>
              </w:rPr>
              <w:t>等</w:t>
            </w:r>
          </w:p>
        </w:tc>
        <w:tc>
          <w:tcPr>
            <w:tcW w:w="851" w:type="dxa"/>
          </w:tcPr>
          <w:p w14:paraId="2BF89A73" w14:textId="39FD319F" w:rsidR="00177CC3" w:rsidRPr="002B55E9" w:rsidRDefault="00177CC3" w:rsidP="0068604F">
            <w:pPr>
              <w:pStyle w:val="lgy-"/>
              <w:rPr>
                <w:rFonts w:eastAsia="宋体"/>
              </w:rPr>
            </w:pPr>
            <w:r w:rsidRPr="002B55E9">
              <w:rPr>
                <w:rFonts w:eastAsia="宋体"/>
              </w:rPr>
              <w:t xml:space="preserve">57621.60 </w:t>
            </w:r>
          </w:p>
        </w:tc>
        <w:tc>
          <w:tcPr>
            <w:tcW w:w="850" w:type="dxa"/>
          </w:tcPr>
          <w:p w14:paraId="7B49F3AF" w14:textId="77777777" w:rsidR="00177CC3" w:rsidRPr="002B55E9" w:rsidRDefault="00177CC3" w:rsidP="0068604F">
            <w:pPr>
              <w:pStyle w:val="lgy-"/>
              <w:rPr>
                <w:rFonts w:eastAsia="宋体"/>
              </w:rPr>
            </w:pPr>
            <w:r w:rsidRPr="002B55E9">
              <w:rPr>
                <w:rFonts w:eastAsia="宋体"/>
              </w:rPr>
              <w:t>/</w:t>
            </w:r>
          </w:p>
        </w:tc>
        <w:tc>
          <w:tcPr>
            <w:tcW w:w="1418" w:type="dxa"/>
          </w:tcPr>
          <w:p w14:paraId="5F168379" w14:textId="77777777" w:rsidR="00177CC3" w:rsidRPr="002B55E9" w:rsidRDefault="00177CC3" w:rsidP="0068604F">
            <w:pPr>
              <w:pStyle w:val="lgy-"/>
              <w:rPr>
                <w:rFonts w:eastAsia="宋体"/>
              </w:rPr>
            </w:pPr>
            <w:r w:rsidRPr="002B55E9">
              <w:rPr>
                <w:rFonts w:eastAsia="宋体" w:hint="eastAsia"/>
              </w:rPr>
              <w:t>生产废水管网收集</w:t>
            </w:r>
          </w:p>
        </w:tc>
        <w:tc>
          <w:tcPr>
            <w:tcW w:w="1841" w:type="dxa"/>
          </w:tcPr>
          <w:p w14:paraId="7DBE9F61" w14:textId="77777777" w:rsidR="00177CC3" w:rsidRPr="002B55E9" w:rsidRDefault="00177CC3" w:rsidP="0068604F">
            <w:pPr>
              <w:pStyle w:val="lgy-"/>
              <w:rPr>
                <w:rFonts w:eastAsia="宋体"/>
              </w:rPr>
            </w:pPr>
            <w:r w:rsidRPr="002B55E9">
              <w:rPr>
                <w:rFonts w:eastAsia="宋体" w:hint="eastAsia"/>
              </w:rPr>
              <w:t>排入佛山市海天（武汉）调味食品有限公司污水处理站处理</w:t>
            </w:r>
          </w:p>
        </w:tc>
      </w:tr>
      <w:tr w:rsidR="002B55E9" w:rsidRPr="002B55E9" w14:paraId="0153C53D" w14:textId="77777777" w:rsidTr="0068604F">
        <w:trPr>
          <w:trHeight w:val="283"/>
        </w:trPr>
        <w:tc>
          <w:tcPr>
            <w:tcW w:w="535" w:type="dxa"/>
            <w:vMerge w:val="restart"/>
          </w:tcPr>
          <w:p w14:paraId="233FE8D4" w14:textId="77777777" w:rsidR="00177CC3" w:rsidRPr="002B55E9" w:rsidRDefault="00177CC3" w:rsidP="0068604F">
            <w:pPr>
              <w:pStyle w:val="lgy-"/>
              <w:rPr>
                <w:rFonts w:eastAsia="宋体"/>
              </w:rPr>
            </w:pPr>
            <w:r w:rsidRPr="002B55E9">
              <w:rPr>
                <w:rFonts w:eastAsia="宋体" w:hint="eastAsia"/>
              </w:rPr>
              <w:t>固废</w:t>
            </w:r>
          </w:p>
        </w:tc>
        <w:tc>
          <w:tcPr>
            <w:tcW w:w="883" w:type="dxa"/>
          </w:tcPr>
          <w:p w14:paraId="65D3DB63" w14:textId="77777777" w:rsidR="00177CC3" w:rsidRPr="002B55E9" w:rsidRDefault="00177CC3" w:rsidP="0068604F">
            <w:pPr>
              <w:pStyle w:val="lgy-"/>
              <w:rPr>
                <w:rFonts w:eastAsia="宋体"/>
              </w:rPr>
            </w:pPr>
            <w:r w:rsidRPr="002B55E9">
              <w:rPr>
                <w:rFonts w:eastAsia="宋体" w:hint="eastAsia"/>
              </w:rPr>
              <w:t>过滤</w:t>
            </w:r>
          </w:p>
        </w:tc>
        <w:tc>
          <w:tcPr>
            <w:tcW w:w="709" w:type="dxa"/>
          </w:tcPr>
          <w:p w14:paraId="0B946505" w14:textId="77777777" w:rsidR="00177CC3" w:rsidRPr="002B55E9" w:rsidRDefault="00177CC3" w:rsidP="0068604F">
            <w:pPr>
              <w:pStyle w:val="lgy-"/>
              <w:rPr>
                <w:rFonts w:eastAsia="宋体"/>
              </w:rPr>
            </w:pPr>
            <w:r w:rsidRPr="002B55E9">
              <w:rPr>
                <w:rFonts w:eastAsia="宋体"/>
              </w:rPr>
              <w:t>S1-1</w:t>
            </w:r>
          </w:p>
        </w:tc>
        <w:tc>
          <w:tcPr>
            <w:tcW w:w="1417" w:type="dxa"/>
          </w:tcPr>
          <w:p w14:paraId="56F4348D" w14:textId="77777777" w:rsidR="00177CC3" w:rsidRPr="002B55E9" w:rsidRDefault="00177CC3" w:rsidP="0068604F">
            <w:pPr>
              <w:pStyle w:val="lgy-"/>
              <w:rPr>
                <w:rFonts w:eastAsia="宋体"/>
              </w:rPr>
            </w:pPr>
            <w:r w:rsidRPr="002B55E9">
              <w:rPr>
                <w:rFonts w:eastAsia="宋体" w:hint="eastAsia"/>
              </w:rPr>
              <w:t>过滤残渣</w:t>
            </w:r>
          </w:p>
        </w:tc>
        <w:tc>
          <w:tcPr>
            <w:tcW w:w="1134" w:type="dxa"/>
            <w:noWrap/>
          </w:tcPr>
          <w:p w14:paraId="7190E6DA" w14:textId="77777777" w:rsidR="00177CC3" w:rsidRPr="002B55E9" w:rsidRDefault="00177CC3" w:rsidP="0068604F">
            <w:pPr>
              <w:pStyle w:val="lgy-"/>
              <w:rPr>
                <w:rFonts w:eastAsia="宋体"/>
              </w:rPr>
            </w:pPr>
            <w:r w:rsidRPr="002B55E9">
              <w:rPr>
                <w:rFonts w:eastAsia="宋体" w:hint="eastAsia"/>
              </w:rPr>
              <w:t>香辛料残渣</w:t>
            </w:r>
          </w:p>
        </w:tc>
        <w:tc>
          <w:tcPr>
            <w:tcW w:w="851" w:type="dxa"/>
          </w:tcPr>
          <w:p w14:paraId="5EF52D08" w14:textId="0DAB8C88" w:rsidR="00177CC3" w:rsidRPr="002B55E9" w:rsidRDefault="00177CC3" w:rsidP="0068604F">
            <w:pPr>
              <w:pStyle w:val="lgy-"/>
              <w:rPr>
                <w:rFonts w:eastAsia="宋体"/>
              </w:rPr>
            </w:pPr>
            <w:r w:rsidRPr="002B55E9">
              <w:rPr>
                <w:rFonts w:eastAsia="宋体"/>
              </w:rPr>
              <w:t xml:space="preserve">282.12 </w:t>
            </w:r>
          </w:p>
        </w:tc>
        <w:tc>
          <w:tcPr>
            <w:tcW w:w="850" w:type="dxa"/>
          </w:tcPr>
          <w:p w14:paraId="7ECD8536" w14:textId="77777777" w:rsidR="00177CC3" w:rsidRPr="002B55E9" w:rsidRDefault="00177CC3" w:rsidP="0068604F">
            <w:pPr>
              <w:pStyle w:val="lgy-"/>
              <w:rPr>
                <w:rFonts w:eastAsia="宋体"/>
              </w:rPr>
            </w:pPr>
            <w:r w:rsidRPr="002B55E9">
              <w:rPr>
                <w:rFonts w:eastAsia="宋体"/>
              </w:rPr>
              <w:t>/</w:t>
            </w:r>
          </w:p>
        </w:tc>
        <w:tc>
          <w:tcPr>
            <w:tcW w:w="1418" w:type="dxa"/>
          </w:tcPr>
          <w:p w14:paraId="2D7C6BBE" w14:textId="77777777" w:rsidR="00177CC3" w:rsidRPr="002B55E9" w:rsidRDefault="00177CC3" w:rsidP="0068604F">
            <w:pPr>
              <w:pStyle w:val="lgy-"/>
              <w:rPr>
                <w:rFonts w:eastAsia="宋体"/>
              </w:rPr>
            </w:pPr>
            <w:r w:rsidRPr="002B55E9">
              <w:rPr>
                <w:rFonts w:eastAsia="宋体" w:hint="eastAsia"/>
              </w:rPr>
              <w:t>密闭容器暂存</w:t>
            </w:r>
          </w:p>
        </w:tc>
        <w:tc>
          <w:tcPr>
            <w:tcW w:w="1841" w:type="dxa"/>
          </w:tcPr>
          <w:p w14:paraId="193E2D12" w14:textId="77777777" w:rsidR="00177CC3" w:rsidRPr="002B55E9" w:rsidRDefault="00177CC3" w:rsidP="0068604F">
            <w:pPr>
              <w:pStyle w:val="lgy-"/>
              <w:rPr>
                <w:rFonts w:eastAsia="宋体"/>
              </w:rPr>
            </w:pPr>
            <w:r w:rsidRPr="002B55E9">
              <w:rPr>
                <w:rFonts w:eastAsia="宋体" w:hint="eastAsia"/>
              </w:rPr>
              <w:t>有机肥生产企业回收利用</w:t>
            </w:r>
          </w:p>
        </w:tc>
      </w:tr>
      <w:tr w:rsidR="002B55E9" w:rsidRPr="002B55E9" w14:paraId="5A61CEB9" w14:textId="77777777" w:rsidTr="0068604F">
        <w:trPr>
          <w:trHeight w:val="283"/>
        </w:trPr>
        <w:tc>
          <w:tcPr>
            <w:tcW w:w="535" w:type="dxa"/>
            <w:vMerge/>
          </w:tcPr>
          <w:p w14:paraId="05C26365" w14:textId="77777777" w:rsidR="00177CC3" w:rsidRPr="002B55E9" w:rsidRDefault="00177CC3" w:rsidP="0068604F">
            <w:pPr>
              <w:pStyle w:val="lgy-"/>
              <w:rPr>
                <w:rFonts w:eastAsia="宋体"/>
              </w:rPr>
            </w:pPr>
          </w:p>
        </w:tc>
        <w:tc>
          <w:tcPr>
            <w:tcW w:w="883" w:type="dxa"/>
          </w:tcPr>
          <w:p w14:paraId="0D6BCFF2" w14:textId="77777777" w:rsidR="00177CC3" w:rsidRPr="002B55E9" w:rsidRDefault="00177CC3" w:rsidP="0068604F">
            <w:pPr>
              <w:pStyle w:val="lgy-"/>
              <w:rPr>
                <w:rFonts w:eastAsia="宋体"/>
              </w:rPr>
            </w:pPr>
            <w:r w:rsidRPr="002B55E9">
              <w:rPr>
                <w:rFonts w:eastAsia="宋体" w:hint="eastAsia"/>
              </w:rPr>
              <w:t>成品过滤</w:t>
            </w:r>
          </w:p>
        </w:tc>
        <w:tc>
          <w:tcPr>
            <w:tcW w:w="709" w:type="dxa"/>
          </w:tcPr>
          <w:p w14:paraId="7C152300" w14:textId="77777777" w:rsidR="00177CC3" w:rsidRPr="002B55E9" w:rsidRDefault="00177CC3" w:rsidP="0068604F">
            <w:pPr>
              <w:pStyle w:val="lgy-"/>
              <w:rPr>
                <w:rFonts w:eastAsia="宋体"/>
              </w:rPr>
            </w:pPr>
            <w:r w:rsidRPr="002B55E9">
              <w:rPr>
                <w:rFonts w:eastAsia="宋体"/>
              </w:rPr>
              <w:t>S1-2</w:t>
            </w:r>
          </w:p>
        </w:tc>
        <w:tc>
          <w:tcPr>
            <w:tcW w:w="1417" w:type="dxa"/>
          </w:tcPr>
          <w:p w14:paraId="51ECBEC0" w14:textId="77777777" w:rsidR="00177CC3" w:rsidRPr="002B55E9" w:rsidRDefault="00177CC3" w:rsidP="0068604F">
            <w:pPr>
              <w:pStyle w:val="lgy-"/>
              <w:rPr>
                <w:rFonts w:eastAsia="宋体"/>
              </w:rPr>
            </w:pPr>
            <w:r w:rsidRPr="002B55E9">
              <w:rPr>
                <w:rFonts w:eastAsia="宋体" w:hint="eastAsia"/>
              </w:rPr>
              <w:t>过滤残渣</w:t>
            </w:r>
          </w:p>
        </w:tc>
        <w:tc>
          <w:tcPr>
            <w:tcW w:w="1134" w:type="dxa"/>
            <w:noWrap/>
          </w:tcPr>
          <w:p w14:paraId="025EB2A1" w14:textId="77777777" w:rsidR="00177CC3" w:rsidRPr="002B55E9" w:rsidRDefault="00177CC3" w:rsidP="0068604F">
            <w:pPr>
              <w:pStyle w:val="lgy-"/>
              <w:rPr>
                <w:rFonts w:eastAsia="宋体"/>
              </w:rPr>
            </w:pPr>
            <w:r w:rsidRPr="002B55E9">
              <w:rPr>
                <w:rFonts w:eastAsia="宋体" w:hint="eastAsia"/>
              </w:rPr>
              <w:t>不溶物及密封圈等</w:t>
            </w:r>
          </w:p>
        </w:tc>
        <w:tc>
          <w:tcPr>
            <w:tcW w:w="851" w:type="dxa"/>
          </w:tcPr>
          <w:p w14:paraId="05F78D07" w14:textId="4BBC3AA8" w:rsidR="00177CC3" w:rsidRPr="002B55E9" w:rsidRDefault="00177CC3" w:rsidP="0068604F">
            <w:pPr>
              <w:pStyle w:val="lgy-"/>
              <w:rPr>
                <w:rFonts w:eastAsia="宋体"/>
              </w:rPr>
            </w:pPr>
            <w:r w:rsidRPr="002B55E9">
              <w:rPr>
                <w:rFonts w:eastAsia="宋体"/>
              </w:rPr>
              <w:t xml:space="preserve">2.00 </w:t>
            </w:r>
          </w:p>
        </w:tc>
        <w:tc>
          <w:tcPr>
            <w:tcW w:w="850" w:type="dxa"/>
          </w:tcPr>
          <w:p w14:paraId="04EA046A" w14:textId="77777777" w:rsidR="00177CC3" w:rsidRPr="002B55E9" w:rsidRDefault="00177CC3" w:rsidP="0068604F">
            <w:pPr>
              <w:pStyle w:val="lgy-"/>
              <w:rPr>
                <w:rFonts w:eastAsia="宋体"/>
              </w:rPr>
            </w:pPr>
            <w:r w:rsidRPr="002B55E9">
              <w:rPr>
                <w:rFonts w:eastAsia="宋体"/>
              </w:rPr>
              <w:t>/</w:t>
            </w:r>
          </w:p>
        </w:tc>
        <w:tc>
          <w:tcPr>
            <w:tcW w:w="1418" w:type="dxa"/>
          </w:tcPr>
          <w:p w14:paraId="20B809D4" w14:textId="77777777" w:rsidR="00177CC3" w:rsidRPr="002B55E9" w:rsidRDefault="00177CC3" w:rsidP="0068604F">
            <w:pPr>
              <w:pStyle w:val="lgy-"/>
              <w:rPr>
                <w:rFonts w:eastAsia="宋体"/>
              </w:rPr>
            </w:pPr>
            <w:r w:rsidRPr="002B55E9">
              <w:rPr>
                <w:rFonts w:eastAsia="宋体" w:hint="eastAsia"/>
              </w:rPr>
              <w:t>密闭容器暂存</w:t>
            </w:r>
          </w:p>
        </w:tc>
        <w:tc>
          <w:tcPr>
            <w:tcW w:w="1841" w:type="dxa"/>
          </w:tcPr>
          <w:p w14:paraId="4F5DBE7E" w14:textId="77777777" w:rsidR="00177CC3" w:rsidRPr="002B55E9" w:rsidRDefault="00177CC3" w:rsidP="0068604F">
            <w:pPr>
              <w:pStyle w:val="lgy-"/>
              <w:rPr>
                <w:rFonts w:eastAsia="宋体"/>
              </w:rPr>
            </w:pPr>
            <w:r w:rsidRPr="002B55E9">
              <w:rPr>
                <w:rFonts w:eastAsia="宋体" w:hint="eastAsia"/>
              </w:rPr>
              <w:t>物资回收公司综合利用</w:t>
            </w:r>
          </w:p>
        </w:tc>
      </w:tr>
      <w:tr w:rsidR="002B55E9" w:rsidRPr="002B55E9" w14:paraId="2E718255" w14:textId="77777777" w:rsidTr="0068604F">
        <w:trPr>
          <w:trHeight w:val="283"/>
        </w:trPr>
        <w:tc>
          <w:tcPr>
            <w:tcW w:w="535" w:type="dxa"/>
            <w:vMerge/>
          </w:tcPr>
          <w:p w14:paraId="75447F12" w14:textId="77777777" w:rsidR="00177CC3" w:rsidRPr="002B55E9" w:rsidRDefault="00177CC3" w:rsidP="0068604F">
            <w:pPr>
              <w:pStyle w:val="lgy-"/>
              <w:rPr>
                <w:rFonts w:eastAsia="宋体"/>
              </w:rPr>
            </w:pPr>
          </w:p>
        </w:tc>
        <w:tc>
          <w:tcPr>
            <w:tcW w:w="883" w:type="dxa"/>
          </w:tcPr>
          <w:p w14:paraId="5FCBDD02" w14:textId="77777777" w:rsidR="00177CC3" w:rsidRPr="002B55E9" w:rsidRDefault="00177CC3" w:rsidP="0068604F">
            <w:pPr>
              <w:pStyle w:val="lgy-"/>
              <w:rPr>
                <w:rFonts w:eastAsia="宋体"/>
              </w:rPr>
            </w:pPr>
            <w:r w:rsidRPr="002B55E9">
              <w:rPr>
                <w:rFonts w:eastAsia="宋体" w:hint="eastAsia"/>
              </w:rPr>
              <w:t>洗瓶</w:t>
            </w:r>
          </w:p>
        </w:tc>
        <w:tc>
          <w:tcPr>
            <w:tcW w:w="709" w:type="dxa"/>
          </w:tcPr>
          <w:p w14:paraId="2AEA7F27" w14:textId="77777777" w:rsidR="00177CC3" w:rsidRPr="002B55E9" w:rsidRDefault="00177CC3" w:rsidP="0068604F">
            <w:pPr>
              <w:pStyle w:val="lgy-"/>
              <w:rPr>
                <w:rFonts w:eastAsia="宋体"/>
              </w:rPr>
            </w:pPr>
            <w:r w:rsidRPr="002B55E9">
              <w:rPr>
                <w:rFonts w:eastAsia="宋体"/>
              </w:rPr>
              <w:t>S1-3</w:t>
            </w:r>
          </w:p>
        </w:tc>
        <w:tc>
          <w:tcPr>
            <w:tcW w:w="1417" w:type="dxa"/>
          </w:tcPr>
          <w:p w14:paraId="011CC474" w14:textId="77777777" w:rsidR="00177CC3" w:rsidRPr="002B55E9" w:rsidRDefault="00177CC3" w:rsidP="0068604F">
            <w:pPr>
              <w:pStyle w:val="lgy-"/>
              <w:rPr>
                <w:rFonts w:eastAsia="宋体"/>
              </w:rPr>
            </w:pPr>
            <w:r w:rsidRPr="002B55E9">
              <w:rPr>
                <w:rFonts w:eastAsia="宋体" w:hint="eastAsia"/>
              </w:rPr>
              <w:t>废包装瓶</w:t>
            </w:r>
          </w:p>
        </w:tc>
        <w:tc>
          <w:tcPr>
            <w:tcW w:w="1134" w:type="dxa"/>
            <w:noWrap/>
          </w:tcPr>
          <w:p w14:paraId="47A93BFB" w14:textId="77777777" w:rsidR="00177CC3" w:rsidRPr="002B55E9" w:rsidRDefault="00177CC3" w:rsidP="0068604F">
            <w:pPr>
              <w:pStyle w:val="lgy-"/>
              <w:rPr>
                <w:rFonts w:eastAsia="宋体"/>
              </w:rPr>
            </w:pPr>
            <w:r w:rsidRPr="002B55E9">
              <w:rPr>
                <w:rFonts w:eastAsia="宋体" w:hint="eastAsia"/>
              </w:rPr>
              <w:t>废瓶、碎瓶等</w:t>
            </w:r>
          </w:p>
        </w:tc>
        <w:tc>
          <w:tcPr>
            <w:tcW w:w="851" w:type="dxa"/>
          </w:tcPr>
          <w:p w14:paraId="426EDB9C" w14:textId="6BCCFA77" w:rsidR="00177CC3" w:rsidRPr="002B55E9" w:rsidRDefault="00177CC3" w:rsidP="0068604F">
            <w:pPr>
              <w:pStyle w:val="lgy-"/>
              <w:rPr>
                <w:rFonts w:eastAsia="宋体"/>
              </w:rPr>
            </w:pPr>
            <w:r w:rsidRPr="002B55E9">
              <w:rPr>
                <w:rFonts w:eastAsia="宋体"/>
              </w:rPr>
              <w:t xml:space="preserve">0.30 </w:t>
            </w:r>
          </w:p>
        </w:tc>
        <w:tc>
          <w:tcPr>
            <w:tcW w:w="850" w:type="dxa"/>
          </w:tcPr>
          <w:p w14:paraId="31EBC34B" w14:textId="77777777" w:rsidR="00177CC3" w:rsidRPr="002B55E9" w:rsidRDefault="00177CC3" w:rsidP="0068604F">
            <w:pPr>
              <w:pStyle w:val="lgy-"/>
              <w:rPr>
                <w:rFonts w:eastAsia="宋体"/>
              </w:rPr>
            </w:pPr>
            <w:r w:rsidRPr="002B55E9">
              <w:rPr>
                <w:rFonts w:eastAsia="宋体"/>
              </w:rPr>
              <w:t>/</w:t>
            </w:r>
          </w:p>
        </w:tc>
        <w:tc>
          <w:tcPr>
            <w:tcW w:w="1418" w:type="dxa"/>
          </w:tcPr>
          <w:p w14:paraId="3CAFE2FF" w14:textId="77777777" w:rsidR="00177CC3" w:rsidRPr="002B55E9" w:rsidRDefault="00177CC3" w:rsidP="0068604F">
            <w:pPr>
              <w:pStyle w:val="lgy-"/>
              <w:rPr>
                <w:rFonts w:eastAsia="宋体"/>
              </w:rPr>
            </w:pPr>
            <w:r w:rsidRPr="002B55E9">
              <w:rPr>
                <w:rFonts w:eastAsia="宋体" w:hint="eastAsia"/>
              </w:rPr>
              <w:t>一般固废间暂存</w:t>
            </w:r>
          </w:p>
        </w:tc>
        <w:tc>
          <w:tcPr>
            <w:tcW w:w="1841" w:type="dxa"/>
          </w:tcPr>
          <w:p w14:paraId="42A426CE" w14:textId="77777777" w:rsidR="00177CC3" w:rsidRPr="002B55E9" w:rsidRDefault="00177CC3" w:rsidP="0068604F">
            <w:pPr>
              <w:pStyle w:val="lgy-"/>
              <w:rPr>
                <w:rFonts w:eastAsia="宋体"/>
              </w:rPr>
            </w:pPr>
            <w:r w:rsidRPr="002B55E9">
              <w:rPr>
                <w:rFonts w:eastAsia="宋体" w:hint="eastAsia"/>
              </w:rPr>
              <w:t>物资回收公司综合利</w:t>
            </w:r>
            <w:r w:rsidRPr="002B55E9">
              <w:rPr>
                <w:rFonts w:eastAsia="宋体" w:hint="eastAsia"/>
              </w:rPr>
              <w:lastRenderedPageBreak/>
              <w:t>用</w:t>
            </w:r>
          </w:p>
        </w:tc>
      </w:tr>
      <w:tr w:rsidR="002B55E9" w:rsidRPr="002B55E9" w14:paraId="624914BF" w14:textId="77777777" w:rsidTr="0068604F">
        <w:trPr>
          <w:trHeight w:val="283"/>
        </w:trPr>
        <w:tc>
          <w:tcPr>
            <w:tcW w:w="535" w:type="dxa"/>
            <w:vMerge/>
          </w:tcPr>
          <w:p w14:paraId="53A1B405" w14:textId="77777777" w:rsidR="00D170E5" w:rsidRPr="002B55E9" w:rsidRDefault="00D170E5" w:rsidP="0068604F">
            <w:pPr>
              <w:pStyle w:val="lgy-"/>
              <w:rPr>
                <w:rFonts w:eastAsia="宋体"/>
              </w:rPr>
            </w:pPr>
          </w:p>
        </w:tc>
        <w:tc>
          <w:tcPr>
            <w:tcW w:w="883" w:type="dxa"/>
          </w:tcPr>
          <w:p w14:paraId="7D84060B" w14:textId="77777777" w:rsidR="00D170E5" w:rsidRPr="002B55E9" w:rsidRDefault="00EF27AD" w:rsidP="0068604F">
            <w:pPr>
              <w:pStyle w:val="lgy-"/>
              <w:rPr>
                <w:rFonts w:eastAsia="宋体"/>
              </w:rPr>
            </w:pPr>
            <w:r w:rsidRPr="002B55E9">
              <w:rPr>
                <w:rFonts w:eastAsia="宋体" w:hint="eastAsia"/>
              </w:rPr>
              <w:t>包装</w:t>
            </w:r>
          </w:p>
        </w:tc>
        <w:tc>
          <w:tcPr>
            <w:tcW w:w="709" w:type="dxa"/>
          </w:tcPr>
          <w:p w14:paraId="4CE8D938" w14:textId="77777777" w:rsidR="00D170E5" w:rsidRPr="002B55E9" w:rsidRDefault="00EF27AD" w:rsidP="0068604F">
            <w:pPr>
              <w:pStyle w:val="lgy-"/>
              <w:rPr>
                <w:rFonts w:eastAsia="宋体"/>
              </w:rPr>
            </w:pPr>
            <w:r w:rsidRPr="002B55E9">
              <w:rPr>
                <w:rFonts w:eastAsia="宋体"/>
              </w:rPr>
              <w:t>S1-4</w:t>
            </w:r>
          </w:p>
        </w:tc>
        <w:tc>
          <w:tcPr>
            <w:tcW w:w="1417" w:type="dxa"/>
          </w:tcPr>
          <w:p w14:paraId="1BE211B0" w14:textId="77777777" w:rsidR="00D170E5" w:rsidRPr="002B55E9" w:rsidRDefault="00EF27AD" w:rsidP="0068604F">
            <w:pPr>
              <w:pStyle w:val="lgy-"/>
              <w:rPr>
                <w:rFonts w:eastAsia="宋体"/>
              </w:rPr>
            </w:pPr>
            <w:r w:rsidRPr="002B55E9">
              <w:rPr>
                <w:rFonts w:eastAsia="宋体" w:hint="eastAsia"/>
              </w:rPr>
              <w:t>废纸箱、废胶桶、废油墨桶、废墨盒等</w:t>
            </w:r>
          </w:p>
        </w:tc>
        <w:tc>
          <w:tcPr>
            <w:tcW w:w="1134" w:type="dxa"/>
          </w:tcPr>
          <w:p w14:paraId="4ACD4655" w14:textId="77777777" w:rsidR="00D170E5" w:rsidRPr="002B55E9" w:rsidRDefault="00EF27AD" w:rsidP="0068604F">
            <w:pPr>
              <w:pStyle w:val="lgy-"/>
              <w:rPr>
                <w:rFonts w:eastAsia="宋体"/>
              </w:rPr>
            </w:pPr>
            <w:r w:rsidRPr="002B55E9">
              <w:rPr>
                <w:rFonts w:eastAsia="宋体" w:hint="eastAsia"/>
              </w:rPr>
              <w:t>废纸箱、废胶桶、废油墨桶、废墨盒等</w:t>
            </w:r>
          </w:p>
        </w:tc>
        <w:tc>
          <w:tcPr>
            <w:tcW w:w="851" w:type="dxa"/>
          </w:tcPr>
          <w:p w14:paraId="401009F7" w14:textId="77777777" w:rsidR="00D170E5" w:rsidRPr="002B55E9" w:rsidRDefault="00EF27AD" w:rsidP="0068604F">
            <w:pPr>
              <w:pStyle w:val="lgy-"/>
              <w:rPr>
                <w:rFonts w:eastAsia="宋体"/>
              </w:rPr>
            </w:pPr>
            <w:r w:rsidRPr="002B55E9">
              <w:rPr>
                <w:rFonts w:eastAsia="宋体"/>
              </w:rPr>
              <w:t xml:space="preserve">0.60 </w:t>
            </w:r>
          </w:p>
        </w:tc>
        <w:tc>
          <w:tcPr>
            <w:tcW w:w="850" w:type="dxa"/>
          </w:tcPr>
          <w:p w14:paraId="425B0F77" w14:textId="77777777" w:rsidR="00D170E5" w:rsidRPr="002B55E9" w:rsidRDefault="00EF27AD" w:rsidP="0068604F">
            <w:pPr>
              <w:pStyle w:val="lgy-"/>
              <w:rPr>
                <w:rFonts w:eastAsia="宋体"/>
              </w:rPr>
            </w:pPr>
            <w:r w:rsidRPr="002B55E9">
              <w:rPr>
                <w:rFonts w:eastAsia="宋体"/>
              </w:rPr>
              <w:t>/</w:t>
            </w:r>
          </w:p>
        </w:tc>
        <w:tc>
          <w:tcPr>
            <w:tcW w:w="1418" w:type="dxa"/>
          </w:tcPr>
          <w:p w14:paraId="3A6D0DB1" w14:textId="77777777" w:rsidR="00D170E5" w:rsidRPr="002B55E9" w:rsidRDefault="00EF27AD" w:rsidP="0068604F">
            <w:pPr>
              <w:pStyle w:val="lgy-"/>
              <w:rPr>
                <w:rFonts w:eastAsia="宋体"/>
              </w:rPr>
            </w:pPr>
            <w:r w:rsidRPr="002B55E9">
              <w:rPr>
                <w:rFonts w:eastAsia="宋体" w:hint="eastAsia"/>
              </w:rPr>
              <w:t>危废暂存间暂存、一般固废暂存间暂存</w:t>
            </w:r>
          </w:p>
        </w:tc>
        <w:tc>
          <w:tcPr>
            <w:tcW w:w="1841" w:type="dxa"/>
          </w:tcPr>
          <w:p w14:paraId="04B30164" w14:textId="77777777" w:rsidR="00D170E5" w:rsidRPr="002B55E9" w:rsidRDefault="00EF27AD" w:rsidP="0068604F">
            <w:pPr>
              <w:pStyle w:val="lgy-"/>
              <w:rPr>
                <w:rFonts w:eastAsia="宋体"/>
              </w:rPr>
            </w:pPr>
            <w:r w:rsidRPr="002B55E9">
              <w:rPr>
                <w:rFonts w:eastAsia="宋体" w:hint="eastAsia"/>
              </w:rPr>
              <w:t>废胶桶、废油墨桶、废墨盒等危险废物交由有资质单位清运处理，其他一般固体废物交由物资回收公司回收利用</w:t>
            </w:r>
          </w:p>
        </w:tc>
      </w:tr>
    </w:tbl>
    <w:bookmarkEnd w:id="155"/>
    <w:bookmarkEnd w:id="156"/>
    <w:p w14:paraId="28ADBECD" w14:textId="77777777" w:rsidR="00D170E5" w:rsidRPr="002B55E9" w:rsidRDefault="00EF27AD">
      <w:pPr>
        <w:pStyle w:val="4"/>
        <w:rPr>
          <w:color w:val="auto"/>
        </w:rPr>
      </w:pPr>
      <w:r w:rsidRPr="002B55E9">
        <w:rPr>
          <w:rFonts w:hint="eastAsia"/>
          <w:color w:val="auto"/>
        </w:rPr>
        <w:t>白米醋生产</w:t>
      </w:r>
    </w:p>
    <w:p w14:paraId="2C7D8907" w14:textId="77777777" w:rsidR="00D170E5" w:rsidRPr="002B55E9" w:rsidRDefault="00EF27AD">
      <w:pPr>
        <w:pStyle w:val="5"/>
      </w:pPr>
      <w:r w:rsidRPr="002B55E9">
        <w:rPr>
          <w:rFonts w:hint="eastAsia"/>
        </w:rPr>
        <w:t>工艺流程及产污环节</w:t>
      </w:r>
    </w:p>
    <w:p w14:paraId="66FEA11D" w14:textId="0A1AC8C4" w:rsidR="00D170E5" w:rsidRDefault="00EF27AD">
      <w:pPr>
        <w:pStyle w:val="aa"/>
      </w:pPr>
      <w:r w:rsidRPr="002B55E9">
        <w:rPr>
          <w:rFonts w:hint="eastAsia"/>
        </w:rPr>
        <w:t>白米醋是以乙醇、大米等为主要原料进行发酵而成，具体生产工艺如下：</w:t>
      </w:r>
    </w:p>
    <w:p w14:paraId="5BF929A2" w14:textId="77777777" w:rsidR="00C60999" w:rsidRDefault="00C60999" w:rsidP="00C60999">
      <w:pPr>
        <w:pStyle w:val="1f3"/>
        <w:spacing w:beforeLines="0" w:before="0"/>
      </w:pPr>
    </w:p>
    <w:p w14:paraId="00BF24F1"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3FF8D30B" w14:textId="77777777" w:rsidR="00C60999" w:rsidRPr="002B55E9" w:rsidRDefault="00C60999" w:rsidP="00C60999">
      <w:pPr>
        <w:pStyle w:val="1f3"/>
        <w:spacing w:beforeLines="0" w:before="0"/>
      </w:pPr>
    </w:p>
    <w:p w14:paraId="7D3C9D1C" w14:textId="62EDC7C9" w:rsidR="00D170E5" w:rsidRPr="002B55E9" w:rsidRDefault="00D170E5">
      <w:pPr>
        <w:pStyle w:val="aa"/>
      </w:pPr>
      <w:bookmarkStart w:id="157" w:name="_Hlk106962032"/>
    </w:p>
    <w:p w14:paraId="196423ED" w14:textId="77777777" w:rsidR="00D170E5" w:rsidRPr="002B55E9" w:rsidRDefault="00EF27AD">
      <w:pPr>
        <w:pStyle w:val="5"/>
      </w:pPr>
      <w:r w:rsidRPr="002B55E9">
        <w:rPr>
          <w:rFonts w:hint="eastAsia"/>
        </w:rPr>
        <w:t>白米醋物料</w:t>
      </w:r>
      <w:r w:rsidRPr="002B55E9">
        <w:t>平衡</w:t>
      </w:r>
    </w:p>
    <w:p w14:paraId="7EE4145F" w14:textId="77777777" w:rsidR="00C60999" w:rsidRDefault="00C60999" w:rsidP="00C60999">
      <w:pPr>
        <w:pStyle w:val="1f3"/>
        <w:spacing w:beforeLines="0" w:before="0"/>
      </w:pPr>
    </w:p>
    <w:p w14:paraId="0EEE8750"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6FC9B2D8" w14:textId="77777777" w:rsidR="00C60999" w:rsidRPr="002B55E9" w:rsidRDefault="00C60999" w:rsidP="00C60999">
      <w:pPr>
        <w:pStyle w:val="1f3"/>
        <w:spacing w:beforeLines="0" w:before="0"/>
      </w:pPr>
    </w:p>
    <w:p w14:paraId="7569E3C5" w14:textId="77777777" w:rsidR="002C7C21" w:rsidRPr="002B55E9" w:rsidRDefault="002C7C21" w:rsidP="002C7C21">
      <w:pPr>
        <w:pStyle w:val="lgy-"/>
      </w:pPr>
    </w:p>
    <w:p w14:paraId="7F8F3209" w14:textId="62C6885B" w:rsidR="00D170E5" w:rsidRPr="002B55E9" w:rsidRDefault="00EF27AD">
      <w:pPr>
        <w:pStyle w:val="5"/>
      </w:pPr>
      <w:r w:rsidRPr="002B55E9">
        <w:rPr>
          <w:rFonts w:hint="eastAsia"/>
        </w:rPr>
        <w:t>产污分析及防治措施</w:t>
      </w:r>
    </w:p>
    <w:p w14:paraId="337F7F94" w14:textId="7298904D"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结合工艺流程及物料平衡，白米醋生产线产污环节及治理措施见</w:t>
      </w:r>
      <w:r w:rsidR="008A7CE1" w:rsidRPr="002B55E9">
        <w:rPr>
          <w:rFonts w:hint="eastAsia"/>
          <w:kern w:val="2"/>
          <w:sz w:val="24"/>
          <w:szCs w:val="22"/>
        </w:rPr>
        <w:t>下</w:t>
      </w:r>
      <w:r w:rsidRPr="002B55E9">
        <w:rPr>
          <w:rFonts w:hint="eastAsia"/>
          <w:kern w:val="2"/>
          <w:sz w:val="24"/>
          <w:szCs w:val="22"/>
        </w:rPr>
        <w:t>表。</w:t>
      </w:r>
    </w:p>
    <w:p w14:paraId="3D4E116E" w14:textId="78FC11CE"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3-</w:t>
      </w:r>
      <w:r w:rsidRPr="002B55E9">
        <w:rPr>
          <w:rFonts w:eastAsia="黑体"/>
          <w:b/>
          <w:kern w:val="2"/>
          <w:sz w:val="24"/>
          <w:szCs w:val="22"/>
        </w:rPr>
        <w:t>1</w:t>
      </w:r>
      <w:r w:rsidRPr="002B55E9">
        <w:rPr>
          <w:rFonts w:eastAsia="黑体" w:hint="eastAsia"/>
          <w:b/>
          <w:kern w:val="2"/>
          <w:sz w:val="24"/>
          <w:szCs w:val="22"/>
        </w:rPr>
        <w:t>-</w:t>
      </w:r>
      <w:r w:rsidRPr="002B55E9">
        <w:rPr>
          <w:rFonts w:eastAsia="黑体"/>
          <w:b/>
          <w:kern w:val="2"/>
          <w:sz w:val="24"/>
          <w:szCs w:val="22"/>
        </w:rPr>
        <w:t>1</w:t>
      </w:r>
      <w:r w:rsidR="002C7C21" w:rsidRPr="002B55E9">
        <w:rPr>
          <w:rFonts w:eastAsia="黑体"/>
          <w:b/>
          <w:kern w:val="2"/>
          <w:sz w:val="24"/>
          <w:szCs w:val="22"/>
        </w:rPr>
        <w:t>3</w:t>
      </w:r>
      <w:r w:rsidRPr="002B55E9">
        <w:rPr>
          <w:rFonts w:eastAsia="黑体" w:hint="eastAsia"/>
          <w:b/>
          <w:kern w:val="2"/>
          <w:sz w:val="24"/>
          <w:szCs w:val="22"/>
        </w:rPr>
        <w:t xml:space="preserve">  </w:t>
      </w:r>
      <w:r w:rsidRPr="002B55E9">
        <w:rPr>
          <w:rFonts w:eastAsia="黑体" w:hint="eastAsia"/>
          <w:b/>
          <w:kern w:val="2"/>
          <w:sz w:val="24"/>
          <w:szCs w:val="22"/>
        </w:rPr>
        <w:t>白米醋生产产污环节分析及治理措施</w:t>
      </w:r>
    </w:p>
    <w:tbl>
      <w:tblPr>
        <w:tblStyle w:val="lgy2"/>
        <w:tblW w:w="5000" w:type="pct"/>
        <w:tblLayout w:type="fixed"/>
        <w:tblCellMar>
          <w:left w:w="28" w:type="dxa"/>
          <w:right w:w="28" w:type="dxa"/>
        </w:tblCellMar>
        <w:tblLook w:val="04A0" w:firstRow="1" w:lastRow="0" w:firstColumn="1" w:lastColumn="0" w:noHBand="0" w:noVBand="1"/>
      </w:tblPr>
      <w:tblGrid>
        <w:gridCol w:w="573"/>
        <w:gridCol w:w="995"/>
        <w:gridCol w:w="834"/>
        <w:gridCol w:w="1328"/>
        <w:gridCol w:w="1223"/>
        <w:gridCol w:w="611"/>
        <w:gridCol w:w="855"/>
        <w:gridCol w:w="1279"/>
        <w:gridCol w:w="1996"/>
      </w:tblGrid>
      <w:tr w:rsidR="002B55E9" w:rsidRPr="002B55E9" w14:paraId="3D168AC7"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571" w:type="dxa"/>
          </w:tcPr>
          <w:p w14:paraId="76FF796E" w14:textId="77777777" w:rsidR="00D170E5" w:rsidRPr="002B55E9" w:rsidRDefault="00EF27AD">
            <w:pPr>
              <w:pStyle w:val="lgy-"/>
            </w:pPr>
            <w:r w:rsidRPr="002B55E9">
              <w:rPr>
                <w:rFonts w:eastAsia="宋体" w:hint="eastAsia"/>
              </w:rPr>
              <w:t>类别</w:t>
            </w:r>
          </w:p>
        </w:tc>
        <w:tc>
          <w:tcPr>
            <w:tcW w:w="989" w:type="dxa"/>
          </w:tcPr>
          <w:p w14:paraId="41E2744F" w14:textId="77777777" w:rsidR="00D170E5" w:rsidRPr="002B55E9" w:rsidRDefault="00EF27AD">
            <w:pPr>
              <w:pStyle w:val="lgy-"/>
            </w:pPr>
            <w:r w:rsidRPr="002B55E9">
              <w:rPr>
                <w:rFonts w:eastAsia="宋体"/>
              </w:rPr>
              <w:t>产污</w:t>
            </w:r>
            <w:r w:rsidRPr="002B55E9">
              <w:rPr>
                <w:rFonts w:eastAsia="宋体" w:hint="eastAsia"/>
              </w:rPr>
              <w:t>工序</w:t>
            </w:r>
          </w:p>
        </w:tc>
        <w:tc>
          <w:tcPr>
            <w:tcW w:w="2149" w:type="dxa"/>
            <w:gridSpan w:val="2"/>
          </w:tcPr>
          <w:p w14:paraId="2794E493" w14:textId="77777777" w:rsidR="00D170E5" w:rsidRPr="002B55E9" w:rsidRDefault="00EF27AD" w:rsidP="00EF27AD">
            <w:pPr>
              <w:pStyle w:val="lgy-"/>
            </w:pPr>
            <w:r w:rsidRPr="002B55E9">
              <w:rPr>
                <w:rFonts w:eastAsia="宋体" w:hint="eastAsia"/>
              </w:rPr>
              <w:t>产废类型</w:t>
            </w:r>
          </w:p>
        </w:tc>
        <w:tc>
          <w:tcPr>
            <w:tcW w:w="1216" w:type="dxa"/>
          </w:tcPr>
          <w:p w14:paraId="1611A822" w14:textId="77777777" w:rsidR="00D170E5" w:rsidRPr="002B55E9" w:rsidRDefault="00EF27AD">
            <w:pPr>
              <w:pStyle w:val="lgy-"/>
            </w:pPr>
            <w:r w:rsidRPr="002B55E9">
              <w:rPr>
                <w:rFonts w:eastAsia="宋体"/>
              </w:rPr>
              <w:t>污染物</w:t>
            </w:r>
          </w:p>
        </w:tc>
        <w:tc>
          <w:tcPr>
            <w:tcW w:w="607" w:type="dxa"/>
          </w:tcPr>
          <w:p w14:paraId="3E6BD3D4" w14:textId="77777777" w:rsidR="00D170E5" w:rsidRPr="002B55E9" w:rsidRDefault="00EF27AD">
            <w:pPr>
              <w:pStyle w:val="lgy-"/>
            </w:pPr>
            <w:r w:rsidRPr="002B55E9">
              <w:rPr>
                <w:rFonts w:eastAsia="宋体" w:hint="eastAsia"/>
              </w:rPr>
              <w:t>产生量（</w:t>
            </w:r>
            <w:r w:rsidRPr="002B55E9">
              <w:rPr>
                <w:rFonts w:eastAsia="宋体" w:hint="eastAsia"/>
              </w:rPr>
              <w:t>t/a</w:t>
            </w:r>
            <w:r w:rsidRPr="002B55E9">
              <w:rPr>
                <w:rFonts w:eastAsia="宋体" w:hint="eastAsia"/>
              </w:rPr>
              <w:t>）</w:t>
            </w:r>
          </w:p>
        </w:tc>
        <w:tc>
          <w:tcPr>
            <w:tcW w:w="850" w:type="dxa"/>
          </w:tcPr>
          <w:p w14:paraId="49AA3DB0" w14:textId="77777777" w:rsidR="00D170E5" w:rsidRPr="002B55E9" w:rsidRDefault="00EF27AD">
            <w:pPr>
              <w:pStyle w:val="lgy-"/>
            </w:pPr>
            <w:r w:rsidRPr="002B55E9">
              <w:rPr>
                <w:rFonts w:eastAsia="宋体" w:hint="eastAsia"/>
              </w:rPr>
              <w:t>产生强度</w:t>
            </w:r>
            <w:r w:rsidRPr="002B55E9">
              <w:rPr>
                <w:rFonts w:eastAsia="宋体"/>
              </w:rPr>
              <w:t>（</w:t>
            </w:r>
            <w:r w:rsidRPr="002B55E9">
              <w:rPr>
                <w:rFonts w:eastAsia="宋体" w:hint="eastAsia"/>
              </w:rPr>
              <w:t>kg/</w:t>
            </w:r>
            <w:r w:rsidRPr="002B55E9">
              <w:rPr>
                <w:rFonts w:eastAsia="宋体"/>
              </w:rPr>
              <w:t>h</w:t>
            </w:r>
            <w:r w:rsidRPr="002B55E9">
              <w:rPr>
                <w:rFonts w:eastAsia="宋体"/>
              </w:rPr>
              <w:t>）</w:t>
            </w:r>
          </w:p>
        </w:tc>
        <w:tc>
          <w:tcPr>
            <w:tcW w:w="1272" w:type="dxa"/>
          </w:tcPr>
          <w:p w14:paraId="230D6254" w14:textId="77777777" w:rsidR="00D170E5" w:rsidRPr="002B55E9" w:rsidRDefault="00EF27AD">
            <w:pPr>
              <w:pStyle w:val="lgy-"/>
            </w:pPr>
            <w:r w:rsidRPr="002B55E9">
              <w:rPr>
                <w:rFonts w:eastAsia="宋体"/>
              </w:rPr>
              <w:t>收集措施</w:t>
            </w:r>
          </w:p>
        </w:tc>
        <w:tc>
          <w:tcPr>
            <w:tcW w:w="1984" w:type="dxa"/>
          </w:tcPr>
          <w:p w14:paraId="5381FEBD" w14:textId="77777777" w:rsidR="00D170E5" w:rsidRPr="002B55E9" w:rsidRDefault="00EF27AD">
            <w:pPr>
              <w:pStyle w:val="lgy-"/>
              <w:rPr>
                <w:rFonts w:eastAsia="宋体"/>
              </w:rPr>
            </w:pPr>
            <w:r w:rsidRPr="002B55E9">
              <w:rPr>
                <w:rFonts w:eastAsia="宋体" w:hint="eastAsia"/>
              </w:rPr>
              <w:t>去向</w:t>
            </w:r>
          </w:p>
        </w:tc>
      </w:tr>
      <w:tr w:rsidR="002B55E9" w:rsidRPr="002B55E9" w14:paraId="5FC61610" w14:textId="77777777" w:rsidTr="00EF27AD">
        <w:trPr>
          <w:trHeight w:val="283"/>
        </w:trPr>
        <w:tc>
          <w:tcPr>
            <w:tcW w:w="571" w:type="dxa"/>
            <w:vMerge w:val="restart"/>
          </w:tcPr>
          <w:p w14:paraId="24D6C046" w14:textId="77777777" w:rsidR="00F54EA6" w:rsidRPr="002B55E9" w:rsidRDefault="00F54EA6">
            <w:pPr>
              <w:pStyle w:val="lgy-"/>
            </w:pPr>
            <w:r w:rsidRPr="002B55E9">
              <w:rPr>
                <w:rFonts w:eastAsia="宋体"/>
              </w:rPr>
              <w:t>废气</w:t>
            </w:r>
          </w:p>
        </w:tc>
        <w:tc>
          <w:tcPr>
            <w:tcW w:w="989" w:type="dxa"/>
          </w:tcPr>
          <w:p w14:paraId="5D9AF7F2" w14:textId="77777777" w:rsidR="00F54EA6" w:rsidRPr="002B55E9" w:rsidRDefault="00F54EA6">
            <w:pPr>
              <w:pStyle w:val="lgy-"/>
            </w:pPr>
            <w:r w:rsidRPr="002B55E9">
              <w:rPr>
                <w:rFonts w:eastAsia="宋体" w:hint="eastAsia"/>
              </w:rPr>
              <w:t>酒精发酵</w:t>
            </w:r>
          </w:p>
        </w:tc>
        <w:tc>
          <w:tcPr>
            <w:tcW w:w="829" w:type="dxa"/>
          </w:tcPr>
          <w:p w14:paraId="1D26F9CD" w14:textId="77777777" w:rsidR="00F54EA6" w:rsidRPr="002B55E9" w:rsidRDefault="00F54EA6">
            <w:pPr>
              <w:pStyle w:val="lgy-"/>
            </w:pPr>
            <w:r w:rsidRPr="002B55E9">
              <w:rPr>
                <w:rFonts w:eastAsia="宋体"/>
              </w:rPr>
              <w:t>G2-1</w:t>
            </w:r>
          </w:p>
        </w:tc>
        <w:tc>
          <w:tcPr>
            <w:tcW w:w="1320" w:type="dxa"/>
          </w:tcPr>
          <w:p w14:paraId="7B49DCC0" w14:textId="77777777" w:rsidR="00F54EA6" w:rsidRPr="002B55E9" w:rsidRDefault="00F54EA6">
            <w:pPr>
              <w:pStyle w:val="lgy-"/>
            </w:pPr>
            <w:r w:rsidRPr="002B55E9">
              <w:rPr>
                <w:rFonts w:eastAsia="宋体" w:hint="eastAsia"/>
              </w:rPr>
              <w:t>发酵废气</w:t>
            </w:r>
          </w:p>
        </w:tc>
        <w:tc>
          <w:tcPr>
            <w:tcW w:w="1216" w:type="dxa"/>
            <w:noWrap/>
          </w:tcPr>
          <w:p w14:paraId="5BA6A331" w14:textId="31A2C12F" w:rsidR="00F54EA6" w:rsidRPr="002B55E9" w:rsidRDefault="00F54EA6">
            <w:pPr>
              <w:pStyle w:val="lgy-"/>
            </w:pPr>
            <w:r w:rsidRPr="002B55E9">
              <w:rPr>
                <w:rFonts w:eastAsia="宋体" w:hint="eastAsia"/>
              </w:rPr>
              <w:t>非甲烷总烃、异味</w:t>
            </w:r>
          </w:p>
        </w:tc>
        <w:tc>
          <w:tcPr>
            <w:tcW w:w="607" w:type="dxa"/>
          </w:tcPr>
          <w:p w14:paraId="22CF68F1" w14:textId="77777777" w:rsidR="00F54EA6" w:rsidRPr="002B55E9" w:rsidRDefault="00F54EA6">
            <w:pPr>
              <w:pStyle w:val="lgy-"/>
            </w:pPr>
            <w:r w:rsidRPr="002B55E9">
              <w:rPr>
                <w:rFonts w:eastAsia="宋体"/>
              </w:rPr>
              <w:t xml:space="preserve">0.01 </w:t>
            </w:r>
          </w:p>
        </w:tc>
        <w:tc>
          <w:tcPr>
            <w:tcW w:w="850" w:type="dxa"/>
          </w:tcPr>
          <w:p w14:paraId="09F9ACBC" w14:textId="3BD038DB" w:rsidR="00F54EA6" w:rsidRPr="002B55E9" w:rsidRDefault="00F54EA6" w:rsidP="002C7C21">
            <w:pPr>
              <w:pStyle w:val="lgy-"/>
            </w:pPr>
            <w:r w:rsidRPr="002B55E9">
              <w:rPr>
                <w:rFonts w:eastAsia="宋体"/>
              </w:rPr>
              <w:t xml:space="preserve">0.004 </w:t>
            </w:r>
          </w:p>
        </w:tc>
        <w:tc>
          <w:tcPr>
            <w:tcW w:w="1272" w:type="dxa"/>
          </w:tcPr>
          <w:p w14:paraId="4A647134" w14:textId="77777777" w:rsidR="00F54EA6" w:rsidRPr="002B55E9" w:rsidRDefault="00F54EA6">
            <w:pPr>
              <w:pStyle w:val="lgy-"/>
            </w:pPr>
            <w:r w:rsidRPr="002B55E9">
              <w:rPr>
                <w:rFonts w:eastAsia="宋体"/>
              </w:rPr>
              <w:t>密闭管道收集</w:t>
            </w:r>
          </w:p>
        </w:tc>
        <w:tc>
          <w:tcPr>
            <w:tcW w:w="1984" w:type="dxa"/>
            <w:vMerge w:val="restart"/>
          </w:tcPr>
          <w:p w14:paraId="0A57A79E" w14:textId="43759586" w:rsidR="00F54EA6" w:rsidRPr="002B55E9" w:rsidRDefault="00F54EA6" w:rsidP="00ED50AB">
            <w:pPr>
              <w:pStyle w:val="lgy-"/>
              <w:rPr>
                <w:rFonts w:eastAsia="宋体"/>
              </w:rPr>
            </w:pPr>
            <w:r w:rsidRPr="002B55E9">
              <w:rPr>
                <w:rFonts w:eastAsia="宋体" w:hint="eastAsia"/>
              </w:rPr>
              <w:t>经</w:t>
            </w:r>
            <w:r w:rsidRPr="002B55E9">
              <w:rPr>
                <w:rFonts w:eastAsia="宋体" w:hint="eastAsia"/>
              </w:rPr>
              <w:t>1</w:t>
            </w:r>
            <w:r w:rsidRPr="002B55E9">
              <w:rPr>
                <w:rFonts w:eastAsia="宋体" w:hint="eastAsia"/>
              </w:rPr>
              <w:t>套二级碱喷淋</w:t>
            </w:r>
            <w:r w:rsidRPr="002B55E9">
              <w:rPr>
                <w:rFonts w:eastAsia="宋体" w:hint="eastAsia"/>
              </w:rPr>
              <w:t>+</w:t>
            </w:r>
            <w:r w:rsidRPr="002B55E9">
              <w:rPr>
                <w:rFonts w:eastAsia="宋体" w:hint="eastAsia"/>
              </w:rPr>
              <w:t>水喷淋装置处理后由</w:t>
            </w:r>
            <w:r w:rsidRPr="002B55E9">
              <w:rPr>
                <w:rFonts w:eastAsia="宋体" w:hint="eastAsia"/>
              </w:rPr>
              <w:t>18m</w:t>
            </w:r>
            <w:r w:rsidRPr="002B55E9">
              <w:rPr>
                <w:rFonts w:eastAsia="宋体" w:hint="eastAsia"/>
              </w:rPr>
              <w:t>高排气筒（</w:t>
            </w:r>
            <w:r w:rsidRPr="002B55E9">
              <w:rPr>
                <w:rFonts w:eastAsia="宋体" w:hint="eastAsia"/>
              </w:rPr>
              <w:t>DA002</w:t>
            </w:r>
            <w:r w:rsidRPr="002B55E9">
              <w:rPr>
                <w:rFonts w:eastAsia="宋体" w:hint="eastAsia"/>
              </w:rPr>
              <w:t>）排放</w:t>
            </w:r>
          </w:p>
        </w:tc>
      </w:tr>
      <w:tr w:rsidR="002B55E9" w:rsidRPr="002B55E9" w14:paraId="4E01E079" w14:textId="77777777" w:rsidTr="00EF27AD">
        <w:trPr>
          <w:trHeight w:val="283"/>
        </w:trPr>
        <w:tc>
          <w:tcPr>
            <w:tcW w:w="571" w:type="dxa"/>
            <w:vMerge/>
          </w:tcPr>
          <w:p w14:paraId="4D495075" w14:textId="77777777" w:rsidR="00F54EA6" w:rsidRPr="002B55E9" w:rsidRDefault="00F54EA6">
            <w:pPr>
              <w:pStyle w:val="lgy-"/>
            </w:pPr>
          </w:p>
        </w:tc>
        <w:tc>
          <w:tcPr>
            <w:tcW w:w="989" w:type="dxa"/>
          </w:tcPr>
          <w:p w14:paraId="10A080E2" w14:textId="77777777" w:rsidR="00F54EA6" w:rsidRPr="002B55E9" w:rsidRDefault="00F54EA6">
            <w:pPr>
              <w:pStyle w:val="lgy-"/>
            </w:pPr>
            <w:r w:rsidRPr="002B55E9">
              <w:rPr>
                <w:rFonts w:eastAsia="宋体" w:hint="eastAsia"/>
              </w:rPr>
              <w:t>酒液调配</w:t>
            </w:r>
          </w:p>
        </w:tc>
        <w:tc>
          <w:tcPr>
            <w:tcW w:w="829" w:type="dxa"/>
          </w:tcPr>
          <w:p w14:paraId="787D128C" w14:textId="77777777" w:rsidR="00F54EA6" w:rsidRPr="002B55E9" w:rsidRDefault="00F54EA6">
            <w:pPr>
              <w:pStyle w:val="lgy-"/>
            </w:pPr>
            <w:r w:rsidRPr="002B55E9">
              <w:rPr>
                <w:rFonts w:eastAsia="宋体"/>
              </w:rPr>
              <w:t>G2-2</w:t>
            </w:r>
          </w:p>
        </w:tc>
        <w:tc>
          <w:tcPr>
            <w:tcW w:w="1320" w:type="dxa"/>
          </w:tcPr>
          <w:p w14:paraId="713D8AC1" w14:textId="77777777" w:rsidR="00F54EA6" w:rsidRPr="002B55E9" w:rsidRDefault="00F54EA6">
            <w:pPr>
              <w:pStyle w:val="lgy-"/>
            </w:pPr>
            <w:r w:rsidRPr="002B55E9">
              <w:rPr>
                <w:rFonts w:eastAsia="宋体" w:hint="eastAsia"/>
              </w:rPr>
              <w:t>投料废气</w:t>
            </w:r>
          </w:p>
        </w:tc>
        <w:tc>
          <w:tcPr>
            <w:tcW w:w="1216" w:type="dxa"/>
            <w:noWrap/>
          </w:tcPr>
          <w:p w14:paraId="6100FEBB" w14:textId="26746D2C" w:rsidR="00F54EA6" w:rsidRPr="002B55E9" w:rsidRDefault="00F54EA6">
            <w:pPr>
              <w:pStyle w:val="lgy-"/>
            </w:pPr>
            <w:r w:rsidRPr="002B55E9">
              <w:rPr>
                <w:rFonts w:eastAsia="宋体" w:hint="eastAsia"/>
              </w:rPr>
              <w:t>非甲烷总烃</w:t>
            </w:r>
          </w:p>
        </w:tc>
        <w:tc>
          <w:tcPr>
            <w:tcW w:w="607" w:type="dxa"/>
          </w:tcPr>
          <w:p w14:paraId="7E392612" w14:textId="77777777" w:rsidR="00F54EA6" w:rsidRPr="002B55E9" w:rsidRDefault="00F54EA6">
            <w:pPr>
              <w:pStyle w:val="lgy-"/>
            </w:pPr>
            <w:r w:rsidRPr="002B55E9">
              <w:rPr>
                <w:rFonts w:eastAsia="宋体"/>
              </w:rPr>
              <w:t xml:space="preserve">0.41 </w:t>
            </w:r>
          </w:p>
        </w:tc>
        <w:tc>
          <w:tcPr>
            <w:tcW w:w="850" w:type="dxa"/>
          </w:tcPr>
          <w:p w14:paraId="71766E15" w14:textId="77777777" w:rsidR="00F54EA6" w:rsidRPr="002B55E9" w:rsidRDefault="00F54EA6">
            <w:pPr>
              <w:pStyle w:val="lgy-"/>
            </w:pPr>
            <w:r w:rsidRPr="002B55E9">
              <w:rPr>
                <w:rFonts w:eastAsia="宋体"/>
              </w:rPr>
              <w:t xml:space="preserve">0.181 </w:t>
            </w:r>
          </w:p>
        </w:tc>
        <w:tc>
          <w:tcPr>
            <w:tcW w:w="1272" w:type="dxa"/>
          </w:tcPr>
          <w:p w14:paraId="676A0B0C" w14:textId="77777777" w:rsidR="00F54EA6" w:rsidRPr="002B55E9" w:rsidRDefault="00F54EA6">
            <w:pPr>
              <w:pStyle w:val="lgy-"/>
            </w:pPr>
            <w:r w:rsidRPr="002B55E9">
              <w:rPr>
                <w:rFonts w:eastAsia="宋体"/>
              </w:rPr>
              <w:t>密闭管道收集</w:t>
            </w:r>
          </w:p>
        </w:tc>
        <w:tc>
          <w:tcPr>
            <w:tcW w:w="1984" w:type="dxa"/>
            <w:vMerge/>
          </w:tcPr>
          <w:p w14:paraId="6A36A918" w14:textId="4AC6B0B3" w:rsidR="00F54EA6" w:rsidRPr="002B55E9" w:rsidRDefault="00F54EA6">
            <w:pPr>
              <w:pStyle w:val="lgy-"/>
              <w:rPr>
                <w:rFonts w:eastAsia="宋体"/>
              </w:rPr>
            </w:pPr>
          </w:p>
        </w:tc>
      </w:tr>
      <w:tr w:rsidR="002B55E9" w:rsidRPr="002B55E9" w14:paraId="780E3B1B" w14:textId="77777777" w:rsidTr="00EF27AD">
        <w:trPr>
          <w:trHeight w:val="283"/>
        </w:trPr>
        <w:tc>
          <w:tcPr>
            <w:tcW w:w="571" w:type="dxa"/>
            <w:vMerge/>
          </w:tcPr>
          <w:p w14:paraId="390D6B3B" w14:textId="77777777" w:rsidR="00F54EA6" w:rsidRPr="002B55E9" w:rsidRDefault="00F54EA6">
            <w:pPr>
              <w:pStyle w:val="lgy-"/>
            </w:pPr>
          </w:p>
        </w:tc>
        <w:tc>
          <w:tcPr>
            <w:tcW w:w="989" w:type="dxa"/>
          </w:tcPr>
          <w:p w14:paraId="52D79824" w14:textId="77777777" w:rsidR="00F54EA6" w:rsidRPr="002B55E9" w:rsidRDefault="00F54EA6">
            <w:pPr>
              <w:pStyle w:val="lgy-"/>
            </w:pPr>
            <w:r w:rsidRPr="002B55E9">
              <w:rPr>
                <w:rFonts w:eastAsia="宋体" w:hint="eastAsia"/>
              </w:rPr>
              <w:t>醋酸发酵</w:t>
            </w:r>
          </w:p>
        </w:tc>
        <w:tc>
          <w:tcPr>
            <w:tcW w:w="829" w:type="dxa"/>
          </w:tcPr>
          <w:p w14:paraId="33F47186" w14:textId="77777777" w:rsidR="00F54EA6" w:rsidRPr="002B55E9" w:rsidRDefault="00F54EA6">
            <w:pPr>
              <w:pStyle w:val="lgy-"/>
            </w:pPr>
            <w:r w:rsidRPr="002B55E9">
              <w:rPr>
                <w:rFonts w:eastAsia="宋体"/>
              </w:rPr>
              <w:t>G2-3</w:t>
            </w:r>
          </w:p>
        </w:tc>
        <w:tc>
          <w:tcPr>
            <w:tcW w:w="1320" w:type="dxa"/>
          </w:tcPr>
          <w:p w14:paraId="43B3F05B" w14:textId="77777777" w:rsidR="00F54EA6" w:rsidRPr="002B55E9" w:rsidRDefault="00F54EA6">
            <w:pPr>
              <w:pStyle w:val="lgy-"/>
            </w:pPr>
            <w:r w:rsidRPr="002B55E9">
              <w:rPr>
                <w:rFonts w:eastAsia="宋体" w:hint="eastAsia"/>
              </w:rPr>
              <w:t>发酵废气</w:t>
            </w:r>
          </w:p>
        </w:tc>
        <w:tc>
          <w:tcPr>
            <w:tcW w:w="1216" w:type="dxa"/>
            <w:noWrap/>
          </w:tcPr>
          <w:p w14:paraId="6918A241" w14:textId="03F5049F" w:rsidR="00F54EA6" w:rsidRPr="002B55E9" w:rsidRDefault="00F54EA6">
            <w:pPr>
              <w:pStyle w:val="lgy-"/>
            </w:pPr>
            <w:r w:rsidRPr="002B55E9">
              <w:rPr>
                <w:rFonts w:eastAsia="宋体" w:hint="eastAsia"/>
              </w:rPr>
              <w:t>非甲烷总烃、异味</w:t>
            </w:r>
          </w:p>
        </w:tc>
        <w:tc>
          <w:tcPr>
            <w:tcW w:w="607" w:type="dxa"/>
          </w:tcPr>
          <w:p w14:paraId="71159797" w14:textId="77777777" w:rsidR="00F54EA6" w:rsidRPr="002B55E9" w:rsidRDefault="00F54EA6">
            <w:pPr>
              <w:pStyle w:val="lgy-"/>
            </w:pPr>
            <w:r w:rsidRPr="002B55E9">
              <w:rPr>
                <w:rFonts w:eastAsia="宋体"/>
              </w:rPr>
              <w:t>9.39</w:t>
            </w:r>
          </w:p>
        </w:tc>
        <w:tc>
          <w:tcPr>
            <w:tcW w:w="850" w:type="dxa"/>
          </w:tcPr>
          <w:p w14:paraId="64655EFC" w14:textId="77777777" w:rsidR="00F54EA6" w:rsidRPr="002B55E9" w:rsidRDefault="00F54EA6">
            <w:pPr>
              <w:pStyle w:val="lgy-"/>
            </w:pPr>
            <w:r w:rsidRPr="002B55E9">
              <w:rPr>
                <w:rFonts w:eastAsia="宋体"/>
              </w:rPr>
              <w:t>1.259</w:t>
            </w:r>
          </w:p>
        </w:tc>
        <w:tc>
          <w:tcPr>
            <w:tcW w:w="1272" w:type="dxa"/>
          </w:tcPr>
          <w:p w14:paraId="1FF9CF60" w14:textId="77777777" w:rsidR="00F54EA6" w:rsidRPr="002B55E9" w:rsidRDefault="00F54EA6">
            <w:pPr>
              <w:pStyle w:val="lgy-"/>
            </w:pPr>
            <w:r w:rsidRPr="002B55E9">
              <w:rPr>
                <w:rFonts w:eastAsia="宋体"/>
              </w:rPr>
              <w:t>密闭管道收集</w:t>
            </w:r>
          </w:p>
        </w:tc>
        <w:tc>
          <w:tcPr>
            <w:tcW w:w="1984" w:type="dxa"/>
            <w:vMerge/>
          </w:tcPr>
          <w:p w14:paraId="4D9569F2" w14:textId="77777777" w:rsidR="00F54EA6" w:rsidRPr="002B55E9" w:rsidRDefault="00F54EA6">
            <w:pPr>
              <w:pStyle w:val="lgy-"/>
              <w:rPr>
                <w:rFonts w:eastAsia="宋体"/>
              </w:rPr>
            </w:pPr>
          </w:p>
        </w:tc>
      </w:tr>
      <w:tr w:rsidR="002B55E9" w:rsidRPr="002B55E9" w14:paraId="4BB6AE91" w14:textId="77777777" w:rsidTr="00EF27AD">
        <w:trPr>
          <w:trHeight w:val="283"/>
        </w:trPr>
        <w:tc>
          <w:tcPr>
            <w:tcW w:w="571" w:type="dxa"/>
            <w:vMerge/>
          </w:tcPr>
          <w:p w14:paraId="54FE84FA" w14:textId="77777777" w:rsidR="00F54EA6" w:rsidRPr="002B55E9" w:rsidRDefault="00F54EA6">
            <w:pPr>
              <w:pStyle w:val="lgy-"/>
            </w:pPr>
          </w:p>
        </w:tc>
        <w:tc>
          <w:tcPr>
            <w:tcW w:w="989" w:type="dxa"/>
          </w:tcPr>
          <w:p w14:paraId="43404290" w14:textId="77777777" w:rsidR="00F54EA6" w:rsidRPr="002B55E9" w:rsidRDefault="00F54EA6">
            <w:pPr>
              <w:pStyle w:val="lgy-"/>
            </w:pPr>
            <w:r w:rsidRPr="002B55E9">
              <w:rPr>
                <w:rFonts w:eastAsia="宋体" w:hint="eastAsia"/>
              </w:rPr>
              <w:t>混合</w:t>
            </w:r>
          </w:p>
        </w:tc>
        <w:tc>
          <w:tcPr>
            <w:tcW w:w="829" w:type="dxa"/>
          </w:tcPr>
          <w:p w14:paraId="13465CB1" w14:textId="77777777" w:rsidR="00F54EA6" w:rsidRPr="002B55E9" w:rsidRDefault="00F54EA6">
            <w:pPr>
              <w:pStyle w:val="lgy-"/>
            </w:pPr>
            <w:r w:rsidRPr="002B55E9">
              <w:rPr>
                <w:rFonts w:eastAsia="宋体" w:hint="eastAsia"/>
              </w:rPr>
              <w:t>G</w:t>
            </w:r>
            <w:r w:rsidRPr="002B55E9">
              <w:rPr>
                <w:rFonts w:eastAsia="宋体"/>
              </w:rPr>
              <w:t>2-4</w:t>
            </w:r>
          </w:p>
        </w:tc>
        <w:tc>
          <w:tcPr>
            <w:tcW w:w="1320" w:type="dxa"/>
          </w:tcPr>
          <w:p w14:paraId="0D5EA5A1" w14:textId="77777777" w:rsidR="00F54EA6" w:rsidRPr="002B55E9" w:rsidRDefault="00F54EA6">
            <w:pPr>
              <w:pStyle w:val="lgy-"/>
            </w:pPr>
            <w:r w:rsidRPr="002B55E9">
              <w:rPr>
                <w:rFonts w:eastAsia="宋体" w:hint="eastAsia"/>
              </w:rPr>
              <w:t>投料废气</w:t>
            </w:r>
          </w:p>
        </w:tc>
        <w:tc>
          <w:tcPr>
            <w:tcW w:w="1216" w:type="dxa"/>
            <w:noWrap/>
          </w:tcPr>
          <w:p w14:paraId="0304D53A" w14:textId="4DD04A14" w:rsidR="00F54EA6" w:rsidRPr="002B55E9" w:rsidRDefault="00F54EA6">
            <w:pPr>
              <w:pStyle w:val="lgy-"/>
            </w:pPr>
            <w:r w:rsidRPr="002B55E9">
              <w:rPr>
                <w:rFonts w:eastAsia="宋体" w:hint="eastAsia"/>
              </w:rPr>
              <w:t>非甲烷总烃</w:t>
            </w:r>
          </w:p>
        </w:tc>
        <w:tc>
          <w:tcPr>
            <w:tcW w:w="607" w:type="dxa"/>
          </w:tcPr>
          <w:p w14:paraId="6B74CD56" w14:textId="77777777" w:rsidR="00F54EA6" w:rsidRPr="002B55E9" w:rsidRDefault="00F54EA6">
            <w:pPr>
              <w:pStyle w:val="lgy-"/>
            </w:pPr>
            <w:r w:rsidRPr="002B55E9">
              <w:rPr>
                <w:rFonts w:eastAsia="宋体"/>
              </w:rPr>
              <w:t xml:space="preserve">0.01 </w:t>
            </w:r>
          </w:p>
        </w:tc>
        <w:tc>
          <w:tcPr>
            <w:tcW w:w="850" w:type="dxa"/>
          </w:tcPr>
          <w:p w14:paraId="7AF65015" w14:textId="77777777" w:rsidR="00F54EA6" w:rsidRPr="002B55E9" w:rsidRDefault="00F54EA6">
            <w:pPr>
              <w:pStyle w:val="lgy-"/>
            </w:pPr>
            <w:r w:rsidRPr="002B55E9">
              <w:rPr>
                <w:rFonts w:eastAsia="宋体"/>
              </w:rPr>
              <w:t xml:space="preserve">0.005 </w:t>
            </w:r>
          </w:p>
        </w:tc>
        <w:tc>
          <w:tcPr>
            <w:tcW w:w="1272" w:type="dxa"/>
          </w:tcPr>
          <w:p w14:paraId="566B1F80" w14:textId="77777777" w:rsidR="00F54EA6" w:rsidRPr="002B55E9" w:rsidRDefault="00F54EA6">
            <w:pPr>
              <w:pStyle w:val="lgy-"/>
            </w:pPr>
            <w:r w:rsidRPr="002B55E9">
              <w:rPr>
                <w:rFonts w:eastAsia="宋体"/>
              </w:rPr>
              <w:t>密闭管道收集</w:t>
            </w:r>
          </w:p>
        </w:tc>
        <w:tc>
          <w:tcPr>
            <w:tcW w:w="1984" w:type="dxa"/>
            <w:vMerge/>
          </w:tcPr>
          <w:p w14:paraId="66A464AA" w14:textId="77777777" w:rsidR="00F54EA6" w:rsidRPr="002B55E9" w:rsidRDefault="00F54EA6">
            <w:pPr>
              <w:pStyle w:val="lgy-"/>
              <w:rPr>
                <w:rFonts w:eastAsia="宋体"/>
              </w:rPr>
            </w:pPr>
          </w:p>
        </w:tc>
      </w:tr>
      <w:tr w:rsidR="002B55E9" w:rsidRPr="002B55E9" w14:paraId="71C75066" w14:textId="77777777" w:rsidTr="00EF27AD">
        <w:trPr>
          <w:trHeight w:val="283"/>
        </w:trPr>
        <w:tc>
          <w:tcPr>
            <w:tcW w:w="571" w:type="dxa"/>
            <w:vMerge/>
          </w:tcPr>
          <w:p w14:paraId="3A53BE3A" w14:textId="77777777" w:rsidR="00D170E5" w:rsidRPr="002B55E9" w:rsidRDefault="00D170E5">
            <w:pPr>
              <w:pStyle w:val="lgy-"/>
            </w:pPr>
          </w:p>
        </w:tc>
        <w:tc>
          <w:tcPr>
            <w:tcW w:w="989" w:type="dxa"/>
          </w:tcPr>
          <w:p w14:paraId="39B590D6" w14:textId="0178CA11" w:rsidR="00D170E5" w:rsidRPr="002B55E9" w:rsidRDefault="00EF27AD">
            <w:pPr>
              <w:pStyle w:val="lgy-"/>
            </w:pPr>
            <w:r w:rsidRPr="002B55E9">
              <w:rPr>
                <w:rFonts w:eastAsia="宋体" w:hint="eastAsia"/>
              </w:rPr>
              <w:t>包装</w:t>
            </w:r>
          </w:p>
        </w:tc>
        <w:tc>
          <w:tcPr>
            <w:tcW w:w="829" w:type="dxa"/>
          </w:tcPr>
          <w:p w14:paraId="05822C73" w14:textId="21150338" w:rsidR="00D170E5" w:rsidRPr="002B55E9" w:rsidRDefault="00F54EA6">
            <w:pPr>
              <w:pStyle w:val="lgy-"/>
            </w:pPr>
            <w:r w:rsidRPr="002B55E9">
              <w:rPr>
                <w:rFonts w:eastAsia="宋体"/>
              </w:rPr>
              <w:t>G2-5</w:t>
            </w:r>
          </w:p>
        </w:tc>
        <w:tc>
          <w:tcPr>
            <w:tcW w:w="1320" w:type="dxa"/>
          </w:tcPr>
          <w:p w14:paraId="6DEFEEEC" w14:textId="54A9DE5D" w:rsidR="00D170E5" w:rsidRPr="002B55E9" w:rsidRDefault="00EF27AD">
            <w:pPr>
              <w:pStyle w:val="lgy-"/>
            </w:pPr>
            <w:r w:rsidRPr="002B55E9">
              <w:rPr>
                <w:rFonts w:eastAsia="宋体" w:hint="eastAsia"/>
              </w:rPr>
              <w:t>贴标、</w:t>
            </w:r>
            <w:r w:rsidR="004077DC" w:rsidRPr="002B55E9">
              <w:rPr>
                <w:rFonts w:eastAsia="宋体" w:hint="eastAsia"/>
              </w:rPr>
              <w:t>喷码</w:t>
            </w:r>
            <w:r w:rsidRPr="002B55E9">
              <w:rPr>
                <w:rFonts w:eastAsia="宋体" w:hint="eastAsia"/>
              </w:rPr>
              <w:t>废气</w:t>
            </w:r>
          </w:p>
        </w:tc>
        <w:tc>
          <w:tcPr>
            <w:tcW w:w="1216" w:type="dxa"/>
            <w:noWrap/>
          </w:tcPr>
          <w:p w14:paraId="28ADC7F3" w14:textId="41E80855" w:rsidR="00D170E5" w:rsidRPr="002B55E9" w:rsidRDefault="00924AFA">
            <w:pPr>
              <w:pStyle w:val="lgy-"/>
            </w:pPr>
            <w:r w:rsidRPr="002B55E9">
              <w:rPr>
                <w:rFonts w:eastAsia="宋体"/>
              </w:rPr>
              <w:t>非甲烷总烃</w:t>
            </w:r>
          </w:p>
        </w:tc>
        <w:tc>
          <w:tcPr>
            <w:tcW w:w="607" w:type="dxa"/>
          </w:tcPr>
          <w:p w14:paraId="2DDC84A1" w14:textId="1916CA43" w:rsidR="00D170E5" w:rsidRPr="002B55E9" w:rsidRDefault="008A7CE1">
            <w:pPr>
              <w:pStyle w:val="lgy-"/>
            </w:pPr>
            <w:r w:rsidRPr="002B55E9">
              <w:rPr>
                <w:rFonts w:hint="eastAsia"/>
              </w:rPr>
              <w:t>0</w:t>
            </w:r>
            <w:r w:rsidRPr="002B55E9">
              <w:t>.</w:t>
            </w:r>
            <w:r w:rsidRPr="002B55E9">
              <w:rPr>
                <w:rFonts w:hint="eastAsia"/>
              </w:rPr>
              <w:t>042</w:t>
            </w:r>
          </w:p>
        </w:tc>
        <w:tc>
          <w:tcPr>
            <w:tcW w:w="850" w:type="dxa"/>
          </w:tcPr>
          <w:p w14:paraId="7FD8D5AC" w14:textId="50918061" w:rsidR="00D170E5" w:rsidRPr="002B55E9" w:rsidRDefault="008A7CE1">
            <w:pPr>
              <w:pStyle w:val="lgy-"/>
            </w:pPr>
            <w:r w:rsidRPr="002B55E9">
              <w:rPr>
                <w:rFonts w:hint="eastAsia"/>
              </w:rPr>
              <w:t>0.05</w:t>
            </w:r>
          </w:p>
        </w:tc>
        <w:tc>
          <w:tcPr>
            <w:tcW w:w="1272" w:type="dxa"/>
          </w:tcPr>
          <w:p w14:paraId="3C8A28BC" w14:textId="77777777" w:rsidR="00D170E5" w:rsidRPr="002B55E9" w:rsidRDefault="00EF27AD">
            <w:pPr>
              <w:pStyle w:val="lgy-"/>
            </w:pPr>
            <w:r w:rsidRPr="002B55E9">
              <w:rPr>
                <w:rFonts w:eastAsia="宋体" w:hint="eastAsia"/>
              </w:rPr>
              <w:t>车间通风设施抽排</w:t>
            </w:r>
          </w:p>
        </w:tc>
        <w:tc>
          <w:tcPr>
            <w:tcW w:w="1984" w:type="dxa"/>
          </w:tcPr>
          <w:p w14:paraId="1B499AE0" w14:textId="77777777" w:rsidR="00D170E5" w:rsidRPr="002B55E9" w:rsidRDefault="00EF27AD">
            <w:pPr>
              <w:pStyle w:val="lgy-"/>
              <w:rPr>
                <w:rFonts w:eastAsia="宋体"/>
              </w:rPr>
            </w:pPr>
            <w:r w:rsidRPr="002B55E9">
              <w:rPr>
                <w:rFonts w:eastAsia="宋体" w:hint="eastAsia"/>
              </w:rPr>
              <w:t>无组织排放</w:t>
            </w:r>
          </w:p>
        </w:tc>
      </w:tr>
      <w:tr w:rsidR="002B55E9" w:rsidRPr="002B55E9" w14:paraId="579C2D24" w14:textId="77777777" w:rsidTr="00EF27AD">
        <w:trPr>
          <w:trHeight w:val="283"/>
        </w:trPr>
        <w:tc>
          <w:tcPr>
            <w:tcW w:w="571" w:type="dxa"/>
          </w:tcPr>
          <w:p w14:paraId="06644EC5" w14:textId="77777777" w:rsidR="00D170E5" w:rsidRPr="002B55E9" w:rsidRDefault="00EF27AD">
            <w:pPr>
              <w:pStyle w:val="lgy-"/>
            </w:pPr>
            <w:r w:rsidRPr="002B55E9">
              <w:rPr>
                <w:rFonts w:eastAsia="宋体" w:hint="eastAsia"/>
              </w:rPr>
              <w:t>废水</w:t>
            </w:r>
          </w:p>
        </w:tc>
        <w:tc>
          <w:tcPr>
            <w:tcW w:w="989" w:type="dxa"/>
          </w:tcPr>
          <w:p w14:paraId="512E9CD4" w14:textId="77777777" w:rsidR="00D170E5" w:rsidRPr="002B55E9" w:rsidRDefault="00EF27AD">
            <w:pPr>
              <w:pStyle w:val="lgy-"/>
            </w:pPr>
            <w:r w:rsidRPr="002B55E9">
              <w:rPr>
                <w:rFonts w:eastAsia="宋体" w:hint="eastAsia"/>
              </w:rPr>
              <w:t>洗瓶</w:t>
            </w:r>
          </w:p>
        </w:tc>
        <w:tc>
          <w:tcPr>
            <w:tcW w:w="829" w:type="dxa"/>
          </w:tcPr>
          <w:p w14:paraId="044352E0" w14:textId="77777777" w:rsidR="00D170E5" w:rsidRPr="002B55E9" w:rsidRDefault="00EF27AD">
            <w:pPr>
              <w:pStyle w:val="lgy-"/>
            </w:pPr>
            <w:r w:rsidRPr="002B55E9">
              <w:rPr>
                <w:rFonts w:eastAsia="宋体" w:hint="eastAsia"/>
              </w:rPr>
              <w:t>W</w:t>
            </w:r>
            <w:r w:rsidRPr="002B55E9">
              <w:rPr>
                <w:rFonts w:eastAsia="宋体"/>
              </w:rPr>
              <w:t>2-1</w:t>
            </w:r>
          </w:p>
        </w:tc>
        <w:tc>
          <w:tcPr>
            <w:tcW w:w="1320" w:type="dxa"/>
          </w:tcPr>
          <w:p w14:paraId="25CF1765" w14:textId="77777777" w:rsidR="00D170E5" w:rsidRPr="002B55E9" w:rsidRDefault="00EF27AD">
            <w:pPr>
              <w:pStyle w:val="lgy-"/>
            </w:pPr>
            <w:r w:rsidRPr="002B55E9">
              <w:rPr>
                <w:rFonts w:eastAsia="宋体" w:hint="eastAsia"/>
              </w:rPr>
              <w:t>洗瓶废水</w:t>
            </w:r>
          </w:p>
        </w:tc>
        <w:tc>
          <w:tcPr>
            <w:tcW w:w="1216" w:type="dxa"/>
            <w:noWrap/>
          </w:tcPr>
          <w:p w14:paraId="14C14421" w14:textId="77777777" w:rsidR="00D170E5" w:rsidRPr="002B55E9" w:rsidRDefault="00EF27AD">
            <w:pPr>
              <w:pStyle w:val="lgy-"/>
            </w:pP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S</w:t>
            </w:r>
            <w:r w:rsidRPr="002B55E9">
              <w:rPr>
                <w:rFonts w:eastAsia="宋体"/>
              </w:rPr>
              <w:t>S</w:t>
            </w:r>
            <w:r w:rsidRPr="002B55E9">
              <w:rPr>
                <w:rFonts w:eastAsia="宋体" w:hint="eastAsia"/>
              </w:rPr>
              <w:t>等</w:t>
            </w:r>
          </w:p>
        </w:tc>
        <w:tc>
          <w:tcPr>
            <w:tcW w:w="607" w:type="dxa"/>
          </w:tcPr>
          <w:p w14:paraId="555F4F93" w14:textId="77777777" w:rsidR="00D170E5" w:rsidRPr="002B55E9" w:rsidRDefault="00EF27AD">
            <w:pPr>
              <w:pStyle w:val="lgy-"/>
            </w:pPr>
            <w:r w:rsidRPr="002B55E9">
              <w:rPr>
                <w:rFonts w:eastAsia="宋体"/>
              </w:rPr>
              <w:t xml:space="preserve">23048.64 </w:t>
            </w:r>
          </w:p>
        </w:tc>
        <w:tc>
          <w:tcPr>
            <w:tcW w:w="850" w:type="dxa"/>
          </w:tcPr>
          <w:p w14:paraId="447C8CF9" w14:textId="77777777" w:rsidR="00D170E5" w:rsidRPr="002B55E9" w:rsidRDefault="00EF27AD">
            <w:pPr>
              <w:pStyle w:val="lgy-"/>
            </w:pPr>
            <w:r w:rsidRPr="002B55E9">
              <w:rPr>
                <w:rFonts w:eastAsia="宋体"/>
              </w:rPr>
              <w:t>/</w:t>
            </w:r>
          </w:p>
        </w:tc>
        <w:tc>
          <w:tcPr>
            <w:tcW w:w="1272" w:type="dxa"/>
          </w:tcPr>
          <w:p w14:paraId="79390CBD" w14:textId="77777777" w:rsidR="00D170E5" w:rsidRPr="002B55E9" w:rsidRDefault="00EF27AD">
            <w:pPr>
              <w:pStyle w:val="lgy-"/>
            </w:pPr>
            <w:r w:rsidRPr="002B55E9">
              <w:rPr>
                <w:rFonts w:eastAsia="宋体" w:hint="eastAsia"/>
              </w:rPr>
              <w:t>生产废水管网收集</w:t>
            </w:r>
          </w:p>
        </w:tc>
        <w:tc>
          <w:tcPr>
            <w:tcW w:w="1984" w:type="dxa"/>
          </w:tcPr>
          <w:p w14:paraId="1CAA9829" w14:textId="77777777" w:rsidR="00D170E5" w:rsidRPr="002B55E9" w:rsidRDefault="00EF27AD">
            <w:pPr>
              <w:pStyle w:val="lgy-"/>
              <w:rPr>
                <w:rFonts w:eastAsia="宋体"/>
              </w:rPr>
            </w:pPr>
            <w:r w:rsidRPr="002B55E9">
              <w:rPr>
                <w:rFonts w:eastAsia="宋体" w:hint="eastAsia"/>
              </w:rPr>
              <w:t>排入佛山市海天（武汉）调味食品有限公司污水处理站处理</w:t>
            </w:r>
          </w:p>
        </w:tc>
      </w:tr>
      <w:tr w:rsidR="002B55E9" w:rsidRPr="002B55E9" w14:paraId="60EA0170" w14:textId="77777777" w:rsidTr="00EF27AD">
        <w:trPr>
          <w:trHeight w:val="283"/>
        </w:trPr>
        <w:tc>
          <w:tcPr>
            <w:tcW w:w="571" w:type="dxa"/>
            <w:vMerge w:val="restart"/>
          </w:tcPr>
          <w:p w14:paraId="1D7CAC86" w14:textId="77777777" w:rsidR="00D170E5" w:rsidRPr="002B55E9" w:rsidRDefault="00EF27AD">
            <w:pPr>
              <w:pStyle w:val="lgy-"/>
            </w:pPr>
            <w:r w:rsidRPr="002B55E9">
              <w:rPr>
                <w:rFonts w:eastAsia="宋体" w:hint="eastAsia"/>
              </w:rPr>
              <w:t>固废</w:t>
            </w:r>
          </w:p>
        </w:tc>
        <w:tc>
          <w:tcPr>
            <w:tcW w:w="989" w:type="dxa"/>
          </w:tcPr>
          <w:p w14:paraId="52F3607A" w14:textId="77777777" w:rsidR="00D170E5" w:rsidRPr="002B55E9" w:rsidRDefault="00EF27AD">
            <w:pPr>
              <w:pStyle w:val="lgy-"/>
            </w:pPr>
            <w:r w:rsidRPr="002B55E9">
              <w:rPr>
                <w:rFonts w:eastAsia="宋体" w:hint="eastAsia"/>
              </w:rPr>
              <w:t>过滤</w:t>
            </w:r>
          </w:p>
        </w:tc>
        <w:tc>
          <w:tcPr>
            <w:tcW w:w="829" w:type="dxa"/>
          </w:tcPr>
          <w:p w14:paraId="5DC91351" w14:textId="77777777" w:rsidR="00D170E5" w:rsidRPr="002B55E9" w:rsidRDefault="00EF27AD">
            <w:pPr>
              <w:pStyle w:val="lgy-"/>
            </w:pPr>
            <w:r w:rsidRPr="002B55E9">
              <w:rPr>
                <w:rFonts w:eastAsia="宋体" w:hint="eastAsia"/>
              </w:rPr>
              <w:t>S</w:t>
            </w:r>
            <w:r w:rsidRPr="002B55E9">
              <w:rPr>
                <w:rFonts w:eastAsia="宋体"/>
              </w:rPr>
              <w:t>2</w:t>
            </w:r>
            <w:r w:rsidRPr="002B55E9">
              <w:rPr>
                <w:rFonts w:eastAsia="宋体" w:hint="eastAsia"/>
              </w:rPr>
              <w:t>-1</w:t>
            </w:r>
          </w:p>
        </w:tc>
        <w:tc>
          <w:tcPr>
            <w:tcW w:w="1320" w:type="dxa"/>
          </w:tcPr>
          <w:p w14:paraId="05F6F2F4" w14:textId="77777777" w:rsidR="00D170E5" w:rsidRPr="002B55E9" w:rsidRDefault="00EF27AD">
            <w:pPr>
              <w:pStyle w:val="lgy-"/>
            </w:pPr>
            <w:r w:rsidRPr="002B55E9">
              <w:rPr>
                <w:rFonts w:eastAsia="宋体" w:hint="eastAsia"/>
              </w:rPr>
              <w:t>过滤残渣</w:t>
            </w:r>
          </w:p>
        </w:tc>
        <w:tc>
          <w:tcPr>
            <w:tcW w:w="1216" w:type="dxa"/>
            <w:noWrap/>
          </w:tcPr>
          <w:p w14:paraId="6DD33D06" w14:textId="77777777" w:rsidR="00D170E5" w:rsidRPr="002B55E9" w:rsidRDefault="00EF27AD">
            <w:pPr>
              <w:pStyle w:val="lgy-"/>
            </w:pPr>
            <w:r w:rsidRPr="002B55E9">
              <w:rPr>
                <w:rFonts w:eastAsia="宋体" w:hint="eastAsia"/>
              </w:rPr>
              <w:t>醋坯残渣</w:t>
            </w:r>
          </w:p>
        </w:tc>
        <w:tc>
          <w:tcPr>
            <w:tcW w:w="607" w:type="dxa"/>
          </w:tcPr>
          <w:p w14:paraId="5BD90CD5" w14:textId="77777777" w:rsidR="00D170E5" w:rsidRPr="002B55E9" w:rsidRDefault="00EF27AD">
            <w:pPr>
              <w:pStyle w:val="lgy-"/>
            </w:pPr>
            <w:r w:rsidRPr="002B55E9">
              <w:rPr>
                <w:rFonts w:eastAsia="宋体"/>
              </w:rPr>
              <w:t xml:space="preserve">267.60 </w:t>
            </w:r>
          </w:p>
        </w:tc>
        <w:tc>
          <w:tcPr>
            <w:tcW w:w="850" w:type="dxa"/>
          </w:tcPr>
          <w:p w14:paraId="30CE38BF" w14:textId="77777777" w:rsidR="00D170E5" w:rsidRPr="002B55E9" w:rsidRDefault="00EF27AD">
            <w:pPr>
              <w:pStyle w:val="lgy-"/>
            </w:pPr>
            <w:r w:rsidRPr="002B55E9">
              <w:rPr>
                <w:rFonts w:eastAsia="宋体"/>
              </w:rPr>
              <w:t>/</w:t>
            </w:r>
          </w:p>
        </w:tc>
        <w:tc>
          <w:tcPr>
            <w:tcW w:w="1272" w:type="dxa"/>
          </w:tcPr>
          <w:p w14:paraId="7263CA68" w14:textId="77777777" w:rsidR="00D170E5" w:rsidRPr="002B55E9" w:rsidRDefault="00EF27AD">
            <w:pPr>
              <w:pStyle w:val="lgy-"/>
            </w:pPr>
            <w:r w:rsidRPr="002B55E9">
              <w:rPr>
                <w:rFonts w:eastAsia="宋体" w:hint="eastAsia"/>
              </w:rPr>
              <w:t>密闭容器暂存</w:t>
            </w:r>
          </w:p>
        </w:tc>
        <w:tc>
          <w:tcPr>
            <w:tcW w:w="1984" w:type="dxa"/>
          </w:tcPr>
          <w:p w14:paraId="7958DB82" w14:textId="77777777" w:rsidR="00D170E5" w:rsidRPr="002B55E9" w:rsidRDefault="00EF27AD">
            <w:pPr>
              <w:pStyle w:val="lgy-"/>
              <w:rPr>
                <w:rFonts w:eastAsia="宋体"/>
              </w:rPr>
            </w:pPr>
            <w:r w:rsidRPr="002B55E9">
              <w:rPr>
                <w:rFonts w:eastAsia="宋体" w:hint="eastAsia"/>
              </w:rPr>
              <w:t>有机肥生产企业回收利用</w:t>
            </w:r>
          </w:p>
        </w:tc>
      </w:tr>
      <w:tr w:rsidR="002B55E9" w:rsidRPr="002B55E9" w14:paraId="56B6CFD8" w14:textId="77777777" w:rsidTr="00EF27AD">
        <w:trPr>
          <w:trHeight w:val="283"/>
        </w:trPr>
        <w:tc>
          <w:tcPr>
            <w:tcW w:w="571" w:type="dxa"/>
            <w:vMerge/>
          </w:tcPr>
          <w:p w14:paraId="0C45FF3B" w14:textId="77777777" w:rsidR="00D170E5" w:rsidRPr="002B55E9" w:rsidRDefault="00D170E5">
            <w:pPr>
              <w:pStyle w:val="lgy-"/>
            </w:pPr>
          </w:p>
        </w:tc>
        <w:tc>
          <w:tcPr>
            <w:tcW w:w="989" w:type="dxa"/>
          </w:tcPr>
          <w:p w14:paraId="745D303B" w14:textId="77777777" w:rsidR="00D170E5" w:rsidRPr="002B55E9" w:rsidRDefault="00EF27AD">
            <w:pPr>
              <w:pStyle w:val="lgy-"/>
            </w:pPr>
            <w:r w:rsidRPr="002B55E9">
              <w:rPr>
                <w:rFonts w:eastAsia="宋体" w:hint="eastAsia"/>
              </w:rPr>
              <w:t>过滤</w:t>
            </w:r>
          </w:p>
        </w:tc>
        <w:tc>
          <w:tcPr>
            <w:tcW w:w="829" w:type="dxa"/>
          </w:tcPr>
          <w:p w14:paraId="3610314F" w14:textId="77777777" w:rsidR="00D170E5" w:rsidRPr="002B55E9" w:rsidRDefault="00EF27AD">
            <w:pPr>
              <w:pStyle w:val="lgy-"/>
            </w:pPr>
            <w:r w:rsidRPr="002B55E9">
              <w:rPr>
                <w:rFonts w:eastAsia="宋体" w:hint="eastAsia"/>
              </w:rPr>
              <w:t>S</w:t>
            </w:r>
            <w:r w:rsidRPr="002B55E9">
              <w:rPr>
                <w:rFonts w:eastAsia="宋体"/>
              </w:rPr>
              <w:t>2-2</w:t>
            </w:r>
          </w:p>
        </w:tc>
        <w:tc>
          <w:tcPr>
            <w:tcW w:w="1320" w:type="dxa"/>
          </w:tcPr>
          <w:p w14:paraId="26407081" w14:textId="77777777" w:rsidR="00D170E5" w:rsidRPr="002B55E9" w:rsidRDefault="00EF27AD">
            <w:pPr>
              <w:pStyle w:val="lgy-"/>
            </w:pPr>
            <w:r w:rsidRPr="002B55E9">
              <w:rPr>
                <w:rFonts w:eastAsia="宋体" w:hint="eastAsia"/>
              </w:rPr>
              <w:t>过滤残渣</w:t>
            </w:r>
          </w:p>
        </w:tc>
        <w:tc>
          <w:tcPr>
            <w:tcW w:w="1216" w:type="dxa"/>
            <w:noWrap/>
          </w:tcPr>
          <w:p w14:paraId="1128BF4F" w14:textId="77777777" w:rsidR="00D170E5" w:rsidRPr="002B55E9" w:rsidRDefault="00EF27AD">
            <w:pPr>
              <w:pStyle w:val="lgy-"/>
            </w:pPr>
            <w:r w:rsidRPr="002B55E9">
              <w:rPr>
                <w:rFonts w:eastAsia="宋体" w:hint="eastAsia"/>
              </w:rPr>
              <w:t>不溶物及密封圈等</w:t>
            </w:r>
          </w:p>
        </w:tc>
        <w:tc>
          <w:tcPr>
            <w:tcW w:w="607" w:type="dxa"/>
          </w:tcPr>
          <w:p w14:paraId="63400740" w14:textId="77777777" w:rsidR="00D170E5" w:rsidRPr="002B55E9" w:rsidRDefault="00EF27AD">
            <w:pPr>
              <w:pStyle w:val="lgy-"/>
            </w:pPr>
            <w:r w:rsidRPr="002B55E9">
              <w:rPr>
                <w:rFonts w:eastAsia="宋体"/>
              </w:rPr>
              <w:t>0.75</w:t>
            </w:r>
          </w:p>
        </w:tc>
        <w:tc>
          <w:tcPr>
            <w:tcW w:w="850" w:type="dxa"/>
          </w:tcPr>
          <w:p w14:paraId="2A62FC04" w14:textId="77777777" w:rsidR="00D170E5" w:rsidRPr="002B55E9" w:rsidRDefault="00EF27AD">
            <w:pPr>
              <w:pStyle w:val="lgy-"/>
            </w:pPr>
            <w:r w:rsidRPr="002B55E9">
              <w:rPr>
                <w:rFonts w:eastAsia="宋体"/>
              </w:rPr>
              <w:t>/</w:t>
            </w:r>
          </w:p>
        </w:tc>
        <w:tc>
          <w:tcPr>
            <w:tcW w:w="1272" w:type="dxa"/>
          </w:tcPr>
          <w:p w14:paraId="326AF028" w14:textId="77777777" w:rsidR="00D170E5" w:rsidRPr="002B55E9" w:rsidRDefault="00EF27AD">
            <w:pPr>
              <w:pStyle w:val="lgy-"/>
            </w:pPr>
            <w:r w:rsidRPr="002B55E9">
              <w:rPr>
                <w:rFonts w:eastAsia="宋体" w:hint="eastAsia"/>
              </w:rPr>
              <w:t>密闭容器暂存</w:t>
            </w:r>
          </w:p>
        </w:tc>
        <w:tc>
          <w:tcPr>
            <w:tcW w:w="1984" w:type="dxa"/>
          </w:tcPr>
          <w:p w14:paraId="4B8C0C0B" w14:textId="77777777" w:rsidR="00D170E5" w:rsidRPr="002B55E9" w:rsidRDefault="00EF27AD">
            <w:pPr>
              <w:pStyle w:val="lgy-"/>
              <w:rPr>
                <w:rFonts w:eastAsia="宋体"/>
              </w:rPr>
            </w:pPr>
            <w:r w:rsidRPr="002B55E9">
              <w:rPr>
                <w:rFonts w:eastAsia="宋体" w:hint="eastAsia"/>
              </w:rPr>
              <w:t>物资回收公司综合利用</w:t>
            </w:r>
          </w:p>
        </w:tc>
      </w:tr>
      <w:tr w:rsidR="002B55E9" w:rsidRPr="002B55E9" w14:paraId="049446D6" w14:textId="77777777" w:rsidTr="00EF27AD">
        <w:trPr>
          <w:trHeight w:val="283"/>
        </w:trPr>
        <w:tc>
          <w:tcPr>
            <w:tcW w:w="571" w:type="dxa"/>
            <w:vMerge/>
          </w:tcPr>
          <w:p w14:paraId="3E50871B" w14:textId="77777777" w:rsidR="00D170E5" w:rsidRPr="002B55E9" w:rsidRDefault="00D170E5">
            <w:pPr>
              <w:pStyle w:val="lgy-"/>
            </w:pPr>
          </w:p>
        </w:tc>
        <w:tc>
          <w:tcPr>
            <w:tcW w:w="989" w:type="dxa"/>
          </w:tcPr>
          <w:p w14:paraId="325BF764" w14:textId="77777777" w:rsidR="00D170E5" w:rsidRPr="002B55E9" w:rsidRDefault="00EF27AD">
            <w:pPr>
              <w:pStyle w:val="lgy-"/>
            </w:pPr>
            <w:r w:rsidRPr="002B55E9">
              <w:rPr>
                <w:rFonts w:eastAsia="宋体" w:hint="eastAsia"/>
              </w:rPr>
              <w:t>洗瓶</w:t>
            </w:r>
          </w:p>
        </w:tc>
        <w:tc>
          <w:tcPr>
            <w:tcW w:w="829" w:type="dxa"/>
          </w:tcPr>
          <w:p w14:paraId="0D2E9657" w14:textId="77777777" w:rsidR="00D170E5" w:rsidRPr="002B55E9" w:rsidRDefault="00EF27AD">
            <w:pPr>
              <w:pStyle w:val="lgy-"/>
            </w:pPr>
            <w:r w:rsidRPr="002B55E9">
              <w:rPr>
                <w:rFonts w:eastAsia="宋体" w:hint="eastAsia"/>
              </w:rPr>
              <w:t>S</w:t>
            </w:r>
            <w:r w:rsidRPr="002B55E9">
              <w:rPr>
                <w:rFonts w:eastAsia="宋体"/>
              </w:rPr>
              <w:t>2-3</w:t>
            </w:r>
          </w:p>
        </w:tc>
        <w:tc>
          <w:tcPr>
            <w:tcW w:w="1320" w:type="dxa"/>
          </w:tcPr>
          <w:p w14:paraId="4F4A475E" w14:textId="77777777" w:rsidR="00D170E5" w:rsidRPr="002B55E9" w:rsidRDefault="00EF27AD">
            <w:pPr>
              <w:pStyle w:val="lgy-"/>
            </w:pPr>
            <w:r w:rsidRPr="002B55E9">
              <w:rPr>
                <w:rFonts w:eastAsia="宋体" w:hint="eastAsia"/>
              </w:rPr>
              <w:t>废包装瓶</w:t>
            </w:r>
          </w:p>
        </w:tc>
        <w:tc>
          <w:tcPr>
            <w:tcW w:w="1216" w:type="dxa"/>
            <w:noWrap/>
          </w:tcPr>
          <w:p w14:paraId="6FA0D117" w14:textId="77777777" w:rsidR="00D170E5" w:rsidRPr="002B55E9" w:rsidRDefault="00EF27AD">
            <w:pPr>
              <w:pStyle w:val="lgy-"/>
            </w:pPr>
            <w:r w:rsidRPr="002B55E9">
              <w:rPr>
                <w:rFonts w:eastAsia="宋体" w:hint="eastAsia"/>
              </w:rPr>
              <w:t>废瓶、碎瓶等</w:t>
            </w:r>
          </w:p>
        </w:tc>
        <w:tc>
          <w:tcPr>
            <w:tcW w:w="607" w:type="dxa"/>
          </w:tcPr>
          <w:p w14:paraId="0782476F" w14:textId="77777777" w:rsidR="00D170E5" w:rsidRPr="002B55E9" w:rsidRDefault="00EF27AD">
            <w:pPr>
              <w:pStyle w:val="lgy-"/>
            </w:pPr>
            <w:r w:rsidRPr="002B55E9">
              <w:rPr>
                <w:rFonts w:eastAsia="宋体"/>
              </w:rPr>
              <w:t>0.12</w:t>
            </w:r>
          </w:p>
        </w:tc>
        <w:tc>
          <w:tcPr>
            <w:tcW w:w="850" w:type="dxa"/>
          </w:tcPr>
          <w:p w14:paraId="2BFB2C57" w14:textId="77777777" w:rsidR="00D170E5" w:rsidRPr="002B55E9" w:rsidRDefault="00EF27AD">
            <w:pPr>
              <w:pStyle w:val="lgy-"/>
            </w:pPr>
            <w:r w:rsidRPr="002B55E9">
              <w:rPr>
                <w:rFonts w:eastAsia="宋体"/>
              </w:rPr>
              <w:t>/</w:t>
            </w:r>
          </w:p>
        </w:tc>
        <w:tc>
          <w:tcPr>
            <w:tcW w:w="1272" w:type="dxa"/>
          </w:tcPr>
          <w:p w14:paraId="5DE0D63A" w14:textId="77777777" w:rsidR="00D170E5" w:rsidRPr="002B55E9" w:rsidRDefault="00EF27AD">
            <w:pPr>
              <w:pStyle w:val="lgy-"/>
            </w:pPr>
            <w:r w:rsidRPr="002B55E9">
              <w:rPr>
                <w:rFonts w:eastAsia="宋体" w:hint="eastAsia"/>
              </w:rPr>
              <w:t>一般固废间暂存</w:t>
            </w:r>
          </w:p>
        </w:tc>
        <w:tc>
          <w:tcPr>
            <w:tcW w:w="1984" w:type="dxa"/>
          </w:tcPr>
          <w:p w14:paraId="158759FF" w14:textId="77777777" w:rsidR="00D170E5" w:rsidRPr="002B55E9" w:rsidRDefault="00EF27AD">
            <w:pPr>
              <w:pStyle w:val="lgy-"/>
              <w:rPr>
                <w:rFonts w:eastAsia="宋体"/>
              </w:rPr>
            </w:pPr>
            <w:r w:rsidRPr="002B55E9">
              <w:rPr>
                <w:rFonts w:eastAsia="宋体" w:hint="eastAsia"/>
              </w:rPr>
              <w:t>物资回收公司综合利用</w:t>
            </w:r>
          </w:p>
        </w:tc>
      </w:tr>
      <w:tr w:rsidR="002B55E9" w:rsidRPr="002B55E9" w14:paraId="6E4D7411" w14:textId="77777777" w:rsidTr="00EF27AD">
        <w:trPr>
          <w:trHeight w:val="283"/>
        </w:trPr>
        <w:tc>
          <w:tcPr>
            <w:tcW w:w="571" w:type="dxa"/>
            <w:vMerge/>
          </w:tcPr>
          <w:p w14:paraId="476E1FE3" w14:textId="77777777" w:rsidR="00D170E5" w:rsidRPr="002B55E9" w:rsidRDefault="00D170E5">
            <w:pPr>
              <w:pStyle w:val="lgy-"/>
            </w:pPr>
          </w:p>
        </w:tc>
        <w:tc>
          <w:tcPr>
            <w:tcW w:w="989" w:type="dxa"/>
          </w:tcPr>
          <w:p w14:paraId="66CA1E61" w14:textId="77777777" w:rsidR="00D170E5" w:rsidRPr="002B55E9" w:rsidRDefault="00EF27AD">
            <w:pPr>
              <w:pStyle w:val="lgy-"/>
            </w:pPr>
            <w:r w:rsidRPr="002B55E9">
              <w:rPr>
                <w:rFonts w:eastAsia="宋体" w:hint="eastAsia"/>
              </w:rPr>
              <w:t>灌装包装</w:t>
            </w:r>
          </w:p>
        </w:tc>
        <w:tc>
          <w:tcPr>
            <w:tcW w:w="829" w:type="dxa"/>
          </w:tcPr>
          <w:p w14:paraId="72FC640C" w14:textId="77777777" w:rsidR="00D170E5" w:rsidRPr="002B55E9" w:rsidRDefault="00EF27AD">
            <w:pPr>
              <w:pStyle w:val="lgy-"/>
            </w:pPr>
            <w:r w:rsidRPr="002B55E9">
              <w:rPr>
                <w:rFonts w:eastAsia="宋体" w:hint="eastAsia"/>
              </w:rPr>
              <w:t>S</w:t>
            </w:r>
            <w:r w:rsidRPr="002B55E9">
              <w:rPr>
                <w:rFonts w:eastAsia="宋体"/>
              </w:rPr>
              <w:t>2-4</w:t>
            </w:r>
          </w:p>
        </w:tc>
        <w:tc>
          <w:tcPr>
            <w:tcW w:w="1320" w:type="dxa"/>
          </w:tcPr>
          <w:p w14:paraId="57972761" w14:textId="77777777" w:rsidR="00D170E5" w:rsidRPr="002B55E9" w:rsidRDefault="00EF27AD">
            <w:pPr>
              <w:pStyle w:val="lgy-"/>
            </w:pPr>
            <w:r w:rsidRPr="002B55E9">
              <w:rPr>
                <w:rFonts w:eastAsia="宋体" w:hint="eastAsia"/>
              </w:rPr>
              <w:t>废纸箱、废胶桶、废油墨桶、废墨盒等</w:t>
            </w:r>
          </w:p>
        </w:tc>
        <w:tc>
          <w:tcPr>
            <w:tcW w:w="1216" w:type="dxa"/>
            <w:noWrap/>
          </w:tcPr>
          <w:p w14:paraId="5CCE9A5D" w14:textId="77777777" w:rsidR="00D170E5" w:rsidRPr="002B55E9" w:rsidRDefault="00EF27AD">
            <w:pPr>
              <w:pStyle w:val="lgy-"/>
            </w:pPr>
            <w:r w:rsidRPr="002B55E9">
              <w:rPr>
                <w:rFonts w:eastAsia="宋体" w:hint="eastAsia"/>
              </w:rPr>
              <w:t>废纸箱、废胶桶、废油墨桶、废墨盒等</w:t>
            </w:r>
          </w:p>
        </w:tc>
        <w:tc>
          <w:tcPr>
            <w:tcW w:w="607" w:type="dxa"/>
          </w:tcPr>
          <w:p w14:paraId="7D04D1BA" w14:textId="77777777" w:rsidR="00D170E5" w:rsidRPr="002B55E9" w:rsidRDefault="00EF27AD">
            <w:pPr>
              <w:pStyle w:val="lgy-"/>
            </w:pPr>
            <w:r w:rsidRPr="002B55E9">
              <w:rPr>
                <w:rFonts w:eastAsia="宋体"/>
              </w:rPr>
              <w:t>0.24</w:t>
            </w:r>
          </w:p>
        </w:tc>
        <w:tc>
          <w:tcPr>
            <w:tcW w:w="850" w:type="dxa"/>
          </w:tcPr>
          <w:p w14:paraId="3CEEB4A5" w14:textId="77777777" w:rsidR="00D170E5" w:rsidRPr="002B55E9" w:rsidRDefault="00EF27AD">
            <w:pPr>
              <w:pStyle w:val="lgy-"/>
            </w:pPr>
            <w:r w:rsidRPr="002B55E9">
              <w:rPr>
                <w:rFonts w:eastAsia="宋体"/>
              </w:rPr>
              <w:t>/</w:t>
            </w:r>
          </w:p>
        </w:tc>
        <w:tc>
          <w:tcPr>
            <w:tcW w:w="1272" w:type="dxa"/>
          </w:tcPr>
          <w:p w14:paraId="2C950352" w14:textId="77777777" w:rsidR="00D170E5" w:rsidRPr="002B55E9" w:rsidRDefault="00EF27AD">
            <w:pPr>
              <w:pStyle w:val="lgy-"/>
            </w:pPr>
            <w:r w:rsidRPr="002B55E9">
              <w:rPr>
                <w:rFonts w:eastAsia="宋体" w:hint="eastAsia"/>
              </w:rPr>
              <w:t>危废暂存间暂存、一般固废暂存间暂存</w:t>
            </w:r>
          </w:p>
        </w:tc>
        <w:tc>
          <w:tcPr>
            <w:tcW w:w="1984" w:type="dxa"/>
          </w:tcPr>
          <w:p w14:paraId="6BAD3169" w14:textId="77777777" w:rsidR="00D170E5" w:rsidRPr="002B55E9" w:rsidRDefault="00EF27AD">
            <w:pPr>
              <w:pStyle w:val="lgy-"/>
              <w:rPr>
                <w:rFonts w:eastAsia="宋体"/>
              </w:rPr>
            </w:pPr>
            <w:r w:rsidRPr="002B55E9">
              <w:rPr>
                <w:rFonts w:eastAsia="宋体" w:hint="eastAsia"/>
              </w:rPr>
              <w:t>废胶桶、废油墨桶、废墨盒等危险废物交由有资质单位清运处理，其他一般固体废物交由物资回收公司回收利用</w:t>
            </w:r>
          </w:p>
        </w:tc>
      </w:tr>
    </w:tbl>
    <w:bookmarkEnd w:id="157"/>
    <w:p w14:paraId="2C6A91CF" w14:textId="77777777" w:rsidR="00D170E5" w:rsidRPr="002B55E9" w:rsidRDefault="00EF27AD">
      <w:pPr>
        <w:pStyle w:val="4"/>
        <w:rPr>
          <w:color w:val="auto"/>
        </w:rPr>
      </w:pPr>
      <w:r w:rsidRPr="002B55E9">
        <w:rPr>
          <w:rFonts w:hint="eastAsia"/>
          <w:color w:val="auto"/>
        </w:rPr>
        <w:t>陈香醋生产</w:t>
      </w:r>
    </w:p>
    <w:p w14:paraId="0F687FC1" w14:textId="77777777" w:rsidR="00D170E5" w:rsidRPr="002B55E9" w:rsidRDefault="00EF27AD">
      <w:pPr>
        <w:pStyle w:val="5"/>
      </w:pPr>
      <w:bookmarkStart w:id="158" w:name="_Hlk81410893"/>
      <w:bookmarkStart w:id="159" w:name="_Hlk45140399"/>
      <w:r w:rsidRPr="002B55E9">
        <w:rPr>
          <w:rFonts w:hint="eastAsia"/>
        </w:rPr>
        <w:lastRenderedPageBreak/>
        <w:t>工艺流程及产污环节</w:t>
      </w:r>
    </w:p>
    <w:p w14:paraId="36F9C284" w14:textId="5A871A72" w:rsidR="00D170E5" w:rsidRDefault="00EF27AD">
      <w:pPr>
        <w:pStyle w:val="aa"/>
      </w:pPr>
      <w:r w:rsidRPr="002B55E9">
        <w:rPr>
          <w:rFonts w:hint="eastAsia"/>
        </w:rPr>
        <w:t>陈香醋具体生产工艺流程如下：</w:t>
      </w:r>
    </w:p>
    <w:p w14:paraId="11AD5734" w14:textId="77777777" w:rsidR="00C60999" w:rsidRDefault="00C60999" w:rsidP="00C60999">
      <w:pPr>
        <w:pStyle w:val="1f3"/>
        <w:spacing w:beforeLines="0" w:before="0"/>
      </w:pPr>
    </w:p>
    <w:p w14:paraId="41F71CBD"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40165700" w14:textId="77777777" w:rsidR="00C60999" w:rsidRPr="002B55E9" w:rsidRDefault="00C60999" w:rsidP="00C60999">
      <w:pPr>
        <w:pStyle w:val="1f3"/>
        <w:spacing w:beforeLines="0" w:before="0"/>
      </w:pPr>
    </w:p>
    <w:p w14:paraId="466BB3A1" w14:textId="77777777" w:rsidR="00D170E5" w:rsidRPr="002B55E9" w:rsidRDefault="00EF27AD">
      <w:pPr>
        <w:pStyle w:val="5"/>
      </w:pPr>
      <w:bookmarkStart w:id="160" w:name="_Hlk106962109"/>
      <w:r w:rsidRPr="002B55E9">
        <w:rPr>
          <w:rFonts w:hint="eastAsia"/>
        </w:rPr>
        <w:t>陈香醋物料</w:t>
      </w:r>
      <w:r w:rsidRPr="002B55E9">
        <w:t>平衡</w:t>
      </w:r>
    </w:p>
    <w:p w14:paraId="0BB67810" w14:textId="77777777" w:rsidR="00C60999" w:rsidRDefault="00C60999" w:rsidP="00C60999">
      <w:pPr>
        <w:pStyle w:val="1f3"/>
        <w:spacing w:beforeLines="0" w:before="0"/>
      </w:pPr>
    </w:p>
    <w:p w14:paraId="7228ABF7"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1D5A1EBD" w14:textId="77777777" w:rsidR="00C60999" w:rsidRPr="002B55E9" w:rsidRDefault="00C60999" w:rsidP="00C60999">
      <w:pPr>
        <w:pStyle w:val="1f3"/>
        <w:spacing w:beforeLines="0" w:before="0"/>
      </w:pPr>
    </w:p>
    <w:p w14:paraId="5286E574" w14:textId="77777777" w:rsidR="009D4DBA" w:rsidRPr="002B55E9" w:rsidRDefault="009D4DBA" w:rsidP="009D4DBA">
      <w:pPr>
        <w:pStyle w:val="lgy-"/>
      </w:pPr>
    </w:p>
    <w:p w14:paraId="2B4D6996" w14:textId="3083D52E" w:rsidR="00D170E5" w:rsidRPr="002B55E9" w:rsidRDefault="00EF27AD">
      <w:pPr>
        <w:pStyle w:val="5"/>
      </w:pPr>
      <w:r w:rsidRPr="002B55E9">
        <w:rPr>
          <w:rFonts w:hint="eastAsia"/>
        </w:rPr>
        <w:t>产污分析及防治措施</w:t>
      </w:r>
    </w:p>
    <w:p w14:paraId="53D86BB2" w14:textId="55269449"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结合工艺流程及物料平衡，陈香醋生产线产污环节及治理措施见下表。</w:t>
      </w:r>
    </w:p>
    <w:p w14:paraId="30A85B17" w14:textId="14CAAED5"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3-</w:t>
      </w:r>
      <w:r w:rsidRPr="002B55E9">
        <w:rPr>
          <w:rFonts w:eastAsia="黑体"/>
          <w:b/>
          <w:kern w:val="2"/>
          <w:sz w:val="24"/>
          <w:szCs w:val="22"/>
        </w:rPr>
        <w:t>1</w:t>
      </w:r>
      <w:r w:rsidRPr="002B55E9">
        <w:rPr>
          <w:rFonts w:eastAsia="黑体" w:hint="eastAsia"/>
          <w:b/>
          <w:kern w:val="2"/>
          <w:sz w:val="24"/>
          <w:szCs w:val="22"/>
        </w:rPr>
        <w:t>-</w:t>
      </w:r>
      <w:r w:rsidRPr="002B55E9">
        <w:rPr>
          <w:rFonts w:eastAsia="黑体"/>
          <w:b/>
          <w:kern w:val="2"/>
          <w:sz w:val="24"/>
          <w:szCs w:val="22"/>
        </w:rPr>
        <w:t>1</w:t>
      </w:r>
      <w:r w:rsidR="005879A8" w:rsidRPr="002B55E9">
        <w:rPr>
          <w:rFonts w:eastAsia="黑体"/>
          <w:b/>
          <w:kern w:val="2"/>
          <w:sz w:val="24"/>
          <w:szCs w:val="22"/>
        </w:rPr>
        <w:t>8</w:t>
      </w:r>
      <w:r w:rsidRPr="002B55E9">
        <w:rPr>
          <w:rFonts w:eastAsia="黑体" w:hint="eastAsia"/>
          <w:b/>
          <w:kern w:val="2"/>
          <w:sz w:val="24"/>
          <w:szCs w:val="22"/>
        </w:rPr>
        <w:t xml:space="preserve">  </w:t>
      </w:r>
      <w:r w:rsidRPr="002B55E9">
        <w:rPr>
          <w:rFonts w:eastAsia="黑体" w:hint="eastAsia"/>
          <w:b/>
          <w:kern w:val="2"/>
          <w:sz w:val="24"/>
          <w:szCs w:val="22"/>
        </w:rPr>
        <w:t>陈香醋生产产污环节分析及治理措施</w:t>
      </w:r>
    </w:p>
    <w:tbl>
      <w:tblPr>
        <w:tblStyle w:val="lgy2"/>
        <w:tblW w:w="5000" w:type="pct"/>
        <w:tblLayout w:type="fixed"/>
        <w:tblCellMar>
          <w:left w:w="28" w:type="dxa"/>
          <w:right w:w="28" w:type="dxa"/>
        </w:tblCellMar>
        <w:tblLook w:val="04A0" w:firstRow="1" w:lastRow="0" w:firstColumn="1" w:lastColumn="0" w:noHBand="0" w:noVBand="1"/>
      </w:tblPr>
      <w:tblGrid>
        <w:gridCol w:w="576"/>
        <w:gridCol w:w="850"/>
        <w:gridCol w:w="713"/>
        <w:gridCol w:w="1427"/>
        <w:gridCol w:w="1139"/>
        <w:gridCol w:w="861"/>
        <w:gridCol w:w="851"/>
        <w:gridCol w:w="1338"/>
        <w:gridCol w:w="1939"/>
      </w:tblGrid>
      <w:tr w:rsidR="002B55E9" w:rsidRPr="002B55E9" w14:paraId="2E01EEF5"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573" w:type="dxa"/>
          </w:tcPr>
          <w:p w14:paraId="45BB4983" w14:textId="77777777" w:rsidR="00D170E5" w:rsidRPr="002B55E9" w:rsidRDefault="00EF27AD">
            <w:pPr>
              <w:pStyle w:val="lgy-"/>
            </w:pPr>
            <w:r w:rsidRPr="002B55E9">
              <w:rPr>
                <w:rFonts w:eastAsia="宋体"/>
              </w:rPr>
              <w:t>类别</w:t>
            </w:r>
          </w:p>
        </w:tc>
        <w:tc>
          <w:tcPr>
            <w:tcW w:w="845" w:type="dxa"/>
          </w:tcPr>
          <w:p w14:paraId="3CFFFD5B" w14:textId="77777777" w:rsidR="00D170E5" w:rsidRPr="002B55E9" w:rsidRDefault="00EF27AD">
            <w:pPr>
              <w:pStyle w:val="lgy-"/>
            </w:pPr>
            <w:r w:rsidRPr="002B55E9">
              <w:rPr>
                <w:rFonts w:eastAsia="宋体"/>
              </w:rPr>
              <w:t>产污工序</w:t>
            </w:r>
          </w:p>
        </w:tc>
        <w:tc>
          <w:tcPr>
            <w:tcW w:w="2128" w:type="dxa"/>
            <w:gridSpan w:val="2"/>
          </w:tcPr>
          <w:p w14:paraId="43A772EF" w14:textId="77777777" w:rsidR="00D170E5" w:rsidRPr="002B55E9" w:rsidRDefault="00EF27AD">
            <w:pPr>
              <w:pStyle w:val="lgy-"/>
            </w:pPr>
            <w:r w:rsidRPr="002B55E9">
              <w:rPr>
                <w:rFonts w:eastAsia="宋体"/>
              </w:rPr>
              <w:t>产废类型</w:t>
            </w:r>
          </w:p>
        </w:tc>
        <w:tc>
          <w:tcPr>
            <w:tcW w:w="1132" w:type="dxa"/>
          </w:tcPr>
          <w:p w14:paraId="09F123BA" w14:textId="77777777" w:rsidR="00D170E5" w:rsidRPr="002B55E9" w:rsidRDefault="00EF27AD">
            <w:pPr>
              <w:pStyle w:val="lgy-"/>
            </w:pPr>
            <w:r w:rsidRPr="002B55E9">
              <w:rPr>
                <w:rFonts w:eastAsia="宋体"/>
              </w:rPr>
              <w:t>污染物</w:t>
            </w:r>
          </w:p>
        </w:tc>
        <w:tc>
          <w:tcPr>
            <w:tcW w:w="856" w:type="dxa"/>
          </w:tcPr>
          <w:p w14:paraId="02F45570" w14:textId="77777777" w:rsidR="00D170E5" w:rsidRPr="002B55E9" w:rsidRDefault="00EF27AD" w:rsidP="00EF27AD">
            <w:pPr>
              <w:pStyle w:val="lgy-"/>
            </w:pPr>
            <w:r w:rsidRPr="002B55E9">
              <w:rPr>
                <w:rFonts w:eastAsia="宋体"/>
              </w:rPr>
              <w:t>产生量（</w:t>
            </w:r>
            <w:r w:rsidRPr="002B55E9">
              <w:rPr>
                <w:rFonts w:eastAsia="宋体"/>
              </w:rPr>
              <w:t>t/a</w:t>
            </w:r>
            <w:r w:rsidRPr="002B55E9">
              <w:rPr>
                <w:rFonts w:eastAsia="宋体"/>
              </w:rPr>
              <w:t>）</w:t>
            </w:r>
          </w:p>
        </w:tc>
        <w:tc>
          <w:tcPr>
            <w:tcW w:w="846" w:type="dxa"/>
          </w:tcPr>
          <w:p w14:paraId="727E6C5F" w14:textId="77777777" w:rsidR="00D170E5" w:rsidRPr="002B55E9" w:rsidRDefault="00EF27AD">
            <w:pPr>
              <w:pStyle w:val="lgy-"/>
            </w:pPr>
            <w:r w:rsidRPr="002B55E9">
              <w:rPr>
                <w:rFonts w:eastAsia="宋体"/>
              </w:rPr>
              <w:t>产生强度（</w:t>
            </w:r>
            <w:r w:rsidRPr="002B55E9">
              <w:rPr>
                <w:rFonts w:eastAsia="宋体"/>
              </w:rPr>
              <w:t>kg/h</w:t>
            </w:r>
            <w:r w:rsidRPr="002B55E9">
              <w:rPr>
                <w:rFonts w:eastAsia="宋体"/>
              </w:rPr>
              <w:t>）</w:t>
            </w:r>
          </w:p>
        </w:tc>
        <w:tc>
          <w:tcPr>
            <w:tcW w:w="1330" w:type="dxa"/>
          </w:tcPr>
          <w:p w14:paraId="77106BAD" w14:textId="77777777" w:rsidR="00D170E5" w:rsidRPr="002B55E9" w:rsidRDefault="00EF27AD">
            <w:pPr>
              <w:pStyle w:val="lgy-"/>
            </w:pPr>
            <w:r w:rsidRPr="002B55E9">
              <w:rPr>
                <w:rFonts w:eastAsia="宋体"/>
              </w:rPr>
              <w:t>收集措施</w:t>
            </w:r>
          </w:p>
        </w:tc>
        <w:tc>
          <w:tcPr>
            <w:tcW w:w="1928" w:type="dxa"/>
          </w:tcPr>
          <w:p w14:paraId="4BFFC3A8" w14:textId="77777777" w:rsidR="00D170E5" w:rsidRPr="002B55E9" w:rsidRDefault="00EF27AD">
            <w:pPr>
              <w:pStyle w:val="lgy-"/>
              <w:rPr>
                <w:rFonts w:eastAsia="宋体"/>
              </w:rPr>
            </w:pPr>
            <w:r w:rsidRPr="002B55E9">
              <w:rPr>
                <w:rFonts w:eastAsia="宋体"/>
              </w:rPr>
              <w:t>去向</w:t>
            </w:r>
          </w:p>
        </w:tc>
      </w:tr>
      <w:tr w:rsidR="002B55E9" w:rsidRPr="002B55E9" w14:paraId="588B809B" w14:textId="77777777" w:rsidTr="00AE5254">
        <w:trPr>
          <w:trHeight w:val="283"/>
        </w:trPr>
        <w:tc>
          <w:tcPr>
            <w:tcW w:w="573" w:type="dxa"/>
          </w:tcPr>
          <w:p w14:paraId="1B38E833" w14:textId="77777777" w:rsidR="005879A8" w:rsidRPr="002B55E9" w:rsidRDefault="005879A8" w:rsidP="005879A8">
            <w:pPr>
              <w:pStyle w:val="lgy-"/>
            </w:pPr>
            <w:r w:rsidRPr="002B55E9">
              <w:rPr>
                <w:rFonts w:eastAsia="宋体" w:hint="eastAsia"/>
              </w:rPr>
              <w:t>废气</w:t>
            </w:r>
          </w:p>
        </w:tc>
        <w:tc>
          <w:tcPr>
            <w:tcW w:w="845" w:type="dxa"/>
          </w:tcPr>
          <w:p w14:paraId="7130B308" w14:textId="7D253E9D" w:rsidR="005879A8" w:rsidRPr="002B55E9" w:rsidRDefault="005879A8" w:rsidP="005879A8">
            <w:pPr>
              <w:pStyle w:val="lgy-"/>
            </w:pPr>
            <w:r w:rsidRPr="002B55E9">
              <w:rPr>
                <w:rFonts w:eastAsia="宋体" w:hint="eastAsia"/>
              </w:rPr>
              <w:t>包装</w:t>
            </w:r>
          </w:p>
        </w:tc>
        <w:tc>
          <w:tcPr>
            <w:tcW w:w="709" w:type="dxa"/>
          </w:tcPr>
          <w:p w14:paraId="7451372F" w14:textId="212217C3" w:rsidR="005879A8" w:rsidRPr="002B55E9" w:rsidRDefault="005879A8" w:rsidP="005879A8">
            <w:pPr>
              <w:pStyle w:val="lgy-"/>
            </w:pPr>
            <w:r w:rsidRPr="002B55E9">
              <w:rPr>
                <w:rFonts w:hint="eastAsia"/>
              </w:rPr>
              <w:t>G</w:t>
            </w:r>
            <w:r w:rsidRPr="002B55E9">
              <w:t>3-1</w:t>
            </w:r>
          </w:p>
        </w:tc>
        <w:tc>
          <w:tcPr>
            <w:tcW w:w="1419" w:type="dxa"/>
          </w:tcPr>
          <w:p w14:paraId="6ABEFAE3" w14:textId="68E22D9D" w:rsidR="005879A8" w:rsidRPr="002B55E9" w:rsidRDefault="005879A8" w:rsidP="005879A8">
            <w:pPr>
              <w:pStyle w:val="lgy-"/>
            </w:pPr>
            <w:r w:rsidRPr="002B55E9">
              <w:rPr>
                <w:rFonts w:eastAsia="宋体" w:hint="eastAsia"/>
              </w:rPr>
              <w:t>贴标、喷码废气</w:t>
            </w:r>
          </w:p>
        </w:tc>
        <w:tc>
          <w:tcPr>
            <w:tcW w:w="1132" w:type="dxa"/>
          </w:tcPr>
          <w:p w14:paraId="3BABB733" w14:textId="3FA52153" w:rsidR="005879A8" w:rsidRPr="002B55E9" w:rsidRDefault="005879A8" w:rsidP="005879A8">
            <w:pPr>
              <w:pStyle w:val="lgy-"/>
            </w:pPr>
            <w:r w:rsidRPr="002B55E9">
              <w:rPr>
                <w:rFonts w:eastAsia="宋体"/>
              </w:rPr>
              <w:t>非甲烷总烃</w:t>
            </w:r>
          </w:p>
        </w:tc>
        <w:tc>
          <w:tcPr>
            <w:tcW w:w="856" w:type="dxa"/>
            <w:tcBorders>
              <w:top w:val="nil"/>
              <w:left w:val="nil"/>
              <w:bottom w:val="nil"/>
              <w:right w:val="single" w:sz="8" w:space="0" w:color="auto"/>
            </w:tcBorders>
          </w:tcPr>
          <w:p w14:paraId="459FE61C" w14:textId="444BCD4C" w:rsidR="005879A8" w:rsidRPr="002B55E9" w:rsidRDefault="005879A8" w:rsidP="005879A8">
            <w:pPr>
              <w:pStyle w:val="lgy-"/>
            </w:pPr>
            <w:r w:rsidRPr="002B55E9">
              <w:rPr>
                <w:rFonts w:hint="eastAsia"/>
              </w:rPr>
              <w:t>0.028</w:t>
            </w:r>
          </w:p>
        </w:tc>
        <w:tc>
          <w:tcPr>
            <w:tcW w:w="846" w:type="dxa"/>
            <w:tcBorders>
              <w:top w:val="nil"/>
              <w:left w:val="nil"/>
              <w:bottom w:val="nil"/>
              <w:right w:val="single" w:sz="8" w:space="0" w:color="auto"/>
            </w:tcBorders>
          </w:tcPr>
          <w:p w14:paraId="224B9E0F" w14:textId="2B0FA7B0" w:rsidR="005879A8" w:rsidRPr="002B55E9" w:rsidRDefault="005879A8" w:rsidP="005879A8">
            <w:pPr>
              <w:pStyle w:val="lgy-"/>
            </w:pPr>
            <w:r w:rsidRPr="002B55E9">
              <w:rPr>
                <w:rFonts w:hint="eastAsia"/>
              </w:rPr>
              <w:t>0.004</w:t>
            </w:r>
          </w:p>
        </w:tc>
        <w:tc>
          <w:tcPr>
            <w:tcW w:w="1330" w:type="dxa"/>
          </w:tcPr>
          <w:p w14:paraId="49FB6FC7" w14:textId="77777777" w:rsidR="005879A8" w:rsidRPr="002B55E9" w:rsidRDefault="005879A8" w:rsidP="005879A8">
            <w:pPr>
              <w:pStyle w:val="lgy-"/>
            </w:pPr>
            <w:r w:rsidRPr="002B55E9">
              <w:rPr>
                <w:rFonts w:eastAsia="宋体" w:hint="eastAsia"/>
              </w:rPr>
              <w:t>车间通风设施抽排</w:t>
            </w:r>
          </w:p>
        </w:tc>
        <w:tc>
          <w:tcPr>
            <w:tcW w:w="1928" w:type="dxa"/>
          </w:tcPr>
          <w:p w14:paraId="4DFC0653" w14:textId="77777777" w:rsidR="005879A8" w:rsidRPr="002B55E9" w:rsidRDefault="005879A8" w:rsidP="005879A8">
            <w:pPr>
              <w:pStyle w:val="lgy-"/>
              <w:rPr>
                <w:rFonts w:eastAsia="宋体"/>
              </w:rPr>
            </w:pPr>
            <w:r w:rsidRPr="002B55E9">
              <w:rPr>
                <w:rFonts w:eastAsia="宋体" w:hint="eastAsia"/>
              </w:rPr>
              <w:t>无组织排放</w:t>
            </w:r>
          </w:p>
        </w:tc>
      </w:tr>
      <w:tr w:rsidR="002B55E9" w:rsidRPr="002B55E9" w14:paraId="7D9E97B8" w14:textId="77777777" w:rsidTr="00EF27AD">
        <w:trPr>
          <w:trHeight w:val="283"/>
        </w:trPr>
        <w:tc>
          <w:tcPr>
            <w:tcW w:w="573" w:type="dxa"/>
          </w:tcPr>
          <w:p w14:paraId="7AD1AE12" w14:textId="77777777" w:rsidR="005879A8" w:rsidRPr="002B55E9" w:rsidRDefault="005879A8" w:rsidP="005879A8">
            <w:pPr>
              <w:pStyle w:val="lgy-"/>
            </w:pPr>
            <w:r w:rsidRPr="002B55E9">
              <w:rPr>
                <w:rFonts w:eastAsia="宋体"/>
              </w:rPr>
              <w:t>废水</w:t>
            </w:r>
          </w:p>
        </w:tc>
        <w:tc>
          <w:tcPr>
            <w:tcW w:w="845" w:type="dxa"/>
          </w:tcPr>
          <w:p w14:paraId="590FDABB" w14:textId="77777777" w:rsidR="005879A8" w:rsidRPr="002B55E9" w:rsidRDefault="005879A8" w:rsidP="005879A8">
            <w:pPr>
              <w:pStyle w:val="lgy-"/>
            </w:pPr>
            <w:r w:rsidRPr="002B55E9">
              <w:rPr>
                <w:rFonts w:eastAsia="宋体"/>
              </w:rPr>
              <w:t>洗瓶</w:t>
            </w:r>
          </w:p>
        </w:tc>
        <w:tc>
          <w:tcPr>
            <w:tcW w:w="709" w:type="dxa"/>
          </w:tcPr>
          <w:p w14:paraId="50470AE1" w14:textId="77777777" w:rsidR="005879A8" w:rsidRPr="002B55E9" w:rsidRDefault="005879A8" w:rsidP="005879A8">
            <w:pPr>
              <w:pStyle w:val="lgy-"/>
            </w:pPr>
            <w:r w:rsidRPr="002B55E9">
              <w:rPr>
                <w:rFonts w:eastAsia="宋体"/>
              </w:rPr>
              <w:t>W3-1</w:t>
            </w:r>
          </w:p>
        </w:tc>
        <w:tc>
          <w:tcPr>
            <w:tcW w:w="1419" w:type="dxa"/>
          </w:tcPr>
          <w:p w14:paraId="50793680" w14:textId="77777777" w:rsidR="005879A8" w:rsidRPr="002B55E9" w:rsidRDefault="005879A8" w:rsidP="005879A8">
            <w:pPr>
              <w:pStyle w:val="lgy-"/>
            </w:pPr>
            <w:r w:rsidRPr="002B55E9">
              <w:rPr>
                <w:rFonts w:eastAsia="宋体"/>
              </w:rPr>
              <w:t>洗瓶废水</w:t>
            </w:r>
          </w:p>
        </w:tc>
        <w:tc>
          <w:tcPr>
            <w:tcW w:w="1132" w:type="dxa"/>
            <w:noWrap/>
          </w:tcPr>
          <w:p w14:paraId="552CA165" w14:textId="77777777" w:rsidR="005879A8" w:rsidRPr="002B55E9" w:rsidRDefault="005879A8" w:rsidP="005879A8">
            <w:pPr>
              <w:pStyle w:val="lgy-"/>
            </w:pPr>
            <w:r w:rsidRPr="002B55E9">
              <w:rPr>
                <w:rFonts w:eastAsia="宋体"/>
              </w:rPr>
              <w:t>COD</w:t>
            </w:r>
            <w:r w:rsidRPr="002B55E9">
              <w:rPr>
                <w:rFonts w:eastAsia="宋体"/>
              </w:rPr>
              <w:t>、</w:t>
            </w:r>
            <w:r w:rsidRPr="002B55E9">
              <w:rPr>
                <w:rFonts w:eastAsia="宋体"/>
              </w:rPr>
              <w:t>SS</w:t>
            </w:r>
            <w:r w:rsidRPr="002B55E9">
              <w:rPr>
                <w:rFonts w:eastAsia="宋体"/>
              </w:rPr>
              <w:t>等</w:t>
            </w:r>
          </w:p>
        </w:tc>
        <w:tc>
          <w:tcPr>
            <w:tcW w:w="856" w:type="dxa"/>
          </w:tcPr>
          <w:p w14:paraId="2C3871D0" w14:textId="77777777" w:rsidR="005879A8" w:rsidRPr="002B55E9" w:rsidRDefault="005879A8" w:rsidP="005879A8">
            <w:pPr>
              <w:pStyle w:val="lgy-"/>
            </w:pPr>
            <w:r w:rsidRPr="002B55E9">
              <w:rPr>
                <w:rFonts w:eastAsia="宋体"/>
              </w:rPr>
              <w:t>15365.76</w:t>
            </w:r>
          </w:p>
        </w:tc>
        <w:tc>
          <w:tcPr>
            <w:tcW w:w="846" w:type="dxa"/>
          </w:tcPr>
          <w:p w14:paraId="0C731567" w14:textId="77777777" w:rsidR="005879A8" w:rsidRPr="002B55E9" w:rsidRDefault="005879A8" w:rsidP="005879A8">
            <w:pPr>
              <w:pStyle w:val="lgy-"/>
            </w:pPr>
            <w:r w:rsidRPr="002B55E9">
              <w:rPr>
                <w:rFonts w:eastAsia="宋体" w:hint="eastAsia"/>
              </w:rPr>
              <w:t>/</w:t>
            </w:r>
          </w:p>
        </w:tc>
        <w:tc>
          <w:tcPr>
            <w:tcW w:w="1330" w:type="dxa"/>
          </w:tcPr>
          <w:p w14:paraId="3608C5EB" w14:textId="77777777" w:rsidR="005879A8" w:rsidRPr="002B55E9" w:rsidRDefault="005879A8" w:rsidP="005879A8">
            <w:pPr>
              <w:pStyle w:val="lgy-"/>
            </w:pPr>
            <w:r w:rsidRPr="002B55E9">
              <w:rPr>
                <w:rFonts w:eastAsia="宋体"/>
              </w:rPr>
              <w:t>生产废水管网</w:t>
            </w:r>
            <w:r w:rsidRPr="002B55E9">
              <w:rPr>
                <w:rFonts w:eastAsia="宋体" w:hint="eastAsia"/>
              </w:rPr>
              <w:t>收集</w:t>
            </w:r>
          </w:p>
        </w:tc>
        <w:tc>
          <w:tcPr>
            <w:tcW w:w="1928" w:type="dxa"/>
          </w:tcPr>
          <w:p w14:paraId="099D9660" w14:textId="77777777" w:rsidR="005879A8" w:rsidRPr="002B55E9" w:rsidRDefault="005879A8" w:rsidP="005879A8">
            <w:pPr>
              <w:pStyle w:val="lgy-"/>
              <w:rPr>
                <w:rFonts w:eastAsia="宋体"/>
              </w:rPr>
            </w:pPr>
            <w:r w:rsidRPr="002B55E9">
              <w:rPr>
                <w:rFonts w:eastAsia="宋体"/>
              </w:rPr>
              <w:t>排入佛山市海天（武汉）调味食品有限公司污水处理站处理</w:t>
            </w:r>
          </w:p>
        </w:tc>
      </w:tr>
      <w:tr w:rsidR="002B55E9" w:rsidRPr="002B55E9" w14:paraId="51531CD3" w14:textId="77777777" w:rsidTr="00EF27AD">
        <w:trPr>
          <w:trHeight w:val="283"/>
        </w:trPr>
        <w:tc>
          <w:tcPr>
            <w:tcW w:w="573" w:type="dxa"/>
            <w:vMerge w:val="restart"/>
          </w:tcPr>
          <w:p w14:paraId="482F6C8C" w14:textId="77777777" w:rsidR="005879A8" w:rsidRPr="002B55E9" w:rsidRDefault="005879A8" w:rsidP="005879A8">
            <w:pPr>
              <w:pStyle w:val="lgy-"/>
            </w:pPr>
            <w:r w:rsidRPr="002B55E9">
              <w:rPr>
                <w:rFonts w:eastAsia="宋体"/>
              </w:rPr>
              <w:t>固废</w:t>
            </w:r>
          </w:p>
        </w:tc>
        <w:tc>
          <w:tcPr>
            <w:tcW w:w="845" w:type="dxa"/>
          </w:tcPr>
          <w:p w14:paraId="5E6416B1" w14:textId="77777777" w:rsidR="005879A8" w:rsidRPr="002B55E9" w:rsidRDefault="005879A8" w:rsidP="005879A8">
            <w:pPr>
              <w:pStyle w:val="lgy-"/>
            </w:pPr>
            <w:r w:rsidRPr="002B55E9">
              <w:rPr>
                <w:rFonts w:eastAsia="宋体"/>
              </w:rPr>
              <w:t>过滤</w:t>
            </w:r>
          </w:p>
        </w:tc>
        <w:tc>
          <w:tcPr>
            <w:tcW w:w="709" w:type="dxa"/>
          </w:tcPr>
          <w:p w14:paraId="40C76A5A" w14:textId="77777777" w:rsidR="005879A8" w:rsidRPr="002B55E9" w:rsidRDefault="005879A8" w:rsidP="005879A8">
            <w:pPr>
              <w:pStyle w:val="lgy-"/>
            </w:pPr>
            <w:r w:rsidRPr="002B55E9">
              <w:rPr>
                <w:rFonts w:eastAsia="宋体"/>
              </w:rPr>
              <w:t>S3-1</w:t>
            </w:r>
          </w:p>
        </w:tc>
        <w:tc>
          <w:tcPr>
            <w:tcW w:w="1419" w:type="dxa"/>
          </w:tcPr>
          <w:p w14:paraId="3D47E7AC" w14:textId="77777777" w:rsidR="005879A8" w:rsidRPr="002B55E9" w:rsidRDefault="005879A8" w:rsidP="005879A8">
            <w:pPr>
              <w:pStyle w:val="lgy-"/>
            </w:pPr>
            <w:r w:rsidRPr="002B55E9">
              <w:rPr>
                <w:rFonts w:eastAsia="宋体"/>
              </w:rPr>
              <w:t>过滤残渣</w:t>
            </w:r>
          </w:p>
        </w:tc>
        <w:tc>
          <w:tcPr>
            <w:tcW w:w="1132" w:type="dxa"/>
            <w:noWrap/>
          </w:tcPr>
          <w:p w14:paraId="0A8F7752" w14:textId="77777777" w:rsidR="005879A8" w:rsidRPr="002B55E9" w:rsidRDefault="005879A8" w:rsidP="005879A8">
            <w:pPr>
              <w:pStyle w:val="lgy-"/>
            </w:pPr>
            <w:r w:rsidRPr="002B55E9">
              <w:rPr>
                <w:rFonts w:eastAsia="宋体"/>
              </w:rPr>
              <w:t>香辛料残渣</w:t>
            </w:r>
          </w:p>
        </w:tc>
        <w:tc>
          <w:tcPr>
            <w:tcW w:w="856" w:type="dxa"/>
          </w:tcPr>
          <w:p w14:paraId="3CE1435B" w14:textId="77777777" w:rsidR="005879A8" w:rsidRPr="002B55E9" w:rsidRDefault="005879A8" w:rsidP="005879A8">
            <w:pPr>
              <w:pStyle w:val="lgy-"/>
            </w:pPr>
            <w:r w:rsidRPr="002B55E9">
              <w:rPr>
                <w:rFonts w:eastAsia="宋体"/>
              </w:rPr>
              <w:t>4</w:t>
            </w:r>
          </w:p>
        </w:tc>
        <w:tc>
          <w:tcPr>
            <w:tcW w:w="846" w:type="dxa"/>
          </w:tcPr>
          <w:p w14:paraId="28E1C73D" w14:textId="77777777" w:rsidR="005879A8" w:rsidRPr="002B55E9" w:rsidRDefault="005879A8" w:rsidP="005879A8">
            <w:pPr>
              <w:pStyle w:val="lgy-"/>
            </w:pPr>
            <w:r w:rsidRPr="002B55E9">
              <w:rPr>
                <w:rFonts w:eastAsia="宋体" w:hint="eastAsia"/>
              </w:rPr>
              <w:t>/</w:t>
            </w:r>
          </w:p>
        </w:tc>
        <w:tc>
          <w:tcPr>
            <w:tcW w:w="1330" w:type="dxa"/>
          </w:tcPr>
          <w:p w14:paraId="78A52614" w14:textId="77777777" w:rsidR="005879A8" w:rsidRPr="002B55E9" w:rsidRDefault="005879A8" w:rsidP="005879A8">
            <w:pPr>
              <w:pStyle w:val="lgy-"/>
            </w:pPr>
            <w:r w:rsidRPr="002B55E9">
              <w:rPr>
                <w:rFonts w:eastAsia="宋体"/>
              </w:rPr>
              <w:t>密闭容器暂存</w:t>
            </w:r>
          </w:p>
        </w:tc>
        <w:tc>
          <w:tcPr>
            <w:tcW w:w="1928" w:type="dxa"/>
          </w:tcPr>
          <w:p w14:paraId="72B2D2EF" w14:textId="77777777" w:rsidR="005879A8" w:rsidRPr="002B55E9" w:rsidRDefault="005879A8" w:rsidP="005879A8">
            <w:pPr>
              <w:pStyle w:val="lgy-"/>
              <w:rPr>
                <w:rFonts w:eastAsia="宋体"/>
              </w:rPr>
            </w:pPr>
            <w:r w:rsidRPr="002B55E9">
              <w:rPr>
                <w:rFonts w:eastAsia="宋体"/>
              </w:rPr>
              <w:t>物资回收公司综合利用</w:t>
            </w:r>
          </w:p>
        </w:tc>
      </w:tr>
      <w:tr w:rsidR="002B55E9" w:rsidRPr="002B55E9" w14:paraId="4CC5809C" w14:textId="77777777" w:rsidTr="00EF27AD">
        <w:trPr>
          <w:trHeight w:val="283"/>
        </w:trPr>
        <w:tc>
          <w:tcPr>
            <w:tcW w:w="573" w:type="dxa"/>
            <w:vMerge/>
          </w:tcPr>
          <w:p w14:paraId="7C85AA2F" w14:textId="77777777" w:rsidR="005879A8" w:rsidRPr="002B55E9" w:rsidRDefault="005879A8" w:rsidP="005879A8">
            <w:pPr>
              <w:pStyle w:val="lgy-"/>
            </w:pPr>
          </w:p>
        </w:tc>
        <w:tc>
          <w:tcPr>
            <w:tcW w:w="845" w:type="dxa"/>
          </w:tcPr>
          <w:p w14:paraId="2EDEBD9E" w14:textId="77777777" w:rsidR="005879A8" w:rsidRPr="002B55E9" w:rsidRDefault="005879A8" w:rsidP="005879A8">
            <w:pPr>
              <w:pStyle w:val="lgy-"/>
            </w:pPr>
            <w:r w:rsidRPr="002B55E9">
              <w:rPr>
                <w:rFonts w:eastAsia="宋体"/>
              </w:rPr>
              <w:t>成品过滤</w:t>
            </w:r>
          </w:p>
        </w:tc>
        <w:tc>
          <w:tcPr>
            <w:tcW w:w="709" w:type="dxa"/>
          </w:tcPr>
          <w:p w14:paraId="321D29A5" w14:textId="77777777" w:rsidR="005879A8" w:rsidRPr="002B55E9" w:rsidRDefault="005879A8" w:rsidP="005879A8">
            <w:pPr>
              <w:pStyle w:val="lgy-"/>
            </w:pPr>
            <w:r w:rsidRPr="002B55E9">
              <w:rPr>
                <w:rFonts w:eastAsia="宋体"/>
              </w:rPr>
              <w:t>S3-2</w:t>
            </w:r>
          </w:p>
        </w:tc>
        <w:tc>
          <w:tcPr>
            <w:tcW w:w="1419" w:type="dxa"/>
          </w:tcPr>
          <w:p w14:paraId="23D37137" w14:textId="77777777" w:rsidR="005879A8" w:rsidRPr="002B55E9" w:rsidRDefault="005879A8" w:rsidP="005879A8">
            <w:pPr>
              <w:pStyle w:val="lgy-"/>
            </w:pPr>
            <w:r w:rsidRPr="002B55E9">
              <w:rPr>
                <w:rFonts w:eastAsia="宋体"/>
              </w:rPr>
              <w:t>过滤残渣</w:t>
            </w:r>
          </w:p>
        </w:tc>
        <w:tc>
          <w:tcPr>
            <w:tcW w:w="1132" w:type="dxa"/>
            <w:noWrap/>
          </w:tcPr>
          <w:p w14:paraId="01AB0F65" w14:textId="77777777" w:rsidR="005879A8" w:rsidRPr="002B55E9" w:rsidRDefault="005879A8" w:rsidP="005879A8">
            <w:pPr>
              <w:pStyle w:val="lgy-"/>
            </w:pPr>
            <w:r w:rsidRPr="002B55E9">
              <w:rPr>
                <w:rFonts w:eastAsia="宋体"/>
              </w:rPr>
              <w:t>不溶物及密封圈等</w:t>
            </w:r>
          </w:p>
        </w:tc>
        <w:tc>
          <w:tcPr>
            <w:tcW w:w="856" w:type="dxa"/>
          </w:tcPr>
          <w:p w14:paraId="1A7A42F3" w14:textId="033DA93B" w:rsidR="005879A8" w:rsidRPr="002B55E9" w:rsidRDefault="005879A8" w:rsidP="005879A8">
            <w:pPr>
              <w:pStyle w:val="lgy-"/>
            </w:pPr>
            <w:r w:rsidRPr="002B55E9">
              <w:rPr>
                <w:rFonts w:eastAsia="宋体"/>
              </w:rPr>
              <w:t>0.625</w:t>
            </w:r>
          </w:p>
        </w:tc>
        <w:tc>
          <w:tcPr>
            <w:tcW w:w="846" w:type="dxa"/>
          </w:tcPr>
          <w:p w14:paraId="5F673307" w14:textId="77777777" w:rsidR="005879A8" w:rsidRPr="002B55E9" w:rsidRDefault="005879A8" w:rsidP="005879A8">
            <w:pPr>
              <w:pStyle w:val="lgy-"/>
            </w:pPr>
            <w:r w:rsidRPr="002B55E9">
              <w:rPr>
                <w:rFonts w:eastAsia="宋体" w:hint="eastAsia"/>
              </w:rPr>
              <w:t>/</w:t>
            </w:r>
          </w:p>
        </w:tc>
        <w:tc>
          <w:tcPr>
            <w:tcW w:w="1330" w:type="dxa"/>
          </w:tcPr>
          <w:p w14:paraId="151D80B7" w14:textId="77777777" w:rsidR="005879A8" w:rsidRPr="002B55E9" w:rsidRDefault="005879A8" w:rsidP="005879A8">
            <w:pPr>
              <w:pStyle w:val="lgy-"/>
            </w:pPr>
            <w:r w:rsidRPr="002B55E9">
              <w:rPr>
                <w:rFonts w:eastAsia="宋体"/>
              </w:rPr>
              <w:t>密闭容器暂存</w:t>
            </w:r>
          </w:p>
        </w:tc>
        <w:tc>
          <w:tcPr>
            <w:tcW w:w="1928" w:type="dxa"/>
          </w:tcPr>
          <w:p w14:paraId="27DFB8E9" w14:textId="77777777" w:rsidR="005879A8" w:rsidRPr="002B55E9" w:rsidRDefault="005879A8" w:rsidP="005879A8">
            <w:pPr>
              <w:pStyle w:val="lgy-"/>
              <w:rPr>
                <w:rFonts w:eastAsia="宋体"/>
              </w:rPr>
            </w:pPr>
            <w:r w:rsidRPr="002B55E9">
              <w:rPr>
                <w:rFonts w:eastAsia="宋体"/>
              </w:rPr>
              <w:t>物资回收公司综合利用</w:t>
            </w:r>
          </w:p>
        </w:tc>
      </w:tr>
      <w:tr w:rsidR="002B55E9" w:rsidRPr="002B55E9" w14:paraId="043CD791" w14:textId="77777777" w:rsidTr="00EF27AD">
        <w:trPr>
          <w:trHeight w:val="283"/>
        </w:trPr>
        <w:tc>
          <w:tcPr>
            <w:tcW w:w="573" w:type="dxa"/>
            <w:vMerge/>
          </w:tcPr>
          <w:p w14:paraId="4FE3C2D4" w14:textId="77777777" w:rsidR="005879A8" w:rsidRPr="002B55E9" w:rsidRDefault="005879A8" w:rsidP="005879A8">
            <w:pPr>
              <w:pStyle w:val="lgy-"/>
            </w:pPr>
          </w:p>
        </w:tc>
        <w:tc>
          <w:tcPr>
            <w:tcW w:w="845" w:type="dxa"/>
          </w:tcPr>
          <w:p w14:paraId="6FB616E7" w14:textId="77777777" w:rsidR="005879A8" w:rsidRPr="002B55E9" w:rsidRDefault="005879A8" w:rsidP="005879A8">
            <w:pPr>
              <w:pStyle w:val="lgy-"/>
            </w:pPr>
            <w:r w:rsidRPr="002B55E9">
              <w:rPr>
                <w:rFonts w:eastAsia="宋体"/>
              </w:rPr>
              <w:t>洗瓶</w:t>
            </w:r>
          </w:p>
        </w:tc>
        <w:tc>
          <w:tcPr>
            <w:tcW w:w="709" w:type="dxa"/>
          </w:tcPr>
          <w:p w14:paraId="37999E98" w14:textId="77777777" w:rsidR="005879A8" w:rsidRPr="002B55E9" w:rsidRDefault="005879A8" w:rsidP="005879A8">
            <w:pPr>
              <w:pStyle w:val="lgy-"/>
            </w:pPr>
            <w:r w:rsidRPr="002B55E9">
              <w:rPr>
                <w:rFonts w:eastAsia="宋体"/>
              </w:rPr>
              <w:t>S3-3</w:t>
            </w:r>
          </w:p>
        </w:tc>
        <w:tc>
          <w:tcPr>
            <w:tcW w:w="1419" w:type="dxa"/>
          </w:tcPr>
          <w:p w14:paraId="1B65FEAB" w14:textId="77777777" w:rsidR="005879A8" w:rsidRPr="002B55E9" w:rsidRDefault="005879A8" w:rsidP="005879A8">
            <w:pPr>
              <w:pStyle w:val="lgy-"/>
            </w:pPr>
            <w:r w:rsidRPr="002B55E9">
              <w:rPr>
                <w:rFonts w:eastAsia="宋体"/>
              </w:rPr>
              <w:t>废包装瓶</w:t>
            </w:r>
          </w:p>
        </w:tc>
        <w:tc>
          <w:tcPr>
            <w:tcW w:w="1132" w:type="dxa"/>
            <w:noWrap/>
          </w:tcPr>
          <w:p w14:paraId="32E7AA9B" w14:textId="77777777" w:rsidR="005879A8" w:rsidRPr="002B55E9" w:rsidRDefault="005879A8" w:rsidP="005879A8">
            <w:pPr>
              <w:pStyle w:val="lgy-"/>
            </w:pPr>
            <w:r w:rsidRPr="002B55E9">
              <w:rPr>
                <w:rFonts w:eastAsia="宋体" w:hint="eastAsia"/>
              </w:rPr>
              <w:t>废瓶、碎瓶等</w:t>
            </w:r>
          </w:p>
        </w:tc>
        <w:tc>
          <w:tcPr>
            <w:tcW w:w="856" w:type="dxa"/>
          </w:tcPr>
          <w:p w14:paraId="7C88D6E5" w14:textId="77777777" w:rsidR="005879A8" w:rsidRPr="002B55E9" w:rsidRDefault="005879A8" w:rsidP="005879A8">
            <w:pPr>
              <w:pStyle w:val="lgy-"/>
            </w:pPr>
            <w:r w:rsidRPr="002B55E9">
              <w:rPr>
                <w:rFonts w:eastAsia="宋体"/>
              </w:rPr>
              <w:t>0.08</w:t>
            </w:r>
          </w:p>
        </w:tc>
        <w:tc>
          <w:tcPr>
            <w:tcW w:w="846" w:type="dxa"/>
          </w:tcPr>
          <w:p w14:paraId="28A9002F" w14:textId="77777777" w:rsidR="005879A8" w:rsidRPr="002B55E9" w:rsidRDefault="005879A8" w:rsidP="005879A8">
            <w:pPr>
              <w:pStyle w:val="lgy-"/>
            </w:pPr>
            <w:r w:rsidRPr="002B55E9">
              <w:rPr>
                <w:rFonts w:eastAsia="宋体" w:hint="eastAsia"/>
              </w:rPr>
              <w:t>/</w:t>
            </w:r>
          </w:p>
        </w:tc>
        <w:tc>
          <w:tcPr>
            <w:tcW w:w="1330" w:type="dxa"/>
          </w:tcPr>
          <w:p w14:paraId="7678E19D" w14:textId="77777777" w:rsidR="005879A8" w:rsidRPr="002B55E9" w:rsidRDefault="005879A8" w:rsidP="005879A8">
            <w:pPr>
              <w:pStyle w:val="lgy-"/>
            </w:pPr>
            <w:r w:rsidRPr="002B55E9">
              <w:rPr>
                <w:rFonts w:eastAsia="宋体"/>
              </w:rPr>
              <w:t>一般固废间暂存</w:t>
            </w:r>
          </w:p>
        </w:tc>
        <w:tc>
          <w:tcPr>
            <w:tcW w:w="1928" w:type="dxa"/>
          </w:tcPr>
          <w:p w14:paraId="16743C5F" w14:textId="77777777" w:rsidR="005879A8" w:rsidRPr="002B55E9" w:rsidRDefault="005879A8" w:rsidP="005879A8">
            <w:pPr>
              <w:pStyle w:val="lgy-"/>
              <w:rPr>
                <w:rFonts w:eastAsia="宋体"/>
              </w:rPr>
            </w:pPr>
            <w:r w:rsidRPr="002B55E9">
              <w:rPr>
                <w:rFonts w:eastAsia="宋体"/>
              </w:rPr>
              <w:t>物资回收公司综合利用</w:t>
            </w:r>
          </w:p>
        </w:tc>
      </w:tr>
      <w:tr w:rsidR="002B55E9" w:rsidRPr="002B55E9" w14:paraId="1651CF12" w14:textId="77777777" w:rsidTr="00EF27AD">
        <w:trPr>
          <w:trHeight w:val="283"/>
        </w:trPr>
        <w:tc>
          <w:tcPr>
            <w:tcW w:w="573" w:type="dxa"/>
            <w:vMerge/>
          </w:tcPr>
          <w:p w14:paraId="2D267AFE" w14:textId="77777777" w:rsidR="005879A8" w:rsidRPr="002B55E9" w:rsidRDefault="005879A8" w:rsidP="005879A8">
            <w:pPr>
              <w:pStyle w:val="lgy-"/>
            </w:pPr>
          </w:p>
        </w:tc>
        <w:tc>
          <w:tcPr>
            <w:tcW w:w="845" w:type="dxa"/>
          </w:tcPr>
          <w:p w14:paraId="38492748" w14:textId="77777777" w:rsidR="005879A8" w:rsidRPr="002B55E9" w:rsidRDefault="005879A8" w:rsidP="005879A8">
            <w:pPr>
              <w:pStyle w:val="lgy-"/>
            </w:pPr>
            <w:r w:rsidRPr="002B55E9">
              <w:rPr>
                <w:rFonts w:eastAsia="宋体"/>
              </w:rPr>
              <w:t>包装</w:t>
            </w:r>
          </w:p>
        </w:tc>
        <w:tc>
          <w:tcPr>
            <w:tcW w:w="709" w:type="dxa"/>
          </w:tcPr>
          <w:p w14:paraId="6974DA28" w14:textId="77777777" w:rsidR="005879A8" w:rsidRPr="002B55E9" w:rsidRDefault="005879A8" w:rsidP="005879A8">
            <w:pPr>
              <w:pStyle w:val="lgy-"/>
            </w:pPr>
            <w:r w:rsidRPr="002B55E9">
              <w:rPr>
                <w:rFonts w:eastAsia="宋体"/>
              </w:rPr>
              <w:t>S3-4</w:t>
            </w:r>
          </w:p>
        </w:tc>
        <w:tc>
          <w:tcPr>
            <w:tcW w:w="1419" w:type="dxa"/>
          </w:tcPr>
          <w:p w14:paraId="42E22B0A" w14:textId="77777777" w:rsidR="005879A8" w:rsidRPr="002B55E9" w:rsidRDefault="005879A8" w:rsidP="005879A8">
            <w:pPr>
              <w:pStyle w:val="lgy-"/>
            </w:pPr>
            <w:r w:rsidRPr="002B55E9">
              <w:rPr>
                <w:rFonts w:eastAsia="宋体" w:hint="eastAsia"/>
              </w:rPr>
              <w:t>废纸箱、废胶桶、废油墨桶、废墨盒等</w:t>
            </w:r>
          </w:p>
        </w:tc>
        <w:tc>
          <w:tcPr>
            <w:tcW w:w="1132" w:type="dxa"/>
            <w:noWrap/>
          </w:tcPr>
          <w:p w14:paraId="7999F7CB" w14:textId="77777777" w:rsidR="005879A8" w:rsidRPr="002B55E9" w:rsidRDefault="005879A8" w:rsidP="005879A8">
            <w:pPr>
              <w:pStyle w:val="lgy-"/>
            </w:pPr>
            <w:r w:rsidRPr="002B55E9">
              <w:rPr>
                <w:rFonts w:eastAsia="宋体" w:hint="eastAsia"/>
              </w:rPr>
              <w:t>废纸箱、废胶桶、废油墨桶、废墨盒等</w:t>
            </w:r>
          </w:p>
        </w:tc>
        <w:tc>
          <w:tcPr>
            <w:tcW w:w="856" w:type="dxa"/>
          </w:tcPr>
          <w:p w14:paraId="22C42CCB" w14:textId="77777777" w:rsidR="005879A8" w:rsidRPr="002B55E9" w:rsidRDefault="005879A8" w:rsidP="005879A8">
            <w:pPr>
              <w:pStyle w:val="lgy-"/>
            </w:pPr>
            <w:r w:rsidRPr="002B55E9">
              <w:rPr>
                <w:rFonts w:eastAsia="宋体"/>
              </w:rPr>
              <w:t>0.16</w:t>
            </w:r>
          </w:p>
        </w:tc>
        <w:tc>
          <w:tcPr>
            <w:tcW w:w="846" w:type="dxa"/>
          </w:tcPr>
          <w:p w14:paraId="5AF73FEF" w14:textId="77777777" w:rsidR="005879A8" w:rsidRPr="002B55E9" w:rsidRDefault="005879A8" w:rsidP="005879A8">
            <w:pPr>
              <w:pStyle w:val="lgy-"/>
            </w:pPr>
            <w:r w:rsidRPr="002B55E9">
              <w:rPr>
                <w:rFonts w:eastAsia="宋体" w:hint="eastAsia"/>
              </w:rPr>
              <w:t>/</w:t>
            </w:r>
          </w:p>
        </w:tc>
        <w:tc>
          <w:tcPr>
            <w:tcW w:w="1330" w:type="dxa"/>
          </w:tcPr>
          <w:p w14:paraId="5A5CAC02" w14:textId="77777777" w:rsidR="005879A8" w:rsidRPr="002B55E9" w:rsidRDefault="005879A8" w:rsidP="005879A8">
            <w:pPr>
              <w:pStyle w:val="lgy-"/>
            </w:pPr>
            <w:r w:rsidRPr="002B55E9">
              <w:rPr>
                <w:rFonts w:eastAsia="宋体"/>
              </w:rPr>
              <w:t>危废暂存间暂存、一般固废暂存间暂存</w:t>
            </w:r>
          </w:p>
        </w:tc>
        <w:tc>
          <w:tcPr>
            <w:tcW w:w="1928" w:type="dxa"/>
          </w:tcPr>
          <w:p w14:paraId="303FB00E" w14:textId="77777777" w:rsidR="005879A8" w:rsidRPr="002B55E9" w:rsidRDefault="005879A8" w:rsidP="005879A8">
            <w:pPr>
              <w:pStyle w:val="lgy-"/>
              <w:rPr>
                <w:rFonts w:eastAsia="宋体"/>
              </w:rPr>
            </w:pPr>
            <w:r w:rsidRPr="002B55E9">
              <w:rPr>
                <w:rFonts w:eastAsia="宋体" w:hint="eastAsia"/>
              </w:rPr>
              <w:t>废胶桶、废油墨桶、废墨盒等危险废物交由有资质单位清运处理，其他一般固体废物交由物资回收公司回收利用</w:t>
            </w:r>
          </w:p>
        </w:tc>
      </w:tr>
    </w:tbl>
    <w:bookmarkEnd w:id="154"/>
    <w:bookmarkEnd w:id="158"/>
    <w:bookmarkEnd w:id="160"/>
    <w:p w14:paraId="5B81B20A" w14:textId="77777777" w:rsidR="00D170E5" w:rsidRPr="002B55E9" w:rsidRDefault="00EF27AD">
      <w:pPr>
        <w:pStyle w:val="4"/>
        <w:rPr>
          <w:color w:val="auto"/>
        </w:rPr>
      </w:pPr>
      <w:r w:rsidRPr="002B55E9">
        <w:rPr>
          <w:rFonts w:hint="eastAsia"/>
          <w:color w:val="auto"/>
        </w:rPr>
        <w:t>质检化验</w:t>
      </w:r>
    </w:p>
    <w:p w14:paraId="199814EF" w14:textId="77777777" w:rsidR="00D170E5" w:rsidRPr="002B55E9" w:rsidRDefault="00EF27AD">
      <w:pPr>
        <w:pStyle w:val="5"/>
      </w:pPr>
      <w:r w:rsidRPr="002B55E9">
        <w:rPr>
          <w:rFonts w:hint="eastAsia"/>
        </w:rPr>
        <w:t>工艺流程及产污环节</w:t>
      </w:r>
    </w:p>
    <w:p w14:paraId="7A67CC7E" w14:textId="7284C720" w:rsidR="00D170E5" w:rsidRDefault="00EF27AD">
      <w:pPr>
        <w:pStyle w:val="aa"/>
        <w:snapToGrid w:val="0"/>
      </w:pPr>
      <w:r w:rsidRPr="002B55E9">
        <w:rPr>
          <w:rFonts w:hint="eastAsia"/>
        </w:rPr>
        <w:t>拟建项目在十一车间西侧二层设有化验室，主要对外购原料、中间品</w:t>
      </w:r>
      <w:r w:rsidRPr="002B55E9">
        <w:t>及</w:t>
      </w:r>
      <w:r w:rsidRPr="002B55E9">
        <w:rPr>
          <w:rFonts w:hint="eastAsia"/>
        </w:rPr>
        <w:t>成品进行检测。</w:t>
      </w:r>
    </w:p>
    <w:p w14:paraId="5D1A1312" w14:textId="77777777" w:rsidR="00C60999" w:rsidRDefault="00C60999" w:rsidP="00C60999">
      <w:pPr>
        <w:pStyle w:val="1f3"/>
        <w:spacing w:beforeLines="0" w:before="0"/>
      </w:pPr>
    </w:p>
    <w:p w14:paraId="4C5A85BC"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47C9623A" w14:textId="77777777" w:rsidR="00C60999" w:rsidRPr="002B55E9" w:rsidRDefault="00C60999" w:rsidP="00C60999">
      <w:pPr>
        <w:pStyle w:val="1f3"/>
        <w:spacing w:beforeLines="0" w:before="0"/>
      </w:pPr>
    </w:p>
    <w:p w14:paraId="699E8F98" w14:textId="77777777" w:rsidR="00D170E5" w:rsidRPr="002B55E9" w:rsidRDefault="00EF27AD">
      <w:pPr>
        <w:pStyle w:val="5"/>
      </w:pPr>
      <w:r w:rsidRPr="002B55E9">
        <w:rPr>
          <w:rFonts w:hint="eastAsia"/>
        </w:rPr>
        <w:t>产污分析及防治措施</w:t>
      </w:r>
    </w:p>
    <w:p w14:paraId="02F7BCBF" w14:textId="60A76F9F"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结合工艺流程及物料使用情况，化验室检测检验产污环节及治理措施见下表。</w:t>
      </w:r>
    </w:p>
    <w:p w14:paraId="7510AEE5" w14:textId="0EF04592" w:rsidR="00D170E5" w:rsidRPr="002B55E9" w:rsidRDefault="00EF27AD">
      <w:pPr>
        <w:snapToGrid w:val="0"/>
        <w:jc w:val="center"/>
        <w:rPr>
          <w:rFonts w:eastAsia="黑体"/>
          <w:b/>
          <w:kern w:val="2"/>
          <w:sz w:val="24"/>
          <w:szCs w:val="22"/>
        </w:rPr>
      </w:pPr>
      <w:r w:rsidRPr="002B55E9">
        <w:rPr>
          <w:rFonts w:eastAsia="黑体" w:hint="eastAsia"/>
          <w:b/>
          <w:kern w:val="2"/>
          <w:sz w:val="24"/>
          <w:szCs w:val="22"/>
        </w:rPr>
        <w:t>表</w:t>
      </w:r>
      <w:r w:rsidRPr="002B55E9">
        <w:rPr>
          <w:rFonts w:eastAsia="黑体" w:hint="eastAsia"/>
          <w:b/>
          <w:kern w:val="2"/>
          <w:sz w:val="24"/>
          <w:szCs w:val="22"/>
        </w:rPr>
        <w:t>3-</w:t>
      </w:r>
      <w:r w:rsidRPr="002B55E9">
        <w:rPr>
          <w:rFonts w:eastAsia="黑体"/>
          <w:b/>
          <w:kern w:val="2"/>
          <w:sz w:val="24"/>
          <w:szCs w:val="22"/>
        </w:rPr>
        <w:t>1</w:t>
      </w:r>
      <w:r w:rsidRPr="002B55E9">
        <w:rPr>
          <w:rFonts w:eastAsia="黑体" w:hint="eastAsia"/>
          <w:b/>
          <w:kern w:val="2"/>
          <w:sz w:val="24"/>
          <w:szCs w:val="22"/>
        </w:rPr>
        <w:t>-</w:t>
      </w:r>
      <w:r w:rsidRPr="002B55E9">
        <w:rPr>
          <w:rFonts w:eastAsia="黑体"/>
          <w:b/>
          <w:kern w:val="2"/>
          <w:sz w:val="24"/>
          <w:szCs w:val="22"/>
        </w:rPr>
        <w:t>1</w:t>
      </w:r>
      <w:r w:rsidR="0075497D" w:rsidRPr="002B55E9">
        <w:rPr>
          <w:rFonts w:eastAsia="黑体"/>
          <w:b/>
          <w:kern w:val="2"/>
          <w:sz w:val="24"/>
          <w:szCs w:val="22"/>
        </w:rPr>
        <w:t>9</w:t>
      </w:r>
      <w:r w:rsidRPr="002B55E9">
        <w:rPr>
          <w:rFonts w:eastAsia="黑体" w:hint="eastAsia"/>
          <w:b/>
          <w:kern w:val="2"/>
          <w:sz w:val="24"/>
          <w:szCs w:val="22"/>
        </w:rPr>
        <w:t xml:space="preserve">  </w:t>
      </w:r>
      <w:r w:rsidRPr="002B55E9">
        <w:rPr>
          <w:rFonts w:eastAsia="黑体" w:hint="eastAsia"/>
          <w:b/>
          <w:kern w:val="2"/>
          <w:sz w:val="24"/>
          <w:szCs w:val="22"/>
        </w:rPr>
        <w:t>陈香醋生产产污环节分析及治理措施</w:t>
      </w:r>
    </w:p>
    <w:tbl>
      <w:tblPr>
        <w:tblStyle w:val="lgy2"/>
        <w:tblW w:w="5000" w:type="pct"/>
        <w:tblLayout w:type="fixed"/>
        <w:tblCellMar>
          <w:left w:w="28" w:type="dxa"/>
          <w:right w:w="28" w:type="dxa"/>
        </w:tblCellMar>
        <w:tblLook w:val="04A0" w:firstRow="1" w:lastRow="0" w:firstColumn="1" w:lastColumn="0" w:noHBand="0" w:noVBand="1"/>
      </w:tblPr>
      <w:tblGrid>
        <w:gridCol w:w="573"/>
        <w:gridCol w:w="1137"/>
        <w:gridCol w:w="570"/>
        <w:gridCol w:w="1450"/>
        <w:gridCol w:w="1223"/>
        <w:gridCol w:w="611"/>
        <w:gridCol w:w="855"/>
        <w:gridCol w:w="1336"/>
        <w:gridCol w:w="1939"/>
      </w:tblGrid>
      <w:tr w:rsidR="002B55E9" w:rsidRPr="002B55E9" w14:paraId="2C6718A4"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570" w:type="dxa"/>
          </w:tcPr>
          <w:p w14:paraId="1C127A49" w14:textId="77777777" w:rsidR="00D170E5" w:rsidRPr="002B55E9" w:rsidRDefault="00EF27AD">
            <w:pPr>
              <w:pStyle w:val="lgy-"/>
            </w:pPr>
            <w:r w:rsidRPr="002B55E9">
              <w:rPr>
                <w:rFonts w:eastAsia="宋体"/>
              </w:rPr>
              <w:t>类别</w:t>
            </w:r>
          </w:p>
        </w:tc>
        <w:tc>
          <w:tcPr>
            <w:tcW w:w="1130" w:type="dxa"/>
          </w:tcPr>
          <w:p w14:paraId="0BEA0D14" w14:textId="77777777" w:rsidR="00D170E5" w:rsidRPr="002B55E9" w:rsidRDefault="00EF27AD">
            <w:pPr>
              <w:pStyle w:val="lgy-"/>
            </w:pPr>
            <w:r w:rsidRPr="002B55E9">
              <w:rPr>
                <w:rFonts w:eastAsia="宋体"/>
              </w:rPr>
              <w:t>产污设施</w:t>
            </w:r>
          </w:p>
        </w:tc>
        <w:tc>
          <w:tcPr>
            <w:tcW w:w="2009" w:type="dxa"/>
            <w:gridSpan w:val="2"/>
          </w:tcPr>
          <w:p w14:paraId="2D04617A" w14:textId="77777777" w:rsidR="00D170E5" w:rsidRPr="002B55E9" w:rsidRDefault="00EF27AD">
            <w:pPr>
              <w:pStyle w:val="lgy-"/>
            </w:pPr>
            <w:r w:rsidRPr="002B55E9">
              <w:rPr>
                <w:rFonts w:eastAsia="宋体"/>
              </w:rPr>
              <w:t>产废类型</w:t>
            </w:r>
          </w:p>
        </w:tc>
        <w:tc>
          <w:tcPr>
            <w:tcW w:w="1216" w:type="dxa"/>
          </w:tcPr>
          <w:p w14:paraId="1C1C5B6A" w14:textId="77777777" w:rsidR="00D170E5" w:rsidRPr="002B55E9" w:rsidRDefault="00EF27AD">
            <w:pPr>
              <w:pStyle w:val="lgy-"/>
            </w:pPr>
            <w:r w:rsidRPr="002B55E9">
              <w:rPr>
                <w:rFonts w:eastAsia="宋体"/>
              </w:rPr>
              <w:t>污染物</w:t>
            </w:r>
          </w:p>
        </w:tc>
        <w:tc>
          <w:tcPr>
            <w:tcW w:w="607" w:type="dxa"/>
          </w:tcPr>
          <w:p w14:paraId="06EBC009" w14:textId="77777777" w:rsidR="00D170E5" w:rsidRPr="002B55E9" w:rsidRDefault="00EF27AD">
            <w:pPr>
              <w:pStyle w:val="lgy-"/>
            </w:pPr>
            <w:r w:rsidRPr="002B55E9">
              <w:rPr>
                <w:rFonts w:eastAsia="宋体"/>
              </w:rPr>
              <w:t>产生量（</w:t>
            </w:r>
            <w:r w:rsidRPr="002B55E9">
              <w:rPr>
                <w:rFonts w:eastAsia="宋体"/>
              </w:rPr>
              <w:t>t/a</w:t>
            </w:r>
            <w:r w:rsidRPr="002B55E9">
              <w:rPr>
                <w:rFonts w:eastAsia="宋体"/>
              </w:rPr>
              <w:t>）</w:t>
            </w:r>
          </w:p>
        </w:tc>
        <w:tc>
          <w:tcPr>
            <w:tcW w:w="850" w:type="dxa"/>
          </w:tcPr>
          <w:p w14:paraId="1D32DA89" w14:textId="77777777" w:rsidR="00D170E5" w:rsidRPr="002B55E9" w:rsidRDefault="00EF27AD">
            <w:pPr>
              <w:pStyle w:val="lgy-"/>
            </w:pPr>
            <w:r w:rsidRPr="002B55E9">
              <w:rPr>
                <w:rFonts w:eastAsia="宋体"/>
              </w:rPr>
              <w:t>产生强度（</w:t>
            </w:r>
            <w:r w:rsidRPr="002B55E9">
              <w:rPr>
                <w:rFonts w:eastAsia="宋体"/>
              </w:rPr>
              <w:t>kg/h</w:t>
            </w:r>
            <w:r w:rsidRPr="002B55E9">
              <w:rPr>
                <w:rFonts w:eastAsia="宋体"/>
              </w:rPr>
              <w:t>）</w:t>
            </w:r>
          </w:p>
        </w:tc>
        <w:tc>
          <w:tcPr>
            <w:tcW w:w="1328" w:type="dxa"/>
          </w:tcPr>
          <w:p w14:paraId="42F67543" w14:textId="77777777" w:rsidR="00D170E5" w:rsidRPr="002B55E9" w:rsidRDefault="00EF27AD">
            <w:pPr>
              <w:pStyle w:val="lgy-"/>
            </w:pPr>
            <w:r w:rsidRPr="002B55E9">
              <w:rPr>
                <w:rFonts w:eastAsia="宋体"/>
              </w:rPr>
              <w:t>收集措施</w:t>
            </w:r>
          </w:p>
        </w:tc>
        <w:tc>
          <w:tcPr>
            <w:tcW w:w="1928" w:type="dxa"/>
          </w:tcPr>
          <w:p w14:paraId="03FD6DBA" w14:textId="77777777" w:rsidR="00D170E5" w:rsidRPr="002B55E9" w:rsidRDefault="00EF27AD">
            <w:pPr>
              <w:pStyle w:val="lgy-"/>
              <w:rPr>
                <w:rFonts w:eastAsia="宋体"/>
              </w:rPr>
            </w:pPr>
            <w:r w:rsidRPr="002B55E9">
              <w:rPr>
                <w:rFonts w:eastAsia="宋体"/>
              </w:rPr>
              <w:t>去向</w:t>
            </w:r>
          </w:p>
        </w:tc>
      </w:tr>
      <w:tr w:rsidR="002B55E9" w:rsidRPr="002B55E9" w14:paraId="1A895393" w14:textId="77777777" w:rsidTr="00EF27AD">
        <w:trPr>
          <w:trHeight w:val="283"/>
        </w:trPr>
        <w:tc>
          <w:tcPr>
            <w:tcW w:w="570" w:type="dxa"/>
          </w:tcPr>
          <w:p w14:paraId="0A291B88" w14:textId="77777777" w:rsidR="00D170E5" w:rsidRPr="002B55E9" w:rsidRDefault="00EF27AD">
            <w:pPr>
              <w:pStyle w:val="lgy-"/>
            </w:pPr>
            <w:r w:rsidRPr="002B55E9">
              <w:rPr>
                <w:rFonts w:eastAsia="宋体"/>
              </w:rPr>
              <w:t>废气</w:t>
            </w:r>
          </w:p>
        </w:tc>
        <w:tc>
          <w:tcPr>
            <w:tcW w:w="1130" w:type="dxa"/>
          </w:tcPr>
          <w:p w14:paraId="6611DC9D" w14:textId="77777777" w:rsidR="00D170E5" w:rsidRPr="002B55E9" w:rsidRDefault="00EF27AD">
            <w:pPr>
              <w:pStyle w:val="lgy-"/>
            </w:pPr>
            <w:r w:rsidRPr="002B55E9">
              <w:rPr>
                <w:rFonts w:eastAsia="宋体"/>
              </w:rPr>
              <w:t>通风橱</w:t>
            </w:r>
          </w:p>
        </w:tc>
        <w:tc>
          <w:tcPr>
            <w:tcW w:w="567" w:type="dxa"/>
          </w:tcPr>
          <w:p w14:paraId="56495351" w14:textId="77777777" w:rsidR="00D170E5" w:rsidRPr="002B55E9" w:rsidRDefault="00EF27AD" w:rsidP="00EF27AD">
            <w:pPr>
              <w:pStyle w:val="lgy-"/>
            </w:pPr>
            <w:r w:rsidRPr="002B55E9">
              <w:rPr>
                <w:rFonts w:eastAsia="宋体"/>
              </w:rPr>
              <w:t>G4-1</w:t>
            </w:r>
          </w:p>
        </w:tc>
        <w:tc>
          <w:tcPr>
            <w:tcW w:w="1442" w:type="dxa"/>
          </w:tcPr>
          <w:p w14:paraId="560E33EC" w14:textId="77777777" w:rsidR="00D170E5" w:rsidRPr="002B55E9" w:rsidRDefault="00EF27AD">
            <w:pPr>
              <w:pStyle w:val="lgy-"/>
            </w:pPr>
            <w:r w:rsidRPr="002B55E9">
              <w:rPr>
                <w:rFonts w:eastAsia="宋体"/>
              </w:rPr>
              <w:t>实验废气</w:t>
            </w:r>
          </w:p>
        </w:tc>
        <w:tc>
          <w:tcPr>
            <w:tcW w:w="1216" w:type="dxa"/>
            <w:noWrap/>
          </w:tcPr>
          <w:p w14:paraId="79EADB58" w14:textId="77777777" w:rsidR="00D170E5" w:rsidRPr="002B55E9" w:rsidRDefault="00EF27AD">
            <w:pPr>
              <w:pStyle w:val="lgy-"/>
              <w:rPr>
                <w:rFonts w:eastAsia="宋体"/>
              </w:rPr>
            </w:pPr>
            <w:r w:rsidRPr="002B55E9">
              <w:rPr>
                <w:rFonts w:eastAsia="宋体"/>
              </w:rPr>
              <w:t>挥发性有机物、甲醛、硫酸、盐酸等</w:t>
            </w:r>
          </w:p>
        </w:tc>
        <w:tc>
          <w:tcPr>
            <w:tcW w:w="607" w:type="dxa"/>
          </w:tcPr>
          <w:p w14:paraId="41EDAD6A" w14:textId="77777777" w:rsidR="00D170E5" w:rsidRPr="002B55E9" w:rsidRDefault="00EF27AD">
            <w:pPr>
              <w:pStyle w:val="lgy-"/>
              <w:rPr>
                <w:rFonts w:eastAsia="宋体"/>
              </w:rPr>
            </w:pPr>
            <w:r w:rsidRPr="002B55E9">
              <w:rPr>
                <w:rFonts w:eastAsia="等线"/>
              </w:rPr>
              <w:t>0.007</w:t>
            </w:r>
          </w:p>
        </w:tc>
        <w:tc>
          <w:tcPr>
            <w:tcW w:w="850" w:type="dxa"/>
          </w:tcPr>
          <w:p w14:paraId="56228B75" w14:textId="77777777" w:rsidR="00D170E5" w:rsidRPr="002B55E9" w:rsidRDefault="00EF27AD">
            <w:pPr>
              <w:pStyle w:val="lgy-"/>
            </w:pPr>
            <w:r w:rsidRPr="002B55E9">
              <w:rPr>
                <w:rFonts w:eastAsia="等线"/>
              </w:rPr>
              <w:t xml:space="preserve">0.011 </w:t>
            </w:r>
          </w:p>
        </w:tc>
        <w:tc>
          <w:tcPr>
            <w:tcW w:w="1328" w:type="dxa"/>
          </w:tcPr>
          <w:p w14:paraId="064CDA14" w14:textId="77777777" w:rsidR="00D170E5" w:rsidRPr="002B55E9" w:rsidRDefault="00EF27AD">
            <w:pPr>
              <w:pStyle w:val="lgy-"/>
            </w:pPr>
            <w:r w:rsidRPr="002B55E9">
              <w:rPr>
                <w:rFonts w:eastAsia="宋体"/>
              </w:rPr>
              <w:t>通风橱收集</w:t>
            </w:r>
          </w:p>
        </w:tc>
        <w:tc>
          <w:tcPr>
            <w:tcW w:w="1928" w:type="dxa"/>
          </w:tcPr>
          <w:p w14:paraId="4D56EB2F" w14:textId="77777777" w:rsidR="00D170E5" w:rsidRPr="002B55E9" w:rsidRDefault="00EF27AD">
            <w:pPr>
              <w:pStyle w:val="lgy-"/>
              <w:rPr>
                <w:rFonts w:eastAsia="宋体"/>
              </w:rPr>
            </w:pPr>
            <w:r w:rsidRPr="002B55E9">
              <w:rPr>
                <w:rFonts w:eastAsia="宋体"/>
              </w:rPr>
              <w:t>活性炭吸附装置处理后</w:t>
            </w:r>
            <w:r w:rsidRPr="002B55E9">
              <w:rPr>
                <w:rFonts w:eastAsia="宋体"/>
              </w:rPr>
              <w:t xml:space="preserve">15m </w:t>
            </w:r>
            <w:r w:rsidRPr="002B55E9">
              <w:rPr>
                <w:rFonts w:eastAsia="宋体"/>
              </w:rPr>
              <w:t>高排气筒（</w:t>
            </w:r>
            <w:r w:rsidRPr="002B55E9">
              <w:rPr>
                <w:rFonts w:eastAsia="宋体"/>
              </w:rPr>
              <w:t>DA003</w:t>
            </w:r>
            <w:r w:rsidRPr="002B55E9">
              <w:rPr>
                <w:rFonts w:eastAsia="宋体"/>
              </w:rPr>
              <w:t>）排放</w:t>
            </w:r>
          </w:p>
        </w:tc>
      </w:tr>
      <w:tr w:rsidR="002B55E9" w:rsidRPr="002B55E9" w14:paraId="2ADB8E81" w14:textId="77777777" w:rsidTr="00EF27AD">
        <w:trPr>
          <w:trHeight w:val="283"/>
        </w:trPr>
        <w:tc>
          <w:tcPr>
            <w:tcW w:w="570" w:type="dxa"/>
          </w:tcPr>
          <w:p w14:paraId="2157FEA7" w14:textId="77777777" w:rsidR="00D170E5" w:rsidRPr="002B55E9" w:rsidRDefault="00EF27AD">
            <w:pPr>
              <w:pStyle w:val="lgy-"/>
            </w:pPr>
            <w:r w:rsidRPr="002B55E9">
              <w:rPr>
                <w:rFonts w:eastAsia="宋体"/>
              </w:rPr>
              <w:t>废水</w:t>
            </w:r>
          </w:p>
        </w:tc>
        <w:tc>
          <w:tcPr>
            <w:tcW w:w="1130" w:type="dxa"/>
          </w:tcPr>
          <w:p w14:paraId="47D114C0" w14:textId="77777777" w:rsidR="00D170E5" w:rsidRPr="002B55E9" w:rsidRDefault="00EF27AD">
            <w:pPr>
              <w:pStyle w:val="lgy-"/>
            </w:pPr>
            <w:r w:rsidRPr="002B55E9">
              <w:rPr>
                <w:rFonts w:eastAsia="宋体"/>
              </w:rPr>
              <w:t>实验设备、器皿等</w:t>
            </w:r>
          </w:p>
        </w:tc>
        <w:tc>
          <w:tcPr>
            <w:tcW w:w="567" w:type="dxa"/>
          </w:tcPr>
          <w:p w14:paraId="3B15D98D" w14:textId="77777777" w:rsidR="00D170E5" w:rsidRPr="002B55E9" w:rsidRDefault="00EF27AD">
            <w:pPr>
              <w:pStyle w:val="lgy-"/>
            </w:pPr>
            <w:r w:rsidRPr="002B55E9">
              <w:rPr>
                <w:rFonts w:eastAsia="宋体"/>
              </w:rPr>
              <w:t>W4-1</w:t>
            </w:r>
          </w:p>
        </w:tc>
        <w:tc>
          <w:tcPr>
            <w:tcW w:w="1442" w:type="dxa"/>
          </w:tcPr>
          <w:p w14:paraId="5047BADB" w14:textId="77777777" w:rsidR="00D170E5" w:rsidRPr="002B55E9" w:rsidRDefault="00EF27AD">
            <w:pPr>
              <w:pStyle w:val="lgy-"/>
            </w:pPr>
            <w:r w:rsidRPr="002B55E9">
              <w:rPr>
                <w:rFonts w:eastAsia="宋体"/>
              </w:rPr>
              <w:t>清洗废水</w:t>
            </w:r>
          </w:p>
        </w:tc>
        <w:tc>
          <w:tcPr>
            <w:tcW w:w="1216" w:type="dxa"/>
            <w:noWrap/>
          </w:tcPr>
          <w:p w14:paraId="6AD84C15" w14:textId="77777777" w:rsidR="00D170E5" w:rsidRPr="002B55E9" w:rsidRDefault="00EF27AD">
            <w:pPr>
              <w:pStyle w:val="lgy-"/>
              <w:rPr>
                <w:rFonts w:eastAsia="宋体"/>
              </w:rPr>
            </w:pPr>
            <w:r w:rsidRPr="002B55E9">
              <w:rPr>
                <w:rFonts w:eastAsia="宋体"/>
              </w:rPr>
              <w:t>COD</w:t>
            </w:r>
            <w:r w:rsidRPr="002B55E9">
              <w:rPr>
                <w:rFonts w:eastAsia="宋体"/>
              </w:rPr>
              <w:t>、</w:t>
            </w:r>
            <w:r w:rsidRPr="002B55E9">
              <w:rPr>
                <w:rFonts w:eastAsia="宋体"/>
              </w:rPr>
              <w:t>SS</w:t>
            </w:r>
            <w:r w:rsidRPr="002B55E9">
              <w:rPr>
                <w:rFonts w:eastAsia="宋体"/>
              </w:rPr>
              <w:t>等</w:t>
            </w:r>
          </w:p>
        </w:tc>
        <w:tc>
          <w:tcPr>
            <w:tcW w:w="607" w:type="dxa"/>
          </w:tcPr>
          <w:p w14:paraId="06EBAA62" w14:textId="77777777" w:rsidR="00D170E5" w:rsidRPr="002B55E9" w:rsidRDefault="00EF27AD">
            <w:pPr>
              <w:pStyle w:val="lgy-"/>
              <w:rPr>
                <w:rFonts w:eastAsia="宋体"/>
              </w:rPr>
            </w:pPr>
            <w:r w:rsidRPr="002B55E9">
              <w:rPr>
                <w:rFonts w:eastAsia="等线"/>
              </w:rPr>
              <w:t>325.8</w:t>
            </w:r>
          </w:p>
        </w:tc>
        <w:tc>
          <w:tcPr>
            <w:tcW w:w="850" w:type="dxa"/>
          </w:tcPr>
          <w:p w14:paraId="19F422AF" w14:textId="77777777" w:rsidR="00D170E5" w:rsidRPr="002B55E9" w:rsidRDefault="00EF27AD">
            <w:pPr>
              <w:pStyle w:val="lgy-"/>
            </w:pPr>
            <w:r w:rsidRPr="002B55E9">
              <w:rPr>
                <w:rFonts w:eastAsia="等线"/>
              </w:rPr>
              <w:t>/</w:t>
            </w:r>
          </w:p>
        </w:tc>
        <w:tc>
          <w:tcPr>
            <w:tcW w:w="1328" w:type="dxa"/>
          </w:tcPr>
          <w:p w14:paraId="45E34613" w14:textId="77777777" w:rsidR="00D170E5" w:rsidRPr="002B55E9" w:rsidRDefault="00EF27AD">
            <w:pPr>
              <w:pStyle w:val="lgy-"/>
            </w:pPr>
            <w:r w:rsidRPr="002B55E9">
              <w:rPr>
                <w:rFonts w:eastAsia="宋体"/>
              </w:rPr>
              <w:t>生产废水管网</w:t>
            </w:r>
            <w:r w:rsidRPr="002B55E9">
              <w:rPr>
                <w:rFonts w:eastAsia="宋体" w:hint="eastAsia"/>
              </w:rPr>
              <w:t>收集</w:t>
            </w:r>
          </w:p>
        </w:tc>
        <w:tc>
          <w:tcPr>
            <w:tcW w:w="1928" w:type="dxa"/>
          </w:tcPr>
          <w:p w14:paraId="3B043114" w14:textId="77777777" w:rsidR="00D170E5" w:rsidRPr="002B55E9" w:rsidRDefault="00EF27AD">
            <w:pPr>
              <w:pStyle w:val="lgy-"/>
              <w:rPr>
                <w:rFonts w:eastAsia="宋体"/>
              </w:rPr>
            </w:pPr>
            <w:r w:rsidRPr="002B55E9">
              <w:rPr>
                <w:rFonts w:eastAsia="宋体"/>
              </w:rPr>
              <w:t>排入佛山市海天（武汉）调味食品有限公司污水处理站处理</w:t>
            </w:r>
          </w:p>
        </w:tc>
      </w:tr>
      <w:tr w:rsidR="002B55E9" w:rsidRPr="002B55E9" w14:paraId="203F87FA" w14:textId="77777777" w:rsidTr="00EF27AD">
        <w:trPr>
          <w:trHeight w:val="283"/>
        </w:trPr>
        <w:tc>
          <w:tcPr>
            <w:tcW w:w="570" w:type="dxa"/>
          </w:tcPr>
          <w:p w14:paraId="43F6B438" w14:textId="77777777" w:rsidR="00D170E5" w:rsidRPr="002B55E9" w:rsidRDefault="00EF27AD">
            <w:pPr>
              <w:pStyle w:val="lgy-"/>
            </w:pPr>
            <w:r w:rsidRPr="002B55E9">
              <w:rPr>
                <w:rFonts w:eastAsia="宋体"/>
              </w:rPr>
              <w:lastRenderedPageBreak/>
              <w:t>固废</w:t>
            </w:r>
          </w:p>
        </w:tc>
        <w:tc>
          <w:tcPr>
            <w:tcW w:w="1130" w:type="dxa"/>
          </w:tcPr>
          <w:p w14:paraId="6A6C9B83" w14:textId="77777777" w:rsidR="00D170E5" w:rsidRPr="002B55E9" w:rsidRDefault="00EF27AD">
            <w:pPr>
              <w:pStyle w:val="lgy-"/>
            </w:pPr>
            <w:r w:rsidRPr="002B55E9">
              <w:rPr>
                <w:rFonts w:eastAsia="宋体"/>
              </w:rPr>
              <w:t>实验过程</w:t>
            </w:r>
          </w:p>
        </w:tc>
        <w:tc>
          <w:tcPr>
            <w:tcW w:w="567" w:type="dxa"/>
          </w:tcPr>
          <w:p w14:paraId="6396E241" w14:textId="77777777" w:rsidR="00D170E5" w:rsidRPr="002B55E9" w:rsidRDefault="00EF27AD">
            <w:pPr>
              <w:pStyle w:val="lgy-"/>
            </w:pPr>
            <w:r w:rsidRPr="002B55E9">
              <w:rPr>
                <w:rFonts w:eastAsia="宋体"/>
              </w:rPr>
              <w:t>S4-1</w:t>
            </w:r>
          </w:p>
        </w:tc>
        <w:tc>
          <w:tcPr>
            <w:tcW w:w="1442" w:type="dxa"/>
          </w:tcPr>
          <w:p w14:paraId="2E72C682" w14:textId="77777777" w:rsidR="00D170E5" w:rsidRPr="002B55E9" w:rsidRDefault="00EF27AD">
            <w:pPr>
              <w:pStyle w:val="lgy-"/>
            </w:pPr>
            <w:r w:rsidRPr="002B55E9">
              <w:rPr>
                <w:rFonts w:eastAsia="宋体"/>
              </w:rPr>
              <w:t>实验废液、废耗材等</w:t>
            </w:r>
          </w:p>
        </w:tc>
        <w:tc>
          <w:tcPr>
            <w:tcW w:w="1216" w:type="dxa"/>
            <w:noWrap/>
          </w:tcPr>
          <w:p w14:paraId="04363C7A" w14:textId="77777777" w:rsidR="00D170E5" w:rsidRPr="002B55E9" w:rsidRDefault="00EF27AD">
            <w:pPr>
              <w:pStyle w:val="lgy-"/>
              <w:rPr>
                <w:rFonts w:eastAsia="宋体"/>
              </w:rPr>
            </w:pPr>
            <w:r w:rsidRPr="002B55E9">
              <w:rPr>
                <w:rFonts w:eastAsia="宋体"/>
              </w:rPr>
              <w:t>实验废液、废耗材等</w:t>
            </w:r>
          </w:p>
        </w:tc>
        <w:tc>
          <w:tcPr>
            <w:tcW w:w="607" w:type="dxa"/>
          </w:tcPr>
          <w:p w14:paraId="2FBAC03B" w14:textId="77777777" w:rsidR="00D170E5" w:rsidRPr="002B55E9" w:rsidRDefault="00EF27AD">
            <w:pPr>
              <w:pStyle w:val="lgy-"/>
              <w:rPr>
                <w:rFonts w:eastAsia="宋体"/>
              </w:rPr>
            </w:pPr>
            <w:r w:rsidRPr="002B55E9">
              <w:rPr>
                <w:rFonts w:eastAsia="等线"/>
              </w:rPr>
              <w:t>2.001</w:t>
            </w:r>
          </w:p>
        </w:tc>
        <w:tc>
          <w:tcPr>
            <w:tcW w:w="850" w:type="dxa"/>
          </w:tcPr>
          <w:p w14:paraId="2A6D5BD8" w14:textId="77777777" w:rsidR="00D170E5" w:rsidRPr="002B55E9" w:rsidRDefault="00EF27AD">
            <w:pPr>
              <w:pStyle w:val="lgy-"/>
            </w:pPr>
            <w:r w:rsidRPr="002B55E9">
              <w:rPr>
                <w:rFonts w:eastAsia="等线"/>
              </w:rPr>
              <w:t>/</w:t>
            </w:r>
          </w:p>
        </w:tc>
        <w:tc>
          <w:tcPr>
            <w:tcW w:w="1328" w:type="dxa"/>
          </w:tcPr>
          <w:p w14:paraId="40694117" w14:textId="77777777" w:rsidR="00D170E5" w:rsidRPr="002B55E9" w:rsidRDefault="00EF27AD">
            <w:pPr>
              <w:pStyle w:val="lgy-"/>
            </w:pPr>
            <w:r w:rsidRPr="002B55E9">
              <w:rPr>
                <w:rFonts w:eastAsia="宋体" w:hint="eastAsia"/>
              </w:rPr>
              <w:t>危废间</w:t>
            </w:r>
            <w:r w:rsidRPr="002B55E9">
              <w:rPr>
                <w:rFonts w:eastAsia="宋体"/>
              </w:rPr>
              <w:t>暂存</w:t>
            </w:r>
          </w:p>
        </w:tc>
        <w:tc>
          <w:tcPr>
            <w:tcW w:w="1928" w:type="dxa"/>
          </w:tcPr>
          <w:p w14:paraId="20F2DE1B" w14:textId="77777777" w:rsidR="00D170E5" w:rsidRPr="002B55E9" w:rsidRDefault="00EF27AD">
            <w:pPr>
              <w:pStyle w:val="lgy-"/>
              <w:rPr>
                <w:rFonts w:eastAsia="宋体"/>
              </w:rPr>
            </w:pPr>
            <w:r w:rsidRPr="002B55E9">
              <w:rPr>
                <w:rFonts w:eastAsia="宋体"/>
              </w:rPr>
              <w:t>交由有资质单位清运处理</w:t>
            </w:r>
          </w:p>
        </w:tc>
      </w:tr>
    </w:tbl>
    <w:bookmarkEnd w:id="159"/>
    <w:p w14:paraId="40505750" w14:textId="77777777" w:rsidR="00D170E5" w:rsidRPr="002B55E9" w:rsidRDefault="00EF27AD">
      <w:pPr>
        <w:pStyle w:val="4"/>
        <w:rPr>
          <w:color w:val="auto"/>
        </w:rPr>
      </w:pPr>
      <w:r w:rsidRPr="002B55E9">
        <w:rPr>
          <w:rFonts w:hint="eastAsia"/>
          <w:color w:val="auto"/>
        </w:rPr>
        <w:t>公用及环保工程产污环节</w:t>
      </w:r>
    </w:p>
    <w:p w14:paraId="65327B91" w14:textId="77777777" w:rsidR="00D170E5" w:rsidRPr="002B55E9" w:rsidRDefault="00EF27AD">
      <w:pPr>
        <w:pStyle w:val="affff7"/>
        <w:snapToGrid w:val="0"/>
        <w:spacing w:after="0"/>
      </w:pPr>
      <w:r w:rsidRPr="002B55E9">
        <w:rPr>
          <w:rFonts w:hint="eastAsia"/>
        </w:rPr>
        <w:t>（</w:t>
      </w:r>
      <w:r w:rsidRPr="002B55E9">
        <w:t>1</w:t>
      </w:r>
      <w:r w:rsidRPr="002B55E9">
        <w:rPr>
          <w:rFonts w:hint="eastAsia"/>
        </w:rPr>
        <w:t>）地面及设备清洗</w:t>
      </w:r>
    </w:p>
    <w:p w14:paraId="5CBB4BE8" w14:textId="77777777" w:rsidR="00D170E5" w:rsidRPr="002B55E9" w:rsidRDefault="00EF27AD">
      <w:pPr>
        <w:pStyle w:val="affff7"/>
        <w:snapToGrid w:val="0"/>
        <w:spacing w:after="0"/>
      </w:pPr>
      <w:r w:rsidRPr="002B55E9">
        <w:rPr>
          <w:rFonts w:hint="eastAsia"/>
          <w:szCs w:val="24"/>
        </w:rPr>
        <w:t>拟建</w:t>
      </w:r>
      <w:r w:rsidRPr="002B55E9">
        <w:rPr>
          <w:rFonts w:hint="eastAsia"/>
        </w:rPr>
        <w:t>项目生产设备、储罐、管线及生产车间地面需定期清洗，地面清洗使用蒸汽冷凝水作为清洗用水，清洗过程会产生地面清洗废水（</w:t>
      </w:r>
      <w:r w:rsidRPr="002B55E9">
        <w:rPr>
          <w:rFonts w:hint="eastAsia"/>
        </w:rPr>
        <w:t>W</w:t>
      </w:r>
      <w:r w:rsidRPr="002B55E9">
        <w:t>5</w:t>
      </w:r>
      <w:r w:rsidRPr="002B55E9">
        <w:rPr>
          <w:rFonts w:hint="eastAsia"/>
        </w:rPr>
        <w:t>）；设备清洗使用自来水作为清洗用水，清洗过程会产生设备清洗废水（</w:t>
      </w:r>
      <w:r w:rsidRPr="002B55E9">
        <w:rPr>
          <w:rFonts w:hint="eastAsia"/>
        </w:rPr>
        <w:t>W</w:t>
      </w:r>
      <w:r w:rsidRPr="002B55E9">
        <w:t>6</w:t>
      </w:r>
      <w:r w:rsidRPr="002B55E9">
        <w:rPr>
          <w:rFonts w:hint="eastAsia"/>
        </w:rPr>
        <w:t>）。</w:t>
      </w:r>
    </w:p>
    <w:p w14:paraId="185BE225" w14:textId="77777777" w:rsidR="00D170E5" w:rsidRPr="002B55E9" w:rsidRDefault="00EF27AD">
      <w:pPr>
        <w:pStyle w:val="affff7"/>
        <w:snapToGrid w:val="0"/>
        <w:spacing w:after="0"/>
        <w:rPr>
          <w:szCs w:val="24"/>
        </w:rPr>
      </w:pPr>
      <w:r w:rsidRPr="002B55E9">
        <w:rPr>
          <w:rFonts w:hint="eastAsia"/>
          <w:szCs w:val="24"/>
        </w:rPr>
        <w:t>（</w:t>
      </w:r>
      <w:r w:rsidRPr="002B55E9">
        <w:rPr>
          <w:szCs w:val="24"/>
        </w:rPr>
        <w:t>2</w:t>
      </w:r>
      <w:r w:rsidRPr="002B55E9">
        <w:rPr>
          <w:rFonts w:hint="eastAsia"/>
          <w:szCs w:val="24"/>
        </w:rPr>
        <w:t>）循环冷却系统排水</w:t>
      </w:r>
    </w:p>
    <w:p w14:paraId="17FF5746" w14:textId="77777777" w:rsidR="00D170E5" w:rsidRPr="002B55E9" w:rsidRDefault="00EF27AD">
      <w:pPr>
        <w:pStyle w:val="affff7"/>
        <w:snapToGrid w:val="0"/>
        <w:spacing w:after="0"/>
        <w:rPr>
          <w:szCs w:val="24"/>
        </w:rPr>
      </w:pPr>
      <w:r w:rsidRPr="002B55E9">
        <w:rPr>
          <w:rFonts w:hint="eastAsia"/>
          <w:szCs w:val="24"/>
        </w:rPr>
        <w:t>拟建项目循环冷却系统设有</w:t>
      </w:r>
      <w:r w:rsidRPr="002B55E9">
        <w:rPr>
          <w:rFonts w:hint="eastAsia"/>
          <w:szCs w:val="24"/>
        </w:rPr>
        <w:t>2</w:t>
      </w:r>
      <w:r w:rsidRPr="002B55E9">
        <w:rPr>
          <w:rFonts w:hint="eastAsia"/>
          <w:szCs w:val="24"/>
        </w:rPr>
        <w:t>座冷却塔，需定期排水，会产生循环冷却系统排水（</w:t>
      </w:r>
      <w:r w:rsidRPr="002B55E9">
        <w:rPr>
          <w:rFonts w:hint="eastAsia"/>
          <w:szCs w:val="24"/>
        </w:rPr>
        <w:t>W</w:t>
      </w:r>
      <w:r w:rsidRPr="002B55E9">
        <w:rPr>
          <w:szCs w:val="24"/>
        </w:rPr>
        <w:t>7</w:t>
      </w:r>
      <w:r w:rsidRPr="002B55E9">
        <w:rPr>
          <w:rFonts w:hint="eastAsia"/>
          <w:szCs w:val="24"/>
        </w:rPr>
        <w:t>）。</w:t>
      </w:r>
    </w:p>
    <w:p w14:paraId="39C3C3E4" w14:textId="4BFDF07A" w:rsidR="00D170E5" w:rsidRPr="002B55E9" w:rsidRDefault="00EF27AD">
      <w:pPr>
        <w:pStyle w:val="affff7"/>
        <w:snapToGrid w:val="0"/>
        <w:spacing w:after="0"/>
        <w:rPr>
          <w:szCs w:val="24"/>
        </w:rPr>
      </w:pPr>
      <w:r w:rsidRPr="002B55E9">
        <w:rPr>
          <w:rFonts w:hint="eastAsia"/>
          <w:szCs w:val="24"/>
        </w:rPr>
        <w:t>（</w:t>
      </w:r>
      <w:r w:rsidRPr="002B55E9">
        <w:rPr>
          <w:szCs w:val="24"/>
        </w:rPr>
        <w:t>3</w:t>
      </w:r>
      <w:r w:rsidRPr="002B55E9">
        <w:rPr>
          <w:rFonts w:hint="eastAsia"/>
          <w:szCs w:val="24"/>
        </w:rPr>
        <w:t>）</w:t>
      </w:r>
      <w:r w:rsidR="00F54EA6" w:rsidRPr="002B55E9">
        <w:rPr>
          <w:rFonts w:hint="eastAsia"/>
          <w:szCs w:val="24"/>
        </w:rPr>
        <w:t>废活性炭滤芯、废石英砂滤芯</w:t>
      </w:r>
      <w:r w:rsidRPr="002B55E9">
        <w:rPr>
          <w:rFonts w:hint="eastAsia"/>
          <w:szCs w:val="24"/>
        </w:rPr>
        <w:t>（一般</w:t>
      </w:r>
      <w:r w:rsidR="00F54EA6" w:rsidRPr="002B55E9">
        <w:rPr>
          <w:rFonts w:hint="eastAsia"/>
          <w:szCs w:val="24"/>
        </w:rPr>
        <w:t>固废</w:t>
      </w:r>
      <w:r w:rsidRPr="002B55E9">
        <w:rPr>
          <w:rFonts w:hint="eastAsia"/>
          <w:szCs w:val="24"/>
        </w:rPr>
        <w:t>）</w:t>
      </w:r>
    </w:p>
    <w:p w14:paraId="263EC2CB" w14:textId="79CA0810" w:rsidR="00D170E5" w:rsidRPr="002B55E9" w:rsidRDefault="00EF27AD">
      <w:pPr>
        <w:pStyle w:val="affff7"/>
        <w:snapToGrid w:val="0"/>
        <w:spacing w:after="0"/>
        <w:rPr>
          <w:szCs w:val="24"/>
        </w:rPr>
      </w:pPr>
      <w:r w:rsidRPr="002B55E9">
        <w:rPr>
          <w:rFonts w:hint="eastAsia"/>
          <w:szCs w:val="24"/>
        </w:rPr>
        <w:t>项目工艺水制备使用石英砂</w:t>
      </w:r>
      <w:r w:rsidRPr="002B55E9">
        <w:rPr>
          <w:rFonts w:hint="eastAsia"/>
          <w:szCs w:val="24"/>
        </w:rPr>
        <w:t>+</w:t>
      </w:r>
      <w:r w:rsidRPr="002B55E9">
        <w:rPr>
          <w:rFonts w:hint="eastAsia"/>
          <w:szCs w:val="24"/>
        </w:rPr>
        <w:t>活性炭过滤，会产生废活性炭</w:t>
      </w:r>
      <w:r w:rsidR="00F54EA6" w:rsidRPr="002B55E9">
        <w:rPr>
          <w:rFonts w:hint="eastAsia"/>
          <w:szCs w:val="24"/>
        </w:rPr>
        <w:t>滤芯</w:t>
      </w:r>
      <w:r w:rsidRPr="002B55E9">
        <w:rPr>
          <w:rFonts w:hint="eastAsia"/>
          <w:szCs w:val="24"/>
        </w:rPr>
        <w:t>和废石英砂</w:t>
      </w:r>
      <w:r w:rsidR="00F54EA6" w:rsidRPr="002B55E9">
        <w:rPr>
          <w:rFonts w:hint="eastAsia"/>
          <w:szCs w:val="24"/>
        </w:rPr>
        <w:t>滤芯</w:t>
      </w:r>
      <w:r w:rsidRPr="002B55E9">
        <w:rPr>
          <w:rFonts w:hint="eastAsia"/>
          <w:szCs w:val="24"/>
        </w:rPr>
        <w:t>（</w:t>
      </w:r>
      <w:r w:rsidRPr="002B55E9">
        <w:rPr>
          <w:rFonts w:hint="eastAsia"/>
          <w:szCs w:val="24"/>
        </w:rPr>
        <w:t>S</w:t>
      </w:r>
      <w:r w:rsidRPr="002B55E9">
        <w:rPr>
          <w:szCs w:val="24"/>
        </w:rPr>
        <w:t>5</w:t>
      </w:r>
      <w:r w:rsidRPr="002B55E9">
        <w:rPr>
          <w:rFonts w:hint="eastAsia"/>
          <w:szCs w:val="24"/>
        </w:rPr>
        <w:t>）</w:t>
      </w:r>
      <w:r w:rsidRPr="002B55E9">
        <w:rPr>
          <w:szCs w:val="24"/>
        </w:rPr>
        <w:t>。</w:t>
      </w:r>
    </w:p>
    <w:p w14:paraId="50C3ABBA" w14:textId="77777777" w:rsidR="00D170E5" w:rsidRPr="002B55E9" w:rsidRDefault="00EF27AD">
      <w:pPr>
        <w:pStyle w:val="affff7"/>
        <w:snapToGrid w:val="0"/>
        <w:spacing w:after="0"/>
        <w:rPr>
          <w:szCs w:val="24"/>
        </w:rPr>
      </w:pPr>
      <w:r w:rsidRPr="002B55E9">
        <w:rPr>
          <w:rFonts w:hint="eastAsia"/>
          <w:szCs w:val="24"/>
        </w:rPr>
        <w:t>（</w:t>
      </w:r>
      <w:r w:rsidRPr="002B55E9">
        <w:rPr>
          <w:szCs w:val="24"/>
        </w:rPr>
        <w:t>4</w:t>
      </w:r>
      <w:r w:rsidRPr="002B55E9">
        <w:rPr>
          <w:rFonts w:hint="eastAsia"/>
          <w:szCs w:val="24"/>
        </w:rPr>
        <w:t>）纯水制备</w:t>
      </w:r>
    </w:p>
    <w:p w14:paraId="7D9FF16F" w14:textId="77777777" w:rsidR="00D170E5" w:rsidRPr="002B55E9" w:rsidRDefault="00EF27AD">
      <w:pPr>
        <w:pStyle w:val="affff7"/>
        <w:snapToGrid w:val="0"/>
        <w:spacing w:after="0"/>
        <w:rPr>
          <w:szCs w:val="24"/>
        </w:rPr>
      </w:pPr>
      <w:r w:rsidRPr="002B55E9">
        <w:rPr>
          <w:rFonts w:hint="eastAsia"/>
          <w:szCs w:val="24"/>
        </w:rPr>
        <w:t>拟建项目化验检测过程中需使用纯水，设置有</w:t>
      </w:r>
      <w:r w:rsidRPr="002B55E9">
        <w:rPr>
          <w:szCs w:val="24"/>
        </w:rPr>
        <w:t>2</w:t>
      </w:r>
      <w:r w:rsidRPr="002B55E9">
        <w:rPr>
          <w:rFonts w:hint="eastAsia"/>
          <w:szCs w:val="24"/>
        </w:rPr>
        <w:t>台纯水机，主体工艺为反渗透（</w:t>
      </w:r>
      <w:r w:rsidRPr="002B55E9">
        <w:rPr>
          <w:rFonts w:hint="eastAsia"/>
          <w:szCs w:val="24"/>
        </w:rPr>
        <w:t>RO</w:t>
      </w:r>
      <w:r w:rsidRPr="002B55E9">
        <w:rPr>
          <w:rFonts w:hint="eastAsia"/>
          <w:szCs w:val="24"/>
        </w:rPr>
        <w:t>）工艺，其原理是原水在高压力的作用下通过反渗透膜，水中的溶剂由高浓度向低浓度扩散从而达到分离、提纯、浓缩的目的，由于它与自然界的渗透方向相反，因而称它为反渗透。反渗透可以去除水中的细菌、胶体、有机物和</w:t>
      </w:r>
      <w:r w:rsidRPr="002B55E9">
        <w:rPr>
          <w:rFonts w:hint="eastAsia"/>
          <w:szCs w:val="24"/>
        </w:rPr>
        <w:t>98.6%</w:t>
      </w:r>
      <w:r w:rsidRPr="002B55E9">
        <w:rPr>
          <w:rFonts w:hint="eastAsia"/>
          <w:szCs w:val="24"/>
        </w:rPr>
        <w:t>以上的溶解性离子。制纯水的反渗透膜使用周期约</w:t>
      </w:r>
      <w:r w:rsidRPr="002B55E9">
        <w:rPr>
          <w:rFonts w:hint="eastAsia"/>
          <w:szCs w:val="24"/>
        </w:rPr>
        <w:t>30</w:t>
      </w:r>
      <w:r w:rsidRPr="002B55E9">
        <w:rPr>
          <w:rFonts w:hint="eastAsia"/>
          <w:szCs w:val="24"/>
        </w:rPr>
        <w:t>个月，需定期更换产生废</w:t>
      </w:r>
      <w:r w:rsidRPr="002B55E9">
        <w:rPr>
          <w:rFonts w:hint="eastAsia"/>
          <w:szCs w:val="24"/>
        </w:rPr>
        <w:t>R</w:t>
      </w:r>
      <w:r w:rsidRPr="002B55E9">
        <w:rPr>
          <w:szCs w:val="24"/>
        </w:rPr>
        <w:t>O</w:t>
      </w:r>
      <w:r w:rsidRPr="002B55E9">
        <w:rPr>
          <w:rFonts w:hint="eastAsia"/>
          <w:szCs w:val="24"/>
        </w:rPr>
        <w:t>膜（</w:t>
      </w:r>
      <w:r w:rsidRPr="002B55E9">
        <w:rPr>
          <w:rFonts w:hint="eastAsia"/>
          <w:szCs w:val="24"/>
        </w:rPr>
        <w:t>S</w:t>
      </w:r>
      <w:r w:rsidRPr="002B55E9">
        <w:rPr>
          <w:szCs w:val="24"/>
        </w:rPr>
        <w:t>6</w:t>
      </w:r>
      <w:r w:rsidRPr="002B55E9">
        <w:rPr>
          <w:rFonts w:hint="eastAsia"/>
          <w:szCs w:val="24"/>
        </w:rPr>
        <w:t>）。纯水制备纯水过程中会产生制纯水尾水及反冲洗浓水（</w:t>
      </w:r>
      <w:r w:rsidRPr="002B55E9">
        <w:rPr>
          <w:rFonts w:hint="eastAsia"/>
          <w:szCs w:val="24"/>
        </w:rPr>
        <w:t>W</w:t>
      </w:r>
      <w:r w:rsidRPr="002B55E9">
        <w:rPr>
          <w:szCs w:val="24"/>
        </w:rPr>
        <w:t>8</w:t>
      </w:r>
      <w:r w:rsidRPr="002B55E9">
        <w:rPr>
          <w:rFonts w:hint="eastAsia"/>
          <w:szCs w:val="24"/>
        </w:rPr>
        <w:t>）。</w:t>
      </w:r>
    </w:p>
    <w:p w14:paraId="7BFE1A9E" w14:textId="77777777" w:rsidR="00D170E5" w:rsidRPr="002B55E9" w:rsidRDefault="00EF27AD">
      <w:pPr>
        <w:pStyle w:val="affff7"/>
        <w:snapToGrid w:val="0"/>
        <w:spacing w:after="0"/>
        <w:rPr>
          <w:szCs w:val="24"/>
        </w:rPr>
      </w:pPr>
      <w:r w:rsidRPr="002B55E9">
        <w:rPr>
          <w:rFonts w:hint="eastAsia"/>
          <w:szCs w:val="24"/>
        </w:rPr>
        <w:t>（</w:t>
      </w:r>
      <w:r w:rsidRPr="002B55E9">
        <w:rPr>
          <w:szCs w:val="24"/>
        </w:rPr>
        <w:t>5</w:t>
      </w:r>
      <w:r w:rsidRPr="002B55E9">
        <w:rPr>
          <w:rFonts w:hint="eastAsia"/>
          <w:szCs w:val="24"/>
        </w:rPr>
        <w:t>）喷淋塔</w:t>
      </w:r>
      <w:r w:rsidRPr="002B55E9">
        <w:rPr>
          <w:szCs w:val="24"/>
        </w:rPr>
        <w:t>废水</w:t>
      </w:r>
    </w:p>
    <w:p w14:paraId="5E5023CC" w14:textId="3D5826C3" w:rsidR="00D170E5" w:rsidRPr="002B55E9" w:rsidRDefault="00EF27AD">
      <w:pPr>
        <w:pStyle w:val="affff7"/>
        <w:snapToGrid w:val="0"/>
        <w:spacing w:after="0"/>
        <w:rPr>
          <w:szCs w:val="24"/>
        </w:rPr>
      </w:pPr>
      <w:r w:rsidRPr="002B55E9">
        <w:rPr>
          <w:rFonts w:hint="eastAsia"/>
          <w:szCs w:val="24"/>
        </w:rPr>
        <w:t>项目</w:t>
      </w:r>
      <w:r w:rsidRPr="002B55E9">
        <w:rPr>
          <w:szCs w:val="24"/>
        </w:rPr>
        <w:t>设有</w:t>
      </w:r>
      <w:r w:rsidRPr="002B55E9">
        <w:rPr>
          <w:szCs w:val="24"/>
        </w:rPr>
        <w:t>1</w:t>
      </w:r>
      <w:r w:rsidRPr="002B55E9">
        <w:rPr>
          <w:rFonts w:hint="eastAsia"/>
          <w:szCs w:val="24"/>
        </w:rPr>
        <w:t>套</w:t>
      </w:r>
      <w:r w:rsidR="00CE536C" w:rsidRPr="002B55E9">
        <w:rPr>
          <w:rFonts w:hint="eastAsia"/>
          <w:szCs w:val="24"/>
        </w:rPr>
        <w:t>二级碱喷淋</w:t>
      </w:r>
      <w:r w:rsidR="00CE536C" w:rsidRPr="002B55E9">
        <w:rPr>
          <w:rFonts w:hint="eastAsia"/>
          <w:szCs w:val="24"/>
        </w:rPr>
        <w:t>+</w:t>
      </w:r>
      <w:r w:rsidR="00CE536C" w:rsidRPr="002B55E9">
        <w:rPr>
          <w:rFonts w:hint="eastAsia"/>
          <w:szCs w:val="24"/>
        </w:rPr>
        <w:t>水喷淋</w:t>
      </w:r>
      <w:r w:rsidRPr="002B55E9">
        <w:rPr>
          <w:szCs w:val="24"/>
        </w:rPr>
        <w:t>塔用于处理料酒混合及醋酸发酵等过程的挥发废气，喷淋</w:t>
      </w:r>
      <w:r w:rsidRPr="002B55E9">
        <w:rPr>
          <w:rFonts w:hint="eastAsia"/>
          <w:szCs w:val="24"/>
        </w:rPr>
        <w:t>塔</w:t>
      </w:r>
      <w:r w:rsidRPr="002B55E9">
        <w:rPr>
          <w:szCs w:val="24"/>
        </w:rPr>
        <w:t>需定期</w:t>
      </w:r>
      <w:r w:rsidRPr="002B55E9">
        <w:rPr>
          <w:rFonts w:hint="eastAsia"/>
          <w:szCs w:val="24"/>
        </w:rPr>
        <w:t>补水和排</w:t>
      </w:r>
      <w:r w:rsidRPr="002B55E9">
        <w:rPr>
          <w:szCs w:val="24"/>
        </w:rPr>
        <w:t>水</w:t>
      </w:r>
      <w:r w:rsidRPr="002B55E9">
        <w:rPr>
          <w:rFonts w:hint="eastAsia"/>
          <w:szCs w:val="24"/>
        </w:rPr>
        <w:t>（</w:t>
      </w:r>
      <w:r w:rsidRPr="002B55E9">
        <w:rPr>
          <w:rFonts w:hint="eastAsia"/>
          <w:szCs w:val="24"/>
        </w:rPr>
        <w:t>W</w:t>
      </w:r>
      <w:r w:rsidRPr="002B55E9">
        <w:rPr>
          <w:szCs w:val="24"/>
        </w:rPr>
        <w:t>9</w:t>
      </w:r>
      <w:r w:rsidRPr="002B55E9">
        <w:rPr>
          <w:rFonts w:hint="eastAsia"/>
          <w:szCs w:val="24"/>
        </w:rPr>
        <w:t>）。</w:t>
      </w:r>
    </w:p>
    <w:p w14:paraId="437A2173" w14:textId="77777777" w:rsidR="00D170E5" w:rsidRPr="002B55E9" w:rsidRDefault="00EF27AD">
      <w:pPr>
        <w:pStyle w:val="affff7"/>
        <w:snapToGrid w:val="0"/>
        <w:spacing w:after="0"/>
        <w:rPr>
          <w:szCs w:val="24"/>
        </w:rPr>
      </w:pPr>
      <w:r w:rsidRPr="002B55E9">
        <w:rPr>
          <w:rFonts w:hint="eastAsia"/>
          <w:szCs w:val="24"/>
        </w:rPr>
        <w:t>（</w:t>
      </w:r>
      <w:r w:rsidRPr="002B55E9">
        <w:rPr>
          <w:szCs w:val="24"/>
        </w:rPr>
        <w:t>6</w:t>
      </w:r>
      <w:r w:rsidRPr="002B55E9">
        <w:rPr>
          <w:rFonts w:hint="eastAsia"/>
          <w:szCs w:val="24"/>
        </w:rPr>
        <w:t>）废活性炭</w:t>
      </w:r>
      <w:r w:rsidRPr="002B55E9">
        <w:rPr>
          <w:szCs w:val="24"/>
        </w:rPr>
        <w:t>（</w:t>
      </w:r>
      <w:r w:rsidRPr="002B55E9">
        <w:rPr>
          <w:rFonts w:hint="eastAsia"/>
          <w:szCs w:val="24"/>
        </w:rPr>
        <w:t>危废</w:t>
      </w:r>
      <w:r w:rsidRPr="002B55E9">
        <w:rPr>
          <w:szCs w:val="24"/>
        </w:rPr>
        <w:t>）</w:t>
      </w:r>
    </w:p>
    <w:p w14:paraId="3F621889" w14:textId="77777777" w:rsidR="00D170E5" w:rsidRPr="002B55E9" w:rsidRDefault="00EF27AD">
      <w:pPr>
        <w:pStyle w:val="affff7"/>
        <w:snapToGrid w:val="0"/>
        <w:spacing w:after="0"/>
        <w:rPr>
          <w:szCs w:val="24"/>
        </w:rPr>
      </w:pPr>
      <w:r w:rsidRPr="002B55E9">
        <w:rPr>
          <w:rFonts w:hint="eastAsia"/>
          <w:szCs w:val="24"/>
        </w:rPr>
        <w:t>实验室</w:t>
      </w:r>
      <w:r w:rsidRPr="002B55E9">
        <w:rPr>
          <w:szCs w:val="24"/>
        </w:rPr>
        <w:t>活性炭吸附设施定期更换</w:t>
      </w:r>
      <w:r w:rsidRPr="002B55E9">
        <w:rPr>
          <w:rFonts w:hint="eastAsia"/>
          <w:szCs w:val="24"/>
        </w:rPr>
        <w:t>会</w:t>
      </w:r>
      <w:r w:rsidRPr="002B55E9">
        <w:rPr>
          <w:szCs w:val="24"/>
        </w:rPr>
        <w:t>产生</w:t>
      </w:r>
      <w:r w:rsidRPr="002B55E9">
        <w:rPr>
          <w:rFonts w:hint="eastAsia"/>
          <w:szCs w:val="24"/>
        </w:rPr>
        <w:t>废活性炭（</w:t>
      </w:r>
      <w:r w:rsidRPr="002B55E9">
        <w:rPr>
          <w:rFonts w:hint="eastAsia"/>
          <w:szCs w:val="24"/>
        </w:rPr>
        <w:t>S</w:t>
      </w:r>
      <w:r w:rsidRPr="002B55E9">
        <w:rPr>
          <w:szCs w:val="24"/>
        </w:rPr>
        <w:t>7</w:t>
      </w:r>
      <w:r w:rsidRPr="002B55E9">
        <w:rPr>
          <w:rFonts w:hint="eastAsia"/>
          <w:szCs w:val="24"/>
        </w:rPr>
        <w:t>）</w:t>
      </w:r>
      <w:r w:rsidRPr="002B55E9">
        <w:rPr>
          <w:szCs w:val="24"/>
        </w:rPr>
        <w:t>，</w:t>
      </w:r>
      <w:r w:rsidRPr="002B55E9">
        <w:rPr>
          <w:rFonts w:hint="eastAsia"/>
          <w:szCs w:val="24"/>
        </w:rPr>
        <w:t>作为危险废物在危险废物暂存间暂存后交由有资质单位处置。</w:t>
      </w:r>
    </w:p>
    <w:p w14:paraId="31541EDB" w14:textId="77777777" w:rsidR="00D170E5" w:rsidRPr="002B55E9" w:rsidRDefault="00EF27AD">
      <w:pPr>
        <w:pStyle w:val="affff7"/>
        <w:snapToGrid w:val="0"/>
        <w:spacing w:after="0"/>
        <w:rPr>
          <w:szCs w:val="24"/>
        </w:rPr>
      </w:pPr>
      <w:r w:rsidRPr="002B55E9">
        <w:rPr>
          <w:rFonts w:hint="eastAsia"/>
          <w:szCs w:val="24"/>
        </w:rPr>
        <w:t>（</w:t>
      </w:r>
      <w:r w:rsidRPr="002B55E9">
        <w:rPr>
          <w:rFonts w:hint="eastAsia"/>
          <w:szCs w:val="24"/>
        </w:rPr>
        <w:t>7</w:t>
      </w:r>
      <w:r w:rsidRPr="002B55E9">
        <w:rPr>
          <w:rFonts w:hint="eastAsia"/>
          <w:szCs w:val="24"/>
        </w:rPr>
        <w:t>）香辛料粉末</w:t>
      </w:r>
    </w:p>
    <w:p w14:paraId="03307E4C" w14:textId="77777777" w:rsidR="00D170E5" w:rsidRPr="002B55E9" w:rsidRDefault="00EF27AD">
      <w:pPr>
        <w:pStyle w:val="aa"/>
        <w:snapToGrid w:val="0"/>
        <w:rPr>
          <w:szCs w:val="24"/>
        </w:rPr>
      </w:pPr>
      <w:r w:rsidRPr="002B55E9">
        <w:rPr>
          <w:rFonts w:hint="eastAsia"/>
          <w:lang w:bidi="ne-NP"/>
        </w:rPr>
        <w:t>香辛料</w:t>
      </w:r>
      <w:r w:rsidRPr="002B55E9">
        <w:rPr>
          <w:lang w:bidi="ne-NP"/>
        </w:rPr>
        <w:t>破碎工序会产生破碎粉尘，经自带除尘器收集处理后排放，</w:t>
      </w:r>
      <w:r w:rsidRPr="002B55E9">
        <w:rPr>
          <w:rFonts w:hint="eastAsia"/>
          <w:lang w:bidi="ne-NP"/>
        </w:rPr>
        <w:t>袋式除尘器收集的粉尘主要</w:t>
      </w:r>
      <w:r w:rsidRPr="002B55E9">
        <w:rPr>
          <w:lang w:bidi="ne-NP"/>
        </w:rPr>
        <w:t>成分为香辛料粉末</w:t>
      </w:r>
      <w:r w:rsidRPr="002B55E9">
        <w:rPr>
          <w:rFonts w:hint="eastAsia"/>
          <w:szCs w:val="24"/>
        </w:rPr>
        <w:t>（</w:t>
      </w:r>
      <w:r w:rsidRPr="002B55E9">
        <w:rPr>
          <w:rFonts w:hint="eastAsia"/>
          <w:szCs w:val="24"/>
        </w:rPr>
        <w:t>S</w:t>
      </w:r>
      <w:r w:rsidRPr="002B55E9">
        <w:rPr>
          <w:szCs w:val="24"/>
        </w:rPr>
        <w:t>8</w:t>
      </w:r>
      <w:r w:rsidRPr="002B55E9">
        <w:rPr>
          <w:rFonts w:hint="eastAsia"/>
          <w:szCs w:val="24"/>
        </w:rPr>
        <w:t>）</w:t>
      </w:r>
      <w:r w:rsidRPr="002B55E9">
        <w:rPr>
          <w:lang w:bidi="ne-NP"/>
        </w:rPr>
        <w:t>，交由物资回收公司综合利用。</w:t>
      </w:r>
    </w:p>
    <w:p w14:paraId="7669C8B4" w14:textId="77777777" w:rsidR="00D170E5" w:rsidRPr="002B55E9" w:rsidRDefault="00EF27AD">
      <w:pPr>
        <w:pStyle w:val="affff7"/>
        <w:snapToGrid w:val="0"/>
        <w:spacing w:after="0"/>
        <w:rPr>
          <w:szCs w:val="24"/>
        </w:rPr>
      </w:pPr>
      <w:r w:rsidRPr="002B55E9">
        <w:rPr>
          <w:rFonts w:hint="eastAsia"/>
          <w:szCs w:val="24"/>
        </w:rPr>
        <w:t>（</w:t>
      </w:r>
      <w:r w:rsidRPr="002B55E9">
        <w:rPr>
          <w:szCs w:val="24"/>
        </w:rPr>
        <w:t>8</w:t>
      </w:r>
      <w:r w:rsidRPr="002B55E9">
        <w:rPr>
          <w:rFonts w:hint="eastAsia"/>
          <w:szCs w:val="24"/>
        </w:rPr>
        <w:t>）罐区原料储存</w:t>
      </w:r>
    </w:p>
    <w:p w14:paraId="534589D8" w14:textId="23C202C8" w:rsidR="00D170E5" w:rsidRPr="002B55E9" w:rsidRDefault="00EF27AD">
      <w:pPr>
        <w:pStyle w:val="affff7"/>
        <w:snapToGrid w:val="0"/>
        <w:spacing w:after="0"/>
        <w:rPr>
          <w:szCs w:val="24"/>
        </w:rPr>
      </w:pPr>
      <w:r w:rsidRPr="002B55E9">
        <w:rPr>
          <w:rFonts w:hint="eastAsia"/>
          <w:szCs w:val="24"/>
        </w:rPr>
        <w:t>项目罐区乙醇、黄酒、醋胚等储存过程中储罐大小呼吸会产生呼吸废气（</w:t>
      </w:r>
      <w:r w:rsidRPr="002B55E9">
        <w:rPr>
          <w:rFonts w:hint="eastAsia"/>
          <w:szCs w:val="24"/>
        </w:rPr>
        <w:t>G</w:t>
      </w:r>
      <w:r w:rsidRPr="002B55E9">
        <w:rPr>
          <w:szCs w:val="24"/>
        </w:rPr>
        <w:t>5</w:t>
      </w:r>
      <w:r w:rsidRPr="002B55E9">
        <w:rPr>
          <w:rFonts w:hint="eastAsia"/>
          <w:szCs w:val="24"/>
        </w:rPr>
        <w:t>）。</w:t>
      </w:r>
    </w:p>
    <w:p w14:paraId="2DC5F5F7" w14:textId="77777777" w:rsidR="00D170E5" w:rsidRPr="002B55E9" w:rsidRDefault="00EF27AD">
      <w:pPr>
        <w:pStyle w:val="affff7"/>
        <w:snapToGrid w:val="0"/>
        <w:spacing w:after="0"/>
        <w:rPr>
          <w:szCs w:val="24"/>
        </w:rPr>
      </w:pPr>
      <w:r w:rsidRPr="002B55E9">
        <w:rPr>
          <w:rFonts w:hint="eastAsia"/>
          <w:szCs w:val="24"/>
        </w:rPr>
        <w:t>（</w:t>
      </w:r>
      <w:r w:rsidRPr="002B55E9">
        <w:rPr>
          <w:szCs w:val="24"/>
        </w:rPr>
        <w:t>9</w:t>
      </w:r>
      <w:r w:rsidRPr="002B55E9">
        <w:rPr>
          <w:rFonts w:hint="eastAsia"/>
          <w:szCs w:val="24"/>
        </w:rPr>
        <w:t>）设备</w:t>
      </w:r>
      <w:r w:rsidRPr="002B55E9">
        <w:rPr>
          <w:szCs w:val="24"/>
        </w:rPr>
        <w:t>管线及密封点</w:t>
      </w:r>
    </w:p>
    <w:p w14:paraId="1E79DE0C" w14:textId="52C10D1D" w:rsidR="00D170E5" w:rsidRPr="002B55E9" w:rsidRDefault="00EF27AD">
      <w:pPr>
        <w:pStyle w:val="affff7"/>
        <w:snapToGrid w:val="0"/>
        <w:spacing w:after="0"/>
        <w:rPr>
          <w:szCs w:val="24"/>
        </w:rPr>
      </w:pPr>
      <w:r w:rsidRPr="002B55E9">
        <w:rPr>
          <w:rFonts w:hint="eastAsia"/>
          <w:szCs w:val="24"/>
        </w:rPr>
        <w:lastRenderedPageBreak/>
        <w:t>厂区输送乙醇</w:t>
      </w:r>
      <w:r w:rsidRPr="002B55E9">
        <w:rPr>
          <w:szCs w:val="24"/>
        </w:rPr>
        <w:t>、黄酒等</w:t>
      </w:r>
      <w:r w:rsidRPr="002B55E9">
        <w:rPr>
          <w:rFonts w:hint="eastAsia"/>
          <w:szCs w:val="24"/>
        </w:rPr>
        <w:t>有机</w:t>
      </w:r>
      <w:r w:rsidRPr="002B55E9">
        <w:rPr>
          <w:szCs w:val="24"/>
        </w:rPr>
        <w:t>液体的管线</w:t>
      </w:r>
      <w:r w:rsidRPr="002B55E9">
        <w:rPr>
          <w:rFonts w:hint="eastAsia"/>
          <w:szCs w:val="24"/>
        </w:rPr>
        <w:t>组件涉及</w:t>
      </w:r>
      <w:r w:rsidRPr="002B55E9">
        <w:rPr>
          <w:szCs w:val="24"/>
        </w:rPr>
        <w:t>挥发性有机物排放，主要来自于阀门、法兰、机泵</w:t>
      </w:r>
      <w:r w:rsidRPr="002B55E9">
        <w:rPr>
          <w:rFonts w:hint="eastAsia"/>
          <w:szCs w:val="24"/>
        </w:rPr>
        <w:t>等</w:t>
      </w:r>
      <w:r w:rsidRPr="002B55E9">
        <w:rPr>
          <w:szCs w:val="24"/>
        </w:rPr>
        <w:t>与设备管线组件的密封点，泄漏的污染物主要为</w:t>
      </w:r>
      <w:r w:rsidR="00924AFA" w:rsidRPr="002B55E9">
        <w:rPr>
          <w:rFonts w:hint="eastAsia"/>
          <w:szCs w:val="24"/>
        </w:rPr>
        <w:t>挥发性</w:t>
      </w:r>
      <w:r w:rsidR="00924AFA" w:rsidRPr="002B55E9">
        <w:rPr>
          <w:szCs w:val="24"/>
        </w:rPr>
        <w:t>有机废气</w:t>
      </w:r>
      <w:r w:rsidRPr="002B55E9">
        <w:rPr>
          <w:rFonts w:hint="eastAsia"/>
          <w:szCs w:val="24"/>
        </w:rPr>
        <w:t>（</w:t>
      </w:r>
      <w:r w:rsidRPr="002B55E9">
        <w:rPr>
          <w:szCs w:val="24"/>
        </w:rPr>
        <w:t>G6</w:t>
      </w:r>
      <w:r w:rsidRPr="002B55E9">
        <w:rPr>
          <w:rFonts w:hint="eastAsia"/>
          <w:szCs w:val="24"/>
        </w:rPr>
        <w:t>）。</w:t>
      </w:r>
    </w:p>
    <w:p w14:paraId="4448399E" w14:textId="77777777" w:rsidR="00D170E5" w:rsidRPr="002B55E9" w:rsidRDefault="00EF27AD">
      <w:pPr>
        <w:pStyle w:val="affff7"/>
        <w:snapToGrid w:val="0"/>
        <w:spacing w:after="0"/>
        <w:rPr>
          <w:szCs w:val="24"/>
        </w:rPr>
      </w:pPr>
      <w:r w:rsidRPr="002B55E9">
        <w:rPr>
          <w:rFonts w:hint="eastAsia"/>
          <w:szCs w:val="24"/>
        </w:rPr>
        <w:t>（</w:t>
      </w:r>
      <w:r w:rsidRPr="002B55E9">
        <w:rPr>
          <w:szCs w:val="24"/>
        </w:rPr>
        <w:t>10</w:t>
      </w:r>
      <w:r w:rsidRPr="002B55E9">
        <w:rPr>
          <w:rFonts w:hint="eastAsia"/>
          <w:szCs w:val="24"/>
        </w:rPr>
        <w:t>）蒸汽使用</w:t>
      </w:r>
    </w:p>
    <w:p w14:paraId="21D73246" w14:textId="77777777" w:rsidR="00D170E5" w:rsidRPr="002B55E9" w:rsidRDefault="00EF27AD">
      <w:pPr>
        <w:pStyle w:val="affff7"/>
        <w:snapToGrid w:val="0"/>
        <w:spacing w:after="0"/>
        <w:rPr>
          <w:szCs w:val="24"/>
        </w:rPr>
      </w:pPr>
      <w:r w:rsidRPr="002B55E9">
        <w:rPr>
          <w:rFonts w:hint="eastAsia"/>
          <w:szCs w:val="24"/>
        </w:rPr>
        <w:t>项目使用园区蒸汽作为工艺加热热源，蒸汽使用后会产生蒸汽冷凝水（</w:t>
      </w:r>
      <w:r w:rsidRPr="002B55E9">
        <w:rPr>
          <w:rFonts w:hint="eastAsia"/>
          <w:szCs w:val="24"/>
        </w:rPr>
        <w:t>W</w:t>
      </w:r>
      <w:r w:rsidRPr="002B55E9">
        <w:rPr>
          <w:szCs w:val="24"/>
        </w:rPr>
        <w:t>10</w:t>
      </w:r>
      <w:r w:rsidRPr="002B55E9">
        <w:rPr>
          <w:rFonts w:hint="eastAsia"/>
          <w:szCs w:val="24"/>
        </w:rPr>
        <w:t>）。</w:t>
      </w:r>
    </w:p>
    <w:p w14:paraId="57B07308" w14:textId="77777777" w:rsidR="00D170E5" w:rsidRPr="002B55E9" w:rsidRDefault="00EF27AD">
      <w:pPr>
        <w:pStyle w:val="affff7"/>
        <w:snapToGrid w:val="0"/>
        <w:spacing w:after="0"/>
        <w:rPr>
          <w:szCs w:val="24"/>
        </w:rPr>
      </w:pPr>
      <w:r w:rsidRPr="002B55E9">
        <w:rPr>
          <w:rFonts w:hint="eastAsia"/>
          <w:szCs w:val="24"/>
        </w:rPr>
        <w:t>（</w:t>
      </w:r>
      <w:r w:rsidRPr="002B55E9">
        <w:rPr>
          <w:szCs w:val="24"/>
        </w:rPr>
        <w:t>11</w:t>
      </w:r>
      <w:r w:rsidRPr="002B55E9">
        <w:rPr>
          <w:rFonts w:hint="eastAsia"/>
          <w:szCs w:val="24"/>
        </w:rPr>
        <w:t>）原料拆包</w:t>
      </w:r>
    </w:p>
    <w:p w14:paraId="2739DE50" w14:textId="77777777" w:rsidR="00D170E5" w:rsidRPr="002B55E9" w:rsidRDefault="00EF27AD">
      <w:pPr>
        <w:pStyle w:val="affff7"/>
        <w:snapToGrid w:val="0"/>
        <w:spacing w:after="0"/>
        <w:rPr>
          <w:szCs w:val="24"/>
        </w:rPr>
      </w:pPr>
      <w:r w:rsidRPr="002B55E9">
        <w:rPr>
          <w:rFonts w:hint="eastAsia"/>
          <w:szCs w:val="24"/>
        </w:rPr>
        <w:t>项目外购食盐、香辛料等固体原料使用前需进行拆包，拆包过程会产生废编织袋、废纸箱等废包装材料（</w:t>
      </w:r>
      <w:r w:rsidRPr="002B55E9">
        <w:rPr>
          <w:rFonts w:hint="eastAsia"/>
          <w:szCs w:val="24"/>
        </w:rPr>
        <w:t>S</w:t>
      </w:r>
      <w:r w:rsidRPr="002B55E9">
        <w:rPr>
          <w:szCs w:val="24"/>
        </w:rPr>
        <w:t>9</w:t>
      </w:r>
      <w:r w:rsidRPr="002B55E9">
        <w:rPr>
          <w:rFonts w:hint="eastAsia"/>
          <w:szCs w:val="24"/>
        </w:rPr>
        <w:t>）。</w:t>
      </w:r>
    </w:p>
    <w:p w14:paraId="721265D2" w14:textId="77777777" w:rsidR="00D170E5" w:rsidRPr="002B55E9" w:rsidRDefault="00EF27AD">
      <w:pPr>
        <w:pStyle w:val="affff7"/>
        <w:snapToGrid w:val="0"/>
        <w:spacing w:after="0"/>
        <w:rPr>
          <w:szCs w:val="24"/>
        </w:rPr>
      </w:pPr>
      <w:r w:rsidRPr="002B55E9">
        <w:rPr>
          <w:rFonts w:hint="eastAsia"/>
          <w:szCs w:val="24"/>
        </w:rPr>
        <w:t>（</w:t>
      </w:r>
      <w:r w:rsidRPr="002B55E9">
        <w:rPr>
          <w:szCs w:val="24"/>
        </w:rPr>
        <w:t>12</w:t>
      </w:r>
      <w:r w:rsidRPr="002B55E9">
        <w:rPr>
          <w:rFonts w:hint="eastAsia"/>
          <w:szCs w:val="24"/>
        </w:rPr>
        <w:t>）设备检修</w:t>
      </w:r>
    </w:p>
    <w:p w14:paraId="46D9236C" w14:textId="77777777" w:rsidR="00D170E5" w:rsidRPr="002B55E9" w:rsidRDefault="00EF27AD">
      <w:pPr>
        <w:pStyle w:val="affff7"/>
        <w:snapToGrid w:val="0"/>
        <w:spacing w:after="0"/>
        <w:rPr>
          <w:szCs w:val="24"/>
        </w:rPr>
      </w:pPr>
      <w:r w:rsidRPr="002B55E9">
        <w:rPr>
          <w:rFonts w:hint="eastAsia"/>
          <w:szCs w:val="24"/>
        </w:rPr>
        <w:t>本项目生产设备在检修过程中会产生废机油（</w:t>
      </w:r>
      <w:r w:rsidRPr="002B55E9">
        <w:rPr>
          <w:rFonts w:hint="eastAsia"/>
          <w:szCs w:val="24"/>
        </w:rPr>
        <w:t>S</w:t>
      </w:r>
      <w:r w:rsidRPr="002B55E9">
        <w:rPr>
          <w:szCs w:val="24"/>
        </w:rPr>
        <w:t>10</w:t>
      </w:r>
      <w:r w:rsidRPr="002B55E9">
        <w:rPr>
          <w:rFonts w:hint="eastAsia"/>
          <w:szCs w:val="24"/>
        </w:rPr>
        <w:t>）、含油抹布（</w:t>
      </w:r>
      <w:r w:rsidRPr="002B55E9">
        <w:rPr>
          <w:rFonts w:hint="eastAsia"/>
          <w:szCs w:val="24"/>
        </w:rPr>
        <w:t>S</w:t>
      </w:r>
      <w:r w:rsidRPr="002B55E9">
        <w:rPr>
          <w:szCs w:val="24"/>
        </w:rPr>
        <w:t>11</w:t>
      </w:r>
      <w:r w:rsidRPr="002B55E9">
        <w:rPr>
          <w:rFonts w:hint="eastAsia"/>
          <w:szCs w:val="24"/>
        </w:rPr>
        <w:t>），作为危险废物在危险废物暂存间暂存后交由有资质单位处置。</w:t>
      </w:r>
    </w:p>
    <w:p w14:paraId="1330C313" w14:textId="77777777" w:rsidR="00D170E5" w:rsidRPr="002B55E9" w:rsidRDefault="00EF27AD">
      <w:pPr>
        <w:pStyle w:val="affff7"/>
        <w:snapToGrid w:val="0"/>
        <w:spacing w:after="0"/>
        <w:rPr>
          <w:szCs w:val="24"/>
        </w:rPr>
      </w:pPr>
      <w:r w:rsidRPr="002B55E9">
        <w:rPr>
          <w:rFonts w:hint="eastAsia"/>
          <w:szCs w:val="24"/>
        </w:rPr>
        <w:t>（</w:t>
      </w:r>
      <w:r w:rsidRPr="002B55E9">
        <w:rPr>
          <w:rFonts w:hint="eastAsia"/>
          <w:szCs w:val="24"/>
        </w:rPr>
        <w:t>1</w:t>
      </w:r>
      <w:r w:rsidRPr="002B55E9">
        <w:rPr>
          <w:szCs w:val="24"/>
        </w:rPr>
        <w:t>3</w:t>
      </w:r>
      <w:r w:rsidRPr="002B55E9">
        <w:rPr>
          <w:rFonts w:hint="eastAsia"/>
          <w:szCs w:val="24"/>
        </w:rPr>
        <w:t>）员工生活</w:t>
      </w:r>
    </w:p>
    <w:p w14:paraId="50B86567" w14:textId="2CAEBD4E" w:rsidR="00D170E5" w:rsidRPr="002B55E9" w:rsidRDefault="00EF27AD">
      <w:pPr>
        <w:pStyle w:val="affff7"/>
        <w:snapToGrid w:val="0"/>
        <w:spacing w:after="0"/>
        <w:rPr>
          <w:szCs w:val="24"/>
        </w:rPr>
      </w:pPr>
      <w:r w:rsidRPr="002B55E9">
        <w:rPr>
          <w:rFonts w:hint="eastAsia"/>
          <w:szCs w:val="24"/>
        </w:rPr>
        <w:t>员工日常生产过程中会产生生活污水（</w:t>
      </w:r>
      <w:r w:rsidRPr="002B55E9">
        <w:rPr>
          <w:rFonts w:hint="eastAsia"/>
          <w:szCs w:val="24"/>
        </w:rPr>
        <w:t>W</w:t>
      </w:r>
      <w:r w:rsidRPr="002B55E9">
        <w:rPr>
          <w:szCs w:val="24"/>
        </w:rPr>
        <w:t>11</w:t>
      </w:r>
      <w:r w:rsidRPr="002B55E9">
        <w:rPr>
          <w:rFonts w:hint="eastAsia"/>
          <w:szCs w:val="24"/>
        </w:rPr>
        <w:t>）、生活垃圾（</w:t>
      </w:r>
      <w:r w:rsidRPr="002B55E9">
        <w:rPr>
          <w:rFonts w:hint="eastAsia"/>
          <w:szCs w:val="24"/>
        </w:rPr>
        <w:t>S</w:t>
      </w:r>
      <w:r w:rsidRPr="002B55E9">
        <w:rPr>
          <w:szCs w:val="24"/>
        </w:rPr>
        <w:t>12</w:t>
      </w:r>
      <w:r w:rsidRPr="002B55E9">
        <w:rPr>
          <w:rFonts w:hint="eastAsia"/>
          <w:szCs w:val="24"/>
        </w:rPr>
        <w:t>）。</w:t>
      </w:r>
    </w:p>
    <w:p w14:paraId="46A13439" w14:textId="4E0BE681" w:rsidR="00523135" w:rsidRPr="002B55E9" w:rsidRDefault="00523135">
      <w:pPr>
        <w:pStyle w:val="affff7"/>
        <w:snapToGrid w:val="0"/>
        <w:spacing w:after="0"/>
        <w:rPr>
          <w:szCs w:val="24"/>
        </w:rPr>
      </w:pPr>
      <w:r w:rsidRPr="002B55E9">
        <w:rPr>
          <w:rFonts w:hint="eastAsia"/>
          <w:szCs w:val="24"/>
        </w:rPr>
        <w:t>（</w:t>
      </w:r>
      <w:r w:rsidRPr="002B55E9">
        <w:rPr>
          <w:rFonts w:hint="eastAsia"/>
          <w:szCs w:val="24"/>
        </w:rPr>
        <w:t>14</w:t>
      </w:r>
      <w:r w:rsidRPr="002B55E9">
        <w:rPr>
          <w:rFonts w:hint="eastAsia"/>
          <w:szCs w:val="24"/>
        </w:rPr>
        <w:t>）依托</w:t>
      </w:r>
      <w:r w:rsidRPr="002B55E9">
        <w:rPr>
          <w:szCs w:val="24"/>
        </w:rPr>
        <w:t>的污水处理站产排污</w:t>
      </w:r>
    </w:p>
    <w:p w14:paraId="621C4A76" w14:textId="519F8ABA" w:rsidR="00523135" w:rsidRPr="002B55E9" w:rsidRDefault="00523135">
      <w:pPr>
        <w:pStyle w:val="affff7"/>
        <w:snapToGrid w:val="0"/>
        <w:spacing w:after="0"/>
        <w:rPr>
          <w:szCs w:val="24"/>
        </w:rPr>
      </w:pPr>
      <w:r w:rsidRPr="002B55E9">
        <w:rPr>
          <w:rFonts w:hint="eastAsia"/>
          <w:szCs w:val="24"/>
        </w:rPr>
        <w:t>项目</w:t>
      </w:r>
      <w:r w:rsidRPr="002B55E9">
        <w:rPr>
          <w:szCs w:val="24"/>
        </w:rPr>
        <w:t>废水依托</w:t>
      </w:r>
      <w:r w:rsidRPr="002B55E9">
        <w:rPr>
          <w:rFonts w:hint="eastAsia"/>
          <w:szCs w:val="24"/>
        </w:rPr>
        <w:t>佛山市海天（武汉）调味食品有限公司污水处理站</w:t>
      </w:r>
      <w:r w:rsidRPr="002B55E9">
        <w:rPr>
          <w:szCs w:val="24"/>
        </w:rPr>
        <w:t>处理</w:t>
      </w:r>
      <w:r w:rsidRPr="002B55E9">
        <w:rPr>
          <w:rFonts w:hint="eastAsia"/>
          <w:szCs w:val="24"/>
        </w:rPr>
        <w:t>，污水处理站</w:t>
      </w:r>
      <w:r w:rsidRPr="002B55E9">
        <w:rPr>
          <w:szCs w:val="24"/>
        </w:rPr>
        <w:t>运营过程中会产生</w:t>
      </w:r>
      <w:r w:rsidRPr="002B55E9">
        <w:rPr>
          <w:rFonts w:hint="eastAsia"/>
          <w:szCs w:val="24"/>
        </w:rPr>
        <w:t>恶臭废气</w:t>
      </w:r>
      <w:r w:rsidR="002C311D" w:rsidRPr="002B55E9">
        <w:rPr>
          <w:rFonts w:hint="eastAsia"/>
          <w:szCs w:val="24"/>
        </w:rPr>
        <w:t>（</w:t>
      </w:r>
      <w:r w:rsidR="002C311D" w:rsidRPr="002B55E9">
        <w:rPr>
          <w:rFonts w:hint="eastAsia"/>
          <w:szCs w:val="24"/>
        </w:rPr>
        <w:t>G7</w:t>
      </w:r>
      <w:r w:rsidR="002C311D" w:rsidRPr="002B55E9">
        <w:rPr>
          <w:rFonts w:hint="eastAsia"/>
          <w:szCs w:val="24"/>
        </w:rPr>
        <w:t>）</w:t>
      </w:r>
      <w:r w:rsidRPr="002B55E9">
        <w:rPr>
          <w:rFonts w:hint="eastAsia"/>
          <w:szCs w:val="24"/>
        </w:rPr>
        <w:t>、设备</w:t>
      </w:r>
      <w:r w:rsidRPr="002B55E9">
        <w:rPr>
          <w:szCs w:val="24"/>
        </w:rPr>
        <w:t>运行噪声、</w:t>
      </w:r>
      <w:r w:rsidR="002C311D" w:rsidRPr="002B55E9">
        <w:rPr>
          <w:rFonts w:hint="eastAsia"/>
          <w:szCs w:val="24"/>
        </w:rPr>
        <w:t>污水处理</w:t>
      </w:r>
      <w:r w:rsidRPr="002B55E9">
        <w:rPr>
          <w:szCs w:val="24"/>
        </w:rPr>
        <w:t>污泥</w:t>
      </w:r>
      <w:r w:rsidR="002C311D" w:rsidRPr="002B55E9">
        <w:rPr>
          <w:rFonts w:hint="eastAsia"/>
          <w:szCs w:val="24"/>
        </w:rPr>
        <w:t>（</w:t>
      </w:r>
      <w:r w:rsidR="002C311D" w:rsidRPr="002B55E9">
        <w:rPr>
          <w:rFonts w:hint="eastAsia"/>
          <w:szCs w:val="24"/>
        </w:rPr>
        <w:t>S13</w:t>
      </w:r>
      <w:r w:rsidR="002C311D" w:rsidRPr="002B55E9">
        <w:rPr>
          <w:rFonts w:hint="eastAsia"/>
          <w:szCs w:val="24"/>
        </w:rPr>
        <w:t>）</w:t>
      </w:r>
      <w:r w:rsidRPr="002B55E9">
        <w:rPr>
          <w:szCs w:val="24"/>
        </w:rPr>
        <w:t>等废物</w:t>
      </w:r>
      <w:r w:rsidRPr="002B55E9">
        <w:rPr>
          <w:rFonts w:hint="eastAsia"/>
          <w:szCs w:val="24"/>
        </w:rPr>
        <w:t>。</w:t>
      </w:r>
      <w:r w:rsidR="002C311D" w:rsidRPr="002B55E9">
        <w:rPr>
          <w:rFonts w:hint="eastAsia"/>
          <w:szCs w:val="24"/>
        </w:rPr>
        <w:t>该部分污染物不在本项目厂区内产生，其责任主体为佛山市海天（武汉）调味食品有限公司，污水处理产生的</w:t>
      </w:r>
      <w:r w:rsidR="002C311D" w:rsidRPr="002B55E9">
        <w:rPr>
          <w:szCs w:val="24"/>
        </w:rPr>
        <w:t>所有污染物</w:t>
      </w:r>
      <w:r w:rsidR="002C311D" w:rsidRPr="002B55E9">
        <w:rPr>
          <w:rFonts w:hint="eastAsia"/>
          <w:szCs w:val="24"/>
        </w:rPr>
        <w:t>统一由佛山市海天（武汉）调味食品有限公司负责处置。</w:t>
      </w:r>
    </w:p>
    <w:p w14:paraId="4D16EE6B" w14:textId="77777777" w:rsidR="00D170E5" w:rsidRPr="002B55E9" w:rsidRDefault="00EF27AD">
      <w:pPr>
        <w:pStyle w:val="4"/>
        <w:rPr>
          <w:color w:val="auto"/>
        </w:rPr>
      </w:pPr>
      <w:r w:rsidRPr="002B55E9">
        <w:rPr>
          <w:rFonts w:hint="eastAsia"/>
          <w:color w:val="auto"/>
        </w:rPr>
        <w:t>产污环节及拟采取的环保措施</w:t>
      </w:r>
    </w:p>
    <w:p w14:paraId="03C55C16" w14:textId="77777777" w:rsidR="00D170E5" w:rsidRPr="002B55E9" w:rsidRDefault="00EF27AD">
      <w:pPr>
        <w:pStyle w:val="affff7"/>
        <w:snapToGrid w:val="0"/>
        <w:spacing w:after="0"/>
      </w:pPr>
      <w:r w:rsidRPr="002B55E9">
        <w:rPr>
          <w:rFonts w:hint="eastAsia"/>
        </w:rPr>
        <w:t>由上述分析可知，拟建项目产污环节及拟采取的环保设施如下表所示：</w:t>
      </w:r>
    </w:p>
    <w:p w14:paraId="456A69F8" w14:textId="0A128042" w:rsidR="00D170E5" w:rsidRPr="002B55E9" w:rsidRDefault="00EF27AD">
      <w:pPr>
        <w:pStyle w:val="1f3"/>
        <w:snapToGrid w:val="0"/>
        <w:spacing w:beforeLines="0" w:before="0"/>
      </w:pPr>
      <w:r w:rsidRPr="002B55E9">
        <w:rPr>
          <w:rFonts w:hint="eastAsia"/>
        </w:rPr>
        <w:t>表</w:t>
      </w:r>
      <w:r w:rsidRPr="002B55E9">
        <w:rPr>
          <w:rFonts w:hint="eastAsia"/>
        </w:rPr>
        <w:t>3-1-</w:t>
      </w:r>
      <w:r w:rsidR="0075497D" w:rsidRPr="002B55E9">
        <w:t>20</w:t>
      </w:r>
      <w:r w:rsidRPr="002B55E9">
        <w:rPr>
          <w:rFonts w:hint="eastAsia"/>
        </w:rPr>
        <w:t xml:space="preserve">  </w:t>
      </w:r>
      <w:r w:rsidRPr="002B55E9">
        <w:rPr>
          <w:rFonts w:hint="eastAsia"/>
        </w:rPr>
        <w:t>拟建项目产污环节及拟采取的环保措施一览表</w:t>
      </w:r>
    </w:p>
    <w:tbl>
      <w:tblPr>
        <w:tblStyle w:val="lgy2"/>
        <w:tblW w:w="5000" w:type="pct"/>
        <w:tblLayout w:type="fixed"/>
        <w:tblCellMar>
          <w:left w:w="28" w:type="dxa"/>
          <w:right w:w="28" w:type="dxa"/>
        </w:tblCellMar>
        <w:tblLook w:val="04A0" w:firstRow="1" w:lastRow="0" w:firstColumn="1" w:lastColumn="0" w:noHBand="0" w:noVBand="1"/>
      </w:tblPr>
      <w:tblGrid>
        <w:gridCol w:w="965"/>
        <w:gridCol w:w="890"/>
        <w:gridCol w:w="1567"/>
        <w:gridCol w:w="1413"/>
        <w:gridCol w:w="1724"/>
        <w:gridCol w:w="3135"/>
      </w:tblGrid>
      <w:tr w:rsidR="002B55E9" w:rsidRPr="002B55E9" w14:paraId="799B83C9" w14:textId="77777777" w:rsidTr="002C311D">
        <w:trPr>
          <w:cnfStyle w:val="100000000000" w:firstRow="1" w:lastRow="0" w:firstColumn="0" w:lastColumn="0" w:oddVBand="0" w:evenVBand="0" w:oddHBand="0" w:evenHBand="0" w:firstRowFirstColumn="0" w:firstRowLastColumn="0" w:lastRowFirstColumn="0" w:lastRowLastColumn="0"/>
          <w:trHeight w:val="283"/>
        </w:trPr>
        <w:tc>
          <w:tcPr>
            <w:tcW w:w="959" w:type="dxa"/>
          </w:tcPr>
          <w:p w14:paraId="1E702EDB" w14:textId="77777777" w:rsidR="00D170E5" w:rsidRPr="002B55E9" w:rsidRDefault="00EF27AD" w:rsidP="002C311D">
            <w:pPr>
              <w:pStyle w:val="lgy-"/>
              <w:rPr>
                <w:rFonts w:eastAsia="宋体"/>
              </w:rPr>
            </w:pPr>
            <w:r w:rsidRPr="002B55E9">
              <w:rPr>
                <w:rFonts w:eastAsia="宋体"/>
              </w:rPr>
              <w:t>污染物类型</w:t>
            </w:r>
          </w:p>
        </w:tc>
        <w:tc>
          <w:tcPr>
            <w:tcW w:w="885" w:type="dxa"/>
          </w:tcPr>
          <w:p w14:paraId="50C24047" w14:textId="77777777" w:rsidR="00D170E5" w:rsidRPr="002B55E9" w:rsidRDefault="00EF27AD" w:rsidP="002C311D">
            <w:pPr>
              <w:pStyle w:val="lgy-"/>
              <w:rPr>
                <w:rFonts w:eastAsia="宋体"/>
              </w:rPr>
            </w:pPr>
            <w:r w:rsidRPr="002B55E9">
              <w:rPr>
                <w:rFonts w:eastAsia="宋体" w:hint="eastAsia"/>
              </w:rPr>
              <w:t>产排污序号</w:t>
            </w:r>
          </w:p>
        </w:tc>
        <w:tc>
          <w:tcPr>
            <w:tcW w:w="1558" w:type="dxa"/>
          </w:tcPr>
          <w:p w14:paraId="4728D0E3" w14:textId="77777777" w:rsidR="00D170E5" w:rsidRPr="002B55E9" w:rsidRDefault="00EF27AD" w:rsidP="002C311D">
            <w:pPr>
              <w:pStyle w:val="lgy-"/>
              <w:rPr>
                <w:rFonts w:eastAsia="宋体"/>
              </w:rPr>
            </w:pPr>
            <w:r w:rsidRPr="002B55E9">
              <w:rPr>
                <w:rFonts w:eastAsia="宋体" w:hint="eastAsia"/>
              </w:rPr>
              <w:t>污染源名称</w:t>
            </w:r>
          </w:p>
        </w:tc>
        <w:tc>
          <w:tcPr>
            <w:tcW w:w="1405" w:type="dxa"/>
          </w:tcPr>
          <w:p w14:paraId="03E2804A" w14:textId="77777777" w:rsidR="00D170E5" w:rsidRPr="002B55E9" w:rsidRDefault="00EF27AD" w:rsidP="002C311D">
            <w:pPr>
              <w:pStyle w:val="lgy-"/>
              <w:rPr>
                <w:rFonts w:eastAsia="宋体"/>
              </w:rPr>
            </w:pPr>
            <w:r w:rsidRPr="002B55E9">
              <w:rPr>
                <w:rFonts w:eastAsia="宋体" w:hint="eastAsia"/>
              </w:rPr>
              <w:t>产生工序</w:t>
            </w:r>
          </w:p>
        </w:tc>
        <w:tc>
          <w:tcPr>
            <w:tcW w:w="1714" w:type="dxa"/>
          </w:tcPr>
          <w:p w14:paraId="236058F9" w14:textId="77777777" w:rsidR="00D170E5" w:rsidRPr="002B55E9" w:rsidRDefault="00EF27AD" w:rsidP="002C311D">
            <w:pPr>
              <w:pStyle w:val="lgy-"/>
              <w:rPr>
                <w:rFonts w:eastAsia="宋体"/>
              </w:rPr>
            </w:pPr>
            <w:r w:rsidRPr="002B55E9">
              <w:rPr>
                <w:rFonts w:eastAsia="宋体" w:hint="eastAsia"/>
              </w:rPr>
              <w:t>主要污染因子</w:t>
            </w:r>
          </w:p>
        </w:tc>
        <w:tc>
          <w:tcPr>
            <w:tcW w:w="3117" w:type="dxa"/>
          </w:tcPr>
          <w:p w14:paraId="424203E0" w14:textId="77777777" w:rsidR="00D170E5" w:rsidRPr="002B55E9" w:rsidRDefault="00EF27AD" w:rsidP="002C311D">
            <w:pPr>
              <w:pStyle w:val="lgy-"/>
              <w:rPr>
                <w:rFonts w:eastAsia="宋体"/>
              </w:rPr>
            </w:pPr>
            <w:r w:rsidRPr="002B55E9">
              <w:rPr>
                <w:rFonts w:eastAsia="宋体" w:hint="eastAsia"/>
              </w:rPr>
              <w:t>拟采取的治理措施</w:t>
            </w:r>
          </w:p>
        </w:tc>
      </w:tr>
      <w:tr w:rsidR="002B55E9" w:rsidRPr="002B55E9" w14:paraId="2C104736" w14:textId="77777777" w:rsidTr="002C311D">
        <w:trPr>
          <w:trHeight w:val="283"/>
        </w:trPr>
        <w:tc>
          <w:tcPr>
            <w:tcW w:w="959" w:type="dxa"/>
            <w:vMerge w:val="restart"/>
          </w:tcPr>
          <w:p w14:paraId="5E1BA6EF" w14:textId="77777777" w:rsidR="00523135" w:rsidRPr="002B55E9" w:rsidRDefault="00523135" w:rsidP="002C311D">
            <w:pPr>
              <w:pStyle w:val="lgy-"/>
              <w:rPr>
                <w:rFonts w:eastAsia="宋体"/>
              </w:rPr>
            </w:pPr>
            <w:r w:rsidRPr="002B55E9">
              <w:rPr>
                <w:rFonts w:eastAsia="宋体" w:hint="eastAsia"/>
              </w:rPr>
              <w:t>废气</w:t>
            </w:r>
          </w:p>
        </w:tc>
        <w:tc>
          <w:tcPr>
            <w:tcW w:w="885" w:type="dxa"/>
          </w:tcPr>
          <w:p w14:paraId="65E014D6" w14:textId="77777777" w:rsidR="00523135" w:rsidRPr="002B55E9" w:rsidRDefault="00523135" w:rsidP="002C311D">
            <w:pPr>
              <w:pStyle w:val="lgy-"/>
              <w:rPr>
                <w:rFonts w:eastAsia="宋体"/>
              </w:rPr>
            </w:pPr>
            <w:r w:rsidRPr="002B55E9">
              <w:rPr>
                <w:rFonts w:eastAsia="宋体"/>
              </w:rPr>
              <w:t>G1-1</w:t>
            </w:r>
          </w:p>
        </w:tc>
        <w:tc>
          <w:tcPr>
            <w:tcW w:w="1558" w:type="dxa"/>
          </w:tcPr>
          <w:p w14:paraId="608C32CD" w14:textId="77777777" w:rsidR="00523135" w:rsidRPr="002B55E9" w:rsidRDefault="00523135" w:rsidP="002C311D">
            <w:pPr>
              <w:pStyle w:val="lgy-"/>
              <w:rPr>
                <w:rFonts w:eastAsia="宋体"/>
              </w:rPr>
            </w:pPr>
            <w:r w:rsidRPr="002B55E9">
              <w:rPr>
                <w:rFonts w:eastAsia="宋体" w:hint="eastAsia"/>
              </w:rPr>
              <w:t>破碎粉尘</w:t>
            </w:r>
          </w:p>
        </w:tc>
        <w:tc>
          <w:tcPr>
            <w:tcW w:w="1405" w:type="dxa"/>
          </w:tcPr>
          <w:p w14:paraId="7D85D33C" w14:textId="77777777" w:rsidR="00523135" w:rsidRPr="002B55E9" w:rsidRDefault="00523135" w:rsidP="002C311D">
            <w:pPr>
              <w:pStyle w:val="lgy-"/>
              <w:rPr>
                <w:rFonts w:eastAsia="宋体"/>
              </w:rPr>
            </w:pPr>
            <w:r w:rsidRPr="002B55E9">
              <w:rPr>
                <w:rFonts w:eastAsia="宋体"/>
              </w:rPr>
              <w:t>破碎</w:t>
            </w:r>
          </w:p>
        </w:tc>
        <w:tc>
          <w:tcPr>
            <w:tcW w:w="1714" w:type="dxa"/>
          </w:tcPr>
          <w:p w14:paraId="1205B32A" w14:textId="77777777" w:rsidR="00523135" w:rsidRPr="002B55E9" w:rsidRDefault="00523135" w:rsidP="002C311D">
            <w:pPr>
              <w:pStyle w:val="lgy-"/>
              <w:rPr>
                <w:rFonts w:eastAsia="宋体"/>
              </w:rPr>
            </w:pPr>
            <w:r w:rsidRPr="002B55E9">
              <w:rPr>
                <w:rFonts w:eastAsia="宋体" w:hint="eastAsia"/>
              </w:rPr>
              <w:t>颗粒物</w:t>
            </w:r>
          </w:p>
        </w:tc>
        <w:tc>
          <w:tcPr>
            <w:tcW w:w="3117" w:type="dxa"/>
          </w:tcPr>
          <w:p w14:paraId="7FB70A3A" w14:textId="77777777" w:rsidR="00523135" w:rsidRPr="002B55E9" w:rsidRDefault="00523135" w:rsidP="002C311D">
            <w:pPr>
              <w:pStyle w:val="lgy-"/>
              <w:rPr>
                <w:rFonts w:eastAsia="宋体"/>
              </w:rPr>
            </w:pPr>
            <w:r w:rsidRPr="002B55E9">
              <w:rPr>
                <w:rFonts w:eastAsia="宋体" w:hint="eastAsia"/>
              </w:rPr>
              <w:t>经</w:t>
            </w:r>
            <w:r w:rsidRPr="002B55E9">
              <w:rPr>
                <w:rFonts w:eastAsia="宋体"/>
              </w:rPr>
              <w:t>粉碎机自带</w:t>
            </w:r>
            <w:r w:rsidRPr="002B55E9">
              <w:rPr>
                <w:rFonts w:eastAsia="宋体" w:hint="eastAsia"/>
              </w:rPr>
              <w:t>袋</w:t>
            </w:r>
            <w:r w:rsidRPr="002B55E9">
              <w:rPr>
                <w:rFonts w:eastAsia="宋体"/>
              </w:rPr>
              <w:t>式除尘器处理后通过</w:t>
            </w:r>
            <w:r w:rsidRPr="002B55E9">
              <w:rPr>
                <w:rFonts w:eastAsia="宋体"/>
              </w:rPr>
              <w:t>18m</w:t>
            </w:r>
            <w:r w:rsidRPr="002B55E9">
              <w:rPr>
                <w:rFonts w:eastAsia="宋体"/>
              </w:rPr>
              <w:t>高排气筒（</w:t>
            </w:r>
            <w:r w:rsidRPr="002B55E9">
              <w:rPr>
                <w:rFonts w:eastAsia="宋体" w:hint="eastAsia"/>
              </w:rPr>
              <w:t>DA001</w:t>
            </w:r>
            <w:r w:rsidRPr="002B55E9">
              <w:rPr>
                <w:rFonts w:eastAsia="宋体"/>
              </w:rPr>
              <w:t>）排放</w:t>
            </w:r>
          </w:p>
        </w:tc>
      </w:tr>
      <w:tr w:rsidR="002B55E9" w:rsidRPr="002B55E9" w14:paraId="1B475BD7" w14:textId="77777777" w:rsidTr="002C311D">
        <w:trPr>
          <w:trHeight w:val="283"/>
        </w:trPr>
        <w:tc>
          <w:tcPr>
            <w:tcW w:w="959" w:type="dxa"/>
            <w:vMerge/>
          </w:tcPr>
          <w:p w14:paraId="0788AB14" w14:textId="77777777" w:rsidR="00523135" w:rsidRPr="002B55E9" w:rsidRDefault="00523135" w:rsidP="002C311D">
            <w:pPr>
              <w:pStyle w:val="lgy-"/>
              <w:rPr>
                <w:rFonts w:eastAsia="宋体"/>
              </w:rPr>
            </w:pPr>
          </w:p>
        </w:tc>
        <w:tc>
          <w:tcPr>
            <w:tcW w:w="885" w:type="dxa"/>
          </w:tcPr>
          <w:p w14:paraId="2117C42E" w14:textId="77777777" w:rsidR="00523135" w:rsidRPr="002B55E9" w:rsidRDefault="00523135" w:rsidP="002C311D">
            <w:pPr>
              <w:pStyle w:val="lgy-"/>
              <w:rPr>
                <w:rFonts w:eastAsia="宋体"/>
              </w:rPr>
            </w:pPr>
            <w:r w:rsidRPr="002B55E9">
              <w:rPr>
                <w:rFonts w:eastAsia="宋体"/>
              </w:rPr>
              <w:t>G1-2</w:t>
            </w:r>
          </w:p>
        </w:tc>
        <w:tc>
          <w:tcPr>
            <w:tcW w:w="1558" w:type="dxa"/>
          </w:tcPr>
          <w:p w14:paraId="27CDEF1B" w14:textId="77777777" w:rsidR="00523135" w:rsidRPr="002B55E9" w:rsidRDefault="00523135" w:rsidP="002C311D">
            <w:pPr>
              <w:pStyle w:val="lgy-"/>
              <w:rPr>
                <w:rFonts w:eastAsia="宋体"/>
              </w:rPr>
            </w:pPr>
            <w:r w:rsidRPr="002B55E9">
              <w:rPr>
                <w:rFonts w:eastAsia="宋体" w:hint="eastAsia"/>
              </w:rPr>
              <w:t>投料废气</w:t>
            </w:r>
          </w:p>
        </w:tc>
        <w:tc>
          <w:tcPr>
            <w:tcW w:w="1405" w:type="dxa"/>
          </w:tcPr>
          <w:p w14:paraId="225AA2D8" w14:textId="77777777" w:rsidR="00523135" w:rsidRPr="002B55E9" w:rsidRDefault="00523135" w:rsidP="002C311D">
            <w:pPr>
              <w:pStyle w:val="lgy-"/>
              <w:rPr>
                <w:rFonts w:eastAsia="宋体"/>
              </w:rPr>
            </w:pPr>
            <w:r w:rsidRPr="002B55E9">
              <w:rPr>
                <w:rFonts w:eastAsia="宋体" w:hint="eastAsia"/>
              </w:rPr>
              <w:t>浸提</w:t>
            </w:r>
          </w:p>
        </w:tc>
        <w:tc>
          <w:tcPr>
            <w:tcW w:w="1714" w:type="dxa"/>
          </w:tcPr>
          <w:p w14:paraId="0A260F9D" w14:textId="65C4EAD5" w:rsidR="00523135" w:rsidRPr="002B55E9" w:rsidRDefault="00523135" w:rsidP="002C311D">
            <w:pPr>
              <w:pStyle w:val="lgy-"/>
              <w:rPr>
                <w:rFonts w:eastAsia="宋体"/>
              </w:rPr>
            </w:pPr>
            <w:r w:rsidRPr="002B55E9">
              <w:rPr>
                <w:rFonts w:eastAsia="宋体" w:hint="eastAsia"/>
              </w:rPr>
              <w:t>非甲烷总烃</w:t>
            </w:r>
          </w:p>
        </w:tc>
        <w:tc>
          <w:tcPr>
            <w:tcW w:w="3117" w:type="dxa"/>
            <w:vMerge w:val="restart"/>
          </w:tcPr>
          <w:p w14:paraId="7131B706" w14:textId="1CB792F9" w:rsidR="00523135" w:rsidRPr="002B55E9" w:rsidRDefault="00523135" w:rsidP="002C311D">
            <w:pPr>
              <w:pStyle w:val="lgy-"/>
              <w:rPr>
                <w:rFonts w:eastAsia="宋体"/>
              </w:rPr>
            </w:pPr>
            <w:r w:rsidRPr="002B55E9">
              <w:rPr>
                <w:rFonts w:eastAsia="宋体" w:hint="eastAsia"/>
              </w:rPr>
              <w:t>密闭</w:t>
            </w:r>
            <w:r w:rsidRPr="002B55E9">
              <w:rPr>
                <w:rFonts w:eastAsia="宋体"/>
              </w:rPr>
              <w:t>管道收集</w:t>
            </w:r>
            <w:r w:rsidRPr="002B55E9">
              <w:rPr>
                <w:rFonts w:eastAsia="宋体" w:hint="eastAsia"/>
              </w:rPr>
              <w:t>经</w:t>
            </w:r>
            <w:r w:rsidRPr="002B55E9">
              <w:rPr>
                <w:rFonts w:eastAsia="宋体" w:hint="eastAsia"/>
              </w:rPr>
              <w:t>1</w:t>
            </w:r>
            <w:r w:rsidRPr="002B55E9">
              <w:rPr>
                <w:rFonts w:eastAsia="宋体" w:hint="eastAsia"/>
              </w:rPr>
              <w:t>套二级碱喷淋</w:t>
            </w:r>
            <w:r w:rsidRPr="002B55E9">
              <w:rPr>
                <w:rFonts w:eastAsia="宋体" w:hint="eastAsia"/>
              </w:rPr>
              <w:t>+</w:t>
            </w:r>
            <w:r w:rsidRPr="002B55E9">
              <w:rPr>
                <w:rFonts w:eastAsia="宋体" w:hint="eastAsia"/>
              </w:rPr>
              <w:t>水喷淋</w:t>
            </w:r>
            <w:r w:rsidRPr="002B55E9">
              <w:rPr>
                <w:rFonts w:eastAsia="宋体"/>
              </w:rPr>
              <w:t>处理装置处理后通过</w:t>
            </w:r>
            <w:r w:rsidRPr="002B55E9">
              <w:rPr>
                <w:rFonts w:eastAsia="宋体" w:hint="eastAsia"/>
              </w:rPr>
              <w:t>18m</w:t>
            </w:r>
            <w:r w:rsidRPr="002B55E9">
              <w:rPr>
                <w:rFonts w:eastAsia="宋体" w:hint="eastAsia"/>
              </w:rPr>
              <w:t>高</w:t>
            </w:r>
            <w:r w:rsidRPr="002B55E9">
              <w:rPr>
                <w:rFonts w:eastAsia="宋体"/>
              </w:rPr>
              <w:t>排气筒排放</w:t>
            </w:r>
            <w:r w:rsidRPr="002B55E9">
              <w:rPr>
                <w:rFonts w:eastAsia="宋体" w:hint="eastAsia"/>
              </w:rPr>
              <w:t>（</w:t>
            </w:r>
            <w:r w:rsidRPr="002B55E9">
              <w:rPr>
                <w:rFonts w:eastAsia="宋体" w:hint="eastAsia"/>
              </w:rPr>
              <w:t>DA002</w:t>
            </w:r>
            <w:r w:rsidRPr="002B55E9">
              <w:rPr>
                <w:rFonts w:eastAsia="宋体" w:hint="eastAsia"/>
              </w:rPr>
              <w:t>）</w:t>
            </w:r>
          </w:p>
        </w:tc>
      </w:tr>
      <w:tr w:rsidR="002B55E9" w:rsidRPr="002B55E9" w14:paraId="25F20013" w14:textId="77777777" w:rsidTr="002C311D">
        <w:trPr>
          <w:trHeight w:val="283"/>
        </w:trPr>
        <w:tc>
          <w:tcPr>
            <w:tcW w:w="959" w:type="dxa"/>
            <w:vMerge/>
          </w:tcPr>
          <w:p w14:paraId="1B9B07EC" w14:textId="77777777" w:rsidR="00523135" w:rsidRPr="002B55E9" w:rsidRDefault="00523135" w:rsidP="002C311D">
            <w:pPr>
              <w:pStyle w:val="lgy-"/>
              <w:rPr>
                <w:rFonts w:eastAsia="宋体"/>
              </w:rPr>
            </w:pPr>
          </w:p>
        </w:tc>
        <w:tc>
          <w:tcPr>
            <w:tcW w:w="885" w:type="dxa"/>
          </w:tcPr>
          <w:p w14:paraId="258BA0C8" w14:textId="77777777" w:rsidR="00523135" w:rsidRPr="002B55E9" w:rsidRDefault="00523135" w:rsidP="002C311D">
            <w:pPr>
              <w:pStyle w:val="lgy-"/>
              <w:rPr>
                <w:rFonts w:eastAsia="宋体"/>
              </w:rPr>
            </w:pPr>
            <w:r w:rsidRPr="002B55E9">
              <w:rPr>
                <w:rFonts w:eastAsia="宋体"/>
              </w:rPr>
              <w:t>G1-3</w:t>
            </w:r>
          </w:p>
        </w:tc>
        <w:tc>
          <w:tcPr>
            <w:tcW w:w="1558" w:type="dxa"/>
          </w:tcPr>
          <w:p w14:paraId="78A3ED66" w14:textId="77777777" w:rsidR="00523135" w:rsidRPr="002B55E9" w:rsidRDefault="00523135" w:rsidP="002C311D">
            <w:pPr>
              <w:pStyle w:val="lgy-"/>
              <w:rPr>
                <w:rFonts w:eastAsia="宋体"/>
              </w:rPr>
            </w:pPr>
            <w:r w:rsidRPr="002B55E9">
              <w:rPr>
                <w:rFonts w:eastAsia="宋体" w:hint="eastAsia"/>
              </w:rPr>
              <w:t>投料废气</w:t>
            </w:r>
          </w:p>
        </w:tc>
        <w:tc>
          <w:tcPr>
            <w:tcW w:w="1405" w:type="dxa"/>
          </w:tcPr>
          <w:p w14:paraId="43D74C9A" w14:textId="77777777" w:rsidR="00523135" w:rsidRPr="002B55E9" w:rsidRDefault="00523135" w:rsidP="002C311D">
            <w:pPr>
              <w:pStyle w:val="lgy-"/>
              <w:rPr>
                <w:rFonts w:eastAsia="宋体"/>
              </w:rPr>
            </w:pPr>
            <w:r w:rsidRPr="002B55E9">
              <w:rPr>
                <w:rFonts w:eastAsia="宋体" w:hint="eastAsia"/>
              </w:rPr>
              <w:t>过滤</w:t>
            </w:r>
          </w:p>
        </w:tc>
        <w:tc>
          <w:tcPr>
            <w:tcW w:w="1714" w:type="dxa"/>
          </w:tcPr>
          <w:p w14:paraId="35A2952D" w14:textId="12FAC6A6" w:rsidR="00523135" w:rsidRPr="002B55E9" w:rsidRDefault="00523135" w:rsidP="002C311D">
            <w:pPr>
              <w:pStyle w:val="lgy-"/>
              <w:rPr>
                <w:rFonts w:eastAsia="宋体"/>
              </w:rPr>
            </w:pPr>
            <w:r w:rsidRPr="002B55E9">
              <w:rPr>
                <w:rFonts w:eastAsia="宋体" w:hint="eastAsia"/>
              </w:rPr>
              <w:t>非甲烷总烃</w:t>
            </w:r>
          </w:p>
        </w:tc>
        <w:tc>
          <w:tcPr>
            <w:tcW w:w="3117" w:type="dxa"/>
            <w:vMerge/>
          </w:tcPr>
          <w:p w14:paraId="3941A209" w14:textId="77777777" w:rsidR="00523135" w:rsidRPr="002B55E9" w:rsidRDefault="00523135" w:rsidP="002C311D">
            <w:pPr>
              <w:pStyle w:val="lgy-"/>
              <w:rPr>
                <w:rFonts w:eastAsia="宋体"/>
              </w:rPr>
            </w:pPr>
          </w:p>
        </w:tc>
      </w:tr>
      <w:tr w:rsidR="002B55E9" w:rsidRPr="002B55E9" w14:paraId="2E2F5C16" w14:textId="77777777" w:rsidTr="002C311D">
        <w:trPr>
          <w:trHeight w:val="283"/>
        </w:trPr>
        <w:tc>
          <w:tcPr>
            <w:tcW w:w="959" w:type="dxa"/>
            <w:vMerge/>
          </w:tcPr>
          <w:p w14:paraId="4FF99359" w14:textId="77777777" w:rsidR="00523135" w:rsidRPr="002B55E9" w:rsidRDefault="00523135" w:rsidP="002C311D">
            <w:pPr>
              <w:pStyle w:val="lgy-"/>
              <w:rPr>
                <w:rFonts w:eastAsia="宋体"/>
              </w:rPr>
            </w:pPr>
          </w:p>
        </w:tc>
        <w:tc>
          <w:tcPr>
            <w:tcW w:w="885" w:type="dxa"/>
          </w:tcPr>
          <w:p w14:paraId="34968AE2" w14:textId="77777777" w:rsidR="00523135" w:rsidRPr="002B55E9" w:rsidRDefault="00523135" w:rsidP="002C311D">
            <w:pPr>
              <w:pStyle w:val="lgy-"/>
              <w:rPr>
                <w:rFonts w:eastAsia="宋体"/>
              </w:rPr>
            </w:pPr>
            <w:r w:rsidRPr="002B55E9">
              <w:rPr>
                <w:rFonts w:eastAsia="宋体"/>
              </w:rPr>
              <w:t>G1-4</w:t>
            </w:r>
          </w:p>
        </w:tc>
        <w:tc>
          <w:tcPr>
            <w:tcW w:w="1558" w:type="dxa"/>
          </w:tcPr>
          <w:p w14:paraId="0E5AD9DE" w14:textId="77777777" w:rsidR="00523135" w:rsidRPr="002B55E9" w:rsidRDefault="00523135" w:rsidP="002C311D">
            <w:pPr>
              <w:pStyle w:val="lgy-"/>
              <w:rPr>
                <w:rFonts w:eastAsia="宋体"/>
              </w:rPr>
            </w:pPr>
            <w:r w:rsidRPr="002B55E9">
              <w:rPr>
                <w:rFonts w:eastAsia="宋体" w:hint="eastAsia"/>
              </w:rPr>
              <w:t>投料废气</w:t>
            </w:r>
          </w:p>
        </w:tc>
        <w:tc>
          <w:tcPr>
            <w:tcW w:w="1405" w:type="dxa"/>
          </w:tcPr>
          <w:p w14:paraId="4E64E45A" w14:textId="77777777" w:rsidR="00523135" w:rsidRPr="002B55E9" w:rsidRDefault="00523135" w:rsidP="002C311D">
            <w:pPr>
              <w:pStyle w:val="lgy-"/>
              <w:rPr>
                <w:rFonts w:eastAsia="宋体"/>
              </w:rPr>
            </w:pPr>
            <w:r w:rsidRPr="002B55E9">
              <w:rPr>
                <w:rFonts w:eastAsia="宋体" w:hint="eastAsia"/>
              </w:rPr>
              <w:t>调配混合</w:t>
            </w:r>
          </w:p>
        </w:tc>
        <w:tc>
          <w:tcPr>
            <w:tcW w:w="1714" w:type="dxa"/>
          </w:tcPr>
          <w:p w14:paraId="0F992E36" w14:textId="6FF16470" w:rsidR="00523135" w:rsidRPr="002B55E9" w:rsidRDefault="00523135" w:rsidP="002C311D">
            <w:pPr>
              <w:pStyle w:val="lgy-"/>
              <w:rPr>
                <w:rFonts w:eastAsia="宋体"/>
              </w:rPr>
            </w:pPr>
            <w:r w:rsidRPr="002B55E9">
              <w:rPr>
                <w:rFonts w:eastAsia="宋体" w:hint="eastAsia"/>
              </w:rPr>
              <w:t>非甲烷总烃</w:t>
            </w:r>
          </w:p>
        </w:tc>
        <w:tc>
          <w:tcPr>
            <w:tcW w:w="3117" w:type="dxa"/>
            <w:vMerge/>
          </w:tcPr>
          <w:p w14:paraId="028E751C" w14:textId="77777777" w:rsidR="00523135" w:rsidRPr="002B55E9" w:rsidRDefault="00523135" w:rsidP="002C311D">
            <w:pPr>
              <w:pStyle w:val="lgy-"/>
              <w:rPr>
                <w:rFonts w:eastAsia="宋体"/>
              </w:rPr>
            </w:pPr>
          </w:p>
        </w:tc>
      </w:tr>
      <w:tr w:rsidR="002B55E9" w:rsidRPr="002B55E9" w14:paraId="2880D138" w14:textId="77777777" w:rsidTr="002C311D">
        <w:trPr>
          <w:trHeight w:val="283"/>
        </w:trPr>
        <w:tc>
          <w:tcPr>
            <w:tcW w:w="959" w:type="dxa"/>
            <w:vMerge/>
          </w:tcPr>
          <w:p w14:paraId="69EC7236" w14:textId="77777777" w:rsidR="00523135" w:rsidRPr="002B55E9" w:rsidRDefault="00523135" w:rsidP="002C311D">
            <w:pPr>
              <w:pStyle w:val="lgy-"/>
              <w:rPr>
                <w:rFonts w:eastAsia="宋体"/>
              </w:rPr>
            </w:pPr>
          </w:p>
        </w:tc>
        <w:tc>
          <w:tcPr>
            <w:tcW w:w="885" w:type="dxa"/>
          </w:tcPr>
          <w:p w14:paraId="2EE677A1" w14:textId="06046FD3" w:rsidR="00523135" w:rsidRPr="002B55E9" w:rsidRDefault="00523135" w:rsidP="002C311D">
            <w:pPr>
              <w:pStyle w:val="lgy-"/>
              <w:rPr>
                <w:rFonts w:eastAsia="宋体"/>
              </w:rPr>
            </w:pPr>
            <w:r w:rsidRPr="002B55E9">
              <w:rPr>
                <w:rFonts w:eastAsia="宋体"/>
              </w:rPr>
              <w:t>G1-5</w:t>
            </w:r>
          </w:p>
        </w:tc>
        <w:tc>
          <w:tcPr>
            <w:tcW w:w="1558" w:type="dxa"/>
          </w:tcPr>
          <w:p w14:paraId="5A88388C" w14:textId="42FD1A5E" w:rsidR="00523135" w:rsidRPr="002B55E9" w:rsidRDefault="00523135" w:rsidP="002C311D">
            <w:pPr>
              <w:pStyle w:val="lgy-"/>
              <w:rPr>
                <w:rFonts w:eastAsia="宋体"/>
              </w:rPr>
            </w:pPr>
            <w:r w:rsidRPr="002B55E9">
              <w:rPr>
                <w:rFonts w:eastAsia="宋体" w:hint="eastAsia"/>
              </w:rPr>
              <w:t>贴标、喷码废气</w:t>
            </w:r>
          </w:p>
        </w:tc>
        <w:tc>
          <w:tcPr>
            <w:tcW w:w="1405" w:type="dxa"/>
          </w:tcPr>
          <w:p w14:paraId="36EE43A1" w14:textId="14A929D6" w:rsidR="00523135" w:rsidRPr="002B55E9" w:rsidRDefault="00523135" w:rsidP="002C311D">
            <w:pPr>
              <w:pStyle w:val="lgy-"/>
              <w:rPr>
                <w:rFonts w:eastAsia="宋体"/>
              </w:rPr>
            </w:pPr>
            <w:r w:rsidRPr="002B55E9">
              <w:rPr>
                <w:rFonts w:eastAsia="宋体" w:hint="eastAsia"/>
              </w:rPr>
              <w:t>包装</w:t>
            </w:r>
          </w:p>
        </w:tc>
        <w:tc>
          <w:tcPr>
            <w:tcW w:w="1714" w:type="dxa"/>
          </w:tcPr>
          <w:p w14:paraId="6DA5391F" w14:textId="2C2C1938" w:rsidR="00523135" w:rsidRPr="002B55E9" w:rsidRDefault="00523135" w:rsidP="002C311D">
            <w:pPr>
              <w:pStyle w:val="lgy-"/>
              <w:rPr>
                <w:rFonts w:eastAsia="宋体"/>
              </w:rPr>
            </w:pPr>
            <w:r w:rsidRPr="002B55E9">
              <w:rPr>
                <w:rFonts w:eastAsia="宋体" w:hint="eastAsia"/>
              </w:rPr>
              <w:t>非甲烷总烃</w:t>
            </w:r>
          </w:p>
        </w:tc>
        <w:tc>
          <w:tcPr>
            <w:tcW w:w="3117" w:type="dxa"/>
          </w:tcPr>
          <w:p w14:paraId="768D5EF5" w14:textId="77777777" w:rsidR="00523135" w:rsidRPr="002B55E9" w:rsidRDefault="00523135" w:rsidP="002C311D">
            <w:pPr>
              <w:pStyle w:val="lgy-"/>
              <w:rPr>
                <w:rFonts w:eastAsia="宋体"/>
              </w:rPr>
            </w:pPr>
            <w:r w:rsidRPr="002B55E9">
              <w:rPr>
                <w:rFonts w:eastAsia="宋体" w:hint="eastAsia"/>
              </w:rPr>
              <w:t>车间通风设施抽排后无组织排放</w:t>
            </w:r>
          </w:p>
        </w:tc>
      </w:tr>
      <w:tr w:rsidR="002B55E9" w:rsidRPr="002B55E9" w14:paraId="1862C332" w14:textId="77777777" w:rsidTr="002C311D">
        <w:trPr>
          <w:trHeight w:val="283"/>
        </w:trPr>
        <w:tc>
          <w:tcPr>
            <w:tcW w:w="959" w:type="dxa"/>
            <w:vMerge/>
          </w:tcPr>
          <w:p w14:paraId="70E720B1" w14:textId="77777777" w:rsidR="00523135" w:rsidRPr="002B55E9" w:rsidRDefault="00523135" w:rsidP="002C311D">
            <w:pPr>
              <w:pStyle w:val="lgy-"/>
              <w:rPr>
                <w:rFonts w:eastAsia="宋体"/>
              </w:rPr>
            </w:pPr>
          </w:p>
        </w:tc>
        <w:tc>
          <w:tcPr>
            <w:tcW w:w="885" w:type="dxa"/>
          </w:tcPr>
          <w:p w14:paraId="6DDE0DD9" w14:textId="77777777" w:rsidR="00523135" w:rsidRPr="002B55E9" w:rsidRDefault="00523135" w:rsidP="002C311D">
            <w:pPr>
              <w:pStyle w:val="lgy-"/>
              <w:rPr>
                <w:rFonts w:eastAsia="宋体"/>
              </w:rPr>
            </w:pPr>
            <w:r w:rsidRPr="002B55E9">
              <w:rPr>
                <w:rFonts w:eastAsia="宋体"/>
              </w:rPr>
              <w:t>G2-1</w:t>
            </w:r>
          </w:p>
        </w:tc>
        <w:tc>
          <w:tcPr>
            <w:tcW w:w="1558" w:type="dxa"/>
          </w:tcPr>
          <w:p w14:paraId="7AC63F3B" w14:textId="77777777" w:rsidR="00523135" w:rsidRPr="002B55E9" w:rsidRDefault="00523135" w:rsidP="002C311D">
            <w:pPr>
              <w:pStyle w:val="lgy-"/>
              <w:rPr>
                <w:rFonts w:eastAsia="宋体"/>
              </w:rPr>
            </w:pPr>
            <w:r w:rsidRPr="002B55E9">
              <w:rPr>
                <w:rFonts w:eastAsia="宋体" w:hint="eastAsia"/>
              </w:rPr>
              <w:t>发酵废气</w:t>
            </w:r>
          </w:p>
        </w:tc>
        <w:tc>
          <w:tcPr>
            <w:tcW w:w="1405" w:type="dxa"/>
          </w:tcPr>
          <w:p w14:paraId="2274AEF3" w14:textId="77777777" w:rsidR="00523135" w:rsidRPr="002B55E9" w:rsidRDefault="00523135" w:rsidP="002C311D">
            <w:pPr>
              <w:pStyle w:val="lgy-"/>
              <w:rPr>
                <w:rFonts w:eastAsia="宋体"/>
              </w:rPr>
            </w:pPr>
            <w:r w:rsidRPr="002B55E9">
              <w:rPr>
                <w:rFonts w:eastAsia="宋体" w:hint="eastAsia"/>
              </w:rPr>
              <w:t>酒精发酵</w:t>
            </w:r>
          </w:p>
        </w:tc>
        <w:tc>
          <w:tcPr>
            <w:tcW w:w="1714" w:type="dxa"/>
          </w:tcPr>
          <w:p w14:paraId="71686522" w14:textId="0DBF111D" w:rsidR="00523135" w:rsidRPr="002B55E9" w:rsidRDefault="00523135" w:rsidP="002C311D">
            <w:pPr>
              <w:pStyle w:val="lgy-"/>
              <w:rPr>
                <w:rFonts w:eastAsia="宋体"/>
              </w:rPr>
            </w:pPr>
            <w:r w:rsidRPr="002B55E9">
              <w:rPr>
                <w:rFonts w:eastAsia="宋体" w:hint="eastAsia"/>
                <w:szCs w:val="22"/>
              </w:rPr>
              <w:t>非甲烷总烃、异味</w:t>
            </w:r>
          </w:p>
        </w:tc>
        <w:tc>
          <w:tcPr>
            <w:tcW w:w="3117" w:type="dxa"/>
            <w:vMerge w:val="restart"/>
          </w:tcPr>
          <w:p w14:paraId="4CFCC6C8" w14:textId="2BF5C2FC" w:rsidR="00523135" w:rsidRPr="002B55E9" w:rsidRDefault="00523135" w:rsidP="002C311D">
            <w:pPr>
              <w:pStyle w:val="lgy-"/>
              <w:rPr>
                <w:rFonts w:eastAsia="宋体"/>
              </w:rPr>
            </w:pPr>
            <w:r w:rsidRPr="002B55E9">
              <w:rPr>
                <w:rFonts w:eastAsia="宋体" w:hint="eastAsia"/>
              </w:rPr>
              <w:t>密闭</w:t>
            </w:r>
            <w:r w:rsidRPr="002B55E9">
              <w:rPr>
                <w:rFonts w:eastAsia="宋体"/>
              </w:rPr>
              <w:t>管道收集后</w:t>
            </w:r>
            <w:r w:rsidRPr="002B55E9">
              <w:rPr>
                <w:rFonts w:eastAsia="宋体" w:hint="eastAsia"/>
              </w:rPr>
              <w:t>经</w:t>
            </w:r>
            <w:r w:rsidRPr="002B55E9">
              <w:rPr>
                <w:rFonts w:eastAsia="宋体" w:hint="eastAsia"/>
              </w:rPr>
              <w:t>1</w:t>
            </w:r>
            <w:r w:rsidRPr="002B55E9">
              <w:rPr>
                <w:rFonts w:eastAsia="宋体" w:hint="eastAsia"/>
              </w:rPr>
              <w:t>套二级碱喷淋</w:t>
            </w:r>
            <w:r w:rsidRPr="002B55E9">
              <w:rPr>
                <w:rFonts w:eastAsia="宋体" w:hint="eastAsia"/>
              </w:rPr>
              <w:t>+</w:t>
            </w:r>
            <w:r w:rsidRPr="002B55E9">
              <w:rPr>
                <w:rFonts w:eastAsia="宋体" w:hint="eastAsia"/>
              </w:rPr>
              <w:t>水喷淋</w:t>
            </w:r>
            <w:r w:rsidRPr="002B55E9">
              <w:rPr>
                <w:rFonts w:eastAsia="宋体"/>
              </w:rPr>
              <w:t>处理装置处理后通过</w:t>
            </w:r>
            <w:r w:rsidRPr="002B55E9">
              <w:rPr>
                <w:rFonts w:eastAsia="宋体" w:hint="eastAsia"/>
              </w:rPr>
              <w:t>18m</w:t>
            </w:r>
            <w:r w:rsidRPr="002B55E9">
              <w:rPr>
                <w:rFonts w:eastAsia="宋体" w:hint="eastAsia"/>
              </w:rPr>
              <w:t>高</w:t>
            </w:r>
            <w:r w:rsidRPr="002B55E9">
              <w:rPr>
                <w:rFonts w:eastAsia="宋体"/>
              </w:rPr>
              <w:t>排气筒排放</w:t>
            </w:r>
            <w:r w:rsidRPr="002B55E9">
              <w:rPr>
                <w:rFonts w:eastAsia="宋体" w:hint="eastAsia"/>
              </w:rPr>
              <w:t>（</w:t>
            </w:r>
            <w:r w:rsidRPr="002B55E9">
              <w:rPr>
                <w:rFonts w:eastAsia="宋体" w:hint="eastAsia"/>
              </w:rPr>
              <w:t>DA002</w:t>
            </w:r>
            <w:r w:rsidRPr="002B55E9">
              <w:rPr>
                <w:rFonts w:eastAsia="宋体" w:hint="eastAsia"/>
              </w:rPr>
              <w:t>）</w:t>
            </w:r>
          </w:p>
        </w:tc>
      </w:tr>
      <w:tr w:rsidR="002B55E9" w:rsidRPr="002B55E9" w14:paraId="78257A0D" w14:textId="77777777" w:rsidTr="002C311D">
        <w:trPr>
          <w:trHeight w:val="283"/>
        </w:trPr>
        <w:tc>
          <w:tcPr>
            <w:tcW w:w="959" w:type="dxa"/>
            <w:vMerge/>
          </w:tcPr>
          <w:p w14:paraId="1FE71528" w14:textId="77777777" w:rsidR="00523135" w:rsidRPr="002B55E9" w:rsidRDefault="00523135" w:rsidP="002C311D">
            <w:pPr>
              <w:pStyle w:val="lgy-"/>
              <w:rPr>
                <w:rFonts w:eastAsia="宋体"/>
              </w:rPr>
            </w:pPr>
          </w:p>
        </w:tc>
        <w:tc>
          <w:tcPr>
            <w:tcW w:w="885" w:type="dxa"/>
          </w:tcPr>
          <w:p w14:paraId="7F2357A6" w14:textId="77777777" w:rsidR="00523135" w:rsidRPr="002B55E9" w:rsidRDefault="00523135" w:rsidP="002C311D">
            <w:pPr>
              <w:pStyle w:val="lgy-"/>
              <w:rPr>
                <w:rFonts w:eastAsia="宋体"/>
              </w:rPr>
            </w:pPr>
            <w:r w:rsidRPr="002B55E9">
              <w:rPr>
                <w:rFonts w:eastAsia="宋体"/>
              </w:rPr>
              <w:t>G2-2</w:t>
            </w:r>
          </w:p>
        </w:tc>
        <w:tc>
          <w:tcPr>
            <w:tcW w:w="1558" w:type="dxa"/>
          </w:tcPr>
          <w:p w14:paraId="09E67D62" w14:textId="77777777" w:rsidR="00523135" w:rsidRPr="002B55E9" w:rsidRDefault="00523135" w:rsidP="002C311D">
            <w:pPr>
              <w:pStyle w:val="lgy-"/>
              <w:rPr>
                <w:rFonts w:eastAsia="宋体"/>
              </w:rPr>
            </w:pPr>
            <w:r w:rsidRPr="002B55E9">
              <w:rPr>
                <w:rFonts w:eastAsia="宋体" w:hint="eastAsia"/>
              </w:rPr>
              <w:t>投料废气</w:t>
            </w:r>
          </w:p>
        </w:tc>
        <w:tc>
          <w:tcPr>
            <w:tcW w:w="1405" w:type="dxa"/>
          </w:tcPr>
          <w:p w14:paraId="6A64D8AA" w14:textId="77777777" w:rsidR="00523135" w:rsidRPr="002B55E9" w:rsidRDefault="00523135" w:rsidP="002C311D">
            <w:pPr>
              <w:pStyle w:val="lgy-"/>
              <w:rPr>
                <w:rFonts w:eastAsia="宋体"/>
              </w:rPr>
            </w:pPr>
            <w:r w:rsidRPr="002B55E9">
              <w:rPr>
                <w:rFonts w:eastAsia="宋体" w:hint="eastAsia"/>
              </w:rPr>
              <w:t>酒液调配</w:t>
            </w:r>
          </w:p>
        </w:tc>
        <w:tc>
          <w:tcPr>
            <w:tcW w:w="1714" w:type="dxa"/>
          </w:tcPr>
          <w:p w14:paraId="39D8D736" w14:textId="3C2C3D9A" w:rsidR="00523135" w:rsidRPr="002B55E9" w:rsidRDefault="00523135" w:rsidP="002C311D">
            <w:pPr>
              <w:pStyle w:val="lgy-"/>
              <w:rPr>
                <w:rFonts w:eastAsia="宋体"/>
              </w:rPr>
            </w:pPr>
            <w:r w:rsidRPr="002B55E9">
              <w:rPr>
                <w:rFonts w:eastAsia="宋体" w:hint="eastAsia"/>
                <w:szCs w:val="22"/>
              </w:rPr>
              <w:t>非甲烷总烃</w:t>
            </w:r>
          </w:p>
        </w:tc>
        <w:tc>
          <w:tcPr>
            <w:tcW w:w="3117" w:type="dxa"/>
            <w:vMerge/>
          </w:tcPr>
          <w:p w14:paraId="4EC50A35" w14:textId="5E061F90" w:rsidR="00523135" w:rsidRPr="002B55E9" w:rsidRDefault="00523135" w:rsidP="002C311D">
            <w:pPr>
              <w:pStyle w:val="lgy-"/>
              <w:rPr>
                <w:rFonts w:eastAsia="宋体"/>
              </w:rPr>
            </w:pPr>
          </w:p>
        </w:tc>
      </w:tr>
      <w:tr w:rsidR="002B55E9" w:rsidRPr="002B55E9" w14:paraId="27AAA6FB" w14:textId="77777777" w:rsidTr="002C311D">
        <w:trPr>
          <w:trHeight w:val="283"/>
        </w:trPr>
        <w:tc>
          <w:tcPr>
            <w:tcW w:w="959" w:type="dxa"/>
            <w:vMerge/>
          </w:tcPr>
          <w:p w14:paraId="50C84D04" w14:textId="77777777" w:rsidR="00523135" w:rsidRPr="002B55E9" w:rsidRDefault="00523135" w:rsidP="002C311D">
            <w:pPr>
              <w:pStyle w:val="lgy-"/>
              <w:rPr>
                <w:rFonts w:eastAsia="宋体"/>
              </w:rPr>
            </w:pPr>
          </w:p>
        </w:tc>
        <w:tc>
          <w:tcPr>
            <w:tcW w:w="885" w:type="dxa"/>
          </w:tcPr>
          <w:p w14:paraId="2F3F7BE1" w14:textId="77777777" w:rsidR="00523135" w:rsidRPr="002B55E9" w:rsidRDefault="00523135" w:rsidP="002C311D">
            <w:pPr>
              <w:pStyle w:val="lgy-"/>
              <w:rPr>
                <w:rFonts w:eastAsia="宋体"/>
              </w:rPr>
            </w:pPr>
            <w:r w:rsidRPr="002B55E9">
              <w:rPr>
                <w:rFonts w:eastAsia="宋体"/>
              </w:rPr>
              <w:t>G2-3</w:t>
            </w:r>
          </w:p>
        </w:tc>
        <w:tc>
          <w:tcPr>
            <w:tcW w:w="1558" w:type="dxa"/>
          </w:tcPr>
          <w:p w14:paraId="31803005" w14:textId="77777777" w:rsidR="00523135" w:rsidRPr="002B55E9" w:rsidRDefault="00523135" w:rsidP="002C311D">
            <w:pPr>
              <w:pStyle w:val="lgy-"/>
              <w:rPr>
                <w:rFonts w:eastAsia="宋体"/>
              </w:rPr>
            </w:pPr>
            <w:r w:rsidRPr="002B55E9">
              <w:rPr>
                <w:rFonts w:eastAsia="宋体" w:hint="eastAsia"/>
              </w:rPr>
              <w:t>发酵废气</w:t>
            </w:r>
          </w:p>
        </w:tc>
        <w:tc>
          <w:tcPr>
            <w:tcW w:w="1405" w:type="dxa"/>
          </w:tcPr>
          <w:p w14:paraId="1DBEFC05" w14:textId="77777777" w:rsidR="00523135" w:rsidRPr="002B55E9" w:rsidRDefault="00523135" w:rsidP="002C311D">
            <w:pPr>
              <w:pStyle w:val="lgy-"/>
              <w:rPr>
                <w:rFonts w:eastAsia="宋体"/>
              </w:rPr>
            </w:pPr>
            <w:r w:rsidRPr="002B55E9">
              <w:rPr>
                <w:rFonts w:eastAsia="宋体" w:hint="eastAsia"/>
              </w:rPr>
              <w:t>醋酸发酵</w:t>
            </w:r>
          </w:p>
        </w:tc>
        <w:tc>
          <w:tcPr>
            <w:tcW w:w="1714" w:type="dxa"/>
          </w:tcPr>
          <w:p w14:paraId="42D71B3E" w14:textId="7EE737E6" w:rsidR="00523135" w:rsidRPr="002B55E9" w:rsidRDefault="00523135" w:rsidP="002C311D">
            <w:pPr>
              <w:pStyle w:val="lgy-"/>
              <w:rPr>
                <w:rFonts w:eastAsia="宋体"/>
              </w:rPr>
            </w:pPr>
            <w:r w:rsidRPr="002B55E9">
              <w:rPr>
                <w:rFonts w:eastAsia="宋体" w:hint="eastAsia"/>
                <w:szCs w:val="22"/>
              </w:rPr>
              <w:t>非甲烷总烃、异味</w:t>
            </w:r>
          </w:p>
        </w:tc>
        <w:tc>
          <w:tcPr>
            <w:tcW w:w="3117" w:type="dxa"/>
            <w:vMerge/>
          </w:tcPr>
          <w:p w14:paraId="513CE1AE" w14:textId="77777777" w:rsidR="00523135" w:rsidRPr="002B55E9" w:rsidRDefault="00523135" w:rsidP="002C311D">
            <w:pPr>
              <w:pStyle w:val="lgy-"/>
              <w:rPr>
                <w:rFonts w:eastAsia="宋体"/>
              </w:rPr>
            </w:pPr>
          </w:p>
        </w:tc>
      </w:tr>
      <w:tr w:rsidR="002B55E9" w:rsidRPr="002B55E9" w14:paraId="5EB3C1D4" w14:textId="77777777" w:rsidTr="002C311D">
        <w:trPr>
          <w:trHeight w:val="283"/>
        </w:trPr>
        <w:tc>
          <w:tcPr>
            <w:tcW w:w="959" w:type="dxa"/>
            <w:vMerge/>
          </w:tcPr>
          <w:p w14:paraId="58D4ABB2" w14:textId="77777777" w:rsidR="00523135" w:rsidRPr="002B55E9" w:rsidRDefault="00523135" w:rsidP="002C311D">
            <w:pPr>
              <w:pStyle w:val="lgy-"/>
              <w:rPr>
                <w:rFonts w:eastAsia="宋体"/>
              </w:rPr>
            </w:pPr>
          </w:p>
        </w:tc>
        <w:tc>
          <w:tcPr>
            <w:tcW w:w="885" w:type="dxa"/>
          </w:tcPr>
          <w:p w14:paraId="71CBB490" w14:textId="77777777" w:rsidR="00523135" w:rsidRPr="002B55E9" w:rsidRDefault="00523135" w:rsidP="002C311D">
            <w:pPr>
              <w:pStyle w:val="lgy-"/>
              <w:rPr>
                <w:rFonts w:eastAsia="宋体"/>
              </w:rPr>
            </w:pPr>
            <w:r w:rsidRPr="002B55E9">
              <w:rPr>
                <w:rFonts w:eastAsia="宋体"/>
              </w:rPr>
              <w:t>G2-4</w:t>
            </w:r>
          </w:p>
        </w:tc>
        <w:tc>
          <w:tcPr>
            <w:tcW w:w="1558" w:type="dxa"/>
          </w:tcPr>
          <w:p w14:paraId="2EDADD8B" w14:textId="77777777" w:rsidR="00523135" w:rsidRPr="002B55E9" w:rsidRDefault="00523135" w:rsidP="002C311D">
            <w:pPr>
              <w:pStyle w:val="lgy-"/>
              <w:rPr>
                <w:rFonts w:eastAsia="宋体"/>
              </w:rPr>
            </w:pPr>
            <w:r w:rsidRPr="002B55E9">
              <w:rPr>
                <w:rFonts w:eastAsia="宋体" w:hint="eastAsia"/>
              </w:rPr>
              <w:t>投料废气</w:t>
            </w:r>
          </w:p>
        </w:tc>
        <w:tc>
          <w:tcPr>
            <w:tcW w:w="1405" w:type="dxa"/>
          </w:tcPr>
          <w:p w14:paraId="1D71E042" w14:textId="77777777" w:rsidR="00523135" w:rsidRPr="002B55E9" w:rsidRDefault="00523135" w:rsidP="002C311D">
            <w:pPr>
              <w:pStyle w:val="lgy-"/>
              <w:rPr>
                <w:rFonts w:eastAsia="宋体"/>
              </w:rPr>
            </w:pPr>
            <w:r w:rsidRPr="002B55E9">
              <w:rPr>
                <w:rFonts w:eastAsia="宋体" w:hint="eastAsia"/>
              </w:rPr>
              <w:t>混合</w:t>
            </w:r>
          </w:p>
        </w:tc>
        <w:tc>
          <w:tcPr>
            <w:tcW w:w="1714" w:type="dxa"/>
          </w:tcPr>
          <w:p w14:paraId="34B517BF" w14:textId="03D3EAFB" w:rsidR="00523135" w:rsidRPr="002B55E9" w:rsidRDefault="00523135" w:rsidP="002C311D">
            <w:pPr>
              <w:pStyle w:val="lgy-"/>
              <w:rPr>
                <w:rFonts w:eastAsia="宋体"/>
              </w:rPr>
            </w:pPr>
            <w:r w:rsidRPr="002B55E9">
              <w:rPr>
                <w:rFonts w:eastAsia="宋体" w:hint="eastAsia"/>
                <w:szCs w:val="22"/>
              </w:rPr>
              <w:t>非甲烷总烃</w:t>
            </w:r>
          </w:p>
        </w:tc>
        <w:tc>
          <w:tcPr>
            <w:tcW w:w="3117" w:type="dxa"/>
            <w:vMerge/>
          </w:tcPr>
          <w:p w14:paraId="225CD713" w14:textId="77777777" w:rsidR="00523135" w:rsidRPr="002B55E9" w:rsidRDefault="00523135" w:rsidP="002C311D">
            <w:pPr>
              <w:pStyle w:val="lgy-"/>
              <w:rPr>
                <w:rFonts w:eastAsia="宋体"/>
              </w:rPr>
            </w:pPr>
          </w:p>
        </w:tc>
      </w:tr>
      <w:tr w:rsidR="002B55E9" w:rsidRPr="002B55E9" w14:paraId="49714938" w14:textId="77777777" w:rsidTr="002C311D">
        <w:trPr>
          <w:trHeight w:val="283"/>
        </w:trPr>
        <w:tc>
          <w:tcPr>
            <w:tcW w:w="959" w:type="dxa"/>
            <w:vMerge/>
          </w:tcPr>
          <w:p w14:paraId="311FB842" w14:textId="77777777" w:rsidR="00523135" w:rsidRPr="002B55E9" w:rsidRDefault="00523135" w:rsidP="002C311D">
            <w:pPr>
              <w:pStyle w:val="lgy-"/>
              <w:rPr>
                <w:rFonts w:eastAsia="宋体"/>
              </w:rPr>
            </w:pPr>
          </w:p>
        </w:tc>
        <w:tc>
          <w:tcPr>
            <w:tcW w:w="885" w:type="dxa"/>
          </w:tcPr>
          <w:p w14:paraId="28EC9871" w14:textId="09B70AF3" w:rsidR="00523135" w:rsidRPr="002B55E9" w:rsidRDefault="00523135" w:rsidP="002C311D">
            <w:pPr>
              <w:pStyle w:val="lgy-"/>
              <w:rPr>
                <w:rFonts w:eastAsia="宋体"/>
              </w:rPr>
            </w:pPr>
            <w:r w:rsidRPr="002B55E9">
              <w:rPr>
                <w:rFonts w:eastAsia="宋体"/>
              </w:rPr>
              <w:t>G2-5</w:t>
            </w:r>
          </w:p>
        </w:tc>
        <w:tc>
          <w:tcPr>
            <w:tcW w:w="1558" w:type="dxa"/>
          </w:tcPr>
          <w:p w14:paraId="17A0E013" w14:textId="6B91CFD6" w:rsidR="00523135" w:rsidRPr="002B55E9" w:rsidRDefault="00523135" w:rsidP="002C311D">
            <w:pPr>
              <w:pStyle w:val="lgy-"/>
              <w:rPr>
                <w:rFonts w:eastAsia="宋体"/>
              </w:rPr>
            </w:pPr>
            <w:r w:rsidRPr="002B55E9">
              <w:rPr>
                <w:rFonts w:eastAsia="宋体" w:hint="eastAsia"/>
              </w:rPr>
              <w:t>贴标、喷码废气</w:t>
            </w:r>
          </w:p>
        </w:tc>
        <w:tc>
          <w:tcPr>
            <w:tcW w:w="1405" w:type="dxa"/>
          </w:tcPr>
          <w:p w14:paraId="11C0F526" w14:textId="5A82414F" w:rsidR="00523135" w:rsidRPr="002B55E9" w:rsidRDefault="00523135" w:rsidP="002C311D">
            <w:pPr>
              <w:pStyle w:val="lgy-"/>
              <w:rPr>
                <w:rFonts w:eastAsia="宋体"/>
              </w:rPr>
            </w:pPr>
            <w:r w:rsidRPr="002B55E9">
              <w:rPr>
                <w:rFonts w:eastAsia="宋体" w:hint="eastAsia"/>
              </w:rPr>
              <w:t>包装</w:t>
            </w:r>
          </w:p>
        </w:tc>
        <w:tc>
          <w:tcPr>
            <w:tcW w:w="1714" w:type="dxa"/>
          </w:tcPr>
          <w:p w14:paraId="328967C8" w14:textId="42C82133" w:rsidR="00523135" w:rsidRPr="002B55E9" w:rsidRDefault="00523135" w:rsidP="002C311D">
            <w:pPr>
              <w:pStyle w:val="lgy-"/>
              <w:rPr>
                <w:rFonts w:eastAsia="宋体"/>
                <w:szCs w:val="22"/>
              </w:rPr>
            </w:pPr>
            <w:r w:rsidRPr="002B55E9">
              <w:rPr>
                <w:rFonts w:eastAsia="宋体" w:hint="eastAsia"/>
              </w:rPr>
              <w:t>非甲烷总烃</w:t>
            </w:r>
          </w:p>
        </w:tc>
        <w:tc>
          <w:tcPr>
            <w:tcW w:w="3117" w:type="dxa"/>
          </w:tcPr>
          <w:p w14:paraId="5C5F273D" w14:textId="77777777" w:rsidR="00523135" w:rsidRPr="002B55E9" w:rsidRDefault="00523135" w:rsidP="002C311D">
            <w:pPr>
              <w:pStyle w:val="lgy-"/>
              <w:rPr>
                <w:rFonts w:eastAsia="宋体"/>
              </w:rPr>
            </w:pPr>
            <w:r w:rsidRPr="002B55E9">
              <w:rPr>
                <w:rFonts w:eastAsia="宋体" w:hint="eastAsia"/>
              </w:rPr>
              <w:t>车间通风设施抽排后无组织排放</w:t>
            </w:r>
          </w:p>
        </w:tc>
      </w:tr>
      <w:tr w:rsidR="002B55E9" w:rsidRPr="002B55E9" w14:paraId="4698E33B" w14:textId="77777777" w:rsidTr="002C311D">
        <w:trPr>
          <w:trHeight w:val="283"/>
        </w:trPr>
        <w:tc>
          <w:tcPr>
            <w:tcW w:w="959" w:type="dxa"/>
            <w:vMerge/>
          </w:tcPr>
          <w:p w14:paraId="1479A505" w14:textId="77777777" w:rsidR="00523135" w:rsidRPr="002B55E9" w:rsidRDefault="00523135" w:rsidP="002C311D">
            <w:pPr>
              <w:pStyle w:val="lgy-"/>
              <w:rPr>
                <w:rFonts w:eastAsia="宋体"/>
              </w:rPr>
            </w:pPr>
          </w:p>
        </w:tc>
        <w:tc>
          <w:tcPr>
            <w:tcW w:w="885" w:type="dxa"/>
          </w:tcPr>
          <w:p w14:paraId="19BC6EC9" w14:textId="6E294F2B" w:rsidR="00523135" w:rsidRPr="002B55E9" w:rsidRDefault="00523135" w:rsidP="002C311D">
            <w:pPr>
              <w:pStyle w:val="lgy-"/>
              <w:rPr>
                <w:rFonts w:eastAsia="宋体"/>
              </w:rPr>
            </w:pPr>
            <w:r w:rsidRPr="002B55E9">
              <w:rPr>
                <w:rFonts w:eastAsia="宋体"/>
              </w:rPr>
              <w:t>G3-1</w:t>
            </w:r>
          </w:p>
        </w:tc>
        <w:tc>
          <w:tcPr>
            <w:tcW w:w="1558" w:type="dxa"/>
          </w:tcPr>
          <w:p w14:paraId="6CF2D0CF" w14:textId="281BDAC8" w:rsidR="00523135" w:rsidRPr="002B55E9" w:rsidRDefault="00523135" w:rsidP="002C311D">
            <w:pPr>
              <w:pStyle w:val="lgy-"/>
              <w:rPr>
                <w:rFonts w:eastAsia="宋体"/>
              </w:rPr>
            </w:pPr>
            <w:r w:rsidRPr="002B55E9">
              <w:rPr>
                <w:rFonts w:eastAsia="宋体" w:hint="eastAsia"/>
              </w:rPr>
              <w:t>贴标、喷码废气</w:t>
            </w:r>
          </w:p>
        </w:tc>
        <w:tc>
          <w:tcPr>
            <w:tcW w:w="1405" w:type="dxa"/>
          </w:tcPr>
          <w:p w14:paraId="3A419374" w14:textId="4FA4EEEA" w:rsidR="00523135" w:rsidRPr="002B55E9" w:rsidRDefault="00523135" w:rsidP="002C311D">
            <w:pPr>
              <w:pStyle w:val="lgy-"/>
              <w:rPr>
                <w:rFonts w:eastAsia="宋体"/>
              </w:rPr>
            </w:pPr>
            <w:r w:rsidRPr="002B55E9">
              <w:rPr>
                <w:rFonts w:eastAsia="宋体" w:hint="eastAsia"/>
              </w:rPr>
              <w:t>包装</w:t>
            </w:r>
          </w:p>
        </w:tc>
        <w:tc>
          <w:tcPr>
            <w:tcW w:w="1714" w:type="dxa"/>
          </w:tcPr>
          <w:p w14:paraId="00C2A588" w14:textId="056E730F" w:rsidR="00523135" w:rsidRPr="002B55E9" w:rsidRDefault="00523135" w:rsidP="002C311D">
            <w:pPr>
              <w:pStyle w:val="lgy-"/>
              <w:rPr>
                <w:rFonts w:eastAsia="宋体"/>
              </w:rPr>
            </w:pPr>
            <w:r w:rsidRPr="002B55E9">
              <w:rPr>
                <w:rFonts w:eastAsia="宋体" w:hint="eastAsia"/>
              </w:rPr>
              <w:t>非甲烷总烃</w:t>
            </w:r>
          </w:p>
        </w:tc>
        <w:tc>
          <w:tcPr>
            <w:tcW w:w="3117" w:type="dxa"/>
          </w:tcPr>
          <w:p w14:paraId="46550475" w14:textId="7940B713" w:rsidR="00523135" w:rsidRPr="002B55E9" w:rsidRDefault="00523135" w:rsidP="002C311D">
            <w:pPr>
              <w:pStyle w:val="lgy-"/>
              <w:rPr>
                <w:rFonts w:eastAsia="宋体"/>
              </w:rPr>
            </w:pPr>
            <w:r w:rsidRPr="002B55E9">
              <w:rPr>
                <w:rFonts w:eastAsia="宋体" w:hint="eastAsia"/>
              </w:rPr>
              <w:t>车间通风设施抽排后无组织排放</w:t>
            </w:r>
          </w:p>
        </w:tc>
      </w:tr>
      <w:tr w:rsidR="002B55E9" w:rsidRPr="002B55E9" w14:paraId="63A677C9" w14:textId="77777777" w:rsidTr="002C311D">
        <w:trPr>
          <w:trHeight w:val="283"/>
        </w:trPr>
        <w:tc>
          <w:tcPr>
            <w:tcW w:w="959" w:type="dxa"/>
            <w:vMerge/>
          </w:tcPr>
          <w:p w14:paraId="1A12BF10" w14:textId="77777777" w:rsidR="00523135" w:rsidRPr="002B55E9" w:rsidRDefault="00523135" w:rsidP="002C311D">
            <w:pPr>
              <w:pStyle w:val="lgy-"/>
              <w:rPr>
                <w:rFonts w:eastAsia="宋体"/>
              </w:rPr>
            </w:pPr>
          </w:p>
        </w:tc>
        <w:tc>
          <w:tcPr>
            <w:tcW w:w="885" w:type="dxa"/>
          </w:tcPr>
          <w:p w14:paraId="5C389ADC" w14:textId="77777777" w:rsidR="00523135" w:rsidRPr="002B55E9" w:rsidRDefault="00523135" w:rsidP="002C311D">
            <w:pPr>
              <w:pStyle w:val="lgy-"/>
              <w:rPr>
                <w:rFonts w:eastAsia="宋体"/>
              </w:rPr>
            </w:pPr>
            <w:r w:rsidRPr="002B55E9">
              <w:rPr>
                <w:rFonts w:eastAsia="宋体"/>
              </w:rPr>
              <w:t>G4-1</w:t>
            </w:r>
          </w:p>
        </w:tc>
        <w:tc>
          <w:tcPr>
            <w:tcW w:w="1558" w:type="dxa"/>
          </w:tcPr>
          <w:p w14:paraId="0299BFCB" w14:textId="77777777" w:rsidR="00523135" w:rsidRPr="002B55E9" w:rsidRDefault="00523135" w:rsidP="002C311D">
            <w:pPr>
              <w:pStyle w:val="lgy-"/>
              <w:rPr>
                <w:rFonts w:eastAsia="宋体"/>
              </w:rPr>
            </w:pPr>
            <w:r w:rsidRPr="002B55E9">
              <w:rPr>
                <w:rFonts w:eastAsia="宋体" w:hint="eastAsia"/>
              </w:rPr>
              <w:t>实验</w:t>
            </w:r>
            <w:r w:rsidRPr="002B55E9">
              <w:rPr>
                <w:rFonts w:eastAsia="宋体"/>
              </w:rPr>
              <w:t>废气</w:t>
            </w:r>
          </w:p>
        </w:tc>
        <w:tc>
          <w:tcPr>
            <w:tcW w:w="1405" w:type="dxa"/>
          </w:tcPr>
          <w:p w14:paraId="5F5F885D" w14:textId="77777777" w:rsidR="00523135" w:rsidRPr="002B55E9" w:rsidRDefault="00523135" w:rsidP="002C311D">
            <w:pPr>
              <w:pStyle w:val="lgy-"/>
              <w:rPr>
                <w:rFonts w:eastAsia="宋体"/>
              </w:rPr>
            </w:pPr>
            <w:r w:rsidRPr="002B55E9">
              <w:rPr>
                <w:rFonts w:eastAsia="宋体" w:hint="eastAsia"/>
              </w:rPr>
              <w:t>实验</w:t>
            </w:r>
            <w:r w:rsidRPr="002B55E9">
              <w:rPr>
                <w:rFonts w:eastAsia="宋体"/>
              </w:rPr>
              <w:t>检测</w:t>
            </w:r>
          </w:p>
        </w:tc>
        <w:tc>
          <w:tcPr>
            <w:tcW w:w="1714" w:type="dxa"/>
          </w:tcPr>
          <w:p w14:paraId="6EFF4BC6" w14:textId="522C6732" w:rsidR="00523135" w:rsidRPr="002B55E9" w:rsidRDefault="00523135" w:rsidP="002C311D">
            <w:pPr>
              <w:pStyle w:val="lgy-"/>
              <w:rPr>
                <w:rFonts w:eastAsia="宋体"/>
              </w:rPr>
            </w:pPr>
            <w:r w:rsidRPr="002B55E9">
              <w:rPr>
                <w:rFonts w:eastAsia="宋体" w:hint="eastAsia"/>
              </w:rPr>
              <w:t>非甲烷总烃</w:t>
            </w:r>
            <w:r w:rsidRPr="002B55E9">
              <w:rPr>
                <w:rFonts w:eastAsia="宋体"/>
              </w:rPr>
              <w:t>、甲醛、硫酸、氯化氢等</w:t>
            </w:r>
          </w:p>
        </w:tc>
        <w:tc>
          <w:tcPr>
            <w:tcW w:w="3117" w:type="dxa"/>
          </w:tcPr>
          <w:p w14:paraId="530AE2AA" w14:textId="77777777" w:rsidR="00523135" w:rsidRPr="002B55E9" w:rsidRDefault="00523135" w:rsidP="002C311D">
            <w:pPr>
              <w:pStyle w:val="lgy-"/>
              <w:rPr>
                <w:rFonts w:eastAsia="宋体"/>
              </w:rPr>
            </w:pPr>
            <w:r w:rsidRPr="002B55E9">
              <w:rPr>
                <w:rFonts w:eastAsia="宋体" w:hint="eastAsia"/>
              </w:rPr>
              <w:t>通风橱收集活性炭吸附装置处理后通过</w:t>
            </w:r>
            <w:r w:rsidRPr="002B55E9">
              <w:rPr>
                <w:rFonts w:eastAsia="宋体"/>
              </w:rPr>
              <w:t>18m</w:t>
            </w:r>
            <w:r w:rsidRPr="002B55E9">
              <w:rPr>
                <w:rFonts w:eastAsia="宋体"/>
              </w:rPr>
              <w:t>高排气筒</w:t>
            </w:r>
            <w:r w:rsidRPr="002B55E9">
              <w:rPr>
                <w:rFonts w:eastAsia="宋体" w:hint="eastAsia"/>
              </w:rPr>
              <w:t>高空排放（</w:t>
            </w:r>
            <w:r w:rsidRPr="002B55E9">
              <w:rPr>
                <w:rFonts w:eastAsia="宋体" w:hint="eastAsia"/>
              </w:rPr>
              <w:t>D</w:t>
            </w:r>
            <w:r w:rsidRPr="002B55E9">
              <w:rPr>
                <w:rFonts w:eastAsia="宋体"/>
              </w:rPr>
              <w:t>A003</w:t>
            </w:r>
            <w:r w:rsidRPr="002B55E9">
              <w:rPr>
                <w:rFonts w:eastAsia="宋体" w:hint="eastAsia"/>
              </w:rPr>
              <w:t>）</w:t>
            </w:r>
          </w:p>
        </w:tc>
      </w:tr>
      <w:tr w:rsidR="002B55E9" w:rsidRPr="002B55E9" w14:paraId="103D3F80" w14:textId="77777777" w:rsidTr="002C311D">
        <w:trPr>
          <w:trHeight w:val="283"/>
        </w:trPr>
        <w:tc>
          <w:tcPr>
            <w:tcW w:w="959" w:type="dxa"/>
            <w:vMerge/>
          </w:tcPr>
          <w:p w14:paraId="044E46AB" w14:textId="77777777" w:rsidR="00523135" w:rsidRPr="002B55E9" w:rsidRDefault="00523135" w:rsidP="002C311D">
            <w:pPr>
              <w:pStyle w:val="lgy-"/>
              <w:rPr>
                <w:rFonts w:eastAsia="宋体"/>
              </w:rPr>
            </w:pPr>
          </w:p>
        </w:tc>
        <w:tc>
          <w:tcPr>
            <w:tcW w:w="885" w:type="dxa"/>
          </w:tcPr>
          <w:p w14:paraId="49F9D022" w14:textId="77777777" w:rsidR="00523135" w:rsidRPr="002B55E9" w:rsidRDefault="00523135" w:rsidP="002C311D">
            <w:pPr>
              <w:pStyle w:val="lgy-"/>
              <w:rPr>
                <w:rFonts w:eastAsia="宋体"/>
              </w:rPr>
            </w:pPr>
            <w:r w:rsidRPr="002B55E9">
              <w:rPr>
                <w:rFonts w:eastAsia="宋体" w:hint="eastAsia"/>
              </w:rPr>
              <w:t>G5</w:t>
            </w:r>
          </w:p>
        </w:tc>
        <w:tc>
          <w:tcPr>
            <w:tcW w:w="1558" w:type="dxa"/>
          </w:tcPr>
          <w:p w14:paraId="0FB2832B" w14:textId="77777777" w:rsidR="00523135" w:rsidRPr="002B55E9" w:rsidRDefault="00523135" w:rsidP="002C311D">
            <w:pPr>
              <w:pStyle w:val="lgy-"/>
              <w:rPr>
                <w:rFonts w:eastAsia="宋体"/>
              </w:rPr>
            </w:pPr>
            <w:r w:rsidRPr="002B55E9">
              <w:rPr>
                <w:rFonts w:eastAsia="宋体" w:hint="eastAsia"/>
              </w:rPr>
              <w:t>罐区</w:t>
            </w:r>
            <w:r w:rsidRPr="002B55E9">
              <w:rPr>
                <w:rFonts w:eastAsia="宋体"/>
              </w:rPr>
              <w:t>呼吸废</w:t>
            </w:r>
            <w:r w:rsidRPr="002B55E9">
              <w:rPr>
                <w:rFonts w:eastAsia="宋体" w:hint="eastAsia"/>
              </w:rPr>
              <w:t>气</w:t>
            </w:r>
          </w:p>
        </w:tc>
        <w:tc>
          <w:tcPr>
            <w:tcW w:w="1405" w:type="dxa"/>
          </w:tcPr>
          <w:p w14:paraId="4E5EC1CA" w14:textId="77777777" w:rsidR="00523135" w:rsidRPr="002B55E9" w:rsidRDefault="00523135" w:rsidP="002C311D">
            <w:pPr>
              <w:pStyle w:val="lgy-"/>
              <w:rPr>
                <w:rFonts w:eastAsia="宋体"/>
              </w:rPr>
            </w:pPr>
            <w:r w:rsidRPr="002B55E9">
              <w:rPr>
                <w:rFonts w:eastAsia="宋体" w:hint="eastAsia"/>
              </w:rPr>
              <w:t>原料</w:t>
            </w:r>
            <w:r w:rsidRPr="002B55E9">
              <w:rPr>
                <w:rFonts w:eastAsia="宋体"/>
              </w:rPr>
              <w:t>存储及</w:t>
            </w:r>
            <w:r w:rsidRPr="002B55E9">
              <w:rPr>
                <w:rFonts w:eastAsia="宋体" w:hint="eastAsia"/>
              </w:rPr>
              <w:t>输送</w:t>
            </w:r>
          </w:p>
        </w:tc>
        <w:tc>
          <w:tcPr>
            <w:tcW w:w="1714" w:type="dxa"/>
          </w:tcPr>
          <w:p w14:paraId="243D52ED" w14:textId="3A9C0FC0" w:rsidR="00523135" w:rsidRPr="002B55E9" w:rsidRDefault="00523135" w:rsidP="002C311D">
            <w:pPr>
              <w:pStyle w:val="lgy-"/>
              <w:rPr>
                <w:rFonts w:eastAsia="宋体"/>
              </w:rPr>
            </w:pPr>
            <w:r w:rsidRPr="002B55E9">
              <w:rPr>
                <w:rFonts w:eastAsia="宋体" w:hint="eastAsia"/>
              </w:rPr>
              <w:t>非甲烷总烃</w:t>
            </w:r>
          </w:p>
        </w:tc>
        <w:tc>
          <w:tcPr>
            <w:tcW w:w="3117" w:type="dxa"/>
          </w:tcPr>
          <w:p w14:paraId="5FA32131" w14:textId="77777777" w:rsidR="00523135" w:rsidRPr="002B55E9" w:rsidRDefault="00523135" w:rsidP="002C311D">
            <w:pPr>
              <w:pStyle w:val="lgy-"/>
              <w:rPr>
                <w:rFonts w:eastAsia="宋体"/>
              </w:rPr>
            </w:pPr>
            <w:r w:rsidRPr="002B55E9">
              <w:rPr>
                <w:rFonts w:eastAsia="宋体"/>
              </w:rPr>
              <w:t>无组织排放</w:t>
            </w:r>
          </w:p>
        </w:tc>
      </w:tr>
      <w:tr w:rsidR="002B55E9" w:rsidRPr="002B55E9" w14:paraId="1F20988F" w14:textId="77777777" w:rsidTr="002C311D">
        <w:trPr>
          <w:trHeight w:val="283"/>
        </w:trPr>
        <w:tc>
          <w:tcPr>
            <w:tcW w:w="959" w:type="dxa"/>
            <w:vMerge/>
          </w:tcPr>
          <w:p w14:paraId="18B9DE28" w14:textId="77777777" w:rsidR="00523135" w:rsidRPr="002B55E9" w:rsidRDefault="00523135" w:rsidP="002C311D">
            <w:pPr>
              <w:pStyle w:val="lgy-"/>
              <w:rPr>
                <w:rFonts w:eastAsia="宋体"/>
              </w:rPr>
            </w:pPr>
          </w:p>
        </w:tc>
        <w:tc>
          <w:tcPr>
            <w:tcW w:w="885" w:type="dxa"/>
          </w:tcPr>
          <w:p w14:paraId="2D8C510A" w14:textId="77777777" w:rsidR="00523135" w:rsidRPr="002B55E9" w:rsidRDefault="00523135" w:rsidP="002C311D">
            <w:pPr>
              <w:pStyle w:val="lgy-"/>
              <w:rPr>
                <w:rFonts w:eastAsia="宋体"/>
              </w:rPr>
            </w:pPr>
            <w:r w:rsidRPr="002B55E9">
              <w:rPr>
                <w:rFonts w:eastAsia="宋体" w:hint="eastAsia"/>
              </w:rPr>
              <w:t>G6</w:t>
            </w:r>
          </w:p>
        </w:tc>
        <w:tc>
          <w:tcPr>
            <w:tcW w:w="1558" w:type="dxa"/>
          </w:tcPr>
          <w:p w14:paraId="7B0DC26C" w14:textId="77777777" w:rsidR="00523135" w:rsidRPr="002B55E9" w:rsidRDefault="00523135" w:rsidP="002C311D">
            <w:pPr>
              <w:pStyle w:val="lgy-"/>
              <w:rPr>
                <w:rFonts w:eastAsia="宋体"/>
              </w:rPr>
            </w:pPr>
            <w:r w:rsidRPr="002B55E9">
              <w:rPr>
                <w:rFonts w:eastAsia="宋体" w:hint="eastAsia"/>
              </w:rPr>
              <w:t>管线</w:t>
            </w:r>
            <w:r w:rsidRPr="002B55E9">
              <w:rPr>
                <w:rFonts w:eastAsia="宋体"/>
              </w:rPr>
              <w:t>及密封点废气</w:t>
            </w:r>
          </w:p>
        </w:tc>
        <w:tc>
          <w:tcPr>
            <w:tcW w:w="1405" w:type="dxa"/>
          </w:tcPr>
          <w:p w14:paraId="59E8A89C" w14:textId="77777777" w:rsidR="00523135" w:rsidRPr="002B55E9" w:rsidRDefault="00523135" w:rsidP="002C311D">
            <w:pPr>
              <w:pStyle w:val="lgy-"/>
              <w:rPr>
                <w:rFonts w:eastAsia="宋体"/>
              </w:rPr>
            </w:pPr>
            <w:r w:rsidRPr="002B55E9">
              <w:rPr>
                <w:rFonts w:eastAsia="宋体" w:hint="eastAsia"/>
              </w:rPr>
              <w:t>原料</w:t>
            </w:r>
            <w:r w:rsidRPr="002B55E9">
              <w:rPr>
                <w:rFonts w:eastAsia="宋体"/>
              </w:rPr>
              <w:t>输送</w:t>
            </w:r>
          </w:p>
        </w:tc>
        <w:tc>
          <w:tcPr>
            <w:tcW w:w="1714" w:type="dxa"/>
          </w:tcPr>
          <w:p w14:paraId="4D9960C8" w14:textId="355B09EA" w:rsidR="00523135" w:rsidRPr="002B55E9" w:rsidRDefault="00523135" w:rsidP="002C311D">
            <w:pPr>
              <w:pStyle w:val="lgy-"/>
              <w:rPr>
                <w:rFonts w:eastAsia="宋体"/>
              </w:rPr>
            </w:pPr>
            <w:r w:rsidRPr="002B55E9">
              <w:rPr>
                <w:rFonts w:eastAsia="宋体" w:hint="eastAsia"/>
              </w:rPr>
              <w:t>非甲烷总烃</w:t>
            </w:r>
          </w:p>
        </w:tc>
        <w:tc>
          <w:tcPr>
            <w:tcW w:w="3117" w:type="dxa"/>
          </w:tcPr>
          <w:p w14:paraId="1022B904" w14:textId="77777777" w:rsidR="00523135" w:rsidRPr="002B55E9" w:rsidRDefault="00523135" w:rsidP="002C311D">
            <w:pPr>
              <w:pStyle w:val="lgy-"/>
              <w:rPr>
                <w:rFonts w:eastAsia="宋体"/>
              </w:rPr>
            </w:pPr>
            <w:r w:rsidRPr="002B55E9">
              <w:rPr>
                <w:rFonts w:eastAsia="宋体"/>
              </w:rPr>
              <w:t>无组织排放</w:t>
            </w:r>
          </w:p>
        </w:tc>
      </w:tr>
      <w:tr w:rsidR="002B55E9" w:rsidRPr="002B55E9" w14:paraId="63ABE3F4" w14:textId="77777777" w:rsidTr="002C311D">
        <w:trPr>
          <w:trHeight w:val="283"/>
        </w:trPr>
        <w:tc>
          <w:tcPr>
            <w:tcW w:w="959" w:type="dxa"/>
            <w:vMerge/>
          </w:tcPr>
          <w:p w14:paraId="12EC0FFE" w14:textId="77777777" w:rsidR="00523135" w:rsidRPr="002B55E9" w:rsidRDefault="00523135" w:rsidP="002C311D">
            <w:pPr>
              <w:pStyle w:val="lgy-"/>
              <w:rPr>
                <w:rFonts w:eastAsia="宋体"/>
              </w:rPr>
            </w:pPr>
          </w:p>
        </w:tc>
        <w:tc>
          <w:tcPr>
            <w:tcW w:w="885" w:type="dxa"/>
          </w:tcPr>
          <w:p w14:paraId="052E4F7B" w14:textId="02C01AB3" w:rsidR="00523135" w:rsidRPr="002B55E9" w:rsidRDefault="00523135" w:rsidP="002C311D">
            <w:pPr>
              <w:pStyle w:val="lgy-"/>
              <w:rPr>
                <w:rFonts w:eastAsia="宋体"/>
              </w:rPr>
            </w:pPr>
            <w:r w:rsidRPr="002B55E9">
              <w:rPr>
                <w:rFonts w:eastAsia="宋体" w:hint="eastAsia"/>
              </w:rPr>
              <w:t>G7</w:t>
            </w:r>
          </w:p>
        </w:tc>
        <w:tc>
          <w:tcPr>
            <w:tcW w:w="1558" w:type="dxa"/>
          </w:tcPr>
          <w:p w14:paraId="5CABCABE" w14:textId="2C890A21" w:rsidR="00523135" w:rsidRPr="002B55E9" w:rsidRDefault="00523135" w:rsidP="002C311D">
            <w:pPr>
              <w:pStyle w:val="lgy-"/>
              <w:rPr>
                <w:rFonts w:eastAsia="宋体"/>
              </w:rPr>
            </w:pPr>
            <w:r w:rsidRPr="002B55E9">
              <w:rPr>
                <w:rFonts w:eastAsia="宋体" w:hint="eastAsia"/>
              </w:rPr>
              <w:t>污水处理站</w:t>
            </w:r>
            <w:r w:rsidRPr="002B55E9">
              <w:rPr>
                <w:rFonts w:eastAsia="宋体"/>
              </w:rPr>
              <w:t>废气</w:t>
            </w:r>
            <w:r w:rsidR="002C311D" w:rsidRPr="002B55E9">
              <w:rPr>
                <w:rFonts w:eastAsia="宋体" w:hint="eastAsia"/>
              </w:rPr>
              <w:t>*</w:t>
            </w:r>
          </w:p>
        </w:tc>
        <w:tc>
          <w:tcPr>
            <w:tcW w:w="1405" w:type="dxa"/>
          </w:tcPr>
          <w:p w14:paraId="458DC98B" w14:textId="1D181B65" w:rsidR="00523135" w:rsidRPr="002B55E9" w:rsidRDefault="00523135" w:rsidP="002C311D">
            <w:pPr>
              <w:pStyle w:val="lgy-"/>
              <w:rPr>
                <w:rFonts w:eastAsia="宋体"/>
              </w:rPr>
            </w:pPr>
            <w:r w:rsidRPr="002B55E9">
              <w:rPr>
                <w:rFonts w:eastAsia="宋体" w:hint="eastAsia"/>
              </w:rPr>
              <w:t>污水处理</w:t>
            </w:r>
          </w:p>
        </w:tc>
        <w:tc>
          <w:tcPr>
            <w:tcW w:w="1714" w:type="dxa"/>
          </w:tcPr>
          <w:p w14:paraId="6B79B043" w14:textId="714989C8" w:rsidR="00523135" w:rsidRPr="002B55E9" w:rsidRDefault="00523135" w:rsidP="002C311D">
            <w:pPr>
              <w:pStyle w:val="lgy-"/>
              <w:rPr>
                <w:rFonts w:eastAsia="宋体"/>
              </w:rPr>
            </w:pPr>
            <w:r w:rsidRPr="002B55E9">
              <w:rPr>
                <w:rFonts w:eastAsia="宋体" w:hint="eastAsia"/>
              </w:rPr>
              <w:t>氨</w:t>
            </w:r>
            <w:r w:rsidRPr="002B55E9">
              <w:rPr>
                <w:rFonts w:eastAsia="宋体"/>
              </w:rPr>
              <w:t>、硫化氢、臭气浓</w:t>
            </w:r>
            <w:r w:rsidRPr="002B55E9">
              <w:rPr>
                <w:rFonts w:eastAsia="宋体"/>
              </w:rPr>
              <w:lastRenderedPageBreak/>
              <w:t>度</w:t>
            </w:r>
          </w:p>
        </w:tc>
        <w:tc>
          <w:tcPr>
            <w:tcW w:w="3117" w:type="dxa"/>
          </w:tcPr>
          <w:p w14:paraId="366BE138" w14:textId="24CDEB51" w:rsidR="00523135" w:rsidRPr="002B55E9" w:rsidRDefault="002C311D" w:rsidP="002C311D">
            <w:pPr>
              <w:pStyle w:val="lgy-"/>
              <w:rPr>
                <w:rFonts w:eastAsia="宋体"/>
              </w:rPr>
            </w:pPr>
            <w:r w:rsidRPr="002B55E9">
              <w:rPr>
                <w:rFonts w:eastAsia="宋体" w:hint="eastAsia"/>
              </w:rPr>
              <w:lastRenderedPageBreak/>
              <w:t>密闭收集经一套碱洗塔</w:t>
            </w:r>
            <w:r w:rsidRPr="002B55E9">
              <w:rPr>
                <w:rFonts w:eastAsia="宋体" w:hint="eastAsia"/>
              </w:rPr>
              <w:t>+</w:t>
            </w:r>
            <w:r w:rsidRPr="002B55E9">
              <w:rPr>
                <w:rFonts w:eastAsia="宋体" w:hint="eastAsia"/>
              </w:rPr>
              <w:t>生物除臭装置</w:t>
            </w:r>
            <w:r w:rsidRPr="002B55E9">
              <w:rPr>
                <w:rFonts w:eastAsia="宋体" w:hint="eastAsia"/>
              </w:rPr>
              <w:lastRenderedPageBreak/>
              <w:t>处理后由</w:t>
            </w:r>
            <w:r w:rsidRPr="002B55E9">
              <w:rPr>
                <w:rFonts w:eastAsia="宋体" w:hint="eastAsia"/>
              </w:rPr>
              <w:t>20m</w:t>
            </w:r>
            <w:r w:rsidRPr="002B55E9">
              <w:rPr>
                <w:rFonts w:eastAsia="宋体" w:hint="eastAsia"/>
              </w:rPr>
              <w:t>高排气筒排放</w:t>
            </w:r>
          </w:p>
        </w:tc>
      </w:tr>
      <w:tr w:rsidR="002B55E9" w:rsidRPr="002B55E9" w14:paraId="1BE1FAD9" w14:textId="77777777" w:rsidTr="002C311D">
        <w:trPr>
          <w:trHeight w:val="283"/>
        </w:trPr>
        <w:tc>
          <w:tcPr>
            <w:tcW w:w="959" w:type="dxa"/>
            <w:vMerge w:val="restart"/>
          </w:tcPr>
          <w:p w14:paraId="40897214" w14:textId="77777777" w:rsidR="005879A8" w:rsidRPr="002B55E9" w:rsidRDefault="005879A8" w:rsidP="002C311D">
            <w:pPr>
              <w:pStyle w:val="lgy-"/>
              <w:rPr>
                <w:rFonts w:eastAsia="宋体"/>
              </w:rPr>
            </w:pPr>
            <w:r w:rsidRPr="002B55E9">
              <w:rPr>
                <w:rFonts w:eastAsia="宋体" w:hint="eastAsia"/>
              </w:rPr>
              <w:lastRenderedPageBreak/>
              <w:t>废水</w:t>
            </w:r>
          </w:p>
        </w:tc>
        <w:tc>
          <w:tcPr>
            <w:tcW w:w="885" w:type="dxa"/>
          </w:tcPr>
          <w:p w14:paraId="73EA31B8" w14:textId="77777777" w:rsidR="005879A8" w:rsidRPr="002B55E9" w:rsidRDefault="005879A8" w:rsidP="002C311D">
            <w:pPr>
              <w:pStyle w:val="lgy-"/>
              <w:rPr>
                <w:rFonts w:eastAsia="宋体"/>
              </w:rPr>
            </w:pPr>
            <w:r w:rsidRPr="002B55E9">
              <w:rPr>
                <w:rFonts w:eastAsia="宋体" w:hint="eastAsia"/>
              </w:rPr>
              <w:t>W1-1</w:t>
            </w:r>
          </w:p>
          <w:p w14:paraId="7A82527B" w14:textId="77777777" w:rsidR="005879A8" w:rsidRPr="002B55E9" w:rsidRDefault="005879A8" w:rsidP="002C311D">
            <w:pPr>
              <w:pStyle w:val="lgy-"/>
              <w:rPr>
                <w:rFonts w:eastAsia="宋体"/>
              </w:rPr>
            </w:pPr>
            <w:r w:rsidRPr="002B55E9">
              <w:rPr>
                <w:rFonts w:eastAsia="宋体" w:hint="eastAsia"/>
              </w:rPr>
              <w:t>W2-1</w:t>
            </w:r>
          </w:p>
          <w:p w14:paraId="74A33596" w14:textId="77777777" w:rsidR="005879A8" w:rsidRPr="002B55E9" w:rsidRDefault="005879A8" w:rsidP="002C311D">
            <w:pPr>
              <w:pStyle w:val="lgy-"/>
              <w:rPr>
                <w:rFonts w:eastAsia="宋体"/>
              </w:rPr>
            </w:pPr>
            <w:r w:rsidRPr="002B55E9">
              <w:rPr>
                <w:rFonts w:eastAsia="宋体" w:hint="eastAsia"/>
              </w:rPr>
              <w:t>W3-1</w:t>
            </w:r>
          </w:p>
        </w:tc>
        <w:tc>
          <w:tcPr>
            <w:tcW w:w="1558" w:type="dxa"/>
          </w:tcPr>
          <w:p w14:paraId="344BB3E7" w14:textId="77777777" w:rsidR="005879A8" w:rsidRPr="002B55E9" w:rsidRDefault="005879A8" w:rsidP="002C311D">
            <w:pPr>
              <w:pStyle w:val="lgy-"/>
              <w:rPr>
                <w:rFonts w:eastAsia="宋体"/>
              </w:rPr>
            </w:pPr>
            <w:r w:rsidRPr="002B55E9">
              <w:rPr>
                <w:rFonts w:eastAsia="宋体" w:hint="eastAsia"/>
              </w:rPr>
              <w:t>洗瓶</w:t>
            </w:r>
            <w:r w:rsidRPr="002B55E9">
              <w:rPr>
                <w:rFonts w:eastAsia="宋体"/>
              </w:rPr>
              <w:t>废水</w:t>
            </w:r>
          </w:p>
        </w:tc>
        <w:tc>
          <w:tcPr>
            <w:tcW w:w="1405" w:type="dxa"/>
          </w:tcPr>
          <w:p w14:paraId="57417ADC" w14:textId="77777777" w:rsidR="005879A8" w:rsidRPr="002B55E9" w:rsidRDefault="005879A8" w:rsidP="002C311D">
            <w:pPr>
              <w:pStyle w:val="lgy-"/>
              <w:rPr>
                <w:rFonts w:eastAsia="宋体"/>
              </w:rPr>
            </w:pPr>
            <w:r w:rsidRPr="002B55E9">
              <w:rPr>
                <w:rFonts w:eastAsia="宋体" w:hint="eastAsia"/>
              </w:rPr>
              <w:t>洗瓶</w:t>
            </w:r>
          </w:p>
        </w:tc>
        <w:tc>
          <w:tcPr>
            <w:tcW w:w="1714" w:type="dxa"/>
          </w:tcPr>
          <w:p w14:paraId="061330E1" w14:textId="77777777" w:rsidR="005879A8" w:rsidRPr="002B55E9" w:rsidRDefault="005879A8" w:rsidP="002C311D">
            <w:pPr>
              <w:pStyle w:val="lgy-"/>
              <w:rPr>
                <w:rFonts w:eastAsia="宋体"/>
              </w:rPr>
            </w:pP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S</w:t>
            </w:r>
            <w:r w:rsidRPr="002B55E9">
              <w:rPr>
                <w:rFonts w:eastAsia="宋体"/>
              </w:rPr>
              <w:t>S</w:t>
            </w:r>
          </w:p>
        </w:tc>
        <w:tc>
          <w:tcPr>
            <w:tcW w:w="3117" w:type="dxa"/>
            <w:vMerge w:val="restart"/>
          </w:tcPr>
          <w:p w14:paraId="2946CAE2" w14:textId="513D8D61" w:rsidR="005879A8" w:rsidRPr="002B55E9" w:rsidRDefault="005879A8" w:rsidP="002C311D">
            <w:pPr>
              <w:pStyle w:val="lgy-"/>
              <w:rPr>
                <w:rFonts w:eastAsia="宋体"/>
              </w:rPr>
            </w:pPr>
            <w:r w:rsidRPr="002B55E9">
              <w:rPr>
                <w:rFonts w:eastAsia="宋体" w:hint="eastAsia"/>
              </w:rPr>
              <w:t>生活污水经化粪池处理后与其他废水一并排入佛山市海天（武汉）调味品有限公司厂区污水处理站，处理后经总排口排入市政污水管网，最终进入东西湖污水处理厂处理后排入府河，污水处理站处理工艺为“</w:t>
            </w:r>
            <w:r w:rsidR="007F1BA2" w:rsidRPr="002B55E9">
              <w:rPr>
                <w:rFonts w:eastAsia="宋体" w:hint="eastAsia"/>
              </w:rPr>
              <w:t>预处理</w:t>
            </w:r>
            <w:r w:rsidR="007F1BA2" w:rsidRPr="002B55E9">
              <w:rPr>
                <w:rFonts w:eastAsia="宋体" w:hint="eastAsia"/>
              </w:rPr>
              <w:t>+</w:t>
            </w:r>
            <w:r w:rsidR="007F1BA2" w:rsidRPr="002B55E9">
              <w:rPr>
                <w:rFonts w:eastAsia="宋体" w:hint="eastAsia"/>
              </w:rPr>
              <w:t>厌氧</w:t>
            </w:r>
            <w:r w:rsidR="007F1BA2" w:rsidRPr="002B55E9">
              <w:rPr>
                <w:rFonts w:eastAsia="宋体" w:hint="eastAsia"/>
              </w:rPr>
              <w:t>+AO</w:t>
            </w:r>
            <w:r w:rsidR="007F1BA2" w:rsidRPr="002B55E9">
              <w:rPr>
                <w:rFonts w:eastAsia="宋体" w:hint="eastAsia"/>
              </w:rPr>
              <w:t>系统</w:t>
            </w:r>
            <w:r w:rsidR="007F1BA2" w:rsidRPr="002B55E9">
              <w:rPr>
                <w:rFonts w:eastAsia="宋体" w:hint="eastAsia"/>
              </w:rPr>
              <w:t>+</w:t>
            </w:r>
            <w:r w:rsidR="007F1BA2" w:rsidRPr="002B55E9">
              <w:rPr>
                <w:rFonts w:eastAsia="宋体" w:hint="eastAsia"/>
              </w:rPr>
              <w:t>深度处理</w:t>
            </w:r>
            <w:r w:rsidRPr="002B55E9">
              <w:rPr>
                <w:rFonts w:eastAsia="宋体" w:hint="eastAsia"/>
              </w:rPr>
              <w:t>”，处理能力</w:t>
            </w:r>
            <w:r w:rsidRPr="002B55E9">
              <w:rPr>
                <w:rFonts w:eastAsia="宋体" w:hint="eastAsia"/>
              </w:rPr>
              <w:t>1</w:t>
            </w:r>
            <w:r w:rsidRPr="002B55E9">
              <w:rPr>
                <w:rFonts w:eastAsia="宋体"/>
              </w:rPr>
              <w:t>000</w:t>
            </w:r>
            <w:r w:rsidRPr="002B55E9">
              <w:rPr>
                <w:rFonts w:eastAsia="宋体" w:hint="eastAsia"/>
              </w:rPr>
              <w:t>m</w:t>
            </w:r>
            <w:r w:rsidRPr="002B55E9">
              <w:rPr>
                <w:rFonts w:eastAsia="宋体"/>
                <w:vertAlign w:val="superscript"/>
              </w:rPr>
              <w:t>3</w:t>
            </w:r>
            <w:r w:rsidRPr="002B55E9">
              <w:rPr>
                <w:rFonts w:eastAsia="宋体"/>
              </w:rPr>
              <w:t>/d</w:t>
            </w:r>
            <w:r w:rsidRPr="002B55E9">
              <w:rPr>
                <w:rFonts w:eastAsia="宋体" w:hint="eastAsia"/>
              </w:rPr>
              <w:t>。</w:t>
            </w:r>
          </w:p>
        </w:tc>
      </w:tr>
      <w:tr w:rsidR="002B55E9" w:rsidRPr="002B55E9" w14:paraId="4FE0AA4A" w14:textId="77777777" w:rsidTr="002C311D">
        <w:trPr>
          <w:trHeight w:val="283"/>
        </w:trPr>
        <w:tc>
          <w:tcPr>
            <w:tcW w:w="959" w:type="dxa"/>
            <w:vMerge/>
          </w:tcPr>
          <w:p w14:paraId="476119E5" w14:textId="77777777" w:rsidR="005879A8" w:rsidRPr="002B55E9" w:rsidRDefault="005879A8" w:rsidP="002C311D">
            <w:pPr>
              <w:pStyle w:val="lgy-"/>
              <w:rPr>
                <w:rFonts w:eastAsia="宋体"/>
              </w:rPr>
            </w:pPr>
          </w:p>
        </w:tc>
        <w:tc>
          <w:tcPr>
            <w:tcW w:w="885" w:type="dxa"/>
          </w:tcPr>
          <w:p w14:paraId="732B2F78" w14:textId="77777777" w:rsidR="005879A8" w:rsidRPr="002B55E9" w:rsidRDefault="005879A8" w:rsidP="002C311D">
            <w:pPr>
              <w:pStyle w:val="lgy-"/>
              <w:rPr>
                <w:rFonts w:eastAsia="宋体"/>
              </w:rPr>
            </w:pPr>
            <w:r w:rsidRPr="002B55E9">
              <w:rPr>
                <w:rFonts w:eastAsia="宋体" w:hint="eastAsia"/>
              </w:rPr>
              <w:t>W4-1</w:t>
            </w:r>
          </w:p>
        </w:tc>
        <w:tc>
          <w:tcPr>
            <w:tcW w:w="1558" w:type="dxa"/>
          </w:tcPr>
          <w:p w14:paraId="5AC90128" w14:textId="77777777" w:rsidR="005879A8" w:rsidRPr="002B55E9" w:rsidRDefault="005879A8" w:rsidP="002C311D">
            <w:pPr>
              <w:pStyle w:val="lgy-"/>
              <w:rPr>
                <w:rFonts w:eastAsia="宋体"/>
              </w:rPr>
            </w:pPr>
            <w:r w:rsidRPr="002B55E9">
              <w:rPr>
                <w:rFonts w:eastAsia="宋体" w:hint="eastAsia"/>
              </w:rPr>
              <w:t>实验</w:t>
            </w:r>
            <w:r w:rsidRPr="002B55E9">
              <w:rPr>
                <w:rFonts w:eastAsia="宋体"/>
              </w:rPr>
              <w:t>废水</w:t>
            </w:r>
          </w:p>
        </w:tc>
        <w:tc>
          <w:tcPr>
            <w:tcW w:w="1405" w:type="dxa"/>
          </w:tcPr>
          <w:p w14:paraId="6C3E5164" w14:textId="77777777" w:rsidR="005879A8" w:rsidRPr="002B55E9" w:rsidRDefault="005879A8" w:rsidP="002C311D">
            <w:pPr>
              <w:pStyle w:val="lgy-"/>
              <w:rPr>
                <w:rFonts w:eastAsia="宋体"/>
              </w:rPr>
            </w:pPr>
            <w:r w:rsidRPr="002B55E9">
              <w:rPr>
                <w:rFonts w:eastAsia="宋体" w:hint="eastAsia"/>
              </w:rPr>
              <w:t>器皿</w:t>
            </w:r>
            <w:r w:rsidRPr="002B55E9">
              <w:rPr>
                <w:rFonts w:eastAsia="宋体"/>
              </w:rPr>
              <w:t>清洗</w:t>
            </w:r>
          </w:p>
        </w:tc>
        <w:tc>
          <w:tcPr>
            <w:tcW w:w="1714" w:type="dxa"/>
          </w:tcPr>
          <w:p w14:paraId="2DC55ED1" w14:textId="77777777" w:rsidR="005879A8" w:rsidRPr="002B55E9" w:rsidRDefault="005879A8" w:rsidP="002C311D">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、氨氮、悬浮物、总磷、总氮等</w:t>
            </w:r>
          </w:p>
        </w:tc>
        <w:tc>
          <w:tcPr>
            <w:tcW w:w="3117" w:type="dxa"/>
            <w:vMerge/>
          </w:tcPr>
          <w:p w14:paraId="07D34A93" w14:textId="77777777" w:rsidR="005879A8" w:rsidRPr="002B55E9" w:rsidRDefault="005879A8" w:rsidP="002C311D">
            <w:pPr>
              <w:pStyle w:val="lgy-"/>
              <w:rPr>
                <w:rFonts w:eastAsia="宋体"/>
              </w:rPr>
            </w:pPr>
          </w:p>
        </w:tc>
      </w:tr>
      <w:tr w:rsidR="002B55E9" w:rsidRPr="002B55E9" w14:paraId="308E740B" w14:textId="77777777" w:rsidTr="002C311D">
        <w:trPr>
          <w:trHeight w:val="283"/>
        </w:trPr>
        <w:tc>
          <w:tcPr>
            <w:tcW w:w="959" w:type="dxa"/>
            <w:vMerge/>
          </w:tcPr>
          <w:p w14:paraId="78F1BE42" w14:textId="77777777" w:rsidR="005879A8" w:rsidRPr="002B55E9" w:rsidRDefault="005879A8" w:rsidP="002C311D">
            <w:pPr>
              <w:pStyle w:val="lgy-"/>
              <w:rPr>
                <w:rFonts w:eastAsia="宋体"/>
              </w:rPr>
            </w:pPr>
          </w:p>
        </w:tc>
        <w:tc>
          <w:tcPr>
            <w:tcW w:w="885" w:type="dxa"/>
          </w:tcPr>
          <w:p w14:paraId="6D1CE0F6" w14:textId="77777777" w:rsidR="005879A8" w:rsidRPr="002B55E9" w:rsidRDefault="005879A8" w:rsidP="002C311D">
            <w:pPr>
              <w:pStyle w:val="lgy-"/>
              <w:rPr>
                <w:rFonts w:eastAsia="宋体"/>
              </w:rPr>
            </w:pPr>
            <w:r w:rsidRPr="002B55E9">
              <w:rPr>
                <w:rFonts w:eastAsia="宋体" w:hint="eastAsia"/>
              </w:rPr>
              <w:t>W5</w:t>
            </w:r>
          </w:p>
        </w:tc>
        <w:tc>
          <w:tcPr>
            <w:tcW w:w="1558" w:type="dxa"/>
          </w:tcPr>
          <w:p w14:paraId="07EF284B" w14:textId="77777777" w:rsidR="005879A8" w:rsidRPr="002B55E9" w:rsidRDefault="005879A8" w:rsidP="002C311D">
            <w:pPr>
              <w:pStyle w:val="lgy-"/>
              <w:rPr>
                <w:rFonts w:eastAsia="宋体"/>
              </w:rPr>
            </w:pPr>
            <w:r w:rsidRPr="002B55E9">
              <w:rPr>
                <w:rFonts w:eastAsia="宋体" w:hint="eastAsia"/>
              </w:rPr>
              <w:t>地面清洗</w:t>
            </w:r>
            <w:r w:rsidRPr="002B55E9">
              <w:rPr>
                <w:rFonts w:eastAsia="宋体"/>
              </w:rPr>
              <w:t>水</w:t>
            </w:r>
          </w:p>
        </w:tc>
        <w:tc>
          <w:tcPr>
            <w:tcW w:w="1405" w:type="dxa"/>
          </w:tcPr>
          <w:p w14:paraId="7CE98083" w14:textId="77777777" w:rsidR="005879A8" w:rsidRPr="002B55E9" w:rsidRDefault="005879A8" w:rsidP="002C311D">
            <w:pPr>
              <w:pStyle w:val="lgy-"/>
              <w:rPr>
                <w:rFonts w:eastAsia="宋体"/>
              </w:rPr>
            </w:pPr>
            <w:r w:rsidRPr="002B55E9">
              <w:rPr>
                <w:rFonts w:eastAsia="宋体" w:hint="eastAsia"/>
              </w:rPr>
              <w:t>地面清洗</w:t>
            </w:r>
          </w:p>
        </w:tc>
        <w:tc>
          <w:tcPr>
            <w:tcW w:w="1714" w:type="dxa"/>
          </w:tcPr>
          <w:p w14:paraId="24F4156E" w14:textId="64F1878C" w:rsidR="005879A8" w:rsidRPr="002B55E9" w:rsidRDefault="005879A8" w:rsidP="003E2FA0">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、氨氮、悬浮物、总磷、总氮等</w:t>
            </w:r>
          </w:p>
        </w:tc>
        <w:tc>
          <w:tcPr>
            <w:tcW w:w="3117" w:type="dxa"/>
            <w:vMerge/>
          </w:tcPr>
          <w:p w14:paraId="42E6EFE8" w14:textId="77777777" w:rsidR="005879A8" w:rsidRPr="002B55E9" w:rsidRDefault="005879A8" w:rsidP="002C311D">
            <w:pPr>
              <w:pStyle w:val="lgy-"/>
              <w:rPr>
                <w:rFonts w:eastAsia="宋体"/>
              </w:rPr>
            </w:pPr>
          </w:p>
        </w:tc>
      </w:tr>
      <w:tr w:rsidR="002B55E9" w:rsidRPr="002B55E9" w14:paraId="43B7AE27" w14:textId="77777777" w:rsidTr="002C311D">
        <w:trPr>
          <w:trHeight w:val="283"/>
        </w:trPr>
        <w:tc>
          <w:tcPr>
            <w:tcW w:w="959" w:type="dxa"/>
            <w:vMerge/>
          </w:tcPr>
          <w:p w14:paraId="64069EE3" w14:textId="77777777" w:rsidR="005879A8" w:rsidRPr="002B55E9" w:rsidRDefault="005879A8" w:rsidP="002C311D">
            <w:pPr>
              <w:pStyle w:val="lgy-"/>
              <w:rPr>
                <w:rFonts w:eastAsia="宋体"/>
              </w:rPr>
            </w:pPr>
          </w:p>
        </w:tc>
        <w:tc>
          <w:tcPr>
            <w:tcW w:w="885" w:type="dxa"/>
          </w:tcPr>
          <w:p w14:paraId="6D0A62F2" w14:textId="77777777" w:rsidR="005879A8" w:rsidRPr="002B55E9" w:rsidRDefault="005879A8" w:rsidP="002C311D">
            <w:pPr>
              <w:pStyle w:val="lgy-"/>
              <w:rPr>
                <w:rFonts w:eastAsia="宋体"/>
              </w:rPr>
            </w:pPr>
            <w:r w:rsidRPr="002B55E9">
              <w:rPr>
                <w:rFonts w:eastAsia="宋体" w:hint="eastAsia"/>
              </w:rPr>
              <w:t>W6</w:t>
            </w:r>
          </w:p>
        </w:tc>
        <w:tc>
          <w:tcPr>
            <w:tcW w:w="1558" w:type="dxa"/>
          </w:tcPr>
          <w:p w14:paraId="4282E11D" w14:textId="77777777" w:rsidR="005879A8" w:rsidRPr="002B55E9" w:rsidRDefault="005879A8" w:rsidP="002C311D">
            <w:pPr>
              <w:pStyle w:val="lgy-"/>
              <w:rPr>
                <w:rFonts w:eastAsia="宋体"/>
              </w:rPr>
            </w:pPr>
            <w:r w:rsidRPr="002B55E9">
              <w:rPr>
                <w:rFonts w:eastAsia="宋体" w:hint="eastAsia"/>
              </w:rPr>
              <w:t>设备</w:t>
            </w:r>
            <w:r w:rsidRPr="002B55E9">
              <w:rPr>
                <w:rFonts w:eastAsia="宋体"/>
              </w:rPr>
              <w:t>清洗水</w:t>
            </w:r>
          </w:p>
        </w:tc>
        <w:tc>
          <w:tcPr>
            <w:tcW w:w="1405" w:type="dxa"/>
          </w:tcPr>
          <w:p w14:paraId="3202F179" w14:textId="77777777" w:rsidR="005879A8" w:rsidRPr="002B55E9" w:rsidRDefault="005879A8" w:rsidP="002C311D">
            <w:pPr>
              <w:pStyle w:val="lgy-"/>
              <w:rPr>
                <w:rFonts w:eastAsia="宋体"/>
              </w:rPr>
            </w:pPr>
            <w:r w:rsidRPr="002B55E9">
              <w:rPr>
                <w:rFonts w:eastAsia="宋体" w:hint="eastAsia"/>
              </w:rPr>
              <w:t>设备</w:t>
            </w:r>
            <w:r w:rsidRPr="002B55E9">
              <w:rPr>
                <w:rFonts w:eastAsia="宋体"/>
              </w:rPr>
              <w:t>清洗</w:t>
            </w:r>
          </w:p>
        </w:tc>
        <w:tc>
          <w:tcPr>
            <w:tcW w:w="1714" w:type="dxa"/>
          </w:tcPr>
          <w:p w14:paraId="35F683ED" w14:textId="20E9FE59" w:rsidR="005879A8" w:rsidRPr="002B55E9" w:rsidRDefault="005879A8" w:rsidP="003E2FA0">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、氨氮、悬浮物、总磷、总氮等</w:t>
            </w:r>
          </w:p>
        </w:tc>
        <w:tc>
          <w:tcPr>
            <w:tcW w:w="3117" w:type="dxa"/>
            <w:vMerge/>
          </w:tcPr>
          <w:p w14:paraId="4D2FF430" w14:textId="77777777" w:rsidR="005879A8" w:rsidRPr="002B55E9" w:rsidRDefault="005879A8" w:rsidP="002C311D">
            <w:pPr>
              <w:pStyle w:val="lgy-"/>
              <w:rPr>
                <w:rFonts w:eastAsia="宋体"/>
              </w:rPr>
            </w:pPr>
          </w:p>
        </w:tc>
      </w:tr>
      <w:tr w:rsidR="002B55E9" w:rsidRPr="002B55E9" w14:paraId="40EF041F" w14:textId="77777777" w:rsidTr="002C311D">
        <w:trPr>
          <w:trHeight w:val="283"/>
        </w:trPr>
        <w:tc>
          <w:tcPr>
            <w:tcW w:w="959" w:type="dxa"/>
            <w:vMerge/>
          </w:tcPr>
          <w:p w14:paraId="78A0EA67" w14:textId="77777777" w:rsidR="005879A8" w:rsidRPr="002B55E9" w:rsidRDefault="005879A8" w:rsidP="002C311D">
            <w:pPr>
              <w:pStyle w:val="lgy-"/>
              <w:rPr>
                <w:rFonts w:eastAsia="宋体"/>
              </w:rPr>
            </w:pPr>
          </w:p>
        </w:tc>
        <w:tc>
          <w:tcPr>
            <w:tcW w:w="885" w:type="dxa"/>
          </w:tcPr>
          <w:p w14:paraId="504D6242" w14:textId="77777777" w:rsidR="005879A8" w:rsidRPr="002B55E9" w:rsidRDefault="005879A8" w:rsidP="002C311D">
            <w:pPr>
              <w:pStyle w:val="lgy-"/>
              <w:rPr>
                <w:rFonts w:eastAsia="宋体"/>
              </w:rPr>
            </w:pPr>
            <w:r w:rsidRPr="002B55E9">
              <w:rPr>
                <w:rFonts w:eastAsia="宋体" w:hint="eastAsia"/>
              </w:rPr>
              <w:t>W7</w:t>
            </w:r>
          </w:p>
        </w:tc>
        <w:tc>
          <w:tcPr>
            <w:tcW w:w="1558" w:type="dxa"/>
          </w:tcPr>
          <w:p w14:paraId="43BF6D18" w14:textId="77777777" w:rsidR="005879A8" w:rsidRPr="002B55E9" w:rsidRDefault="005879A8" w:rsidP="002C311D">
            <w:pPr>
              <w:pStyle w:val="lgy-"/>
              <w:rPr>
                <w:rFonts w:eastAsia="宋体"/>
              </w:rPr>
            </w:pPr>
            <w:r w:rsidRPr="002B55E9">
              <w:rPr>
                <w:rFonts w:eastAsia="宋体" w:hint="eastAsia"/>
              </w:rPr>
              <w:t>循环冷却系统排水</w:t>
            </w:r>
          </w:p>
        </w:tc>
        <w:tc>
          <w:tcPr>
            <w:tcW w:w="1405" w:type="dxa"/>
          </w:tcPr>
          <w:p w14:paraId="21C919DF" w14:textId="77777777" w:rsidR="005879A8" w:rsidRPr="002B55E9" w:rsidRDefault="005879A8" w:rsidP="002C311D">
            <w:pPr>
              <w:pStyle w:val="lgy-"/>
              <w:rPr>
                <w:rFonts w:eastAsia="宋体"/>
              </w:rPr>
            </w:pPr>
            <w:r w:rsidRPr="002B55E9">
              <w:rPr>
                <w:rFonts w:eastAsia="宋体" w:hint="eastAsia"/>
              </w:rPr>
              <w:t>循环冷却系统</w:t>
            </w:r>
          </w:p>
        </w:tc>
        <w:tc>
          <w:tcPr>
            <w:tcW w:w="1714" w:type="dxa"/>
          </w:tcPr>
          <w:p w14:paraId="3AF245EC" w14:textId="77777777" w:rsidR="005879A8" w:rsidRPr="002B55E9" w:rsidRDefault="005879A8" w:rsidP="002C311D">
            <w:pPr>
              <w:pStyle w:val="lgy-"/>
              <w:rPr>
                <w:rFonts w:eastAsia="宋体"/>
              </w:rPr>
            </w:pP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S</w:t>
            </w:r>
            <w:r w:rsidRPr="002B55E9">
              <w:rPr>
                <w:rFonts w:eastAsia="宋体"/>
              </w:rPr>
              <w:t>S</w:t>
            </w:r>
            <w:r w:rsidRPr="002B55E9">
              <w:rPr>
                <w:rFonts w:eastAsia="宋体" w:hint="eastAsia"/>
              </w:rPr>
              <w:t>等</w:t>
            </w:r>
          </w:p>
        </w:tc>
        <w:tc>
          <w:tcPr>
            <w:tcW w:w="3117" w:type="dxa"/>
            <w:vMerge/>
          </w:tcPr>
          <w:p w14:paraId="7B713444" w14:textId="77777777" w:rsidR="005879A8" w:rsidRPr="002B55E9" w:rsidRDefault="005879A8" w:rsidP="002C311D">
            <w:pPr>
              <w:pStyle w:val="lgy-"/>
              <w:rPr>
                <w:rFonts w:eastAsia="宋体"/>
              </w:rPr>
            </w:pPr>
          </w:p>
        </w:tc>
      </w:tr>
      <w:tr w:rsidR="002B55E9" w:rsidRPr="002B55E9" w14:paraId="61AA3E04" w14:textId="77777777" w:rsidTr="002C311D">
        <w:trPr>
          <w:trHeight w:val="283"/>
        </w:trPr>
        <w:tc>
          <w:tcPr>
            <w:tcW w:w="959" w:type="dxa"/>
            <w:vMerge/>
          </w:tcPr>
          <w:p w14:paraId="2C7DF700" w14:textId="77777777" w:rsidR="005879A8" w:rsidRPr="002B55E9" w:rsidRDefault="005879A8" w:rsidP="002C311D">
            <w:pPr>
              <w:pStyle w:val="lgy-"/>
              <w:rPr>
                <w:rFonts w:eastAsia="宋体"/>
              </w:rPr>
            </w:pPr>
          </w:p>
        </w:tc>
        <w:tc>
          <w:tcPr>
            <w:tcW w:w="885" w:type="dxa"/>
          </w:tcPr>
          <w:p w14:paraId="77797764" w14:textId="77777777" w:rsidR="005879A8" w:rsidRPr="002B55E9" w:rsidRDefault="005879A8" w:rsidP="002C311D">
            <w:pPr>
              <w:pStyle w:val="lgy-"/>
              <w:rPr>
                <w:rFonts w:eastAsia="宋体"/>
              </w:rPr>
            </w:pPr>
            <w:r w:rsidRPr="002B55E9">
              <w:rPr>
                <w:rFonts w:eastAsia="宋体" w:hint="eastAsia"/>
              </w:rPr>
              <w:t>W8</w:t>
            </w:r>
          </w:p>
        </w:tc>
        <w:tc>
          <w:tcPr>
            <w:tcW w:w="1558" w:type="dxa"/>
          </w:tcPr>
          <w:p w14:paraId="09E6209B" w14:textId="77777777" w:rsidR="005879A8" w:rsidRPr="002B55E9" w:rsidRDefault="005879A8" w:rsidP="002C311D">
            <w:pPr>
              <w:pStyle w:val="lgy-"/>
              <w:rPr>
                <w:rFonts w:eastAsia="宋体"/>
              </w:rPr>
            </w:pPr>
            <w:r w:rsidRPr="002B55E9">
              <w:rPr>
                <w:rFonts w:eastAsia="宋体" w:hint="eastAsia"/>
              </w:rPr>
              <w:t>制</w:t>
            </w:r>
            <w:r w:rsidRPr="002B55E9">
              <w:rPr>
                <w:rFonts w:eastAsia="宋体"/>
              </w:rPr>
              <w:t>纯水</w:t>
            </w:r>
            <w:r w:rsidRPr="002B55E9">
              <w:rPr>
                <w:rFonts w:eastAsia="宋体" w:hint="eastAsia"/>
              </w:rPr>
              <w:t>尾水</w:t>
            </w:r>
          </w:p>
        </w:tc>
        <w:tc>
          <w:tcPr>
            <w:tcW w:w="1405" w:type="dxa"/>
          </w:tcPr>
          <w:p w14:paraId="5C7D95BA" w14:textId="77777777" w:rsidR="005879A8" w:rsidRPr="002B55E9" w:rsidRDefault="005879A8" w:rsidP="002C311D">
            <w:pPr>
              <w:pStyle w:val="lgy-"/>
              <w:rPr>
                <w:rFonts w:eastAsia="宋体"/>
              </w:rPr>
            </w:pPr>
            <w:r w:rsidRPr="002B55E9">
              <w:rPr>
                <w:rFonts w:eastAsia="宋体"/>
              </w:rPr>
              <w:t>纯水</w:t>
            </w:r>
            <w:r w:rsidRPr="002B55E9">
              <w:rPr>
                <w:rFonts w:eastAsia="宋体" w:hint="eastAsia"/>
              </w:rPr>
              <w:t>制备</w:t>
            </w:r>
          </w:p>
        </w:tc>
        <w:tc>
          <w:tcPr>
            <w:tcW w:w="1714" w:type="dxa"/>
          </w:tcPr>
          <w:p w14:paraId="58E5DBFB" w14:textId="77777777" w:rsidR="005879A8" w:rsidRPr="002B55E9" w:rsidRDefault="005879A8" w:rsidP="002C311D">
            <w:pPr>
              <w:pStyle w:val="lgy-"/>
              <w:rPr>
                <w:rFonts w:eastAsia="宋体"/>
              </w:rPr>
            </w:pPr>
            <w:r w:rsidRPr="002B55E9">
              <w:rPr>
                <w:rFonts w:eastAsia="宋体" w:hint="eastAsia"/>
              </w:rPr>
              <w:t>C</w:t>
            </w:r>
            <w:r w:rsidRPr="002B55E9">
              <w:rPr>
                <w:rFonts w:eastAsia="宋体"/>
              </w:rPr>
              <w:t>OD</w:t>
            </w:r>
            <w:r w:rsidRPr="002B55E9">
              <w:rPr>
                <w:rFonts w:eastAsia="宋体" w:hint="eastAsia"/>
              </w:rPr>
              <w:t>、悬浮物等</w:t>
            </w:r>
          </w:p>
        </w:tc>
        <w:tc>
          <w:tcPr>
            <w:tcW w:w="3117" w:type="dxa"/>
            <w:vMerge/>
          </w:tcPr>
          <w:p w14:paraId="05351D1B" w14:textId="77777777" w:rsidR="005879A8" w:rsidRPr="002B55E9" w:rsidRDefault="005879A8" w:rsidP="002C311D">
            <w:pPr>
              <w:pStyle w:val="lgy-"/>
              <w:rPr>
                <w:rFonts w:eastAsia="宋体"/>
              </w:rPr>
            </w:pPr>
          </w:p>
        </w:tc>
      </w:tr>
      <w:tr w:rsidR="002B55E9" w:rsidRPr="002B55E9" w14:paraId="16C5903B" w14:textId="77777777" w:rsidTr="002C311D">
        <w:trPr>
          <w:trHeight w:val="283"/>
        </w:trPr>
        <w:tc>
          <w:tcPr>
            <w:tcW w:w="959" w:type="dxa"/>
            <w:vMerge/>
          </w:tcPr>
          <w:p w14:paraId="5B1A1BE8" w14:textId="77777777" w:rsidR="005879A8" w:rsidRPr="002B55E9" w:rsidRDefault="005879A8" w:rsidP="002C311D">
            <w:pPr>
              <w:pStyle w:val="lgy-"/>
              <w:rPr>
                <w:rFonts w:eastAsia="宋体"/>
              </w:rPr>
            </w:pPr>
          </w:p>
        </w:tc>
        <w:tc>
          <w:tcPr>
            <w:tcW w:w="885" w:type="dxa"/>
          </w:tcPr>
          <w:p w14:paraId="13AD882C" w14:textId="77777777" w:rsidR="005879A8" w:rsidRPr="002B55E9" w:rsidRDefault="005879A8" w:rsidP="002C311D">
            <w:pPr>
              <w:pStyle w:val="lgy-"/>
              <w:rPr>
                <w:rFonts w:eastAsia="宋体"/>
              </w:rPr>
            </w:pPr>
            <w:r w:rsidRPr="002B55E9">
              <w:rPr>
                <w:rFonts w:eastAsia="宋体"/>
              </w:rPr>
              <w:t>W</w:t>
            </w:r>
            <w:r w:rsidRPr="002B55E9">
              <w:rPr>
                <w:rFonts w:eastAsia="宋体" w:hint="eastAsia"/>
              </w:rPr>
              <w:t>9</w:t>
            </w:r>
          </w:p>
        </w:tc>
        <w:tc>
          <w:tcPr>
            <w:tcW w:w="1558" w:type="dxa"/>
          </w:tcPr>
          <w:p w14:paraId="034DC140" w14:textId="77777777" w:rsidR="005879A8" w:rsidRPr="002B55E9" w:rsidRDefault="005879A8" w:rsidP="002C311D">
            <w:pPr>
              <w:pStyle w:val="lgy-"/>
              <w:rPr>
                <w:rFonts w:eastAsia="宋体"/>
              </w:rPr>
            </w:pPr>
            <w:r w:rsidRPr="002B55E9">
              <w:rPr>
                <w:rFonts w:eastAsia="宋体" w:hint="eastAsia"/>
              </w:rPr>
              <w:t>喷淋塔废水</w:t>
            </w:r>
          </w:p>
        </w:tc>
        <w:tc>
          <w:tcPr>
            <w:tcW w:w="1405" w:type="dxa"/>
          </w:tcPr>
          <w:p w14:paraId="58FB6FBE" w14:textId="77777777" w:rsidR="005879A8" w:rsidRPr="002B55E9" w:rsidRDefault="005879A8" w:rsidP="002C311D">
            <w:pPr>
              <w:pStyle w:val="lgy-"/>
              <w:rPr>
                <w:rFonts w:eastAsia="宋体"/>
              </w:rPr>
            </w:pPr>
            <w:r w:rsidRPr="002B55E9">
              <w:rPr>
                <w:rFonts w:eastAsia="宋体" w:hint="eastAsia"/>
              </w:rPr>
              <w:t>工艺废气处理</w:t>
            </w:r>
          </w:p>
        </w:tc>
        <w:tc>
          <w:tcPr>
            <w:tcW w:w="1714" w:type="dxa"/>
          </w:tcPr>
          <w:p w14:paraId="40FAAE68" w14:textId="77777777" w:rsidR="005879A8" w:rsidRPr="002B55E9" w:rsidRDefault="005879A8" w:rsidP="002C311D">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、氨氮、悬浮物、总磷、总氮等</w:t>
            </w:r>
          </w:p>
        </w:tc>
        <w:tc>
          <w:tcPr>
            <w:tcW w:w="3117" w:type="dxa"/>
            <w:vMerge/>
          </w:tcPr>
          <w:p w14:paraId="6C01A937" w14:textId="77777777" w:rsidR="005879A8" w:rsidRPr="002B55E9" w:rsidRDefault="005879A8" w:rsidP="002C311D">
            <w:pPr>
              <w:pStyle w:val="lgy-"/>
              <w:rPr>
                <w:rFonts w:eastAsia="宋体"/>
              </w:rPr>
            </w:pPr>
          </w:p>
        </w:tc>
      </w:tr>
      <w:tr w:rsidR="002B55E9" w:rsidRPr="002B55E9" w14:paraId="1BADAC2D" w14:textId="77777777" w:rsidTr="002C311D">
        <w:trPr>
          <w:trHeight w:val="283"/>
        </w:trPr>
        <w:tc>
          <w:tcPr>
            <w:tcW w:w="959" w:type="dxa"/>
            <w:vMerge/>
          </w:tcPr>
          <w:p w14:paraId="343AD49E" w14:textId="77777777" w:rsidR="005879A8" w:rsidRPr="002B55E9" w:rsidRDefault="005879A8" w:rsidP="002C311D">
            <w:pPr>
              <w:pStyle w:val="lgy-"/>
              <w:rPr>
                <w:rFonts w:eastAsia="宋体"/>
              </w:rPr>
            </w:pPr>
          </w:p>
        </w:tc>
        <w:tc>
          <w:tcPr>
            <w:tcW w:w="885" w:type="dxa"/>
          </w:tcPr>
          <w:p w14:paraId="4FFB792E" w14:textId="77777777" w:rsidR="005879A8" w:rsidRPr="002B55E9" w:rsidRDefault="005879A8" w:rsidP="002C311D">
            <w:pPr>
              <w:pStyle w:val="lgy-"/>
              <w:rPr>
                <w:rFonts w:eastAsia="宋体"/>
              </w:rPr>
            </w:pPr>
            <w:r w:rsidRPr="002B55E9">
              <w:rPr>
                <w:rFonts w:eastAsia="宋体" w:hint="eastAsia"/>
              </w:rPr>
              <w:t>W1</w:t>
            </w:r>
            <w:r w:rsidRPr="002B55E9">
              <w:rPr>
                <w:rFonts w:eastAsia="宋体"/>
              </w:rPr>
              <w:t>1</w:t>
            </w:r>
          </w:p>
        </w:tc>
        <w:tc>
          <w:tcPr>
            <w:tcW w:w="1558" w:type="dxa"/>
          </w:tcPr>
          <w:p w14:paraId="7D64B3FF" w14:textId="77777777" w:rsidR="005879A8" w:rsidRPr="002B55E9" w:rsidRDefault="005879A8" w:rsidP="002C311D">
            <w:pPr>
              <w:pStyle w:val="lgy-"/>
              <w:rPr>
                <w:rFonts w:eastAsia="宋体"/>
              </w:rPr>
            </w:pPr>
            <w:r w:rsidRPr="002B55E9">
              <w:rPr>
                <w:rFonts w:eastAsia="宋体" w:hint="eastAsia"/>
              </w:rPr>
              <w:t>生活污水</w:t>
            </w:r>
          </w:p>
        </w:tc>
        <w:tc>
          <w:tcPr>
            <w:tcW w:w="1405" w:type="dxa"/>
          </w:tcPr>
          <w:p w14:paraId="1B5A391F" w14:textId="77777777" w:rsidR="005879A8" w:rsidRPr="002B55E9" w:rsidRDefault="005879A8" w:rsidP="002C311D">
            <w:pPr>
              <w:pStyle w:val="lgy-"/>
              <w:rPr>
                <w:rFonts w:eastAsia="宋体"/>
              </w:rPr>
            </w:pPr>
            <w:r w:rsidRPr="002B55E9">
              <w:rPr>
                <w:rFonts w:eastAsia="宋体" w:hint="eastAsia"/>
              </w:rPr>
              <w:t>员工</w:t>
            </w:r>
            <w:r w:rsidRPr="002B55E9">
              <w:rPr>
                <w:rFonts w:eastAsia="宋体"/>
              </w:rPr>
              <w:t>生活</w:t>
            </w:r>
          </w:p>
        </w:tc>
        <w:tc>
          <w:tcPr>
            <w:tcW w:w="1714" w:type="dxa"/>
          </w:tcPr>
          <w:p w14:paraId="6F4E1AEC" w14:textId="77777777" w:rsidR="005879A8" w:rsidRPr="002B55E9" w:rsidRDefault="005879A8" w:rsidP="002C311D">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、氨氮、悬浮物、总磷、总氮、动植物油等</w:t>
            </w:r>
          </w:p>
        </w:tc>
        <w:tc>
          <w:tcPr>
            <w:tcW w:w="3117" w:type="dxa"/>
            <w:vMerge/>
          </w:tcPr>
          <w:p w14:paraId="226BC693" w14:textId="77777777" w:rsidR="005879A8" w:rsidRPr="002B55E9" w:rsidRDefault="005879A8" w:rsidP="002C311D">
            <w:pPr>
              <w:pStyle w:val="lgy-"/>
              <w:rPr>
                <w:rFonts w:eastAsia="宋体"/>
              </w:rPr>
            </w:pPr>
          </w:p>
        </w:tc>
      </w:tr>
      <w:tr w:rsidR="002B55E9" w:rsidRPr="002B55E9" w14:paraId="1D1F06DA" w14:textId="77777777" w:rsidTr="002C311D">
        <w:trPr>
          <w:trHeight w:val="283"/>
        </w:trPr>
        <w:tc>
          <w:tcPr>
            <w:tcW w:w="959" w:type="dxa"/>
            <w:vMerge/>
          </w:tcPr>
          <w:p w14:paraId="70B30BB8" w14:textId="77777777" w:rsidR="005879A8" w:rsidRPr="002B55E9" w:rsidRDefault="005879A8" w:rsidP="002C311D">
            <w:pPr>
              <w:pStyle w:val="lgy-"/>
              <w:rPr>
                <w:rFonts w:eastAsia="宋体"/>
              </w:rPr>
            </w:pPr>
          </w:p>
        </w:tc>
        <w:tc>
          <w:tcPr>
            <w:tcW w:w="885" w:type="dxa"/>
          </w:tcPr>
          <w:p w14:paraId="1FD575BA" w14:textId="77777777" w:rsidR="005879A8" w:rsidRPr="002B55E9" w:rsidRDefault="005879A8" w:rsidP="002C311D">
            <w:pPr>
              <w:pStyle w:val="lgy-"/>
              <w:rPr>
                <w:rFonts w:eastAsia="宋体"/>
              </w:rPr>
            </w:pPr>
            <w:r w:rsidRPr="002B55E9">
              <w:rPr>
                <w:rFonts w:eastAsia="宋体" w:hint="eastAsia"/>
              </w:rPr>
              <w:t>W1</w:t>
            </w:r>
            <w:r w:rsidRPr="002B55E9">
              <w:rPr>
                <w:rFonts w:eastAsia="宋体"/>
              </w:rPr>
              <w:t>0</w:t>
            </w:r>
          </w:p>
        </w:tc>
        <w:tc>
          <w:tcPr>
            <w:tcW w:w="1558" w:type="dxa"/>
          </w:tcPr>
          <w:p w14:paraId="5B1218FD" w14:textId="77777777" w:rsidR="005879A8" w:rsidRPr="002B55E9" w:rsidRDefault="005879A8" w:rsidP="002C311D">
            <w:pPr>
              <w:pStyle w:val="lgy-"/>
              <w:rPr>
                <w:rFonts w:eastAsia="宋体"/>
              </w:rPr>
            </w:pPr>
            <w:r w:rsidRPr="002B55E9">
              <w:rPr>
                <w:rFonts w:eastAsia="宋体" w:hint="eastAsia"/>
              </w:rPr>
              <w:t>蒸汽</w:t>
            </w:r>
            <w:r w:rsidRPr="002B55E9">
              <w:rPr>
                <w:rFonts w:eastAsia="宋体"/>
              </w:rPr>
              <w:t>冷凝水</w:t>
            </w:r>
          </w:p>
        </w:tc>
        <w:tc>
          <w:tcPr>
            <w:tcW w:w="1405" w:type="dxa"/>
          </w:tcPr>
          <w:p w14:paraId="6055997E" w14:textId="77777777" w:rsidR="005879A8" w:rsidRPr="002B55E9" w:rsidRDefault="005879A8" w:rsidP="002C311D">
            <w:pPr>
              <w:pStyle w:val="lgy-"/>
              <w:rPr>
                <w:rFonts w:eastAsia="宋体"/>
              </w:rPr>
            </w:pPr>
            <w:r w:rsidRPr="002B55E9">
              <w:rPr>
                <w:rFonts w:eastAsia="宋体" w:hint="eastAsia"/>
              </w:rPr>
              <w:t>蒸汽</w:t>
            </w:r>
            <w:r w:rsidRPr="002B55E9">
              <w:rPr>
                <w:rFonts w:eastAsia="宋体"/>
              </w:rPr>
              <w:t>使用</w:t>
            </w:r>
          </w:p>
        </w:tc>
        <w:tc>
          <w:tcPr>
            <w:tcW w:w="1714" w:type="dxa"/>
          </w:tcPr>
          <w:p w14:paraId="4EEE7314" w14:textId="77777777" w:rsidR="005879A8" w:rsidRPr="002B55E9" w:rsidRDefault="005879A8" w:rsidP="002C311D">
            <w:pPr>
              <w:pStyle w:val="lgy-"/>
              <w:rPr>
                <w:rFonts w:eastAsia="宋体"/>
              </w:rPr>
            </w:pPr>
            <w:r w:rsidRPr="002B55E9">
              <w:rPr>
                <w:rFonts w:eastAsia="宋体" w:hint="eastAsia"/>
              </w:rPr>
              <w:t>pH</w:t>
            </w:r>
            <w:r w:rsidRPr="002B55E9">
              <w:rPr>
                <w:rFonts w:eastAsia="宋体" w:hint="eastAsia"/>
              </w:rPr>
              <w:t>、</w:t>
            </w:r>
            <w:r w:rsidRPr="002B55E9">
              <w:rPr>
                <w:rFonts w:eastAsia="宋体" w:hint="eastAsia"/>
              </w:rPr>
              <w:t>C</w:t>
            </w:r>
            <w:r w:rsidRPr="002B55E9">
              <w:rPr>
                <w:rFonts w:eastAsia="宋体"/>
              </w:rPr>
              <w:t>OD</w:t>
            </w:r>
            <w:r w:rsidRPr="002B55E9">
              <w:rPr>
                <w:rFonts w:eastAsia="宋体" w:hint="eastAsia"/>
              </w:rPr>
              <w:t>、</w:t>
            </w:r>
            <w:r w:rsidRPr="002B55E9">
              <w:rPr>
                <w:rFonts w:eastAsia="宋体" w:hint="eastAsia"/>
              </w:rPr>
              <w:t>B</w:t>
            </w:r>
            <w:r w:rsidRPr="002B55E9">
              <w:rPr>
                <w:rFonts w:eastAsia="宋体"/>
              </w:rPr>
              <w:t>OD</w:t>
            </w:r>
            <w:r w:rsidRPr="002B55E9">
              <w:rPr>
                <w:rFonts w:eastAsia="宋体"/>
                <w:vertAlign w:val="subscript"/>
              </w:rPr>
              <w:t>5</w:t>
            </w:r>
            <w:r w:rsidRPr="002B55E9">
              <w:rPr>
                <w:rFonts w:eastAsia="宋体" w:hint="eastAsia"/>
              </w:rPr>
              <w:t>、氨氮、总氮</w:t>
            </w:r>
            <w:r w:rsidRPr="002B55E9">
              <w:rPr>
                <w:rFonts w:eastAsia="宋体"/>
              </w:rPr>
              <w:t>、</w:t>
            </w:r>
            <w:r w:rsidRPr="002B55E9">
              <w:rPr>
                <w:rFonts w:eastAsia="宋体" w:hint="eastAsia"/>
              </w:rPr>
              <w:t>悬浮物</w:t>
            </w:r>
          </w:p>
        </w:tc>
        <w:tc>
          <w:tcPr>
            <w:tcW w:w="3117" w:type="dxa"/>
          </w:tcPr>
          <w:p w14:paraId="2CC1AD38" w14:textId="77777777" w:rsidR="005879A8" w:rsidRPr="002B55E9" w:rsidRDefault="005879A8" w:rsidP="002C311D">
            <w:pPr>
              <w:pStyle w:val="lgy-"/>
              <w:rPr>
                <w:rFonts w:eastAsia="宋体"/>
              </w:rPr>
            </w:pPr>
            <w:r w:rsidRPr="002B55E9">
              <w:rPr>
                <w:rFonts w:eastAsia="宋体" w:hint="eastAsia"/>
              </w:rPr>
              <w:t>经单独管网收集、部分回用后接入佛山市海天（武汉）调味品有限公司</w:t>
            </w:r>
            <w:r w:rsidRPr="002B55E9">
              <w:rPr>
                <w:rFonts w:eastAsia="宋体"/>
              </w:rPr>
              <w:t>总排口</w:t>
            </w:r>
            <w:r w:rsidRPr="002B55E9">
              <w:rPr>
                <w:rFonts w:eastAsia="宋体" w:hint="eastAsia"/>
              </w:rPr>
              <w:t>排放</w:t>
            </w:r>
            <w:r w:rsidRPr="002B55E9">
              <w:rPr>
                <w:rFonts w:eastAsia="宋体"/>
              </w:rPr>
              <w:t>，最终进入东西湖污水处理厂</w:t>
            </w:r>
            <w:r w:rsidRPr="002B55E9">
              <w:rPr>
                <w:rFonts w:eastAsia="宋体" w:hint="eastAsia"/>
              </w:rPr>
              <w:t>处理后</w:t>
            </w:r>
            <w:r w:rsidRPr="002B55E9">
              <w:rPr>
                <w:rFonts w:eastAsia="宋体"/>
              </w:rPr>
              <w:t>排入府河</w:t>
            </w:r>
          </w:p>
        </w:tc>
      </w:tr>
      <w:tr w:rsidR="002B55E9" w:rsidRPr="002B55E9" w14:paraId="0F63F46F" w14:textId="77777777" w:rsidTr="002C311D">
        <w:trPr>
          <w:trHeight w:val="283"/>
        </w:trPr>
        <w:tc>
          <w:tcPr>
            <w:tcW w:w="959" w:type="dxa"/>
            <w:vMerge w:val="restart"/>
          </w:tcPr>
          <w:p w14:paraId="4A5693F0" w14:textId="071A2F6D" w:rsidR="002C311D" w:rsidRPr="002B55E9" w:rsidRDefault="002C311D" w:rsidP="002C311D">
            <w:pPr>
              <w:pStyle w:val="lgy-"/>
              <w:rPr>
                <w:rFonts w:eastAsia="宋体"/>
              </w:rPr>
            </w:pPr>
            <w:r w:rsidRPr="002B55E9">
              <w:rPr>
                <w:rFonts w:eastAsia="宋体" w:hint="eastAsia"/>
              </w:rPr>
              <w:t>固体废物</w:t>
            </w:r>
          </w:p>
        </w:tc>
        <w:tc>
          <w:tcPr>
            <w:tcW w:w="885" w:type="dxa"/>
          </w:tcPr>
          <w:p w14:paraId="7676479C" w14:textId="77777777" w:rsidR="002C311D" w:rsidRPr="002B55E9" w:rsidRDefault="002C311D" w:rsidP="002C311D">
            <w:pPr>
              <w:pStyle w:val="lgy-"/>
              <w:rPr>
                <w:rFonts w:eastAsia="宋体"/>
              </w:rPr>
            </w:pPr>
            <w:r w:rsidRPr="002B55E9">
              <w:rPr>
                <w:rFonts w:eastAsia="宋体" w:hint="eastAsia"/>
              </w:rPr>
              <w:t>S1-1</w:t>
            </w:r>
          </w:p>
        </w:tc>
        <w:tc>
          <w:tcPr>
            <w:tcW w:w="1558" w:type="dxa"/>
          </w:tcPr>
          <w:p w14:paraId="32A61B51"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2972BEC8" w14:textId="77777777" w:rsidR="002C311D" w:rsidRPr="002B55E9" w:rsidRDefault="002C311D" w:rsidP="002C311D">
            <w:pPr>
              <w:pStyle w:val="lgy-"/>
              <w:rPr>
                <w:rFonts w:eastAsia="宋体"/>
              </w:rPr>
            </w:pPr>
            <w:r w:rsidRPr="002B55E9">
              <w:rPr>
                <w:rFonts w:eastAsia="宋体" w:hint="eastAsia"/>
              </w:rPr>
              <w:t>过滤</w:t>
            </w:r>
          </w:p>
        </w:tc>
        <w:tc>
          <w:tcPr>
            <w:tcW w:w="1714" w:type="dxa"/>
          </w:tcPr>
          <w:p w14:paraId="320DB5A8" w14:textId="77777777" w:rsidR="002C311D" w:rsidRPr="002B55E9" w:rsidRDefault="002C311D" w:rsidP="002C311D">
            <w:pPr>
              <w:pStyle w:val="lgy-"/>
              <w:rPr>
                <w:rFonts w:eastAsia="宋体"/>
              </w:rPr>
            </w:pPr>
            <w:r w:rsidRPr="002B55E9">
              <w:rPr>
                <w:rFonts w:eastAsia="宋体" w:hint="eastAsia"/>
              </w:rPr>
              <w:t>香辛料残渣</w:t>
            </w:r>
          </w:p>
        </w:tc>
        <w:tc>
          <w:tcPr>
            <w:tcW w:w="3117" w:type="dxa"/>
          </w:tcPr>
          <w:p w14:paraId="52FEADF2" w14:textId="77777777" w:rsidR="002C311D" w:rsidRPr="002B55E9" w:rsidRDefault="002C311D" w:rsidP="002C311D">
            <w:pPr>
              <w:pStyle w:val="lgy-"/>
              <w:rPr>
                <w:rFonts w:eastAsia="宋体"/>
              </w:rPr>
            </w:pPr>
            <w:r w:rsidRPr="002B55E9">
              <w:rPr>
                <w:rFonts w:eastAsia="宋体" w:hint="eastAsia"/>
              </w:rPr>
              <w:t>有机肥生产企业回收利用</w:t>
            </w:r>
          </w:p>
        </w:tc>
      </w:tr>
      <w:tr w:rsidR="002B55E9" w:rsidRPr="002B55E9" w14:paraId="28E5E992" w14:textId="77777777" w:rsidTr="002C311D">
        <w:trPr>
          <w:trHeight w:val="283"/>
        </w:trPr>
        <w:tc>
          <w:tcPr>
            <w:tcW w:w="959" w:type="dxa"/>
            <w:vMerge/>
          </w:tcPr>
          <w:p w14:paraId="08A4FFCC" w14:textId="77777777" w:rsidR="002C311D" w:rsidRPr="002B55E9" w:rsidRDefault="002C311D" w:rsidP="002C311D">
            <w:pPr>
              <w:pStyle w:val="lgy-"/>
              <w:rPr>
                <w:rFonts w:eastAsia="宋体"/>
              </w:rPr>
            </w:pPr>
          </w:p>
        </w:tc>
        <w:tc>
          <w:tcPr>
            <w:tcW w:w="885" w:type="dxa"/>
          </w:tcPr>
          <w:p w14:paraId="3CF5F4CD"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1-2</w:t>
            </w:r>
          </w:p>
        </w:tc>
        <w:tc>
          <w:tcPr>
            <w:tcW w:w="1558" w:type="dxa"/>
          </w:tcPr>
          <w:p w14:paraId="42BD1F16"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6C5E54D3" w14:textId="77777777" w:rsidR="002C311D" w:rsidRPr="002B55E9" w:rsidRDefault="002C311D" w:rsidP="002C311D">
            <w:pPr>
              <w:pStyle w:val="lgy-"/>
              <w:rPr>
                <w:rFonts w:eastAsia="宋体"/>
              </w:rPr>
            </w:pPr>
            <w:r w:rsidRPr="002B55E9">
              <w:rPr>
                <w:rFonts w:eastAsia="宋体" w:hint="eastAsia"/>
              </w:rPr>
              <w:t>成品过滤</w:t>
            </w:r>
          </w:p>
        </w:tc>
        <w:tc>
          <w:tcPr>
            <w:tcW w:w="1714" w:type="dxa"/>
          </w:tcPr>
          <w:p w14:paraId="79E90794" w14:textId="77777777" w:rsidR="002C311D" w:rsidRPr="002B55E9" w:rsidRDefault="002C311D" w:rsidP="002C311D">
            <w:pPr>
              <w:pStyle w:val="lgy-"/>
              <w:rPr>
                <w:rFonts w:eastAsia="宋体"/>
              </w:rPr>
            </w:pPr>
            <w:r w:rsidRPr="002B55E9">
              <w:rPr>
                <w:rFonts w:eastAsia="宋体" w:hint="eastAsia"/>
              </w:rPr>
              <w:t>不溶物及密封圈等</w:t>
            </w:r>
          </w:p>
        </w:tc>
        <w:tc>
          <w:tcPr>
            <w:tcW w:w="3117" w:type="dxa"/>
            <w:vMerge w:val="restart"/>
          </w:tcPr>
          <w:p w14:paraId="7BD4AC60" w14:textId="77777777" w:rsidR="002C311D" w:rsidRPr="002B55E9" w:rsidRDefault="002C311D" w:rsidP="002C311D">
            <w:pPr>
              <w:pStyle w:val="lgy-"/>
              <w:rPr>
                <w:rFonts w:eastAsia="宋体"/>
              </w:rPr>
            </w:pPr>
            <w:r w:rsidRPr="002B55E9">
              <w:rPr>
                <w:rFonts w:eastAsia="宋体" w:hint="eastAsia"/>
              </w:rPr>
              <w:t>物资回收公司综合利用</w:t>
            </w:r>
          </w:p>
        </w:tc>
      </w:tr>
      <w:tr w:rsidR="002B55E9" w:rsidRPr="002B55E9" w14:paraId="6A4CD74E" w14:textId="77777777" w:rsidTr="002C311D">
        <w:trPr>
          <w:trHeight w:val="283"/>
        </w:trPr>
        <w:tc>
          <w:tcPr>
            <w:tcW w:w="959" w:type="dxa"/>
            <w:vMerge/>
          </w:tcPr>
          <w:p w14:paraId="173E41E9" w14:textId="77777777" w:rsidR="002C311D" w:rsidRPr="002B55E9" w:rsidRDefault="002C311D" w:rsidP="002C311D">
            <w:pPr>
              <w:pStyle w:val="lgy-"/>
              <w:rPr>
                <w:rFonts w:eastAsia="宋体"/>
              </w:rPr>
            </w:pPr>
          </w:p>
        </w:tc>
        <w:tc>
          <w:tcPr>
            <w:tcW w:w="885" w:type="dxa"/>
          </w:tcPr>
          <w:p w14:paraId="4A734024"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1-3</w:t>
            </w:r>
          </w:p>
        </w:tc>
        <w:tc>
          <w:tcPr>
            <w:tcW w:w="1558" w:type="dxa"/>
          </w:tcPr>
          <w:p w14:paraId="42707D45" w14:textId="77777777" w:rsidR="002C311D" w:rsidRPr="002B55E9" w:rsidRDefault="002C311D" w:rsidP="002C311D">
            <w:pPr>
              <w:pStyle w:val="lgy-"/>
              <w:rPr>
                <w:rFonts w:eastAsia="宋体"/>
              </w:rPr>
            </w:pPr>
            <w:r w:rsidRPr="002B55E9">
              <w:rPr>
                <w:rFonts w:eastAsia="宋体" w:hint="eastAsia"/>
              </w:rPr>
              <w:t>废包装瓶</w:t>
            </w:r>
          </w:p>
        </w:tc>
        <w:tc>
          <w:tcPr>
            <w:tcW w:w="1405" w:type="dxa"/>
          </w:tcPr>
          <w:p w14:paraId="708291E3" w14:textId="77777777" w:rsidR="002C311D" w:rsidRPr="002B55E9" w:rsidRDefault="002C311D" w:rsidP="002C311D">
            <w:pPr>
              <w:pStyle w:val="lgy-"/>
              <w:rPr>
                <w:rFonts w:eastAsia="宋体"/>
              </w:rPr>
            </w:pPr>
            <w:r w:rsidRPr="002B55E9">
              <w:rPr>
                <w:rFonts w:eastAsia="宋体" w:hint="eastAsia"/>
              </w:rPr>
              <w:t>洗瓶</w:t>
            </w:r>
          </w:p>
        </w:tc>
        <w:tc>
          <w:tcPr>
            <w:tcW w:w="1714" w:type="dxa"/>
          </w:tcPr>
          <w:p w14:paraId="5C2398CA" w14:textId="77777777" w:rsidR="002C311D" w:rsidRPr="002B55E9" w:rsidRDefault="002C311D" w:rsidP="002C311D">
            <w:pPr>
              <w:pStyle w:val="lgy-"/>
              <w:rPr>
                <w:rFonts w:eastAsia="宋体"/>
              </w:rPr>
            </w:pPr>
            <w:r w:rsidRPr="002B55E9">
              <w:rPr>
                <w:rFonts w:eastAsia="宋体" w:hint="eastAsia"/>
              </w:rPr>
              <w:t>废瓶、碎瓶等</w:t>
            </w:r>
          </w:p>
        </w:tc>
        <w:tc>
          <w:tcPr>
            <w:tcW w:w="3117" w:type="dxa"/>
            <w:vMerge/>
          </w:tcPr>
          <w:p w14:paraId="5CA969CD" w14:textId="77777777" w:rsidR="002C311D" w:rsidRPr="002B55E9" w:rsidRDefault="002C311D" w:rsidP="002C311D">
            <w:pPr>
              <w:pStyle w:val="lgy-"/>
              <w:rPr>
                <w:rFonts w:eastAsia="宋体"/>
              </w:rPr>
            </w:pPr>
          </w:p>
        </w:tc>
      </w:tr>
      <w:tr w:rsidR="002B55E9" w:rsidRPr="002B55E9" w14:paraId="69F25522" w14:textId="77777777" w:rsidTr="002C311D">
        <w:trPr>
          <w:trHeight w:val="283"/>
        </w:trPr>
        <w:tc>
          <w:tcPr>
            <w:tcW w:w="959" w:type="dxa"/>
            <w:vMerge/>
          </w:tcPr>
          <w:p w14:paraId="20ECB284" w14:textId="77777777" w:rsidR="002C311D" w:rsidRPr="002B55E9" w:rsidRDefault="002C311D" w:rsidP="002C311D">
            <w:pPr>
              <w:pStyle w:val="lgy-"/>
              <w:rPr>
                <w:rFonts w:eastAsia="宋体"/>
              </w:rPr>
            </w:pPr>
          </w:p>
        </w:tc>
        <w:tc>
          <w:tcPr>
            <w:tcW w:w="885" w:type="dxa"/>
          </w:tcPr>
          <w:p w14:paraId="33892A00"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1-4</w:t>
            </w:r>
          </w:p>
        </w:tc>
        <w:tc>
          <w:tcPr>
            <w:tcW w:w="1558" w:type="dxa"/>
          </w:tcPr>
          <w:p w14:paraId="301D16BF"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1405" w:type="dxa"/>
          </w:tcPr>
          <w:p w14:paraId="66FE6192" w14:textId="77777777" w:rsidR="002C311D" w:rsidRPr="002B55E9" w:rsidRDefault="002C311D" w:rsidP="002C311D">
            <w:pPr>
              <w:pStyle w:val="lgy-"/>
              <w:rPr>
                <w:rFonts w:eastAsia="宋体"/>
              </w:rPr>
            </w:pPr>
            <w:r w:rsidRPr="002B55E9">
              <w:rPr>
                <w:rFonts w:eastAsia="宋体" w:hint="eastAsia"/>
              </w:rPr>
              <w:t>包装</w:t>
            </w:r>
          </w:p>
        </w:tc>
        <w:tc>
          <w:tcPr>
            <w:tcW w:w="1714" w:type="dxa"/>
          </w:tcPr>
          <w:p w14:paraId="47F2031E"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3117" w:type="dxa"/>
          </w:tcPr>
          <w:p w14:paraId="2A6E7103" w14:textId="77777777" w:rsidR="002C311D" w:rsidRPr="002B55E9" w:rsidRDefault="002C311D" w:rsidP="002C311D">
            <w:pPr>
              <w:pStyle w:val="lgy-"/>
              <w:rPr>
                <w:rFonts w:eastAsia="宋体"/>
              </w:rPr>
            </w:pPr>
            <w:r w:rsidRPr="002B55E9">
              <w:rPr>
                <w:rFonts w:eastAsia="宋体" w:hint="eastAsia"/>
              </w:rPr>
              <w:t>废胶桶、废油墨桶、废墨盒等属于危险废物，交由有资质单位清运处理，其他为一般固体废物，交由物资回收公司回收利用</w:t>
            </w:r>
          </w:p>
        </w:tc>
      </w:tr>
      <w:tr w:rsidR="002B55E9" w:rsidRPr="002B55E9" w14:paraId="25AC8498" w14:textId="77777777" w:rsidTr="002C311D">
        <w:trPr>
          <w:trHeight w:val="283"/>
        </w:trPr>
        <w:tc>
          <w:tcPr>
            <w:tcW w:w="959" w:type="dxa"/>
            <w:vMerge/>
          </w:tcPr>
          <w:p w14:paraId="10B8D96A" w14:textId="77777777" w:rsidR="002C311D" w:rsidRPr="002B55E9" w:rsidRDefault="002C311D" w:rsidP="002C311D">
            <w:pPr>
              <w:pStyle w:val="lgy-"/>
              <w:rPr>
                <w:rFonts w:eastAsia="宋体"/>
              </w:rPr>
            </w:pPr>
          </w:p>
        </w:tc>
        <w:tc>
          <w:tcPr>
            <w:tcW w:w="885" w:type="dxa"/>
          </w:tcPr>
          <w:p w14:paraId="1E7965BE"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2</w:t>
            </w:r>
            <w:r w:rsidRPr="002B55E9">
              <w:rPr>
                <w:rFonts w:eastAsia="宋体" w:hint="eastAsia"/>
              </w:rPr>
              <w:t>-1</w:t>
            </w:r>
          </w:p>
        </w:tc>
        <w:tc>
          <w:tcPr>
            <w:tcW w:w="1558" w:type="dxa"/>
          </w:tcPr>
          <w:p w14:paraId="3240E046"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7DE8A462" w14:textId="77777777" w:rsidR="002C311D" w:rsidRPr="002B55E9" w:rsidRDefault="002C311D" w:rsidP="002C311D">
            <w:pPr>
              <w:pStyle w:val="lgy-"/>
              <w:rPr>
                <w:rFonts w:eastAsia="宋体"/>
              </w:rPr>
            </w:pPr>
            <w:r w:rsidRPr="002B55E9">
              <w:rPr>
                <w:rFonts w:eastAsia="宋体" w:hint="eastAsia"/>
              </w:rPr>
              <w:t>过滤</w:t>
            </w:r>
          </w:p>
        </w:tc>
        <w:tc>
          <w:tcPr>
            <w:tcW w:w="1714" w:type="dxa"/>
          </w:tcPr>
          <w:p w14:paraId="60F74454" w14:textId="77777777" w:rsidR="002C311D" w:rsidRPr="002B55E9" w:rsidRDefault="002C311D" w:rsidP="002C311D">
            <w:pPr>
              <w:pStyle w:val="lgy-"/>
              <w:rPr>
                <w:rFonts w:eastAsia="宋体"/>
              </w:rPr>
            </w:pPr>
            <w:r w:rsidRPr="002B55E9">
              <w:rPr>
                <w:rFonts w:eastAsia="宋体" w:hint="eastAsia"/>
              </w:rPr>
              <w:t>醋坯残渣</w:t>
            </w:r>
          </w:p>
        </w:tc>
        <w:tc>
          <w:tcPr>
            <w:tcW w:w="3117" w:type="dxa"/>
          </w:tcPr>
          <w:p w14:paraId="090526C2" w14:textId="77777777" w:rsidR="002C311D" w:rsidRPr="002B55E9" w:rsidRDefault="002C311D" w:rsidP="002C311D">
            <w:pPr>
              <w:pStyle w:val="lgy-"/>
              <w:rPr>
                <w:rFonts w:eastAsia="宋体"/>
              </w:rPr>
            </w:pPr>
            <w:r w:rsidRPr="002B55E9">
              <w:rPr>
                <w:rFonts w:eastAsia="宋体" w:hint="eastAsia"/>
              </w:rPr>
              <w:t>有机肥生产企业回收利用</w:t>
            </w:r>
          </w:p>
        </w:tc>
      </w:tr>
      <w:tr w:rsidR="002B55E9" w:rsidRPr="002B55E9" w14:paraId="25332330" w14:textId="77777777" w:rsidTr="002C311D">
        <w:trPr>
          <w:trHeight w:val="283"/>
        </w:trPr>
        <w:tc>
          <w:tcPr>
            <w:tcW w:w="959" w:type="dxa"/>
            <w:vMerge/>
          </w:tcPr>
          <w:p w14:paraId="666783D2" w14:textId="77777777" w:rsidR="002C311D" w:rsidRPr="002B55E9" w:rsidRDefault="002C311D" w:rsidP="002C311D">
            <w:pPr>
              <w:pStyle w:val="lgy-"/>
              <w:rPr>
                <w:rFonts w:eastAsia="宋体"/>
              </w:rPr>
            </w:pPr>
          </w:p>
        </w:tc>
        <w:tc>
          <w:tcPr>
            <w:tcW w:w="885" w:type="dxa"/>
          </w:tcPr>
          <w:p w14:paraId="2C390FDE"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2-2</w:t>
            </w:r>
          </w:p>
        </w:tc>
        <w:tc>
          <w:tcPr>
            <w:tcW w:w="1558" w:type="dxa"/>
          </w:tcPr>
          <w:p w14:paraId="242285CD"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5B73CE41" w14:textId="453B7D7D" w:rsidR="002C311D" w:rsidRPr="002B55E9" w:rsidRDefault="002C311D" w:rsidP="002C311D">
            <w:pPr>
              <w:pStyle w:val="lgy-"/>
              <w:rPr>
                <w:rFonts w:eastAsia="宋体"/>
              </w:rPr>
            </w:pPr>
            <w:r w:rsidRPr="002B55E9">
              <w:rPr>
                <w:rFonts w:eastAsia="宋体" w:hint="eastAsia"/>
              </w:rPr>
              <w:t>成品过滤</w:t>
            </w:r>
          </w:p>
        </w:tc>
        <w:tc>
          <w:tcPr>
            <w:tcW w:w="1714" w:type="dxa"/>
          </w:tcPr>
          <w:p w14:paraId="04BC8A14" w14:textId="77777777" w:rsidR="002C311D" w:rsidRPr="002B55E9" w:rsidRDefault="002C311D" w:rsidP="002C311D">
            <w:pPr>
              <w:pStyle w:val="lgy-"/>
              <w:rPr>
                <w:rFonts w:eastAsia="宋体"/>
              </w:rPr>
            </w:pPr>
            <w:r w:rsidRPr="002B55E9">
              <w:rPr>
                <w:rFonts w:eastAsia="宋体" w:hint="eastAsia"/>
              </w:rPr>
              <w:t>不溶物及密封圈等</w:t>
            </w:r>
          </w:p>
        </w:tc>
        <w:tc>
          <w:tcPr>
            <w:tcW w:w="3117" w:type="dxa"/>
            <w:vMerge w:val="restart"/>
          </w:tcPr>
          <w:p w14:paraId="5009DB69" w14:textId="77777777" w:rsidR="002C311D" w:rsidRPr="002B55E9" w:rsidRDefault="002C311D" w:rsidP="002C311D">
            <w:pPr>
              <w:pStyle w:val="lgy-"/>
              <w:rPr>
                <w:rFonts w:eastAsia="宋体"/>
              </w:rPr>
            </w:pPr>
            <w:r w:rsidRPr="002B55E9">
              <w:rPr>
                <w:rFonts w:eastAsia="宋体" w:hint="eastAsia"/>
              </w:rPr>
              <w:t>物资回收公司综合利用</w:t>
            </w:r>
          </w:p>
        </w:tc>
      </w:tr>
      <w:tr w:rsidR="002B55E9" w:rsidRPr="002B55E9" w14:paraId="01CD0013" w14:textId="77777777" w:rsidTr="002C311D">
        <w:trPr>
          <w:trHeight w:val="283"/>
        </w:trPr>
        <w:tc>
          <w:tcPr>
            <w:tcW w:w="959" w:type="dxa"/>
            <w:vMerge/>
          </w:tcPr>
          <w:p w14:paraId="35D9AC53" w14:textId="77777777" w:rsidR="002C311D" w:rsidRPr="002B55E9" w:rsidRDefault="002C311D" w:rsidP="002C311D">
            <w:pPr>
              <w:pStyle w:val="lgy-"/>
              <w:rPr>
                <w:rFonts w:eastAsia="宋体"/>
              </w:rPr>
            </w:pPr>
          </w:p>
        </w:tc>
        <w:tc>
          <w:tcPr>
            <w:tcW w:w="885" w:type="dxa"/>
          </w:tcPr>
          <w:p w14:paraId="7AB4B55B"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2-3</w:t>
            </w:r>
          </w:p>
        </w:tc>
        <w:tc>
          <w:tcPr>
            <w:tcW w:w="1558" w:type="dxa"/>
          </w:tcPr>
          <w:p w14:paraId="019E4FA9" w14:textId="77777777" w:rsidR="002C311D" w:rsidRPr="002B55E9" w:rsidRDefault="002C311D" w:rsidP="002C311D">
            <w:pPr>
              <w:pStyle w:val="lgy-"/>
              <w:rPr>
                <w:rFonts w:eastAsia="宋体"/>
              </w:rPr>
            </w:pPr>
            <w:r w:rsidRPr="002B55E9">
              <w:rPr>
                <w:rFonts w:eastAsia="宋体" w:hint="eastAsia"/>
              </w:rPr>
              <w:t>废包装瓶</w:t>
            </w:r>
          </w:p>
        </w:tc>
        <w:tc>
          <w:tcPr>
            <w:tcW w:w="1405" w:type="dxa"/>
          </w:tcPr>
          <w:p w14:paraId="3162B394" w14:textId="77777777" w:rsidR="002C311D" w:rsidRPr="002B55E9" w:rsidRDefault="002C311D" w:rsidP="002C311D">
            <w:pPr>
              <w:pStyle w:val="lgy-"/>
              <w:rPr>
                <w:rFonts w:eastAsia="宋体"/>
              </w:rPr>
            </w:pPr>
            <w:r w:rsidRPr="002B55E9">
              <w:rPr>
                <w:rFonts w:eastAsia="宋体" w:hint="eastAsia"/>
              </w:rPr>
              <w:t>洗瓶</w:t>
            </w:r>
          </w:p>
        </w:tc>
        <w:tc>
          <w:tcPr>
            <w:tcW w:w="1714" w:type="dxa"/>
          </w:tcPr>
          <w:p w14:paraId="328FFC8D" w14:textId="77777777" w:rsidR="002C311D" w:rsidRPr="002B55E9" w:rsidRDefault="002C311D" w:rsidP="002C311D">
            <w:pPr>
              <w:pStyle w:val="lgy-"/>
              <w:rPr>
                <w:rFonts w:eastAsia="宋体"/>
              </w:rPr>
            </w:pPr>
            <w:r w:rsidRPr="002B55E9">
              <w:rPr>
                <w:rFonts w:eastAsia="宋体" w:hint="eastAsia"/>
              </w:rPr>
              <w:t>废瓶、碎瓶等</w:t>
            </w:r>
          </w:p>
        </w:tc>
        <w:tc>
          <w:tcPr>
            <w:tcW w:w="3117" w:type="dxa"/>
            <w:vMerge/>
          </w:tcPr>
          <w:p w14:paraId="58D86CA6" w14:textId="77777777" w:rsidR="002C311D" w:rsidRPr="002B55E9" w:rsidRDefault="002C311D" w:rsidP="002C311D">
            <w:pPr>
              <w:pStyle w:val="lgy-"/>
              <w:rPr>
                <w:rFonts w:eastAsia="宋体"/>
              </w:rPr>
            </w:pPr>
          </w:p>
        </w:tc>
      </w:tr>
      <w:tr w:rsidR="002B55E9" w:rsidRPr="002B55E9" w14:paraId="0E2AB01C" w14:textId="77777777" w:rsidTr="002C311D">
        <w:trPr>
          <w:trHeight w:val="283"/>
        </w:trPr>
        <w:tc>
          <w:tcPr>
            <w:tcW w:w="959" w:type="dxa"/>
            <w:vMerge/>
          </w:tcPr>
          <w:p w14:paraId="308899F1" w14:textId="77777777" w:rsidR="002C311D" w:rsidRPr="002B55E9" w:rsidRDefault="002C311D" w:rsidP="002C311D">
            <w:pPr>
              <w:pStyle w:val="lgy-"/>
              <w:rPr>
                <w:rFonts w:eastAsia="宋体"/>
              </w:rPr>
            </w:pPr>
          </w:p>
        </w:tc>
        <w:tc>
          <w:tcPr>
            <w:tcW w:w="885" w:type="dxa"/>
          </w:tcPr>
          <w:p w14:paraId="03867F82"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2-4</w:t>
            </w:r>
          </w:p>
        </w:tc>
        <w:tc>
          <w:tcPr>
            <w:tcW w:w="1558" w:type="dxa"/>
          </w:tcPr>
          <w:p w14:paraId="59D6573F"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1405" w:type="dxa"/>
          </w:tcPr>
          <w:p w14:paraId="0EDDEE7F" w14:textId="77777777" w:rsidR="002C311D" w:rsidRPr="002B55E9" w:rsidRDefault="002C311D" w:rsidP="002C311D">
            <w:pPr>
              <w:pStyle w:val="lgy-"/>
              <w:rPr>
                <w:rFonts w:eastAsia="宋体"/>
              </w:rPr>
            </w:pPr>
            <w:r w:rsidRPr="002B55E9">
              <w:rPr>
                <w:rFonts w:eastAsia="宋体" w:hint="eastAsia"/>
              </w:rPr>
              <w:t>包装</w:t>
            </w:r>
          </w:p>
        </w:tc>
        <w:tc>
          <w:tcPr>
            <w:tcW w:w="1714" w:type="dxa"/>
          </w:tcPr>
          <w:p w14:paraId="7313331C"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3117" w:type="dxa"/>
          </w:tcPr>
          <w:p w14:paraId="429CA31F" w14:textId="77777777" w:rsidR="002C311D" w:rsidRPr="002B55E9" w:rsidRDefault="002C311D" w:rsidP="002C311D">
            <w:pPr>
              <w:pStyle w:val="lgy-"/>
              <w:rPr>
                <w:rFonts w:eastAsia="宋体"/>
              </w:rPr>
            </w:pPr>
            <w:r w:rsidRPr="002B55E9">
              <w:rPr>
                <w:rFonts w:eastAsia="宋体" w:hint="eastAsia"/>
              </w:rPr>
              <w:t>废胶桶、废油墨桶、废墨盒等危险废物交由有资质单位清运处理，其他一般固体废物交由物资回收公司回收利用</w:t>
            </w:r>
          </w:p>
        </w:tc>
      </w:tr>
      <w:tr w:rsidR="002B55E9" w:rsidRPr="002B55E9" w14:paraId="73BD19B0" w14:textId="77777777" w:rsidTr="002C311D">
        <w:trPr>
          <w:trHeight w:val="283"/>
        </w:trPr>
        <w:tc>
          <w:tcPr>
            <w:tcW w:w="959" w:type="dxa"/>
            <w:vMerge/>
          </w:tcPr>
          <w:p w14:paraId="16B2DF77" w14:textId="77777777" w:rsidR="002C311D" w:rsidRPr="002B55E9" w:rsidRDefault="002C311D" w:rsidP="002C311D">
            <w:pPr>
              <w:pStyle w:val="lgy-"/>
              <w:rPr>
                <w:rFonts w:eastAsia="宋体"/>
              </w:rPr>
            </w:pPr>
          </w:p>
        </w:tc>
        <w:tc>
          <w:tcPr>
            <w:tcW w:w="885" w:type="dxa"/>
          </w:tcPr>
          <w:p w14:paraId="6733A208"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3</w:t>
            </w:r>
            <w:r w:rsidRPr="002B55E9">
              <w:rPr>
                <w:rFonts w:eastAsia="宋体" w:hint="eastAsia"/>
              </w:rPr>
              <w:t>-1</w:t>
            </w:r>
          </w:p>
        </w:tc>
        <w:tc>
          <w:tcPr>
            <w:tcW w:w="1558" w:type="dxa"/>
          </w:tcPr>
          <w:p w14:paraId="42DC09E3"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0E742268" w14:textId="77777777" w:rsidR="002C311D" w:rsidRPr="002B55E9" w:rsidRDefault="002C311D" w:rsidP="002C311D">
            <w:pPr>
              <w:pStyle w:val="lgy-"/>
              <w:rPr>
                <w:rFonts w:eastAsia="宋体"/>
              </w:rPr>
            </w:pPr>
            <w:r w:rsidRPr="002B55E9">
              <w:rPr>
                <w:rFonts w:eastAsia="宋体" w:hint="eastAsia"/>
              </w:rPr>
              <w:t>过滤</w:t>
            </w:r>
          </w:p>
        </w:tc>
        <w:tc>
          <w:tcPr>
            <w:tcW w:w="1714" w:type="dxa"/>
          </w:tcPr>
          <w:p w14:paraId="1858BA90" w14:textId="77777777" w:rsidR="002C311D" w:rsidRPr="002B55E9" w:rsidRDefault="002C311D" w:rsidP="002C311D">
            <w:pPr>
              <w:pStyle w:val="lgy-"/>
              <w:rPr>
                <w:rFonts w:eastAsia="宋体"/>
              </w:rPr>
            </w:pPr>
            <w:r w:rsidRPr="002B55E9">
              <w:rPr>
                <w:rFonts w:eastAsia="宋体" w:hint="eastAsia"/>
              </w:rPr>
              <w:t>香辛料残渣</w:t>
            </w:r>
          </w:p>
        </w:tc>
        <w:tc>
          <w:tcPr>
            <w:tcW w:w="3117" w:type="dxa"/>
          </w:tcPr>
          <w:p w14:paraId="1EF9E46E" w14:textId="77777777" w:rsidR="002C311D" w:rsidRPr="002B55E9" w:rsidRDefault="002C311D" w:rsidP="002C311D">
            <w:pPr>
              <w:pStyle w:val="lgy-"/>
              <w:rPr>
                <w:rFonts w:eastAsia="宋体"/>
              </w:rPr>
            </w:pPr>
            <w:r w:rsidRPr="002B55E9">
              <w:rPr>
                <w:rFonts w:eastAsia="宋体" w:hint="eastAsia"/>
              </w:rPr>
              <w:t>有机肥生产企业回收利用</w:t>
            </w:r>
          </w:p>
        </w:tc>
      </w:tr>
      <w:tr w:rsidR="002B55E9" w:rsidRPr="002B55E9" w14:paraId="38B546CF" w14:textId="77777777" w:rsidTr="002C311D">
        <w:trPr>
          <w:trHeight w:val="283"/>
        </w:trPr>
        <w:tc>
          <w:tcPr>
            <w:tcW w:w="959" w:type="dxa"/>
            <w:vMerge/>
          </w:tcPr>
          <w:p w14:paraId="388F6AF3" w14:textId="77777777" w:rsidR="002C311D" w:rsidRPr="002B55E9" w:rsidRDefault="002C311D" w:rsidP="002C311D">
            <w:pPr>
              <w:pStyle w:val="lgy-"/>
              <w:rPr>
                <w:rFonts w:eastAsia="宋体"/>
              </w:rPr>
            </w:pPr>
          </w:p>
        </w:tc>
        <w:tc>
          <w:tcPr>
            <w:tcW w:w="885" w:type="dxa"/>
          </w:tcPr>
          <w:p w14:paraId="7106C969"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3-2</w:t>
            </w:r>
          </w:p>
        </w:tc>
        <w:tc>
          <w:tcPr>
            <w:tcW w:w="1558" w:type="dxa"/>
          </w:tcPr>
          <w:p w14:paraId="2C69B8E2" w14:textId="77777777" w:rsidR="002C311D" w:rsidRPr="002B55E9" w:rsidRDefault="002C311D" w:rsidP="002C311D">
            <w:pPr>
              <w:pStyle w:val="lgy-"/>
              <w:rPr>
                <w:rFonts w:eastAsia="宋体"/>
              </w:rPr>
            </w:pPr>
            <w:r w:rsidRPr="002B55E9">
              <w:rPr>
                <w:rFonts w:eastAsia="宋体" w:hint="eastAsia"/>
              </w:rPr>
              <w:t>过滤残渣</w:t>
            </w:r>
          </w:p>
        </w:tc>
        <w:tc>
          <w:tcPr>
            <w:tcW w:w="1405" w:type="dxa"/>
          </w:tcPr>
          <w:p w14:paraId="6EE673C4" w14:textId="77777777" w:rsidR="002C311D" w:rsidRPr="002B55E9" w:rsidRDefault="002C311D" w:rsidP="002C311D">
            <w:pPr>
              <w:pStyle w:val="lgy-"/>
              <w:rPr>
                <w:rFonts w:eastAsia="宋体"/>
              </w:rPr>
            </w:pPr>
            <w:r w:rsidRPr="002B55E9">
              <w:rPr>
                <w:rFonts w:eastAsia="宋体" w:hint="eastAsia"/>
              </w:rPr>
              <w:t>成品过滤</w:t>
            </w:r>
          </w:p>
        </w:tc>
        <w:tc>
          <w:tcPr>
            <w:tcW w:w="1714" w:type="dxa"/>
          </w:tcPr>
          <w:p w14:paraId="19F412DA" w14:textId="77777777" w:rsidR="002C311D" w:rsidRPr="002B55E9" w:rsidRDefault="002C311D" w:rsidP="002C311D">
            <w:pPr>
              <w:pStyle w:val="lgy-"/>
              <w:rPr>
                <w:rFonts w:eastAsia="宋体"/>
              </w:rPr>
            </w:pPr>
            <w:r w:rsidRPr="002B55E9">
              <w:rPr>
                <w:rFonts w:eastAsia="宋体" w:hint="eastAsia"/>
              </w:rPr>
              <w:t>不溶物及密封圈等</w:t>
            </w:r>
          </w:p>
        </w:tc>
        <w:tc>
          <w:tcPr>
            <w:tcW w:w="3117" w:type="dxa"/>
            <w:vMerge w:val="restart"/>
          </w:tcPr>
          <w:p w14:paraId="4383F75B" w14:textId="77777777" w:rsidR="002C311D" w:rsidRPr="002B55E9" w:rsidRDefault="002C311D" w:rsidP="002C311D">
            <w:pPr>
              <w:pStyle w:val="lgy-"/>
              <w:rPr>
                <w:rFonts w:eastAsia="宋体"/>
              </w:rPr>
            </w:pPr>
            <w:r w:rsidRPr="002B55E9">
              <w:rPr>
                <w:rFonts w:eastAsia="宋体" w:hint="eastAsia"/>
              </w:rPr>
              <w:t>物资回收公司综合利用</w:t>
            </w:r>
          </w:p>
        </w:tc>
      </w:tr>
      <w:tr w:rsidR="002B55E9" w:rsidRPr="002B55E9" w14:paraId="6BCCDC9F" w14:textId="77777777" w:rsidTr="002C311D">
        <w:trPr>
          <w:trHeight w:val="283"/>
        </w:trPr>
        <w:tc>
          <w:tcPr>
            <w:tcW w:w="959" w:type="dxa"/>
            <w:vMerge/>
          </w:tcPr>
          <w:p w14:paraId="1D6A4A7E" w14:textId="77777777" w:rsidR="002C311D" w:rsidRPr="002B55E9" w:rsidRDefault="002C311D" w:rsidP="002C311D">
            <w:pPr>
              <w:pStyle w:val="lgy-"/>
              <w:rPr>
                <w:rFonts w:eastAsia="宋体"/>
              </w:rPr>
            </w:pPr>
          </w:p>
        </w:tc>
        <w:tc>
          <w:tcPr>
            <w:tcW w:w="885" w:type="dxa"/>
          </w:tcPr>
          <w:p w14:paraId="11B88EB4"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3-3</w:t>
            </w:r>
          </w:p>
        </w:tc>
        <w:tc>
          <w:tcPr>
            <w:tcW w:w="1558" w:type="dxa"/>
          </w:tcPr>
          <w:p w14:paraId="70475B71" w14:textId="77777777" w:rsidR="002C311D" w:rsidRPr="002B55E9" w:rsidRDefault="002C311D" w:rsidP="002C311D">
            <w:pPr>
              <w:pStyle w:val="lgy-"/>
              <w:rPr>
                <w:rFonts w:eastAsia="宋体"/>
              </w:rPr>
            </w:pPr>
            <w:r w:rsidRPr="002B55E9">
              <w:rPr>
                <w:rFonts w:eastAsia="宋体" w:hint="eastAsia"/>
              </w:rPr>
              <w:t>废包装瓶</w:t>
            </w:r>
          </w:p>
        </w:tc>
        <w:tc>
          <w:tcPr>
            <w:tcW w:w="1405" w:type="dxa"/>
          </w:tcPr>
          <w:p w14:paraId="7C8BE5E6" w14:textId="77777777" w:rsidR="002C311D" w:rsidRPr="002B55E9" w:rsidRDefault="002C311D" w:rsidP="002C311D">
            <w:pPr>
              <w:pStyle w:val="lgy-"/>
              <w:rPr>
                <w:rFonts w:eastAsia="宋体"/>
              </w:rPr>
            </w:pPr>
            <w:r w:rsidRPr="002B55E9">
              <w:rPr>
                <w:rFonts w:eastAsia="宋体" w:hint="eastAsia"/>
              </w:rPr>
              <w:t>洗瓶</w:t>
            </w:r>
          </w:p>
        </w:tc>
        <w:tc>
          <w:tcPr>
            <w:tcW w:w="1714" w:type="dxa"/>
          </w:tcPr>
          <w:p w14:paraId="1DFF9F78" w14:textId="77777777" w:rsidR="002C311D" w:rsidRPr="002B55E9" w:rsidRDefault="002C311D" w:rsidP="002C311D">
            <w:pPr>
              <w:pStyle w:val="lgy-"/>
              <w:rPr>
                <w:rFonts w:eastAsia="宋体"/>
              </w:rPr>
            </w:pPr>
            <w:r w:rsidRPr="002B55E9">
              <w:rPr>
                <w:rFonts w:eastAsia="宋体" w:hint="eastAsia"/>
              </w:rPr>
              <w:t>废瓶、碎瓶等</w:t>
            </w:r>
          </w:p>
        </w:tc>
        <w:tc>
          <w:tcPr>
            <w:tcW w:w="3117" w:type="dxa"/>
            <w:vMerge/>
          </w:tcPr>
          <w:p w14:paraId="72957C42" w14:textId="77777777" w:rsidR="002C311D" w:rsidRPr="002B55E9" w:rsidRDefault="002C311D" w:rsidP="002C311D">
            <w:pPr>
              <w:pStyle w:val="lgy-"/>
              <w:rPr>
                <w:rFonts w:eastAsia="宋体"/>
              </w:rPr>
            </w:pPr>
          </w:p>
        </w:tc>
      </w:tr>
      <w:tr w:rsidR="002B55E9" w:rsidRPr="002B55E9" w14:paraId="230B29DF" w14:textId="77777777" w:rsidTr="002C311D">
        <w:trPr>
          <w:trHeight w:val="283"/>
        </w:trPr>
        <w:tc>
          <w:tcPr>
            <w:tcW w:w="959" w:type="dxa"/>
            <w:vMerge/>
          </w:tcPr>
          <w:p w14:paraId="2D38A84A" w14:textId="77777777" w:rsidR="002C311D" w:rsidRPr="002B55E9" w:rsidRDefault="002C311D" w:rsidP="002C311D">
            <w:pPr>
              <w:pStyle w:val="lgy-"/>
              <w:rPr>
                <w:rFonts w:eastAsia="宋体"/>
              </w:rPr>
            </w:pPr>
          </w:p>
        </w:tc>
        <w:tc>
          <w:tcPr>
            <w:tcW w:w="885" w:type="dxa"/>
          </w:tcPr>
          <w:p w14:paraId="719CE157"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3-4</w:t>
            </w:r>
          </w:p>
        </w:tc>
        <w:tc>
          <w:tcPr>
            <w:tcW w:w="1558" w:type="dxa"/>
          </w:tcPr>
          <w:p w14:paraId="2A7DCB3B"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1405" w:type="dxa"/>
          </w:tcPr>
          <w:p w14:paraId="36EA5D64" w14:textId="77777777" w:rsidR="002C311D" w:rsidRPr="002B55E9" w:rsidRDefault="002C311D" w:rsidP="002C311D">
            <w:pPr>
              <w:pStyle w:val="lgy-"/>
              <w:rPr>
                <w:rFonts w:eastAsia="宋体"/>
              </w:rPr>
            </w:pPr>
            <w:r w:rsidRPr="002B55E9">
              <w:rPr>
                <w:rFonts w:eastAsia="宋体" w:hint="eastAsia"/>
              </w:rPr>
              <w:t>包装</w:t>
            </w:r>
          </w:p>
        </w:tc>
        <w:tc>
          <w:tcPr>
            <w:tcW w:w="1714" w:type="dxa"/>
          </w:tcPr>
          <w:p w14:paraId="580D9FB1" w14:textId="77777777" w:rsidR="002C311D" w:rsidRPr="002B55E9" w:rsidRDefault="002C311D" w:rsidP="002C311D">
            <w:pPr>
              <w:pStyle w:val="lgy-"/>
              <w:rPr>
                <w:rFonts w:eastAsia="宋体"/>
              </w:rPr>
            </w:pPr>
            <w:r w:rsidRPr="002B55E9">
              <w:rPr>
                <w:rFonts w:eastAsia="宋体" w:hint="eastAsia"/>
              </w:rPr>
              <w:t>废纸箱、废胶桶、废油墨桶、废墨盒等</w:t>
            </w:r>
          </w:p>
        </w:tc>
        <w:tc>
          <w:tcPr>
            <w:tcW w:w="3117" w:type="dxa"/>
          </w:tcPr>
          <w:p w14:paraId="1DB42564" w14:textId="77777777" w:rsidR="002C311D" w:rsidRPr="002B55E9" w:rsidRDefault="002C311D" w:rsidP="002C311D">
            <w:pPr>
              <w:pStyle w:val="lgy-"/>
              <w:rPr>
                <w:rFonts w:eastAsia="宋体"/>
              </w:rPr>
            </w:pPr>
            <w:r w:rsidRPr="002B55E9">
              <w:rPr>
                <w:rFonts w:eastAsia="宋体" w:hint="eastAsia"/>
              </w:rPr>
              <w:t>废胶桶、废油墨桶、废墨盒等危险废物交由有资质单位清运处理，其他一般固体废物交由物资回收公司回收利用</w:t>
            </w:r>
          </w:p>
        </w:tc>
      </w:tr>
      <w:tr w:rsidR="002B55E9" w:rsidRPr="002B55E9" w14:paraId="7230AE84" w14:textId="77777777" w:rsidTr="002C311D">
        <w:trPr>
          <w:trHeight w:val="283"/>
        </w:trPr>
        <w:tc>
          <w:tcPr>
            <w:tcW w:w="959" w:type="dxa"/>
            <w:vMerge/>
          </w:tcPr>
          <w:p w14:paraId="7E5220DB" w14:textId="77777777" w:rsidR="002C311D" w:rsidRPr="002B55E9" w:rsidRDefault="002C311D" w:rsidP="002C311D">
            <w:pPr>
              <w:pStyle w:val="lgy-"/>
              <w:rPr>
                <w:rFonts w:eastAsia="宋体"/>
              </w:rPr>
            </w:pPr>
          </w:p>
        </w:tc>
        <w:tc>
          <w:tcPr>
            <w:tcW w:w="885" w:type="dxa"/>
          </w:tcPr>
          <w:p w14:paraId="2FC37163" w14:textId="77777777" w:rsidR="002C311D" w:rsidRPr="002B55E9" w:rsidRDefault="002C311D" w:rsidP="002C311D">
            <w:pPr>
              <w:pStyle w:val="lgy-"/>
              <w:rPr>
                <w:rFonts w:eastAsia="宋体"/>
              </w:rPr>
            </w:pPr>
            <w:r w:rsidRPr="002B55E9">
              <w:rPr>
                <w:rFonts w:eastAsia="宋体" w:hint="eastAsia"/>
              </w:rPr>
              <w:t>S4-1</w:t>
            </w:r>
          </w:p>
        </w:tc>
        <w:tc>
          <w:tcPr>
            <w:tcW w:w="1558" w:type="dxa"/>
          </w:tcPr>
          <w:p w14:paraId="77E1B84E" w14:textId="77777777" w:rsidR="002C311D" w:rsidRPr="002B55E9" w:rsidRDefault="002C311D" w:rsidP="002C311D">
            <w:pPr>
              <w:pStyle w:val="lgy-"/>
              <w:rPr>
                <w:rFonts w:eastAsia="宋体"/>
              </w:rPr>
            </w:pPr>
            <w:r w:rsidRPr="002B55E9">
              <w:rPr>
                <w:rFonts w:eastAsia="宋体" w:hint="eastAsia"/>
              </w:rPr>
              <w:t>实验废液、废耗材等</w:t>
            </w:r>
          </w:p>
        </w:tc>
        <w:tc>
          <w:tcPr>
            <w:tcW w:w="1405" w:type="dxa"/>
          </w:tcPr>
          <w:p w14:paraId="29688445" w14:textId="77777777" w:rsidR="002C311D" w:rsidRPr="002B55E9" w:rsidRDefault="002C311D" w:rsidP="002C311D">
            <w:pPr>
              <w:pStyle w:val="lgy-"/>
              <w:rPr>
                <w:rFonts w:eastAsia="宋体"/>
              </w:rPr>
            </w:pPr>
            <w:r w:rsidRPr="002B55E9">
              <w:rPr>
                <w:rFonts w:eastAsia="宋体" w:hint="eastAsia"/>
              </w:rPr>
              <w:t>实验</w:t>
            </w:r>
            <w:r w:rsidRPr="002B55E9">
              <w:rPr>
                <w:rFonts w:eastAsia="宋体"/>
              </w:rPr>
              <w:t>检测</w:t>
            </w:r>
          </w:p>
        </w:tc>
        <w:tc>
          <w:tcPr>
            <w:tcW w:w="1714" w:type="dxa"/>
          </w:tcPr>
          <w:p w14:paraId="29A70F54" w14:textId="77777777" w:rsidR="002C311D" w:rsidRPr="002B55E9" w:rsidRDefault="002C311D" w:rsidP="002C311D">
            <w:pPr>
              <w:pStyle w:val="lgy-"/>
              <w:rPr>
                <w:rFonts w:eastAsia="宋体"/>
              </w:rPr>
            </w:pPr>
            <w:r w:rsidRPr="002B55E9">
              <w:rPr>
                <w:rFonts w:eastAsia="宋体" w:hint="eastAsia"/>
              </w:rPr>
              <w:t>废液、废耗材等</w:t>
            </w:r>
          </w:p>
        </w:tc>
        <w:tc>
          <w:tcPr>
            <w:tcW w:w="3117" w:type="dxa"/>
          </w:tcPr>
          <w:p w14:paraId="0903CF34" w14:textId="77777777" w:rsidR="002C311D" w:rsidRPr="002B55E9" w:rsidRDefault="002C311D" w:rsidP="002C311D">
            <w:pPr>
              <w:pStyle w:val="lgy-"/>
              <w:rPr>
                <w:rFonts w:eastAsia="宋体"/>
              </w:rPr>
            </w:pPr>
            <w:r w:rsidRPr="002B55E9">
              <w:rPr>
                <w:rFonts w:eastAsia="宋体" w:hint="eastAsia"/>
              </w:rPr>
              <w:t>交由有资质单位清运处理</w:t>
            </w:r>
          </w:p>
        </w:tc>
      </w:tr>
      <w:tr w:rsidR="002B55E9" w:rsidRPr="002B55E9" w14:paraId="5757110A" w14:textId="77777777" w:rsidTr="002C311D">
        <w:trPr>
          <w:trHeight w:val="283"/>
        </w:trPr>
        <w:tc>
          <w:tcPr>
            <w:tcW w:w="959" w:type="dxa"/>
            <w:vMerge/>
          </w:tcPr>
          <w:p w14:paraId="50A3F9BC" w14:textId="77777777" w:rsidR="002C311D" w:rsidRPr="002B55E9" w:rsidRDefault="002C311D" w:rsidP="002C311D">
            <w:pPr>
              <w:pStyle w:val="lgy-"/>
              <w:rPr>
                <w:rFonts w:eastAsia="宋体"/>
              </w:rPr>
            </w:pPr>
          </w:p>
        </w:tc>
        <w:tc>
          <w:tcPr>
            <w:tcW w:w="885" w:type="dxa"/>
          </w:tcPr>
          <w:p w14:paraId="3DB07DD5"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5</w:t>
            </w:r>
          </w:p>
        </w:tc>
        <w:tc>
          <w:tcPr>
            <w:tcW w:w="1558" w:type="dxa"/>
          </w:tcPr>
          <w:p w14:paraId="36D83ABB" w14:textId="0D59C7E3" w:rsidR="002C311D" w:rsidRPr="002B55E9" w:rsidRDefault="002C311D" w:rsidP="002C311D">
            <w:pPr>
              <w:pStyle w:val="lgy-"/>
              <w:rPr>
                <w:rFonts w:eastAsia="宋体"/>
              </w:rPr>
            </w:pPr>
            <w:r w:rsidRPr="002B55E9">
              <w:rPr>
                <w:rFonts w:eastAsia="宋体" w:hint="eastAsia"/>
              </w:rPr>
              <w:t>废活性炭滤芯、废石英砂滤芯</w:t>
            </w:r>
          </w:p>
        </w:tc>
        <w:tc>
          <w:tcPr>
            <w:tcW w:w="1405" w:type="dxa"/>
          </w:tcPr>
          <w:p w14:paraId="2051F66C" w14:textId="77777777" w:rsidR="002C311D" w:rsidRPr="002B55E9" w:rsidRDefault="002C311D" w:rsidP="002C311D">
            <w:pPr>
              <w:pStyle w:val="lgy-"/>
              <w:rPr>
                <w:rFonts w:eastAsia="宋体"/>
              </w:rPr>
            </w:pPr>
            <w:r w:rsidRPr="002B55E9">
              <w:rPr>
                <w:rFonts w:eastAsia="宋体" w:hint="eastAsia"/>
              </w:rPr>
              <w:t>工艺水制备</w:t>
            </w:r>
          </w:p>
        </w:tc>
        <w:tc>
          <w:tcPr>
            <w:tcW w:w="1714" w:type="dxa"/>
          </w:tcPr>
          <w:p w14:paraId="03674296" w14:textId="268ACB6C" w:rsidR="002C311D" w:rsidRPr="002B55E9" w:rsidRDefault="002C311D" w:rsidP="002C311D">
            <w:pPr>
              <w:pStyle w:val="lgy-"/>
              <w:rPr>
                <w:rFonts w:eastAsia="宋体"/>
              </w:rPr>
            </w:pPr>
            <w:r w:rsidRPr="002B55E9">
              <w:rPr>
                <w:rFonts w:eastAsia="宋体" w:hint="eastAsia"/>
              </w:rPr>
              <w:t>废活性炭滤芯、废石英砂滤芯</w:t>
            </w:r>
          </w:p>
        </w:tc>
        <w:tc>
          <w:tcPr>
            <w:tcW w:w="3117" w:type="dxa"/>
            <w:vMerge w:val="restart"/>
          </w:tcPr>
          <w:p w14:paraId="2B72348F" w14:textId="77777777" w:rsidR="002C311D" w:rsidRPr="002B55E9" w:rsidRDefault="002C311D" w:rsidP="002C311D">
            <w:pPr>
              <w:pStyle w:val="lgy-"/>
              <w:rPr>
                <w:rFonts w:eastAsia="宋体"/>
              </w:rPr>
            </w:pPr>
            <w:r w:rsidRPr="002B55E9">
              <w:rPr>
                <w:rFonts w:eastAsia="宋体" w:hint="eastAsia"/>
              </w:rPr>
              <w:t>物资回收公司综合利用</w:t>
            </w:r>
          </w:p>
        </w:tc>
      </w:tr>
      <w:tr w:rsidR="002B55E9" w:rsidRPr="002B55E9" w14:paraId="7CBDF56D" w14:textId="77777777" w:rsidTr="002C311D">
        <w:trPr>
          <w:trHeight w:val="283"/>
        </w:trPr>
        <w:tc>
          <w:tcPr>
            <w:tcW w:w="959" w:type="dxa"/>
            <w:vMerge/>
          </w:tcPr>
          <w:p w14:paraId="42358439" w14:textId="77777777" w:rsidR="002C311D" w:rsidRPr="002B55E9" w:rsidRDefault="002C311D" w:rsidP="002C311D">
            <w:pPr>
              <w:pStyle w:val="lgy-"/>
              <w:rPr>
                <w:rFonts w:eastAsia="宋体"/>
              </w:rPr>
            </w:pPr>
          </w:p>
        </w:tc>
        <w:tc>
          <w:tcPr>
            <w:tcW w:w="885" w:type="dxa"/>
          </w:tcPr>
          <w:p w14:paraId="1A1E6583"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6</w:t>
            </w:r>
          </w:p>
        </w:tc>
        <w:tc>
          <w:tcPr>
            <w:tcW w:w="1558" w:type="dxa"/>
          </w:tcPr>
          <w:p w14:paraId="1B290E29" w14:textId="77777777" w:rsidR="002C311D" w:rsidRPr="002B55E9" w:rsidRDefault="002C311D" w:rsidP="002C311D">
            <w:pPr>
              <w:pStyle w:val="lgy-"/>
              <w:rPr>
                <w:rFonts w:eastAsia="宋体"/>
              </w:rPr>
            </w:pPr>
            <w:r w:rsidRPr="002B55E9">
              <w:rPr>
                <w:rFonts w:eastAsia="宋体"/>
              </w:rPr>
              <w:t>废</w:t>
            </w:r>
            <w:r w:rsidRPr="002B55E9">
              <w:rPr>
                <w:rFonts w:eastAsia="宋体" w:hint="eastAsia"/>
              </w:rPr>
              <w:t>R</w:t>
            </w:r>
            <w:r w:rsidRPr="002B55E9">
              <w:rPr>
                <w:rFonts w:eastAsia="宋体"/>
              </w:rPr>
              <w:t>O</w:t>
            </w:r>
            <w:r w:rsidRPr="002B55E9">
              <w:rPr>
                <w:rFonts w:eastAsia="宋体" w:hint="eastAsia"/>
              </w:rPr>
              <w:t>膜</w:t>
            </w:r>
          </w:p>
        </w:tc>
        <w:tc>
          <w:tcPr>
            <w:tcW w:w="1405" w:type="dxa"/>
          </w:tcPr>
          <w:p w14:paraId="1110FDE2" w14:textId="77777777" w:rsidR="002C311D" w:rsidRPr="002B55E9" w:rsidRDefault="002C311D" w:rsidP="002C311D">
            <w:pPr>
              <w:pStyle w:val="lgy-"/>
              <w:rPr>
                <w:rFonts w:eastAsia="宋体"/>
              </w:rPr>
            </w:pPr>
            <w:r w:rsidRPr="002B55E9">
              <w:rPr>
                <w:rFonts w:eastAsia="宋体" w:hint="eastAsia"/>
              </w:rPr>
              <w:t>纯水</w:t>
            </w:r>
            <w:r w:rsidRPr="002B55E9">
              <w:rPr>
                <w:rFonts w:eastAsia="宋体"/>
              </w:rPr>
              <w:t>制备</w:t>
            </w:r>
          </w:p>
        </w:tc>
        <w:tc>
          <w:tcPr>
            <w:tcW w:w="1714" w:type="dxa"/>
          </w:tcPr>
          <w:p w14:paraId="53E8896A" w14:textId="77777777" w:rsidR="002C311D" w:rsidRPr="002B55E9" w:rsidRDefault="002C311D" w:rsidP="002C311D">
            <w:pPr>
              <w:pStyle w:val="lgy-"/>
              <w:rPr>
                <w:rFonts w:eastAsia="宋体"/>
              </w:rPr>
            </w:pPr>
            <w:r w:rsidRPr="002B55E9">
              <w:rPr>
                <w:rFonts w:eastAsia="宋体" w:hint="eastAsia"/>
              </w:rPr>
              <w:t>纯水</w:t>
            </w:r>
            <w:r w:rsidRPr="002B55E9">
              <w:rPr>
                <w:rFonts w:eastAsia="宋体"/>
              </w:rPr>
              <w:t>废</w:t>
            </w:r>
            <w:r w:rsidRPr="002B55E9">
              <w:rPr>
                <w:rFonts w:eastAsia="宋体" w:hint="eastAsia"/>
              </w:rPr>
              <w:t>渗透膜</w:t>
            </w:r>
          </w:p>
        </w:tc>
        <w:tc>
          <w:tcPr>
            <w:tcW w:w="3117" w:type="dxa"/>
            <w:vMerge/>
          </w:tcPr>
          <w:p w14:paraId="1AEC77D5" w14:textId="77777777" w:rsidR="002C311D" w:rsidRPr="002B55E9" w:rsidRDefault="002C311D" w:rsidP="002C311D">
            <w:pPr>
              <w:pStyle w:val="lgy-"/>
              <w:rPr>
                <w:rFonts w:eastAsia="宋体"/>
              </w:rPr>
            </w:pPr>
          </w:p>
        </w:tc>
      </w:tr>
      <w:tr w:rsidR="002B55E9" w:rsidRPr="002B55E9" w14:paraId="2392BAE3" w14:textId="77777777" w:rsidTr="002C311D">
        <w:trPr>
          <w:trHeight w:val="283"/>
        </w:trPr>
        <w:tc>
          <w:tcPr>
            <w:tcW w:w="959" w:type="dxa"/>
            <w:vMerge/>
          </w:tcPr>
          <w:p w14:paraId="1E7D48A4" w14:textId="77777777" w:rsidR="002C311D" w:rsidRPr="002B55E9" w:rsidRDefault="002C311D" w:rsidP="002C311D">
            <w:pPr>
              <w:pStyle w:val="lgy-"/>
              <w:rPr>
                <w:rFonts w:eastAsia="宋体"/>
              </w:rPr>
            </w:pPr>
          </w:p>
        </w:tc>
        <w:tc>
          <w:tcPr>
            <w:tcW w:w="885" w:type="dxa"/>
          </w:tcPr>
          <w:p w14:paraId="475880BD" w14:textId="77777777" w:rsidR="002C311D" w:rsidRPr="002B55E9" w:rsidRDefault="002C311D" w:rsidP="002C311D">
            <w:pPr>
              <w:pStyle w:val="lgy-"/>
              <w:rPr>
                <w:rFonts w:eastAsia="宋体"/>
              </w:rPr>
            </w:pPr>
            <w:r w:rsidRPr="002B55E9">
              <w:rPr>
                <w:rFonts w:eastAsia="宋体" w:hint="eastAsia"/>
              </w:rPr>
              <w:t>S7</w:t>
            </w:r>
          </w:p>
        </w:tc>
        <w:tc>
          <w:tcPr>
            <w:tcW w:w="1558" w:type="dxa"/>
          </w:tcPr>
          <w:p w14:paraId="294F9F3D" w14:textId="77777777" w:rsidR="002C311D" w:rsidRPr="002B55E9" w:rsidRDefault="002C311D" w:rsidP="002C311D">
            <w:pPr>
              <w:pStyle w:val="lgy-"/>
              <w:rPr>
                <w:rFonts w:eastAsia="宋体"/>
              </w:rPr>
            </w:pPr>
            <w:r w:rsidRPr="002B55E9">
              <w:rPr>
                <w:rFonts w:eastAsia="宋体" w:hint="eastAsia"/>
              </w:rPr>
              <w:t>废活性炭</w:t>
            </w:r>
          </w:p>
        </w:tc>
        <w:tc>
          <w:tcPr>
            <w:tcW w:w="1405" w:type="dxa"/>
          </w:tcPr>
          <w:p w14:paraId="6E9CB30F" w14:textId="77777777" w:rsidR="002C311D" w:rsidRPr="002B55E9" w:rsidRDefault="002C311D" w:rsidP="002C311D">
            <w:pPr>
              <w:pStyle w:val="lgy-"/>
              <w:rPr>
                <w:rFonts w:eastAsia="宋体"/>
              </w:rPr>
            </w:pPr>
            <w:r w:rsidRPr="002B55E9">
              <w:rPr>
                <w:rFonts w:eastAsia="宋体" w:hint="eastAsia"/>
              </w:rPr>
              <w:t>化验室</w:t>
            </w:r>
            <w:r w:rsidRPr="002B55E9">
              <w:rPr>
                <w:rFonts w:eastAsia="宋体"/>
              </w:rPr>
              <w:t>废气处理</w:t>
            </w:r>
          </w:p>
        </w:tc>
        <w:tc>
          <w:tcPr>
            <w:tcW w:w="1714" w:type="dxa"/>
          </w:tcPr>
          <w:p w14:paraId="0C8E46BB" w14:textId="77777777" w:rsidR="002C311D" w:rsidRPr="002B55E9" w:rsidRDefault="002C311D" w:rsidP="002C311D">
            <w:pPr>
              <w:pStyle w:val="lgy-"/>
              <w:rPr>
                <w:rFonts w:eastAsia="宋体"/>
              </w:rPr>
            </w:pPr>
            <w:r w:rsidRPr="002B55E9">
              <w:rPr>
                <w:rFonts w:eastAsia="宋体" w:hint="eastAsia"/>
              </w:rPr>
              <w:t>废活性炭</w:t>
            </w:r>
          </w:p>
        </w:tc>
        <w:tc>
          <w:tcPr>
            <w:tcW w:w="3117" w:type="dxa"/>
          </w:tcPr>
          <w:p w14:paraId="493C2636" w14:textId="77777777" w:rsidR="002C311D" w:rsidRPr="002B55E9" w:rsidRDefault="002C311D" w:rsidP="002C311D">
            <w:pPr>
              <w:pStyle w:val="lgy-"/>
              <w:rPr>
                <w:rFonts w:eastAsia="宋体"/>
              </w:rPr>
            </w:pPr>
            <w:r w:rsidRPr="002B55E9">
              <w:rPr>
                <w:rFonts w:eastAsia="宋体" w:hint="eastAsia"/>
              </w:rPr>
              <w:t>交由有资质单位清运处理</w:t>
            </w:r>
          </w:p>
        </w:tc>
      </w:tr>
      <w:tr w:rsidR="002B55E9" w:rsidRPr="002B55E9" w14:paraId="261F18E6" w14:textId="77777777" w:rsidTr="002C311D">
        <w:trPr>
          <w:trHeight w:val="283"/>
        </w:trPr>
        <w:tc>
          <w:tcPr>
            <w:tcW w:w="959" w:type="dxa"/>
            <w:vMerge/>
          </w:tcPr>
          <w:p w14:paraId="4F186510" w14:textId="77777777" w:rsidR="002C311D" w:rsidRPr="002B55E9" w:rsidRDefault="002C311D" w:rsidP="002C311D">
            <w:pPr>
              <w:pStyle w:val="lgy-"/>
              <w:rPr>
                <w:rFonts w:eastAsia="宋体"/>
              </w:rPr>
            </w:pPr>
          </w:p>
        </w:tc>
        <w:tc>
          <w:tcPr>
            <w:tcW w:w="885" w:type="dxa"/>
          </w:tcPr>
          <w:p w14:paraId="75EA0567"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8</w:t>
            </w:r>
          </w:p>
        </w:tc>
        <w:tc>
          <w:tcPr>
            <w:tcW w:w="1558" w:type="dxa"/>
          </w:tcPr>
          <w:p w14:paraId="2DDE4485" w14:textId="77777777" w:rsidR="002C311D" w:rsidRPr="002B55E9" w:rsidRDefault="002C311D" w:rsidP="002C311D">
            <w:pPr>
              <w:pStyle w:val="lgy-"/>
              <w:rPr>
                <w:rFonts w:eastAsia="宋体"/>
              </w:rPr>
            </w:pPr>
            <w:r w:rsidRPr="002B55E9">
              <w:rPr>
                <w:rFonts w:eastAsia="宋体" w:hint="eastAsia"/>
              </w:rPr>
              <w:t>除尘器粉尘</w:t>
            </w:r>
          </w:p>
        </w:tc>
        <w:tc>
          <w:tcPr>
            <w:tcW w:w="1405" w:type="dxa"/>
          </w:tcPr>
          <w:p w14:paraId="42F75EC9" w14:textId="77777777" w:rsidR="002C311D" w:rsidRPr="002B55E9" w:rsidRDefault="002C311D" w:rsidP="002C311D">
            <w:pPr>
              <w:pStyle w:val="lgy-"/>
              <w:rPr>
                <w:rFonts w:eastAsia="宋体"/>
              </w:rPr>
            </w:pPr>
            <w:r w:rsidRPr="002B55E9">
              <w:rPr>
                <w:rFonts w:eastAsia="宋体" w:hint="eastAsia"/>
              </w:rPr>
              <w:t>破碎废气处理</w:t>
            </w:r>
          </w:p>
        </w:tc>
        <w:tc>
          <w:tcPr>
            <w:tcW w:w="1714" w:type="dxa"/>
          </w:tcPr>
          <w:p w14:paraId="26FC0EE7" w14:textId="77777777" w:rsidR="002C311D" w:rsidRPr="002B55E9" w:rsidRDefault="002C311D" w:rsidP="002C311D">
            <w:pPr>
              <w:pStyle w:val="lgy-"/>
              <w:rPr>
                <w:rFonts w:eastAsia="宋体"/>
              </w:rPr>
            </w:pPr>
            <w:r w:rsidRPr="002B55E9">
              <w:rPr>
                <w:rFonts w:eastAsia="宋体" w:hint="eastAsia"/>
              </w:rPr>
              <w:t>香辛料粉末</w:t>
            </w:r>
          </w:p>
        </w:tc>
        <w:tc>
          <w:tcPr>
            <w:tcW w:w="3117" w:type="dxa"/>
            <w:vMerge w:val="restart"/>
          </w:tcPr>
          <w:p w14:paraId="2ED46B24" w14:textId="77777777" w:rsidR="002C311D" w:rsidRPr="002B55E9" w:rsidRDefault="002C311D" w:rsidP="002C311D">
            <w:pPr>
              <w:pStyle w:val="lgy-"/>
              <w:rPr>
                <w:rFonts w:eastAsia="宋体"/>
              </w:rPr>
            </w:pPr>
            <w:r w:rsidRPr="002B55E9">
              <w:rPr>
                <w:rFonts w:eastAsia="宋体" w:hint="eastAsia"/>
              </w:rPr>
              <w:t>物资回收公司综合利用</w:t>
            </w:r>
          </w:p>
        </w:tc>
      </w:tr>
      <w:tr w:rsidR="002B55E9" w:rsidRPr="002B55E9" w14:paraId="081EE4D7" w14:textId="77777777" w:rsidTr="002C311D">
        <w:trPr>
          <w:trHeight w:val="283"/>
        </w:trPr>
        <w:tc>
          <w:tcPr>
            <w:tcW w:w="959" w:type="dxa"/>
            <w:vMerge/>
          </w:tcPr>
          <w:p w14:paraId="120AFAB6" w14:textId="77777777" w:rsidR="002C311D" w:rsidRPr="002B55E9" w:rsidRDefault="002C311D" w:rsidP="002C311D">
            <w:pPr>
              <w:pStyle w:val="lgy-"/>
              <w:rPr>
                <w:rFonts w:eastAsia="宋体"/>
              </w:rPr>
            </w:pPr>
          </w:p>
        </w:tc>
        <w:tc>
          <w:tcPr>
            <w:tcW w:w="885" w:type="dxa"/>
          </w:tcPr>
          <w:p w14:paraId="4A40D2B6"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9</w:t>
            </w:r>
          </w:p>
        </w:tc>
        <w:tc>
          <w:tcPr>
            <w:tcW w:w="1558" w:type="dxa"/>
          </w:tcPr>
          <w:p w14:paraId="33E06B9B" w14:textId="77777777" w:rsidR="002C311D" w:rsidRPr="002B55E9" w:rsidRDefault="002C311D" w:rsidP="002C311D">
            <w:pPr>
              <w:pStyle w:val="lgy-"/>
              <w:rPr>
                <w:rFonts w:eastAsia="宋体"/>
              </w:rPr>
            </w:pPr>
            <w:r w:rsidRPr="002B55E9">
              <w:rPr>
                <w:rFonts w:eastAsia="宋体" w:hint="eastAsia"/>
              </w:rPr>
              <w:t>废包装</w:t>
            </w:r>
            <w:r w:rsidRPr="002B55E9">
              <w:rPr>
                <w:rFonts w:eastAsia="宋体"/>
              </w:rPr>
              <w:t>材料</w:t>
            </w:r>
          </w:p>
        </w:tc>
        <w:tc>
          <w:tcPr>
            <w:tcW w:w="1405" w:type="dxa"/>
          </w:tcPr>
          <w:p w14:paraId="438CEAD5" w14:textId="77777777" w:rsidR="002C311D" w:rsidRPr="002B55E9" w:rsidRDefault="002C311D" w:rsidP="002C311D">
            <w:pPr>
              <w:pStyle w:val="lgy-"/>
              <w:rPr>
                <w:rFonts w:eastAsia="宋体"/>
              </w:rPr>
            </w:pPr>
            <w:r w:rsidRPr="002B55E9">
              <w:rPr>
                <w:rFonts w:eastAsia="宋体" w:hint="eastAsia"/>
              </w:rPr>
              <w:t>原材料</w:t>
            </w:r>
            <w:r w:rsidRPr="002B55E9">
              <w:rPr>
                <w:rFonts w:eastAsia="宋体"/>
              </w:rPr>
              <w:t>拆包</w:t>
            </w:r>
          </w:p>
        </w:tc>
        <w:tc>
          <w:tcPr>
            <w:tcW w:w="1714" w:type="dxa"/>
          </w:tcPr>
          <w:p w14:paraId="1019B8D6" w14:textId="77777777" w:rsidR="002C311D" w:rsidRPr="002B55E9" w:rsidRDefault="002C311D" w:rsidP="002C311D">
            <w:pPr>
              <w:pStyle w:val="lgy-"/>
              <w:rPr>
                <w:rFonts w:eastAsia="宋体"/>
              </w:rPr>
            </w:pPr>
            <w:r w:rsidRPr="002B55E9">
              <w:rPr>
                <w:rFonts w:eastAsia="宋体" w:hint="eastAsia"/>
              </w:rPr>
              <w:t>废包装</w:t>
            </w:r>
            <w:r w:rsidRPr="002B55E9">
              <w:rPr>
                <w:rFonts w:eastAsia="宋体"/>
              </w:rPr>
              <w:t>材料</w:t>
            </w:r>
          </w:p>
        </w:tc>
        <w:tc>
          <w:tcPr>
            <w:tcW w:w="3117" w:type="dxa"/>
            <w:vMerge/>
          </w:tcPr>
          <w:p w14:paraId="45D499D9" w14:textId="77777777" w:rsidR="002C311D" w:rsidRPr="002B55E9" w:rsidRDefault="002C311D" w:rsidP="002C311D">
            <w:pPr>
              <w:pStyle w:val="lgy-"/>
              <w:rPr>
                <w:rFonts w:eastAsia="宋体"/>
              </w:rPr>
            </w:pPr>
          </w:p>
        </w:tc>
      </w:tr>
      <w:tr w:rsidR="002B55E9" w:rsidRPr="002B55E9" w14:paraId="6C252B9C" w14:textId="77777777" w:rsidTr="002C311D">
        <w:trPr>
          <w:trHeight w:val="283"/>
        </w:trPr>
        <w:tc>
          <w:tcPr>
            <w:tcW w:w="959" w:type="dxa"/>
            <w:vMerge/>
          </w:tcPr>
          <w:p w14:paraId="243DB8C4" w14:textId="77777777" w:rsidR="002C311D" w:rsidRPr="002B55E9" w:rsidRDefault="002C311D" w:rsidP="002C311D">
            <w:pPr>
              <w:pStyle w:val="lgy-"/>
              <w:rPr>
                <w:rFonts w:eastAsia="宋体"/>
              </w:rPr>
            </w:pPr>
          </w:p>
        </w:tc>
        <w:tc>
          <w:tcPr>
            <w:tcW w:w="885" w:type="dxa"/>
          </w:tcPr>
          <w:p w14:paraId="6EE5F491"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10</w:t>
            </w:r>
          </w:p>
        </w:tc>
        <w:tc>
          <w:tcPr>
            <w:tcW w:w="1558" w:type="dxa"/>
          </w:tcPr>
          <w:p w14:paraId="06E455D1" w14:textId="77777777" w:rsidR="002C311D" w:rsidRPr="002B55E9" w:rsidRDefault="002C311D" w:rsidP="002C311D">
            <w:pPr>
              <w:pStyle w:val="lgy-"/>
              <w:rPr>
                <w:rFonts w:eastAsia="宋体"/>
              </w:rPr>
            </w:pPr>
            <w:r w:rsidRPr="002B55E9">
              <w:rPr>
                <w:rFonts w:eastAsia="宋体" w:hint="eastAsia"/>
              </w:rPr>
              <w:t>废机油</w:t>
            </w:r>
          </w:p>
        </w:tc>
        <w:tc>
          <w:tcPr>
            <w:tcW w:w="1405" w:type="dxa"/>
          </w:tcPr>
          <w:p w14:paraId="00BCDF36" w14:textId="77777777" w:rsidR="002C311D" w:rsidRPr="002B55E9" w:rsidRDefault="002C311D" w:rsidP="002C311D">
            <w:pPr>
              <w:pStyle w:val="lgy-"/>
              <w:rPr>
                <w:rFonts w:eastAsia="宋体"/>
              </w:rPr>
            </w:pPr>
            <w:r w:rsidRPr="002B55E9">
              <w:rPr>
                <w:rFonts w:eastAsia="宋体" w:hint="eastAsia"/>
              </w:rPr>
              <w:t>设备检修</w:t>
            </w:r>
          </w:p>
        </w:tc>
        <w:tc>
          <w:tcPr>
            <w:tcW w:w="1714" w:type="dxa"/>
          </w:tcPr>
          <w:p w14:paraId="68CBDB81" w14:textId="77777777" w:rsidR="002C311D" w:rsidRPr="002B55E9" w:rsidRDefault="002C311D" w:rsidP="002C311D">
            <w:pPr>
              <w:pStyle w:val="lgy-"/>
              <w:rPr>
                <w:rFonts w:eastAsia="宋体"/>
              </w:rPr>
            </w:pPr>
            <w:r w:rsidRPr="002B55E9">
              <w:rPr>
                <w:rFonts w:eastAsia="宋体" w:hint="eastAsia"/>
              </w:rPr>
              <w:t>废机油</w:t>
            </w:r>
          </w:p>
        </w:tc>
        <w:tc>
          <w:tcPr>
            <w:tcW w:w="3117" w:type="dxa"/>
            <w:vMerge w:val="restart"/>
          </w:tcPr>
          <w:p w14:paraId="6FB0C93D" w14:textId="77777777" w:rsidR="002C311D" w:rsidRPr="002B55E9" w:rsidRDefault="002C311D" w:rsidP="002C311D">
            <w:pPr>
              <w:pStyle w:val="lgy-"/>
              <w:rPr>
                <w:rFonts w:eastAsia="宋体"/>
              </w:rPr>
            </w:pPr>
            <w:r w:rsidRPr="002B55E9">
              <w:rPr>
                <w:rFonts w:eastAsia="宋体" w:hint="eastAsia"/>
              </w:rPr>
              <w:t>交由有资质单位清运处理</w:t>
            </w:r>
          </w:p>
        </w:tc>
      </w:tr>
      <w:tr w:rsidR="002B55E9" w:rsidRPr="002B55E9" w14:paraId="53918BCA" w14:textId="77777777" w:rsidTr="002C311D">
        <w:trPr>
          <w:trHeight w:val="283"/>
        </w:trPr>
        <w:tc>
          <w:tcPr>
            <w:tcW w:w="959" w:type="dxa"/>
            <w:vMerge/>
          </w:tcPr>
          <w:p w14:paraId="6906E2A6" w14:textId="77777777" w:rsidR="002C311D" w:rsidRPr="002B55E9" w:rsidRDefault="002C311D" w:rsidP="002C311D">
            <w:pPr>
              <w:pStyle w:val="lgy-"/>
              <w:rPr>
                <w:rFonts w:eastAsia="宋体"/>
              </w:rPr>
            </w:pPr>
          </w:p>
        </w:tc>
        <w:tc>
          <w:tcPr>
            <w:tcW w:w="885" w:type="dxa"/>
          </w:tcPr>
          <w:p w14:paraId="4831F88F"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11</w:t>
            </w:r>
          </w:p>
        </w:tc>
        <w:tc>
          <w:tcPr>
            <w:tcW w:w="1558" w:type="dxa"/>
          </w:tcPr>
          <w:p w14:paraId="40196243" w14:textId="77777777" w:rsidR="002C311D" w:rsidRPr="002B55E9" w:rsidRDefault="002C311D" w:rsidP="002C311D">
            <w:pPr>
              <w:pStyle w:val="lgy-"/>
              <w:rPr>
                <w:rFonts w:eastAsia="宋体"/>
              </w:rPr>
            </w:pPr>
            <w:r w:rsidRPr="002B55E9">
              <w:rPr>
                <w:rFonts w:eastAsia="宋体" w:hint="eastAsia"/>
              </w:rPr>
              <w:t>含油抹布</w:t>
            </w:r>
          </w:p>
        </w:tc>
        <w:tc>
          <w:tcPr>
            <w:tcW w:w="1405" w:type="dxa"/>
          </w:tcPr>
          <w:p w14:paraId="28DB75CA" w14:textId="77777777" w:rsidR="002C311D" w:rsidRPr="002B55E9" w:rsidRDefault="002C311D" w:rsidP="002C311D">
            <w:pPr>
              <w:pStyle w:val="lgy-"/>
              <w:rPr>
                <w:rFonts w:eastAsia="宋体"/>
              </w:rPr>
            </w:pPr>
            <w:r w:rsidRPr="002B55E9">
              <w:rPr>
                <w:rFonts w:eastAsia="宋体" w:hint="eastAsia"/>
              </w:rPr>
              <w:t>设备检修</w:t>
            </w:r>
          </w:p>
        </w:tc>
        <w:tc>
          <w:tcPr>
            <w:tcW w:w="1714" w:type="dxa"/>
          </w:tcPr>
          <w:p w14:paraId="06428ADF" w14:textId="77777777" w:rsidR="002C311D" w:rsidRPr="002B55E9" w:rsidRDefault="002C311D" w:rsidP="002C311D">
            <w:pPr>
              <w:pStyle w:val="lgy-"/>
              <w:rPr>
                <w:rFonts w:eastAsia="宋体"/>
              </w:rPr>
            </w:pPr>
            <w:r w:rsidRPr="002B55E9">
              <w:rPr>
                <w:rFonts w:eastAsia="宋体" w:hint="eastAsia"/>
              </w:rPr>
              <w:t>含油抹布</w:t>
            </w:r>
          </w:p>
        </w:tc>
        <w:tc>
          <w:tcPr>
            <w:tcW w:w="3117" w:type="dxa"/>
            <w:vMerge/>
          </w:tcPr>
          <w:p w14:paraId="41D6413D" w14:textId="77777777" w:rsidR="002C311D" w:rsidRPr="002B55E9" w:rsidRDefault="002C311D" w:rsidP="002C311D">
            <w:pPr>
              <w:pStyle w:val="lgy-"/>
              <w:rPr>
                <w:rFonts w:eastAsia="宋体"/>
              </w:rPr>
            </w:pPr>
          </w:p>
        </w:tc>
      </w:tr>
      <w:tr w:rsidR="002B55E9" w:rsidRPr="002B55E9" w14:paraId="1E48C505" w14:textId="77777777" w:rsidTr="002C311D">
        <w:trPr>
          <w:trHeight w:val="283"/>
        </w:trPr>
        <w:tc>
          <w:tcPr>
            <w:tcW w:w="959" w:type="dxa"/>
            <w:vMerge/>
          </w:tcPr>
          <w:p w14:paraId="11AC9AEE" w14:textId="77777777" w:rsidR="002C311D" w:rsidRPr="002B55E9" w:rsidRDefault="002C311D" w:rsidP="002C311D">
            <w:pPr>
              <w:pStyle w:val="lgy-"/>
              <w:rPr>
                <w:rFonts w:eastAsia="宋体"/>
              </w:rPr>
            </w:pPr>
          </w:p>
        </w:tc>
        <w:tc>
          <w:tcPr>
            <w:tcW w:w="885" w:type="dxa"/>
          </w:tcPr>
          <w:p w14:paraId="25C04812" w14:textId="77777777" w:rsidR="002C311D" w:rsidRPr="002B55E9" w:rsidRDefault="002C311D" w:rsidP="002C311D">
            <w:pPr>
              <w:pStyle w:val="lgy-"/>
              <w:rPr>
                <w:rFonts w:eastAsia="宋体"/>
              </w:rPr>
            </w:pPr>
            <w:r w:rsidRPr="002B55E9">
              <w:rPr>
                <w:rFonts w:eastAsia="宋体" w:hint="eastAsia"/>
              </w:rPr>
              <w:t>S</w:t>
            </w:r>
            <w:r w:rsidRPr="002B55E9">
              <w:rPr>
                <w:rFonts w:eastAsia="宋体"/>
              </w:rPr>
              <w:t>12</w:t>
            </w:r>
          </w:p>
        </w:tc>
        <w:tc>
          <w:tcPr>
            <w:tcW w:w="1558" w:type="dxa"/>
          </w:tcPr>
          <w:p w14:paraId="5C99A970" w14:textId="77777777" w:rsidR="002C311D" w:rsidRPr="002B55E9" w:rsidRDefault="002C311D" w:rsidP="002C311D">
            <w:pPr>
              <w:pStyle w:val="lgy-"/>
              <w:rPr>
                <w:rFonts w:eastAsia="宋体"/>
              </w:rPr>
            </w:pPr>
            <w:r w:rsidRPr="002B55E9">
              <w:rPr>
                <w:rFonts w:eastAsia="宋体" w:hint="eastAsia"/>
              </w:rPr>
              <w:t>生活垃圾</w:t>
            </w:r>
          </w:p>
        </w:tc>
        <w:tc>
          <w:tcPr>
            <w:tcW w:w="1405" w:type="dxa"/>
          </w:tcPr>
          <w:p w14:paraId="0E0611CC" w14:textId="77777777" w:rsidR="002C311D" w:rsidRPr="002B55E9" w:rsidRDefault="002C311D" w:rsidP="002C311D">
            <w:pPr>
              <w:pStyle w:val="lgy-"/>
              <w:rPr>
                <w:rFonts w:eastAsia="宋体"/>
              </w:rPr>
            </w:pPr>
            <w:r w:rsidRPr="002B55E9">
              <w:rPr>
                <w:rFonts w:eastAsia="宋体" w:hint="eastAsia"/>
              </w:rPr>
              <w:t>员工</w:t>
            </w:r>
            <w:r w:rsidRPr="002B55E9">
              <w:rPr>
                <w:rFonts w:eastAsia="宋体" w:hint="eastAsia"/>
              </w:rPr>
              <w:t xml:space="preserve"> </w:t>
            </w:r>
            <w:r w:rsidRPr="002B55E9">
              <w:rPr>
                <w:rFonts w:eastAsia="宋体" w:hint="eastAsia"/>
              </w:rPr>
              <w:t>生活</w:t>
            </w:r>
          </w:p>
        </w:tc>
        <w:tc>
          <w:tcPr>
            <w:tcW w:w="1714" w:type="dxa"/>
          </w:tcPr>
          <w:p w14:paraId="19E56600" w14:textId="77777777" w:rsidR="002C311D" w:rsidRPr="002B55E9" w:rsidRDefault="002C311D" w:rsidP="002C311D">
            <w:pPr>
              <w:pStyle w:val="lgy-"/>
              <w:rPr>
                <w:rFonts w:eastAsia="宋体"/>
              </w:rPr>
            </w:pPr>
            <w:r w:rsidRPr="002B55E9">
              <w:rPr>
                <w:rFonts w:eastAsia="宋体" w:hint="eastAsia"/>
              </w:rPr>
              <w:t>生活垃圾</w:t>
            </w:r>
          </w:p>
        </w:tc>
        <w:tc>
          <w:tcPr>
            <w:tcW w:w="3117" w:type="dxa"/>
          </w:tcPr>
          <w:p w14:paraId="1086CBE5" w14:textId="77777777" w:rsidR="002C311D" w:rsidRPr="002B55E9" w:rsidRDefault="002C311D" w:rsidP="002C311D">
            <w:pPr>
              <w:pStyle w:val="lgy-"/>
              <w:rPr>
                <w:rFonts w:eastAsia="宋体"/>
              </w:rPr>
            </w:pPr>
            <w:r w:rsidRPr="002B55E9">
              <w:rPr>
                <w:rFonts w:eastAsia="宋体" w:hint="eastAsia"/>
              </w:rPr>
              <w:t>委托环卫部门集中清运</w:t>
            </w:r>
          </w:p>
        </w:tc>
      </w:tr>
      <w:tr w:rsidR="002B55E9" w:rsidRPr="002B55E9" w14:paraId="28A52B71" w14:textId="77777777" w:rsidTr="002C311D">
        <w:trPr>
          <w:trHeight w:val="283"/>
        </w:trPr>
        <w:tc>
          <w:tcPr>
            <w:tcW w:w="959" w:type="dxa"/>
            <w:vMerge/>
          </w:tcPr>
          <w:p w14:paraId="3A82697D" w14:textId="77777777" w:rsidR="002C311D" w:rsidRPr="002B55E9" w:rsidRDefault="002C311D" w:rsidP="002C311D">
            <w:pPr>
              <w:pStyle w:val="lgy-"/>
              <w:rPr>
                <w:rFonts w:eastAsia="宋体"/>
              </w:rPr>
            </w:pPr>
          </w:p>
        </w:tc>
        <w:tc>
          <w:tcPr>
            <w:tcW w:w="885" w:type="dxa"/>
          </w:tcPr>
          <w:p w14:paraId="3815AD4A" w14:textId="08B2DD03" w:rsidR="002C311D" w:rsidRPr="002B55E9" w:rsidRDefault="002C311D" w:rsidP="002C311D">
            <w:pPr>
              <w:pStyle w:val="lgy-"/>
              <w:rPr>
                <w:rFonts w:eastAsia="宋体"/>
              </w:rPr>
            </w:pPr>
            <w:r w:rsidRPr="002B55E9">
              <w:rPr>
                <w:rFonts w:eastAsia="宋体" w:hint="eastAsia"/>
              </w:rPr>
              <w:t>S13</w:t>
            </w:r>
          </w:p>
        </w:tc>
        <w:tc>
          <w:tcPr>
            <w:tcW w:w="1558" w:type="dxa"/>
          </w:tcPr>
          <w:p w14:paraId="32A5B14C" w14:textId="178DD5CC" w:rsidR="002C311D" w:rsidRPr="002B55E9" w:rsidRDefault="002C311D" w:rsidP="002C311D">
            <w:pPr>
              <w:pStyle w:val="lgy-"/>
              <w:rPr>
                <w:rFonts w:eastAsia="宋体"/>
              </w:rPr>
            </w:pPr>
            <w:r w:rsidRPr="002B55E9">
              <w:rPr>
                <w:rFonts w:eastAsia="宋体" w:hint="eastAsia"/>
              </w:rPr>
              <w:t>污水处理</w:t>
            </w:r>
            <w:r w:rsidRPr="002B55E9">
              <w:rPr>
                <w:rFonts w:eastAsia="宋体"/>
              </w:rPr>
              <w:t>污泥</w:t>
            </w:r>
            <w:r w:rsidRPr="002B55E9">
              <w:rPr>
                <w:rFonts w:eastAsia="宋体" w:hint="eastAsia"/>
              </w:rPr>
              <w:t>*</w:t>
            </w:r>
          </w:p>
        </w:tc>
        <w:tc>
          <w:tcPr>
            <w:tcW w:w="1405" w:type="dxa"/>
          </w:tcPr>
          <w:p w14:paraId="198F7A0B" w14:textId="5355BC29" w:rsidR="002C311D" w:rsidRPr="002B55E9" w:rsidRDefault="002C311D" w:rsidP="002C311D">
            <w:pPr>
              <w:pStyle w:val="lgy-"/>
              <w:rPr>
                <w:rFonts w:eastAsia="宋体"/>
              </w:rPr>
            </w:pPr>
            <w:r w:rsidRPr="002B55E9">
              <w:rPr>
                <w:rFonts w:eastAsia="宋体" w:hint="eastAsia"/>
              </w:rPr>
              <w:t>污水处理</w:t>
            </w:r>
          </w:p>
        </w:tc>
        <w:tc>
          <w:tcPr>
            <w:tcW w:w="1714" w:type="dxa"/>
          </w:tcPr>
          <w:p w14:paraId="3049ABC6" w14:textId="272FC175" w:rsidR="002C311D" w:rsidRPr="002B55E9" w:rsidRDefault="002C311D" w:rsidP="002C311D">
            <w:pPr>
              <w:pStyle w:val="lgy-"/>
              <w:rPr>
                <w:rFonts w:eastAsia="宋体"/>
              </w:rPr>
            </w:pPr>
            <w:r w:rsidRPr="002B55E9">
              <w:rPr>
                <w:rFonts w:eastAsia="宋体" w:hint="eastAsia"/>
              </w:rPr>
              <w:t>污泥</w:t>
            </w:r>
          </w:p>
        </w:tc>
        <w:tc>
          <w:tcPr>
            <w:tcW w:w="3117" w:type="dxa"/>
          </w:tcPr>
          <w:p w14:paraId="154F921D" w14:textId="616FA700" w:rsidR="002C311D" w:rsidRPr="002B55E9" w:rsidRDefault="002C311D" w:rsidP="002C311D">
            <w:pPr>
              <w:pStyle w:val="lgy-"/>
              <w:rPr>
                <w:rFonts w:eastAsia="宋体"/>
              </w:rPr>
            </w:pPr>
            <w:r w:rsidRPr="002B55E9">
              <w:rPr>
                <w:rFonts w:eastAsia="宋体" w:hint="eastAsia"/>
              </w:rPr>
              <w:t>专业公司</w:t>
            </w:r>
            <w:r w:rsidRPr="002B55E9">
              <w:rPr>
                <w:rFonts w:eastAsia="宋体"/>
              </w:rPr>
              <w:t>清运处理</w:t>
            </w:r>
          </w:p>
        </w:tc>
      </w:tr>
    </w:tbl>
    <w:p w14:paraId="69021D15" w14:textId="351472EE" w:rsidR="002C311D" w:rsidRPr="002B55E9" w:rsidRDefault="002C311D" w:rsidP="002C311D">
      <w:pPr>
        <w:pStyle w:val="lgy-"/>
        <w:jc w:val="left"/>
      </w:pPr>
      <w:bookmarkStart w:id="161" w:name="_Toc119308987"/>
      <w:bookmarkEnd w:id="140"/>
      <w:r w:rsidRPr="002B55E9">
        <w:rPr>
          <w:rFonts w:hint="eastAsia"/>
        </w:rPr>
        <w:t>*</w:t>
      </w:r>
      <w:r w:rsidRPr="002B55E9">
        <w:rPr>
          <w:rFonts w:hint="eastAsia"/>
        </w:rPr>
        <w:t>污水处理站废气</w:t>
      </w:r>
      <w:r w:rsidRPr="002B55E9">
        <w:t>、</w:t>
      </w:r>
      <w:r w:rsidRPr="002B55E9">
        <w:rPr>
          <w:rFonts w:hint="eastAsia"/>
        </w:rPr>
        <w:t>污泥不在本项目厂区内产生，其责任主体为佛山市海天（武汉）调味食品有限公司，污水处理站运营及废气</w:t>
      </w:r>
      <w:r w:rsidRPr="002B55E9">
        <w:t>、</w:t>
      </w:r>
      <w:r w:rsidRPr="002B55E9">
        <w:rPr>
          <w:rFonts w:hint="eastAsia"/>
        </w:rPr>
        <w:t>污泥处置等统一由其负责实施。</w:t>
      </w:r>
    </w:p>
    <w:p w14:paraId="68BB0677" w14:textId="341D7444" w:rsidR="00D170E5" w:rsidRPr="002B55E9" w:rsidRDefault="00EF27AD">
      <w:pPr>
        <w:pStyle w:val="3"/>
      </w:pPr>
      <w:r w:rsidRPr="002B55E9">
        <w:rPr>
          <w:rFonts w:hint="eastAsia"/>
        </w:rPr>
        <w:t>平衡分析</w:t>
      </w:r>
      <w:bookmarkEnd w:id="161"/>
    </w:p>
    <w:p w14:paraId="69F3DF2A" w14:textId="77777777" w:rsidR="00D170E5" w:rsidRPr="002B55E9" w:rsidRDefault="00EF27AD">
      <w:pPr>
        <w:pStyle w:val="4"/>
        <w:rPr>
          <w:color w:val="auto"/>
        </w:rPr>
      </w:pPr>
      <w:r w:rsidRPr="002B55E9">
        <w:rPr>
          <w:rFonts w:hint="eastAsia"/>
          <w:color w:val="auto"/>
        </w:rPr>
        <w:t>蒸汽平衡</w:t>
      </w:r>
    </w:p>
    <w:p w14:paraId="4BC54997" w14:textId="77777777" w:rsidR="00D170E5" w:rsidRPr="002B55E9" w:rsidRDefault="00EF27AD">
      <w:pPr>
        <w:pStyle w:val="aa"/>
      </w:pPr>
      <w:r w:rsidRPr="002B55E9">
        <w:rPr>
          <w:rFonts w:hint="eastAsia"/>
        </w:rPr>
        <w:t>拟建项目蒸汽主要用于生产中的供热、加热灭菌、设备管道的清洗消毒，蒸汽使用平衡情况具体见下表：</w:t>
      </w:r>
    </w:p>
    <w:p w14:paraId="6AA4FEF1" w14:textId="77777777" w:rsidR="00D170E5" w:rsidRPr="002B55E9" w:rsidRDefault="00EF27AD">
      <w:pPr>
        <w:pStyle w:val="1f3"/>
        <w:spacing w:beforeLines="0" w:before="0"/>
      </w:pPr>
      <w:r w:rsidRPr="002B55E9">
        <w:t>表</w:t>
      </w:r>
      <w:r w:rsidRPr="002B55E9">
        <w:t xml:space="preserve">3-2-1  </w:t>
      </w:r>
      <w:r w:rsidRPr="002B55E9">
        <w:t>拟建项目</w:t>
      </w:r>
      <w:r w:rsidRPr="002B55E9">
        <w:rPr>
          <w:rFonts w:hint="eastAsia"/>
        </w:rPr>
        <w:t>蒸汽使用</w:t>
      </w:r>
      <w:r w:rsidRPr="002B55E9">
        <w:t>平衡一览表</w:t>
      </w:r>
    </w:p>
    <w:tbl>
      <w:tblPr>
        <w:tblStyle w:val="lgy2"/>
        <w:tblW w:w="5000" w:type="pct"/>
        <w:tblLayout w:type="fixed"/>
        <w:tblCellMar>
          <w:left w:w="28" w:type="dxa"/>
          <w:right w:w="28" w:type="dxa"/>
        </w:tblCellMar>
        <w:tblLook w:val="04A0" w:firstRow="1" w:lastRow="0" w:firstColumn="1" w:lastColumn="0" w:noHBand="0" w:noVBand="1"/>
      </w:tblPr>
      <w:tblGrid>
        <w:gridCol w:w="1724"/>
        <w:gridCol w:w="1127"/>
        <w:gridCol w:w="999"/>
        <w:gridCol w:w="2138"/>
        <w:gridCol w:w="1425"/>
        <w:gridCol w:w="1141"/>
        <w:gridCol w:w="1140"/>
      </w:tblGrid>
      <w:tr w:rsidR="002B55E9" w:rsidRPr="002B55E9" w14:paraId="50E14354"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835" w:type="dxa"/>
            <w:gridSpan w:val="2"/>
          </w:tcPr>
          <w:p w14:paraId="56D562A1" w14:textId="77777777" w:rsidR="00D170E5" w:rsidRPr="002B55E9" w:rsidRDefault="00EF27AD">
            <w:pPr>
              <w:pStyle w:val="lgy-"/>
            </w:pPr>
            <w:r w:rsidRPr="002B55E9">
              <w:rPr>
                <w:rFonts w:eastAsia="宋体" w:hint="eastAsia"/>
              </w:rPr>
              <w:t>投入</w:t>
            </w:r>
          </w:p>
        </w:tc>
        <w:tc>
          <w:tcPr>
            <w:tcW w:w="4536" w:type="dxa"/>
            <w:gridSpan w:val="3"/>
          </w:tcPr>
          <w:p w14:paraId="533596B9" w14:textId="77777777" w:rsidR="00D170E5" w:rsidRPr="002B55E9" w:rsidRDefault="00EF27AD" w:rsidP="00EF27AD">
            <w:pPr>
              <w:pStyle w:val="lgy-"/>
            </w:pPr>
            <w:r w:rsidRPr="002B55E9">
              <w:rPr>
                <w:rFonts w:eastAsia="宋体" w:hint="eastAsia"/>
              </w:rPr>
              <w:t>消耗</w:t>
            </w:r>
          </w:p>
        </w:tc>
        <w:tc>
          <w:tcPr>
            <w:tcW w:w="2267" w:type="dxa"/>
            <w:gridSpan w:val="2"/>
            <w:noWrap/>
          </w:tcPr>
          <w:p w14:paraId="49E4280C" w14:textId="77777777" w:rsidR="00D170E5" w:rsidRPr="002B55E9" w:rsidRDefault="00EF27AD">
            <w:pPr>
              <w:pStyle w:val="lgy-"/>
              <w:rPr>
                <w:rFonts w:eastAsia="宋体"/>
                <w:szCs w:val="22"/>
              </w:rPr>
            </w:pPr>
            <w:r w:rsidRPr="002B55E9">
              <w:rPr>
                <w:rFonts w:eastAsia="宋体" w:hint="eastAsia"/>
                <w:szCs w:val="22"/>
              </w:rPr>
              <w:t>产出</w:t>
            </w:r>
          </w:p>
        </w:tc>
      </w:tr>
      <w:tr w:rsidR="002B55E9" w:rsidRPr="002B55E9" w14:paraId="2CB2E0CD" w14:textId="77777777" w:rsidTr="00EF27AD">
        <w:trPr>
          <w:trHeight w:val="283"/>
        </w:trPr>
        <w:tc>
          <w:tcPr>
            <w:tcW w:w="1715" w:type="dxa"/>
          </w:tcPr>
          <w:p w14:paraId="6CE0C7BA" w14:textId="77777777" w:rsidR="00D170E5" w:rsidRPr="002B55E9" w:rsidRDefault="00EF27AD">
            <w:pPr>
              <w:pStyle w:val="lgy-"/>
            </w:pPr>
            <w:r w:rsidRPr="002B55E9">
              <w:rPr>
                <w:rFonts w:eastAsia="宋体" w:hint="eastAsia"/>
              </w:rPr>
              <w:t>物料名称</w:t>
            </w:r>
          </w:p>
        </w:tc>
        <w:tc>
          <w:tcPr>
            <w:tcW w:w="1120" w:type="dxa"/>
          </w:tcPr>
          <w:p w14:paraId="065B1F16" w14:textId="77777777" w:rsidR="00D170E5" w:rsidRPr="002B55E9" w:rsidRDefault="00EF27AD">
            <w:pPr>
              <w:pStyle w:val="lgy-"/>
            </w:pPr>
            <w:r w:rsidRPr="002B55E9">
              <w:rPr>
                <w:rFonts w:eastAsia="宋体" w:hint="eastAsia"/>
              </w:rPr>
              <w:t>用量</w:t>
            </w:r>
            <w:r w:rsidRPr="002B55E9">
              <w:rPr>
                <w:rFonts w:eastAsia="宋体"/>
              </w:rPr>
              <w:t>t/a</w:t>
            </w:r>
          </w:p>
        </w:tc>
        <w:tc>
          <w:tcPr>
            <w:tcW w:w="993" w:type="dxa"/>
          </w:tcPr>
          <w:p w14:paraId="70C453D9" w14:textId="77777777" w:rsidR="00D170E5" w:rsidRPr="002B55E9" w:rsidRDefault="00EF27AD">
            <w:pPr>
              <w:pStyle w:val="lgy-"/>
            </w:pPr>
            <w:r w:rsidRPr="002B55E9">
              <w:rPr>
                <w:rFonts w:eastAsia="宋体" w:hint="eastAsia"/>
              </w:rPr>
              <w:t>种类</w:t>
            </w:r>
          </w:p>
        </w:tc>
        <w:tc>
          <w:tcPr>
            <w:tcW w:w="2126" w:type="dxa"/>
          </w:tcPr>
          <w:p w14:paraId="36D1A943" w14:textId="77777777" w:rsidR="00D170E5" w:rsidRPr="002B55E9" w:rsidRDefault="00EF27AD">
            <w:pPr>
              <w:pStyle w:val="lgy-"/>
            </w:pPr>
            <w:r w:rsidRPr="002B55E9">
              <w:rPr>
                <w:rFonts w:eastAsia="宋体" w:hint="eastAsia"/>
              </w:rPr>
              <w:t>工序</w:t>
            </w:r>
          </w:p>
        </w:tc>
        <w:tc>
          <w:tcPr>
            <w:tcW w:w="1417" w:type="dxa"/>
          </w:tcPr>
          <w:p w14:paraId="24574BE1" w14:textId="77777777" w:rsidR="00D170E5" w:rsidRPr="002B55E9" w:rsidRDefault="00EF27AD">
            <w:pPr>
              <w:pStyle w:val="lgy-"/>
            </w:pPr>
            <w:r w:rsidRPr="002B55E9">
              <w:rPr>
                <w:rFonts w:eastAsia="宋体" w:hint="eastAsia"/>
              </w:rPr>
              <w:t>用量</w:t>
            </w:r>
            <w:r w:rsidRPr="002B55E9">
              <w:rPr>
                <w:rFonts w:eastAsia="宋体"/>
              </w:rPr>
              <w:t>t/a</w:t>
            </w:r>
          </w:p>
        </w:tc>
        <w:tc>
          <w:tcPr>
            <w:tcW w:w="1134" w:type="dxa"/>
          </w:tcPr>
          <w:p w14:paraId="4406B6BA" w14:textId="77777777" w:rsidR="00D170E5" w:rsidRPr="002B55E9" w:rsidRDefault="00EF27AD">
            <w:pPr>
              <w:pStyle w:val="lgy-"/>
            </w:pPr>
            <w:r w:rsidRPr="002B55E9">
              <w:rPr>
                <w:rFonts w:eastAsia="宋体" w:hint="eastAsia"/>
              </w:rPr>
              <w:t>损耗</w:t>
            </w:r>
            <w:r w:rsidRPr="002B55E9">
              <w:rPr>
                <w:rFonts w:eastAsia="宋体" w:hint="eastAsia"/>
              </w:rPr>
              <w:t>t/a</w:t>
            </w:r>
          </w:p>
        </w:tc>
        <w:tc>
          <w:tcPr>
            <w:tcW w:w="1133" w:type="dxa"/>
          </w:tcPr>
          <w:p w14:paraId="509CDC0E" w14:textId="77777777" w:rsidR="00D170E5" w:rsidRPr="002B55E9" w:rsidRDefault="00EF27AD">
            <w:pPr>
              <w:pStyle w:val="lgy-"/>
              <w:rPr>
                <w:rFonts w:eastAsia="宋体"/>
              </w:rPr>
            </w:pPr>
            <w:r w:rsidRPr="002B55E9">
              <w:rPr>
                <w:rFonts w:eastAsia="宋体" w:hint="eastAsia"/>
              </w:rPr>
              <w:t>冷凝水</w:t>
            </w:r>
            <w:r w:rsidRPr="002B55E9">
              <w:rPr>
                <w:rFonts w:eastAsia="宋体" w:hint="eastAsia"/>
              </w:rPr>
              <w:t>t/a</w:t>
            </w:r>
          </w:p>
        </w:tc>
      </w:tr>
      <w:tr w:rsidR="002B55E9" w:rsidRPr="002B55E9" w14:paraId="0B18606D" w14:textId="77777777" w:rsidTr="00EF27AD">
        <w:trPr>
          <w:trHeight w:val="283"/>
        </w:trPr>
        <w:tc>
          <w:tcPr>
            <w:tcW w:w="1715" w:type="dxa"/>
            <w:noWrap/>
          </w:tcPr>
          <w:p w14:paraId="6566D889" w14:textId="77777777" w:rsidR="00D170E5" w:rsidRPr="002B55E9" w:rsidRDefault="00EF27AD">
            <w:pPr>
              <w:pStyle w:val="lgy-"/>
              <w:rPr>
                <w:szCs w:val="22"/>
              </w:rPr>
            </w:pPr>
            <w:r w:rsidRPr="002B55E9">
              <w:rPr>
                <w:rFonts w:eastAsia="宋体" w:hint="eastAsia"/>
                <w:szCs w:val="22"/>
              </w:rPr>
              <w:t>园区工业蒸汽</w:t>
            </w:r>
          </w:p>
        </w:tc>
        <w:tc>
          <w:tcPr>
            <w:tcW w:w="1120" w:type="dxa"/>
            <w:noWrap/>
          </w:tcPr>
          <w:p w14:paraId="358DE539" w14:textId="77777777" w:rsidR="00D170E5" w:rsidRPr="002B55E9" w:rsidRDefault="00EF27AD">
            <w:pPr>
              <w:pStyle w:val="lgy-"/>
              <w:rPr>
                <w:szCs w:val="22"/>
              </w:rPr>
            </w:pPr>
            <w:r w:rsidRPr="002B55E9">
              <w:rPr>
                <w:rFonts w:eastAsia="宋体" w:hint="eastAsia"/>
                <w:szCs w:val="22"/>
              </w:rPr>
              <w:t xml:space="preserve">71250 </w:t>
            </w:r>
          </w:p>
        </w:tc>
        <w:tc>
          <w:tcPr>
            <w:tcW w:w="993" w:type="dxa"/>
            <w:vMerge w:val="restart"/>
          </w:tcPr>
          <w:p w14:paraId="1F9F934D" w14:textId="77777777" w:rsidR="00D170E5" w:rsidRPr="002B55E9" w:rsidRDefault="00EF27AD">
            <w:pPr>
              <w:pStyle w:val="lgy-"/>
              <w:rPr>
                <w:szCs w:val="22"/>
              </w:rPr>
            </w:pPr>
            <w:r w:rsidRPr="002B55E9">
              <w:rPr>
                <w:rFonts w:eastAsia="宋体" w:hint="eastAsia"/>
                <w:szCs w:val="22"/>
              </w:rPr>
              <w:t>料酒生产线</w:t>
            </w:r>
          </w:p>
        </w:tc>
        <w:tc>
          <w:tcPr>
            <w:tcW w:w="2126" w:type="dxa"/>
          </w:tcPr>
          <w:p w14:paraId="47E2B169" w14:textId="695AFC83" w:rsidR="00D170E5" w:rsidRPr="002B55E9" w:rsidRDefault="00EF27AD">
            <w:pPr>
              <w:pStyle w:val="lgy-"/>
            </w:pPr>
            <w:r w:rsidRPr="002B55E9">
              <w:rPr>
                <w:rFonts w:eastAsia="宋体" w:hint="eastAsia"/>
              </w:rPr>
              <w:t>浸提加热</w:t>
            </w:r>
            <w:r w:rsidR="005478E8" w:rsidRPr="002B55E9">
              <w:rPr>
                <w:rFonts w:eastAsia="宋体" w:hint="eastAsia"/>
              </w:rPr>
              <w:t>（间接）</w:t>
            </w:r>
          </w:p>
        </w:tc>
        <w:tc>
          <w:tcPr>
            <w:tcW w:w="1417" w:type="dxa"/>
            <w:noWrap/>
          </w:tcPr>
          <w:p w14:paraId="5EBCEB13" w14:textId="77777777" w:rsidR="00D170E5" w:rsidRPr="002B55E9" w:rsidRDefault="00EF27AD">
            <w:pPr>
              <w:pStyle w:val="lgy-"/>
              <w:rPr>
                <w:szCs w:val="22"/>
              </w:rPr>
            </w:pPr>
            <w:r w:rsidRPr="002B55E9">
              <w:rPr>
                <w:rFonts w:eastAsia="宋体" w:hint="eastAsia"/>
                <w:szCs w:val="22"/>
              </w:rPr>
              <w:t>12000</w:t>
            </w:r>
          </w:p>
        </w:tc>
        <w:tc>
          <w:tcPr>
            <w:tcW w:w="1134" w:type="dxa"/>
            <w:noWrap/>
          </w:tcPr>
          <w:p w14:paraId="10932141" w14:textId="77777777" w:rsidR="00D170E5" w:rsidRPr="002B55E9" w:rsidRDefault="00EF27AD">
            <w:pPr>
              <w:pStyle w:val="lgy-"/>
              <w:rPr>
                <w:szCs w:val="22"/>
              </w:rPr>
            </w:pPr>
            <w:r w:rsidRPr="002B55E9">
              <w:rPr>
                <w:rFonts w:eastAsia="宋体" w:hint="eastAsia"/>
                <w:szCs w:val="22"/>
              </w:rPr>
              <w:t>1800</w:t>
            </w:r>
          </w:p>
        </w:tc>
        <w:tc>
          <w:tcPr>
            <w:tcW w:w="1133" w:type="dxa"/>
            <w:noWrap/>
          </w:tcPr>
          <w:p w14:paraId="776F7CEC" w14:textId="77777777" w:rsidR="00D170E5" w:rsidRPr="002B55E9" w:rsidRDefault="00EF27AD">
            <w:pPr>
              <w:pStyle w:val="lgy-"/>
              <w:rPr>
                <w:rFonts w:eastAsia="宋体"/>
                <w:szCs w:val="22"/>
              </w:rPr>
            </w:pPr>
            <w:r w:rsidRPr="002B55E9">
              <w:rPr>
                <w:rFonts w:eastAsia="宋体" w:hint="eastAsia"/>
                <w:szCs w:val="22"/>
              </w:rPr>
              <w:t>10200</w:t>
            </w:r>
          </w:p>
        </w:tc>
      </w:tr>
      <w:tr w:rsidR="002B55E9" w:rsidRPr="002B55E9" w14:paraId="3E684DEE" w14:textId="77777777" w:rsidTr="00EF27AD">
        <w:trPr>
          <w:trHeight w:val="283"/>
        </w:trPr>
        <w:tc>
          <w:tcPr>
            <w:tcW w:w="1715" w:type="dxa"/>
            <w:noWrap/>
          </w:tcPr>
          <w:p w14:paraId="4137DE49"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17576233" w14:textId="77777777" w:rsidR="00D170E5" w:rsidRPr="002B55E9" w:rsidRDefault="00EF27AD">
            <w:pPr>
              <w:pStyle w:val="lgy-"/>
              <w:rPr>
                <w:szCs w:val="22"/>
              </w:rPr>
            </w:pPr>
            <w:r w:rsidRPr="002B55E9">
              <w:rPr>
                <w:rFonts w:eastAsia="宋体" w:hint="eastAsia"/>
                <w:szCs w:val="22"/>
              </w:rPr>
              <w:t xml:space="preserve">　</w:t>
            </w:r>
          </w:p>
        </w:tc>
        <w:tc>
          <w:tcPr>
            <w:tcW w:w="993" w:type="dxa"/>
            <w:vMerge/>
          </w:tcPr>
          <w:p w14:paraId="0E5F038A" w14:textId="77777777" w:rsidR="00D170E5" w:rsidRPr="002B55E9" w:rsidRDefault="00D170E5">
            <w:pPr>
              <w:pStyle w:val="lgy-"/>
              <w:rPr>
                <w:szCs w:val="22"/>
              </w:rPr>
            </w:pPr>
          </w:p>
        </w:tc>
        <w:tc>
          <w:tcPr>
            <w:tcW w:w="2126" w:type="dxa"/>
          </w:tcPr>
          <w:p w14:paraId="6E1783C5" w14:textId="77777777" w:rsidR="00D170E5" w:rsidRPr="002B55E9" w:rsidRDefault="00EF27AD">
            <w:pPr>
              <w:pStyle w:val="lgy-"/>
            </w:pPr>
            <w:r w:rsidRPr="002B55E9">
              <w:rPr>
                <w:rFonts w:eastAsia="宋体" w:hint="eastAsia"/>
              </w:rPr>
              <w:t>成品加热（间接）灭菌</w:t>
            </w:r>
          </w:p>
        </w:tc>
        <w:tc>
          <w:tcPr>
            <w:tcW w:w="1417" w:type="dxa"/>
            <w:noWrap/>
          </w:tcPr>
          <w:p w14:paraId="17271714" w14:textId="77777777" w:rsidR="00D170E5" w:rsidRPr="002B55E9" w:rsidRDefault="00EF27AD">
            <w:pPr>
              <w:pStyle w:val="lgy-"/>
              <w:rPr>
                <w:szCs w:val="22"/>
              </w:rPr>
            </w:pPr>
            <w:r w:rsidRPr="002B55E9">
              <w:rPr>
                <w:rFonts w:eastAsia="宋体" w:hint="eastAsia"/>
                <w:szCs w:val="22"/>
              </w:rPr>
              <w:t>26475</w:t>
            </w:r>
          </w:p>
        </w:tc>
        <w:tc>
          <w:tcPr>
            <w:tcW w:w="1134" w:type="dxa"/>
            <w:noWrap/>
          </w:tcPr>
          <w:p w14:paraId="51AD0D24" w14:textId="77777777" w:rsidR="00D170E5" w:rsidRPr="002B55E9" w:rsidRDefault="00EF27AD">
            <w:pPr>
              <w:pStyle w:val="lgy-"/>
              <w:rPr>
                <w:szCs w:val="22"/>
              </w:rPr>
            </w:pPr>
            <w:r w:rsidRPr="002B55E9">
              <w:rPr>
                <w:rFonts w:eastAsia="宋体" w:hint="eastAsia"/>
                <w:szCs w:val="22"/>
              </w:rPr>
              <w:t>3971</w:t>
            </w:r>
          </w:p>
        </w:tc>
        <w:tc>
          <w:tcPr>
            <w:tcW w:w="1133" w:type="dxa"/>
            <w:noWrap/>
          </w:tcPr>
          <w:p w14:paraId="76DE04BA" w14:textId="77777777" w:rsidR="00D170E5" w:rsidRPr="002B55E9" w:rsidRDefault="00EF27AD">
            <w:pPr>
              <w:pStyle w:val="lgy-"/>
              <w:rPr>
                <w:rFonts w:eastAsia="宋体"/>
                <w:szCs w:val="22"/>
              </w:rPr>
            </w:pPr>
            <w:r w:rsidRPr="002B55E9">
              <w:rPr>
                <w:rFonts w:eastAsia="宋体" w:hint="eastAsia"/>
                <w:szCs w:val="22"/>
              </w:rPr>
              <w:t>22504</w:t>
            </w:r>
          </w:p>
        </w:tc>
      </w:tr>
      <w:tr w:rsidR="002B55E9" w:rsidRPr="002B55E9" w14:paraId="1B377667" w14:textId="77777777" w:rsidTr="00EF27AD">
        <w:trPr>
          <w:trHeight w:val="283"/>
        </w:trPr>
        <w:tc>
          <w:tcPr>
            <w:tcW w:w="1715" w:type="dxa"/>
            <w:noWrap/>
          </w:tcPr>
          <w:p w14:paraId="42826EC4"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20E01DBC" w14:textId="77777777" w:rsidR="00D170E5" w:rsidRPr="002B55E9" w:rsidRDefault="00EF27AD">
            <w:pPr>
              <w:pStyle w:val="lgy-"/>
              <w:rPr>
                <w:szCs w:val="22"/>
              </w:rPr>
            </w:pPr>
            <w:r w:rsidRPr="002B55E9">
              <w:rPr>
                <w:rFonts w:eastAsia="宋体" w:hint="eastAsia"/>
                <w:szCs w:val="22"/>
              </w:rPr>
              <w:t xml:space="preserve">　</w:t>
            </w:r>
          </w:p>
        </w:tc>
        <w:tc>
          <w:tcPr>
            <w:tcW w:w="993" w:type="dxa"/>
            <w:vMerge w:val="restart"/>
          </w:tcPr>
          <w:p w14:paraId="50E1888B" w14:textId="41A3E759" w:rsidR="00D170E5" w:rsidRPr="002B55E9" w:rsidRDefault="00EF27AD">
            <w:pPr>
              <w:pStyle w:val="lgy-"/>
            </w:pPr>
            <w:r w:rsidRPr="002B55E9">
              <w:rPr>
                <w:rFonts w:eastAsia="宋体" w:hint="eastAsia"/>
              </w:rPr>
              <w:t>白米醋</w:t>
            </w:r>
            <w:r w:rsidR="00FF0C0A" w:rsidRPr="002B55E9">
              <w:rPr>
                <w:rFonts w:eastAsia="宋体" w:hint="eastAsia"/>
                <w:szCs w:val="22"/>
              </w:rPr>
              <w:t>生产线</w:t>
            </w:r>
          </w:p>
        </w:tc>
        <w:tc>
          <w:tcPr>
            <w:tcW w:w="2126" w:type="dxa"/>
          </w:tcPr>
          <w:p w14:paraId="77400EC4" w14:textId="77777777" w:rsidR="00D170E5" w:rsidRPr="002B55E9" w:rsidRDefault="00EF27AD">
            <w:pPr>
              <w:pStyle w:val="lgy-"/>
            </w:pPr>
            <w:r w:rsidRPr="002B55E9">
              <w:rPr>
                <w:rFonts w:eastAsia="宋体" w:hint="eastAsia"/>
              </w:rPr>
              <w:t>液化糖化加热</w:t>
            </w:r>
          </w:p>
        </w:tc>
        <w:tc>
          <w:tcPr>
            <w:tcW w:w="1417" w:type="dxa"/>
          </w:tcPr>
          <w:p w14:paraId="6F835FF9" w14:textId="77777777" w:rsidR="00D170E5" w:rsidRPr="002B55E9" w:rsidRDefault="00EF27AD">
            <w:pPr>
              <w:pStyle w:val="lgy-"/>
            </w:pPr>
            <w:r w:rsidRPr="002B55E9">
              <w:rPr>
                <w:rFonts w:eastAsia="宋体"/>
              </w:rPr>
              <w:t>3420</w:t>
            </w:r>
          </w:p>
        </w:tc>
        <w:tc>
          <w:tcPr>
            <w:tcW w:w="1134" w:type="dxa"/>
            <w:noWrap/>
          </w:tcPr>
          <w:p w14:paraId="1E05CD85" w14:textId="77777777" w:rsidR="00D170E5" w:rsidRPr="002B55E9" w:rsidRDefault="00EF27AD">
            <w:pPr>
              <w:pStyle w:val="lgy-"/>
              <w:rPr>
                <w:szCs w:val="22"/>
              </w:rPr>
            </w:pPr>
            <w:r w:rsidRPr="002B55E9">
              <w:rPr>
                <w:rFonts w:eastAsia="宋体" w:hint="eastAsia"/>
                <w:szCs w:val="22"/>
              </w:rPr>
              <w:t>513</w:t>
            </w:r>
          </w:p>
        </w:tc>
        <w:tc>
          <w:tcPr>
            <w:tcW w:w="1133" w:type="dxa"/>
            <w:noWrap/>
          </w:tcPr>
          <w:p w14:paraId="5FAA16BF" w14:textId="77777777" w:rsidR="00D170E5" w:rsidRPr="002B55E9" w:rsidRDefault="00EF27AD">
            <w:pPr>
              <w:pStyle w:val="lgy-"/>
              <w:rPr>
                <w:rFonts w:eastAsia="宋体"/>
                <w:szCs w:val="22"/>
              </w:rPr>
            </w:pPr>
            <w:r w:rsidRPr="002B55E9">
              <w:rPr>
                <w:rFonts w:eastAsia="宋体" w:hint="eastAsia"/>
                <w:szCs w:val="22"/>
              </w:rPr>
              <w:t>2907</w:t>
            </w:r>
          </w:p>
        </w:tc>
      </w:tr>
      <w:tr w:rsidR="002B55E9" w:rsidRPr="002B55E9" w14:paraId="371CDBF0" w14:textId="77777777" w:rsidTr="00EF27AD">
        <w:trPr>
          <w:trHeight w:val="283"/>
        </w:trPr>
        <w:tc>
          <w:tcPr>
            <w:tcW w:w="1715" w:type="dxa"/>
            <w:noWrap/>
          </w:tcPr>
          <w:p w14:paraId="39C61F2A"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00A66E9F" w14:textId="77777777" w:rsidR="00D170E5" w:rsidRPr="002B55E9" w:rsidRDefault="00EF27AD">
            <w:pPr>
              <w:pStyle w:val="lgy-"/>
              <w:rPr>
                <w:szCs w:val="22"/>
              </w:rPr>
            </w:pPr>
            <w:r w:rsidRPr="002B55E9">
              <w:rPr>
                <w:rFonts w:eastAsia="宋体" w:hint="eastAsia"/>
                <w:szCs w:val="22"/>
              </w:rPr>
              <w:t xml:space="preserve">　</w:t>
            </w:r>
          </w:p>
        </w:tc>
        <w:tc>
          <w:tcPr>
            <w:tcW w:w="993" w:type="dxa"/>
            <w:vMerge/>
          </w:tcPr>
          <w:p w14:paraId="0BEE6D82" w14:textId="77777777" w:rsidR="00D170E5" w:rsidRPr="002B55E9" w:rsidRDefault="00D170E5">
            <w:pPr>
              <w:pStyle w:val="lgy-"/>
            </w:pPr>
          </w:p>
        </w:tc>
        <w:tc>
          <w:tcPr>
            <w:tcW w:w="2126" w:type="dxa"/>
          </w:tcPr>
          <w:p w14:paraId="54EBB9FE" w14:textId="77777777" w:rsidR="00D170E5" w:rsidRPr="002B55E9" w:rsidRDefault="00EF27AD">
            <w:pPr>
              <w:pStyle w:val="lgy-"/>
            </w:pPr>
            <w:r w:rsidRPr="002B55E9">
              <w:rPr>
                <w:rFonts w:eastAsia="宋体" w:hint="eastAsia"/>
              </w:rPr>
              <w:t>成品加热（间接）灭菌</w:t>
            </w:r>
          </w:p>
        </w:tc>
        <w:tc>
          <w:tcPr>
            <w:tcW w:w="1417" w:type="dxa"/>
          </w:tcPr>
          <w:p w14:paraId="724B193A" w14:textId="77777777" w:rsidR="00D170E5" w:rsidRPr="002B55E9" w:rsidRDefault="00EF27AD">
            <w:pPr>
              <w:pStyle w:val="lgy-"/>
            </w:pPr>
            <w:r w:rsidRPr="002B55E9">
              <w:rPr>
                <w:rFonts w:eastAsia="宋体"/>
              </w:rPr>
              <w:t>10260</w:t>
            </w:r>
          </w:p>
        </w:tc>
        <w:tc>
          <w:tcPr>
            <w:tcW w:w="1134" w:type="dxa"/>
            <w:noWrap/>
          </w:tcPr>
          <w:p w14:paraId="4613C766" w14:textId="77777777" w:rsidR="00D170E5" w:rsidRPr="002B55E9" w:rsidRDefault="00EF27AD">
            <w:pPr>
              <w:pStyle w:val="lgy-"/>
              <w:rPr>
                <w:szCs w:val="22"/>
              </w:rPr>
            </w:pPr>
            <w:r w:rsidRPr="002B55E9">
              <w:rPr>
                <w:rFonts w:eastAsia="宋体" w:hint="eastAsia"/>
                <w:szCs w:val="22"/>
              </w:rPr>
              <w:t>1539</w:t>
            </w:r>
          </w:p>
        </w:tc>
        <w:tc>
          <w:tcPr>
            <w:tcW w:w="1133" w:type="dxa"/>
            <w:noWrap/>
          </w:tcPr>
          <w:p w14:paraId="7FD55B4F" w14:textId="77777777" w:rsidR="00D170E5" w:rsidRPr="002B55E9" w:rsidRDefault="00EF27AD">
            <w:pPr>
              <w:pStyle w:val="lgy-"/>
              <w:rPr>
                <w:rFonts w:eastAsia="宋体"/>
                <w:szCs w:val="22"/>
              </w:rPr>
            </w:pPr>
            <w:r w:rsidRPr="002B55E9">
              <w:rPr>
                <w:rFonts w:eastAsia="宋体" w:hint="eastAsia"/>
                <w:szCs w:val="22"/>
              </w:rPr>
              <w:t>8721</w:t>
            </w:r>
          </w:p>
        </w:tc>
      </w:tr>
      <w:tr w:rsidR="002B55E9" w:rsidRPr="002B55E9" w14:paraId="4D62F92D" w14:textId="77777777" w:rsidTr="00EF27AD">
        <w:trPr>
          <w:trHeight w:val="283"/>
        </w:trPr>
        <w:tc>
          <w:tcPr>
            <w:tcW w:w="1715" w:type="dxa"/>
            <w:noWrap/>
          </w:tcPr>
          <w:p w14:paraId="692E51F0"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310A5688" w14:textId="77777777" w:rsidR="00D170E5" w:rsidRPr="002B55E9" w:rsidRDefault="00EF27AD">
            <w:pPr>
              <w:pStyle w:val="lgy-"/>
              <w:rPr>
                <w:szCs w:val="22"/>
              </w:rPr>
            </w:pPr>
            <w:r w:rsidRPr="002B55E9">
              <w:rPr>
                <w:rFonts w:eastAsia="宋体" w:hint="eastAsia"/>
                <w:szCs w:val="22"/>
              </w:rPr>
              <w:t xml:space="preserve">　</w:t>
            </w:r>
          </w:p>
        </w:tc>
        <w:tc>
          <w:tcPr>
            <w:tcW w:w="993" w:type="dxa"/>
            <w:vMerge w:val="restart"/>
          </w:tcPr>
          <w:p w14:paraId="74A659EC" w14:textId="47EF0E49" w:rsidR="00D170E5" w:rsidRPr="002B55E9" w:rsidRDefault="00EF27AD">
            <w:pPr>
              <w:pStyle w:val="lgy-"/>
            </w:pPr>
            <w:r w:rsidRPr="002B55E9">
              <w:rPr>
                <w:rFonts w:eastAsia="宋体" w:hint="eastAsia"/>
              </w:rPr>
              <w:t>陈香醋</w:t>
            </w:r>
            <w:r w:rsidR="00FF0C0A" w:rsidRPr="002B55E9">
              <w:rPr>
                <w:rFonts w:eastAsia="宋体" w:hint="eastAsia"/>
                <w:szCs w:val="22"/>
              </w:rPr>
              <w:t>生产线</w:t>
            </w:r>
          </w:p>
        </w:tc>
        <w:tc>
          <w:tcPr>
            <w:tcW w:w="2126" w:type="dxa"/>
          </w:tcPr>
          <w:p w14:paraId="2CD4AD9E" w14:textId="52F26F27" w:rsidR="00D170E5" w:rsidRPr="002B55E9" w:rsidRDefault="00EF27AD">
            <w:pPr>
              <w:pStyle w:val="lgy-"/>
            </w:pPr>
            <w:r w:rsidRPr="002B55E9">
              <w:rPr>
                <w:rFonts w:eastAsia="宋体" w:hint="eastAsia"/>
              </w:rPr>
              <w:t>提取加热</w:t>
            </w:r>
            <w:r w:rsidR="005478E8" w:rsidRPr="002B55E9">
              <w:rPr>
                <w:rFonts w:eastAsia="宋体" w:hint="eastAsia"/>
              </w:rPr>
              <w:t>（间接）</w:t>
            </w:r>
          </w:p>
        </w:tc>
        <w:tc>
          <w:tcPr>
            <w:tcW w:w="1417" w:type="dxa"/>
          </w:tcPr>
          <w:p w14:paraId="76155C0A" w14:textId="77777777" w:rsidR="00D170E5" w:rsidRPr="002B55E9" w:rsidRDefault="00EF27AD">
            <w:pPr>
              <w:pStyle w:val="lgy-"/>
            </w:pPr>
            <w:r w:rsidRPr="002B55E9">
              <w:rPr>
                <w:rFonts w:eastAsia="宋体"/>
              </w:rPr>
              <w:t>4275</w:t>
            </w:r>
          </w:p>
        </w:tc>
        <w:tc>
          <w:tcPr>
            <w:tcW w:w="1134" w:type="dxa"/>
            <w:noWrap/>
          </w:tcPr>
          <w:p w14:paraId="2C78DD13" w14:textId="77777777" w:rsidR="00D170E5" w:rsidRPr="002B55E9" w:rsidRDefault="00EF27AD">
            <w:pPr>
              <w:pStyle w:val="lgy-"/>
              <w:rPr>
                <w:szCs w:val="22"/>
              </w:rPr>
            </w:pPr>
            <w:r w:rsidRPr="002B55E9">
              <w:rPr>
                <w:rFonts w:eastAsia="宋体" w:hint="eastAsia"/>
                <w:szCs w:val="22"/>
              </w:rPr>
              <w:t>641</w:t>
            </w:r>
          </w:p>
        </w:tc>
        <w:tc>
          <w:tcPr>
            <w:tcW w:w="1133" w:type="dxa"/>
            <w:noWrap/>
          </w:tcPr>
          <w:p w14:paraId="33C5FC0B" w14:textId="77777777" w:rsidR="00D170E5" w:rsidRPr="002B55E9" w:rsidRDefault="00EF27AD">
            <w:pPr>
              <w:pStyle w:val="lgy-"/>
              <w:rPr>
                <w:rFonts w:eastAsia="宋体"/>
                <w:szCs w:val="22"/>
              </w:rPr>
            </w:pPr>
            <w:r w:rsidRPr="002B55E9">
              <w:rPr>
                <w:rFonts w:eastAsia="宋体" w:hint="eastAsia"/>
                <w:szCs w:val="22"/>
              </w:rPr>
              <w:t>3634</w:t>
            </w:r>
          </w:p>
        </w:tc>
      </w:tr>
      <w:tr w:rsidR="002B55E9" w:rsidRPr="002B55E9" w14:paraId="06FD19B9" w14:textId="77777777" w:rsidTr="00EF27AD">
        <w:trPr>
          <w:trHeight w:val="283"/>
        </w:trPr>
        <w:tc>
          <w:tcPr>
            <w:tcW w:w="1715" w:type="dxa"/>
            <w:noWrap/>
          </w:tcPr>
          <w:p w14:paraId="68FE229D"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7882D71E" w14:textId="77777777" w:rsidR="00D170E5" w:rsidRPr="002B55E9" w:rsidRDefault="00EF27AD">
            <w:pPr>
              <w:pStyle w:val="lgy-"/>
              <w:rPr>
                <w:szCs w:val="22"/>
              </w:rPr>
            </w:pPr>
            <w:r w:rsidRPr="002B55E9">
              <w:rPr>
                <w:rFonts w:eastAsia="宋体" w:hint="eastAsia"/>
                <w:szCs w:val="22"/>
              </w:rPr>
              <w:t xml:space="preserve">　</w:t>
            </w:r>
          </w:p>
        </w:tc>
        <w:tc>
          <w:tcPr>
            <w:tcW w:w="993" w:type="dxa"/>
            <w:vMerge/>
          </w:tcPr>
          <w:p w14:paraId="4E83A44A" w14:textId="77777777" w:rsidR="00D170E5" w:rsidRPr="002B55E9" w:rsidRDefault="00D170E5">
            <w:pPr>
              <w:pStyle w:val="lgy-"/>
            </w:pPr>
          </w:p>
        </w:tc>
        <w:tc>
          <w:tcPr>
            <w:tcW w:w="2126" w:type="dxa"/>
          </w:tcPr>
          <w:p w14:paraId="2B42979B" w14:textId="77777777" w:rsidR="00D170E5" w:rsidRPr="002B55E9" w:rsidRDefault="00EF27AD">
            <w:pPr>
              <w:pStyle w:val="lgy-"/>
            </w:pPr>
            <w:r w:rsidRPr="002B55E9">
              <w:rPr>
                <w:rFonts w:eastAsia="宋体" w:hint="eastAsia"/>
              </w:rPr>
              <w:t>成品加热（间接）灭菌</w:t>
            </w:r>
          </w:p>
        </w:tc>
        <w:tc>
          <w:tcPr>
            <w:tcW w:w="1417" w:type="dxa"/>
          </w:tcPr>
          <w:p w14:paraId="34BEDE4A" w14:textId="77777777" w:rsidR="00D170E5" w:rsidRPr="002B55E9" w:rsidRDefault="00EF27AD">
            <w:pPr>
              <w:pStyle w:val="lgy-"/>
            </w:pPr>
            <w:r w:rsidRPr="002B55E9">
              <w:rPr>
                <w:rFonts w:eastAsia="宋体"/>
              </w:rPr>
              <w:t>9120</w:t>
            </w:r>
          </w:p>
        </w:tc>
        <w:tc>
          <w:tcPr>
            <w:tcW w:w="1134" w:type="dxa"/>
            <w:noWrap/>
          </w:tcPr>
          <w:p w14:paraId="19629394" w14:textId="77777777" w:rsidR="00D170E5" w:rsidRPr="002B55E9" w:rsidRDefault="00EF27AD">
            <w:pPr>
              <w:pStyle w:val="lgy-"/>
              <w:rPr>
                <w:szCs w:val="22"/>
              </w:rPr>
            </w:pPr>
            <w:r w:rsidRPr="002B55E9">
              <w:rPr>
                <w:rFonts w:eastAsia="宋体" w:hint="eastAsia"/>
                <w:szCs w:val="22"/>
              </w:rPr>
              <w:t>1368</w:t>
            </w:r>
          </w:p>
        </w:tc>
        <w:tc>
          <w:tcPr>
            <w:tcW w:w="1133" w:type="dxa"/>
            <w:noWrap/>
          </w:tcPr>
          <w:p w14:paraId="75C44E4F" w14:textId="77777777" w:rsidR="00D170E5" w:rsidRPr="002B55E9" w:rsidRDefault="00EF27AD">
            <w:pPr>
              <w:pStyle w:val="lgy-"/>
              <w:rPr>
                <w:rFonts w:eastAsia="宋体"/>
                <w:szCs w:val="22"/>
              </w:rPr>
            </w:pPr>
            <w:r w:rsidRPr="002B55E9">
              <w:rPr>
                <w:rFonts w:eastAsia="宋体" w:hint="eastAsia"/>
                <w:szCs w:val="22"/>
              </w:rPr>
              <w:t>7752</w:t>
            </w:r>
          </w:p>
        </w:tc>
      </w:tr>
      <w:tr w:rsidR="002B55E9" w:rsidRPr="002B55E9" w14:paraId="6EC44965" w14:textId="77777777" w:rsidTr="00EF27AD">
        <w:trPr>
          <w:trHeight w:val="283"/>
        </w:trPr>
        <w:tc>
          <w:tcPr>
            <w:tcW w:w="1715" w:type="dxa"/>
            <w:noWrap/>
          </w:tcPr>
          <w:p w14:paraId="36D08CC6" w14:textId="77777777" w:rsidR="00D170E5" w:rsidRPr="002B55E9" w:rsidRDefault="00EF27AD">
            <w:pPr>
              <w:pStyle w:val="lgy-"/>
              <w:rPr>
                <w:szCs w:val="22"/>
              </w:rPr>
            </w:pPr>
            <w:r w:rsidRPr="002B55E9">
              <w:rPr>
                <w:rFonts w:eastAsia="宋体" w:hint="eastAsia"/>
                <w:szCs w:val="22"/>
              </w:rPr>
              <w:t xml:space="preserve">　</w:t>
            </w:r>
          </w:p>
        </w:tc>
        <w:tc>
          <w:tcPr>
            <w:tcW w:w="1120" w:type="dxa"/>
            <w:noWrap/>
          </w:tcPr>
          <w:p w14:paraId="79B5551A" w14:textId="77777777" w:rsidR="00D170E5" w:rsidRPr="002B55E9" w:rsidRDefault="00EF27AD">
            <w:pPr>
              <w:pStyle w:val="lgy-"/>
              <w:rPr>
                <w:szCs w:val="22"/>
              </w:rPr>
            </w:pPr>
            <w:r w:rsidRPr="002B55E9">
              <w:rPr>
                <w:rFonts w:eastAsia="宋体" w:hint="eastAsia"/>
                <w:szCs w:val="22"/>
              </w:rPr>
              <w:t xml:space="preserve">　</w:t>
            </w:r>
          </w:p>
        </w:tc>
        <w:tc>
          <w:tcPr>
            <w:tcW w:w="3119" w:type="dxa"/>
            <w:gridSpan w:val="2"/>
          </w:tcPr>
          <w:p w14:paraId="3C8ECA18" w14:textId="7B801104" w:rsidR="00D170E5" w:rsidRPr="002B55E9" w:rsidRDefault="005478E8">
            <w:pPr>
              <w:pStyle w:val="lgy-"/>
            </w:pPr>
            <w:r w:rsidRPr="002B55E9">
              <w:rPr>
                <w:rFonts w:eastAsia="宋体" w:hint="eastAsia"/>
              </w:rPr>
              <w:t>CIP</w:t>
            </w:r>
            <w:r w:rsidRPr="002B55E9">
              <w:rPr>
                <w:rFonts w:eastAsia="宋体" w:hint="eastAsia"/>
              </w:rPr>
              <w:t>清洗水加热（间接）</w:t>
            </w:r>
            <w:r w:rsidRPr="002B55E9">
              <w:rPr>
                <w:rFonts w:eastAsia="宋体" w:hint="eastAsia"/>
              </w:rPr>
              <w:tab/>
            </w:r>
          </w:p>
        </w:tc>
        <w:tc>
          <w:tcPr>
            <w:tcW w:w="1417" w:type="dxa"/>
          </w:tcPr>
          <w:p w14:paraId="4CEBDA1A" w14:textId="77777777" w:rsidR="00D170E5" w:rsidRPr="002B55E9" w:rsidRDefault="00EF27AD">
            <w:pPr>
              <w:pStyle w:val="lgy-"/>
            </w:pPr>
            <w:r w:rsidRPr="002B55E9">
              <w:rPr>
                <w:rFonts w:eastAsia="宋体"/>
              </w:rPr>
              <w:t>5700</w:t>
            </w:r>
          </w:p>
        </w:tc>
        <w:tc>
          <w:tcPr>
            <w:tcW w:w="1134" w:type="dxa"/>
            <w:noWrap/>
          </w:tcPr>
          <w:p w14:paraId="0F1AFA0E" w14:textId="77777777" w:rsidR="00D170E5" w:rsidRPr="002B55E9" w:rsidRDefault="00EF27AD">
            <w:pPr>
              <w:pStyle w:val="lgy-"/>
              <w:rPr>
                <w:szCs w:val="22"/>
              </w:rPr>
            </w:pPr>
            <w:r w:rsidRPr="002B55E9">
              <w:rPr>
                <w:rFonts w:eastAsia="宋体" w:hint="eastAsia"/>
                <w:szCs w:val="22"/>
              </w:rPr>
              <w:t>855</w:t>
            </w:r>
          </w:p>
        </w:tc>
        <w:tc>
          <w:tcPr>
            <w:tcW w:w="1133" w:type="dxa"/>
            <w:noWrap/>
          </w:tcPr>
          <w:p w14:paraId="18F7A010" w14:textId="77777777" w:rsidR="00D170E5" w:rsidRPr="002B55E9" w:rsidRDefault="00EF27AD">
            <w:pPr>
              <w:pStyle w:val="lgy-"/>
              <w:rPr>
                <w:rFonts w:eastAsia="宋体"/>
                <w:szCs w:val="22"/>
              </w:rPr>
            </w:pPr>
            <w:r w:rsidRPr="002B55E9">
              <w:rPr>
                <w:rFonts w:eastAsia="宋体" w:hint="eastAsia"/>
                <w:szCs w:val="22"/>
              </w:rPr>
              <w:t>4845</w:t>
            </w:r>
          </w:p>
        </w:tc>
      </w:tr>
      <w:tr w:rsidR="002B55E9" w:rsidRPr="002B55E9" w14:paraId="59345B7F" w14:textId="77777777" w:rsidTr="00EF27AD">
        <w:trPr>
          <w:trHeight w:val="283"/>
        </w:trPr>
        <w:tc>
          <w:tcPr>
            <w:tcW w:w="1715" w:type="dxa"/>
            <w:noWrap/>
          </w:tcPr>
          <w:p w14:paraId="7B40A1BF" w14:textId="77777777" w:rsidR="00D170E5" w:rsidRPr="002B55E9" w:rsidRDefault="00EF27AD">
            <w:pPr>
              <w:pStyle w:val="lgy-"/>
              <w:rPr>
                <w:szCs w:val="22"/>
              </w:rPr>
            </w:pPr>
            <w:r w:rsidRPr="002B55E9">
              <w:rPr>
                <w:rFonts w:eastAsia="宋体" w:hint="eastAsia"/>
                <w:szCs w:val="22"/>
              </w:rPr>
              <w:t>合计</w:t>
            </w:r>
          </w:p>
        </w:tc>
        <w:tc>
          <w:tcPr>
            <w:tcW w:w="1120" w:type="dxa"/>
            <w:noWrap/>
          </w:tcPr>
          <w:p w14:paraId="798A188A" w14:textId="77777777" w:rsidR="00D170E5" w:rsidRPr="002B55E9" w:rsidRDefault="00EF27AD">
            <w:pPr>
              <w:pStyle w:val="lgy-"/>
              <w:rPr>
                <w:szCs w:val="22"/>
              </w:rPr>
            </w:pPr>
            <w:r w:rsidRPr="002B55E9">
              <w:rPr>
                <w:rFonts w:eastAsia="宋体" w:hint="eastAsia"/>
                <w:szCs w:val="22"/>
              </w:rPr>
              <w:t xml:space="preserve">71250 </w:t>
            </w:r>
          </w:p>
        </w:tc>
        <w:tc>
          <w:tcPr>
            <w:tcW w:w="3119" w:type="dxa"/>
            <w:gridSpan w:val="2"/>
          </w:tcPr>
          <w:p w14:paraId="41DC6596" w14:textId="77777777" w:rsidR="00D170E5" w:rsidRPr="002B55E9" w:rsidRDefault="00EF27AD">
            <w:pPr>
              <w:pStyle w:val="lgy-"/>
            </w:pPr>
            <w:r w:rsidRPr="002B55E9">
              <w:rPr>
                <w:rFonts w:eastAsia="宋体" w:hint="eastAsia"/>
              </w:rPr>
              <w:t>合计</w:t>
            </w:r>
          </w:p>
        </w:tc>
        <w:tc>
          <w:tcPr>
            <w:tcW w:w="1417" w:type="dxa"/>
          </w:tcPr>
          <w:p w14:paraId="3F320448" w14:textId="77777777" w:rsidR="00D170E5" w:rsidRPr="002B55E9" w:rsidRDefault="00EF27AD">
            <w:pPr>
              <w:pStyle w:val="lgy-"/>
            </w:pPr>
            <w:r w:rsidRPr="002B55E9">
              <w:rPr>
                <w:rFonts w:eastAsia="宋体"/>
              </w:rPr>
              <w:t>71250</w:t>
            </w:r>
          </w:p>
        </w:tc>
        <w:tc>
          <w:tcPr>
            <w:tcW w:w="1134" w:type="dxa"/>
            <w:noWrap/>
          </w:tcPr>
          <w:p w14:paraId="7CDB215C" w14:textId="77777777" w:rsidR="00D170E5" w:rsidRPr="002B55E9" w:rsidRDefault="00EF27AD">
            <w:pPr>
              <w:pStyle w:val="lgy-"/>
              <w:rPr>
                <w:szCs w:val="22"/>
              </w:rPr>
            </w:pPr>
            <w:r w:rsidRPr="002B55E9">
              <w:rPr>
                <w:rFonts w:eastAsia="宋体" w:hint="eastAsia"/>
                <w:szCs w:val="22"/>
              </w:rPr>
              <w:t>10688</w:t>
            </w:r>
          </w:p>
        </w:tc>
        <w:tc>
          <w:tcPr>
            <w:tcW w:w="1133" w:type="dxa"/>
            <w:noWrap/>
          </w:tcPr>
          <w:p w14:paraId="7D9BB324" w14:textId="77777777" w:rsidR="00D170E5" w:rsidRPr="002B55E9" w:rsidRDefault="00EF27AD">
            <w:pPr>
              <w:pStyle w:val="lgy-"/>
              <w:rPr>
                <w:rFonts w:eastAsia="宋体"/>
                <w:szCs w:val="22"/>
              </w:rPr>
            </w:pPr>
            <w:r w:rsidRPr="002B55E9">
              <w:rPr>
                <w:rFonts w:eastAsia="宋体" w:hint="eastAsia"/>
                <w:szCs w:val="22"/>
              </w:rPr>
              <w:t>60563</w:t>
            </w:r>
          </w:p>
        </w:tc>
      </w:tr>
    </w:tbl>
    <w:p w14:paraId="0F95FF7D" w14:textId="77777777" w:rsidR="005478E8" w:rsidRPr="002B55E9" w:rsidRDefault="005478E8"/>
    <w:tbl>
      <w:tblPr>
        <w:tblStyle w:val="afffa"/>
        <w:tblW w:w="96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608"/>
      </w:tblGrid>
      <w:tr w:rsidR="002B55E9" w:rsidRPr="002B55E9" w14:paraId="2F418B07" w14:textId="77777777">
        <w:tc>
          <w:tcPr>
            <w:tcW w:w="9608" w:type="dxa"/>
          </w:tcPr>
          <w:p w14:paraId="33A3D57A" w14:textId="41A2503A" w:rsidR="00D170E5" w:rsidRPr="002B55E9" w:rsidRDefault="005478E8">
            <w:pPr>
              <w:pStyle w:val="lgy-"/>
            </w:pPr>
            <w:r w:rsidRPr="002B55E9">
              <w:rPr>
                <w:noProof/>
              </w:rPr>
              <w:drawing>
                <wp:inline distT="0" distB="0" distL="0" distR="0" wp14:anchorId="0AECA434" wp14:editId="0121BBE2">
                  <wp:extent cx="5058803" cy="4320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8803" cy="4320000"/>
                          </a:xfrm>
                          <a:prstGeom prst="rect">
                            <a:avLst/>
                          </a:prstGeom>
                          <a:noFill/>
                          <a:ln>
                            <a:noFill/>
                          </a:ln>
                        </pic:spPr>
                      </pic:pic>
                    </a:graphicData>
                  </a:graphic>
                </wp:inline>
              </w:drawing>
            </w:r>
          </w:p>
        </w:tc>
      </w:tr>
    </w:tbl>
    <w:p w14:paraId="31923B96" w14:textId="13B546D2" w:rsidR="00D170E5" w:rsidRPr="002B55E9" w:rsidRDefault="00EF27AD" w:rsidP="0075497D">
      <w:pPr>
        <w:pStyle w:val="1f3"/>
        <w:spacing w:beforeLines="0" w:before="0"/>
      </w:pPr>
      <w:r w:rsidRPr="002B55E9">
        <w:rPr>
          <w:rFonts w:hint="eastAsia"/>
        </w:rPr>
        <w:t>图</w:t>
      </w:r>
      <w:r w:rsidRPr="002B55E9">
        <w:t xml:space="preserve">3-2-1  </w:t>
      </w:r>
      <w:r w:rsidRPr="002B55E9">
        <w:t>拟建项目</w:t>
      </w:r>
      <w:r w:rsidRPr="002B55E9">
        <w:rPr>
          <w:rFonts w:hint="eastAsia"/>
        </w:rPr>
        <w:t>蒸汽使用</w:t>
      </w:r>
      <w:r w:rsidRPr="002B55E9">
        <w:t>平衡</w:t>
      </w:r>
      <w:r w:rsidRPr="002B55E9">
        <w:rPr>
          <w:rFonts w:hint="eastAsia"/>
        </w:rPr>
        <w:t>图（</w:t>
      </w:r>
      <w:r w:rsidRPr="002B55E9">
        <w:rPr>
          <w:rFonts w:hint="eastAsia"/>
        </w:rPr>
        <w:t>t/a</w:t>
      </w:r>
      <w:r w:rsidRPr="002B55E9">
        <w:rPr>
          <w:rFonts w:hint="eastAsia"/>
        </w:rPr>
        <w:t>）</w:t>
      </w:r>
    </w:p>
    <w:p w14:paraId="5204B8B1" w14:textId="5667D27C" w:rsidR="00D170E5" w:rsidRDefault="00EF27AD">
      <w:pPr>
        <w:pStyle w:val="4"/>
        <w:rPr>
          <w:color w:val="auto"/>
        </w:rPr>
      </w:pPr>
      <w:r w:rsidRPr="002B55E9">
        <w:rPr>
          <w:rFonts w:hint="eastAsia"/>
          <w:color w:val="auto"/>
        </w:rPr>
        <w:t>物料平衡</w:t>
      </w:r>
    </w:p>
    <w:p w14:paraId="153F87F7" w14:textId="77777777" w:rsidR="00C60999" w:rsidRDefault="00C60999" w:rsidP="00C60999">
      <w:pPr>
        <w:pStyle w:val="1f3"/>
        <w:spacing w:beforeLines="0" w:before="0"/>
      </w:pPr>
    </w:p>
    <w:p w14:paraId="414FBE16"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2B3C240A" w14:textId="77777777" w:rsidR="00C60999" w:rsidRPr="002B55E9" w:rsidRDefault="00C60999" w:rsidP="00C60999">
      <w:pPr>
        <w:pStyle w:val="1f3"/>
        <w:spacing w:beforeLines="0" w:before="0"/>
      </w:pPr>
    </w:p>
    <w:p w14:paraId="7B97E389" w14:textId="77777777" w:rsidR="00D170E5" w:rsidRPr="002B55E9" w:rsidRDefault="00EF27AD">
      <w:pPr>
        <w:pStyle w:val="4"/>
        <w:rPr>
          <w:color w:val="auto"/>
        </w:rPr>
      </w:pPr>
      <w:r w:rsidRPr="002B55E9">
        <w:rPr>
          <w:rFonts w:hint="eastAsia"/>
          <w:color w:val="auto"/>
        </w:rPr>
        <w:t>水平衡</w:t>
      </w:r>
    </w:p>
    <w:p w14:paraId="0D00EC05" w14:textId="77777777" w:rsidR="00D170E5" w:rsidRPr="002B55E9" w:rsidRDefault="00EF27AD">
      <w:pPr>
        <w:pStyle w:val="aa"/>
        <w:adjustRightInd w:val="0"/>
        <w:snapToGrid w:val="0"/>
        <w:ind w:firstLineChars="200" w:firstLine="480"/>
        <w:jc w:val="left"/>
      </w:pPr>
      <w:r w:rsidRPr="002B55E9">
        <w:rPr>
          <w:rFonts w:hint="eastAsia"/>
        </w:rPr>
        <w:t>本项目用水主要为生产用水和生活用水，排水为生活污水和生产废水。</w:t>
      </w:r>
    </w:p>
    <w:p w14:paraId="776B28FF" w14:textId="77777777" w:rsidR="00D170E5" w:rsidRPr="002B55E9" w:rsidRDefault="00EF27AD">
      <w:pPr>
        <w:pStyle w:val="5"/>
      </w:pPr>
      <w:r w:rsidRPr="002B55E9">
        <w:rPr>
          <w:rFonts w:hint="eastAsia"/>
        </w:rPr>
        <w:t>办公</w:t>
      </w:r>
      <w:r w:rsidRPr="002B55E9">
        <w:t>生活用水</w:t>
      </w:r>
      <w:r w:rsidRPr="002B55E9">
        <w:rPr>
          <w:rFonts w:hint="eastAsia"/>
        </w:rPr>
        <w:t>及</w:t>
      </w:r>
      <w:r w:rsidRPr="002B55E9">
        <w:t>排水</w:t>
      </w:r>
    </w:p>
    <w:p w14:paraId="6510ACC8" w14:textId="77777777" w:rsidR="00D170E5" w:rsidRPr="002B55E9" w:rsidRDefault="00EF27AD">
      <w:pPr>
        <w:pStyle w:val="aa"/>
        <w:adjustRightInd w:val="0"/>
        <w:snapToGrid w:val="0"/>
        <w:ind w:firstLineChars="200" w:firstLine="480"/>
      </w:pPr>
      <w:r w:rsidRPr="002B55E9">
        <w:rPr>
          <w:rFonts w:hint="eastAsia"/>
        </w:rPr>
        <w:t>根据《建筑给水排水设计规范》（</w:t>
      </w:r>
      <w:r w:rsidRPr="002B55E9">
        <w:rPr>
          <w:rFonts w:hint="eastAsia"/>
        </w:rPr>
        <w:t>G</w:t>
      </w:r>
      <w:r w:rsidRPr="002B55E9">
        <w:t>B50015-2019</w:t>
      </w:r>
      <w:r w:rsidRPr="002B55E9">
        <w:rPr>
          <w:rFonts w:hint="eastAsia"/>
        </w:rPr>
        <w:t>），工业</w:t>
      </w:r>
      <w:r w:rsidRPr="002B55E9">
        <w:t>企业</w:t>
      </w:r>
      <w:r w:rsidRPr="002B55E9">
        <w:rPr>
          <w:rFonts w:hint="eastAsia"/>
        </w:rPr>
        <w:t>人员用水定额</w:t>
      </w:r>
      <w:r w:rsidRPr="002B55E9">
        <w:t>宜采用</w:t>
      </w:r>
      <w:r w:rsidRPr="002B55E9">
        <w:rPr>
          <w:rFonts w:hint="eastAsia"/>
        </w:rPr>
        <w:t>30L/</w:t>
      </w:r>
      <w:r w:rsidRPr="002B55E9">
        <w:rPr>
          <w:rFonts w:hint="eastAsia"/>
        </w:rPr>
        <w:t>（人</w:t>
      </w:r>
      <w:r w:rsidRPr="002B55E9">
        <w:rPr>
          <w:rFonts w:ascii="宋体" w:hAnsi="宋体" w:hint="eastAsia"/>
        </w:rPr>
        <w:t>·</w:t>
      </w:r>
      <w:r w:rsidRPr="002B55E9">
        <w:rPr>
          <w:rFonts w:hint="eastAsia"/>
        </w:rPr>
        <w:t>班）</w:t>
      </w:r>
      <w:r w:rsidRPr="002B55E9">
        <w:rPr>
          <w:rFonts w:hint="eastAsia"/>
        </w:rPr>
        <w:t>~</w:t>
      </w:r>
      <w:r w:rsidRPr="002B55E9">
        <w:t>50L</w:t>
      </w:r>
      <w:r w:rsidRPr="002B55E9">
        <w:rPr>
          <w:rFonts w:hint="eastAsia"/>
        </w:rPr>
        <w:t>（人</w:t>
      </w:r>
      <w:r w:rsidRPr="002B55E9">
        <w:rPr>
          <w:rFonts w:ascii="宋体" w:hAnsi="宋体" w:hint="eastAsia"/>
        </w:rPr>
        <w:t>·</w:t>
      </w:r>
      <w:r w:rsidRPr="002B55E9">
        <w:rPr>
          <w:rFonts w:hint="eastAsia"/>
        </w:rPr>
        <w:t>班</w:t>
      </w:r>
      <w:r w:rsidRPr="002B55E9">
        <w:rPr>
          <w:rFonts w:hint="eastAsia"/>
        </w:rPr>
        <w:t xml:space="preserve"> </w:t>
      </w:r>
      <w:r w:rsidRPr="002B55E9">
        <w:rPr>
          <w:rFonts w:hint="eastAsia"/>
        </w:rPr>
        <w:t>），用水</w:t>
      </w:r>
      <w:r w:rsidRPr="002B55E9">
        <w:t>时间宜取</w:t>
      </w:r>
      <w:r w:rsidRPr="002B55E9">
        <w:rPr>
          <w:rFonts w:hint="eastAsia"/>
        </w:rPr>
        <w:t>8</w:t>
      </w:r>
      <w:r w:rsidRPr="002B55E9">
        <w:t>h</w:t>
      </w:r>
      <w:r w:rsidRPr="002B55E9">
        <w:t>，小时变化系数宜取</w:t>
      </w:r>
      <w:r w:rsidRPr="002B55E9">
        <w:rPr>
          <w:rFonts w:hint="eastAsia"/>
        </w:rPr>
        <w:t>2.5</w:t>
      </w:r>
      <w:r w:rsidRPr="002B55E9">
        <w:t>~1.5</w:t>
      </w:r>
      <w:r w:rsidRPr="002B55E9">
        <w:rPr>
          <w:rFonts w:hint="eastAsia"/>
        </w:rPr>
        <w:t>。</w:t>
      </w:r>
      <w:r w:rsidRPr="002B55E9">
        <w:t>本项目</w:t>
      </w:r>
      <w:r w:rsidRPr="002B55E9">
        <w:rPr>
          <w:rFonts w:hint="eastAsia"/>
        </w:rPr>
        <w:t>员工</w:t>
      </w:r>
      <w:r w:rsidRPr="002B55E9">
        <w:t>定员</w:t>
      </w:r>
      <w:r w:rsidRPr="002B55E9">
        <w:rPr>
          <w:rFonts w:hint="eastAsia"/>
        </w:rPr>
        <w:t>136</w:t>
      </w:r>
      <w:r w:rsidRPr="002B55E9">
        <w:rPr>
          <w:rFonts w:hint="eastAsia"/>
        </w:rPr>
        <w:t>人，两班</w:t>
      </w:r>
      <w:r w:rsidRPr="002B55E9">
        <w:t>制，每班</w:t>
      </w:r>
      <w:r w:rsidRPr="002B55E9">
        <w:rPr>
          <w:rFonts w:hint="eastAsia"/>
        </w:rPr>
        <w:t>12</w:t>
      </w:r>
      <w:r w:rsidRPr="002B55E9">
        <w:t>h</w:t>
      </w:r>
      <w:r w:rsidRPr="002B55E9">
        <w:t>，用水定额</w:t>
      </w:r>
      <w:r w:rsidRPr="002B55E9">
        <w:rPr>
          <w:rFonts w:hint="eastAsia"/>
        </w:rPr>
        <w:t>取</w:t>
      </w:r>
      <w:r w:rsidRPr="002B55E9">
        <w:rPr>
          <w:rFonts w:hint="eastAsia"/>
        </w:rPr>
        <w:t>5</w:t>
      </w:r>
      <w:r w:rsidRPr="002B55E9">
        <w:t>0L/</w:t>
      </w:r>
      <w:r w:rsidRPr="002B55E9">
        <w:rPr>
          <w:rFonts w:hint="eastAsia"/>
        </w:rPr>
        <w:t>人</w:t>
      </w:r>
      <w:r w:rsidRPr="002B55E9">
        <w:rPr>
          <w:rFonts w:ascii="宋体" w:hAnsi="宋体" w:hint="eastAsia"/>
        </w:rPr>
        <w:t>·</w:t>
      </w:r>
      <w:r w:rsidRPr="002B55E9">
        <w:rPr>
          <w:rFonts w:hint="eastAsia"/>
        </w:rPr>
        <w:t>班，</w:t>
      </w:r>
      <w:r w:rsidRPr="002B55E9">
        <w:t>小时变化系数取</w:t>
      </w:r>
      <w:r w:rsidRPr="002B55E9">
        <w:rPr>
          <w:rFonts w:hint="eastAsia"/>
        </w:rPr>
        <w:t>1.5</w:t>
      </w:r>
      <w:r w:rsidRPr="002B55E9">
        <w:rPr>
          <w:rFonts w:hint="eastAsia"/>
        </w:rPr>
        <w:t>，</w:t>
      </w:r>
      <w:r w:rsidRPr="002B55E9">
        <w:t>年工作</w:t>
      </w:r>
      <w:r w:rsidRPr="002B55E9">
        <w:rPr>
          <w:rFonts w:hint="eastAsia"/>
        </w:rPr>
        <w:t>330</w:t>
      </w:r>
      <w:r w:rsidRPr="002B55E9">
        <w:rPr>
          <w:rFonts w:hint="eastAsia"/>
        </w:rPr>
        <w:t>天，</w:t>
      </w:r>
      <w:r w:rsidRPr="002B55E9">
        <w:t>则生活用水量为</w:t>
      </w:r>
      <w:r w:rsidRPr="002B55E9">
        <w:rPr>
          <w:rFonts w:hint="eastAsia"/>
        </w:rPr>
        <w:t>20.4</w:t>
      </w:r>
      <w:r w:rsidRPr="002B55E9">
        <w:t xml:space="preserve"> m</w:t>
      </w:r>
      <w:r w:rsidRPr="002B55E9">
        <w:rPr>
          <w:vertAlign w:val="superscript"/>
        </w:rPr>
        <w:t>3</w:t>
      </w:r>
      <w:r w:rsidRPr="002B55E9">
        <w:t>/d</w:t>
      </w:r>
      <w:r w:rsidRPr="002B55E9">
        <w:rPr>
          <w:rFonts w:hint="eastAsia"/>
        </w:rPr>
        <w:t>、</w:t>
      </w:r>
      <w:r w:rsidRPr="002B55E9">
        <w:rPr>
          <w:rFonts w:hint="eastAsia"/>
        </w:rPr>
        <w:t>6732</w:t>
      </w:r>
      <w:r w:rsidRPr="002B55E9">
        <w:t>m</w:t>
      </w:r>
      <w:r w:rsidRPr="002B55E9">
        <w:rPr>
          <w:vertAlign w:val="superscript"/>
        </w:rPr>
        <w:t>3</w:t>
      </w:r>
      <w:r w:rsidRPr="002B55E9">
        <w:t>/a</w:t>
      </w:r>
      <w:r w:rsidRPr="002B55E9">
        <w:t>。</w:t>
      </w:r>
      <w:r w:rsidRPr="002B55E9">
        <w:rPr>
          <w:rFonts w:hint="eastAsia"/>
        </w:rPr>
        <w:t>生活污水</w:t>
      </w:r>
      <w:r w:rsidRPr="002B55E9">
        <w:t>排水量按用水量的</w:t>
      </w:r>
      <w:r w:rsidRPr="002B55E9">
        <w:rPr>
          <w:rFonts w:hint="eastAsia"/>
        </w:rPr>
        <w:t>85</w:t>
      </w:r>
      <w:r w:rsidRPr="002B55E9">
        <w:t>%</w:t>
      </w:r>
      <w:r w:rsidRPr="002B55E9">
        <w:t>计，则生活</w:t>
      </w:r>
      <w:r w:rsidRPr="002B55E9">
        <w:rPr>
          <w:rFonts w:hint="eastAsia"/>
        </w:rPr>
        <w:t>污水排放量为</w:t>
      </w:r>
      <w:r w:rsidRPr="002B55E9">
        <w:t>17.3 m</w:t>
      </w:r>
      <w:r w:rsidRPr="002B55E9">
        <w:rPr>
          <w:vertAlign w:val="superscript"/>
        </w:rPr>
        <w:t>3</w:t>
      </w:r>
      <w:r w:rsidRPr="002B55E9">
        <w:t>/d</w:t>
      </w:r>
      <w:r w:rsidRPr="002B55E9">
        <w:rPr>
          <w:rFonts w:hint="eastAsia"/>
        </w:rPr>
        <w:t>、</w:t>
      </w:r>
      <w:r w:rsidRPr="002B55E9">
        <w:t>5722m</w:t>
      </w:r>
      <w:r w:rsidRPr="002B55E9">
        <w:rPr>
          <w:vertAlign w:val="superscript"/>
        </w:rPr>
        <w:t>3</w:t>
      </w:r>
      <w:r w:rsidRPr="002B55E9">
        <w:t>/a</w:t>
      </w:r>
      <w:r w:rsidRPr="002B55E9">
        <w:rPr>
          <w:rFonts w:hint="eastAsia"/>
        </w:rPr>
        <w:t>。</w:t>
      </w:r>
    </w:p>
    <w:p w14:paraId="4BC14F18" w14:textId="77777777" w:rsidR="00D170E5" w:rsidRPr="002B55E9" w:rsidRDefault="00EF27AD">
      <w:pPr>
        <w:pStyle w:val="5"/>
      </w:pPr>
      <w:r w:rsidRPr="002B55E9">
        <w:rPr>
          <w:rFonts w:hint="eastAsia"/>
        </w:rPr>
        <w:t>工艺</w:t>
      </w:r>
      <w:r w:rsidRPr="002B55E9">
        <w:t>用水</w:t>
      </w:r>
      <w:r w:rsidRPr="002B55E9">
        <w:rPr>
          <w:rFonts w:hint="eastAsia"/>
        </w:rPr>
        <w:t>及排水</w:t>
      </w:r>
    </w:p>
    <w:p w14:paraId="52042EC6" w14:textId="77777777" w:rsidR="00D170E5" w:rsidRPr="002B55E9" w:rsidRDefault="00EF27AD">
      <w:pPr>
        <w:pStyle w:val="aa"/>
        <w:adjustRightInd w:val="0"/>
        <w:snapToGrid w:val="0"/>
        <w:ind w:firstLineChars="200" w:firstLine="480"/>
      </w:pPr>
      <w:r w:rsidRPr="002B55E9">
        <w:rPr>
          <w:rFonts w:hint="eastAsia"/>
        </w:rPr>
        <w:t>1</w:t>
      </w:r>
      <w:r w:rsidRPr="002B55E9">
        <w:rPr>
          <w:rFonts w:hint="eastAsia"/>
        </w:rPr>
        <w:t>、酒精稀释用水</w:t>
      </w:r>
    </w:p>
    <w:p w14:paraId="058340B8" w14:textId="754D43A0" w:rsidR="00D170E5" w:rsidRPr="002B55E9" w:rsidRDefault="00AC793E">
      <w:pPr>
        <w:pStyle w:val="aa"/>
        <w:adjustRightInd w:val="0"/>
        <w:snapToGrid w:val="0"/>
        <w:ind w:firstLineChars="200" w:firstLine="480"/>
      </w:pPr>
      <w:r w:rsidRPr="002B55E9">
        <w:rPr>
          <w:rFonts w:hint="eastAsia"/>
        </w:rPr>
        <w:t>项目外购食用乙醇，经</w:t>
      </w:r>
      <w:r w:rsidRPr="002B55E9">
        <w:t>槽车</w:t>
      </w:r>
      <w:r w:rsidRPr="002B55E9">
        <w:rPr>
          <w:rFonts w:hint="eastAsia"/>
        </w:rPr>
        <w:t>运输</w:t>
      </w:r>
      <w:r w:rsidRPr="002B55E9">
        <w:t>至厂区</w:t>
      </w:r>
      <w:r w:rsidRPr="002B55E9">
        <w:rPr>
          <w:rFonts w:hint="eastAsia"/>
        </w:rPr>
        <w:t>，装罐过程中同时注入工艺水在线混合稀释至浓度后储存待用，储罐内设有乙醇浓度检测仪，达到设定浓度后自动停止注水。</w:t>
      </w:r>
      <w:r w:rsidR="00EF27AD" w:rsidRPr="002B55E9">
        <w:rPr>
          <w:rFonts w:hint="eastAsia"/>
        </w:rPr>
        <w:t>料酒、白米醋生产所需外购食用酒精</w:t>
      </w:r>
      <w:r w:rsidR="00EF27AD" w:rsidRPr="002B55E9">
        <w:rPr>
          <w:rFonts w:hint="eastAsia"/>
        </w:rPr>
        <w:t>2</w:t>
      </w:r>
      <w:r w:rsidR="00EF27AD" w:rsidRPr="002B55E9">
        <w:t>1</w:t>
      </w:r>
      <w:r w:rsidR="00EF27AD" w:rsidRPr="002B55E9">
        <w:rPr>
          <w:rFonts w:hint="eastAsia"/>
        </w:rPr>
        <w:t>584</w:t>
      </w:r>
      <w:r w:rsidR="00EF27AD" w:rsidRPr="002B55E9">
        <w:t>t/</w:t>
      </w:r>
      <w:r w:rsidR="00EF27AD" w:rsidRPr="002B55E9">
        <w:rPr>
          <w:rFonts w:hint="eastAsia"/>
        </w:rPr>
        <w:t>a</w:t>
      </w:r>
      <w:r w:rsidR="00EF27AD" w:rsidRPr="002B55E9">
        <w:rPr>
          <w:rFonts w:hint="eastAsia"/>
        </w:rPr>
        <w:t>，将其稀释至浓度需用水</w:t>
      </w:r>
      <w:r w:rsidR="00EF27AD" w:rsidRPr="002B55E9">
        <w:t>46765m</w:t>
      </w:r>
      <w:r w:rsidR="00EF27AD" w:rsidRPr="002B55E9">
        <w:rPr>
          <w:vertAlign w:val="superscript"/>
        </w:rPr>
        <w:t>3</w:t>
      </w:r>
      <w:r w:rsidR="00EF27AD" w:rsidRPr="002B55E9">
        <w:t>/a</w:t>
      </w:r>
      <w:r w:rsidRPr="002B55E9">
        <w:rPr>
          <w:rFonts w:hint="eastAsia"/>
        </w:rPr>
        <w:t>。</w:t>
      </w:r>
    </w:p>
    <w:p w14:paraId="17567DB5" w14:textId="77777777" w:rsidR="00D170E5" w:rsidRPr="002B55E9" w:rsidRDefault="00EF27AD">
      <w:pPr>
        <w:pStyle w:val="aa"/>
        <w:adjustRightInd w:val="0"/>
        <w:snapToGrid w:val="0"/>
        <w:ind w:firstLineChars="200" w:firstLine="480"/>
      </w:pPr>
      <w:r w:rsidRPr="002B55E9">
        <w:rPr>
          <w:rFonts w:hint="eastAsia"/>
        </w:rPr>
        <w:t>2</w:t>
      </w:r>
      <w:r w:rsidRPr="002B55E9">
        <w:rPr>
          <w:rFonts w:hint="eastAsia"/>
        </w:rPr>
        <w:t>、料酒生产用水</w:t>
      </w:r>
    </w:p>
    <w:p w14:paraId="6C213855" w14:textId="1CB18840" w:rsidR="00D170E5" w:rsidRPr="002B55E9" w:rsidRDefault="00EF27AD">
      <w:pPr>
        <w:pStyle w:val="aa"/>
        <w:adjustRightInd w:val="0"/>
        <w:snapToGrid w:val="0"/>
        <w:ind w:firstLineChars="200" w:firstLine="480"/>
      </w:pPr>
      <w:r w:rsidRPr="002B55E9">
        <w:rPr>
          <w:rFonts w:hint="eastAsia"/>
        </w:rPr>
        <w:t>料酒混合调配用水最终均进入产品，不外排</w:t>
      </w:r>
      <w:r w:rsidR="00AC793E" w:rsidRPr="002B55E9">
        <w:rPr>
          <w:rFonts w:hint="eastAsia"/>
        </w:rPr>
        <w:t>。</w:t>
      </w:r>
    </w:p>
    <w:p w14:paraId="517AFBD4" w14:textId="77777777" w:rsidR="00D170E5" w:rsidRPr="002B55E9" w:rsidRDefault="00EF27AD">
      <w:pPr>
        <w:pStyle w:val="aa"/>
        <w:adjustRightInd w:val="0"/>
        <w:snapToGrid w:val="0"/>
        <w:ind w:firstLineChars="200" w:firstLine="480"/>
      </w:pPr>
      <w:r w:rsidRPr="002B55E9">
        <w:rPr>
          <w:rFonts w:hint="eastAsia"/>
        </w:rPr>
        <w:t>3</w:t>
      </w:r>
      <w:r w:rsidRPr="002B55E9">
        <w:rPr>
          <w:rFonts w:hint="eastAsia"/>
        </w:rPr>
        <w:t>、白米醋生产用水</w:t>
      </w:r>
    </w:p>
    <w:p w14:paraId="761BE408" w14:textId="77777777" w:rsidR="00D170E5" w:rsidRPr="002B55E9" w:rsidRDefault="00EF27AD">
      <w:pPr>
        <w:pStyle w:val="aa"/>
        <w:adjustRightInd w:val="0"/>
        <w:snapToGrid w:val="0"/>
        <w:ind w:firstLineChars="200" w:firstLine="480"/>
      </w:pPr>
      <w:r w:rsidRPr="002B55E9">
        <w:rPr>
          <w:rFonts w:hint="eastAsia"/>
        </w:rPr>
        <w:t>①液化</w:t>
      </w:r>
      <w:r w:rsidRPr="002B55E9">
        <w:t>糖化</w:t>
      </w:r>
      <w:r w:rsidRPr="002B55E9">
        <w:rPr>
          <w:rFonts w:hint="eastAsia"/>
        </w:rPr>
        <w:t>用水</w:t>
      </w:r>
    </w:p>
    <w:p w14:paraId="2707F5F4" w14:textId="67BE7C12" w:rsidR="00D170E5" w:rsidRPr="002B55E9" w:rsidRDefault="00EF27AD">
      <w:pPr>
        <w:pStyle w:val="aa"/>
        <w:adjustRightInd w:val="0"/>
        <w:snapToGrid w:val="0"/>
        <w:ind w:firstLineChars="200" w:firstLine="480"/>
      </w:pPr>
      <w:r w:rsidRPr="002B55E9">
        <w:t>液化糖化用水</w:t>
      </w:r>
      <w:r w:rsidRPr="002B55E9">
        <w:rPr>
          <w:rFonts w:hint="eastAsia"/>
        </w:rPr>
        <w:t>最终进入产品，不外排</w:t>
      </w:r>
      <w:r w:rsidR="00AC793E" w:rsidRPr="002B55E9">
        <w:rPr>
          <w:rFonts w:hint="eastAsia"/>
        </w:rPr>
        <w:t>。</w:t>
      </w:r>
    </w:p>
    <w:p w14:paraId="77734C9B" w14:textId="77777777" w:rsidR="00D170E5" w:rsidRPr="002B55E9" w:rsidRDefault="00EF27AD">
      <w:pPr>
        <w:pStyle w:val="aa"/>
        <w:adjustRightInd w:val="0"/>
        <w:snapToGrid w:val="0"/>
        <w:ind w:firstLineChars="200" w:firstLine="480"/>
      </w:pPr>
      <w:r w:rsidRPr="002B55E9">
        <w:rPr>
          <w:rFonts w:hint="eastAsia"/>
        </w:rPr>
        <w:t>②酒液</w:t>
      </w:r>
      <w:r w:rsidRPr="002B55E9">
        <w:t>调配</w:t>
      </w:r>
      <w:r w:rsidRPr="002B55E9">
        <w:rPr>
          <w:rFonts w:hint="eastAsia"/>
        </w:rPr>
        <w:t>用水</w:t>
      </w:r>
    </w:p>
    <w:p w14:paraId="1D4ED4A4" w14:textId="7992851C" w:rsidR="00D170E5" w:rsidRPr="002B55E9" w:rsidRDefault="00EF27AD">
      <w:pPr>
        <w:pStyle w:val="aa"/>
        <w:adjustRightInd w:val="0"/>
        <w:snapToGrid w:val="0"/>
        <w:ind w:firstLineChars="200" w:firstLine="480"/>
      </w:pPr>
      <w:r w:rsidRPr="002B55E9">
        <w:t>酒液调配工序用水</w:t>
      </w:r>
      <w:r w:rsidRPr="002B55E9">
        <w:rPr>
          <w:rFonts w:hint="eastAsia"/>
        </w:rPr>
        <w:t>最终进入产品，不外排</w:t>
      </w:r>
      <w:r w:rsidR="00AC793E" w:rsidRPr="002B55E9">
        <w:rPr>
          <w:rFonts w:hint="eastAsia"/>
        </w:rPr>
        <w:t>。</w:t>
      </w:r>
    </w:p>
    <w:p w14:paraId="744054A4" w14:textId="77777777" w:rsidR="00D170E5" w:rsidRPr="002B55E9" w:rsidRDefault="00EF27AD">
      <w:pPr>
        <w:pStyle w:val="aa"/>
        <w:adjustRightInd w:val="0"/>
        <w:snapToGrid w:val="0"/>
        <w:ind w:firstLineChars="200" w:firstLine="480"/>
      </w:pPr>
      <w:r w:rsidRPr="002B55E9">
        <w:rPr>
          <w:rFonts w:hint="eastAsia"/>
        </w:rPr>
        <w:t>③白米醋调配用水</w:t>
      </w:r>
    </w:p>
    <w:p w14:paraId="62FC1934" w14:textId="643E43EB" w:rsidR="00D170E5" w:rsidRPr="002B55E9" w:rsidRDefault="00EF27AD">
      <w:pPr>
        <w:pStyle w:val="aa"/>
        <w:adjustRightInd w:val="0"/>
        <w:snapToGrid w:val="0"/>
        <w:ind w:firstLineChars="200" w:firstLine="480"/>
      </w:pPr>
      <w:r w:rsidRPr="002B55E9">
        <w:rPr>
          <w:rFonts w:hint="eastAsia"/>
        </w:rPr>
        <w:t>白米醋调配用水最终均进入产品，不外排</w:t>
      </w:r>
      <w:r w:rsidR="00AC793E" w:rsidRPr="002B55E9">
        <w:rPr>
          <w:rFonts w:hint="eastAsia"/>
        </w:rPr>
        <w:t>。</w:t>
      </w:r>
    </w:p>
    <w:p w14:paraId="7C5FC304" w14:textId="77777777" w:rsidR="00D170E5" w:rsidRPr="002B55E9" w:rsidRDefault="00EF27AD">
      <w:pPr>
        <w:pStyle w:val="aa"/>
        <w:adjustRightInd w:val="0"/>
        <w:snapToGrid w:val="0"/>
        <w:ind w:firstLineChars="200" w:firstLine="480"/>
      </w:pPr>
      <w:r w:rsidRPr="002B55E9">
        <w:t>4</w:t>
      </w:r>
      <w:r w:rsidRPr="002B55E9">
        <w:rPr>
          <w:rFonts w:hint="eastAsia"/>
        </w:rPr>
        <w:t>、陈香醋生产用水</w:t>
      </w:r>
    </w:p>
    <w:p w14:paraId="00C97C93" w14:textId="77777777" w:rsidR="00D170E5" w:rsidRPr="002B55E9" w:rsidRDefault="00EF27AD">
      <w:pPr>
        <w:pStyle w:val="aa"/>
        <w:adjustRightInd w:val="0"/>
        <w:snapToGrid w:val="0"/>
        <w:ind w:firstLineChars="200" w:firstLine="480"/>
      </w:pPr>
      <w:r w:rsidRPr="002B55E9">
        <w:rPr>
          <w:rFonts w:hint="eastAsia"/>
        </w:rPr>
        <w:t>①提取用水</w:t>
      </w:r>
    </w:p>
    <w:p w14:paraId="4CBCBA4A" w14:textId="4EA454E0" w:rsidR="00D170E5" w:rsidRPr="002B55E9" w:rsidRDefault="00EF27AD">
      <w:pPr>
        <w:pStyle w:val="aa"/>
        <w:adjustRightInd w:val="0"/>
        <w:snapToGrid w:val="0"/>
        <w:ind w:firstLineChars="200" w:firstLine="480"/>
      </w:pPr>
      <w:r w:rsidRPr="002B55E9">
        <w:rPr>
          <w:rFonts w:hint="eastAsia"/>
        </w:rPr>
        <w:t>陈香醋</w:t>
      </w:r>
      <w:r w:rsidRPr="002B55E9">
        <w:t>香辛料</w:t>
      </w:r>
      <w:r w:rsidRPr="002B55E9">
        <w:rPr>
          <w:rFonts w:hint="eastAsia"/>
        </w:rPr>
        <w:t>提取</w:t>
      </w:r>
      <w:r w:rsidRPr="002B55E9">
        <w:t>过程</w:t>
      </w:r>
      <w:r w:rsidRPr="002B55E9">
        <w:rPr>
          <w:rFonts w:hint="eastAsia"/>
        </w:rPr>
        <w:t>用水最终均进入产品，不外排</w:t>
      </w:r>
      <w:r w:rsidR="00AC793E" w:rsidRPr="002B55E9">
        <w:rPr>
          <w:rFonts w:hint="eastAsia"/>
        </w:rPr>
        <w:t>。</w:t>
      </w:r>
    </w:p>
    <w:p w14:paraId="7F438D22" w14:textId="77777777" w:rsidR="00D170E5" w:rsidRPr="002B55E9" w:rsidRDefault="00EF27AD">
      <w:pPr>
        <w:pStyle w:val="aa"/>
        <w:adjustRightInd w:val="0"/>
        <w:snapToGrid w:val="0"/>
        <w:ind w:firstLineChars="200" w:firstLine="480"/>
      </w:pPr>
      <w:r w:rsidRPr="002B55E9">
        <w:rPr>
          <w:rFonts w:hint="eastAsia"/>
        </w:rPr>
        <w:t>②陈香醋调配用水</w:t>
      </w:r>
    </w:p>
    <w:p w14:paraId="5D8A5E5D" w14:textId="15777882" w:rsidR="00D170E5" w:rsidRPr="002B55E9" w:rsidRDefault="00EF27AD">
      <w:pPr>
        <w:pStyle w:val="aa"/>
        <w:adjustRightInd w:val="0"/>
        <w:snapToGrid w:val="0"/>
        <w:ind w:firstLineChars="200" w:firstLine="480"/>
      </w:pPr>
      <w:r w:rsidRPr="002B55E9">
        <w:rPr>
          <w:rFonts w:hint="eastAsia"/>
        </w:rPr>
        <w:t>陈香醋混合调配用水最终均进入产品，不外排</w:t>
      </w:r>
      <w:r w:rsidR="00AC793E" w:rsidRPr="002B55E9">
        <w:rPr>
          <w:rFonts w:hint="eastAsia"/>
        </w:rPr>
        <w:t>。</w:t>
      </w:r>
    </w:p>
    <w:p w14:paraId="2053104C" w14:textId="77777777" w:rsidR="00D170E5" w:rsidRPr="002B55E9" w:rsidRDefault="00EF27AD">
      <w:pPr>
        <w:pStyle w:val="5"/>
      </w:pPr>
      <w:r w:rsidRPr="002B55E9">
        <w:rPr>
          <w:rFonts w:hint="eastAsia"/>
        </w:rPr>
        <w:t>其他</w:t>
      </w:r>
      <w:r w:rsidRPr="002B55E9">
        <w:t>环节用水及排水</w:t>
      </w:r>
    </w:p>
    <w:p w14:paraId="2DA4E66A" w14:textId="77777777" w:rsidR="00D170E5" w:rsidRPr="002B55E9" w:rsidRDefault="00EF27AD">
      <w:pPr>
        <w:pStyle w:val="aa"/>
        <w:adjustRightInd w:val="0"/>
        <w:snapToGrid w:val="0"/>
        <w:ind w:firstLineChars="200" w:firstLine="480"/>
      </w:pPr>
      <w:r w:rsidRPr="002B55E9">
        <w:rPr>
          <w:rFonts w:hint="eastAsia"/>
        </w:rPr>
        <w:t>1</w:t>
      </w:r>
      <w:r w:rsidRPr="002B55E9">
        <w:rPr>
          <w:rFonts w:hint="eastAsia"/>
        </w:rPr>
        <w:t>、包装瓶清洗用水</w:t>
      </w:r>
    </w:p>
    <w:p w14:paraId="2A2829D4" w14:textId="51401F6A" w:rsidR="00D170E5" w:rsidRPr="002B55E9" w:rsidRDefault="00EF27AD">
      <w:pPr>
        <w:pStyle w:val="aa"/>
        <w:adjustRightInd w:val="0"/>
        <w:snapToGrid w:val="0"/>
        <w:ind w:firstLineChars="200" w:firstLine="480"/>
      </w:pPr>
      <w:r w:rsidRPr="002B55E9">
        <w:rPr>
          <w:rFonts w:hint="eastAsia"/>
        </w:rPr>
        <w:t>产品灌装前需对包装瓶进行清洗，根据建设单位提供资料，</w:t>
      </w:r>
      <w:r w:rsidRPr="002B55E9">
        <w:rPr>
          <w:lang w:val="zh-CN"/>
        </w:rPr>
        <w:t>洗瓶用水</w:t>
      </w:r>
      <w:r w:rsidRPr="002B55E9">
        <w:rPr>
          <w:rFonts w:hint="eastAsia"/>
          <w:lang w:val="zh-CN"/>
        </w:rPr>
        <w:t>平均</w:t>
      </w:r>
      <w:r w:rsidRPr="002B55E9">
        <w:rPr>
          <w:lang w:val="zh-CN"/>
        </w:rPr>
        <w:t>约</w:t>
      </w:r>
      <w:r w:rsidRPr="002B55E9">
        <w:rPr>
          <w:rFonts w:hint="eastAsia"/>
          <w:lang w:val="zh-CN"/>
        </w:rPr>
        <w:t>0.1L/</w:t>
      </w:r>
      <w:r w:rsidRPr="002B55E9">
        <w:rPr>
          <w:rFonts w:hint="eastAsia"/>
          <w:lang w:val="zh-CN"/>
        </w:rPr>
        <w:t>瓶，</w:t>
      </w:r>
      <w:r w:rsidRPr="002B55E9">
        <w:rPr>
          <w:rFonts w:hint="eastAsia"/>
          <w:lang w:val="zh-CN"/>
        </w:rPr>
        <w:lastRenderedPageBreak/>
        <w:t>全年需</w:t>
      </w:r>
      <w:r w:rsidRPr="002B55E9">
        <w:rPr>
          <w:lang w:val="zh-CN"/>
        </w:rPr>
        <w:t>清洗</w:t>
      </w:r>
      <w:r w:rsidR="00AB29FF" w:rsidRPr="002B55E9">
        <w:rPr>
          <w:rFonts w:hint="eastAsia"/>
          <w:lang w:val="zh-CN"/>
        </w:rPr>
        <w:t>的玻璃瓶、</w:t>
      </w:r>
      <w:r w:rsidR="00AB29FF" w:rsidRPr="002B55E9">
        <w:rPr>
          <w:rFonts w:hint="eastAsia"/>
          <w:lang w:val="zh-CN"/>
        </w:rPr>
        <w:t>PET</w:t>
      </w:r>
      <w:r w:rsidR="00AB29FF" w:rsidRPr="002B55E9">
        <w:rPr>
          <w:rFonts w:hint="eastAsia"/>
          <w:lang w:val="zh-CN"/>
        </w:rPr>
        <w:t>瓶、</w:t>
      </w:r>
      <w:r w:rsidR="00AB29FF" w:rsidRPr="002B55E9">
        <w:rPr>
          <w:rFonts w:hint="eastAsia"/>
          <w:lang w:val="zh-CN"/>
        </w:rPr>
        <w:t>PE</w:t>
      </w:r>
      <w:r w:rsidR="00AB29FF" w:rsidRPr="002B55E9">
        <w:rPr>
          <w:rFonts w:hint="eastAsia"/>
          <w:lang w:val="zh-CN"/>
        </w:rPr>
        <w:t>瓶总</w:t>
      </w:r>
      <w:r w:rsidRPr="002B55E9">
        <w:rPr>
          <w:rFonts w:hint="eastAsia"/>
          <w:lang w:val="zh-CN"/>
        </w:rPr>
        <w:t>量约</w:t>
      </w:r>
      <w:r w:rsidRPr="002B55E9">
        <w:rPr>
          <w:rFonts w:hint="eastAsia"/>
          <w:lang w:val="zh-CN"/>
        </w:rPr>
        <w:t>9</w:t>
      </w:r>
      <w:r w:rsidRPr="002B55E9">
        <w:rPr>
          <w:lang w:val="zh-CN"/>
        </w:rPr>
        <w:t>6036</w:t>
      </w:r>
      <w:r w:rsidRPr="002B55E9">
        <w:rPr>
          <w:rFonts w:hint="eastAsia"/>
          <w:lang w:val="zh-CN"/>
        </w:rPr>
        <w:t>万个，则用水量约</w:t>
      </w:r>
      <w:r w:rsidRPr="002B55E9">
        <w:rPr>
          <w:rFonts w:hint="eastAsia"/>
          <w:lang w:val="zh-CN"/>
        </w:rPr>
        <w:t>96036m</w:t>
      </w:r>
      <w:r w:rsidRPr="002B55E9">
        <w:rPr>
          <w:rFonts w:hint="eastAsia"/>
          <w:vertAlign w:val="superscript"/>
          <w:lang w:val="zh-CN"/>
        </w:rPr>
        <w:t>3</w:t>
      </w:r>
      <w:r w:rsidRPr="002B55E9">
        <w:rPr>
          <w:rFonts w:hint="eastAsia"/>
          <w:lang w:val="zh-CN"/>
        </w:rPr>
        <w:t>/a</w:t>
      </w:r>
      <w:r w:rsidRPr="002B55E9">
        <w:rPr>
          <w:rFonts w:hint="eastAsia"/>
          <w:lang w:val="zh-CN"/>
        </w:rPr>
        <w:t>，</w:t>
      </w:r>
      <w:r w:rsidRPr="002B55E9">
        <w:rPr>
          <w:rFonts w:hint="eastAsia"/>
        </w:rPr>
        <w:t>排水量以用水量的</w:t>
      </w:r>
      <w:r w:rsidRPr="002B55E9">
        <w:t>90%</w:t>
      </w:r>
      <w:r w:rsidRPr="002B55E9">
        <w:rPr>
          <w:rFonts w:hint="eastAsia"/>
        </w:rPr>
        <w:t>计，则清洗排水量为</w:t>
      </w:r>
      <w:r w:rsidRPr="002B55E9">
        <w:t>86432 m</w:t>
      </w:r>
      <w:r w:rsidRPr="002B55E9">
        <w:rPr>
          <w:vertAlign w:val="superscript"/>
        </w:rPr>
        <w:t>3</w:t>
      </w:r>
      <w:r w:rsidRPr="002B55E9">
        <w:t>/a</w:t>
      </w:r>
      <w:r w:rsidRPr="002B55E9">
        <w:rPr>
          <w:rFonts w:hint="eastAsia"/>
        </w:rPr>
        <w:t>。</w:t>
      </w:r>
    </w:p>
    <w:p w14:paraId="61D98221" w14:textId="77777777" w:rsidR="00D170E5" w:rsidRPr="002B55E9" w:rsidRDefault="00EF27AD">
      <w:pPr>
        <w:pStyle w:val="aa"/>
        <w:adjustRightInd w:val="0"/>
        <w:snapToGrid w:val="0"/>
        <w:ind w:firstLineChars="200" w:firstLine="480"/>
      </w:pPr>
      <w:r w:rsidRPr="002B55E9">
        <w:rPr>
          <w:rFonts w:hint="eastAsia"/>
        </w:rPr>
        <w:t>2</w:t>
      </w:r>
      <w:r w:rsidRPr="002B55E9">
        <w:rPr>
          <w:rFonts w:hint="eastAsia"/>
        </w:rPr>
        <w:t>、设备及管道清洗用水</w:t>
      </w:r>
    </w:p>
    <w:p w14:paraId="4ECE1E03" w14:textId="347FC527" w:rsidR="004F7354" w:rsidRPr="002B55E9" w:rsidRDefault="000F36CA" w:rsidP="000F36CA">
      <w:pPr>
        <w:pStyle w:val="aa"/>
      </w:pPr>
      <w:r w:rsidRPr="002B55E9">
        <w:rPr>
          <w:rFonts w:hint="eastAsia"/>
        </w:rPr>
        <w:t>拟建项目各生产设备及配套管道均需进行清洗，采用</w:t>
      </w:r>
      <w:r w:rsidRPr="002B55E9">
        <w:rPr>
          <w:rFonts w:hint="eastAsia"/>
        </w:rPr>
        <w:t>CIP</w:t>
      </w:r>
      <w:r w:rsidR="004F7354" w:rsidRPr="002B55E9">
        <w:rPr>
          <w:rFonts w:hint="eastAsia"/>
        </w:rPr>
        <w:t>原位</w:t>
      </w:r>
      <w:r w:rsidRPr="002B55E9">
        <w:rPr>
          <w:rFonts w:hint="eastAsia"/>
        </w:rPr>
        <w:t>清洗</w:t>
      </w:r>
      <w:r w:rsidRPr="002B55E9">
        <w:t>系统进行清洗</w:t>
      </w:r>
      <w:r w:rsidR="004F7354" w:rsidRPr="002B55E9">
        <w:rPr>
          <w:rFonts w:hint="eastAsia"/>
        </w:rPr>
        <w:t>。</w:t>
      </w:r>
      <w:r w:rsidR="004F7354" w:rsidRPr="002B55E9">
        <w:t>CIP</w:t>
      </w:r>
      <w:r w:rsidR="004F7354" w:rsidRPr="002B55E9">
        <w:t>原位清洗系统是指设备（罐体、管道、泵、过滤器等）及整个生产线在无需人工拆卸或打开的前提下，在一个预定时间内，将一定温度的清洁液通过密闭的管道对设备内表面进行喷淋循环而达到清洗的目的，特称</w:t>
      </w:r>
      <w:r w:rsidR="004F7354" w:rsidRPr="002B55E9">
        <w:t>CIP</w:t>
      </w:r>
      <w:r w:rsidR="004F7354" w:rsidRPr="002B55E9">
        <w:t>原位清洗系统（</w:t>
      </w:r>
      <w:r w:rsidR="004F7354" w:rsidRPr="002B55E9">
        <w:t>Cleaning in place</w:t>
      </w:r>
      <w:r w:rsidR="004F7354" w:rsidRPr="002B55E9">
        <w:t>）。</w:t>
      </w:r>
    </w:p>
    <w:p w14:paraId="32CA12E0" w14:textId="2DEB4DF9" w:rsidR="004F7354" w:rsidRPr="002B55E9" w:rsidRDefault="004F7354" w:rsidP="000F36CA">
      <w:pPr>
        <w:pStyle w:val="aa"/>
      </w:pPr>
      <w:r w:rsidRPr="002B55E9">
        <w:rPr>
          <w:rFonts w:hint="eastAsia"/>
        </w:rPr>
        <w:t>其</w:t>
      </w:r>
      <w:r w:rsidRPr="002B55E9">
        <w:t>工作原理</w:t>
      </w:r>
      <w:r w:rsidRPr="002B55E9">
        <w:rPr>
          <w:rFonts w:hint="eastAsia"/>
        </w:rPr>
        <w:t>为</w:t>
      </w:r>
      <w:r w:rsidRPr="002B55E9">
        <w:t>根据设置程序（程序可调）由</w:t>
      </w:r>
      <w:r w:rsidRPr="002B55E9">
        <w:t>CIP</w:t>
      </w:r>
      <w:r w:rsidRPr="002B55E9">
        <w:t>清洗系统自动配制清洗液，经控制阀与增压泵、回流泵来完成清洗液的输送及回流循环清洗、排放、回收整个清洗过程。通过电导率、温度控制仪、酸碱计量泵及</w:t>
      </w:r>
      <w:r w:rsidRPr="002B55E9">
        <w:t>PLC</w:t>
      </w:r>
      <w:r w:rsidRPr="002B55E9">
        <w:t>触摸屏组成的控制系统达到了自动在线清洗。可以对每一道清洗程序时间、流量、电导率进行检测与记录，同时能确保清洗液温度和浓度在相应清洗过程中自动恒定。</w:t>
      </w:r>
    </w:p>
    <w:p w14:paraId="2D6C3C07" w14:textId="0BEA9D65" w:rsidR="000F36CA" w:rsidRPr="002B55E9" w:rsidRDefault="000F36CA" w:rsidP="000F36CA">
      <w:pPr>
        <w:pStyle w:val="aa"/>
        <w:adjustRightInd w:val="0"/>
        <w:snapToGrid w:val="0"/>
        <w:ind w:firstLineChars="200" w:firstLine="480"/>
        <w:rPr>
          <w:bCs/>
        </w:rPr>
      </w:pPr>
      <w:r w:rsidRPr="002B55E9">
        <w:rPr>
          <w:rFonts w:hint="eastAsia"/>
        </w:rPr>
        <w:t>根据建设单位提供资料，</w:t>
      </w:r>
      <w:r w:rsidRPr="002B55E9">
        <w:rPr>
          <w:rFonts w:hint="eastAsia"/>
          <w:bCs/>
        </w:rPr>
        <w:t>项目设备清洗用水量约为</w:t>
      </w:r>
      <w:r w:rsidR="00DC63CB" w:rsidRPr="002B55E9">
        <w:rPr>
          <w:bCs/>
        </w:rPr>
        <w:t>241</w:t>
      </w:r>
      <w:r w:rsidRPr="002B55E9">
        <w:rPr>
          <w:bCs/>
        </w:rPr>
        <w:t>m</w:t>
      </w:r>
      <w:r w:rsidRPr="002B55E9">
        <w:rPr>
          <w:bCs/>
          <w:vertAlign w:val="superscript"/>
        </w:rPr>
        <w:t>3</w:t>
      </w:r>
      <w:r w:rsidRPr="002B55E9">
        <w:rPr>
          <w:bCs/>
        </w:rPr>
        <w:t>/d</w:t>
      </w:r>
      <w:r w:rsidRPr="002B55E9">
        <w:rPr>
          <w:rFonts w:hint="eastAsia"/>
          <w:bCs/>
        </w:rPr>
        <w:t>、</w:t>
      </w:r>
      <w:r w:rsidR="00DC63CB" w:rsidRPr="002B55E9">
        <w:rPr>
          <w:bCs/>
        </w:rPr>
        <w:t>79654</w:t>
      </w:r>
      <w:r w:rsidRPr="002B55E9">
        <w:rPr>
          <w:bCs/>
        </w:rPr>
        <w:t>m</w:t>
      </w:r>
      <w:r w:rsidRPr="002B55E9">
        <w:rPr>
          <w:bCs/>
          <w:vertAlign w:val="superscript"/>
        </w:rPr>
        <w:t>3</w:t>
      </w:r>
      <w:r w:rsidRPr="002B55E9">
        <w:rPr>
          <w:bCs/>
        </w:rPr>
        <w:t>/a</w:t>
      </w:r>
      <w:r w:rsidRPr="002B55E9">
        <w:rPr>
          <w:rFonts w:hint="eastAsia"/>
          <w:bCs/>
        </w:rPr>
        <w:t>，设备清洗排水系数以</w:t>
      </w:r>
      <w:r w:rsidRPr="002B55E9">
        <w:rPr>
          <w:bCs/>
        </w:rPr>
        <w:t>0.9</w:t>
      </w:r>
      <w:r w:rsidRPr="002B55E9">
        <w:rPr>
          <w:rFonts w:hint="eastAsia"/>
          <w:bCs/>
        </w:rPr>
        <w:t>计，则排水量约</w:t>
      </w:r>
      <w:r w:rsidRPr="002B55E9">
        <w:rPr>
          <w:bCs/>
        </w:rPr>
        <w:t>2</w:t>
      </w:r>
      <w:r w:rsidR="00DC63CB" w:rsidRPr="002B55E9">
        <w:rPr>
          <w:bCs/>
        </w:rPr>
        <w:t>17</w:t>
      </w:r>
      <w:r w:rsidRPr="002B55E9">
        <w:rPr>
          <w:bCs/>
        </w:rPr>
        <w:t>m</w:t>
      </w:r>
      <w:r w:rsidRPr="002B55E9">
        <w:rPr>
          <w:bCs/>
          <w:vertAlign w:val="superscript"/>
        </w:rPr>
        <w:t>3</w:t>
      </w:r>
      <w:r w:rsidRPr="002B55E9">
        <w:rPr>
          <w:bCs/>
        </w:rPr>
        <w:t>/d</w:t>
      </w:r>
      <w:r w:rsidRPr="002B55E9">
        <w:rPr>
          <w:rFonts w:hint="eastAsia"/>
          <w:bCs/>
        </w:rPr>
        <w:t>、</w:t>
      </w:r>
      <w:r w:rsidR="00DC63CB" w:rsidRPr="002B55E9">
        <w:rPr>
          <w:bCs/>
        </w:rPr>
        <w:t>71689</w:t>
      </w:r>
      <w:r w:rsidRPr="002B55E9">
        <w:rPr>
          <w:bCs/>
        </w:rPr>
        <w:t>m</w:t>
      </w:r>
      <w:r w:rsidRPr="002B55E9">
        <w:rPr>
          <w:bCs/>
          <w:vertAlign w:val="superscript"/>
        </w:rPr>
        <w:t>3</w:t>
      </w:r>
      <w:r w:rsidRPr="002B55E9">
        <w:rPr>
          <w:bCs/>
        </w:rPr>
        <w:t>/a</w:t>
      </w:r>
      <w:r w:rsidRPr="002B55E9">
        <w:rPr>
          <w:bCs/>
        </w:rPr>
        <w:t>。</w:t>
      </w:r>
      <w:r w:rsidRPr="002B55E9">
        <w:rPr>
          <w:rFonts w:hint="eastAsia"/>
          <w:bCs/>
        </w:rPr>
        <w:t>项目生产设备清洗用、</w:t>
      </w:r>
      <w:r w:rsidRPr="002B55E9">
        <w:rPr>
          <w:bCs/>
        </w:rPr>
        <w:t>排</w:t>
      </w:r>
      <w:r w:rsidRPr="002B55E9">
        <w:rPr>
          <w:rFonts w:hint="eastAsia"/>
          <w:bCs/>
        </w:rPr>
        <w:t>水情况见下表。</w:t>
      </w:r>
    </w:p>
    <w:p w14:paraId="7F073F56" w14:textId="284FA11F" w:rsidR="00D170E5" w:rsidRDefault="00EF27AD">
      <w:pPr>
        <w:pStyle w:val="aa"/>
        <w:adjustRightInd w:val="0"/>
        <w:snapToGrid w:val="0"/>
        <w:spacing w:line="240" w:lineRule="auto"/>
        <w:ind w:firstLine="0"/>
        <w:jc w:val="center"/>
        <w:rPr>
          <w:b/>
          <w:bCs/>
        </w:rPr>
      </w:pPr>
      <w:r w:rsidRPr="002B55E9">
        <w:rPr>
          <w:rFonts w:hint="eastAsia"/>
          <w:b/>
          <w:bCs/>
        </w:rPr>
        <w:t>表</w:t>
      </w:r>
      <w:r w:rsidRPr="002B55E9">
        <w:rPr>
          <w:rFonts w:hint="eastAsia"/>
          <w:b/>
          <w:bCs/>
        </w:rPr>
        <w:t>3-</w:t>
      </w:r>
      <w:r w:rsidRPr="002B55E9">
        <w:rPr>
          <w:b/>
          <w:bCs/>
        </w:rPr>
        <w:t>2</w:t>
      </w:r>
      <w:r w:rsidRPr="002B55E9">
        <w:rPr>
          <w:rFonts w:hint="eastAsia"/>
          <w:b/>
          <w:bCs/>
        </w:rPr>
        <w:t>-</w:t>
      </w:r>
      <w:r w:rsidRPr="002B55E9">
        <w:rPr>
          <w:b/>
          <w:bCs/>
        </w:rPr>
        <w:t>3</w:t>
      </w:r>
      <w:r w:rsidRPr="002B55E9">
        <w:rPr>
          <w:rFonts w:hint="eastAsia"/>
          <w:b/>
          <w:bCs/>
        </w:rPr>
        <w:t xml:space="preserve">  </w:t>
      </w:r>
      <w:r w:rsidRPr="002B55E9">
        <w:rPr>
          <w:rFonts w:hint="eastAsia"/>
          <w:b/>
          <w:bCs/>
        </w:rPr>
        <w:t>拟建项目生产线设备清洗</w:t>
      </w:r>
      <w:r w:rsidRPr="002B55E9">
        <w:rPr>
          <w:b/>
          <w:bCs/>
        </w:rPr>
        <w:t>用水</w:t>
      </w:r>
      <w:r w:rsidRPr="002B55E9">
        <w:rPr>
          <w:rFonts w:hint="eastAsia"/>
          <w:b/>
          <w:bCs/>
        </w:rPr>
        <w:t>一览表</w:t>
      </w:r>
    </w:p>
    <w:p w14:paraId="1CB81970" w14:textId="77777777" w:rsidR="00C60999" w:rsidRDefault="00C60999" w:rsidP="00C60999">
      <w:pPr>
        <w:pStyle w:val="1f3"/>
        <w:spacing w:beforeLines="0" w:before="0"/>
      </w:pPr>
    </w:p>
    <w:p w14:paraId="5DB49CC7" w14:textId="77777777" w:rsidR="00C60999" w:rsidRDefault="00C60999" w:rsidP="00C60999">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74EF55E2" w14:textId="77777777" w:rsidR="00C60999" w:rsidRPr="002B55E9" w:rsidRDefault="00C60999" w:rsidP="00C60999">
      <w:pPr>
        <w:pStyle w:val="1f3"/>
        <w:spacing w:beforeLines="0" w:before="0"/>
      </w:pPr>
    </w:p>
    <w:p w14:paraId="11E4DB5C" w14:textId="77777777" w:rsidR="00C60999" w:rsidRPr="00C60999" w:rsidRDefault="00C60999">
      <w:pPr>
        <w:pStyle w:val="aa"/>
        <w:adjustRightInd w:val="0"/>
        <w:snapToGrid w:val="0"/>
        <w:spacing w:line="240" w:lineRule="auto"/>
        <w:ind w:firstLine="0"/>
        <w:jc w:val="center"/>
        <w:rPr>
          <w:b/>
          <w:bCs/>
        </w:rPr>
      </w:pPr>
    </w:p>
    <w:p w14:paraId="2B33A9B6" w14:textId="1451AB2E" w:rsidR="00D170E5" w:rsidRPr="002B55E9" w:rsidRDefault="00EF27AD">
      <w:pPr>
        <w:pStyle w:val="aa"/>
        <w:adjustRightInd w:val="0"/>
        <w:snapToGrid w:val="0"/>
        <w:ind w:firstLineChars="200" w:firstLine="480"/>
      </w:pPr>
      <w:r w:rsidRPr="002B55E9">
        <w:rPr>
          <w:rFonts w:hint="eastAsia"/>
        </w:rPr>
        <w:t>3</w:t>
      </w:r>
      <w:r w:rsidRPr="002B55E9">
        <w:rPr>
          <w:rFonts w:hint="eastAsia"/>
        </w:rPr>
        <w:t>、地面清洗用水</w:t>
      </w:r>
    </w:p>
    <w:p w14:paraId="78026B07" w14:textId="77777777" w:rsidR="00D170E5" w:rsidRPr="002B55E9" w:rsidRDefault="00EF27AD">
      <w:pPr>
        <w:pStyle w:val="aa"/>
        <w:adjustRightInd w:val="0"/>
        <w:snapToGrid w:val="0"/>
        <w:ind w:firstLineChars="200" w:firstLine="480"/>
      </w:pPr>
      <w:r w:rsidRPr="002B55E9">
        <w:rPr>
          <w:rFonts w:hint="eastAsia"/>
        </w:rPr>
        <w:t>拟建项目十三车间</w:t>
      </w:r>
      <w:r w:rsidRPr="002B55E9">
        <w:t>为前处理车间，主要用于产品的生产、配</w:t>
      </w:r>
      <w:r w:rsidRPr="002B55E9">
        <w:rPr>
          <w:rFonts w:hint="eastAsia"/>
        </w:rPr>
        <w:t>制</w:t>
      </w:r>
      <w:r w:rsidRPr="002B55E9">
        <w:t>，十</w:t>
      </w:r>
      <w:r w:rsidRPr="002B55E9">
        <w:rPr>
          <w:rFonts w:hint="eastAsia"/>
        </w:rPr>
        <w:t>一</w:t>
      </w:r>
      <w:r w:rsidRPr="002B55E9">
        <w:t>车间为</w:t>
      </w:r>
      <w:r w:rsidRPr="002B55E9">
        <w:rPr>
          <w:rFonts w:hint="eastAsia"/>
        </w:rPr>
        <w:t>灭菌灌</w:t>
      </w:r>
      <w:r w:rsidRPr="002B55E9">
        <w:t>装车间</w:t>
      </w:r>
      <w:r w:rsidRPr="002B55E9">
        <w:rPr>
          <w:rFonts w:hint="eastAsia"/>
        </w:rPr>
        <w:t>，主要用于产品的灭菌和灌装。其中十三车间日常需清洗的地面面积约为</w:t>
      </w:r>
      <w:r w:rsidRPr="002B55E9">
        <w:t>4200m</w:t>
      </w:r>
      <w:r w:rsidRPr="002B55E9">
        <w:rPr>
          <w:vertAlign w:val="superscript"/>
        </w:rPr>
        <w:t>2</w:t>
      </w:r>
      <w:r w:rsidRPr="002B55E9">
        <w:rPr>
          <w:rFonts w:hint="eastAsia"/>
        </w:rPr>
        <w:t>，十一车间日常无需</w:t>
      </w:r>
      <w:r w:rsidRPr="002B55E9">
        <w:t>清洗</w:t>
      </w:r>
      <w:r w:rsidRPr="002B55E9">
        <w:rPr>
          <w:rFonts w:hint="eastAsia"/>
        </w:rPr>
        <w:t>，地面清洗频率为一天一次，使用蒸汽冷凝水进行清洗，根据《建筑给水排水设计规范》（</w:t>
      </w:r>
      <w:r w:rsidRPr="002B55E9">
        <w:rPr>
          <w:rFonts w:hint="eastAsia"/>
        </w:rPr>
        <w:t>G</w:t>
      </w:r>
      <w:r w:rsidRPr="002B55E9">
        <w:t>B50015-2019</w:t>
      </w:r>
      <w:r w:rsidRPr="002B55E9">
        <w:rPr>
          <w:rFonts w:hint="eastAsia"/>
        </w:rPr>
        <w:t>），地面清洗水量按照</w:t>
      </w:r>
      <w:r w:rsidRPr="002B55E9">
        <w:t>1L/m</w:t>
      </w:r>
      <w:r w:rsidRPr="002B55E9">
        <w:rPr>
          <w:vertAlign w:val="superscript"/>
        </w:rPr>
        <w:t>2</w:t>
      </w:r>
      <w:r w:rsidRPr="002B55E9">
        <w:rPr>
          <w:rFonts w:ascii="宋体" w:hAnsi="宋体" w:hint="eastAsia"/>
        </w:rPr>
        <w:t>·</w:t>
      </w:r>
      <w:r w:rsidRPr="002B55E9">
        <w:rPr>
          <w:rFonts w:hint="eastAsia"/>
        </w:rPr>
        <w:t>次计，清洗次数为</w:t>
      </w:r>
      <w:r w:rsidRPr="002B55E9">
        <w:t>330</w:t>
      </w:r>
      <w:r w:rsidRPr="002B55E9">
        <w:rPr>
          <w:rFonts w:hint="eastAsia"/>
        </w:rPr>
        <w:t>次，则地面清洗使用蒸汽冷凝水量为</w:t>
      </w:r>
      <w:r w:rsidRPr="002B55E9">
        <w:t>1320m</w:t>
      </w:r>
      <w:r w:rsidRPr="002B55E9">
        <w:rPr>
          <w:vertAlign w:val="superscript"/>
        </w:rPr>
        <w:t>3</w:t>
      </w:r>
      <w:r w:rsidRPr="002B55E9">
        <w:t>/a</w:t>
      </w:r>
      <w:r w:rsidRPr="002B55E9">
        <w:rPr>
          <w:rFonts w:hint="eastAsia"/>
        </w:rPr>
        <w:t>，地面清洗废水产生量约为用水量的</w:t>
      </w:r>
      <w:r w:rsidRPr="002B55E9">
        <w:rPr>
          <w:rFonts w:hint="eastAsia"/>
        </w:rPr>
        <w:t>8</w:t>
      </w:r>
      <w:r w:rsidRPr="002B55E9">
        <w:t>0%</w:t>
      </w:r>
      <w:r w:rsidRPr="002B55E9">
        <w:rPr>
          <w:rFonts w:hint="eastAsia"/>
        </w:rPr>
        <w:t>，则地面清洗废水产生量为</w:t>
      </w:r>
      <w:r w:rsidRPr="002B55E9">
        <w:t>1056m</w:t>
      </w:r>
      <w:r w:rsidRPr="002B55E9">
        <w:rPr>
          <w:vertAlign w:val="superscript"/>
        </w:rPr>
        <w:t>3</w:t>
      </w:r>
      <w:r w:rsidRPr="002B55E9">
        <w:t>/a</w:t>
      </w:r>
      <w:r w:rsidRPr="002B55E9">
        <w:rPr>
          <w:rFonts w:hint="eastAsia"/>
        </w:rPr>
        <w:t>。</w:t>
      </w:r>
    </w:p>
    <w:p w14:paraId="0FD0E96D" w14:textId="77777777" w:rsidR="00D170E5" w:rsidRPr="002B55E9" w:rsidRDefault="00EF27AD">
      <w:pPr>
        <w:pStyle w:val="aa"/>
        <w:adjustRightInd w:val="0"/>
        <w:snapToGrid w:val="0"/>
      </w:pPr>
      <w:r w:rsidRPr="002B55E9">
        <w:t>4</w:t>
      </w:r>
      <w:r w:rsidRPr="002B55E9">
        <w:rPr>
          <w:rFonts w:hint="eastAsia"/>
        </w:rPr>
        <w:t>、喷淋塔</w:t>
      </w:r>
      <w:r w:rsidRPr="002B55E9">
        <w:t>用水</w:t>
      </w:r>
    </w:p>
    <w:p w14:paraId="5C97B411" w14:textId="77777777" w:rsidR="00D170E5" w:rsidRPr="002B55E9" w:rsidRDefault="00EF27AD">
      <w:pPr>
        <w:pStyle w:val="aa"/>
        <w:adjustRightInd w:val="0"/>
        <w:snapToGrid w:val="0"/>
      </w:pPr>
      <w:r w:rsidRPr="002B55E9">
        <w:rPr>
          <w:rFonts w:hint="eastAsia"/>
        </w:rPr>
        <w:t>拟建</w:t>
      </w:r>
      <w:r w:rsidRPr="002B55E9">
        <w:t>项目生产工艺废气</w:t>
      </w:r>
      <w:r w:rsidRPr="002B55E9">
        <w:rPr>
          <w:rFonts w:hint="eastAsia"/>
        </w:rPr>
        <w:t>设有</w:t>
      </w:r>
      <w:r w:rsidRPr="002B55E9">
        <w:t>一套</w:t>
      </w:r>
      <w:r w:rsidRPr="002B55E9">
        <w:rPr>
          <w:rFonts w:hint="eastAsia"/>
        </w:rPr>
        <w:t>“两级水喷淋”处理</w:t>
      </w:r>
      <w:r w:rsidRPr="002B55E9">
        <w:t>设施，</w:t>
      </w:r>
      <w:r w:rsidRPr="002B55E9">
        <w:rPr>
          <w:rFonts w:hint="eastAsia"/>
        </w:rPr>
        <w:t>根据建设单位提供资料</w:t>
      </w:r>
      <w:r w:rsidRPr="002B55E9">
        <w:t>，</w:t>
      </w:r>
      <w:r w:rsidRPr="002B55E9">
        <w:rPr>
          <w:rFonts w:hint="eastAsia"/>
        </w:rPr>
        <w:t>处理</w:t>
      </w:r>
      <w:r w:rsidRPr="002B55E9">
        <w:t>设施</w:t>
      </w:r>
      <w:r w:rsidRPr="002B55E9">
        <w:rPr>
          <w:rFonts w:hint="eastAsia"/>
        </w:rPr>
        <w:t>每天补水量约</w:t>
      </w:r>
      <w:r w:rsidRPr="002B55E9">
        <w:t>15</w:t>
      </w:r>
      <w:r w:rsidRPr="002B55E9">
        <w:rPr>
          <w:rFonts w:hint="eastAsia"/>
        </w:rPr>
        <w:t>m</w:t>
      </w:r>
      <w:r w:rsidRPr="002B55E9">
        <w:rPr>
          <w:rFonts w:hint="eastAsia"/>
          <w:vertAlign w:val="superscript"/>
        </w:rPr>
        <w:t>3</w:t>
      </w:r>
      <w:r w:rsidRPr="002B55E9">
        <w:rPr>
          <w:rFonts w:hint="eastAsia"/>
        </w:rPr>
        <w:t>/d</w:t>
      </w:r>
      <w:r w:rsidRPr="002B55E9">
        <w:rPr>
          <w:rFonts w:hint="eastAsia"/>
        </w:rPr>
        <w:t>，年工作天数按</w:t>
      </w:r>
      <w:r w:rsidRPr="002B55E9">
        <w:rPr>
          <w:rFonts w:hint="eastAsia"/>
        </w:rPr>
        <w:t>3</w:t>
      </w:r>
      <w:r w:rsidRPr="002B55E9">
        <w:t>3</w:t>
      </w:r>
      <w:r w:rsidRPr="002B55E9">
        <w:rPr>
          <w:rFonts w:hint="eastAsia"/>
        </w:rPr>
        <w:t>0</w:t>
      </w:r>
      <w:r w:rsidRPr="002B55E9">
        <w:rPr>
          <w:rFonts w:hint="eastAsia"/>
        </w:rPr>
        <w:t>天计，则喷淋塔补充水量</w:t>
      </w:r>
      <w:r w:rsidRPr="002B55E9">
        <w:t>495</w:t>
      </w:r>
      <w:r w:rsidRPr="002B55E9">
        <w:rPr>
          <w:rFonts w:hint="eastAsia"/>
        </w:rPr>
        <w:t>0m</w:t>
      </w:r>
      <w:r w:rsidRPr="002B55E9">
        <w:rPr>
          <w:rFonts w:hint="eastAsia"/>
          <w:vertAlign w:val="superscript"/>
        </w:rPr>
        <w:t>3</w:t>
      </w:r>
      <w:r w:rsidRPr="002B55E9">
        <w:rPr>
          <w:rFonts w:hint="eastAsia"/>
        </w:rPr>
        <w:t>/a</w:t>
      </w:r>
      <w:r w:rsidRPr="002B55E9">
        <w:rPr>
          <w:rFonts w:hint="eastAsia"/>
        </w:rPr>
        <w:t>，喷淋废水排放量按</w:t>
      </w:r>
      <w:r w:rsidRPr="002B55E9">
        <w:t>85</w:t>
      </w:r>
      <w:r w:rsidRPr="002B55E9">
        <w:rPr>
          <w:rFonts w:hint="eastAsia"/>
        </w:rPr>
        <w:t>%</w:t>
      </w:r>
      <w:r w:rsidRPr="002B55E9">
        <w:rPr>
          <w:rFonts w:hint="eastAsia"/>
        </w:rPr>
        <w:t>计，则为</w:t>
      </w:r>
      <w:r w:rsidRPr="002B55E9">
        <w:rPr>
          <w:rFonts w:hint="eastAsia"/>
        </w:rPr>
        <w:t>4208m</w:t>
      </w:r>
      <w:r w:rsidRPr="002B55E9">
        <w:rPr>
          <w:rFonts w:hint="eastAsia"/>
          <w:vertAlign w:val="superscript"/>
        </w:rPr>
        <w:t>3</w:t>
      </w:r>
      <w:r w:rsidRPr="002B55E9">
        <w:rPr>
          <w:rFonts w:hint="eastAsia"/>
        </w:rPr>
        <w:t>/a</w:t>
      </w:r>
      <w:r w:rsidRPr="002B55E9">
        <w:rPr>
          <w:rFonts w:hint="eastAsia"/>
        </w:rPr>
        <w:t>。</w:t>
      </w:r>
    </w:p>
    <w:p w14:paraId="42E3D63A" w14:textId="77777777" w:rsidR="00D170E5" w:rsidRPr="002B55E9" w:rsidRDefault="00EF27AD">
      <w:pPr>
        <w:pStyle w:val="aa"/>
        <w:adjustRightInd w:val="0"/>
        <w:snapToGrid w:val="0"/>
        <w:ind w:firstLineChars="200" w:firstLine="480"/>
      </w:pPr>
      <w:r w:rsidRPr="002B55E9">
        <w:t>5</w:t>
      </w:r>
      <w:r w:rsidRPr="002B55E9">
        <w:rPr>
          <w:rFonts w:hint="eastAsia"/>
        </w:rPr>
        <w:t>、循环冷却水</w:t>
      </w:r>
      <w:r w:rsidRPr="002B55E9">
        <w:t>系统补水</w:t>
      </w:r>
    </w:p>
    <w:p w14:paraId="75A7012E" w14:textId="2CBF94E6" w:rsidR="007A6A99" w:rsidRPr="002B55E9" w:rsidRDefault="00EF27AD">
      <w:pPr>
        <w:pStyle w:val="aa"/>
        <w:adjustRightInd w:val="0"/>
        <w:snapToGrid w:val="0"/>
        <w:ind w:firstLineChars="200" w:firstLine="480"/>
      </w:pPr>
      <w:r w:rsidRPr="002B55E9">
        <w:rPr>
          <w:rFonts w:hint="eastAsia"/>
          <w:bCs/>
          <w:snapToGrid w:val="0"/>
          <w:szCs w:val="24"/>
        </w:rPr>
        <w:t>拟建项目循环水流量</w:t>
      </w:r>
      <w:r w:rsidRPr="002B55E9">
        <w:rPr>
          <w:bCs/>
          <w:snapToGrid w:val="0"/>
          <w:szCs w:val="24"/>
        </w:rPr>
        <w:t>4</w:t>
      </w:r>
      <w:r w:rsidRPr="002B55E9">
        <w:rPr>
          <w:rFonts w:hint="eastAsia"/>
          <w:bCs/>
          <w:snapToGrid w:val="0"/>
          <w:szCs w:val="24"/>
        </w:rPr>
        <w:t>00m</w:t>
      </w:r>
      <w:r w:rsidRPr="002B55E9">
        <w:rPr>
          <w:rFonts w:hint="eastAsia"/>
          <w:bCs/>
          <w:snapToGrid w:val="0"/>
          <w:szCs w:val="24"/>
          <w:vertAlign w:val="superscript"/>
        </w:rPr>
        <w:t>3</w:t>
      </w:r>
      <w:r w:rsidRPr="002B55E9">
        <w:rPr>
          <w:rFonts w:hint="eastAsia"/>
          <w:bCs/>
          <w:snapToGrid w:val="0"/>
          <w:szCs w:val="24"/>
        </w:rPr>
        <w:t>/h</w:t>
      </w:r>
      <w:r w:rsidRPr="002B55E9">
        <w:rPr>
          <w:rFonts w:hint="eastAsia"/>
          <w:bCs/>
          <w:snapToGrid w:val="0"/>
          <w:szCs w:val="24"/>
        </w:rPr>
        <w:t>，循环冷却水系统平均</w:t>
      </w:r>
      <w:r w:rsidRPr="002B55E9">
        <w:rPr>
          <w:rFonts w:hint="eastAsia"/>
          <w:kern w:val="2"/>
          <w:szCs w:val="24"/>
        </w:rPr>
        <w:t>每天运行</w:t>
      </w:r>
      <w:r w:rsidRPr="002B55E9">
        <w:rPr>
          <w:rFonts w:hint="eastAsia"/>
          <w:kern w:val="2"/>
          <w:szCs w:val="24"/>
        </w:rPr>
        <w:t>24h</w:t>
      </w:r>
      <w:r w:rsidRPr="002B55E9">
        <w:rPr>
          <w:rFonts w:hint="eastAsia"/>
          <w:kern w:val="2"/>
          <w:szCs w:val="24"/>
        </w:rPr>
        <w:t>，全年运行</w:t>
      </w:r>
      <w:r w:rsidRPr="002B55E9">
        <w:rPr>
          <w:rFonts w:hint="eastAsia"/>
          <w:kern w:val="2"/>
          <w:szCs w:val="24"/>
        </w:rPr>
        <w:t>3</w:t>
      </w:r>
      <w:r w:rsidRPr="002B55E9">
        <w:rPr>
          <w:kern w:val="2"/>
          <w:szCs w:val="24"/>
        </w:rPr>
        <w:t>3</w:t>
      </w:r>
      <w:r w:rsidRPr="002B55E9">
        <w:rPr>
          <w:rFonts w:hint="eastAsia"/>
          <w:kern w:val="2"/>
          <w:szCs w:val="24"/>
        </w:rPr>
        <w:t>0</w:t>
      </w:r>
      <w:r w:rsidRPr="002B55E9">
        <w:rPr>
          <w:rFonts w:hint="eastAsia"/>
          <w:kern w:val="2"/>
          <w:szCs w:val="24"/>
        </w:rPr>
        <w:t>天，则冷却水循环系统年循环水量为</w:t>
      </w:r>
      <w:r w:rsidRPr="002B55E9">
        <w:rPr>
          <w:kern w:val="2"/>
          <w:szCs w:val="24"/>
        </w:rPr>
        <w:t>3168000m</w:t>
      </w:r>
      <w:r w:rsidRPr="002B55E9">
        <w:rPr>
          <w:kern w:val="2"/>
          <w:szCs w:val="24"/>
          <w:vertAlign w:val="superscript"/>
        </w:rPr>
        <w:t>3</w:t>
      </w:r>
      <w:r w:rsidRPr="002B55E9">
        <w:rPr>
          <w:rFonts w:hint="eastAsia"/>
          <w:bCs/>
          <w:snapToGrid w:val="0"/>
          <w:szCs w:val="24"/>
        </w:rPr>
        <w:t>/a</w:t>
      </w:r>
      <w:r w:rsidRPr="002B55E9">
        <w:rPr>
          <w:rFonts w:hint="eastAsia"/>
          <w:bCs/>
          <w:snapToGrid w:val="0"/>
          <w:szCs w:val="24"/>
        </w:rPr>
        <w:t>。</w:t>
      </w:r>
      <w:r w:rsidR="007A6A99" w:rsidRPr="002B55E9">
        <w:rPr>
          <w:rFonts w:hint="eastAsia"/>
          <w:bCs/>
          <w:snapToGrid w:val="0"/>
          <w:szCs w:val="24"/>
        </w:rPr>
        <w:t>根据建设单位提供的资料，</w:t>
      </w:r>
      <w:r w:rsidR="007A6A99" w:rsidRPr="002B55E9">
        <w:rPr>
          <w:rFonts w:hint="eastAsia"/>
        </w:rPr>
        <w:t>为保证冷却水水</w:t>
      </w:r>
      <w:r w:rsidR="007A6A99" w:rsidRPr="002B55E9">
        <w:rPr>
          <w:rFonts w:hint="eastAsia"/>
        </w:rPr>
        <w:lastRenderedPageBreak/>
        <w:t>质，循环水需定期排放，其排污周期为</w:t>
      </w:r>
      <w:r w:rsidR="007A6A99" w:rsidRPr="002B55E9">
        <w:rPr>
          <w:rFonts w:hint="eastAsia"/>
        </w:rPr>
        <w:t>24</w:t>
      </w:r>
      <w:r w:rsidR="007A6A99" w:rsidRPr="002B55E9">
        <w:rPr>
          <w:rFonts w:hint="eastAsia"/>
        </w:rPr>
        <w:t>小时一次，排水量按照循环水量的</w:t>
      </w:r>
      <w:r w:rsidR="007A6A99" w:rsidRPr="002B55E9">
        <w:rPr>
          <w:rFonts w:hint="eastAsia"/>
        </w:rPr>
        <w:t>0</w:t>
      </w:r>
      <w:r w:rsidR="007A6A99" w:rsidRPr="002B55E9">
        <w:t>.</w:t>
      </w:r>
      <w:r w:rsidR="00DC63CB" w:rsidRPr="002B55E9">
        <w:t>1</w:t>
      </w:r>
      <w:r w:rsidR="007A6A99" w:rsidRPr="002B55E9">
        <w:t>%</w:t>
      </w:r>
      <w:r w:rsidR="007A6A99" w:rsidRPr="002B55E9">
        <w:rPr>
          <w:rFonts w:hint="eastAsia"/>
        </w:rPr>
        <w:t>计，则排水量为</w:t>
      </w:r>
      <w:r w:rsidR="00DC63CB" w:rsidRPr="002B55E9">
        <w:t>3168</w:t>
      </w:r>
      <w:r w:rsidR="007A6A99" w:rsidRPr="002B55E9">
        <w:t>m</w:t>
      </w:r>
      <w:r w:rsidR="007A6A99" w:rsidRPr="002B55E9">
        <w:rPr>
          <w:vertAlign w:val="superscript"/>
        </w:rPr>
        <w:t>3</w:t>
      </w:r>
      <w:r w:rsidR="007A6A99" w:rsidRPr="002B55E9">
        <w:t>/a</w:t>
      </w:r>
      <w:r w:rsidR="007A6A99" w:rsidRPr="002B55E9">
        <w:rPr>
          <w:rFonts w:hint="eastAsia"/>
        </w:rPr>
        <w:t>。</w:t>
      </w:r>
      <w:r w:rsidRPr="002B55E9">
        <w:rPr>
          <w:rFonts w:hint="eastAsia"/>
        </w:rPr>
        <w:t>循环冷却水蒸发</w:t>
      </w:r>
      <w:r w:rsidR="0018466A" w:rsidRPr="002B55E9">
        <w:rPr>
          <w:rFonts w:hint="eastAsia"/>
        </w:rPr>
        <w:t>、</w:t>
      </w:r>
      <w:r w:rsidRPr="002B55E9">
        <w:rPr>
          <w:rFonts w:hint="eastAsia"/>
        </w:rPr>
        <w:t>飞溅损失</w:t>
      </w:r>
      <w:r w:rsidR="0018466A" w:rsidRPr="002B55E9">
        <w:rPr>
          <w:rFonts w:hint="eastAsia"/>
        </w:rPr>
        <w:t>、</w:t>
      </w:r>
      <w:r w:rsidR="0018466A" w:rsidRPr="002B55E9">
        <w:t>排放</w:t>
      </w:r>
      <w:r w:rsidRPr="002B55E9">
        <w:rPr>
          <w:rFonts w:hint="eastAsia"/>
        </w:rPr>
        <w:t>水量约为循环水量的</w:t>
      </w:r>
      <w:r w:rsidRPr="002B55E9">
        <w:rPr>
          <w:rFonts w:hint="eastAsia"/>
        </w:rPr>
        <w:t>3</w:t>
      </w:r>
      <w:r w:rsidRPr="002B55E9">
        <w:t>%</w:t>
      </w:r>
      <w:r w:rsidRPr="002B55E9">
        <w:rPr>
          <w:rFonts w:hint="eastAsia"/>
        </w:rPr>
        <w:t>，补水采用自来水，则补水量为</w:t>
      </w:r>
      <w:r w:rsidRPr="002B55E9">
        <w:t>95040m</w:t>
      </w:r>
      <w:r w:rsidRPr="002B55E9">
        <w:rPr>
          <w:vertAlign w:val="superscript"/>
        </w:rPr>
        <w:t>3</w:t>
      </w:r>
      <w:r w:rsidRPr="002B55E9">
        <w:t>/a</w:t>
      </w:r>
      <w:r w:rsidR="007A6A99" w:rsidRPr="002B55E9">
        <w:rPr>
          <w:rFonts w:hint="eastAsia"/>
        </w:rPr>
        <w:t>。</w:t>
      </w:r>
    </w:p>
    <w:p w14:paraId="0AA48A32" w14:textId="77777777" w:rsidR="00D170E5" w:rsidRPr="002B55E9" w:rsidRDefault="00EF27AD">
      <w:pPr>
        <w:pStyle w:val="aa"/>
        <w:adjustRightInd w:val="0"/>
        <w:snapToGrid w:val="0"/>
        <w:ind w:firstLineChars="200" w:firstLine="480"/>
      </w:pPr>
      <w:r w:rsidRPr="002B55E9">
        <w:t>6</w:t>
      </w:r>
      <w:r w:rsidRPr="002B55E9">
        <w:rPr>
          <w:rFonts w:hint="eastAsia"/>
        </w:rPr>
        <w:t>、蒸汽冷凝水</w:t>
      </w:r>
    </w:p>
    <w:p w14:paraId="65565EBA" w14:textId="34FE43E5" w:rsidR="00D170E5" w:rsidRPr="002B55E9" w:rsidRDefault="00EF27AD">
      <w:pPr>
        <w:pStyle w:val="aa"/>
        <w:adjustRightInd w:val="0"/>
        <w:snapToGrid w:val="0"/>
        <w:ind w:firstLineChars="200" w:firstLine="480"/>
      </w:pPr>
      <w:r w:rsidRPr="002B55E9">
        <w:rPr>
          <w:rFonts w:hint="eastAsia"/>
        </w:rPr>
        <w:t>项目年用蒸汽</w:t>
      </w:r>
      <w:r w:rsidRPr="002B55E9">
        <w:rPr>
          <w:rFonts w:hint="eastAsia"/>
        </w:rPr>
        <w:t>7</w:t>
      </w:r>
      <w:r w:rsidRPr="002B55E9">
        <w:t>1250</w:t>
      </w:r>
      <w:r w:rsidRPr="002B55E9">
        <w:rPr>
          <w:rFonts w:hint="eastAsia"/>
        </w:rPr>
        <w:t>t</w:t>
      </w:r>
      <w:r w:rsidRPr="002B55E9">
        <w:t>/a</w:t>
      </w:r>
      <w:r w:rsidRPr="002B55E9">
        <w:rPr>
          <w:rFonts w:hint="eastAsia"/>
        </w:rPr>
        <w:t>，</w:t>
      </w:r>
      <w:r w:rsidR="0018466A" w:rsidRPr="002B55E9">
        <w:rPr>
          <w:rFonts w:hint="eastAsia"/>
        </w:rPr>
        <w:t>主要</w:t>
      </w:r>
      <w:r w:rsidRPr="002B55E9">
        <w:rPr>
          <w:rFonts w:hint="eastAsia"/>
        </w:rPr>
        <w:t>用于各生产线间接加热</w:t>
      </w:r>
      <w:r w:rsidR="0018466A" w:rsidRPr="002B55E9">
        <w:rPr>
          <w:rFonts w:hint="eastAsia"/>
        </w:rPr>
        <w:t>，蒸汽冷凝水以用量的</w:t>
      </w:r>
      <w:r w:rsidR="0018466A" w:rsidRPr="002B55E9">
        <w:rPr>
          <w:rFonts w:hint="eastAsia"/>
        </w:rPr>
        <w:t>8</w:t>
      </w:r>
      <w:r w:rsidR="0018466A" w:rsidRPr="002B55E9">
        <w:t>5%</w:t>
      </w:r>
      <w:r w:rsidR="0018466A" w:rsidRPr="002B55E9">
        <w:rPr>
          <w:rFonts w:hint="eastAsia"/>
        </w:rPr>
        <w:t>计</w:t>
      </w:r>
      <w:r w:rsidRPr="002B55E9">
        <w:rPr>
          <w:rFonts w:hint="eastAsia"/>
        </w:rPr>
        <w:t>，冷凝水产生量为</w:t>
      </w:r>
      <w:r w:rsidR="0018466A" w:rsidRPr="002B55E9">
        <w:t>60563</w:t>
      </w:r>
      <w:r w:rsidRPr="002B55E9">
        <w:t>m</w:t>
      </w:r>
      <w:r w:rsidRPr="002B55E9">
        <w:rPr>
          <w:vertAlign w:val="superscript"/>
        </w:rPr>
        <w:t>3</w:t>
      </w:r>
      <w:r w:rsidRPr="002B55E9">
        <w:t>/a</w:t>
      </w:r>
      <w:r w:rsidRPr="002B55E9">
        <w:rPr>
          <w:rFonts w:hint="eastAsia"/>
        </w:rPr>
        <w:t>，其中</w:t>
      </w:r>
      <w:r w:rsidRPr="002B55E9">
        <w:t>1320 m</w:t>
      </w:r>
      <w:r w:rsidRPr="002B55E9">
        <w:rPr>
          <w:vertAlign w:val="superscript"/>
        </w:rPr>
        <w:t>3</w:t>
      </w:r>
      <w:r w:rsidRPr="002B55E9">
        <w:rPr>
          <w:rFonts w:hint="eastAsia"/>
        </w:rPr>
        <w:t>用于地面清洗，</w:t>
      </w:r>
      <w:r w:rsidR="0018466A" w:rsidRPr="002B55E9">
        <w:t>2279 m</w:t>
      </w:r>
      <w:r w:rsidR="0018466A" w:rsidRPr="002B55E9">
        <w:rPr>
          <w:vertAlign w:val="superscript"/>
        </w:rPr>
        <w:t>3</w:t>
      </w:r>
      <w:r w:rsidR="0018466A" w:rsidRPr="002B55E9">
        <w:rPr>
          <w:rFonts w:hint="eastAsia"/>
        </w:rPr>
        <w:t>用于厂区绿化</w:t>
      </w:r>
      <w:r w:rsidR="0018466A" w:rsidRPr="002B55E9">
        <w:t>浇洒</w:t>
      </w:r>
      <w:r w:rsidR="0018466A" w:rsidRPr="002B55E9">
        <w:rPr>
          <w:rFonts w:hint="eastAsia"/>
        </w:rPr>
        <w:t>，</w:t>
      </w:r>
      <w:r w:rsidRPr="002B55E9">
        <w:rPr>
          <w:rFonts w:hint="eastAsia"/>
        </w:rPr>
        <w:t>则蒸汽冷凝水排放量为</w:t>
      </w:r>
      <w:r w:rsidR="0018466A" w:rsidRPr="002B55E9">
        <w:t>56964</w:t>
      </w:r>
      <w:r w:rsidRPr="002B55E9">
        <w:t>m</w:t>
      </w:r>
      <w:r w:rsidRPr="002B55E9">
        <w:rPr>
          <w:vertAlign w:val="superscript"/>
        </w:rPr>
        <w:t>3</w:t>
      </w:r>
      <w:r w:rsidRPr="002B55E9">
        <w:t>/a</w:t>
      </w:r>
      <w:r w:rsidRPr="002B55E9">
        <w:rPr>
          <w:rFonts w:hint="eastAsia"/>
        </w:rPr>
        <w:t>。</w:t>
      </w:r>
    </w:p>
    <w:p w14:paraId="3D7CF91C" w14:textId="77777777" w:rsidR="00D170E5" w:rsidRPr="002B55E9" w:rsidRDefault="00EF27AD">
      <w:pPr>
        <w:pStyle w:val="aa"/>
        <w:adjustRightInd w:val="0"/>
        <w:snapToGrid w:val="0"/>
        <w:ind w:firstLineChars="200" w:firstLine="480"/>
      </w:pPr>
      <w:r w:rsidRPr="002B55E9">
        <w:rPr>
          <w:rFonts w:hint="eastAsia"/>
        </w:rPr>
        <w:t>7</w:t>
      </w:r>
      <w:r w:rsidRPr="002B55E9">
        <w:rPr>
          <w:rFonts w:hint="eastAsia"/>
        </w:rPr>
        <w:t>、化验室用水</w:t>
      </w:r>
    </w:p>
    <w:p w14:paraId="7E6D8474" w14:textId="77777777" w:rsidR="00D170E5" w:rsidRPr="002B55E9" w:rsidRDefault="00EF27AD">
      <w:pPr>
        <w:pStyle w:val="aa"/>
        <w:adjustRightInd w:val="0"/>
        <w:snapToGrid w:val="0"/>
        <w:ind w:firstLineChars="200" w:firstLine="480"/>
      </w:pPr>
      <w:r w:rsidRPr="002B55E9">
        <w:rPr>
          <w:rFonts w:hint="eastAsia"/>
        </w:rPr>
        <w:t>根据</w:t>
      </w:r>
      <w:r w:rsidRPr="002B55E9">
        <w:t>建设单位提供</w:t>
      </w:r>
      <w:r w:rsidRPr="002B55E9">
        <w:rPr>
          <w:rFonts w:hint="eastAsia"/>
        </w:rPr>
        <w:t>资料</w:t>
      </w:r>
      <w:r w:rsidRPr="002B55E9">
        <w:t>，</w:t>
      </w:r>
      <w:r w:rsidRPr="002B55E9">
        <w:rPr>
          <w:rFonts w:hint="eastAsia"/>
        </w:rPr>
        <w:t>化验室日用纯水</w:t>
      </w:r>
      <w:r w:rsidRPr="002B55E9">
        <w:t>0.1m</w:t>
      </w:r>
      <w:r w:rsidRPr="002B55E9">
        <w:rPr>
          <w:vertAlign w:val="superscript"/>
        </w:rPr>
        <w:t>3</w:t>
      </w:r>
      <w:r w:rsidRPr="002B55E9">
        <w:t>/d</w:t>
      </w:r>
      <w:r w:rsidRPr="002B55E9">
        <w:rPr>
          <w:rFonts w:hint="eastAsia"/>
        </w:rPr>
        <w:t>，自来水</w:t>
      </w:r>
      <w:r w:rsidRPr="002B55E9">
        <w:rPr>
          <w:rFonts w:hint="eastAsia"/>
        </w:rPr>
        <w:t>1</w:t>
      </w:r>
      <w:r w:rsidRPr="002B55E9">
        <w:t>m</w:t>
      </w:r>
      <w:r w:rsidRPr="002B55E9">
        <w:rPr>
          <w:vertAlign w:val="superscript"/>
        </w:rPr>
        <w:t>3</w:t>
      </w:r>
      <w:r w:rsidRPr="002B55E9">
        <w:t>/d</w:t>
      </w:r>
      <w:r w:rsidRPr="002B55E9">
        <w:rPr>
          <w:rFonts w:hint="eastAsia"/>
        </w:rPr>
        <w:t>，年工作</w:t>
      </w:r>
      <w:r w:rsidRPr="002B55E9">
        <w:rPr>
          <w:rFonts w:hint="eastAsia"/>
        </w:rPr>
        <w:t>330</w:t>
      </w:r>
      <w:r w:rsidRPr="002B55E9">
        <w:rPr>
          <w:rFonts w:hint="eastAsia"/>
        </w:rPr>
        <w:t>天，则纯水用量为</w:t>
      </w:r>
      <w:r w:rsidRPr="002B55E9">
        <w:t>33m</w:t>
      </w:r>
      <w:r w:rsidRPr="002B55E9">
        <w:rPr>
          <w:vertAlign w:val="superscript"/>
        </w:rPr>
        <w:t>3</w:t>
      </w:r>
      <w:r w:rsidRPr="002B55E9">
        <w:t>/a</w:t>
      </w:r>
      <w:r w:rsidRPr="002B55E9">
        <w:rPr>
          <w:rFonts w:hint="eastAsia"/>
        </w:rPr>
        <w:t>，</w:t>
      </w:r>
      <w:r w:rsidRPr="002B55E9">
        <w:t>自来水用量</w:t>
      </w:r>
      <w:r w:rsidRPr="002B55E9">
        <w:t>330m</w:t>
      </w:r>
      <w:r w:rsidRPr="002B55E9">
        <w:rPr>
          <w:vertAlign w:val="superscript"/>
        </w:rPr>
        <w:t>3</w:t>
      </w:r>
      <w:r w:rsidRPr="002B55E9">
        <w:t>/a</w:t>
      </w:r>
      <w:r w:rsidRPr="002B55E9">
        <w:rPr>
          <w:rFonts w:hint="eastAsia"/>
        </w:rPr>
        <w:t>，其中约</w:t>
      </w:r>
      <w:r w:rsidRPr="002B55E9">
        <w:t>1m</w:t>
      </w:r>
      <w:r w:rsidRPr="002B55E9">
        <w:rPr>
          <w:vertAlign w:val="superscript"/>
        </w:rPr>
        <w:t>3</w:t>
      </w:r>
      <w:r w:rsidRPr="002B55E9">
        <w:rPr>
          <w:rFonts w:hint="eastAsia"/>
        </w:rPr>
        <w:t>用于试剂配制最终作为危废处置，其余均用于实验器皿、设备等清洗，排水以用水的</w:t>
      </w:r>
      <w:r w:rsidRPr="002B55E9">
        <w:rPr>
          <w:rFonts w:hint="eastAsia"/>
        </w:rPr>
        <w:t>9</w:t>
      </w:r>
      <w:r w:rsidRPr="002B55E9">
        <w:t>0%</w:t>
      </w:r>
      <w:r w:rsidRPr="002B55E9">
        <w:rPr>
          <w:rFonts w:hint="eastAsia"/>
        </w:rPr>
        <w:t>计，则实验排水为</w:t>
      </w:r>
      <w:r w:rsidRPr="002B55E9">
        <w:t>326m</w:t>
      </w:r>
      <w:r w:rsidRPr="002B55E9">
        <w:rPr>
          <w:vertAlign w:val="superscript"/>
        </w:rPr>
        <w:t>3</w:t>
      </w:r>
      <w:r w:rsidRPr="002B55E9">
        <w:t>/a</w:t>
      </w:r>
      <w:r w:rsidRPr="002B55E9">
        <w:rPr>
          <w:rFonts w:hint="eastAsia"/>
        </w:rPr>
        <w:t>，</w:t>
      </w:r>
    </w:p>
    <w:p w14:paraId="4A7F5BD0" w14:textId="77777777" w:rsidR="00D170E5" w:rsidRPr="002B55E9" w:rsidRDefault="00EF27AD">
      <w:pPr>
        <w:pStyle w:val="aa"/>
        <w:adjustRightInd w:val="0"/>
        <w:snapToGrid w:val="0"/>
        <w:ind w:firstLineChars="200" w:firstLine="480"/>
      </w:pPr>
      <w:r w:rsidRPr="002B55E9">
        <w:t>8</w:t>
      </w:r>
      <w:r w:rsidRPr="002B55E9">
        <w:rPr>
          <w:rFonts w:hint="eastAsia"/>
        </w:rPr>
        <w:t>、制纯水用水</w:t>
      </w:r>
    </w:p>
    <w:p w14:paraId="12F21634" w14:textId="738E84BE" w:rsidR="00D170E5" w:rsidRPr="002B55E9" w:rsidRDefault="00EF27AD">
      <w:pPr>
        <w:pStyle w:val="aa"/>
        <w:adjustRightInd w:val="0"/>
      </w:pPr>
      <w:r w:rsidRPr="002B55E9">
        <w:rPr>
          <w:rFonts w:hint="eastAsia"/>
          <w:bCs/>
        </w:rPr>
        <w:t>拟建项目化验检测过程中需使用纯水，设置有</w:t>
      </w:r>
      <w:r w:rsidRPr="002B55E9">
        <w:rPr>
          <w:bCs/>
        </w:rPr>
        <w:t>2</w:t>
      </w:r>
      <w:r w:rsidRPr="002B55E9">
        <w:rPr>
          <w:rFonts w:hint="eastAsia"/>
          <w:bCs/>
        </w:rPr>
        <w:t>台纯水机，主体工艺为反渗透（</w:t>
      </w:r>
      <w:r w:rsidRPr="002B55E9">
        <w:rPr>
          <w:rFonts w:hint="eastAsia"/>
          <w:bCs/>
        </w:rPr>
        <w:t>RO</w:t>
      </w:r>
      <w:r w:rsidRPr="002B55E9">
        <w:rPr>
          <w:rFonts w:hint="eastAsia"/>
          <w:bCs/>
        </w:rPr>
        <w:t>）工艺，</w:t>
      </w:r>
      <w:r w:rsidRPr="002B55E9">
        <w:rPr>
          <w:rFonts w:hint="eastAsia"/>
        </w:rPr>
        <w:t>年用纯水量为</w:t>
      </w:r>
      <w:r w:rsidRPr="002B55E9">
        <w:t>33m</w:t>
      </w:r>
      <w:r w:rsidRPr="002B55E9">
        <w:rPr>
          <w:vertAlign w:val="superscript"/>
        </w:rPr>
        <w:t>3</w:t>
      </w:r>
      <w:r w:rsidRPr="002B55E9">
        <w:t>/a</w:t>
      </w:r>
      <w:r w:rsidRPr="002B55E9">
        <w:rPr>
          <w:rFonts w:hint="eastAsia"/>
        </w:rPr>
        <w:t>，纯水制水设备效率为</w:t>
      </w:r>
      <w:r w:rsidRPr="002B55E9">
        <w:t>75%</w:t>
      </w:r>
      <w:r w:rsidRPr="002B55E9">
        <w:rPr>
          <w:rFonts w:hint="eastAsia"/>
        </w:rPr>
        <w:t>，则制纯水用水为</w:t>
      </w:r>
      <w:r w:rsidRPr="002B55E9">
        <w:t>44m</w:t>
      </w:r>
      <w:r w:rsidRPr="002B55E9">
        <w:rPr>
          <w:vertAlign w:val="superscript"/>
        </w:rPr>
        <w:t>3</w:t>
      </w:r>
      <w:r w:rsidRPr="002B55E9">
        <w:t>/a</w:t>
      </w:r>
      <w:r w:rsidRPr="002B55E9">
        <w:rPr>
          <w:rFonts w:hint="eastAsia"/>
        </w:rPr>
        <w:t>，制水尾水排放量约为</w:t>
      </w:r>
      <w:r w:rsidRPr="002B55E9">
        <w:t>11m</w:t>
      </w:r>
      <w:r w:rsidRPr="002B55E9">
        <w:rPr>
          <w:vertAlign w:val="superscript"/>
        </w:rPr>
        <w:t>3</w:t>
      </w:r>
      <w:r w:rsidRPr="002B55E9">
        <w:t>/a</w:t>
      </w:r>
      <w:r w:rsidRPr="002B55E9">
        <w:rPr>
          <w:rFonts w:hint="eastAsia"/>
        </w:rPr>
        <w:t>。</w:t>
      </w:r>
    </w:p>
    <w:p w14:paraId="3D8754BA" w14:textId="0D530D59" w:rsidR="007F0F34" w:rsidRPr="002B55E9" w:rsidRDefault="007F0F34">
      <w:pPr>
        <w:pStyle w:val="aa"/>
        <w:adjustRightInd w:val="0"/>
      </w:pPr>
      <w:r w:rsidRPr="002B55E9">
        <w:rPr>
          <w:rFonts w:hint="eastAsia"/>
        </w:rPr>
        <w:t>9</w:t>
      </w:r>
      <w:r w:rsidRPr="002B55E9">
        <w:rPr>
          <w:rFonts w:hint="eastAsia"/>
        </w:rPr>
        <w:t>、</w:t>
      </w:r>
      <w:r w:rsidRPr="002B55E9">
        <w:t>绿化用水</w:t>
      </w:r>
    </w:p>
    <w:p w14:paraId="01698A20" w14:textId="0A39DA5B" w:rsidR="00D170E5" w:rsidRPr="002B55E9" w:rsidRDefault="007F0F34">
      <w:pPr>
        <w:pStyle w:val="aa"/>
        <w:adjustRightInd w:val="0"/>
        <w:snapToGrid w:val="0"/>
        <w:ind w:firstLineChars="200" w:firstLine="480"/>
      </w:pPr>
      <w:r w:rsidRPr="002B55E9">
        <w:rPr>
          <w:rFonts w:hint="eastAsia"/>
        </w:rPr>
        <w:t>拟建项目需对厂区绿化进行浇洒，绿化浇洒用水量按</w:t>
      </w:r>
      <w:r w:rsidRPr="002B55E9">
        <w:rPr>
          <w:rFonts w:hint="eastAsia"/>
        </w:rPr>
        <w:t>2L/m</w:t>
      </w:r>
      <w:r w:rsidRPr="002B55E9">
        <w:rPr>
          <w:rFonts w:hint="eastAsia"/>
          <w:vertAlign w:val="superscript"/>
        </w:rPr>
        <w:t>2</w:t>
      </w:r>
      <w:r w:rsidRPr="002B55E9">
        <w:rPr>
          <w:rFonts w:hint="eastAsia"/>
        </w:rPr>
        <w:t>•次计，年预计浇洒</w:t>
      </w:r>
      <w:r w:rsidRPr="002B55E9">
        <w:rPr>
          <w:rFonts w:hint="eastAsia"/>
        </w:rPr>
        <w:t>50</w:t>
      </w:r>
      <w:r w:rsidRPr="002B55E9">
        <w:rPr>
          <w:rFonts w:hint="eastAsia"/>
        </w:rPr>
        <w:t>次，厂区绿化面积约为</w:t>
      </w:r>
      <w:r w:rsidRPr="002B55E9">
        <w:t>22790</w:t>
      </w:r>
      <w:r w:rsidRPr="002B55E9">
        <w:rPr>
          <w:rFonts w:hint="eastAsia"/>
        </w:rPr>
        <w:t>m</w:t>
      </w:r>
      <w:r w:rsidRPr="002B55E9">
        <w:rPr>
          <w:rFonts w:hint="eastAsia"/>
          <w:vertAlign w:val="superscript"/>
        </w:rPr>
        <w:t>2</w:t>
      </w:r>
      <w:r w:rsidRPr="002B55E9">
        <w:rPr>
          <w:rFonts w:hint="eastAsia"/>
        </w:rPr>
        <w:t>，使用蒸汽冷凝水浇洒，则单次用水量约</w:t>
      </w:r>
      <w:r w:rsidRPr="002B55E9">
        <w:t>45.6</w:t>
      </w:r>
      <w:r w:rsidRPr="002B55E9">
        <w:rPr>
          <w:rFonts w:hint="eastAsia"/>
        </w:rPr>
        <w:t>m3</w:t>
      </w:r>
      <w:r w:rsidRPr="002B55E9">
        <w:rPr>
          <w:rFonts w:hint="eastAsia"/>
        </w:rPr>
        <w:t>，年用水量约</w:t>
      </w:r>
      <w:r w:rsidRPr="002B55E9">
        <w:t>2279</w:t>
      </w:r>
      <w:r w:rsidRPr="002B55E9">
        <w:rPr>
          <w:rFonts w:hint="eastAsia"/>
        </w:rPr>
        <w:t>m</w:t>
      </w:r>
      <w:r w:rsidRPr="002B55E9">
        <w:rPr>
          <w:rFonts w:hint="eastAsia"/>
          <w:vertAlign w:val="superscript"/>
        </w:rPr>
        <w:t>3</w:t>
      </w:r>
      <w:r w:rsidRPr="002B55E9">
        <w:rPr>
          <w:rFonts w:hint="eastAsia"/>
        </w:rPr>
        <w:t>。</w:t>
      </w:r>
    </w:p>
    <w:p w14:paraId="4636E6C4" w14:textId="70C4DE68" w:rsidR="008E3657" w:rsidRPr="002B55E9" w:rsidRDefault="008E3657" w:rsidP="008E3657">
      <w:pPr>
        <w:pStyle w:val="5"/>
        <w:adjustRightInd w:val="0"/>
        <w:snapToGrid w:val="0"/>
      </w:pPr>
      <w:r w:rsidRPr="002B55E9">
        <w:rPr>
          <w:rFonts w:hint="eastAsia"/>
        </w:rPr>
        <w:t>水平衡</w:t>
      </w:r>
    </w:p>
    <w:p w14:paraId="48E49E8E" w14:textId="5ABAAACA" w:rsidR="00D170E5" w:rsidRPr="002B55E9" w:rsidRDefault="009A66DD">
      <w:pPr>
        <w:pStyle w:val="aa"/>
        <w:adjustRightInd w:val="0"/>
        <w:snapToGrid w:val="0"/>
        <w:ind w:firstLineChars="200" w:firstLine="480"/>
      </w:pPr>
      <w:r w:rsidRPr="002B55E9">
        <w:rPr>
          <w:rFonts w:hint="eastAsia"/>
        </w:rPr>
        <w:t>拟建项目</w:t>
      </w:r>
      <w:r w:rsidR="0020369B" w:rsidRPr="002B55E9">
        <w:rPr>
          <w:rFonts w:hint="eastAsia"/>
        </w:rPr>
        <w:t>日平均</w:t>
      </w:r>
      <w:r w:rsidRPr="002B55E9">
        <w:rPr>
          <w:rFonts w:hint="eastAsia"/>
        </w:rPr>
        <w:t>用水量见下表。</w:t>
      </w:r>
    </w:p>
    <w:p w14:paraId="50716DF8" w14:textId="17A33B76" w:rsidR="0015768C" w:rsidRPr="002B55E9" w:rsidRDefault="00EF27AD" w:rsidP="009620A9">
      <w:pPr>
        <w:pStyle w:val="1f3"/>
        <w:spacing w:beforeLines="0" w:before="0"/>
      </w:pPr>
      <w:r w:rsidRPr="002B55E9">
        <w:rPr>
          <w:rFonts w:ascii="黑体" w:hAnsi="黑体"/>
        </w:rPr>
        <w:t>表</w:t>
      </w:r>
      <w:r w:rsidRPr="002B55E9">
        <w:t>3-2-13</w:t>
      </w:r>
      <w:r w:rsidRPr="002B55E9">
        <w:rPr>
          <w:rFonts w:ascii="黑体" w:hAnsi="黑体"/>
        </w:rPr>
        <w:t xml:space="preserve"> </w:t>
      </w:r>
      <w:r w:rsidRPr="002B55E9">
        <w:rPr>
          <w:rFonts w:ascii="黑体" w:hAnsi="黑体" w:hint="eastAsia"/>
        </w:rPr>
        <w:t xml:space="preserve"> 拟建项目</w:t>
      </w:r>
      <w:r w:rsidR="0020369B" w:rsidRPr="002B55E9">
        <w:rPr>
          <w:rFonts w:ascii="黑体" w:hAnsi="黑体" w:hint="eastAsia"/>
        </w:rPr>
        <w:t>日</w:t>
      </w:r>
      <w:r w:rsidR="0015768C" w:rsidRPr="002B55E9">
        <w:rPr>
          <w:rFonts w:ascii="黑体" w:hAnsi="黑体" w:hint="eastAsia"/>
        </w:rPr>
        <w:t>平均</w:t>
      </w:r>
      <w:r w:rsidRPr="002B55E9">
        <w:rPr>
          <w:rFonts w:ascii="黑体" w:hAnsi="黑体" w:hint="eastAsia"/>
        </w:rPr>
        <w:t>用水量平衡表</w:t>
      </w:r>
      <w:r w:rsidRPr="002B55E9">
        <w:rPr>
          <w:rFonts w:ascii="黑体" w:hAnsi="黑体"/>
        </w:rPr>
        <w:t>（</w:t>
      </w:r>
      <w:r w:rsidRPr="002B55E9">
        <w:t>m</w:t>
      </w:r>
      <w:r w:rsidRPr="002B55E9">
        <w:rPr>
          <w:vertAlign w:val="superscript"/>
        </w:rPr>
        <w:t>3</w:t>
      </w:r>
      <w:r w:rsidRPr="002B55E9">
        <w:rPr>
          <w:rFonts w:ascii="黑体" w:hAnsi="黑体"/>
        </w:rPr>
        <w:t>/</w:t>
      </w:r>
      <w:r w:rsidR="0020369B" w:rsidRPr="002B55E9">
        <w:t>d</w:t>
      </w:r>
      <w:r w:rsidRPr="002B55E9">
        <w:rPr>
          <w:rFonts w:ascii="黑体" w:hAnsi="黑体"/>
        </w:rPr>
        <w:t>）</w:t>
      </w:r>
    </w:p>
    <w:tbl>
      <w:tblPr>
        <w:tblStyle w:val="lgy2"/>
        <w:tblW w:w="5000" w:type="pct"/>
        <w:tblCellMar>
          <w:left w:w="28" w:type="dxa"/>
          <w:right w:w="28" w:type="dxa"/>
        </w:tblCellMar>
        <w:tblLook w:val="04A0" w:firstRow="1" w:lastRow="0" w:firstColumn="1" w:lastColumn="0" w:noHBand="0" w:noVBand="1"/>
      </w:tblPr>
      <w:tblGrid>
        <w:gridCol w:w="668"/>
        <w:gridCol w:w="884"/>
        <w:gridCol w:w="588"/>
        <w:gridCol w:w="566"/>
        <w:gridCol w:w="682"/>
        <w:gridCol w:w="617"/>
        <w:gridCol w:w="416"/>
        <w:gridCol w:w="730"/>
        <w:gridCol w:w="588"/>
        <w:gridCol w:w="588"/>
        <w:gridCol w:w="718"/>
        <w:gridCol w:w="675"/>
        <w:gridCol w:w="617"/>
        <w:gridCol w:w="617"/>
        <w:gridCol w:w="740"/>
      </w:tblGrid>
      <w:tr w:rsidR="002B55E9" w:rsidRPr="002B55E9" w14:paraId="75A852E9" w14:textId="77777777" w:rsidTr="009620A9">
        <w:trPr>
          <w:cnfStyle w:val="100000000000" w:firstRow="1" w:lastRow="0" w:firstColumn="0" w:lastColumn="0" w:oddVBand="0" w:evenVBand="0" w:oddHBand="0" w:evenHBand="0" w:firstRowFirstColumn="0" w:firstRowLastColumn="0" w:lastRowFirstColumn="0" w:lastRowLastColumn="0"/>
          <w:trHeight w:val="283"/>
        </w:trPr>
        <w:tc>
          <w:tcPr>
            <w:tcW w:w="1542" w:type="dxa"/>
            <w:gridSpan w:val="2"/>
            <w:vMerge w:val="restart"/>
            <w:hideMark/>
          </w:tcPr>
          <w:p w14:paraId="41806734" w14:textId="77777777" w:rsidR="009620A9" w:rsidRPr="002B55E9" w:rsidRDefault="009620A9" w:rsidP="009620A9">
            <w:pPr>
              <w:pStyle w:val="lgy-"/>
              <w:rPr>
                <w:rFonts w:eastAsia="宋体"/>
              </w:rPr>
            </w:pPr>
            <w:r w:rsidRPr="002B55E9">
              <w:rPr>
                <w:rFonts w:eastAsia="宋体" w:hint="eastAsia"/>
              </w:rPr>
              <w:t>用水环节</w:t>
            </w:r>
          </w:p>
        </w:tc>
        <w:tc>
          <w:tcPr>
            <w:tcW w:w="4164" w:type="dxa"/>
            <w:gridSpan w:val="7"/>
            <w:hideMark/>
          </w:tcPr>
          <w:p w14:paraId="76041738" w14:textId="77777777" w:rsidR="009620A9" w:rsidRPr="002B55E9" w:rsidRDefault="009620A9" w:rsidP="009620A9">
            <w:pPr>
              <w:pStyle w:val="lgy-"/>
              <w:rPr>
                <w:rFonts w:eastAsia="宋体"/>
              </w:rPr>
            </w:pPr>
            <w:r w:rsidRPr="002B55E9">
              <w:rPr>
                <w:rFonts w:eastAsia="宋体" w:hint="eastAsia"/>
              </w:rPr>
              <w:t>给水</w:t>
            </w:r>
          </w:p>
        </w:tc>
        <w:tc>
          <w:tcPr>
            <w:tcW w:w="3932" w:type="dxa"/>
            <w:gridSpan w:val="6"/>
            <w:hideMark/>
          </w:tcPr>
          <w:p w14:paraId="15FBBDAD" w14:textId="77777777" w:rsidR="009620A9" w:rsidRPr="002B55E9" w:rsidRDefault="009620A9" w:rsidP="009620A9">
            <w:pPr>
              <w:pStyle w:val="lgy-"/>
              <w:rPr>
                <w:rFonts w:eastAsia="宋体"/>
              </w:rPr>
            </w:pPr>
            <w:r w:rsidRPr="002B55E9">
              <w:rPr>
                <w:rFonts w:eastAsia="宋体" w:hint="eastAsia"/>
              </w:rPr>
              <w:t>排水</w:t>
            </w:r>
          </w:p>
        </w:tc>
      </w:tr>
      <w:tr w:rsidR="002B55E9" w:rsidRPr="002B55E9" w14:paraId="04E85B87" w14:textId="77777777" w:rsidTr="009620A9">
        <w:trPr>
          <w:trHeight w:val="283"/>
        </w:trPr>
        <w:tc>
          <w:tcPr>
            <w:tcW w:w="1542" w:type="dxa"/>
            <w:gridSpan w:val="2"/>
            <w:vMerge/>
            <w:hideMark/>
          </w:tcPr>
          <w:p w14:paraId="5581B645" w14:textId="77777777" w:rsidR="009620A9" w:rsidRPr="002B55E9" w:rsidRDefault="009620A9" w:rsidP="009620A9">
            <w:pPr>
              <w:pStyle w:val="lgy-"/>
              <w:rPr>
                <w:rFonts w:eastAsia="宋体"/>
              </w:rPr>
            </w:pPr>
          </w:p>
        </w:tc>
        <w:tc>
          <w:tcPr>
            <w:tcW w:w="585" w:type="dxa"/>
            <w:hideMark/>
          </w:tcPr>
          <w:p w14:paraId="6C3A5832" w14:textId="77777777" w:rsidR="009620A9" w:rsidRPr="002B55E9" w:rsidRDefault="009620A9" w:rsidP="009620A9">
            <w:pPr>
              <w:pStyle w:val="lgy-"/>
              <w:rPr>
                <w:rFonts w:eastAsia="宋体"/>
              </w:rPr>
            </w:pPr>
            <w:r w:rsidRPr="002B55E9">
              <w:rPr>
                <w:rFonts w:eastAsia="宋体" w:hint="eastAsia"/>
              </w:rPr>
              <w:t>总用水</w:t>
            </w:r>
          </w:p>
        </w:tc>
        <w:tc>
          <w:tcPr>
            <w:tcW w:w="563" w:type="dxa"/>
            <w:hideMark/>
          </w:tcPr>
          <w:p w14:paraId="15565BEB" w14:textId="77777777" w:rsidR="009620A9" w:rsidRPr="002B55E9" w:rsidRDefault="009620A9" w:rsidP="009620A9">
            <w:pPr>
              <w:pStyle w:val="lgy-"/>
              <w:rPr>
                <w:rFonts w:eastAsia="宋体"/>
              </w:rPr>
            </w:pPr>
            <w:r w:rsidRPr="002B55E9">
              <w:rPr>
                <w:rFonts w:eastAsia="宋体" w:hint="eastAsia"/>
              </w:rPr>
              <w:t>循环水</w:t>
            </w:r>
          </w:p>
        </w:tc>
        <w:tc>
          <w:tcPr>
            <w:tcW w:w="678" w:type="dxa"/>
            <w:hideMark/>
          </w:tcPr>
          <w:p w14:paraId="2D1113A0" w14:textId="77777777" w:rsidR="009620A9" w:rsidRPr="002B55E9" w:rsidRDefault="009620A9" w:rsidP="009620A9">
            <w:pPr>
              <w:pStyle w:val="lgy-"/>
              <w:rPr>
                <w:rFonts w:eastAsia="宋体"/>
              </w:rPr>
            </w:pPr>
            <w:r w:rsidRPr="002B55E9">
              <w:rPr>
                <w:rFonts w:eastAsia="宋体" w:hint="eastAsia"/>
              </w:rPr>
              <w:t>自来水</w:t>
            </w:r>
          </w:p>
        </w:tc>
        <w:tc>
          <w:tcPr>
            <w:tcW w:w="613" w:type="dxa"/>
            <w:hideMark/>
          </w:tcPr>
          <w:p w14:paraId="032A9F05" w14:textId="77777777" w:rsidR="009620A9" w:rsidRPr="002B55E9" w:rsidRDefault="009620A9" w:rsidP="009620A9">
            <w:pPr>
              <w:pStyle w:val="lgy-"/>
              <w:rPr>
                <w:rFonts w:eastAsia="宋体"/>
              </w:rPr>
            </w:pPr>
            <w:r w:rsidRPr="002B55E9">
              <w:rPr>
                <w:rFonts w:eastAsia="宋体" w:hint="eastAsia"/>
              </w:rPr>
              <w:t>工艺水</w:t>
            </w:r>
          </w:p>
        </w:tc>
        <w:tc>
          <w:tcPr>
            <w:tcW w:w="414" w:type="dxa"/>
            <w:hideMark/>
          </w:tcPr>
          <w:p w14:paraId="152337A5" w14:textId="77777777" w:rsidR="009620A9" w:rsidRPr="002B55E9" w:rsidRDefault="009620A9" w:rsidP="009620A9">
            <w:pPr>
              <w:pStyle w:val="lgy-"/>
              <w:rPr>
                <w:rFonts w:eastAsia="宋体"/>
              </w:rPr>
            </w:pPr>
            <w:r w:rsidRPr="002B55E9">
              <w:rPr>
                <w:rFonts w:eastAsia="宋体" w:hint="eastAsia"/>
              </w:rPr>
              <w:t>纯水</w:t>
            </w:r>
          </w:p>
        </w:tc>
        <w:tc>
          <w:tcPr>
            <w:tcW w:w="726" w:type="dxa"/>
            <w:hideMark/>
          </w:tcPr>
          <w:p w14:paraId="031A6A99" w14:textId="77777777" w:rsidR="009620A9" w:rsidRPr="002B55E9" w:rsidRDefault="009620A9" w:rsidP="009620A9">
            <w:pPr>
              <w:pStyle w:val="lgy-"/>
              <w:rPr>
                <w:rFonts w:eastAsia="宋体"/>
              </w:rPr>
            </w:pPr>
            <w:r w:rsidRPr="002B55E9">
              <w:rPr>
                <w:rFonts w:eastAsia="宋体" w:hint="eastAsia"/>
              </w:rPr>
              <w:t>蒸汽冷凝水</w:t>
            </w:r>
          </w:p>
        </w:tc>
        <w:tc>
          <w:tcPr>
            <w:tcW w:w="585" w:type="dxa"/>
            <w:hideMark/>
          </w:tcPr>
          <w:p w14:paraId="277815CC" w14:textId="77777777" w:rsidR="009620A9" w:rsidRPr="002B55E9" w:rsidRDefault="009620A9" w:rsidP="009620A9">
            <w:pPr>
              <w:pStyle w:val="lgy-"/>
              <w:rPr>
                <w:rFonts w:eastAsia="宋体"/>
              </w:rPr>
            </w:pPr>
            <w:r w:rsidRPr="002B55E9">
              <w:rPr>
                <w:rFonts w:eastAsia="宋体" w:hint="eastAsia"/>
              </w:rPr>
              <w:t>工业蒸汽</w:t>
            </w:r>
          </w:p>
        </w:tc>
        <w:tc>
          <w:tcPr>
            <w:tcW w:w="585" w:type="dxa"/>
            <w:hideMark/>
          </w:tcPr>
          <w:p w14:paraId="44E8FF04" w14:textId="77777777" w:rsidR="009620A9" w:rsidRPr="002B55E9" w:rsidRDefault="009620A9" w:rsidP="009620A9">
            <w:pPr>
              <w:pStyle w:val="lgy-"/>
              <w:rPr>
                <w:rFonts w:eastAsia="宋体"/>
              </w:rPr>
            </w:pPr>
            <w:r w:rsidRPr="002B55E9">
              <w:rPr>
                <w:rFonts w:eastAsia="宋体" w:hint="eastAsia"/>
              </w:rPr>
              <w:t>进入产品</w:t>
            </w:r>
          </w:p>
        </w:tc>
        <w:tc>
          <w:tcPr>
            <w:tcW w:w="714" w:type="dxa"/>
            <w:hideMark/>
          </w:tcPr>
          <w:p w14:paraId="398C0702" w14:textId="77777777" w:rsidR="009620A9" w:rsidRPr="002B55E9" w:rsidRDefault="009620A9" w:rsidP="009620A9">
            <w:pPr>
              <w:pStyle w:val="lgy-"/>
              <w:rPr>
                <w:rFonts w:eastAsia="宋体"/>
              </w:rPr>
            </w:pPr>
            <w:r w:rsidRPr="002B55E9">
              <w:rPr>
                <w:rFonts w:eastAsia="宋体" w:hint="eastAsia"/>
              </w:rPr>
              <w:t>回用</w:t>
            </w:r>
          </w:p>
        </w:tc>
        <w:tc>
          <w:tcPr>
            <w:tcW w:w="671" w:type="dxa"/>
            <w:hideMark/>
          </w:tcPr>
          <w:p w14:paraId="4BF5A74D" w14:textId="77777777" w:rsidR="009620A9" w:rsidRPr="002B55E9" w:rsidRDefault="009620A9" w:rsidP="009620A9">
            <w:pPr>
              <w:pStyle w:val="lgy-"/>
              <w:rPr>
                <w:rFonts w:eastAsia="宋体"/>
              </w:rPr>
            </w:pPr>
            <w:r w:rsidRPr="002B55E9">
              <w:rPr>
                <w:rFonts w:eastAsia="宋体" w:hint="eastAsia"/>
              </w:rPr>
              <w:t>进入危废</w:t>
            </w:r>
          </w:p>
        </w:tc>
        <w:tc>
          <w:tcPr>
            <w:tcW w:w="613" w:type="dxa"/>
            <w:hideMark/>
          </w:tcPr>
          <w:p w14:paraId="2A200B11" w14:textId="77777777" w:rsidR="009620A9" w:rsidRPr="002B55E9" w:rsidRDefault="009620A9" w:rsidP="009620A9">
            <w:pPr>
              <w:pStyle w:val="lgy-"/>
              <w:rPr>
                <w:rFonts w:eastAsia="宋体"/>
              </w:rPr>
            </w:pPr>
            <w:r w:rsidRPr="002B55E9">
              <w:rPr>
                <w:rFonts w:eastAsia="宋体" w:hint="eastAsia"/>
              </w:rPr>
              <w:t>损耗</w:t>
            </w:r>
          </w:p>
        </w:tc>
        <w:tc>
          <w:tcPr>
            <w:tcW w:w="613" w:type="dxa"/>
            <w:hideMark/>
          </w:tcPr>
          <w:p w14:paraId="2A5559B4" w14:textId="77777777" w:rsidR="009620A9" w:rsidRPr="002B55E9" w:rsidRDefault="009620A9" w:rsidP="009620A9">
            <w:pPr>
              <w:pStyle w:val="lgy-"/>
              <w:rPr>
                <w:rFonts w:eastAsia="宋体"/>
              </w:rPr>
            </w:pPr>
            <w:r w:rsidRPr="002B55E9">
              <w:rPr>
                <w:rFonts w:eastAsia="宋体" w:hint="eastAsia"/>
              </w:rPr>
              <w:t>污排水</w:t>
            </w:r>
          </w:p>
        </w:tc>
        <w:tc>
          <w:tcPr>
            <w:tcW w:w="736" w:type="dxa"/>
            <w:hideMark/>
          </w:tcPr>
          <w:p w14:paraId="275F0FA8" w14:textId="77777777" w:rsidR="009620A9" w:rsidRPr="002B55E9" w:rsidRDefault="009620A9" w:rsidP="009620A9">
            <w:pPr>
              <w:pStyle w:val="lgy-"/>
              <w:rPr>
                <w:rFonts w:eastAsia="宋体"/>
              </w:rPr>
            </w:pPr>
            <w:r w:rsidRPr="002B55E9">
              <w:rPr>
                <w:rFonts w:eastAsia="宋体" w:hint="eastAsia"/>
              </w:rPr>
              <w:t>蒸汽冷凝水</w:t>
            </w:r>
          </w:p>
        </w:tc>
      </w:tr>
      <w:tr w:rsidR="002B55E9" w:rsidRPr="002B55E9" w14:paraId="67D2172D" w14:textId="77777777" w:rsidTr="003E2FA0">
        <w:trPr>
          <w:trHeight w:val="283"/>
        </w:trPr>
        <w:tc>
          <w:tcPr>
            <w:tcW w:w="663" w:type="dxa"/>
            <w:hideMark/>
          </w:tcPr>
          <w:p w14:paraId="610C060F" w14:textId="77777777" w:rsidR="009620A9" w:rsidRPr="002B55E9" w:rsidRDefault="009620A9" w:rsidP="009620A9">
            <w:pPr>
              <w:pStyle w:val="lgy-"/>
              <w:rPr>
                <w:rFonts w:eastAsia="宋体"/>
              </w:rPr>
            </w:pPr>
            <w:r w:rsidRPr="002B55E9">
              <w:rPr>
                <w:rFonts w:eastAsia="宋体" w:hint="eastAsia"/>
              </w:rPr>
              <w:t>共用</w:t>
            </w:r>
          </w:p>
        </w:tc>
        <w:tc>
          <w:tcPr>
            <w:tcW w:w="879" w:type="dxa"/>
            <w:hideMark/>
          </w:tcPr>
          <w:p w14:paraId="25515A3F" w14:textId="77777777" w:rsidR="009620A9" w:rsidRPr="002B55E9" w:rsidRDefault="009620A9" w:rsidP="009620A9">
            <w:pPr>
              <w:pStyle w:val="lgy-"/>
              <w:rPr>
                <w:rFonts w:eastAsia="宋体"/>
              </w:rPr>
            </w:pPr>
            <w:r w:rsidRPr="002B55E9">
              <w:rPr>
                <w:rFonts w:eastAsia="宋体" w:hint="eastAsia"/>
              </w:rPr>
              <w:t>酒精稀释</w:t>
            </w:r>
          </w:p>
        </w:tc>
        <w:tc>
          <w:tcPr>
            <w:tcW w:w="585" w:type="dxa"/>
          </w:tcPr>
          <w:p w14:paraId="3CFFF2D6" w14:textId="4E1C9127" w:rsidR="009620A9" w:rsidRPr="002B55E9" w:rsidRDefault="009620A9" w:rsidP="009620A9">
            <w:pPr>
              <w:pStyle w:val="lgy-"/>
              <w:rPr>
                <w:rFonts w:eastAsia="宋体"/>
              </w:rPr>
            </w:pPr>
          </w:p>
        </w:tc>
        <w:tc>
          <w:tcPr>
            <w:tcW w:w="563" w:type="dxa"/>
          </w:tcPr>
          <w:p w14:paraId="4213CE50" w14:textId="38F96574" w:rsidR="009620A9" w:rsidRPr="002B55E9" w:rsidRDefault="009620A9" w:rsidP="009620A9">
            <w:pPr>
              <w:pStyle w:val="lgy-"/>
              <w:rPr>
                <w:rFonts w:eastAsia="宋体"/>
              </w:rPr>
            </w:pPr>
          </w:p>
        </w:tc>
        <w:tc>
          <w:tcPr>
            <w:tcW w:w="678" w:type="dxa"/>
          </w:tcPr>
          <w:p w14:paraId="0CDEB359" w14:textId="52B5D647" w:rsidR="009620A9" w:rsidRPr="002B55E9" w:rsidRDefault="009620A9" w:rsidP="009620A9">
            <w:pPr>
              <w:pStyle w:val="lgy-"/>
              <w:rPr>
                <w:rFonts w:eastAsia="宋体"/>
              </w:rPr>
            </w:pPr>
          </w:p>
        </w:tc>
        <w:tc>
          <w:tcPr>
            <w:tcW w:w="613" w:type="dxa"/>
          </w:tcPr>
          <w:p w14:paraId="56932077" w14:textId="24EA320B" w:rsidR="009620A9" w:rsidRPr="002B55E9" w:rsidRDefault="009620A9" w:rsidP="009620A9">
            <w:pPr>
              <w:pStyle w:val="lgy-"/>
              <w:rPr>
                <w:rFonts w:eastAsia="宋体"/>
              </w:rPr>
            </w:pPr>
          </w:p>
        </w:tc>
        <w:tc>
          <w:tcPr>
            <w:tcW w:w="414" w:type="dxa"/>
          </w:tcPr>
          <w:p w14:paraId="65516BD7" w14:textId="478E9814" w:rsidR="009620A9" w:rsidRPr="002B55E9" w:rsidRDefault="009620A9" w:rsidP="009620A9">
            <w:pPr>
              <w:pStyle w:val="lgy-"/>
              <w:rPr>
                <w:rFonts w:eastAsia="宋体"/>
              </w:rPr>
            </w:pPr>
          </w:p>
        </w:tc>
        <w:tc>
          <w:tcPr>
            <w:tcW w:w="726" w:type="dxa"/>
          </w:tcPr>
          <w:p w14:paraId="7FA3058C" w14:textId="446D0710" w:rsidR="009620A9" w:rsidRPr="002B55E9" w:rsidRDefault="009620A9" w:rsidP="009620A9">
            <w:pPr>
              <w:pStyle w:val="lgy-"/>
              <w:rPr>
                <w:rFonts w:eastAsia="宋体"/>
              </w:rPr>
            </w:pPr>
          </w:p>
        </w:tc>
        <w:tc>
          <w:tcPr>
            <w:tcW w:w="585" w:type="dxa"/>
          </w:tcPr>
          <w:p w14:paraId="2C18C206" w14:textId="25B4DBD0" w:rsidR="009620A9" w:rsidRPr="002B55E9" w:rsidRDefault="009620A9" w:rsidP="009620A9">
            <w:pPr>
              <w:pStyle w:val="lgy-"/>
              <w:rPr>
                <w:rFonts w:eastAsia="宋体"/>
              </w:rPr>
            </w:pPr>
          </w:p>
        </w:tc>
        <w:tc>
          <w:tcPr>
            <w:tcW w:w="585" w:type="dxa"/>
          </w:tcPr>
          <w:p w14:paraId="4CD824E3" w14:textId="26617CBA" w:rsidR="009620A9" w:rsidRPr="002B55E9" w:rsidRDefault="009620A9" w:rsidP="009620A9">
            <w:pPr>
              <w:pStyle w:val="lgy-"/>
              <w:rPr>
                <w:rFonts w:eastAsia="宋体"/>
              </w:rPr>
            </w:pPr>
          </w:p>
        </w:tc>
        <w:tc>
          <w:tcPr>
            <w:tcW w:w="714" w:type="dxa"/>
            <w:hideMark/>
          </w:tcPr>
          <w:p w14:paraId="1B0C07F6"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379A26A2"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2FC8EC85"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4A2671B9"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3FE5A405"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517615F1" w14:textId="77777777" w:rsidTr="003E2FA0">
        <w:trPr>
          <w:trHeight w:val="283"/>
        </w:trPr>
        <w:tc>
          <w:tcPr>
            <w:tcW w:w="663" w:type="dxa"/>
            <w:hideMark/>
          </w:tcPr>
          <w:p w14:paraId="01CFFE81" w14:textId="77777777" w:rsidR="009620A9" w:rsidRPr="002B55E9" w:rsidRDefault="009620A9" w:rsidP="009620A9">
            <w:pPr>
              <w:pStyle w:val="lgy-"/>
              <w:rPr>
                <w:rFonts w:eastAsia="宋体"/>
              </w:rPr>
            </w:pPr>
            <w:r w:rsidRPr="002B55E9">
              <w:rPr>
                <w:rFonts w:eastAsia="宋体" w:hint="eastAsia"/>
              </w:rPr>
              <w:t>料酒生产</w:t>
            </w:r>
          </w:p>
        </w:tc>
        <w:tc>
          <w:tcPr>
            <w:tcW w:w="879" w:type="dxa"/>
            <w:hideMark/>
          </w:tcPr>
          <w:p w14:paraId="23635695" w14:textId="77777777" w:rsidR="009620A9" w:rsidRPr="002B55E9" w:rsidRDefault="009620A9" w:rsidP="009620A9">
            <w:pPr>
              <w:pStyle w:val="lgy-"/>
              <w:rPr>
                <w:rFonts w:eastAsia="宋体"/>
              </w:rPr>
            </w:pPr>
            <w:r w:rsidRPr="002B55E9">
              <w:rPr>
                <w:rFonts w:eastAsia="宋体" w:hint="eastAsia"/>
              </w:rPr>
              <w:t>调配混合</w:t>
            </w:r>
          </w:p>
        </w:tc>
        <w:tc>
          <w:tcPr>
            <w:tcW w:w="585" w:type="dxa"/>
          </w:tcPr>
          <w:p w14:paraId="34FD630E" w14:textId="04FAADF6" w:rsidR="009620A9" w:rsidRPr="002B55E9" w:rsidRDefault="009620A9" w:rsidP="009620A9">
            <w:pPr>
              <w:pStyle w:val="lgy-"/>
              <w:rPr>
                <w:rFonts w:eastAsia="宋体"/>
              </w:rPr>
            </w:pPr>
          </w:p>
        </w:tc>
        <w:tc>
          <w:tcPr>
            <w:tcW w:w="563" w:type="dxa"/>
          </w:tcPr>
          <w:p w14:paraId="77CDE128" w14:textId="1FF0674C" w:rsidR="009620A9" w:rsidRPr="002B55E9" w:rsidRDefault="009620A9" w:rsidP="009620A9">
            <w:pPr>
              <w:pStyle w:val="lgy-"/>
              <w:rPr>
                <w:rFonts w:eastAsia="宋体"/>
              </w:rPr>
            </w:pPr>
          </w:p>
        </w:tc>
        <w:tc>
          <w:tcPr>
            <w:tcW w:w="678" w:type="dxa"/>
          </w:tcPr>
          <w:p w14:paraId="3043A9E7" w14:textId="64B79989" w:rsidR="009620A9" w:rsidRPr="002B55E9" w:rsidRDefault="009620A9" w:rsidP="009620A9">
            <w:pPr>
              <w:pStyle w:val="lgy-"/>
              <w:rPr>
                <w:rFonts w:eastAsia="宋体"/>
              </w:rPr>
            </w:pPr>
          </w:p>
        </w:tc>
        <w:tc>
          <w:tcPr>
            <w:tcW w:w="613" w:type="dxa"/>
          </w:tcPr>
          <w:p w14:paraId="2ED9CBD3" w14:textId="728A0F2F" w:rsidR="009620A9" w:rsidRPr="002B55E9" w:rsidRDefault="009620A9" w:rsidP="009620A9">
            <w:pPr>
              <w:pStyle w:val="lgy-"/>
              <w:rPr>
                <w:rFonts w:eastAsia="宋体"/>
              </w:rPr>
            </w:pPr>
          </w:p>
        </w:tc>
        <w:tc>
          <w:tcPr>
            <w:tcW w:w="414" w:type="dxa"/>
          </w:tcPr>
          <w:p w14:paraId="746D2D60" w14:textId="357565ED" w:rsidR="009620A9" w:rsidRPr="002B55E9" w:rsidRDefault="009620A9" w:rsidP="009620A9">
            <w:pPr>
              <w:pStyle w:val="lgy-"/>
              <w:rPr>
                <w:rFonts w:eastAsia="宋体"/>
              </w:rPr>
            </w:pPr>
          </w:p>
        </w:tc>
        <w:tc>
          <w:tcPr>
            <w:tcW w:w="726" w:type="dxa"/>
          </w:tcPr>
          <w:p w14:paraId="1B729FE8" w14:textId="73D4057E" w:rsidR="009620A9" w:rsidRPr="002B55E9" w:rsidRDefault="009620A9" w:rsidP="009620A9">
            <w:pPr>
              <w:pStyle w:val="lgy-"/>
              <w:rPr>
                <w:rFonts w:eastAsia="宋体"/>
              </w:rPr>
            </w:pPr>
          </w:p>
        </w:tc>
        <w:tc>
          <w:tcPr>
            <w:tcW w:w="585" w:type="dxa"/>
          </w:tcPr>
          <w:p w14:paraId="176D4DA4" w14:textId="27E3AF28" w:rsidR="009620A9" w:rsidRPr="002B55E9" w:rsidRDefault="009620A9" w:rsidP="009620A9">
            <w:pPr>
              <w:pStyle w:val="lgy-"/>
              <w:rPr>
                <w:rFonts w:eastAsia="宋体"/>
              </w:rPr>
            </w:pPr>
          </w:p>
        </w:tc>
        <w:tc>
          <w:tcPr>
            <w:tcW w:w="585" w:type="dxa"/>
          </w:tcPr>
          <w:p w14:paraId="5748558F" w14:textId="64C35916" w:rsidR="009620A9" w:rsidRPr="002B55E9" w:rsidRDefault="009620A9" w:rsidP="009620A9">
            <w:pPr>
              <w:pStyle w:val="lgy-"/>
              <w:rPr>
                <w:rFonts w:eastAsia="宋体"/>
              </w:rPr>
            </w:pPr>
          </w:p>
        </w:tc>
        <w:tc>
          <w:tcPr>
            <w:tcW w:w="714" w:type="dxa"/>
            <w:hideMark/>
          </w:tcPr>
          <w:p w14:paraId="0D0725A5"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663BE47C"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22B95612"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3B27AF08"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7C728C1C"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44CE6674" w14:textId="77777777" w:rsidTr="003E2FA0">
        <w:trPr>
          <w:trHeight w:val="283"/>
        </w:trPr>
        <w:tc>
          <w:tcPr>
            <w:tcW w:w="663" w:type="dxa"/>
            <w:vMerge w:val="restart"/>
            <w:hideMark/>
          </w:tcPr>
          <w:p w14:paraId="3A349D7C" w14:textId="77777777" w:rsidR="009620A9" w:rsidRPr="002B55E9" w:rsidRDefault="009620A9" w:rsidP="009620A9">
            <w:pPr>
              <w:pStyle w:val="lgy-"/>
              <w:rPr>
                <w:rFonts w:eastAsia="宋体"/>
              </w:rPr>
            </w:pPr>
            <w:r w:rsidRPr="002B55E9">
              <w:rPr>
                <w:rFonts w:eastAsia="宋体" w:hint="eastAsia"/>
              </w:rPr>
              <w:t>白米醋</w:t>
            </w:r>
          </w:p>
        </w:tc>
        <w:tc>
          <w:tcPr>
            <w:tcW w:w="879" w:type="dxa"/>
            <w:hideMark/>
          </w:tcPr>
          <w:p w14:paraId="0F8A7D36" w14:textId="77777777" w:rsidR="009620A9" w:rsidRPr="002B55E9" w:rsidRDefault="009620A9" w:rsidP="009620A9">
            <w:pPr>
              <w:pStyle w:val="lgy-"/>
              <w:rPr>
                <w:rFonts w:eastAsia="宋体"/>
              </w:rPr>
            </w:pPr>
            <w:r w:rsidRPr="002B55E9">
              <w:rPr>
                <w:rFonts w:eastAsia="宋体" w:hint="eastAsia"/>
              </w:rPr>
              <w:t>液化糖化</w:t>
            </w:r>
          </w:p>
        </w:tc>
        <w:tc>
          <w:tcPr>
            <w:tcW w:w="585" w:type="dxa"/>
          </w:tcPr>
          <w:p w14:paraId="4EF227F4" w14:textId="353D8CBD" w:rsidR="009620A9" w:rsidRPr="002B55E9" w:rsidRDefault="009620A9" w:rsidP="009620A9">
            <w:pPr>
              <w:pStyle w:val="lgy-"/>
              <w:rPr>
                <w:rFonts w:eastAsia="宋体"/>
              </w:rPr>
            </w:pPr>
          </w:p>
        </w:tc>
        <w:tc>
          <w:tcPr>
            <w:tcW w:w="563" w:type="dxa"/>
          </w:tcPr>
          <w:p w14:paraId="3AF3A358" w14:textId="154D1025" w:rsidR="009620A9" w:rsidRPr="002B55E9" w:rsidRDefault="009620A9" w:rsidP="009620A9">
            <w:pPr>
              <w:pStyle w:val="lgy-"/>
              <w:rPr>
                <w:rFonts w:eastAsia="宋体"/>
              </w:rPr>
            </w:pPr>
          </w:p>
        </w:tc>
        <w:tc>
          <w:tcPr>
            <w:tcW w:w="678" w:type="dxa"/>
          </w:tcPr>
          <w:p w14:paraId="2FCE296E" w14:textId="48711AFB" w:rsidR="009620A9" w:rsidRPr="002B55E9" w:rsidRDefault="009620A9" w:rsidP="009620A9">
            <w:pPr>
              <w:pStyle w:val="lgy-"/>
              <w:rPr>
                <w:rFonts w:eastAsia="宋体"/>
              </w:rPr>
            </w:pPr>
          </w:p>
        </w:tc>
        <w:tc>
          <w:tcPr>
            <w:tcW w:w="613" w:type="dxa"/>
          </w:tcPr>
          <w:p w14:paraId="13183F39" w14:textId="3624EA39" w:rsidR="009620A9" w:rsidRPr="002B55E9" w:rsidRDefault="009620A9" w:rsidP="009620A9">
            <w:pPr>
              <w:pStyle w:val="lgy-"/>
              <w:rPr>
                <w:rFonts w:eastAsia="宋体"/>
              </w:rPr>
            </w:pPr>
          </w:p>
        </w:tc>
        <w:tc>
          <w:tcPr>
            <w:tcW w:w="414" w:type="dxa"/>
          </w:tcPr>
          <w:p w14:paraId="243E3484" w14:textId="413A5AC8" w:rsidR="009620A9" w:rsidRPr="002B55E9" w:rsidRDefault="009620A9" w:rsidP="009620A9">
            <w:pPr>
              <w:pStyle w:val="lgy-"/>
              <w:rPr>
                <w:rFonts w:eastAsia="宋体"/>
              </w:rPr>
            </w:pPr>
          </w:p>
        </w:tc>
        <w:tc>
          <w:tcPr>
            <w:tcW w:w="726" w:type="dxa"/>
          </w:tcPr>
          <w:p w14:paraId="01717862" w14:textId="76B98ED5" w:rsidR="009620A9" w:rsidRPr="002B55E9" w:rsidRDefault="009620A9" w:rsidP="009620A9">
            <w:pPr>
              <w:pStyle w:val="lgy-"/>
              <w:rPr>
                <w:rFonts w:eastAsia="宋体"/>
              </w:rPr>
            </w:pPr>
          </w:p>
        </w:tc>
        <w:tc>
          <w:tcPr>
            <w:tcW w:w="585" w:type="dxa"/>
          </w:tcPr>
          <w:p w14:paraId="79240590" w14:textId="47A97BF6" w:rsidR="009620A9" w:rsidRPr="002B55E9" w:rsidRDefault="009620A9" w:rsidP="009620A9">
            <w:pPr>
              <w:pStyle w:val="lgy-"/>
              <w:rPr>
                <w:rFonts w:eastAsia="宋体"/>
              </w:rPr>
            </w:pPr>
          </w:p>
        </w:tc>
        <w:tc>
          <w:tcPr>
            <w:tcW w:w="585" w:type="dxa"/>
          </w:tcPr>
          <w:p w14:paraId="75F66DD4" w14:textId="4C056C80" w:rsidR="009620A9" w:rsidRPr="002B55E9" w:rsidRDefault="009620A9" w:rsidP="009620A9">
            <w:pPr>
              <w:pStyle w:val="lgy-"/>
              <w:rPr>
                <w:rFonts w:eastAsia="宋体"/>
              </w:rPr>
            </w:pPr>
          </w:p>
        </w:tc>
        <w:tc>
          <w:tcPr>
            <w:tcW w:w="714" w:type="dxa"/>
            <w:hideMark/>
          </w:tcPr>
          <w:p w14:paraId="09E067D0"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00FB4B8A"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438DB0B8"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2DC1568B"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6D21CD50"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33442CE0" w14:textId="77777777" w:rsidTr="003E2FA0">
        <w:trPr>
          <w:trHeight w:val="283"/>
        </w:trPr>
        <w:tc>
          <w:tcPr>
            <w:tcW w:w="663" w:type="dxa"/>
            <w:vMerge/>
            <w:hideMark/>
          </w:tcPr>
          <w:p w14:paraId="3D3D5BAA" w14:textId="77777777" w:rsidR="009620A9" w:rsidRPr="002B55E9" w:rsidRDefault="009620A9" w:rsidP="009620A9">
            <w:pPr>
              <w:pStyle w:val="lgy-"/>
              <w:rPr>
                <w:rFonts w:eastAsia="宋体"/>
              </w:rPr>
            </w:pPr>
          </w:p>
        </w:tc>
        <w:tc>
          <w:tcPr>
            <w:tcW w:w="879" w:type="dxa"/>
            <w:hideMark/>
          </w:tcPr>
          <w:p w14:paraId="75F25555" w14:textId="77777777" w:rsidR="009620A9" w:rsidRPr="002B55E9" w:rsidRDefault="009620A9" w:rsidP="009620A9">
            <w:pPr>
              <w:pStyle w:val="lgy-"/>
              <w:rPr>
                <w:rFonts w:eastAsia="宋体"/>
              </w:rPr>
            </w:pPr>
            <w:r w:rsidRPr="002B55E9">
              <w:rPr>
                <w:rFonts w:eastAsia="宋体" w:hint="eastAsia"/>
              </w:rPr>
              <w:t>酒液调配</w:t>
            </w:r>
          </w:p>
        </w:tc>
        <w:tc>
          <w:tcPr>
            <w:tcW w:w="585" w:type="dxa"/>
          </w:tcPr>
          <w:p w14:paraId="6CC09024" w14:textId="07204611" w:rsidR="009620A9" w:rsidRPr="002B55E9" w:rsidRDefault="009620A9" w:rsidP="009620A9">
            <w:pPr>
              <w:pStyle w:val="lgy-"/>
              <w:rPr>
                <w:rFonts w:eastAsia="宋体"/>
              </w:rPr>
            </w:pPr>
          </w:p>
        </w:tc>
        <w:tc>
          <w:tcPr>
            <w:tcW w:w="563" w:type="dxa"/>
          </w:tcPr>
          <w:p w14:paraId="3266B56E" w14:textId="7C2CAC4D" w:rsidR="009620A9" w:rsidRPr="002B55E9" w:rsidRDefault="009620A9" w:rsidP="009620A9">
            <w:pPr>
              <w:pStyle w:val="lgy-"/>
              <w:rPr>
                <w:rFonts w:eastAsia="宋体"/>
              </w:rPr>
            </w:pPr>
          </w:p>
        </w:tc>
        <w:tc>
          <w:tcPr>
            <w:tcW w:w="678" w:type="dxa"/>
          </w:tcPr>
          <w:p w14:paraId="294B1CA5" w14:textId="58DAF3AB" w:rsidR="009620A9" w:rsidRPr="002B55E9" w:rsidRDefault="009620A9" w:rsidP="009620A9">
            <w:pPr>
              <w:pStyle w:val="lgy-"/>
              <w:rPr>
                <w:rFonts w:eastAsia="宋体"/>
              </w:rPr>
            </w:pPr>
          </w:p>
        </w:tc>
        <w:tc>
          <w:tcPr>
            <w:tcW w:w="613" w:type="dxa"/>
          </w:tcPr>
          <w:p w14:paraId="4196BE0F" w14:textId="62C2BDF6" w:rsidR="009620A9" w:rsidRPr="002B55E9" w:rsidRDefault="009620A9" w:rsidP="009620A9">
            <w:pPr>
              <w:pStyle w:val="lgy-"/>
              <w:rPr>
                <w:rFonts w:eastAsia="宋体"/>
              </w:rPr>
            </w:pPr>
          </w:p>
        </w:tc>
        <w:tc>
          <w:tcPr>
            <w:tcW w:w="414" w:type="dxa"/>
          </w:tcPr>
          <w:p w14:paraId="4F06104D" w14:textId="63FE7436" w:rsidR="009620A9" w:rsidRPr="002B55E9" w:rsidRDefault="009620A9" w:rsidP="009620A9">
            <w:pPr>
              <w:pStyle w:val="lgy-"/>
              <w:rPr>
                <w:rFonts w:eastAsia="宋体"/>
              </w:rPr>
            </w:pPr>
          </w:p>
        </w:tc>
        <w:tc>
          <w:tcPr>
            <w:tcW w:w="726" w:type="dxa"/>
          </w:tcPr>
          <w:p w14:paraId="36AC456C" w14:textId="33BD2066" w:rsidR="009620A9" w:rsidRPr="002B55E9" w:rsidRDefault="009620A9" w:rsidP="009620A9">
            <w:pPr>
              <w:pStyle w:val="lgy-"/>
              <w:rPr>
                <w:rFonts w:eastAsia="宋体"/>
              </w:rPr>
            </w:pPr>
          </w:p>
        </w:tc>
        <w:tc>
          <w:tcPr>
            <w:tcW w:w="585" w:type="dxa"/>
          </w:tcPr>
          <w:p w14:paraId="09F005D9" w14:textId="7990A84A" w:rsidR="009620A9" w:rsidRPr="002B55E9" w:rsidRDefault="009620A9" w:rsidP="009620A9">
            <w:pPr>
              <w:pStyle w:val="lgy-"/>
              <w:rPr>
                <w:rFonts w:eastAsia="宋体"/>
              </w:rPr>
            </w:pPr>
          </w:p>
        </w:tc>
        <w:tc>
          <w:tcPr>
            <w:tcW w:w="585" w:type="dxa"/>
          </w:tcPr>
          <w:p w14:paraId="581CFF7E" w14:textId="3D952AC6" w:rsidR="009620A9" w:rsidRPr="002B55E9" w:rsidRDefault="009620A9" w:rsidP="009620A9">
            <w:pPr>
              <w:pStyle w:val="lgy-"/>
              <w:rPr>
                <w:rFonts w:eastAsia="宋体"/>
              </w:rPr>
            </w:pPr>
          </w:p>
        </w:tc>
        <w:tc>
          <w:tcPr>
            <w:tcW w:w="714" w:type="dxa"/>
            <w:hideMark/>
          </w:tcPr>
          <w:p w14:paraId="6B825E4F"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0368FF3A"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6E1417BA"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13DF3B9A"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75FE2E53"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50B790BC" w14:textId="77777777" w:rsidTr="003E2FA0">
        <w:trPr>
          <w:trHeight w:val="283"/>
        </w:trPr>
        <w:tc>
          <w:tcPr>
            <w:tcW w:w="663" w:type="dxa"/>
            <w:vMerge/>
            <w:hideMark/>
          </w:tcPr>
          <w:p w14:paraId="597A57A1" w14:textId="77777777" w:rsidR="009620A9" w:rsidRPr="002B55E9" w:rsidRDefault="009620A9" w:rsidP="009620A9">
            <w:pPr>
              <w:pStyle w:val="lgy-"/>
              <w:rPr>
                <w:rFonts w:eastAsia="宋体"/>
              </w:rPr>
            </w:pPr>
          </w:p>
        </w:tc>
        <w:tc>
          <w:tcPr>
            <w:tcW w:w="879" w:type="dxa"/>
            <w:hideMark/>
          </w:tcPr>
          <w:p w14:paraId="4580958D" w14:textId="77777777" w:rsidR="009620A9" w:rsidRPr="002B55E9" w:rsidRDefault="009620A9" w:rsidP="009620A9">
            <w:pPr>
              <w:pStyle w:val="lgy-"/>
              <w:rPr>
                <w:rFonts w:eastAsia="宋体"/>
              </w:rPr>
            </w:pPr>
            <w:r w:rsidRPr="002B55E9">
              <w:rPr>
                <w:rFonts w:eastAsia="宋体" w:hint="eastAsia"/>
              </w:rPr>
              <w:t>调配混合</w:t>
            </w:r>
          </w:p>
        </w:tc>
        <w:tc>
          <w:tcPr>
            <w:tcW w:w="585" w:type="dxa"/>
          </w:tcPr>
          <w:p w14:paraId="70F628CC" w14:textId="1E96CC91" w:rsidR="009620A9" w:rsidRPr="002B55E9" w:rsidRDefault="009620A9" w:rsidP="009620A9">
            <w:pPr>
              <w:pStyle w:val="lgy-"/>
              <w:rPr>
                <w:rFonts w:eastAsia="宋体"/>
              </w:rPr>
            </w:pPr>
          </w:p>
        </w:tc>
        <w:tc>
          <w:tcPr>
            <w:tcW w:w="563" w:type="dxa"/>
          </w:tcPr>
          <w:p w14:paraId="2E880D80" w14:textId="1A3299F7" w:rsidR="009620A9" w:rsidRPr="002B55E9" w:rsidRDefault="009620A9" w:rsidP="009620A9">
            <w:pPr>
              <w:pStyle w:val="lgy-"/>
              <w:rPr>
                <w:rFonts w:eastAsia="宋体"/>
              </w:rPr>
            </w:pPr>
          </w:p>
        </w:tc>
        <w:tc>
          <w:tcPr>
            <w:tcW w:w="678" w:type="dxa"/>
          </w:tcPr>
          <w:p w14:paraId="347AB6DA" w14:textId="2249508E" w:rsidR="009620A9" w:rsidRPr="002B55E9" w:rsidRDefault="009620A9" w:rsidP="009620A9">
            <w:pPr>
              <w:pStyle w:val="lgy-"/>
              <w:rPr>
                <w:rFonts w:eastAsia="宋体"/>
              </w:rPr>
            </w:pPr>
          </w:p>
        </w:tc>
        <w:tc>
          <w:tcPr>
            <w:tcW w:w="613" w:type="dxa"/>
          </w:tcPr>
          <w:p w14:paraId="62C58A62" w14:textId="71A4176C" w:rsidR="009620A9" w:rsidRPr="002B55E9" w:rsidRDefault="009620A9" w:rsidP="009620A9">
            <w:pPr>
              <w:pStyle w:val="lgy-"/>
              <w:rPr>
                <w:rFonts w:eastAsia="宋体"/>
              </w:rPr>
            </w:pPr>
          </w:p>
        </w:tc>
        <w:tc>
          <w:tcPr>
            <w:tcW w:w="414" w:type="dxa"/>
          </w:tcPr>
          <w:p w14:paraId="4F5AAC7D" w14:textId="3F238125" w:rsidR="009620A9" w:rsidRPr="002B55E9" w:rsidRDefault="009620A9" w:rsidP="009620A9">
            <w:pPr>
              <w:pStyle w:val="lgy-"/>
              <w:rPr>
                <w:rFonts w:eastAsia="宋体"/>
              </w:rPr>
            </w:pPr>
          </w:p>
        </w:tc>
        <w:tc>
          <w:tcPr>
            <w:tcW w:w="726" w:type="dxa"/>
          </w:tcPr>
          <w:p w14:paraId="64981DE9" w14:textId="501E4C78" w:rsidR="009620A9" w:rsidRPr="002B55E9" w:rsidRDefault="009620A9" w:rsidP="009620A9">
            <w:pPr>
              <w:pStyle w:val="lgy-"/>
              <w:rPr>
                <w:rFonts w:eastAsia="宋体"/>
              </w:rPr>
            </w:pPr>
          </w:p>
        </w:tc>
        <w:tc>
          <w:tcPr>
            <w:tcW w:w="585" w:type="dxa"/>
          </w:tcPr>
          <w:p w14:paraId="3AC06011" w14:textId="3568843E" w:rsidR="009620A9" w:rsidRPr="002B55E9" w:rsidRDefault="009620A9" w:rsidP="009620A9">
            <w:pPr>
              <w:pStyle w:val="lgy-"/>
              <w:rPr>
                <w:rFonts w:eastAsia="宋体"/>
              </w:rPr>
            </w:pPr>
          </w:p>
        </w:tc>
        <w:tc>
          <w:tcPr>
            <w:tcW w:w="585" w:type="dxa"/>
          </w:tcPr>
          <w:p w14:paraId="01323FA6" w14:textId="05A6008A" w:rsidR="009620A9" w:rsidRPr="002B55E9" w:rsidRDefault="009620A9" w:rsidP="009620A9">
            <w:pPr>
              <w:pStyle w:val="lgy-"/>
              <w:rPr>
                <w:rFonts w:eastAsia="宋体"/>
              </w:rPr>
            </w:pPr>
          </w:p>
        </w:tc>
        <w:tc>
          <w:tcPr>
            <w:tcW w:w="714" w:type="dxa"/>
            <w:hideMark/>
          </w:tcPr>
          <w:p w14:paraId="7FC0841D"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17995150"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6FD123FB"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455E3DAF"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4B7132D2"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42A08F33" w14:textId="77777777" w:rsidTr="009620A9">
        <w:trPr>
          <w:trHeight w:val="283"/>
        </w:trPr>
        <w:tc>
          <w:tcPr>
            <w:tcW w:w="663" w:type="dxa"/>
            <w:vMerge w:val="restart"/>
            <w:hideMark/>
          </w:tcPr>
          <w:p w14:paraId="2D384C19" w14:textId="77777777" w:rsidR="009620A9" w:rsidRPr="002B55E9" w:rsidRDefault="009620A9" w:rsidP="009620A9">
            <w:pPr>
              <w:pStyle w:val="lgy-"/>
              <w:rPr>
                <w:rFonts w:eastAsia="宋体"/>
              </w:rPr>
            </w:pPr>
            <w:r w:rsidRPr="002B55E9">
              <w:rPr>
                <w:rFonts w:eastAsia="宋体" w:hint="eastAsia"/>
              </w:rPr>
              <w:t>陈香醋</w:t>
            </w:r>
          </w:p>
        </w:tc>
        <w:tc>
          <w:tcPr>
            <w:tcW w:w="879" w:type="dxa"/>
            <w:hideMark/>
          </w:tcPr>
          <w:p w14:paraId="63CC1FB7" w14:textId="77777777" w:rsidR="009620A9" w:rsidRPr="002B55E9" w:rsidRDefault="009620A9" w:rsidP="009620A9">
            <w:pPr>
              <w:pStyle w:val="lgy-"/>
              <w:rPr>
                <w:rFonts w:eastAsia="宋体"/>
              </w:rPr>
            </w:pPr>
            <w:r w:rsidRPr="002B55E9">
              <w:rPr>
                <w:rFonts w:eastAsia="宋体" w:hint="eastAsia"/>
              </w:rPr>
              <w:t>提取</w:t>
            </w:r>
          </w:p>
        </w:tc>
        <w:tc>
          <w:tcPr>
            <w:tcW w:w="585" w:type="dxa"/>
            <w:hideMark/>
          </w:tcPr>
          <w:p w14:paraId="28E99802" w14:textId="77777777" w:rsidR="009620A9" w:rsidRPr="002B55E9" w:rsidRDefault="009620A9" w:rsidP="009620A9">
            <w:pPr>
              <w:pStyle w:val="lgy-"/>
              <w:rPr>
                <w:rFonts w:eastAsia="宋体"/>
              </w:rPr>
            </w:pPr>
            <w:r w:rsidRPr="002B55E9">
              <w:rPr>
                <w:rFonts w:eastAsia="宋体"/>
              </w:rPr>
              <w:t xml:space="preserve">0 </w:t>
            </w:r>
          </w:p>
        </w:tc>
        <w:tc>
          <w:tcPr>
            <w:tcW w:w="563" w:type="dxa"/>
            <w:hideMark/>
          </w:tcPr>
          <w:p w14:paraId="2479471D"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5BA9FAD3"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230861F2"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13A24CF8"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546F8795"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55B12F87"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09792410"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0769415F"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6BFD9EE5"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7BC598AB"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667EE476"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2D0F64F3"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6C38A4DF" w14:textId="77777777" w:rsidTr="003E2FA0">
        <w:trPr>
          <w:trHeight w:val="283"/>
        </w:trPr>
        <w:tc>
          <w:tcPr>
            <w:tcW w:w="663" w:type="dxa"/>
            <w:vMerge/>
            <w:hideMark/>
          </w:tcPr>
          <w:p w14:paraId="24A277F6" w14:textId="77777777" w:rsidR="009620A9" w:rsidRPr="002B55E9" w:rsidRDefault="009620A9" w:rsidP="009620A9">
            <w:pPr>
              <w:pStyle w:val="lgy-"/>
              <w:rPr>
                <w:rFonts w:eastAsia="宋体"/>
              </w:rPr>
            </w:pPr>
          </w:p>
        </w:tc>
        <w:tc>
          <w:tcPr>
            <w:tcW w:w="879" w:type="dxa"/>
            <w:hideMark/>
          </w:tcPr>
          <w:p w14:paraId="07E0E971" w14:textId="77777777" w:rsidR="009620A9" w:rsidRPr="002B55E9" w:rsidRDefault="009620A9" w:rsidP="009620A9">
            <w:pPr>
              <w:pStyle w:val="lgy-"/>
              <w:rPr>
                <w:rFonts w:eastAsia="宋体"/>
              </w:rPr>
            </w:pPr>
            <w:r w:rsidRPr="002B55E9">
              <w:rPr>
                <w:rFonts w:eastAsia="宋体" w:hint="eastAsia"/>
              </w:rPr>
              <w:t>调配混合</w:t>
            </w:r>
          </w:p>
        </w:tc>
        <w:tc>
          <w:tcPr>
            <w:tcW w:w="585" w:type="dxa"/>
          </w:tcPr>
          <w:p w14:paraId="5A685C0E" w14:textId="4C6F6295" w:rsidR="009620A9" w:rsidRPr="002B55E9" w:rsidRDefault="009620A9" w:rsidP="009620A9">
            <w:pPr>
              <w:pStyle w:val="lgy-"/>
              <w:rPr>
                <w:rFonts w:eastAsia="宋体"/>
              </w:rPr>
            </w:pPr>
          </w:p>
        </w:tc>
        <w:tc>
          <w:tcPr>
            <w:tcW w:w="563" w:type="dxa"/>
          </w:tcPr>
          <w:p w14:paraId="70A07447" w14:textId="6825CDA9" w:rsidR="009620A9" w:rsidRPr="002B55E9" w:rsidRDefault="009620A9" w:rsidP="009620A9">
            <w:pPr>
              <w:pStyle w:val="lgy-"/>
              <w:rPr>
                <w:rFonts w:eastAsia="宋体"/>
              </w:rPr>
            </w:pPr>
          </w:p>
        </w:tc>
        <w:tc>
          <w:tcPr>
            <w:tcW w:w="678" w:type="dxa"/>
          </w:tcPr>
          <w:p w14:paraId="5699B6E9" w14:textId="0D4FBCF1" w:rsidR="009620A9" w:rsidRPr="002B55E9" w:rsidRDefault="009620A9" w:rsidP="009620A9">
            <w:pPr>
              <w:pStyle w:val="lgy-"/>
              <w:rPr>
                <w:rFonts w:eastAsia="宋体"/>
              </w:rPr>
            </w:pPr>
          </w:p>
        </w:tc>
        <w:tc>
          <w:tcPr>
            <w:tcW w:w="613" w:type="dxa"/>
          </w:tcPr>
          <w:p w14:paraId="620AF0DE" w14:textId="47101648" w:rsidR="009620A9" w:rsidRPr="002B55E9" w:rsidRDefault="009620A9" w:rsidP="009620A9">
            <w:pPr>
              <w:pStyle w:val="lgy-"/>
              <w:rPr>
                <w:rFonts w:eastAsia="宋体"/>
              </w:rPr>
            </w:pPr>
          </w:p>
        </w:tc>
        <w:tc>
          <w:tcPr>
            <w:tcW w:w="414" w:type="dxa"/>
          </w:tcPr>
          <w:p w14:paraId="58C767E3" w14:textId="4F33B2DB" w:rsidR="009620A9" w:rsidRPr="002B55E9" w:rsidRDefault="009620A9" w:rsidP="009620A9">
            <w:pPr>
              <w:pStyle w:val="lgy-"/>
              <w:rPr>
                <w:rFonts w:eastAsia="宋体"/>
              </w:rPr>
            </w:pPr>
          </w:p>
        </w:tc>
        <w:tc>
          <w:tcPr>
            <w:tcW w:w="726" w:type="dxa"/>
          </w:tcPr>
          <w:p w14:paraId="74E9573D" w14:textId="0D614837" w:rsidR="009620A9" w:rsidRPr="002B55E9" w:rsidRDefault="009620A9" w:rsidP="009620A9">
            <w:pPr>
              <w:pStyle w:val="lgy-"/>
              <w:rPr>
                <w:rFonts w:eastAsia="宋体"/>
              </w:rPr>
            </w:pPr>
          </w:p>
        </w:tc>
        <w:tc>
          <w:tcPr>
            <w:tcW w:w="585" w:type="dxa"/>
          </w:tcPr>
          <w:p w14:paraId="36C4AEF4" w14:textId="681C127C" w:rsidR="009620A9" w:rsidRPr="002B55E9" w:rsidRDefault="009620A9" w:rsidP="009620A9">
            <w:pPr>
              <w:pStyle w:val="lgy-"/>
              <w:rPr>
                <w:rFonts w:eastAsia="宋体"/>
              </w:rPr>
            </w:pPr>
          </w:p>
        </w:tc>
        <w:tc>
          <w:tcPr>
            <w:tcW w:w="585" w:type="dxa"/>
          </w:tcPr>
          <w:p w14:paraId="3278A0C8" w14:textId="17FE1B35" w:rsidR="009620A9" w:rsidRPr="002B55E9" w:rsidRDefault="009620A9" w:rsidP="009620A9">
            <w:pPr>
              <w:pStyle w:val="lgy-"/>
              <w:rPr>
                <w:rFonts w:eastAsia="宋体"/>
              </w:rPr>
            </w:pPr>
          </w:p>
        </w:tc>
        <w:tc>
          <w:tcPr>
            <w:tcW w:w="714" w:type="dxa"/>
            <w:hideMark/>
          </w:tcPr>
          <w:p w14:paraId="58BCDFD6"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60E40402"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267AB6D1"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4CC42D97"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1D15E681"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3A72C950" w14:textId="77777777" w:rsidTr="009620A9">
        <w:trPr>
          <w:trHeight w:val="283"/>
        </w:trPr>
        <w:tc>
          <w:tcPr>
            <w:tcW w:w="663" w:type="dxa"/>
            <w:vMerge w:val="restart"/>
            <w:hideMark/>
          </w:tcPr>
          <w:p w14:paraId="541A0030" w14:textId="77777777" w:rsidR="009620A9" w:rsidRPr="002B55E9" w:rsidRDefault="009620A9" w:rsidP="009620A9">
            <w:pPr>
              <w:pStyle w:val="lgy-"/>
              <w:rPr>
                <w:rFonts w:eastAsia="宋体"/>
              </w:rPr>
            </w:pPr>
            <w:r w:rsidRPr="002B55E9">
              <w:rPr>
                <w:rFonts w:eastAsia="宋体" w:hint="eastAsia"/>
              </w:rPr>
              <w:t>质检</w:t>
            </w:r>
          </w:p>
        </w:tc>
        <w:tc>
          <w:tcPr>
            <w:tcW w:w="879" w:type="dxa"/>
            <w:hideMark/>
          </w:tcPr>
          <w:p w14:paraId="048610FA" w14:textId="77777777" w:rsidR="009620A9" w:rsidRPr="002B55E9" w:rsidRDefault="009620A9" w:rsidP="009620A9">
            <w:pPr>
              <w:pStyle w:val="lgy-"/>
              <w:rPr>
                <w:rFonts w:eastAsia="宋体"/>
              </w:rPr>
            </w:pPr>
            <w:r w:rsidRPr="002B55E9">
              <w:rPr>
                <w:rFonts w:eastAsia="宋体" w:hint="eastAsia"/>
              </w:rPr>
              <w:t>化验室用水</w:t>
            </w:r>
          </w:p>
        </w:tc>
        <w:tc>
          <w:tcPr>
            <w:tcW w:w="585" w:type="dxa"/>
            <w:hideMark/>
          </w:tcPr>
          <w:p w14:paraId="2645EAA3" w14:textId="77777777" w:rsidR="009620A9" w:rsidRPr="002B55E9" w:rsidRDefault="009620A9" w:rsidP="009620A9">
            <w:pPr>
              <w:pStyle w:val="lgy-"/>
              <w:rPr>
                <w:rFonts w:eastAsia="宋体"/>
              </w:rPr>
            </w:pPr>
            <w:r w:rsidRPr="002B55E9">
              <w:rPr>
                <w:rFonts w:eastAsia="宋体"/>
              </w:rPr>
              <w:t xml:space="preserve">1.1 </w:t>
            </w:r>
          </w:p>
        </w:tc>
        <w:tc>
          <w:tcPr>
            <w:tcW w:w="563" w:type="dxa"/>
            <w:hideMark/>
          </w:tcPr>
          <w:p w14:paraId="6347424F"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3FC7BB66" w14:textId="77777777" w:rsidR="009620A9" w:rsidRPr="002B55E9" w:rsidRDefault="009620A9" w:rsidP="009620A9">
            <w:pPr>
              <w:pStyle w:val="lgy-"/>
              <w:rPr>
                <w:rFonts w:eastAsia="宋体"/>
              </w:rPr>
            </w:pPr>
            <w:r w:rsidRPr="002B55E9">
              <w:rPr>
                <w:rFonts w:eastAsia="宋体"/>
              </w:rPr>
              <w:t xml:space="preserve">1.0 </w:t>
            </w:r>
          </w:p>
        </w:tc>
        <w:tc>
          <w:tcPr>
            <w:tcW w:w="613" w:type="dxa"/>
            <w:hideMark/>
          </w:tcPr>
          <w:p w14:paraId="6C6D04B4"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2D5A66A0" w14:textId="77777777" w:rsidR="009620A9" w:rsidRPr="002B55E9" w:rsidRDefault="009620A9" w:rsidP="009620A9">
            <w:pPr>
              <w:pStyle w:val="lgy-"/>
              <w:rPr>
                <w:rFonts w:eastAsia="宋体"/>
              </w:rPr>
            </w:pPr>
            <w:r w:rsidRPr="002B55E9">
              <w:rPr>
                <w:rFonts w:eastAsia="宋体"/>
              </w:rPr>
              <w:t xml:space="preserve">0.10 </w:t>
            </w:r>
          </w:p>
        </w:tc>
        <w:tc>
          <w:tcPr>
            <w:tcW w:w="726" w:type="dxa"/>
            <w:hideMark/>
          </w:tcPr>
          <w:p w14:paraId="001FDE12"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61971920"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7CABD07E"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666A6144"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1A225256" w14:textId="77777777" w:rsidR="009620A9" w:rsidRPr="002B55E9" w:rsidRDefault="009620A9" w:rsidP="009620A9">
            <w:pPr>
              <w:pStyle w:val="lgy-"/>
              <w:rPr>
                <w:rFonts w:eastAsia="宋体"/>
              </w:rPr>
            </w:pPr>
            <w:r w:rsidRPr="002B55E9">
              <w:rPr>
                <w:rFonts w:eastAsia="宋体"/>
              </w:rPr>
              <w:t xml:space="preserve">0.003 </w:t>
            </w:r>
          </w:p>
        </w:tc>
        <w:tc>
          <w:tcPr>
            <w:tcW w:w="613" w:type="dxa"/>
            <w:hideMark/>
          </w:tcPr>
          <w:p w14:paraId="31BD5E8C" w14:textId="77777777" w:rsidR="009620A9" w:rsidRPr="002B55E9" w:rsidRDefault="009620A9" w:rsidP="009620A9">
            <w:pPr>
              <w:pStyle w:val="lgy-"/>
              <w:rPr>
                <w:rFonts w:eastAsia="宋体"/>
              </w:rPr>
            </w:pPr>
            <w:r w:rsidRPr="002B55E9">
              <w:rPr>
                <w:rFonts w:eastAsia="宋体"/>
              </w:rPr>
              <w:t xml:space="preserve">0.11 </w:t>
            </w:r>
          </w:p>
        </w:tc>
        <w:tc>
          <w:tcPr>
            <w:tcW w:w="613" w:type="dxa"/>
            <w:hideMark/>
          </w:tcPr>
          <w:p w14:paraId="48E0E844" w14:textId="77777777" w:rsidR="009620A9" w:rsidRPr="002B55E9" w:rsidRDefault="009620A9" w:rsidP="009620A9">
            <w:pPr>
              <w:pStyle w:val="lgy-"/>
              <w:rPr>
                <w:rFonts w:eastAsia="宋体"/>
              </w:rPr>
            </w:pPr>
            <w:r w:rsidRPr="002B55E9">
              <w:rPr>
                <w:rFonts w:eastAsia="宋体"/>
              </w:rPr>
              <w:t xml:space="preserve">1 </w:t>
            </w:r>
          </w:p>
        </w:tc>
        <w:tc>
          <w:tcPr>
            <w:tcW w:w="736" w:type="dxa"/>
            <w:hideMark/>
          </w:tcPr>
          <w:p w14:paraId="773B5683"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65931AC7" w14:textId="77777777" w:rsidTr="009620A9">
        <w:trPr>
          <w:trHeight w:val="283"/>
        </w:trPr>
        <w:tc>
          <w:tcPr>
            <w:tcW w:w="663" w:type="dxa"/>
            <w:vMerge/>
            <w:hideMark/>
          </w:tcPr>
          <w:p w14:paraId="60A1E74A" w14:textId="77777777" w:rsidR="009620A9" w:rsidRPr="002B55E9" w:rsidRDefault="009620A9" w:rsidP="009620A9">
            <w:pPr>
              <w:pStyle w:val="lgy-"/>
              <w:rPr>
                <w:rFonts w:eastAsia="宋体"/>
              </w:rPr>
            </w:pPr>
          </w:p>
        </w:tc>
        <w:tc>
          <w:tcPr>
            <w:tcW w:w="879" w:type="dxa"/>
            <w:hideMark/>
          </w:tcPr>
          <w:p w14:paraId="3E32EAEF" w14:textId="77777777" w:rsidR="009620A9" w:rsidRPr="002B55E9" w:rsidRDefault="009620A9" w:rsidP="009620A9">
            <w:pPr>
              <w:pStyle w:val="lgy-"/>
              <w:rPr>
                <w:rFonts w:eastAsia="宋体"/>
              </w:rPr>
            </w:pPr>
            <w:r w:rsidRPr="002B55E9">
              <w:rPr>
                <w:rFonts w:eastAsia="宋体" w:hint="eastAsia"/>
              </w:rPr>
              <w:t>制纯水用水</w:t>
            </w:r>
          </w:p>
        </w:tc>
        <w:tc>
          <w:tcPr>
            <w:tcW w:w="585" w:type="dxa"/>
            <w:hideMark/>
          </w:tcPr>
          <w:p w14:paraId="426B9FA0" w14:textId="77777777" w:rsidR="009620A9" w:rsidRPr="002B55E9" w:rsidRDefault="009620A9" w:rsidP="009620A9">
            <w:pPr>
              <w:pStyle w:val="lgy-"/>
              <w:rPr>
                <w:rFonts w:eastAsia="宋体"/>
              </w:rPr>
            </w:pPr>
            <w:r w:rsidRPr="002B55E9">
              <w:rPr>
                <w:rFonts w:eastAsia="宋体"/>
              </w:rPr>
              <w:t xml:space="preserve">0.13 </w:t>
            </w:r>
          </w:p>
        </w:tc>
        <w:tc>
          <w:tcPr>
            <w:tcW w:w="563" w:type="dxa"/>
            <w:hideMark/>
          </w:tcPr>
          <w:p w14:paraId="35D79DEF"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2BD2A760" w14:textId="77777777" w:rsidR="009620A9" w:rsidRPr="002B55E9" w:rsidRDefault="009620A9" w:rsidP="009620A9">
            <w:pPr>
              <w:pStyle w:val="lgy-"/>
              <w:rPr>
                <w:rFonts w:eastAsia="宋体"/>
              </w:rPr>
            </w:pPr>
            <w:r w:rsidRPr="002B55E9">
              <w:rPr>
                <w:rFonts w:eastAsia="宋体"/>
              </w:rPr>
              <w:t xml:space="preserve">0.13 </w:t>
            </w:r>
          </w:p>
        </w:tc>
        <w:tc>
          <w:tcPr>
            <w:tcW w:w="613" w:type="dxa"/>
            <w:hideMark/>
          </w:tcPr>
          <w:p w14:paraId="4B6BE7A4"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05A24949"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3DE22CAB"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28D869F9"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116644BC"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1B679A85" w14:textId="77777777" w:rsidR="009620A9" w:rsidRPr="002B55E9" w:rsidRDefault="009620A9" w:rsidP="009620A9">
            <w:pPr>
              <w:pStyle w:val="lgy-"/>
              <w:rPr>
                <w:rFonts w:eastAsia="宋体"/>
              </w:rPr>
            </w:pPr>
            <w:r w:rsidRPr="002B55E9">
              <w:rPr>
                <w:rFonts w:eastAsia="宋体"/>
              </w:rPr>
              <w:t xml:space="preserve">0.10 </w:t>
            </w:r>
          </w:p>
        </w:tc>
        <w:tc>
          <w:tcPr>
            <w:tcW w:w="671" w:type="dxa"/>
            <w:hideMark/>
          </w:tcPr>
          <w:p w14:paraId="709F98F6"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35BBFB7F"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07AC00CC" w14:textId="77777777" w:rsidR="009620A9" w:rsidRPr="002B55E9" w:rsidRDefault="009620A9" w:rsidP="009620A9">
            <w:pPr>
              <w:pStyle w:val="lgy-"/>
              <w:rPr>
                <w:rFonts w:eastAsia="宋体"/>
              </w:rPr>
            </w:pPr>
            <w:r w:rsidRPr="002B55E9">
              <w:rPr>
                <w:rFonts w:eastAsia="宋体"/>
              </w:rPr>
              <w:t xml:space="preserve">0.03 </w:t>
            </w:r>
          </w:p>
        </w:tc>
        <w:tc>
          <w:tcPr>
            <w:tcW w:w="736" w:type="dxa"/>
            <w:hideMark/>
          </w:tcPr>
          <w:p w14:paraId="6CA7346D"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391B8543" w14:textId="77777777" w:rsidTr="009620A9">
        <w:trPr>
          <w:trHeight w:val="283"/>
        </w:trPr>
        <w:tc>
          <w:tcPr>
            <w:tcW w:w="663" w:type="dxa"/>
            <w:vMerge w:val="restart"/>
            <w:hideMark/>
          </w:tcPr>
          <w:p w14:paraId="577734C2" w14:textId="77777777" w:rsidR="009620A9" w:rsidRPr="002B55E9" w:rsidRDefault="009620A9" w:rsidP="009620A9">
            <w:pPr>
              <w:pStyle w:val="lgy-"/>
              <w:rPr>
                <w:rFonts w:eastAsia="宋体"/>
              </w:rPr>
            </w:pPr>
            <w:r w:rsidRPr="002B55E9">
              <w:rPr>
                <w:rFonts w:eastAsia="宋体" w:hint="eastAsia"/>
              </w:rPr>
              <w:t>其他</w:t>
            </w:r>
          </w:p>
        </w:tc>
        <w:tc>
          <w:tcPr>
            <w:tcW w:w="879" w:type="dxa"/>
            <w:hideMark/>
          </w:tcPr>
          <w:p w14:paraId="132FE8F8" w14:textId="77777777" w:rsidR="009620A9" w:rsidRPr="002B55E9" w:rsidRDefault="009620A9" w:rsidP="009620A9">
            <w:pPr>
              <w:pStyle w:val="lgy-"/>
              <w:rPr>
                <w:rFonts w:eastAsia="宋体"/>
              </w:rPr>
            </w:pPr>
            <w:r w:rsidRPr="002B55E9">
              <w:rPr>
                <w:rFonts w:eastAsia="宋体" w:hint="eastAsia"/>
              </w:rPr>
              <w:t>包装瓶清</w:t>
            </w:r>
            <w:r w:rsidRPr="002B55E9">
              <w:rPr>
                <w:rFonts w:eastAsia="宋体" w:hint="eastAsia"/>
              </w:rPr>
              <w:lastRenderedPageBreak/>
              <w:t>洗</w:t>
            </w:r>
          </w:p>
        </w:tc>
        <w:tc>
          <w:tcPr>
            <w:tcW w:w="585" w:type="dxa"/>
            <w:hideMark/>
          </w:tcPr>
          <w:p w14:paraId="30093A8D" w14:textId="77777777" w:rsidR="009620A9" w:rsidRPr="002B55E9" w:rsidRDefault="009620A9" w:rsidP="009620A9">
            <w:pPr>
              <w:pStyle w:val="lgy-"/>
              <w:rPr>
                <w:rFonts w:eastAsia="宋体"/>
              </w:rPr>
            </w:pPr>
            <w:r w:rsidRPr="002B55E9">
              <w:rPr>
                <w:rFonts w:eastAsia="宋体"/>
              </w:rPr>
              <w:lastRenderedPageBreak/>
              <w:t xml:space="preserve">291 </w:t>
            </w:r>
          </w:p>
        </w:tc>
        <w:tc>
          <w:tcPr>
            <w:tcW w:w="563" w:type="dxa"/>
            <w:hideMark/>
          </w:tcPr>
          <w:p w14:paraId="6D17FF7F"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4CB1A7E4" w14:textId="77777777" w:rsidR="009620A9" w:rsidRPr="002B55E9" w:rsidRDefault="009620A9" w:rsidP="009620A9">
            <w:pPr>
              <w:pStyle w:val="lgy-"/>
              <w:rPr>
                <w:rFonts w:eastAsia="宋体"/>
              </w:rPr>
            </w:pPr>
            <w:r w:rsidRPr="002B55E9">
              <w:rPr>
                <w:rFonts w:eastAsia="宋体"/>
              </w:rPr>
              <w:t xml:space="preserve">291 </w:t>
            </w:r>
          </w:p>
        </w:tc>
        <w:tc>
          <w:tcPr>
            <w:tcW w:w="613" w:type="dxa"/>
            <w:hideMark/>
          </w:tcPr>
          <w:p w14:paraId="5682C04D"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71182814"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46C68CDD"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4A16CF07"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68112A17"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7588996E"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14731271"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1D9727BC" w14:textId="77777777" w:rsidR="009620A9" w:rsidRPr="002B55E9" w:rsidRDefault="009620A9" w:rsidP="009620A9">
            <w:pPr>
              <w:pStyle w:val="lgy-"/>
              <w:rPr>
                <w:rFonts w:eastAsia="宋体"/>
              </w:rPr>
            </w:pPr>
            <w:r w:rsidRPr="002B55E9">
              <w:rPr>
                <w:rFonts w:eastAsia="宋体"/>
              </w:rPr>
              <w:t xml:space="preserve">29 </w:t>
            </w:r>
          </w:p>
        </w:tc>
        <w:tc>
          <w:tcPr>
            <w:tcW w:w="613" w:type="dxa"/>
            <w:hideMark/>
          </w:tcPr>
          <w:p w14:paraId="4ADC10FE" w14:textId="77777777" w:rsidR="009620A9" w:rsidRPr="002B55E9" w:rsidRDefault="009620A9" w:rsidP="009620A9">
            <w:pPr>
              <w:pStyle w:val="lgy-"/>
              <w:rPr>
                <w:rFonts w:eastAsia="宋体"/>
              </w:rPr>
            </w:pPr>
            <w:r w:rsidRPr="002B55E9">
              <w:rPr>
                <w:rFonts w:eastAsia="宋体"/>
              </w:rPr>
              <w:t xml:space="preserve">262 </w:t>
            </w:r>
          </w:p>
        </w:tc>
        <w:tc>
          <w:tcPr>
            <w:tcW w:w="736" w:type="dxa"/>
            <w:hideMark/>
          </w:tcPr>
          <w:p w14:paraId="7784B4DD"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70777927" w14:textId="77777777" w:rsidTr="009620A9">
        <w:trPr>
          <w:trHeight w:val="283"/>
        </w:trPr>
        <w:tc>
          <w:tcPr>
            <w:tcW w:w="663" w:type="dxa"/>
            <w:vMerge/>
            <w:hideMark/>
          </w:tcPr>
          <w:p w14:paraId="6FD4224B" w14:textId="77777777" w:rsidR="009620A9" w:rsidRPr="002B55E9" w:rsidRDefault="009620A9" w:rsidP="009620A9">
            <w:pPr>
              <w:pStyle w:val="lgy-"/>
              <w:rPr>
                <w:rFonts w:eastAsia="宋体"/>
              </w:rPr>
            </w:pPr>
          </w:p>
        </w:tc>
        <w:tc>
          <w:tcPr>
            <w:tcW w:w="879" w:type="dxa"/>
            <w:hideMark/>
          </w:tcPr>
          <w:p w14:paraId="383497F9" w14:textId="77777777" w:rsidR="009620A9" w:rsidRPr="002B55E9" w:rsidRDefault="009620A9" w:rsidP="009620A9">
            <w:pPr>
              <w:pStyle w:val="lgy-"/>
              <w:rPr>
                <w:rFonts w:eastAsia="宋体"/>
              </w:rPr>
            </w:pPr>
            <w:r w:rsidRPr="002B55E9">
              <w:rPr>
                <w:rFonts w:eastAsia="宋体" w:hint="eastAsia"/>
              </w:rPr>
              <w:t>设备清洗</w:t>
            </w:r>
          </w:p>
        </w:tc>
        <w:tc>
          <w:tcPr>
            <w:tcW w:w="585" w:type="dxa"/>
            <w:hideMark/>
          </w:tcPr>
          <w:p w14:paraId="54B707B1" w14:textId="77777777" w:rsidR="009620A9" w:rsidRPr="002B55E9" w:rsidRDefault="009620A9" w:rsidP="009620A9">
            <w:pPr>
              <w:pStyle w:val="lgy-"/>
              <w:rPr>
                <w:rFonts w:eastAsia="宋体"/>
              </w:rPr>
            </w:pPr>
            <w:r w:rsidRPr="002B55E9">
              <w:rPr>
                <w:rFonts w:eastAsia="宋体"/>
              </w:rPr>
              <w:t xml:space="preserve">241 </w:t>
            </w:r>
          </w:p>
        </w:tc>
        <w:tc>
          <w:tcPr>
            <w:tcW w:w="563" w:type="dxa"/>
            <w:hideMark/>
          </w:tcPr>
          <w:p w14:paraId="0CAF0225"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30F20E0C" w14:textId="77777777" w:rsidR="009620A9" w:rsidRPr="002B55E9" w:rsidRDefault="009620A9" w:rsidP="009620A9">
            <w:pPr>
              <w:pStyle w:val="lgy-"/>
              <w:rPr>
                <w:rFonts w:eastAsia="宋体"/>
              </w:rPr>
            </w:pPr>
            <w:r w:rsidRPr="002B55E9">
              <w:rPr>
                <w:rFonts w:eastAsia="宋体"/>
              </w:rPr>
              <w:t xml:space="preserve">241 </w:t>
            </w:r>
          </w:p>
        </w:tc>
        <w:tc>
          <w:tcPr>
            <w:tcW w:w="613" w:type="dxa"/>
            <w:hideMark/>
          </w:tcPr>
          <w:p w14:paraId="5111BC93"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307C218E"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2520095F"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5914519C"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7B8BAE2D"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38A5F2C1"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515E9A13"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35499B14" w14:textId="77777777" w:rsidR="009620A9" w:rsidRPr="002B55E9" w:rsidRDefault="009620A9" w:rsidP="009620A9">
            <w:pPr>
              <w:pStyle w:val="lgy-"/>
              <w:rPr>
                <w:rFonts w:eastAsia="宋体"/>
              </w:rPr>
            </w:pPr>
            <w:r w:rsidRPr="002B55E9">
              <w:rPr>
                <w:rFonts w:eastAsia="宋体"/>
              </w:rPr>
              <w:t xml:space="preserve">24 </w:t>
            </w:r>
          </w:p>
        </w:tc>
        <w:tc>
          <w:tcPr>
            <w:tcW w:w="613" w:type="dxa"/>
            <w:hideMark/>
          </w:tcPr>
          <w:p w14:paraId="63CF0F60" w14:textId="77777777" w:rsidR="009620A9" w:rsidRPr="002B55E9" w:rsidRDefault="009620A9" w:rsidP="009620A9">
            <w:pPr>
              <w:pStyle w:val="lgy-"/>
              <w:rPr>
                <w:rFonts w:eastAsia="宋体"/>
              </w:rPr>
            </w:pPr>
            <w:r w:rsidRPr="002B55E9">
              <w:rPr>
                <w:rFonts w:eastAsia="宋体"/>
              </w:rPr>
              <w:t xml:space="preserve">217 </w:t>
            </w:r>
          </w:p>
        </w:tc>
        <w:tc>
          <w:tcPr>
            <w:tcW w:w="736" w:type="dxa"/>
            <w:hideMark/>
          </w:tcPr>
          <w:p w14:paraId="198DD029"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672EF544" w14:textId="77777777" w:rsidTr="009620A9">
        <w:trPr>
          <w:trHeight w:val="283"/>
        </w:trPr>
        <w:tc>
          <w:tcPr>
            <w:tcW w:w="663" w:type="dxa"/>
            <w:vMerge/>
            <w:hideMark/>
          </w:tcPr>
          <w:p w14:paraId="326FB937" w14:textId="77777777" w:rsidR="009620A9" w:rsidRPr="002B55E9" w:rsidRDefault="009620A9" w:rsidP="009620A9">
            <w:pPr>
              <w:pStyle w:val="lgy-"/>
              <w:rPr>
                <w:rFonts w:eastAsia="宋体"/>
              </w:rPr>
            </w:pPr>
          </w:p>
        </w:tc>
        <w:tc>
          <w:tcPr>
            <w:tcW w:w="879" w:type="dxa"/>
            <w:hideMark/>
          </w:tcPr>
          <w:p w14:paraId="03214A20" w14:textId="77777777" w:rsidR="009620A9" w:rsidRPr="002B55E9" w:rsidRDefault="009620A9" w:rsidP="009620A9">
            <w:pPr>
              <w:pStyle w:val="lgy-"/>
              <w:rPr>
                <w:rFonts w:eastAsia="宋体"/>
              </w:rPr>
            </w:pPr>
            <w:r w:rsidRPr="002B55E9">
              <w:rPr>
                <w:rFonts w:eastAsia="宋体" w:hint="eastAsia"/>
              </w:rPr>
              <w:t>地面清洗</w:t>
            </w:r>
          </w:p>
        </w:tc>
        <w:tc>
          <w:tcPr>
            <w:tcW w:w="585" w:type="dxa"/>
            <w:hideMark/>
          </w:tcPr>
          <w:p w14:paraId="2F256A9E" w14:textId="77777777" w:rsidR="009620A9" w:rsidRPr="002B55E9" w:rsidRDefault="009620A9" w:rsidP="009620A9">
            <w:pPr>
              <w:pStyle w:val="lgy-"/>
              <w:rPr>
                <w:rFonts w:eastAsia="宋体"/>
              </w:rPr>
            </w:pPr>
            <w:r w:rsidRPr="002B55E9">
              <w:rPr>
                <w:rFonts w:eastAsia="宋体"/>
              </w:rPr>
              <w:t xml:space="preserve">4 </w:t>
            </w:r>
          </w:p>
        </w:tc>
        <w:tc>
          <w:tcPr>
            <w:tcW w:w="563" w:type="dxa"/>
            <w:hideMark/>
          </w:tcPr>
          <w:p w14:paraId="497803B2"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1C329B68"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5C80B328"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5065DF38"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6F315171" w14:textId="77777777" w:rsidR="009620A9" w:rsidRPr="002B55E9" w:rsidRDefault="009620A9" w:rsidP="009620A9">
            <w:pPr>
              <w:pStyle w:val="lgy-"/>
              <w:rPr>
                <w:rFonts w:eastAsia="宋体"/>
              </w:rPr>
            </w:pPr>
            <w:r w:rsidRPr="002B55E9">
              <w:rPr>
                <w:rFonts w:eastAsia="宋体"/>
              </w:rPr>
              <w:t xml:space="preserve">4 </w:t>
            </w:r>
          </w:p>
        </w:tc>
        <w:tc>
          <w:tcPr>
            <w:tcW w:w="585" w:type="dxa"/>
            <w:hideMark/>
          </w:tcPr>
          <w:p w14:paraId="520E3DAE"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07613021"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36801564"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6AC16808"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18C0D86B" w14:textId="77777777" w:rsidR="009620A9" w:rsidRPr="002B55E9" w:rsidRDefault="009620A9" w:rsidP="009620A9">
            <w:pPr>
              <w:pStyle w:val="lgy-"/>
              <w:rPr>
                <w:rFonts w:eastAsia="宋体"/>
              </w:rPr>
            </w:pPr>
            <w:r w:rsidRPr="002B55E9">
              <w:rPr>
                <w:rFonts w:eastAsia="宋体"/>
              </w:rPr>
              <w:t xml:space="preserve">1 </w:t>
            </w:r>
          </w:p>
        </w:tc>
        <w:tc>
          <w:tcPr>
            <w:tcW w:w="613" w:type="dxa"/>
            <w:hideMark/>
          </w:tcPr>
          <w:p w14:paraId="393B4EB9" w14:textId="77777777" w:rsidR="009620A9" w:rsidRPr="002B55E9" w:rsidRDefault="009620A9" w:rsidP="009620A9">
            <w:pPr>
              <w:pStyle w:val="lgy-"/>
              <w:rPr>
                <w:rFonts w:eastAsia="宋体"/>
              </w:rPr>
            </w:pPr>
            <w:r w:rsidRPr="002B55E9">
              <w:rPr>
                <w:rFonts w:eastAsia="宋体"/>
              </w:rPr>
              <w:t xml:space="preserve">3 </w:t>
            </w:r>
          </w:p>
        </w:tc>
        <w:tc>
          <w:tcPr>
            <w:tcW w:w="736" w:type="dxa"/>
            <w:hideMark/>
          </w:tcPr>
          <w:p w14:paraId="3347DE7B"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0333C38B" w14:textId="77777777" w:rsidTr="009620A9">
        <w:trPr>
          <w:trHeight w:val="283"/>
        </w:trPr>
        <w:tc>
          <w:tcPr>
            <w:tcW w:w="663" w:type="dxa"/>
            <w:vMerge/>
            <w:hideMark/>
          </w:tcPr>
          <w:p w14:paraId="0F8410B7" w14:textId="77777777" w:rsidR="009620A9" w:rsidRPr="002B55E9" w:rsidRDefault="009620A9" w:rsidP="009620A9">
            <w:pPr>
              <w:pStyle w:val="lgy-"/>
              <w:rPr>
                <w:rFonts w:eastAsia="宋体"/>
              </w:rPr>
            </w:pPr>
          </w:p>
        </w:tc>
        <w:tc>
          <w:tcPr>
            <w:tcW w:w="879" w:type="dxa"/>
            <w:hideMark/>
          </w:tcPr>
          <w:p w14:paraId="5881FC3E" w14:textId="77777777" w:rsidR="009620A9" w:rsidRPr="002B55E9" w:rsidRDefault="009620A9" w:rsidP="009620A9">
            <w:pPr>
              <w:pStyle w:val="lgy-"/>
              <w:rPr>
                <w:rFonts w:eastAsia="宋体"/>
              </w:rPr>
            </w:pPr>
            <w:r w:rsidRPr="002B55E9">
              <w:rPr>
                <w:rFonts w:eastAsia="宋体" w:hint="eastAsia"/>
              </w:rPr>
              <w:t>喷淋塔用水</w:t>
            </w:r>
          </w:p>
        </w:tc>
        <w:tc>
          <w:tcPr>
            <w:tcW w:w="585" w:type="dxa"/>
            <w:hideMark/>
          </w:tcPr>
          <w:p w14:paraId="0DB6C678" w14:textId="77777777" w:rsidR="009620A9" w:rsidRPr="002B55E9" w:rsidRDefault="009620A9" w:rsidP="009620A9">
            <w:pPr>
              <w:pStyle w:val="lgy-"/>
              <w:rPr>
                <w:rFonts w:eastAsia="宋体"/>
              </w:rPr>
            </w:pPr>
            <w:r w:rsidRPr="002B55E9">
              <w:rPr>
                <w:rFonts w:eastAsia="宋体"/>
              </w:rPr>
              <w:t xml:space="preserve">15 </w:t>
            </w:r>
          </w:p>
        </w:tc>
        <w:tc>
          <w:tcPr>
            <w:tcW w:w="563" w:type="dxa"/>
            <w:hideMark/>
          </w:tcPr>
          <w:p w14:paraId="37E8AB4F"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7400B4A3" w14:textId="77777777" w:rsidR="009620A9" w:rsidRPr="002B55E9" w:rsidRDefault="009620A9" w:rsidP="009620A9">
            <w:pPr>
              <w:pStyle w:val="lgy-"/>
              <w:rPr>
                <w:rFonts w:eastAsia="宋体"/>
              </w:rPr>
            </w:pPr>
            <w:r w:rsidRPr="002B55E9">
              <w:rPr>
                <w:rFonts w:eastAsia="宋体"/>
              </w:rPr>
              <w:t xml:space="preserve">15 </w:t>
            </w:r>
          </w:p>
        </w:tc>
        <w:tc>
          <w:tcPr>
            <w:tcW w:w="613" w:type="dxa"/>
            <w:hideMark/>
          </w:tcPr>
          <w:p w14:paraId="5A1EC13B"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68E7E38D"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23118060"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7176A8C8"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7035EC8D"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5FC0CCA4"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02778D51"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3F7518D1" w14:textId="77777777" w:rsidR="009620A9" w:rsidRPr="002B55E9" w:rsidRDefault="009620A9" w:rsidP="009620A9">
            <w:pPr>
              <w:pStyle w:val="lgy-"/>
              <w:rPr>
                <w:rFonts w:eastAsia="宋体"/>
              </w:rPr>
            </w:pPr>
            <w:r w:rsidRPr="002B55E9">
              <w:rPr>
                <w:rFonts w:eastAsia="宋体"/>
              </w:rPr>
              <w:t xml:space="preserve">2 </w:t>
            </w:r>
          </w:p>
        </w:tc>
        <w:tc>
          <w:tcPr>
            <w:tcW w:w="613" w:type="dxa"/>
            <w:hideMark/>
          </w:tcPr>
          <w:p w14:paraId="0A45F335" w14:textId="77777777" w:rsidR="009620A9" w:rsidRPr="002B55E9" w:rsidRDefault="009620A9" w:rsidP="009620A9">
            <w:pPr>
              <w:pStyle w:val="lgy-"/>
              <w:rPr>
                <w:rFonts w:eastAsia="宋体"/>
              </w:rPr>
            </w:pPr>
            <w:r w:rsidRPr="002B55E9">
              <w:rPr>
                <w:rFonts w:eastAsia="宋体"/>
              </w:rPr>
              <w:t xml:space="preserve">13 </w:t>
            </w:r>
          </w:p>
        </w:tc>
        <w:tc>
          <w:tcPr>
            <w:tcW w:w="736" w:type="dxa"/>
            <w:hideMark/>
          </w:tcPr>
          <w:p w14:paraId="388FE43D"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24877742" w14:textId="77777777" w:rsidTr="009620A9">
        <w:trPr>
          <w:trHeight w:val="283"/>
        </w:trPr>
        <w:tc>
          <w:tcPr>
            <w:tcW w:w="663" w:type="dxa"/>
            <w:vMerge/>
            <w:hideMark/>
          </w:tcPr>
          <w:p w14:paraId="73E154A1" w14:textId="77777777" w:rsidR="009620A9" w:rsidRPr="002B55E9" w:rsidRDefault="009620A9" w:rsidP="009620A9">
            <w:pPr>
              <w:pStyle w:val="lgy-"/>
              <w:rPr>
                <w:rFonts w:eastAsia="宋体"/>
              </w:rPr>
            </w:pPr>
          </w:p>
        </w:tc>
        <w:tc>
          <w:tcPr>
            <w:tcW w:w="879" w:type="dxa"/>
            <w:hideMark/>
          </w:tcPr>
          <w:p w14:paraId="267899FB" w14:textId="77777777" w:rsidR="009620A9" w:rsidRPr="002B55E9" w:rsidRDefault="009620A9" w:rsidP="009620A9">
            <w:pPr>
              <w:pStyle w:val="lgy-"/>
              <w:rPr>
                <w:rFonts w:eastAsia="宋体"/>
              </w:rPr>
            </w:pPr>
            <w:r w:rsidRPr="002B55E9">
              <w:rPr>
                <w:rFonts w:eastAsia="宋体" w:hint="eastAsia"/>
              </w:rPr>
              <w:t>循环冷却系统用水</w:t>
            </w:r>
          </w:p>
        </w:tc>
        <w:tc>
          <w:tcPr>
            <w:tcW w:w="585" w:type="dxa"/>
            <w:hideMark/>
          </w:tcPr>
          <w:p w14:paraId="7BB7F58A" w14:textId="77777777" w:rsidR="009620A9" w:rsidRPr="002B55E9" w:rsidRDefault="009620A9" w:rsidP="009620A9">
            <w:pPr>
              <w:pStyle w:val="lgy-"/>
              <w:rPr>
                <w:rFonts w:eastAsia="宋体"/>
              </w:rPr>
            </w:pPr>
            <w:r w:rsidRPr="002B55E9">
              <w:rPr>
                <w:rFonts w:eastAsia="宋体"/>
              </w:rPr>
              <w:t xml:space="preserve">9888 </w:t>
            </w:r>
          </w:p>
        </w:tc>
        <w:tc>
          <w:tcPr>
            <w:tcW w:w="563" w:type="dxa"/>
            <w:hideMark/>
          </w:tcPr>
          <w:p w14:paraId="5B53BAA6" w14:textId="77777777" w:rsidR="009620A9" w:rsidRPr="002B55E9" w:rsidRDefault="009620A9" w:rsidP="009620A9">
            <w:pPr>
              <w:pStyle w:val="lgy-"/>
              <w:rPr>
                <w:rFonts w:eastAsia="宋体"/>
              </w:rPr>
            </w:pPr>
            <w:r w:rsidRPr="002B55E9">
              <w:rPr>
                <w:rFonts w:eastAsia="宋体"/>
              </w:rPr>
              <w:t xml:space="preserve">9600 </w:t>
            </w:r>
          </w:p>
        </w:tc>
        <w:tc>
          <w:tcPr>
            <w:tcW w:w="678" w:type="dxa"/>
            <w:hideMark/>
          </w:tcPr>
          <w:p w14:paraId="362C5489" w14:textId="77777777" w:rsidR="009620A9" w:rsidRPr="002B55E9" w:rsidRDefault="009620A9" w:rsidP="009620A9">
            <w:pPr>
              <w:pStyle w:val="lgy-"/>
              <w:rPr>
                <w:rFonts w:eastAsia="宋体"/>
              </w:rPr>
            </w:pPr>
            <w:r w:rsidRPr="002B55E9">
              <w:rPr>
                <w:rFonts w:eastAsia="宋体"/>
              </w:rPr>
              <w:t xml:space="preserve">288 </w:t>
            </w:r>
          </w:p>
        </w:tc>
        <w:tc>
          <w:tcPr>
            <w:tcW w:w="613" w:type="dxa"/>
            <w:hideMark/>
          </w:tcPr>
          <w:p w14:paraId="5DB3EAA1"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5A3CFAAD"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7069B708"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229F953C"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5F2CE4DA"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58547907"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3BB3E8B8"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7FF3B940" w14:textId="77777777" w:rsidR="009620A9" w:rsidRPr="002B55E9" w:rsidRDefault="009620A9" w:rsidP="009620A9">
            <w:pPr>
              <w:pStyle w:val="lgy-"/>
              <w:rPr>
                <w:rFonts w:eastAsia="宋体"/>
              </w:rPr>
            </w:pPr>
            <w:r w:rsidRPr="002B55E9">
              <w:rPr>
                <w:rFonts w:eastAsia="宋体"/>
              </w:rPr>
              <w:t xml:space="preserve">278 </w:t>
            </w:r>
          </w:p>
        </w:tc>
        <w:tc>
          <w:tcPr>
            <w:tcW w:w="613" w:type="dxa"/>
            <w:hideMark/>
          </w:tcPr>
          <w:p w14:paraId="4416C75B" w14:textId="77777777" w:rsidR="009620A9" w:rsidRPr="002B55E9" w:rsidRDefault="009620A9" w:rsidP="009620A9">
            <w:pPr>
              <w:pStyle w:val="lgy-"/>
              <w:rPr>
                <w:rFonts w:eastAsia="宋体"/>
              </w:rPr>
            </w:pPr>
            <w:r w:rsidRPr="002B55E9">
              <w:rPr>
                <w:rFonts w:eastAsia="宋体"/>
              </w:rPr>
              <w:t xml:space="preserve">10 </w:t>
            </w:r>
          </w:p>
        </w:tc>
        <w:tc>
          <w:tcPr>
            <w:tcW w:w="736" w:type="dxa"/>
            <w:hideMark/>
          </w:tcPr>
          <w:p w14:paraId="38EAD8AF"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5D79C53A" w14:textId="77777777" w:rsidTr="009620A9">
        <w:trPr>
          <w:trHeight w:val="283"/>
        </w:trPr>
        <w:tc>
          <w:tcPr>
            <w:tcW w:w="663" w:type="dxa"/>
            <w:vMerge/>
            <w:hideMark/>
          </w:tcPr>
          <w:p w14:paraId="7BF6F5F7" w14:textId="77777777" w:rsidR="009620A9" w:rsidRPr="002B55E9" w:rsidRDefault="009620A9" w:rsidP="009620A9">
            <w:pPr>
              <w:pStyle w:val="lgy-"/>
              <w:rPr>
                <w:rFonts w:eastAsia="宋体"/>
              </w:rPr>
            </w:pPr>
          </w:p>
        </w:tc>
        <w:tc>
          <w:tcPr>
            <w:tcW w:w="879" w:type="dxa"/>
            <w:hideMark/>
          </w:tcPr>
          <w:p w14:paraId="4C470083" w14:textId="77777777" w:rsidR="009620A9" w:rsidRPr="002B55E9" w:rsidRDefault="009620A9" w:rsidP="009620A9">
            <w:pPr>
              <w:pStyle w:val="lgy-"/>
              <w:rPr>
                <w:rFonts w:eastAsia="宋体"/>
              </w:rPr>
            </w:pPr>
            <w:r w:rsidRPr="002B55E9">
              <w:rPr>
                <w:rFonts w:eastAsia="宋体" w:hint="eastAsia"/>
              </w:rPr>
              <w:t>工业蒸汽</w:t>
            </w:r>
          </w:p>
        </w:tc>
        <w:tc>
          <w:tcPr>
            <w:tcW w:w="585" w:type="dxa"/>
            <w:hideMark/>
          </w:tcPr>
          <w:p w14:paraId="5AEB7E20" w14:textId="77777777" w:rsidR="009620A9" w:rsidRPr="002B55E9" w:rsidRDefault="009620A9" w:rsidP="009620A9">
            <w:pPr>
              <w:pStyle w:val="lgy-"/>
              <w:rPr>
                <w:rFonts w:eastAsia="宋体"/>
              </w:rPr>
            </w:pPr>
            <w:r w:rsidRPr="002B55E9">
              <w:rPr>
                <w:rFonts w:eastAsia="宋体"/>
              </w:rPr>
              <w:t xml:space="preserve">216 </w:t>
            </w:r>
          </w:p>
        </w:tc>
        <w:tc>
          <w:tcPr>
            <w:tcW w:w="563" w:type="dxa"/>
            <w:hideMark/>
          </w:tcPr>
          <w:p w14:paraId="175277FB"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51D1904E"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6F99DC0C"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7C9B9EC8"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79276A8B"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782F5B7E" w14:textId="77777777" w:rsidR="009620A9" w:rsidRPr="002B55E9" w:rsidRDefault="009620A9" w:rsidP="009620A9">
            <w:pPr>
              <w:pStyle w:val="lgy-"/>
              <w:rPr>
                <w:rFonts w:eastAsia="宋体"/>
              </w:rPr>
            </w:pPr>
            <w:r w:rsidRPr="002B55E9">
              <w:rPr>
                <w:rFonts w:eastAsia="宋体"/>
              </w:rPr>
              <w:t xml:space="preserve">216 </w:t>
            </w:r>
          </w:p>
        </w:tc>
        <w:tc>
          <w:tcPr>
            <w:tcW w:w="585" w:type="dxa"/>
            <w:hideMark/>
          </w:tcPr>
          <w:p w14:paraId="4BD5DA7F"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662C1F5D" w14:textId="77777777" w:rsidR="009620A9" w:rsidRPr="002B55E9" w:rsidRDefault="009620A9" w:rsidP="009620A9">
            <w:pPr>
              <w:pStyle w:val="lgy-"/>
              <w:rPr>
                <w:rFonts w:eastAsia="宋体"/>
              </w:rPr>
            </w:pPr>
            <w:r w:rsidRPr="002B55E9">
              <w:rPr>
                <w:rFonts w:eastAsia="宋体"/>
              </w:rPr>
              <w:t xml:space="preserve">11 </w:t>
            </w:r>
          </w:p>
        </w:tc>
        <w:tc>
          <w:tcPr>
            <w:tcW w:w="671" w:type="dxa"/>
            <w:hideMark/>
          </w:tcPr>
          <w:p w14:paraId="45BC1BD6"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5C84AD8B" w14:textId="77777777" w:rsidR="009620A9" w:rsidRPr="002B55E9" w:rsidRDefault="009620A9" w:rsidP="009620A9">
            <w:pPr>
              <w:pStyle w:val="lgy-"/>
              <w:rPr>
                <w:rFonts w:eastAsia="宋体"/>
              </w:rPr>
            </w:pPr>
            <w:r w:rsidRPr="002B55E9">
              <w:rPr>
                <w:rFonts w:eastAsia="宋体"/>
              </w:rPr>
              <w:t xml:space="preserve">32 </w:t>
            </w:r>
          </w:p>
        </w:tc>
        <w:tc>
          <w:tcPr>
            <w:tcW w:w="613" w:type="dxa"/>
            <w:hideMark/>
          </w:tcPr>
          <w:p w14:paraId="69028E4D"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221A13E4" w14:textId="77777777" w:rsidR="009620A9" w:rsidRPr="002B55E9" w:rsidRDefault="009620A9" w:rsidP="009620A9">
            <w:pPr>
              <w:pStyle w:val="lgy-"/>
              <w:rPr>
                <w:rFonts w:eastAsia="宋体"/>
              </w:rPr>
            </w:pPr>
            <w:r w:rsidRPr="002B55E9">
              <w:rPr>
                <w:rFonts w:eastAsia="宋体"/>
              </w:rPr>
              <w:t xml:space="preserve">173 </w:t>
            </w:r>
          </w:p>
        </w:tc>
      </w:tr>
      <w:tr w:rsidR="002B55E9" w:rsidRPr="002B55E9" w14:paraId="3160A389" w14:textId="77777777" w:rsidTr="009620A9">
        <w:trPr>
          <w:trHeight w:val="283"/>
        </w:trPr>
        <w:tc>
          <w:tcPr>
            <w:tcW w:w="663" w:type="dxa"/>
            <w:vMerge/>
            <w:hideMark/>
          </w:tcPr>
          <w:p w14:paraId="23903324" w14:textId="77777777" w:rsidR="009620A9" w:rsidRPr="002B55E9" w:rsidRDefault="009620A9" w:rsidP="009620A9">
            <w:pPr>
              <w:pStyle w:val="lgy-"/>
              <w:rPr>
                <w:rFonts w:eastAsia="宋体"/>
              </w:rPr>
            </w:pPr>
          </w:p>
        </w:tc>
        <w:tc>
          <w:tcPr>
            <w:tcW w:w="879" w:type="dxa"/>
            <w:hideMark/>
          </w:tcPr>
          <w:p w14:paraId="6E06A339" w14:textId="77777777" w:rsidR="009620A9" w:rsidRPr="002B55E9" w:rsidRDefault="009620A9" w:rsidP="009620A9">
            <w:pPr>
              <w:pStyle w:val="lgy-"/>
              <w:rPr>
                <w:rFonts w:eastAsia="宋体"/>
              </w:rPr>
            </w:pPr>
            <w:r w:rsidRPr="002B55E9">
              <w:rPr>
                <w:rFonts w:eastAsia="宋体" w:hint="eastAsia"/>
              </w:rPr>
              <w:t>厂区绿化用水</w:t>
            </w:r>
          </w:p>
        </w:tc>
        <w:tc>
          <w:tcPr>
            <w:tcW w:w="585" w:type="dxa"/>
            <w:hideMark/>
          </w:tcPr>
          <w:p w14:paraId="0FB0B5ED" w14:textId="77777777" w:rsidR="009620A9" w:rsidRPr="002B55E9" w:rsidRDefault="009620A9" w:rsidP="009620A9">
            <w:pPr>
              <w:pStyle w:val="lgy-"/>
              <w:rPr>
                <w:rFonts w:eastAsia="宋体"/>
              </w:rPr>
            </w:pPr>
            <w:r w:rsidRPr="002B55E9">
              <w:rPr>
                <w:rFonts w:eastAsia="宋体"/>
              </w:rPr>
              <w:t xml:space="preserve">7 </w:t>
            </w:r>
          </w:p>
        </w:tc>
        <w:tc>
          <w:tcPr>
            <w:tcW w:w="563" w:type="dxa"/>
            <w:hideMark/>
          </w:tcPr>
          <w:p w14:paraId="093FEE16"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749D832D"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59BE5699"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760D1228"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6E7E7BEB" w14:textId="77777777" w:rsidR="009620A9" w:rsidRPr="002B55E9" w:rsidRDefault="009620A9" w:rsidP="009620A9">
            <w:pPr>
              <w:pStyle w:val="lgy-"/>
              <w:rPr>
                <w:rFonts w:eastAsia="宋体"/>
              </w:rPr>
            </w:pPr>
            <w:r w:rsidRPr="002B55E9">
              <w:rPr>
                <w:rFonts w:eastAsia="宋体"/>
              </w:rPr>
              <w:t xml:space="preserve">7 </w:t>
            </w:r>
          </w:p>
        </w:tc>
        <w:tc>
          <w:tcPr>
            <w:tcW w:w="585" w:type="dxa"/>
            <w:hideMark/>
          </w:tcPr>
          <w:p w14:paraId="0564DC16"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095BF942"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28761479"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54FC21F9"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67B03A40" w14:textId="77777777" w:rsidR="009620A9" w:rsidRPr="002B55E9" w:rsidRDefault="009620A9" w:rsidP="009620A9">
            <w:pPr>
              <w:pStyle w:val="lgy-"/>
              <w:rPr>
                <w:rFonts w:eastAsia="宋体"/>
              </w:rPr>
            </w:pPr>
            <w:r w:rsidRPr="002B55E9">
              <w:rPr>
                <w:rFonts w:eastAsia="宋体"/>
              </w:rPr>
              <w:t xml:space="preserve">7 </w:t>
            </w:r>
          </w:p>
        </w:tc>
        <w:tc>
          <w:tcPr>
            <w:tcW w:w="613" w:type="dxa"/>
            <w:hideMark/>
          </w:tcPr>
          <w:p w14:paraId="6EB79F8F" w14:textId="77777777" w:rsidR="009620A9" w:rsidRPr="002B55E9" w:rsidRDefault="009620A9" w:rsidP="009620A9">
            <w:pPr>
              <w:pStyle w:val="lgy-"/>
              <w:rPr>
                <w:rFonts w:eastAsia="宋体"/>
              </w:rPr>
            </w:pPr>
            <w:r w:rsidRPr="002B55E9">
              <w:rPr>
                <w:rFonts w:eastAsia="宋体"/>
              </w:rPr>
              <w:t xml:space="preserve">0 </w:t>
            </w:r>
          </w:p>
        </w:tc>
        <w:tc>
          <w:tcPr>
            <w:tcW w:w="736" w:type="dxa"/>
            <w:hideMark/>
          </w:tcPr>
          <w:p w14:paraId="157129E3"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64D0AD0B" w14:textId="77777777" w:rsidTr="009620A9">
        <w:trPr>
          <w:trHeight w:val="283"/>
        </w:trPr>
        <w:tc>
          <w:tcPr>
            <w:tcW w:w="1542" w:type="dxa"/>
            <w:gridSpan w:val="2"/>
            <w:hideMark/>
          </w:tcPr>
          <w:p w14:paraId="636E8FD7" w14:textId="77777777" w:rsidR="009620A9" w:rsidRPr="002B55E9" w:rsidRDefault="009620A9" w:rsidP="009620A9">
            <w:pPr>
              <w:pStyle w:val="lgy-"/>
              <w:rPr>
                <w:rFonts w:eastAsia="宋体"/>
              </w:rPr>
            </w:pPr>
            <w:r w:rsidRPr="002B55E9">
              <w:rPr>
                <w:rFonts w:eastAsia="宋体" w:hint="eastAsia"/>
              </w:rPr>
              <w:t>员工生活</w:t>
            </w:r>
          </w:p>
        </w:tc>
        <w:tc>
          <w:tcPr>
            <w:tcW w:w="585" w:type="dxa"/>
            <w:hideMark/>
          </w:tcPr>
          <w:p w14:paraId="2391197A" w14:textId="77777777" w:rsidR="009620A9" w:rsidRPr="002B55E9" w:rsidRDefault="009620A9" w:rsidP="009620A9">
            <w:pPr>
              <w:pStyle w:val="lgy-"/>
              <w:rPr>
                <w:rFonts w:eastAsia="宋体"/>
              </w:rPr>
            </w:pPr>
            <w:r w:rsidRPr="002B55E9">
              <w:rPr>
                <w:rFonts w:eastAsia="宋体"/>
              </w:rPr>
              <w:t xml:space="preserve">20 </w:t>
            </w:r>
          </w:p>
        </w:tc>
        <w:tc>
          <w:tcPr>
            <w:tcW w:w="563" w:type="dxa"/>
            <w:hideMark/>
          </w:tcPr>
          <w:p w14:paraId="108B2627" w14:textId="77777777" w:rsidR="009620A9" w:rsidRPr="002B55E9" w:rsidRDefault="009620A9" w:rsidP="009620A9">
            <w:pPr>
              <w:pStyle w:val="lgy-"/>
              <w:rPr>
                <w:rFonts w:eastAsia="宋体"/>
              </w:rPr>
            </w:pPr>
            <w:r w:rsidRPr="002B55E9">
              <w:rPr>
                <w:rFonts w:eastAsia="宋体"/>
              </w:rPr>
              <w:t xml:space="preserve">0 </w:t>
            </w:r>
          </w:p>
        </w:tc>
        <w:tc>
          <w:tcPr>
            <w:tcW w:w="678" w:type="dxa"/>
            <w:hideMark/>
          </w:tcPr>
          <w:p w14:paraId="45436EEC" w14:textId="77777777" w:rsidR="009620A9" w:rsidRPr="002B55E9" w:rsidRDefault="009620A9" w:rsidP="009620A9">
            <w:pPr>
              <w:pStyle w:val="lgy-"/>
              <w:rPr>
                <w:rFonts w:eastAsia="宋体"/>
              </w:rPr>
            </w:pPr>
            <w:r w:rsidRPr="002B55E9">
              <w:rPr>
                <w:rFonts w:eastAsia="宋体"/>
              </w:rPr>
              <w:t xml:space="preserve">20 </w:t>
            </w:r>
          </w:p>
        </w:tc>
        <w:tc>
          <w:tcPr>
            <w:tcW w:w="613" w:type="dxa"/>
            <w:hideMark/>
          </w:tcPr>
          <w:p w14:paraId="47033BE2" w14:textId="77777777" w:rsidR="009620A9" w:rsidRPr="002B55E9" w:rsidRDefault="009620A9" w:rsidP="009620A9">
            <w:pPr>
              <w:pStyle w:val="lgy-"/>
              <w:rPr>
                <w:rFonts w:eastAsia="宋体"/>
              </w:rPr>
            </w:pPr>
            <w:r w:rsidRPr="002B55E9">
              <w:rPr>
                <w:rFonts w:eastAsia="宋体"/>
              </w:rPr>
              <w:t xml:space="preserve">0 </w:t>
            </w:r>
          </w:p>
        </w:tc>
        <w:tc>
          <w:tcPr>
            <w:tcW w:w="414" w:type="dxa"/>
            <w:hideMark/>
          </w:tcPr>
          <w:p w14:paraId="621D395F" w14:textId="77777777" w:rsidR="009620A9" w:rsidRPr="002B55E9" w:rsidRDefault="009620A9" w:rsidP="009620A9">
            <w:pPr>
              <w:pStyle w:val="lgy-"/>
              <w:rPr>
                <w:rFonts w:eastAsia="宋体"/>
              </w:rPr>
            </w:pPr>
            <w:r w:rsidRPr="002B55E9">
              <w:rPr>
                <w:rFonts w:eastAsia="宋体"/>
              </w:rPr>
              <w:t xml:space="preserve">0 </w:t>
            </w:r>
          </w:p>
        </w:tc>
        <w:tc>
          <w:tcPr>
            <w:tcW w:w="726" w:type="dxa"/>
            <w:hideMark/>
          </w:tcPr>
          <w:p w14:paraId="162EDD69"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1EF0CE34" w14:textId="77777777" w:rsidR="009620A9" w:rsidRPr="002B55E9" w:rsidRDefault="009620A9" w:rsidP="009620A9">
            <w:pPr>
              <w:pStyle w:val="lgy-"/>
              <w:rPr>
                <w:rFonts w:eastAsia="宋体"/>
              </w:rPr>
            </w:pPr>
            <w:r w:rsidRPr="002B55E9">
              <w:rPr>
                <w:rFonts w:eastAsia="宋体"/>
              </w:rPr>
              <w:t xml:space="preserve">0 </w:t>
            </w:r>
          </w:p>
        </w:tc>
        <w:tc>
          <w:tcPr>
            <w:tcW w:w="585" w:type="dxa"/>
            <w:hideMark/>
          </w:tcPr>
          <w:p w14:paraId="17235831" w14:textId="77777777" w:rsidR="009620A9" w:rsidRPr="002B55E9" w:rsidRDefault="009620A9" w:rsidP="009620A9">
            <w:pPr>
              <w:pStyle w:val="lgy-"/>
              <w:rPr>
                <w:rFonts w:eastAsia="宋体"/>
              </w:rPr>
            </w:pPr>
            <w:r w:rsidRPr="002B55E9">
              <w:rPr>
                <w:rFonts w:eastAsia="宋体"/>
              </w:rPr>
              <w:t xml:space="preserve">0 </w:t>
            </w:r>
          </w:p>
        </w:tc>
        <w:tc>
          <w:tcPr>
            <w:tcW w:w="714" w:type="dxa"/>
            <w:hideMark/>
          </w:tcPr>
          <w:p w14:paraId="41FB053A" w14:textId="77777777" w:rsidR="009620A9" w:rsidRPr="002B55E9" w:rsidRDefault="009620A9" w:rsidP="009620A9">
            <w:pPr>
              <w:pStyle w:val="lgy-"/>
              <w:rPr>
                <w:rFonts w:eastAsia="宋体"/>
              </w:rPr>
            </w:pPr>
            <w:r w:rsidRPr="002B55E9">
              <w:rPr>
                <w:rFonts w:eastAsia="宋体"/>
              </w:rPr>
              <w:t xml:space="preserve">0 </w:t>
            </w:r>
          </w:p>
        </w:tc>
        <w:tc>
          <w:tcPr>
            <w:tcW w:w="671" w:type="dxa"/>
            <w:hideMark/>
          </w:tcPr>
          <w:p w14:paraId="5604491A"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7D754BC6" w14:textId="77777777" w:rsidR="009620A9" w:rsidRPr="002B55E9" w:rsidRDefault="009620A9" w:rsidP="009620A9">
            <w:pPr>
              <w:pStyle w:val="lgy-"/>
              <w:rPr>
                <w:rFonts w:eastAsia="宋体"/>
              </w:rPr>
            </w:pPr>
            <w:r w:rsidRPr="002B55E9">
              <w:rPr>
                <w:rFonts w:eastAsia="宋体"/>
              </w:rPr>
              <w:t xml:space="preserve">3 </w:t>
            </w:r>
          </w:p>
        </w:tc>
        <w:tc>
          <w:tcPr>
            <w:tcW w:w="613" w:type="dxa"/>
            <w:hideMark/>
          </w:tcPr>
          <w:p w14:paraId="17E8E943" w14:textId="77777777" w:rsidR="009620A9" w:rsidRPr="002B55E9" w:rsidRDefault="009620A9" w:rsidP="009620A9">
            <w:pPr>
              <w:pStyle w:val="lgy-"/>
              <w:rPr>
                <w:rFonts w:eastAsia="宋体"/>
              </w:rPr>
            </w:pPr>
            <w:r w:rsidRPr="002B55E9">
              <w:rPr>
                <w:rFonts w:eastAsia="宋体"/>
              </w:rPr>
              <w:t xml:space="preserve">17 </w:t>
            </w:r>
          </w:p>
        </w:tc>
        <w:tc>
          <w:tcPr>
            <w:tcW w:w="736" w:type="dxa"/>
            <w:hideMark/>
          </w:tcPr>
          <w:p w14:paraId="5D496C68" w14:textId="77777777" w:rsidR="009620A9" w:rsidRPr="002B55E9" w:rsidRDefault="009620A9" w:rsidP="009620A9">
            <w:pPr>
              <w:pStyle w:val="lgy-"/>
              <w:rPr>
                <w:rFonts w:eastAsia="宋体"/>
              </w:rPr>
            </w:pPr>
            <w:r w:rsidRPr="002B55E9">
              <w:rPr>
                <w:rFonts w:eastAsia="宋体"/>
              </w:rPr>
              <w:t xml:space="preserve">0 </w:t>
            </w:r>
          </w:p>
        </w:tc>
      </w:tr>
      <w:tr w:rsidR="002B55E9" w:rsidRPr="002B55E9" w14:paraId="30A247B9" w14:textId="77777777" w:rsidTr="009620A9">
        <w:trPr>
          <w:trHeight w:val="283"/>
        </w:trPr>
        <w:tc>
          <w:tcPr>
            <w:tcW w:w="1542" w:type="dxa"/>
            <w:gridSpan w:val="2"/>
            <w:hideMark/>
          </w:tcPr>
          <w:p w14:paraId="348B61FA" w14:textId="77777777" w:rsidR="009620A9" w:rsidRPr="002B55E9" w:rsidRDefault="009620A9" w:rsidP="009620A9">
            <w:pPr>
              <w:pStyle w:val="lgy-"/>
              <w:rPr>
                <w:rFonts w:eastAsia="宋体"/>
              </w:rPr>
            </w:pPr>
            <w:r w:rsidRPr="002B55E9">
              <w:rPr>
                <w:rFonts w:eastAsia="宋体" w:hint="eastAsia"/>
              </w:rPr>
              <w:t>合计</w:t>
            </w:r>
          </w:p>
        </w:tc>
        <w:tc>
          <w:tcPr>
            <w:tcW w:w="585" w:type="dxa"/>
            <w:hideMark/>
          </w:tcPr>
          <w:p w14:paraId="623A8BA2" w14:textId="0A6672E9" w:rsidR="009620A9" w:rsidRPr="002B55E9" w:rsidRDefault="009620A9" w:rsidP="009620A9">
            <w:pPr>
              <w:pStyle w:val="lgy-"/>
              <w:rPr>
                <w:rFonts w:eastAsia="宋体"/>
              </w:rPr>
            </w:pPr>
          </w:p>
        </w:tc>
        <w:tc>
          <w:tcPr>
            <w:tcW w:w="563" w:type="dxa"/>
            <w:hideMark/>
          </w:tcPr>
          <w:p w14:paraId="7B0BC18E" w14:textId="77777777" w:rsidR="009620A9" w:rsidRPr="002B55E9" w:rsidRDefault="009620A9" w:rsidP="009620A9">
            <w:pPr>
              <w:pStyle w:val="lgy-"/>
              <w:rPr>
                <w:rFonts w:eastAsia="宋体"/>
              </w:rPr>
            </w:pPr>
            <w:r w:rsidRPr="002B55E9">
              <w:rPr>
                <w:rFonts w:eastAsia="宋体"/>
              </w:rPr>
              <w:t xml:space="preserve">9600 </w:t>
            </w:r>
          </w:p>
        </w:tc>
        <w:tc>
          <w:tcPr>
            <w:tcW w:w="678" w:type="dxa"/>
            <w:hideMark/>
          </w:tcPr>
          <w:p w14:paraId="0D0D6085" w14:textId="77777777" w:rsidR="009620A9" w:rsidRPr="002B55E9" w:rsidRDefault="009620A9" w:rsidP="009620A9">
            <w:pPr>
              <w:pStyle w:val="lgy-"/>
              <w:rPr>
                <w:rFonts w:eastAsia="宋体"/>
              </w:rPr>
            </w:pPr>
            <w:r w:rsidRPr="002B55E9">
              <w:rPr>
                <w:rFonts w:eastAsia="宋体"/>
              </w:rPr>
              <w:t xml:space="preserve">857 </w:t>
            </w:r>
          </w:p>
        </w:tc>
        <w:tc>
          <w:tcPr>
            <w:tcW w:w="613" w:type="dxa"/>
            <w:hideMark/>
          </w:tcPr>
          <w:p w14:paraId="553C9293" w14:textId="17530008" w:rsidR="009620A9" w:rsidRPr="002B55E9" w:rsidRDefault="009620A9" w:rsidP="009620A9">
            <w:pPr>
              <w:pStyle w:val="lgy-"/>
              <w:rPr>
                <w:rFonts w:eastAsia="宋体"/>
              </w:rPr>
            </w:pPr>
          </w:p>
        </w:tc>
        <w:tc>
          <w:tcPr>
            <w:tcW w:w="414" w:type="dxa"/>
            <w:hideMark/>
          </w:tcPr>
          <w:p w14:paraId="0FCFFD74" w14:textId="77777777" w:rsidR="009620A9" w:rsidRPr="002B55E9" w:rsidRDefault="009620A9" w:rsidP="009620A9">
            <w:pPr>
              <w:pStyle w:val="lgy-"/>
              <w:rPr>
                <w:rFonts w:eastAsia="宋体"/>
              </w:rPr>
            </w:pPr>
            <w:r w:rsidRPr="002B55E9">
              <w:rPr>
                <w:rFonts w:eastAsia="宋体"/>
              </w:rPr>
              <w:t xml:space="preserve">0.10 </w:t>
            </w:r>
          </w:p>
        </w:tc>
        <w:tc>
          <w:tcPr>
            <w:tcW w:w="726" w:type="dxa"/>
            <w:hideMark/>
          </w:tcPr>
          <w:p w14:paraId="393AFBC5" w14:textId="77777777" w:rsidR="009620A9" w:rsidRPr="002B55E9" w:rsidRDefault="009620A9" w:rsidP="009620A9">
            <w:pPr>
              <w:pStyle w:val="lgy-"/>
              <w:rPr>
                <w:rFonts w:eastAsia="宋体"/>
              </w:rPr>
            </w:pPr>
            <w:r w:rsidRPr="002B55E9">
              <w:rPr>
                <w:rFonts w:eastAsia="宋体"/>
              </w:rPr>
              <w:t xml:space="preserve">11 </w:t>
            </w:r>
          </w:p>
        </w:tc>
        <w:tc>
          <w:tcPr>
            <w:tcW w:w="585" w:type="dxa"/>
            <w:hideMark/>
          </w:tcPr>
          <w:p w14:paraId="26D989FD" w14:textId="77777777" w:rsidR="009620A9" w:rsidRPr="002B55E9" w:rsidRDefault="009620A9" w:rsidP="009620A9">
            <w:pPr>
              <w:pStyle w:val="lgy-"/>
              <w:rPr>
                <w:rFonts w:eastAsia="宋体"/>
              </w:rPr>
            </w:pPr>
            <w:r w:rsidRPr="002B55E9">
              <w:rPr>
                <w:rFonts w:eastAsia="宋体"/>
              </w:rPr>
              <w:t xml:space="preserve">216 </w:t>
            </w:r>
          </w:p>
        </w:tc>
        <w:tc>
          <w:tcPr>
            <w:tcW w:w="585" w:type="dxa"/>
            <w:hideMark/>
          </w:tcPr>
          <w:p w14:paraId="028F6516" w14:textId="6634ECE6" w:rsidR="009620A9" w:rsidRPr="002B55E9" w:rsidRDefault="009620A9" w:rsidP="009620A9">
            <w:pPr>
              <w:pStyle w:val="lgy-"/>
              <w:rPr>
                <w:rFonts w:eastAsia="宋体"/>
              </w:rPr>
            </w:pPr>
          </w:p>
        </w:tc>
        <w:tc>
          <w:tcPr>
            <w:tcW w:w="714" w:type="dxa"/>
            <w:hideMark/>
          </w:tcPr>
          <w:p w14:paraId="5225BCFB" w14:textId="77777777" w:rsidR="009620A9" w:rsidRPr="002B55E9" w:rsidRDefault="009620A9" w:rsidP="009620A9">
            <w:pPr>
              <w:pStyle w:val="lgy-"/>
              <w:rPr>
                <w:rFonts w:eastAsia="宋体"/>
              </w:rPr>
            </w:pPr>
            <w:r w:rsidRPr="002B55E9">
              <w:rPr>
                <w:rFonts w:eastAsia="宋体"/>
              </w:rPr>
              <w:t xml:space="preserve">11 </w:t>
            </w:r>
          </w:p>
        </w:tc>
        <w:tc>
          <w:tcPr>
            <w:tcW w:w="671" w:type="dxa"/>
            <w:hideMark/>
          </w:tcPr>
          <w:p w14:paraId="0CCFC7AD" w14:textId="77777777" w:rsidR="009620A9" w:rsidRPr="002B55E9" w:rsidRDefault="009620A9" w:rsidP="009620A9">
            <w:pPr>
              <w:pStyle w:val="lgy-"/>
              <w:rPr>
                <w:rFonts w:eastAsia="宋体"/>
              </w:rPr>
            </w:pPr>
            <w:r w:rsidRPr="002B55E9">
              <w:rPr>
                <w:rFonts w:eastAsia="宋体"/>
              </w:rPr>
              <w:t xml:space="preserve">0 </w:t>
            </w:r>
          </w:p>
        </w:tc>
        <w:tc>
          <w:tcPr>
            <w:tcW w:w="613" w:type="dxa"/>
            <w:hideMark/>
          </w:tcPr>
          <w:p w14:paraId="1A2BDDD7" w14:textId="77777777" w:rsidR="009620A9" w:rsidRPr="002B55E9" w:rsidRDefault="009620A9" w:rsidP="009620A9">
            <w:pPr>
              <w:pStyle w:val="lgy-"/>
              <w:rPr>
                <w:rFonts w:eastAsia="宋体"/>
              </w:rPr>
            </w:pPr>
            <w:r w:rsidRPr="002B55E9">
              <w:rPr>
                <w:rFonts w:eastAsia="宋体"/>
              </w:rPr>
              <w:t xml:space="preserve">377 </w:t>
            </w:r>
          </w:p>
        </w:tc>
        <w:tc>
          <w:tcPr>
            <w:tcW w:w="613" w:type="dxa"/>
            <w:hideMark/>
          </w:tcPr>
          <w:p w14:paraId="1FEA381B" w14:textId="77777777" w:rsidR="009620A9" w:rsidRPr="002B55E9" w:rsidRDefault="009620A9" w:rsidP="009620A9">
            <w:pPr>
              <w:pStyle w:val="lgy-"/>
              <w:rPr>
                <w:rFonts w:eastAsia="宋体"/>
              </w:rPr>
            </w:pPr>
            <w:r w:rsidRPr="002B55E9">
              <w:rPr>
                <w:rFonts w:eastAsia="宋体"/>
              </w:rPr>
              <w:t xml:space="preserve">523 </w:t>
            </w:r>
          </w:p>
        </w:tc>
        <w:tc>
          <w:tcPr>
            <w:tcW w:w="736" w:type="dxa"/>
            <w:hideMark/>
          </w:tcPr>
          <w:p w14:paraId="777723B8" w14:textId="77777777" w:rsidR="009620A9" w:rsidRPr="002B55E9" w:rsidRDefault="009620A9" w:rsidP="009620A9">
            <w:pPr>
              <w:pStyle w:val="lgy-"/>
              <w:rPr>
                <w:rFonts w:eastAsia="宋体"/>
              </w:rPr>
            </w:pPr>
            <w:r w:rsidRPr="002B55E9">
              <w:rPr>
                <w:rFonts w:eastAsia="宋体"/>
              </w:rPr>
              <w:t xml:space="preserve">173 </w:t>
            </w:r>
          </w:p>
        </w:tc>
      </w:tr>
    </w:tbl>
    <w:p w14:paraId="74A11D3F" w14:textId="019EB386" w:rsidR="0020369B" w:rsidRPr="002B55E9" w:rsidRDefault="009620A9" w:rsidP="009620A9">
      <w:pPr>
        <w:pStyle w:val="1f3"/>
        <w:spacing w:beforeLines="0" w:before="0"/>
        <w:ind w:firstLineChars="200" w:firstLine="482"/>
        <w:jc w:val="left"/>
      </w:pPr>
      <w:r w:rsidRPr="002B55E9">
        <w:rPr>
          <w:rFonts w:hint="eastAsia"/>
        </w:rPr>
        <w:t>拟建项目日平均用水平衡见下图。</w:t>
      </w:r>
    </w:p>
    <w:p w14:paraId="06D572F1" w14:textId="77777777" w:rsidR="00AD4C34" w:rsidRPr="002B55E9" w:rsidRDefault="00AD4C34" w:rsidP="009620A9">
      <w:pPr>
        <w:pStyle w:val="1f3"/>
        <w:spacing w:beforeLines="0" w:before="0"/>
        <w:ind w:firstLineChars="200" w:firstLine="482"/>
        <w:jc w:val="left"/>
        <w:rPr>
          <w:rFonts w:ascii="黑体" w:hAnsi="黑体"/>
        </w:rPr>
      </w:pPr>
    </w:p>
    <w:tbl>
      <w:tblPr>
        <w:tblStyle w:val="afff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54"/>
      </w:tblGrid>
      <w:tr w:rsidR="002B55E9" w:rsidRPr="002B55E9" w14:paraId="1D5AD45F" w14:textId="77777777" w:rsidTr="00A25639">
        <w:tc>
          <w:tcPr>
            <w:tcW w:w="9608" w:type="dxa"/>
          </w:tcPr>
          <w:p w14:paraId="77A8AF52" w14:textId="17712406" w:rsidR="00D170E5" w:rsidRPr="002B55E9" w:rsidRDefault="00D170E5">
            <w:pPr>
              <w:pStyle w:val="lgy-"/>
            </w:pPr>
          </w:p>
        </w:tc>
      </w:tr>
    </w:tbl>
    <w:p w14:paraId="40920645" w14:textId="26EAE7DF" w:rsidR="00D170E5" w:rsidRPr="002B55E9" w:rsidRDefault="00EF27AD">
      <w:pPr>
        <w:pStyle w:val="aa"/>
        <w:adjustRightInd w:val="0"/>
        <w:snapToGrid w:val="0"/>
        <w:ind w:firstLineChars="200"/>
        <w:jc w:val="center"/>
      </w:pPr>
      <w:r w:rsidRPr="002B55E9">
        <w:rPr>
          <w:rFonts w:hint="eastAsia"/>
          <w:b/>
        </w:rPr>
        <w:t>图</w:t>
      </w:r>
      <w:r w:rsidRPr="002B55E9">
        <w:rPr>
          <w:rFonts w:hint="eastAsia"/>
          <w:b/>
        </w:rPr>
        <w:t xml:space="preserve">3-2-1  </w:t>
      </w:r>
      <w:r w:rsidRPr="002B55E9">
        <w:rPr>
          <w:rFonts w:hint="eastAsia"/>
          <w:b/>
        </w:rPr>
        <w:t>拟建</w:t>
      </w:r>
      <w:r w:rsidRPr="002B55E9">
        <w:rPr>
          <w:b/>
        </w:rPr>
        <w:t>项目</w:t>
      </w:r>
      <w:r w:rsidR="0015768C" w:rsidRPr="002B55E9">
        <w:rPr>
          <w:rFonts w:hint="eastAsia"/>
          <w:b/>
        </w:rPr>
        <w:t>日平均</w:t>
      </w:r>
      <w:r w:rsidRPr="002B55E9">
        <w:rPr>
          <w:rFonts w:hint="eastAsia"/>
          <w:b/>
        </w:rPr>
        <w:t>给排水</w:t>
      </w:r>
      <w:r w:rsidRPr="002B55E9">
        <w:rPr>
          <w:b/>
        </w:rPr>
        <w:t>平衡图</w:t>
      </w:r>
      <w:r w:rsidRPr="002B55E9">
        <w:rPr>
          <w:rFonts w:hint="eastAsia"/>
          <w:b/>
        </w:rPr>
        <w:t>（单位</w:t>
      </w:r>
      <w:r w:rsidRPr="002B55E9">
        <w:rPr>
          <w:b/>
        </w:rPr>
        <w:t>：</w:t>
      </w:r>
      <w:r w:rsidRPr="002B55E9">
        <w:rPr>
          <w:b/>
        </w:rPr>
        <w:t>m</w:t>
      </w:r>
      <w:r w:rsidRPr="002B55E9">
        <w:rPr>
          <w:b/>
          <w:vertAlign w:val="superscript"/>
        </w:rPr>
        <w:t>3</w:t>
      </w:r>
      <w:r w:rsidRPr="002B55E9">
        <w:rPr>
          <w:b/>
        </w:rPr>
        <w:t>/</w:t>
      </w:r>
      <w:r w:rsidR="0015768C" w:rsidRPr="002B55E9">
        <w:rPr>
          <w:b/>
        </w:rPr>
        <w:t>d</w:t>
      </w:r>
      <w:r w:rsidRPr="002B55E9">
        <w:rPr>
          <w:rFonts w:hint="eastAsia"/>
          <w:b/>
        </w:rPr>
        <w:t>）</w:t>
      </w:r>
    </w:p>
    <w:p w14:paraId="3B5F664B" w14:textId="04E7786C" w:rsidR="00890665" w:rsidRPr="002B55E9" w:rsidRDefault="00890665" w:rsidP="00890665">
      <w:pPr>
        <w:pStyle w:val="aa"/>
        <w:adjustRightInd w:val="0"/>
        <w:snapToGrid w:val="0"/>
        <w:ind w:firstLineChars="200" w:firstLine="480"/>
      </w:pPr>
      <w:r w:rsidRPr="002B55E9">
        <w:rPr>
          <w:rFonts w:hint="eastAsia"/>
        </w:rPr>
        <w:t>拟建项目</w:t>
      </w:r>
      <w:r w:rsidR="000B7CEC" w:rsidRPr="002B55E9">
        <w:rPr>
          <w:rFonts w:hint="eastAsia"/>
        </w:rPr>
        <w:t>日</w:t>
      </w:r>
      <w:r w:rsidR="000B7CEC" w:rsidRPr="002B55E9">
        <w:t>最大用</w:t>
      </w:r>
      <w:r w:rsidR="00957C5B" w:rsidRPr="002B55E9">
        <w:rPr>
          <w:rFonts w:hint="eastAsia"/>
        </w:rPr>
        <w:t>水</w:t>
      </w:r>
      <w:r w:rsidR="000B7CEC" w:rsidRPr="002B55E9">
        <w:t>、排水</w:t>
      </w:r>
      <w:r w:rsidRPr="002B55E9">
        <w:rPr>
          <w:rFonts w:hint="eastAsia"/>
        </w:rPr>
        <w:t>量</w:t>
      </w:r>
      <w:r w:rsidR="000B7CEC" w:rsidRPr="002B55E9">
        <w:rPr>
          <w:rFonts w:hint="eastAsia"/>
        </w:rPr>
        <w:t>及</w:t>
      </w:r>
      <w:r w:rsidR="000B7CEC" w:rsidRPr="002B55E9">
        <w:t>排放规律</w:t>
      </w:r>
      <w:r w:rsidRPr="002B55E9">
        <w:rPr>
          <w:rFonts w:hint="eastAsia"/>
        </w:rPr>
        <w:t>见下表。</w:t>
      </w:r>
    </w:p>
    <w:p w14:paraId="038DC441" w14:textId="41F04C57" w:rsidR="000B7CEC" w:rsidRPr="002B55E9" w:rsidRDefault="000B7CEC" w:rsidP="000B7CEC">
      <w:pPr>
        <w:pStyle w:val="1f3"/>
        <w:spacing w:beforeLines="0" w:before="0"/>
      </w:pPr>
      <w:r w:rsidRPr="002B55E9">
        <w:rPr>
          <w:rFonts w:ascii="黑体" w:hAnsi="黑体"/>
        </w:rPr>
        <w:t>表</w:t>
      </w:r>
      <w:r w:rsidRPr="002B55E9">
        <w:t>3-2-1</w:t>
      </w:r>
      <w:r w:rsidR="00996BE5" w:rsidRPr="002B55E9">
        <w:t>4</w:t>
      </w:r>
      <w:r w:rsidRPr="002B55E9">
        <w:rPr>
          <w:rFonts w:ascii="黑体" w:hAnsi="黑体"/>
        </w:rPr>
        <w:t xml:space="preserve"> </w:t>
      </w:r>
      <w:r w:rsidRPr="002B55E9">
        <w:rPr>
          <w:rFonts w:ascii="黑体" w:hAnsi="黑体" w:hint="eastAsia"/>
        </w:rPr>
        <w:t xml:space="preserve"> 拟建项目日最大用、排水量及排放规律一览表</w:t>
      </w:r>
    </w:p>
    <w:tbl>
      <w:tblPr>
        <w:tblStyle w:val="lgy2"/>
        <w:tblW w:w="5000" w:type="pct"/>
        <w:tblCellMar>
          <w:left w:w="28" w:type="dxa"/>
          <w:right w:w="28" w:type="dxa"/>
        </w:tblCellMar>
        <w:tblLook w:val="04A0" w:firstRow="1" w:lastRow="0" w:firstColumn="1" w:lastColumn="0" w:noHBand="0" w:noVBand="1"/>
      </w:tblPr>
      <w:tblGrid>
        <w:gridCol w:w="1710"/>
        <w:gridCol w:w="999"/>
        <w:gridCol w:w="900"/>
        <w:gridCol w:w="1053"/>
        <w:gridCol w:w="849"/>
        <w:gridCol w:w="1142"/>
        <w:gridCol w:w="1030"/>
        <w:gridCol w:w="1006"/>
        <w:gridCol w:w="1005"/>
      </w:tblGrid>
      <w:tr w:rsidR="002B55E9" w:rsidRPr="002B55E9" w14:paraId="678E62DE" w14:textId="77777777" w:rsidTr="000B7CEC">
        <w:trPr>
          <w:cnfStyle w:val="100000000000" w:firstRow="1" w:lastRow="0" w:firstColumn="0" w:lastColumn="0" w:oddVBand="0" w:evenVBand="0" w:oddHBand="0" w:evenHBand="0" w:firstRowFirstColumn="0" w:firstRowLastColumn="0" w:lastRowFirstColumn="0" w:lastRowLastColumn="0"/>
          <w:trHeight w:val="283"/>
        </w:trPr>
        <w:tc>
          <w:tcPr>
            <w:tcW w:w="1701" w:type="dxa"/>
            <w:vMerge w:val="restart"/>
            <w:noWrap/>
            <w:hideMark/>
          </w:tcPr>
          <w:p w14:paraId="097BE72A" w14:textId="77777777" w:rsidR="000B7CEC" w:rsidRPr="002B55E9" w:rsidRDefault="000B7CEC" w:rsidP="000B7CEC">
            <w:pPr>
              <w:pStyle w:val="lgy-"/>
              <w:rPr>
                <w:rFonts w:eastAsia="宋体"/>
              </w:rPr>
            </w:pPr>
            <w:r w:rsidRPr="002B55E9">
              <w:rPr>
                <w:rFonts w:eastAsia="宋体" w:hint="eastAsia"/>
              </w:rPr>
              <w:t>用排水环节</w:t>
            </w:r>
          </w:p>
        </w:tc>
        <w:tc>
          <w:tcPr>
            <w:tcW w:w="3779" w:type="dxa"/>
            <w:gridSpan w:val="4"/>
            <w:hideMark/>
          </w:tcPr>
          <w:p w14:paraId="715FF80B" w14:textId="77777777" w:rsidR="000B7CEC" w:rsidRPr="002B55E9" w:rsidRDefault="000B7CEC" w:rsidP="000B7CEC">
            <w:pPr>
              <w:pStyle w:val="lgy-"/>
              <w:rPr>
                <w:rFonts w:eastAsia="宋体"/>
                <w:szCs w:val="22"/>
              </w:rPr>
            </w:pPr>
            <w:r w:rsidRPr="002B55E9">
              <w:rPr>
                <w:rFonts w:eastAsia="宋体" w:hint="eastAsia"/>
                <w:szCs w:val="22"/>
              </w:rPr>
              <w:t>日最大用水</w:t>
            </w:r>
            <w:r w:rsidRPr="002B55E9">
              <w:rPr>
                <w:rFonts w:eastAsia="宋体" w:hint="eastAsia"/>
                <w:szCs w:val="22"/>
              </w:rPr>
              <w:t>m</w:t>
            </w:r>
            <w:r w:rsidRPr="002B55E9">
              <w:rPr>
                <w:rFonts w:eastAsia="宋体" w:hint="eastAsia"/>
                <w:szCs w:val="22"/>
                <w:vertAlign w:val="superscript"/>
              </w:rPr>
              <w:t>3</w:t>
            </w:r>
            <w:r w:rsidRPr="002B55E9">
              <w:rPr>
                <w:rFonts w:eastAsia="宋体" w:hint="eastAsia"/>
                <w:szCs w:val="22"/>
              </w:rPr>
              <w:t>/a</w:t>
            </w:r>
          </w:p>
        </w:tc>
        <w:tc>
          <w:tcPr>
            <w:tcW w:w="3159" w:type="dxa"/>
            <w:gridSpan w:val="3"/>
            <w:noWrap/>
            <w:hideMark/>
          </w:tcPr>
          <w:p w14:paraId="09BBAA45" w14:textId="77777777" w:rsidR="000B7CEC" w:rsidRPr="002B55E9" w:rsidRDefault="000B7CEC" w:rsidP="000B7CEC">
            <w:pPr>
              <w:pStyle w:val="lgy-"/>
              <w:rPr>
                <w:rFonts w:eastAsia="宋体"/>
              </w:rPr>
            </w:pPr>
            <w:r w:rsidRPr="002B55E9">
              <w:rPr>
                <w:rFonts w:eastAsia="宋体" w:hint="eastAsia"/>
              </w:rPr>
              <w:t>排水特征</w:t>
            </w:r>
          </w:p>
        </w:tc>
        <w:tc>
          <w:tcPr>
            <w:tcW w:w="999" w:type="dxa"/>
            <w:vMerge w:val="restart"/>
            <w:hideMark/>
          </w:tcPr>
          <w:p w14:paraId="7F7FDEAC" w14:textId="77777777" w:rsidR="000B7CEC" w:rsidRPr="002B55E9" w:rsidRDefault="000B7CEC" w:rsidP="000B7CEC">
            <w:pPr>
              <w:pStyle w:val="lgy-"/>
              <w:rPr>
                <w:rFonts w:eastAsia="宋体"/>
              </w:rPr>
            </w:pPr>
            <w:r w:rsidRPr="002B55E9">
              <w:rPr>
                <w:rFonts w:eastAsia="宋体" w:hint="eastAsia"/>
              </w:rPr>
              <w:t>年排放量</w:t>
            </w:r>
            <w:r w:rsidRPr="002B55E9">
              <w:rPr>
                <w:rFonts w:eastAsia="宋体"/>
              </w:rPr>
              <w:t>m</w:t>
            </w:r>
            <w:r w:rsidRPr="002B55E9">
              <w:rPr>
                <w:rFonts w:eastAsia="宋体"/>
                <w:vertAlign w:val="superscript"/>
              </w:rPr>
              <w:t>3</w:t>
            </w:r>
            <w:r w:rsidRPr="002B55E9">
              <w:rPr>
                <w:rFonts w:eastAsia="宋体"/>
              </w:rPr>
              <w:t>/a</w:t>
            </w:r>
          </w:p>
        </w:tc>
      </w:tr>
      <w:tr w:rsidR="002B55E9" w:rsidRPr="002B55E9" w14:paraId="44F97157" w14:textId="77777777" w:rsidTr="000B7CEC">
        <w:trPr>
          <w:trHeight w:val="283"/>
        </w:trPr>
        <w:tc>
          <w:tcPr>
            <w:tcW w:w="1701" w:type="dxa"/>
            <w:vMerge/>
            <w:hideMark/>
          </w:tcPr>
          <w:p w14:paraId="5C73DE8D" w14:textId="77777777" w:rsidR="000B7CEC" w:rsidRPr="002B55E9" w:rsidRDefault="000B7CEC" w:rsidP="000B7CEC">
            <w:pPr>
              <w:pStyle w:val="lgy-"/>
              <w:rPr>
                <w:rFonts w:eastAsia="宋体"/>
              </w:rPr>
            </w:pPr>
          </w:p>
        </w:tc>
        <w:tc>
          <w:tcPr>
            <w:tcW w:w="993" w:type="dxa"/>
            <w:hideMark/>
          </w:tcPr>
          <w:p w14:paraId="642DA362" w14:textId="77777777" w:rsidR="000B7CEC" w:rsidRPr="002B55E9" w:rsidRDefault="000B7CEC" w:rsidP="000B7CEC">
            <w:pPr>
              <w:pStyle w:val="lgy-"/>
              <w:rPr>
                <w:rFonts w:eastAsia="宋体"/>
                <w:szCs w:val="22"/>
              </w:rPr>
            </w:pPr>
            <w:r w:rsidRPr="002B55E9">
              <w:rPr>
                <w:rFonts w:eastAsia="宋体" w:hint="eastAsia"/>
                <w:szCs w:val="22"/>
              </w:rPr>
              <w:t>自来水</w:t>
            </w:r>
          </w:p>
        </w:tc>
        <w:tc>
          <w:tcPr>
            <w:tcW w:w="895" w:type="dxa"/>
            <w:noWrap/>
            <w:hideMark/>
          </w:tcPr>
          <w:p w14:paraId="45E1D07A" w14:textId="77777777" w:rsidR="000B7CEC" w:rsidRPr="002B55E9" w:rsidRDefault="000B7CEC" w:rsidP="000B7CEC">
            <w:pPr>
              <w:pStyle w:val="lgy-"/>
              <w:rPr>
                <w:rFonts w:eastAsia="宋体"/>
                <w:szCs w:val="22"/>
              </w:rPr>
            </w:pPr>
            <w:r w:rsidRPr="002B55E9">
              <w:rPr>
                <w:rFonts w:eastAsia="宋体" w:hint="eastAsia"/>
                <w:szCs w:val="22"/>
              </w:rPr>
              <w:t>工艺水</w:t>
            </w:r>
          </w:p>
        </w:tc>
        <w:tc>
          <w:tcPr>
            <w:tcW w:w="1047" w:type="dxa"/>
            <w:noWrap/>
            <w:hideMark/>
          </w:tcPr>
          <w:p w14:paraId="0307A50D" w14:textId="77777777" w:rsidR="000B7CEC" w:rsidRPr="002B55E9" w:rsidRDefault="000B7CEC" w:rsidP="000B7CEC">
            <w:pPr>
              <w:pStyle w:val="lgy-"/>
              <w:rPr>
                <w:rFonts w:eastAsia="宋体"/>
                <w:szCs w:val="22"/>
              </w:rPr>
            </w:pPr>
            <w:r w:rsidRPr="002B55E9">
              <w:rPr>
                <w:rFonts w:eastAsia="宋体" w:hint="eastAsia"/>
                <w:szCs w:val="22"/>
              </w:rPr>
              <w:t>蒸汽冷凝水</w:t>
            </w:r>
          </w:p>
        </w:tc>
        <w:tc>
          <w:tcPr>
            <w:tcW w:w="844" w:type="dxa"/>
            <w:noWrap/>
            <w:hideMark/>
          </w:tcPr>
          <w:p w14:paraId="57539733" w14:textId="77777777" w:rsidR="000B7CEC" w:rsidRPr="002B55E9" w:rsidRDefault="000B7CEC" w:rsidP="000B7CEC">
            <w:pPr>
              <w:pStyle w:val="lgy-"/>
              <w:rPr>
                <w:rFonts w:eastAsia="宋体"/>
                <w:szCs w:val="22"/>
              </w:rPr>
            </w:pPr>
            <w:r w:rsidRPr="002B55E9">
              <w:rPr>
                <w:rFonts w:eastAsia="宋体" w:hint="eastAsia"/>
                <w:szCs w:val="22"/>
              </w:rPr>
              <w:t>工业蒸汽</w:t>
            </w:r>
          </w:p>
        </w:tc>
        <w:tc>
          <w:tcPr>
            <w:tcW w:w="1135" w:type="dxa"/>
            <w:hideMark/>
          </w:tcPr>
          <w:p w14:paraId="3CDC5134" w14:textId="77777777" w:rsidR="000B7CEC" w:rsidRPr="002B55E9" w:rsidRDefault="000B7CEC" w:rsidP="000B7CEC">
            <w:pPr>
              <w:pStyle w:val="lgy-"/>
              <w:rPr>
                <w:rFonts w:eastAsia="宋体"/>
              </w:rPr>
            </w:pPr>
            <w:r w:rsidRPr="002B55E9">
              <w:rPr>
                <w:rFonts w:eastAsia="宋体" w:hint="eastAsia"/>
              </w:rPr>
              <w:t>日最大排水量</w:t>
            </w:r>
            <w:r w:rsidRPr="002B55E9">
              <w:rPr>
                <w:rFonts w:eastAsia="宋体" w:hint="eastAsia"/>
              </w:rPr>
              <w:t>m</w:t>
            </w:r>
            <w:r w:rsidRPr="002B55E9">
              <w:rPr>
                <w:rFonts w:eastAsia="宋体" w:hint="eastAsia"/>
                <w:vertAlign w:val="superscript"/>
              </w:rPr>
              <w:t>3</w:t>
            </w:r>
            <w:r w:rsidRPr="002B55E9">
              <w:rPr>
                <w:rFonts w:eastAsia="宋体" w:hint="eastAsia"/>
              </w:rPr>
              <w:t>/a</w:t>
            </w:r>
          </w:p>
        </w:tc>
        <w:tc>
          <w:tcPr>
            <w:tcW w:w="1024" w:type="dxa"/>
            <w:noWrap/>
            <w:hideMark/>
          </w:tcPr>
          <w:p w14:paraId="6B2401EB" w14:textId="77777777" w:rsidR="000B7CEC" w:rsidRPr="002B55E9" w:rsidRDefault="000B7CEC" w:rsidP="000B7CEC">
            <w:pPr>
              <w:pStyle w:val="lgy-"/>
              <w:rPr>
                <w:rFonts w:eastAsia="宋体"/>
              </w:rPr>
            </w:pPr>
            <w:r w:rsidRPr="002B55E9">
              <w:rPr>
                <w:rFonts w:eastAsia="宋体" w:hint="eastAsia"/>
              </w:rPr>
              <w:t>排放周期</w:t>
            </w:r>
          </w:p>
        </w:tc>
        <w:tc>
          <w:tcPr>
            <w:tcW w:w="1000" w:type="dxa"/>
            <w:hideMark/>
          </w:tcPr>
          <w:p w14:paraId="5F6A7FE4" w14:textId="77777777" w:rsidR="000B7CEC" w:rsidRPr="002B55E9" w:rsidRDefault="000B7CEC" w:rsidP="000B7CEC">
            <w:pPr>
              <w:pStyle w:val="lgy-"/>
              <w:rPr>
                <w:rFonts w:eastAsia="宋体"/>
              </w:rPr>
            </w:pPr>
            <w:r w:rsidRPr="002B55E9">
              <w:rPr>
                <w:rFonts w:eastAsia="宋体" w:hint="eastAsia"/>
              </w:rPr>
              <w:t>排放规律</w:t>
            </w:r>
          </w:p>
        </w:tc>
        <w:tc>
          <w:tcPr>
            <w:tcW w:w="999" w:type="dxa"/>
            <w:vMerge/>
            <w:hideMark/>
          </w:tcPr>
          <w:p w14:paraId="13B940D9" w14:textId="77777777" w:rsidR="000B7CEC" w:rsidRPr="002B55E9" w:rsidRDefault="000B7CEC" w:rsidP="000B7CEC">
            <w:pPr>
              <w:pStyle w:val="lgy-"/>
              <w:rPr>
                <w:rFonts w:eastAsia="宋体"/>
              </w:rPr>
            </w:pPr>
          </w:p>
        </w:tc>
      </w:tr>
      <w:tr w:rsidR="002B55E9" w:rsidRPr="002B55E9" w14:paraId="17A5719A" w14:textId="77777777" w:rsidTr="003E2FA0">
        <w:trPr>
          <w:trHeight w:val="283"/>
        </w:trPr>
        <w:tc>
          <w:tcPr>
            <w:tcW w:w="1701" w:type="dxa"/>
            <w:noWrap/>
            <w:hideMark/>
          </w:tcPr>
          <w:p w14:paraId="307DEC66" w14:textId="77777777" w:rsidR="000B7CEC" w:rsidRPr="002B55E9" w:rsidRDefault="000B7CEC" w:rsidP="000B7CEC">
            <w:pPr>
              <w:pStyle w:val="lgy-"/>
              <w:rPr>
                <w:rFonts w:eastAsia="宋体"/>
              </w:rPr>
            </w:pPr>
            <w:r w:rsidRPr="002B55E9">
              <w:rPr>
                <w:rFonts w:eastAsia="宋体" w:hint="eastAsia"/>
              </w:rPr>
              <w:t>工艺用水</w:t>
            </w:r>
          </w:p>
        </w:tc>
        <w:tc>
          <w:tcPr>
            <w:tcW w:w="993" w:type="dxa"/>
            <w:noWrap/>
          </w:tcPr>
          <w:p w14:paraId="69E2DE11" w14:textId="6A7FC64E" w:rsidR="000B7CEC" w:rsidRPr="002B55E9" w:rsidRDefault="000B7CEC" w:rsidP="000B7CEC">
            <w:pPr>
              <w:pStyle w:val="lgy-"/>
              <w:rPr>
                <w:rFonts w:eastAsia="宋体"/>
                <w:szCs w:val="22"/>
              </w:rPr>
            </w:pPr>
          </w:p>
        </w:tc>
        <w:tc>
          <w:tcPr>
            <w:tcW w:w="895" w:type="dxa"/>
          </w:tcPr>
          <w:p w14:paraId="3F6E2A49" w14:textId="68E1F297" w:rsidR="000B7CEC" w:rsidRPr="002B55E9" w:rsidRDefault="000B7CEC" w:rsidP="000B7CEC">
            <w:pPr>
              <w:pStyle w:val="lgy-"/>
              <w:rPr>
                <w:rFonts w:eastAsia="宋体"/>
                <w:szCs w:val="22"/>
              </w:rPr>
            </w:pPr>
          </w:p>
        </w:tc>
        <w:tc>
          <w:tcPr>
            <w:tcW w:w="1047" w:type="dxa"/>
            <w:noWrap/>
          </w:tcPr>
          <w:p w14:paraId="005912E2" w14:textId="3F247541" w:rsidR="000B7CEC" w:rsidRPr="002B55E9" w:rsidRDefault="000B7CEC" w:rsidP="000B7CEC">
            <w:pPr>
              <w:pStyle w:val="lgy-"/>
              <w:rPr>
                <w:rFonts w:eastAsia="宋体"/>
                <w:szCs w:val="22"/>
              </w:rPr>
            </w:pPr>
          </w:p>
        </w:tc>
        <w:tc>
          <w:tcPr>
            <w:tcW w:w="844" w:type="dxa"/>
            <w:noWrap/>
          </w:tcPr>
          <w:p w14:paraId="74360BD7" w14:textId="74B315C1" w:rsidR="000B7CEC" w:rsidRPr="002B55E9" w:rsidRDefault="000B7CEC" w:rsidP="000B7CEC">
            <w:pPr>
              <w:pStyle w:val="lgy-"/>
              <w:rPr>
                <w:rFonts w:eastAsia="宋体"/>
                <w:szCs w:val="22"/>
              </w:rPr>
            </w:pPr>
          </w:p>
        </w:tc>
        <w:tc>
          <w:tcPr>
            <w:tcW w:w="1135" w:type="dxa"/>
          </w:tcPr>
          <w:p w14:paraId="58712999" w14:textId="15567079" w:rsidR="000B7CEC" w:rsidRPr="002B55E9" w:rsidRDefault="000B7CEC" w:rsidP="000B7CEC">
            <w:pPr>
              <w:pStyle w:val="lgy-"/>
              <w:rPr>
                <w:rFonts w:eastAsia="宋体"/>
              </w:rPr>
            </w:pPr>
          </w:p>
        </w:tc>
        <w:tc>
          <w:tcPr>
            <w:tcW w:w="1024" w:type="dxa"/>
            <w:noWrap/>
            <w:hideMark/>
          </w:tcPr>
          <w:p w14:paraId="0855A96D" w14:textId="77777777" w:rsidR="000B7CEC" w:rsidRPr="002B55E9" w:rsidRDefault="000B7CEC" w:rsidP="000B7CEC">
            <w:pPr>
              <w:pStyle w:val="lgy-"/>
              <w:rPr>
                <w:rFonts w:eastAsia="宋体"/>
              </w:rPr>
            </w:pPr>
            <w:r w:rsidRPr="002B55E9">
              <w:rPr>
                <w:rFonts w:eastAsia="宋体" w:hint="eastAsia"/>
              </w:rPr>
              <w:t>/</w:t>
            </w:r>
          </w:p>
        </w:tc>
        <w:tc>
          <w:tcPr>
            <w:tcW w:w="1000" w:type="dxa"/>
            <w:hideMark/>
          </w:tcPr>
          <w:p w14:paraId="59518214" w14:textId="77777777" w:rsidR="000B7CEC" w:rsidRPr="002B55E9" w:rsidRDefault="000B7CEC" w:rsidP="000B7CEC">
            <w:pPr>
              <w:pStyle w:val="lgy-"/>
              <w:rPr>
                <w:rFonts w:eastAsia="宋体"/>
              </w:rPr>
            </w:pPr>
            <w:r w:rsidRPr="002B55E9">
              <w:rPr>
                <w:rFonts w:eastAsia="宋体" w:hint="eastAsia"/>
              </w:rPr>
              <w:t>/</w:t>
            </w:r>
          </w:p>
        </w:tc>
        <w:tc>
          <w:tcPr>
            <w:tcW w:w="999" w:type="dxa"/>
            <w:hideMark/>
          </w:tcPr>
          <w:p w14:paraId="26F81E0C" w14:textId="77777777" w:rsidR="000B7CEC" w:rsidRPr="002B55E9" w:rsidRDefault="000B7CEC" w:rsidP="000B7CEC">
            <w:pPr>
              <w:pStyle w:val="lgy-"/>
              <w:rPr>
                <w:rFonts w:eastAsia="宋体"/>
              </w:rPr>
            </w:pPr>
            <w:r w:rsidRPr="002B55E9">
              <w:rPr>
                <w:rFonts w:eastAsia="宋体" w:hint="eastAsia"/>
              </w:rPr>
              <w:t>0</w:t>
            </w:r>
          </w:p>
        </w:tc>
      </w:tr>
      <w:tr w:rsidR="002B55E9" w:rsidRPr="002B55E9" w14:paraId="00D27F09" w14:textId="77777777" w:rsidTr="000B7CEC">
        <w:trPr>
          <w:trHeight w:val="283"/>
        </w:trPr>
        <w:tc>
          <w:tcPr>
            <w:tcW w:w="1701" w:type="dxa"/>
            <w:hideMark/>
          </w:tcPr>
          <w:p w14:paraId="4103E01C" w14:textId="77777777" w:rsidR="000B7CEC" w:rsidRPr="002B55E9" w:rsidRDefault="000B7CEC" w:rsidP="000B7CEC">
            <w:pPr>
              <w:pStyle w:val="lgy-"/>
              <w:rPr>
                <w:rFonts w:eastAsia="宋体"/>
              </w:rPr>
            </w:pPr>
            <w:r w:rsidRPr="002B55E9">
              <w:rPr>
                <w:rFonts w:eastAsia="宋体" w:hint="eastAsia"/>
              </w:rPr>
              <w:t>化验室用排水</w:t>
            </w:r>
          </w:p>
        </w:tc>
        <w:tc>
          <w:tcPr>
            <w:tcW w:w="993" w:type="dxa"/>
            <w:noWrap/>
            <w:hideMark/>
          </w:tcPr>
          <w:p w14:paraId="4CB970BB" w14:textId="77777777" w:rsidR="000B7CEC" w:rsidRPr="002B55E9" w:rsidRDefault="000B7CEC" w:rsidP="000B7CEC">
            <w:pPr>
              <w:pStyle w:val="lgy-"/>
              <w:rPr>
                <w:rFonts w:eastAsia="宋体"/>
                <w:szCs w:val="22"/>
              </w:rPr>
            </w:pPr>
            <w:r w:rsidRPr="002B55E9">
              <w:rPr>
                <w:rFonts w:eastAsia="宋体" w:hint="eastAsia"/>
                <w:szCs w:val="22"/>
              </w:rPr>
              <w:t xml:space="preserve">1.10 </w:t>
            </w:r>
          </w:p>
        </w:tc>
        <w:tc>
          <w:tcPr>
            <w:tcW w:w="895" w:type="dxa"/>
            <w:noWrap/>
            <w:hideMark/>
          </w:tcPr>
          <w:p w14:paraId="0126989E"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40B9A157"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2C6F6C70" w14:textId="77777777" w:rsidR="000B7CEC" w:rsidRPr="002B55E9" w:rsidRDefault="000B7CEC" w:rsidP="000B7CEC">
            <w:pPr>
              <w:pStyle w:val="lgy-"/>
              <w:rPr>
                <w:rFonts w:eastAsia="宋体"/>
                <w:szCs w:val="22"/>
              </w:rPr>
            </w:pPr>
          </w:p>
        </w:tc>
        <w:tc>
          <w:tcPr>
            <w:tcW w:w="1135" w:type="dxa"/>
            <w:noWrap/>
            <w:hideMark/>
          </w:tcPr>
          <w:p w14:paraId="499FBDDC" w14:textId="77777777" w:rsidR="000B7CEC" w:rsidRPr="002B55E9" w:rsidRDefault="000B7CEC" w:rsidP="000B7CEC">
            <w:pPr>
              <w:pStyle w:val="lgy-"/>
              <w:rPr>
                <w:rFonts w:eastAsia="宋体"/>
              </w:rPr>
            </w:pPr>
            <w:r w:rsidRPr="002B55E9">
              <w:rPr>
                <w:rFonts w:eastAsia="宋体"/>
              </w:rPr>
              <w:t xml:space="preserve">1.0 </w:t>
            </w:r>
          </w:p>
        </w:tc>
        <w:tc>
          <w:tcPr>
            <w:tcW w:w="1024" w:type="dxa"/>
            <w:noWrap/>
            <w:hideMark/>
          </w:tcPr>
          <w:p w14:paraId="10436B1B"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0570978B"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4B7273D5" w14:textId="77777777" w:rsidR="000B7CEC" w:rsidRPr="002B55E9" w:rsidRDefault="000B7CEC" w:rsidP="000B7CEC">
            <w:pPr>
              <w:pStyle w:val="lgy-"/>
              <w:rPr>
                <w:rFonts w:eastAsia="宋体"/>
              </w:rPr>
            </w:pPr>
            <w:r w:rsidRPr="002B55E9">
              <w:rPr>
                <w:rFonts w:eastAsia="宋体"/>
              </w:rPr>
              <w:t>325.8</w:t>
            </w:r>
          </w:p>
        </w:tc>
      </w:tr>
      <w:tr w:rsidR="002B55E9" w:rsidRPr="002B55E9" w14:paraId="68669457" w14:textId="77777777" w:rsidTr="000B7CEC">
        <w:trPr>
          <w:trHeight w:val="283"/>
        </w:trPr>
        <w:tc>
          <w:tcPr>
            <w:tcW w:w="1701" w:type="dxa"/>
            <w:hideMark/>
          </w:tcPr>
          <w:p w14:paraId="266028C7" w14:textId="77777777" w:rsidR="000B7CEC" w:rsidRPr="002B55E9" w:rsidRDefault="000B7CEC" w:rsidP="000B7CEC">
            <w:pPr>
              <w:pStyle w:val="lgy-"/>
              <w:rPr>
                <w:rFonts w:eastAsia="宋体"/>
              </w:rPr>
            </w:pPr>
            <w:r w:rsidRPr="002B55E9">
              <w:rPr>
                <w:rFonts w:eastAsia="宋体" w:hint="eastAsia"/>
              </w:rPr>
              <w:t>制纯水用排水</w:t>
            </w:r>
          </w:p>
        </w:tc>
        <w:tc>
          <w:tcPr>
            <w:tcW w:w="993" w:type="dxa"/>
            <w:noWrap/>
            <w:hideMark/>
          </w:tcPr>
          <w:p w14:paraId="52093016" w14:textId="77777777" w:rsidR="000B7CEC" w:rsidRPr="002B55E9" w:rsidRDefault="000B7CEC" w:rsidP="000B7CEC">
            <w:pPr>
              <w:pStyle w:val="lgy-"/>
              <w:rPr>
                <w:rFonts w:eastAsia="宋体"/>
                <w:szCs w:val="22"/>
              </w:rPr>
            </w:pPr>
            <w:r w:rsidRPr="002B55E9">
              <w:rPr>
                <w:rFonts w:eastAsia="宋体" w:hint="eastAsia"/>
                <w:szCs w:val="22"/>
              </w:rPr>
              <w:t xml:space="preserve">0.13 </w:t>
            </w:r>
          </w:p>
        </w:tc>
        <w:tc>
          <w:tcPr>
            <w:tcW w:w="895" w:type="dxa"/>
            <w:noWrap/>
            <w:hideMark/>
          </w:tcPr>
          <w:p w14:paraId="4586A082"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58C87B95"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1E39F399"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304300B6" w14:textId="77777777" w:rsidR="000B7CEC" w:rsidRPr="002B55E9" w:rsidRDefault="000B7CEC" w:rsidP="000B7CEC">
            <w:pPr>
              <w:pStyle w:val="lgy-"/>
              <w:rPr>
                <w:rFonts w:eastAsia="宋体"/>
              </w:rPr>
            </w:pPr>
            <w:r w:rsidRPr="002B55E9">
              <w:rPr>
                <w:rFonts w:eastAsia="宋体"/>
              </w:rPr>
              <w:t xml:space="preserve">0.03 </w:t>
            </w:r>
          </w:p>
        </w:tc>
        <w:tc>
          <w:tcPr>
            <w:tcW w:w="1024" w:type="dxa"/>
            <w:noWrap/>
            <w:hideMark/>
          </w:tcPr>
          <w:p w14:paraId="157F0E93"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465EE9AE"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42378E9A" w14:textId="77777777" w:rsidR="000B7CEC" w:rsidRPr="002B55E9" w:rsidRDefault="000B7CEC" w:rsidP="000B7CEC">
            <w:pPr>
              <w:pStyle w:val="lgy-"/>
              <w:rPr>
                <w:rFonts w:eastAsia="宋体"/>
              </w:rPr>
            </w:pPr>
            <w:r w:rsidRPr="002B55E9">
              <w:rPr>
                <w:rFonts w:eastAsia="宋体"/>
              </w:rPr>
              <w:t>11</w:t>
            </w:r>
          </w:p>
        </w:tc>
      </w:tr>
      <w:tr w:rsidR="002B55E9" w:rsidRPr="002B55E9" w14:paraId="1B176D72" w14:textId="77777777" w:rsidTr="000B7CEC">
        <w:trPr>
          <w:trHeight w:val="283"/>
        </w:trPr>
        <w:tc>
          <w:tcPr>
            <w:tcW w:w="1701" w:type="dxa"/>
            <w:noWrap/>
            <w:hideMark/>
          </w:tcPr>
          <w:p w14:paraId="4255CB1C" w14:textId="77777777" w:rsidR="000B7CEC" w:rsidRPr="002B55E9" w:rsidRDefault="000B7CEC" w:rsidP="000B7CEC">
            <w:pPr>
              <w:pStyle w:val="lgy-"/>
              <w:rPr>
                <w:rFonts w:eastAsia="宋体"/>
              </w:rPr>
            </w:pPr>
            <w:r w:rsidRPr="002B55E9">
              <w:rPr>
                <w:rFonts w:eastAsia="宋体" w:hint="eastAsia"/>
              </w:rPr>
              <w:t>包装瓶清洗</w:t>
            </w:r>
          </w:p>
        </w:tc>
        <w:tc>
          <w:tcPr>
            <w:tcW w:w="993" w:type="dxa"/>
            <w:noWrap/>
            <w:hideMark/>
          </w:tcPr>
          <w:p w14:paraId="705DD486" w14:textId="77777777" w:rsidR="000B7CEC" w:rsidRPr="002B55E9" w:rsidRDefault="000B7CEC" w:rsidP="000B7CEC">
            <w:pPr>
              <w:pStyle w:val="lgy-"/>
              <w:rPr>
                <w:rFonts w:eastAsia="宋体"/>
                <w:szCs w:val="22"/>
              </w:rPr>
            </w:pPr>
            <w:r w:rsidRPr="002B55E9">
              <w:rPr>
                <w:rFonts w:eastAsia="宋体" w:hint="eastAsia"/>
                <w:szCs w:val="22"/>
              </w:rPr>
              <w:t xml:space="preserve">291 </w:t>
            </w:r>
          </w:p>
        </w:tc>
        <w:tc>
          <w:tcPr>
            <w:tcW w:w="895" w:type="dxa"/>
            <w:noWrap/>
            <w:hideMark/>
          </w:tcPr>
          <w:p w14:paraId="5AAF1356"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0985B16C"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68F43447"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7B8682E6" w14:textId="77777777" w:rsidR="000B7CEC" w:rsidRPr="002B55E9" w:rsidRDefault="000B7CEC" w:rsidP="000B7CEC">
            <w:pPr>
              <w:pStyle w:val="lgy-"/>
              <w:rPr>
                <w:rFonts w:eastAsia="宋体"/>
              </w:rPr>
            </w:pPr>
            <w:r w:rsidRPr="002B55E9">
              <w:rPr>
                <w:rFonts w:eastAsia="宋体"/>
              </w:rPr>
              <w:t xml:space="preserve">262 </w:t>
            </w:r>
          </w:p>
        </w:tc>
        <w:tc>
          <w:tcPr>
            <w:tcW w:w="1024" w:type="dxa"/>
            <w:noWrap/>
            <w:hideMark/>
          </w:tcPr>
          <w:p w14:paraId="72589C1A"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4C6976AC"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04FA8D9D" w14:textId="77777777" w:rsidR="000B7CEC" w:rsidRPr="002B55E9" w:rsidRDefault="000B7CEC" w:rsidP="000B7CEC">
            <w:pPr>
              <w:pStyle w:val="lgy-"/>
              <w:rPr>
                <w:rFonts w:eastAsia="宋体"/>
              </w:rPr>
            </w:pPr>
            <w:r w:rsidRPr="002B55E9">
              <w:rPr>
                <w:rFonts w:eastAsia="宋体"/>
              </w:rPr>
              <w:t>86432.4</w:t>
            </w:r>
          </w:p>
        </w:tc>
      </w:tr>
      <w:tr w:rsidR="002B55E9" w:rsidRPr="002B55E9" w14:paraId="203C60E2" w14:textId="77777777" w:rsidTr="000B7CEC">
        <w:trPr>
          <w:trHeight w:val="283"/>
        </w:trPr>
        <w:tc>
          <w:tcPr>
            <w:tcW w:w="1701" w:type="dxa"/>
            <w:noWrap/>
            <w:hideMark/>
          </w:tcPr>
          <w:p w14:paraId="6CCE64BC" w14:textId="77777777" w:rsidR="000B7CEC" w:rsidRPr="002B55E9" w:rsidRDefault="000B7CEC" w:rsidP="000B7CEC">
            <w:pPr>
              <w:pStyle w:val="lgy-"/>
              <w:rPr>
                <w:rFonts w:eastAsia="宋体"/>
              </w:rPr>
            </w:pPr>
            <w:r w:rsidRPr="002B55E9">
              <w:rPr>
                <w:rFonts w:eastAsia="宋体" w:hint="eastAsia"/>
              </w:rPr>
              <w:t>设备清洗</w:t>
            </w:r>
          </w:p>
        </w:tc>
        <w:tc>
          <w:tcPr>
            <w:tcW w:w="993" w:type="dxa"/>
            <w:noWrap/>
            <w:hideMark/>
          </w:tcPr>
          <w:p w14:paraId="44FB7496" w14:textId="77777777" w:rsidR="000B7CEC" w:rsidRPr="002B55E9" w:rsidRDefault="000B7CEC" w:rsidP="000B7CEC">
            <w:pPr>
              <w:pStyle w:val="lgy-"/>
              <w:rPr>
                <w:rFonts w:eastAsia="宋体"/>
                <w:szCs w:val="22"/>
              </w:rPr>
            </w:pPr>
            <w:r w:rsidRPr="002B55E9">
              <w:rPr>
                <w:rFonts w:eastAsia="宋体" w:hint="eastAsia"/>
                <w:szCs w:val="22"/>
              </w:rPr>
              <w:t xml:space="preserve">264 </w:t>
            </w:r>
          </w:p>
        </w:tc>
        <w:tc>
          <w:tcPr>
            <w:tcW w:w="895" w:type="dxa"/>
            <w:noWrap/>
            <w:hideMark/>
          </w:tcPr>
          <w:p w14:paraId="7DB474BB"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0EEF2CC3"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0894EE04"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547BB345" w14:textId="77777777" w:rsidR="000B7CEC" w:rsidRPr="002B55E9" w:rsidRDefault="000B7CEC" w:rsidP="000B7CEC">
            <w:pPr>
              <w:pStyle w:val="lgy-"/>
              <w:rPr>
                <w:rFonts w:eastAsia="宋体"/>
              </w:rPr>
            </w:pPr>
            <w:r w:rsidRPr="002B55E9">
              <w:rPr>
                <w:rFonts w:eastAsia="宋体"/>
              </w:rPr>
              <w:t xml:space="preserve">225 </w:t>
            </w:r>
          </w:p>
        </w:tc>
        <w:tc>
          <w:tcPr>
            <w:tcW w:w="1024" w:type="dxa"/>
            <w:noWrap/>
            <w:hideMark/>
          </w:tcPr>
          <w:p w14:paraId="2899312A"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17FFDC98"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4DBE7FDF" w14:textId="77777777" w:rsidR="000B7CEC" w:rsidRPr="002B55E9" w:rsidRDefault="000B7CEC" w:rsidP="000B7CEC">
            <w:pPr>
              <w:pStyle w:val="lgy-"/>
              <w:rPr>
                <w:rFonts w:eastAsia="宋体"/>
              </w:rPr>
            </w:pPr>
            <w:r w:rsidRPr="002B55E9">
              <w:rPr>
                <w:rFonts w:eastAsia="宋体"/>
              </w:rPr>
              <w:t>71688.6</w:t>
            </w:r>
          </w:p>
        </w:tc>
      </w:tr>
      <w:tr w:rsidR="002B55E9" w:rsidRPr="002B55E9" w14:paraId="28DB3BD6" w14:textId="77777777" w:rsidTr="000B7CEC">
        <w:trPr>
          <w:trHeight w:val="283"/>
        </w:trPr>
        <w:tc>
          <w:tcPr>
            <w:tcW w:w="1701" w:type="dxa"/>
            <w:noWrap/>
            <w:hideMark/>
          </w:tcPr>
          <w:p w14:paraId="475D93E5" w14:textId="77777777" w:rsidR="000B7CEC" w:rsidRPr="002B55E9" w:rsidRDefault="000B7CEC" w:rsidP="000B7CEC">
            <w:pPr>
              <w:pStyle w:val="lgy-"/>
              <w:rPr>
                <w:rFonts w:eastAsia="宋体"/>
              </w:rPr>
            </w:pPr>
            <w:r w:rsidRPr="002B55E9">
              <w:rPr>
                <w:rFonts w:eastAsia="宋体" w:hint="eastAsia"/>
              </w:rPr>
              <w:t>地面清洗</w:t>
            </w:r>
          </w:p>
        </w:tc>
        <w:tc>
          <w:tcPr>
            <w:tcW w:w="993" w:type="dxa"/>
            <w:noWrap/>
            <w:hideMark/>
          </w:tcPr>
          <w:p w14:paraId="6BFF9134" w14:textId="77777777" w:rsidR="000B7CEC" w:rsidRPr="002B55E9" w:rsidRDefault="000B7CEC" w:rsidP="000B7CEC">
            <w:pPr>
              <w:pStyle w:val="lgy-"/>
              <w:rPr>
                <w:rFonts w:eastAsia="宋体"/>
                <w:szCs w:val="22"/>
              </w:rPr>
            </w:pPr>
            <w:r w:rsidRPr="002B55E9">
              <w:rPr>
                <w:rFonts w:eastAsia="宋体" w:hint="eastAsia"/>
                <w:szCs w:val="22"/>
              </w:rPr>
              <w:t>0</w:t>
            </w:r>
          </w:p>
        </w:tc>
        <w:tc>
          <w:tcPr>
            <w:tcW w:w="895" w:type="dxa"/>
            <w:noWrap/>
            <w:hideMark/>
          </w:tcPr>
          <w:p w14:paraId="46727000"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2F3F906F" w14:textId="77777777" w:rsidR="000B7CEC" w:rsidRPr="002B55E9" w:rsidRDefault="000B7CEC" w:rsidP="000B7CEC">
            <w:pPr>
              <w:pStyle w:val="lgy-"/>
              <w:rPr>
                <w:rFonts w:eastAsia="宋体"/>
                <w:szCs w:val="22"/>
              </w:rPr>
            </w:pPr>
            <w:r w:rsidRPr="002B55E9">
              <w:rPr>
                <w:rFonts w:eastAsia="宋体" w:hint="eastAsia"/>
                <w:szCs w:val="22"/>
              </w:rPr>
              <w:t xml:space="preserve">4 </w:t>
            </w:r>
          </w:p>
        </w:tc>
        <w:tc>
          <w:tcPr>
            <w:tcW w:w="844" w:type="dxa"/>
            <w:noWrap/>
            <w:hideMark/>
          </w:tcPr>
          <w:p w14:paraId="3494C366"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4A18E80F" w14:textId="77777777" w:rsidR="000B7CEC" w:rsidRPr="002B55E9" w:rsidRDefault="000B7CEC" w:rsidP="000B7CEC">
            <w:pPr>
              <w:pStyle w:val="lgy-"/>
              <w:rPr>
                <w:rFonts w:eastAsia="宋体"/>
              </w:rPr>
            </w:pPr>
            <w:r w:rsidRPr="002B55E9">
              <w:rPr>
                <w:rFonts w:eastAsia="宋体"/>
              </w:rPr>
              <w:t xml:space="preserve">3 </w:t>
            </w:r>
          </w:p>
        </w:tc>
        <w:tc>
          <w:tcPr>
            <w:tcW w:w="1024" w:type="dxa"/>
            <w:noWrap/>
            <w:hideMark/>
          </w:tcPr>
          <w:p w14:paraId="388B76A5"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595360B2"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6EB174D0" w14:textId="77777777" w:rsidR="000B7CEC" w:rsidRPr="002B55E9" w:rsidRDefault="000B7CEC" w:rsidP="000B7CEC">
            <w:pPr>
              <w:pStyle w:val="lgy-"/>
              <w:rPr>
                <w:rFonts w:eastAsia="宋体"/>
              </w:rPr>
            </w:pPr>
            <w:r w:rsidRPr="002B55E9">
              <w:rPr>
                <w:rFonts w:eastAsia="宋体"/>
              </w:rPr>
              <w:t>1056</w:t>
            </w:r>
          </w:p>
        </w:tc>
      </w:tr>
      <w:tr w:rsidR="002B55E9" w:rsidRPr="002B55E9" w14:paraId="2C2F5F12" w14:textId="77777777" w:rsidTr="000B7CEC">
        <w:trPr>
          <w:trHeight w:val="283"/>
        </w:trPr>
        <w:tc>
          <w:tcPr>
            <w:tcW w:w="1701" w:type="dxa"/>
            <w:hideMark/>
          </w:tcPr>
          <w:p w14:paraId="7D934659" w14:textId="77777777" w:rsidR="000B7CEC" w:rsidRPr="002B55E9" w:rsidRDefault="000B7CEC" w:rsidP="000B7CEC">
            <w:pPr>
              <w:pStyle w:val="lgy-"/>
              <w:rPr>
                <w:rFonts w:eastAsia="宋体"/>
              </w:rPr>
            </w:pPr>
            <w:r w:rsidRPr="002B55E9">
              <w:rPr>
                <w:rFonts w:eastAsia="宋体" w:hint="eastAsia"/>
              </w:rPr>
              <w:t>喷淋塔用排水</w:t>
            </w:r>
          </w:p>
        </w:tc>
        <w:tc>
          <w:tcPr>
            <w:tcW w:w="993" w:type="dxa"/>
            <w:noWrap/>
            <w:hideMark/>
          </w:tcPr>
          <w:p w14:paraId="15FEBAB9" w14:textId="77777777" w:rsidR="000B7CEC" w:rsidRPr="002B55E9" w:rsidRDefault="000B7CEC" w:rsidP="000B7CEC">
            <w:pPr>
              <w:pStyle w:val="lgy-"/>
              <w:rPr>
                <w:rFonts w:eastAsia="宋体"/>
                <w:szCs w:val="22"/>
              </w:rPr>
            </w:pPr>
            <w:r w:rsidRPr="002B55E9">
              <w:rPr>
                <w:rFonts w:eastAsia="宋体" w:hint="eastAsia"/>
                <w:szCs w:val="22"/>
              </w:rPr>
              <w:t xml:space="preserve">15 </w:t>
            </w:r>
          </w:p>
        </w:tc>
        <w:tc>
          <w:tcPr>
            <w:tcW w:w="895" w:type="dxa"/>
            <w:noWrap/>
            <w:hideMark/>
          </w:tcPr>
          <w:p w14:paraId="684DFE62"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1324D1C4"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06900FB8"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5FB7AC35" w14:textId="77777777" w:rsidR="000B7CEC" w:rsidRPr="002B55E9" w:rsidRDefault="000B7CEC" w:rsidP="000B7CEC">
            <w:pPr>
              <w:pStyle w:val="lgy-"/>
              <w:rPr>
                <w:rFonts w:eastAsia="宋体"/>
              </w:rPr>
            </w:pPr>
            <w:r w:rsidRPr="002B55E9">
              <w:rPr>
                <w:rFonts w:eastAsia="宋体"/>
              </w:rPr>
              <w:t xml:space="preserve">13 </w:t>
            </w:r>
          </w:p>
        </w:tc>
        <w:tc>
          <w:tcPr>
            <w:tcW w:w="1024" w:type="dxa"/>
            <w:noWrap/>
            <w:hideMark/>
          </w:tcPr>
          <w:p w14:paraId="24564718"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1CF23565"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12F716B8" w14:textId="77777777" w:rsidR="000B7CEC" w:rsidRPr="002B55E9" w:rsidRDefault="000B7CEC" w:rsidP="000B7CEC">
            <w:pPr>
              <w:pStyle w:val="lgy-"/>
              <w:rPr>
                <w:rFonts w:eastAsia="宋体"/>
              </w:rPr>
            </w:pPr>
            <w:r w:rsidRPr="002B55E9">
              <w:rPr>
                <w:rFonts w:eastAsia="宋体"/>
              </w:rPr>
              <w:t>4207.5</w:t>
            </w:r>
          </w:p>
        </w:tc>
      </w:tr>
      <w:tr w:rsidR="002B55E9" w:rsidRPr="002B55E9" w14:paraId="332B45AA" w14:textId="77777777" w:rsidTr="000B7CEC">
        <w:trPr>
          <w:trHeight w:val="283"/>
        </w:trPr>
        <w:tc>
          <w:tcPr>
            <w:tcW w:w="1701" w:type="dxa"/>
            <w:hideMark/>
          </w:tcPr>
          <w:p w14:paraId="305F014B" w14:textId="77777777" w:rsidR="000B7CEC" w:rsidRPr="002B55E9" w:rsidRDefault="000B7CEC" w:rsidP="000B7CEC">
            <w:pPr>
              <w:pStyle w:val="lgy-"/>
              <w:rPr>
                <w:rFonts w:eastAsia="宋体"/>
              </w:rPr>
            </w:pPr>
            <w:r w:rsidRPr="002B55E9">
              <w:rPr>
                <w:rFonts w:eastAsia="宋体" w:hint="eastAsia"/>
              </w:rPr>
              <w:t>循环冷却系统用排水</w:t>
            </w:r>
          </w:p>
        </w:tc>
        <w:tc>
          <w:tcPr>
            <w:tcW w:w="993" w:type="dxa"/>
            <w:noWrap/>
            <w:hideMark/>
          </w:tcPr>
          <w:p w14:paraId="47C16639" w14:textId="77777777" w:rsidR="000B7CEC" w:rsidRPr="002B55E9" w:rsidRDefault="000B7CEC" w:rsidP="000B7CEC">
            <w:pPr>
              <w:pStyle w:val="lgy-"/>
              <w:rPr>
                <w:rFonts w:eastAsia="宋体"/>
                <w:szCs w:val="22"/>
              </w:rPr>
            </w:pPr>
            <w:r w:rsidRPr="002B55E9">
              <w:rPr>
                <w:rFonts w:eastAsia="宋体" w:hint="eastAsia"/>
                <w:szCs w:val="22"/>
              </w:rPr>
              <w:t xml:space="preserve">288 </w:t>
            </w:r>
          </w:p>
        </w:tc>
        <w:tc>
          <w:tcPr>
            <w:tcW w:w="895" w:type="dxa"/>
            <w:noWrap/>
            <w:hideMark/>
          </w:tcPr>
          <w:p w14:paraId="617B7996"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58F46A60"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33A1BA85"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5E7D4B65" w14:textId="23403F02" w:rsidR="000B7CEC" w:rsidRPr="002B55E9" w:rsidRDefault="00957C5B" w:rsidP="000B7CEC">
            <w:pPr>
              <w:pStyle w:val="lgy-"/>
              <w:rPr>
                <w:rFonts w:eastAsia="宋体"/>
              </w:rPr>
            </w:pPr>
            <w:r w:rsidRPr="002B55E9">
              <w:rPr>
                <w:rFonts w:eastAsia="宋体"/>
              </w:rPr>
              <w:t>10</w:t>
            </w:r>
          </w:p>
        </w:tc>
        <w:tc>
          <w:tcPr>
            <w:tcW w:w="1024" w:type="dxa"/>
            <w:noWrap/>
            <w:hideMark/>
          </w:tcPr>
          <w:p w14:paraId="07C23BAF"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417861D2"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424D8670" w14:textId="71F09E12" w:rsidR="000B7CEC" w:rsidRPr="002B55E9" w:rsidRDefault="00957C5B" w:rsidP="000B7CEC">
            <w:pPr>
              <w:pStyle w:val="lgy-"/>
              <w:rPr>
                <w:rFonts w:eastAsia="宋体"/>
              </w:rPr>
            </w:pPr>
            <w:r w:rsidRPr="002B55E9">
              <w:rPr>
                <w:rFonts w:eastAsia="宋体"/>
              </w:rPr>
              <w:t>3168</w:t>
            </w:r>
          </w:p>
        </w:tc>
      </w:tr>
      <w:tr w:rsidR="002B55E9" w:rsidRPr="002B55E9" w14:paraId="06CC539A" w14:textId="77777777" w:rsidTr="000B7CEC">
        <w:trPr>
          <w:trHeight w:val="283"/>
        </w:trPr>
        <w:tc>
          <w:tcPr>
            <w:tcW w:w="1701" w:type="dxa"/>
            <w:hideMark/>
          </w:tcPr>
          <w:p w14:paraId="1E1C4F78" w14:textId="77777777" w:rsidR="000B7CEC" w:rsidRPr="002B55E9" w:rsidRDefault="000B7CEC" w:rsidP="000B7CEC">
            <w:pPr>
              <w:pStyle w:val="lgy-"/>
              <w:rPr>
                <w:rFonts w:eastAsia="宋体"/>
              </w:rPr>
            </w:pPr>
            <w:r w:rsidRPr="002B55E9">
              <w:rPr>
                <w:rFonts w:eastAsia="宋体" w:hint="eastAsia"/>
              </w:rPr>
              <w:t>工业蒸汽</w:t>
            </w:r>
          </w:p>
        </w:tc>
        <w:tc>
          <w:tcPr>
            <w:tcW w:w="993" w:type="dxa"/>
            <w:noWrap/>
            <w:hideMark/>
          </w:tcPr>
          <w:p w14:paraId="3F2177B9" w14:textId="77777777" w:rsidR="000B7CEC" w:rsidRPr="002B55E9" w:rsidRDefault="000B7CEC" w:rsidP="000B7CEC">
            <w:pPr>
              <w:pStyle w:val="lgy-"/>
              <w:rPr>
                <w:rFonts w:eastAsia="宋体"/>
                <w:szCs w:val="22"/>
              </w:rPr>
            </w:pPr>
            <w:r w:rsidRPr="002B55E9">
              <w:rPr>
                <w:rFonts w:eastAsia="宋体" w:hint="eastAsia"/>
                <w:szCs w:val="22"/>
              </w:rPr>
              <w:t xml:space="preserve">0 </w:t>
            </w:r>
          </w:p>
        </w:tc>
        <w:tc>
          <w:tcPr>
            <w:tcW w:w="895" w:type="dxa"/>
            <w:noWrap/>
            <w:hideMark/>
          </w:tcPr>
          <w:p w14:paraId="01FAD8D7"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0F5D6169"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0C6EC08F" w14:textId="77777777" w:rsidR="000B7CEC" w:rsidRPr="002B55E9" w:rsidRDefault="000B7CEC" w:rsidP="000B7CEC">
            <w:pPr>
              <w:pStyle w:val="lgy-"/>
              <w:rPr>
                <w:rFonts w:eastAsia="宋体"/>
                <w:szCs w:val="22"/>
              </w:rPr>
            </w:pPr>
            <w:r w:rsidRPr="002B55E9">
              <w:rPr>
                <w:rFonts w:eastAsia="宋体" w:hint="eastAsia"/>
                <w:szCs w:val="22"/>
              </w:rPr>
              <w:t xml:space="preserve">216 </w:t>
            </w:r>
          </w:p>
        </w:tc>
        <w:tc>
          <w:tcPr>
            <w:tcW w:w="1135" w:type="dxa"/>
            <w:noWrap/>
            <w:hideMark/>
          </w:tcPr>
          <w:p w14:paraId="0FDDD60A" w14:textId="77777777" w:rsidR="000B7CEC" w:rsidRPr="002B55E9" w:rsidRDefault="000B7CEC" w:rsidP="000B7CEC">
            <w:pPr>
              <w:pStyle w:val="lgy-"/>
              <w:rPr>
                <w:rFonts w:eastAsia="宋体"/>
              </w:rPr>
            </w:pPr>
            <w:r w:rsidRPr="002B55E9">
              <w:rPr>
                <w:rFonts w:eastAsia="宋体"/>
              </w:rPr>
              <w:t xml:space="preserve">173 </w:t>
            </w:r>
          </w:p>
        </w:tc>
        <w:tc>
          <w:tcPr>
            <w:tcW w:w="1024" w:type="dxa"/>
            <w:noWrap/>
            <w:hideMark/>
          </w:tcPr>
          <w:p w14:paraId="4C68F7ED"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71FC2513"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71272BE8" w14:textId="77777777" w:rsidR="000B7CEC" w:rsidRPr="002B55E9" w:rsidRDefault="000B7CEC" w:rsidP="000B7CEC">
            <w:pPr>
              <w:pStyle w:val="lgy-"/>
              <w:rPr>
                <w:rFonts w:eastAsia="宋体"/>
              </w:rPr>
            </w:pPr>
            <w:r w:rsidRPr="002B55E9">
              <w:rPr>
                <w:rFonts w:eastAsia="宋体"/>
              </w:rPr>
              <w:t>56963.5</w:t>
            </w:r>
          </w:p>
        </w:tc>
      </w:tr>
      <w:tr w:rsidR="002B55E9" w:rsidRPr="002B55E9" w14:paraId="12758447" w14:textId="77777777" w:rsidTr="000B7CEC">
        <w:trPr>
          <w:trHeight w:val="283"/>
        </w:trPr>
        <w:tc>
          <w:tcPr>
            <w:tcW w:w="1701" w:type="dxa"/>
            <w:hideMark/>
          </w:tcPr>
          <w:p w14:paraId="67AFF935" w14:textId="77777777" w:rsidR="000B7CEC" w:rsidRPr="002B55E9" w:rsidRDefault="000B7CEC" w:rsidP="000B7CEC">
            <w:pPr>
              <w:pStyle w:val="lgy-"/>
              <w:rPr>
                <w:rFonts w:eastAsia="宋体"/>
              </w:rPr>
            </w:pPr>
            <w:r w:rsidRPr="002B55E9">
              <w:rPr>
                <w:rFonts w:eastAsia="宋体" w:hint="eastAsia"/>
              </w:rPr>
              <w:t>厂区绿化用水</w:t>
            </w:r>
          </w:p>
        </w:tc>
        <w:tc>
          <w:tcPr>
            <w:tcW w:w="993" w:type="dxa"/>
            <w:noWrap/>
            <w:hideMark/>
          </w:tcPr>
          <w:p w14:paraId="64F86448" w14:textId="77777777" w:rsidR="000B7CEC" w:rsidRPr="002B55E9" w:rsidRDefault="000B7CEC" w:rsidP="000B7CEC">
            <w:pPr>
              <w:pStyle w:val="lgy-"/>
              <w:rPr>
                <w:rFonts w:eastAsia="宋体"/>
                <w:szCs w:val="22"/>
              </w:rPr>
            </w:pPr>
            <w:r w:rsidRPr="002B55E9">
              <w:rPr>
                <w:rFonts w:eastAsia="宋体" w:hint="eastAsia"/>
                <w:szCs w:val="22"/>
              </w:rPr>
              <w:t>0</w:t>
            </w:r>
          </w:p>
        </w:tc>
        <w:tc>
          <w:tcPr>
            <w:tcW w:w="895" w:type="dxa"/>
            <w:noWrap/>
            <w:hideMark/>
          </w:tcPr>
          <w:p w14:paraId="282C0BEE"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3CD260E9" w14:textId="77777777" w:rsidR="000B7CEC" w:rsidRPr="002B55E9" w:rsidRDefault="000B7CEC" w:rsidP="000B7CEC">
            <w:pPr>
              <w:pStyle w:val="lgy-"/>
              <w:rPr>
                <w:rFonts w:eastAsia="宋体"/>
                <w:szCs w:val="22"/>
              </w:rPr>
            </w:pPr>
            <w:r w:rsidRPr="002B55E9">
              <w:rPr>
                <w:rFonts w:eastAsia="宋体" w:hint="eastAsia"/>
                <w:szCs w:val="22"/>
              </w:rPr>
              <w:t xml:space="preserve">7 </w:t>
            </w:r>
          </w:p>
        </w:tc>
        <w:tc>
          <w:tcPr>
            <w:tcW w:w="844" w:type="dxa"/>
            <w:noWrap/>
            <w:hideMark/>
          </w:tcPr>
          <w:p w14:paraId="6DDC8E01"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4140A184" w14:textId="77777777" w:rsidR="000B7CEC" w:rsidRPr="002B55E9" w:rsidRDefault="000B7CEC" w:rsidP="000B7CEC">
            <w:pPr>
              <w:pStyle w:val="lgy-"/>
              <w:rPr>
                <w:rFonts w:eastAsia="宋体"/>
              </w:rPr>
            </w:pPr>
            <w:r w:rsidRPr="002B55E9">
              <w:rPr>
                <w:rFonts w:eastAsia="宋体"/>
              </w:rPr>
              <w:t xml:space="preserve">0 </w:t>
            </w:r>
          </w:p>
        </w:tc>
        <w:tc>
          <w:tcPr>
            <w:tcW w:w="1024" w:type="dxa"/>
            <w:noWrap/>
            <w:hideMark/>
          </w:tcPr>
          <w:p w14:paraId="6781272F" w14:textId="77777777" w:rsidR="000B7CEC" w:rsidRPr="002B55E9" w:rsidRDefault="000B7CEC" w:rsidP="000B7CEC">
            <w:pPr>
              <w:pStyle w:val="lgy-"/>
              <w:rPr>
                <w:rFonts w:eastAsia="宋体"/>
              </w:rPr>
            </w:pPr>
            <w:r w:rsidRPr="002B55E9">
              <w:rPr>
                <w:rFonts w:eastAsia="宋体" w:hint="eastAsia"/>
              </w:rPr>
              <w:t>/</w:t>
            </w:r>
          </w:p>
        </w:tc>
        <w:tc>
          <w:tcPr>
            <w:tcW w:w="1000" w:type="dxa"/>
            <w:hideMark/>
          </w:tcPr>
          <w:p w14:paraId="60C914EF" w14:textId="77777777" w:rsidR="000B7CEC" w:rsidRPr="002B55E9" w:rsidRDefault="000B7CEC" w:rsidP="000B7CEC">
            <w:pPr>
              <w:pStyle w:val="lgy-"/>
              <w:rPr>
                <w:rFonts w:eastAsia="宋体"/>
              </w:rPr>
            </w:pPr>
            <w:r w:rsidRPr="002B55E9">
              <w:rPr>
                <w:rFonts w:eastAsia="宋体" w:hint="eastAsia"/>
              </w:rPr>
              <w:t>/</w:t>
            </w:r>
          </w:p>
        </w:tc>
        <w:tc>
          <w:tcPr>
            <w:tcW w:w="999" w:type="dxa"/>
            <w:hideMark/>
          </w:tcPr>
          <w:p w14:paraId="1D34ED04" w14:textId="77777777" w:rsidR="000B7CEC" w:rsidRPr="002B55E9" w:rsidRDefault="000B7CEC" w:rsidP="000B7CEC">
            <w:pPr>
              <w:pStyle w:val="lgy-"/>
              <w:rPr>
                <w:rFonts w:eastAsia="宋体"/>
              </w:rPr>
            </w:pPr>
            <w:r w:rsidRPr="002B55E9">
              <w:rPr>
                <w:rFonts w:eastAsia="宋体"/>
              </w:rPr>
              <w:t>0</w:t>
            </w:r>
          </w:p>
        </w:tc>
      </w:tr>
      <w:tr w:rsidR="002B55E9" w:rsidRPr="002B55E9" w14:paraId="10BA8A2F" w14:textId="77777777" w:rsidTr="000B7CEC">
        <w:trPr>
          <w:trHeight w:val="283"/>
        </w:trPr>
        <w:tc>
          <w:tcPr>
            <w:tcW w:w="1701" w:type="dxa"/>
            <w:hideMark/>
          </w:tcPr>
          <w:p w14:paraId="416058C2" w14:textId="77777777" w:rsidR="000B7CEC" w:rsidRPr="002B55E9" w:rsidRDefault="000B7CEC" w:rsidP="000B7CEC">
            <w:pPr>
              <w:pStyle w:val="lgy-"/>
              <w:rPr>
                <w:rFonts w:eastAsia="宋体"/>
              </w:rPr>
            </w:pPr>
            <w:r w:rsidRPr="002B55E9">
              <w:rPr>
                <w:rFonts w:eastAsia="宋体" w:hint="eastAsia"/>
              </w:rPr>
              <w:t>员工生活</w:t>
            </w:r>
          </w:p>
        </w:tc>
        <w:tc>
          <w:tcPr>
            <w:tcW w:w="993" w:type="dxa"/>
            <w:noWrap/>
            <w:hideMark/>
          </w:tcPr>
          <w:p w14:paraId="2839D076" w14:textId="77777777" w:rsidR="000B7CEC" w:rsidRPr="002B55E9" w:rsidRDefault="000B7CEC" w:rsidP="000B7CEC">
            <w:pPr>
              <w:pStyle w:val="lgy-"/>
              <w:rPr>
                <w:rFonts w:eastAsia="宋体"/>
                <w:szCs w:val="22"/>
              </w:rPr>
            </w:pPr>
            <w:r w:rsidRPr="002B55E9">
              <w:rPr>
                <w:rFonts w:eastAsia="宋体" w:hint="eastAsia"/>
                <w:szCs w:val="22"/>
              </w:rPr>
              <w:t xml:space="preserve">20 </w:t>
            </w:r>
          </w:p>
        </w:tc>
        <w:tc>
          <w:tcPr>
            <w:tcW w:w="895" w:type="dxa"/>
            <w:noWrap/>
            <w:hideMark/>
          </w:tcPr>
          <w:p w14:paraId="4CFF0B5E" w14:textId="77777777" w:rsidR="000B7CEC" w:rsidRPr="002B55E9" w:rsidRDefault="000B7CEC" w:rsidP="000B7CEC">
            <w:pPr>
              <w:pStyle w:val="lgy-"/>
              <w:rPr>
                <w:rFonts w:eastAsia="宋体"/>
                <w:szCs w:val="22"/>
              </w:rPr>
            </w:pPr>
            <w:r w:rsidRPr="002B55E9">
              <w:rPr>
                <w:rFonts w:eastAsia="宋体" w:hint="eastAsia"/>
                <w:szCs w:val="22"/>
              </w:rPr>
              <w:t>0</w:t>
            </w:r>
          </w:p>
        </w:tc>
        <w:tc>
          <w:tcPr>
            <w:tcW w:w="1047" w:type="dxa"/>
            <w:noWrap/>
            <w:hideMark/>
          </w:tcPr>
          <w:p w14:paraId="6F640071" w14:textId="77777777" w:rsidR="000B7CEC" w:rsidRPr="002B55E9" w:rsidRDefault="000B7CEC" w:rsidP="000B7CEC">
            <w:pPr>
              <w:pStyle w:val="lgy-"/>
              <w:rPr>
                <w:rFonts w:eastAsia="宋体"/>
                <w:szCs w:val="22"/>
              </w:rPr>
            </w:pPr>
            <w:r w:rsidRPr="002B55E9">
              <w:rPr>
                <w:rFonts w:eastAsia="宋体" w:hint="eastAsia"/>
                <w:szCs w:val="22"/>
              </w:rPr>
              <w:t>0</w:t>
            </w:r>
          </w:p>
        </w:tc>
        <w:tc>
          <w:tcPr>
            <w:tcW w:w="844" w:type="dxa"/>
            <w:noWrap/>
            <w:hideMark/>
          </w:tcPr>
          <w:p w14:paraId="6A71F372" w14:textId="77777777" w:rsidR="000B7CEC" w:rsidRPr="002B55E9" w:rsidRDefault="000B7CEC" w:rsidP="000B7CEC">
            <w:pPr>
              <w:pStyle w:val="lgy-"/>
              <w:rPr>
                <w:rFonts w:eastAsia="宋体"/>
                <w:szCs w:val="22"/>
              </w:rPr>
            </w:pPr>
            <w:r w:rsidRPr="002B55E9">
              <w:rPr>
                <w:rFonts w:eastAsia="宋体" w:hint="eastAsia"/>
                <w:szCs w:val="22"/>
              </w:rPr>
              <w:t>0</w:t>
            </w:r>
          </w:p>
        </w:tc>
        <w:tc>
          <w:tcPr>
            <w:tcW w:w="1135" w:type="dxa"/>
            <w:noWrap/>
            <w:hideMark/>
          </w:tcPr>
          <w:p w14:paraId="30955B1E" w14:textId="77777777" w:rsidR="000B7CEC" w:rsidRPr="002B55E9" w:rsidRDefault="000B7CEC" w:rsidP="000B7CEC">
            <w:pPr>
              <w:pStyle w:val="lgy-"/>
              <w:rPr>
                <w:rFonts w:eastAsia="宋体"/>
              </w:rPr>
            </w:pPr>
            <w:r w:rsidRPr="002B55E9">
              <w:rPr>
                <w:rFonts w:eastAsia="宋体"/>
              </w:rPr>
              <w:t xml:space="preserve">17 </w:t>
            </w:r>
          </w:p>
        </w:tc>
        <w:tc>
          <w:tcPr>
            <w:tcW w:w="1024" w:type="dxa"/>
            <w:noWrap/>
            <w:hideMark/>
          </w:tcPr>
          <w:p w14:paraId="6CD56DA8" w14:textId="77777777" w:rsidR="000B7CEC" w:rsidRPr="002B55E9" w:rsidRDefault="000B7CEC" w:rsidP="000B7CEC">
            <w:pPr>
              <w:pStyle w:val="lgy-"/>
              <w:rPr>
                <w:rFonts w:eastAsia="宋体"/>
              </w:rPr>
            </w:pPr>
            <w:r w:rsidRPr="002B55E9">
              <w:rPr>
                <w:rFonts w:eastAsia="宋体" w:hint="eastAsia"/>
              </w:rPr>
              <w:t>每日</w:t>
            </w:r>
          </w:p>
        </w:tc>
        <w:tc>
          <w:tcPr>
            <w:tcW w:w="1000" w:type="dxa"/>
            <w:hideMark/>
          </w:tcPr>
          <w:p w14:paraId="52DCA51D" w14:textId="77777777" w:rsidR="000B7CEC" w:rsidRPr="002B55E9" w:rsidRDefault="000B7CEC" w:rsidP="000B7CEC">
            <w:pPr>
              <w:pStyle w:val="lgy-"/>
              <w:rPr>
                <w:rFonts w:eastAsia="宋体"/>
              </w:rPr>
            </w:pPr>
            <w:r w:rsidRPr="002B55E9">
              <w:rPr>
                <w:rFonts w:eastAsia="宋体" w:hint="eastAsia"/>
              </w:rPr>
              <w:t>间歇排放</w:t>
            </w:r>
          </w:p>
        </w:tc>
        <w:tc>
          <w:tcPr>
            <w:tcW w:w="999" w:type="dxa"/>
            <w:hideMark/>
          </w:tcPr>
          <w:p w14:paraId="75B736B4" w14:textId="77777777" w:rsidR="000B7CEC" w:rsidRPr="002B55E9" w:rsidRDefault="000B7CEC" w:rsidP="000B7CEC">
            <w:pPr>
              <w:pStyle w:val="lgy-"/>
              <w:rPr>
                <w:rFonts w:eastAsia="宋体"/>
              </w:rPr>
            </w:pPr>
            <w:r w:rsidRPr="002B55E9">
              <w:rPr>
                <w:rFonts w:eastAsia="宋体"/>
              </w:rPr>
              <w:t>5722.2</w:t>
            </w:r>
          </w:p>
        </w:tc>
      </w:tr>
      <w:tr w:rsidR="002B55E9" w:rsidRPr="002B55E9" w14:paraId="18698429" w14:textId="77777777" w:rsidTr="003E2FA0">
        <w:trPr>
          <w:trHeight w:val="283"/>
        </w:trPr>
        <w:tc>
          <w:tcPr>
            <w:tcW w:w="1701" w:type="dxa"/>
            <w:hideMark/>
          </w:tcPr>
          <w:p w14:paraId="5F53EB0A" w14:textId="77777777" w:rsidR="000B7CEC" w:rsidRPr="002B55E9" w:rsidRDefault="000B7CEC" w:rsidP="000B7CEC">
            <w:pPr>
              <w:pStyle w:val="lgy-"/>
              <w:rPr>
                <w:rFonts w:eastAsia="宋体"/>
              </w:rPr>
            </w:pPr>
            <w:r w:rsidRPr="002B55E9">
              <w:rPr>
                <w:rFonts w:eastAsia="宋体" w:hint="eastAsia"/>
              </w:rPr>
              <w:t>合计</w:t>
            </w:r>
          </w:p>
        </w:tc>
        <w:tc>
          <w:tcPr>
            <w:tcW w:w="993" w:type="dxa"/>
            <w:noWrap/>
          </w:tcPr>
          <w:p w14:paraId="316CC0CA" w14:textId="30257FE4" w:rsidR="000B7CEC" w:rsidRPr="002B55E9" w:rsidRDefault="000B7CEC" w:rsidP="000B7CEC">
            <w:pPr>
              <w:pStyle w:val="lgy-"/>
              <w:rPr>
                <w:rFonts w:eastAsia="宋体"/>
                <w:szCs w:val="22"/>
              </w:rPr>
            </w:pPr>
          </w:p>
        </w:tc>
        <w:tc>
          <w:tcPr>
            <w:tcW w:w="895" w:type="dxa"/>
            <w:noWrap/>
          </w:tcPr>
          <w:p w14:paraId="342CDD46" w14:textId="2F43A81E" w:rsidR="000B7CEC" w:rsidRPr="002B55E9" w:rsidRDefault="000B7CEC" w:rsidP="000B7CEC">
            <w:pPr>
              <w:pStyle w:val="lgy-"/>
              <w:rPr>
                <w:rFonts w:eastAsia="宋体"/>
                <w:szCs w:val="22"/>
              </w:rPr>
            </w:pPr>
          </w:p>
        </w:tc>
        <w:tc>
          <w:tcPr>
            <w:tcW w:w="1047" w:type="dxa"/>
            <w:noWrap/>
          </w:tcPr>
          <w:p w14:paraId="3831A2BE" w14:textId="51955FC3" w:rsidR="000B7CEC" w:rsidRPr="002B55E9" w:rsidRDefault="000B7CEC" w:rsidP="000B7CEC">
            <w:pPr>
              <w:pStyle w:val="lgy-"/>
              <w:rPr>
                <w:rFonts w:eastAsia="宋体"/>
                <w:szCs w:val="22"/>
              </w:rPr>
            </w:pPr>
          </w:p>
        </w:tc>
        <w:tc>
          <w:tcPr>
            <w:tcW w:w="844" w:type="dxa"/>
            <w:noWrap/>
          </w:tcPr>
          <w:p w14:paraId="633D2478" w14:textId="6A87A603" w:rsidR="000B7CEC" w:rsidRPr="002B55E9" w:rsidRDefault="000B7CEC" w:rsidP="000B7CEC">
            <w:pPr>
              <w:pStyle w:val="lgy-"/>
              <w:rPr>
                <w:rFonts w:eastAsia="宋体"/>
                <w:szCs w:val="22"/>
              </w:rPr>
            </w:pPr>
          </w:p>
        </w:tc>
        <w:tc>
          <w:tcPr>
            <w:tcW w:w="1135" w:type="dxa"/>
            <w:noWrap/>
          </w:tcPr>
          <w:p w14:paraId="3BACFA71" w14:textId="2D296447" w:rsidR="000B7CEC" w:rsidRPr="002B55E9" w:rsidRDefault="000B7CEC" w:rsidP="000B7CEC">
            <w:pPr>
              <w:pStyle w:val="lgy-"/>
              <w:rPr>
                <w:rFonts w:eastAsia="宋体"/>
                <w:szCs w:val="22"/>
              </w:rPr>
            </w:pPr>
          </w:p>
        </w:tc>
        <w:tc>
          <w:tcPr>
            <w:tcW w:w="1024" w:type="dxa"/>
            <w:noWrap/>
            <w:hideMark/>
          </w:tcPr>
          <w:p w14:paraId="76109BA3" w14:textId="77777777" w:rsidR="000B7CEC" w:rsidRPr="002B55E9" w:rsidRDefault="000B7CEC" w:rsidP="000B7CEC">
            <w:pPr>
              <w:pStyle w:val="lgy-"/>
              <w:rPr>
                <w:rFonts w:eastAsia="宋体"/>
              </w:rPr>
            </w:pPr>
            <w:r w:rsidRPr="002B55E9">
              <w:rPr>
                <w:rFonts w:eastAsia="宋体" w:hint="eastAsia"/>
              </w:rPr>
              <w:t>/</w:t>
            </w:r>
          </w:p>
        </w:tc>
        <w:tc>
          <w:tcPr>
            <w:tcW w:w="1000" w:type="dxa"/>
            <w:hideMark/>
          </w:tcPr>
          <w:p w14:paraId="762FAD34" w14:textId="77777777" w:rsidR="000B7CEC" w:rsidRPr="002B55E9" w:rsidRDefault="000B7CEC" w:rsidP="000B7CEC">
            <w:pPr>
              <w:pStyle w:val="lgy-"/>
              <w:rPr>
                <w:rFonts w:eastAsia="宋体"/>
              </w:rPr>
            </w:pPr>
            <w:r w:rsidRPr="002B55E9">
              <w:rPr>
                <w:rFonts w:eastAsia="宋体" w:hint="eastAsia"/>
              </w:rPr>
              <w:t>/</w:t>
            </w:r>
          </w:p>
        </w:tc>
        <w:tc>
          <w:tcPr>
            <w:tcW w:w="999" w:type="dxa"/>
            <w:noWrap/>
            <w:hideMark/>
          </w:tcPr>
          <w:p w14:paraId="1E14A0CC" w14:textId="49DC45F2" w:rsidR="000B7CEC" w:rsidRPr="002B55E9" w:rsidRDefault="00957C5B" w:rsidP="000B7CEC">
            <w:pPr>
              <w:pStyle w:val="lgy-"/>
              <w:rPr>
                <w:rFonts w:eastAsia="宋体"/>
                <w:szCs w:val="22"/>
              </w:rPr>
            </w:pPr>
            <w:r w:rsidRPr="002B55E9">
              <w:rPr>
                <w:rFonts w:eastAsia="宋体"/>
                <w:szCs w:val="22"/>
              </w:rPr>
              <w:t>229575</w:t>
            </w:r>
          </w:p>
        </w:tc>
      </w:tr>
    </w:tbl>
    <w:p w14:paraId="2F08FD13" w14:textId="6775D55A" w:rsidR="00FA27FD" w:rsidRPr="002B55E9" w:rsidRDefault="00FA27FD" w:rsidP="00FA27FD">
      <w:pPr>
        <w:pStyle w:val="aa"/>
        <w:adjustRightInd w:val="0"/>
        <w:snapToGrid w:val="0"/>
        <w:ind w:firstLineChars="200" w:firstLine="480"/>
      </w:pPr>
      <w:r w:rsidRPr="002B55E9">
        <w:rPr>
          <w:rFonts w:hint="eastAsia"/>
        </w:rPr>
        <w:t>拟建项目年用水量见下表。</w:t>
      </w:r>
    </w:p>
    <w:p w14:paraId="3D076307" w14:textId="5C91A689" w:rsidR="00D170E5" w:rsidRPr="002B55E9" w:rsidRDefault="00FA27FD" w:rsidP="00A25639">
      <w:pPr>
        <w:pStyle w:val="1f3"/>
        <w:spacing w:beforeLines="0" w:before="0"/>
        <w:rPr>
          <w:rFonts w:ascii="黑体" w:hAnsi="黑体"/>
        </w:rPr>
      </w:pPr>
      <w:r w:rsidRPr="002B55E9">
        <w:rPr>
          <w:rFonts w:ascii="黑体" w:hAnsi="黑体"/>
        </w:rPr>
        <w:t>表</w:t>
      </w:r>
      <w:r w:rsidRPr="002B55E9">
        <w:t>3-2-1</w:t>
      </w:r>
      <w:r w:rsidR="00996BE5" w:rsidRPr="002B55E9">
        <w:t>5</w:t>
      </w:r>
      <w:r w:rsidRPr="002B55E9">
        <w:rPr>
          <w:rFonts w:ascii="黑体" w:hAnsi="黑体"/>
        </w:rPr>
        <w:t xml:space="preserve"> </w:t>
      </w:r>
      <w:r w:rsidRPr="002B55E9">
        <w:rPr>
          <w:rFonts w:ascii="黑体" w:hAnsi="黑体" w:hint="eastAsia"/>
        </w:rPr>
        <w:t xml:space="preserve"> 拟建项目年用水量平衡表</w:t>
      </w:r>
      <w:r w:rsidRPr="002B55E9">
        <w:rPr>
          <w:rFonts w:ascii="黑体" w:hAnsi="黑体"/>
        </w:rPr>
        <w:t>（</w:t>
      </w:r>
      <w:r w:rsidRPr="002B55E9">
        <w:t>m</w:t>
      </w:r>
      <w:r w:rsidRPr="002B55E9">
        <w:rPr>
          <w:vertAlign w:val="superscript"/>
        </w:rPr>
        <w:t>3</w:t>
      </w:r>
      <w:r w:rsidRPr="002B55E9">
        <w:rPr>
          <w:rFonts w:ascii="黑体" w:hAnsi="黑体"/>
        </w:rPr>
        <w:t>/</w:t>
      </w:r>
      <w:r w:rsidRPr="002B55E9">
        <w:t>a</w:t>
      </w:r>
      <w:r w:rsidRPr="002B55E9">
        <w:rPr>
          <w:rFonts w:ascii="黑体" w:hAnsi="黑体"/>
        </w:rPr>
        <w:t>）</w:t>
      </w:r>
    </w:p>
    <w:tbl>
      <w:tblPr>
        <w:tblStyle w:val="lgy2"/>
        <w:tblW w:w="5000" w:type="pct"/>
        <w:tblCellMar>
          <w:left w:w="0" w:type="dxa"/>
          <w:right w:w="0" w:type="dxa"/>
        </w:tblCellMar>
        <w:tblLook w:val="04A0" w:firstRow="1" w:lastRow="0" w:firstColumn="1" w:lastColumn="0" w:noHBand="0" w:noVBand="1"/>
      </w:tblPr>
      <w:tblGrid>
        <w:gridCol w:w="529"/>
        <w:gridCol w:w="745"/>
        <w:gridCol w:w="692"/>
        <w:gridCol w:w="650"/>
        <w:gridCol w:w="736"/>
        <w:gridCol w:w="708"/>
        <w:gridCol w:w="426"/>
        <w:gridCol w:w="556"/>
        <w:gridCol w:w="621"/>
        <w:gridCol w:w="808"/>
        <w:gridCol w:w="633"/>
        <w:gridCol w:w="426"/>
        <w:gridCol w:w="687"/>
        <w:gridCol w:w="687"/>
        <w:gridCol w:w="734"/>
      </w:tblGrid>
      <w:tr w:rsidR="002B55E9" w:rsidRPr="002B55E9" w14:paraId="3095A2BF" w14:textId="77777777" w:rsidTr="00AD4C34">
        <w:trPr>
          <w:cnfStyle w:val="100000000000" w:firstRow="1" w:lastRow="0" w:firstColumn="0" w:lastColumn="0" w:oddVBand="0" w:evenVBand="0" w:oddHBand="0" w:evenHBand="0" w:firstRowFirstColumn="0" w:firstRowLastColumn="0" w:lastRowFirstColumn="0" w:lastRowLastColumn="0"/>
          <w:trHeight w:val="283"/>
        </w:trPr>
        <w:tc>
          <w:tcPr>
            <w:tcW w:w="1274" w:type="dxa"/>
            <w:gridSpan w:val="2"/>
            <w:vMerge w:val="restart"/>
            <w:hideMark/>
          </w:tcPr>
          <w:p w14:paraId="160CA08A" w14:textId="77777777" w:rsidR="00957C5B" w:rsidRPr="002B55E9" w:rsidRDefault="00957C5B" w:rsidP="00AD4C34">
            <w:pPr>
              <w:pStyle w:val="lgy-"/>
              <w:rPr>
                <w:rFonts w:eastAsia="宋体"/>
              </w:rPr>
            </w:pPr>
            <w:r w:rsidRPr="002B55E9">
              <w:rPr>
                <w:rFonts w:eastAsia="宋体" w:hint="eastAsia"/>
              </w:rPr>
              <w:t>用水环节</w:t>
            </w:r>
          </w:p>
        </w:tc>
        <w:tc>
          <w:tcPr>
            <w:tcW w:w="4389" w:type="dxa"/>
            <w:gridSpan w:val="7"/>
            <w:hideMark/>
          </w:tcPr>
          <w:p w14:paraId="7D779CCE" w14:textId="77777777" w:rsidR="00957C5B" w:rsidRPr="002B55E9" w:rsidRDefault="00957C5B" w:rsidP="00AD4C34">
            <w:pPr>
              <w:pStyle w:val="lgy-"/>
              <w:rPr>
                <w:rFonts w:eastAsia="宋体"/>
              </w:rPr>
            </w:pPr>
            <w:r w:rsidRPr="002B55E9">
              <w:rPr>
                <w:rFonts w:eastAsia="宋体" w:hint="eastAsia"/>
              </w:rPr>
              <w:t>给水</w:t>
            </w:r>
          </w:p>
        </w:tc>
        <w:tc>
          <w:tcPr>
            <w:tcW w:w="3975" w:type="dxa"/>
            <w:gridSpan w:val="6"/>
            <w:hideMark/>
          </w:tcPr>
          <w:p w14:paraId="70C78065" w14:textId="77777777" w:rsidR="00957C5B" w:rsidRPr="002B55E9" w:rsidRDefault="00957C5B" w:rsidP="00AD4C34">
            <w:pPr>
              <w:pStyle w:val="lgy-"/>
              <w:rPr>
                <w:rFonts w:eastAsia="宋体"/>
              </w:rPr>
            </w:pPr>
            <w:r w:rsidRPr="002B55E9">
              <w:rPr>
                <w:rFonts w:eastAsia="宋体" w:hint="eastAsia"/>
              </w:rPr>
              <w:t>排水</w:t>
            </w:r>
          </w:p>
        </w:tc>
      </w:tr>
      <w:tr w:rsidR="002B55E9" w:rsidRPr="002B55E9" w14:paraId="610EA0AA" w14:textId="77777777" w:rsidTr="00AD4C34">
        <w:trPr>
          <w:trHeight w:val="283"/>
        </w:trPr>
        <w:tc>
          <w:tcPr>
            <w:tcW w:w="1274" w:type="dxa"/>
            <w:gridSpan w:val="2"/>
            <w:vMerge/>
            <w:hideMark/>
          </w:tcPr>
          <w:p w14:paraId="77913D32" w14:textId="77777777" w:rsidR="00957C5B" w:rsidRPr="002B55E9" w:rsidRDefault="00957C5B" w:rsidP="00AD4C34">
            <w:pPr>
              <w:pStyle w:val="lgy-"/>
              <w:rPr>
                <w:rFonts w:eastAsia="宋体"/>
              </w:rPr>
            </w:pPr>
          </w:p>
        </w:tc>
        <w:tc>
          <w:tcPr>
            <w:tcW w:w="692" w:type="dxa"/>
            <w:hideMark/>
          </w:tcPr>
          <w:p w14:paraId="19E58FC4" w14:textId="77777777" w:rsidR="00957C5B" w:rsidRPr="002B55E9" w:rsidRDefault="00957C5B" w:rsidP="00AD4C34">
            <w:pPr>
              <w:pStyle w:val="lgy-"/>
              <w:rPr>
                <w:rFonts w:eastAsia="宋体"/>
              </w:rPr>
            </w:pPr>
            <w:r w:rsidRPr="002B55E9">
              <w:rPr>
                <w:rFonts w:eastAsia="宋体" w:hint="eastAsia"/>
              </w:rPr>
              <w:t>总用水</w:t>
            </w:r>
          </w:p>
        </w:tc>
        <w:tc>
          <w:tcPr>
            <w:tcW w:w="650" w:type="dxa"/>
            <w:hideMark/>
          </w:tcPr>
          <w:p w14:paraId="16C91B90" w14:textId="77777777" w:rsidR="00957C5B" w:rsidRPr="002B55E9" w:rsidRDefault="00957C5B" w:rsidP="00AD4C34">
            <w:pPr>
              <w:pStyle w:val="lgy-"/>
              <w:rPr>
                <w:rFonts w:eastAsia="宋体"/>
              </w:rPr>
            </w:pPr>
            <w:r w:rsidRPr="002B55E9">
              <w:rPr>
                <w:rFonts w:eastAsia="宋体" w:hint="eastAsia"/>
              </w:rPr>
              <w:t>循环水</w:t>
            </w:r>
          </w:p>
        </w:tc>
        <w:tc>
          <w:tcPr>
            <w:tcW w:w="736" w:type="dxa"/>
            <w:hideMark/>
          </w:tcPr>
          <w:p w14:paraId="3C33101F" w14:textId="77777777" w:rsidR="00957C5B" w:rsidRPr="002B55E9" w:rsidRDefault="00957C5B" w:rsidP="00AD4C34">
            <w:pPr>
              <w:pStyle w:val="lgy-"/>
              <w:rPr>
                <w:rFonts w:eastAsia="宋体"/>
              </w:rPr>
            </w:pPr>
            <w:r w:rsidRPr="002B55E9">
              <w:rPr>
                <w:rFonts w:eastAsia="宋体" w:hint="eastAsia"/>
              </w:rPr>
              <w:t>自来水</w:t>
            </w:r>
          </w:p>
        </w:tc>
        <w:tc>
          <w:tcPr>
            <w:tcW w:w="708" w:type="dxa"/>
            <w:hideMark/>
          </w:tcPr>
          <w:p w14:paraId="0DFE4091" w14:textId="77777777" w:rsidR="00957C5B" w:rsidRPr="002B55E9" w:rsidRDefault="00957C5B" w:rsidP="00AD4C34">
            <w:pPr>
              <w:pStyle w:val="lgy-"/>
              <w:rPr>
                <w:rFonts w:eastAsia="宋体"/>
              </w:rPr>
            </w:pPr>
            <w:r w:rsidRPr="002B55E9">
              <w:rPr>
                <w:rFonts w:eastAsia="宋体" w:hint="eastAsia"/>
              </w:rPr>
              <w:t>工艺水</w:t>
            </w:r>
          </w:p>
        </w:tc>
        <w:tc>
          <w:tcPr>
            <w:tcW w:w="426" w:type="dxa"/>
            <w:hideMark/>
          </w:tcPr>
          <w:p w14:paraId="6DFFC334" w14:textId="77777777" w:rsidR="00957C5B" w:rsidRPr="002B55E9" w:rsidRDefault="00957C5B" w:rsidP="00AD4C34">
            <w:pPr>
              <w:pStyle w:val="lgy-"/>
              <w:rPr>
                <w:rFonts w:eastAsia="宋体"/>
              </w:rPr>
            </w:pPr>
            <w:r w:rsidRPr="002B55E9">
              <w:rPr>
                <w:rFonts w:eastAsia="宋体" w:hint="eastAsia"/>
              </w:rPr>
              <w:t>纯水</w:t>
            </w:r>
          </w:p>
        </w:tc>
        <w:tc>
          <w:tcPr>
            <w:tcW w:w="556" w:type="dxa"/>
            <w:hideMark/>
          </w:tcPr>
          <w:p w14:paraId="07F09B81" w14:textId="77777777" w:rsidR="00957C5B" w:rsidRPr="002B55E9" w:rsidRDefault="00957C5B" w:rsidP="00AD4C34">
            <w:pPr>
              <w:pStyle w:val="lgy-"/>
              <w:rPr>
                <w:rFonts w:eastAsia="宋体"/>
              </w:rPr>
            </w:pPr>
            <w:r w:rsidRPr="002B55E9">
              <w:rPr>
                <w:rFonts w:eastAsia="宋体" w:hint="eastAsia"/>
              </w:rPr>
              <w:t>蒸汽冷凝水</w:t>
            </w:r>
          </w:p>
        </w:tc>
        <w:tc>
          <w:tcPr>
            <w:tcW w:w="621" w:type="dxa"/>
            <w:hideMark/>
          </w:tcPr>
          <w:p w14:paraId="348A4FD9" w14:textId="77777777" w:rsidR="00957C5B" w:rsidRPr="002B55E9" w:rsidRDefault="00957C5B" w:rsidP="00AD4C34">
            <w:pPr>
              <w:pStyle w:val="lgy-"/>
              <w:rPr>
                <w:rFonts w:eastAsia="宋体"/>
              </w:rPr>
            </w:pPr>
            <w:r w:rsidRPr="002B55E9">
              <w:rPr>
                <w:rFonts w:eastAsia="宋体" w:hint="eastAsia"/>
              </w:rPr>
              <w:t>工业蒸汽</w:t>
            </w:r>
          </w:p>
        </w:tc>
        <w:tc>
          <w:tcPr>
            <w:tcW w:w="808" w:type="dxa"/>
            <w:hideMark/>
          </w:tcPr>
          <w:p w14:paraId="39260336" w14:textId="77777777" w:rsidR="00957C5B" w:rsidRPr="002B55E9" w:rsidRDefault="00957C5B" w:rsidP="00AD4C34">
            <w:pPr>
              <w:pStyle w:val="lgy-"/>
              <w:rPr>
                <w:rFonts w:eastAsia="宋体"/>
              </w:rPr>
            </w:pPr>
            <w:r w:rsidRPr="002B55E9">
              <w:rPr>
                <w:rFonts w:eastAsia="宋体" w:hint="eastAsia"/>
              </w:rPr>
              <w:t>进入产品</w:t>
            </w:r>
          </w:p>
        </w:tc>
        <w:tc>
          <w:tcPr>
            <w:tcW w:w="633" w:type="dxa"/>
            <w:hideMark/>
          </w:tcPr>
          <w:p w14:paraId="0255FE1F" w14:textId="77777777" w:rsidR="00957C5B" w:rsidRPr="002B55E9" w:rsidRDefault="00957C5B" w:rsidP="00AD4C34">
            <w:pPr>
              <w:pStyle w:val="lgy-"/>
              <w:rPr>
                <w:rFonts w:eastAsia="宋体"/>
              </w:rPr>
            </w:pPr>
            <w:r w:rsidRPr="002B55E9">
              <w:rPr>
                <w:rFonts w:eastAsia="宋体" w:hint="eastAsia"/>
              </w:rPr>
              <w:t>回用</w:t>
            </w:r>
          </w:p>
        </w:tc>
        <w:tc>
          <w:tcPr>
            <w:tcW w:w="426" w:type="dxa"/>
            <w:hideMark/>
          </w:tcPr>
          <w:p w14:paraId="38029406" w14:textId="77777777" w:rsidR="00957C5B" w:rsidRPr="002B55E9" w:rsidRDefault="00957C5B" w:rsidP="00AD4C34">
            <w:pPr>
              <w:pStyle w:val="lgy-"/>
              <w:rPr>
                <w:rFonts w:eastAsia="宋体"/>
              </w:rPr>
            </w:pPr>
            <w:r w:rsidRPr="002B55E9">
              <w:rPr>
                <w:rFonts w:eastAsia="宋体" w:hint="eastAsia"/>
              </w:rPr>
              <w:t>进入危废</w:t>
            </w:r>
          </w:p>
        </w:tc>
        <w:tc>
          <w:tcPr>
            <w:tcW w:w="687" w:type="dxa"/>
            <w:hideMark/>
          </w:tcPr>
          <w:p w14:paraId="55F57CD4" w14:textId="77777777" w:rsidR="00957C5B" w:rsidRPr="002B55E9" w:rsidRDefault="00957C5B" w:rsidP="00AD4C34">
            <w:pPr>
              <w:pStyle w:val="lgy-"/>
              <w:rPr>
                <w:rFonts w:eastAsia="宋体"/>
              </w:rPr>
            </w:pPr>
            <w:r w:rsidRPr="002B55E9">
              <w:rPr>
                <w:rFonts w:eastAsia="宋体" w:hint="eastAsia"/>
              </w:rPr>
              <w:t>损耗</w:t>
            </w:r>
          </w:p>
        </w:tc>
        <w:tc>
          <w:tcPr>
            <w:tcW w:w="687" w:type="dxa"/>
            <w:hideMark/>
          </w:tcPr>
          <w:p w14:paraId="45C2A8E8" w14:textId="77777777" w:rsidR="00957C5B" w:rsidRPr="002B55E9" w:rsidRDefault="00957C5B" w:rsidP="00AD4C34">
            <w:pPr>
              <w:pStyle w:val="lgy-"/>
              <w:rPr>
                <w:rFonts w:eastAsia="宋体"/>
              </w:rPr>
            </w:pPr>
            <w:r w:rsidRPr="002B55E9">
              <w:rPr>
                <w:rFonts w:eastAsia="宋体" w:hint="eastAsia"/>
              </w:rPr>
              <w:t>污排水</w:t>
            </w:r>
          </w:p>
        </w:tc>
        <w:tc>
          <w:tcPr>
            <w:tcW w:w="734" w:type="dxa"/>
            <w:hideMark/>
          </w:tcPr>
          <w:p w14:paraId="57D6A897" w14:textId="77777777" w:rsidR="00957C5B" w:rsidRPr="002B55E9" w:rsidRDefault="00957C5B" w:rsidP="00AD4C34">
            <w:pPr>
              <w:pStyle w:val="lgy-"/>
              <w:rPr>
                <w:rFonts w:eastAsia="宋体"/>
              </w:rPr>
            </w:pPr>
            <w:r w:rsidRPr="002B55E9">
              <w:rPr>
                <w:rFonts w:eastAsia="宋体" w:hint="eastAsia"/>
              </w:rPr>
              <w:t>蒸汽冷凝水</w:t>
            </w:r>
          </w:p>
        </w:tc>
      </w:tr>
      <w:tr w:rsidR="002B55E9" w:rsidRPr="002B55E9" w14:paraId="4ACC5FAB" w14:textId="77777777" w:rsidTr="003E2FA0">
        <w:trPr>
          <w:trHeight w:val="283"/>
        </w:trPr>
        <w:tc>
          <w:tcPr>
            <w:tcW w:w="529" w:type="dxa"/>
            <w:hideMark/>
          </w:tcPr>
          <w:p w14:paraId="0936849C" w14:textId="77777777" w:rsidR="00AD4C34" w:rsidRPr="002B55E9" w:rsidRDefault="00AD4C34" w:rsidP="00AD4C34">
            <w:pPr>
              <w:pStyle w:val="lgy-"/>
              <w:rPr>
                <w:rFonts w:eastAsia="宋体"/>
              </w:rPr>
            </w:pPr>
            <w:r w:rsidRPr="002B55E9">
              <w:rPr>
                <w:rFonts w:eastAsia="宋体" w:hint="eastAsia"/>
              </w:rPr>
              <w:t>共用</w:t>
            </w:r>
          </w:p>
        </w:tc>
        <w:tc>
          <w:tcPr>
            <w:tcW w:w="745" w:type="dxa"/>
            <w:hideMark/>
          </w:tcPr>
          <w:p w14:paraId="0B8A08E7" w14:textId="77777777" w:rsidR="00AD4C34" w:rsidRPr="002B55E9" w:rsidRDefault="00AD4C34" w:rsidP="00AD4C34">
            <w:pPr>
              <w:pStyle w:val="lgy-"/>
              <w:rPr>
                <w:rFonts w:eastAsia="宋体"/>
              </w:rPr>
            </w:pPr>
            <w:r w:rsidRPr="002B55E9">
              <w:rPr>
                <w:rFonts w:eastAsia="宋体" w:hint="eastAsia"/>
              </w:rPr>
              <w:t>酒精稀释</w:t>
            </w:r>
          </w:p>
        </w:tc>
        <w:tc>
          <w:tcPr>
            <w:tcW w:w="692" w:type="dxa"/>
          </w:tcPr>
          <w:p w14:paraId="49842A2F" w14:textId="27F8CA11" w:rsidR="00AD4C34" w:rsidRPr="002B55E9" w:rsidRDefault="00AD4C34" w:rsidP="00AD4C34">
            <w:pPr>
              <w:pStyle w:val="lgy-"/>
              <w:rPr>
                <w:rFonts w:eastAsia="宋体"/>
              </w:rPr>
            </w:pPr>
          </w:p>
        </w:tc>
        <w:tc>
          <w:tcPr>
            <w:tcW w:w="650" w:type="dxa"/>
          </w:tcPr>
          <w:p w14:paraId="6E53239D" w14:textId="0E6CB297" w:rsidR="00AD4C34" w:rsidRPr="002B55E9" w:rsidRDefault="00AD4C34" w:rsidP="00AD4C34">
            <w:pPr>
              <w:pStyle w:val="lgy-"/>
              <w:rPr>
                <w:rFonts w:eastAsia="宋体"/>
              </w:rPr>
            </w:pPr>
          </w:p>
        </w:tc>
        <w:tc>
          <w:tcPr>
            <w:tcW w:w="736" w:type="dxa"/>
          </w:tcPr>
          <w:p w14:paraId="068A3660" w14:textId="7B0BF81C" w:rsidR="00AD4C34" w:rsidRPr="002B55E9" w:rsidRDefault="00AD4C34" w:rsidP="00AD4C34">
            <w:pPr>
              <w:pStyle w:val="lgy-"/>
              <w:rPr>
                <w:rFonts w:eastAsia="宋体"/>
              </w:rPr>
            </w:pPr>
          </w:p>
        </w:tc>
        <w:tc>
          <w:tcPr>
            <w:tcW w:w="708" w:type="dxa"/>
          </w:tcPr>
          <w:p w14:paraId="7F54A98F" w14:textId="153A3F4A" w:rsidR="00AD4C34" w:rsidRPr="002B55E9" w:rsidRDefault="00AD4C34" w:rsidP="00AD4C34">
            <w:pPr>
              <w:pStyle w:val="lgy-"/>
              <w:rPr>
                <w:rFonts w:eastAsia="宋体"/>
              </w:rPr>
            </w:pPr>
          </w:p>
        </w:tc>
        <w:tc>
          <w:tcPr>
            <w:tcW w:w="426" w:type="dxa"/>
          </w:tcPr>
          <w:p w14:paraId="6DF9C4FD" w14:textId="769AA9C2" w:rsidR="00AD4C34" w:rsidRPr="002B55E9" w:rsidRDefault="00AD4C34" w:rsidP="00AD4C34">
            <w:pPr>
              <w:pStyle w:val="lgy-"/>
              <w:rPr>
                <w:rFonts w:eastAsia="宋体"/>
              </w:rPr>
            </w:pPr>
          </w:p>
        </w:tc>
        <w:tc>
          <w:tcPr>
            <w:tcW w:w="556" w:type="dxa"/>
          </w:tcPr>
          <w:p w14:paraId="2207096F" w14:textId="266F7A4E" w:rsidR="00AD4C34" w:rsidRPr="002B55E9" w:rsidRDefault="00AD4C34" w:rsidP="00AD4C34">
            <w:pPr>
              <w:pStyle w:val="lgy-"/>
              <w:rPr>
                <w:rFonts w:eastAsia="宋体"/>
              </w:rPr>
            </w:pPr>
          </w:p>
        </w:tc>
        <w:tc>
          <w:tcPr>
            <w:tcW w:w="621" w:type="dxa"/>
          </w:tcPr>
          <w:p w14:paraId="0301B3FB" w14:textId="1DB3BB5C" w:rsidR="00AD4C34" w:rsidRPr="002B55E9" w:rsidRDefault="00AD4C34" w:rsidP="00AD4C34">
            <w:pPr>
              <w:pStyle w:val="lgy-"/>
              <w:rPr>
                <w:rFonts w:eastAsia="宋体"/>
              </w:rPr>
            </w:pPr>
          </w:p>
        </w:tc>
        <w:tc>
          <w:tcPr>
            <w:tcW w:w="808" w:type="dxa"/>
          </w:tcPr>
          <w:p w14:paraId="736250B0" w14:textId="132774AB" w:rsidR="00AD4C34" w:rsidRPr="002B55E9" w:rsidRDefault="00AD4C34" w:rsidP="00AD4C34">
            <w:pPr>
              <w:pStyle w:val="lgy-"/>
              <w:rPr>
                <w:rFonts w:eastAsia="宋体"/>
              </w:rPr>
            </w:pPr>
          </w:p>
        </w:tc>
        <w:tc>
          <w:tcPr>
            <w:tcW w:w="633" w:type="dxa"/>
            <w:hideMark/>
          </w:tcPr>
          <w:p w14:paraId="1DBE6C19" w14:textId="2F46CB83" w:rsidR="00AD4C34" w:rsidRPr="002B55E9" w:rsidRDefault="00AD4C34" w:rsidP="00AD4C34">
            <w:pPr>
              <w:pStyle w:val="lgy-"/>
              <w:rPr>
                <w:rFonts w:eastAsia="宋体"/>
              </w:rPr>
            </w:pPr>
            <w:r w:rsidRPr="002B55E9">
              <w:rPr>
                <w:rFonts w:eastAsia="宋体"/>
              </w:rPr>
              <w:t xml:space="preserve">0 </w:t>
            </w:r>
          </w:p>
        </w:tc>
        <w:tc>
          <w:tcPr>
            <w:tcW w:w="426" w:type="dxa"/>
            <w:hideMark/>
          </w:tcPr>
          <w:p w14:paraId="2D45C4BD" w14:textId="1C75C41B" w:rsidR="00AD4C34" w:rsidRPr="002B55E9" w:rsidRDefault="00AD4C34" w:rsidP="00AD4C34">
            <w:pPr>
              <w:pStyle w:val="lgy-"/>
              <w:rPr>
                <w:rFonts w:eastAsia="宋体"/>
              </w:rPr>
            </w:pPr>
            <w:r w:rsidRPr="002B55E9">
              <w:rPr>
                <w:rFonts w:eastAsia="宋体"/>
              </w:rPr>
              <w:t xml:space="preserve">0 </w:t>
            </w:r>
          </w:p>
        </w:tc>
        <w:tc>
          <w:tcPr>
            <w:tcW w:w="687" w:type="dxa"/>
            <w:hideMark/>
          </w:tcPr>
          <w:p w14:paraId="68994F57" w14:textId="744FF691" w:rsidR="00AD4C34" w:rsidRPr="002B55E9" w:rsidRDefault="00AD4C34" w:rsidP="00AD4C34">
            <w:pPr>
              <w:pStyle w:val="lgy-"/>
              <w:rPr>
                <w:rFonts w:eastAsia="宋体"/>
              </w:rPr>
            </w:pPr>
            <w:r w:rsidRPr="002B55E9">
              <w:rPr>
                <w:rFonts w:eastAsia="宋体"/>
              </w:rPr>
              <w:t xml:space="preserve">0 </w:t>
            </w:r>
          </w:p>
        </w:tc>
        <w:tc>
          <w:tcPr>
            <w:tcW w:w="687" w:type="dxa"/>
            <w:hideMark/>
          </w:tcPr>
          <w:p w14:paraId="5C859DC9" w14:textId="0110E10B" w:rsidR="00AD4C34" w:rsidRPr="002B55E9" w:rsidRDefault="00AD4C34" w:rsidP="00AD4C34">
            <w:pPr>
              <w:pStyle w:val="lgy-"/>
              <w:rPr>
                <w:rFonts w:eastAsia="宋体"/>
              </w:rPr>
            </w:pPr>
            <w:r w:rsidRPr="002B55E9">
              <w:rPr>
                <w:rFonts w:eastAsia="宋体"/>
              </w:rPr>
              <w:t xml:space="preserve">0 </w:t>
            </w:r>
          </w:p>
        </w:tc>
        <w:tc>
          <w:tcPr>
            <w:tcW w:w="734" w:type="dxa"/>
            <w:hideMark/>
          </w:tcPr>
          <w:p w14:paraId="0D03186A" w14:textId="3E197869" w:rsidR="00AD4C34" w:rsidRPr="002B55E9" w:rsidRDefault="00AD4C34" w:rsidP="00AD4C34">
            <w:pPr>
              <w:pStyle w:val="lgy-"/>
              <w:rPr>
                <w:rFonts w:eastAsia="宋体"/>
              </w:rPr>
            </w:pPr>
            <w:r w:rsidRPr="002B55E9">
              <w:rPr>
                <w:rFonts w:eastAsia="宋体"/>
              </w:rPr>
              <w:t xml:space="preserve">0 </w:t>
            </w:r>
          </w:p>
        </w:tc>
      </w:tr>
      <w:tr w:rsidR="002B55E9" w:rsidRPr="002B55E9" w14:paraId="53042ED9" w14:textId="77777777" w:rsidTr="003E2FA0">
        <w:trPr>
          <w:trHeight w:val="283"/>
        </w:trPr>
        <w:tc>
          <w:tcPr>
            <w:tcW w:w="529" w:type="dxa"/>
            <w:hideMark/>
          </w:tcPr>
          <w:p w14:paraId="1D7EEFB3" w14:textId="77777777" w:rsidR="00AD4C34" w:rsidRPr="002B55E9" w:rsidRDefault="00AD4C34" w:rsidP="00AD4C34">
            <w:pPr>
              <w:pStyle w:val="lgy-"/>
              <w:rPr>
                <w:rFonts w:eastAsia="宋体"/>
              </w:rPr>
            </w:pPr>
            <w:r w:rsidRPr="002B55E9">
              <w:rPr>
                <w:rFonts w:eastAsia="宋体" w:hint="eastAsia"/>
              </w:rPr>
              <w:t>料酒生产</w:t>
            </w:r>
          </w:p>
        </w:tc>
        <w:tc>
          <w:tcPr>
            <w:tcW w:w="745" w:type="dxa"/>
            <w:hideMark/>
          </w:tcPr>
          <w:p w14:paraId="29BE71EE" w14:textId="77777777" w:rsidR="00AD4C34" w:rsidRPr="002B55E9" w:rsidRDefault="00AD4C34" w:rsidP="00AD4C34">
            <w:pPr>
              <w:pStyle w:val="lgy-"/>
              <w:rPr>
                <w:rFonts w:eastAsia="宋体"/>
              </w:rPr>
            </w:pPr>
            <w:r w:rsidRPr="002B55E9">
              <w:rPr>
                <w:rFonts w:eastAsia="宋体" w:hint="eastAsia"/>
              </w:rPr>
              <w:t>调配混合</w:t>
            </w:r>
          </w:p>
        </w:tc>
        <w:tc>
          <w:tcPr>
            <w:tcW w:w="692" w:type="dxa"/>
          </w:tcPr>
          <w:p w14:paraId="0A259161" w14:textId="6BB37918" w:rsidR="00AD4C34" w:rsidRPr="002B55E9" w:rsidRDefault="00AD4C34" w:rsidP="00AD4C34">
            <w:pPr>
              <w:pStyle w:val="lgy-"/>
              <w:rPr>
                <w:rFonts w:eastAsia="宋体"/>
              </w:rPr>
            </w:pPr>
          </w:p>
        </w:tc>
        <w:tc>
          <w:tcPr>
            <w:tcW w:w="650" w:type="dxa"/>
          </w:tcPr>
          <w:p w14:paraId="5E46E883" w14:textId="5F3977AA" w:rsidR="00AD4C34" w:rsidRPr="002B55E9" w:rsidRDefault="00AD4C34" w:rsidP="00AD4C34">
            <w:pPr>
              <w:pStyle w:val="lgy-"/>
              <w:rPr>
                <w:rFonts w:eastAsia="宋体"/>
              </w:rPr>
            </w:pPr>
          </w:p>
        </w:tc>
        <w:tc>
          <w:tcPr>
            <w:tcW w:w="736" w:type="dxa"/>
          </w:tcPr>
          <w:p w14:paraId="6152E538" w14:textId="3AB0AED1" w:rsidR="00AD4C34" w:rsidRPr="002B55E9" w:rsidRDefault="00AD4C34" w:rsidP="00AD4C34">
            <w:pPr>
              <w:pStyle w:val="lgy-"/>
              <w:rPr>
                <w:rFonts w:eastAsia="宋体"/>
              </w:rPr>
            </w:pPr>
          </w:p>
        </w:tc>
        <w:tc>
          <w:tcPr>
            <w:tcW w:w="708" w:type="dxa"/>
          </w:tcPr>
          <w:p w14:paraId="44308A4F" w14:textId="272F5DA5" w:rsidR="00AD4C34" w:rsidRPr="002B55E9" w:rsidRDefault="00AD4C34" w:rsidP="00AD4C34">
            <w:pPr>
              <w:pStyle w:val="lgy-"/>
              <w:rPr>
                <w:rFonts w:eastAsia="宋体"/>
              </w:rPr>
            </w:pPr>
          </w:p>
        </w:tc>
        <w:tc>
          <w:tcPr>
            <w:tcW w:w="426" w:type="dxa"/>
          </w:tcPr>
          <w:p w14:paraId="1536C0EF" w14:textId="5F2854FC" w:rsidR="00AD4C34" w:rsidRPr="002B55E9" w:rsidRDefault="00AD4C34" w:rsidP="00AD4C34">
            <w:pPr>
              <w:pStyle w:val="lgy-"/>
              <w:rPr>
                <w:rFonts w:eastAsia="宋体"/>
              </w:rPr>
            </w:pPr>
          </w:p>
        </w:tc>
        <w:tc>
          <w:tcPr>
            <w:tcW w:w="556" w:type="dxa"/>
          </w:tcPr>
          <w:p w14:paraId="70944832" w14:textId="295143C8" w:rsidR="00AD4C34" w:rsidRPr="002B55E9" w:rsidRDefault="00AD4C34" w:rsidP="00AD4C34">
            <w:pPr>
              <w:pStyle w:val="lgy-"/>
              <w:rPr>
                <w:rFonts w:eastAsia="宋体"/>
              </w:rPr>
            </w:pPr>
          </w:p>
        </w:tc>
        <w:tc>
          <w:tcPr>
            <w:tcW w:w="621" w:type="dxa"/>
          </w:tcPr>
          <w:p w14:paraId="03A288EC" w14:textId="2DA20947" w:rsidR="00AD4C34" w:rsidRPr="002B55E9" w:rsidRDefault="00AD4C34" w:rsidP="00AD4C34">
            <w:pPr>
              <w:pStyle w:val="lgy-"/>
              <w:rPr>
                <w:rFonts w:eastAsia="宋体"/>
              </w:rPr>
            </w:pPr>
          </w:p>
        </w:tc>
        <w:tc>
          <w:tcPr>
            <w:tcW w:w="808" w:type="dxa"/>
          </w:tcPr>
          <w:p w14:paraId="0D6B88CC" w14:textId="3C4AB66B" w:rsidR="00AD4C34" w:rsidRPr="002B55E9" w:rsidRDefault="00AD4C34" w:rsidP="00AD4C34">
            <w:pPr>
              <w:pStyle w:val="lgy-"/>
              <w:rPr>
                <w:rFonts w:eastAsia="宋体"/>
              </w:rPr>
            </w:pPr>
          </w:p>
        </w:tc>
        <w:tc>
          <w:tcPr>
            <w:tcW w:w="633" w:type="dxa"/>
            <w:hideMark/>
          </w:tcPr>
          <w:p w14:paraId="716BC363" w14:textId="6E1E208A" w:rsidR="00AD4C34" w:rsidRPr="002B55E9" w:rsidRDefault="00AD4C34" w:rsidP="00AD4C34">
            <w:pPr>
              <w:pStyle w:val="lgy-"/>
              <w:rPr>
                <w:rFonts w:eastAsia="宋体"/>
              </w:rPr>
            </w:pPr>
            <w:r w:rsidRPr="002B55E9">
              <w:rPr>
                <w:rFonts w:eastAsia="宋体"/>
              </w:rPr>
              <w:t xml:space="preserve">0 </w:t>
            </w:r>
          </w:p>
        </w:tc>
        <w:tc>
          <w:tcPr>
            <w:tcW w:w="426" w:type="dxa"/>
            <w:hideMark/>
          </w:tcPr>
          <w:p w14:paraId="4E339F88" w14:textId="077721C1" w:rsidR="00AD4C34" w:rsidRPr="002B55E9" w:rsidRDefault="00AD4C34" w:rsidP="00AD4C34">
            <w:pPr>
              <w:pStyle w:val="lgy-"/>
              <w:rPr>
                <w:rFonts w:eastAsia="宋体"/>
              </w:rPr>
            </w:pPr>
            <w:r w:rsidRPr="002B55E9">
              <w:rPr>
                <w:rFonts w:eastAsia="宋体"/>
              </w:rPr>
              <w:t xml:space="preserve">0 </w:t>
            </w:r>
          </w:p>
        </w:tc>
        <w:tc>
          <w:tcPr>
            <w:tcW w:w="687" w:type="dxa"/>
            <w:hideMark/>
          </w:tcPr>
          <w:p w14:paraId="2D7BF3E8" w14:textId="1632397D" w:rsidR="00AD4C34" w:rsidRPr="002B55E9" w:rsidRDefault="00AD4C34" w:rsidP="00AD4C34">
            <w:pPr>
              <w:pStyle w:val="lgy-"/>
              <w:rPr>
                <w:rFonts w:eastAsia="宋体"/>
              </w:rPr>
            </w:pPr>
            <w:r w:rsidRPr="002B55E9">
              <w:rPr>
                <w:rFonts w:eastAsia="宋体"/>
              </w:rPr>
              <w:t xml:space="preserve">0 </w:t>
            </w:r>
          </w:p>
        </w:tc>
        <w:tc>
          <w:tcPr>
            <w:tcW w:w="687" w:type="dxa"/>
            <w:hideMark/>
          </w:tcPr>
          <w:p w14:paraId="0748DA69" w14:textId="274988D4" w:rsidR="00AD4C34" w:rsidRPr="002B55E9" w:rsidRDefault="00AD4C34" w:rsidP="00AD4C34">
            <w:pPr>
              <w:pStyle w:val="lgy-"/>
              <w:rPr>
                <w:rFonts w:eastAsia="宋体"/>
              </w:rPr>
            </w:pPr>
            <w:r w:rsidRPr="002B55E9">
              <w:rPr>
                <w:rFonts w:eastAsia="宋体"/>
              </w:rPr>
              <w:t xml:space="preserve">0 </w:t>
            </w:r>
          </w:p>
        </w:tc>
        <w:tc>
          <w:tcPr>
            <w:tcW w:w="734" w:type="dxa"/>
            <w:hideMark/>
          </w:tcPr>
          <w:p w14:paraId="10EF9A6E" w14:textId="2EFE8AA7" w:rsidR="00AD4C34" w:rsidRPr="002B55E9" w:rsidRDefault="00AD4C34" w:rsidP="00AD4C34">
            <w:pPr>
              <w:pStyle w:val="lgy-"/>
              <w:rPr>
                <w:rFonts w:eastAsia="宋体"/>
              </w:rPr>
            </w:pPr>
            <w:r w:rsidRPr="002B55E9">
              <w:rPr>
                <w:rFonts w:eastAsia="宋体"/>
              </w:rPr>
              <w:t xml:space="preserve">0 </w:t>
            </w:r>
          </w:p>
        </w:tc>
      </w:tr>
      <w:tr w:rsidR="002B55E9" w:rsidRPr="002B55E9" w14:paraId="7732F7D4" w14:textId="77777777" w:rsidTr="003E2FA0">
        <w:trPr>
          <w:trHeight w:val="283"/>
        </w:trPr>
        <w:tc>
          <w:tcPr>
            <w:tcW w:w="529" w:type="dxa"/>
            <w:vMerge w:val="restart"/>
            <w:hideMark/>
          </w:tcPr>
          <w:p w14:paraId="62862035" w14:textId="77777777" w:rsidR="00AD4C34" w:rsidRPr="002B55E9" w:rsidRDefault="00AD4C34" w:rsidP="00AD4C34">
            <w:pPr>
              <w:pStyle w:val="lgy-"/>
              <w:rPr>
                <w:rFonts w:eastAsia="宋体"/>
              </w:rPr>
            </w:pPr>
            <w:r w:rsidRPr="002B55E9">
              <w:rPr>
                <w:rFonts w:eastAsia="宋体" w:hint="eastAsia"/>
              </w:rPr>
              <w:t>白米醋</w:t>
            </w:r>
          </w:p>
        </w:tc>
        <w:tc>
          <w:tcPr>
            <w:tcW w:w="745" w:type="dxa"/>
            <w:hideMark/>
          </w:tcPr>
          <w:p w14:paraId="4E8E883D" w14:textId="77777777" w:rsidR="00AD4C34" w:rsidRPr="002B55E9" w:rsidRDefault="00AD4C34" w:rsidP="00AD4C34">
            <w:pPr>
              <w:pStyle w:val="lgy-"/>
              <w:rPr>
                <w:rFonts w:eastAsia="宋体"/>
              </w:rPr>
            </w:pPr>
            <w:r w:rsidRPr="002B55E9">
              <w:rPr>
                <w:rFonts w:eastAsia="宋体" w:hint="eastAsia"/>
              </w:rPr>
              <w:t>液化糖化</w:t>
            </w:r>
          </w:p>
        </w:tc>
        <w:tc>
          <w:tcPr>
            <w:tcW w:w="692" w:type="dxa"/>
          </w:tcPr>
          <w:p w14:paraId="4D0D7715" w14:textId="1945079B" w:rsidR="00AD4C34" w:rsidRPr="002B55E9" w:rsidRDefault="00AD4C34" w:rsidP="00AD4C34">
            <w:pPr>
              <w:pStyle w:val="lgy-"/>
              <w:rPr>
                <w:rFonts w:eastAsia="宋体"/>
              </w:rPr>
            </w:pPr>
          </w:p>
        </w:tc>
        <w:tc>
          <w:tcPr>
            <w:tcW w:w="650" w:type="dxa"/>
          </w:tcPr>
          <w:p w14:paraId="189E4230" w14:textId="08418BE5" w:rsidR="00AD4C34" w:rsidRPr="002B55E9" w:rsidRDefault="00AD4C34" w:rsidP="00AD4C34">
            <w:pPr>
              <w:pStyle w:val="lgy-"/>
              <w:rPr>
                <w:rFonts w:eastAsia="宋体"/>
              </w:rPr>
            </w:pPr>
          </w:p>
        </w:tc>
        <w:tc>
          <w:tcPr>
            <w:tcW w:w="736" w:type="dxa"/>
          </w:tcPr>
          <w:p w14:paraId="0A5DF1F3" w14:textId="55A087B6" w:rsidR="00AD4C34" w:rsidRPr="002B55E9" w:rsidRDefault="00AD4C34" w:rsidP="00AD4C34">
            <w:pPr>
              <w:pStyle w:val="lgy-"/>
              <w:rPr>
                <w:rFonts w:eastAsia="宋体"/>
              </w:rPr>
            </w:pPr>
          </w:p>
        </w:tc>
        <w:tc>
          <w:tcPr>
            <w:tcW w:w="708" w:type="dxa"/>
          </w:tcPr>
          <w:p w14:paraId="5117A7D5" w14:textId="0A8341D0" w:rsidR="00AD4C34" w:rsidRPr="002B55E9" w:rsidRDefault="00AD4C34" w:rsidP="00AD4C34">
            <w:pPr>
              <w:pStyle w:val="lgy-"/>
              <w:rPr>
                <w:rFonts w:eastAsia="宋体"/>
              </w:rPr>
            </w:pPr>
          </w:p>
        </w:tc>
        <w:tc>
          <w:tcPr>
            <w:tcW w:w="426" w:type="dxa"/>
          </w:tcPr>
          <w:p w14:paraId="138E64D5" w14:textId="6880833B" w:rsidR="00AD4C34" w:rsidRPr="002B55E9" w:rsidRDefault="00AD4C34" w:rsidP="00AD4C34">
            <w:pPr>
              <w:pStyle w:val="lgy-"/>
              <w:rPr>
                <w:rFonts w:eastAsia="宋体"/>
              </w:rPr>
            </w:pPr>
          </w:p>
        </w:tc>
        <w:tc>
          <w:tcPr>
            <w:tcW w:w="556" w:type="dxa"/>
          </w:tcPr>
          <w:p w14:paraId="58BEF9AC" w14:textId="253750E4" w:rsidR="00AD4C34" w:rsidRPr="002B55E9" w:rsidRDefault="00AD4C34" w:rsidP="00AD4C34">
            <w:pPr>
              <w:pStyle w:val="lgy-"/>
              <w:rPr>
                <w:rFonts w:eastAsia="宋体"/>
              </w:rPr>
            </w:pPr>
          </w:p>
        </w:tc>
        <w:tc>
          <w:tcPr>
            <w:tcW w:w="621" w:type="dxa"/>
          </w:tcPr>
          <w:p w14:paraId="317D2177" w14:textId="5627083A" w:rsidR="00AD4C34" w:rsidRPr="002B55E9" w:rsidRDefault="00AD4C34" w:rsidP="00AD4C34">
            <w:pPr>
              <w:pStyle w:val="lgy-"/>
              <w:rPr>
                <w:rFonts w:eastAsia="宋体"/>
              </w:rPr>
            </w:pPr>
          </w:p>
        </w:tc>
        <w:tc>
          <w:tcPr>
            <w:tcW w:w="808" w:type="dxa"/>
          </w:tcPr>
          <w:p w14:paraId="28798DE0" w14:textId="32738B43" w:rsidR="00AD4C34" w:rsidRPr="002B55E9" w:rsidRDefault="00AD4C34" w:rsidP="00AD4C34">
            <w:pPr>
              <w:pStyle w:val="lgy-"/>
              <w:rPr>
                <w:rFonts w:eastAsia="宋体"/>
              </w:rPr>
            </w:pPr>
          </w:p>
        </w:tc>
        <w:tc>
          <w:tcPr>
            <w:tcW w:w="633" w:type="dxa"/>
            <w:hideMark/>
          </w:tcPr>
          <w:p w14:paraId="5A449454" w14:textId="3127BE8F" w:rsidR="00AD4C34" w:rsidRPr="002B55E9" w:rsidRDefault="00AD4C34" w:rsidP="00AD4C34">
            <w:pPr>
              <w:pStyle w:val="lgy-"/>
              <w:rPr>
                <w:rFonts w:eastAsia="宋体"/>
              </w:rPr>
            </w:pPr>
            <w:r w:rsidRPr="002B55E9">
              <w:rPr>
                <w:rFonts w:eastAsia="宋体"/>
              </w:rPr>
              <w:t xml:space="preserve">0 </w:t>
            </w:r>
          </w:p>
        </w:tc>
        <w:tc>
          <w:tcPr>
            <w:tcW w:w="426" w:type="dxa"/>
            <w:hideMark/>
          </w:tcPr>
          <w:p w14:paraId="13FB3F13" w14:textId="3CCE8523" w:rsidR="00AD4C34" w:rsidRPr="002B55E9" w:rsidRDefault="00AD4C34" w:rsidP="00AD4C34">
            <w:pPr>
              <w:pStyle w:val="lgy-"/>
              <w:rPr>
                <w:rFonts w:eastAsia="宋体"/>
              </w:rPr>
            </w:pPr>
            <w:r w:rsidRPr="002B55E9">
              <w:rPr>
                <w:rFonts w:eastAsia="宋体"/>
              </w:rPr>
              <w:t xml:space="preserve">0 </w:t>
            </w:r>
          </w:p>
        </w:tc>
        <w:tc>
          <w:tcPr>
            <w:tcW w:w="687" w:type="dxa"/>
            <w:hideMark/>
          </w:tcPr>
          <w:p w14:paraId="28AF663D" w14:textId="0EB97F7F" w:rsidR="00AD4C34" w:rsidRPr="002B55E9" w:rsidRDefault="00AD4C34" w:rsidP="00AD4C34">
            <w:pPr>
              <w:pStyle w:val="lgy-"/>
              <w:rPr>
                <w:rFonts w:eastAsia="宋体"/>
              </w:rPr>
            </w:pPr>
            <w:r w:rsidRPr="002B55E9">
              <w:rPr>
                <w:rFonts w:eastAsia="宋体"/>
              </w:rPr>
              <w:t xml:space="preserve">0 </w:t>
            </w:r>
          </w:p>
        </w:tc>
        <w:tc>
          <w:tcPr>
            <w:tcW w:w="687" w:type="dxa"/>
            <w:hideMark/>
          </w:tcPr>
          <w:p w14:paraId="6BF1FDAF" w14:textId="7241B743" w:rsidR="00AD4C34" w:rsidRPr="002B55E9" w:rsidRDefault="00AD4C34" w:rsidP="00AD4C34">
            <w:pPr>
              <w:pStyle w:val="lgy-"/>
              <w:rPr>
                <w:rFonts w:eastAsia="宋体"/>
              </w:rPr>
            </w:pPr>
            <w:r w:rsidRPr="002B55E9">
              <w:rPr>
                <w:rFonts w:eastAsia="宋体"/>
              </w:rPr>
              <w:t xml:space="preserve">0 </w:t>
            </w:r>
          </w:p>
        </w:tc>
        <w:tc>
          <w:tcPr>
            <w:tcW w:w="734" w:type="dxa"/>
            <w:hideMark/>
          </w:tcPr>
          <w:p w14:paraId="3D9E2660" w14:textId="1C3DAA75" w:rsidR="00AD4C34" w:rsidRPr="002B55E9" w:rsidRDefault="00AD4C34" w:rsidP="00AD4C34">
            <w:pPr>
              <w:pStyle w:val="lgy-"/>
              <w:rPr>
                <w:rFonts w:eastAsia="宋体"/>
              </w:rPr>
            </w:pPr>
            <w:r w:rsidRPr="002B55E9">
              <w:rPr>
                <w:rFonts w:eastAsia="宋体"/>
              </w:rPr>
              <w:t xml:space="preserve">0 </w:t>
            </w:r>
          </w:p>
        </w:tc>
      </w:tr>
      <w:tr w:rsidR="002B55E9" w:rsidRPr="002B55E9" w14:paraId="1AE7A214" w14:textId="77777777" w:rsidTr="003E2FA0">
        <w:trPr>
          <w:trHeight w:val="283"/>
        </w:trPr>
        <w:tc>
          <w:tcPr>
            <w:tcW w:w="529" w:type="dxa"/>
            <w:vMerge/>
            <w:hideMark/>
          </w:tcPr>
          <w:p w14:paraId="795A80BD" w14:textId="77777777" w:rsidR="00AD4C34" w:rsidRPr="002B55E9" w:rsidRDefault="00AD4C34" w:rsidP="00AD4C34">
            <w:pPr>
              <w:pStyle w:val="lgy-"/>
              <w:rPr>
                <w:rFonts w:eastAsia="宋体"/>
              </w:rPr>
            </w:pPr>
          </w:p>
        </w:tc>
        <w:tc>
          <w:tcPr>
            <w:tcW w:w="745" w:type="dxa"/>
            <w:hideMark/>
          </w:tcPr>
          <w:p w14:paraId="2009D543" w14:textId="77777777" w:rsidR="00AD4C34" w:rsidRPr="002B55E9" w:rsidRDefault="00AD4C34" w:rsidP="00AD4C34">
            <w:pPr>
              <w:pStyle w:val="lgy-"/>
              <w:rPr>
                <w:rFonts w:eastAsia="宋体"/>
              </w:rPr>
            </w:pPr>
            <w:r w:rsidRPr="002B55E9">
              <w:rPr>
                <w:rFonts w:eastAsia="宋体" w:hint="eastAsia"/>
              </w:rPr>
              <w:t>酒液调配</w:t>
            </w:r>
          </w:p>
        </w:tc>
        <w:tc>
          <w:tcPr>
            <w:tcW w:w="692" w:type="dxa"/>
          </w:tcPr>
          <w:p w14:paraId="344735E5" w14:textId="15B25C4A" w:rsidR="00AD4C34" w:rsidRPr="002B55E9" w:rsidRDefault="00AD4C34" w:rsidP="00AD4C34">
            <w:pPr>
              <w:pStyle w:val="lgy-"/>
              <w:rPr>
                <w:rFonts w:eastAsia="宋体"/>
              </w:rPr>
            </w:pPr>
          </w:p>
        </w:tc>
        <w:tc>
          <w:tcPr>
            <w:tcW w:w="650" w:type="dxa"/>
          </w:tcPr>
          <w:p w14:paraId="2AEB61C4" w14:textId="768B3947" w:rsidR="00AD4C34" w:rsidRPr="002B55E9" w:rsidRDefault="00AD4C34" w:rsidP="00AD4C34">
            <w:pPr>
              <w:pStyle w:val="lgy-"/>
              <w:rPr>
                <w:rFonts w:eastAsia="宋体"/>
              </w:rPr>
            </w:pPr>
          </w:p>
        </w:tc>
        <w:tc>
          <w:tcPr>
            <w:tcW w:w="736" w:type="dxa"/>
          </w:tcPr>
          <w:p w14:paraId="2312724C" w14:textId="5621540D" w:rsidR="00AD4C34" w:rsidRPr="002B55E9" w:rsidRDefault="00AD4C34" w:rsidP="00AD4C34">
            <w:pPr>
              <w:pStyle w:val="lgy-"/>
              <w:rPr>
                <w:rFonts w:eastAsia="宋体"/>
              </w:rPr>
            </w:pPr>
          </w:p>
        </w:tc>
        <w:tc>
          <w:tcPr>
            <w:tcW w:w="708" w:type="dxa"/>
          </w:tcPr>
          <w:p w14:paraId="15B79C23" w14:textId="57A248EB" w:rsidR="00AD4C34" w:rsidRPr="002B55E9" w:rsidRDefault="00AD4C34" w:rsidP="00AD4C34">
            <w:pPr>
              <w:pStyle w:val="lgy-"/>
              <w:rPr>
                <w:rFonts w:eastAsia="宋体"/>
              </w:rPr>
            </w:pPr>
          </w:p>
        </w:tc>
        <w:tc>
          <w:tcPr>
            <w:tcW w:w="426" w:type="dxa"/>
          </w:tcPr>
          <w:p w14:paraId="3FEDABFA" w14:textId="07D4432E" w:rsidR="00AD4C34" w:rsidRPr="002B55E9" w:rsidRDefault="00AD4C34" w:rsidP="00AD4C34">
            <w:pPr>
              <w:pStyle w:val="lgy-"/>
              <w:rPr>
                <w:rFonts w:eastAsia="宋体"/>
              </w:rPr>
            </w:pPr>
          </w:p>
        </w:tc>
        <w:tc>
          <w:tcPr>
            <w:tcW w:w="556" w:type="dxa"/>
          </w:tcPr>
          <w:p w14:paraId="1BEB77AE" w14:textId="7521ED16" w:rsidR="00AD4C34" w:rsidRPr="002B55E9" w:rsidRDefault="00AD4C34" w:rsidP="00AD4C34">
            <w:pPr>
              <w:pStyle w:val="lgy-"/>
              <w:rPr>
                <w:rFonts w:eastAsia="宋体"/>
              </w:rPr>
            </w:pPr>
          </w:p>
        </w:tc>
        <w:tc>
          <w:tcPr>
            <w:tcW w:w="621" w:type="dxa"/>
          </w:tcPr>
          <w:p w14:paraId="335B0A3B" w14:textId="319159BB" w:rsidR="00AD4C34" w:rsidRPr="002B55E9" w:rsidRDefault="00AD4C34" w:rsidP="00AD4C34">
            <w:pPr>
              <w:pStyle w:val="lgy-"/>
              <w:rPr>
                <w:rFonts w:eastAsia="宋体"/>
              </w:rPr>
            </w:pPr>
          </w:p>
        </w:tc>
        <w:tc>
          <w:tcPr>
            <w:tcW w:w="808" w:type="dxa"/>
          </w:tcPr>
          <w:p w14:paraId="46A43FDE" w14:textId="302C34A0" w:rsidR="00AD4C34" w:rsidRPr="002B55E9" w:rsidRDefault="00AD4C34" w:rsidP="00AD4C34">
            <w:pPr>
              <w:pStyle w:val="lgy-"/>
              <w:rPr>
                <w:rFonts w:eastAsia="宋体"/>
              </w:rPr>
            </w:pPr>
          </w:p>
        </w:tc>
        <w:tc>
          <w:tcPr>
            <w:tcW w:w="633" w:type="dxa"/>
            <w:hideMark/>
          </w:tcPr>
          <w:p w14:paraId="2632F799" w14:textId="37722A72" w:rsidR="00AD4C34" w:rsidRPr="002B55E9" w:rsidRDefault="00AD4C34" w:rsidP="00AD4C34">
            <w:pPr>
              <w:pStyle w:val="lgy-"/>
              <w:rPr>
                <w:rFonts w:eastAsia="宋体"/>
              </w:rPr>
            </w:pPr>
            <w:r w:rsidRPr="002B55E9">
              <w:rPr>
                <w:rFonts w:eastAsia="宋体"/>
              </w:rPr>
              <w:t xml:space="preserve">0 </w:t>
            </w:r>
          </w:p>
        </w:tc>
        <w:tc>
          <w:tcPr>
            <w:tcW w:w="426" w:type="dxa"/>
            <w:hideMark/>
          </w:tcPr>
          <w:p w14:paraId="0C517B28" w14:textId="0C82EE65" w:rsidR="00AD4C34" w:rsidRPr="002B55E9" w:rsidRDefault="00AD4C34" w:rsidP="00AD4C34">
            <w:pPr>
              <w:pStyle w:val="lgy-"/>
              <w:rPr>
                <w:rFonts w:eastAsia="宋体"/>
              </w:rPr>
            </w:pPr>
            <w:r w:rsidRPr="002B55E9">
              <w:rPr>
                <w:rFonts w:eastAsia="宋体"/>
              </w:rPr>
              <w:t xml:space="preserve">0 </w:t>
            </w:r>
          </w:p>
        </w:tc>
        <w:tc>
          <w:tcPr>
            <w:tcW w:w="687" w:type="dxa"/>
            <w:hideMark/>
          </w:tcPr>
          <w:p w14:paraId="2CEE6774" w14:textId="249F1D7C" w:rsidR="00AD4C34" w:rsidRPr="002B55E9" w:rsidRDefault="00AD4C34" w:rsidP="00AD4C34">
            <w:pPr>
              <w:pStyle w:val="lgy-"/>
              <w:rPr>
                <w:rFonts w:eastAsia="宋体"/>
              </w:rPr>
            </w:pPr>
            <w:r w:rsidRPr="002B55E9">
              <w:rPr>
                <w:rFonts w:eastAsia="宋体"/>
              </w:rPr>
              <w:t xml:space="preserve">0 </w:t>
            </w:r>
          </w:p>
        </w:tc>
        <w:tc>
          <w:tcPr>
            <w:tcW w:w="687" w:type="dxa"/>
            <w:hideMark/>
          </w:tcPr>
          <w:p w14:paraId="51039047" w14:textId="794DB347" w:rsidR="00AD4C34" w:rsidRPr="002B55E9" w:rsidRDefault="00AD4C34" w:rsidP="00AD4C34">
            <w:pPr>
              <w:pStyle w:val="lgy-"/>
              <w:rPr>
                <w:rFonts w:eastAsia="宋体"/>
              </w:rPr>
            </w:pPr>
            <w:r w:rsidRPr="002B55E9">
              <w:rPr>
                <w:rFonts w:eastAsia="宋体"/>
              </w:rPr>
              <w:t xml:space="preserve">0 </w:t>
            </w:r>
          </w:p>
        </w:tc>
        <w:tc>
          <w:tcPr>
            <w:tcW w:w="734" w:type="dxa"/>
            <w:hideMark/>
          </w:tcPr>
          <w:p w14:paraId="10C2C40B" w14:textId="1963B595" w:rsidR="00AD4C34" w:rsidRPr="002B55E9" w:rsidRDefault="00AD4C34" w:rsidP="00AD4C34">
            <w:pPr>
              <w:pStyle w:val="lgy-"/>
              <w:rPr>
                <w:rFonts w:eastAsia="宋体"/>
              </w:rPr>
            </w:pPr>
            <w:r w:rsidRPr="002B55E9">
              <w:rPr>
                <w:rFonts w:eastAsia="宋体"/>
              </w:rPr>
              <w:t xml:space="preserve">0 </w:t>
            </w:r>
          </w:p>
        </w:tc>
      </w:tr>
      <w:tr w:rsidR="002B55E9" w:rsidRPr="002B55E9" w14:paraId="53408530" w14:textId="77777777" w:rsidTr="003E2FA0">
        <w:trPr>
          <w:trHeight w:val="283"/>
        </w:trPr>
        <w:tc>
          <w:tcPr>
            <w:tcW w:w="529" w:type="dxa"/>
            <w:vMerge/>
            <w:hideMark/>
          </w:tcPr>
          <w:p w14:paraId="4341A910" w14:textId="77777777" w:rsidR="00AD4C34" w:rsidRPr="002B55E9" w:rsidRDefault="00AD4C34" w:rsidP="00AD4C34">
            <w:pPr>
              <w:pStyle w:val="lgy-"/>
              <w:rPr>
                <w:rFonts w:eastAsia="宋体"/>
              </w:rPr>
            </w:pPr>
          </w:p>
        </w:tc>
        <w:tc>
          <w:tcPr>
            <w:tcW w:w="745" w:type="dxa"/>
            <w:hideMark/>
          </w:tcPr>
          <w:p w14:paraId="48FFB5CF" w14:textId="77777777" w:rsidR="00AD4C34" w:rsidRPr="002B55E9" w:rsidRDefault="00AD4C34" w:rsidP="00AD4C34">
            <w:pPr>
              <w:pStyle w:val="lgy-"/>
              <w:rPr>
                <w:rFonts w:eastAsia="宋体"/>
              </w:rPr>
            </w:pPr>
            <w:r w:rsidRPr="002B55E9">
              <w:rPr>
                <w:rFonts w:eastAsia="宋体" w:hint="eastAsia"/>
              </w:rPr>
              <w:t>调配混合</w:t>
            </w:r>
          </w:p>
        </w:tc>
        <w:tc>
          <w:tcPr>
            <w:tcW w:w="692" w:type="dxa"/>
          </w:tcPr>
          <w:p w14:paraId="14EEAEBA" w14:textId="2AEBA1DD" w:rsidR="00AD4C34" w:rsidRPr="002B55E9" w:rsidRDefault="00AD4C34" w:rsidP="00AD4C34">
            <w:pPr>
              <w:pStyle w:val="lgy-"/>
              <w:rPr>
                <w:rFonts w:eastAsia="宋体"/>
              </w:rPr>
            </w:pPr>
          </w:p>
        </w:tc>
        <w:tc>
          <w:tcPr>
            <w:tcW w:w="650" w:type="dxa"/>
          </w:tcPr>
          <w:p w14:paraId="23B1D7F5" w14:textId="2CAD568E" w:rsidR="00AD4C34" w:rsidRPr="002B55E9" w:rsidRDefault="00AD4C34" w:rsidP="00AD4C34">
            <w:pPr>
              <w:pStyle w:val="lgy-"/>
              <w:rPr>
                <w:rFonts w:eastAsia="宋体"/>
              </w:rPr>
            </w:pPr>
          </w:p>
        </w:tc>
        <w:tc>
          <w:tcPr>
            <w:tcW w:w="736" w:type="dxa"/>
          </w:tcPr>
          <w:p w14:paraId="78B6A94B" w14:textId="10DE5311" w:rsidR="00AD4C34" w:rsidRPr="002B55E9" w:rsidRDefault="00AD4C34" w:rsidP="00AD4C34">
            <w:pPr>
              <w:pStyle w:val="lgy-"/>
              <w:rPr>
                <w:rFonts w:eastAsia="宋体"/>
              </w:rPr>
            </w:pPr>
          </w:p>
        </w:tc>
        <w:tc>
          <w:tcPr>
            <w:tcW w:w="708" w:type="dxa"/>
          </w:tcPr>
          <w:p w14:paraId="1289938A" w14:textId="3C255F9C" w:rsidR="00AD4C34" w:rsidRPr="002B55E9" w:rsidRDefault="00AD4C34" w:rsidP="00AD4C34">
            <w:pPr>
              <w:pStyle w:val="lgy-"/>
              <w:rPr>
                <w:rFonts w:eastAsia="宋体"/>
              </w:rPr>
            </w:pPr>
          </w:p>
        </w:tc>
        <w:tc>
          <w:tcPr>
            <w:tcW w:w="426" w:type="dxa"/>
          </w:tcPr>
          <w:p w14:paraId="42EDE12F" w14:textId="00D1B280" w:rsidR="00AD4C34" w:rsidRPr="002B55E9" w:rsidRDefault="00AD4C34" w:rsidP="00AD4C34">
            <w:pPr>
              <w:pStyle w:val="lgy-"/>
              <w:rPr>
                <w:rFonts w:eastAsia="宋体"/>
              </w:rPr>
            </w:pPr>
          </w:p>
        </w:tc>
        <w:tc>
          <w:tcPr>
            <w:tcW w:w="556" w:type="dxa"/>
          </w:tcPr>
          <w:p w14:paraId="3AE4AFED" w14:textId="07B98F47" w:rsidR="00AD4C34" w:rsidRPr="002B55E9" w:rsidRDefault="00AD4C34" w:rsidP="00AD4C34">
            <w:pPr>
              <w:pStyle w:val="lgy-"/>
              <w:rPr>
                <w:rFonts w:eastAsia="宋体"/>
              </w:rPr>
            </w:pPr>
          </w:p>
        </w:tc>
        <w:tc>
          <w:tcPr>
            <w:tcW w:w="621" w:type="dxa"/>
          </w:tcPr>
          <w:p w14:paraId="723DE77E" w14:textId="74BA41CD" w:rsidR="00AD4C34" w:rsidRPr="002B55E9" w:rsidRDefault="00AD4C34" w:rsidP="00AD4C34">
            <w:pPr>
              <w:pStyle w:val="lgy-"/>
              <w:rPr>
                <w:rFonts w:eastAsia="宋体"/>
              </w:rPr>
            </w:pPr>
          </w:p>
        </w:tc>
        <w:tc>
          <w:tcPr>
            <w:tcW w:w="808" w:type="dxa"/>
          </w:tcPr>
          <w:p w14:paraId="4BE6C927" w14:textId="287B44DB" w:rsidR="00AD4C34" w:rsidRPr="002B55E9" w:rsidRDefault="00AD4C34" w:rsidP="00AD4C34">
            <w:pPr>
              <w:pStyle w:val="lgy-"/>
              <w:rPr>
                <w:rFonts w:eastAsia="宋体"/>
              </w:rPr>
            </w:pPr>
          </w:p>
        </w:tc>
        <w:tc>
          <w:tcPr>
            <w:tcW w:w="633" w:type="dxa"/>
            <w:hideMark/>
          </w:tcPr>
          <w:p w14:paraId="6FBFCB16" w14:textId="67AEFF1E" w:rsidR="00AD4C34" w:rsidRPr="002B55E9" w:rsidRDefault="00AD4C34" w:rsidP="00AD4C34">
            <w:pPr>
              <w:pStyle w:val="lgy-"/>
              <w:rPr>
                <w:rFonts w:eastAsia="宋体"/>
              </w:rPr>
            </w:pPr>
            <w:r w:rsidRPr="002B55E9">
              <w:rPr>
                <w:rFonts w:eastAsia="宋体"/>
              </w:rPr>
              <w:t xml:space="preserve">0 </w:t>
            </w:r>
          </w:p>
        </w:tc>
        <w:tc>
          <w:tcPr>
            <w:tcW w:w="426" w:type="dxa"/>
            <w:hideMark/>
          </w:tcPr>
          <w:p w14:paraId="2BDEF6BE" w14:textId="63A1A01E" w:rsidR="00AD4C34" w:rsidRPr="002B55E9" w:rsidRDefault="00AD4C34" w:rsidP="00AD4C34">
            <w:pPr>
              <w:pStyle w:val="lgy-"/>
              <w:rPr>
                <w:rFonts w:eastAsia="宋体"/>
              </w:rPr>
            </w:pPr>
            <w:r w:rsidRPr="002B55E9">
              <w:rPr>
                <w:rFonts w:eastAsia="宋体"/>
              </w:rPr>
              <w:t xml:space="preserve">0 </w:t>
            </w:r>
          </w:p>
        </w:tc>
        <w:tc>
          <w:tcPr>
            <w:tcW w:w="687" w:type="dxa"/>
            <w:hideMark/>
          </w:tcPr>
          <w:p w14:paraId="23AC924B" w14:textId="7321DE96" w:rsidR="00AD4C34" w:rsidRPr="002B55E9" w:rsidRDefault="00AD4C34" w:rsidP="00AD4C34">
            <w:pPr>
              <w:pStyle w:val="lgy-"/>
              <w:rPr>
                <w:rFonts w:eastAsia="宋体"/>
              </w:rPr>
            </w:pPr>
            <w:r w:rsidRPr="002B55E9">
              <w:rPr>
                <w:rFonts w:eastAsia="宋体"/>
              </w:rPr>
              <w:t xml:space="preserve">0 </w:t>
            </w:r>
          </w:p>
        </w:tc>
        <w:tc>
          <w:tcPr>
            <w:tcW w:w="687" w:type="dxa"/>
            <w:hideMark/>
          </w:tcPr>
          <w:p w14:paraId="2E7514B9" w14:textId="3F824E01" w:rsidR="00AD4C34" w:rsidRPr="002B55E9" w:rsidRDefault="00AD4C34" w:rsidP="00AD4C34">
            <w:pPr>
              <w:pStyle w:val="lgy-"/>
              <w:rPr>
                <w:rFonts w:eastAsia="宋体"/>
              </w:rPr>
            </w:pPr>
            <w:r w:rsidRPr="002B55E9">
              <w:rPr>
                <w:rFonts w:eastAsia="宋体"/>
              </w:rPr>
              <w:t xml:space="preserve">0 </w:t>
            </w:r>
          </w:p>
        </w:tc>
        <w:tc>
          <w:tcPr>
            <w:tcW w:w="734" w:type="dxa"/>
            <w:hideMark/>
          </w:tcPr>
          <w:p w14:paraId="5CA8D000" w14:textId="1DFDEE39" w:rsidR="00AD4C34" w:rsidRPr="002B55E9" w:rsidRDefault="00AD4C34" w:rsidP="00AD4C34">
            <w:pPr>
              <w:pStyle w:val="lgy-"/>
              <w:rPr>
                <w:rFonts w:eastAsia="宋体"/>
              </w:rPr>
            </w:pPr>
            <w:r w:rsidRPr="002B55E9">
              <w:rPr>
                <w:rFonts w:eastAsia="宋体"/>
              </w:rPr>
              <w:t xml:space="preserve">0 </w:t>
            </w:r>
          </w:p>
        </w:tc>
      </w:tr>
      <w:tr w:rsidR="002B55E9" w:rsidRPr="002B55E9" w14:paraId="43D75AC8" w14:textId="77777777" w:rsidTr="003E2FA0">
        <w:trPr>
          <w:trHeight w:val="283"/>
        </w:trPr>
        <w:tc>
          <w:tcPr>
            <w:tcW w:w="529" w:type="dxa"/>
            <w:vMerge w:val="restart"/>
            <w:hideMark/>
          </w:tcPr>
          <w:p w14:paraId="6D425F92" w14:textId="77777777" w:rsidR="00AD4C34" w:rsidRPr="002B55E9" w:rsidRDefault="00AD4C34" w:rsidP="00AD4C34">
            <w:pPr>
              <w:pStyle w:val="lgy-"/>
              <w:rPr>
                <w:rFonts w:eastAsia="宋体"/>
              </w:rPr>
            </w:pPr>
            <w:r w:rsidRPr="002B55E9">
              <w:rPr>
                <w:rFonts w:eastAsia="宋体" w:hint="eastAsia"/>
              </w:rPr>
              <w:t>陈香醋</w:t>
            </w:r>
          </w:p>
        </w:tc>
        <w:tc>
          <w:tcPr>
            <w:tcW w:w="745" w:type="dxa"/>
            <w:hideMark/>
          </w:tcPr>
          <w:p w14:paraId="26595BC7" w14:textId="77777777" w:rsidR="00AD4C34" w:rsidRPr="002B55E9" w:rsidRDefault="00AD4C34" w:rsidP="00AD4C34">
            <w:pPr>
              <w:pStyle w:val="lgy-"/>
              <w:rPr>
                <w:rFonts w:eastAsia="宋体"/>
              </w:rPr>
            </w:pPr>
            <w:r w:rsidRPr="002B55E9">
              <w:rPr>
                <w:rFonts w:eastAsia="宋体" w:hint="eastAsia"/>
              </w:rPr>
              <w:t>提取</w:t>
            </w:r>
          </w:p>
        </w:tc>
        <w:tc>
          <w:tcPr>
            <w:tcW w:w="692" w:type="dxa"/>
          </w:tcPr>
          <w:p w14:paraId="4D229EF5" w14:textId="1C0D4C85" w:rsidR="00AD4C34" w:rsidRPr="002B55E9" w:rsidRDefault="00AD4C34" w:rsidP="00AD4C34">
            <w:pPr>
              <w:pStyle w:val="lgy-"/>
              <w:rPr>
                <w:rFonts w:eastAsia="宋体"/>
              </w:rPr>
            </w:pPr>
          </w:p>
        </w:tc>
        <w:tc>
          <w:tcPr>
            <w:tcW w:w="650" w:type="dxa"/>
          </w:tcPr>
          <w:p w14:paraId="443909A6" w14:textId="453D3E51" w:rsidR="00AD4C34" w:rsidRPr="002B55E9" w:rsidRDefault="00AD4C34" w:rsidP="00AD4C34">
            <w:pPr>
              <w:pStyle w:val="lgy-"/>
              <w:rPr>
                <w:rFonts w:eastAsia="宋体"/>
              </w:rPr>
            </w:pPr>
          </w:p>
        </w:tc>
        <w:tc>
          <w:tcPr>
            <w:tcW w:w="736" w:type="dxa"/>
          </w:tcPr>
          <w:p w14:paraId="5B340DAE" w14:textId="598C8583" w:rsidR="00AD4C34" w:rsidRPr="002B55E9" w:rsidRDefault="00AD4C34" w:rsidP="00AD4C34">
            <w:pPr>
              <w:pStyle w:val="lgy-"/>
              <w:rPr>
                <w:rFonts w:eastAsia="宋体"/>
              </w:rPr>
            </w:pPr>
          </w:p>
        </w:tc>
        <w:tc>
          <w:tcPr>
            <w:tcW w:w="708" w:type="dxa"/>
          </w:tcPr>
          <w:p w14:paraId="76FDA705" w14:textId="7EEAD57E" w:rsidR="00AD4C34" w:rsidRPr="002B55E9" w:rsidRDefault="00AD4C34" w:rsidP="00AD4C34">
            <w:pPr>
              <w:pStyle w:val="lgy-"/>
              <w:rPr>
                <w:rFonts w:eastAsia="宋体"/>
              </w:rPr>
            </w:pPr>
          </w:p>
        </w:tc>
        <w:tc>
          <w:tcPr>
            <w:tcW w:w="426" w:type="dxa"/>
          </w:tcPr>
          <w:p w14:paraId="7BFD70B6" w14:textId="120D39FD" w:rsidR="00AD4C34" w:rsidRPr="002B55E9" w:rsidRDefault="00AD4C34" w:rsidP="00AD4C34">
            <w:pPr>
              <w:pStyle w:val="lgy-"/>
              <w:rPr>
                <w:rFonts w:eastAsia="宋体"/>
              </w:rPr>
            </w:pPr>
          </w:p>
        </w:tc>
        <w:tc>
          <w:tcPr>
            <w:tcW w:w="556" w:type="dxa"/>
          </w:tcPr>
          <w:p w14:paraId="44D9E6BC" w14:textId="20765217" w:rsidR="00AD4C34" w:rsidRPr="002B55E9" w:rsidRDefault="00AD4C34" w:rsidP="00AD4C34">
            <w:pPr>
              <w:pStyle w:val="lgy-"/>
              <w:rPr>
                <w:rFonts w:eastAsia="宋体"/>
              </w:rPr>
            </w:pPr>
          </w:p>
        </w:tc>
        <w:tc>
          <w:tcPr>
            <w:tcW w:w="621" w:type="dxa"/>
          </w:tcPr>
          <w:p w14:paraId="7675946F" w14:textId="7637F227" w:rsidR="00AD4C34" w:rsidRPr="002B55E9" w:rsidRDefault="00AD4C34" w:rsidP="00AD4C34">
            <w:pPr>
              <w:pStyle w:val="lgy-"/>
              <w:rPr>
                <w:rFonts w:eastAsia="宋体"/>
              </w:rPr>
            </w:pPr>
          </w:p>
        </w:tc>
        <w:tc>
          <w:tcPr>
            <w:tcW w:w="808" w:type="dxa"/>
          </w:tcPr>
          <w:p w14:paraId="17CC53DF" w14:textId="5B51AC0A" w:rsidR="00AD4C34" w:rsidRPr="002B55E9" w:rsidRDefault="00AD4C34" w:rsidP="00AD4C34">
            <w:pPr>
              <w:pStyle w:val="lgy-"/>
              <w:rPr>
                <w:rFonts w:eastAsia="宋体"/>
              </w:rPr>
            </w:pPr>
          </w:p>
        </w:tc>
        <w:tc>
          <w:tcPr>
            <w:tcW w:w="633" w:type="dxa"/>
            <w:hideMark/>
          </w:tcPr>
          <w:p w14:paraId="14BA5B12" w14:textId="46F3296C" w:rsidR="00AD4C34" w:rsidRPr="002B55E9" w:rsidRDefault="00AD4C34" w:rsidP="00AD4C34">
            <w:pPr>
              <w:pStyle w:val="lgy-"/>
              <w:rPr>
                <w:rFonts w:eastAsia="宋体"/>
              </w:rPr>
            </w:pPr>
            <w:r w:rsidRPr="002B55E9">
              <w:rPr>
                <w:rFonts w:eastAsia="宋体"/>
              </w:rPr>
              <w:t xml:space="preserve">0 </w:t>
            </w:r>
          </w:p>
        </w:tc>
        <w:tc>
          <w:tcPr>
            <w:tcW w:w="426" w:type="dxa"/>
            <w:hideMark/>
          </w:tcPr>
          <w:p w14:paraId="4C4478D6" w14:textId="138CD2D0" w:rsidR="00AD4C34" w:rsidRPr="002B55E9" w:rsidRDefault="00AD4C34" w:rsidP="00AD4C34">
            <w:pPr>
              <w:pStyle w:val="lgy-"/>
              <w:rPr>
                <w:rFonts w:eastAsia="宋体"/>
              </w:rPr>
            </w:pPr>
            <w:r w:rsidRPr="002B55E9">
              <w:rPr>
                <w:rFonts w:eastAsia="宋体"/>
              </w:rPr>
              <w:t xml:space="preserve">0 </w:t>
            </w:r>
          </w:p>
        </w:tc>
        <w:tc>
          <w:tcPr>
            <w:tcW w:w="687" w:type="dxa"/>
            <w:hideMark/>
          </w:tcPr>
          <w:p w14:paraId="79DC8587" w14:textId="7C7C6D40" w:rsidR="00AD4C34" w:rsidRPr="002B55E9" w:rsidRDefault="00AD4C34" w:rsidP="00AD4C34">
            <w:pPr>
              <w:pStyle w:val="lgy-"/>
              <w:rPr>
                <w:rFonts w:eastAsia="宋体"/>
              </w:rPr>
            </w:pPr>
            <w:r w:rsidRPr="002B55E9">
              <w:rPr>
                <w:rFonts w:eastAsia="宋体"/>
              </w:rPr>
              <w:t xml:space="preserve">0 </w:t>
            </w:r>
          </w:p>
        </w:tc>
        <w:tc>
          <w:tcPr>
            <w:tcW w:w="687" w:type="dxa"/>
            <w:hideMark/>
          </w:tcPr>
          <w:p w14:paraId="1BFB7971" w14:textId="36D9C711" w:rsidR="00AD4C34" w:rsidRPr="002B55E9" w:rsidRDefault="00AD4C34" w:rsidP="00AD4C34">
            <w:pPr>
              <w:pStyle w:val="lgy-"/>
              <w:rPr>
                <w:rFonts w:eastAsia="宋体"/>
              </w:rPr>
            </w:pPr>
            <w:r w:rsidRPr="002B55E9">
              <w:rPr>
                <w:rFonts w:eastAsia="宋体"/>
              </w:rPr>
              <w:t xml:space="preserve">0 </w:t>
            </w:r>
          </w:p>
        </w:tc>
        <w:tc>
          <w:tcPr>
            <w:tcW w:w="734" w:type="dxa"/>
            <w:hideMark/>
          </w:tcPr>
          <w:p w14:paraId="196E9F06" w14:textId="072E009C" w:rsidR="00AD4C34" w:rsidRPr="002B55E9" w:rsidRDefault="00AD4C34" w:rsidP="00AD4C34">
            <w:pPr>
              <w:pStyle w:val="lgy-"/>
              <w:rPr>
                <w:rFonts w:eastAsia="宋体"/>
              </w:rPr>
            </w:pPr>
            <w:r w:rsidRPr="002B55E9">
              <w:rPr>
                <w:rFonts w:eastAsia="宋体"/>
              </w:rPr>
              <w:t xml:space="preserve">0 </w:t>
            </w:r>
          </w:p>
        </w:tc>
      </w:tr>
      <w:tr w:rsidR="002B55E9" w:rsidRPr="002B55E9" w14:paraId="3A74DD6F" w14:textId="77777777" w:rsidTr="003E2FA0">
        <w:trPr>
          <w:trHeight w:val="283"/>
        </w:trPr>
        <w:tc>
          <w:tcPr>
            <w:tcW w:w="529" w:type="dxa"/>
            <w:vMerge/>
            <w:hideMark/>
          </w:tcPr>
          <w:p w14:paraId="37C28DF0" w14:textId="77777777" w:rsidR="00AD4C34" w:rsidRPr="002B55E9" w:rsidRDefault="00AD4C34" w:rsidP="00AD4C34">
            <w:pPr>
              <w:pStyle w:val="lgy-"/>
              <w:rPr>
                <w:rFonts w:eastAsia="宋体"/>
              </w:rPr>
            </w:pPr>
          </w:p>
        </w:tc>
        <w:tc>
          <w:tcPr>
            <w:tcW w:w="745" w:type="dxa"/>
            <w:hideMark/>
          </w:tcPr>
          <w:p w14:paraId="3DCBFD84" w14:textId="77777777" w:rsidR="00AD4C34" w:rsidRPr="002B55E9" w:rsidRDefault="00AD4C34" w:rsidP="00AD4C34">
            <w:pPr>
              <w:pStyle w:val="lgy-"/>
              <w:rPr>
                <w:rFonts w:eastAsia="宋体"/>
              </w:rPr>
            </w:pPr>
            <w:r w:rsidRPr="002B55E9">
              <w:rPr>
                <w:rFonts w:eastAsia="宋体" w:hint="eastAsia"/>
              </w:rPr>
              <w:t>调配混合</w:t>
            </w:r>
          </w:p>
        </w:tc>
        <w:tc>
          <w:tcPr>
            <w:tcW w:w="692" w:type="dxa"/>
          </w:tcPr>
          <w:p w14:paraId="55C975D0" w14:textId="6741EECC" w:rsidR="00AD4C34" w:rsidRPr="002B55E9" w:rsidRDefault="00AD4C34" w:rsidP="00AD4C34">
            <w:pPr>
              <w:pStyle w:val="lgy-"/>
              <w:rPr>
                <w:rFonts w:eastAsia="宋体"/>
              </w:rPr>
            </w:pPr>
          </w:p>
        </w:tc>
        <w:tc>
          <w:tcPr>
            <w:tcW w:w="650" w:type="dxa"/>
          </w:tcPr>
          <w:p w14:paraId="2CB983A1" w14:textId="6772E8EA" w:rsidR="00AD4C34" w:rsidRPr="002B55E9" w:rsidRDefault="00AD4C34" w:rsidP="00AD4C34">
            <w:pPr>
              <w:pStyle w:val="lgy-"/>
              <w:rPr>
                <w:rFonts w:eastAsia="宋体"/>
              </w:rPr>
            </w:pPr>
          </w:p>
        </w:tc>
        <w:tc>
          <w:tcPr>
            <w:tcW w:w="736" w:type="dxa"/>
          </w:tcPr>
          <w:p w14:paraId="63FB93DF" w14:textId="3E5E4CEC" w:rsidR="00AD4C34" w:rsidRPr="002B55E9" w:rsidRDefault="00AD4C34" w:rsidP="00AD4C34">
            <w:pPr>
              <w:pStyle w:val="lgy-"/>
              <w:rPr>
                <w:rFonts w:eastAsia="宋体"/>
              </w:rPr>
            </w:pPr>
          </w:p>
        </w:tc>
        <w:tc>
          <w:tcPr>
            <w:tcW w:w="708" w:type="dxa"/>
          </w:tcPr>
          <w:p w14:paraId="4564D0CA" w14:textId="42B9D380" w:rsidR="00AD4C34" w:rsidRPr="002B55E9" w:rsidRDefault="00AD4C34" w:rsidP="00AD4C34">
            <w:pPr>
              <w:pStyle w:val="lgy-"/>
              <w:rPr>
                <w:rFonts w:eastAsia="宋体"/>
              </w:rPr>
            </w:pPr>
          </w:p>
        </w:tc>
        <w:tc>
          <w:tcPr>
            <w:tcW w:w="426" w:type="dxa"/>
          </w:tcPr>
          <w:p w14:paraId="47AABC1C" w14:textId="6DF3A033" w:rsidR="00AD4C34" w:rsidRPr="002B55E9" w:rsidRDefault="00AD4C34" w:rsidP="00AD4C34">
            <w:pPr>
              <w:pStyle w:val="lgy-"/>
              <w:rPr>
                <w:rFonts w:eastAsia="宋体"/>
              </w:rPr>
            </w:pPr>
          </w:p>
        </w:tc>
        <w:tc>
          <w:tcPr>
            <w:tcW w:w="556" w:type="dxa"/>
          </w:tcPr>
          <w:p w14:paraId="7BFF5922" w14:textId="3655C867" w:rsidR="00AD4C34" w:rsidRPr="002B55E9" w:rsidRDefault="00AD4C34" w:rsidP="00AD4C34">
            <w:pPr>
              <w:pStyle w:val="lgy-"/>
              <w:rPr>
                <w:rFonts w:eastAsia="宋体"/>
              </w:rPr>
            </w:pPr>
          </w:p>
        </w:tc>
        <w:tc>
          <w:tcPr>
            <w:tcW w:w="621" w:type="dxa"/>
          </w:tcPr>
          <w:p w14:paraId="0E0B5AD3" w14:textId="13F5E545" w:rsidR="00AD4C34" w:rsidRPr="002B55E9" w:rsidRDefault="00AD4C34" w:rsidP="00AD4C34">
            <w:pPr>
              <w:pStyle w:val="lgy-"/>
              <w:rPr>
                <w:rFonts w:eastAsia="宋体"/>
              </w:rPr>
            </w:pPr>
          </w:p>
        </w:tc>
        <w:tc>
          <w:tcPr>
            <w:tcW w:w="808" w:type="dxa"/>
          </w:tcPr>
          <w:p w14:paraId="64A812AA" w14:textId="5B695757" w:rsidR="00AD4C34" w:rsidRPr="002B55E9" w:rsidRDefault="00AD4C34" w:rsidP="00AD4C34">
            <w:pPr>
              <w:pStyle w:val="lgy-"/>
              <w:rPr>
                <w:rFonts w:eastAsia="宋体"/>
              </w:rPr>
            </w:pPr>
          </w:p>
        </w:tc>
        <w:tc>
          <w:tcPr>
            <w:tcW w:w="633" w:type="dxa"/>
            <w:hideMark/>
          </w:tcPr>
          <w:p w14:paraId="1EE0DE93" w14:textId="24F15138" w:rsidR="00AD4C34" w:rsidRPr="002B55E9" w:rsidRDefault="00AD4C34" w:rsidP="00AD4C34">
            <w:pPr>
              <w:pStyle w:val="lgy-"/>
              <w:rPr>
                <w:rFonts w:eastAsia="宋体"/>
              </w:rPr>
            </w:pPr>
            <w:r w:rsidRPr="002B55E9">
              <w:rPr>
                <w:rFonts w:eastAsia="宋体"/>
              </w:rPr>
              <w:t xml:space="preserve">0 </w:t>
            </w:r>
          </w:p>
        </w:tc>
        <w:tc>
          <w:tcPr>
            <w:tcW w:w="426" w:type="dxa"/>
            <w:hideMark/>
          </w:tcPr>
          <w:p w14:paraId="33C76693" w14:textId="2DD2AEF6" w:rsidR="00AD4C34" w:rsidRPr="002B55E9" w:rsidRDefault="00AD4C34" w:rsidP="00AD4C34">
            <w:pPr>
              <w:pStyle w:val="lgy-"/>
              <w:rPr>
                <w:rFonts w:eastAsia="宋体"/>
              </w:rPr>
            </w:pPr>
            <w:r w:rsidRPr="002B55E9">
              <w:rPr>
                <w:rFonts w:eastAsia="宋体"/>
              </w:rPr>
              <w:t xml:space="preserve">0 </w:t>
            </w:r>
          </w:p>
        </w:tc>
        <w:tc>
          <w:tcPr>
            <w:tcW w:w="687" w:type="dxa"/>
            <w:hideMark/>
          </w:tcPr>
          <w:p w14:paraId="03B6DF96" w14:textId="31773B39" w:rsidR="00AD4C34" w:rsidRPr="002B55E9" w:rsidRDefault="00AD4C34" w:rsidP="00AD4C34">
            <w:pPr>
              <w:pStyle w:val="lgy-"/>
              <w:rPr>
                <w:rFonts w:eastAsia="宋体"/>
              </w:rPr>
            </w:pPr>
            <w:r w:rsidRPr="002B55E9">
              <w:rPr>
                <w:rFonts w:eastAsia="宋体"/>
              </w:rPr>
              <w:t xml:space="preserve">0 </w:t>
            </w:r>
          </w:p>
        </w:tc>
        <w:tc>
          <w:tcPr>
            <w:tcW w:w="687" w:type="dxa"/>
            <w:hideMark/>
          </w:tcPr>
          <w:p w14:paraId="19AC2A3A" w14:textId="00D47492" w:rsidR="00AD4C34" w:rsidRPr="002B55E9" w:rsidRDefault="00AD4C34" w:rsidP="00AD4C34">
            <w:pPr>
              <w:pStyle w:val="lgy-"/>
              <w:rPr>
                <w:rFonts w:eastAsia="宋体"/>
              </w:rPr>
            </w:pPr>
            <w:r w:rsidRPr="002B55E9">
              <w:rPr>
                <w:rFonts w:eastAsia="宋体"/>
              </w:rPr>
              <w:t xml:space="preserve">0 </w:t>
            </w:r>
          </w:p>
        </w:tc>
        <w:tc>
          <w:tcPr>
            <w:tcW w:w="734" w:type="dxa"/>
            <w:hideMark/>
          </w:tcPr>
          <w:p w14:paraId="7CDCB767" w14:textId="243B3BB7" w:rsidR="00AD4C34" w:rsidRPr="002B55E9" w:rsidRDefault="00AD4C34" w:rsidP="00AD4C34">
            <w:pPr>
              <w:pStyle w:val="lgy-"/>
              <w:rPr>
                <w:rFonts w:eastAsia="宋体"/>
              </w:rPr>
            </w:pPr>
            <w:r w:rsidRPr="002B55E9">
              <w:rPr>
                <w:rFonts w:eastAsia="宋体"/>
              </w:rPr>
              <w:t xml:space="preserve">0 </w:t>
            </w:r>
          </w:p>
        </w:tc>
      </w:tr>
      <w:tr w:rsidR="002B55E9" w:rsidRPr="002B55E9" w14:paraId="462F49F3" w14:textId="77777777" w:rsidTr="00AD4C34">
        <w:trPr>
          <w:trHeight w:val="283"/>
        </w:trPr>
        <w:tc>
          <w:tcPr>
            <w:tcW w:w="529" w:type="dxa"/>
            <w:vMerge w:val="restart"/>
            <w:hideMark/>
          </w:tcPr>
          <w:p w14:paraId="305FBE45" w14:textId="77777777" w:rsidR="00AD4C34" w:rsidRPr="002B55E9" w:rsidRDefault="00AD4C34" w:rsidP="00AD4C34">
            <w:pPr>
              <w:pStyle w:val="lgy-"/>
              <w:rPr>
                <w:rFonts w:eastAsia="宋体"/>
              </w:rPr>
            </w:pPr>
            <w:r w:rsidRPr="002B55E9">
              <w:rPr>
                <w:rFonts w:eastAsia="宋体" w:hint="eastAsia"/>
              </w:rPr>
              <w:t>质检</w:t>
            </w:r>
          </w:p>
        </w:tc>
        <w:tc>
          <w:tcPr>
            <w:tcW w:w="745" w:type="dxa"/>
            <w:hideMark/>
          </w:tcPr>
          <w:p w14:paraId="641339D3" w14:textId="77777777" w:rsidR="00AD4C34" w:rsidRPr="002B55E9" w:rsidRDefault="00AD4C34" w:rsidP="00AD4C34">
            <w:pPr>
              <w:pStyle w:val="lgy-"/>
              <w:rPr>
                <w:rFonts w:eastAsia="宋体"/>
              </w:rPr>
            </w:pPr>
            <w:r w:rsidRPr="002B55E9">
              <w:rPr>
                <w:rFonts w:eastAsia="宋体" w:hint="eastAsia"/>
              </w:rPr>
              <w:t>化验室用水</w:t>
            </w:r>
          </w:p>
        </w:tc>
        <w:tc>
          <w:tcPr>
            <w:tcW w:w="692" w:type="dxa"/>
            <w:hideMark/>
          </w:tcPr>
          <w:p w14:paraId="509E4EE9" w14:textId="23463273" w:rsidR="00AD4C34" w:rsidRPr="002B55E9" w:rsidRDefault="00AD4C34" w:rsidP="00AD4C34">
            <w:pPr>
              <w:pStyle w:val="lgy-"/>
              <w:rPr>
                <w:rFonts w:eastAsia="宋体"/>
              </w:rPr>
            </w:pPr>
            <w:r w:rsidRPr="002B55E9">
              <w:rPr>
                <w:rFonts w:eastAsia="宋体"/>
              </w:rPr>
              <w:t xml:space="preserve">363 </w:t>
            </w:r>
          </w:p>
        </w:tc>
        <w:tc>
          <w:tcPr>
            <w:tcW w:w="650" w:type="dxa"/>
            <w:hideMark/>
          </w:tcPr>
          <w:p w14:paraId="644612C4" w14:textId="3AE793BB" w:rsidR="00AD4C34" w:rsidRPr="002B55E9" w:rsidRDefault="00AD4C34" w:rsidP="00AD4C34">
            <w:pPr>
              <w:pStyle w:val="lgy-"/>
              <w:rPr>
                <w:rFonts w:eastAsia="宋体"/>
              </w:rPr>
            </w:pPr>
            <w:r w:rsidRPr="002B55E9">
              <w:rPr>
                <w:rFonts w:eastAsia="宋体"/>
              </w:rPr>
              <w:t xml:space="preserve">0 </w:t>
            </w:r>
          </w:p>
        </w:tc>
        <w:tc>
          <w:tcPr>
            <w:tcW w:w="736" w:type="dxa"/>
            <w:hideMark/>
          </w:tcPr>
          <w:p w14:paraId="6F4AC609" w14:textId="6FD59BD2" w:rsidR="00AD4C34" w:rsidRPr="002B55E9" w:rsidRDefault="00AD4C34" w:rsidP="00AD4C34">
            <w:pPr>
              <w:pStyle w:val="lgy-"/>
              <w:rPr>
                <w:rFonts w:eastAsia="宋体"/>
              </w:rPr>
            </w:pPr>
            <w:r w:rsidRPr="002B55E9">
              <w:rPr>
                <w:rFonts w:eastAsia="宋体"/>
              </w:rPr>
              <w:t xml:space="preserve">330 </w:t>
            </w:r>
          </w:p>
        </w:tc>
        <w:tc>
          <w:tcPr>
            <w:tcW w:w="708" w:type="dxa"/>
            <w:hideMark/>
          </w:tcPr>
          <w:p w14:paraId="229C497F" w14:textId="3A908648" w:rsidR="00AD4C34" w:rsidRPr="002B55E9" w:rsidRDefault="00AD4C34" w:rsidP="00AD4C34">
            <w:pPr>
              <w:pStyle w:val="lgy-"/>
              <w:rPr>
                <w:rFonts w:eastAsia="宋体"/>
              </w:rPr>
            </w:pPr>
            <w:r w:rsidRPr="002B55E9">
              <w:rPr>
                <w:rFonts w:eastAsia="宋体"/>
              </w:rPr>
              <w:t xml:space="preserve">0 </w:t>
            </w:r>
          </w:p>
        </w:tc>
        <w:tc>
          <w:tcPr>
            <w:tcW w:w="426" w:type="dxa"/>
            <w:hideMark/>
          </w:tcPr>
          <w:p w14:paraId="60BC5B49" w14:textId="1B2F0EA9" w:rsidR="00AD4C34" w:rsidRPr="002B55E9" w:rsidRDefault="00AD4C34" w:rsidP="00AD4C34">
            <w:pPr>
              <w:pStyle w:val="lgy-"/>
              <w:rPr>
                <w:rFonts w:eastAsia="宋体"/>
              </w:rPr>
            </w:pPr>
            <w:r w:rsidRPr="002B55E9">
              <w:rPr>
                <w:rFonts w:eastAsia="宋体"/>
              </w:rPr>
              <w:t xml:space="preserve">33 </w:t>
            </w:r>
          </w:p>
        </w:tc>
        <w:tc>
          <w:tcPr>
            <w:tcW w:w="556" w:type="dxa"/>
            <w:hideMark/>
          </w:tcPr>
          <w:p w14:paraId="3506EAAB" w14:textId="2469A5D7" w:rsidR="00AD4C34" w:rsidRPr="002B55E9" w:rsidRDefault="00AD4C34" w:rsidP="00AD4C34">
            <w:pPr>
              <w:pStyle w:val="lgy-"/>
              <w:rPr>
                <w:rFonts w:eastAsia="宋体"/>
              </w:rPr>
            </w:pPr>
            <w:r w:rsidRPr="002B55E9">
              <w:rPr>
                <w:rFonts w:eastAsia="宋体"/>
              </w:rPr>
              <w:t xml:space="preserve">0 </w:t>
            </w:r>
          </w:p>
        </w:tc>
        <w:tc>
          <w:tcPr>
            <w:tcW w:w="621" w:type="dxa"/>
            <w:hideMark/>
          </w:tcPr>
          <w:p w14:paraId="65657238" w14:textId="59B1E86A" w:rsidR="00AD4C34" w:rsidRPr="002B55E9" w:rsidRDefault="00AD4C34" w:rsidP="00AD4C34">
            <w:pPr>
              <w:pStyle w:val="lgy-"/>
              <w:rPr>
                <w:rFonts w:eastAsia="宋体"/>
              </w:rPr>
            </w:pPr>
            <w:r w:rsidRPr="002B55E9">
              <w:rPr>
                <w:rFonts w:eastAsia="宋体"/>
              </w:rPr>
              <w:t xml:space="preserve">0 </w:t>
            </w:r>
          </w:p>
        </w:tc>
        <w:tc>
          <w:tcPr>
            <w:tcW w:w="808" w:type="dxa"/>
            <w:hideMark/>
          </w:tcPr>
          <w:p w14:paraId="7FDBAED9" w14:textId="18F03366" w:rsidR="00AD4C34" w:rsidRPr="002B55E9" w:rsidRDefault="00AD4C34" w:rsidP="00AD4C34">
            <w:pPr>
              <w:pStyle w:val="lgy-"/>
              <w:rPr>
                <w:rFonts w:eastAsia="宋体"/>
              </w:rPr>
            </w:pPr>
            <w:r w:rsidRPr="002B55E9">
              <w:rPr>
                <w:rFonts w:eastAsia="宋体"/>
              </w:rPr>
              <w:t xml:space="preserve">0 </w:t>
            </w:r>
          </w:p>
        </w:tc>
        <w:tc>
          <w:tcPr>
            <w:tcW w:w="633" w:type="dxa"/>
            <w:hideMark/>
          </w:tcPr>
          <w:p w14:paraId="29CFB93D" w14:textId="146E3903" w:rsidR="00AD4C34" w:rsidRPr="002B55E9" w:rsidRDefault="00AD4C34" w:rsidP="00AD4C34">
            <w:pPr>
              <w:pStyle w:val="lgy-"/>
              <w:rPr>
                <w:rFonts w:eastAsia="宋体"/>
              </w:rPr>
            </w:pPr>
            <w:r w:rsidRPr="002B55E9">
              <w:rPr>
                <w:rFonts w:eastAsia="宋体"/>
              </w:rPr>
              <w:t xml:space="preserve">0 </w:t>
            </w:r>
          </w:p>
        </w:tc>
        <w:tc>
          <w:tcPr>
            <w:tcW w:w="426" w:type="dxa"/>
            <w:hideMark/>
          </w:tcPr>
          <w:p w14:paraId="21021D1F" w14:textId="53136805" w:rsidR="00AD4C34" w:rsidRPr="002B55E9" w:rsidRDefault="00AD4C34" w:rsidP="00AD4C34">
            <w:pPr>
              <w:pStyle w:val="lgy-"/>
              <w:rPr>
                <w:rFonts w:eastAsia="宋体"/>
              </w:rPr>
            </w:pPr>
            <w:r w:rsidRPr="002B55E9">
              <w:rPr>
                <w:rFonts w:eastAsia="宋体"/>
              </w:rPr>
              <w:t xml:space="preserve">1 </w:t>
            </w:r>
          </w:p>
        </w:tc>
        <w:tc>
          <w:tcPr>
            <w:tcW w:w="687" w:type="dxa"/>
            <w:hideMark/>
          </w:tcPr>
          <w:p w14:paraId="6923FE6F" w14:textId="1CC81990" w:rsidR="00AD4C34" w:rsidRPr="002B55E9" w:rsidRDefault="00AD4C34" w:rsidP="00AD4C34">
            <w:pPr>
              <w:pStyle w:val="lgy-"/>
              <w:rPr>
                <w:rFonts w:eastAsia="宋体"/>
              </w:rPr>
            </w:pPr>
            <w:r w:rsidRPr="002B55E9">
              <w:rPr>
                <w:rFonts w:eastAsia="宋体"/>
              </w:rPr>
              <w:t xml:space="preserve">36 </w:t>
            </w:r>
          </w:p>
        </w:tc>
        <w:tc>
          <w:tcPr>
            <w:tcW w:w="687" w:type="dxa"/>
            <w:hideMark/>
          </w:tcPr>
          <w:p w14:paraId="24E4CFCD" w14:textId="0B57196A" w:rsidR="00AD4C34" w:rsidRPr="002B55E9" w:rsidRDefault="00AD4C34" w:rsidP="00AD4C34">
            <w:pPr>
              <w:pStyle w:val="lgy-"/>
              <w:rPr>
                <w:rFonts w:eastAsia="宋体"/>
              </w:rPr>
            </w:pPr>
            <w:r w:rsidRPr="002B55E9">
              <w:rPr>
                <w:rFonts w:eastAsia="宋体"/>
              </w:rPr>
              <w:t xml:space="preserve">326 </w:t>
            </w:r>
          </w:p>
        </w:tc>
        <w:tc>
          <w:tcPr>
            <w:tcW w:w="734" w:type="dxa"/>
            <w:hideMark/>
          </w:tcPr>
          <w:p w14:paraId="7904BF64" w14:textId="10D4BCD7" w:rsidR="00AD4C34" w:rsidRPr="002B55E9" w:rsidRDefault="00AD4C34" w:rsidP="00AD4C34">
            <w:pPr>
              <w:pStyle w:val="lgy-"/>
              <w:rPr>
                <w:rFonts w:eastAsia="宋体"/>
              </w:rPr>
            </w:pPr>
            <w:r w:rsidRPr="002B55E9">
              <w:rPr>
                <w:rFonts w:eastAsia="宋体"/>
              </w:rPr>
              <w:t xml:space="preserve">0 </w:t>
            </w:r>
          </w:p>
        </w:tc>
      </w:tr>
      <w:tr w:rsidR="002B55E9" w:rsidRPr="002B55E9" w14:paraId="2241F21A" w14:textId="77777777" w:rsidTr="00AD4C34">
        <w:trPr>
          <w:trHeight w:val="283"/>
        </w:trPr>
        <w:tc>
          <w:tcPr>
            <w:tcW w:w="529" w:type="dxa"/>
            <w:vMerge/>
            <w:hideMark/>
          </w:tcPr>
          <w:p w14:paraId="1F34DB67" w14:textId="77777777" w:rsidR="00AD4C34" w:rsidRPr="002B55E9" w:rsidRDefault="00AD4C34" w:rsidP="00AD4C34">
            <w:pPr>
              <w:pStyle w:val="lgy-"/>
              <w:rPr>
                <w:rFonts w:eastAsia="宋体"/>
              </w:rPr>
            </w:pPr>
          </w:p>
        </w:tc>
        <w:tc>
          <w:tcPr>
            <w:tcW w:w="745" w:type="dxa"/>
            <w:hideMark/>
          </w:tcPr>
          <w:p w14:paraId="49D1B604" w14:textId="77777777" w:rsidR="00AD4C34" w:rsidRPr="002B55E9" w:rsidRDefault="00AD4C34" w:rsidP="00AD4C34">
            <w:pPr>
              <w:pStyle w:val="lgy-"/>
              <w:rPr>
                <w:rFonts w:eastAsia="宋体"/>
              </w:rPr>
            </w:pPr>
            <w:r w:rsidRPr="002B55E9">
              <w:rPr>
                <w:rFonts w:eastAsia="宋体" w:hint="eastAsia"/>
              </w:rPr>
              <w:t>制纯水用水</w:t>
            </w:r>
          </w:p>
        </w:tc>
        <w:tc>
          <w:tcPr>
            <w:tcW w:w="692" w:type="dxa"/>
            <w:hideMark/>
          </w:tcPr>
          <w:p w14:paraId="0D4088C1" w14:textId="2F975BE3" w:rsidR="00AD4C34" w:rsidRPr="002B55E9" w:rsidRDefault="00AD4C34" w:rsidP="00AD4C34">
            <w:pPr>
              <w:pStyle w:val="lgy-"/>
              <w:rPr>
                <w:rFonts w:eastAsia="宋体"/>
              </w:rPr>
            </w:pPr>
            <w:r w:rsidRPr="002B55E9">
              <w:rPr>
                <w:rFonts w:eastAsia="宋体"/>
              </w:rPr>
              <w:t xml:space="preserve">44 </w:t>
            </w:r>
          </w:p>
        </w:tc>
        <w:tc>
          <w:tcPr>
            <w:tcW w:w="650" w:type="dxa"/>
            <w:hideMark/>
          </w:tcPr>
          <w:p w14:paraId="7FCB0AA8" w14:textId="708EA136" w:rsidR="00AD4C34" w:rsidRPr="002B55E9" w:rsidRDefault="00AD4C34" w:rsidP="00AD4C34">
            <w:pPr>
              <w:pStyle w:val="lgy-"/>
              <w:rPr>
                <w:rFonts w:eastAsia="宋体"/>
              </w:rPr>
            </w:pPr>
            <w:r w:rsidRPr="002B55E9">
              <w:rPr>
                <w:rFonts w:eastAsia="宋体"/>
              </w:rPr>
              <w:t xml:space="preserve">0 </w:t>
            </w:r>
          </w:p>
        </w:tc>
        <w:tc>
          <w:tcPr>
            <w:tcW w:w="736" w:type="dxa"/>
            <w:hideMark/>
          </w:tcPr>
          <w:p w14:paraId="2B64D83A" w14:textId="5FEDC477" w:rsidR="00AD4C34" w:rsidRPr="002B55E9" w:rsidRDefault="00AD4C34" w:rsidP="00AD4C34">
            <w:pPr>
              <w:pStyle w:val="lgy-"/>
              <w:rPr>
                <w:rFonts w:eastAsia="宋体"/>
              </w:rPr>
            </w:pPr>
            <w:r w:rsidRPr="002B55E9">
              <w:rPr>
                <w:rFonts w:eastAsia="宋体"/>
              </w:rPr>
              <w:t xml:space="preserve">44 </w:t>
            </w:r>
          </w:p>
        </w:tc>
        <w:tc>
          <w:tcPr>
            <w:tcW w:w="708" w:type="dxa"/>
            <w:hideMark/>
          </w:tcPr>
          <w:p w14:paraId="56C7F306" w14:textId="1BD6CC9A" w:rsidR="00AD4C34" w:rsidRPr="002B55E9" w:rsidRDefault="00AD4C34" w:rsidP="00AD4C34">
            <w:pPr>
              <w:pStyle w:val="lgy-"/>
              <w:rPr>
                <w:rFonts w:eastAsia="宋体"/>
              </w:rPr>
            </w:pPr>
            <w:r w:rsidRPr="002B55E9">
              <w:rPr>
                <w:rFonts w:eastAsia="宋体"/>
              </w:rPr>
              <w:t xml:space="preserve">0 </w:t>
            </w:r>
          </w:p>
        </w:tc>
        <w:tc>
          <w:tcPr>
            <w:tcW w:w="426" w:type="dxa"/>
            <w:hideMark/>
          </w:tcPr>
          <w:p w14:paraId="4FC311BC" w14:textId="6A0B21DD" w:rsidR="00AD4C34" w:rsidRPr="002B55E9" w:rsidRDefault="00AD4C34" w:rsidP="00AD4C34">
            <w:pPr>
              <w:pStyle w:val="lgy-"/>
              <w:rPr>
                <w:rFonts w:eastAsia="宋体"/>
              </w:rPr>
            </w:pPr>
            <w:r w:rsidRPr="002B55E9">
              <w:rPr>
                <w:rFonts w:eastAsia="宋体"/>
              </w:rPr>
              <w:t xml:space="preserve">0 </w:t>
            </w:r>
          </w:p>
        </w:tc>
        <w:tc>
          <w:tcPr>
            <w:tcW w:w="556" w:type="dxa"/>
            <w:hideMark/>
          </w:tcPr>
          <w:p w14:paraId="098C2A00" w14:textId="682CED18" w:rsidR="00AD4C34" w:rsidRPr="002B55E9" w:rsidRDefault="00AD4C34" w:rsidP="00AD4C34">
            <w:pPr>
              <w:pStyle w:val="lgy-"/>
              <w:rPr>
                <w:rFonts w:eastAsia="宋体"/>
              </w:rPr>
            </w:pPr>
            <w:r w:rsidRPr="002B55E9">
              <w:rPr>
                <w:rFonts w:eastAsia="宋体"/>
              </w:rPr>
              <w:t xml:space="preserve">0 </w:t>
            </w:r>
          </w:p>
        </w:tc>
        <w:tc>
          <w:tcPr>
            <w:tcW w:w="621" w:type="dxa"/>
            <w:hideMark/>
          </w:tcPr>
          <w:p w14:paraId="6133E72A" w14:textId="2E4EB032" w:rsidR="00AD4C34" w:rsidRPr="002B55E9" w:rsidRDefault="00AD4C34" w:rsidP="00AD4C34">
            <w:pPr>
              <w:pStyle w:val="lgy-"/>
              <w:rPr>
                <w:rFonts w:eastAsia="宋体"/>
              </w:rPr>
            </w:pPr>
            <w:r w:rsidRPr="002B55E9">
              <w:rPr>
                <w:rFonts w:eastAsia="宋体"/>
              </w:rPr>
              <w:t xml:space="preserve">0 </w:t>
            </w:r>
          </w:p>
        </w:tc>
        <w:tc>
          <w:tcPr>
            <w:tcW w:w="808" w:type="dxa"/>
            <w:hideMark/>
          </w:tcPr>
          <w:p w14:paraId="1F3813B2" w14:textId="36E92630" w:rsidR="00AD4C34" w:rsidRPr="002B55E9" w:rsidRDefault="00AD4C34" w:rsidP="00AD4C34">
            <w:pPr>
              <w:pStyle w:val="lgy-"/>
              <w:rPr>
                <w:rFonts w:eastAsia="宋体"/>
              </w:rPr>
            </w:pPr>
            <w:r w:rsidRPr="002B55E9">
              <w:rPr>
                <w:rFonts w:eastAsia="宋体"/>
              </w:rPr>
              <w:t xml:space="preserve">0 </w:t>
            </w:r>
          </w:p>
        </w:tc>
        <w:tc>
          <w:tcPr>
            <w:tcW w:w="633" w:type="dxa"/>
            <w:hideMark/>
          </w:tcPr>
          <w:p w14:paraId="45585A8C" w14:textId="0143FFCF" w:rsidR="00AD4C34" w:rsidRPr="002B55E9" w:rsidRDefault="00AD4C34" w:rsidP="00AD4C34">
            <w:pPr>
              <w:pStyle w:val="lgy-"/>
              <w:rPr>
                <w:rFonts w:eastAsia="宋体"/>
              </w:rPr>
            </w:pPr>
            <w:r w:rsidRPr="002B55E9">
              <w:rPr>
                <w:rFonts w:eastAsia="宋体"/>
              </w:rPr>
              <w:t xml:space="preserve">33 </w:t>
            </w:r>
          </w:p>
        </w:tc>
        <w:tc>
          <w:tcPr>
            <w:tcW w:w="426" w:type="dxa"/>
            <w:hideMark/>
          </w:tcPr>
          <w:p w14:paraId="69968041" w14:textId="68584088" w:rsidR="00AD4C34" w:rsidRPr="002B55E9" w:rsidRDefault="00AD4C34" w:rsidP="00AD4C34">
            <w:pPr>
              <w:pStyle w:val="lgy-"/>
              <w:rPr>
                <w:rFonts w:eastAsia="宋体"/>
              </w:rPr>
            </w:pPr>
            <w:r w:rsidRPr="002B55E9">
              <w:rPr>
                <w:rFonts w:eastAsia="宋体"/>
              </w:rPr>
              <w:t xml:space="preserve">0 </w:t>
            </w:r>
          </w:p>
        </w:tc>
        <w:tc>
          <w:tcPr>
            <w:tcW w:w="687" w:type="dxa"/>
            <w:hideMark/>
          </w:tcPr>
          <w:p w14:paraId="4DC31DD2" w14:textId="39E95C49" w:rsidR="00AD4C34" w:rsidRPr="002B55E9" w:rsidRDefault="00AD4C34" w:rsidP="00AD4C34">
            <w:pPr>
              <w:pStyle w:val="lgy-"/>
              <w:rPr>
                <w:rFonts w:eastAsia="宋体"/>
              </w:rPr>
            </w:pPr>
            <w:r w:rsidRPr="002B55E9">
              <w:rPr>
                <w:rFonts w:eastAsia="宋体"/>
              </w:rPr>
              <w:t xml:space="preserve">0 </w:t>
            </w:r>
          </w:p>
        </w:tc>
        <w:tc>
          <w:tcPr>
            <w:tcW w:w="687" w:type="dxa"/>
            <w:hideMark/>
          </w:tcPr>
          <w:p w14:paraId="515BE3D2" w14:textId="5D455719" w:rsidR="00AD4C34" w:rsidRPr="002B55E9" w:rsidRDefault="00AD4C34" w:rsidP="00AD4C34">
            <w:pPr>
              <w:pStyle w:val="lgy-"/>
              <w:rPr>
                <w:rFonts w:eastAsia="宋体"/>
              </w:rPr>
            </w:pPr>
            <w:r w:rsidRPr="002B55E9">
              <w:rPr>
                <w:rFonts w:eastAsia="宋体"/>
              </w:rPr>
              <w:t xml:space="preserve">11 </w:t>
            </w:r>
          </w:p>
        </w:tc>
        <w:tc>
          <w:tcPr>
            <w:tcW w:w="734" w:type="dxa"/>
            <w:hideMark/>
          </w:tcPr>
          <w:p w14:paraId="4D3FC3A8" w14:textId="3BEF7C5B" w:rsidR="00AD4C34" w:rsidRPr="002B55E9" w:rsidRDefault="00AD4C34" w:rsidP="00AD4C34">
            <w:pPr>
              <w:pStyle w:val="lgy-"/>
              <w:rPr>
                <w:rFonts w:eastAsia="宋体"/>
              </w:rPr>
            </w:pPr>
            <w:r w:rsidRPr="002B55E9">
              <w:rPr>
                <w:rFonts w:eastAsia="宋体"/>
              </w:rPr>
              <w:t xml:space="preserve">0 </w:t>
            </w:r>
          </w:p>
        </w:tc>
      </w:tr>
      <w:tr w:rsidR="002B55E9" w:rsidRPr="002B55E9" w14:paraId="3C0D5F88" w14:textId="77777777" w:rsidTr="00AD4C34">
        <w:trPr>
          <w:trHeight w:val="283"/>
        </w:trPr>
        <w:tc>
          <w:tcPr>
            <w:tcW w:w="529" w:type="dxa"/>
            <w:vMerge w:val="restart"/>
            <w:hideMark/>
          </w:tcPr>
          <w:p w14:paraId="56F1A2C4" w14:textId="77777777" w:rsidR="00AD4C34" w:rsidRPr="002B55E9" w:rsidRDefault="00AD4C34" w:rsidP="00AD4C34">
            <w:pPr>
              <w:pStyle w:val="lgy-"/>
              <w:rPr>
                <w:rFonts w:eastAsia="宋体"/>
              </w:rPr>
            </w:pPr>
            <w:r w:rsidRPr="002B55E9">
              <w:rPr>
                <w:rFonts w:eastAsia="宋体" w:hint="eastAsia"/>
              </w:rPr>
              <w:lastRenderedPageBreak/>
              <w:t>其他</w:t>
            </w:r>
          </w:p>
        </w:tc>
        <w:tc>
          <w:tcPr>
            <w:tcW w:w="745" w:type="dxa"/>
            <w:hideMark/>
          </w:tcPr>
          <w:p w14:paraId="0EFE1272" w14:textId="77777777" w:rsidR="00AD4C34" w:rsidRPr="002B55E9" w:rsidRDefault="00AD4C34" w:rsidP="00AD4C34">
            <w:pPr>
              <w:pStyle w:val="lgy-"/>
              <w:rPr>
                <w:rFonts w:eastAsia="宋体"/>
              </w:rPr>
            </w:pPr>
            <w:r w:rsidRPr="002B55E9">
              <w:rPr>
                <w:rFonts w:eastAsia="宋体" w:hint="eastAsia"/>
              </w:rPr>
              <w:t>包装瓶清洗</w:t>
            </w:r>
          </w:p>
        </w:tc>
        <w:tc>
          <w:tcPr>
            <w:tcW w:w="692" w:type="dxa"/>
            <w:hideMark/>
          </w:tcPr>
          <w:p w14:paraId="44165FB4" w14:textId="5F0FF8A0" w:rsidR="00AD4C34" w:rsidRPr="002B55E9" w:rsidRDefault="00AD4C34" w:rsidP="00AD4C34">
            <w:pPr>
              <w:pStyle w:val="lgy-"/>
              <w:rPr>
                <w:rFonts w:eastAsia="宋体"/>
              </w:rPr>
            </w:pPr>
            <w:r w:rsidRPr="002B55E9">
              <w:rPr>
                <w:rFonts w:eastAsia="宋体"/>
              </w:rPr>
              <w:t xml:space="preserve">96036 </w:t>
            </w:r>
          </w:p>
        </w:tc>
        <w:tc>
          <w:tcPr>
            <w:tcW w:w="650" w:type="dxa"/>
            <w:hideMark/>
          </w:tcPr>
          <w:p w14:paraId="29625063" w14:textId="67B3AFCD" w:rsidR="00AD4C34" w:rsidRPr="002B55E9" w:rsidRDefault="00AD4C34" w:rsidP="00AD4C34">
            <w:pPr>
              <w:pStyle w:val="lgy-"/>
              <w:rPr>
                <w:rFonts w:eastAsia="宋体"/>
              </w:rPr>
            </w:pPr>
            <w:r w:rsidRPr="002B55E9">
              <w:rPr>
                <w:rFonts w:eastAsia="宋体"/>
              </w:rPr>
              <w:t xml:space="preserve">0 </w:t>
            </w:r>
          </w:p>
        </w:tc>
        <w:tc>
          <w:tcPr>
            <w:tcW w:w="736" w:type="dxa"/>
            <w:hideMark/>
          </w:tcPr>
          <w:p w14:paraId="3BB2B132" w14:textId="1A418FD0" w:rsidR="00AD4C34" w:rsidRPr="002B55E9" w:rsidRDefault="00AD4C34" w:rsidP="00AD4C34">
            <w:pPr>
              <w:pStyle w:val="lgy-"/>
              <w:rPr>
                <w:rFonts w:eastAsia="宋体"/>
              </w:rPr>
            </w:pPr>
            <w:r w:rsidRPr="002B55E9">
              <w:rPr>
                <w:rFonts w:eastAsia="宋体"/>
              </w:rPr>
              <w:t xml:space="preserve">96036 </w:t>
            </w:r>
          </w:p>
        </w:tc>
        <w:tc>
          <w:tcPr>
            <w:tcW w:w="708" w:type="dxa"/>
            <w:hideMark/>
          </w:tcPr>
          <w:p w14:paraId="51448CBA" w14:textId="34917F5F" w:rsidR="00AD4C34" w:rsidRPr="002B55E9" w:rsidRDefault="00AD4C34" w:rsidP="00AD4C34">
            <w:pPr>
              <w:pStyle w:val="lgy-"/>
              <w:rPr>
                <w:rFonts w:eastAsia="宋体"/>
              </w:rPr>
            </w:pPr>
            <w:r w:rsidRPr="002B55E9">
              <w:rPr>
                <w:rFonts w:eastAsia="宋体"/>
              </w:rPr>
              <w:t xml:space="preserve">0 </w:t>
            </w:r>
          </w:p>
        </w:tc>
        <w:tc>
          <w:tcPr>
            <w:tcW w:w="426" w:type="dxa"/>
            <w:hideMark/>
          </w:tcPr>
          <w:p w14:paraId="4DD792F0" w14:textId="69F8D197" w:rsidR="00AD4C34" w:rsidRPr="002B55E9" w:rsidRDefault="00AD4C34" w:rsidP="00AD4C34">
            <w:pPr>
              <w:pStyle w:val="lgy-"/>
              <w:rPr>
                <w:rFonts w:eastAsia="宋体"/>
              </w:rPr>
            </w:pPr>
            <w:r w:rsidRPr="002B55E9">
              <w:rPr>
                <w:rFonts w:eastAsia="宋体"/>
              </w:rPr>
              <w:t xml:space="preserve">0 </w:t>
            </w:r>
          </w:p>
        </w:tc>
        <w:tc>
          <w:tcPr>
            <w:tcW w:w="556" w:type="dxa"/>
            <w:hideMark/>
          </w:tcPr>
          <w:p w14:paraId="622CD315" w14:textId="1570340E" w:rsidR="00AD4C34" w:rsidRPr="002B55E9" w:rsidRDefault="00AD4C34" w:rsidP="00AD4C34">
            <w:pPr>
              <w:pStyle w:val="lgy-"/>
              <w:rPr>
                <w:rFonts w:eastAsia="宋体"/>
              </w:rPr>
            </w:pPr>
            <w:r w:rsidRPr="002B55E9">
              <w:rPr>
                <w:rFonts w:eastAsia="宋体"/>
              </w:rPr>
              <w:t xml:space="preserve">0 </w:t>
            </w:r>
          </w:p>
        </w:tc>
        <w:tc>
          <w:tcPr>
            <w:tcW w:w="621" w:type="dxa"/>
            <w:hideMark/>
          </w:tcPr>
          <w:p w14:paraId="6CAABAEC" w14:textId="1D7A659E" w:rsidR="00AD4C34" w:rsidRPr="002B55E9" w:rsidRDefault="00AD4C34" w:rsidP="00AD4C34">
            <w:pPr>
              <w:pStyle w:val="lgy-"/>
              <w:rPr>
                <w:rFonts w:eastAsia="宋体"/>
              </w:rPr>
            </w:pPr>
            <w:r w:rsidRPr="002B55E9">
              <w:rPr>
                <w:rFonts w:eastAsia="宋体"/>
              </w:rPr>
              <w:t xml:space="preserve">0 </w:t>
            </w:r>
          </w:p>
        </w:tc>
        <w:tc>
          <w:tcPr>
            <w:tcW w:w="808" w:type="dxa"/>
            <w:hideMark/>
          </w:tcPr>
          <w:p w14:paraId="6CD1D7F5" w14:textId="3EFB5A3F" w:rsidR="00AD4C34" w:rsidRPr="002B55E9" w:rsidRDefault="00AD4C34" w:rsidP="00AD4C34">
            <w:pPr>
              <w:pStyle w:val="lgy-"/>
              <w:rPr>
                <w:rFonts w:eastAsia="宋体"/>
              </w:rPr>
            </w:pPr>
            <w:r w:rsidRPr="002B55E9">
              <w:rPr>
                <w:rFonts w:eastAsia="宋体"/>
              </w:rPr>
              <w:t xml:space="preserve">0 </w:t>
            </w:r>
          </w:p>
        </w:tc>
        <w:tc>
          <w:tcPr>
            <w:tcW w:w="633" w:type="dxa"/>
            <w:hideMark/>
          </w:tcPr>
          <w:p w14:paraId="4956C551" w14:textId="6DC9A911" w:rsidR="00AD4C34" w:rsidRPr="002B55E9" w:rsidRDefault="00AD4C34" w:rsidP="00AD4C34">
            <w:pPr>
              <w:pStyle w:val="lgy-"/>
              <w:rPr>
                <w:rFonts w:eastAsia="宋体"/>
              </w:rPr>
            </w:pPr>
            <w:r w:rsidRPr="002B55E9">
              <w:rPr>
                <w:rFonts w:eastAsia="宋体"/>
              </w:rPr>
              <w:t xml:space="preserve">0 </w:t>
            </w:r>
          </w:p>
        </w:tc>
        <w:tc>
          <w:tcPr>
            <w:tcW w:w="426" w:type="dxa"/>
            <w:hideMark/>
          </w:tcPr>
          <w:p w14:paraId="20DCA33F" w14:textId="66375AF0" w:rsidR="00AD4C34" w:rsidRPr="002B55E9" w:rsidRDefault="00AD4C34" w:rsidP="00AD4C34">
            <w:pPr>
              <w:pStyle w:val="lgy-"/>
              <w:rPr>
                <w:rFonts w:eastAsia="宋体"/>
              </w:rPr>
            </w:pPr>
            <w:r w:rsidRPr="002B55E9">
              <w:rPr>
                <w:rFonts w:eastAsia="宋体"/>
              </w:rPr>
              <w:t xml:space="preserve">0 </w:t>
            </w:r>
          </w:p>
        </w:tc>
        <w:tc>
          <w:tcPr>
            <w:tcW w:w="687" w:type="dxa"/>
            <w:hideMark/>
          </w:tcPr>
          <w:p w14:paraId="4B6F742A" w14:textId="0291945F" w:rsidR="00AD4C34" w:rsidRPr="002B55E9" w:rsidRDefault="00AD4C34" w:rsidP="00AD4C34">
            <w:pPr>
              <w:pStyle w:val="lgy-"/>
              <w:rPr>
                <w:rFonts w:eastAsia="宋体"/>
              </w:rPr>
            </w:pPr>
            <w:r w:rsidRPr="002B55E9">
              <w:rPr>
                <w:rFonts w:eastAsia="宋体"/>
              </w:rPr>
              <w:t xml:space="preserve">9604 </w:t>
            </w:r>
          </w:p>
        </w:tc>
        <w:tc>
          <w:tcPr>
            <w:tcW w:w="687" w:type="dxa"/>
            <w:hideMark/>
          </w:tcPr>
          <w:p w14:paraId="0DC845A7" w14:textId="5C51D63E" w:rsidR="00AD4C34" w:rsidRPr="002B55E9" w:rsidRDefault="00AD4C34" w:rsidP="00AD4C34">
            <w:pPr>
              <w:pStyle w:val="lgy-"/>
              <w:rPr>
                <w:rFonts w:eastAsia="宋体"/>
              </w:rPr>
            </w:pPr>
            <w:r w:rsidRPr="002B55E9">
              <w:rPr>
                <w:rFonts w:eastAsia="宋体"/>
              </w:rPr>
              <w:t xml:space="preserve">86432 </w:t>
            </w:r>
          </w:p>
        </w:tc>
        <w:tc>
          <w:tcPr>
            <w:tcW w:w="734" w:type="dxa"/>
            <w:hideMark/>
          </w:tcPr>
          <w:p w14:paraId="5724DBB4" w14:textId="4C414105" w:rsidR="00AD4C34" w:rsidRPr="002B55E9" w:rsidRDefault="00AD4C34" w:rsidP="00AD4C34">
            <w:pPr>
              <w:pStyle w:val="lgy-"/>
              <w:rPr>
                <w:rFonts w:eastAsia="宋体"/>
              </w:rPr>
            </w:pPr>
            <w:r w:rsidRPr="002B55E9">
              <w:rPr>
                <w:rFonts w:eastAsia="宋体"/>
              </w:rPr>
              <w:t xml:space="preserve">0 </w:t>
            </w:r>
          </w:p>
        </w:tc>
      </w:tr>
      <w:tr w:rsidR="002B55E9" w:rsidRPr="002B55E9" w14:paraId="4B0BF5FA" w14:textId="77777777" w:rsidTr="00AD4C34">
        <w:trPr>
          <w:trHeight w:val="283"/>
        </w:trPr>
        <w:tc>
          <w:tcPr>
            <w:tcW w:w="529" w:type="dxa"/>
            <w:vMerge/>
            <w:hideMark/>
          </w:tcPr>
          <w:p w14:paraId="6816C7C2" w14:textId="77777777" w:rsidR="00AD4C34" w:rsidRPr="002B55E9" w:rsidRDefault="00AD4C34" w:rsidP="00AD4C34">
            <w:pPr>
              <w:pStyle w:val="lgy-"/>
              <w:rPr>
                <w:rFonts w:eastAsia="宋体"/>
              </w:rPr>
            </w:pPr>
          </w:p>
        </w:tc>
        <w:tc>
          <w:tcPr>
            <w:tcW w:w="745" w:type="dxa"/>
            <w:hideMark/>
          </w:tcPr>
          <w:p w14:paraId="4CFA5822" w14:textId="77777777" w:rsidR="00AD4C34" w:rsidRPr="002B55E9" w:rsidRDefault="00AD4C34" w:rsidP="00AD4C34">
            <w:pPr>
              <w:pStyle w:val="lgy-"/>
              <w:rPr>
                <w:rFonts w:eastAsia="宋体"/>
              </w:rPr>
            </w:pPr>
            <w:r w:rsidRPr="002B55E9">
              <w:rPr>
                <w:rFonts w:eastAsia="宋体" w:hint="eastAsia"/>
              </w:rPr>
              <w:t>设备清洗</w:t>
            </w:r>
          </w:p>
        </w:tc>
        <w:tc>
          <w:tcPr>
            <w:tcW w:w="692" w:type="dxa"/>
            <w:hideMark/>
          </w:tcPr>
          <w:p w14:paraId="3B13F774" w14:textId="7CC3D6B2" w:rsidR="00AD4C34" w:rsidRPr="002B55E9" w:rsidRDefault="00AD4C34" w:rsidP="00AD4C34">
            <w:pPr>
              <w:pStyle w:val="lgy-"/>
              <w:rPr>
                <w:rFonts w:eastAsia="宋体"/>
              </w:rPr>
            </w:pPr>
            <w:r w:rsidRPr="002B55E9">
              <w:rPr>
                <w:rFonts w:eastAsia="宋体"/>
              </w:rPr>
              <w:t xml:space="preserve">79654 </w:t>
            </w:r>
          </w:p>
        </w:tc>
        <w:tc>
          <w:tcPr>
            <w:tcW w:w="650" w:type="dxa"/>
            <w:hideMark/>
          </w:tcPr>
          <w:p w14:paraId="0808F496" w14:textId="0E797413" w:rsidR="00AD4C34" w:rsidRPr="002B55E9" w:rsidRDefault="00AD4C34" w:rsidP="00AD4C34">
            <w:pPr>
              <w:pStyle w:val="lgy-"/>
              <w:rPr>
                <w:rFonts w:eastAsia="宋体"/>
              </w:rPr>
            </w:pPr>
            <w:r w:rsidRPr="002B55E9">
              <w:rPr>
                <w:rFonts w:eastAsia="宋体"/>
              </w:rPr>
              <w:t xml:space="preserve">0 </w:t>
            </w:r>
          </w:p>
        </w:tc>
        <w:tc>
          <w:tcPr>
            <w:tcW w:w="736" w:type="dxa"/>
            <w:hideMark/>
          </w:tcPr>
          <w:p w14:paraId="5A9BD0FE" w14:textId="53722E17" w:rsidR="00AD4C34" w:rsidRPr="002B55E9" w:rsidRDefault="00AD4C34" w:rsidP="00AD4C34">
            <w:pPr>
              <w:pStyle w:val="lgy-"/>
              <w:rPr>
                <w:rFonts w:eastAsia="宋体"/>
              </w:rPr>
            </w:pPr>
            <w:r w:rsidRPr="002B55E9">
              <w:rPr>
                <w:rFonts w:eastAsia="宋体"/>
              </w:rPr>
              <w:t xml:space="preserve">79654 </w:t>
            </w:r>
          </w:p>
        </w:tc>
        <w:tc>
          <w:tcPr>
            <w:tcW w:w="708" w:type="dxa"/>
            <w:hideMark/>
          </w:tcPr>
          <w:p w14:paraId="26AD8A73" w14:textId="7EB30085" w:rsidR="00AD4C34" w:rsidRPr="002B55E9" w:rsidRDefault="00AD4C34" w:rsidP="00AD4C34">
            <w:pPr>
              <w:pStyle w:val="lgy-"/>
              <w:rPr>
                <w:rFonts w:eastAsia="宋体"/>
              </w:rPr>
            </w:pPr>
            <w:r w:rsidRPr="002B55E9">
              <w:rPr>
                <w:rFonts w:eastAsia="宋体"/>
              </w:rPr>
              <w:t xml:space="preserve">0 </w:t>
            </w:r>
          </w:p>
        </w:tc>
        <w:tc>
          <w:tcPr>
            <w:tcW w:w="426" w:type="dxa"/>
            <w:hideMark/>
          </w:tcPr>
          <w:p w14:paraId="6AA52003" w14:textId="7C6BE53F" w:rsidR="00AD4C34" w:rsidRPr="002B55E9" w:rsidRDefault="00AD4C34" w:rsidP="00AD4C34">
            <w:pPr>
              <w:pStyle w:val="lgy-"/>
              <w:rPr>
                <w:rFonts w:eastAsia="宋体"/>
              </w:rPr>
            </w:pPr>
            <w:r w:rsidRPr="002B55E9">
              <w:rPr>
                <w:rFonts w:eastAsia="宋体"/>
              </w:rPr>
              <w:t xml:space="preserve">0 </w:t>
            </w:r>
          </w:p>
        </w:tc>
        <w:tc>
          <w:tcPr>
            <w:tcW w:w="556" w:type="dxa"/>
            <w:hideMark/>
          </w:tcPr>
          <w:p w14:paraId="5BCA02CE" w14:textId="7BF2F072" w:rsidR="00AD4C34" w:rsidRPr="002B55E9" w:rsidRDefault="00AD4C34" w:rsidP="00AD4C34">
            <w:pPr>
              <w:pStyle w:val="lgy-"/>
              <w:rPr>
                <w:rFonts w:eastAsia="宋体"/>
              </w:rPr>
            </w:pPr>
            <w:r w:rsidRPr="002B55E9">
              <w:rPr>
                <w:rFonts w:eastAsia="宋体"/>
              </w:rPr>
              <w:t xml:space="preserve">0 </w:t>
            </w:r>
          </w:p>
        </w:tc>
        <w:tc>
          <w:tcPr>
            <w:tcW w:w="621" w:type="dxa"/>
            <w:hideMark/>
          </w:tcPr>
          <w:p w14:paraId="6FDA925E" w14:textId="2772437E" w:rsidR="00AD4C34" w:rsidRPr="002B55E9" w:rsidRDefault="00AD4C34" w:rsidP="00AD4C34">
            <w:pPr>
              <w:pStyle w:val="lgy-"/>
              <w:rPr>
                <w:rFonts w:eastAsia="宋体"/>
              </w:rPr>
            </w:pPr>
            <w:r w:rsidRPr="002B55E9">
              <w:rPr>
                <w:rFonts w:eastAsia="宋体"/>
              </w:rPr>
              <w:t xml:space="preserve">0 </w:t>
            </w:r>
          </w:p>
        </w:tc>
        <w:tc>
          <w:tcPr>
            <w:tcW w:w="808" w:type="dxa"/>
            <w:hideMark/>
          </w:tcPr>
          <w:p w14:paraId="2F2E11D1" w14:textId="78E92D41" w:rsidR="00AD4C34" w:rsidRPr="002B55E9" w:rsidRDefault="00AD4C34" w:rsidP="00AD4C34">
            <w:pPr>
              <w:pStyle w:val="lgy-"/>
              <w:rPr>
                <w:rFonts w:eastAsia="宋体"/>
              </w:rPr>
            </w:pPr>
            <w:r w:rsidRPr="002B55E9">
              <w:rPr>
                <w:rFonts w:eastAsia="宋体"/>
              </w:rPr>
              <w:t xml:space="preserve">0 </w:t>
            </w:r>
          </w:p>
        </w:tc>
        <w:tc>
          <w:tcPr>
            <w:tcW w:w="633" w:type="dxa"/>
            <w:hideMark/>
          </w:tcPr>
          <w:p w14:paraId="156E4789" w14:textId="76F02DF4" w:rsidR="00AD4C34" w:rsidRPr="002B55E9" w:rsidRDefault="00AD4C34" w:rsidP="00AD4C34">
            <w:pPr>
              <w:pStyle w:val="lgy-"/>
              <w:rPr>
                <w:rFonts w:eastAsia="宋体"/>
              </w:rPr>
            </w:pPr>
            <w:r w:rsidRPr="002B55E9">
              <w:rPr>
                <w:rFonts w:eastAsia="宋体"/>
              </w:rPr>
              <w:t xml:space="preserve">0 </w:t>
            </w:r>
          </w:p>
        </w:tc>
        <w:tc>
          <w:tcPr>
            <w:tcW w:w="426" w:type="dxa"/>
            <w:hideMark/>
          </w:tcPr>
          <w:p w14:paraId="42BB069F" w14:textId="1D668049" w:rsidR="00AD4C34" w:rsidRPr="002B55E9" w:rsidRDefault="00AD4C34" w:rsidP="00AD4C34">
            <w:pPr>
              <w:pStyle w:val="lgy-"/>
              <w:rPr>
                <w:rFonts w:eastAsia="宋体"/>
              </w:rPr>
            </w:pPr>
            <w:r w:rsidRPr="002B55E9">
              <w:rPr>
                <w:rFonts w:eastAsia="宋体"/>
              </w:rPr>
              <w:t xml:space="preserve">0 </w:t>
            </w:r>
          </w:p>
        </w:tc>
        <w:tc>
          <w:tcPr>
            <w:tcW w:w="687" w:type="dxa"/>
            <w:hideMark/>
          </w:tcPr>
          <w:p w14:paraId="1BF9CFEA" w14:textId="39BE9F3D" w:rsidR="00AD4C34" w:rsidRPr="002B55E9" w:rsidRDefault="00AD4C34" w:rsidP="00AD4C34">
            <w:pPr>
              <w:pStyle w:val="lgy-"/>
              <w:rPr>
                <w:rFonts w:eastAsia="宋体"/>
              </w:rPr>
            </w:pPr>
            <w:r w:rsidRPr="002B55E9">
              <w:rPr>
                <w:rFonts w:eastAsia="宋体"/>
              </w:rPr>
              <w:t xml:space="preserve">7965 </w:t>
            </w:r>
          </w:p>
        </w:tc>
        <w:tc>
          <w:tcPr>
            <w:tcW w:w="687" w:type="dxa"/>
            <w:hideMark/>
          </w:tcPr>
          <w:p w14:paraId="59AA08CA" w14:textId="650BE840" w:rsidR="00AD4C34" w:rsidRPr="002B55E9" w:rsidRDefault="00AD4C34" w:rsidP="00AD4C34">
            <w:pPr>
              <w:pStyle w:val="lgy-"/>
              <w:rPr>
                <w:rFonts w:eastAsia="宋体"/>
              </w:rPr>
            </w:pPr>
            <w:r w:rsidRPr="002B55E9">
              <w:rPr>
                <w:rFonts w:eastAsia="宋体"/>
              </w:rPr>
              <w:t xml:space="preserve">71689 </w:t>
            </w:r>
          </w:p>
        </w:tc>
        <w:tc>
          <w:tcPr>
            <w:tcW w:w="734" w:type="dxa"/>
            <w:hideMark/>
          </w:tcPr>
          <w:p w14:paraId="6B2023D8" w14:textId="03E2C7E3" w:rsidR="00AD4C34" w:rsidRPr="002B55E9" w:rsidRDefault="00AD4C34" w:rsidP="00AD4C34">
            <w:pPr>
              <w:pStyle w:val="lgy-"/>
              <w:rPr>
                <w:rFonts w:eastAsia="宋体"/>
              </w:rPr>
            </w:pPr>
            <w:r w:rsidRPr="002B55E9">
              <w:rPr>
                <w:rFonts w:eastAsia="宋体"/>
              </w:rPr>
              <w:t xml:space="preserve">0 </w:t>
            </w:r>
          </w:p>
        </w:tc>
      </w:tr>
      <w:tr w:rsidR="002B55E9" w:rsidRPr="002B55E9" w14:paraId="56C6EB2D" w14:textId="77777777" w:rsidTr="00AD4C34">
        <w:trPr>
          <w:trHeight w:val="283"/>
        </w:trPr>
        <w:tc>
          <w:tcPr>
            <w:tcW w:w="529" w:type="dxa"/>
            <w:vMerge/>
            <w:hideMark/>
          </w:tcPr>
          <w:p w14:paraId="24E84FDD" w14:textId="77777777" w:rsidR="00AD4C34" w:rsidRPr="002B55E9" w:rsidRDefault="00AD4C34" w:rsidP="00AD4C34">
            <w:pPr>
              <w:pStyle w:val="lgy-"/>
              <w:rPr>
                <w:rFonts w:eastAsia="宋体"/>
              </w:rPr>
            </w:pPr>
          </w:p>
        </w:tc>
        <w:tc>
          <w:tcPr>
            <w:tcW w:w="745" w:type="dxa"/>
            <w:hideMark/>
          </w:tcPr>
          <w:p w14:paraId="7F4C952B" w14:textId="77777777" w:rsidR="00AD4C34" w:rsidRPr="002B55E9" w:rsidRDefault="00AD4C34" w:rsidP="00AD4C34">
            <w:pPr>
              <w:pStyle w:val="lgy-"/>
              <w:rPr>
                <w:rFonts w:eastAsia="宋体"/>
              </w:rPr>
            </w:pPr>
            <w:r w:rsidRPr="002B55E9">
              <w:rPr>
                <w:rFonts w:eastAsia="宋体" w:hint="eastAsia"/>
              </w:rPr>
              <w:t>地面清洗</w:t>
            </w:r>
          </w:p>
        </w:tc>
        <w:tc>
          <w:tcPr>
            <w:tcW w:w="692" w:type="dxa"/>
            <w:hideMark/>
          </w:tcPr>
          <w:p w14:paraId="38038231" w14:textId="5E43DE19" w:rsidR="00AD4C34" w:rsidRPr="002B55E9" w:rsidRDefault="00AD4C34" w:rsidP="00AD4C34">
            <w:pPr>
              <w:pStyle w:val="lgy-"/>
              <w:rPr>
                <w:rFonts w:eastAsia="宋体"/>
              </w:rPr>
            </w:pPr>
            <w:r w:rsidRPr="002B55E9">
              <w:rPr>
                <w:rFonts w:eastAsia="宋体"/>
              </w:rPr>
              <w:t xml:space="preserve">1320 </w:t>
            </w:r>
          </w:p>
        </w:tc>
        <w:tc>
          <w:tcPr>
            <w:tcW w:w="650" w:type="dxa"/>
            <w:hideMark/>
          </w:tcPr>
          <w:p w14:paraId="79A6571B" w14:textId="2B4683BF" w:rsidR="00AD4C34" w:rsidRPr="002B55E9" w:rsidRDefault="00AD4C34" w:rsidP="00AD4C34">
            <w:pPr>
              <w:pStyle w:val="lgy-"/>
              <w:rPr>
                <w:rFonts w:eastAsia="宋体"/>
              </w:rPr>
            </w:pPr>
            <w:r w:rsidRPr="002B55E9">
              <w:rPr>
                <w:rFonts w:eastAsia="宋体"/>
              </w:rPr>
              <w:t xml:space="preserve">0 </w:t>
            </w:r>
          </w:p>
        </w:tc>
        <w:tc>
          <w:tcPr>
            <w:tcW w:w="736" w:type="dxa"/>
            <w:hideMark/>
          </w:tcPr>
          <w:p w14:paraId="7D68A7AF" w14:textId="65B4E3D0" w:rsidR="00AD4C34" w:rsidRPr="002B55E9" w:rsidRDefault="00AD4C34" w:rsidP="00AD4C34">
            <w:pPr>
              <w:pStyle w:val="lgy-"/>
              <w:rPr>
                <w:rFonts w:eastAsia="宋体"/>
              </w:rPr>
            </w:pPr>
            <w:r w:rsidRPr="002B55E9">
              <w:rPr>
                <w:rFonts w:eastAsia="宋体"/>
              </w:rPr>
              <w:t xml:space="preserve">0 </w:t>
            </w:r>
          </w:p>
        </w:tc>
        <w:tc>
          <w:tcPr>
            <w:tcW w:w="708" w:type="dxa"/>
            <w:hideMark/>
          </w:tcPr>
          <w:p w14:paraId="32F5CE99" w14:textId="476C81F8" w:rsidR="00AD4C34" w:rsidRPr="002B55E9" w:rsidRDefault="00AD4C34" w:rsidP="00AD4C34">
            <w:pPr>
              <w:pStyle w:val="lgy-"/>
              <w:rPr>
                <w:rFonts w:eastAsia="宋体"/>
              </w:rPr>
            </w:pPr>
            <w:r w:rsidRPr="002B55E9">
              <w:rPr>
                <w:rFonts w:eastAsia="宋体"/>
              </w:rPr>
              <w:t xml:space="preserve">0 </w:t>
            </w:r>
          </w:p>
        </w:tc>
        <w:tc>
          <w:tcPr>
            <w:tcW w:w="426" w:type="dxa"/>
            <w:hideMark/>
          </w:tcPr>
          <w:p w14:paraId="1B039E53" w14:textId="55CC130C" w:rsidR="00AD4C34" w:rsidRPr="002B55E9" w:rsidRDefault="00AD4C34" w:rsidP="00AD4C34">
            <w:pPr>
              <w:pStyle w:val="lgy-"/>
              <w:rPr>
                <w:rFonts w:eastAsia="宋体"/>
              </w:rPr>
            </w:pPr>
            <w:r w:rsidRPr="002B55E9">
              <w:rPr>
                <w:rFonts w:eastAsia="宋体"/>
              </w:rPr>
              <w:t xml:space="preserve">0 </w:t>
            </w:r>
          </w:p>
        </w:tc>
        <w:tc>
          <w:tcPr>
            <w:tcW w:w="556" w:type="dxa"/>
            <w:hideMark/>
          </w:tcPr>
          <w:p w14:paraId="74DD885A" w14:textId="548B3E50" w:rsidR="00AD4C34" w:rsidRPr="002B55E9" w:rsidRDefault="00AD4C34" w:rsidP="00AD4C34">
            <w:pPr>
              <w:pStyle w:val="lgy-"/>
              <w:rPr>
                <w:rFonts w:eastAsia="宋体"/>
              </w:rPr>
            </w:pPr>
            <w:r w:rsidRPr="002B55E9">
              <w:rPr>
                <w:rFonts w:eastAsia="宋体"/>
              </w:rPr>
              <w:t xml:space="preserve">1320 </w:t>
            </w:r>
          </w:p>
        </w:tc>
        <w:tc>
          <w:tcPr>
            <w:tcW w:w="621" w:type="dxa"/>
            <w:hideMark/>
          </w:tcPr>
          <w:p w14:paraId="71C4D95B" w14:textId="1546423F" w:rsidR="00AD4C34" w:rsidRPr="002B55E9" w:rsidRDefault="00AD4C34" w:rsidP="00AD4C34">
            <w:pPr>
              <w:pStyle w:val="lgy-"/>
              <w:rPr>
                <w:rFonts w:eastAsia="宋体"/>
              </w:rPr>
            </w:pPr>
            <w:r w:rsidRPr="002B55E9">
              <w:rPr>
                <w:rFonts w:eastAsia="宋体"/>
              </w:rPr>
              <w:t xml:space="preserve">0 </w:t>
            </w:r>
          </w:p>
        </w:tc>
        <w:tc>
          <w:tcPr>
            <w:tcW w:w="808" w:type="dxa"/>
            <w:hideMark/>
          </w:tcPr>
          <w:p w14:paraId="27D37138" w14:textId="0C05AB99" w:rsidR="00AD4C34" w:rsidRPr="002B55E9" w:rsidRDefault="00AD4C34" w:rsidP="00AD4C34">
            <w:pPr>
              <w:pStyle w:val="lgy-"/>
              <w:rPr>
                <w:rFonts w:eastAsia="宋体"/>
              </w:rPr>
            </w:pPr>
            <w:r w:rsidRPr="002B55E9">
              <w:rPr>
                <w:rFonts w:eastAsia="宋体"/>
              </w:rPr>
              <w:t xml:space="preserve">0 </w:t>
            </w:r>
          </w:p>
        </w:tc>
        <w:tc>
          <w:tcPr>
            <w:tcW w:w="633" w:type="dxa"/>
            <w:hideMark/>
          </w:tcPr>
          <w:p w14:paraId="75AB403E" w14:textId="780B74ED" w:rsidR="00AD4C34" w:rsidRPr="002B55E9" w:rsidRDefault="00AD4C34" w:rsidP="00AD4C34">
            <w:pPr>
              <w:pStyle w:val="lgy-"/>
              <w:rPr>
                <w:rFonts w:eastAsia="宋体"/>
              </w:rPr>
            </w:pPr>
            <w:r w:rsidRPr="002B55E9">
              <w:rPr>
                <w:rFonts w:eastAsia="宋体"/>
              </w:rPr>
              <w:t xml:space="preserve">0 </w:t>
            </w:r>
          </w:p>
        </w:tc>
        <w:tc>
          <w:tcPr>
            <w:tcW w:w="426" w:type="dxa"/>
            <w:hideMark/>
          </w:tcPr>
          <w:p w14:paraId="45CC6EA1" w14:textId="6E7A002B" w:rsidR="00AD4C34" w:rsidRPr="002B55E9" w:rsidRDefault="00AD4C34" w:rsidP="00AD4C34">
            <w:pPr>
              <w:pStyle w:val="lgy-"/>
              <w:rPr>
                <w:rFonts w:eastAsia="宋体"/>
              </w:rPr>
            </w:pPr>
            <w:r w:rsidRPr="002B55E9">
              <w:rPr>
                <w:rFonts w:eastAsia="宋体"/>
              </w:rPr>
              <w:t xml:space="preserve">0 </w:t>
            </w:r>
          </w:p>
        </w:tc>
        <w:tc>
          <w:tcPr>
            <w:tcW w:w="687" w:type="dxa"/>
            <w:hideMark/>
          </w:tcPr>
          <w:p w14:paraId="4EBCE3BD" w14:textId="22AA2A8A" w:rsidR="00AD4C34" w:rsidRPr="002B55E9" w:rsidRDefault="00AD4C34" w:rsidP="00AD4C34">
            <w:pPr>
              <w:pStyle w:val="lgy-"/>
              <w:rPr>
                <w:rFonts w:eastAsia="宋体"/>
              </w:rPr>
            </w:pPr>
            <w:r w:rsidRPr="002B55E9">
              <w:rPr>
                <w:rFonts w:eastAsia="宋体"/>
              </w:rPr>
              <w:t xml:space="preserve">264 </w:t>
            </w:r>
          </w:p>
        </w:tc>
        <w:tc>
          <w:tcPr>
            <w:tcW w:w="687" w:type="dxa"/>
            <w:hideMark/>
          </w:tcPr>
          <w:p w14:paraId="3F79ADEA" w14:textId="1A6F7C07" w:rsidR="00AD4C34" w:rsidRPr="002B55E9" w:rsidRDefault="00AD4C34" w:rsidP="00AD4C34">
            <w:pPr>
              <w:pStyle w:val="lgy-"/>
              <w:rPr>
                <w:rFonts w:eastAsia="宋体"/>
              </w:rPr>
            </w:pPr>
            <w:r w:rsidRPr="002B55E9">
              <w:rPr>
                <w:rFonts w:eastAsia="宋体"/>
              </w:rPr>
              <w:t xml:space="preserve">1056 </w:t>
            </w:r>
          </w:p>
        </w:tc>
        <w:tc>
          <w:tcPr>
            <w:tcW w:w="734" w:type="dxa"/>
            <w:hideMark/>
          </w:tcPr>
          <w:p w14:paraId="3A11C532" w14:textId="0D337268" w:rsidR="00AD4C34" w:rsidRPr="002B55E9" w:rsidRDefault="00AD4C34" w:rsidP="00AD4C34">
            <w:pPr>
              <w:pStyle w:val="lgy-"/>
              <w:rPr>
                <w:rFonts w:eastAsia="宋体"/>
              </w:rPr>
            </w:pPr>
            <w:r w:rsidRPr="002B55E9">
              <w:rPr>
                <w:rFonts w:eastAsia="宋体"/>
              </w:rPr>
              <w:t xml:space="preserve">0 </w:t>
            </w:r>
          </w:p>
        </w:tc>
      </w:tr>
      <w:tr w:rsidR="002B55E9" w:rsidRPr="002B55E9" w14:paraId="53F7C2DC" w14:textId="77777777" w:rsidTr="00AD4C34">
        <w:trPr>
          <w:trHeight w:val="283"/>
        </w:trPr>
        <w:tc>
          <w:tcPr>
            <w:tcW w:w="529" w:type="dxa"/>
            <w:vMerge/>
            <w:hideMark/>
          </w:tcPr>
          <w:p w14:paraId="2838F949" w14:textId="77777777" w:rsidR="00AD4C34" w:rsidRPr="002B55E9" w:rsidRDefault="00AD4C34" w:rsidP="00AD4C34">
            <w:pPr>
              <w:pStyle w:val="lgy-"/>
              <w:rPr>
                <w:rFonts w:eastAsia="宋体"/>
              </w:rPr>
            </w:pPr>
          </w:p>
        </w:tc>
        <w:tc>
          <w:tcPr>
            <w:tcW w:w="745" w:type="dxa"/>
            <w:hideMark/>
          </w:tcPr>
          <w:p w14:paraId="2CC03A7D" w14:textId="77777777" w:rsidR="00AD4C34" w:rsidRPr="002B55E9" w:rsidRDefault="00AD4C34" w:rsidP="00AD4C34">
            <w:pPr>
              <w:pStyle w:val="lgy-"/>
              <w:rPr>
                <w:rFonts w:eastAsia="宋体"/>
              </w:rPr>
            </w:pPr>
            <w:r w:rsidRPr="002B55E9">
              <w:rPr>
                <w:rFonts w:eastAsia="宋体" w:hint="eastAsia"/>
              </w:rPr>
              <w:t>喷淋塔用水</w:t>
            </w:r>
          </w:p>
        </w:tc>
        <w:tc>
          <w:tcPr>
            <w:tcW w:w="692" w:type="dxa"/>
            <w:hideMark/>
          </w:tcPr>
          <w:p w14:paraId="6590A67F" w14:textId="0E2937FF" w:rsidR="00AD4C34" w:rsidRPr="002B55E9" w:rsidRDefault="00AD4C34" w:rsidP="00AD4C34">
            <w:pPr>
              <w:pStyle w:val="lgy-"/>
              <w:rPr>
                <w:rFonts w:eastAsia="宋体"/>
              </w:rPr>
            </w:pPr>
            <w:r w:rsidRPr="002B55E9">
              <w:rPr>
                <w:rFonts w:eastAsia="宋体"/>
              </w:rPr>
              <w:t xml:space="preserve">4950 </w:t>
            </w:r>
          </w:p>
        </w:tc>
        <w:tc>
          <w:tcPr>
            <w:tcW w:w="650" w:type="dxa"/>
            <w:hideMark/>
          </w:tcPr>
          <w:p w14:paraId="79505536" w14:textId="20F59331" w:rsidR="00AD4C34" w:rsidRPr="002B55E9" w:rsidRDefault="00AD4C34" w:rsidP="00AD4C34">
            <w:pPr>
              <w:pStyle w:val="lgy-"/>
              <w:rPr>
                <w:rFonts w:eastAsia="宋体"/>
              </w:rPr>
            </w:pPr>
            <w:r w:rsidRPr="002B55E9">
              <w:rPr>
                <w:rFonts w:eastAsia="宋体"/>
              </w:rPr>
              <w:t xml:space="preserve">0 </w:t>
            </w:r>
          </w:p>
        </w:tc>
        <w:tc>
          <w:tcPr>
            <w:tcW w:w="736" w:type="dxa"/>
            <w:hideMark/>
          </w:tcPr>
          <w:p w14:paraId="19E1FB38" w14:textId="483BC9BD" w:rsidR="00AD4C34" w:rsidRPr="002B55E9" w:rsidRDefault="00AD4C34" w:rsidP="00AD4C34">
            <w:pPr>
              <w:pStyle w:val="lgy-"/>
              <w:rPr>
                <w:rFonts w:eastAsia="宋体"/>
              </w:rPr>
            </w:pPr>
            <w:r w:rsidRPr="002B55E9">
              <w:rPr>
                <w:rFonts w:eastAsia="宋体"/>
              </w:rPr>
              <w:t xml:space="preserve">4950 </w:t>
            </w:r>
          </w:p>
        </w:tc>
        <w:tc>
          <w:tcPr>
            <w:tcW w:w="708" w:type="dxa"/>
            <w:hideMark/>
          </w:tcPr>
          <w:p w14:paraId="0D6F5DE7" w14:textId="669C910D" w:rsidR="00AD4C34" w:rsidRPr="002B55E9" w:rsidRDefault="00AD4C34" w:rsidP="00AD4C34">
            <w:pPr>
              <w:pStyle w:val="lgy-"/>
              <w:rPr>
                <w:rFonts w:eastAsia="宋体"/>
              </w:rPr>
            </w:pPr>
            <w:r w:rsidRPr="002B55E9">
              <w:rPr>
                <w:rFonts w:eastAsia="宋体"/>
              </w:rPr>
              <w:t xml:space="preserve">0 </w:t>
            </w:r>
          </w:p>
        </w:tc>
        <w:tc>
          <w:tcPr>
            <w:tcW w:w="426" w:type="dxa"/>
            <w:hideMark/>
          </w:tcPr>
          <w:p w14:paraId="04721022" w14:textId="79FBCD04" w:rsidR="00AD4C34" w:rsidRPr="002B55E9" w:rsidRDefault="00AD4C34" w:rsidP="00AD4C34">
            <w:pPr>
              <w:pStyle w:val="lgy-"/>
              <w:rPr>
                <w:rFonts w:eastAsia="宋体"/>
              </w:rPr>
            </w:pPr>
            <w:r w:rsidRPr="002B55E9">
              <w:rPr>
                <w:rFonts w:eastAsia="宋体"/>
              </w:rPr>
              <w:t xml:space="preserve">0 </w:t>
            </w:r>
          </w:p>
        </w:tc>
        <w:tc>
          <w:tcPr>
            <w:tcW w:w="556" w:type="dxa"/>
            <w:hideMark/>
          </w:tcPr>
          <w:p w14:paraId="26E19815" w14:textId="1052F164" w:rsidR="00AD4C34" w:rsidRPr="002B55E9" w:rsidRDefault="00AD4C34" w:rsidP="00AD4C34">
            <w:pPr>
              <w:pStyle w:val="lgy-"/>
              <w:rPr>
                <w:rFonts w:eastAsia="宋体"/>
              </w:rPr>
            </w:pPr>
            <w:r w:rsidRPr="002B55E9">
              <w:rPr>
                <w:rFonts w:eastAsia="宋体"/>
              </w:rPr>
              <w:t xml:space="preserve">0 </w:t>
            </w:r>
          </w:p>
        </w:tc>
        <w:tc>
          <w:tcPr>
            <w:tcW w:w="621" w:type="dxa"/>
            <w:hideMark/>
          </w:tcPr>
          <w:p w14:paraId="37942C28" w14:textId="6BADE31A" w:rsidR="00AD4C34" w:rsidRPr="002B55E9" w:rsidRDefault="00AD4C34" w:rsidP="00AD4C34">
            <w:pPr>
              <w:pStyle w:val="lgy-"/>
              <w:rPr>
                <w:rFonts w:eastAsia="宋体"/>
              </w:rPr>
            </w:pPr>
            <w:r w:rsidRPr="002B55E9">
              <w:rPr>
                <w:rFonts w:eastAsia="宋体"/>
              </w:rPr>
              <w:t xml:space="preserve">0 </w:t>
            </w:r>
          </w:p>
        </w:tc>
        <w:tc>
          <w:tcPr>
            <w:tcW w:w="808" w:type="dxa"/>
            <w:hideMark/>
          </w:tcPr>
          <w:p w14:paraId="4A6EBBCB" w14:textId="3854616F" w:rsidR="00AD4C34" w:rsidRPr="002B55E9" w:rsidRDefault="00AD4C34" w:rsidP="00AD4C34">
            <w:pPr>
              <w:pStyle w:val="lgy-"/>
              <w:rPr>
                <w:rFonts w:eastAsia="宋体"/>
              </w:rPr>
            </w:pPr>
            <w:r w:rsidRPr="002B55E9">
              <w:rPr>
                <w:rFonts w:eastAsia="宋体"/>
              </w:rPr>
              <w:t xml:space="preserve">0 </w:t>
            </w:r>
          </w:p>
        </w:tc>
        <w:tc>
          <w:tcPr>
            <w:tcW w:w="633" w:type="dxa"/>
            <w:hideMark/>
          </w:tcPr>
          <w:p w14:paraId="15273C9B" w14:textId="38340745" w:rsidR="00AD4C34" w:rsidRPr="002B55E9" w:rsidRDefault="00AD4C34" w:rsidP="00AD4C34">
            <w:pPr>
              <w:pStyle w:val="lgy-"/>
              <w:rPr>
                <w:rFonts w:eastAsia="宋体"/>
              </w:rPr>
            </w:pPr>
            <w:r w:rsidRPr="002B55E9">
              <w:rPr>
                <w:rFonts w:eastAsia="宋体"/>
              </w:rPr>
              <w:t xml:space="preserve">0 </w:t>
            </w:r>
          </w:p>
        </w:tc>
        <w:tc>
          <w:tcPr>
            <w:tcW w:w="426" w:type="dxa"/>
            <w:hideMark/>
          </w:tcPr>
          <w:p w14:paraId="1D4CC254" w14:textId="2519F7F7" w:rsidR="00AD4C34" w:rsidRPr="002B55E9" w:rsidRDefault="00AD4C34" w:rsidP="00AD4C34">
            <w:pPr>
              <w:pStyle w:val="lgy-"/>
              <w:rPr>
                <w:rFonts w:eastAsia="宋体"/>
              </w:rPr>
            </w:pPr>
            <w:r w:rsidRPr="002B55E9">
              <w:rPr>
                <w:rFonts w:eastAsia="宋体"/>
              </w:rPr>
              <w:t xml:space="preserve">0 </w:t>
            </w:r>
          </w:p>
        </w:tc>
        <w:tc>
          <w:tcPr>
            <w:tcW w:w="687" w:type="dxa"/>
            <w:hideMark/>
          </w:tcPr>
          <w:p w14:paraId="24C7D6F3" w14:textId="77871952" w:rsidR="00AD4C34" w:rsidRPr="002B55E9" w:rsidRDefault="00AD4C34" w:rsidP="00AD4C34">
            <w:pPr>
              <w:pStyle w:val="lgy-"/>
              <w:rPr>
                <w:rFonts w:eastAsia="宋体"/>
              </w:rPr>
            </w:pPr>
            <w:r w:rsidRPr="002B55E9">
              <w:rPr>
                <w:rFonts w:eastAsia="宋体"/>
              </w:rPr>
              <w:t xml:space="preserve">743 </w:t>
            </w:r>
          </w:p>
        </w:tc>
        <w:tc>
          <w:tcPr>
            <w:tcW w:w="687" w:type="dxa"/>
            <w:hideMark/>
          </w:tcPr>
          <w:p w14:paraId="218DF83A" w14:textId="727DBF7B" w:rsidR="00AD4C34" w:rsidRPr="002B55E9" w:rsidRDefault="00AD4C34" w:rsidP="00AD4C34">
            <w:pPr>
              <w:pStyle w:val="lgy-"/>
              <w:rPr>
                <w:rFonts w:eastAsia="宋体"/>
              </w:rPr>
            </w:pPr>
            <w:r w:rsidRPr="002B55E9">
              <w:rPr>
                <w:rFonts w:eastAsia="宋体"/>
              </w:rPr>
              <w:t xml:space="preserve">4208 </w:t>
            </w:r>
          </w:p>
        </w:tc>
        <w:tc>
          <w:tcPr>
            <w:tcW w:w="734" w:type="dxa"/>
            <w:hideMark/>
          </w:tcPr>
          <w:p w14:paraId="5E789BA4" w14:textId="5C219DD5" w:rsidR="00AD4C34" w:rsidRPr="002B55E9" w:rsidRDefault="00AD4C34" w:rsidP="00AD4C34">
            <w:pPr>
              <w:pStyle w:val="lgy-"/>
              <w:rPr>
                <w:rFonts w:eastAsia="宋体"/>
              </w:rPr>
            </w:pPr>
            <w:r w:rsidRPr="002B55E9">
              <w:rPr>
                <w:rFonts w:eastAsia="宋体"/>
              </w:rPr>
              <w:t xml:space="preserve">0 </w:t>
            </w:r>
          </w:p>
        </w:tc>
      </w:tr>
      <w:tr w:rsidR="002B55E9" w:rsidRPr="002B55E9" w14:paraId="1790B647" w14:textId="77777777" w:rsidTr="00AD4C34">
        <w:trPr>
          <w:trHeight w:val="283"/>
        </w:trPr>
        <w:tc>
          <w:tcPr>
            <w:tcW w:w="529" w:type="dxa"/>
            <w:vMerge/>
            <w:hideMark/>
          </w:tcPr>
          <w:p w14:paraId="62FB5B6B" w14:textId="77777777" w:rsidR="00AD4C34" w:rsidRPr="002B55E9" w:rsidRDefault="00AD4C34" w:rsidP="00AD4C34">
            <w:pPr>
              <w:pStyle w:val="lgy-"/>
              <w:rPr>
                <w:rFonts w:eastAsia="宋体"/>
              </w:rPr>
            </w:pPr>
          </w:p>
        </w:tc>
        <w:tc>
          <w:tcPr>
            <w:tcW w:w="745" w:type="dxa"/>
            <w:hideMark/>
          </w:tcPr>
          <w:p w14:paraId="5FEF0E7B" w14:textId="77777777" w:rsidR="00AD4C34" w:rsidRPr="002B55E9" w:rsidRDefault="00AD4C34" w:rsidP="00AD4C34">
            <w:pPr>
              <w:pStyle w:val="lgy-"/>
              <w:rPr>
                <w:rFonts w:eastAsia="宋体"/>
              </w:rPr>
            </w:pPr>
            <w:r w:rsidRPr="002B55E9">
              <w:rPr>
                <w:rFonts w:eastAsia="宋体" w:hint="eastAsia"/>
              </w:rPr>
              <w:t>循环冷却系统用水</w:t>
            </w:r>
          </w:p>
        </w:tc>
        <w:tc>
          <w:tcPr>
            <w:tcW w:w="692" w:type="dxa"/>
            <w:hideMark/>
          </w:tcPr>
          <w:p w14:paraId="710B7320" w14:textId="6D3F8558" w:rsidR="00AD4C34" w:rsidRPr="002B55E9" w:rsidRDefault="00AD4C34" w:rsidP="00AD4C34">
            <w:pPr>
              <w:pStyle w:val="lgy-"/>
              <w:rPr>
                <w:rFonts w:eastAsia="宋体"/>
              </w:rPr>
            </w:pPr>
            <w:r w:rsidRPr="002B55E9">
              <w:rPr>
                <w:rFonts w:eastAsia="宋体"/>
              </w:rPr>
              <w:t xml:space="preserve">3263040 </w:t>
            </w:r>
          </w:p>
        </w:tc>
        <w:tc>
          <w:tcPr>
            <w:tcW w:w="650" w:type="dxa"/>
            <w:hideMark/>
          </w:tcPr>
          <w:p w14:paraId="5F4C88C9" w14:textId="3D06AF52" w:rsidR="00AD4C34" w:rsidRPr="002B55E9" w:rsidRDefault="00AD4C34" w:rsidP="00AD4C34">
            <w:pPr>
              <w:pStyle w:val="lgy-"/>
              <w:rPr>
                <w:rFonts w:eastAsia="宋体"/>
              </w:rPr>
            </w:pPr>
            <w:r w:rsidRPr="002B55E9">
              <w:rPr>
                <w:rFonts w:eastAsia="宋体"/>
              </w:rPr>
              <w:t xml:space="preserve">3168000 </w:t>
            </w:r>
          </w:p>
        </w:tc>
        <w:tc>
          <w:tcPr>
            <w:tcW w:w="736" w:type="dxa"/>
            <w:hideMark/>
          </w:tcPr>
          <w:p w14:paraId="16287218" w14:textId="19FC23E0" w:rsidR="00AD4C34" w:rsidRPr="002B55E9" w:rsidRDefault="00AD4C34" w:rsidP="00AD4C34">
            <w:pPr>
              <w:pStyle w:val="lgy-"/>
              <w:rPr>
                <w:rFonts w:eastAsia="宋体"/>
              </w:rPr>
            </w:pPr>
            <w:r w:rsidRPr="002B55E9">
              <w:rPr>
                <w:rFonts w:eastAsia="宋体"/>
              </w:rPr>
              <w:t xml:space="preserve">95040 </w:t>
            </w:r>
          </w:p>
        </w:tc>
        <w:tc>
          <w:tcPr>
            <w:tcW w:w="708" w:type="dxa"/>
            <w:hideMark/>
          </w:tcPr>
          <w:p w14:paraId="28ADCBDA" w14:textId="07635803" w:rsidR="00AD4C34" w:rsidRPr="002B55E9" w:rsidRDefault="00AD4C34" w:rsidP="00AD4C34">
            <w:pPr>
              <w:pStyle w:val="lgy-"/>
              <w:rPr>
                <w:rFonts w:eastAsia="宋体"/>
              </w:rPr>
            </w:pPr>
            <w:r w:rsidRPr="002B55E9">
              <w:rPr>
                <w:rFonts w:eastAsia="宋体"/>
              </w:rPr>
              <w:t xml:space="preserve">0 </w:t>
            </w:r>
          </w:p>
        </w:tc>
        <w:tc>
          <w:tcPr>
            <w:tcW w:w="426" w:type="dxa"/>
            <w:hideMark/>
          </w:tcPr>
          <w:p w14:paraId="2E722876" w14:textId="2F06F80A" w:rsidR="00AD4C34" w:rsidRPr="002B55E9" w:rsidRDefault="00AD4C34" w:rsidP="00AD4C34">
            <w:pPr>
              <w:pStyle w:val="lgy-"/>
              <w:rPr>
                <w:rFonts w:eastAsia="宋体"/>
              </w:rPr>
            </w:pPr>
            <w:r w:rsidRPr="002B55E9">
              <w:rPr>
                <w:rFonts w:eastAsia="宋体"/>
              </w:rPr>
              <w:t xml:space="preserve">0 </w:t>
            </w:r>
          </w:p>
        </w:tc>
        <w:tc>
          <w:tcPr>
            <w:tcW w:w="556" w:type="dxa"/>
            <w:hideMark/>
          </w:tcPr>
          <w:p w14:paraId="6C870E88" w14:textId="28785383" w:rsidR="00AD4C34" w:rsidRPr="002B55E9" w:rsidRDefault="00AD4C34" w:rsidP="00AD4C34">
            <w:pPr>
              <w:pStyle w:val="lgy-"/>
              <w:rPr>
                <w:rFonts w:eastAsia="宋体"/>
              </w:rPr>
            </w:pPr>
            <w:r w:rsidRPr="002B55E9">
              <w:rPr>
                <w:rFonts w:eastAsia="宋体"/>
              </w:rPr>
              <w:t xml:space="preserve">0 </w:t>
            </w:r>
          </w:p>
        </w:tc>
        <w:tc>
          <w:tcPr>
            <w:tcW w:w="621" w:type="dxa"/>
            <w:hideMark/>
          </w:tcPr>
          <w:p w14:paraId="1445652E" w14:textId="4F093D5C" w:rsidR="00AD4C34" w:rsidRPr="002B55E9" w:rsidRDefault="00AD4C34" w:rsidP="00AD4C34">
            <w:pPr>
              <w:pStyle w:val="lgy-"/>
              <w:rPr>
                <w:rFonts w:eastAsia="宋体"/>
              </w:rPr>
            </w:pPr>
            <w:r w:rsidRPr="002B55E9">
              <w:rPr>
                <w:rFonts w:eastAsia="宋体"/>
              </w:rPr>
              <w:t xml:space="preserve">0 </w:t>
            </w:r>
          </w:p>
        </w:tc>
        <w:tc>
          <w:tcPr>
            <w:tcW w:w="808" w:type="dxa"/>
            <w:hideMark/>
          </w:tcPr>
          <w:p w14:paraId="45474D3C" w14:textId="4B73B5AF" w:rsidR="00AD4C34" w:rsidRPr="002B55E9" w:rsidRDefault="00AD4C34" w:rsidP="00AD4C34">
            <w:pPr>
              <w:pStyle w:val="lgy-"/>
              <w:rPr>
                <w:rFonts w:eastAsia="宋体"/>
              </w:rPr>
            </w:pPr>
            <w:r w:rsidRPr="002B55E9">
              <w:rPr>
                <w:rFonts w:eastAsia="宋体"/>
              </w:rPr>
              <w:t xml:space="preserve">0 </w:t>
            </w:r>
          </w:p>
        </w:tc>
        <w:tc>
          <w:tcPr>
            <w:tcW w:w="633" w:type="dxa"/>
            <w:hideMark/>
          </w:tcPr>
          <w:p w14:paraId="5B6AC120" w14:textId="7AEB348E" w:rsidR="00AD4C34" w:rsidRPr="002B55E9" w:rsidRDefault="00AD4C34" w:rsidP="00AD4C34">
            <w:pPr>
              <w:pStyle w:val="lgy-"/>
              <w:rPr>
                <w:rFonts w:eastAsia="宋体"/>
              </w:rPr>
            </w:pPr>
            <w:r w:rsidRPr="002B55E9">
              <w:rPr>
                <w:rFonts w:eastAsia="宋体"/>
              </w:rPr>
              <w:t xml:space="preserve">0 </w:t>
            </w:r>
          </w:p>
        </w:tc>
        <w:tc>
          <w:tcPr>
            <w:tcW w:w="426" w:type="dxa"/>
            <w:hideMark/>
          </w:tcPr>
          <w:p w14:paraId="297FC9A9" w14:textId="011BF76D" w:rsidR="00AD4C34" w:rsidRPr="002B55E9" w:rsidRDefault="00AD4C34" w:rsidP="00AD4C34">
            <w:pPr>
              <w:pStyle w:val="lgy-"/>
              <w:rPr>
                <w:rFonts w:eastAsia="宋体"/>
              </w:rPr>
            </w:pPr>
            <w:r w:rsidRPr="002B55E9">
              <w:rPr>
                <w:rFonts w:eastAsia="宋体"/>
              </w:rPr>
              <w:t xml:space="preserve">0 </w:t>
            </w:r>
          </w:p>
        </w:tc>
        <w:tc>
          <w:tcPr>
            <w:tcW w:w="687" w:type="dxa"/>
            <w:hideMark/>
          </w:tcPr>
          <w:p w14:paraId="2668147D" w14:textId="12A92E6A" w:rsidR="00AD4C34" w:rsidRPr="002B55E9" w:rsidRDefault="00AD4C34" w:rsidP="00AD4C34">
            <w:pPr>
              <w:pStyle w:val="lgy-"/>
              <w:rPr>
                <w:rFonts w:eastAsia="宋体"/>
              </w:rPr>
            </w:pPr>
            <w:r w:rsidRPr="002B55E9">
              <w:rPr>
                <w:rFonts w:eastAsia="宋体"/>
              </w:rPr>
              <w:t xml:space="preserve">91872 </w:t>
            </w:r>
          </w:p>
        </w:tc>
        <w:tc>
          <w:tcPr>
            <w:tcW w:w="687" w:type="dxa"/>
            <w:hideMark/>
          </w:tcPr>
          <w:p w14:paraId="01E6CCD1" w14:textId="11B04D78" w:rsidR="00AD4C34" w:rsidRPr="002B55E9" w:rsidRDefault="00AD4C34" w:rsidP="00AD4C34">
            <w:pPr>
              <w:pStyle w:val="lgy-"/>
              <w:rPr>
                <w:rFonts w:eastAsia="宋体"/>
              </w:rPr>
            </w:pPr>
            <w:r w:rsidRPr="002B55E9">
              <w:rPr>
                <w:rFonts w:eastAsia="宋体"/>
              </w:rPr>
              <w:t xml:space="preserve">3168 </w:t>
            </w:r>
          </w:p>
        </w:tc>
        <w:tc>
          <w:tcPr>
            <w:tcW w:w="734" w:type="dxa"/>
            <w:hideMark/>
          </w:tcPr>
          <w:p w14:paraId="0E4C1365" w14:textId="037180D6" w:rsidR="00AD4C34" w:rsidRPr="002B55E9" w:rsidRDefault="00AD4C34" w:rsidP="00AD4C34">
            <w:pPr>
              <w:pStyle w:val="lgy-"/>
              <w:rPr>
                <w:rFonts w:eastAsia="宋体"/>
              </w:rPr>
            </w:pPr>
            <w:r w:rsidRPr="002B55E9">
              <w:rPr>
                <w:rFonts w:eastAsia="宋体"/>
              </w:rPr>
              <w:t xml:space="preserve">0 </w:t>
            </w:r>
          </w:p>
        </w:tc>
      </w:tr>
      <w:tr w:rsidR="002B55E9" w:rsidRPr="002B55E9" w14:paraId="69FCA88E" w14:textId="77777777" w:rsidTr="00AD4C34">
        <w:trPr>
          <w:trHeight w:val="283"/>
        </w:trPr>
        <w:tc>
          <w:tcPr>
            <w:tcW w:w="529" w:type="dxa"/>
            <w:vMerge/>
            <w:hideMark/>
          </w:tcPr>
          <w:p w14:paraId="25AD8F32" w14:textId="77777777" w:rsidR="00AD4C34" w:rsidRPr="002B55E9" w:rsidRDefault="00AD4C34" w:rsidP="00AD4C34">
            <w:pPr>
              <w:pStyle w:val="lgy-"/>
              <w:rPr>
                <w:rFonts w:eastAsia="宋体"/>
              </w:rPr>
            </w:pPr>
          </w:p>
        </w:tc>
        <w:tc>
          <w:tcPr>
            <w:tcW w:w="745" w:type="dxa"/>
            <w:hideMark/>
          </w:tcPr>
          <w:p w14:paraId="0E5B3CFF" w14:textId="77777777" w:rsidR="00AD4C34" w:rsidRPr="002B55E9" w:rsidRDefault="00AD4C34" w:rsidP="00AD4C34">
            <w:pPr>
              <w:pStyle w:val="lgy-"/>
              <w:rPr>
                <w:rFonts w:eastAsia="宋体"/>
              </w:rPr>
            </w:pPr>
            <w:r w:rsidRPr="002B55E9">
              <w:rPr>
                <w:rFonts w:eastAsia="宋体" w:hint="eastAsia"/>
              </w:rPr>
              <w:t>工业蒸汽</w:t>
            </w:r>
          </w:p>
        </w:tc>
        <w:tc>
          <w:tcPr>
            <w:tcW w:w="692" w:type="dxa"/>
            <w:hideMark/>
          </w:tcPr>
          <w:p w14:paraId="5D3FAF38" w14:textId="1C8825CC" w:rsidR="00AD4C34" w:rsidRPr="002B55E9" w:rsidRDefault="00AD4C34" w:rsidP="00AD4C34">
            <w:pPr>
              <w:pStyle w:val="lgy-"/>
              <w:rPr>
                <w:rFonts w:eastAsia="宋体"/>
              </w:rPr>
            </w:pPr>
            <w:r w:rsidRPr="002B55E9">
              <w:rPr>
                <w:rFonts w:eastAsia="宋体"/>
              </w:rPr>
              <w:t xml:space="preserve">71250 </w:t>
            </w:r>
          </w:p>
        </w:tc>
        <w:tc>
          <w:tcPr>
            <w:tcW w:w="650" w:type="dxa"/>
            <w:hideMark/>
          </w:tcPr>
          <w:p w14:paraId="6F31D41A" w14:textId="6E7FC56F" w:rsidR="00AD4C34" w:rsidRPr="002B55E9" w:rsidRDefault="00AD4C34" w:rsidP="00AD4C34">
            <w:pPr>
              <w:pStyle w:val="lgy-"/>
              <w:rPr>
                <w:rFonts w:eastAsia="宋体"/>
              </w:rPr>
            </w:pPr>
            <w:r w:rsidRPr="002B55E9">
              <w:rPr>
                <w:rFonts w:eastAsia="宋体"/>
              </w:rPr>
              <w:t xml:space="preserve">0 </w:t>
            </w:r>
          </w:p>
        </w:tc>
        <w:tc>
          <w:tcPr>
            <w:tcW w:w="736" w:type="dxa"/>
            <w:hideMark/>
          </w:tcPr>
          <w:p w14:paraId="65A2E4B3" w14:textId="69B6F630" w:rsidR="00AD4C34" w:rsidRPr="002B55E9" w:rsidRDefault="00AD4C34" w:rsidP="00AD4C34">
            <w:pPr>
              <w:pStyle w:val="lgy-"/>
              <w:rPr>
                <w:rFonts w:eastAsia="宋体"/>
              </w:rPr>
            </w:pPr>
            <w:r w:rsidRPr="002B55E9">
              <w:rPr>
                <w:rFonts w:eastAsia="宋体"/>
              </w:rPr>
              <w:t xml:space="preserve">0 </w:t>
            </w:r>
          </w:p>
        </w:tc>
        <w:tc>
          <w:tcPr>
            <w:tcW w:w="708" w:type="dxa"/>
            <w:hideMark/>
          </w:tcPr>
          <w:p w14:paraId="352C9F97" w14:textId="0D8DC932" w:rsidR="00AD4C34" w:rsidRPr="002B55E9" w:rsidRDefault="00AD4C34" w:rsidP="00AD4C34">
            <w:pPr>
              <w:pStyle w:val="lgy-"/>
              <w:rPr>
                <w:rFonts w:eastAsia="宋体"/>
              </w:rPr>
            </w:pPr>
            <w:r w:rsidRPr="002B55E9">
              <w:rPr>
                <w:rFonts w:eastAsia="宋体"/>
              </w:rPr>
              <w:t xml:space="preserve">0 </w:t>
            </w:r>
          </w:p>
        </w:tc>
        <w:tc>
          <w:tcPr>
            <w:tcW w:w="426" w:type="dxa"/>
            <w:hideMark/>
          </w:tcPr>
          <w:p w14:paraId="0BF3214D" w14:textId="39D21F3E" w:rsidR="00AD4C34" w:rsidRPr="002B55E9" w:rsidRDefault="00AD4C34" w:rsidP="00AD4C34">
            <w:pPr>
              <w:pStyle w:val="lgy-"/>
              <w:rPr>
                <w:rFonts w:eastAsia="宋体"/>
              </w:rPr>
            </w:pPr>
            <w:r w:rsidRPr="002B55E9">
              <w:rPr>
                <w:rFonts w:eastAsia="宋体"/>
              </w:rPr>
              <w:t xml:space="preserve">0 </w:t>
            </w:r>
          </w:p>
        </w:tc>
        <w:tc>
          <w:tcPr>
            <w:tcW w:w="556" w:type="dxa"/>
            <w:hideMark/>
          </w:tcPr>
          <w:p w14:paraId="0951385B" w14:textId="61642316" w:rsidR="00AD4C34" w:rsidRPr="002B55E9" w:rsidRDefault="00AD4C34" w:rsidP="00AD4C34">
            <w:pPr>
              <w:pStyle w:val="lgy-"/>
              <w:rPr>
                <w:rFonts w:eastAsia="宋体"/>
              </w:rPr>
            </w:pPr>
            <w:r w:rsidRPr="002B55E9">
              <w:rPr>
                <w:rFonts w:eastAsia="宋体"/>
              </w:rPr>
              <w:t xml:space="preserve">0 </w:t>
            </w:r>
          </w:p>
        </w:tc>
        <w:tc>
          <w:tcPr>
            <w:tcW w:w="621" w:type="dxa"/>
            <w:hideMark/>
          </w:tcPr>
          <w:p w14:paraId="0BEBA313" w14:textId="5C8514EE" w:rsidR="00AD4C34" w:rsidRPr="002B55E9" w:rsidRDefault="00AD4C34" w:rsidP="00AD4C34">
            <w:pPr>
              <w:pStyle w:val="lgy-"/>
              <w:rPr>
                <w:rFonts w:eastAsia="宋体"/>
              </w:rPr>
            </w:pPr>
            <w:r w:rsidRPr="002B55E9">
              <w:rPr>
                <w:rFonts w:eastAsia="宋体"/>
              </w:rPr>
              <w:t xml:space="preserve">71250 </w:t>
            </w:r>
          </w:p>
        </w:tc>
        <w:tc>
          <w:tcPr>
            <w:tcW w:w="808" w:type="dxa"/>
            <w:hideMark/>
          </w:tcPr>
          <w:p w14:paraId="69DBC33A" w14:textId="0393357B" w:rsidR="00AD4C34" w:rsidRPr="002B55E9" w:rsidRDefault="00AD4C34" w:rsidP="00AD4C34">
            <w:pPr>
              <w:pStyle w:val="lgy-"/>
              <w:rPr>
                <w:rFonts w:eastAsia="宋体"/>
              </w:rPr>
            </w:pPr>
            <w:r w:rsidRPr="002B55E9">
              <w:rPr>
                <w:rFonts w:eastAsia="宋体"/>
              </w:rPr>
              <w:t xml:space="preserve">0 </w:t>
            </w:r>
          </w:p>
        </w:tc>
        <w:tc>
          <w:tcPr>
            <w:tcW w:w="633" w:type="dxa"/>
            <w:hideMark/>
          </w:tcPr>
          <w:p w14:paraId="2EDD722C" w14:textId="1A13055D" w:rsidR="00AD4C34" w:rsidRPr="002B55E9" w:rsidRDefault="00AD4C34" w:rsidP="00AD4C34">
            <w:pPr>
              <w:pStyle w:val="lgy-"/>
              <w:rPr>
                <w:rFonts w:eastAsia="宋体"/>
              </w:rPr>
            </w:pPr>
            <w:r w:rsidRPr="002B55E9">
              <w:rPr>
                <w:rFonts w:eastAsia="宋体"/>
              </w:rPr>
              <w:t xml:space="preserve">3599 </w:t>
            </w:r>
          </w:p>
        </w:tc>
        <w:tc>
          <w:tcPr>
            <w:tcW w:w="426" w:type="dxa"/>
            <w:hideMark/>
          </w:tcPr>
          <w:p w14:paraId="0071BD42" w14:textId="2AEB8E18" w:rsidR="00AD4C34" w:rsidRPr="002B55E9" w:rsidRDefault="00AD4C34" w:rsidP="00AD4C34">
            <w:pPr>
              <w:pStyle w:val="lgy-"/>
              <w:rPr>
                <w:rFonts w:eastAsia="宋体"/>
              </w:rPr>
            </w:pPr>
            <w:r w:rsidRPr="002B55E9">
              <w:rPr>
                <w:rFonts w:eastAsia="宋体"/>
              </w:rPr>
              <w:t xml:space="preserve">0 </w:t>
            </w:r>
          </w:p>
        </w:tc>
        <w:tc>
          <w:tcPr>
            <w:tcW w:w="687" w:type="dxa"/>
            <w:hideMark/>
          </w:tcPr>
          <w:p w14:paraId="26763417" w14:textId="6B12C72D" w:rsidR="00AD4C34" w:rsidRPr="002B55E9" w:rsidRDefault="00AD4C34" w:rsidP="00AD4C34">
            <w:pPr>
              <w:pStyle w:val="lgy-"/>
              <w:rPr>
                <w:rFonts w:eastAsia="宋体"/>
              </w:rPr>
            </w:pPr>
            <w:r w:rsidRPr="002B55E9">
              <w:rPr>
                <w:rFonts w:eastAsia="宋体"/>
              </w:rPr>
              <w:t xml:space="preserve">10688 </w:t>
            </w:r>
          </w:p>
        </w:tc>
        <w:tc>
          <w:tcPr>
            <w:tcW w:w="687" w:type="dxa"/>
            <w:hideMark/>
          </w:tcPr>
          <w:p w14:paraId="1FB92928" w14:textId="4290ACFE" w:rsidR="00AD4C34" w:rsidRPr="002B55E9" w:rsidRDefault="00AD4C34" w:rsidP="00AD4C34">
            <w:pPr>
              <w:pStyle w:val="lgy-"/>
              <w:rPr>
                <w:rFonts w:eastAsia="宋体"/>
              </w:rPr>
            </w:pPr>
            <w:r w:rsidRPr="002B55E9">
              <w:rPr>
                <w:rFonts w:eastAsia="宋体"/>
              </w:rPr>
              <w:t xml:space="preserve">0 </w:t>
            </w:r>
          </w:p>
        </w:tc>
        <w:tc>
          <w:tcPr>
            <w:tcW w:w="734" w:type="dxa"/>
            <w:hideMark/>
          </w:tcPr>
          <w:p w14:paraId="1D6C977F" w14:textId="73188A1C" w:rsidR="00AD4C34" w:rsidRPr="002B55E9" w:rsidRDefault="00AD4C34" w:rsidP="00AD4C34">
            <w:pPr>
              <w:pStyle w:val="lgy-"/>
              <w:rPr>
                <w:rFonts w:eastAsia="宋体"/>
              </w:rPr>
            </w:pPr>
            <w:r w:rsidRPr="002B55E9">
              <w:rPr>
                <w:rFonts w:eastAsia="宋体"/>
              </w:rPr>
              <w:t xml:space="preserve">56964 </w:t>
            </w:r>
          </w:p>
        </w:tc>
      </w:tr>
      <w:tr w:rsidR="002B55E9" w:rsidRPr="002B55E9" w14:paraId="670CDE7F" w14:textId="77777777" w:rsidTr="00AD4C34">
        <w:trPr>
          <w:trHeight w:val="283"/>
        </w:trPr>
        <w:tc>
          <w:tcPr>
            <w:tcW w:w="529" w:type="dxa"/>
            <w:vMerge/>
            <w:hideMark/>
          </w:tcPr>
          <w:p w14:paraId="1CDB47BC" w14:textId="77777777" w:rsidR="00AD4C34" w:rsidRPr="002B55E9" w:rsidRDefault="00AD4C34" w:rsidP="00AD4C34">
            <w:pPr>
              <w:pStyle w:val="lgy-"/>
              <w:rPr>
                <w:rFonts w:eastAsia="宋体"/>
              </w:rPr>
            </w:pPr>
          </w:p>
        </w:tc>
        <w:tc>
          <w:tcPr>
            <w:tcW w:w="745" w:type="dxa"/>
            <w:hideMark/>
          </w:tcPr>
          <w:p w14:paraId="235BC7EC" w14:textId="77777777" w:rsidR="00AD4C34" w:rsidRPr="002B55E9" w:rsidRDefault="00AD4C34" w:rsidP="00AD4C34">
            <w:pPr>
              <w:pStyle w:val="lgy-"/>
              <w:rPr>
                <w:rFonts w:eastAsia="宋体"/>
              </w:rPr>
            </w:pPr>
            <w:r w:rsidRPr="002B55E9">
              <w:rPr>
                <w:rFonts w:eastAsia="宋体" w:hint="eastAsia"/>
              </w:rPr>
              <w:t>厂区绿化用水</w:t>
            </w:r>
          </w:p>
        </w:tc>
        <w:tc>
          <w:tcPr>
            <w:tcW w:w="692" w:type="dxa"/>
            <w:hideMark/>
          </w:tcPr>
          <w:p w14:paraId="13116D4C" w14:textId="6BC8086A" w:rsidR="00AD4C34" w:rsidRPr="002B55E9" w:rsidRDefault="00AD4C34" w:rsidP="00AD4C34">
            <w:pPr>
              <w:pStyle w:val="lgy-"/>
              <w:rPr>
                <w:rFonts w:eastAsia="宋体"/>
              </w:rPr>
            </w:pPr>
            <w:r w:rsidRPr="002B55E9">
              <w:rPr>
                <w:rFonts w:eastAsia="宋体"/>
              </w:rPr>
              <w:t xml:space="preserve">2279 </w:t>
            </w:r>
          </w:p>
        </w:tc>
        <w:tc>
          <w:tcPr>
            <w:tcW w:w="650" w:type="dxa"/>
            <w:hideMark/>
          </w:tcPr>
          <w:p w14:paraId="1E9AB7CE" w14:textId="041A1A97" w:rsidR="00AD4C34" w:rsidRPr="002B55E9" w:rsidRDefault="00AD4C34" w:rsidP="00AD4C34">
            <w:pPr>
              <w:pStyle w:val="lgy-"/>
              <w:rPr>
                <w:rFonts w:eastAsia="宋体"/>
              </w:rPr>
            </w:pPr>
            <w:r w:rsidRPr="002B55E9">
              <w:rPr>
                <w:rFonts w:eastAsia="宋体"/>
              </w:rPr>
              <w:t xml:space="preserve">0 </w:t>
            </w:r>
          </w:p>
        </w:tc>
        <w:tc>
          <w:tcPr>
            <w:tcW w:w="736" w:type="dxa"/>
            <w:hideMark/>
          </w:tcPr>
          <w:p w14:paraId="308A2058" w14:textId="187683CC" w:rsidR="00AD4C34" w:rsidRPr="002B55E9" w:rsidRDefault="00AD4C34" w:rsidP="00AD4C34">
            <w:pPr>
              <w:pStyle w:val="lgy-"/>
              <w:rPr>
                <w:rFonts w:eastAsia="宋体"/>
              </w:rPr>
            </w:pPr>
            <w:r w:rsidRPr="002B55E9">
              <w:rPr>
                <w:rFonts w:eastAsia="宋体"/>
              </w:rPr>
              <w:t xml:space="preserve">0 </w:t>
            </w:r>
          </w:p>
        </w:tc>
        <w:tc>
          <w:tcPr>
            <w:tcW w:w="708" w:type="dxa"/>
            <w:hideMark/>
          </w:tcPr>
          <w:p w14:paraId="3E07A6E3" w14:textId="56E8B7A5" w:rsidR="00AD4C34" w:rsidRPr="002B55E9" w:rsidRDefault="00AD4C34" w:rsidP="00AD4C34">
            <w:pPr>
              <w:pStyle w:val="lgy-"/>
              <w:rPr>
                <w:rFonts w:eastAsia="宋体"/>
              </w:rPr>
            </w:pPr>
            <w:r w:rsidRPr="002B55E9">
              <w:rPr>
                <w:rFonts w:eastAsia="宋体"/>
              </w:rPr>
              <w:t xml:space="preserve">0 </w:t>
            </w:r>
          </w:p>
        </w:tc>
        <w:tc>
          <w:tcPr>
            <w:tcW w:w="426" w:type="dxa"/>
            <w:hideMark/>
          </w:tcPr>
          <w:p w14:paraId="469A20EA" w14:textId="23ABFB58" w:rsidR="00AD4C34" w:rsidRPr="002B55E9" w:rsidRDefault="00AD4C34" w:rsidP="00AD4C34">
            <w:pPr>
              <w:pStyle w:val="lgy-"/>
              <w:rPr>
                <w:rFonts w:eastAsia="宋体"/>
              </w:rPr>
            </w:pPr>
            <w:r w:rsidRPr="002B55E9">
              <w:rPr>
                <w:rFonts w:eastAsia="宋体"/>
              </w:rPr>
              <w:t xml:space="preserve">0 </w:t>
            </w:r>
          </w:p>
        </w:tc>
        <w:tc>
          <w:tcPr>
            <w:tcW w:w="556" w:type="dxa"/>
            <w:hideMark/>
          </w:tcPr>
          <w:p w14:paraId="21ED91AB" w14:textId="0C155F80" w:rsidR="00AD4C34" w:rsidRPr="002B55E9" w:rsidRDefault="00AD4C34" w:rsidP="00AD4C34">
            <w:pPr>
              <w:pStyle w:val="lgy-"/>
              <w:rPr>
                <w:rFonts w:eastAsia="宋体"/>
              </w:rPr>
            </w:pPr>
            <w:r w:rsidRPr="002B55E9">
              <w:rPr>
                <w:rFonts w:eastAsia="宋体"/>
              </w:rPr>
              <w:t xml:space="preserve">2279 </w:t>
            </w:r>
          </w:p>
        </w:tc>
        <w:tc>
          <w:tcPr>
            <w:tcW w:w="621" w:type="dxa"/>
            <w:hideMark/>
          </w:tcPr>
          <w:p w14:paraId="31FA0CBD" w14:textId="58454367" w:rsidR="00AD4C34" w:rsidRPr="002B55E9" w:rsidRDefault="00AD4C34" w:rsidP="00AD4C34">
            <w:pPr>
              <w:pStyle w:val="lgy-"/>
              <w:rPr>
                <w:rFonts w:eastAsia="宋体"/>
              </w:rPr>
            </w:pPr>
            <w:r w:rsidRPr="002B55E9">
              <w:rPr>
                <w:rFonts w:eastAsia="宋体"/>
              </w:rPr>
              <w:t xml:space="preserve">0 </w:t>
            </w:r>
          </w:p>
        </w:tc>
        <w:tc>
          <w:tcPr>
            <w:tcW w:w="808" w:type="dxa"/>
            <w:hideMark/>
          </w:tcPr>
          <w:p w14:paraId="60C76A4D" w14:textId="15E64BD3" w:rsidR="00AD4C34" w:rsidRPr="002B55E9" w:rsidRDefault="00AD4C34" w:rsidP="00AD4C34">
            <w:pPr>
              <w:pStyle w:val="lgy-"/>
              <w:rPr>
                <w:rFonts w:eastAsia="宋体"/>
              </w:rPr>
            </w:pPr>
            <w:r w:rsidRPr="002B55E9">
              <w:rPr>
                <w:rFonts w:eastAsia="宋体"/>
              </w:rPr>
              <w:t xml:space="preserve">0 </w:t>
            </w:r>
          </w:p>
        </w:tc>
        <w:tc>
          <w:tcPr>
            <w:tcW w:w="633" w:type="dxa"/>
            <w:hideMark/>
          </w:tcPr>
          <w:p w14:paraId="5D45FC4A" w14:textId="398A7C0B" w:rsidR="00AD4C34" w:rsidRPr="002B55E9" w:rsidRDefault="00AD4C34" w:rsidP="00AD4C34">
            <w:pPr>
              <w:pStyle w:val="lgy-"/>
              <w:rPr>
                <w:rFonts w:eastAsia="宋体"/>
              </w:rPr>
            </w:pPr>
            <w:r w:rsidRPr="002B55E9">
              <w:rPr>
                <w:rFonts w:eastAsia="宋体"/>
              </w:rPr>
              <w:t xml:space="preserve">0 </w:t>
            </w:r>
          </w:p>
        </w:tc>
        <w:tc>
          <w:tcPr>
            <w:tcW w:w="426" w:type="dxa"/>
            <w:hideMark/>
          </w:tcPr>
          <w:p w14:paraId="60EC876F" w14:textId="025C4768" w:rsidR="00AD4C34" w:rsidRPr="002B55E9" w:rsidRDefault="00AD4C34" w:rsidP="00AD4C34">
            <w:pPr>
              <w:pStyle w:val="lgy-"/>
              <w:rPr>
                <w:rFonts w:eastAsia="宋体"/>
              </w:rPr>
            </w:pPr>
            <w:r w:rsidRPr="002B55E9">
              <w:rPr>
                <w:rFonts w:eastAsia="宋体"/>
              </w:rPr>
              <w:t xml:space="preserve">0 </w:t>
            </w:r>
          </w:p>
        </w:tc>
        <w:tc>
          <w:tcPr>
            <w:tcW w:w="687" w:type="dxa"/>
            <w:hideMark/>
          </w:tcPr>
          <w:p w14:paraId="6D14A462" w14:textId="19688CCB" w:rsidR="00AD4C34" w:rsidRPr="002B55E9" w:rsidRDefault="00AD4C34" w:rsidP="00AD4C34">
            <w:pPr>
              <w:pStyle w:val="lgy-"/>
              <w:rPr>
                <w:rFonts w:eastAsia="宋体"/>
              </w:rPr>
            </w:pPr>
            <w:r w:rsidRPr="002B55E9">
              <w:rPr>
                <w:rFonts w:eastAsia="宋体"/>
              </w:rPr>
              <w:t xml:space="preserve">2279 </w:t>
            </w:r>
          </w:p>
        </w:tc>
        <w:tc>
          <w:tcPr>
            <w:tcW w:w="687" w:type="dxa"/>
            <w:hideMark/>
          </w:tcPr>
          <w:p w14:paraId="4BF3357E" w14:textId="79974B2C" w:rsidR="00AD4C34" w:rsidRPr="002B55E9" w:rsidRDefault="00AD4C34" w:rsidP="00AD4C34">
            <w:pPr>
              <w:pStyle w:val="lgy-"/>
              <w:rPr>
                <w:rFonts w:eastAsia="宋体"/>
              </w:rPr>
            </w:pPr>
            <w:r w:rsidRPr="002B55E9">
              <w:rPr>
                <w:rFonts w:eastAsia="宋体"/>
              </w:rPr>
              <w:t xml:space="preserve">0 </w:t>
            </w:r>
          </w:p>
        </w:tc>
        <w:tc>
          <w:tcPr>
            <w:tcW w:w="734" w:type="dxa"/>
            <w:hideMark/>
          </w:tcPr>
          <w:p w14:paraId="4C580035" w14:textId="7A4CAE59" w:rsidR="00AD4C34" w:rsidRPr="002B55E9" w:rsidRDefault="00AD4C34" w:rsidP="00AD4C34">
            <w:pPr>
              <w:pStyle w:val="lgy-"/>
              <w:rPr>
                <w:rFonts w:eastAsia="宋体"/>
              </w:rPr>
            </w:pPr>
            <w:r w:rsidRPr="002B55E9">
              <w:rPr>
                <w:rFonts w:eastAsia="宋体"/>
              </w:rPr>
              <w:t xml:space="preserve">0 </w:t>
            </w:r>
          </w:p>
        </w:tc>
      </w:tr>
      <w:tr w:rsidR="002B55E9" w:rsidRPr="002B55E9" w14:paraId="4E5BB97A" w14:textId="77777777" w:rsidTr="00AD4C34">
        <w:trPr>
          <w:trHeight w:val="283"/>
        </w:trPr>
        <w:tc>
          <w:tcPr>
            <w:tcW w:w="1274" w:type="dxa"/>
            <w:gridSpan w:val="2"/>
            <w:hideMark/>
          </w:tcPr>
          <w:p w14:paraId="73C0A7E4" w14:textId="77777777" w:rsidR="00957C5B" w:rsidRPr="002B55E9" w:rsidRDefault="00957C5B" w:rsidP="00AD4C34">
            <w:pPr>
              <w:pStyle w:val="lgy-"/>
              <w:rPr>
                <w:rFonts w:eastAsia="宋体"/>
              </w:rPr>
            </w:pPr>
            <w:r w:rsidRPr="002B55E9">
              <w:rPr>
                <w:rFonts w:eastAsia="宋体" w:hint="eastAsia"/>
              </w:rPr>
              <w:t>员工生活</w:t>
            </w:r>
          </w:p>
        </w:tc>
        <w:tc>
          <w:tcPr>
            <w:tcW w:w="692" w:type="dxa"/>
            <w:hideMark/>
          </w:tcPr>
          <w:p w14:paraId="40F5DC66" w14:textId="77777777" w:rsidR="00957C5B" w:rsidRPr="002B55E9" w:rsidRDefault="00957C5B" w:rsidP="00AD4C34">
            <w:pPr>
              <w:pStyle w:val="lgy-"/>
              <w:rPr>
                <w:rFonts w:eastAsia="宋体"/>
              </w:rPr>
            </w:pPr>
            <w:r w:rsidRPr="002B55E9">
              <w:rPr>
                <w:rFonts w:eastAsia="宋体"/>
              </w:rPr>
              <w:t xml:space="preserve">6732 </w:t>
            </w:r>
          </w:p>
        </w:tc>
        <w:tc>
          <w:tcPr>
            <w:tcW w:w="650" w:type="dxa"/>
            <w:hideMark/>
          </w:tcPr>
          <w:p w14:paraId="33151796" w14:textId="77777777" w:rsidR="00957C5B" w:rsidRPr="002B55E9" w:rsidRDefault="00957C5B" w:rsidP="00AD4C34">
            <w:pPr>
              <w:pStyle w:val="lgy-"/>
              <w:rPr>
                <w:rFonts w:eastAsia="宋体"/>
              </w:rPr>
            </w:pPr>
            <w:r w:rsidRPr="002B55E9">
              <w:rPr>
                <w:rFonts w:eastAsia="宋体"/>
              </w:rPr>
              <w:t xml:space="preserve">0 </w:t>
            </w:r>
          </w:p>
        </w:tc>
        <w:tc>
          <w:tcPr>
            <w:tcW w:w="736" w:type="dxa"/>
            <w:hideMark/>
          </w:tcPr>
          <w:p w14:paraId="4B36A9DC" w14:textId="77777777" w:rsidR="00957C5B" w:rsidRPr="002B55E9" w:rsidRDefault="00957C5B" w:rsidP="00AD4C34">
            <w:pPr>
              <w:pStyle w:val="lgy-"/>
              <w:rPr>
                <w:rFonts w:eastAsia="宋体"/>
              </w:rPr>
            </w:pPr>
            <w:r w:rsidRPr="002B55E9">
              <w:rPr>
                <w:rFonts w:eastAsia="宋体"/>
              </w:rPr>
              <w:t xml:space="preserve">6732 </w:t>
            </w:r>
          </w:p>
        </w:tc>
        <w:tc>
          <w:tcPr>
            <w:tcW w:w="708" w:type="dxa"/>
            <w:hideMark/>
          </w:tcPr>
          <w:p w14:paraId="0B1F4AFF" w14:textId="77777777" w:rsidR="00957C5B" w:rsidRPr="002B55E9" w:rsidRDefault="00957C5B" w:rsidP="00AD4C34">
            <w:pPr>
              <w:pStyle w:val="lgy-"/>
              <w:rPr>
                <w:rFonts w:eastAsia="宋体"/>
              </w:rPr>
            </w:pPr>
            <w:r w:rsidRPr="002B55E9">
              <w:rPr>
                <w:rFonts w:eastAsia="宋体"/>
              </w:rPr>
              <w:t xml:space="preserve">0 </w:t>
            </w:r>
          </w:p>
        </w:tc>
        <w:tc>
          <w:tcPr>
            <w:tcW w:w="426" w:type="dxa"/>
            <w:hideMark/>
          </w:tcPr>
          <w:p w14:paraId="4A8CC598" w14:textId="77777777" w:rsidR="00957C5B" w:rsidRPr="002B55E9" w:rsidRDefault="00957C5B" w:rsidP="00AD4C34">
            <w:pPr>
              <w:pStyle w:val="lgy-"/>
              <w:rPr>
                <w:rFonts w:eastAsia="宋体"/>
              </w:rPr>
            </w:pPr>
            <w:r w:rsidRPr="002B55E9">
              <w:rPr>
                <w:rFonts w:eastAsia="宋体"/>
              </w:rPr>
              <w:t xml:space="preserve">0 </w:t>
            </w:r>
          </w:p>
        </w:tc>
        <w:tc>
          <w:tcPr>
            <w:tcW w:w="556" w:type="dxa"/>
            <w:hideMark/>
          </w:tcPr>
          <w:p w14:paraId="15853176" w14:textId="77777777" w:rsidR="00957C5B" w:rsidRPr="002B55E9" w:rsidRDefault="00957C5B" w:rsidP="00AD4C34">
            <w:pPr>
              <w:pStyle w:val="lgy-"/>
              <w:rPr>
                <w:rFonts w:eastAsia="宋体"/>
              </w:rPr>
            </w:pPr>
            <w:r w:rsidRPr="002B55E9">
              <w:rPr>
                <w:rFonts w:eastAsia="宋体"/>
              </w:rPr>
              <w:t xml:space="preserve">0 </w:t>
            </w:r>
          </w:p>
        </w:tc>
        <w:tc>
          <w:tcPr>
            <w:tcW w:w="621" w:type="dxa"/>
            <w:hideMark/>
          </w:tcPr>
          <w:p w14:paraId="31C73C28" w14:textId="77777777" w:rsidR="00957C5B" w:rsidRPr="002B55E9" w:rsidRDefault="00957C5B" w:rsidP="00AD4C34">
            <w:pPr>
              <w:pStyle w:val="lgy-"/>
              <w:rPr>
                <w:rFonts w:eastAsia="宋体"/>
              </w:rPr>
            </w:pPr>
            <w:r w:rsidRPr="002B55E9">
              <w:rPr>
                <w:rFonts w:eastAsia="宋体"/>
              </w:rPr>
              <w:t xml:space="preserve">0 </w:t>
            </w:r>
          </w:p>
        </w:tc>
        <w:tc>
          <w:tcPr>
            <w:tcW w:w="808" w:type="dxa"/>
            <w:hideMark/>
          </w:tcPr>
          <w:p w14:paraId="435B9E87" w14:textId="77777777" w:rsidR="00957C5B" w:rsidRPr="002B55E9" w:rsidRDefault="00957C5B" w:rsidP="00AD4C34">
            <w:pPr>
              <w:pStyle w:val="lgy-"/>
              <w:rPr>
                <w:rFonts w:eastAsia="宋体"/>
              </w:rPr>
            </w:pPr>
            <w:r w:rsidRPr="002B55E9">
              <w:rPr>
                <w:rFonts w:eastAsia="宋体"/>
              </w:rPr>
              <w:t xml:space="preserve">0 </w:t>
            </w:r>
          </w:p>
        </w:tc>
        <w:tc>
          <w:tcPr>
            <w:tcW w:w="633" w:type="dxa"/>
            <w:hideMark/>
          </w:tcPr>
          <w:p w14:paraId="2CDD6C46" w14:textId="77777777" w:rsidR="00957C5B" w:rsidRPr="002B55E9" w:rsidRDefault="00957C5B" w:rsidP="00AD4C34">
            <w:pPr>
              <w:pStyle w:val="lgy-"/>
              <w:rPr>
                <w:rFonts w:eastAsia="宋体"/>
              </w:rPr>
            </w:pPr>
            <w:r w:rsidRPr="002B55E9">
              <w:rPr>
                <w:rFonts w:eastAsia="宋体"/>
              </w:rPr>
              <w:t xml:space="preserve">0 </w:t>
            </w:r>
          </w:p>
        </w:tc>
        <w:tc>
          <w:tcPr>
            <w:tcW w:w="426" w:type="dxa"/>
            <w:hideMark/>
          </w:tcPr>
          <w:p w14:paraId="458F7AFE" w14:textId="77777777" w:rsidR="00957C5B" w:rsidRPr="002B55E9" w:rsidRDefault="00957C5B" w:rsidP="00AD4C34">
            <w:pPr>
              <w:pStyle w:val="lgy-"/>
              <w:rPr>
                <w:rFonts w:eastAsia="宋体"/>
              </w:rPr>
            </w:pPr>
            <w:r w:rsidRPr="002B55E9">
              <w:rPr>
                <w:rFonts w:eastAsia="宋体"/>
              </w:rPr>
              <w:t xml:space="preserve">0 </w:t>
            </w:r>
          </w:p>
        </w:tc>
        <w:tc>
          <w:tcPr>
            <w:tcW w:w="687" w:type="dxa"/>
            <w:hideMark/>
          </w:tcPr>
          <w:p w14:paraId="2C6E39A4" w14:textId="77777777" w:rsidR="00957C5B" w:rsidRPr="002B55E9" w:rsidRDefault="00957C5B" w:rsidP="00AD4C34">
            <w:pPr>
              <w:pStyle w:val="lgy-"/>
              <w:rPr>
                <w:rFonts w:eastAsia="宋体"/>
              </w:rPr>
            </w:pPr>
            <w:r w:rsidRPr="002B55E9">
              <w:rPr>
                <w:rFonts w:eastAsia="宋体"/>
              </w:rPr>
              <w:t xml:space="preserve">1010 </w:t>
            </w:r>
          </w:p>
        </w:tc>
        <w:tc>
          <w:tcPr>
            <w:tcW w:w="687" w:type="dxa"/>
            <w:hideMark/>
          </w:tcPr>
          <w:p w14:paraId="1BA61A7A" w14:textId="77777777" w:rsidR="00957C5B" w:rsidRPr="002B55E9" w:rsidRDefault="00957C5B" w:rsidP="00AD4C34">
            <w:pPr>
              <w:pStyle w:val="lgy-"/>
              <w:rPr>
                <w:rFonts w:eastAsia="宋体"/>
              </w:rPr>
            </w:pPr>
            <w:r w:rsidRPr="002B55E9">
              <w:rPr>
                <w:rFonts w:eastAsia="宋体"/>
              </w:rPr>
              <w:t xml:space="preserve">5722 </w:t>
            </w:r>
          </w:p>
        </w:tc>
        <w:tc>
          <w:tcPr>
            <w:tcW w:w="734" w:type="dxa"/>
            <w:hideMark/>
          </w:tcPr>
          <w:p w14:paraId="4E528240" w14:textId="77777777" w:rsidR="00957C5B" w:rsidRPr="002B55E9" w:rsidRDefault="00957C5B" w:rsidP="00AD4C34">
            <w:pPr>
              <w:pStyle w:val="lgy-"/>
              <w:rPr>
                <w:rFonts w:eastAsia="宋体"/>
              </w:rPr>
            </w:pPr>
            <w:r w:rsidRPr="002B55E9">
              <w:rPr>
                <w:rFonts w:eastAsia="宋体"/>
              </w:rPr>
              <w:t xml:space="preserve">0 </w:t>
            </w:r>
          </w:p>
        </w:tc>
      </w:tr>
      <w:tr w:rsidR="002B55E9" w:rsidRPr="002B55E9" w14:paraId="1DCF7F7D" w14:textId="77777777" w:rsidTr="00AD4C34">
        <w:trPr>
          <w:trHeight w:val="283"/>
        </w:trPr>
        <w:tc>
          <w:tcPr>
            <w:tcW w:w="1274" w:type="dxa"/>
            <w:gridSpan w:val="2"/>
            <w:hideMark/>
          </w:tcPr>
          <w:p w14:paraId="2FE74A33" w14:textId="77777777" w:rsidR="00AD4C34" w:rsidRPr="002B55E9" w:rsidRDefault="00AD4C34" w:rsidP="00AD4C34">
            <w:pPr>
              <w:pStyle w:val="lgy-"/>
              <w:rPr>
                <w:rFonts w:eastAsia="宋体"/>
              </w:rPr>
            </w:pPr>
            <w:r w:rsidRPr="002B55E9">
              <w:rPr>
                <w:rFonts w:eastAsia="宋体" w:hint="eastAsia"/>
              </w:rPr>
              <w:t>合计</w:t>
            </w:r>
          </w:p>
        </w:tc>
        <w:tc>
          <w:tcPr>
            <w:tcW w:w="692" w:type="dxa"/>
            <w:hideMark/>
          </w:tcPr>
          <w:p w14:paraId="571647F0" w14:textId="7348852F" w:rsidR="00AD4C34" w:rsidRPr="002B55E9" w:rsidRDefault="00AD4C34" w:rsidP="00AD4C34">
            <w:pPr>
              <w:pStyle w:val="lgy-"/>
              <w:rPr>
                <w:rFonts w:eastAsia="宋体"/>
              </w:rPr>
            </w:pPr>
          </w:p>
        </w:tc>
        <w:tc>
          <w:tcPr>
            <w:tcW w:w="650" w:type="dxa"/>
            <w:hideMark/>
          </w:tcPr>
          <w:p w14:paraId="0CD2B1FC" w14:textId="4E10B9BB" w:rsidR="00AD4C34" w:rsidRPr="002B55E9" w:rsidRDefault="00AD4C34" w:rsidP="00AD4C34">
            <w:pPr>
              <w:pStyle w:val="lgy-"/>
              <w:rPr>
                <w:rFonts w:eastAsia="宋体"/>
              </w:rPr>
            </w:pPr>
            <w:r w:rsidRPr="002B55E9">
              <w:rPr>
                <w:rFonts w:eastAsia="宋体"/>
              </w:rPr>
              <w:t xml:space="preserve">3168000 </w:t>
            </w:r>
          </w:p>
        </w:tc>
        <w:tc>
          <w:tcPr>
            <w:tcW w:w="736" w:type="dxa"/>
            <w:hideMark/>
          </w:tcPr>
          <w:p w14:paraId="0A02C453" w14:textId="402A6172" w:rsidR="00AD4C34" w:rsidRPr="002B55E9" w:rsidRDefault="00AD4C34" w:rsidP="00FA05E8">
            <w:pPr>
              <w:pStyle w:val="lgy-"/>
              <w:rPr>
                <w:rFonts w:eastAsia="宋体"/>
              </w:rPr>
            </w:pPr>
            <w:r w:rsidRPr="002B55E9">
              <w:rPr>
                <w:rFonts w:eastAsia="宋体"/>
              </w:rPr>
              <w:t xml:space="preserve"> </w:t>
            </w:r>
          </w:p>
        </w:tc>
        <w:tc>
          <w:tcPr>
            <w:tcW w:w="708" w:type="dxa"/>
            <w:hideMark/>
          </w:tcPr>
          <w:p w14:paraId="27326B56" w14:textId="34E9388B" w:rsidR="00AD4C34" w:rsidRPr="002B55E9" w:rsidRDefault="00AD4C34" w:rsidP="00AD4C34">
            <w:pPr>
              <w:pStyle w:val="lgy-"/>
              <w:rPr>
                <w:rFonts w:eastAsia="宋体"/>
              </w:rPr>
            </w:pPr>
          </w:p>
        </w:tc>
        <w:tc>
          <w:tcPr>
            <w:tcW w:w="426" w:type="dxa"/>
            <w:hideMark/>
          </w:tcPr>
          <w:p w14:paraId="544C8B26" w14:textId="7BFC9225" w:rsidR="00AD4C34" w:rsidRPr="002B55E9" w:rsidRDefault="00AD4C34" w:rsidP="00AD4C34">
            <w:pPr>
              <w:pStyle w:val="lgy-"/>
              <w:rPr>
                <w:rFonts w:eastAsia="宋体"/>
              </w:rPr>
            </w:pPr>
            <w:r w:rsidRPr="002B55E9">
              <w:rPr>
                <w:rFonts w:eastAsia="宋体"/>
              </w:rPr>
              <w:t xml:space="preserve">33 </w:t>
            </w:r>
          </w:p>
        </w:tc>
        <w:tc>
          <w:tcPr>
            <w:tcW w:w="556" w:type="dxa"/>
            <w:hideMark/>
          </w:tcPr>
          <w:p w14:paraId="17830088" w14:textId="6DEACBB9" w:rsidR="00AD4C34" w:rsidRPr="002B55E9" w:rsidRDefault="00AD4C34" w:rsidP="00AD4C34">
            <w:pPr>
              <w:pStyle w:val="lgy-"/>
              <w:rPr>
                <w:rFonts w:eastAsia="宋体"/>
              </w:rPr>
            </w:pPr>
            <w:r w:rsidRPr="002B55E9">
              <w:rPr>
                <w:rFonts w:eastAsia="宋体"/>
              </w:rPr>
              <w:t xml:space="preserve">3599 </w:t>
            </w:r>
          </w:p>
        </w:tc>
        <w:tc>
          <w:tcPr>
            <w:tcW w:w="621" w:type="dxa"/>
            <w:hideMark/>
          </w:tcPr>
          <w:p w14:paraId="17B81F13" w14:textId="1E4E4934" w:rsidR="00AD4C34" w:rsidRPr="002B55E9" w:rsidRDefault="00AD4C34" w:rsidP="00AD4C34">
            <w:pPr>
              <w:pStyle w:val="lgy-"/>
              <w:rPr>
                <w:rFonts w:eastAsia="宋体"/>
              </w:rPr>
            </w:pPr>
            <w:r w:rsidRPr="002B55E9">
              <w:rPr>
                <w:rFonts w:eastAsia="宋体"/>
              </w:rPr>
              <w:t xml:space="preserve">71250 </w:t>
            </w:r>
          </w:p>
        </w:tc>
        <w:tc>
          <w:tcPr>
            <w:tcW w:w="808" w:type="dxa"/>
            <w:hideMark/>
          </w:tcPr>
          <w:p w14:paraId="0D8CE230" w14:textId="722AF613" w:rsidR="00AD4C34" w:rsidRPr="002B55E9" w:rsidRDefault="00AD4C34" w:rsidP="00AD4C34">
            <w:pPr>
              <w:pStyle w:val="lgy-"/>
              <w:rPr>
                <w:rFonts w:eastAsia="宋体"/>
              </w:rPr>
            </w:pPr>
          </w:p>
        </w:tc>
        <w:tc>
          <w:tcPr>
            <w:tcW w:w="633" w:type="dxa"/>
            <w:hideMark/>
          </w:tcPr>
          <w:p w14:paraId="70CE0D72" w14:textId="0BB9B04B" w:rsidR="00AD4C34" w:rsidRPr="002B55E9" w:rsidRDefault="00AD4C34" w:rsidP="00AD4C34">
            <w:pPr>
              <w:pStyle w:val="lgy-"/>
              <w:rPr>
                <w:rFonts w:eastAsia="宋体"/>
              </w:rPr>
            </w:pPr>
            <w:r w:rsidRPr="002B55E9">
              <w:rPr>
                <w:rFonts w:eastAsia="宋体"/>
              </w:rPr>
              <w:t xml:space="preserve">3632 </w:t>
            </w:r>
          </w:p>
        </w:tc>
        <w:tc>
          <w:tcPr>
            <w:tcW w:w="426" w:type="dxa"/>
            <w:hideMark/>
          </w:tcPr>
          <w:p w14:paraId="2BE6CF98" w14:textId="1B94F220" w:rsidR="00AD4C34" w:rsidRPr="002B55E9" w:rsidRDefault="00AD4C34" w:rsidP="00AD4C34">
            <w:pPr>
              <w:pStyle w:val="lgy-"/>
              <w:rPr>
                <w:rFonts w:eastAsia="宋体"/>
              </w:rPr>
            </w:pPr>
            <w:r w:rsidRPr="002B55E9">
              <w:rPr>
                <w:rFonts w:eastAsia="宋体"/>
              </w:rPr>
              <w:t xml:space="preserve">1 </w:t>
            </w:r>
          </w:p>
        </w:tc>
        <w:tc>
          <w:tcPr>
            <w:tcW w:w="687" w:type="dxa"/>
            <w:hideMark/>
          </w:tcPr>
          <w:p w14:paraId="50B6B363" w14:textId="35ED5B9A" w:rsidR="00AD4C34" w:rsidRPr="002B55E9" w:rsidRDefault="00AD4C34" w:rsidP="00AD4C34">
            <w:pPr>
              <w:pStyle w:val="lgy-"/>
              <w:rPr>
                <w:rFonts w:eastAsia="宋体"/>
              </w:rPr>
            </w:pPr>
            <w:r w:rsidRPr="002B55E9">
              <w:rPr>
                <w:rFonts w:eastAsia="宋体"/>
              </w:rPr>
              <w:t xml:space="preserve">124460 </w:t>
            </w:r>
          </w:p>
        </w:tc>
        <w:tc>
          <w:tcPr>
            <w:tcW w:w="687" w:type="dxa"/>
            <w:hideMark/>
          </w:tcPr>
          <w:p w14:paraId="0C0CCD83" w14:textId="4267D9EB" w:rsidR="00AD4C34" w:rsidRPr="002B55E9" w:rsidRDefault="00AD4C34" w:rsidP="00AD4C34">
            <w:pPr>
              <w:pStyle w:val="lgy-"/>
              <w:rPr>
                <w:rFonts w:eastAsia="宋体"/>
              </w:rPr>
            </w:pPr>
            <w:r w:rsidRPr="002B55E9">
              <w:rPr>
                <w:rFonts w:eastAsia="宋体"/>
              </w:rPr>
              <w:t xml:space="preserve">172612 </w:t>
            </w:r>
          </w:p>
        </w:tc>
        <w:tc>
          <w:tcPr>
            <w:tcW w:w="734" w:type="dxa"/>
            <w:hideMark/>
          </w:tcPr>
          <w:p w14:paraId="6234C752" w14:textId="555665B3" w:rsidR="00AD4C34" w:rsidRPr="002B55E9" w:rsidRDefault="00AD4C34" w:rsidP="00AD4C34">
            <w:pPr>
              <w:pStyle w:val="lgy-"/>
              <w:rPr>
                <w:rFonts w:eastAsia="宋体"/>
              </w:rPr>
            </w:pPr>
            <w:r w:rsidRPr="002B55E9">
              <w:rPr>
                <w:rFonts w:eastAsia="宋体"/>
              </w:rPr>
              <w:t xml:space="preserve">56964 </w:t>
            </w:r>
          </w:p>
        </w:tc>
      </w:tr>
    </w:tbl>
    <w:p w14:paraId="26F5317E" w14:textId="5FEB1E51" w:rsidR="007F1F55" w:rsidRPr="002B55E9" w:rsidRDefault="007F1F55" w:rsidP="007F1F55">
      <w:pPr>
        <w:pStyle w:val="aa"/>
        <w:adjustRightInd w:val="0"/>
        <w:snapToGrid w:val="0"/>
        <w:ind w:firstLineChars="200" w:firstLine="480"/>
      </w:pPr>
      <w:r w:rsidRPr="002B55E9">
        <w:rPr>
          <w:rFonts w:hint="eastAsia"/>
        </w:rPr>
        <w:t>拟建项目年用水平衡见下图。</w:t>
      </w:r>
    </w:p>
    <w:p w14:paraId="5F6ED4D7" w14:textId="01E26F0E" w:rsidR="00D170E5" w:rsidRPr="002B55E9" w:rsidRDefault="00D170E5">
      <w:pPr>
        <w:pStyle w:val="aa"/>
        <w:adjustRightInd w:val="0"/>
        <w:snapToGrid w:val="0"/>
        <w:ind w:firstLine="0"/>
        <w:jc w:val="left"/>
      </w:pPr>
    </w:p>
    <w:p w14:paraId="66CB2421" w14:textId="419899B2" w:rsidR="00FA27FD" w:rsidRPr="002B55E9" w:rsidRDefault="00FA27FD">
      <w:pPr>
        <w:pStyle w:val="aa"/>
        <w:adjustRightInd w:val="0"/>
        <w:snapToGrid w:val="0"/>
        <w:ind w:firstLine="0"/>
        <w:jc w:val="left"/>
      </w:pPr>
    </w:p>
    <w:p w14:paraId="4F40DF4F" w14:textId="77777777" w:rsidR="00A0289F" w:rsidRDefault="00A0289F" w:rsidP="00A0289F">
      <w:pPr>
        <w:pStyle w:val="affff7"/>
        <w:snapToGrid w:val="0"/>
        <w:spacing w:after="0" w:line="240" w:lineRule="auto"/>
        <w:ind w:firstLineChars="0" w:firstLine="0"/>
        <w:jc w:val="center"/>
        <w:rPr>
          <w:rFonts w:eastAsia="黑体"/>
          <w:b/>
        </w:rPr>
      </w:pPr>
      <w:r>
        <w:rPr>
          <w:rFonts w:eastAsia="黑体" w:hint="eastAsia"/>
          <w:b/>
        </w:rPr>
        <w:t>该部分内容涉及企业商业</w:t>
      </w:r>
      <w:r>
        <w:rPr>
          <w:rFonts w:eastAsia="黑体"/>
          <w:b/>
        </w:rPr>
        <w:t>机密</w:t>
      </w:r>
      <w:r>
        <w:rPr>
          <w:rFonts w:eastAsia="黑体" w:hint="eastAsia"/>
          <w:b/>
        </w:rPr>
        <w:t>，予以删除</w:t>
      </w:r>
    </w:p>
    <w:p w14:paraId="3CCA62FA" w14:textId="79A0F89A" w:rsidR="00FA27FD" w:rsidRPr="00A0289F" w:rsidRDefault="00FA27FD">
      <w:pPr>
        <w:pStyle w:val="aa"/>
        <w:adjustRightInd w:val="0"/>
        <w:snapToGrid w:val="0"/>
        <w:ind w:firstLine="0"/>
        <w:jc w:val="left"/>
      </w:pPr>
    </w:p>
    <w:tbl>
      <w:tblPr>
        <w:tblStyle w:val="afff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54"/>
      </w:tblGrid>
      <w:tr w:rsidR="002B55E9" w:rsidRPr="002B55E9" w14:paraId="79446514" w14:textId="77777777" w:rsidTr="00890665">
        <w:tc>
          <w:tcPr>
            <w:tcW w:w="9608" w:type="dxa"/>
          </w:tcPr>
          <w:p w14:paraId="58F2E4E7" w14:textId="752F1EFA" w:rsidR="00A25639" w:rsidRPr="002B55E9" w:rsidRDefault="00A25639" w:rsidP="00890665">
            <w:pPr>
              <w:pStyle w:val="lgy-"/>
            </w:pPr>
            <w:bookmarkStart w:id="162" w:name="_GoBack"/>
            <w:bookmarkEnd w:id="162"/>
          </w:p>
        </w:tc>
      </w:tr>
    </w:tbl>
    <w:p w14:paraId="49BFD468" w14:textId="683AFB35" w:rsidR="00A25639" w:rsidRPr="002B55E9" w:rsidRDefault="00A25639" w:rsidP="00A25639">
      <w:pPr>
        <w:pStyle w:val="aa"/>
        <w:adjustRightInd w:val="0"/>
        <w:snapToGrid w:val="0"/>
        <w:ind w:firstLineChars="200"/>
        <w:jc w:val="center"/>
      </w:pPr>
      <w:r w:rsidRPr="002B55E9">
        <w:rPr>
          <w:rFonts w:hint="eastAsia"/>
          <w:b/>
        </w:rPr>
        <w:t>图</w:t>
      </w:r>
      <w:r w:rsidRPr="002B55E9">
        <w:rPr>
          <w:rFonts w:hint="eastAsia"/>
          <w:b/>
        </w:rPr>
        <w:t>3-2-</w:t>
      </w:r>
      <w:r w:rsidRPr="002B55E9">
        <w:rPr>
          <w:b/>
        </w:rPr>
        <w:t>2</w:t>
      </w:r>
      <w:r w:rsidRPr="002B55E9">
        <w:rPr>
          <w:rFonts w:hint="eastAsia"/>
          <w:b/>
        </w:rPr>
        <w:t xml:space="preserve">  </w:t>
      </w:r>
      <w:r w:rsidRPr="002B55E9">
        <w:rPr>
          <w:rFonts w:hint="eastAsia"/>
          <w:b/>
        </w:rPr>
        <w:t>拟建</w:t>
      </w:r>
      <w:r w:rsidRPr="002B55E9">
        <w:rPr>
          <w:b/>
        </w:rPr>
        <w:t>项目</w:t>
      </w:r>
      <w:r w:rsidRPr="002B55E9">
        <w:rPr>
          <w:rFonts w:hint="eastAsia"/>
          <w:b/>
        </w:rPr>
        <w:t>年给排水</w:t>
      </w:r>
      <w:r w:rsidRPr="002B55E9">
        <w:rPr>
          <w:b/>
        </w:rPr>
        <w:t>平衡图</w:t>
      </w:r>
      <w:r w:rsidRPr="002B55E9">
        <w:rPr>
          <w:rFonts w:hint="eastAsia"/>
          <w:b/>
        </w:rPr>
        <w:t>（单位</w:t>
      </w:r>
      <w:r w:rsidRPr="002B55E9">
        <w:rPr>
          <w:b/>
        </w:rPr>
        <w:t>：</w:t>
      </w:r>
      <w:r w:rsidRPr="002B55E9">
        <w:rPr>
          <w:b/>
        </w:rPr>
        <w:t>m</w:t>
      </w:r>
      <w:r w:rsidRPr="002B55E9">
        <w:rPr>
          <w:b/>
          <w:vertAlign w:val="superscript"/>
        </w:rPr>
        <w:t>3</w:t>
      </w:r>
      <w:r w:rsidRPr="002B55E9">
        <w:rPr>
          <w:b/>
        </w:rPr>
        <w:t>/a</w:t>
      </w:r>
      <w:r w:rsidRPr="002B55E9">
        <w:rPr>
          <w:rFonts w:hint="eastAsia"/>
          <w:b/>
        </w:rPr>
        <w:t>）</w:t>
      </w:r>
    </w:p>
    <w:p w14:paraId="2F6E2BC6" w14:textId="0E4179BD" w:rsidR="00FA27FD" w:rsidRPr="002B55E9" w:rsidRDefault="00FA27FD">
      <w:pPr>
        <w:pStyle w:val="aa"/>
        <w:adjustRightInd w:val="0"/>
        <w:snapToGrid w:val="0"/>
        <w:ind w:firstLine="0"/>
        <w:jc w:val="left"/>
      </w:pPr>
    </w:p>
    <w:p w14:paraId="00E7F9B7" w14:textId="69F28539" w:rsidR="00FA27FD" w:rsidRPr="002B55E9" w:rsidRDefault="00FA27FD">
      <w:pPr>
        <w:pStyle w:val="aa"/>
        <w:adjustRightInd w:val="0"/>
        <w:snapToGrid w:val="0"/>
        <w:ind w:firstLine="0"/>
        <w:jc w:val="left"/>
      </w:pPr>
    </w:p>
    <w:p w14:paraId="17EDD684" w14:textId="54970B7C" w:rsidR="00FA27FD" w:rsidRPr="002B55E9" w:rsidRDefault="00FA27FD">
      <w:pPr>
        <w:pStyle w:val="aa"/>
        <w:adjustRightInd w:val="0"/>
        <w:snapToGrid w:val="0"/>
        <w:ind w:firstLine="0"/>
        <w:jc w:val="left"/>
      </w:pPr>
    </w:p>
    <w:p w14:paraId="41A074C8" w14:textId="12B6DB61" w:rsidR="00FA27FD" w:rsidRPr="002B55E9" w:rsidRDefault="00FA27FD">
      <w:pPr>
        <w:pStyle w:val="aa"/>
        <w:adjustRightInd w:val="0"/>
        <w:snapToGrid w:val="0"/>
        <w:ind w:firstLine="0"/>
        <w:jc w:val="left"/>
      </w:pPr>
    </w:p>
    <w:p w14:paraId="761DFA50" w14:textId="75F58F29" w:rsidR="00FA27FD" w:rsidRPr="002B55E9" w:rsidRDefault="00FA27FD">
      <w:pPr>
        <w:pStyle w:val="aa"/>
        <w:adjustRightInd w:val="0"/>
        <w:snapToGrid w:val="0"/>
        <w:ind w:firstLine="0"/>
        <w:jc w:val="left"/>
      </w:pPr>
    </w:p>
    <w:p w14:paraId="68820BE2" w14:textId="3513750D" w:rsidR="00FA27FD" w:rsidRPr="002B55E9" w:rsidRDefault="00FA27FD">
      <w:pPr>
        <w:pStyle w:val="aa"/>
        <w:adjustRightInd w:val="0"/>
        <w:snapToGrid w:val="0"/>
        <w:ind w:firstLine="0"/>
        <w:jc w:val="left"/>
      </w:pPr>
    </w:p>
    <w:p w14:paraId="467E349C" w14:textId="77777777" w:rsidR="00FA27FD" w:rsidRPr="002B55E9" w:rsidRDefault="00FA27FD">
      <w:pPr>
        <w:pStyle w:val="aa"/>
        <w:adjustRightInd w:val="0"/>
        <w:snapToGrid w:val="0"/>
        <w:ind w:firstLine="0"/>
        <w:jc w:val="left"/>
        <w:sectPr w:rsidR="00FA27FD" w:rsidRPr="002B55E9">
          <w:headerReference w:type="default" r:id="rId25"/>
          <w:pgSz w:w="11906" w:h="16838"/>
          <w:pgMar w:top="1134" w:right="1134" w:bottom="1134" w:left="1134" w:header="737" w:footer="624" w:gutter="0"/>
          <w:pgNumType w:chapStyle="1"/>
          <w:cols w:space="720"/>
          <w:docGrid w:linePitch="312"/>
        </w:sectPr>
      </w:pPr>
    </w:p>
    <w:p w14:paraId="39E81904" w14:textId="77777777" w:rsidR="00D170E5" w:rsidRPr="002B55E9" w:rsidRDefault="00EF27AD">
      <w:pPr>
        <w:pStyle w:val="3"/>
      </w:pPr>
      <w:bookmarkStart w:id="163" w:name="_Toc119308988"/>
      <w:bookmarkEnd w:id="141"/>
      <w:r w:rsidRPr="002B55E9">
        <w:lastRenderedPageBreak/>
        <w:t>运营期污染源分析</w:t>
      </w:r>
      <w:bookmarkEnd w:id="163"/>
    </w:p>
    <w:p w14:paraId="18149149" w14:textId="77777777" w:rsidR="00D170E5" w:rsidRPr="002B55E9" w:rsidRDefault="00EF27AD">
      <w:pPr>
        <w:pStyle w:val="4"/>
        <w:rPr>
          <w:color w:val="auto"/>
        </w:rPr>
      </w:pPr>
      <w:r w:rsidRPr="002B55E9">
        <w:rPr>
          <w:color w:val="auto"/>
        </w:rPr>
        <w:t>废气</w:t>
      </w:r>
    </w:p>
    <w:p w14:paraId="68166766" w14:textId="77777777" w:rsidR="00D170E5" w:rsidRPr="002B55E9" w:rsidRDefault="00EF27AD">
      <w:pPr>
        <w:pStyle w:val="affff7"/>
        <w:snapToGrid w:val="0"/>
        <w:spacing w:after="0"/>
      </w:pPr>
      <w:r w:rsidRPr="002B55E9">
        <w:rPr>
          <w:rFonts w:hint="eastAsia"/>
        </w:rPr>
        <w:t>拟建项目废气主要为料酒</w:t>
      </w:r>
      <w:r w:rsidRPr="002B55E9">
        <w:t>、食醋</w:t>
      </w:r>
      <w:r w:rsidRPr="002B55E9">
        <w:rPr>
          <w:rFonts w:hint="eastAsia"/>
        </w:rPr>
        <w:t>生产</w:t>
      </w:r>
      <w:r w:rsidRPr="002B55E9">
        <w:t>过程中的工艺废气、</w:t>
      </w:r>
      <w:r w:rsidRPr="002B55E9">
        <w:rPr>
          <w:rFonts w:hint="eastAsia"/>
        </w:rPr>
        <w:t>化验室</w:t>
      </w:r>
      <w:r w:rsidRPr="002B55E9">
        <w:t>检测</w:t>
      </w:r>
      <w:r w:rsidRPr="002B55E9">
        <w:rPr>
          <w:rFonts w:hint="eastAsia"/>
        </w:rPr>
        <w:t>废气以及</w:t>
      </w:r>
      <w:r w:rsidRPr="002B55E9">
        <w:t>其他废气。</w:t>
      </w:r>
    </w:p>
    <w:p w14:paraId="3E8991A4" w14:textId="77777777" w:rsidR="00D170E5" w:rsidRPr="002B55E9" w:rsidRDefault="00EF27AD">
      <w:pPr>
        <w:pStyle w:val="5"/>
      </w:pPr>
      <w:r w:rsidRPr="002B55E9">
        <w:rPr>
          <w:rFonts w:hint="eastAsia"/>
        </w:rPr>
        <w:t>料酒生产</w:t>
      </w:r>
      <w:r w:rsidRPr="002B55E9">
        <w:t>工艺废气</w:t>
      </w:r>
    </w:p>
    <w:p w14:paraId="3EA51566" w14:textId="468925A4" w:rsidR="00D170E5" w:rsidRPr="002B55E9" w:rsidRDefault="00EF27AD">
      <w:pPr>
        <w:pStyle w:val="affff7"/>
        <w:snapToGrid w:val="0"/>
        <w:spacing w:after="0"/>
      </w:pPr>
      <w:r w:rsidRPr="002B55E9">
        <w:rPr>
          <w:rFonts w:hint="eastAsia"/>
        </w:rPr>
        <w:t>料酒</w:t>
      </w:r>
      <w:r w:rsidRPr="002B55E9">
        <w:t>生产过程中的工艺废气主要来源于</w:t>
      </w:r>
      <w:r w:rsidRPr="002B55E9">
        <w:rPr>
          <w:rFonts w:hint="eastAsia"/>
        </w:rPr>
        <w:t>香辛料破碎</w:t>
      </w:r>
      <w:r w:rsidRPr="002B55E9">
        <w:t>过程中产生的</w:t>
      </w:r>
      <w:r w:rsidRPr="002B55E9">
        <w:rPr>
          <w:rFonts w:hint="eastAsia"/>
        </w:rPr>
        <w:t>粉尘废气</w:t>
      </w:r>
      <w:r w:rsidRPr="002B55E9">
        <w:t>（</w:t>
      </w:r>
      <w:r w:rsidRPr="002B55E9">
        <w:rPr>
          <w:rFonts w:hint="eastAsia"/>
        </w:rPr>
        <w:t>G1-1</w:t>
      </w:r>
      <w:r w:rsidRPr="002B55E9">
        <w:t>）</w:t>
      </w:r>
      <w:r w:rsidRPr="002B55E9">
        <w:rPr>
          <w:rFonts w:hint="eastAsia"/>
        </w:rPr>
        <w:t>，浸提</w:t>
      </w:r>
      <w:r w:rsidRPr="002B55E9">
        <w:t>工序乙醇</w:t>
      </w:r>
      <w:r w:rsidRPr="002B55E9">
        <w:rPr>
          <w:rFonts w:hint="eastAsia"/>
        </w:rPr>
        <w:t>进料（</w:t>
      </w:r>
      <w:r w:rsidRPr="002B55E9">
        <w:rPr>
          <w:rFonts w:hint="eastAsia"/>
        </w:rPr>
        <w:t>G1-2</w:t>
      </w:r>
      <w:r w:rsidRPr="002B55E9">
        <w:rPr>
          <w:rFonts w:hint="eastAsia"/>
        </w:rPr>
        <w:t>）</w:t>
      </w:r>
      <w:r w:rsidRPr="002B55E9">
        <w:t>、</w:t>
      </w:r>
      <w:r w:rsidRPr="002B55E9">
        <w:rPr>
          <w:rFonts w:hint="eastAsia"/>
        </w:rPr>
        <w:t>过滤</w:t>
      </w:r>
      <w:r w:rsidRPr="002B55E9">
        <w:t>工序</w:t>
      </w:r>
      <w:r w:rsidRPr="002B55E9">
        <w:rPr>
          <w:rFonts w:hint="eastAsia"/>
        </w:rPr>
        <w:t>香辛料风味标准液进料（</w:t>
      </w:r>
      <w:r w:rsidRPr="002B55E9">
        <w:rPr>
          <w:rFonts w:hint="eastAsia"/>
        </w:rPr>
        <w:t>G1-</w:t>
      </w:r>
      <w:r w:rsidRPr="002B55E9">
        <w:t>3</w:t>
      </w:r>
      <w:r w:rsidRPr="002B55E9">
        <w:rPr>
          <w:rFonts w:hint="eastAsia"/>
        </w:rPr>
        <w:t>）</w:t>
      </w:r>
      <w:r w:rsidRPr="002B55E9">
        <w:t>、</w:t>
      </w:r>
      <w:r w:rsidRPr="002B55E9">
        <w:rPr>
          <w:rFonts w:hint="eastAsia"/>
        </w:rPr>
        <w:t>调配混合</w:t>
      </w:r>
      <w:r w:rsidR="0094723B" w:rsidRPr="002B55E9">
        <w:t>工序香辛料风味</w:t>
      </w:r>
      <w:r w:rsidRPr="002B55E9">
        <w:rPr>
          <w:rFonts w:hint="eastAsia"/>
        </w:rPr>
        <w:t>标准液和</w:t>
      </w:r>
      <w:r w:rsidRPr="002B55E9">
        <w:t>黄酒等进料</w:t>
      </w:r>
      <w:r w:rsidRPr="002B55E9">
        <w:rPr>
          <w:rFonts w:hint="eastAsia"/>
        </w:rPr>
        <w:t>（</w:t>
      </w:r>
      <w:r w:rsidRPr="002B55E9">
        <w:rPr>
          <w:rFonts w:hint="eastAsia"/>
        </w:rPr>
        <w:t>G1-</w:t>
      </w:r>
      <w:r w:rsidRPr="002B55E9">
        <w:t>4</w:t>
      </w:r>
      <w:r w:rsidRPr="002B55E9">
        <w:rPr>
          <w:rFonts w:hint="eastAsia"/>
        </w:rPr>
        <w:t>）</w:t>
      </w:r>
      <w:r w:rsidRPr="002B55E9">
        <w:t>产生</w:t>
      </w:r>
      <w:r w:rsidRPr="002B55E9">
        <w:rPr>
          <w:rFonts w:hint="eastAsia"/>
        </w:rPr>
        <w:t>的</w:t>
      </w:r>
      <w:r w:rsidRPr="002B55E9">
        <w:t>投料废气</w:t>
      </w:r>
      <w:r w:rsidRPr="002B55E9">
        <w:rPr>
          <w:rFonts w:hint="eastAsia"/>
        </w:rPr>
        <w:t>等</w:t>
      </w:r>
      <w:r w:rsidRPr="002B55E9">
        <w:t>。</w:t>
      </w:r>
    </w:p>
    <w:p w14:paraId="5E32B535" w14:textId="77777777" w:rsidR="00D170E5" w:rsidRPr="002B55E9" w:rsidRDefault="00EF27AD">
      <w:pPr>
        <w:pStyle w:val="affff7"/>
        <w:snapToGrid w:val="0"/>
        <w:spacing w:after="0"/>
      </w:pPr>
      <w:r w:rsidRPr="002B55E9">
        <w:rPr>
          <w:rFonts w:hint="eastAsia"/>
        </w:rPr>
        <w:t>（</w:t>
      </w:r>
      <w:r w:rsidRPr="002B55E9">
        <w:rPr>
          <w:rFonts w:hint="eastAsia"/>
        </w:rPr>
        <w:t>1</w:t>
      </w:r>
      <w:r w:rsidRPr="002B55E9">
        <w:rPr>
          <w:rFonts w:hint="eastAsia"/>
        </w:rPr>
        <w:t>）香辛料破</w:t>
      </w:r>
      <w:r w:rsidRPr="002B55E9">
        <w:t>碎粉尘</w:t>
      </w:r>
      <w:r w:rsidRPr="002B55E9">
        <w:rPr>
          <w:rFonts w:hint="eastAsia"/>
        </w:rPr>
        <w:t>（</w:t>
      </w:r>
      <w:r w:rsidRPr="002B55E9">
        <w:rPr>
          <w:rFonts w:hint="eastAsia"/>
        </w:rPr>
        <w:t>G1-1</w:t>
      </w:r>
      <w:r w:rsidRPr="002B55E9">
        <w:rPr>
          <w:rFonts w:hint="eastAsia"/>
        </w:rPr>
        <w:t>）</w:t>
      </w:r>
    </w:p>
    <w:p w14:paraId="5A5E9336" w14:textId="78179AB4" w:rsidR="00D170E5" w:rsidRPr="002B55E9" w:rsidRDefault="00EF27AD">
      <w:pPr>
        <w:pStyle w:val="affff7"/>
        <w:snapToGrid w:val="0"/>
        <w:spacing w:after="0"/>
      </w:pPr>
      <w:r w:rsidRPr="002B55E9">
        <w:rPr>
          <w:rFonts w:hint="eastAsia"/>
        </w:rPr>
        <w:t>为便于提取香辛料中的风味物质，提取前会</w:t>
      </w:r>
      <w:r w:rsidRPr="002B55E9">
        <w:t>使用粉碎机</w:t>
      </w:r>
      <w:r w:rsidRPr="002B55E9">
        <w:rPr>
          <w:rFonts w:hint="eastAsia"/>
        </w:rPr>
        <w:t>将</w:t>
      </w:r>
      <w:r w:rsidRPr="002B55E9">
        <w:t>香辛料</w:t>
      </w:r>
      <w:r w:rsidRPr="002B55E9">
        <w:rPr>
          <w:rFonts w:hint="eastAsia"/>
        </w:rPr>
        <w:t>破</w:t>
      </w:r>
      <w:r w:rsidRPr="002B55E9">
        <w:t>碎，</w:t>
      </w:r>
      <w:r w:rsidRPr="002B55E9">
        <w:rPr>
          <w:rFonts w:hint="eastAsia"/>
        </w:rPr>
        <w:t>根据</w:t>
      </w:r>
      <w:r w:rsidRPr="002B55E9">
        <w:t>建设单位提供的</w:t>
      </w:r>
      <w:r w:rsidRPr="002B55E9">
        <w:rPr>
          <w:rFonts w:hint="eastAsia"/>
        </w:rPr>
        <w:t>统计经验数据，料酒</w:t>
      </w:r>
      <w:r w:rsidRPr="002B55E9">
        <w:t>生产线的</w:t>
      </w:r>
      <w:r w:rsidRPr="002B55E9">
        <w:rPr>
          <w:rFonts w:hint="eastAsia"/>
        </w:rPr>
        <w:t>香辛料年用量为</w:t>
      </w:r>
      <w:r w:rsidRPr="002B55E9">
        <w:t>141.2t</w:t>
      </w:r>
      <w:r w:rsidRPr="002B55E9">
        <w:rPr>
          <w:rFonts w:hint="eastAsia"/>
        </w:rPr>
        <w:t>，则破碎过程中粉尘产生量约为</w:t>
      </w:r>
      <w:r w:rsidRPr="002B55E9">
        <w:t>0.141t</w:t>
      </w:r>
      <w:r w:rsidRPr="002B55E9">
        <w:rPr>
          <w:rFonts w:hint="eastAsia"/>
        </w:rPr>
        <w:t>，每批次破碎耗时</w:t>
      </w:r>
      <w:r w:rsidRPr="002B55E9">
        <w:rPr>
          <w:rFonts w:hint="eastAsia"/>
        </w:rPr>
        <w:t>1</w:t>
      </w:r>
      <w:r w:rsidRPr="002B55E9">
        <w:t>h</w:t>
      </w:r>
      <w:r w:rsidRPr="002B55E9">
        <w:rPr>
          <w:rFonts w:hint="eastAsia"/>
        </w:rPr>
        <w:t>，破碎</w:t>
      </w:r>
      <w:r w:rsidRPr="002B55E9">
        <w:t>工序年</w:t>
      </w:r>
      <w:r w:rsidRPr="002B55E9">
        <w:rPr>
          <w:rFonts w:hint="eastAsia"/>
        </w:rPr>
        <w:t>生产</w:t>
      </w:r>
      <w:r w:rsidRPr="002B55E9">
        <w:rPr>
          <w:rFonts w:hint="eastAsia"/>
        </w:rPr>
        <w:t>1000</w:t>
      </w:r>
      <w:r w:rsidRPr="002B55E9">
        <w:rPr>
          <w:rFonts w:hint="eastAsia"/>
        </w:rPr>
        <w:t>批次，香辛料破碎粉尘产生速率为</w:t>
      </w:r>
      <w:r w:rsidRPr="002B55E9">
        <w:t>0.141kg/h</w:t>
      </w:r>
      <w:r w:rsidRPr="002B55E9">
        <w:rPr>
          <w:rFonts w:hint="eastAsia"/>
        </w:rPr>
        <w:t>。香辛料破碎过程中</w:t>
      </w:r>
      <w:r w:rsidRPr="002B55E9">
        <w:t>产生的</w:t>
      </w:r>
      <w:r w:rsidRPr="002B55E9">
        <w:rPr>
          <w:rFonts w:hint="eastAsia"/>
        </w:rPr>
        <w:t>颗粒物经粉碎机</w:t>
      </w:r>
      <w:r w:rsidRPr="002B55E9">
        <w:t>自带</w:t>
      </w:r>
      <w:r w:rsidRPr="002B55E9">
        <w:rPr>
          <w:rFonts w:hint="eastAsia"/>
        </w:rPr>
        <w:t>布袋</w:t>
      </w:r>
      <w:r w:rsidRPr="002B55E9">
        <w:t>除尘器</w:t>
      </w:r>
      <w:r w:rsidRPr="002B55E9">
        <w:rPr>
          <w:rFonts w:hint="eastAsia"/>
        </w:rPr>
        <w:t>处理后通过一根</w:t>
      </w:r>
      <w:r w:rsidRPr="002B55E9">
        <w:rPr>
          <w:rFonts w:hint="eastAsia"/>
        </w:rPr>
        <w:t>1</w:t>
      </w:r>
      <w:r w:rsidRPr="002B55E9">
        <w:t>8m</w:t>
      </w:r>
      <w:r w:rsidRPr="002B55E9">
        <w:rPr>
          <w:rFonts w:hint="eastAsia"/>
        </w:rPr>
        <w:t>高的</w:t>
      </w:r>
      <w:r w:rsidRPr="002B55E9">
        <w:t>排气筒</w:t>
      </w:r>
      <w:r w:rsidRPr="002B55E9">
        <w:rPr>
          <w:rFonts w:hint="eastAsia"/>
        </w:rPr>
        <w:t>（</w:t>
      </w:r>
      <w:r w:rsidRPr="002B55E9">
        <w:rPr>
          <w:rFonts w:hint="eastAsia"/>
        </w:rPr>
        <w:t>DA001</w:t>
      </w:r>
      <w:r w:rsidRPr="002B55E9">
        <w:rPr>
          <w:rFonts w:hint="eastAsia"/>
        </w:rPr>
        <w:t>）</w:t>
      </w:r>
      <w:r w:rsidRPr="002B55E9">
        <w:t>排放</w:t>
      </w:r>
      <w:r w:rsidRPr="002B55E9">
        <w:rPr>
          <w:rFonts w:hint="eastAsia"/>
        </w:rPr>
        <w:t>，因颗粒物产生浓度较低，袋式除尘</w:t>
      </w:r>
      <w:r w:rsidRPr="002B55E9">
        <w:t>器</w:t>
      </w:r>
      <w:r w:rsidRPr="002B55E9">
        <w:rPr>
          <w:rFonts w:hint="eastAsia"/>
        </w:rPr>
        <w:t>对颗粒物去除效率本次评价以</w:t>
      </w:r>
      <w:r w:rsidRPr="002B55E9">
        <w:rPr>
          <w:rFonts w:hint="eastAsia"/>
        </w:rPr>
        <w:t>6</w:t>
      </w:r>
      <w:r w:rsidRPr="002B55E9">
        <w:t>0%</w:t>
      </w:r>
      <w:r w:rsidRPr="002B55E9">
        <w:rPr>
          <w:rFonts w:hint="eastAsia"/>
        </w:rPr>
        <w:t>计，则香辛料破碎粉尘产排情况如下：</w:t>
      </w:r>
    </w:p>
    <w:p w14:paraId="79425A1A"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  </w:t>
      </w:r>
      <w:r w:rsidRPr="002B55E9">
        <w:rPr>
          <w:rFonts w:hint="eastAsia"/>
        </w:rPr>
        <w:t>香辛料破碎粉尘产生及排放情况一览表</w:t>
      </w:r>
    </w:p>
    <w:tbl>
      <w:tblPr>
        <w:tblW w:w="9638"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14"/>
        <w:gridCol w:w="583"/>
        <w:gridCol w:w="871"/>
        <w:gridCol w:w="813"/>
        <w:gridCol w:w="707"/>
        <w:gridCol w:w="553"/>
        <w:gridCol w:w="862"/>
        <w:gridCol w:w="848"/>
        <w:gridCol w:w="707"/>
        <w:gridCol w:w="1066"/>
        <w:gridCol w:w="1068"/>
        <w:gridCol w:w="846"/>
      </w:tblGrid>
      <w:tr w:rsidR="002B55E9" w:rsidRPr="002B55E9" w14:paraId="29225556" w14:textId="77777777">
        <w:trPr>
          <w:trHeight w:val="316"/>
        </w:trPr>
        <w:tc>
          <w:tcPr>
            <w:tcW w:w="714" w:type="dxa"/>
            <w:vMerge w:val="restart"/>
            <w:vAlign w:val="center"/>
          </w:tcPr>
          <w:p w14:paraId="01878F56" w14:textId="77777777" w:rsidR="00D170E5" w:rsidRPr="002B55E9" w:rsidRDefault="00EF27AD">
            <w:pPr>
              <w:snapToGrid w:val="0"/>
              <w:jc w:val="center"/>
              <w:rPr>
                <w:sz w:val="18"/>
                <w:szCs w:val="18"/>
              </w:rPr>
            </w:pPr>
            <w:r w:rsidRPr="002B55E9">
              <w:rPr>
                <w:sz w:val="18"/>
                <w:szCs w:val="18"/>
              </w:rPr>
              <w:t>污染物</w:t>
            </w:r>
          </w:p>
        </w:tc>
        <w:tc>
          <w:tcPr>
            <w:tcW w:w="583" w:type="dxa"/>
            <w:vMerge w:val="restart"/>
            <w:vAlign w:val="center"/>
          </w:tcPr>
          <w:p w14:paraId="48927B55" w14:textId="77777777" w:rsidR="00D170E5" w:rsidRPr="002B55E9" w:rsidRDefault="00EF27AD">
            <w:pPr>
              <w:snapToGrid w:val="0"/>
              <w:jc w:val="center"/>
              <w:rPr>
                <w:sz w:val="18"/>
                <w:szCs w:val="18"/>
              </w:rPr>
            </w:pPr>
            <w:r w:rsidRPr="002B55E9">
              <w:rPr>
                <w:rFonts w:hint="eastAsia"/>
                <w:sz w:val="18"/>
                <w:szCs w:val="18"/>
              </w:rPr>
              <w:t>排放时间</w:t>
            </w:r>
            <w:r w:rsidRPr="002B55E9">
              <w:rPr>
                <w:rFonts w:hint="eastAsia"/>
                <w:sz w:val="18"/>
                <w:szCs w:val="18"/>
              </w:rPr>
              <w:t>h</w:t>
            </w:r>
          </w:p>
        </w:tc>
        <w:tc>
          <w:tcPr>
            <w:tcW w:w="2391" w:type="dxa"/>
            <w:gridSpan w:val="3"/>
            <w:vAlign w:val="center"/>
          </w:tcPr>
          <w:p w14:paraId="36924259" w14:textId="77777777" w:rsidR="00D170E5" w:rsidRPr="002B55E9" w:rsidRDefault="00EF27AD">
            <w:pPr>
              <w:snapToGrid w:val="0"/>
              <w:jc w:val="center"/>
              <w:rPr>
                <w:sz w:val="18"/>
                <w:szCs w:val="18"/>
              </w:rPr>
            </w:pPr>
            <w:r w:rsidRPr="002B55E9">
              <w:rPr>
                <w:sz w:val="18"/>
                <w:szCs w:val="18"/>
              </w:rPr>
              <w:t>污染物产生</w:t>
            </w:r>
          </w:p>
        </w:tc>
        <w:tc>
          <w:tcPr>
            <w:tcW w:w="1415" w:type="dxa"/>
            <w:gridSpan w:val="2"/>
            <w:vAlign w:val="center"/>
          </w:tcPr>
          <w:p w14:paraId="240826CD" w14:textId="77777777" w:rsidR="00D170E5" w:rsidRPr="002B55E9" w:rsidRDefault="00EF27AD">
            <w:pPr>
              <w:snapToGrid w:val="0"/>
              <w:jc w:val="center"/>
              <w:rPr>
                <w:sz w:val="18"/>
                <w:szCs w:val="18"/>
              </w:rPr>
            </w:pPr>
            <w:r w:rsidRPr="002B55E9">
              <w:rPr>
                <w:sz w:val="18"/>
                <w:szCs w:val="18"/>
              </w:rPr>
              <w:t>废气收集</w:t>
            </w:r>
          </w:p>
        </w:tc>
        <w:tc>
          <w:tcPr>
            <w:tcW w:w="1555" w:type="dxa"/>
            <w:gridSpan w:val="2"/>
            <w:vAlign w:val="center"/>
          </w:tcPr>
          <w:p w14:paraId="67C55179" w14:textId="77777777" w:rsidR="00D170E5" w:rsidRPr="002B55E9" w:rsidRDefault="00EF27AD">
            <w:pPr>
              <w:snapToGrid w:val="0"/>
              <w:jc w:val="center"/>
              <w:rPr>
                <w:sz w:val="18"/>
                <w:szCs w:val="18"/>
              </w:rPr>
            </w:pPr>
            <w:r w:rsidRPr="002B55E9">
              <w:rPr>
                <w:sz w:val="18"/>
                <w:szCs w:val="18"/>
              </w:rPr>
              <w:t>治理措施</w:t>
            </w:r>
          </w:p>
        </w:tc>
        <w:tc>
          <w:tcPr>
            <w:tcW w:w="2980" w:type="dxa"/>
            <w:gridSpan w:val="3"/>
            <w:vAlign w:val="center"/>
          </w:tcPr>
          <w:p w14:paraId="17D38858" w14:textId="77777777" w:rsidR="00D170E5" w:rsidRPr="002B55E9" w:rsidRDefault="00EF27AD">
            <w:pPr>
              <w:snapToGrid w:val="0"/>
              <w:jc w:val="center"/>
              <w:rPr>
                <w:sz w:val="18"/>
                <w:szCs w:val="18"/>
              </w:rPr>
            </w:pPr>
            <w:r w:rsidRPr="002B55E9">
              <w:rPr>
                <w:rFonts w:hint="eastAsia"/>
                <w:sz w:val="18"/>
                <w:szCs w:val="18"/>
              </w:rPr>
              <w:t>有组织</w:t>
            </w:r>
            <w:r w:rsidRPr="002B55E9">
              <w:rPr>
                <w:sz w:val="18"/>
                <w:szCs w:val="18"/>
              </w:rPr>
              <w:t>排放</w:t>
            </w:r>
            <w:r w:rsidRPr="002B55E9">
              <w:rPr>
                <w:rFonts w:hint="eastAsia"/>
                <w:sz w:val="18"/>
                <w:szCs w:val="18"/>
              </w:rPr>
              <w:t>（</w:t>
            </w:r>
            <w:r w:rsidRPr="002B55E9">
              <w:rPr>
                <w:rFonts w:hint="eastAsia"/>
                <w:sz w:val="18"/>
                <w:szCs w:val="18"/>
              </w:rPr>
              <w:t>DA001</w:t>
            </w:r>
            <w:r w:rsidRPr="002B55E9">
              <w:rPr>
                <w:rFonts w:hint="eastAsia"/>
                <w:sz w:val="18"/>
                <w:szCs w:val="18"/>
              </w:rPr>
              <w:t>）</w:t>
            </w:r>
          </w:p>
        </w:tc>
      </w:tr>
      <w:tr w:rsidR="002B55E9" w:rsidRPr="002B55E9" w14:paraId="09775979" w14:textId="77777777">
        <w:trPr>
          <w:trHeight w:val="495"/>
        </w:trPr>
        <w:tc>
          <w:tcPr>
            <w:tcW w:w="714" w:type="dxa"/>
            <w:vMerge/>
            <w:tcBorders>
              <w:bottom w:val="single" w:sz="12" w:space="0" w:color="000000"/>
            </w:tcBorders>
            <w:vAlign w:val="center"/>
          </w:tcPr>
          <w:p w14:paraId="25309504" w14:textId="77777777" w:rsidR="00D170E5" w:rsidRPr="002B55E9" w:rsidRDefault="00D170E5">
            <w:pPr>
              <w:jc w:val="center"/>
              <w:rPr>
                <w:sz w:val="18"/>
                <w:szCs w:val="18"/>
              </w:rPr>
            </w:pPr>
          </w:p>
        </w:tc>
        <w:tc>
          <w:tcPr>
            <w:tcW w:w="583" w:type="dxa"/>
            <w:vMerge/>
            <w:tcBorders>
              <w:bottom w:val="single" w:sz="12" w:space="0" w:color="000000"/>
            </w:tcBorders>
            <w:vAlign w:val="center"/>
          </w:tcPr>
          <w:p w14:paraId="53D18CF3" w14:textId="77777777" w:rsidR="00D170E5" w:rsidRPr="002B55E9" w:rsidRDefault="00D170E5">
            <w:pPr>
              <w:jc w:val="center"/>
              <w:rPr>
                <w:sz w:val="18"/>
                <w:szCs w:val="18"/>
              </w:rPr>
            </w:pPr>
          </w:p>
        </w:tc>
        <w:tc>
          <w:tcPr>
            <w:tcW w:w="871" w:type="dxa"/>
            <w:tcBorders>
              <w:bottom w:val="single" w:sz="12" w:space="0" w:color="000000"/>
            </w:tcBorders>
            <w:vAlign w:val="center"/>
          </w:tcPr>
          <w:p w14:paraId="29191F98" w14:textId="77777777" w:rsidR="00D170E5" w:rsidRPr="002B55E9" w:rsidRDefault="00EF27AD">
            <w:pPr>
              <w:widowControl/>
              <w:jc w:val="center"/>
              <w:textAlignment w:val="center"/>
              <w:rPr>
                <w:sz w:val="18"/>
                <w:szCs w:val="18"/>
              </w:rPr>
            </w:pPr>
            <w:r w:rsidRPr="002B55E9">
              <w:rPr>
                <w:sz w:val="18"/>
                <w:szCs w:val="18"/>
              </w:rPr>
              <w:t>产生浓度（</w:t>
            </w:r>
            <w:r w:rsidRPr="002B55E9">
              <w:rPr>
                <w:sz w:val="18"/>
                <w:szCs w:val="18"/>
              </w:rPr>
              <w:t>mg/m</w:t>
            </w:r>
            <w:r w:rsidRPr="002B55E9">
              <w:rPr>
                <w:sz w:val="18"/>
                <w:szCs w:val="18"/>
                <w:vertAlign w:val="superscript"/>
              </w:rPr>
              <w:t>3</w:t>
            </w:r>
            <w:r w:rsidRPr="002B55E9">
              <w:rPr>
                <w:sz w:val="18"/>
                <w:szCs w:val="18"/>
              </w:rPr>
              <w:t>）</w:t>
            </w:r>
          </w:p>
        </w:tc>
        <w:tc>
          <w:tcPr>
            <w:tcW w:w="813" w:type="dxa"/>
            <w:tcBorders>
              <w:bottom w:val="single" w:sz="12" w:space="0" w:color="000000"/>
            </w:tcBorders>
            <w:vAlign w:val="center"/>
          </w:tcPr>
          <w:p w14:paraId="43DDD17A" w14:textId="77777777" w:rsidR="00D170E5" w:rsidRPr="002B55E9" w:rsidRDefault="00EF27AD">
            <w:pPr>
              <w:widowControl/>
              <w:jc w:val="center"/>
              <w:textAlignment w:val="center"/>
              <w:rPr>
                <w:sz w:val="18"/>
                <w:szCs w:val="18"/>
              </w:rPr>
            </w:pPr>
            <w:r w:rsidRPr="002B55E9">
              <w:rPr>
                <w:sz w:val="18"/>
                <w:szCs w:val="18"/>
              </w:rPr>
              <w:t>产生速率（</w:t>
            </w:r>
            <w:r w:rsidRPr="002B55E9">
              <w:rPr>
                <w:sz w:val="18"/>
                <w:szCs w:val="18"/>
              </w:rPr>
              <w:t>kg/h)</w:t>
            </w:r>
          </w:p>
        </w:tc>
        <w:tc>
          <w:tcPr>
            <w:tcW w:w="707" w:type="dxa"/>
            <w:tcBorders>
              <w:bottom w:val="single" w:sz="12" w:space="0" w:color="000000"/>
            </w:tcBorders>
            <w:vAlign w:val="center"/>
          </w:tcPr>
          <w:p w14:paraId="2FBA0532" w14:textId="77777777" w:rsidR="00D170E5" w:rsidRPr="002B55E9" w:rsidRDefault="00EF27AD">
            <w:pPr>
              <w:widowControl/>
              <w:jc w:val="center"/>
              <w:textAlignment w:val="center"/>
              <w:rPr>
                <w:sz w:val="18"/>
                <w:szCs w:val="18"/>
              </w:rPr>
            </w:pPr>
            <w:r w:rsidRPr="002B55E9">
              <w:rPr>
                <w:sz w:val="18"/>
                <w:szCs w:val="18"/>
              </w:rPr>
              <w:t>产生量</w:t>
            </w:r>
            <w:r w:rsidRPr="002B55E9">
              <w:rPr>
                <w:sz w:val="18"/>
                <w:szCs w:val="18"/>
              </w:rPr>
              <w:t>(</w:t>
            </w:r>
            <w:r w:rsidRPr="002B55E9">
              <w:rPr>
                <w:rFonts w:hint="eastAsia"/>
                <w:sz w:val="18"/>
                <w:szCs w:val="18"/>
              </w:rPr>
              <w:t>t</w:t>
            </w:r>
            <w:r w:rsidRPr="002B55E9">
              <w:rPr>
                <w:sz w:val="18"/>
                <w:szCs w:val="18"/>
              </w:rPr>
              <w:t>/a)</w:t>
            </w:r>
          </w:p>
        </w:tc>
        <w:tc>
          <w:tcPr>
            <w:tcW w:w="553" w:type="dxa"/>
            <w:tcBorders>
              <w:bottom w:val="single" w:sz="12" w:space="0" w:color="000000"/>
            </w:tcBorders>
            <w:vAlign w:val="center"/>
          </w:tcPr>
          <w:p w14:paraId="0E661AC5" w14:textId="77777777" w:rsidR="00D170E5" w:rsidRPr="002B55E9" w:rsidRDefault="00EF27AD">
            <w:pPr>
              <w:widowControl/>
              <w:jc w:val="center"/>
              <w:textAlignment w:val="center"/>
              <w:rPr>
                <w:sz w:val="18"/>
                <w:szCs w:val="18"/>
              </w:rPr>
            </w:pPr>
            <w:r w:rsidRPr="002B55E9">
              <w:rPr>
                <w:sz w:val="18"/>
                <w:szCs w:val="18"/>
              </w:rPr>
              <w:t>效率</w:t>
            </w:r>
          </w:p>
        </w:tc>
        <w:tc>
          <w:tcPr>
            <w:tcW w:w="862" w:type="dxa"/>
            <w:tcBorders>
              <w:bottom w:val="single" w:sz="12" w:space="0" w:color="000000"/>
            </w:tcBorders>
            <w:vAlign w:val="center"/>
          </w:tcPr>
          <w:p w14:paraId="7E1DB59B" w14:textId="77777777" w:rsidR="00D170E5" w:rsidRPr="002B55E9" w:rsidRDefault="00EF27AD">
            <w:pPr>
              <w:widowControl/>
              <w:jc w:val="center"/>
              <w:textAlignment w:val="center"/>
              <w:rPr>
                <w:sz w:val="18"/>
                <w:szCs w:val="18"/>
              </w:rPr>
            </w:pPr>
            <w:r w:rsidRPr="002B55E9">
              <w:rPr>
                <w:sz w:val="18"/>
                <w:szCs w:val="18"/>
              </w:rPr>
              <w:t>风量（</w:t>
            </w:r>
            <w:r w:rsidRPr="002B55E9">
              <w:rPr>
                <w:sz w:val="18"/>
                <w:szCs w:val="18"/>
              </w:rPr>
              <w:t>m</w:t>
            </w:r>
            <w:r w:rsidRPr="002B55E9">
              <w:rPr>
                <w:sz w:val="18"/>
                <w:szCs w:val="18"/>
                <w:vertAlign w:val="superscript"/>
              </w:rPr>
              <w:t>3</w:t>
            </w:r>
            <w:r w:rsidRPr="002B55E9">
              <w:rPr>
                <w:sz w:val="18"/>
                <w:szCs w:val="18"/>
              </w:rPr>
              <w:t>/h</w:t>
            </w:r>
            <w:r w:rsidRPr="002B55E9">
              <w:rPr>
                <w:rFonts w:hint="eastAsia"/>
                <w:sz w:val="18"/>
                <w:szCs w:val="18"/>
              </w:rPr>
              <w:t>）</w:t>
            </w:r>
          </w:p>
        </w:tc>
        <w:tc>
          <w:tcPr>
            <w:tcW w:w="848" w:type="dxa"/>
            <w:tcBorders>
              <w:bottom w:val="single" w:sz="12" w:space="0" w:color="000000"/>
            </w:tcBorders>
            <w:vAlign w:val="center"/>
          </w:tcPr>
          <w:p w14:paraId="54CCE46F" w14:textId="77777777" w:rsidR="00D170E5" w:rsidRPr="002B55E9" w:rsidRDefault="00EF27AD">
            <w:pPr>
              <w:widowControl/>
              <w:jc w:val="center"/>
              <w:textAlignment w:val="center"/>
              <w:rPr>
                <w:sz w:val="18"/>
                <w:szCs w:val="18"/>
              </w:rPr>
            </w:pPr>
            <w:r w:rsidRPr="002B55E9">
              <w:rPr>
                <w:sz w:val="18"/>
                <w:szCs w:val="18"/>
              </w:rPr>
              <w:t>工艺</w:t>
            </w:r>
          </w:p>
        </w:tc>
        <w:tc>
          <w:tcPr>
            <w:tcW w:w="707" w:type="dxa"/>
            <w:tcBorders>
              <w:bottom w:val="single" w:sz="12" w:space="0" w:color="000000"/>
            </w:tcBorders>
            <w:vAlign w:val="center"/>
          </w:tcPr>
          <w:p w14:paraId="53644A2B" w14:textId="77777777" w:rsidR="00D170E5" w:rsidRPr="002B55E9" w:rsidRDefault="00EF27AD">
            <w:pPr>
              <w:widowControl/>
              <w:jc w:val="center"/>
              <w:textAlignment w:val="center"/>
              <w:rPr>
                <w:sz w:val="18"/>
                <w:szCs w:val="18"/>
              </w:rPr>
            </w:pPr>
            <w:r w:rsidRPr="002B55E9">
              <w:rPr>
                <w:sz w:val="18"/>
                <w:szCs w:val="18"/>
              </w:rPr>
              <w:t>效率</w:t>
            </w:r>
          </w:p>
        </w:tc>
        <w:tc>
          <w:tcPr>
            <w:tcW w:w="1066" w:type="dxa"/>
            <w:tcBorders>
              <w:bottom w:val="single" w:sz="12" w:space="0" w:color="000000"/>
            </w:tcBorders>
            <w:vAlign w:val="center"/>
          </w:tcPr>
          <w:p w14:paraId="497E3747" w14:textId="77777777" w:rsidR="00D170E5" w:rsidRPr="002B55E9" w:rsidRDefault="00EF27AD">
            <w:pPr>
              <w:widowControl/>
              <w:jc w:val="center"/>
              <w:textAlignment w:val="center"/>
              <w:rPr>
                <w:sz w:val="18"/>
                <w:szCs w:val="18"/>
              </w:rPr>
            </w:pPr>
            <w:r w:rsidRPr="002B55E9">
              <w:rPr>
                <w:rFonts w:hint="eastAsia"/>
                <w:sz w:val="18"/>
                <w:szCs w:val="18"/>
              </w:rPr>
              <w:t>排放</w:t>
            </w:r>
            <w:r w:rsidRPr="002B55E9">
              <w:rPr>
                <w:sz w:val="18"/>
                <w:szCs w:val="18"/>
              </w:rPr>
              <w:t>浓度（</w:t>
            </w:r>
            <w:r w:rsidRPr="002B55E9">
              <w:rPr>
                <w:rFonts w:hint="eastAsia"/>
                <w:sz w:val="18"/>
                <w:szCs w:val="18"/>
              </w:rPr>
              <w:t>mg/m</w:t>
            </w:r>
            <w:r w:rsidRPr="002B55E9">
              <w:rPr>
                <w:sz w:val="18"/>
                <w:szCs w:val="18"/>
                <w:vertAlign w:val="superscript"/>
              </w:rPr>
              <w:t>3</w:t>
            </w:r>
            <w:r w:rsidRPr="002B55E9">
              <w:rPr>
                <w:sz w:val="18"/>
                <w:szCs w:val="18"/>
              </w:rPr>
              <w:t>）</w:t>
            </w:r>
          </w:p>
        </w:tc>
        <w:tc>
          <w:tcPr>
            <w:tcW w:w="1068" w:type="dxa"/>
            <w:tcBorders>
              <w:bottom w:val="single" w:sz="12" w:space="0" w:color="000000"/>
            </w:tcBorders>
            <w:vAlign w:val="center"/>
          </w:tcPr>
          <w:p w14:paraId="0A1B689A" w14:textId="77777777" w:rsidR="00D170E5" w:rsidRPr="002B55E9" w:rsidRDefault="00EF27AD">
            <w:pPr>
              <w:widowControl/>
              <w:jc w:val="center"/>
              <w:textAlignment w:val="center"/>
              <w:rPr>
                <w:sz w:val="18"/>
                <w:szCs w:val="18"/>
              </w:rPr>
            </w:pPr>
            <w:r w:rsidRPr="002B55E9">
              <w:rPr>
                <w:sz w:val="18"/>
                <w:szCs w:val="18"/>
              </w:rPr>
              <w:t>排放速率（</w:t>
            </w:r>
            <w:r w:rsidRPr="002B55E9">
              <w:rPr>
                <w:sz w:val="18"/>
                <w:szCs w:val="18"/>
              </w:rPr>
              <w:t>kg/h)</w:t>
            </w:r>
          </w:p>
        </w:tc>
        <w:tc>
          <w:tcPr>
            <w:tcW w:w="846" w:type="dxa"/>
            <w:tcBorders>
              <w:bottom w:val="single" w:sz="12" w:space="0" w:color="000000"/>
            </w:tcBorders>
            <w:vAlign w:val="center"/>
          </w:tcPr>
          <w:p w14:paraId="58888C33" w14:textId="77777777" w:rsidR="00D170E5" w:rsidRPr="002B55E9" w:rsidRDefault="00EF27AD">
            <w:pPr>
              <w:widowControl/>
              <w:jc w:val="center"/>
              <w:textAlignment w:val="center"/>
              <w:rPr>
                <w:sz w:val="18"/>
                <w:szCs w:val="18"/>
              </w:rPr>
            </w:pPr>
            <w:r w:rsidRPr="002B55E9">
              <w:rPr>
                <w:sz w:val="18"/>
                <w:szCs w:val="18"/>
              </w:rPr>
              <w:t>排放量</w:t>
            </w:r>
            <w:r w:rsidRPr="002B55E9">
              <w:rPr>
                <w:sz w:val="18"/>
                <w:szCs w:val="18"/>
              </w:rPr>
              <w:t>(</w:t>
            </w:r>
            <w:r w:rsidRPr="002B55E9">
              <w:rPr>
                <w:rFonts w:hint="eastAsia"/>
                <w:sz w:val="18"/>
                <w:szCs w:val="18"/>
              </w:rPr>
              <w:t>t</w:t>
            </w:r>
            <w:r w:rsidRPr="002B55E9">
              <w:rPr>
                <w:sz w:val="18"/>
                <w:szCs w:val="18"/>
              </w:rPr>
              <w:t>/a)</w:t>
            </w:r>
          </w:p>
        </w:tc>
      </w:tr>
      <w:tr w:rsidR="002B55E9" w:rsidRPr="002B55E9" w14:paraId="4BDB5347" w14:textId="77777777">
        <w:trPr>
          <w:trHeight w:val="321"/>
        </w:trPr>
        <w:tc>
          <w:tcPr>
            <w:tcW w:w="714" w:type="dxa"/>
            <w:vAlign w:val="center"/>
          </w:tcPr>
          <w:p w14:paraId="42B01B5F" w14:textId="77777777" w:rsidR="00D170E5" w:rsidRPr="002B55E9" w:rsidRDefault="00EF27AD">
            <w:pPr>
              <w:jc w:val="center"/>
              <w:rPr>
                <w:sz w:val="18"/>
                <w:szCs w:val="18"/>
              </w:rPr>
            </w:pPr>
            <w:r w:rsidRPr="002B55E9">
              <w:rPr>
                <w:rFonts w:hint="eastAsia"/>
                <w:sz w:val="18"/>
                <w:szCs w:val="18"/>
              </w:rPr>
              <w:t>颗粒物</w:t>
            </w:r>
          </w:p>
        </w:tc>
        <w:tc>
          <w:tcPr>
            <w:tcW w:w="583" w:type="dxa"/>
            <w:vAlign w:val="center"/>
          </w:tcPr>
          <w:p w14:paraId="7916EFFD" w14:textId="77777777" w:rsidR="00D170E5" w:rsidRPr="002B55E9" w:rsidRDefault="00EF27AD">
            <w:pPr>
              <w:jc w:val="center"/>
              <w:rPr>
                <w:sz w:val="18"/>
                <w:szCs w:val="18"/>
              </w:rPr>
            </w:pPr>
            <w:r w:rsidRPr="002B55E9">
              <w:rPr>
                <w:rFonts w:hint="eastAsia"/>
                <w:sz w:val="18"/>
                <w:szCs w:val="18"/>
              </w:rPr>
              <w:t>1000</w:t>
            </w:r>
          </w:p>
        </w:tc>
        <w:tc>
          <w:tcPr>
            <w:tcW w:w="871" w:type="dxa"/>
            <w:vAlign w:val="center"/>
          </w:tcPr>
          <w:p w14:paraId="0001AD02" w14:textId="77777777" w:rsidR="00D170E5" w:rsidRPr="002B55E9" w:rsidRDefault="00EF27AD">
            <w:pPr>
              <w:widowControl/>
              <w:jc w:val="center"/>
              <w:rPr>
                <w:rFonts w:eastAsia="等线"/>
                <w:sz w:val="18"/>
                <w:szCs w:val="18"/>
              </w:rPr>
            </w:pPr>
            <w:r w:rsidRPr="002B55E9">
              <w:rPr>
                <w:rFonts w:eastAsia="等线" w:hint="eastAsia"/>
                <w:sz w:val="18"/>
                <w:szCs w:val="18"/>
              </w:rPr>
              <w:t>28.24</w:t>
            </w:r>
          </w:p>
        </w:tc>
        <w:tc>
          <w:tcPr>
            <w:tcW w:w="813" w:type="dxa"/>
            <w:vAlign w:val="center"/>
          </w:tcPr>
          <w:p w14:paraId="5B56CF03" w14:textId="77777777" w:rsidR="00D170E5" w:rsidRPr="002B55E9" w:rsidRDefault="00EF27AD">
            <w:pPr>
              <w:jc w:val="center"/>
              <w:rPr>
                <w:rFonts w:eastAsia="等线"/>
                <w:sz w:val="18"/>
                <w:szCs w:val="18"/>
              </w:rPr>
            </w:pPr>
            <w:r w:rsidRPr="002B55E9">
              <w:rPr>
                <w:rFonts w:eastAsia="等线" w:hint="eastAsia"/>
                <w:sz w:val="18"/>
                <w:szCs w:val="18"/>
              </w:rPr>
              <w:t>0.1412</w:t>
            </w:r>
          </w:p>
        </w:tc>
        <w:tc>
          <w:tcPr>
            <w:tcW w:w="707" w:type="dxa"/>
            <w:vAlign w:val="center"/>
          </w:tcPr>
          <w:p w14:paraId="2C508327" w14:textId="77777777" w:rsidR="00D170E5" w:rsidRPr="002B55E9" w:rsidRDefault="00EF27AD">
            <w:pPr>
              <w:jc w:val="center"/>
              <w:rPr>
                <w:sz w:val="18"/>
                <w:szCs w:val="18"/>
              </w:rPr>
            </w:pPr>
            <w:r w:rsidRPr="002B55E9">
              <w:rPr>
                <w:rFonts w:hint="eastAsia"/>
                <w:sz w:val="18"/>
                <w:szCs w:val="18"/>
              </w:rPr>
              <w:t>0.141</w:t>
            </w:r>
          </w:p>
        </w:tc>
        <w:tc>
          <w:tcPr>
            <w:tcW w:w="553" w:type="dxa"/>
            <w:vAlign w:val="center"/>
          </w:tcPr>
          <w:p w14:paraId="27C4476F" w14:textId="77777777" w:rsidR="00D170E5" w:rsidRPr="002B55E9" w:rsidRDefault="00EF27AD">
            <w:pPr>
              <w:jc w:val="center"/>
              <w:rPr>
                <w:sz w:val="18"/>
                <w:szCs w:val="18"/>
              </w:rPr>
            </w:pPr>
            <w:r w:rsidRPr="002B55E9">
              <w:rPr>
                <w:sz w:val="18"/>
                <w:szCs w:val="18"/>
              </w:rPr>
              <w:t>90%</w:t>
            </w:r>
          </w:p>
        </w:tc>
        <w:tc>
          <w:tcPr>
            <w:tcW w:w="862" w:type="dxa"/>
            <w:vAlign w:val="center"/>
          </w:tcPr>
          <w:p w14:paraId="2FF5461E" w14:textId="77777777" w:rsidR="00D170E5" w:rsidRPr="002B55E9" w:rsidRDefault="00EF27AD">
            <w:pPr>
              <w:jc w:val="center"/>
              <w:rPr>
                <w:sz w:val="18"/>
                <w:szCs w:val="18"/>
              </w:rPr>
            </w:pPr>
            <w:r w:rsidRPr="002B55E9">
              <w:rPr>
                <w:rFonts w:hint="eastAsia"/>
                <w:sz w:val="18"/>
                <w:szCs w:val="18"/>
              </w:rPr>
              <w:t>5</w:t>
            </w:r>
            <w:r w:rsidRPr="002B55E9">
              <w:rPr>
                <w:sz w:val="18"/>
                <w:szCs w:val="18"/>
              </w:rPr>
              <w:t>000</w:t>
            </w:r>
          </w:p>
        </w:tc>
        <w:tc>
          <w:tcPr>
            <w:tcW w:w="848" w:type="dxa"/>
            <w:vAlign w:val="center"/>
          </w:tcPr>
          <w:p w14:paraId="6F8FA9BD" w14:textId="77777777" w:rsidR="00D170E5" w:rsidRPr="002B55E9" w:rsidRDefault="00EF27AD">
            <w:pPr>
              <w:jc w:val="center"/>
              <w:rPr>
                <w:sz w:val="18"/>
                <w:szCs w:val="18"/>
              </w:rPr>
            </w:pPr>
            <w:r w:rsidRPr="002B55E9">
              <w:rPr>
                <w:rFonts w:hint="eastAsia"/>
                <w:sz w:val="18"/>
                <w:szCs w:val="18"/>
              </w:rPr>
              <w:t>袋式除尘</w:t>
            </w:r>
          </w:p>
        </w:tc>
        <w:tc>
          <w:tcPr>
            <w:tcW w:w="707" w:type="dxa"/>
            <w:vAlign w:val="center"/>
          </w:tcPr>
          <w:p w14:paraId="756FA461" w14:textId="77777777" w:rsidR="00D170E5" w:rsidRPr="002B55E9" w:rsidRDefault="00EF27AD">
            <w:pPr>
              <w:jc w:val="center"/>
              <w:rPr>
                <w:sz w:val="18"/>
                <w:szCs w:val="18"/>
              </w:rPr>
            </w:pPr>
            <w:r w:rsidRPr="002B55E9">
              <w:rPr>
                <w:sz w:val="18"/>
                <w:szCs w:val="18"/>
              </w:rPr>
              <w:t>60%</w:t>
            </w:r>
          </w:p>
        </w:tc>
        <w:tc>
          <w:tcPr>
            <w:tcW w:w="1066" w:type="dxa"/>
            <w:tcBorders>
              <w:top w:val="nil"/>
              <w:left w:val="nil"/>
              <w:bottom w:val="single" w:sz="12" w:space="0" w:color="000000"/>
              <w:right w:val="single" w:sz="8" w:space="0" w:color="000000"/>
            </w:tcBorders>
            <w:shd w:val="clear" w:color="auto" w:fill="auto"/>
            <w:vAlign w:val="center"/>
          </w:tcPr>
          <w:p w14:paraId="57020CA8" w14:textId="77777777" w:rsidR="00D170E5" w:rsidRPr="002B55E9" w:rsidRDefault="00EF27AD">
            <w:pPr>
              <w:jc w:val="center"/>
              <w:rPr>
                <w:rFonts w:eastAsia="等线"/>
                <w:sz w:val="18"/>
                <w:szCs w:val="18"/>
              </w:rPr>
            </w:pPr>
            <w:r w:rsidRPr="002B55E9">
              <w:rPr>
                <w:rFonts w:eastAsia="等线"/>
                <w:sz w:val="18"/>
                <w:szCs w:val="18"/>
              </w:rPr>
              <w:t>10.17</w:t>
            </w:r>
          </w:p>
        </w:tc>
        <w:tc>
          <w:tcPr>
            <w:tcW w:w="1068" w:type="dxa"/>
            <w:tcBorders>
              <w:top w:val="nil"/>
              <w:left w:val="nil"/>
              <w:bottom w:val="single" w:sz="12" w:space="0" w:color="000000"/>
              <w:right w:val="single" w:sz="8" w:space="0" w:color="000000"/>
            </w:tcBorders>
            <w:shd w:val="clear" w:color="auto" w:fill="auto"/>
            <w:vAlign w:val="center"/>
          </w:tcPr>
          <w:p w14:paraId="04AC66C5" w14:textId="77777777" w:rsidR="00D170E5" w:rsidRPr="002B55E9" w:rsidRDefault="00EF27AD">
            <w:pPr>
              <w:jc w:val="center"/>
              <w:rPr>
                <w:rFonts w:eastAsia="等线"/>
                <w:sz w:val="18"/>
                <w:szCs w:val="18"/>
              </w:rPr>
            </w:pPr>
            <w:r w:rsidRPr="002B55E9">
              <w:rPr>
                <w:rFonts w:eastAsia="等线"/>
                <w:sz w:val="18"/>
                <w:szCs w:val="18"/>
              </w:rPr>
              <w:t>0.051</w:t>
            </w:r>
          </w:p>
        </w:tc>
        <w:tc>
          <w:tcPr>
            <w:tcW w:w="846" w:type="dxa"/>
            <w:tcBorders>
              <w:top w:val="nil"/>
              <w:left w:val="nil"/>
              <w:bottom w:val="single" w:sz="12" w:space="0" w:color="000000"/>
              <w:right w:val="nil"/>
            </w:tcBorders>
            <w:shd w:val="clear" w:color="auto" w:fill="auto"/>
            <w:vAlign w:val="center"/>
          </w:tcPr>
          <w:p w14:paraId="64EF4FF5" w14:textId="77777777" w:rsidR="00D170E5" w:rsidRPr="002B55E9" w:rsidRDefault="00EF27AD">
            <w:pPr>
              <w:jc w:val="center"/>
              <w:rPr>
                <w:sz w:val="18"/>
                <w:szCs w:val="18"/>
              </w:rPr>
            </w:pPr>
            <w:r w:rsidRPr="002B55E9">
              <w:rPr>
                <w:rFonts w:eastAsia="等线"/>
                <w:sz w:val="18"/>
                <w:szCs w:val="18"/>
              </w:rPr>
              <w:t>0.051</w:t>
            </w:r>
          </w:p>
        </w:tc>
      </w:tr>
    </w:tbl>
    <w:p w14:paraId="3816AC80"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-3-2  </w:t>
      </w:r>
      <w:r w:rsidRPr="002B55E9">
        <w:rPr>
          <w:rFonts w:hint="eastAsia"/>
        </w:rPr>
        <w:t>香辛料破碎粉尘产生及排放情况一览表</w:t>
      </w:r>
    </w:p>
    <w:tbl>
      <w:tblPr>
        <w:tblW w:w="9638"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9"/>
        <w:gridCol w:w="890"/>
        <w:gridCol w:w="1070"/>
        <w:gridCol w:w="890"/>
        <w:gridCol w:w="1656"/>
        <w:gridCol w:w="1231"/>
        <w:gridCol w:w="1126"/>
        <w:gridCol w:w="1126"/>
      </w:tblGrid>
      <w:tr w:rsidR="002B55E9" w:rsidRPr="002B55E9" w14:paraId="54463AB3" w14:textId="77777777">
        <w:trPr>
          <w:trHeight w:val="283"/>
        </w:trPr>
        <w:tc>
          <w:tcPr>
            <w:tcW w:w="1649" w:type="dxa"/>
            <w:vMerge w:val="restart"/>
            <w:tcBorders>
              <w:top w:val="single" w:sz="12" w:space="0" w:color="auto"/>
              <w:left w:val="nil"/>
              <w:bottom w:val="single" w:sz="4" w:space="0" w:color="auto"/>
              <w:right w:val="single" w:sz="4" w:space="0" w:color="auto"/>
            </w:tcBorders>
            <w:noWrap/>
            <w:vAlign w:val="center"/>
          </w:tcPr>
          <w:p w14:paraId="58E47EF1" w14:textId="77777777" w:rsidR="00D170E5" w:rsidRPr="002B55E9" w:rsidRDefault="00EF27AD">
            <w:pPr>
              <w:pStyle w:val="lgy-"/>
            </w:pPr>
            <w:r w:rsidRPr="002B55E9">
              <w:rPr>
                <w:rFonts w:hint="eastAsia"/>
              </w:rPr>
              <w:t>厂房名称</w:t>
            </w:r>
          </w:p>
        </w:tc>
        <w:tc>
          <w:tcPr>
            <w:tcW w:w="4506" w:type="dxa"/>
            <w:gridSpan w:val="4"/>
            <w:tcBorders>
              <w:top w:val="single" w:sz="12" w:space="0" w:color="auto"/>
              <w:left w:val="single" w:sz="4" w:space="0" w:color="auto"/>
              <w:bottom w:val="single" w:sz="12" w:space="0" w:color="auto"/>
              <w:right w:val="single" w:sz="4" w:space="0" w:color="auto"/>
            </w:tcBorders>
            <w:noWrap/>
            <w:vAlign w:val="center"/>
          </w:tcPr>
          <w:p w14:paraId="50E6D897" w14:textId="77777777" w:rsidR="00D170E5" w:rsidRPr="002B55E9" w:rsidRDefault="00EF27AD">
            <w:pPr>
              <w:pStyle w:val="lgy-"/>
            </w:pPr>
            <w:r w:rsidRPr="002B55E9">
              <w:rPr>
                <w:rFonts w:hint="eastAsia"/>
              </w:rPr>
              <w:t>排放参数</w:t>
            </w:r>
          </w:p>
        </w:tc>
        <w:tc>
          <w:tcPr>
            <w:tcW w:w="3483" w:type="dxa"/>
            <w:gridSpan w:val="3"/>
            <w:tcBorders>
              <w:top w:val="single" w:sz="12" w:space="0" w:color="auto"/>
              <w:left w:val="single" w:sz="4" w:space="0" w:color="auto"/>
              <w:bottom w:val="single" w:sz="12" w:space="0" w:color="auto"/>
              <w:right w:val="nil"/>
            </w:tcBorders>
            <w:noWrap/>
            <w:vAlign w:val="center"/>
          </w:tcPr>
          <w:p w14:paraId="430FE80E" w14:textId="77777777" w:rsidR="00D170E5" w:rsidRPr="002B55E9" w:rsidRDefault="00EF27AD">
            <w:pPr>
              <w:pStyle w:val="lgy-"/>
            </w:pPr>
            <w:r w:rsidRPr="002B55E9">
              <w:rPr>
                <w:rFonts w:hint="eastAsia"/>
              </w:rPr>
              <w:t>无组织排放情况</w:t>
            </w:r>
          </w:p>
        </w:tc>
      </w:tr>
      <w:tr w:rsidR="002B55E9" w:rsidRPr="002B55E9" w14:paraId="1AC44CEC" w14:textId="77777777">
        <w:trPr>
          <w:trHeight w:val="283"/>
        </w:trPr>
        <w:tc>
          <w:tcPr>
            <w:tcW w:w="1649" w:type="dxa"/>
            <w:vMerge/>
            <w:tcBorders>
              <w:top w:val="single" w:sz="12" w:space="0" w:color="auto"/>
              <w:left w:val="nil"/>
              <w:bottom w:val="single" w:sz="4" w:space="0" w:color="auto"/>
              <w:right w:val="single" w:sz="4" w:space="0" w:color="auto"/>
            </w:tcBorders>
            <w:vAlign w:val="center"/>
          </w:tcPr>
          <w:p w14:paraId="2546C829" w14:textId="77777777" w:rsidR="00D170E5" w:rsidRPr="002B55E9" w:rsidRDefault="00D170E5">
            <w:pPr>
              <w:widowControl/>
              <w:jc w:val="left"/>
              <w:rPr>
                <w:bCs/>
                <w:sz w:val="18"/>
                <w:szCs w:val="18"/>
              </w:rPr>
            </w:pPr>
          </w:p>
        </w:tc>
        <w:tc>
          <w:tcPr>
            <w:tcW w:w="890" w:type="dxa"/>
            <w:tcBorders>
              <w:top w:val="single" w:sz="4" w:space="0" w:color="auto"/>
              <w:left w:val="single" w:sz="4" w:space="0" w:color="auto"/>
              <w:bottom w:val="single" w:sz="4" w:space="0" w:color="auto"/>
              <w:right w:val="single" w:sz="4" w:space="0" w:color="auto"/>
            </w:tcBorders>
            <w:noWrap/>
            <w:vAlign w:val="center"/>
          </w:tcPr>
          <w:p w14:paraId="27798C49" w14:textId="77777777" w:rsidR="00D170E5" w:rsidRPr="002B55E9" w:rsidRDefault="00EF27AD">
            <w:pPr>
              <w:pStyle w:val="lgy-"/>
            </w:pPr>
            <w:r w:rsidRPr="002B55E9">
              <w:rPr>
                <w:rFonts w:hint="eastAsia"/>
              </w:rPr>
              <w:t>长度</w:t>
            </w:r>
            <w:r w:rsidRPr="002B55E9">
              <w:t>m</w:t>
            </w:r>
          </w:p>
        </w:tc>
        <w:tc>
          <w:tcPr>
            <w:tcW w:w="1070" w:type="dxa"/>
            <w:tcBorders>
              <w:top w:val="single" w:sz="4" w:space="0" w:color="auto"/>
              <w:left w:val="single" w:sz="4" w:space="0" w:color="auto"/>
              <w:bottom w:val="single" w:sz="4" w:space="0" w:color="auto"/>
              <w:right w:val="single" w:sz="4" w:space="0" w:color="auto"/>
            </w:tcBorders>
            <w:vAlign w:val="center"/>
          </w:tcPr>
          <w:p w14:paraId="7D07999E" w14:textId="77777777" w:rsidR="00D170E5" w:rsidRPr="002B55E9" w:rsidRDefault="00EF27AD">
            <w:pPr>
              <w:pStyle w:val="lgy-"/>
            </w:pPr>
            <w:r w:rsidRPr="002B55E9">
              <w:rPr>
                <w:rFonts w:hint="eastAsia"/>
              </w:rPr>
              <w:t>宽度</w:t>
            </w:r>
            <w:r w:rsidRPr="002B55E9">
              <w:t>m</w:t>
            </w:r>
          </w:p>
        </w:tc>
        <w:tc>
          <w:tcPr>
            <w:tcW w:w="890" w:type="dxa"/>
            <w:tcBorders>
              <w:top w:val="single" w:sz="4" w:space="0" w:color="auto"/>
              <w:left w:val="single" w:sz="4" w:space="0" w:color="auto"/>
              <w:bottom w:val="single" w:sz="4" w:space="0" w:color="auto"/>
              <w:right w:val="single" w:sz="4" w:space="0" w:color="auto"/>
            </w:tcBorders>
            <w:noWrap/>
            <w:vAlign w:val="center"/>
          </w:tcPr>
          <w:p w14:paraId="279D3F15" w14:textId="77777777" w:rsidR="00D170E5" w:rsidRPr="002B55E9" w:rsidRDefault="00EF27AD">
            <w:pPr>
              <w:pStyle w:val="lgy-"/>
            </w:pPr>
            <w:r w:rsidRPr="002B55E9">
              <w:rPr>
                <w:rFonts w:hint="eastAsia"/>
              </w:rPr>
              <w:t>高度</w:t>
            </w:r>
            <w:r w:rsidRPr="002B55E9">
              <w:t>m</w:t>
            </w:r>
          </w:p>
        </w:tc>
        <w:tc>
          <w:tcPr>
            <w:tcW w:w="1656" w:type="dxa"/>
            <w:tcBorders>
              <w:top w:val="single" w:sz="4" w:space="0" w:color="auto"/>
              <w:left w:val="single" w:sz="4" w:space="0" w:color="auto"/>
              <w:bottom w:val="single" w:sz="4" w:space="0" w:color="auto"/>
              <w:right w:val="single" w:sz="4" w:space="0" w:color="auto"/>
            </w:tcBorders>
            <w:noWrap/>
            <w:vAlign w:val="center"/>
          </w:tcPr>
          <w:p w14:paraId="5689C5B2" w14:textId="77777777" w:rsidR="00D170E5" w:rsidRPr="002B55E9" w:rsidRDefault="00EF27AD">
            <w:pPr>
              <w:pStyle w:val="lgy-"/>
            </w:pPr>
            <w:r w:rsidRPr="002B55E9">
              <w:rPr>
                <w:rFonts w:hint="eastAsia"/>
              </w:rPr>
              <w:t>年排放时间</w:t>
            </w:r>
            <w:r w:rsidRPr="002B55E9">
              <w:t>h</w:t>
            </w:r>
          </w:p>
        </w:tc>
        <w:tc>
          <w:tcPr>
            <w:tcW w:w="1231" w:type="dxa"/>
            <w:tcBorders>
              <w:top w:val="single" w:sz="4" w:space="0" w:color="auto"/>
              <w:left w:val="single" w:sz="4" w:space="0" w:color="auto"/>
              <w:bottom w:val="single" w:sz="4" w:space="0" w:color="auto"/>
              <w:right w:val="single" w:sz="4" w:space="0" w:color="auto"/>
            </w:tcBorders>
            <w:noWrap/>
            <w:vAlign w:val="center"/>
          </w:tcPr>
          <w:p w14:paraId="7E7218EC" w14:textId="77777777" w:rsidR="00D170E5" w:rsidRPr="002B55E9" w:rsidRDefault="00EF27AD">
            <w:pPr>
              <w:pStyle w:val="lgy-"/>
            </w:pPr>
            <w:r w:rsidRPr="002B55E9">
              <w:rPr>
                <w:rFonts w:hint="eastAsia"/>
              </w:rPr>
              <w:t>污染物名称</w:t>
            </w:r>
          </w:p>
        </w:tc>
        <w:tc>
          <w:tcPr>
            <w:tcW w:w="1126" w:type="dxa"/>
            <w:tcBorders>
              <w:top w:val="single" w:sz="4" w:space="0" w:color="auto"/>
              <w:left w:val="single" w:sz="4" w:space="0" w:color="auto"/>
              <w:bottom w:val="single" w:sz="4" w:space="0" w:color="auto"/>
              <w:right w:val="single" w:sz="4" w:space="0" w:color="auto"/>
            </w:tcBorders>
            <w:vAlign w:val="center"/>
          </w:tcPr>
          <w:p w14:paraId="7A331F13" w14:textId="77777777" w:rsidR="00D170E5" w:rsidRPr="002B55E9" w:rsidRDefault="00EF27AD">
            <w:pPr>
              <w:pStyle w:val="lgy-"/>
            </w:pPr>
            <w:r w:rsidRPr="002B55E9">
              <w:rPr>
                <w:rFonts w:hint="eastAsia"/>
              </w:rPr>
              <w:t>排放量（</w:t>
            </w:r>
            <w:r w:rsidRPr="002B55E9">
              <w:t>t/a</w:t>
            </w:r>
            <w:r w:rsidRPr="002B55E9">
              <w:rPr>
                <w:rFonts w:hint="eastAsia"/>
              </w:rPr>
              <w:t>）</w:t>
            </w:r>
          </w:p>
        </w:tc>
        <w:tc>
          <w:tcPr>
            <w:tcW w:w="1126" w:type="dxa"/>
            <w:tcBorders>
              <w:top w:val="single" w:sz="4" w:space="0" w:color="auto"/>
              <w:left w:val="single" w:sz="4" w:space="0" w:color="auto"/>
              <w:bottom w:val="single" w:sz="4" w:space="0" w:color="auto"/>
              <w:right w:val="nil"/>
            </w:tcBorders>
            <w:vAlign w:val="center"/>
          </w:tcPr>
          <w:p w14:paraId="163C1A29" w14:textId="77777777" w:rsidR="00D170E5" w:rsidRPr="002B55E9" w:rsidRDefault="00EF27AD">
            <w:pPr>
              <w:pStyle w:val="lgy-"/>
            </w:pPr>
            <w:r w:rsidRPr="002B55E9">
              <w:rPr>
                <w:rFonts w:hint="eastAsia"/>
              </w:rPr>
              <w:t>排放速率（</w:t>
            </w:r>
            <w:r w:rsidRPr="002B55E9">
              <w:t>kg/h</w:t>
            </w:r>
            <w:r w:rsidRPr="002B55E9">
              <w:rPr>
                <w:rFonts w:hint="eastAsia"/>
              </w:rPr>
              <w:t>）</w:t>
            </w:r>
          </w:p>
        </w:tc>
      </w:tr>
      <w:tr w:rsidR="002B55E9" w:rsidRPr="002B55E9" w14:paraId="2E2C6DAE" w14:textId="77777777">
        <w:trPr>
          <w:trHeight w:val="283"/>
        </w:trPr>
        <w:tc>
          <w:tcPr>
            <w:tcW w:w="1649" w:type="dxa"/>
            <w:tcBorders>
              <w:top w:val="single" w:sz="4" w:space="0" w:color="auto"/>
              <w:left w:val="nil"/>
              <w:bottom w:val="single" w:sz="12" w:space="0" w:color="auto"/>
              <w:right w:val="single" w:sz="4" w:space="0" w:color="auto"/>
            </w:tcBorders>
            <w:noWrap/>
            <w:vAlign w:val="center"/>
          </w:tcPr>
          <w:p w14:paraId="77C7ABC9" w14:textId="77777777" w:rsidR="00D170E5" w:rsidRPr="002B55E9" w:rsidRDefault="00EF27AD">
            <w:pPr>
              <w:pStyle w:val="lgy-"/>
            </w:pPr>
            <w:r w:rsidRPr="002B55E9">
              <w:rPr>
                <w:rFonts w:hint="eastAsia"/>
              </w:rPr>
              <w:t>十三车间</w:t>
            </w:r>
          </w:p>
        </w:tc>
        <w:tc>
          <w:tcPr>
            <w:tcW w:w="890" w:type="dxa"/>
            <w:tcBorders>
              <w:top w:val="single" w:sz="4" w:space="0" w:color="auto"/>
              <w:left w:val="single" w:sz="4" w:space="0" w:color="auto"/>
              <w:bottom w:val="single" w:sz="12" w:space="0" w:color="auto"/>
              <w:right w:val="single" w:sz="4" w:space="0" w:color="auto"/>
            </w:tcBorders>
            <w:noWrap/>
            <w:vAlign w:val="center"/>
          </w:tcPr>
          <w:p w14:paraId="421624BF" w14:textId="77777777" w:rsidR="00D170E5" w:rsidRPr="002B55E9" w:rsidRDefault="00EF27AD">
            <w:pPr>
              <w:pStyle w:val="lgy-"/>
            </w:pPr>
            <w:r w:rsidRPr="002B55E9">
              <w:rPr>
                <w:rFonts w:hint="eastAsia"/>
              </w:rPr>
              <w:t>16</w:t>
            </w:r>
            <w:r w:rsidRPr="002B55E9">
              <w:t>4</w:t>
            </w:r>
          </w:p>
        </w:tc>
        <w:tc>
          <w:tcPr>
            <w:tcW w:w="1070" w:type="dxa"/>
            <w:tcBorders>
              <w:top w:val="single" w:sz="4" w:space="0" w:color="auto"/>
              <w:left w:val="single" w:sz="4" w:space="0" w:color="auto"/>
              <w:bottom w:val="single" w:sz="12" w:space="0" w:color="auto"/>
              <w:right w:val="single" w:sz="4" w:space="0" w:color="auto"/>
            </w:tcBorders>
            <w:noWrap/>
            <w:vAlign w:val="center"/>
          </w:tcPr>
          <w:p w14:paraId="668C8E6C" w14:textId="77777777" w:rsidR="00D170E5" w:rsidRPr="002B55E9" w:rsidRDefault="00EF27AD">
            <w:pPr>
              <w:pStyle w:val="lgy-"/>
            </w:pPr>
            <w:r w:rsidRPr="002B55E9">
              <w:rPr>
                <w:rFonts w:hint="eastAsia"/>
              </w:rPr>
              <w:t>40</w:t>
            </w:r>
          </w:p>
        </w:tc>
        <w:tc>
          <w:tcPr>
            <w:tcW w:w="890" w:type="dxa"/>
            <w:tcBorders>
              <w:top w:val="single" w:sz="4" w:space="0" w:color="auto"/>
              <w:left w:val="single" w:sz="4" w:space="0" w:color="auto"/>
              <w:bottom w:val="single" w:sz="12" w:space="0" w:color="auto"/>
              <w:right w:val="single" w:sz="4" w:space="0" w:color="auto"/>
            </w:tcBorders>
            <w:noWrap/>
            <w:vAlign w:val="center"/>
          </w:tcPr>
          <w:p w14:paraId="3940B9AC" w14:textId="77777777" w:rsidR="00D170E5" w:rsidRPr="002B55E9" w:rsidRDefault="00EF27AD">
            <w:pPr>
              <w:pStyle w:val="lgy-"/>
            </w:pPr>
            <w:r w:rsidRPr="002B55E9">
              <w:t>15.7</w:t>
            </w:r>
          </w:p>
        </w:tc>
        <w:tc>
          <w:tcPr>
            <w:tcW w:w="1656" w:type="dxa"/>
            <w:tcBorders>
              <w:top w:val="single" w:sz="4" w:space="0" w:color="auto"/>
              <w:left w:val="single" w:sz="4" w:space="0" w:color="auto"/>
              <w:bottom w:val="single" w:sz="12" w:space="0" w:color="auto"/>
              <w:right w:val="single" w:sz="4" w:space="0" w:color="auto"/>
            </w:tcBorders>
            <w:noWrap/>
            <w:vAlign w:val="center"/>
          </w:tcPr>
          <w:p w14:paraId="031FDFAB" w14:textId="77777777" w:rsidR="00D170E5" w:rsidRPr="002B55E9" w:rsidRDefault="00EF27AD">
            <w:pPr>
              <w:pStyle w:val="lgy-"/>
            </w:pPr>
            <w:r w:rsidRPr="002B55E9">
              <w:t>1000</w:t>
            </w:r>
          </w:p>
        </w:tc>
        <w:tc>
          <w:tcPr>
            <w:tcW w:w="1231" w:type="dxa"/>
            <w:tcBorders>
              <w:top w:val="single" w:sz="4" w:space="0" w:color="auto"/>
              <w:left w:val="single" w:sz="4" w:space="0" w:color="auto"/>
              <w:bottom w:val="single" w:sz="12" w:space="0" w:color="auto"/>
              <w:right w:val="single" w:sz="4" w:space="0" w:color="auto"/>
            </w:tcBorders>
            <w:vAlign w:val="center"/>
          </w:tcPr>
          <w:p w14:paraId="78D450F9" w14:textId="77777777" w:rsidR="00D170E5" w:rsidRPr="002B55E9" w:rsidRDefault="00EF27AD">
            <w:pPr>
              <w:pStyle w:val="lgy-"/>
            </w:pPr>
            <w:r w:rsidRPr="002B55E9">
              <w:rPr>
                <w:rFonts w:hint="eastAsia"/>
              </w:rPr>
              <w:t>颗粒物</w:t>
            </w:r>
          </w:p>
        </w:tc>
        <w:tc>
          <w:tcPr>
            <w:tcW w:w="1126" w:type="dxa"/>
            <w:tcBorders>
              <w:top w:val="single" w:sz="4" w:space="0" w:color="auto"/>
              <w:left w:val="single" w:sz="4" w:space="0" w:color="auto"/>
              <w:bottom w:val="single" w:sz="12" w:space="0" w:color="auto"/>
              <w:right w:val="single" w:sz="4" w:space="0" w:color="auto"/>
            </w:tcBorders>
            <w:vAlign w:val="center"/>
          </w:tcPr>
          <w:p w14:paraId="043366F6" w14:textId="77777777" w:rsidR="00D170E5" w:rsidRPr="002B55E9" w:rsidRDefault="00EF27AD">
            <w:pPr>
              <w:pStyle w:val="lgy-"/>
            </w:pPr>
            <w:r w:rsidRPr="002B55E9">
              <w:rPr>
                <w:rFonts w:hint="eastAsia"/>
              </w:rPr>
              <w:t>0.014</w:t>
            </w:r>
          </w:p>
        </w:tc>
        <w:tc>
          <w:tcPr>
            <w:tcW w:w="1126" w:type="dxa"/>
            <w:tcBorders>
              <w:top w:val="single" w:sz="4" w:space="0" w:color="auto"/>
              <w:left w:val="single" w:sz="4" w:space="0" w:color="auto"/>
              <w:bottom w:val="single" w:sz="12" w:space="0" w:color="auto"/>
              <w:right w:val="nil"/>
            </w:tcBorders>
            <w:vAlign w:val="center"/>
          </w:tcPr>
          <w:p w14:paraId="43019135" w14:textId="77777777" w:rsidR="00D170E5" w:rsidRPr="002B55E9" w:rsidRDefault="00EF27AD">
            <w:pPr>
              <w:pStyle w:val="lgy-"/>
            </w:pPr>
            <w:r w:rsidRPr="002B55E9">
              <w:rPr>
                <w:rFonts w:hint="eastAsia"/>
              </w:rPr>
              <w:t>0.014</w:t>
            </w:r>
          </w:p>
        </w:tc>
      </w:tr>
    </w:tbl>
    <w:p w14:paraId="7978745D" w14:textId="77777777" w:rsidR="00D170E5" w:rsidRPr="002B55E9" w:rsidRDefault="00EF27AD">
      <w:pPr>
        <w:pStyle w:val="affff7"/>
        <w:snapToGrid w:val="0"/>
        <w:spacing w:after="0"/>
      </w:pPr>
      <w:r w:rsidRPr="002B55E9">
        <w:rPr>
          <w:rFonts w:hint="eastAsia"/>
        </w:rPr>
        <w:t>（</w:t>
      </w:r>
      <w:r w:rsidRPr="002B55E9">
        <w:t>2</w:t>
      </w:r>
      <w:r w:rsidRPr="002B55E9">
        <w:rPr>
          <w:rFonts w:hint="eastAsia"/>
        </w:rPr>
        <w:t>）投料</w:t>
      </w:r>
      <w:r w:rsidRPr="002B55E9">
        <w:t>废气</w:t>
      </w:r>
      <w:r w:rsidRPr="002B55E9">
        <w:rPr>
          <w:rFonts w:hint="eastAsia"/>
        </w:rPr>
        <w:t>（</w:t>
      </w:r>
      <w:r w:rsidRPr="002B55E9">
        <w:rPr>
          <w:rFonts w:hint="eastAsia"/>
        </w:rPr>
        <w:t>G</w:t>
      </w:r>
      <w:r w:rsidRPr="002B55E9">
        <w:t>1-2</w:t>
      </w:r>
      <w:r w:rsidRPr="002B55E9">
        <w:rPr>
          <w:rFonts w:hint="eastAsia"/>
        </w:rPr>
        <w:t>、</w:t>
      </w:r>
      <w:r w:rsidRPr="002B55E9">
        <w:rPr>
          <w:rFonts w:hint="eastAsia"/>
        </w:rPr>
        <w:t>G1-3</w:t>
      </w:r>
      <w:r w:rsidRPr="002B55E9">
        <w:rPr>
          <w:rFonts w:hint="eastAsia"/>
        </w:rPr>
        <w:t>、</w:t>
      </w:r>
      <w:r w:rsidRPr="002B55E9">
        <w:rPr>
          <w:rFonts w:hint="eastAsia"/>
        </w:rPr>
        <w:t>G1-4</w:t>
      </w:r>
      <w:r w:rsidRPr="002B55E9">
        <w:rPr>
          <w:rFonts w:hint="eastAsia"/>
        </w:rPr>
        <w:t>）</w:t>
      </w:r>
    </w:p>
    <w:p w14:paraId="1D1510EB" w14:textId="22C9FFE7" w:rsidR="00D170E5" w:rsidRPr="002B55E9" w:rsidRDefault="00EF27AD">
      <w:pPr>
        <w:pStyle w:val="affff7"/>
        <w:snapToGrid w:val="0"/>
        <w:spacing w:after="0"/>
      </w:pPr>
      <w:r w:rsidRPr="002B55E9">
        <w:rPr>
          <w:rFonts w:hint="eastAsia"/>
        </w:rPr>
        <w:t>浸提</w:t>
      </w:r>
      <w:r w:rsidRPr="002B55E9">
        <w:t>工序</w:t>
      </w:r>
      <w:r w:rsidRPr="002B55E9">
        <w:rPr>
          <w:rFonts w:hint="eastAsia"/>
        </w:rPr>
        <w:t>进料（</w:t>
      </w:r>
      <w:r w:rsidRPr="002B55E9">
        <w:rPr>
          <w:rFonts w:hint="eastAsia"/>
        </w:rPr>
        <w:t>G1-2</w:t>
      </w:r>
      <w:r w:rsidRPr="002B55E9">
        <w:rPr>
          <w:rFonts w:hint="eastAsia"/>
        </w:rPr>
        <w:t>）</w:t>
      </w:r>
      <w:r w:rsidRPr="002B55E9">
        <w:t>、</w:t>
      </w:r>
      <w:r w:rsidRPr="002B55E9">
        <w:rPr>
          <w:rFonts w:hint="eastAsia"/>
        </w:rPr>
        <w:t>过滤</w:t>
      </w:r>
      <w:r w:rsidRPr="002B55E9">
        <w:t>工序</w:t>
      </w:r>
      <w:r w:rsidRPr="002B55E9">
        <w:rPr>
          <w:rFonts w:hint="eastAsia"/>
        </w:rPr>
        <w:t>香辛料风味标准液进料（</w:t>
      </w:r>
      <w:r w:rsidRPr="002B55E9">
        <w:rPr>
          <w:rFonts w:hint="eastAsia"/>
        </w:rPr>
        <w:t>G1-</w:t>
      </w:r>
      <w:r w:rsidRPr="002B55E9">
        <w:t>3</w:t>
      </w:r>
      <w:r w:rsidRPr="002B55E9">
        <w:rPr>
          <w:rFonts w:hint="eastAsia"/>
        </w:rPr>
        <w:t>）</w:t>
      </w:r>
      <w:r w:rsidRPr="002B55E9">
        <w:t>、</w:t>
      </w:r>
      <w:r w:rsidRPr="002B55E9">
        <w:rPr>
          <w:rFonts w:hint="eastAsia"/>
        </w:rPr>
        <w:t>调配混合</w:t>
      </w:r>
      <w:r w:rsidR="0094723B" w:rsidRPr="002B55E9">
        <w:t>工序香辛料风味</w:t>
      </w:r>
      <w:r w:rsidRPr="002B55E9">
        <w:rPr>
          <w:rFonts w:hint="eastAsia"/>
        </w:rPr>
        <w:t>标准液和</w:t>
      </w:r>
      <w:r w:rsidRPr="002B55E9">
        <w:t>黄酒等进料</w:t>
      </w:r>
      <w:r w:rsidRPr="002B55E9">
        <w:rPr>
          <w:rFonts w:hint="eastAsia"/>
        </w:rPr>
        <w:t>（</w:t>
      </w:r>
      <w:r w:rsidRPr="002B55E9">
        <w:rPr>
          <w:rFonts w:hint="eastAsia"/>
        </w:rPr>
        <w:t>G1-</w:t>
      </w:r>
      <w:r w:rsidRPr="002B55E9">
        <w:t>4</w:t>
      </w:r>
      <w:r w:rsidRPr="002B55E9">
        <w:rPr>
          <w:rFonts w:hint="eastAsia"/>
        </w:rPr>
        <w:t>）工序</w:t>
      </w:r>
      <w:r w:rsidRPr="002B55E9">
        <w:t>均会产生投料废气，</w:t>
      </w:r>
      <w:r w:rsidRPr="002B55E9">
        <w:rPr>
          <w:rFonts w:hint="eastAsia"/>
        </w:rPr>
        <w:t>主要污染物为</w:t>
      </w:r>
      <w:r w:rsidR="00924AFA" w:rsidRPr="002B55E9">
        <w:rPr>
          <w:rFonts w:hint="eastAsia"/>
        </w:rPr>
        <w:t>非甲烷总烃</w:t>
      </w:r>
      <w:r w:rsidRPr="002B55E9">
        <w:t>。</w:t>
      </w:r>
    </w:p>
    <w:p w14:paraId="4C36C809" w14:textId="77777777" w:rsidR="00D170E5" w:rsidRPr="002B55E9" w:rsidRDefault="00EF27AD">
      <w:pPr>
        <w:pStyle w:val="affff7"/>
        <w:snapToGrid w:val="0"/>
        <w:spacing w:after="0"/>
      </w:pPr>
      <w:r w:rsidRPr="002B55E9">
        <w:rPr>
          <w:rFonts w:hint="eastAsia"/>
        </w:rPr>
        <w:t>拟建</w:t>
      </w:r>
      <w:r w:rsidRPr="002B55E9">
        <w:t>项目</w:t>
      </w:r>
      <w:r w:rsidRPr="002B55E9">
        <w:rPr>
          <w:rFonts w:hint="eastAsia"/>
        </w:rPr>
        <w:t>有机液体</w:t>
      </w:r>
      <w:r w:rsidRPr="002B55E9">
        <w:t>投料均为底部进料方式，</w:t>
      </w:r>
      <w:r w:rsidRPr="002B55E9">
        <w:rPr>
          <w:rFonts w:hint="eastAsia"/>
        </w:rPr>
        <w:t>进料过程</w:t>
      </w:r>
      <w:r w:rsidRPr="002B55E9">
        <w:t>中各</w:t>
      </w:r>
      <w:r w:rsidRPr="002B55E9">
        <w:rPr>
          <w:rFonts w:hint="eastAsia"/>
        </w:rPr>
        <w:t>储罐</w:t>
      </w:r>
      <w:r w:rsidRPr="002B55E9">
        <w:t>均为密闭状态，</w:t>
      </w:r>
      <w:r w:rsidRPr="002B55E9">
        <w:rPr>
          <w:rFonts w:hint="eastAsia"/>
        </w:rPr>
        <w:t>随着液相物料的泵入，罐内气相会携带挥发的乙醇从排气孔排出。</w:t>
      </w:r>
      <w:r w:rsidRPr="002B55E9">
        <w:t>乙醇</w:t>
      </w:r>
      <w:r w:rsidRPr="002B55E9">
        <w:rPr>
          <w:rFonts w:hint="eastAsia"/>
        </w:rPr>
        <w:t>投料过程产污系数根据理想气体状态方程进行推导，具体推导过程如下：</w:t>
      </w:r>
    </w:p>
    <w:p w14:paraId="6CA4D1BD" w14:textId="77777777" w:rsidR="00D170E5" w:rsidRPr="002B55E9" w:rsidRDefault="00EF27AD">
      <w:pPr>
        <w:pStyle w:val="affff7"/>
        <w:snapToGrid w:val="0"/>
        <w:jc w:val="center"/>
      </w:pPr>
      <w:r w:rsidRPr="002B55E9">
        <w:rPr>
          <w:rFonts w:hint="eastAsia"/>
        </w:rPr>
        <w:t>P</w:t>
      </w:r>
      <w:r w:rsidRPr="002B55E9">
        <w:rPr>
          <w:rFonts w:hint="eastAsia"/>
          <w:vertAlign w:val="subscript"/>
        </w:rPr>
        <w:t>气</w:t>
      </w:r>
      <w:r w:rsidRPr="002B55E9">
        <w:rPr>
          <w:rFonts w:hint="eastAsia"/>
        </w:rPr>
        <w:t>V</w:t>
      </w:r>
      <w:r w:rsidRPr="002B55E9">
        <w:rPr>
          <w:rFonts w:hint="eastAsia"/>
          <w:vertAlign w:val="subscript"/>
        </w:rPr>
        <w:t>气</w:t>
      </w:r>
      <w:r w:rsidRPr="002B55E9">
        <w:rPr>
          <w:rFonts w:hint="eastAsia"/>
        </w:rPr>
        <w:t>=n</w:t>
      </w:r>
      <w:r w:rsidRPr="002B55E9">
        <w:rPr>
          <w:rFonts w:hint="eastAsia"/>
          <w:vertAlign w:val="subscript"/>
        </w:rPr>
        <w:t>气</w:t>
      </w:r>
      <w:r w:rsidRPr="002B55E9">
        <w:rPr>
          <w:rFonts w:hint="eastAsia"/>
        </w:rPr>
        <w:t>RT</w:t>
      </w:r>
    </w:p>
    <w:p w14:paraId="0A0F4303" w14:textId="77777777" w:rsidR="00D170E5" w:rsidRPr="002B55E9" w:rsidRDefault="00EF27AD">
      <w:pPr>
        <w:pStyle w:val="affff7"/>
        <w:snapToGrid w:val="0"/>
      </w:pPr>
      <w:r w:rsidRPr="002B55E9">
        <w:rPr>
          <w:rFonts w:hint="eastAsia"/>
        </w:rPr>
        <w:t>常温常压状态下，投入液体的体积应与排出的气体体积相等，既</w:t>
      </w:r>
      <w:r w:rsidRPr="002B55E9">
        <w:rPr>
          <w:rFonts w:hint="eastAsia"/>
        </w:rPr>
        <w:t>V</w:t>
      </w:r>
      <w:r w:rsidRPr="002B55E9">
        <w:rPr>
          <w:rFonts w:hint="eastAsia"/>
          <w:vertAlign w:val="subscript"/>
        </w:rPr>
        <w:t>气</w:t>
      </w:r>
      <w:r w:rsidRPr="002B55E9">
        <w:rPr>
          <w:rFonts w:hint="eastAsia"/>
        </w:rPr>
        <w:t>=V</w:t>
      </w:r>
      <w:r w:rsidRPr="002B55E9">
        <w:rPr>
          <w:rFonts w:hint="eastAsia"/>
          <w:vertAlign w:val="subscript"/>
        </w:rPr>
        <w:t>液</w:t>
      </w:r>
      <w:r w:rsidRPr="002B55E9">
        <w:rPr>
          <w:rFonts w:hint="eastAsia"/>
        </w:rPr>
        <w:t>，则</w:t>
      </w:r>
    </w:p>
    <w:p w14:paraId="068A8D9B" w14:textId="77777777" w:rsidR="00D170E5" w:rsidRPr="002B55E9" w:rsidRDefault="00EF27AD">
      <w:pPr>
        <w:pStyle w:val="affff7"/>
        <w:snapToGrid w:val="0"/>
        <w:jc w:val="center"/>
      </w:pPr>
      <w:r w:rsidRPr="002B55E9">
        <w:rPr>
          <w:rFonts w:hint="eastAsia"/>
        </w:rPr>
        <w:t>P</w:t>
      </w:r>
      <w:r w:rsidRPr="002B55E9">
        <w:rPr>
          <w:rFonts w:hint="eastAsia"/>
          <w:vertAlign w:val="subscript"/>
        </w:rPr>
        <w:t>气</w:t>
      </w:r>
      <w:r w:rsidRPr="002B55E9">
        <w:rPr>
          <w:rFonts w:hint="eastAsia"/>
        </w:rPr>
        <w:t>V</w:t>
      </w:r>
      <w:r w:rsidRPr="002B55E9">
        <w:rPr>
          <w:rFonts w:hint="eastAsia"/>
          <w:vertAlign w:val="subscript"/>
        </w:rPr>
        <w:t>液</w:t>
      </w:r>
      <w:r w:rsidRPr="002B55E9">
        <w:rPr>
          <w:rFonts w:hint="eastAsia"/>
          <w:vertAlign w:val="subscript"/>
        </w:rPr>
        <w:t>=</w:t>
      </w:r>
      <w:r w:rsidRPr="002B55E9">
        <w:rPr>
          <w:rFonts w:hint="eastAsia"/>
        </w:rPr>
        <w:t>n</w:t>
      </w:r>
      <w:r w:rsidRPr="002B55E9">
        <w:rPr>
          <w:rFonts w:hint="eastAsia"/>
          <w:vertAlign w:val="subscript"/>
        </w:rPr>
        <w:t>气</w:t>
      </w:r>
      <w:r w:rsidRPr="002B55E9">
        <w:rPr>
          <w:rFonts w:hint="eastAsia"/>
        </w:rPr>
        <w:t>RT</w:t>
      </w:r>
    </w:p>
    <w:p w14:paraId="0C6719AD" w14:textId="77777777" w:rsidR="00D170E5" w:rsidRPr="002B55E9" w:rsidRDefault="00EF27AD">
      <w:pPr>
        <w:pStyle w:val="affff7"/>
        <w:snapToGrid w:val="0"/>
        <w:jc w:val="center"/>
      </w:pPr>
      <w:r w:rsidRPr="002B55E9">
        <w:rPr>
          <w:rFonts w:hint="eastAsia"/>
        </w:rPr>
        <w:t>P</w:t>
      </w:r>
      <w:r w:rsidRPr="002B55E9">
        <w:rPr>
          <w:rFonts w:hint="eastAsia"/>
          <w:vertAlign w:val="subscript"/>
        </w:rPr>
        <w:t>气</w:t>
      </w:r>
      <w:r w:rsidRPr="002B55E9">
        <w:rPr>
          <w:rFonts w:hint="eastAsia"/>
        </w:rPr>
        <w:t>×</w:t>
      </w:r>
      <w:r w:rsidRPr="002B55E9">
        <w:rPr>
          <w:rFonts w:hint="eastAsia"/>
        </w:rPr>
        <w:t>m</w:t>
      </w:r>
      <w:r w:rsidRPr="002B55E9">
        <w:rPr>
          <w:rFonts w:hint="eastAsia"/>
          <w:vertAlign w:val="subscript"/>
        </w:rPr>
        <w:t>液</w:t>
      </w:r>
      <w:r w:rsidRPr="002B55E9">
        <w:rPr>
          <w:rFonts w:hint="eastAsia"/>
        </w:rPr>
        <w:t>/</w:t>
      </w:r>
      <w:r w:rsidRPr="002B55E9">
        <w:rPr>
          <w:rFonts w:hint="eastAsia"/>
        </w:rPr>
        <w:t>ρ</w:t>
      </w:r>
      <w:r w:rsidRPr="002B55E9">
        <w:rPr>
          <w:rFonts w:hint="eastAsia"/>
          <w:vertAlign w:val="subscript"/>
        </w:rPr>
        <w:t>液</w:t>
      </w:r>
      <w:r w:rsidRPr="002B55E9">
        <w:rPr>
          <w:rFonts w:hint="eastAsia"/>
        </w:rPr>
        <w:t>=m</w:t>
      </w:r>
      <w:r w:rsidRPr="002B55E9">
        <w:rPr>
          <w:rFonts w:hint="eastAsia"/>
          <w:vertAlign w:val="subscript"/>
        </w:rPr>
        <w:t>气</w:t>
      </w:r>
      <w:r w:rsidRPr="002B55E9">
        <w:rPr>
          <w:rFonts w:hint="eastAsia"/>
        </w:rPr>
        <w:t>/M</w:t>
      </w:r>
      <w:r w:rsidRPr="002B55E9">
        <w:rPr>
          <w:rFonts w:hint="eastAsia"/>
        </w:rPr>
        <w:t>×</w:t>
      </w:r>
      <w:r w:rsidRPr="002B55E9">
        <w:rPr>
          <w:rFonts w:hint="eastAsia"/>
        </w:rPr>
        <w:t>RT</w:t>
      </w:r>
      <w:r w:rsidRPr="002B55E9">
        <w:rPr>
          <w:rFonts w:hint="eastAsia"/>
        </w:rPr>
        <w:t>×</w:t>
      </w:r>
      <w:r w:rsidRPr="002B55E9">
        <w:rPr>
          <w:rFonts w:hint="eastAsia"/>
        </w:rPr>
        <w:t>10</w:t>
      </w:r>
      <w:r w:rsidRPr="002B55E9">
        <w:rPr>
          <w:rFonts w:hint="eastAsia"/>
          <w:vertAlign w:val="superscript"/>
        </w:rPr>
        <w:t>3</w:t>
      </w:r>
    </w:p>
    <w:p w14:paraId="6A50B552" w14:textId="77777777" w:rsidR="00D170E5" w:rsidRPr="002B55E9" w:rsidRDefault="00EF27AD">
      <w:pPr>
        <w:pStyle w:val="affff7"/>
        <w:snapToGrid w:val="0"/>
      </w:pPr>
      <w:r w:rsidRPr="002B55E9">
        <w:rPr>
          <w:rFonts w:hint="eastAsia"/>
        </w:rPr>
        <w:lastRenderedPageBreak/>
        <w:t>产污系数</w:t>
      </w:r>
      <w:r w:rsidRPr="002B55E9">
        <w:rPr>
          <w:rFonts w:hint="eastAsia"/>
        </w:rPr>
        <w:t>L=m</w:t>
      </w:r>
      <w:r w:rsidRPr="002B55E9">
        <w:rPr>
          <w:rFonts w:hint="eastAsia"/>
          <w:vertAlign w:val="subscript"/>
        </w:rPr>
        <w:t>气</w:t>
      </w:r>
      <w:r w:rsidRPr="002B55E9">
        <w:rPr>
          <w:rFonts w:hint="eastAsia"/>
        </w:rPr>
        <w:t>/m</w:t>
      </w:r>
      <w:r w:rsidRPr="002B55E9">
        <w:rPr>
          <w:rFonts w:hint="eastAsia"/>
          <w:vertAlign w:val="subscript"/>
        </w:rPr>
        <w:t>液</w:t>
      </w:r>
      <w:r w:rsidRPr="002B55E9">
        <w:rPr>
          <w:rFonts w:hint="eastAsia"/>
        </w:rPr>
        <w:t>=P</w:t>
      </w:r>
      <w:r w:rsidRPr="002B55E9">
        <w:rPr>
          <w:rFonts w:hint="eastAsia"/>
          <w:vertAlign w:val="subscript"/>
        </w:rPr>
        <w:t>气</w:t>
      </w:r>
      <w:r w:rsidRPr="002B55E9">
        <w:rPr>
          <w:rFonts w:hint="eastAsia"/>
        </w:rPr>
        <w:t>M/</w:t>
      </w:r>
      <w:r w:rsidRPr="002B55E9">
        <w:rPr>
          <w:rFonts w:hint="eastAsia"/>
        </w:rPr>
        <w:t>（ρ</w:t>
      </w:r>
      <w:r w:rsidRPr="002B55E9">
        <w:rPr>
          <w:rFonts w:hint="eastAsia"/>
          <w:vertAlign w:val="subscript"/>
        </w:rPr>
        <w:t>液</w:t>
      </w:r>
      <w:r w:rsidRPr="002B55E9">
        <w:rPr>
          <w:rFonts w:hint="eastAsia"/>
        </w:rPr>
        <w:t>RT</w:t>
      </w:r>
      <w:r w:rsidRPr="002B55E9">
        <w:rPr>
          <w:rFonts w:hint="eastAsia"/>
        </w:rPr>
        <w:t>×</w:t>
      </w:r>
      <w:r w:rsidRPr="002B55E9">
        <w:rPr>
          <w:rFonts w:hint="eastAsia"/>
        </w:rPr>
        <w:t>10</w:t>
      </w:r>
      <w:r w:rsidRPr="002B55E9">
        <w:rPr>
          <w:rFonts w:hint="eastAsia"/>
          <w:vertAlign w:val="superscript"/>
        </w:rPr>
        <w:t>3</w:t>
      </w:r>
      <w:r w:rsidRPr="002B55E9">
        <w:rPr>
          <w:rFonts w:hint="eastAsia"/>
        </w:rPr>
        <w:t>）</w:t>
      </w:r>
      <w:r w:rsidRPr="002B55E9">
        <w:rPr>
          <w:rFonts w:hint="eastAsia"/>
        </w:rPr>
        <w:t>=P</w:t>
      </w:r>
      <w:r w:rsidRPr="002B55E9">
        <w:rPr>
          <w:rFonts w:hint="eastAsia"/>
          <w:vertAlign w:val="subscript"/>
        </w:rPr>
        <w:t>气</w:t>
      </w:r>
      <w:r w:rsidRPr="002B55E9">
        <w:rPr>
          <w:rFonts w:hint="eastAsia"/>
        </w:rPr>
        <w:t>M/</w:t>
      </w:r>
      <w:r w:rsidRPr="002B55E9">
        <w:rPr>
          <w:rFonts w:hint="eastAsia"/>
        </w:rPr>
        <w:t>（ρ</w:t>
      </w:r>
      <w:r w:rsidRPr="002B55E9">
        <w:rPr>
          <w:rFonts w:hint="eastAsia"/>
          <w:vertAlign w:val="subscript"/>
        </w:rPr>
        <w:t>液</w:t>
      </w:r>
      <w:r w:rsidRPr="002B55E9">
        <w:rPr>
          <w:rFonts w:hint="eastAsia"/>
        </w:rPr>
        <w:t>×</w:t>
      </w:r>
      <w:r w:rsidRPr="002B55E9">
        <w:rPr>
          <w:rFonts w:hint="eastAsia"/>
        </w:rPr>
        <w:t>8.314</w:t>
      </w:r>
      <w:r w:rsidRPr="002B55E9">
        <w:rPr>
          <w:rFonts w:hint="eastAsia"/>
        </w:rPr>
        <w:t>×</w:t>
      </w:r>
      <w:r w:rsidRPr="002B55E9">
        <w:rPr>
          <w:rFonts w:hint="eastAsia"/>
        </w:rPr>
        <w:t>298</w:t>
      </w:r>
      <w:r w:rsidRPr="002B55E9">
        <w:rPr>
          <w:rFonts w:hint="eastAsia"/>
        </w:rPr>
        <w:t>×</w:t>
      </w:r>
      <w:r w:rsidRPr="002B55E9">
        <w:rPr>
          <w:rFonts w:hint="eastAsia"/>
        </w:rPr>
        <w:t>10</w:t>
      </w:r>
      <w:r w:rsidRPr="002B55E9">
        <w:rPr>
          <w:rFonts w:hint="eastAsia"/>
          <w:vertAlign w:val="superscript"/>
        </w:rPr>
        <w:t>3</w:t>
      </w:r>
      <w:r w:rsidRPr="002B55E9">
        <w:rPr>
          <w:rFonts w:hint="eastAsia"/>
        </w:rPr>
        <w:t>）</w:t>
      </w:r>
      <w:r w:rsidRPr="002B55E9">
        <w:rPr>
          <w:rFonts w:hint="eastAsia"/>
        </w:rPr>
        <w:t>=4.0</w:t>
      </w:r>
      <w:r w:rsidRPr="002B55E9">
        <w:rPr>
          <w:rFonts w:hint="eastAsia"/>
        </w:rPr>
        <w:t>×</w:t>
      </w:r>
      <w:r w:rsidRPr="002B55E9">
        <w:rPr>
          <w:rFonts w:hint="eastAsia"/>
        </w:rPr>
        <w:t>10</w:t>
      </w:r>
      <w:r w:rsidRPr="002B55E9">
        <w:rPr>
          <w:rFonts w:hint="eastAsia"/>
          <w:vertAlign w:val="superscript"/>
        </w:rPr>
        <w:t>-7</w:t>
      </w:r>
      <w:r w:rsidRPr="002B55E9">
        <w:rPr>
          <w:rFonts w:hint="eastAsia"/>
        </w:rPr>
        <w:t>×</w:t>
      </w:r>
      <w:r w:rsidRPr="002B55E9">
        <w:rPr>
          <w:rFonts w:hint="eastAsia"/>
        </w:rPr>
        <w:t>P</w:t>
      </w:r>
      <w:r w:rsidRPr="002B55E9">
        <w:rPr>
          <w:rFonts w:hint="eastAsia"/>
          <w:vertAlign w:val="subscript"/>
        </w:rPr>
        <w:t>气</w:t>
      </w:r>
      <w:r w:rsidRPr="002B55E9">
        <w:rPr>
          <w:rFonts w:hint="eastAsia"/>
        </w:rPr>
        <w:t>M/</w:t>
      </w:r>
      <w:r w:rsidRPr="002B55E9">
        <w:rPr>
          <w:rFonts w:hint="eastAsia"/>
        </w:rPr>
        <w:t>ρ</w:t>
      </w:r>
      <w:r w:rsidRPr="002B55E9">
        <w:rPr>
          <w:rFonts w:hint="eastAsia"/>
          <w:vertAlign w:val="subscript"/>
        </w:rPr>
        <w:t>液</w:t>
      </w:r>
      <w:r w:rsidRPr="002B55E9">
        <w:rPr>
          <w:rFonts w:hint="eastAsia"/>
        </w:rPr>
        <w:t>，式中：</w:t>
      </w:r>
    </w:p>
    <w:p w14:paraId="354902D3" w14:textId="77777777" w:rsidR="00D170E5" w:rsidRPr="002B55E9" w:rsidRDefault="00EF27AD">
      <w:pPr>
        <w:pStyle w:val="affff7"/>
        <w:snapToGrid w:val="0"/>
      </w:pPr>
      <w:r w:rsidRPr="002B55E9">
        <w:rPr>
          <w:rFonts w:hint="eastAsia"/>
        </w:rPr>
        <w:t>L-</w:t>
      </w:r>
      <w:r w:rsidRPr="002B55E9">
        <w:rPr>
          <w:rFonts w:hint="eastAsia"/>
        </w:rPr>
        <w:t>挥发性废气产污系数，</w:t>
      </w:r>
      <w:r w:rsidRPr="002B55E9">
        <w:rPr>
          <w:rFonts w:hint="eastAsia"/>
        </w:rPr>
        <w:t>kg/kg</w:t>
      </w:r>
      <w:r w:rsidRPr="002B55E9">
        <w:rPr>
          <w:rFonts w:hint="eastAsia"/>
        </w:rPr>
        <w:t>投料；</w:t>
      </w:r>
    </w:p>
    <w:p w14:paraId="4CFE320B" w14:textId="77777777" w:rsidR="00D170E5" w:rsidRPr="002B55E9" w:rsidRDefault="00EF27AD">
      <w:pPr>
        <w:pStyle w:val="affff7"/>
        <w:snapToGrid w:val="0"/>
      </w:pPr>
      <w:r w:rsidRPr="002B55E9">
        <w:rPr>
          <w:rFonts w:hint="eastAsia"/>
        </w:rPr>
        <w:t>P</w:t>
      </w:r>
      <w:r w:rsidRPr="002B55E9">
        <w:rPr>
          <w:rFonts w:hint="eastAsia"/>
          <w:vertAlign w:val="subscript"/>
        </w:rPr>
        <w:t>气</w:t>
      </w:r>
      <w:r w:rsidRPr="002B55E9">
        <w:rPr>
          <w:rFonts w:hint="eastAsia"/>
        </w:rPr>
        <w:t>-</w:t>
      </w:r>
      <w:r w:rsidRPr="002B55E9">
        <w:rPr>
          <w:rFonts w:hint="eastAsia"/>
        </w:rPr>
        <w:t>挥发性物料真实蒸气分压，</w:t>
      </w:r>
      <w:r w:rsidRPr="002B55E9">
        <w:rPr>
          <w:rFonts w:hint="eastAsia"/>
        </w:rPr>
        <w:t>Pa</w:t>
      </w:r>
      <w:r w:rsidRPr="002B55E9">
        <w:rPr>
          <w:rFonts w:hint="eastAsia"/>
        </w:rPr>
        <w:t>；本次参考《排污许可申请与核发技术规范</w:t>
      </w:r>
      <w:r w:rsidRPr="002B55E9">
        <w:rPr>
          <w:rFonts w:hint="eastAsia"/>
        </w:rPr>
        <w:t xml:space="preserve"> </w:t>
      </w:r>
      <w:r w:rsidRPr="002B55E9">
        <w:rPr>
          <w:rFonts w:hint="eastAsia"/>
        </w:rPr>
        <w:t>石化工业》（</w:t>
      </w:r>
      <w:r w:rsidRPr="002B55E9">
        <w:rPr>
          <w:rFonts w:hint="eastAsia"/>
        </w:rPr>
        <w:t>HJ853-2017</w:t>
      </w:r>
      <w:r w:rsidRPr="002B55E9">
        <w:rPr>
          <w:rFonts w:hint="eastAsia"/>
        </w:rPr>
        <w:t>），蒸汽饱和系数取</w:t>
      </w:r>
      <w:r w:rsidRPr="002B55E9">
        <w:rPr>
          <w:rFonts w:hint="eastAsia"/>
        </w:rPr>
        <w:t>0.6</w:t>
      </w:r>
      <w:r w:rsidRPr="002B55E9">
        <w:rPr>
          <w:rFonts w:hint="eastAsia"/>
        </w:rPr>
        <w:t>，则</w:t>
      </w:r>
      <w:r w:rsidRPr="002B55E9">
        <w:rPr>
          <w:rFonts w:hint="eastAsia"/>
        </w:rPr>
        <w:t>P</w:t>
      </w:r>
      <w:r w:rsidRPr="002B55E9">
        <w:rPr>
          <w:rFonts w:hint="eastAsia"/>
          <w:vertAlign w:val="subscript"/>
        </w:rPr>
        <w:t>气</w:t>
      </w:r>
      <w:r w:rsidRPr="002B55E9">
        <w:rPr>
          <w:rFonts w:hint="eastAsia"/>
        </w:rPr>
        <w:t>=0.6P</w:t>
      </w:r>
      <w:r w:rsidRPr="002B55E9">
        <w:rPr>
          <w:rFonts w:hint="eastAsia"/>
          <w:vertAlign w:val="subscript"/>
        </w:rPr>
        <w:t>饱和</w:t>
      </w:r>
      <w:r w:rsidRPr="002B55E9">
        <w:rPr>
          <w:rFonts w:hint="eastAsia"/>
        </w:rPr>
        <w:t>；</w:t>
      </w:r>
    </w:p>
    <w:p w14:paraId="4ED29E38" w14:textId="77777777" w:rsidR="00D170E5" w:rsidRPr="002B55E9" w:rsidRDefault="00EF27AD">
      <w:pPr>
        <w:pStyle w:val="affff7"/>
        <w:snapToGrid w:val="0"/>
      </w:pPr>
      <w:r w:rsidRPr="002B55E9">
        <w:rPr>
          <w:rFonts w:hint="eastAsia"/>
        </w:rPr>
        <w:t>P</w:t>
      </w:r>
      <w:r w:rsidRPr="002B55E9">
        <w:rPr>
          <w:rFonts w:hint="eastAsia"/>
          <w:vertAlign w:val="subscript"/>
        </w:rPr>
        <w:t>饱和</w:t>
      </w:r>
      <w:r w:rsidRPr="002B55E9">
        <w:rPr>
          <w:rFonts w:hint="eastAsia"/>
        </w:rPr>
        <w:t>-</w:t>
      </w:r>
      <w:r w:rsidRPr="002B55E9">
        <w:rPr>
          <w:rFonts w:hint="eastAsia"/>
        </w:rPr>
        <w:t>挥发性物料饱和蒸气压，</w:t>
      </w:r>
      <w:r w:rsidRPr="002B55E9">
        <w:rPr>
          <w:rFonts w:hint="eastAsia"/>
        </w:rPr>
        <w:t>Pa</w:t>
      </w:r>
      <w:r w:rsidRPr="002B55E9">
        <w:rPr>
          <w:rFonts w:hint="eastAsia"/>
        </w:rPr>
        <w:t>；</w:t>
      </w:r>
    </w:p>
    <w:p w14:paraId="010CBC77" w14:textId="77777777" w:rsidR="00D170E5" w:rsidRPr="002B55E9" w:rsidRDefault="00EF27AD">
      <w:pPr>
        <w:pStyle w:val="affff7"/>
        <w:snapToGrid w:val="0"/>
      </w:pPr>
      <w:r w:rsidRPr="002B55E9">
        <w:rPr>
          <w:rFonts w:hint="eastAsia"/>
        </w:rPr>
        <w:t>V</w:t>
      </w:r>
      <w:r w:rsidRPr="002B55E9">
        <w:rPr>
          <w:rFonts w:hint="eastAsia"/>
          <w:vertAlign w:val="subscript"/>
        </w:rPr>
        <w:t>气</w:t>
      </w:r>
      <w:r w:rsidRPr="002B55E9">
        <w:rPr>
          <w:rFonts w:hint="eastAsia"/>
        </w:rPr>
        <w:t>-</w:t>
      </w:r>
      <w:r w:rsidRPr="002B55E9">
        <w:rPr>
          <w:rFonts w:hint="eastAsia"/>
        </w:rPr>
        <w:t>排放的蒸汽体积，</w:t>
      </w:r>
      <w:r w:rsidRPr="002B55E9">
        <w:rPr>
          <w:rFonts w:hint="eastAsia"/>
        </w:rPr>
        <w:t>m</w:t>
      </w:r>
      <w:r w:rsidRPr="002B55E9">
        <w:rPr>
          <w:rFonts w:hint="eastAsia"/>
          <w:vertAlign w:val="superscript"/>
        </w:rPr>
        <w:t>3</w:t>
      </w:r>
      <w:r w:rsidRPr="002B55E9">
        <w:rPr>
          <w:rFonts w:hint="eastAsia"/>
        </w:rPr>
        <w:t>；</w:t>
      </w:r>
    </w:p>
    <w:p w14:paraId="60A6C6D8" w14:textId="77777777" w:rsidR="00D170E5" w:rsidRPr="002B55E9" w:rsidRDefault="00EF27AD">
      <w:pPr>
        <w:pStyle w:val="affff7"/>
        <w:snapToGrid w:val="0"/>
      </w:pPr>
      <w:r w:rsidRPr="002B55E9">
        <w:rPr>
          <w:rFonts w:hint="eastAsia"/>
        </w:rPr>
        <w:t>V</w:t>
      </w:r>
      <w:r w:rsidRPr="002B55E9">
        <w:rPr>
          <w:rFonts w:hint="eastAsia"/>
          <w:vertAlign w:val="subscript"/>
        </w:rPr>
        <w:t>液</w:t>
      </w:r>
      <w:r w:rsidRPr="002B55E9">
        <w:rPr>
          <w:rFonts w:hint="eastAsia"/>
        </w:rPr>
        <w:t>-</w:t>
      </w:r>
      <w:r w:rsidRPr="002B55E9">
        <w:rPr>
          <w:rFonts w:hint="eastAsia"/>
        </w:rPr>
        <w:t>投入液体物料体积，</w:t>
      </w:r>
      <w:r w:rsidRPr="002B55E9">
        <w:rPr>
          <w:rFonts w:hint="eastAsia"/>
        </w:rPr>
        <w:t>m</w:t>
      </w:r>
      <w:r w:rsidRPr="002B55E9">
        <w:rPr>
          <w:rFonts w:hint="eastAsia"/>
          <w:vertAlign w:val="superscript"/>
        </w:rPr>
        <w:t>3</w:t>
      </w:r>
      <w:r w:rsidRPr="002B55E9">
        <w:rPr>
          <w:rFonts w:hint="eastAsia"/>
        </w:rPr>
        <w:t>；</w:t>
      </w:r>
    </w:p>
    <w:p w14:paraId="79272D59" w14:textId="77777777" w:rsidR="00D170E5" w:rsidRPr="002B55E9" w:rsidRDefault="00EF27AD">
      <w:pPr>
        <w:pStyle w:val="affff7"/>
        <w:snapToGrid w:val="0"/>
      </w:pPr>
      <w:r w:rsidRPr="002B55E9">
        <w:rPr>
          <w:rFonts w:hint="eastAsia"/>
        </w:rPr>
        <w:t>n</w:t>
      </w:r>
      <w:r w:rsidRPr="002B55E9">
        <w:rPr>
          <w:rFonts w:hint="eastAsia"/>
          <w:vertAlign w:val="subscript"/>
        </w:rPr>
        <w:t>气</w:t>
      </w:r>
      <w:r w:rsidRPr="002B55E9">
        <w:rPr>
          <w:rFonts w:hint="eastAsia"/>
        </w:rPr>
        <w:t>-</w:t>
      </w:r>
      <w:r w:rsidRPr="002B55E9">
        <w:rPr>
          <w:rFonts w:hint="eastAsia"/>
        </w:rPr>
        <w:t>排放的蒸汽摩尔分数，</w:t>
      </w:r>
      <w:r w:rsidRPr="002B55E9">
        <w:rPr>
          <w:rFonts w:hint="eastAsia"/>
        </w:rPr>
        <w:t>mol</w:t>
      </w:r>
      <w:r w:rsidRPr="002B55E9">
        <w:rPr>
          <w:rFonts w:hint="eastAsia"/>
        </w:rPr>
        <w:t>；</w:t>
      </w:r>
    </w:p>
    <w:p w14:paraId="6F03B5AD" w14:textId="77777777" w:rsidR="00D170E5" w:rsidRPr="002B55E9" w:rsidRDefault="00EF27AD">
      <w:pPr>
        <w:pStyle w:val="affff7"/>
        <w:snapToGrid w:val="0"/>
      </w:pPr>
      <w:r w:rsidRPr="002B55E9">
        <w:rPr>
          <w:rFonts w:hint="eastAsia"/>
        </w:rPr>
        <w:t>R-</w:t>
      </w:r>
      <w:r w:rsidRPr="002B55E9">
        <w:rPr>
          <w:rFonts w:hint="eastAsia"/>
        </w:rPr>
        <w:t>普适气体恒量，</w:t>
      </w:r>
      <w:r w:rsidRPr="002B55E9">
        <w:rPr>
          <w:rFonts w:hint="eastAsia"/>
        </w:rPr>
        <w:t>8.314J/mol/k</w:t>
      </w:r>
      <w:r w:rsidRPr="002B55E9">
        <w:rPr>
          <w:rFonts w:hint="eastAsia"/>
        </w:rPr>
        <w:t>；</w:t>
      </w:r>
    </w:p>
    <w:p w14:paraId="7C5DA1E9" w14:textId="77777777" w:rsidR="00D170E5" w:rsidRPr="002B55E9" w:rsidRDefault="00EF27AD">
      <w:pPr>
        <w:pStyle w:val="affff7"/>
        <w:snapToGrid w:val="0"/>
      </w:pPr>
      <w:r w:rsidRPr="002B55E9">
        <w:rPr>
          <w:rFonts w:hint="eastAsia"/>
        </w:rPr>
        <w:t>m</w:t>
      </w:r>
      <w:r w:rsidRPr="002B55E9">
        <w:rPr>
          <w:rFonts w:hint="eastAsia"/>
          <w:vertAlign w:val="subscript"/>
        </w:rPr>
        <w:t>液</w:t>
      </w:r>
      <w:r w:rsidRPr="002B55E9">
        <w:rPr>
          <w:rFonts w:hint="eastAsia"/>
        </w:rPr>
        <w:t>-</w:t>
      </w:r>
      <w:r w:rsidRPr="002B55E9">
        <w:rPr>
          <w:rFonts w:hint="eastAsia"/>
        </w:rPr>
        <w:t>投入液体物料质量，</w:t>
      </w:r>
      <w:r w:rsidRPr="002B55E9">
        <w:rPr>
          <w:rFonts w:hint="eastAsia"/>
        </w:rPr>
        <w:t>kg</w:t>
      </w:r>
      <w:r w:rsidRPr="002B55E9">
        <w:rPr>
          <w:rFonts w:hint="eastAsia"/>
        </w:rPr>
        <w:t>；</w:t>
      </w:r>
    </w:p>
    <w:p w14:paraId="2F194F6C" w14:textId="77777777" w:rsidR="00D170E5" w:rsidRPr="002B55E9" w:rsidRDefault="00EF27AD">
      <w:pPr>
        <w:pStyle w:val="affff7"/>
        <w:snapToGrid w:val="0"/>
      </w:pPr>
      <w:r w:rsidRPr="002B55E9">
        <w:rPr>
          <w:rFonts w:hint="eastAsia"/>
        </w:rPr>
        <w:t>ρ</w:t>
      </w:r>
      <w:r w:rsidRPr="002B55E9">
        <w:rPr>
          <w:rFonts w:hint="eastAsia"/>
          <w:vertAlign w:val="subscript"/>
        </w:rPr>
        <w:t>液</w:t>
      </w:r>
      <w:r w:rsidRPr="002B55E9">
        <w:rPr>
          <w:rFonts w:hint="eastAsia"/>
        </w:rPr>
        <w:t>-</w:t>
      </w:r>
      <w:r w:rsidRPr="002B55E9">
        <w:rPr>
          <w:rFonts w:hint="eastAsia"/>
        </w:rPr>
        <w:t>投入液体密度，</w:t>
      </w:r>
      <w:r w:rsidRPr="002B55E9">
        <w:rPr>
          <w:rFonts w:hint="eastAsia"/>
        </w:rPr>
        <w:t>kg/m</w:t>
      </w:r>
      <w:r w:rsidRPr="002B55E9">
        <w:rPr>
          <w:rFonts w:hint="eastAsia"/>
          <w:vertAlign w:val="superscript"/>
        </w:rPr>
        <w:t>3</w:t>
      </w:r>
      <w:r w:rsidRPr="002B55E9">
        <w:rPr>
          <w:rFonts w:hint="eastAsia"/>
        </w:rPr>
        <w:t>；</w:t>
      </w:r>
    </w:p>
    <w:p w14:paraId="7908ABBC" w14:textId="77777777" w:rsidR="00D170E5" w:rsidRPr="002B55E9" w:rsidRDefault="00EF27AD">
      <w:pPr>
        <w:pStyle w:val="affff7"/>
        <w:snapToGrid w:val="0"/>
      </w:pPr>
      <w:r w:rsidRPr="002B55E9">
        <w:rPr>
          <w:rFonts w:hint="eastAsia"/>
        </w:rPr>
        <w:t>m</w:t>
      </w:r>
      <w:r w:rsidRPr="002B55E9">
        <w:rPr>
          <w:rFonts w:hint="eastAsia"/>
          <w:vertAlign w:val="subscript"/>
        </w:rPr>
        <w:t>气</w:t>
      </w:r>
      <w:r w:rsidRPr="002B55E9">
        <w:rPr>
          <w:rFonts w:hint="eastAsia"/>
        </w:rPr>
        <w:t>-</w:t>
      </w:r>
      <w:r w:rsidRPr="002B55E9">
        <w:rPr>
          <w:rFonts w:hint="eastAsia"/>
        </w:rPr>
        <w:t>排放的蒸汽质量，</w:t>
      </w:r>
      <w:r w:rsidRPr="002B55E9">
        <w:rPr>
          <w:rFonts w:hint="eastAsia"/>
        </w:rPr>
        <w:t>kg</w:t>
      </w:r>
      <w:r w:rsidRPr="002B55E9">
        <w:rPr>
          <w:rFonts w:hint="eastAsia"/>
        </w:rPr>
        <w:t>；</w:t>
      </w:r>
    </w:p>
    <w:p w14:paraId="5CB152C4" w14:textId="77777777" w:rsidR="00D170E5" w:rsidRPr="002B55E9" w:rsidRDefault="00EF27AD">
      <w:pPr>
        <w:pStyle w:val="affff7"/>
        <w:snapToGrid w:val="0"/>
        <w:spacing w:after="0"/>
      </w:pPr>
      <w:r w:rsidRPr="002B55E9">
        <w:rPr>
          <w:rFonts w:hint="eastAsia"/>
        </w:rPr>
        <w:t>M-</w:t>
      </w:r>
      <w:r w:rsidRPr="002B55E9">
        <w:rPr>
          <w:rFonts w:hint="eastAsia"/>
        </w:rPr>
        <w:t>挥发性物料的分子量，</w:t>
      </w:r>
      <w:r w:rsidRPr="002B55E9">
        <w:rPr>
          <w:rFonts w:hint="eastAsia"/>
        </w:rPr>
        <w:t>g/mol</w:t>
      </w:r>
      <w:r w:rsidRPr="002B55E9">
        <w:rPr>
          <w:rFonts w:hint="eastAsia"/>
        </w:rPr>
        <w:t>；</w:t>
      </w:r>
    </w:p>
    <w:p w14:paraId="19C112A1" w14:textId="77777777" w:rsidR="00D170E5" w:rsidRPr="002B55E9" w:rsidRDefault="00EF27AD">
      <w:pPr>
        <w:pStyle w:val="affff7"/>
        <w:spacing w:after="0"/>
      </w:pPr>
      <w:r w:rsidRPr="002B55E9">
        <w:rPr>
          <w:rFonts w:hint="eastAsia"/>
        </w:rPr>
        <w:t>根据《挥发性有机物无组织排放控制标准》（</w:t>
      </w:r>
      <w:r w:rsidRPr="002B55E9">
        <w:t>GB 37822</w:t>
      </w:r>
      <w:r w:rsidRPr="002B55E9">
        <w:rPr>
          <w:rFonts w:hint="eastAsia"/>
        </w:rPr>
        <w:t>-</w:t>
      </w:r>
      <w:r w:rsidRPr="002B55E9">
        <w:t>2019</w:t>
      </w:r>
      <w:r w:rsidRPr="002B55E9">
        <w:rPr>
          <w:rFonts w:hint="eastAsia"/>
        </w:rPr>
        <w:t>）</w:t>
      </w:r>
      <w:r w:rsidRPr="002B55E9">
        <w:t>3.7</w:t>
      </w:r>
      <w:r w:rsidRPr="002B55E9">
        <w:rPr>
          <w:rFonts w:hint="eastAsia"/>
        </w:rPr>
        <w:t>条对</w:t>
      </w:r>
      <w:r w:rsidRPr="002B55E9">
        <w:rPr>
          <w:rFonts w:hint="eastAsia"/>
        </w:rPr>
        <w:t xml:space="preserve">VOCs </w:t>
      </w:r>
      <w:r w:rsidRPr="002B55E9">
        <w:rPr>
          <w:rFonts w:hint="eastAsia"/>
        </w:rPr>
        <w:t>物料的定义，“</w:t>
      </w:r>
      <w:r w:rsidRPr="002B55E9">
        <w:rPr>
          <w:rFonts w:hint="eastAsia"/>
        </w:rPr>
        <w:t xml:space="preserve">VOCs </w:t>
      </w:r>
      <w:r w:rsidRPr="002B55E9">
        <w:rPr>
          <w:rFonts w:hint="eastAsia"/>
        </w:rPr>
        <w:t>物料是指</w:t>
      </w:r>
      <w:r w:rsidRPr="002B55E9">
        <w:rPr>
          <w:rFonts w:hint="eastAsia"/>
        </w:rPr>
        <w:t xml:space="preserve">VOCs </w:t>
      </w:r>
      <w:r w:rsidRPr="002B55E9">
        <w:rPr>
          <w:rFonts w:hint="eastAsia"/>
        </w:rPr>
        <w:t>质量占比大于等于</w:t>
      </w:r>
      <w:r w:rsidRPr="002B55E9">
        <w:rPr>
          <w:rFonts w:hint="eastAsia"/>
        </w:rPr>
        <w:t>10%</w:t>
      </w:r>
      <w:r w:rsidRPr="002B55E9">
        <w:rPr>
          <w:rFonts w:hint="eastAsia"/>
        </w:rPr>
        <w:t>的物料，以及有机聚合物材料。”本次评价对物料中挥发性物质含量低于</w:t>
      </w:r>
      <w:r w:rsidRPr="002B55E9">
        <w:rPr>
          <w:rFonts w:hint="eastAsia"/>
        </w:rPr>
        <w:t>10%</w:t>
      </w:r>
      <w:r w:rsidRPr="002B55E9">
        <w:rPr>
          <w:rFonts w:hint="eastAsia"/>
        </w:rPr>
        <w:t>的产品，将不再视作挥发性物料，不计算其各过程的挥发。乙醇投料产污系数见下表。</w:t>
      </w:r>
    </w:p>
    <w:p w14:paraId="1EF473C5"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-3-3  </w:t>
      </w:r>
      <w:r w:rsidRPr="002B55E9">
        <w:rPr>
          <w:rFonts w:hint="eastAsia"/>
        </w:rPr>
        <w:t>投料产污系数一览表</w:t>
      </w:r>
    </w:p>
    <w:tbl>
      <w:tblPr>
        <w:tblStyle w:val="lgy2"/>
        <w:tblW w:w="5000" w:type="pct"/>
        <w:tblLayout w:type="fixed"/>
        <w:tblCellMar>
          <w:left w:w="28" w:type="dxa"/>
          <w:right w:w="28" w:type="dxa"/>
        </w:tblCellMar>
        <w:tblLook w:val="04A0" w:firstRow="1" w:lastRow="0" w:firstColumn="1" w:lastColumn="0" w:noHBand="0" w:noVBand="1"/>
      </w:tblPr>
      <w:tblGrid>
        <w:gridCol w:w="1303"/>
        <w:gridCol w:w="1574"/>
        <w:gridCol w:w="1118"/>
        <w:gridCol w:w="1455"/>
        <w:gridCol w:w="1473"/>
        <w:gridCol w:w="1475"/>
        <w:gridCol w:w="1296"/>
      </w:tblGrid>
      <w:tr w:rsidR="002B55E9" w:rsidRPr="002B55E9" w14:paraId="5A7A7BEE"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295" w:type="dxa"/>
          </w:tcPr>
          <w:p w14:paraId="230A18C5" w14:textId="77777777" w:rsidR="00D170E5" w:rsidRPr="002B55E9" w:rsidRDefault="00EF27AD" w:rsidP="00EF27AD">
            <w:pPr>
              <w:pStyle w:val="lgy-"/>
            </w:pPr>
            <w:r w:rsidRPr="002B55E9">
              <w:rPr>
                <w:rFonts w:eastAsia="宋体" w:hint="eastAsia"/>
              </w:rPr>
              <w:t>物料属性</w:t>
            </w:r>
          </w:p>
        </w:tc>
        <w:tc>
          <w:tcPr>
            <w:tcW w:w="1565" w:type="dxa"/>
          </w:tcPr>
          <w:p w14:paraId="55650CFD" w14:textId="77777777" w:rsidR="00D170E5" w:rsidRPr="002B55E9" w:rsidRDefault="00EF27AD">
            <w:pPr>
              <w:pStyle w:val="lgy-"/>
            </w:pPr>
            <w:r w:rsidRPr="002B55E9">
              <w:rPr>
                <w:rFonts w:eastAsia="宋体" w:hint="eastAsia"/>
              </w:rPr>
              <w:t>原料名称</w:t>
            </w:r>
          </w:p>
        </w:tc>
        <w:tc>
          <w:tcPr>
            <w:tcW w:w="1112" w:type="dxa"/>
          </w:tcPr>
          <w:p w14:paraId="20B0346E" w14:textId="77777777" w:rsidR="00D170E5" w:rsidRPr="002B55E9" w:rsidRDefault="00EF27AD">
            <w:pPr>
              <w:pStyle w:val="lgy-"/>
            </w:pPr>
            <w:r w:rsidRPr="002B55E9">
              <w:rPr>
                <w:rFonts w:eastAsia="宋体" w:hint="eastAsia"/>
              </w:rPr>
              <w:t>C</w:t>
            </w:r>
            <w:r w:rsidRPr="002B55E9">
              <w:rPr>
                <w:rFonts w:eastAsia="宋体"/>
              </w:rPr>
              <w:t>AS</w:t>
            </w:r>
            <w:r w:rsidRPr="002B55E9">
              <w:rPr>
                <w:rFonts w:eastAsia="宋体" w:hint="eastAsia"/>
              </w:rPr>
              <w:t>号</w:t>
            </w:r>
          </w:p>
        </w:tc>
        <w:tc>
          <w:tcPr>
            <w:tcW w:w="1447" w:type="dxa"/>
          </w:tcPr>
          <w:p w14:paraId="22D836BB" w14:textId="77777777" w:rsidR="00D170E5" w:rsidRPr="002B55E9" w:rsidRDefault="00EF27AD">
            <w:pPr>
              <w:pStyle w:val="lgy-"/>
            </w:pPr>
            <w:r w:rsidRPr="002B55E9">
              <w:rPr>
                <w:rFonts w:eastAsia="宋体" w:hint="eastAsia"/>
              </w:rPr>
              <w:t>饱和蒸汽压（</w:t>
            </w:r>
            <w:r w:rsidRPr="002B55E9">
              <w:rPr>
                <w:rFonts w:eastAsia="宋体" w:hint="eastAsia"/>
              </w:rPr>
              <w:t>2</w:t>
            </w:r>
            <w:r w:rsidRPr="002B55E9">
              <w:rPr>
                <w:rFonts w:eastAsia="宋体"/>
              </w:rPr>
              <w:t>5</w:t>
            </w:r>
            <w:r w:rsidRPr="002B55E9">
              <w:rPr>
                <w:rFonts w:eastAsia="宋体" w:hint="eastAsia"/>
              </w:rPr>
              <w:t>℃，</w:t>
            </w:r>
            <w:r w:rsidRPr="002B55E9">
              <w:rPr>
                <w:rFonts w:eastAsia="宋体" w:hint="eastAsia"/>
              </w:rPr>
              <w:t>pa</w:t>
            </w:r>
            <w:r w:rsidRPr="002B55E9">
              <w:rPr>
                <w:rFonts w:eastAsia="宋体" w:hint="eastAsia"/>
              </w:rPr>
              <w:t>）</w:t>
            </w:r>
          </w:p>
        </w:tc>
        <w:tc>
          <w:tcPr>
            <w:tcW w:w="1464" w:type="dxa"/>
          </w:tcPr>
          <w:p w14:paraId="5BB86472" w14:textId="77777777" w:rsidR="00D170E5" w:rsidRPr="002B55E9" w:rsidRDefault="00EF27AD">
            <w:pPr>
              <w:pStyle w:val="lgy-"/>
            </w:pPr>
            <w:r w:rsidRPr="002B55E9">
              <w:rPr>
                <w:rFonts w:eastAsia="宋体" w:hint="eastAsia"/>
              </w:rPr>
              <w:t>分子量（</w:t>
            </w:r>
            <w:r w:rsidRPr="002B55E9">
              <w:rPr>
                <w:rFonts w:eastAsia="宋体" w:hint="eastAsia"/>
              </w:rPr>
              <w:t>g</w:t>
            </w:r>
            <w:r w:rsidRPr="002B55E9">
              <w:rPr>
                <w:rFonts w:eastAsia="宋体"/>
              </w:rPr>
              <w:t>/</w:t>
            </w:r>
            <w:r w:rsidRPr="002B55E9">
              <w:rPr>
                <w:rFonts w:eastAsia="宋体" w:hint="eastAsia"/>
              </w:rPr>
              <w:t>mol</w:t>
            </w:r>
            <w:r w:rsidRPr="002B55E9">
              <w:rPr>
                <w:rFonts w:eastAsia="宋体" w:hint="eastAsia"/>
              </w:rPr>
              <w:t>）</w:t>
            </w:r>
          </w:p>
        </w:tc>
        <w:tc>
          <w:tcPr>
            <w:tcW w:w="1466" w:type="dxa"/>
          </w:tcPr>
          <w:p w14:paraId="4BF25250" w14:textId="77777777" w:rsidR="00D170E5" w:rsidRPr="002B55E9" w:rsidRDefault="00EF27AD">
            <w:pPr>
              <w:pStyle w:val="lgy-"/>
            </w:pPr>
            <w:r w:rsidRPr="002B55E9">
              <w:rPr>
                <w:rFonts w:eastAsia="宋体" w:hint="eastAsia"/>
              </w:rPr>
              <w:t>液体密度（</w:t>
            </w:r>
            <w:r w:rsidRPr="002B55E9">
              <w:rPr>
                <w:rFonts w:eastAsia="宋体" w:hint="eastAsia"/>
              </w:rPr>
              <w:t>kg</w:t>
            </w:r>
            <w:r w:rsidRPr="002B55E9">
              <w:rPr>
                <w:rFonts w:eastAsia="宋体"/>
              </w:rPr>
              <w:t>/</w:t>
            </w:r>
            <w:r w:rsidRPr="002B55E9">
              <w:rPr>
                <w:rFonts w:eastAsia="宋体" w:hint="eastAsia"/>
              </w:rPr>
              <w:t>m</w:t>
            </w:r>
            <w:r w:rsidRPr="002B55E9">
              <w:rPr>
                <w:rFonts w:eastAsia="宋体"/>
                <w:vertAlign w:val="superscript"/>
              </w:rPr>
              <w:t>3</w:t>
            </w:r>
            <w:r w:rsidRPr="002B55E9">
              <w:rPr>
                <w:rFonts w:eastAsia="宋体" w:hint="eastAsia"/>
              </w:rPr>
              <w:t>）</w:t>
            </w:r>
          </w:p>
        </w:tc>
        <w:tc>
          <w:tcPr>
            <w:tcW w:w="1289" w:type="dxa"/>
          </w:tcPr>
          <w:p w14:paraId="2A4CAC4B" w14:textId="77777777" w:rsidR="00D170E5" w:rsidRPr="002B55E9" w:rsidRDefault="00EF27AD">
            <w:pPr>
              <w:pStyle w:val="lgy-"/>
              <w:rPr>
                <w:rFonts w:eastAsia="宋体"/>
              </w:rPr>
            </w:pPr>
            <w:r w:rsidRPr="002B55E9">
              <w:rPr>
                <w:rFonts w:eastAsia="宋体" w:hint="eastAsia"/>
              </w:rPr>
              <w:t>产污系数</w:t>
            </w:r>
          </w:p>
        </w:tc>
      </w:tr>
      <w:tr w:rsidR="002B55E9" w:rsidRPr="002B55E9" w14:paraId="2C614D1A" w14:textId="77777777" w:rsidTr="00EF27AD">
        <w:trPr>
          <w:trHeight w:val="283"/>
        </w:trPr>
        <w:tc>
          <w:tcPr>
            <w:tcW w:w="1295" w:type="dxa"/>
          </w:tcPr>
          <w:p w14:paraId="27F14CA1" w14:textId="77777777" w:rsidR="00D170E5" w:rsidRPr="002B55E9" w:rsidRDefault="00EF27AD">
            <w:pPr>
              <w:pStyle w:val="lgy-"/>
            </w:pPr>
            <w:r w:rsidRPr="002B55E9">
              <w:rPr>
                <w:rFonts w:eastAsia="宋体" w:hint="eastAsia"/>
              </w:rPr>
              <w:t>有机</w:t>
            </w:r>
            <w:r w:rsidRPr="002B55E9">
              <w:rPr>
                <w:rFonts w:eastAsia="宋体"/>
              </w:rPr>
              <w:t>液体</w:t>
            </w:r>
          </w:p>
        </w:tc>
        <w:tc>
          <w:tcPr>
            <w:tcW w:w="1565" w:type="dxa"/>
          </w:tcPr>
          <w:p w14:paraId="6F1576EE" w14:textId="77777777" w:rsidR="00D170E5" w:rsidRPr="002B55E9" w:rsidRDefault="00EF27AD">
            <w:pPr>
              <w:pStyle w:val="lgy-"/>
            </w:pPr>
            <w:r w:rsidRPr="002B55E9">
              <w:rPr>
                <w:rFonts w:eastAsia="宋体" w:hint="eastAsia"/>
              </w:rPr>
              <w:t>乙醇</w:t>
            </w:r>
          </w:p>
        </w:tc>
        <w:tc>
          <w:tcPr>
            <w:tcW w:w="1112" w:type="dxa"/>
          </w:tcPr>
          <w:p w14:paraId="25807C60" w14:textId="77777777" w:rsidR="00D170E5" w:rsidRPr="002B55E9" w:rsidRDefault="00EF27AD">
            <w:pPr>
              <w:pStyle w:val="lgy-"/>
            </w:pPr>
            <w:r w:rsidRPr="002B55E9">
              <w:rPr>
                <w:rFonts w:eastAsia="宋体"/>
              </w:rPr>
              <w:t>64-17-5</w:t>
            </w:r>
          </w:p>
        </w:tc>
        <w:tc>
          <w:tcPr>
            <w:tcW w:w="1447" w:type="dxa"/>
          </w:tcPr>
          <w:p w14:paraId="4D3048B7" w14:textId="77777777" w:rsidR="00D170E5" w:rsidRPr="002B55E9" w:rsidRDefault="00EF27AD">
            <w:pPr>
              <w:pStyle w:val="lgy-"/>
            </w:pPr>
            <w:r w:rsidRPr="002B55E9">
              <w:rPr>
                <w:rFonts w:eastAsia="宋体"/>
              </w:rPr>
              <w:t>7859</w:t>
            </w:r>
          </w:p>
        </w:tc>
        <w:tc>
          <w:tcPr>
            <w:tcW w:w="1464" w:type="dxa"/>
          </w:tcPr>
          <w:p w14:paraId="50626627" w14:textId="77777777" w:rsidR="00D170E5" w:rsidRPr="002B55E9" w:rsidRDefault="00EF27AD">
            <w:pPr>
              <w:pStyle w:val="lgy-"/>
            </w:pPr>
            <w:r w:rsidRPr="002B55E9">
              <w:rPr>
                <w:rFonts w:eastAsia="宋体"/>
              </w:rPr>
              <w:t>46</w:t>
            </w:r>
          </w:p>
        </w:tc>
        <w:tc>
          <w:tcPr>
            <w:tcW w:w="1466" w:type="dxa"/>
          </w:tcPr>
          <w:p w14:paraId="69F5BF8E" w14:textId="77777777" w:rsidR="00D170E5" w:rsidRPr="002B55E9" w:rsidRDefault="00EF27AD">
            <w:pPr>
              <w:pStyle w:val="lgy-"/>
            </w:pPr>
            <w:r w:rsidRPr="002B55E9">
              <w:rPr>
                <w:rFonts w:eastAsia="宋体"/>
              </w:rPr>
              <w:t>789</w:t>
            </w:r>
          </w:p>
        </w:tc>
        <w:tc>
          <w:tcPr>
            <w:tcW w:w="1289" w:type="dxa"/>
          </w:tcPr>
          <w:p w14:paraId="13C29F2D" w14:textId="77777777" w:rsidR="00D170E5" w:rsidRPr="002B55E9" w:rsidRDefault="00EF27AD">
            <w:pPr>
              <w:pStyle w:val="lgy-"/>
              <w:rPr>
                <w:rFonts w:eastAsia="宋体"/>
              </w:rPr>
            </w:pPr>
            <w:r w:rsidRPr="002B55E9">
              <w:rPr>
                <w:rFonts w:eastAsia="宋体" w:hint="eastAsia"/>
              </w:rPr>
              <w:t>0.01</w:t>
            </w:r>
            <w:r w:rsidRPr="002B55E9">
              <w:rPr>
                <w:rFonts w:eastAsia="宋体"/>
              </w:rPr>
              <w:t>8%</w:t>
            </w:r>
          </w:p>
        </w:tc>
      </w:tr>
    </w:tbl>
    <w:p w14:paraId="2BD7AA6D" w14:textId="34009A6F" w:rsidR="00D170E5" w:rsidRPr="002B55E9" w:rsidRDefault="00EF27AD">
      <w:pPr>
        <w:pStyle w:val="affff7"/>
        <w:snapToGrid w:val="0"/>
        <w:spacing w:after="0"/>
      </w:pPr>
      <w:r w:rsidRPr="002B55E9">
        <w:rPr>
          <w:rFonts w:hint="eastAsia"/>
        </w:rPr>
        <w:t>浸提工序每批次乙醇使用量为</w:t>
      </w:r>
      <w:r w:rsidRPr="002B55E9">
        <w:t>7.97</w:t>
      </w:r>
      <w:r w:rsidRPr="002B55E9">
        <w:rPr>
          <w:rFonts w:hint="eastAsia"/>
        </w:rPr>
        <w:t>t</w:t>
      </w:r>
      <w:r w:rsidRPr="002B55E9">
        <w:rPr>
          <w:rFonts w:hint="eastAsia"/>
        </w:rPr>
        <w:t>，年生产</w:t>
      </w:r>
      <w:r w:rsidRPr="002B55E9">
        <w:t>1150</w:t>
      </w:r>
      <w:r w:rsidRPr="002B55E9">
        <w:rPr>
          <w:rFonts w:hint="eastAsia"/>
        </w:rPr>
        <w:t>批次，则提取过程中乙醇挥发量为</w:t>
      </w:r>
      <w:r w:rsidRPr="002B55E9">
        <w:rPr>
          <w:rFonts w:hint="eastAsia"/>
        </w:rPr>
        <w:t>0.</w:t>
      </w:r>
      <w:r w:rsidRPr="002B55E9">
        <w:t>438</w:t>
      </w:r>
      <w:r w:rsidRPr="002B55E9">
        <w:rPr>
          <w:rFonts w:hint="eastAsia"/>
        </w:rPr>
        <w:t>kg</w:t>
      </w:r>
      <w:r w:rsidRPr="002B55E9">
        <w:t>/</w:t>
      </w:r>
      <w:r w:rsidRPr="002B55E9">
        <w:rPr>
          <w:rFonts w:hint="eastAsia"/>
        </w:rPr>
        <w:t>批次、</w:t>
      </w:r>
      <w:r w:rsidRPr="002B55E9">
        <w:rPr>
          <w:rFonts w:hint="eastAsia"/>
        </w:rPr>
        <w:t>0</w:t>
      </w:r>
      <w:r w:rsidRPr="002B55E9">
        <w:t>.504</w:t>
      </w:r>
      <w:r w:rsidRPr="002B55E9">
        <w:rPr>
          <w:rFonts w:hint="eastAsia"/>
        </w:rPr>
        <w:t>t/a</w:t>
      </w:r>
      <w:r w:rsidRPr="002B55E9">
        <w:rPr>
          <w:rFonts w:hint="eastAsia"/>
        </w:rPr>
        <w:t>，浸提工序每批次投料时间</w:t>
      </w:r>
      <w:r w:rsidRPr="002B55E9">
        <w:t>约</w:t>
      </w:r>
      <w:r w:rsidRPr="002B55E9">
        <w:rPr>
          <w:rFonts w:hint="eastAsia"/>
        </w:rPr>
        <w:t>1</w:t>
      </w:r>
      <w:r w:rsidRPr="002B55E9">
        <w:t>.5</w:t>
      </w:r>
      <w:r w:rsidRPr="002B55E9">
        <w:rPr>
          <w:rFonts w:hint="eastAsia"/>
        </w:rPr>
        <w:t>h</w:t>
      </w:r>
      <w:r w:rsidRPr="002B55E9">
        <w:rPr>
          <w:rFonts w:hint="eastAsia"/>
        </w:rPr>
        <w:t>，</w:t>
      </w:r>
      <w:r w:rsidR="00DE3C26" w:rsidRPr="002B55E9">
        <w:rPr>
          <w:rFonts w:hint="eastAsia"/>
        </w:rPr>
        <w:t>设有</w:t>
      </w:r>
      <w:r w:rsidR="00DE3C26" w:rsidRPr="002B55E9">
        <w:rPr>
          <w:rFonts w:hint="eastAsia"/>
        </w:rPr>
        <w:t>3</w:t>
      </w:r>
      <w:r w:rsidR="00DE3C26" w:rsidRPr="002B55E9">
        <w:rPr>
          <w:rFonts w:hint="eastAsia"/>
        </w:rPr>
        <w:t>套</w:t>
      </w:r>
      <w:r w:rsidR="00DE3C26" w:rsidRPr="002B55E9">
        <w:t>提取罐同时提取，</w:t>
      </w:r>
      <w:r w:rsidRPr="002B55E9">
        <w:rPr>
          <w:rFonts w:hint="eastAsia"/>
        </w:rPr>
        <w:t>则浸提投料环节</w:t>
      </w:r>
      <w:r w:rsidR="00924AFA" w:rsidRPr="002B55E9">
        <w:rPr>
          <w:rFonts w:hint="eastAsia"/>
        </w:rPr>
        <w:t>非甲烷总烃</w:t>
      </w:r>
      <w:r w:rsidRPr="002B55E9">
        <w:rPr>
          <w:rFonts w:hint="eastAsia"/>
        </w:rPr>
        <w:t>（</w:t>
      </w:r>
      <w:r w:rsidRPr="002B55E9">
        <w:rPr>
          <w:rFonts w:hint="eastAsia"/>
        </w:rPr>
        <w:t>G1-2</w:t>
      </w:r>
      <w:r w:rsidRPr="002B55E9">
        <w:rPr>
          <w:rFonts w:hint="eastAsia"/>
        </w:rPr>
        <w:t>）产生速率为</w:t>
      </w:r>
      <w:r w:rsidRPr="002B55E9">
        <w:rPr>
          <w:rFonts w:hint="eastAsia"/>
        </w:rPr>
        <w:t>0</w:t>
      </w:r>
      <w:r w:rsidRPr="002B55E9">
        <w:t>.</w:t>
      </w:r>
      <w:r w:rsidR="00DE3C26" w:rsidRPr="002B55E9">
        <w:t>876</w:t>
      </w:r>
      <w:r w:rsidRPr="002B55E9">
        <w:rPr>
          <w:rFonts w:hint="eastAsia"/>
        </w:rPr>
        <w:t>kg/h</w:t>
      </w:r>
      <w:r w:rsidRPr="002B55E9">
        <w:rPr>
          <w:rFonts w:hint="eastAsia"/>
        </w:rPr>
        <w:t>。</w:t>
      </w:r>
    </w:p>
    <w:p w14:paraId="0BB1D21F" w14:textId="0A06D383" w:rsidR="00D170E5" w:rsidRPr="002B55E9" w:rsidRDefault="00EF27AD">
      <w:pPr>
        <w:pStyle w:val="affff7"/>
        <w:snapToGrid w:val="0"/>
        <w:spacing w:after="0"/>
      </w:pPr>
      <w:r w:rsidRPr="002B55E9">
        <w:rPr>
          <w:rFonts w:hint="eastAsia"/>
        </w:rPr>
        <w:t>过滤工序香辛料风味标准液每批次使用量为</w:t>
      </w:r>
      <w:r w:rsidRPr="002B55E9">
        <w:t>7.84</w:t>
      </w:r>
      <w:r w:rsidRPr="002B55E9">
        <w:rPr>
          <w:rFonts w:hint="eastAsia"/>
        </w:rPr>
        <w:t>t</w:t>
      </w:r>
      <w:r w:rsidRPr="002B55E9">
        <w:rPr>
          <w:rFonts w:hint="eastAsia"/>
        </w:rPr>
        <w:t>，年生产</w:t>
      </w:r>
      <w:r w:rsidRPr="002B55E9">
        <w:rPr>
          <w:rFonts w:hint="eastAsia"/>
        </w:rPr>
        <w:t>1</w:t>
      </w:r>
      <w:r w:rsidRPr="002B55E9">
        <w:t>150</w:t>
      </w:r>
      <w:r w:rsidRPr="002B55E9">
        <w:rPr>
          <w:rFonts w:hint="eastAsia"/>
        </w:rPr>
        <w:t>批次，则提取过程中乙醇挥发量为</w:t>
      </w:r>
      <w:r w:rsidRPr="002B55E9">
        <w:rPr>
          <w:rFonts w:hint="eastAsia"/>
        </w:rPr>
        <w:t>0.</w:t>
      </w:r>
      <w:r w:rsidRPr="002B55E9">
        <w:t>438</w:t>
      </w:r>
      <w:r w:rsidRPr="002B55E9">
        <w:rPr>
          <w:rFonts w:hint="eastAsia"/>
        </w:rPr>
        <w:t>kg</w:t>
      </w:r>
      <w:r w:rsidRPr="002B55E9">
        <w:t>/</w:t>
      </w:r>
      <w:r w:rsidRPr="002B55E9">
        <w:rPr>
          <w:rFonts w:hint="eastAsia"/>
        </w:rPr>
        <w:t>批次、</w:t>
      </w:r>
      <w:r w:rsidRPr="002B55E9">
        <w:rPr>
          <w:rFonts w:hint="eastAsia"/>
        </w:rPr>
        <w:t>0</w:t>
      </w:r>
      <w:r w:rsidRPr="002B55E9">
        <w:t>.504</w:t>
      </w:r>
      <w:r w:rsidRPr="002B55E9">
        <w:rPr>
          <w:rFonts w:hint="eastAsia"/>
        </w:rPr>
        <w:t>t/a</w:t>
      </w:r>
      <w:r w:rsidRPr="002B55E9">
        <w:rPr>
          <w:rFonts w:hint="eastAsia"/>
        </w:rPr>
        <w:t>，过滤工序每批次进料时间</w:t>
      </w:r>
      <w:r w:rsidRPr="002B55E9">
        <w:t>约</w:t>
      </w:r>
      <w:r w:rsidRPr="002B55E9">
        <w:t>1.5</w:t>
      </w:r>
      <w:r w:rsidRPr="002B55E9">
        <w:rPr>
          <w:rFonts w:hint="eastAsia"/>
        </w:rPr>
        <w:t>h</w:t>
      </w:r>
      <w:r w:rsidRPr="002B55E9">
        <w:rPr>
          <w:rFonts w:hint="eastAsia"/>
        </w:rPr>
        <w:t>，则香辛料风味标准液进料环节</w:t>
      </w:r>
      <w:r w:rsidR="00924AFA" w:rsidRPr="002B55E9">
        <w:rPr>
          <w:rFonts w:hint="eastAsia"/>
        </w:rPr>
        <w:t>非甲烷总烃</w:t>
      </w:r>
      <w:r w:rsidRPr="002B55E9">
        <w:rPr>
          <w:rFonts w:hint="eastAsia"/>
        </w:rPr>
        <w:t>（</w:t>
      </w:r>
      <w:r w:rsidRPr="002B55E9">
        <w:rPr>
          <w:rFonts w:hint="eastAsia"/>
        </w:rPr>
        <w:t>G1-</w:t>
      </w:r>
      <w:r w:rsidRPr="002B55E9">
        <w:t>3</w:t>
      </w:r>
      <w:r w:rsidRPr="002B55E9">
        <w:rPr>
          <w:rFonts w:hint="eastAsia"/>
        </w:rPr>
        <w:t>）产生速率为</w:t>
      </w:r>
      <w:r w:rsidRPr="002B55E9">
        <w:t>0.292kg/h</w:t>
      </w:r>
      <w:r w:rsidRPr="002B55E9">
        <w:rPr>
          <w:rFonts w:hint="eastAsia"/>
        </w:rPr>
        <w:t>。</w:t>
      </w:r>
    </w:p>
    <w:p w14:paraId="3FD69D6B" w14:textId="04A0761A" w:rsidR="00D170E5" w:rsidRPr="002B55E9" w:rsidRDefault="00EF27AD">
      <w:pPr>
        <w:pStyle w:val="affff7"/>
        <w:snapToGrid w:val="0"/>
        <w:spacing w:after="0"/>
      </w:pPr>
      <w:r w:rsidRPr="002B55E9">
        <w:rPr>
          <w:rFonts w:hint="eastAsia"/>
        </w:rPr>
        <w:t>调配混合</w:t>
      </w:r>
      <w:r w:rsidR="0094723B" w:rsidRPr="002B55E9">
        <w:t>工序香辛料风味</w:t>
      </w:r>
      <w:r w:rsidRPr="002B55E9">
        <w:rPr>
          <w:rFonts w:hint="eastAsia"/>
        </w:rPr>
        <w:t>标准液、</w:t>
      </w:r>
      <w:r w:rsidRPr="002B55E9">
        <w:t>乙醇</w:t>
      </w:r>
      <w:r w:rsidRPr="002B55E9">
        <w:rPr>
          <w:rFonts w:hint="eastAsia"/>
        </w:rPr>
        <w:t>和</w:t>
      </w:r>
      <w:r w:rsidRPr="002B55E9">
        <w:t>黄酒</w:t>
      </w:r>
      <w:r w:rsidRPr="002B55E9">
        <w:rPr>
          <w:rFonts w:hint="eastAsia"/>
        </w:rPr>
        <w:t>每批次使用量分别为</w:t>
      </w:r>
      <w:r w:rsidRPr="002B55E9">
        <w:rPr>
          <w:rFonts w:hint="eastAsia"/>
        </w:rPr>
        <w:t>4.</w:t>
      </w:r>
      <w:r w:rsidR="004040EC" w:rsidRPr="002B55E9">
        <w:t>5</w:t>
      </w:r>
      <w:r w:rsidRPr="002B55E9">
        <w:t>1</w:t>
      </w:r>
      <w:r w:rsidRPr="002B55E9">
        <w:rPr>
          <w:rFonts w:hint="eastAsia"/>
        </w:rPr>
        <w:t>t</w:t>
      </w:r>
      <w:r w:rsidRPr="002B55E9">
        <w:rPr>
          <w:rFonts w:hint="eastAsia"/>
        </w:rPr>
        <w:t>、</w:t>
      </w:r>
      <w:r w:rsidR="004040EC" w:rsidRPr="002B55E9">
        <w:t>25.95</w:t>
      </w:r>
      <w:r w:rsidRPr="002B55E9">
        <w:rPr>
          <w:rFonts w:hint="eastAsia"/>
        </w:rPr>
        <w:t>t</w:t>
      </w:r>
      <w:r w:rsidRPr="002B55E9">
        <w:rPr>
          <w:rFonts w:hint="eastAsia"/>
        </w:rPr>
        <w:t>、</w:t>
      </w:r>
      <w:r w:rsidRPr="002B55E9">
        <w:t>5.</w:t>
      </w:r>
      <w:r w:rsidR="004040EC" w:rsidRPr="002B55E9">
        <w:t>27</w:t>
      </w:r>
      <w:r w:rsidRPr="002B55E9">
        <w:rPr>
          <w:rFonts w:hint="eastAsia"/>
        </w:rPr>
        <w:t>t</w:t>
      </w:r>
      <w:r w:rsidRPr="002B55E9">
        <w:rPr>
          <w:rFonts w:hint="eastAsia"/>
        </w:rPr>
        <w:t>，年生产</w:t>
      </w:r>
      <w:r w:rsidR="004040EC" w:rsidRPr="002B55E9">
        <w:t>2000</w:t>
      </w:r>
      <w:r w:rsidRPr="002B55E9">
        <w:rPr>
          <w:rFonts w:hint="eastAsia"/>
        </w:rPr>
        <w:t>批次，则提取过程中乙醇挥发量为</w:t>
      </w:r>
      <w:r w:rsidRPr="002B55E9">
        <w:t>1.</w:t>
      </w:r>
      <w:r w:rsidR="004040EC" w:rsidRPr="002B55E9">
        <w:t>844</w:t>
      </w:r>
      <w:r w:rsidRPr="002B55E9">
        <w:rPr>
          <w:rFonts w:hint="eastAsia"/>
        </w:rPr>
        <w:t>kg</w:t>
      </w:r>
      <w:r w:rsidRPr="002B55E9">
        <w:t>/</w:t>
      </w:r>
      <w:r w:rsidRPr="002B55E9">
        <w:rPr>
          <w:rFonts w:hint="eastAsia"/>
        </w:rPr>
        <w:t>批次、</w:t>
      </w:r>
      <w:r w:rsidRPr="002B55E9">
        <w:t>3.688</w:t>
      </w:r>
      <w:r w:rsidRPr="002B55E9">
        <w:rPr>
          <w:rFonts w:hint="eastAsia"/>
        </w:rPr>
        <w:t>t/a</w:t>
      </w:r>
      <w:r w:rsidRPr="002B55E9">
        <w:rPr>
          <w:rFonts w:hint="eastAsia"/>
        </w:rPr>
        <w:t>，调配</w:t>
      </w:r>
      <w:r w:rsidRPr="002B55E9">
        <w:t>混合</w:t>
      </w:r>
      <w:r w:rsidRPr="002B55E9">
        <w:rPr>
          <w:rFonts w:hint="eastAsia"/>
        </w:rPr>
        <w:t>工序每批</w:t>
      </w:r>
      <w:r w:rsidRPr="002B55E9">
        <w:rPr>
          <w:rFonts w:hint="eastAsia"/>
        </w:rPr>
        <w:lastRenderedPageBreak/>
        <w:t>次进料时间</w:t>
      </w:r>
      <w:r w:rsidRPr="002B55E9">
        <w:t>约</w:t>
      </w:r>
      <w:r w:rsidRPr="002B55E9">
        <w:rPr>
          <w:rFonts w:hint="eastAsia"/>
        </w:rPr>
        <w:t>3h</w:t>
      </w:r>
      <w:r w:rsidRPr="002B55E9">
        <w:rPr>
          <w:rFonts w:hint="eastAsia"/>
        </w:rPr>
        <w:t>，则调配</w:t>
      </w:r>
      <w:r w:rsidRPr="002B55E9">
        <w:t>混合工序</w:t>
      </w:r>
      <w:r w:rsidR="00924AFA" w:rsidRPr="002B55E9">
        <w:rPr>
          <w:rFonts w:hint="eastAsia"/>
        </w:rPr>
        <w:t>非甲烷总烃</w:t>
      </w:r>
      <w:r w:rsidRPr="002B55E9">
        <w:rPr>
          <w:rFonts w:hint="eastAsia"/>
        </w:rPr>
        <w:t>（</w:t>
      </w:r>
      <w:r w:rsidRPr="002B55E9">
        <w:rPr>
          <w:rFonts w:hint="eastAsia"/>
        </w:rPr>
        <w:t>G1-4</w:t>
      </w:r>
      <w:r w:rsidRPr="002B55E9">
        <w:rPr>
          <w:rFonts w:hint="eastAsia"/>
        </w:rPr>
        <w:t>）产生速率为</w:t>
      </w:r>
      <w:r w:rsidRPr="002B55E9">
        <w:rPr>
          <w:rFonts w:hint="eastAsia"/>
        </w:rPr>
        <w:t>0</w:t>
      </w:r>
      <w:r w:rsidRPr="002B55E9">
        <w:t>.6</w:t>
      </w:r>
      <w:r w:rsidR="004040EC" w:rsidRPr="002B55E9">
        <w:t>15</w:t>
      </w:r>
      <w:r w:rsidRPr="002B55E9">
        <w:t>kg/h</w:t>
      </w:r>
      <w:r w:rsidRPr="002B55E9">
        <w:rPr>
          <w:rFonts w:hint="eastAsia"/>
        </w:rPr>
        <w:t>。投料</w:t>
      </w:r>
      <w:r w:rsidRPr="002B55E9">
        <w:t>废气产生情况如下表所示。</w:t>
      </w:r>
    </w:p>
    <w:p w14:paraId="2761E784"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-3-4  </w:t>
      </w:r>
      <w:r w:rsidRPr="002B55E9">
        <w:rPr>
          <w:rFonts w:hint="eastAsia"/>
        </w:rPr>
        <w:t>投料废气产生情况一览表</w:t>
      </w:r>
    </w:p>
    <w:tbl>
      <w:tblPr>
        <w:tblStyle w:val="lgy2"/>
        <w:tblW w:w="5000" w:type="pct"/>
        <w:tblLayout w:type="fixed"/>
        <w:tblCellMar>
          <w:left w:w="28" w:type="dxa"/>
          <w:right w:w="28" w:type="dxa"/>
        </w:tblCellMar>
        <w:tblLook w:val="04A0" w:firstRow="1" w:lastRow="0" w:firstColumn="1" w:lastColumn="0" w:noHBand="0" w:noVBand="1"/>
      </w:tblPr>
      <w:tblGrid>
        <w:gridCol w:w="713"/>
        <w:gridCol w:w="2281"/>
        <w:gridCol w:w="998"/>
        <w:gridCol w:w="856"/>
        <w:gridCol w:w="764"/>
        <w:gridCol w:w="974"/>
        <w:gridCol w:w="1036"/>
        <w:gridCol w:w="1036"/>
        <w:gridCol w:w="1036"/>
      </w:tblGrid>
      <w:tr w:rsidR="002B55E9" w:rsidRPr="002B55E9" w14:paraId="06D622B1" w14:textId="77777777" w:rsidTr="004040EC">
        <w:trPr>
          <w:cnfStyle w:val="100000000000" w:firstRow="1" w:lastRow="0" w:firstColumn="0" w:lastColumn="0" w:oddVBand="0" w:evenVBand="0" w:oddHBand="0" w:evenHBand="0" w:firstRowFirstColumn="0" w:firstRowLastColumn="0" w:lastRowFirstColumn="0" w:lastRowLastColumn="0"/>
          <w:trHeight w:val="283"/>
        </w:trPr>
        <w:tc>
          <w:tcPr>
            <w:tcW w:w="709" w:type="dxa"/>
          </w:tcPr>
          <w:p w14:paraId="71FB7E07" w14:textId="77777777" w:rsidR="00D170E5" w:rsidRPr="002B55E9" w:rsidRDefault="00EF27AD" w:rsidP="004040EC">
            <w:pPr>
              <w:pStyle w:val="lgy-"/>
              <w:rPr>
                <w:rFonts w:eastAsia="宋体"/>
              </w:rPr>
            </w:pPr>
            <w:r w:rsidRPr="002B55E9">
              <w:rPr>
                <w:rFonts w:eastAsia="宋体"/>
              </w:rPr>
              <w:t>产生环节</w:t>
            </w:r>
          </w:p>
        </w:tc>
        <w:tc>
          <w:tcPr>
            <w:tcW w:w="2268" w:type="dxa"/>
          </w:tcPr>
          <w:p w14:paraId="581ED2E5" w14:textId="77777777" w:rsidR="00D170E5" w:rsidRPr="002B55E9" w:rsidRDefault="00EF27AD" w:rsidP="004040EC">
            <w:pPr>
              <w:pStyle w:val="lgy-"/>
              <w:rPr>
                <w:rFonts w:eastAsia="宋体"/>
              </w:rPr>
            </w:pPr>
            <w:r w:rsidRPr="002B55E9">
              <w:rPr>
                <w:rFonts w:eastAsia="宋体"/>
              </w:rPr>
              <w:t>投加物料</w:t>
            </w:r>
          </w:p>
        </w:tc>
        <w:tc>
          <w:tcPr>
            <w:tcW w:w="992" w:type="dxa"/>
          </w:tcPr>
          <w:p w14:paraId="318D7AE0" w14:textId="77777777" w:rsidR="00D170E5" w:rsidRPr="002B55E9" w:rsidRDefault="00EF27AD" w:rsidP="004040EC">
            <w:pPr>
              <w:pStyle w:val="lgy-"/>
              <w:rPr>
                <w:rFonts w:eastAsia="宋体"/>
              </w:rPr>
            </w:pPr>
            <w:r w:rsidRPr="002B55E9">
              <w:rPr>
                <w:rFonts w:eastAsia="宋体"/>
              </w:rPr>
              <w:t>批次投料量</w:t>
            </w:r>
            <w:r w:rsidRPr="002B55E9">
              <w:rPr>
                <w:rFonts w:eastAsia="宋体"/>
              </w:rPr>
              <w:t>t</w:t>
            </w:r>
          </w:p>
        </w:tc>
        <w:tc>
          <w:tcPr>
            <w:tcW w:w="851" w:type="dxa"/>
          </w:tcPr>
          <w:p w14:paraId="1BAFBB7E" w14:textId="77777777" w:rsidR="00D170E5" w:rsidRPr="002B55E9" w:rsidRDefault="00EF27AD" w:rsidP="004040EC">
            <w:pPr>
              <w:pStyle w:val="lgy-"/>
              <w:rPr>
                <w:rFonts w:eastAsia="宋体"/>
              </w:rPr>
            </w:pPr>
            <w:r w:rsidRPr="002B55E9">
              <w:rPr>
                <w:rFonts w:eastAsia="宋体"/>
              </w:rPr>
              <w:t>年生产批次</w:t>
            </w:r>
          </w:p>
        </w:tc>
        <w:tc>
          <w:tcPr>
            <w:tcW w:w="760" w:type="dxa"/>
          </w:tcPr>
          <w:p w14:paraId="3FB89BA1" w14:textId="77777777" w:rsidR="00D170E5" w:rsidRPr="002B55E9" w:rsidRDefault="00EF27AD" w:rsidP="004040EC">
            <w:pPr>
              <w:pStyle w:val="lgy-"/>
              <w:rPr>
                <w:rFonts w:eastAsia="宋体"/>
              </w:rPr>
            </w:pPr>
            <w:r w:rsidRPr="002B55E9">
              <w:rPr>
                <w:rFonts w:eastAsia="宋体"/>
              </w:rPr>
              <w:t>批次耗时</w:t>
            </w:r>
            <w:r w:rsidRPr="002B55E9">
              <w:rPr>
                <w:rFonts w:eastAsia="宋体"/>
              </w:rPr>
              <w:t>h</w:t>
            </w:r>
          </w:p>
        </w:tc>
        <w:tc>
          <w:tcPr>
            <w:tcW w:w="968" w:type="dxa"/>
          </w:tcPr>
          <w:p w14:paraId="28373493" w14:textId="77777777" w:rsidR="00D170E5" w:rsidRPr="002B55E9" w:rsidRDefault="00EF27AD" w:rsidP="004040EC">
            <w:pPr>
              <w:pStyle w:val="lgy-"/>
              <w:rPr>
                <w:rFonts w:eastAsia="宋体"/>
              </w:rPr>
            </w:pPr>
            <w:r w:rsidRPr="002B55E9">
              <w:rPr>
                <w:rFonts w:eastAsia="宋体"/>
              </w:rPr>
              <w:t>污染物</w:t>
            </w:r>
          </w:p>
        </w:tc>
        <w:tc>
          <w:tcPr>
            <w:tcW w:w="1030" w:type="dxa"/>
          </w:tcPr>
          <w:p w14:paraId="68E8B102" w14:textId="77777777" w:rsidR="00D170E5" w:rsidRPr="002B55E9" w:rsidRDefault="00EF27AD" w:rsidP="004040EC">
            <w:pPr>
              <w:pStyle w:val="lgy-"/>
              <w:rPr>
                <w:rFonts w:eastAsia="宋体"/>
              </w:rPr>
            </w:pPr>
            <w:r w:rsidRPr="002B55E9">
              <w:rPr>
                <w:rFonts w:eastAsia="宋体"/>
              </w:rPr>
              <w:t>产生量</w:t>
            </w:r>
          </w:p>
          <w:p w14:paraId="41DB901D" w14:textId="77777777" w:rsidR="00D170E5" w:rsidRPr="002B55E9" w:rsidRDefault="00EF27AD" w:rsidP="004040EC">
            <w:pPr>
              <w:pStyle w:val="lgy-"/>
              <w:rPr>
                <w:rFonts w:eastAsia="宋体"/>
              </w:rPr>
            </w:pPr>
            <w:r w:rsidRPr="002B55E9">
              <w:rPr>
                <w:rFonts w:eastAsia="宋体"/>
              </w:rPr>
              <w:t>kg/</w:t>
            </w:r>
            <w:r w:rsidRPr="002B55E9">
              <w:rPr>
                <w:rFonts w:eastAsia="宋体"/>
              </w:rPr>
              <w:t>批次</w:t>
            </w:r>
          </w:p>
        </w:tc>
        <w:tc>
          <w:tcPr>
            <w:tcW w:w="1030" w:type="dxa"/>
          </w:tcPr>
          <w:p w14:paraId="1F348214" w14:textId="77777777" w:rsidR="00D170E5" w:rsidRPr="002B55E9" w:rsidRDefault="00EF27AD" w:rsidP="004040EC">
            <w:pPr>
              <w:pStyle w:val="lgy-"/>
              <w:rPr>
                <w:rFonts w:eastAsia="宋体"/>
              </w:rPr>
            </w:pPr>
            <w:r w:rsidRPr="002B55E9">
              <w:rPr>
                <w:rFonts w:eastAsia="宋体"/>
              </w:rPr>
              <w:t>年产生量</w:t>
            </w:r>
            <w:r w:rsidRPr="002B55E9">
              <w:rPr>
                <w:rFonts w:eastAsia="宋体"/>
              </w:rPr>
              <w:t>t/a</w:t>
            </w:r>
          </w:p>
        </w:tc>
        <w:tc>
          <w:tcPr>
            <w:tcW w:w="1030" w:type="dxa"/>
          </w:tcPr>
          <w:p w14:paraId="3C6EEF11" w14:textId="77777777" w:rsidR="00D170E5" w:rsidRPr="002B55E9" w:rsidRDefault="00EF27AD" w:rsidP="004040EC">
            <w:pPr>
              <w:pStyle w:val="lgy-"/>
              <w:rPr>
                <w:rFonts w:eastAsia="宋体"/>
              </w:rPr>
            </w:pPr>
            <w:r w:rsidRPr="002B55E9">
              <w:rPr>
                <w:rFonts w:eastAsia="宋体"/>
              </w:rPr>
              <w:t>产生速率</w:t>
            </w:r>
            <w:r w:rsidRPr="002B55E9">
              <w:rPr>
                <w:rFonts w:eastAsia="宋体"/>
              </w:rPr>
              <w:t>kg/h</w:t>
            </w:r>
          </w:p>
        </w:tc>
      </w:tr>
      <w:tr w:rsidR="002B55E9" w:rsidRPr="002B55E9" w14:paraId="6D9590F5" w14:textId="77777777" w:rsidTr="004040EC">
        <w:trPr>
          <w:trHeight w:val="283"/>
        </w:trPr>
        <w:tc>
          <w:tcPr>
            <w:tcW w:w="709" w:type="dxa"/>
          </w:tcPr>
          <w:p w14:paraId="5FFD86AA" w14:textId="77777777" w:rsidR="00D170E5" w:rsidRPr="002B55E9" w:rsidRDefault="00EF27AD" w:rsidP="004040EC">
            <w:pPr>
              <w:pStyle w:val="lgy-"/>
              <w:rPr>
                <w:rFonts w:eastAsia="宋体"/>
              </w:rPr>
            </w:pPr>
            <w:r w:rsidRPr="002B55E9">
              <w:rPr>
                <w:rFonts w:eastAsia="宋体"/>
              </w:rPr>
              <w:t>浸提</w:t>
            </w:r>
          </w:p>
        </w:tc>
        <w:tc>
          <w:tcPr>
            <w:tcW w:w="2268" w:type="dxa"/>
          </w:tcPr>
          <w:p w14:paraId="1C240199" w14:textId="1ADF76B3" w:rsidR="00D170E5" w:rsidRPr="002B55E9" w:rsidRDefault="00EF27AD" w:rsidP="004040EC">
            <w:pPr>
              <w:pStyle w:val="lgy-"/>
              <w:rPr>
                <w:rFonts w:eastAsia="宋体"/>
              </w:rPr>
            </w:pPr>
            <w:r w:rsidRPr="002B55E9">
              <w:rPr>
                <w:rFonts w:eastAsia="宋体"/>
              </w:rPr>
              <w:t>乙醇</w:t>
            </w:r>
          </w:p>
        </w:tc>
        <w:tc>
          <w:tcPr>
            <w:tcW w:w="992" w:type="dxa"/>
          </w:tcPr>
          <w:p w14:paraId="2C5E1C41" w14:textId="77777777" w:rsidR="00D170E5" w:rsidRPr="002B55E9" w:rsidRDefault="00EF27AD" w:rsidP="004040EC">
            <w:pPr>
              <w:pStyle w:val="lgy-"/>
              <w:rPr>
                <w:rFonts w:eastAsia="宋体"/>
              </w:rPr>
            </w:pPr>
            <w:r w:rsidRPr="002B55E9">
              <w:rPr>
                <w:rFonts w:eastAsia="宋体"/>
              </w:rPr>
              <w:t xml:space="preserve">7.97 </w:t>
            </w:r>
          </w:p>
        </w:tc>
        <w:tc>
          <w:tcPr>
            <w:tcW w:w="851" w:type="dxa"/>
          </w:tcPr>
          <w:p w14:paraId="316EC301" w14:textId="77777777" w:rsidR="00D170E5" w:rsidRPr="002B55E9" w:rsidRDefault="00EF27AD" w:rsidP="004040EC">
            <w:pPr>
              <w:pStyle w:val="lgy-"/>
              <w:rPr>
                <w:rFonts w:eastAsia="宋体"/>
              </w:rPr>
            </w:pPr>
            <w:r w:rsidRPr="002B55E9">
              <w:rPr>
                <w:rFonts w:eastAsia="宋体"/>
              </w:rPr>
              <w:t>1150</w:t>
            </w:r>
          </w:p>
        </w:tc>
        <w:tc>
          <w:tcPr>
            <w:tcW w:w="760" w:type="dxa"/>
          </w:tcPr>
          <w:p w14:paraId="013BCB98" w14:textId="77777777" w:rsidR="00D170E5" w:rsidRPr="002B55E9" w:rsidRDefault="00EF27AD" w:rsidP="004040EC">
            <w:pPr>
              <w:pStyle w:val="lgy-"/>
              <w:rPr>
                <w:rFonts w:eastAsia="宋体"/>
              </w:rPr>
            </w:pPr>
            <w:r w:rsidRPr="002B55E9">
              <w:rPr>
                <w:rFonts w:eastAsia="宋体"/>
              </w:rPr>
              <w:t>1.5</w:t>
            </w:r>
          </w:p>
        </w:tc>
        <w:tc>
          <w:tcPr>
            <w:tcW w:w="968" w:type="dxa"/>
          </w:tcPr>
          <w:p w14:paraId="6DFE2B9B" w14:textId="5F240E77" w:rsidR="00D170E5" w:rsidRPr="002B55E9" w:rsidRDefault="00924AFA" w:rsidP="004040EC">
            <w:pPr>
              <w:pStyle w:val="lgy-"/>
              <w:rPr>
                <w:rFonts w:eastAsia="宋体"/>
              </w:rPr>
            </w:pPr>
            <w:r w:rsidRPr="002B55E9">
              <w:rPr>
                <w:rFonts w:eastAsia="宋体"/>
              </w:rPr>
              <w:t>非甲烷总烃</w:t>
            </w:r>
          </w:p>
        </w:tc>
        <w:tc>
          <w:tcPr>
            <w:tcW w:w="1030" w:type="dxa"/>
          </w:tcPr>
          <w:p w14:paraId="4ADBCBA6" w14:textId="77777777" w:rsidR="00D170E5" w:rsidRPr="002B55E9" w:rsidRDefault="00EF27AD" w:rsidP="004040EC">
            <w:pPr>
              <w:pStyle w:val="lgy-"/>
              <w:rPr>
                <w:rFonts w:eastAsia="宋体"/>
              </w:rPr>
            </w:pPr>
            <w:r w:rsidRPr="002B55E9">
              <w:rPr>
                <w:rFonts w:eastAsia="宋体"/>
              </w:rPr>
              <w:t xml:space="preserve">0.438 </w:t>
            </w:r>
          </w:p>
        </w:tc>
        <w:tc>
          <w:tcPr>
            <w:tcW w:w="1030" w:type="dxa"/>
          </w:tcPr>
          <w:p w14:paraId="6D208BB9" w14:textId="77777777" w:rsidR="00D170E5" w:rsidRPr="002B55E9" w:rsidRDefault="00EF27AD" w:rsidP="004040EC">
            <w:pPr>
              <w:pStyle w:val="lgy-"/>
              <w:rPr>
                <w:rFonts w:eastAsia="宋体"/>
              </w:rPr>
            </w:pPr>
            <w:r w:rsidRPr="002B55E9">
              <w:rPr>
                <w:rFonts w:eastAsia="宋体"/>
              </w:rPr>
              <w:t xml:space="preserve">0.504 </w:t>
            </w:r>
          </w:p>
        </w:tc>
        <w:tc>
          <w:tcPr>
            <w:tcW w:w="1030" w:type="dxa"/>
          </w:tcPr>
          <w:p w14:paraId="149D320B" w14:textId="3ADA2C93" w:rsidR="00D170E5" w:rsidRPr="002B55E9" w:rsidRDefault="004040EC" w:rsidP="004040EC">
            <w:pPr>
              <w:pStyle w:val="lgy-"/>
              <w:rPr>
                <w:rFonts w:eastAsia="宋体"/>
              </w:rPr>
            </w:pPr>
            <w:r w:rsidRPr="002B55E9">
              <w:rPr>
                <w:rFonts w:eastAsia="宋体"/>
              </w:rPr>
              <w:t>0.876</w:t>
            </w:r>
            <w:r w:rsidR="00EF27AD" w:rsidRPr="002B55E9">
              <w:rPr>
                <w:rFonts w:eastAsia="宋体"/>
              </w:rPr>
              <w:t xml:space="preserve"> </w:t>
            </w:r>
          </w:p>
        </w:tc>
      </w:tr>
      <w:tr w:rsidR="002B55E9" w:rsidRPr="002B55E9" w14:paraId="0A71531E" w14:textId="77777777" w:rsidTr="004040EC">
        <w:trPr>
          <w:trHeight w:val="283"/>
        </w:trPr>
        <w:tc>
          <w:tcPr>
            <w:tcW w:w="709" w:type="dxa"/>
          </w:tcPr>
          <w:p w14:paraId="1DE6F35A" w14:textId="77777777" w:rsidR="00D170E5" w:rsidRPr="002B55E9" w:rsidRDefault="00EF27AD" w:rsidP="004040EC">
            <w:pPr>
              <w:pStyle w:val="lgy-"/>
              <w:rPr>
                <w:rFonts w:eastAsia="宋体"/>
              </w:rPr>
            </w:pPr>
            <w:r w:rsidRPr="002B55E9">
              <w:rPr>
                <w:rFonts w:eastAsia="宋体"/>
              </w:rPr>
              <w:t>过滤</w:t>
            </w:r>
          </w:p>
        </w:tc>
        <w:tc>
          <w:tcPr>
            <w:tcW w:w="2268" w:type="dxa"/>
          </w:tcPr>
          <w:p w14:paraId="40129059" w14:textId="7C11FD99" w:rsidR="00D170E5" w:rsidRPr="002B55E9" w:rsidRDefault="00EF27AD" w:rsidP="00FA05E8">
            <w:pPr>
              <w:pStyle w:val="lgy-"/>
              <w:rPr>
                <w:rFonts w:eastAsia="宋体"/>
              </w:rPr>
            </w:pPr>
            <w:r w:rsidRPr="002B55E9">
              <w:rPr>
                <w:rFonts w:eastAsia="宋体"/>
              </w:rPr>
              <w:t>风味标准液</w:t>
            </w:r>
          </w:p>
        </w:tc>
        <w:tc>
          <w:tcPr>
            <w:tcW w:w="992" w:type="dxa"/>
          </w:tcPr>
          <w:p w14:paraId="23387934" w14:textId="77777777" w:rsidR="00D170E5" w:rsidRPr="002B55E9" w:rsidRDefault="00EF27AD" w:rsidP="004040EC">
            <w:pPr>
              <w:pStyle w:val="lgy-"/>
              <w:rPr>
                <w:rFonts w:eastAsia="宋体"/>
              </w:rPr>
            </w:pPr>
            <w:r w:rsidRPr="002B55E9">
              <w:rPr>
                <w:rFonts w:eastAsia="宋体"/>
              </w:rPr>
              <w:t xml:space="preserve">7.84 </w:t>
            </w:r>
          </w:p>
        </w:tc>
        <w:tc>
          <w:tcPr>
            <w:tcW w:w="851" w:type="dxa"/>
          </w:tcPr>
          <w:p w14:paraId="488E95AF" w14:textId="77777777" w:rsidR="00D170E5" w:rsidRPr="002B55E9" w:rsidRDefault="00EF27AD" w:rsidP="004040EC">
            <w:pPr>
              <w:pStyle w:val="lgy-"/>
              <w:rPr>
                <w:rFonts w:eastAsia="宋体"/>
              </w:rPr>
            </w:pPr>
            <w:r w:rsidRPr="002B55E9">
              <w:rPr>
                <w:rFonts w:eastAsia="宋体"/>
              </w:rPr>
              <w:t>1150</w:t>
            </w:r>
          </w:p>
        </w:tc>
        <w:tc>
          <w:tcPr>
            <w:tcW w:w="760" w:type="dxa"/>
          </w:tcPr>
          <w:p w14:paraId="21113397" w14:textId="77777777" w:rsidR="00D170E5" w:rsidRPr="002B55E9" w:rsidRDefault="00EF27AD" w:rsidP="004040EC">
            <w:pPr>
              <w:pStyle w:val="lgy-"/>
              <w:rPr>
                <w:rFonts w:eastAsia="宋体"/>
              </w:rPr>
            </w:pPr>
            <w:r w:rsidRPr="002B55E9">
              <w:rPr>
                <w:rFonts w:eastAsia="宋体"/>
              </w:rPr>
              <w:t>1.5</w:t>
            </w:r>
          </w:p>
        </w:tc>
        <w:tc>
          <w:tcPr>
            <w:tcW w:w="968" w:type="dxa"/>
          </w:tcPr>
          <w:p w14:paraId="2BF4F99B" w14:textId="472B1277" w:rsidR="00D170E5" w:rsidRPr="002B55E9" w:rsidRDefault="00924AFA" w:rsidP="004040EC">
            <w:pPr>
              <w:pStyle w:val="lgy-"/>
              <w:rPr>
                <w:rFonts w:eastAsia="宋体"/>
              </w:rPr>
            </w:pPr>
            <w:r w:rsidRPr="002B55E9">
              <w:rPr>
                <w:rFonts w:eastAsia="宋体"/>
              </w:rPr>
              <w:t>非甲烷总烃</w:t>
            </w:r>
          </w:p>
        </w:tc>
        <w:tc>
          <w:tcPr>
            <w:tcW w:w="1030" w:type="dxa"/>
          </w:tcPr>
          <w:p w14:paraId="7018694D" w14:textId="77777777" w:rsidR="00D170E5" w:rsidRPr="002B55E9" w:rsidRDefault="00EF27AD" w:rsidP="004040EC">
            <w:pPr>
              <w:pStyle w:val="lgy-"/>
              <w:rPr>
                <w:rFonts w:eastAsia="宋体"/>
              </w:rPr>
            </w:pPr>
            <w:r w:rsidRPr="002B55E9">
              <w:rPr>
                <w:rFonts w:eastAsia="宋体"/>
              </w:rPr>
              <w:t xml:space="preserve">0.438 </w:t>
            </w:r>
          </w:p>
        </w:tc>
        <w:tc>
          <w:tcPr>
            <w:tcW w:w="1030" w:type="dxa"/>
          </w:tcPr>
          <w:p w14:paraId="738C9F70" w14:textId="77777777" w:rsidR="00D170E5" w:rsidRPr="002B55E9" w:rsidRDefault="00EF27AD" w:rsidP="004040EC">
            <w:pPr>
              <w:pStyle w:val="lgy-"/>
              <w:rPr>
                <w:rFonts w:eastAsia="宋体"/>
              </w:rPr>
            </w:pPr>
            <w:r w:rsidRPr="002B55E9">
              <w:rPr>
                <w:rFonts w:eastAsia="宋体"/>
              </w:rPr>
              <w:t xml:space="preserve">0.504 </w:t>
            </w:r>
          </w:p>
        </w:tc>
        <w:tc>
          <w:tcPr>
            <w:tcW w:w="1030" w:type="dxa"/>
          </w:tcPr>
          <w:p w14:paraId="74CD7E40" w14:textId="77777777" w:rsidR="00D170E5" w:rsidRPr="002B55E9" w:rsidRDefault="00EF27AD" w:rsidP="004040EC">
            <w:pPr>
              <w:pStyle w:val="lgy-"/>
              <w:rPr>
                <w:rFonts w:eastAsia="宋体"/>
              </w:rPr>
            </w:pPr>
            <w:r w:rsidRPr="002B55E9">
              <w:rPr>
                <w:rFonts w:eastAsia="宋体"/>
              </w:rPr>
              <w:t xml:space="preserve">0.292 </w:t>
            </w:r>
          </w:p>
        </w:tc>
      </w:tr>
      <w:tr w:rsidR="002B55E9" w:rsidRPr="002B55E9" w14:paraId="3286646A" w14:textId="77777777" w:rsidTr="004040EC">
        <w:trPr>
          <w:trHeight w:val="283"/>
        </w:trPr>
        <w:tc>
          <w:tcPr>
            <w:tcW w:w="709" w:type="dxa"/>
            <w:vMerge w:val="restart"/>
          </w:tcPr>
          <w:p w14:paraId="388E4EBC" w14:textId="77777777" w:rsidR="004040EC" w:rsidRPr="002B55E9" w:rsidRDefault="004040EC" w:rsidP="004040EC">
            <w:pPr>
              <w:pStyle w:val="lgy-"/>
              <w:rPr>
                <w:rFonts w:eastAsia="宋体"/>
              </w:rPr>
            </w:pPr>
            <w:r w:rsidRPr="002B55E9">
              <w:rPr>
                <w:rFonts w:eastAsia="宋体"/>
              </w:rPr>
              <w:t>调配混合</w:t>
            </w:r>
          </w:p>
        </w:tc>
        <w:tc>
          <w:tcPr>
            <w:tcW w:w="2268" w:type="dxa"/>
          </w:tcPr>
          <w:p w14:paraId="466F5BE9" w14:textId="31EC6E97" w:rsidR="004040EC" w:rsidRPr="002B55E9" w:rsidRDefault="004040EC" w:rsidP="00FA05E8">
            <w:pPr>
              <w:pStyle w:val="lgy-"/>
              <w:rPr>
                <w:rFonts w:eastAsia="宋体"/>
              </w:rPr>
            </w:pPr>
            <w:r w:rsidRPr="002B55E9">
              <w:rPr>
                <w:rFonts w:eastAsia="宋体"/>
              </w:rPr>
              <w:t>风味标准液</w:t>
            </w:r>
          </w:p>
        </w:tc>
        <w:tc>
          <w:tcPr>
            <w:tcW w:w="992" w:type="dxa"/>
          </w:tcPr>
          <w:p w14:paraId="3925DCC7" w14:textId="5A4EA580" w:rsidR="004040EC" w:rsidRPr="002B55E9" w:rsidRDefault="004040EC" w:rsidP="004040EC">
            <w:pPr>
              <w:pStyle w:val="lgy-"/>
              <w:rPr>
                <w:rFonts w:eastAsia="宋体"/>
              </w:rPr>
            </w:pPr>
            <w:r w:rsidRPr="002B55E9">
              <w:rPr>
                <w:rFonts w:eastAsia="宋体"/>
              </w:rPr>
              <w:t xml:space="preserve">4.51 </w:t>
            </w:r>
          </w:p>
        </w:tc>
        <w:tc>
          <w:tcPr>
            <w:tcW w:w="851" w:type="dxa"/>
            <w:vMerge w:val="restart"/>
          </w:tcPr>
          <w:p w14:paraId="7C937DAE" w14:textId="5ECD191B" w:rsidR="004040EC" w:rsidRPr="002B55E9" w:rsidRDefault="004040EC" w:rsidP="004040EC">
            <w:pPr>
              <w:pStyle w:val="lgy-"/>
              <w:rPr>
                <w:rFonts w:eastAsia="宋体"/>
              </w:rPr>
            </w:pPr>
            <w:r w:rsidRPr="002B55E9">
              <w:rPr>
                <w:rFonts w:eastAsia="宋体"/>
              </w:rPr>
              <w:t>2000</w:t>
            </w:r>
          </w:p>
        </w:tc>
        <w:tc>
          <w:tcPr>
            <w:tcW w:w="760" w:type="dxa"/>
            <w:vMerge w:val="restart"/>
          </w:tcPr>
          <w:p w14:paraId="41496FAD" w14:textId="77777777" w:rsidR="004040EC" w:rsidRPr="002B55E9" w:rsidRDefault="004040EC" w:rsidP="004040EC">
            <w:pPr>
              <w:pStyle w:val="lgy-"/>
              <w:rPr>
                <w:rFonts w:eastAsia="宋体"/>
              </w:rPr>
            </w:pPr>
            <w:r w:rsidRPr="002B55E9">
              <w:rPr>
                <w:rFonts w:eastAsia="宋体"/>
              </w:rPr>
              <w:t>3</w:t>
            </w:r>
          </w:p>
        </w:tc>
        <w:tc>
          <w:tcPr>
            <w:tcW w:w="968" w:type="dxa"/>
            <w:vMerge w:val="restart"/>
          </w:tcPr>
          <w:p w14:paraId="394E163E" w14:textId="7C63F8D2" w:rsidR="004040EC" w:rsidRPr="002B55E9" w:rsidRDefault="004040EC" w:rsidP="004040EC">
            <w:pPr>
              <w:pStyle w:val="lgy-"/>
              <w:rPr>
                <w:rFonts w:eastAsia="宋体"/>
              </w:rPr>
            </w:pPr>
            <w:r w:rsidRPr="002B55E9">
              <w:rPr>
                <w:rFonts w:eastAsia="宋体"/>
              </w:rPr>
              <w:t>非甲烷总烃</w:t>
            </w:r>
          </w:p>
        </w:tc>
        <w:tc>
          <w:tcPr>
            <w:tcW w:w="1030" w:type="dxa"/>
            <w:vMerge w:val="restart"/>
          </w:tcPr>
          <w:p w14:paraId="03B80C90" w14:textId="2701CAE7" w:rsidR="004040EC" w:rsidRPr="002B55E9" w:rsidRDefault="004040EC" w:rsidP="004040EC">
            <w:pPr>
              <w:pStyle w:val="lgy-"/>
              <w:rPr>
                <w:rFonts w:eastAsia="宋体"/>
              </w:rPr>
            </w:pPr>
            <w:r w:rsidRPr="002B55E9">
              <w:rPr>
                <w:rFonts w:eastAsia="宋体"/>
              </w:rPr>
              <w:t>1.844</w:t>
            </w:r>
          </w:p>
        </w:tc>
        <w:tc>
          <w:tcPr>
            <w:tcW w:w="1030" w:type="dxa"/>
            <w:vMerge w:val="restart"/>
          </w:tcPr>
          <w:p w14:paraId="46C6A117" w14:textId="77777777" w:rsidR="004040EC" w:rsidRPr="002B55E9" w:rsidRDefault="004040EC" w:rsidP="004040EC">
            <w:pPr>
              <w:pStyle w:val="lgy-"/>
              <w:rPr>
                <w:rFonts w:eastAsia="宋体"/>
              </w:rPr>
            </w:pPr>
            <w:r w:rsidRPr="002B55E9">
              <w:rPr>
                <w:rFonts w:eastAsia="宋体"/>
              </w:rPr>
              <w:t xml:space="preserve">3.688 </w:t>
            </w:r>
          </w:p>
        </w:tc>
        <w:tc>
          <w:tcPr>
            <w:tcW w:w="1030" w:type="dxa"/>
            <w:vMerge w:val="restart"/>
          </w:tcPr>
          <w:p w14:paraId="4D1ED2B6" w14:textId="004CF812" w:rsidR="004040EC" w:rsidRPr="002B55E9" w:rsidRDefault="004040EC" w:rsidP="004040EC">
            <w:pPr>
              <w:pStyle w:val="lgy-"/>
              <w:rPr>
                <w:rFonts w:eastAsia="宋体"/>
              </w:rPr>
            </w:pPr>
            <w:r w:rsidRPr="002B55E9">
              <w:rPr>
                <w:rFonts w:eastAsia="宋体"/>
              </w:rPr>
              <w:t>0.615</w:t>
            </w:r>
          </w:p>
        </w:tc>
      </w:tr>
      <w:tr w:rsidR="002B55E9" w:rsidRPr="002B55E9" w14:paraId="63FB74BD" w14:textId="77777777" w:rsidTr="004040EC">
        <w:trPr>
          <w:trHeight w:val="283"/>
        </w:trPr>
        <w:tc>
          <w:tcPr>
            <w:tcW w:w="709" w:type="dxa"/>
            <w:vMerge/>
          </w:tcPr>
          <w:p w14:paraId="68C6F73E" w14:textId="77777777" w:rsidR="004040EC" w:rsidRPr="002B55E9" w:rsidRDefault="004040EC" w:rsidP="004040EC">
            <w:pPr>
              <w:pStyle w:val="lgy-"/>
              <w:rPr>
                <w:rFonts w:eastAsia="宋体"/>
              </w:rPr>
            </w:pPr>
          </w:p>
        </w:tc>
        <w:tc>
          <w:tcPr>
            <w:tcW w:w="2268" w:type="dxa"/>
          </w:tcPr>
          <w:p w14:paraId="34080354" w14:textId="0DCE2507" w:rsidR="004040EC" w:rsidRPr="002B55E9" w:rsidRDefault="004040EC" w:rsidP="004040EC">
            <w:pPr>
              <w:pStyle w:val="lgy-"/>
              <w:rPr>
                <w:rFonts w:eastAsia="宋体"/>
              </w:rPr>
            </w:pPr>
          </w:p>
        </w:tc>
        <w:tc>
          <w:tcPr>
            <w:tcW w:w="992" w:type="dxa"/>
          </w:tcPr>
          <w:p w14:paraId="32748662" w14:textId="4CC4AA84" w:rsidR="004040EC" w:rsidRPr="002B55E9" w:rsidRDefault="004040EC" w:rsidP="004040EC">
            <w:pPr>
              <w:pStyle w:val="lgy-"/>
              <w:rPr>
                <w:rFonts w:eastAsia="宋体"/>
              </w:rPr>
            </w:pPr>
            <w:r w:rsidRPr="002B55E9">
              <w:rPr>
                <w:rFonts w:eastAsia="宋体"/>
              </w:rPr>
              <w:t xml:space="preserve">25.95 </w:t>
            </w:r>
          </w:p>
        </w:tc>
        <w:tc>
          <w:tcPr>
            <w:tcW w:w="851" w:type="dxa"/>
            <w:vMerge/>
          </w:tcPr>
          <w:p w14:paraId="3B54216A" w14:textId="77777777" w:rsidR="004040EC" w:rsidRPr="002B55E9" w:rsidRDefault="004040EC" w:rsidP="004040EC">
            <w:pPr>
              <w:pStyle w:val="lgy-"/>
              <w:rPr>
                <w:rFonts w:eastAsia="宋体"/>
              </w:rPr>
            </w:pPr>
          </w:p>
        </w:tc>
        <w:tc>
          <w:tcPr>
            <w:tcW w:w="760" w:type="dxa"/>
            <w:vMerge/>
          </w:tcPr>
          <w:p w14:paraId="2592A1BF" w14:textId="77777777" w:rsidR="004040EC" w:rsidRPr="002B55E9" w:rsidRDefault="004040EC" w:rsidP="004040EC">
            <w:pPr>
              <w:pStyle w:val="lgy-"/>
              <w:rPr>
                <w:rFonts w:eastAsia="宋体"/>
              </w:rPr>
            </w:pPr>
          </w:p>
        </w:tc>
        <w:tc>
          <w:tcPr>
            <w:tcW w:w="968" w:type="dxa"/>
            <w:vMerge/>
          </w:tcPr>
          <w:p w14:paraId="0553E5BF" w14:textId="77777777" w:rsidR="004040EC" w:rsidRPr="002B55E9" w:rsidRDefault="004040EC" w:rsidP="004040EC">
            <w:pPr>
              <w:pStyle w:val="lgy-"/>
              <w:rPr>
                <w:rFonts w:eastAsia="宋体"/>
              </w:rPr>
            </w:pPr>
          </w:p>
        </w:tc>
        <w:tc>
          <w:tcPr>
            <w:tcW w:w="1030" w:type="dxa"/>
            <w:vMerge/>
          </w:tcPr>
          <w:p w14:paraId="7EA17D31" w14:textId="77777777" w:rsidR="004040EC" w:rsidRPr="002B55E9" w:rsidRDefault="004040EC" w:rsidP="004040EC">
            <w:pPr>
              <w:pStyle w:val="lgy-"/>
              <w:rPr>
                <w:rFonts w:eastAsia="宋体"/>
              </w:rPr>
            </w:pPr>
          </w:p>
        </w:tc>
        <w:tc>
          <w:tcPr>
            <w:tcW w:w="1030" w:type="dxa"/>
            <w:vMerge/>
          </w:tcPr>
          <w:p w14:paraId="144CB278" w14:textId="77777777" w:rsidR="004040EC" w:rsidRPr="002B55E9" w:rsidRDefault="004040EC" w:rsidP="004040EC">
            <w:pPr>
              <w:pStyle w:val="lgy-"/>
              <w:rPr>
                <w:rFonts w:eastAsia="宋体"/>
              </w:rPr>
            </w:pPr>
          </w:p>
        </w:tc>
        <w:tc>
          <w:tcPr>
            <w:tcW w:w="1030" w:type="dxa"/>
            <w:vMerge/>
          </w:tcPr>
          <w:p w14:paraId="5D676E33" w14:textId="77777777" w:rsidR="004040EC" w:rsidRPr="002B55E9" w:rsidRDefault="004040EC" w:rsidP="004040EC">
            <w:pPr>
              <w:pStyle w:val="lgy-"/>
              <w:rPr>
                <w:rFonts w:eastAsia="宋体"/>
              </w:rPr>
            </w:pPr>
          </w:p>
        </w:tc>
      </w:tr>
      <w:tr w:rsidR="002B55E9" w:rsidRPr="002B55E9" w14:paraId="26171520" w14:textId="77777777" w:rsidTr="004040EC">
        <w:trPr>
          <w:trHeight w:val="283"/>
        </w:trPr>
        <w:tc>
          <w:tcPr>
            <w:tcW w:w="709" w:type="dxa"/>
            <w:vMerge/>
          </w:tcPr>
          <w:p w14:paraId="40BA6B2D" w14:textId="77777777" w:rsidR="004040EC" w:rsidRPr="002B55E9" w:rsidRDefault="004040EC" w:rsidP="004040EC">
            <w:pPr>
              <w:pStyle w:val="lgy-"/>
              <w:rPr>
                <w:rFonts w:eastAsia="宋体"/>
              </w:rPr>
            </w:pPr>
          </w:p>
        </w:tc>
        <w:tc>
          <w:tcPr>
            <w:tcW w:w="2268" w:type="dxa"/>
          </w:tcPr>
          <w:p w14:paraId="4AAE6222" w14:textId="67CF8095" w:rsidR="004040EC" w:rsidRPr="002B55E9" w:rsidRDefault="004040EC" w:rsidP="00FA05E8">
            <w:pPr>
              <w:pStyle w:val="lgy-"/>
              <w:rPr>
                <w:rFonts w:eastAsia="宋体"/>
              </w:rPr>
            </w:pPr>
            <w:r w:rsidRPr="002B55E9">
              <w:rPr>
                <w:rFonts w:eastAsia="宋体"/>
              </w:rPr>
              <w:t>黄酒</w:t>
            </w:r>
          </w:p>
        </w:tc>
        <w:tc>
          <w:tcPr>
            <w:tcW w:w="992" w:type="dxa"/>
          </w:tcPr>
          <w:p w14:paraId="1EF78274" w14:textId="19A98D83" w:rsidR="004040EC" w:rsidRPr="002B55E9" w:rsidRDefault="004040EC" w:rsidP="004040EC">
            <w:pPr>
              <w:pStyle w:val="lgy-"/>
              <w:rPr>
                <w:rFonts w:eastAsia="宋体"/>
              </w:rPr>
            </w:pPr>
            <w:r w:rsidRPr="002B55E9">
              <w:rPr>
                <w:rFonts w:eastAsia="宋体"/>
              </w:rPr>
              <w:t xml:space="preserve">5.27 </w:t>
            </w:r>
          </w:p>
        </w:tc>
        <w:tc>
          <w:tcPr>
            <w:tcW w:w="851" w:type="dxa"/>
            <w:vMerge/>
          </w:tcPr>
          <w:p w14:paraId="1854564A" w14:textId="77777777" w:rsidR="004040EC" w:rsidRPr="002B55E9" w:rsidRDefault="004040EC" w:rsidP="004040EC">
            <w:pPr>
              <w:pStyle w:val="lgy-"/>
              <w:rPr>
                <w:rFonts w:eastAsia="宋体"/>
              </w:rPr>
            </w:pPr>
          </w:p>
        </w:tc>
        <w:tc>
          <w:tcPr>
            <w:tcW w:w="760" w:type="dxa"/>
            <w:vMerge/>
          </w:tcPr>
          <w:p w14:paraId="767F068F" w14:textId="77777777" w:rsidR="004040EC" w:rsidRPr="002B55E9" w:rsidRDefault="004040EC" w:rsidP="004040EC">
            <w:pPr>
              <w:pStyle w:val="lgy-"/>
              <w:rPr>
                <w:rFonts w:eastAsia="宋体"/>
              </w:rPr>
            </w:pPr>
          </w:p>
        </w:tc>
        <w:tc>
          <w:tcPr>
            <w:tcW w:w="968" w:type="dxa"/>
            <w:vMerge/>
          </w:tcPr>
          <w:p w14:paraId="022B8634" w14:textId="77777777" w:rsidR="004040EC" w:rsidRPr="002B55E9" w:rsidRDefault="004040EC" w:rsidP="004040EC">
            <w:pPr>
              <w:pStyle w:val="lgy-"/>
              <w:rPr>
                <w:rFonts w:eastAsia="宋体"/>
              </w:rPr>
            </w:pPr>
          </w:p>
        </w:tc>
        <w:tc>
          <w:tcPr>
            <w:tcW w:w="1030" w:type="dxa"/>
            <w:vMerge/>
          </w:tcPr>
          <w:p w14:paraId="5AC81BE1" w14:textId="77777777" w:rsidR="004040EC" w:rsidRPr="002B55E9" w:rsidRDefault="004040EC" w:rsidP="004040EC">
            <w:pPr>
              <w:pStyle w:val="lgy-"/>
              <w:rPr>
                <w:rFonts w:eastAsia="宋体"/>
              </w:rPr>
            </w:pPr>
          </w:p>
        </w:tc>
        <w:tc>
          <w:tcPr>
            <w:tcW w:w="1030" w:type="dxa"/>
            <w:vMerge/>
          </w:tcPr>
          <w:p w14:paraId="49E28046" w14:textId="77777777" w:rsidR="004040EC" w:rsidRPr="002B55E9" w:rsidRDefault="004040EC" w:rsidP="004040EC">
            <w:pPr>
              <w:pStyle w:val="lgy-"/>
              <w:rPr>
                <w:rFonts w:eastAsia="宋体"/>
              </w:rPr>
            </w:pPr>
          </w:p>
        </w:tc>
        <w:tc>
          <w:tcPr>
            <w:tcW w:w="1030" w:type="dxa"/>
            <w:vMerge/>
          </w:tcPr>
          <w:p w14:paraId="115FDFBD" w14:textId="77777777" w:rsidR="004040EC" w:rsidRPr="002B55E9" w:rsidRDefault="004040EC" w:rsidP="004040EC">
            <w:pPr>
              <w:pStyle w:val="lgy-"/>
              <w:rPr>
                <w:rFonts w:eastAsia="宋体"/>
              </w:rPr>
            </w:pPr>
          </w:p>
        </w:tc>
      </w:tr>
    </w:tbl>
    <w:p w14:paraId="5E9240B1" w14:textId="1E8B6192" w:rsidR="00D170E5" w:rsidRPr="002B55E9" w:rsidRDefault="00EF27AD">
      <w:pPr>
        <w:pStyle w:val="affff7"/>
        <w:snapToGrid w:val="0"/>
        <w:spacing w:after="0"/>
      </w:pPr>
      <w:r w:rsidRPr="002B55E9">
        <w:rPr>
          <w:rFonts w:hint="eastAsia"/>
        </w:rPr>
        <w:t>拟建项目料酒生产线</w:t>
      </w:r>
      <w:r w:rsidRPr="002B55E9">
        <w:t>的各投料环节位于</w:t>
      </w:r>
      <w:r w:rsidRPr="002B55E9">
        <w:rPr>
          <w:rFonts w:hint="eastAsia"/>
        </w:rPr>
        <w:t>十三车间，</w:t>
      </w:r>
      <w:r w:rsidR="006B6D10" w:rsidRPr="002B55E9">
        <w:rPr>
          <w:rFonts w:hint="eastAsia"/>
        </w:rPr>
        <w:t>有机液体</w:t>
      </w:r>
      <w:r w:rsidR="008F236A" w:rsidRPr="002B55E9">
        <w:rPr>
          <w:rFonts w:hint="eastAsia"/>
        </w:rPr>
        <w:t>均为底部进料，投料过程各搅拌罐的投料口为密闭状态，投料废气经带有缓冲阀的排气管道密闭收集进入十三车间集气总管后进入二级碱喷淋</w:t>
      </w:r>
      <w:r w:rsidR="008F236A" w:rsidRPr="002B55E9">
        <w:rPr>
          <w:rFonts w:hint="eastAsia"/>
        </w:rPr>
        <w:t>+</w:t>
      </w:r>
      <w:r w:rsidR="008F236A" w:rsidRPr="002B55E9">
        <w:rPr>
          <w:rFonts w:hint="eastAsia"/>
        </w:rPr>
        <w:t>水喷淋装置处理后由</w:t>
      </w:r>
      <w:r w:rsidR="008F236A" w:rsidRPr="002B55E9">
        <w:rPr>
          <w:rFonts w:hint="eastAsia"/>
        </w:rPr>
        <w:t>18m</w:t>
      </w:r>
      <w:r w:rsidR="008F236A" w:rsidRPr="002B55E9">
        <w:rPr>
          <w:rFonts w:hint="eastAsia"/>
        </w:rPr>
        <w:t>高</w:t>
      </w:r>
      <w:r w:rsidR="008F236A" w:rsidRPr="002B55E9">
        <w:t>排气筒</w:t>
      </w:r>
      <w:r w:rsidR="008F236A" w:rsidRPr="002B55E9">
        <w:rPr>
          <w:rFonts w:hint="eastAsia"/>
        </w:rPr>
        <w:t>（</w:t>
      </w:r>
      <w:r w:rsidR="008F236A" w:rsidRPr="002B55E9">
        <w:rPr>
          <w:rFonts w:hint="eastAsia"/>
        </w:rPr>
        <w:t>D</w:t>
      </w:r>
      <w:r w:rsidR="008F236A" w:rsidRPr="002B55E9">
        <w:t>A002</w:t>
      </w:r>
      <w:r w:rsidR="008F236A" w:rsidRPr="002B55E9">
        <w:rPr>
          <w:rFonts w:hint="eastAsia"/>
        </w:rPr>
        <w:t>）</w:t>
      </w:r>
      <w:r w:rsidR="008F236A" w:rsidRPr="002B55E9">
        <w:t>排放</w:t>
      </w:r>
      <w:r w:rsidR="008F236A" w:rsidRPr="002B55E9">
        <w:rPr>
          <w:rFonts w:hint="eastAsia"/>
        </w:rPr>
        <w:t>，该过程废气完全收集，二级碱喷淋</w:t>
      </w:r>
      <w:r w:rsidR="008F236A" w:rsidRPr="002B55E9">
        <w:rPr>
          <w:rFonts w:hint="eastAsia"/>
        </w:rPr>
        <w:t>+</w:t>
      </w:r>
      <w:r w:rsidR="008F236A" w:rsidRPr="002B55E9">
        <w:rPr>
          <w:rFonts w:hint="eastAsia"/>
        </w:rPr>
        <w:t>水喷淋装置</w:t>
      </w:r>
      <w:r w:rsidRPr="002B55E9">
        <w:rPr>
          <w:rFonts w:hint="eastAsia"/>
        </w:rPr>
        <w:t>对乙醇的</w:t>
      </w:r>
      <w:r w:rsidR="008F236A" w:rsidRPr="002B55E9">
        <w:rPr>
          <w:rFonts w:hint="eastAsia"/>
        </w:rPr>
        <w:t>处理</w:t>
      </w:r>
      <w:r w:rsidRPr="002B55E9">
        <w:rPr>
          <w:rFonts w:hint="eastAsia"/>
        </w:rPr>
        <w:t>效率以</w:t>
      </w:r>
      <w:r w:rsidRPr="002B55E9">
        <w:rPr>
          <w:rFonts w:hint="eastAsia"/>
        </w:rPr>
        <w:t>8</w:t>
      </w:r>
      <w:r w:rsidR="008F236A" w:rsidRPr="002B55E9">
        <w:t>5</w:t>
      </w:r>
      <w:r w:rsidRPr="002B55E9">
        <w:rPr>
          <w:rFonts w:hint="eastAsia"/>
        </w:rPr>
        <w:t>%</w:t>
      </w:r>
      <w:r w:rsidRPr="002B55E9">
        <w:rPr>
          <w:rFonts w:hint="eastAsia"/>
        </w:rPr>
        <w:t>计。投料废气产排情况如下表</w:t>
      </w:r>
      <w:r w:rsidRPr="002B55E9">
        <w:t>所示。</w:t>
      </w:r>
    </w:p>
    <w:p w14:paraId="2BC8BEDD"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-3-5  </w:t>
      </w:r>
      <w:r w:rsidRPr="002B55E9">
        <w:rPr>
          <w:rFonts w:hint="eastAsia"/>
        </w:rPr>
        <w:t>投料废气产生及排放情况一览表</w:t>
      </w:r>
    </w:p>
    <w:tbl>
      <w:tblPr>
        <w:tblStyle w:val="lgy2"/>
        <w:tblW w:w="5000" w:type="pct"/>
        <w:tblLayout w:type="fixed"/>
        <w:tblCellMar>
          <w:left w:w="28" w:type="dxa"/>
          <w:right w:w="28" w:type="dxa"/>
        </w:tblCellMar>
        <w:tblLook w:val="04A0" w:firstRow="1" w:lastRow="0" w:firstColumn="1" w:lastColumn="0" w:noHBand="0" w:noVBand="1"/>
      </w:tblPr>
      <w:tblGrid>
        <w:gridCol w:w="1141"/>
        <w:gridCol w:w="710"/>
        <w:gridCol w:w="997"/>
        <w:gridCol w:w="853"/>
        <w:gridCol w:w="946"/>
        <w:gridCol w:w="699"/>
        <w:gridCol w:w="915"/>
        <w:gridCol w:w="490"/>
        <w:gridCol w:w="480"/>
        <w:gridCol w:w="902"/>
        <w:gridCol w:w="1016"/>
        <w:gridCol w:w="545"/>
      </w:tblGrid>
      <w:tr w:rsidR="002B55E9" w:rsidRPr="002B55E9" w14:paraId="67EB5ED4" w14:textId="77777777" w:rsidTr="008F236A">
        <w:trPr>
          <w:cnfStyle w:val="100000000000" w:firstRow="1" w:lastRow="0" w:firstColumn="0" w:lastColumn="0" w:oddVBand="0" w:evenVBand="0" w:oddHBand="0" w:evenHBand="0" w:firstRowFirstColumn="0" w:firstRowLastColumn="0" w:lastRowFirstColumn="0" w:lastRowLastColumn="0"/>
          <w:trHeight w:val="283"/>
        </w:trPr>
        <w:tc>
          <w:tcPr>
            <w:tcW w:w="1134" w:type="dxa"/>
            <w:vMerge w:val="restart"/>
            <w:noWrap/>
          </w:tcPr>
          <w:p w14:paraId="4F4EE1BA" w14:textId="77777777" w:rsidR="00D170E5" w:rsidRPr="002B55E9" w:rsidRDefault="00EF27AD" w:rsidP="008F236A">
            <w:pPr>
              <w:pStyle w:val="lgy-"/>
              <w:rPr>
                <w:rFonts w:eastAsia="宋体"/>
              </w:rPr>
            </w:pPr>
            <w:r w:rsidRPr="002B55E9">
              <w:rPr>
                <w:rFonts w:eastAsia="宋体"/>
              </w:rPr>
              <w:t>产生环节</w:t>
            </w:r>
          </w:p>
        </w:tc>
        <w:tc>
          <w:tcPr>
            <w:tcW w:w="706" w:type="dxa"/>
            <w:vMerge w:val="restart"/>
          </w:tcPr>
          <w:p w14:paraId="20367450" w14:textId="77777777" w:rsidR="00D170E5" w:rsidRPr="002B55E9" w:rsidRDefault="00EF27AD" w:rsidP="008F236A">
            <w:pPr>
              <w:pStyle w:val="lgy-"/>
              <w:rPr>
                <w:rFonts w:eastAsia="宋体"/>
              </w:rPr>
            </w:pPr>
            <w:r w:rsidRPr="002B55E9">
              <w:rPr>
                <w:rFonts w:eastAsia="宋体"/>
              </w:rPr>
              <w:t>污染物</w:t>
            </w:r>
          </w:p>
        </w:tc>
        <w:tc>
          <w:tcPr>
            <w:tcW w:w="2780" w:type="dxa"/>
            <w:gridSpan w:val="3"/>
          </w:tcPr>
          <w:p w14:paraId="6418EF70" w14:textId="77777777" w:rsidR="00D170E5" w:rsidRPr="002B55E9" w:rsidRDefault="00EF27AD" w:rsidP="008F236A">
            <w:pPr>
              <w:pStyle w:val="lgy-"/>
              <w:rPr>
                <w:rFonts w:eastAsia="宋体"/>
              </w:rPr>
            </w:pPr>
            <w:r w:rsidRPr="002B55E9">
              <w:rPr>
                <w:rFonts w:eastAsia="宋体"/>
              </w:rPr>
              <w:t>污染物产生</w:t>
            </w:r>
          </w:p>
        </w:tc>
        <w:tc>
          <w:tcPr>
            <w:tcW w:w="1605" w:type="dxa"/>
            <w:gridSpan w:val="2"/>
          </w:tcPr>
          <w:p w14:paraId="2BA67561" w14:textId="77777777" w:rsidR="00D170E5" w:rsidRPr="002B55E9" w:rsidRDefault="00EF27AD" w:rsidP="008F236A">
            <w:pPr>
              <w:pStyle w:val="lgy-"/>
              <w:rPr>
                <w:rFonts w:eastAsia="宋体"/>
              </w:rPr>
            </w:pPr>
            <w:r w:rsidRPr="002B55E9">
              <w:rPr>
                <w:rFonts w:eastAsia="宋体"/>
              </w:rPr>
              <w:t>废气收集</w:t>
            </w:r>
          </w:p>
        </w:tc>
        <w:tc>
          <w:tcPr>
            <w:tcW w:w="964" w:type="dxa"/>
            <w:gridSpan w:val="2"/>
          </w:tcPr>
          <w:p w14:paraId="2BF1CDFA" w14:textId="77777777" w:rsidR="00D170E5" w:rsidRPr="002B55E9" w:rsidRDefault="00EF27AD" w:rsidP="008F236A">
            <w:pPr>
              <w:pStyle w:val="lgy-"/>
              <w:rPr>
                <w:rFonts w:eastAsia="宋体"/>
              </w:rPr>
            </w:pPr>
            <w:r w:rsidRPr="002B55E9">
              <w:rPr>
                <w:rFonts w:eastAsia="宋体"/>
              </w:rPr>
              <w:t>治理措施</w:t>
            </w:r>
          </w:p>
        </w:tc>
        <w:tc>
          <w:tcPr>
            <w:tcW w:w="2449" w:type="dxa"/>
            <w:gridSpan w:val="3"/>
          </w:tcPr>
          <w:p w14:paraId="7677AB16" w14:textId="77777777" w:rsidR="00D170E5" w:rsidRPr="002B55E9" w:rsidRDefault="00EF27AD" w:rsidP="008F236A">
            <w:pPr>
              <w:pStyle w:val="lgy-"/>
              <w:rPr>
                <w:rFonts w:eastAsia="宋体"/>
              </w:rPr>
            </w:pPr>
            <w:r w:rsidRPr="002B55E9">
              <w:rPr>
                <w:rFonts w:eastAsia="宋体"/>
              </w:rPr>
              <w:t>有组织排放（</w:t>
            </w:r>
            <w:r w:rsidRPr="002B55E9">
              <w:rPr>
                <w:rFonts w:eastAsia="宋体"/>
              </w:rPr>
              <w:t>DA002</w:t>
            </w:r>
            <w:r w:rsidRPr="002B55E9">
              <w:rPr>
                <w:rFonts w:eastAsia="宋体"/>
              </w:rPr>
              <w:t>）</w:t>
            </w:r>
          </w:p>
        </w:tc>
      </w:tr>
      <w:tr w:rsidR="002B55E9" w:rsidRPr="002B55E9" w14:paraId="1F1B4670" w14:textId="77777777" w:rsidTr="008F236A">
        <w:trPr>
          <w:trHeight w:val="283"/>
        </w:trPr>
        <w:tc>
          <w:tcPr>
            <w:tcW w:w="1134" w:type="dxa"/>
            <w:vMerge/>
          </w:tcPr>
          <w:p w14:paraId="4BA1E453" w14:textId="77777777" w:rsidR="00D170E5" w:rsidRPr="002B55E9" w:rsidRDefault="00D170E5" w:rsidP="008F236A">
            <w:pPr>
              <w:pStyle w:val="lgy-"/>
              <w:rPr>
                <w:rFonts w:eastAsia="宋体"/>
              </w:rPr>
            </w:pPr>
          </w:p>
        </w:tc>
        <w:tc>
          <w:tcPr>
            <w:tcW w:w="706" w:type="dxa"/>
            <w:vMerge/>
          </w:tcPr>
          <w:p w14:paraId="1CC120EB" w14:textId="77777777" w:rsidR="00D170E5" w:rsidRPr="002B55E9" w:rsidRDefault="00D170E5" w:rsidP="008F236A">
            <w:pPr>
              <w:pStyle w:val="lgy-"/>
              <w:rPr>
                <w:rFonts w:eastAsia="宋体"/>
              </w:rPr>
            </w:pPr>
          </w:p>
        </w:tc>
        <w:tc>
          <w:tcPr>
            <w:tcW w:w="991" w:type="dxa"/>
          </w:tcPr>
          <w:p w14:paraId="381885E7" w14:textId="77777777" w:rsidR="00D170E5" w:rsidRPr="002B55E9" w:rsidRDefault="00EF27AD" w:rsidP="008F236A">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848" w:type="dxa"/>
          </w:tcPr>
          <w:p w14:paraId="1FD5C10B" w14:textId="77777777" w:rsidR="00D170E5" w:rsidRPr="002B55E9" w:rsidRDefault="00EF27AD" w:rsidP="008F236A">
            <w:pPr>
              <w:pStyle w:val="lgy-"/>
              <w:rPr>
                <w:rFonts w:eastAsia="宋体"/>
              </w:rPr>
            </w:pPr>
            <w:r w:rsidRPr="002B55E9">
              <w:rPr>
                <w:rFonts w:eastAsia="宋体"/>
              </w:rPr>
              <w:t>产生速率（</w:t>
            </w:r>
            <w:r w:rsidRPr="002B55E9">
              <w:rPr>
                <w:rFonts w:eastAsia="宋体"/>
              </w:rPr>
              <w:t>kg/h)</w:t>
            </w:r>
          </w:p>
        </w:tc>
        <w:tc>
          <w:tcPr>
            <w:tcW w:w="941" w:type="dxa"/>
          </w:tcPr>
          <w:p w14:paraId="665B7978" w14:textId="77777777" w:rsidR="00D170E5" w:rsidRPr="002B55E9" w:rsidRDefault="00EF27AD" w:rsidP="008F236A">
            <w:pPr>
              <w:pStyle w:val="lgy-"/>
              <w:rPr>
                <w:rFonts w:eastAsia="宋体"/>
              </w:rPr>
            </w:pPr>
            <w:r w:rsidRPr="002B55E9">
              <w:rPr>
                <w:rFonts w:eastAsia="宋体"/>
              </w:rPr>
              <w:t>产生量</w:t>
            </w:r>
            <w:r w:rsidRPr="002B55E9">
              <w:rPr>
                <w:rFonts w:eastAsia="宋体"/>
              </w:rPr>
              <w:t>(t/a)</w:t>
            </w:r>
          </w:p>
        </w:tc>
        <w:tc>
          <w:tcPr>
            <w:tcW w:w="695" w:type="dxa"/>
          </w:tcPr>
          <w:p w14:paraId="5E4FCC74" w14:textId="77777777" w:rsidR="00D170E5" w:rsidRPr="002B55E9" w:rsidRDefault="00EF27AD" w:rsidP="008F236A">
            <w:pPr>
              <w:pStyle w:val="lgy-"/>
              <w:rPr>
                <w:rFonts w:eastAsia="宋体"/>
              </w:rPr>
            </w:pPr>
            <w:r w:rsidRPr="002B55E9">
              <w:rPr>
                <w:rFonts w:eastAsia="宋体" w:hint="eastAsia"/>
              </w:rPr>
              <w:t>收集方式</w:t>
            </w:r>
          </w:p>
        </w:tc>
        <w:tc>
          <w:tcPr>
            <w:tcW w:w="910" w:type="dxa"/>
          </w:tcPr>
          <w:p w14:paraId="36637281" w14:textId="77777777" w:rsidR="00D170E5" w:rsidRPr="002B55E9" w:rsidRDefault="00EF27AD" w:rsidP="008F236A">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487" w:type="dxa"/>
          </w:tcPr>
          <w:p w14:paraId="202C9C14" w14:textId="77777777" w:rsidR="00D170E5" w:rsidRPr="002B55E9" w:rsidRDefault="00EF27AD" w:rsidP="008F236A">
            <w:pPr>
              <w:pStyle w:val="lgy-"/>
              <w:rPr>
                <w:rFonts w:eastAsia="宋体"/>
              </w:rPr>
            </w:pPr>
            <w:r w:rsidRPr="002B55E9">
              <w:rPr>
                <w:rFonts w:eastAsia="宋体"/>
              </w:rPr>
              <w:t>工艺</w:t>
            </w:r>
          </w:p>
        </w:tc>
        <w:tc>
          <w:tcPr>
            <w:tcW w:w="477" w:type="dxa"/>
          </w:tcPr>
          <w:p w14:paraId="6A6C5D3E" w14:textId="77777777" w:rsidR="00D170E5" w:rsidRPr="002B55E9" w:rsidRDefault="00EF27AD" w:rsidP="008F236A">
            <w:pPr>
              <w:pStyle w:val="lgy-"/>
              <w:rPr>
                <w:rFonts w:eastAsia="宋体"/>
              </w:rPr>
            </w:pPr>
            <w:r w:rsidRPr="002B55E9">
              <w:rPr>
                <w:rFonts w:eastAsia="宋体"/>
              </w:rPr>
              <w:t>效率</w:t>
            </w:r>
          </w:p>
        </w:tc>
        <w:tc>
          <w:tcPr>
            <w:tcW w:w="897" w:type="dxa"/>
          </w:tcPr>
          <w:p w14:paraId="5A41F348" w14:textId="77777777" w:rsidR="00D170E5" w:rsidRPr="002B55E9" w:rsidRDefault="00EF27AD" w:rsidP="008F236A">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1010" w:type="dxa"/>
          </w:tcPr>
          <w:p w14:paraId="2F1EF03E" w14:textId="77777777" w:rsidR="00D170E5" w:rsidRPr="002B55E9" w:rsidRDefault="00EF27AD" w:rsidP="008F236A">
            <w:pPr>
              <w:pStyle w:val="lgy-"/>
              <w:rPr>
                <w:rFonts w:eastAsia="宋体"/>
              </w:rPr>
            </w:pPr>
            <w:r w:rsidRPr="002B55E9">
              <w:rPr>
                <w:rFonts w:eastAsia="宋体"/>
              </w:rPr>
              <w:t>排放速率（</w:t>
            </w:r>
            <w:r w:rsidRPr="002B55E9">
              <w:rPr>
                <w:rFonts w:eastAsia="宋体"/>
              </w:rPr>
              <w:t>kg/h)</w:t>
            </w:r>
          </w:p>
        </w:tc>
        <w:tc>
          <w:tcPr>
            <w:tcW w:w="542" w:type="dxa"/>
          </w:tcPr>
          <w:p w14:paraId="50F34141" w14:textId="77777777" w:rsidR="00D170E5" w:rsidRPr="002B55E9" w:rsidRDefault="00EF27AD" w:rsidP="008F236A">
            <w:pPr>
              <w:pStyle w:val="lgy-"/>
              <w:rPr>
                <w:rFonts w:eastAsia="宋体"/>
              </w:rPr>
            </w:pPr>
            <w:r w:rsidRPr="002B55E9">
              <w:rPr>
                <w:rFonts w:eastAsia="宋体"/>
              </w:rPr>
              <w:t>排放量</w:t>
            </w:r>
            <w:r w:rsidRPr="002B55E9">
              <w:rPr>
                <w:rFonts w:eastAsia="宋体"/>
              </w:rPr>
              <w:t>(t/a)</w:t>
            </w:r>
          </w:p>
        </w:tc>
      </w:tr>
      <w:tr w:rsidR="002B55E9" w:rsidRPr="002B55E9" w14:paraId="69D37475" w14:textId="77777777" w:rsidTr="008F236A">
        <w:trPr>
          <w:trHeight w:val="283"/>
        </w:trPr>
        <w:tc>
          <w:tcPr>
            <w:tcW w:w="1134" w:type="dxa"/>
            <w:noWrap/>
          </w:tcPr>
          <w:p w14:paraId="7469F8C5" w14:textId="77777777" w:rsidR="008F236A" w:rsidRPr="002B55E9" w:rsidRDefault="008F236A" w:rsidP="008F236A">
            <w:pPr>
              <w:pStyle w:val="lgy-"/>
              <w:rPr>
                <w:rFonts w:eastAsia="宋体"/>
              </w:rPr>
            </w:pPr>
            <w:r w:rsidRPr="002B55E9">
              <w:rPr>
                <w:rFonts w:eastAsia="宋体"/>
              </w:rPr>
              <w:t>浸提</w:t>
            </w:r>
          </w:p>
        </w:tc>
        <w:tc>
          <w:tcPr>
            <w:tcW w:w="706" w:type="dxa"/>
          </w:tcPr>
          <w:p w14:paraId="2079A5B7" w14:textId="1BEDD8C6" w:rsidR="008F236A" w:rsidRPr="002B55E9" w:rsidRDefault="008F236A" w:rsidP="008F236A">
            <w:pPr>
              <w:pStyle w:val="lgy-"/>
              <w:rPr>
                <w:rFonts w:eastAsia="宋体"/>
              </w:rPr>
            </w:pPr>
            <w:r w:rsidRPr="002B55E9">
              <w:rPr>
                <w:rFonts w:eastAsia="宋体"/>
              </w:rPr>
              <w:t>非甲烷总烃</w:t>
            </w:r>
          </w:p>
        </w:tc>
        <w:tc>
          <w:tcPr>
            <w:tcW w:w="991" w:type="dxa"/>
          </w:tcPr>
          <w:p w14:paraId="75D7129A" w14:textId="5190B5B8" w:rsidR="008F236A" w:rsidRPr="002B55E9" w:rsidRDefault="008F236A" w:rsidP="008F236A">
            <w:pPr>
              <w:pStyle w:val="lgy-"/>
              <w:rPr>
                <w:rFonts w:eastAsia="宋体"/>
              </w:rPr>
            </w:pPr>
            <w:r w:rsidRPr="002B55E9">
              <w:rPr>
                <w:rFonts w:eastAsia="宋体"/>
              </w:rPr>
              <w:t>159.25</w:t>
            </w:r>
          </w:p>
        </w:tc>
        <w:tc>
          <w:tcPr>
            <w:tcW w:w="848" w:type="dxa"/>
          </w:tcPr>
          <w:p w14:paraId="56F195D4" w14:textId="64374315" w:rsidR="008F236A" w:rsidRPr="002B55E9" w:rsidRDefault="008F236A" w:rsidP="008F236A">
            <w:pPr>
              <w:pStyle w:val="lgy-"/>
              <w:rPr>
                <w:rFonts w:eastAsia="宋体"/>
              </w:rPr>
            </w:pPr>
            <w:r w:rsidRPr="002B55E9">
              <w:rPr>
                <w:rFonts w:eastAsia="宋体"/>
              </w:rPr>
              <w:t>0.876</w:t>
            </w:r>
          </w:p>
        </w:tc>
        <w:tc>
          <w:tcPr>
            <w:tcW w:w="941" w:type="dxa"/>
          </w:tcPr>
          <w:p w14:paraId="0D0DD7D6" w14:textId="48C2A9D8" w:rsidR="008F236A" w:rsidRPr="002B55E9" w:rsidRDefault="008F236A" w:rsidP="008F236A">
            <w:pPr>
              <w:pStyle w:val="lgy-"/>
              <w:rPr>
                <w:rFonts w:eastAsia="宋体"/>
              </w:rPr>
            </w:pPr>
            <w:r w:rsidRPr="002B55E9">
              <w:rPr>
                <w:rFonts w:eastAsia="宋体"/>
              </w:rPr>
              <w:t>0.504</w:t>
            </w:r>
          </w:p>
        </w:tc>
        <w:tc>
          <w:tcPr>
            <w:tcW w:w="695" w:type="dxa"/>
            <w:vMerge w:val="restart"/>
          </w:tcPr>
          <w:p w14:paraId="671DDCD8" w14:textId="77777777" w:rsidR="008F236A" w:rsidRPr="002B55E9" w:rsidRDefault="008F236A" w:rsidP="008F236A">
            <w:pPr>
              <w:pStyle w:val="lgy-"/>
              <w:rPr>
                <w:rFonts w:eastAsia="宋体"/>
              </w:rPr>
            </w:pPr>
            <w:r w:rsidRPr="002B55E9">
              <w:rPr>
                <w:rFonts w:eastAsia="宋体" w:hint="eastAsia"/>
              </w:rPr>
              <w:t>密闭管道</w:t>
            </w:r>
            <w:r w:rsidRPr="002B55E9">
              <w:rPr>
                <w:rFonts w:eastAsia="宋体"/>
              </w:rPr>
              <w:t>，效率</w:t>
            </w:r>
            <w:r w:rsidRPr="002B55E9">
              <w:rPr>
                <w:rFonts w:eastAsia="宋体"/>
              </w:rPr>
              <w:t>100%</w:t>
            </w:r>
          </w:p>
        </w:tc>
        <w:tc>
          <w:tcPr>
            <w:tcW w:w="910" w:type="dxa"/>
            <w:vMerge w:val="restart"/>
          </w:tcPr>
          <w:p w14:paraId="7FAE3BD5" w14:textId="77777777" w:rsidR="008F236A" w:rsidRPr="002B55E9" w:rsidRDefault="008F236A" w:rsidP="008F236A">
            <w:pPr>
              <w:pStyle w:val="lgy-"/>
              <w:rPr>
                <w:rFonts w:eastAsia="宋体"/>
              </w:rPr>
            </w:pPr>
            <w:r w:rsidRPr="002B55E9">
              <w:rPr>
                <w:rFonts w:eastAsia="宋体"/>
              </w:rPr>
              <w:t>5500</w:t>
            </w:r>
          </w:p>
        </w:tc>
        <w:tc>
          <w:tcPr>
            <w:tcW w:w="487" w:type="dxa"/>
            <w:vMerge w:val="restart"/>
          </w:tcPr>
          <w:p w14:paraId="5A3A53C3" w14:textId="64535C01" w:rsidR="008F236A" w:rsidRPr="002B55E9" w:rsidRDefault="008F236A" w:rsidP="008F236A">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477" w:type="dxa"/>
            <w:vMerge w:val="restart"/>
          </w:tcPr>
          <w:p w14:paraId="0AAC4393" w14:textId="6B295A1B" w:rsidR="008F236A" w:rsidRPr="002B55E9" w:rsidRDefault="008F236A" w:rsidP="008F236A">
            <w:pPr>
              <w:pStyle w:val="lgy-"/>
              <w:rPr>
                <w:rFonts w:eastAsia="宋体"/>
              </w:rPr>
            </w:pPr>
            <w:r w:rsidRPr="002B55E9">
              <w:rPr>
                <w:rFonts w:eastAsia="宋体"/>
              </w:rPr>
              <w:t>85%</w:t>
            </w:r>
          </w:p>
        </w:tc>
        <w:tc>
          <w:tcPr>
            <w:tcW w:w="897" w:type="dxa"/>
            <w:vMerge w:val="restart"/>
          </w:tcPr>
          <w:p w14:paraId="0DA908D1" w14:textId="67D19346" w:rsidR="008F236A" w:rsidRPr="002B55E9" w:rsidRDefault="008F236A" w:rsidP="008F236A">
            <w:pPr>
              <w:pStyle w:val="lgy-"/>
              <w:rPr>
                <w:rFonts w:eastAsia="宋体"/>
              </w:rPr>
            </w:pPr>
            <w:r w:rsidRPr="002B55E9">
              <w:rPr>
                <w:rFonts w:eastAsia="宋体"/>
              </w:rPr>
              <w:t>48.51</w:t>
            </w:r>
          </w:p>
        </w:tc>
        <w:tc>
          <w:tcPr>
            <w:tcW w:w="1010" w:type="dxa"/>
            <w:vMerge w:val="restart"/>
          </w:tcPr>
          <w:p w14:paraId="28C3E60F" w14:textId="584EF024" w:rsidR="008F236A" w:rsidRPr="002B55E9" w:rsidRDefault="008F236A" w:rsidP="008F236A">
            <w:pPr>
              <w:pStyle w:val="lgy-"/>
              <w:rPr>
                <w:rFonts w:eastAsia="宋体"/>
              </w:rPr>
            </w:pPr>
            <w:r w:rsidRPr="002B55E9">
              <w:rPr>
                <w:rFonts w:eastAsia="宋体"/>
              </w:rPr>
              <w:t>0.267</w:t>
            </w:r>
          </w:p>
        </w:tc>
        <w:tc>
          <w:tcPr>
            <w:tcW w:w="542" w:type="dxa"/>
            <w:vMerge w:val="restart"/>
          </w:tcPr>
          <w:p w14:paraId="7E5DA6C3" w14:textId="4480BB87" w:rsidR="008F236A" w:rsidRPr="002B55E9" w:rsidRDefault="008F236A" w:rsidP="008F236A">
            <w:pPr>
              <w:pStyle w:val="lgy-"/>
              <w:rPr>
                <w:rFonts w:eastAsia="宋体"/>
              </w:rPr>
            </w:pPr>
            <w:r w:rsidRPr="002B55E9">
              <w:rPr>
                <w:rFonts w:eastAsia="宋体"/>
              </w:rPr>
              <w:t>0.704</w:t>
            </w:r>
          </w:p>
        </w:tc>
      </w:tr>
      <w:tr w:rsidR="002B55E9" w:rsidRPr="002B55E9" w14:paraId="02BFD333" w14:textId="77777777" w:rsidTr="008F236A">
        <w:trPr>
          <w:trHeight w:val="283"/>
        </w:trPr>
        <w:tc>
          <w:tcPr>
            <w:tcW w:w="1134" w:type="dxa"/>
            <w:noWrap/>
          </w:tcPr>
          <w:p w14:paraId="7027A2D0" w14:textId="77777777" w:rsidR="008F236A" w:rsidRPr="002B55E9" w:rsidRDefault="008F236A" w:rsidP="008F236A">
            <w:pPr>
              <w:pStyle w:val="lgy-"/>
              <w:rPr>
                <w:rFonts w:eastAsia="宋体"/>
              </w:rPr>
            </w:pPr>
            <w:r w:rsidRPr="002B55E9">
              <w:rPr>
                <w:rFonts w:eastAsia="宋体"/>
              </w:rPr>
              <w:t>过滤</w:t>
            </w:r>
          </w:p>
        </w:tc>
        <w:tc>
          <w:tcPr>
            <w:tcW w:w="706" w:type="dxa"/>
          </w:tcPr>
          <w:p w14:paraId="3B9DFE7F" w14:textId="10BA9D18" w:rsidR="008F236A" w:rsidRPr="002B55E9" w:rsidRDefault="008F236A" w:rsidP="008F236A">
            <w:pPr>
              <w:pStyle w:val="lgy-"/>
              <w:rPr>
                <w:rFonts w:eastAsia="宋体"/>
              </w:rPr>
            </w:pPr>
            <w:r w:rsidRPr="002B55E9">
              <w:rPr>
                <w:rFonts w:eastAsia="宋体"/>
              </w:rPr>
              <w:t>非甲烷总烃</w:t>
            </w:r>
          </w:p>
        </w:tc>
        <w:tc>
          <w:tcPr>
            <w:tcW w:w="991" w:type="dxa"/>
          </w:tcPr>
          <w:p w14:paraId="37392E92" w14:textId="1E551E2D" w:rsidR="008F236A" w:rsidRPr="002B55E9" w:rsidRDefault="008F236A" w:rsidP="008F236A">
            <w:pPr>
              <w:pStyle w:val="lgy-"/>
              <w:rPr>
                <w:rFonts w:eastAsia="宋体"/>
              </w:rPr>
            </w:pPr>
            <w:r w:rsidRPr="002B55E9">
              <w:rPr>
                <w:rFonts w:eastAsia="宋体"/>
              </w:rPr>
              <w:t>53.08</w:t>
            </w:r>
          </w:p>
        </w:tc>
        <w:tc>
          <w:tcPr>
            <w:tcW w:w="848" w:type="dxa"/>
          </w:tcPr>
          <w:p w14:paraId="27BC681D" w14:textId="6194E1F0" w:rsidR="008F236A" w:rsidRPr="002B55E9" w:rsidRDefault="008F236A" w:rsidP="008F236A">
            <w:pPr>
              <w:pStyle w:val="lgy-"/>
              <w:rPr>
                <w:rFonts w:eastAsia="宋体"/>
              </w:rPr>
            </w:pPr>
            <w:r w:rsidRPr="002B55E9">
              <w:rPr>
                <w:rFonts w:eastAsia="宋体"/>
              </w:rPr>
              <w:t>0.292</w:t>
            </w:r>
          </w:p>
        </w:tc>
        <w:tc>
          <w:tcPr>
            <w:tcW w:w="941" w:type="dxa"/>
          </w:tcPr>
          <w:p w14:paraId="01F2E88C" w14:textId="25580B9C" w:rsidR="008F236A" w:rsidRPr="002B55E9" w:rsidRDefault="008F236A" w:rsidP="008F236A">
            <w:pPr>
              <w:pStyle w:val="lgy-"/>
              <w:rPr>
                <w:rFonts w:eastAsia="宋体"/>
              </w:rPr>
            </w:pPr>
            <w:r w:rsidRPr="002B55E9">
              <w:rPr>
                <w:rFonts w:eastAsia="宋体"/>
              </w:rPr>
              <w:t>0.504</w:t>
            </w:r>
          </w:p>
        </w:tc>
        <w:tc>
          <w:tcPr>
            <w:tcW w:w="695" w:type="dxa"/>
            <w:vMerge/>
          </w:tcPr>
          <w:p w14:paraId="5ECFE553" w14:textId="77777777" w:rsidR="008F236A" w:rsidRPr="002B55E9" w:rsidRDefault="008F236A" w:rsidP="008F236A">
            <w:pPr>
              <w:pStyle w:val="lgy-"/>
              <w:rPr>
                <w:rFonts w:eastAsia="宋体"/>
              </w:rPr>
            </w:pPr>
          </w:p>
        </w:tc>
        <w:tc>
          <w:tcPr>
            <w:tcW w:w="910" w:type="dxa"/>
            <w:vMerge/>
          </w:tcPr>
          <w:p w14:paraId="689D9045" w14:textId="77777777" w:rsidR="008F236A" w:rsidRPr="002B55E9" w:rsidRDefault="008F236A" w:rsidP="008F236A">
            <w:pPr>
              <w:pStyle w:val="lgy-"/>
              <w:rPr>
                <w:rFonts w:eastAsia="宋体"/>
              </w:rPr>
            </w:pPr>
          </w:p>
        </w:tc>
        <w:tc>
          <w:tcPr>
            <w:tcW w:w="487" w:type="dxa"/>
            <w:vMerge/>
          </w:tcPr>
          <w:p w14:paraId="7FB4A637" w14:textId="77777777" w:rsidR="008F236A" w:rsidRPr="002B55E9" w:rsidRDefault="008F236A" w:rsidP="008F236A">
            <w:pPr>
              <w:pStyle w:val="lgy-"/>
              <w:rPr>
                <w:rFonts w:eastAsia="宋体"/>
              </w:rPr>
            </w:pPr>
          </w:p>
        </w:tc>
        <w:tc>
          <w:tcPr>
            <w:tcW w:w="477" w:type="dxa"/>
            <w:vMerge/>
          </w:tcPr>
          <w:p w14:paraId="5059958C" w14:textId="77777777" w:rsidR="008F236A" w:rsidRPr="002B55E9" w:rsidRDefault="008F236A" w:rsidP="008F236A">
            <w:pPr>
              <w:pStyle w:val="lgy-"/>
              <w:rPr>
                <w:rFonts w:eastAsia="宋体"/>
              </w:rPr>
            </w:pPr>
          </w:p>
        </w:tc>
        <w:tc>
          <w:tcPr>
            <w:tcW w:w="897" w:type="dxa"/>
            <w:vMerge/>
          </w:tcPr>
          <w:p w14:paraId="17CB0895" w14:textId="77777777" w:rsidR="008F236A" w:rsidRPr="002B55E9" w:rsidRDefault="008F236A" w:rsidP="008F236A">
            <w:pPr>
              <w:pStyle w:val="lgy-"/>
              <w:rPr>
                <w:rFonts w:eastAsia="宋体"/>
              </w:rPr>
            </w:pPr>
          </w:p>
        </w:tc>
        <w:tc>
          <w:tcPr>
            <w:tcW w:w="1010" w:type="dxa"/>
            <w:vMerge/>
          </w:tcPr>
          <w:p w14:paraId="6315051B" w14:textId="77777777" w:rsidR="008F236A" w:rsidRPr="002B55E9" w:rsidRDefault="008F236A" w:rsidP="008F236A">
            <w:pPr>
              <w:pStyle w:val="lgy-"/>
              <w:rPr>
                <w:rFonts w:eastAsia="宋体"/>
              </w:rPr>
            </w:pPr>
          </w:p>
        </w:tc>
        <w:tc>
          <w:tcPr>
            <w:tcW w:w="542" w:type="dxa"/>
            <w:vMerge/>
          </w:tcPr>
          <w:p w14:paraId="3871D9DD" w14:textId="77777777" w:rsidR="008F236A" w:rsidRPr="002B55E9" w:rsidRDefault="008F236A" w:rsidP="008F236A">
            <w:pPr>
              <w:pStyle w:val="lgy-"/>
              <w:rPr>
                <w:rFonts w:eastAsia="宋体"/>
              </w:rPr>
            </w:pPr>
          </w:p>
        </w:tc>
      </w:tr>
      <w:tr w:rsidR="002B55E9" w:rsidRPr="002B55E9" w14:paraId="7610BECC" w14:textId="77777777" w:rsidTr="008F236A">
        <w:trPr>
          <w:trHeight w:val="283"/>
        </w:trPr>
        <w:tc>
          <w:tcPr>
            <w:tcW w:w="1134" w:type="dxa"/>
            <w:noWrap/>
          </w:tcPr>
          <w:p w14:paraId="1415EBD3" w14:textId="77777777" w:rsidR="008F236A" w:rsidRPr="002B55E9" w:rsidRDefault="008F236A" w:rsidP="008F236A">
            <w:pPr>
              <w:pStyle w:val="lgy-"/>
              <w:rPr>
                <w:rFonts w:eastAsia="宋体"/>
              </w:rPr>
            </w:pPr>
            <w:r w:rsidRPr="002B55E9">
              <w:rPr>
                <w:rFonts w:eastAsia="宋体"/>
              </w:rPr>
              <w:t>调配混合</w:t>
            </w:r>
          </w:p>
        </w:tc>
        <w:tc>
          <w:tcPr>
            <w:tcW w:w="706" w:type="dxa"/>
          </w:tcPr>
          <w:p w14:paraId="2804BC26" w14:textId="3549F135" w:rsidR="008F236A" w:rsidRPr="002B55E9" w:rsidRDefault="008F236A" w:rsidP="008F236A">
            <w:pPr>
              <w:pStyle w:val="lgy-"/>
              <w:rPr>
                <w:rFonts w:eastAsia="宋体"/>
              </w:rPr>
            </w:pPr>
            <w:r w:rsidRPr="002B55E9">
              <w:rPr>
                <w:rFonts w:eastAsia="宋体"/>
              </w:rPr>
              <w:t>非甲烷总烃</w:t>
            </w:r>
          </w:p>
        </w:tc>
        <w:tc>
          <w:tcPr>
            <w:tcW w:w="991" w:type="dxa"/>
          </w:tcPr>
          <w:p w14:paraId="58B2B4A7" w14:textId="5AE0D967" w:rsidR="008F236A" w:rsidRPr="002B55E9" w:rsidRDefault="008F236A" w:rsidP="008F236A">
            <w:pPr>
              <w:pStyle w:val="lgy-"/>
              <w:rPr>
                <w:rFonts w:eastAsia="宋体"/>
              </w:rPr>
            </w:pPr>
            <w:r w:rsidRPr="002B55E9">
              <w:rPr>
                <w:rFonts w:eastAsia="宋体"/>
              </w:rPr>
              <w:t>111.76</w:t>
            </w:r>
          </w:p>
        </w:tc>
        <w:tc>
          <w:tcPr>
            <w:tcW w:w="848" w:type="dxa"/>
          </w:tcPr>
          <w:p w14:paraId="5AC94302" w14:textId="6D98A61B" w:rsidR="008F236A" w:rsidRPr="002B55E9" w:rsidRDefault="008F236A" w:rsidP="008F236A">
            <w:pPr>
              <w:pStyle w:val="lgy-"/>
              <w:rPr>
                <w:rFonts w:eastAsia="宋体"/>
              </w:rPr>
            </w:pPr>
            <w:r w:rsidRPr="002B55E9">
              <w:rPr>
                <w:rFonts w:eastAsia="宋体"/>
              </w:rPr>
              <w:t>0.615</w:t>
            </w:r>
          </w:p>
        </w:tc>
        <w:tc>
          <w:tcPr>
            <w:tcW w:w="941" w:type="dxa"/>
          </w:tcPr>
          <w:p w14:paraId="761C837B" w14:textId="0EA616EA" w:rsidR="008F236A" w:rsidRPr="002B55E9" w:rsidRDefault="008F236A" w:rsidP="008F236A">
            <w:pPr>
              <w:pStyle w:val="lgy-"/>
              <w:rPr>
                <w:rFonts w:eastAsia="宋体"/>
              </w:rPr>
            </w:pPr>
            <w:r w:rsidRPr="002B55E9">
              <w:rPr>
                <w:rFonts w:eastAsia="宋体"/>
              </w:rPr>
              <w:t>3.688</w:t>
            </w:r>
          </w:p>
        </w:tc>
        <w:tc>
          <w:tcPr>
            <w:tcW w:w="695" w:type="dxa"/>
            <w:vMerge/>
          </w:tcPr>
          <w:p w14:paraId="3EED0B22" w14:textId="77777777" w:rsidR="008F236A" w:rsidRPr="002B55E9" w:rsidRDefault="008F236A" w:rsidP="008F236A">
            <w:pPr>
              <w:pStyle w:val="lgy-"/>
              <w:rPr>
                <w:rFonts w:eastAsia="宋体"/>
              </w:rPr>
            </w:pPr>
          </w:p>
        </w:tc>
        <w:tc>
          <w:tcPr>
            <w:tcW w:w="910" w:type="dxa"/>
            <w:vMerge/>
          </w:tcPr>
          <w:p w14:paraId="26D0DE29" w14:textId="77777777" w:rsidR="008F236A" w:rsidRPr="002B55E9" w:rsidRDefault="008F236A" w:rsidP="008F236A">
            <w:pPr>
              <w:pStyle w:val="lgy-"/>
              <w:rPr>
                <w:rFonts w:eastAsia="宋体"/>
              </w:rPr>
            </w:pPr>
          </w:p>
        </w:tc>
        <w:tc>
          <w:tcPr>
            <w:tcW w:w="487" w:type="dxa"/>
            <w:vMerge/>
          </w:tcPr>
          <w:p w14:paraId="35E79753" w14:textId="77777777" w:rsidR="008F236A" w:rsidRPr="002B55E9" w:rsidRDefault="008F236A" w:rsidP="008F236A">
            <w:pPr>
              <w:pStyle w:val="lgy-"/>
              <w:rPr>
                <w:rFonts w:eastAsia="宋体"/>
              </w:rPr>
            </w:pPr>
          </w:p>
        </w:tc>
        <w:tc>
          <w:tcPr>
            <w:tcW w:w="477" w:type="dxa"/>
            <w:vMerge/>
          </w:tcPr>
          <w:p w14:paraId="10A5091F" w14:textId="77777777" w:rsidR="008F236A" w:rsidRPr="002B55E9" w:rsidRDefault="008F236A" w:rsidP="008F236A">
            <w:pPr>
              <w:pStyle w:val="lgy-"/>
              <w:rPr>
                <w:rFonts w:eastAsia="宋体"/>
              </w:rPr>
            </w:pPr>
          </w:p>
        </w:tc>
        <w:tc>
          <w:tcPr>
            <w:tcW w:w="897" w:type="dxa"/>
            <w:vMerge/>
          </w:tcPr>
          <w:p w14:paraId="265BA60E" w14:textId="77777777" w:rsidR="008F236A" w:rsidRPr="002B55E9" w:rsidRDefault="008F236A" w:rsidP="008F236A">
            <w:pPr>
              <w:pStyle w:val="lgy-"/>
              <w:rPr>
                <w:rFonts w:eastAsia="宋体"/>
              </w:rPr>
            </w:pPr>
          </w:p>
        </w:tc>
        <w:tc>
          <w:tcPr>
            <w:tcW w:w="1010" w:type="dxa"/>
            <w:vMerge/>
          </w:tcPr>
          <w:p w14:paraId="24FE3EFB" w14:textId="77777777" w:rsidR="008F236A" w:rsidRPr="002B55E9" w:rsidRDefault="008F236A" w:rsidP="008F236A">
            <w:pPr>
              <w:pStyle w:val="lgy-"/>
              <w:rPr>
                <w:rFonts w:eastAsia="宋体"/>
              </w:rPr>
            </w:pPr>
          </w:p>
        </w:tc>
        <w:tc>
          <w:tcPr>
            <w:tcW w:w="542" w:type="dxa"/>
            <w:vMerge/>
          </w:tcPr>
          <w:p w14:paraId="48C2D922" w14:textId="77777777" w:rsidR="008F236A" w:rsidRPr="002B55E9" w:rsidRDefault="008F236A" w:rsidP="008F236A">
            <w:pPr>
              <w:pStyle w:val="lgy-"/>
              <w:rPr>
                <w:rFonts w:eastAsia="宋体"/>
              </w:rPr>
            </w:pPr>
          </w:p>
        </w:tc>
      </w:tr>
    </w:tbl>
    <w:p w14:paraId="7B7482F4" w14:textId="77777777" w:rsidR="00D170E5" w:rsidRPr="002B55E9" w:rsidRDefault="00EF27AD">
      <w:pPr>
        <w:pStyle w:val="affff7"/>
        <w:snapToGrid w:val="0"/>
        <w:spacing w:after="0"/>
      </w:pPr>
      <w:r w:rsidRPr="002B55E9">
        <w:rPr>
          <w:rFonts w:hint="eastAsia"/>
        </w:rPr>
        <w:t>（</w:t>
      </w:r>
      <w:r w:rsidRPr="002B55E9">
        <w:rPr>
          <w:rFonts w:hint="eastAsia"/>
        </w:rPr>
        <w:t>3</w:t>
      </w:r>
      <w:r w:rsidRPr="002B55E9">
        <w:rPr>
          <w:rFonts w:hint="eastAsia"/>
        </w:rPr>
        <w:t>）料酒</w:t>
      </w:r>
      <w:r w:rsidRPr="002B55E9">
        <w:t>生产</w:t>
      </w:r>
      <w:r w:rsidRPr="002B55E9">
        <w:rPr>
          <w:rFonts w:hint="eastAsia"/>
        </w:rPr>
        <w:t>工艺</w:t>
      </w:r>
      <w:r w:rsidRPr="002B55E9">
        <w:t>废气</w:t>
      </w:r>
      <w:r w:rsidRPr="002B55E9">
        <w:rPr>
          <w:rFonts w:hint="eastAsia"/>
        </w:rPr>
        <w:t>产排情况汇总</w:t>
      </w:r>
    </w:p>
    <w:p w14:paraId="3FD0CBBE" w14:textId="50DA2C72" w:rsidR="00D170E5" w:rsidRPr="002B55E9" w:rsidRDefault="00EF27AD">
      <w:pPr>
        <w:pStyle w:val="affff7"/>
        <w:snapToGrid w:val="0"/>
        <w:spacing w:after="0"/>
      </w:pPr>
      <w:r w:rsidRPr="002B55E9">
        <w:rPr>
          <w:rFonts w:hint="eastAsia"/>
        </w:rPr>
        <w:t>料酒生产过程中的香辛料破碎</w:t>
      </w:r>
      <w:r w:rsidRPr="002B55E9">
        <w:t>过程中产生的</w:t>
      </w:r>
      <w:r w:rsidRPr="002B55E9">
        <w:rPr>
          <w:rFonts w:hint="eastAsia"/>
        </w:rPr>
        <w:t>粉尘废气</w:t>
      </w:r>
      <w:r w:rsidRPr="002B55E9">
        <w:t>（</w:t>
      </w:r>
      <w:r w:rsidRPr="002B55E9">
        <w:rPr>
          <w:rFonts w:hint="eastAsia"/>
        </w:rPr>
        <w:t>G1-1</w:t>
      </w:r>
      <w:r w:rsidRPr="002B55E9">
        <w:t>）</w:t>
      </w:r>
      <w:r w:rsidRPr="002B55E9">
        <w:rPr>
          <w:rFonts w:hint="eastAsia"/>
        </w:rPr>
        <w:t>经粉碎机</w:t>
      </w:r>
      <w:r w:rsidRPr="002B55E9">
        <w:t>自带</w:t>
      </w:r>
      <w:r w:rsidRPr="002B55E9">
        <w:rPr>
          <w:rFonts w:hint="eastAsia"/>
        </w:rPr>
        <w:t>布袋</w:t>
      </w:r>
      <w:r w:rsidRPr="002B55E9">
        <w:t>除尘器</w:t>
      </w:r>
      <w:r w:rsidRPr="002B55E9">
        <w:rPr>
          <w:rFonts w:hint="eastAsia"/>
        </w:rPr>
        <w:t>处理后通过一根</w:t>
      </w:r>
      <w:r w:rsidRPr="002B55E9">
        <w:rPr>
          <w:rFonts w:hint="eastAsia"/>
        </w:rPr>
        <w:t>1</w:t>
      </w:r>
      <w:r w:rsidRPr="002B55E9">
        <w:t>8m</w:t>
      </w:r>
      <w:r w:rsidRPr="002B55E9">
        <w:rPr>
          <w:rFonts w:hint="eastAsia"/>
        </w:rPr>
        <w:t>高的</w:t>
      </w:r>
      <w:r w:rsidRPr="002B55E9">
        <w:t>排气筒</w:t>
      </w:r>
      <w:r w:rsidRPr="002B55E9">
        <w:rPr>
          <w:rFonts w:hint="eastAsia"/>
        </w:rPr>
        <w:t>（</w:t>
      </w:r>
      <w:r w:rsidRPr="002B55E9">
        <w:rPr>
          <w:rFonts w:hint="eastAsia"/>
        </w:rPr>
        <w:t>DA001</w:t>
      </w:r>
      <w:r w:rsidRPr="002B55E9">
        <w:rPr>
          <w:rFonts w:hint="eastAsia"/>
        </w:rPr>
        <w:t>）</w:t>
      </w:r>
      <w:r w:rsidRPr="002B55E9">
        <w:t>排放</w:t>
      </w:r>
      <w:r w:rsidRPr="002B55E9">
        <w:rPr>
          <w:rFonts w:hint="eastAsia"/>
        </w:rPr>
        <w:t>，浸提</w:t>
      </w:r>
      <w:r w:rsidRPr="002B55E9">
        <w:t>工序乙醇</w:t>
      </w:r>
      <w:r w:rsidRPr="002B55E9">
        <w:rPr>
          <w:rFonts w:hint="eastAsia"/>
        </w:rPr>
        <w:t>进料（</w:t>
      </w:r>
      <w:r w:rsidRPr="002B55E9">
        <w:rPr>
          <w:rFonts w:hint="eastAsia"/>
        </w:rPr>
        <w:t>G1-2</w:t>
      </w:r>
      <w:r w:rsidRPr="002B55E9">
        <w:rPr>
          <w:rFonts w:hint="eastAsia"/>
        </w:rPr>
        <w:t>）</w:t>
      </w:r>
      <w:r w:rsidRPr="002B55E9">
        <w:t>、</w:t>
      </w:r>
      <w:r w:rsidRPr="002B55E9">
        <w:rPr>
          <w:rFonts w:hint="eastAsia"/>
        </w:rPr>
        <w:t>过滤</w:t>
      </w:r>
      <w:r w:rsidRPr="002B55E9">
        <w:t>工序</w:t>
      </w:r>
      <w:r w:rsidRPr="002B55E9">
        <w:rPr>
          <w:rFonts w:hint="eastAsia"/>
        </w:rPr>
        <w:t>香辛料风味标准液进料（</w:t>
      </w:r>
      <w:r w:rsidRPr="002B55E9">
        <w:rPr>
          <w:rFonts w:hint="eastAsia"/>
        </w:rPr>
        <w:t>G1-</w:t>
      </w:r>
      <w:r w:rsidRPr="002B55E9">
        <w:t>3</w:t>
      </w:r>
      <w:r w:rsidRPr="002B55E9">
        <w:rPr>
          <w:rFonts w:hint="eastAsia"/>
        </w:rPr>
        <w:t>）</w:t>
      </w:r>
      <w:r w:rsidRPr="002B55E9">
        <w:t>、</w:t>
      </w:r>
      <w:r w:rsidRPr="002B55E9">
        <w:rPr>
          <w:rFonts w:hint="eastAsia"/>
        </w:rPr>
        <w:t>调配混合</w:t>
      </w:r>
      <w:r w:rsidR="0094723B" w:rsidRPr="002B55E9">
        <w:t>工序香辛料风味</w:t>
      </w:r>
      <w:r w:rsidRPr="002B55E9">
        <w:rPr>
          <w:rFonts w:hint="eastAsia"/>
        </w:rPr>
        <w:t>标准液和</w:t>
      </w:r>
      <w:r w:rsidRPr="002B55E9">
        <w:t>黄酒等进料</w:t>
      </w:r>
      <w:r w:rsidRPr="002B55E9">
        <w:rPr>
          <w:rFonts w:hint="eastAsia"/>
        </w:rPr>
        <w:t>（</w:t>
      </w:r>
      <w:r w:rsidRPr="002B55E9">
        <w:rPr>
          <w:rFonts w:hint="eastAsia"/>
        </w:rPr>
        <w:t>G1-</w:t>
      </w:r>
      <w:r w:rsidRPr="002B55E9">
        <w:t>4</w:t>
      </w:r>
      <w:r w:rsidRPr="002B55E9">
        <w:rPr>
          <w:rFonts w:hint="eastAsia"/>
        </w:rPr>
        <w:t>）</w:t>
      </w:r>
      <w:r w:rsidRPr="002B55E9">
        <w:t>产生</w:t>
      </w:r>
      <w:r w:rsidRPr="002B55E9">
        <w:rPr>
          <w:rFonts w:hint="eastAsia"/>
        </w:rPr>
        <w:t>的</w:t>
      </w:r>
      <w:r w:rsidRPr="002B55E9">
        <w:t>投料废气</w:t>
      </w:r>
      <w:r w:rsidRPr="002B55E9">
        <w:rPr>
          <w:rFonts w:hint="eastAsia"/>
        </w:rPr>
        <w:t>经密闭管道收集后</w:t>
      </w:r>
      <w:r w:rsidRPr="002B55E9">
        <w:t>均</w:t>
      </w:r>
      <w:r w:rsidRPr="002B55E9">
        <w:rPr>
          <w:rFonts w:hint="eastAsia"/>
        </w:rPr>
        <w:t>汇入一套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装置处理后由</w:t>
      </w:r>
      <w:r w:rsidRPr="002B55E9">
        <w:rPr>
          <w:rFonts w:hint="eastAsia"/>
        </w:rPr>
        <w:t>18m</w:t>
      </w:r>
      <w:r w:rsidRPr="002B55E9">
        <w:rPr>
          <w:rFonts w:hint="eastAsia"/>
        </w:rPr>
        <w:t>高</w:t>
      </w:r>
      <w:r w:rsidRPr="002B55E9">
        <w:t>排气筒</w:t>
      </w:r>
      <w:r w:rsidRPr="002B55E9">
        <w:rPr>
          <w:rFonts w:hint="eastAsia"/>
        </w:rPr>
        <w:t>（</w:t>
      </w:r>
      <w:r w:rsidRPr="002B55E9">
        <w:rPr>
          <w:rFonts w:hint="eastAsia"/>
        </w:rPr>
        <w:t>D</w:t>
      </w:r>
      <w:r w:rsidRPr="002B55E9">
        <w:t>A002</w:t>
      </w:r>
      <w:r w:rsidRPr="002B55E9">
        <w:rPr>
          <w:rFonts w:hint="eastAsia"/>
        </w:rPr>
        <w:t>）</w:t>
      </w:r>
      <w:r w:rsidRPr="002B55E9">
        <w:t>排放。</w:t>
      </w:r>
      <w:r w:rsidRPr="002B55E9">
        <w:rPr>
          <w:rFonts w:hint="eastAsia"/>
        </w:rPr>
        <w:t>料酒生产线废气产排情况如下表</w:t>
      </w:r>
      <w:r w:rsidRPr="002B55E9">
        <w:t>所示。</w:t>
      </w:r>
    </w:p>
    <w:p w14:paraId="482510AA"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-3-6  </w:t>
      </w:r>
      <w:r w:rsidRPr="002B55E9">
        <w:rPr>
          <w:rFonts w:hint="eastAsia"/>
        </w:rPr>
        <w:t>料酒</w:t>
      </w:r>
      <w:r w:rsidRPr="002B55E9">
        <w:t>生产线</w:t>
      </w:r>
      <w:r w:rsidRPr="002B55E9">
        <w:rPr>
          <w:rFonts w:hint="eastAsia"/>
        </w:rPr>
        <w:t>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675"/>
        <w:gridCol w:w="962"/>
        <w:gridCol w:w="531"/>
        <w:gridCol w:w="938"/>
        <w:gridCol w:w="842"/>
        <w:gridCol w:w="675"/>
        <w:gridCol w:w="892"/>
        <w:gridCol w:w="763"/>
        <w:gridCol w:w="713"/>
        <w:gridCol w:w="430"/>
        <w:gridCol w:w="907"/>
        <w:gridCol w:w="817"/>
        <w:gridCol w:w="549"/>
      </w:tblGrid>
      <w:tr w:rsidR="002B55E9" w:rsidRPr="002B55E9" w14:paraId="07741BA7" w14:textId="77777777" w:rsidTr="0022601A">
        <w:trPr>
          <w:cnfStyle w:val="100000000000" w:firstRow="1" w:lastRow="0" w:firstColumn="0" w:lastColumn="0" w:oddVBand="0" w:evenVBand="0" w:oddHBand="0" w:evenHBand="0" w:firstRowFirstColumn="0" w:firstRowLastColumn="0" w:lastRowFirstColumn="0" w:lastRowLastColumn="0"/>
          <w:trHeight w:val="283"/>
        </w:trPr>
        <w:tc>
          <w:tcPr>
            <w:tcW w:w="670" w:type="dxa"/>
            <w:vMerge w:val="restart"/>
          </w:tcPr>
          <w:p w14:paraId="50FD1F07" w14:textId="77777777" w:rsidR="00D170E5" w:rsidRPr="002B55E9" w:rsidRDefault="00EF27AD" w:rsidP="0022601A">
            <w:pPr>
              <w:pStyle w:val="lgy-"/>
              <w:rPr>
                <w:rFonts w:eastAsia="宋体"/>
              </w:rPr>
            </w:pPr>
            <w:r w:rsidRPr="002B55E9">
              <w:rPr>
                <w:rFonts w:eastAsia="宋体"/>
              </w:rPr>
              <w:t>排气筒编号</w:t>
            </w:r>
          </w:p>
        </w:tc>
        <w:tc>
          <w:tcPr>
            <w:tcW w:w="956" w:type="dxa"/>
            <w:vMerge w:val="restart"/>
            <w:noWrap/>
          </w:tcPr>
          <w:p w14:paraId="199C1E25" w14:textId="77777777" w:rsidR="00D170E5" w:rsidRPr="002B55E9" w:rsidRDefault="00EF27AD" w:rsidP="0022601A">
            <w:pPr>
              <w:pStyle w:val="lgy-"/>
              <w:rPr>
                <w:rFonts w:eastAsia="宋体"/>
              </w:rPr>
            </w:pPr>
            <w:r w:rsidRPr="002B55E9">
              <w:rPr>
                <w:rFonts w:eastAsia="宋体"/>
              </w:rPr>
              <w:t>产生环节</w:t>
            </w:r>
          </w:p>
        </w:tc>
        <w:tc>
          <w:tcPr>
            <w:tcW w:w="528" w:type="dxa"/>
            <w:vMerge w:val="restart"/>
          </w:tcPr>
          <w:p w14:paraId="153D39AD" w14:textId="77777777" w:rsidR="00D170E5" w:rsidRPr="002B55E9" w:rsidRDefault="00EF27AD" w:rsidP="0022601A">
            <w:pPr>
              <w:pStyle w:val="lgy-"/>
              <w:rPr>
                <w:rFonts w:eastAsia="宋体"/>
              </w:rPr>
            </w:pPr>
            <w:r w:rsidRPr="002B55E9">
              <w:rPr>
                <w:rFonts w:eastAsia="宋体"/>
              </w:rPr>
              <w:t>污染物</w:t>
            </w:r>
          </w:p>
        </w:tc>
        <w:tc>
          <w:tcPr>
            <w:tcW w:w="2441" w:type="dxa"/>
            <w:gridSpan w:val="3"/>
          </w:tcPr>
          <w:p w14:paraId="68DA5938" w14:textId="77777777" w:rsidR="00D170E5" w:rsidRPr="002B55E9" w:rsidRDefault="00EF27AD" w:rsidP="0022601A">
            <w:pPr>
              <w:pStyle w:val="lgy-"/>
              <w:rPr>
                <w:rFonts w:eastAsia="宋体"/>
              </w:rPr>
            </w:pPr>
            <w:r w:rsidRPr="002B55E9">
              <w:rPr>
                <w:rFonts w:eastAsia="宋体"/>
              </w:rPr>
              <w:t>污染物产生</w:t>
            </w:r>
          </w:p>
        </w:tc>
        <w:tc>
          <w:tcPr>
            <w:tcW w:w="1646" w:type="dxa"/>
            <w:gridSpan w:val="2"/>
          </w:tcPr>
          <w:p w14:paraId="1B9D9C1A" w14:textId="77777777" w:rsidR="00D170E5" w:rsidRPr="002B55E9" w:rsidRDefault="00EF27AD" w:rsidP="0022601A">
            <w:pPr>
              <w:pStyle w:val="lgy-"/>
              <w:rPr>
                <w:rFonts w:eastAsia="宋体"/>
              </w:rPr>
            </w:pPr>
            <w:r w:rsidRPr="002B55E9">
              <w:rPr>
                <w:rFonts w:eastAsia="宋体"/>
              </w:rPr>
              <w:t>废气收集</w:t>
            </w:r>
          </w:p>
        </w:tc>
        <w:tc>
          <w:tcPr>
            <w:tcW w:w="1137" w:type="dxa"/>
            <w:gridSpan w:val="2"/>
          </w:tcPr>
          <w:p w14:paraId="087A545C" w14:textId="77777777" w:rsidR="00D170E5" w:rsidRPr="002B55E9" w:rsidRDefault="00EF27AD" w:rsidP="0022601A">
            <w:pPr>
              <w:pStyle w:val="lgy-"/>
              <w:rPr>
                <w:rFonts w:eastAsia="宋体"/>
              </w:rPr>
            </w:pPr>
            <w:r w:rsidRPr="002B55E9">
              <w:rPr>
                <w:rFonts w:eastAsia="宋体"/>
              </w:rPr>
              <w:t>治理措施</w:t>
            </w:r>
          </w:p>
        </w:tc>
        <w:tc>
          <w:tcPr>
            <w:tcW w:w="2260" w:type="dxa"/>
            <w:gridSpan w:val="3"/>
          </w:tcPr>
          <w:p w14:paraId="580308C4" w14:textId="77777777" w:rsidR="00D170E5" w:rsidRPr="002B55E9" w:rsidRDefault="00EF27AD" w:rsidP="0022601A">
            <w:pPr>
              <w:pStyle w:val="lgy-"/>
              <w:rPr>
                <w:rFonts w:eastAsia="宋体"/>
              </w:rPr>
            </w:pPr>
            <w:r w:rsidRPr="002B55E9">
              <w:rPr>
                <w:rFonts w:eastAsia="宋体"/>
              </w:rPr>
              <w:t>有组织排放</w:t>
            </w:r>
          </w:p>
        </w:tc>
      </w:tr>
      <w:tr w:rsidR="002B55E9" w:rsidRPr="002B55E9" w14:paraId="763101A7" w14:textId="77777777" w:rsidTr="0022601A">
        <w:trPr>
          <w:trHeight w:val="283"/>
        </w:trPr>
        <w:tc>
          <w:tcPr>
            <w:tcW w:w="670" w:type="dxa"/>
            <w:vMerge/>
          </w:tcPr>
          <w:p w14:paraId="0C557DFC" w14:textId="77777777" w:rsidR="00D170E5" w:rsidRPr="002B55E9" w:rsidRDefault="00D170E5" w:rsidP="0022601A">
            <w:pPr>
              <w:pStyle w:val="lgy-"/>
              <w:rPr>
                <w:rFonts w:eastAsia="宋体"/>
              </w:rPr>
            </w:pPr>
          </w:p>
        </w:tc>
        <w:tc>
          <w:tcPr>
            <w:tcW w:w="956" w:type="dxa"/>
            <w:vMerge/>
          </w:tcPr>
          <w:p w14:paraId="46CED562" w14:textId="77777777" w:rsidR="00D170E5" w:rsidRPr="002B55E9" w:rsidRDefault="00D170E5" w:rsidP="0022601A">
            <w:pPr>
              <w:pStyle w:val="lgy-"/>
              <w:rPr>
                <w:rFonts w:eastAsia="宋体"/>
              </w:rPr>
            </w:pPr>
          </w:p>
        </w:tc>
        <w:tc>
          <w:tcPr>
            <w:tcW w:w="528" w:type="dxa"/>
            <w:vMerge/>
          </w:tcPr>
          <w:p w14:paraId="07DCEA38" w14:textId="77777777" w:rsidR="00D170E5" w:rsidRPr="002B55E9" w:rsidRDefault="00D170E5" w:rsidP="0022601A">
            <w:pPr>
              <w:pStyle w:val="lgy-"/>
              <w:rPr>
                <w:rFonts w:eastAsia="宋体"/>
              </w:rPr>
            </w:pPr>
          </w:p>
        </w:tc>
        <w:tc>
          <w:tcPr>
            <w:tcW w:w="933" w:type="dxa"/>
          </w:tcPr>
          <w:p w14:paraId="4112231C" w14:textId="77777777" w:rsidR="00D170E5" w:rsidRPr="002B55E9" w:rsidRDefault="00EF27AD" w:rsidP="0022601A">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837" w:type="dxa"/>
          </w:tcPr>
          <w:p w14:paraId="6FD9CEEC" w14:textId="77777777" w:rsidR="00D170E5" w:rsidRPr="002B55E9" w:rsidRDefault="00EF27AD" w:rsidP="0022601A">
            <w:pPr>
              <w:pStyle w:val="lgy-"/>
              <w:rPr>
                <w:rFonts w:eastAsia="宋体"/>
              </w:rPr>
            </w:pPr>
            <w:r w:rsidRPr="002B55E9">
              <w:rPr>
                <w:rFonts w:eastAsia="宋体"/>
              </w:rPr>
              <w:t>产生速率（</w:t>
            </w:r>
            <w:r w:rsidRPr="002B55E9">
              <w:rPr>
                <w:rFonts w:eastAsia="宋体"/>
              </w:rPr>
              <w:t>kg/h)</w:t>
            </w:r>
          </w:p>
        </w:tc>
        <w:tc>
          <w:tcPr>
            <w:tcW w:w="671" w:type="dxa"/>
          </w:tcPr>
          <w:p w14:paraId="11E42734" w14:textId="77777777" w:rsidR="00D170E5" w:rsidRPr="002B55E9" w:rsidRDefault="00EF27AD" w:rsidP="0022601A">
            <w:pPr>
              <w:pStyle w:val="lgy-"/>
              <w:rPr>
                <w:rFonts w:eastAsia="宋体"/>
              </w:rPr>
            </w:pPr>
            <w:r w:rsidRPr="002B55E9">
              <w:rPr>
                <w:rFonts w:eastAsia="宋体"/>
              </w:rPr>
              <w:t>产生量</w:t>
            </w:r>
            <w:r w:rsidRPr="002B55E9">
              <w:rPr>
                <w:rFonts w:eastAsia="宋体"/>
              </w:rPr>
              <w:t>(t/a)</w:t>
            </w:r>
          </w:p>
        </w:tc>
        <w:tc>
          <w:tcPr>
            <w:tcW w:w="887" w:type="dxa"/>
          </w:tcPr>
          <w:p w14:paraId="78C0A5EB" w14:textId="77777777" w:rsidR="00D170E5" w:rsidRPr="002B55E9" w:rsidRDefault="00EF27AD" w:rsidP="0022601A">
            <w:pPr>
              <w:pStyle w:val="lgy-"/>
              <w:rPr>
                <w:rFonts w:eastAsia="宋体"/>
              </w:rPr>
            </w:pPr>
            <w:r w:rsidRPr="002B55E9">
              <w:rPr>
                <w:rFonts w:eastAsia="宋体" w:hint="eastAsia"/>
              </w:rPr>
              <w:t>收集</w:t>
            </w:r>
            <w:r w:rsidRPr="002B55E9">
              <w:rPr>
                <w:rFonts w:eastAsia="宋体"/>
              </w:rPr>
              <w:t>方式</w:t>
            </w:r>
          </w:p>
        </w:tc>
        <w:tc>
          <w:tcPr>
            <w:tcW w:w="759" w:type="dxa"/>
          </w:tcPr>
          <w:p w14:paraId="11AA12C6" w14:textId="77777777" w:rsidR="00D170E5" w:rsidRPr="002B55E9" w:rsidRDefault="00EF27AD" w:rsidP="0022601A">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709" w:type="dxa"/>
          </w:tcPr>
          <w:p w14:paraId="449EE6B5" w14:textId="77777777" w:rsidR="00D170E5" w:rsidRPr="002B55E9" w:rsidRDefault="00EF27AD" w:rsidP="0022601A">
            <w:pPr>
              <w:pStyle w:val="lgy-"/>
              <w:rPr>
                <w:rFonts w:eastAsia="宋体"/>
              </w:rPr>
            </w:pPr>
            <w:r w:rsidRPr="002B55E9">
              <w:rPr>
                <w:rFonts w:eastAsia="宋体"/>
              </w:rPr>
              <w:t>工艺</w:t>
            </w:r>
          </w:p>
        </w:tc>
        <w:tc>
          <w:tcPr>
            <w:tcW w:w="428" w:type="dxa"/>
          </w:tcPr>
          <w:p w14:paraId="1F05911C" w14:textId="77777777" w:rsidR="00D170E5" w:rsidRPr="002B55E9" w:rsidRDefault="00EF27AD" w:rsidP="0022601A">
            <w:pPr>
              <w:pStyle w:val="lgy-"/>
              <w:rPr>
                <w:rFonts w:eastAsia="宋体"/>
              </w:rPr>
            </w:pPr>
            <w:r w:rsidRPr="002B55E9">
              <w:rPr>
                <w:rFonts w:eastAsia="宋体"/>
              </w:rPr>
              <w:t>效率</w:t>
            </w:r>
          </w:p>
        </w:tc>
        <w:tc>
          <w:tcPr>
            <w:tcW w:w="902" w:type="dxa"/>
          </w:tcPr>
          <w:p w14:paraId="339CB378" w14:textId="77777777" w:rsidR="00D170E5" w:rsidRPr="002B55E9" w:rsidRDefault="00EF27AD" w:rsidP="0022601A">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812" w:type="dxa"/>
          </w:tcPr>
          <w:p w14:paraId="1D9DC356" w14:textId="77777777" w:rsidR="00D170E5" w:rsidRPr="002B55E9" w:rsidRDefault="00EF27AD" w:rsidP="0022601A">
            <w:pPr>
              <w:pStyle w:val="lgy-"/>
              <w:rPr>
                <w:rFonts w:eastAsia="宋体"/>
              </w:rPr>
            </w:pPr>
            <w:r w:rsidRPr="002B55E9">
              <w:rPr>
                <w:rFonts w:eastAsia="宋体"/>
              </w:rPr>
              <w:t>排放速率（</w:t>
            </w:r>
            <w:r w:rsidRPr="002B55E9">
              <w:rPr>
                <w:rFonts w:eastAsia="宋体"/>
              </w:rPr>
              <w:t>kg/h)</w:t>
            </w:r>
          </w:p>
        </w:tc>
        <w:tc>
          <w:tcPr>
            <w:tcW w:w="546" w:type="dxa"/>
          </w:tcPr>
          <w:p w14:paraId="485B6B52" w14:textId="77777777" w:rsidR="00D170E5" w:rsidRPr="002B55E9" w:rsidRDefault="00EF27AD" w:rsidP="0022601A">
            <w:pPr>
              <w:pStyle w:val="lgy-"/>
              <w:rPr>
                <w:rFonts w:eastAsia="宋体"/>
              </w:rPr>
            </w:pPr>
            <w:r w:rsidRPr="002B55E9">
              <w:rPr>
                <w:rFonts w:eastAsia="宋体"/>
              </w:rPr>
              <w:t>排放量</w:t>
            </w:r>
            <w:r w:rsidRPr="002B55E9">
              <w:rPr>
                <w:rFonts w:eastAsia="宋体"/>
              </w:rPr>
              <w:t>(t/a)</w:t>
            </w:r>
          </w:p>
        </w:tc>
      </w:tr>
      <w:tr w:rsidR="002B55E9" w:rsidRPr="002B55E9" w14:paraId="79AB8B3E" w14:textId="77777777" w:rsidTr="0022601A">
        <w:trPr>
          <w:trHeight w:val="283"/>
        </w:trPr>
        <w:tc>
          <w:tcPr>
            <w:tcW w:w="670" w:type="dxa"/>
            <w:noWrap/>
          </w:tcPr>
          <w:p w14:paraId="51194DD7" w14:textId="77777777" w:rsidR="00D170E5" w:rsidRPr="002B55E9" w:rsidRDefault="00EF27AD" w:rsidP="0022601A">
            <w:pPr>
              <w:pStyle w:val="lgy-"/>
              <w:rPr>
                <w:rFonts w:eastAsia="宋体"/>
              </w:rPr>
            </w:pPr>
            <w:r w:rsidRPr="002B55E9">
              <w:rPr>
                <w:rFonts w:eastAsia="宋体"/>
              </w:rPr>
              <w:t>DA001</w:t>
            </w:r>
          </w:p>
        </w:tc>
        <w:tc>
          <w:tcPr>
            <w:tcW w:w="956" w:type="dxa"/>
            <w:noWrap/>
          </w:tcPr>
          <w:p w14:paraId="52CC19C8" w14:textId="77777777" w:rsidR="00D170E5" w:rsidRPr="002B55E9" w:rsidRDefault="00EF27AD" w:rsidP="0022601A">
            <w:pPr>
              <w:pStyle w:val="lgy-"/>
              <w:rPr>
                <w:rFonts w:eastAsia="宋体"/>
              </w:rPr>
            </w:pPr>
            <w:r w:rsidRPr="002B55E9">
              <w:rPr>
                <w:rFonts w:eastAsia="宋体" w:hint="eastAsia"/>
              </w:rPr>
              <w:t>香辛料</w:t>
            </w:r>
            <w:r w:rsidRPr="002B55E9">
              <w:rPr>
                <w:rFonts w:eastAsia="宋体"/>
              </w:rPr>
              <w:t>破碎</w:t>
            </w:r>
          </w:p>
        </w:tc>
        <w:tc>
          <w:tcPr>
            <w:tcW w:w="528" w:type="dxa"/>
          </w:tcPr>
          <w:p w14:paraId="7B05DDFA" w14:textId="77777777" w:rsidR="00D170E5" w:rsidRPr="002B55E9" w:rsidRDefault="00EF27AD" w:rsidP="0022601A">
            <w:pPr>
              <w:pStyle w:val="lgy-"/>
              <w:rPr>
                <w:rFonts w:eastAsia="宋体"/>
              </w:rPr>
            </w:pPr>
            <w:r w:rsidRPr="002B55E9">
              <w:rPr>
                <w:rFonts w:eastAsia="宋体"/>
              </w:rPr>
              <w:t>颗粒物</w:t>
            </w:r>
          </w:p>
        </w:tc>
        <w:tc>
          <w:tcPr>
            <w:tcW w:w="933" w:type="dxa"/>
          </w:tcPr>
          <w:p w14:paraId="2B21B53C" w14:textId="77777777" w:rsidR="00D170E5" w:rsidRPr="002B55E9" w:rsidRDefault="00EF27AD" w:rsidP="0022601A">
            <w:pPr>
              <w:pStyle w:val="lgy-"/>
              <w:rPr>
                <w:rFonts w:eastAsia="宋体"/>
              </w:rPr>
            </w:pPr>
            <w:r w:rsidRPr="002B55E9">
              <w:rPr>
                <w:rFonts w:eastAsia="宋体"/>
              </w:rPr>
              <w:t>28.24</w:t>
            </w:r>
          </w:p>
        </w:tc>
        <w:tc>
          <w:tcPr>
            <w:tcW w:w="837" w:type="dxa"/>
          </w:tcPr>
          <w:p w14:paraId="47328A8D" w14:textId="77777777" w:rsidR="00D170E5" w:rsidRPr="002B55E9" w:rsidRDefault="00EF27AD" w:rsidP="0022601A">
            <w:pPr>
              <w:pStyle w:val="lgy-"/>
              <w:rPr>
                <w:rFonts w:eastAsia="宋体"/>
              </w:rPr>
            </w:pPr>
            <w:r w:rsidRPr="002B55E9">
              <w:rPr>
                <w:rFonts w:eastAsia="宋体"/>
              </w:rPr>
              <w:t>0.141</w:t>
            </w:r>
          </w:p>
        </w:tc>
        <w:tc>
          <w:tcPr>
            <w:tcW w:w="671" w:type="dxa"/>
          </w:tcPr>
          <w:p w14:paraId="78FA0F32" w14:textId="77777777" w:rsidR="00D170E5" w:rsidRPr="002B55E9" w:rsidRDefault="00EF27AD" w:rsidP="0022601A">
            <w:pPr>
              <w:pStyle w:val="lgy-"/>
              <w:rPr>
                <w:rFonts w:eastAsia="宋体"/>
              </w:rPr>
            </w:pPr>
            <w:r w:rsidRPr="002B55E9">
              <w:rPr>
                <w:rFonts w:eastAsia="宋体"/>
              </w:rPr>
              <w:t>0.141</w:t>
            </w:r>
          </w:p>
        </w:tc>
        <w:tc>
          <w:tcPr>
            <w:tcW w:w="887" w:type="dxa"/>
          </w:tcPr>
          <w:p w14:paraId="2C25F869" w14:textId="77777777" w:rsidR="00D170E5" w:rsidRPr="002B55E9" w:rsidRDefault="00EF27AD" w:rsidP="0022601A">
            <w:pPr>
              <w:pStyle w:val="lgy-"/>
              <w:rPr>
                <w:rFonts w:eastAsia="宋体"/>
              </w:rPr>
            </w:pPr>
            <w:r w:rsidRPr="002B55E9">
              <w:rPr>
                <w:rFonts w:eastAsia="宋体" w:hint="eastAsia"/>
              </w:rPr>
              <w:t>90</w:t>
            </w:r>
            <w:r w:rsidRPr="002B55E9">
              <w:rPr>
                <w:rFonts w:eastAsia="宋体"/>
              </w:rPr>
              <w:t>%</w:t>
            </w:r>
          </w:p>
        </w:tc>
        <w:tc>
          <w:tcPr>
            <w:tcW w:w="759" w:type="dxa"/>
          </w:tcPr>
          <w:p w14:paraId="47B7A8BD" w14:textId="77777777" w:rsidR="00D170E5" w:rsidRPr="002B55E9" w:rsidRDefault="00EF27AD" w:rsidP="0022601A">
            <w:pPr>
              <w:pStyle w:val="lgy-"/>
              <w:rPr>
                <w:rFonts w:eastAsia="宋体"/>
              </w:rPr>
            </w:pPr>
            <w:r w:rsidRPr="002B55E9">
              <w:rPr>
                <w:rFonts w:eastAsia="宋体"/>
              </w:rPr>
              <w:t>5000</w:t>
            </w:r>
          </w:p>
        </w:tc>
        <w:tc>
          <w:tcPr>
            <w:tcW w:w="709" w:type="dxa"/>
          </w:tcPr>
          <w:p w14:paraId="6BD13745" w14:textId="77777777" w:rsidR="00D170E5" w:rsidRPr="002B55E9" w:rsidRDefault="00EF27AD" w:rsidP="0022601A">
            <w:pPr>
              <w:pStyle w:val="lgy-"/>
              <w:rPr>
                <w:rFonts w:eastAsia="宋体"/>
              </w:rPr>
            </w:pPr>
            <w:r w:rsidRPr="002B55E9">
              <w:rPr>
                <w:rFonts w:eastAsia="宋体"/>
              </w:rPr>
              <w:t>袋式除尘</w:t>
            </w:r>
          </w:p>
        </w:tc>
        <w:tc>
          <w:tcPr>
            <w:tcW w:w="428" w:type="dxa"/>
          </w:tcPr>
          <w:p w14:paraId="54423F63" w14:textId="6EF2728C" w:rsidR="00D170E5" w:rsidRPr="002B55E9" w:rsidRDefault="008F236A" w:rsidP="0022601A">
            <w:pPr>
              <w:pStyle w:val="lgy-"/>
              <w:rPr>
                <w:rFonts w:eastAsia="宋体"/>
              </w:rPr>
            </w:pPr>
            <w:r w:rsidRPr="002B55E9">
              <w:rPr>
                <w:rFonts w:eastAsia="宋体"/>
              </w:rPr>
              <w:t>60</w:t>
            </w:r>
            <w:r w:rsidR="00EF27AD" w:rsidRPr="002B55E9">
              <w:rPr>
                <w:rFonts w:eastAsia="宋体"/>
              </w:rPr>
              <w:t>%</w:t>
            </w:r>
          </w:p>
        </w:tc>
        <w:tc>
          <w:tcPr>
            <w:tcW w:w="902" w:type="dxa"/>
          </w:tcPr>
          <w:p w14:paraId="0C869368" w14:textId="77777777" w:rsidR="00D170E5" w:rsidRPr="002B55E9" w:rsidRDefault="00EF27AD" w:rsidP="0022601A">
            <w:pPr>
              <w:pStyle w:val="lgy-"/>
              <w:rPr>
                <w:rFonts w:eastAsia="宋体"/>
              </w:rPr>
            </w:pPr>
            <w:r w:rsidRPr="002B55E9">
              <w:rPr>
                <w:rFonts w:eastAsia="宋体"/>
              </w:rPr>
              <w:t>2.54</w:t>
            </w:r>
          </w:p>
        </w:tc>
        <w:tc>
          <w:tcPr>
            <w:tcW w:w="812" w:type="dxa"/>
          </w:tcPr>
          <w:p w14:paraId="21D1B97A" w14:textId="77777777" w:rsidR="00D170E5" w:rsidRPr="002B55E9" w:rsidRDefault="00EF27AD" w:rsidP="0022601A">
            <w:pPr>
              <w:pStyle w:val="lgy-"/>
              <w:rPr>
                <w:rFonts w:eastAsia="宋体"/>
              </w:rPr>
            </w:pPr>
            <w:r w:rsidRPr="002B55E9">
              <w:rPr>
                <w:rFonts w:eastAsia="宋体"/>
              </w:rPr>
              <w:t>0.013</w:t>
            </w:r>
          </w:p>
        </w:tc>
        <w:tc>
          <w:tcPr>
            <w:tcW w:w="546" w:type="dxa"/>
          </w:tcPr>
          <w:p w14:paraId="05C535BF" w14:textId="77777777" w:rsidR="00D170E5" w:rsidRPr="002B55E9" w:rsidRDefault="00EF27AD" w:rsidP="0022601A">
            <w:pPr>
              <w:pStyle w:val="lgy-"/>
              <w:rPr>
                <w:rFonts w:eastAsia="宋体"/>
              </w:rPr>
            </w:pPr>
            <w:r w:rsidRPr="002B55E9">
              <w:rPr>
                <w:rFonts w:eastAsia="宋体"/>
              </w:rPr>
              <w:t>0.013</w:t>
            </w:r>
          </w:p>
        </w:tc>
      </w:tr>
      <w:tr w:rsidR="002B55E9" w:rsidRPr="002B55E9" w14:paraId="17D25B8F" w14:textId="77777777" w:rsidTr="0022601A">
        <w:trPr>
          <w:trHeight w:val="283"/>
        </w:trPr>
        <w:tc>
          <w:tcPr>
            <w:tcW w:w="670" w:type="dxa"/>
            <w:noWrap/>
          </w:tcPr>
          <w:p w14:paraId="4509C5D4" w14:textId="77777777" w:rsidR="0022601A" w:rsidRPr="002B55E9" w:rsidRDefault="0022601A" w:rsidP="0022601A">
            <w:pPr>
              <w:pStyle w:val="lgy-"/>
              <w:rPr>
                <w:rFonts w:eastAsia="宋体"/>
              </w:rPr>
            </w:pPr>
            <w:r w:rsidRPr="002B55E9">
              <w:rPr>
                <w:rFonts w:eastAsia="宋体"/>
              </w:rPr>
              <w:t>DA002</w:t>
            </w:r>
          </w:p>
        </w:tc>
        <w:tc>
          <w:tcPr>
            <w:tcW w:w="956" w:type="dxa"/>
            <w:noWrap/>
          </w:tcPr>
          <w:p w14:paraId="22F73D0B" w14:textId="77777777" w:rsidR="0022601A" w:rsidRPr="002B55E9" w:rsidRDefault="0022601A" w:rsidP="0022601A">
            <w:pPr>
              <w:pStyle w:val="lgy-"/>
              <w:rPr>
                <w:rFonts w:eastAsia="宋体"/>
              </w:rPr>
            </w:pPr>
            <w:r w:rsidRPr="002B55E9">
              <w:rPr>
                <w:rFonts w:eastAsia="宋体" w:hint="eastAsia"/>
              </w:rPr>
              <w:t>料酒生产</w:t>
            </w:r>
          </w:p>
        </w:tc>
        <w:tc>
          <w:tcPr>
            <w:tcW w:w="528" w:type="dxa"/>
          </w:tcPr>
          <w:p w14:paraId="01ED9F79" w14:textId="21D1FD4B" w:rsidR="0022601A" w:rsidRPr="002B55E9" w:rsidRDefault="0022601A" w:rsidP="0022601A">
            <w:pPr>
              <w:pStyle w:val="lgy-"/>
              <w:rPr>
                <w:rFonts w:eastAsia="宋体"/>
              </w:rPr>
            </w:pPr>
            <w:r w:rsidRPr="002B55E9">
              <w:rPr>
                <w:rFonts w:eastAsia="宋体"/>
              </w:rPr>
              <w:t>非甲烷总烃</w:t>
            </w:r>
          </w:p>
        </w:tc>
        <w:tc>
          <w:tcPr>
            <w:tcW w:w="933" w:type="dxa"/>
          </w:tcPr>
          <w:p w14:paraId="140B9B95" w14:textId="5CB99986" w:rsidR="0022601A" w:rsidRPr="002B55E9" w:rsidRDefault="0022601A" w:rsidP="0022601A">
            <w:pPr>
              <w:pStyle w:val="lgy-"/>
              <w:rPr>
                <w:rFonts w:eastAsia="宋体"/>
              </w:rPr>
            </w:pPr>
            <w:r w:rsidRPr="002B55E9">
              <w:rPr>
                <w:rFonts w:eastAsia="宋体" w:hint="eastAsia"/>
                <w:szCs w:val="22"/>
              </w:rPr>
              <w:t>324.09</w:t>
            </w:r>
          </w:p>
        </w:tc>
        <w:tc>
          <w:tcPr>
            <w:tcW w:w="837" w:type="dxa"/>
          </w:tcPr>
          <w:p w14:paraId="1C5C6692" w14:textId="58E1DFE5" w:rsidR="0022601A" w:rsidRPr="002B55E9" w:rsidRDefault="0022601A" w:rsidP="0022601A">
            <w:pPr>
              <w:pStyle w:val="lgy-"/>
              <w:rPr>
                <w:rFonts w:eastAsia="宋体"/>
              </w:rPr>
            </w:pPr>
            <w:r w:rsidRPr="002B55E9">
              <w:rPr>
                <w:rFonts w:eastAsia="宋体" w:hint="eastAsia"/>
                <w:szCs w:val="22"/>
              </w:rPr>
              <w:t>1.783</w:t>
            </w:r>
          </w:p>
        </w:tc>
        <w:tc>
          <w:tcPr>
            <w:tcW w:w="671" w:type="dxa"/>
          </w:tcPr>
          <w:p w14:paraId="1FD7A570" w14:textId="68DB2B93" w:rsidR="0022601A" w:rsidRPr="002B55E9" w:rsidRDefault="0022601A" w:rsidP="0022601A">
            <w:pPr>
              <w:pStyle w:val="lgy-"/>
              <w:rPr>
                <w:rFonts w:eastAsia="宋体"/>
              </w:rPr>
            </w:pPr>
            <w:r w:rsidRPr="002B55E9">
              <w:rPr>
                <w:rFonts w:eastAsia="宋体" w:hint="eastAsia"/>
                <w:szCs w:val="22"/>
              </w:rPr>
              <w:t>4.695</w:t>
            </w:r>
          </w:p>
        </w:tc>
        <w:tc>
          <w:tcPr>
            <w:tcW w:w="887" w:type="dxa"/>
          </w:tcPr>
          <w:p w14:paraId="2EF28E95" w14:textId="77777777" w:rsidR="0022601A" w:rsidRPr="002B55E9" w:rsidRDefault="0022601A" w:rsidP="0022601A">
            <w:pPr>
              <w:pStyle w:val="lgy-"/>
              <w:rPr>
                <w:rFonts w:eastAsia="宋体"/>
              </w:rPr>
            </w:pPr>
            <w:r w:rsidRPr="002B55E9">
              <w:rPr>
                <w:rFonts w:eastAsia="宋体" w:hint="eastAsia"/>
              </w:rPr>
              <w:t>密闭管道</w:t>
            </w:r>
            <w:r w:rsidRPr="002B55E9">
              <w:rPr>
                <w:rFonts w:eastAsia="宋体"/>
              </w:rPr>
              <w:t>，效率</w:t>
            </w:r>
            <w:r w:rsidRPr="002B55E9">
              <w:rPr>
                <w:rFonts w:eastAsia="宋体"/>
              </w:rPr>
              <w:t>100%</w:t>
            </w:r>
          </w:p>
        </w:tc>
        <w:tc>
          <w:tcPr>
            <w:tcW w:w="759" w:type="dxa"/>
          </w:tcPr>
          <w:p w14:paraId="2A54BC41" w14:textId="77777777" w:rsidR="0022601A" w:rsidRPr="002B55E9" w:rsidRDefault="0022601A" w:rsidP="0022601A">
            <w:pPr>
              <w:pStyle w:val="lgy-"/>
              <w:rPr>
                <w:rFonts w:eastAsia="宋体"/>
              </w:rPr>
            </w:pPr>
            <w:r w:rsidRPr="002B55E9">
              <w:rPr>
                <w:rFonts w:eastAsia="宋体"/>
              </w:rPr>
              <w:t>5500</w:t>
            </w:r>
          </w:p>
        </w:tc>
        <w:tc>
          <w:tcPr>
            <w:tcW w:w="709" w:type="dxa"/>
          </w:tcPr>
          <w:p w14:paraId="0FC6C017" w14:textId="50432E19" w:rsidR="0022601A" w:rsidRPr="002B55E9" w:rsidRDefault="0022601A" w:rsidP="0022601A">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428" w:type="dxa"/>
          </w:tcPr>
          <w:p w14:paraId="56C3E7DA" w14:textId="31CE9086" w:rsidR="0022601A" w:rsidRPr="002B55E9" w:rsidRDefault="0022601A" w:rsidP="0022601A">
            <w:pPr>
              <w:pStyle w:val="lgy-"/>
              <w:rPr>
                <w:rFonts w:eastAsia="宋体"/>
              </w:rPr>
            </w:pPr>
            <w:r w:rsidRPr="002B55E9">
              <w:rPr>
                <w:rFonts w:eastAsia="宋体"/>
              </w:rPr>
              <w:t>85%</w:t>
            </w:r>
          </w:p>
        </w:tc>
        <w:tc>
          <w:tcPr>
            <w:tcW w:w="902" w:type="dxa"/>
          </w:tcPr>
          <w:p w14:paraId="34A28A8F" w14:textId="3DC9A579" w:rsidR="0022601A" w:rsidRPr="002B55E9" w:rsidRDefault="0022601A" w:rsidP="0022601A">
            <w:pPr>
              <w:pStyle w:val="lgy-"/>
              <w:rPr>
                <w:rFonts w:eastAsia="宋体"/>
              </w:rPr>
            </w:pPr>
            <w:r w:rsidRPr="002B55E9">
              <w:rPr>
                <w:rFonts w:eastAsia="宋体"/>
              </w:rPr>
              <w:t>48.51</w:t>
            </w:r>
          </w:p>
        </w:tc>
        <w:tc>
          <w:tcPr>
            <w:tcW w:w="812" w:type="dxa"/>
          </w:tcPr>
          <w:p w14:paraId="5AAA6D29" w14:textId="0AA72D3C" w:rsidR="0022601A" w:rsidRPr="002B55E9" w:rsidRDefault="0022601A" w:rsidP="0022601A">
            <w:pPr>
              <w:pStyle w:val="lgy-"/>
              <w:rPr>
                <w:rFonts w:eastAsia="宋体"/>
              </w:rPr>
            </w:pPr>
            <w:r w:rsidRPr="002B55E9">
              <w:rPr>
                <w:rFonts w:eastAsia="宋体"/>
              </w:rPr>
              <w:t>0.267</w:t>
            </w:r>
          </w:p>
        </w:tc>
        <w:tc>
          <w:tcPr>
            <w:tcW w:w="546" w:type="dxa"/>
          </w:tcPr>
          <w:p w14:paraId="572A963C" w14:textId="07AB663E" w:rsidR="0022601A" w:rsidRPr="002B55E9" w:rsidRDefault="0022601A" w:rsidP="0022601A">
            <w:pPr>
              <w:pStyle w:val="lgy-"/>
              <w:rPr>
                <w:rFonts w:eastAsia="宋体"/>
              </w:rPr>
            </w:pPr>
            <w:r w:rsidRPr="002B55E9">
              <w:rPr>
                <w:rFonts w:eastAsia="宋体"/>
              </w:rPr>
              <w:t>0.704</w:t>
            </w:r>
          </w:p>
        </w:tc>
      </w:tr>
    </w:tbl>
    <w:p w14:paraId="7C0F35AB" w14:textId="77777777" w:rsidR="00D170E5" w:rsidRPr="002B55E9" w:rsidRDefault="00EF27AD">
      <w:pPr>
        <w:pStyle w:val="1f3"/>
        <w:spacing w:beforeLines="0" w:before="0" w:line="360" w:lineRule="auto"/>
        <w:ind w:firstLineChars="200" w:firstLine="480"/>
        <w:jc w:val="left"/>
        <w:rPr>
          <w:rFonts w:eastAsia="宋体"/>
          <w:b w:val="0"/>
          <w:bCs/>
          <w:snapToGrid w:val="0"/>
        </w:rPr>
      </w:pPr>
      <w:r w:rsidRPr="002B55E9">
        <w:rPr>
          <w:rFonts w:eastAsia="宋体" w:hint="eastAsia"/>
          <w:b w:val="0"/>
          <w:bCs/>
          <w:snapToGrid w:val="0"/>
        </w:rPr>
        <w:t>料酒生产线无组织</w:t>
      </w:r>
      <w:r w:rsidRPr="002B55E9">
        <w:rPr>
          <w:rFonts w:eastAsia="宋体"/>
          <w:b w:val="0"/>
          <w:bCs/>
          <w:snapToGrid w:val="0"/>
        </w:rPr>
        <w:t>排放情况见下表。</w:t>
      </w:r>
    </w:p>
    <w:p w14:paraId="0D034400"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-3-7  </w:t>
      </w:r>
      <w:r w:rsidRPr="002B55E9">
        <w:rPr>
          <w:rFonts w:hint="eastAsia"/>
        </w:rPr>
        <w:t>料酒</w:t>
      </w:r>
      <w:r w:rsidRPr="002B55E9">
        <w:t>生产无组织废气</w:t>
      </w:r>
      <w:r w:rsidRPr="002B55E9">
        <w:rPr>
          <w:rFonts w:hint="eastAsia"/>
        </w:rPr>
        <w:t>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1398"/>
        <w:gridCol w:w="855"/>
        <w:gridCol w:w="999"/>
        <w:gridCol w:w="855"/>
        <w:gridCol w:w="1283"/>
        <w:gridCol w:w="1141"/>
        <w:gridCol w:w="1568"/>
        <w:gridCol w:w="1595"/>
      </w:tblGrid>
      <w:tr w:rsidR="002B55E9" w:rsidRPr="002B55E9" w14:paraId="6F8AE955"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390" w:type="dxa"/>
            <w:vMerge w:val="restart"/>
            <w:noWrap/>
          </w:tcPr>
          <w:p w14:paraId="51547663" w14:textId="77777777" w:rsidR="00D170E5" w:rsidRPr="002B55E9" w:rsidRDefault="00EF27AD">
            <w:pPr>
              <w:pStyle w:val="lgy-"/>
            </w:pPr>
            <w:r w:rsidRPr="002B55E9">
              <w:rPr>
                <w:rFonts w:eastAsia="宋体"/>
              </w:rPr>
              <w:t>厂房名称</w:t>
            </w:r>
          </w:p>
        </w:tc>
        <w:tc>
          <w:tcPr>
            <w:tcW w:w="3969" w:type="dxa"/>
            <w:gridSpan w:val="4"/>
            <w:noWrap/>
          </w:tcPr>
          <w:p w14:paraId="304E8B42" w14:textId="77777777" w:rsidR="00D170E5" w:rsidRPr="002B55E9" w:rsidRDefault="00EF27AD" w:rsidP="00EF27AD">
            <w:pPr>
              <w:pStyle w:val="lgy-"/>
            </w:pPr>
            <w:r w:rsidRPr="002B55E9">
              <w:rPr>
                <w:rFonts w:eastAsia="宋体"/>
              </w:rPr>
              <w:t>排放参数</w:t>
            </w:r>
          </w:p>
        </w:tc>
        <w:tc>
          <w:tcPr>
            <w:tcW w:w="4279" w:type="dxa"/>
            <w:gridSpan w:val="3"/>
            <w:noWrap/>
          </w:tcPr>
          <w:p w14:paraId="50412DE7" w14:textId="77777777" w:rsidR="00D170E5" w:rsidRPr="002B55E9" w:rsidRDefault="00EF27AD">
            <w:pPr>
              <w:pStyle w:val="lgy-"/>
              <w:rPr>
                <w:rFonts w:eastAsia="宋体"/>
              </w:rPr>
            </w:pPr>
            <w:r w:rsidRPr="002B55E9">
              <w:rPr>
                <w:rFonts w:eastAsia="宋体"/>
              </w:rPr>
              <w:t>无组织排放情况</w:t>
            </w:r>
          </w:p>
        </w:tc>
      </w:tr>
      <w:tr w:rsidR="002B55E9" w:rsidRPr="002B55E9" w14:paraId="56260555" w14:textId="77777777" w:rsidTr="00EF27AD">
        <w:trPr>
          <w:trHeight w:val="283"/>
        </w:trPr>
        <w:tc>
          <w:tcPr>
            <w:tcW w:w="1390" w:type="dxa"/>
            <w:vMerge/>
          </w:tcPr>
          <w:p w14:paraId="3F2649BB" w14:textId="77777777" w:rsidR="00D170E5" w:rsidRPr="002B55E9" w:rsidRDefault="00D170E5">
            <w:pPr>
              <w:pStyle w:val="lgy-"/>
            </w:pPr>
          </w:p>
        </w:tc>
        <w:tc>
          <w:tcPr>
            <w:tcW w:w="850" w:type="dxa"/>
            <w:noWrap/>
          </w:tcPr>
          <w:p w14:paraId="3AE75B7B" w14:textId="77777777" w:rsidR="00D170E5" w:rsidRPr="002B55E9" w:rsidRDefault="00EF27AD">
            <w:pPr>
              <w:pStyle w:val="lgy-"/>
            </w:pPr>
            <w:r w:rsidRPr="002B55E9">
              <w:rPr>
                <w:rFonts w:eastAsia="宋体"/>
              </w:rPr>
              <w:t>长度</w:t>
            </w:r>
            <w:r w:rsidRPr="002B55E9">
              <w:rPr>
                <w:rFonts w:eastAsia="宋体"/>
              </w:rPr>
              <w:t>m</w:t>
            </w:r>
          </w:p>
        </w:tc>
        <w:tc>
          <w:tcPr>
            <w:tcW w:w="993" w:type="dxa"/>
          </w:tcPr>
          <w:p w14:paraId="58AD61A3" w14:textId="77777777" w:rsidR="00D170E5" w:rsidRPr="002B55E9" w:rsidRDefault="00EF27AD">
            <w:pPr>
              <w:pStyle w:val="lgy-"/>
            </w:pPr>
            <w:r w:rsidRPr="002B55E9">
              <w:rPr>
                <w:rFonts w:eastAsia="宋体"/>
              </w:rPr>
              <w:t>宽度</w:t>
            </w:r>
            <w:r w:rsidRPr="002B55E9">
              <w:rPr>
                <w:rFonts w:eastAsia="宋体"/>
              </w:rPr>
              <w:t>m</w:t>
            </w:r>
          </w:p>
        </w:tc>
        <w:tc>
          <w:tcPr>
            <w:tcW w:w="850" w:type="dxa"/>
            <w:noWrap/>
          </w:tcPr>
          <w:p w14:paraId="0E878FE5" w14:textId="77777777" w:rsidR="00D170E5" w:rsidRPr="002B55E9" w:rsidRDefault="00EF27AD">
            <w:pPr>
              <w:pStyle w:val="lgy-"/>
            </w:pPr>
            <w:r w:rsidRPr="002B55E9">
              <w:rPr>
                <w:rFonts w:eastAsia="宋体"/>
              </w:rPr>
              <w:t>高度</w:t>
            </w:r>
            <w:r w:rsidRPr="002B55E9">
              <w:rPr>
                <w:rFonts w:eastAsia="宋体"/>
              </w:rPr>
              <w:t>m</w:t>
            </w:r>
          </w:p>
        </w:tc>
        <w:tc>
          <w:tcPr>
            <w:tcW w:w="1276" w:type="dxa"/>
            <w:noWrap/>
          </w:tcPr>
          <w:p w14:paraId="01A80A54" w14:textId="77777777" w:rsidR="00D170E5" w:rsidRPr="002B55E9" w:rsidRDefault="00EF27AD">
            <w:pPr>
              <w:pStyle w:val="lgy-"/>
            </w:pPr>
            <w:r w:rsidRPr="002B55E9">
              <w:rPr>
                <w:rFonts w:eastAsia="宋体"/>
              </w:rPr>
              <w:t>年排放时间</w:t>
            </w:r>
            <w:r w:rsidRPr="002B55E9">
              <w:rPr>
                <w:rFonts w:eastAsia="宋体"/>
              </w:rPr>
              <w:t>h</w:t>
            </w:r>
          </w:p>
        </w:tc>
        <w:tc>
          <w:tcPr>
            <w:tcW w:w="1134" w:type="dxa"/>
            <w:noWrap/>
          </w:tcPr>
          <w:p w14:paraId="26A0EC98" w14:textId="77777777" w:rsidR="00D170E5" w:rsidRPr="002B55E9" w:rsidRDefault="00EF27AD">
            <w:pPr>
              <w:pStyle w:val="lgy-"/>
            </w:pPr>
            <w:r w:rsidRPr="002B55E9">
              <w:rPr>
                <w:rFonts w:eastAsia="宋体"/>
              </w:rPr>
              <w:t>污染物名称</w:t>
            </w:r>
          </w:p>
        </w:tc>
        <w:tc>
          <w:tcPr>
            <w:tcW w:w="1559" w:type="dxa"/>
          </w:tcPr>
          <w:p w14:paraId="06A13FEA" w14:textId="77777777" w:rsidR="00D170E5" w:rsidRPr="002B55E9" w:rsidRDefault="00EF27AD">
            <w:pPr>
              <w:pStyle w:val="lgy-"/>
            </w:pPr>
            <w:r w:rsidRPr="002B55E9">
              <w:rPr>
                <w:rFonts w:eastAsia="宋体"/>
              </w:rPr>
              <w:t>排放量（</w:t>
            </w:r>
            <w:r w:rsidRPr="002B55E9">
              <w:rPr>
                <w:rFonts w:eastAsia="宋体"/>
              </w:rPr>
              <w:t>t/a</w:t>
            </w:r>
            <w:r w:rsidRPr="002B55E9">
              <w:rPr>
                <w:rFonts w:eastAsia="宋体"/>
              </w:rPr>
              <w:t>）</w:t>
            </w:r>
          </w:p>
        </w:tc>
        <w:tc>
          <w:tcPr>
            <w:tcW w:w="1586" w:type="dxa"/>
          </w:tcPr>
          <w:p w14:paraId="731DB7ED" w14:textId="77777777" w:rsidR="00D170E5" w:rsidRPr="002B55E9" w:rsidRDefault="00EF27AD">
            <w:pPr>
              <w:pStyle w:val="lgy-"/>
              <w:rPr>
                <w:rFonts w:eastAsia="宋体"/>
              </w:rPr>
            </w:pPr>
            <w:r w:rsidRPr="002B55E9">
              <w:rPr>
                <w:rFonts w:eastAsia="宋体"/>
              </w:rPr>
              <w:t>排放速率（</w:t>
            </w:r>
            <w:r w:rsidRPr="002B55E9">
              <w:rPr>
                <w:rFonts w:eastAsia="宋体"/>
              </w:rPr>
              <w:t>kg/h</w:t>
            </w:r>
            <w:r w:rsidRPr="002B55E9">
              <w:rPr>
                <w:rFonts w:eastAsia="宋体"/>
              </w:rPr>
              <w:t>）</w:t>
            </w:r>
          </w:p>
        </w:tc>
      </w:tr>
      <w:tr w:rsidR="002B55E9" w:rsidRPr="002B55E9" w14:paraId="781CF471" w14:textId="77777777" w:rsidTr="00EF27AD">
        <w:trPr>
          <w:trHeight w:val="283"/>
        </w:trPr>
        <w:tc>
          <w:tcPr>
            <w:tcW w:w="1390" w:type="dxa"/>
            <w:noWrap/>
          </w:tcPr>
          <w:p w14:paraId="0BA76446" w14:textId="77777777" w:rsidR="00D170E5" w:rsidRPr="002B55E9" w:rsidRDefault="00EF27AD">
            <w:pPr>
              <w:pStyle w:val="lgy-"/>
            </w:pPr>
            <w:r w:rsidRPr="002B55E9">
              <w:rPr>
                <w:rFonts w:eastAsia="宋体"/>
              </w:rPr>
              <w:t>十</w:t>
            </w:r>
            <w:r w:rsidRPr="002B55E9">
              <w:rPr>
                <w:rFonts w:eastAsia="宋体" w:hint="eastAsia"/>
              </w:rPr>
              <w:t>三</w:t>
            </w:r>
            <w:r w:rsidRPr="002B55E9">
              <w:rPr>
                <w:rFonts w:eastAsia="宋体"/>
              </w:rPr>
              <w:t>车间</w:t>
            </w:r>
          </w:p>
        </w:tc>
        <w:tc>
          <w:tcPr>
            <w:tcW w:w="850" w:type="dxa"/>
            <w:noWrap/>
          </w:tcPr>
          <w:p w14:paraId="2FBE9577" w14:textId="77777777" w:rsidR="00D170E5" w:rsidRPr="002B55E9" w:rsidRDefault="00EF27AD">
            <w:pPr>
              <w:pStyle w:val="lgy-"/>
            </w:pPr>
            <w:r w:rsidRPr="002B55E9">
              <w:rPr>
                <w:rFonts w:eastAsia="宋体"/>
              </w:rPr>
              <w:t>164</w:t>
            </w:r>
          </w:p>
        </w:tc>
        <w:tc>
          <w:tcPr>
            <w:tcW w:w="993" w:type="dxa"/>
            <w:noWrap/>
          </w:tcPr>
          <w:p w14:paraId="3D78CD5F" w14:textId="77777777" w:rsidR="00D170E5" w:rsidRPr="002B55E9" w:rsidRDefault="00EF27AD">
            <w:pPr>
              <w:pStyle w:val="lgy-"/>
            </w:pPr>
            <w:r w:rsidRPr="002B55E9">
              <w:rPr>
                <w:rFonts w:eastAsia="宋体"/>
              </w:rPr>
              <w:t>40</w:t>
            </w:r>
          </w:p>
        </w:tc>
        <w:tc>
          <w:tcPr>
            <w:tcW w:w="850" w:type="dxa"/>
            <w:noWrap/>
          </w:tcPr>
          <w:p w14:paraId="5E6B98DD" w14:textId="77777777" w:rsidR="00D170E5" w:rsidRPr="002B55E9" w:rsidRDefault="00EF27AD">
            <w:pPr>
              <w:pStyle w:val="lgy-"/>
            </w:pPr>
            <w:r w:rsidRPr="002B55E9">
              <w:rPr>
                <w:rFonts w:eastAsia="宋体"/>
              </w:rPr>
              <w:t>15.7</w:t>
            </w:r>
          </w:p>
        </w:tc>
        <w:tc>
          <w:tcPr>
            <w:tcW w:w="1276" w:type="dxa"/>
            <w:noWrap/>
          </w:tcPr>
          <w:p w14:paraId="60D450F1" w14:textId="77777777" w:rsidR="00D170E5" w:rsidRPr="002B55E9" w:rsidRDefault="00EF27AD">
            <w:pPr>
              <w:pStyle w:val="lgy-"/>
            </w:pPr>
            <w:r w:rsidRPr="002B55E9">
              <w:rPr>
                <w:rFonts w:eastAsia="宋体"/>
              </w:rPr>
              <w:t>1000</w:t>
            </w:r>
          </w:p>
        </w:tc>
        <w:tc>
          <w:tcPr>
            <w:tcW w:w="1134" w:type="dxa"/>
          </w:tcPr>
          <w:p w14:paraId="4C3214A7" w14:textId="77777777" w:rsidR="00D170E5" w:rsidRPr="002B55E9" w:rsidRDefault="00EF27AD">
            <w:pPr>
              <w:pStyle w:val="lgy-"/>
            </w:pPr>
            <w:r w:rsidRPr="002B55E9">
              <w:rPr>
                <w:rFonts w:eastAsia="宋体" w:hint="eastAsia"/>
              </w:rPr>
              <w:t>颗粒物</w:t>
            </w:r>
          </w:p>
        </w:tc>
        <w:tc>
          <w:tcPr>
            <w:tcW w:w="1559" w:type="dxa"/>
          </w:tcPr>
          <w:p w14:paraId="384F221C" w14:textId="77777777" w:rsidR="00D170E5" w:rsidRPr="002B55E9" w:rsidRDefault="00EF27AD">
            <w:pPr>
              <w:pStyle w:val="lgy-"/>
            </w:pPr>
            <w:r w:rsidRPr="002B55E9">
              <w:rPr>
                <w:rFonts w:eastAsia="宋体" w:hint="eastAsia"/>
              </w:rPr>
              <w:t>0.014</w:t>
            </w:r>
          </w:p>
        </w:tc>
        <w:tc>
          <w:tcPr>
            <w:tcW w:w="1586" w:type="dxa"/>
          </w:tcPr>
          <w:p w14:paraId="4EDC6509" w14:textId="77777777" w:rsidR="00D170E5" w:rsidRPr="002B55E9" w:rsidRDefault="00EF27AD">
            <w:pPr>
              <w:pStyle w:val="lgy-"/>
              <w:rPr>
                <w:rFonts w:eastAsia="宋体"/>
              </w:rPr>
            </w:pPr>
            <w:r w:rsidRPr="002B55E9">
              <w:rPr>
                <w:rFonts w:eastAsia="宋体" w:hint="eastAsia"/>
              </w:rPr>
              <w:t>0.014</w:t>
            </w:r>
          </w:p>
        </w:tc>
      </w:tr>
    </w:tbl>
    <w:p w14:paraId="09DA7BA8" w14:textId="77777777" w:rsidR="00D170E5" w:rsidRPr="002B55E9" w:rsidRDefault="00D170E5"/>
    <w:p w14:paraId="1DC67F06" w14:textId="77777777" w:rsidR="00D170E5" w:rsidRPr="002B55E9" w:rsidRDefault="00EF27AD">
      <w:pPr>
        <w:pStyle w:val="5"/>
      </w:pPr>
      <w:r w:rsidRPr="002B55E9">
        <w:rPr>
          <w:rFonts w:hint="eastAsia"/>
        </w:rPr>
        <w:t>白米醋生产</w:t>
      </w:r>
      <w:r w:rsidRPr="002B55E9">
        <w:t>工艺废气</w:t>
      </w:r>
    </w:p>
    <w:p w14:paraId="6303DC59" w14:textId="77777777" w:rsidR="00D170E5" w:rsidRPr="002B55E9" w:rsidRDefault="00EF27AD">
      <w:pPr>
        <w:pStyle w:val="affff7"/>
        <w:snapToGrid w:val="0"/>
        <w:spacing w:after="0"/>
      </w:pPr>
      <w:r w:rsidRPr="002B55E9">
        <w:rPr>
          <w:rFonts w:hint="eastAsia"/>
        </w:rPr>
        <w:t>白米醋生产过程中的工艺废气主要为酒精发酵废气（</w:t>
      </w:r>
      <w:r w:rsidRPr="002B55E9">
        <w:rPr>
          <w:rFonts w:hint="eastAsia"/>
        </w:rPr>
        <w:t>G</w:t>
      </w:r>
      <w:r w:rsidRPr="002B55E9">
        <w:t>2-1</w:t>
      </w:r>
      <w:r w:rsidRPr="002B55E9">
        <w:rPr>
          <w:rFonts w:hint="eastAsia"/>
        </w:rPr>
        <w:t>）、酒液调配废气（</w:t>
      </w:r>
      <w:r w:rsidRPr="002B55E9">
        <w:rPr>
          <w:rFonts w:hint="eastAsia"/>
        </w:rPr>
        <w:t>G</w:t>
      </w:r>
      <w:r w:rsidRPr="002B55E9">
        <w:t>2-2</w:t>
      </w:r>
      <w:r w:rsidRPr="002B55E9">
        <w:rPr>
          <w:rFonts w:hint="eastAsia"/>
        </w:rPr>
        <w:t>）、醋酸发酵废气（</w:t>
      </w:r>
      <w:r w:rsidRPr="002B55E9">
        <w:rPr>
          <w:rFonts w:hint="eastAsia"/>
        </w:rPr>
        <w:t>G</w:t>
      </w:r>
      <w:r w:rsidRPr="002B55E9">
        <w:t>2-3</w:t>
      </w:r>
      <w:r w:rsidRPr="002B55E9">
        <w:rPr>
          <w:rFonts w:hint="eastAsia"/>
        </w:rPr>
        <w:t>）、混合工序投料废气（</w:t>
      </w:r>
      <w:r w:rsidRPr="002B55E9">
        <w:rPr>
          <w:rFonts w:hint="eastAsia"/>
        </w:rPr>
        <w:t>G</w:t>
      </w:r>
      <w:r w:rsidRPr="002B55E9">
        <w:t>2-4</w:t>
      </w:r>
      <w:r w:rsidRPr="002B55E9">
        <w:rPr>
          <w:rFonts w:hint="eastAsia"/>
        </w:rPr>
        <w:t>）。</w:t>
      </w:r>
    </w:p>
    <w:p w14:paraId="26293400" w14:textId="77777777" w:rsidR="00D170E5" w:rsidRPr="002B55E9" w:rsidRDefault="00EF27AD">
      <w:pPr>
        <w:pStyle w:val="affff7"/>
        <w:snapToGrid w:val="0"/>
        <w:spacing w:after="0"/>
      </w:pPr>
      <w:r w:rsidRPr="002B55E9">
        <w:rPr>
          <w:rFonts w:hint="eastAsia"/>
        </w:rPr>
        <w:t>（</w:t>
      </w:r>
      <w:r w:rsidRPr="002B55E9">
        <w:rPr>
          <w:rFonts w:hint="eastAsia"/>
        </w:rPr>
        <w:t>1</w:t>
      </w:r>
      <w:r w:rsidRPr="002B55E9">
        <w:rPr>
          <w:rFonts w:hint="eastAsia"/>
        </w:rPr>
        <w:t>）酒精发酵废气</w:t>
      </w:r>
    </w:p>
    <w:p w14:paraId="15BCAC89" w14:textId="39E78EE7" w:rsidR="00D170E5" w:rsidRPr="002B55E9" w:rsidRDefault="00EF27AD">
      <w:pPr>
        <w:pStyle w:val="affff7"/>
        <w:snapToGrid w:val="0"/>
        <w:spacing w:after="0"/>
      </w:pPr>
      <w:r w:rsidRPr="002B55E9">
        <w:rPr>
          <w:rFonts w:hint="eastAsia"/>
        </w:rPr>
        <w:t>根据</w:t>
      </w:r>
      <w:r w:rsidRPr="002B55E9">
        <w:t>前述生产工艺</w:t>
      </w:r>
      <w:r w:rsidRPr="002B55E9">
        <w:rPr>
          <w:rFonts w:hint="eastAsia"/>
        </w:rPr>
        <w:t>可知</w:t>
      </w:r>
      <w:r w:rsidRPr="002B55E9">
        <w:t>，</w:t>
      </w:r>
      <w:r w:rsidRPr="002B55E9">
        <w:rPr>
          <w:rFonts w:hint="eastAsia"/>
        </w:rPr>
        <w:t>使用大米进行酒精发酵的主要</w:t>
      </w:r>
      <w:r w:rsidRPr="002B55E9">
        <w:t>产物为乙醇，同时会</w:t>
      </w:r>
      <w:r w:rsidRPr="002B55E9">
        <w:rPr>
          <w:rFonts w:hint="eastAsia"/>
        </w:rPr>
        <w:t>产生</w:t>
      </w:r>
      <w:r w:rsidRPr="002B55E9">
        <w:rPr>
          <w:rFonts w:hint="eastAsia"/>
        </w:rPr>
        <w:t>C</w:t>
      </w:r>
      <w:r w:rsidRPr="002B55E9">
        <w:t>O</w:t>
      </w:r>
      <w:r w:rsidRPr="002B55E9">
        <w:rPr>
          <w:vertAlign w:val="subscript"/>
        </w:rPr>
        <w:t>2</w:t>
      </w:r>
      <w:r w:rsidRPr="002B55E9">
        <w:rPr>
          <w:rFonts w:hint="eastAsia"/>
        </w:rPr>
        <w:t>等发酵</w:t>
      </w:r>
      <w:r w:rsidRPr="002B55E9">
        <w:t>废气</w:t>
      </w:r>
      <w:r w:rsidRPr="002B55E9">
        <w:rPr>
          <w:rFonts w:hint="eastAsia"/>
        </w:rPr>
        <w:t>，发酵罐顶部设有废气排放管，发酵废气经密闭管道收集后汇入一套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装置处理后由</w:t>
      </w:r>
      <w:r w:rsidRPr="002B55E9">
        <w:rPr>
          <w:rFonts w:hint="eastAsia"/>
        </w:rPr>
        <w:t>18m</w:t>
      </w:r>
      <w:r w:rsidRPr="002B55E9">
        <w:rPr>
          <w:rFonts w:hint="eastAsia"/>
        </w:rPr>
        <w:t>高</w:t>
      </w:r>
      <w:r w:rsidRPr="002B55E9">
        <w:t>排气筒</w:t>
      </w:r>
      <w:r w:rsidRPr="002B55E9">
        <w:rPr>
          <w:rFonts w:hint="eastAsia"/>
        </w:rPr>
        <w:t>（</w:t>
      </w:r>
      <w:r w:rsidRPr="002B55E9">
        <w:rPr>
          <w:rFonts w:hint="eastAsia"/>
        </w:rPr>
        <w:t>D</w:t>
      </w:r>
      <w:r w:rsidRPr="002B55E9">
        <w:t>A002</w:t>
      </w:r>
      <w:r w:rsidRPr="002B55E9">
        <w:rPr>
          <w:rFonts w:hint="eastAsia"/>
        </w:rPr>
        <w:t>）</w:t>
      </w:r>
      <w:r w:rsidRPr="002B55E9">
        <w:t>排放</w:t>
      </w:r>
      <w:r w:rsidRPr="002B55E9">
        <w:rPr>
          <w:rFonts w:hint="eastAsia"/>
        </w:rPr>
        <w:t>，随</w:t>
      </w:r>
      <w:r w:rsidRPr="002B55E9">
        <w:t>CO</w:t>
      </w:r>
      <w:r w:rsidRPr="002B55E9">
        <w:rPr>
          <w:vertAlign w:val="subscript"/>
        </w:rPr>
        <w:t>2</w:t>
      </w:r>
      <w:r w:rsidRPr="002B55E9">
        <w:rPr>
          <w:rFonts w:hint="eastAsia"/>
        </w:rPr>
        <w:t>一起有少量生成</w:t>
      </w:r>
      <w:r w:rsidRPr="002B55E9">
        <w:t>的</w:t>
      </w:r>
      <w:r w:rsidRPr="002B55E9">
        <w:rPr>
          <w:rFonts w:hint="eastAsia"/>
        </w:rPr>
        <w:t>乙醇排放，以</w:t>
      </w:r>
      <w:r w:rsidR="00924AFA" w:rsidRPr="002B55E9">
        <w:rPr>
          <w:rFonts w:hint="eastAsia"/>
        </w:rPr>
        <w:t>非甲烷总烃</w:t>
      </w:r>
      <w:r w:rsidRPr="002B55E9">
        <w:rPr>
          <w:rFonts w:hint="eastAsia"/>
        </w:rPr>
        <w:t>计。</w:t>
      </w:r>
    </w:p>
    <w:p w14:paraId="0233B0A8" w14:textId="77777777" w:rsidR="00D170E5" w:rsidRPr="002B55E9" w:rsidRDefault="00EF27AD">
      <w:pPr>
        <w:pStyle w:val="affff7"/>
        <w:snapToGrid w:val="0"/>
        <w:spacing w:after="0"/>
      </w:pPr>
      <w:r w:rsidRPr="002B55E9">
        <w:rPr>
          <w:rFonts w:hint="eastAsia"/>
        </w:rPr>
        <w:t>根据淀粉糖化转化为葡萄糖，糖化方程式如下：</w:t>
      </w:r>
    </w:p>
    <w:p w14:paraId="140CC8F1" w14:textId="77777777" w:rsidR="00D170E5" w:rsidRPr="002B55E9" w:rsidRDefault="00EF27AD">
      <w:pPr>
        <w:pStyle w:val="affff7"/>
        <w:snapToGrid w:val="0"/>
        <w:spacing w:after="0"/>
        <w:ind w:firstLineChars="0" w:firstLine="0"/>
        <w:jc w:val="center"/>
      </w:pPr>
      <w:r w:rsidRPr="002B55E9">
        <w:rPr>
          <w:noProof/>
        </w:rPr>
        <w:drawing>
          <wp:inline distT="0" distB="0" distL="0" distR="0" wp14:anchorId="36CA7EC9" wp14:editId="116EB5B8">
            <wp:extent cx="5275580" cy="396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5580" cy="396875"/>
                    </a:xfrm>
                    <a:prstGeom prst="rect">
                      <a:avLst/>
                    </a:prstGeom>
                    <a:noFill/>
                    <a:ln>
                      <a:noFill/>
                    </a:ln>
                  </pic:spPr>
                </pic:pic>
              </a:graphicData>
            </a:graphic>
          </wp:inline>
        </w:drawing>
      </w:r>
    </w:p>
    <w:p w14:paraId="498589F6" w14:textId="77777777" w:rsidR="00D170E5" w:rsidRPr="002B55E9" w:rsidRDefault="00EF27AD">
      <w:pPr>
        <w:pStyle w:val="affff7"/>
        <w:snapToGrid w:val="0"/>
        <w:spacing w:after="0"/>
      </w:pPr>
      <w:r w:rsidRPr="002B55E9">
        <w:rPr>
          <w:rFonts w:hint="eastAsia"/>
        </w:rPr>
        <w:t>本项目白米醋每批次用大米</w:t>
      </w:r>
      <w:r w:rsidRPr="002B55E9">
        <w:t>13.71</w:t>
      </w:r>
      <w:r w:rsidRPr="002B55E9">
        <w:rPr>
          <w:rFonts w:hint="eastAsia"/>
        </w:rPr>
        <w:t>t</w:t>
      </w:r>
      <w:r w:rsidRPr="002B55E9">
        <w:rPr>
          <w:rFonts w:hint="eastAsia"/>
        </w:rPr>
        <w:t>，大米的淀粉含量约为</w:t>
      </w:r>
      <w:r w:rsidRPr="002B55E9">
        <w:rPr>
          <w:rFonts w:hint="eastAsia"/>
        </w:rPr>
        <w:t>7</w:t>
      </w:r>
      <w:r w:rsidRPr="002B55E9">
        <w:t>0%</w:t>
      </w:r>
      <w:r w:rsidRPr="002B55E9">
        <w:rPr>
          <w:rFonts w:hint="eastAsia"/>
        </w:rPr>
        <w:t>，则淀粉</w:t>
      </w:r>
      <w:r w:rsidRPr="002B55E9">
        <w:t>总量</w:t>
      </w:r>
      <w:r w:rsidRPr="002B55E9">
        <w:rPr>
          <w:rFonts w:hint="eastAsia"/>
        </w:rPr>
        <w:t>约</w:t>
      </w:r>
      <w:r w:rsidRPr="002B55E9">
        <w:t>为</w:t>
      </w:r>
      <w:r w:rsidRPr="002B55E9">
        <w:t>9.59t</w:t>
      </w:r>
      <w:r w:rsidRPr="002B55E9">
        <w:t>，淀粉的分子量为</w:t>
      </w:r>
      <w:r w:rsidRPr="002B55E9">
        <w:rPr>
          <w:rFonts w:hint="eastAsia"/>
        </w:rPr>
        <w:t>1</w:t>
      </w:r>
      <w:r w:rsidRPr="002B55E9">
        <w:t>62n</w:t>
      </w:r>
      <w:r w:rsidRPr="002B55E9">
        <w:t>，葡萄糖的分子量为</w:t>
      </w:r>
      <w:r w:rsidRPr="002B55E9">
        <w:rPr>
          <w:rFonts w:hint="eastAsia"/>
        </w:rPr>
        <w:t>1</w:t>
      </w:r>
      <w:r w:rsidRPr="002B55E9">
        <w:t>80n</w:t>
      </w:r>
      <w:r w:rsidRPr="002B55E9">
        <w:t>，糖化过程开始时速度较快，当糖化率</w:t>
      </w:r>
      <w:r w:rsidRPr="002B55E9">
        <w:rPr>
          <w:rFonts w:hint="eastAsia"/>
        </w:rPr>
        <w:t>达到</w:t>
      </w:r>
      <w:r w:rsidRPr="002B55E9">
        <w:rPr>
          <w:rFonts w:hint="eastAsia"/>
        </w:rPr>
        <w:t>8</w:t>
      </w:r>
      <w:r w:rsidRPr="002B55E9">
        <w:t>5%</w:t>
      </w:r>
      <w:r w:rsidRPr="002B55E9">
        <w:t>时，糖化速率降低直至停止，本次评价糖化率按</w:t>
      </w:r>
      <w:r w:rsidRPr="002B55E9">
        <w:t>85%</w:t>
      </w:r>
      <w:r w:rsidRPr="002B55E9">
        <w:t>计，则</w:t>
      </w:r>
      <w:r w:rsidRPr="002B55E9">
        <w:rPr>
          <w:rFonts w:hint="eastAsia"/>
        </w:rPr>
        <w:t>每批次</w:t>
      </w:r>
      <w:r w:rsidRPr="002B55E9">
        <w:t>葡萄糖产生量约为</w:t>
      </w:r>
      <w:r w:rsidRPr="002B55E9">
        <w:t>9.06t</w:t>
      </w:r>
      <w:r w:rsidRPr="002B55E9">
        <w:t>。</w:t>
      </w:r>
    </w:p>
    <w:p w14:paraId="230A8CFE" w14:textId="77777777" w:rsidR="00D170E5" w:rsidRPr="002B55E9" w:rsidRDefault="00EF27AD">
      <w:pPr>
        <w:pStyle w:val="affff7"/>
        <w:snapToGrid w:val="0"/>
        <w:spacing w:after="0"/>
      </w:pPr>
      <w:r w:rsidRPr="002B55E9">
        <w:t>葡萄糖在酿酒酵母的作用下产生乙醇和</w:t>
      </w:r>
      <w:r w:rsidRPr="002B55E9">
        <w:rPr>
          <w:rFonts w:hint="eastAsia"/>
        </w:rPr>
        <w:t>C</w:t>
      </w:r>
      <w:r w:rsidRPr="002B55E9">
        <w:t>O</w:t>
      </w:r>
      <w:r w:rsidRPr="002B55E9">
        <w:rPr>
          <w:vertAlign w:val="subscript"/>
        </w:rPr>
        <w:t>2</w:t>
      </w:r>
      <w:r w:rsidRPr="002B55E9">
        <w:t>，发酵方程式如下：</w:t>
      </w:r>
    </w:p>
    <w:p w14:paraId="66CFB1F4" w14:textId="77777777" w:rsidR="00D170E5" w:rsidRPr="002B55E9" w:rsidRDefault="00EF27AD">
      <w:pPr>
        <w:pStyle w:val="affff7"/>
        <w:snapToGrid w:val="0"/>
        <w:spacing w:after="0"/>
        <w:ind w:firstLineChars="0" w:firstLine="0"/>
        <w:jc w:val="center"/>
      </w:pPr>
      <w:r w:rsidRPr="002B55E9">
        <w:rPr>
          <w:noProof/>
        </w:rPr>
        <w:drawing>
          <wp:inline distT="0" distB="0" distL="0" distR="0" wp14:anchorId="5F3E1F5F" wp14:editId="6D465CF2">
            <wp:extent cx="5275580" cy="396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5580" cy="396875"/>
                    </a:xfrm>
                    <a:prstGeom prst="rect">
                      <a:avLst/>
                    </a:prstGeom>
                    <a:noFill/>
                    <a:ln>
                      <a:noFill/>
                    </a:ln>
                  </pic:spPr>
                </pic:pic>
              </a:graphicData>
            </a:graphic>
          </wp:inline>
        </w:drawing>
      </w:r>
    </w:p>
    <w:p w14:paraId="48EADAFF" w14:textId="2CA99CEC" w:rsidR="00D170E5" w:rsidRPr="002B55E9" w:rsidRDefault="00EF27AD" w:rsidP="0022601A">
      <w:pPr>
        <w:pStyle w:val="affff7"/>
        <w:widowControl w:val="0"/>
        <w:snapToGrid w:val="0"/>
        <w:spacing w:after="0"/>
      </w:pPr>
      <w:r w:rsidRPr="002B55E9">
        <w:rPr>
          <w:rFonts w:hint="eastAsia"/>
        </w:rPr>
        <w:t>酒精发酵随葡萄糖</w:t>
      </w:r>
      <w:r w:rsidRPr="002B55E9">
        <w:t>的消耗</w:t>
      </w:r>
      <w:r w:rsidRPr="002B55E9">
        <w:rPr>
          <w:rFonts w:hint="eastAsia"/>
        </w:rPr>
        <w:t>其发酵速率逐渐降低，本次评价以乙醇发酵率</w:t>
      </w:r>
      <w:r w:rsidRPr="002B55E9">
        <w:rPr>
          <w:rFonts w:hint="eastAsia"/>
        </w:rPr>
        <w:t>8</w:t>
      </w:r>
      <w:r w:rsidRPr="002B55E9">
        <w:t>5%</w:t>
      </w:r>
      <w:r w:rsidRPr="002B55E9">
        <w:rPr>
          <w:rFonts w:hint="eastAsia"/>
        </w:rPr>
        <w:t>计，则每批次</w:t>
      </w:r>
      <w:r w:rsidR="009E34E1" w:rsidRPr="002B55E9">
        <w:rPr>
          <w:rFonts w:hint="eastAsia"/>
        </w:rPr>
        <w:t>由大米</w:t>
      </w:r>
      <w:r w:rsidRPr="002B55E9">
        <w:rPr>
          <w:rFonts w:hint="eastAsia"/>
        </w:rPr>
        <w:t>发酵</w:t>
      </w:r>
      <w:r w:rsidR="00E630AC" w:rsidRPr="002B55E9">
        <w:rPr>
          <w:rFonts w:hint="eastAsia"/>
        </w:rPr>
        <w:t>生成</w:t>
      </w:r>
      <w:r w:rsidRPr="002B55E9">
        <w:rPr>
          <w:rFonts w:hint="eastAsia"/>
        </w:rPr>
        <w:t>的乙醇量为</w:t>
      </w:r>
      <w:r w:rsidRPr="002B55E9">
        <w:t>3.936t/a</w:t>
      </w:r>
      <w:r w:rsidRPr="002B55E9">
        <w:rPr>
          <w:rFonts w:hint="eastAsia"/>
        </w:rPr>
        <w:t>，由于酒精发酵过程中会持续产生二氧化碳，通过呼吸管排出发酵系统，排出的二氧化碳会携带少量发酵产生的乙醇</w:t>
      </w:r>
      <w:r w:rsidR="00FD1739" w:rsidRPr="002B55E9">
        <w:rPr>
          <w:rFonts w:hint="eastAsia"/>
        </w:rPr>
        <w:t>及异味气体（以臭气浓度表征）</w:t>
      </w:r>
      <w:r w:rsidRPr="002B55E9">
        <w:rPr>
          <w:rFonts w:hint="eastAsia"/>
        </w:rPr>
        <w:t>，根据建设单位</w:t>
      </w:r>
      <w:r w:rsidRPr="002B55E9">
        <w:t>其他生产基地统计</w:t>
      </w:r>
      <w:r w:rsidRPr="002B55E9">
        <w:rPr>
          <w:rFonts w:hint="eastAsia"/>
        </w:rPr>
        <w:t>的经验</w:t>
      </w:r>
      <w:r w:rsidRPr="002B55E9">
        <w:t>数据</w:t>
      </w:r>
      <w:r w:rsidRPr="002B55E9">
        <w:rPr>
          <w:rFonts w:hint="eastAsia"/>
        </w:rPr>
        <w:t>，酒精发酵废气中</w:t>
      </w:r>
      <w:r w:rsidR="00924AFA" w:rsidRPr="002B55E9">
        <w:rPr>
          <w:rFonts w:hint="eastAsia"/>
        </w:rPr>
        <w:t>非甲烷总烃</w:t>
      </w:r>
      <w:r w:rsidRPr="002B55E9">
        <w:rPr>
          <w:rFonts w:hint="eastAsia"/>
        </w:rPr>
        <w:t>产生量约为二氧化碳气体量的</w:t>
      </w:r>
      <w:r w:rsidRPr="002B55E9">
        <w:t>0.1</w:t>
      </w:r>
      <w:r w:rsidRPr="002B55E9">
        <w:rPr>
          <w:rFonts w:hint="eastAsia"/>
        </w:rPr>
        <w:t>‰，每批次酒精发酵过程二氧化碳的产生量为</w:t>
      </w:r>
      <w:r w:rsidRPr="002B55E9">
        <w:t>3.765t/</w:t>
      </w:r>
      <w:r w:rsidRPr="002B55E9">
        <w:rPr>
          <w:rFonts w:hint="eastAsia"/>
        </w:rPr>
        <w:t>批次，则乙醇产生量为</w:t>
      </w:r>
      <w:r w:rsidRPr="002B55E9">
        <w:rPr>
          <w:rFonts w:hint="eastAsia"/>
        </w:rPr>
        <w:t>0</w:t>
      </w:r>
      <w:r w:rsidRPr="002B55E9">
        <w:t>.377kg/</w:t>
      </w:r>
      <w:r w:rsidRPr="002B55E9">
        <w:rPr>
          <w:rFonts w:hint="eastAsia"/>
        </w:rPr>
        <w:t>批次，项目发酵年生产</w:t>
      </w:r>
      <w:r w:rsidRPr="002B55E9">
        <w:t>34</w:t>
      </w:r>
      <w:r w:rsidRPr="002B55E9">
        <w:rPr>
          <w:rFonts w:hint="eastAsia"/>
        </w:rPr>
        <w:t>批次，则</w:t>
      </w:r>
      <w:r w:rsidR="00924AFA" w:rsidRPr="002B55E9">
        <w:rPr>
          <w:rFonts w:hint="eastAsia"/>
        </w:rPr>
        <w:t>非甲烷总烃</w:t>
      </w:r>
      <w:r w:rsidRPr="002B55E9">
        <w:rPr>
          <w:rFonts w:hint="eastAsia"/>
        </w:rPr>
        <w:t>产生量为</w:t>
      </w:r>
      <w:r w:rsidRPr="002B55E9">
        <w:t>0.013t/a</w:t>
      </w:r>
      <w:r w:rsidR="00FD1739" w:rsidRPr="002B55E9">
        <w:rPr>
          <w:rFonts w:hint="eastAsia"/>
        </w:rPr>
        <w:t>。对发酵异味源强的估算，由于其扩散机理复杂，国内外相关研究资料中尚未见到专门的系统报道，本</w:t>
      </w:r>
      <w:r w:rsidR="00C77F9F" w:rsidRPr="002B55E9">
        <w:rPr>
          <w:rFonts w:hint="eastAsia"/>
        </w:rPr>
        <w:t>次评价</w:t>
      </w:r>
      <w:r w:rsidR="00FD1739" w:rsidRPr="002B55E9">
        <w:rPr>
          <w:rFonts w:hint="eastAsia"/>
        </w:rPr>
        <w:t>针对项目产生的异味仅作定性分析。</w:t>
      </w:r>
      <w:r w:rsidRPr="002B55E9">
        <w:rPr>
          <w:rFonts w:hint="eastAsia"/>
        </w:rPr>
        <w:t>酒精发酵每批次用时</w:t>
      </w:r>
      <w:r w:rsidRPr="002B55E9">
        <w:t>14</w:t>
      </w:r>
      <w:r w:rsidRPr="002B55E9">
        <w:rPr>
          <w:rFonts w:hint="eastAsia"/>
        </w:rPr>
        <w:t>天，</w:t>
      </w:r>
      <w:r w:rsidRPr="002B55E9">
        <w:t>设置</w:t>
      </w:r>
      <w:r w:rsidRPr="002B55E9">
        <w:rPr>
          <w:rFonts w:hint="eastAsia"/>
        </w:rPr>
        <w:t>2</w:t>
      </w:r>
      <w:r w:rsidRPr="002B55E9">
        <w:rPr>
          <w:rFonts w:hint="eastAsia"/>
        </w:rPr>
        <w:t>台</w:t>
      </w:r>
      <w:r w:rsidRPr="002B55E9">
        <w:t>酒精发酵罐</w:t>
      </w:r>
      <w:r w:rsidRPr="002B55E9">
        <w:rPr>
          <w:rFonts w:hint="eastAsia"/>
        </w:rPr>
        <w:t>同时</w:t>
      </w:r>
      <w:r w:rsidRPr="002B55E9">
        <w:t>进行发酵，</w:t>
      </w:r>
      <w:r w:rsidR="0022601A" w:rsidRPr="002B55E9">
        <w:rPr>
          <w:rFonts w:hint="eastAsia"/>
        </w:rPr>
        <w:t>发酵罐为全密闭设备，</w:t>
      </w:r>
      <w:r w:rsidRPr="002B55E9">
        <w:rPr>
          <w:rFonts w:hint="eastAsia"/>
        </w:rPr>
        <w:t>发酵废气经</w:t>
      </w:r>
      <w:r w:rsidR="0022601A" w:rsidRPr="002B55E9">
        <w:rPr>
          <w:rFonts w:hint="eastAsia"/>
        </w:rPr>
        <w:t>发酵罐排气管道密闭收集进入十三车间集气总管后进入二级碱喷淋</w:t>
      </w:r>
      <w:r w:rsidR="0022601A" w:rsidRPr="002B55E9">
        <w:rPr>
          <w:rFonts w:hint="eastAsia"/>
        </w:rPr>
        <w:t>+</w:t>
      </w:r>
      <w:r w:rsidR="0022601A" w:rsidRPr="002B55E9">
        <w:rPr>
          <w:rFonts w:hint="eastAsia"/>
        </w:rPr>
        <w:t>水喷淋装置处理后由</w:t>
      </w:r>
      <w:r w:rsidR="0022601A" w:rsidRPr="002B55E9">
        <w:rPr>
          <w:rFonts w:hint="eastAsia"/>
        </w:rPr>
        <w:t>18m</w:t>
      </w:r>
      <w:r w:rsidR="0022601A" w:rsidRPr="002B55E9">
        <w:rPr>
          <w:rFonts w:hint="eastAsia"/>
        </w:rPr>
        <w:t>高</w:t>
      </w:r>
      <w:r w:rsidR="0022601A" w:rsidRPr="002B55E9">
        <w:t>排气筒</w:t>
      </w:r>
      <w:r w:rsidR="0022601A" w:rsidRPr="002B55E9">
        <w:rPr>
          <w:rFonts w:hint="eastAsia"/>
        </w:rPr>
        <w:t>（</w:t>
      </w:r>
      <w:r w:rsidR="0022601A" w:rsidRPr="002B55E9">
        <w:rPr>
          <w:rFonts w:hint="eastAsia"/>
        </w:rPr>
        <w:t>D</w:t>
      </w:r>
      <w:r w:rsidR="0022601A" w:rsidRPr="002B55E9">
        <w:t>A002</w:t>
      </w:r>
      <w:r w:rsidR="0022601A" w:rsidRPr="002B55E9">
        <w:rPr>
          <w:rFonts w:hint="eastAsia"/>
        </w:rPr>
        <w:t>）</w:t>
      </w:r>
      <w:r w:rsidR="0022601A" w:rsidRPr="002B55E9">
        <w:t>排放</w:t>
      </w:r>
      <w:r w:rsidR="0022601A" w:rsidRPr="002B55E9">
        <w:rPr>
          <w:rFonts w:hint="eastAsia"/>
        </w:rPr>
        <w:t>，该过程废气完全收集，二级碱喷淋</w:t>
      </w:r>
      <w:r w:rsidR="0022601A" w:rsidRPr="002B55E9">
        <w:rPr>
          <w:rFonts w:hint="eastAsia"/>
        </w:rPr>
        <w:t>+</w:t>
      </w:r>
      <w:r w:rsidR="0022601A" w:rsidRPr="002B55E9">
        <w:rPr>
          <w:rFonts w:hint="eastAsia"/>
        </w:rPr>
        <w:t>水喷淋装置对乙醇的处理效率以</w:t>
      </w:r>
      <w:r w:rsidR="0022601A" w:rsidRPr="002B55E9">
        <w:rPr>
          <w:rFonts w:hint="eastAsia"/>
        </w:rPr>
        <w:t>8</w:t>
      </w:r>
      <w:r w:rsidR="0022601A" w:rsidRPr="002B55E9">
        <w:t>5</w:t>
      </w:r>
      <w:r w:rsidR="0022601A" w:rsidRPr="002B55E9">
        <w:rPr>
          <w:rFonts w:hint="eastAsia"/>
        </w:rPr>
        <w:t>%</w:t>
      </w:r>
      <w:r w:rsidR="0022601A" w:rsidRPr="002B55E9">
        <w:rPr>
          <w:rFonts w:hint="eastAsia"/>
        </w:rPr>
        <w:t>计。</w:t>
      </w:r>
      <w:r w:rsidRPr="002B55E9">
        <w:rPr>
          <w:rFonts w:hint="eastAsia"/>
        </w:rPr>
        <w:t>酒精发酵废气产排情况如下表</w:t>
      </w:r>
      <w:r w:rsidRPr="002B55E9">
        <w:t>所示。</w:t>
      </w:r>
    </w:p>
    <w:p w14:paraId="71C36237" w14:textId="4106CEC8" w:rsidR="0022601A" w:rsidRPr="002B55E9" w:rsidRDefault="00EF27AD">
      <w:pPr>
        <w:pStyle w:val="1f3"/>
        <w:spacing w:beforeLines="0" w:before="0"/>
      </w:pPr>
      <w:r w:rsidRPr="002B55E9">
        <w:rPr>
          <w:rFonts w:hint="eastAsia"/>
        </w:rPr>
        <w:lastRenderedPageBreak/>
        <w:t>表</w:t>
      </w:r>
      <w:r w:rsidRPr="002B55E9">
        <w:rPr>
          <w:rFonts w:hint="eastAsia"/>
        </w:rPr>
        <w:t>3</w:t>
      </w:r>
      <w:r w:rsidRPr="002B55E9">
        <w:t xml:space="preserve">-3-8  </w:t>
      </w:r>
      <w:r w:rsidRPr="002B55E9">
        <w:rPr>
          <w:rFonts w:hint="eastAsia"/>
        </w:rPr>
        <w:t>酒精发酵废气产生</w:t>
      </w:r>
      <w:r w:rsidR="004D0DF3" w:rsidRPr="002B55E9">
        <w:rPr>
          <w:rFonts w:hint="eastAsia"/>
        </w:rPr>
        <w:t>及排放</w:t>
      </w:r>
      <w:r w:rsidRPr="002B55E9">
        <w:rPr>
          <w:rFonts w:hint="eastAsia"/>
        </w:rPr>
        <w:t>情况一览表</w:t>
      </w:r>
    </w:p>
    <w:tbl>
      <w:tblPr>
        <w:tblStyle w:val="lgy2"/>
        <w:tblW w:w="5000" w:type="pct"/>
        <w:tblCellMar>
          <w:left w:w="28" w:type="dxa"/>
          <w:right w:w="28" w:type="dxa"/>
        </w:tblCellMar>
        <w:tblLook w:val="04A0" w:firstRow="1" w:lastRow="0" w:firstColumn="1" w:lastColumn="0" w:noHBand="0" w:noVBand="1"/>
      </w:tblPr>
      <w:tblGrid>
        <w:gridCol w:w="572"/>
        <w:gridCol w:w="688"/>
        <w:gridCol w:w="422"/>
        <w:gridCol w:w="902"/>
        <w:gridCol w:w="839"/>
        <w:gridCol w:w="570"/>
        <w:gridCol w:w="1230"/>
        <w:gridCol w:w="766"/>
        <w:gridCol w:w="713"/>
        <w:gridCol w:w="570"/>
        <w:gridCol w:w="1126"/>
        <w:gridCol w:w="712"/>
        <w:gridCol w:w="584"/>
      </w:tblGrid>
      <w:tr w:rsidR="002B55E9" w:rsidRPr="002B55E9" w14:paraId="1661FFA5" w14:textId="77777777" w:rsidTr="00356552">
        <w:trPr>
          <w:cnfStyle w:val="100000000000" w:firstRow="1" w:lastRow="0" w:firstColumn="0" w:lastColumn="0" w:oddVBand="0" w:evenVBand="0" w:oddHBand="0" w:evenHBand="0" w:firstRowFirstColumn="0" w:firstRowLastColumn="0" w:lastRowFirstColumn="0" w:lastRowLastColumn="0"/>
          <w:trHeight w:val="283"/>
        </w:trPr>
        <w:tc>
          <w:tcPr>
            <w:tcW w:w="568" w:type="dxa"/>
            <w:vMerge w:val="restart"/>
            <w:noWrap/>
            <w:hideMark/>
          </w:tcPr>
          <w:p w14:paraId="0FFDE43D" w14:textId="77777777" w:rsidR="0022601A" w:rsidRPr="002B55E9" w:rsidRDefault="0022601A" w:rsidP="00356552">
            <w:pPr>
              <w:pStyle w:val="lgy-"/>
              <w:rPr>
                <w:rFonts w:eastAsia="宋体"/>
              </w:rPr>
            </w:pPr>
            <w:r w:rsidRPr="002B55E9">
              <w:rPr>
                <w:rFonts w:eastAsia="宋体" w:hint="eastAsia"/>
              </w:rPr>
              <w:t>产生环节</w:t>
            </w:r>
          </w:p>
        </w:tc>
        <w:tc>
          <w:tcPr>
            <w:tcW w:w="683" w:type="dxa"/>
            <w:vMerge w:val="restart"/>
            <w:hideMark/>
          </w:tcPr>
          <w:p w14:paraId="1A29ADD0" w14:textId="77777777" w:rsidR="0022601A" w:rsidRPr="002B55E9" w:rsidRDefault="0022601A" w:rsidP="00356552">
            <w:pPr>
              <w:pStyle w:val="lgy-"/>
              <w:rPr>
                <w:rFonts w:eastAsia="宋体"/>
              </w:rPr>
            </w:pPr>
            <w:r w:rsidRPr="002B55E9">
              <w:rPr>
                <w:rFonts w:eastAsia="宋体" w:hint="eastAsia"/>
              </w:rPr>
              <w:t>污染物</w:t>
            </w:r>
          </w:p>
        </w:tc>
        <w:tc>
          <w:tcPr>
            <w:tcW w:w="420" w:type="dxa"/>
            <w:vMerge w:val="restart"/>
            <w:hideMark/>
          </w:tcPr>
          <w:p w14:paraId="4BFDBA23" w14:textId="77777777" w:rsidR="0022601A" w:rsidRPr="002B55E9" w:rsidRDefault="0022601A" w:rsidP="00356552">
            <w:pPr>
              <w:pStyle w:val="lgy-"/>
              <w:rPr>
                <w:rFonts w:eastAsia="宋体"/>
              </w:rPr>
            </w:pPr>
            <w:r w:rsidRPr="002B55E9">
              <w:rPr>
                <w:rFonts w:eastAsia="宋体" w:hint="eastAsia"/>
              </w:rPr>
              <w:t>排放时间</w:t>
            </w:r>
            <w:r w:rsidRPr="002B55E9">
              <w:rPr>
                <w:rFonts w:eastAsia="宋体"/>
              </w:rPr>
              <w:t>h</w:t>
            </w:r>
          </w:p>
        </w:tc>
        <w:tc>
          <w:tcPr>
            <w:tcW w:w="2298" w:type="dxa"/>
            <w:gridSpan w:val="3"/>
            <w:hideMark/>
          </w:tcPr>
          <w:p w14:paraId="5FDAA5AF" w14:textId="77777777" w:rsidR="0022601A" w:rsidRPr="002B55E9" w:rsidRDefault="0022601A" w:rsidP="00356552">
            <w:pPr>
              <w:pStyle w:val="lgy-"/>
              <w:rPr>
                <w:rFonts w:eastAsia="宋体"/>
              </w:rPr>
            </w:pPr>
            <w:r w:rsidRPr="002B55E9">
              <w:rPr>
                <w:rFonts w:eastAsia="宋体" w:hint="eastAsia"/>
              </w:rPr>
              <w:t>污染物产生</w:t>
            </w:r>
          </w:p>
        </w:tc>
        <w:tc>
          <w:tcPr>
            <w:tcW w:w="1985" w:type="dxa"/>
            <w:gridSpan w:val="2"/>
            <w:hideMark/>
          </w:tcPr>
          <w:p w14:paraId="621303AA" w14:textId="77777777" w:rsidR="0022601A" w:rsidRPr="002B55E9" w:rsidRDefault="0022601A" w:rsidP="00356552">
            <w:pPr>
              <w:pStyle w:val="lgy-"/>
              <w:rPr>
                <w:rFonts w:eastAsia="宋体"/>
              </w:rPr>
            </w:pPr>
            <w:r w:rsidRPr="002B55E9">
              <w:rPr>
                <w:rFonts w:eastAsia="宋体" w:hint="eastAsia"/>
              </w:rPr>
              <w:t>废气收集</w:t>
            </w:r>
          </w:p>
        </w:tc>
        <w:tc>
          <w:tcPr>
            <w:tcW w:w="1276" w:type="dxa"/>
            <w:gridSpan w:val="2"/>
            <w:hideMark/>
          </w:tcPr>
          <w:p w14:paraId="0E80697A" w14:textId="77777777" w:rsidR="0022601A" w:rsidRPr="002B55E9" w:rsidRDefault="0022601A" w:rsidP="00356552">
            <w:pPr>
              <w:pStyle w:val="lgy-"/>
              <w:rPr>
                <w:rFonts w:eastAsia="宋体"/>
              </w:rPr>
            </w:pPr>
            <w:r w:rsidRPr="002B55E9">
              <w:rPr>
                <w:rFonts w:eastAsia="宋体" w:hint="eastAsia"/>
              </w:rPr>
              <w:t>治理措施</w:t>
            </w:r>
          </w:p>
        </w:tc>
        <w:tc>
          <w:tcPr>
            <w:tcW w:w="2408" w:type="dxa"/>
            <w:gridSpan w:val="3"/>
            <w:hideMark/>
          </w:tcPr>
          <w:p w14:paraId="6F5B2331" w14:textId="77777777" w:rsidR="0022601A" w:rsidRPr="002B55E9" w:rsidRDefault="0022601A" w:rsidP="00356552">
            <w:pPr>
              <w:pStyle w:val="lgy-"/>
              <w:rPr>
                <w:rFonts w:eastAsia="宋体"/>
              </w:rPr>
            </w:pPr>
            <w:r w:rsidRPr="002B55E9">
              <w:rPr>
                <w:rFonts w:eastAsia="宋体" w:hint="eastAsia"/>
              </w:rPr>
              <w:t>有组织排放（</w:t>
            </w:r>
            <w:r w:rsidRPr="002B55E9">
              <w:rPr>
                <w:rFonts w:eastAsia="宋体"/>
              </w:rPr>
              <w:t>DA002</w:t>
            </w:r>
            <w:r w:rsidRPr="002B55E9">
              <w:rPr>
                <w:rFonts w:eastAsia="宋体" w:hint="eastAsia"/>
              </w:rPr>
              <w:t>）</w:t>
            </w:r>
          </w:p>
        </w:tc>
      </w:tr>
      <w:tr w:rsidR="002B55E9" w:rsidRPr="002B55E9" w14:paraId="32FC49B1" w14:textId="77777777" w:rsidTr="00356552">
        <w:trPr>
          <w:trHeight w:val="283"/>
        </w:trPr>
        <w:tc>
          <w:tcPr>
            <w:tcW w:w="568" w:type="dxa"/>
            <w:vMerge/>
            <w:hideMark/>
          </w:tcPr>
          <w:p w14:paraId="489925B2" w14:textId="77777777" w:rsidR="0022601A" w:rsidRPr="002B55E9" w:rsidRDefault="0022601A" w:rsidP="00356552">
            <w:pPr>
              <w:pStyle w:val="lgy-"/>
              <w:rPr>
                <w:rFonts w:eastAsia="宋体"/>
              </w:rPr>
            </w:pPr>
          </w:p>
        </w:tc>
        <w:tc>
          <w:tcPr>
            <w:tcW w:w="683" w:type="dxa"/>
            <w:vMerge/>
            <w:hideMark/>
          </w:tcPr>
          <w:p w14:paraId="364805D1" w14:textId="77777777" w:rsidR="0022601A" w:rsidRPr="002B55E9" w:rsidRDefault="0022601A" w:rsidP="00356552">
            <w:pPr>
              <w:pStyle w:val="lgy-"/>
              <w:rPr>
                <w:rFonts w:eastAsia="宋体"/>
              </w:rPr>
            </w:pPr>
          </w:p>
        </w:tc>
        <w:tc>
          <w:tcPr>
            <w:tcW w:w="420" w:type="dxa"/>
            <w:vMerge/>
            <w:hideMark/>
          </w:tcPr>
          <w:p w14:paraId="0413E8D6" w14:textId="77777777" w:rsidR="0022601A" w:rsidRPr="002B55E9" w:rsidRDefault="0022601A" w:rsidP="00356552">
            <w:pPr>
              <w:pStyle w:val="lgy-"/>
              <w:rPr>
                <w:rFonts w:eastAsia="宋体"/>
              </w:rPr>
            </w:pPr>
          </w:p>
        </w:tc>
        <w:tc>
          <w:tcPr>
            <w:tcW w:w="897" w:type="dxa"/>
            <w:hideMark/>
          </w:tcPr>
          <w:p w14:paraId="0AD81F47" w14:textId="77777777" w:rsidR="0022601A" w:rsidRPr="002B55E9" w:rsidRDefault="0022601A" w:rsidP="00356552">
            <w:pPr>
              <w:pStyle w:val="lgy-"/>
              <w:rPr>
                <w:rFonts w:eastAsia="宋体"/>
              </w:rPr>
            </w:pPr>
            <w:r w:rsidRPr="002B55E9">
              <w:rPr>
                <w:rFonts w:eastAsia="宋体" w:hint="eastAsia"/>
              </w:rPr>
              <w:t>产生浓度（</w:t>
            </w:r>
            <w:r w:rsidRPr="002B55E9">
              <w:rPr>
                <w:rFonts w:eastAsia="宋体"/>
              </w:rPr>
              <w:t>mg/m</w:t>
            </w:r>
            <w:r w:rsidRPr="002B55E9">
              <w:rPr>
                <w:rFonts w:eastAsia="宋体"/>
                <w:vertAlign w:val="superscript"/>
              </w:rPr>
              <w:t>3</w:t>
            </w:r>
            <w:r w:rsidRPr="002B55E9">
              <w:rPr>
                <w:rFonts w:eastAsia="宋体" w:hint="eastAsia"/>
              </w:rPr>
              <w:t>）</w:t>
            </w:r>
          </w:p>
        </w:tc>
        <w:tc>
          <w:tcPr>
            <w:tcW w:w="834" w:type="dxa"/>
            <w:hideMark/>
          </w:tcPr>
          <w:p w14:paraId="2034AFDA" w14:textId="77777777" w:rsidR="0022601A" w:rsidRPr="002B55E9" w:rsidRDefault="0022601A" w:rsidP="00356552">
            <w:pPr>
              <w:pStyle w:val="lgy-"/>
              <w:rPr>
                <w:rFonts w:eastAsia="宋体"/>
              </w:rPr>
            </w:pPr>
            <w:r w:rsidRPr="002B55E9">
              <w:rPr>
                <w:rFonts w:eastAsia="宋体" w:hint="eastAsia"/>
              </w:rPr>
              <w:t>产生速率（</w:t>
            </w:r>
            <w:r w:rsidRPr="002B55E9">
              <w:rPr>
                <w:rFonts w:eastAsia="宋体"/>
              </w:rPr>
              <w:t>kg/h)</w:t>
            </w:r>
          </w:p>
        </w:tc>
        <w:tc>
          <w:tcPr>
            <w:tcW w:w="567" w:type="dxa"/>
            <w:hideMark/>
          </w:tcPr>
          <w:p w14:paraId="204AF57F" w14:textId="77777777" w:rsidR="0022601A" w:rsidRPr="002B55E9" w:rsidRDefault="0022601A" w:rsidP="00356552">
            <w:pPr>
              <w:pStyle w:val="lgy-"/>
              <w:rPr>
                <w:rFonts w:eastAsia="宋体"/>
              </w:rPr>
            </w:pPr>
            <w:r w:rsidRPr="002B55E9">
              <w:rPr>
                <w:rFonts w:eastAsia="宋体" w:hint="eastAsia"/>
              </w:rPr>
              <w:t>产生量</w:t>
            </w:r>
            <w:r w:rsidRPr="002B55E9">
              <w:rPr>
                <w:rFonts w:eastAsia="宋体"/>
              </w:rPr>
              <w:t>(t/a)</w:t>
            </w:r>
          </w:p>
        </w:tc>
        <w:tc>
          <w:tcPr>
            <w:tcW w:w="1223" w:type="dxa"/>
            <w:hideMark/>
          </w:tcPr>
          <w:p w14:paraId="76B8BE8F" w14:textId="4AD09BAC" w:rsidR="0022601A" w:rsidRPr="002B55E9" w:rsidRDefault="0022601A" w:rsidP="00356552">
            <w:pPr>
              <w:pStyle w:val="lgy-"/>
              <w:rPr>
                <w:rFonts w:eastAsia="宋体"/>
              </w:rPr>
            </w:pPr>
            <w:r w:rsidRPr="002B55E9">
              <w:rPr>
                <w:rFonts w:eastAsia="宋体" w:hint="eastAsia"/>
              </w:rPr>
              <w:t>收集方式</w:t>
            </w:r>
          </w:p>
        </w:tc>
        <w:tc>
          <w:tcPr>
            <w:tcW w:w="762" w:type="dxa"/>
            <w:hideMark/>
          </w:tcPr>
          <w:p w14:paraId="28736159" w14:textId="190BB579" w:rsidR="0022601A" w:rsidRPr="002B55E9" w:rsidRDefault="0022601A" w:rsidP="00356552">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709" w:type="dxa"/>
            <w:hideMark/>
          </w:tcPr>
          <w:p w14:paraId="6D6A4E4C" w14:textId="77777777" w:rsidR="0022601A" w:rsidRPr="002B55E9" w:rsidRDefault="0022601A" w:rsidP="00356552">
            <w:pPr>
              <w:pStyle w:val="lgy-"/>
              <w:rPr>
                <w:rFonts w:eastAsia="宋体"/>
              </w:rPr>
            </w:pPr>
            <w:r w:rsidRPr="002B55E9">
              <w:rPr>
                <w:rFonts w:eastAsia="宋体" w:hint="eastAsia"/>
              </w:rPr>
              <w:t>工艺</w:t>
            </w:r>
          </w:p>
        </w:tc>
        <w:tc>
          <w:tcPr>
            <w:tcW w:w="567" w:type="dxa"/>
            <w:hideMark/>
          </w:tcPr>
          <w:p w14:paraId="224AB7F1" w14:textId="77777777" w:rsidR="0022601A" w:rsidRPr="002B55E9" w:rsidRDefault="0022601A" w:rsidP="00356552">
            <w:pPr>
              <w:pStyle w:val="lgy-"/>
              <w:rPr>
                <w:rFonts w:eastAsia="宋体"/>
              </w:rPr>
            </w:pPr>
            <w:r w:rsidRPr="002B55E9">
              <w:rPr>
                <w:rFonts w:eastAsia="宋体" w:hint="eastAsia"/>
              </w:rPr>
              <w:t>效率</w:t>
            </w:r>
          </w:p>
        </w:tc>
        <w:tc>
          <w:tcPr>
            <w:tcW w:w="1119" w:type="dxa"/>
            <w:hideMark/>
          </w:tcPr>
          <w:p w14:paraId="277F559F" w14:textId="77777777" w:rsidR="0022601A" w:rsidRPr="002B55E9" w:rsidRDefault="0022601A" w:rsidP="00356552">
            <w:pPr>
              <w:pStyle w:val="lgy-"/>
              <w:rPr>
                <w:rFonts w:eastAsia="宋体"/>
              </w:rPr>
            </w:pPr>
            <w:r w:rsidRPr="002B55E9">
              <w:rPr>
                <w:rFonts w:eastAsia="宋体" w:hint="eastAsia"/>
              </w:rPr>
              <w:t>排放浓度（</w:t>
            </w:r>
            <w:r w:rsidRPr="002B55E9">
              <w:rPr>
                <w:rFonts w:eastAsia="宋体"/>
              </w:rPr>
              <w:t>mg/m</w:t>
            </w:r>
            <w:r w:rsidRPr="002B55E9">
              <w:rPr>
                <w:rFonts w:eastAsia="宋体"/>
                <w:vertAlign w:val="superscript"/>
              </w:rPr>
              <w:t>3</w:t>
            </w:r>
            <w:r w:rsidRPr="002B55E9">
              <w:rPr>
                <w:rFonts w:eastAsia="宋体" w:hint="eastAsia"/>
              </w:rPr>
              <w:t>）</w:t>
            </w:r>
          </w:p>
        </w:tc>
        <w:tc>
          <w:tcPr>
            <w:tcW w:w="708" w:type="dxa"/>
            <w:hideMark/>
          </w:tcPr>
          <w:p w14:paraId="5B0469A9" w14:textId="77777777" w:rsidR="0022601A" w:rsidRPr="002B55E9" w:rsidRDefault="0022601A" w:rsidP="00356552">
            <w:pPr>
              <w:pStyle w:val="lgy-"/>
              <w:rPr>
                <w:rFonts w:eastAsia="宋体"/>
              </w:rPr>
            </w:pPr>
            <w:r w:rsidRPr="002B55E9">
              <w:rPr>
                <w:rFonts w:eastAsia="宋体" w:hint="eastAsia"/>
              </w:rPr>
              <w:t>排放速率（</w:t>
            </w:r>
            <w:r w:rsidRPr="002B55E9">
              <w:rPr>
                <w:rFonts w:eastAsia="宋体"/>
              </w:rPr>
              <w:t>kg/h)</w:t>
            </w:r>
          </w:p>
        </w:tc>
        <w:tc>
          <w:tcPr>
            <w:tcW w:w="581" w:type="dxa"/>
            <w:hideMark/>
          </w:tcPr>
          <w:p w14:paraId="53565B60" w14:textId="77777777" w:rsidR="0022601A" w:rsidRPr="002B55E9" w:rsidRDefault="0022601A" w:rsidP="00356552">
            <w:pPr>
              <w:pStyle w:val="lgy-"/>
              <w:rPr>
                <w:rFonts w:eastAsia="宋体"/>
              </w:rPr>
            </w:pPr>
            <w:r w:rsidRPr="002B55E9">
              <w:rPr>
                <w:rFonts w:eastAsia="宋体" w:hint="eastAsia"/>
              </w:rPr>
              <w:t>排放量</w:t>
            </w:r>
            <w:r w:rsidRPr="002B55E9">
              <w:rPr>
                <w:rFonts w:eastAsia="宋体"/>
              </w:rPr>
              <w:t>(t/a)</w:t>
            </w:r>
          </w:p>
        </w:tc>
      </w:tr>
      <w:tr w:rsidR="002B55E9" w:rsidRPr="002B55E9" w14:paraId="0860D53F" w14:textId="77777777" w:rsidTr="00356552">
        <w:trPr>
          <w:trHeight w:val="283"/>
        </w:trPr>
        <w:tc>
          <w:tcPr>
            <w:tcW w:w="568" w:type="dxa"/>
            <w:vMerge w:val="restart"/>
            <w:noWrap/>
            <w:hideMark/>
          </w:tcPr>
          <w:p w14:paraId="13A3E0A6" w14:textId="77777777" w:rsidR="002755E4" w:rsidRPr="002B55E9" w:rsidRDefault="002755E4" w:rsidP="00356552">
            <w:pPr>
              <w:pStyle w:val="lgy-"/>
              <w:rPr>
                <w:rFonts w:eastAsia="宋体"/>
              </w:rPr>
            </w:pPr>
            <w:r w:rsidRPr="002B55E9">
              <w:rPr>
                <w:rFonts w:eastAsia="宋体" w:hint="eastAsia"/>
              </w:rPr>
              <w:t>酒精发酵</w:t>
            </w:r>
          </w:p>
        </w:tc>
        <w:tc>
          <w:tcPr>
            <w:tcW w:w="683" w:type="dxa"/>
            <w:hideMark/>
          </w:tcPr>
          <w:p w14:paraId="10EDEF83" w14:textId="77777777" w:rsidR="002755E4" w:rsidRPr="002B55E9" w:rsidRDefault="002755E4" w:rsidP="00356552">
            <w:pPr>
              <w:pStyle w:val="lgy-"/>
              <w:rPr>
                <w:rFonts w:eastAsia="宋体"/>
              </w:rPr>
            </w:pPr>
            <w:r w:rsidRPr="002B55E9">
              <w:rPr>
                <w:rFonts w:eastAsia="宋体" w:hint="eastAsia"/>
              </w:rPr>
              <w:t>非甲烷总烃</w:t>
            </w:r>
          </w:p>
        </w:tc>
        <w:tc>
          <w:tcPr>
            <w:tcW w:w="420" w:type="dxa"/>
            <w:vMerge w:val="restart"/>
            <w:hideMark/>
          </w:tcPr>
          <w:p w14:paraId="130A38B4" w14:textId="77777777" w:rsidR="002755E4" w:rsidRPr="002B55E9" w:rsidRDefault="002755E4" w:rsidP="00356552">
            <w:pPr>
              <w:pStyle w:val="lgy-"/>
              <w:rPr>
                <w:rFonts w:eastAsia="宋体"/>
              </w:rPr>
            </w:pPr>
            <w:r w:rsidRPr="002B55E9">
              <w:rPr>
                <w:rFonts w:eastAsia="宋体"/>
              </w:rPr>
              <w:t>4032</w:t>
            </w:r>
          </w:p>
        </w:tc>
        <w:tc>
          <w:tcPr>
            <w:tcW w:w="897" w:type="dxa"/>
            <w:hideMark/>
          </w:tcPr>
          <w:p w14:paraId="0A2E0924" w14:textId="77777777" w:rsidR="002755E4" w:rsidRPr="002B55E9" w:rsidRDefault="002755E4" w:rsidP="00356552">
            <w:pPr>
              <w:pStyle w:val="lgy-"/>
              <w:rPr>
                <w:rFonts w:eastAsia="宋体"/>
              </w:rPr>
            </w:pPr>
            <w:r w:rsidRPr="002B55E9">
              <w:rPr>
                <w:rFonts w:eastAsia="宋体"/>
              </w:rPr>
              <w:t>0.49</w:t>
            </w:r>
          </w:p>
        </w:tc>
        <w:tc>
          <w:tcPr>
            <w:tcW w:w="834" w:type="dxa"/>
            <w:hideMark/>
          </w:tcPr>
          <w:p w14:paraId="232162F3" w14:textId="77777777" w:rsidR="002755E4" w:rsidRPr="002B55E9" w:rsidRDefault="002755E4" w:rsidP="00356552">
            <w:pPr>
              <w:pStyle w:val="lgy-"/>
              <w:rPr>
                <w:rFonts w:eastAsia="宋体"/>
              </w:rPr>
            </w:pPr>
            <w:r w:rsidRPr="002B55E9">
              <w:rPr>
                <w:rFonts w:eastAsia="宋体"/>
              </w:rPr>
              <w:t>0.003</w:t>
            </w:r>
          </w:p>
        </w:tc>
        <w:tc>
          <w:tcPr>
            <w:tcW w:w="567" w:type="dxa"/>
            <w:hideMark/>
          </w:tcPr>
          <w:p w14:paraId="52DDD8F2" w14:textId="77777777" w:rsidR="002755E4" w:rsidRPr="002B55E9" w:rsidRDefault="002755E4" w:rsidP="00356552">
            <w:pPr>
              <w:pStyle w:val="lgy-"/>
              <w:rPr>
                <w:rFonts w:eastAsia="宋体"/>
              </w:rPr>
            </w:pPr>
            <w:r w:rsidRPr="002B55E9">
              <w:rPr>
                <w:rFonts w:eastAsia="宋体"/>
              </w:rPr>
              <w:t>0.013</w:t>
            </w:r>
          </w:p>
        </w:tc>
        <w:tc>
          <w:tcPr>
            <w:tcW w:w="1223" w:type="dxa"/>
            <w:vMerge w:val="restart"/>
            <w:hideMark/>
          </w:tcPr>
          <w:p w14:paraId="23D89F7F" w14:textId="2B278A5A" w:rsidR="002755E4" w:rsidRPr="002B55E9" w:rsidRDefault="002755E4" w:rsidP="00356552">
            <w:pPr>
              <w:pStyle w:val="lgy-"/>
              <w:rPr>
                <w:rFonts w:eastAsia="宋体"/>
              </w:rPr>
            </w:pPr>
            <w:r w:rsidRPr="002B55E9">
              <w:rPr>
                <w:rFonts w:eastAsia="宋体" w:hint="eastAsia"/>
              </w:rPr>
              <w:t>密闭管道，效率</w:t>
            </w:r>
            <w:r w:rsidRPr="002B55E9">
              <w:rPr>
                <w:rFonts w:eastAsia="宋体" w:hint="eastAsia"/>
              </w:rPr>
              <w:t>100%</w:t>
            </w:r>
          </w:p>
        </w:tc>
        <w:tc>
          <w:tcPr>
            <w:tcW w:w="762" w:type="dxa"/>
            <w:vMerge w:val="restart"/>
            <w:hideMark/>
          </w:tcPr>
          <w:p w14:paraId="486B8DF9" w14:textId="77777777" w:rsidR="002755E4" w:rsidRPr="002B55E9" w:rsidRDefault="002755E4" w:rsidP="00356552">
            <w:pPr>
              <w:pStyle w:val="lgy-"/>
              <w:rPr>
                <w:rFonts w:eastAsia="宋体"/>
              </w:rPr>
            </w:pPr>
            <w:r w:rsidRPr="002B55E9">
              <w:rPr>
                <w:rFonts w:eastAsia="宋体"/>
              </w:rPr>
              <w:t>6500</w:t>
            </w:r>
          </w:p>
        </w:tc>
        <w:tc>
          <w:tcPr>
            <w:tcW w:w="709" w:type="dxa"/>
            <w:vMerge w:val="restart"/>
            <w:hideMark/>
          </w:tcPr>
          <w:p w14:paraId="61326432" w14:textId="7F0DE1B0" w:rsidR="002755E4" w:rsidRPr="002B55E9" w:rsidRDefault="002755E4" w:rsidP="00356552">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567" w:type="dxa"/>
            <w:hideMark/>
          </w:tcPr>
          <w:p w14:paraId="653AAABA" w14:textId="77777777" w:rsidR="002755E4" w:rsidRPr="002B55E9" w:rsidRDefault="002755E4" w:rsidP="00356552">
            <w:pPr>
              <w:pStyle w:val="lgy-"/>
              <w:rPr>
                <w:rFonts w:eastAsia="宋体"/>
              </w:rPr>
            </w:pPr>
            <w:r w:rsidRPr="002B55E9">
              <w:rPr>
                <w:rFonts w:eastAsia="宋体"/>
              </w:rPr>
              <w:t>85%</w:t>
            </w:r>
          </w:p>
        </w:tc>
        <w:tc>
          <w:tcPr>
            <w:tcW w:w="1119" w:type="dxa"/>
            <w:hideMark/>
          </w:tcPr>
          <w:p w14:paraId="16B4963D" w14:textId="77777777" w:rsidR="002755E4" w:rsidRPr="002B55E9" w:rsidRDefault="002755E4" w:rsidP="00356552">
            <w:pPr>
              <w:pStyle w:val="lgy-"/>
              <w:rPr>
                <w:rFonts w:eastAsia="宋体"/>
              </w:rPr>
            </w:pPr>
            <w:r w:rsidRPr="002B55E9">
              <w:rPr>
                <w:rFonts w:eastAsia="宋体"/>
              </w:rPr>
              <w:t>0.07</w:t>
            </w:r>
          </w:p>
        </w:tc>
        <w:tc>
          <w:tcPr>
            <w:tcW w:w="708" w:type="dxa"/>
            <w:hideMark/>
          </w:tcPr>
          <w:p w14:paraId="28F44E85" w14:textId="2BF50E97" w:rsidR="002755E4" w:rsidRPr="002B55E9" w:rsidRDefault="002755E4" w:rsidP="00356552">
            <w:pPr>
              <w:pStyle w:val="lgy-"/>
              <w:rPr>
                <w:rFonts w:eastAsia="宋体"/>
              </w:rPr>
            </w:pPr>
            <w:r w:rsidRPr="002B55E9">
              <w:rPr>
                <w:rFonts w:eastAsia="宋体"/>
              </w:rPr>
              <w:t>4.76E-04</w:t>
            </w:r>
          </w:p>
        </w:tc>
        <w:tc>
          <w:tcPr>
            <w:tcW w:w="581" w:type="dxa"/>
            <w:hideMark/>
          </w:tcPr>
          <w:p w14:paraId="3F750C2C" w14:textId="77777777" w:rsidR="002755E4" w:rsidRPr="002B55E9" w:rsidRDefault="002755E4" w:rsidP="00356552">
            <w:pPr>
              <w:pStyle w:val="lgy-"/>
              <w:rPr>
                <w:rFonts w:eastAsia="宋体"/>
              </w:rPr>
            </w:pPr>
            <w:r w:rsidRPr="002B55E9">
              <w:rPr>
                <w:rFonts w:eastAsia="宋体"/>
              </w:rPr>
              <w:t>0.002</w:t>
            </w:r>
          </w:p>
        </w:tc>
      </w:tr>
      <w:tr w:rsidR="002B55E9" w:rsidRPr="002B55E9" w14:paraId="05E3C339" w14:textId="77777777" w:rsidTr="00356552">
        <w:trPr>
          <w:trHeight w:val="283"/>
        </w:trPr>
        <w:tc>
          <w:tcPr>
            <w:tcW w:w="568" w:type="dxa"/>
            <w:vMerge/>
            <w:noWrap/>
          </w:tcPr>
          <w:p w14:paraId="4FB04E4C" w14:textId="77777777" w:rsidR="002755E4" w:rsidRPr="002B55E9" w:rsidRDefault="002755E4" w:rsidP="00356552">
            <w:pPr>
              <w:pStyle w:val="lgy-"/>
              <w:rPr>
                <w:rFonts w:eastAsia="宋体"/>
              </w:rPr>
            </w:pPr>
          </w:p>
        </w:tc>
        <w:tc>
          <w:tcPr>
            <w:tcW w:w="683" w:type="dxa"/>
          </w:tcPr>
          <w:p w14:paraId="39B89A31" w14:textId="296B7AD9" w:rsidR="002755E4" w:rsidRPr="002B55E9" w:rsidRDefault="002755E4" w:rsidP="00356552">
            <w:pPr>
              <w:pStyle w:val="lgy-"/>
              <w:rPr>
                <w:rFonts w:eastAsia="宋体"/>
              </w:rPr>
            </w:pPr>
            <w:r w:rsidRPr="002B55E9">
              <w:rPr>
                <w:rFonts w:eastAsia="宋体" w:hint="eastAsia"/>
              </w:rPr>
              <w:t>臭气浓度</w:t>
            </w:r>
          </w:p>
        </w:tc>
        <w:tc>
          <w:tcPr>
            <w:tcW w:w="420" w:type="dxa"/>
            <w:vMerge/>
          </w:tcPr>
          <w:p w14:paraId="7A0028CE" w14:textId="77777777" w:rsidR="002755E4" w:rsidRPr="002B55E9" w:rsidRDefault="002755E4" w:rsidP="00356552">
            <w:pPr>
              <w:pStyle w:val="lgy-"/>
              <w:rPr>
                <w:rFonts w:eastAsia="宋体"/>
              </w:rPr>
            </w:pPr>
          </w:p>
        </w:tc>
        <w:tc>
          <w:tcPr>
            <w:tcW w:w="897" w:type="dxa"/>
          </w:tcPr>
          <w:p w14:paraId="732A7353" w14:textId="3BFD4B7A" w:rsidR="002755E4" w:rsidRPr="002B55E9" w:rsidRDefault="002755E4" w:rsidP="00356552">
            <w:pPr>
              <w:pStyle w:val="lgy-"/>
              <w:rPr>
                <w:rFonts w:eastAsia="宋体"/>
              </w:rPr>
            </w:pPr>
            <w:r w:rsidRPr="002B55E9">
              <w:rPr>
                <w:rFonts w:eastAsia="宋体" w:hint="eastAsia"/>
              </w:rPr>
              <w:t>/</w:t>
            </w:r>
          </w:p>
        </w:tc>
        <w:tc>
          <w:tcPr>
            <w:tcW w:w="834" w:type="dxa"/>
          </w:tcPr>
          <w:p w14:paraId="3E97272C" w14:textId="7F456CC5" w:rsidR="002755E4" w:rsidRPr="002B55E9" w:rsidRDefault="002755E4" w:rsidP="00356552">
            <w:pPr>
              <w:pStyle w:val="lgy-"/>
              <w:rPr>
                <w:rFonts w:eastAsia="宋体"/>
              </w:rPr>
            </w:pPr>
            <w:r w:rsidRPr="002B55E9">
              <w:rPr>
                <w:rFonts w:eastAsia="宋体" w:hint="eastAsia"/>
              </w:rPr>
              <w:t>/</w:t>
            </w:r>
          </w:p>
        </w:tc>
        <w:tc>
          <w:tcPr>
            <w:tcW w:w="567" w:type="dxa"/>
          </w:tcPr>
          <w:p w14:paraId="47C68BBD" w14:textId="256ABF86" w:rsidR="002755E4" w:rsidRPr="002B55E9" w:rsidRDefault="002755E4" w:rsidP="00356552">
            <w:pPr>
              <w:pStyle w:val="lgy-"/>
              <w:rPr>
                <w:rFonts w:eastAsia="宋体"/>
              </w:rPr>
            </w:pPr>
            <w:r w:rsidRPr="002B55E9">
              <w:rPr>
                <w:rFonts w:eastAsia="宋体" w:hint="eastAsia"/>
              </w:rPr>
              <w:t>/</w:t>
            </w:r>
          </w:p>
        </w:tc>
        <w:tc>
          <w:tcPr>
            <w:tcW w:w="1223" w:type="dxa"/>
            <w:vMerge/>
          </w:tcPr>
          <w:p w14:paraId="26EBB9D0" w14:textId="77777777" w:rsidR="002755E4" w:rsidRPr="002B55E9" w:rsidRDefault="002755E4" w:rsidP="00356552">
            <w:pPr>
              <w:pStyle w:val="lgy-"/>
              <w:rPr>
                <w:rFonts w:eastAsia="宋体"/>
              </w:rPr>
            </w:pPr>
          </w:p>
        </w:tc>
        <w:tc>
          <w:tcPr>
            <w:tcW w:w="762" w:type="dxa"/>
            <w:vMerge/>
          </w:tcPr>
          <w:p w14:paraId="3C442679" w14:textId="77777777" w:rsidR="002755E4" w:rsidRPr="002B55E9" w:rsidRDefault="002755E4" w:rsidP="00356552">
            <w:pPr>
              <w:pStyle w:val="lgy-"/>
              <w:rPr>
                <w:rFonts w:eastAsia="宋体"/>
              </w:rPr>
            </w:pPr>
          </w:p>
        </w:tc>
        <w:tc>
          <w:tcPr>
            <w:tcW w:w="709" w:type="dxa"/>
            <w:vMerge/>
          </w:tcPr>
          <w:p w14:paraId="1D84B57E" w14:textId="77777777" w:rsidR="002755E4" w:rsidRPr="002B55E9" w:rsidRDefault="002755E4" w:rsidP="00356552">
            <w:pPr>
              <w:pStyle w:val="lgy-"/>
              <w:rPr>
                <w:rFonts w:eastAsia="宋体"/>
              </w:rPr>
            </w:pPr>
          </w:p>
        </w:tc>
        <w:tc>
          <w:tcPr>
            <w:tcW w:w="567" w:type="dxa"/>
          </w:tcPr>
          <w:p w14:paraId="07336BD5" w14:textId="19820FAB" w:rsidR="002755E4" w:rsidRPr="002B55E9" w:rsidRDefault="002755E4" w:rsidP="00356552">
            <w:pPr>
              <w:pStyle w:val="lgy-"/>
              <w:rPr>
                <w:rFonts w:eastAsia="宋体"/>
              </w:rPr>
            </w:pPr>
            <w:r w:rsidRPr="002B55E9">
              <w:rPr>
                <w:rFonts w:eastAsia="宋体" w:hint="eastAsia"/>
              </w:rPr>
              <w:t>/</w:t>
            </w:r>
          </w:p>
        </w:tc>
        <w:tc>
          <w:tcPr>
            <w:tcW w:w="1119" w:type="dxa"/>
          </w:tcPr>
          <w:p w14:paraId="5ABC81AD" w14:textId="4A778D79" w:rsidR="002755E4" w:rsidRPr="002B55E9" w:rsidRDefault="00356552" w:rsidP="00356552">
            <w:pPr>
              <w:pStyle w:val="lgy-"/>
              <w:rPr>
                <w:rFonts w:eastAsia="宋体"/>
              </w:rPr>
            </w:pPr>
            <w:r w:rsidRPr="002B55E9">
              <w:rPr>
                <w:rFonts w:eastAsia="宋体" w:hint="eastAsia"/>
              </w:rPr>
              <w:t>＜</w:t>
            </w:r>
            <w:r w:rsidRPr="002B55E9">
              <w:rPr>
                <w:rFonts w:eastAsia="宋体" w:hint="eastAsia"/>
              </w:rPr>
              <w:t>2</w:t>
            </w:r>
            <w:r w:rsidRPr="002B55E9">
              <w:rPr>
                <w:rFonts w:eastAsia="宋体"/>
              </w:rPr>
              <w:t>000</w:t>
            </w:r>
            <w:r w:rsidRPr="002B55E9">
              <w:rPr>
                <w:rFonts w:eastAsia="宋体" w:hint="eastAsia"/>
              </w:rPr>
              <w:t>（无量纲）</w:t>
            </w:r>
          </w:p>
        </w:tc>
        <w:tc>
          <w:tcPr>
            <w:tcW w:w="708" w:type="dxa"/>
          </w:tcPr>
          <w:p w14:paraId="0CC7A5A3" w14:textId="77359B98" w:rsidR="002755E4" w:rsidRPr="002B55E9" w:rsidRDefault="002755E4" w:rsidP="00356552">
            <w:pPr>
              <w:pStyle w:val="lgy-"/>
              <w:rPr>
                <w:rFonts w:eastAsia="宋体"/>
              </w:rPr>
            </w:pPr>
            <w:r w:rsidRPr="002B55E9">
              <w:rPr>
                <w:rFonts w:eastAsia="宋体" w:hint="eastAsia"/>
              </w:rPr>
              <w:t>/</w:t>
            </w:r>
          </w:p>
        </w:tc>
        <w:tc>
          <w:tcPr>
            <w:tcW w:w="581" w:type="dxa"/>
          </w:tcPr>
          <w:p w14:paraId="622A253F" w14:textId="5E9F1F56" w:rsidR="002755E4" w:rsidRPr="002B55E9" w:rsidRDefault="002755E4" w:rsidP="00356552">
            <w:pPr>
              <w:pStyle w:val="lgy-"/>
              <w:rPr>
                <w:rFonts w:eastAsia="宋体"/>
              </w:rPr>
            </w:pPr>
            <w:r w:rsidRPr="002B55E9">
              <w:rPr>
                <w:rFonts w:eastAsia="宋体" w:hint="eastAsia"/>
              </w:rPr>
              <w:t>/</w:t>
            </w:r>
          </w:p>
        </w:tc>
      </w:tr>
    </w:tbl>
    <w:p w14:paraId="6C8ED8DC" w14:textId="77777777" w:rsidR="00D170E5" w:rsidRPr="002B55E9" w:rsidRDefault="00EF27AD">
      <w:pPr>
        <w:pStyle w:val="affff7"/>
        <w:snapToGrid w:val="0"/>
        <w:spacing w:after="0"/>
      </w:pPr>
      <w:r w:rsidRPr="002B55E9">
        <w:rPr>
          <w:rFonts w:hint="eastAsia"/>
        </w:rPr>
        <w:t>（</w:t>
      </w:r>
      <w:r w:rsidRPr="002B55E9">
        <w:rPr>
          <w:rFonts w:hint="eastAsia"/>
        </w:rPr>
        <w:t>2</w:t>
      </w:r>
      <w:r w:rsidRPr="002B55E9">
        <w:rPr>
          <w:rFonts w:hint="eastAsia"/>
        </w:rPr>
        <w:t>）投料废气（</w:t>
      </w:r>
      <w:r w:rsidRPr="002B55E9">
        <w:rPr>
          <w:rFonts w:hint="eastAsia"/>
        </w:rPr>
        <w:t>G</w:t>
      </w:r>
      <w:r w:rsidRPr="002B55E9">
        <w:t>2-2</w:t>
      </w:r>
      <w:r w:rsidRPr="002B55E9">
        <w:rPr>
          <w:rFonts w:hint="eastAsia"/>
        </w:rPr>
        <w:t>、</w:t>
      </w:r>
      <w:r w:rsidRPr="002B55E9">
        <w:rPr>
          <w:rFonts w:hint="eastAsia"/>
        </w:rPr>
        <w:t>G</w:t>
      </w:r>
      <w:r w:rsidRPr="002B55E9">
        <w:t>2-4</w:t>
      </w:r>
      <w:r w:rsidRPr="002B55E9">
        <w:rPr>
          <w:rFonts w:hint="eastAsia"/>
        </w:rPr>
        <w:t>）</w:t>
      </w:r>
    </w:p>
    <w:p w14:paraId="3F22743F" w14:textId="6377CC08" w:rsidR="00D170E5" w:rsidRPr="002B55E9" w:rsidRDefault="00EF27AD">
      <w:pPr>
        <w:pStyle w:val="affff7"/>
      </w:pPr>
      <w:r w:rsidRPr="002B55E9">
        <w:rPr>
          <w:rFonts w:hint="eastAsia"/>
        </w:rPr>
        <w:t>酒液调配</w:t>
      </w:r>
      <w:r w:rsidRPr="002B55E9">
        <w:t>工序酒液</w:t>
      </w:r>
      <w:r w:rsidRPr="002B55E9">
        <w:rPr>
          <w:rFonts w:hint="eastAsia"/>
        </w:rPr>
        <w:t>、乙醇进料（</w:t>
      </w:r>
      <w:r w:rsidRPr="002B55E9">
        <w:rPr>
          <w:rFonts w:hint="eastAsia"/>
        </w:rPr>
        <w:t>G</w:t>
      </w:r>
      <w:r w:rsidRPr="002B55E9">
        <w:t>2</w:t>
      </w:r>
      <w:r w:rsidRPr="002B55E9">
        <w:rPr>
          <w:rFonts w:hint="eastAsia"/>
        </w:rPr>
        <w:t>-2</w:t>
      </w:r>
      <w:r w:rsidRPr="002B55E9">
        <w:rPr>
          <w:rFonts w:hint="eastAsia"/>
        </w:rPr>
        <w:t>）</w:t>
      </w:r>
      <w:r w:rsidRPr="002B55E9">
        <w:t>、</w:t>
      </w:r>
      <w:r w:rsidR="00C16746" w:rsidRPr="002B55E9">
        <w:rPr>
          <w:rFonts w:hint="eastAsia"/>
        </w:rPr>
        <w:t>调配</w:t>
      </w:r>
      <w:r w:rsidRPr="002B55E9">
        <w:rPr>
          <w:rFonts w:hint="eastAsia"/>
        </w:rPr>
        <w:t>混合</w:t>
      </w:r>
      <w:r w:rsidRPr="002B55E9">
        <w:t>工序</w:t>
      </w:r>
      <w:r w:rsidRPr="002B55E9">
        <w:rPr>
          <w:rFonts w:hint="eastAsia"/>
        </w:rPr>
        <w:t>醋胚</w:t>
      </w:r>
      <w:r w:rsidRPr="002B55E9">
        <w:t>进料</w:t>
      </w:r>
      <w:r w:rsidRPr="002B55E9">
        <w:rPr>
          <w:rFonts w:hint="eastAsia"/>
        </w:rPr>
        <w:t>（</w:t>
      </w:r>
      <w:r w:rsidRPr="002B55E9">
        <w:rPr>
          <w:rFonts w:hint="eastAsia"/>
        </w:rPr>
        <w:t>G</w:t>
      </w:r>
      <w:r w:rsidRPr="002B55E9">
        <w:t>2</w:t>
      </w:r>
      <w:r w:rsidRPr="002B55E9">
        <w:rPr>
          <w:rFonts w:hint="eastAsia"/>
        </w:rPr>
        <w:t>-</w:t>
      </w:r>
      <w:r w:rsidRPr="002B55E9">
        <w:t>4</w:t>
      </w:r>
      <w:r w:rsidRPr="002B55E9">
        <w:rPr>
          <w:rFonts w:hint="eastAsia"/>
        </w:rPr>
        <w:t>）</w:t>
      </w:r>
      <w:r w:rsidRPr="002B55E9">
        <w:t>均会产生投料废气，</w:t>
      </w:r>
      <w:r w:rsidRPr="002B55E9">
        <w:rPr>
          <w:rFonts w:hint="eastAsia"/>
        </w:rPr>
        <w:t>主要污染物为</w:t>
      </w:r>
      <w:r w:rsidR="00924AFA" w:rsidRPr="002B55E9">
        <w:rPr>
          <w:rFonts w:hint="eastAsia"/>
        </w:rPr>
        <w:t>非甲烷总烃</w:t>
      </w:r>
      <w:r w:rsidRPr="002B55E9">
        <w:rPr>
          <w:rFonts w:hint="eastAsia"/>
        </w:rPr>
        <w:t>，经密闭管道收集后汇入一套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装置处理后由</w:t>
      </w:r>
      <w:r w:rsidRPr="002B55E9">
        <w:rPr>
          <w:rFonts w:hint="eastAsia"/>
        </w:rPr>
        <w:t>18m</w:t>
      </w:r>
      <w:r w:rsidRPr="002B55E9">
        <w:rPr>
          <w:rFonts w:hint="eastAsia"/>
        </w:rPr>
        <w:t>高</w:t>
      </w:r>
      <w:r w:rsidRPr="002B55E9">
        <w:t>排气筒</w:t>
      </w:r>
      <w:r w:rsidRPr="002B55E9">
        <w:rPr>
          <w:rFonts w:hint="eastAsia"/>
        </w:rPr>
        <w:t>（</w:t>
      </w:r>
      <w:r w:rsidRPr="002B55E9">
        <w:rPr>
          <w:rFonts w:hint="eastAsia"/>
        </w:rPr>
        <w:t>D</w:t>
      </w:r>
      <w:r w:rsidRPr="002B55E9">
        <w:t>A002</w:t>
      </w:r>
      <w:r w:rsidRPr="002B55E9">
        <w:rPr>
          <w:rFonts w:hint="eastAsia"/>
        </w:rPr>
        <w:t>）</w:t>
      </w:r>
      <w:r w:rsidRPr="002B55E9">
        <w:t>排放</w:t>
      </w:r>
      <w:r w:rsidRPr="002B55E9">
        <w:rPr>
          <w:rFonts w:hint="eastAsia"/>
        </w:rPr>
        <w:t>。</w:t>
      </w:r>
    </w:p>
    <w:p w14:paraId="27D26656" w14:textId="77777777" w:rsidR="00D170E5" w:rsidRPr="002B55E9" w:rsidRDefault="00EF27AD">
      <w:pPr>
        <w:pStyle w:val="affff7"/>
      </w:pPr>
      <w:r w:rsidRPr="002B55E9">
        <w:rPr>
          <w:rFonts w:hint="eastAsia"/>
        </w:rPr>
        <w:t>拟建</w:t>
      </w:r>
      <w:r w:rsidRPr="002B55E9">
        <w:t>项目</w:t>
      </w:r>
      <w:r w:rsidRPr="002B55E9">
        <w:rPr>
          <w:rFonts w:hint="eastAsia"/>
        </w:rPr>
        <w:t>有机液体</w:t>
      </w:r>
      <w:r w:rsidRPr="002B55E9">
        <w:t>投料均为底部进料方式，</w:t>
      </w:r>
      <w:r w:rsidRPr="002B55E9">
        <w:rPr>
          <w:rFonts w:hint="eastAsia"/>
        </w:rPr>
        <w:t>随着液相物料的泵入，罐内气相会携带挥发的物质从罐内排出。</w:t>
      </w:r>
      <w:r w:rsidRPr="002B55E9">
        <w:t>乙醇</w:t>
      </w:r>
      <w:r w:rsidRPr="002B55E9">
        <w:rPr>
          <w:rFonts w:hint="eastAsia"/>
        </w:rPr>
        <w:t>等投料过程产污系数根据理想气体状态方程进行推导，具体推导过程参照</w:t>
      </w:r>
      <w:r w:rsidRPr="002B55E9">
        <w:t>料酒投料废气，</w:t>
      </w:r>
      <w:r w:rsidRPr="002B55E9">
        <w:rPr>
          <w:rFonts w:hint="eastAsia"/>
        </w:rPr>
        <w:t>则乙酸</w:t>
      </w:r>
      <w:r w:rsidRPr="002B55E9">
        <w:t>投料</w:t>
      </w:r>
      <w:r w:rsidRPr="002B55E9">
        <w:rPr>
          <w:rFonts w:hint="eastAsia"/>
        </w:rPr>
        <w:t>产污系数见下表。</w:t>
      </w:r>
    </w:p>
    <w:p w14:paraId="4DACB5BA"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-3-9  </w:t>
      </w:r>
      <w:r w:rsidRPr="002B55E9">
        <w:rPr>
          <w:rFonts w:hint="eastAsia"/>
        </w:rPr>
        <w:t>投料产污系数一览表</w:t>
      </w:r>
    </w:p>
    <w:tbl>
      <w:tblPr>
        <w:tblStyle w:val="lgy2"/>
        <w:tblW w:w="5000" w:type="pct"/>
        <w:tblLayout w:type="fixed"/>
        <w:tblCellMar>
          <w:left w:w="28" w:type="dxa"/>
          <w:right w:w="28" w:type="dxa"/>
        </w:tblCellMar>
        <w:tblLook w:val="04A0" w:firstRow="1" w:lastRow="0" w:firstColumn="1" w:lastColumn="0" w:noHBand="0" w:noVBand="1"/>
      </w:tblPr>
      <w:tblGrid>
        <w:gridCol w:w="1303"/>
        <w:gridCol w:w="1574"/>
        <w:gridCol w:w="1118"/>
        <w:gridCol w:w="1455"/>
        <w:gridCol w:w="1473"/>
        <w:gridCol w:w="1475"/>
        <w:gridCol w:w="1296"/>
      </w:tblGrid>
      <w:tr w:rsidR="002B55E9" w:rsidRPr="002B55E9" w14:paraId="18F16041"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295" w:type="dxa"/>
          </w:tcPr>
          <w:p w14:paraId="75C47B28" w14:textId="77777777" w:rsidR="00D170E5" w:rsidRPr="002B55E9" w:rsidRDefault="00EF27AD">
            <w:pPr>
              <w:pStyle w:val="lgy-"/>
            </w:pPr>
            <w:r w:rsidRPr="002B55E9">
              <w:rPr>
                <w:rFonts w:eastAsia="宋体"/>
              </w:rPr>
              <w:t>物料属性</w:t>
            </w:r>
          </w:p>
        </w:tc>
        <w:tc>
          <w:tcPr>
            <w:tcW w:w="1565" w:type="dxa"/>
          </w:tcPr>
          <w:p w14:paraId="0DB59E87" w14:textId="77777777" w:rsidR="00D170E5" w:rsidRPr="002B55E9" w:rsidRDefault="00EF27AD">
            <w:pPr>
              <w:pStyle w:val="lgy-"/>
            </w:pPr>
            <w:r w:rsidRPr="002B55E9">
              <w:rPr>
                <w:rFonts w:eastAsia="宋体"/>
              </w:rPr>
              <w:t>原料名称</w:t>
            </w:r>
          </w:p>
        </w:tc>
        <w:tc>
          <w:tcPr>
            <w:tcW w:w="1112" w:type="dxa"/>
          </w:tcPr>
          <w:p w14:paraId="0B8F513A" w14:textId="77777777" w:rsidR="00D170E5" w:rsidRPr="002B55E9" w:rsidRDefault="00EF27AD">
            <w:pPr>
              <w:pStyle w:val="lgy-"/>
            </w:pPr>
            <w:r w:rsidRPr="002B55E9">
              <w:rPr>
                <w:rFonts w:eastAsia="宋体"/>
              </w:rPr>
              <w:t>CAS</w:t>
            </w:r>
            <w:r w:rsidRPr="002B55E9">
              <w:rPr>
                <w:rFonts w:eastAsia="宋体"/>
              </w:rPr>
              <w:t>号</w:t>
            </w:r>
          </w:p>
        </w:tc>
        <w:tc>
          <w:tcPr>
            <w:tcW w:w="1447" w:type="dxa"/>
          </w:tcPr>
          <w:p w14:paraId="142BC9AE" w14:textId="77777777" w:rsidR="00D170E5" w:rsidRPr="002B55E9" w:rsidRDefault="00EF27AD">
            <w:pPr>
              <w:pStyle w:val="lgy-"/>
            </w:pPr>
            <w:r w:rsidRPr="002B55E9">
              <w:rPr>
                <w:rFonts w:eastAsia="宋体"/>
              </w:rPr>
              <w:t>饱和蒸汽压（</w:t>
            </w:r>
            <w:r w:rsidRPr="002B55E9">
              <w:rPr>
                <w:rFonts w:eastAsia="宋体"/>
              </w:rPr>
              <w:t>25</w:t>
            </w:r>
            <w:r w:rsidRPr="002B55E9">
              <w:rPr>
                <w:rFonts w:eastAsia="宋体" w:hint="eastAsia"/>
              </w:rPr>
              <w:t>℃</w:t>
            </w:r>
            <w:r w:rsidRPr="002B55E9">
              <w:rPr>
                <w:rFonts w:eastAsia="宋体"/>
              </w:rPr>
              <w:t>，</w:t>
            </w:r>
            <w:r w:rsidRPr="002B55E9">
              <w:rPr>
                <w:rFonts w:eastAsia="宋体"/>
              </w:rPr>
              <w:t>pa</w:t>
            </w:r>
            <w:r w:rsidRPr="002B55E9">
              <w:rPr>
                <w:rFonts w:eastAsia="宋体"/>
              </w:rPr>
              <w:t>）</w:t>
            </w:r>
          </w:p>
        </w:tc>
        <w:tc>
          <w:tcPr>
            <w:tcW w:w="1464" w:type="dxa"/>
          </w:tcPr>
          <w:p w14:paraId="6EE4E71C" w14:textId="77777777" w:rsidR="00D170E5" w:rsidRPr="002B55E9" w:rsidRDefault="00EF27AD" w:rsidP="00EF27AD">
            <w:pPr>
              <w:pStyle w:val="lgy-"/>
            </w:pPr>
            <w:r w:rsidRPr="002B55E9">
              <w:rPr>
                <w:rFonts w:eastAsia="宋体"/>
              </w:rPr>
              <w:t>分子量（</w:t>
            </w:r>
            <w:r w:rsidRPr="002B55E9">
              <w:rPr>
                <w:rFonts w:eastAsia="宋体"/>
              </w:rPr>
              <w:t>g/mol</w:t>
            </w:r>
            <w:r w:rsidRPr="002B55E9">
              <w:rPr>
                <w:rFonts w:eastAsia="宋体"/>
              </w:rPr>
              <w:t>）</w:t>
            </w:r>
          </w:p>
        </w:tc>
        <w:tc>
          <w:tcPr>
            <w:tcW w:w="1466" w:type="dxa"/>
          </w:tcPr>
          <w:p w14:paraId="5E830146" w14:textId="77777777" w:rsidR="00D170E5" w:rsidRPr="002B55E9" w:rsidRDefault="00EF27AD">
            <w:pPr>
              <w:pStyle w:val="lgy-"/>
            </w:pPr>
            <w:r w:rsidRPr="002B55E9">
              <w:rPr>
                <w:rFonts w:eastAsia="宋体"/>
              </w:rPr>
              <w:t>液体密度（</w:t>
            </w:r>
            <w:r w:rsidRPr="002B55E9">
              <w:rPr>
                <w:rFonts w:eastAsia="宋体"/>
              </w:rPr>
              <w:t>kg/m</w:t>
            </w:r>
            <w:r w:rsidRPr="002B55E9">
              <w:rPr>
                <w:rFonts w:eastAsia="宋体"/>
                <w:vertAlign w:val="superscript"/>
              </w:rPr>
              <w:t>3</w:t>
            </w:r>
            <w:r w:rsidRPr="002B55E9">
              <w:rPr>
                <w:rFonts w:eastAsia="宋体"/>
              </w:rPr>
              <w:t>）</w:t>
            </w:r>
          </w:p>
        </w:tc>
        <w:tc>
          <w:tcPr>
            <w:tcW w:w="1289" w:type="dxa"/>
          </w:tcPr>
          <w:p w14:paraId="62D4CE0B" w14:textId="77777777" w:rsidR="00D170E5" w:rsidRPr="002B55E9" w:rsidRDefault="00EF27AD">
            <w:pPr>
              <w:pStyle w:val="lgy-"/>
              <w:rPr>
                <w:rFonts w:eastAsia="宋体"/>
              </w:rPr>
            </w:pPr>
            <w:r w:rsidRPr="002B55E9">
              <w:rPr>
                <w:rFonts w:eastAsia="宋体"/>
              </w:rPr>
              <w:t>产污系数</w:t>
            </w:r>
          </w:p>
        </w:tc>
      </w:tr>
      <w:tr w:rsidR="002B55E9" w:rsidRPr="002B55E9" w14:paraId="40ADB650" w14:textId="77777777" w:rsidTr="00EF27AD">
        <w:trPr>
          <w:trHeight w:val="283"/>
        </w:trPr>
        <w:tc>
          <w:tcPr>
            <w:tcW w:w="1295" w:type="dxa"/>
          </w:tcPr>
          <w:p w14:paraId="7F06526F" w14:textId="77777777" w:rsidR="00D170E5" w:rsidRPr="002B55E9" w:rsidRDefault="00EF27AD">
            <w:pPr>
              <w:pStyle w:val="lgy-"/>
            </w:pPr>
            <w:r w:rsidRPr="002B55E9">
              <w:rPr>
                <w:rFonts w:eastAsia="宋体"/>
              </w:rPr>
              <w:t>有机液体</w:t>
            </w:r>
          </w:p>
        </w:tc>
        <w:tc>
          <w:tcPr>
            <w:tcW w:w="1565" w:type="dxa"/>
          </w:tcPr>
          <w:p w14:paraId="30956EB3" w14:textId="77777777" w:rsidR="00D170E5" w:rsidRPr="002B55E9" w:rsidRDefault="00EF27AD">
            <w:pPr>
              <w:pStyle w:val="lgy-"/>
            </w:pPr>
            <w:r w:rsidRPr="002B55E9">
              <w:rPr>
                <w:rFonts w:eastAsia="宋体"/>
              </w:rPr>
              <w:t>乙酸</w:t>
            </w:r>
          </w:p>
        </w:tc>
        <w:tc>
          <w:tcPr>
            <w:tcW w:w="1112" w:type="dxa"/>
          </w:tcPr>
          <w:p w14:paraId="6FC4A4F6" w14:textId="77777777" w:rsidR="00D170E5" w:rsidRPr="002B55E9" w:rsidRDefault="00EF27AD">
            <w:pPr>
              <w:pStyle w:val="lgy-"/>
            </w:pPr>
            <w:r w:rsidRPr="002B55E9">
              <w:rPr>
                <w:rFonts w:eastAsia="宋体"/>
              </w:rPr>
              <w:t>64-19-7</w:t>
            </w:r>
          </w:p>
        </w:tc>
        <w:tc>
          <w:tcPr>
            <w:tcW w:w="1447" w:type="dxa"/>
          </w:tcPr>
          <w:p w14:paraId="65F96CB2" w14:textId="77777777" w:rsidR="00D170E5" w:rsidRPr="002B55E9" w:rsidRDefault="00EF27AD">
            <w:pPr>
              <w:pStyle w:val="lgy-"/>
            </w:pPr>
            <w:r w:rsidRPr="002B55E9">
              <w:rPr>
                <w:rFonts w:eastAsia="宋体"/>
              </w:rPr>
              <w:t>1520</w:t>
            </w:r>
          </w:p>
        </w:tc>
        <w:tc>
          <w:tcPr>
            <w:tcW w:w="1464" w:type="dxa"/>
          </w:tcPr>
          <w:p w14:paraId="2CCBE845" w14:textId="77777777" w:rsidR="00D170E5" w:rsidRPr="002B55E9" w:rsidRDefault="00EF27AD">
            <w:pPr>
              <w:pStyle w:val="lgy-"/>
            </w:pPr>
            <w:r w:rsidRPr="002B55E9">
              <w:rPr>
                <w:rFonts w:eastAsia="宋体"/>
              </w:rPr>
              <w:t>170</w:t>
            </w:r>
          </w:p>
        </w:tc>
        <w:tc>
          <w:tcPr>
            <w:tcW w:w="1466" w:type="dxa"/>
          </w:tcPr>
          <w:p w14:paraId="259A5F5B" w14:textId="77777777" w:rsidR="00D170E5" w:rsidRPr="002B55E9" w:rsidRDefault="00EF27AD">
            <w:pPr>
              <w:pStyle w:val="lgy-"/>
            </w:pPr>
            <w:r w:rsidRPr="002B55E9">
              <w:rPr>
                <w:rFonts w:eastAsia="宋体"/>
              </w:rPr>
              <w:t>1027</w:t>
            </w:r>
          </w:p>
        </w:tc>
        <w:tc>
          <w:tcPr>
            <w:tcW w:w="1289" w:type="dxa"/>
          </w:tcPr>
          <w:p w14:paraId="2E48FA0E" w14:textId="77777777" w:rsidR="00D170E5" w:rsidRPr="002B55E9" w:rsidRDefault="00EF27AD">
            <w:pPr>
              <w:pStyle w:val="lgy-"/>
              <w:rPr>
                <w:rFonts w:eastAsia="宋体"/>
              </w:rPr>
            </w:pPr>
            <w:r w:rsidRPr="002B55E9">
              <w:rPr>
                <w:rFonts w:eastAsia="宋体"/>
              </w:rPr>
              <w:t>0.004%</w:t>
            </w:r>
          </w:p>
        </w:tc>
      </w:tr>
    </w:tbl>
    <w:p w14:paraId="633802FC" w14:textId="45ED3F95" w:rsidR="00D170E5" w:rsidRPr="002B55E9" w:rsidRDefault="00EF27AD">
      <w:pPr>
        <w:pStyle w:val="affff7"/>
        <w:snapToGrid w:val="0"/>
        <w:spacing w:after="0"/>
      </w:pPr>
      <w:r w:rsidRPr="002B55E9">
        <w:rPr>
          <w:rFonts w:hint="eastAsia"/>
        </w:rPr>
        <w:t>酒液调配工序每批次</w:t>
      </w:r>
      <w:r w:rsidR="006B6D10" w:rsidRPr="002B55E9">
        <w:rPr>
          <w:rFonts w:hint="eastAsia"/>
        </w:rPr>
        <w:t>最大</w:t>
      </w:r>
      <w:r w:rsidRPr="002B55E9">
        <w:rPr>
          <w:rFonts w:hint="eastAsia"/>
        </w:rPr>
        <w:t>酒液</w:t>
      </w:r>
      <w:r w:rsidRPr="002B55E9">
        <w:t>投料</w:t>
      </w:r>
      <w:r w:rsidRPr="002B55E9">
        <w:rPr>
          <w:rFonts w:hint="eastAsia"/>
        </w:rPr>
        <w:t>量为</w:t>
      </w:r>
      <w:r w:rsidRPr="002B55E9">
        <w:t>1.</w:t>
      </w:r>
      <w:r w:rsidR="006B6D10" w:rsidRPr="002B55E9">
        <w:t>87</w:t>
      </w:r>
      <w:r w:rsidRPr="002B55E9">
        <w:rPr>
          <w:rFonts w:hint="eastAsia"/>
        </w:rPr>
        <w:t>t</w:t>
      </w:r>
      <w:r w:rsidRPr="002B55E9">
        <w:rPr>
          <w:rFonts w:hint="eastAsia"/>
        </w:rPr>
        <w:t>，</w:t>
      </w:r>
      <w:r w:rsidRPr="002B55E9">
        <w:t>乙醇投加量为</w:t>
      </w:r>
      <w:r w:rsidR="006B6D10" w:rsidRPr="002B55E9">
        <w:rPr>
          <w:rFonts w:hint="eastAsia"/>
        </w:rPr>
        <w:t>9</w:t>
      </w:r>
      <w:r w:rsidR="006B6D10" w:rsidRPr="002B55E9">
        <w:t>.51</w:t>
      </w:r>
      <w:r w:rsidRPr="002B55E9">
        <w:t>t</w:t>
      </w:r>
      <w:r w:rsidRPr="002B55E9">
        <w:t>，</w:t>
      </w:r>
      <w:r w:rsidRPr="002B55E9">
        <w:rPr>
          <w:rFonts w:hint="eastAsia"/>
        </w:rPr>
        <w:t>年生产</w:t>
      </w:r>
      <w:r w:rsidR="006B6D10" w:rsidRPr="002B55E9">
        <w:t>1114</w:t>
      </w:r>
      <w:r w:rsidRPr="002B55E9">
        <w:rPr>
          <w:rFonts w:hint="eastAsia"/>
        </w:rPr>
        <w:t>批次，调配</w:t>
      </w:r>
      <w:r w:rsidRPr="002B55E9">
        <w:t>工序</w:t>
      </w:r>
      <w:r w:rsidRPr="002B55E9">
        <w:rPr>
          <w:rFonts w:hint="eastAsia"/>
        </w:rPr>
        <w:t>乙醇挥发量为</w:t>
      </w:r>
      <w:r w:rsidRPr="002B55E9">
        <w:t>0.5</w:t>
      </w:r>
      <w:r w:rsidR="006B6D10" w:rsidRPr="002B55E9">
        <w:t>33</w:t>
      </w:r>
      <w:r w:rsidRPr="002B55E9">
        <w:rPr>
          <w:rFonts w:hint="eastAsia"/>
        </w:rPr>
        <w:t>kg</w:t>
      </w:r>
      <w:r w:rsidRPr="002B55E9">
        <w:t>/</w:t>
      </w:r>
      <w:r w:rsidRPr="002B55E9">
        <w:rPr>
          <w:rFonts w:hint="eastAsia"/>
        </w:rPr>
        <w:t>批次、</w:t>
      </w:r>
      <w:r w:rsidRPr="002B55E9">
        <w:t>0.40</w:t>
      </w:r>
      <w:r w:rsidR="006B6D10" w:rsidRPr="002B55E9">
        <w:t>4</w:t>
      </w:r>
      <w:r w:rsidRPr="002B55E9">
        <w:rPr>
          <w:rFonts w:hint="eastAsia"/>
        </w:rPr>
        <w:t>t/a</w:t>
      </w:r>
      <w:r w:rsidRPr="002B55E9">
        <w:rPr>
          <w:rFonts w:hint="eastAsia"/>
        </w:rPr>
        <w:t>，每批次投料时间</w:t>
      </w:r>
      <w:r w:rsidRPr="002B55E9">
        <w:t>约</w:t>
      </w:r>
      <w:r w:rsidRPr="002B55E9">
        <w:t>3</w:t>
      </w:r>
      <w:r w:rsidRPr="002B55E9">
        <w:rPr>
          <w:rFonts w:hint="eastAsia"/>
        </w:rPr>
        <w:t>h</w:t>
      </w:r>
      <w:r w:rsidRPr="002B55E9">
        <w:rPr>
          <w:rFonts w:hint="eastAsia"/>
        </w:rPr>
        <w:t>，则酒液调配工序</w:t>
      </w:r>
      <w:r w:rsidR="00924AFA" w:rsidRPr="002B55E9">
        <w:rPr>
          <w:rFonts w:hint="eastAsia"/>
        </w:rPr>
        <w:t>非甲烷总烃</w:t>
      </w:r>
      <w:r w:rsidRPr="002B55E9">
        <w:rPr>
          <w:rFonts w:hint="eastAsia"/>
        </w:rPr>
        <w:t>（</w:t>
      </w:r>
      <w:r w:rsidRPr="002B55E9">
        <w:rPr>
          <w:rFonts w:hint="eastAsia"/>
        </w:rPr>
        <w:t>G</w:t>
      </w:r>
      <w:r w:rsidRPr="002B55E9">
        <w:t>2</w:t>
      </w:r>
      <w:r w:rsidRPr="002B55E9">
        <w:rPr>
          <w:rFonts w:hint="eastAsia"/>
        </w:rPr>
        <w:t>-2</w:t>
      </w:r>
      <w:r w:rsidRPr="002B55E9">
        <w:rPr>
          <w:rFonts w:hint="eastAsia"/>
        </w:rPr>
        <w:t>）产生速率为</w:t>
      </w:r>
      <w:r w:rsidRPr="002B55E9">
        <w:rPr>
          <w:rFonts w:hint="eastAsia"/>
        </w:rPr>
        <w:t>0</w:t>
      </w:r>
      <w:r w:rsidRPr="002B55E9">
        <w:t>.1</w:t>
      </w:r>
      <w:r w:rsidR="006B6D10" w:rsidRPr="002B55E9">
        <w:t>7</w:t>
      </w:r>
      <w:r w:rsidRPr="002B55E9">
        <w:t>8</w:t>
      </w:r>
      <w:r w:rsidRPr="002B55E9">
        <w:rPr>
          <w:rFonts w:hint="eastAsia"/>
        </w:rPr>
        <w:t>kg/h</w:t>
      </w:r>
      <w:r w:rsidRPr="002B55E9">
        <w:rPr>
          <w:rFonts w:hint="eastAsia"/>
        </w:rPr>
        <w:t>。</w:t>
      </w:r>
    </w:p>
    <w:p w14:paraId="76D77B46" w14:textId="67E95F85" w:rsidR="00D170E5" w:rsidRPr="002B55E9" w:rsidRDefault="00EF27AD">
      <w:pPr>
        <w:pStyle w:val="affff7"/>
        <w:snapToGrid w:val="0"/>
        <w:spacing w:after="0"/>
      </w:pPr>
      <w:r w:rsidRPr="002B55E9">
        <w:rPr>
          <w:rFonts w:hint="eastAsia"/>
        </w:rPr>
        <w:t>混合</w:t>
      </w:r>
      <w:r w:rsidRPr="002B55E9">
        <w:t>工序</w:t>
      </w:r>
      <w:r w:rsidRPr="002B55E9">
        <w:rPr>
          <w:rFonts w:hint="eastAsia"/>
        </w:rPr>
        <w:t>每批次醋胚</w:t>
      </w:r>
      <w:r w:rsidRPr="002B55E9">
        <w:t>投料</w:t>
      </w:r>
      <w:r w:rsidRPr="002B55E9">
        <w:rPr>
          <w:rFonts w:hint="eastAsia"/>
        </w:rPr>
        <w:t>量为</w:t>
      </w:r>
      <w:r w:rsidR="006B6D10" w:rsidRPr="002B55E9">
        <w:t>22.2</w:t>
      </w:r>
      <w:r w:rsidRPr="002B55E9">
        <w:rPr>
          <w:rFonts w:hint="eastAsia"/>
        </w:rPr>
        <w:t>t</w:t>
      </w:r>
      <w:r w:rsidRPr="002B55E9">
        <w:rPr>
          <w:rFonts w:hint="eastAsia"/>
        </w:rPr>
        <w:t>，年生产</w:t>
      </w:r>
      <w:r w:rsidR="006B6D10" w:rsidRPr="002B55E9">
        <w:t>100</w:t>
      </w:r>
      <w:r w:rsidRPr="002B55E9">
        <w:t>0</w:t>
      </w:r>
      <w:r w:rsidRPr="002B55E9">
        <w:rPr>
          <w:rFonts w:hint="eastAsia"/>
        </w:rPr>
        <w:t>批次，混合</w:t>
      </w:r>
      <w:r w:rsidRPr="002B55E9">
        <w:t>工序</w:t>
      </w:r>
      <w:r w:rsidRPr="002B55E9">
        <w:rPr>
          <w:rFonts w:hint="eastAsia"/>
        </w:rPr>
        <w:t>乙酸挥发量为</w:t>
      </w:r>
      <w:r w:rsidRPr="002B55E9">
        <w:t>0.01</w:t>
      </w:r>
      <w:r w:rsidR="006B6D10" w:rsidRPr="002B55E9">
        <w:t>1</w:t>
      </w:r>
      <w:r w:rsidRPr="002B55E9">
        <w:rPr>
          <w:rFonts w:hint="eastAsia"/>
        </w:rPr>
        <w:t>kg</w:t>
      </w:r>
      <w:r w:rsidRPr="002B55E9">
        <w:t>/</w:t>
      </w:r>
      <w:r w:rsidRPr="002B55E9">
        <w:rPr>
          <w:rFonts w:hint="eastAsia"/>
        </w:rPr>
        <w:t>批次、</w:t>
      </w:r>
      <w:r w:rsidRPr="002B55E9">
        <w:t>0.011</w:t>
      </w:r>
      <w:r w:rsidRPr="002B55E9">
        <w:rPr>
          <w:rFonts w:hint="eastAsia"/>
        </w:rPr>
        <w:t>t/a</w:t>
      </w:r>
      <w:r w:rsidRPr="002B55E9">
        <w:rPr>
          <w:rFonts w:hint="eastAsia"/>
        </w:rPr>
        <w:t>，每批次投料时间</w:t>
      </w:r>
      <w:r w:rsidRPr="002B55E9">
        <w:t>约</w:t>
      </w:r>
      <w:r w:rsidRPr="002B55E9">
        <w:t>3</w:t>
      </w:r>
      <w:r w:rsidRPr="002B55E9">
        <w:rPr>
          <w:rFonts w:hint="eastAsia"/>
        </w:rPr>
        <w:t>h</w:t>
      </w:r>
      <w:r w:rsidRPr="002B55E9">
        <w:rPr>
          <w:rFonts w:hint="eastAsia"/>
        </w:rPr>
        <w:t>，则混合调配工序</w:t>
      </w:r>
      <w:r w:rsidR="00924AFA" w:rsidRPr="002B55E9">
        <w:rPr>
          <w:rFonts w:hint="eastAsia"/>
        </w:rPr>
        <w:t>非甲烷总烃</w:t>
      </w:r>
      <w:r w:rsidRPr="002B55E9">
        <w:rPr>
          <w:rFonts w:hint="eastAsia"/>
        </w:rPr>
        <w:t>（</w:t>
      </w:r>
      <w:r w:rsidRPr="002B55E9">
        <w:rPr>
          <w:rFonts w:hint="eastAsia"/>
        </w:rPr>
        <w:t>G</w:t>
      </w:r>
      <w:r w:rsidRPr="002B55E9">
        <w:t>2</w:t>
      </w:r>
      <w:r w:rsidRPr="002B55E9">
        <w:rPr>
          <w:rFonts w:hint="eastAsia"/>
        </w:rPr>
        <w:t>-</w:t>
      </w:r>
      <w:r w:rsidRPr="002B55E9">
        <w:t>4</w:t>
      </w:r>
      <w:r w:rsidRPr="002B55E9">
        <w:rPr>
          <w:rFonts w:hint="eastAsia"/>
        </w:rPr>
        <w:t>）产生速率为</w:t>
      </w:r>
      <w:r w:rsidRPr="002B55E9">
        <w:rPr>
          <w:rFonts w:hint="eastAsia"/>
        </w:rPr>
        <w:t>0</w:t>
      </w:r>
      <w:r w:rsidRPr="002B55E9">
        <w:t>.00</w:t>
      </w:r>
      <w:r w:rsidR="006B6D10" w:rsidRPr="002B55E9">
        <w:t>4</w:t>
      </w:r>
      <w:r w:rsidRPr="002B55E9">
        <w:rPr>
          <w:rFonts w:hint="eastAsia"/>
        </w:rPr>
        <w:t>kg/h</w:t>
      </w:r>
      <w:r w:rsidRPr="002B55E9">
        <w:rPr>
          <w:rFonts w:hint="eastAsia"/>
        </w:rPr>
        <w:t>。投料废气产生情况如下表</w:t>
      </w:r>
      <w:r w:rsidRPr="002B55E9">
        <w:t>所示。</w:t>
      </w:r>
    </w:p>
    <w:p w14:paraId="43A124B1"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-3-10  </w:t>
      </w:r>
      <w:r w:rsidRPr="002B55E9">
        <w:rPr>
          <w:rFonts w:hint="eastAsia"/>
        </w:rPr>
        <w:t>投料废气产生情况一览表</w:t>
      </w:r>
    </w:p>
    <w:tbl>
      <w:tblPr>
        <w:tblStyle w:val="lgy2"/>
        <w:tblW w:w="5000" w:type="pct"/>
        <w:tblLayout w:type="fixed"/>
        <w:tblCellMar>
          <w:left w:w="28" w:type="dxa"/>
          <w:right w:w="28" w:type="dxa"/>
        </w:tblCellMar>
        <w:tblLook w:val="04A0" w:firstRow="1" w:lastRow="0" w:firstColumn="1" w:lastColumn="0" w:noHBand="0" w:noVBand="1"/>
      </w:tblPr>
      <w:tblGrid>
        <w:gridCol w:w="712"/>
        <w:gridCol w:w="1850"/>
        <w:gridCol w:w="1303"/>
        <w:gridCol w:w="954"/>
        <w:gridCol w:w="907"/>
        <w:gridCol w:w="975"/>
        <w:gridCol w:w="853"/>
        <w:gridCol w:w="1000"/>
        <w:gridCol w:w="1140"/>
      </w:tblGrid>
      <w:tr w:rsidR="002B55E9" w:rsidRPr="002B55E9" w14:paraId="27C25C6E" w14:textId="77777777" w:rsidTr="006B6D10">
        <w:trPr>
          <w:cnfStyle w:val="100000000000" w:firstRow="1" w:lastRow="0" w:firstColumn="0" w:lastColumn="0" w:oddVBand="0" w:evenVBand="0" w:oddHBand="0" w:evenHBand="0" w:firstRowFirstColumn="0" w:firstRowLastColumn="0" w:lastRowFirstColumn="0" w:lastRowLastColumn="0"/>
          <w:trHeight w:val="283"/>
        </w:trPr>
        <w:tc>
          <w:tcPr>
            <w:tcW w:w="709" w:type="dxa"/>
          </w:tcPr>
          <w:p w14:paraId="1809624F" w14:textId="77777777" w:rsidR="00D170E5" w:rsidRPr="002B55E9" w:rsidRDefault="00EF27AD">
            <w:pPr>
              <w:pStyle w:val="lgy-"/>
              <w:rPr>
                <w:rFonts w:eastAsia="宋体"/>
              </w:rPr>
            </w:pPr>
            <w:r w:rsidRPr="002B55E9">
              <w:rPr>
                <w:rFonts w:eastAsia="宋体"/>
              </w:rPr>
              <w:t>产生</w:t>
            </w:r>
          </w:p>
          <w:p w14:paraId="3B0D3988" w14:textId="77777777" w:rsidR="00D170E5" w:rsidRPr="002B55E9" w:rsidRDefault="00EF27AD">
            <w:pPr>
              <w:pStyle w:val="lgy-"/>
            </w:pPr>
            <w:r w:rsidRPr="002B55E9">
              <w:rPr>
                <w:rFonts w:eastAsia="宋体"/>
              </w:rPr>
              <w:t>环节</w:t>
            </w:r>
          </w:p>
        </w:tc>
        <w:tc>
          <w:tcPr>
            <w:tcW w:w="1840" w:type="dxa"/>
          </w:tcPr>
          <w:p w14:paraId="0564DF2A" w14:textId="77777777" w:rsidR="00D170E5" w:rsidRPr="002B55E9" w:rsidRDefault="00EF27AD">
            <w:pPr>
              <w:pStyle w:val="lgy-"/>
            </w:pPr>
            <w:r w:rsidRPr="002B55E9">
              <w:rPr>
                <w:rFonts w:eastAsia="宋体"/>
              </w:rPr>
              <w:t>投加物料</w:t>
            </w:r>
          </w:p>
        </w:tc>
        <w:tc>
          <w:tcPr>
            <w:tcW w:w="1295" w:type="dxa"/>
          </w:tcPr>
          <w:p w14:paraId="09D2100C" w14:textId="77777777" w:rsidR="00D170E5" w:rsidRPr="002B55E9" w:rsidRDefault="00EF27AD">
            <w:pPr>
              <w:pStyle w:val="lgy-"/>
            </w:pPr>
            <w:r w:rsidRPr="002B55E9">
              <w:rPr>
                <w:rFonts w:eastAsia="宋体"/>
              </w:rPr>
              <w:t>批次投料量</w:t>
            </w:r>
            <w:r w:rsidRPr="002B55E9">
              <w:rPr>
                <w:rFonts w:eastAsia="宋体"/>
              </w:rPr>
              <w:t>t</w:t>
            </w:r>
          </w:p>
        </w:tc>
        <w:tc>
          <w:tcPr>
            <w:tcW w:w="948" w:type="dxa"/>
          </w:tcPr>
          <w:p w14:paraId="5ABE6244" w14:textId="77777777" w:rsidR="00D170E5" w:rsidRPr="002B55E9" w:rsidRDefault="00EF27AD">
            <w:pPr>
              <w:pStyle w:val="lgy-"/>
              <w:rPr>
                <w:rFonts w:eastAsia="宋体"/>
              </w:rPr>
            </w:pPr>
            <w:r w:rsidRPr="002B55E9">
              <w:rPr>
                <w:rFonts w:eastAsia="宋体"/>
              </w:rPr>
              <w:t>年生产</w:t>
            </w:r>
          </w:p>
          <w:p w14:paraId="54CCB699" w14:textId="77777777" w:rsidR="00D170E5" w:rsidRPr="002B55E9" w:rsidRDefault="00EF27AD">
            <w:pPr>
              <w:pStyle w:val="lgy-"/>
            </w:pPr>
            <w:r w:rsidRPr="002B55E9">
              <w:rPr>
                <w:rFonts w:eastAsia="宋体"/>
              </w:rPr>
              <w:t>批次</w:t>
            </w:r>
          </w:p>
        </w:tc>
        <w:tc>
          <w:tcPr>
            <w:tcW w:w="902" w:type="dxa"/>
          </w:tcPr>
          <w:p w14:paraId="4C85FB00" w14:textId="77777777" w:rsidR="00D170E5" w:rsidRPr="002B55E9" w:rsidRDefault="00EF27AD">
            <w:pPr>
              <w:pStyle w:val="lgy-"/>
            </w:pPr>
            <w:r w:rsidRPr="002B55E9">
              <w:rPr>
                <w:rFonts w:eastAsia="宋体"/>
              </w:rPr>
              <w:t>批次耗时</w:t>
            </w:r>
            <w:r w:rsidRPr="002B55E9">
              <w:rPr>
                <w:rFonts w:eastAsia="宋体"/>
              </w:rPr>
              <w:t>h</w:t>
            </w:r>
          </w:p>
        </w:tc>
        <w:tc>
          <w:tcPr>
            <w:tcW w:w="969" w:type="dxa"/>
          </w:tcPr>
          <w:p w14:paraId="4AFB0CA9" w14:textId="77777777" w:rsidR="00D170E5" w:rsidRPr="002B55E9" w:rsidRDefault="00EF27AD">
            <w:pPr>
              <w:pStyle w:val="lgy-"/>
            </w:pPr>
            <w:r w:rsidRPr="002B55E9">
              <w:rPr>
                <w:rFonts w:eastAsia="宋体"/>
              </w:rPr>
              <w:t>污染物</w:t>
            </w:r>
          </w:p>
        </w:tc>
        <w:tc>
          <w:tcPr>
            <w:tcW w:w="848" w:type="dxa"/>
          </w:tcPr>
          <w:p w14:paraId="1C218B2F" w14:textId="77777777" w:rsidR="00D170E5" w:rsidRPr="002B55E9" w:rsidRDefault="00EF27AD" w:rsidP="00EF27AD">
            <w:pPr>
              <w:pStyle w:val="lgy-"/>
              <w:rPr>
                <w:rFonts w:eastAsia="宋体"/>
              </w:rPr>
            </w:pPr>
            <w:r w:rsidRPr="002B55E9">
              <w:rPr>
                <w:rFonts w:eastAsia="宋体"/>
              </w:rPr>
              <w:t>产生量</w:t>
            </w:r>
          </w:p>
          <w:p w14:paraId="4DE5511B" w14:textId="77777777" w:rsidR="00D170E5" w:rsidRPr="002B55E9" w:rsidRDefault="00EF27AD">
            <w:pPr>
              <w:pStyle w:val="lgy-"/>
            </w:pPr>
            <w:r w:rsidRPr="002B55E9">
              <w:rPr>
                <w:rFonts w:eastAsia="宋体"/>
              </w:rPr>
              <w:t>kg/</w:t>
            </w:r>
            <w:r w:rsidRPr="002B55E9">
              <w:rPr>
                <w:rFonts w:eastAsia="宋体"/>
              </w:rPr>
              <w:t>批次</w:t>
            </w:r>
          </w:p>
        </w:tc>
        <w:tc>
          <w:tcPr>
            <w:tcW w:w="994" w:type="dxa"/>
          </w:tcPr>
          <w:p w14:paraId="71655A23" w14:textId="77777777" w:rsidR="00D170E5" w:rsidRPr="002B55E9" w:rsidRDefault="00EF27AD">
            <w:pPr>
              <w:pStyle w:val="lgy-"/>
            </w:pPr>
            <w:r w:rsidRPr="002B55E9">
              <w:rPr>
                <w:rFonts w:eastAsia="宋体"/>
              </w:rPr>
              <w:t>年产生量</w:t>
            </w:r>
            <w:r w:rsidRPr="002B55E9">
              <w:rPr>
                <w:rFonts w:eastAsia="宋体"/>
              </w:rPr>
              <w:t>t/a</w:t>
            </w:r>
          </w:p>
        </w:tc>
        <w:tc>
          <w:tcPr>
            <w:tcW w:w="1133" w:type="dxa"/>
          </w:tcPr>
          <w:p w14:paraId="583FEF0B" w14:textId="77777777" w:rsidR="00D170E5" w:rsidRPr="002B55E9" w:rsidRDefault="00EF27AD">
            <w:pPr>
              <w:pStyle w:val="lgy-"/>
              <w:rPr>
                <w:rFonts w:eastAsia="宋体"/>
              </w:rPr>
            </w:pPr>
            <w:r w:rsidRPr="002B55E9">
              <w:rPr>
                <w:rFonts w:eastAsia="宋体"/>
              </w:rPr>
              <w:t>产生速率</w:t>
            </w:r>
            <w:r w:rsidRPr="002B55E9">
              <w:rPr>
                <w:rFonts w:eastAsia="宋体"/>
              </w:rPr>
              <w:t>kg/h</w:t>
            </w:r>
          </w:p>
        </w:tc>
      </w:tr>
      <w:tr w:rsidR="002B55E9" w:rsidRPr="002B55E9" w14:paraId="6FF69622" w14:textId="77777777" w:rsidTr="006B6D10">
        <w:trPr>
          <w:trHeight w:val="283"/>
        </w:trPr>
        <w:tc>
          <w:tcPr>
            <w:tcW w:w="709" w:type="dxa"/>
            <w:vMerge w:val="restart"/>
          </w:tcPr>
          <w:p w14:paraId="66609CDC" w14:textId="77777777" w:rsidR="00D170E5" w:rsidRPr="002B55E9" w:rsidRDefault="00EF27AD">
            <w:pPr>
              <w:pStyle w:val="lgy-"/>
            </w:pPr>
            <w:r w:rsidRPr="002B55E9">
              <w:rPr>
                <w:rFonts w:eastAsia="宋体"/>
              </w:rPr>
              <w:t>酒液调配</w:t>
            </w:r>
          </w:p>
        </w:tc>
        <w:tc>
          <w:tcPr>
            <w:tcW w:w="1840" w:type="dxa"/>
          </w:tcPr>
          <w:p w14:paraId="236E86E7" w14:textId="0ECB2754" w:rsidR="00D170E5" w:rsidRPr="002B55E9" w:rsidRDefault="00EF27AD" w:rsidP="007B3A82">
            <w:pPr>
              <w:pStyle w:val="lgy-"/>
            </w:pPr>
            <w:r w:rsidRPr="002B55E9">
              <w:rPr>
                <w:rFonts w:eastAsia="宋体"/>
              </w:rPr>
              <w:t>酒液</w:t>
            </w:r>
          </w:p>
        </w:tc>
        <w:tc>
          <w:tcPr>
            <w:tcW w:w="1295" w:type="dxa"/>
          </w:tcPr>
          <w:p w14:paraId="623A23BB" w14:textId="0949580D" w:rsidR="00D170E5" w:rsidRPr="002B55E9" w:rsidRDefault="006B6D10">
            <w:pPr>
              <w:pStyle w:val="lgy-"/>
            </w:pPr>
            <w:r w:rsidRPr="002B55E9">
              <w:rPr>
                <w:rFonts w:eastAsia="宋体"/>
              </w:rPr>
              <w:t>1.87</w:t>
            </w:r>
          </w:p>
        </w:tc>
        <w:tc>
          <w:tcPr>
            <w:tcW w:w="948" w:type="dxa"/>
            <w:vMerge w:val="restart"/>
          </w:tcPr>
          <w:p w14:paraId="6B79B8A3" w14:textId="69A3BBF1" w:rsidR="00D170E5" w:rsidRPr="002B55E9" w:rsidRDefault="006B6D10">
            <w:pPr>
              <w:pStyle w:val="lgy-"/>
            </w:pPr>
            <w:r w:rsidRPr="002B55E9">
              <w:rPr>
                <w:rFonts w:eastAsia="宋体"/>
              </w:rPr>
              <w:t>1114</w:t>
            </w:r>
          </w:p>
        </w:tc>
        <w:tc>
          <w:tcPr>
            <w:tcW w:w="902" w:type="dxa"/>
            <w:vMerge w:val="restart"/>
          </w:tcPr>
          <w:p w14:paraId="37AD4126" w14:textId="77777777" w:rsidR="00D170E5" w:rsidRPr="002B55E9" w:rsidRDefault="00EF27AD">
            <w:pPr>
              <w:pStyle w:val="lgy-"/>
            </w:pPr>
            <w:r w:rsidRPr="002B55E9">
              <w:rPr>
                <w:rFonts w:eastAsia="宋体"/>
              </w:rPr>
              <w:t>3</w:t>
            </w:r>
          </w:p>
        </w:tc>
        <w:tc>
          <w:tcPr>
            <w:tcW w:w="969" w:type="dxa"/>
            <w:vMerge w:val="restart"/>
          </w:tcPr>
          <w:p w14:paraId="0CA91311" w14:textId="077C9600" w:rsidR="00D170E5" w:rsidRPr="002B55E9" w:rsidRDefault="00924AFA">
            <w:pPr>
              <w:pStyle w:val="lgy-"/>
            </w:pPr>
            <w:r w:rsidRPr="002B55E9">
              <w:rPr>
                <w:rFonts w:eastAsia="宋体"/>
              </w:rPr>
              <w:t>非甲烷总烃</w:t>
            </w:r>
          </w:p>
        </w:tc>
        <w:tc>
          <w:tcPr>
            <w:tcW w:w="848" w:type="dxa"/>
            <w:vMerge w:val="restart"/>
          </w:tcPr>
          <w:p w14:paraId="4D4D38DC" w14:textId="7F9610D9" w:rsidR="00D170E5" w:rsidRPr="002B55E9" w:rsidRDefault="00EF27AD">
            <w:pPr>
              <w:pStyle w:val="lgy-"/>
            </w:pPr>
            <w:r w:rsidRPr="002B55E9">
              <w:rPr>
                <w:rFonts w:eastAsia="宋体" w:hint="eastAsia"/>
              </w:rPr>
              <w:t>0</w:t>
            </w:r>
            <w:r w:rsidRPr="002B55E9">
              <w:rPr>
                <w:rFonts w:eastAsia="宋体"/>
              </w:rPr>
              <w:t>.5</w:t>
            </w:r>
            <w:r w:rsidR="006B6D10" w:rsidRPr="002B55E9">
              <w:rPr>
                <w:rFonts w:eastAsia="宋体"/>
              </w:rPr>
              <w:t>33</w:t>
            </w:r>
          </w:p>
        </w:tc>
        <w:tc>
          <w:tcPr>
            <w:tcW w:w="994" w:type="dxa"/>
            <w:vMerge w:val="restart"/>
          </w:tcPr>
          <w:p w14:paraId="268B26EA" w14:textId="6F5F9DF7" w:rsidR="00D170E5" w:rsidRPr="002B55E9" w:rsidRDefault="00EF27AD">
            <w:pPr>
              <w:pStyle w:val="lgy-"/>
            </w:pPr>
            <w:r w:rsidRPr="002B55E9">
              <w:rPr>
                <w:rFonts w:eastAsia="宋体" w:hint="eastAsia"/>
              </w:rPr>
              <w:t>0</w:t>
            </w:r>
            <w:r w:rsidRPr="002B55E9">
              <w:rPr>
                <w:rFonts w:eastAsia="宋体"/>
              </w:rPr>
              <w:t>.40</w:t>
            </w:r>
            <w:r w:rsidR="006B6D10" w:rsidRPr="002B55E9">
              <w:rPr>
                <w:rFonts w:eastAsia="宋体"/>
              </w:rPr>
              <w:t>4</w:t>
            </w:r>
          </w:p>
        </w:tc>
        <w:tc>
          <w:tcPr>
            <w:tcW w:w="1133" w:type="dxa"/>
            <w:vMerge w:val="restart"/>
          </w:tcPr>
          <w:p w14:paraId="4360B46D" w14:textId="12F1D4CF" w:rsidR="00D170E5" w:rsidRPr="002B55E9" w:rsidRDefault="00EF27AD">
            <w:pPr>
              <w:pStyle w:val="lgy-"/>
              <w:rPr>
                <w:rFonts w:eastAsia="宋体"/>
              </w:rPr>
            </w:pPr>
            <w:r w:rsidRPr="002B55E9">
              <w:rPr>
                <w:rFonts w:eastAsia="宋体" w:hint="eastAsia"/>
              </w:rPr>
              <w:t>0</w:t>
            </w:r>
            <w:r w:rsidRPr="002B55E9">
              <w:rPr>
                <w:rFonts w:eastAsia="宋体"/>
              </w:rPr>
              <w:t>.1</w:t>
            </w:r>
            <w:r w:rsidR="006B6D10" w:rsidRPr="002B55E9">
              <w:rPr>
                <w:rFonts w:eastAsia="宋体"/>
              </w:rPr>
              <w:t>78</w:t>
            </w:r>
          </w:p>
        </w:tc>
      </w:tr>
      <w:tr w:rsidR="002B55E9" w:rsidRPr="002B55E9" w14:paraId="1EA1341B" w14:textId="77777777" w:rsidTr="006B6D10">
        <w:trPr>
          <w:trHeight w:val="283"/>
        </w:trPr>
        <w:tc>
          <w:tcPr>
            <w:tcW w:w="709" w:type="dxa"/>
            <w:vMerge/>
          </w:tcPr>
          <w:p w14:paraId="61EA7CB4" w14:textId="77777777" w:rsidR="00D170E5" w:rsidRPr="002B55E9" w:rsidRDefault="00D170E5">
            <w:pPr>
              <w:pStyle w:val="lgy-"/>
            </w:pPr>
          </w:p>
        </w:tc>
        <w:tc>
          <w:tcPr>
            <w:tcW w:w="1840" w:type="dxa"/>
          </w:tcPr>
          <w:p w14:paraId="7BBEE406" w14:textId="77777777" w:rsidR="00D170E5" w:rsidRPr="002B55E9" w:rsidRDefault="00EF27AD">
            <w:pPr>
              <w:pStyle w:val="lgy-"/>
            </w:pPr>
            <w:r w:rsidRPr="002B55E9">
              <w:rPr>
                <w:rFonts w:eastAsia="宋体"/>
              </w:rPr>
              <w:t>30%</w:t>
            </w:r>
            <w:r w:rsidRPr="002B55E9">
              <w:rPr>
                <w:rFonts w:eastAsia="宋体"/>
              </w:rPr>
              <w:t>乙醇</w:t>
            </w:r>
          </w:p>
        </w:tc>
        <w:tc>
          <w:tcPr>
            <w:tcW w:w="1295" w:type="dxa"/>
          </w:tcPr>
          <w:p w14:paraId="653EA3D4" w14:textId="090B6DE6" w:rsidR="00D170E5" w:rsidRPr="002B55E9" w:rsidRDefault="00EF27AD">
            <w:pPr>
              <w:pStyle w:val="lgy-"/>
            </w:pPr>
            <w:r w:rsidRPr="002B55E9">
              <w:rPr>
                <w:rFonts w:eastAsia="宋体"/>
              </w:rPr>
              <w:t>9.</w:t>
            </w:r>
            <w:r w:rsidR="006B6D10" w:rsidRPr="002B55E9">
              <w:rPr>
                <w:rFonts w:eastAsia="宋体"/>
              </w:rPr>
              <w:t>5</w:t>
            </w:r>
            <w:r w:rsidRPr="002B55E9">
              <w:rPr>
                <w:rFonts w:eastAsia="宋体"/>
              </w:rPr>
              <w:t>1</w:t>
            </w:r>
          </w:p>
        </w:tc>
        <w:tc>
          <w:tcPr>
            <w:tcW w:w="948" w:type="dxa"/>
            <w:vMerge/>
          </w:tcPr>
          <w:p w14:paraId="2F1FDA5A" w14:textId="77777777" w:rsidR="00D170E5" w:rsidRPr="002B55E9" w:rsidRDefault="00D170E5">
            <w:pPr>
              <w:pStyle w:val="lgy-"/>
            </w:pPr>
          </w:p>
        </w:tc>
        <w:tc>
          <w:tcPr>
            <w:tcW w:w="902" w:type="dxa"/>
            <w:vMerge/>
          </w:tcPr>
          <w:p w14:paraId="74087C78" w14:textId="77777777" w:rsidR="00D170E5" w:rsidRPr="002B55E9" w:rsidRDefault="00D170E5">
            <w:pPr>
              <w:pStyle w:val="lgy-"/>
            </w:pPr>
          </w:p>
        </w:tc>
        <w:tc>
          <w:tcPr>
            <w:tcW w:w="969" w:type="dxa"/>
            <w:vMerge/>
          </w:tcPr>
          <w:p w14:paraId="049BF644" w14:textId="77777777" w:rsidR="00D170E5" w:rsidRPr="002B55E9" w:rsidRDefault="00D170E5">
            <w:pPr>
              <w:pStyle w:val="lgy-"/>
            </w:pPr>
          </w:p>
        </w:tc>
        <w:tc>
          <w:tcPr>
            <w:tcW w:w="848" w:type="dxa"/>
            <w:vMerge/>
          </w:tcPr>
          <w:p w14:paraId="6E434D1E" w14:textId="77777777" w:rsidR="00D170E5" w:rsidRPr="002B55E9" w:rsidRDefault="00D170E5">
            <w:pPr>
              <w:pStyle w:val="lgy-"/>
            </w:pPr>
          </w:p>
        </w:tc>
        <w:tc>
          <w:tcPr>
            <w:tcW w:w="994" w:type="dxa"/>
            <w:vMerge/>
          </w:tcPr>
          <w:p w14:paraId="26F25D81" w14:textId="77777777" w:rsidR="00D170E5" w:rsidRPr="002B55E9" w:rsidRDefault="00D170E5">
            <w:pPr>
              <w:pStyle w:val="lgy-"/>
            </w:pPr>
          </w:p>
        </w:tc>
        <w:tc>
          <w:tcPr>
            <w:tcW w:w="1133" w:type="dxa"/>
            <w:vMerge/>
          </w:tcPr>
          <w:p w14:paraId="3AF9DD07" w14:textId="77777777" w:rsidR="00D170E5" w:rsidRPr="002B55E9" w:rsidRDefault="00D170E5">
            <w:pPr>
              <w:pStyle w:val="lgy-"/>
              <w:rPr>
                <w:rFonts w:eastAsia="宋体"/>
              </w:rPr>
            </w:pPr>
          </w:p>
        </w:tc>
      </w:tr>
      <w:tr w:rsidR="002B55E9" w:rsidRPr="002B55E9" w14:paraId="4C79CF11" w14:textId="77777777" w:rsidTr="006B6D10">
        <w:trPr>
          <w:trHeight w:val="283"/>
        </w:trPr>
        <w:tc>
          <w:tcPr>
            <w:tcW w:w="709" w:type="dxa"/>
          </w:tcPr>
          <w:p w14:paraId="2958AC21" w14:textId="77777777" w:rsidR="00D170E5" w:rsidRPr="002B55E9" w:rsidRDefault="00EF27AD">
            <w:pPr>
              <w:pStyle w:val="lgy-"/>
            </w:pPr>
            <w:r w:rsidRPr="002B55E9">
              <w:rPr>
                <w:rFonts w:eastAsia="宋体"/>
              </w:rPr>
              <w:t>混合</w:t>
            </w:r>
          </w:p>
        </w:tc>
        <w:tc>
          <w:tcPr>
            <w:tcW w:w="1840" w:type="dxa"/>
          </w:tcPr>
          <w:p w14:paraId="49D029EE" w14:textId="300D87ED" w:rsidR="00D170E5" w:rsidRPr="002B55E9" w:rsidRDefault="00EF27AD" w:rsidP="007B3A82">
            <w:pPr>
              <w:pStyle w:val="lgy-"/>
            </w:pPr>
            <w:r w:rsidRPr="002B55E9">
              <w:rPr>
                <w:rFonts w:eastAsia="宋体"/>
              </w:rPr>
              <w:t>醋胚</w:t>
            </w:r>
          </w:p>
        </w:tc>
        <w:tc>
          <w:tcPr>
            <w:tcW w:w="1295" w:type="dxa"/>
          </w:tcPr>
          <w:p w14:paraId="51E5754A" w14:textId="3416655A" w:rsidR="00D170E5" w:rsidRPr="002B55E9" w:rsidRDefault="006B6D10">
            <w:pPr>
              <w:pStyle w:val="lgy-"/>
            </w:pPr>
            <w:r w:rsidRPr="002B55E9">
              <w:rPr>
                <w:rFonts w:eastAsia="宋体"/>
              </w:rPr>
              <w:t>22.2</w:t>
            </w:r>
          </w:p>
        </w:tc>
        <w:tc>
          <w:tcPr>
            <w:tcW w:w="948" w:type="dxa"/>
          </w:tcPr>
          <w:p w14:paraId="6AD16BF3" w14:textId="00BCF458" w:rsidR="00D170E5" w:rsidRPr="002B55E9" w:rsidRDefault="006B6D10">
            <w:pPr>
              <w:pStyle w:val="lgy-"/>
            </w:pPr>
            <w:r w:rsidRPr="002B55E9">
              <w:rPr>
                <w:rFonts w:eastAsia="宋体"/>
              </w:rPr>
              <w:t>1000</w:t>
            </w:r>
          </w:p>
        </w:tc>
        <w:tc>
          <w:tcPr>
            <w:tcW w:w="902" w:type="dxa"/>
          </w:tcPr>
          <w:p w14:paraId="7F2741D5" w14:textId="77777777" w:rsidR="00D170E5" w:rsidRPr="002B55E9" w:rsidRDefault="00EF27AD">
            <w:pPr>
              <w:pStyle w:val="lgy-"/>
            </w:pPr>
            <w:r w:rsidRPr="002B55E9">
              <w:rPr>
                <w:rFonts w:eastAsia="宋体"/>
              </w:rPr>
              <w:t>3</w:t>
            </w:r>
          </w:p>
        </w:tc>
        <w:tc>
          <w:tcPr>
            <w:tcW w:w="969" w:type="dxa"/>
          </w:tcPr>
          <w:p w14:paraId="201592A0" w14:textId="5A542243" w:rsidR="00D170E5" w:rsidRPr="002B55E9" w:rsidRDefault="00924AFA">
            <w:pPr>
              <w:pStyle w:val="lgy-"/>
            </w:pPr>
            <w:r w:rsidRPr="002B55E9">
              <w:rPr>
                <w:rFonts w:eastAsia="宋体"/>
              </w:rPr>
              <w:t>非甲烷总烃</w:t>
            </w:r>
          </w:p>
        </w:tc>
        <w:tc>
          <w:tcPr>
            <w:tcW w:w="848" w:type="dxa"/>
          </w:tcPr>
          <w:p w14:paraId="76A6BC8B" w14:textId="235F875D" w:rsidR="00D170E5" w:rsidRPr="002B55E9" w:rsidRDefault="00EF27AD">
            <w:pPr>
              <w:pStyle w:val="lgy-"/>
            </w:pPr>
            <w:r w:rsidRPr="002B55E9">
              <w:rPr>
                <w:rFonts w:eastAsia="宋体"/>
              </w:rPr>
              <w:t>0.01</w:t>
            </w:r>
            <w:r w:rsidR="006B6D10" w:rsidRPr="002B55E9">
              <w:rPr>
                <w:rFonts w:eastAsia="宋体"/>
              </w:rPr>
              <w:t>1</w:t>
            </w:r>
          </w:p>
        </w:tc>
        <w:tc>
          <w:tcPr>
            <w:tcW w:w="994" w:type="dxa"/>
          </w:tcPr>
          <w:p w14:paraId="759C1814" w14:textId="77777777" w:rsidR="00D170E5" w:rsidRPr="002B55E9" w:rsidRDefault="00EF27AD">
            <w:pPr>
              <w:pStyle w:val="lgy-"/>
            </w:pPr>
            <w:r w:rsidRPr="002B55E9">
              <w:rPr>
                <w:rFonts w:eastAsia="宋体" w:hint="eastAsia"/>
              </w:rPr>
              <w:t>0</w:t>
            </w:r>
            <w:r w:rsidRPr="002B55E9">
              <w:rPr>
                <w:rFonts w:eastAsia="宋体"/>
              </w:rPr>
              <w:t>.011</w:t>
            </w:r>
          </w:p>
        </w:tc>
        <w:tc>
          <w:tcPr>
            <w:tcW w:w="1133" w:type="dxa"/>
          </w:tcPr>
          <w:p w14:paraId="0054B393" w14:textId="0C29711E" w:rsidR="00D170E5" w:rsidRPr="002B55E9" w:rsidRDefault="00EF27AD">
            <w:pPr>
              <w:pStyle w:val="lgy-"/>
              <w:rPr>
                <w:rFonts w:eastAsia="宋体"/>
              </w:rPr>
            </w:pPr>
            <w:r w:rsidRPr="002B55E9">
              <w:rPr>
                <w:rFonts w:eastAsia="宋体" w:hint="eastAsia"/>
              </w:rPr>
              <w:t>0</w:t>
            </w:r>
            <w:r w:rsidRPr="002B55E9">
              <w:rPr>
                <w:rFonts w:eastAsia="宋体"/>
              </w:rPr>
              <w:t>.00</w:t>
            </w:r>
            <w:r w:rsidR="006B6D10" w:rsidRPr="002B55E9">
              <w:rPr>
                <w:rFonts w:eastAsia="宋体"/>
              </w:rPr>
              <w:t>4</w:t>
            </w:r>
          </w:p>
        </w:tc>
      </w:tr>
    </w:tbl>
    <w:p w14:paraId="78098FA6" w14:textId="640ABB83" w:rsidR="00D170E5" w:rsidRPr="002B55E9" w:rsidRDefault="00EF27AD">
      <w:pPr>
        <w:pStyle w:val="affff7"/>
        <w:snapToGrid w:val="0"/>
        <w:spacing w:after="0"/>
      </w:pPr>
      <w:r w:rsidRPr="002B55E9">
        <w:rPr>
          <w:rFonts w:hint="eastAsia"/>
        </w:rPr>
        <w:t>白米醋生产</w:t>
      </w:r>
      <w:r w:rsidR="006B6D10" w:rsidRPr="002B55E9">
        <w:rPr>
          <w:rFonts w:hint="eastAsia"/>
        </w:rPr>
        <w:t>线的</w:t>
      </w:r>
      <w:r w:rsidR="006B6D10" w:rsidRPr="002B55E9">
        <w:t>各投料环节位于</w:t>
      </w:r>
      <w:r w:rsidR="006B6D10" w:rsidRPr="002B55E9">
        <w:rPr>
          <w:rFonts w:hint="eastAsia"/>
        </w:rPr>
        <w:t>十三车间，有机液体均为底部进料，投料过程各搅拌罐的投料口为密闭状态，投料废气经带有缓冲阀的排气管道密闭收集进入十三车间集气总管后进入二级碱喷淋</w:t>
      </w:r>
      <w:r w:rsidR="006B6D10" w:rsidRPr="002B55E9">
        <w:rPr>
          <w:rFonts w:hint="eastAsia"/>
        </w:rPr>
        <w:t>+</w:t>
      </w:r>
      <w:r w:rsidR="006B6D10" w:rsidRPr="002B55E9">
        <w:rPr>
          <w:rFonts w:hint="eastAsia"/>
        </w:rPr>
        <w:t>水喷淋装置处理后由</w:t>
      </w:r>
      <w:r w:rsidR="006B6D10" w:rsidRPr="002B55E9">
        <w:rPr>
          <w:rFonts w:hint="eastAsia"/>
        </w:rPr>
        <w:t>18m</w:t>
      </w:r>
      <w:r w:rsidR="006B6D10" w:rsidRPr="002B55E9">
        <w:rPr>
          <w:rFonts w:hint="eastAsia"/>
        </w:rPr>
        <w:t>高</w:t>
      </w:r>
      <w:r w:rsidR="006B6D10" w:rsidRPr="002B55E9">
        <w:t>排气筒</w:t>
      </w:r>
      <w:r w:rsidR="006B6D10" w:rsidRPr="002B55E9">
        <w:rPr>
          <w:rFonts w:hint="eastAsia"/>
        </w:rPr>
        <w:t>（</w:t>
      </w:r>
      <w:r w:rsidR="006B6D10" w:rsidRPr="002B55E9">
        <w:rPr>
          <w:rFonts w:hint="eastAsia"/>
        </w:rPr>
        <w:t>D</w:t>
      </w:r>
      <w:r w:rsidR="006B6D10" w:rsidRPr="002B55E9">
        <w:t>A002</w:t>
      </w:r>
      <w:r w:rsidR="006B6D10" w:rsidRPr="002B55E9">
        <w:rPr>
          <w:rFonts w:hint="eastAsia"/>
        </w:rPr>
        <w:t>）</w:t>
      </w:r>
      <w:r w:rsidR="006B6D10" w:rsidRPr="002B55E9">
        <w:t>排放</w:t>
      </w:r>
      <w:r w:rsidR="006B6D10" w:rsidRPr="002B55E9">
        <w:rPr>
          <w:rFonts w:hint="eastAsia"/>
        </w:rPr>
        <w:t>，该过程废气完全收集，二级碱喷淋</w:t>
      </w:r>
      <w:r w:rsidR="006B6D10" w:rsidRPr="002B55E9">
        <w:rPr>
          <w:rFonts w:hint="eastAsia"/>
        </w:rPr>
        <w:t>+</w:t>
      </w:r>
      <w:r w:rsidR="006B6D10" w:rsidRPr="002B55E9">
        <w:rPr>
          <w:rFonts w:hint="eastAsia"/>
        </w:rPr>
        <w:t>水喷淋装置对乙醇、乙酸等有机废气的处理效率以</w:t>
      </w:r>
      <w:r w:rsidR="006B6D10" w:rsidRPr="002B55E9">
        <w:rPr>
          <w:rFonts w:hint="eastAsia"/>
        </w:rPr>
        <w:t>8</w:t>
      </w:r>
      <w:r w:rsidR="006B6D10" w:rsidRPr="002B55E9">
        <w:t>5</w:t>
      </w:r>
      <w:r w:rsidR="006B6D10" w:rsidRPr="002B55E9">
        <w:rPr>
          <w:rFonts w:hint="eastAsia"/>
        </w:rPr>
        <w:t>%</w:t>
      </w:r>
      <w:r w:rsidR="006B6D10" w:rsidRPr="002B55E9">
        <w:rPr>
          <w:rFonts w:hint="eastAsia"/>
        </w:rPr>
        <w:t>计。</w:t>
      </w:r>
      <w:r w:rsidRPr="002B55E9">
        <w:t>投料</w:t>
      </w:r>
      <w:r w:rsidRPr="002B55E9">
        <w:rPr>
          <w:rFonts w:hint="eastAsia"/>
        </w:rPr>
        <w:t>废气产排情况如下表</w:t>
      </w:r>
      <w:r w:rsidRPr="002B55E9">
        <w:t>所示。</w:t>
      </w:r>
    </w:p>
    <w:p w14:paraId="21D8BEAE"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-3-11   </w:t>
      </w:r>
      <w:r w:rsidRPr="002B55E9">
        <w:rPr>
          <w:rFonts w:hint="eastAsia"/>
        </w:rPr>
        <w:t>投料废气产排情况一览表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782"/>
        <w:gridCol w:w="645"/>
        <w:gridCol w:w="1127"/>
        <w:gridCol w:w="939"/>
        <w:gridCol w:w="608"/>
        <w:gridCol w:w="867"/>
        <w:gridCol w:w="761"/>
        <w:gridCol w:w="597"/>
        <w:gridCol w:w="550"/>
        <w:gridCol w:w="1222"/>
        <w:gridCol w:w="939"/>
        <w:gridCol w:w="657"/>
      </w:tblGrid>
      <w:tr w:rsidR="002B55E9" w:rsidRPr="002B55E9" w14:paraId="150D9C9B" w14:textId="77777777" w:rsidTr="00944025">
        <w:trPr>
          <w:cnfStyle w:val="100000000000" w:firstRow="1" w:lastRow="0" w:firstColumn="0" w:lastColumn="0" w:oddVBand="0" w:evenVBand="0" w:oddHBand="0" w:evenHBand="0" w:firstRowFirstColumn="0" w:firstRowLastColumn="0" w:lastRowFirstColumn="0" w:lastRowLastColumn="0"/>
          <w:trHeight w:val="283"/>
        </w:trPr>
        <w:tc>
          <w:tcPr>
            <w:tcW w:w="777" w:type="dxa"/>
            <w:vMerge w:val="restart"/>
            <w:noWrap/>
          </w:tcPr>
          <w:p w14:paraId="1317D7EE" w14:textId="77777777" w:rsidR="00D170E5" w:rsidRPr="002B55E9" w:rsidRDefault="00EF27AD" w:rsidP="00944025">
            <w:pPr>
              <w:pStyle w:val="lgy-"/>
              <w:rPr>
                <w:rFonts w:eastAsia="宋体"/>
              </w:rPr>
            </w:pPr>
            <w:r w:rsidRPr="002B55E9">
              <w:rPr>
                <w:rFonts w:eastAsia="宋体"/>
              </w:rPr>
              <w:t>产生环节</w:t>
            </w:r>
          </w:p>
        </w:tc>
        <w:tc>
          <w:tcPr>
            <w:tcW w:w="641" w:type="dxa"/>
            <w:vMerge w:val="restart"/>
          </w:tcPr>
          <w:p w14:paraId="14C37A37" w14:textId="77777777" w:rsidR="00D170E5" w:rsidRPr="002B55E9" w:rsidRDefault="00EF27AD" w:rsidP="00944025">
            <w:pPr>
              <w:pStyle w:val="lgy-"/>
              <w:rPr>
                <w:rFonts w:eastAsia="宋体"/>
              </w:rPr>
            </w:pPr>
            <w:r w:rsidRPr="002B55E9">
              <w:rPr>
                <w:rFonts w:eastAsia="宋体"/>
              </w:rPr>
              <w:t>污染物</w:t>
            </w:r>
          </w:p>
        </w:tc>
        <w:tc>
          <w:tcPr>
            <w:tcW w:w="2658" w:type="dxa"/>
            <w:gridSpan w:val="3"/>
          </w:tcPr>
          <w:p w14:paraId="2A343EAA" w14:textId="77777777" w:rsidR="00D170E5" w:rsidRPr="002B55E9" w:rsidRDefault="00EF27AD" w:rsidP="00944025">
            <w:pPr>
              <w:pStyle w:val="lgy-"/>
              <w:rPr>
                <w:rFonts w:eastAsia="宋体"/>
              </w:rPr>
            </w:pPr>
            <w:r w:rsidRPr="002B55E9">
              <w:rPr>
                <w:rFonts w:eastAsia="宋体"/>
              </w:rPr>
              <w:t>污染物产生</w:t>
            </w:r>
          </w:p>
        </w:tc>
        <w:tc>
          <w:tcPr>
            <w:tcW w:w="1619" w:type="dxa"/>
            <w:gridSpan w:val="2"/>
          </w:tcPr>
          <w:p w14:paraId="3154B974" w14:textId="77777777" w:rsidR="00D170E5" w:rsidRPr="002B55E9" w:rsidRDefault="00EF27AD" w:rsidP="00944025">
            <w:pPr>
              <w:pStyle w:val="lgy-"/>
              <w:rPr>
                <w:rFonts w:eastAsia="宋体"/>
              </w:rPr>
            </w:pPr>
            <w:r w:rsidRPr="002B55E9">
              <w:rPr>
                <w:rFonts w:eastAsia="宋体"/>
              </w:rPr>
              <w:t>废气收集</w:t>
            </w:r>
          </w:p>
        </w:tc>
        <w:tc>
          <w:tcPr>
            <w:tcW w:w="1141" w:type="dxa"/>
            <w:gridSpan w:val="2"/>
          </w:tcPr>
          <w:p w14:paraId="1A5B6BBD" w14:textId="77777777" w:rsidR="00D170E5" w:rsidRPr="002B55E9" w:rsidRDefault="00EF27AD" w:rsidP="00944025">
            <w:pPr>
              <w:pStyle w:val="lgy-"/>
              <w:rPr>
                <w:rFonts w:eastAsia="宋体"/>
              </w:rPr>
            </w:pPr>
            <w:r w:rsidRPr="002B55E9">
              <w:rPr>
                <w:rFonts w:eastAsia="宋体"/>
              </w:rPr>
              <w:t>治理措施</w:t>
            </w:r>
          </w:p>
        </w:tc>
        <w:tc>
          <w:tcPr>
            <w:tcW w:w="2802" w:type="dxa"/>
            <w:gridSpan w:val="3"/>
          </w:tcPr>
          <w:p w14:paraId="4040E7E9" w14:textId="77777777" w:rsidR="00D170E5" w:rsidRPr="002B55E9" w:rsidRDefault="00EF27AD" w:rsidP="00944025">
            <w:pPr>
              <w:pStyle w:val="lgy-"/>
              <w:rPr>
                <w:rFonts w:eastAsia="宋体"/>
              </w:rPr>
            </w:pPr>
            <w:r w:rsidRPr="002B55E9">
              <w:rPr>
                <w:rFonts w:eastAsia="宋体"/>
              </w:rPr>
              <w:t>有组织排放（</w:t>
            </w:r>
            <w:r w:rsidRPr="002B55E9">
              <w:rPr>
                <w:rFonts w:eastAsia="宋体"/>
              </w:rPr>
              <w:t>DA002</w:t>
            </w:r>
            <w:r w:rsidRPr="002B55E9">
              <w:rPr>
                <w:rFonts w:eastAsia="宋体"/>
              </w:rPr>
              <w:t>）</w:t>
            </w:r>
          </w:p>
        </w:tc>
      </w:tr>
      <w:tr w:rsidR="002B55E9" w:rsidRPr="002B55E9" w14:paraId="42ADF6D0" w14:textId="77777777" w:rsidTr="00944025">
        <w:trPr>
          <w:trHeight w:val="283"/>
        </w:trPr>
        <w:tc>
          <w:tcPr>
            <w:tcW w:w="777" w:type="dxa"/>
            <w:vMerge/>
          </w:tcPr>
          <w:p w14:paraId="463D9A4F" w14:textId="77777777" w:rsidR="00D170E5" w:rsidRPr="002B55E9" w:rsidRDefault="00D170E5" w:rsidP="00944025">
            <w:pPr>
              <w:pStyle w:val="lgy-"/>
              <w:rPr>
                <w:rFonts w:eastAsia="宋体"/>
              </w:rPr>
            </w:pPr>
          </w:p>
        </w:tc>
        <w:tc>
          <w:tcPr>
            <w:tcW w:w="641" w:type="dxa"/>
            <w:vMerge/>
          </w:tcPr>
          <w:p w14:paraId="4455A4C9" w14:textId="77777777" w:rsidR="00D170E5" w:rsidRPr="002B55E9" w:rsidRDefault="00D170E5" w:rsidP="00944025">
            <w:pPr>
              <w:pStyle w:val="lgy-"/>
              <w:rPr>
                <w:rFonts w:eastAsia="宋体"/>
              </w:rPr>
            </w:pPr>
          </w:p>
        </w:tc>
        <w:tc>
          <w:tcPr>
            <w:tcW w:w="1120" w:type="dxa"/>
          </w:tcPr>
          <w:p w14:paraId="249F95ED" w14:textId="77777777" w:rsidR="00D170E5" w:rsidRPr="002B55E9" w:rsidRDefault="00EF27AD" w:rsidP="00944025">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934" w:type="dxa"/>
          </w:tcPr>
          <w:p w14:paraId="194775F3" w14:textId="77777777" w:rsidR="00D170E5" w:rsidRPr="002B55E9" w:rsidRDefault="00EF27AD" w:rsidP="00944025">
            <w:pPr>
              <w:pStyle w:val="lgy-"/>
              <w:rPr>
                <w:rFonts w:eastAsia="宋体"/>
              </w:rPr>
            </w:pPr>
            <w:r w:rsidRPr="002B55E9">
              <w:rPr>
                <w:rFonts w:eastAsia="宋体"/>
              </w:rPr>
              <w:t>产生速率（</w:t>
            </w:r>
            <w:r w:rsidRPr="002B55E9">
              <w:rPr>
                <w:rFonts w:eastAsia="宋体"/>
              </w:rPr>
              <w:t>kg/h)</w:t>
            </w:r>
          </w:p>
        </w:tc>
        <w:tc>
          <w:tcPr>
            <w:tcW w:w="604" w:type="dxa"/>
          </w:tcPr>
          <w:p w14:paraId="65849E60" w14:textId="77777777" w:rsidR="00D170E5" w:rsidRPr="002B55E9" w:rsidRDefault="00EF27AD" w:rsidP="00944025">
            <w:pPr>
              <w:pStyle w:val="lgy-"/>
              <w:rPr>
                <w:rFonts w:eastAsia="宋体"/>
              </w:rPr>
            </w:pPr>
            <w:r w:rsidRPr="002B55E9">
              <w:rPr>
                <w:rFonts w:eastAsia="宋体"/>
              </w:rPr>
              <w:t>产生量</w:t>
            </w:r>
            <w:r w:rsidRPr="002B55E9">
              <w:rPr>
                <w:rFonts w:eastAsia="宋体"/>
              </w:rPr>
              <w:t>(t/a)</w:t>
            </w:r>
          </w:p>
        </w:tc>
        <w:tc>
          <w:tcPr>
            <w:tcW w:w="862" w:type="dxa"/>
          </w:tcPr>
          <w:p w14:paraId="2BBCC46F" w14:textId="77777777" w:rsidR="00D170E5" w:rsidRPr="002B55E9" w:rsidRDefault="00EF27AD" w:rsidP="00944025">
            <w:pPr>
              <w:pStyle w:val="lgy-"/>
              <w:rPr>
                <w:rFonts w:eastAsia="宋体"/>
              </w:rPr>
            </w:pPr>
            <w:r w:rsidRPr="002B55E9">
              <w:rPr>
                <w:rFonts w:eastAsia="宋体" w:hint="eastAsia"/>
              </w:rPr>
              <w:t>收集方式</w:t>
            </w:r>
          </w:p>
        </w:tc>
        <w:tc>
          <w:tcPr>
            <w:tcW w:w="757" w:type="dxa"/>
          </w:tcPr>
          <w:p w14:paraId="03C89DF6" w14:textId="77777777" w:rsidR="00D170E5" w:rsidRPr="002B55E9" w:rsidRDefault="00EF27AD" w:rsidP="00944025">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594" w:type="dxa"/>
          </w:tcPr>
          <w:p w14:paraId="42608C5B" w14:textId="77777777" w:rsidR="00D170E5" w:rsidRPr="002B55E9" w:rsidRDefault="00EF27AD" w:rsidP="00944025">
            <w:pPr>
              <w:pStyle w:val="lgy-"/>
              <w:rPr>
                <w:rFonts w:eastAsia="宋体"/>
              </w:rPr>
            </w:pPr>
            <w:r w:rsidRPr="002B55E9">
              <w:rPr>
                <w:rFonts w:eastAsia="宋体"/>
              </w:rPr>
              <w:t>工艺</w:t>
            </w:r>
          </w:p>
        </w:tc>
        <w:tc>
          <w:tcPr>
            <w:tcW w:w="547" w:type="dxa"/>
          </w:tcPr>
          <w:p w14:paraId="0CF55C6C" w14:textId="77777777" w:rsidR="00D170E5" w:rsidRPr="002B55E9" w:rsidRDefault="00EF27AD" w:rsidP="00944025">
            <w:pPr>
              <w:pStyle w:val="lgy-"/>
              <w:rPr>
                <w:rFonts w:eastAsia="宋体"/>
              </w:rPr>
            </w:pPr>
            <w:r w:rsidRPr="002B55E9">
              <w:rPr>
                <w:rFonts w:eastAsia="宋体"/>
              </w:rPr>
              <w:t>效率</w:t>
            </w:r>
          </w:p>
        </w:tc>
        <w:tc>
          <w:tcPr>
            <w:tcW w:w="1215" w:type="dxa"/>
          </w:tcPr>
          <w:p w14:paraId="3BE75B26" w14:textId="77777777" w:rsidR="00D170E5" w:rsidRPr="002B55E9" w:rsidRDefault="00EF27AD" w:rsidP="00944025">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934" w:type="dxa"/>
          </w:tcPr>
          <w:p w14:paraId="35A09852" w14:textId="77777777" w:rsidR="00D170E5" w:rsidRPr="002B55E9" w:rsidRDefault="00EF27AD" w:rsidP="00944025">
            <w:pPr>
              <w:pStyle w:val="lgy-"/>
              <w:rPr>
                <w:rFonts w:eastAsia="宋体"/>
              </w:rPr>
            </w:pPr>
            <w:r w:rsidRPr="002B55E9">
              <w:rPr>
                <w:rFonts w:eastAsia="宋体"/>
              </w:rPr>
              <w:t>排放速率（</w:t>
            </w:r>
            <w:r w:rsidRPr="002B55E9">
              <w:rPr>
                <w:rFonts w:eastAsia="宋体"/>
              </w:rPr>
              <w:t>kg/h)</w:t>
            </w:r>
          </w:p>
        </w:tc>
        <w:tc>
          <w:tcPr>
            <w:tcW w:w="653" w:type="dxa"/>
          </w:tcPr>
          <w:p w14:paraId="6D00619F" w14:textId="77777777" w:rsidR="00D170E5" w:rsidRPr="002B55E9" w:rsidRDefault="00EF27AD" w:rsidP="00944025">
            <w:pPr>
              <w:pStyle w:val="lgy-"/>
              <w:rPr>
                <w:rFonts w:eastAsia="宋体"/>
              </w:rPr>
            </w:pPr>
            <w:r w:rsidRPr="002B55E9">
              <w:rPr>
                <w:rFonts w:eastAsia="宋体"/>
              </w:rPr>
              <w:t>排放量</w:t>
            </w:r>
            <w:r w:rsidRPr="002B55E9">
              <w:rPr>
                <w:rFonts w:eastAsia="宋体"/>
              </w:rPr>
              <w:t>(t/a)</w:t>
            </w:r>
          </w:p>
        </w:tc>
      </w:tr>
      <w:tr w:rsidR="002B55E9" w:rsidRPr="002B55E9" w14:paraId="102ED96B" w14:textId="77777777" w:rsidTr="00944025">
        <w:trPr>
          <w:trHeight w:val="283"/>
        </w:trPr>
        <w:tc>
          <w:tcPr>
            <w:tcW w:w="777" w:type="dxa"/>
            <w:noWrap/>
          </w:tcPr>
          <w:p w14:paraId="26E272B0" w14:textId="77777777" w:rsidR="00944025" w:rsidRPr="002B55E9" w:rsidRDefault="00944025" w:rsidP="00944025">
            <w:pPr>
              <w:pStyle w:val="lgy-"/>
              <w:rPr>
                <w:rFonts w:eastAsia="宋体"/>
              </w:rPr>
            </w:pPr>
            <w:r w:rsidRPr="002B55E9">
              <w:rPr>
                <w:rFonts w:eastAsia="宋体"/>
              </w:rPr>
              <w:t>酒液调配</w:t>
            </w:r>
          </w:p>
        </w:tc>
        <w:tc>
          <w:tcPr>
            <w:tcW w:w="641" w:type="dxa"/>
          </w:tcPr>
          <w:p w14:paraId="58569DB5" w14:textId="04209755" w:rsidR="00944025" w:rsidRPr="002B55E9" w:rsidRDefault="00944025" w:rsidP="00944025">
            <w:pPr>
              <w:pStyle w:val="lgy-"/>
              <w:rPr>
                <w:rFonts w:eastAsia="宋体"/>
              </w:rPr>
            </w:pPr>
            <w:r w:rsidRPr="002B55E9">
              <w:rPr>
                <w:rFonts w:eastAsia="宋体"/>
              </w:rPr>
              <w:t>非甲烷总烃</w:t>
            </w:r>
          </w:p>
        </w:tc>
        <w:tc>
          <w:tcPr>
            <w:tcW w:w="1120" w:type="dxa"/>
          </w:tcPr>
          <w:p w14:paraId="0DED0572" w14:textId="0BD4138A" w:rsidR="00944025" w:rsidRPr="002B55E9" w:rsidRDefault="00944025" w:rsidP="00944025">
            <w:pPr>
              <w:pStyle w:val="lgy-"/>
              <w:rPr>
                <w:rFonts w:eastAsia="宋体"/>
              </w:rPr>
            </w:pPr>
            <w:r w:rsidRPr="002B55E9">
              <w:rPr>
                <w:rFonts w:eastAsia="宋体"/>
              </w:rPr>
              <w:t>18.77</w:t>
            </w:r>
          </w:p>
        </w:tc>
        <w:tc>
          <w:tcPr>
            <w:tcW w:w="934" w:type="dxa"/>
          </w:tcPr>
          <w:p w14:paraId="58F68DFA" w14:textId="73065C69" w:rsidR="00944025" w:rsidRPr="002B55E9" w:rsidRDefault="00944025" w:rsidP="00944025">
            <w:pPr>
              <w:pStyle w:val="lgy-"/>
              <w:rPr>
                <w:rFonts w:eastAsia="宋体"/>
              </w:rPr>
            </w:pPr>
            <w:r w:rsidRPr="002B55E9">
              <w:rPr>
                <w:rFonts w:eastAsia="宋体"/>
              </w:rPr>
              <w:t>0.122</w:t>
            </w:r>
          </w:p>
        </w:tc>
        <w:tc>
          <w:tcPr>
            <w:tcW w:w="604" w:type="dxa"/>
          </w:tcPr>
          <w:p w14:paraId="05B18611" w14:textId="5CAD837A" w:rsidR="00944025" w:rsidRPr="002B55E9" w:rsidRDefault="00944025" w:rsidP="00944025">
            <w:pPr>
              <w:pStyle w:val="lgy-"/>
              <w:rPr>
                <w:rFonts w:eastAsia="宋体"/>
              </w:rPr>
            </w:pPr>
            <w:r w:rsidRPr="002B55E9">
              <w:rPr>
                <w:rFonts w:eastAsia="宋体"/>
              </w:rPr>
              <w:t>0.408</w:t>
            </w:r>
          </w:p>
        </w:tc>
        <w:tc>
          <w:tcPr>
            <w:tcW w:w="862" w:type="dxa"/>
            <w:vMerge w:val="restart"/>
          </w:tcPr>
          <w:p w14:paraId="0670F047" w14:textId="77777777" w:rsidR="00944025" w:rsidRPr="002B55E9" w:rsidRDefault="00944025" w:rsidP="00944025">
            <w:pPr>
              <w:pStyle w:val="lgy-"/>
              <w:rPr>
                <w:rFonts w:eastAsia="宋体"/>
              </w:rPr>
            </w:pPr>
            <w:r w:rsidRPr="002B55E9">
              <w:rPr>
                <w:rFonts w:eastAsia="宋体" w:hint="eastAsia"/>
              </w:rPr>
              <w:t>密闭管道</w:t>
            </w:r>
            <w:r w:rsidRPr="002B55E9">
              <w:rPr>
                <w:rFonts w:eastAsia="宋体"/>
              </w:rPr>
              <w:t>，效率</w:t>
            </w:r>
            <w:r w:rsidRPr="002B55E9">
              <w:rPr>
                <w:rFonts w:eastAsia="宋体"/>
              </w:rPr>
              <w:t>100%</w:t>
            </w:r>
          </w:p>
        </w:tc>
        <w:tc>
          <w:tcPr>
            <w:tcW w:w="757" w:type="dxa"/>
            <w:vMerge w:val="restart"/>
          </w:tcPr>
          <w:p w14:paraId="35BE8CD0" w14:textId="77777777" w:rsidR="00944025" w:rsidRPr="002B55E9" w:rsidRDefault="00944025" w:rsidP="00944025">
            <w:pPr>
              <w:pStyle w:val="lgy-"/>
              <w:rPr>
                <w:rFonts w:eastAsia="宋体"/>
              </w:rPr>
            </w:pPr>
            <w:r w:rsidRPr="002B55E9">
              <w:rPr>
                <w:rFonts w:eastAsia="宋体"/>
              </w:rPr>
              <w:t>6500</w:t>
            </w:r>
          </w:p>
        </w:tc>
        <w:tc>
          <w:tcPr>
            <w:tcW w:w="594" w:type="dxa"/>
            <w:vMerge w:val="restart"/>
          </w:tcPr>
          <w:p w14:paraId="6A2CEA2A" w14:textId="67422082" w:rsidR="00944025" w:rsidRPr="002B55E9" w:rsidRDefault="00944025" w:rsidP="00944025">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547" w:type="dxa"/>
            <w:vMerge w:val="restart"/>
          </w:tcPr>
          <w:p w14:paraId="58204EF5" w14:textId="51B04220" w:rsidR="00944025" w:rsidRPr="002B55E9" w:rsidRDefault="00944025" w:rsidP="00944025">
            <w:pPr>
              <w:pStyle w:val="lgy-"/>
              <w:rPr>
                <w:rFonts w:eastAsia="宋体"/>
              </w:rPr>
            </w:pPr>
            <w:r w:rsidRPr="002B55E9">
              <w:rPr>
                <w:rFonts w:eastAsia="宋体"/>
              </w:rPr>
              <w:t>8</w:t>
            </w:r>
            <w:r w:rsidR="00382309" w:rsidRPr="002B55E9">
              <w:rPr>
                <w:rFonts w:eastAsia="宋体"/>
              </w:rPr>
              <w:t>5</w:t>
            </w:r>
            <w:r w:rsidRPr="002B55E9">
              <w:rPr>
                <w:rFonts w:eastAsia="宋体"/>
              </w:rPr>
              <w:t>%</w:t>
            </w:r>
          </w:p>
        </w:tc>
        <w:tc>
          <w:tcPr>
            <w:tcW w:w="1215" w:type="dxa"/>
            <w:vMerge w:val="restart"/>
          </w:tcPr>
          <w:p w14:paraId="6A81F6F3" w14:textId="5AEFD982" w:rsidR="00944025" w:rsidRPr="002B55E9" w:rsidRDefault="00944025" w:rsidP="00944025">
            <w:pPr>
              <w:pStyle w:val="lgy-"/>
              <w:rPr>
                <w:rFonts w:eastAsia="宋体"/>
              </w:rPr>
            </w:pPr>
            <w:r w:rsidRPr="002B55E9">
              <w:rPr>
                <w:rFonts w:eastAsia="宋体"/>
              </w:rPr>
              <w:t>2.97</w:t>
            </w:r>
          </w:p>
        </w:tc>
        <w:tc>
          <w:tcPr>
            <w:tcW w:w="934" w:type="dxa"/>
            <w:vMerge w:val="restart"/>
          </w:tcPr>
          <w:p w14:paraId="16EBC257" w14:textId="25E97DB5" w:rsidR="00944025" w:rsidRPr="002B55E9" w:rsidRDefault="00944025" w:rsidP="00944025">
            <w:pPr>
              <w:pStyle w:val="lgy-"/>
              <w:rPr>
                <w:rFonts w:eastAsia="宋体"/>
              </w:rPr>
            </w:pPr>
            <w:r w:rsidRPr="002B55E9">
              <w:rPr>
                <w:rFonts w:eastAsia="宋体" w:hint="eastAsia"/>
                <w:szCs w:val="22"/>
              </w:rPr>
              <w:t>0.019</w:t>
            </w:r>
          </w:p>
        </w:tc>
        <w:tc>
          <w:tcPr>
            <w:tcW w:w="653" w:type="dxa"/>
            <w:vMerge w:val="restart"/>
          </w:tcPr>
          <w:p w14:paraId="6D8B32F5" w14:textId="4E190B76" w:rsidR="00944025" w:rsidRPr="002B55E9" w:rsidRDefault="00944025" w:rsidP="00944025">
            <w:pPr>
              <w:pStyle w:val="lgy-"/>
              <w:rPr>
                <w:rFonts w:eastAsia="宋体"/>
              </w:rPr>
            </w:pPr>
            <w:r w:rsidRPr="002B55E9">
              <w:rPr>
                <w:rFonts w:eastAsia="宋体" w:hint="eastAsia"/>
                <w:szCs w:val="22"/>
              </w:rPr>
              <w:t>0.065</w:t>
            </w:r>
          </w:p>
        </w:tc>
      </w:tr>
      <w:tr w:rsidR="002B55E9" w:rsidRPr="002B55E9" w14:paraId="7369BE2F" w14:textId="77777777" w:rsidTr="00944025">
        <w:trPr>
          <w:trHeight w:val="283"/>
        </w:trPr>
        <w:tc>
          <w:tcPr>
            <w:tcW w:w="777" w:type="dxa"/>
            <w:noWrap/>
          </w:tcPr>
          <w:p w14:paraId="70578D73" w14:textId="77777777" w:rsidR="00944025" w:rsidRPr="002B55E9" w:rsidRDefault="00944025" w:rsidP="00944025">
            <w:pPr>
              <w:pStyle w:val="lgy-"/>
              <w:rPr>
                <w:rFonts w:eastAsia="宋体"/>
              </w:rPr>
            </w:pPr>
            <w:r w:rsidRPr="002B55E9">
              <w:rPr>
                <w:rFonts w:eastAsia="宋体"/>
              </w:rPr>
              <w:t>混合</w:t>
            </w:r>
          </w:p>
        </w:tc>
        <w:tc>
          <w:tcPr>
            <w:tcW w:w="641" w:type="dxa"/>
          </w:tcPr>
          <w:p w14:paraId="69DA5BBA" w14:textId="1AE00801" w:rsidR="00944025" w:rsidRPr="002B55E9" w:rsidRDefault="00944025" w:rsidP="00944025">
            <w:pPr>
              <w:pStyle w:val="lgy-"/>
              <w:rPr>
                <w:rFonts w:eastAsia="宋体"/>
              </w:rPr>
            </w:pPr>
            <w:r w:rsidRPr="002B55E9">
              <w:rPr>
                <w:rFonts w:eastAsia="宋体"/>
              </w:rPr>
              <w:t>非甲烷总烃</w:t>
            </w:r>
          </w:p>
        </w:tc>
        <w:tc>
          <w:tcPr>
            <w:tcW w:w="1120" w:type="dxa"/>
          </w:tcPr>
          <w:p w14:paraId="78FDDE96" w14:textId="3101F8D1" w:rsidR="00944025" w:rsidRPr="002B55E9" w:rsidRDefault="00944025" w:rsidP="00944025">
            <w:pPr>
              <w:pStyle w:val="lgy-"/>
              <w:rPr>
                <w:rFonts w:eastAsia="宋体"/>
              </w:rPr>
            </w:pPr>
            <w:r w:rsidRPr="002B55E9">
              <w:rPr>
                <w:rFonts w:eastAsia="宋体"/>
              </w:rPr>
              <w:t>0.52</w:t>
            </w:r>
          </w:p>
        </w:tc>
        <w:tc>
          <w:tcPr>
            <w:tcW w:w="934" w:type="dxa"/>
          </w:tcPr>
          <w:p w14:paraId="3E510F89" w14:textId="7BDA4ECC" w:rsidR="00944025" w:rsidRPr="002B55E9" w:rsidRDefault="00944025" w:rsidP="00944025">
            <w:pPr>
              <w:pStyle w:val="lgy-"/>
              <w:rPr>
                <w:rFonts w:eastAsia="宋体"/>
              </w:rPr>
            </w:pPr>
            <w:r w:rsidRPr="002B55E9">
              <w:rPr>
                <w:rFonts w:eastAsia="宋体"/>
              </w:rPr>
              <w:t>0.003</w:t>
            </w:r>
          </w:p>
        </w:tc>
        <w:tc>
          <w:tcPr>
            <w:tcW w:w="604" w:type="dxa"/>
          </w:tcPr>
          <w:p w14:paraId="46CDDC1A" w14:textId="0F706166" w:rsidR="00944025" w:rsidRPr="002B55E9" w:rsidRDefault="00944025" w:rsidP="00944025">
            <w:pPr>
              <w:pStyle w:val="lgy-"/>
              <w:rPr>
                <w:rFonts w:eastAsia="宋体"/>
              </w:rPr>
            </w:pPr>
            <w:r w:rsidRPr="002B55E9">
              <w:rPr>
                <w:rFonts w:eastAsia="宋体"/>
              </w:rPr>
              <w:t>0.011</w:t>
            </w:r>
          </w:p>
        </w:tc>
        <w:tc>
          <w:tcPr>
            <w:tcW w:w="862" w:type="dxa"/>
            <w:vMerge/>
          </w:tcPr>
          <w:p w14:paraId="6281A969" w14:textId="77777777" w:rsidR="00944025" w:rsidRPr="002B55E9" w:rsidRDefault="00944025" w:rsidP="00944025">
            <w:pPr>
              <w:pStyle w:val="lgy-"/>
              <w:rPr>
                <w:rFonts w:eastAsia="宋体"/>
              </w:rPr>
            </w:pPr>
          </w:p>
        </w:tc>
        <w:tc>
          <w:tcPr>
            <w:tcW w:w="757" w:type="dxa"/>
            <w:vMerge/>
          </w:tcPr>
          <w:p w14:paraId="234D046D" w14:textId="77777777" w:rsidR="00944025" w:rsidRPr="002B55E9" w:rsidRDefault="00944025" w:rsidP="00944025">
            <w:pPr>
              <w:pStyle w:val="lgy-"/>
              <w:rPr>
                <w:rFonts w:eastAsia="宋体"/>
              </w:rPr>
            </w:pPr>
          </w:p>
        </w:tc>
        <w:tc>
          <w:tcPr>
            <w:tcW w:w="594" w:type="dxa"/>
            <w:vMerge/>
          </w:tcPr>
          <w:p w14:paraId="5CAF96EC" w14:textId="77777777" w:rsidR="00944025" w:rsidRPr="002B55E9" w:rsidRDefault="00944025" w:rsidP="00944025">
            <w:pPr>
              <w:pStyle w:val="lgy-"/>
              <w:rPr>
                <w:rFonts w:eastAsia="宋体"/>
              </w:rPr>
            </w:pPr>
          </w:p>
        </w:tc>
        <w:tc>
          <w:tcPr>
            <w:tcW w:w="547" w:type="dxa"/>
            <w:vMerge/>
          </w:tcPr>
          <w:p w14:paraId="573DC6F5" w14:textId="77777777" w:rsidR="00944025" w:rsidRPr="002B55E9" w:rsidRDefault="00944025" w:rsidP="00944025">
            <w:pPr>
              <w:pStyle w:val="lgy-"/>
              <w:rPr>
                <w:rFonts w:eastAsia="宋体"/>
              </w:rPr>
            </w:pPr>
          </w:p>
        </w:tc>
        <w:tc>
          <w:tcPr>
            <w:tcW w:w="1215" w:type="dxa"/>
            <w:vMerge/>
          </w:tcPr>
          <w:p w14:paraId="78067C11" w14:textId="77777777" w:rsidR="00944025" w:rsidRPr="002B55E9" w:rsidRDefault="00944025" w:rsidP="00944025">
            <w:pPr>
              <w:pStyle w:val="lgy-"/>
              <w:rPr>
                <w:rFonts w:eastAsia="宋体"/>
              </w:rPr>
            </w:pPr>
          </w:p>
        </w:tc>
        <w:tc>
          <w:tcPr>
            <w:tcW w:w="934" w:type="dxa"/>
            <w:vMerge/>
          </w:tcPr>
          <w:p w14:paraId="2BD29AED" w14:textId="77777777" w:rsidR="00944025" w:rsidRPr="002B55E9" w:rsidRDefault="00944025" w:rsidP="00944025">
            <w:pPr>
              <w:pStyle w:val="lgy-"/>
              <w:rPr>
                <w:rFonts w:eastAsia="宋体"/>
              </w:rPr>
            </w:pPr>
          </w:p>
        </w:tc>
        <w:tc>
          <w:tcPr>
            <w:tcW w:w="653" w:type="dxa"/>
            <w:vMerge/>
          </w:tcPr>
          <w:p w14:paraId="498E4E96" w14:textId="77777777" w:rsidR="00944025" w:rsidRPr="002B55E9" w:rsidRDefault="00944025" w:rsidP="00944025">
            <w:pPr>
              <w:pStyle w:val="lgy-"/>
              <w:rPr>
                <w:rFonts w:eastAsia="宋体"/>
              </w:rPr>
            </w:pPr>
          </w:p>
        </w:tc>
      </w:tr>
    </w:tbl>
    <w:p w14:paraId="3AB20E48" w14:textId="77777777" w:rsidR="00D170E5" w:rsidRPr="002B55E9" w:rsidRDefault="00EF27AD">
      <w:pPr>
        <w:pStyle w:val="affff7"/>
        <w:snapToGrid w:val="0"/>
        <w:spacing w:after="0"/>
      </w:pPr>
      <w:r w:rsidRPr="002B55E9">
        <w:rPr>
          <w:rFonts w:hint="eastAsia"/>
        </w:rPr>
        <w:t>（</w:t>
      </w:r>
      <w:r w:rsidRPr="002B55E9">
        <w:rPr>
          <w:rFonts w:hint="eastAsia"/>
        </w:rPr>
        <w:t>3</w:t>
      </w:r>
      <w:r w:rsidRPr="002B55E9">
        <w:rPr>
          <w:rFonts w:hint="eastAsia"/>
        </w:rPr>
        <w:t>）醋酸发酵废气（</w:t>
      </w:r>
      <w:r w:rsidRPr="002B55E9">
        <w:rPr>
          <w:rFonts w:hint="eastAsia"/>
        </w:rPr>
        <w:t>G</w:t>
      </w:r>
      <w:r w:rsidRPr="002B55E9">
        <w:t>2-3</w:t>
      </w:r>
      <w:r w:rsidRPr="002B55E9">
        <w:rPr>
          <w:rFonts w:hint="eastAsia"/>
        </w:rPr>
        <w:t>）</w:t>
      </w:r>
    </w:p>
    <w:p w14:paraId="5BDAA7B6" w14:textId="13DB0A9C" w:rsidR="00D170E5" w:rsidRPr="002B55E9" w:rsidRDefault="00EF27AD">
      <w:pPr>
        <w:pStyle w:val="affff7"/>
        <w:snapToGrid w:val="0"/>
        <w:spacing w:after="0"/>
      </w:pPr>
      <w:r w:rsidRPr="002B55E9">
        <w:rPr>
          <w:rFonts w:hint="eastAsia"/>
        </w:rPr>
        <w:t>醋酸发酵中过程中酒精在醋酸杆菌的作用下发酵生成醋酸，醋酸发酵的转化率以</w:t>
      </w:r>
      <w:r w:rsidRPr="002B55E9">
        <w:rPr>
          <w:rFonts w:hint="eastAsia"/>
        </w:rPr>
        <w:t>8</w:t>
      </w:r>
      <w:r w:rsidR="00382309" w:rsidRPr="002B55E9">
        <w:t>5</w:t>
      </w:r>
      <w:r w:rsidRPr="002B55E9">
        <w:t>%</w:t>
      </w:r>
      <w:r w:rsidRPr="002B55E9">
        <w:rPr>
          <w:rFonts w:hint="eastAsia"/>
        </w:rPr>
        <w:t>计，白米醋液态发酵在发酵罐内进行，发酵时采用循环水控温，因发酵过程为</w:t>
      </w:r>
      <w:r w:rsidRPr="002B55E9">
        <w:t>放热</w:t>
      </w:r>
      <w:r w:rsidRPr="002B55E9">
        <w:rPr>
          <w:rFonts w:hint="eastAsia"/>
        </w:rPr>
        <w:t>反应</w:t>
      </w:r>
      <w:r w:rsidRPr="002B55E9">
        <w:t>且持续通入</w:t>
      </w:r>
      <w:r w:rsidR="00771F0C" w:rsidRPr="002B55E9">
        <w:rPr>
          <w:rFonts w:hint="eastAsia"/>
        </w:rPr>
        <w:t>无菌空气</w:t>
      </w:r>
      <w:r w:rsidRPr="002B55E9">
        <w:t>，</w:t>
      </w:r>
      <w:r w:rsidRPr="002B55E9">
        <w:rPr>
          <w:rFonts w:hint="eastAsia"/>
        </w:rPr>
        <w:t>过量</w:t>
      </w:r>
      <w:r w:rsidR="00771F0C" w:rsidRPr="002B55E9">
        <w:rPr>
          <w:rFonts w:hint="eastAsia"/>
        </w:rPr>
        <w:t>空气</w:t>
      </w:r>
      <w:r w:rsidRPr="002B55E9">
        <w:t>会从发酵</w:t>
      </w:r>
      <w:r w:rsidRPr="002B55E9">
        <w:rPr>
          <w:rFonts w:hint="eastAsia"/>
        </w:rPr>
        <w:t>罐</w:t>
      </w:r>
      <w:r w:rsidRPr="002B55E9">
        <w:t>呼吸管</w:t>
      </w:r>
      <w:r w:rsidRPr="002B55E9">
        <w:rPr>
          <w:rFonts w:hint="eastAsia"/>
        </w:rPr>
        <w:t>排出</w:t>
      </w:r>
      <w:r w:rsidRPr="002B55E9">
        <w:t>，</w:t>
      </w:r>
      <w:r w:rsidRPr="002B55E9">
        <w:rPr>
          <w:rFonts w:hint="eastAsia"/>
        </w:rPr>
        <w:t>废气</w:t>
      </w:r>
      <w:r w:rsidRPr="002B55E9">
        <w:t>中</w:t>
      </w:r>
      <w:r w:rsidRPr="002B55E9">
        <w:rPr>
          <w:rFonts w:hint="eastAsia"/>
        </w:rPr>
        <w:t>会</w:t>
      </w:r>
      <w:r w:rsidRPr="002B55E9">
        <w:t>夹带</w:t>
      </w:r>
      <w:r w:rsidRPr="002B55E9">
        <w:rPr>
          <w:rFonts w:hint="eastAsia"/>
        </w:rPr>
        <w:t>有</w:t>
      </w:r>
      <w:r w:rsidRPr="002B55E9">
        <w:t>少量</w:t>
      </w:r>
      <w:r w:rsidRPr="002B55E9">
        <w:rPr>
          <w:rFonts w:hint="eastAsia"/>
        </w:rPr>
        <w:t>乙醇</w:t>
      </w:r>
      <w:r w:rsidR="002755E4" w:rsidRPr="002B55E9">
        <w:rPr>
          <w:rFonts w:hint="eastAsia"/>
        </w:rPr>
        <w:t>、</w:t>
      </w:r>
      <w:r w:rsidRPr="002B55E9">
        <w:t>乙酸</w:t>
      </w:r>
      <w:r w:rsidR="002755E4" w:rsidRPr="002B55E9">
        <w:rPr>
          <w:rFonts w:hint="eastAsia"/>
        </w:rPr>
        <w:t>等挥发性有机废气以及异味气体（以臭气浓度表征）</w:t>
      </w:r>
      <w:r w:rsidRPr="002B55E9">
        <w:rPr>
          <w:rFonts w:hint="eastAsia"/>
        </w:rPr>
        <w:t>排出</w:t>
      </w:r>
      <w:r w:rsidRPr="002B55E9">
        <w:t>，</w:t>
      </w:r>
      <w:r w:rsidRPr="002B55E9">
        <w:rPr>
          <w:rFonts w:hint="eastAsia"/>
        </w:rPr>
        <w:t>根据建设单位提供的统计经验数据，醋酸发酵过程中废气挥发量约为投入的</w:t>
      </w:r>
      <w:r w:rsidRPr="002B55E9">
        <w:t>乙醇量和</w:t>
      </w:r>
      <w:r w:rsidRPr="002B55E9">
        <w:rPr>
          <w:rFonts w:hint="eastAsia"/>
        </w:rPr>
        <w:t>生成</w:t>
      </w:r>
      <w:r w:rsidRPr="002B55E9">
        <w:t>的</w:t>
      </w:r>
      <w:r w:rsidRPr="002B55E9">
        <w:rPr>
          <w:rFonts w:hint="eastAsia"/>
        </w:rPr>
        <w:t>乙酸</w:t>
      </w:r>
      <w:r w:rsidRPr="002B55E9">
        <w:t>量之和</w:t>
      </w:r>
      <w:r w:rsidRPr="002B55E9">
        <w:rPr>
          <w:rFonts w:hint="eastAsia"/>
        </w:rPr>
        <w:t>的</w:t>
      </w:r>
      <w:r w:rsidRPr="002B55E9">
        <w:rPr>
          <w:rFonts w:hint="eastAsia"/>
        </w:rPr>
        <w:t>0</w:t>
      </w:r>
      <w:r w:rsidRPr="002B55E9">
        <w:t>.2</w:t>
      </w:r>
      <w:r w:rsidRPr="002B55E9">
        <w:rPr>
          <w:rFonts w:hint="eastAsia"/>
        </w:rPr>
        <w:t>%</w:t>
      </w:r>
      <w:r w:rsidR="002755E4" w:rsidRPr="002B55E9">
        <w:rPr>
          <w:rFonts w:hint="eastAsia"/>
        </w:rPr>
        <w:t>。对发酵异味源强的估算，由于其扩散机理复杂，国内外相关研究资料中尚未见到专门的系统报道，本次评价针对项目产生的异味仅作定性分析。</w:t>
      </w:r>
      <w:r w:rsidRPr="002B55E9">
        <w:rPr>
          <w:rFonts w:hint="eastAsia"/>
        </w:rPr>
        <w:t>项目共</w:t>
      </w:r>
      <w:r w:rsidRPr="002B55E9">
        <w:t>设有</w:t>
      </w:r>
      <w:r w:rsidRPr="002B55E9">
        <w:rPr>
          <w:rFonts w:hint="eastAsia"/>
        </w:rPr>
        <w:t>V2400</w:t>
      </w:r>
      <w:r w:rsidRPr="002B55E9">
        <w:rPr>
          <w:rFonts w:hint="eastAsia"/>
        </w:rPr>
        <w:t>、</w:t>
      </w:r>
      <w:r w:rsidRPr="002B55E9">
        <w:rPr>
          <w:rFonts w:hint="eastAsia"/>
        </w:rPr>
        <w:t>V1800</w:t>
      </w:r>
      <w:r w:rsidRPr="002B55E9">
        <w:rPr>
          <w:rFonts w:hint="eastAsia"/>
        </w:rPr>
        <w:t>和</w:t>
      </w:r>
      <w:r w:rsidRPr="002B55E9">
        <w:rPr>
          <w:rFonts w:hint="eastAsia"/>
        </w:rPr>
        <w:t>V600</w:t>
      </w:r>
      <w:r w:rsidRPr="002B55E9">
        <w:rPr>
          <w:rFonts w:hint="eastAsia"/>
        </w:rPr>
        <w:t>共三种</w:t>
      </w:r>
      <w:r w:rsidRPr="002B55E9">
        <w:t>型号</w:t>
      </w:r>
      <w:r w:rsidRPr="002B55E9">
        <w:rPr>
          <w:rFonts w:hint="eastAsia"/>
        </w:rPr>
        <w:t>发酵罐</w:t>
      </w:r>
      <w:r w:rsidRPr="002B55E9">
        <w:t>各一套</w:t>
      </w:r>
      <w:r w:rsidRPr="002B55E9">
        <w:rPr>
          <w:rFonts w:hint="eastAsia"/>
        </w:rPr>
        <w:t>，醋酸发酵废气产生情况详见</w:t>
      </w:r>
      <w:r w:rsidRPr="002B55E9">
        <w:t>下表。</w:t>
      </w:r>
    </w:p>
    <w:p w14:paraId="6E60DCDD"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-3-12  </w:t>
      </w:r>
      <w:r w:rsidRPr="002B55E9">
        <w:rPr>
          <w:rFonts w:hint="eastAsia"/>
        </w:rPr>
        <w:t>醋酸</w:t>
      </w:r>
      <w:r w:rsidRPr="002B55E9">
        <w:t>发酵</w:t>
      </w:r>
      <w:r w:rsidRPr="002B55E9">
        <w:rPr>
          <w:rFonts w:hint="eastAsia"/>
        </w:rPr>
        <w:t>废气产生情况一览表</w:t>
      </w:r>
    </w:p>
    <w:tbl>
      <w:tblPr>
        <w:tblStyle w:val="lgy2"/>
        <w:tblW w:w="5000" w:type="pct"/>
        <w:tblLayout w:type="fixed"/>
        <w:tblCellMar>
          <w:left w:w="28" w:type="dxa"/>
          <w:right w:w="28" w:type="dxa"/>
        </w:tblCellMar>
        <w:tblLook w:val="04A0" w:firstRow="1" w:lastRow="0" w:firstColumn="1" w:lastColumn="0" w:noHBand="0" w:noVBand="1"/>
      </w:tblPr>
      <w:tblGrid>
        <w:gridCol w:w="1710"/>
        <w:gridCol w:w="1368"/>
        <w:gridCol w:w="913"/>
        <w:gridCol w:w="856"/>
        <w:gridCol w:w="854"/>
        <w:gridCol w:w="998"/>
        <w:gridCol w:w="998"/>
        <w:gridCol w:w="998"/>
        <w:gridCol w:w="999"/>
      </w:tblGrid>
      <w:tr w:rsidR="002B55E9" w:rsidRPr="002B55E9" w14:paraId="21285993" w14:textId="77777777" w:rsidTr="00FC2731">
        <w:trPr>
          <w:cnfStyle w:val="100000000000" w:firstRow="1" w:lastRow="0" w:firstColumn="0" w:lastColumn="0" w:oddVBand="0" w:evenVBand="0" w:oddHBand="0" w:evenHBand="0" w:firstRowFirstColumn="0" w:firstRowLastColumn="0" w:lastRowFirstColumn="0" w:lastRowLastColumn="0"/>
          <w:trHeight w:val="283"/>
        </w:trPr>
        <w:tc>
          <w:tcPr>
            <w:tcW w:w="1701" w:type="dxa"/>
          </w:tcPr>
          <w:p w14:paraId="1505EBC5" w14:textId="77777777" w:rsidR="00D170E5" w:rsidRPr="002B55E9" w:rsidRDefault="00EF27AD" w:rsidP="00FC2731">
            <w:pPr>
              <w:pStyle w:val="lgy-"/>
              <w:rPr>
                <w:rFonts w:eastAsia="宋体"/>
              </w:rPr>
            </w:pPr>
            <w:r w:rsidRPr="002B55E9">
              <w:rPr>
                <w:rFonts w:eastAsia="宋体"/>
              </w:rPr>
              <w:t>产生环节</w:t>
            </w:r>
          </w:p>
        </w:tc>
        <w:tc>
          <w:tcPr>
            <w:tcW w:w="1360" w:type="dxa"/>
          </w:tcPr>
          <w:p w14:paraId="1F32A42F" w14:textId="77777777" w:rsidR="00D170E5" w:rsidRPr="002B55E9" w:rsidRDefault="00EF27AD" w:rsidP="00FC2731">
            <w:pPr>
              <w:pStyle w:val="lgy-"/>
              <w:rPr>
                <w:rFonts w:eastAsia="宋体"/>
              </w:rPr>
            </w:pPr>
            <w:r w:rsidRPr="002B55E9">
              <w:rPr>
                <w:rFonts w:eastAsia="宋体"/>
              </w:rPr>
              <w:t>乙醇（折纯）批次投料量</w:t>
            </w:r>
            <w:r w:rsidRPr="002B55E9">
              <w:rPr>
                <w:rFonts w:eastAsia="宋体"/>
              </w:rPr>
              <w:t>t</w:t>
            </w:r>
          </w:p>
        </w:tc>
        <w:tc>
          <w:tcPr>
            <w:tcW w:w="908" w:type="dxa"/>
          </w:tcPr>
          <w:p w14:paraId="74D15AB7" w14:textId="77777777" w:rsidR="00D170E5" w:rsidRPr="002B55E9" w:rsidRDefault="00EF27AD" w:rsidP="00FC2731">
            <w:pPr>
              <w:pStyle w:val="lgy-"/>
              <w:rPr>
                <w:rFonts w:eastAsia="宋体"/>
              </w:rPr>
            </w:pPr>
            <w:r w:rsidRPr="002B55E9">
              <w:rPr>
                <w:rFonts w:eastAsia="宋体"/>
              </w:rPr>
              <w:t>生成醋酸量</w:t>
            </w:r>
            <w:r w:rsidRPr="002B55E9">
              <w:rPr>
                <w:rFonts w:eastAsia="宋体"/>
              </w:rPr>
              <w:t>t</w:t>
            </w:r>
          </w:p>
        </w:tc>
        <w:tc>
          <w:tcPr>
            <w:tcW w:w="851" w:type="dxa"/>
          </w:tcPr>
          <w:p w14:paraId="1E920ECD" w14:textId="77777777" w:rsidR="00D170E5" w:rsidRPr="002B55E9" w:rsidRDefault="00EF27AD" w:rsidP="00FC2731">
            <w:pPr>
              <w:pStyle w:val="lgy-"/>
              <w:rPr>
                <w:rFonts w:eastAsia="宋体"/>
              </w:rPr>
            </w:pPr>
            <w:r w:rsidRPr="002B55E9">
              <w:rPr>
                <w:rFonts w:eastAsia="宋体"/>
              </w:rPr>
              <w:t>年生产批次</w:t>
            </w:r>
          </w:p>
        </w:tc>
        <w:tc>
          <w:tcPr>
            <w:tcW w:w="849" w:type="dxa"/>
          </w:tcPr>
          <w:p w14:paraId="644E8CBC" w14:textId="77777777" w:rsidR="00D170E5" w:rsidRPr="002B55E9" w:rsidRDefault="00EF27AD" w:rsidP="00FC2731">
            <w:pPr>
              <w:pStyle w:val="lgy-"/>
              <w:rPr>
                <w:rFonts w:eastAsia="宋体"/>
              </w:rPr>
            </w:pPr>
            <w:r w:rsidRPr="002B55E9">
              <w:rPr>
                <w:rFonts w:eastAsia="宋体"/>
              </w:rPr>
              <w:t>批次耗时</w:t>
            </w:r>
            <w:r w:rsidRPr="002B55E9">
              <w:rPr>
                <w:rFonts w:eastAsia="宋体"/>
              </w:rPr>
              <w:t>h</w:t>
            </w:r>
          </w:p>
        </w:tc>
        <w:tc>
          <w:tcPr>
            <w:tcW w:w="992" w:type="dxa"/>
          </w:tcPr>
          <w:p w14:paraId="347A0654" w14:textId="77777777" w:rsidR="00D170E5" w:rsidRPr="002B55E9" w:rsidRDefault="00EF27AD" w:rsidP="00FC2731">
            <w:pPr>
              <w:pStyle w:val="lgy-"/>
              <w:rPr>
                <w:rFonts w:eastAsia="宋体"/>
              </w:rPr>
            </w:pPr>
            <w:r w:rsidRPr="002B55E9">
              <w:rPr>
                <w:rFonts w:eastAsia="宋体"/>
              </w:rPr>
              <w:t>污染物</w:t>
            </w:r>
          </w:p>
        </w:tc>
        <w:tc>
          <w:tcPr>
            <w:tcW w:w="992" w:type="dxa"/>
          </w:tcPr>
          <w:p w14:paraId="48518BEC" w14:textId="77777777" w:rsidR="00D170E5" w:rsidRPr="002B55E9" w:rsidRDefault="00EF27AD" w:rsidP="00FC2731">
            <w:pPr>
              <w:pStyle w:val="lgy-"/>
              <w:rPr>
                <w:rFonts w:eastAsia="宋体"/>
              </w:rPr>
            </w:pPr>
            <w:r w:rsidRPr="002B55E9">
              <w:rPr>
                <w:rFonts w:eastAsia="宋体" w:hint="eastAsia"/>
              </w:rPr>
              <w:t>废气</w:t>
            </w:r>
            <w:r w:rsidRPr="002B55E9">
              <w:rPr>
                <w:rFonts w:eastAsia="宋体"/>
              </w:rPr>
              <w:t>产生量</w:t>
            </w:r>
            <w:r w:rsidRPr="002B55E9">
              <w:rPr>
                <w:rFonts w:eastAsia="宋体"/>
              </w:rPr>
              <w:t>kg/</w:t>
            </w:r>
            <w:r w:rsidRPr="002B55E9">
              <w:rPr>
                <w:rFonts w:eastAsia="宋体"/>
              </w:rPr>
              <w:t>批次</w:t>
            </w:r>
          </w:p>
        </w:tc>
        <w:tc>
          <w:tcPr>
            <w:tcW w:w="992" w:type="dxa"/>
          </w:tcPr>
          <w:p w14:paraId="7B71BA8B" w14:textId="77777777" w:rsidR="00D170E5" w:rsidRPr="002B55E9" w:rsidRDefault="00EF27AD" w:rsidP="00FC2731">
            <w:pPr>
              <w:pStyle w:val="lgy-"/>
              <w:rPr>
                <w:rFonts w:eastAsia="宋体"/>
              </w:rPr>
            </w:pPr>
            <w:r w:rsidRPr="002B55E9">
              <w:rPr>
                <w:rFonts w:eastAsia="宋体" w:hint="eastAsia"/>
              </w:rPr>
              <w:t>废气</w:t>
            </w:r>
            <w:r w:rsidRPr="002B55E9">
              <w:rPr>
                <w:rFonts w:eastAsia="宋体"/>
              </w:rPr>
              <w:t>年产生量</w:t>
            </w:r>
            <w:r w:rsidRPr="002B55E9">
              <w:rPr>
                <w:rFonts w:eastAsia="宋体"/>
              </w:rPr>
              <w:t>t/a</w:t>
            </w:r>
          </w:p>
        </w:tc>
        <w:tc>
          <w:tcPr>
            <w:tcW w:w="993" w:type="dxa"/>
          </w:tcPr>
          <w:p w14:paraId="550E5038" w14:textId="77777777" w:rsidR="00D170E5" w:rsidRPr="002B55E9" w:rsidRDefault="00EF27AD" w:rsidP="00FC2731">
            <w:pPr>
              <w:pStyle w:val="lgy-"/>
              <w:rPr>
                <w:rFonts w:eastAsia="宋体"/>
              </w:rPr>
            </w:pPr>
            <w:r w:rsidRPr="002B55E9">
              <w:rPr>
                <w:rFonts w:eastAsia="宋体" w:hint="eastAsia"/>
              </w:rPr>
              <w:t>废气</w:t>
            </w:r>
            <w:r w:rsidRPr="002B55E9">
              <w:rPr>
                <w:rFonts w:eastAsia="宋体"/>
              </w:rPr>
              <w:t>产生速率</w:t>
            </w:r>
            <w:r w:rsidRPr="002B55E9">
              <w:rPr>
                <w:rFonts w:eastAsia="宋体"/>
              </w:rPr>
              <w:t>kg/h</w:t>
            </w:r>
          </w:p>
        </w:tc>
      </w:tr>
      <w:tr w:rsidR="002B55E9" w:rsidRPr="002B55E9" w14:paraId="03C6D20D" w14:textId="77777777" w:rsidTr="00FC2731">
        <w:trPr>
          <w:trHeight w:val="283"/>
        </w:trPr>
        <w:tc>
          <w:tcPr>
            <w:tcW w:w="1701" w:type="dxa"/>
            <w:vMerge w:val="restart"/>
          </w:tcPr>
          <w:p w14:paraId="24011F17" w14:textId="77777777" w:rsidR="002755E4" w:rsidRPr="002B55E9" w:rsidRDefault="002755E4" w:rsidP="00FC2731">
            <w:pPr>
              <w:pStyle w:val="lgy-"/>
              <w:rPr>
                <w:rFonts w:eastAsia="宋体"/>
              </w:rPr>
            </w:pPr>
            <w:r w:rsidRPr="002B55E9">
              <w:rPr>
                <w:rFonts w:eastAsia="宋体" w:hint="eastAsia"/>
              </w:rPr>
              <w:t>发酵罐（</w:t>
            </w:r>
            <w:r w:rsidRPr="002B55E9">
              <w:rPr>
                <w:rFonts w:eastAsia="宋体"/>
              </w:rPr>
              <w:t>V2400</w:t>
            </w:r>
            <w:r w:rsidRPr="002B55E9">
              <w:rPr>
                <w:rFonts w:eastAsia="宋体" w:hint="eastAsia"/>
              </w:rPr>
              <w:t>）</w:t>
            </w:r>
          </w:p>
        </w:tc>
        <w:tc>
          <w:tcPr>
            <w:tcW w:w="1360" w:type="dxa"/>
            <w:vMerge w:val="restart"/>
          </w:tcPr>
          <w:p w14:paraId="5A128228" w14:textId="77777777" w:rsidR="002755E4" w:rsidRPr="002B55E9" w:rsidRDefault="002755E4" w:rsidP="00FC2731">
            <w:pPr>
              <w:pStyle w:val="lgy-"/>
              <w:rPr>
                <w:rFonts w:eastAsia="宋体"/>
              </w:rPr>
            </w:pPr>
            <w:r w:rsidRPr="002B55E9">
              <w:rPr>
                <w:rFonts w:eastAsia="宋体"/>
              </w:rPr>
              <w:t xml:space="preserve">3.029 </w:t>
            </w:r>
          </w:p>
        </w:tc>
        <w:tc>
          <w:tcPr>
            <w:tcW w:w="908" w:type="dxa"/>
            <w:vMerge w:val="restart"/>
          </w:tcPr>
          <w:p w14:paraId="13181957" w14:textId="77777777" w:rsidR="002755E4" w:rsidRPr="002B55E9" w:rsidRDefault="002755E4" w:rsidP="00FC2731">
            <w:pPr>
              <w:pStyle w:val="lgy-"/>
              <w:rPr>
                <w:rFonts w:eastAsia="宋体"/>
              </w:rPr>
            </w:pPr>
            <w:r w:rsidRPr="002B55E9">
              <w:rPr>
                <w:rFonts w:eastAsia="宋体"/>
              </w:rPr>
              <w:t xml:space="preserve">3.160 </w:t>
            </w:r>
          </w:p>
        </w:tc>
        <w:tc>
          <w:tcPr>
            <w:tcW w:w="851" w:type="dxa"/>
            <w:vMerge w:val="restart"/>
          </w:tcPr>
          <w:p w14:paraId="1E90EC29" w14:textId="77777777" w:rsidR="002755E4" w:rsidRPr="002B55E9" w:rsidRDefault="002755E4" w:rsidP="00FC2731">
            <w:pPr>
              <w:pStyle w:val="lgy-"/>
              <w:rPr>
                <w:rFonts w:eastAsia="宋体"/>
              </w:rPr>
            </w:pPr>
            <w:r w:rsidRPr="002B55E9">
              <w:rPr>
                <w:rFonts w:eastAsia="宋体"/>
              </w:rPr>
              <w:t>375</w:t>
            </w:r>
          </w:p>
        </w:tc>
        <w:tc>
          <w:tcPr>
            <w:tcW w:w="849" w:type="dxa"/>
            <w:vMerge w:val="restart"/>
          </w:tcPr>
          <w:p w14:paraId="38C0944C" w14:textId="77777777" w:rsidR="002755E4" w:rsidRPr="002B55E9" w:rsidRDefault="002755E4" w:rsidP="00FC2731">
            <w:pPr>
              <w:pStyle w:val="lgy-"/>
              <w:rPr>
                <w:rFonts w:eastAsia="宋体"/>
              </w:rPr>
            </w:pPr>
            <w:r w:rsidRPr="002B55E9">
              <w:rPr>
                <w:rFonts w:eastAsia="宋体"/>
              </w:rPr>
              <w:t>20</w:t>
            </w:r>
          </w:p>
        </w:tc>
        <w:tc>
          <w:tcPr>
            <w:tcW w:w="992" w:type="dxa"/>
          </w:tcPr>
          <w:p w14:paraId="4F05F250" w14:textId="2C1AB5F6" w:rsidR="002755E4" w:rsidRPr="002B55E9" w:rsidRDefault="002755E4" w:rsidP="00FC2731">
            <w:pPr>
              <w:pStyle w:val="lgy-"/>
              <w:rPr>
                <w:rFonts w:eastAsia="宋体"/>
              </w:rPr>
            </w:pPr>
            <w:r w:rsidRPr="002B55E9">
              <w:rPr>
                <w:rFonts w:eastAsia="宋体"/>
              </w:rPr>
              <w:t>非甲烷总烃</w:t>
            </w:r>
          </w:p>
        </w:tc>
        <w:tc>
          <w:tcPr>
            <w:tcW w:w="992" w:type="dxa"/>
          </w:tcPr>
          <w:p w14:paraId="322DC493" w14:textId="2589B02F" w:rsidR="002755E4" w:rsidRPr="002B55E9" w:rsidRDefault="002755E4" w:rsidP="00FC2731">
            <w:pPr>
              <w:pStyle w:val="lgy-"/>
              <w:rPr>
                <w:rFonts w:eastAsia="宋体"/>
              </w:rPr>
            </w:pPr>
            <w:r w:rsidRPr="002B55E9">
              <w:rPr>
                <w:rFonts w:eastAsia="宋体"/>
              </w:rPr>
              <w:t>12.490</w:t>
            </w:r>
          </w:p>
        </w:tc>
        <w:tc>
          <w:tcPr>
            <w:tcW w:w="992" w:type="dxa"/>
          </w:tcPr>
          <w:p w14:paraId="20DB0941" w14:textId="52EB8219" w:rsidR="002755E4" w:rsidRPr="002B55E9" w:rsidRDefault="002755E4" w:rsidP="00FC2731">
            <w:pPr>
              <w:pStyle w:val="lgy-"/>
              <w:rPr>
                <w:rFonts w:eastAsia="宋体"/>
              </w:rPr>
            </w:pPr>
            <w:r w:rsidRPr="002B55E9">
              <w:rPr>
                <w:rFonts w:eastAsia="宋体"/>
              </w:rPr>
              <w:t>4.684</w:t>
            </w:r>
          </w:p>
        </w:tc>
        <w:tc>
          <w:tcPr>
            <w:tcW w:w="993" w:type="dxa"/>
          </w:tcPr>
          <w:p w14:paraId="0DFED1E4" w14:textId="5D4BC92F" w:rsidR="002755E4" w:rsidRPr="002B55E9" w:rsidRDefault="002755E4" w:rsidP="00FC2731">
            <w:pPr>
              <w:pStyle w:val="lgy-"/>
              <w:rPr>
                <w:rFonts w:eastAsia="宋体"/>
              </w:rPr>
            </w:pPr>
            <w:r w:rsidRPr="002B55E9">
              <w:rPr>
                <w:rFonts w:eastAsia="宋体"/>
              </w:rPr>
              <w:t>0.625</w:t>
            </w:r>
          </w:p>
        </w:tc>
      </w:tr>
      <w:tr w:rsidR="002B55E9" w:rsidRPr="002B55E9" w14:paraId="5ECE6C5F" w14:textId="77777777" w:rsidTr="00FC2731">
        <w:trPr>
          <w:trHeight w:val="283"/>
        </w:trPr>
        <w:tc>
          <w:tcPr>
            <w:tcW w:w="1701" w:type="dxa"/>
            <w:vMerge/>
          </w:tcPr>
          <w:p w14:paraId="68BC1F8F" w14:textId="77777777" w:rsidR="002755E4" w:rsidRPr="002B55E9" w:rsidRDefault="002755E4" w:rsidP="00FC2731">
            <w:pPr>
              <w:pStyle w:val="lgy-"/>
              <w:rPr>
                <w:rFonts w:eastAsia="宋体"/>
              </w:rPr>
            </w:pPr>
          </w:p>
        </w:tc>
        <w:tc>
          <w:tcPr>
            <w:tcW w:w="1360" w:type="dxa"/>
            <w:vMerge/>
          </w:tcPr>
          <w:p w14:paraId="1413A996" w14:textId="77777777" w:rsidR="002755E4" w:rsidRPr="002B55E9" w:rsidRDefault="002755E4" w:rsidP="00FC2731">
            <w:pPr>
              <w:pStyle w:val="lgy-"/>
              <w:rPr>
                <w:rFonts w:eastAsia="宋体"/>
              </w:rPr>
            </w:pPr>
          </w:p>
        </w:tc>
        <w:tc>
          <w:tcPr>
            <w:tcW w:w="908" w:type="dxa"/>
            <w:vMerge/>
          </w:tcPr>
          <w:p w14:paraId="515DA3E7" w14:textId="77777777" w:rsidR="002755E4" w:rsidRPr="002B55E9" w:rsidRDefault="002755E4" w:rsidP="00FC2731">
            <w:pPr>
              <w:pStyle w:val="lgy-"/>
              <w:rPr>
                <w:rFonts w:eastAsia="宋体"/>
              </w:rPr>
            </w:pPr>
          </w:p>
        </w:tc>
        <w:tc>
          <w:tcPr>
            <w:tcW w:w="851" w:type="dxa"/>
            <w:vMerge/>
          </w:tcPr>
          <w:p w14:paraId="1065A88B" w14:textId="77777777" w:rsidR="002755E4" w:rsidRPr="002B55E9" w:rsidRDefault="002755E4" w:rsidP="00FC2731">
            <w:pPr>
              <w:pStyle w:val="lgy-"/>
              <w:rPr>
                <w:rFonts w:eastAsia="宋体"/>
              </w:rPr>
            </w:pPr>
          </w:p>
        </w:tc>
        <w:tc>
          <w:tcPr>
            <w:tcW w:w="849" w:type="dxa"/>
            <w:vMerge/>
          </w:tcPr>
          <w:p w14:paraId="26FF84E2" w14:textId="77777777" w:rsidR="002755E4" w:rsidRPr="002B55E9" w:rsidRDefault="002755E4" w:rsidP="00FC2731">
            <w:pPr>
              <w:pStyle w:val="lgy-"/>
              <w:rPr>
                <w:rFonts w:eastAsia="宋体"/>
              </w:rPr>
            </w:pPr>
          </w:p>
        </w:tc>
        <w:tc>
          <w:tcPr>
            <w:tcW w:w="992" w:type="dxa"/>
          </w:tcPr>
          <w:p w14:paraId="3399A845" w14:textId="5E73C954" w:rsidR="002755E4" w:rsidRPr="002B55E9" w:rsidRDefault="002755E4" w:rsidP="00FC2731">
            <w:pPr>
              <w:pStyle w:val="lgy-"/>
              <w:rPr>
                <w:rFonts w:eastAsia="宋体"/>
              </w:rPr>
            </w:pPr>
            <w:r w:rsidRPr="002B55E9">
              <w:rPr>
                <w:rFonts w:eastAsia="宋体" w:hint="eastAsia"/>
              </w:rPr>
              <w:t>臭气浓度</w:t>
            </w:r>
          </w:p>
        </w:tc>
        <w:tc>
          <w:tcPr>
            <w:tcW w:w="992" w:type="dxa"/>
          </w:tcPr>
          <w:p w14:paraId="28D93490" w14:textId="1AFF8744" w:rsidR="002755E4" w:rsidRPr="002B55E9" w:rsidRDefault="002755E4" w:rsidP="00FC2731">
            <w:pPr>
              <w:pStyle w:val="lgy-"/>
              <w:rPr>
                <w:rFonts w:eastAsia="宋体"/>
              </w:rPr>
            </w:pPr>
            <w:r w:rsidRPr="002B55E9">
              <w:rPr>
                <w:rFonts w:eastAsia="宋体" w:hint="eastAsia"/>
              </w:rPr>
              <w:t>/</w:t>
            </w:r>
          </w:p>
        </w:tc>
        <w:tc>
          <w:tcPr>
            <w:tcW w:w="992" w:type="dxa"/>
          </w:tcPr>
          <w:p w14:paraId="2FC23575" w14:textId="57F4F6D2" w:rsidR="002755E4" w:rsidRPr="002B55E9" w:rsidRDefault="002755E4" w:rsidP="00FC2731">
            <w:pPr>
              <w:pStyle w:val="lgy-"/>
              <w:rPr>
                <w:rFonts w:eastAsia="宋体"/>
              </w:rPr>
            </w:pPr>
            <w:r w:rsidRPr="002B55E9">
              <w:rPr>
                <w:rFonts w:eastAsia="宋体" w:hint="eastAsia"/>
              </w:rPr>
              <w:t>/</w:t>
            </w:r>
          </w:p>
        </w:tc>
        <w:tc>
          <w:tcPr>
            <w:tcW w:w="993" w:type="dxa"/>
          </w:tcPr>
          <w:p w14:paraId="4889855F" w14:textId="6BADBC30" w:rsidR="002755E4" w:rsidRPr="002B55E9" w:rsidRDefault="002755E4" w:rsidP="00FC2731">
            <w:pPr>
              <w:pStyle w:val="lgy-"/>
              <w:rPr>
                <w:rFonts w:eastAsia="宋体"/>
              </w:rPr>
            </w:pPr>
            <w:r w:rsidRPr="002B55E9">
              <w:rPr>
                <w:rFonts w:eastAsia="宋体" w:hint="eastAsia"/>
              </w:rPr>
              <w:t>/</w:t>
            </w:r>
          </w:p>
        </w:tc>
      </w:tr>
      <w:tr w:rsidR="002B55E9" w:rsidRPr="002B55E9" w14:paraId="2794AF4F" w14:textId="77777777" w:rsidTr="00FC2731">
        <w:trPr>
          <w:trHeight w:val="283"/>
        </w:trPr>
        <w:tc>
          <w:tcPr>
            <w:tcW w:w="1701" w:type="dxa"/>
            <w:vMerge w:val="restart"/>
          </w:tcPr>
          <w:p w14:paraId="7D74F55D" w14:textId="77777777" w:rsidR="00FC2731" w:rsidRPr="002B55E9" w:rsidRDefault="00FC2731" w:rsidP="00FC2731">
            <w:pPr>
              <w:pStyle w:val="lgy-"/>
              <w:rPr>
                <w:rFonts w:eastAsia="宋体"/>
              </w:rPr>
            </w:pPr>
            <w:r w:rsidRPr="002B55E9">
              <w:rPr>
                <w:rFonts w:eastAsia="宋体" w:hint="eastAsia"/>
              </w:rPr>
              <w:t>发酵罐（</w:t>
            </w:r>
            <w:r w:rsidRPr="002B55E9">
              <w:rPr>
                <w:rFonts w:eastAsia="宋体"/>
              </w:rPr>
              <w:t>V1800</w:t>
            </w:r>
            <w:r w:rsidRPr="002B55E9">
              <w:rPr>
                <w:rFonts w:eastAsia="宋体" w:hint="eastAsia"/>
              </w:rPr>
              <w:t>）</w:t>
            </w:r>
          </w:p>
        </w:tc>
        <w:tc>
          <w:tcPr>
            <w:tcW w:w="1360" w:type="dxa"/>
            <w:vMerge w:val="restart"/>
          </w:tcPr>
          <w:p w14:paraId="0AF5FD47" w14:textId="77777777" w:rsidR="00FC2731" w:rsidRPr="002B55E9" w:rsidRDefault="00FC2731" w:rsidP="00FC2731">
            <w:pPr>
              <w:pStyle w:val="lgy-"/>
              <w:rPr>
                <w:rFonts w:eastAsia="宋体"/>
              </w:rPr>
            </w:pPr>
            <w:r w:rsidRPr="002B55E9">
              <w:rPr>
                <w:rFonts w:eastAsia="宋体"/>
              </w:rPr>
              <w:t xml:space="preserve">2.402 </w:t>
            </w:r>
          </w:p>
        </w:tc>
        <w:tc>
          <w:tcPr>
            <w:tcW w:w="908" w:type="dxa"/>
            <w:vMerge w:val="restart"/>
          </w:tcPr>
          <w:p w14:paraId="1A025673" w14:textId="77777777" w:rsidR="00FC2731" w:rsidRPr="002B55E9" w:rsidRDefault="00FC2731" w:rsidP="00FC2731">
            <w:pPr>
              <w:pStyle w:val="lgy-"/>
              <w:rPr>
                <w:rFonts w:eastAsia="宋体"/>
              </w:rPr>
            </w:pPr>
            <w:r w:rsidRPr="002B55E9">
              <w:rPr>
                <w:rFonts w:eastAsia="宋体"/>
              </w:rPr>
              <w:t xml:space="preserve">2.506 </w:t>
            </w:r>
          </w:p>
        </w:tc>
        <w:tc>
          <w:tcPr>
            <w:tcW w:w="851" w:type="dxa"/>
            <w:vMerge w:val="restart"/>
          </w:tcPr>
          <w:p w14:paraId="66BB4275" w14:textId="77777777" w:rsidR="00FC2731" w:rsidRPr="002B55E9" w:rsidRDefault="00FC2731" w:rsidP="00FC2731">
            <w:pPr>
              <w:pStyle w:val="lgy-"/>
              <w:rPr>
                <w:rFonts w:eastAsia="宋体"/>
              </w:rPr>
            </w:pPr>
            <w:r w:rsidRPr="002B55E9">
              <w:rPr>
                <w:rFonts w:eastAsia="宋体"/>
              </w:rPr>
              <w:t>372</w:t>
            </w:r>
          </w:p>
        </w:tc>
        <w:tc>
          <w:tcPr>
            <w:tcW w:w="849" w:type="dxa"/>
            <w:vMerge w:val="restart"/>
          </w:tcPr>
          <w:p w14:paraId="38F163B0" w14:textId="77777777" w:rsidR="00FC2731" w:rsidRPr="002B55E9" w:rsidRDefault="00FC2731" w:rsidP="00FC2731">
            <w:pPr>
              <w:pStyle w:val="lgy-"/>
              <w:rPr>
                <w:rFonts w:eastAsia="宋体"/>
              </w:rPr>
            </w:pPr>
            <w:r w:rsidRPr="002B55E9">
              <w:rPr>
                <w:rFonts w:eastAsia="宋体"/>
              </w:rPr>
              <w:t>20</w:t>
            </w:r>
          </w:p>
        </w:tc>
        <w:tc>
          <w:tcPr>
            <w:tcW w:w="992" w:type="dxa"/>
          </w:tcPr>
          <w:p w14:paraId="1F8A20F8" w14:textId="5F349950" w:rsidR="00FC2731" w:rsidRPr="002B55E9" w:rsidRDefault="00FC2731" w:rsidP="00FC2731">
            <w:pPr>
              <w:pStyle w:val="lgy-"/>
              <w:rPr>
                <w:rFonts w:eastAsia="宋体"/>
              </w:rPr>
            </w:pPr>
            <w:r w:rsidRPr="002B55E9">
              <w:rPr>
                <w:rFonts w:eastAsia="宋体"/>
              </w:rPr>
              <w:t>非甲烷总烃</w:t>
            </w:r>
          </w:p>
        </w:tc>
        <w:tc>
          <w:tcPr>
            <w:tcW w:w="992" w:type="dxa"/>
          </w:tcPr>
          <w:p w14:paraId="111F8F41" w14:textId="10B1817A" w:rsidR="00FC2731" w:rsidRPr="002B55E9" w:rsidRDefault="00FC2731" w:rsidP="00FC2731">
            <w:pPr>
              <w:pStyle w:val="lgy-"/>
              <w:rPr>
                <w:rFonts w:eastAsia="宋体"/>
              </w:rPr>
            </w:pPr>
            <w:r w:rsidRPr="002B55E9">
              <w:rPr>
                <w:rFonts w:eastAsia="宋体"/>
              </w:rPr>
              <w:t>9.906</w:t>
            </w:r>
          </w:p>
        </w:tc>
        <w:tc>
          <w:tcPr>
            <w:tcW w:w="992" w:type="dxa"/>
          </w:tcPr>
          <w:p w14:paraId="02C77D32" w14:textId="7452A6E6" w:rsidR="00FC2731" w:rsidRPr="002B55E9" w:rsidRDefault="00FC2731" w:rsidP="00FC2731">
            <w:pPr>
              <w:pStyle w:val="lgy-"/>
              <w:rPr>
                <w:rFonts w:eastAsia="宋体"/>
              </w:rPr>
            </w:pPr>
            <w:r w:rsidRPr="002B55E9">
              <w:rPr>
                <w:rFonts w:eastAsia="宋体"/>
              </w:rPr>
              <w:t>3.685</w:t>
            </w:r>
          </w:p>
        </w:tc>
        <w:tc>
          <w:tcPr>
            <w:tcW w:w="993" w:type="dxa"/>
          </w:tcPr>
          <w:p w14:paraId="3A1A8CB4" w14:textId="3BD1E639" w:rsidR="00FC2731" w:rsidRPr="002B55E9" w:rsidRDefault="00FC2731" w:rsidP="00FC2731">
            <w:pPr>
              <w:pStyle w:val="lgy-"/>
              <w:rPr>
                <w:rFonts w:eastAsia="宋体"/>
              </w:rPr>
            </w:pPr>
            <w:r w:rsidRPr="002B55E9">
              <w:rPr>
                <w:rFonts w:eastAsia="宋体"/>
              </w:rPr>
              <w:t>0.495</w:t>
            </w:r>
          </w:p>
        </w:tc>
      </w:tr>
      <w:tr w:rsidR="002B55E9" w:rsidRPr="002B55E9" w14:paraId="068A2262" w14:textId="77777777" w:rsidTr="00FC2731">
        <w:trPr>
          <w:trHeight w:val="283"/>
        </w:trPr>
        <w:tc>
          <w:tcPr>
            <w:tcW w:w="1701" w:type="dxa"/>
            <w:vMerge/>
          </w:tcPr>
          <w:p w14:paraId="2146682A" w14:textId="77777777" w:rsidR="00FC2731" w:rsidRPr="002B55E9" w:rsidRDefault="00FC2731" w:rsidP="00FC2731">
            <w:pPr>
              <w:pStyle w:val="lgy-"/>
              <w:rPr>
                <w:rFonts w:eastAsia="宋体"/>
              </w:rPr>
            </w:pPr>
          </w:p>
        </w:tc>
        <w:tc>
          <w:tcPr>
            <w:tcW w:w="1360" w:type="dxa"/>
            <w:vMerge/>
          </w:tcPr>
          <w:p w14:paraId="2516D99E" w14:textId="77777777" w:rsidR="00FC2731" w:rsidRPr="002B55E9" w:rsidRDefault="00FC2731" w:rsidP="00FC2731">
            <w:pPr>
              <w:pStyle w:val="lgy-"/>
              <w:rPr>
                <w:rFonts w:eastAsia="宋体"/>
              </w:rPr>
            </w:pPr>
          </w:p>
        </w:tc>
        <w:tc>
          <w:tcPr>
            <w:tcW w:w="908" w:type="dxa"/>
            <w:vMerge/>
          </w:tcPr>
          <w:p w14:paraId="78A74B60" w14:textId="77777777" w:rsidR="00FC2731" w:rsidRPr="002B55E9" w:rsidRDefault="00FC2731" w:rsidP="00FC2731">
            <w:pPr>
              <w:pStyle w:val="lgy-"/>
              <w:rPr>
                <w:rFonts w:eastAsia="宋体"/>
              </w:rPr>
            </w:pPr>
          </w:p>
        </w:tc>
        <w:tc>
          <w:tcPr>
            <w:tcW w:w="851" w:type="dxa"/>
            <w:vMerge/>
          </w:tcPr>
          <w:p w14:paraId="45039EEE" w14:textId="77777777" w:rsidR="00FC2731" w:rsidRPr="002B55E9" w:rsidRDefault="00FC2731" w:rsidP="00FC2731">
            <w:pPr>
              <w:pStyle w:val="lgy-"/>
              <w:rPr>
                <w:rFonts w:eastAsia="宋体"/>
              </w:rPr>
            </w:pPr>
          </w:p>
        </w:tc>
        <w:tc>
          <w:tcPr>
            <w:tcW w:w="849" w:type="dxa"/>
            <w:vMerge/>
          </w:tcPr>
          <w:p w14:paraId="36F4F072" w14:textId="77777777" w:rsidR="00FC2731" w:rsidRPr="002B55E9" w:rsidRDefault="00FC2731" w:rsidP="00FC2731">
            <w:pPr>
              <w:pStyle w:val="lgy-"/>
              <w:rPr>
                <w:rFonts w:eastAsia="宋体"/>
              </w:rPr>
            </w:pPr>
          </w:p>
        </w:tc>
        <w:tc>
          <w:tcPr>
            <w:tcW w:w="992" w:type="dxa"/>
          </w:tcPr>
          <w:p w14:paraId="6DB9130A" w14:textId="2CA566C1" w:rsidR="00FC2731" w:rsidRPr="002B55E9" w:rsidRDefault="00FC2731" w:rsidP="00FC2731">
            <w:pPr>
              <w:pStyle w:val="lgy-"/>
              <w:rPr>
                <w:rFonts w:eastAsia="宋体"/>
              </w:rPr>
            </w:pPr>
            <w:r w:rsidRPr="002B55E9">
              <w:rPr>
                <w:rFonts w:eastAsia="宋体" w:hint="eastAsia"/>
              </w:rPr>
              <w:t>臭气浓度</w:t>
            </w:r>
          </w:p>
        </w:tc>
        <w:tc>
          <w:tcPr>
            <w:tcW w:w="992" w:type="dxa"/>
          </w:tcPr>
          <w:p w14:paraId="701C475D" w14:textId="6063B262" w:rsidR="00FC2731" w:rsidRPr="002B55E9" w:rsidRDefault="00FC2731" w:rsidP="00FC2731">
            <w:pPr>
              <w:pStyle w:val="lgy-"/>
              <w:rPr>
                <w:rFonts w:eastAsia="宋体"/>
              </w:rPr>
            </w:pPr>
            <w:r w:rsidRPr="002B55E9">
              <w:rPr>
                <w:rFonts w:eastAsia="宋体" w:hint="eastAsia"/>
              </w:rPr>
              <w:t>/</w:t>
            </w:r>
          </w:p>
        </w:tc>
        <w:tc>
          <w:tcPr>
            <w:tcW w:w="992" w:type="dxa"/>
          </w:tcPr>
          <w:p w14:paraId="07EAA7CF" w14:textId="6BBF4340" w:rsidR="00FC2731" w:rsidRPr="002B55E9" w:rsidRDefault="00FC2731" w:rsidP="00FC2731">
            <w:pPr>
              <w:pStyle w:val="lgy-"/>
              <w:rPr>
                <w:rFonts w:eastAsia="宋体"/>
              </w:rPr>
            </w:pPr>
            <w:r w:rsidRPr="002B55E9">
              <w:rPr>
                <w:rFonts w:eastAsia="宋体" w:hint="eastAsia"/>
              </w:rPr>
              <w:t>/</w:t>
            </w:r>
          </w:p>
        </w:tc>
        <w:tc>
          <w:tcPr>
            <w:tcW w:w="993" w:type="dxa"/>
          </w:tcPr>
          <w:p w14:paraId="50346EC4" w14:textId="2383CC70" w:rsidR="00FC2731" w:rsidRPr="002B55E9" w:rsidRDefault="00FC2731" w:rsidP="00FC2731">
            <w:pPr>
              <w:pStyle w:val="lgy-"/>
              <w:rPr>
                <w:rFonts w:eastAsia="宋体"/>
              </w:rPr>
            </w:pPr>
            <w:r w:rsidRPr="002B55E9">
              <w:rPr>
                <w:rFonts w:eastAsia="宋体" w:hint="eastAsia"/>
              </w:rPr>
              <w:t>/</w:t>
            </w:r>
          </w:p>
        </w:tc>
      </w:tr>
      <w:tr w:rsidR="002B55E9" w:rsidRPr="002B55E9" w14:paraId="593C763E" w14:textId="77777777" w:rsidTr="00FC2731">
        <w:trPr>
          <w:trHeight w:val="283"/>
        </w:trPr>
        <w:tc>
          <w:tcPr>
            <w:tcW w:w="1701" w:type="dxa"/>
            <w:vMerge w:val="restart"/>
          </w:tcPr>
          <w:p w14:paraId="0E1632FC" w14:textId="77777777" w:rsidR="00FC2731" w:rsidRPr="002B55E9" w:rsidRDefault="00FC2731" w:rsidP="00FC2731">
            <w:pPr>
              <w:pStyle w:val="lgy-"/>
              <w:rPr>
                <w:rFonts w:eastAsia="宋体"/>
              </w:rPr>
            </w:pPr>
            <w:r w:rsidRPr="002B55E9">
              <w:rPr>
                <w:rFonts w:eastAsia="宋体" w:hint="eastAsia"/>
              </w:rPr>
              <w:t>发酵罐（</w:t>
            </w:r>
            <w:r w:rsidRPr="002B55E9">
              <w:rPr>
                <w:rFonts w:eastAsia="宋体"/>
              </w:rPr>
              <w:t>V600</w:t>
            </w:r>
            <w:r w:rsidRPr="002B55E9">
              <w:rPr>
                <w:rFonts w:eastAsia="宋体" w:hint="eastAsia"/>
              </w:rPr>
              <w:t>）</w:t>
            </w:r>
          </w:p>
        </w:tc>
        <w:tc>
          <w:tcPr>
            <w:tcW w:w="1360" w:type="dxa"/>
            <w:vMerge w:val="restart"/>
          </w:tcPr>
          <w:p w14:paraId="04AE9364" w14:textId="77777777" w:rsidR="00FC2731" w:rsidRPr="002B55E9" w:rsidRDefault="00FC2731" w:rsidP="00FC2731">
            <w:pPr>
              <w:pStyle w:val="lgy-"/>
              <w:rPr>
                <w:rFonts w:eastAsia="宋体"/>
              </w:rPr>
            </w:pPr>
            <w:r w:rsidRPr="002B55E9">
              <w:rPr>
                <w:rFonts w:eastAsia="宋体"/>
              </w:rPr>
              <w:t xml:space="preserve">0.731 </w:t>
            </w:r>
          </w:p>
        </w:tc>
        <w:tc>
          <w:tcPr>
            <w:tcW w:w="908" w:type="dxa"/>
            <w:vMerge w:val="restart"/>
          </w:tcPr>
          <w:p w14:paraId="38590C64" w14:textId="77777777" w:rsidR="00FC2731" w:rsidRPr="002B55E9" w:rsidRDefault="00FC2731" w:rsidP="00FC2731">
            <w:pPr>
              <w:pStyle w:val="lgy-"/>
              <w:rPr>
                <w:rFonts w:eastAsia="宋体"/>
              </w:rPr>
            </w:pPr>
            <w:r w:rsidRPr="002B55E9">
              <w:rPr>
                <w:rFonts w:eastAsia="宋体"/>
              </w:rPr>
              <w:t xml:space="preserve">0.763 </w:t>
            </w:r>
          </w:p>
        </w:tc>
        <w:tc>
          <w:tcPr>
            <w:tcW w:w="851" w:type="dxa"/>
            <w:vMerge w:val="restart"/>
          </w:tcPr>
          <w:p w14:paraId="4B3D207C" w14:textId="77777777" w:rsidR="00FC2731" w:rsidRPr="002B55E9" w:rsidRDefault="00FC2731" w:rsidP="00FC2731">
            <w:pPr>
              <w:pStyle w:val="lgy-"/>
              <w:rPr>
                <w:rFonts w:eastAsia="宋体"/>
              </w:rPr>
            </w:pPr>
            <w:r w:rsidRPr="002B55E9">
              <w:rPr>
                <w:rFonts w:eastAsia="宋体"/>
              </w:rPr>
              <w:t>367</w:t>
            </w:r>
          </w:p>
        </w:tc>
        <w:tc>
          <w:tcPr>
            <w:tcW w:w="849" w:type="dxa"/>
            <w:vMerge w:val="restart"/>
          </w:tcPr>
          <w:p w14:paraId="03140BD1" w14:textId="77777777" w:rsidR="00FC2731" w:rsidRPr="002B55E9" w:rsidRDefault="00FC2731" w:rsidP="00FC2731">
            <w:pPr>
              <w:pStyle w:val="lgy-"/>
              <w:rPr>
                <w:rFonts w:eastAsia="宋体"/>
              </w:rPr>
            </w:pPr>
            <w:r w:rsidRPr="002B55E9">
              <w:rPr>
                <w:rFonts w:eastAsia="宋体"/>
              </w:rPr>
              <w:t>20</w:t>
            </w:r>
          </w:p>
        </w:tc>
        <w:tc>
          <w:tcPr>
            <w:tcW w:w="992" w:type="dxa"/>
          </w:tcPr>
          <w:p w14:paraId="33161171" w14:textId="0BCD19B0" w:rsidR="00FC2731" w:rsidRPr="002B55E9" w:rsidRDefault="00FC2731" w:rsidP="00FC2731">
            <w:pPr>
              <w:pStyle w:val="lgy-"/>
              <w:rPr>
                <w:rFonts w:eastAsia="宋体"/>
              </w:rPr>
            </w:pPr>
            <w:r w:rsidRPr="002B55E9">
              <w:rPr>
                <w:rFonts w:eastAsia="宋体"/>
              </w:rPr>
              <w:t>非甲烷总烃</w:t>
            </w:r>
          </w:p>
        </w:tc>
        <w:tc>
          <w:tcPr>
            <w:tcW w:w="992" w:type="dxa"/>
          </w:tcPr>
          <w:p w14:paraId="70A7DE96" w14:textId="25AE69CD" w:rsidR="00FC2731" w:rsidRPr="002B55E9" w:rsidRDefault="00FC2731" w:rsidP="00FC2731">
            <w:pPr>
              <w:pStyle w:val="lgy-"/>
              <w:rPr>
                <w:rFonts w:eastAsia="宋体"/>
              </w:rPr>
            </w:pPr>
            <w:r w:rsidRPr="002B55E9">
              <w:rPr>
                <w:rFonts w:eastAsia="宋体"/>
              </w:rPr>
              <w:t>3.015</w:t>
            </w:r>
          </w:p>
        </w:tc>
        <w:tc>
          <w:tcPr>
            <w:tcW w:w="992" w:type="dxa"/>
          </w:tcPr>
          <w:p w14:paraId="73131CB8" w14:textId="220889FF" w:rsidR="00FC2731" w:rsidRPr="002B55E9" w:rsidRDefault="00FC2731" w:rsidP="00FC2731">
            <w:pPr>
              <w:pStyle w:val="lgy-"/>
              <w:rPr>
                <w:rFonts w:eastAsia="宋体"/>
              </w:rPr>
            </w:pPr>
            <w:r w:rsidRPr="002B55E9">
              <w:rPr>
                <w:rFonts w:eastAsia="宋体"/>
              </w:rPr>
              <w:t>1.106</w:t>
            </w:r>
          </w:p>
        </w:tc>
        <w:tc>
          <w:tcPr>
            <w:tcW w:w="993" w:type="dxa"/>
          </w:tcPr>
          <w:p w14:paraId="3F41C557" w14:textId="494FAFC2" w:rsidR="00FC2731" w:rsidRPr="002B55E9" w:rsidRDefault="00FC2731" w:rsidP="00FC2731">
            <w:pPr>
              <w:pStyle w:val="lgy-"/>
              <w:rPr>
                <w:rFonts w:eastAsia="宋体"/>
              </w:rPr>
            </w:pPr>
            <w:r w:rsidRPr="002B55E9">
              <w:rPr>
                <w:rFonts w:eastAsia="宋体"/>
              </w:rPr>
              <w:t>0.151</w:t>
            </w:r>
          </w:p>
        </w:tc>
      </w:tr>
      <w:tr w:rsidR="002B55E9" w:rsidRPr="002B55E9" w14:paraId="0F03B846" w14:textId="77777777" w:rsidTr="00FC2731">
        <w:trPr>
          <w:trHeight w:val="283"/>
        </w:trPr>
        <w:tc>
          <w:tcPr>
            <w:tcW w:w="1701" w:type="dxa"/>
            <w:vMerge/>
          </w:tcPr>
          <w:p w14:paraId="48453B7F" w14:textId="77777777" w:rsidR="00FC2731" w:rsidRPr="002B55E9" w:rsidRDefault="00FC2731" w:rsidP="00FC2731">
            <w:pPr>
              <w:pStyle w:val="lgy-"/>
              <w:rPr>
                <w:rFonts w:eastAsia="宋体"/>
              </w:rPr>
            </w:pPr>
          </w:p>
        </w:tc>
        <w:tc>
          <w:tcPr>
            <w:tcW w:w="1360" w:type="dxa"/>
            <w:vMerge/>
          </w:tcPr>
          <w:p w14:paraId="23085E17" w14:textId="77777777" w:rsidR="00FC2731" w:rsidRPr="002B55E9" w:rsidRDefault="00FC2731" w:rsidP="00FC2731">
            <w:pPr>
              <w:pStyle w:val="lgy-"/>
              <w:rPr>
                <w:rFonts w:eastAsia="宋体"/>
              </w:rPr>
            </w:pPr>
          </w:p>
        </w:tc>
        <w:tc>
          <w:tcPr>
            <w:tcW w:w="908" w:type="dxa"/>
            <w:vMerge/>
          </w:tcPr>
          <w:p w14:paraId="130E61DD" w14:textId="77777777" w:rsidR="00FC2731" w:rsidRPr="002B55E9" w:rsidRDefault="00FC2731" w:rsidP="00FC2731">
            <w:pPr>
              <w:pStyle w:val="lgy-"/>
              <w:rPr>
                <w:rFonts w:eastAsia="宋体"/>
              </w:rPr>
            </w:pPr>
          </w:p>
        </w:tc>
        <w:tc>
          <w:tcPr>
            <w:tcW w:w="851" w:type="dxa"/>
            <w:vMerge/>
          </w:tcPr>
          <w:p w14:paraId="29CD1608" w14:textId="77777777" w:rsidR="00FC2731" w:rsidRPr="002B55E9" w:rsidRDefault="00FC2731" w:rsidP="00FC2731">
            <w:pPr>
              <w:pStyle w:val="lgy-"/>
              <w:rPr>
                <w:rFonts w:eastAsia="宋体"/>
              </w:rPr>
            </w:pPr>
          </w:p>
        </w:tc>
        <w:tc>
          <w:tcPr>
            <w:tcW w:w="849" w:type="dxa"/>
            <w:vMerge/>
          </w:tcPr>
          <w:p w14:paraId="3BD2F3F8" w14:textId="77777777" w:rsidR="00FC2731" w:rsidRPr="002B55E9" w:rsidRDefault="00FC2731" w:rsidP="00FC2731">
            <w:pPr>
              <w:pStyle w:val="lgy-"/>
              <w:rPr>
                <w:rFonts w:eastAsia="宋体"/>
              </w:rPr>
            </w:pPr>
          </w:p>
        </w:tc>
        <w:tc>
          <w:tcPr>
            <w:tcW w:w="992" w:type="dxa"/>
          </w:tcPr>
          <w:p w14:paraId="26E63A60" w14:textId="49BB163D" w:rsidR="00FC2731" w:rsidRPr="002B55E9" w:rsidRDefault="00FC2731" w:rsidP="00FC2731">
            <w:pPr>
              <w:pStyle w:val="lgy-"/>
              <w:rPr>
                <w:rFonts w:eastAsia="宋体"/>
              </w:rPr>
            </w:pPr>
            <w:r w:rsidRPr="002B55E9">
              <w:rPr>
                <w:rFonts w:eastAsia="宋体" w:hint="eastAsia"/>
              </w:rPr>
              <w:t>臭气浓度</w:t>
            </w:r>
          </w:p>
        </w:tc>
        <w:tc>
          <w:tcPr>
            <w:tcW w:w="992" w:type="dxa"/>
          </w:tcPr>
          <w:p w14:paraId="695A4113" w14:textId="29510E5C" w:rsidR="00FC2731" w:rsidRPr="002B55E9" w:rsidRDefault="00FC2731" w:rsidP="00FC2731">
            <w:pPr>
              <w:pStyle w:val="lgy-"/>
              <w:rPr>
                <w:rFonts w:eastAsia="宋体"/>
              </w:rPr>
            </w:pPr>
            <w:r w:rsidRPr="002B55E9">
              <w:rPr>
                <w:rFonts w:eastAsia="宋体" w:hint="eastAsia"/>
              </w:rPr>
              <w:t>/</w:t>
            </w:r>
          </w:p>
        </w:tc>
        <w:tc>
          <w:tcPr>
            <w:tcW w:w="992" w:type="dxa"/>
          </w:tcPr>
          <w:p w14:paraId="467F6BB1" w14:textId="25A09DFD" w:rsidR="00FC2731" w:rsidRPr="002B55E9" w:rsidRDefault="00FC2731" w:rsidP="00FC2731">
            <w:pPr>
              <w:pStyle w:val="lgy-"/>
              <w:rPr>
                <w:rFonts w:eastAsia="宋体"/>
              </w:rPr>
            </w:pPr>
            <w:r w:rsidRPr="002B55E9">
              <w:rPr>
                <w:rFonts w:eastAsia="宋体" w:hint="eastAsia"/>
              </w:rPr>
              <w:t>/</w:t>
            </w:r>
          </w:p>
        </w:tc>
        <w:tc>
          <w:tcPr>
            <w:tcW w:w="993" w:type="dxa"/>
          </w:tcPr>
          <w:p w14:paraId="21532D75" w14:textId="1DD9C017" w:rsidR="00FC2731" w:rsidRPr="002B55E9" w:rsidRDefault="00FC2731" w:rsidP="00FC2731">
            <w:pPr>
              <w:pStyle w:val="lgy-"/>
              <w:rPr>
                <w:rFonts w:eastAsia="宋体"/>
              </w:rPr>
            </w:pPr>
            <w:r w:rsidRPr="002B55E9">
              <w:rPr>
                <w:rFonts w:eastAsia="宋体" w:hint="eastAsia"/>
              </w:rPr>
              <w:t>/</w:t>
            </w:r>
          </w:p>
        </w:tc>
      </w:tr>
    </w:tbl>
    <w:p w14:paraId="605A145E" w14:textId="5A64B923" w:rsidR="00B1103D" w:rsidRPr="002B55E9" w:rsidRDefault="00EF27AD" w:rsidP="00B1103D">
      <w:pPr>
        <w:pStyle w:val="affff7"/>
        <w:snapToGrid w:val="0"/>
        <w:spacing w:after="0"/>
      </w:pPr>
      <w:r w:rsidRPr="002B55E9">
        <w:rPr>
          <w:rFonts w:hint="eastAsia"/>
        </w:rPr>
        <w:t>项目醋酸</w:t>
      </w:r>
      <w:r w:rsidRPr="002B55E9">
        <w:t>发酵废气</w:t>
      </w:r>
      <w:r w:rsidR="00B1103D" w:rsidRPr="002B55E9">
        <w:rPr>
          <w:rFonts w:hint="eastAsia"/>
        </w:rPr>
        <w:t>发酵罐排气管道密闭收集进入十三车间集气总管后进入二级碱喷淋</w:t>
      </w:r>
      <w:r w:rsidR="00B1103D" w:rsidRPr="002B55E9">
        <w:rPr>
          <w:rFonts w:hint="eastAsia"/>
        </w:rPr>
        <w:t>+</w:t>
      </w:r>
      <w:r w:rsidR="00B1103D" w:rsidRPr="002B55E9">
        <w:rPr>
          <w:rFonts w:hint="eastAsia"/>
        </w:rPr>
        <w:t>水喷淋装置处理后由</w:t>
      </w:r>
      <w:r w:rsidR="00B1103D" w:rsidRPr="002B55E9">
        <w:rPr>
          <w:rFonts w:hint="eastAsia"/>
        </w:rPr>
        <w:t>18m</w:t>
      </w:r>
      <w:r w:rsidR="00B1103D" w:rsidRPr="002B55E9">
        <w:rPr>
          <w:rFonts w:hint="eastAsia"/>
        </w:rPr>
        <w:t>高</w:t>
      </w:r>
      <w:r w:rsidR="00B1103D" w:rsidRPr="002B55E9">
        <w:t>排气筒</w:t>
      </w:r>
      <w:r w:rsidR="00B1103D" w:rsidRPr="002B55E9">
        <w:rPr>
          <w:rFonts w:hint="eastAsia"/>
        </w:rPr>
        <w:t>（</w:t>
      </w:r>
      <w:r w:rsidR="00B1103D" w:rsidRPr="002B55E9">
        <w:rPr>
          <w:rFonts w:hint="eastAsia"/>
        </w:rPr>
        <w:t>D</w:t>
      </w:r>
      <w:r w:rsidR="00B1103D" w:rsidRPr="002B55E9">
        <w:t>A002</w:t>
      </w:r>
      <w:r w:rsidR="00B1103D" w:rsidRPr="002B55E9">
        <w:rPr>
          <w:rFonts w:hint="eastAsia"/>
        </w:rPr>
        <w:t>）</w:t>
      </w:r>
      <w:r w:rsidR="00B1103D" w:rsidRPr="002B55E9">
        <w:t>排放</w:t>
      </w:r>
      <w:r w:rsidR="00B1103D" w:rsidRPr="002B55E9">
        <w:rPr>
          <w:rFonts w:hint="eastAsia"/>
        </w:rPr>
        <w:t>，该过程废气完全收集，二级碱喷淋</w:t>
      </w:r>
      <w:r w:rsidR="00B1103D" w:rsidRPr="002B55E9">
        <w:rPr>
          <w:rFonts w:hint="eastAsia"/>
        </w:rPr>
        <w:t>+</w:t>
      </w:r>
      <w:r w:rsidR="00B1103D" w:rsidRPr="002B55E9">
        <w:rPr>
          <w:rFonts w:hint="eastAsia"/>
        </w:rPr>
        <w:t>水喷淋装置对乙醇、乙酸等挥发性有机废气的处理效率以</w:t>
      </w:r>
      <w:r w:rsidR="00B1103D" w:rsidRPr="002B55E9">
        <w:rPr>
          <w:rFonts w:hint="eastAsia"/>
        </w:rPr>
        <w:t>8</w:t>
      </w:r>
      <w:r w:rsidR="00B1103D" w:rsidRPr="002B55E9">
        <w:t>5</w:t>
      </w:r>
      <w:r w:rsidR="00B1103D" w:rsidRPr="002B55E9">
        <w:rPr>
          <w:rFonts w:hint="eastAsia"/>
        </w:rPr>
        <w:t>%</w:t>
      </w:r>
      <w:r w:rsidR="00B1103D" w:rsidRPr="002B55E9">
        <w:rPr>
          <w:rFonts w:hint="eastAsia"/>
        </w:rPr>
        <w:t>计。酒精发酵废气产排情况如下表</w:t>
      </w:r>
      <w:r w:rsidR="00B1103D" w:rsidRPr="002B55E9">
        <w:t>所示。</w:t>
      </w:r>
    </w:p>
    <w:p w14:paraId="79EC11C1"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-3-13  </w:t>
      </w:r>
      <w:r w:rsidRPr="002B55E9">
        <w:rPr>
          <w:rFonts w:hint="eastAsia"/>
        </w:rPr>
        <w:t>发酵废气产排情况一览表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419"/>
        <w:gridCol w:w="549"/>
        <w:gridCol w:w="1224"/>
        <w:gridCol w:w="941"/>
        <w:gridCol w:w="658"/>
        <w:gridCol w:w="1057"/>
        <w:gridCol w:w="997"/>
        <w:gridCol w:w="625"/>
        <w:gridCol w:w="401"/>
        <w:gridCol w:w="1224"/>
        <w:gridCol w:w="941"/>
        <w:gridCol w:w="658"/>
      </w:tblGrid>
      <w:tr w:rsidR="002B55E9" w:rsidRPr="002B55E9" w14:paraId="36024BCD" w14:textId="77777777" w:rsidTr="00FC2731">
        <w:trPr>
          <w:cnfStyle w:val="100000000000" w:firstRow="1" w:lastRow="0" w:firstColumn="0" w:lastColumn="0" w:oddVBand="0" w:evenVBand="0" w:oddHBand="0" w:evenHBand="0" w:firstRowFirstColumn="0" w:firstRowLastColumn="0" w:lastRowFirstColumn="0" w:lastRowLastColumn="0"/>
          <w:trHeight w:val="283"/>
        </w:trPr>
        <w:tc>
          <w:tcPr>
            <w:tcW w:w="416" w:type="dxa"/>
            <w:vMerge w:val="restart"/>
            <w:noWrap/>
          </w:tcPr>
          <w:p w14:paraId="707216C4" w14:textId="77777777" w:rsidR="00D170E5" w:rsidRPr="002B55E9" w:rsidRDefault="00EF27AD" w:rsidP="00FC2731">
            <w:pPr>
              <w:pStyle w:val="lgy-"/>
              <w:rPr>
                <w:rFonts w:eastAsia="宋体"/>
              </w:rPr>
            </w:pPr>
            <w:r w:rsidRPr="002B55E9">
              <w:rPr>
                <w:rFonts w:eastAsia="宋体"/>
              </w:rPr>
              <w:t>产生</w:t>
            </w:r>
          </w:p>
          <w:p w14:paraId="63E04E91" w14:textId="77777777" w:rsidR="00D170E5" w:rsidRPr="002B55E9" w:rsidRDefault="00EF27AD" w:rsidP="00FC2731">
            <w:pPr>
              <w:pStyle w:val="lgy-"/>
              <w:rPr>
                <w:rFonts w:eastAsia="宋体"/>
              </w:rPr>
            </w:pPr>
            <w:r w:rsidRPr="002B55E9">
              <w:rPr>
                <w:rFonts w:eastAsia="宋体"/>
              </w:rPr>
              <w:t>环节</w:t>
            </w:r>
          </w:p>
        </w:tc>
        <w:tc>
          <w:tcPr>
            <w:tcW w:w="546" w:type="dxa"/>
            <w:vMerge w:val="restart"/>
          </w:tcPr>
          <w:p w14:paraId="2F330A23" w14:textId="77777777" w:rsidR="00D170E5" w:rsidRPr="002B55E9" w:rsidRDefault="00EF27AD" w:rsidP="00FC2731">
            <w:pPr>
              <w:pStyle w:val="lgy-"/>
              <w:rPr>
                <w:rFonts w:eastAsia="宋体"/>
              </w:rPr>
            </w:pPr>
            <w:r w:rsidRPr="002B55E9">
              <w:rPr>
                <w:rFonts w:eastAsia="宋体"/>
              </w:rPr>
              <w:t>污染物</w:t>
            </w:r>
          </w:p>
        </w:tc>
        <w:tc>
          <w:tcPr>
            <w:tcW w:w="2807" w:type="dxa"/>
            <w:gridSpan w:val="3"/>
          </w:tcPr>
          <w:p w14:paraId="5418A50C" w14:textId="77777777" w:rsidR="00D170E5" w:rsidRPr="002B55E9" w:rsidRDefault="00EF27AD" w:rsidP="00FC2731">
            <w:pPr>
              <w:pStyle w:val="lgy-"/>
              <w:rPr>
                <w:rFonts w:eastAsia="宋体"/>
              </w:rPr>
            </w:pPr>
            <w:r w:rsidRPr="002B55E9">
              <w:rPr>
                <w:rFonts w:eastAsia="宋体"/>
              </w:rPr>
              <w:t>污染物产生</w:t>
            </w:r>
          </w:p>
        </w:tc>
        <w:tc>
          <w:tcPr>
            <w:tcW w:w="2042" w:type="dxa"/>
            <w:gridSpan w:val="2"/>
          </w:tcPr>
          <w:p w14:paraId="5080B060" w14:textId="77777777" w:rsidR="00D170E5" w:rsidRPr="002B55E9" w:rsidRDefault="00EF27AD" w:rsidP="00FC2731">
            <w:pPr>
              <w:pStyle w:val="lgy-"/>
              <w:rPr>
                <w:rFonts w:eastAsia="宋体"/>
              </w:rPr>
            </w:pPr>
            <w:r w:rsidRPr="002B55E9">
              <w:rPr>
                <w:rFonts w:eastAsia="宋体"/>
              </w:rPr>
              <w:t>废气收集</w:t>
            </w:r>
          </w:p>
        </w:tc>
        <w:tc>
          <w:tcPr>
            <w:tcW w:w="1020" w:type="dxa"/>
            <w:gridSpan w:val="2"/>
          </w:tcPr>
          <w:p w14:paraId="73FB25BE" w14:textId="77777777" w:rsidR="00D170E5" w:rsidRPr="002B55E9" w:rsidRDefault="00EF27AD" w:rsidP="00FC2731">
            <w:pPr>
              <w:pStyle w:val="lgy-"/>
              <w:rPr>
                <w:rFonts w:eastAsia="宋体"/>
              </w:rPr>
            </w:pPr>
            <w:r w:rsidRPr="002B55E9">
              <w:rPr>
                <w:rFonts w:eastAsia="宋体"/>
              </w:rPr>
              <w:t>治理措施</w:t>
            </w:r>
          </w:p>
        </w:tc>
        <w:tc>
          <w:tcPr>
            <w:tcW w:w="2807" w:type="dxa"/>
            <w:gridSpan w:val="3"/>
          </w:tcPr>
          <w:p w14:paraId="04E3E62F" w14:textId="77777777" w:rsidR="00D170E5" w:rsidRPr="002B55E9" w:rsidRDefault="00EF27AD" w:rsidP="00FC2731">
            <w:pPr>
              <w:pStyle w:val="lgy-"/>
              <w:rPr>
                <w:rFonts w:eastAsia="宋体"/>
              </w:rPr>
            </w:pPr>
            <w:r w:rsidRPr="002B55E9">
              <w:rPr>
                <w:rFonts w:eastAsia="宋体"/>
              </w:rPr>
              <w:t>有组织排放（</w:t>
            </w:r>
            <w:r w:rsidRPr="002B55E9">
              <w:rPr>
                <w:rFonts w:eastAsia="宋体"/>
              </w:rPr>
              <w:t>DA002</w:t>
            </w:r>
            <w:r w:rsidRPr="002B55E9">
              <w:rPr>
                <w:rFonts w:eastAsia="宋体"/>
              </w:rPr>
              <w:t>）</w:t>
            </w:r>
          </w:p>
        </w:tc>
      </w:tr>
      <w:tr w:rsidR="002B55E9" w:rsidRPr="002B55E9" w14:paraId="1320E3F3" w14:textId="77777777" w:rsidTr="00FC2731">
        <w:trPr>
          <w:trHeight w:val="283"/>
        </w:trPr>
        <w:tc>
          <w:tcPr>
            <w:tcW w:w="416" w:type="dxa"/>
            <w:vMerge/>
          </w:tcPr>
          <w:p w14:paraId="1122D031" w14:textId="77777777" w:rsidR="00D170E5" w:rsidRPr="002B55E9" w:rsidRDefault="00D170E5" w:rsidP="00FC2731">
            <w:pPr>
              <w:pStyle w:val="lgy-"/>
              <w:rPr>
                <w:rFonts w:eastAsia="宋体"/>
              </w:rPr>
            </w:pPr>
          </w:p>
        </w:tc>
        <w:tc>
          <w:tcPr>
            <w:tcW w:w="546" w:type="dxa"/>
            <w:vMerge/>
          </w:tcPr>
          <w:p w14:paraId="7F999DAC" w14:textId="77777777" w:rsidR="00D170E5" w:rsidRPr="002B55E9" w:rsidRDefault="00D170E5" w:rsidP="00FC2731">
            <w:pPr>
              <w:pStyle w:val="lgy-"/>
              <w:rPr>
                <w:rFonts w:eastAsia="宋体"/>
              </w:rPr>
            </w:pPr>
          </w:p>
        </w:tc>
        <w:tc>
          <w:tcPr>
            <w:tcW w:w="1217" w:type="dxa"/>
          </w:tcPr>
          <w:p w14:paraId="4342C054" w14:textId="77777777" w:rsidR="00D170E5" w:rsidRPr="002B55E9" w:rsidRDefault="00EF27AD" w:rsidP="00FC2731">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936" w:type="dxa"/>
          </w:tcPr>
          <w:p w14:paraId="72D91F45" w14:textId="77777777" w:rsidR="00D170E5" w:rsidRPr="002B55E9" w:rsidRDefault="00EF27AD" w:rsidP="00FC2731">
            <w:pPr>
              <w:pStyle w:val="lgy-"/>
              <w:rPr>
                <w:rFonts w:eastAsia="宋体"/>
              </w:rPr>
            </w:pPr>
            <w:r w:rsidRPr="002B55E9">
              <w:rPr>
                <w:rFonts w:eastAsia="宋体"/>
              </w:rPr>
              <w:t>产生速率（</w:t>
            </w:r>
            <w:r w:rsidRPr="002B55E9">
              <w:rPr>
                <w:rFonts w:eastAsia="宋体"/>
              </w:rPr>
              <w:t>kg/h)</w:t>
            </w:r>
          </w:p>
        </w:tc>
        <w:tc>
          <w:tcPr>
            <w:tcW w:w="654" w:type="dxa"/>
          </w:tcPr>
          <w:p w14:paraId="0E918238" w14:textId="77777777" w:rsidR="00D170E5" w:rsidRPr="002B55E9" w:rsidRDefault="00EF27AD" w:rsidP="00FC2731">
            <w:pPr>
              <w:pStyle w:val="lgy-"/>
              <w:rPr>
                <w:rFonts w:eastAsia="宋体"/>
              </w:rPr>
            </w:pPr>
            <w:r w:rsidRPr="002B55E9">
              <w:rPr>
                <w:rFonts w:eastAsia="宋体"/>
              </w:rPr>
              <w:t>产生量</w:t>
            </w:r>
            <w:r w:rsidRPr="002B55E9">
              <w:rPr>
                <w:rFonts w:eastAsia="宋体"/>
              </w:rPr>
              <w:t>(t/a)</w:t>
            </w:r>
          </w:p>
        </w:tc>
        <w:tc>
          <w:tcPr>
            <w:tcW w:w="1051" w:type="dxa"/>
          </w:tcPr>
          <w:p w14:paraId="7F3D6466" w14:textId="77777777" w:rsidR="00D170E5" w:rsidRPr="002B55E9" w:rsidRDefault="00EF27AD" w:rsidP="00FC2731">
            <w:pPr>
              <w:pStyle w:val="lgy-"/>
              <w:rPr>
                <w:rFonts w:eastAsia="宋体"/>
              </w:rPr>
            </w:pPr>
            <w:r w:rsidRPr="002B55E9">
              <w:rPr>
                <w:rFonts w:eastAsia="宋体" w:hint="eastAsia"/>
              </w:rPr>
              <w:t>收集方式</w:t>
            </w:r>
          </w:p>
        </w:tc>
        <w:tc>
          <w:tcPr>
            <w:tcW w:w="991" w:type="dxa"/>
          </w:tcPr>
          <w:p w14:paraId="714196E3" w14:textId="77777777" w:rsidR="00D170E5" w:rsidRPr="002B55E9" w:rsidRDefault="00EF27AD" w:rsidP="00FC2731">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621" w:type="dxa"/>
          </w:tcPr>
          <w:p w14:paraId="7C4669CA" w14:textId="77777777" w:rsidR="00D170E5" w:rsidRPr="002B55E9" w:rsidRDefault="00EF27AD" w:rsidP="00FC2731">
            <w:pPr>
              <w:pStyle w:val="lgy-"/>
              <w:rPr>
                <w:rFonts w:eastAsia="宋体"/>
              </w:rPr>
            </w:pPr>
            <w:r w:rsidRPr="002B55E9">
              <w:rPr>
                <w:rFonts w:eastAsia="宋体"/>
              </w:rPr>
              <w:t>工艺</w:t>
            </w:r>
          </w:p>
        </w:tc>
        <w:tc>
          <w:tcPr>
            <w:tcW w:w="399" w:type="dxa"/>
          </w:tcPr>
          <w:p w14:paraId="345556CE" w14:textId="77777777" w:rsidR="00D170E5" w:rsidRPr="002B55E9" w:rsidRDefault="00EF27AD" w:rsidP="00FC2731">
            <w:pPr>
              <w:pStyle w:val="lgy-"/>
              <w:rPr>
                <w:rFonts w:eastAsia="宋体"/>
              </w:rPr>
            </w:pPr>
            <w:r w:rsidRPr="002B55E9">
              <w:rPr>
                <w:rFonts w:eastAsia="宋体"/>
              </w:rPr>
              <w:t>效率</w:t>
            </w:r>
          </w:p>
        </w:tc>
        <w:tc>
          <w:tcPr>
            <w:tcW w:w="1217" w:type="dxa"/>
          </w:tcPr>
          <w:p w14:paraId="48EFF061" w14:textId="77777777" w:rsidR="00D170E5" w:rsidRPr="002B55E9" w:rsidRDefault="00EF27AD" w:rsidP="00FC2731">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936" w:type="dxa"/>
          </w:tcPr>
          <w:p w14:paraId="37E5A762" w14:textId="77777777" w:rsidR="00D170E5" w:rsidRPr="002B55E9" w:rsidRDefault="00EF27AD" w:rsidP="00FC2731">
            <w:pPr>
              <w:pStyle w:val="lgy-"/>
              <w:rPr>
                <w:rFonts w:eastAsia="宋体"/>
              </w:rPr>
            </w:pPr>
            <w:r w:rsidRPr="002B55E9">
              <w:rPr>
                <w:rFonts w:eastAsia="宋体"/>
              </w:rPr>
              <w:t>排放速率（</w:t>
            </w:r>
            <w:r w:rsidRPr="002B55E9">
              <w:rPr>
                <w:rFonts w:eastAsia="宋体"/>
              </w:rPr>
              <w:t>kg/h)</w:t>
            </w:r>
          </w:p>
        </w:tc>
        <w:tc>
          <w:tcPr>
            <w:tcW w:w="654" w:type="dxa"/>
          </w:tcPr>
          <w:p w14:paraId="005334E5" w14:textId="77777777" w:rsidR="00D170E5" w:rsidRPr="002B55E9" w:rsidRDefault="00EF27AD" w:rsidP="00FC2731">
            <w:pPr>
              <w:pStyle w:val="lgy-"/>
              <w:rPr>
                <w:rFonts w:eastAsia="宋体"/>
              </w:rPr>
            </w:pPr>
            <w:r w:rsidRPr="002B55E9">
              <w:rPr>
                <w:rFonts w:eastAsia="宋体"/>
              </w:rPr>
              <w:t>排放量</w:t>
            </w:r>
            <w:r w:rsidRPr="002B55E9">
              <w:rPr>
                <w:rFonts w:eastAsia="宋体"/>
              </w:rPr>
              <w:t>(t/a)</w:t>
            </w:r>
          </w:p>
        </w:tc>
      </w:tr>
      <w:tr w:rsidR="002B55E9" w:rsidRPr="002B55E9" w14:paraId="1C29B93A" w14:textId="77777777" w:rsidTr="00FC2731">
        <w:trPr>
          <w:trHeight w:val="283"/>
        </w:trPr>
        <w:tc>
          <w:tcPr>
            <w:tcW w:w="416" w:type="dxa"/>
            <w:vMerge w:val="restart"/>
            <w:noWrap/>
          </w:tcPr>
          <w:p w14:paraId="6FD5A1F0" w14:textId="77777777" w:rsidR="00FC2731" w:rsidRPr="002B55E9" w:rsidRDefault="00FC2731" w:rsidP="00FC2731">
            <w:pPr>
              <w:pStyle w:val="lgy-"/>
              <w:rPr>
                <w:rFonts w:eastAsia="宋体"/>
              </w:rPr>
            </w:pPr>
            <w:r w:rsidRPr="002B55E9">
              <w:rPr>
                <w:rFonts w:eastAsia="宋体"/>
              </w:rPr>
              <w:t>醋酸</w:t>
            </w:r>
          </w:p>
          <w:p w14:paraId="71B27963" w14:textId="77777777" w:rsidR="00FC2731" w:rsidRPr="002B55E9" w:rsidRDefault="00FC2731" w:rsidP="00FC2731">
            <w:pPr>
              <w:pStyle w:val="lgy-"/>
              <w:rPr>
                <w:rFonts w:eastAsia="宋体"/>
              </w:rPr>
            </w:pPr>
            <w:r w:rsidRPr="002B55E9">
              <w:rPr>
                <w:rFonts w:eastAsia="宋体"/>
              </w:rPr>
              <w:t>发酵</w:t>
            </w:r>
          </w:p>
        </w:tc>
        <w:tc>
          <w:tcPr>
            <w:tcW w:w="546" w:type="dxa"/>
          </w:tcPr>
          <w:p w14:paraId="66E7D176" w14:textId="7EEA6FCD" w:rsidR="00FC2731" w:rsidRPr="002B55E9" w:rsidRDefault="00FC2731" w:rsidP="00FC2731">
            <w:pPr>
              <w:pStyle w:val="lgy-"/>
              <w:rPr>
                <w:rFonts w:eastAsia="宋体"/>
              </w:rPr>
            </w:pPr>
            <w:r w:rsidRPr="002B55E9">
              <w:rPr>
                <w:rFonts w:eastAsia="宋体"/>
              </w:rPr>
              <w:t>非甲烷总烃</w:t>
            </w:r>
          </w:p>
        </w:tc>
        <w:tc>
          <w:tcPr>
            <w:tcW w:w="1217" w:type="dxa"/>
          </w:tcPr>
          <w:p w14:paraId="665B7781" w14:textId="1B7284D1" w:rsidR="00FC2731" w:rsidRPr="002B55E9" w:rsidRDefault="00FC2731" w:rsidP="00FC2731">
            <w:pPr>
              <w:pStyle w:val="lgy-"/>
              <w:rPr>
                <w:rFonts w:eastAsia="宋体"/>
              </w:rPr>
            </w:pPr>
            <w:r w:rsidRPr="002B55E9">
              <w:rPr>
                <w:rFonts w:eastAsia="宋体"/>
              </w:rPr>
              <w:t>195.47</w:t>
            </w:r>
          </w:p>
        </w:tc>
        <w:tc>
          <w:tcPr>
            <w:tcW w:w="936" w:type="dxa"/>
          </w:tcPr>
          <w:p w14:paraId="5E046F52" w14:textId="1AE1ABCE" w:rsidR="00FC2731" w:rsidRPr="002B55E9" w:rsidRDefault="00FC2731" w:rsidP="00FC2731">
            <w:pPr>
              <w:pStyle w:val="lgy-"/>
              <w:rPr>
                <w:rFonts w:eastAsia="宋体"/>
              </w:rPr>
            </w:pPr>
            <w:r w:rsidRPr="002B55E9">
              <w:rPr>
                <w:rFonts w:eastAsia="宋体"/>
              </w:rPr>
              <w:t>1.271</w:t>
            </w:r>
          </w:p>
        </w:tc>
        <w:tc>
          <w:tcPr>
            <w:tcW w:w="654" w:type="dxa"/>
          </w:tcPr>
          <w:p w14:paraId="6B2F865C" w14:textId="3C3B04EB" w:rsidR="00FC2731" w:rsidRPr="002B55E9" w:rsidRDefault="00FC2731" w:rsidP="00FC2731">
            <w:pPr>
              <w:pStyle w:val="lgy-"/>
              <w:rPr>
                <w:rFonts w:eastAsia="宋体"/>
              </w:rPr>
            </w:pPr>
            <w:r w:rsidRPr="002B55E9">
              <w:rPr>
                <w:rFonts w:eastAsia="宋体"/>
              </w:rPr>
              <w:t>9.475</w:t>
            </w:r>
          </w:p>
        </w:tc>
        <w:tc>
          <w:tcPr>
            <w:tcW w:w="1051" w:type="dxa"/>
            <w:vMerge w:val="restart"/>
          </w:tcPr>
          <w:p w14:paraId="19427501" w14:textId="77777777" w:rsidR="00FC2731" w:rsidRPr="002B55E9" w:rsidRDefault="00FC2731" w:rsidP="00FC2731">
            <w:pPr>
              <w:pStyle w:val="lgy-"/>
              <w:rPr>
                <w:rFonts w:eastAsia="宋体"/>
              </w:rPr>
            </w:pPr>
            <w:r w:rsidRPr="002B55E9">
              <w:rPr>
                <w:rFonts w:eastAsia="宋体" w:hint="eastAsia"/>
              </w:rPr>
              <w:t>密闭管道</w:t>
            </w:r>
            <w:r w:rsidRPr="002B55E9">
              <w:rPr>
                <w:rFonts w:eastAsia="宋体"/>
              </w:rPr>
              <w:t>，效率</w:t>
            </w:r>
            <w:r w:rsidRPr="002B55E9">
              <w:rPr>
                <w:rFonts w:eastAsia="宋体"/>
              </w:rPr>
              <w:t>100%</w:t>
            </w:r>
          </w:p>
        </w:tc>
        <w:tc>
          <w:tcPr>
            <w:tcW w:w="991" w:type="dxa"/>
            <w:vMerge w:val="restart"/>
          </w:tcPr>
          <w:p w14:paraId="258F6B53" w14:textId="77777777" w:rsidR="00FC2731" w:rsidRPr="002B55E9" w:rsidRDefault="00FC2731" w:rsidP="00FC2731">
            <w:pPr>
              <w:pStyle w:val="lgy-"/>
              <w:rPr>
                <w:rFonts w:eastAsia="宋体"/>
              </w:rPr>
            </w:pPr>
            <w:r w:rsidRPr="002B55E9">
              <w:rPr>
                <w:rFonts w:eastAsia="宋体"/>
              </w:rPr>
              <w:t>6500</w:t>
            </w:r>
          </w:p>
        </w:tc>
        <w:tc>
          <w:tcPr>
            <w:tcW w:w="621" w:type="dxa"/>
            <w:vMerge w:val="restart"/>
          </w:tcPr>
          <w:p w14:paraId="0A151F54" w14:textId="056E9269" w:rsidR="00FC2731" w:rsidRPr="002B55E9" w:rsidRDefault="00FC2731" w:rsidP="00FC2731">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399" w:type="dxa"/>
          </w:tcPr>
          <w:p w14:paraId="675F9AA0" w14:textId="6EC80D90" w:rsidR="00FC2731" w:rsidRPr="002B55E9" w:rsidRDefault="00FC2731" w:rsidP="00FC2731">
            <w:pPr>
              <w:pStyle w:val="lgy-"/>
              <w:rPr>
                <w:rFonts w:eastAsia="宋体"/>
              </w:rPr>
            </w:pPr>
            <w:r w:rsidRPr="002B55E9">
              <w:rPr>
                <w:rFonts w:eastAsia="宋体"/>
              </w:rPr>
              <w:t>85%</w:t>
            </w:r>
          </w:p>
        </w:tc>
        <w:tc>
          <w:tcPr>
            <w:tcW w:w="1217" w:type="dxa"/>
          </w:tcPr>
          <w:p w14:paraId="59BBE668" w14:textId="7CA6DD65" w:rsidR="00FC2731" w:rsidRPr="002B55E9" w:rsidRDefault="00FC2731" w:rsidP="00FC2731">
            <w:pPr>
              <w:pStyle w:val="lgy-"/>
              <w:rPr>
                <w:rFonts w:eastAsia="宋体"/>
              </w:rPr>
            </w:pPr>
            <w:r w:rsidRPr="002B55E9">
              <w:rPr>
                <w:rFonts w:eastAsia="宋体"/>
              </w:rPr>
              <w:t>29.32</w:t>
            </w:r>
          </w:p>
        </w:tc>
        <w:tc>
          <w:tcPr>
            <w:tcW w:w="936" w:type="dxa"/>
          </w:tcPr>
          <w:p w14:paraId="18830E68" w14:textId="1332F24A" w:rsidR="00FC2731" w:rsidRPr="002B55E9" w:rsidRDefault="00FC2731" w:rsidP="00FC2731">
            <w:pPr>
              <w:pStyle w:val="lgy-"/>
              <w:rPr>
                <w:rFonts w:eastAsia="宋体"/>
              </w:rPr>
            </w:pPr>
            <w:r w:rsidRPr="002B55E9">
              <w:rPr>
                <w:rFonts w:eastAsia="宋体"/>
              </w:rPr>
              <w:t>0.191</w:t>
            </w:r>
          </w:p>
        </w:tc>
        <w:tc>
          <w:tcPr>
            <w:tcW w:w="654" w:type="dxa"/>
          </w:tcPr>
          <w:p w14:paraId="76CC7176" w14:textId="3C057552" w:rsidR="00FC2731" w:rsidRPr="002B55E9" w:rsidRDefault="00FC2731" w:rsidP="00FC2731">
            <w:pPr>
              <w:pStyle w:val="lgy-"/>
              <w:rPr>
                <w:rFonts w:eastAsia="宋体"/>
              </w:rPr>
            </w:pPr>
            <w:r w:rsidRPr="002B55E9">
              <w:rPr>
                <w:rFonts w:eastAsia="宋体"/>
              </w:rPr>
              <w:t>1.421</w:t>
            </w:r>
          </w:p>
        </w:tc>
      </w:tr>
      <w:tr w:rsidR="002B55E9" w:rsidRPr="002B55E9" w14:paraId="7D69BD6E" w14:textId="77777777" w:rsidTr="00FC2731">
        <w:trPr>
          <w:trHeight w:val="283"/>
        </w:trPr>
        <w:tc>
          <w:tcPr>
            <w:tcW w:w="416" w:type="dxa"/>
            <w:vMerge/>
            <w:noWrap/>
          </w:tcPr>
          <w:p w14:paraId="16328D70" w14:textId="77777777" w:rsidR="00FC2731" w:rsidRPr="002B55E9" w:rsidRDefault="00FC2731" w:rsidP="00FC2731">
            <w:pPr>
              <w:pStyle w:val="lgy-"/>
              <w:rPr>
                <w:rFonts w:eastAsia="宋体"/>
              </w:rPr>
            </w:pPr>
          </w:p>
        </w:tc>
        <w:tc>
          <w:tcPr>
            <w:tcW w:w="546" w:type="dxa"/>
          </w:tcPr>
          <w:p w14:paraId="2C68B072" w14:textId="771D20AA" w:rsidR="00FC2731" w:rsidRPr="002B55E9" w:rsidRDefault="00FC2731" w:rsidP="00FC2731">
            <w:pPr>
              <w:pStyle w:val="lgy-"/>
              <w:rPr>
                <w:rFonts w:eastAsia="宋体"/>
              </w:rPr>
            </w:pPr>
            <w:r w:rsidRPr="002B55E9">
              <w:rPr>
                <w:rFonts w:eastAsia="宋体" w:hint="eastAsia"/>
              </w:rPr>
              <w:t>臭气浓度</w:t>
            </w:r>
          </w:p>
        </w:tc>
        <w:tc>
          <w:tcPr>
            <w:tcW w:w="1217" w:type="dxa"/>
          </w:tcPr>
          <w:p w14:paraId="4745C614" w14:textId="337B1132" w:rsidR="00FC2731" w:rsidRPr="002B55E9" w:rsidRDefault="00FC2731" w:rsidP="00FC2731">
            <w:pPr>
              <w:pStyle w:val="lgy-"/>
              <w:rPr>
                <w:rFonts w:eastAsia="宋体"/>
              </w:rPr>
            </w:pPr>
            <w:r w:rsidRPr="002B55E9">
              <w:rPr>
                <w:rFonts w:eastAsia="宋体" w:hint="eastAsia"/>
              </w:rPr>
              <w:t>/</w:t>
            </w:r>
          </w:p>
        </w:tc>
        <w:tc>
          <w:tcPr>
            <w:tcW w:w="936" w:type="dxa"/>
          </w:tcPr>
          <w:p w14:paraId="5ACCBDBD" w14:textId="134F7353" w:rsidR="00FC2731" w:rsidRPr="002B55E9" w:rsidRDefault="00FC2731" w:rsidP="00FC2731">
            <w:pPr>
              <w:pStyle w:val="lgy-"/>
              <w:rPr>
                <w:rFonts w:eastAsia="宋体"/>
              </w:rPr>
            </w:pPr>
            <w:r w:rsidRPr="002B55E9">
              <w:rPr>
                <w:rFonts w:eastAsia="宋体" w:hint="eastAsia"/>
              </w:rPr>
              <w:t>/</w:t>
            </w:r>
          </w:p>
        </w:tc>
        <w:tc>
          <w:tcPr>
            <w:tcW w:w="654" w:type="dxa"/>
          </w:tcPr>
          <w:p w14:paraId="7B97D8A5" w14:textId="6A07E78E" w:rsidR="00FC2731" w:rsidRPr="002B55E9" w:rsidRDefault="00FC2731" w:rsidP="00FC2731">
            <w:pPr>
              <w:pStyle w:val="lgy-"/>
              <w:rPr>
                <w:rFonts w:eastAsia="宋体"/>
              </w:rPr>
            </w:pPr>
            <w:r w:rsidRPr="002B55E9">
              <w:rPr>
                <w:rFonts w:eastAsia="宋体" w:hint="eastAsia"/>
              </w:rPr>
              <w:t>/</w:t>
            </w:r>
          </w:p>
        </w:tc>
        <w:tc>
          <w:tcPr>
            <w:tcW w:w="1051" w:type="dxa"/>
            <w:vMerge/>
          </w:tcPr>
          <w:p w14:paraId="0B5F1BBE" w14:textId="77777777" w:rsidR="00FC2731" w:rsidRPr="002B55E9" w:rsidRDefault="00FC2731" w:rsidP="00FC2731">
            <w:pPr>
              <w:pStyle w:val="lgy-"/>
              <w:rPr>
                <w:rFonts w:eastAsia="宋体"/>
              </w:rPr>
            </w:pPr>
          </w:p>
        </w:tc>
        <w:tc>
          <w:tcPr>
            <w:tcW w:w="991" w:type="dxa"/>
            <w:vMerge/>
          </w:tcPr>
          <w:p w14:paraId="5AB80DC8" w14:textId="77777777" w:rsidR="00FC2731" w:rsidRPr="002B55E9" w:rsidRDefault="00FC2731" w:rsidP="00FC2731">
            <w:pPr>
              <w:pStyle w:val="lgy-"/>
              <w:rPr>
                <w:rFonts w:eastAsia="宋体"/>
              </w:rPr>
            </w:pPr>
          </w:p>
        </w:tc>
        <w:tc>
          <w:tcPr>
            <w:tcW w:w="621" w:type="dxa"/>
            <w:vMerge/>
          </w:tcPr>
          <w:p w14:paraId="61F58F9D" w14:textId="77777777" w:rsidR="00FC2731" w:rsidRPr="002B55E9" w:rsidRDefault="00FC2731" w:rsidP="00FC2731">
            <w:pPr>
              <w:pStyle w:val="lgy-"/>
              <w:rPr>
                <w:rFonts w:eastAsia="宋体"/>
              </w:rPr>
            </w:pPr>
          </w:p>
        </w:tc>
        <w:tc>
          <w:tcPr>
            <w:tcW w:w="399" w:type="dxa"/>
          </w:tcPr>
          <w:p w14:paraId="249371B3" w14:textId="4C4B1976" w:rsidR="00FC2731" w:rsidRPr="002B55E9" w:rsidRDefault="00FC2731" w:rsidP="00FC2731">
            <w:pPr>
              <w:pStyle w:val="lgy-"/>
              <w:rPr>
                <w:rFonts w:eastAsia="宋体"/>
              </w:rPr>
            </w:pPr>
            <w:r w:rsidRPr="002B55E9">
              <w:rPr>
                <w:rFonts w:eastAsia="宋体" w:hint="eastAsia"/>
              </w:rPr>
              <w:t>/</w:t>
            </w:r>
          </w:p>
        </w:tc>
        <w:tc>
          <w:tcPr>
            <w:tcW w:w="1217" w:type="dxa"/>
          </w:tcPr>
          <w:p w14:paraId="477D9693" w14:textId="013C3765" w:rsidR="00FC2731" w:rsidRPr="002B55E9" w:rsidRDefault="00356552" w:rsidP="00FC2731">
            <w:pPr>
              <w:pStyle w:val="lgy-"/>
              <w:rPr>
                <w:rFonts w:eastAsia="宋体"/>
              </w:rPr>
            </w:pPr>
            <w:r w:rsidRPr="002B55E9">
              <w:rPr>
                <w:rFonts w:eastAsia="宋体" w:hint="eastAsia"/>
              </w:rPr>
              <w:t>＜</w:t>
            </w:r>
            <w:r w:rsidRPr="002B55E9">
              <w:rPr>
                <w:rFonts w:eastAsia="宋体" w:hint="eastAsia"/>
              </w:rPr>
              <w:t>2000</w:t>
            </w:r>
            <w:r w:rsidRPr="002B55E9">
              <w:rPr>
                <w:rFonts w:eastAsia="宋体" w:hint="eastAsia"/>
              </w:rPr>
              <w:t>（无量纲）</w:t>
            </w:r>
          </w:p>
        </w:tc>
        <w:tc>
          <w:tcPr>
            <w:tcW w:w="936" w:type="dxa"/>
          </w:tcPr>
          <w:p w14:paraId="3806683C" w14:textId="7F1CC06D" w:rsidR="00FC2731" w:rsidRPr="002B55E9" w:rsidRDefault="00FC2731" w:rsidP="00FC2731">
            <w:pPr>
              <w:pStyle w:val="lgy-"/>
              <w:rPr>
                <w:rFonts w:eastAsia="宋体"/>
              </w:rPr>
            </w:pPr>
            <w:r w:rsidRPr="002B55E9">
              <w:rPr>
                <w:rFonts w:eastAsia="宋体" w:hint="eastAsia"/>
              </w:rPr>
              <w:t>/</w:t>
            </w:r>
          </w:p>
        </w:tc>
        <w:tc>
          <w:tcPr>
            <w:tcW w:w="654" w:type="dxa"/>
          </w:tcPr>
          <w:p w14:paraId="68D98FAD" w14:textId="0D0F2517" w:rsidR="00FC2731" w:rsidRPr="002B55E9" w:rsidRDefault="00FC2731" w:rsidP="00FC2731">
            <w:pPr>
              <w:pStyle w:val="lgy-"/>
              <w:rPr>
                <w:rFonts w:eastAsia="宋体"/>
              </w:rPr>
            </w:pPr>
            <w:r w:rsidRPr="002B55E9">
              <w:rPr>
                <w:rFonts w:eastAsia="宋体" w:hint="eastAsia"/>
              </w:rPr>
              <w:t>/</w:t>
            </w:r>
          </w:p>
        </w:tc>
      </w:tr>
    </w:tbl>
    <w:p w14:paraId="07B39534" w14:textId="77777777" w:rsidR="00D170E5" w:rsidRPr="002B55E9" w:rsidRDefault="00EF27AD">
      <w:pPr>
        <w:pStyle w:val="affff7"/>
        <w:snapToGrid w:val="0"/>
        <w:spacing w:after="0"/>
      </w:pPr>
      <w:r w:rsidRPr="002B55E9">
        <w:rPr>
          <w:rFonts w:hint="eastAsia"/>
        </w:rPr>
        <w:t>（</w:t>
      </w:r>
      <w:r w:rsidRPr="002B55E9">
        <w:t>4</w:t>
      </w:r>
      <w:r w:rsidRPr="002B55E9">
        <w:rPr>
          <w:rFonts w:hint="eastAsia"/>
        </w:rPr>
        <w:t>）白米醋</w:t>
      </w:r>
      <w:r w:rsidRPr="002B55E9">
        <w:t>生产</w:t>
      </w:r>
      <w:r w:rsidRPr="002B55E9">
        <w:rPr>
          <w:rFonts w:hint="eastAsia"/>
        </w:rPr>
        <w:t>工艺</w:t>
      </w:r>
      <w:r w:rsidRPr="002B55E9">
        <w:t>废气</w:t>
      </w:r>
      <w:r w:rsidRPr="002B55E9">
        <w:rPr>
          <w:rFonts w:hint="eastAsia"/>
        </w:rPr>
        <w:t>产排情况汇总</w:t>
      </w:r>
    </w:p>
    <w:p w14:paraId="0F6FA909" w14:textId="30CB8F12" w:rsidR="00D170E5" w:rsidRPr="002B55E9" w:rsidRDefault="00EF27AD">
      <w:pPr>
        <w:pStyle w:val="affff7"/>
        <w:snapToGrid w:val="0"/>
        <w:spacing w:after="0"/>
      </w:pPr>
      <w:r w:rsidRPr="002B55E9">
        <w:rPr>
          <w:rFonts w:hint="eastAsia"/>
        </w:rPr>
        <w:t>白米醋生产过程中的酒精发酵废气（</w:t>
      </w:r>
      <w:r w:rsidRPr="002B55E9">
        <w:rPr>
          <w:rFonts w:hint="eastAsia"/>
        </w:rPr>
        <w:t>G</w:t>
      </w:r>
      <w:r w:rsidRPr="002B55E9">
        <w:t>2-1</w:t>
      </w:r>
      <w:r w:rsidRPr="002B55E9">
        <w:rPr>
          <w:rFonts w:hint="eastAsia"/>
        </w:rPr>
        <w:t>）、酒液调配废气（</w:t>
      </w:r>
      <w:r w:rsidRPr="002B55E9">
        <w:rPr>
          <w:rFonts w:hint="eastAsia"/>
        </w:rPr>
        <w:t>G</w:t>
      </w:r>
      <w:r w:rsidRPr="002B55E9">
        <w:t>2-2</w:t>
      </w:r>
      <w:r w:rsidRPr="002B55E9">
        <w:rPr>
          <w:rFonts w:hint="eastAsia"/>
        </w:rPr>
        <w:t>）、醋酸发酵废气（</w:t>
      </w:r>
      <w:r w:rsidRPr="002B55E9">
        <w:rPr>
          <w:rFonts w:hint="eastAsia"/>
        </w:rPr>
        <w:t>G</w:t>
      </w:r>
      <w:r w:rsidRPr="002B55E9">
        <w:t>2-3</w:t>
      </w:r>
      <w:r w:rsidRPr="002B55E9">
        <w:rPr>
          <w:rFonts w:hint="eastAsia"/>
        </w:rPr>
        <w:t>）、混合工序投料废气（</w:t>
      </w:r>
      <w:r w:rsidRPr="002B55E9">
        <w:rPr>
          <w:rFonts w:hint="eastAsia"/>
        </w:rPr>
        <w:t>G</w:t>
      </w:r>
      <w:r w:rsidRPr="002B55E9">
        <w:t>2-4</w:t>
      </w:r>
      <w:r w:rsidRPr="002B55E9">
        <w:rPr>
          <w:rFonts w:hint="eastAsia"/>
        </w:rPr>
        <w:t>）经密闭管道收集后</w:t>
      </w:r>
      <w:r w:rsidRPr="002B55E9">
        <w:t>均</w:t>
      </w:r>
      <w:r w:rsidRPr="002B55E9">
        <w:rPr>
          <w:rFonts w:hint="eastAsia"/>
        </w:rPr>
        <w:t>汇入一套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装置处理后由</w:t>
      </w:r>
      <w:r w:rsidRPr="002B55E9">
        <w:rPr>
          <w:rFonts w:hint="eastAsia"/>
        </w:rPr>
        <w:t>18m</w:t>
      </w:r>
      <w:r w:rsidRPr="002B55E9">
        <w:rPr>
          <w:rFonts w:hint="eastAsia"/>
        </w:rPr>
        <w:t>高</w:t>
      </w:r>
      <w:r w:rsidRPr="002B55E9">
        <w:t>排气筒</w:t>
      </w:r>
      <w:r w:rsidRPr="002B55E9">
        <w:rPr>
          <w:rFonts w:hint="eastAsia"/>
        </w:rPr>
        <w:t>（</w:t>
      </w:r>
      <w:r w:rsidRPr="002B55E9">
        <w:rPr>
          <w:rFonts w:hint="eastAsia"/>
        </w:rPr>
        <w:t>D</w:t>
      </w:r>
      <w:r w:rsidRPr="002B55E9">
        <w:t>A002</w:t>
      </w:r>
      <w:r w:rsidRPr="002B55E9">
        <w:rPr>
          <w:rFonts w:hint="eastAsia"/>
        </w:rPr>
        <w:t>）</w:t>
      </w:r>
      <w:r w:rsidRPr="002B55E9">
        <w:t>排放</w:t>
      </w:r>
      <w:r w:rsidRPr="002B55E9">
        <w:rPr>
          <w:rFonts w:hint="eastAsia"/>
        </w:rPr>
        <w:t>，白米醋生产线废气产排情况如下表</w:t>
      </w:r>
      <w:r w:rsidRPr="002B55E9">
        <w:t>所示。</w:t>
      </w:r>
    </w:p>
    <w:p w14:paraId="49B47A23" w14:textId="77777777" w:rsidR="00D170E5" w:rsidRPr="002B55E9" w:rsidRDefault="00EF27AD">
      <w:pPr>
        <w:pStyle w:val="1f3"/>
        <w:spacing w:beforeLines="0" w:before="0"/>
      </w:pPr>
      <w:r w:rsidRPr="002B55E9">
        <w:rPr>
          <w:rFonts w:hint="eastAsia"/>
        </w:rPr>
        <w:lastRenderedPageBreak/>
        <w:t>表</w:t>
      </w:r>
      <w:r w:rsidRPr="002B55E9">
        <w:rPr>
          <w:rFonts w:hint="eastAsia"/>
        </w:rPr>
        <w:t>3</w:t>
      </w:r>
      <w:r w:rsidRPr="002B55E9">
        <w:t xml:space="preserve">-3-14  </w:t>
      </w:r>
      <w:r w:rsidRPr="002B55E9">
        <w:rPr>
          <w:rFonts w:hint="eastAsia"/>
        </w:rPr>
        <w:t>白米醋</w:t>
      </w:r>
      <w:r w:rsidRPr="002B55E9">
        <w:t>生产线</w:t>
      </w:r>
      <w:r w:rsidRPr="002B55E9">
        <w:rPr>
          <w:rFonts w:hint="eastAsia"/>
        </w:rPr>
        <w:t>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540"/>
        <w:gridCol w:w="616"/>
        <w:gridCol w:w="983"/>
        <w:gridCol w:w="892"/>
        <w:gridCol w:w="721"/>
        <w:gridCol w:w="519"/>
        <w:gridCol w:w="728"/>
        <w:gridCol w:w="703"/>
        <w:gridCol w:w="446"/>
        <w:gridCol w:w="360"/>
        <w:gridCol w:w="973"/>
        <w:gridCol w:w="973"/>
        <w:gridCol w:w="721"/>
        <w:gridCol w:w="519"/>
      </w:tblGrid>
      <w:tr w:rsidR="002B55E9" w:rsidRPr="002B55E9" w14:paraId="3861BC2F" w14:textId="77777777" w:rsidTr="00211B46">
        <w:trPr>
          <w:cnfStyle w:val="100000000000" w:firstRow="1" w:lastRow="0" w:firstColumn="0" w:lastColumn="0" w:oddVBand="0" w:evenVBand="0" w:oddHBand="0" w:evenHBand="0" w:firstRowFirstColumn="0" w:firstRowLastColumn="0" w:lastRowFirstColumn="0" w:lastRowLastColumn="0"/>
          <w:trHeight w:val="283"/>
        </w:trPr>
        <w:tc>
          <w:tcPr>
            <w:tcW w:w="538" w:type="dxa"/>
            <w:vMerge w:val="restart"/>
            <w:noWrap/>
          </w:tcPr>
          <w:p w14:paraId="2BBE6F93" w14:textId="77777777" w:rsidR="00FC2731" w:rsidRPr="002B55E9" w:rsidRDefault="00FC2731" w:rsidP="00FC2731">
            <w:pPr>
              <w:pStyle w:val="lgy-"/>
              <w:rPr>
                <w:rFonts w:eastAsia="宋体"/>
              </w:rPr>
            </w:pPr>
            <w:r w:rsidRPr="002B55E9">
              <w:rPr>
                <w:rFonts w:eastAsia="宋体" w:hint="eastAsia"/>
              </w:rPr>
              <w:t>排气筒</w:t>
            </w:r>
          </w:p>
          <w:p w14:paraId="43CB3298" w14:textId="77777777" w:rsidR="00FC2731" w:rsidRPr="002B55E9" w:rsidRDefault="00FC2731" w:rsidP="00FC2731">
            <w:pPr>
              <w:pStyle w:val="lgy-"/>
              <w:rPr>
                <w:rFonts w:eastAsia="宋体"/>
              </w:rPr>
            </w:pPr>
            <w:r w:rsidRPr="002B55E9">
              <w:rPr>
                <w:rFonts w:eastAsia="宋体"/>
              </w:rPr>
              <w:t>编号</w:t>
            </w:r>
          </w:p>
        </w:tc>
        <w:tc>
          <w:tcPr>
            <w:tcW w:w="612" w:type="dxa"/>
            <w:vMerge w:val="restart"/>
          </w:tcPr>
          <w:p w14:paraId="6560C30A" w14:textId="77777777" w:rsidR="00FC2731" w:rsidRPr="002B55E9" w:rsidRDefault="00FC2731" w:rsidP="00FC2731">
            <w:pPr>
              <w:pStyle w:val="lgy-"/>
              <w:rPr>
                <w:rFonts w:eastAsia="宋体"/>
              </w:rPr>
            </w:pPr>
            <w:r w:rsidRPr="002B55E9">
              <w:rPr>
                <w:rFonts w:eastAsia="宋体"/>
              </w:rPr>
              <w:t>产生环节</w:t>
            </w:r>
          </w:p>
        </w:tc>
        <w:tc>
          <w:tcPr>
            <w:tcW w:w="977" w:type="dxa"/>
            <w:vMerge w:val="restart"/>
          </w:tcPr>
          <w:p w14:paraId="4C273DF5" w14:textId="77777777" w:rsidR="00FC2731" w:rsidRPr="002B55E9" w:rsidRDefault="00FC2731" w:rsidP="00FC2731">
            <w:pPr>
              <w:pStyle w:val="lgy-"/>
              <w:rPr>
                <w:rFonts w:eastAsia="宋体"/>
              </w:rPr>
            </w:pPr>
            <w:r w:rsidRPr="002B55E9">
              <w:rPr>
                <w:rFonts w:eastAsia="宋体"/>
              </w:rPr>
              <w:t>污染物</w:t>
            </w:r>
          </w:p>
        </w:tc>
        <w:tc>
          <w:tcPr>
            <w:tcW w:w="2120" w:type="dxa"/>
            <w:gridSpan w:val="3"/>
          </w:tcPr>
          <w:p w14:paraId="1880CC5A" w14:textId="77777777" w:rsidR="00FC2731" w:rsidRPr="002B55E9" w:rsidRDefault="00FC2731" w:rsidP="00FC2731">
            <w:pPr>
              <w:pStyle w:val="lgy-"/>
              <w:rPr>
                <w:rFonts w:eastAsia="宋体"/>
              </w:rPr>
            </w:pPr>
            <w:r w:rsidRPr="002B55E9">
              <w:rPr>
                <w:rFonts w:eastAsia="宋体"/>
              </w:rPr>
              <w:t>污染物产生</w:t>
            </w:r>
          </w:p>
        </w:tc>
        <w:tc>
          <w:tcPr>
            <w:tcW w:w="1423" w:type="dxa"/>
            <w:gridSpan w:val="2"/>
          </w:tcPr>
          <w:p w14:paraId="202C6533" w14:textId="77777777" w:rsidR="00FC2731" w:rsidRPr="002B55E9" w:rsidRDefault="00FC2731" w:rsidP="00FC2731">
            <w:pPr>
              <w:pStyle w:val="lgy-"/>
              <w:rPr>
                <w:rFonts w:eastAsia="宋体"/>
              </w:rPr>
            </w:pPr>
            <w:r w:rsidRPr="002B55E9">
              <w:rPr>
                <w:rFonts w:eastAsia="宋体"/>
              </w:rPr>
              <w:t>废气收集</w:t>
            </w:r>
          </w:p>
        </w:tc>
        <w:tc>
          <w:tcPr>
            <w:tcW w:w="801" w:type="dxa"/>
            <w:gridSpan w:val="2"/>
          </w:tcPr>
          <w:p w14:paraId="62331A76" w14:textId="77777777" w:rsidR="00FC2731" w:rsidRPr="002B55E9" w:rsidRDefault="00FC2731" w:rsidP="00FC2731">
            <w:pPr>
              <w:pStyle w:val="lgy-"/>
              <w:rPr>
                <w:rFonts w:eastAsia="宋体"/>
              </w:rPr>
            </w:pPr>
            <w:r w:rsidRPr="002B55E9">
              <w:rPr>
                <w:rFonts w:eastAsia="宋体" w:hint="eastAsia"/>
              </w:rPr>
              <w:t>处理</w:t>
            </w:r>
            <w:r w:rsidRPr="002B55E9">
              <w:rPr>
                <w:rFonts w:eastAsia="宋体"/>
              </w:rPr>
              <w:t>措施</w:t>
            </w:r>
          </w:p>
        </w:tc>
        <w:tc>
          <w:tcPr>
            <w:tcW w:w="967" w:type="dxa"/>
          </w:tcPr>
          <w:p w14:paraId="396AAE8C" w14:textId="77777777" w:rsidR="00FC2731" w:rsidRPr="002B55E9" w:rsidRDefault="00FC2731" w:rsidP="00FC2731">
            <w:pPr>
              <w:pStyle w:val="lgy-"/>
              <w:rPr>
                <w:rFonts w:eastAsia="宋体"/>
              </w:rPr>
            </w:pPr>
          </w:p>
        </w:tc>
        <w:tc>
          <w:tcPr>
            <w:tcW w:w="2200" w:type="dxa"/>
            <w:gridSpan w:val="3"/>
          </w:tcPr>
          <w:p w14:paraId="5D8AFEE7" w14:textId="4A3048EE" w:rsidR="00FC2731" w:rsidRPr="002B55E9" w:rsidRDefault="00FC2731" w:rsidP="00FC2731">
            <w:pPr>
              <w:pStyle w:val="lgy-"/>
              <w:rPr>
                <w:rFonts w:eastAsia="宋体"/>
              </w:rPr>
            </w:pPr>
            <w:r w:rsidRPr="002B55E9">
              <w:rPr>
                <w:rFonts w:eastAsia="宋体"/>
              </w:rPr>
              <w:t>有组织排放</w:t>
            </w:r>
          </w:p>
        </w:tc>
      </w:tr>
      <w:tr w:rsidR="002B55E9" w:rsidRPr="002B55E9" w14:paraId="56FE2BC5" w14:textId="77777777" w:rsidTr="00211B46">
        <w:trPr>
          <w:trHeight w:val="283"/>
        </w:trPr>
        <w:tc>
          <w:tcPr>
            <w:tcW w:w="538" w:type="dxa"/>
            <w:vMerge/>
          </w:tcPr>
          <w:p w14:paraId="187D2FDE" w14:textId="77777777" w:rsidR="00FC2731" w:rsidRPr="002B55E9" w:rsidRDefault="00FC2731" w:rsidP="00FC2731">
            <w:pPr>
              <w:pStyle w:val="lgy-"/>
              <w:rPr>
                <w:rFonts w:eastAsia="宋体"/>
              </w:rPr>
            </w:pPr>
          </w:p>
        </w:tc>
        <w:tc>
          <w:tcPr>
            <w:tcW w:w="612" w:type="dxa"/>
            <w:vMerge/>
          </w:tcPr>
          <w:p w14:paraId="15A2147E" w14:textId="77777777" w:rsidR="00FC2731" w:rsidRPr="002B55E9" w:rsidRDefault="00FC2731" w:rsidP="00FC2731">
            <w:pPr>
              <w:pStyle w:val="lgy-"/>
              <w:rPr>
                <w:rFonts w:eastAsia="宋体"/>
              </w:rPr>
            </w:pPr>
          </w:p>
        </w:tc>
        <w:tc>
          <w:tcPr>
            <w:tcW w:w="977" w:type="dxa"/>
            <w:vMerge/>
          </w:tcPr>
          <w:p w14:paraId="05F8EC23" w14:textId="77777777" w:rsidR="00FC2731" w:rsidRPr="002B55E9" w:rsidRDefault="00FC2731" w:rsidP="00FC2731">
            <w:pPr>
              <w:pStyle w:val="lgy-"/>
              <w:rPr>
                <w:rFonts w:eastAsia="宋体"/>
              </w:rPr>
            </w:pPr>
          </w:p>
        </w:tc>
        <w:tc>
          <w:tcPr>
            <w:tcW w:w="887" w:type="dxa"/>
          </w:tcPr>
          <w:p w14:paraId="39879D55" w14:textId="77777777" w:rsidR="00FC2731" w:rsidRPr="002B55E9" w:rsidRDefault="00FC2731" w:rsidP="00FC2731">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717" w:type="dxa"/>
          </w:tcPr>
          <w:p w14:paraId="22AB9C93" w14:textId="77777777" w:rsidR="00FC2731" w:rsidRPr="002B55E9" w:rsidRDefault="00FC2731" w:rsidP="00FC2731">
            <w:pPr>
              <w:pStyle w:val="lgy-"/>
              <w:rPr>
                <w:rFonts w:eastAsia="宋体"/>
              </w:rPr>
            </w:pPr>
            <w:r w:rsidRPr="002B55E9">
              <w:rPr>
                <w:rFonts w:eastAsia="宋体"/>
              </w:rPr>
              <w:t>产生速率（</w:t>
            </w:r>
            <w:r w:rsidRPr="002B55E9">
              <w:rPr>
                <w:rFonts w:eastAsia="宋体"/>
              </w:rPr>
              <w:t>kg/h)</w:t>
            </w:r>
          </w:p>
        </w:tc>
        <w:tc>
          <w:tcPr>
            <w:tcW w:w="516" w:type="dxa"/>
          </w:tcPr>
          <w:p w14:paraId="2CA26CF3" w14:textId="77777777" w:rsidR="00FC2731" w:rsidRPr="002B55E9" w:rsidRDefault="00FC2731" w:rsidP="00FC2731">
            <w:pPr>
              <w:pStyle w:val="lgy-"/>
              <w:rPr>
                <w:rFonts w:eastAsia="宋体"/>
              </w:rPr>
            </w:pPr>
            <w:r w:rsidRPr="002B55E9">
              <w:rPr>
                <w:rFonts w:eastAsia="宋体"/>
              </w:rPr>
              <w:t>产生量</w:t>
            </w:r>
            <w:r w:rsidRPr="002B55E9">
              <w:rPr>
                <w:rFonts w:eastAsia="宋体"/>
              </w:rPr>
              <w:t>(t/a)</w:t>
            </w:r>
          </w:p>
        </w:tc>
        <w:tc>
          <w:tcPr>
            <w:tcW w:w="724" w:type="dxa"/>
          </w:tcPr>
          <w:p w14:paraId="6E3A6CEF" w14:textId="77777777" w:rsidR="00FC2731" w:rsidRPr="002B55E9" w:rsidRDefault="00FC2731" w:rsidP="00FC2731">
            <w:pPr>
              <w:pStyle w:val="lgy-"/>
              <w:rPr>
                <w:rFonts w:eastAsia="宋体"/>
              </w:rPr>
            </w:pPr>
            <w:r w:rsidRPr="002B55E9">
              <w:rPr>
                <w:rFonts w:eastAsia="宋体" w:hint="eastAsia"/>
              </w:rPr>
              <w:t>收集方式</w:t>
            </w:r>
          </w:p>
        </w:tc>
        <w:tc>
          <w:tcPr>
            <w:tcW w:w="699" w:type="dxa"/>
          </w:tcPr>
          <w:p w14:paraId="5271F1AD" w14:textId="77777777" w:rsidR="00FC2731" w:rsidRPr="002B55E9" w:rsidRDefault="00FC2731" w:rsidP="00FC2731">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443" w:type="dxa"/>
          </w:tcPr>
          <w:p w14:paraId="78516691" w14:textId="77777777" w:rsidR="00FC2731" w:rsidRPr="002B55E9" w:rsidRDefault="00FC2731" w:rsidP="00FC2731">
            <w:pPr>
              <w:pStyle w:val="lgy-"/>
              <w:rPr>
                <w:rFonts w:eastAsia="宋体"/>
              </w:rPr>
            </w:pPr>
            <w:r w:rsidRPr="002B55E9">
              <w:rPr>
                <w:rFonts w:eastAsia="宋体"/>
              </w:rPr>
              <w:t>工艺</w:t>
            </w:r>
          </w:p>
        </w:tc>
        <w:tc>
          <w:tcPr>
            <w:tcW w:w="358" w:type="dxa"/>
          </w:tcPr>
          <w:p w14:paraId="65D8B804" w14:textId="77777777" w:rsidR="00FC2731" w:rsidRPr="002B55E9" w:rsidRDefault="00FC2731" w:rsidP="00FC2731">
            <w:pPr>
              <w:pStyle w:val="lgy-"/>
              <w:rPr>
                <w:rFonts w:eastAsia="宋体"/>
              </w:rPr>
            </w:pPr>
            <w:r w:rsidRPr="002B55E9">
              <w:rPr>
                <w:rFonts w:eastAsia="宋体"/>
              </w:rPr>
              <w:t>效率</w:t>
            </w:r>
          </w:p>
        </w:tc>
        <w:tc>
          <w:tcPr>
            <w:tcW w:w="967" w:type="dxa"/>
          </w:tcPr>
          <w:p w14:paraId="267E170D" w14:textId="67ABA82D" w:rsidR="00FC2731" w:rsidRPr="002B55E9" w:rsidRDefault="00FC2731" w:rsidP="00FC2731">
            <w:pPr>
              <w:pStyle w:val="lgy-"/>
              <w:rPr>
                <w:rFonts w:eastAsia="宋体"/>
              </w:rPr>
            </w:pPr>
            <w:r w:rsidRPr="002B55E9">
              <w:rPr>
                <w:rFonts w:eastAsia="宋体" w:hint="eastAsia"/>
              </w:rPr>
              <w:t>污染物</w:t>
            </w:r>
          </w:p>
        </w:tc>
        <w:tc>
          <w:tcPr>
            <w:tcW w:w="967" w:type="dxa"/>
          </w:tcPr>
          <w:p w14:paraId="46186EA9" w14:textId="4CB713C4" w:rsidR="00FC2731" w:rsidRPr="002B55E9" w:rsidRDefault="00FC2731" w:rsidP="00FC2731">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717" w:type="dxa"/>
          </w:tcPr>
          <w:p w14:paraId="325A10E1" w14:textId="77777777" w:rsidR="00FC2731" w:rsidRPr="002B55E9" w:rsidRDefault="00FC2731" w:rsidP="00FC2731">
            <w:pPr>
              <w:pStyle w:val="lgy-"/>
              <w:rPr>
                <w:rFonts w:eastAsia="宋体"/>
              </w:rPr>
            </w:pPr>
            <w:r w:rsidRPr="002B55E9">
              <w:rPr>
                <w:rFonts w:eastAsia="宋体"/>
              </w:rPr>
              <w:t>排放速率（</w:t>
            </w:r>
            <w:r w:rsidRPr="002B55E9">
              <w:rPr>
                <w:rFonts w:eastAsia="宋体"/>
              </w:rPr>
              <w:t>kg/h)</w:t>
            </w:r>
          </w:p>
        </w:tc>
        <w:tc>
          <w:tcPr>
            <w:tcW w:w="516" w:type="dxa"/>
          </w:tcPr>
          <w:p w14:paraId="44464627" w14:textId="77777777" w:rsidR="00FC2731" w:rsidRPr="002B55E9" w:rsidRDefault="00FC2731" w:rsidP="00FC2731">
            <w:pPr>
              <w:pStyle w:val="lgy-"/>
              <w:rPr>
                <w:rFonts w:eastAsia="宋体"/>
              </w:rPr>
            </w:pPr>
            <w:r w:rsidRPr="002B55E9">
              <w:rPr>
                <w:rFonts w:eastAsia="宋体"/>
              </w:rPr>
              <w:t>排放量</w:t>
            </w:r>
            <w:r w:rsidRPr="002B55E9">
              <w:rPr>
                <w:rFonts w:eastAsia="宋体"/>
              </w:rPr>
              <w:t>(t/a)</w:t>
            </w:r>
          </w:p>
        </w:tc>
      </w:tr>
      <w:tr w:rsidR="002B55E9" w:rsidRPr="002B55E9" w14:paraId="6360E05B" w14:textId="77777777" w:rsidTr="00211B46">
        <w:trPr>
          <w:trHeight w:val="283"/>
        </w:trPr>
        <w:tc>
          <w:tcPr>
            <w:tcW w:w="538" w:type="dxa"/>
            <w:vMerge w:val="restart"/>
            <w:noWrap/>
          </w:tcPr>
          <w:p w14:paraId="6FE20A17" w14:textId="77777777" w:rsidR="00FC2731" w:rsidRPr="002B55E9" w:rsidRDefault="00FC2731" w:rsidP="00FC2731">
            <w:pPr>
              <w:pStyle w:val="lgy-"/>
              <w:rPr>
                <w:rFonts w:eastAsia="宋体"/>
              </w:rPr>
            </w:pPr>
            <w:r w:rsidRPr="002B55E9">
              <w:rPr>
                <w:rFonts w:eastAsia="宋体" w:hint="eastAsia"/>
              </w:rPr>
              <w:t>DA002</w:t>
            </w:r>
          </w:p>
        </w:tc>
        <w:tc>
          <w:tcPr>
            <w:tcW w:w="612" w:type="dxa"/>
            <w:vMerge w:val="restart"/>
          </w:tcPr>
          <w:p w14:paraId="4DAA1947" w14:textId="1ACF71ED" w:rsidR="00FC2731" w:rsidRPr="002B55E9" w:rsidRDefault="00FC2731" w:rsidP="00FC2731">
            <w:pPr>
              <w:pStyle w:val="lgy-"/>
              <w:rPr>
                <w:rFonts w:eastAsia="宋体"/>
              </w:rPr>
            </w:pPr>
            <w:r w:rsidRPr="002B55E9">
              <w:rPr>
                <w:rFonts w:eastAsia="宋体" w:hint="eastAsia"/>
              </w:rPr>
              <w:t>酒精发酵</w:t>
            </w:r>
          </w:p>
        </w:tc>
        <w:tc>
          <w:tcPr>
            <w:tcW w:w="977" w:type="dxa"/>
          </w:tcPr>
          <w:p w14:paraId="11989BA0" w14:textId="37BD211C" w:rsidR="00FC2731" w:rsidRPr="002B55E9" w:rsidRDefault="00FC2731" w:rsidP="00FC2731">
            <w:pPr>
              <w:pStyle w:val="lgy-"/>
              <w:rPr>
                <w:rFonts w:eastAsia="宋体"/>
              </w:rPr>
            </w:pPr>
            <w:r w:rsidRPr="002B55E9">
              <w:rPr>
                <w:rFonts w:eastAsia="宋体"/>
              </w:rPr>
              <w:t>非甲烷总烃</w:t>
            </w:r>
          </w:p>
        </w:tc>
        <w:tc>
          <w:tcPr>
            <w:tcW w:w="887" w:type="dxa"/>
          </w:tcPr>
          <w:p w14:paraId="26971302" w14:textId="68823F30" w:rsidR="00FC2731" w:rsidRPr="002B55E9" w:rsidRDefault="00FC2731" w:rsidP="00FC2731">
            <w:pPr>
              <w:pStyle w:val="lgy-"/>
              <w:rPr>
                <w:rFonts w:eastAsia="宋体"/>
              </w:rPr>
            </w:pPr>
            <w:r w:rsidRPr="002B55E9">
              <w:rPr>
                <w:rFonts w:eastAsia="宋体" w:hint="eastAsia"/>
              </w:rPr>
              <w:t>0.49</w:t>
            </w:r>
          </w:p>
        </w:tc>
        <w:tc>
          <w:tcPr>
            <w:tcW w:w="717" w:type="dxa"/>
          </w:tcPr>
          <w:p w14:paraId="0CC0EAF4" w14:textId="67BEF578" w:rsidR="00FC2731" w:rsidRPr="002B55E9" w:rsidRDefault="00FC2731" w:rsidP="00FC2731">
            <w:pPr>
              <w:pStyle w:val="lgy-"/>
              <w:rPr>
                <w:rFonts w:eastAsia="宋体"/>
              </w:rPr>
            </w:pPr>
            <w:r w:rsidRPr="002B55E9">
              <w:rPr>
                <w:rFonts w:eastAsia="宋体" w:hint="eastAsia"/>
              </w:rPr>
              <w:t>0.00</w:t>
            </w:r>
          </w:p>
        </w:tc>
        <w:tc>
          <w:tcPr>
            <w:tcW w:w="516" w:type="dxa"/>
          </w:tcPr>
          <w:p w14:paraId="60024118" w14:textId="23DBDF0D" w:rsidR="00FC2731" w:rsidRPr="002B55E9" w:rsidRDefault="00FC2731" w:rsidP="00FC2731">
            <w:pPr>
              <w:pStyle w:val="lgy-"/>
              <w:rPr>
                <w:rFonts w:eastAsia="宋体"/>
              </w:rPr>
            </w:pPr>
            <w:r w:rsidRPr="002B55E9">
              <w:rPr>
                <w:rFonts w:eastAsia="宋体" w:hint="eastAsia"/>
              </w:rPr>
              <w:t>0.01</w:t>
            </w:r>
          </w:p>
        </w:tc>
        <w:tc>
          <w:tcPr>
            <w:tcW w:w="724" w:type="dxa"/>
            <w:vMerge w:val="restart"/>
          </w:tcPr>
          <w:p w14:paraId="5188273C" w14:textId="77777777" w:rsidR="00FC2731" w:rsidRPr="002B55E9" w:rsidRDefault="00FC2731" w:rsidP="00FC2731">
            <w:pPr>
              <w:pStyle w:val="lgy-"/>
              <w:rPr>
                <w:rFonts w:eastAsia="宋体"/>
              </w:rPr>
            </w:pPr>
            <w:r w:rsidRPr="002B55E9">
              <w:rPr>
                <w:rFonts w:eastAsia="宋体" w:hint="eastAsia"/>
              </w:rPr>
              <w:t>密闭管道</w:t>
            </w:r>
            <w:r w:rsidRPr="002B55E9">
              <w:rPr>
                <w:rFonts w:eastAsia="宋体"/>
              </w:rPr>
              <w:t>，效率</w:t>
            </w:r>
            <w:r w:rsidRPr="002B55E9">
              <w:rPr>
                <w:rFonts w:eastAsia="宋体"/>
              </w:rPr>
              <w:t>100%</w:t>
            </w:r>
          </w:p>
        </w:tc>
        <w:tc>
          <w:tcPr>
            <w:tcW w:w="699" w:type="dxa"/>
            <w:vMerge w:val="restart"/>
          </w:tcPr>
          <w:p w14:paraId="6F5609C0" w14:textId="77777777" w:rsidR="00FC2731" w:rsidRPr="002B55E9" w:rsidRDefault="00FC2731" w:rsidP="00FC2731">
            <w:pPr>
              <w:pStyle w:val="lgy-"/>
              <w:rPr>
                <w:rFonts w:eastAsia="宋体"/>
              </w:rPr>
            </w:pPr>
            <w:r w:rsidRPr="002B55E9">
              <w:rPr>
                <w:rFonts w:eastAsia="宋体"/>
              </w:rPr>
              <w:t>6500</w:t>
            </w:r>
          </w:p>
        </w:tc>
        <w:tc>
          <w:tcPr>
            <w:tcW w:w="443" w:type="dxa"/>
            <w:vMerge w:val="restart"/>
          </w:tcPr>
          <w:p w14:paraId="52C10C9A" w14:textId="44AAF5EB" w:rsidR="00FC2731" w:rsidRPr="002B55E9" w:rsidRDefault="00FC2731" w:rsidP="00FC2731">
            <w:pPr>
              <w:pStyle w:val="lgy-"/>
              <w:rPr>
                <w:rFonts w:eastAsia="宋体"/>
              </w:rPr>
            </w:pPr>
            <w:r w:rsidRPr="002B55E9">
              <w:rPr>
                <w:rFonts w:eastAsia="宋体"/>
              </w:rPr>
              <w:t>二级碱喷淋</w:t>
            </w:r>
            <w:r w:rsidRPr="002B55E9">
              <w:rPr>
                <w:rFonts w:eastAsia="宋体"/>
              </w:rPr>
              <w:t>+</w:t>
            </w:r>
            <w:r w:rsidRPr="002B55E9">
              <w:rPr>
                <w:rFonts w:eastAsia="宋体"/>
              </w:rPr>
              <w:t>水喷淋</w:t>
            </w:r>
          </w:p>
        </w:tc>
        <w:tc>
          <w:tcPr>
            <w:tcW w:w="358" w:type="dxa"/>
            <w:vMerge w:val="restart"/>
          </w:tcPr>
          <w:p w14:paraId="530D418B" w14:textId="567BB114" w:rsidR="00FC2731" w:rsidRPr="002B55E9" w:rsidRDefault="00FC2731" w:rsidP="00FC2731">
            <w:pPr>
              <w:pStyle w:val="lgy-"/>
              <w:rPr>
                <w:rFonts w:eastAsia="宋体"/>
              </w:rPr>
            </w:pPr>
            <w:r w:rsidRPr="002B55E9">
              <w:rPr>
                <w:rFonts w:eastAsia="宋体"/>
              </w:rPr>
              <w:t>85%</w:t>
            </w:r>
          </w:p>
        </w:tc>
        <w:tc>
          <w:tcPr>
            <w:tcW w:w="967" w:type="dxa"/>
            <w:vMerge w:val="restart"/>
          </w:tcPr>
          <w:p w14:paraId="1AB731A2" w14:textId="1F900CE6" w:rsidR="00FC2731" w:rsidRPr="002B55E9" w:rsidRDefault="00FC2731" w:rsidP="00FC2731">
            <w:pPr>
              <w:pStyle w:val="lgy-"/>
              <w:rPr>
                <w:rFonts w:eastAsia="宋体"/>
              </w:rPr>
            </w:pPr>
            <w:r w:rsidRPr="002B55E9">
              <w:rPr>
                <w:rFonts w:eastAsia="宋体" w:hint="eastAsia"/>
              </w:rPr>
              <w:t>非甲烷总烃</w:t>
            </w:r>
          </w:p>
        </w:tc>
        <w:tc>
          <w:tcPr>
            <w:tcW w:w="967" w:type="dxa"/>
            <w:vMerge w:val="restart"/>
          </w:tcPr>
          <w:p w14:paraId="3E9843EB" w14:textId="4E472730" w:rsidR="00FC2731" w:rsidRPr="002B55E9" w:rsidRDefault="00FC2731" w:rsidP="00FC2731">
            <w:pPr>
              <w:pStyle w:val="lgy-"/>
              <w:rPr>
                <w:rFonts w:eastAsia="宋体"/>
              </w:rPr>
            </w:pPr>
            <w:r w:rsidRPr="002B55E9">
              <w:rPr>
                <w:rFonts w:eastAsia="宋体"/>
              </w:rPr>
              <w:t>32.29</w:t>
            </w:r>
          </w:p>
        </w:tc>
        <w:tc>
          <w:tcPr>
            <w:tcW w:w="717" w:type="dxa"/>
            <w:vMerge w:val="restart"/>
          </w:tcPr>
          <w:p w14:paraId="727260B7" w14:textId="3ED903C2" w:rsidR="00FC2731" w:rsidRPr="002B55E9" w:rsidRDefault="00FC2731" w:rsidP="00FC2731">
            <w:pPr>
              <w:pStyle w:val="lgy-"/>
              <w:rPr>
                <w:rFonts w:eastAsia="宋体"/>
              </w:rPr>
            </w:pPr>
            <w:r w:rsidRPr="002B55E9">
              <w:rPr>
                <w:rFonts w:eastAsia="宋体"/>
              </w:rPr>
              <w:t>0.210</w:t>
            </w:r>
          </w:p>
        </w:tc>
        <w:tc>
          <w:tcPr>
            <w:tcW w:w="516" w:type="dxa"/>
            <w:vMerge w:val="restart"/>
          </w:tcPr>
          <w:p w14:paraId="28F53E39" w14:textId="29B3F4AF" w:rsidR="00FC2731" w:rsidRPr="002B55E9" w:rsidRDefault="00FC2731" w:rsidP="00FC2731">
            <w:pPr>
              <w:pStyle w:val="lgy-"/>
              <w:rPr>
                <w:rFonts w:eastAsia="宋体"/>
              </w:rPr>
            </w:pPr>
            <w:r w:rsidRPr="002B55E9">
              <w:rPr>
                <w:rFonts w:eastAsia="宋体"/>
              </w:rPr>
              <w:t>1.486</w:t>
            </w:r>
          </w:p>
        </w:tc>
      </w:tr>
      <w:tr w:rsidR="002B55E9" w:rsidRPr="002B55E9" w14:paraId="3E01867F" w14:textId="77777777" w:rsidTr="00211B46">
        <w:trPr>
          <w:trHeight w:val="283"/>
        </w:trPr>
        <w:tc>
          <w:tcPr>
            <w:tcW w:w="538" w:type="dxa"/>
            <w:vMerge/>
            <w:noWrap/>
          </w:tcPr>
          <w:p w14:paraId="391396D2" w14:textId="77777777" w:rsidR="00FC2731" w:rsidRPr="002B55E9" w:rsidRDefault="00FC2731" w:rsidP="00FC2731">
            <w:pPr>
              <w:pStyle w:val="lgy-"/>
              <w:rPr>
                <w:rFonts w:eastAsia="宋体"/>
              </w:rPr>
            </w:pPr>
          </w:p>
        </w:tc>
        <w:tc>
          <w:tcPr>
            <w:tcW w:w="612" w:type="dxa"/>
            <w:vMerge/>
          </w:tcPr>
          <w:p w14:paraId="3F8DBF6B" w14:textId="77777777" w:rsidR="00FC2731" w:rsidRPr="002B55E9" w:rsidRDefault="00FC2731" w:rsidP="00FC2731">
            <w:pPr>
              <w:pStyle w:val="lgy-"/>
              <w:rPr>
                <w:rFonts w:eastAsia="宋体"/>
              </w:rPr>
            </w:pPr>
          </w:p>
        </w:tc>
        <w:tc>
          <w:tcPr>
            <w:tcW w:w="977" w:type="dxa"/>
          </w:tcPr>
          <w:p w14:paraId="3BF55080" w14:textId="4176C48F" w:rsidR="00FC2731" w:rsidRPr="002B55E9" w:rsidRDefault="00FC2731" w:rsidP="00FC2731">
            <w:pPr>
              <w:pStyle w:val="lgy-"/>
              <w:rPr>
                <w:rFonts w:eastAsia="宋体"/>
              </w:rPr>
            </w:pPr>
            <w:r w:rsidRPr="002B55E9">
              <w:rPr>
                <w:rFonts w:eastAsia="宋体" w:hint="eastAsia"/>
              </w:rPr>
              <w:t>臭气浓度</w:t>
            </w:r>
          </w:p>
        </w:tc>
        <w:tc>
          <w:tcPr>
            <w:tcW w:w="887" w:type="dxa"/>
          </w:tcPr>
          <w:p w14:paraId="4D1E162A" w14:textId="045F6B28" w:rsidR="00FC2731" w:rsidRPr="002B55E9" w:rsidRDefault="00FC2731" w:rsidP="00FC2731">
            <w:pPr>
              <w:pStyle w:val="lgy-"/>
              <w:rPr>
                <w:rFonts w:eastAsia="宋体"/>
              </w:rPr>
            </w:pPr>
            <w:r w:rsidRPr="002B55E9">
              <w:rPr>
                <w:rFonts w:eastAsia="宋体" w:hint="eastAsia"/>
              </w:rPr>
              <w:t>/</w:t>
            </w:r>
          </w:p>
        </w:tc>
        <w:tc>
          <w:tcPr>
            <w:tcW w:w="717" w:type="dxa"/>
          </w:tcPr>
          <w:p w14:paraId="16453708" w14:textId="5B9EA2C3" w:rsidR="00FC2731" w:rsidRPr="002B55E9" w:rsidRDefault="00FC2731" w:rsidP="00FC2731">
            <w:pPr>
              <w:pStyle w:val="lgy-"/>
              <w:rPr>
                <w:rFonts w:eastAsia="宋体"/>
              </w:rPr>
            </w:pPr>
            <w:r w:rsidRPr="002B55E9">
              <w:rPr>
                <w:rFonts w:eastAsia="宋体" w:hint="eastAsia"/>
              </w:rPr>
              <w:t>/</w:t>
            </w:r>
          </w:p>
        </w:tc>
        <w:tc>
          <w:tcPr>
            <w:tcW w:w="516" w:type="dxa"/>
          </w:tcPr>
          <w:p w14:paraId="785CE55A" w14:textId="6FD70CBF" w:rsidR="00FC2731" w:rsidRPr="002B55E9" w:rsidRDefault="00FC2731" w:rsidP="00FC2731">
            <w:pPr>
              <w:pStyle w:val="lgy-"/>
              <w:rPr>
                <w:rFonts w:eastAsia="宋体"/>
              </w:rPr>
            </w:pPr>
            <w:r w:rsidRPr="002B55E9">
              <w:rPr>
                <w:rFonts w:eastAsia="宋体" w:hint="eastAsia"/>
              </w:rPr>
              <w:t>/</w:t>
            </w:r>
          </w:p>
        </w:tc>
        <w:tc>
          <w:tcPr>
            <w:tcW w:w="724" w:type="dxa"/>
            <w:vMerge/>
          </w:tcPr>
          <w:p w14:paraId="1ED7976C" w14:textId="77777777" w:rsidR="00FC2731" w:rsidRPr="002B55E9" w:rsidRDefault="00FC2731" w:rsidP="00FC2731">
            <w:pPr>
              <w:pStyle w:val="lgy-"/>
              <w:rPr>
                <w:rFonts w:eastAsia="宋体"/>
              </w:rPr>
            </w:pPr>
          </w:p>
        </w:tc>
        <w:tc>
          <w:tcPr>
            <w:tcW w:w="699" w:type="dxa"/>
            <w:vMerge/>
          </w:tcPr>
          <w:p w14:paraId="4FD8C919" w14:textId="77777777" w:rsidR="00FC2731" w:rsidRPr="002B55E9" w:rsidRDefault="00FC2731" w:rsidP="00FC2731">
            <w:pPr>
              <w:pStyle w:val="lgy-"/>
              <w:rPr>
                <w:rFonts w:eastAsia="宋体"/>
              </w:rPr>
            </w:pPr>
          </w:p>
        </w:tc>
        <w:tc>
          <w:tcPr>
            <w:tcW w:w="443" w:type="dxa"/>
            <w:vMerge/>
          </w:tcPr>
          <w:p w14:paraId="4AA7AD22" w14:textId="77777777" w:rsidR="00FC2731" w:rsidRPr="002B55E9" w:rsidRDefault="00FC2731" w:rsidP="00FC2731">
            <w:pPr>
              <w:pStyle w:val="lgy-"/>
              <w:rPr>
                <w:rFonts w:eastAsia="宋体"/>
              </w:rPr>
            </w:pPr>
          </w:p>
        </w:tc>
        <w:tc>
          <w:tcPr>
            <w:tcW w:w="358" w:type="dxa"/>
            <w:vMerge/>
          </w:tcPr>
          <w:p w14:paraId="1DA9BE28" w14:textId="77777777" w:rsidR="00FC2731" w:rsidRPr="002B55E9" w:rsidRDefault="00FC2731" w:rsidP="00FC2731">
            <w:pPr>
              <w:pStyle w:val="lgy-"/>
              <w:rPr>
                <w:rFonts w:eastAsia="宋体"/>
              </w:rPr>
            </w:pPr>
          </w:p>
        </w:tc>
        <w:tc>
          <w:tcPr>
            <w:tcW w:w="967" w:type="dxa"/>
            <w:vMerge/>
          </w:tcPr>
          <w:p w14:paraId="3FABF066" w14:textId="77777777" w:rsidR="00FC2731" w:rsidRPr="002B55E9" w:rsidRDefault="00FC2731" w:rsidP="00FC2731">
            <w:pPr>
              <w:pStyle w:val="lgy-"/>
              <w:rPr>
                <w:rFonts w:eastAsia="宋体"/>
              </w:rPr>
            </w:pPr>
          </w:p>
        </w:tc>
        <w:tc>
          <w:tcPr>
            <w:tcW w:w="967" w:type="dxa"/>
            <w:vMerge/>
          </w:tcPr>
          <w:p w14:paraId="13F0BEFA" w14:textId="00F7DB7D" w:rsidR="00FC2731" w:rsidRPr="002B55E9" w:rsidRDefault="00FC2731" w:rsidP="00FC2731">
            <w:pPr>
              <w:pStyle w:val="lgy-"/>
              <w:rPr>
                <w:rFonts w:eastAsia="宋体"/>
              </w:rPr>
            </w:pPr>
          </w:p>
        </w:tc>
        <w:tc>
          <w:tcPr>
            <w:tcW w:w="717" w:type="dxa"/>
            <w:vMerge/>
          </w:tcPr>
          <w:p w14:paraId="15DB4A60" w14:textId="77777777" w:rsidR="00FC2731" w:rsidRPr="002B55E9" w:rsidRDefault="00FC2731" w:rsidP="00FC2731">
            <w:pPr>
              <w:pStyle w:val="lgy-"/>
              <w:rPr>
                <w:rFonts w:eastAsia="宋体"/>
              </w:rPr>
            </w:pPr>
          </w:p>
        </w:tc>
        <w:tc>
          <w:tcPr>
            <w:tcW w:w="516" w:type="dxa"/>
            <w:vMerge/>
          </w:tcPr>
          <w:p w14:paraId="18C0F847" w14:textId="77777777" w:rsidR="00FC2731" w:rsidRPr="002B55E9" w:rsidRDefault="00FC2731" w:rsidP="00FC2731">
            <w:pPr>
              <w:pStyle w:val="lgy-"/>
              <w:rPr>
                <w:rFonts w:eastAsia="宋体"/>
              </w:rPr>
            </w:pPr>
          </w:p>
        </w:tc>
      </w:tr>
      <w:tr w:rsidR="002B55E9" w:rsidRPr="002B55E9" w14:paraId="178586B3" w14:textId="77777777" w:rsidTr="00211B46">
        <w:trPr>
          <w:trHeight w:val="283"/>
        </w:trPr>
        <w:tc>
          <w:tcPr>
            <w:tcW w:w="538" w:type="dxa"/>
            <w:vMerge/>
            <w:noWrap/>
          </w:tcPr>
          <w:p w14:paraId="7BB25D3C" w14:textId="77777777" w:rsidR="00FC2731" w:rsidRPr="002B55E9" w:rsidRDefault="00FC2731" w:rsidP="00FC2731">
            <w:pPr>
              <w:pStyle w:val="lgy-"/>
              <w:rPr>
                <w:rFonts w:eastAsia="宋体"/>
              </w:rPr>
            </w:pPr>
          </w:p>
        </w:tc>
        <w:tc>
          <w:tcPr>
            <w:tcW w:w="612" w:type="dxa"/>
          </w:tcPr>
          <w:p w14:paraId="04AFC415" w14:textId="3CA4BB32" w:rsidR="00FC2731" w:rsidRPr="002B55E9" w:rsidRDefault="00FC2731" w:rsidP="00FC2731">
            <w:pPr>
              <w:pStyle w:val="lgy-"/>
              <w:rPr>
                <w:rFonts w:eastAsia="宋体"/>
              </w:rPr>
            </w:pPr>
            <w:r w:rsidRPr="002B55E9">
              <w:rPr>
                <w:rFonts w:eastAsia="宋体"/>
              </w:rPr>
              <w:t>酒液调配</w:t>
            </w:r>
          </w:p>
        </w:tc>
        <w:tc>
          <w:tcPr>
            <w:tcW w:w="977" w:type="dxa"/>
          </w:tcPr>
          <w:p w14:paraId="660201B7" w14:textId="16AE4595" w:rsidR="00FC2731" w:rsidRPr="002B55E9" w:rsidRDefault="00FC2731" w:rsidP="00FC2731">
            <w:pPr>
              <w:pStyle w:val="lgy-"/>
              <w:rPr>
                <w:rFonts w:eastAsia="宋体"/>
              </w:rPr>
            </w:pPr>
            <w:r w:rsidRPr="002B55E9">
              <w:rPr>
                <w:rFonts w:eastAsia="宋体"/>
              </w:rPr>
              <w:t>非甲烷总烃</w:t>
            </w:r>
          </w:p>
        </w:tc>
        <w:tc>
          <w:tcPr>
            <w:tcW w:w="887" w:type="dxa"/>
          </w:tcPr>
          <w:p w14:paraId="7608AA23" w14:textId="7C326E73" w:rsidR="00FC2731" w:rsidRPr="002B55E9" w:rsidRDefault="00FC2731" w:rsidP="00FC2731">
            <w:pPr>
              <w:pStyle w:val="lgy-"/>
              <w:rPr>
                <w:rFonts w:eastAsia="宋体"/>
              </w:rPr>
            </w:pPr>
            <w:r w:rsidRPr="002B55E9">
              <w:rPr>
                <w:rFonts w:eastAsia="宋体"/>
              </w:rPr>
              <w:t>18.77</w:t>
            </w:r>
          </w:p>
        </w:tc>
        <w:tc>
          <w:tcPr>
            <w:tcW w:w="717" w:type="dxa"/>
          </w:tcPr>
          <w:p w14:paraId="4573E6B1" w14:textId="41B5C7D4" w:rsidR="00FC2731" w:rsidRPr="002B55E9" w:rsidRDefault="00FC2731" w:rsidP="00FC2731">
            <w:pPr>
              <w:pStyle w:val="lgy-"/>
              <w:rPr>
                <w:rFonts w:eastAsia="宋体"/>
              </w:rPr>
            </w:pPr>
            <w:r w:rsidRPr="002B55E9">
              <w:rPr>
                <w:rFonts w:eastAsia="宋体"/>
              </w:rPr>
              <w:t xml:space="preserve">0.122 </w:t>
            </w:r>
          </w:p>
        </w:tc>
        <w:tc>
          <w:tcPr>
            <w:tcW w:w="516" w:type="dxa"/>
          </w:tcPr>
          <w:p w14:paraId="0A65F663" w14:textId="5EC8E4BD" w:rsidR="00FC2731" w:rsidRPr="002B55E9" w:rsidRDefault="00FC2731" w:rsidP="00FC2731">
            <w:pPr>
              <w:pStyle w:val="lgy-"/>
              <w:rPr>
                <w:rFonts w:eastAsia="宋体"/>
              </w:rPr>
            </w:pPr>
            <w:r w:rsidRPr="002B55E9">
              <w:rPr>
                <w:rFonts w:eastAsia="宋体"/>
              </w:rPr>
              <w:t xml:space="preserve">0.408 </w:t>
            </w:r>
          </w:p>
        </w:tc>
        <w:tc>
          <w:tcPr>
            <w:tcW w:w="724" w:type="dxa"/>
            <w:vMerge/>
          </w:tcPr>
          <w:p w14:paraId="04A9DE87" w14:textId="77777777" w:rsidR="00FC2731" w:rsidRPr="002B55E9" w:rsidRDefault="00FC2731" w:rsidP="00FC2731">
            <w:pPr>
              <w:pStyle w:val="lgy-"/>
              <w:rPr>
                <w:rFonts w:eastAsia="宋体"/>
              </w:rPr>
            </w:pPr>
          </w:p>
        </w:tc>
        <w:tc>
          <w:tcPr>
            <w:tcW w:w="699" w:type="dxa"/>
            <w:vMerge/>
          </w:tcPr>
          <w:p w14:paraId="03CA9B1E" w14:textId="77777777" w:rsidR="00FC2731" w:rsidRPr="002B55E9" w:rsidRDefault="00FC2731" w:rsidP="00FC2731">
            <w:pPr>
              <w:pStyle w:val="lgy-"/>
              <w:rPr>
                <w:rFonts w:eastAsia="宋体"/>
              </w:rPr>
            </w:pPr>
          </w:p>
        </w:tc>
        <w:tc>
          <w:tcPr>
            <w:tcW w:w="443" w:type="dxa"/>
            <w:vMerge/>
          </w:tcPr>
          <w:p w14:paraId="0EAD789C" w14:textId="77777777" w:rsidR="00FC2731" w:rsidRPr="002B55E9" w:rsidRDefault="00FC2731" w:rsidP="00FC2731">
            <w:pPr>
              <w:pStyle w:val="lgy-"/>
              <w:rPr>
                <w:rFonts w:eastAsia="宋体"/>
              </w:rPr>
            </w:pPr>
          </w:p>
        </w:tc>
        <w:tc>
          <w:tcPr>
            <w:tcW w:w="358" w:type="dxa"/>
            <w:vMerge/>
          </w:tcPr>
          <w:p w14:paraId="2FF8C0AE" w14:textId="77777777" w:rsidR="00FC2731" w:rsidRPr="002B55E9" w:rsidRDefault="00FC2731" w:rsidP="00FC2731">
            <w:pPr>
              <w:pStyle w:val="lgy-"/>
              <w:rPr>
                <w:rFonts w:eastAsia="宋体"/>
              </w:rPr>
            </w:pPr>
          </w:p>
        </w:tc>
        <w:tc>
          <w:tcPr>
            <w:tcW w:w="967" w:type="dxa"/>
            <w:vMerge/>
          </w:tcPr>
          <w:p w14:paraId="202A1240" w14:textId="77777777" w:rsidR="00FC2731" w:rsidRPr="002B55E9" w:rsidRDefault="00FC2731" w:rsidP="00FC2731">
            <w:pPr>
              <w:pStyle w:val="lgy-"/>
              <w:rPr>
                <w:rFonts w:eastAsia="宋体"/>
              </w:rPr>
            </w:pPr>
          </w:p>
        </w:tc>
        <w:tc>
          <w:tcPr>
            <w:tcW w:w="967" w:type="dxa"/>
            <w:vMerge/>
          </w:tcPr>
          <w:p w14:paraId="75049C0A" w14:textId="4232566B" w:rsidR="00FC2731" w:rsidRPr="002B55E9" w:rsidRDefault="00FC2731" w:rsidP="00FC2731">
            <w:pPr>
              <w:pStyle w:val="lgy-"/>
              <w:rPr>
                <w:rFonts w:eastAsia="宋体"/>
              </w:rPr>
            </w:pPr>
          </w:p>
        </w:tc>
        <w:tc>
          <w:tcPr>
            <w:tcW w:w="717" w:type="dxa"/>
            <w:vMerge/>
          </w:tcPr>
          <w:p w14:paraId="4CE31AC0" w14:textId="77777777" w:rsidR="00FC2731" w:rsidRPr="002B55E9" w:rsidRDefault="00FC2731" w:rsidP="00FC2731">
            <w:pPr>
              <w:pStyle w:val="lgy-"/>
              <w:rPr>
                <w:rFonts w:eastAsia="宋体"/>
              </w:rPr>
            </w:pPr>
          </w:p>
        </w:tc>
        <w:tc>
          <w:tcPr>
            <w:tcW w:w="516" w:type="dxa"/>
            <w:vMerge/>
          </w:tcPr>
          <w:p w14:paraId="3F861FFA" w14:textId="77777777" w:rsidR="00FC2731" w:rsidRPr="002B55E9" w:rsidRDefault="00FC2731" w:rsidP="00FC2731">
            <w:pPr>
              <w:pStyle w:val="lgy-"/>
              <w:rPr>
                <w:rFonts w:eastAsia="宋体"/>
              </w:rPr>
            </w:pPr>
          </w:p>
        </w:tc>
      </w:tr>
      <w:tr w:rsidR="002B55E9" w:rsidRPr="002B55E9" w14:paraId="469A2706" w14:textId="77777777" w:rsidTr="00211B46">
        <w:trPr>
          <w:trHeight w:val="283"/>
        </w:trPr>
        <w:tc>
          <w:tcPr>
            <w:tcW w:w="538" w:type="dxa"/>
            <w:vMerge/>
            <w:noWrap/>
          </w:tcPr>
          <w:p w14:paraId="168BE01F" w14:textId="77777777" w:rsidR="00FC2731" w:rsidRPr="002B55E9" w:rsidRDefault="00FC2731" w:rsidP="00FC2731">
            <w:pPr>
              <w:pStyle w:val="lgy-"/>
              <w:rPr>
                <w:rFonts w:eastAsia="宋体"/>
              </w:rPr>
            </w:pPr>
          </w:p>
        </w:tc>
        <w:tc>
          <w:tcPr>
            <w:tcW w:w="612" w:type="dxa"/>
          </w:tcPr>
          <w:p w14:paraId="0F21CFAB" w14:textId="77777777" w:rsidR="00FC2731" w:rsidRPr="002B55E9" w:rsidRDefault="00FC2731" w:rsidP="00FC2731">
            <w:pPr>
              <w:pStyle w:val="lgy-"/>
              <w:rPr>
                <w:rFonts w:eastAsia="宋体"/>
              </w:rPr>
            </w:pPr>
            <w:r w:rsidRPr="002B55E9">
              <w:rPr>
                <w:rFonts w:eastAsia="宋体"/>
              </w:rPr>
              <w:t>混合</w:t>
            </w:r>
          </w:p>
        </w:tc>
        <w:tc>
          <w:tcPr>
            <w:tcW w:w="977" w:type="dxa"/>
          </w:tcPr>
          <w:p w14:paraId="1F2894C3" w14:textId="654F2DFE" w:rsidR="00FC2731" w:rsidRPr="002B55E9" w:rsidRDefault="00FC2731" w:rsidP="00FC2731">
            <w:pPr>
              <w:pStyle w:val="lgy-"/>
              <w:rPr>
                <w:rFonts w:eastAsia="宋体"/>
              </w:rPr>
            </w:pPr>
            <w:r w:rsidRPr="002B55E9">
              <w:rPr>
                <w:rFonts w:eastAsia="宋体"/>
              </w:rPr>
              <w:t>非甲烷总烃</w:t>
            </w:r>
          </w:p>
        </w:tc>
        <w:tc>
          <w:tcPr>
            <w:tcW w:w="887" w:type="dxa"/>
          </w:tcPr>
          <w:p w14:paraId="72DFB4CF" w14:textId="6E303A38" w:rsidR="00FC2731" w:rsidRPr="002B55E9" w:rsidRDefault="00FC2731" w:rsidP="00FC2731">
            <w:pPr>
              <w:pStyle w:val="lgy-"/>
              <w:rPr>
                <w:rFonts w:eastAsia="宋体"/>
              </w:rPr>
            </w:pPr>
            <w:r w:rsidRPr="002B55E9">
              <w:rPr>
                <w:rFonts w:eastAsia="宋体"/>
              </w:rPr>
              <w:t>0.52</w:t>
            </w:r>
          </w:p>
        </w:tc>
        <w:tc>
          <w:tcPr>
            <w:tcW w:w="717" w:type="dxa"/>
          </w:tcPr>
          <w:p w14:paraId="0B285D57" w14:textId="03B3A782" w:rsidR="00FC2731" w:rsidRPr="002B55E9" w:rsidRDefault="00FC2731" w:rsidP="00FC2731">
            <w:pPr>
              <w:pStyle w:val="lgy-"/>
              <w:rPr>
                <w:rFonts w:eastAsia="宋体"/>
              </w:rPr>
            </w:pPr>
            <w:r w:rsidRPr="002B55E9">
              <w:rPr>
                <w:rFonts w:eastAsia="宋体"/>
              </w:rPr>
              <w:t xml:space="preserve">0.003 </w:t>
            </w:r>
          </w:p>
        </w:tc>
        <w:tc>
          <w:tcPr>
            <w:tcW w:w="516" w:type="dxa"/>
          </w:tcPr>
          <w:p w14:paraId="26919B10" w14:textId="5DACDB17" w:rsidR="00FC2731" w:rsidRPr="002B55E9" w:rsidRDefault="00FC2731" w:rsidP="00FC2731">
            <w:pPr>
              <w:pStyle w:val="lgy-"/>
              <w:rPr>
                <w:rFonts w:eastAsia="宋体"/>
              </w:rPr>
            </w:pPr>
            <w:r w:rsidRPr="002B55E9">
              <w:rPr>
                <w:rFonts w:eastAsia="宋体"/>
              </w:rPr>
              <w:t xml:space="preserve">0.011 </w:t>
            </w:r>
          </w:p>
        </w:tc>
        <w:tc>
          <w:tcPr>
            <w:tcW w:w="724" w:type="dxa"/>
            <w:vMerge/>
          </w:tcPr>
          <w:p w14:paraId="3AF68117" w14:textId="77777777" w:rsidR="00FC2731" w:rsidRPr="002B55E9" w:rsidRDefault="00FC2731" w:rsidP="00FC2731">
            <w:pPr>
              <w:pStyle w:val="lgy-"/>
              <w:rPr>
                <w:rFonts w:eastAsia="宋体"/>
              </w:rPr>
            </w:pPr>
          </w:p>
        </w:tc>
        <w:tc>
          <w:tcPr>
            <w:tcW w:w="699" w:type="dxa"/>
            <w:vMerge/>
          </w:tcPr>
          <w:p w14:paraId="1DC325C0" w14:textId="77777777" w:rsidR="00FC2731" w:rsidRPr="002B55E9" w:rsidRDefault="00FC2731" w:rsidP="00FC2731">
            <w:pPr>
              <w:pStyle w:val="lgy-"/>
              <w:rPr>
                <w:rFonts w:eastAsia="宋体"/>
              </w:rPr>
            </w:pPr>
          </w:p>
        </w:tc>
        <w:tc>
          <w:tcPr>
            <w:tcW w:w="443" w:type="dxa"/>
            <w:vMerge/>
          </w:tcPr>
          <w:p w14:paraId="628BFAC8" w14:textId="77777777" w:rsidR="00FC2731" w:rsidRPr="002B55E9" w:rsidRDefault="00FC2731" w:rsidP="00FC2731">
            <w:pPr>
              <w:pStyle w:val="lgy-"/>
              <w:rPr>
                <w:rFonts w:eastAsia="宋体"/>
              </w:rPr>
            </w:pPr>
          </w:p>
        </w:tc>
        <w:tc>
          <w:tcPr>
            <w:tcW w:w="358" w:type="dxa"/>
            <w:vMerge/>
          </w:tcPr>
          <w:p w14:paraId="2F20C82A" w14:textId="77777777" w:rsidR="00FC2731" w:rsidRPr="002B55E9" w:rsidRDefault="00FC2731" w:rsidP="00FC2731">
            <w:pPr>
              <w:pStyle w:val="lgy-"/>
              <w:rPr>
                <w:rFonts w:eastAsia="宋体"/>
              </w:rPr>
            </w:pPr>
          </w:p>
        </w:tc>
        <w:tc>
          <w:tcPr>
            <w:tcW w:w="967" w:type="dxa"/>
            <w:vMerge/>
          </w:tcPr>
          <w:p w14:paraId="03C2C4E1" w14:textId="77777777" w:rsidR="00FC2731" w:rsidRPr="002B55E9" w:rsidRDefault="00FC2731" w:rsidP="00FC2731">
            <w:pPr>
              <w:pStyle w:val="lgy-"/>
              <w:rPr>
                <w:rFonts w:eastAsia="宋体"/>
              </w:rPr>
            </w:pPr>
          </w:p>
        </w:tc>
        <w:tc>
          <w:tcPr>
            <w:tcW w:w="967" w:type="dxa"/>
            <w:vMerge/>
          </w:tcPr>
          <w:p w14:paraId="17ABB041" w14:textId="090AF0C1" w:rsidR="00FC2731" w:rsidRPr="002B55E9" w:rsidRDefault="00FC2731" w:rsidP="00FC2731">
            <w:pPr>
              <w:pStyle w:val="lgy-"/>
              <w:rPr>
                <w:rFonts w:eastAsia="宋体"/>
              </w:rPr>
            </w:pPr>
          </w:p>
        </w:tc>
        <w:tc>
          <w:tcPr>
            <w:tcW w:w="717" w:type="dxa"/>
            <w:vMerge/>
          </w:tcPr>
          <w:p w14:paraId="30955B8C" w14:textId="77777777" w:rsidR="00FC2731" w:rsidRPr="002B55E9" w:rsidRDefault="00FC2731" w:rsidP="00FC2731">
            <w:pPr>
              <w:pStyle w:val="lgy-"/>
              <w:rPr>
                <w:rFonts w:eastAsia="宋体"/>
              </w:rPr>
            </w:pPr>
          </w:p>
        </w:tc>
        <w:tc>
          <w:tcPr>
            <w:tcW w:w="516" w:type="dxa"/>
            <w:vMerge/>
          </w:tcPr>
          <w:p w14:paraId="6CE5CA98" w14:textId="77777777" w:rsidR="00FC2731" w:rsidRPr="002B55E9" w:rsidRDefault="00FC2731" w:rsidP="00FC2731">
            <w:pPr>
              <w:pStyle w:val="lgy-"/>
              <w:rPr>
                <w:rFonts w:eastAsia="宋体"/>
              </w:rPr>
            </w:pPr>
          </w:p>
        </w:tc>
      </w:tr>
      <w:tr w:rsidR="002B55E9" w:rsidRPr="002B55E9" w14:paraId="5752AC9C" w14:textId="77777777" w:rsidTr="00211B46">
        <w:trPr>
          <w:trHeight w:val="283"/>
        </w:trPr>
        <w:tc>
          <w:tcPr>
            <w:tcW w:w="538" w:type="dxa"/>
            <w:vMerge/>
            <w:noWrap/>
          </w:tcPr>
          <w:p w14:paraId="22D7EA1F" w14:textId="77777777" w:rsidR="00FC2731" w:rsidRPr="002B55E9" w:rsidRDefault="00FC2731" w:rsidP="00FC2731">
            <w:pPr>
              <w:pStyle w:val="lgy-"/>
              <w:rPr>
                <w:rFonts w:eastAsia="宋体"/>
              </w:rPr>
            </w:pPr>
          </w:p>
        </w:tc>
        <w:tc>
          <w:tcPr>
            <w:tcW w:w="612" w:type="dxa"/>
            <w:vMerge w:val="restart"/>
          </w:tcPr>
          <w:p w14:paraId="503D720A" w14:textId="77777777" w:rsidR="00FC2731" w:rsidRPr="002B55E9" w:rsidRDefault="00FC2731" w:rsidP="00FC2731">
            <w:pPr>
              <w:pStyle w:val="lgy-"/>
              <w:rPr>
                <w:rFonts w:eastAsia="宋体"/>
              </w:rPr>
            </w:pPr>
            <w:r w:rsidRPr="002B55E9">
              <w:rPr>
                <w:rFonts w:eastAsia="宋体"/>
              </w:rPr>
              <w:t>醋酸发酵</w:t>
            </w:r>
          </w:p>
        </w:tc>
        <w:tc>
          <w:tcPr>
            <w:tcW w:w="977" w:type="dxa"/>
          </w:tcPr>
          <w:p w14:paraId="604CCE1C" w14:textId="11E550FB" w:rsidR="00FC2731" w:rsidRPr="002B55E9" w:rsidRDefault="00FC2731" w:rsidP="00FC2731">
            <w:pPr>
              <w:pStyle w:val="lgy-"/>
              <w:rPr>
                <w:rFonts w:eastAsia="宋体"/>
              </w:rPr>
            </w:pPr>
            <w:r w:rsidRPr="002B55E9">
              <w:rPr>
                <w:rFonts w:eastAsia="宋体"/>
              </w:rPr>
              <w:t>非甲烷总烃</w:t>
            </w:r>
          </w:p>
        </w:tc>
        <w:tc>
          <w:tcPr>
            <w:tcW w:w="887" w:type="dxa"/>
          </w:tcPr>
          <w:p w14:paraId="7D8BF843" w14:textId="6D35A1BC" w:rsidR="00FC2731" w:rsidRPr="002B55E9" w:rsidRDefault="00FC2731" w:rsidP="00FC2731">
            <w:pPr>
              <w:pStyle w:val="lgy-"/>
              <w:rPr>
                <w:rFonts w:eastAsia="宋体"/>
              </w:rPr>
            </w:pPr>
            <w:r w:rsidRPr="002B55E9">
              <w:rPr>
                <w:rFonts w:eastAsia="宋体"/>
              </w:rPr>
              <w:t>195.47</w:t>
            </w:r>
          </w:p>
        </w:tc>
        <w:tc>
          <w:tcPr>
            <w:tcW w:w="717" w:type="dxa"/>
          </w:tcPr>
          <w:p w14:paraId="7DC01859" w14:textId="0A8A115A" w:rsidR="00FC2731" w:rsidRPr="002B55E9" w:rsidRDefault="00FC2731" w:rsidP="00FC2731">
            <w:pPr>
              <w:pStyle w:val="lgy-"/>
              <w:rPr>
                <w:rFonts w:eastAsia="宋体"/>
              </w:rPr>
            </w:pPr>
            <w:r w:rsidRPr="002B55E9">
              <w:rPr>
                <w:rFonts w:eastAsia="宋体"/>
              </w:rPr>
              <w:t xml:space="preserve">1.271 </w:t>
            </w:r>
          </w:p>
        </w:tc>
        <w:tc>
          <w:tcPr>
            <w:tcW w:w="516" w:type="dxa"/>
          </w:tcPr>
          <w:p w14:paraId="4D7311D5" w14:textId="3CA23C06" w:rsidR="00FC2731" w:rsidRPr="002B55E9" w:rsidRDefault="00FC2731" w:rsidP="00FC2731">
            <w:pPr>
              <w:pStyle w:val="lgy-"/>
              <w:rPr>
                <w:rFonts w:eastAsia="宋体"/>
              </w:rPr>
            </w:pPr>
            <w:r w:rsidRPr="002B55E9">
              <w:rPr>
                <w:rFonts w:eastAsia="宋体"/>
              </w:rPr>
              <w:t xml:space="preserve">9.475 </w:t>
            </w:r>
          </w:p>
        </w:tc>
        <w:tc>
          <w:tcPr>
            <w:tcW w:w="724" w:type="dxa"/>
            <w:vMerge/>
          </w:tcPr>
          <w:p w14:paraId="527FE9D3" w14:textId="77777777" w:rsidR="00FC2731" w:rsidRPr="002B55E9" w:rsidRDefault="00FC2731" w:rsidP="00FC2731">
            <w:pPr>
              <w:pStyle w:val="lgy-"/>
              <w:rPr>
                <w:rFonts w:eastAsia="宋体"/>
              </w:rPr>
            </w:pPr>
          </w:p>
        </w:tc>
        <w:tc>
          <w:tcPr>
            <w:tcW w:w="699" w:type="dxa"/>
            <w:vMerge/>
          </w:tcPr>
          <w:p w14:paraId="103A2E81" w14:textId="77777777" w:rsidR="00FC2731" w:rsidRPr="002B55E9" w:rsidRDefault="00FC2731" w:rsidP="00FC2731">
            <w:pPr>
              <w:pStyle w:val="lgy-"/>
              <w:rPr>
                <w:rFonts w:eastAsia="宋体"/>
              </w:rPr>
            </w:pPr>
          </w:p>
        </w:tc>
        <w:tc>
          <w:tcPr>
            <w:tcW w:w="443" w:type="dxa"/>
            <w:vMerge/>
          </w:tcPr>
          <w:p w14:paraId="2316BF17" w14:textId="77777777" w:rsidR="00FC2731" w:rsidRPr="002B55E9" w:rsidRDefault="00FC2731" w:rsidP="00FC2731">
            <w:pPr>
              <w:pStyle w:val="lgy-"/>
              <w:rPr>
                <w:rFonts w:eastAsia="宋体"/>
              </w:rPr>
            </w:pPr>
          </w:p>
        </w:tc>
        <w:tc>
          <w:tcPr>
            <w:tcW w:w="358" w:type="dxa"/>
            <w:vMerge/>
          </w:tcPr>
          <w:p w14:paraId="3AAD9FFC" w14:textId="77777777" w:rsidR="00FC2731" w:rsidRPr="002B55E9" w:rsidRDefault="00FC2731" w:rsidP="00FC2731">
            <w:pPr>
              <w:pStyle w:val="lgy-"/>
              <w:rPr>
                <w:rFonts w:eastAsia="宋体"/>
              </w:rPr>
            </w:pPr>
          </w:p>
        </w:tc>
        <w:tc>
          <w:tcPr>
            <w:tcW w:w="967" w:type="dxa"/>
            <w:vMerge/>
          </w:tcPr>
          <w:p w14:paraId="585FDF11" w14:textId="77777777" w:rsidR="00FC2731" w:rsidRPr="002B55E9" w:rsidRDefault="00FC2731" w:rsidP="00FC2731">
            <w:pPr>
              <w:pStyle w:val="lgy-"/>
              <w:rPr>
                <w:rFonts w:eastAsia="宋体"/>
              </w:rPr>
            </w:pPr>
          </w:p>
        </w:tc>
        <w:tc>
          <w:tcPr>
            <w:tcW w:w="967" w:type="dxa"/>
            <w:vMerge/>
          </w:tcPr>
          <w:p w14:paraId="31DF5D17" w14:textId="62079805" w:rsidR="00FC2731" w:rsidRPr="002B55E9" w:rsidRDefault="00FC2731" w:rsidP="00FC2731">
            <w:pPr>
              <w:pStyle w:val="lgy-"/>
              <w:rPr>
                <w:rFonts w:eastAsia="宋体"/>
              </w:rPr>
            </w:pPr>
          </w:p>
        </w:tc>
        <w:tc>
          <w:tcPr>
            <w:tcW w:w="717" w:type="dxa"/>
            <w:vMerge/>
          </w:tcPr>
          <w:p w14:paraId="61030D53" w14:textId="77777777" w:rsidR="00FC2731" w:rsidRPr="002B55E9" w:rsidRDefault="00FC2731" w:rsidP="00FC2731">
            <w:pPr>
              <w:pStyle w:val="lgy-"/>
              <w:rPr>
                <w:rFonts w:eastAsia="宋体"/>
              </w:rPr>
            </w:pPr>
          </w:p>
        </w:tc>
        <w:tc>
          <w:tcPr>
            <w:tcW w:w="516" w:type="dxa"/>
            <w:vMerge/>
          </w:tcPr>
          <w:p w14:paraId="4D231E6A" w14:textId="77777777" w:rsidR="00FC2731" w:rsidRPr="002B55E9" w:rsidRDefault="00FC2731" w:rsidP="00FC2731">
            <w:pPr>
              <w:pStyle w:val="lgy-"/>
              <w:rPr>
                <w:rFonts w:eastAsia="宋体"/>
              </w:rPr>
            </w:pPr>
          </w:p>
        </w:tc>
      </w:tr>
      <w:tr w:rsidR="002B55E9" w:rsidRPr="002B55E9" w14:paraId="1C1C0F5A" w14:textId="77777777" w:rsidTr="00211B46">
        <w:trPr>
          <w:trHeight w:val="283"/>
        </w:trPr>
        <w:tc>
          <w:tcPr>
            <w:tcW w:w="538" w:type="dxa"/>
            <w:vMerge/>
            <w:noWrap/>
          </w:tcPr>
          <w:p w14:paraId="5262D028" w14:textId="77777777" w:rsidR="00FC2731" w:rsidRPr="002B55E9" w:rsidRDefault="00FC2731" w:rsidP="00FC2731">
            <w:pPr>
              <w:pStyle w:val="lgy-"/>
              <w:rPr>
                <w:rFonts w:eastAsia="宋体"/>
              </w:rPr>
            </w:pPr>
          </w:p>
        </w:tc>
        <w:tc>
          <w:tcPr>
            <w:tcW w:w="612" w:type="dxa"/>
            <w:vMerge/>
          </w:tcPr>
          <w:p w14:paraId="33D862E7" w14:textId="77777777" w:rsidR="00FC2731" w:rsidRPr="002B55E9" w:rsidRDefault="00FC2731" w:rsidP="00FC2731">
            <w:pPr>
              <w:pStyle w:val="lgy-"/>
              <w:rPr>
                <w:rFonts w:eastAsia="宋体"/>
              </w:rPr>
            </w:pPr>
          </w:p>
        </w:tc>
        <w:tc>
          <w:tcPr>
            <w:tcW w:w="977" w:type="dxa"/>
          </w:tcPr>
          <w:p w14:paraId="0F56FFA1" w14:textId="1D739F3E" w:rsidR="00FC2731" w:rsidRPr="002B55E9" w:rsidRDefault="00FC2731" w:rsidP="00FC2731">
            <w:pPr>
              <w:pStyle w:val="lgy-"/>
              <w:rPr>
                <w:rFonts w:eastAsia="宋体"/>
              </w:rPr>
            </w:pPr>
            <w:r w:rsidRPr="002B55E9">
              <w:rPr>
                <w:rFonts w:eastAsia="宋体" w:hint="eastAsia"/>
              </w:rPr>
              <w:t>臭气浓度</w:t>
            </w:r>
          </w:p>
        </w:tc>
        <w:tc>
          <w:tcPr>
            <w:tcW w:w="887" w:type="dxa"/>
          </w:tcPr>
          <w:p w14:paraId="17997073" w14:textId="77B0D9B9" w:rsidR="00FC2731" w:rsidRPr="002B55E9" w:rsidRDefault="00FC2731" w:rsidP="00FC2731">
            <w:pPr>
              <w:pStyle w:val="lgy-"/>
              <w:rPr>
                <w:rFonts w:eastAsia="宋体"/>
              </w:rPr>
            </w:pPr>
            <w:r w:rsidRPr="002B55E9">
              <w:rPr>
                <w:rFonts w:eastAsia="宋体" w:hint="eastAsia"/>
              </w:rPr>
              <w:t>/</w:t>
            </w:r>
          </w:p>
        </w:tc>
        <w:tc>
          <w:tcPr>
            <w:tcW w:w="717" w:type="dxa"/>
          </w:tcPr>
          <w:p w14:paraId="747B9EA7" w14:textId="569D83FE" w:rsidR="00FC2731" w:rsidRPr="002B55E9" w:rsidRDefault="00FC2731" w:rsidP="00FC2731">
            <w:pPr>
              <w:pStyle w:val="lgy-"/>
              <w:rPr>
                <w:rFonts w:eastAsia="宋体"/>
              </w:rPr>
            </w:pPr>
            <w:r w:rsidRPr="002B55E9">
              <w:rPr>
                <w:rFonts w:eastAsia="宋体" w:hint="eastAsia"/>
              </w:rPr>
              <w:t>/</w:t>
            </w:r>
          </w:p>
        </w:tc>
        <w:tc>
          <w:tcPr>
            <w:tcW w:w="516" w:type="dxa"/>
          </w:tcPr>
          <w:p w14:paraId="45825352" w14:textId="73DD95CA" w:rsidR="00FC2731" w:rsidRPr="002B55E9" w:rsidRDefault="00FC2731" w:rsidP="00FC2731">
            <w:pPr>
              <w:pStyle w:val="lgy-"/>
              <w:rPr>
                <w:rFonts w:eastAsia="宋体"/>
              </w:rPr>
            </w:pPr>
            <w:r w:rsidRPr="002B55E9">
              <w:rPr>
                <w:rFonts w:eastAsia="宋体" w:hint="eastAsia"/>
              </w:rPr>
              <w:t>/</w:t>
            </w:r>
          </w:p>
        </w:tc>
        <w:tc>
          <w:tcPr>
            <w:tcW w:w="724" w:type="dxa"/>
            <w:vMerge/>
          </w:tcPr>
          <w:p w14:paraId="33C344EF" w14:textId="77777777" w:rsidR="00FC2731" w:rsidRPr="002B55E9" w:rsidRDefault="00FC2731" w:rsidP="00FC2731">
            <w:pPr>
              <w:pStyle w:val="lgy-"/>
              <w:rPr>
                <w:rFonts w:eastAsia="宋体"/>
              </w:rPr>
            </w:pPr>
          </w:p>
        </w:tc>
        <w:tc>
          <w:tcPr>
            <w:tcW w:w="699" w:type="dxa"/>
            <w:vMerge/>
          </w:tcPr>
          <w:p w14:paraId="65385DFD" w14:textId="77777777" w:rsidR="00FC2731" w:rsidRPr="002B55E9" w:rsidRDefault="00FC2731" w:rsidP="00FC2731">
            <w:pPr>
              <w:pStyle w:val="lgy-"/>
              <w:rPr>
                <w:rFonts w:eastAsia="宋体"/>
              </w:rPr>
            </w:pPr>
          </w:p>
        </w:tc>
        <w:tc>
          <w:tcPr>
            <w:tcW w:w="443" w:type="dxa"/>
            <w:vMerge/>
          </w:tcPr>
          <w:p w14:paraId="3E7A9298" w14:textId="77777777" w:rsidR="00FC2731" w:rsidRPr="002B55E9" w:rsidRDefault="00FC2731" w:rsidP="00FC2731">
            <w:pPr>
              <w:pStyle w:val="lgy-"/>
              <w:rPr>
                <w:rFonts w:eastAsia="宋体"/>
              </w:rPr>
            </w:pPr>
          </w:p>
        </w:tc>
        <w:tc>
          <w:tcPr>
            <w:tcW w:w="358" w:type="dxa"/>
          </w:tcPr>
          <w:p w14:paraId="7F56A955" w14:textId="2800EAA3" w:rsidR="00FC2731" w:rsidRPr="002B55E9" w:rsidRDefault="00FC2731" w:rsidP="00FC2731">
            <w:pPr>
              <w:pStyle w:val="lgy-"/>
              <w:rPr>
                <w:rFonts w:eastAsia="宋体"/>
              </w:rPr>
            </w:pPr>
            <w:r w:rsidRPr="002B55E9">
              <w:rPr>
                <w:rFonts w:eastAsia="宋体" w:hint="eastAsia"/>
              </w:rPr>
              <w:t>/</w:t>
            </w:r>
          </w:p>
        </w:tc>
        <w:tc>
          <w:tcPr>
            <w:tcW w:w="967" w:type="dxa"/>
          </w:tcPr>
          <w:p w14:paraId="466D3C35" w14:textId="100C7524" w:rsidR="00FC2731" w:rsidRPr="002B55E9" w:rsidRDefault="00FC2731" w:rsidP="00FC2731">
            <w:pPr>
              <w:pStyle w:val="lgy-"/>
              <w:rPr>
                <w:rFonts w:eastAsia="宋体"/>
              </w:rPr>
            </w:pPr>
            <w:r w:rsidRPr="002B55E9">
              <w:rPr>
                <w:rFonts w:eastAsia="宋体" w:hint="eastAsia"/>
              </w:rPr>
              <w:t>臭气浓度</w:t>
            </w:r>
          </w:p>
        </w:tc>
        <w:tc>
          <w:tcPr>
            <w:tcW w:w="967" w:type="dxa"/>
          </w:tcPr>
          <w:p w14:paraId="3AAB1319" w14:textId="53376A08" w:rsidR="00FC2731" w:rsidRPr="002B55E9" w:rsidRDefault="00356552" w:rsidP="00FC2731">
            <w:pPr>
              <w:pStyle w:val="lgy-"/>
              <w:rPr>
                <w:rFonts w:eastAsia="宋体"/>
              </w:rPr>
            </w:pPr>
            <w:r w:rsidRPr="002B55E9">
              <w:rPr>
                <w:rFonts w:eastAsia="宋体" w:hint="eastAsia"/>
              </w:rPr>
              <w:t>＜</w:t>
            </w:r>
            <w:r w:rsidRPr="002B55E9">
              <w:rPr>
                <w:rFonts w:eastAsia="宋体" w:hint="eastAsia"/>
              </w:rPr>
              <w:t>2000</w:t>
            </w:r>
            <w:r w:rsidRPr="002B55E9">
              <w:rPr>
                <w:rFonts w:eastAsia="宋体" w:hint="eastAsia"/>
              </w:rPr>
              <w:t>（无量纲）</w:t>
            </w:r>
          </w:p>
        </w:tc>
        <w:tc>
          <w:tcPr>
            <w:tcW w:w="717" w:type="dxa"/>
          </w:tcPr>
          <w:p w14:paraId="50086B3D" w14:textId="3AEE85E9" w:rsidR="00FC2731" w:rsidRPr="002B55E9" w:rsidRDefault="00FC2731" w:rsidP="00FC2731">
            <w:pPr>
              <w:pStyle w:val="lgy-"/>
              <w:rPr>
                <w:rFonts w:eastAsia="宋体"/>
              </w:rPr>
            </w:pPr>
            <w:r w:rsidRPr="002B55E9">
              <w:rPr>
                <w:rFonts w:eastAsia="宋体" w:hint="eastAsia"/>
              </w:rPr>
              <w:t>/</w:t>
            </w:r>
          </w:p>
        </w:tc>
        <w:tc>
          <w:tcPr>
            <w:tcW w:w="516" w:type="dxa"/>
          </w:tcPr>
          <w:p w14:paraId="6E06F619" w14:textId="6B940140" w:rsidR="00FC2731" w:rsidRPr="002B55E9" w:rsidRDefault="00FC2731" w:rsidP="00FC2731">
            <w:pPr>
              <w:pStyle w:val="lgy-"/>
              <w:rPr>
                <w:rFonts w:eastAsia="宋体"/>
              </w:rPr>
            </w:pPr>
            <w:r w:rsidRPr="002B55E9">
              <w:rPr>
                <w:rFonts w:eastAsia="宋体" w:hint="eastAsia"/>
              </w:rPr>
              <w:t>/</w:t>
            </w:r>
          </w:p>
        </w:tc>
      </w:tr>
    </w:tbl>
    <w:p w14:paraId="19B4D04A" w14:textId="77777777" w:rsidR="00D170E5" w:rsidRPr="002B55E9" w:rsidRDefault="00EF27AD">
      <w:pPr>
        <w:pStyle w:val="affff7"/>
        <w:snapToGrid w:val="0"/>
        <w:spacing w:after="0"/>
      </w:pPr>
      <w:r w:rsidRPr="002B55E9">
        <w:rPr>
          <w:rFonts w:hint="eastAsia"/>
        </w:rPr>
        <w:t>（</w:t>
      </w:r>
      <w:r w:rsidRPr="002B55E9">
        <w:t>5</w:t>
      </w:r>
      <w:r w:rsidRPr="002B55E9">
        <w:rPr>
          <w:rFonts w:hint="eastAsia"/>
        </w:rPr>
        <w:t>）共用</w:t>
      </w:r>
      <w:r w:rsidRPr="002B55E9">
        <w:t>排气筒</w:t>
      </w:r>
      <w:r w:rsidRPr="002B55E9">
        <w:rPr>
          <w:rFonts w:hint="eastAsia"/>
        </w:rPr>
        <w:t>（</w:t>
      </w:r>
      <w:r w:rsidRPr="002B55E9">
        <w:rPr>
          <w:rFonts w:hint="eastAsia"/>
        </w:rPr>
        <w:t>D</w:t>
      </w:r>
      <w:r w:rsidRPr="002B55E9">
        <w:t>A002</w:t>
      </w:r>
      <w:r w:rsidRPr="002B55E9">
        <w:rPr>
          <w:rFonts w:hint="eastAsia"/>
        </w:rPr>
        <w:t>）</w:t>
      </w:r>
      <w:r w:rsidRPr="002B55E9">
        <w:t>废气</w:t>
      </w:r>
      <w:r w:rsidRPr="002B55E9">
        <w:rPr>
          <w:rFonts w:hint="eastAsia"/>
        </w:rPr>
        <w:t>排放情况</w:t>
      </w:r>
    </w:p>
    <w:p w14:paraId="48A764C6" w14:textId="3C5BAF07" w:rsidR="00D170E5" w:rsidRPr="002B55E9" w:rsidRDefault="00EF27AD">
      <w:pPr>
        <w:pStyle w:val="affff7"/>
        <w:snapToGrid w:val="0"/>
        <w:spacing w:after="0"/>
      </w:pPr>
      <w:r w:rsidRPr="002B55E9">
        <w:rPr>
          <w:rFonts w:hint="eastAsia"/>
        </w:rPr>
        <w:t>拟建项目</w:t>
      </w:r>
      <w:r w:rsidR="00836202" w:rsidRPr="002B55E9">
        <w:rPr>
          <w:rFonts w:hint="eastAsia"/>
        </w:rPr>
        <w:t>十三车间</w:t>
      </w:r>
      <w:r w:rsidRPr="002B55E9">
        <w:t>料酒生产线和</w:t>
      </w:r>
      <w:r w:rsidRPr="002B55E9">
        <w:rPr>
          <w:rFonts w:hint="eastAsia"/>
        </w:rPr>
        <w:t>白米醋生产线的</w:t>
      </w:r>
      <w:r w:rsidRPr="002B55E9">
        <w:t>工艺</w:t>
      </w:r>
      <w:r w:rsidRPr="002B55E9">
        <w:rPr>
          <w:rFonts w:hint="eastAsia"/>
        </w:rPr>
        <w:t>有机</w:t>
      </w:r>
      <w:r w:rsidRPr="002B55E9">
        <w:t>废气共用一套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w:t>
      </w:r>
      <w:r w:rsidRPr="002B55E9">
        <w:t>总计处理风量为</w:t>
      </w:r>
      <w:r w:rsidRPr="002B55E9">
        <w:rPr>
          <w:rFonts w:hint="eastAsia"/>
        </w:rPr>
        <w:t>1</w:t>
      </w:r>
      <w:r w:rsidRPr="002B55E9">
        <w:t>2</w:t>
      </w:r>
      <w:r w:rsidRPr="002B55E9">
        <w:rPr>
          <w:rFonts w:hint="eastAsia"/>
        </w:rPr>
        <w:t>000</w:t>
      </w:r>
      <w:r w:rsidRPr="002B55E9">
        <w:t>m</w:t>
      </w:r>
      <w:r w:rsidRPr="002B55E9">
        <w:rPr>
          <w:vertAlign w:val="superscript"/>
        </w:rPr>
        <w:t>3</w:t>
      </w:r>
      <w:r w:rsidRPr="002B55E9">
        <w:t>/h</w:t>
      </w:r>
      <w:r w:rsidRPr="002B55E9">
        <w:rPr>
          <w:rFonts w:hint="eastAsia"/>
        </w:rPr>
        <w:t>，处理后由</w:t>
      </w:r>
      <w:r w:rsidRPr="002B55E9">
        <w:rPr>
          <w:rFonts w:hint="eastAsia"/>
        </w:rPr>
        <w:t>18m</w:t>
      </w:r>
      <w:r w:rsidRPr="002B55E9">
        <w:rPr>
          <w:rFonts w:hint="eastAsia"/>
        </w:rPr>
        <w:t>高</w:t>
      </w:r>
      <w:r w:rsidRPr="002B55E9">
        <w:t>排气筒</w:t>
      </w:r>
      <w:r w:rsidRPr="002B55E9">
        <w:rPr>
          <w:rFonts w:hint="eastAsia"/>
        </w:rPr>
        <w:t>（</w:t>
      </w:r>
      <w:r w:rsidRPr="002B55E9">
        <w:rPr>
          <w:rFonts w:hint="eastAsia"/>
        </w:rPr>
        <w:t>D</w:t>
      </w:r>
      <w:r w:rsidRPr="002B55E9">
        <w:t>A002</w:t>
      </w:r>
      <w:r w:rsidRPr="002B55E9">
        <w:rPr>
          <w:rFonts w:hint="eastAsia"/>
        </w:rPr>
        <w:t>）</w:t>
      </w:r>
      <w:r w:rsidRPr="002B55E9">
        <w:t>排放</w:t>
      </w:r>
      <w:r w:rsidRPr="002B55E9">
        <w:rPr>
          <w:rFonts w:hint="eastAsia"/>
        </w:rPr>
        <w:t>，污染物产排</w:t>
      </w:r>
      <w:r w:rsidRPr="002B55E9">
        <w:t>情况见下表。</w:t>
      </w:r>
    </w:p>
    <w:p w14:paraId="58D1DB1E"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-3-15  </w:t>
      </w:r>
      <w:r w:rsidRPr="002B55E9">
        <w:rPr>
          <w:rFonts w:hint="eastAsia"/>
        </w:rPr>
        <w:t>工艺废气排气筒（</w:t>
      </w:r>
      <w:r w:rsidRPr="002B55E9">
        <w:rPr>
          <w:rFonts w:hint="eastAsia"/>
        </w:rPr>
        <w:t>DA002</w:t>
      </w:r>
      <w:r w:rsidRPr="002B55E9">
        <w:rPr>
          <w:rFonts w:hint="eastAsia"/>
        </w:rPr>
        <w:t>）</w:t>
      </w:r>
      <w:r w:rsidRPr="002B55E9">
        <w:t>污染物产排</w:t>
      </w:r>
      <w:r w:rsidRPr="002B55E9">
        <w:rPr>
          <w:rFonts w:hint="eastAsia"/>
        </w:rPr>
        <w:t>一览表</w:t>
      </w:r>
    </w:p>
    <w:tbl>
      <w:tblPr>
        <w:tblStyle w:val="lgy2"/>
        <w:tblW w:w="5000" w:type="pct"/>
        <w:tblLayout w:type="fixed"/>
        <w:tblCellMar>
          <w:left w:w="28" w:type="dxa"/>
          <w:right w:w="28" w:type="dxa"/>
        </w:tblCellMar>
        <w:tblLook w:val="04A0" w:firstRow="1" w:lastRow="0" w:firstColumn="1" w:lastColumn="0" w:noHBand="0" w:noVBand="1"/>
      </w:tblPr>
      <w:tblGrid>
        <w:gridCol w:w="429"/>
        <w:gridCol w:w="712"/>
        <w:gridCol w:w="286"/>
        <w:gridCol w:w="427"/>
        <w:gridCol w:w="427"/>
        <w:gridCol w:w="544"/>
        <w:gridCol w:w="538"/>
        <w:gridCol w:w="1016"/>
        <w:gridCol w:w="855"/>
        <w:gridCol w:w="599"/>
        <w:gridCol w:w="553"/>
        <w:gridCol w:w="781"/>
        <w:gridCol w:w="1016"/>
        <w:gridCol w:w="855"/>
        <w:gridCol w:w="656"/>
      </w:tblGrid>
      <w:tr w:rsidR="002B55E9" w:rsidRPr="002B55E9" w14:paraId="3E2ED9CB" w14:textId="77777777" w:rsidTr="00211B46">
        <w:trPr>
          <w:cnfStyle w:val="100000000000" w:firstRow="1" w:lastRow="0" w:firstColumn="0" w:lastColumn="0" w:oddVBand="0" w:evenVBand="0" w:oddHBand="0" w:evenHBand="0" w:firstRowFirstColumn="0" w:firstRowLastColumn="0" w:lastRowFirstColumn="0" w:lastRowLastColumn="0"/>
          <w:trHeight w:val="283"/>
        </w:trPr>
        <w:tc>
          <w:tcPr>
            <w:tcW w:w="426" w:type="dxa"/>
            <w:vMerge w:val="restart"/>
          </w:tcPr>
          <w:p w14:paraId="05CFE9EA" w14:textId="77777777" w:rsidR="00D170E5" w:rsidRPr="002B55E9" w:rsidRDefault="00EF27AD" w:rsidP="00211B46">
            <w:pPr>
              <w:pStyle w:val="lgy-"/>
              <w:rPr>
                <w:rFonts w:eastAsia="宋体"/>
              </w:rPr>
            </w:pPr>
            <w:r w:rsidRPr="002B55E9">
              <w:rPr>
                <w:rFonts w:eastAsia="宋体"/>
              </w:rPr>
              <w:t>排气筒编号</w:t>
            </w:r>
          </w:p>
        </w:tc>
        <w:tc>
          <w:tcPr>
            <w:tcW w:w="708" w:type="dxa"/>
            <w:vMerge w:val="restart"/>
          </w:tcPr>
          <w:p w14:paraId="144D6B96" w14:textId="77777777" w:rsidR="00D170E5" w:rsidRPr="002B55E9" w:rsidRDefault="00EF27AD" w:rsidP="00211B46">
            <w:pPr>
              <w:pStyle w:val="lgy-"/>
              <w:rPr>
                <w:rFonts w:eastAsia="宋体"/>
              </w:rPr>
            </w:pPr>
            <w:r w:rsidRPr="002B55E9">
              <w:rPr>
                <w:rFonts w:eastAsia="宋体"/>
              </w:rPr>
              <w:t>废气来源</w:t>
            </w:r>
          </w:p>
        </w:tc>
        <w:tc>
          <w:tcPr>
            <w:tcW w:w="1134" w:type="dxa"/>
            <w:gridSpan w:val="3"/>
          </w:tcPr>
          <w:p w14:paraId="79250818" w14:textId="77777777" w:rsidR="00D170E5" w:rsidRPr="002B55E9" w:rsidRDefault="00EF27AD" w:rsidP="00211B46">
            <w:pPr>
              <w:pStyle w:val="lgy-"/>
              <w:rPr>
                <w:rFonts w:eastAsia="宋体"/>
              </w:rPr>
            </w:pPr>
            <w:r w:rsidRPr="002B55E9">
              <w:rPr>
                <w:rFonts w:eastAsia="宋体"/>
              </w:rPr>
              <w:t>排气筒参数</w:t>
            </w:r>
          </w:p>
        </w:tc>
        <w:tc>
          <w:tcPr>
            <w:tcW w:w="541" w:type="dxa"/>
            <w:vMerge w:val="restart"/>
          </w:tcPr>
          <w:p w14:paraId="1CB4802D" w14:textId="77777777" w:rsidR="00D170E5" w:rsidRPr="002B55E9" w:rsidRDefault="00EF27AD" w:rsidP="00211B46">
            <w:pPr>
              <w:pStyle w:val="lgy-"/>
              <w:rPr>
                <w:rFonts w:eastAsia="宋体"/>
              </w:rPr>
            </w:pPr>
            <w:r w:rsidRPr="002B55E9">
              <w:rPr>
                <w:rFonts w:eastAsia="宋体"/>
              </w:rPr>
              <w:t>废气量（</w:t>
            </w:r>
            <w:r w:rsidRPr="002B55E9">
              <w:rPr>
                <w:rFonts w:eastAsia="宋体"/>
              </w:rPr>
              <w:t>m</w:t>
            </w:r>
            <w:r w:rsidRPr="002B55E9">
              <w:rPr>
                <w:rFonts w:eastAsia="宋体"/>
                <w:vertAlign w:val="superscript"/>
              </w:rPr>
              <w:t>3</w:t>
            </w:r>
            <w:r w:rsidRPr="002B55E9">
              <w:rPr>
                <w:rFonts w:eastAsia="宋体"/>
              </w:rPr>
              <w:t>/h</w:t>
            </w:r>
            <w:r w:rsidRPr="002B55E9">
              <w:rPr>
                <w:rFonts w:eastAsia="宋体"/>
              </w:rPr>
              <w:t>）</w:t>
            </w:r>
          </w:p>
        </w:tc>
        <w:tc>
          <w:tcPr>
            <w:tcW w:w="535" w:type="dxa"/>
            <w:vMerge w:val="restart"/>
          </w:tcPr>
          <w:p w14:paraId="53A5F0C6" w14:textId="77777777" w:rsidR="00D170E5" w:rsidRPr="002B55E9" w:rsidRDefault="00EF27AD" w:rsidP="00211B46">
            <w:pPr>
              <w:pStyle w:val="lgy-"/>
              <w:rPr>
                <w:rFonts w:eastAsia="宋体"/>
              </w:rPr>
            </w:pPr>
            <w:r w:rsidRPr="002B55E9">
              <w:rPr>
                <w:rFonts w:eastAsia="宋体"/>
              </w:rPr>
              <w:t>污染因子</w:t>
            </w:r>
          </w:p>
        </w:tc>
        <w:tc>
          <w:tcPr>
            <w:tcW w:w="2456" w:type="dxa"/>
            <w:gridSpan w:val="3"/>
          </w:tcPr>
          <w:p w14:paraId="2012BF23" w14:textId="77777777" w:rsidR="00D170E5" w:rsidRPr="002B55E9" w:rsidRDefault="00EF27AD" w:rsidP="00211B46">
            <w:pPr>
              <w:pStyle w:val="lgy-"/>
              <w:rPr>
                <w:rFonts w:eastAsia="宋体"/>
              </w:rPr>
            </w:pPr>
            <w:r w:rsidRPr="002B55E9">
              <w:rPr>
                <w:rFonts w:eastAsia="宋体"/>
              </w:rPr>
              <w:t>有组织产生</w:t>
            </w:r>
          </w:p>
        </w:tc>
        <w:tc>
          <w:tcPr>
            <w:tcW w:w="1326" w:type="dxa"/>
            <w:gridSpan w:val="2"/>
          </w:tcPr>
          <w:p w14:paraId="0A3B6813" w14:textId="77777777" w:rsidR="00D170E5" w:rsidRPr="002B55E9" w:rsidRDefault="00EF27AD" w:rsidP="00211B46">
            <w:pPr>
              <w:pStyle w:val="lgy-"/>
              <w:rPr>
                <w:rFonts w:eastAsia="宋体"/>
              </w:rPr>
            </w:pPr>
            <w:r w:rsidRPr="002B55E9">
              <w:rPr>
                <w:rFonts w:eastAsia="宋体"/>
              </w:rPr>
              <w:t>废气处理</w:t>
            </w:r>
          </w:p>
        </w:tc>
        <w:tc>
          <w:tcPr>
            <w:tcW w:w="2512" w:type="dxa"/>
            <w:gridSpan w:val="3"/>
          </w:tcPr>
          <w:p w14:paraId="241469E2" w14:textId="77777777" w:rsidR="00D170E5" w:rsidRPr="002B55E9" w:rsidRDefault="00EF27AD" w:rsidP="00211B46">
            <w:pPr>
              <w:pStyle w:val="lgy-"/>
              <w:rPr>
                <w:rFonts w:eastAsia="宋体"/>
              </w:rPr>
            </w:pPr>
            <w:r w:rsidRPr="002B55E9">
              <w:rPr>
                <w:rFonts w:eastAsia="宋体"/>
              </w:rPr>
              <w:t>有组织排放</w:t>
            </w:r>
          </w:p>
        </w:tc>
      </w:tr>
      <w:tr w:rsidR="002B55E9" w:rsidRPr="002B55E9" w14:paraId="4E16D2DC" w14:textId="77777777" w:rsidTr="00211B46">
        <w:trPr>
          <w:trHeight w:val="283"/>
        </w:trPr>
        <w:tc>
          <w:tcPr>
            <w:tcW w:w="426" w:type="dxa"/>
            <w:vMerge/>
          </w:tcPr>
          <w:p w14:paraId="266620A8" w14:textId="77777777" w:rsidR="00D170E5" w:rsidRPr="002B55E9" w:rsidRDefault="00D170E5" w:rsidP="00211B46">
            <w:pPr>
              <w:pStyle w:val="lgy-"/>
              <w:rPr>
                <w:rFonts w:eastAsia="宋体"/>
              </w:rPr>
            </w:pPr>
          </w:p>
        </w:tc>
        <w:tc>
          <w:tcPr>
            <w:tcW w:w="708" w:type="dxa"/>
            <w:vMerge/>
          </w:tcPr>
          <w:p w14:paraId="36FF93B1" w14:textId="77777777" w:rsidR="00D170E5" w:rsidRPr="002B55E9" w:rsidRDefault="00D170E5" w:rsidP="00211B46">
            <w:pPr>
              <w:pStyle w:val="lgy-"/>
              <w:rPr>
                <w:rFonts w:eastAsia="宋体"/>
              </w:rPr>
            </w:pPr>
          </w:p>
        </w:tc>
        <w:tc>
          <w:tcPr>
            <w:tcW w:w="284" w:type="dxa"/>
          </w:tcPr>
          <w:p w14:paraId="05D1ABCB" w14:textId="77777777" w:rsidR="00D170E5" w:rsidRPr="002B55E9" w:rsidRDefault="00EF27AD" w:rsidP="00211B46">
            <w:pPr>
              <w:pStyle w:val="lgy-"/>
              <w:rPr>
                <w:rFonts w:eastAsia="宋体"/>
              </w:rPr>
            </w:pPr>
            <w:r w:rsidRPr="002B55E9">
              <w:rPr>
                <w:rFonts w:eastAsia="宋体"/>
              </w:rPr>
              <w:t>高度</w:t>
            </w:r>
            <w:r w:rsidRPr="002B55E9">
              <w:rPr>
                <w:rFonts w:eastAsia="宋体" w:hint="eastAsia"/>
              </w:rPr>
              <w:t>m</w:t>
            </w:r>
          </w:p>
        </w:tc>
        <w:tc>
          <w:tcPr>
            <w:tcW w:w="425" w:type="dxa"/>
          </w:tcPr>
          <w:p w14:paraId="57B850F4" w14:textId="77777777" w:rsidR="00D170E5" w:rsidRPr="002B55E9" w:rsidRDefault="00EF27AD" w:rsidP="00211B46">
            <w:pPr>
              <w:pStyle w:val="lgy-"/>
              <w:rPr>
                <w:rFonts w:eastAsia="宋体"/>
              </w:rPr>
            </w:pPr>
            <w:r w:rsidRPr="002B55E9">
              <w:rPr>
                <w:rFonts w:eastAsia="宋体"/>
              </w:rPr>
              <w:t>内径</w:t>
            </w:r>
            <w:r w:rsidRPr="002B55E9">
              <w:rPr>
                <w:rFonts w:eastAsia="宋体" w:hint="eastAsia"/>
              </w:rPr>
              <w:t>m</w:t>
            </w:r>
          </w:p>
        </w:tc>
        <w:tc>
          <w:tcPr>
            <w:tcW w:w="425" w:type="dxa"/>
          </w:tcPr>
          <w:p w14:paraId="5506820C" w14:textId="77777777" w:rsidR="00D170E5" w:rsidRPr="002B55E9" w:rsidRDefault="00EF27AD" w:rsidP="00211B46">
            <w:pPr>
              <w:pStyle w:val="lgy-"/>
              <w:rPr>
                <w:rFonts w:eastAsia="宋体"/>
              </w:rPr>
            </w:pPr>
            <w:r w:rsidRPr="002B55E9">
              <w:rPr>
                <w:rFonts w:eastAsia="宋体"/>
              </w:rPr>
              <w:t>温度</w:t>
            </w:r>
            <w:r w:rsidRPr="002B55E9">
              <w:rPr>
                <w:rFonts w:eastAsia="宋体" w:hint="eastAsia"/>
              </w:rPr>
              <w:t>℃</w:t>
            </w:r>
          </w:p>
        </w:tc>
        <w:tc>
          <w:tcPr>
            <w:tcW w:w="541" w:type="dxa"/>
            <w:vMerge/>
          </w:tcPr>
          <w:p w14:paraId="75B7E54A" w14:textId="77777777" w:rsidR="00D170E5" w:rsidRPr="002B55E9" w:rsidRDefault="00D170E5" w:rsidP="00211B46">
            <w:pPr>
              <w:pStyle w:val="lgy-"/>
              <w:rPr>
                <w:rFonts w:eastAsia="宋体"/>
              </w:rPr>
            </w:pPr>
          </w:p>
        </w:tc>
        <w:tc>
          <w:tcPr>
            <w:tcW w:w="535" w:type="dxa"/>
            <w:vMerge/>
          </w:tcPr>
          <w:p w14:paraId="2AE44D68" w14:textId="77777777" w:rsidR="00D170E5" w:rsidRPr="002B55E9" w:rsidRDefault="00D170E5" w:rsidP="00211B46">
            <w:pPr>
              <w:pStyle w:val="lgy-"/>
              <w:rPr>
                <w:rFonts w:eastAsia="宋体"/>
              </w:rPr>
            </w:pPr>
          </w:p>
        </w:tc>
        <w:tc>
          <w:tcPr>
            <w:tcW w:w="1010" w:type="dxa"/>
          </w:tcPr>
          <w:p w14:paraId="137A5CA3" w14:textId="77777777" w:rsidR="00D170E5" w:rsidRPr="002B55E9" w:rsidRDefault="00EF27AD" w:rsidP="00211B46">
            <w:pPr>
              <w:pStyle w:val="lgy-"/>
              <w:rPr>
                <w:rFonts w:eastAsia="宋体"/>
              </w:rPr>
            </w:pPr>
            <w:r w:rsidRPr="002B55E9">
              <w:rPr>
                <w:rFonts w:eastAsia="宋体"/>
              </w:rPr>
              <w:t>最大产生浓度（</w:t>
            </w:r>
            <w:r w:rsidRPr="002B55E9">
              <w:rPr>
                <w:rFonts w:eastAsia="宋体"/>
              </w:rPr>
              <w:t>mg/m</w:t>
            </w:r>
            <w:r w:rsidRPr="002B55E9">
              <w:rPr>
                <w:rFonts w:eastAsia="宋体"/>
                <w:vertAlign w:val="superscript"/>
              </w:rPr>
              <w:t>3</w:t>
            </w:r>
            <w:r w:rsidRPr="002B55E9">
              <w:rPr>
                <w:rFonts w:eastAsia="宋体"/>
              </w:rPr>
              <w:t>）</w:t>
            </w:r>
          </w:p>
        </w:tc>
        <w:tc>
          <w:tcPr>
            <w:tcW w:w="850" w:type="dxa"/>
          </w:tcPr>
          <w:p w14:paraId="58408220" w14:textId="77777777" w:rsidR="00D170E5" w:rsidRPr="002B55E9" w:rsidRDefault="00EF27AD" w:rsidP="00211B46">
            <w:pPr>
              <w:pStyle w:val="lgy-"/>
              <w:rPr>
                <w:rFonts w:eastAsia="宋体"/>
              </w:rPr>
            </w:pPr>
            <w:r w:rsidRPr="002B55E9">
              <w:rPr>
                <w:rFonts w:eastAsia="宋体"/>
              </w:rPr>
              <w:t>最大产生速率（</w:t>
            </w:r>
            <w:r w:rsidRPr="002B55E9">
              <w:rPr>
                <w:rFonts w:eastAsia="宋体"/>
              </w:rPr>
              <w:t>kg/h</w:t>
            </w:r>
            <w:r w:rsidRPr="002B55E9">
              <w:rPr>
                <w:rFonts w:eastAsia="宋体"/>
              </w:rPr>
              <w:t>）</w:t>
            </w:r>
          </w:p>
        </w:tc>
        <w:tc>
          <w:tcPr>
            <w:tcW w:w="596" w:type="dxa"/>
          </w:tcPr>
          <w:p w14:paraId="3DCCE635" w14:textId="77777777" w:rsidR="00D170E5" w:rsidRPr="002B55E9" w:rsidRDefault="00EF27AD" w:rsidP="00211B46">
            <w:pPr>
              <w:pStyle w:val="lgy-"/>
              <w:rPr>
                <w:rFonts w:eastAsia="宋体"/>
              </w:rPr>
            </w:pPr>
            <w:r w:rsidRPr="002B55E9">
              <w:rPr>
                <w:rFonts w:eastAsia="宋体"/>
              </w:rPr>
              <w:t>产生量（</w:t>
            </w:r>
            <w:r w:rsidRPr="002B55E9">
              <w:rPr>
                <w:rFonts w:eastAsia="宋体"/>
              </w:rPr>
              <w:t>t/a</w:t>
            </w:r>
            <w:r w:rsidRPr="002B55E9">
              <w:rPr>
                <w:rFonts w:eastAsia="宋体"/>
              </w:rPr>
              <w:t>）</w:t>
            </w:r>
          </w:p>
        </w:tc>
        <w:tc>
          <w:tcPr>
            <w:tcW w:w="550" w:type="dxa"/>
          </w:tcPr>
          <w:p w14:paraId="78A85E43" w14:textId="77777777" w:rsidR="00D170E5" w:rsidRPr="002B55E9" w:rsidRDefault="00EF27AD" w:rsidP="00211B46">
            <w:pPr>
              <w:pStyle w:val="lgy-"/>
              <w:rPr>
                <w:rFonts w:eastAsia="宋体"/>
              </w:rPr>
            </w:pPr>
            <w:r w:rsidRPr="002B55E9">
              <w:rPr>
                <w:rFonts w:eastAsia="宋体"/>
              </w:rPr>
              <w:t>处理方式</w:t>
            </w:r>
          </w:p>
        </w:tc>
        <w:tc>
          <w:tcPr>
            <w:tcW w:w="776" w:type="dxa"/>
          </w:tcPr>
          <w:p w14:paraId="6E351677" w14:textId="77777777" w:rsidR="00D170E5" w:rsidRPr="002B55E9" w:rsidRDefault="00EF27AD" w:rsidP="00211B46">
            <w:pPr>
              <w:pStyle w:val="lgy-"/>
              <w:rPr>
                <w:rFonts w:eastAsia="宋体"/>
              </w:rPr>
            </w:pPr>
            <w:r w:rsidRPr="002B55E9">
              <w:rPr>
                <w:rFonts w:eastAsia="宋体"/>
              </w:rPr>
              <w:t>处理效率</w:t>
            </w:r>
          </w:p>
        </w:tc>
        <w:tc>
          <w:tcPr>
            <w:tcW w:w="1010" w:type="dxa"/>
          </w:tcPr>
          <w:p w14:paraId="05ABC341" w14:textId="77777777" w:rsidR="00D170E5" w:rsidRPr="002B55E9" w:rsidRDefault="00EF27AD" w:rsidP="00211B46">
            <w:pPr>
              <w:pStyle w:val="lgy-"/>
              <w:rPr>
                <w:rFonts w:eastAsia="宋体"/>
              </w:rPr>
            </w:pPr>
            <w:r w:rsidRPr="002B55E9">
              <w:rPr>
                <w:rFonts w:eastAsia="宋体"/>
              </w:rPr>
              <w:t>最大产生浓度（</w:t>
            </w:r>
            <w:r w:rsidRPr="002B55E9">
              <w:rPr>
                <w:rFonts w:eastAsia="宋体"/>
              </w:rPr>
              <w:t>mg/m</w:t>
            </w:r>
            <w:r w:rsidRPr="002B55E9">
              <w:rPr>
                <w:rFonts w:eastAsia="宋体"/>
                <w:vertAlign w:val="superscript"/>
              </w:rPr>
              <w:t>3</w:t>
            </w:r>
            <w:r w:rsidRPr="002B55E9">
              <w:rPr>
                <w:rFonts w:eastAsia="宋体"/>
              </w:rPr>
              <w:t>）</w:t>
            </w:r>
          </w:p>
        </w:tc>
        <w:tc>
          <w:tcPr>
            <w:tcW w:w="850" w:type="dxa"/>
          </w:tcPr>
          <w:p w14:paraId="296E3702" w14:textId="77777777" w:rsidR="00D170E5" w:rsidRPr="002B55E9" w:rsidRDefault="00EF27AD" w:rsidP="00211B46">
            <w:pPr>
              <w:pStyle w:val="lgy-"/>
              <w:rPr>
                <w:rFonts w:eastAsia="宋体"/>
              </w:rPr>
            </w:pPr>
            <w:r w:rsidRPr="002B55E9">
              <w:rPr>
                <w:rFonts w:eastAsia="宋体"/>
              </w:rPr>
              <w:t>最大产生速率（</w:t>
            </w:r>
            <w:r w:rsidRPr="002B55E9">
              <w:rPr>
                <w:rFonts w:eastAsia="宋体"/>
              </w:rPr>
              <w:t>kg/h</w:t>
            </w:r>
            <w:r w:rsidRPr="002B55E9">
              <w:rPr>
                <w:rFonts w:eastAsia="宋体"/>
              </w:rPr>
              <w:t>）</w:t>
            </w:r>
          </w:p>
        </w:tc>
        <w:tc>
          <w:tcPr>
            <w:tcW w:w="652" w:type="dxa"/>
          </w:tcPr>
          <w:p w14:paraId="04410984" w14:textId="77777777" w:rsidR="00D170E5" w:rsidRPr="002B55E9" w:rsidRDefault="00EF27AD" w:rsidP="00211B46">
            <w:pPr>
              <w:pStyle w:val="lgy-"/>
              <w:rPr>
                <w:rFonts w:eastAsia="宋体"/>
              </w:rPr>
            </w:pPr>
            <w:r w:rsidRPr="002B55E9">
              <w:rPr>
                <w:rFonts w:eastAsia="宋体"/>
              </w:rPr>
              <w:t>排放量（</w:t>
            </w:r>
            <w:r w:rsidRPr="002B55E9">
              <w:rPr>
                <w:rFonts w:eastAsia="宋体"/>
              </w:rPr>
              <w:t>t/a</w:t>
            </w:r>
            <w:r w:rsidRPr="002B55E9">
              <w:rPr>
                <w:rFonts w:eastAsia="宋体"/>
              </w:rPr>
              <w:t>）</w:t>
            </w:r>
          </w:p>
        </w:tc>
      </w:tr>
      <w:tr w:rsidR="002B55E9" w:rsidRPr="002B55E9" w14:paraId="23259622" w14:textId="77777777" w:rsidTr="00211B46">
        <w:trPr>
          <w:trHeight w:val="283"/>
        </w:trPr>
        <w:tc>
          <w:tcPr>
            <w:tcW w:w="426" w:type="dxa"/>
            <w:vMerge w:val="restart"/>
          </w:tcPr>
          <w:p w14:paraId="5CA42DD1" w14:textId="77777777" w:rsidR="00211B46" w:rsidRPr="002B55E9" w:rsidRDefault="00211B46" w:rsidP="00211B46">
            <w:pPr>
              <w:pStyle w:val="lgy-"/>
              <w:rPr>
                <w:rFonts w:eastAsia="宋体"/>
              </w:rPr>
            </w:pPr>
            <w:r w:rsidRPr="002B55E9">
              <w:rPr>
                <w:rFonts w:eastAsia="宋体"/>
              </w:rPr>
              <w:t>DA002</w:t>
            </w:r>
          </w:p>
        </w:tc>
        <w:tc>
          <w:tcPr>
            <w:tcW w:w="708" w:type="dxa"/>
            <w:vMerge w:val="restart"/>
          </w:tcPr>
          <w:p w14:paraId="217E9A59" w14:textId="77777777" w:rsidR="00211B46" w:rsidRPr="002B55E9" w:rsidRDefault="00211B46" w:rsidP="00211B46">
            <w:pPr>
              <w:pStyle w:val="lgy-"/>
              <w:rPr>
                <w:rFonts w:eastAsia="宋体"/>
              </w:rPr>
            </w:pPr>
            <w:r w:rsidRPr="002B55E9">
              <w:rPr>
                <w:rFonts w:eastAsia="宋体" w:hint="eastAsia"/>
              </w:rPr>
              <w:t>料酒、白米醋生产</w:t>
            </w:r>
          </w:p>
        </w:tc>
        <w:tc>
          <w:tcPr>
            <w:tcW w:w="284" w:type="dxa"/>
            <w:vMerge w:val="restart"/>
          </w:tcPr>
          <w:p w14:paraId="10F3FFA2" w14:textId="77777777" w:rsidR="00211B46" w:rsidRPr="002B55E9" w:rsidRDefault="00211B46" w:rsidP="00211B46">
            <w:pPr>
              <w:pStyle w:val="lgy-"/>
              <w:rPr>
                <w:rFonts w:eastAsia="宋体"/>
              </w:rPr>
            </w:pPr>
            <w:r w:rsidRPr="002B55E9">
              <w:rPr>
                <w:rFonts w:eastAsia="宋体"/>
              </w:rPr>
              <w:t>18</w:t>
            </w:r>
          </w:p>
        </w:tc>
        <w:tc>
          <w:tcPr>
            <w:tcW w:w="425" w:type="dxa"/>
            <w:vMerge w:val="restart"/>
          </w:tcPr>
          <w:p w14:paraId="7BA29F46" w14:textId="77777777" w:rsidR="00211B46" w:rsidRPr="002B55E9" w:rsidRDefault="00211B46" w:rsidP="00211B46">
            <w:pPr>
              <w:pStyle w:val="lgy-"/>
              <w:rPr>
                <w:rFonts w:eastAsia="宋体"/>
              </w:rPr>
            </w:pPr>
            <w:r w:rsidRPr="002B55E9">
              <w:rPr>
                <w:rFonts w:eastAsia="宋体"/>
              </w:rPr>
              <w:t>0.5</w:t>
            </w:r>
          </w:p>
        </w:tc>
        <w:tc>
          <w:tcPr>
            <w:tcW w:w="425" w:type="dxa"/>
            <w:vMerge w:val="restart"/>
          </w:tcPr>
          <w:p w14:paraId="28C52DD4" w14:textId="77777777" w:rsidR="00211B46" w:rsidRPr="002B55E9" w:rsidRDefault="00211B46" w:rsidP="00211B46">
            <w:pPr>
              <w:pStyle w:val="lgy-"/>
              <w:rPr>
                <w:rFonts w:eastAsia="宋体"/>
              </w:rPr>
            </w:pPr>
            <w:r w:rsidRPr="002B55E9">
              <w:rPr>
                <w:rFonts w:eastAsia="宋体"/>
              </w:rPr>
              <w:t>25</w:t>
            </w:r>
          </w:p>
        </w:tc>
        <w:tc>
          <w:tcPr>
            <w:tcW w:w="541" w:type="dxa"/>
            <w:vMerge w:val="restart"/>
          </w:tcPr>
          <w:p w14:paraId="2F7BD8FC" w14:textId="77777777" w:rsidR="00211B46" w:rsidRPr="002B55E9" w:rsidRDefault="00211B46" w:rsidP="00211B46">
            <w:pPr>
              <w:pStyle w:val="lgy-"/>
              <w:rPr>
                <w:rFonts w:eastAsia="宋体"/>
              </w:rPr>
            </w:pPr>
            <w:r w:rsidRPr="002B55E9">
              <w:rPr>
                <w:rFonts w:eastAsia="宋体"/>
              </w:rPr>
              <w:t>12000</w:t>
            </w:r>
          </w:p>
        </w:tc>
        <w:tc>
          <w:tcPr>
            <w:tcW w:w="535" w:type="dxa"/>
          </w:tcPr>
          <w:p w14:paraId="3D401383" w14:textId="71A86A23" w:rsidR="00211B46" w:rsidRPr="002B55E9" w:rsidRDefault="00211B46" w:rsidP="00211B46">
            <w:pPr>
              <w:pStyle w:val="lgy-"/>
              <w:rPr>
                <w:rFonts w:eastAsia="宋体"/>
              </w:rPr>
            </w:pPr>
            <w:r w:rsidRPr="002B55E9">
              <w:rPr>
                <w:rFonts w:eastAsia="宋体"/>
              </w:rPr>
              <w:t>非甲烷总烃</w:t>
            </w:r>
          </w:p>
        </w:tc>
        <w:tc>
          <w:tcPr>
            <w:tcW w:w="1010" w:type="dxa"/>
          </w:tcPr>
          <w:p w14:paraId="5E396BDE" w14:textId="2F9489B2" w:rsidR="00211B46" w:rsidRPr="002B55E9" w:rsidRDefault="00211B46" w:rsidP="00211B46">
            <w:pPr>
              <w:pStyle w:val="lgy-"/>
              <w:rPr>
                <w:rFonts w:eastAsia="宋体"/>
              </w:rPr>
            </w:pPr>
            <w:r w:rsidRPr="002B55E9">
              <w:rPr>
                <w:rFonts w:eastAsia="宋体"/>
              </w:rPr>
              <w:t>264.87</w:t>
            </w:r>
          </w:p>
        </w:tc>
        <w:tc>
          <w:tcPr>
            <w:tcW w:w="850" w:type="dxa"/>
          </w:tcPr>
          <w:p w14:paraId="5BEC1756" w14:textId="0EB1ED3E" w:rsidR="00211B46" w:rsidRPr="002B55E9" w:rsidRDefault="00211B46" w:rsidP="00211B46">
            <w:pPr>
              <w:pStyle w:val="lgy-"/>
              <w:rPr>
                <w:rFonts w:eastAsia="宋体"/>
              </w:rPr>
            </w:pPr>
            <w:r w:rsidRPr="002B55E9">
              <w:rPr>
                <w:rFonts w:eastAsia="宋体"/>
              </w:rPr>
              <w:t xml:space="preserve">3.178 </w:t>
            </w:r>
          </w:p>
        </w:tc>
        <w:tc>
          <w:tcPr>
            <w:tcW w:w="596" w:type="dxa"/>
          </w:tcPr>
          <w:p w14:paraId="0B482978" w14:textId="6E3C2EBD" w:rsidR="00211B46" w:rsidRPr="002B55E9" w:rsidRDefault="00211B46" w:rsidP="00211B46">
            <w:pPr>
              <w:pStyle w:val="lgy-"/>
              <w:rPr>
                <w:rFonts w:eastAsia="宋体"/>
              </w:rPr>
            </w:pPr>
            <w:r w:rsidRPr="002B55E9">
              <w:rPr>
                <w:rFonts w:eastAsia="宋体"/>
              </w:rPr>
              <w:t xml:space="preserve">14.59 </w:t>
            </w:r>
          </w:p>
        </w:tc>
        <w:tc>
          <w:tcPr>
            <w:tcW w:w="550" w:type="dxa"/>
            <w:vMerge w:val="restart"/>
          </w:tcPr>
          <w:p w14:paraId="6A6B914B" w14:textId="249F724F" w:rsidR="00211B46" w:rsidRPr="002B55E9" w:rsidRDefault="00211B46" w:rsidP="00211B46">
            <w:pPr>
              <w:pStyle w:val="lgy-"/>
              <w:rPr>
                <w:rFonts w:eastAsia="宋体"/>
              </w:rPr>
            </w:pPr>
            <w:r w:rsidRPr="002B55E9">
              <w:rPr>
                <w:rFonts w:eastAsia="宋体" w:hint="eastAsia"/>
              </w:rPr>
              <w:t>二级碱喷淋</w:t>
            </w:r>
            <w:r w:rsidRPr="002B55E9">
              <w:rPr>
                <w:rFonts w:eastAsia="宋体" w:hint="eastAsia"/>
              </w:rPr>
              <w:t>+</w:t>
            </w:r>
            <w:r w:rsidRPr="002B55E9">
              <w:rPr>
                <w:rFonts w:eastAsia="宋体" w:hint="eastAsia"/>
              </w:rPr>
              <w:t>水喷淋</w:t>
            </w:r>
          </w:p>
        </w:tc>
        <w:tc>
          <w:tcPr>
            <w:tcW w:w="776" w:type="dxa"/>
          </w:tcPr>
          <w:p w14:paraId="3BB1ECFF" w14:textId="4B737B61" w:rsidR="00211B46" w:rsidRPr="002B55E9" w:rsidRDefault="00211B46" w:rsidP="00211B46">
            <w:pPr>
              <w:pStyle w:val="lgy-"/>
              <w:rPr>
                <w:rFonts w:eastAsia="宋体"/>
              </w:rPr>
            </w:pPr>
            <w:r w:rsidRPr="002B55E9">
              <w:rPr>
                <w:rFonts w:eastAsia="宋体"/>
              </w:rPr>
              <w:t>85%</w:t>
            </w:r>
          </w:p>
        </w:tc>
        <w:tc>
          <w:tcPr>
            <w:tcW w:w="1010" w:type="dxa"/>
          </w:tcPr>
          <w:p w14:paraId="33DDCB0E" w14:textId="2A8C3DC7" w:rsidR="00211B46" w:rsidRPr="002B55E9" w:rsidRDefault="00211B46" w:rsidP="00211B46">
            <w:pPr>
              <w:pStyle w:val="lgy-"/>
              <w:rPr>
                <w:rFonts w:eastAsia="宋体"/>
              </w:rPr>
            </w:pPr>
            <w:r w:rsidRPr="002B55E9">
              <w:rPr>
                <w:rFonts w:eastAsia="宋体"/>
              </w:rPr>
              <w:t>39.72</w:t>
            </w:r>
          </w:p>
        </w:tc>
        <w:tc>
          <w:tcPr>
            <w:tcW w:w="850" w:type="dxa"/>
          </w:tcPr>
          <w:p w14:paraId="5EC39873" w14:textId="401D4F1B" w:rsidR="00211B46" w:rsidRPr="002B55E9" w:rsidRDefault="00211B46" w:rsidP="00211B46">
            <w:pPr>
              <w:pStyle w:val="lgy-"/>
              <w:rPr>
                <w:rFonts w:eastAsia="宋体"/>
              </w:rPr>
            </w:pPr>
            <w:r w:rsidRPr="002B55E9">
              <w:rPr>
                <w:rFonts w:eastAsia="宋体"/>
              </w:rPr>
              <w:t xml:space="preserve">0.477 </w:t>
            </w:r>
          </w:p>
        </w:tc>
        <w:tc>
          <w:tcPr>
            <w:tcW w:w="652" w:type="dxa"/>
          </w:tcPr>
          <w:p w14:paraId="10BC4EBE" w14:textId="5D608CB1" w:rsidR="00211B46" w:rsidRPr="002B55E9" w:rsidRDefault="00211B46" w:rsidP="00211B46">
            <w:pPr>
              <w:pStyle w:val="lgy-"/>
              <w:rPr>
                <w:rFonts w:eastAsia="宋体"/>
              </w:rPr>
            </w:pPr>
            <w:r w:rsidRPr="002B55E9">
              <w:rPr>
                <w:rFonts w:eastAsia="宋体"/>
              </w:rPr>
              <w:t xml:space="preserve">2.190 </w:t>
            </w:r>
          </w:p>
        </w:tc>
      </w:tr>
      <w:tr w:rsidR="002B55E9" w:rsidRPr="002B55E9" w14:paraId="7979187B" w14:textId="77777777" w:rsidTr="00211B46">
        <w:trPr>
          <w:trHeight w:val="283"/>
        </w:trPr>
        <w:tc>
          <w:tcPr>
            <w:tcW w:w="426" w:type="dxa"/>
            <w:vMerge/>
          </w:tcPr>
          <w:p w14:paraId="4BD42E47" w14:textId="77777777" w:rsidR="00211B46" w:rsidRPr="002B55E9" w:rsidRDefault="00211B46" w:rsidP="00211B46">
            <w:pPr>
              <w:pStyle w:val="lgy-"/>
              <w:rPr>
                <w:rFonts w:eastAsia="宋体"/>
              </w:rPr>
            </w:pPr>
          </w:p>
        </w:tc>
        <w:tc>
          <w:tcPr>
            <w:tcW w:w="708" w:type="dxa"/>
            <w:vMerge/>
          </w:tcPr>
          <w:p w14:paraId="26002519" w14:textId="77777777" w:rsidR="00211B46" w:rsidRPr="002B55E9" w:rsidRDefault="00211B46" w:rsidP="00211B46">
            <w:pPr>
              <w:pStyle w:val="lgy-"/>
              <w:rPr>
                <w:rFonts w:eastAsia="宋体"/>
              </w:rPr>
            </w:pPr>
          </w:p>
        </w:tc>
        <w:tc>
          <w:tcPr>
            <w:tcW w:w="284" w:type="dxa"/>
            <w:vMerge/>
          </w:tcPr>
          <w:p w14:paraId="6E9BF89C" w14:textId="77777777" w:rsidR="00211B46" w:rsidRPr="002B55E9" w:rsidRDefault="00211B46" w:rsidP="00211B46">
            <w:pPr>
              <w:pStyle w:val="lgy-"/>
              <w:rPr>
                <w:rFonts w:eastAsia="宋体"/>
              </w:rPr>
            </w:pPr>
          </w:p>
        </w:tc>
        <w:tc>
          <w:tcPr>
            <w:tcW w:w="425" w:type="dxa"/>
            <w:vMerge/>
          </w:tcPr>
          <w:p w14:paraId="709D7247" w14:textId="77777777" w:rsidR="00211B46" w:rsidRPr="002B55E9" w:rsidRDefault="00211B46" w:rsidP="00211B46">
            <w:pPr>
              <w:pStyle w:val="lgy-"/>
              <w:rPr>
                <w:rFonts w:eastAsia="宋体"/>
              </w:rPr>
            </w:pPr>
          </w:p>
        </w:tc>
        <w:tc>
          <w:tcPr>
            <w:tcW w:w="425" w:type="dxa"/>
            <w:vMerge/>
          </w:tcPr>
          <w:p w14:paraId="63360680" w14:textId="77777777" w:rsidR="00211B46" w:rsidRPr="002B55E9" w:rsidRDefault="00211B46" w:rsidP="00211B46">
            <w:pPr>
              <w:pStyle w:val="lgy-"/>
              <w:rPr>
                <w:rFonts w:eastAsia="宋体"/>
              </w:rPr>
            </w:pPr>
          </w:p>
        </w:tc>
        <w:tc>
          <w:tcPr>
            <w:tcW w:w="541" w:type="dxa"/>
            <w:vMerge/>
          </w:tcPr>
          <w:p w14:paraId="2AA44E51" w14:textId="77777777" w:rsidR="00211B46" w:rsidRPr="002B55E9" w:rsidRDefault="00211B46" w:rsidP="00211B46">
            <w:pPr>
              <w:pStyle w:val="lgy-"/>
              <w:rPr>
                <w:rFonts w:eastAsia="宋体"/>
              </w:rPr>
            </w:pPr>
          </w:p>
        </w:tc>
        <w:tc>
          <w:tcPr>
            <w:tcW w:w="535" w:type="dxa"/>
          </w:tcPr>
          <w:p w14:paraId="7C5D4FE4" w14:textId="1D024496" w:rsidR="00211B46" w:rsidRPr="002B55E9" w:rsidRDefault="00211B46" w:rsidP="00211B46">
            <w:pPr>
              <w:pStyle w:val="lgy-"/>
              <w:rPr>
                <w:rFonts w:eastAsia="宋体"/>
              </w:rPr>
            </w:pPr>
            <w:r w:rsidRPr="002B55E9">
              <w:rPr>
                <w:rFonts w:eastAsia="宋体" w:hint="eastAsia"/>
              </w:rPr>
              <w:t>臭气浓度</w:t>
            </w:r>
          </w:p>
        </w:tc>
        <w:tc>
          <w:tcPr>
            <w:tcW w:w="1010" w:type="dxa"/>
          </w:tcPr>
          <w:p w14:paraId="22CECF32" w14:textId="7B0DF140" w:rsidR="00211B46" w:rsidRPr="002B55E9" w:rsidRDefault="00211B46" w:rsidP="00211B46">
            <w:pPr>
              <w:pStyle w:val="lgy-"/>
              <w:rPr>
                <w:rFonts w:eastAsia="宋体"/>
              </w:rPr>
            </w:pPr>
            <w:r w:rsidRPr="002B55E9">
              <w:rPr>
                <w:rFonts w:eastAsia="宋体" w:hint="eastAsia"/>
              </w:rPr>
              <w:t>/</w:t>
            </w:r>
          </w:p>
        </w:tc>
        <w:tc>
          <w:tcPr>
            <w:tcW w:w="850" w:type="dxa"/>
          </w:tcPr>
          <w:p w14:paraId="72EF8442" w14:textId="60ED1E62" w:rsidR="00211B46" w:rsidRPr="002B55E9" w:rsidRDefault="00211B46" w:rsidP="00211B46">
            <w:pPr>
              <w:pStyle w:val="lgy-"/>
              <w:rPr>
                <w:rFonts w:eastAsia="宋体"/>
              </w:rPr>
            </w:pPr>
            <w:r w:rsidRPr="002B55E9">
              <w:rPr>
                <w:rFonts w:eastAsia="宋体" w:hint="eastAsia"/>
              </w:rPr>
              <w:t>/</w:t>
            </w:r>
          </w:p>
        </w:tc>
        <w:tc>
          <w:tcPr>
            <w:tcW w:w="596" w:type="dxa"/>
          </w:tcPr>
          <w:p w14:paraId="69B1C2AC" w14:textId="03B37271" w:rsidR="00211B46" w:rsidRPr="002B55E9" w:rsidRDefault="00211B46" w:rsidP="00211B46">
            <w:pPr>
              <w:pStyle w:val="lgy-"/>
              <w:rPr>
                <w:rFonts w:eastAsia="宋体"/>
              </w:rPr>
            </w:pPr>
            <w:r w:rsidRPr="002B55E9">
              <w:rPr>
                <w:rFonts w:eastAsia="宋体" w:hint="eastAsia"/>
              </w:rPr>
              <w:t>/</w:t>
            </w:r>
          </w:p>
        </w:tc>
        <w:tc>
          <w:tcPr>
            <w:tcW w:w="550" w:type="dxa"/>
            <w:vMerge/>
          </w:tcPr>
          <w:p w14:paraId="6386337F" w14:textId="77777777" w:rsidR="00211B46" w:rsidRPr="002B55E9" w:rsidRDefault="00211B46" w:rsidP="00211B46">
            <w:pPr>
              <w:pStyle w:val="lgy-"/>
              <w:rPr>
                <w:rFonts w:eastAsia="宋体"/>
              </w:rPr>
            </w:pPr>
          </w:p>
        </w:tc>
        <w:tc>
          <w:tcPr>
            <w:tcW w:w="776" w:type="dxa"/>
          </w:tcPr>
          <w:p w14:paraId="2E72885F" w14:textId="163A0E8D" w:rsidR="00211B46" w:rsidRPr="002B55E9" w:rsidRDefault="00211B46" w:rsidP="00211B46">
            <w:pPr>
              <w:pStyle w:val="lgy-"/>
              <w:rPr>
                <w:rFonts w:eastAsia="宋体"/>
              </w:rPr>
            </w:pPr>
            <w:r w:rsidRPr="002B55E9">
              <w:rPr>
                <w:rFonts w:eastAsia="宋体" w:hint="eastAsia"/>
              </w:rPr>
              <w:t>/</w:t>
            </w:r>
          </w:p>
        </w:tc>
        <w:tc>
          <w:tcPr>
            <w:tcW w:w="1010" w:type="dxa"/>
          </w:tcPr>
          <w:p w14:paraId="7AE67A4D" w14:textId="7937358E" w:rsidR="00211B46" w:rsidRPr="002B55E9" w:rsidRDefault="00356552" w:rsidP="00211B46">
            <w:pPr>
              <w:pStyle w:val="lgy-"/>
              <w:rPr>
                <w:rFonts w:eastAsia="宋体"/>
              </w:rPr>
            </w:pPr>
            <w:r w:rsidRPr="002B55E9">
              <w:rPr>
                <w:rFonts w:eastAsia="宋体" w:hint="eastAsia"/>
              </w:rPr>
              <w:t>＜</w:t>
            </w:r>
            <w:r w:rsidRPr="002B55E9">
              <w:rPr>
                <w:rFonts w:eastAsia="宋体" w:hint="eastAsia"/>
              </w:rPr>
              <w:t>2000</w:t>
            </w:r>
            <w:r w:rsidRPr="002B55E9">
              <w:rPr>
                <w:rFonts w:eastAsia="宋体" w:hint="eastAsia"/>
              </w:rPr>
              <w:t>（无量纲）</w:t>
            </w:r>
          </w:p>
        </w:tc>
        <w:tc>
          <w:tcPr>
            <w:tcW w:w="850" w:type="dxa"/>
          </w:tcPr>
          <w:p w14:paraId="76EEDB59" w14:textId="41CE38EB" w:rsidR="00211B46" w:rsidRPr="002B55E9" w:rsidRDefault="00211B46" w:rsidP="00211B46">
            <w:pPr>
              <w:pStyle w:val="lgy-"/>
              <w:rPr>
                <w:rFonts w:eastAsia="宋体"/>
              </w:rPr>
            </w:pPr>
            <w:r w:rsidRPr="002B55E9">
              <w:rPr>
                <w:rFonts w:eastAsia="宋体" w:hint="eastAsia"/>
              </w:rPr>
              <w:t>/</w:t>
            </w:r>
          </w:p>
        </w:tc>
        <w:tc>
          <w:tcPr>
            <w:tcW w:w="652" w:type="dxa"/>
          </w:tcPr>
          <w:p w14:paraId="4461DD71" w14:textId="1F6A67B7" w:rsidR="00211B46" w:rsidRPr="002B55E9" w:rsidRDefault="00211B46" w:rsidP="00211B46">
            <w:pPr>
              <w:pStyle w:val="lgy-"/>
              <w:rPr>
                <w:rFonts w:eastAsia="宋体"/>
              </w:rPr>
            </w:pPr>
            <w:r w:rsidRPr="002B55E9">
              <w:rPr>
                <w:rFonts w:eastAsia="宋体" w:hint="eastAsia"/>
              </w:rPr>
              <w:t>/</w:t>
            </w:r>
          </w:p>
        </w:tc>
      </w:tr>
    </w:tbl>
    <w:p w14:paraId="73FD5849" w14:textId="77777777" w:rsidR="00D170E5" w:rsidRPr="002B55E9" w:rsidRDefault="00D170E5"/>
    <w:p w14:paraId="1712900B" w14:textId="772DFFF2" w:rsidR="004077DC" w:rsidRPr="002B55E9" w:rsidRDefault="004077DC" w:rsidP="004077DC">
      <w:pPr>
        <w:pStyle w:val="5"/>
      </w:pPr>
      <w:r w:rsidRPr="002B55E9">
        <w:rPr>
          <w:rFonts w:hint="eastAsia"/>
        </w:rPr>
        <w:t>贴标</w:t>
      </w:r>
      <w:r w:rsidRPr="002B55E9">
        <w:t>、喷码废气</w:t>
      </w:r>
    </w:p>
    <w:p w14:paraId="55C89B1B" w14:textId="058FDD27" w:rsidR="003B602A" w:rsidRPr="002B55E9" w:rsidRDefault="00D20DF0" w:rsidP="00D20DF0">
      <w:pPr>
        <w:pStyle w:val="affff7"/>
        <w:snapToGrid w:val="0"/>
        <w:spacing w:after="0"/>
        <w:rPr>
          <w:bCs w:val="0"/>
        </w:rPr>
      </w:pPr>
      <w:r w:rsidRPr="002B55E9">
        <w:rPr>
          <w:rFonts w:hint="eastAsia"/>
        </w:rPr>
        <w:t>拟建</w:t>
      </w:r>
      <w:r w:rsidR="003B602A" w:rsidRPr="002B55E9">
        <w:rPr>
          <w:rFonts w:hint="eastAsia"/>
          <w:bCs w:val="0"/>
        </w:rPr>
        <w:t>项目</w:t>
      </w:r>
      <w:r w:rsidRPr="002B55E9">
        <w:rPr>
          <w:rFonts w:hint="eastAsia"/>
          <w:bCs w:val="0"/>
        </w:rPr>
        <w:t>十一车间料酒、食醋的成品</w:t>
      </w:r>
      <w:r w:rsidR="003B602A" w:rsidRPr="002B55E9">
        <w:rPr>
          <w:bCs w:val="0"/>
        </w:rPr>
        <w:t>包装工序会使用油墨进行</w:t>
      </w:r>
      <w:r w:rsidR="003B602A" w:rsidRPr="002B55E9">
        <w:rPr>
          <w:rFonts w:hint="eastAsia"/>
          <w:bCs w:val="0"/>
        </w:rPr>
        <w:t>喷码，使用商标胶进行</w:t>
      </w:r>
      <w:r w:rsidR="003B602A" w:rsidRPr="002B55E9">
        <w:rPr>
          <w:bCs w:val="0"/>
        </w:rPr>
        <w:t>贴标</w:t>
      </w:r>
      <w:r w:rsidR="003B602A" w:rsidRPr="002B55E9">
        <w:rPr>
          <w:rFonts w:hint="eastAsia"/>
          <w:bCs w:val="0"/>
        </w:rPr>
        <w:t>。根据建设单位提供</w:t>
      </w:r>
      <w:r w:rsidR="003B602A" w:rsidRPr="002B55E9">
        <w:rPr>
          <w:bCs w:val="0"/>
        </w:rPr>
        <w:t>的</w:t>
      </w:r>
      <w:r w:rsidR="003B602A" w:rsidRPr="002B55E9">
        <w:rPr>
          <w:rFonts w:hint="eastAsia"/>
          <w:bCs w:val="0"/>
        </w:rPr>
        <w:t>资料</w:t>
      </w:r>
      <w:r w:rsidR="003B602A" w:rsidRPr="002B55E9">
        <w:rPr>
          <w:bCs w:val="0"/>
        </w:rPr>
        <w:t>，</w:t>
      </w:r>
      <w:r w:rsidR="003B602A" w:rsidRPr="002B55E9">
        <w:rPr>
          <w:rFonts w:hint="eastAsia"/>
          <w:bCs w:val="0"/>
        </w:rPr>
        <w:t>油墨</w:t>
      </w:r>
      <w:r w:rsidR="003B602A" w:rsidRPr="002B55E9">
        <w:rPr>
          <w:bCs w:val="0"/>
        </w:rPr>
        <w:t>中</w:t>
      </w:r>
      <w:r w:rsidR="00EB3B98" w:rsidRPr="002B55E9">
        <w:rPr>
          <w:rFonts w:hint="eastAsia"/>
          <w:bCs w:val="0"/>
        </w:rPr>
        <w:t>挥发性有机物</w:t>
      </w:r>
      <w:r w:rsidR="003B602A" w:rsidRPr="002B55E9">
        <w:rPr>
          <w:bCs w:val="0"/>
        </w:rPr>
        <w:t>占比约为</w:t>
      </w:r>
      <w:r w:rsidR="003B602A" w:rsidRPr="002B55E9">
        <w:rPr>
          <w:rFonts w:hint="eastAsia"/>
          <w:bCs w:val="0"/>
        </w:rPr>
        <w:t>5.7</w:t>
      </w:r>
      <w:r w:rsidR="003B602A" w:rsidRPr="002B55E9">
        <w:rPr>
          <w:bCs w:val="0"/>
        </w:rPr>
        <w:t>%</w:t>
      </w:r>
      <w:r w:rsidR="003B602A" w:rsidRPr="002B55E9">
        <w:rPr>
          <w:bCs w:val="0"/>
        </w:rPr>
        <w:t>，商标</w:t>
      </w:r>
      <w:r w:rsidR="003B602A" w:rsidRPr="002B55E9">
        <w:rPr>
          <w:rFonts w:hint="eastAsia"/>
          <w:bCs w:val="0"/>
        </w:rPr>
        <w:t>胶</w:t>
      </w:r>
      <w:r w:rsidR="003B602A" w:rsidRPr="002B55E9">
        <w:rPr>
          <w:bCs w:val="0"/>
        </w:rPr>
        <w:t>中</w:t>
      </w:r>
      <w:r w:rsidR="00EB3B98" w:rsidRPr="002B55E9">
        <w:rPr>
          <w:rFonts w:hint="eastAsia"/>
          <w:bCs w:val="0"/>
        </w:rPr>
        <w:t>挥发性有机物</w:t>
      </w:r>
      <w:r w:rsidR="003B602A" w:rsidRPr="002B55E9">
        <w:rPr>
          <w:bCs w:val="0"/>
        </w:rPr>
        <w:t>占比约为</w:t>
      </w:r>
      <w:r w:rsidR="003B602A" w:rsidRPr="002B55E9">
        <w:rPr>
          <w:rFonts w:hint="eastAsia"/>
          <w:bCs w:val="0"/>
        </w:rPr>
        <w:t>0.0515</w:t>
      </w:r>
      <w:r w:rsidR="003B602A" w:rsidRPr="002B55E9">
        <w:rPr>
          <w:bCs w:val="0"/>
        </w:rPr>
        <w:t>%</w:t>
      </w:r>
      <w:r w:rsidR="003B602A" w:rsidRPr="002B55E9">
        <w:rPr>
          <w:bCs w:val="0"/>
        </w:rPr>
        <w:t>，</w:t>
      </w:r>
      <w:r w:rsidRPr="002B55E9">
        <w:rPr>
          <w:rFonts w:hint="eastAsia"/>
          <w:bCs w:val="0"/>
        </w:rPr>
        <w:t>贴标、</w:t>
      </w:r>
      <w:r w:rsidRPr="002B55E9">
        <w:rPr>
          <w:bCs w:val="0"/>
        </w:rPr>
        <w:t>喷码后的产品</w:t>
      </w:r>
      <w:r w:rsidRPr="002B55E9">
        <w:rPr>
          <w:rFonts w:hint="eastAsia"/>
          <w:bCs w:val="0"/>
        </w:rPr>
        <w:t>在</w:t>
      </w:r>
      <w:r w:rsidRPr="002B55E9">
        <w:rPr>
          <w:bCs w:val="0"/>
        </w:rPr>
        <w:t>输送带上快速</w:t>
      </w:r>
      <w:r w:rsidRPr="002B55E9">
        <w:rPr>
          <w:rFonts w:hint="eastAsia"/>
          <w:bCs w:val="0"/>
        </w:rPr>
        <w:t>移动</w:t>
      </w:r>
      <w:r w:rsidRPr="002B55E9">
        <w:rPr>
          <w:bCs w:val="0"/>
        </w:rPr>
        <w:t>，废气不</w:t>
      </w:r>
      <w:r w:rsidRPr="002B55E9">
        <w:rPr>
          <w:rFonts w:hint="eastAsia"/>
          <w:bCs w:val="0"/>
        </w:rPr>
        <w:t>易</w:t>
      </w:r>
      <w:r w:rsidRPr="002B55E9">
        <w:rPr>
          <w:bCs w:val="0"/>
        </w:rPr>
        <w:t>收集，拟通过加强车间通风，将有机废气经厂房通风换气设施抽排后无组织排放</w:t>
      </w:r>
      <w:r w:rsidRPr="002B55E9">
        <w:rPr>
          <w:rFonts w:hint="eastAsia"/>
          <w:bCs w:val="0"/>
        </w:rPr>
        <w:t>。项目</w:t>
      </w:r>
      <w:r w:rsidR="003B602A" w:rsidRPr="002B55E9">
        <w:rPr>
          <w:rFonts w:hint="eastAsia"/>
          <w:bCs w:val="0"/>
        </w:rPr>
        <w:t>贴标</w:t>
      </w:r>
      <w:r w:rsidR="003B602A" w:rsidRPr="002B55E9">
        <w:rPr>
          <w:bCs w:val="0"/>
        </w:rPr>
        <w:t>、喷码废气产生情况如下</w:t>
      </w:r>
      <w:r w:rsidR="003B602A" w:rsidRPr="002B55E9">
        <w:rPr>
          <w:rFonts w:hint="eastAsia"/>
          <w:bCs w:val="0"/>
        </w:rPr>
        <w:t>表</w:t>
      </w:r>
      <w:r w:rsidR="003B602A" w:rsidRPr="002B55E9">
        <w:rPr>
          <w:bCs w:val="0"/>
        </w:rPr>
        <w:t>所示。</w:t>
      </w:r>
    </w:p>
    <w:p w14:paraId="0BF335B3" w14:textId="718F6169" w:rsidR="003B602A" w:rsidRPr="002B55E9" w:rsidRDefault="003B602A" w:rsidP="003B602A">
      <w:pPr>
        <w:pStyle w:val="1f3"/>
        <w:snapToGrid w:val="0"/>
        <w:spacing w:beforeLines="0" w:before="0"/>
        <w:rPr>
          <w:bCs/>
        </w:rPr>
      </w:pPr>
      <w:r w:rsidRPr="002B55E9">
        <w:rPr>
          <w:rFonts w:hint="eastAsia"/>
        </w:rPr>
        <w:t>表</w:t>
      </w:r>
      <w:r w:rsidRPr="002B55E9">
        <w:t>3-</w:t>
      </w:r>
      <w:r w:rsidR="00D20DF0" w:rsidRPr="002B55E9">
        <w:t>3</w:t>
      </w:r>
      <w:r w:rsidRPr="002B55E9">
        <w:t>-1</w:t>
      </w:r>
      <w:r w:rsidR="00D20DF0" w:rsidRPr="002B55E9">
        <w:t>6</w:t>
      </w:r>
      <w:r w:rsidRPr="002B55E9">
        <w:t xml:space="preserve">  </w:t>
      </w:r>
      <w:r w:rsidRPr="002B55E9">
        <w:rPr>
          <w:rFonts w:hint="eastAsia"/>
        </w:rPr>
        <w:t>贴标、喷码废气</w:t>
      </w:r>
      <w:r w:rsidR="00D20DF0" w:rsidRPr="002B55E9">
        <w:rPr>
          <w:rFonts w:hint="eastAsia"/>
        </w:rPr>
        <w:t>产生情况</w:t>
      </w:r>
      <w:r w:rsidRPr="002B55E9">
        <w:rPr>
          <w:rFonts w:hint="eastAsia"/>
        </w:rPr>
        <w:t>一览表</w:t>
      </w:r>
    </w:p>
    <w:tbl>
      <w:tblPr>
        <w:tblStyle w:val="lgy2"/>
        <w:tblW w:w="5000" w:type="pct"/>
        <w:tblCellMar>
          <w:left w:w="28" w:type="dxa"/>
          <w:right w:w="28" w:type="dxa"/>
        </w:tblCellMar>
        <w:tblLook w:val="04A0" w:firstRow="1" w:lastRow="0" w:firstColumn="1" w:lastColumn="0" w:noHBand="0" w:noVBand="1"/>
      </w:tblPr>
      <w:tblGrid>
        <w:gridCol w:w="1373"/>
        <w:gridCol w:w="1763"/>
        <w:gridCol w:w="1996"/>
        <w:gridCol w:w="1854"/>
        <w:gridCol w:w="2708"/>
      </w:tblGrid>
      <w:tr w:rsidR="002B55E9" w:rsidRPr="002B55E9" w14:paraId="4EBD6E7D" w14:textId="77777777" w:rsidTr="00EB3B98">
        <w:trPr>
          <w:cnfStyle w:val="100000000000" w:firstRow="1" w:lastRow="0" w:firstColumn="0" w:lastColumn="0" w:oddVBand="0" w:evenVBand="0" w:oddHBand="0" w:evenHBand="0" w:firstRowFirstColumn="0" w:firstRowLastColumn="0" w:lastRowFirstColumn="0" w:lastRowLastColumn="0"/>
          <w:trHeight w:val="283"/>
        </w:trPr>
        <w:tc>
          <w:tcPr>
            <w:tcW w:w="1366" w:type="dxa"/>
            <w:hideMark/>
          </w:tcPr>
          <w:p w14:paraId="0C5FD42B" w14:textId="77777777" w:rsidR="003B602A" w:rsidRPr="002B55E9" w:rsidRDefault="003B602A" w:rsidP="00EB3B98">
            <w:pPr>
              <w:pStyle w:val="lgy-"/>
              <w:rPr>
                <w:rFonts w:eastAsia="宋体"/>
              </w:rPr>
            </w:pPr>
            <w:r w:rsidRPr="002B55E9">
              <w:rPr>
                <w:rFonts w:eastAsia="宋体" w:hint="eastAsia"/>
              </w:rPr>
              <w:t>序号</w:t>
            </w:r>
          </w:p>
        </w:tc>
        <w:tc>
          <w:tcPr>
            <w:tcW w:w="1753" w:type="dxa"/>
            <w:noWrap/>
            <w:hideMark/>
          </w:tcPr>
          <w:p w14:paraId="535B3BAE" w14:textId="77777777" w:rsidR="003B602A" w:rsidRPr="002B55E9" w:rsidRDefault="003B602A" w:rsidP="00EB3B98">
            <w:pPr>
              <w:pStyle w:val="lgy-"/>
              <w:rPr>
                <w:rFonts w:eastAsia="宋体"/>
                <w:szCs w:val="22"/>
              </w:rPr>
            </w:pPr>
            <w:r w:rsidRPr="002B55E9">
              <w:rPr>
                <w:rFonts w:eastAsia="宋体" w:hint="eastAsia"/>
                <w:szCs w:val="22"/>
              </w:rPr>
              <w:t>物料</w:t>
            </w:r>
          </w:p>
        </w:tc>
        <w:tc>
          <w:tcPr>
            <w:tcW w:w="1984" w:type="dxa"/>
            <w:noWrap/>
            <w:hideMark/>
          </w:tcPr>
          <w:p w14:paraId="6E0D55AE" w14:textId="77777777" w:rsidR="003B602A" w:rsidRPr="002B55E9" w:rsidRDefault="003B602A" w:rsidP="00EB3B98">
            <w:pPr>
              <w:pStyle w:val="lgy-"/>
              <w:rPr>
                <w:rFonts w:eastAsia="宋体"/>
                <w:szCs w:val="22"/>
              </w:rPr>
            </w:pPr>
            <w:r w:rsidRPr="002B55E9">
              <w:rPr>
                <w:rFonts w:eastAsia="宋体" w:hint="eastAsia"/>
                <w:szCs w:val="22"/>
              </w:rPr>
              <w:t>年用量</w:t>
            </w:r>
            <w:r w:rsidRPr="002B55E9">
              <w:rPr>
                <w:rFonts w:eastAsia="宋体" w:hint="eastAsia"/>
                <w:szCs w:val="22"/>
              </w:rPr>
              <w:t>t/a</w:t>
            </w:r>
          </w:p>
        </w:tc>
        <w:tc>
          <w:tcPr>
            <w:tcW w:w="1843" w:type="dxa"/>
            <w:noWrap/>
            <w:hideMark/>
          </w:tcPr>
          <w:p w14:paraId="109CDB64" w14:textId="2C0A3D45" w:rsidR="003B602A" w:rsidRPr="002B55E9" w:rsidRDefault="00EB3B98" w:rsidP="00EB3B98">
            <w:pPr>
              <w:pStyle w:val="lgy-"/>
              <w:rPr>
                <w:rFonts w:eastAsia="宋体"/>
                <w:szCs w:val="22"/>
              </w:rPr>
            </w:pPr>
            <w:r w:rsidRPr="002B55E9">
              <w:rPr>
                <w:rFonts w:eastAsia="宋体" w:hint="eastAsia"/>
                <w:szCs w:val="22"/>
              </w:rPr>
              <w:t>挥发性有机物</w:t>
            </w:r>
            <w:r w:rsidR="003B602A" w:rsidRPr="002B55E9">
              <w:rPr>
                <w:rFonts w:eastAsia="宋体" w:hint="eastAsia"/>
                <w:szCs w:val="22"/>
              </w:rPr>
              <w:t>比例</w:t>
            </w:r>
          </w:p>
        </w:tc>
        <w:tc>
          <w:tcPr>
            <w:tcW w:w="2692" w:type="dxa"/>
            <w:noWrap/>
            <w:hideMark/>
          </w:tcPr>
          <w:p w14:paraId="6C994372" w14:textId="304D61F3" w:rsidR="003B602A" w:rsidRPr="002B55E9" w:rsidRDefault="00EB3B98" w:rsidP="00EB3B98">
            <w:pPr>
              <w:pStyle w:val="lgy-"/>
              <w:rPr>
                <w:rFonts w:eastAsia="宋体"/>
                <w:szCs w:val="22"/>
              </w:rPr>
            </w:pPr>
            <w:r w:rsidRPr="002B55E9">
              <w:rPr>
                <w:rFonts w:eastAsia="宋体" w:hint="eastAsia"/>
                <w:szCs w:val="22"/>
              </w:rPr>
              <w:t>非甲烷总烃</w:t>
            </w:r>
            <w:r w:rsidR="003B602A" w:rsidRPr="002B55E9">
              <w:rPr>
                <w:rFonts w:eastAsia="宋体" w:hint="eastAsia"/>
                <w:szCs w:val="22"/>
              </w:rPr>
              <w:t>产生量</w:t>
            </w:r>
            <w:r w:rsidR="003B602A" w:rsidRPr="002B55E9">
              <w:rPr>
                <w:rFonts w:eastAsia="宋体" w:hint="eastAsia"/>
                <w:szCs w:val="22"/>
              </w:rPr>
              <w:t>t/a</w:t>
            </w:r>
          </w:p>
        </w:tc>
      </w:tr>
      <w:tr w:rsidR="002B55E9" w:rsidRPr="002B55E9" w14:paraId="1FAFC79D" w14:textId="77777777" w:rsidTr="00EB3B98">
        <w:trPr>
          <w:trHeight w:val="283"/>
        </w:trPr>
        <w:tc>
          <w:tcPr>
            <w:tcW w:w="1366" w:type="dxa"/>
            <w:hideMark/>
          </w:tcPr>
          <w:p w14:paraId="544497D6" w14:textId="77777777" w:rsidR="00D20DF0" w:rsidRPr="002B55E9" w:rsidRDefault="00D20DF0" w:rsidP="00EB3B98">
            <w:pPr>
              <w:pStyle w:val="lgy-"/>
              <w:rPr>
                <w:rFonts w:eastAsia="宋体"/>
              </w:rPr>
            </w:pPr>
            <w:r w:rsidRPr="002B55E9">
              <w:rPr>
                <w:rFonts w:eastAsia="宋体" w:hint="eastAsia"/>
              </w:rPr>
              <w:t>1</w:t>
            </w:r>
          </w:p>
        </w:tc>
        <w:tc>
          <w:tcPr>
            <w:tcW w:w="1753" w:type="dxa"/>
            <w:hideMark/>
          </w:tcPr>
          <w:p w14:paraId="6681D231" w14:textId="77777777" w:rsidR="00D20DF0" w:rsidRPr="002B55E9" w:rsidRDefault="00D20DF0" w:rsidP="00EB3B98">
            <w:pPr>
              <w:pStyle w:val="lgy-"/>
              <w:rPr>
                <w:rFonts w:eastAsia="宋体"/>
              </w:rPr>
            </w:pPr>
            <w:r w:rsidRPr="002B55E9">
              <w:rPr>
                <w:rFonts w:eastAsia="宋体" w:hint="eastAsia"/>
              </w:rPr>
              <w:t>油墨</w:t>
            </w:r>
          </w:p>
        </w:tc>
        <w:tc>
          <w:tcPr>
            <w:tcW w:w="1984" w:type="dxa"/>
            <w:hideMark/>
          </w:tcPr>
          <w:p w14:paraId="1D699FC2" w14:textId="13E3C99A" w:rsidR="00D20DF0" w:rsidRPr="002B55E9" w:rsidRDefault="00D20DF0" w:rsidP="00EB3B98">
            <w:pPr>
              <w:pStyle w:val="lgy-"/>
              <w:rPr>
                <w:rFonts w:eastAsia="宋体"/>
              </w:rPr>
            </w:pPr>
            <w:r w:rsidRPr="002B55E9">
              <w:rPr>
                <w:rFonts w:eastAsia="宋体"/>
              </w:rPr>
              <w:t>0.15</w:t>
            </w:r>
          </w:p>
        </w:tc>
        <w:tc>
          <w:tcPr>
            <w:tcW w:w="1843" w:type="dxa"/>
            <w:noWrap/>
            <w:hideMark/>
          </w:tcPr>
          <w:p w14:paraId="782295E9" w14:textId="77777777" w:rsidR="00D20DF0" w:rsidRPr="002B55E9" w:rsidRDefault="00D20DF0" w:rsidP="00EB3B98">
            <w:pPr>
              <w:pStyle w:val="lgy-"/>
              <w:rPr>
                <w:rFonts w:eastAsia="宋体"/>
                <w:szCs w:val="22"/>
              </w:rPr>
            </w:pPr>
            <w:r w:rsidRPr="002B55E9">
              <w:rPr>
                <w:rFonts w:eastAsia="宋体" w:hint="eastAsia"/>
                <w:szCs w:val="22"/>
              </w:rPr>
              <w:t>5.70%</w:t>
            </w:r>
          </w:p>
        </w:tc>
        <w:tc>
          <w:tcPr>
            <w:tcW w:w="2692" w:type="dxa"/>
            <w:noWrap/>
            <w:hideMark/>
          </w:tcPr>
          <w:p w14:paraId="61DE13F0" w14:textId="212D57B2" w:rsidR="00D20DF0" w:rsidRPr="002B55E9" w:rsidRDefault="00D20DF0" w:rsidP="00EB3B98">
            <w:pPr>
              <w:pStyle w:val="lgy-"/>
              <w:rPr>
                <w:rFonts w:eastAsia="宋体"/>
                <w:szCs w:val="22"/>
              </w:rPr>
            </w:pPr>
            <w:r w:rsidRPr="002B55E9">
              <w:rPr>
                <w:rFonts w:eastAsia="宋体" w:hint="eastAsia"/>
                <w:szCs w:val="22"/>
              </w:rPr>
              <w:t>0.00</w:t>
            </w:r>
            <w:r w:rsidRPr="002B55E9">
              <w:rPr>
                <w:rFonts w:eastAsia="宋体"/>
                <w:szCs w:val="22"/>
              </w:rPr>
              <w:t>9</w:t>
            </w:r>
          </w:p>
        </w:tc>
      </w:tr>
      <w:tr w:rsidR="002B55E9" w:rsidRPr="002B55E9" w14:paraId="3A03B0ED" w14:textId="77777777" w:rsidTr="00EB3B98">
        <w:trPr>
          <w:trHeight w:val="283"/>
        </w:trPr>
        <w:tc>
          <w:tcPr>
            <w:tcW w:w="1366" w:type="dxa"/>
            <w:hideMark/>
          </w:tcPr>
          <w:p w14:paraId="35899B51" w14:textId="77777777" w:rsidR="00D20DF0" w:rsidRPr="002B55E9" w:rsidRDefault="00D20DF0" w:rsidP="00EB3B98">
            <w:pPr>
              <w:pStyle w:val="lgy-"/>
              <w:rPr>
                <w:rFonts w:eastAsia="宋体"/>
              </w:rPr>
            </w:pPr>
            <w:r w:rsidRPr="002B55E9">
              <w:rPr>
                <w:rFonts w:eastAsia="宋体" w:hint="eastAsia"/>
              </w:rPr>
              <w:t>2</w:t>
            </w:r>
          </w:p>
        </w:tc>
        <w:tc>
          <w:tcPr>
            <w:tcW w:w="1753" w:type="dxa"/>
            <w:hideMark/>
          </w:tcPr>
          <w:p w14:paraId="7B183EA0" w14:textId="77777777" w:rsidR="00D20DF0" w:rsidRPr="002B55E9" w:rsidRDefault="00D20DF0" w:rsidP="00EB3B98">
            <w:pPr>
              <w:pStyle w:val="lgy-"/>
              <w:rPr>
                <w:rFonts w:eastAsia="宋体"/>
              </w:rPr>
            </w:pPr>
            <w:r w:rsidRPr="002B55E9">
              <w:rPr>
                <w:rFonts w:eastAsia="宋体" w:hint="eastAsia"/>
              </w:rPr>
              <w:t>商标胶</w:t>
            </w:r>
          </w:p>
        </w:tc>
        <w:tc>
          <w:tcPr>
            <w:tcW w:w="1984" w:type="dxa"/>
            <w:hideMark/>
          </w:tcPr>
          <w:p w14:paraId="6C2775E9" w14:textId="01A58CD0" w:rsidR="00D20DF0" w:rsidRPr="002B55E9" w:rsidRDefault="00D20DF0" w:rsidP="00EB3B98">
            <w:pPr>
              <w:pStyle w:val="lgy-"/>
              <w:rPr>
                <w:rFonts w:eastAsia="宋体"/>
              </w:rPr>
            </w:pPr>
            <w:r w:rsidRPr="002B55E9">
              <w:rPr>
                <w:rFonts w:eastAsia="宋体"/>
              </w:rPr>
              <w:t>320</w:t>
            </w:r>
          </w:p>
        </w:tc>
        <w:tc>
          <w:tcPr>
            <w:tcW w:w="1843" w:type="dxa"/>
            <w:noWrap/>
            <w:hideMark/>
          </w:tcPr>
          <w:p w14:paraId="40E35A2A" w14:textId="77777777" w:rsidR="00D20DF0" w:rsidRPr="002B55E9" w:rsidRDefault="00D20DF0" w:rsidP="00EB3B98">
            <w:pPr>
              <w:pStyle w:val="lgy-"/>
              <w:rPr>
                <w:rFonts w:eastAsia="宋体"/>
                <w:szCs w:val="22"/>
              </w:rPr>
            </w:pPr>
            <w:r w:rsidRPr="002B55E9">
              <w:rPr>
                <w:rFonts w:eastAsia="宋体" w:hint="eastAsia"/>
                <w:szCs w:val="22"/>
              </w:rPr>
              <w:t>0.052%</w:t>
            </w:r>
          </w:p>
        </w:tc>
        <w:tc>
          <w:tcPr>
            <w:tcW w:w="2692" w:type="dxa"/>
            <w:noWrap/>
            <w:hideMark/>
          </w:tcPr>
          <w:p w14:paraId="6D06D419" w14:textId="181AE83F" w:rsidR="00D20DF0" w:rsidRPr="002B55E9" w:rsidRDefault="00D20DF0" w:rsidP="00EB3B98">
            <w:pPr>
              <w:pStyle w:val="lgy-"/>
              <w:rPr>
                <w:rFonts w:eastAsia="宋体"/>
                <w:szCs w:val="22"/>
              </w:rPr>
            </w:pPr>
            <w:r w:rsidRPr="002B55E9">
              <w:rPr>
                <w:rFonts w:eastAsia="宋体" w:hint="eastAsia"/>
                <w:szCs w:val="22"/>
              </w:rPr>
              <w:t>0.16</w:t>
            </w:r>
            <w:r w:rsidRPr="002B55E9">
              <w:rPr>
                <w:rFonts w:eastAsia="宋体"/>
                <w:szCs w:val="22"/>
              </w:rPr>
              <w:t>5</w:t>
            </w:r>
          </w:p>
        </w:tc>
      </w:tr>
      <w:tr w:rsidR="002B55E9" w:rsidRPr="002B55E9" w14:paraId="5E43023F" w14:textId="77777777" w:rsidTr="00EB3B98">
        <w:trPr>
          <w:trHeight w:val="283"/>
        </w:trPr>
        <w:tc>
          <w:tcPr>
            <w:tcW w:w="3119" w:type="dxa"/>
            <w:gridSpan w:val="2"/>
            <w:hideMark/>
          </w:tcPr>
          <w:p w14:paraId="3AA75907" w14:textId="77777777" w:rsidR="003B602A" w:rsidRPr="002B55E9" w:rsidRDefault="003B602A" w:rsidP="00EB3B98">
            <w:pPr>
              <w:pStyle w:val="lgy-"/>
              <w:rPr>
                <w:rFonts w:eastAsia="宋体"/>
              </w:rPr>
            </w:pPr>
            <w:r w:rsidRPr="002B55E9">
              <w:rPr>
                <w:rFonts w:eastAsia="宋体" w:hint="eastAsia"/>
              </w:rPr>
              <w:t>合计</w:t>
            </w:r>
          </w:p>
        </w:tc>
        <w:tc>
          <w:tcPr>
            <w:tcW w:w="1984" w:type="dxa"/>
            <w:hideMark/>
          </w:tcPr>
          <w:p w14:paraId="410F2EB8" w14:textId="77777777" w:rsidR="003B602A" w:rsidRPr="002B55E9" w:rsidRDefault="003B602A" w:rsidP="00EB3B98">
            <w:pPr>
              <w:pStyle w:val="lgy-"/>
              <w:rPr>
                <w:rFonts w:eastAsia="宋体"/>
              </w:rPr>
            </w:pPr>
            <w:r w:rsidRPr="002B55E9">
              <w:rPr>
                <w:rFonts w:eastAsia="宋体"/>
              </w:rPr>
              <w:t>/</w:t>
            </w:r>
          </w:p>
        </w:tc>
        <w:tc>
          <w:tcPr>
            <w:tcW w:w="1843" w:type="dxa"/>
            <w:hideMark/>
          </w:tcPr>
          <w:p w14:paraId="7E802620" w14:textId="77777777" w:rsidR="003B602A" w:rsidRPr="002B55E9" w:rsidRDefault="003B602A" w:rsidP="00EB3B98">
            <w:pPr>
              <w:pStyle w:val="lgy-"/>
              <w:rPr>
                <w:rFonts w:eastAsia="宋体"/>
              </w:rPr>
            </w:pPr>
            <w:r w:rsidRPr="002B55E9">
              <w:rPr>
                <w:rFonts w:eastAsia="宋体"/>
              </w:rPr>
              <w:t>/</w:t>
            </w:r>
          </w:p>
        </w:tc>
        <w:tc>
          <w:tcPr>
            <w:tcW w:w="2692" w:type="dxa"/>
            <w:hideMark/>
          </w:tcPr>
          <w:p w14:paraId="15439F4D" w14:textId="1E0CC153" w:rsidR="003B602A" w:rsidRPr="002B55E9" w:rsidRDefault="00D20DF0" w:rsidP="00EB3B98">
            <w:pPr>
              <w:pStyle w:val="lgy-"/>
              <w:rPr>
                <w:rFonts w:eastAsia="宋体"/>
              </w:rPr>
            </w:pPr>
            <w:r w:rsidRPr="002B55E9">
              <w:rPr>
                <w:rFonts w:eastAsia="宋体"/>
              </w:rPr>
              <w:t>0.174</w:t>
            </w:r>
          </w:p>
        </w:tc>
      </w:tr>
    </w:tbl>
    <w:p w14:paraId="269739A2" w14:textId="1E5E126D" w:rsidR="004077DC" w:rsidRPr="002B55E9" w:rsidRDefault="00D20DF0">
      <w:pPr>
        <w:pStyle w:val="affff7"/>
        <w:snapToGrid w:val="0"/>
        <w:spacing w:after="0"/>
        <w:rPr>
          <w:bCs w:val="0"/>
        </w:rPr>
      </w:pPr>
      <w:r w:rsidRPr="002B55E9">
        <w:rPr>
          <w:rFonts w:hint="eastAsia"/>
          <w:bCs w:val="0"/>
        </w:rPr>
        <w:t>贴标</w:t>
      </w:r>
      <w:r w:rsidRPr="002B55E9">
        <w:rPr>
          <w:bCs w:val="0"/>
        </w:rPr>
        <w:t>、喷码废气</w:t>
      </w:r>
      <w:r w:rsidRPr="002B55E9">
        <w:rPr>
          <w:rFonts w:hint="eastAsia"/>
          <w:bCs w:val="0"/>
        </w:rPr>
        <w:t>无组织排放情况见下表。</w:t>
      </w:r>
    </w:p>
    <w:p w14:paraId="19F5A12A" w14:textId="13499AB6" w:rsidR="00D20DF0" w:rsidRPr="002B55E9" w:rsidRDefault="00D20DF0" w:rsidP="00D20DF0">
      <w:pPr>
        <w:pStyle w:val="1f3"/>
        <w:snapToGrid w:val="0"/>
        <w:spacing w:beforeLines="0" w:before="0"/>
        <w:rPr>
          <w:bCs/>
        </w:rPr>
      </w:pPr>
      <w:r w:rsidRPr="002B55E9">
        <w:rPr>
          <w:rFonts w:hint="eastAsia"/>
        </w:rPr>
        <w:t>表</w:t>
      </w:r>
      <w:r w:rsidRPr="002B55E9">
        <w:t xml:space="preserve">3-3-17  </w:t>
      </w:r>
      <w:r w:rsidRPr="002B55E9">
        <w:rPr>
          <w:rFonts w:hint="eastAsia"/>
        </w:rPr>
        <w:t>贴标、喷码废气排放一览表</w:t>
      </w:r>
    </w:p>
    <w:tbl>
      <w:tblPr>
        <w:tblStyle w:val="lgy2"/>
        <w:tblW w:w="5000" w:type="pct"/>
        <w:tblLayout w:type="fixed"/>
        <w:tblCellMar>
          <w:left w:w="28" w:type="dxa"/>
          <w:right w:w="28" w:type="dxa"/>
        </w:tblCellMar>
        <w:tblLook w:val="04A0" w:firstRow="1" w:lastRow="0" w:firstColumn="1" w:lastColumn="0" w:noHBand="0" w:noVBand="1"/>
      </w:tblPr>
      <w:tblGrid>
        <w:gridCol w:w="999"/>
        <w:gridCol w:w="855"/>
        <w:gridCol w:w="856"/>
        <w:gridCol w:w="855"/>
        <w:gridCol w:w="1283"/>
        <w:gridCol w:w="1141"/>
        <w:gridCol w:w="1568"/>
        <w:gridCol w:w="2137"/>
      </w:tblGrid>
      <w:tr w:rsidR="002B55E9" w:rsidRPr="002B55E9" w14:paraId="684FE1FB" w14:textId="77777777" w:rsidTr="00AE5254">
        <w:trPr>
          <w:cnfStyle w:val="100000000000" w:firstRow="1" w:lastRow="0" w:firstColumn="0" w:lastColumn="0" w:oddVBand="0" w:evenVBand="0" w:oddHBand="0" w:evenHBand="0" w:firstRowFirstColumn="0" w:firstRowLastColumn="0" w:lastRowFirstColumn="0" w:lastRowLastColumn="0"/>
          <w:trHeight w:val="283"/>
        </w:trPr>
        <w:tc>
          <w:tcPr>
            <w:tcW w:w="993" w:type="dxa"/>
            <w:vMerge w:val="restart"/>
            <w:noWrap/>
          </w:tcPr>
          <w:p w14:paraId="6224982F" w14:textId="77777777" w:rsidR="00D20DF0" w:rsidRPr="002B55E9" w:rsidRDefault="00D20DF0" w:rsidP="00AE5254">
            <w:pPr>
              <w:pStyle w:val="lgy-"/>
            </w:pPr>
            <w:r w:rsidRPr="002B55E9">
              <w:rPr>
                <w:rFonts w:eastAsia="宋体"/>
              </w:rPr>
              <w:t>厂房名称</w:t>
            </w:r>
          </w:p>
        </w:tc>
        <w:tc>
          <w:tcPr>
            <w:tcW w:w="3827" w:type="dxa"/>
            <w:gridSpan w:val="4"/>
            <w:noWrap/>
          </w:tcPr>
          <w:p w14:paraId="30EF284E" w14:textId="77777777" w:rsidR="00D20DF0" w:rsidRPr="002B55E9" w:rsidRDefault="00D20DF0" w:rsidP="00AE5254">
            <w:pPr>
              <w:pStyle w:val="lgy-"/>
            </w:pPr>
            <w:r w:rsidRPr="002B55E9">
              <w:rPr>
                <w:rFonts w:eastAsia="宋体"/>
              </w:rPr>
              <w:t>排放参数</w:t>
            </w:r>
          </w:p>
        </w:tc>
        <w:tc>
          <w:tcPr>
            <w:tcW w:w="4818" w:type="dxa"/>
            <w:gridSpan w:val="3"/>
            <w:noWrap/>
          </w:tcPr>
          <w:p w14:paraId="61E9FB05" w14:textId="77777777" w:rsidR="00D20DF0" w:rsidRPr="002B55E9" w:rsidRDefault="00D20DF0" w:rsidP="00AE5254">
            <w:pPr>
              <w:pStyle w:val="lgy-"/>
              <w:rPr>
                <w:rFonts w:eastAsia="宋体"/>
              </w:rPr>
            </w:pPr>
            <w:r w:rsidRPr="002B55E9">
              <w:rPr>
                <w:rFonts w:eastAsia="宋体"/>
              </w:rPr>
              <w:t>无组织排放情况</w:t>
            </w:r>
          </w:p>
        </w:tc>
      </w:tr>
      <w:tr w:rsidR="002B55E9" w:rsidRPr="002B55E9" w14:paraId="59A30765" w14:textId="77777777" w:rsidTr="00AE5254">
        <w:trPr>
          <w:trHeight w:val="283"/>
        </w:trPr>
        <w:tc>
          <w:tcPr>
            <w:tcW w:w="993" w:type="dxa"/>
            <w:vMerge/>
          </w:tcPr>
          <w:p w14:paraId="5B9D3AFD" w14:textId="77777777" w:rsidR="00D20DF0" w:rsidRPr="002B55E9" w:rsidRDefault="00D20DF0" w:rsidP="00AE5254">
            <w:pPr>
              <w:widowControl/>
              <w:jc w:val="left"/>
              <w:rPr>
                <w:bCs/>
                <w:szCs w:val="18"/>
              </w:rPr>
            </w:pPr>
          </w:p>
        </w:tc>
        <w:tc>
          <w:tcPr>
            <w:tcW w:w="850" w:type="dxa"/>
            <w:noWrap/>
          </w:tcPr>
          <w:p w14:paraId="39ECEFD3" w14:textId="77777777" w:rsidR="00D20DF0" w:rsidRPr="002B55E9" w:rsidRDefault="00D20DF0" w:rsidP="00AE5254">
            <w:pPr>
              <w:pStyle w:val="lgy-"/>
            </w:pPr>
            <w:r w:rsidRPr="002B55E9">
              <w:rPr>
                <w:rFonts w:eastAsia="宋体"/>
              </w:rPr>
              <w:t>长度</w:t>
            </w:r>
            <w:r w:rsidRPr="002B55E9">
              <w:rPr>
                <w:rFonts w:eastAsia="宋体"/>
              </w:rPr>
              <w:t>m</w:t>
            </w:r>
          </w:p>
        </w:tc>
        <w:tc>
          <w:tcPr>
            <w:tcW w:w="851" w:type="dxa"/>
          </w:tcPr>
          <w:p w14:paraId="51B94B6A" w14:textId="77777777" w:rsidR="00D20DF0" w:rsidRPr="002B55E9" w:rsidRDefault="00D20DF0" w:rsidP="00AE5254">
            <w:pPr>
              <w:pStyle w:val="lgy-"/>
            </w:pPr>
            <w:r w:rsidRPr="002B55E9">
              <w:rPr>
                <w:rFonts w:eastAsia="宋体"/>
              </w:rPr>
              <w:t>宽度</w:t>
            </w:r>
            <w:r w:rsidRPr="002B55E9">
              <w:rPr>
                <w:rFonts w:eastAsia="宋体"/>
              </w:rPr>
              <w:t>m</w:t>
            </w:r>
          </w:p>
        </w:tc>
        <w:tc>
          <w:tcPr>
            <w:tcW w:w="850" w:type="dxa"/>
            <w:noWrap/>
          </w:tcPr>
          <w:p w14:paraId="4C8F1293" w14:textId="77777777" w:rsidR="00D20DF0" w:rsidRPr="002B55E9" w:rsidRDefault="00D20DF0" w:rsidP="00AE5254">
            <w:pPr>
              <w:pStyle w:val="lgy-"/>
            </w:pPr>
            <w:r w:rsidRPr="002B55E9">
              <w:rPr>
                <w:rFonts w:eastAsia="宋体"/>
              </w:rPr>
              <w:t>高度</w:t>
            </w:r>
            <w:r w:rsidRPr="002B55E9">
              <w:rPr>
                <w:rFonts w:eastAsia="宋体"/>
              </w:rPr>
              <w:t>m</w:t>
            </w:r>
          </w:p>
        </w:tc>
        <w:tc>
          <w:tcPr>
            <w:tcW w:w="1276" w:type="dxa"/>
            <w:noWrap/>
          </w:tcPr>
          <w:p w14:paraId="27C86EEA" w14:textId="77777777" w:rsidR="00D20DF0" w:rsidRPr="002B55E9" w:rsidRDefault="00D20DF0" w:rsidP="00AE5254">
            <w:pPr>
              <w:pStyle w:val="lgy-"/>
            </w:pPr>
            <w:r w:rsidRPr="002B55E9">
              <w:rPr>
                <w:rFonts w:eastAsia="宋体"/>
              </w:rPr>
              <w:t>年排放时间</w:t>
            </w:r>
            <w:r w:rsidRPr="002B55E9">
              <w:rPr>
                <w:rFonts w:eastAsia="宋体"/>
              </w:rPr>
              <w:t>h</w:t>
            </w:r>
          </w:p>
        </w:tc>
        <w:tc>
          <w:tcPr>
            <w:tcW w:w="1134" w:type="dxa"/>
            <w:noWrap/>
          </w:tcPr>
          <w:p w14:paraId="4F53D4DC" w14:textId="77777777" w:rsidR="00D20DF0" w:rsidRPr="002B55E9" w:rsidRDefault="00D20DF0" w:rsidP="00AE5254">
            <w:pPr>
              <w:pStyle w:val="lgy-"/>
            </w:pPr>
            <w:r w:rsidRPr="002B55E9">
              <w:rPr>
                <w:rFonts w:eastAsia="宋体"/>
              </w:rPr>
              <w:t>污染物名称</w:t>
            </w:r>
          </w:p>
        </w:tc>
        <w:tc>
          <w:tcPr>
            <w:tcW w:w="1559" w:type="dxa"/>
          </w:tcPr>
          <w:p w14:paraId="5E19CB32" w14:textId="77777777" w:rsidR="00D20DF0" w:rsidRPr="002B55E9" w:rsidRDefault="00D20DF0" w:rsidP="00AE5254">
            <w:pPr>
              <w:pStyle w:val="lgy-"/>
            </w:pPr>
            <w:r w:rsidRPr="002B55E9">
              <w:rPr>
                <w:rFonts w:eastAsia="宋体"/>
              </w:rPr>
              <w:t>排放量（</w:t>
            </w:r>
            <w:r w:rsidRPr="002B55E9">
              <w:rPr>
                <w:rFonts w:eastAsia="宋体"/>
              </w:rPr>
              <w:t>t/a</w:t>
            </w:r>
            <w:r w:rsidRPr="002B55E9">
              <w:rPr>
                <w:rFonts w:eastAsia="宋体"/>
              </w:rPr>
              <w:t>）</w:t>
            </w:r>
          </w:p>
        </w:tc>
        <w:tc>
          <w:tcPr>
            <w:tcW w:w="2125" w:type="dxa"/>
          </w:tcPr>
          <w:p w14:paraId="1E951DC0" w14:textId="77777777" w:rsidR="00D20DF0" w:rsidRPr="002B55E9" w:rsidRDefault="00D20DF0" w:rsidP="00AE5254">
            <w:pPr>
              <w:pStyle w:val="lgy-"/>
              <w:rPr>
                <w:rFonts w:eastAsia="宋体"/>
              </w:rPr>
            </w:pPr>
            <w:r w:rsidRPr="002B55E9">
              <w:rPr>
                <w:rFonts w:eastAsia="宋体"/>
              </w:rPr>
              <w:t>排放速率（</w:t>
            </w:r>
            <w:r w:rsidRPr="002B55E9">
              <w:rPr>
                <w:rFonts w:eastAsia="宋体"/>
              </w:rPr>
              <w:t>kg/h</w:t>
            </w:r>
            <w:r w:rsidRPr="002B55E9">
              <w:rPr>
                <w:rFonts w:eastAsia="宋体"/>
              </w:rPr>
              <w:t>）</w:t>
            </w:r>
          </w:p>
        </w:tc>
      </w:tr>
      <w:tr w:rsidR="002B55E9" w:rsidRPr="002B55E9" w14:paraId="52B5F43B" w14:textId="77777777" w:rsidTr="00AE5254">
        <w:trPr>
          <w:trHeight w:val="283"/>
        </w:trPr>
        <w:tc>
          <w:tcPr>
            <w:tcW w:w="993" w:type="dxa"/>
            <w:noWrap/>
          </w:tcPr>
          <w:p w14:paraId="5E5F93D1" w14:textId="77777777" w:rsidR="00D20DF0" w:rsidRPr="002B55E9" w:rsidRDefault="00D20DF0" w:rsidP="00AE5254">
            <w:pPr>
              <w:pStyle w:val="lgy-"/>
            </w:pPr>
            <w:r w:rsidRPr="002B55E9">
              <w:rPr>
                <w:rFonts w:eastAsia="宋体"/>
              </w:rPr>
              <w:t>十一车间</w:t>
            </w:r>
          </w:p>
        </w:tc>
        <w:tc>
          <w:tcPr>
            <w:tcW w:w="850" w:type="dxa"/>
            <w:noWrap/>
          </w:tcPr>
          <w:p w14:paraId="13B6A8DF" w14:textId="77777777" w:rsidR="00D20DF0" w:rsidRPr="002B55E9" w:rsidRDefault="00D20DF0" w:rsidP="00AE5254">
            <w:pPr>
              <w:pStyle w:val="lgy-"/>
            </w:pPr>
            <w:r w:rsidRPr="002B55E9">
              <w:rPr>
                <w:rFonts w:eastAsia="宋体"/>
              </w:rPr>
              <w:t>160</w:t>
            </w:r>
          </w:p>
        </w:tc>
        <w:tc>
          <w:tcPr>
            <w:tcW w:w="851" w:type="dxa"/>
            <w:noWrap/>
          </w:tcPr>
          <w:p w14:paraId="617934B9" w14:textId="77777777" w:rsidR="00D20DF0" w:rsidRPr="002B55E9" w:rsidRDefault="00D20DF0" w:rsidP="00AE5254">
            <w:pPr>
              <w:pStyle w:val="lgy-"/>
            </w:pPr>
            <w:r w:rsidRPr="002B55E9">
              <w:rPr>
                <w:rFonts w:eastAsia="宋体"/>
              </w:rPr>
              <w:t>88</w:t>
            </w:r>
          </w:p>
        </w:tc>
        <w:tc>
          <w:tcPr>
            <w:tcW w:w="850" w:type="dxa"/>
            <w:noWrap/>
          </w:tcPr>
          <w:p w14:paraId="01E88284" w14:textId="77777777" w:rsidR="00D20DF0" w:rsidRPr="002B55E9" w:rsidRDefault="00D20DF0" w:rsidP="00AE5254">
            <w:pPr>
              <w:pStyle w:val="lgy-"/>
            </w:pPr>
            <w:r w:rsidRPr="002B55E9">
              <w:rPr>
                <w:rFonts w:eastAsia="宋体"/>
              </w:rPr>
              <w:t>14.4</w:t>
            </w:r>
          </w:p>
        </w:tc>
        <w:tc>
          <w:tcPr>
            <w:tcW w:w="1276" w:type="dxa"/>
            <w:noWrap/>
          </w:tcPr>
          <w:p w14:paraId="4FE3A53E" w14:textId="13EB646D" w:rsidR="00D20DF0" w:rsidRPr="002B55E9" w:rsidRDefault="00D20DF0" w:rsidP="00AE5254">
            <w:pPr>
              <w:pStyle w:val="lgy-"/>
            </w:pPr>
            <w:r w:rsidRPr="002B55E9">
              <w:rPr>
                <w:rFonts w:eastAsia="宋体"/>
              </w:rPr>
              <w:t>7920</w:t>
            </w:r>
          </w:p>
        </w:tc>
        <w:tc>
          <w:tcPr>
            <w:tcW w:w="1134" w:type="dxa"/>
          </w:tcPr>
          <w:p w14:paraId="6B472A91" w14:textId="77777777" w:rsidR="00D20DF0" w:rsidRPr="002B55E9" w:rsidRDefault="00D20DF0" w:rsidP="00AE5254">
            <w:pPr>
              <w:pStyle w:val="lgy-"/>
            </w:pPr>
            <w:r w:rsidRPr="002B55E9">
              <w:rPr>
                <w:rFonts w:eastAsia="宋体"/>
              </w:rPr>
              <w:t>非甲烷总烃</w:t>
            </w:r>
          </w:p>
        </w:tc>
        <w:tc>
          <w:tcPr>
            <w:tcW w:w="1559" w:type="dxa"/>
          </w:tcPr>
          <w:p w14:paraId="2438F4DD" w14:textId="33CCFE94" w:rsidR="00D20DF0" w:rsidRPr="002B55E9" w:rsidRDefault="00D20DF0" w:rsidP="00AE5254">
            <w:pPr>
              <w:widowControl/>
              <w:jc w:val="center"/>
              <w:rPr>
                <w:szCs w:val="18"/>
              </w:rPr>
            </w:pPr>
            <w:r w:rsidRPr="002B55E9">
              <w:rPr>
                <w:rFonts w:eastAsia="宋体"/>
                <w:szCs w:val="18"/>
              </w:rPr>
              <w:t>0.174</w:t>
            </w:r>
          </w:p>
        </w:tc>
        <w:tc>
          <w:tcPr>
            <w:tcW w:w="2125" w:type="dxa"/>
          </w:tcPr>
          <w:p w14:paraId="38168340" w14:textId="70138A03" w:rsidR="00D20DF0" w:rsidRPr="002B55E9" w:rsidRDefault="00D20DF0" w:rsidP="00AE5254">
            <w:pPr>
              <w:widowControl/>
              <w:jc w:val="center"/>
              <w:rPr>
                <w:rFonts w:eastAsia="宋体"/>
                <w:szCs w:val="18"/>
              </w:rPr>
            </w:pPr>
            <w:r w:rsidRPr="002B55E9">
              <w:rPr>
                <w:rFonts w:eastAsia="宋体" w:hint="eastAsia"/>
                <w:szCs w:val="18"/>
              </w:rPr>
              <w:t>0</w:t>
            </w:r>
            <w:r w:rsidRPr="002B55E9">
              <w:rPr>
                <w:rFonts w:eastAsia="宋体"/>
                <w:szCs w:val="18"/>
              </w:rPr>
              <w:t>.022</w:t>
            </w:r>
          </w:p>
        </w:tc>
      </w:tr>
    </w:tbl>
    <w:p w14:paraId="4214A3BF" w14:textId="77777777" w:rsidR="00D170E5" w:rsidRPr="002B55E9" w:rsidRDefault="00EF27AD">
      <w:pPr>
        <w:pStyle w:val="5"/>
      </w:pPr>
      <w:r w:rsidRPr="002B55E9">
        <w:rPr>
          <w:rFonts w:hint="eastAsia"/>
        </w:rPr>
        <w:lastRenderedPageBreak/>
        <w:t>车间异味</w:t>
      </w:r>
    </w:p>
    <w:p w14:paraId="6B396CB1" w14:textId="53D5567A" w:rsidR="00003D85" w:rsidRPr="002B55E9" w:rsidRDefault="00FD1739" w:rsidP="00003D85">
      <w:pPr>
        <w:pStyle w:val="affff7"/>
        <w:snapToGrid w:val="0"/>
      </w:pPr>
      <w:r w:rsidRPr="002B55E9">
        <w:rPr>
          <w:rFonts w:hint="eastAsia"/>
        </w:rPr>
        <w:t>拟建</w:t>
      </w:r>
      <w:r w:rsidR="00003D85" w:rsidRPr="002B55E9">
        <w:t>项目</w:t>
      </w:r>
      <w:r w:rsidR="003C43F7" w:rsidRPr="002B55E9">
        <w:rPr>
          <w:rFonts w:hint="eastAsia"/>
        </w:rPr>
        <w:t>白米醋</w:t>
      </w:r>
      <w:r w:rsidR="00003D85" w:rsidRPr="002B55E9">
        <w:t>生产过程中</w:t>
      </w:r>
      <w:r w:rsidR="00003D85" w:rsidRPr="002B55E9">
        <w:rPr>
          <w:rFonts w:hint="eastAsia"/>
        </w:rPr>
        <w:t>酒精发酵</w:t>
      </w:r>
      <w:r w:rsidR="00003D85" w:rsidRPr="002B55E9">
        <w:t>、醋酸发酵等</w:t>
      </w:r>
      <w:r w:rsidRPr="002B55E9">
        <w:rPr>
          <w:rFonts w:hint="eastAsia"/>
        </w:rPr>
        <w:t>工序采用密闭发酵设备进行，发酵废气中带有</w:t>
      </w:r>
      <w:r w:rsidR="00003D85" w:rsidRPr="002B55E9">
        <w:t>少量</w:t>
      </w:r>
      <w:r w:rsidR="00003D85" w:rsidRPr="002B55E9">
        <w:rPr>
          <w:rFonts w:hint="eastAsia"/>
        </w:rPr>
        <w:t>异味</w:t>
      </w:r>
      <w:r w:rsidRPr="002B55E9">
        <w:rPr>
          <w:rFonts w:hint="eastAsia"/>
        </w:rPr>
        <w:t>气体</w:t>
      </w:r>
      <w:r w:rsidR="00003D85" w:rsidRPr="002B55E9">
        <w:t>，主要成分为乙醇、乙酸</w:t>
      </w:r>
      <w:r w:rsidR="00436DB1" w:rsidRPr="002B55E9">
        <w:rPr>
          <w:rFonts w:hint="eastAsia"/>
        </w:rPr>
        <w:t>及其他极少量水溶性醇类</w:t>
      </w:r>
      <w:r w:rsidR="00003D85" w:rsidRPr="002B55E9">
        <w:t>等，</w:t>
      </w:r>
      <w:r w:rsidR="00003D85" w:rsidRPr="002B55E9">
        <w:rPr>
          <w:rFonts w:hint="eastAsia"/>
        </w:rPr>
        <w:t>经密闭管道收集由</w:t>
      </w:r>
      <w:r w:rsidR="00003D85" w:rsidRPr="002B55E9">
        <w:t>一套</w:t>
      </w:r>
      <w:r w:rsidR="00003D85" w:rsidRPr="002B55E9">
        <w:rPr>
          <w:rFonts w:hint="eastAsia"/>
        </w:rPr>
        <w:t>二级碱喷淋</w:t>
      </w:r>
      <w:r w:rsidR="00003D85" w:rsidRPr="002B55E9">
        <w:rPr>
          <w:rFonts w:hint="eastAsia"/>
        </w:rPr>
        <w:t>+</w:t>
      </w:r>
      <w:r w:rsidR="00003D85" w:rsidRPr="002B55E9">
        <w:rPr>
          <w:rFonts w:hint="eastAsia"/>
        </w:rPr>
        <w:t>水喷淋装置处理后由</w:t>
      </w:r>
      <w:r w:rsidR="00003D85" w:rsidRPr="002B55E9">
        <w:rPr>
          <w:rFonts w:hint="eastAsia"/>
        </w:rPr>
        <w:t>18m</w:t>
      </w:r>
      <w:r w:rsidR="00003D85" w:rsidRPr="002B55E9">
        <w:rPr>
          <w:rFonts w:hint="eastAsia"/>
        </w:rPr>
        <w:t>高</w:t>
      </w:r>
      <w:r w:rsidR="00003D85" w:rsidRPr="002B55E9">
        <w:t>排气筒</w:t>
      </w:r>
      <w:r w:rsidR="00003D85" w:rsidRPr="002B55E9">
        <w:rPr>
          <w:rFonts w:hint="eastAsia"/>
        </w:rPr>
        <w:t>（</w:t>
      </w:r>
      <w:r w:rsidR="00003D85" w:rsidRPr="002B55E9">
        <w:rPr>
          <w:rFonts w:hint="eastAsia"/>
        </w:rPr>
        <w:t>D</w:t>
      </w:r>
      <w:r w:rsidR="00003D85" w:rsidRPr="002B55E9">
        <w:t>A002</w:t>
      </w:r>
      <w:r w:rsidR="00003D85" w:rsidRPr="002B55E9">
        <w:rPr>
          <w:rFonts w:hint="eastAsia"/>
        </w:rPr>
        <w:t>）</w:t>
      </w:r>
      <w:r w:rsidR="00003D85" w:rsidRPr="002B55E9">
        <w:t>排放</w:t>
      </w:r>
      <w:r w:rsidRPr="002B55E9">
        <w:rPr>
          <w:rFonts w:hint="eastAsia"/>
        </w:rPr>
        <w:t>。</w:t>
      </w:r>
      <w:r w:rsidR="00436DB1" w:rsidRPr="002B55E9">
        <w:rPr>
          <w:rFonts w:hint="eastAsia"/>
        </w:rPr>
        <w:t>此外，料酒、白米醋的香辛料破碎、</w:t>
      </w:r>
      <w:r w:rsidR="009C5686" w:rsidRPr="002B55E9">
        <w:rPr>
          <w:rFonts w:hint="eastAsia"/>
        </w:rPr>
        <w:t>浸提</w:t>
      </w:r>
      <w:r w:rsidR="00C332F3" w:rsidRPr="002B55E9">
        <w:rPr>
          <w:rFonts w:hint="eastAsia"/>
        </w:rPr>
        <w:t>发酵</w:t>
      </w:r>
      <w:r w:rsidR="009C5686" w:rsidRPr="002B55E9">
        <w:rPr>
          <w:rFonts w:hint="eastAsia"/>
        </w:rPr>
        <w:t>过滤残渣</w:t>
      </w:r>
      <w:r w:rsidR="00436DB1" w:rsidRPr="002B55E9">
        <w:rPr>
          <w:rFonts w:hint="eastAsia"/>
        </w:rPr>
        <w:t>出料等环节有少量的香辛料</w:t>
      </w:r>
      <w:r w:rsidR="009C5686" w:rsidRPr="002B55E9">
        <w:rPr>
          <w:rFonts w:hint="eastAsia"/>
        </w:rPr>
        <w:t>粉尘</w:t>
      </w:r>
      <w:r w:rsidR="00436DB1" w:rsidRPr="002B55E9">
        <w:rPr>
          <w:rFonts w:hint="eastAsia"/>
        </w:rPr>
        <w:t>及醇类、酸类异味</w:t>
      </w:r>
      <w:r w:rsidR="009C5686" w:rsidRPr="002B55E9">
        <w:rPr>
          <w:rFonts w:hint="eastAsia"/>
        </w:rPr>
        <w:t>气体</w:t>
      </w:r>
      <w:r w:rsidR="00436DB1" w:rsidRPr="002B55E9">
        <w:rPr>
          <w:rFonts w:hint="eastAsia"/>
        </w:rPr>
        <w:t>挥发到车间内，</w:t>
      </w:r>
      <w:r w:rsidR="009C5686" w:rsidRPr="002B55E9">
        <w:rPr>
          <w:rFonts w:hint="eastAsia"/>
        </w:rPr>
        <w:t>以臭气浓度计。</w:t>
      </w:r>
      <w:r w:rsidR="00436DB1" w:rsidRPr="002B55E9">
        <w:rPr>
          <w:rFonts w:hint="eastAsia"/>
        </w:rPr>
        <w:t>项目生产设备、管道均为密闭形式，香辛料粉碎设有除尘器对粉碎废气进行收集，</w:t>
      </w:r>
      <w:r w:rsidR="009C5686" w:rsidRPr="002B55E9">
        <w:rPr>
          <w:rFonts w:hint="eastAsia"/>
        </w:rPr>
        <w:t>浸提</w:t>
      </w:r>
      <w:r w:rsidR="00C332F3" w:rsidRPr="002B55E9">
        <w:rPr>
          <w:rFonts w:hint="eastAsia"/>
        </w:rPr>
        <w:t>、发酵</w:t>
      </w:r>
      <w:r w:rsidR="00436DB1" w:rsidRPr="002B55E9">
        <w:t>产生的</w:t>
      </w:r>
      <w:r w:rsidR="00436DB1" w:rsidRPr="002B55E9">
        <w:rPr>
          <w:rFonts w:hint="eastAsia"/>
        </w:rPr>
        <w:t>过滤</w:t>
      </w:r>
      <w:r w:rsidR="009C5686" w:rsidRPr="002B55E9">
        <w:rPr>
          <w:rFonts w:hint="eastAsia"/>
        </w:rPr>
        <w:t>残</w:t>
      </w:r>
      <w:r w:rsidR="00436DB1" w:rsidRPr="002B55E9">
        <w:rPr>
          <w:rFonts w:hint="eastAsia"/>
        </w:rPr>
        <w:t>渣</w:t>
      </w:r>
      <w:r w:rsidR="009C5686" w:rsidRPr="002B55E9">
        <w:rPr>
          <w:rFonts w:hint="eastAsia"/>
        </w:rPr>
        <w:t>采用密闭袋装后</w:t>
      </w:r>
      <w:r w:rsidR="001F4636" w:rsidRPr="002B55E9">
        <w:rPr>
          <w:rFonts w:hint="eastAsia"/>
        </w:rPr>
        <w:t>暂存于</w:t>
      </w:r>
      <w:r w:rsidR="001F4636" w:rsidRPr="002B55E9">
        <w:t>十三车间的滤渣暂存间，暂存间为全密闭房间，设有废气抽排系统，抽排废气</w:t>
      </w:r>
      <w:r w:rsidR="001F4636" w:rsidRPr="002B55E9">
        <w:rPr>
          <w:rFonts w:hint="eastAsia"/>
        </w:rPr>
        <w:t>最终</w:t>
      </w:r>
      <w:r w:rsidR="001F4636" w:rsidRPr="002B55E9">
        <w:t>接入</w:t>
      </w:r>
      <w:r w:rsidR="001F4636" w:rsidRPr="002B55E9">
        <w:rPr>
          <w:rFonts w:hint="eastAsia"/>
        </w:rPr>
        <w:t>二级碱喷淋</w:t>
      </w:r>
      <w:r w:rsidR="001F4636" w:rsidRPr="002B55E9">
        <w:rPr>
          <w:rFonts w:hint="eastAsia"/>
        </w:rPr>
        <w:t>+</w:t>
      </w:r>
      <w:r w:rsidR="001F4636" w:rsidRPr="002B55E9">
        <w:rPr>
          <w:rFonts w:hint="eastAsia"/>
        </w:rPr>
        <w:t>水喷淋装置处理后由</w:t>
      </w:r>
      <w:r w:rsidR="001F4636" w:rsidRPr="002B55E9">
        <w:rPr>
          <w:rFonts w:hint="eastAsia"/>
        </w:rPr>
        <w:t>18m</w:t>
      </w:r>
      <w:r w:rsidR="001F4636" w:rsidRPr="002B55E9">
        <w:rPr>
          <w:rFonts w:hint="eastAsia"/>
        </w:rPr>
        <w:t>高</w:t>
      </w:r>
      <w:r w:rsidR="001F4636" w:rsidRPr="002B55E9">
        <w:t>排气筒</w:t>
      </w:r>
      <w:r w:rsidR="001F4636" w:rsidRPr="002B55E9">
        <w:rPr>
          <w:rFonts w:hint="eastAsia"/>
        </w:rPr>
        <w:t>（</w:t>
      </w:r>
      <w:r w:rsidR="001F4636" w:rsidRPr="002B55E9">
        <w:rPr>
          <w:rFonts w:hint="eastAsia"/>
        </w:rPr>
        <w:t>D</w:t>
      </w:r>
      <w:r w:rsidR="001F4636" w:rsidRPr="002B55E9">
        <w:t>A002</w:t>
      </w:r>
      <w:r w:rsidR="001F4636" w:rsidRPr="002B55E9">
        <w:rPr>
          <w:rFonts w:hint="eastAsia"/>
        </w:rPr>
        <w:t>）</w:t>
      </w:r>
      <w:r w:rsidR="001F4636" w:rsidRPr="002B55E9">
        <w:t>排放</w:t>
      </w:r>
      <w:r w:rsidR="001F4636" w:rsidRPr="002B55E9">
        <w:rPr>
          <w:rFonts w:hint="eastAsia"/>
        </w:rPr>
        <w:t>。项目</w:t>
      </w:r>
      <w:r w:rsidR="001F4636" w:rsidRPr="002B55E9">
        <w:t>浸提、发酵过滤残渣</w:t>
      </w:r>
      <w:r w:rsidR="00436DB1" w:rsidRPr="002B55E9">
        <w:t>在</w:t>
      </w:r>
      <w:r w:rsidR="001F4636" w:rsidRPr="002B55E9">
        <w:rPr>
          <w:rFonts w:hint="eastAsia"/>
        </w:rPr>
        <w:t>暂存间</w:t>
      </w:r>
      <w:r w:rsidR="00436DB1" w:rsidRPr="002B55E9">
        <w:t>内</w:t>
      </w:r>
      <w:r w:rsidR="00F840EC" w:rsidRPr="002B55E9">
        <w:rPr>
          <w:rFonts w:hint="eastAsia"/>
        </w:rPr>
        <w:t>最长</w:t>
      </w:r>
      <w:r w:rsidR="001F4636" w:rsidRPr="002B55E9">
        <w:rPr>
          <w:rFonts w:hint="eastAsia"/>
        </w:rPr>
        <w:t>存储时间</w:t>
      </w:r>
      <w:r w:rsidR="009C5686" w:rsidRPr="002B55E9">
        <w:rPr>
          <w:rFonts w:hint="eastAsia"/>
        </w:rPr>
        <w:t>不超过</w:t>
      </w:r>
      <w:r w:rsidR="009C5686" w:rsidRPr="002B55E9">
        <w:rPr>
          <w:rFonts w:hint="eastAsia"/>
        </w:rPr>
        <w:t>2</w:t>
      </w:r>
      <w:r w:rsidR="009C5686" w:rsidRPr="002B55E9">
        <w:rPr>
          <w:rFonts w:hint="eastAsia"/>
        </w:rPr>
        <w:t>日，故</w:t>
      </w:r>
      <w:r w:rsidR="00003D85" w:rsidRPr="002B55E9">
        <w:t>项目生产过程逸散出的</w:t>
      </w:r>
      <w:r w:rsidR="009C5686" w:rsidRPr="002B55E9">
        <w:rPr>
          <w:rFonts w:hint="eastAsia"/>
        </w:rPr>
        <w:t>异味</w:t>
      </w:r>
      <w:r w:rsidR="00003D85" w:rsidRPr="002B55E9">
        <w:t>气体较少，对周边环境影响较小。</w:t>
      </w:r>
    </w:p>
    <w:p w14:paraId="52F1629C" w14:textId="1C0410A7" w:rsidR="00F840EC" w:rsidRPr="002B55E9" w:rsidRDefault="00F840EC" w:rsidP="00003D85">
      <w:pPr>
        <w:pStyle w:val="affff7"/>
        <w:snapToGrid w:val="0"/>
      </w:pPr>
      <w:r w:rsidRPr="002B55E9">
        <w:rPr>
          <w:rFonts w:hint="eastAsia"/>
        </w:rPr>
        <w:t>为最大程度降低过滤残渣暂存过程异味挥发对周边环境的影响，建设单位应对过滤残渣做到</w:t>
      </w:r>
      <w:r w:rsidR="00BB5433" w:rsidRPr="002B55E9">
        <w:rPr>
          <w:rFonts w:hint="eastAsia"/>
        </w:rPr>
        <w:t>及时清运</w:t>
      </w:r>
      <w:r w:rsidRPr="002B55E9">
        <w:rPr>
          <w:rFonts w:hint="eastAsia"/>
        </w:rPr>
        <w:t>，</w:t>
      </w:r>
      <w:r w:rsidR="00BB5433" w:rsidRPr="002B55E9">
        <w:rPr>
          <w:rFonts w:hint="eastAsia"/>
        </w:rPr>
        <w:t>尽量</w:t>
      </w:r>
      <w:r w:rsidR="00BB5433" w:rsidRPr="002B55E9">
        <w:t>减少厂区储存时间，</w:t>
      </w:r>
      <w:r w:rsidRPr="002B55E9">
        <w:rPr>
          <w:rFonts w:hint="eastAsia"/>
        </w:rPr>
        <w:t>过滤残渣产生前即联系回收单位做好转运准备。转运过程中应确保包装袋的密闭性，</w:t>
      </w:r>
      <w:r w:rsidR="00231B19" w:rsidRPr="002B55E9">
        <w:rPr>
          <w:rFonts w:hint="eastAsia"/>
        </w:rPr>
        <w:t>减少转运过程中异味气体的逸散。</w:t>
      </w:r>
    </w:p>
    <w:p w14:paraId="5B8DBF6A" w14:textId="77777777" w:rsidR="00D170E5" w:rsidRPr="002B55E9" w:rsidRDefault="00EF27AD">
      <w:pPr>
        <w:pStyle w:val="5"/>
      </w:pPr>
      <w:r w:rsidRPr="002B55E9">
        <w:rPr>
          <w:rFonts w:hint="eastAsia"/>
        </w:rPr>
        <w:t>化验室废气</w:t>
      </w:r>
    </w:p>
    <w:p w14:paraId="67F53320" w14:textId="77777777" w:rsidR="00D170E5" w:rsidRPr="002B55E9" w:rsidRDefault="00EF27AD">
      <w:pPr>
        <w:pStyle w:val="affff7"/>
        <w:snapToGrid w:val="0"/>
        <w:spacing w:after="0"/>
      </w:pPr>
      <w:r w:rsidRPr="002B55E9">
        <w:rPr>
          <w:rFonts w:hint="eastAsia"/>
        </w:rPr>
        <w:t>本项目于十一车间西侧二层设有</w:t>
      </w:r>
      <w:r w:rsidRPr="002B55E9">
        <w:t>化验室</w:t>
      </w:r>
      <w:r w:rsidRPr="002B55E9">
        <w:rPr>
          <w:rFonts w:hint="eastAsia"/>
        </w:rPr>
        <w:t>对原料、中间品及产品进行</w:t>
      </w:r>
      <w:r w:rsidRPr="002B55E9">
        <w:t>检测，</w:t>
      </w:r>
      <w:r w:rsidRPr="002B55E9">
        <w:rPr>
          <w:rFonts w:hint="eastAsia"/>
        </w:rPr>
        <w:t>检测分析过程中会使用甲醛、乙酸、无水乙醇等挥发性试剂，试剂均在常温下使用，使用后作为实验废液收集至密闭废液桶内，因此试剂在配制及实验分析过程中会有少量挥发，类比同类型</w:t>
      </w:r>
      <w:r w:rsidRPr="002B55E9">
        <w:t>化验室</w:t>
      </w:r>
      <w:r w:rsidRPr="002B55E9">
        <w:rPr>
          <w:rFonts w:hint="eastAsia"/>
        </w:rPr>
        <w:t>，挥发量以试剂使用量的</w:t>
      </w:r>
      <w:r w:rsidRPr="002B55E9">
        <w:t>10%</w:t>
      </w:r>
      <w:r w:rsidRPr="002B55E9">
        <w:rPr>
          <w:rFonts w:hint="eastAsia"/>
        </w:rPr>
        <w:t>计，试剂使用情况如下：</w:t>
      </w:r>
    </w:p>
    <w:p w14:paraId="44B748DD"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-3-16  </w:t>
      </w:r>
      <w:r w:rsidRPr="002B55E9">
        <w:rPr>
          <w:rFonts w:hint="eastAsia"/>
        </w:rPr>
        <w:t>实验废气产生情况一览表</w:t>
      </w:r>
    </w:p>
    <w:tbl>
      <w:tblPr>
        <w:tblW w:w="96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1926"/>
        <w:gridCol w:w="1928"/>
        <w:gridCol w:w="1929"/>
        <w:gridCol w:w="1931"/>
      </w:tblGrid>
      <w:tr w:rsidR="002B55E9" w:rsidRPr="002B55E9" w14:paraId="5B628A68" w14:textId="77777777">
        <w:trPr>
          <w:trHeight w:val="284"/>
        </w:trPr>
        <w:tc>
          <w:tcPr>
            <w:tcW w:w="1924" w:type="dxa"/>
            <w:tcBorders>
              <w:top w:val="single" w:sz="12" w:space="0" w:color="auto"/>
              <w:bottom w:val="single" w:sz="12" w:space="0" w:color="auto"/>
            </w:tcBorders>
            <w:shd w:val="clear" w:color="auto" w:fill="auto"/>
            <w:vAlign w:val="center"/>
          </w:tcPr>
          <w:p w14:paraId="467311E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试剂种类</w:t>
            </w:r>
          </w:p>
        </w:tc>
        <w:tc>
          <w:tcPr>
            <w:tcW w:w="1926" w:type="dxa"/>
            <w:tcBorders>
              <w:top w:val="single" w:sz="12" w:space="0" w:color="auto"/>
              <w:bottom w:val="single" w:sz="12" w:space="0" w:color="auto"/>
            </w:tcBorders>
            <w:shd w:val="clear" w:color="auto" w:fill="auto"/>
            <w:vAlign w:val="center"/>
          </w:tcPr>
          <w:p w14:paraId="478215DE"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试剂年用量</w:t>
            </w:r>
          </w:p>
        </w:tc>
        <w:tc>
          <w:tcPr>
            <w:tcW w:w="1928" w:type="dxa"/>
            <w:tcBorders>
              <w:top w:val="single" w:sz="12" w:space="0" w:color="auto"/>
              <w:bottom w:val="single" w:sz="12" w:space="0" w:color="auto"/>
            </w:tcBorders>
            <w:shd w:val="clear" w:color="auto" w:fill="auto"/>
            <w:vAlign w:val="center"/>
          </w:tcPr>
          <w:p w14:paraId="648DCEC5"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密度</w:t>
            </w:r>
            <w:r w:rsidRPr="002B55E9">
              <w:rPr>
                <w:rFonts w:hint="eastAsia"/>
                <w:sz w:val="18"/>
                <w:szCs w:val="18"/>
              </w:rPr>
              <w:t>kg/</w:t>
            </w:r>
            <w:r w:rsidRPr="002B55E9">
              <w:rPr>
                <w:sz w:val="18"/>
                <w:szCs w:val="18"/>
              </w:rPr>
              <w:t>L</w:t>
            </w:r>
          </w:p>
        </w:tc>
        <w:tc>
          <w:tcPr>
            <w:tcW w:w="1929" w:type="dxa"/>
            <w:tcBorders>
              <w:top w:val="single" w:sz="12" w:space="0" w:color="auto"/>
              <w:bottom w:val="single" w:sz="12" w:space="0" w:color="auto"/>
            </w:tcBorders>
            <w:shd w:val="clear" w:color="auto" w:fill="auto"/>
            <w:vAlign w:val="center"/>
          </w:tcPr>
          <w:p w14:paraId="2F4255B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挥发比例</w:t>
            </w:r>
          </w:p>
        </w:tc>
        <w:tc>
          <w:tcPr>
            <w:tcW w:w="1931" w:type="dxa"/>
            <w:tcBorders>
              <w:top w:val="single" w:sz="12" w:space="0" w:color="auto"/>
              <w:bottom w:val="single" w:sz="12" w:space="0" w:color="auto"/>
            </w:tcBorders>
            <w:shd w:val="clear" w:color="auto" w:fill="auto"/>
            <w:vAlign w:val="center"/>
          </w:tcPr>
          <w:p w14:paraId="1EDE90B7"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挥发量</w:t>
            </w:r>
            <w:r w:rsidRPr="002B55E9">
              <w:rPr>
                <w:rFonts w:hint="eastAsia"/>
                <w:sz w:val="18"/>
                <w:szCs w:val="18"/>
              </w:rPr>
              <w:t>kg</w:t>
            </w:r>
            <w:r w:rsidRPr="002B55E9">
              <w:rPr>
                <w:sz w:val="18"/>
                <w:szCs w:val="18"/>
              </w:rPr>
              <w:t>/</w:t>
            </w:r>
            <w:r w:rsidRPr="002B55E9">
              <w:rPr>
                <w:rFonts w:hint="eastAsia"/>
                <w:sz w:val="18"/>
                <w:szCs w:val="18"/>
              </w:rPr>
              <w:t>a</w:t>
            </w:r>
          </w:p>
        </w:tc>
      </w:tr>
      <w:tr w:rsidR="002B55E9" w:rsidRPr="002B55E9" w14:paraId="37E59E2D" w14:textId="77777777">
        <w:trPr>
          <w:trHeight w:val="284"/>
        </w:trPr>
        <w:tc>
          <w:tcPr>
            <w:tcW w:w="1924" w:type="dxa"/>
            <w:tcBorders>
              <w:top w:val="single" w:sz="12" w:space="0" w:color="auto"/>
            </w:tcBorders>
            <w:shd w:val="clear" w:color="auto" w:fill="auto"/>
            <w:vAlign w:val="center"/>
          </w:tcPr>
          <w:p w14:paraId="6E648E05"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硫酸</w:t>
            </w:r>
          </w:p>
        </w:tc>
        <w:tc>
          <w:tcPr>
            <w:tcW w:w="1926" w:type="dxa"/>
            <w:tcBorders>
              <w:top w:val="single" w:sz="12" w:space="0" w:color="auto"/>
            </w:tcBorders>
            <w:shd w:val="clear" w:color="auto" w:fill="auto"/>
            <w:vAlign w:val="center"/>
          </w:tcPr>
          <w:p w14:paraId="22A958A5"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sz w:val="18"/>
                <w:szCs w:val="18"/>
              </w:rPr>
              <w:t>60L</w:t>
            </w:r>
          </w:p>
        </w:tc>
        <w:tc>
          <w:tcPr>
            <w:tcW w:w="1928" w:type="dxa"/>
            <w:tcBorders>
              <w:top w:val="single" w:sz="12" w:space="0" w:color="auto"/>
            </w:tcBorders>
            <w:shd w:val="clear" w:color="auto" w:fill="auto"/>
            <w:vAlign w:val="center"/>
          </w:tcPr>
          <w:p w14:paraId="55BA6B1C"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1</w:t>
            </w:r>
            <w:r w:rsidRPr="002B55E9">
              <w:rPr>
                <w:sz w:val="18"/>
                <w:szCs w:val="18"/>
              </w:rPr>
              <w:t>.84</w:t>
            </w:r>
          </w:p>
        </w:tc>
        <w:tc>
          <w:tcPr>
            <w:tcW w:w="1929" w:type="dxa"/>
            <w:vMerge w:val="restart"/>
            <w:tcBorders>
              <w:top w:val="single" w:sz="12" w:space="0" w:color="auto"/>
            </w:tcBorders>
            <w:shd w:val="clear" w:color="auto" w:fill="auto"/>
            <w:vAlign w:val="center"/>
          </w:tcPr>
          <w:p w14:paraId="6BAC01B6"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sz w:val="18"/>
                <w:szCs w:val="18"/>
              </w:rPr>
              <w:t>10%</w:t>
            </w:r>
          </w:p>
        </w:tc>
        <w:tc>
          <w:tcPr>
            <w:tcW w:w="1931" w:type="dxa"/>
            <w:tcBorders>
              <w:top w:val="nil"/>
              <w:left w:val="nil"/>
              <w:bottom w:val="single" w:sz="8" w:space="0" w:color="auto"/>
              <w:right w:val="nil"/>
            </w:tcBorders>
            <w:shd w:val="clear" w:color="auto" w:fill="auto"/>
            <w:vAlign w:val="center"/>
          </w:tcPr>
          <w:p w14:paraId="40CA9C94"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11.04 </w:t>
            </w:r>
          </w:p>
        </w:tc>
      </w:tr>
      <w:tr w:rsidR="002B55E9" w:rsidRPr="002B55E9" w14:paraId="18D9E628" w14:textId="77777777">
        <w:trPr>
          <w:trHeight w:val="284"/>
        </w:trPr>
        <w:tc>
          <w:tcPr>
            <w:tcW w:w="1924" w:type="dxa"/>
            <w:shd w:val="clear" w:color="auto" w:fill="auto"/>
            <w:vAlign w:val="center"/>
          </w:tcPr>
          <w:p w14:paraId="7EF1F7F7"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3</w:t>
            </w:r>
            <w:r w:rsidRPr="002B55E9">
              <w:rPr>
                <w:sz w:val="18"/>
                <w:szCs w:val="18"/>
              </w:rPr>
              <w:t>7%</w:t>
            </w:r>
            <w:r w:rsidRPr="002B55E9">
              <w:rPr>
                <w:rFonts w:hint="eastAsia"/>
                <w:sz w:val="18"/>
                <w:szCs w:val="18"/>
              </w:rPr>
              <w:t>盐酸</w:t>
            </w:r>
          </w:p>
        </w:tc>
        <w:tc>
          <w:tcPr>
            <w:tcW w:w="1926" w:type="dxa"/>
            <w:shd w:val="clear" w:color="auto" w:fill="auto"/>
            <w:vAlign w:val="center"/>
          </w:tcPr>
          <w:p w14:paraId="23C2B3D8"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.5L</w:t>
            </w:r>
          </w:p>
        </w:tc>
        <w:tc>
          <w:tcPr>
            <w:tcW w:w="1928" w:type="dxa"/>
            <w:shd w:val="clear" w:color="auto" w:fill="auto"/>
            <w:vAlign w:val="center"/>
          </w:tcPr>
          <w:p w14:paraId="7F7A3BB5"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1</w:t>
            </w:r>
            <w:r w:rsidRPr="002B55E9">
              <w:rPr>
                <w:sz w:val="18"/>
                <w:szCs w:val="18"/>
              </w:rPr>
              <w:t>.18</w:t>
            </w:r>
          </w:p>
        </w:tc>
        <w:tc>
          <w:tcPr>
            <w:tcW w:w="1929" w:type="dxa"/>
            <w:vMerge/>
            <w:shd w:val="clear" w:color="auto" w:fill="auto"/>
            <w:vAlign w:val="center"/>
          </w:tcPr>
          <w:p w14:paraId="0F519195"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474ABA4D"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0.02 </w:t>
            </w:r>
          </w:p>
        </w:tc>
      </w:tr>
      <w:tr w:rsidR="002B55E9" w:rsidRPr="002B55E9" w14:paraId="29F42947" w14:textId="77777777">
        <w:trPr>
          <w:trHeight w:val="284"/>
        </w:trPr>
        <w:tc>
          <w:tcPr>
            <w:tcW w:w="1924" w:type="dxa"/>
            <w:shd w:val="clear" w:color="auto" w:fill="auto"/>
            <w:vAlign w:val="center"/>
          </w:tcPr>
          <w:p w14:paraId="7A5F394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乙酸</w:t>
            </w:r>
          </w:p>
        </w:tc>
        <w:tc>
          <w:tcPr>
            <w:tcW w:w="1926" w:type="dxa"/>
            <w:shd w:val="clear" w:color="auto" w:fill="auto"/>
            <w:vAlign w:val="center"/>
          </w:tcPr>
          <w:p w14:paraId="3224AA0A"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.5L</w:t>
            </w:r>
          </w:p>
        </w:tc>
        <w:tc>
          <w:tcPr>
            <w:tcW w:w="1928" w:type="dxa"/>
            <w:shd w:val="clear" w:color="auto" w:fill="auto"/>
            <w:vAlign w:val="center"/>
          </w:tcPr>
          <w:p w14:paraId="439C0E49"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1</w:t>
            </w:r>
            <w:r w:rsidRPr="002B55E9">
              <w:rPr>
                <w:sz w:val="18"/>
                <w:szCs w:val="18"/>
              </w:rPr>
              <w:t>.05</w:t>
            </w:r>
          </w:p>
        </w:tc>
        <w:tc>
          <w:tcPr>
            <w:tcW w:w="1929" w:type="dxa"/>
            <w:vMerge/>
            <w:shd w:val="clear" w:color="auto" w:fill="auto"/>
            <w:vAlign w:val="center"/>
          </w:tcPr>
          <w:p w14:paraId="54DCD964"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378CA71F"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0.05 </w:t>
            </w:r>
          </w:p>
        </w:tc>
      </w:tr>
      <w:tr w:rsidR="002B55E9" w:rsidRPr="002B55E9" w14:paraId="747E0315" w14:textId="77777777">
        <w:trPr>
          <w:trHeight w:val="284"/>
        </w:trPr>
        <w:tc>
          <w:tcPr>
            <w:tcW w:w="1924" w:type="dxa"/>
            <w:tcBorders>
              <w:bottom w:val="single" w:sz="4" w:space="0" w:color="auto"/>
            </w:tcBorders>
            <w:shd w:val="clear" w:color="auto" w:fill="auto"/>
            <w:vAlign w:val="center"/>
          </w:tcPr>
          <w:p w14:paraId="16E05A8B"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甲醛</w:t>
            </w:r>
          </w:p>
        </w:tc>
        <w:tc>
          <w:tcPr>
            <w:tcW w:w="1926" w:type="dxa"/>
            <w:tcBorders>
              <w:bottom w:val="single" w:sz="4" w:space="0" w:color="auto"/>
            </w:tcBorders>
            <w:shd w:val="clear" w:color="auto" w:fill="auto"/>
            <w:vAlign w:val="center"/>
          </w:tcPr>
          <w:p w14:paraId="37FE407E"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6</w:t>
            </w:r>
            <w:r w:rsidRPr="002B55E9">
              <w:rPr>
                <w:sz w:val="18"/>
                <w:szCs w:val="18"/>
              </w:rPr>
              <w:t>0L</w:t>
            </w:r>
          </w:p>
        </w:tc>
        <w:tc>
          <w:tcPr>
            <w:tcW w:w="1928" w:type="dxa"/>
            <w:tcBorders>
              <w:bottom w:val="single" w:sz="4" w:space="0" w:color="auto"/>
            </w:tcBorders>
            <w:shd w:val="clear" w:color="auto" w:fill="auto"/>
            <w:vAlign w:val="center"/>
          </w:tcPr>
          <w:p w14:paraId="2FFCEBE1"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.815</w:t>
            </w:r>
          </w:p>
        </w:tc>
        <w:tc>
          <w:tcPr>
            <w:tcW w:w="1929" w:type="dxa"/>
            <w:vMerge/>
            <w:shd w:val="clear" w:color="auto" w:fill="auto"/>
            <w:vAlign w:val="center"/>
          </w:tcPr>
          <w:p w14:paraId="14F1E2DE"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1E99271B"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4.89 </w:t>
            </w:r>
          </w:p>
        </w:tc>
      </w:tr>
      <w:tr w:rsidR="002B55E9" w:rsidRPr="002B55E9" w14:paraId="68DC83DE" w14:textId="77777777">
        <w:trPr>
          <w:trHeight w:val="284"/>
        </w:trPr>
        <w:tc>
          <w:tcPr>
            <w:tcW w:w="1924" w:type="dxa"/>
            <w:tcBorders>
              <w:bottom w:val="single" w:sz="4" w:space="0" w:color="auto"/>
            </w:tcBorders>
            <w:shd w:val="clear" w:color="auto" w:fill="auto"/>
            <w:vAlign w:val="center"/>
          </w:tcPr>
          <w:p w14:paraId="2149396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正己烷</w:t>
            </w:r>
          </w:p>
        </w:tc>
        <w:tc>
          <w:tcPr>
            <w:tcW w:w="1926" w:type="dxa"/>
            <w:tcBorders>
              <w:bottom w:val="single" w:sz="4" w:space="0" w:color="auto"/>
            </w:tcBorders>
            <w:shd w:val="clear" w:color="auto" w:fill="auto"/>
            <w:vAlign w:val="center"/>
          </w:tcPr>
          <w:p w14:paraId="112B4F14"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5</w:t>
            </w:r>
            <w:r w:rsidRPr="002B55E9">
              <w:rPr>
                <w:sz w:val="18"/>
                <w:szCs w:val="18"/>
              </w:rPr>
              <w:t>L</w:t>
            </w:r>
          </w:p>
        </w:tc>
        <w:tc>
          <w:tcPr>
            <w:tcW w:w="1928" w:type="dxa"/>
            <w:tcBorders>
              <w:bottom w:val="single" w:sz="4" w:space="0" w:color="auto"/>
            </w:tcBorders>
            <w:shd w:val="clear" w:color="auto" w:fill="auto"/>
            <w:vAlign w:val="center"/>
          </w:tcPr>
          <w:p w14:paraId="45856A0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.66</w:t>
            </w:r>
          </w:p>
        </w:tc>
        <w:tc>
          <w:tcPr>
            <w:tcW w:w="1929" w:type="dxa"/>
            <w:vMerge/>
            <w:shd w:val="clear" w:color="auto" w:fill="auto"/>
            <w:vAlign w:val="center"/>
          </w:tcPr>
          <w:p w14:paraId="2A40D453"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141E48D3"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0.33 </w:t>
            </w:r>
          </w:p>
        </w:tc>
      </w:tr>
      <w:tr w:rsidR="002B55E9" w:rsidRPr="002B55E9" w14:paraId="4F90A9C0" w14:textId="77777777">
        <w:trPr>
          <w:trHeight w:val="284"/>
        </w:trPr>
        <w:tc>
          <w:tcPr>
            <w:tcW w:w="1924" w:type="dxa"/>
            <w:tcBorders>
              <w:bottom w:val="single" w:sz="4" w:space="0" w:color="auto"/>
            </w:tcBorders>
            <w:shd w:val="clear" w:color="auto" w:fill="auto"/>
            <w:vAlign w:val="center"/>
          </w:tcPr>
          <w:p w14:paraId="6EBBC4D8"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乙醚</w:t>
            </w:r>
          </w:p>
        </w:tc>
        <w:tc>
          <w:tcPr>
            <w:tcW w:w="1926" w:type="dxa"/>
            <w:tcBorders>
              <w:bottom w:val="single" w:sz="4" w:space="0" w:color="auto"/>
            </w:tcBorders>
            <w:shd w:val="clear" w:color="auto" w:fill="auto"/>
            <w:vAlign w:val="center"/>
          </w:tcPr>
          <w:p w14:paraId="347B9392"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2</w:t>
            </w:r>
            <w:r w:rsidRPr="002B55E9">
              <w:rPr>
                <w:sz w:val="18"/>
                <w:szCs w:val="18"/>
              </w:rPr>
              <w:t>5L</w:t>
            </w:r>
          </w:p>
        </w:tc>
        <w:tc>
          <w:tcPr>
            <w:tcW w:w="1928" w:type="dxa"/>
            <w:tcBorders>
              <w:bottom w:val="single" w:sz="4" w:space="0" w:color="auto"/>
            </w:tcBorders>
            <w:shd w:val="clear" w:color="auto" w:fill="auto"/>
            <w:vAlign w:val="center"/>
          </w:tcPr>
          <w:p w14:paraId="03D920AF"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.714</w:t>
            </w:r>
          </w:p>
        </w:tc>
        <w:tc>
          <w:tcPr>
            <w:tcW w:w="1929" w:type="dxa"/>
            <w:vMerge/>
            <w:shd w:val="clear" w:color="auto" w:fill="auto"/>
            <w:vAlign w:val="center"/>
          </w:tcPr>
          <w:p w14:paraId="3BC7887B"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70CBA548"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1.79 </w:t>
            </w:r>
          </w:p>
        </w:tc>
      </w:tr>
      <w:tr w:rsidR="002B55E9" w:rsidRPr="002B55E9" w14:paraId="3A88506A" w14:textId="77777777">
        <w:trPr>
          <w:trHeight w:val="284"/>
        </w:trPr>
        <w:tc>
          <w:tcPr>
            <w:tcW w:w="1924" w:type="dxa"/>
            <w:shd w:val="clear" w:color="auto" w:fill="auto"/>
            <w:vAlign w:val="center"/>
          </w:tcPr>
          <w:p w14:paraId="7BCD087B"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无水乙醇</w:t>
            </w:r>
          </w:p>
        </w:tc>
        <w:tc>
          <w:tcPr>
            <w:tcW w:w="1926" w:type="dxa"/>
            <w:shd w:val="clear" w:color="auto" w:fill="auto"/>
            <w:vAlign w:val="center"/>
          </w:tcPr>
          <w:p w14:paraId="03CB5FCE"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5</w:t>
            </w:r>
            <w:r w:rsidRPr="002B55E9">
              <w:rPr>
                <w:sz w:val="18"/>
                <w:szCs w:val="18"/>
              </w:rPr>
              <w:t>L</w:t>
            </w:r>
          </w:p>
        </w:tc>
        <w:tc>
          <w:tcPr>
            <w:tcW w:w="1928" w:type="dxa"/>
            <w:shd w:val="clear" w:color="auto" w:fill="auto"/>
            <w:vAlign w:val="center"/>
          </w:tcPr>
          <w:p w14:paraId="2C2724E6"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0</w:t>
            </w:r>
            <w:r w:rsidRPr="002B55E9">
              <w:rPr>
                <w:sz w:val="18"/>
                <w:szCs w:val="18"/>
              </w:rPr>
              <w:t>.79</w:t>
            </w:r>
          </w:p>
        </w:tc>
        <w:tc>
          <w:tcPr>
            <w:tcW w:w="1929" w:type="dxa"/>
            <w:vMerge/>
            <w:shd w:val="clear" w:color="auto" w:fill="auto"/>
            <w:vAlign w:val="center"/>
          </w:tcPr>
          <w:p w14:paraId="74BF54D5"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31" w:type="dxa"/>
            <w:tcBorders>
              <w:top w:val="nil"/>
              <w:left w:val="nil"/>
              <w:bottom w:val="single" w:sz="8" w:space="0" w:color="auto"/>
              <w:right w:val="nil"/>
            </w:tcBorders>
            <w:shd w:val="clear" w:color="auto" w:fill="auto"/>
            <w:vAlign w:val="center"/>
          </w:tcPr>
          <w:p w14:paraId="6B2661F1"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0.40 </w:t>
            </w:r>
          </w:p>
        </w:tc>
      </w:tr>
      <w:tr w:rsidR="002B55E9" w:rsidRPr="002B55E9" w14:paraId="076244A0" w14:textId="77777777">
        <w:trPr>
          <w:trHeight w:val="284"/>
        </w:trPr>
        <w:tc>
          <w:tcPr>
            <w:tcW w:w="5778" w:type="dxa"/>
            <w:gridSpan w:val="3"/>
            <w:vMerge w:val="restart"/>
            <w:shd w:val="clear" w:color="auto" w:fill="auto"/>
            <w:vAlign w:val="center"/>
          </w:tcPr>
          <w:p w14:paraId="1A81C1B6" w14:textId="77777777" w:rsidR="00D170E5" w:rsidRPr="002B55E9" w:rsidRDefault="00EF27AD">
            <w:pPr>
              <w:pStyle w:val="affff7"/>
              <w:widowControl w:val="0"/>
              <w:snapToGrid w:val="0"/>
              <w:spacing w:after="0" w:line="240" w:lineRule="auto"/>
              <w:ind w:firstLine="360"/>
              <w:jc w:val="center"/>
              <w:rPr>
                <w:sz w:val="18"/>
                <w:szCs w:val="18"/>
              </w:rPr>
            </w:pPr>
            <w:r w:rsidRPr="002B55E9">
              <w:rPr>
                <w:rFonts w:hint="eastAsia"/>
                <w:sz w:val="18"/>
                <w:szCs w:val="18"/>
              </w:rPr>
              <w:t>合计</w:t>
            </w:r>
          </w:p>
        </w:tc>
        <w:tc>
          <w:tcPr>
            <w:tcW w:w="1929" w:type="dxa"/>
            <w:shd w:val="clear" w:color="auto" w:fill="auto"/>
            <w:vAlign w:val="center"/>
          </w:tcPr>
          <w:p w14:paraId="7EF1165D" w14:textId="57D8EDEA" w:rsidR="00D170E5" w:rsidRPr="002B55E9" w:rsidRDefault="00924AFA">
            <w:pPr>
              <w:pStyle w:val="affff7"/>
              <w:widowControl w:val="0"/>
              <w:snapToGrid w:val="0"/>
              <w:spacing w:after="0" w:line="240" w:lineRule="auto"/>
              <w:ind w:firstLineChars="0" w:firstLine="0"/>
              <w:jc w:val="center"/>
              <w:rPr>
                <w:sz w:val="18"/>
                <w:szCs w:val="18"/>
              </w:rPr>
            </w:pPr>
            <w:r w:rsidRPr="002B55E9">
              <w:rPr>
                <w:rFonts w:hint="eastAsia"/>
                <w:sz w:val="18"/>
                <w:szCs w:val="18"/>
              </w:rPr>
              <w:t>非甲烷总烃</w:t>
            </w:r>
          </w:p>
        </w:tc>
        <w:tc>
          <w:tcPr>
            <w:tcW w:w="1931" w:type="dxa"/>
            <w:tcBorders>
              <w:top w:val="nil"/>
              <w:left w:val="nil"/>
              <w:bottom w:val="single" w:sz="8" w:space="0" w:color="auto"/>
              <w:right w:val="nil"/>
            </w:tcBorders>
            <w:shd w:val="clear" w:color="auto" w:fill="auto"/>
            <w:vAlign w:val="center"/>
          </w:tcPr>
          <w:p w14:paraId="01F3F748"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7.45 </w:t>
            </w:r>
          </w:p>
        </w:tc>
      </w:tr>
      <w:tr w:rsidR="002B55E9" w:rsidRPr="002B55E9" w14:paraId="16BB6F52" w14:textId="77777777">
        <w:trPr>
          <w:trHeight w:val="284"/>
        </w:trPr>
        <w:tc>
          <w:tcPr>
            <w:tcW w:w="5778" w:type="dxa"/>
            <w:gridSpan w:val="3"/>
            <w:vMerge/>
            <w:shd w:val="clear" w:color="auto" w:fill="auto"/>
            <w:vAlign w:val="center"/>
          </w:tcPr>
          <w:p w14:paraId="5FEF5BD5" w14:textId="77777777" w:rsidR="00D170E5" w:rsidRPr="002B55E9" w:rsidRDefault="00D170E5">
            <w:pPr>
              <w:pStyle w:val="affff7"/>
              <w:widowControl w:val="0"/>
              <w:snapToGrid w:val="0"/>
              <w:spacing w:after="0" w:line="240" w:lineRule="auto"/>
              <w:ind w:firstLine="360"/>
              <w:jc w:val="center"/>
              <w:rPr>
                <w:sz w:val="18"/>
                <w:szCs w:val="18"/>
              </w:rPr>
            </w:pPr>
          </w:p>
        </w:tc>
        <w:tc>
          <w:tcPr>
            <w:tcW w:w="1929" w:type="dxa"/>
            <w:shd w:val="clear" w:color="auto" w:fill="auto"/>
            <w:vAlign w:val="center"/>
          </w:tcPr>
          <w:p w14:paraId="7CA2E391"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甲醛</w:t>
            </w:r>
          </w:p>
        </w:tc>
        <w:tc>
          <w:tcPr>
            <w:tcW w:w="1931" w:type="dxa"/>
            <w:tcBorders>
              <w:top w:val="nil"/>
              <w:left w:val="nil"/>
              <w:bottom w:val="single" w:sz="8" w:space="0" w:color="auto"/>
              <w:right w:val="nil"/>
            </w:tcBorders>
            <w:shd w:val="clear" w:color="auto" w:fill="auto"/>
            <w:vAlign w:val="center"/>
          </w:tcPr>
          <w:p w14:paraId="1001237F"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4.89 </w:t>
            </w:r>
          </w:p>
        </w:tc>
      </w:tr>
      <w:tr w:rsidR="002B55E9" w:rsidRPr="002B55E9" w14:paraId="50F507A3" w14:textId="77777777">
        <w:trPr>
          <w:trHeight w:val="284"/>
        </w:trPr>
        <w:tc>
          <w:tcPr>
            <w:tcW w:w="5778" w:type="dxa"/>
            <w:gridSpan w:val="3"/>
            <w:vMerge/>
            <w:shd w:val="clear" w:color="auto" w:fill="auto"/>
            <w:vAlign w:val="center"/>
          </w:tcPr>
          <w:p w14:paraId="2FAA4866" w14:textId="77777777" w:rsidR="00D170E5" w:rsidRPr="002B55E9" w:rsidRDefault="00D170E5">
            <w:pPr>
              <w:pStyle w:val="affff7"/>
              <w:widowControl w:val="0"/>
              <w:snapToGrid w:val="0"/>
              <w:spacing w:after="0" w:line="240" w:lineRule="auto"/>
              <w:ind w:firstLine="360"/>
              <w:jc w:val="center"/>
              <w:rPr>
                <w:sz w:val="18"/>
                <w:szCs w:val="18"/>
              </w:rPr>
            </w:pPr>
          </w:p>
        </w:tc>
        <w:tc>
          <w:tcPr>
            <w:tcW w:w="1929" w:type="dxa"/>
            <w:shd w:val="clear" w:color="auto" w:fill="auto"/>
            <w:vAlign w:val="center"/>
          </w:tcPr>
          <w:p w14:paraId="32A83FF5"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硫酸</w:t>
            </w:r>
          </w:p>
        </w:tc>
        <w:tc>
          <w:tcPr>
            <w:tcW w:w="1931" w:type="dxa"/>
            <w:tcBorders>
              <w:top w:val="nil"/>
              <w:left w:val="nil"/>
              <w:bottom w:val="single" w:sz="8" w:space="0" w:color="auto"/>
              <w:right w:val="nil"/>
            </w:tcBorders>
            <w:shd w:val="clear" w:color="auto" w:fill="auto"/>
            <w:vAlign w:val="center"/>
          </w:tcPr>
          <w:p w14:paraId="7BAA57BE"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11.04 </w:t>
            </w:r>
          </w:p>
        </w:tc>
      </w:tr>
      <w:tr w:rsidR="002B55E9" w:rsidRPr="002B55E9" w14:paraId="118C2244" w14:textId="77777777">
        <w:trPr>
          <w:trHeight w:val="284"/>
        </w:trPr>
        <w:tc>
          <w:tcPr>
            <w:tcW w:w="5778" w:type="dxa"/>
            <w:gridSpan w:val="3"/>
            <w:vMerge/>
            <w:tcBorders>
              <w:bottom w:val="single" w:sz="12" w:space="0" w:color="auto"/>
            </w:tcBorders>
            <w:shd w:val="clear" w:color="auto" w:fill="auto"/>
            <w:vAlign w:val="center"/>
          </w:tcPr>
          <w:p w14:paraId="6332DC8B" w14:textId="77777777" w:rsidR="00D170E5" w:rsidRPr="002B55E9" w:rsidRDefault="00D170E5">
            <w:pPr>
              <w:pStyle w:val="affff7"/>
              <w:widowControl w:val="0"/>
              <w:snapToGrid w:val="0"/>
              <w:spacing w:after="0" w:line="240" w:lineRule="auto"/>
              <w:ind w:firstLineChars="0" w:firstLine="0"/>
              <w:jc w:val="center"/>
              <w:rPr>
                <w:sz w:val="18"/>
                <w:szCs w:val="18"/>
              </w:rPr>
            </w:pPr>
          </w:p>
        </w:tc>
        <w:tc>
          <w:tcPr>
            <w:tcW w:w="1929" w:type="dxa"/>
            <w:tcBorders>
              <w:bottom w:val="single" w:sz="12" w:space="0" w:color="auto"/>
            </w:tcBorders>
            <w:shd w:val="clear" w:color="auto" w:fill="auto"/>
            <w:vAlign w:val="center"/>
          </w:tcPr>
          <w:p w14:paraId="3143A2A7"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hint="eastAsia"/>
                <w:sz w:val="18"/>
                <w:szCs w:val="18"/>
              </w:rPr>
              <w:t>盐酸</w:t>
            </w:r>
          </w:p>
        </w:tc>
        <w:tc>
          <w:tcPr>
            <w:tcW w:w="1931" w:type="dxa"/>
            <w:tcBorders>
              <w:top w:val="nil"/>
              <w:left w:val="nil"/>
              <w:bottom w:val="single" w:sz="12" w:space="0" w:color="auto"/>
              <w:right w:val="nil"/>
            </w:tcBorders>
            <w:shd w:val="clear" w:color="auto" w:fill="auto"/>
            <w:vAlign w:val="center"/>
          </w:tcPr>
          <w:p w14:paraId="0AC3B890" w14:textId="77777777" w:rsidR="00D170E5" w:rsidRPr="002B55E9" w:rsidRDefault="00EF27AD">
            <w:pPr>
              <w:pStyle w:val="affff7"/>
              <w:widowControl w:val="0"/>
              <w:snapToGrid w:val="0"/>
              <w:spacing w:after="0" w:line="240" w:lineRule="auto"/>
              <w:ind w:firstLineChars="0" w:firstLine="0"/>
              <w:jc w:val="center"/>
              <w:rPr>
                <w:sz w:val="18"/>
                <w:szCs w:val="18"/>
              </w:rPr>
            </w:pPr>
            <w:r w:rsidRPr="002B55E9">
              <w:rPr>
                <w:rFonts w:eastAsia="等线"/>
                <w:sz w:val="18"/>
                <w:szCs w:val="18"/>
              </w:rPr>
              <w:t xml:space="preserve">0.02 </w:t>
            </w:r>
          </w:p>
        </w:tc>
      </w:tr>
    </w:tbl>
    <w:p w14:paraId="480B35C9" w14:textId="5AC82FEA" w:rsidR="00D170E5" w:rsidRPr="002B55E9" w:rsidRDefault="00EF27AD">
      <w:pPr>
        <w:pStyle w:val="affff7"/>
        <w:snapToGrid w:val="0"/>
        <w:spacing w:after="0"/>
      </w:pPr>
      <w:r w:rsidRPr="002B55E9">
        <w:rPr>
          <w:rFonts w:hint="eastAsia"/>
        </w:rPr>
        <w:t>实验废气经通风橱收集，活性炭吸附处理后通过</w:t>
      </w:r>
      <w:r w:rsidRPr="002B55E9">
        <w:t>18m</w:t>
      </w:r>
      <w:r w:rsidRPr="002B55E9">
        <w:rPr>
          <w:rFonts w:hint="eastAsia"/>
        </w:rPr>
        <w:t>高排气筒（</w:t>
      </w:r>
      <w:r w:rsidRPr="002B55E9">
        <w:rPr>
          <w:rFonts w:hint="eastAsia"/>
        </w:rPr>
        <w:t>DA003</w:t>
      </w:r>
      <w:r w:rsidRPr="002B55E9">
        <w:rPr>
          <w:rFonts w:hint="eastAsia"/>
        </w:rPr>
        <w:t>）排放，通风橱为负压操作，收集效率以</w:t>
      </w:r>
      <w:r w:rsidRPr="002B55E9">
        <w:rPr>
          <w:rFonts w:hint="eastAsia"/>
        </w:rPr>
        <w:t>9</w:t>
      </w:r>
      <w:r w:rsidRPr="002B55E9">
        <w:t>8%</w:t>
      </w:r>
      <w:r w:rsidRPr="002B55E9">
        <w:rPr>
          <w:rFonts w:hint="eastAsia"/>
        </w:rPr>
        <w:t>计算，由于各</w:t>
      </w:r>
      <w:r w:rsidRPr="002B55E9">
        <w:t>污染物</w:t>
      </w:r>
      <w:r w:rsidRPr="002B55E9">
        <w:rPr>
          <w:rFonts w:hint="eastAsia"/>
        </w:rPr>
        <w:t>产生</w:t>
      </w:r>
      <w:r w:rsidRPr="002B55E9">
        <w:t>浓度较低，</w:t>
      </w:r>
      <w:r w:rsidRPr="002B55E9">
        <w:rPr>
          <w:rFonts w:hint="eastAsia"/>
        </w:rPr>
        <w:t>活性炭吸附装置</w:t>
      </w:r>
      <w:r w:rsidRPr="002B55E9">
        <w:t>对有机废气的</w:t>
      </w:r>
      <w:r w:rsidRPr="002B55E9">
        <w:rPr>
          <w:rFonts w:hint="eastAsia"/>
        </w:rPr>
        <w:t>处理效率以</w:t>
      </w:r>
      <w:r w:rsidRPr="002B55E9">
        <w:rPr>
          <w:rFonts w:hint="eastAsia"/>
        </w:rPr>
        <w:t>3</w:t>
      </w:r>
      <w:r w:rsidRPr="002B55E9">
        <w:t>0%</w:t>
      </w:r>
      <w:r w:rsidRPr="002B55E9">
        <w:rPr>
          <w:rFonts w:hint="eastAsia"/>
        </w:rPr>
        <w:t>，对硫酸、氯化氢</w:t>
      </w:r>
      <w:r w:rsidR="00E630AC" w:rsidRPr="002B55E9">
        <w:rPr>
          <w:rFonts w:hint="eastAsia"/>
        </w:rPr>
        <w:t>的</w:t>
      </w:r>
      <w:r w:rsidRPr="002B55E9">
        <w:rPr>
          <w:rFonts w:hint="eastAsia"/>
        </w:rPr>
        <w:t>去除效率以</w:t>
      </w:r>
      <w:r w:rsidRPr="002B55E9">
        <w:rPr>
          <w:rFonts w:hint="eastAsia"/>
        </w:rPr>
        <w:t>0</w:t>
      </w:r>
      <w:r w:rsidRPr="002B55E9">
        <w:t>%</w:t>
      </w:r>
      <w:r w:rsidRPr="002B55E9">
        <w:rPr>
          <w:rFonts w:hint="eastAsia"/>
        </w:rPr>
        <w:t>计，实验室涉及试剂</w:t>
      </w:r>
      <w:r w:rsidRPr="002B55E9">
        <w:t>配制及使用</w:t>
      </w:r>
      <w:r w:rsidRPr="002B55E9">
        <w:rPr>
          <w:rFonts w:hint="eastAsia"/>
        </w:rPr>
        <w:t>环节</w:t>
      </w:r>
      <w:r w:rsidRPr="002B55E9">
        <w:t>日均用时</w:t>
      </w:r>
      <w:r w:rsidRPr="002B55E9">
        <w:rPr>
          <w:rFonts w:hint="eastAsia"/>
        </w:rPr>
        <w:t>约</w:t>
      </w:r>
      <w:r w:rsidR="00382309" w:rsidRPr="002B55E9">
        <w:t>3</w:t>
      </w:r>
      <w:r w:rsidRPr="002B55E9">
        <w:t>h</w:t>
      </w:r>
      <w:r w:rsidRPr="002B55E9">
        <w:t>，则</w:t>
      </w:r>
      <w:r w:rsidRPr="002B55E9">
        <w:rPr>
          <w:rFonts w:hint="eastAsia"/>
        </w:rPr>
        <w:t>年</w:t>
      </w:r>
      <w:r w:rsidRPr="002B55E9">
        <w:t>用时为</w:t>
      </w:r>
      <w:r w:rsidR="00382309" w:rsidRPr="002B55E9">
        <w:t>99</w:t>
      </w:r>
      <w:r w:rsidRPr="002B55E9">
        <w:rPr>
          <w:rFonts w:hint="eastAsia"/>
        </w:rPr>
        <w:t>0</w:t>
      </w:r>
      <w:r w:rsidRPr="002B55E9">
        <w:t>h</w:t>
      </w:r>
      <w:r w:rsidRPr="002B55E9">
        <w:rPr>
          <w:rFonts w:hint="eastAsia"/>
        </w:rPr>
        <w:t>，实验废气产排情况如下表</w:t>
      </w:r>
      <w:r w:rsidRPr="002B55E9">
        <w:t>所示。</w:t>
      </w:r>
    </w:p>
    <w:p w14:paraId="7D804BDC" w14:textId="77777777" w:rsidR="00D170E5" w:rsidRPr="002B55E9" w:rsidRDefault="00EF27AD">
      <w:pPr>
        <w:pStyle w:val="1f3"/>
        <w:spacing w:beforeLines="0" w:before="0"/>
      </w:pPr>
      <w:r w:rsidRPr="002B55E9">
        <w:rPr>
          <w:rFonts w:hint="eastAsia"/>
        </w:rPr>
        <w:lastRenderedPageBreak/>
        <w:t>表</w:t>
      </w:r>
      <w:r w:rsidRPr="002B55E9">
        <w:rPr>
          <w:rFonts w:hint="eastAsia"/>
        </w:rPr>
        <w:t>3</w:t>
      </w:r>
      <w:r w:rsidRPr="002B55E9">
        <w:t xml:space="preserve">-3-17  </w:t>
      </w:r>
      <w:r w:rsidRPr="002B55E9">
        <w:rPr>
          <w:rFonts w:hint="eastAsia"/>
        </w:rPr>
        <w:t>化验室废气产生及排放情况一览表</w:t>
      </w:r>
    </w:p>
    <w:tbl>
      <w:tblPr>
        <w:tblStyle w:val="lgy2"/>
        <w:tblW w:w="5000" w:type="pct"/>
        <w:tblLayout w:type="fixed"/>
        <w:tblCellMar>
          <w:left w:w="28" w:type="dxa"/>
          <w:right w:w="28" w:type="dxa"/>
        </w:tblCellMar>
        <w:tblLook w:val="04A0" w:firstRow="1" w:lastRow="0" w:firstColumn="1" w:lastColumn="0" w:noHBand="0" w:noVBand="1"/>
      </w:tblPr>
      <w:tblGrid>
        <w:gridCol w:w="618"/>
        <w:gridCol w:w="595"/>
        <w:gridCol w:w="601"/>
        <w:gridCol w:w="960"/>
        <w:gridCol w:w="1074"/>
        <w:gridCol w:w="919"/>
        <w:gridCol w:w="611"/>
        <w:gridCol w:w="809"/>
        <w:gridCol w:w="479"/>
        <w:gridCol w:w="496"/>
        <w:gridCol w:w="960"/>
        <w:gridCol w:w="777"/>
        <w:gridCol w:w="795"/>
      </w:tblGrid>
      <w:tr w:rsidR="002B55E9" w:rsidRPr="002B55E9" w14:paraId="158AFC78" w14:textId="77777777" w:rsidTr="00382309">
        <w:trPr>
          <w:cnfStyle w:val="100000000000" w:firstRow="1" w:lastRow="0" w:firstColumn="0" w:lastColumn="0" w:oddVBand="0" w:evenVBand="0" w:oddHBand="0" w:evenHBand="0" w:firstRowFirstColumn="0" w:firstRowLastColumn="0" w:lastRowFirstColumn="0" w:lastRowLastColumn="0"/>
          <w:trHeight w:val="283"/>
        </w:trPr>
        <w:tc>
          <w:tcPr>
            <w:tcW w:w="615" w:type="dxa"/>
            <w:vMerge w:val="restart"/>
          </w:tcPr>
          <w:p w14:paraId="3DEB3ACC" w14:textId="77777777" w:rsidR="00D170E5" w:rsidRPr="002B55E9" w:rsidRDefault="00EF27AD" w:rsidP="00382309">
            <w:pPr>
              <w:pStyle w:val="lgy-"/>
              <w:rPr>
                <w:rFonts w:eastAsia="宋体"/>
              </w:rPr>
            </w:pPr>
            <w:r w:rsidRPr="002B55E9">
              <w:rPr>
                <w:rFonts w:eastAsia="宋体"/>
              </w:rPr>
              <w:t>排放源</w:t>
            </w:r>
          </w:p>
        </w:tc>
        <w:tc>
          <w:tcPr>
            <w:tcW w:w="592" w:type="dxa"/>
            <w:vMerge w:val="restart"/>
          </w:tcPr>
          <w:p w14:paraId="043B71F7" w14:textId="77777777" w:rsidR="00D170E5" w:rsidRPr="002B55E9" w:rsidRDefault="00EF27AD" w:rsidP="00382309">
            <w:pPr>
              <w:pStyle w:val="lgy-"/>
              <w:rPr>
                <w:rFonts w:eastAsia="宋体"/>
              </w:rPr>
            </w:pPr>
            <w:r w:rsidRPr="002B55E9">
              <w:rPr>
                <w:rFonts w:eastAsia="宋体"/>
              </w:rPr>
              <w:t>污染物</w:t>
            </w:r>
          </w:p>
        </w:tc>
        <w:tc>
          <w:tcPr>
            <w:tcW w:w="598" w:type="dxa"/>
            <w:vMerge w:val="restart"/>
          </w:tcPr>
          <w:p w14:paraId="778FB9A3" w14:textId="77777777" w:rsidR="00D170E5" w:rsidRPr="002B55E9" w:rsidRDefault="00EF27AD" w:rsidP="00382309">
            <w:pPr>
              <w:pStyle w:val="lgy-"/>
              <w:rPr>
                <w:rFonts w:eastAsia="宋体"/>
              </w:rPr>
            </w:pPr>
            <w:r w:rsidRPr="002B55E9">
              <w:rPr>
                <w:rFonts w:eastAsia="宋体" w:hint="eastAsia"/>
              </w:rPr>
              <w:t>排放时间</w:t>
            </w:r>
            <w:r w:rsidRPr="002B55E9">
              <w:rPr>
                <w:rFonts w:eastAsia="宋体" w:hint="eastAsia"/>
              </w:rPr>
              <w:t>h</w:t>
            </w:r>
          </w:p>
        </w:tc>
        <w:tc>
          <w:tcPr>
            <w:tcW w:w="2936" w:type="dxa"/>
            <w:gridSpan w:val="3"/>
          </w:tcPr>
          <w:p w14:paraId="5FD1A929" w14:textId="77777777" w:rsidR="00D170E5" w:rsidRPr="002B55E9" w:rsidRDefault="00EF27AD" w:rsidP="00382309">
            <w:pPr>
              <w:pStyle w:val="lgy-"/>
              <w:rPr>
                <w:rFonts w:eastAsia="宋体"/>
              </w:rPr>
            </w:pPr>
            <w:r w:rsidRPr="002B55E9">
              <w:rPr>
                <w:rFonts w:eastAsia="宋体"/>
              </w:rPr>
              <w:t>污染物产生</w:t>
            </w:r>
          </w:p>
        </w:tc>
        <w:tc>
          <w:tcPr>
            <w:tcW w:w="1411" w:type="dxa"/>
            <w:gridSpan w:val="2"/>
          </w:tcPr>
          <w:p w14:paraId="095368FB" w14:textId="77777777" w:rsidR="00D170E5" w:rsidRPr="002B55E9" w:rsidRDefault="00EF27AD" w:rsidP="00382309">
            <w:pPr>
              <w:pStyle w:val="lgy-"/>
              <w:rPr>
                <w:rFonts w:eastAsia="宋体"/>
              </w:rPr>
            </w:pPr>
            <w:r w:rsidRPr="002B55E9">
              <w:rPr>
                <w:rFonts w:eastAsia="宋体"/>
              </w:rPr>
              <w:t>废气收集</w:t>
            </w:r>
          </w:p>
        </w:tc>
        <w:tc>
          <w:tcPr>
            <w:tcW w:w="969" w:type="dxa"/>
            <w:gridSpan w:val="2"/>
          </w:tcPr>
          <w:p w14:paraId="5FEF2BEA" w14:textId="77777777" w:rsidR="00D170E5" w:rsidRPr="002B55E9" w:rsidRDefault="00EF27AD" w:rsidP="00382309">
            <w:pPr>
              <w:pStyle w:val="lgy-"/>
              <w:rPr>
                <w:rFonts w:eastAsia="宋体"/>
              </w:rPr>
            </w:pPr>
            <w:r w:rsidRPr="002B55E9">
              <w:rPr>
                <w:rFonts w:eastAsia="宋体"/>
              </w:rPr>
              <w:t>治理措施</w:t>
            </w:r>
          </w:p>
        </w:tc>
        <w:tc>
          <w:tcPr>
            <w:tcW w:w="2517" w:type="dxa"/>
            <w:gridSpan w:val="3"/>
          </w:tcPr>
          <w:p w14:paraId="75749BD4" w14:textId="77777777" w:rsidR="00D170E5" w:rsidRPr="002B55E9" w:rsidRDefault="00EF27AD" w:rsidP="00382309">
            <w:pPr>
              <w:pStyle w:val="lgy-"/>
              <w:rPr>
                <w:rFonts w:eastAsia="宋体"/>
              </w:rPr>
            </w:pPr>
            <w:r w:rsidRPr="002B55E9">
              <w:rPr>
                <w:rFonts w:eastAsia="宋体"/>
              </w:rPr>
              <w:t>污染物排放</w:t>
            </w:r>
          </w:p>
        </w:tc>
      </w:tr>
      <w:tr w:rsidR="002B55E9" w:rsidRPr="002B55E9" w14:paraId="1E846F60" w14:textId="77777777" w:rsidTr="00382309">
        <w:trPr>
          <w:trHeight w:val="283"/>
        </w:trPr>
        <w:tc>
          <w:tcPr>
            <w:tcW w:w="615" w:type="dxa"/>
            <w:vMerge/>
          </w:tcPr>
          <w:p w14:paraId="1004432A" w14:textId="77777777" w:rsidR="00D170E5" w:rsidRPr="002B55E9" w:rsidRDefault="00D170E5" w:rsidP="00382309">
            <w:pPr>
              <w:pStyle w:val="lgy-"/>
              <w:rPr>
                <w:rFonts w:eastAsia="宋体"/>
              </w:rPr>
            </w:pPr>
          </w:p>
        </w:tc>
        <w:tc>
          <w:tcPr>
            <w:tcW w:w="592" w:type="dxa"/>
            <w:vMerge/>
          </w:tcPr>
          <w:p w14:paraId="0E91653F" w14:textId="77777777" w:rsidR="00D170E5" w:rsidRPr="002B55E9" w:rsidRDefault="00D170E5" w:rsidP="00382309">
            <w:pPr>
              <w:pStyle w:val="lgy-"/>
              <w:rPr>
                <w:rFonts w:eastAsia="宋体"/>
              </w:rPr>
            </w:pPr>
          </w:p>
        </w:tc>
        <w:tc>
          <w:tcPr>
            <w:tcW w:w="598" w:type="dxa"/>
            <w:vMerge/>
          </w:tcPr>
          <w:p w14:paraId="7AE5E432" w14:textId="77777777" w:rsidR="00D170E5" w:rsidRPr="002B55E9" w:rsidRDefault="00D170E5" w:rsidP="00382309">
            <w:pPr>
              <w:pStyle w:val="lgy-"/>
              <w:rPr>
                <w:rFonts w:eastAsia="宋体"/>
              </w:rPr>
            </w:pPr>
          </w:p>
        </w:tc>
        <w:tc>
          <w:tcPr>
            <w:tcW w:w="954" w:type="dxa"/>
          </w:tcPr>
          <w:p w14:paraId="607048D9" w14:textId="77777777" w:rsidR="00D170E5" w:rsidRPr="002B55E9" w:rsidRDefault="00EF27AD" w:rsidP="00382309">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1068" w:type="dxa"/>
          </w:tcPr>
          <w:p w14:paraId="4EA7A23E" w14:textId="77777777" w:rsidR="00D170E5" w:rsidRPr="002B55E9" w:rsidRDefault="00EF27AD" w:rsidP="00382309">
            <w:pPr>
              <w:pStyle w:val="lgy-"/>
              <w:rPr>
                <w:rFonts w:eastAsia="宋体"/>
              </w:rPr>
            </w:pPr>
            <w:r w:rsidRPr="002B55E9">
              <w:rPr>
                <w:rFonts w:eastAsia="宋体"/>
              </w:rPr>
              <w:t>产生速率（</w:t>
            </w:r>
            <w:r w:rsidRPr="002B55E9">
              <w:rPr>
                <w:rFonts w:eastAsia="宋体"/>
              </w:rPr>
              <w:t>kg/h)</w:t>
            </w:r>
          </w:p>
        </w:tc>
        <w:tc>
          <w:tcPr>
            <w:tcW w:w="914" w:type="dxa"/>
          </w:tcPr>
          <w:p w14:paraId="10081691" w14:textId="77777777" w:rsidR="00D170E5" w:rsidRPr="002B55E9" w:rsidRDefault="00EF27AD" w:rsidP="00382309">
            <w:pPr>
              <w:pStyle w:val="lgy-"/>
              <w:rPr>
                <w:rFonts w:eastAsia="宋体"/>
              </w:rPr>
            </w:pPr>
            <w:r w:rsidRPr="002B55E9">
              <w:rPr>
                <w:rFonts w:eastAsia="宋体"/>
              </w:rPr>
              <w:t>产生量</w:t>
            </w:r>
            <w:r w:rsidRPr="002B55E9">
              <w:rPr>
                <w:rFonts w:eastAsia="宋体"/>
              </w:rPr>
              <w:t>(</w:t>
            </w:r>
            <w:r w:rsidRPr="002B55E9">
              <w:rPr>
                <w:rFonts w:eastAsia="宋体" w:hint="eastAsia"/>
              </w:rPr>
              <w:t>t</w:t>
            </w:r>
            <w:r w:rsidRPr="002B55E9">
              <w:rPr>
                <w:rFonts w:eastAsia="宋体"/>
              </w:rPr>
              <w:t>/a)</w:t>
            </w:r>
          </w:p>
        </w:tc>
        <w:tc>
          <w:tcPr>
            <w:tcW w:w="607" w:type="dxa"/>
          </w:tcPr>
          <w:p w14:paraId="21567DB0" w14:textId="77777777" w:rsidR="00D170E5" w:rsidRPr="002B55E9" w:rsidRDefault="00EF27AD" w:rsidP="00382309">
            <w:pPr>
              <w:pStyle w:val="lgy-"/>
              <w:rPr>
                <w:rFonts w:eastAsia="宋体"/>
              </w:rPr>
            </w:pPr>
            <w:r w:rsidRPr="002B55E9">
              <w:rPr>
                <w:rFonts w:eastAsia="宋体"/>
              </w:rPr>
              <w:t>方式</w:t>
            </w:r>
          </w:p>
        </w:tc>
        <w:tc>
          <w:tcPr>
            <w:tcW w:w="804" w:type="dxa"/>
          </w:tcPr>
          <w:p w14:paraId="0E208795" w14:textId="77777777" w:rsidR="00D170E5" w:rsidRPr="002B55E9" w:rsidRDefault="00EF27AD" w:rsidP="00382309">
            <w:pPr>
              <w:pStyle w:val="lgy-"/>
              <w:rPr>
                <w:rFonts w:eastAsia="宋体"/>
              </w:rPr>
            </w:pPr>
            <w:r w:rsidRPr="002B55E9">
              <w:rPr>
                <w:rFonts w:eastAsia="宋体"/>
              </w:rPr>
              <w:t>风量（</w:t>
            </w:r>
            <w:r w:rsidRPr="002B55E9">
              <w:rPr>
                <w:rFonts w:eastAsia="宋体"/>
              </w:rPr>
              <w:t>m</w:t>
            </w:r>
            <w:r w:rsidRPr="002B55E9">
              <w:rPr>
                <w:rFonts w:eastAsia="宋体"/>
                <w:vertAlign w:val="superscript"/>
              </w:rPr>
              <w:t>3</w:t>
            </w:r>
            <w:r w:rsidRPr="002B55E9">
              <w:rPr>
                <w:rFonts w:eastAsia="宋体"/>
              </w:rPr>
              <w:t>/h</w:t>
            </w:r>
            <w:r w:rsidRPr="002B55E9">
              <w:rPr>
                <w:rFonts w:eastAsia="宋体" w:hint="eastAsia"/>
              </w:rPr>
              <w:t>）</w:t>
            </w:r>
          </w:p>
        </w:tc>
        <w:tc>
          <w:tcPr>
            <w:tcW w:w="476" w:type="dxa"/>
          </w:tcPr>
          <w:p w14:paraId="10FE0CEA" w14:textId="77777777" w:rsidR="00D170E5" w:rsidRPr="002B55E9" w:rsidRDefault="00EF27AD" w:rsidP="00382309">
            <w:pPr>
              <w:pStyle w:val="lgy-"/>
              <w:rPr>
                <w:rFonts w:eastAsia="宋体"/>
              </w:rPr>
            </w:pPr>
            <w:r w:rsidRPr="002B55E9">
              <w:rPr>
                <w:rFonts w:eastAsia="宋体"/>
              </w:rPr>
              <w:t>工艺</w:t>
            </w:r>
          </w:p>
        </w:tc>
        <w:tc>
          <w:tcPr>
            <w:tcW w:w="493" w:type="dxa"/>
          </w:tcPr>
          <w:p w14:paraId="7D421FCE" w14:textId="77777777" w:rsidR="00D170E5" w:rsidRPr="002B55E9" w:rsidRDefault="00EF27AD" w:rsidP="00382309">
            <w:pPr>
              <w:pStyle w:val="lgy-"/>
              <w:rPr>
                <w:rFonts w:eastAsia="宋体"/>
              </w:rPr>
            </w:pPr>
            <w:r w:rsidRPr="002B55E9">
              <w:rPr>
                <w:rFonts w:eastAsia="宋体"/>
              </w:rPr>
              <w:t>效率</w:t>
            </w:r>
            <w:r w:rsidRPr="002B55E9">
              <w:rPr>
                <w:rFonts w:eastAsia="宋体"/>
              </w:rPr>
              <w:t>%</w:t>
            </w:r>
          </w:p>
        </w:tc>
        <w:tc>
          <w:tcPr>
            <w:tcW w:w="954" w:type="dxa"/>
          </w:tcPr>
          <w:p w14:paraId="6CCB27E1" w14:textId="77777777" w:rsidR="00D170E5" w:rsidRPr="002B55E9" w:rsidRDefault="00EF27AD" w:rsidP="00382309">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773" w:type="dxa"/>
          </w:tcPr>
          <w:p w14:paraId="48C5E14B" w14:textId="77777777" w:rsidR="00D170E5" w:rsidRPr="002B55E9" w:rsidRDefault="00EF27AD" w:rsidP="00382309">
            <w:pPr>
              <w:pStyle w:val="lgy-"/>
              <w:rPr>
                <w:rFonts w:eastAsia="宋体"/>
              </w:rPr>
            </w:pPr>
            <w:r w:rsidRPr="002B55E9">
              <w:rPr>
                <w:rFonts w:eastAsia="宋体"/>
              </w:rPr>
              <w:t>排放速率（</w:t>
            </w:r>
            <w:r w:rsidRPr="002B55E9">
              <w:rPr>
                <w:rFonts w:eastAsia="宋体"/>
              </w:rPr>
              <w:t>kg/h)</w:t>
            </w:r>
          </w:p>
        </w:tc>
        <w:tc>
          <w:tcPr>
            <w:tcW w:w="790" w:type="dxa"/>
          </w:tcPr>
          <w:p w14:paraId="6A60CC24" w14:textId="77777777" w:rsidR="00D170E5" w:rsidRPr="002B55E9" w:rsidRDefault="00EF27AD" w:rsidP="00382309">
            <w:pPr>
              <w:pStyle w:val="lgy-"/>
              <w:rPr>
                <w:rFonts w:eastAsia="宋体"/>
              </w:rPr>
            </w:pPr>
            <w:r w:rsidRPr="002B55E9">
              <w:rPr>
                <w:rFonts w:eastAsia="宋体"/>
              </w:rPr>
              <w:t>排放量</w:t>
            </w:r>
            <w:r w:rsidRPr="002B55E9">
              <w:rPr>
                <w:rFonts w:eastAsia="宋体"/>
              </w:rPr>
              <w:t>(</w:t>
            </w:r>
            <w:r w:rsidRPr="002B55E9">
              <w:rPr>
                <w:rFonts w:eastAsia="宋体" w:hint="eastAsia"/>
              </w:rPr>
              <w:t>t</w:t>
            </w:r>
            <w:r w:rsidRPr="002B55E9">
              <w:rPr>
                <w:rFonts w:eastAsia="宋体"/>
              </w:rPr>
              <w:t>/a)</w:t>
            </w:r>
          </w:p>
        </w:tc>
      </w:tr>
      <w:tr w:rsidR="002B55E9" w:rsidRPr="002B55E9" w14:paraId="2C512BE9" w14:textId="77777777" w:rsidTr="00382309">
        <w:trPr>
          <w:trHeight w:val="283"/>
        </w:trPr>
        <w:tc>
          <w:tcPr>
            <w:tcW w:w="615" w:type="dxa"/>
            <w:vMerge w:val="restart"/>
          </w:tcPr>
          <w:p w14:paraId="59B177BC" w14:textId="77777777" w:rsidR="00382309" w:rsidRPr="002B55E9" w:rsidRDefault="00382309" w:rsidP="00382309">
            <w:pPr>
              <w:pStyle w:val="lgy-"/>
              <w:rPr>
                <w:rFonts w:eastAsia="宋体"/>
              </w:rPr>
            </w:pPr>
            <w:r w:rsidRPr="002B55E9">
              <w:rPr>
                <w:rFonts w:eastAsia="宋体" w:hint="eastAsia"/>
              </w:rPr>
              <w:t>DA00</w:t>
            </w:r>
            <w:r w:rsidRPr="002B55E9">
              <w:rPr>
                <w:rFonts w:eastAsia="宋体"/>
              </w:rPr>
              <w:t>3</w:t>
            </w:r>
          </w:p>
        </w:tc>
        <w:tc>
          <w:tcPr>
            <w:tcW w:w="592" w:type="dxa"/>
          </w:tcPr>
          <w:p w14:paraId="084B5A8A" w14:textId="14CB8723" w:rsidR="00382309" w:rsidRPr="002B55E9" w:rsidRDefault="00382309" w:rsidP="00382309">
            <w:pPr>
              <w:pStyle w:val="lgy-"/>
              <w:rPr>
                <w:rFonts w:eastAsia="宋体"/>
              </w:rPr>
            </w:pPr>
            <w:r w:rsidRPr="002B55E9">
              <w:rPr>
                <w:rFonts w:eastAsia="宋体" w:hint="eastAsia"/>
              </w:rPr>
              <w:t>非甲烷总烃</w:t>
            </w:r>
          </w:p>
        </w:tc>
        <w:tc>
          <w:tcPr>
            <w:tcW w:w="598" w:type="dxa"/>
            <w:vMerge w:val="restart"/>
          </w:tcPr>
          <w:p w14:paraId="4DDD218B" w14:textId="12B3D0E2" w:rsidR="00382309" w:rsidRPr="002B55E9" w:rsidRDefault="00382309" w:rsidP="00382309">
            <w:pPr>
              <w:pStyle w:val="lgy-"/>
              <w:rPr>
                <w:rFonts w:eastAsia="宋体"/>
              </w:rPr>
            </w:pPr>
            <w:r w:rsidRPr="002B55E9">
              <w:rPr>
                <w:rFonts w:eastAsia="宋体"/>
              </w:rPr>
              <w:t>990</w:t>
            </w:r>
          </w:p>
        </w:tc>
        <w:tc>
          <w:tcPr>
            <w:tcW w:w="954" w:type="dxa"/>
          </w:tcPr>
          <w:p w14:paraId="375CC14A" w14:textId="1B3CD249" w:rsidR="00382309" w:rsidRPr="002B55E9" w:rsidRDefault="00382309" w:rsidP="00382309">
            <w:pPr>
              <w:pStyle w:val="lgy-"/>
              <w:rPr>
                <w:rFonts w:eastAsia="宋体"/>
              </w:rPr>
            </w:pPr>
            <w:r w:rsidRPr="002B55E9">
              <w:rPr>
                <w:rFonts w:eastAsia="宋体"/>
              </w:rPr>
              <w:t xml:space="preserve">1.88 </w:t>
            </w:r>
          </w:p>
        </w:tc>
        <w:tc>
          <w:tcPr>
            <w:tcW w:w="1068" w:type="dxa"/>
          </w:tcPr>
          <w:p w14:paraId="7C700E05" w14:textId="6CA0C2FD" w:rsidR="00382309" w:rsidRPr="002B55E9" w:rsidRDefault="00382309" w:rsidP="00382309">
            <w:pPr>
              <w:pStyle w:val="lgy-"/>
              <w:rPr>
                <w:rFonts w:eastAsia="宋体"/>
              </w:rPr>
            </w:pPr>
            <w:r w:rsidRPr="002B55E9">
              <w:rPr>
                <w:rFonts w:eastAsia="宋体"/>
              </w:rPr>
              <w:t xml:space="preserve">0.008 </w:t>
            </w:r>
          </w:p>
        </w:tc>
        <w:tc>
          <w:tcPr>
            <w:tcW w:w="914" w:type="dxa"/>
          </w:tcPr>
          <w:p w14:paraId="71D6C35C" w14:textId="3F3506F2" w:rsidR="00382309" w:rsidRPr="002B55E9" w:rsidRDefault="00382309" w:rsidP="00382309">
            <w:pPr>
              <w:pStyle w:val="lgy-"/>
              <w:rPr>
                <w:rFonts w:eastAsia="宋体"/>
              </w:rPr>
            </w:pPr>
            <w:r w:rsidRPr="002B55E9">
              <w:rPr>
                <w:rFonts w:eastAsia="宋体"/>
              </w:rPr>
              <w:t>0.007</w:t>
            </w:r>
          </w:p>
        </w:tc>
        <w:tc>
          <w:tcPr>
            <w:tcW w:w="607" w:type="dxa"/>
            <w:vMerge w:val="restart"/>
          </w:tcPr>
          <w:p w14:paraId="57118FD7" w14:textId="77777777" w:rsidR="00382309" w:rsidRPr="002B55E9" w:rsidRDefault="00382309" w:rsidP="00382309">
            <w:pPr>
              <w:pStyle w:val="lgy-"/>
              <w:rPr>
                <w:rFonts w:eastAsia="宋体"/>
              </w:rPr>
            </w:pPr>
            <w:r w:rsidRPr="002B55E9">
              <w:rPr>
                <w:rFonts w:eastAsia="宋体" w:hint="eastAsia"/>
              </w:rPr>
              <w:t>通风橱</w:t>
            </w:r>
            <w:r w:rsidRPr="002B55E9">
              <w:rPr>
                <w:rFonts w:eastAsia="宋体"/>
              </w:rPr>
              <w:t>收集</w:t>
            </w:r>
            <w:r w:rsidRPr="002B55E9">
              <w:rPr>
                <w:rFonts w:eastAsia="宋体" w:hint="eastAsia"/>
              </w:rPr>
              <w:t>，效率</w:t>
            </w:r>
            <w:r w:rsidRPr="002B55E9">
              <w:rPr>
                <w:rFonts w:eastAsia="宋体" w:hint="eastAsia"/>
              </w:rPr>
              <w:t>98</w:t>
            </w:r>
            <w:r w:rsidRPr="002B55E9">
              <w:rPr>
                <w:rFonts w:eastAsia="宋体"/>
              </w:rPr>
              <w:t>%</w:t>
            </w:r>
          </w:p>
        </w:tc>
        <w:tc>
          <w:tcPr>
            <w:tcW w:w="804" w:type="dxa"/>
            <w:vMerge w:val="restart"/>
          </w:tcPr>
          <w:p w14:paraId="57C808D7" w14:textId="77777777" w:rsidR="00382309" w:rsidRPr="002B55E9" w:rsidRDefault="00382309" w:rsidP="00382309">
            <w:pPr>
              <w:pStyle w:val="lgy-"/>
              <w:rPr>
                <w:rFonts w:eastAsia="宋体"/>
              </w:rPr>
            </w:pPr>
            <w:r w:rsidRPr="002B55E9">
              <w:rPr>
                <w:rFonts w:eastAsia="宋体" w:hint="eastAsia"/>
              </w:rPr>
              <w:t>4000</w:t>
            </w:r>
          </w:p>
        </w:tc>
        <w:tc>
          <w:tcPr>
            <w:tcW w:w="476" w:type="dxa"/>
            <w:vMerge w:val="restart"/>
          </w:tcPr>
          <w:p w14:paraId="300802DD" w14:textId="77777777" w:rsidR="00382309" w:rsidRPr="002B55E9" w:rsidRDefault="00382309" w:rsidP="00382309">
            <w:pPr>
              <w:pStyle w:val="lgy-"/>
              <w:rPr>
                <w:rFonts w:eastAsia="宋体"/>
              </w:rPr>
            </w:pPr>
            <w:r w:rsidRPr="002B55E9">
              <w:rPr>
                <w:rFonts w:eastAsia="宋体" w:hint="eastAsia"/>
              </w:rPr>
              <w:t>活性炭</w:t>
            </w:r>
            <w:r w:rsidRPr="002B55E9">
              <w:rPr>
                <w:rFonts w:eastAsia="宋体"/>
              </w:rPr>
              <w:t>吸附</w:t>
            </w:r>
          </w:p>
        </w:tc>
        <w:tc>
          <w:tcPr>
            <w:tcW w:w="493" w:type="dxa"/>
          </w:tcPr>
          <w:p w14:paraId="3E629B32" w14:textId="77777777" w:rsidR="00382309" w:rsidRPr="002B55E9" w:rsidRDefault="00382309" w:rsidP="00382309">
            <w:pPr>
              <w:pStyle w:val="lgy-"/>
              <w:rPr>
                <w:rFonts w:eastAsia="宋体"/>
              </w:rPr>
            </w:pPr>
            <w:r w:rsidRPr="002B55E9">
              <w:rPr>
                <w:rFonts w:eastAsia="宋体" w:hint="eastAsia"/>
              </w:rPr>
              <w:t>30</w:t>
            </w:r>
            <w:r w:rsidRPr="002B55E9">
              <w:rPr>
                <w:rFonts w:eastAsia="宋体"/>
              </w:rPr>
              <w:t>%</w:t>
            </w:r>
          </w:p>
        </w:tc>
        <w:tc>
          <w:tcPr>
            <w:tcW w:w="954" w:type="dxa"/>
          </w:tcPr>
          <w:p w14:paraId="67E8AEDE" w14:textId="01B1A407" w:rsidR="00382309" w:rsidRPr="002B55E9" w:rsidRDefault="00382309" w:rsidP="00382309">
            <w:pPr>
              <w:pStyle w:val="lgy-"/>
              <w:rPr>
                <w:rFonts w:eastAsia="宋体"/>
              </w:rPr>
            </w:pPr>
            <w:r w:rsidRPr="002B55E9">
              <w:rPr>
                <w:rFonts w:eastAsia="宋体"/>
              </w:rPr>
              <w:t>1.29</w:t>
            </w:r>
          </w:p>
        </w:tc>
        <w:tc>
          <w:tcPr>
            <w:tcW w:w="773" w:type="dxa"/>
          </w:tcPr>
          <w:p w14:paraId="64897574" w14:textId="516D463B" w:rsidR="00382309" w:rsidRPr="002B55E9" w:rsidRDefault="00382309" w:rsidP="00382309">
            <w:pPr>
              <w:pStyle w:val="lgy-"/>
              <w:rPr>
                <w:rFonts w:eastAsia="宋体"/>
              </w:rPr>
            </w:pPr>
            <w:r w:rsidRPr="002B55E9">
              <w:rPr>
                <w:rFonts w:eastAsia="宋体"/>
              </w:rPr>
              <w:t xml:space="preserve">0.005 </w:t>
            </w:r>
          </w:p>
        </w:tc>
        <w:tc>
          <w:tcPr>
            <w:tcW w:w="790" w:type="dxa"/>
          </w:tcPr>
          <w:p w14:paraId="086BD82F" w14:textId="7F3737EB" w:rsidR="00382309" w:rsidRPr="002B55E9" w:rsidRDefault="00382309" w:rsidP="00382309">
            <w:pPr>
              <w:pStyle w:val="lgy-"/>
              <w:rPr>
                <w:rFonts w:eastAsia="宋体"/>
              </w:rPr>
            </w:pPr>
            <w:r w:rsidRPr="002B55E9">
              <w:rPr>
                <w:rFonts w:eastAsia="宋体"/>
              </w:rPr>
              <w:t>5.11E-03</w:t>
            </w:r>
          </w:p>
        </w:tc>
      </w:tr>
      <w:tr w:rsidR="002B55E9" w:rsidRPr="002B55E9" w14:paraId="741AF5A8" w14:textId="77777777" w:rsidTr="00382309">
        <w:trPr>
          <w:trHeight w:val="283"/>
        </w:trPr>
        <w:tc>
          <w:tcPr>
            <w:tcW w:w="615" w:type="dxa"/>
            <w:vMerge/>
          </w:tcPr>
          <w:p w14:paraId="410E6342" w14:textId="77777777" w:rsidR="00382309" w:rsidRPr="002B55E9" w:rsidRDefault="00382309" w:rsidP="00382309">
            <w:pPr>
              <w:pStyle w:val="lgy-"/>
              <w:rPr>
                <w:rFonts w:eastAsia="宋体"/>
              </w:rPr>
            </w:pPr>
          </w:p>
        </w:tc>
        <w:tc>
          <w:tcPr>
            <w:tcW w:w="592" w:type="dxa"/>
          </w:tcPr>
          <w:p w14:paraId="6002BE1B" w14:textId="77777777" w:rsidR="00382309" w:rsidRPr="002B55E9" w:rsidRDefault="00382309" w:rsidP="00382309">
            <w:pPr>
              <w:pStyle w:val="lgy-"/>
              <w:rPr>
                <w:rFonts w:eastAsia="宋体"/>
              </w:rPr>
            </w:pPr>
            <w:r w:rsidRPr="002B55E9">
              <w:rPr>
                <w:rFonts w:eastAsia="宋体" w:hint="eastAsia"/>
              </w:rPr>
              <w:t>甲醛</w:t>
            </w:r>
          </w:p>
        </w:tc>
        <w:tc>
          <w:tcPr>
            <w:tcW w:w="598" w:type="dxa"/>
            <w:vMerge/>
          </w:tcPr>
          <w:p w14:paraId="6443F78F" w14:textId="77777777" w:rsidR="00382309" w:rsidRPr="002B55E9" w:rsidRDefault="00382309" w:rsidP="00382309">
            <w:pPr>
              <w:pStyle w:val="lgy-"/>
              <w:rPr>
                <w:rFonts w:eastAsia="宋体"/>
              </w:rPr>
            </w:pPr>
          </w:p>
        </w:tc>
        <w:tc>
          <w:tcPr>
            <w:tcW w:w="954" w:type="dxa"/>
          </w:tcPr>
          <w:p w14:paraId="1E7D1C6B" w14:textId="0562082B" w:rsidR="00382309" w:rsidRPr="002B55E9" w:rsidRDefault="00382309" w:rsidP="00382309">
            <w:pPr>
              <w:pStyle w:val="lgy-"/>
              <w:rPr>
                <w:rFonts w:eastAsia="宋体"/>
              </w:rPr>
            </w:pPr>
            <w:r w:rsidRPr="002B55E9">
              <w:rPr>
                <w:rFonts w:eastAsia="宋体"/>
              </w:rPr>
              <w:t xml:space="preserve">1.23 </w:t>
            </w:r>
          </w:p>
        </w:tc>
        <w:tc>
          <w:tcPr>
            <w:tcW w:w="1068" w:type="dxa"/>
          </w:tcPr>
          <w:p w14:paraId="40B7E4D3" w14:textId="5CF2AC44" w:rsidR="00382309" w:rsidRPr="002B55E9" w:rsidRDefault="00382309" w:rsidP="00382309">
            <w:pPr>
              <w:pStyle w:val="lgy-"/>
              <w:rPr>
                <w:rFonts w:eastAsia="宋体"/>
              </w:rPr>
            </w:pPr>
            <w:r w:rsidRPr="002B55E9">
              <w:rPr>
                <w:rFonts w:eastAsia="宋体"/>
              </w:rPr>
              <w:t xml:space="preserve">0.005 </w:t>
            </w:r>
          </w:p>
        </w:tc>
        <w:tc>
          <w:tcPr>
            <w:tcW w:w="914" w:type="dxa"/>
          </w:tcPr>
          <w:p w14:paraId="69D25614" w14:textId="585B7351" w:rsidR="00382309" w:rsidRPr="002B55E9" w:rsidRDefault="00382309" w:rsidP="00382309">
            <w:pPr>
              <w:pStyle w:val="lgy-"/>
              <w:rPr>
                <w:rFonts w:eastAsia="宋体"/>
              </w:rPr>
            </w:pPr>
            <w:r w:rsidRPr="002B55E9">
              <w:rPr>
                <w:rFonts w:eastAsia="宋体"/>
              </w:rPr>
              <w:t>0.005</w:t>
            </w:r>
          </w:p>
        </w:tc>
        <w:tc>
          <w:tcPr>
            <w:tcW w:w="607" w:type="dxa"/>
            <w:vMerge/>
          </w:tcPr>
          <w:p w14:paraId="453D3EE4" w14:textId="77777777" w:rsidR="00382309" w:rsidRPr="002B55E9" w:rsidRDefault="00382309" w:rsidP="00382309">
            <w:pPr>
              <w:pStyle w:val="lgy-"/>
              <w:rPr>
                <w:rFonts w:eastAsia="宋体"/>
              </w:rPr>
            </w:pPr>
          </w:p>
        </w:tc>
        <w:tc>
          <w:tcPr>
            <w:tcW w:w="804" w:type="dxa"/>
            <w:vMerge/>
          </w:tcPr>
          <w:p w14:paraId="59A293CF" w14:textId="77777777" w:rsidR="00382309" w:rsidRPr="002B55E9" w:rsidRDefault="00382309" w:rsidP="00382309">
            <w:pPr>
              <w:pStyle w:val="lgy-"/>
              <w:rPr>
                <w:rFonts w:eastAsia="宋体"/>
              </w:rPr>
            </w:pPr>
          </w:p>
        </w:tc>
        <w:tc>
          <w:tcPr>
            <w:tcW w:w="476" w:type="dxa"/>
            <w:vMerge/>
          </w:tcPr>
          <w:p w14:paraId="4D0D4404" w14:textId="77777777" w:rsidR="00382309" w:rsidRPr="002B55E9" w:rsidRDefault="00382309" w:rsidP="00382309">
            <w:pPr>
              <w:pStyle w:val="lgy-"/>
              <w:rPr>
                <w:rFonts w:eastAsia="宋体"/>
              </w:rPr>
            </w:pPr>
          </w:p>
        </w:tc>
        <w:tc>
          <w:tcPr>
            <w:tcW w:w="493" w:type="dxa"/>
          </w:tcPr>
          <w:p w14:paraId="10F722CD" w14:textId="77777777" w:rsidR="00382309" w:rsidRPr="002B55E9" w:rsidRDefault="00382309" w:rsidP="00382309">
            <w:pPr>
              <w:pStyle w:val="lgy-"/>
              <w:rPr>
                <w:rFonts w:eastAsia="宋体"/>
              </w:rPr>
            </w:pPr>
            <w:r w:rsidRPr="002B55E9">
              <w:rPr>
                <w:rFonts w:eastAsia="宋体" w:hint="eastAsia"/>
              </w:rPr>
              <w:t>30</w:t>
            </w:r>
            <w:r w:rsidRPr="002B55E9">
              <w:rPr>
                <w:rFonts w:eastAsia="宋体"/>
              </w:rPr>
              <w:t>%</w:t>
            </w:r>
          </w:p>
        </w:tc>
        <w:tc>
          <w:tcPr>
            <w:tcW w:w="954" w:type="dxa"/>
          </w:tcPr>
          <w:p w14:paraId="73FEC1AD" w14:textId="51C06ED8" w:rsidR="00382309" w:rsidRPr="002B55E9" w:rsidRDefault="00382309" w:rsidP="00382309">
            <w:pPr>
              <w:pStyle w:val="lgy-"/>
              <w:rPr>
                <w:rFonts w:eastAsia="宋体"/>
              </w:rPr>
            </w:pPr>
            <w:r w:rsidRPr="002B55E9">
              <w:rPr>
                <w:rFonts w:eastAsia="宋体"/>
              </w:rPr>
              <w:t>0.85</w:t>
            </w:r>
          </w:p>
        </w:tc>
        <w:tc>
          <w:tcPr>
            <w:tcW w:w="773" w:type="dxa"/>
          </w:tcPr>
          <w:p w14:paraId="0F58F453" w14:textId="02C68E06" w:rsidR="00382309" w:rsidRPr="002B55E9" w:rsidRDefault="00382309" w:rsidP="00382309">
            <w:pPr>
              <w:pStyle w:val="lgy-"/>
              <w:rPr>
                <w:rFonts w:eastAsia="宋体"/>
              </w:rPr>
            </w:pPr>
            <w:r w:rsidRPr="002B55E9">
              <w:rPr>
                <w:rFonts w:eastAsia="宋体"/>
              </w:rPr>
              <w:t xml:space="preserve">0.003 </w:t>
            </w:r>
          </w:p>
        </w:tc>
        <w:tc>
          <w:tcPr>
            <w:tcW w:w="790" w:type="dxa"/>
          </w:tcPr>
          <w:p w14:paraId="62A1CBF9" w14:textId="2A73F29D" w:rsidR="00382309" w:rsidRPr="002B55E9" w:rsidRDefault="00382309" w:rsidP="00382309">
            <w:pPr>
              <w:pStyle w:val="lgy-"/>
              <w:rPr>
                <w:rFonts w:eastAsia="宋体"/>
              </w:rPr>
            </w:pPr>
            <w:r w:rsidRPr="002B55E9">
              <w:rPr>
                <w:rFonts w:eastAsia="宋体"/>
              </w:rPr>
              <w:t>3.35E-03</w:t>
            </w:r>
          </w:p>
        </w:tc>
      </w:tr>
      <w:tr w:rsidR="002B55E9" w:rsidRPr="002B55E9" w14:paraId="21982F8D" w14:textId="77777777" w:rsidTr="00382309">
        <w:trPr>
          <w:trHeight w:val="283"/>
        </w:trPr>
        <w:tc>
          <w:tcPr>
            <w:tcW w:w="615" w:type="dxa"/>
            <w:vMerge/>
          </w:tcPr>
          <w:p w14:paraId="494F24F1" w14:textId="77777777" w:rsidR="00382309" w:rsidRPr="002B55E9" w:rsidRDefault="00382309" w:rsidP="00382309">
            <w:pPr>
              <w:pStyle w:val="lgy-"/>
              <w:rPr>
                <w:rFonts w:eastAsia="宋体"/>
              </w:rPr>
            </w:pPr>
          </w:p>
        </w:tc>
        <w:tc>
          <w:tcPr>
            <w:tcW w:w="592" w:type="dxa"/>
          </w:tcPr>
          <w:p w14:paraId="7C491594" w14:textId="77777777" w:rsidR="00382309" w:rsidRPr="002B55E9" w:rsidRDefault="00382309" w:rsidP="00382309">
            <w:pPr>
              <w:pStyle w:val="lgy-"/>
              <w:rPr>
                <w:rFonts w:eastAsia="宋体"/>
              </w:rPr>
            </w:pPr>
            <w:r w:rsidRPr="002B55E9">
              <w:rPr>
                <w:rFonts w:eastAsia="宋体" w:hint="eastAsia"/>
              </w:rPr>
              <w:t>硫酸</w:t>
            </w:r>
          </w:p>
        </w:tc>
        <w:tc>
          <w:tcPr>
            <w:tcW w:w="598" w:type="dxa"/>
            <w:vMerge/>
          </w:tcPr>
          <w:p w14:paraId="1ACDBB6A" w14:textId="77777777" w:rsidR="00382309" w:rsidRPr="002B55E9" w:rsidRDefault="00382309" w:rsidP="00382309">
            <w:pPr>
              <w:pStyle w:val="lgy-"/>
              <w:rPr>
                <w:rFonts w:eastAsia="宋体"/>
              </w:rPr>
            </w:pPr>
          </w:p>
        </w:tc>
        <w:tc>
          <w:tcPr>
            <w:tcW w:w="954" w:type="dxa"/>
          </w:tcPr>
          <w:p w14:paraId="619B93AB" w14:textId="5D7807D1" w:rsidR="00382309" w:rsidRPr="002B55E9" w:rsidRDefault="00382309" w:rsidP="00382309">
            <w:pPr>
              <w:pStyle w:val="lgy-"/>
              <w:rPr>
                <w:rFonts w:eastAsia="宋体"/>
              </w:rPr>
            </w:pPr>
            <w:r w:rsidRPr="002B55E9">
              <w:rPr>
                <w:rFonts w:eastAsia="宋体"/>
              </w:rPr>
              <w:t xml:space="preserve">2.79 </w:t>
            </w:r>
          </w:p>
        </w:tc>
        <w:tc>
          <w:tcPr>
            <w:tcW w:w="1068" w:type="dxa"/>
          </w:tcPr>
          <w:p w14:paraId="287CEFDF" w14:textId="43D1F9ED" w:rsidR="00382309" w:rsidRPr="002B55E9" w:rsidRDefault="00382309" w:rsidP="00382309">
            <w:pPr>
              <w:pStyle w:val="lgy-"/>
              <w:rPr>
                <w:rFonts w:eastAsia="宋体"/>
              </w:rPr>
            </w:pPr>
            <w:r w:rsidRPr="002B55E9">
              <w:rPr>
                <w:rFonts w:eastAsia="宋体"/>
              </w:rPr>
              <w:t xml:space="preserve">0.011 </w:t>
            </w:r>
          </w:p>
        </w:tc>
        <w:tc>
          <w:tcPr>
            <w:tcW w:w="914" w:type="dxa"/>
          </w:tcPr>
          <w:p w14:paraId="5C0B154D" w14:textId="32E0AE47" w:rsidR="00382309" w:rsidRPr="002B55E9" w:rsidRDefault="00382309" w:rsidP="00382309">
            <w:pPr>
              <w:pStyle w:val="lgy-"/>
              <w:rPr>
                <w:rFonts w:eastAsia="宋体"/>
              </w:rPr>
            </w:pPr>
            <w:r w:rsidRPr="002B55E9">
              <w:rPr>
                <w:rFonts w:eastAsia="宋体"/>
              </w:rPr>
              <w:t>0.011</w:t>
            </w:r>
          </w:p>
        </w:tc>
        <w:tc>
          <w:tcPr>
            <w:tcW w:w="607" w:type="dxa"/>
            <w:vMerge/>
          </w:tcPr>
          <w:p w14:paraId="303D1C44" w14:textId="77777777" w:rsidR="00382309" w:rsidRPr="002B55E9" w:rsidRDefault="00382309" w:rsidP="00382309">
            <w:pPr>
              <w:pStyle w:val="lgy-"/>
              <w:rPr>
                <w:rFonts w:eastAsia="宋体"/>
              </w:rPr>
            </w:pPr>
          </w:p>
        </w:tc>
        <w:tc>
          <w:tcPr>
            <w:tcW w:w="804" w:type="dxa"/>
            <w:vMerge/>
          </w:tcPr>
          <w:p w14:paraId="337228C2" w14:textId="77777777" w:rsidR="00382309" w:rsidRPr="002B55E9" w:rsidRDefault="00382309" w:rsidP="00382309">
            <w:pPr>
              <w:pStyle w:val="lgy-"/>
              <w:rPr>
                <w:rFonts w:eastAsia="宋体"/>
              </w:rPr>
            </w:pPr>
          </w:p>
        </w:tc>
        <w:tc>
          <w:tcPr>
            <w:tcW w:w="476" w:type="dxa"/>
            <w:vMerge/>
          </w:tcPr>
          <w:p w14:paraId="3D925BF7" w14:textId="77777777" w:rsidR="00382309" w:rsidRPr="002B55E9" w:rsidRDefault="00382309" w:rsidP="00382309">
            <w:pPr>
              <w:pStyle w:val="lgy-"/>
              <w:rPr>
                <w:rFonts w:eastAsia="宋体"/>
              </w:rPr>
            </w:pPr>
          </w:p>
        </w:tc>
        <w:tc>
          <w:tcPr>
            <w:tcW w:w="493" w:type="dxa"/>
          </w:tcPr>
          <w:p w14:paraId="32DEE321" w14:textId="77777777" w:rsidR="00382309" w:rsidRPr="002B55E9" w:rsidRDefault="00382309" w:rsidP="00382309">
            <w:pPr>
              <w:pStyle w:val="lgy-"/>
              <w:rPr>
                <w:rFonts w:eastAsia="宋体"/>
              </w:rPr>
            </w:pPr>
            <w:r w:rsidRPr="002B55E9">
              <w:rPr>
                <w:rFonts w:eastAsia="宋体" w:hint="eastAsia"/>
              </w:rPr>
              <w:t>0</w:t>
            </w:r>
          </w:p>
        </w:tc>
        <w:tc>
          <w:tcPr>
            <w:tcW w:w="954" w:type="dxa"/>
          </w:tcPr>
          <w:p w14:paraId="2BBC3F02" w14:textId="568CB0C2" w:rsidR="00382309" w:rsidRPr="002B55E9" w:rsidRDefault="00382309" w:rsidP="00382309">
            <w:pPr>
              <w:pStyle w:val="lgy-"/>
              <w:rPr>
                <w:rFonts w:eastAsia="宋体"/>
              </w:rPr>
            </w:pPr>
            <w:r w:rsidRPr="002B55E9">
              <w:rPr>
                <w:rFonts w:eastAsia="宋体"/>
              </w:rPr>
              <w:t>2.73</w:t>
            </w:r>
          </w:p>
        </w:tc>
        <w:tc>
          <w:tcPr>
            <w:tcW w:w="773" w:type="dxa"/>
          </w:tcPr>
          <w:p w14:paraId="6FC9F748" w14:textId="5676CD70" w:rsidR="00382309" w:rsidRPr="002B55E9" w:rsidRDefault="00382309" w:rsidP="00382309">
            <w:pPr>
              <w:pStyle w:val="lgy-"/>
              <w:rPr>
                <w:rFonts w:eastAsia="宋体"/>
              </w:rPr>
            </w:pPr>
            <w:r w:rsidRPr="002B55E9">
              <w:rPr>
                <w:rFonts w:eastAsia="宋体"/>
              </w:rPr>
              <w:t xml:space="preserve">0.011 </w:t>
            </w:r>
          </w:p>
        </w:tc>
        <w:tc>
          <w:tcPr>
            <w:tcW w:w="790" w:type="dxa"/>
          </w:tcPr>
          <w:p w14:paraId="322070E8" w14:textId="6A622FBE" w:rsidR="00382309" w:rsidRPr="002B55E9" w:rsidRDefault="00382309" w:rsidP="00382309">
            <w:pPr>
              <w:pStyle w:val="lgy-"/>
              <w:rPr>
                <w:rFonts w:eastAsia="宋体"/>
              </w:rPr>
            </w:pPr>
            <w:r w:rsidRPr="002B55E9">
              <w:rPr>
                <w:rFonts w:eastAsia="宋体"/>
              </w:rPr>
              <w:t>0.011</w:t>
            </w:r>
          </w:p>
        </w:tc>
      </w:tr>
      <w:tr w:rsidR="002B55E9" w:rsidRPr="002B55E9" w14:paraId="53AC749A" w14:textId="77777777" w:rsidTr="00382309">
        <w:trPr>
          <w:trHeight w:val="283"/>
        </w:trPr>
        <w:tc>
          <w:tcPr>
            <w:tcW w:w="615" w:type="dxa"/>
            <w:vMerge/>
          </w:tcPr>
          <w:p w14:paraId="666501B2" w14:textId="77777777" w:rsidR="00382309" w:rsidRPr="002B55E9" w:rsidRDefault="00382309" w:rsidP="00382309">
            <w:pPr>
              <w:pStyle w:val="lgy-"/>
              <w:rPr>
                <w:rFonts w:eastAsia="宋体"/>
              </w:rPr>
            </w:pPr>
          </w:p>
        </w:tc>
        <w:tc>
          <w:tcPr>
            <w:tcW w:w="592" w:type="dxa"/>
          </w:tcPr>
          <w:p w14:paraId="4BFF02D3" w14:textId="77777777" w:rsidR="00382309" w:rsidRPr="002B55E9" w:rsidRDefault="00382309" w:rsidP="00382309">
            <w:pPr>
              <w:pStyle w:val="lgy-"/>
              <w:rPr>
                <w:rFonts w:eastAsia="宋体"/>
              </w:rPr>
            </w:pPr>
            <w:r w:rsidRPr="002B55E9">
              <w:rPr>
                <w:rFonts w:eastAsia="宋体" w:hint="eastAsia"/>
              </w:rPr>
              <w:t>氯化氢</w:t>
            </w:r>
          </w:p>
        </w:tc>
        <w:tc>
          <w:tcPr>
            <w:tcW w:w="598" w:type="dxa"/>
            <w:vMerge/>
          </w:tcPr>
          <w:p w14:paraId="111C277B" w14:textId="77777777" w:rsidR="00382309" w:rsidRPr="002B55E9" w:rsidRDefault="00382309" w:rsidP="00382309">
            <w:pPr>
              <w:pStyle w:val="lgy-"/>
              <w:rPr>
                <w:rFonts w:eastAsia="宋体"/>
              </w:rPr>
            </w:pPr>
          </w:p>
        </w:tc>
        <w:tc>
          <w:tcPr>
            <w:tcW w:w="954" w:type="dxa"/>
          </w:tcPr>
          <w:p w14:paraId="00235076" w14:textId="12BB6F4E" w:rsidR="00382309" w:rsidRPr="002B55E9" w:rsidRDefault="00382309" w:rsidP="00382309">
            <w:pPr>
              <w:pStyle w:val="lgy-"/>
              <w:rPr>
                <w:rFonts w:eastAsia="宋体"/>
              </w:rPr>
            </w:pPr>
            <w:r w:rsidRPr="002B55E9">
              <w:rPr>
                <w:rFonts w:eastAsia="宋体"/>
              </w:rPr>
              <w:t xml:space="preserve">0.01 </w:t>
            </w:r>
          </w:p>
        </w:tc>
        <w:tc>
          <w:tcPr>
            <w:tcW w:w="1068" w:type="dxa"/>
          </w:tcPr>
          <w:p w14:paraId="65D269E0" w14:textId="79611506" w:rsidR="00382309" w:rsidRPr="002B55E9" w:rsidRDefault="00382309" w:rsidP="00382309">
            <w:pPr>
              <w:pStyle w:val="lgy-"/>
              <w:rPr>
                <w:rFonts w:eastAsia="宋体"/>
              </w:rPr>
            </w:pPr>
            <w:r w:rsidRPr="002B55E9">
              <w:rPr>
                <w:rFonts w:eastAsia="宋体"/>
              </w:rPr>
              <w:t>2.21E-05</w:t>
            </w:r>
          </w:p>
        </w:tc>
        <w:tc>
          <w:tcPr>
            <w:tcW w:w="914" w:type="dxa"/>
          </w:tcPr>
          <w:p w14:paraId="54349A41" w14:textId="230F5779" w:rsidR="00382309" w:rsidRPr="002B55E9" w:rsidRDefault="00382309" w:rsidP="00382309">
            <w:pPr>
              <w:pStyle w:val="lgy-"/>
              <w:rPr>
                <w:rFonts w:eastAsia="宋体"/>
              </w:rPr>
            </w:pPr>
            <w:r w:rsidRPr="002B55E9">
              <w:rPr>
                <w:rFonts w:eastAsia="宋体"/>
              </w:rPr>
              <w:t>2.183E-05</w:t>
            </w:r>
          </w:p>
        </w:tc>
        <w:tc>
          <w:tcPr>
            <w:tcW w:w="607" w:type="dxa"/>
            <w:vMerge/>
          </w:tcPr>
          <w:p w14:paraId="010E9CB7" w14:textId="77777777" w:rsidR="00382309" w:rsidRPr="002B55E9" w:rsidRDefault="00382309" w:rsidP="00382309">
            <w:pPr>
              <w:pStyle w:val="lgy-"/>
              <w:rPr>
                <w:rFonts w:eastAsia="宋体"/>
              </w:rPr>
            </w:pPr>
          </w:p>
        </w:tc>
        <w:tc>
          <w:tcPr>
            <w:tcW w:w="804" w:type="dxa"/>
            <w:vMerge/>
          </w:tcPr>
          <w:p w14:paraId="289EB794" w14:textId="77777777" w:rsidR="00382309" w:rsidRPr="002B55E9" w:rsidRDefault="00382309" w:rsidP="00382309">
            <w:pPr>
              <w:pStyle w:val="lgy-"/>
              <w:rPr>
                <w:rFonts w:eastAsia="宋体"/>
              </w:rPr>
            </w:pPr>
          </w:p>
        </w:tc>
        <w:tc>
          <w:tcPr>
            <w:tcW w:w="476" w:type="dxa"/>
            <w:vMerge/>
          </w:tcPr>
          <w:p w14:paraId="6BF56ADA" w14:textId="77777777" w:rsidR="00382309" w:rsidRPr="002B55E9" w:rsidRDefault="00382309" w:rsidP="00382309">
            <w:pPr>
              <w:pStyle w:val="lgy-"/>
              <w:rPr>
                <w:rFonts w:eastAsia="宋体"/>
              </w:rPr>
            </w:pPr>
          </w:p>
        </w:tc>
        <w:tc>
          <w:tcPr>
            <w:tcW w:w="493" w:type="dxa"/>
          </w:tcPr>
          <w:p w14:paraId="41111A7A" w14:textId="77777777" w:rsidR="00382309" w:rsidRPr="002B55E9" w:rsidRDefault="00382309" w:rsidP="00382309">
            <w:pPr>
              <w:pStyle w:val="lgy-"/>
              <w:rPr>
                <w:rFonts w:eastAsia="宋体"/>
              </w:rPr>
            </w:pPr>
            <w:r w:rsidRPr="002B55E9">
              <w:rPr>
                <w:rFonts w:eastAsia="宋体" w:hint="eastAsia"/>
              </w:rPr>
              <w:t>0</w:t>
            </w:r>
          </w:p>
        </w:tc>
        <w:tc>
          <w:tcPr>
            <w:tcW w:w="954" w:type="dxa"/>
          </w:tcPr>
          <w:p w14:paraId="4831A47E" w14:textId="32D2C22E" w:rsidR="00382309" w:rsidRPr="002B55E9" w:rsidRDefault="00382309" w:rsidP="00382309">
            <w:pPr>
              <w:pStyle w:val="lgy-"/>
              <w:rPr>
                <w:rFonts w:eastAsia="宋体"/>
              </w:rPr>
            </w:pPr>
            <w:r w:rsidRPr="002B55E9">
              <w:rPr>
                <w:rFonts w:eastAsia="宋体"/>
              </w:rPr>
              <w:t>0.01</w:t>
            </w:r>
          </w:p>
        </w:tc>
        <w:tc>
          <w:tcPr>
            <w:tcW w:w="773" w:type="dxa"/>
          </w:tcPr>
          <w:p w14:paraId="33805E60" w14:textId="1AE3712D" w:rsidR="00382309" w:rsidRPr="002B55E9" w:rsidRDefault="00382309" w:rsidP="00382309">
            <w:pPr>
              <w:pStyle w:val="lgy-"/>
              <w:rPr>
                <w:rFonts w:eastAsia="宋体"/>
              </w:rPr>
            </w:pPr>
            <w:r w:rsidRPr="002B55E9">
              <w:rPr>
                <w:rFonts w:eastAsia="宋体"/>
              </w:rPr>
              <w:t>2.16E-05</w:t>
            </w:r>
          </w:p>
        </w:tc>
        <w:tc>
          <w:tcPr>
            <w:tcW w:w="790" w:type="dxa"/>
          </w:tcPr>
          <w:p w14:paraId="5EB1523A" w14:textId="2E86C256" w:rsidR="00382309" w:rsidRPr="002B55E9" w:rsidRDefault="00382309" w:rsidP="00382309">
            <w:pPr>
              <w:pStyle w:val="lgy-"/>
              <w:rPr>
                <w:rFonts w:eastAsia="宋体"/>
              </w:rPr>
            </w:pPr>
            <w:r w:rsidRPr="002B55E9">
              <w:rPr>
                <w:rFonts w:eastAsia="宋体"/>
              </w:rPr>
              <w:t>2.14E-05</w:t>
            </w:r>
          </w:p>
        </w:tc>
      </w:tr>
    </w:tbl>
    <w:p w14:paraId="1A02299D"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-3-18  </w:t>
      </w:r>
      <w:r w:rsidRPr="002B55E9">
        <w:rPr>
          <w:rFonts w:hint="eastAsia"/>
        </w:rPr>
        <w:t>实验废气无组织排放情况一览表</w:t>
      </w:r>
    </w:p>
    <w:tbl>
      <w:tblPr>
        <w:tblStyle w:val="lgy2"/>
        <w:tblW w:w="5000" w:type="pct"/>
        <w:tblLayout w:type="fixed"/>
        <w:tblCellMar>
          <w:left w:w="28" w:type="dxa"/>
          <w:right w:w="28" w:type="dxa"/>
        </w:tblCellMar>
        <w:tblLook w:val="04A0" w:firstRow="1" w:lastRow="0" w:firstColumn="1" w:lastColumn="0" w:noHBand="0" w:noVBand="1"/>
      </w:tblPr>
      <w:tblGrid>
        <w:gridCol w:w="999"/>
        <w:gridCol w:w="855"/>
        <w:gridCol w:w="856"/>
        <w:gridCol w:w="855"/>
        <w:gridCol w:w="1283"/>
        <w:gridCol w:w="1141"/>
        <w:gridCol w:w="1568"/>
        <w:gridCol w:w="2137"/>
      </w:tblGrid>
      <w:tr w:rsidR="002B55E9" w:rsidRPr="002B55E9" w14:paraId="62983A49" w14:textId="77777777" w:rsidTr="00382309">
        <w:trPr>
          <w:cnfStyle w:val="100000000000" w:firstRow="1" w:lastRow="0" w:firstColumn="0" w:lastColumn="0" w:oddVBand="0" w:evenVBand="0" w:oddHBand="0" w:evenHBand="0" w:firstRowFirstColumn="0" w:firstRowLastColumn="0" w:lastRowFirstColumn="0" w:lastRowLastColumn="0"/>
          <w:trHeight w:val="283"/>
        </w:trPr>
        <w:tc>
          <w:tcPr>
            <w:tcW w:w="993" w:type="dxa"/>
            <w:vMerge w:val="restart"/>
            <w:noWrap/>
          </w:tcPr>
          <w:p w14:paraId="60033490" w14:textId="77777777" w:rsidR="00D170E5" w:rsidRPr="002B55E9" w:rsidRDefault="00EF27AD" w:rsidP="00382309">
            <w:pPr>
              <w:pStyle w:val="lgy-"/>
              <w:rPr>
                <w:rFonts w:eastAsia="宋体"/>
              </w:rPr>
            </w:pPr>
            <w:r w:rsidRPr="002B55E9">
              <w:rPr>
                <w:rFonts w:eastAsia="宋体"/>
              </w:rPr>
              <w:t>厂房名称</w:t>
            </w:r>
          </w:p>
        </w:tc>
        <w:tc>
          <w:tcPr>
            <w:tcW w:w="3827" w:type="dxa"/>
            <w:gridSpan w:val="4"/>
            <w:noWrap/>
          </w:tcPr>
          <w:p w14:paraId="760471EB" w14:textId="77777777" w:rsidR="00D170E5" w:rsidRPr="002B55E9" w:rsidRDefault="00EF27AD" w:rsidP="00382309">
            <w:pPr>
              <w:pStyle w:val="lgy-"/>
              <w:rPr>
                <w:rFonts w:eastAsia="宋体"/>
              </w:rPr>
            </w:pPr>
            <w:r w:rsidRPr="002B55E9">
              <w:rPr>
                <w:rFonts w:eastAsia="宋体"/>
              </w:rPr>
              <w:t>排放参数</w:t>
            </w:r>
          </w:p>
        </w:tc>
        <w:tc>
          <w:tcPr>
            <w:tcW w:w="4818" w:type="dxa"/>
            <w:gridSpan w:val="3"/>
            <w:noWrap/>
          </w:tcPr>
          <w:p w14:paraId="23933D02" w14:textId="77777777" w:rsidR="00D170E5" w:rsidRPr="002B55E9" w:rsidRDefault="00EF27AD" w:rsidP="00382309">
            <w:pPr>
              <w:pStyle w:val="lgy-"/>
              <w:rPr>
                <w:rFonts w:eastAsia="宋体"/>
              </w:rPr>
            </w:pPr>
            <w:r w:rsidRPr="002B55E9">
              <w:rPr>
                <w:rFonts w:eastAsia="宋体"/>
              </w:rPr>
              <w:t>无组织排放情况</w:t>
            </w:r>
          </w:p>
        </w:tc>
      </w:tr>
      <w:tr w:rsidR="002B55E9" w:rsidRPr="002B55E9" w14:paraId="618046D4" w14:textId="77777777" w:rsidTr="00382309">
        <w:trPr>
          <w:trHeight w:val="283"/>
        </w:trPr>
        <w:tc>
          <w:tcPr>
            <w:tcW w:w="993" w:type="dxa"/>
            <w:vMerge/>
          </w:tcPr>
          <w:p w14:paraId="0500E415" w14:textId="77777777" w:rsidR="00D170E5" w:rsidRPr="002B55E9" w:rsidRDefault="00D170E5" w:rsidP="00382309">
            <w:pPr>
              <w:pStyle w:val="lgy-"/>
              <w:rPr>
                <w:rFonts w:eastAsia="宋体"/>
              </w:rPr>
            </w:pPr>
          </w:p>
        </w:tc>
        <w:tc>
          <w:tcPr>
            <w:tcW w:w="850" w:type="dxa"/>
            <w:noWrap/>
          </w:tcPr>
          <w:p w14:paraId="0E3A99C7" w14:textId="77777777" w:rsidR="00D170E5" w:rsidRPr="002B55E9" w:rsidRDefault="00EF27AD" w:rsidP="00382309">
            <w:pPr>
              <w:pStyle w:val="lgy-"/>
              <w:rPr>
                <w:rFonts w:eastAsia="宋体"/>
              </w:rPr>
            </w:pPr>
            <w:r w:rsidRPr="002B55E9">
              <w:rPr>
                <w:rFonts w:eastAsia="宋体"/>
              </w:rPr>
              <w:t>长度</w:t>
            </w:r>
            <w:r w:rsidRPr="002B55E9">
              <w:rPr>
                <w:rFonts w:eastAsia="宋体"/>
              </w:rPr>
              <w:t>m</w:t>
            </w:r>
          </w:p>
        </w:tc>
        <w:tc>
          <w:tcPr>
            <w:tcW w:w="851" w:type="dxa"/>
          </w:tcPr>
          <w:p w14:paraId="792A17D8" w14:textId="77777777" w:rsidR="00D170E5" w:rsidRPr="002B55E9" w:rsidRDefault="00EF27AD" w:rsidP="00382309">
            <w:pPr>
              <w:pStyle w:val="lgy-"/>
              <w:rPr>
                <w:rFonts w:eastAsia="宋体"/>
              </w:rPr>
            </w:pPr>
            <w:r w:rsidRPr="002B55E9">
              <w:rPr>
                <w:rFonts w:eastAsia="宋体"/>
              </w:rPr>
              <w:t>宽度</w:t>
            </w:r>
            <w:r w:rsidRPr="002B55E9">
              <w:rPr>
                <w:rFonts w:eastAsia="宋体"/>
              </w:rPr>
              <w:t>m</w:t>
            </w:r>
          </w:p>
        </w:tc>
        <w:tc>
          <w:tcPr>
            <w:tcW w:w="850" w:type="dxa"/>
            <w:noWrap/>
          </w:tcPr>
          <w:p w14:paraId="5EE1AE48" w14:textId="77777777" w:rsidR="00D170E5" w:rsidRPr="002B55E9" w:rsidRDefault="00EF27AD" w:rsidP="00382309">
            <w:pPr>
              <w:pStyle w:val="lgy-"/>
              <w:rPr>
                <w:rFonts w:eastAsia="宋体"/>
              </w:rPr>
            </w:pPr>
            <w:r w:rsidRPr="002B55E9">
              <w:rPr>
                <w:rFonts w:eastAsia="宋体"/>
              </w:rPr>
              <w:t>高度</w:t>
            </w:r>
            <w:r w:rsidRPr="002B55E9">
              <w:rPr>
                <w:rFonts w:eastAsia="宋体"/>
              </w:rPr>
              <w:t>m</w:t>
            </w:r>
          </w:p>
        </w:tc>
        <w:tc>
          <w:tcPr>
            <w:tcW w:w="1276" w:type="dxa"/>
            <w:noWrap/>
          </w:tcPr>
          <w:p w14:paraId="12E7E0E4" w14:textId="77777777" w:rsidR="00D170E5" w:rsidRPr="002B55E9" w:rsidRDefault="00EF27AD" w:rsidP="00382309">
            <w:pPr>
              <w:pStyle w:val="lgy-"/>
              <w:rPr>
                <w:rFonts w:eastAsia="宋体"/>
              </w:rPr>
            </w:pPr>
            <w:r w:rsidRPr="002B55E9">
              <w:rPr>
                <w:rFonts w:eastAsia="宋体"/>
              </w:rPr>
              <w:t>年排放时间</w:t>
            </w:r>
            <w:r w:rsidRPr="002B55E9">
              <w:rPr>
                <w:rFonts w:eastAsia="宋体"/>
              </w:rPr>
              <w:t>h</w:t>
            </w:r>
          </w:p>
        </w:tc>
        <w:tc>
          <w:tcPr>
            <w:tcW w:w="1134" w:type="dxa"/>
            <w:noWrap/>
          </w:tcPr>
          <w:p w14:paraId="64AB5169" w14:textId="77777777" w:rsidR="00D170E5" w:rsidRPr="002B55E9" w:rsidRDefault="00EF27AD" w:rsidP="00382309">
            <w:pPr>
              <w:pStyle w:val="lgy-"/>
              <w:rPr>
                <w:rFonts w:eastAsia="宋体"/>
              </w:rPr>
            </w:pPr>
            <w:r w:rsidRPr="002B55E9">
              <w:rPr>
                <w:rFonts w:eastAsia="宋体"/>
              </w:rPr>
              <w:t>污染物名称</w:t>
            </w:r>
          </w:p>
        </w:tc>
        <w:tc>
          <w:tcPr>
            <w:tcW w:w="1559" w:type="dxa"/>
          </w:tcPr>
          <w:p w14:paraId="1B5F0708" w14:textId="77777777" w:rsidR="00D170E5" w:rsidRPr="002B55E9" w:rsidRDefault="00EF27AD" w:rsidP="00382309">
            <w:pPr>
              <w:pStyle w:val="lgy-"/>
              <w:rPr>
                <w:rFonts w:eastAsia="宋体"/>
              </w:rPr>
            </w:pPr>
            <w:r w:rsidRPr="002B55E9">
              <w:rPr>
                <w:rFonts w:eastAsia="宋体"/>
              </w:rPr>
              <w:t>排放量（</w:t>
            </w:r>
            <w:r w:rsidRPr="002B55E9">
              <w:rPr>
                <w:rFonts w:eastAsia="宋体"/>
              </w:rPr>
              <w:t>t/a</w:t>
            </w:r>
            <w:r w:rsidRPr="002B55E9">
              <w:rPr>
                <w:rFonts w:eastAsia="宋体"/>
              </w:rPr>
              <w:t>）</w:t>
            </w:r>
          </w:p>
        </w:tc>
        <w:tc>
          <w:tcPr>
            <w:tcW w:w="2125" w:type="dxa"/>
          </w:tcPr>
          <w:p w14:paraId="279D883D" w14:textId="77777777" w:rsidR="00D170E5" w:rsidRPr="002B55E9" w:rsidRDefault="00EF27AD" w:rsidP="00382309">
            <w:pPr>
              <w:pStyle w:val="lgy-"/>
              <w:rPr>
                <w:rFonts w:eastAsia="宋体"/>
              </w:rPr>
            </w:pPr>
            <w:r w:rsidRPr="002B55E9">
              <w:rPr>
                <w:rFonts w:eastAsia="宋体"/>
              </w:rPr>
              <w:t>排放速率（</w:t>
            </w:r>
            <w:r w:rsidRPr="002B55E9">
              <w:rPr>
                <w:rFonts w:eastAsia="宋体"/>
              </w:rPr>
              <w:t>kg/h</w:t>
            </w:r>
            <w:r w:rsidRPr="002B55E9">
              <w:rPr>
                <w:rFonts w:eastAsia="宋体"/>
              </w:rPr>
              <w:t>）</w:t>
            </w:r>
          </w:p>
        </w:tc>
      </w:tr>
      <w:tr w:rsidR="002B55E9" w:rsidRPr="002B55E9" w14:paraId="2333E885" w14:textId="77777777" w:rsidTr="00382309">
        <w:trPr>
          <w:trHeight w:val="283"/>
        </w:trPr>
        <w:tc>
          <w:tcPr>
            <w:tcW w:w="993" w:type="dxa"/>
            <w:vMerge w:val="restart"/>
            <w:noWrap/>
          </w:tcPr>
          <w:p w14:paraId="112A1579" w14:textId="77777777" w:rsidR="00382309" w:rsidRPr="002B55E9" w:rsidRDefault="00382309" w:rsidP="00382309">
            <w:pPr>
              <w:pStyle w:val="lgy-"/>
              <w:rPr>
                <w:rFonts w:eastAsia="宋体"/>
              </w:rPr>
            </w:pPr>
            <w:r w:rsidRPr="002B55E9">
              <w:rPr>
                <w:rFonts w:eastAsia="宋体"/>
              </w:rPr>
              <w:t>十一车间</w:t>
            </w:r>
          </w:p>
        </w:tc>
        <w:tc>
          <w:tcPr>
            <w:tcW w:w="850" w:type="dxa"/>
            <w:vMerge w:val="restart"/>
            <w:noWrap/>
          </w:tcPr>
          <w:p w14:paraId="1686905C" w14:textId="77777777" w:rsidR="00382309" w:rsidRPr="002B55E9" w:rsidRDefault="00382309" w:rsidP="00382309">
            <w:pPr>
              <w:pStyle w:val="lgy-"/>
              <w:rPr>
                <w:rFonts w:eastAsia="宋体"/>
              </w:rPr>
            </w:pPr>
            <w:r w:rsidRPr="002B55E9">
              <w:rPr>
                <w:rFonts w:eastAsia="宋体"/>
              </w:rPr>
              <w:t>160</w:t>
            </w:r>
          </w:p>
        </w:tc>
        <w:tc>
          <w:tcPr>
            <w:tcW w:w="851" w:type="dxa"/>
            <w:vMerge w:val="restart"/>
            <w:noWrap/>
          </w:tcPr>
          <w:p w14:paraId="435CE540" w14:textId="77777777" w:rsidR="00382309" w:rsidRPr="002B55E9" w:rsidRDefault="00382309" w:rsidP="00382309">
            <w:pPr>
              <w:pStyle w:val="lgy-"/>
              <w:rPr>
                <w:rFonts w:eastAsia="宋体"/>
              </w:rPr>
            </w:pPr>
            <w:r w:rsidRPr="002B55E9">
              <w:rPr>
                <w:rFonts w:eastAsia="宋体"/>
              </w:rPr>
              <w:t>88</w:t>
            </w:r>
          </w:p>
        </w:tc>
        <w:tc>
          <w:tcPr>
            <w:tcW w:w="850" w:type="dxa"/>
            <w:vMerge w:val="restart"/>
            <w:noWrap/>
          </w:tcPr>
          <w:p w14:paraId="5DD39B32" w14:textId="77777777" w:rsidR="00382309" w:rsidRPr="002B55E9" w:rsidRDefault="00382309" w:rsidP="00382309">
            <w:pPr>
              <w:pStyle w:val="lgy-"/>
              <w:rPr>
                <w:rFonts w:eastAsia="宋体"/>
              </w:rPr>
            </w:pPr>
            <w:r w:rsidRPr="002B55E9">
              <w:rPr>
                <w:rFonts w:eastAsia="宋体"/>
              </w:rPr>
              <w:t>14.4</w:t>
            </w:r>
          </w:p>
        </w:tc>
        <w:tc>
          <w:tcPr>
            <w:tcW w:w="1276" w:type="dxa"/>
            <w:vMerge w:val="restart"/>
            <w:noWrap/>
          </w:tcPr>
          <w:p w14:paraId="19F5A9EE" w14:textId="59D4692C" w:rsidR="00382309" w:rsidRPr="002B55E9" w:rsidRDefault="00382309" w:rsidP="00382309">
            <w:pPr>
              <w:pStyle w:val="lgy-"/>
              <w:rPr>
                <w:rFonts w:eastAsia="宋体"/>
              </w:rPr>
            </w:pPr>
            <w:r w:rsidRPr="002B55E9">
              <w:rPr>
                <w:rFonts w:eastAsia="宋体"/>
              </w:rPr>
              <w:t>990</w:t>
            </w:r>
          </w:p>
        </w:tc>
        <w:tc>
          <w:tcPr>
            <w:tcW w:w="1134" w:type="dxa"/>
          </w:tcPr>
          <w:p w14:paraId="0084BDFF" w14:textId="50BA5709" w:rsidR="00382309" w:rsidRPr="002B55E9" w:rsidRDefault="00382309" w:rsidP="00382309">
            <w:pPr>
              <w:pStyle w:val="lgy-"/>
              <w:rPr>
                <w:rFonts w:eastAsia="宋体"/>
              </w:rPr>
            </w:pPr>
            <w:r w:rsidRPr="002B55E9">
              <w:rPr>
                <w:rFonts w:eastAsia="宋体"/>
              </w:rPr>
              <w:t>非甲烷总烃</w:t>
            </w:r>
          </w:p>
        </w:tc>
        <w:tc>
          <w:tcPr>
            <w:tcW w:w="1559" w:type="dxa"/>
          </w:tcPr>
          <w:p w14:paraId="7F798B64" w14:textId="77777777" w:rsidR="00382309" w:rsidRPr="002B55E9" w:rsidRDefault="00382309" w:rsidP="00382309">
            <w:pPr>
              <w:pStyle w:val="lgy-"/>
              <w:rPr>
                <w:rFonts w:eastAsia="宋体"/>
              </w:rPr>
            </w:pPr>
            <w:r w:rsidRPr="002B55E9">
              <w:rPr>
                <w:rFonts w:eastAsia="宋体"/>
              </w:rPr>
              <w:t>1.49E-04</w:t>
            </w:r>
          </w:p>
        </w:tc>
        <w:tc>
          <w:tcPr>
            <w:tcW w:w="2125" w:type="dxa"/>
          </w:tcPr>
          <w:p w14:paraId="74E57E87" w14:textId="51668411" w:rsidR="00382309" w:rsidRPr="002B55E9" w:rsidRDefault="00382309" w:rsidP="00382309">
            <w:pPr>
              <w:pStyle w:val="lgy-"/>
              <w:rPr>
                <w:rFonts w:eastAsia="宋体"/>
              </w:rPr>
            </w:pPr>
            <w:r w:rsidRPr="002B55E9">
              <w:rPr>
                <w:rFonts w:eastAsia="宋体"/>
              </w:rPr>
              <w:t>1.51E-04</w:t>
            </w:r>
          </w:p>
        </w:tc>
      </w:tr>
      <w:tr w:rsidR="002B55E9" w:rsidRPr="002B55E9" w14:paraId="2588F98E" w14:textId="77777777" w:rsidTr="00382309">
        <w:trPr>
          <w:trHeight w:val="283"/>
        </w:trPr>
        <w:tc>
          <w:tcPr>
            <w:tcW w:w="993" w:type="dxa"/>
            <w:vMerge/>
            <w:noWrap/>
          </w:tcPr>
          <w:p w14:paraId="196C0A50" w14:textId="77777777" w:rsidR="00382309" w:rsidRPr="002B55E9" w:rsidRDefault="00382309" w:rsidP="00382309">
            <w:pPr>
              <w:pStyle w:val="lgy-"/>
              <w:rPr>
                <w:rFonts w:eastAsia="宋体"/>
              </w:rPr>
            </w:pPr>
          </w:p>
        </w:tc>
        <w:tc>
          <w:tcPr>
            <w:tcW w:w="850" w:type="dxa"/>
            <w:vMerge/>
            <w:noWrap/>
          </w:tcPr>
          <w:p w14:paraId="60D46A4A" w14:textId="77777777" w:rsidR="00382309" w:rsidRPr="002B55E9" w:rsidRDefault="00382309" w:rsidP="00382309">
            <w:pPr>
              <w:pStyle w:val="lgy-"/>
              <w:rPr>
                <w:rFonts w:eastAsia="宋体"/>
              </w:rPr>
            </w:pPr>
          </w:p>
        </w:tc>
        <w:tc>
          <w:tcPr>
            <w:tcW w:w="851" w:type="dxa"/>
            <w:vMerge/>
            <w:noWrap/>
          </w:tcPr>
          <w:p w14:paraId="4FFE80CF" w14:textId="77777777" w:rsidR="00382309" w:rsidRPr="002B55E9" w:rsidRDefault="00382309" w:rsidP="00382309">
            <w:pPr>
              <w:pStyle w:val="lgy-"/>
              <w:rPr>
                <w:rFonts w:eastAsia="宋体"/>
              </w:rPr>
            </w:pPr>
          </w:p>
        </w:tc>
        <w:tc>
          <w:tcPr>
            <w:tcW w:w="850" w:type="dxa"/>
            <w:vMerge/>
            <w:noWrap/>
          </w:tcPr>
          <w:p w14:paraId="71A05C90" w14:textId="77777777" w:rsidR="00382309" w:rsidRPr="002B55E9" w:rsidRDefault="00382309" w:rsidP="00382309">
            <w:pPr>
              <w:pStyle w:val="lgy-"/>
              <w:rPr>
                <w:rFonts w:eastAsia="宋体"/>
              </w:rPr>
            </w:pPr>
          </w:p>
        </w:tc>
        <w:tc>
          <w:tcPr>
            <w:tcW w:w="1276" w:type="dxa"/>
            <w:vMerge/>
            <w:noWrap/>
          </w:tcPr>
          <w:p w14:paraId="300BF893" w14:textId="77777777" w:rsidR="00382309" w:rsidRPr="002B55E9" w:rsidRDefault="00382309" w:rsidP="00382309">
            <w:pPr>
              <w:pStyle w:val="lgy-"/>
              <w:rPr>
                <w:rFonts w:eastAsia="宋体"/>
              </w:rPr>
            </w:pPr>
          </w:p>
        </w:tc>
        <w:tc>
          <w:tcPr>
            <w:tcW w:w="1134" w:type="dxa"/>
          </w:tcPr>
          <w:p w14:paraId="564BE768" w14:textId="77777777" w:rsidR="00382309" w:rsidRPr="002B55E9" w:rsidRDefault="00382309" w:rsidP="00382309">
            <w:pPr>
              <w:pStyle w:val="lgy-"/>
              <w:rPr>
                <w:rFonts w:eastAsia="宋体"/>
              </w:rPr>
            </w:pPr>
            <w:r w:rsidRPr="002B55E9">
              <w:rPr>
                <w:rFonts w:eastAsia="宋体"/>
              </w:rPr>
              <w:t>甲醛</w:t>
            </w:r>
          </w:p>
        </w:tc>
        <w:tc>
          <w:tcPr>
            <w:tcW w:w="1559" w:type="dxa"/>
          </w:tcPr>
          <w:p w14:paraId="38F96FFA" w14:textId="77777777" w:rsidR="00382309" w:rsidRPr="002B55E9" w:rsidRDefault="00382309" w:rsidP="00382309">
            <w:pPr>
              <w:pStyle w:val="lgy-"/>
              <w:rPr>
                <w:rFonts w:eastAsia="宋体"/>
              </w:rPr>
            </w:pPr>
            <w:r w:rsidRPr="002B55E9">
              <w:rPr>
                <w:rFonts w:eastAsia="宋体"/>
              </w:rPr>
              <w:t>9.78E-05</w:t>
            </w:r>
          </w:p>
        </w:tc>
        <w:tc>
          <w:tcPr>
            <w:tcW w:w="2125" w:type="dxa"/>
          </w:tcPr>
          <w:p w14:paraId="54499293" w14:textId="4F0B6DFE" w:rsidR="00382309" w:rsidRPr="002B55E9" w:rsidRDefault="00382309" w:rsidP="00382309">
            <w:pPr>
              <w:pStyle w:val="lgy-"/>
              <w:rPr>
                <w:rFonts w:eastAsia="宋体"/>
              </w:rPr>
            </w:pPr>
            <w:r w:rsidRPr="002B55E9">
              <w:rPr>
                <w:rFonts w:eastAsia="宋体"/>
              </w:rPr>
              <w:t>9.88E-05</w:t>
            </w:r>
          </w:p>
        </w:tc>
      </w:tr>
      <w:tr w:rsidR="002B55E9" w:rsidRPr="002B55E9" w14:paraId="66CD90C0" w14:textId="77777777" w:rsidTr="00382309">
        <w:trPr>
          <w:trHeight w:val="283"/>
        </w:trPr>
        <w:tc>
          <w:tcPr>
            <w:tcW w:w="993" w:type="dxa"/>
            <w:vMerge/>
            <w:noWrap/>
          </w:tcPr>
          <w:p w14:paraId="12DA827F" w14:textId="77777777" w:rsidR="00382309" w:rsidRPr="002B55E9" w:rsidRDefault="00382309" w:rsidP="00382309">
            <w:pPr>
              <w:pStyle w:val="lgy-"/>
              <w:rPr>
                <w:rFonts w:eastAsia="宋体"/>
              </w:rPr>
            </w:pPr>
          </w:p>
        </w:tc>
        <w:tc>
          <w:tcPr>
            <w:tcW w:w="850" w:type="dxa"/>
            <w:vMerge/>
            <w:noWrap/>
          </w:tcPr>
          <w:p w14:paraId="63CD07AB" w14:textId="77777777" w:rsidR="00382309" w:rsidRPr="002B55E9" w:rsidRDefault="00382309" w:rsidP="00382309">
            <w:pPr>
              <w:pStyle w:val="lgy-"/>
              <w:rPr>
                <w:rFonts w:eastAsia="宋体"/>
              </w:rPr>
            </w:pPr>
          </w:p>
        </w:tc>
        <w:tc>
          <w:tcPr>
            <w:tcW w:w="851" w:type="dxa"/>
            <w:vMerge/>
            <w:noWrap/>
          </w:tcPr>
          <w:p w14:paraId="4BAC1A8A" w14:textId="77777777" w:rsidR="00382309" w:rsidRPr="002B55E9" w:rsidRDefault="00382309" w:rsidP="00382309">
            <w:pPr>
              <w:pStyle w:val="lgy-"/>
              <w:rPr>
                <w:rFonts w:eastAsia="宋体"/>
              </w:rPr>
            </w:pPr>
          </w:p>
        </w:tc>
        <w:tc>
          <w:tcPr>
            <w:tcW w:w="850" w:type="dxa"/>
            <w:vMerge/>
            <w:noWrap/>
          </w:tcPr>
          <w:p w14:paraId="2482FDCC" w14:textId="77777777" w:rsidR="00382309" w:rsidRPr="002B55E9" w:rsidRDefault="00382309" w:rsidP="00382309">
            <w:pPr>
              <w:pStyle w:val="lgy-"/>
              <w:rPr>
                <w:rFonts w:eastAsia="宋体"/>
              </w:rPr>
            </w:pPr>
          </w:p>
        </w:tc>
        <w:tc>
          <w:tcPr>
            <w:tcW w:w="1276" w:type="dxa"/>
            <w:vMerge/>
            <w:noWrap/>
          </w:tcPr>
          <w:p w14:paraId="504F3088" w14:textId="77777777" w:rsidR="00382309" w:rsidRPr="002B55E9" w:rsidRDefault="00382309" w:rsidP="00382309">
            <w:pPr>
              <w:pStyle w:val="lgy-"/>
              <w:rPr>
                <w:rFonts w:eastAsia="宋体"/>
              </w:rPr>
            </w:pPr>
          </w:p>
        </w:tc>
        <w:tc>
          <w:tcPr>
            <w:tcW w:w="1134" w:type="dxa"/>
          </w:tcPr>
          <w:p w14:paraId="0905BECE" w14:textId="77777777" w:rsidR="00382309" w:rsidRPr="002B55E9" w:rsidRDefault="00382309" w:rsidP="00382309">
            <w:pPr>
              <w:pStyle w:val="lgy-"/>
              <w:rPr>
                <w:rFonts w:eastAsia="宋体"/>
              </w:rPr>
            </w:pPr>
            <w:r w:rsidRPr="002B55E9">
              <w:rPr>
                <w:rFonts w:eastAsia="宋体"/>
              </w:rPr>
              <w:t>硫酸</w:t>
            </w:r>
          </w:p>
        </w:tc>
        <w:tc>
          <w:tcPr>
            <w:tcW w:w="1559" w:type="dxa"/>
          </w:tcPr>
          <w:p w14:paraId="3C759FCE" w14:textId="77777777" w:rsidR="00382309" w:rsidRPr="002B55E9" w:rsidRDefault="00382309" w:rsidP="00382309">
            <w:pPr>
              <w:pStyle w:val="lgy-"/>
              <w:rPr>
                <w:rFonts w:eastAsia="宋体"/>
              </w:rPr>
            </w:pPr>
            <w:r w:rsidRPr="002B55E9">
              <w:rPr>
                <w:rFonts w:eastAsia="宋体"/>
              </w:rPr>
              <w:t>2.21E-04</w:t>
            </w:r>
          </w:p>
        </w:tc>
        <w:tc>
          <w:tcPr>
            <w:tcW w:w="2125" w:type="dxa"/>
          </w:tcPr>
          <w:p w14:paraId="078079CE" w14:textId="6027C566" w:rsidR="00382309" w:rsidRPr="002B55E9" w:rsidRDefault="00382309" w:rsidP="00382309">
            <w:pPr>
              <w:pStyle w:val="lgy-"/>
              <w:rPr>
                <w:rFonts w:eastAsia="宋体"/>
              </w:rPr>
            </w:pPr>
            <w:r w:rsidRPr="002B55E9">
              <w:rPr>
                <w:rFonts w:eastAsia="宋体"/>
              </w:rPr>
              <w:t>2.23E-04</w:t>
            </w:r>
          </w:p>
        </w:tc>
      </w:tr>
      <w:tr w:rsidR="002B55E9" w:rsidRPr="002B55E9" w14:paraId="26844ACC" w14:textId="77777777" w:rsidTr="00382309">
        <w:trPr>
          <w:trHeight w:val="283"/>
        </w:trPr>
        <w:tc>
          <w:tcPr>
            <w:tcW w:w="993" w:type="dxa"/>
            <w:vMerge/>
            <w:noWrap/>
          </w:tcPr>
          <w:p w14:paraId="77370970" w14:textId="77777777" w:rsidR="00382309" w:rsidRPr="002B55E9" w:rsidRDefault="00382309" w:rsidP="00382309">
            <w:pPr>
              <w:pStyle w:val="lgy-"/>
              <w:rPr>
                <w:rFonts w:eastAsia="宋体"/>
              </w:rPr>
            </w:pPr>
          </w:p>
        </w:tc>
        <w:tc>
          <w:tcPr>
            <w:tcW w:w="850" w:type="dxa"/>
            <w:vMerge/>
            <w:noWrap/>
          </w:tcPr>
          <w:p w14:paraId="1571F8EA" w14:textId="77777777" w:rsidR="00382309" w:rsidRPr="002B55E9" w:rsidRDefault="00382309" w:rsidP="00382309">
            <w:pPr>
              <w:pStyle w:val="lgy-"/>
              <w:rPr>
                <w:rFonts w:eastAsia="宋体"/>
              </w:rPr>
            </w:pPr>
          </w:p>
        </w:tc>
        <w:tc>
          <w:tcPr>
            <w:tcW w:w="851" w:type="dxa"/>
            <w:vMerge/>
            <w:noWrap/>
          </w:tcPr>
          <w:p w14:paraId="5066D9C9" w14:textId="77777777" w:rsidR="00382309" w:rsidRPr="002B55E9" w:rsidRDefault="00382309" w:rsidP="00382309">
            <w:pPr>
              <w:pStyle w:val="lgy-"/>
              <w:rPr>
                <w:rFonts w:eastAsia="宋体"/>
              </w:rPr>
            </w:pPr>
          </w:p>
        </w:tc>
        <w:tc>
          <w:tcPr>
            <w:tcW w:w="850" w:type="dxa"/>
            <w:vMerge/>
            <w:noWrap/>
          </w:tcPr>
          <w:p w14:paraId="14BDD761" w14:textId="77777777" w:rsidR="00382309" w:rsidRPr="002B55E9" w:rsidRDefault="00382309" w:rsidP="00382309">
            <w:pPr>
              <w:pStyle w:val="lgy-"/>
              <w:rPr>
                <w:rFonts w:eastAsia="宋体"/>
              </w:rPr>
            </w:pPr>
          </w:p>
        </w:tc>
        <w:tc>
          <w:tcPr>
            <w:tcW w:w="1276" w:type="dxa"/>
            <w:vMerge/>
            <w:noWrap/>
          </w:tcPr>
          <w:p w14:paraId="51FC522B" w14:textId="77777777" w:rsidR="00382309" w:rsidRPr="002B55E9" w:rsidRDefault="00382309" w:rsidP="00382309">
            <w:pPr>
              <w:pStyle w:val="lgy-"/>
              <w:rPr>
                <w:rFonts w:eastAsia="宋体"/>
              </w:rPr>
            </w:pPr>
          </w:p>
        </w:tc>
        <w:tc>
          <w:tcPr>
            <w:tcW w:w="1134" w:type="dxa"/>
          </w:tcPr>
          <w:p w14:paraId="57E922B9" w14:textId="77777777" w:rsidR="00382309" w:rsidRPr="002B55E9" w:rsidRDefault="00382309" w:rsidP="00382309">
            <w:pPr>
              <w:pStyle w:val="lgy-"/>
              <w:rPr>
                <w:rFonts w:eastAsia="宋体"/>
              </w:rPr>
            </w:pPr>
            <w:r w:rsidRPr="002B55E9">
              <w:rPr>
                <w:rFonts w:eastAsia="宋体"/>
              </w:rPr>
              <w:t>氯化氢</w:t>
            </w:r>
          </w:p>
        </w:tc>
        <w:tc>
          <w:tcPr>
            <w:tcW w:w="1559" w:type="dxa"/>
          </w:tcPr>
          <w:p w14:paraId="25E5EAA6" w14:textId="7658D3B8" w:rsidR="00382309" w:rsidRPr="002B55E9" w:rsidRDefault="00382309" w:rsidP="00382309">
            <w:pPr>
              <w:pStyle w:val="lgy-"/>
              <w:rPr>
                <w:rFonts w:eastAsia="宋体"/>
              </w:rPr>
            </w:pPr>
            <w:r w:rsidRPr="002B55E9">
              <w:rPr>
                <w:rFonts w:eastAsia="宋体"/>
              </w:rPr>
              <w:t>4.3</w:t>
            </w:r>
            <w:r w:rsidR="00B67DB4" w:rsidRPr="002B55E9">
              <w:rPr>
                <w:rFonts w:eastAsia="宋体"/>
              </w:rPr>
              <w:t>7</w:t>
            </w:r>
            <w:r w:rsidRPr="002B55E9">
              <w:rPr>
                <w:rFonts w:eastAsia="宋体"/>
              </w:rPr>
              <w:t>E-07</w:t>
            </w:r>
          </w:p>
        </w:tc>
        <w:tc>
          <w:tcPr>
            <w:tcW w:w="2125" w:type="dxa"/>
          </w:tcPr>
          <w:p w14:paraId="0067BB2D" w14:textId="7D3FCEC2" w:rsidR="00382309" w:rsidRPr="002B55E9" w:rsidRDefault="00382309" w:rsidP="00382309">
            <w:pPr>
              <w:pStyle w:val="lgy-"/>
              <w:rPr>
                <w:rFonts w:eastAsia="宋体"/>
              </w:rPr>
            </w:pPr>
            <w:r w:rsidRPr="002B55E9">
              <w:rPr>
                <w:rFonts w:eastAsia="宋体"/>
              </w:rPr>
              <w:t>4.41E-07</w:t>
            </w:r>
          </w:p>
        </w:tc>
      </w:tr>
    </w:tbl>
    <w:p w14:paraId="3C363659" w14:textId="77777777" w:rsidR="00D170E5" w:rsidRPr="002B55E9" w:rsidRDefault="00EF27AD">
      <w:pPr>
        <w:pStyle w:val="5"/>
      </w:pPr>
      <w:r w:rsidRPr="002B55E9">
        <w:rPr>
          <w:rFonts w:hint="eastAsia"/>
        </w:rPr>
        <w:t>罐区三呼吸废气</w:t>
      </w:r>
    </w:p>
    <w:p w14:paraId="06CFCC14" w14:textId="77777777" w:rsidR="00D170E5" w:rsidRPr="002B55E9" w:rsidRDefault="00EF27AD">
      <w:pPr>
        <w:pStyle w:val="affff7"/>
        <w:snapToGrid w:val="0"/>
        <w:spacing w:after="0"/>
      </w:pPr>
      <w:r w:rsidRPr="002B55E9">
        <w:rPr>
          <w:rFonts w:hint="eastAsia"/>
        </w:rPr>
        <w:t>本项目罐区三均为固定顶储罐，用于原料的存储，在运行期间会产生储罐大小呼吸废气。</w:t>
      </w:r>
    </w:p>
    <w:p w14:paraId="6CD4C346" w14:textId="77777777" w:rsidR="00D170E5" w:rsidRPr="002B55E9" w:rsidRDefault="00EF27AD">
      <w:pPr>
        <w:pStyle w:val="affff7"/>
        <w:snapToGrid w:val="0"/>
        <w:spacing w:after="0"/>
      </w:pPr>
      <w:r w:rsidRPr="002B55E9">
        <w:rPr>
          <w:rFonts w:hint="eastAsia"/>
        </w:rPr>
        <w:t>储罐大小呼吸废气按照《排污许可证申请与核发技术规范</w:t>
      </w:r>
      <w:r w:rsidRPr="002B55E9">
        <w:rPr>
          <w:rFonts w:hint="eastAsia"/>
        </w:rPr>
        <w:t xml:space="preserve"> </w:t>
      </w:r>
      <w:r w:rsidRPr="002B55E9">
        <w:rPr>
          <w:rFonts w:hint="eastAsia"/>
        </w:rPr>
        <w:t>石化工业》（</w:t>
      </w:r>
      <w:r w:rsidRPr="002B55E9">
        <w:rPr>
          <w:rFonts w:hint="eastAsia"/>
        </w:rPr>
        <w:t>HJ 853</w:t>
      </w:r>
      <w:r w:rsidRPr="002B55E9">
        <w:rPr>
          <w:rFonts w:hint="eastAsia"/>
        </w:rPr>
        <w:t>—</w:t>
      </w:r>
      <w:r w:rsidRPr="002B55E9">
        <w:rPr>
          <w:rFonts w:hint="eastAsia"/>
        </w:rPr>
        <w:t>2017</w:t>
      </w:r>
      <w:r w:rsidRPr="002B55E9">
        <w:rPr>
          <w:rFonts w:hint="eastAsia"/>
        </w:rPr>
        <w:t>）</w:t>
      </w:r>
      <w:r w:rsidRPr="002B55E9">
        <w:rPr>
          <w:rFonts w:hint="eastAsia"/>
        </w:rPr>
        <w:t>5.2.3.1.3</w:t>
      </w:r>
      <w:r w:rsidRPr="002B55E9">
        <w:rPr>
          <w:rFonts w:hint="eastAsia"/>
        </w:rPr>
        <w:t>节公式计算，源强核算方法为公式法，具体公式如下：</w:t>
      </w:r>
    </w:p>
    <w:p w14:paraId="3954547C" w14:textId="77777777" w:rsidR="00D170E5" w:rsidRPr="002B55E9" w:rsidRDefault="00EF27AD">
      <w:pPr>
        <w:pStyle w:val="affff7"/>
        <w:snapToGrid w:val="0"/>
        <w:spacing w:after="0"/>
      </w:pPr>
      <w:r w:rsidRPr="002B55E9">
        <w:rPr>
          <w:rFonts w:hint="eastAsia"/>
        </w:rPr>
        <w:t>固定顶罐计算公式：</w:t>
      </w:r>
    </w:p>
    <w:p w14:paraId="7339DCDB" w14:textId="77777777" w:rsidR="00D170E5" w:rsidRPr="002B55E9" w:rsidRDefault="00EF27AD">
      <w:pPr>
        <w:pStyle w:val="affff7"/>
        <w:snapToGrid w:val="0"/>
        <w:spacing w:after="0"/>
        <w:ind w:firstLineChars="0" w:firstLine="0"/>
        <w:jc w:val="center"/>
      </w:pPr>
      <w:r w:rsidRPr="002B55E9">
        <w:rPr>
          <w:noProof/>
          <w:snapToGrid/>
        </w:rPr>
        <w:drawing>
          <wp:inline distT="0" distB="0" distL="0" distR="0" wp14:anchorId="3F689D29" wp14:editId="2B620171">
            <wp:extent cx="2135505" cy="1191260"/>
            <wp:effectExtent l="0" t="0" r="0" b="0"/>
            <wp:docPr id="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35505" cy="1191260"/>
                    </a:xfrm>
                    <a:prstGeom prst="rect">
                      <a:avLst/>
                    </a:prstGeom>
                    <a:noFill/>
                    <a:ln>
                      <a:noFill/>
                    </a:ln>
                  </pic:spPr>
                </pic:pic>
              </a:graphicData>
            </a:graphic>
          </wp:inline>
        </w:drawing>
      </w:r>
    </w:p>
    <w:p w14:paraId="0DDAA62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上述所列公式中符号解释见环办〔</w:t>
      </w:r>
      <w:r w:rsidRPr="002B55E9">
        <w:rPr>
          <w:rFonts w:hint="eastAsia"/>
          <w:kern w:val="2"/>
          <w:sz w:val="24"/>
          <w:szCs w:val="22"/>
        </w:rPr>
        <w:t>2015</w:t>
      </w:r>
      <w:r w:rsidRPr="002B55E9">
        <w:rPr>
          <w:rFonts w:hint="eastAsia"/>
          <w:kern w:val="2"/>
          <w:sz w:val="24"/>
          <w:szCs w:val="22"/>
        </w:rPr>
        <w:t>〕</w:t>
      </w:r>
      <w:r w:rsidRPr="002B55E9">
        <w:rPr>
          <w:rFonts w:hint="eastAsia"/>
          <w:kern w:val="2"/>
          <w:sz w:val="24"/>
          <w:szCs w:val="22"/>
        </w:rPr>
        <w:t>104</w:t>
      </w:r>
      <w:r w:rsidRPr="002B55E9">
        <w:rPr>
          <w:rFonts w:hint="eastAsia"/>
          <w:kern w:val="2"/>
          <w:sz w:val="24"/>
          <w:szCs w:val="22"/>
        </w:rPr>
        <w:t>号文中《石化行业</w:t>
      </w:r>
      <w:r w:rsidRPr="002B55E9">
        <w:rPr>
          <w:rFonts w:hint="eastAsia"/>
          <w:kern w:val="2"/>
          <w:sz w:val="24"/>
          <w:szCs w:val="22"/>
        </w:rPr>
        <w:t xml:space="preserve">VOCs </w:t>
      </w:r>
      <w:r w:rsidRPr="002B55E9">
        <w:rPr>
          <w:rFonts w:hint="eastAsia"/>
          <w:kern w:val="2"/>
          <w:sz w:val="24"/>
          <w:szCs w:val="22"/>
        </w:rPr>
        <w:t>污染源排查工作指南》。</w:t>
      </w:r>
    </w:p>
    <w:p w14:paraId="18253C41" w14:textId="77777777" w:rsidR="00D170E5" w:rsidRPr="002B55E9" w:rsidRDefault="00EF27AD">
      <w:pPr>
        <w:pStyle w:val="affff7"/>
        <w:snapToGrid w:val="0"/>
        <w:spacing w:after="0"/>
        <w:rPr>
          <w:bCs w:val="0"/>
          <w:snapToGrid/>
          <w:kern w:val="2"/>
          <w:szCs w:val="22"/>
        </w:rPr>
      </w:pPr>
      <w:r w:rsidRPr="002B55E9">
        <w:rPr>
          <w:rFonts w:hint="eastAsia"/>
          <w:bCs w:val="0"/>
          <w:snapToGrid/>
          <w:kern w:val="2"/>
          <w:szCs w:val="22"/>
        </w:rPr>
        <w:t>根据</w:t>
      </w:r>
      <w:r w:rsidRPr="002B55E9">
        <w:rPr>
          <w:bCs w:val="0"/>
          <w:snapToGrid/>
          <w:kern w:val="2"/>
          <w:szCs w:val="22"/>
        </w:rPr>
        <w:t>《</w:t>
      </w:r>
      <w:r w:rsidRPr="002B55E9">
        <w:rPr>
          <w:rFonts w:hint="eastAsia"/>
          <w:bCs w:val="0"/>
          <w:snapToGrid/>
          <w:kern w:val="2"/>
          <w:szCs w:val="22"/>
        </w:rPr>
        <w:t>挥发性有机物</w:t>
      </w:r>
      <w:r w:rsidRPr="002B55E9">
        <w:rPr>
          <w:bCs w:val="0"/>
          <w:snapToGrid/>
          <w:kern w:val="2"/>
          <w:szCs w:val="22"/>
        </w:rPr>
        <w:t>无组织排放控制标准》</w:t>
      </w:r>
      <w:r w:rsidRPr="002B55E9">
        <w:rPr>
          <w:rFonts w:hint="eastAsia"/>
          <w:bCs w:val="0"/>
          <w:snapToGrid/>
          <w:kern w:val="2"/>
          <w:szCs w:val="22"/>
        </w:rPr>
        <w:t>（</w:t>
      </w:r>
      <w:r w:rsidRPr="002B55E9">
        <w:rPr>
          <w:rFonts w:hint="eastAsia"/>
          <w:bCs w:val="0"/>
          <w:snapToGrid/>
          <w:kern w:val="2"/>
          <w:szCs w:val="22"/>
        </w:rPr>
        <w:t>GB37822-2019</w:t>
      </w:r>
      <w:r w:rsidRPr="002B55E9">
        <w:rPr>
          <w:rFonts w:hint="eastAsia"/>
          <w:bCs w:val="0"/>
          <w:snapToGrid/>
          <w:kern w:val="2"/>
          <w:szCs w:val="22"/>
        </w:rPr>
        <w:t>）</w:t>
      </w:r>
      <w:r w:rsidRPr="002B55E9">
        <w:rPr>
          <w:rFonts w:hint="eastAsia"/>
          <w:bCs w:val="0"/>
          <w:snapToGrid/>
          <w:kern w:val="2"/>
          <w:szCs w:val="22"/>
        </w:rPr>
        <w:t>3.7</w:t>
      </w:r>
      <w:r w:rsidRPr="002B55E9">
        <w:rPr>
          <w:rFonts w:hint="eastAsia"/>
          <w:bCs w:val="0"/>
          <w:snapToGrid/>
          <w:kern w:val="2"/>
          <w:szCs w:val="22"/>
        </w:rPr>
        <w:t>条</w:t>
      </w:r>
      <w:r w:rsidRPr="002B55E9">
        <w:rPr>
          <w:bCs w:val="0"/>
          <w:snapToGrid/>
          <w:kern w:val="2"/>
          <w:szCs w:val="22"/>
        </w:rPr>
        <w:t>对</w:t>
      </w:r>
      <w:r w:rsidRPr="002B55E9">
        <w:rPr>
          <w:bCs w:val="0"/>
          <w:snapToGrid/>
          <w:kern w:val="2"/>
          <w:szCs w:val="22"/>
        </w:rPr>
        <w:t>VOCs</w:t>
      </w:r>
      <w:r w:rsidRPr="002B55E9">
        <w:rPr>
          <w:bCs w:val="0"/>
          <w:snapToGrid/>
          <w:kern w:val="2"/>
          <w:szCs w:val="22"/>
        </w:rPr>
        <w:t>物料的定义：</w:t>
      </w:r>
      <w:r w:rsidRPr="002B55E9">
        <w:rPr>
          <w:bCs w:val="0"/>
          <w:snapToGrid/>
          <w:kern w:val="2"/>
          <w:szCs w:val="22"/>
        </w:rPr>
        <w:t>“VOCs</w:t>
      </w:r>
      <w:r w:rsidRPr="002B55E9">
        <w:rPr>
          <w:bCs w:val="0"/>
          <w:snapToGrid/>
          <w:kern w:val="2"/>
          <w:szCs w:val="22"/>
        </w:rPr>
        <w:t>物料是指</w:t>
      </w:r>
      <w:r w:rsidRPr="002B55E9">
        <w:rPr>
          <w:rFonts w:hint="eastAsia"/>
          <w:bCs w:val="0"/>
          <w:snapToGrid/>
          <w:kern w:val="2"/>
          <w:szCs w:val="22"/>
        </w:rPr>
        <w:t>VOC</w:t>
      </w:r>
      <w:r w:rsidRPr="002B55E9">
        <w:rPr>
          <w:bCs w:val="0"/>
          <w:snapToGrid/>
          <w:kern w:val="2"/>
          <w:szCs w:val="22"/>
        </w:rPr>
        <w:t>s</w:t>
      </w:r>
      <w:r w:rsidRPr="002B55E9">
        <w:rPr>
          <w:bCs w:val="0"/>
          <w:snapToGrid/>
          <w:kern w:val="2"/>
          <w:szCs w:val="22"/>
        </w:rPr>
        <w:t>质量占比大于等于</w:t>
      </w:r>
      <w:r w:rsidRPr="002B55E9">
        <w:rPr>
          <w:rFonts w:hint="eastAsia"/>
          <w:bCs w:val="0"/>
          <w:snapToGrid/>
          <w:kern w:val="2"/>
          <w:szCs w:val="22"/>
        </w:rPr>
        <w:t>10</w:t>
      </w:r>
      <w:r w:rsidRPr="002B55E9">
        <w:rPr>
          <w:bCs w:val="0"/>
          <w:snapToGrid/>
          <w:kern w:val="2"/>
          <w:szCs w:val="22"/>
        </w:rPr>
        <w:t>%</w:t>
      </w:r>
      <w:r w:rsidRPr="002B55E9">
        <w:rPr>
          <w:bCs w:val="0"/>
          <w:snapToGrid/>
          <w:kern w:val="2"/>
          <w:szCs w:val="22"/>
        </w:rPr>
        <w:t>的</w:t>
      </w:r>
      <w:r w:rsidRPr="002B55E9">
        <w:rPr>
          <w:rFonts w:hint="eastAsia"/>
          <w:bCs w:val="0"/>
          <w:snapToGrid/>
          <w:kern w:val="2"/>
          <w:szCs w:val="22"/>
        </w:rPr>
        <w:t>物料</w:t>
      </w:r>
      <w:r w:rsidRPr="002B55E9">
        <w:rPr>
          <w:bCs w:val="0"/>
          <w:snapToGrid/>
          <w:kern w:val="2"/>
          <w:szCs w:val="22"/>
        </w:rPr>
        <w:t>以及有机聚合物。</w:t>
      </w:r>
      <w:r w:rsidRPr="002B55E9">
        <w:rPr>
          <w:bCs w:val="0"/>
          <w:snapToGrid/>
          <w:kern w:val="2"/>
          <w:szCs w:val="22"/>
        </w:rPr>
        <w:t>”</w:t>
      </w:r>
      <w:r w:rsidRPr="002B55E9">
        <w:rPr>
          <w:rFonts w:hint="eastAsia"/>
          <w:bCs w:val="0"/>
          <w:snapToGrid/>
          <w:kern w:val="2"/>
          <w:szCs w:val="22"/>
        </w:rPr>
        <w:t>本次评价</w:t>
      </w:r>
      <w:r w:rsidRPr="002B55E9">
        <w:rPr>
          <w:bCs w:val="0"/>
          <w:snapToGrid/>
          <w:kern w:val="2"/>
          <w:szCs w:val="22"/>
        </w:rPr>
        <w:t>对原料、中间产物及产品中</w:t>
      </w:r>
      <w:r w:rsidRPr="002B55E9">
        <w:rPr>
          <w:rFonts w:hint="eastAsia"/>
          <w:bCs w:val="0"/>
          <w:snapToGrid/>
          <w:kern w:val="2"/>
          <w:szCs w:val="22"/>
        </w:rPr>
        <w:t>VOC</w:t>
      </w:r>
      <w:r w:rsidRPr="002B55E9">
        <w:rPr>
          <w:bCs w:val="0"/>
          <w:snapToGrid/>
          <w:kern w:val="2"/>
          <w:szCs w:val="22"/>
        </w:rPr>
        <w:t>s</w:t>
      </w:r>
      <w:r w:rsidRPr="002B55E9">
        <w:rPr>
          <w:rFonts w:hint="eastAsia"/>
          <w:bCs w:val="0"/>
          <w:snapToGrid/>
          <w:kern w:val="2"/>
          <w:szCs w:val="22"/>
        </w:rPr>
        <w:t>占比</w:t>
      </w:r>
      <w:r w:rsidRPr="002B55E9">
        <w:rPr>
          <w:bCs w:val="0"/>
          <w:snapToGrid/>
          <w:kern w:val="2"/>
          <w:szCs w:val="22"/>
        </w:rPr>
        <w:t>低于</w:t>
      </w:r>
      <w:r w:rsidRPr="002B55E9">
        <w:rPr>
          <w:rFonts w:hint="eastAsia"/>
          <w:bCs w:val="0"/>
          <w:snapToGrid/>
          <w:kern w:val="2"/>
          <w:szCs w:val="22"/>
        </w:rPr>
        <w:t>10</w:t>
      </w:r>
      <w:r w:rsidRPr="002B55E9">
        <w:rPr>
          <w:bCs w:val="0"/>
          <w:snapToGrid/>
          <w:kern w:val="2"/>
          <w:szCs w:val="22"/>
        </w:rPr>
        <w:t>%</w:t>
      </w:r>
      <w:r w:rsidRPr="002B55E9">
        <w:rPr>
          <w:bCs w:val="0"/>
          <w:snapToGrid/>
          <w:kern w:val="2"/>
          <w:szCs w:val="22"/>
        </w:rPr>
        <w:t>的物料将不</w:t>
      </w:r>
      <w:r w:rsidRPr="002B55E9">
        <w:rPr>
          <w:rFonts w:hint="eastAsia"/>
          <w:bCs w:val="0"/>
          <w:snapToGrid/>
          <w:kern w:val="2"/>
          <w:szCs w:val="22"/>
        </w:rPr>
        <w:t>再</w:t>
      </w:r>
      <w:r w:rsidRPr="002B55E9">
        <w:rPr>
          <w:bCs w:val="0"/>
          <w:snapToGrid/>
          <w:kern w:val="2"/>
          <w:szCs w:val="22"/>
        </w:rPr>
        <w:t>视</w:t>
      </w:r>
      <w:r w:rsidRPr="002B55E9">
        <w:rPr>
          <w:rFonts w:hint="eastAsia"/>
          <w:bCs w:val="0"/>
          <w:snapToGrid/>
          <w:kern w:val="2"/>
          <w:szCs w:val="22"/>
        </w:rPr>
        <w:t>为</w:t>
      </w:r>
      <w:r w:rsidRPr="002B55E9">
        <w:rPr>
          <w:bCs w:val="0"/>
          <w:snapToGrid/>
          <w:kern w:val="2"/>
          <w:szCs w:val="22"/>
        </w:rPr>
        <w:t>挥发性物料</w:t>
      </w:r>
      <w:r w:rsidRPr="002B55E9">
        <w:rPr>
          <w:rFonts w:hint="eastAsia"/>
          <w:bCs w:val="0"/>
          <w:snapToGrid/>
          <w:kern w:val="2"/>
          <w:szCs w:val="22"/>
        </w:rPr>
        <w:t>，</w:t>
      </w:r>
      <w:r w:rsidRPr="002B55E9">
        <w:rPr>
          <w:bCs w:val="0"/>
          <w:snapToGrid/>
          <w:kern w:val="2"/>
          <w:szCs w:val="22"/>
        </w:rPr>
        <w:t>罐区</w:t>
      </w:r>
      <w:r w:rsidRPr="002B55E9">
        <w:rPr>
          <w:rFonts w:hint="eastAsia"/>
          <w:bCs w:val="0"/>
          <w:snapToGrid/>
          <w:kern w:val="2"/>
          <w:szCs w:val="22"/>
        </w:rPr>
        <w:t>三储存</w:t>
      </w:r>
      <w:r w:rsidRPr="002B55E9">
        <w:rPr>
          <w:bCs w:val="0"/>
          <w:snapToGrid/>
          <w:kern w:val="2"/>
          <w:szCs w:val="22"/>
        </w:rPr>
        <w:t>的陈醋胚、香醋胚</w:t>
      </w:r>
      <w:r w:rsidRPr="002B55E9">
        <w:rPr>
          <w:rFonts w:hint="eastAsia"/>
          <w:bCs w:val="0"/>
          <w:snapToGrid/>
          <w:kern w:val="2"/>
          <w:szCs w:val="22"/>
        </w:rPr>
        <w:t>、</w:t>
      </w:r>
      <w:r w:rsidRPr="002B55E9">
        <w:rPr>
          <w:bCs w:val="0"/>
          <w:snapToGrid/>
          <w:kern w:val="2"/>
          <w:szCs w:val="22"/>
        </w:rPr>
        <w:t>陈香醋半成品中</w:t>
      </w:r>
      <w:r w:rsidRPr="002B55E9">
        <w:rPr>
          <w:rFonts w:hint="eastAsia"/>
          <w:bCs w:val="0"/>
          <w:snapToGrid/>
          <w:kern w:val="2"/>
          <w:szCs w:val="22"/>
        </w:rPr>
        <w:t>VOC</w:t>
      </w:r>
      <w:r w:rsidRPr="002B55E9">
        <w:rPr>
          <w:bCs w:val="0"/>
          <w:snapToGrid/>
          <w:kern w:val="2"/>
          <w:szCs w:val="22"/>
        </w:rPr>
        <w:t>s</w:t>
      </w:r>
      <w:r w:rsidRPr="002B55E9">
        <w:rPr>
          <w:bCs w:val="0"/>
          <w:snapToGrid/>
          <w:kern w:val="2"/>
          <w:szCs w:val="22"/>
        </w:rPr>
        <w:t>物料浓度均低于</w:t>
      </w:r>
      <w:r w:rsidRPr="002B55E9">
        <w:rPr>
          <w:rFonts w:hint="eastAsia"/>
          <w:bCs w:val="0"/>
          <w:snapToGrid/>
          <w:kern w:val="2"/>
          <w:szCs w:val="22"/>
        </w:rPr>
        <w:t>10</w:t>
      </w:r>
      <w:r w:rsidRPr="002B55E9">
        <w:rPr>
          <w:bCs w:val="0"/>
          <w:snapToGrid/>
          <w:kern w:val="2"/>
          <w:szCs w:val="22"/>
        </w:rPr>
        <w:t>%</w:t>
      </w:r>
      <w:r w:rsidRPr="002B55E9">
        <w:rPr>
          <w:bCs w:val="0"/>
          <w:snapToGrid/>
          <w:kern w:val="2"/>
          <w:szCs w:val="22"/>
        </w:rPr>
        <w:t>，</w:t>
      </w:r>
      <w:r w:rsidRPr="002B55E9">
        <w:rPr>
          <w:rFonts w:hint="eastAsia"/>
          <w:bCs w:val="0"/>
          <w:snapToGrid/>
          <w:kern w:val="2"/>
          <w:szCs w:val="22"/>
        </w:rPr>
        <w:t>因此</w:t>
      </w:r>
      <w:r w:rsidRPr="002B55E9">
        <w:rPr>
          <w:bCs w:val="0"/>
          <w:snapToGrid/>
          <w:kern w:val="2"/>
          <w:szCs w:val="22"/>
        </w:rPr>
        <w:t>不计算</w:t>
      </w:r>
      <w:r w:rsidRPr="002B55E9">
        <w:rPr>
          <w:rFonts w:hint="eastAsia"/>
          <w:bCs w:val="0"/>
          <w:snapToGrid/>
          <w:kern w:val="2"/>
          <w:szCs w:val="22"/>
        </w:rPr>
        <w:t>其</w:t>
      </w:r>
      <w:r w:rsidRPr="002B55E9">
        <w:rPr>
          <w:bCs w:val="0"/>
          <w:snapToGrid/>
          <w:kern w:val="2"/>
          <w:szCs w:val="22"/>
        </w:rPr>
        <w:t>储罐</w:t>
      </w:r>
      <w:r w:rsidRPr="002B55E9">
        <w:rPr>
          <w:rFonts w:hint="eastAsia"/>
          <w:bCs w:val="0"/>
          <w:snapToGrid/>
          <w:kern w:val="2"/>
          <w:szCs w:val="22"/>
        </w:rPr>
        <w:t>废气</w:t>
      </w:r>
      <w:r w:rsidRPr="002B55E9">
        <w:rPr>
          <w:bCs w:val="0"/>
          <w:snapToGrid/>
          <w:kern w:val="2"/>
          <w:szCs w:val="22"/>
        </w:rPr>
        <w:t>，</w:t>
      </w:r>
      <w:r w:rsidRPr="002B55E9">
        <w:rPr>
          <w:rFonts w:hint="eastAsia"/>
          <w:bCs w:val="0"/>
          <w:snapToGrid/>
          <w:kern w:val="2"/>
          <w:szCs w:val="22"/>
        </w:rPr>
        <w:t>根据企业提供的各储罐参数，白米</w:t>
      </w:r>
      <w:r w:rsidRPr="002B55E9">
        <w:rPr>
          <w:bCs w:val="0"/>
          <w:snapToGrid/>
          <w:kern w:val="2"/>
          <w:szCs w:val="22"/>
        </w:rPr>
        <w:t>醋胚储罐、黄酒储罐废气</w:t>
      </w:r>
      <w:r w:rsidRPr="002B55E9">
        <w:rPr>
          <w:rFonts w:hint="eastAsia"/>
          <w:bCs w:val="0"/>
          <w:snapToGrid/>
          <w:kern w:val="2"/>
          <w:szCs w:val="22"/>
        </w:rPr>
        <w:t>计算结果</w:t>
      </w:r>
      <w:r w:rsidR="00DA7812" w:rsidRPr="002B55E9">
        <w:rPr>
          <w:rFonts w:hint="eastAsia"/>
          <w:bCs w:val="0"/>
          <w:snapToGrid/>
          <w:kern w:val="2"/>
          <w:szCs w:val="22"/>
        </w:rPr>
        <w:t>见</w:t>
      </w:r>
      <w:r w:rsidRPr="002B55E9">
        <w:rPr>
          <w:rFonts w:hint="eastAsia"/>
          <w:bCs w:val="0"/>
          <w:snapToGrid/>
          <w:kern w:val="2"/>
          <w:szCs w:val="22"/>
        </w:rPr>
        <w:t>下表</w:t>
      </w:r>
      <w:r w:rsidR="00DA7812" w:rsidRPr="002B55E9">
        <w:rPr>
          <w:rFonts w:hint="eastAsia"/>
          <w:bCs w:val="0"/>
          <w:snapToGrid/>
          <w:kern w:val="2"/>
          <w:szCs w:val="22"/>
        </w:rPr>
        <w:t>。</w:t>
      </w:r>
    </w:p>
    <w:p w14:paraId="3DA724A0" w14:textId="77777777" w:rsidR="00D170E5" w:rsidRPr="002B55E9" w:rsidRDefault="00EF27AD">
      <w:pPr>
        <w:pStyle w:val="1f3"/>
        <w:spacing w:beforeLines="0" w:before="0"/>
      </w:pPr>
      <w:r w:rsidRPr="002B55E9">
        <w:rPr>
          <w:rFonts w:hint="eastAsia"/>
        </w:rPr>
        <w:t>表</w:t>
      </w:r>
      <w:r w:rsidRPr="002B55E9">
        <w:rPr>
          <w:rFonts w:hint="eastAsia"/>
        </w:rPr>
        <w:t>3-3-1</w:t>
      </w:r>
      <w:r w:rsidRPr="002B55E9">
        <w:t>9</w:t>
      </w:r>
      <w:r w:rsidRPr="002B55E9">
        <w:rPr>
          <w:rFonts w:hint="eastAsia"/>
        </w:rPr>
        <w:t xml:space="preserve">  </w:t>
      </w:r>
      <w:r w:rsidRPr="002B55E9">
        <w:rPr>
          <w:rFonts w:hint="eastAsia"/>
        </w:rPr>
        <w:t>本项目固定顶罐废气计算结果一览表</w:t>
      </w:r>
    </w:p>
    <w:tbl>
      <w:tblPr>
        <w:tblStyle w:val="lgy2"/>
        <w:tblW w:w="5000" w:type="pct"/>
        <w:tblLayout w:type="fixed"/>
        <w:tblCellMar>
          <w:left w:w="28" w:type="dxa"/>
          <w:right w:w="28" w:type="dxa"/>
        </w:tblCellMar>
        <w:tblLook w:val="04A0" w:firstRow="1" w:lastRow="0" w:firstColumn="1" w:lastColumn="0" w:noHBand="0" w:noVBand="1"/>
      </w:tblPr>
      <w:tblGrid>
        <w:gridCol w:w="336"/>
        <w:gridCol w:w="818"/>
        <w:gridCol w:w="844"/>
        <w:gridCol w:w="426"/>
        <w:gridCol w:w="570"/>
        <w:gridCol w:w="570"/>
        <w:gridCol w:w="1142"/>
        <w:gridCol w:w="1283"/>
        <w:gridCol w:w="1140"/>
        <w:gridCol w:w="713"/>
        <w:gridCol w:w="999"/>
        <w:gridCol w:w="853"/>
      </w:tblGrid>
      <w:tr w:rsidR="002B55E9" w:rsidRPr="002B55E9" w14:paraId="70846AB6"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4679" w:type="dxa"/>
            <w:gridSpan w:val="7"/>
          </w:tcPr>
          <w:p w14:paraId="5034E1BF" w14:textId="77777777" w:rsidR="00D170E5" w:rsidRPr="002B55E9" w:rsidRDefault="00EF27AD" w:rsidP="00EF27AD">
            <w:pPr>
              <w:pStyle w:val="lgy-"/>
            </w:pPr>
            <w:r w:rsidRPr="002B55E9">
              <w:rPr>
                <w:rFonts w:eastAsia="宋体"/>
              </w:rPr>
              <w:t>基本信息</w:t>
            </w:r>
          </w:p>
        </w:tc>
        <w:tc>
          <w:tcPr>
            <w:tcW w:w="1276" w:type="dxa"/>
            <w:vMerge w:val="restart"/>
          </w:tcPr>
          <w:p w14:paraId="17C52B24" w14:textId="77777777" w:rsidR="00D170E5" w:rsidRPr="002B55E9" w:rsidRDefault="00EF27AD">
            <w:pPr>
              <w:pStyle w:val="lgy-"/>
            </w:pPr>
            <w:r w:rsidRPr="002B55E9">
              <w:rPr>
                <w:rFonts w:eastAsia="宋体"/>
              </w:rPr>
              <w:t>静置损失</w:t>
            </w:r>
            <w:r w:rsidRPr="002B55E9">
              <w:rPr>
                <w:rFonts w:eastAsia="宋体"/>
              </w:rPr>
              <w:t>E</w:t>
            </w:r>
            <w:r w:rsidRPr="002B55E9">
              <w:rPr>
                <w:rFonts w:eastAsia="宋体"/>
                <w:vertAlign w:val="subscript"/>
              </w:rPr>
              <w:t>S</w:t>
            </w:r>
            <w:r w:rsidRPr="002B55E9">
              <w:rPr>
                <w:rFonts w:eastAsia="宋体"/>
              </w:rPr>
              <w:t>（</w:t>
            </w:r>
            <w:r w:rsidRPr="002B55E9">
              <w:rPr>
                <w:rFonts w:eastAsia="宋体"/>
              </w:rPr>
              <w:t>t/a</w:t>
            </w:r>
            <w:r w:rsidRPr="002B55E9">
              <w:rPr>
                <w:rFonts w:eastAsia="宋体"/>
              </w:rPr>
              <w:t>）</w:t>
            </w:r>
          </w:p>
        </w:tc>
        <w:tc>
          <w:tcPr>
            <w:tcW w:w="1133" w:type="dxa"/>
            <w:vMerge w:val="restart"/>
          </w:tcPr>
          <w:p w14:paraId="0214B3E3" w14:textId="77777777" w:rsidR="00D170E5" w:rsidRPr="002B55E9" w:rsidRDefault="00EF27AD">
            <w:pPr>
              <w:pStyle w:val="lgy-"/>
            </w:pPr>
            <w:r w:rsidRPr="002B55E9">
              <w:rPr>
                <w:rFonts w:eastAsia="宋体"/>
              </w:rPr>
              <w:t>工作损失</w:t>
            </w:r>
            <w:r w:rsidRPr="002B55E9">
              <w:rPr>
                <w:rFonts w:eastAsia="宋体"/>
              </w:rPr>
              <w:t>E</w:t>
            </w:r>
            <w:r w:rsidRPr="002B55E9">
              <w:rPr>
                <w:rFonts w:eastAsia="宋体"/>
                <w:vertAlign w:val="subscript"/>
              </w:rPr>
              <w:t>W</w:t>
            </w:r>
            <w:r w:rsidRPr="002B55E9">
              <w:rPr>
                <w:rFonts w:eastAsia="宋体"/>
              </w:rPr>
              <w:t>（</w:t>
            </w:r>
            <w:r w:rsidRPr="002B55E9">
              <w:rPr>
                <w:rFonts w:eastAsia="宋体"/>
              </w:rPr>
              <w:t>t/a</w:t>
            </w:r>
            <w:r w:rsidRPr="002B55E9">
              <w:rPr>
                <w:rFonts w:eastAsia="宋体"/>
              </w:rPr>
              <w:t>）</w:t>
            </w:r>
          </w:p>
        </w:tc>
        <w:tc>
          <w:tcPr>
            <w:tcW w:w="709" w:type="dxa"/>
            <w:vMerge w:val="restart"/>
          </w:tcPr>
          <w:p w14:paraId="6F45BA98" w14:textId="77777777" w:rsidR="00D170E5" w:rsidRPr="002B55E9" w:rsidRDefault="00EF27AD">
            <w:pPr>
              <w:pStyle w:val="lgy-"/>
            </w:pPr>
            <w:r w:rsidRPr="002B55E9">
              <w:rPr>
                <w:rFonts w:eastAsia="宋体"/>
              </w:rPr>
              <w:t>时间（</w:t>
            </w:r>
            <w:r w:rsidRPr="002B55E9">
              <w:rPr>
                <w:rFonts w:eastAsia="宋体"/>
              </w:rPr>
              <w:t>h</w:t>
            </w:r>
            <w:r w:rsidRPr="002B55E9">
              <w:rPr>
                <w:rFonts w:eastAsia="宋体"/>
              </w:rPr>
              <w:t>）</w:t>
            </w:r>
          </w:p>
        </w:tc>
        <w:tc>
          <w:tcPr>
            <w:tcW w:w="993" w:type="dxa"/>
            <w:vMerge w:val="restart"/>
          </w:tcPr>
          <w:p w14:paraId="61143CB9" w14:textId="77777777" w:rsidR="00D170E5" w:rsidRPr="002B55E9" w:rsidRDefault="00EF27AD">
            <w:pPr>
              <w:pStyle w:val="lgy-"/>
            </w:pPr>
            <w:r w:rsidRPr="002B55E9">
              <w:rPr>
                <w:rFonts w:eastAsia="宋体"/>
              </w:rPr>
              <w:t>排放量（</w:t>
            </w:r>
            <w:r w:rsidRPr="002B55E9">
              <w:rPr>
                <w:rFonts w:eastAsia="宋体"/>
              </w:rPr>
              <w:t>t/a</w:t>
            </w:r>
            <w:r w:rsidRPr="002B55E9">
              <w:rPr>
                <w:rFonts w:eastAsia="宋体"/>
              </w:rPr>
              <w:t>）</w:t>
            </w:r>
          </w:p>
        </w:tc>
        <w:tc>
          <w:tcPr>
            <w:tcW w:w="848" w:type="dxa"/>
            <w:vMerge w:val="restart"/>
          </w:tcPr>
          <w:p w14:paraId="606A7E84" w14:textId="77777777" w:rsidR="00D170E5" w:rsidRPr="002B55E9" w:rsidRDefault="00EF27AD">
            <w:pPr>
              <w:pStyle w:val="lgy-"/>
              <w:rPr>
                <w:rFonts w:eastAsia="宋体"/>
              </w:rPr>
            </w:pPr>
            <w:r w:rsidRPr="002B55E9">
              <w:rPr>
                <w:rFonts w:eastAsia="宋体"/>
              </w:rPr>
              <w:t>排放速率（</w:t>
            </w:r>
            <w:r w:rsidRPr="002B55E9">
              <w:rPr>
                <w:rFonts w:eastAsia="宋体"/>
              </w:rPr>
              <w:t>kg/h</w:t>
            </w:r>
            <w:r w:rsidRPr="002B55E9">
              <w:rPr>
                <w:rFonts w:eastAsia="宋体"/>
              </w:rPr>
              <w:t>）</w:t>
            </w:r>
          </w:p>
        </w:tc>
      </w:tr>
      <w:tr w:rsidR="002B55E9" w:rsidRPr="002B55E9" w14:paraId="5B3763B7" w14:textId="77777777" w:rsidTr="00EF27AD">
        <w:trPr>
          <w:trHeight w:val="283"/>
        </w:trPr>
        <w:tc>
          <w:tcPr>
            <w:tcW w:w="334" w:type="dxa"/>
          </w:tcPr>
          <w:p w14:paraId="22FEC360" w14:textId="77777777" w:rsidR="00D170E5" w:rsidRPr="002B55E9" w:rsidRDefault="00EF27AD">
            <w:pPr>
              <w:pStyle w:val="lgy-"/>
            </w:pPr>
            <w:r w:rsidRPr="002B55E9">
              <w:rPr>
                <w:rFonts w:eastAsia="宋体"/>
              </w:rPr>
              <w:t>序号</w:t>
            </w:r>
          </w:p>
        </w:tc>
        <w:tc>
          <w:tcPr>
            <w:tcW w:w="813" w:type="dxa"/>
          </w:tcPr>
          <w:p w14:paraId="229A0C13" w14:textId="77777777" w:rsidR="00D170E5" w:rsidRPr="002B55E9" w:rsidRDefault="00EF27AD">
            <w:pPr>
              <w:pStyle w:val="lgy-"/>
            </w:pPr>
            <w:r w:rsidRPr="002B55E9">
              <w:rPr>
                <w:rFonts w:eastAsia="宋体"/>
              </w:rPr>
              <w:t>储罐名称</w:t>
            </w:r>
          </w:p>
        </w:tc>
        <w:tc>
          <w:tcPr>
            <w:tcW w:w="839" w:type="dxa"/>
          </w:tcPr>
          <w:p w14:paraId="0ACDF259" w14:textId="77777777" w:rsidR="00D170E5" w:rsidRPr="002B55E9" w:rsidRDefault="00EF27AD">
            <w:pPr>
              <w:pStyle w:val="lgy-"/>
            </w:pPr>
            <w:r w:rsidRPr="002B55E9">
              <w:rPr>
                <w:rFonts w:eastAsia="宋体"/>
              </w:rPr>
              <w:t>储存物料</w:t>
            </w:r>
          </w:p>
        </w:tc>
        <w:tc>
          <w:tcPr>
            <w:tcW w:w="424" w:type="dxa"/>
          </w:tcPr>
          <w:p w14:paraId="19D6F1B6" w14:textId="77777777" w:rsidR="00D170E5" w:rsidRPr="002B55E9" w:rsidRDefault="00EF27AD">
            <w:pPr>
              <w:pStyle w:val="lgy-"/>
            </w:pPr>
            <w:r w:rsidRPr="002B55E9">
              <w:rPr>
                <w:rFonts w:eastAsia="宋体"/>
              </w:rPr>
              <w:t>数量</w:t>
            </w:r>
          </w:p>
        </w:tc>
        <w:tc>
          <w:tcPr>
            <w:tcW w:w="567" w:type="dxa"/>
          </w:tcPr>
          <w:p w14:paraId="6603A17D" w14:textId="77777777" w:rsidR="00D170E5" w:rsidRPr="002B55E9" w:rsidRDefault="00EF27AD">
            <w:pPr>
              <w:pStyle w:val="lgy-"/>
            </w:pPr>
            <w:r w:rsidRPr="002B55E9">
              <w:rPr>
                <w:rFonts w:eastAsia="宋体"/>
              </w:rPr>
              <w:t>罐型</w:t>
            </w:r>
          </w:p>
        </w:tc>
        <w:tc>
          <w:tcPr>
            <w:tcW w:w="567" w:type="dxa"/>
          </w:tcPr>
          <w:p w14:paraId="34573877" w14:textId="77777777" w:rsidR="00D170E5" w:rsidRPr="002B55E9" w:rsidRDefault="00EF27AD">
            <w:pPr>
              <w:pStyle w:val="lgy-"/>
            </w:pPr>
            <w:r w:rsidRPr="002B55E9">
              <w:rPr>
                <w:rFonts w:eastAsia="宋体"/>
              </w:rPr>
              <w:t>容积</w:t>
            </w:r>
            <w:r w:rsidRPr="002B55E9">
              <w:rPr>
                <w:rFonts w:eastAsia="宋体"/>
              </w:rPr>
              <w:t>m</w:t>
            </w:r>
            <w:r w:rsidRPr="002B55E9">
              <w:rPr>
                <w:rFonts w:eastAsia="宋体"/>
                <w:vertAlign w:val="superscript"/>
              </w:rPr>
              <w:t>3</w:t>
            </w:r>
          </w:p>
        </w:tc>
        <w:tc>
          <w:tcPr>
            <w:tcW w:w="1135" w:type="dxa"/>
          </w:tcPr>
          <w:p w14:paraId="111DF0F8" w14:textId="77777777" w:rsidR="00D170E5" w:rsidRPr="002B55E9" w:rsidRDefault="00EF27AD">
            <w:pPr>
              <w:pStyle w:val="lgy-"/>
            </w:pPr>
            <w:r w:rsidRPr="002B55E9">
              <w:rPr>
                <w:rFonts w:eastAsia="宋体"/>
              </w:rPr>
              <w:t>年周转量（</w:t>
            </w:r>
            <w:r w:rsidRPr="002B55E9">
              <w:rPr>
                <w:rFonts w:eastAsia="宋体"/>
              </w:rPr>
              <w:t>t/a</w:t>
            </w:r>
            <w:r w:rsidRPr="002B55E9">
              <w:rPr>
                <w:rFonts w:eastAsia="宋体"/>
              </w:rPr>
              <w:t>）</w:t>
            </w:r>
          </w:p>
        </w:tc>
        <w:tc>
          <w:tcPr>
            <w:tcW w:w="1276" w:type="dxa"/>
            <w:vMerge/>
          </w:tcPr>
          <w:p w14:paraId="44B2155D" w14:textId="77777777" w:rsidR="00D170E5" w:rsidRPr="002B55E9" w:rsidRDefault="00D170E5">
            <w:pPr>
              <w:pStyle w:val="lgy-"/>
            </w:pPr>
          </w:p>
        </w:tc>
        <w:tc>
          <w:tcPr>
            <w:tcW w:w="1133" w:type="dxa"/>
            <w:vMerge/>
          </w:tcPr>
          <w:p w14:paraId="7EEA5E42" w14:textId="77777777" w:rsidR="00D170E5" w:rsidRPr="002B55E9" w:rsidRDefault="00D170E5">
            <w:pPr>
              <w:pStyle w:val="lgy-"/>
            </w:pPr>
          </w:p>
        </w:tc>
        <w:tc>
          <w:tcPr>
            <w:tcW w:w="709" w:type="dxa"/>
            <w:vMerge/>
          </w:tcPr>
          <w:p w14:paraId="002F0324" w14:textId="77777777" w:rsidR="00D170E5" w:rsidRPr="002B55E9" w:rsidRDefault="00D170E5">
            <w:pPr>
              <w:pStyle w:val="lgy-"/>
            </w:pPr>
          </w:p>
        </w:tc>
        <w:tc>
          <w:tcPr>
            <w:tcW w:w="993" w:type="dxa"/>
            <w:vMerge/>
          </w:tcPr>
          <w:p w14:paraId="2698249E" w14:textId="77777777" w:rsidR="00D170E5" w:rsidRPr="002B55E9" w:rsidRDefault="00D170E5">
            <w:pPr>
              <w:pStyle w:val="lgy-"/>
            </w:pPr>
          </w:p>
        </w:tc>
        <w:tc>
          <w:tcPr>
            <w:tcW w:w="848" w:type="dxa"/>
            <w:vMerge/>
          </w:tcPr>
          <w:p w14:paraId="35C17F24" w14:textId="77777777" w:rsidR="00D170E5" w:rsidRPr="002B55E9" w:rsidRDefault="00D170E5">
            <w:pPr>
              <w:pStyle w:val="lgy-"/>
              <w:rPr>
                <w:rFonts w:eastAsia="宋体"/>
              </w:rPr>
            </w:pPr>
          </w:p>
        </w:tc>
      </w:tr>
      <w:tr w:rsidR="002B55E9" w:rsidRPr="002B55E9" w14:paraId="6FC52E2C" w14:textId="77777777" w:rsidTr="00EF27AD">
        <w:trPr>
          <w:trHeight w:val="283"/>
        </w:trPr>
        <w:tc>
          <w:tcPr>
            <w:tcW w:w="334" w:type="dxa"/>
          </w:tcPr>
          <w:p w14:paraId="76F942F0" w14:textId="77777777" w:rsidR="00D170E5" w:rsidRPr="002B55E9" w:rsidRDefault="00EF27AD">
            <w:pPr>
              <w:pStyle w:val="lgy-"/>
            </w:pPr>
            <w:r w:rsidRPr="002B55E9">
              <w:rPr>
                <w:rFonts w:eastAsia="宋体"/>
              </w:rPr>
              <w:t>1</w:t>
            </w:r>
          </w:p>
        </w:tc>
        <w:tc>
          <w:tcPr>
            <w:tcW w:w="813" w:type="dxa"/>
            <w:vMerge w:val="restart"/>
          </w:tcPr>
          <w:p w14:paraId="5389DAC3" w14:textId="77777777" w:rsidR="00D170E5" w:rsidRPr="002B55E9" w:rsidRDefault="00EF27AD">
            <w:pPr>
              <w:pStyle w:val="lgy-"/>
            </w:pPr>
            <w:r w:rsidRPr="002B55E9">
              <w:rPr>
                <w:rFonts w:eastAsia="宋体"/>
              </w:rPr>
              <w:t>白米醋胚储罐</w:t>
            </w:r>
          </w:p>
        </w:tc>
        <w:tc>
          <w:tcPr>
            <w:tcW w:w="839" w:type="dxa"/>
          </w:tcPr>
          <w:p w14:paraId="6A9A4221" w14:textId="77777777" w:rsidR="00D170E5" w:rsidRPr="002B55E9" w:rsidRDefault="00EF27AD">
            <w:pPr>
              <w:pStyle w:val="lgy-"/>
            </w:pPr>
            <w:r w:rsidRPr="002B55E9">
              <w:rPr>
                <w:rFonts w:eastAsia="宋体"/>
              </w:rPr>
              <w:t>白米醋胚</w:t>
            </w:r>
          </w:p>
        </w:tc>
        <w:tc>
          <w:tcPr>
            <w:tcW w:w="424" w:type="dxa"/>
          </w:tcPr>
          <w:p w14:paraId="3AE7DD48" w14:textId="77777777" w:rsidR="00D170E5" w:rsidRPr="002B55E9" w:rsidRDefault="00EF27AD">
            <w:pPr>
              <w:pStyle w:val="lgy-"/>
            </w:pPr>
            <w:r w:rsidRPr="002B55E9">
              <w:rPr>
                <w:rFonts w:eastAsia="宋体"/>
              </w:rPr>
              <w:t>5</w:t>
            </w:r>
          </w:p>
        </w:tc>
        <w:tc>
          <w:tcPr>
            <w:tcW w:w="567" w:type="dxa"/>
            <w:vMerge w:val="restart"/>
          </w:tcPr>
          <w:p w14:paraId="6C20DF35" w14:textId="77777777" w:rsidR="00D170E5" w:rsidRPr="002B55E9" w:rsidRDefault="00EF27AD">
            <w:pPr>
              <w:pStyle w:val="lgy-"/>
            </w:pPr>
            <w:r w:rsidRPr="002B55E9">
              <w:rPr>
                <w:rFonts w:eastAsia="宋体"/>
              </w:rPr>
              <w:t>固定顶</w:t>
            </w:r>
          </w:p>
        </w:tc>
        <w:tc>
          <w:tcPr>
            <w:tcW w:w="567" w:type="dxa"/>
          </w:tcPr>
          <w:p w14:paraId="441FDC1B" w14:textId="77777777" w:rsidR="00D170E5" w:rsidRPr="002B55E9" w:rsidRDefault="00EF27AD">
            <w:pPr>
              <w:pStyle w:val="lgy-"/>
            </w:pPr>
            <w:r w:rsidRPr="002B55E9">
              <w:rPr>
                <w:rFonts w:eastAsia="宋体"/>
              </w:rPr>
              <w:t>600</w:t>
            </w:r>
          </w:p>
        </w:tc>
        <w:tc>
          <w:tcPr>
            <w:tcW w:w="1135" w:type="dxa"/>
          </w:tcPr>
          <w:p w14:paraId="154BC85C" w14:textId="77777777" w:rsidR="00D170E5" w:rsidRPr="002B55E9" w:rsidRDefault="00EF27AD">
            <w:pPr>
              <w:pStyle w:val="lgy-"/>
            </w:pPr>
            <w:r w:rsidRPr="002B55E9">
              <w:rPr>
                <w:rFonts w:eastAsia="宋体"/>
              </w:rPr>
              <w:t>18900</w:t>
            </w:r>
          </w:p>
        </w:tc>
        <w:tc>
          <w:tcPr>
            <w:tcW w:w="1276" w:type="dxa"/>
          </w:tcPr>
          <w:p w14:paraId="17522F04" w14:textId="77777777" w:rsidR="00D170E5" w:rsidRPr="002B55E9" w:rsidRDefault="00EF27AD">
            <w:pPr>
              <w:pStyle w:val="lgy-"/>
            </w:pPr>
            <w:r w:rsidRPr="002B55E9">
              <w:rPr>
                <w:rFonts w:eastAsia="宋体"/>
                <w:szCs w:val="20"/>
              </w:rPr>
              <w:t xml:space="preserve">0.030 </w:t>
            </w:r>
          </w:p>
        </w:tc>
        <w:tc>
          <w:tcPr>
            <w:tcW w:w="1133" w:type="dxa"/>
          </w:tcPr>
          <w:p w14:paraId="46E26BC4" w14:textId="77777777" w:rsidR="00D170E5" w:rsidRPr="002B55E9" w:rsidRDefault="00EF27AD">
            <w:pPr>
              <w:pStyle w:val="lgy-"/>
            </w:pPr>
            <w:r w:rsidRPr="002B55E9">
              <w:rPr>
                <w:rFonts w:eastAsia="宋体"/>
                <w:szCs w:val="20"/>
              </w:rPr>
              <w:t xml:space="preserve">0.013 </w:t>
            </w:r>
          </w:p>
        </w:tc>
        <w:tc>
          <w:tcPr>
            <w:tcW w:w="709" w:type="dxa"/>
            <w:vMerge w:val="restart"/>
          </w:tcPr>
          <w:p w14:paraId="774D2AB2" w14:textId="77777777" w:rsidR="00D170E5" w:rsidRPr="002B55E9" w:rsidRDefault="00EF27AD">
            <w:pPr>
              <w:pStyle w:val="lgy-"/>
            </w:pPr>
            <w:r w:rsidRPr="002B55E9">
              <w:rPr>
                <w:rFonts w:eastAsia="宋体"/>
              </w:rPr>
              <w:t>8760</w:t>
            </w:r>
          </w:p>
        </w:tc>
        <w:tc>
          <w:tcPr>
            <w:tcW w:w="993" w:type="dxa"/>
          </w:tcPr>
          <w:p w14:paraId="666BEF77" w14:textId="77777777" w:rsidR="00D170E5" w:rsidRPr="002B55E9" w:rsidRDefault="00EF27AD">
            <w:pPr>
              <w:pStyle w:val="lgy-"/>
            </w:pPr>
            <w:r w:rsidRPr="002B55E9">
              <w:rPr>
                <w:rFonts w:eastAsia="宋体"/>
              </w:rPr>
              <w:t>0.043</w:t>
            </w:r>
          </w:p>
        </w:tc>
        <w:tc>
          <w:tcPr>
            <w:tcW w:w="848" w:type="dxa"/>
          </w:tcPr>
          <w:p w14:paraId="55CE8B5C" w14:textId="77777777" w:rsidR="00D170E5" w:rsidRPr="002B55E9" w:rsidRDefault="00EF27AD">
            <w:pPr>
              <w:pStyle w:val="lgy-"/>
              <w:rPr>
                <w:rFonts w:eastAsia="宋体"/>
              </w:rPr>
            </w:pPr>
            <w:r w:rsidRPr="002B55E9">
              <w:rPr>
                <w:rFonts w:eastAsia="宋体"/>
              </w:rPr>
              <w:t>0.005</w:t>
            </w:r>
          </w:p>
        </w:tc>
      </w:tr>
      <w:tr w:rsidR="002B55E9" w:rsidRPr="002B55E9" w14:paraId="59ECBA46" w14:textId="77777777" w:rsidTr="00EF27AD">
        <w:trPr>
          <w:trHeight w:val="283"/>
        </w:trPr>
        <w:tc>
          <w:tcPr>
            <w:tcW w:w="334" w:type="dxa"/>
          </w:tcPr>
          <w:p w14:paraId="7A894172" w14:textId="77777777" w:rsidR="00D170E5" w:rsidRPr="002B55E9" w:rsidRDefault="00EF27AD">
            <w:pPr>
              <w:pStyle w:val="lgy-"/>
            </w:pPr>
            <w:r w:rsidRPr="002B55E9">
              <w:rPr>
                <w:rFonts w:eastAsia="宋体"/>
              </w:rPr>
              <w:t>2</w:t>
            </w:r>
          </w:p>
        </w:tc>
        <w:tc>
          <w:tcPr>
            <w:tcW w:w="813" w:type="dxa"/>
            <w:vMerge/>
          </w:tcPr>
          <w:p w14:paraId="7EA0AF2B" w14:textId="77777777" w:rsidR="00D170E5" w:rsidRPr="002B55E9" w:rsidRDefault="00D170E5">
            <w:pPr>
              <w:pStyle w:val="lgy-"/>
            </w:pPr>
          </w:p>
        </w:tc>
        <w:tc>
          <w:tcPr>
            <w:tcW w:w="839" w:type="dxa"/>
          </w:tcPr>
          <w:p w14:paraId="756CEF17" w14:textId="77777777" w:rsidR="00D170E5" w:rsidRPr="002B55E9" w:rsidRDefault="00EF27AD">
            <w:pPr>
              <w:pStyle w:val="lgy-"/>
            </w:pPr>
            <w:r w:rsidRPr="002B55E9">
              <w:rPr>
                <w:rFonts w:eastAsia="宋体"/>
              </w:rPr>
              <w:t>白米醋胚</w:t>
            </w:r>
          </w:p>
        </w:tc>
        <w:tc>
          <w:tcPr>
            <w:tcW w:w="424" w:type="dxa"/>
          </w:tcPr>
          <w:p w14:paraId="6F1D49E7" w14:textId="77777777" w:rsidR="00D170E5" w:rsidRPr="002B55E9" w:rsidRDefault="00EF27AD">
            <w:pPr>
              <w:pStyle w:val="lgy-"/>
            </w:pPr>
            <w:r w:rsidRPr="002B55E9">
              <w:rPr>
                <w:rFonts w:eastAsia="宋体"/>
              </w:rPr>
              <w:t>2</w:t>
            </w:r>
          </w:p>
        </w:tc>
        <w:tc>
          <w:tcPr>
            <w:tcW w:w="567" w:type="dxa"/>
            <w:vMerge/>
          </w:tcPr>
          <w:p w14:paraId="51A90932" w14:textId="77777777" w:rsidR="00D170E5" w:rsidRPr="002B55E9" w:rsidRDefault="00D170E5">
            <w:pPr>
              <w:pStyle w:val="lgy-"/>
            </w:pPr>
          </w:p>
        </w:tc>
        <w:tc>
          <w:tcPr>
            <w:tcW w:w="567" w:type="dxa"/>
          </w:tcPr>
          <w:p w14:paraId="5CD29AC1" w14:textId="77777777" w:rsidR="00D170E5" w:rsidRPr="002B55E9" w:rsidRDefault="00EF27AD">
            <w:pPr>
              <w:pStyle w:val="lgy-"/>
            </w:pPr>
            <w:r w:rsidRPr="002B55E9">
              <w:rPr>
                <w:rFonts w:eastAsia="宋体"/>
              </w:rPr>
              <w:t>200</w:t>
            </w:r>
          </w:p>
        </w:tc>
        <w:tc>
          <w:tcPr>
            <w:tcW w:w="1135" w:type="dxa"/>
          </w:tcPr>
          <w:p w14:paraId="1687C4EB" w14:textId="77777777" w:rsidR="00D170E5" w:rsidRPr="002B55E9" w:rsidRDefault="00EF27AD">
            <w:pPr>
              <w:pStyle w:val="lgy-"/>
            </w:pPr>
            <w:r w:rsidRPr="002B55E9">
              <w:rPr>
                <w:rFonts w:eastAsia="宋体"/>
              </w:rPr>
              <w:t>3100</w:t>
            </w:r>
          </w:p>
        </w:tc>
        <w:tc>
          <w:tcPr>
            <w:tcW w:w="1276" w:type="dxa"/>
          </w:tcPr>
          <w:p w14:paraId="719A26F0" w14:textId="77777777" w:rsidR="00D170E5" w:rsidRPr="002B55E9" w:rsidRDefault="00EF27AD">
            <w:pPr>
              <w:pStyle w:val="lgy-"/>
            </w:pPr>
            <w:r w:rsidRPr="002B55E9">
              <w:rPr>
                <w:rFonts w:eastAsia="宋体"/>
                <w:szCs w:val="20"/>
              </w:rPr>
              <w:t>3.87E-03</w:t>
            </w:r>
          </w:p>
        </w:tc>
        <w:tc>
          <w:tcPr>
            <w:tcW w:w="1133" w:type="dxa"/>
          </w:tcPr>
          <w:p w14:paraId="41D4AE89" w14:textId="77777777" w:rsidR="00D170E5" w:rsidRPr="002B55E9" w:rsidRDefault="00EF27AD">
            <w:pPr>
              <w:pStyle w:val="lgy-"/>
            </w:pPr>
            <w:r w:rsidRPr="002B55E9">
              <w:rPr>
                <w:rFonts w:eastAsia="宋体"/>
                <w:szCs w:val="20"/>
              </w:rPr>
              <w:t>2.08E-03</w:t>
            </w:r>
          </w:p>
        </w:tc>
        <w:tc>
          <w:tcPr>
            <w:tcW w:w="709" w:type="dxa"/>
            <w:vMerge/>
          </w:tcPr>
          <w:p w14:paraId="1738A699" w14:textId="77777777" w:rsidR="00D170E5" w:rsidRPr="002B55E9" w:rsidRDefault="00D170E5">
            <w:pPr>
              <w:pStyle w:val="lgy-"/>
            </w:pPr>
          </w:p>
        </w:tc>
        <w:tc>
          <w:tcPr>
            <w:tcW w:w="993" w:type="dxa"/>
          </w:tcPr>
          <w:p w14:paraId="735BF37A" w14:textId="77777777" w:rsidR="00D170E5" w:rsidRPr="002B55E9" w:rsidRDefault="00EF27AD">
            <w:pPr>
              <w:pStyle w:val="lgy-"/>
            </w:pPr>
            <w:r w:rsidRPr="002B55E9">
              <w:rPr>
                <w:rFonts w:eastAsia="宋体"/>
              </w:rPr>
              <w:t>0.006</w:t>
            </w:r>
          </w:p>
        </w:tc>
        <w:tc>
          <w:tcPr>
            <w:tcW w:w="848" w:type="dxa"/>
          </w:tcPr>
          <w:p w14:paraId="29987C7E" w14:textId="77777777" w:rsidR="00D170E5" w:rsidRPr="002B55E9" w:rsidRDefault="00EF27AD">
            <w:pPr>
              <w:pStyle w:val="lgy-"/>
              <w:rPr>
                <w:rFonts w:eastAsia="宋体"/>
              </w:rPr>
            </w:pPr>
            <w:r w:rsidRPr="002B55E9">
              <w:rPr>
                <w:rFonts w:eastAsia="宋体"/>
              </w:rPr>
              <w:t>6.79E-04</w:t>
            </w:r>
          </w:p>
        </w:tc>
      </w:tr>
      <w:tr w:rsidR="002B55E9" w:rsidRPr="002B55E9" w14:paraId="0481480F" w14:textId="77777777" w:rsidTr="00EF27AD">
        <w:trPr>
          <w:trHeight w:val="283"/>
        </w:trPr>
        <w:tc>
          <w:tcPr>
            <w:tcW w:w="334" w:type="dxa"/>
          </w:tcPr>
          <w:p w14:paraId="69B2FABA" w14:textId="77777777" w:rsidR="00D170E5" w:rsidRPr="002B55E9" w:rsidRDefault="00EF27AD">
            <w:pPr>
              <w:pStyle w:val="lgy-"/>
            </w:pPr>
            <w:r w:rsidRPr="002B55E9">
              <w:rPr>
                <w:rFonts w:eastAsia="宋体"/>
              </w:rPr>
              <w:lastRenderedPageBreak/>
              <w:t>3</w:t>
            </w:r>
          </w:p>
        </w:tc>
        <w:tc>
          <w:tcPr>
            <w:tcW w:w="813" w:type="dxa"/>
          </w:tcPr>
          <w:p w14:paraId="12498F9C" w14:textId="77777777" w:rsidR="00D170E5" w:rsidRPr="002B55E9" w:rsidRDefault="00EF27AD">
            <w:pPr>
              <w:pStyle w:val="lgy-"/>
            </w:pPr>
            <w:r w:rsidRPr="002B55E9">
              <w:rPr>
                <w:rFonts w:eastAsia="宋体"/>
              </w:rPr>
              <w:t>黄酒储罐</w:t>
            </w:r>
          </w:p>
        </w:tc>
        <w:tc>
          <w:tcPr>
            <w:tcW w:w="839" w:type="dxa"/>
          </w:tcPr>
          <w:p w14:paraId="2B170593" w14:textId="77777777" w:rsidR="00D170E5" w:rsidRPr="002B55E9" w:rsidRDefault="00EF27AD">
            <w:pPr>
              <w:pStyle w:val="lgy-"/>
            </w:pPr>
            <w:r w:rsidRPr="002B55E9">
              <w:rPr>
                <w:rFonts w:eastAsia="宋体"/>
              </w:rPr>
              <w:t>黄酒</w:t>
            </w:r>
          </w:p>
        </w:tc>
        <w:tc>
          <w:tcPr>
            <w:tcW w:w="424" w:type="dxa"/>
          </w:tcPr>
          <w:p w14:paraId="2D3DB132" w14:textId="77777777" w:rsidR="00D170E5" w:rsidRPr="002B55E9" w:rsidRDefault="00EF27AD">
            <w:pPr>
              <w:pStyle w:val="lgy-"/>
            </w:pPr>
            <w:r w:rsidRPr="002B55E9">
              <w:rPr>
                <w:rFonts w:eastAsia="宋体"/>
              </w:rPr>
              <w:t>7</w:t>
            </w:r>
          </w:p>
        </w:tc>
        <w:tc>
          <w:tcPr>
            <w:tcW w:w="567" w:type="dxa"/>
            <w:vMerge/>
          </w:tcPr>
          <w:p w14:paraId="32C38802" w14:textId="77777777" w:rsidR="00D170E5" w:rsidRPr="002B55E9" w:rsidRDefault="00D170E5">
            <w:pPr>
              <w:pStyle w:val="lgy-"/>
            </w:pPr>
          </w:p>
        </w:tc>
        <w:tc>
          <w:tcPr>
            <w:tcW w:w="567" w:type="dxa"/>
          </w:tcPr>
          <w:p w14:paraId="12457B16" w14:textId="77777777" w:rsidR="00D170E5" w:rsidRPr="002B55E9" w:rsidRDefault="00EF27AD">
            <w:pPr>
              <w:pStyle w:val="lgy-"/>
            </w:pPr>
            <w:r w:rsidRPr="002B55E9">
              <w:rPr>
                <w:rFonts w:eastAsia="宋体"/>
              </w:rPr>
              <w:t>100</w:t>
            </w:r>
          </w:p>
        </w:tc>
        <w:tc>
          <w:tcPr>
            <w:tcW w:w="1135" w:type="dxa"/>
          </w:tcPr>
          <w:p w14:paraId="0E8FC3FA" w14:textId="77777777" w:rsidR="00D170E5" w:rsidRPr="002B55E9" w:rsidRDefault="00EF27AD">
            <w:pPr>
              <w:pStyle w:val="lgy-"/>
            </w:pPr>
            <w:r w:rsidRPr="002B55E9">
              <w:rPr>
                <w:rFonts w:eastAsia="宋体"/>
              </w:rPr>
              <w:t>10543.5</w:t>
            </w:r>
          </w:p>
        </w:tc>
        <w:tc>
          <w:tcPr>
            <w:tcW w:w="1276" w:type="dxa"/>
          </w:tcPr>
          <w:p w14:paraId="3C5DFE26" w14:textId="77777777" w:rsidR="00D170E5" w:rsidRPr="002B55E9" w:rsidRDefault="00EF27AD">
            <w:pPr>
              <w:pStyle w:val="lgy-"/>
            </w:pPr>
            <w:r w:rsidRPr="002B55E9">
              <w:rPr>
                <w:rFonts w:eastAsia="宋体"/>
              </w:rPr>
              <w:t>0.099</w:t>
            </w:r>
          </w:p>
        </w:tc>
        <w:tc>
          <w:tcPr>
            <w:tcW w:w="1133" w:type="dxa"/>
          </w:tcPr>
          <w:p w14:paraId="7CEBD7B6" w14:textId="77777777" w:rsidR="00D170E5" w:rsidRPr="002B55E9" w:rsidRDefault="00EF27AD">
            <w:pPr>
              <w:pStyle w:val="lgy-"/>
            </w:pPr>
            <w:r w:rsidRPr="002B55E9">
              <w:rPr>
                <w:rFonts w:eastAsia="宋体"/>
              </w:rPr>
              <w:t>0.3604</w:t>
            </w:r>
          </w:p>
        </w:tc>
        <w:tc>
          <w:tcPr>
            <w:tcW w:w="709" w:type="dxa"/>
            <w:vMerge/>
          </w:tcPr>
          <w:p w14:paraId="7EBF4E22" w14:textId="77777777" w:rsidR="00D170E5" w:rsidRPr="002B55E9" w:rsidRDefault="00D170E5">
            <w:pPr>
              <w:pStyle w:val="lgy-"/>
            </w:pPr>
          </w:p>
        </w:tc>
        <w:tc>
          <w:tcPr>
            <w:tcW w:w="993" w:type="dxa"/>
          </w:tcPr>
          <w:p w14:paraId="0C2579A6" w14:textId="77777777" w:rsidR="00D170E5" w:rsidRPr="002B55E9" w:rsidRDefault="00EF27AD">
            <w:pPr>
              <w:pStyle w:val="lgy-"/>
            </w:pPr>
            <w:r w:rsidRPr="002B55E9">
              <w:rPr>
                <w:rFonts w:eastAsia="宋体"/>
              </w:rPr>
              <w:t>0.459</w:t>
            </w:r>
          </w:p>
        </w:tc>
        <w:tc>
          <w:tcPr>
            <w:tcW w:w="848" w:type="dxa"/>
          </w:tcPr>
          <w:p w14:paraId="14B87C32" w14:textId="77777777" w:rsidR="00D170E5" w:rsidRPr="002B55E9" w:rsidRDefault="00EF27AD">
            <w:pPr>
              <w:pStyle w:val="lgy-"/>
              <w:rPr>
                <w:rFonts w:eastAsia="宋体"/>
              </w:rPr>
            </w:pPr>
            <w:r w:rsidRPr="002B55E9">
              <w:rPr>
                <w:rFonts w:eastAsia="宋体"/>
              </w:rPr>
              <w:t>0.052</w:t>
            </w:r>
          </w:p>
        </w:tc>
      </w:tr>
      <w:tr w:rsidR="002B55E9" w:rsidRPr="002B55E9" w14:paraId="4D798DE1" w14:textId="77777777" w:rsidTr="00EF27AD">
        <w:trPr>
          <w:trHeight w:val="283"/>
        </w:trPr>
        <w:tc>
          <w:tcPr>
            <w:tcW w:w="7797" w:type="dxa"/>
            <w:gridSpan w:val="10"/>
          </w:tcPr>
          <w:p w14:paraId="6EB61C45" w14:textId="77777777" w:rsidR="00D170E5" w:rsidRPr="002B55E9" w:rsidRDefault="00EF27AD">
            <w:pPr>
              <w:pStyle w:val="lgy-"/>
            </w:pPr>
            <w:r w:rsidRPr="002B55E9">
              <w:rPr>
                <w:rFonts w:eastAsia="宋体"/>
              </w:rPr>
              <w:t>合计</w:t>
            </w:r>
          </w:p>
        </w:tc>
        <w:tc>
          <w:tcPr>
            <w:tcW w:w="993" w:type="dxa"/>
          </w:tcPr>
          <w:p w14:paraId="5B678571" w14:textId="77777777" w:rsidR="00D170E5" w:rsidRPr="002B55E9" w:rsidRDefault="00EF27AD">
            <w:pPr>
              <w:pStyle w:val="lgy-"/>
            </w:pPr>
            <w:r w:rsidRPr="002B55E9">
              <w:rPr>
                <w:rFonts w:eastAsia="宋体"/>
              </w:rPr>
              <w:t>0.508</w:t>
            </w:r>
          </w:p>
        </w:tc>
        <w:tc>
          <w:tcPr>
            <w:tcW w:w="848" w:type="dxa"/>
          </w:tcPr>
          <w:p w14:paraId="2D771BFD" w14:textId="77777777" w:rsidR="00D170E5" w:rsidRPr="002B55E9" w:rsidRDefault="00EF27AD">
            <w:pPr>
              <w:pStyle w:val="lgy-"/>
              <w:rPr>
                <w:rFonts w:eastAsia="宋体"/>
              </w:rPr>
            </w:pPr>
            <w:r w:rsidRPr="002B55E9">
              <w:rPr>
                <w:rFonts w:eastAsia="宋体"/>
              </w:rPr>
              <w:t>0.058</w:t>
            </w:r>
          </w:p>
        </w:tc>
      </w:tr>
    </w:tbl>
    <w:p w14:paraId="4B44C9D4" w14:textId="77777777" w:rsidR="00D170E5" w:rsidRPr="002B55E9" w:rsidRDefault="00EF27AD">
      <w:pPr>
        <w:pStyle w:val="affff7"/>
        <w:snapToGrid w:val="0"/>
        <w:spacing w:after="0"/>
      </w:pPr>
      <w:r w:rsidRPr="002B55E9">
        <w:rPr>
          <w:rFonts w:hint="eastAsia"/>
        </w:rPr>
        <w:t>罐区三储罐呼吸废气于厂区无组织排放。</w:t>
      </w:r>
    </w:p>
    <w:p w14:paraId="28FFA2BC" w14:textId="77777777" w:rsidR="00D170E5" w:rsidRPr="002B55E9" w:rsidRDefault="00EF27AD">
      <w:pPr>
        <w:pStyle w:val="1f3"/>
        <w:spacing w:beforeLines="0" w:before="0"/>
      </w:pPr>
      <w:r w:rsidRPr="002B55E9">
        <w:rPr>
          <w:rFonts w:hint="eastAsia"/>
        </w:rPr>
        <w:t>表</w:t>
      </w:r>
      <w:r w:rsidRPr="002B55E9">
        <w:rPr>
          <w:rFonts w:hint="eastAsia"/>
        </w:rPr>
        <w:t>3</w:t>
      </w:r>
      <w:r w:rsidRPr="002B55E9">
        <w:t xml:space="preserve">-3-20  </w:t>
      </w:r>
      <w:r w:rsidRPr="002B55E9">
        <w:rPr>
          <w:rFonts w:hint="eastAsia"/>
        </w:rPr>
        <w:t>罐区三储罐大小呼吸无组织排放情况一览表</w:t>
      </w:r>
    </w:p>
    <w:tbl>
      <w:tblPr>
        <w:tblW w:w="9638"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9"/>
        <w:gridCol w:w="890"/>
        <w:gridCol w:w="1070"/>
        <w:gridCol w:w="890"/>
        <w:gridCol w:w="1656"/>
        <w:gridCol w:w="1231"/>
        <w:gridCol w:w="1126"/>
        <w:gridCol w:w="1126"/>
      </w:tblGrid>
      <w:tr w:rsidR="002B55E9" w:rsidRPr="002B55E9" w14:paraId="016F52B4" w14:textId="77777777">
        <w:trPr>
          <w:trHeight w:val="283"/>
        </w:trPr>
        <w:tc>
          <w:tcPr>
            <w:tcW w:w="1649" w:type="dxa"/>
            <w:vMerge w:val="restart"/>
            <w:tcBorders>
              <w:top w:val="single" w:sz="12" w:space="0" w:color="auto"/>
              <w:left w:val="nil"/>
              <w:bottom w:val="single" w:sz="4" w:space="0" w:color="auto"/>
              <w:right w:val="single" w:sz="4" w:space="0" w:color="auto"/>
            </w:tcBorders>
            <w:noWrap/>
            <w:vAlign w:val="center"/>
          </w:tcPr>
          <w:p w14:paraId="7212BC2B" w14:textId="77777777" w:rsidR="00D170E5" w:rsidRPr="002B55E9" w:rsidRDefault="00EF27AD">
            <w:pPr>
              <w:pStyle w:val="lgy-"/>
            </w:pPr>
            <w:r w:rsidRPr="002B55E9">
              <w:rPr>
                <w:rFonts w:hint="eastAsia"/>
              </w:rPr>
              <w:t>厂房名称</w:t>
            </w:r>
          </w:p>
        </w:tc>
        <w:tc>
          <w:tcPr>
            <w:tcW w:w="4506" w:type="dxa"/>
            <w:gridSpan w:val="4"/>
            <w:tcBorders>
              <w:top w:val="single" w:sz="12" w:space="0" w:color="auto"/>
              <w:left w:val="single" w:sz="4" w:space="0" w:color="auto"/>
              <w:bottom w:val="single" w:sz="12" w:space="0" w:color="auto"/>
              <w:right w:val="single" w:sz="4" w:space="0" w:color="auto"/>
            </w:tcBorders>
            <w:noWrap/>
            <w:vAlign w:val="center"/>
          </w:tcPr>
          <w:p w14:paraId="53C9AE76" w14:textId="77777777" w:rsidR="00D170E5" w:rsidRPr="002B55E9" w:rsidRDefault="00EF27AD">
            <w:pPr>
              <w:pStyle w:val="lgy-"/>
            </w:pPr>
            <w:r w:rsidRPr="002B55E9">
              <w:rPr>
                <w:rFonts w:hint="eastAsia"/>
              </w:rPr>
              <w:t>排放参数</w:t>
            </w:r>
          </w:p>
        </w:tc>
        <w:tc>
          <w:tcPr>
            <w:tcW w:w="3483" w:type="dxa"/>
            <w:gridSpan w:val="3"/>
            <w:tcBorders>
              <w:top w:val="single" w:sz="12" w:space="0" w:color="auto"/>
              <w:left w:val="single" w:sz="4" w:space="0" w:color="auto"/>
              <w:bottom w:val="single" w:sz="12" w:space="0" w:color="auto"/>
              <w:right w:val="nil"/>
            </w:tcBorders>
            <w:noWrap/>
            <w:vAlign w:val="center"/>
          </w:tcPr>
          <w:p w14:paraId="7B36D3FC" w14:textId="77777777" w:rsidR="00D170E5" w:rsidRPr="002B55E9" w:rsidRDefault="00EF27AD">
            <w:pPr>
              <w:pStyle w:val="lgy-"/>
            </w:pPr>
            <w:r w:rsidRPr="002B55E9">
              <w:rPr>
                <w:rFonts w:hint="eastAsia"/>
              </w:rPr>
              <w:t>无组织排放情况</w:t>
            </w:r>
          </w:p>
        </w:tc>
      </w:tr>
      <w:tr w:rsidR="002B55E9" w:rsidRPr="002B55E9" w14:paraId="1A6D1473" w14:textId="77777777">
        <w:trPr>
          <w:trHeight w:val="283"/>
        </w:trPr>
        <w:tc>
          <w:tcPr>
            <w:tcW w:w="1649" w:type="dxa"/>
            <w:vMerge/>
            <w:tcBorders>
              <w:top w:val="single" w:sz="12" w:space="0" w:color="auto"/>
              <w:left w:val="nil"/>
              <w:bottom w:val="single" w:sz="4" w:space="0" w:color="auto"/>
              <w:right w:val="single" w:sz="4" w:space="0" w:color="auto"/>
            </w:tcBorders>
            <w:vAlign w:val="center"/>
          </w:tcPr>
          <w:p w14:paraId="26C46316" w14:textId="77777777" w:rsidR="00D170E5" w:rsidRPr="002B55E9" w:rsidRDefault="00D170E5">
            <w:pPr>
              <w:widowControl/>
              <w:jc w:val="left"/>
              <w:rPr>
                <w:bCs/>
                <w:sz w:val="18"/>
                <w:szCs w:val="18"/>
              </w:rPr>
            </w:pPr>
          </w:p>
        </w:tc>
        <w:tc>
          <w:tcPr>
            <w:tcW w:w="890" w:type="dxa"/>
            <w:tcBorders>
              <w:top w:val="single" w:sz="4" w:space="0" w:color="auto"/>
              <w:left w:val="single" w:sz="4" w:space="0" w:color="auto"/>
              <w:bottom w:val="single" w:sz="4" w:space="0" w:color="auto"/>
              <w:right w:val="single" w:sz="4" w:space="0" w:color="auto"/>
            </w:tcBorders>
            <w:noWrap/>
            <w:vAlign w:val="center"/>
          </w:tcPr>
          <w:p w14:paraId="571A1676" w14:textId="77777777" w:rsidR="00D170E5" w:rsidRPr="002B55E9" w:rsidRDefault="00EF27AD">
            <w:pPr>
              <w:pStyle w:val="lgy-"/>
            </w:pPr>
            <w:r w:rsidRPr="002B55E9">
              <w:rPr>
                <w:rFonts w:hint="eastAsia"/>
              </w:rPr>
              <w:t>长度</w:t>
            </w:r>
            <w:r w:rsidRPr="002B55E9">
              <w:t>m</w:t>
            </w:r>
          </w:p>
        </w:tc>
        <w:tc>
          <w:tcPr>
            <w:tcW w:w="1070" w:type="dxa"/>
            <w:tcBorders>
              <w:top w:val="single" w:sz="4" w:space="0" w:color="auto"/>
              <w:left w:val="single" w:sz="4" w:space="0" w:color="auto"/>
              <w:bottom w:val="single" w:sz="4" w:space="0" w:color="auto"/>
              <w:right w:val="single" w:sz="4" w:space="0" w:color="auto"/>
            </w:tcBorders>
            <w:vAlign w:val="center"/>
          </w:tcPr>
          <w:p w14:paraId="1EDC9F8C" w14:textId="77777777" w:rsidR="00D170E5" w:rsidRPr="002B55E9" w:rsidRDefault="00EF27AD">
            <w:pPr>
              <w:pStyle w:val="lgy-"/>
            </w:pPr>
            <w:r w:rsidRPr="002B55E9">
              <w:rPr>
                <w:rFonts w:hint="eastAsia"/>
              </w:rPr>
              <w:t>宽度</w:t>
            </w:r>
            <w:r w:rsidRPr="002B55E9">
              <w:t>m</w:t>
            </w:r>
          </w:p>
        </w:tc>
        <w:tc>
          <w:tcPr>
            <w:tcW w:w="890" w:type="dxa"/>
            <w:tcBorders>
              <w:top w:val="single" w:sz="4" w:space="0" w:color="auto"/>
              <w:left w:val="single" w:sz="4" w:space="0" w:color="auto"/>
              <w:bottom w:val="single" w:sz="4" w:space="0" w:color="auto"/>
              <w:right w:val="single" w:sz="4" w:space="0" w:color="auto"/>
            </w:tcBorders>
            <w:noWrap/>
            <w:vAlign w:val="center"/>
          </w:tcPr>
          <w:p w14:paraId="10E18498" w14:textId="77777777" w:rsidR="00D170E5" w:rsidRPr="002B55E9" w:rsidRDefault="00EF27AD">
            <w:pPr>
              <w:pStyle w:val="lgy-"/>
            </w:pPr>
            <w:r w:rsidRPr="002B55E9">
              <w:rPr>
                <w:rFonts w:hint="eastAsia"/>
              </w:rPr>
              <w:t>高度</w:t>
            </w:r>
            <w:r w:rsidRPr="002B55E9">
              <w:t>m</w:t>
            </w:r>
          </w:p>
        </w:tc>
        <w:tc>
          <w:tcPr>
            <w:tcW w:w="1656" w:type="dxa"/>
            <w:tcBorders>
              <w:top w:val="single" w:sz="4" w:space="0" w:color="auto"/>
              <w:left w:val="single" w:sz="4" w:space="0" w:color="auto"/>
              <w:bottom w:val="single" w:sz="4" w:space="0" w:color="auto"/>
              <w:right w:val="single" w:sz="4" w:space="0" w:color="auto"/>
            </w:tcBorders>
            <w:noWrap/>
            <w:vAlign w:val="center"/>
          </w:tcPr>
          <w:p w14:paraId="36A880AE" w14:textId="77777777" w:rsidR="00D170E5" w:rsidRPr="002B55E9" w:rsidRDefault="00EF27AD">
            <w:pPr>
              <w:pStyle w:val="lgy-"/>
            </w:pPr>
            <w:r w:rsidRPr="002B55E9">
              <w:rPr>
                <w:rFonts w:hint="eastAsia"/>
              </w:rPr>
              <w:t>年排放时间</w:t>
            </w:r>
            <w:r w:rsidRPr="002B55E9">
              <w:t>h</w:t>
            </w:r>
          </w:p>
        </w:tc>
        <w:tc>
          <w:tcPr>
            <w:tcW w:w="1231" w:type="dxa"/>
            <w:tcBorders>
              <w:top w:val="single" w:sz="4" w:space="0" w:color="auto"/>
              <w:left w:val="single" w:sz="4" w:space="0" w:color="auto"/>
              <w:bottom w:val="single" w:sz="4" w:space="0" w:color="auto"/>
              <w:right w:val="single" w:sz="4" w:space="0" w:color="auto"/>
            </w:tcBorders>
            <w:noWrap/>
            <w:vAlign w:val="center"/>
          </w:tcPr>
          <w:p w14:paraId="795D554B" w14:textId="77777777" w:rsidR="00D170E5" w:rsidRPr="002B55E9" w:rsidRDefault="00EF27AD">
            <w:pPr>
              <w:pStyle w:val="lgy-"/>
            </w:pPr>
            <w:r w:rsidRPr="002B55E9">
              <w:rPr>
                <w:rFonts w:hint="eastAsia"/>
              </w:rPr>
              <w:t>污染物名称</w:t>
            </w:r>
          </w:p>
        </w:tc>
        <w:tc>
          <w:tcPr>
            <w:tcW w:w="1126" w:type="dxa"/>
            <w:tcBorders>
              <w:top w:val="single" w:sz="4" w:space="0" w:color="auto"/>
              <w:left w:val="single" w:sz="4" w:space="0" w:color="auto"/>
              <w:bottom w:val="single" w:sz="4" w:space="0" w:color="auto"/>
              <w:right w:val="single" w:sz="4" w:space="0" w:color="auto"/>
            </w:tcBorders>
            <w:vAlign w:val="center"/>
          </w:tcPr>
          <w:p w14:paraId="0C9E2665" w14:textId="77777777" w:rsidR="00D170E5" w:rsidRPr="002B55E9" w:rsidRDefault="00EF27AD">
            <w:pPr>
              <w:pStyle w:val="lgy-"/>
            </w:pPr>
            <w:r w:rsidRPr="002B55E9">
              <w:rPr>
                <w:rFonts w:hint="eastAsia"/>
              </w:rPr>
              <w:t>排放量（</w:t>
            </w:r>
            <w:r w:rsidRPr="002B55E9">
              <w:t>t/a</w:t>
            </w:r>
            <w:r w:rsidRPr="002B55E9">
              <w:rPr>
                <w:rFonts w:hint="eastAsia"/>
              </w:rPr>
              <w:t>）</w:t>
            </w:r>
          </w:p>
        </w:tc>
        <w:tc>
          <w:tcPr>
            <w:tcW w:w="1126" w:type="dxa"/>
            <w:tcBorders>
              <w:top w:val="single" w:sz="4" w:space="0" w:color="auto"/>
              <w:left w:val="single" w:sz="4" w:space="0" w:color="auto"/>
              <w:bottom w:val="single" w:sz="4" w:space="0" w:color="auto"/>
              <w:right w:val="nil"/>
            </w:tcBorders>
            <w:vAlign w:val="center"/>
          </w:tcPr>
          <w:p w14:paraId="2A33A5D1" w14:textId="77777777" w:rsidR="00D170E5" w:rsidRPr="002B55E9" w:rsidRDefault="00EF27AD">
            <w:pPr>
              <w:pStyle w:val="lgy-"/>
            </w:pPr>
            <w:r w:rsidRPr="002B55E9">
              <w:rPr>
                <w:rFonts w:hint="eastAsia"/>
              </w:rPr>
              <w:t>排放速率（</w:t>
            </w:r>
            <w:r w:rsidRPr="002B55E9">
              <w:t>kg/h</w:t>
            </w:r>
            <w:r w:rsidRPr="002B55E9">
              <w:rPr>
                <w:rFonts w:hint="eastAsia"/>
              </w:rPr>
              <w:t>）</w:t>
            </w:r>
          </w:p>
        </w:tc>
      </w:tr>
      <w:tr w:rsidR="002B55E9" w:rsidRPr="002B55E9" w14:paraId="4598179C" w14:textId="77777777">
        <w:trPr>
          <w:trHeight w:val="283"/>
        </w:trPr>
        <w:tc>
          <w:tcPr>
            <w:tcW w:w="1649" w:type="dxa"/>
            <w:tcBorders>
              <w:top w:val="single" w:sz="4" w:space="0" w:color="auto"/>
              <w:left w:val="nil"/>
              <w:right w:val="single" w:sz="4" w:space="0" w:color="auto"/>
            </w:tcBorders>
            <w:noWrap/>
            <w:vAlign w:val="center"/>
          </w:tcPr>
          <w:p w14:paraId="65B64B3A" w14:textId="77777777" w:rsidR="00D170E5" w:rsidRPr="002B55E9" w:rsidRDefault="00EF27AD">
            <w:pPr>
              <w:pStyle w:val="lgy-"/>
            </w:pPr>
            <w:r w:rsidRPr="002B55E9">
              <w:rPr>
                <w:rFonts w:hint="eastAsia"/>
              </w:rPr>
              <w:t>罐区三</w:t>
            </w:r>
          </w:p>
        </w:tc>
        <w:tc>
          <w:tcPr>
            <w:tcW w:w="890" w:type="dxa"/>
            <w:tcBorders>
              <w:top w:val="single" w:sz="4" w:space="0" w:color="auto"/>
              <w:left w:val="single" w:sz="4" w:space="0" w:color="auto"/>
              <w:right w:val="single" w:sz="4" w:space="0" w:color="auto"/>
            </w:tcBorders>
            <w:noWrap/>
            <w:vAlign w:val="center"/>
          </w:tcPr>
          <w:p w14:paraId="1D70ECE7" w14:textId="77777777" w:rsidR="00D170E5" w:rsidRPr="002B55E9" w:rsidRDefault="00EF27AD">
            <w:pPr>
              <w:pStyle w:val="lgy-"/>
            </w:pPr>
            <w:r w:rsidRPr="002B55E9">
              <w:t>63</w:t>
            </w:r>
          </w:p>
        </w:tc>
        <w:tc>
          <w:tcPr>
            <w:tcW w:w="1070" w:type="dxa"/>
            <w:tcBorders>
              <w:top w:val="single" w:sz="4" w:space="0" w:color="auto"/>
              <w:left w:val="single" w:sz="4" w:space="0" w:color="auto"/>
              <w:right w:val="single" w:sz="4" w:space="0" w:color="auto"/>
            </w:tcBorders>
            <w:noWrap/>
            <w:vAlign w:val="center"/>
          </w:tcPr>
          <w:p w14:paraId="103D24ED" w14:textId="77777777" w:rsidR="00D170E5" w:rsidRPr="002B55E9" w:rsidRDefault="00EF27AD">
            <w:pPr>
              <w:pStyle w:val="lgy-"/>
            </w:pPr>
            <w:r w:rsidRPr="002B55E9">
              <w:t>33</w:t>
            </w:r>
          </w:p>
        </w:tc>
        <w:tc>
          <w:tcPr>
            <w:tcW w:w="890" w:type="dxa"/>
            <w:tcBorders>
              <w:top w:val="single" w:sz="4" w:space="0" w:color="auto"/>
              <w:left w:val="single" w:sz="4" w:space="0" w:color="auto"/>
              <w:right w:val="single" w:sz="4" w:space="0" w:color="auto"/>
            </w:tcBorders>
            <w:noWrap/>
            <w:vAlign w:val="center"/>
          </w:tcPr>
          <w:p w14:paraId="14BE44C2" w14:textId="77777777" w:rsidR="00D170E5" w:rsidRPr="002B55E9" w:rsidRDefault="00EF27AD">
            <w:pPr>
              <w:pStyle w:val="lgy-"/>
            </w:pPr>
            <w:r w:rsidRPr="002B55E9">
              <w:t>12.5</w:t>
            </w:r>
          </w:p>
        </w:tc>
        <w:tc>
          <w:tcPr>
            <w:tcW w:w="1656" w:type="dxa"/>
            <w:tcBorders>
              <w:top w:val="single" w:sz="4" w:space="0" w:color="auto"/>
              <w:left w:val="single" w:sz="4" w:space="0" w:color="auto"/>
              <w:right w:val="single" w:sz="4" w:space="0" w:color="auto"/>
            </w:tcBorders>
            <w:noWrap/>
            <w:vAlign w:val="center"/>
          </w:tcPr>
          <w:p w14:paraId="626083D7" w14:textId="77777777" w:rsidR="00D170E5" w:rsidRPr="002B55E9" w:rsidRDefault="00EF27AD">
            <w:pPr>
              <w:pStyle w:val="lgy-"/>
            </w:pPr>
            <w:r w:rsidRPr="002B55E9">
              <w:rPr>
                <w:rFonts w:hint="eastAsia"/>
              </w:rPr>
              <w:t>8</w:t>
            </w:r>
            <w:r w:rsidRPr="002B55E9">
              <w:t>760</w:t>
            </w:r>
          </w:p>
        </w:tc>
        <w:tc>
          <w:tcPr>
            <w:tcW w:w="1231" w:type="dxa"/>
            <w:tcBorders>
              <w:top w:val="single" w:sz="4" w:space="0" w:color="auto"/>
              <w:left w:val="single" w:sz="4" w:space="0" w:color="auto"/>
              <w:bottom w:val="single" w:sz="12" w:space="0" w:color="auto"/>
              <w:right w:val="single" w:sz="4" w:space="0" w:color="auto"/>
            </w:tcBorders>
            <w:vAlign w:val="center"/>
          </w:tcPr>
          <w:p w14:paraId="2BAEC63E" w14:textId="503AC5E1" w:rsidR="00D170E5" w:rsidRPr="002B55E9" w:rsidRDefault="00924AFA">
            <w:pPr>
              <w:pStyle w:val="lgy-"/>
            </w:pPr>
            <w:r w:rsidRPr="002B55E9">
              <w:rPr>
                <w:rFonts w:hint="eastAsia"/>
              </w:rPr>
              <w:t>非甲烷总烃</w:t>
            </w:r>
          </w:p>
        </w:tc>
        <w:tc>
          <w:tcPr>
            <w:tcW w:w="1126" w:type="dxa"/>
            <w:tcBorders>
              <w:top w:val="single" w:sz="4" w:space="0" w:color="auto"/>
              <w:left w:val="single" w:sz="4" w:space="0" w:color="auto"/>
              <w:bottom w:val="single" w:sz="12" w:space="0" w:color="auto"/>
              <w:right w:val="single" w:sz="4" w:space="0" w:color="auto"/>
            </w:tcBorders>
            <w:vAlign w:val="center"/>
          </w:tcPr>
          <w:p w14:paraId="6AF80B04" w14:textId="77777777" w:rsidR="00D170E5" w:rsidRPr="002B55E9" w:rsidRDefault="00EF27AD">
            <w:pPr>
              <w:pStyle w:val="afffffff7"/>
              <w:spacing w:line="240" w:lineRule="auto"/>
              <w:jc w:val="center"/>
              <w:rPr>
                <w:rFonts w:eastAsia="等线"/>
                <w:sz w:val="18"/>
                <w:szCs w:val="18"/>
              </w:rPr>
            </w:pPr>
            <w:r w:rsidRPr="002B55E9">
              <w:rPr>
                <w:sz w:val="18"/>
                <w:szCs w:val="18"/>
              </w:rPr>
              <w:t>0.508</w:t>
            </w:r>
          </w:p>
        </w:tc>
        <w:tc>
          <w:tcPr>
            <w:tcW w:w="1126" w:type="dxa"/>
            <w:tcBorders>
              <w:top w:val="single" w:sz="4" w:space="0" w:color="auto"/>
              <w:left w:val="single" w:sz="4" w:space="0" w:color="auto"/>
              <w:bottom w:val="single" w:sz="12" w:space="0" w:color="auto"/>
              <w:right w:val="nil"/>
            </w:tcBorders>
            <w:vAlign w:val="center"/>
          </w:tcPr>
          <w:p w14:paraId="48CB9821" w14:textId="77777777" w:rsidR="00D170E5" w:rsidRPr="002B55E9" w:rsidRDefault="00EF27AD">
            <w:pPr>
              <w:pStyle w:val="afffffff7"/>
              <w:spacing w:line="240" w:lineRule="auto"/>
              <w:jc w:val="center"/>
              <w:rPr>
                <w:rFonts w:eastAsia="等线"/>
                <w:sz w:val="18"/>
                <w:szCs w:val="18"/>
              </w:rPr>
            </w:pPr>
            <w:r w:rsidRPr="002B55E9">
              <w:rPr>
                <w:sz w:val="18"/>
                <w:szCs w:val="18"/>
              </w:rPr>
              <w:t>0.058</w:t>
            </w:r>
          </w:p>
        </w:tc>
      </w:tr>
    </w:tbl>
    <w:p w14:paraId="76CE8B8B" w14:textId="77777777" w:rsidR="00D170E5" w:rsidRPr="002B55E9" w:rsidRDefault="00EF27AD">
      <w:pPr>
        <w:pStyle w:val="5"/>
      </w:pPr>
      <w:r w:rsidRPr="002B55E9">
        <w:rPr>
          <w:rFonts w:hint="eastAsia"/>
        </w:rPr>
        <w:t>酒精罐区呼吸废气</w:t>
      </w:r>
    </w:p>
    <w:p w14:paraId="6CCC4576" w14:textId="18EBFB99" w:rsidR="00D170E5" w:rsidRPr="002B55E9" w:rsidRDefault="00EF27AD">
      <w:pPr>
        <w:pStyle w:val="affff7"/>
        <w:snapToGrid w:val="0"/>
        <w:spacing w:after="0"/>
        <w:rPr>
          <w:kern w:val="2"/>
          <w:szCs w:val="22"/>
        </w:rPr>
      </w:pPr>
      <w:r w:rsidRPr="002B55E9">
        <w:rPr>
          <w:rFonts w:hint="eastAsia"/>
        </w:rPr>
        <w:t>本项目酒精罐区均为内浮顶储罐，用于乙醇的存储，在运行期间会产生储罐大小呼吸废气。</w:t>
      </w:r>
      <w:r w:rsidRPr="002B55E9">
        <w:rPr>
          <w:rFonts w:hint="eastAsia"/>
          <w:kern w:val="2"/>
          <w:szCs w:val="22"/>
        </w:rPr>
        <w:t>储罐大小呼吸废气按照《排污许可证申请与核发技术规范</w:t>
      </w:r>
      <w:r w:rsidRPr="002B55E9">
        <w:rPr>
          <w:rFonts w:hint="eastAsia"/>
          <w:kern w:val="2"/>
          <w:szCs w:val="22"/>
        </w:rPr>
        <w:t xml:space="preserve"> </w:t>
      </w:r>
      <w:r w:rsidRPr="002B55E9">
        <w:rPr>
          <w:rFonts w:hint="eastAsia"/>
          <w:kern w:val="2"/>
          <w:szCs w:val="22"/>
        </w:rPr>
        <w:t>石化工业》（</w:t>
      </w:r>
      <w:r w:rsidRPr="002B55E9">
        <w:rPr>
          <w:rFonts w:hint="eastAsia"/>
          <w:kern w:val="2"/>
          <w:szCs w:val="22"/>
        </w:rPr>
        <w:t>HJ 853</w:t>
      </w:r>
      <w:r w:rsidRPr="002B55E9">
        <w:rPr>
          <w:rFonts w:hint="eastAsia"/>
          <w:kern w:val="2"/>
          <w:szCs w:val="22"/>
        </w:rPr>
        <w:t>—</w:t>
      </w:r>
      <w:r w:rsidRPr="002B55E9">
        <w:rPr>
          <w:rFonts w:hint="eastAsia"/>
          <w:kern w:val="2"/>
          <w:szCs w:val="22"/>
        </w:rPr>
        <w:t>2017</w:t>
      </w:r>
      <w:r w:rsidRPr="002B55E9">
        <w:rPr>
          <w:rFonts w:hint="eastAsia"/>
          <w:kern w:val="2"/>
          <w:szCs w:val="22"/>
        </w:rPr>
        <w:t>）</w:t>
      </w:r>
      <w:r w:rsidRPr="002B55E9">
        <w:rPr>
          <w:rFonts w:hint="eastAsia"/>
          <w:kern w:val="2"/>
          <w:szCs w:val="22"/>
        </w:rPr>
        <w:t>5.2.3.1.3</w:t>
      </w:r>
      <w:r w:rsidRPr="002B55E9">
        <w:rPr>
          <w:rFonts w:hint="eastAsia"/>
          <w:kern w:val="2"/>
          <w:szCs w:val="22"/>
        </w:rPr>
        <w:t>节公式计算，源强核算方法为公式法，具体公式如下：</w:t>
      </w:r>
    </w:p>
    <w:p w14:paraId="7391A458" w14:textId="77777777" w:rsidR="00D170E5" w:rsidRPr="002B55E9" w:rsidRDefault="00EF27AD">
      <w:pPr>
        <w:pStyle w:val="affff7"/>
        <w:snapToGrid w:val="0"/>
        <w:spacing w:after="0"/>
      </w:pPr>
      <w:r w:rsidRPr="002B55E9">
        <w:rPr>
          <w:rFonts w:hint="eastAsia"/>
          <w:bCs w:val="0"/>
          <w:snapToGrid/>
          <w:kern w:val="2"/>
          <w:szCs w:val="22"/>
        </w:rPr>
        <w:t>内浮顶罐计算公式</w:t>
      </w:r>
    </w:p>
    <w:p w14:paraId="355AB423" w14:textId="77777777" w:rsidR="00D170E5" w:rsidRPr="002B55E9" w:rsidRDefault="00EF27AD">
      <w:pPr>
        <w:pStyle w:val="affff7"/>
        <w:snapToGrid w:val="0"/>
        <w:spacing w:after="0"/>
        <w:jc w:val="center"/>
      </w:pPr>
      <w:r w:rsidRPr="002B55E9">
        <w:rPr>
          <w:noProof/>
          <w:snapToGrid/>
        </w:rPr>
        <w:drawing>
          <wp:inline distT="0" distB="0" distL="0" distR="0" wp14:anchorId="69DE13D4" wp14:editId="07ABACAC">
            <wp:extent cx="2009140" cy="1527810"/>
            <wp:effectExtent l="0" t="0" r="0" b="0"/>
            <wp:docPr id="1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09140" cy="1527810"/>
                    </a:xfrm>
                    <a:prstGeom prst="rect">
                      <a:avLst/>
                    </a:prstGeom>
                    <a:noFill/>
                    <a:ln>
                      <a:noFill/>
                    </a:ln>
                  </pic:spPr>
                </pic:pic>
              </a:graphicData>
            </a:graphic>
          </wp:inline>
        </w:drawing>
      </w:r>
    </w:p>
    <w:p w14:paraId="73BD7967"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上述所列公式中符号解释见环办〔</w:t>
      </w:r>
      <w:r w:rsidRPr="002B55E9">
        <w:rPr>
          <w:rFonts w:hint="eastAsia"/>
          <w:kern w:val="2"/>
          <w:sz w:val="24"/>
          <w:szCs w:val="22"/>
        </w:rPr>
        <w:t>2015</w:t>
      </w:r>
      <w:r w:rsidRPr="002B55E9">
        <w:rPr>
          <w:rFonts w:hint="eastAsia"/>
          <w:kern w:val="2"/>
          <w:sz w:val="24"/>
          <w:szCs w:val="22"/>
        </w:rPr>
        <w:t>〕</w:t>
      </w:r>
      <w:r w:rsidRPr="002B55E9">
        <w:rPr>
          <w:rFonts w:hint="eastAsia"/>
          <w:kern w:val="2"/>
          <w:sz w:val="24"/>
          <w:szCs w:val="22"/>
        </w:rPr>
        <w:t>104</w:t>
      </w:r>
      <w:r w:rsidRPr="002B55E9">
        <w:rPr>
          <w:rFonts w:hint="eastAsia"/>
          <w:kern w:val="2"/>
          <w:sz w:val="24"/>
          <w:szCs w:val="22"/>
        </w:rPr>
        <w:t>号文中《石化行业</w:t>
      </w:r>
      <w:r w:rsidRPr="002B55E9">
        <w:rPr>
          <w:rFonts w:hint="eastAsia"/>
          <w:kern w:val="2"/>
          <w:sz w:val="24"/>
          <w:szCs w:val="22"/>
        </w:rPr>
        <w:t xml:space="preserve">VOCs </w:t>
      </w:r>
      <w:r w:rsidRPr="002B55E9">
        <w:rPr>
          <w:rFonts w:hint="eastAsia"/>
          <w:kern w:val="2"/>
          <w:sz w:val="24"/>
          <w:szCs w:val="22"/>
        </w:rPr>
        <w:t>污染源排查工作指南》。</w:t>
      </w:r>
    </w:p>
    <w:p w14:paraId="46E76AB0" w14:textId="77777777" w:rsidR="00D170E5" w:rsidRPr="002B55E9" w:rsidRDefault="00EF27AD">
      <w:pPr>
        <w:pStyle w:val="affff7"/>
        <w:snapToGrid w:val="0"/>
        <w:spacing w:after="0"/>
      </w:pPr>
      <w:r w:rsidRPr="002B55E9">
        <w:rPr>
          <w:rFonts w:hint="eastAsia"/>
          <w:bCs w:val="0"/>
          <w:snapToGrid/>
          <w:kern w:val="2"/>
          <w:szCs w:val="22"/>
        </w:rPr>
        <w:t>根据企业提供的各储罐参数，计算结果如下表</w:t>
      </w:r>
    </w:p>
    <w:p w14:paraId="36F4CEF6" w14:textId="77777777" w:rsidR="00D170E5" w:rsidRPr="002B55E9" w:rsidRDefault="00EF27AD">
      <w:pPr>
        <w:pStyle w:val="1f3"/>
        <w:spacing w:beforeLines="0" w:before="0"/>
      </w:pPr>
      <w:r w:rsidRPr="002B55E9">
        <w:rPr>
          <w:rFonts w:hint="eastAsia"/>
        </w:rPr>
        <w:t>表</w:t>
      </w:r>
      <w:r w:rsidRPr="002B55E9">
        <w:rPr>
          <w:rFonts w:hint="eastAsia"/>
        </w:rPr>
        <w:t>3-3-</w:t>
      </w:r>
      <w:r w:rsidRPr="002B55E9">
        <w:t>21</w:t>
      </w:r>
      <w:r w:rsidRPr="002B55E9">
        <w:rPr>
          <w:rFonts w:hint="eastAsia"/>
        </w:rPr>
        <w:t xml:space="preserve"> </w:t>
      </w:r>
      <w:r w:rsidRPr="002B55E9">
        <w:rPr>
          <w:rFonts w:hint="eastAsia"/>
        </w:rPr>
        <w:t>本项目内浮顶罐废气计算结果一览表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08"/>
        <w:gridCol w:w="808"/>
        <w:gridCol w:w="667"/>
        <w:gridCol w:w="407"/>
        <w:gridCol w:w="407"/>
        <w:gridCol w:w="505"/>
        <w:gridCol w:w="798"/>
        <w:gridCol w:w="798"/>
        <w:gridCol w:w="798"/>
        <w:gridCol w:w="798"/>
        <w:gridCol w:w="798"/>
        <w:gridCol w:w="700"/>
        <w:gridCol w:w="798"/>
        <w:gridCol w:w="948"/>
      </w:tblGrid>
      <w:tr w:rsidR="002B55E9" w:rsidRPr="002B55E9" w14:paraId="1EF7BDB7" w14:textId="77777777">
        <w:trPr>
          <w:trHeight w:val="283"/>
          <w:jc w:val="center"/>
        </w:trPr>
        <w:tc>
          <w:tcPr>
            <w:tcW w:w="4000" w:type="dxa"/>
            <w:gridSpan w:val="7"/>
            <w:shd w:val="clear" w:color="auto" w:fill="auto"/>
            <w:vAlign w:val="center"/>
          </w:tcPr>
          <w:p w14:paraId="68B471DB" w14:textId="77777777" w:rsidR="00D170E5" w:rsidRPr="002B55E9" w:rsidRDefault="00EF27AD">
            <w:pPr>
              <w:pStyle w:val="afffffff7"/>
              <w:spacing w:line="240" w:lineRule="auto"/>
              <w:jc w:val="center"/>
              <w:rPr>
                <w:sz w:val="18"/>
                <w:szCs w:val="18"/>
              </w:rPr>
            </w:pPr>
            <w:r w:rsidRPr="002B55E9">
              <w:rPr>
                <w:sz w:val="18"/>
                <w:szCs w:val="18"/>
              </w:rPr>
              <w:t>基本信息</w:t>
            </w:r>
          </w:p>
        </w:tc>
        <w:tc>
          <w:tcPr>
            <w:tcW w:w="798" w:type="dxa"/>
            <w:vMerge w:val="restart"/>
            <w:vAlign w:val="center"/>
          </w:tcPr>
          <w:p w14:paraId="6D80CB21" w14:textId="77777777" w:rsidR="00D170E5" w:rsidRPr="002B55E9" w:rsidRDefault="00EF27AD">
            <w:pPr>
              <w:pStyle w:val="afffffff7"/>
              <w:spacing w:line="240" w:lineRule="auto"/>
              <w:jc w:val="center"/>
              <w:rPr>
                <w:sz w:val="18"/>
                <w:szCs w:val="18"/>
              </w:rPr>
            </w:pPr>
            <w:r w:rsidRPr="002B55E9">
              <w:rPr>
                <w:rFonts w:hint="eastAsia"/>
                <w:sz w:val="18"/>
                <w:szCs w:val="18"/>
              </w:rPr>
              <w:t>边缘密封损耗</w:t>
            </w:r>
            <w:r w:rsidRPr="002B55E9">
              <w:rPr>
                <w:rFonts w:hint="eastAsia"/>
                <w:sz w:val="18"/>
                <w:szCs w:val="18"/>
              </w:rPr>
              <w:t>E</w:t>
            </w:r>
            <w:r w:rsidRPr="002B55E9">
              <w:rPr>
                <w:rFonts w:hint="eastAsia"/>
                <w:sz w:val="18"/>
                <w:szCs w:val="18"/>
                <w:vertAlign w:val="subscript"/>
              </w:rPr>
              <w:t>R</w:t>
            </w:r>
            <w:r w:rsidRPr="002B55E9">
              <w:rPr>
                <w:rFonts w:hint="eastAsia"/>
                <w:sz w:val="18"/>
                <w:szCs w:val="18"/>
              </w:rPr>
              <w:t>（</w:t>
            </w:r>
            <w:r w:rsidRPr="002B55E9">
              <w:rPr>
                <w:rFonts w:hint="eastAsia"/>
                <w:sz w:val="18"/>
                <w:szCs w:val="18"/>
              </w:rPr>
              <w:t>t/a</w:t>
            </w:r>
            <w:r w:rsidRPr="002B55E9">
              <w:rPr>
                <w:rFonts w:hint="eastAsia"/>
                <w:sz w:val="18"/>
                <w:szCs w:val="18"/>
              </w:rPr>
              <w:t>）</w:t>
            </w:r>
          </w:p>
        </w:tc>
        <w:tc>
          <w:tcPr>
            <w:tcW w:w="798" w:type="dxa"/>
            <w:vMerge w:val="restart"/>
            <w:vAlign w:val="center"/>
          </w:tcPr>
          <w:p w14:paraId="00FD9266" w14:textId="77777777" w:rsidR="00D170E5" w:rsidRPr="002B55E9" w:rsidRDefault="00EF27AD">
            <w:pPr>
              <w:pStyle w:val="afffffff7"/>
              <w:spacing w:line="240" w:lineRule="auto"/>
              <w:jc w:val="center"/>
              <w:rPr>
                <w:sz w:val="18"/>
                <w:szCs w:val="18"/>
              </w:rPr>
            </w:pPr>
            <w:r w:rsidRPr="002B55E9">
              <w:rPr>
                <w:rFonts w:hint="eastAsia"/>
                <w:sz w:val="18"/>
                <w:szCs w:val="18"/>
              </w:rPr>
              <w:t>工作损耗</w:t>
            </w:r>
            <w:r w:rsidRPr="002B55E9">
              <w:rPr>
                <w:rFonts w:hint="eastAsia"/>
                <w:sz w:val="18"/>
                <w:szCs w:val="18"/>
              </w:rPr>
              <w:t>E</w:t>
            </w:r>
            <w:r w:rsidRPr="002B55E9">
              <w:rPr>
                <w:rFonts w:hint="eastAsia"/>
                <w:sz w:val="18"/>
                <w:szCs w:val="18"/>
                <w:vertAlign w:val="subscript"/>
              </w:rPr>
              <w:t>WD</w:t>
            </w:r>
            <w:r w:rsidRPr="002B55E9">
              <w:rPr>
                <w:rFonts w:hint="eastAsia"/>
                <w:sz w:val="18"/>
                <w:szCs w:val="18"/>
              </w:rPr>
              <w:t>（</w:t>
            </w:r>
            <w:r w:rsidRPr="002B55E9">
              <w:rPr>
                <w:rFonts w:hint="eastAsia"/>
                <w:sz w:val="18"/>
                <w:szCs w:val="18"/>
              </w:rPr>
              <w:t>t/a</w:t>
            </w:r>
            <w:r w:rsidRPr="002B55E9">
              <w:rPr>
                <w:rFonts w:hint="eastAsia"/>
                <w:sz w:val="18"/>
                <w:szCs w:val="18"/>
              </w:rPr>
              <w:t>）</w:t>
            </w:r>
          </w:p>
        </w:tc>
        <w:tc>
          <w:tcPr>
            <w:tcW w:w="798" w:type="dxa"/>
            <w:vMerge w:val="restart"/>
            <w:vAlign w:val="center"/>
          </w:tcPr>
          <w:p w14:paraId="1AE60BA1" w14:textId="77777777" w:rsidR="00D170E5" w:rsidRPr="002B55E9" w:rsidRDefault="00EF27AD">
            <w:pPr>
              <w:pStyle w:val="afffffff7"/>
              <w:spacing w:line="240" w:lineRule="auto"/>
              <w:jc w:val="center"/>
              <w:rPr>
                <w:sz w:val="18"/>
                <w:szCs w:val="18"/>
              </w:rPr>
            </w:pPr>
            <w:r w:rsidRPr="002B55E9">
              <w:rPr>
                <w:rFonts w:hint="eastAsia"/>
                <w:sz w:val="18"/>
                <w:szCs w:val="18"/>
              </w:rPr>
              <w:t>浮盘附件损耗</w:t>
            </w:r>
            <w:r w:rsidRPr="002B55E9">
              <w:rPr>
                <w:rFonts w:hint="eastAsia"/>
                <w:sz w:val="18"/>
                <w:szCs w:val="18"/>
              </w:rPr>
              <w:t>E</w:t>
            </w:r>
            <w:r w:rsidRPr="002B55E9">
              <w:rPr>
                <w:rFonts w:hint="eastAsia"/>
                <w:sz w:val="18"/>
                <w:szCs w:val="18"/>
                <w:vertAlign w:val="subscript"/>
              </w:rPr>
              <w:t>F</w:t>
            </w:r>
            <w:r w:rsidRPr="002B55E9">
              <w:rPr>
                <w:rFonts w:hint="eastAsia"/>
                <w:sz w:val="18"/>
                <w:szCs w:val="18"/>
              </w:rPr>
              <w:t>（</w:t>
            </w:r>
            <w:r w:rsidRPr="002B55E9">
              <w:rPr>
                <w:rFonts w:hint="eastAsia"/>
                <w:sz w:val="18"/>
                <w:szCs w:val="18"/>
              </w:rPr>
              <w:t>t/a</w:t>
            </w:r>
            <w:r w:rsidRPr="002B55E9">
              <w:rPr>
                <w:rFonts w:hint="eastAsia"/>
                <w:sz w:val="18"/>
                <w:szCs w:val="18"/>
              </w:rPr>
              <w:t>）</w:t>
            </w:r>
          </w:p>
        </w:tc>
        <w:tc>
          <w:tcPr>
            <w:tcW w:w="798" w:type="dxa"/>
            <w:vMerge w:val="restart"/>
            <w:vAlign w:val="center"/>
          </w:tcPr>
          <w:p w14:paraId="0658D84A" w14:textId="77777777" w:rsidR="00D170E5" w:rsidRPr="002B55E9" w:rsidRDefault="00EF27AD">
            <w:pPr>
              <w:pStyle w:val="afffffff7"/>
              <w:spacing w:line="240" w:lineRule="auto"/>
              <w:jc w:val="center"/>
              <w:rPr>
                <w:sz w:val="18"/>
                <w:szCs w:val="18"/>
              </w:rPr>
            </w:pPr>
            <w:r w:rsidRPr="002B55E9">
              <w:rPr>
                <w:rFonts w:hint="eastAsia"/>
                <w:sz w:val="18"/>
                <w:szCs w:val="18"/>
              </w:rPr>
              <w:t>浮盘缝隙损耗</w:t>
            </w:r>
            <w:r w:rsidRPr="002B55E9">
              <w:rPr>
                <w:rFonts w:hint="eastAsia"/>
                <w:sz w:val="18"/>
                <w:szCs w:val="18"/>
              </w:rPr>
              <w:t>E</w:t>
            </w:r>
            <w:r w:rsidRPr="002B55E9">
              <w:rPr>
                <w:rFonts w:hint="eastAsia"/>
                <w:sz w:val="18"/>
                <w:szCs w:val="18"/>
                <w:vertAlign w:val="subscript"/>
              </w:rPr>
              <w:t>D</w:t>
            </w:r>
            <w:r w:rsidRPr="002B55E9">
              <w:rPr>
                <w:rFonts w:hint="eastAsia"/>
                <w:sz w:val="18"/>
                <w:szCs w:val="18"/>
              </w:rPr>
              <w:t>（</w:t>
            </w:r>
            <w:r w:rsidRPr="002B55E9">
              <w:rPr>
                <w:rFonts w:hint="eastAsia"/>
                <w:sz w:val="18"/>
                <w:szCs w:val="18"/>
              </w:rPr>
              <w:t>t/a</w:t>
            </w:r>
            <w:r w:rsidRPr="002B55E9">
              <w:rPr>
                <w:rFonts w:hint="eastAsia"/>
                <w:sz w:val="18"/>
                <w:szCs w:val="18"/>
              </w:rPr>
              <w:t>）</w:t>
            </w:r>
          </w:p>
        </w:tc>
        <w:tc>
          <w:tcPr>
            <w:tcW w:w="700" w:type="dxa"/>
            <w:vMerge w:val="restart"/>
            <w:vAlign w:val="center"/>
          </w:tcPr>
          <w:p w14:paraId="196E41B9" w14:textId="77777777" w:rsidR="00D170E5" w:rsidRPr="002B55E9" w:rsidRDefault="00EF27AD">
            <w:pPr>
              <w:pStyle w:val="afffffff7"/>
              <w:spacing w:line="240" w:lineRule="auto"/>
              <w:jc w:val="center"/>
              <w:rPr>
                <w:sz w:val="18"/>
                <w:szCs w:val="18"/>
              </w:rPr>
            </w:pPr>
            <w:r w:rsidRPr="002B55E9">
              <w:rPr>
                <w:rFonts w:hint="eastAsia"/>
                <w:sz w:val="18"/>
                <w:szCs w:val="18"/>
              </w:rPr>
              <w:t>运行时间（</w:t>
            </w:r>
            <w:r w:rsidRPr="002B55E9">
              <w:rPr>
                <w:rFonts w:hint="eastAsia"/>
                <w:sz w:val="18"/>
                <w:szCs w:val="18"/>
              </w:rPr>
              <w:t>h</w:t>
            </w:r>
            <w:r w:rsidRPr="002B55E9">
              <w:rPr>
                <w:rFonts w:hint="eastAsia"/>
                <w:sz w:val="18"/>
                <w:szCs w:val="18"/>
              </w:rPr>
              <w:t>）</w:t>
            </w:r>
          </w:p>
        </w:tc>
        <w:tc>
          <w:tcPr>
            <w:tcW w:w="798" w:type="dxa"/>
            <w:vMerge w:val="restart"/>
            <w:vAlign w:val="center"/>
          </w:tcPr>
          <w:p w14:paraId="35DC2632" w14:textId="77777777" w:rsidR="00D170E5" w:rsidRPr="002B55E9" w:rsidRDefault="00EF27AD">
            <w:pPr>
              <w:pStyle w:val="afffffff7"/>
              <w:spacing w:line="240" w:lineRule="auto"/>
              <w:jc w:val="center"/>
              <w:rPr>
                <w:sz w:val="18"/>
                <w:szCs w:val="18"/>
              </w:rPr>
            </w:pPr>
            <w:r w:rsidRPr="002B55E9">
              <w:rPr>
                <w:rFonts w:hint="eastAsia"/>
                <w:sz w:val="18"/>
                <w:szCs w:val="18"/>
              </w:rPr>
              <w:t>产生量（</w:t>
            </w:r>
            <w:r w:rsidRPr="002B55E9">
              <w:rPr>
                <w:rFonts w:hint="eastAsia"/>
                <w:sz w:val="18"/>
                <w:szCs w:val="18"/>
              </w:rPr>
              <w:t>t/a</w:t>
            </w:r>
            <w:r w:rsidRPr="002B55E9">
              <w:rPr>
                <w:rFonts w:hint="eastAsia"/>
                <w:sz w:val="18"/>
                <w:szCs w:val="18"/>
              </w:rPr>
              <w:t>）</w:t>
            </w:r>
          </w:p>
        </w:tc>
        <w:tc>
          <w:tcPr>
            <w:tcW w:w="948" w:type="dxa"/>
            <w:vMerge w:val="restart"/>
            <w:vAlign w:val="center"/>
          </w:tcPr>
          <w:p w14:paraId="59B20F09" w14:textId="77777777" w:rsidR="00D170E5" w:rsidRPr="002B55E9" w:rsidRDefault="00EF27AD">
            <w:pPr>
              <w:pStyle w:val="afffffff7"/>
              <w:spacing w:line="240" w:lineRule="auto"/>
              <w:jc w:val="center"/>
              <w:rPr>
                <w:sz w:val="18"/>
                <w:szCs w:val="18"/>
              </w:rPr>
            </w:pPr>
            <w:r w:rsidRPr="002B55E9">
              <w:rPr>
                <w:rFonts w:hint="eastAsia"/>
                <w:sz w:val="18"/>
                <w:szCs w:val="18"/>
              </w:rPr>
              <w:t>产生速率（</w:t>
            </w:r>
            <w:r w:rsidRPr="002B55E9">
              <w:rPr>
                <w:rFonts w:hint="eastAsia"/>
                <w:sz w:val="18"/>
                <w:szCs w:val="18"/>
              </w:rPr>
              <w:t>kg/h</w:t>
            </w:r>
            <w:r w:rsidRPr="002B55E9">
              <w:rPr>
                <w:rFonts w:hint="eastAsia"/>
                <w:sz w:val="18"/>
                <w:szCs w:val="18"/>
              </w:rPr>
              <w:t>）</w:t>
            </w:r>
          </w:p>
        </w:tc>
      </w:tr>
      <w:tr w:rsidR="002B55E9" w:rsidRPr="002B55E9" w14:paraId="6F357602" w14:textId="77777777">
        <w:trPr>
          <w:trHeight w:val="283"/>
          <w:jc w:val="center"/>
        </w:trPr>
        <w:tc>
          <w:tcPr>
            <w:tcW w:w="408" w:type="dxa"/>
            <w:tcBorders>
              <w:bottom w:val="single" w:sz="12" w:space="0" w:color="auto"/>
            </w:tcBorders>
            <w:shd w:val="clear" w:color="auto" w:fill="auto"/>
            <w:vAlign w:val="center"/>
          </w:tcPr>
          <w:p w14:paraId="2135C91C" w14:textId="77777777" w:rsidR="00D170E5" w:rsidRPr="002B55E9" w:rsidRDefault="00EF27AD">
            <w:pPr>
              <w:pStyle w:val="afffffff7"/>
              <w:spacing w:line="240" w:lineRule="auto"/>
              <w:jc w:val="center"/>
              <w:rPr>
                <w:sz w:val="18"/>
                <w:szCs w:val="18"/>
              </w:rPr>
            </w:pPr>
            <w:r w:rsidRPr="002B55E9">
              <w:rPr>
                <w:sz w:val="18"/>
                <w:szCs w:val="18"/>
              </w:rPr>
              <w:t>序号</w:t>
            </w:r>
          </w:p>
        </w:tc>
        <w:tc>
          <w:tcPr>
            <w:tcW w:w="808" w:type="dxa"/>
            <w:tcBorders>
              <w:bottom w:val="single" w:sz="12" w:space="0" w:color="auto"/>
            </w:tcBorders>
            <w:shd w:val="clear" w:color="auto" w:fill="auto"/>
            <w:vAlign w:val="center"/>
          </w:tcPr>
          <w:p w14:paraId="2770F06B" w14:textId="77777777" w:rsidR="00D170E5" w:rsidRPr="002B55E9" w:rsidRDefault="00EF27AD">
            <w:pPr>
              <w:pStyle w:val="afffffff7"/>
              <w:spacing w:line="240" w:lineRule="auto"/>
              <w:jc w:val="center"/>
              <w:rPr>
                <w:sz w:val="18"/>
                <w:szCs w:val="18"/>
              </w:rPr>
            </w:pPr>
            <w:r w:rsidRPr="002B55E9">
              <w:rPr>
                <w:rFonts w:hint="eastAsia"/>
                <w:sz w:val="18"/>
                <w:szCs w:val="18"/>
              </w:rPr>
              <w:t>储罐名称</w:t>
            </w:r>
          </w:p>
        </w:tc>
        <w:tc>
          <w:tcPr>
            <w:tcW w:w="667" w:type="dxa"/>
            <w:tcBorders>
              <w:bottom w:val="single" w:sz="12" w:space="0" w:color="auto"/>
            </w:tcBorders>
            <w:shd w:val="clear" w:color="auto" w:fill="auto"/>
            <w:vAlign w:val="center"/>
          </w:tcPr>
          <w:p w14:paraId="32C40A05" w14:textId="77777777" w:rsidR="00D170E5" w:rsidRPr="002B55E9" w:rsidRDefault="00EF27AD">
            <w:pPr>
              <w:pStyle w:val="afffffff7"/>
              <w:spacing w:line="240" w:lineRule="auto"/>
              <w:jc w:val="center"/>
              <w:rPr>
                <w:sz w:val="18"/>
                <w:szCs w:val="18"/>
              </w:rPr>
            </w:pPr>
            <w:r w:rsidRPr="002B55E9">
              <w:rPr>
                <w:rFonts w:hint="eastAsia"/>
                <w:sz w:val="18"/>
                <w:szCs w:val="18"/>
              </w:rPr>
              <w:t>储存物料</w:t>
            </w:r>
          </w:p>
        </w:tc>
        <w:tc>
          <w:tcPr>
            <w:tcW w:w="407" w:type="dxa"/>
            <w:tcBorders>
              <w:bottom w:val="single" w:sz="12" w:space="0" w:color="auto"/>
            </w:tcBorders>
            <w:shd w:val="clear" w:color="auto" w:fill="auto"/>
            <w:vAlign w:val="center"/>
          </w:tcPr>
          <w:p w14:paraId="25C130CB" w14:textId="77777777" w:rsidR="00D170E5" w:rsidRPr="002B55E9" w:rsidRDefault="00EF27AD">
            <w:pPr>
              <w:pStyle w:val="afffffff7"/>
              <w:spacing w:line="240" w:lineRule="auto"/>
              <w:jc w:val="center"/>
              <w:rPr>
                <w:sz w:val="18"/>
                <w:szCs w:val="18"/>
              </w:rPr>
            </w:pPr>
            <w:r w:rsidRPr="002B55E9">
              <w:rPr>
                <w:rFonts w:hint="eastAsia"/>
                <w:sz w:val="18"/>
                <w:szCs w:val="18"/>
              </w:rPr>
              <w:t>数量</w:t>
            </w:r>
          </w:p>
        </w:tc>
        <w:tc>
          <w:tcPr>
            <w:tcW w:w="407" w:type="dxa"/>
            <w:tcBorders>
              <w:bottom w:val="single" w:sz="12" w:space="0" w:color="auto"/>
            </w:tcBorders>
            <w:shd w:val="clear" w:color="auto" w:fill="auto"/>
            <w:vAlign w:val="center"/>
          </w:tcPr>
          <w:p w14:paraId="7F79A074" w14:textId="77777777" w:rsidR="00D170E5" w:rsidRPr="002B55E9" w:rsidRDefault="00EF27AD">
            <w:pPr>
              <w:pStyle w:val="afffffff7"/>
              <w:spacing w:line="240" w:lineRule="auto"/>
              <w:jc w:val="center"/>
              <w:rPr>
                <w:sz w:val="18"/>
                <w:szCs w:val="18"/>
              </w:rPr>
            </w:pPr>
            <w:r w:rsidRPr="002B55E9">
              <w:rPr>
                <w:rFonts w:hint="eastAsia"/>
                <w:sz w:val="18"/>
                <w:szCs w:val="18"/>
              </w:rPr>
              <w:t>罐型</w:t>
            </w:r>
          </w:p>
        </w:tc>
        <w:tc>
          <w:tcPr>
            <w:tcW w:w="505" w:type="dxa"/>
            <w:tcBorders>
              <w:top w:val="single" w:sz="4" w:space="0" w:color="auto"/>
              <w:bottom w:val="single" w:sz="12" w:space="0" w:color="auto"/>
            </w:tcBorders>
            <w:shd w:val="clear" w:color="auto" w:fill="auto"/>
            <w:vAlign w:val="center"/>
          </w:tcPr>
          <w:p w14:paraId="780D71A1" w14:textId="77777777" w:rsidR="00D170E5" w:rsidRPr="002B55E9" w:rsidRDefault="00EF27AD">
            <w:pPr>
              <w:pStyle w:val="afffffff7"/>
              <w:spacing w:line="240" w:lineRule="auto"/>
              <w:jc w:val="center"/>
              <w:rPr>
                <w:sz w:val="18"/>
                <w:szCs w:val="18"/>
              </w:rPr>
            </w:pPr>
            <w:r w:rsidRPr="002B55E9">
              <w:rPr>
                <w:sz w:val="18"/>
                <w:szCs w:val="18"/>
              </w:rPr>
              <w:t>容积</w:t>
            </w:r>
            <w:r w:rsidRPr="002B55E9">
              <w:rPr>
                <w:rFonts w:hint="eastAsia"/>
                <w:sz w:val="18"/>
                <w:szCs w:val="18"/>
              </w:rPr>
              <w:t>m</w:t>
            </w:r>
            <w:r w:rsidRPr="002B55E9">
              <w:rPr>
                <w:rFonts w:hint="eastAsia"/>
                <w:sz w:val="18"/>
                <w:szCs w:val="18"/>
                <w:vertAlign w:val="superscript"/>
              </w:rPr>
              <w:t>3</w:t>
            </w:r>
          </w:p>
        </w:tc>
        <w:tc>
          <w:tcPr>
            <w:tcW w:w="798" w:type="dxa"/>
            <w:tcBorders>
              <w:top w:val="single" w:sz="4" w:space="0" w:color="auto"/>
              <w:bottom w:val="single" w:sz="12" w:space="0" w:color="auto"/>
            </w:tcBorders>
            <w:vAlign w:val="center"/>
          </w:tcPr>
          <w:p w14:paraId="36CD387B" w14:textId="77777777" w:rsidR="00D170E5" w:rsidRPr="002B55E9" w:rsidRDefault="00EF27AD">
            <w:pPr>
              <w:pStyle w:val="afffffff7"/>
              <w:spacing w:line="240" w:lineRule="auto"/>
              <w:jc w:val="center"/>
              <w:rPr>
                <w:sz w:val="18"/>
                <w:szCs w:val="18"/>
              </w:rPr>
            </w:pPr>
            <w:r w:rsidRPr="002B55E9">
              <w:rPr>
                <w:sz w:val="18"/>
                <w:szCs w:val="18"/>
              </w:rPr>
              <w:t>年周转量</w:t>
            </w:r>
            <w:r w:rsidRPr="002B55E9">
              <w:rPr>
                <w:rFonts w:hint="eastAsia"/>
                <w:sz w:val="18"/>
                <w:szCs w:val="18"/>
              </w:rPr>
              <w:t>（</w:t>
            </w:r>
            <w:r w:rsidRPr="002B55E9">
              <w:rPr>
                <w:rFonts w:hint="eastAsia"/>
                <w:sz w:val="18"/>
                <w:szCs w:val="18"/>
              </w:rPr>
              <w:t>t/a</w:t>
            </w:r>
            <w:r w:rsidRPr="002B55E9">
              <w:rPr>
                <w:rFonts w:hint="eastAsia"/>
                <w:sz w:val="18"/>
                <w:szCs w:val="18"/>
              </w:rPr>
              <w:t>）</w:t>
            </w:r>
          </w:p>
        </w:tc>
        <w:tc>
          <w:tcPr>
            <w:tcW w:w="798" w:type="dxa"/>
            <w:vMerge/>
            <w:tcBorders>
              <w:bottom w:val="single" w:sz="12" w:space="0" w:color="auto"/>
            </w:tcBorders>
            <w:vAlign w:val="center"/>
          </w:tcPr>
          <w:p w14:paraId="79FC9E6C" w14:textId="77777777" w:rsidR="00D170E5" w:rsidRPr="002B55E9" w:rsidRDefault="00D170E5">
            <w:pPr>
              <w:pStyle w:val="afffffff7"/>
              <w:spacing w:line="240" w:lineRule="auto"/>
              <w:jc w:val="center"/>
              <w:rPr>
                <w:sz w:val="18"/>
                <w:szCs w:val="18"/>
              </w:rPr>
            </w:pPr>
          </w:p>
        </w:tc>
        <w:tc>
          <w:tcPr>
            <w:tcW w:w="798" w:type="dxa"/>
            <w:vMerge/>
            <w:tcBorders>
              <w:bottom w:val="single" w:sz="12" w:space="0" w:color="auto"/>
            </w:tcBorders>
            <w:vAlign w:val="center"/>
          </w:tcPr>
          <w:p w14:paraId="6B5689F8" w14:textId="77777777" w:rsidR="00D170E5" w:rsidRPr="002B55E9" w:rsidRDefault="00D170E5">
            <w:pPr>
              <w:pStyle w:val="afffffff7"/>
              <w:spacing w:line="240" w:lineRule="auto"/>
              <w:jc w:val="center"/>
              <w:rPr>
                <w:sz w:val="18"/>
                <w:szCs w:val="18"/>
              </w:rPr>
            </w:pPr>
          </w:p>
        </w:tc>
        <w:tc>
          <w:tcPr>
            <w:tcW w:w="798" w:type="dxa"/>
            <w:vMerge/>
            <w:tcBorders>
              <w:bottom w:val="single" w:sz="12" w:space="0" w:color="auto"/>
            </w:tcBorders>
            <w:vAlign w:val="center"/>
          </w:tcPr>
          <w:p w14:paraId="71F7EF4B" w14:textId="77777777" w:rsidR="00D170E5" w:rsidRPr="002B55E9" w:rsidRDefault="00D170E5">
            <w:pPr>
              <w:pStyle w:val="afffffff7"/>
              <w:spacing w:line="240" w:lineRule="auto"/>
              <w:jc w:val="center"/>
              <w:rPr>
                <w:sz w:val="18"/>
                <w:szCs w:val="18"/>
              </w:rPr>
            </w:pPr>
          </w:p>
        </w:tc>
        <w:tc>
          <w:tcPr>
            <w:tcW w:w="798" w:type="dxa"/>
            <w:vMerge/>
            <w:tcBorders>
              <w:bottom w:val="single" w:sz="12" w:space="0" w:color="auto"/>
            </w:tcBorders>
            <w:vAlign w:val="center"/>
          </w:tcPr>
          <w:p w14:paraId="4FA4085B" w14:textId="77777777" w:rsidR="00D170E5" w:rsidRPr="002B55E9" w:rsidRDefault="00D170E5">
            <w:pPr>
              <w:pStyle w:val="afffffff7"/>
              <w:spacing w:line="240" w:lineRule="auto"/>
              <w:jc w:val="center"/>
              <w:rPr>
                <w:sz w:val="18"/>
                <w:szCs w:val="18"/>
              </w:rPr>
            </w:pPr>
          </w:p>
        </w:tc>
        <w:tc>
          <w:tcPr>
            <w:tcW w:w="700" w:type="dxa"/>
            <w:vMerge/>
            <w:tcBorders>
              <w:bottom w:val="single" w:sz="12" w:space="0" w:color="auto"/>
            </w:tcBorders>
            <w:vAlign w:val="center"/>
          </w:tcPr>
          <w:p w14:paraId="62E16B7D" w14:textId="77777777" w:rsidR="00D170E5" w:rsidRPr="002B55E9" w:rsidRDefault="00D170E5">
            <w:pPr>
              <w:pStyle w:val="afffffff7"/>
              <w:spacing w:line="240" w:lineRule="auto"/>
              <w:jc w:val="center"/>
              <w:rPr>
                <w:sz w:val="18"/>
                <w:szCs w:val="18"/>
              </w:rPr>
            </w:pPr>
          </w:p>
        </w:tc>
        <w:tc>
          <w:tcPr>
            <w:tcW w:w="798" w:type="dxa"/>
            <w:vMerge/>
            <w:tcBorders>
              <w:bottom w:val="single" w:sz="12" w:space="0" w:color="auto"/>
            </w:tcBorders>
            <w:vAlign w:val="center"/>
          </w:tcPr>
          <w:p w14:paraId="7CE591D8" w14:textId="77777777" w:rsidR="00D170E5" w:rsidRPr="002B55E9" w:rsidRDefault="00D170E5">
            <w:pPr>
              <w:pStyle w:val="afffffff7"/>
              <w:spacing w:line="240" w:lineRule="auto"/>
              <w:jc w:val="center"/>
              <w:rPr>
                <w:sz w:val="18"/>
                <w:szCs w:val="18"/>
              </w:rPr>
            </w:pPr>
          </w:p>
        </w:tc>
        <w:tc>
          <w:tcPr>
            <w:tcW w:w="948" w:type="dxa"/>
            <w:vMerge/>
            <w:tcBorders>
              <w:bottom w:val="single" w:sz="12" w:space="0" w:color="auto"/>
            </w:tcBorders>
            <w:vAlign w:val="center"/>
          </w:tcPr>
          <w:p w14:paraId="0E18F9D7" w14:textId="77777777" w:rsidR="00D170E5" w:rsidRPr="002B55E9" w:rsidRDefault="00D170E5">
            <w:pPr>
              <w:pStyle w:val="afffffff7"/>
              <w:spacing w:line="240" w:lineRule="auto"/>
              <w:jc w:val="center"/>
              <w:rPr>
                <w:sz w:val="18"/>
                <w:szCs w:val="18"/>
              </w:rPr>
            </w:pPr>
          </w:p>
        </w:tc>
      </w:tr>
      <w:tr w:rsidR="00D170E5" w:rsidRPr="002B55E9" w14:paraId="1CCCD762" w14:textId="77777777">
        <w:trPr>
          <w:trHeight w:val="283"/>
          <w:jc w:val="center"/>
        </w:trPr>
        <w:tc>
          <w:tcPr>
            <w:tcW w:w="408" w:type="dxa"/>
            <w:tcBorders>
              <w:top w:val="single" w:sz="4" w:space="0" w:color="auto"/>
            </w:tcBorders>
            <w:shd w:val="clear" w:color="auto" w:fill="auto"/>
            <w:vAlign w:val="center"/>
          </w:tcPr>
          <w:p w14:paraId="70FD20D0" w14:textId="77777777" w:rsidR="00D170E5" w:rsidRPr="002B55E9" w:rsidRDefault="00EF27AD">
            <w:pPr>
              <w:pStyle w:val="afffffff7"/>
              <w:spacing w:line="240" w:lineRule="auto"/>
              <w:jc w:val="center"/>
              <w:rPr>
                <w:sz w:val="18"/>
                <w:szCs w:val="18"/>
              </w:rPr>
            </w:pPr>
            <w:r w:rsidRPr="002B55E9">
              <w:rPr>
                <w:rFonts w:hint="eastAsia"/>
                <w:sz w:val="18"/>
                <w:szCs w:val="18"/>
              </w:rPr>
              <w:t>1</w:t>
            </w:r>
          </w:p>
        </w:tc>
        <w:tc>
          <w:tcPr>
            <w:tcW w:w="808" w:type="dxa"/>
            <w:tcBorders>
              <w:top w:val="single" w:sz="4" w:space="0" w:color="auto"/>
            </w:tcBorders>
            <w:shd w:val="clear" w:color="auto" w:fill="auto"/>
            <w:vAlign w:val="center"/>
          </w:tcPr>
          <w:p w14:paraId="39E0AF98" w14:textId="77777777" w:rsidR="00D170E5" w:rsidRPr="002B55E9" w:rsidRDefault="00EF27AD">
            <w:pPr>
              <w:pStyle w:val="afffffff7"/>
              <w:spacing w:line="240" w:lineRule="auto"/>
              <w:jc w:val="center"/>
              <w:rPr>
                <w:sz w:val="18"/>
                <w:szCs w:val="18"/>
              </w:rPr>
            </w:pPr>
            <w:r w:rsidRPr="002B55E9">
              <w:rPr>
                <w:rFonts w:hint="eastAsia"/>
                <w:sz w:val="18"/>
                <w:szCs w:val="18"/>
              </w:rPr>
              <w:t>酒精储罐</w:t>
            </w:r>
          </w:p>
        </w:tc>
        <w:tc>
          <w:tcPr>
            <w:tcW w:w="667" w:type="dxa"/>
            <w:tcBorders>
              <w:top w:val="single" w:sz="4" w:space="0" w:color="auto"/>
            </w:tcBorders>
            <w:shd w:val="clear" w:color="auto" w:fill="auto"/>
            <w:vAlign w:val="center"/>
          </w:tcPr>
          <w:p w14:paraId="7BBD2093" w14:textId="77777777" w:rsidR="00D170E5" w:rsidRPr="002B55E9" w:rsidRDefault="00EF27AD">
            <w:pPr>
              <w:pStyle w:val="afffffff7"/>
              <w:spacing w:line="240" w:lineRule="auto"/>
              <w:jc w:val="center"/>
              <w:rPr>
                <w:sz w:val="18"/>
                <w:szCs w:val="18"/>
              </w:rPr>
            </w:pPr>
            <w:r w:rsidRPr="002B55E9">
              <w:rPr>
                <w:rFonts w:hint="eastAsia"/>
                <w:sz w:val="18"/>
                <w:szCs w:val="18"/>
              </w:rPr>
              <w:t>30</w:t>
            </w:r>
            <w:r w:rsidRPr="002B55E9">
              <w:rPr>
                <w:sz w:val="18"/>
                <w:szCs w:val="18"/>
              </w:rPr>
              <w:t>%</w:t>
            </w:r>
            <w:r w:rsidRPr="002B55E9">
              <w:rPr>
                <w:rFonts w:hint="eastAsia"/>
                <w:sz w:val="18"/>
                <w:szCs w:val="18"/>
              </w:rPr>
              <w:t>乙醇</w:t>
            </w:r>
          </w:p>
        </w:tc>
        <w:tc>
          <w:tcPr>
            <w:tcW w:w="407" w:type="dxa"/>
            <w:tcBorders>
              <w:top w:val="single" w:sz="4" w:space="0" w:color="auto"/>
            </w:tcBorders>
            <w:shd w:val="clear" w:color="auto" w:fill="auto"/>
            <w:vAlign w:val="center"/>
          </w:tcPr>
          <w:p w14:paraId="219796BF" w14:textId="77777777" w:rsidR="00D170E5" w:rsidRPr="002B55E9" w:rsidRDefault="00EF27AD">
            <w:pPr>
              <w:pStyle w:val="afffffff7"/>
              <w:spacing w:line="240" w:lineRule="auto"/>
              <w:jc w:val="center"/>
              <w:rPr>
                <w:sz w:val="18"/>
                <w:szCs w:val="18"/>
              </w:rPr>
            </w:pPr>
            <w:r w:rsidRPr="002B55E9">
              <w:rPr>
                <w:rFonts w:hint="eastAsia"/>
                <w:sz w:val="18"/>
                <w:szCs w:val="18"/>
              </w:rPr>
              <w:t>4</w:t>
            </w:r>
          </w:p>
        </w:tc>
        <w:tc>
          <w:tcPr>
            <w:tcW w:w="407" w:type="dxa"/>
            <w:tcBorders>
              <w:top w:val="single" w:sz="4" w:space="0" w:color="auto"/>
            </w:tcBorders>
            <w:shd w:val="clear" w:color="auto" w:fill="auto"/>
            <w:vAlign w:val="center"/>
          </w:tcPr>
          <w:p w14:paraId="4F7EF43A" w14:textId="77777777" w:rsidR="00D170E5" w:rsidRPr="002B55E9" w:rsidRDefault="00EF27AD">
            <w:pPr>
              <w:pStyle w:val="afffffff7"/>
              <w:spacing w:line="240" w:lineRule="auto"/>
              <w:jc w:val="center"/>
              <w:rPr>
                <w:sz w:val="18"/>
                <w:szCs w:val="18"/>
              </w:rPr>
            </w:pPr>
            <w:r w:rsidRPr="002B55E9">
              <w:rPr>
                <w:rFonts w:hint="eastAsia"/>
                <w:sz w:val="18"/>
                <w:szCs w:val="18"/>
              </w:rPr>
              <w:t>内浮顶</w:t>
            </w:r>
          </w:p>
        </w:tc>
        <w:tc>
          <w:tcPr>
            <w:tcW w:w="505" w:type="dxa"/>
            <w:tcBorders>
              <w:top w:val="single" w:sz="4" w:space="0" w:color="auto"/>
            </w:tcBorders>
            <w:shd w:val="clear" w:color="auto" w:fill="auto"/>
            <w:vAlign w:val="center"/>
          </w:tcPr>
          <w:p w14:paraId="546C42EA" w14:textId="77777777" w:rsidR="00D170E5" w:rsidRPr="002B55E9" w:rsidRDefault="00EF27AD">
            <w:pPr>
              <w:pStyle w:val="afffffff7"/>
              <w:spacing w:line="240" w:lineRule="auto"/>
              <w:jc w:val="center"/>
              <w:rPr>
                <w:sz w:val="18"/>
                <w:szCs w:val="18"/>
              </w:rPr>
            </w:pPr>
            <w:r w:rsidRPr="002B55E9">
              <w:rPr>
                <w:rFonts w:hint="eastAsia"/>
                <w:sz w:val="18"/>
                <w:szCs w:val="18"/>
              </w:rPr>
              <w:t>2</w:t>
            </w:r>
            <w:r w:rsidRPr="002B55E9">
              <w:rPr>
                <w:sz w:val="18"/>
                <w:szCs w:val="18"/>
              </w:rPr>
              <w:t>60</w:t>
            </w:r>
          </w:p>
        </w:tc>
        <w:tc>
          <w:tcPr>
            <w:tcW w:w="798" w:type="dxa"/>
            <w:tcBorders>
              <w:top w:val="single" w:sz="4" w:space="0" w:color="auto"/>
            </w:tcBorders>
            <w:vAlign w:val="center"/>
          </w:tcPr>
          <w:p w14:paraId="584FEFC9" w14:textId="77777777" w:rsidR="00D170E5" w:rsidRPr="002B55E9" w:rsidRDefault="00EF27AD">
            <w:pPr>
              <w:pStyle w:val="afffffff7"/>
              <w:spacing w:line="240" w:lineRule="auto"/>
              <w:jc w:val="center"/>
              <w:rPr>
                <w:sz w:val="18"/>
                <w:szCs w:val="18"/>
              </w:rPr>
            </w:pPr>
            <w:r w:rsidRPr="002B55E9">
              <w:rPr>
                <w:sz w:val="18"/>
                <w:szCs w:val="18"/>
              </w:rPr>
              <w:t>68352</w:t>
            </w:r>
          </w:p>
        </w:tc>
        <w:tc>
          <w:tcPr>
            <w:tcW w:w="798" w:type="dxa"/>
            <w:tcBorders>
              <w:top w:val="single" w:sz="4" w:space="0" w:color="auto"/>
            </w:tcBorders>
            <w:vAlign w:val="center"/>
          </w:tcPr>
          <w:p w14:paraId="0DAED7A0" w14:textId="77777777" w:rsidR="00D170E5" w:rsidRPr="002B55E9" w:rsidRDefault="00EF27AD">
            <w:pPr>
              <w:pStyle w:val="afffffff7"/>
              <w:spacing w:line="240" w:lineRule="auto"/>
              <w:jc w:val="center"/>
              <w:rPr>
                <w:sz w:val="18"/>
                <w:szCs w:val="18"/>
              </w:rPr>
            </w:pPr>
            <w:r w:rsidRPr="002B55E9">
              <w:rPr>
                <w:rFonts w:hint="eastAsia"/>
                <w:sz w:val="18"/>
                <w:szCs w:val="18"/>
              </w:rPr>
              <w:t>0.0179</w:t>
            </w:r>
          </w:p>
        </w:tc>
        <w:tc>
          <w:tcPr>
            <w:tcW w:w="798" w:type="dxa"/>
            <w:tcBorders>
              <w:top w:val="single" w:sz="4" w:space="0" w:color="auto"/>
            </w:tcBorders>
            <w:vAlign w:val="center"/>
          </w:tcPr>
          <w:p w14:paraId="0792D44B" w14:textId="77777777" w:rsidR="00D170E5" w:rsidRPr="002B55E9" w:rsidRDefault="00EF27AD">
            <w:pPr>
              <w:pStyle w:val="afffffff7"/>
              <w:spacing w:line="240" w:lineRule="auto"/>
              <w:jc w:val="center"/>
              <w:rPr>
                <w:sz w:val="18"/>
                <w:szCs w:val="18"/>
              </w:rPr>
            </w:pPr>
            <w:r w:rsidRPr="002B55E9">
              <w:rPr>
                <w:rFonts w:hint="eastAsia"/>
                <w:sz w:val="18"/>
                <w:szCs w:val="18"/>
              </w:rPr>
              <w:t>0.1</w:t>
            </w:r>
            <w:r w:rsidRPr="002B55E9">
              <w:rPr>
                <w:sz w:val="18"/>
                <w:szCs w:val="18"/>
              </w:rPr>
              <w:t>60</w:t>
            </w:r>
          </w:p>
        </w:tc>
        <w:tc>
          <w:tcPr>
            <w:tcW w:w="798" w:type="dxa"/>
            <w:tcBorders>
              <w:top w:val="single" w:sz="4" w:space="0" w:color="auto"/>
            </w:tcBorders>
            <w:vAlign w:val="center"/>
          </w:tcPr>
          <w:p w14:paraId="26E6F972" w14:textId="77777777" w:rsidR="00D170E5" w:rsidRPr="002B55E9" w:rsidRDefault="00EF27AD">
            <w:pPr>
              <w:pStyle w:val="afffffff7"/>
              <w:spacing w:line="240" w:lineRule="auto"/>
              <w:jc w:val="center"/>
              <w:rPr>
                <w:sz w:val="18"/>
                <w:szCs w:val="18"/>
              </w:rPr>
            </w:pPr>
            <w:r w:rsidRPr="002B55E9">
              <w:rPr>
                <w:rFonts w:hint="eastAsia"/>
                <w:sz w:val="18"/>
                <w:szCs w:val="18"/>
              </w:rPr>
              <w:t>0.049</w:t>
            </w:r>
          </w:p>
        </w:tc>
        <w:tc>
          <w:tcPr>
            <w:tcW w:w="798" w:type="dxa"/>
            <w:tcBorders>
              <w:top w:val="single" w:sz="4" w:space="0" w:color="auto"/>
            </w:tcBorders>
            <w:vAlign w:val="center"/>
          </w:tcPr>
          <w:p w14:paraId="05FC46BC" w14:textId="77777777" w:rsidR="00D170E5" w:rsidRPr="002B55E9" w:rsidRDefault="00EF27AD">
            <w:pPr>
              <w:pStyle w:val="afffffff7"/>
              <w:spacing w:line="240" w:lineRule="auto"/>
              <w:jc w:val="center"/>
              <w:rPr>
                <w:sz w:val="18"/>
                <w:szCs w:val="18"/>
              </w:rPr>
            </w:pPr>
            <w:r w:rsidRPr="002B55E9">
              <w:rPr>
                <w:rFonts w:hint="eastAsia"/>
                <w:sz w:val="18"/>
                <w:szCs w:val="18"/>
              </w:rPr>
              <w:t>0.163</w:t>
            </w:r>
          </w:p>
        </w:tc>
        <w:tc>
          <w:tcPr>
            <w:tcW w:w="700" w:type="dxa"/>
            <w:tcBorders>
              <w:top w:val="single" w:sz="4" w:space="0" w:color="auto"/>
            </w:tcBorders>
            <w:vAlign w:val="center"/>
          </w:tcPr>
          <w:p w14:paraId="3A32563D" w14:textId="77777777" w:rsidR="00D170E5" w:rsidRPr="002B55E9" w:rsidRDefault="00EF27AD">
            <w:pPr>
              <w:pStyle w:val="afffffff7"/>
              <w:spacing w:line="240" w:lineRule="auto"/>
              <w:jc w:val="center"/>
              <w:rPr>
                <w:sz w:val="18"/>
                <w:szCs w:val="18"/>
              </w:rPr>
            </w:pPr>
            <w:r w:rsidRPr="002B55E9">
              <w:rPr>
                <w:rFonts w:hint="eastAsia"/>
                <w:sz w:val="18"/>
                <w:szCs w:val="18"/>
              </w:rPr>
              <w:t>8760</w:t>
            </w:r>
          </w:p>
        </w:tc>
        <w:tc>
          <w:tcPr>
            <w:tcW w:w="798" w:type="dxa"/>
            <w:tcBorders>
              <w:top w:val="single" w:sz="4" w:space="0" w:color="auto"/>
            </w:tcBorders>
            <w:vAlign w:val="center"/>
          </w:tcPr>
          <w:p w14:paraId="382347FD" w14:textId="77777777" w:rsidR="00D170E5" w:rsidRPr="002B55E9" w:rsidRDefault="00EF27AD">
            <w:pPr>
              <w:pStyle w:val="afffffff7"/>
              <w:spacing w:line="240" w:lineRule="auto"/>
              <w:jc w:val="center"/>
              <w:rPr>
                <w:sz w:val="18"/>
                <w:szCs w:val="18"/>
              </w:rPr>
            </w:pPr>
            <w:r w:rsidRPr="002B55E9">
              <w:rPr>
                <w:rFonts w:hint="eastAsia"/>
                <w:sz w:val="18"/>
                <w:szCs w:val="18"/>
              </w:rPr>
              <w:t>0.3</w:t>
            </w:r>
            <w:r w:rsidRPr="002B55E9">
              <w:rPr>
                <w:sz w:val="18"/>
                <w:szCs w:val="18"/>
              </w:rPr>
              <w:t>90</w:t>
            </w:r>
          </w:p>
        </w:tc>
        <w:tc>
          <w:tcPr>
            <w:tcW w:w="948" w:type="dxa"/>
            <w:tcBorders>
              <w:top w:val="single" w:sz="4" w:space="0" w:color="auto"/>
            </w:tcBorders>
            <w:vAlign w:val="center"/>
          </w:tcPr>
          <w:p w14:paraId="3C8D88FB" w14:textId="77777777" w:rsidR="00D170E5" w:rsidRPr="002B55E9" w:rsidRDefault="00EF27AD">
            <w:pPr>
              <w:pStyle w:val="afffffff7"/>
              <w:spacing w:line="240" w:lineRule="auto"/>
              <w:jc w:val="center"/>
              <w:rPr>
                <w:sz w:val="18"/>
                <w:szCs w:val="18"/>
              </w:rPr>
            </w:pPr>
            <w:r w:rsidRPr="002B55E9">
              <w:rPr>
                <w:rFonts w:hint="eastAsia"/>
                <w:sz w:val="18"/>
                <w:szCs w:val="18"/>
              </w:rPr>
              <w:t>0.042</w:t>
            </w:r>
          </w:p>
        </w:tc>
      </w:tr>
    </w:tbl>
    <w:p w14:paraId="19DF9D15" w14:textId="77777777" w:rsidR="00B622DC" w:rsidRPr="002B55E9" w:rsidRDefault="00B622DC">
      <w:pPr>
        <w:pStyle w:val="1f3"/>
        <w:spacing w:beforeLines="0" w:before="0"/>
      </w:pPr>
    </w:p>
    <w:p w14:paraId="35749D72" w14:textId="77777777" w:rsidR="00B622DC" w:rsidRPr="002B55E9" w:rsidRDefault="00B622DC">
      <w:pPr>
        <w:pStyle w:val="1f3"/>
        <w:spacing w:beforeLines="0" w:before="0"/>
      </w:pPr>
    </w:p>
    <w:p w14:paraId="3EBFEF50" w14:textId="77777777" w:rsidR="00B622DC" w:rsidRPr="002B55E9" w:rsidRDefault="00B622DC">
      <w:pPr>
        <w:pStyle w:val="1f3"/>
        <w:spacing w:beforeLines="0" w:before="0"/>
      </w:pPr>
    </w:p>
    <w:p w14:paraId="796F880A" w14:textId="74821DD8" w:rsidR="00D170E5" w:rsidRPr="002B55E9" w:rsidRDefault="00EF27AD">
      <w:pPr>
        <w:pStyle w:val="1f3"/>
        <w:spacing w:beforeLines="0" w:before="0"/>
      </w:pPr>
      <w:r w:rsidRPr="002B55E9">
        <w:rPr>
          <w:rFonts w:hint="eastAsia"/>
        </w:rPr>
        <w:t>表</w:t>
      </w:r>
      <w:r w:rsidRPr="002B55E9">
        <w:rPr>
          <w:rFonts w:hint="eastAsia"/>
        </w:rPr>
        <w:t>3</w:t>
      </w:r>
      <w:r w:rsidRPr="002B55E9">
        <w:t xml:space="preserve">-3-22  </w:t>
      </w:r>
      <w:r w:rsidRPr="002B55E9">
        <w:rPr>
          <w:rFonts w:hint="eastAsia"/>
        </w:rPr>
        <w:t>酒精</w:t>
      </w:r>
      <w:r w:rsidRPr="002B55E9">
        <w:t>罐区</w:t>
      </w:r>
      <w:r w:rsidRPr="002B55E9">
        <w:rPr>
          <w:rFonts w:hint="eastAsia"/>
        </w:rPr>
        <w:t>储罐无组织废气排放情况一览表</w:t>
      </w:r>
    </w:p>
    <w:tbl>
      <w:tblPr>
        <w:tblW w:w="9638"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9"/>
        <w:gridCol w:w="890"/>
        <w:gridCol w:w="1070"/>
        <w:gridCol w:w="890"/>
        <w:gridCol w:w="1656"/>
        <w:gridCol w:w="1231"/>
        <w:gridCol w:w="1126"/>
        <w:gridCol w:w="1126"/>
      </w:tblGrid>
      <w:tr w:rsidR="002B55E9" w:rsidRPr="002B55E9" w14:paraId="2C6A96FF" w14:textId="77777777">
        <w:trPr>
          <w:trHeight w:val="283"/>
        </w:trPr>
        <w:tc>
          <w:tcPr>
            <w:tcW w:w="1649" w:type="dxa"/>
            <w:vMerge w:val="restart"/>
            <w:tcBorders>
              <w:top w:val="single" w:sz="12" w:space="0" w:color="auto"/>
              <w:left w:val="nil"/>
              <w:bottom w:val="single" w:sz="4" w:space="0" w:color="auto"/>
              <w:right w:val="single" w:sz="4" w:space="0" w:color="auto"/>
            </w:tcBorders>
            <w:noWrap/>
            <w:vAlign w:val="center"/>
          </w:tcPr>
          <w:p w14:paraId="46C2E5BD" w14:textId="77777777" w:rsidR="00D170E5" w:rsidRPr="002B55E9" w:rsidRDefault="00EF27AD">
            <w:pPr>
              <w:pStyle w:val="lgy-"/>
            </w:pPr>
            <w:r w:rsidRPr="002B55E9">
              <w:rPr>
                <w:rFonts w:hint="eastAsia"/>
              </w:rPr>
              <w:t>厂房名称</w:t>
            </w:r>
          </w:p>
        </w:tc>
        <w:tc>
          <w:tcPr>
            <w:tcW w:w="4506" w:type="dxa"/>
            <w:gridSpan w:val="4"/>
            <w:tcBorders>
              <w:top w:val="single" w:sz="12" w:space="0" w:color="auto"/>
              <w:left w:val="single" w:sz="4" w:space="0" w:color="auto"/>
              <w:bottom w:val="single" w:sz="12" w:space="0" w:color="auto"/>
              <w:right w:val="single" w:sz="4" w:space="0" w:color="auto"/>
            </w:tcBorders>
            <w:noWrap/>
            <w:vAlign w:val="center"/>
          </w:tcPr>
          <w:p w14:paraId="3DF4521C" w14:textId="77777777" w:rsidR="00D170E5" w:rsidRPr="002B55E9" w:rsidRDefault="00EF27AD">
            <w:pPr>
              <w:pStyle w:val="lgy-"/>
            </w:pPr>
            <w:r w:rsidRPr="002B55E9">
              <w:rPr>
                <w:rFonts w:hint="eastAsia"/>
              </w:rPr>
              <w:t>排放参数</w:t>
            </w:r>
          </w:p>
        </w:tc>
        <w:tc>
          <w:tcPr>
            <w:tcW w:w="3483" w:type="dxa"/>
            <w:gridSpan w:val="3"/>
            <w:tcBorders>
              <w:top w:val="single" w:sz="12" w:space="0" w:color="auto"/>
              <w:left w:val="single" w:sz="4" w:space="0" w:color="auto"/>
              <w:bottom w:val="single" w:sz="12" w:space="0" w:color="auto"/>
              <w:right w:val="nil"/>
            </w:tcBorders>
            <w:noWrap/>
            <w:vAlign w:val="center"/>
          </w:tcPr>
          <w:p w14:paraId="60FEDCD4" w14:textId="77777777" w:rsidR="00D170E5" w:rsidRPr="002B55E9" w:rsidRDefault="00EF27AD">
            <w:pPr>
              <w:pStyle w:val="lgy-"/>
            </w:pPr>
            <w:r w:rsidRPr="002B55E9">
              <w:rPr>
                <w:rFonts w:hint="eastAsia"/>
              </w:rPr>
              <w:t>无组织排放情况</w:t>
            </w:r>
          </w:p>
        </w:tc>
      </w:tr>
      <w:tr w:rsidR="002B55E9" w:rsidRPr="002B55E9" w14:paraId="30568EA1" w14:textId="77777777">
        <w:trPr>
          <w:trHeight w:val="283"/>
        </w:trPr>
        <w:tc>
          <w:tcPr>
            <w:tcW w:w="1649" w:type="dxa"/>
            <w:vMerge/>
            <w:tcBorders>
              <w:top w:val="single" w:sz="12" w:space="0" w:color="auto"/>
              <w:left w:val="nil"/>
              <w:bottom w:val="single" w:sz="4" w:space="0" w:color="auto"/>
              <w:right w:val="single" w:sz="4" w:space="0" w:color="auto"/>
            </w:tcBorders>
            <w:vAlign w:val="center"/>
          </w:tcPr>
          <w:p w14:paraId="102F7048" w14:textId="77777777" w:rsidR="00D170E5" w:rsidRPr="002B55E9" w:rsidRDefault="00D170E5">
            <w:pPr>
              <w:widowControl/>
              <w:jc w:val="left"/>
              <w:rPr>
                <w:bCs/>
                <w:sz w:val="18"/>
                <w:szCs w:val="18"/>
              </w:rPr>
            </w:pPr>
          </w:p>
        </w:tc>
        <w:tc>
          <w:tcPr>
            <w:tcW w:w="890" w:type="dxa"/>
            <w:tcBorders>
              <w:top w:val="single" w:sz="4" w:space="0" w:color="auto"/>
              <w:left w:val="single" w:sz="4" w:space="0" w:color="auto"/>
              <w:bottom w:val="single" w:sz="4" w:space="0" w:color="auto"/>
              <w:right w:val="single" w:sz="4" w:space="0" w:color="auto"/>
            </w:tcBorders>
            <w:noWrap/>
            <w:vAlign w:val="center"/>
          </w:tcPr>
          <w:p w14:paraId="06F3441D" w14:textId="77777777" w:rsidR="00D170E5" w:rsidRPr="002B55E9" w:rsidRDefault="00EF27AD">
            <w:pPr>
              <w:pStyle w:val="lgy-"/>
            </w:pPr>
            <w:r w:rsidRPr="002B55E9">
              <w:rPr>
                <w:rFonts w:hint="eastAsia"/>
              </w:rPr>
              <w:t>长度</w:t>
            </w:r>
            <w:r w:rsidRPr="002B55E9">
              <w:t>m</w:t>
            </w:r>
          </w:p>
        </w:tc>
        <w:tc>
          <w:tcPr>
            <w:tcW w:w="1070" w:type="dxa"/>
            <w:tcBorders>
              <w:top w:val="single" w:sz="4" w:space="0" w:color="auto"/>
              <w:left w:val="single" w:sz="4" w:space="0" w:color="auto"/>
              <w:bottom w:val="single" w:sz="4" w:space="0" w:color="auto"/>
              <w:right w:val="single" w:sz="4" w:space="0" w:color="auto"/>
            </w:tcBorders>
            <w:vAlign w:val="center"/>
          </w:tcPr>
          <w:p w14:paraId="3D88CABA" w14:textId="77777777" w:rsidR="00D170E5" w:rsidRPr="002B55E9" w:rsidRDefault="00EF27AD">
            <w:pPr>
              <w:pStyle w:val="lgy-"/>
            </w:pPr>
            <w:r w:rsidRPr="002B55E9">
              <w:rPr>
                <w:rFonts w:hint="eastAsia"/>
              </w:rPr>
              <w:t>宽度</w:t>
            </w:r>
            <w:r w:rsidRPr="002B55E9">
              <w:t>m</w:t>
            </w:r>
          </w:p>
        </w:tc>
        <w:tc>
          <w:tcPr>
            <w:tcW w:w="890" w:type="dxa"/>
            <w:tcBorders>
              <w:top w:val="single" w:sz="4" w:space="0" w:color="auto"/>
              <w:left w:val="single" w:sz="4" w:space="0" w:color="auto"/>
              <w:bottom w:val="single" w:sz="4" w:space="0" w:color="auto"/>
              <w:right w:val="single" w:sz="4" w:space="0" w:color="auto"/>
            </w:tcBorders>
            <w:noWrap/>
            <w:vAlign w:val="center"/>
          </w:tcPr>
          <w:p w14:paraId="43D61245" w14:textId="77777777" w:rsidR="00D170E5" w:rsidRPr="002B55E9" w:rsidRDefault="00EF27AD">
            <w:pPr>
              <w:pStyle w:val="lgy-"/>
            </w:pPr>
            <w:r w:rsidRPr="002B55E9">
              <w:rPr>
                <w:rFonts w:hint="eastAsia"/>
              </w:rPr>
              <w:t>高度</w:t>
            </w:r>
            <w:r w:rsidRPr="002B55E9">
              <w:t>m</w:t>
            </w:r>
          </w:p>
        </w:tc>
        <w:tc>
          <w:tcPr>
            <w:tcW w:w="1656" w:type="dxa"/>
            <w:tcBorders>
              <w:top w:val="single" w:sz="4" w:space="0" w:color="auto"/>
              <w:left w:val="single" w:sz="4" w:space="0" w:color="auto"/>
              <w:bottom w:val="single" w:sz="4" w:space="0" w:color="auto"/>
              <w:right w:val="single" w:sz="4" w:space="0" w:color="auto"/>
            </w:tcBorders>
            <w:noWrap/>
            <w:vAlign w:val="center"/>
          </w:tcPr>
          <w:p w14:paraId="0687AC99" w14:textId="77777777" w:rsidR="00D170E5" w:rsidRPr="002B55E9" w:rsidRDefault="00EF27AD">
            <w:pPr>
              <w:pStyle w:val="lgy-"/>
            </w:pPr>
            <w:r w:rsidRPr="002B55E9">
              <w:rPr>
                <w:rFonts w:hint="eastAsia"/>
              </w:rPr>
              <w:t>年排放时间</w:t>
            </w:r>
            <w:r w:rsidRPr="002B55E9">
              <w:t>h</w:t>
            </w:r>
          </w:p>
        </w:tc>
        <w:tc>
          <w:tcPr>
            <w:tcW w:w="1231" w:type="dxa"/>
            <w:tcBorders>
              <w:top w:val="single" w:sz="4" w:space="0" w:color="auto"/>
              <w:left w:val="single" w:sz="4" w:space="0" w:color="auto"/>
              <w:bottom w:val="single" w:sz="4" w:space="0" w:color="auto"/>
              <w:right w:val="single" w:sz="4" w:space="0" w:color="auto"/>
            </w:tcBorders>
            <w:noWrap/>
            <w:vAlign w:val="center"/>
          </w:tcPr>
          <w:p w14:paraId="1DF520A8" w14:textId="77777777" w:rsidR="00D170E5" w:rsidRPr="002B55E9" w:rsidRDefault="00EF27AD">
            <w:pPr>
              <w:pStyle w:val="lgy-"/>
            </w:pPr>
            <w:r w:rsidRPr="002B55E9">
              <w:rPr>
                <w:rFonts w:hint="eastAsia"/>
              </w:rPr>
              <w:t>污染物名称</w:t>
            </w:r>
          </w:p>
        </w:tc>
        <w:tc>
          <w:tcPr>
            <w:tcW w:w="1126" w:type="dxa"/>
            <w:tcBorders>
              <w:top w:val="single" w:sz="4" w:space="0" w:color="auto"/>
              <w:left w:val="single" w:sz="4" w:space="0" w:color="auto"/>
              <w:bottom w:val="single" w:sz="4" w:space="0" w:color="auto"/>
              <w:right w:val="single" w:sz="4" w:space="0" w:color="auto"/>
            </w:tcBorders>
            <w:vAlign w:val="center"/>
          </w:tcPr>
          <w:p w14:paraId="5FF293E9" w14:textId="77777777" w:rsidR="00D170E5" w:rsidRPr="002B55E9" w:rsidRDefault="00EF27AD">
            <w:pPr>
              <w:pStyle w:val="lgy-"/>
            </w:pPr>
            <w:r w:rsidRPr="002B55E9">
              <w:rPr>
                <w:rFonts w:hint="eastAsia"/>
              </w:rPr>
              <w:t>排放量（</w:t>
            </w:r>
            <w:r w:rsidRPr="002B55E9">
              <w:t>t/a</w:t>
            </w:r>
            <w:r w:rsidRPr="002B55E9">
              <w:rPr>
                <w:rFonts w:hint="eastAsia"/>
              </w:rPr>
              <w:t>）</w:t>
            </w:r>
          </w:p>
        </w:tc>
        <w:tc>
          <w:tcPr>
            <w:tcW w:w="1126" w:type="dxa"/>
            <w:tcBorders>
              <w:top w:val="single" w:sz="4" w:space="0" w:color="auto"/>
              <w:left w:val="single" w:sz="4" w:space="0" w:color="auto"/>
              <w:bottom w:val="single" w:sz="4" w:space="0" w:color="auto"/>
              <w:right w:val="nil"/>
            </w:tcBorders>
            <w:vAlign w:val="center"/>
          </w:tcPr>
          <w:p w14:paraId="78214B66" w14:textId="77777777" w:rsidR="00D170E5" w:rsidRPr="002B55E9" w:rsidRDefault="00EF27AD">
            <w:pPr>
              <w:pStyle w:val="lgy-"/>
            </w:pPr>
            <w:r w:rsidRPr="002B55E9">
              <w:rPr>
                <w:rFonts w:hint="eastAsia"/>
              </w:rPr>
              <w:t>排放速率（</w:t>
            </w:r>
            <w:r w:rsidRPr="002B55E9">
              <w:t>kg/h</w:t>
            </w:r>
            <w:r w:rsidRPr="002B55E9">
              <w:rPr>
                <w:rFonts w:hint="eastAsia"/>
              </w:rPr>
              <w:t>）</w:t>
            </w:r>
          </w:p>
        </w:tc>
      </w:tr>
      <w:tr w:rsidR="002B55E9" w:rsidRPr="002B55E9" w14:paraId="52E90141" w14:textId="77777777">
        <w:trPr>
          <w:trHeight w:val="283"/>
        </w:trPr>
        <w:tc>
          <w:tcPr>
            <w:tcW w:w="1649" w:type="dxa"/>
            <w:tcBorders>
              <w:top w:val="single" w:sz="4" w:space="0" w:color="auto"/>
              <w:left w:val="nil"/>
              <w:right w:val="single" w:sz="4" w:space="0" w:color="auto"/>
            </w:tcBorders>
            <w:noWrap/>
            <w:vAlign w:val="center"/>
          </w:tcPr>
          <w:p w14:paraId="03AA72A9" w14:textId="77777777" w:rsidR="00D170E5" w:rsidRPr="002B55E9" w:rsidRDefault="00EF27AD">
            <w:pPr>
              <w:pStyle w:val="lgy-"/>
            </w:pPr>
            <w:r w:rsidRPr="002B55E9">
              <w:rPr>
                <w:rFonts w:hint="eastAsia"/>
              </w:rPr>
              <w:t>酒精罐区</w:t>
            </w:r>
          </w:p>
        </w:tc>
        <w:tc>
          <w:tcPr>
            <w:tcW w:w="890" w:type="dxa"/>
            <w:tcBorders>
              <w:top w:val="single" w:sz="4" w:space="0" w:color="auto"/>
              <w:left w:val="single" w:sz="4" w:space="0" w:color="auto"/>
              <w:right w:val="single" w:sz="4" w:space="0" w:color="auto"/>
            </w:tcBorders>
            <w:noWrap/>
            <w:vAlign w:val="center"/>
          </w:tcPr>
          <w:p w14:paraId="3CFD6B67" w14:textId="77777777" w:rsidR="00D170E5" w:rsidRPr="002B55E9" w:rsidRDefault="00EF27AD">
            <w:pPr>
              <w:pStyle w:val="lgy-"/>
            </w:pPr>
            <w:r w:rsidRPr="002B55E9">
              <w:t>26.7</w:t>
            </w:r>
          </w:p>
        </w:tc>
        <w:tc>
          <w:tcPr>
            <w:tcW w:w="1070" w:type="dxa"/>
            <w:tcBorders>
              <w:top w:val="single" w:sz="4" w:space="0" w:color="auto"/>
              <w:left w:val="single" w:sz="4" w:space="0" w:color="auto"/>
              <w:right w:val="single" w:sz="4" w:space="0" w:color="auto"/>
            </w:tcBorders>
            <w:noWrap/>
            <w:vAlign w:val="center"/>
          </w:tcPr>
          <w:p w14:paraId="610E161F" w14:textId="77777777" w:rsidR="00D170E5" w:rsidRPr="002B55E9" w:rsidRDefault="00EF27AD">
            <w:pPr>
              <w:pStyle w:val="lgy-"/>
            </w:pPr>
            <w:r w:rsidRPr="002B55E9">
              <w:t>26.7</w:t>
            </w:r>
          </w:p>
        </w:tc>
        <w:tc>
          <w:tcPr>
            <w:tcW w:w="890" w:type="dxa"/>
            <w:tcBorders>
              <w:top w:val="single" w:sz="4" w:space="0" w:color="auto"/>
              <w:left w:val="single" w:sz="4" w:space="0" w:color="auto"/>
              <w:right w:val="single" w:sz="4" w:space="0" w:color="auto"/>
            </w:tcBorders>
            <w:noWrap/>
            <w:vAlign w:val="center"/>
          </w:tcPr>
          <w:p w14:paraId="74739CF1" w14:textId="77777777" w:rsidR="00D170E5" w:rsidRPr="002B55E9" w:rsidRDefault="00EF27AD">
            <w:pPr>
              <w:pStyle w:val="lgy-"/>
            </w:pPr>
            <w:r w:rsidRPr="002B55E9">
              <w:t>10.5</w:t>
            </w:r>
          </w:p>
        </w:tc>
        <w:tc>
          <w:tcPr>
            <w:tcW w:w="1656" w:type="dxa"/>
            <w:tcBorders>
              <w:top w:val="single" w:sz="4" w:space="0" w:color="auto"/>
              <w:left w:val="single" w:sz="4" w:space="0" w:color="auto"/>
              <w:right w:val="single" w:sz="4" w:space="0" w:color="auto"/>
            </w:tcBorders>
            <w:noWrap/>
            <w:vAlign w:val="center"/>
          </w:tcPr>
          <w:p w14:paraId="1258C928" w14:textId="77777777" w:rsidR="00D170E5" w:rsidRPr="002B55E9" w:rsidRDefault="00EF27AD">
            <w:pPr>
              <w:pStyle w:val="lgy-"/>
            </w:pPr>
            <w:r w:rsidRPr="002B55E9">
              <w:rPr>
                <w:rFonts w:hint="eastAsia"/>
              </w:rPr>
              <w:t>8</w:t>
            </w:r>
            <w:r w:rsidRPr="002B55E9">
              <w:t>760</w:t>
            </w:r>
          </w:p>
        </w:tc>
        <w:tc>
          <w:tcPr>
            <w:tcW w:w="1231" w:type="dxa"/>
            <w:tcBorders>
              <w:top w:val="single" w:sz="4" w:space="0" w:color="auto"/>
              <w:left w:val="single" w:sz="4" w:space="0" w:color="auto"/>
              <w:bottom w:val="single" w:sz="12" w:space="0" w:color="auto"/>
              <w:right w:val="single" w:sz="4" w:space="0" w:color="auto"/>
            </w:tcBorders>
            <w:vAlign w:val="center"/>
          </w:tcPr>
          <w:p w14:paraId="7329C3E4" w14:textId="6B8FE794" w:rsidR="00D170E5" w:rsidRPr="002B55E9" w:rsidRDefault="00924AFA">
            <w:pPr>
              <w:pStyle w:val="lgy-"/>
            </w:pPr>
            <w:r w:rsidRPr="002B55E9">
              <w:rPr>
                <w:rFonts w:hint="eastAsia"/>
              </w:rPr>
              <w:t>非甲烷总烃</w:t>
            </w:r>
          </w:p>
        </w:tc>
        <w:tc>
          <w:tcPr>
            <w:tcW w:w="1126" w:type="dxa"/>
            <w:tcBorders>
              <w:top w:val="single" w:sz="4" w:space="0" w:color="auto"/>
              <w:left w:val="single" w:sz="4" w:space="0" w:color="auto"/>
              <w:bottom w:val="single" w:sz="12" w:space="0" w:color="auto"/>
              <w:right w:val="single" w:sz="4" w:space="0" w:color="auto"/>
            </w:tcBorders>
            <w:vAlign w:val="center"/>
          </w:tcPr>
          <w:p w14:paraId="244D0328" w14:textId="77777777" w:rsidR="00D170E5" w:rsidRPr="002B55E9" w:rsidRDefault="00EF27AD">
            <w:pPr>
              <w:pStyle w:val="afffffff7"/>
              <w:spacing w:line="240" w:lineRule="auto"/>
              <w:jc w:val="center"/>
              <w:rPr>
                <w:sz w:val="18"/>
                <w:szCs w:val="18"/>
              </w:rPr>
            </w:pPr>
            <w:r w:rsidRPr="002B55E9">
              <w:rPr>
                <w:rFonts w:hint="eastAsia"/>
                <w:sz w:val="18"/>
                <w:szCs w:val="18"/>
              </w:rPr>
              <w:t>0.3</w:t>
            </w:r>
            <w:r w:rsidRPr="002B55E9">
              <w:rPr>
                <w:sz w:val="18"/>
                <w:szCs w:val="18"/>
              </w:rPr>
              <w:t>90</w:t>
            </w:r>
          </w:p>
        </w:tc>
        <w:tc>
          <w:tcPr>
            <w:tcW w:w="1126" w:type="dxa"/>
            <w:tcBorders>
              <w:top w:val="single" w:sz="4" w:space="0" w:color="auto"/>
              <w:left w:val="single" w:sz="4" w:space="0" w:color="auto"/>
              <w:bottom w:val="single" w:sz="12" w:space="0" w:color="auto"/>
              <w:right w:val="nil"/>
            </w:tcBorders>
            <w:vAlign w:val="center"/>
          </w:tcPr>
          <w:p w14:paraId="397EDCCA" w14:textId="77777777" w:rsidR="00D170E5" w:rsidRPr="002B55E9" w:rsidRDefault="00EF27AD">
            <w:pPr>
              <w:pStyle w:val="afffffff7"/>
              <w:spacing w:line="240" w:lineRule="auto"/>
              <w:jc w:val="center"/>
              <w:rPr>
                <w:sz w:val="18"/>
                <w:szCs w:val="18"/>
              </w:rPr>
            </w:pPr>
            <w:r w:rsidRPr="002B55E9">
              <w:rPr>
                <w:rFonts w:hint="eastAsia"/>
                <w:sz w:val="18"/>
                <w:szCs w:val="18"/>
              </w:rPr>
              <w:t>0.04</w:t>
            </w:r>
            <w:r w:rsidRPr="002B55E9">
              <w:rPr>
                <w:sz w:val="18"/>
                <w:szCs w:val="18"/>
              </w:rPr>
              <w:t>9</w:t>
            </w:r>
          </w:p>
        </w:tc>
      </w:tr>
    </w:tbl>
    <w:p w14:paraId="4FE20C94" w14:textId="77777777" w:rsidR="00D170E5" w:rsidRPr="002B55E9" w:rsidRDefault="00EF27AD">
      <w:pPr>
        <w:pStyle w:val="5"/>
      </w:pPr>
      <w:r w:rsidRPr="002B55E9">
        <w:rPr>
          <w:rFonts w:hint="eastAsia"/>
        </w:rPr>
        <w:lastRenderedPageBreak/>
        <w:t>设备</w:t>
      </w:r>
      <w:r w:rsidRPr="002B55E9">
        <w:t>管线</w:t>
      </w:r>
      <w:r w:rsidRPr="002B55E9">
        <w:rPr>
          <w:rFonts w:hint="eastAsia"/>
        </w:rPr>
        <w:t>密封点</w:t>
      </w:r>
      <w:r w:rsidRPr="002B55E9">
        <w:t>废气</w:t>
      </w:r>
    </w:p>
    <w:p w14:paraId="2E096E2C" w14:textId="77777777" w:rsidR="00D170E5" w:rsidRPr="002B55E9" w:rsidRDefault="00EF27AD">
      <w:pPr>
        <w:pStyle w:val="affff7"/>
        <w:snapToGrid w:val="0"/>
      </w:pPr>
      <w:r w:rsidRPr="002B55E9">
        <w:rPr>
          <w:rFonts w:hint="eastAsia"/>
        </w:rPr>
        <w:t>本项目设备与管线组件涉及挥发性有机物排放。主要来自于阀门、法兰、机泵等设备与管线组件的密封点，泄漏的污染物主要为挥发性有机物。</w:t>
      </w:r>
    </w:p>
    <w:p w14:paraId="3AD450BF" w14:textId="77777777" w:rsidR="00D170E5" w:rsidRPr="002B55E9" w:rsidRDefault="00EF27AD">
      <w:pPr>
        <w:pStyle w:val="affff7"/>
        <w:snapToGrid w:val="0"/>
      </w:pPr>
      <w:r w:rsidRPr="002B55E9">
        <w:rPr>
          <w:rFonts w:hint="eastAsia"/>
        </w:rPr>
        <w:t>本项目动静密封点泄漏量参照《排污许可证申请与核发技术规范</w:t>
      </w:r>
      <w:r w:rsidRPr="002B55E9">
        <w:rPr>
          <w:rFonts w:hint="eastAsia"/>
        </w:rPr>
        <w:t xml:space="preserve"> </w:t>
      </w:r>
      <w:r w:rsidRPr="002B55E9">
        <w:rPr>
          <w:rFonts w:hint="eastAsia"/>
        </w:rPr>
        <w:t>石化工业》（</w:t>
      </w:r>
      <w:r w:rsidRPr="002B55E9">
        <w:rPr>
          <w:rFonts w:hint="eastAsia"/>
        </w:rPr>
        <w:t>HJ 853</w:t>
      </w:r>
      <w:r w:rsidRPr="002B55E9">
        <w:rPr>
          <w:rFonts w:hint="eastAsia"/>
        </w:rPr>
        <w:t>—</w:t>
      </w:r>
      <w:r w:rsidRPr="002B55E9">
        <w:rPr>
          <w:rFonts w:hint="eastAsia"/>
        </w:rPr>
        <w:t>2017</w:t>
      </w:r>
      <w:r w:rsidRPr="002B55E9">
        <w:rPr>
          <w:rFonts w:hint="eastAsia"/>
        </w:rPr>
        <w:t>）中对设备与管线组件密封点泄漏的挥发机性有机物的估算方法，为平均排放系数法，具体公式如下：</w:t>
      </w:r>
    </w:p>
    <w:p w14:paraId="7E2A8327" w14:textId="77777777" w:rsidR="00D170E5" w:rsidRPr="002B55E9" w:rsidRDefault="00EF27AD">
      <w:pPr>
        <w:pStyle w:val="affff7"/>
        <w:snapToGrid w:val="0"/>
        <w:spacing w:after="0"/>
        <w:ind w:firstLineChars="0" w:firstLine="0"/>
        <w:jc w:val="center"/>
      </w:pPr>
      <w:r w:rsidRPr="002B55E9">
        <w:rPr>
          <w:noProof/>
          <w:snapToGrid/>
        </w:rPr>
        <w:drawing>
          <wp:inline distT="0" distB="0" distL="0" distR="0" wp14:anchorId="600BF13D" wp14:editId="45329830">
            <wp:extent cx="2466340" cy="457200"/>
            <wp:effectExtent l="0" t="0" r="0" b="0"/>
            <wp:docPr id="13" name="图片 20" descr="C:\Users\ADMINI~1\AppData\Local\Temp\ksohtml111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C:\Users\ADMINI~1\AppData\Local\Temp\ksohtml11160\wps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66340" cy="457200"/>
                    </a:xfrm>
                    <a:prstGeom prst="rect">
                      <a:avLst/>
                    </a:prstGeom>
                    <a:noFill/>
                    <a:ln>
                      <a:noFill/>
                    </a:ln>
                  </pic:spPr>
                </pic:pic>
              </a:graphicData>
            </a:graphic>
          </wp:inline>
        </w:drawing>
      </w:r>
    </w:p>
    <w:p w14:paraId="3FF67238" w14:textId="77777777" w:rsidR="00D170E5" w:rsidRPr="002B55E9" w:rsidRDefault="00EF27AD">
      <w:pPr>
        <w:pStyle w:val="affff7"/>
        <w:snapToGrid w:val="0"/>
      </w:pPr>
      <w:r w:rsidRPr="002B55E9">
        <w:rPr>
          <w:rFonts w:hint="eastAsia"/>
        </w:rPr>
        <w:t>式中：</w:t>
      </w:r>
    </w:p>
    <w:p w14:paraId="6C889C57" w14:textId="77777777" w:rsidR="00D170E5" w:rsidRPr="002B55E9" w:rsidRDefault="00EF27AD">
      <w:pPr>
        <w:pStyle w:val="affff7"/>
        <w:snapToGrid w:val="0"/>
      </w:pPr>
      <w:r w:rsidRPr="002B55E9">
        <w:rPr>
          <w:rFonts w:hint="eastAsia"/>
        </w:rPr>
        <w:t>E</w:t>
      </w:r>
      <w:r w:rsidRPr="002B55E9">
        <w:rPr>
          <w:rFonts w:hint="eastAsia"/>
        </w:rPr>
        <w:t>设备—设备与管线组件密封点泄漏的挥发性有机物年许可排放量，</w:t>
      </w:r>
      <w:r w:rsidRPr="002B55E9">
        <w:rPr>
          <w:rFonts w:hint="eastAsia"/>
        </w:rPr>
        <w:t>kg/a</w:t>
      </w:r>
      <w:r w:rsidRPr="002B55E9">
        <w:rPr>
          <w:rFonts w:hint="eastAsia"/>
        </w:rPr>
        <w:t>；</w:t>
      </w:r>
    </w:p>
    <w:p w14:paraId="4FE2B92E" w14:textId="77777777" w:rsidR="00D170E5" w:rsidRPr="002B55E9" w:rsidRDefault="00EF27AD">
      <w:pPr>
        <w:pStyle w:val="affff7"/>
        <w:snapToGrid w:val="0"/>
      </w:pPr>
      <w:r w:rsidRPr="002B55E9">
        <w:rPr>
          <w:rFonts w:hint="eastAsia"/>
        </w:rPr>
        <w:t>ti</w:t>
      </w:r>
      <w:r w:rsidRPr="002B55E9">
        <w:rPr>
          <w:rFonts w:hint="eastAsia"/>
        </w:rPr>
        <w:t>—密封点</w:t>
      </w:r>
      <w:r w:rsidRPr="002B55E9">
        <w:rPr>
          <w:rFonts w:hint="eastAsia"/>
        </w:rPr>
        <w:t>i</w:t>
      </w:r>
      <w:r w:rsidRPr="002B55E9">
        <w:rPr>
          <w:rFonts w:hint="eastAsia"/>
        </w:rPr>
        <w:t>的年运行时间，</w:t>
      </w:r>
      <w:r w:rsidRPr="002B55E9">
        <w:rPr>
          <w:rFonts w:hint="eastAsia"/>
        </w:rPr>
        <w:t>h/a</w:t>
      </w:r>
      <w:r w:rsidRPr="002B55E9">
        <w:rPr>
          <w:rFonts w:hint="eastAsia"/>
        </w:rPr>
        <w:t>；</w:t>
      </w:r>
      <w:r w:rsidRPr="002B55E9">
        <w:rPr>
          <w:rFonts w:hint="eastAsia"/>
        </w:rPr>
        <w:t>LDAR</w:t>
      </w:r>
      <w:r w:rsidRPr="002B55E9">
        <w:rPr>
          <w:rFonts w:hint="eastAsia"/>
        </w:rPr>
        <w:t>实施前按年操作时间计算；</w:t>
      </w:r>
    </w:p>
    <w:p w14:paraId="47E6F20D" w14:textId="77777777" w:rsidR="00D170E5" w:rsidRPr="002B55E9" w:rsidRDefault="00EF27AD">
      <w:pPr>
        <w:pStyle w:val="affff7"/>
        <w:snapToGrid w:val="0"/>
      </w:pPr>
      <w:r w:rsidRPr="002B55E9">
        <w:rPr>
          <w:rFonts w:hint="eastAsia"/>
        </w:rPr>
        <w:t>eTOC</w:t>
      </w:r>
      <w:r w:rsidRPr="002B55E9">
        <w:rPr>
          <w:rFonts w:hint="eastAsia"/>
        </w:rPr>
        <w:t>，</w:t>
      </w:r>
      <w:r w:rsidRPr="002B55E9">
        <w:rPr>
          <w:rFonts w:hint="eastAsia"/>
        </w:rPr>
        <w:t>i</w:t>
      </w:r>
      <w:r w:rsidRPr="002B55E9">
        <w:rPr>
          <w:rFonts w:hint="eastAsia"/>
        </w:rPr>
        <w:t>—密封点</w:t>
      </w:r>
      <w:r w:rsidRPr="002B55E9">
        <w:rPr>
          <w:rFonts w:hint="eastAsia"/>
        </w:rPr>
        <w:t>i</w:t>
      </w:r>
      <w:r w:rsidRPr="002B55E9">
        <w:rPr>
          <w:rFonts w:hint="eastAsia"/>
        </w:rPr>
        <w:t>的总有机碳（</w:t>
      </w:r>
      <w:r w:rsidRPr="002B55E9">
        <w:rPr>
          <w:rFonts w:hint="eastAsia"/>
        </w:rPr>
        <w:t>TOC</w:t>
      </w:r>
      <w:r w:rsidRPr="002B55E9">
        <w:rPr>
          <w:rFonts w:hint="eastAsia"/>
        </w:rPr>
        <w:t>）排放速率，</w:t>
      </w:r>
      <w:r w:rsidRPr="002B55E9">
        <w:rPr>
          <w:rFonts w:hint="eastAsia"/>
        </w:rPr>
        <w:t>kg/h</w:t>
      </w:r>
      <w:r w:rsidRPr="002B55E9">
        <w:rPr>
          <w:rFonts w:hint="eastAsia"/>
        </w:rPr>
        <w:t>，其取值见下表；</w:t>
      </w:r>
    </w:p>
    <w:p w14:paraId="01E0BC7C" w14:textId="77777777" w:rsidR="00D170E5" w:rsidRPr="002B55E9" w:rsidRDefault="00EF27AD">
      <w:pPr>
        <w:pStyle w:val="affff7"/>
        <w:snapToGrid w:val="0"/>
      </w:pPr>
      <w:r w:rsidRPr="002B55E9">
        <w:rPr>
          <w:rFonts w:hint="eastAsia"/>
        </w:rPr>
        <w:t>WFVOCs</w:t>
      </w:r>
      <w:r w:rsidRPr="002B55E9">
        <w:rPr>
          <w:rFonts w:hint="eastAsia"/>
        </w:rPr>
        <w:t>，</w:t>
      </w:r>
      <w:r w:rsidRPr="002B55E9">
        <w:rPr>
          <w:rFonts w:hint="eastAsia"/>
        </w:rPr>
        <w:t>i</w:t>
      </w:r>
      <w:r w:rsidRPr="002B55E9">
        <w:rPr>
          <w:rFonts w:hint="eastAsia"/>
        </w:rPr>
        <w:t>—流经密封点</w:t>
      </w:r>
      <w:r w:rsidRPr="002B55E9">
        <w:rPr>
          <w:rFonts w:hint="eastAsia"/>
        </w:rPr>
        <w:t>i</w:t>
      </w:r>
      <w:r w:rsidRPr="002B55E9">
        <w:rPr>
          <w:rFonts w:hint="eastAsia"/>
        </w:rPr>
        <w:t>的物料中挥发性有机物平均质量分数；</w:t>
      </w:r>
    </w:p>
    <w:p w14:paraId="25AB99C5" w14:textId="77777777" w:rsidR="00D170E5" w:rsidRPr="002B55E9" w:rsidRDefault="00EF27AD">
      <w:pPr>
        <w:pStyle w:val="affff7"/>
        <w:snapToGrid w:val="0"/>
      </w:pPr>
      <w:r w:rsidRPr="002B55E9">
        <w:rPr>
          <w:rFonts w:hint="eastAsia"/>
        </w:rPr>
        <w:t>WFTOC</w:t>
      </w:r>
      <w:r w:rsidRPr="002B55E9">
        <w:rPr>
          <w:rFonts w:hint="eastAsia"/>
        </w:rPr>
        <w:t>，</w:t>
      </w:r>
      <w:r w:rsidRPr="002B55E9">
        <w:rPr>
          <w:rFonts w:hint="eastAsia"/>
        </w:rPr>
        <w:t>i</w:t>
      </w:r>
      <w:r w:rsidRPr="002B55E9">
        <w:rPr>
          <w:rFonts w:hint="eastAsia"/>
        </w:rPr>
        <w:t>—流经密封点</w:t>
      </w:r>
      <w:r w:rsidRPr="002B55E9">
        <w:rPr>
          <w:rFonts w:hint="eastAsia"/>
        </w:rPr>
        <w:t>i</w:t>
      </w:r>
      <w:r w:rsidRPr="002B55E9">
        <w:rPr>
          <w:rFonts w:hint="eastAsia"/>
        </w:rPr>
        <w:t>的物料中总有机碳（</w:t>
      </w:r>
      <w:r w:rsidRPr="002B55E9">
        <w:rPr>
          <w:rFonts w:hint="eastAsia"/>
        </w:rPr>
        <w:t>TOC</w:t>
      </w:r>
      <w:r w:rsidRPr="002B55E9">
        <w:rPr>
          <w:rFonts w:hint="eastAsia"/>
        </w:rPr>
        <w:t>）平均质量分数；</w:t>
      </w:r>
    </w:p>
    <w:p w14:paraId="4336E14D" w14:textId="77777777" w:rsidR="00D170E5" w:rsidRPr="002B55E9" w:rsidRDefault="00EF27AD">
      <w:pPr>
        <w:pStyle w:val="affff7"/>
        <w:snapToGrid w:val="0"/>
      </w:pPr>
      <w:r w:rsidRPr="002B55E9">
        <w:rPr>
          <w:rFonts w:hint="eastAsia"/>
        </w:rPr>
        <w:t>n</w:t>
      </w:r>
      <w:r w:rsidRPr="002B55E9">
        <w:rPr>
          <w:rFonts w:hint="eastAsia"/>
        </w:rPr>
        <w:t>—挥发性有机物流经的设备与管线组件密封点数。</w:t>
      </w:r>
    </w:p>
    <w:p w14:paraId="2B6E2370" w14:textId="77777777" w:rsidR="00D170E5" w:rsidRPr="002B55E9" w:rsidRDefault="00EF27AD">
      <w:pPr>
        <w:pStyle w:val="affff7"/>
        <w:snapToGrid w:val="0"/>
      </w:pPr>
      <w:r w:rsidRPr="002B55E9">
        <w:rPr>
          <w:rFonts w:hint="eastAsia"/>
        </w:rPr>
        <w:t>根据《排污许可证申请与核发技术规范</w:t>
      </w:r>
      <w:r w:rsidRPr="002B55E9">
        <w:rPr>
          <w:rFonts w:hint="eastAsia"/>
        </w:rPr>
        <w:t xml:space="preserve"> </w:t>
      </w:r>
      <w:r w:rsidRPr="002B55E9">
        <w:rPr>
          <w:rFonts w:hint="eastAsia"/>
        </w:rPr>
        <w:t>石化工业》（</w:t>
      </w:r>
      <w:r w:rsidRPr="002B55E9">
        <w:rPr>
          <w:rFonts w:hint="eastAsia"/>
        </w:rPr>
        <w:t>HJ 853</w:t>
      </w:r>
      <w:r w:rsidRPr="002B55E9">
        <w:rPr>
          <w:rFonts w:hint="eastAsia"/>
        </w:rPr>
        <w:t>—</w:t>
      </w:r>
      <w:r w:rsidRPr="002B55E9">
        <w:rPr>
          <w:rFonts w:hint="eastAsia"/>
        </w:rPr>
        <w:t>2017</w:t>
      </w:r>
      <w:r w:rsidRPr="002B55E9">
        <w:rPr>
          <w:rFonts w:hint="eastAsia"/>
        </w:rPr>
        <w:t>）表</w:t>
      </w:r>
      <w:r w:rsidRPr="002B55E9">
        <w:rPr>
          <w:rFonts w:hint="eastAsia"/>
        </w:rPr>
        <w:t>4</w:t>
      </w:r>
      <w:r w:rsidRPr="002B55E9">
        <w:rPr>
          <w:rFonts w:hint="eastAsia"/>
        </w:rPr>
        <w:t>，</w:t>
      </w:r>
      <w:r w:rsidRPr="002B55E9">
        <w:rPr>
          <w:rFonts w:hint="eastAsia"/>
        </w:rPr>
        <w:t>eTOC</w:t>
      </w:r>
      <w:r w:rsidRPr="002B55E9">
        <w:rPr>
          <w:rFonts w:hint="eastAsia"/>
        </w:rPr>
        <w:t>，</w:t>
      </w:r>
      <w:r w:rsidRPr="002B55E9">
        <w:rPr>
          <w:rFonts w:hint="eastAsia"/>
        </w:rPr>
        <w:t>i</w:t>
      </w:r>
      <w:r w:rsidRPr="002B55E9">
        <w:rPr>
          <w:rFonts w:hint="eastAsia"/>
        </w:rPr>
        <w:t>的取值参数见下表。</w:t>
      </w:r>
    </w:p>
    <w:p w14:paraId="3B5238B5" w14:textId="77777777" w:rsidR="00D170E5" w:rsidRPr="002B55E9" w:rsidRDefault="00EF27AD">
      <w:pPr>
        <w:pStyle w:val="1f3"/>
        <w:spacing w:beforeLines="0" w:before="0"/>
      </w:pPr>
      <w:r w:rsidRPr="002B55E9">
        <w:rPr>
          <w:rFonts w:hint="eastAsia"/>
        </w:rPr>
        <w:t>表</w:t>
      </w:r>
      <w:r w:rsidRPr="002B55E9">
        <w:rPr>
          <w:rFonts w:hint="eastAsia"/>
        </w:rPr>
        <w:t>3-3-</w:t>
      </w:r>
      <w:r w:rsidRPr="002B55E9">
        <w:t>23</w:t>
      </w:r>
      <w:r w:rsidRPr="002B55E9">
        <w:rPr>
          <w:rFonts w:hint="eastAsia"/>
        </w:rPr>
        <w:t xml:space="preserve">  </w:t>
      </w:r>
      <w:r w:rsidRPr="002B55E9">
        <w:rPr>
          <w:rFonts w:hint="eastAsia"/>
        </w:rPr>
        <w:t>设备与管线组件</w:t>
      </w:r>
      <w:r w:rsidRPr="002B55E9">
        <w:rPr>
          <w:rFonts w:hint="eastAsia"/>
        </w:rPr>
        <w:t>eTOC</w:t>
      </w:r>
      <w:r w:rsidRPr="002B55E9">
        <w:rPr>
          <w:rFonts w:hint="eastAsia"/>
        </w:rPr>
        <w:t>，</w:t>
      </w:r>
      <w:r w:rsidRPr="002B55E9">
        <w:rPr>
          <w:rFonts w:hint="eastAsia"/>
        </w:rPr>
        <w:t>i</w:t>
      </w:r>
      <w:r w:rsidRPr="002B55E9">
        <w:rPr>
          <w:rFonts w:hint="eastAsia"/>
        </w:rPr>
        <w:t>取值参数表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0"/>
        <w:gridCol w:w="4299"/>
        <w:gridCol w:w="3709"/>
      </w:tblGrid>
      <w:tr w:rsidR="002B55E9" w:rsidRPr="002B55E9" w14:paraId="75C43B71" w14:textId="77777777">
        <w:trPr>
          <w:trHeight w:val="227"/>
          <w:tblHeader/>
        </w:trPr>
        <w:tc>
          <w:tcPr>
            <w:tcW w:w="1630" w:type="dxa"/>
            <w:tcBorders>
              <w:top w:val="single" w:sz="12" w:space="0" w:color="auto"/>
              <w:left w:val="nil"/>
              <w:bottom w:val="single" w:sz="12" w:space="0" w:color="auto"/>
              <w:right w:val="single" w:sz="4" w:space="0" w:color="auto"/>
            </w:tcBorders>
            <w:vAlign w:val="center"/>
          </w:tcPr>
          <w:p w14:paraId="5C565A5C" w14:textId="77777777" w:rsidR="00D170E5" w:rsidRPr="002B55E9" w:rsidRDefault="00EF27AD">
            <w:pPr>
              <w:adjustRightInd w:val="0"/>
              <w:snapToGrid w:val="0"/>
              <w:ind w:leftChars="-50" w:left="-100" w:rightChars="-50" w:right="-100" w:firstLine="480"/>
              <w:jc w:val="center"/>
              <w:textAlignment w:val="center"/>
              <w:rPr>
                <w:kern w:val="2"/>
                <w:sz w:val="18"/>
                <w:szCs w:val="22"/>
              </w:rPr>
            </w:pPr>
            <w:r w:rsidRPr="002B55E9">
              <w:rPr>
                <w:rFonts w:hint="eastAsia"/>
                <w:kern w:val="2"/>
                <w:sz w:val="18"/>
                <w:szCs w:val="22"/>
              </w:rPr>
              <w:t>类型</w:t>
            </w:r>
          </w:p>
        </w:tc>
        <w:tc>
          <w:tcPr>
            <w:tcW w:w="4299" w:type="dxa"/>
            <w:tcBorders>
              <w:top w:val="single" w:sz="12" w:space="0" w:color="auto"/>
              <w:left w:val="nil"/>
              <w:bottom w:val="single" w:sz="12" w:space="0" w:color="auto"/>
              <w:right w:val="single" w:sz="4" w:space="0" w:color="auto"/>
            </w:tcBorders>
            <w:vAlign w:val="center"/>
          </w:tcPr>
          <w:p w14:paraId="77D556C2" w14:textId="77777777" w:rsidR="00D170E5" w:rsidRPr="002B55E9" w:rsidRDefault="00EF27AD">
            <w:pPr>
              <w:adjustRightInd w:val="0"/>
              <w:snapToGrid w:val="0"/>
              <w:ind w:leftChars="-50" w:left="-100" w:rightChars="-50" w:right="-100" w:firstLine="480"/>
              <w:jc w:val="center"/>
              <w:textAlignment w:val="center"/>
              <w:rPr>
                <w:kern w:val="2"/>
                <w:sz w:val="18"/>
                <w:szCs w:val="22"/>
              </w:rPr>
            </w:pPr>
            <w:r w:rsidRPr="002B55E9">
              <w:rPr>
                <w:rFonts w:hint="eastAsia"/>
                <w:kern w:val="2"/>
                <w:sz w:val="18"/>
                <w:szCs w:val="22"/>
              </w:rPr>
              <w:t>设备类型</w:t>
            </w:r>
          </w:p>
        </w:tc>
        <w:tc>
          <w:tcPr>
            <w:tcW w:w="3709" w:type="dxa"/>
            <w:tcBorders>
              <w:top w:val="single" w:sz="12" w:space="0" w:color="auto"/>
              <w:left w:val="single" w:sz="4" w:space="0" w:color="auto"/>
              <w:bottom w:val="single" w:sz="12" w:space="0" w:color="auto"/>
              <w:right w:val="nil"/>
            </w:tcBorders>
            <w:vAlign w:val="center"/>
          </w:tcPr>
          <w:p w14:paraId="4E6E3A6D" w14:textId="77777777" w:rsidR="00D170E5" w:rsidRPr="002B55E9" w:rsidRDefault="00EF27AD">
            <w:pPr>
              <w:adjustRightInd w:val="0"/>
              <w:snapToGrid w:val="0"/>
              <w:ind w:leftChars="-50" w:left="-100" w:rightChars="-50" w:right="-100" w:firstLine="480"/>
              <w:jc w:val="center"/>
              <w:textAlignment w:val="center"/>
              <w:rPr>
                <w:i/>
                <w:kern w:val="2"/>
                <w:sz w:val="18"/>
                <w:szCs w:val="22"/>
              </w:rPr>
            </w:pPr>
            <w:r w:rsidRPr="002B55E9">
              <w:rPr>
                <w:rFonts w:hint="eastAsia"/>
                <w:kern w:val="2"/>
                <w:sz w:val="18"/>
                <w:szCs w:val="22"/>
              </w:rPr>
              <w:t>排放速率</w:t>
            </w:r>
            <w:r w:rsidRPr="002B55E9">
              <w:rPr>
                <w:kern w:val="2"/>
                <w:sz w:val="18"/>
                <w:szCs w:val="22"/>
              </w:rPr>
              <w:t>e</w:t>
            </w:r>
            <w:r w:rsidRPr="002B55E9">
              <w:rPr>
                <w:kern w:val="2"/>
                <w:sz w:val="18"/>
                <w:szCs w:val="22"/>
                <w:vertAlign w:val="subscript"/>
              </w:rPr>
              <w:t>TOC,i</w:t>
            </w:r>
            <w:r w:rsidRPr="002B55E9">
              <w:rPr>
                <w:rFonts w:hint="eastAsia"/>
                <w:kern w:val="2"/>
                <w:sz w:val="18"/>
                <w:szCs w:val="22"/>
              </w:rPr>
              <w:t>（</w:t>
            </w:r>
            <w:r w:rsidRPr="002B55E9">
              <w:rPr>
                <w:rFonts w:hint="eastAsia"/>
                <w:kern w:val="2"/>
                <w:sz w:val="18"/>
                <w:szCs w:val="22"/>
              </w:rPr>
              <w:t>kg/h/</w:t>
            </w:r>
            <w:r w:rsidRPr="002B55E9">
              <w:rPr>
                <w:rFonts w:hint="eastAsia"/>
                <w:kern w:val="2"/>
                <w:sz w:val="18"/>
                <w:szCs w:val="22"/>
              </w:rPr>
              <w:t>排放源）</w:t>
            </w:r>
          </w:p>
        </w:tc>
      </w:tr>
      <w:tr w:rsidR="002B55E9" w:rsidRPr="002B55E9" w14:paraId="6C2B5165" w14:textId="77777777">
        <w:trPr>
          <w:trHeight w:val="227"/>
        </w:trPr>
        <w:tc>
          <w:tcPr>
            <w:tcW w:w="1630" w:type="dxa"/>
            <w:vMerge w:val="restart"/>
            <w:tcBorders>
              <w:left w:val="nil"/>
              <w:right w:val="single" w:sz="4" w:space="0" w:color="auto"/>
            </w:tcBorders>
            <w:vAlign w:val="center"/>
          </w:tcPr>
          <w:p w14:paraId="042941B6" w14:textId="77777777" w:rsidR="00D170E5" w:rsidRPr="002B55E9" w:rsidRDefault="00EF27AD">
            <w:pPr>
              <w:adjustRightInd w:val="0"/>
              <w:snapToGrid w:val="0"/>
              <w:jc w:val="center"/>
              <w:textAlignment w:val="center"/>
              <w:rPr>
                <w:kern w:val="2"/>
                <w:sz w:val="18"/>
                <w:szCs w:val="22"/>
              </w:rPr>
            </w:pPr>
            <w:r w:rsidRPr="002B55E9">
              <w:rPr>
                <w:rFonts w:hint="eastAsia"/>
                <w:kern w:val="2"/>
                <w:sz w:val="18"/>
                <w:szCs w:val="22"/>
              </w:rPr>
              <w:t>石油化学工业</w:t>
            </w:r>
          </w:p>
        </w:tc>
        <w:tc>
          <w:tcPr>
            <w:tcW w:w="4299" w:type="dxa"/>
            <w:tcBorders>
              <w:left w:val="nil"/>
              <w:right w:val="single" w:sz="4" w:space="0" w:color="auto"/>
            </w:tcBorders>
            <w:vAlign w:val="center"/>
          </w:tcPr>
          <w:p w14:paraId="3DCA86B5"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气体阀门</w:t>
            </w:r>
          </w:p>
        </w:tc>
        <w:tc>
          <w:tcPr>
            <w:tcW w:w="3709" w:type="dxa"/>
            <w:tcBorders>
              <w:left w:val="single" w:sz="4" w:space="0" w:color="auto"/>
              <w:right w:val="nil"/>
            </w:tcBorders>
            <w:vAlign w:val="center"/>
          </w:tcPr>
          <w:p w14:paraId="1D9EB24F"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0.024</w:t>
            </w:r>
          </w:p>
        </w:tc>
      </w:tr>
      <w:tr w:rsidR="002B55E9" w:rsidRPr="002B55E9" w14:paraId="3EC01C7F" w14:textId="77777777">
        <w:trPr>
          <w:trHeight w:val="227"/>
        </w:trPr>
        <w:tc>
          <w:tcPr>
            <w:tcW w:w="1630" w:type="dxa"/>
            <w:vMerge/>
            <w:tcBorders>
              <w:left w:val="nil"/>
              <w:right w:val="single" w:sz="4" w:space="0" w:color="auto"/>
            </w:tcBorders>
            <w:vAlign w:val="center"/>
          </w:tcPr>
          <w:p w14:paraId="54DE8195" w14:textId="77777777" w:rsidR="00D170E5" w:rsidRPr="002B55E9" w:rsidRDefault="00D170E5">
            <w:pPr>
              <w:adjustRightInd w:val="0"/>
              <w:snapToGrid w:val="0"/>
              <w:ind w:leftChars="-50" w:left="-100" w:rightChars="-50" w:right="-100" w:firstLine="480"/>
              <w:jc w:val="center"/>
              <w:textAlignment w:val="center"/>
              <w:rPr>
                <w:kern w:val="2"/>
                <w:sz w:val="18"/>
                <w:szCs w:val="22"/>
              </w:rPr>
            </w:pPr>
          </w:p>
        </w:tc>
        <w:tc>
          <w:tcPr>
            <w:tcW w:w="4299" w:type="dxa"/>
            <w:tcBorders>
              <w:left w:val="nil"/>
              <w:right w:val="single" w:sz="4" w:space="0" w:color="auto"/>
            </w:tcBorders>
            <w:vAlign w:val="center"/>
          </w:tcPr>
          <w:p w14:paraId="771E0E90"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开口阀或开口管线</w:t>
            </w:r>
          </w:p>
        </w:tc>
        <w:tc>
          <w:tcPr>
            <w:tcW w:w="3709" w:type="dxa"/>
            <w:tcBorders>
              <w:left w:val="single" w:sz="4" w:space="0" w:color="auto"/>
              <w:right w:val="nil"/>
            </w:tcBorders>
            <w:vAlign w:val="center"/>
          </w:tcPr>
          <w:p w14:paraId="5721978F"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0.03</w:t>
            </w:r>
          </w:p>
        </w:tc>
      </w:tr>
      <w:tr w:rsidR="002B55E9" w:rsidRPr="002B55E9" w14:paraId="2AAC307D" w14:textId="77777777">
        <w:trPr>
          <w:trHeight w:val="227"/>
        </w:trPr>
        <w:tc>
          <w:tcPr>
            <w:tcW w:w="1630" w:type="dxa"/>
            <w:vMerge/>
            <w:tcBorders>
              <w:left w:val="nil"/>
              <w:right w:val="single" w:sz="4" w:space="0" w:color="auto"/>
            </w:tcBorders>
            <w:vAlign w:val="center"/>
          </w:tcPr>
          <w:p w14:paraId="6B11FBEA" w14:textId="77777777" w:rsidR="00D170E5" w:rsidRPr="002B55E9" w:rsidRDefault="00D170E5">
            <w:pPr>
              <w:adjustRightInd w:val="0"/>
              <w:snapToGrid w:val="0"/>
              <w:ind w:leftChars="-50" w:left="-100" w:rightChars="-50" w:right="-100" w:firstLine="480"/>
              <w:jc w:val="center"/>
              <w:textAlignment w:val="center"/>
              <w:rPr>
                <w:kern w:val="2"/>
                <w:sz w:val="18"/>
                <w:szCs w:val="22"/>
              </w:rPr>
            </w:pPr>
          </w:p>
        </w:tc>
        <w:tc>
          <w:tcPr>
            <w:tcW w:w="4299" w:type="dxa"/>
            <w:tcBorders>
              <w:left w:val="nil"/>
              <w:right w:val="single" w:sz="4" w:space="0" w:color="auto"/>
            </w:tcBorders>
            <w:vAlign w:val="center"/>
          </w:tcPr>
          <w:p w14:paraId="2BFA40A9"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有机液体阀门</w:t>
            </w:r>
          </w:p>
        </w:tc>
        <w:tc>
          <w:tcPr>
            <w:tcW w:w="3709" w:type="dxa"/>
            <w:tcBorders>
              <w:left w:val="single" w:sz="4" w:space="0" w:color="auto"/>
              <w:right w:val="nil"/>
            </w:tcBorders>
            <w:vAlign w:val="center"/>
          </w:tcPr>
          <w:p w14:paraId="3A8F6897"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0.036</w:t>
            </w:r>
          </w:p>
        </w:tc>
      </w:tr>
      <w:tr w:rsidR="002B55E9" w:rsidRPr="002B55E9" w14:paraId="5A5FF15A" w14:textId="77777777">
        <w:trPr>
          <w:trHeight w:val="227"/>
        </w:trPr>
        <w:tc>
          <w:tcPr>
            <w:tcW w:w="1630" w:type="dxa"/>
            <w:vMerge/>
            <w:tcBorders>
              <w:left w:val="nil"/>
              <w:right w:val="single" w:sz="4" w:space="0" w:color="auto"/>
            </w:tcBorders>
            <w:vAlign w:val="center"/>
          </w:tcPr>
          <w:p w14:paraId="2ACCF7C4" w14:textId="77777777" w:rsidR="00D170E5" w:rsidRPr="002B55E9" w:rsidRDefault="00D170E5">
            <w:pPr>
              <w:adjustRightInd w:val="0"/>
              <w:snapToGrid w:val="0"/>
              <w:ind w:leftChars="-50" w:left="-100" w:rightChars="-50" w:right="-100" w:firstLine="480"/>
              <w:jc w:val="center"/>
              <w:textAlignment w:val="center"/>
              <w:rPr>
                <w:kern w:val="2"/>
                <w:sz w:val="18"/>
                <w:szCs w:val="22"/>
              </w:rPr>
            </w:pPr>
          </w:p>
        </w:tc>
        <w:tc>
          <w:tcPr>
            <w:tcW w:w="4299" w:type="dxa"/>
            <w:tcBorders>
              <w:left w:val="nil"/>
              <w:right w:val="single" w:sz="4" w:space="0" w:color="auto"/>
            </w:tcBorders>
            <w:vAlign w:val="center"/>
          </w:tcPr>
          <w:p w14:paraId="1449D134"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法兰或连接件</w:t>
            </w:r>
          </w:p>
        </w:tc>
        <w:tc>
          <w:tcPr>
            <w:tcW w:w="3709" w:type="dxa"/>
            <w:tcBorders>
              <w:left w:val="single" w:sz="4" w:space="0" w:color="auto"/>
              <w:right w:val="nil"/>
            </w:tcBorders>
            <w:vAlign w:val="center"/>
          </w:tcPr>
          <w:p w14:paraId="6EEB77CD"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0.044</w:t>
            </w:r>
          </w:p>
        </w:tc>
      </w:tr>
      <w:tr w:rsidR="002B55E9" w:rsidRPr="002B55E9" w14:paraId="3A5AC593" w14:textId="77777777">
        <w:trPr>
          <w:trHeight w:val="227"/>
        </w:trPr>
        <w:tc>
          <w:tcPr>
            <w:tcW w:w="1630" w:type="dxa"/>
            <w:vMerge/>
            <w:tcBorders>
              <w:left w:val="nil"/>
              <w:right w:val="single" w:sz="4" w:space="0" w:color="auto"/>
            </w:tcBorders>
            <w:vAlign w:val="center"/>
          </w:tcPr>
          <w:p w14:paraId="2DBAE988" w14:textId="77777777" w:rsidR="00D170E5" w:rsidRPr="002B55E9" w:rsidRDefault="00D170E5">
            <w:pPr>
              <w:adjustRightInd w:val="0"/>
              <w:snapToGrid w:val="0"/>
              <w:ind w:leftChars="-50" w:left="-100" w:rightChars="-50" w:right="-100" w:firstLine="480"/>
              <w:jc w:val="center"/>
              <w:textAlignment w:val="center"/>
              <w:rPr>
                <w:kern w:val="2"/>
                <w:sz w:val="18"/>
                <w:szCs w:val="22"/>
              </w:rPr>
            </w:pPr>
          </w:p>
        </w:tc>
        <w:tc>
          <w:tcPr>
            <w:tcW w:w="4299" w:type="dxa"/>
            <w:tcBorders>
              <w:left w:val="nil"/>
              <w:right w:val="single" w:sz="4" w:space="0" w:color="auto"/>
            </w:tcBorders>
            <w:vAlign w:val="center"/>
          </w:tcPr>
          <w:p w14:paraId="769DC618"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泵、压缩机、搅拌器、泄压设备</w:t>
            </w:r>
          </w:p>
        </w:tc>
        <w:tc>
          <w:tcPr>
            <w:tcW w:w="3709" w:type="dxa"/>
            <w:tcBorders>
              <w:left w:val="single" w:sz="4" w:space="0" w:color="auto"/>
              <w:right w:val="nil"/>
            </w:tcBorders>
            <w:vAlign w:val="center"/>
          </w:tcPr>
          <w:p w14:paraId="1DC56FB2"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0.14</w:t>
            </w:r>
          </w:p>
        </w:tc>
      </w:tr>
      <w:tr w:rsidR="002B55E9" w:rsidRPr="002B55E9" w14:paraId="77830002" w14:textId="77777777">
        <w:trPr>
          <w:trHeight w:val="227"/>
        </w:trPr>
        <w:tc>
          <w:tcPr>
            <w:tcW w:w="1630" w:type="dxa"/>
            <w:vMerge/>
            <w:tcBorders>
              <w:left w:val="nil"/>
              <w:bottom w:val="single" w:sz="12" w:space="0" w:color="auto"/>
              <w:right w:val="single" w:sz="4" w:space="0" w:color="auto"/>
            </w:tcBorders>
            <w:vAlign w:val="center"/>
          </w:tcPr>
          <w:p w14:paraId="475A5DF0" w14:textId="77777777" w:rsidR="00D170E5" w:rsidRPr="002B55E9" w:rsidRDefault="00D170E5">
            <w:pPr>
              <w:adjustRightInd w:val="0"/>
              <w:snapToGrid w:val="0"/>
              <w:ind w:leftChars="-50" w:left="-100" w:rightChars="-50" w:right="-100" w:firstLine="480"/>
              <w:jc w:val="center"/>
              <w:textAlignment w:val="center"/>
              <w:rPr>
                <w:kern w:val="2"/>
                <w:sz w:val="18"/>
                <w:szCs w:val="22"/>
              </w:rPr>
            </w:pPr>
          </w:p>
        </w:tc>
        <w:tc>
          <w:tcPr>
            <w:tcW w:w="4299" w:type="dxa"/>
            <w:tcBorders>
              <w:left w:val="nil"/>
              <w:bottom w:val="single" w:sz="12" w:space="0" w:color="auto"/>
              <w:right w:val="single" w:sz="4" w:space="0" w:color="auto"/>
            </w:tcBorders>
            <w:vAlign w:val="center"/>
          </w:tcPr>
          <w:p w14:paraId="70D2893D" w14:textId="77777777" w:rsidR="00D170E5" w:rsidRPr="002B55E9" w:rsidRDefault="00EF27AD">
            <w:pPr>
              <w:adjustRightInd w:val="0"/>
              <w:snapToGrid w:val="0"/>
              <w:ind w:leftChars="-50" w:left="-100" w:rightChars="-50" w:right="-100" w:firstLine="480"/>
              <w:jc w:val="center"/>
              <w:textAlignment w:val="center"/>
              <w:rPr>
                <w:kern w:val="2"/>
                <w:sz w:val="18"/>
                <w:szCs w:val="22"/>
              </w:rPr>
            </w:pPr>
            <w:r w:rsidRPr="002B55E9">
              <w:rPr>
                <w:rFonts w:hint="eastAsia"/>
                <w:sz w:val="18"/>
                <w:szCs w:val="22"/>
              </w:rPr>
              <w:t>其他</w:t>
            </w:r>
          </w:p>
        </w:tc>
        <w:tc>
          <w:tcPr>
            <w:tcW w:w="3709" w:type="dxa"/>
            <w:tcBorders>
              <w:left w:val="single" w:sz="4" w:space="0" w:color="auto"/>
              <w:bottom w:val="single" w:sz="12" w:space="0" w:color="auto"/>
              <w:right w:val="nil"/>
            </w:tcBorders>
            <w:vAlign w:val="center"/>
          </w:tcPr>
          <w:p w14:paraId="57E7ED2F" w14:textId="77777777" w:rsidR="00D170E5" w:rsidRPr="002B55E9" w:rsidRDefault="00EF27AD">
            <w:pPr>
              <w:adjustRightInd w:val="0"/>
              <w:snapToGrid w:val="0"/>
              <w:ind w:leftChars="-50" w:left="-100" w:rightChars="-50" w:right="-100" w:firstLine="480"/>
              <w:jc w:val="center"/>
              <w:textAlignment w:val="center"/>
              <w:rPr>
                <w:sz w:val="18"/>
                <w:szCs w:val="22"/>
              </w:rPr>
            </w:pPr>
            <w:r w:rsidRPr="002B55E9">
              <w:rPr>
                <w:rFonts w:hint="eastAsia"/>
                <w:sz w:val="18"/>
                <w:szCs w:val="22"/>
              </w:rPr>
              <w:t>0.073</w:t>
            </w:r>
          </w:p>
        </w:tc>
      </w:tr>
    </w:tbl>
    <w:p w14:paraId="77A4480E" w14:textId="77777777" w:rsidR="00D170E5" w:rsidRPr="002B55E9" w:rsidRDefault="00EF27AD">
      <w:pPr>
        <w:pStyle w:val="affff7"/>
        <w:snapToGrid w:val="0"/>
        <w:spacing w:after="0"/>
      </w:pPr>
      <w:r w:rsidRPr="002B55E9">
        <w:rPr>
          <w:rFonts w:hint="eastAsia"/>
        </w:rPr>
        <w:t>根据企业提供的密封点数量，计算结果如下表</w:t>
      </w:r>
    </w:p>
    <w:p w14:paraId="746D40B0" w14:textId="77777777" w:rsidR="00D170E5" w:rsidRPr="002B55E9" w:rsidRDefault="00EF27AD">
      <w:pPr>
        <w:pStyle w:val="1f3"/>
        <w:spacing w:beforeLines="0" w:before="0"/>
      </w:pPr>
      <w:r w:rsidRPr="002B55E9">
        <w:rPr>
          <w:rFonts w:hint="eastAsia"/>
        </w:rPr>
        <w:t>表</w:t>
      </w:r>
      <w:r w:rsidRPr="002B55E9">
        <w:rPr>
          <w:rFonts w:hint="eastAsia"/>
        </w:rPr>
        <w:t>3-3-</w:t>
      </w:r>
      <w:r w:rsidRPr="002B55E9">
        <w:t>24</w:t>
      </w:r>
      <w:r w:rsidRPr="002B55E9">
        <w:rPr>
          <w:rFonts w:hint="eastAsia"/>
        </w:rPr>
        <w:t xml:space="preserve">  </w:t>
      </w:r>
      <w:r w:rsidRPr="002B55E9">
        <w:rPr>
          <w:rFonts w:hint="eastAsia"/>
        </w:rPr>
        <w:t>设备与管线组件排放</w:t>
      </w:r>
      <w:r w:rsidRPr="002B55E9">
        <w:t>情况</w:t>
      </w:r>
    </w:p>
    <w:tbl>
      <w:tblPr>
        <w:tblStyle w:val="lgy2"/>
        <w:tblW w:w="5000" w:type="pct"/>
        <w:tblLayout w:type="fixed"/>
        <w:tblCellMar>
          <w:left w:w="28" w:type="dxa"/>
          <w:right w:w="28" w:type="dxa"/>
        </w:tblCellMar>
        <w:tblLook w:val="04A0" w:firstRow="1" w:lastRow="0" w:firstColumn="1" w:lastColumn="0" w:noHBand="0" w:noVBand="1"/>
      </w:tblPr>
      <w:tblGrid>
        <w:gridCol w:w="2199"/>
        <w:gridCol w:w="976"/>
        <w:gridCol w:w="1674"/>
        <w:gridCol w:w="1674"/>
        <w:gridCol w:w="1413"/>
        <w:gridCol w:w="1758"/>
      </w:tblGrid>
      <w:tr w:rsidR="002B55E9" w:rsidRPr="002B55E9" w14:paraId="0809FA28"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187" w:type="dxa"/>
          </w:tcPr>
          <w:p w14:paraId="1E5786AB" w14:textId="77777777" w:rsidR="00D170E5" w:rsidRPr="002B55E9" w:rsidRDefault="00EF27AD" w:rsidP="00EF27AD">
            <w:pPr>
              <w:pStyle w:val="lgy-"/>
            </w:pPr>
            <w:r w:rsidRPr="002B55E9">
              <w:rPr>
                <w:rFonts w:eastAsia="宋体"/>
              </w:rPr>
              <w:t>设备类型</w:t>
            </w:r>
          </w:p>
        </w:tc>
        <w:tc>
          <w:tcPr>
            <w:tcW w:w="970" w:type="dxa"/>
          </w:tcPr>
          <w:p w14:paraId="1ED602CC" w14:textId="77777777" w:rsidR="00D170E5" w:rsidRPr="002B55E9" w:rsidRDefault="00EF27AD">
            <w:pPr>
              <w:pStyle w:val="lgy-"/>
            </w:pPr>
            <w:r w:rsidRPr="002B55E9">
              <w:rPr>
                <w:rFonts w:eastAsia="宋体"/>
              </w:rPr>
              <w:t>数量</w:t>
            </w:r>
          </w:p>
        </w:tc>
        <w:tc>
          <w:tcPr>
            <w:tcW w:w="1664" w:type="dxa"/>
          </w:tcPr>
          <w:p w14:paraId="13361A30" w14:textId="77777777" w:rsidR="00D170E5" w:rsidRPr="002B55E9" w:rsidRDefault="00EF27AD">
            <w:pPr>
              <w:pStyle w:val="lgy-"/>
            </w:pPr>
            <w:r w:rsidRPr="002B55E9">
              <w:rPr>
                <w:rFonts w:eastAsia="宋体"/>
              </w:rPr>
              <w:t>排放速率</w:t>
            </w:r>
            <w:r w:rsidRPr="002B55E9">
              <w:rPr>
                <w:rFonts w:eastAsia="宋体"/>
              </w:rPr>
              <w:t>e</w:t>
            </w:r>
            <w:r w:rsidRPr="002B55E9">
              <w:rPr>
                <w:rFonts w:eastAsia="宋体"/>
                <w:vertAlign w:val="subscript"/>
              </w:rPr>
              <w:t>TOC,i</w:t>
            </w:r>
            <w:r w:rsidRPr="002B55E9">
              <w:rPr>
                <w:rFonts w:eastAsia="宋体"/>
              </w:rPr>
              <w:t>（</w:t>
            </w:r>
            <w:r w:rsidRPr="002B55E9">
              <w:rPr>
                <w:rFonts w:eastAsia="宋体"/>
              </w:rPr>
              <w:t>kg/h/</w:t>
            </w:r>
            <w:r w:rsidRPr="002B55E9">
              <w:rPr>
                <w:rFonts w:eastAsia="宋体"/>
              </w:rPr>
              <w:t>排放源）</w:t>
            </w:r>
          </w:p>
        </w:tc>
        <w:tc>
          <w:tcPr>
            <w:tcW w:w="1664" w:type="dxa"/>
          </w:tcPr>
          <w:p w14:paraId="1D976141" w14:textId="77777777" w:rsidR="00D170E5" w:rsidRPr="002B55E9" w:rsidRDefault="00EF27AD">
            <w:pPr>
              <w:pStyle w:val="lgy-"/>
            </w:pPr>
            <w:r w:rsidRPr="002B55E9">
              <w:rPr>
                <w:rFonts w:eastAsia="宋体"/>
              </w:rPr>
              <w:t>排放速率（</w:t>
            </w:r>
            <w:r w:rsidRPr="002B55E9">
              <w:rPr>
                <w:rFonts w:eastAsia="宋体"/>
              </w:rPr>
              <w:t>kg/h</w:t>
            </w:r>
            <w:r w:rsidRPr="002B55E9">
              <w:rPr>
                <w:rFonts w:eastAsia="宋体"/>
              </w:rPr>
              <w:t>）</w:t>
            </w:r>
          </w:p>
        </w:tc>
        <w:tc>
          <w:tcPr>
            <w:tcW w:w="1405" w:type="dxa"/>
          </w:tcPr>
          <w:p w14:paraId="537ACED5" w14:textId="77777777" w:rsidR="00D170E5" w:rsidRPr="002B55E9" w:rsidRDefault="00EF27AD">
            <w:pPr>
              <w:pStyle w:val="lgy-"/>
            </w:pPr>
            <w:r w:rsidRPr="002B55E9">
              <w:rPr>
                <w:rFonts w:eastAsia="宋体"/>
              </w:rPr>
              <w:t>工作时间（</w:t>
            </w:r>
            <w:r w:rsidRPr="002B55E9">
              <w:rPr>
                <w:rFonts w:eastAsia="宋体"/>
              </w:rPr>
              <w:t>h</w:t>
            </w:r>
            <w:r w:rsidRPr="002B55E9">
              <w:rPr>
                <w:rFonts w:eastAsia="宋体"/>
              </w:rPr>
              <w:t>）</w:t>
            </w:r>
          </w:p>
        </w:tc>
        <w:tc>
          <w:tcPr>
            <w:tcW w:w="1748" w:type="dxa"/>
          </w:tcPr>
          <w:p w14:paraId="295DA183" w14:textId="77777777" w:rsidR="00D170E5" w:rsidRPr="002B55E9" w:rsidRDefault="00EF27AD">
            <w:pPr>
              <w:pStyle w:val="lgy-"/>
              <w:rPr>
                <w:rFonts w:eastAsia="宋体"/>
              </w:rPr>
            </w:pPr>
            <w:r w:rsidRPr="002B55E9">
              <w:rPr>
                <w:rFonts w:eastAsia="宋体"/>
              </w:rPr>
              <w:t>排放量（</w:t>
            </w:r>
            <w:r w:rsidRPr="002B55E9">
              <w:rPr>
                <w:rFonts w:eastAsia="宋体" w:hint="eastAsia"/>
              </w:rPr>
              <w:t>t</w:t>
            </w:r>
            <w:r w:rsidRPr="002B55E9">
              <w:rPr>
                <w:rFonts w:eastAsia="宋体"/>
              </w:rPr>
              <w:t>/a</w:t>
            </w:r>
            <w:r w:rsidRPr="002B55E9">
              <w:rPr>
                <w:rFonts w:eastAsia="宋体"/>
              </w:rPr>
              <w:t>）</w:t>
            </w:r>
          </w:p>
        </w:tc>
      </w:tr>
      <w:tr w:rsidR="002B55E9" w:rsidRPr="002B55E9" w14:paraId="0C9EA1CE" w14:textId="77777777" w:rsidTr="00EF27AD">
        <w:trPr>
          <w:trHeight w:val="283"/>
        </w:trPr>
        <w:tc>
          <w:tcPr>
            <w:tcW w:w="2187" w:type="dxa"/>
          </w:tcPr>
          <w:p w14:paraId="01CE82AA" w14:textId="77777777" w:rsidR="00D170E5" w:rsidRPr="002B55E9" w:rsidRDefault="00EF27AD">
            <w:pPr>
              <w:pStyle w:val="lgy-"/>
            </w:pPr>
            <w:r w:rsidRPr="002B55E9">
              <w:rPr>
                <w:rFonts w:eastAsia="宋体"/>
              </w:rPr>
              <w:t>开口阀或开口管线</w:t>
            </w:r>
          </w:p>
        </w:tc>
        <w:tc>
          <w:tcPr>
            <w:tcW w:w="970" w:type="dxa"/>
          </w:tcPr>
          <w:p w14:paraId="6A7754B9" w14:textId="77777777" w:rsidR="00D170E5" w:rsidRPr="002B55E9" w:rsidRDefault="00EF27AD">
            <w:pPr>
              <w:pStyle w:val="lgy-"/>
            </w:pPr>
            <w:r w:rsidRPr="002B55E9">
              <w:rPr>
                <w:rFonts w:eastAsia="宋体"/>
              </w:rPr>
              <w:t>50</w:t>
            </w:r>
          </w:p>
        </w:tc>
        <w:tc>
          <w:tcPr>
            <w:tcW w:w="1664" w:type="dxa"/>
          </w:tcPr>
          <w:p w14:paraId="7EFA3A69" w14:textId="77777777" w:rsidR="00D170E5" w:rsidRPr="002B55E9" w:rsidRDefault="00EF27AD">
            <w:pPr>
              <w:pStyle w:val="lgy-"/>
            </w:pPr>
            <w:r w:rsidRPr="002B55E9">
              <w:rPr>
                <w:rFonts w:eastAsia="宋体"/>
              </w:rPr>
              <w:t>0.03</w:t>
            </w:r>
          </w:p>
        </w:tc>
        <w:tc>
          <w:tcPr>
            <w:tcW w:w="1664" w:type="dxa"/>
          </w:tcPr>
          <w:p w14:paraId="609FD2FE" w14:textId="77777777" w:rsidR="00D170E5" w:rsidRPr="002B55E9" w:rsidRDefault="00EF27AD">
            <w:pPr>
              <w:pStyle w:val="lgy-"/>
            </w:pPr>
            <w:r w:rsidRPr="002B55E9">
              <w:rPr>
                <w:rFonts w:eastAsia="宋体"/>
              </w:rPr>
              <w:t>0.005</w:t>
            </w:r>
          </w:p>
        </w:tc>
        <w:tc>
          <w:tcPr>
            <w:tcW w:w="1405" w:type="dxa"/>
          </w:tcPr>
          <w:p w14:paraId="6E6E360F" w14:textId="77777777" w:rsidR="00D170E5" w:rsidRPr="002B55E9" w:rsidRDefault="00EF27AD">
            <w:pPr>
              <w:pStyle w:val="lgy-"/>
            </w:pPr>
            <w:r w:rsidRPr="002B55E9">
              <w:rPr>
                <w:rFonts w:eastAsia="宋体"/>
              </w:rPr>
              <w:t>7920</w:t>
            </w:r>
          </w:p>
        </w:tc>
        <w:tc>
          <w:tcPr>
            <w:tcW w:w="1748" w:type="dxa"/>
          </w:tcPr>
          <w:p w14:paraId="151CCAD9" w14:textId="77777777" w:rsidR="00D170E5" w:rsidRPr="002B55E9" w:rsidRDefault="00EF27AD">
            <w:pPr>
              <w:pStyle w:val="lgy-"/>
              <w:rPr>
                <w:rFonts w:eastAsia="宋体"/>
              </w:rPr>
            </w:pPr>
            <w:r w:rsidRPr="002B55E9">
              <w:rPr>
                <w:rFonts w:eastAsia="宋体"/>
              </w:rPr>
              <w:t>0.036</w:t>
            </w:r>
          </w:p>
        </w:tc>
      </w:tr>
      <w:tr w:rsidR="002B55E9" w:rsidRPr="002B55E9" w14:paraId="7530C332" w14:textId="77777777" w:rsidTr="00EF27AD">
        <w:trPr>
          <w:trHeight w:val="283"/>
        </w:trPr>
        <w:tc>
          <w:tcPr>
            <w:tcW w:w="2187" w:type="dxa"/>
          </w:tcPr>
          <w:p w14:paraId="3CB20D70" w14:textId="77777777" w:rsidR="00D170E5" w:rsidRPr="002B55E9" w:rsidRDefault="00EF27AD">
            <w:pPr>
              <w:pStyle w:val="lgy-"/>
            </w:pPr>
            <w:r w:rsidRPr="002B55E9">
              <w:rPr>
                <w:rFonts w:eastAsia="宋体"/>
              </w:rPr>
              <w:t>有机液体阀门</w:t>
            </w:r>
          </w:p>
        </w:tc>
        <w:tc>
          <w:tcPr>
            <w:tcW w:w="970" w:type="dxa"/>
          </w:tcPr>
          <w:p w14:paraId="15BA64F8" w14:textId="77777777" w:rsidR="00D170E5" w:rsidRPr="002B55E9" w:rsidRDefault="00EF27AD">
            <w:pPr>
              <w:pStyle w:val="lgy-"/>
            </w:pPr>
            <w:r w:rsidRPr="002B55E9">
              <w:rPr>
                <w:rFonts w:eastAsia="宋体"/>
              </w:rPr>
              <w:t>40</w:t>
            </w:r>
          </w:p>
        </w:tc>
        <w:tc>
          <w:tcPr>
            <w:tcW w:w="1664" w:type="dxa"/>
          </w:tcPr>
          <w:p w14:paraId="2AC04B6C" w14:textId="77777777" w:rsidR="00D170E5" w:rsidRPr="002B55E9" w:rsidRDefault="00EF27AD">
            <w:pPr>
              <w:pStyle w:val="lgy-"/>
            </w:pPr>
            <w:r w:rsidRPr="002B55E9">
              <w:rPr>
                <w:rFonts w:eastAsia="宋体"/>
              </w:rPr>
              <w:t>0.036</w:t>
            </w:r>
          </w:p>
        </w:tc>
        <w:tc>
          <w:tcPr>
            <w:tcW w:w="1664" w:type="dxa"/>
          </w:tcPr>
          <w:p w14:paraId="2E1A3318" w14:textId="77777777" w:rsidR="00D170E5" w:rsidRPr="002B55E9" w:rsidRDefault="00EF27AD">
            <w:pPr>
              <w:pStyle w:val="lgy-"/>
            </w:pPr>
            <w:r w:rsidRPr="002B55E9">
              <w:rPr>
                <w:rFonts w:eastAsia="宋体"/>
              </w:rPr>
              <w:t>0.004</w:t>
            </w:r>
          </w:p>
        </w:tc>
        <w:tc>
          <w:tcPr>
            <w:tcW w:w="1405" w:type="dxa"/>
          </w:tcPr>
          <w:p w14:paraId="3E26F6C9" w14:textId="77777777" w:rsidR="00D170E5" w:rsidRPr="002B55E9" w:rsidRDefault="00EF27AD">
            <w:pPr>
              <w:pStyle w:val="lgy-"/>
            </w:pPr>
            <w:r w:rsidRPr="002B55E9">
              <w:rPr>
                <w:rFonts w:eastAsia="宋体"/>
              </w:rPr>
              <w:t>7920</w:t>
            </w:r>
          </w:p>
        </w:tc>
        <w:tc>
          <w:tcPr>
            <w:tcW w:w="1748" w:type="dxa"/>
          </w:tcPr>
          <w:p w14:paraId="77D65967" w14:textId="77777777" w:rsidR="00D170E5" w:rsidRPr="002B55E9" w:rsidRDefault="00EF27AD">
            <w:pPr>
              <w:pStyle w:val="lgy-"/>
              <w:rPr>
                <w:rFonts w:eastAsia="宋体"/>
              </w:rPr>
            </w:pPr>
            <w:r w:rsidRPr="002B55E9">
              <w:rPr>
                <w:rFonts w:eastAsia="宋体"/>
              </w:rPr>
              <w:t>0.034</w:t>
            </w:r>
          </w:p>
        </w:tc>
      </w:tr>
      <w:tr w:rsidR="002B55E9" w:rsidRPr="002B55E9" w14:paraId="7538D71C" w14:textId="77777777" w:rsidTr="00EF27AD">
        <w:trPr>
          <w:trHeight w:val="283"/>
        </w:trPr>
        <w:tc>
          <w:tcPr>
            <w:tcW w:w="2187" w:type="dxa"/>
          </w:tcPr>
          <w:p w14:paraId="6ABD3BE3" w14:textId="77777777" w:rsidR="00D170E5" w:rsidRPr="002B55E9" w:rsidRDefault="00EF27AD">
            <w:pPr>
              <w:pStyle w:val="lgy-"/>
            </w:pPr>
            <w:r w:rsidRPr="002B55E9">
              <w:rPr>
                <w:rFonts w:eastAsia="宋体"/>
              </w:rPr>
              <w:t>法兰或连接件</w:t>
            </w:r>
          </w:p>
        </w:tc>
        <w:tc>
          <w:tcPr>
            <w:tcW w:w="970" w:type="dxa"/>
          </w:tcPr>
          <w:p w14:paraId="78AF74DD" w14:textId="77777777" w:rsidR="00D170E5" w:rsidRPr="002B55E9" w:rsidRDefault="00EF27AD">
            <w:pPr>
              <w:pStyle w:val="lgy-"/>
            </w:pPr>
            <w:r w:rsidRPr="002B55E9">
              <w:rPr>
                <w:rFonts w:eastAsia="宋体"/>
              </w:rPr>
              <w:t>300</w:t>
            </w:r>
          </w:p>
        </w:tc>
        <w:tc>
          <w:tcPr>
            <w:tcW w:w="1664" w:type="dxa"/>
          </w:tcPr>
          <w:p w14:paraId="7E2336B8" w14:textId="77777777" w:rsidR="00D170E5" w:rsidRPr="002B55E9" w:rsidRDefault="00EF27AD">
            <w:pPr>
              <w:pStyle w:val="lgy-"/>
            </w:pPr>
            <w:r w:rsidRPr="002B55E9">
              <w:rPr>
                <w:rFonts w:eastAsia="宋体"/>
              </w:rPr>
              <w:t>0.044</w:t>
            </w:r>
          </w:p>
        </w:tc>
        <w:tc>
          <w:tcPr>
            <w:tcW w:w="1664" w:type="dxa"/>
          </w:tcPr>
          <w:p w14:paraId="27F73B8A" w14:textId="77777777" w:rsidR="00D170E5" w:rsidRPr="002B55E9" w:rsidRDefault="00EF27AD">
            <w:pPr>
              <w:pStyle w:val="lgy-"/>
            </w:pPr>
            <w:r w:rsidRPr="002B55E9">
              <w:rPr>
                <w:rFonts w:eastAsia="宋体"/>
              </w:rPr>
              <w:t>0.040</w:t>
            </w:r>
          </w:p>
        </w:tc>
        <w:tc>
          <w:tcPr>
            <w:tcW w:w="1405" w:type="dxa"/>
          </w:tcPr>
          <w:p w14:paraId="52B3D900" w14:textId="77777777" w:rsidR="00D170E5" w:rsidRPr="002B55E9" w:rsidRDefault="00EF27AD">
            <w:pPr>
              <w:pStyle w:val="lgy-"/>
            </w:pPr>
            <w:r w:rsidRPr="002B55E9">
              <w:rPr>
                <w:rFonts w:eastAsia="宋体"/>
              </w:rPr>
              <w:t>7920</w:t>
            </w:r>
          </w:p>
        </w:tc>
        <w:tc>
          <w:tcPr>
            <w:tcW w:w="1748" w:type="dxa"/>
          </w:tcPr>
          <w:p w14:paraId="5898B3DC" w14:textId="77777777" w:rsidR="00D170E5" w:rsidRPr="002B55E9" w:rsidRDefault="00EF27AD">
            <w:pPr>
              <w:pStyle w:val="lgy-"/>
              <w:rPr>
                <w:rFonts w:eastAsia="宋体"/>
              </w:rPr>
            </w:pPr>
            <w:r w:rsidRPr="002B55E9">
              <w:rPr>
                <w:rFonts w:eastAsia="宋体"/>
              </w:rPr>
              <w:t>0.314</w:t>
            </w:r>
          </w:p>
        </w:tc>
      </w:tr>
      <w:tr w:rsidR="002B55E9" w:rsidRPr="002B55E9" w14:paraId="2BA54618" w14:textId="77777777" w:rsidTr="00EF27AD">
        <w:trPr>
          <w:trHeight w:val="283"/>
        </w:trPr>
        <w:tc>
          <w:tcPr>
            <w:tcW w:w="2187" w:type="dxa"/>
          </w:tcPr>
          <w:p w14:paraId="20A1455C" w14:textId="77777777" w:rsidR="00D170E5" w:rsidRPr="002B55E9" w:rsidRDefault="00EF27AD">
            <w:pPr>
              <w:pStyle w:val="lgy-"/>
            </w:pPr>
            <w:r w:rsidRPr="002B55E9">
              <w:rPr>
                <w:rFonts w:eastAsia="宋体"/>
              </w:rPr>
              <w:t>泵、压缩机、搅拌器、泄压设备等</w:t>
            </w:r>
          </w:p>
        </w:tc>
        <w:tc>
          <w:tcPr>
            <w:tcW w:w="970" w:type="dxa"/>
          </w:tcPr>
          <w:p w14:paraId="65EE9B62" w14:textId="77777777" w:rsidR="00D170E5" w:rsidRPr="002B55E9" w:rsidRDefault="00EF27AD">
            <w:pPr>
              <w:pStyle w:val="lgy-"/>
            </w:pPr>
            <w:r w:rsidRPr="002B55E9">
              <w:rPr>
                <w:rFonts w:eastAsia="宋体"/>
              </w:rPr>
              <w:t>20</w:t>
            </w:r>
          </w:p>
        </w:tc>
        <w:tc>
          <w:tcPr>
            <w:tcW w:w="1664" w:type="dxa"/>
          </w:tcPr>
          <w:p w14:paraId="0DCBEAF4" w14:textId="77777777" w:rsidR="00D170E5" w:rsidRPr="002B55E9" w:rsidRDefault="00EF27AD">
            <w:pPr>
              <w:pStyle w:val="lgy-"/>
            </w:pPr>
            <w:r w:rsidRPr="002B55E9">
              <w:rPr>
                <w:rFonts w:eastAsia="宋体"/>
              </w:rPr>
              <w:t>0.14</w:t>
            </w:r>
          </w:p>
        </w:tc>
        <w:tc>
          <w:tcPr>
            <w:tcW w:w="1664" w:type="dxa"/>
          </w:tcPr>
          <w:p w14:paraId="630138C7" w14:textId="77777777" w:rsidR="00D170E5" w:rsidRPr="002B55E9" w:rsidRDefault="00EF27AD">
            <w:pPr>
              <w:pStyle w:val="lgy-"/>
            </w:pPr>
            <w:r w:rsidRPr="002B55E9">
              <w:rPr>
                <w:rFonts w:eastAsia="宋体"/>
              </w:rPr>
              <w:t>0.008</w:t>
            </w:r>
          </w:p>
        </w:tc>
        <w:tc>
          <w:tcPr>
            <w:tcW w:w="1405" w:type="dxa"/>
          </w:tcPr>
          <w:p w14:paraId="40EC1597" w14:textId="77777777" w:rsidR="00D170E5" w:rsidRPr="002B55E9" w:rsidRDefault="00EF27AD">
            <w:pPr>
              <w:pStyle w:val="lgy-"/>
            </w:pPr>
            <w:r w:rsidRPr="002B55E9">
              <w:rPr>
                <w:rFonts w:eastAsia="宋体"/>
              </w:rPr>
              <w:t>7920</w:t>
            </w:r>
          </w:p>
        </w:tc>
        <w:tc>
          <w:tcPr>
            <w:tcW w:w="1748" w:type="dxa"/>
          </w:tcPr>
          <w:p w14:paraId="3C051FE4" w14:textId="77777777" w:rsidR="00D170E5" w:rsidRPr="002B55E9" w:rsidRDefault="00EF27AD">
            <w:pPr>
              <w:pStyle w:val="lgy-"/>
              <w:rPr>
                <w:rFonts w:eastAsia="宋体"/>
              </w:rPr>
            </w:pPr>
            <w:r w:rsidRPr="002B55E9">
              <w:rPr>
                <w:rFonts w:eastAsia="宋体"/>
              </w:rPr>
              <w:t>0.067</w:t>
            </w:r>
          </w:p>
        </w:tc>
      </w:tr>
      <w:tr w:rsidR="002B55E9" w:rsidRPr="002B55E9" w14:paraId="56D76547" w14:textId="77777777" w:rsidTr="00EF27AD">
        <w:trPr>
          <w:trHeight w:val="283"/>
        </w:trPr>
        <w:tc>
          <w:tcPr>
            <w:tcW w:w="4821" w:type="dxa"/>
            <w:gridSpan w:val="3"/>
          </w:tcPr>
          <w:p w14:paraId="7E7EDF81" w14:textId="77777777" w:rsidR="00D170E5" w:rsidRPr="002B55E9" w:rsidRDefault="00EF27AD">
            <w:pPr>
              <w:pStyle w:val="lgy-"/>
            </w:pPr>
            <w:r w:rsidRPr="002B55E9">
              <w:rPr>
                <w:rFonts w:eastAsia="宋体"/>
              </w:rPr>
              <w:t>合计</w:t>
            </w:r>
          </w:p>
        </w:tc>
        <w:tc>
          <w:tcPr>
            <w:tcW w:w="1664" w:type="dxa"/>
          </w:tcPr>
          <w:p w14:paraId="6451616E" w14:textId="77777777" w:rsidR="00D170E5" w:rsidRPr="002B55E9" w:rsidRDefault="00EF27AD">
            <w:pPr>
              <w:pStyle w:val="lgy-"/>
            </w:pPr>
            <w:r w:rsidRPr="002B55E9">
              <w:rPr>
                <w:rFonts w:eastAsia="宋体"/>
              </w:rPr>
              <w:t>0.057</w:t>
            </w:r>
          </w:p>
        </w:tc>
        <w:tc>
          <w:tcPr>
            <w:tcW w:w="1405" w:type="dxa"/>
          </w:tcPr>
          <w:p w14:paraId="2113A5AF" w14:textId="77777777" w:rsidR="00D170E5" w:rsidRPr="002B55E9" w:rsidRDefault="00EF27AD">
            <w:pPr>
              <w:pStyle w:val="lgy-"/>
            </w:pPr>
            <w:r w:rsidRPr="002B55E9">
              <w:rPr>
                <w:rFonts w:eastAsia="宋体"/>
              </w:rPr>
              <w:t>7920</w:t>
            </w:r>
          </w:p>
        </w:tc>
        <w:tc>
          <w:tcPr>
            <w:tcW w:w="1748" w:type="dxa"/>
          </w:tcPr>
          <w:p w14:paraId="09C7F38F" w14:textId="77777777" w:rsidR="00D170E5" w:rsidRPr="002B55E9" w:rsidRDefault="00EF27AD">
            <w:pPr>
              <w:pStyle w:val="lgy-"/>
              <w:rPr>
                <w:rFonts w:eastAsia="宋体"/>
              </w:rPr>
            </w:pPr>
            <w:r w:rsidRPr="002B55E9">
              <w:rPr>
                <w:rFonts w:eastAsia="宋体"/>
              </w:rPr>
              <w:t>0.450</w:t>
            </w:r>
          </w:p>
        </w:tc>
      </w:tr>
    </w:tbl>
    <w:p w14:paraId="205534B4" w14:textId="77777777" w:rsidR="00D170E5" w:rsidRPr="002B55E9" w:rsidRDefault="00EF27AD">
      <w:pPr>
        <w:pStyle w:val="5"/>
        <w:numPr>
          <w:ilvl w:val="4"/>
          <w:numId w:val="19"/>
        </w:numPr>
      </w:pPr>
      <w:r w:rsidRPr="002B55E9">
        <w:rPr>
          <w:rFonts w:hint="eastAsia"/>
        </w:rPr>
        <w:t>废气</w:t>
      </w:r>
      <w:r w:rsidRPr="002B55E9">
        <w:t>有组织</w:t>
      </w:r>
      <w:r w:rsidRPr="002B55E9">
        <w:rPr>
          <w:rFonts w:hint="eastAsia"/>
        </w:rPr>
        <w:t>达标</w:t>
      </w:r>
      <w:r w:rsidRPr="002B55E9">
        <w:t>分析</w:t>
      </w:r>
    </w:p>
    <w:p w14:paraId="7FD3A40B" w14:textId="77777777" w:rsidR="00D170E5" w:rsidRPr="002B55E9" w:rsidRDefault="00EF27AD">
      <w:pPr>
        <w:ind w:firstLine="480"/>
        <w:rPr>
          <w:sz w:val="24"/>
          <w:szCs w:val="24"/>
        </w:rPr>
      </w:pPr>
      <w:r w:rsidRPr="002B55E9">
        <w:rPr>
          <w:rFonts w:hint="eastAsia"/>
          <w:sz w:val="24"/>
          <w:szCs w:val="24"/>
        </w:rPr>
        <w:t>拟建项目有组织废气达标排放分析见下表。</w:t>
      </w:r>
    </w:p>
    <w:p w14:paraId="75494536" w14:textId="7F3A6F8B" w:rsidR="00D170E5" w:rsidRPr="002B55E9" w:rsidRDefault="00EF27AD" w:rsidP="00D0790C">
      <w:pPr>
        <w:pStyle w:val="1f3"/>
        <w:tabs>
          <w:tab w:val="center" w:pos="4819"/>
          <w:tab w:val="left" w:pos="7893"/>
        </w:tabs>
        <w:spacing w:beforeLines="0" w:before="0"/>
      </w:pPr>
      <w:r w:rsidRPr="002B55E9">
        <w:rPr>
          <w:rFonts w:hint="eastAsia"/>
        </w:rPr>
        <w:lastRenderedPageBreak/>
        <w:t>表</w:t>
      </w:r>
      <w:r w:rsidRPr="002B55E9">
        <w:rPr>
          <w:rFonts w:hint="eastAsia"/>
        </w:rPr>
        <w:t>3-3-</w:t>
      </w:r>
      <w:r w:rsidRPr="002B55E9">
        <w:t>25</w:t>
      </w:r>
      <w:r w:rsidRPr="002B55E9">
        <w:rPr>
          <w:rFonts w:hint="eastAsia"/>
        </w:rPr>
        <w:t xml:space="preserve">  </w:t>
      </w:r>
      <w:r w:rsidRPr="002B55E9">
        <w:rPr>
          <w:rFonts w:hint="eastAsia"/>
        </w:rPr>
        <w:t>废气有组织排放</w:t>
      </w:r>
      <w:r w:rsidRPr="002B55E9">
        <w:t>达标分析判定表</w:t>
      </w:r>
    </w:p>
    <w:tbl>
      <w:tblPr>
        <w:tblStyle w:val="lgy2"/>
        <w:tblW w:w="5000" w:type="pct"/>
        <w:tblLayout w:type="fixed"/>
        <w:tblCellMar>
          <w:left w:w="28" w:type="dxa"/>
          <w:right w:w="28" w:type="dxa"/>
        </w:tblCellMar>
        <w:tblLook w:val="04A0" w:firstRow="1" w:lastRow="0" w:firstColumn="1" w:lastColumn="0" w:noHBand="0" w:noVBand="1"/>
      </w:tblPr>
      <w:tblGrid>
        <w:gridCol w:w="1139"/>
        <w:gridCol w:w="999"/>
        <w:gridCol w:w="1712"/>
        <w:gridCol w:w="1674"/>
        <w:gridCol w:w="1749"/>
        <w:gridCol w:w="1568"/>
        <w:gridCol w:w="853"/>
      </w:tblGrid>
      <w:tr w:rsidR="002B55E9" w:rsidRPr="002B55E9" w14:paraId="441CBAFC" w14:textId="77777777" w:rsidTr="00D0790C">
        <w:trPr>
          <w:cnfStyle w:val="100000000000" w:firstRow="1" w:lastRow="0" w:firstColumn="0" w:lastColumn="0" w:oddVBand="0" w:evenVBand="0" w:oddHBand="0" w:evenHBand="0" w:firstRowFirstColumn="0" w:firstRowLastColumn="0" w:lastRowFirstColumn="0" w:lastRowLastColumn="0"/>
          <w:trHeight w:val="283"/>
        </w:trPr>
        <w:tc>
          <w:tcPr>
            <w:tcW w:w="1133" w:type="dxa"/>
            <w:vMerge w:val="restart"/>
          </w:tcPr>
          <w:p w14:paraId="16F11557" w14:textId="77777777" w:rsidR="00D170E5" w:rsidRPr="002B55E9" w:rsidRDefault="00EF27AD" w:rsidP="00D0790C">
            <w:pPr>
              <w:pStyle w:val="lgy-"/>
              <w:rPr>
                <w:rFonts w:eastAsia="宋体"/>
              </w:rPr>
            </w:pPr>
            <w:r w:rsidRPr="002B55E9">
              <w:rPr>
                <w:rFonts w:eastAsia="宋体"/>
              </w:rPr>
              <w:t>废气排放源</w:t>
            </w:r>
          </w:p>
        </w:tc>
        <w:tc>
          <w:tcPr>
            <w:tcW w:w="993" w:type="dxa"/>
            <w:vMerge w:val="restart"/>
          </w:tcPr>
          <w:p w14:paraId="39CC73A9" w14:textId="77777777" w:rsidR="00D170E5" w:rsidRPr="002B55E9" w:rsidRDefault="00EF27AD" w:rsidP="00D0790C">
            <w:pPr>
              <w:pStyle w:val="lgy-"/>
              <w:rPr>
                <w:rFonts w:eastAsia="宋体"/>
              </w:rPr>
            </w:pPr>
            <w:r w:rsidRPr="002B55E9">
              <w:rPr>
                <w:rFonts w:eastAsia="宋体"/>
              </w:rPr>
              <w:t>污染物种类</w:t>
            </w:r>
          </w:p>
        </w:tc>
        <w:tc>
          <w:tcPr>
            <w:tcW w:w="3366" w:type="dxa"/>
            <w:gridSpan w:val="2"/>
          </w:tcPr>
          <w:p w14:paraId="737DF80D" w14:textId="77777777" w:rsidR="00D170E5" w:rsidRPr="002B55E9" w:rsidRDefault="00EF27AD" w:rsidP="00D0790C">
            <w:pPr>
              <w:pStyle w:val="lgy-"/>
              <w:rPr>
                <w:rFonts w:eastAsia="宋体"/>
              </w:rPr>
            </w:pPr>
            <w:r w:rsidRPr="002B55E9">
              <w:rPr>
                <w:rFonts w:eastAsia="宋体"/>
              </w:rPr>
              <w:t>排放情况</w:t>
            </w:r>
          </w:p>
        </w:tc>
        <w:tc>
          <w:tcPr>
            <w:tcW w:w="3298" w:type="dxa"/>
            <w:gridSpan w:val="2"/>
          </w:tcPr>
          <w:p w14:paraId="42A20CE0" w14:textId="77777777" w:rsidR="00D170E5" w:rsidRPr="002B55E9" w:rsidRDefault="00EF27AD" w:rsidP="00D0790C">
            <w:pPr>
              <w:pStyle w:val="lgy-"/>
              <w:rPr>
                <w:rFonts w:eastAsia="宋体"/>
              </w:rPr>
            </w:pPr>
            <w:r w:rsidRPr="002B55E9">
              <w:rPr>
                <w:rFonts w:eastAsia="宋体"/>
              </w:rPr>
              <w:t>排放限值</w:t>
            </w:r>
          </w:p>
        </w:tc>
        <w:tc>
          <w:tcPr>
            <w:tcW w:w="848" w:type="dxa"/>
            <w:vMerge w:val="restart"/>
          </w:tcPr>
          <w:p w14:paraId="5DD4B47B" w14:textId="77777777" w:rsidR="00D170E5" w:rsidRPr="002B55E9" w:rsidRDefault="00EF27AD" w:rsidP="00D0790C">
            <w:pPr>
              <w:pStyle w:val="lgy-"/>
              <w:rPr>
                <w:rFonts w:eastAsia="宋体"/>
              </w:rPr>
            </w:pPr>
            <w:r w:rsidRPr="002B55E9">
              <w:rPr>
                <w:rFonts w:eastAsia="宋体"/>
              </w:rPr>
              <w:t>达标判定</w:t>
            </w:r>
          </w:p>
        </w:tc>
      </w:tr>
      <w:tr w:rsidR="002B55E9" w:rsidRPr="002B55E9" w14:paraId="0EE46B0D" w14:textId="77777777" w:rsidTr="00D0790C">
        <w:trPr>
          <w:trHeight w:val="283"/>
        </w:trPr>
        <w:tc>
          <w:tcPr>
            <w:tcW w:w="1133" w:type="dxa"/>
            <w:vMerge/>
          </w:tcPr>
          <w:p w14:paraId="1D3E2965" w14:textId="77777777" w:rsidR="00D170E5" w:rsidRPr="002B55E9" w:rsidRDefault="00D170E5" w:rsidP="00D0790C">
            <w:pPr>
              <w:pStyle w:val="lgy-"/>
              <w:rPr>
                <w:rFonts w:eastAsia="宋体"/>
              </w:rPr>
            </w:pPr>
          </w:p>
        </w:tc>
        <w:tc>
          <w:tcPr>
            <w:tcW w:w="993" w:type="dxa"/>
            <w:vMerge/>
          </w:tcPr>
          <w:p w14:paraId="74C6C4FB" w14:textId="77777777" w:rsidR="00D170E5" w:rsidRPr="002B55E9" w:rsidRDefault="00D170E5" w:rsidP="00D0790C">
            <w:pPr>
              <w:pStyle w:val="lgy-"/>
              <w:rPr>
                <w:rFonts w:eastAsia="宋体"/>
              </w:rPr>
            </w:pPr>
          </w:p>
        </w:tc>
        <w:tc>
          <w:tcPr>
            <w:tcW w:w="1702" w:type="dxa"/>
          </w:tcPr>
          <w:p w14:paraId="087FC15B" w14:textId="77777777" w:rsidR="00D170E5" w:rsidRPr="002B55E9" w:rsidRDefault="00EF27AD" w:rsidP="00D0790C">
            <w:pPr>
              <w:pStyle w:val="lgy-"/>
              <w:rPr>
                <w:rFonts w:eastAsia="宋体"/>
              </w:rPr>
            </w:pPr>
            <w:r w:rsidRPr="002B55E9">
              <w:rPr>
                <w:rFonts w:eastAsia="宋体"/>
              </w:rPr>
              <w:t>排放浓度（</w:t>
            </w:r>
            <w:r w:rsidRPr="002B55E9">
              <w:rPr>
                <w:rFonts w:eastAsia="宋体"/>
              </w:rPr>
              <w:t>mg/m</w:t>
            </w:r>
            <w:r w:rsidRPr="002B55E9">
              <w:rPr>
                <w:rFonts w:eastAsia="宋体"/>
                <w:vertAlign w:val="superscript"/>
              </w:rPr>
              <w:t>3</w:t>
            </w:r>
            <w:r w:rsidRPr="002B55E9">
              <w:rPr>
                <w:rFonts w:eastAsia="宋体"/>
              </w:rPr>
              <w:t>）</w:t>
            </w:r>
          </w:p>
        </w:tc>
        <w:tc>
          <w:tcPr>
            <w:tcW w:w="1664" w:type="dxa"/>
          </w:tcPr>
          <w:p w14:paraId="28297064" w14:textId="77777777" w:rsidR="00D170E5" w:rsidRPr="002B55E9" w:rsidRDefault="00EF27AD" w:rsidP="00D0790C">
            <w:pPr>
              <w:pStyle w:val="lgy-"/>
              <w:rPr>
                <w:rFonts w:eastAsia="宋体"/>
              </w:rPr>
            </w:pPr>
            <w:r w:rsidRPr="002B55E9">
              <w:rPr>
                <w:rFonts w:eastAsia="宋体"/>
              </w:rPr>
              <w:t>排放速率（</w:t>
            </w:r>
            <w:r w:rsidRPr="002B55E9">
              <w:rPr>
                <w:rFonts w:eastAsia="宋体"/>
              </w:rPr>
              <w:t>kg/h</w:t>
            </w:r>
            <w:r w:rsidRPr="002B55E9">
              <w:rPr>
                <w:rFonts w:eastAsia="宋体"/>
              </w:rPr>
              <w:t>）</w:t>
            </w:r>
          </w:p>
        </w:tc>
        <w:tc>
          <w:tcPr>
            <w:tcW w:w="1739" w:type="dxa"/>
          </w:tcPr>
          <w:p w14:paraId="58C965DF" w14:textId="77777777" w:rsidR="00D170E5" w:rsidRPr="002B55E9" w:rsidRDefault="00EF27AD" w:rsidP="00D0790C">
            <w:pPr>
              <w:pStyle w:val="lgy-"/>
              <w:rPr>
                <w:rFonts w:eastAsia="宋体"/>
              </w:rPr>
            </w:pPr>
            <w:r w:rsidRPr="002B55E9">
              <w:rPr>
                <w:rFonts w:eastAsia="宋体"/>
              </w:rPr>
              <w:t>浓度限值（</w:t>
            </w:r>
            <w:r w:rsidRPr="002B55E9">
              <w:rPr>
                <w:rFonts w:eastAsia="宋体"/>
              </w:rPr>
              <w:t>mg/m</w:t>
            </w:r>
            <w:r w:rsidRPr="002B55E9">
              <w:rPr>
                <w:rFonts w:eastAsia="宋体"/>
                <w:vertAlign w:val="superscript"/>
              </w:rPr>
              <w:t>3</w:t>
            </w:r>
            <w:r w:rsidRPr="002B55E9">
              <w:rPr>
                <w:rFonts w:eastAsia="宋体"/>
              </w:rPr>
              <w:t>）</w:t>
            </w:r>
          </w:p>
        </w:tc>
        <w:tc>
          <w:tcPr>
            <w:tcW w:w="1559" w:type="dxa"/>
          </w:tcPr>
          <w:p w14:paraId="41560908" w14:textId="77777777" w:rsidR="00D170E5" w:rsidRPr="002B55E9" w:rsidRDefault="00EF27AD" w:rsidP="00D0790C">
            <w:pPr>
              <w:pStyle w:val="lgy-"/>
              <w:rPr>
                <w:rFonts w:eastAsia="宋体"/>
              </w:rPr>
            </w:pPr>
            <w:r w:rsidRPr="002B55E9">
              <w:rPr>
                <w:rFonts w:eastAsia="宋体"/>
              </w:rPr>
              <w:t>速率限值（</w:t>
            </w:r>
            <w:r w:rsidRPr="002B55E9">
              <w:rPr>
                <w:rFonts w:eastAsia="宋体"/>
              </w:rPr>
              <w:t>kg/h</w:t>
            </w:r>
            <w:r w:rsidRPr="002B55E9">
              <w:rPr>
                <w:rFonts w:eastAsia="宋体"/>
              </w:rPr>
              <w:t>）</w:t>
            </w:r>
          </w:p>
        </w:tc>
        <w:tc>
          <w:tcPr>
            <w:tcW w:w="848" w:type="dxa"/>
            <w:vMerge/>
          </w:tcPr>
          <w:p w14:paraId="1CA55CC3" w14:textId="77777777" w:rsidR="00D170E5" w:rsidRPr="002B55E9" w:rsidRDefault="00D170E5" w:rsidP="00D0790C">
            <w:pPr>
              <w:pStyle w:val="lgy-"/>
              <w:rPr>
                <w:rFonts w:eastAsia="宋体"/>
              </w:rPr>
            </w:pPr>
          </w:p>
        </w:tc>
      </w:tr>
      <w:tr w:rsidR="002B55E9" w:rsidRPr="002B55E9" w14:paraId="7AB8BD9E" w14:textId="77777777" w:rsidTr="00D0790C">
        <w:trPr>
          <w:trHeight w:val="283"/>
        </w:trPr>
        <w:tc>
          <w:tcPr>
            <w:tcW w:w="1133" w:type="dxa"/>
          </w:tcPr>
          <w:p w14:paraId="6BEB8CC4" w14:textId="77777777" w:rsidR="00D170E5" w:rsidRPr="002B55E9" w:rsidRDefault="00EF27AD" w:rsidP="00D0790C">
            <w:pPr>
              <w:pStyle w:val="lgy-"/>
              <w:rPr>
                <w:rFonts w:eastAsia="宋体"/>
              </w:rPr>
            </w:pPr>
            <w:r w:rsidRPr="002B55E9">
              <w:rPr>
                <w:rFonts w:eastAsia="宋体"/>
              </w:rPr>
              <w:t>DA001</w:t>
            </w:r>
          </w:p>
        </w:tc>
        <w:tc>
          <w:tcPr>
            <w:tcW w:w="993" w:type="dxa"/>
          </w:tcPr>
          <w:p w14:paraId="46841A23" w14:textId="77777777" w:rsidR="00D170E5" w:rsidRPr="002B55E9" w:rsidRDefault="00EF27AD" w:rsidP="00D0790C">
            <w:pPr>
              <w:pStyle w:val="lgy-"/>
              <w:rPr>
                <w:rFonts w:eastAsia="宋体"/>
              </w:rPr>
            </w:pPr>
            <w:r w:rsidRPr="002B55E9">
              <w:rPr>
                <w:rFonts w:eastAsia="宋体"/>
              </w:rPr>
              <w:t>颗粒物</w:t>
            </w:r>
          </w:p>
        </w:tc>
        <w:tc>
          <w:tcPr>
            <w:tcW w:w="1702" w:type="dxa"/>
          </w:tcPr>
          <w:p w14:paraId="54EB8FF3" w14:textId="77777777" w:rsidR="00D170E5" w:rsidRPr="002B55E9" w:rsidRDefault="00EF27AD" w:rsidP="00D0790C">
            <w:pPr>
              <w:pStyle w:val="lgy-"/>
              <w:rPr>
                <w:rFonts w:eastAsia="宋体"/>
              </w:rPr>
            </w:pPr>
            <w:r w:rsidRPr="002B55E9">
              <w:rPr>
                <w:rFonts w:eastAsia="宋体"/>
              </w:rPr>
              <w:t>10.17</w:t>
            </w:r>
          </w:p>
        </w:tc>
        <w:tc>
          <w:tcPr>
            <w:tcW w:w="1664" w:type="dxa"/>
          </w:tcPr>
          <w:p w14:paraId="6BFE31F2" w14:textId="77777777" w:rsidR="00D170E5" w:rsidRPr="002B55E9" w:rsidRDefault="00EF27AD" w:rsidP="00D0790C">
            <w:pPr>
              <w:pStyle w:val="lgy-"/>
              <w:rPr>
                <w:rFonts w:eastAsia="宋体"/>
              </w:rPr>
            </w:pPr>
            <w:r w:rsidRPr="002B55E9">
              <w:rPr>
                <w:rFonts w:eastAsia="宋体"/>
              </w:rPr>
              <w:t xml:space="preserve">0.051 </w:t>
            </w:r>
          </w:p>
        </w:tc>
        <w:tc>
          <w:tcPr>
            <w:tcW w:w="1739" w:type="dxa"/>
          </w:tcPr>
          <w:p w14:paraId="11CEF47F" w14:textId="77777777" w:rsidR="00D170E5" w:rsidRPr="002B55E9" w:rsidRDefault="00EF27AD" w:rsidP="00D0790C">
            <w:pPr>
              <w:pStyle w:val="lgy-"/>
              <w:rPr>
                <w:rFonts w:eastAsia="宋体"/>
              </w:rPr>
            </w:pPr>
            <w:r w:rsidRPr="002B55E9">
              <w:rPr>
                <w:rFonts w:eastAsia="宋体"/>
              </w:rPr>
              <w:t>120</w:t>
            </w:r>
          </w:p>
        </w:tc>
        <w:tc>
          <w:tcPr>
            <w:tcW w:w="1559" w:type="dxa"/>
          </w:tcPr>
          <w:p w14:paraId="4B866F0C" w14:textId="77777777" w:rsidR="00D170E5" w:rsidRPr="002B55E9" w:rsidRDefault="00EF27AD" w:rsidP="00D0790C">
            <w:pPr>
              <w:pStyle w:val="lgy-"/>
              <w:rPr>
                <w:rFonts w:eastAsia="宋体"/>
              </w:rPr>
            </w:pPr>
            <w:r w:rsidRPr="002B55E9">
              <w:rPr>
                <w:rFonts w:eastAsia="宋体"/>
              </w:rPr>
              <w:t>2.47</w:t>
            </w:r>
          </w:p>
        </w:tc>
        <w:tc>
          <w:tcPr>
            <w:tcW w:w="848" w:type="dxa"/>
          </w:tcPr>
          <w:p w14:paraId="7F5F0110" w14:textId="77777777" w:rsidR="00D170E5" w:rsidRPr="002B55E9" w:rsidRDefault="00EF27AD" w:rsidP="00D0790C">
            <w:pPr>
              <w:pStyle w:val="lgy-"/>
              <w:rPr>
                <w:rFonts w:eastAsia="宋体"/>
              </w:rPr>
            </w:pPr>
            <w:r w:rsidRPr="002B55E9">
              <w:rPr>
                <w:rFonts w:eastAsia="宋体"/>
              </w:rPr>
              <w:t>达标</w:t>
            </w:r>
          </w:p>
        </w:tc>
      </w:tr>
      <w:tr w:rsidR="002B55E9" w:rsidRPr="002B55E9" w14:paraId="0B8C48BD" w14:textId="77777777" w:rsidTr="00D0790C">
        <w:trPr>
          <w:trHeight w:val="283"/>
        </w:trPr>
        <w:tc>
          <w:tcPr>
            <w:tcW w:w="1133" w:type="dxa"/>
            <w:vMerge w:val="restart"/>
          </w:tcPr>
          <w:p w14:paraId="1C4F4B84" w14:textId="77777777" w:rsidR="009C5686" w:rsidRPr="002B55E9" w:rsidRDefault="009C5686" w:rsidP="00D0790C">
            <w:pPr>
              <w:pStyle w:val="lgy-"/>
              <w:rPr>
                <w:rFonts w:eastAsia="宋体"/>
              </w:rPr>
            </w:pPr>
            <w:r w:rsidRPr="002B55E9">
              <w:rPr>
                <w:rFonts w:eastAsia="宋体"/>
              </w:rPr>
              <w:t>DA002</w:t>
            </w:r>
          </w:p>
        </w:tc>
        <w:tc>
          <w:tcPr>
            <w:tcW w:w="993" w:type="dxa"/>
          </w:tcPr>
          <w:p w14:paraId="2910B6D6" w14:textId="4D541E76" w:rsidR="009C5686" w:rsidRPr="002B55E9" w:rsidRDefault="009C5686" w:rsidP="00D0790C">
            <w:pPr>
              <w:pStyle w:val="lgy-"/>
              <w:rPr>
                <w:rFonts w:eastAsia="宋体"/>
              </w:rPr>
            </w:pPr>
            <w:r w:rsidRPr="002B55E9">
              <w:rPr>
                <w:rFonts w:eastAsia="宋体"/>
              </w:rPr>
              <w:t>非甲烷总烃</w:t>
            </w:r>
          </w:p>
        </w:tc>
        <w:tc>
          <w:tcPr>
            <w:tcW w:w="1702" w:type="dxa"/>
          </w:tcPr>
          <w:p w14:paraId="0142E5D8" w14:textId="508D90E8" w:rsidR="009C5686" w:rsidRPr="002B55E9" w:rsidRDefault="008C666B" w:rsidP="00D0790C">
            <w:pPr>
              <w:pStyle w:val="lgy-"/>
              <w:rPr>
                <w:rFonts w:eastAsia="宋体"/>
              </w:rPr>
            </w:pPr>
            <w:r w:rsidRPr="002B55E9">
              <w:rPr>
                <w:rFonts w:eastAsia="宋体"/>
              </w:rPr>
              <w:t>39.72</w:t>
            </w:r>
          </w:p>
        </w:tc>
        <w:tc>
          <w:tcPr>
            <w:tcW w:w="1664" w:type="dxa"/>
          </w:tcPr>
          <w:p w14:paraId="7E78487C" w14:textId="1F15D77A" w:rsidR="009C5686" w:rsidRPr="002B55E9" w:rsidRDefault="008C666B" w:rsidP="00D0790C">
            <w:pPr>
              <w:pStyle w:val="lgy-"/>
              <w:rPr>
                <w:rFonts w:eastAsia="宋体"/>
              </w:rPr>
            </w:pPr>
            <w:r w:rsidRPr="002B55E9">
              <w:rPr>
                <w:rFonts w:eastAsia="宋体"/>
              </w:rPr>
              <w:t>0.477</w:t>
            </w:r>
          </w:p>
        </w:tc>
        <w:tc>
          <w:tcPr>
            <w:tcW w:w="1739" w:type="dxa"/>
          </w:tcPr>
          <w:p w14:paraId="6781C604" w14:textId="77777777" w:rsidR="009C5686" w:rsidRPr="002B55E9" w:rsidRDefault="009C5686" w:rsidP="00D0790C">
            <w:pPr>
              <w:pStyle w:val="lgy-"/>
              <w:rPr>
                <w:rFonts w:eastAsia="宋体"/>
              </w:rPr>
            </w:pPr>
            <w:r w:rsidRPr="002B55E9">
              <w:rPr>
                <w:rFonts w:eastAsia="宋体"/>
              </w:rPr>
              <w:t>60</w:t>
            </w:r>
          </w:p>
        </w:tc>
        <w:tc>
          <w:tcPr>
            <w:tcW w:w="1559" w:type="dxa"/>
          </w:tcPr>
          <w:p w14:paraId="78966E54" w14:textId="77777777" w:rsidR="009C5686" w:rsidRPr="002B55E9" w:rsidRDefault="009C5686" w:rsidP="00D0790C">
            <w:pPr>
              <w:pStyle w:val="lgy-"/>
              <w:rPr>
                <w:rFonts w:eastAsia="宋体"/>
              </w:rPr>
            </w:pPr>
            <w:r w:rsidRPr="002B55E9">
              <w:rPr>
                <w:rFonts w:eastAsia="宋体"/>
              </w:rPr>
              <w:t>/</w:t>
            </w:r>
          </w:p>
        </w:tc>
        <w:tc>
          <w:tcPr>
            <w:tcW w:w="848" w:type="dxa"/>
          </w:tcPr>
          <w:p w14:paraId="3E13756A" w14:textId="77777777" w:rsidR="009C5686" w:rsidRPr="002B55E9" w:rsidRDefault="009C5686" w:rsidP="00D0790C">
            <w:pPr>
              <w:pStyle w:val="lgy-"/>
              <w:rPr>
                <w:rFonts w:eastAsia="宋体"/>
              </w:rPr>
            </w:pPr>
            <w:r w:rsidRPr="002B55E9">
              <w:rPr>
                <w:rFonts w:eastAsia="宋体"/>
              </w:rPr>
              <w:t>达标</w:t>
            </w:r>
          </w:p>
        </w:tc>
      </w:tr>
      <w:tr w:rsidR="002B55E9" w:rsidRPr="002B55E9" w14:paraId="7C8206E1" w14:textId="77777777" w:rsidTr="00D0790C">
        <w:trPr>
          <w:trHeight w:val="283"/>
        </w:trPr>
        <w:tc>
          <w:tcPr>
            <w:tcW w:w="1133" w:type="dxa"/>
            <w:vMerge/>
          </w:tcPr>
          <w:p w14:paraId="0CE68C6D" w14:textId="77777777" w:rsidR="009C5686" w:rsidRPr="002B55E9" w:rsidRDefault="009C5686" w:rsidP="00D0790C">
            <w:pPr>
              <w:pStyle w:val="lgy-"/>
              <w:rPr>
                <w:rFonts w:eastAsia="宋体"/>
              </w:rPr>
            </w:pPr>
          </w:p>
        </w:tc>
        <w:tc>
          <w:tcPr>
            <w:tcW w:w="993" w:type="dxa"/>
          </w:tcPr>
          <w:p w14:paraId="03A5DD36" w14:textId="3DC5DDFD" w:rsidR="009C5686" w:rsidRPr="002B55E9" w:rsidRDefault="009C5686" w:rsidP="00D0790C">
            <w:pPr>
              <w:pStyle w:val="lgy-"/>
              <w:rPr>
                <w:rFonts w:eastAsia="宋体"/>
              </w:rPr>
            </w:pPr>
            <w:r w:rsidRPr="002B55E9">
              <w:rPr>
                <w:rFonts w:eastAsia="宋体" w:hint="eastAsia"/>
              </w:rPr>
              <w:t>臭气浓度</w:t>
            </w:r>
          </w:p>
        </w:tc>
        <w:tc>
          <w:tcPr>
            <w:tcW w:w="1702" w:type="dxa"/>
          </w:tcPr>
          <w:p w14:paraId="0D240928" w14:textId="1246E958" w:rsidR="009C5686" w:rsidRPr="002B55E9" w:rsidRDefault="00356552" w:rsidP="00D0790C">
            <w:pPr>
              <w:pStyle w:val="lgy-"/>
              <w:rPr>
                <w:rFonts w:eastAsia="宋体"/>
              </w:rPr>
            </w:pPr>
            <w:r w:rsidRPr="002B55E9">
              <w:rPr>
                <w:rFonts w:eastAsia="宋体" w:hint="eastAsia"/>
              </w:rPr>
              <w:t>＜</w:t>
            </w:r>
            <w:r w:rsidRPr="002B55E9">
              <w:rPr>
                <w:rFonts w:eastAsia="宋体" w:hint="eastAsia"/>
              </w:rPr>
              <w:t>2000</w:t>
            </w:r>
            <w:r w:rsidRPr="002B55E9">
              <w:rPr>
                <w:rFonts w:eastAsia="宋体" w:hint="eastAsia"/>
              </w:rPr>
              <w:t>（无量纲）</w:t>
            </w:r>
          </w:p>
        </w:tc>
        <w:tc>
          <w:tcPr>
            <w:tcW w:w="1664" w:type="dxa"/>
          </w:tcPr>
          <w:p w14:paraId="3A800146" w14:textId="7A3B9402" w:rsidR="009C5686" w:rsidRPr="002B55E9" w:rsidRDefault="009C5686" w:rsidP="00D0790C">
            <w:pPr>
              <w:pStyle w:val="lgy-"/>
              <w:rPr>
                <w:rFonts w:eastAsia="宋体"/>
              </w:rPr>
            </w:pPr>
            <w:r w:rsidRPr="002B55E9">
              <w:rPr>
                <w:rFonts w:eastAsia="宋体" w:hint="eastAsia"/>
              </w:rPr>
              <w:t>/</w:t>
            </w:r>
          </w:p>
        </w:tc>
        <w:tc>
          <w:tcPr>
            <w:tcW w:w="1739" w:type="dxa"/>
          </w:tcPr>
          <w:p w14:paraId="5BBDA7AE" w14:textId="4B68532B" w:rsidR="009C5686" w:rsidRPr="002B55E9" w:rsidRDefault="008E649C" w:rsidP="00D0790C">
            <w:pPr>
              <w:pStyle w:val="lgy-"/>
              <w:rPr>
                <w:rFonts w:eastAsia="宋体"/>
              </w:rPr>
            </w:pPr>
            <w:r w:rsidRPr="002B55E9">
              <w:rPr>
                <w:rFonts w:eastAsia="宋体" w:hint="eastAsia"/>
              </w:rPr>
              <w:t>2</w:t>
            </w:r>
            <w:r w:rsidRPr="002B55E9">
              <w:rPr>
                <w:rFonts w:eastAsia="宋体"/>
              </w:rPr>
              <w:t>000</w:t>
            </w:r>
            <w:r w:rsidRPr="002B55E9">
              <w:rPr>
                <w:rFonts w:eastAsia="宋体" w:hint="eastAsia"/>
              </w:rPr>
              <w:t>（无量纲）</w:t>
            </w:r>
          </w:p>
        </w:tc>
        <w:tc>
          <w:tcPr>
            <w:tcW w:w="1559" w:type="dxa"/>
          </w:tcPr>
          <w:p w14:paraId="15D6A278" w14:textId="58FDD13A" w:rsidR="009C5686" w:rsidRPr="002B55E9" w:rsidRDefault="008E649C" w:rsidP="00D0790C">
            <w:pPr>
              <w:pStyle w:val="lgy-"/>
              <w:rPr>
                <w:rFonts w:eastAsia="宋体"/>
              </w:rPr>
            </w:pPr>
            <w:r w:rsidRPr="002B55E9">
              <w:rPr>
                <w:rFonts w:eastAsia="宋体" w:hint="eastAsia"/>
              </w:rPr>
              <w:t>/</w:t>
            </w:r>
          </w:p>
        </w:tc>
        <w:tc>
          <w:tcPr>
            <w:tcW w:w="848" w:type="dxa"/>
          </w:tcPr>
          <w:p w14:paraId="66238A6B" w14:textId="2C0A9A14" w:rsidR="009C5686" w:rsidRPr="002B55E9" w:rsidRDefault="008E649C" w:rsidP="00D0790C">
            <w:pPr>
              <w:pStyle w:val="lgy-"/>
              <w:rPr>
                <w:rFonts w:eastAsia="宋体"/>
              </w:rPr>
            </w:pPr>
            <w:r w:rsidRPr="002B55E9">
              <w:rPr>
                <w:rFonts w:eastAsia="宋体"/>
              </w:rPr>
              <w:t>达标</w:t>
            </w:r>
          </w:p>
        </w:tc>
      </w:tr>
      <w:tr w:rsidR="002B55E9" w:rsidRPr="002B55E9" w14:paraId="1719E2AB" w14:textId="77777777" w:rsidTr="00D0790C">
        <w:trPr>
          <w:trHeight w:val="283"/>
        </w:trPr>
        <w:tc>
          <w:tcPr>
            <w:tcW w:w="1133" w:type="dxa"/>
            <w:vMerge w:val="restart"/>
          </w:tcPr>
          <w:p w14:paraId="1FCF3D59" w14:textId="77777777" w:rsidR="00D0790C" w:rsidRPr="002B55E9" w:rsidRDefault="00D0790C" w:rsidP="00D0790C">
            <w:pPr>
              <w:pStyle w:val="lgy-"/>
              <w:rPr>
                <w:rFonts w:eastAsia="宋体"/>
              </w:rPr>
            </w:pPr>
            <w:r w:rsidRPr="002B55E9">
              <w:rPr>
                <w:rFonts w:eastAsia="宋体"/>
              </w:rPr>
              <w:t>DA003</w:t>
            </w:r>
          </w:p>
        </w:tc>
        <w:tc>
          <w:tcPr>
            <w:tcW w:w="993" w:type="dxa"/>
          </w:tcPr>
          <w:p w14:paraId="6C714C22" w14:textId="03E2AE47" w:rsidR="00D0790C" w:rsidRPr="002B55E9" w:rsidRDefault="00D0790C" w:rsidP="00D0790C">
            <w:pPr>
              <w:pStyle w:val="lgy-"/>
              <w:rPr>
                <w:rFonts w:eastAsia="宋体"/>
              </w:rPr>
            </w:pPr>
            <w:r w:rsidRPr="002B55E9">
              <w:rPr>
                <w:rFonts w:eastAsia="宋体"/>
              </w:rPr>
              <w:t>非甲烷总烃</w:t>
            </w:r>
          </w:p>
        </w:tc>
        <w:tc>
          <w:tcPr>
            <w:tcW w:w="1702" w:type="dxa"/>
          </w:tcPr>
          <w:p w14:paraId="51829528" w14:textId="49506041" w:rsidR="00D0790C" w:rsidRPr="002B55E9" w:rsidRDefault="00D0790C" w:rsidP="00D0790C">
            <w:pPr>
              <w:pStyle w:val="lgy-"/>
              <w:rPr>
                <w:rFonts w:eastAsia="宋体"/>
              </w:rPr>
            </w:pPr>
            <w:r w:rsidRPr="002B55E9">
              <w:rPr>
                <w:rFonts w:eastAsia="宋体"/>
              </w:rPr>
              <w:t>1.29</w:t>
            </w:r>
          </w:p>
        </w:tc>
        <w:tc>
          <w:tcPr>
            <w:tcW w:w="1664" w:type="dxa"/>
          </w:tcPr>
          <w:p w14:paraId="19A11373" w14:textId="542E4982" w:rsidR="00D0790C" w:rsidRPr="002B55E9" w:rsidRDefault="00D0790C" w:rsidP="00D0790C">
            <w:pPr>
              <w:pStyle w:val="lgy-"/>
              <w:rPr>
                <w:rFonts w:eastAsia="宋体"/>
              </w:rPr>
            </w:pPr>
            <w:r w:rsidRPr="002B55E9">
              <w:rPr>
                <w:rFonts w:eastAsia="宋体"/>
              </w:rPr>
              <w:t xml:space="preserve">0.005 </w:t>
            </w:r>
          </w:p>
        </w:tc>
        <w:tc>
          <w:tcPr>
            <w:tcW w:w="1739" w:type="dxa"/>
          </w:tcPr>
          <w:p w14:paraId="5373D62D" w14:textId="77777777" w:rsidR="00D0790C" w:rsidRPr="002B55E9" w:rsidRDefault="00D0790C" w:rsidP="00D0790C">
            <w:pPr>
              <w:pStyle w:val="lgy-"/>
              <w:rPr>
                <w:rFonts w:eastAsia="宋体"/>
              </w:rPr>
            </w:pPr>
            <w:r w:rsidRPr="002B55E9">
              <w:rPr>
                <w:rFonts w:eastAsia="宋体"/>
              </w:rPr>
              <w:t>60</w:t>
            </w:r>
          </w:p>
        </w:tc>
        <w:tc>
          <w:tcPr>
            <w:tcW w:w="1559" w:type="dxa"/>
          </w:tcPr>
          <w:p w14:paraId="1DEC6D6B" w14:textId="77777777" w:rsidR="00D0790C" w:rsidRPr="002B55E9" w:rsidRDefault="00D0790C" w:rsidP="00D0790C">
            <w:pPr>
              <w:pStyle w:val="lgy-"/>
              <w:rPr>
                <w:rFonts w:eastAsia="宋体"/>
              </w:rPr>
            </w:pPr>
            <w:r w:rsidRPr="002B55E9">
              <w:rPr>
                <w:rFonts w:eastAsia="宋体"/>
              </w:rPr>
              <w:t>/</w:t>
            </w:r>
          </w:p>
        </w:tc>
        <w:tc>
          <w:tcPr>
            <w:tcW w:w="848" w:type="dxa"/>
          </w:tcPr>
          <w:p w14:paraId="122E5905" w14:textId="77777777" w:rsidR="00D0790C" w:rsidRPr="002B55E9" w:rsidRDefault="00D0790C" w:rsidP="00D0790C">
            <w:pPr>
              <w:pStyle w:val="lgy-"/>
              <w:rPr>
                <w:rFonts w:eastAsia="宋体"/>
              </w:rPr>
            </w:pPr>
            <w:r w:rsidRPr="002B55E9">
              <w:rPr>
                <w:rFonts w:eastAsia="宋体"/>
              </w:rPr>
              <w:t>达标</w:t>
            </w:r>
          </w:p>
        </w:tc>
      </w:tr>
      <w:tr w:rsidR="002B55E9" w:rsidRPr="002B55E9" w14:paraId="6D0FFC6D" w14:textId="77777777" w:rsidTr="00D0790C">
        <w:trPr>
          <w:trHeight w:val="283"/>
        </w:trPr>
        <w:tc>
          <w:tcPr>
            <w:tcW w:w="1133" w:type="dxa"/>
            <w:vMerge/>
          </w:tcPr>
          <w:p w14:paraId="57198965" w14:textId="77777777" w:rsidR="00D0790C" w:rsidRPr="002B55E9" w:rsidRDefault="00D0790C" w:rsidP="00D0790C">
            <w:pPr>
              <w:pStyle w:val="lgy-"/>
              <w:rPr>
                <w:rFonts w:eastAsia="宋体"/>
              </w:rPr>
            </w:pPr>
          </w:p>
        </w:tc>
        <w:tc>
          <w:tcPr>
            <w:tcW w:w="993" w:type="dxa"/>
          </w:tcPr>
          <w:p w14:paraId="09B8C847" w14:textId="77777777" w:rsidR="00D0790C" w:rsidRPr="002B55E9" w:rsidRDefault="00D0790C" w:rsidP="00D0790C">
            <w:pPr>
              <w:pStyle w:val="lgy-"/>
              <w:rPr>
                <w:rFonts w:eastAsia="宋体"/>
              </w:rPr>
            </w:pPr>
            <w:r w:rsidRPr="002B55E9">
              <w:rPr>
                <w:rFonts w:eastAsia="宋体"/>
              </w:rPr>
              <w:t>甲醛</w:t>
            </w:r>
          </w:p>
        </w:tc>
        <w:tc>
          <w:tcPr>
            <w:tcW w:w="1702" w:type="dxa"/>
          </w:tcPr>
          <w:p w14:paraId="10E80471" w14:textId="0104092F" w:rsidR="00D0790C" w:rsidRPr="002B55E9" w:rsidRDefault="00D0790C" w:rsidP="00D0790C">
            <w:pPr>
              <w:pStyle w:val="lgy-"/>
              <w:rPr>
                <w:rFonts w:eastAsia="宋体"/>
              </w:rPr>
            </w:pPr>
            <w:r w:rsidRPr="002B55E9">
              <w:rPr>
                <w:rFonts w:eastAsia="宋体"/>
              </w:rPr>
              <w:t>0.85</w:t>
            </w:r>
          </w:p>
        </w:tc>
        <w:tc>
          <w:tcPr>
            <w:tcW w:w="1664" w:type="dxa"/>
          </w:tcPr>
          <w:p w14:paraId="2FFF22D1" w14:textId="5C91728F" w:rsidR="00D0790C" w:rsidRPr="002B55E9" w:rsidRDefault="00D0790C" w:rsidP="00D0790C">
            <w:pPr>
              <w:pStyle w:val="lgy-"/>
              <w:rPr>
                <w:rFonts w:eastAsia="宋体"/>
              </w:rPr>
            </w:pPr>
            <w:r w:rsidRPr="002B55E9">
              <w:rPr>
                <w:rFonts w:eastAsia="宋体"/>
              </w:rPr>
              <w:t xml:space="preserve">0.003 </w:t>
            </w:r>
          </w:p>
        </w:tc>
        <w:tc>
          <w:tcPr>
            <w:tcW w:w="1739" w:type="dxa"/>
          </w:tcPr>
          <w:p w14:paraId="69E77581" w14:textId="77777777" w:rsidR="00D0790C" w:rsidRPr="002B55E9" w:rsidRDefault="00D0790C" w:rsidP="00D0790C">
            <w:pPr>
              <w:pStyle w:val="lgy-"/>
              <w:rPr>
                <w:rFonts w:eastAsia="宋体"/>
              </w:rPr>
            </w:pPr>
            <w:r w:rsidRPr="002B55E9">
              <w:rPr>
                <w:rFonts w:eastAsia="宋体"/>
              </w:rPr>
              <w:t>25</w:t>
            </w:r>
          </w:p>
        </w:tc>
        <w:tc>
          <w:tcPr>
            <w:tcW w:w="1559" w:type="dxa"/>
          </w:tcPr>
          <w:p w14:paraId="6F93BDF0" w14:textId="77777777" w:rsidR="00D0790C" w:rsidRPr="002B55E9" w:rsidRDefault="00D0790C" w:rsidP="00D0790C">
            <w:pPr>
              <w:pStyle w:val="lgy-"/>
              <w:rPr>
                <w:rFonts w:eastAsia="宋体"/>
              </w:rPr>
            </w:pPr>
            <w:r w:rsidRPr="002B55E9">
              <w:rPr>
                <w:rFonts w:eastAsia="宋体"/>
              </w:rPr>
              <w:t>0.181</w:t>
            </w:r>
          </w:p>
        </w:tc>
        <w:tc>
          <w:tcPr>
            <w:tcW w:w="848" w:type="dxa"/>
          </w:tcPr>
          <w:p w14:paraId="11EA857E" w14:textId="77777777" w:rsidR="00D0790C" w:rsidRPr="002B55E9" w:rsidRDefault="00D0790C" w:rsidP="00D0790C">
            <w:pPr>
              <w:pStyle w:val="lgy-"/>
              <w:rPr>
                <w:rFonts w:eastAsia="宋体"/>
              </w:rPr>
            </w:pPr>
            <w:r w:rsidRPr="002B55E9">
              <w:rPr>
                <w:rFonts w:eastAsia="宋体"/>
              </w:rPr>
              <w:t>达标</w:t>
            </w:r>
          </w:p>
        </w:tc>
      </w:tr>
      <w:tr w:rsidR="002B55E9" w:rsidRPr="002B55E9" w14:paraId="4EB9611B" w14:textId="77777777" w:rsidTr="00D0790C">
        <w:trPr>
          <w:trHeight w:val="283"/>
        </w:trPr>
        <w:tc>
          <w:tcPr>
            <w:tcW w:w="1133" w:type="dxa"/>
            <w:vMerge/>
          </w:tcPr>
          <w:p w14:paraId="1953D0A5" w14:textId="77777777" w:rsidR="00D0790C" w:rsidRPr="002B55E9" w:rsidRDefault="00D0790C" w:rsidP="00D0790C">
            <w:pPr>
              <w:pStyle w:val="lgy-"/>
              <w:rPr>
                <w:rFonts w:eastAsia="宋体"/>
              </w:rPr>
            </w:pPr>
          </w:p>
        </w:tc>
        <w:tc>
          <w:tcPr>
            <w:tcW w:w="993" w:type="dxa"/>
          </w:tcPr>
          <w:p w14:paraId="3F7804E9" w14:textId="77777777" w:rsidR="00D0790C" w:rsidRPr="002B55E9" w:rsidRDefault="00D0790C" w:rsidP="00D0790C">
            <w:pPr>
              <w:pStyle w:val="lgy-"/>
              <w:rPr>
                <w:rFonts w:eastAsia="宋体"/>
              </w:rPr>
            </w:pPr>
            <w:r w:rsidRPr="002B55E9">
              <w:rPr>
                <w:rFonts w:eastAsia="宋体"/>
              </w:rPr>
              <w:t>硫酸</w:t>
            </w:r>
          </w:p>
        </w:tc>
        <w:tc>
          <w:tcPr>
            <w:tcW w:w="1702" w:type="dxa"/>
          </w:tcPr>
          <w:p w14:paraId="7A61369B" w14:textId="2D4FB3E2" w:rsidR="00D0790C" w:rsidRPr="002B55E9" w:rsidRDefault="00D0790C" w:rsidP="00D0790C">
            <w:pPr>
              <w:pStyle w:val="lgy-"/>
              <w:rPr>
                <w:rFonts w:eastAsia="宋体"/>
              </w:rPr>
            </w:pPr>
            <w:r w:rsidRPr="002B55E9">
              <w:rPr>
                <w:rFonts w:eastAsia="宋体"/>
              </w:rPr>
              <w:t>2.73</w:t>
            </w:r>
          </w:p>
        </w:tc>
        <w:tc>
          <w:tcPr>
            <w:tcW w:w="1664" w:type="dxa"/>
          </w:tcPr>
          <w:p w14:paraId="7E78E1F3" w14:textId="5D7929FC" w:rsidR="00D0790C" w:rsidRPr="002B55E9" w:rsidRDefault="00D0790C" w:rsidP="00D0790C">
            <w:pPr>
              <w:pStyle w:val="lgy-"/>
              <w:rPr>
                <w:rFonts w:eastAsia="宋体"/>
              </w:rPr>
            </w:pPr>
            <w:r w:rsidRPr="002B55E9">
              <w:rPr>
                <w:rFonts w:eastAsia="宋体"/>
              </w:rPr>
              <w:t xml:space="preserve">0.011 </w:t>
            </w:r>
          </w:p>
        </w:tc>
        <w:tc>
          <w:tcPr>
            <w:tcW w:w="1739" w:type="dxa"/>
          </w:tcPr>
          <w:p w14:paraId="7E811B0A" w14:textId="77777777" w:rsidR="00D0790C" w:rsidRPr="002B55E9" w:rsidRDefault="00D0790C" w:rsidP="00D0790C">
            <w:pPr>
              <w:pStyle w:val="lgy-"/>
              <w:rPr>
                <w:rFonts w:eastAsia="宋体"/>
              </w:rPr>
            </w:pPr>
            <w:r w:rsidRPr="002B55E9">
              <w:rPr>
                <w:rFonts w:eastAsia="宋体"/>
              </w:rPr>
              <w:t>45</w:t>
            </w:r>
          </w:p>
        </w:tc>
        <w:tc>
          <w:tcPr>
            <w:tcW w:w="1559" w:type="dxa"/>
          </w:tcPr>
          <w:p w14:paraId="39F740E6" w14:textId="77777777" w:rsidR="00D0790C" w:rsidRPr="002B55E9" w:rsidRDefault="00D0790C" w:rsidP="00D0790C">
            <w:pPr>
              <w:pStyle w:val="lgy-"/>
              <w:rPr>
                <w:rFonts w:eastAsia="宋体"/>
              </w:rPr>
            </w:pPr>
            <w:r w:rsidRPr="002B55E9">
              <w:rPr>
                <w:rFonts w:eastAsia="宋体"/>
              </w:rPr>
              <w:t>1.08</w:t>
            </w:r>
          </w:p>
        </w:tc>
        <w:tc>
          <w:tcPr>
            <w:tcW w:w="848" w:type="dxa"/>
          </w:tcPr>
          <w:p w14:paraId="5D81918B" w14:textId="77777777" w:rsidR="00D0790C" w:rsidRPr="002B55E9" w:rsidRDefault="00D0790C" w:rsidP="00D0790C">
            <w:pPr>
              <w:pStyle w:val="lgy-"/>
              <w:rPr>
                <w:rFonts w:eastAsia="宋体"/>
              </w:rPr>
            </w:pPr>
            <w:r w:rsidRPr="002B55E9">
              <w:rPr>
                <w:rFonts w:eastAsia="宋体"/>
              </w:rPr>
              <w:t>达标</w:t>
            </w:r>
          </w:p>
        </w:tc>
      </w:tr>
      <w:tr w:rsidR="002B55E9" w:rsidRPr="002B55E9" w14:paraId="5E720B83" w14:textId="77777777" w:rsidTr="00D0790C">
        <w:trPr>
          <w:trHeight w:val="283"/>
        </w:trPr>
        <w:tc>
          <w:tcPr>
            <w:tcW w:w="1133" w:type="dxa"/>
            <w:vMerge/>
          </w:tcPr>
          <w:p w14:paraId="38CF19F5" w14:textId="77777777" w:rsidR="00D0790C" w:rsidRPr="002B55E9" w:rsidRDefault="00D0790C" w:rsidP="00D0790C">
            <w:pPr>
              <w:pStyle w:val="lgy-"/>
              <w:rPr>
                <w:rFonts w:eastAsia="宋体"/>
              </w:rPr>
            </w:pPr>
          </w:p>
        </w:tc>
        <w:tc>
          <w:tcPr>
            <w:tcW w:w="993" w:type="dxa"/>
          </w:tcPr>
          <w:p w14:paraId="7C239AFA" w14:textId="77777777" w:rsidR="00D0790C" w:rsidRPr="002B55E9" w:rsidRDefault="00D0790C" w:rsidP="00D0790C">
            <w:pPr>
              <w:pStyle w:val="lgy-"/>
              <w:rPr>
                <w:rFonts w:eastAsia="宋体"/>
              </w:rPr>
            </w:pPr>
            <w:r w:rsidRPr="002B55E9">
              <w:rPr>
                <w:rFonts w:eastAsia="宋体"/>
              </w:rPr>
              <w:t>氯化氢</w:t>
            </w:r>
          </w:p>
        </w:tc>
        <w:tc>
          <w:tcPr>
            <w:tcW w:w="1702" w:type="dxa"/>
          </w:tcPr>
          <w:p w14:paraId="7CFD53E4" w14:textId="72E46B93" w:rsidR="00D0790C" w:rsidRPr="002B55E9" w:rsidRDefault="00D0790C" w:rsidP="00D0790C">
            <w:pPr>
              <w:pStyle w:val="lgy-"/>
              <w:rPr>
                <w:rFonts w:eastAsia="宋体"/>
              </w:rPr>
            </w:pPr>
            <w:r w:rsidRPr="002B55E9">
              <w:rPr>
                <w:rFonts w:eastAsia="宋体"/>
              </w:rPr>
              <w:t>0.01</w:t>
            </w:r>
          </w:p>
        </w:tc>
        <w:tc>
          <w:tcPr>
            <w:tcW w:w="1664" w:type="dxa"/>
          </w:tcPr>
          <w:p w14:paraId="1D884166" w14:textId="57BD145D" w:rsidR="00D0790C" w:rsidRPr="002B55E9" w:rsidRDefault="00D0790C" w:rsidP="00D0790C">
            <w:pPr>
              <w:pStyle w:val="lgy-"/>
              <w:rPr>
                <w:rFonts w:eastAsia="宋体"/>
              </w:rPr>
            </w:pPr>
            <w:r w:rsidRPr="002B55E9">
              <w:rPr>
                <w:rFonts w:eastAsia="宋体"/>
              </w:rPr>
              <w:t>2.16E-05</w:t>
            </w:r>
          </w:p>
        </w:tc>
        <w:tc>
          <w:tcPr>
            <w:tcW w:w="1739" w:type="dxa"/>
          </w:tcPr>
          <w:p w14:paraId="0F41AB5E" w14:textId="77777777" w:rsidR="00D0790C" w:rsidRPr="002B55E9" w:rsidRDefault="00D0790C" w:rsidP="00D0790C">
            <w:pPr>
              <w:pStyle w:val="lgy-"/>
              <w:rPr>
                <w:rFonts w:eastAsia="宋体"/>
              </w:rPr>
            </w:pPr>
            <w:r w:rsidRPr="002B55E9">
              <w:rPr>
                <w:rFonts w:eastAsia="宋体"/>
              </w:rPr>
              <w:t>100</w:t>
            </w:r>
          </w:p>
        </w:tc>
        <w:tc>
          <w:tcPr>
            <w:tcW w:w="1559" w:type="dxa"/>
          </w:tcPr>
          <w:p w14:paraId="6557E94C" w14:textId="77777777" w:rsidR="00D0790C" w:rsidRPr="002B55E9" w:rsidRDefault="00D0790C" w:rsidP="00D0790C">
            <w:pPr>
              <w:pStyle w:val="lgy-"/>
              <w:rPr>
                <w:rFonts w:eastAsia="宋体"/>
              </w:rPr>
            </w:pPr>
            <w:r w:rsidRPr="002B55E9">
              <w:rPr>
                <w:rFonts w:eastAsia="宋体"/>
              </w:rPr>
              <w:t>0.181</w:t>
            </w:r>
          </w:p>
        </w:tc>
        <w:tc>
          <w:tcPr>
            <w:tcW w:w="848" w:type="dxa"/>
          </w:tcPr>
          <w:p w14:paraId="789DF2A1" w14:textId="77777777" w:rsidR="00D0790C" w:rsidRPr="002B55E9" w:rsidRDefault="00D0790C" w:rsidP="00D0790C">
            <w:pPr>
              <w:pStyle w:val="lgy-"/>
              <w:rPr>
                <w:rFonts w:eastAsia="宋体"/>
              </w:rPr>
            </w:pPr>
            <w:r w:rsidRPr="002B55E9">
              <w:rPr>
                <w:rFonts w:eastAsia="宋体"/>
              </w:rPr>
              <w:t>达标</w:t>
            </w:r>
          </w:p>
        </w:tc>
      </w:tr>
    </w:tbl>
    <w:p w14:paraId="583098B3" w14:textId="2FA3410F" w:rsidR="00D170E5" w:rsidRPr="002B55E9" w:rsidRDefault="00EF27AD">
      <w:pPr>
        <w:pStyle w:val="affff7"/>
        <w:snapToGrid w:val="0"/>
        <w:spacing w:after="0"/>
      </w:pPr>
      <w:r w:rsidRPr="002B55E9">
        <w:rPr>
          <w:rFonts w:hint="eastAsia"/>
        </w:rPr>
        <w:t>综上</w:t>
      </w:r>
      <w:r w:rsidRPr="002B55E9">
        <w:t>，本项目</w:t>
      </w:r>
      <w:r w:rsidRPr="002B55E9">
        <w:rPr>
          <w:rFonts w:hint="eastAsia"/>
        </w:rPr>
        <w:t>DA001</w:t>
      </w:r>
      <w:r w:rsidRPr="002B55E9">
        <w:rPr>
          <w:rFonts w:hint="eastAsia"/>
        </w:rPr>
        <w:t>排放</w:t>
      </w:r>
      <w:r w:rsidRPr="002B55E9">
        <w:t>的</w:t>
      </w:r>
      <w:r w:rsidRPr="002B55E9">
        <w:rPr>
          <w:rFonts w:hint="eastAsia"/>
        </w:rPr>
        <w:t>颗粒物</w:t>
      </w:r>
      <w:r w:rsidRPr="002B55E9">
        <w:t>能满足《</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）中</w:t>
      </w:r>
      <w:r w:rsidRPr="002B55E9">
        <w:t>的</w:t>
      </w:r>
      <w:r w:rsidRPr="002B55E9">
        <w:rPr>
          <w:rFonts w:hint="eastAsia"/>
        </w:rPr>
        <w:t>限值</w:t>
      </w:r>
      <w:r w:rsidRPr="002B55E9">
        <w:t>要求</w:t>
      </w:r>
      <w:r w:rsidRPr="002B55E9">
        <w:rPr>
          <w:rFonts w:hint="eastAsia"/>
        </w:rPr>
        <w:t>，</w:t>
      </w:r>
      <w:r w:rsidRPr="002B55E9">
        <w:rPr>
          <w:rFonts w:hint="eastAsia"/>
        </w:rPr>
        <w:t>D</w:t>
      </w:r>
      <w:r w:rsidRPr="002B55E9">
        <w:t>A</w:t>
      </w:r>
      <w:r w:rsidRPr="002B55E9">
        <w:rPr>
          <w:rFonts w:hint="eastAsia"/>
        </w:rPr>
        <w:t>0</w:t>
      </w:r>
      <w:r w:rsidRPr="002B55E9">
        <w:t>02</w:t>
      </w:r>
      <w:r w:rsidRPr="002B55E9">
        <w:rPr>
          <w:rFonts w:hint="eastAsia"/>
        </w:rPr>
        <w:t>、</w:t>
      </w:r>
      <w:r w:rsidRPr="002B55E9">
        <w:rPr>
          <w:rFonts w:hint="eastAsia"/>
        </w:rPr>
        <w:t>DA003</w:t>
      </w:r>
      <w:r w:rsidRPr="002B55E9">
        <w:rPr>
          <w:rFonts w:hint="eastAsia"/>
        </w:rPr>
        <w:t>排放</w:t>
      </w:r>
      <w:r w:rsidRPr="002B55E9">
        <w:t>的</w:t>
      </w:r>
      <w:r w:rsidR="00924AFA" w:rsidRPr="002B55E9">
        <w:rPr>
          <w:rFonts w:hint="eastAsia"/>
        </w:rPr>
        <w:t>非甲烷总烃</w:t>
      </w:r>
      <w:r w:rsidRPr="002B55E9">
        <w:rPr>
          <w:rFonts w:hint="eastAsia"/>
        </w:rPr>
        <w:t>能</w:t>
      </w:r>
      <w:r w:rsidRPr="002B55E9">
        <w:t>满足</w:t>
      </w:r>
      <w:r w:rsidRPr="002B55E9">
        <w:rPr>
          <w:rFonts w:hint="eastAsia"/>
        </w:rPr>
        <w:t>《市人民政府关于印发武汉市</w:t>
      </w:r>
      <w:r w:rsidRPr="002B55E9">
        <w:rPr>
          <w:rFonts w:hint="eastAsia"/>
        </w:rPr>
        <w:t>2022</w:t>
      </w:r>
      <w:r w:rsidRPr="002B55E9">
        <w:rPr>
          <w:rFonts w:hint="eastAsia"/>
        </w:rPr>
        <w:t>年改善空气质量攻坚方案的通知》（武政规</w:t>
      </w:r>
      <w:r w:rsidRPr="002B55E9">
        <w:rPr>
          <w:rFonts w:hint="eastAsia"/>
        </w:rPr>
        <w:t>[2022]10</w:t>
      </w:r>
      <w:r w:rsidRPr="002B55E9">
        <w:rPr>
          <w:rFonts w:hint="eastAsia"/>
        </w:rPr>
        <w:t>号）中限值要求，</w:t>
      </w:r>
      <w:r w:rsidR="00356552" w:rsidRPr="002B55E9">
        <w:rPr>
          <w:rFonts w:hint="eastAsia"/>
        </w:rPr>
        <w:t>DA00</w:t>
      </w:r>
      <w:r w:rsidR="00A83890" w:rsidRPr="002B55E9">
        <w:t>2</w:t>
      </w:r>
      <w:r w:rsidR="00356552" w:rsidRPr="002B55E9">
        <w:rPr>
          <w:rFonts w:hint="eastAsia"/>
        </w:rPr>
        <w:t>排放</w:t>
      </w:r>
      <w:r w:rsidR="00356552" w:rsidRPr="002B55E9">
        <w:t>的</w:t>
      </w:r>
      <w:r w:rsidR="00356552" w:rsidRPr="002B55E9">
        <w:rPr>
          <w:rFonts w:hint="eastAsia"/>
        </w:rPr>
        <w:t>臭气浓度满足</w:t>
      </w:r>
      <w:r w:rsidR="00A83890" w:rsidRPr="002B55E9">
        <w:rPr>
          <w:rFonts w:hint="eastAsia"/>
        </w:rPr>
        <w:t>《恶臭污染物排放标准》（</w:t>
      </w:r>
      <w:r w:rsidR="00A83890" w:rsidRPr="002B55E9">
        <w:rPr>
          <w:rFonts w:hint="eastAsia"/>
        </w:rPr>
        <w:t>GB14554-93</w:t>
      </w:r>
      <w:r w:rsidR="00A83890" w:rsidRPr="002B55E9">
        <w:rPr>
          <w:rFonts w:hint="eastAsia"/>
        </w:rPr>
        <w:t>）表</w:t>
      </w:r>
      <w:r w:rsidR="00A83890" w:rsidRPr="002B55E9">
        <w:rPr>
          <w:rFonts w:hint="eastAsia"/>
        </w:rPr>
        <w:t>2</w:t>
      </w:r>
      <w:r w:rsidR="00A83890" w:rsidRPr="002B55E9">
        <w:rPr>
          <w:rFonts w:hint="eastAsia"/>
        </w:rPr>
        <w:t>中限值要求，</w:t>
      </w:r>
      <w:r w:rsidRPr="002B55E9">
        <w:rPr>
          <w:rFonts w:hint="eastAsia"/>
        </w:rPr>
        <w:t>DA003</w:t>
      </w:r>
      <w:r w:rsidRPr="002B55E9">
        <w:rPr>
          <w:rFonts w:hint="eastAsia"/>
        </w:rPr>
        <w:t>中</w:t>
      </w:r>
      <w:r w:rsidRPr="002B55E9">
        <w:t>的甲醛、氯化氢、</w:t>
      </w:r>
      <w:r w:rsidRPr="002B55E9">
        <w:rPr>
          <w:rFonts w:hint="eastAsia"/>
        </w:rPr>
        <w:t>硫酸雾</w:t>
      </w:r>
      <w:r w:rsidRPr="002B55E9">
        <w:t>等</w:t>
      </w:r>
      <w:r w:rsidRPr="002B55E9">
        <w:rPr>
          <w:rFonts w:hint="eastAsia"/>
        </w:rPr>
        <w:t>污染物</w:t>
      </w:r>
      <w:r w:rsidRPr="002B55E9">
        <w:t>均能满足《</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）中</w:t>
      </w:r>
      <w:r w:rsidRPr="002B55E9">
        <w:t>的</w:t>
      </w:r>
      <w:r w:rsidRPr="002B55E9">
        <w:rPr>
          <w:rFonts w:hint="eastAsia"/>
        </w:rPr>
        <w:t>限值</w:t>
      </w:r>
      <w:r w:rsidRPr="002B55E9">
        <w:t>要求。</w:t>
      </w:r>
    </w:p>
    <w:p w14:paraId="5B5EEB62" w14:textId="77777777" w:rsidR="00D170E5" w:rsidRPr="002B55E9" w:rsidRDefault="00EF27AD">
      <w:pPr>
        <w:pStyle w:val="5"/>
      </w:pPr>
      <w:r w:rsidRPr="002B55E9">
        <w:rPr>
          <w:rFonts w:hint="eastAsia"/>
        </w:rPr>
        <w:t>废气污染物</w:t>
      </w:r>
      <w:r w:rsidRPr="002B55E9">
        <w:t>产排</w:t>
      </w:r>
      <w:r w:rsidRPr="002B55E9">
        <w:rPr>
          <w:rFonts w:hint="eastAsia"/>
        </w:rPr>
        <w:t>情况</w:t>
      </w:r>
      <w:r w:rsidRPr="002B55E9">
        <w:t>汇总</w:t>
      </w:r>
    </w:p>
    <w:p w14:paraId="6378FF11" w14:textId="77777777" w:rsidR="00D170E5" w:rsidRPr="002B55E9" w:rsidRDefault="00EF27AD">
      <w:pPr>
        <w:pStyle w:val="1f3"/>
        <w:snapToGrid w:val="0"/>
        <w:spacing w:beforeLines="0" w:before="0" w:line="360" w:lineRule="auto"/>
        <w:ind w:firstLineChars="200" w:firstLine="480"/>
        <w:jc w:val="left"/>
        <w:rPr>
          <w:rFonts w:eastAsia="宋体"/>
          <w:b w:val="0"/>
          <w:bCs/>
        </w:rPr>
      </w:pPr>
      <w:r w:rsidRPr="002B55E9">
        <w:rPr>
          <w:rFonts w:eastAsia="宋体"/>
          <w:b w:val="0"/>
          <w:bCs/>
        </w:rPr>
        <w:t>综上所述，拟建项目废气产生及排放汇总情况见下表所示</w:t>
      </w:r>
      <w:r w:rsidRPr="002B55E9">
        <w:rPr>
          <w:rFonts w:eastAsia="宋体" w:hint="eastAsia"/>
          <w:b w:val="0"/>
          <w:bCs/>
        </w:rPr>
        <w:t>。</w:t>
      </w:r>
    </w:p>
    <w:p w14:paraId="33DE21AB" w14:textId="77777777" w:rsidR="00D170E5" w:rsidRPr="002B55E9" w:rsidRDefault="00EF27AD">
      <w:pPr>
        <w:pStyle w:val="1f3"/>
        <w:spacing w:beforeLines="0" w:before="0"/>
        <w:ind w:firstLine="482"/>
      </w:pPr>
      <w:r w:rsidRPr="002B55E9">
        <w:rPr>
          <w:rFonts w:hint="eastAsia"/>
        </w:rPr>
        <w:t>表</w:t>
      </w:r>
      <w:r w:rsidRPr="002B55E9">
        <w:rPr>
          <w:rFonts w:hint="eastAsia"/>
        </w:rPr>
        <w:t>3</w:t>
      </w:r>
      <w:r w:rsidRPr="002B55E9">
        <w:t xml:space="preserve">-3-26  </w:t>
      </w:r>
      <w:r w:rsidRPr="002B55E9">
        <w:rPr>
          <w:rFonts w:hint="eastAsia"/>
        </w:rPr>
        <w:t>拟建项目有组织废气情况汇总表</w:t>
      </w:r>
    </w:p>
    <w:tbl>
      <w:tblPr>
        <w:tblStyle w:val="lgy2"/>
        <w:tblW w:w="5000" w:type="pct"/>
        <w:tblLayout w:type="fixed"/>
        <w:tblCellMar>
          <w:left w:w="28" w:type="dxa"/>
          <w:right w:w="28" w:type="dxa"/>
        </w:tblCellMar>
        <w:tblLook w:val="04A0" w:firstRow="1" w:lastRow="0" w:firstColumn="1" w:lastColumn="0" w:noHBand="0" w:noVBand="1"/>
      </w:tblPr>
      <w:tblGrid>
        <w:gridCol w:w="597"/>
        <w:gridCol w:w="584"/>
        <w:gridCol w:w="874"/>
        <w:gridCol w:w="444"/>
        <w:gridCol w:w="566"/>
        <w:gridCol w:w="388"/>
        <w:gridCol w:w="692"/>
        <w:gridCol w:w="754"/>
        <w:gridCol w:w="791"/>
        <w:gridCol w:w="690"/>
        <w:gridCol w:w="756"/>
        <w:gridCol w:w="572"/>
        <w:gridCol w:w="665"/>
        <w:gridCol w:w="740"/>
        <w:gridCol w:w="581"/>
      </w:tblGrid>
      <w:tr w:rsidR="002B55E9" w:rsidRPr="002B55E9" w14:paraId="1F7200B2" w14:textId="77777777" w:rsidTr="00A83890">
        <w:trPr>
          <w:cnfStyle w:val="100000000000" w:firstRow="1" w:lastRow="0" w:firstColumn="0" w:lastColumn="0" w:oddVBand="0" w:evenVBand="0" w:oddHBand="0" w:evenHBand="0" w:firstRowFirstColumn="0" w:firstRowLastColumn="0" w:lastRowFirstColumn="0" w:lastRowLastColumn="0"/>
          <w:trHeight w:val="283"/>
        </w:trPr>
        <w:tc>
          <w:tcPr>
            <w:tcW w:w="593" w:type="dxa"/>
            <w:vMerge w:val="restart"/>
          </w:tcPr>
          <w:p w14:paraId="6BBE6593" w14:textId="77777777" w:rsidR="00D170E5" w:rsidRPr="002B55E9" w:rsidRDefault="00EF27AD" w:rsidP="00A83890">
            <w:pPr>
              <w:pStyle w:val="lgy-"/>
              <w:rPr>
                <w:rFonts w:eastAsia="宋体"/>
              </w:rPr>
            </w:pPr>
            <w:r w:rsidRPr="002B55E9">
              <w:rPr>
                <w:rFonts w:eastAsia="宋体" w:hint="eastAsia"/>
              </w:rPr>
              <w:t>排气筒编号</w:t>
            </w:r>
          </w:p>
        </w:tc>
        <w:tc>
          <w:tcPr>
            <w:tcW w:w="580" w:type="dxa"/>
            <w:vMerge w:val="restart"/>
          </w:tcPr>
          <w:p w14:paraId="024BAB0C" w14:textId="77777777" w:rsidR="00D170E5" w:rsidRPr="002B55E9" w:rsidRDefault="00EF27AD" w:rsidP="00A83890">
            <w:pPr>
              <w:pStyle w:val="lgy-"/>
              <w:rPr>
                <w:rFonts w:eastAsia="宋体"/>
              </w:rPr>
            </w:pPr>
            <w:r w:rsidRPr="002B55E9">
              <w:rPr>
                <w:rFonts w:eastAsia="宋体"/>
              </w:rPr>
              <w:t>风量</w:t>
            </w:r>
          </w:p>
          <w:p w14:paraId="2BED9B8A" w14:textId="77777777" w:rsidR="00D170E5" w:rsidRPr="002B55E9" w:rsidRDefault="00EF27AD" w:rsidP="00A83890">
            <w:pPr>
              <w:pStyle w:val="lgy-"/>
              <w:rPr>
                <w:rFonts w:eastAsia="宋体"/>
              </w:rPr>
            </w:pPr>
            <w:r w:rsidRPr="002B55E9">
              <w:rPr>
                <w:rFonts w:eastAsia="宋体"/>
              </w:rPr>
              <w:t>(m</w:t>
            </w:r>
            <w:r w:rsidRPr="002B55E9">
              <w:rPr>
                <w:rFonts w:eastAsia="宋体"/>
                <w:vertAlign w:val="superscript"/>
              </w:rPr>
              <w:t>3</w:t>
            </w:r>
            <w:r w:rsidRPr="002B55E9">
              <w:rPr>
                <w:rFonts w:eastAsia="宋体"/>
              </w:rPr>
              <w:t>/h)</w:t>
            </w:r>
          </w:p>
        </w:tc>
        <w:tc>
          <w:tcPr>
            <w:tcW w:w="2259" w:type="dxa"/>
            <w:gridSpan w:val="4"/>
          </w:tcPr>
          <w:p w14:paraId="5574CF1B" w14:textId="77777777" w:rsidR="00D170E5" w:rsidRPr="002B55E9" w:rsidRDefault="00EF27AD" w:rsidP="00A83890">
            <w:pPr>
              <w:pStyle w:val="lgy-"/>
              <w:rPr>
                <w:rFonts w:eastAsia="宋体"/>
              </w:rPr>
            </w:pPr>
            <w:r w:rsidRPr="002B55E9">
              <w:rPr>
                <w:rFonts w:eastAsia="宋体"/>
              </w:rPr>
              <w:t>排放参数</w:t>
            </w:r>
          </w:p>
        </w:tc>
        <w:tc>
          <w:tcPr>
            <w:tcW w:w="688" w:type="dxa"/>
            <w:vMerge w:val="restart"/>
          </w:tcPr>
          <w:p w14:paraId="7D3A24B5" w14:textId="77777777" w:rsidR="00D170E5" w:rsidRPr="002B55E9" w:rsidRDefault="00EF27AD" w:rsidP="00A83890">
            <w:pPr>
              <w:pStyle w:val="lgy-"/>
              <w:rPr>
                <w:rFonts w:eastAsia="宋体"/>
              </w:rPr>
            </w:pPr>
            <w:r w:rsidRPr="002B55E9">
              <w:rPr>
                <w:rFonts w:eastAsia="宋体"/>
              </w:rPr>
              <w:t>污染工序</w:t>
            </w:r>
          </w:p>
        </w:tc>
        <w:tc>
          <w:tcPr>
            <w:tcW w:w="750" w:type="dxa"/>
            <w:vMerge w:val="restart"/>
          </w:tcPr>
          <w:p w14:paraId="3A9F3528" w14:textId="77777777" w:rsidR="00D170E5" w:rsidRPr="002B55E9" w:rsidRDefault="00EF27AD" w:rsidP="00A83890">
            <w:pPr>
              <w:pStyle w:val="lgy-"/>
              <w:rPr>
                <w:rFonts w:eastAsia="宋体"/>
              </w:rPr>
            </w:pPr>
            <w:r w:rsidRPr="002B55E9">
              <w:rPr>
                <w:rFonts w:eastAsia="宋体"/>
              </w:rPr>
              <w:t>主要污染物</w:t>
            </w:r>
          </w:p>
        </w:tc>
        <w:tc>
          <w:tcPr>
            <w:tcW w:w="2224" w:type="dxa"/>
            <w:gridSpan w:val="3"/>
          </w:tcPr>
          <w:p w14:paraId="08C70DAF" w14:textId="77777777" w:rsidR="00D170E5" w:rsidRPr="002B55E9" w:rsidRDefault="00EF27AD" w:rsidP="00A83890">
            <w:pPr>
              <w:pStyle w:val="lgy-"/>
              <w:rPr>
                <w:rFonts w:eastAsia="宋体"/>
              </w:rPr>
            </w:pPr>
            <w:r w:rsidRPr="002B55E9">
              <w:rPr>
                <w:rFonts w:eastAsia="宋体"/>
              </w:rPr>
              <w:t>产生情况</w:t>
            </w:r>
          </w:p>
        </w:tc>
        <w:tc>
          <w:tcPr>
            <w:tcW w:w="569" w:type="dxa"/>
            <w:vMerge w:val="restart"/>
          </w:tcPr>
          <w:p w14:paraId="5764B75B" w14:textId="77777777" w:rsidR="00D170E5" w:rsidRPr="002B55E9" w:rsidRDefault="00EF27AD" w:rsidP="00A83890">
            <w:pPr>
              <w:pStyle w:val="lgy-"/>
              <w:rPr>
                <w:rFonts w:eastAsia="宋体"/>
              </w:rPr>
            </w:pPr>
            <w:r w:rsidRPr="002B55E9">
              <w:rPr>
                <w:rFonts w:eastAsia="宋体"/>
              </w:rPr>
              <w:t>处理</w:t>
            </w:r>
          </w:p>
          <w:p w14:paraId="4DDB1485" w14:textId="77777777" w:rsidR="00D170E5" w:rsidRPr="002B55E9" w:rsidRDefault="00EF27AD" w:rsidP="00A83890">
            <w:pPr>
              <w:pStyle w:val="lgy-"/>
              <w:rPr>
                <w:rFonts w:eastAsia="宋体"/>
              </w:rPr>
            </w:pPr>
            <w:r w:rsidRPr="002B55E9">
              <w:rPr>
                <w:rFonts w:eastAsia="宋体"/>
              </w:rPr>
              <w:t>效率</w:t>
            </w:r>
            <w:r w:rsidRPr="002B55E9">
              <w:rPr>
                <w:rFonts w:eastAsia="宋体"/>
              </w:rPr>
              <w:t>%</w:t>
            </w:r>
          </w:p>
        </w:tc>
        <w:tc>
          <w:tcPr>
            <w:tcW w:w="1975" w:type="dxa"/>
            <w:gridSpan w:val="3"/>
          </w:tcPr>
          <w:p w14:paraId="68AF12D2" w14:textId="77777777" w:rsidR="00D170E5" w:rsidRPr="002B55E9" w:rsidRDefault="00EF27AD" w:rsidP="00A83890">
            <w:pPr>
              <w:pStyle w:val="lgy-"/>
              <w:rPr>
                <w:rFonts w:eastAsia="宋体"/>
              </w:rPr>
            </w:pPr>
            <w:r w:rsidRPr="002B55E9">
              <w:rPr>
                <w:rFonts w:eastAsia="宋体"/>
              </w:rPr>
              <w:t>排放情况</w:t>
            </w:r>
          </w:p>
        </w:tc>
      </w:tr>
      <w:tr w:rsidR="002B55E9" w:rsidRPr="002B55E9" w14:paraId="7AC0D108" w14:textId="77777777" w:rsidTr="00A83890">
        <w:trPr>
          <w:trHeight w:val="283"/>
        </w:trPr>
        <w:tc>
          <w:tcPr>
            <w:tcW w:w="593" w:type="dxa"/>
            <w:vMerge/>
          </w:tcPr>
          <w:p w14:paraId="7391708C" w14:textId="77777777" w:rsidR="00D170E5" w:rsidRPr="002B55E9" w:rsidRDefault="00D170E5" w:rsidP="00A83890">
            <w:pPr>
              <w:pStyle w:val="lgy-"/>
              <w:rPr>
                <w:rFonts w:eastAsia="宋体"/>
              </w:rPr>
            </w:pPr>
          </w:p>
        </w:tc>
        <w:tc>
          <w:tcPr>
            <w:tcW w:w="580" w:type="dxa"/>
            <w:vMerge/>
          </w:tcPr>
          <w:p w14:paraId="2D979A6E" w14:textId="77777777" w:rsidR="00D170E5" w:rsidRPr="002B55E9" w:rsidRDefault="00D170E5" w:rsidP="00A83890">
            <w:pPr>
              <w:pStyle w:val="lgy-"/>
              <w:rPr>
                <w:rFonts w:eastAsia="宋体"/>
              </w:rPr>
            </w:pPr>
          </w:p>
        </w:tc>
        <w:tc>
          <w:tcPr>
            <w:tcW w:w="869" w:type="dxa"/>
          </w:tcPr>
          <w:p w14:paraId="2C0C3345" w14:textId="77777777" w:rsidR="00D170E5" w:rsidRPr="002B55E9" w:rsidRDefault="00EF27AD" w:rsidP="00A83890">
            <w:pPr>
              <w:pStyle w:val="lgy-"/>
              <w:rPr>
                <w:rFonts w:eastAsia="宋体"/>
              </w:rPr>
            </w:pPr>
            <w:r w:rsidRPr="002B55E9">
              <w:rPr>
                <w:rFonts w:eastAsia="宋体"/>
              </w:rPr>
              <w:t>处置</w:t>
            </w:r>
            <w:r w:rsidRPr="002B55E9">
              <w:rPr>
                <w:rFonts w:eastAsia="宋体" w:hint="eastAsia"/>
              </w:rPr>
              <w:t>工艺</w:t>
            </w:r>
          </w:p>
        </w:tc>
        <w:tc>
          <w:tcPr>
            <w:tcW w:w="441" w:type="dxa"/>
          </w:tcPr>
          <w:p w14:paraId="6B17B894" w14:textId="77777777" w:rsidR="00D170E5" w:rsidRPr="002B55E9" w:rsidRDefault="00EF27AD" w:rsidP="00A83890">
            <w:pPr>
              <w:pStyle w:val="lgy-"/>
              <w:rPr>
                <w:rFonts w:eastAsia="宋体"/>
              </w:rPr>
            </w:pPr>
            <w:r w:rsidRPr="002B55E9">
              <w:rPr>
                <w:rFonts w:eastAsia="宋体"/>
              </w:rPr>
              <w:t>高度</w:t>
            </w:r>
          </w:p>
          <w:p w14:paraId="0810EFCB" w14:textId="77777777" w:rsidR="00D170E5" w:rsidRPr="002B55E9" w:rsidRDefault="00EF27AD" w:rsidP="00A83890">
            <w:pPr>
              <w:pStyle w:val="lgy-"/>
              <w:rPr>
                <w:rFonts w:eastAsia="宋体"/>
              </w:rPr>
            </w:pPr>
            <w:r w:rsidRPr="002B55E9">
              <w:rPr>
                <w:rFonts w:eastAsia="宋体"/>
              </w:rPr>
              <w:t>(m)</w:t>
            </w:r>
          </w:p>
        </w:tc>
        <w:tc>
          <w:tcPr>
            <w:tcW w:w="563" w:type="dxa"/>
          </w:tcPr>
          <w:p w14:paraId="0CCBF320" w14:textId="77777777" w:rsidR="00D170E5" w:rsidRPr="002B55E9" w:rsidRDefault="00EF27AD" w:rsidP="00A83890">
            <w:pPr>
              <w:pStyle w:val="lgy-"/>
              <w:rPr>
                <w:rFonts w:eastAsia="宋体"/>
              </w:rPr>
            </w:pPr>
            <w:r w:rsidRPr="002B55E9">
              <w:rPr>
                <w:rFonts w:eastAsia="宋体"/>
              </w:rPr>
              <w:t>温度</w:t>
            </w:r>
          </w:p>
          <w:p w14:paraId="073AC4D5" w14:textId="77777777" w:rsidR="00D170E5" w:rsidRPr="002B55E9" w:rsidRDefault="00EF27AD" w:rsidP="00A83890">
            <w:pPr>
              <w:pStyle w:val="lgy-"/>
              <w:rPr>
                <w:rFonts w:eastAsia="宋体"/>
              </w:rPr>
            </w:pPr>
            <w:r w:rsidRPr="002B55E9">
              <w:rPr>
                <w:rFonts w:eastAsia="宋体"/>
              </w:rPr>
              <w:t>(</w:t>
            </w:r>
            <w:r w:rsidRPr="002B55E9">
              <w:rPr>
                <w:rFonts w:eastAsia="宋体" w:hint="eastAsia"/>
              </w:rPr>
              <w:t>℃</w:t>
            </w:r>
            <w:r w:rsidRPr="002B55E9">
              <w:rPr>
                <w:rFonts w:eastAsia="宋体"/>
              </w:rPr>
              <w:t>)</w:t>
            </w:r>
          </w:p>
        </w:tc>
        <w:tc>
          <w:tcPr>
            <w:tcW w:w="386" w:type="dxa"/>
          </w:tcPr>
          <w:p w14:paraId="749DC750" w14:textId="77777777" w:rsidR="00D170E5" w:rsidRPr="002B55E9" w:rsidRDefault="00EF27AD" w:rsidP="00A83890">
            <w:pPr>
              <w:pStyle w:val="lgy-"/>
              <w:rPr>
                <w:rFonts w:eastAsia="宋体"/>
              </w:rPr>
            </w:pPr>
            <w:r w:rsidRPr="002B55E9">
              <w:rPr>
                <w:rFonts w:eastAsia="宋体"/>
              </w:rPr>
              <w:t>内径</w:t>
            </w:r>
          </w:p>
          <w:p w14:paraId="63F44125" w14:textId="77777777" w:rsidR="00D170E5" w:rsidRPr="002B55E9" w:rsidRDefault="00EF27AD" w:rsidP="00A83890">
            <w:pPr>
              <w:pStyle w:val="lgy-"/>
              <w:rPr>
                <w:rFonts w:eastAsia="宋体"/>
              </w:rPr>
            </w:pPr>
            <w:r w:rsidRPr="002B55E9">
              <w:rPr>
                <w:rFonts w:eastAsia="宋体"/>
              </w:rPr>
              <w:t>(m)</w:t>
            </w:r>
          </w:p>
        </w:tc>
        <w:tc>
          <w:tcPr>
            <w:tcW w:w="688" w:type="dxa"/>
            <w:vMerge/>
          </w:tcPr>
          <w:p w14:paraId="2C7416AA" w14:textId="77777777" w:rsidR="00D170E5" w:rsidRPr="002B55E9" w:rsidRDefault="00D170E5" w:rsidP="00A83890">
            <w:pPr>
              <w:pStyle w:val="lgy-"/>
              <w:rPr>
                <w:rFonts w:eastAsia="宋体"/>
              </w:rPr>
            </w:pPr>
          </w:p>
        </w:tc>
        <w:tc>
          <w:tcPr>
            <w:tcW w:w="750" w:type="dxa"/>
            <w:vMerge/>
          </w:tcPr>
          <w:p w14:paraId="7C9632A6" w14:textId="77777777" w:rsidR="00D170E5" w:rsidRPr="002B55E9" w:rsidRDefault="00D170E5" w:rsidP="00A83890">
            <w:pPr>
              <w:pStyle w:val="lgy-"/>
              <w:rPr>
                <w:rFonts w:eastAsia="宋体"/>
              </w:rPr>
            </w:pPr>
          </w:p>
        </w:tc>
        <w:tc>
          <w:tcPr>
            <w:tcW w:w="786" w:type="dxa"/>
          </w:tcPr>
          <w:p w14:paraId="292201AB" w14:textId="77777777" w:rsidR="00D170E5" w:rsidRPr="002B55E9" w:rsidRDefault="00EF27AD" w:rsidP="00A83890">
            <w:pPr>
              <w:pStyle w:val="lgy-"/>
              <w:rPr>
                <w:rFonts w:eastAsia="宋体"/>
              </w:rPr>
            </w:pPr>
            <w:r w:rsidRPr="002B55E9">
              <w:rPr>
                <w:rFonts w:eastAsia="宋体"/>
              </w:rPr>
              <w:t>产生浓度</w:t>
            </w:r>
            <w:r w:rsidRPr="002B55E9">
              <w:rPr>
                <w:rFonts w:eastAsia="宋体"/>
              </w:rPr>
              <w:t>(mg/m</w:t>
            </w:r>
            <w:r w:rsidRPr="002B55E9">
              <w:rPr>
                <w:rFonts w:eastAsia="宋体"/>
                <w:vertAlign w:val="superscript"/>
              </w:rPr>
              <w:t>3</w:t>
            </w:r>
            <w:r w:rsidRPr="002B55E9">
              <w:rPr>
                <w:rFonts w:eastAsia="宋体"/>
              </w:rPr>
              <w:t>)</w:t>
            </w:r>
          </w:p>
        </w:tc>
        <w:tc>
          <w:tcPr>
            <w:tcW w:w="686" w:type="dxa"/>
          </w:tcPr>
          <w:p w14:paraId="18A6BE3D" w14:textId="77777777" w:rsidR="00D170E5" w:rsidRPr="002B55E9" w:rsidRDefault="00EF27AD" w:rsidP="00A83890">
            <w:pPr>
              <w:pStyle w:val="lgy-"/>
              <w:rPr>
                <w:rFonts w:eastAsia="宋体"/>
              </w:rPr>
            </w:pPr>
            <w:r w:rsidRPr="002B55E9">
              <w:rPr>
                <w:rFonts w:eastAsia="宋体"/>
              </w:rPr>
              <w:t>产生速率</w:t>
            </w:r>
            <w:r w:rsidRPr="002B55E9">
              <w:rPr>
                <w:rFonts w:eastAsia="宋体"/>
              </w:rPr>
              <w:t>(kg/h)</w:t>
            </w:r>
          </w:p>
        </w:tc>
        <w:tc>
          <w:tcPr>
            <w:tcW w:w="752" w:type="dxa"/>
          </w:tcPr>
          <w:p w14:paraId="4FDCD7B7" w14:textId="77777777" w:rsidR="00D170E5" w:rsidRPr="002B55E9" w:rsidRDefault="00EF27AD" w:rsidP="00A83890">
            <w:pPr>
              <w:pStyle w:val="lgy-"/>
              <w:rPr>
                <w:rFonts w:eastAsia="宋体"/>
              </w:rPr>
            </w:pPr>
            <w:r w:rsidRPr="002B55E9">
              <w:rPr>
                <w:rFonts w:eastAsia="宋体"/>
              </w:rPr>
              <w:t>产生量</w:t>
            </w:r>
            <w:r w:rsidRPr="002B55E9">
              <w:rPr>
                <w:rFonts w:eastAsia="宋体"/>
              </w:rPr>
              <w:t>(</w:t>
            </w:r>
            <w:r w:rsidRPr="002B55E9">
              <w:rPr>
                <w:rFonts w:eastAsia="宋体" w:hint="eastAsia"/>
              </w:rPr>
              <w:t>t</w:t>
            </w:r>
            <w:r w:rsidRPr="002B55E9">
              <w:rPr>
                <w:rFonts w:eastAsia="宋体"/>
              </w:rPr>
              <w:t>/a)</w:t>
            </w:r>
          </w:p>
        </w:tc>
        <w:tc>
          <w:tcPr>
            <w:tcW w:w="569" w:type="dxa"/>
            <w:vMerge/>
          </w:tcPr>
          <w:p w14:paraId="664C721A" w14:textId="77777777" w:rsidR="00D170E5" w:rsidRPr="002B55E9" w:rsidRDefault="00D170E5" w:rsidP="00A83890">
            <w:pPr>
              <w:pStyle w:val="lgy-"/>
              <w:rPr>
                <w:rFonts w:eastAsia="宋体"/>
              </w:rPr>
            </w:pPr>
          </w:p>
        </w:tc>
        <w:tc>
          <w:tcPr>
            <w:tcW w:w="661" w:type="dxa"/>
          </w:tcPr>
          <w:p w14:paraId="1DC23B7F" w14:textId="77777777" w:rsidR="00D170E5" w:rsidRPr="002B55E9" w:rsidRDefault="00EF27AD" w:rsidP="00A83890">
            <w:pPr>
              <w:pStyle w:val="lgy-"/>
              <w:rPr>
                <w:rFonts w:eastAsia="宋体"/>
              </w:rPr>
            </w:pPr>
            <w:r w:rsidRPr="002B55E9">
              <w:rPr>
                <w:rFonts w:eastAsia="宋体"/>
              </w:rPr>
              <w:t>处理后浓度</w:t>
            </w:r>
            <w:r w:rsidRPr="002B55E9">
              <w:rPr>
                <w:rFonts w:eastAsia="宋体"/>
              </w:rPr>
              <w:t>(mg/m</w:t>
            </w:r>
            <w:r w:rsidRPr="002B55E9">
              <w:rPr>
                <w:rFonts w:eastAsia="宋体"/>
                <w:vertAlign w:val="superscript"/>
              </w:rPr>
              <w:t>3</w:t>
            </w:r>
            <w:r w:rsidRPr="002B55E9">
              <w:rPr>
                <w:rFonts w:eastAsia="宋体"/>
              </w:rPr>
              <w:t>)</w:t>
            </w:r>
          </w:p>
        </w:tc>
        <w:tc>
          <w:tcPr>
            <w:tcW w:w="736" w:type="dxa"/>
          </w:tcPr>
          <w:p w14:paraId="3F7127C4" w14:textId="77777777" w:rsidR="00D170E5" w:rsidRPr="002B55E9" w:rsidRDefault="00EF27AD" w:rsidP="00A83890">
            <w:pPr>
              <w:pStyle w:val="lgy-"/>
              <w:rPr>
                <w:rFonts w:eastAsia="宋体"/>
              </w:rPr>
            </w:pPr>
            <w:r w:rsidRPr="002B55E9">
              <w:rPr>
                <w:rFonts w:eastAsia="宋体"/>
              </w:rPr>
              <w:t>排放速率</w:t>
            </w:r>
          </w:p>
          <w:p w14:paraId="730F5F9E" w14:textId="77777777" w:rsidR="00D170E5" w:rsidRPr="002B55E9" w:rsidRDefault="00EF27AD" w:rsidP="00A83890">
            <w:pPr>
              <w:pStyle w:val="lgy-"/>
              <w:rPr>
                <w:rFonts w:eastAsia="宋体"/>
              </w:rPr>
            </w:pPr>
            <w:r w:rsidRPr="002B55E9">
              <w:rPr>
                <w:rFonts w:eastAsia="宋体"/>
              </w:rPr>
              <w:t>(kg/h)</w:t>
            </w:r>
          </w:p>
        </w:tc>
        <w:tc>
          <w:tcPr>
            <w:tcW w:w="578" w:type="dxa"/>
          </w:tcPr>
          <w:p w14:paraId="2FD4334D" w14:textId="77777777" w:rsidR="00D170E5" w:rsidRPr="002B55E9" w:rsidRDefault="00EF27AD" w:rsidP="00A83890">
            <w:pPr>
              <w:pStyle w:val="lgy-"/>
              <w:rPr>
                <w:rFonts w:eastAsia="宋体"/>
              </w:rPr>
            </w:pPr>
            <w:r w:rsidRPr="002B55E9">
              <w:rPr>
                <w:rFonts w:eastAsia="宋体"/>
              </w:rPr>
              <w:t>排放量</w:t>
            </w:r>
            <w:r w:rsidRPr="002B55E9">
              <w:rPr>
                <w:rFonts w:eastAsia="宋体"/>
              </w:rPr>
              <w:t>(</w:t>
            </w:r>
            <w:r w:rsidRPr="002B55E9">
              <w:rPr>
                <w:rFonts w:eastAsia="宋体" w:hint="eastAsia"/>
              </w:rPr>
              <w:t>t</w:t>
            </w:r>
            <w:r w:rsidRPr="002B55E9">
              <w:rPr>
                <w:rFonts w:eastAsia="宋体"/>
              </w:rPr>
              <w:t>/a)</w:t>
            </w:r>
          </w:p>
        </w:tc>
      </w:tr>
      <w:tr w:rsidR="002B55E9" w:rsidRPr="002B55E9" w14:paraId="7C181E2D" w14:textId="77777777" w:rsidTr="00A83890">
        <w:trPr>
          <w:trHeight w:val="283"/>
        </w:trPr>
        <w:tc>
          <w:tcPr>
            <w:tcW w:w="593" w:type="dxa"/>
          </w:tcPr>
          <w:p w14:paraId="52202BB9" w14:textId="77777777" w:rsidR="00D170E5" w:rsidRPr="002B55E9" w:rsidRDefault="00EF27AD" w:rsidP="00A83890">
            <w:pPr>
              <w:pStyle w:val="lgy-"/>
              <w:rPr>
                <w:rFonts w:eastAsia="宋体"/>
              </w:rPr>
            </w:pPr>
            <w:r w:rsidRPr="002B55E9">
              <w:rPr>
                <w:rFonts w:eastAsia="宋体" w:hint="eastAsia"/>
              </w:rPr>
              <w:t>DA001</w:t>
            </w:r>
          </w:p>
        </w:tc>
        <w:tc>
          <w:tcPr>
            <w:tcW w:w="580" w:type="dxa"/>
          </w:tcPr>
          <w:p w14:paraId="373A2FF3" w14:textId="77777777" w:rsidR="00D170E5" w:rsidRPr="002B55E9" w:rsidRDefault="00EF27AD" w:rsidP="00A83890">
            <w:pPr>
              <w:pStyle w:val="lgy-"/>
              <w:rPr>
                <w:rFonts w:eastAsia="宋体"/>
              </w:rPr>
            </w:pPr>
            <w:r w:rsidRPr="002B55E9">
              <w:rPr>
                <w:rFonts w:eastAsia="宋体" w:hint="eastAsia"/>
              </w:rPr>
              <w:t>5000</w:t>
            </w:r>
          </w:p>
        </w:tc>
        <w:tc>
          <w:tcPr>
            <w:tcW w:w="869" w:type="dxa"/>
          </w:tcPr>
          <w:p w14:paraId="4E4E4BA7" w14:textId="77777777" w:rsidR="00D170E5" w:rsidRPr="002B55E9" w:rsidRDefault="00EF27AD" w:rsidP="00A83890">
            <w:pPr>
              <w:pStyle w:val="lgy-"/>
              <w:rPr>
                <w:rFonts w:eastAsia="宋体"/>
              </w:rPr>
            </w:pPr>
            <w:r w:rsidRPr="002B55E9">
              <w:rPr>
                <w:rFonts w:eastAsia="宋体" w:hint="eastAsia"/>
              </w:rPr>
              <w:t>袋式</w:t>
            </w:r>
            <w:r w:rsidRPr="002B55E9">
              <w:rPr>
                <w:rFonts w:eastAsia="宋体"/>
              </w:rPr>
              <w:t>除尘</w:t>
            </w:r>
          </w:p>
        </w:tc>
        <w:tc>
          <w:tcPr>
            <w:tcW w:w="441" w:type="dxa"/>
          </w:tcPr>
          <w:p w14:paraId="2CB91F5C" w14:textId="77777777" w:rsidR="00D170E5" w:rsidRPr="002B55E9" w:rsidRDefault="00EF27AD" w:rsidP="00A83890">
            <w:pPr>
              <w:pStyle w:val="lgy-"/>
              <w:rPr>
                <w:rFonts w:eastAsia="宋体"/>
              </w:rPr>
            </w:pPr>
            <w:r w:rsidRPr="002B55E9">
              <w:rPr>
                <w:rFonts w:eastAsia="宋体"/>
              </w:rPr>
              <w:t>18</w:t>
            </w:r>
          </w:p>
        </w:tc>
        <w:tc>
          <w:tcPr>
            <w:tcW w:w="563" w:type="dxa"/>
          </w:tcPr>
          <w:p w14:paraId="54F4D028" w14:textId="77777777" w:rsidR="00D170E5" w:rsidRPr="002B55E9" w:rsidRDefault="00EF27AD" w:rsidP="00A83890">
            <w:pPr>
              <w:pStyle w:val="lgy-"/>
              <w:rPr>
                <w:rFonts w:eastAsia="宋体"/>
              </w:rPr>
            </w:pPr>
            <w:r w:rsidRPr="002B55E9">
              <w:rPr>
                <w:rFonts w:eastAsia="宋体" w:hint="eastAsia"/>
              </w:rPr>
              <w:t>25</w:t>
            </w:r>
          </w:p>
        </w:tc>
        <w:tc>
          <w:tcPr>
            <w:tcW w:w="386" w:type="dxa"/>
          </w:tcPr>
          <w:p w14:paraId="4EE2702A" w14:textId="77777777" w:rsidR="00D170E5" w:rsidRPr="002B55E9" w:rsidRDefault="00EF27AD" w:rsidP="00A83890">
            <w:pPr>
              <w:pStyle w:val="lgy-"/>
              <w:rPr>
                <w:rFonts w:eastAsia="宋体"/>
              </w:rPr>
            </w:pPr>
            <w:r w:rsidRPr="002B55E9">
              <w:rPr>
                <w:rFonts w:eastAsia="宋体" w:hint="eastAsia"/>
              </w:rPr>
              <w:t>0.4</w:t>
            </w:r>
          </w:p>
        </w:tc>
        <w:tc>
          <w:tcPr>
            <w:tcW w:w="688" w:type="dxa"/>
          </w:tcPr>
          <w:p w14:paraId="5FF5C8BB" w14:textId="77777777" w:rsidR="00D170E5" w:rsidRPr="002B55E9" w:rsidRDefault="00EF27AD" w:rsidP="00A83890">
            <w:pPr>
              <w:pStyle w:val="lgy-"/>
              <w:rPr>
                <w:rFonts w:eastAsia="宋体"/>
              </w:rPr>
            </w:pPr>
            <w:r w:rsidRPr="002B55E9">
              <w:rPr>
                <w:rFonts w:eastAsia="宋体" w:hint="eastAsia"/>
              </w:rPr>
              <w:t>香辛料</w:t>
            </w:r>
            <w:r w:rsidRPr="002B55E9">
              <w:rPr>
                <w:rFonts w:eastAsia="宋体"/>
              </w:rPr>
              <w:t>破碎</w:t>
            </w:r>
          </w:p>
        </w:tc>
        <w:tc>
          <w:tcPr>
            <w:tcW w:w="750" w:type="dxa"/>
          </w:tcPr>
          <w:p w14:paraId="7322A717" w14:textId="77777777" w:rsidR="00D170E5" w:rsidRPr="002B55E9" w:rsidRDefault="00EF27AD" w:rsidP="00A83890">
            <w:pPr>
              <w:pStyle w:val="lgy-"/>
              <w:rPr>
                <w:rFonts w:eastAsia="宋体"/>
                <w:kern w:val="2"/>
              </w:rPr>
            </w:pPr>
            <w:r w:rsidRPr="002B55E9">
              <w:rPr>
                <w:rFonts w:eastAsia="宋体" w:hint="eastAsia"/>
                <w:kern w:val="2"/>
              </w:rPr>
              <w:t>颗粒物</w:t>
            </w:r>
          </w:p>
        </w:tc>
        <w:tc>
          <w:tcPr>
            <w:tcW w:w="786" w:type="dxa"/>
          </w:tcPr>
          <w:p w14:paraId="1371128C" w14:textId="77777777" w:rsidR="00D170E5" w:rsidRPr="002B55E9" w:rsidRDefault="00EF27AD" w:rsidP="00A83890">
            <w:pPr>
              <w:pStyle w:val="lgy-"/>
              <w:rPr>
                <w:rFonts w:eastAsia="宋体"/>
              </w:rPr>
            </w:pPr>
            <w:r w:rsidRPr="002B55E9">
              <w:rPr>
                <w:rFonts w:eastAsia="宋体"/>
              </w:rPr>
              <w:t>28.24</w:t>
            </w:r>
          </w:p>
        </w:tc>
        <w:tc>
          <w:tcPr>
            <w:tcW w:w="686" w:type="dxa"/>
          </w:tcPr>
          <w:p w14:paraId="73E13BA1" w14:textId="77777777" w:rsidR="00D170E5" w:rsidRPr="002B55E9" w:rsidRDefault="00EF27AD" w:rsidP="00A83890">
            <w:pPr>
              <w:pStyle w:val="lgy-"/>
              <w:rPr>
                <w:rFonts w:eastAsia="宋体"/>
              </w:rPr>
            </w:pPr>
            <w:r w:rsidRPr="002B55E9">
              <w:rPr>
                <w:rFonts w:eastAsia="宋体"/>
              </w:rPr>
              <w:t>0.141</w:t>
            </w:r>
          </w:p>
        </w:tc>
        <w:tc>
          <w:tcPr>
            <w:tcW w:w="752" w:type="dxa"/>
          </w:tcPr>
          <w:p w14:paraId="22B9873A" w14:textId="77777777" w:rsidR="00D170E5" w:rsidRPr="002B55E9" w:rsidRDefault="00EF27AD" w:rsidP="00A83890">
            <w:pPr>
              <w:pStyle w:val="lgy-"/>
              <w:rPr>
                <w:rFonts w:eastAsia="宋体"/>
              </w:rPr>
            </w:pPr>
            <w:r w:rsidRPr="002B55E9">
              <w:rPr>
                <w:rFonts w:eastAsia="宋体"/>
              </w:rPr>
              <w:t>0.141</w:t>
            </w:r>
          </w:p>
        </w:tc>
        <w:tc>
          <w:tcPr>
            <w:tcW w:w="569" w:type="dxa"/>
          </w:tcPr>
          <w:p w14:paraId="428579BD" w14:textId="7A993987" w:rsidR="00D170E5" w:rsidRPr="002B55E9" w:rsidRDefault="00382309" w:rsidP="00A83890">
            <w:pPr>
              <w:pStyle w:val="lgy-"/>
              <w:rPr>
                <w:rFonts w:eastAsia="宋体"/>
              </w:rPr>
            </w:pPr>
            <w:r w:rsidRPr="002B55E9">
              <w:rPr>
                <w:rFonts w:eastAsia="宋体"/>
              </w:rPr>
              <w:t>6</w:t>
            </w:r>
            <w:r w:rsidR="00EF27AD" w:rsidRPr="002B55E9">
              <w:rPr>
                <w:rFonts w:eastAsia="宋体"/>
              </w:rPr>
              <w:t>0%</w:t>
            </w:r>
          </w:p>
        </w:tc>
        <w:tc>
          <w:tcPr>
            <w:tcW w:w="661" w:type="dxa"/>
          </w:tcPr>
          <w:p w14:paraId="159C0DF2" w14:textId="77777777" w:rsidR="00D170E5" w:rsidRPr="002B55E9" w:rsidRDefault="00EF27AD" w:rsidP="00A83890">
            <w:pPr>
              <w:pStyle w:val="lgy-"/>
              <w:rPr>
                <w:rFonts w:eastAsia="宋体"/>
              </w:rPr>
            </w:pPr>
            <w:r w:rsidRPr="002B55E9">
              <w:rPr>
                <w:rFonts w:eastAsia="宋体"/>
              </w:rPr>
              <w:t>10.17</w:t>
            </w:r>
          </w:p>
        </w:tc>
        <w:tc>
          <w:tcPr>
            <w:tcW w:w="736" w:type="dxa"/>
          </w:tcPr>
          <w:p w14:paraId="1ECFBEEE" w14:textId="77777777" w:rsidR="00D170E5" w:rsidRPr="002B55E9" w:rsidRDefault="00EF27AD" w:rsidP="00A83890">
            <w:pPr>
              <w:pStyle w:val="lgy-"/>
              <w:rPr>
                <w:rFonts w:eastAsia="宋体"/>
              </w:rPr>
            </w:pPr>
            <w:r w:rsidRPr="002B55E9">
              <w:rPr>
                <w:rFonts w:eastAsia="宋体"/>
              </w:rPr>
              <w:t>0.051</w:t>
            </w:r>
          </w:p>
        </w:tc>
        <w:tc>
          <w:tcPr>
            <w:tcW w:w="578" w:type="dxa"/>
          </w:tcPr>
          <w:p w14:paraId="22DC64EA" w14:textId="77777777" w:rsidR="00D170E5" w:rsidRPr="002B55E9" w:rsidRDefault="00EF27AD" w:rsidP="00A83890">
            <w:pPr>
              <w:pStyle w:val="lgy-"/>
              <w:rPr>
                <w:rFonts w:eastAsia="宋体"/>
              </w:rPr>
            </w:pPr>
            <w:r w:rsidRPr="002B55E9">
              <w:rPr>
                <w:rFonts w:eastAsia="宋体"/>
              </w:rPr>
              <w:t>0.051</w:t>
            </w:r>
          </w:p>
        </w:tc>
      </w:tr>
      <w:tr w:rsidR="002B55E9" w:rsidRPr="002B55E9" w14:paraId="5871726F" w14:textId="77777777" w:rsidTr="00A83890">
        <w:trPr>
          <w:trHeight w:val="283"/>
        </w:trPr>
        <w:tc>
          <w:tcPr>
            <w:tcW w:w="593" w:type="dxa"/>
            <w:vMerge w:val="restart"/>
          </w:tcPr>
          <w:p w14:paraId="444A94E4" w14:textId="77777777" w:rsidR="00A83890" w:rsidRPr="002B55E9" w:rsidRDefault="00A83890" w:rsidP="00A83890">
            <w:pPr>
              <w:pStyle w:val="lgy-"/>
              <w:rPr>
                <w:rFonts w:eastAsia="宋体"/>
              </w:rPr>
            </w:pPr>
            <w:r w:rsidRPr="002B55E9">
              <w:rPr>
                <w:rFonts w:eastAsia="宋体" w:hint="eastAsia"/>
              </w:rPr>
              <w:t>DA002</w:t>
            </w:r>
          </w:p>
        </w:tc>
        <w:tc>
          <w:tcPr>
            <w:tcW w:w="580" w:type="dxa"/>
            <w:vMerge w:val="restart"/>
          </w:tcPr>
          <w:p w14:paraId="7C3EC212" w14:textId="77777777" w:rsidR="00A83890" w:rsidRPr="002B55E9" w:rsidRDefault="00A83890" w:rsidP="00A83890">
            <w:pPr>
              <w:pStyle w:val="lgy-"/>
              <w:rPr>
                <w:rFonts w:eastAsia="宋体"/>
              </w:rPr>
            </w:pPr>
            <w:r w:rsidRPr="002B55E9">
              <w:rPr>
                <w:rFonts w:eastAsia="宋体" w:hint="eastAsia"/>
              </w:rPr>
              <w:t>1</w:t>
            </w:r>
            <w:r w:rsidRPr="002B55E9">
              <w:rPr>
                <w:rFonts w:eastAsia="宋体"/>
              </w:rPr>
              <w:t>2</w:t>
            </w:r>
            <w:r w:rsidRPr="002B55E9">
              <w:rPr>
                <w:rFonts w:eastAsia="宋体" w:hint="eastAsia"/>
              </w:rPr>
              <w:t>000</w:t>
            </w:r>
          </w:p>
        </w:tc>
        <w:tc>
          <w:tcPr>
            <w:tcW w:w="869" w:type="dxa"/>
            <w:vMerge w:val="restart"/>
          </w:tcPr>
          <w:p w14:paraId="0EA8252D" w14:textId="424C260B" w:rsidR="00A83890" w:rsidRPr="002B55E9" w:rsidRDefault="00A83890" w:rsidP="00A83890">
            <w:pPr>
              <w:pStyle w:val="lgy-"/>
              <w:rPr>
                <w:rFonts w:eastAsia="宋体"/>
              </w:rPr>
            </w:pPr>
            <w:r w:rsidRPr="002B55E9">
              <w:rPr>
                <w:rFonts w:eastAsia="宋体" w:hint="eastAsia"/>
              </w:rPr>
              <w:t>二级碱喷淋</w:t>
            </w:r>
            <w:r w:rsidRPr="002B55E9">
              <w:rPr>
                <w:rFonts w:eastAsia="宋体" w:hint="eastAsia"/>
              </w:rPr>
              <w:t>+</w:t>
            </w:r>
            <w:r w:rsidRPr="002B55E9">
              <w:rPr>
                <w:rFonts w:eastAsia="宋体" w:hint="eastAsia"/>
              </w:rPr>
              <w:t>水喷淋</w:t>
            </w:r>
          </w:p>
        </w:tc>
        <w:tc>
          <w:tcPr>
            <w:tcW w:w="441" w:type="dxa"/>
            <w:vMerge w:val="restart"/>
          </w:tcPr>
          <w:p w14:paraId="63A6F3E8" w14:textId="77777777" w:rsidR="00A83890" w:rsidRPr="002B55E9" w:rsidRDefault="00A83890" w:rsidP="00A83890">
            <w:pPr>
              <w:pStyle w:val="lgy-"/>
              <w:rPr>
                <w:rFonts w:eastAsia="宋体"/>
              </w:rPr>
            </w:pPr>
            <w:r w:rsidRPr="002B55E9">
              <w:rPr>
                <w:rFonts w:eastAsia="宋体" w:hint="eastAsia"/>
              </w:rPr>
              <w:t>18</w:t>
            </w:r>
          </w:p>
        </w:tc>
        <w:tc>
          <w:tcPr>
            <w:tcW w:w="563" w:type="dxa"/>
            <w:vMerge w:val="restart"/>
          </w:tcPr>
          <w:p w14:paraId="16E7ECD7" w14:textId="77777777" w:rsidR="00A83890" w:rsidRPr="002B55E9" w:rsidRDefault="00A83890" w:rsidP="00A83890">
            <w:pPr>
              <w:pStyle w:val="lgy-"/>
              <w:rPr>
                <w:rFonts w:eastAsia="宋体"/>
              </w:rPr>
            </w:pPr>
            <w:r w:rsidRPr="002B55E9">
              <w:rPr>
                <w:rFonts w:eastAsia="宋体" w:hint="eastAsia"/>
              </w:rPr>
              <w:t>25</w:t>
            </w:r>
          </w:p>
        </w:tc>
        <w:tc>
          <w:tcPr>
            <w:tcW w:w="386" w:type="dxa"/>
            <w:vMerge w:val="restart"/>
          </w:tcPr>
          <w:p w14:paraId="5A75BA9D" w14:textId="77777777" w:rsidR="00A83890" w:rsidRPr="002B55E9" w:rsidRDefault="00A83890" w:rsidP="00A83890">
            <w:pPr>
              <w:pStyle w:val="lgy-"/>
              <w:rPr>
                <w:rFonts w:eastAsia="宋体"/>
              </w:rPr>
            </w:pPr>
            <w:r w:rsidRPr="002B55E9">
              <w:rPr>
                <w:rFonts w:eastAsia="宋体" w:hint="eastAsia"/>
              </w:rPr>
              <w:t>0.5</w:t>
            </w:r>
          </w:p>
        </w:tc>
        <w:tc>
          <w:tcPr>
            <w:tcW w:w="688" w:type="dxa"/>
            <w:vMerge w:val="restart"/>
          </w:tcPr>
          <w:p w14:paraId="7184EFF3" w14:textId="77777777" w:rsidR="00A83890" w:rsidRPr="002B55E9" w:rsidRDefault="00A83890" w:rsidP="00A83890">
            <w:pPr>
              <w:pStyle w:val="lgy-"/>
              <w:rPr>
                <w:rFonts w:eastAsia="宋体"/>
              </w:rPr>
            </w:pPr>
            <w:r w:rsidRPr="002B55E9">
              <w:rPr>
                <w:rFonts w:eastAsia="宋体" w:hint="eastAsia"/>
              </w:rPr>
              <w:t>投料</w:t>
            </w:r>
            <w:r w:rsidRPr="002B55E9">
              <w:rPr>
                <w:rFonts w:eastAsia="宋体"/>
              </w:rPr>
              <w:t>、发酵等</w:t>
            </w:r>
          </w:p>
        </w:tc>
        <w:tc>
          <w:tcPr>
            <w:tcW w:w="750" w:type="dxa"/>
          </w:tcPr>
          <w:p w14:paraId="13F63218" w14:textId="35BE5B01" w:rsidR="00A83890" w:rsidRPr="002B55E9" w:rsidRDefault="00A83890" w:rsidP="00A83890">
            <w:pPr>
              <w:pStyle w:val="lgy-"/>
              <w:rPr>
                <w:rFonts w:eastAsia="宋体"/>
                <w:kern w:val="2"/>
              </w:rPr>
            </w:pPr>
            <w:r w:rsidRPr="002B55E9">
              <w:rPr>
                <w:rFonts w:eastAsia="宋体" w:hint="eastAsia"/>
                <w:kern w:val="2"/>
              </w:rPr>
              <w:t>非甲烷总烃</w:t>
            </w:r>
          </w:p>
        </w:tc>
        <w:tc>
          <w:tcPr>
            <w:tcW w:w="786" w:type="dxa"/>
          </w:tcPr>
          <w:p w14:paraId="66EC7D16" w14:textId="77777777" w:rsidR="00A83890" w:rsidRPr="002B55E9" w:rsidRDefault="00A83890" w:rsidP="00A83890">
            <w:pPr>
              <w:pStyle w:val="lgy-"/>
              <w:rPr>
                <w:rFonts w:eastAsia="宋体"/>
              </w:rPr>
            </w:pPr>
            <w:r w:rsidRPr="002B55E9">
              <w:rPr>
                <w:rFonts w:eastAsia="宋体"/>
              </w:rPr>
              <w:t>223.74</w:t>
            </w:r>
          </w:p>
        </w:tc>
        <w:tc>
          <w:tcPr>
            <w:tcW w:w="686" w:type="dxa"/>
          </w:tcPr>
          <w:p w14:paraId="1987A1F1" w14:textId="77777777" w:rsidR="00A83890" w:rsidRPr="002B55E9" w:rsidRDefault="00A83890" w:rsidP="00A83890">
            <w:pPr>
              <w:pStyle w:val="lgy-"/>
              <w:rPr>
                <w:rFonts w:eastAsia="宋体"/>
              </w:rPr>
            </w:pPr>
            <w:r w:rsidRPr="002B55E9">
              <w:rPr>
                <w:rFonts w:eastAsia="宋体"/>
              </w:rPr>
              <w:t>2.685</w:t>
            </w:r>
          </w:p>
        </w:tc>
        <w:tc>
          <w:tcPr>
            <w:tcW w:w="752" w:type="dxa"/>
          </w:tcPr>
          <w:p w14:paraId="035C5214" w14:textId="77777777" w:rsidR="00A83890" w:rsidRPr="002B55E9" w:rsidRDefault="00A83890" w:rsidP="00A83890">
            <w:pPr>
              <w:pStyle w:val="lgy-"/>
              <w:rPr>
                <w:rFonts w:eastAsia="宋体"/>
              </w:rPr>
            </w:pPr>
            <w:r w:rsidRPr="002B55E9">
              <w:rPr>
                <w:rFonts w:eastAsia="宋体"/>
              </w:rPr>
              <w:t>14.504</w:t>
            </w:r>
          </w:p>
        </w:tc>
        <w:tc>
          <w:tcPr>
            <w:tcW w:w="569" w:type="dxa"/>
          </w:tcPr>
          <w:p w14:paraId="07C56D3C" w14:textId="157721FF" w:rsidR="00A83890" w:rsidRPr="002B55E9" w:rsidRDefault="00A83890" w:rsidP="00A83890">
            <w:pPr>
              <w:pStyle w:val="lgy-"/>
              <w:rPr>
                <w:rFonts w:eastAsia="宋体"/>
              </w:rPr>
            </w:pPr>
            <w:r w:rsidRPr="002B55E9">
              <w:rPr>
                <w:rFonts w:eastAsia="宋体"/>
              </w:rPr>
              <w:t>8</w:t>
            </w:r>
            <w:r w:rsidR="00382309" w:rsidRPr="002B55E9">
              <w:rPr>
                <w:rFonts w:eastAsia="宋体"/>
              </w:rPr>
              <w:t>5</w:t>
            </w:r>
            <w:r w:rsidRPr="002B55E9">
              <w:rPr>
                <w:rFonts w:eastAsia="宋体"/>
              </w:rPr>
              <w:t>%</w:t>
            </w:r>
          </w:p>
        </w:tc>
        <w:tc>
          <w:tcPr>
            <w:tcW w:w="661" w:type="dxa"/>
          </w:tcPr>
          <w:p w14:paraId="3BFC5177" w14:textId="77777777" w:rsidR="00A83890" w:rsidRPr="002B55E9" w:rsidRDefault="00A83890" w:rsidP="00A83890">
            <w:pPr>
              <w:pStyle w:val="lgy-"/>
              <w:rPr>
                <w:rFonts w:eastAsia="宋体"/>
              </w:rPr>
            </w:pPr>
            <w:r w:rsidRPr="002B55E9">
              <w:rPr>
                <w:rFonts w:eastAsia="宋体"/>
              </w:rPr>
              <w:t>44.75</w:t>
            </w:r>
          </w:p>
        </w:tc>
        <w:tc>
          <w:tcPr>
            <w:tcW w:w="736" w:type="dxa"/>
          </w:tcPr>
          <w:p w14:paraId="59CE24AF" w14:textId="77777777" w:rsidR="00A83890" w:rsidRPr="002B55E9" w:rsidRDefault="00A83890" w:rsidP="00A83890">
            <w:pPr>
              <w:pStyle w:val="lgy-"/>
              <w:rPr>
                <w:rFonts w:eastAsia="宋体"/>
              </w:rPr>
            </w:pPr>
            <w:r w:rsidRPr="002B55E9">
              <w:rPr>
                <w:rFonts w:eastAsia="宋体"/>
              </w:rPr>
              <w:t>0.537</w:t>
            </w:r>
          </w:p>
        </w:tc>
        <w:tc>
          <w:tcPr>
            <w:tcW w:w="578" w:type="dxa"/>
          </w:tcPr>
          <w:p w14:paraId="54624156" w14:textId="77777777" w:rsidR="00A83890" w:rsidRPr="002B55E9" w:rsidRDefault="00A83890" w:rsidP="00A83890">
            <w:pPr>
              <w:pStyle w:val="lgy-"/>
              <w:rPr>
                <w:rFonts w:eastAsia="宋体"/>
              </w:rPr>
            </w:pPr>
            <w:r w:rsidRPr="002B55E9">
              <w:rPr>
                <w:rFonts w:eastAsia="宋体"/>
              </w:rPr>
              <w:t>2.901</w:t>
            </w:r>
          </w:p>
        </w:tc>
      </w:tr>
      <w:tr w:rsidR="002B55E9" w:rsidRPr="002B55E9" w14:paraId="473B68BD" w14:textId="77777777" w:rsidTr="00A83890">
        <w:trPr>
          <w:trHeight w:val="283"/>
        </w:trPr>
        <w:tc>
          <w:tcPr>
            <w:tcW w:w="593" w:type="dxa"/>
            <w:vMerge/>
          </w:tcPr>
          <w:p w14:paraId="0465AAF5" w14:textId="77777777" w:rsidR="00A83890" w:rsidRPr="002B55E9" w:rsidRDefault="00A83890" w:rsidP="00A83890">
            <w:pPr>
              <w:pStyle w:val="lgy-"/>
              <w:rPr>
                <w:rFonts w:eastAsia="宋体"/>
              </w:rPr>
            </w:pPr>
          </w:p>
        </w:tc>
        <w:tc>
          <w:tcPr>
            <w:tcW w:w="580" w:type="dxa"/>
            <w:vMerge/>
          </w:tcPr>
          <w:p w14:paraId="4B5C3A6A" w14:textId="77777777" w:rsidR="00A83890" w:rsidRPr="002B55E9" w:rsidRDefault="00A83890" w:rsidP="00A83890">
            <w:pPr>
              <w:pStyle w:val="lgy-"/>
              <w:rPr>
                <w:rFonts w:eastAsia="宋体"/>
              </w:rPr>
            </w:pPr>
          </w:p>
        </w:tc>
        <w:tc>
          <w:tcPr>
            <w:tcW w:w="869" w:type="dxa"/>
            <w:vMerge/>
          </w:tcPr>
          <w:p w14:paraId="2C39E44D" w14:textId="77777777" w:rsidR="00A83890" w:rsidRPr="002B55E9" w:rsidRDefault="00A83890" w:rsidP="00A83890">
            <w:pPr>
              <w:pStyle w:val="lgy-"/>
              <w:rPr>
                <w:rFonts w:eastAsia="宋体"/>
              </w:rPr>
            </w:pPr>
          </w:p>
        </w:tc>
        <w:tc>
          <w:tcPr>
            <w:tcW w:w="441" w:type="dxa"/>
            <w:vMerge/>
          </w:tcPr>
          <w:p w14:paraId="43F8381D" w14:textId="77777777" w:rsidR="00A83890" w:rsidRPr="002B55E9" w:rsidRDefault="00A83890" w:rsidP="00A83890">
            <w:pPr>
              <w:pStyle w:val="lgy-"/>
              <w:rPr>
                <w:rFonts w:eastAsia="宋体"/>
              </w:rPr>
            </w:pPr>
          </w:p>
        </w:tc>
        <w:tc>
          <w:tcPr>
            <w:tcW w:w="563" w:type="dxa"/>
            <w:vMerge/>
          </w:tcPr>
          <w:p w14:paraId="248D77B8" w14:textId="77777777" w:rsidR="00A83890" w:rsidRPr="002B55E9" w:rsidRDefault="00A83890" w:rsidP="00A83890">
            <w:pPr>
              <w:pStyle w:val="lgy-"/>
              <w:rPr>
                <w:rFonts w:eastAsia="宋体"/>
              </w:rPr>
            </w:pPr>
          </w:p>
        </w:tc>
        <w:tc>
          <w:tcPr>
            <w:tcW w:w="386" w:type="dxa"/>
            <w:vMerge/>
          </w:tcPr>
          <w:p w14:paraId="623696BF" w14:textId="77777777" w:rsidR="00A83890" w:rsidRPr="002B55E9" w:rsidRDefault="00A83890" w:rsidP="00A83890">
            <w:pPr>
              <w:pStyle w:val="lgy-"/>
              <w:rPr>
                <w:rFonts w:eastAsia="宋体"/>
              </w:rPr>
            </w:pPr>
          </w:p>
        </w:tc>
        <w:tc>
          <w:tcPr>
            <w:tcW w:w="688" w:type="dxa"/>
            <w:vMerge/>
          </w:tcPr>
          <w:p w14:paraId="63421379" w14:textId="77777777" w:rsidR="00A83890" w:rsidRPr="002B55E9" w:rsidRDefault="00A83890" w:rsidP="00A83890">
            <w:pPr>
              <w:pStyle w:val="lgy-"/>
              <w:rPr>
                <w:rFonts w:eastAsia="宋体"/>
              </w:rPr>
            </w:pPr>
          </w:p>
        </w:tc>
        <w:tc>
          <w:tcPr>
            <w:tcW w:w="750" w:type="dxa"/>
          </w:tcPr>
          <w:p w14:paraId="78F1ECFC" w14:textId="6AB16A3B" w:rsidR="00A83890" w:rsidRPr="002B55E9" w:rsidRDefault="00A83890" w:rsidP="00A83890">
            <w:pPr>
              <w:pStyle w:val="lgy-"/>
              <w:rPr>
                <w:rFonts w:eastAsia="宋体"/>
                <w:kern w:val="2"/>
              </w:rPr>
            </w:pPr>
            <w:r w:rsidRPr="002B55E9">
              <w:rPr>
                <w:rFonts w:eastAsia="宋体" w:hint="eastAsia"/>
                <w:kern w:val="2"/>
              </w:rPr>
              <w:t>臭气浓度</w:t>
            </w:r>
          </w:p>
        </w:tc>
        <w:tc>
          <w:tcPr>
            <w:tcW w:w="786" w:type="dxa"/>
          </w:tcPr>
          <w:p w14:paraId="741D6C31" w14:textId="334558D0" w:rsidR="00A83890" w:rsidRPr="002B55E9" w:rsidRDefault="00A83890" w:rsidP="00A83890">
            <w:pPr>
              <w:pStyle w:val="lgy-"/>
              <w:rPr>
                <w:rFonts w:eastAsia="宋体"/>
              </w:rPr>
            </w:pPr>
            <w:r w:rsidRPr="002B55E9">
              <w:rPr>
                <w:rFonts w:eastAsia="宋体" w:hint="eastAsia"/>
              </w:rPr>
              <w:t>/</w:t>
            </w:r>
          </w:p>
        </w:tc>
        <w:tc>
          <w:tcPr>
            <w:tcW w:w="686" w:type="dxa"/>
          </w:tcPr>
          <w:p w14:paraId="27CC7C54" w14:textId="066CF550" w:rsidR="00A83890" w:rsidRPr="002B55E9" w:rsidRDefault="00A83890" w:rsidP="00A83890">
            <w:pPr>
              <w:pStyle w:val="lgy-"/>
              <w:rPr>
                <w:rFonts w:eastAsia="宋体"/>
              </w:rPr>
            </w:pPr>
            <w:r w:rsidRPr="002B55E9">
              <w:rPr>
                <w:rFonts w:eastAsia="宋体" w:hint="eastAsia"/>
              </w:rPr>
              <w:t>/</w:t>
            </w:r>
          </w:p>
        </w:tc>
        <w:tc>
          <w:tcPr>
            <w:tcW w:w="752" w:type="dxa"/>
          </w:tcPr>
          <w:p w14:paraId="6ACA64FA" w14:textId="1D0BB80F" w:rsidR="00A83890" w:rsidRPr="002B55E9" w:rsidRDefault="00A83890" w:rsidP="00A83890">
            <w:pPr>
              <w:pStyle w:val="lgy-"/>
              <w:rPr>
                <w:rFonts w:eastAsia="宋体"/>
              </w:rPr>
            </w:pPr>
            <w:r w:rsidRPr="002B55E9">
              <w:rPr>
                <w:rFonts w:eastAsia="宋体" w:hint="eastAsia"/>
              </w:rPr>
              <w:t>/</w:t>
            </w:r>
          </w:p>
        </w:tc>
        <w:tc>
          <w:tcPr>
            <w:tcW w:w="569" w:type="dxa"/>
          </w:tcPr>
          <w:p w14:paraId="7190A914" w14:textId="65A0E18D" w:rsidR="00A83890" w:rsidRPr="002B55E9" w:rsidRDefault="00A83890" w:rsidP="00A83890">
            <w:pPr>
              <w:pStyle w:val="lgy-"/>
              <w:rPr>
                <w:rFonts w:eastAsia="宋体"/>
              </w:rPr>
            </w:pPr>
            <w:r w:rsidRPr="002B55E9">
              <w:rPr>
                <w:rFonts w:eastAsia="宋体" w:hint="eastAsia"/>
              </w:rPr>
              <w:t>/</w:t>
            </w:r>
          </w:p>
        </w:tc>
        <w:tc>
          <w:tcPr>
            <w:tcW w:w="661" w:type="dxa"/>
          </w:tcPr>
          <w:p w14:paraId="55B35196" w14:textId="48A9FD35" w:rsidR="00A83890" w:rsidRPr="002B55E9" w:rsidRDefault="00A83890" w:rsidP="00A83890">
            <w:pPr>
              <w:pStyle w:val="lgy-"/>
              <w:rPr>
                <w:rFonts w:eastAsia="宋体"/>
              </w:rPr>
            </w:pPr>
            <w:r w:rsidRPr="002B55E9">
              <w:rPr>
                <w:rFonts w:eastAsia="宋体" w:hint="eastAsia"/>
              </w:rPr>
              <w:t>＜</w:t>
            </w:r>
            <w:r w:rsidRPr="002B55E9">
              <w:rPr>
                <w:rFonts w:eastAsia="宋体" w:hint="eastAsia"/>
              </w:rPr>
              <w:t>2000</w:t>
            </w:r>
            <w:r w:rsidRPr="002B55E9">
              <w:rPr>
                <w:rFonts w:eastAsia="宋体" w:hint="eastAsia"/>
              </w:rPr>
              <w:t>（无量纲）</w:t>
            </w:r>
          </w:p>
        </w:tc>
        <w:tc>
          <w:tcPr>
            <w:tcW w:w="736" w:type="dxa"/>
          </w:tcPr>
          <w:p w14:paraId="5B4DC1EE" w14:textId="3C63B644" w:rsidR="00A83890" w:rsidRPr="002B55E9" w:rsidRDefault="00A83890" w:rsidP="00A83890">
            <w:pPr>
              <w:pStyle w:val="lgy-"/>
              <w:rPr>
                <w:rFonts w:eastAsia="宋体"/>
              </w:rPr>
            </w:pPr>
            <w:r w:rsidRPr="002B55E9">
              <w:rPr>
                <w:rFonts w:eastAsia="宋体" w:hint="eastAsia"/>
              </w:rPr>
              <w:t>/</w:t>
            </w:r>
          </w:p>
        </w:tc>
        <w:tc>
          <w:tcPr>
            <w:tcW w:w="578" w:type="dxa"/>
          </w:tcPr>
          <w:p w14:paraId="5115AA84" w14:textId="58542AA4" w:rsidR="00A83890" w:rsidRPr="002B55E9" w:rsidRDefault="00A83890" w:rsidP="00A83890">
            <w:pPr>
              <w:pStyle w:val="lgy-"/>
              <w:rPr>
                <w:rFonts w:eastAsia="宋体"/>
              </w:rPr>
            </w:pPr>
            <w:r w:rsidRPr="002B55E9">
              <w:rPr>
                <w:rFonts w:eastAsia="宋体" w:hint="eastAsia"/>
              </w:rPr>
              <w:t>/</w:t>
            </w:r>
          </w:p>
        </w:tc>
      </w:tr>
      <w:tr w:rsidR="002B55E9" w:rsidRPr="002B55E9" w14:paraId="568ADB84" w14:textId="77777777" w:rsidTr="00A83890">
        <w:trPr>
          <w:trHeight w:val="283"/>
        </w:trPr>
        <w:tc>
          <w:tcPr>
            <w:tcW w:w="593" w:type="dxa"/>
            <w:vMerge w:val="restart"/>
          </w:tcPr>
          <w:p w14:paraId="133FDF46" w14:textId="77777777" w:rsidR="00D170E5" w:rsidRPr="002B55E9" w:rsidRDefault="00EF27AD" w:rsidP="00A83890">
            <w:pPr>
              <w:pStyle w:val="lgy-"/>
              <w:rPr>
                <w:rFonts w:eastAsia="宋体"/>
              </w:rPr>
            </w:pPr>
            <w:r w:rsidRPr="002B55E9">
              <w:rPr>
                <w:rFonts w:eastAsia="宋体" w:hint="eastAsia"/>
              </w:rPr>
              <w:t>DA</w:t>
            </w:r>
            <w:r w:rsidRPr="002B55E9">
              <w:rPr>
                <w:rFonts w:eastAsia="宋体"/>
              </w:rPr>
              <w:t>003</w:t>
            </w:r>
          </w:p>
        </w:tc>
        <w:tc>
          <w:tcPr>
            <w:tcW w:w="580" w:type="dxa"/>
            <w:vMerge w:val="restart"/>
          </w:tcPr>
          <w:p w14:paraId="146536D5" w14:textId="77777777" w:rsidR="00D170E5" w:rsidRPr="002B55E9" w:rsidRDefault="00EF27AD" w:rsidP="00A83890">
            <w:pPr>
              <w:pStyle w:val="lgy-"/>
              <w:rPr>
                <w:rFonts w:eastAsia="宋体"/>
              </w:rPr>
            </w:pPr>
            <w:r w:rsidRPr="002B55E9">
              <w:rPr>
                <w:rFonts w:eastAsia="宋体" w:hint="eastAsia"/>
              </w:rPr>
              <w:t>4000</w:t>
            </w:r>
          </w:p>
        </w:tc>
        <w:tc>
          <w:tcPr>
            <w:tcW w:w="869" w:type="dxa"/>
            <w:vMerge w:val="restart"/>
          </w:tcPr>
          <w:p w14:paraId="09F537EA" w14:textId="77777777" w:rsidR="00D170E5" w:rsidRPr="002B55E9" w:rsidRDefault="00EF27AD" w:rsidP="00A83890">
            <w:pPr>
              <w:pStyle w:val="lgy-"/>
              <w:rPr>
                <w:rFonts w:eastAsia="宋体"/>
              </w:rPr>
            </w:pPr>
            <w:r w:rsidRPr="002B55E9">
              <w:rPr>
                <w:rFonts w:eastAsia="宋体" w:hint="eastAsia"/>
              </w:rPr>
              <w:t>活性炭</w:t>
            </w:r>
            <w:r w:rsidRPr="002B55E9">
              <w:rPr>
                <w:rFonts w:eastAsia="宋体"/>
              </w:rPr>
              <w:t>吸附</w:t>
            </w:r>
          </w:p>
        </w:tc>
        <w:tc>
          <w:tcPr>
            <w:tcW w:w="441" w:type="dxa"/>
            <w:vMerge w:val="restart"/>
          </w:tcPr>
          <w:p w14:paraId="1F6EB7C5" w14:textId="77777777" w:rsidR="00D170E5" w:rsidRPr="002B55E9" w:rsidRDefault="00EF27AD" w:rsidP="00A83890">
            <w:pPr>
              <w:pStyle w:val="lgy-"/>
              <w:rPr>
                <w:rFonts w:eastAsia="宋体"/>
              </w:rPr>
            </w:pPr>
            <w:r w:rsidRPr="002B55E9">
              <w:rPr>
                <w:rFonts w:eastAsia="宋体" w:hint="eastAsia"/>
              </w:rPr>
              <w:t>18</w:t>
            </w:r>
          </w:p>
        </w:tc>
        <w:tc>
          <w:tcPr>
            <w:tcW w:w="563" w:type="dxa"/>
            <w:vMerge w:val="restart"/>
          </w:tcPr>
          <w:p w14:paraId="758CB709" w14:textId="77777777" w:rsidR="00D170E5" w:rsidRPr="002B55E9" w:rsidRDefault="00EF27AD" w:rsidP="00A83890">
            <w:pPr>
              <w:pStyle w:val="lgy-"/>
              <w:rPr>
                <w:rFonts w:eastAsia="宋体"/>
              </w:rPr>
            </w:pPr>
            <w:r w:rsidRPr="002B55E9">
              <w:rPr>
                <w:rFonts w:eastAsia="宋体" w:hint="eastAsia"/>
              </w:rPr>
              <w:t>25</w:t>
            </w:r>
          </w:p>
        </w:tc>
        <w:tc>
          <w:tcPr>
            <w:tcW w:w="386" w:type="dxa"/>
            <w:vMerge w:val="restart"/>
          </w:tcPr>
          <w:p w14:paraId="3256D67F" w14:textId="77777777" w:rsidR="00D170E5" w:rsidRPr="002B55E9" w:rsidRDefault="00EF27AD" w:rsidP="00A83890">
            <w:pPr>
              <w:pStyle w:val="lgy-"/>
              <w:rPr>
                <w:rFonts w:eastAsia="宋体"/>
              </w:rPr>
            </w:pPr>
            <w:r w:rsidRPr="002B55E9">
              <w:rPr>
                <w:rFonts w:eastAsia="宋体" w:hint="eastAsia"/>
              </w:rPr>
              <w:t>0.</w:t>
            </w:r>
            <w:r w:rsidRPr="002B55E9">
              <w:rPr>
                <w:rFonts w:eastAsia="宋体"/>
              </w:rPr>
              <w:t>3</w:t>
            </w:r>
          </w:p>
        </w:tc>
        <w:tc>
          <w:tcPr>
            <w:tcW w:w="688" w:type="dxa"/>
            <w:vMerge w:val="restart"/>
          </w:tcPr>
          <w:p w14:paraId="486F9449" w14:textId="77777777" w:rsidR="00D170E5" w:rsidRPr="002B55E9" w:rsidRDefault="00EF27AD" w:rsidP="00A83890">
            <w:pPr>
              <w:pStyle w:val="lgy-"/>
              <w:rPr>
                <w:rFonts w:eastAsia="宋体"/>
              </w:rPr>
            </w:pPr>
            <w:r w:rsidRPr="002B55E9">
              <w:rPr>
                <w:rFonts w:eastAsia="宋体" w:hint="eastAsia"/>
              </w:rPr>
              <w:t>实验</w:t>
            </w:r>
            <w:r w:rsidRPr="002B55E9">
              <w:rPr>
                <w:rFonts w:eastAsia="宋体"/>
              </w:rPr>
              <w:t>分析</w:t>
            </w:r>
          </w:p>
        </w:tc>
        <w:tc>
          <w:tcPr>
            <w:tcW w:w="750" w:type="dxa"/>
          </w:tcPr>
          <w:p w14:paraId="7B989FAA" w14:textId="62655E05" w:rsidR="00D170E5" w:rsidRPr="002B55E9" w:rsidRDefault="00924AFA" w:rsidP="00A83890">
            <w:pPr>
              <w:pStyle w:val="lgy-"/>
              <w:rPr>
                <w:rFonts w:eastAsia="宋体"/>
                <w:kern w:val="2"/>
              </w:rPr>
            </w:pPr>
            <w:r w:rsidRPr="002B55E9">
              <w:rPr>
                <w:rFonts w:eastAsia="宋体" w:hint="eastAsia"/>
                <w:kern w:val="2"/>
              </w:rPr>
              <w:t>非甲烷总烃</w:t>
            </w:r>
          </w:p>
        </w:tc>
        <w:tc>
          <w:tcPr>
            <w:tcW w:w="786" w:type="dxa"/>
          </w:tcPr>
          <w:p w14:paraId="29323339" w14:textId="77777777" w:rsidR="00D170E5" w:rsidRPr="002B55E9" w:rsidRDefault="00EF27AD" w:rsidP="00A83890">
            <w:pPr>
              <w:pStyle w:val="lgy-"/>
              <w:rPr>
                <w:rFonts w:eastAsia="宋体"/>
              </w:rPr>
            </w:pPr>
            <w:r w:rsidRPr="002B55E9">
              <w:rPr>
                <w:rFonts w:eastAsia="宋体"/>
              </w:rPr>
              <w:t xml:space="preserve">2.82 </w:t>
            </w:r>
          </w:p>
        </w:tc>
        <w:tc>
          <w:tcPr>
            <w:tcW w:w="686" w:type="dxa"/>
          </w:tcPr>
          <w:p w14:paraId="05E3CBEE" w14:textId="77777777" w:rsidR="00D170E5" w:rsidRPr="002B55E9" w:rsidRDefault="00EF27AD" w:rsidP="00A83890">
            <w:pPr>
              <w:pStyle w:val="lgy-"/>
              <w:rPr>
                <w:rFonts w:eastAsia="宋体"/>
              </w:rPr>
            </w:pPr>
            <w:r w:rsidRPr="002B55E9">
              <w:rPr>
                <w:rFonts w:eastAsia="宋体"/>
              </w:rPr>
              <w:t xml:space="preserve">0.011 </w:t>
            </w:r>
          </w:p>
        </w:tc>
        <w:tc>
          <w:tcPr>
            <w:tcW w:w="752" w:type="dxa"/>
          </w:tcPr>
          <w:p w14:paraId="0F13221C" w14:textId="77777777" w:rsidR="00D170E5" w:rsidRPr="002B55E9" w:rsidRDefault="00EF27AD" w:rsidP="00A83890">
            <w:pPr>
              <w:pStyle w:val="lgy-"/>
              <w:rPr>
                <w:rFonts w:eastAsia="宋体"/>
              </w:rPr>
            </w:pPr>
            <w:r w:rsidRPr="002B55E9">
              <w:rPr>
                <w:rFonts w:eastAsia="宋体"/>
              </w:rPr>
              <w:t>0.007</w:t>
            </w:r>
          </w:p>
        </w:tc>
        <w:tc>
          <w:tcPr>
            <w:tcW w:w="569" w:type="dxa"/>
          </w:tcPr>
          <w:p w14:paraId="6C104BEF" w14:textId="77777777" w:rsidR="00D170E5" w:rsidRPr="002B55E9" w:rsidRDefault="00EF27AD" w:rsidP="00A83890">
            <w:pPr>
              <w:pStyle w:val="lgy-"/>
              <w:rPr>
                <w:rFonts w:eastAsia="宋体"/>
              </w:rPr>
            </w:pPr>
            <w:r w:rsidRPr="002B55E9">
              <w:rPr>
                <w:rFonts w:eastAsia="宋体"/>
              </w:rPr>
              <w:t>30%</w:t>
            </w:r>
          </w:p>
        </w:tc>
        <w:tc>
          <w:tcPr>
            <w:tcW w:w="661" w:type="dxa"/>
          </w:tcPr>
          <w:p w14:paraId="483DFFC4" w14:textId="77777777" w:rsidR="00D170E5" w:rsidRPr="002B55E9" w:rsidRDefault="00EF27AD" w:rsidP="00A83890">
            <w:pPr>
              <w:pStyle w:val="lgy-"/>
              <w:rPr>
                <w:rFonts w:eastAsia="宋体"/>
              </w:rPr>
            </w:pPr>
            <w:r w:rsidRPr="002B55E9">
              <w:rPr>
                <w:rFonts w:eastAsia="宋体"/>
              </w:rPr>
              <w:t>1.94</w:t>
            </w:r>
          </w:p>
        </w:tc>
        <w:tc>
          <w:tcPr>
            <w:tcW w:w="736" w:type="dxa"/>
          </w:tcPr>
          <w:p w14:paraId="0D89EA6F" w14:textId="77777777" w:rsidR="00D170E5" w:rsidRPr="002B55E9" w:rsidRDefault="00EF27AD" w:rsidP="00A83890">
            <w:pPr>
              <w:pStyle w:val="lgy-"/>
              <w:rPr>
                <w:rFonts w:eastAsia="宋体"/>
              </w:rPr>
            </w:pPr>
            <w:r w:rsidRPr="002B55E9">
              <w:rPr>
                <w:rFonts w:eastAsia="宋体"/>
              </w:rPr>
              <w:t xml:space="preserve">0.008 </w:t>
            </w:r>
          </w:p>
        </w:tc>
        <w:tc>
          <w:tcPr>
            <w:tcW w:w="578" w:type="dxa"/>
          </w:tcPr>
          <w:p w14:paraId="7EF34AD5" w14:textId="77777777" w:rsidR="00D170E5" w:rsidRPr="002B55E9" w:rsidRDefault="00EF27AD" w:rsidP="00A83890">
            <w:pPr>
              <w:pStyle w:val="lgy-"/>
              <w:rPr>
                <w:rFonts w:eastAsia="宋体"/>
              </w:rPr>
            </w:pPr>
            <w:r w:rsidRPr="002B55E9">
              <w:rPr>
                <w:rFonts w:eastAsia="宋体"/>
              </w:rPr>
              <w:t>5.11E-03</w:t>
            </w:r>
          </w:p>
        </w:tc>
      </w:tr>
      <w:tr w:rsidR="002B55E9" w:rsidRPr="002B55E9" w14:paraId="0FBBBC16" w14:textId="77777777" w:rsidTr="00A83890">
        <w:trPr>
          <w:trHeight w:val="283"/>
        </w:trPr>
        <w:tc>
          <w:tcPr>
            <w:tcW w:w="593" w:type="dxa"/>
            <w:vMerge/>
          </w:tcPr>
          <w:p w14:paraId="281446D3" w14:textId="77777777" w:rsidR="00D170E5" w:rsidRPr="002B55E9" w:rsidRDefault="00D170E5" w:rsidP="00A83890">
            <w:pPr>
              <w:pStyle w:val="lgy-"/>
              <w:rPr>
                <w:rFonts w:eastAsia="宋体"/>
              </w:rPr>
            </w:pPr>
          </w:p>
        </w:tc>
        <w:tc>
          <w:tcPr>
            <w:tcW w:w="580" w:type="dxa"/>
            <w:vMerge/>
          </w:tcPr>
          <w:p w14:paraId="2CEDC766" w14:textId="77777777" w:rsidR="00D170E5" w:rsidRPr="002B55E9" w:rsidRDefault="00D170E5" w:rsidP="00A83890">
            <w:pPr>
              <w:pStyle w:val="lgy-"/>
              <w:rPr>
                <w:rFonts w:eastAsia="宋体"/>
              </w:rPr>
            </w:pPr>
          </w:p>
        </w:tc>
        <w:tc>
          <w:tcPr>
            <w:tcW w:w="869" w:type="dxa"/>
            <w:vMerge/>
          </w:tcPr>
          <w:p w14:paraId="3907571E" w14:textId="77777777" w:rsidR="00D170E5" w:rsidRPr="002B55E9" w:rsidRDefault="00D170E5" w:rsidP="00A83890">
            <w:pPr>
              <w:pStyle w:val="lgy-"/>
              <w:rPr>
                <w:rFonts w:eastAsia="宋体"/>
              </w:rPr>
            </w:pPr>
          </w:p>
        </w:tc>
        <w:tc>
          <w:tcPr>
            <w:tcW w:w="441" w:type="dxa"/>
            <w:vMerge/>
          </w:tcPr>
          <w:p w14:paraId="69A5E32D" w14:textId="77777777" w:rsidR="00D170E5" w:rsidRPr="002B55E9" w:rsidRDefault="00D170E5" w:rsidP="00A83890">
            <w:pPr>
              <w:pStyle w:val="lgy-"/>
              <w:rPr>
                <w:rFonts w:eastAsia="宋体"/>
              </w:rPr>
            </w:pPr>
          </w:p>
        </w:tc>
        <w:tc>
          <w:tcPr>
            <w:tcW w:w="563" w:type="dxa"/>
            <w:vMerge/>
          </w:tcPr>
          <w:p w14:paraId="1C0927EA" w14:textId="77777777" w:rsidR="00D170E5" w:rsidRPr="002B55E9" w:rsidRDefault="00D170E5" w:rsidP="00A83890">
            <w:pPr>
              <w:pStyle w:val="lgy-"/>
              <w:rPr>
                <w:rFonts w:eastAsia="宋体"/>
              </w:rPr>
            </w:pPr>
          </w:p>
        </w:tc>
        <w:tc>
          <w:tcPr>
            <w:tcW w:w="386" w:type="dxa"/>
            <w:vMerge/>
          </w:tcPr>
          <w:p w14:paraId="264D0B6F" w14:textId="77777777" w:rsidR="00D170E5" w:rsidRPr="002B55E9" w:rsidRDefault="00D170E5" w:rsidP="00A83890">
            <w:pPr>
              <w:pStyle w:val="lgy-"/>
              <w:rPr>
                <w:rFonts w:eastAsia="宋体"/>
              </w:rPr>
            </w:pPr>
          </w:p>
        </w:tc>
        <w:tc>
          <w:tcPr>
            <w:tcW w:w="688" w:type="dxa"/>
            <w:vMerge/>
          </w:tcPr>
          <w:p w14:paraId="74BC697A" w14:textId="77777777" w:rsidR="00D170E5" w:rsidRPr="002B55E9" w:rsidRDefault="00D170E5" w:rsidP="00A83890">
            <w:pPr>
              <w:pStyle w:val="lgy-"/>
              <w:rPr>
                <w:rFonts w:eastAsia="宋体"/>
              </w:rPr>
            </w:pPr>
          </w:p>
        </w:tc>
        <w:tc>
          <w:tcPr>
            <w:tcW w:w="750" w:type="dxa"/>
          </w:tcPr>
          <w:p w14:paraId="7B276A73" w14:textId="77777777" w:rsidR="00D170E5" w:rsidRPr="002B55E9" w:rsidRDefault="00EF27AD" w:rsidP="00A83890">
            <w:pPr>
              <w:pStyle w:val="lgy-"/>
              <w:rPr>
                <w:rFonts w:eastAsia="宋体"/>
                <w:kern w:val="2"/>
              </w:rPr>
            </w:pPr>
            <w:r w:rsidRPr="002B55E9">
              <w:rPr>
                <w:rFonts w:eastAsia="宋体" w:hint="eastAsia"/>
                <w:kern w:val="2"/>
              </w:rPr>
              <w:t>甲醛</w:t>
            </w:r>
          </w:p>
        </w:tc>
        <w:tc>
          <w:tcPr>
            <w:tcW w:w="786" w:type="dxa"/>
          </w:tcPr>
          <w:p w14:paraId="322BA4CE" w14:textId="77777777" w:rsidR="00D170E5" w:rsidRPr="002B55E9" w:rsidRDefault="00EF27AD" w:rsidP="00A83890">
            <w:pPr>
              <w:pStyle w:val="lgy-"/>
              <w:rPr>
                <w:rFonts w:eastAsia="宋体"/>
              </w:rPr>
            </w:pPr>
            <w:r w:rsidRPr="002B55E9">
              <w:rPr>
                <w:rFonts w:eastAsia="宋体"/>
              </w:rPr>
              <w:t xml:space="preserve">1.85 </w:t>
            </w:r>
          </w:p>
        </w:tc>
        <w:tc>
          <w:tcPr>
            <w:tcW w:w="686" w:type="dxa"/>
          </w:tcPr>
          <w:p w14:paraId="4F5E4362" w14:textId="77777777" w:rsidR="00D170E5" w:rsidRPr="002B55E9" w:rsidRDefault="00EF27AD" w:rsidP="00A83890">
            <w:pPr>
              <w:pStyle w:val="lgy-"/>
              <w:rPr>
                <w:rFonts w:eastAsia="宋体"/>
              </w:rPr>
            </w:pPr>
            <w:r w:rsidRPr="002B55E9">
              <w:rPr>
                <w:rFonts w:eastAsia="宋体"/>
              </w:rPr>
              <w:t xml:space="preserve">0.007 </w:t>
            </w:r>
          </w:p>
        </w:tc>
        <w:tc>
          <w:tcPr>
            <w:tcW w:w="752" w:type="dxa"/>
          </w:tcPr>
          <w:p w14:paraId="6E4BEA8E" w14:textId="77777777" w:rsidR="00D170E5" w:rsidRPr="002B55E9" w:rsidRDefault="00EF27AD" w:rsidP="00A83890">
            <w:pPr>
              <w:pStyle w:val="lgy-"/>
              <w:rPr>
                <w:rFonts w:eastAsia="宋体"/>
              </w:rPr>
            </w:pPr>
            <w:r w:rsidRPr="002B55E9">
              <w:rPr>
                <w:rFonts w:eastAsia="宋体"/>
              </w:rPr>
              <w:t>0.005</w:t>
            </w:r>
          </w:p>
        </w:tc>
        <w:tc>
          <w:tcPr>
            <w:tcW w:w="569" w:type="dxa"/>
          </w:tcPr>
          <w:p w14:paraId="71722F43" w14:textId="77777777" w:rsidR="00D170E5" w:rsidRPr="002B55E9" w:rsidRDefault="00EF27AD" w:rsidP="00A83890">
            <w:pPr>
              <w:pStyle w:val="lgy-"/>
              <w:rPr>
                <w:rFonts w:eastAsia="宋体"/>
              </w:rPr>
            </w:pPr>
            <w:r w:rsidRPr="002B55E9">
              <w:rPr>
                <w:rFonts w:eastAsia="宋体"/>
              </w:rPr>
              <w:t>30%</w:t>
            </w:r>
          </w:p>
        </w:tc>
        <w:tc>
          <w:tcPr>
            <w:tcW w:w="661" w:type="dxa"/>
          </w:tcPr>
          <w:p w14:paraId="448C09E9" w14:textId="77777777" w:rsidR="00D170E5" w:rsidRPr="002B55E9" w:rsidRDefault="00EF27AD" w:rsidP="00A83890">
            <w:pPr>
              <w:pStyle w:val="lgy-"/>
              <w:rPr>
                <w:rFonts w:eastAsia="宋体"/>
              </w:rPr>
            </w:pPr>
            <w:r w:rsidRPr="002B55E9">
              <w:rPr>
                <w:rFonts w:eastAsia="宋体"/>
              </w:rPr>
              <w:t>1.27</w:t>
            </w:r>
          </w:p>
        </w:tc>
        <w:tc>
          <w:tcPr>
            <w:tcW w:w="736" w:type="dxa"/>
          </w:tcPr>
          <w:p w14:paraId="4B651120" w14:textId="77777777" w:rsidR="00D170E5" w:rsidRPr="002B55E9" w:rsidRDefault="00EF27AD" w:rsidP="00A83890">
            <w:pPr>
              <w:pStyle w:val="lgy-"/>
              <w:rPr>
                <w:rFonts w:eastAsia="宋体"/>
              </w:rPr>
            </w:pPr>
            <w:r w:rsidRPr="002B55E9">
              <w:rPr>
                <w:rFonts w:eastAsia="宋体"/>
              </w:rPr>
              <w:t xml:space="preserve">0.005 </w:t>
            </w:r>
          </w:p>
        </w:tc>
        <w:tc>
          <w:tcPr>
            <w:tcW w:w="578" w:type="dxa"/>
          </w:tcPr>
          <w:p w14:paraId="7F4EDE86" w14:textId="77777777" w:rsidR="00D170E5" w:rsidRPr="002B55E9" w:rsidRDefault="00EF27AD" w:rsidP="00A83890">
            <w:pPr>
              <w:pStyle w:val="lgy-"/>
              <w:rPr>
                <w:rFonts w:eastAsia="宋体"/>
              </w:rPr>
            </w:pPr>
            <w:r w:rsidRPr="002B55E9">
              <w:rPr>
                <w:rFonts w:eastAsia="宋体"/>
              </w:rPr>
              <w:t>3.35E-03</w:t>
            </w:r>
          </w:p>
        </w:tc>
      </w:tr>
      <w:tr w:rsidR="002B55E9" w:rsidRPr="002B55E9" w14:paraId="30701621" w14:textId="77777777" w:rsidTr="00A83890">
        <w:trPr>
          <w:trHeight w:val="283"/>
        </w:trPr>
        <w:tc>
          <w:tcPr>
            <w:tcW w:w="593" w:type="dxa"/>
            <w:vMerge/>
          </w:tcPr>
          <w:p w14:paraId="302B3FC8" w14:textId="77777777" w:rsidR="00D170E5" w:rsidRPr="002B55E9" w:rsidRDefault="00D170E5" w:rsidP="00A83890">
            <w:pPr>
              <w:pStyle w:val="lgy-"/>
              <w:rPr>
                <w:rFonts w:eastAsia="宋体"/>
              </w:rPr>
            </w:pPr>
          </w:p>
        </w:tc>
        <w:tc>
          <w:tcPr>
            <w:tcW w:w="580" w:type="dxa"/>
            <w:vMerge/>
          </w:tcPr>
          <w:p w14:paraId="063AA072" w14:textId="77777777" w:rsidR="00D170E5" w:rsidRPr="002B55E9" w:rsidRDefault="00D170E5" w:rsidP="00A83890">
            <w:pPr>
              <w:pStyle w:val="lgy-"/>
              <w:rPr>
                <w:rFonts w:eastAsia="宋体"/>
              </w:rPr>
            </w:pPr>
          </w:p>
        </w:tc>
        <w:tc>
          <w:tcPr>
            <w:tcW w:w="869" w:type="dxa"/>
            <w:vMerge/>
          </w:tcPr>
          <w:p w14:paraId="1229DF27" w14:textId="77777777" w:rsidR="00D170E5" w:rsidRPr="002B55E9" w:rsidRDefault="00D170E5" w:rsidP="00A83890">
            <w:pPr>
              <w:pStyle w:val="lgy-"/>
              <w:rPr>
                <w:rFonts w:eastAsia="宋体"/>
              </w:rPr>
            </w:pPr>
          </w:p>
        </w:tc>
        <w:tc>
          <w:tcPr>
            <w:tcW w:w="441" w:type="dxa"/>
            <w:vMerge/>
          </w:tcPr>
          <w:p w14:paraId="6B62954F" w14:textId="77777777" w:rsidR="00D170E5" w:rsidRPr="002B55E9" w:rsidRDefault="00D170E5" w:rsidP="00A83890">
            <w:pPr>
              <w:pStyle w:val="lgy-"/>
              <w:rPr>
                <w:rFonts w:eastAsia="宋体"/>
              </w:rPr>
            </w:pPr>
          </w:p>
        </w:tc>
        <w:tc>
          <w:tcPr>
            <w:tcW w:w="563" w:type="dxa"/>
            <w:vMerge/>
          </w:tcPr>
          <w:p w14:paraId="4006F61B" w14:textId="77777777" w:rsidR="00D170E5" w:rsidRPr="002B55E9" w:rsidRDefault="00D170E5" w:rsidP="00A83890">
            <w:pPr>
              <w:pStyle w:val="lgy-"/>
              <w:rPr>
                <w:rFonts w:eastAsia="宋体"/>
              </w:rPr>
            </w:pPr>
          </w:p>
        </w:tc>
        <w:tc>
          <w:tcPr>
            <w:tcW w:w="386" w:type="dxa"/>
            <w:vMerge/>
          </w:tcPr>
          <w:p w14:paraId="661C2DC4" w14:textId="77777777" w:rsidR="00D170E5" w:rsidRPr="002B55E9" w:rsidRDefault="00D170E5" w:rsidP="00A83890">
            <w:pPr>
              <w:pStyle w:val="lgy-"/>
              <w:rPr>
                <w:rFonts w:eastAsia="宋体"/>
              </w:rPr>
            </w:pPr>
          </w:p>
        </w:tc>
        <w:tc>
          <w:tcPr>
            <w:tcW w:w="688" w:type="dxa"/>
            <w:vMerge/>
          </w:tcPr>
          <w:p w14:paraId="6214AEBD" w14:textId="77777777" w:rsidR="00D170E5" w:rsidRPr="002B55E9" w:rsidRDefault="00D170E5" w:rsidP="00A83890">
            <w:pPr>
              <w:pStyle w:val="lgy-"/>
              <w:rPr>
                <w:rFonts w:eastAsia="宋体"/>
              </w:rPr>
            </w:pPr>
          </w:p>
        </w:tc>
        <w:tc>
          <w:tcPr>
            <w:tcW w:w="750" w:type="dxa"/>
          </w:tcPr>
          <w:p w14:paraId="4E807023" w14:textId="77777777" w:rsidR="00D170E5" w:rsidRPr="002B55E9" w:rsidRDefault="00EF27AD" w:rsidP="00A83890">
            <w:pPr>
              <w:pStyle w:val="lgy-"/>
              <w:rPr>
                <w:rFonts w:eastAsia="宋体"/>
                <w:kern w:val="2"/>
              </w:rPr>
            </w:pPr>
            <w:r w:rsidRPr="002B55E9">
              <w:rPr>
                <w:rFonts w:eastAsia="宋体" w:hint="eastAsia"/>
                <w:kern w:val="2"/>
              </w:rPr>
              <w:t>硫酸</w:t>
            </w:r>
          </w:p>
        </w:tc>
        <w:tc>
          <w:tcPr>
            <w:tcW w:w="786" w:type="dxa"/>
          </w:tcPr>
          <w:p w14:paraId="305AC2A3" w14:textId="77777777" w:rsidR="00D170E5" w:rsidRPr="002B55E9" w:rsidRDefault="00EF27AD" w:rsidP="00A83890">
            <w:pPr>
              <w:pStyle w:val="lgy-"/>
              <w:rPr>
                <w:rFonts w:eastAsia="宋体"/>
              </w:rPr>
            </w:pPr>
            <w:r w:rsidRPr="002B55E9">
              <w:rPr>
                <w:rFonts w:eastAsia="宋体"/>
              </w:rPr>
              <w:t xml:space="preserve">4.18 </w:t>
            </w:r>
          </w:p>
        </w:tc>
        <w:tc>
          <w:tcPr>
            <w:tcW w:w="686" w:type="dxa"/>
          </w:tcPr>
          <w:p w14:paraId="24E9AB7A" w14:textId="77777777" w:rsidR="00D170E5" w:rsidRPr="002B55E9" w:rsidRDefault="00EF27AD" w:rsidP="00A83890">
            <w:pPr>
              <w:pStyle w:val="lgy-"/>
              <w:rPr>
                <w:rFonts w:eastAsia="宋体"/>
              </w:rPr>
            </w:pPr>
            <w:r w:rsidRPr="002B55E9">
              <w:rPr>
                <w:rFonts w:eastAsia="宋体"/>
              </w:rPr>
              <w:t xml:space="preserve">0.017 </w:t>
            </w:r>
          </w:p>
        </w:tc>
        <w:tc>
          <w:tcPr>
            <w:tcW w:w="752" w:type="dxa"/>
          </w:tcPr>
          <w:p w14:paraId="33642D01" w14:textId="77777777" w:rsidR="00D170E5" w:rsidRPr="002B55E9" w:rsidRDefault="00EF27AD" w:rsidP="00A83890">
            <w:pPr>
              <w:pStyle w:val="lgy-"/>
              <w:rPr>
                <w:rFonts w:eastAsia="宋体"/>
                <w:vertAlign w:val="superscript"/>
              </w:rPr>
            </w:pPr>
            <w:r w:rsidRPr="002B55E9">
              <w:rPr>
                <w:rFonts w:eastAsia="宋体"/>
              </w:rPr>
              <w:t>0.011</w:t>
            </w:r>
          </w:p>
        </w:tc>
        <w:tc>
          <w:tcPr>
            <w:tcW w:w="569" w:type="dxa"/>
          </w:tcPr>
          <w:p w14:paraId="251F565B" w14:textId="77777777" w:rsidR="00D170E5" w:rsidRPr="002B55E9" w:rsidRDefault="00EF27AD" w:rsidP="00A83890">
            <w:pPr>
              <w:pStyle w:val="lgy-"/>
              <w:rPr>
                <w:rFonts w:eastAsia="宋体"/>
              </w:rPr>
            </w:pPr>
            <w:r w:rsidRPr="002B55E9">
              <w:rPr>
                <w:rFonts w:eastAsia="宋体"/>
              </w:rPr>
              <w:t>0</w:t>
            </w:r>
          </w:p>
        </w:tc>
        <w:tc>
          <w:tcPr>
            <w:tcW w:w="661" w:type="dxa"/>
          </w:tcPr>
          <w:p w14:paraId="3E40B67A" w14:textId="77777777" w:rsidR="00D170E5" w:rsidRPr="002B55E9" w:rsidRDefault="00EF27AD" w:rsidP="00A83890">
            <w:pPr>
              <w:pStyle w:val="lgy-"/>
              <w:rPr>
                <w:rFonts w:eastAsia="宋体"/>
              </w:rPr>
            </w:pPr>
            <w:r w:rsidRPr="002B55E9">
              <w:rPr>
                <w:rFonts w:eastAsia="宋体"/>
              </w:rPr>
              <w:t>4.10</w:t>
            </w:r>
          </w:p>
        </w:tc>
        <w:tc>
          <w:tcPr>
            <w:tcW w:w="736" w:type="dxa"/>
          </w:tcPr>
          <w:p w14:paraId="53A542DB" w14:textId="77777777" w:rsidR="00D170E5" w:rsidRPr="002B55E9" w:rsidRDefault="00EF27AD" w:rsidP="00A83890">
            <w:pPr>
              <w:pStyle w:val="lgy-"/>
              <w:rPr>
                <w:rFonts w:eastAsia="宋体"/>
              </w:rPr>
            </w:pPr>
            <w:r w:rsidRPr="002B55E9">
              <w:rPr>
                <w:rFonts w:eastAsia="宋体"/>
              </w:rPr>
              <w:t xml:space="preserve">0.016 </w:t>
            </w:r>
          </w:p>
        </w:tc>
        <w:tc>
          <w:tcPr>
            <w:tcW w:w="578" w:type="dxa"/>
          </w:tcPr>
          <w:p w14:paraId="0602B1EA" w14:textId="77777777" w:rsidR="00D170E5" w:rsidRPr="002B55E9" w:rsidRDefault="00EF27AD" w:rsidP="00A83890">
            <w:pPr>
              <w:pStyle w:val="lgy-"/>
              <w:rPr>
                <w:rFonts w:eastAsia="宋体"/>
              </w:rPr>
            </w:pPr>
            <w:r w:rsidRPr="002B55E9">
              <w:rPr>
                <w:rFonts w:eastAsia="宋体"/>
              </w:rPr>
              <w:t>1.08E-02</w:t>
            </w:r>
          </w:p>
        </w:tc>
      </w:tr>
      <w:tr w:rsidR="002B55E9" w:rsidRPr="002B55E9" w14:paraId="672672AF" w14:textId="77777777" w:rsidTr="00A83890">
        <w:trPr>
          <w:trHeight w:val="283"/>
        </w:trPr>
        <w:tc>
          <w:tcPr>
            <w:tcW w:w="593" w:type="dxa"/>
            <w:vMerge/>
          </w:tcPr>
          <w:p w14:paraId="570DCBB3" w14:textId="77777777" w:rsidR="00D170E5" w:rsidRPr="002B55E9" w:rsidRDefault="00D170E5" w:rsidP="00A83890">
            <w:pPr>
              <w:pStyle w:val="lgy-"/>
              <w:rPr>
                <w:rFonts w:eastAsia="宋体"/>
              </w:rPr>
            </w:pPr>
          </w:p>
        </w:tc>
        <w:tc>
          <w:tcPr>
            <w:tcW w:w="580" w:type="dxa"/>
            <w:vMerge/>
          </w:tcPr>
          <w:p w14:paraId="474C7874" w14:textId="77777777" w:rsidR="00D170E5" w:rsidRPr="002B55E9" w:rsidRDefault="00D170E5" w:rsidP="00A83890">
            <w:pPr>
              <w:pStyle w:val="lgy-"/>
              <w:rPr>
                <w:rFonts w:eastAsia="宋体"/>
              </w:rPr>
            </w:pPr>
          </w:p>
        </w:tc>
        <w:tc>
          <w:tcPr>
            <w:tcW w:w="869" w:type="dxa"/>
            <w:vMerge/>
          </w:tcPr>
          <w:p w14:paraId="5BB5DF98" w14:textId="77777777" w:rsidR="00D170E5" w:rsidRPr="002B55E9" w:rsidRDefault="00D170E5" w:rsidP="00A83890">
            <w:pPr>
              <w:pStyle w:val="lgy-"/>
              <w:rPr>
                <w:rFonts w:eastAsia="宋体"/>
              </w:rPr>
            </w:pPr>
          </w:p>
        </w:tc>
        <w:tc>
          <w:tcPr>
            <w:tcW w:w="441" w:type="dxa"/>
            <w:vMerge/>
          </w:tcPr>
          <w:p w14:paraId="6B4FA1CF" w14:textId="77777777" w:rsidR="00D170E5" w:rsidRPr="002B55E9" w:rsidRDefault="00D170E5" w:rsidP="00A83890">
            <w:pPr>
              <w:pStyle w:val="lgy-"/>
              <w:rPr>
                <w:rFonts w:eastAsia="宋体"/>
              </w:rPr>
            </w:pPr>
          </w:p>
        </w:tc>
        <w:tc>
          <w:tcPr>
            <w:tcW w:w="563" w:type="dxa"/>
            <w:vMerge/>
          </w:tcPr>
          <w:p w14:paraId="68FF6900" w14:textId="77777777" w:rsidR="00D170E5" w:rsidRPr="002B55E9" w:rsidRDefault="00D170E5" w:rsidP="00A83890">
            <w:pPr>
              <w:pStyle w:val="lgy-"/>
              <w:rPr>
                <w:rFonts w:eastAsia="宋体"/>
              </w:rPr>
            </w:pPr>
          </w:p>
        </w:tc>
        <w:tc>
          <w:tcPr>
            <w:tcW w:w="386" w:type="dxa"/>
            <w:vMerge/>
          </w:tcPr>
          <w:p w14:paraId="296C06EF" w14:textId="77777777" w:rsidR="00D170E5" w:rsidRPr="002B55E9" w:rsidRDefault="00D170E5" w:rsidP="00A83890">
            <w:pPr>
              <w:pStyle w:val="lgy-"/>
              <w:rPr>
                <w:rFonts w:eastAsia="宋体"/>
              </w:rPr>
            </w:pPr>
          </w:p>
        </w:tc>
        <w:tc>
          <w:tcPr>
            <w:tcW w:w="688" w:type="dxa"/>
            <w:vMerge/>
          </w:tcPr>
          <w:p w14:paraId="3052C1D0" w14:textId="77777777" w:rsidR="00D170E5" w:rsidRPr="002B55E9" w:rsidRDefault="00D170E5" w:rsidP="00A83890">
            <w:pPr>
              <w:pStyle w:val="lgy-"/>
              <w:rPr>
                <w:rFonts w:eastAsia="宋体"/>
              </w:rPr>
            </w:pPr>
          </w:p>
        </w:tc>
        <w:tc>
          <w:tcPr>
            <w:tcW w:w="750" w:type="dxa"/>
          </w:tcPr>
          <w:p w14:paraId="71E20ADF" w14:textId="77777777" w:rsidR="00D170E5" w:rsidRPr="002B55E9" w:rsidRDefault="00EF27AD" w:rsidP="00A83890">
            <w:pPr>
              <w:pStyle w:val="lgy-"/>
              <w:rPr>
                <w:rFonts w:eastAsia="宋体"/>
                <w:kern w:val="2"/>
              </w:rPr>
            </w:pPr>
            <w:r w:rsidRPr="002B55E9">
              <w:rPr>
                <w:rFonts w:eastAsia="宋体" w:hint="eastAsia"/>
                <w:kern w:val="2"/>
              </w:rPr>
              <w:t>氯化氢</w:t>
            </w:r>
          </w:p>
        </w:tc>
        <w:tc>
          <w:tcPr>
            <w:tcW w:w="786" w:type="dxa"/>
          </w:tcPr>
          <w:p w14:paraId="07C803B4" w14:textId="77777777" w:rsidR="00D170E5" w:rsidRPr="002B55E9" w:rsidRDefault="00EF27AD" w:rsidP="00A83890">
            <w:pPr>
              <w:pStyle w:val="lgy-"/>
              <w:rPr>
                <w:rFonts w:eastAsia="宋体"/>
              </w:rPr>
            </w:pPr>
            <w:r w:rsidRPr="002B55E9">
              <w:rPr>
                <w:rFonts w:eastAsia="宋体"/>
              </w:rPr>
              <w:t xml:space="preserve">0.01 </w:t>
            </w:r>
          </w:p>
        </w:tc>
        <w:tc>
          <w:tcPr>
            <w:tcW w:w="686" w:type="dxa"/>
          </w:tcPr>
          <w:p w14:paraId="1F42B914" w14:textId="77777777" w:rsidR="00D170E5" w:rsidRPr="002B55E9" w:rsidRDefault="00EF27AD" w:rsidP="00A83890">
            <w:pPr>
              <w:pStyle w:val="lgy-"/>
              <w:rPr>
                <w:rFonts w:eastAsia="宋体"/>
              </w:rPr>
            </w:pPr>
            <w:r w:rsidRPr="002B55E9">
              <w:rPr>
                <w:rFonts w:eastAsia="宋体"/>
              </w:rPr>
              <w:t>3.31E-05</w:t>
            </w:r>
          </w:p>
        </w:tc>
        <w:tc>
          <w:tcPr>
            <w:tcW w:w="752" w:type="dxa"/>
          </w:tcPr>
          <w:p w14:paraId="5DC2FFF1" w14:textId="77777777" w:rsidR="00D170E5" w:rsidRPr="002B55E9" w:rsidRDefault="00EF27AD" w:rsidP="00A83890">
            <w:pPr>
              <w:pStyle w:val="lgy-"/>
              <w:rPr>
                <w:rFonts w:eastAsia="宋体"/>
              </w:rPr>
            </w:pPr>
            <w:r w:rsidRPr="002B55E9">
              <w:rPr>
                <w:rFonts w:eastAsia="宋体"/>
              </w:rPr>
              <w:t>2.183E-05</w:t>
            </w:r>
          </w:p>
        </w:tc>
        <w:tc>
          <w:tcPr>
            <w:tcW w:w="569" w:type="dxa"/>
          </w:tcPr>
          <w:p w14:paraId="1CE1ABED" w14:textId="77777777" w:rsidR="00D170E5" w:rsidRPr="002B55E9" w:rsidRDefault="00EF27AD" w:rsidP="00A83890">
            <w:pPr>
              <w:pStyle w:val="lgy-"/>
              <w:rPr>
                <w:rFonts w:eastAsia="宋体"/>
              </w:rPr>
            </w:pPr>
            <w:r w:rsidRPr="002B55E9">
              <w:rPr>
                <w:rFonts w:eastAsia="宋体"/>
              </w:rPr>
              <w:t>0</w:t>
            </w:r>
          </w:p>
        </w:tc>
        <w:tc>
          <w:tcPr>
            <w:tcW w:w="661" w:type="dxa"/>
          </w:tcPr>
          <w:p w14:paraId="188D61BE" w14:textId="77777777" w:rsidR="00D170E5" w:rsidRPr="002B55E9" w:rsidRDefault="00EF27AD" w:rsidP="00A83890">
            <w:pPr>
              <w:pStyle w:val="lgy-"/>
              <w:rPr>
                <w:rFonts w:eastAsia="宋体"/>
              </w:rPr>
            </w:pPr>
            <w:r w:rsidRPr="002B55E9">
              <w:rPr>
                <w:rFonts w:eastAsia="宋体"/>
              </w:rPr>
              <w:t>0.01</w:t>
            </w:r>
          </w:p>
        </w:tc>
        <w:tc>
          <w:tcPr>
            <w:tcW w:w="736" w:type="dxa"/>
          </w:tcPr>
          <w:p w14:paraId="02EB63CF" w14:textId="77777777" w:rsidR="00D170E5" w:rsidRPr="002B55E9" w:rsidRDefault="00EF27AD" w:rsidP="00A83890">
            <w:pPr>
              <w:pStyle w:val="lgy-"/>
              <w:rPr>
                <w:rFonts w:eastAsia="宋体"/>
              </w:rPr>
            </w:pPr>
            <w:r w:rsidRPr="002B55E9">
              <w:rPr>
                <w:rFonts w:eastAsia="宋体"/>
              </w:rPr>
              <w:t>3.24E-05</w:t>
            </w:r>
          </w:p>
        </w:tc>
        <w:tc>
          <w:tcPr>
            <w:tcW w:w="578" w:type="dxa"/>
          </w:tcPr>
          <w:p w14:paraId="1B60AF01" w14:textId="77777777" w:rsidR="00D170E5" w:rsidRPr="002B55E9" w:rsidRDefault="00EF27AD" w:rsidP="00A83890">
            <w:pPr>
              <w:pStyle w:val="lgy-"/>
              <w:rPr>
                <w:rFonts w:eastAsia="宋体"/>
              </w:rPr>
            </w:pPr>
            <w:r w:rsidRPr="002B55E9">
              <w:rPr>
                <w:rFonts w:eastAsia="宋体"/>
              </w:rPr>
              <w:t>2.14E-05</w:t>
            </w:r>
          </w:p>
        </w:tc>
      </w:tr>
    </w:tbl>
    <w:p w14:paraId="0A8DC0D3" w14:textId="77777777" w:rsidR="00B622DC" w:rsidRPr="002B55E9" w:rsidRDefault="00B622DC">
      <w:pPr>
        <w:pStyle w:val="1f3"/>
        <w:spacing w:beforeLines="0" w:before="0"/>
        <w:ind w:firstLine="482"/>
      </w:pPr>
    </w:p>
    <w:p w14:paraId="375C7398" w14:textId="77777777" w:rsidR="00B622DC" w:rsidRPr="002B55E9" w:rsidRDefault="00B622DC">
      <w:pPr>
        <w:pStyle w:val="1f3"/>
        <w:spacing w:beforeLines="0" w:before="0"/>
        <w:ind w:firstLine="482"/>
      </w:pPr>
    </w:p>
    <w:p w14:paraId="497620F6" w14:textId="77777777" w:rsidR="00B622DC" w:rsidRPr="002B55E9" w:rsidRDefault="00B622DC">
      <w:pPr>
        <w:pStyle w:val="1f3"/>
        <w:spacing w:beforeLines="0" w:before="0"/>
        <w:ind w:firstLine="482"/>
      </w:pPr>
    </w:p>
    <w:p w14:paraId="4C97D296" w14:textId="77777777" w:rsidR="00B622DC" w:rsidRPr="002B55E9" w:rsidRDefault="00B622DC">
      <w:pPr>
        <w:pStyle w:val="1f3"/>
        <w:spacing w:beforeLines="0" w:before="0"/>
        <w:ind w:firstLine="482"/>
      </w:pPr>
    </w:p>
    <w:p w14:paraId="1126E1C3" w14:textId="77777777" w:rsidR="00B622DC" w:rsidRPr="002B55E9" w:rsidRDefault="00B622DC">
      <w:pPr>
        <w:pStyle w:val="1f3"/>
        <w:spacing w:beforeLines="0" w:before="0"/>
        <w:ind w:firstLine="482"/>
      </w:pPr>
    </w:p>
    <w:p w14:paraId="490A92B1" w14:textId="0C86242F" w:rsidR="00D170E5" w:rsidRPr="002B55E9" w:rsidRDefault="00EF27AD">
      <w:pPr>
        <w:pStyle w:val="1f3"/>
        <w:spacing w:beforeLines="0" w:before="0"/>
        <w:ind w:firstLine="482"/>
      </w:pPr>
      <w:r w:rsidRPr="002B55E9">
        <w:rPr>
          <w:rFonts w:hint="eastAsia"/>
        </w:rPr>
        <w:t>表</w:t>
      </w:r>
      <w:r w:rsidRPr="002B55E9">
        <w:rPr>
          <w:rFonts w:hint="eastAsia"/>
        </w:rPr>
        <w:t>3</w:t>
      </w:r>
      <w:r w:rsidRPr="002B55E9">
        <w:t xml:space="preserve">-3-27  </w:t>
      </w:r>
      <w:r w:rsidRPr="002B55E9">
        <w:rPr>
          <w:rFonts w:hint="eastAsia"/>
        </w:rPr>
        <w:t>拟建项目无组织废气排放情况一览表</w:t>
      </w:r>
    </w:p>
    <w:tbl>
      <w:tblPr>
        <w:tblStyle w:val="lgy2"/>
        <w:tblW w:w="5000" w:type="pct"/>
        <w:tblLayout w:type="fixed"/>
        <w:tblCellMar>
          <w:left w:w="28" w:type="dxa"/>
          <w:right w:w="28" w:type="dxa"/>
        </w:tblCellMar>
        <w:tblLook w:val="04A0" w:firstRow="1" w:lastRow="0" w:firstColumn="1" w:lastColumn="0" w:noHBand="0" w:noVBand="1"/>
      </w:tblPr>
      <w:tblGrid>
        <w:gridCol w:w="1122"/>
        <w:gridCol w:w="1730"/>
        <w:gridCol w:w="859"/>
        <w:gridCol w:w="924"/>
        <w:gridCol w:w="1545"/>
        <w:gridCol w:w="2291"/>
        <w:gridCol w:w="1223"/>
      </w:tblGrid>
      <w:tr w:rsidR="002B55E9" w:rsidRPr="002B55E9" w14:paraId="7ED97355" w14:textId="77777777" w:rsidTr="00A47A4E">
        <w:trPr>
          <w:cnfStyle w:val="100000000000" w:firstRow="1" w:lastRow="0" w:firstColumn="0" w:lastColumn="0" w:oddVBand="0" w:evenVBand="0" w:oddHBand="0" w:evenHBand="0" w:firstRowFirstColumn="0" w:firstRowLastColumn="0" w:lastRowFirstColumn="0" w:lastRowLastColumn="0"/>
          <w:trHeight w:val="283"/>
        </w:trPr>
        <w:tc>
          <w:tcPr>
            <w:tcW w:w="1115" w:type="dxa"/>
            <w:vMerge w:val="restart"/>
          </w:tcPr>
          <w:p w14:paraId="35AA7874" w14:textId="77777777" w:rsidR="00D170E5" w:rsidRPr="002B55E9" w:rsidRDefault="00EF27AD" w:rsidP="00A47A4E">
            <w:pPr>
              <w:pStyle w:val="lgy-"/>
              <w:rPr>
                <w:rFonts w:eastAsia="宋体"/>
              </w:rPr>
            </w:pPr>
            <w:r w:rsidRPr="002B55E9">
              <w:rPr>
                <w:rFonts w:eastAsia="宋体"/>
              </w:rPr>
              <w:t>排放源</w:t>
            </w:r>
          </w:p>
        </w:tc>
        <w:tc>
          <w:tcPr>
            <w:tcW w:w="1720" w:type="dxa"/>
            <w:vMerge w:val="restart"/>
          </w:tcPr>
          <w:p w14:paraId="67DBC00C" w14:textId="77777777" w:rsidR="00D170E5" w:rsidRPr="002B55E9" w:rsidRDefault="00EF27AD" w:rsidP="00A47A4E">
            <w:pPr>
              <w:pStyle w:val="lgy-"/>
              <w:rPr>
                <w:rFonts w:eastAsia="宋体"/>
              </w:rPr>
            </w:pPr>
            <w:r w:rsidRPr="002B55E9">
              <w:rPr>
                <w:rFonts w:eastAsia="宋体"/>
              </w:rPr>
              <w:t>污染工序</w:t>
            </w:r>
          </w:p>
        </w:tc>
        <w:tc>
          <w:tcPr>
            <w:tcW w:w="1773" w:type="dxa"/>
            <w:gridSpan w:val="2"/>
          </w:tcPr>
          <w:p w14:paraId="74637841" w14:textId="77777777" w:rsidR="00D170E5" w:rsidRPr="002B55E9" w:rsidRDefault="00EF27AD" w:rsidP="00A47A4E">
            <w:pPr>
              <w:pStyle w:val="lgy-"/>
              <w:rPr>
                <w:rFonts w:eastAsia="宋体"/>
              </w:rPr>
            </w:pPr>
            <w:r w:rsidRPr="002B55E9">
              <w:rPr>
                <w:rFonts w:eastAsia="宋体"/>
              </w:rPr>
              <w:t>面源参数</w:t>
            </w:r>
          </w:p>
        </w:tc>
        <w:tc>
          <w:tcPr>
            <w:tcW w:w="1536" w:type="dxa"/>
            <w:vMerge w:val="restart"/>
          </w:tcPr>
          <w:p w14:paraId="27094509" w14:textId="77777777" w:rsidR="00D170E5" w:rsidRPr="002B55E9" w:rsidRDefault="00EF27AD" w:rsidP="00A47A4E">
            <w:pPr>
              <w:pStyle w:val="lgy-"/>
              <w:rPr>
                <w:rFonts w:eastAsia="宋体"/>
              </w:rPr>
            </w:pPr>
            <w:r w:rsidRPr="002B55E9">
              <w:rPr>
                <w:rFonts w:eastAsia="宋体"/>
              </w:rPr>
              <w:t>主要污染物</w:t>
            </w:r>
          </w:p>
        </w:tc>
        <w:tc>
          <w:tcPr>
            <w:tcW w:w="3494" w:type="dxa"/>
            <w:gridSpan w:val="2"/>
          </w:tcPr>
          <w:p w14:paraId="29AA21A5" w14:textId="77777777" w:rsidR="00D170E5" w:rsidRPr="002B55E9" w:rsidRDefault="00EF27AD" w:rsidP="00A47A4E">
            <w:pPr>
              <w:pStyle w:val="lgy-"/>
              <w:rPr>
                <w:rFonts w:eastAsia="宋体"/>
              </w:rPr>
            </w:pPr>
            <w:r w:rsidRPr="002B55E9">
              <w:rPr>
                <w:rFonts w:eastAsia="宋体"/>
              </w:rPr>
              <w:t>无组织排放情况</w:t>
            </w:r>
          </w:p>
        </w:tc>
      </w:tr>
      <w:tr w:rsidR="002B55E9" w:rsidRPr="002B55E9" w14:paraId="316DCEB9" w14:textId="77777777" w:rsidTr="00A47A4E">
        <w:trPr>
          <w:trHeight w:val="283"/>
        </w:trPr>
        <w:tc>
          <w:tcPr>
            <w:tcW w:w="1115" w:type="dxa"/>
            <w:vMerge/>
          </w:tcPr>
          <w:p w14:paraId="772A6D26" w14:textId="77777777" w:rsidR="00D170E5" w:rsidRPr="002B55E9" w:rsidRDefault="00D170E5" w:rsidP="00A47A4E">
            <w:pPr>
              <w:pStyle w:val="lgy-"/>
              <w:rPr>
                <w:rFonts w:eastAsia="宋体"/>
              </w:rPr>
            </w:pPr>
          </w:p>
        </w:tc>
        <w:tc>
          <w:tcPr>
            <w:tcW w:w="1720" w:type="dxa"/>
            <w:vMerge/>
          </w:tcPr>
          <w:p w14:paraId="31AA52F3" w14:textId="77777777" w:rsidR="00D170E5" w:rsidRPr="002B55E9" w:rsidRDefault="00D170E5" w:rsidP="00A47A4E">
            <w:pPr>
              <w:pStyle w:val="lgy-"/>
              <w:rPr>
                <w:rFonts w:eastAsia="宋体"/>
              </w:rPr>
            </w:pPr>
          </w:p>
        </w:tc>
        <w:tc>
          <w:tcPr>
            <w:tcW w:w="854" w:type="dxa"/>
          </w:tcPr>
          <w:p w14:paraId="6E3D0FC3" w14:textId="77777777" w:rsidR="00D170E5" w:rsidRPr="002B55E9" w:rsidRDefault="00EF27AD" w:rsidP="00A47A4E">
            <w:pPr>
              <w:pStyle w:val="lgy-"/>
              <w:rPr>
                <w:rFonts w:eastAsia="宋体"/>
              </w:rPr>
            </w:pPr>
            <w:r w:rsidRPr="002B55E9">
              <w:rPr>
                <w:rFonts w:eastAsia="宋体"/>
              </w:rPr>
              <w:t>长度</w:t>
            </w:r>
            <w:r w:rsidRPr="002B55E9">
              <w:rPr>
                <w:rFonts w:eastAsia="宋体"/>
              </w:rPr>
              <w:t>m</w:t>
            </w:r>
          </w:p>
        </w:tc>
        <w:tc>
          <w:tcPr>
            <w:tcW w:w="919" w:type="dxa"/>
          </w:tcPr>
          <w:p w14:paraId="3792A3BA" w14:textId="77777777" w:rsidR="00D170E5" w:rsidRPr="002B55E9" w:rsidRDefault="00EF27AD" w:rsidP="00A47A4E">
            <w:pPr>
              <w:pStyle w:val="lgy-"/>
              <w:rPr>
                <w:rFonts w:eastAsia="宋体"/>
              </w:rPr>
            </w:pPr>
            <w:r w:rsidRPr="002B55E9">
              <w:rPr>
                <w:rFonts w:eastAsia="宋体"/>
              </w:rPr>
              <w:t>宽度</w:t>
            </w:r>
            <w:r w:rsidRPr="002B55E9">
              <w:rPr>
                <w:rFonts w:eastAsia="宋体"/>
              </w:rPr>
              <w:t>m</w:t>
            </w:r>
          </w:p>
        </w:tc>
        <w:tc>
          <w:tcPr>
            <w:tcW w:w="1536" w:type="dxa"/>
            <w:vMerge/>
          </w:tcPr>
          <w:p w14:paraId="0F9FE207" w14:textId="77777777" w:rsidR="00D170E5" w:rsidRPr="002B55E9" w:rsidRDefault="00D170E5" w:rsidP="00A47A4E">
            <w:pPr>
              <w:pStyle w:val="lgy-"/>
              <w:rPr>
                <w:rFonts w:eastAsia="宋体"/>
              </w:rPr>
            </w:pPr>
          </w:p>
        </w:tc>
        <w:tc>
          <w:tcPr>
            <w:tcW w:w="2278" w:type="dxa"/>
          </w:tcPr>
          <w:p w14:paraId="03AED6A7" w14:textId="77777777" w:rsidR="00D170E5" w:rsidRPr="002B55E9" w:rsidRDefault="00EF27AD" w:rsidP="00A47A4E">
            <w:pPr>
              <w:pStyle w:val="lgy-"/>
              <w:rPr>
                <w:rFonts w:eastAsia="宋体"/>
              </w:rPr>
            </w:pPr>
            <w:r w:rsidRPr="002B55E9">
              <w:rPr>
                <w:rFonts w:eastAsia="宋体"/>
              </w:rPr>
              <w:t>最大排放速率</w:t>
            </w:r>
            <w:r w:rsidRPr="002B55E9">
              <w:rPr>
                <w:rFonts w:eastAsia="宋体"/>
              </w:rPr>
              <w:t>(kg/h)</w:t>
            </w:r>
          </w:p>
        </w:tc>
        <w:tc>
          <w:tcPr>
            <w:tcW w:w="1216" w:type="dxa"/>
          </w:tcPr>
          <w:p w14:paraId="656D694E" w14:textId="77777777" w:rsidR="00D170E5" w:rsidRPr="002B55E9" w:rsidRDefault="00EF27AD" w:rsidP="00A47A4E">
            <w:pPr>
              <w:pStyle w:val="lgy-"/>
              <w:rPr>
                <w:rFonts w:eastAsia="宋体"/>
              </w:rPr>
            </w:pPr>
            <w:r w:rsidRPr="002B55E9">
              <w:rPr>
                <w:rFonts w:eastAsia="宋体"/>
              </w:rPr>
              <w:t>排放量</w:t>
            </w:r>
            <w:r w:rsidRPr="002B55E9">
              <w:rPr>
                <w:rFonts w:eastAsia="宋体"/>
              </w:rPr>
              <w:t>(t/a)</w:t>
            </w:r>
          </w:p>
        </w:tc>
      </w:tr>
      <w:tr w:rsidR="002B55E9" w:rsidRPr="002B55E9" w14:paraId="7A3ED09C" w14:textId="77777777" w:rsidTr="00A47A4E">
        <w:trPr>
          <w:trHeight w:val="283"/>
        </w:trPr>
        <w:tc>
          <w:tcPr>
            <w:tcW w:w="1115" w:type="dxa"/>
            <w:vMerge w:val="restart"/>
          </w:tcPr>
          <w:p w14:paraId="5CA04C92" w14:textId="77777777" w:rsidR="00D170E5" w:rsidRPr="002B55E9" w:rsidRDefault="00EF27AD" w:rsidP="00A47A4E">
            <w:pPr>
              <w:pStyle w:val="lgy-"/>
              <w:rPr>
                <w:rFonts w:eastAsia="宋体"/>
              </w:rPr>
            </w:pPr>
            <w:r w:rsidRPr="002B55E9">
              <w:rPr>
                <w:rFonts w:eastAsia="宋体"/>
              </w:rPr>
              <w:t>十三车间</w:t>
            </w:r>
          </w:p>
        </w:tc>
        <w:tc>
          <w:tcPr>
            <w:tcW w:w="1720" w:type="dxa"/>
          </w:tcPr>
          <w:p w14:paraId="0CA6742E" w14:textId="77777777" w:rsidR="00D170E5" w:rsidRPr="002B55E9" w:rsidRDefault="00EF27AD" w:rsidP="00A47A4E">
            <w:pPr>
              <w:pStyle w:val="lgy-"/>
              <w:rPr>
                <w:rFonts w:eastAsia="宋体"/>
              </w:rPr>
            </w:pPr>
            <w:r w:rsidRPr="002B55E9">
              <w:rPr>
                <w:rFonts w:eastAsia="宋体"/>
              </w:rPr>
              <w:t>香辛料粉碎</w:t>
            </w:r>
          </w:p>
        </w:tc>
        <w:tc>
          <w:tcPr>
            <w:tcW w:w="854" w:type="dxa"/>
            <w:vMerge w:val="restart"/>
          </w:tcPr>
          <w:p w14:paraId="68C3B4D7" w14:textId="77777777" w:rsidR="00D170E5" w:rsidRPr="002B55E9" w:rsidRDefault="00EF27AD" w:rsidP="00A47A4E">
            <w:pPr>
              <w:pStyle w:val="lgy-"/>
              <w:rPr>
                <w:rFonts w:eastAsia="宋体"/>
              </w:rPr>
            </w:pPr>
            <w:r w:rsidRPr="002B55E9">
              <w:rPr>
                <w:rFonts w:eastAsia="宋体"/>
              </w:rPr>
              <w:t>164</w:t>
            </w:r>
          </w:p>
        </w:tc>
        <w:tc>
          <w:tcPr>
            <w:tcW w:w="919" w:type="dxa"/>
            <w:vMerge w:val="restart"/>
          </w:tcPr>
          <w:p w14:paraId="36FD9BC9" w14:textId="77777777" w:rsidR="00D170E5" w:rsidRPr="002B55E9" w:rsidRDefault="00EF27AD" w:rsidP="00A47A4E">
            <w:pPr>
              <w:pStyle w:val="lgy-"/>
              <w:rPr>
                <w:rFonts w:eastAsia="宋体"/>
              </w:rPr>
            </w:pPr>
            <w:r w:rsidRPr="002B55E9">
              <w:rPr>
                <w:rFonts w:eastAsia="宋体"/>
              </w:rPr>
              <w:t>40</w:t>
            </w:r>
          </w:p>
        </w:tc>
        <w:tc>
          <w:tcPr>
            <w:tcW w:w="1536" w:type="dxa"/>
          </w:tcPr>
          <w:p w14:paraId="3A4E3547" w14:textId="77777777" w:rsidR="00D170E5" w:rsidRPr="002B55E9" w:rsidRDefault="00EF27AD" w:rsidP="00A47A4E">
            <w:pPr>
              <w:pStyle w:val="lgy-"/>
              <w:rPr>
                <w:rFonts w:eastAsia="宋体"/>
              </w:rPr>
            </w:pPr>
            <w:r w:rsidRPr="002B55E9">
              <w:rPr>
                <w:rFonts w:eastAsia="宋体"/>
              </w:rPr>
              <w:t>颗粒物</w:t>
            </w:r>
          </w:p>
        </w:tc>
        <w:tc>
          <w:tcPr>
            <w:tcW w:w="2278" w:type="dxa"/>
          </w:tcPr>
          <w:p w14:paraId="655EB4AA" w14:textId="77777777" w:rsidR="00D170E5" w:rsidRPr="002B55E9" w:rsidRDefault="00EF27AD" w:rsidP="00A47A4E">
            <w:pPr>
              <w:pStyle w:val="lgy-"/>
              <w:rPr>
                <w:rFonts w:eastAsia="宋体"/>
              </w:rPr>
            </w:pPr>
            <w:r w:rsidRPr="002B55E9">
              <w:rPr>
                <w:rFonts w:eastAsia="宋体"/>
              </w:rPr>
              <w:t>0.014</w:t>
            </w:r>
          </w:p>
        </w:tc>
        <w:tc>
          <w:tcPr>
            <w:tcW w:w="1216" w:type="dxa"/>
          </w:tcPr>
          <w:p w14:paraId="7D45CFB8" w14:textId="77777777" w:rsidR="00D170E5" w:rsidRPr="002B55E9" w:rsidRDefault="00EF27AD" w:rsidP="00A47A4E">
            <w:pPr>
              <w:pStyle w:val="lgy-"/>
              <w:rPr>
                <w:rFonts w:eastAsia="宋体"/>
              </w:rPr>
            </w:pPr>
            <w:r w:rsidRPr="002B55E9">
              <w:rPr>
                <w:rFonts w:eastAsia="宋体"/>
              </w:rPr>
              <w:t>0.014</w:t>
            </w:r>
          </w:p>
        </w:tc>
      </w:tr>
      <w:tr w:rsidR="002B55E9" w:rsidRPr="002B55E9" w14:paraId="7B0AC39E" w14:textId="77777777" w:rsidTr="00A47A4E">
        <w:trPr>
          <w:trHeight w:val="283"/>
        </w:trPr>
        <w:tc>
          <w:tcPr>
            <w:tcW w:w="1115" w:type="dxa"/>
            <w:vMerge/>
          </w:tcPr>
          <w:p w14:paraId="56D5D9CC" w14:textId="77777777" w:rsidR="00D170E5" w:rsidRPr="002B55E9" w:rsidRDefault="00D170E5" w:rsidP="00A47A4E">
            <w:pPr>
              <w:pStyle w:val="lgy-"/>
              <w:rPr>
                <w:rFonts w:eastAsia="宋体"/>
              </w:rPr>
            </w:pPr>
          </w:p>
        </w:tc>
        <w:tc>
          <w:tcPr>
            <w:tcW w:w="1720" w:type="dxa"/>
          </w:tcPr>
          <w:p w14:paraId="65113AF4" w14:textId="35B4E312" w:rsidR="00D170E5" w:rsidRPr="002B55E9" w:rsidRDefault="00EF27AD" w:rsidP="00A47A4E">
            <w:pPr>
              <w:pStyle w:val="lgy-"/>
              <w:rPr>
                <w:rFonts w:eastAsia="宋体"/>
              </w:rPr>
            </w:pPr>
            <w:r w:rsidRPr="002B55E9">
              <w:rPr>
                <w:rFonts w:eastAsia="宋体" w:hint="eastAsia"/>
              </w:rPr>
              <w:t>酒精发酵</w:t>
            </w:r>
            <w:r w:rsidR="00A83890" w:rsidRPr="002B55E9">
              <w:rPr>
                <w:rFonts w:eastAsia="宋体" w:hint="eastAsia"/>
              </w:rPr>
              <w:t>、醋酸发酵</w:t>
            </w:r>
          </w:p>
        </w:tc>
        <w:tc>
          <w:tcPr>
            <w:tcW w:w="854" w:type="dxa"/>
            <w:vMerge/>
          </w:tcPr>
          <w:p w14:paraId="610F864B" w14:textId="77777777" w:rsidR="00D170E5" w:rsidRPr="002B55E9" w:rsidRDefault="00D170E5" w:rsidP="00A47A4E">
            <w:pPr>
              <w:pStyle w:val="lgy-"/>
              <w:rPr>
                <w:rFonts w:eastAsia="宋体"/>
              </w:rPr>
            </w:pPr>
          </w:p>
        </w:tc>
        <w:tc>
          <w:tcPr>
            <w:tcW w:w="919" w:type="dxa"/>
            <w:vMerge/>
          </w:tcPr>
          <w:p w14:paraId="2B9FDB6A" w14:textId="77777777" w:rsidR="00D170E5" w:rsidRPr="002B55E9" w:rsidRDefault="00D170E5" w:rsidP="00A47A4E">
            <w:pPr>
              <w:pStyle w:val="lgy-"/>
              <w:rPr>
                <w:rFonts w:eastAsia="宋体"/>
              </w:rPr>
            </w:pPr>
          </w:p>
        </w:tc>
        <w:tc>
          <w:tcPr>
            <w:tcW w:w="1536" w:type="dxa"/>
          </w:tcPr>
          <w:p w14:paraId="2EB14820" w14:textId="14A9AE2F" w:rsidR="00D170E5" w:rsidRPr="002B55E9" w:rsidRDefault="00A83890" w:rsidP="00A47A4E">
            <w:pPr>
              <w:pStyle w:val="lgy-"/>
              <w:rPr>
                <w:rFonts w:eastAsia="宋体"/>
              </w:rPr>
            </w:pPr>
            <w:r w:rsidRPr="002B55E9">
              <w:rPr>
                <w:rFonts w:eastAsia="宋体" w:hint="eastAsia"/>
              </w:rPr>
              <w:t>臭气浓度</w:t>
            </w:r>
          </w:p>
        </w:tc>
        <w:tc>
          <w:tcPr>
            <w:tcW w:w="2278" w:type="dxa"/>
          </w:tcPr>
          <w:p w14:paraId="6228CC90" w14:textId="7B003552" w:rsidR="00D170E5" w:rsidRPr="002B55E9" w:rsidRDefault="00A83890" w:rsidP="00A47A4E">
            <w:pPr>
              <w:pStyle w:val="lgy-"/>
              <w:rPr>
                <w:rFonts w:eastAsia="宋体"/>
              </w:rPr>
            </w:pPr>
            <w:r w:rsidRPr="002B55E9">
              <w:rPr>
                <w:rFonts w:eastAsia="宋体" w:hint="eastAsia"/>
              </w:rPr>
              <w:t>/</w:t>
            </w:r>
          </w:p>
        </w:tc>
        <w:tc>
          <w:tcPr>
            <w:tcW w:w="1216" w:type="dxa"/>
          </w:tcPr>
          <w:p w14:paraId="523CA174" w14:textId="520A8931" w:rsidR="00D170E5" w:rsidRPr="002B55E9" w:rsidRDefault="00A83890" w:rsidP="00A47A4E">
            <w:pPr>
              <w:pStyle w:val="lgy-"/>
              <w:rPr>
                <w:rFonts w:eastAsia="宋体"/>
              </w:rPr>
            </w:pPr>
            <w:r w:rsidRPr="002B55E9">
              <w:rPr>
                <w:rFonts w:eastAsia="宋体" w:hint="eastAsia"/>
              </w:rPr>
              <w:t>/</w:t>
            </w:r>
          </w:p>
        </w:tc>
      </w:tr>
      <w:tr w:rsidR="002B55E9" w:rsidRPr="002B55E9" w14:paraId="26F0A08F" w14:textId="77777777" w:rsidTr="00A47A4E">
        <w:trPr>
          <w:trHeight w:val="283"/>
        </w:trPr>
        <w:tc>
          <w:tcPr>
            <w:tcW w:w="1115" w:type="dxa"/>
            <w:vMerge w:val="restart"/>
          </w:tcPr>
          <w:p w14:paraId="66FF747D" w14:textId="77777777" w:rsidR="00A47A4E" w:rsidRPr="002B55E9" w:rsidRDefault="00A47A4E" w:rsidP="00A47A4E">
            <w:pPr>
              <w:pStyle w:val="lgy-"/>
              <w:rPr>
                <w:rFonts w:eastAsia="宋体"/>
              </w:rPr>
            </w:pPr>
            <w:r w:rsidRPr="002B55E9">
              <w:rPr>
                <w:rFonts w:eastAsia="宋体"/>
              </w:rPr>
              <w:lastRenderedPageBreak/>
              <w:t>十一车间内</w:t>
            </w:r>
          </w:p>
          <w:p w14:paraId="7124D56B" w14:textId="77777777" w:rsidR="00A47A4E" w:rsidRPr="002B55E9" w:rsidRDefault="00A47A4E" w:rsidP="00A47A4E">
            <w:pPr>
              <w:pStyle w:val="lgy-"/>
              <w:rPr>
                <w:rFonts w:eastAsia="宋体"/>
              </w:rPr>
            </w:pPr>
            <w:r w:rsidRPr="002B55E9">
              <w:rPr>
                <w:rFonts w:eastAsia="宋体"/>
              </w:rPr>
              <w:t>（化验室）</w:t>
            </w:r>
          </w:p>
        </w:tc>
        <w:tc>
          <w:tcPr>
            <w:tcW w:w="1720" w:type="dxa"/>
            <w:vMerge w:val="restart"/>
          </w:tcPr>
          <w:p w14:paraId="2D1C6D4C" w14:textId="77777777" w:rsidR="00A47A4E" w:rsidRPr="002B55E9" w:rsidRDefault="00A47A4E" w:rsidP="00A47A4E">
            <w:pPr>
              <w:pStyle w:val="lgy-"/>
              <w:rPr>
                <w:rFonts w:eastAsia="宋体"/>
              </w:rPr>
            </w:pPr>
            <w:r w:rsidRPr="002B55E9">
              <w:rPr>
                <w:rFonts w:eastAsia="宋体"/>
              </w:rPr>
              <w:t>实验分析</w:t>
            </w:r>
          </w:p>
        </w:tc>
        <w:tc>
          <w:tcPr>
            <w:tcW w:w="854" w:type="dxa"/>
            <w:vMerge w:val="restart"/>
          </w:tcPr>
          <w:p w14:paraId="3699C72A" w14:textId="77777777" w:rsidR="00A47A4E" w:rsidRPr="002B55E9" w:rsidRDefault="00A47A4E" w:rsidP="00A47A4E">
            <w:pPr>
              <w:pStyle w:val="lgy-"/>
              <w:rPr>
                <w:rFonts w:eastAsia="宋体"/>
              </w:rPr>
            </w:pPr>
            <w:r w:rsidRPr="002B55E9">
              <w:rPr>
                <w:rFonts w:eastAsia="宋体"/>
              </w:rPr>
              <w:t>160</w:t>
            </w:r>
          </w:p>
        </w:tc>
        <w:tc>
          <w:tcPr>
            <w:tcW w:w="919" w:type="dxa"/>
            <w:vMerge w:val="restart"/>
          </w:tcPr>
          <w:p w14:paraId="447A65D5" w14:textId="77777777" w:rsidR="00A47A4E" w:rsidRPr="002B55E9" w:rsidRDefault="00A47A4E" w:rsidP="00A47A4E">
            <w:pPr>
              <w:pStyle w:val="lgy-"/>
              <w:rPr>
                <w:rFonts w:eastAsia="宋体"/>
              </w:rPr>
            </w:pPr>
            <w:r w:rsidRPr="002B55E9">
              <w:rPr>
                <w:rFonts w:eastAsia="宋体"/>
              </w:rPr>
              <w:t>88</w:t>
            </w:r>
          </w:p>
        </w:tc>
        <w:tc>
          <w:tcPr>
            <w:tcW w:w="1536" w:type="dxa"/>
          </w:tcPr>
          <w:p w14:paraId="26A17279" w14:textId="5CAB07B5" w:rsidR="00A47A4E" w:rsidRPr="002B55E9" w:rsidRDefault="00A47A4E" w:rsidP="00A47A4E">
            <w:pPr>
              <w:pStyle w:val="lgy-"/>
              <w:rPr>
                <w:rFonts w:eastAsia="宋体"/>
              </w:rPr>
            </w:pPr>
            <w:r w:rsidRPr="002B55E9">
              <w:rPr>
                <w:rFonts w:eastAsia="宋体"/>
              </w:rPr>
              <w:t>非甲烷总烃</w:t>
            </w:r>
          </w:p>
        </w:tc>
        <w:tc>
          <w:tcPr>
            <w:tcW w:w="2278" w:type="dxa"/>
          </w:tcPr>
          <w:p w14:paraId="1AB15A7C" w14:textId="0B084BE8" w:rsidR="00A47A4E" w:rsidRPr="002B55E9" w:rsidRDefault="00A47A4E" w:rsidP="00A47A4E">
            <w:pPr>
              <w:pStyle w:val="lgy-"/>
              <w:rPr>
                <w:rFonts w:eastAsia="宋体"/>
              </w:rPr>
            </w:pPr>
            <w:r w:rsidRPr="002B55E9">
              <w:rPr>
                <w:rFonts w:eastAsia="宋体"/>
              </w:rPr>
              <w:t>0.022</w:t>
            </w:r>
          </w:p>
        </w:tc>
        <w:tc>
          <w:tcPr>
            <w:tcW w:w="1216" w:type="dxa"/>
          </w:tcPr>
          <w:p w14:paraId="20E90850" w14:textId="4510C0DB" w:rsidR="00A47A4E" w:rsidRPr="002B55E9" w:rsidRDefault="00A47A4E" w:rsidP="00A47A4E">
            <w:pPr>
              <w:pStyle w:val="lgy-"/>
              <w:rPr>
                <w:rFonts w:eastAsia="宋体"/>
              </w:rPr>
            </w:pPr>
            <w:r w:rsidRPr="002B55E9">
              <w:rPr>
                <w:rFonts w:eastAsia="宋体"/>
              </w:rPr>
              <w:t>0.173</w:t>
            </w:r>
          </w:p>
        </w:tc>
      </w:tr>
      <w:tr w:rsidR="002B55E9" w:rsidRPr="002B55E9" w14:paraId="58DD2F94" w14:textId="77777777" w:rsidTr="00A47A4E">
        <w:trPr>
          <w:trHeight w:val="283"/>
        </w:trPr>
        <w:tc>
          <w:tcPr>
            <w:tcW w:w="1115" w:type="dxa"/>
            <w:vMerge/>
          </w:tcPr>
          <w:p w14:paraId="784C49F7" w14:textId="77777777" w:rsidR="00A47A4E" w:rsidRPr="002B55E9" w:rsidRDefault="00A47A4E" w:rsidP="00A47A4E">
            <w:pPr>
              <w:pStyle w:val="lgy-"/>
              <w:rPr>
                <w:rFonts w:eastAsia="宋体"/>
              </w:rPr>
            </w:pPr>
          </w:p>
        </w:tc>
        <w:tc>
          <w:tcPr>
            <w:tcW w:w="1720" w:type="dxa"/>
            <w:vMerge/>
          </w:tcPr>
          <w:p w14:paraId="21BE7587" w14:textId="77777777" w:rsidR="00A47A4E" w:rsidRPr="002B55E9" w:rsidRDefault="00A47A4E" w:rsidP="00A47A4E">
            <w:pPr>
              <w:pStyle w:val="lgy-"/>
              <w:rPr>
                <w:rFonts w:eastAsia="宋体"/>
              </w:rPr>
            </w:pPr>
          </w:p>
        </w:tc>
        <w:tc>
          <w:tcPr>
            <w:tcW w:w="854" w:type="dxa"/>
            <w:vMerge/>
          </w:tcPr>
          <w:p w14:paraId="22AF8BFE" w14:textId="77777777" w:rsidR="00A47A4E" w:rsidRPr="002B55E9" w:rsidRDefault="00A47A4E" w:rsidP="00A47A4E">
            <w:pPr>
              <w:pStyle w:val="lgy-"/>
              <w:rPr>
                <w:rFonts w:eastAsia="宋体"/>
              </w:rPr>
            </w:pPr>
          </w:p>
        </w:tc>
        <w:tc>
          <w:tcPr>
            <w:tcW w:w="919" w:type="dxa"/>
            <w:vMerge/>
          </w:tcPr>
          <w:p w14:paraId="439A61D8" w14:textId="77777777" w:rsidR="00A47A4E" w:rsidRPr="002B55E9" w:rsidRDefault="00A47A4E" w:rsidP="00A47A4E">
            <w:pPr>
              <w:pStyle w:val="lgy-"/>
              <w:rPr>
                <w:rFonts w:eastAsia="宋体"/>
              </w:rPr>
            </w:pPr>
          </w:p>
        </w:tc>
        <w:tc>
          <w:tcPr>
            <w:tcW w:w="1536" w:type="dxa"/>
          </w:tcPr>
          <w:p w14:paraId="14A87BC1" w14:textId="77777777" w:rsidR="00A47A4E" w:rsidRPr="002B55E9" w:rsidRDefault="00A47A4E" w:rsidP="00A47A4E">
            <w:pPr>
              <w:pStyle w:val="lgy-"/>
              <w:rPr>
                <w:rFonts w:eastAsia="宋体"/>
              </w:rPr>
            </w:pPr>
            <w:r w:rsidRPr="002B55E9">
              <w:rPr>
                <w:rFonts w:eastAsia="宋体"/>
              </w:rPr>
              <w:t>甲醛</w:t>
            </w:r>
          </w:p>
        </w:tc>
        <w:tc>
          <w:tcPr>
            <w:tcW w:w="2278" w:type="dxa"/>
          </w:tcPr>
          <w:p w14:paraId="1EA05E40" w14:textId="7BA847A7" w:rsidR="00A47A4E" w:rsidRPr="002B55E9" w:rsidRDefault="00A47A4E" w:rsidP="00A47A4E">
            <w:pPr>
              <w:pStyle w:val="lgy-"/>
              <w:rPr>
                <w:rFonts w:eastAsia="宋体"/>
              </w:rPr>
            </w:pPr>
            <w:r w:rsidRPr="002B55E9">
              <w:rPr>
                <w:rFonts w:eastAsia="宋体"/>
              </w:rPr>
              <w:t>9.88E-05</w:t>
            </w:r>
          </w:p>
        </w:tc>
        <w:tc>
          <w:tcPr>
            <w:tcW w:w="1216" w:type="dxa"/>
          </w:tcPr>
          <w:p w14:paraId="094C8D80" w14:textId="688FD3CA" w:rsidR="00A47A4E" w:rsidRPr="002B55E9" w:rsidRDefault="00A47A4E" w:rsidP="00A47A4E">
            <w:pPr>
              <w:pStyle w:val="lgy-"/>
              <w:rPr>
                <w:rFonts w:eastAsia="宋体"/>
              </w:rPr>
            </w:pPr>
            <w:r w:rsidRPr="002B55E9">
              <w:rPr>
                <w:rFonts w:eastAsia="宋体"/>
              </w:rPr>
              <w:t>9.78E-05</w:t>
            </w:r>
          </w:p>
        </w:tc>
      </w:tr>
      <w:tr w:rsidR="002B55E9" w:rsidRPr="002B55E9" w14:paraId="32908621" w14:textId="77777777" w:rsidTr="00A47A4E">
        <w:trPr>
          <w:trHeight w:val="283"/>
        </w:trPr>
        <w:tc>
          <w:tcPr>
            <w:tcW w:w="1115" w:type="dxa"/>
            <w:vMerge/>
          </w:tcPr>
          <w:p w14:paraId="387736EE" w14:textId="77777777" w:rsidR="00A47A4E" w:rsidRPr="002B55E9" w:rsidRDefault="00A47A4E" w:rsidP="00A47A4E">
            <w:pPr>
              <w:pStyle w:val="lgy-"/>
              <w:rPr>
                <w:rFonts w:eastAsia="宋体"/>
              </w:rPr>
            </w:pPr>
          </w:p>
        </w:tc>
        <w:tc>
          <w:tcPr>
            <w:tcW w:w="1720" w:type="dxa"/>
            <w:vMerge/>
          </w:tcPr>
          <w:p w14:paraId="50830D18" w14:textId="77777777" w:rsidR="00A47A4E" w:rsidRPr="002B55E9" w:rsidRDefault="00A47A4E" w:rsidP="00A47A4E">
            <w:pPr>
              <w:pStyle w:val="lgy-"/>
              <w:rPr>
                <w:rFonts w:eastAsia="宋体"/>
              </w:rPr>
            </w:pPr>
          </w:p>
        </w:tc>
        <w:tc>
          <w:tcPr>
            <w:tcW w:w="854" w:type="dxa"/>
            <w:vMerge/>
          </w:tcPr>
          <w:p w14:paraId="4E9A3A3E" w14:textId="77777777" w:rsidR="00A47A4E" w:rsidRPr="002B55E9" w:rsidRDefault="00A47A4E" w:rsidP="00A47A4E">
            <w:pPr>
              <w:pStyle w:val="lgy-"/>
              <w:rPr>
                <w:rFonts w:eastAsia="宋体"/>
              </w:rPr>
            </w:pPr>
          </w:p>
        </w:tc>
        <w:tc>
          <w:tcPr>
            <w:tcW w:w="919" w:type="dxa"/>
            <w:vMerge/>
          </w:tcPr>
          <w:p w14:paraId="0DB94547" w14:textId="77777777" w:rsidR="00A47A4E" w:rsidRPr="002B55E9" w:rsidRDefault="00A47A4E" w:rsidP="00A47A4E">
            <w:pPr>
              <w:pStyle w:val="lgy-"/>
              <w:rPr>
                <w:rFonts w:eastAsia="宋体"/>
              </w:rPr>
            </w:pPr>
          </w:p>
        </w:tc>
        <w:tc>
          <w:tcPr>
            <w:tcW w:w="1536" w:type="dxa"/>
          </w:tcPr>
          <w:p w14:paraId="17A365B9" w14:textId="77777777" w:rsidR="00A47A4E" w:rsidRPr="002B55E9" w:rsidRDefault="00A47A4E" w:rsidP="00A47A4E">
            <w:pPr>
              <w:pStyle w:val="lgy-"/>
              <w:rPr>
                <w:rFonts w:eastAsia="宋体"/>
              </w:rPr>
            </w:pPr>
            <w:r w:rsidRPr="002B55E9">
              <w:rPr>
                <w:rFonts w:eastAsia="宋体"/>
              </w:rPr>
              <w:t>硫酸</w:t>
            </w:r>
          </w:p>
        </w:tc>
        <w:tc>
          <w:tcPr>
            <w:tcW w:w="2278" w:type="dxa"/>
          </w:tcPr>
          <w:p w14:paraId="72823522" w14:textId="18A25821" w:rsidR="00A47A4E" w:rsidRPr="002B55E9" w:rsidRDefault="00A47A4E" w:rsidP="00A47A4E">
            <w:pPr>
              <w:pStyle w:val="lgy-"/>
              <w:rPr>
                <w:rFonts w:eastAsia="宋体"/>
              </w:rPr>
            </w:pPr>
            <w:r w:rsidRPr="002B55E9">
              <w:rPr>
                <w:rFonts w:eastAsia="宋体"/>
              </w:rPr>
              <w:t>2.23E-04</w:t>
            </w:r>
          </w:p>
        </w:tc>
        <w:tc>
          <w:tcPr>
            <w:tcW w:w="1216" w:type="dxa"/>
          </w:tcPr>
          <w:p w14:paraId="083D4BC5" w14:textId="6C3D8FD4" w:rsidR="00A47A4E" w:rsidRPr="002B55E9" w:rsidRDefault="00A47A4E" w:rsidP="00A47A4E">
            <w:pPr>
              <w:pStyle w:val="lgy-"/>
              <w:rPr>
                <w:rFonts w:eastAsia="宋体"/>
              </w:rPr>
            </w:pPr>
            <w:r w:rsidRPr="002B55E9">
              <w:rPr>
                <w:rFonts w:eastAsia="宋体"/>
              </w:rPr>
              <w:t>2.21E-04</w:t>
            </w:r>
          </w:p>
        </w:tc>
      </w:tr>
      <w:tr w:rsidR="002B55E9" w:rsidRPr="002B55E9" w14:paraId="644267C2" w14:textId="77777777" w:rsidTr="00A47A4E">
        <w:trPr>
          <w:trHeight w:val="283"/>
        </w:trPr>
        <w:tc>
          <w:tcPr>
            <w:tcW w:w="1115" w:type="dxa"/>
            <w:vMerge/>
          </w:tcPr>
          <w:p w14:paraId="6D76775A" w14:textId="77777777" w:rsidR="00A47A4E" w:rsidRPr="002B55E9" w:rsidRDefault="00A47A4E" w:rsidP="00A47A4E">
            <w:pPr>
              <w:pStyle w:val="lgy-"/>
              <w:rPr>
                <w:rFonts w:eastAsia="宋体"/>
              </w:rPr>
            </w:pPr>
          </w:p>
        </w:tc>
        <w:tc>
          <w:tcPr>
            <w:tcW w:w="1720" w:type="dxa"/>
            <w:vMerge/>
          </w:tcPr>
          <w:p w14:paraId="74CDAFF4" w14:textId="77777777" w:rsidR="00A47A4E" w:rsidRPr="002B55E9" w:rsidRDefault="00A47A4E" w:rsidP="00A47A4E">
            <w:pPr>
              <w:pStyle w:val="lgy-"/>
              <w:rPr>
                <w:rFonts w:eastAsia="宋体"/>
              </w:rPr>
            </w:pPr>
          </w:p>
        </w:tc>
        <w:tc>
          <w:tcPr>
            <w:tcW w:w="854" w:type="dxa"/>
            <w:vMerge/>
          </w:tcPr>
          <w:p w14:paraId="11E41203" w14:textId="77777777" w:rsidR="00A47A4E" w:rsidRPr="002B55E9" w:rsidRDefault="00A47A4E" w:rsidP="00A47A4E">
            <w:pPr>
              <w:pStyle w:val="lgy-"/>
              <w:rPr>
                <w:rFonts w:eastAsia="宋体"/>
              </w:rPr>
            </w:pPr>
          </w:p>
        </w:tc>
        <w:tc>
          <w:tcPr>
            <w:tcW w:w="919" w:type="dxa"/>
            <w:vMerge/>
          </w:tcPr>
          <w:p w14:paraId="7593C5FE" w14:textId="77777777" w:rsidR="00A47A4E" w:rsidRPr="002B55E9" w:rsidRDefault="00A47A4E" w:rsidP="00A47A4E">
            <w:pPr>
              <w:pStyle w:val="lgy-"/>
              <w:rPr>
                <w:rFonts w:eastAsia="宋体"/>
              </w:rPr>
            </w:pPr>
          </w:p>
        </w:tc>
        <w:tc>
          <w:tcPr>
            <w:tcW w:w="1536" w:type="dxa"/>
          </w:tcPr>
          <w:p w14:paraId="411F975C" w14:textId="77777777" w:rsidR="00A47A4E" w:rsidRPr="002B55E9" w:rsidRDefault="00A47A4E" w:rsidP="00A47A4E">
            <w:pPr>
              <w:pStyle w:val="lgy-"/>
              <w:rPr>
                <w:rFonts w:eastAsia="宋体"/>
              </w:rPr>
            </w:pPr>
            <w:r w:rsidRPr="002B55E9">
              <w:rPr>
                <w:rFonts w:eastAsia="宋体"/>
              </w:rPr>
              <w:t>氯化氢</w:t>
            </w:r>
          </w:p>
        </w:tc>
        <w:tc>
          <w:tcPr>
            <w:tcW w:w="2278" w:type="dxa"/>
          </w:tcPr>
          <w:p w14:paraId="73FE8873" w14:textId="3BBEF949" w:rsidR="00A47A4E" w:rsidRPr="002B55E9" w:rsidRDefault="00A47A4E" w:rsidP="00A47A4E">
            <w:pPr>
              <w:pStyle w:val="lgy-"/>
              <w:rPr>
                <w:rFonts w:eastAsia="宋体"/>
              </w:rPr>
            </w:pPr>
            <w:r w:rsidRPr="002B55E9">
              <w:rPr>
                <w:rFonts w:eastAsia="宋体"/>
              </w:rPr>
              <w:t>4.41E-07</w:t>
            </w:r>
          </w:p>
        </w:tc>
        <w:tc>
          <w:tcPr>
            <w:tcW w:w="1216" w:type="dxa"/>
          </w:tcPr>
          <w:p w14:paraId="06C5906D" w14:textId="28C95ADD" w:rsidR="00A47A4E" w:rsidRPr="002B55E9" w:rsidRDefault="00A47A4E" w:rsidP="00A47A4E">
            <w:pPr>
              <w:pStyle w:val="lgy-"/>
              <w:rPr>
                <w:rFonts w:eastAsia="宋体"/>
              </w:rPr>
            </w:pPr>
            <w:r w:rsidRPr="002B55E9">
              <w:rPr>
                <w:rFonts w:eastAsia="宋体"/>
              </w:rPr>
              <w:t>4.37E-07</w:t>
            </w:r>
          </w:p>
        </w:tc>
      </w:tr>
      <w:tr w:rsidR="002B55E9" w:rsidRPr="002B55E9" w14:paraId="65F411F3" w14:textId="77777777" w:rsidTr="00A47A4E">
        <w:trPr>
          <w:trHeight w:val="283"/>
        </w:trPr>
        <w:tc>
          <w:tcPr>
            <w:tcW w:w="1115" w:type="dxa"/>
          </w:tcPr>
          <w:p w14:paraId="62936639" w14:textId="77777777" w:rsidR="00D170E5" w:rsidRPr="002B55E9" w:rsidRDefault="00EF27AD" w:rsidP="00A47A4E">
            <w:pPr>
              <w:pStyle w:val="lgy-"/>
              <w:rPr>
                <w:rFonts w:eastAsia="宋体"/>
              </w:rPr>
            </w:pPr>
            <w:r w:rsidRPr="002B55E9">
              <w:rPr>
                <w:rFonts w:eastAsia="宋体"/>
              </w:rPr>
              <w:t>罐区三</w:t>
            </w:r>
          </w:p>
        </w:tc>
        <w:tc>
          <w:tcPr>
            <w:tcW w:w="1720" w:type="dxa"/>
          </w:tcPr>
          <w:p w14:paraId="4BC5965D" w14:textId="77777777" w:rsidR="00D170E5" w:rsidRPr="002B55E9" w:rsidRDefault="00EF27AD" w:rsidP="00A47A4E">
            <w:pPr>
              <w:pStyle w:val="lgy-"/>
              <w:rPr>
                <w:rFonts w:eastAsia="宋体"/>
              </w:rPr>
            </w:pPr>
            <w:r w:rsidRPr="002B55E9">
              <w:rPr>
                <w:rFonts w:eastAsia="宋体"/>
              </w:rPr>
              <w:t>储罐损失</w:t>
            </w:r>
          </w:p>
        </w:tc>
        <w:tc>
          <w:tcPr>
            <w:tcW w:w="854" w:type="dxa"/>
          </w:tcPr>
          <w:p w14:paraId="762638B6" w14:textId="77777777" w:rsidR="00D170E5" w:rsidRPr="002B55E9" w:rsidRDefault="00EF27AD" w:rsidP="00A47A4E">
            <w:pPr>
              <w:pStyle w:val="lgy-"/>
              <w:rPr>
                <w:rFonts w:eastAsia="宋体"/>
              </w:rPr>
            </w:pPr>
            <w:r w:rsidRPr="002B55E9">
              <w:rPr>
                <w:rFonts w:eastAsia="宋体"/>
              </w:rPr>
              <w:t>63</w:t>
            </w:r>
          </w:p>
        </w:tc>
        <w:tc>
          <w:tcPr>
            <w:tcW w:w="919" w:type="dxa"/>
          </w:tcPr>
          <w:p w14:paraId="335A9089" w14:textId="77777777" w:rsidR="00D170E5" w:rsidRPr="002B55E9" w:rsidRDefault="00EF27AD" w:rsidP="00A47A4E">
            <w:pPr>
              <w:pStyle w:val="lgy-"/>
              <w:rPr>
                <w:rFonts w:eastAsia="宋体"/>
              </w:rPr>
            </w:pPr>
            <w:r w:rsidRPr="002B55E9">
              <w:rPr>
                <w:rFonts w:eastAsia="宋体"/>
              </w:rPr>
              <w:t>33</w:t>
            </w:r>
          </w:p>
        </w:tc>
        <w:tc>
          <w:tcPr>
            <w:tcW w:w="1536" w:type="dxa"/>
          </w:tcPr>
          <w:p w14:paraId="34679955" w14:textId="7E9E1D0E" w:rsidR="00D170E5" w:rsidRPr="002B55E9" w:rsidRDefault="00924AFA" w:rsidP="00A47A4E">
            <w:pPr>
              <w:pStyle w:val="lgy-"/>
              <w:rPr>
                <w:rFonts w:eastAsia="宋体"/>
              </w:rPr>
            </w:pPr>
            <w:r w:rsidRPr="002B55E9">
              <w:rPr>
                <w:rFonts w:eastAsia="宋体"/>
              </w:rPr>
              <w:t>非甲烷总烃</w:t>
            </w:r>
          </w:p>
        </w:tc>
        <w:tc>
          <w:tcPr>
            <w:tcW w:w="2278" w:type="dxa"/>
          </w:tcPr>
          <w:p w14:paraId="05722940" w14:textId="77777777" w:rsidR="00D170E5" w:rsidRPr="002B55E9" w:rsidRDefault="00EF27AD" w:rsidP="00A47A4E">
            <w:pPr>
              <w:pStyle w:val="lgy-"/>
              <w:rPr>
                <w:rFonts w:eastAsia="宋体"/>
              </w:rPr>
            </w:pPr>
            <w:r w:rsidRPr="002B55E9">
              <w:rPr>
                <w:rFonts w:eastAsia="宋体"/>
              </w:rPr>
              <w:t>0.058</w:t>
            </w:r>
          </w:p>
        </w:tc>
        <w:tc>
          <w:tcPr>
            <w:tcW w:w="1216" w:type="dxa"/>
          </w:tcPr>
          <w:p w14:paraId="07A527C9" w14:textId="77777777" w:rsidR="00D170E5" w:rsidRPr="002B55E9" w:rsidRDefault="00EF27AD" w:rsidP="00A47A4E">
            <w:pPr>
              <w:pStyle w:val="lgy-"/>
              <w:rPr>
                <w:rFonts w:eastAsia="宋体"/>
              </w:rPr>
            </w:pPr>
            <w:r w:rsidRPr="002B55E9">
              <w:rPr>
                <w:rFonts w:eastAsia="宋体" w:hint="eastAsia"/>
              </w:rPr>
              <w:t>0</w:t>
            </w:r>
            <w:r w:rsidRPr="002B55E9">
              <w:rPr>
                <w:rFonts w:eastAsia="宋体"/>
              </w:rPr>
              <w:t>.508</w:t>
            </w:r>
          </w:p>
        </w:tc>
      </w:tr>
      <w:tr w:rsidR="002B55E9" w:rsidRPr="002B55E9" w14:paraId="55DED1FE" w14:textId="77777777" w:rsidTr="00A47A4E">
        <w:trPr>
          <w:trHeight w:val="283"/>
        </w:trPr>
        <w:tc>
          <w:tcPr>
            <w:tcW w:w="1115" w:type="dxa"/>
          </w:tcPr>
          <w:p w14:paraId="5F617F80" w14:textId="77777777" w:rsidR="00D170E5" w:rsidRPr="002B55E9" w:rsidRDefault="00EF27AD" w:rsidP="00A47A4E">
            <w:pPr>
              <w:pStyle w:val="lgy-"/>
              <w:rPr>
                <w:rFonts w:eastAsia="宋体"/>
              </w:rPr>
            </w:pPr>
            <w:r w:rsidRPr="002B55E9">
              <w:rPr>
                <w:rFonts w:eastAsia="宋体"/>
              </w:rPr>
              <w:t>酒精罐区</w:t>
            </w:r>
          </w:p>
        </w:tc>
        <w:tc>
          <w:tcPr>
            <w:tcW w:w="1720" w:type="dxa"/>
          </w:tcPr>
          <w:p w14:paraId="3A6544BE" w14:textId="77777777" w:rsidR="00D170E5" w:rsidRPr="002B55E9" w:rsidRDefault="00EF27AD" w:rsidP="00A47A4E">
            <w:pPr>
              <w:pStyle w:val="lgy-"/>
              <w:rPr>
                <w:rFonts w:eastAsia="宋体"/>
              </w:rPr>
            </w:pPr>
            <w:r w:rsidRPr="002B55E9">
              <w:rPr>
                <w:rFonts w:eastAsia="宋体"/>
              </w:rPr>
              <w:t>储罐损失</w:t>
            </w:r>
          </w:p>
        </w:tc>
        <w:tc>
          <w:tcPr>
            <w:tcW w:w="854" w:type="dxa"/>
          </w:tcPr>
          <w:p w14:paraId="5A0AEE6F" w14:textId="77777777" w:rsidR="00D170E5" w:rsidRPr="002B55E9" w:rsidRDefault="00EF27AD" w:rsidP="00A47A4E">
            <w:pPr>
              <w:pStyle w:val="lgy-"/>
              <w:rPr>
                <w:rFonts w:eastAsia="宋体"/>
              </w:rPr>
            </w:pPr>
            <w:r w:rsidRPr="002B55E9">
              <w:rPr>
                <w:rFonts w:eastAsia="宋体"/>
              </w:rPr>
              <w:t>26.7</w:t>
            </w:r>
          </w:p>
        </w:tc>
        <w:tc>
          <w:tcPr>
            <w:tcW w:w="919" w:type="dxa"/>
          </w:tcPr>
          <w:p w14:paraId="706A081D" w14:textId="77777777" w:rsidR="00D170E5" w:rsidRPr="002B55E9" w:rsidRDefault="00EF27AD" w:rsidP="00A47A4E">
            <w:pPr>
              <w:pStyle w:val="lgy-"/>
              <w:rPr>
                <w:rFonts w:eastAsia="宋体"/>
              </w:rPr>
            </w:pPr>
            <w:r w:rsidRPr="002B55E9">
              <w:rPr>
                <w:rFonts w:eastAsia="宋体"/>
              </w:rPr>
              <w:t>26.7</w:t>
            </w:r>
          </w:p>
        </w:tc>
        <w:tc>
          <w:tcPr>
            <w:tcW w:w="1536" w:type="dxa"/>
          </w:tcPr>
          <w:p w14:paraId="2EC6410A" w14:textId="567F9B98" w:rsidR="00D170E5" w:rsidRPr="002B55E9" w:rsidRDefault="00924AFA" w:rsidP="00A47A4E">
            <w:pPr>
              <w:pStyle w:val="lgy-"/>
              <w:rPr>
                <w:rFonts w:eastAsia="宋体"/>
              </w:rPr>
            </w:pPr>
            <w:r w:rsidRPr="002B55E9">
              <w:rPr>
                <w:rFonts w:eastAsia="宋体"/>
              </w:rPr>
              <w:t>非甲烷总烃</w:t>
            </w:r>
          </w:p>
        </w:tc>
        <w:tc>
          <w:tcPr>
            <w:tcW w:w="2278" w:type="dxa"/>
          </w:tcPr>
          <w:p w14:paraId="06B9E3E5" w14:textId="77777777" w:rsidR="00D170E5" w:rsidRPr="002B55E9" w:rsidRDefault="00EF27AD" w:rsidP="00A47A4E">
            <w:pPr>
              <w:pStyle w:val="lgy-"/>
              <w:rPr>
                <w:rFonts w:eastAsia="宋体"/>
              </w:rPr>
            </w:pPr>
            <w:r w:rsidRPr="002B55E9">
              <w:rPr>
                <w:rFonts w:eastAsia="宋体"/>
              </w:rPr>
              <w:t>0.049</w:t>
            </w:r>
          </w:p>
        </w:tc>
        <w:tc>
          <w:tcPr>
            <w:tcW w:w="1216" w:type="dxa"/>
          </w:tcPr>
          <w:p w14:paraId="246871B4" w14:textId="77777777" w:rsidR="00D170E5" w:rsidRPr="002B55E9" w:rsidRDefault="00EF27AD" w:rsidP="00A47A4E">
            <w:pPr>
              <w:pStyle w:val="lgy-"/>
              <w:rPr>
                <w:rFonts w:eastAsia="宋体"/>
              </w:rPr>
            </w:pPr>
            <w:r w:rsidRPr="002B55E9">
              <w:rPr>
                <w:rFonts w:eastAsia="宋体"/>
              </w:rPr>
              <w:t xml:space="preserve">0.390 </w:t>
            </w:r>
          </w:p>
        </w:tc>
      </w:tr>
      <w:tr w:rsidR="002B55E9" w:rsidRPr="002B55E9" w14:paraId="00F803F2" w14:textId="77777777" w:rsidTr="00A47A4E">
        <w:trPr>
          <w:trHeight w:val="283"/>
        </w:trPr>
        <w:tc>
          <w:tcPr>
            <w:tcW w:w="1115" w:type="dxa"/>
          </w:tcPr>
          <w:p w14:paraId="602AE1AD" w14:textId="77777777" w:rsidR="00D170E5" w:rsidRPr="002B55E9" w:rsidRDefault="00EF27AD" w:rsidP="00A47A4E">
            <w:pPr>
              <w:pStyle w:val="lgy-"/>
              <w:rPr>
                <w:rFonts w:eastAsia="宋体"/>
              </w:rPr>
            </w:pPr>
            <w:r w:rsidRPr="002B55E9">
              <w:rPr>
                <w:rFonts w:eastAsia="宋体" w:hint="eastAsia"/>
              </w:rPr>
              <w:t>设备管线</w:t>
            </w:r>
          </w:p>
        </w:tc>
        <w:tc>
          <w:tcPr>
            <w:tcW w:w="1720" w:type="dxa"/>
          </w:tcPr>
          <w:p w14:paraId="682092F8" w14:textId="77777777" w:rsidR="00D170E5" w:rsidRPr="002B55E9" w:rsidRDefault="00EF27AD" w:rsidP="00A47A4E">
            <w:pPr>
              <w:pStyle w:val="lgy-"/>
              <w:rPr>
                <w:rFonts w:eastAsia="宋体"/>
              </w:rPr>
            </w:pPr>
            <w:r w:rsidRPr="002B55E9">
              <w:rPr>
                <w:rFonts w:eastAsia="宋体" w:hint="eastAsia"/>
              </w:rPr>
              <w:t>动静密封点</w:t>
            </w:r>
          </w:p>
        </w:tc>
        <w:tc>
          <w:tcPr>
            <w:tcW w:w="854" w:type="dxa"/>
          </w:tcPr>
          <w:p w14:paraId="44B32E3A" w14:textId="77777777" w:rsidR="00D170E5" w:rsidRPr="002B55E9" w:rsidRDefault="00EF27AD" w:rsidP="00A47A4E">
            <w:pPr>
              <w:pStyle w:val="lgy-"/>
              <w:rPr>
                <w:rFonts w:eastAsia="宋体"/>
              </w:rPr>
            </w:pPr>
            <w:r w:rsidRPr="002B55E9">
              <w:rPr>
                <w:rFonts w:eastAsia="宋体" w:hint="eastAsia"/>
              </w:rPr>
              <w:t>/</w:t>
            </w:r>
          </w:p>
        </w:tc>
        <w:tc>
          <w:tcPr>
            <w:tcW w:w="919" w:type="dxa"/>
          </w:tcPr>
          <w:p w14:paraId="290143C2" w14:textId="77777777" w:rsidR="00D170E5" w:rsidRPr="002B55E9" w:rsidRDefault="00EF27AD" w:rsidP="00A47A4E">
            <w:pPr>
              <w:pStyle w:val="lgy-"/>
              <w:rPr>
                <w:rFonts w:eastAsia="宋体"/>
              </w:rPr>
            </w:pPr>
            <w:r w:rsidRPr="002B55E9">
              <w:rPr>
                <w:rFonts w:eastAsia="宋体" w:hint="eastAsia"/>
              </w:rPr>
              <w:t>/</w:t>
            </w:r>
          </w:p>
        </w:tc>
        <w:tc>
          <w:tcPr>
            <w:tcW w:w="1536" w:type="dxa"/>
          </w:tcPr>
          <w:p w14:paraId="30913767" w14:textId="0E379DF8" w:rsidR="00D170E5" w:rsidRPr="002B55E9" w:rsidRDefault="00924AFA" w:rsidP="00A47A4E">
            <w:pPr>
              <w:pStyle w:val="lgy-"/>
              <w:rPr>
                <w:rFonts w:eastAsia="宋体"/>
              </w:rPr>
            </w:pPr>
            <w:r w:rsidRPr="002B55E9">
              <w:rPr>
                <w:rFonts w:eastAsia="宋体"/>
              </w:rPr>
              <w:t>非甲烷总烃</w:t>
            </w:r>
          </w:p>
        </w:tc>
        <w:tc>
          <w:tcPr>
            <w:tcW w:w="2278" w:type="dxa"/>
          </w:tcPr>
          <w:p w14:paraId="4E0740A9" w14:textId="77777777" w:rsidR="00D170E5" w:rsidRPr="002B55E9" w:rsidRDefault="00EF27AD" w:rsidP="00A47A4E">
            <w:pPr>
              <w:pStyle w:val="lgy-"/>
              <w:rPr>
                <w:rFonts w:eastAsia="宋体"/>
              </w:rPr>
            </w:pPr>
            <w:r w:rsidRPr="002B55E9">
              <w:rPr>
                <w:rFonts w:eastAsia="宋体" w:hint="eastAsia"/>
              </w:rPr>
              <w:t>0</w:t>
            </w:r>
            <w:r w:rsidRPr="002B55E9">
              <w:rPr>
                <w:rFonts w:eastAsia="宋体"/>
              </w:rPr>
              <w:t>.057</w:t>
            </w:r>
          </w:p>
        </w:tc>
        <w:tc>
          <w:tcPr>
            <w:tcW w:w="1216" w:type="dxa"/>
          </w:tcPr>
          <w:p w14:paraId="07486FDC" w14:textId="77777777" w:rsidR="00D170E5" w:rsidRPr="002B55E9" w:rsidRDefault="00EF27AD" w:rsidP="00A47A4E">
            <w:pPr>
              <w:pStyle w:val="lgy-"/>
              <w:rPr>
                <w:rFonts w:eastAsia="宋体"/>
              </w:rPr>
            </w:pPr>
            <w:r w:rsidRPr="002B55E9">
              <w:rPr>
                <w:rFonts w:eastAsia="宋体" w:hint="eastAsia"/>
              </w:rPr>
              <w:t>0</w:t>
            </w:r>
            <w:r w:rsidRPr="002B55E9">
              <w:rPr>
                <w:rFonts w:eastAsia="宋体"/>
              </w:rPr>
              <w:t>.450</w:t>
            </w:r>
          </w:p>
        </w:tc>
      </w:tr>
    </w:tbl>
    <w:p w14:paraId="45BC1728" w14:textId="77777777" w:rsidR="00D170E5" w:rsidRPr="002B55E9" w:rsidRDefault="00EF27AD" w:rsidP="00EF27AD">
      <w:pPr>
        <w:pStyle w:val="4"/>
        <w:widowControl/>
        <w:rPr>
          <w:color w:val="auto"/>
        </w:rPr>
      </w:pPr>
      <w:r w:rsidRPr="002B55E9">
        <w:rPr>
          <w:rFonts w:hint="eastAsia"/>
          <w:color w:val="auto"/>
        </w:rPr>
        <w:t>废水</w:t>
      </w:r>
    </w:p>
    <w:p w14:paraId="5BD134DE" w14:textId="77777777" w:rsidR="00D170E5" w:rsidRPr="002B55E9" w:rsidRDefault="00EF27AD">
      <w:pPr>
        <w:pStyle w:val="5"/>
      </w:pPr>
      <w:r w:rsidRPr="002B55E9">
        <w:rPr>
          <w:rFonts w:hint="eastAsia"/>
        </w:rPr>
        <w:t>废水水质</w:t>
      </w:r>
    </w:p>
    <w:p w14:paraId="427EC320" w14:textId="5D2411FE" w:rsidR="00AC0B37" w:rsidRPr="002B55E9" w:rsidRDefault="00EF27AD">
      <w:pPr>
        <w:pStyle w:val="affff7"/>
        <w:snapToGrid w:val="0"/>
        <w:spacing w:after="0"/>
        <w:rPr>
          <w:szCs w:val="24"/>
        </w:rPr>
      </w:pPr>
      <w:r w:rsidRPr="002B55E9">
        <w:rPr>
          <w:szCs w:val="24"/>
        </w:rPr>
        <w:t>由</w:t>
      </w:r>
      <w:r w:rsidRPr="002B55E9">
        <w:rPr>
          <w:rFonts w:hint="eastAsia"/>
          <w:szCs w:val="24"/>
        </w:rPr>
        <w:t>工程</w:t>
      </w:r>
      <w:r w:rsidRPr="002B55E9">
        <w:rPr>
          <w:szCs w:val="24"/>
        </w:rPr>
        <w:t>分析可知，</w:t>
      </w:r>
      <w:r w:rsidRPr="002B55E9">
        <w:rPr>
          <w:rFonts w:hint="eastAsia"/>
          <w:szCs w:val="24"/>
        </w:rPr>
        <w:t>本项目废水主要为生活</w:t>
      </w:r>
      <w:r w:rsidRPr="002B55E9">
        <w:rPr>
          <w:szCs w:val="24"/>
        </w:rPr>
        <w:t>、</w:t>
      </w:r>
      <w:r w:rsidRPr="002B55E9">
        <w:rPr>
          <w:rFonts w:hint="eastAsia"/>
          <w:szCs w:val="24"/>
        </w:rPr>
        <w:t>生产废水和蒸汽冷凝水等，根据物料平衡和水平衡，同时类比同类型项目生产过程中的废水水质。其中</w:t>
      </w:r>
      <w:r w:rsidR="00AC0B37" w:rsidRPr="002B55E9">
        <w:rPr>
          <w:rFonts w:hint="eastAsia"/>
          <w:szCs w:val="24"/>
        </w:rPr>
        <w:t>喷淋塔废水水质主要通过物料衡算核算确定，确定方法如下</w:t>
      </w:r>
      <w:r w:rsidR="00AC0B37" w:rsidRPr="002B55E9">
        <w:rPr>
          <w:szCs w:val="24"/>
        </w:rPr>
        <w:t>COD</w:t>
      </w:r>
      <w:r w:rsidR="00AC0B37" w:rsidRPr="002B55E9">
        <w:rPr>
          <w:rFonts w:hint="eastAsia"/>
          <w:szCs w:val="24"/>
        </w:rPr>
        <w:t>：按物质完全氧化计算，如</w:t>
      </w:r>
      <w:r w:rsidR="00AC0B37" w:rsidRPr="002B55E9">
        <w:rPr>
          <w:szCs w:val="24"/>
        </w:rPr>
        <w:t>C→CO</w:t>
      </w:r>
      <w:r w:rsidR="00AC0B37" w:rsidRPr="002B55E9">
        <w:rPr>
          <w:szCs w:val="24"/>
          <w:vertAlign w:val="subscript"/>
        </w:rPr>
        <w:t>2</w:t>
      </w:r>
      <w:r w:rsidR="00AC0B37" w:rsidRPr="002B55E9">
        <w:rPr>
          <w:rFonts w:hint="eastAsia"/>
          <w:szCs w:val="24"/>
        </w:rPr>
        <w:t>，</w:t>
      </w:r>
      <w:r w:rsidR="00AC0B37" w:rsidRPr="002B55E9">
        <w:rPr>
          <w:szCs w:val="24"/>
        </w:rPr>
        <w:t>H→H</w:t>
      </w:r>
      <w:r w:rsidR="00AC0B37" w:rsidRPr="002B55E9">
        <w:rPr>
          <w:szCs w:val="24"/>
          <w:vertAlign w:val="subscript"/>
        </w:rPr>
        <w:t>2</w:t>
      </w:r>
      <w:r w:rsidR="00AC0B37" w:rsidRPr="002B55E9">
        <w:rPr>
          <w:szCs w:val="24"/>
        </w:rPr>
        <w:t>O</w:t>
      </w:r>
      <w:r w:rsidR="00AC0B37" w:rsidRPr="002B55E9">
        <w:rPr>
          <w:rFonts w:hint="eastAsia"/>
          <w:szCs w:val="24"/>
        </w:rPr>
        <w:t>等，写出完全反应方程式，并按该方程式进行计算，以</w:t>
      </w:r>
      <w:r w:rsidR="00AC0B37" w:rsidRPr="002B55E9">
        <w:rPr>
          <w:szCs w:val="24"/>
        </w:rPr>
        <w:t>gO</w:t>
      </w:r>
      <w:r w:rsidR="00AC0B37" w:rsidRPr="002B55E9">
        <w:rPr>
          <w:szCs w:val="24"/>
          <w:vertAlign w:val="subscript"/>
        </w:rPr>
        <w:t>2</w:t>
      </w:r>
      <w:r w:rsidR="00AC0B37" w:rsidRPr="002B55E9">
        <w:rPr>
          <w:szCs w:val="24"/>
        </w:rPr>
        <w:t>/g</w:t>
      </w:r>
      <w:r w:rsidR="00AC0B37" w:rsidRPr="002B55E9">
        <w:rPr>
          <w:rFonts w:hint="eastAsia"/>
          <w:szCs w:val="24"/>
        </w:rPr>
        <w:t>（克氧</w:t>
      </w:r>
      <w:r w:rsidR="00AC0B37" w:rsidRPr="002B55E9">
        <w:rPr>
          <w:szCs w:val="24"/>
        </w:rPr>
        <w:t>/</w:t>
      </w:r>
      <w:r w:rsidR="00AC0B37" w:rsidRPr="002B55E9">
        <w:rPr>
          <w:rFonts w:hint="eastAsia"/>
          <w:szCs w:val="24"/>
        </w:rPr>
        <w:t>克）为单位，该单位表示分解一克物质所需的氧量，计算出</w:t>
      </w:r>
      <w:r w:rsidR="00AC0B37" w:rsidRPr="002B55E9">
        <w:rPr>
          <w:szCs w:val="24"/>
        </w:rPr>
        <w:t>COD</w:t>
      </w:r>
      <w:r w:rsidR="00AC0B37" w:rsidRPr="002B55E9">
        <w:rPr>
          <w:rFonts w:hint="eastAsia"/>
          <w:szCs w:val="24"/>
        </w:rPr>
        <w:t>值；</w:t>
      </w:r>
      <w:r w:rsidR="00AC0B37" w:rsidRPr="002B55E9">
        <w:rPr>
          <w:szCs w:val="24"/>
        </w:rPr>
        <w:t>BOD</w:t>
      </w:r>
      <w:r w:rsidR="00AC0B37" w:rsidRPr="002B55E9">
        <w:rPr>
          <w:szCs w:val="24"/>
          <w:vertAlign w:val="subscript"/>
        </w:rPr>
        <w:t>5</w:t>
      </w:r>
      <w:r w:rsidR="00AC0B37" w:rsidRPr="002B55E9">
        <w:rPr>
          <w:rFonts w:hint="eastAsia"/>
          <w:szCs w:val="24"/>
        </w:rPr>
        <w:t>：根据</w:t>
      </w:r>
      <w:r w:rsidR="00AC0B37" w:rsidRPr="002B55E9">
        <w:rPr>
          <w:szCs w:val="24"/>
        </w:rPr>
        <w:t>BOD</w:t>
      </w:r>
      <w:r w:rsidR="00AC0B37" w:rsidRPr="002B55E9">
        <w:rPr>
          <w:szCs w:val="24"/>
          <w:vertAlign w:val="subscript"/>
        </w:rPr>
        <w:t>5</w:t>
      </w:r>
      <w:r w:rsidR="00AC0B37" w:rsidRPr="002B55E9">
        <w:rPr>
          <w:rFonts w:hint="eastAsia"/>
          <w:szCs w:val="24"/>
        </w:rPr>
        <w:t>与</w:t>
      </w:r>
      <w:r w:rsidR="00AC0B37" w:rsidRPr="002B55E9">
        <w:rPr>
          <w:szCs w:val="24"/>
        </w:rPr>
        <w:t>COD</w:t>
      </w:r>
      <w:r w:rsidR="00AC0B37" w:rsidRPr="002B55E9">
        <w:rPr>
          <w:rFonts w:hint="eastAsia"/>
          <w:szCs w:val="24"/>
        </w:rPr>
        <w:t>的比例关系，计算</w:t>
      </w:r>
      <w:r w:rsidR="00AC0B37" w:rsidRPr="002B55E9">
        <w:rPr>
          <w:szCs w:val="24"/>
        </w:rPr>
        <w:t>BOD</w:t>
      </w:r>
      <w:r w:rsidR="00AC0B37" w:rsidRPr="002B55E9">
        <w:rPr>
          <w:szCs w:val="24"/>
          <w:vertAlign w:val="subscript"/>
        </w:rPr>
        <w:t>5</w:t>
      </w:r>
      <w:r w:rsidR="00AC0B37" w:rsidRPr="002B55E9">
        <w:rPr>
          <w:rFonts w:hint="eastAsia"/>
          <w:szCs w:val="24"/>
        </w:rPr>
        <w:t>值。根据以上计算方法，结合乙醇、乙酸平衡情况，确定项目喷淋废水原水水质。</w:t>
      </w:r>
      <w:r w:rsidR="007A7D32" w:rsidRPr="002B55E9">
        <w:rPr>
          <w:rFonts w:hint="eastAsia"/>
          <w:szCs w:val="24"/>
        </w:rPr>
        <w:t>喷淋</w:t>
      </w:r>
      <w:r w:rsidR="007A7D32" w:rsidRPr="002B55E9">
        <w:rPr>
          <w:szCs w:val="24"/>
        </w:rPr>
        <w:t>废水</w:t>
      </w:r>
      <w:r w:rsidR="007A7D32" w:rsidRPr="002B55E9">
        <w:rPr>
          <w:rFonts w:hint="eastAsia"/>
          <w:szCs w:val="24"/>
        </w:rPr>
        <w:t>主要</w:t>
      </w:r>
      <w:r w:rsidR="007A7D32" w:rsidRPr="002B55E9">
        <w:rPr>
          <w:szCs w:val="24"/>
        </w:rPr>
        <w:t>成分为</w:t>
      </w:r>
      <w:r w:rsidR="007A7D32" w:rsidRPr="002B55E9">
        <w:rPr>
          <w:rFonts w:hint="eastAsia"/>
          <w:szCs w:val="24"/>
        </w:rPr>
        <w:t>废气</w:t>
      </w:r>
      <w:r w:rsidR="007A7D32" w:rsidRPr="002B55E9">
        <w:rPr>
          <w:szCs w:val="24"/>
        </w:rPr>
        <w:t>处理过程中吸附的乙醇、乙酸以及生成</w:t>
      </w:r>
      <w:r w:rsidR="007A7D32" w:rsidRPr="002B55E9">
        <w:rPr>
          <w:rFonts w:hint="eastAsia"/>
          <w:szCs w:val="24"/>
        </w:rPr>
        <w:t>的</w:t>
      </w:r>
      <w:r w:rsidR="007A7D32" w:rsidRPr="002B55E9">
        <w:rPr>
          <w:szCs w:val="24"/>
        </w:rPr>
        <w:t>乙酸钠</w:t>
      </w:r>
      <w:r w:rsidR="007A7D32" w:rsidRPr="002B55E9">
        <w:rPr>
          <w:rFonts w:hint="eastAsia"/>
          <w:szCs w:val="24"/>
        </w:rPr>
        <w:t>、投入</w:t>
      </w:r>
      <w:r w:rsidR="007A7D32" w:rsidRPr="002B55E9">
        <w:rPr>
          <w:szCs w:val="24"/>
        </w:rPr>
        <w:t>的氢氧化钠等，</w:t>
      </w:r>
      <w:r w:rsidR="007A7D32" w:rsidRPr="002B55E9">
        <w:rPr>
          <w:rFonts w:hint="eastAsia"/>
          <w:szCs w:val="24"/>
        </w:rPr>
        <w:t>废水</w:t>
      </w:r>
      <w:r w:rsidR="007A7D32" w:rsidRPr="002B55E9">
        <w:rPr>
          <w:szCs w:val="24"/>
        </w:rPr>
        <w:t>成分简单，</w:t>
      </w:r>
      <w:r w:rsidR="007A7D32" w:rsidRPr="002B55E9">
        <w:rPr>
          <w:rFonts w:hint="eastAsia"/>
          <w:szCs w:val="24"/>
        </w:rPr>
        <w:t>可直接</w:t>
      </w:r>
      <w:r w:rsidR="007A7D32" w:rsidRPr="002B55E9">
        <w:rPr>
          <w:szCs w:val="24"/>
        </w:rPr>
        <w:t>排入污水处理站进行处理。</w:t>
      </w:r>
    </w:p>
    <w:p w14:paraId="569ADD60" w14:textId="7467AB71" w:rsidR="00AC0B37" w:rsidRPr="002B55E9" w:rsidRDefault="004E2351" w:rsidP="004E2351">
      <w:pPr>
        <w:pStyle w:val="affff7"/>
        <w:snapToGrid w:val="0"/>
        <w:spacing w:after="0" w:line="240" w:lineRule="auto"/>
        <w:ind w:firstLineChars="0" w:firstLine="0"/>
        <w:jc w:val="center"/>
        <w:rPr>
          <w:rFonts w:ascii="黑体" w:eastAsia="黑体" w:hAnsi="黑体"/>
          <w:b/>
          <w:bCs w:val="0"/>
          <w:szCs w:val="24"/>
        </w:rPr>
      </w:pPr>
      <w:r w:rsidRPr="002B55E9">
        <w:rPr>
          <w:rFonts w:ascii="黑体" w:eastAsia="黑体" w:hAnsi="黑体" w:hint="eastAsia"/>
          <w:b/>
          <w:bCs w:val="0"/>
        </w:rPr>
        <w:t>表3</w:t>
      </w:r>
      <w:r w:rsidRPr="002B55E9">
        <w:rPr>
          <w:rFonts w:ascii="黑体" w:eastAsia="黑体" w:hAnsi="黑体"/>
          <w:b/>
          <w:bCs w:val="0"/>
        </w:rPr>
        <w:t xml:space="preserve">-3-28  </w:t>
      </w:r>
      <w:r w:rsidRPr="002B55E9">
        <w:rPr>
          <w:rFonts w:ascii="黑体" w:eastAsia="黑体" w:hAnsi="黑体" w:hint="eastAsia"/>
          <w:b/>
          <w:bCs w:val="0"/>
        </w:rPr>
        <w:t>拟建项目喷淋废水水质确定一览表</w:t>
      </w:r>
    </w:p>
    <w:tbl>
      <w:tblPr>
        <w:tblStyle w:val="lgy2"/>
        <w:tblW w:w="5000" w:type="pct"/>
        <w:tblCellMar>
          <w:left w:w="28" w:type="dxa"/>
          <w:right w:w="28" w:type="dxa"/>
        </w:tblCellMar>
        <w:tblLook w:val="04A0" w:firstRow="1" w:lastRow="0" w:firstColumn="1" w:lastColumn="0" w:noHBand="0" w:noVBand="1"/>
      </w:tblPr>
      <w:tblGrid>
        <w:gridCol w:w="1272"/>
        <w:gridCol w:w="1188"/>
        <w:gridCol w:w="1271"/>
        <w:gridCol w:w="1545"/>
        <w:gridCol w:w="1283"/>
        <w:gridCol w:w="1283"/>
        <w:gridCol w:w="712"/>
        <w:gridCol w:w="1140"/>
      </w:tblGrid>
      <w:tr w:rsidR="002B55E9" w:rsidRPr="002B55E9" w14:paraId="0206EB21" w14:textId="77777777" w:rsidTr="00430554">
        <w:trPr>
          <w:cnfStyle w:val="100000000000" w:firstRow="1" w:lastRow="0" w:firstColumn="0" w:lastColumn="0" w:oddVBand="0" w:evenVBand="0" w:oddHBand="0" w:evenHBand="0" w:firstRowFirstColumn="0" w:firstRowLastColumn="0" w:lastRowFirstColumn="0" w:lastRowLastColumn="0"/>
          <w:trHeight w:val="283"/>
        </w:trPr>
        <w:tc>
          <w:tcPr>
            <w:tcW w:w="1264" w:type="dxa"/>
            <w:vMerge w:val="restart"/>
            <w:hideMark/>
          </w:tcPr>
          <w:p w14:paraId="794CA38A" w14:textId="77777777" w:rsidR="004E2351" w:rsidRPr="002B55E9" w:rsidRDefault="004E2351" w:rsidP="00430554">
            <w:pPr>
              <w:pStyle w:val="lgy-"/>
              <w:rPr>
                <w:rFonts w:eastAsia="宋体"/>
              </w:rPr>
            </w:pPr>
            <w:r w:rsidRPr="002B55E9">
              <w:rPr>
                <w:rFonts w:eastAsia="宋体" w:hint="eastAsia"/>
              </w:rPr>
              <w:t>生产线</w:t>
            </w:r>
          </w:p>
        </w:tc>
        <w:tc>
          <w:tcPr>
            <w:tcW w:w="2445" w:type="dxa"/>
            <w:gridSpan w:val="2"/>
            <w:hideMark/>
          </w:tcPr>
          <w:p w14:paraId="0C2AD9BA" w14:textId="6E173722" w:rsidR="004E2351" w:rsidRPr="002B55E9" w:rsidRDefault="004E2351" w:rsidP="00430554">
            <w:pPr>
              <w:pStyle w:val="lgy-"/>
              <w:rPr>
                <w:rFonts w:eastAsia="宋体"/>
              </w:rPr>
            </w:pPr>
            <w:r w:rsidRPr="002B55E9">
              <w:rPr>
                <w:rFonts w:eastAsia="宋体" w:hint="eastAsia"/>
              </w:rPr>
              <w:t>进入废水量（</w:t>
            </w:r>
            <w:r w:rsidRPr="002B55E9">
              <w:rPr>
                <w:rFonts w:eastAsia="宋体" w:hint="eastAsia"/>
              </w:rPr>
              <w:t>t</w:t>
            </w:r>
            <w:r w:rsidRPr="002B55E9">
              <w:rPr>
                <w:rFonts w:eastAsia="宋体"/>
              </w:rPr>
              <w:t>/a</w:t>
            </w:r>
            <w:r w:rsidRPr="002B55E9">
              <w:rPr>
                <w:rFonts w:eastAsia="宋体" w:hint="eastAsia"/>
              </w:rPr>
              <w:t>）</w:t>
            </w:r>
          </w:p>
        </w:tc>
        <w:tc>
          <w:tcPr>
            <w:tcW w:w="2812" w:type="dxa"/>
            <w:gridSpan w:val="2"/>
            <w:noWrap/>
            <w:hideMark/>
          </w:tcPr>
          <w:p w14:paraId="62EF59F5" w14:textId="0025FF09" w:rsidR="004E2351" w:rsidRPr="002B55E9" w:rsidRDefault="004E2351" w:rsidP="00430554">
            <w:pPr>
              <w:pStyle w:val="lgy-"/>
              <w:rPr>
                <w:rFonts w:eastAsia="宋体"/>
                <w:szCs w:val="22"/>
              </w:rPr>
            </w:pPr>
            <w:r w:rsidRPr="002B55E9">
              <w:rPr>
                <w:rFonts w:eastAsia="宋体" w:hint="eastAsia"/>
                <w:szCs w:val="22"/>
              </w:rPr>
              <w:t>耗氧量</w:t>
            </w:r>
            <w:r w:rsidRPr="002B55E9">
              <w:rPr>
                <w:rFonts w:eastAsia="宋体" w:hint="eastAsia"/>
              </w:rPr>
              <w:t>（</w:t>
            </w:r>
            <w:r w:rsidRPr="002B55E9">
              <w:rPr>
                <w:rFonts w:eastAsia="宋体" w:hint="eastAsia"/>
              </w:rPr>
              <w:t>t</w:t>
            </w:r>
            <w:r w:rsidRPr="002B55E9">
              <w:rPr>
                <w:rFonts w:eastAsia="宋体"/>
              </w:rPr>
              <w:t>/a</w:t>
            </w:r>
            <w:r w:rsidRPr="002B55E9">
              <w:rPr>
                <w:rFonts w:eastAsia="宋体" w:hint="eastAsia"/>
              </w:rPr>
              <w:t>）</w:t>
            </w:r>
          </w:p>
        </w:tc>
        <w:tc>
          <w:tcPr>
            <w:tcW w:w="1276" w:type="dxa"/>
            <w:vMerge w:val="restart"/>
            <w:noWrap/>
            <w:hideMark/>
          </w:tcPr>
          <w:p w14:paraId="135AFE59" w14:textId="774E6DDB" w:rsidR="004E2351" w:rsidRPr="002B55E9" w:rsidRDefault="004E2351" w:rsidP="00430554">
            <w:pPr>
              <w:pStyle w:val="lgy-"/>
              <w:rPr>
                <w:rFonts w:eastAsia="宋体"/>
                <w:szCs w:val="22"/>
              </w:rPr>
            </w:pPr>
            <w:r w:rsidRPr="002B55E9">
              <w:rPr>
                <w:rFonts w:eastAsia="宋体" w:hint="eastAsia"/>
                <w:szCs w:val="22"/>
              </w:rPr>
              <w:t>废水量</w:t>
            </w:r>
            <w:r w:rsidRPr="002B55E9">
              <w:rPr>
                <w:rFonts w:eastAsia="宋体" w:hint="eastAsia"/>
              </w:rPr>
              <w:t>（</w:t>
            </w:r>
            <w:r w:rsidRPr="002B55E9">
              <w:rPr>
                <w:rFonts w:eastAsia="宋体"/>
              </w:rPr>
              <w:t>m</w:t>
            </w:r>
            <w:r w:rsidRPr="002B55E9">
              <w:rPr>
                <w:rFonts w:eastAsia="宋体"/>
                <w:vertAlign w:val="superscript"/>
              </w:rPr>
              <w:t>3</w:t>
            </w:r>
            <w:r w:rsidRPr="002B55E9">
              <w:rPr>
                <w:rFonts w:eastAsia="宋体"/>
              </w:rPr>
              <w:t>/a</w:t>
            </w:r>
            <w:r w:rsidRPr="002B55E9">
              <w:rPr>
                <w:rFonts w:eastAsia="宋体" w:hint="eastAsia"/>
              </w:rPr>
              <w:t>）</w:t>
            </w:r>
          </w:p>
        </w:tc>
        <w:tc>
          <w:tcPr>
            <w:tcW w:w="708" w:type="dxa"/>
            <w:vMerge w:val="restart"/>
            <w:hideMark/>
          </w:tcPr>
          <w:p w14:paraId="24DC56DA" w14:textId="77777777" w:rsidR="004E2351" w:rsidRPr="002B55E9" w:rsidRDefault="004E2351" w:rsidP="00430554">
            <w:pPr>
              <w:pStyle w:val="lgy-"/>
              <w:rPr>
                <w:rFonts w:eastAsia="宋体"/>
              </w:rPr>
            </w:pPr>
            <w:r w:rsidRPr="002B55E9">
              <w:rPr>
                <w:rFonts w:eastAsia="宋体" w:hint="eastAsia"/>
              </w:rPr>
              <w:t>COD</w:t>
            </w:r>
          </w:p>
        </w:tc>
        <w:tc>
          <w:tcPr>
            <w:tcW w:w="1133" w:type="dxa"/>
            <w:vMerge w:val="restart"/>
            <w:hideMark/>
          </w:tcPr>
          <w:p w14:paraId="33FCBDB7" w14:textId="77777777" w:rsidR="004E2351" w:rsidRPr="002B55E9" w:rsidRDefault="004E2351" w:rsidP="00430554">
            <w:pPr>
              <w:pStyle w:val="lgy-"/>
              <w:rPr>
                <w:rFonts w:eastAsia="宋体"/>
              </w:rPr>
            </w:pPr>
            <w:r w:rsidRPr="002B55E9">
              <w:rPr>
                <w:rFonts w:eastAsia="宋体" w:hint="eastAsia"/>
              </w:rPr>
              <w:t>BOD</w:t>
            </w:r>
            <w:r w:rsidRPr="002B55E9">
              <w:rPr>
                <w:rFonts w:eastAsia="宋体" w:hint="eastAsia"/>
                <w:vertAlign w:val="subscript"/>
              </w:rPr>
              <w:t>5</w:t>
            </w:r>
          </w:p>
        </w:tc>
      </w:tr>
      <w:tr w:rsidR="002B55E9" w:rsidRPr="002B55E9" w14:paraId="136D94AA" w14:textId="77777777" w:rsidTr="00430554">
        <w:trPr>
          <w:trHeight w:val="283"/>
        </w:trPr>
        <w:tc>
          <w:tcPr>
            <w:tcW w:w="1264" w:type="dxa"/>
            <w:vMerge/>
            <w:hideMark/>
          </w:tcPr>
          <w:p w14:paraId="5E76F5B4" w14:textId="77777777" w:rsidR="004E2351" w:rsidRPr="002B55E9" w:rsidRDefault="004E2351" w:rsidP="00430554">
            <w:pPr>
              <w:pStyle w:val="lgy-"/>
              <w:rPr>
                <w:rFonts w:eastAsia="宋体"/>
              </w:rPr>
            </w:pPr>
          </w:p>
        </w:tc>
        <w:tc>
          <w:tcPr>
            <w:tcW w:w="1181" w:type="dxa"/>
            <w:hideMark/>
          </w:tcPr>
          <w:p w14:paraId="14BCD463" w14:textId="77777777" w:rsidR="004E2351" w:rsidRPr="002B55E9" w:rsidRDefault="004E2351" w:rsidP="00430554">
            <w:pPr>
              <w:pStyle w:val="lgy-"/>
              <w:rPr>
                <w:rFonts w:eastAsia="宋体"/>
              </w:rPr>
            </w:pPr>
            <w:r w:rsidRPr="002B55E9">
              <w:rPr>
                <w:rFonts w:eastAsia="宋体" w:hint="eastAsia"/>
              </w:rPr>
              <w:t>乙醇</w:t>
            </w:r>
          </w:p>
        </w:tc>
        <w:tc>
          <w:tcPr>
            <w:tcW w:w="1264" w:type="dxa"/>
            <w:hideMark/>
          </w:tcPr>
          <w:p w14:paraId="2B2C83DA" w14:textId="77777777" w:rsidR="004E2351" w:rsidRPr="002B55E9" w:rsidRDefault="004E2351" w:rsidP="00430554">
            <w:pPr>
              <w:pStyle w:val="lgy-"/>
              <w:rPr>
                <w:rFonts w:eastAsia="宋体"/>
              </w:rPr>
            </w:pPr>
            <w:r w:rsidRPr="002B55E9">
              <w:rPr>
                <w:rFonts w:eastAsia="宋体" w:hint="eastAsia"/>
              </w:rPr>
              <w:t>乙酸</w:t>
            </w:r>
          </w:p>
        </w:tc>
        <w:tc>
          <w:tcPr>
            <w:tcW w:w="1536" w:type="dxa"/>
            <w:hideMark/>
          </w:tcPr>
          <w:p w14:paraId="65CB0A46" w14:textId="77777777" w:rsidR="004E2351" w:rsidRPr="002B55E9" w:rsidRDefault="004E2351" w:rsidP="00430554">
            <w:pPr>
              <w:pStyle w:val="lgy-"/>
              <w:rPr>
                <w:rFonts w:eastAsia="宋体"/>
              </w:rPr>
            </w:pPr>
            <w:r w:rsidRPr="002B55E9">
              <w:rPr>
                <w:rFonts w:eastAsia="宋体" w:hint="eastAsia"/>
              </w:rPr>
              <w:t>乙醇</w:t>
            </w:r>
          </w:p>
        </w:tc>
        <w:tc>
          <w:tcPr>
            <w:tcW w:w="1276" w:type="dxa"/>
            <w:hideMark/>
          </w:tcPr>
          <w:p w14:paraId="39561598" w14:textId="77777777" w:rsidR="004E2351" w:rsidRPr="002B55E9" w:rsidRDefault="004E2351" w:rsidP="00430554">
            <w:pPr>
              <w:pStyle w:val="lgy-"/>
              <w:rPr>
                <w:rFonts w:eastAsia="宋体"/>
              </w:rPr>
            </w:pPr>
            <w:r w:rsidRPr="002B55E9">
              <w:rPr>
                <w:rFonts w:eastAsia="宋体" w:hint="eastAsia"/>
              </w:rPr>
              <w:t>乙酸</w:t>
            </w:r>
          </w:p>
        </w:tc>
        <w:tc>
          <w:tcPr>
            <w:tcW w:w="1276" w:type="dxa"/>
            <w:vMerge/>
            <w:hideMark/>
          </w:tcPr>
          <w:p w14:paraId="36872CDB" w14:textId="77777777" w:rsidR="004E2351" w:rsidRPr="002B55E9" w:rsidRDefault="004E2351" w:rsidP="00430554">
            <w:pPr>
              <w:pStyle w:val="lgy-"/>
              <w:rPr>
                <w:rFonts w:eastAsia="宋体"/>
                <w:szCs w:val="22"/>
              </w:rPr>
            </w:pPr>
          </w:p>
        </w:tc>
        <w:tc>
          <w:tcPr>
            <w:tcW w:w="708" w:type="dxa"/>
            <w:vMerge/>
            <w:hideMark/>
          </w:tcPr>
          <w:p w14:paraId="7AD08FB8" w14:textId="77777777" w:rsidR="004E2351" w:rsidRPr="002B55E9" w:rsidRDefault="004E2351" w:rsidP="00430554">
            <w:pPr>
              <w:pStyle w:val="lgy-"/>
              <w:rPr>
                <w:rFonts w:eastAsia="宋体"/>
              </w:rPr>
            </w:pPr>
          </w:p>
        </w:tc>
        <w:tc>
          <w:tcPr>
            <w:tcW w:w="1133" w:type="dxa"/>
            <w:vMerge/>
            <w:hideMark/>
          </w:tcPr>
          <w:p w14:paraId="2E266E98" w14:textId="77777777" w:rsidR="004E2351" w:rsidRPr="002B55E9" w:rsidRDefault="004E2351" w:rsidP="00430554">
            <w:pPr>
              <w:pStyle w:val="lgy-"/>
              <w:rPr>
                <w:rFonts w:eastAsia="宋体"/>
              </w:rPr>
            </w:pPr>
          </w:p>
        </w:tc>
      </w:tr>
      <w:tr w:rsidR="002B55E9" w:rsidRPr="002B55E9" w14:paraId="5BD22FF1" w14:textId="77777777" w:rsidTr="00430554">
        <w:trPr>
          <w:trHeight w:val="283"/>
        </w:trPr>
        <w:tc>
          <w:tcPr>
            <w:tcW w:w="1264" w:type="dxa"/>
            <w:hideMark/>
          </w:tcPr>
          <w:p w14:paraId="6DECF042" w14:textId="77777777" w:rsidR="00430554" w:rsidRPr="002B55E9" w:rsidRDefault="00430554" w:rsidP="00430554">
            <w:pPr>
              <w:pStyle w:val="lgy-"/>
              <w:rPr>
                <w:rFonts w:eastAsia="宋体"/>
              </w:rPr>
            </w:pPr>
            <w:r w:rsidRPr="002B55E9">
              <w:rPr>
                <w:rFonts w:eastAsia="宋体" w:hint="eastAsia"/>
              </w:rPr>
              <w:t>料酒生产线</w:t>
            </w:r>
          </w:p>
        </w:tc>
        <w:tc>
          <w:tcPr>
            <w:tcW w:w="1181" w:type="dxa"/>
            <w:hideMark/>
          </w:tcPr>
          <w:p w14:paraId="35C9FE27" w14:textId="341C4293" w:rsidR="00430554" w:rsidRPr="002B55E9" w:rsidRDefault="00430554" w:rsidP="00430554">
            <w:pPr>
              <w:pStyle w:val="lgy-"/>
              <w:rPr>
                <w:rFonts w:eastAsia="宋体"/>
              </w:rPr>
            </w:pPr>
            <w:r w:rsidRPr="002B55E9">
              <w:rPr>
                <w:rFonts w:eastAsia="宋体" w:hint="eastAsia"/>
              </w:rPr>
              <w:t xml:space="preserve">3.99 </w:t>
            </w:r>
          </w:p>
        </w:tc>
        <w:tc>
          <w:tcPr>
            <w:tcW w:w="1264" w:type="dxa"/>
            <w:hideMark/>
          </w:tcPr>
          <w:p w14:paraId="2127E07B" w14:textId="2803775B" w:rsidR="00430554" w:rsidRPr="002B55E9" w:rsidRDefault="00430554" w:rsidP="00430554">
            <w:pPr>
              <w:pStyle w:val="lgy-"/>
              <w:rPr>
                <w:rFonts w:eastAsia="宋体"/>
              </w:rPr>
            </w:pPr>
            <w:r w:rsidRPr="002B55E9">
              <w:rPr>
                <w:rFonts w:eastAsia="宋体" w:hint="eastAsia"/>
              </w:rPr>
              <w:t xml:space="preserve">0.00 </w:t>
            </w:r>
          </w:p>
        </w:tc>
        <w:tc>
          <w:tcPr>
            <w:tcW w:w="1536" w:type="dxa"/>
            <w:hideMark/>
          </w:tcPr>
          <w:p w14:paraId="11DB9F03" w14:textId="1F8880C1" w:rsidR="00430554" w:rsidRPr="002B55E9" w:rsidRDefault="00430554" w:rsidP="00430554">
            <w:pPr>
              <w:pStyle w:val="lgy-"/>
              <w:rPr>
                <w:rFonts w:eastAsia="宋体"/>
              </w:rPr>
            </w:pPr>
            <w:r w:rsidRPr="002B55E9">
              <w:rPr>
                <w:rFonts w:eastAsia="宋体" w:hint="eastAsia"/>
              </w:rPr>
              <w:t xml:space="preserve">8.33 </w:t>
            </w:r>
          </w:p>
        </w:tc>
        <w:tc>
          <w:tcPr>
            <w:tcW w:w="1276" w:type="dxa"/>
            <w:hideMark/>
          </w:tcPr>
          <w:p w14:paraId="316FDEC7" w14:textId="3109E433" w:rsidR="00430554" w:rsidRPr="002B55E9" w:rsidRDefault="00430554" w:rsidP="00430554">
            <w:pPr>
              <w:pStyle w:val="lgy-"/>
              <w:rPr>
                <w:rFonts w:eastAsia="宋体"/>
              </w:rPr>
            </w:pPr>
            <w:r w:rsidRPr="002B55E9">
              <w:rPr>
                <w:rFonts w:eastAsia="宋体" w:hint="eastAsia"/>
              </w:rPr>
              <w:t xml:space="preserve">0.00 </w:t>
            </w:r>
          </w:p>
        </w:tc>
        <w:tc>
          <w:tcPr>
            <w:tcW w:w="1276" w:type="dxa"/>
            <w:vMerge w:val="restart"/>
            <w:noWrap/>
            <w:hideMark/>
          </w:tcPr>
          <w:p w14:paraId="2BC243F9" w14:textId="77777777" w:rsidR="00430554" w:rsidRPr="002B55E9" w:rsidRDefault="00430554" w:rsidP="00430554">
            <w:pPr>
              <w:pStyle w:val="lgy-"/>
              <w:rPr>
                <w:rFonts w:eastAsia="宋体"/>
                <w:szCs w:val="22"/>
              </w:rPr>
            </w:pPr>
            <w:r w:rsidRPr="002B55E9">
              <w:rPr>
                <w:rFonts w:eastAsia="宋体" w:hint="eastAsia"/>
                <w:szCs w:val="22"/>
              </w:rPr>
              <w:t xml:space="preserve">4207.50 </w:t>
            </w:r>
          </w:p>
        </w:tc>
        <w:tc>
          <w:tcPr>
            <w:tcW w:w="708" w:type="dxa"/>
            <w:vMerge w:val="restart"/>
            <w:hideMark/>
          </w:tcPr>
          <w:p w14:paraId="56B66C77" w14:textId="36E1F324" w:rsidR="00430554" w:rsidRPr="002B55E9" w:rsidRDefault="00430554" w:rsidP="00430554">
            <w:pPr>
              <w:pStyle w:val="lgy-"/>
              <w:rPr>
                <w:rFonts w:eastAsia="宋体"/>
              </w:rPr>
            </w:pPr>
            <w:r w:rsidRPr="002B55E9">
              <w:rPr>
                <w:rFonts w:eastAsia="宋体" w:hint="eastAsia"/>
              </w:rPr>
              <w:t>5</w:t>
            </w:r>
            <w:r w:rsidRPr="002B55E9">
              <w:rPr>
                <w:rFonts w:eastAsia="宋体"/>
              </w:rPr>
              <w:t>155.64</w:t>
            </w:r>
          </w:p>
        </w:tc>
        <w:tc>
          <w:tcPr>
            <w:tcW w:w="1133" w:type="dxa"/>
            <w:vMerge w:val="restart"/>
            <w:hideMark/>
          </w:tcPr>
          <w:p w14:paraId="2F6BF63C" w14:textId="08E0DA90" w:rsidR="00430554" w:rsidRPr="002B55E9" w:rsidRDefault="00430554" w:rsidP="00430554">
            <w:pPr>
              <w:pStyle w:val="lgy-"/>
              <w:rPr>
                <w:rFonts w:eastAsia="宋体"/>
              </w:rPr>
            </w:pPr>
            <w:r w:rsidRPr="002B55E9">
              <w:rPr>
                <w:rFonts w:eastAsia="宋体" w:hint="eastAsia"/>
              </w:rPr>
              <w:t>3</w:t>
            </w:r>
            <w:r w:rsidRPr="002B55E9">
              <w:rPr>
                <w:rFonts w:eastAsia="宋体"/>
              </w:rPr>
              <w:t>965.88</w:t>
            </w:r>
            <w:r w:rsidRPr="002B55E9">
              <w:rPr>
                <w:rFonts w:eastAsia="宋体" w:hint="eastAsia"/>
              </w:rPr>
              <w:t xml:space="preserve"> </w:t>
            </w:r>
          </w:p>
        </w:tc>
      </w:tr>
      <w:tr w:rsidR="002B55E9" w:rsidRPr="002B55E9" w14:paraId="20D41764" w14:textId="77777777" w:rsidTr="00430554">
        <w:trPr>
          <w:trHeight w:val="283"/>
        </w:trPr>
        <w:tc>
          <w:tcPr>
            <w:tcW w:w="1264" w:type="dxa"/>
            <w:hideMark/>
          </w:tcPr>
          <w:p w14:paraId="298609B8" w14:textId="77777777" w:rsidR="00430554" w:rsidRPr="002B55E9" w:rsidRDefault="00430554" w:rsidP="00430554">
            <w:pPr>
              <w:pStyle w:val="lgy-"/>
              <w:rPr>
                <w:rFonts w:eastAsia="宋体"/>
              </w:rPr>
            </w:pPr>
            <w:r w:rsidRPr="002B55E9">
              <w:rPr>
                <w:rFonts w:eastAsia="宋体" w:hint="eastAsia"/>
              </w:rPr>
              <w:t>白米醋生产线</w:t>
            </w:r>
          </w:p>
        </w:tc>
        <w:tc>
          <w:tcPr>
            <w:tcW w:w="1181" w:type="dxa"/>
            <w:hideMark/>
          </w:tcPr>
          <w:p w14:paraId="162F912B" w14:textId="6402CCB8" w:rsidR="00430554" w:rsidRPr="002B55E9" w:rsidRDefault="00430554" w:rsidP="00430554">
            <w:pPr>
              <w:pStyle w:val="lgy-"/>
              <w:rPr>
                <w:rFonts w:eastAsia="宋体"/>
              </w:rPr>
            </w:pPr>
            <w:r w:rsidRPr="002B55E9">
              <w:rPr>
                <w:rFonts w:eastAsia="宋体" w:hint="eastAsia"/>
              </w:rPr>
              <w:t xml:space="preserve">4.30 </w:t>
            </w:r>
          </w:p>
        </w:tc>
        <w:tc>
          <w:tcPr>
            <w:tcW w:w="1264" w:type="dxa"/>
            <w:hideMark/>
          </w:tcPr>
          <w:p w14:paraId="39E0D060" w14:textId="45951D43" w:rsidR="00430554" w:rsidRPr="002B55E9" w:rsidRDefault="00430554" w:rsidP="00430554">
            <w:pPr>
              <w:pStyle w:val="lgy-"/>
              <w:rPr>
                <w:rFonts w:eastAsia="宋体"/>
              </w:rPr>
            </w:pPr>
            <w:r w:rsidRPr="002B55E9">
              <w:rPr>
                <w:rFonts w:eastAsia="宋体" w:hint="eastAsia"/>
              </w:rPr>
              <w:t xml:space="preserve">4.12 </w:t>
            </w:r>
          </w:p>
        </w:tc>
        <w:tc>
          <w:tcPr>
            <w:tcW w:w="1536" w:type="dxa"/>
            <w:hideMark/>
          </w:tcPr>
          <w:p w14:paraId="00A6BDBC" w14:textId="3226E17D" w:rsidR="00430554" w:rsidRPr="002B55E9" w:rsidRDefault="00430554" w:rsidP="00430554">
            <w:pPr>
              <w:pStyle w:val="lgy-"/>
              <w:rPr>
                <w:rFonts w:eastAsia="宋体"/>
              </w:rPr>
            </w:pPr>
            <w:r w:rsidRPr="002B55E9">
              <w:rPr>
                <w:rFonts w:eastAsia="宋体" w:hint="eastAsia"/>
              </w:rPr>
              <w:t xml:space="preserve">8.97 </w:t>
            </w:r>
          </w:p>
        </w:tc>
        <w:tc>
          <w:tcPr>
            <w:tcW w:w="1276" w:type="dxa"/>
            <w:hideMark/>
          </w:tcPr>
          <w:p w14:paraId="17C97405" w14:textId="1979711D" w:rsidR="00430554" w:rsidRPr="002B55E9" w:rsidRDefault="00430554" w:rsidP="00430554">
            <w:pPr>
              <w:pStyle w:val="lgy-"/>
              <w:rPr>
                <w:rFonts w:eastAsia="宋体"/>
              </w:rPr>
            </w:pPr>
            <w:r w:rsidRPr="002B55E9">
              <w:rPr>
                <w:rFonts w:eastAsia="宋体" w:hint="eastAsia"/>
              </w:rPr>
              <w:t xml:space="preserve">4.39 </w:t>
            </w:r>
          </w:p>
        </w:tc>
        <w:tc>
          <w:tcPr>
            <w:tcW w:w="1276" w:type="dxa"/>
            <w:vMerge/>
            <w:hideMark/>
          </w:tcPr>
          <w:p w14:paraId="2674A96E" w14:textId="77777777" w:rsidR="00430554" w:rsidRPr="002B55E9" w:rsidRDefault="00430554" w:rsidP="00430554">
            <w:pPr>
              <w:pStyle w:val="lgy-"/>
              <w:rPr>
                <w:rFonts w:eastAsia="宋体"/>
                <w:szCs w:val="22"/>
              </w:rPr>
            </w:pPr>
          </w:p>
        </w:tc>
        <w:tc>
          <w:tcPr>
            <w:tcW w:w="708" w:type="dxa"/>
            <w:vMerge/>
            <w:hideMark/>
          </w:tcPr>
          <w:p w14:paraId="6494961F" w14:textId="77777777" w:rsidR="00430554" w:rsidRPr="002B55E9" w:rsidRDefault="00430554" w:rsidP="00430554">
            <w:pPr>
              <w:pStyle w:val="lgy-"/>
              <w:rPr>
                <w:rFonts w:eastAsia="宋体"/>
              </w:rPr>
            </w:pPr>
          </w:p>
        </w:tc>
        <w:tc>
          <w:tcPr>
            <w:tcW w:w="1133" w:type="dxa"/>
            <w:vMerge/>
            <w:hideMark/>
          </w:tcPr>
          <w:p w14:paraId="33500B73" w14:textId="77777777" w:rsidR="00430554" w:rsidRPr="002B55E9" w:rsidRDefault="00430554" w:rsidP="00430554">
            <w:pPr>
              <w:pStyle w:val="lgy-"/>
              <w:rPr>
                <w:rFonts w:eastAsia="宋体"/>
              </w:rPr>
            </w:pPr>
          </w:p>
        </w:tc>
      </w:tr>
      <w:tr w:rsidR="002B55E9" w:rsidRPr="002B55E9" w14:paraId="57F8C36A" w14:textId="77777777" w:rsidTr="00430554">
        <w:trPr>
          <w:trHeight w:val="283"/>
        </w:trPr>
        <w:tc>
          <w:tcPr>
            <w:tcW w:w="1264" w:type="dxa"/>
            <w:hideMark/>
          </w:tcPr>
          <w:p w14:paraId="03921E4A" w14:textId="77777777" w:rsidR="00430554" w:rsidRPr="002B55E9" w:rsidRDefault="00430554" w:rsidP="00430554">
            <w:pPr>
              <w:pStyle w:val="lgy-"/>
              <w:rPr>
                <w:rFonts w:eastAsia="宋体"/>
              </w:rPr>
            </w:pPr>
            <w:r w:rsidRPr="002B55E9">
              <w:rPr>
                <w:rFonts w:eastAsia="宋体" w:hint="eastAsia"/>
              </w:rPr>
              <w:t>合计</w:t>
            </w:r>
          </w:p>
        </w:tc>
        <w:tc>
          <w:tcPr>
            <w:tcW w:w="1181" w:type="dxa"/>
            <w:hideMark/>
          </w:tcPr>
          <w:p w14:paraId="17A0B0E3" w14:textId="729639B0" w:rsidR="00430554" w:rsidRPr="002B55E9" w:rsidRDefault="00430554" w:rsidP="00430554">
            <w:pPr>
              <w:pStyle w:val="lgy-"/>
              <w:rPr>
                <w:rFonts w:eastAsia="宋体"/>
              </w:rPr>
            </w:pPr>
            <w:r w:rsidRPr="002B55E9">
              <w:rPr>
                <w:rFonts w:eastAsia="宋体" w:hint="eastAsia"/>
              </w:rPr>
              <w:t xml:space="preserve">8.29 </w:t>
            </w:r>
          </w:p>
        </w:tc>
        <w:tc>
          <w:tcPr>
            <w:tcW w:w="1264" w:type="dxa"/>
            <w:hideMark/>
          </w:tcPr>
          <w:p w14:paraId="0AAEAA31" w14:textId="33E7C305" w:rsidR="00430554" w:rsidRPr="002B55E9" w:rsidRDefault="00430554" w:rsidP="00430554">
            <w:pPr>
              <w:pStyle w:val="lgy-"/>
              <w:rPr>
                <w:rFonts w:eastAsia="宋体"/>
              </w:rPr>
            </w:pPr>
            <w:r w:rsidRPr="002B55E9">
              <w:rPr>
                <w:rFonts w:eastAsia="宋体" w:hint="eastAsia"/>
              </w:rPr>
              <w:t xml:space="preserve">4.12 </w:t>
            </w:r>
          </w:p>
        </w:tc>
        <w:tc>
          <w:tcPr>
            <w:tcW w:w="1536" w:type="dxa"/>
            <w:hideMark/>
          </w:tcPr>
          <w:p w14:paraId="69C3D657" w14:textId="4D038B78" w:rsidR="00430554" w:rsidRPr="002B55E9" w:rsidRDefault="00430554" w:rsidP="00430554">
            <w:pPr>
              <w:pStyle w:val="lgy-"/>
              <w:rPr>
                <w:rFonts w:eastAsia="宋体"/>
              </w:rPr>
            </w:pPr>
            <w:r w:rsidRPr="002B55E9">
              <w:rPr>
                <w:rFonts w:eastAsia="宋体" w:hint="eastAsia"/>
              </w:rPr>
              <w:t xml:space="preserve">17.30 </w:t>
            </w:r>
          </w:p>
        </w:tc>
        <w:tc>
          <w:tcPr>
            <w:tcW w:w="1276" w:type="dxa"/>
            <w:hideMark/>
          </w:tcPr>
          <w:p w14:paraId="1902BED2" w14:textId="551383F3" w:rsidR="00430554" w:rsidRPr="002B55E9" w:rsidRDefault="00430554" w:rsidP="00430554">
            <w:pPr>
              <w:pStyle w:val="lgy-"/>
              <w:rPr>
                <w:rFonts w:eastAsia="宋体"/>
              </w:rPr>
            </w:pPr>
            <w:r w:rsidRPr="002B55E9">
              <w:rPr>
                <w:rFonts w:eastAsia="宋体" w:hint="eastAsia"/>
              </w:rPr>
              <w:t xml:space="preserve">4.39 </w:t>
            </w:r>
          </w:p>
        </w:tc>
        <w:tc>
          <w:tcPr>
            <w:tcW w:w="1276" w:type="dxa"/>
            <w:noWrap/>
            <w:hideMark/>
          </w:tcPr>
          <w:p w14:paraId="195F3165" w14:textId="77777777" w:rsidR="00430554" w:rsidRPr="002B55E9" w:rsidRDefault="00430554" w:rsidP="00430554">
            <w:pPr>
              <w:pStyle w:val="lgy-"/>
              <w:rPr>
                <w:rFonts w:eastAsia="宋体"/>
                <w:szCs w:val="22"/>
              </w:rPr>
            </w:pPr>
            <w:r w:rsidRPr="002B55E9">
              <w:rPr>
                <w:rFonts w:eastAsia="宋体" w:hint="eastAsia"/>
                <w:szCs w:val="22"/>
              </w:rPr>
              <w:t>/</w:t>
            </w:r>
          </w:p>
        </w:tc>
        <w:tc>
          <w:tcPr>
            <w:tcW w:w="708" w:type="dxa"/>
            <w:hideMark/>
          </w:tcPr>
          <w:p w14:paraId="73F69E85" w14:textId="77777777" w:rsidR="00430554" w:rsidRPr="002B55E9" w:rsidRDefault="00430554" w:rsidP="00430554">
            <w:pPr>
              <w:pStyle w:val="lgy-"/>
              <w:rPr>
                <w:rFonts w:eastAsia="宋体"/>
              </w:rPr>
            </w:pPr>
            <w:r w:rsidRPr="002B55E9">
              <w:rPr>
                <w:rFonts w:eastAsia="宋体" w:hint="eastAsia"/>
              </w:rPr>
              <w:t>/</w:t>
            </w:r>
          </w:p>
        </w:tc>
        <w:tc>
          <w:tcPr>
            <w:tcW w:w="1133" w:type="dxa"/>
            <w:noWrap/>
            <w:hideMark/>
          </w:tcPr>
          <w:p w14:paraId="572C424F" w14:textId="77777777" w:rsidR="00430554" w:rsidRPr="002B55E9" w:rsidRDefault="00430554" w:rsidP="00430554">
            <w:pPr>
              <w:pStyle w:val="lgy-"/>
              <w:rPr>
                <w:rFonts w:eastAsia="宋体"/>
                <w:b/>
                <w:szCs w:val="32"/>
              </w:rPr>
            </w:pPr>
            <w:r w:rsidRPr="002B55E9">
              <w:rPr>
                <w:rFonts w:eastAsia="宋体" w:hint="eastAsia"/>
                <w:b/>
                <w:szCs w:val="32"/>
              </w:rPr>
              <w:t>/</w:t>
            </w:r>
          </w:p>
        </w:tc>
      </w:tr>
    </w:tbl>
    <w:p w14:paraId="03E61E11" w14:textId="2B795210" w:rsidR="00D170E5" w:rsidRPr="002B55E9" w:rsidRDefault="00EF27AD">
      <w:pPr>
        <w:pStyle w:val="affff7"/>
        <w:snapToGrid w:val="0"/>
        <w:spacing w:after="0"/>
      </w:pPr>
      <w:r w:rsidRPr="002B55E9">
        <w:rPr>
          <w:rFonts w:hint="eastAsia"/>
          <w:szCs w:val="24"/>
        </w:rPr>
        <w:t>设备清洗废水水质参照《食品加工制造业水污染物排放标准（征求意见稿）编制说明》中酱油、食醋和酿造酱制造</w:t>
      </w:r>
      <w:r w:rsidR="008808B4" w:rsidRPr="002B55E9">
        <w:rPr>
          <w:rFonts w:hint="eastAsia"/>
          <w:szCs w:val="24"/>
        </w:rPr>
        <w:t>企业</w:t>
      </w:r>
      <w:r w:rsidRPr="002B55E9">
        <w:rPr>
          <w:rFonts w:hint="eastAsia"/>
          <w:szCs w:val="24"/>
        </w:rPr>
        <w:t>的排放数据并结合建设单位类似项目水质数据，循环冷却水水系统排污水水质根据《工业循环冷却水处理设计规范》（</w:t>
      </w:r>
      <w:r w:rsidRPr="002B55E9">
        <w:rPr>
          <w:rFonts w:hint="eastAsia"/>
          <w:szCs w:val="24"/>
        </w:rPr>
        <w:t>GB/T 50050-2017</w:t>
      </w:r>
      <w:r w:rsidRPr="002B55E9">
        <w:rPr>
          <w:rFonts w:hint="eastAsia"/>
          <w:szCs w:val="24"/>
        </w:rPr>
        <w:t>）限值确定，化验室废水类比《化学实验室废水处理装置技术规范》编制说明中实测水质，生活污水采用《给水排水设计手册》水质。拟建项目各类废水水质见下表所示。</w:t>
      </w:r>
    </w:p>
    <w:p w14:paraId="2E1C177E" w14:textId="692BCFE8" w:rsidR="00D170E5" w:rsidRPr="002B55E9" w:rsidRDefault="00EF27AD">
      <w:pPr>
        <w:pStyle w:val="1f3"/>
        <w:spacing w:beforeLines="0" w:before="0"/>
        <w:ind w:firstLine="482"/>
      </w:pPr>
      <w:r w:rsidRPr="002B55E9">
        <w:rPr>
          <w:rFonts w:hint="eastAsia"/>
        </w:rPr>
        <w:t>表</w:t>
      </w:r>
      <w:r w:rsidRPr="002B55E9">
        <w:rPr>
          <w:rFonts w:hint="eastAsia"/>
        </w:rPr>
        <w:t>3</w:t>
      </w:r>
      <w:r w:rsidRPr="002B55E9">
        <w:t>-3-2</w:t>
      </w:r>
      <w:r w:rsidR="004E2351" w:rsidRPr="002B55E9">
        <w:t>9</w:t>
      </w:r>
      <w:r w:rsidRPr="002B55E9">
        <w:t xml:space="preserve">  </w:t>
      </w:r>
      <w:r w:rsidRPr="002B55E9">
        <w:rPr>
          <w:rFonts w:hint="eastAsia"/>
        </w:rPr>
        <w:t>拟建项目各股废水源强一览表</w:t>
      </w:r>
    </w:p>
    <w:tbl>
      <w:tblPr>
        <w:tblStyle w:val="lgy2"/>
        <w:tblW w:w="5000" w:type="pct"/>
        <w:tblCellMar>
          <w:left w:w="28" w:type="dxa"/>
          <w:right w:w="28" w:type="dxa"/>
        </w:tblCellMar>
        <w:tblLook w:val="04A0" w:firstRow="1" w:lastRow="0" w:firstColumn="1" w:lastColumn="0" w:noHBand="0" w:noVBand="1"/>
      </w:tblPr>
      <w:tblGrid>
        <w:gridCol w:w="1799"/>
        <w:gridCol w:w="836"/>
        <w:gridCol w:w="717"/>
        <w:gridCol w:w="900"/>
        <w:gridCol w:w="900"/>
        <w:gridCol w:w="900"/>
        <w:gridCol w:w="900"/>
        <w:gridCol w:w="900"/>
        <w:gridCol w:w="708"/>
        <w:gridCol w:w="1128"/>
        <w:gridCol w:w="6"/>
      </w:tblGrid>
      <w:tr w:rsidR="003E2FA0" w:rsidRPr="002B55E9" w14:paraId="2772398A" w14:textId="67B08315" w:rsidTr="003E2FA0">
        <w:trPr>
          <w:gridAfter w:val="1"/>
          <w:cnfStyle w:val="100000000000" w:firstRow="1" w:lastRow="0" w:firstColumn="0" w:lastColumn="0" w:oddVBand="0" w:evenVBand="0" w:oddHBand="0" w:evenHBand="0" w:firstRowFirstColumn="0" w:firstRowLastColumn="0" w:lastRowFirstColumn="0" w:lastRowLastColumn="0"/>
          <w:wAfter w:w="3" w:type="pct"/>
          <w:trHeight w:val="283"/>
        </w:trPr>
        <w:tc>
          <w:tcPr>
            <w:tcW w:w="928" w:type="pct"/>
            <w:vMerge w:val="restart"/>
          </w:tcPr>
          <w:p w14:paraId="06BE01C9" w14:textId="77777777" w:rsidR="003E2FA0" w:rsidRPr="002B55E9" w:rsidRDefault="003E2FA0" w:rsidP="00304F7A">
            <w:pPr>
              <w:pStyle w:val="lgy-"/>
              <w:rPr>
                <w:rFonts w:eastAsia="宋体"/>
              </w:rPr>
            </w:pPr>
            <w:r w:rsidRPr="002B55E9">
              <w:rPr>
                <w:rFonts w:eastAsia="宋体" w:hint="eastAsia"/>
              </w:rPr>
              <w:t>废水污染源</w:t>
            </w:r>
          </w:p>
        </w:tc>
        <w:tc>
          <w:tcPr>
            <w:tcW w:w="4068" w:type="pct"/>
            <w:gridSpan w:val="9"/>
          </w:tcPr>
          <w:p w14:paraId="42573AA9" w14:textId="77777777" w:rsidR="003E2FA0" w:rsidRPr="002B55E9" w:rsidRDefault="003E2FA0" w:rsidP="00304F7A">
            <w:pPr>
              <w:pStyle w:val="lgy-"/>
              <w:rPr>
                <w:rFonts w:eastAsia="宋体"/>
              </w:rPr>
            </w:pPr>
            <w:r w:rsidRPr="002B55E9">
              <w:rPr>
                <w:rFonts w:eastAsia="宋体" w:hint="eastAsia"/>
              </w:rPr>
              <w:t>污染因子浓度</w:t>
            </w:r>
            <w:r w:rsidRPr="002B55E9">
              <w:rPr>
                <w:rFonts w:eastAsia="宋体" w:hint="eastAsia"/>
              </w:rPr>
              <w:t>mg/L</w:t>
            </w:r>
          </w:p>
        </w:tc>
      </w:tr>
      <w:tr w:rsidR="003E2FA0" w:rsidRPr="002B55E9" w14:paraId="071DF9EB" w14:textId="77777777" w:rsidTr="003E2FA0">
        <w:trPr>
          <w:trHeight w:val="283"/>
        </w:trPr>
        <w:tc>
          <w:tcPr>
            <w:tcW w:w="928" w:type="pct"/>
            <w:vMerge/>
          </w:tcPr>
          <w:p w14:paraId="64163C4C" w14:textId="77777777" w:rsidR="003E2FA0" w:rsidRPr="002B55E9" w:rsidRDefault="003E2FA0" w:rsidP="00304F7A">
            <w:pPr>
              <w:pStyle w:val="lgy-"/>
              <w:rPr>
                <w:rFonts w:eastAsia="宋体"/>
              </w:rPr>
            </w:pPr>
          </w:p>
        </w:tc>
        <w:tc>
          <w:tcPr>
            <w:tcW w:w="431" w:type="pct"/>
          </w:tcPr>
          <w:p w14:paraId="44140F4B" w14:textId="77777777" w:rsidR="003E2FA0" w:rsidRPr="002B55E9" w:rsidRDefault="003E2FA0" w:rsidP="00304F7A">
            <w:pPr>
              <w:pStyle w:val="lgy-"/>
              <w:rPr>
                <w:rFonts w:eastAsia="宋体"/>
              </w:rPr>
            </w:pPr>
            <w:r w:rsidRPr="002B55E9">
              <w:rPr>
                <w:rFonts w:eastAsia="宋体" w:hint="eastAsia"/>
              </w:rPr>
              <w:t>pH</w:t>
            </w:r>
          </w:p>
        </w:tc>
        <w:tc>
          <w:tcPr>
            <w:tcW w:w="370" w:type="pct"/>
          </w:tcPr>
          <w:p w14:paraId="509B885C" w14:textId="77777777" w:rsidR="003E2FA0" w:rsidRPr="002B55E9" w:rsidRDefault="003E2FA0" w:rsidP="00304F7A">
            <w:pPr>
              <w:pStyle w:val="lgy-"/>
              <w:rPr>
                <w:rFonts w:eastAsia="宋体"/>
              </w:rPr>
            </w:pPr>
            <w:r w:rsidRPr="002B55E9">
              <w:rPr>
                <w:rFonts w:eastAsia="宋体" w:hint="eastAsia"/>
              </w:rPr>
              <w:t>色度</w:t>
            </w:r>
          </w:p>
        </w:tc>
        <w:tc>
          <w:tcPr>
            <w:tcW w:w="464" w:type="pct"/>
          </w:tcPr>
          <w:p w14:paraId="79CB22A3" w14:textId="77777777" w:rsidR="003E2FA0" w:rsidRPr="002B55E9" w:rsidRDefault="003E2FA0" w:rsidP="00304F7A">
            <w:pPr>
              <w:pStyle w:val="lgy-"/>
              <w:rPr>
                <w:rFonts w:eastAsia="宋体"/>
              </w:rPr>
            </w:pPr>
            <w:r w:rsidRPr="002B55E9">
              <w:rPr>
                <w:rFonts w:eastAsia="宋体" w:hint="eastAsia"/>
              </w:rPr>
              <w:t>C</w:t>
            </w:r>
            <w:r w:rsidRPr="002B55E9">
              <w:rPr>
                <w:rFonts w:eastAsia="宋体"/>
              </w:rPr>
              <w:t>OD</w:t>
            </w:r>
          </w:p>
        </w:tc>
        <w:tc>
          <w:tcPr>
            <w:tcW w:w="464" w:type="pct"/>
          </w:tcPr>
          <w:p w14:paraId="00FCB2AB" w14:textId="77777777" w:rsidR="003E2FA0" w:rsidRPr="002B55E9" w:rsidRDefault="003E2FA0" w:rsidP="00304F7A">
            <w:pPr>
              <w:pStyle w:val="lgy-"/>
              <w:rPr>
                <w:rFonts w:eastAsia="宋体"/>
              </w:rPr>
            </w:pPr>
            <w:r w:rsidRPr="002B55E9">
              <w:rPr>
                <w:rFonts w:eastAsia="宋体" w:hint="eastAsia"/>
              </w:rPr>
              <w:t>B</w:t>
            </w:r>
            <w:r w:rsidRPr="002B55E9">
              <w:rPr>
                <w:rFonts w:eastAsia="宋体"/>
              </w:rPr>
              <w:t>OD</w:t>
            </w:r>
            <w:r w:rsidRPr="002B55E9">
              <w:rPr>
                <w:rFonts w:eastAsia="宋体"/>
                <w:vertAlign w:val="subscript"/>
              </w:rPr>
              <w:t>5</w:t>
            </w:r>
          </w:p>
        </w:tc>
        <w:tc>
          <w:tcPr>
            <w:tcW w:w="464" w:type="pct"/>
          </w:tcPr>
          <w:p w14:paraId="795EE983" w14:textId="77777777" w:rsidR="003E2FA0" w:rsidRPr="002B55E9" w:rsidRDefault="003E2FA0" w:rsidP="00304F7A">
            <w:pPr>
              <w:pStyle w:val="lgy-"/>
              <w:rPr>
                <w:rFonts w:eastAsia="宋体"/>
              </w:rPr>
            </w:pPr>
            <w:r w:rsidRPr="002B55E9">
              <w:rPr>
                <w:rFonts w:eastAsia="宋体" w:hint="eastAsia"/>
              </w:rPr>
              <w:t>S</w:t>
            </w:r>
            <w:r w:rsidRPr="002B55E9">
              <w:rPr>
                <w:rFonts w:eastAsia="宋体"/>
              </w:rPr>
              <w:t>S</w:t>
            </w:r>
          </w:p>
        </w:tc>
        <w:tc>
          <w:tcPr>
            <w:tcW w:w="464" w:type="pct"/>
          </w:tcPr>
          <w:p w14:paraId="49314AEA" w14:textId="77777777" w:rsidR="003E2FA0" w:rsidRPr="002B55E9" w:rsidRDefault="003E2FA0" w:rsidP="00304F7A">
            <w:pPr>
              <w:pStyle w:val="lgy-"/>
              <w:rPr>
                <w:rFonts w:eastAsia="宋体"/>
              </w:rPr>
            </w:pPr>
            <w:r w:rsidRPr="002B55E9">
              <w:rPr>
                <w:rFonts w:eastAsia="宋体" w:hint="eastAsia"/>
              </w:rPr>
              <w:t>氨氮</w:t>
            </w:r>
          </w:p>
        </w:tc>
        <w:tc>
          <w:tcPr>
            <w:tcW w:w="464" w:type="pct"/>
          </w:tcPr>
          <w:p w14:paraId="0313CFD9" w14:textId="77777777" w:rsidR="003E2FA0" w:rsidRPr="002B55E9" w:rsidRDefault="003E2FA0" w:rsidP="00304F7A">
            <w:pPr>
              <w:pStyle w:val="lgy-"/>
              <w:rPr>
                <w:rFonts w:eastAsia="宋体"/>
              </w:rPr>
            </w:pPr>
            <w:r w:rsidRPr="002B55E9">
              <w:rPr>
                <w:rFonts w:eastAsia="宋体" w:hint="eastAsia"/>
              </w:rPr>
              <w:t>总氮</w:t>
            </w:r>
          </w:p>
        </w:tc>
        <w:tc>
          <w:tcPr>
            <w:tcW w:w="365" w:type="pct"/>
          </w:tcPr>
          <w:p w14:paraId="2A196D55" w14:textId="77777777" w:rsidR="003E2FA0" w:rsidRPr="002B55E9" w:rsidRDefault="003E2FA0" w:rsidP="00304F7A">
            <w:pPr>
              <w:pStyle w:val="lgy-"/>
              <w:rPr>
                <w:rFonts w:eastAsia="宋体"/>
              </w:rPr>
            </w:pPr>
            <w:r w:rsidRPr="002B55E9">
              <w:rPr>
                <w:rFonts w:eastAsia="宋体" w:hint="eastAsia"/>
              </w:rPr>
              <w:t>总磷</w:t>
            </w:r>
          </w:p>
        </w:tc>
        <w:tc>
          <w:tcPr>
            <w:tcW w:w="585" w:type="pct"/>
            <w:gridSpan w:val="2"/>
          </w:tcPr>
          <w:p w14:paraId="2C8423E2" w14:textId="77777777" w:rsidR="003E2FA0" w:rsidRPr="002B55E9" w:rsidRDefault="003E2FA0" w:rsidP="00304F7A">
            <w:pPr>
              <w:pStyle w:val="lgy-"/>
              <w:rPr>
                <w:rFonts w:eastAsia="宋体"/>
              </w:rPr>
            </w:pPr>
            <w:r w:rsidRPr="002B55E9">
              <w:rPr>
                <w:rFonts w:eastAsia="宋体" w:hint="eastAsia"/>
              </w:rPr>
              <w:t>动植物</w:t>
            </w:r>
            <w:r w:rsidRPr="002B55E9">
              <w:rPr>
                <w:rFonts w:eastAsia="宋体"/>
              </w:rPr>
              <w:t>油</w:t>
            </w:r>
          </w:p>
        </w:tc>
      </w:tr>
      <w:tr w:rsidR="003E2FA0" w:rsidRPr="002B55E9" w14:paraId="11BC4F45" w14:textId="77777777" w:rsidTr="003E2FA0">
        <w:trPr>
          <w:trHeight w:val="283"/>
        </w:trPr>
        <w:tc>
          <w:tcPr>
            <w:tcW w:w="928" w:type="pct"/>
          </w:tcPr>
          <w:p w14:paraId="24096698" w14:textId="77777777" w:rsidR="003E2FA0" w:rsidRPr="002B55E9" w:rsidRDefault="003E2FA0" w:rsidP="00304F7A">
            <w:pPr>
              <w:pStyle w:val="lgy-"/>
              <w:rPr>
                <w:rFonts w:eastAsia="宋体"/>
              </w:rPr>
            </w:pPr>
            <w:r w:rsidRPr="002B55E9">
              <w:rPr>
                <w:rFonts w:eastAsia="宋体" w:hint="eastAsia"/>
              </w:rPr>
              <w:t>生活污水</w:t>
            </w:r>
          </w:p>
        </w:tc>
        <w:tc>
          <w:tcPr>
            <w:tcW w:w="431" w:type="pct"/>
          </w:tcPr>
          <w:p w14:paraId="17B18DDE"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119C3D6A" w14:textId="77777777" w:rsidR="003E2FA0" w:rsidRPr="002B55E9" w:rsidRDefault="003E2FA0" w:rsidP="00304F7A">
            <w:pPr>
              <w:pStyle w:val="lgy-"/>
              <w:rPr>
                <w:rFonts w:eastAsia="宋体"/>
              </w:rPr>
            </w:pPr>
            <w:r w:rsidRPr="002B55E9">
              <w:rPr>
                <w:rFonts w:eastAsia="宋体" w:hint="eastAsia"/>
              </w:rPr>
              <w:t>/</w:t>
            </w:r>
          </w:p>
        </w:tc>
        <w:tc>
          <w:tcPr>
            <w:tcW w:w="464" w:type="pct"/>
          </w:tcPr>
          <w:p w14:paraId="31ECD517" w14:textId="77777777" w:rsidR="003E2FA0" w:rsidRPr="002B55E9" w:rsidRDefault="003E2FA0" w:rsidP="00304F7A">
            <w:pPr>
              <w:pStyle w:val="lgy-"/>
              <w:rPr>
                <w:rFonts w:eastAsia="宋体"/>
              </w:rPr>
            </w:pPr>
            <w:r w:rsidRPr="002B55E9">
              <w:rPr>
                <w:rFonts w:eastAsia="宋体"/>
              </w:rPr>
              <w:t>400</w:t>
            </w:r>
          </w:p>
        </w:tc>
        <w:tc>
          <w:tcPr>
            <w:tcW w:w="464" w:type="pct"/>
          </w:tcPr>
          <w:p w14:paraId="65B79511" w14:textId="77777777" w:rsidR="003E2FA0" w:rsidRPr="002B55E9" w:rsidRDefault="003E2FA0" w:rsidP="00304F7A">
            <w:pPr>
              <w:pStyle w:val="lgy-"/>
              <w:rPr>
                <w:rFonts w:eastAsia="宋体"/>
              </w:rPr>
            </w:pPr>
            <w:r w:rsidRPr="002B55E9">
              <w:rPr>
                <w:rFonts w:eastAsia="宋体"/>
              </w:rPr>
              <w:t>220</w:t>
            </w:r>
          </w:p>
        </w:tc>
        <w:tc>
          <w:tcPr>
            <w:tcW w:w="464" w:type="pct"/>
          </w:tcPr>
          <w:p w14:paraId="4EDE927A" w14:textId="77777777" w:rsidR="003E2FA0" w:rsidRPr="002B55E9" w:rsidRDefault="003E2FA0" w:rsidP="00304F7A">
            <w:pPr>
              <w:pStyle w:val="lgy-"/>
              <w:rPr>
                <w:rFonts w:eastAsia="宋体"/>
              </w:rPr>
            </w:pPr>
            <w:r w:rsidRPr="002B55E9">
              <w:rPr>
                <w:rFonts w:eastAsia="宋体"/>
              </w:rPr>
              <w:t>200</w:t>
            </w:r>
          </w:p>
        </w:tc>
        <w:tc>
          <w:tcPr>
            <w:tcW w:w="464" w:type="pct"/>
          </w:tcPr>
          <w:p w14:paraId="4BA64256" w14:textId="77777777" w:rsidR="003E2FA0" w:rsidRPr="002B55E9" w:rsidRDefault="003E2FA0" w:rsidP="00304F7A">
            <w:pPr>
              <w:pStyle w:val="lgy-"/>
              <w:rPr>
                <w:rFonts w:eastAsia="宋体"/>
              </w:rPr>
            </w:pPr>
            <w:r w:rsidRPr="002B55E9">
              <w:rPr>
                <w:rFonts w:eastAsia="宋体"/>
              </w:rPr>
              <w:t>30</w:t>
            </w:r>
          </w:p>
        </w:tc>
        <w:tc>
          <w:tcPr>
            <w:tcW w:w="464" w:type="pct"/>
          </w:tcPr>
          <w:p w14:paraId="444BCC49" w14:textId="77777777" w:rsidR="003E2FA0" w:rsidRPr="002B55E9" w:rsidRDefault="003E2FA0" w:rsidP="00304F7A">
            <w:pPr>
              <w:pStyle w:val="lgy-"/>
              <w:rPr>
                <w:rFonts w:eastAsia="宋体"/>
              </w:rPr>
            </w:pPr>
            <w:r w:rsidRPr="002B55E9">
              <w:rPr>
                <w:rFonts w:eastAsia="宋体"/>
              </w:rPr>
              <w:t>40</w:t>
            </w:r>
          </w:p>
        </w:tc>
        <w:tc>
          <w:tcPr>
            <w:tcW w:w="365" w:type="pct"/>
          </w:tcPr>
          <w:p w14:paraId="2AE8EDB4" w14:textId="77777777" w:rsidR="003E2FA0" w:rsidRPr="002B55E9" w:rsidRDefault="003E2FA0" w:rsidP="00304F7A">
            <w:pPr>
              <w:pStyle w:val="lgy-"/>
              <w:rPr>
                <w:rFonts w:eastAsia="宋体"/>
              </w:rPr>
            </w:pPr>
            <w:r w:rsidRPr="002B55E9">
              <w:rPr>
                <w:rFonts w:eastAsia="宋体" w:hint="eastAsia"/>
              </w:rPr>
              <w:t>4</w:t>
            </w:r>
          </w:p>
        </w:tc>
        <w:tc>
          <w:tcPr>
            <w:tcW w:w="585" w:type="pct"/>
            <w:gridSpan w:val="2"/>
          </w:tcPr>
          <w:p w14:paraId="44F3DC6B" w14:textId="77777777" w:rsidR="003E2FA0" w:rsidRPr="002B55E9" w:rsidRDefault="003E2FA0" w:rsidP="00304F7A">
            <w:pPr>
              <w:pStyle w:val="lgy-"/>
              <w:rPr>
                <w:rFonts w:eastAsia="宋体"/>
              </w:rPr>
            </w:pPr>
            <w:r w:rsidRPr="002B55E9">
              <w:rPr>
                <w:rFonts w:eastAsia="宋体"/>
              </w:rPr>
              <w:t>100</w:t>
            </w:r>
          </w:p>
        </w:tc>
      </w:tr>
      <w:tr w:rsidR="003E2FA0" w:rsidRPr="002B55E9" w14:paraId="5AEA8C1F" w14:textId="77777777" w:rsidTr="003E2FA0">
        <w:trPr>
          <w:trHeight w:val="283"/>
        </w:trPr>
        <w:tc>
          <w:tcPr>
            <w:tcW w:w="928" w:type="pct"/>
          </w:tcPr>
          <w:p w14:paraId="0039D5F9" w14:textId="77777777" w:rsidR="003E2FA0" w:rsidRPr="002B55E9" w:rsidRDefault="003E2FA0" w:rsidP="00304F7A">
            <w:pPr>
              <w:pStyle w:val="lgy-"/>
              <w:rPr>
                <w:rFonts w:eastAsia="宋体"/>
              </w:rPr>
            </w:pPr>
            <w:r w:rsidRPr="002B55E9">
              <w:rPr>
                <w:rFonts w:eastAsia="宋体" w:hint="eastAsia"/>
              </w:rPr>
              <w:t>包装瓶清洗废水</w:t>
            </w:r>
          </w:p>
        </w:tc>
        <w:tc>
          <w:tcPr>
            <w:tcW w:w="431" w:type="pct"/>
          </w:tcPr>
          <w:p w14:paraId="45D26502"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3379D65F" w14:textId="77777777" w:rsidR="003E2FA0" w:rsidRPr="002B55E9" w:rsidRDefault="003E2FA0" w:rsidP="00304F7A">
            <w:pPr>
              <w:pStyle w:val="lgy-"/>
              <w:rPr>
                <w:rFonts w:eastAsia="宋体"/>
              </w:rPr>
            </w:pPr>
            <w:r w:rsidRPr="002B55E9">
              <w:rPr>
                <w:rFonts w:eastAsia="宋体" w:hint="eastAsia"/>
              </w:rPr>
              <w:t>/</w:t>
            </w:r>
          </w:p>
        </w:tc>
        <w:tc>
          <w:tcPr>
            <w:tcW w:w="464" w:type="pct"/>
          </w:tcPr>
          <w:p w14:paraId="6421B7CD" w14:textId="77777777" w:rsidR="003E2FA0" w:rsidRPr="002B55E9" w:rsidRDefault="003E2FA0" w:rsidP="00304F7A">
            <w:pPr>
              <w:pStyle w:val="lgy-"/>
              <w:rPr>
                <w:rFonts w:eastAsia="宋体"/>
              </w:rPr>
            </w:pPr>
            <w:r w:rsidRPr="002B55E9">
              <w:rPr>
                <w:rFonts w:eastAsia="宋体"/>
              </w:rPr>
              <w:t>30</w:t>
            </w:r>
          </w:p>
        </w:tc>
        <w:tc>
          <w:tcPr>
            <w:tcW w:w="464" w:type="pct"/>
          </w:tcPr>
          <w:p w14:paraId="7C9523A3" w14:textId="77777777" w:rsidR="003E2FA0" w:rsidRPr="002B55E9" w:rsidRDefault="003E2FA0" w:rsidP="00304F7A">
            <w:pPr>
              <w:pStyle w:val="lgy-"/>
              <w:rPr>
                <w:rFonts w:eastAsia="宋体"/>
              </w:rPr>
            </w:pPr>
            <w:r w:rsidRPr="002B55E9">
              <w:rPr>
                <w:rFonts w:eastAsia="宋体" w:hint="eastAsia"/>
              </w:rPr>
              <w:t>/</w:t>
            </w:r>
          </w:p>
        </w:tc>
        <w:tc>
          <w:tcPr>
            <w:tcW w:w="464" w:type="pct"/>
          </w:tcPr>
          <w:p w14:paraId="00852133" w14:textId="77777777" w:rsidR="003E2FA0" w:rsidRPr="002B55E9" w:rsidRDefault="003E2FA0" w:rsidP="00304F7A">
            <w:pPr>
              <w:pStyle w:val="lgy-"/>
              <w:rPr>
                <w:rFonts w:eastAsia="宋体"/>
              </w:rPr>
            </w:pPr>
            <w:r w:rsidRPr="002B55E9">
              <w:rPr>
                <w:rFonts w:eastAsia="宋体" w:hint="eastAsia"/>
              </w:rPr>
              <w:t>4</w:t>
            </w:r>
            <w:r w:rsidRPr="002B55E9">
              <w:rPr>
                <w:rFonts w:eastAsia="宋体"/>
              </w:rPr>
              <w:t>0</w:t>
            </w:r>
          </w:p>
        </w:tc>
        <w:tc>
          <w:tcPr>
            <w:tcW w:w="464" w:type="pct"/>
          </w:tcPr>
          <w:p w14:paraId="0E57541B" w14:textId="77777777" w:rsidR="003E2FA0" w:rsidRPr="002B55E9" w:rsidRDefault="003E2FA0" w:rsidP="00304F7A">
            <w:pPr>
              <w:pStyle w:val="lgy-"/>
              <w:rPr>
                <w:rFonts w:eastAsia="宋体"/>
              </w:rPr>
            </w:pPr>
            <w:r w:rsidRPr="002B55E9">
              <w:rPr>
                <w:rFonts w:eastAsia="宋体" w:hint="eastAsia"/>
              </w:rPr>
              <w:t>/</w:t>
            </w:r>
          </w:p>
        </w:tc>
        <w:tc>
          <w:tcPr>
            <w:tcW w:w="464" w:type="pct"/>
          </w:tcPr>
          <w:p w14:paraId="47425A97" w14:textId="77777777" w:rsidR="003E2FA0" w:rsidRPr="002B55E9" w:rsidRDefault="003E2FA0" w:rsidP="00304F7A">
            <w:pPr>
              <w:pStyle w:val="lgy-"/>
              <w:rPr>
                <w:rFonts w:eastAsia="宋体"/>
              </w:rPr>
            </w:pPr>
            <w:r w:rsidRPr="002B55E9">
              <w:rPr>
                <w:rFonts w:eastAsia="宋体" w:hint="eastAsia"/>
              </w:rPr>
              <w:t>/</w:t>
            </w:r>
          </w:p>
        </w:tc>
        <w:tc>
          <w:tcPr>
            <w:tcW w:w="365" w:type="pct"/>
          </w:tcPr>
          <w:p w14:paraId="579A1C79" w14:textId="77777777" w:rsidR="003E2FA0" w:rsidRPr="002B55E9" w:rsidRDefault="003E2FA0" w:rsidP="00304F7A">
            <w:pPr>
              <w:pStyle w:val="lgy-"/>
              <w:rPr>
                <w:rFonts w:eastAsia="宋体"/>
              </w:rPr>
            </w:pPr>
            <w:r w:rsidRPr="002B55E9">
              <w:rPr>
                <w:rFonts w:eastAsia="宋体" w:hint="eastAsia"/>
              </w:rPr>
              <w:t>/</w:t>
            </w:r>
          </w:p>
        </w:tc>
        <w:tc>
          <w:tcPr>
            <w:tcW w:w="585" w:type="pct"/>
            <w:gridSpan w:val="2"/>
          </w:tcPr>
          <w:p w14:paraId="4E43265F" w14:textId="77777777" w:rsidR="003E2FA0" w:rsidRPr="002B55E9" w:rsidRDefault="003E2FA0" w:rsidP="00304F7A">
            <w:pPr>
              <w:pStyle w:val="lgy-"/>
              <w:rPr>
                <w:rFonts w:eastAsia="宋体"/>
              </w:rPr>
            </w:pPr>
            <w:r w:rsidRPr="002B55E9">
              <w:rPr>
                <w:rFonts w:eastAsia="宋体" w:hint="eastAsia"/>
              </w:rPr>
              <w:t>/</w:t>
            </w:r>
          </w:p>
        </w:tc>
      </w:tr>
      <w:tr w:rsidR="003E2FA0" w:rsidRPr="002B55E9" w14:paraId="1C07C377" w14:textId="77777777" w:rsidTr="003E2FA0">
        <w:trPr>
          <w:trHeight w:val="283"/>
        </w:trPr>
        <w:tc>
          <w:tcPr>
            <w:tcW w:w="928" w:type="pct"/>
          </w:tcPr>
          <w:p w14:paraId="730E6EBB" w14:textId="77777777" w:rsidR="003E2FA0" w:rsidRPr="002B55E9" w:rsidRDefault="003E2FA0" w:rsidP="00304F7A">
            <w:pPr>
              <w:pStyle w:val="lgy-"/>
              <w:rPr>
                <w:rFonts w:eastAsia="宋体"/>
              </w:rPr>
            </w:pPr>
            <w:r w:rsidRPr="002B55E9">
              <w:rPr>
                <w:rFonts w:eastAsia="宋体" w:hint="eastAsia"/>
              </w:rPr>
              <w:t>设备清洗废水</w:t>
            </w:r>
          </w:p>
        </w:tc>
        <w:tc>
          <w:tcPr>
            <w:tcW w:w="431" w:type="pct"/>
          </w:tcPr>
          <w:p w14:paraId="0BBAEFB4"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1D8A71EF" w14:textId="77777777" w:rsidR="003E2FA0" w:rsidRPr="002B55E9" w:rsidRDefault="003E2FA0" w:rsidP="00304F7A">
            <w:pPr>
              <w:pStyle w:val="lgy-"/>
              <w:rPr>
                <w:rFonts w:eastAsia="宋体"/>
              </w:rPr>
            </w:pPr>
            <w:r w:rsidRPr="002B55E9">
              <w:rPr>
                <w:rFonts w:eastAsia="宋体"/>
              </w:rPr>
              <w:t>800</w:t>
            </w:r>
          </w:p>
        </w:tc>
        <w:tc>
          <w:tcPr>
            <w:tcW w:w="464" w:type="pct"/>
          </w:tcPr>
          <w:p w14:paraId="63419160" w14:textId="490B1B95" w:rsidR="003E2FA0" w:rsidRPr="002B55E9" w:rsidRDefault="003E2FA0" w:rsidP="00304F7A">
            <w:pPr>
              <w:pStyle w:val="lgy-"/>
              <w:rPr>
                <w:rFonts w:eastAsia="宋体"/>
              </w:rPr>
            </w:pPr>
            <w:r w:rsidRPr="002B55E9">
              <w:rPr>
                <w:rFonts w:eastAsia="宋体"/>
              </w:rPr>
              <w:t xml:space="preserve">6000 </w:t>
            </w:r>
          </w:p>
        </w:tc>
        <w:tc>
          <w:tcPr>
            <w:tcW w:w="464" w:type="pct"/>
          </w:tcPr>
          <w:p w14:paraId="6572E883" w14:textId="5FAADAA5" w:rsidR="003E2FA0" w:rsidRPr="002B55E9" w:rsidRDefault="003E2FA0" w:rsidP="00304F7A">
            <w:pPr>
              <w:pStyle w:val="lgy-"/>
              <w:rPr>
                <w:rFonts w:eastAsia="宋体"/>
              </w:rPr>
            </w:pPr>
            <w:r w:rsidRPr="002B55E9">
              <w:rPr>
                <w:rFonts w:eastAsia="宋体"/>
              </w:rPr>
              <w:t xml:space="preserve">2500 </w:t>
            </w:r>
          </w:p>
        </w:tc>
        <w:tc>
          <w:tcPr>
            <w:tcW w:w="464" w:type="pct"/>
          </w:tcPr>
          <w:p w14:paraId="044EE53A" w14:textId="3892DF8E" w:rsidR="003E2FA0" w:rsidRPr="002B55E9" w:rsidRDefault="003E2FA0" w:rsidP="00304F7A">
            <w:pPr>
              <w:pStyle w:val="lgy-"/>
              <w:rPr>
                <w:rFonts w:eastAsia="宋体"/>
              </w:rPr>
            </w:pPr>
            <w:r w:rsidRPr="002B55E9">
              <w:rPr>
                <w:rFonts w:eastAsia="宋体"/>
              </w:rPr>
              <w:t xml:space="preserve">2500 </w:t>
            </w:r>
          </w:p>
        </w:tc>
        <w:tc>
          <w:tcPr>
            <w:tcW w:w="464" w:type="pct"/>
          </w:tcPr>
          <w:p w14:paraId="61BC8A4E" w14:textId="75972ED6" w:rsidR="003E2FA0" w:rsidRPr="002B55E9" w:rsidRDefault="003E2FA0" w:rsidP="00304F7A">
            <w:pPr>
              <w:pStyle w:val="lgy-"/>
              <w:rPr>
                <w:rFonts w:eastAsia="宋体"/>
              </w:rPr>
            </w:pPr>
            <w:r w:rsidRPr="002B55E9">
              <w:rPr>
                <w:rFonts w:eastAsia="宋体"/>
              </w:rPr>
              <w:t xml:space="preserve">100 </w:t>
            </w:r>
          </w:p>
        </w:tc>
        <w:tc>
          <w:tcPr>
            <w:tcW w:w="464" w:type="pct"/>
          </w:tcPr>
          <w:p w14:paraId="1912C0EF" w14:textId="43ECC94B" w:rsidR="003E2FA0" w:rsidRPr="002B55E9" w:rsidRDefault="003E2FA0" w:rsidP="00304F7A">
            <w:pPr>
              <w:pStyle w:val="lgy-"/>
              <w:rPr>
                <w:rFonts w:eastAsia="宋体"/>
              </w:rPr>
            </w:pPr>
            <w:r w:rsidRPr="002B55E9">
              <w:rPr>
                <w:rFonts w:eastAsia="宋体"/>
              </w:rPr>
              <w:t xml:space="preserve">300 </w:t>
            </w:r>
          </w:p>
        </w:tc>
        <w:tc>
          <w:tcPr>
            <w:tcW w:w="365" w:type="pct"/>
          </w:tcPr>
          <w:p w14:paraId="7F804831" w14:textId="6DF31E55" w:rsidR="003E2FA0" w:rsidRPr="002B55E9" w:rsidRDefault="003E2FA0" w:rsidP="00304F7A">
            <w:pPr>
              <w:pStyle w:val="lgy-"/>
              <w:rPr>
                <w:rFonts w:eastAsia="宋体"/>
              </w:rPr>
            </w:pPr>
            <w:r w:rsidRPr="002B55E9">
              <w:rPr>
                <w:rFonts w:eastAsia="宋体"/>
              </w:rPr>
              <w:t xml:space="preserve">60 </w:t>
            </w:r>
          </w:p>
        </w:tc>
        <w:tc>
          <w:tcPr>
            <w:tcW w:w="585" w:type="pct"/>
            <w:gridSpan w:val="2"/>
          </w:tcPr>
          <w:p w14:paraId="775E88EB" w14:textId="4D3A48B5" w:rsidR="003E2FA0" w:rsidRPr="002B55E9" w:rsidRDefault="003E2FA0" w:rsidP="00304F7A">
            <w:pPr>
              <w:pStyle w:val="lgy-"/>
              <w:rPr>
                <w:rFonts w:eastAsia="宋体"/>
              </w:rPr>
            </w:pPr>
            <w:r w:rsidRPr="002B55E9">
              <w:rPr>
                <w:rFonts w:eastAsia="宋体"/>
              </w:rPr>
              <w:t>/</w:t>
            </w:r>
          </w:p>
        </w:tc>
      </w:tr>
      <w:tr w:rsidR="003E2FA0" w:rsidRPr="002B55E9" w14:paraId="21C7D30E" w14:textId="77777777" w:rsidTr="003E2FA0">
        <w:trPr>
          <w:trHeight w:val="283"/>
        </w:trPr>
        <w:tc>
          <w:tcPr>
            <w:tcW w:w="928" w:type="pct"/>
          </w:tcPr>
          <w:p w14:paraId="70E27F66" w14:textId="77777777" w:rsidR="003E2FA0" w:rsidRPr="002B55E9" w:rsidRDefault="003E2FA0" w:rsidP="00304F7A">
            <w:pPr>
              <w:pStyle w:val="lgy-"/>
              <w:rPr>
                <w:rFonts w:eastAsia="宋体"/>
              </w:rPr>
            </w:pPr>
            <w:r w:rsidRPr="002B55E9">
              <w:rPr>
                <w:rFonts w:eastAsia="宋体" w:hint="eastAsia"/>
              </w:rPr>
              <w:t>地面清洗废水</w:t>
            </w:r>
          </w:p>
        </w:tc>
        <w:tc>
          <w:tcPr>
            <w:tcW w:w="431" w:type="pct"/>
          </w:tcPr>
          <w:p w14:paraId="3C3E6939"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41578700" w14:textId="77777777" w:rsidR="003E2FA0" w:rsidRPr="002B55E9" w:rsidRDefault="003E2FA0" w:rsidP="00304F7A">
            <w:pPr>
              <w:pStyle w:val="lgy-"/>
              <w:rPr>
                <w:rFonts w:eastAsia="宋体"/>
              </w:rPr>
            </w:pPr>
            <w:r w:rsidRPr="002B55E9">
              <w:rPr>
                <w:rFonts w:eastAsia="宋体"/>
              </w:rPr>
              <w:t>50</w:t>
            </w:r>
          </w:p>
        </w:tc>
        <w:tc>
          <w:tcPr>
            <w:tcW w:w="464" w:type="pct"/>
          </w:tcPr>
          <w:p w14:paraId="55E2D5ED" w14:textId="77777777" w:rsidR="003E2FA0" w:rsidRPr="002B55E9" w:rsidRDefault="003E2FA0" w:rsidP="00304F7A">
            <w:pPr>
              <w:pStyle w:val="lgy-"/>
              <w:rPr>
                <w:rFonts w:eastAsia="宋体"/>
              </w:rPr>
            </w:pPr>
            <w:r w:rsidRPr="002B55E9">
              <w:rPr>
                <w:rFonts w:eastAsia="宋体" w:hint="eastAsia"/>
              </w:rPr>
              <w:t>1</w:t>
            </w:r>
            <w:r w:rsidRPr="002B55E9">
              <w:rPr>
                <w:rFonts w:eastAsia="宋体"/>
              </w:rPr>
              <w:t>000</w:t>
            </w:r>
          </w:p>
        </w:tc>
        <w:tc>
          <w:tcPr>
            <w:tcW w:w="464" w:type="pct"/>
          </w:tcPr>
          <w:p w14:paraId="7A35D783" w14:textId="77777777" w:rsidR="003E2FA0" w:rsidRPr="002B55E9" w:rsidRDefault="003E2FA0" w:rsidP="00304F7A">
            <w:pPr>
              <w:pStyle w:val="lgy-"/>
              <w:rPr>
                <w:rFonts w:eastAsia="宋体"/>
              </w:rPr>
            </w:pPr>
            <w:r w:rsidRPr="002B55E9">
              <w:rPr>
                <w:rFonts w:eastAsia="宋体"/>
              </w:rPr>
              <w:t>450</w:t>
            </w:r>
          </w:p>
        </w:tc>
        <w:tc>
          <w:tcPr>
            <w:tcW w:w="464" w:type="pct"/>
          </w:tcPr>
          <w:p w14:paraId="7E99A470" w14:textId="77777777" w:rsidR="003E2FA0" w:rsidRPr="002B55E9" w:rsidRDefault="003E2FA0" w:rsidP="00304F7A">
            <w:pPr>
              <w:pStyle w:val="lgy-"/>
              <w:rPr>
                <w:rFonts w:eastAsia="宋体"/>
              </w:rPr>
            </w:pPr>
            <w:r w:rsidRPr="002B55E9">
              <w:rPr>
                <w:rFonts w:eastAsia="宋体"/>
              </w:rPr>
              <w:t>500</w:t>
            </w:r>
          </w:p>
        </w:tc>
        <w:tc>
          <w:tcPr>
            <w:tcW w:w="464" w:type="pct"/>
          </w:tcPr>
          <w:p w14:paraId="67465399" w14:textId="77777777" w:rsidR="003E2FA0" w:rsidRPr="002B55E9" w:rsidRDefault="003E2FA0" w:rsidP="00304F7A">
            <w:pPr>
              <w:pStyle w:val="lgy-"/>
              <w:rPr>
                <w:rFonts w:eastAsia="宋体"/>
              </w:rPr>
            </w:pPr>
            <w:r w:rsidRPr="002B55E9">
              <w:rPr>
                <w:rFonts w:eastAsia="宋体"/>
              </w:rPr>
              <w:t>20</w:t>
            </w:r>
          </w:p>
        </w:tc>
        <w:tc>
          <w:tcPr>
            <w:tcW w:w="464" w:type="pct"/>
          </w:tcPr>
          <w:p w14:paraId="1001F89D" w14:textId="77777777" w:rsidR="003E2FA0" w:rsidRPr="002B55E9" w:rsidRDefault="003E2FA0" w:rsidP="00304F7A">
            <w:pPr>
              <w:pStyle w:val="lgy-"/>
              <w:rPr>
                <w:rFonts w:eastAsia="宋体"/>
              </w:rPr>
            </w:pPr>
            <w:r w:rsidRPr="002B55E9">
              <w:rPr>
                <w:rFonts w:eastAsia="宋体" w:hint="eastAsia"/>
              </w:rPr>
              <w:t>3</w:t>
            </w:r>
            <w:r w:rsidRPr="002B55E9">
              <w:rPr>
                <w:rFonts w:eastAsia="宋体"/>
              </w:rPr>
              <w:t>0</w:t>
            </w:r>
          </w:p>
        </w:tc>
        <w:tc>
          <w:tcPr>
            <w:tcW w:w="365" w:type="pct"/>
          </w:tcPr>
          <w:p w14:paraId="36AB6552" w14:textId="77777777" w:rsidR="003E2FA0" w:rsidRPr="002B55E9" w:rsidRDefault="003E2FA0" w:rsidP="00304F7A">
            <w:pPr>
              <w:pStyle w:val="lgy-"/>
              <w:rPr>
                <w:rFonts w:eastAsia="宋体"/>
              </w:rPr>
            </w:pPr>
            <w:r w:rsidRPr="002B55E9">
              <w:rPr>
                <w:rFonts w:eastAsia="宋体"/>
              </w:rPr>
              <w:t>10</w:t>
            </w:r>
          </w:p>
        </w:tc>
        <w:tc>
          <w:tcPr>
            <w:tcW w:w="585" w:type="pct"/>
            <w:gridSpan w:val="2"/>
          </w:tcPr>
          <w:p w14:paraId="685ABCCC" w14:textId="77777777" w:rsidR="003E2FA0" w:rsidRPr="002B55E9" w:rsidRDefault="003E2FA0" w:rsidP="00304F7A">
            <w:pPr>
              <w:pStyle w:val="lgy-"/>
              <w:rPr>
                <w:rFonts w:eastAsia="宋体"/>
              </w:rPr>
            </w:pPr>
            <w:r w:rsidRPr="002B55E9">
              <w:rPr>
                <w:rFonts w:eastAsia="宋体"/>
              </w:rPr>
              <w:t>/</w:t>
            </w:r>
          </w:p>
        </w:tc>
      </w:tr>
      <w:tr w:rsidR="003E2FA0" w:rsidRPr="002B55E9" w14:paraId="5AFAC79D" w14:textId="77777777" w:rsidTr="003E2FA0">
        <w:trPr>
          <w:trHeight w:val="283"/>
        </w:trPr>
        <w:tc>
          <w:tcPr>
            <w:tcW w:w="928" w:type="pct"/>
          </w:tcPr>
          <w:p w14:paraId="09F88A58" w14:textId="77777777" w:rsidR="003E2FA0" w:rsidRPr="002B55E9" w:rsidRDefault="003E2FA0" w:rsidP="00304F7A">
            <w:pPr>
              <w:pStyle w:val="lgy-"/>
              <w:rPr>
                <w:rFonts w:eastAsia="宋体"/>
              </w:rPr>
            </w:pPr>
            <w:r w:rsidRPr="002B55E9">
              <w:rPr>
                <w:rFonts w:eastAsia="宋体" w:hint="eastAsia"/>
              </w:rPr>
              <w:t>喷淋塔排水</w:t>
            </w:r>
          </w:p>
        </w:tc>
        <w:tc>
          <w:tcPr>
            <w:tcW w:w="431" w:type="pct"/>
          </w:tcPr>
          <w:p w14:paraId="1EE005AC" w14:textId="38C8600B" w:rsidR="003E2FA0" w:rsidRPr="002B55E9" w:rsidRDefault="003E2FA0" w:rsidP="005F49DA">
            <w:pPr>
              <w:pStyle w:val="lgy-"/>
              <w:rPr>
                <w:rFonts w:eastAsia="宋体"/>
              </w:rPr>
            </w:pPr>
            <w:r w:rsidRPr="002B55E9">
              <w:rPr>
                <w:rFonts w:eastAsia="宋体"/>
              </w:rPr>
              <w:t>8~10</w:t>
            </w:r>
          </w:p>
        </w:tc>
        <w:tc>
          <w:tcPr>
            <w:tcW w:w="370" w:type="pct"/>
          </w:tcPr>
          <w:p w14:paraId="134657B3" w14:textId="77777777" w:rsidR="003E2FA0" w:rsidRPr="002B55E9" w:rsidRDefault="003E2FA0" w:rsidP="00304F7A">
            <w:pPr>
              <w:pStyle w:val="lgy-"/>
              <w:rPr>
                <w:rFonts w:eastAsia="宋体"/>
              </w:rPr>
            </w:pPr>
            <w:r w:rsidRPr="002B55E9">
              <w:rPr>
                <w:rFonts w:eastAsia="宋体" w:hint="eastAsia"/>
              </w:rPr>
              <w:t>/</w:t>
            </w:r>
          </w:p>
        </w:tc>
        <w:tc>
          <w:tcPr>
            <w:tcW w:w="464" w:type="pct"/>
          </w:tcPr>
          <w:p w14:paraId="0C9F3B0F" w14:textId="2533D111" w:rsidR="003E2FA0" w:rsidRPr="002B55E9" w:rsidRDefault="003E2FA0" w:rsidP="00304F7A">
            <w:pPr>
              <w:pStyle w:val="lgy-"/>
              <w:rPr>
                <w:rFonts w:eastAsia="宋体"/>
              </w:rPr>
            </w:pPr>
            <w:r w:rsidRPr="002B55E9">
              <w:rPr>
                <w:rFonts w:eastAsia="宋体"/>
              </w:rPr>
              <w:t xml:space="preserve">5155.64 </w:t>
            </w:r>
          </w:p>
        </w:tc>
        <w:tc>
          <w:tcPr>
            <w:tcW w:w="464" w:type="pct"/>
          </w:tcPr>
          <w:p w14:paraId="53A9576F" w14:textId="42CAD17F" w:rsidR="003E2FA0" w:rsidRPr="002B55E9" w:rsidRDefault="003E2FA0" w:rsidP="00304F7A">
            <w:pPr>
              <w:pStyle w:val="lgy-"/>
              <w:rPr>
                <w:rFonts w:eastAsia="宋体"/>
              </w:rPr>
            </w:pPr>
            <w:r w:rsidRPr="002B55E9">
              <w:rPr>
                <w:rFonts w:eastAsia="宋体"/>
              </w:rPr>
              <w:t xml:space="preserve">3965.88 </w:t>
            </w:r>
          </w:p>
        </w:tc>
        <w:tc>
          <w:tcPr>
            <w:tcW w:w="464" w:type="pct"/>
          </w:tcPr>
          <w:p w14:paraId="228C24E1" w14:textId="72DE27B7" w:rsidR="003E2FA0" w:rsidRPr="002B55E9" w:rsidRDefault="003E2FA0" w:rsidP="00304F7A">
            <w:pPr>
              <w:pStyle w:val="lgy-"/>
              <w:rPr>
                <w:rFonts w:eastAsia="宋体"/>
              </w:rPr>
            </w:pPr>
            <w:r w:rsidRPr="002B55E9">
              <w:rPr>
                <w:rFonts w:eastAsia="宋体"/>
              </w:rPr>
              <w:t xml:space="preserve">500 </w:t>
            </w:r>
          </w:p>
        </w:tc>
        <w:tc>
          <w:tcPr>
            <w:tcW w:w="464" w:type="pct"/>
          </w:tcPr>
          <w:p w14:paraId="756F8043" w14:textId="77777777" w:rsidR="003E2FA0" w:rsidRPr="002B55E9" w:rsidRDefault="003E2FA0" w:rsidP="00304F7A">
            <w:pPr>
              <w:pStyle w:val="lgy-"/>
              <w:rPr>
                <w:rFonts w:eastAsia="宋体"/>
              </w:rPr>
            </w:pPr>
            <w:r w:rsidRPr="002B55E9">
              <w:rPr>
                <w:rFonts w:eastAsia="宋体"/>
              </w:rPr>
              <w:t xml:space="preserve">50 </w:t>
            </w:r>
          </w:p>
        </w:tc>
        <w:tc>
          <w:tcPr>
            <w:tcW w:w="464" w:type="pct"/>
          </w:tcPr>
          <w:p w14:paraId="519870D7" w14:textId="77777777" w:rsidR="003E2FA0" w:rsidRPr="002B55E9" w:rsidRDefault="003E2FA0" w:rsidP="00304F7A">
            <w:pPr>
              <w:pStyle w:val="lgy-"/>
              <w:rPr>
                <w:rFonts w:eastAsia="宋体"/>
              </w:rPr>
            </w:pPr>
            <w:r w:rsidRPr="002B55E9">
              <w:rPr>
                <w:rFonts w:eastAsia="宋体"/>
              </w:rPr>
              <w:t xml:space="preserve">70 </w:t>
            </w:r>
          </w:p>
        </w:tc>
        <w:tc>
          <w:tcPr>
            <w:tcW w:w="365" w:type="pct"/>
          </w:tcPr>
          <w:p w14:paraId="602DD486" w14:textId="77777777" w:rsidR="003E2FA0" w:rsidRPr="002B55E9" w:rsidRDefault="003E2FA0" w:rsidP="00304F7A">
            <w:pPr>
              <w:pStyle w:val="lgy-"/>
              <w:rPr>
                <w:rFonts w:eastAsia="宋体"/>
              </w:rPr>
            </w:pPr>
            <w:r w:rsidRPr="002B55E9">
              <w:rPr>
                <w:rFonts w:eastAsia="宋体" w:hint="eastAsia"/>
              </w:rPr>
              <w:t>/</w:t>
            </w:r>
          </w:p>
        </w:tc>
        <w:tc>
          <w:tcPr>
            <w:tcW w:w="585" w:type="pct"/>
            <w:gridSpan w:val="2"/>
          </w:tcPr>
          <w:p w14:paraId="593F1283" w14:textId="77777777" w:rsidR="003E2FA0" w:rsidRPr="002B55E9" w:rsidRDefault="003E2FA0" w:rsidP="00304F7A">
            <w:pPr>
              <w:pStyle w:val="lgy-"/>
              <w:rPr>
                <w:rFonts w:eastAsia="宋体"/>
              </w:rPr>
            </w:pPr>
            <w:r w:rsidRPr="002B55E9">
              <w:rPr>
                <w:rFonts w:eastAsia="宋体" w:hint="eastAsia"/>
              </w:rPr>
              <w:t>/</w:t>
            </w:r>
          </w:p>
        </w:tc>
      </w:tr>
      <w:tr w:rsidR="003E2FA0" w:rsidRPr="002B55E9" w14:paraId="1264B128" w14:textId="77777777" w:rsidTr="003E2FA0">
        <w:trPr>
          <w:trHeight w:val="283"/>
        </w:trPr>
        <w:tc>
          <w:tcPr>
            <w:tcW w:w="928" w:type="pct"/>
          </w:tcPr>
          <w:p w14:paraId="61C8A6C7" w14:textId="77777777" w:rsidR="003E2FA0" w:rsidRPr="002B55E9" w:rsidRDefault="003E2FA0" w:rsidP="00304F7A">
            <w:pPr>
              <w:pStyle w:val="lgy-"/>
              <w:rPr>
                <w:rFonts w:eastAsia="宋体"/>
              </w:rPr>
            </w:pPr>
            <w:r w:rsidRPr="002B55E9">
              <w:rPr>
                <w:rFonts w:eastAsia="宋体" w:hint="eastAsia"/>
              </w:rPr>
              <w:t>循环冷却系统排水</w:t>
            </w:r>
          </w:p>
        </w:tc>
        <w:tc>
          <w:tcPr>
            <w:tcW w:w="431" w:type="pct"/>
          </w:tcPr>
          <w:p w14:paraId="69B30AD7"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14B3BF30" w14:textId="77777777" w:rsidR="003E2FA0" w:rsidRPr="002B55E9" w:rsidRDefault="003E2FA0" w:rsidP="00304F7A">
            <w:pPr>
              <w:pStyle w:val="lgy-"/>
              <w:rPr>
                <w:rFonts w:eastAsia="宋体"/>
              </w:rPr>
            </w:pPr>
            <w:r w:rsidRPr="002B55E9">
              <w:rPr>
                <w:rFonts w:eastAsia="宋体" w:hint="eastAsia"/>
              </w:rPr>
              <w:t>/</w:t>
            </w:r>
          </w:p>
        </w:tc>
        <w:tc>
          <w:tcPr>
            <w:tcW w:w="464" w:type="pct"/>
          </w:tcPr>
          <w:p w14:paraId="4EBA4930" w14:textId="77777777" w:rsidR="003E2FA0" w:rsidRPr="002B55E9" w:rsidRDefault="003E2FA0" w:rsidP="00304F7A">
            <w:pPr>
              <w:pStyle w:val="lgy-"/>
              <w:rPr>
                <w:rFonts w:eastAsia="宋体"/>
              </w:rPr>
            </w:pPr>
            <w:r w:rsidRPr="002B55E9">
              <w:rPr>
                <w:rFonts w:eastAsia="宋体"/>
              </w:rPr>
              <w:t>100</w:t>
            </w:r>
          </w:p>
        </w:tc>
        <w:tc>
          <w:tcPr>
            <w:tcW w:w="464" w:type="pct"/>
          </w:tcPr>
          <w:p w14:paraId="5B968B7B" w14:textId="77777777" w:rsidR="003E2FA0" w:rsidRPr="002B55E9" w:rsidRDefault="003E2FA0" w:rsidP="00304F7A">
            <w:pPr>
              <w:pStyle w:val="lgy-"/>
              <w:rPr>
                <w:rFonts w:eastAsia="宋体"/>
              </w:rPr>
            </w:pPr>
            <w:r w:rsidRPr="002B55E9">
              <w:rPr>
                <w:rFonts w:eastAsia="宋体"/>
              </w:rPr>
              <w:t>35</w:t>
            </w:r>
          </w:p>
        </w:tc>
        <w:tc>
          <w:tcPr>
            <w:tcW w:w="464" w:type="pct"/>
          </w:tcPr>
          <w:p w14:paraId="3971CDBE" w14:textId="77777777" w:rsidR="003E2FA0" w:rsidRPr="002B55E9" w:rsidRDefault="003E2FA0" w:rsidP="00304F7A">
            <w:pPr>
              <w:pStyle w:val="lgy-"/>
              <w:rPr>
                <w:rFonts w:eastAsia="宋体"/>
              </w:rPr>
            </w:pPr>
            <w:r w:rsidRPr="002B55E9">
              <w:rPr>
                <w:rFonts w:eastAsia="宋体"/>
              </w:rPr>
              <w:t>40</w:t>
            </w:r>
          </w:p>
        </w:tc>
        <w:tc>
          <w:tcPr>
            <w:tcW w:w="464" w:type="pct"/>
          </w:tcPr>
          <w:p w14:paraId="5DEEC69E" w14:textId="77777777" w:rsidR="003E2FA0" w:rsidRPr="002B55E9" w:rsidRDefault="003E2FA0" w:rsidP="00304F7A">
            <w:pPr>
              <w:pStyle w:val="lgy-"/>
              <w:rPr>
                <w:rFonts w:eastAsia="宋体"/>
              </w:rPr>
            </w:pPr>
            <w:r w:rsidRPr="002B55E9">
              <w:rPr>
                <w:rFonts w:eastAsia="宋体"/>
              </w:rPr>
              <w:t>10</w:t>
            </w:r>
          </w:p>
        </w:tc>
        <w:tc>
          <w:tcPr>
            <w:tcW w:w="464" w:type="pct"/>
          </w:tcPr>
          <w:p w14:paraId="2C467803" w14:textId="77777777" w:rsidR="003E2FA0" w:rsidRPr="002B55E9" w:rsidRDefault="003E2FA0" w:rsidP="00304F7A">
            <w:pPr>
              <w:pStyle w:val="lgy-"/>
              <w:rPr>
                <w:rFonts w:eastAsia="宋体"/>
              </w:rPr>
            </w:pPr>
            <w:r w:rsidRPr="002B55E9">
              <w:rPr>
                <w:rFonts w:eastAsia="宋体"/>
              </w:rPr>
              <w:t>20</w:t>
            </w:r>
          </w:p>
        </w:tc>
        <w:tc>
          <w:tcPr>
            <w:tcW w:w="365" w:type="pct"/>
          </w:tcPr>
          <w:p w14:paraId="2676D20C" w14:textId="77777777" w:rsidR="003E2FA0" w:rsidRPr="002B55E9" w:rsidRDefault="003E2FA0" w:rsidP="00304F7A">
            <w:pPr>
              <w:pStyle w:val="lgy-"/>
              <w:rPr>
                <w:rFonts w:eastAsia="宋体"/>
              </w:rPr>
            </w:pPr>
            <w:r w:rsidRPr="002B55E9">
              <w:rPr>
                <w:rFonts w:eastAsia="宋体" w:hint="eastAsia"/>
              </w:rPr>
              <w:t>/</w:t>
            </w:r>
          </w:p>
        </w:tc>
        <w:tc>
          <w:tcPr>
            <w:tcW w:w="585" w:type="pct"/>
            <w:gridSpan w:val="2"/>
          </w:tcPr>
          <w:p w14:paraId="3764F0B9" w14:textId="77777777" w:rsidR="003E2FA0" w:rsidRPr="002B55E9" w:rsidRDefault="003E2FA0" w:rsidP="00304F7A">
            <w:pPr>
              <w:pStyle w:val="lgy-"/>
              <w:rPr>
                <w:rFonts w:eastAsia="宋体"/>
              </w:rPr>
            </w:pPr>
            <w:r w:rsidRPr="002B55E9">
              <w:rPr>
                <w:rFonts w:eastAsia="宋体" w:hint="eastAsia"/>
              </w:rPr>
              <w:t>/</w:t>
            </w:r>
          </w:p>
        </w:tc>
      </w:tr>
      <w:tr w:rsidR="003E2FA0" w:rsidRPr="002B55E9" w14:paraId="03409693" w14:textId="77777777" w:rsidTr="003E2FA0">
        <w:trPr>
          <w:trHeight w:val="283"/>
        </w:trPr>
        <w:tc>
          <w:tcPr>
            <w:tcW w:w="928" w:type="pct"/>
          </w:tcPr>
          <w:p w14:paraId="3BECF604" w14:textId="77777777" w:rsidR="003E2FA0" w:rsidRPr="002B55E9" w:rsidRDefault="003E2FA0" w:rsidP="00304F7A">
            <w:pPr>
              <w:pStyle w:val="lgy-"/>
              <w:rPr>
                <w:rFonts w:eastAsia="宋体"/>
              </w:rPr>
            </w:pPr>
            <w:r w:rsidRPr="002B55E9">
              <w:rPr>
                <w:rFonts w:eastAsia="宋体" w:hint="eastAsia"/>
              </w:rPr>
              <w:t>化验室废水</w:t>
            </w:r>
          </w:p>
        </w:tc>
        <w:tc>
          <w:tcPr>
            <w:tcW w:w="431" w:type="pct"/>
          </w:tcPr>
          <w:p w14:paraId="0CA6D0EC"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76A99C90" w14:textId="77777777" w:rsidR="003E2FA0" w:rsidRPr="002B55E9" w:rsidRDefault="003E2FA0" w:rsidP="00304F7A">
            <w:pPr>
              <w:pStyle w:val="lgy-"/>
              <w:rPr>
                <w:rFonts w:eastAsia="宋体"/>
              </w:rPr>
            </w:pPr>
            <w:r w:rsidRPr="002B55E9">
              <w:rPr>
                <w:rFonts w:eastAsia="宋体" w:hint="eastAsia"/>
              </w:rPr>
              <w:t>/</w:t>
            </w:r>
          </w:p>
        </w:tc>
        <w:tc>
          <w:tcPr>
            <w:tcW w:w="464" w:type="pct"/>
          </w:tcPr>
          <w:p w14:paraId="63E82E4E" w14:textId="77777777" w:rsidR="003E2FA0" w:rsidRPr="002B55E9" w:rsidRDefault="003E2FA0" w:rsidP="00304F7A">
            <w:pPr>
              <w:pStyle w:val="lgy-"/>
              <w:rPr>
                <w:rFonts w:eastAsia="宋体"/>
              </w:rPr>
            </w:pPr>
            <w:r w:rsidRPr="002B55E9">
              <w:rPr>
                <w:rFonts w:eastAsia="宋体"/>
              </w:rPr>
              <w:t>1000</w:t>
            </w:r>
          </w:p>
        </w:tc>
        <w:tc>
          <w:tcPr>
            <w:tcW w:w="464" w:type="pct"/>
          </w:tcPr>
          <w:p w14:paraId="5D45590D" w14:textId="77777777" w:rsidR="003E2FA0" w:rsidRPr="002B55E9" w:rsidRDefault="003E2FA0" w:rsidP="00304F7A">
            <w:pPr>
              <w:pStyle w:val="lgy-"/>
              <w:rPr>
                <w:rFonts w:eastAsia="宋体"/>
              </w:rPr>
            </w:pPr>
            <w:r w:rsidRPr="002B55E9">
              <w:rPr>
                <w:rFonts w:eastAsia="宋体"/>
              </w:rPr>
              <w:t>400</w:t>
            </w:r>
          </w:p>
        </w:tc>
        <w:tc>
          <w:tcPr>
            <w:tcW w:w="464" w:type="pct"/>
          </w:tcPr>
          <w:p w14:paraId="48762515" w14:textId="77777777" w:rsidR="003E2FA0" w:rsidRPr="002B55E9" w:rsidRDefault="003E2FA0" w:rsidP="00304F7A">
            <w:pPr>
              <w:pStyle w:val="lgy-"/>
              <w:rPr>
                <w:rFonts w:eastAsia="宋体"/>
              </w:rPr>
            </w:pPr>
            <w:r w:rsidRPr="002B55E9">
              <w:rPr>
                <w:rFonts w:eastAsia="宋体"/>
              </w:rPr>
              <w:t>300</w:t>
            </w:r>
          </w:p>
        </w:tc>
        <w:tc>
          <w:tcPr>
            <w:tcW w:w="464" w:type="pct"/>
          </w:tcPr>
          <w:p w14:paraId="77797CE7" w14:textId="77777777" w:rsidR="003E2FA0" w:rsidRPr="002B55E9" w:rsidRDefault="003E2FA0" w:rsidP="00304F7A">
            <w:pPr>
              <w:pStyle w:val="lgy-"/>
              <w:rPr>
                <w:rFonts w:eastAsia="宋体"/>
              </w:rPr>
            </w:pPr>
            <w:r w:rsidRPr="002B55E9">
              <w:rPr>
                <w:rFonts w:eastAsia="宋体"/>
              </w:rPr>
              <w:t>7</w:t>
            </w:r>
          </w:p>
        </w:tc>
        <w:tc>
          <w:tcPr>
            <w:tcW w:w="464" w:type="pct"/>
          </w:tcPr>
          <w:p w14:paraId="0AB9A7CD" w14:textId="77777777" w:rsidR="003E2FA0" w:rsidRPr="002B55E9" w:rsidRDefault="003E2FA0" w:rsidP="00304F7A">
            <w:pPr>
              <w:pStyle w:val="lgy-"/>
              <w:rPr>
                <w:rFonts w:eastAsia="宋体"/>
              </w:rPr>
            </w:pPr>
            <w:r w:rsidRPr="002B55E9">
              <w:rPr>
                <w:rFonts w:eastAsia="宋体"/>
              </w:rPr>
              <w:t>15</w:t>
            </w:r>
          </w:p>
        </w:tc>
        <w:tc>
          <w:tcPr>
            <w:tcW w:w="365" w:type="pct"/>
          </w:tcPr>
          <w:p w14:paraId="0F671CF2" w14:textId="77777777" w:rsidR="003E2FA0" w:rsidRPr="002B55E9" w:rsidRDefault="003E2FA0" w:rsidP="00304F7A">
            <w:pPr>
              <w:pStyle w:val="lgy-"/>
              <w:rPr>
                <w:rFonts w:eastAsia="宋体"/>
              </w:rPr>
            </w:pPr>
            <w:r w:rsidRPr="002B55E9">
              <w:rPr>
                <w:rFonts w:eastAsia="宋体"/>
              </w:rPr>
              <w:t>8</w:t>
            </w:r>
          </w:p>
        </w:tc>
        <w:tc>
          <w:tcPr>
            <w:tcW w:w="585" w:type="pct"/>
            <w:gridSpan w:val="2"/>
          </w:tcPr>
          <w:p w14:paraId="01CE2F9B" w14:textId="77777777" w:rsidR="003E2FA0" w:rsidRPr="002B55E9" w:rsidRDefault="003E2FA0" w:rsidP="00304F7A">
            <w:pPr>
              <w:pStyle w:val="lgy-"/>
              <w:rPr>
                <w:rFonts w:eastAsia="宋体"/>
              </w:rPr>
            </w:pPr>
            <w:r w:rsidRPr="002B55E9">
              <w:rPr>
                <w:rFonts w:eastAsia="宋体" w:hint="eastAsia"/>
              </w:rPr>
              <w:t>/</w:t>
            </w:r>
          </w:p>
        </w:tc>
      </w:tr>
      <w:tr w:rsidR="003E2FA0" w:rsidRPr="002B55E9" w14:paraId="77D189BC" w14:textId="77777777" w:rsidTr="003E2FA0">
        <w:trPr>
          <w:trHeight w:val="283"/>
        </w:trPr>
        <w:tc>
          <w:tcPr>
            <w:tcW w:w="928" w:type="pct"/>
          </w:tcPr>
          <w:p w14:paraId="5FDD349B" w14:textId="77777777" w:rsidR="003E2FA0" w:rsidRPr="002B55E9" w:rsidRDefault="003E2FA0" w:rsidP="00304F7A">
            <w:pPr>
              <w:pStyle w:val="lgy-"/>
              <w:rPr>
                <w:rFonts w:eastAsia="宋体"/>
              </w:rPr>
            </w:pPr>
            <w:r w:rsidRPr="002B55E9">
              <w:rPr>
                <w:rFonts w:eastAsia="宋体" w:hint="eastAsia"/>
              </w:rPr>
              <w:t>制纯水尾水</w:t>
            </w:r>
          </w:p>
        </w:tc>
        <w:tc>
          <w:tcPr>
            <w:tcW w:w="431" w:type="pct"/>
          </w:tcPr>
          <w:p w14:paraId="443808C9"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34B5D5C5" w14:textId="77777777" w:rsidR="003E2FA0" w:rsidRPr="002B55E9" w:rsidRDefault="003E2FA0" w:rsidP="00304F7A">
            <w:pPr>
              <w:pStyle w:val="lgy-"/>
              <w:rPr>
                <w:rFonts w:eastAsia="宋体"/>
              </w:rPr>
            </w:pPr>
            <w:r w:rsidRPr="002B55E9">
              <w:rPr>
                <w:rFonts w:eastAsia="宋体" w:hint="eastAsia"/>
              </w:rPr>
              <w:t>/</w:t>
            </w:r>
          </w:p>
        </w:tc>
        <w:tc>
          <w:tcPr>
            <w:tcW w:w="464" w:type="pct"/>
          </w:tcPr>
          <w:p w14:paraId="3ED6BCBC" w14:textId="77777777" w:rsidR="003E2FA0" w:rsidRPr="002B55E9" w:rsidRDefault="003E2FA0" w:rsidP="00304F7A">
            <w:pPr>
              <w:pStyle w:val="lgy-"/>
              <w:rPr>
                <w:rFonts w:eastAsia="宋体"/>
              </w:rPr>
            </w:pPr>
            <w:r w:rsidRPr="002B55E9">
              <w:rPr>
                <w:rFonts w:eastAsia="宋体"/>
              </w:rPr>
              <w:t>40</w:t>
            </w:r>
          </w:p>
        </w:tc>
        <w:tc>
          <w:tcPr>
            <w:tcW w:w="464" w:type="pct"/>
          </w:tcPr>
          <w:p w14:paraId="4F134DCA" w14:textId="77777777" w:rsidR="003E2FA0" w:rsidRPr="002B55E9" w:rsidRDefault="003E2FA0" w:rsidP="00304F7A">
            <w:pPr>
              <w:pStyle w:val="lgy-"/>
              <w:rPr>
                <w:rFonts w:eastAsia="宋体"/>
              </w:rPr>
            </w:pPr>
            <w:r w:rsidRPr="002B55E9">
              <w:rPr>
                <w:rFonts w:eastAsia="宋体" w:hint="eastAsia"/>
              </w:rPr>
              <w:t>1</w:t>
            </w:r>
            <w:r w:rsidRPr="002B55E9">
              <w:rPr>
                <w:rFonts w:eastAsia="宋体"/>
              </w:rPr>
              <w:t>0</w:t>
            </w:r>
          </w:p>
        </w:tc>
        <w:tc>
          <w:tcPr>
            <w:tcW w:w="464" w:type="pct"/>
          </w:tcPr>
          <w:p w14:paraId="329C21E4" w14:textId="77777777" w:rsidR="003E2FA0" w:rsidRPr="002B55E9" w:rsidRDefault="003E2FA0" w:rsidP="00304F7A">
            <w:pPr>
              <w:pStyle w:val="lgy-"/>
              <w:rPr>
                <w:rFonts w:eastAsia="宋体"/>
              </w:rPr>
            </w:pPr>
            <w:r w:rsidRPr="002B55E9">
              <w:rPr>
                <w:rFonts w:eastAsia="宋体" w:hint="eastAsia"/>
              </w:rPr>
              <w:t>1</w:t>
            </w:r>
            <w:r w:rsidRPr="002B55E9">
              <w:rPr>
                <w:rFonts w:eastAsia="宋体"/>
              </w:rPr>
              <w:t>0</w:t>
            </w:r>
          </w:p>
        </w:tc>
        <w:tc>
          <w:tcPr>
            <w:tcW w:w="464" w:type="pct"/>
          </w:tcPr>
          <w:p w14:paraId="2ACCE3B3" w14:textId="77777777" w:rsidR="003E2FA0" w:rsidRPr="002B55E9" w:rsidRDefault="003E2FA0" w:rsidP="00304F7A">
            <w:pPr>
              <w:pStyle w:val="lgy-"/>
              <w:rPr>
                <w:rFonts w:eastAsia="宋体"/>
              </w:rPr>
            </w:pPr>
            <w:r w:rsidRPr="002B55E9">
              <w:rPr>
                <w:rFonts w:eastAsia="宋体" w:hint="eastAsia"/>
              </w:rPr>
              <w:t>5</w:t>
            </w:r>
          </w:p>
        </w:tc>
        <w:tc>
          <w:tcPr>
            <w:tcW w:w="464" w:type="pct"/>
          </w:tcPr>
          <w:p w14:paraId="11480287" w14:textId="77777777" w:rsidR="003E2FA0" w:rsidRPr="002B55E9" w:rsidRDefault="003E2FA0" w:rsidP="00304F7A">
            <w:pPr>
              <w:pStyle w:val="lgy-"/>
              <w:rPr>
                <w:rFonts w:eastAsia="宋体"/>
              </w:rPr>
            </w:pPr>
            <w:r w:rsidRPr="002B55E9">
              <w:rPr>
                <w:rFonts w:eastAsia="宋体"/>
              </w:rPr>
              <w:t>10</w:t>
            </w:r>
          </w:p>
        </w:tc>
        <w:tc>
          <w:tcPr>
            <w:tcW w:w="365" w:type="pct"/>
          </w:tcPr>
          <w:p w14:paraId="1295A6E0" w14:textId="77777777" w:rsidR="003E2FA0" w:rsidRPr="002B55E9" w:rsidRDefault="003E2FA0" w:rsidP="00304F7A">
            <w:pPr>
              <w:pStyle w:val="lgy-"/>
              <w:rPr>
                <w:rFonts w:eastAsia="宋体"/>
              </w:rPr>
            </w:pPr>
            <w:r w:rsidRPr="002B55E9">
              <w:rPr>
                <w:rFonts w:eastAsia="宋体" w:hint="eastAsia"/>
              </w:rPr>
              <w:t>/</w:t>
            </w:r>
          </w:p>
        </w:tc>
        <w:tc>
          <w:tcPr>
            <w:tcW w:w="585" w:type="pct"/>
            <w:gridSpan w:val="2"/>
          </w:tcPr>
          <w:p w14:paraId="122F8AD6" w14:textId="77777777" w:rsidR="003E2FA0" w:rsidRPr="002B55E9" w:rsidRDefault="003E2FA0" w:rsidP="00304F7A">
            <w:pPr>
              <w:pStyle w:val="lgy-"/>
              <w:rPr>
                <w:rFonts w:eastAsia="宋体"/>
              </w:rPr>
            </w:pPr>
            <w:r w:rsidRPr="002B55E9">
              <w:rPr>
                <w:rFonts w:eastAsia="宋体" w:hint="eastAsia"/>
              </w:rPr>
              <w:t>/</w:t>
            </w:r>
          </w:p>
        </w:tc>
      </w:tr>
      <w:tr w:rsidR="003E2FA0" w:rsidRPr="002B55E9" w14:paraId="126840D8" w14:textId="77777777" w:rsidTr="003E2FA0">
        <w:trPr>
          <w:trHeight w:val="283"/>
        </w:trPr>
        <w:tc>
          <w:tcPr>
            <w:tcW w:w="928" w:type="pct"/>
          </w:tcPr>
          <w:p w14:paraId="3C9DE42A" w14:textId="77777777" w:rsidR="003E2FA0" w:rsidRPr="002B55E9" w:rsidRDefault="003E2FA0" w:rsidP="00304F7A">
            <w:pPr>
              <w:pStyle w:val="lgy-"/>
              <w:rPr>
                <w:rFonts w:eastAsia="宋体"/>
              </w:rPr>
            </w:pPr>
            <w:r w:rsidRPr="002B55E9">
              <w:rPr>
                <w:rFonts w:eastAsia="宋体" w:hint="eastAsia"/>
              </w:rPr>
              <w:lastRenderedPageBreak/>
              <w:t>蒸汽冷凝水</w:t>
            </w:r>
          </w:p>
        </w:tc>
        <w:tc>
          <w:tcPr>
            <w:tcW w:w="431" w:type="pct"/>
          </w:tcPr>
          <w:p w14:paraId="1046E445" w14:textId="77777777" w:rsidR="003E2FA0" w:rsidRPr="002B55E9" w:rsidRDefault="003E2FA0" w:rsidP="00304F7A">
            <w:pPr>
              <w:pStyle w:val="lgy-"/>
              <w:rPr>
                <w:rFonts w:eastAsia="宋体"/>
              </w:rPr>
            </w:pPr>
            <w:r w:rsidRPr="002B55E9">
              <w:rPr>
                <w:rFonts w:eastAsia="宋体" w:hint="eastAsia"/>
              </w:rPr>
              <w:t>6</w:t>
            </w:r>
            <w:r w:rsidRPr="002B55E9">
              <w:rPr>
                <w:rFonts w:eastAsia="宋体"/>
              </w:rPr>
              <w:t>~9</w:t>
            </w:r>
          </w:p>
        </w:tc>
        <w:tc>
          <w:tcPr>
            <w:tcW w:w="370" w:type="pct"/>
          </w:tcPr>
          <w:p w14:paraId="0AAFE9B6" w14:textId="77777777" w:rsidR="003E2FA0" w:rsidRPr="002B55E9" w:rsidRDefault="003E2FA0" w:rsidP="00304F7A">
            <w:pPr>
              <w:pStyle w:val="lgy-"/>
              <w:rPr>
                <w:rFonts w:eastAsia="宋体"/>
              </w:rPr>
            </w:pPr>
            <w:r w:rsidRPr="002B55E9">
              <w:rPr>
                <w:rFonts w:eastAsia="宋体" w:hint="eastAsia"/>
              </w:rPr>
              <w:t>/</w:t>
            </w:r>
          </w:p>
        </w:tc>
        <w:tc>
          <w:tcPr>
            <w:tcW w:w="464" w:type="pct"/>
          </w:tcPr>
          <w:p w14:paraId="19A598E7" w14:textId="77777777" w:rsidR="003E2FA0" w:rsidRPr="002B55E9" w:rsidRDefault="003E2FA0" w:rsidP="00304F7A">
            <w:pPr>
              <w:pStyle w:val="lgy-"/>
              <w:rPr>
                <w:rFonts w:eastAsia="宋体"/>
              </w:rPr>
            </w:pPr>
            <w:r w:rsidRPr="002B55E9">
              <w:rPr>
                <w:rFonts w:eastAsia="宋体"/>
              </w:rPr>
              <w:t>40</w:t>
            </w:r>
          </w:p>
        </w:tc>
        <w:tc>
          <w:tcPr>
            <w:tcW w:w="464" w:type="pct"/>
          </w:tcPr>
          <w:p w14:paraId="00E788B9" w14:textId="77777777" w:rsidR="003E2FA0" w:rsidRPr="002B55E9" w:rsidRDefault="003E2FA0" w:rsidP="00304F7A">
            <w:pPr>
              <w:pStyle w:val="lgy-"/>
              <w:rPr>
                <w:rFonts w:eastAsia="宋体"/>
              </w:rPr>
            </w:pPr>
            <w:r w:rsidRPr="002B55E9">
              <w:rPr>
                <w:rFonts w:eastAsia="宋体" w:hint="eastAsia"/>
              </w:rPr>
              <w:t>1</w:t>
            </w:r>
            <w:r w:rsidRPr="002B55E9">
              <w:rPr>
                <w:rFonts w:eastAsia="宋体"/>
              </w:rPr>
              <w:t>0</w:t>
            </w:r>
          </w:p>
        </w:tc>
        <w:tc>
          <w:tcPr>
            <w:tcW w:w="464" w:type="pct"/>
          </w:tcPr>
          <w:p w14:paraId="4D74DA87" w14:textId="77777777" w:rsidR="003E2FA0" w:rsidRPr="002B55E9" w:rsidRDefault="003E2FA0" w:rsidP="00304F7A">
            <w:pPr>
              <w:pStyle w:val="lgy-"/>
              <w:rPr>
                <w:rFonts w:eastAsia="宋体"/>
              </w:rPr>
            </w:pPr>
            <w:r w:rsidRPr="002B55E9">
              <w:rPr>
                <w:rFonts w:eastAsia="宋体" w:hint="eastAsia"/>
              </w:rPr>
              <w:t>1</w:t>
            </w:r>
            <w:r w:rsidRPr="002B55E9">
              <w:rPr>
                <w:rFonts w:eastAsia="宋体"/>
              </w:rPr>
              <w:t>0</w:t>
            </w:r>
          </w:p>
        </w:tc>
        <w:tc>
          <w:tcPr>
            <w:tcW w:w="464" w:type="pct"/>
          </w:tcPr>
          <w:p w14:paraId="16F0452A" w14:textId="77777777" w:rsidR="003E2FA0" w:rsidRPr="002B55E9" w:rsidRDefault="003E2FA0" w:rsidP="00304F7A">
            <w:pPr>
              <w:pStyle w:val="lgy-"/>
              <w:rPr>
                <w:rFonts w:eastAsia="宋体"/>
              </w:rPr>
            </w:pPr>
            <w:r w:rsidRPr="002B55E9">
              <w:rPr>
                <w:rFonts w:eastAsia="宋体" w:hint="eastAsia"/>
              </w:rPr>
              <w:t>5</w:t>
            </w:r>
          </w:p>
        </w:tc>
        <w:tc>
          <w:tcPr>
            <w:tcW w:w="464" w:type="pct"/>
          </w:tcPr>
          <w:p w14:paraId="1A9A0C37" w14:textId="77777777" w:rsidR="003E2FA0" w:rsidRPr="002B55E9" w:rsidRDefault="003E2FA0" w:rsidP="00304F7A">
            <w:pPr>
              <w:pStyle w:val="lgy-"/>
              <w:rPr>
                <w:rFonts w:eastAsia="宋体"/>
              </w:rPr>
            </w:pPr>
            <w:r w:rsidRPr="002B55E9">
              <w:rPr>
                <w:rFonts w:eastAsia="宋体"/>
              </w:rPr>
              <w:t>10</w:t>
            </w:r>
          </w:p>
        </w:tc>
        <w:tc>
          <w:tcPr>
            <w:tcW w:w="365" w:type="pct"/>
          </w:tcPr>
          <w:p w14:paraId="22D3570D" w14:textId="77777777" w:rsidR="003E2FA0" w:rsidRPr="002B55E9" w:rsidRDefault="003E2FA0" w:rsidP="00304F7A">
            <w:pPr>
              <w:pStyle w:val="lgy-"/>
              <w:rPr>
                <w:rFonts w:eastAsia="宋体"/>
              </w:rPr>
            </w:pPr>
            <w:r w:rsidRPr="002B55E9">
              <w:rPr>
                <w:rFonts w:eastAsia="宋体" w:hint="eastAsia"/>
              </w:rPr>
              <w:t>/</w:t>
            </w:r>
          </w:p>
        </w:tc>
        <w:tc>
          <w:tcPr>
            <w:tcW w:w="585" w:type="pct"/>
            <w:gridSpan w:val="2"/>
          </w:tcPr>
          <w:p w14:paraId="20BF42A0" w14:textId="77777777" w:rsidR="003E2FA0" w:rsidRPr="002B55E9" w:rsidRDefault="003E2FA0" w:rsidP="00304F7A">
            <w:pPr>
              <w:pStyle w:val="lgy-"/>
              <w:rPr>
                <w:rFonts w:eastAsia="宋体"/>
              </w:rPr>
            </w:pPr>
            <w:r w:rsidRPr="002B55E9">
              <w:rPr>
                <w:rFonts w:eastAsia="宋体" w:hint="eastAsia"/>
              </w:rPr>
              <w:t>/</w:t>
            </w:r>
          </w:p>
        </w:tc>
      </w:tr>
    </w:tbl>
    <w:p w14:paraId="7ECE3C24" w14:textId="7D69EA24" w:rsidR="00FA70DD" w:rsidRPr="002B55E9" w:rsidRDefault="00FA70DD">
      <w:pPr>
        <w:pStyle w:val="5"/>
        <w:numPr>
          <w:ilvl w:val="4"/>
          <w:numId w:val="20"/>
        </w:numPr>
      </w:pPr>
      <w:r w:rsidRPr="002B55E9">
        <w:rPr>
          <w:rFonts w:hint="eastAsia"/>
        </w:rPr>
        <w:t>中水回用</w:t>
      </w:r>
    </w:p>
    <w:p w14:paraId="443A443D" w14:textId="36DFF27D" w:rsidR="00FA70DD" w:rsidRPr="002B55E9" w:rsidRDefault="00FA70DD" w:rsidP="00FA70DD">
      <w:pPr>
        <w:pStyle w:val="aa"/>
        <w:rPr>
          <w:bCs/>
        </w:rPr>
      </w:pPr>
      <w:r w:rsidRPr="002B55E9">
        <w:rPr>
          <w:rFonts w:hint="eastAsia"/>
          <w:bCs/>
        </w:rPr>
        <w:t>本项目主要生产料酒和食醋，属于食品制造业，</w:t>
      </w:r>
      <w:r w:rsidR="00192FB7" w:rsidRPr="002B55E9">
        <w:rPr>
          <w:rFonts w:hint="eastAsia"/>
          <w:bCs/>
        </w:rPr>
        <w:t>为确保产品质量，</w:t>
      </w:r>
      <w:r w:rsidRPr="002B55E9">
        <w:rPr>
          <w:rFonts w:hint="eastAsia"/>
          <w:bCs/>
        </w:rPr>
        <w:t>生产环节用水</w:t>
      </w:r>
      <w:r w:rsidR="00192FB7" w:rsidRPr="002B55E9">
        <w:rPr>
          <w:rFonts w:hint="eastAsia"/>
          <w:bCs/>
        </w:rPr>
        <w:t>水质</w:t>
      </w:r>
      <w:r w:rsidRPr="002B55E9">
        <w:rPr>
          <w:rFonts w:hint="eastAsia"/>
          <w:bCs/>
        </w:rPr>
        <w:t>要求较高，除地面清洗、厂区绿化回用部分蒸汽冷凝水外，其他冷凝水经专用管道送至佛山市海天（武汉）调味食品有限公司污水总排口排放，蒸汽冷凝水为清排水，水质中各污染物浓度均可满足《污水综合排放标准》（</w:t>
      </w:r>
      <w:r w:rsidRPr="002B55E9">
        <w:rPr>
          <w:rFonts w:hint="eastAsia"/>
          <w:bCs/>
        </w:rPr>
        <w:t>GB8978-1996</w:t>
      </w:r>
      <w:r w:rsidRPr="002B55E9">
        <w:rPr>
          <w:rFonts w:hint="eastAsia"/>
          <w:bCs/>
        </w:rPr>
        <w:t>）中表</w:t>
      </w:r>
      <w:r w:rsidRPr="002B55E9">
        <w:rPr>
          <w:rFonts w:hint="eastAsia"/>
          <w:bCs/>
        </w:rPr>
        <w:t>4</w:t>
      </w:r>
      <w:r w:rsidRPr="002B55E9">
        <w:rPr>
          <w:rFonts w:hint="eastAsia"/>
          <w:bCs/>
        </w:rPr>
        <w:t>三级标准以及东西湖区污水处理厂纳管标准限值要求。</w:t>
      </w:r>
    </w:p>
    <w:p w14:paraId="448C4D73" w14:textId="02B898E5" w:rsidR="00D170E5" w:rsidRPr="002B55E9" w:rsidRDefault="00EF27AD">
      <w:pPr>
        <w:pStyle w:val="5"/>
        <w:numPr>
          <w:ilvl w:val="4"/>
          <w:numId w:val="20"/>
        </w:numPr>
      </w:pPr>
      <w:r w:rsidRPr="002B55E9">
        <w:rPr>
          <w:rFonts w:hint="eastAsia"/>
        </w:rPr>
        <w:t>废水排放情况</w:t>
      </w:r>
    </w:p>
    <w:p w14:paraId="55840A58" w14:textId="77777777" w:rsidR="00D170E5" w:rsidRPr="002B55E9" w:rsidRDefault="00EF27AD">
      <w:pPr>
        <w:pStyle w:val="affff7"/>
        <w:tabs>
          <w:tab w:val="left" w:pos="1530"/>
        </w:tabs>
        <w:adjustRightInd w:val="0"/>
        <w:snapToGrid w:val="0"/>
        <w:spacing w:after="0"/>
        <w:rPr>
          <w:rFonts w:ascii="宋体" w:cs="宋体"/>
        </w:rPr>
      </w:pPr>
      <w:r w:rsidRPr="002B55E9">
        <w:rPr>
          <w:rFonts w:ascii="宋体" w:cs="宋体" w:hint="eastAsia"/>
        </w:rPr>
        <w:t>（</w:t>
      </w:r>
      <w:r w:rsidRPr="002B55E9">
        <w:rPr>
          <w:rFonts w:cs="宋体" w:hint="eastAsia"/>
        </w:rPr>
        <w:t>1</w:t>
      </w:r>
      <w:r w:rsidRPr="002B55E9">
        <w:rPr>
          <w:rFonts w:ascii="宋体" w:cs="宋体" w:hint="eastAsia"/>
        </w:rPr>
        <w:t>）废水处理设施</w:t>
      </w:r>
    </w:p>
    <w:p w14:paraId="458DBC71" w14:textId="74EA5CDD" w:rsidR="00D170E5" w:rsidRPr="002B55E9" w:rsidRDefault="00EF27AD">
      <w:pPr>
        <w:adjustRightInd w:val="0"/>
        <w:snapToGrid w:val="0"/>
        <w:spacing w:line="360" w:lineRule="auto"/>
        <w:ind w:firstLineChars="200" w:firstLine="480"/>
        <w:rPr>
          <w:sz w:val="24"/>
        </w:rPr>
      </w:pPr>
      <w:r w:rsidRPr="002B55E9">
        <w:rPr>
          <w:rFonts w:hint="eastAsia"/>
          <w:sz w:val="24"/>
        </w:rPr>
        <w:t>项目设备清洗水、地面清洗水等生产废水与经</w:t>
      </w:r>
      <w:r w:rsidRPr="002B55E9">
        <w:rPr>
          <w:sz w:val="24"/>
        </w:rPr>
        <w:t>化粪池处理后的</w:t>
      </w:r>
      <w:r w:rsidRPr="002B55E9">
        <w:rPr>
          <w:rFonts w:hint="eastAsia"/>
          <w:sz w:val="24"/>
        </w:rPr>
        <w:t>生活污水依托佛山市海天（武汉）调味食品有限公司污水处理站进行处理，污水处理站处理工艺为“</w:t>
      </w:r>
      <w:r w:rsidR="007F1BA2" w:rsidRPr="002B55E9">
        <w:rPr>
          <w:rFonts w:hint="eastAsia"/>
          <w:sz w:val="24"/>
        </w:rPr>
        <w:t>预处理</w:t>
      </w:r>
      <w:r w:rsidR="007F1BA2" w:rsidRPr="002B55E9">
        <w:rPr>
          <w:rFonts w:hint="eastAsia"/>
          <w:sz w:val="24"/>
        </w:rPr>
        <w:t>+</w:t>
      </w:r>
      <w:r w:rsidR="007F1BA2" w:rsidRPr="002B55E9">
        <w:rPr>
          <w:rFonts w:hint="eastAsia"/>
          <w:sz w:val="24"/>
        </w:rPr>
        <w:t>厌氧</w:t>
      </w:r>
      <w:r w:rsidR="007F1BA2" w:rsidRPr="002B55E9">
        <w:rPr>
          <w:rFonts w:hint="eastAsia"/>
          <w:sz w:val="24"/>
        </w:rPr>
        <w:t>+AO</w:t>
      </w:r>
      <w:r w:rsidR="007F1BA2" w:rsidRPr="002B55E9">
        <w:rPr>
          <w:rFonts w:hint="eastAsia"/>
          <w:sz w:val="24"/>
        </w:rPr>
        <w:t>系统</w:t>
      </w:r>
      <w:r w:rsidR="007F1BA2" w:rsidRPr="002B55E9">
        <w:rPr>
          <w:rFonts w:hint="eastAsia"/>
          <w:sz w:val="24"/>
        </w:rPr>
        <w:t>+</w:t>
      </w:r>
      <w:r w:rsidR="007F1BA2" w:rsidRPr="002B55E9">
        <w:rPr>
          <w:rFonts w:hint="eastAsia"/>
          <w:sz w:val="24"/>
        </w:rPr>
        <w:t>深度处理</w:t>
      </w:r>
      <w:r w:rsidRPr="002B55E9">
        <w:rPr>
          <w:rFonts w:hint="eastAsia"/>
          <w:sz w:val="24"/>
        </w:rPr>
        <w:t>”，处理后的废水与蒸汽冷凝水一同通过佛山市海天（武汉）调味食品有限公司总排口排入园区污水管网，最终汇入东西湖污水处理厂进行深度处理达标后尾水进入府河。</w:t>
      </w:r>
    </w:p>
    <w:tbl>
      <w:tblPr>
        <w:tblStyle w:val="afffa"/>
        <w:tblW w:w="96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08"/>
      </w:tblGrid>
      <w:tr w:rsidR="002B55E9" w:rsidRPr="002B55E9" w14:paraId="65691920" w14:textId="77777777">
        <w:tc>
          <w:tcPr>
            <w:tcW w:w="9608" w:type="dxa"/>
          </w:tcPr>
          <w:p w14:paraId="69831929" w14:textId="77777777" w:rsidR="00D170E5" w:rsidRPr="002B55E9" w:rsidRDefault="00EF27AD">
            <w:pPr>
              <w:pStyle w:val="lgy-"/>
            </w:pPr>
            <w:r w:rsidRPr="002B55E9">
              <w:rPr>
                <w:noProof/>
              </w:rPr>
              <w:drawing>
                <wp:inline distT="0" distB="0" distL="0" distR="0" wp14:anchorId="410539E9" wp14:editId="008B7CA2">
                  <wp:extent cx="5399405" cy="296608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000" cy="2966355"/>
                          </a:xfrm>
                          <a:prstGeom prst="rect">
                            <a:avLst/>
                          </a:prstGeom>
                          <a:noFill/>
                          <a:ln>
                            <a:noFill/>
                          </a:ln>
                        </pic:spPr>
                      </pic:pic>
                    </a:graphicData>
                  </a:graphic>
                </wp:inline>
              </w:drawing>
            </w:r>
          </w:p>
        </w:tc>
      </w:tr>
    </w:tbl>
    <w:p w14:paraId="0BF5DBA9" w14:textId="77777777" w:rsidR="00D170E5" w:rsidRPr="002B55E9" w:rsidRDefault="00EF27AD">
      <w:pPr>
        <w:adjustRightInd w:val="0"/>
        <w:snapToGrid w:val="0"/>
        <w:spacing w:line="360" w:lineRule="auto"/>
        <w:jc w:val="center"/>
      </w:pPr>
      <w:r w:rsidRPr="002B55E9">
        <w:rPr>
          <w:rFonts w:eastAsia="黑体"/>
          <w:b/>
          <w:bCs/>
          <w:sz w:val="24"/>
        </w:rPr>
        <w:t>图</w:t>
      </w:r>
      <w:r w:rsidRPr="002B55E9">
        <w:rPr>
          <w:rFonts w:eastAsia="黑体"/>
          <w:b/>
          <w:bCs/>
          <w:sz w:val="24"/>
        </w:rPr>
        <w:t xml:space="preserve">3-3-1  </w:t>
      </w:r>
      <w:r w:rsidRPr="002B55E9">
        <w:rPr>
          <w:rFonts w:eastAsia="黑体"/>
          <w:b/>
          <w:bCs/>
          <w:sz w:val="24"/>
        </w:rPr>
        <w:t>拟建项目废水收集处理示意图</w:t>
      </w:r>
    </w:p>
    <w:p w14:paraId="71F89F9C" w14:textId="77777777" w:rsidR="00D170E5" w:rsidRPr="002B55E9" w:rsidRDefault="00EF27AD">
      <w:pPr>
        <w:pStyle w:val="affff7"/>
        <w:adjustRightInd w:val="0"/>
        <w:snapToGrid w:val="0"/>
        <w:spacing w:after="0"/>
        <w:rPr>
          <w:szCs w:val="24"/>
        </w:rPr>
      </w:pPr>
      <w:r w:rsidRPr="002B55E9">
        <w:rPr>
          <w:rFonts w:hint="eastAsia"/>
          <w:szCs w:val="24"/>
        </w:rPr>
        <w:t>（</w:t>
      </w:r>
      <w:r w:rsidRPr="002B55E9">
        <w:rPr>
          <w:rFonts w:hint="eastAsia"/>
          <w:szCs w:val="24"/>
        </w:rPr>
        <w:t>2</w:t>
      </w:r>
      <w:r w:rsidRPr="002B55E9">
        <w:rPr>
          <w:rFonts w:hint="eastAsia"/>
          <w:szCs w:val="24"/>
        </w:rPr>
        <w:t>）废水排放情况</w:t>
      </w:r>
    </w:p>
    <w:p w14:paraId="6A100CDE" w14:textId="56CEB8BA" w:rsidR="00D170E5" w:rsidRPr="002B55E9" w:rsidRDefault="00EF27AD">
      <w:pPr>
        <w:pStyle w:val="affff7"/>
        <w:adjustRightInd w:val="0"/>
        <w:snapToGrid w:val="0"/>
        <w:spacing w:after="0"/>
        <w:rPr>
          <w:szCs w:val="24"/>
        </w:rPr>
      </w:pPr>
      <w:r w:rsidRPr="002B55E9">
        <w:rPr>
          <w:rFonts w:hint="eastAsia"/>
          <w:szCs w:val="24"/>
        </w:rPr>
        <w:t>根据上述分析，拟建项目废水产生及排放情况见下表所示：</w:t>
      </w:r>
    </w:p>
    <w:p w14:paraId="53919202" w14:textId="77F80819" w:rsidR="00B622DC" w:rsidRPr="002B55E9" w:rsidRDefault="00B622DC">
      <w:pPr>
        <w:pStyle w:val="affff7"/>
        <w:adjustRightInd w:val="0"/>
        <w:snapToGrid w:val="0"/>
        <w:spacing w:after="0"/>
        <w:rPr>
          <w:szCs w:val="24"/>
        </w:rPr>
      </w:pPr>
    </w:p>
    <w:p w14:paraId="015BA232" w14:textId="36B124F5" w:rsidR="00B622DC" w:rsidRPr="002B55E9" w:rsidRDefault="00B622DC">
      <w:pPr>
        <w:pStyle w:val="affff7"/>
        <w:adjustRightInd w:val="0"/>
        <w:snapToGrid w:val="0"/>
        <w:spacing w:after="0"/>
        <w:rPr>
          <w:szCs w:val="24"/>
        </w:rPr>
      </w:pPr>
    </w:p>
    <w:p w14:paraId="44E3AD3C" w14:textId="77777777" w:rsidR="00B622DC" w:rsidRPr="002B55E9" w:rsidRDefault="00B622DC">
      <w:pPr>
        <w:pStyle w:val="affff7"/>
        <w:adjustRightInd w:val="0"/>
        <w:snapToGrid w:val="0"/>
        <w:spacing w:after="0"/>
      </w:pPr>
    </w:p>
    <w:p w14:paraId="04CAA1C1" w14:textId="7CD9D2C5" w:rsidR="00D170E5" w:rsidRPr="002B55E9" w:rsidRDefault="00EF27AD">
      <w:pPr>
        <w:pStyle w:val="1f3"/>
        <w:snapToGrid w:val="0"/>
        <w:spacing w:beforeLines="0" w:before="0"/>
      </w:pPr>
      <w:r w:rsidRPr="002B55E9">
        <w:t>表</w:t>
      </w:r>
      <w:r w:rsidRPr="002B55E9">
        <w:t xml:space="preserve">3-3-29  </w:t>
      </w:r>
      <w:r w:rsidRPr="002B55E9">
        <w:t>项目废水</w:t>
      </w:r>
      <w:r w:rsidRPr="002B55E9">
        <w:rPr>
          <w:rFonts w:hint="eastAsia"/>
        </w:rPr>
        <w:t>产生排放情况一览表</w:t>
      </w:r>
    </w:p>
    <w:tbl>
      <w:tblPr>
        <w:tblStyle w:val="lgy2"/>
        <w:tblW w:w="5000" w:type="pct"/>
        <w:tblCellMar>
          <w:left w:w="28" w:type="dxa"/>
          <w:right w:w="28" w:type="dxa"/>
        </w:tblCellMar>
        <w:tblLook w:val="04A0" w:firstRow="1" w:lastRow="0" w:firstColumn="1" w:lastColumn="0" w:noHBand="0" w:noVBand="1"/>
      </w:tblPr>
      <w:tblGrid>
        <w:gridCol w:w="967"/>
        <w:gridCol w:w="754"/>
        <w:gridCol w:w="1037"/>
        <w:gridCol w:w="566"/>
        <w:gridCol w:w="834"/>
        <w:gridCol w:w="768"/>
        <w:gridCol w:w="715"/>
        <w:gridCol w:w="715"/>
        <w:gridCol w:w="715"/>
        <w:gridCol w:w="1006"/>
        <w:gridCol w:w="902"/>
        <w:gridCol w:w="715"/>
      </w:tblGrid>
      <w:tr w:rsidR="003E2FA0" w:rsidRPr="002B55E9" w14:paraId="79AC5E29" w14:textId="77777777" w:rsidTr="003E2FA0">
        <w:trPr>
          <w:cnfStyle w:val="100000000000" w:firstRow="1" w:lastRow="0" w:firstColumn="0" w:lastColumn="0" w:oddVBand="0" w:evenVBand="0" w:oddHBand="0" w:evenHBand="0" w:firstRowFirstColumn="0" w:firstRowLastColumn="0" w:lastRowFirstColumn="0" w:lastRowLastColumn="0"/>
          <w:trHeight w:val="283"/>
        </w:trPr>
        <w:tc>
          <w:tcPr>
            <w:tcW w:w="498" w:type="pct"/>
            <w:hideMark/>
          </w:tcPr>
          <w:p w14:paraId="35D6A5C7" w14:textId="77777777" w:rsidR="003E2FA0" w:rsidRPr="002B55E9" w:rsidRDefault="003E2FA0" w:rsidP="00430554">
            <w:pPr>
              <w:pStyle w:val="lgy-"/>
              <w:rPr>
                <w:rFonts w:eastAsia="宋体"/>
              </w:rPr>
            </w:pPr>
            <w:r w:rsidRPr="002B55E9">
              <w:rPr>
                <w:rFonts w:eastAsia="宋体" w:hint="eastAsia"/>
              </w:rPr>
              <w:t>废水类型</w:t>
            </w:r>
          </w:p>
        </w:tc>
        <w:tc>
          <w:tcPr>
            <w:tcW w:w="389" w:type="pct"/>
            <w:hideMark/>
          </w:tcPr>
          <w:p w14:paraId="06A28263" w14:textId="77777777" w:rsidR="003E2FA0" w:rsidRPr="002B55E9" w:rsidRDefault="003E2FA0" w:rsidP="00430554">
            <w:pPr>
              <w:pStyle w:val="lgy-"/>
              <w:rPr>
                <w:rFonts w:eastAsia="宋体"/>
              </w:rPr>
            </w:pPr>
            <w:r w:rsidRPr="002B55E9">
              <w:rPr>
                <w:rFonts w:eastAsia="宋体" w:hint="eastAsia"/>
              </w:rPr>
              <w:t>水量</w:t>
            </w:r>
            <w:r w:rsidRPr="002B55E9">
              <w:rPr>
                <w:rFonts w:eastAsia="宋体" w:hint="eastAsia"/>
              </w:rPr>
              <w:lastRenderedPageBreak/>
              <w:t>m3/a</w:t>
            </w:r>
          </w:p>
        </w:tc>
        <w:tc>
          <w:tcPr>
            <w:tcW w:w="534" w:type="pct"/>
            <w:hideMark/>
          </w:tcPr>
          <w:p w14:paraId="2370C132" w14:textId="77777777" w:rsidR="003E2FA0" w:rsidRPr="002B55E9" w:rsidRDefault="003E2FA0" w:rsidP="00430554">
            <w:pPr>
              <w:pStyle w:val="lgy-"/>
              <w:rPr>
                <w:rFonts w:eastAsia="宋体"/>
              </w:rPr>
            </w:pPr>
            <w:r w:rsidRPr="002B55E9">
              <w:rPr>
                <w:rFonts w:eastAsia="宋体" w:hint="eastAsia"/>
              </w:rPr>
              <w:lastRenderedPageBreak/>
              <w:t>项目</w:t>
            </w:r>
          </w:p>
        </w:tc>
        <w:tc>
          <w:tcPr>
            <w:tcW w:w="292" w:type="pct"/>
            <w:noWrap/>
            <w:hideMark/>
          </w:tcPr>
          <w:p w14:paraId="37B05B9A" w14:textId="77777777" w:rsidR="003E2FA0" w:rsidRPr="002B55E9" w:rsidRDefault="003E2FA0" w:rsidP="00430554">
            <w:pPr>
              <w:pStyle w:val="lgy-"/>
              <w:rPr>
                <w:rFonts w:eastAsia="宋体"/>
                <w:szCs w:val="22"/>
              </w:rPr>
            </w:pPr>
            <w:r w:rsidRPr="002B55E9">
              <w:rPr>
                <w:rFonts w:eastAsia="宋体" w:hint="eastAsia"/>
                <w:szCs w:val="22"/>
              </w:rPr>
              <w:t>pH</w:t>
            </w:r>
          </w:p>
        </w:tc>
        <w:tc>
          <w:tcPr>
            <w:tcW w:w="430" w:type="pct"/>
            <w:hideMark/>
          </w:tcPr>
          <w:p w14:paraId="03B704E1" w14:textId="77777777" w:rsidR="003E2FA0" w:rsidRPr="002B55E9" w:rsidRDefault="003E2FA0" w:rsidP="00430554">
            <w:pPr>
              <w:pStyle w:val="lgy-"/>
              <w:rPr>
                <w:rFonts w:eastAsia="宋体"/>
              </w:rPr>
            </w:pPr>
            <w:r w:rsidRPr="002B55E9">
              <w:rPr>
                <w:rFonts w:eastAsia="宋体" w:hint="eastAsia"/>
              </w:rPr>
              <w:t>色度</w:t>
            </w:r>
          </w:p>
        </w:tc>
        <w:tc>
          <w:tcPr>
            <w:tcW w:w="396" w:type="pct"/>
            <w:hideMark/>
          </w:tcPr>
          <w:p w14:paraId="1F42EEBA" w14:textId="77777777" w:rsidR="003E2FA0" w:rsidRPr="002B55E9" w:rsidRDefault="003E2FA0" w:rsidP="00430554">
            <w:pPr>
              <w:pStyle w:val="lgy-"/>
              <w:rPr>
                <w:rFonts w:eastAsia="宋体"/>
              </w:rPr>
            </w:pPr>
            <w:r w:rsidRPr="002B55E9">
              <w:rPr>
                <w:rFonts w:eastAsia="宋体"/>
              </w:rPr>
              <w:t>COD</w:t>
            </w:r>
          </w:p>
        </w:tc>
        <w:tc>
          <w:tcPr>
            <w:tcW w:w="369" w:type="pct"/>
            <w:hideMark/>
          </w:tcPr>
          <w:p w14:paraId="65CD17E1" w14:textId="77777777" w:rsidR="003E2FA0" w:rsidRPr="002B55E9" w:rsidRDefault="003E2FA0" w:rsidP="00430554">
            <w:pPr>
              <w:pStyle w:val="lgy-"/>
              <w:rPr>
                <w:rFonts w:eastAsia="宋体"/>
              </w:rPr>
            </w:pPr>
            <w:r w:rsidRPr="002B55E9">
              <w:rPr>
                <w:rFonts w:eastAsia="宋体"/>
              </w:rPr>
              <w:t>BOD</w:t>
            </w:r>
            <w:r w:rsidRPr="002B55E9">
              <w:rPr>
                <w:rFonts w:eastAsia="宋体"/>
                <w:vertAlign w:val="subscript"/>
              </w:rPr>
              <w:t>5</w:t>
            </w:r>
          </w:p>
        </w:tc>
        <w:tc>
          <w:tcPr>
            <w:tcW w:w="369" w:type="pct"/>
            <w:hideMark/>
          </w:tcPr>
          <w:p w14:paraId="081A096E" w14:textId="77777777" w:rsidR="003E2FA0" w:rsidRPr="002B55E9" w:rsidRDefault="003E2FA0" w:rsidP="00430554">
            <w:pPr>
              <w:pStyle w:val="lgy-"/>
              <w:rPr>
                <w:rFonts w:eastAsia="宋体"/>
              </w:rPr>
            </w:pPr>
            <w:r w:rsidRPr="002B55E9">
              <w:rPr>
                <w:rFonts w:eastAsia="宋体"/>
              </w:rPr>
              <w:t>SS</w:t>
            </w:r>
          </w:p>
        </w:tc>
        <w:tc>
          <w:tcPr>
            <w:tcW w:w="369" w:type="pct"/>
            <w:hideMark/>
          </w:tcPr>
          <w:p w14:paraId="69E869A5" w14:textId="77777777" w:rsidR="003E2FA0" w:rsidRPr="002B55E9" w:rsidRDefault="003E2FA0" w:rsidP="00430554">
            <w:pPr>
              <w:pStyle w:val="lgy-"/>
              <w:rPr>
                <w:rFonts w:eastAsia="宋体"/>
              </w:rPr>
            </w:pPr>
            <w:r w:rsidRPr="002B55E9">
              <w:rPr>
                <w:rFonts w:eastAsia="宋体" w:hint="eastAsia"/>
              </w:rPr>
              <w:t>氨氮</w:t>
            </w:r>
          </w:p>
        </w:tc>
        <w:tc>
          <w:tcPr>
            <w:tcW w:w="519" w:type="pct"/>
            <w:hideMark/>
          </w:tcPr>
          <w:p w14:paraId="1429D0FC" w14:textId="77777777" w:rsidR="003E2FA0" w:rsidRPr="002B55E9" w:rsidRDefault="003E2FA0" w:rsidP="00430554">
            <w:pPr>
              <w:pStyle w:val="lgy-"/>
              <w:rPr>
                <w:rFonts w:eastAsia="宋体"/>
              </w:rPr>
            </w:pPr>
            <w:r w:rsidRPr="002B55E9">
              <w:rPr>
                <w:rFonts w:eastAsia="宋体" w:hint="eastAsia"/>
              </w:rPr>
              <w:t>总氮</w:t>
            </w:r>
          </w:p>
        </w:tc>
        <w:tc>
          <w:tcPr>
            <w:tcW w:w="465" w:type="pct"/>
            <w:hideMark/>
          </w:tcPr>
          <w:p w14:paraId="2343188F" w14:textId="77777777" w:rsidR="003E2FA0" w:rsidRPr="002B55E9" w:rsidRDefault="003E2FA0" w:rsidP="00430554">
            <w:pPr>
              <w:pStyle w:val="lgy-"/>
              <w:rPr>
                <w:rFonts w:eastAsia="宋体"/>
              </w:rPr>
            </w:pPr>
            <w:r w:rsidRPr="002B55E9">
              <w:rPr>
                <w:rFonts w:eastAsia="宋体" w:hint="eastAsia"/>
              </w:rPr>
              <w:t>总磷</w:t>
            </w:r>
          </w:p>
        </w:tc>
        <w:tc>
          <w:tcPr>
            <w:tcW w:w="369" w:type="pct"/>
            <w:hideMark/>
          </w:tcPr>
          <w:p w14:paraId="6011E496" w14:textId="77777777" w:rsidR="003E2FA0" w:rsidRPr="002B55E9" w:rsidRDefault="003E2FA0" w:rsidP="00430554">
            <w:pPr>
              <w:pStyle w:val="lgy-"/>
              <w:rPr>
                <w:rFonts w:eastAsia="宋体"/>
              </w:rPr>
            </w:pPr>
            <w:r w:rsidRPr="002B55E9">
              <w:rPr>
                <w:rFonts w:eastAsia="宋体" w:hint="eastAsia"/>
              </w:rPr>
              <w:t>动植物</w:t>
            </w:r>
            <w:r w:rsidRPr="002B55E9">
              <w:rPr>
                <w:rFonts w:eastAsia="宋体" w:hint="eastAsia"/>
              </w:rPr>
              <w:lastRenderedPageBreak/>
              <w:t>油</w:t>
            </w:r>
          </w:p>
        </w:tc>
      </w:tr>
      <w:tr w:rsidR="003E2FA0" w:rsidRPr="002B55E9" w14:paraId="0F8B5283" w14:textId="77777777" w:rsidTr="003E2FA0">
        <w:trPr>
          <w:trHeight w:val="283"/>
        </w:trPr>
        <w:tc>
          <w:tcPr>
            <w:tcW w:w="498" w:type="pct"/>
            <w:vMerge w:val="restart"/>
            <w:hideMark/>
          </w:tcPr>
          <w:p w14:paraId="64A550F0" w14:textId="77777777" w:rsidR="003E2FA0" w:rsidRPr="002B55E9" w:rsidRDefault="003E2FA0" w:rsidP="00430554">
            <w:pPr>
              <w:pStyle w:val="lgy-"/>
              <w:rPr>
                <w:rFonts w:eastAsia="宋体"/>
              </w:rPr>
            </w:pPr>
            <w:r w:rsidRPr="002B55E9">
              <w:rPr>
                <w:rFonts w:eastAsia="宋体" w:hint="eastAsia"/>
              </w:rPr>
              <w:lastRenderedPageBreak/>
              <w:t>生活污水</w:t>
            </w:r>
          </w:p>
        </w:tc>
        <w:tc>
          <w:tcPr>
            <w:tcW w:w="389" w:type="pct"/>
            <w:vMerge w:val="restart"/>
            <w:hideMark/>
          </w:tcPr>
          <w:p w14:paraId="351F05BE" w14:textId="77777777" w:rsidR="003E2FA0" w:rsidRPr="002B55E9" w:rsidRDefault="003E2FA0" w:rsidP="00430554">
            <w:pPr>
              <w:pStyle w:val="lgy-"/>
              <w:rPr>
                <w:rFonts w:eastAsia="宋体"/>
              </w:rPr>
            </w:pPr>
            <w:r w:rsidRPr="002B55E9">
              <w:rPr>
                <w:rFonts w:eastAsia="宋体" w:hint="eastAsia"/>
              </w:rPr>
              <w:t xml:space="preserve">5722 </w:t>
            </w:r>
          </w:p>
        </w:tc>
        <w:tc>
          <w:tcPr>
            <w:tcW w:w="534" w:type="pct"/>
            <w:hideMark/>
          </w:tcPr>
          <w:p w14:paraId="022C1BD9"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713514CB"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1C6B9C19"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6750284C" w14:textId="77777777" w:rsidR="003E2FA0" w:rsidRPr="002B55E9" w:rsidRDefault="003E2FA0" w:rsidP="00430554">
            <w:pPr>
              <w:pStyle w:val="lgy-"/>
              <w:rPr>
                <w:rFonts w:eastAsia="宋体"/>
              </w:rPr>
            </w:pPr>
            <w:r w:rsidRPr="002B55E9">
              <w:rPr>
                <w:rFonts w:eastAsia="宋体"/>
              </w:rPr>
              <w:t xml:space="preserve">400.00 </w:t>
            </w:r>
          </w:p>
        </w:tc>
        <w:tc>
          <w:tcPr>
            <w:tcW w:w="369" w:type="pct"/>
            <w:hideMark/>
          </w:tcPr>
          <w:p w14:paraId="0926D4D0" w14:textId="77777777" w:rsidR="003E2FA0" w:rsidRPr="002B55E9" w:rsidRDefault="003E2FA0" w:rsidP="00430554">
            <w:pPr>
              <w:pStyle w:val="lgy-"/>
              <w:rPr>
                <w:rFonts w:eastAsia="宋体"/>
              </w:rPr>
            </w:pPr>
            <w:r w:rsidRPr="002B55E9">
              <w:rPr>
                <w:rFonts w:eastAsia="宋体"/>
              </w:rPr>
              <w:t xml:space="preserve">220.00 </w:t>
            </w:r>
          </w:p>
        </w:tc>
        <w:tc>
          <w:tcPr>
            <w:tcW w:w="369" w:type="pct"/>
            <w:hideMark/>
          </w:tcPr>
          <w:p w14:paraId="31BEE3F0" w14:textId="77777777" w:rsidR="003E2FA0" w:rsidRPr="002B55E9" w:rsidRDefault="003E2FA0" w:rsidP="00430554">
            <w:pPr>
              <w:pStyle w:val="lgy-"/>
              <w:rPr>
                <w:rFonts w:eastAsia="宋体"/>
              </w:rPr>
            </w:pPr>
            <w:r w:rsidRPr="002B55E9">
              <w:rPr>
                <w:rFonts w:eastAsia="宋体"/>
              </w:rPr>
              <w:t xml:space="preserve">200.00 </w:t>
            </w:r>
          </w:p>
        </w:tc>
        <w:tc>
          <w:tcPr>
            <w:tcW w:w="369" w:type="pct"/>
            <w:hideMark/>
          </w:tcPr>
          <w:p w14:paraId="033B46C2" w14:textId="77777777" w:rsidR="003E2FA0" w:rsidRPr="002B55E9" w:rsidRDefault="003E2FA0" w:rsidP="00430554">
            <w:pPr>
              <w:pStyle w:val="lgy-"/>
              <w:rPr>
                <w:rFonts w:eastAsia="宋体"/>
              </w:rPr>
            </w:pPr>
            <w:r w:rsidRPr="002B55E9">
              <w:rPr>
                <w:rFonts w:eastAsia="宋体"/>
              </w:rPr>
              <w:t xml:space="preserve">30.00 </w:t>
            </w:r>
          </w:p>
        </w:tc>
        <w:tc>
          <w:tcPr>
            <w:tcW w:w="519" w:type="pct"/>
            <w:hideMark/>
          </w:tcPr>
          <w:p w14:paraId="1416286B" w14:textId="77777777" w:rsidR="003E2FA0" w:rsidRPr="002B55E9" w:rsidRDefault="003E2FA0" w:rsidP="00430554">
            <w:pPr>
              <w:pStyle w:val="lgy-"/>
              <w:rPr>
                <w:rFonts w:eastAsia="宋体"/>
              </w:rPr>
            </w:pPr>
            <w:r w:rsidRPr="002B55E9">
              <w:rPr>
                <w:rFonts w:eastAsia="宋体"/>
              </w:rPr>
              <w:t xml:space="preserve">40.00 </w:t>
            </w:r>
          </w:p>
        </w:tc>
        <w:tc>
          <w:tcPr>
            <w:tcW w:w="465" w:type="pct"/>
            <w:hideMark/>
          </w:tcPr>
          <w:p w14:paraId="31193D3B" w14:textId="77777777" w:rsidR="003E2FA0" w:rsidRPr="002B55E9" w:rsidRDefault="003E2FA0" w:rsidP="00430554">
            <w:pPr>
              <w:pStyle w:val="lgy-"/>
              <w:rPr>
                <w:rFonts w:eastAsia="宋体"/>
              </w:rPr>
            </w:pPr>
            <w:r w:rsidRPr="002B55E9">
              <w:rPr>
                <w:rFonts w:eastAsia="宋体"/>
              </w:rPr>
              <w:t xml:space="preserve">4.00 </w:t>
            </w:r>
          </w:p>
        </w:tc>
        <w:tc>
          <w:tcPr>
            <w:tcW w:w="369" w:type="pct"/>
            <w:hideMark/>
          </w:tcPr>
          <w:p w14:paraId="304EDF4B" w14:textId="77777777" w:rsidR="003E2FA0" w:rsidRPr="002B55E9" w:rsidRDefault="003E2FA0" w:rsidP="00430554">
            <w:pPr>
              <w:pStyle w:val="lgy-"/>
              <w:rPr>
                <w:rFonts w:eastAsia="宋体"/>
              </w:rPr>
            </w:pPr>
            <w:r w:rsidRPr="002B55E9">
              <w:rPr>
                <w:rFonts w:eastAsia="宋体"/>
              </w:rPr>
              <w:t xml:space="preserve">100.00 </w:t>
            </w:r>
          </w:p>
        </w:tc>
      </w:tr>
      <w:tr w:rsidR="003E2FA0" w:rsidRPr="002B55E9" w14:paraId="3438134B" w14:textId="77777777" w:rsidTr="003E2FA0">
        <w:trPr>
          <w:trHeight w:val="283"/>
        </w:trPr>
        <w:tc>
          <w:tcPr>
            <w:tcW w:w="498" w:type="pct"/>
            <w:vMerge/>
            <w:hideMark/>
          </w:tcPr>
          <w:p w14:paraId="6EE92C8D" w14:textId="77777777" w:rsidR="003E2FA0" w:rsidRPr="002B55E9" w:rsidRDefault="003E2FA0" w:rsidP="00430554">
            <w:pPr>
              <w:pStyle w:val="lgy-"/>
              <w:rPr>
                <w:rFonts w:eastAsia="宋体"/>
              </w:rPr>
            </w:pPr>
          </w:p>
        </w:tc>
        <w:tc>
          <w:tcPr>
            <w:tcW w:w="389" w:type="pct"/>
            <w:vMerge/>
            <w:hideMark/>
          </w:tcPr>
          <w:p w14:paraId="025F0993" w14:textId="77777777" w:rsidR="003E2FA0" w:rsidRPr="002B55E9" w:rsidRDefault="003E2FA0" w:rsidP="00430554">
            <w:pPr>
              <w:pStyle w:val="lgy-"/>
              <w:rPr>
                <w:rFonts w:eastAsia="宋体"/>
              </w:rPr>
            </w:pPr>
          </w:p>
        </w:tc>
        <w:tc>
          <w:tcPr>
            <w:tcW w:w="534" w:type="pct"/>
            <w:hideMark/>
          </w:tcPr>
          <w:p w14:paraId="12FEF2B2"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59B1432C"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006ADBC9"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1E7E579B" w14:textId="77777777" w:rsidR="003E2FA0" w:rsidRPr="002B55E9" w:rsidRDefault="003E2FA0" w:rsidP="00430554">
            <w:pPr>
              <w:pStyle w:val="lgy-"/>
              <w:rPr>
                <w:rFonts w:eastAsia="宋体"/>
              </w:rPr>
            </w:pPr>
            <w:r w:rsidRPr="002B55E9">
              <w:rPr>
                <w:rFonts w:eastAsia="宋体"/>
              </w:rPr>
              <w:t xml:space="preserve">2.29 </w:t>
            </w:r>
          </w:p>
        </w:tc>
        <w:tc>
          <w:tcPr>
            <w:tcW w:w="369" w:type="pct"/>
            <w:hideMark/>
          </w:tcPr>
          <w:p w14:paraId="6FF3A7E1" w14:textId="77777777" w:rsidR="003E2FA0" w:rsidRPr="002B55E9" w:rsidRDefault="003E2FA0" w:rsidP="00430554">
            <w:pPr>
              <w:pStyle w:val="lgy-"/>
              <w:rPr>
                <w:rFonts w:eastAsia="宋体"/>
              </w:rPr>
            </w:pPr>
            <w:r w:rsidRPr="002B55E9">
              <w:rPr>
                <w:rFonts w:eastAsia="宋体"/>
              </w:rPr>
              <w:t xml:space="preserve">1.26 </w:t>
            </w:r>
          </w:p>
        </w:tc>
        <w:tc>
          <w:tcPr>
            <w:tcW w:w="369" w:type="pct"/>
            <w:hideMark/>
          </w:tcPr>
          <w:p w14:paraId="717C4E85" w14:textId="77777777" w:rsidR="003E2FA0" w:rsidRPr="002B55E9" w:rsidRDefault="003E2FA0" w:rsidP="00430554">
            <w:pPr>
              <w:pStyle w:val="lgy-"/>
              <w:rPr>
                <w:rFonts w:eastAsia="宋体"/>
              </w:rPr>
            </w:pPr>
            <w:r w:rsidRPr="002B55E9">
              <w:rPr>
                <w:rFonts w:eastAsia="宋体"/>
              </w:rPr>
              <w:t xml:space="preserve">1.14 </w:t>
            </w:r>
          </w:p>
        </w:tc>
        <w:tc>
          <w:tcPr>
            <w:tcW w:w="369" w:type="pct"/>
            <w:hideMark/>
          </w:tcPr>
          <w:p w14:paraId="48DD3C93" w14:textId="77777777" w:rsidR="003E2FA0" w:rsidRPr="002B55E9" w:rsidRDefault="003E2FA0" w:rsidP="00430554">
            <w:pPr>
              <w:pStyle w:val="lgy-"/>
              <w:rPr>
                <w:rFonts w:eastAsia="宋体"/>
              </w:rPr>
            </w:pPr>
            <w:r w:rsidRPr="002B55E9">
              <w:rPr>
                <w:rFonts w:eastAsia="宋体"/>
              </w:rPr>
              <w:t xml:space="preserve">0.17 </w:t>
            </w:r>
          </w:p>
        </w:tc>
        <w:tc>
          <w:tcPr>
            <w:tcW w:w="519" w:type="pct"/>
            <w:hideMark/>
          </w:tcPr>
          <w:p w14:paraId="6A69C1C5" w14:textId="77777777" w:rsidR="003E2FA0" w:rsidRPr="002B55E9" w:rsidRDefault="003E2FA0" w:rsidP="00430554">
            <w:pPr>
              <w:pStyle w:val="lgy-"/>
              <w:rPr>
                <w:rFonts w:eastAsia="宋体"/>
              </w:rPr>
            </w:pPr>
            <w:r w:rsidRPr="002B55E9">
              <w:rPr>
                <w:rFonts w:eastAsia="宋体"/>
              </w:rPr>
              <w:t xml:space="preserve">0.23 </w:t>
            </w:r>
          </w:p>
        </w:tc>
        <w:tc>
          <w:tcPr>
            <w:tcW w:w="465" w:type="pct"/>
            <w:hideMark/>
          </w:tcPr>
          <w:p w14:paraId="763B91C2" w14:textId="77777777" w:rsidR="003E2FA0" w:rsidRPr="002B55E9" w:rsidRDefault="003E2FA0" w:rsidP="00430554">
            <w:pPr>
              <w:pStyle w:val="lgy-"/>
              <w:rPr>
                <w:rFonts w:eastAsia="宋体"/>
              </w:rPr>
            </w:pPr>
            <w:r w:rsidRPr="002B55E9">
              <w:rPr>
                <w:rFonts w:eastAsia="宋体"/>
              </w:rPr>
              <w:t xml:space="preserve">0.02 </w:t>
            </w:r>
          </w:p>
        </w:tc>
        <w:tc>
          <w:tcPr>
            <w:tcW w:w="369" w:type="pct"/>
            <w:hideMark/>
          </w:tcPr>
          <w:p w14:paraId="6653AE98" w14:textId="77777777" w:rsidR="003E2FA0" w:rsidRPr="002B55E9" w:rsidRDefault="003E2FA0" w:rsidP="00430554">
            <w:pPr>
              <w:pStyle w:val="lgy-"/>
              <w:rPr>
                <w:rFonts w:eastAsia="宋体"/>
              </w:rPr>
            </w:pPr>
            <w:r w:rsidRPr="002B55E9">
              <w:rPr>
                <w:rFonts w:eastAsia="宋体"/>
              </w:rPr>
              <w:t xml:space="preserve">0.57 </w:t>
            </w:r>
          </w:p>
        </w:tc>
      </w:tr>
      <w:tr w:rsidR="003E2FA0" w:rsidRPr="002B55E9" w14:paraId="756EF9D4" w14:textId="77777777" w:rsidTr="003E2FA0">
        <w:trPr>
          <w:trHeight w:val="283"/>
        </w:trPr>
        <w:tc>
          <w:tcPr>
            <w:tcW w:w="498" w:type="pct"/>
            <w:vMerge w:val="restart"/>
            <w:hideMark/>
          </w:tcPr>
          <w:p w14:paraId="6648E5A8" w14:textId="77777777" w:rsidR="003E2FA0" w:rsidRPr="002B55E9" w:rsidRDefault="003E2FA0" w:rsidP="00430554">
            <w:pPr>
              <w:pStyle w:val="lgy-"/>
              <w:rPr>
                <w:rFonts w:eastAsia="宋体"/>
              </w:rPr>
            </w:pPr>
            <w:r w:rsidRPr="002B55E9">
              <w:rPr>
                <w:rFonts w:eastAsia="宋体" w:hint="eastAsia"/>
              </w:rPr>
              <w:t>包装瓶清洗废水</w:t>
            </w:r>
          </w:p>
        </w:tc>
        <w:tc>
          <w:tcPr>
            <w:tcW w:w="389" w:type="pct"/>
            <w:vMerge w:val="restart"/>
            <w:hideMark/>
          </w:tcPr>
          <w:p w14:paraId="159F4DD4" w14:textId="77777777" w:rsidR="003E2FA0" w:rsidRPr="002B55E9" w:rsidRDefault="003E2FA0" w:rsidP="00430554">
            <w:pPr>
              <w:pStyle w:val="lgy-"/>
              <w:rPr>
                <w:rFonts w:eastAsia="宋体"/>
              </w:rPr>
            </w:pPr>
            <w:r w:rsidRPr="002B55E9">
              <w:rPr>
                <w:rFonts w:eastAsia="宋体" w:hint="eastAsia"/>
              </w:rPr>
              <w:t xml:space="preserve">86432 </w:t>
            </w:r>
          </w:p>
        </w:tc>
        <w:tc>
          <w:tcPr>
            <w:tcW w:w="534" w:type="pct"/>
            <w:hideMark/>
          </w:tcPr>
          <w:p w14:paraId="1B7971CB"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1D0F3FEE"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6D14565D"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404223DF" w14:textId="77777777" w:rsidR="003E2FA0" w:rsidRPr="002B55E9" w:rsidRDefault="003E2FA0" w:rsidP="00430554">
            <w:pPr>
              <w:pStyle w:val="lgy-"/>
              <w:rPr>
                <w:rFonts w:eastAsia="宋体"/>
              </w:rPr>
            </w:pPr>
            <w:r w:rsidRPr="002B55E9">
              <w:rPr>
                <w:rFonts w:eastAsia="宋体"/>
              </w:rPr>
              <w:t xml:space="preserve">30.00 </w:t>
            </w:r>
          </w:p>
        </w:tc>
        <w:tc>
          <w:tcPr>
            <w:tcW w:w="369" w:type="pct"/>
            <w:hideMark/>
          </w:tcPr>
          <w:p w14:paraId="4467060B"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3F5F9A47" w14:textId="77777777" w:rsidR="003E2FA0" w:rsidRPr="002B55E9" w:rsidRDefault="003E2FA0" w:rsidP="00430554">
            <w:pPr>
              <w:pStyle w:val="lgy-"/>
              <w:rPr>
                <w:rFonts w:eastAsia="宋体"/>
              </w:rPr>
            </w:pPr>
            <w:r w:rsidRPr="002B55E9">
              <w:rPr>
                <w:rFonts w:eastAsia="宋体"/>
              </w:rPr>
              <w:t xml:space="preserve">40.00 </w:t>
            </w:r>
          </w:p>
        </w:tc>
        <w:tc>
          <w:tcPr>
            <w:tcW w:w="369" w:type="pct"/>
            <w:hideMark/>
          </w:tcPr>
          <w:p w14:paraId="51AE7E2B" w14:textId="77777777" w:rsidR="003E2FA0" w:rsidRPr="002B55E9" w:rsidRDefault="003E2FA0" w:rsidP="00430554">
            <w:pPr>
              <w:pStyle w:val="lgy-"/>
              <w:rPr>
                <w:rFonts w:eastAsia="宋体"/>
              </w:rPr>
            </w:pPr>
            <w:r w:rsidRPr="002B55E9">
              <w:rPr>
                <w:rFonts w:eastAsia="宋体"/>
              </w:rPr>
              <w:t xml:space="preserve">0.00 </w:t>
            </w:r>
          </w:p>
        </w:tc>
        <w:tc>
          <w:tcPr>
            <w:tcW w:w="519" w:type="pct"/>
            <w:hideMark/>
          </w:tcPr>
          <w:p w14:paraId="2E2B1270" w14:textId="77777777" w:rsidR="003E2FA0" w:rsidRPr="002B55E9" w:rsidRDefault="003E2FA0" w:rsidP="00430554">
            <w:pPr>
              <w:pStyle w:val="lgy-"/>
              <w:rPr>
                <w:rFonts w:eastAsia="宋体"/>
              </w:rPr>
            </w:pPr>
            <w:r w:rsidRPr="002B55E9">
              <w:rPr>
                <w:rFonts w:eastAsia="宋体"/>
              </w:rPr>
              <w:t xml:space="preserve">0.00 </w:t>
            </w:r>
          </w:p>
        </w:tc>
        <w:tc>
          <w:tcPr>
            <w:tcW w:w="465" w:type="pct"/>
            <w:hideMark/>
          </w:tcPr>
          <w:p w14:paraId="456F0BDC"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5026C11A"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5629CA06" w14:textId="77777777" w:rsidTr="003E2FA0">
        <w:trPr>
          <w:trHeight w:val="283"/>
        </w:trPr>
        <w:tc>
          <w:tcPr>
            <w:tcW w:w="498" w:type="pct"/>
            <w:vMerge/>
            <w:hideMark/>
          </w:tcPr>
          <w:p w14:paraId="3D732D08" w14:textId="77777777" w:rsidR="003E2FA0" w:rsidRPr="002B55E9" w:rsidRDefault="003E2FA0" w:rsidP="00430554">
            <w:pPr>
              <w:pStyle w:val="lgy-"/>
              <w:rPr>
                <w:rFonts w:eastAsia="宋体"/>
              </w:rPr>
            </w:pPr>
          </w:p>
        </w:tc>
        <w:tc>
          <w:tcPr>
            <w:tcW w:w="389" w:type="pct"/>
            <w:vMerge/>
            <w:hideMark/>
          </w:tcPr>
          <w:p w14:paraId="06935EDB" w14:textId="77777777" w:rsidR="003E2FA0" w:rsidRPr="002B55E9" w:rsidRDefault="003E2FA0" w:rsidP="00430554">
            <w:pPr>
              <w:pStyle w:val="lgy-"/>
              <w:rPr>
                <w:rFonts w:eastAsia="宋体"/>
              </w:rPr>
            </w:pPr>
          </w:p>
        </w:tc>
        <w:tc>
          <w:tcPr>
            <w:tcW w:w="534" w:type="pct"/>
            <w:hideMark/>
          </w:tcPr>
          <w:p w14:paraId="5EAAADF4"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54E064E6"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3F8B9DAD"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6A2CD2AE" w14:textId="77777777" w:rsidR="003E2FA0" w:rsidRPr="002B55E9" w:rsidRDefault="003E2FA0" w:rsidP="00430554">
            <w:pPr>
              <w:pStyle w:val="lgy-"/>
              <w:rPr>
                <w:rFonts w:eastAsia="宋体"/>
              </w:rPr>
            </w:pPr>
            <w:r w:rsidRPr="002B55E9">
              <w:rPr>
                <w:rFonts w:eastAsia="宋体"/>
              </w:rPr>
              <w:t xml:space="preserve">2.59 </w:t>
            </w:r>
          </w:p>
        </w:tc>
        <w:tc>
          <w:tcPr>
            <w:tcW w:w="369" w:type="pct"/>
            <w:hideMark/>
          </w:tcPr>
          <w:p w14:paraId="549B5F6F"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67A919B0" w14:textId="77777777" w:rsidR="003E2FA0" w:rsidRPr="002B55E9" w:rsidRDefault="003E2FA0" w:rsidP="00430554">
            <w:pPr>
              <w:pStyle w:val="lgy-"/>
              <w:rPr>
                <w:rFonts w:eastAsia="宋体"/>
              </w:rPr>
            </w:pPr>
            <w:r w:rsidRPr="002B55E9">
              <w:rPr>
                <w:rFonts w:eastAsia="宋体"/>
              </w:rPr>
              <w:t xml:space="preserve">3.46 </w:t>
            </w:r>
          </w:p>
        </w:tc>
        <w:tc>
          <w:tcPr>
            <w:tcW w:w="369" w:type="pct"/>
            <w:hideMark/>
          </w:tcPr>
          <w:p w14:paraId="5D4B5226" w14:textId="77777777" w:rsidR="003E2FA0" w:rsidRPr="002B55E9" w:rsidRDefault="003E2FA0" w:rsidP="00430554">
            <w:pPr>
              <w:pStyle w:val="lgy-"/>
              <w:rPr>
                <w:rFonts w:eastAsia="宋体"/>
              </w:rPr>
            </w:pPr>
            <w:r w:rsidRPr="002B55E9">
              <w:rPr>
                <w:rFonts w:eastAsia="宋体"/>
              </w:rPr>
              <w:t xml:space="preserve">0.00 </w:t>
            </w:r>
          </w:p>
        </w:tc>
        <w:tc>
          <w:tcPr>
            <w:tcW w:w="519" w:type="pct"/>
            <w:hideMark/>
          </w:tcPr>
          <w:p w14:paraId="2D9B5426" w14:textId="77777777" w:rsidR="003E2FA0" w:rsidRPr="002B55E9" w:rsidRDefault="003E2FA0" w:rsidP="00430554">
            <w:pPr>
              <w:pStyle w:val="lgy-"/>
              <w:rPr>
                <w:rFonts w:eastAsia="宋体"/>
              </w:rPr>
            </w:pPr>
            <w:r w:rsidRPr="002B55E9">
              <w:rPr>
                <w:rFonts w:eastAsia="宋体"/>
              </w:rPr>
              <w:t xml:space="preserve">0.00 </w:t>
            </w:r>
          </w:p>
        </w:tc>
        <w:tc>
          <w:tcPr>
            <w:tcW w:w="465" w:type="pct"/>
            <w:hideMark/>
          </w:tcPr>
          <w:p w14:paraId="3AF7EF33"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54A0569C"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750FF4D1" w14:textId="77777777" w:rsidTr="003E2FA0">
        <w:trPr>
          <w:trHeight w:val="283"/>
        </w:trPr>
        <w:tc>
          <w:tcPr>
            <w:tcW w:w="498" w:type="pct"/>
            <w:vMerge w:val="restart"/>
            <w:hideMark/>
          </w:tcPr>
          <w:p w14:paraId="1C3830A2" w14:textId="77777777" w:rsidR="003E2FA0" w:rsidRPr="002B55E9" w:rsidRDefault="003E2FA0" w:rsidP="00430554">
            <w:pPr>
              <w:pStyle w:val="lgy-"/>
              <w:rPr>
                <w:rFonts w:eastAsia="宋体"/>
              </w:rPr>
            </w:pPr>
            <w:r w:rsidRPr="002B55E9">
              <w:rPr>
                <w:rFonts w:eastAsia="宋体" w:hint="eastAsia"/>
              </w:rPr>
              <w:t>设备清洗废水</w:t>
            </w:r>
          </w:p>
        </w:tc>
        <w:tc>
          <w:tcPr>
            <w:tcW w:w="389" w:type="pct"/>
            <w:vMerge w:val="restart"/>
            <w:hideMark/>
          </w:tcPr>
          <w:p w14:paraId="32AE7245" w14:textId="77777777" w:rsidR="003E2FA0" w:rsidRPr="002B55E9" w:rsidRDefault="003E2FA0" w:rsidP="00430554">
            <w:pPr>
              <w:pStyle w:val="lgy-"/>
              <w:rPr>
                <w:rFonts w:eastAsia="宋体"/>
              </w:rPr>
            </w:pPr>
            <w:r w:rsidRPr="002B55E9">
              <w:rPr>
                <w:rFonts w:eastAsia="宋体" w:hint="eastAsia"/>
              </w:rPr>
              <w:t xml:space="preserve">71689 </w:t>
            </w:r>
          </w:p>
        </w:tc>
        <w:tc>
          <w:tcPr>
            <w:tcW w:w="534" w:type="pct"/>
            <w:hideMark/>
          </w:tcPr>
          <w:p w14:paraId="69629C7A"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0719E53E" w14:textId="77777777" w:rsidR="003E2FA0" w:rsidRPr="002B55E9" w:rsidRDefault="003E2FA0" w:rsidP="00430554">
            <w:pPr>
              <w:pStyle w:val="lgy-"/>
              <w:rPr>
                <w:rFonts w:eastAsia="宋体"/>
                <w:szCs w:val="22"/>
              </w:rPr>
            </w:pPr>
            <w:r w:rsidRPr="002B55E9">
              <w:rPr>
                <w:rFonts w:eastAsia="宋体" w:hint="eastAsia"/>
                <w:szCs w:val="22"/>
              </w:rPr>
              <w:t>5~9</w:t>
            </w:r>
          </w:p>
        </w:tc>
        <w:tc>
          <w:tcPr>
            <w:tcW w:w="430" w:type="pct"/>
            <w:noWrap/>
            <w:hideMark/>
          </w:tcPr>
          <w:p w14:paraId="077C24BD" w14:textId="77777777" w:rsidR="003E2FA0" w:rsidRPr="002B55E9" w:rsidRDefault="003E2FA0" w:rsidP="00430554">
            <w:pPr>
              <w:pStyle w:val="lgy-"/>
              <w:rPr>
                <w:rFonts w:eastAsia="宋体"/>
                <w:szCs w:val="22"/>
              </w:rPr>
            </w:pPr>
            <w:r w:rsidRPr="002B55E9">
              <w:rPr>
                <w:rFonts w:eastAsia="宋体" w:hint="eastAsia"/>
                <w:szCs w:val="22"/>
              </w:rPr>
              <w:t>300</w:t>
            </w:r>
          </w:p>
        </w:tc>
        <w:tc>
          <w:tcPr>
            <w:tcW w:w="396" w:type="pct"/>
            <w:hideMark/>
          </w:tcPr>
          <w:p w14:paraId="409A1664" w14:textId="77777777" w:rsidR="003E2FA0" w:rsidRPr="002B55E9" w:rsidRDefault="003E2FA0" w:rsidP="00430554">
            <w:pPr>
              <w:pStyle w:val="lgy-"/>
              <w:rPr>
                <w:rFonts w:eastAsia="宋体"/>
              </w:rPr>
            </w:pPr>
            <w:r w:rsidRPr="002B55E9">
              <w:rPr>
                <w:rFonts w:eastAsia="宋体"/>
              </w:rPr>
              <w:t xml:space="preserve">6000.00 </w:t>
            </w:r>
          </w:p>
        </w:tc>
        <w:tc>
          <w:tcPr>
            <w:tcW w:w="369" w:type="pct"/>
            <w:hideMark/>
          </w:tcPr>
          <w:p w14:paraId="7259C8DA" w14:textId="77777777" w:rsidR="003E2FA0" w:rsidRPr="002B55E9" w:rsidRDefault="003E2FA0" w:rsidP="00430554">
            <w:pPr>
              <w:pStyle w:val="lgy-"/>
              <w:rPr>
                <w:rFonts w:eastAsia="宋体"/>
              </w:rPr>
            </w:pPr>
            <w:r w:rsidRPr="002B55E9">
              <w:rPr>
                <w:rFonts w:eastAsia="宋体"/>
              </w:rPr>
              <w:t xml:space="preserve">2500.00 </w:t>
            </w:r>
          </w:p>
        </w:tc>
        <w:tc>
          <w:tcPr>
            <w:tcW w:w="369" w:type="pct"/>
            <w:hideMark/>
          </w:tcPr>
          <w:p w14:paraId="797B3AD1" w14:textId="77777777" w:rsidR="003E2FA0" w:rsidRPr="002B55E9" w:rsidRDefault="003E2FA0" w:rsidP="00430554">
            <w:pPr>
              <w:pStyle w:val="lgy-"/>
              <w:rPr>
                <w:rFonts w:eastAsia="宋体"/>
              </w:rPr>
            </w:pPr>
            <w:r w:rsidRPr="002B55E9">
              <w:rPr>
                <w:rFonts w:eastAsia="宋体"/>
              </w:rPr>
              <w:t xml:space="preserve">2500.00 </w:t>
            </w:r>
          </w:p>
        </w:tc>
        <w:tc>
          <w:tcPr>
            <w:tcW w:w="369" w:type="pct"/>
            <w:hideMark/>
          </w:tcPr>
          <w:p w14:paraId="078C6C39" w14:textId="77777777" w:rsidR="003E2FA0" w:rsidRPr="002B55E9" w:rsidRDefault="003E2FA0" w:rsidP="00430554">
            <w:pPr>
              <w:pStyle w:val="lgy-"/>
              <w:rPr>
                <w:rFonts w:eastAsia="宋体"/>
              </w:rPr>
            </w:pPr>
            <w:r w:rsidRPr="002B55E9">
              <w:rPr>
                <w:rFonts w:eastAsia="宋体"/>
              </w:rPr>
              <w:t xml:space="preserve">100.00 </w:t>
            </w:r>
          </w:p>
        </w:tc>
        <w:tc>
          <w:tcPr>
            <w:tcW w:w="519" w:type="pct"/>
            <w:hideMark/>
          </w:tcPr>
          <w:p w14:paraId="312089C5" w14:textId="77777777" w:rsidR="003E2FA0" w:rsidRPr="002B55E9" w:rsidRDefault="003E2FA0" w:rsidP="00430554">
            <w:pPr>
              <w:pStyle w:val="lgy-"/>
              <w:rPr>
                <w:rFonts w:eastAsia="宋体"/>
              </w:rPr>
            </w:pPr>
            <w:r w:rsidRPr="002B55E9">
              <w:rPr>
                <w:rFonts w:eastAsia="宋体"/>
              </w:rPr>
              <w:t xml:space="preserve">300.00 </w:t>
            </w:r>
          </w:p>
        </w:tc>
        <w:tc>
          <w:tcPr>
            <w:tcW w:w="465" w:type="pct"/>
            <w:hideMark/>
          </w:tcPr>
          <w:p w14:paraId="485213D9" w14:textId="77777777" w:rsidR="003E2FA0" w:rsidRPr="002B55E9" w:rsidRDefault="003E2FA0" w:rsidP="00430554">
            <w:pPr>
              <w:pStyle w:val="lgy-"/>
              <w:rPr>
                <w:rFonts w:eastAsia="宋体"/>
              </w:rPr>
            </w:pPr>
            <w:r w:rsidRPr="002B55E9">
              <w:rPr>
                <w:rFonts w:eastAsia="宋体"/>
              </w:rPr>
              <w:t xml:space="preserve">60.00 </w:t>
            </w:r>
          </w:p>
        </w:tc>
        <w:tc>
          <w:tcPr>
            <w:tcW w:w="369" w:type="pct"/>
            <w:hideMark/>
          </w:tcPr>
          <w:p w14:paraId="0FD0380A"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5C2933B2" w14:textId="77777777" w:rsidTr="003E2FA0">
        <w:trPr>
          <w:trHeight w:val="283"/>
        </w:trPr>
        <w:tc>
          <w:tcPr>
            <w:tcW w:w="498" w:type="pct"/>
            <w:vMerge/>
            <w:hideMark/>
          </w:tcPr>
          <w:p w14:paraId="002FF30F" w14:textId="77777777" w:rsidR="003E2FA0" w:rsidRPr="002B55E9" w:rsidRDefault="003E2FA0" w:rsidP="00430554">
            <w:pPr>
              <w:pStyle w:val="lgy-"/>
              <w:rPr>
                <w:rFonts w:eastAsia="宋体"/>
              </w:rPr>
            </w:pPr>
          </w:p>
        </w:tc>
        <w:tc>
          <w:tcPr>
            <w:tcW w:w="389" w:type="pct"/>
            <w:vMerge/>
            <w:hideMark/>
          </w:tcPr>
          <w:p w14:paraId="4A8C471D" w14:textId="77777777" w:rsidR="003E2FA0" w:rsidRPr="002B55E9" w:rsidRDefault="003E2FA0" w:rsidP="00430554">
            <w:pPr>
              <w:pStyle w:val="lgy-"/>
              <w:rPr>
                <w:rFonts w:eastAsia="宋体"/>
              </w:rPr>
            </w:pPr>
          </w:p>
        </w:tc>
        <w:tc>
          <w:tcPr>
            <w:tcW w:w="534" w:type="pct"/>
            <w:hideMark/>
          </w:tcPr>
          <w:p w14:paraId="0290F404"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0DEDDC1A"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79219016"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17A18724" w14:textId="77777777" w:rsidR="003E2FA0" w:rsidRPr="002B55E9" w:rsidRDefault="003E2FA0" w:rsidP="00430554">
            <w:pPr>
              <w:pStyle w:val="lgy-"/>
              <w:rPr>
                <w:rFonts w:eastAsia="宋体"/>
              </w:rPr>
            </w:pPr>
            <w:r w:rsidRPr="002B55E9">
              <w:rPr>
                <w:rFonts w:eastAsia="宋体"/>
              </w:rPr>
              <w:t xml:space="preserve">430.13 </w:t>
            </w:r>
          </w:p>
        </w:tc>
        <w:tc>
          <w:tcPr>
            <w:tcW w:w="369" w:type="pct"/>
            <w:hideMark/>
          </w:tcPr>
          <w:p w14:paraId="2ACA4054" w14:textId="77777777" w:rsidR="003E2FA0" w:rsidRPr="002B55E9" w:rsidRDefault="003E2FA0" w:rsidP="00430554">
            <w:pPr>
              <w:pStyle w:val="lgy-"/>
              <w:rPr>
                <w:rFonts w:eastAsia="宋体"/>
              </w:rPr>
            </w:pPr>
            <w:r w:rsidRPr="002B55E9">
              <w:rPr>
                <w:rFonts w:eastAsia="宋体"/>
              </w:rPr>
              <w:t xml:space="preserve">179.22 </w:t>
            </w:r>
          </w:p>
        </w:tc>
        <w:tc>
          <w:tcPr>
            <w:tcW w:w="369" w:type="pct"/>
            <w:hideMark/>
          </w:tcPr>
          <w:p w14:paraId="2C129E99" w14:textId="77777777" w:rsidR="003E2FA0" w:rsidRPr="002B55E9" w:rsidRDefault="003E2FA0" w:rsidP="00430554">
            <w:pPr>
              <w:pStyle w:val="lgy-"/>
              <w:rPr>
                <w:rFonts w:eastAsia="宋体"/>
              </w:rPr>
            </w:pPr>
            <w:r w:rsidRPr="002B55E9">
              <w:rPr>
                <w:rFonts w:eastAsia="宋体"/>
              </w:rPr>
              <w:t xml:space="preserve">179.22 </w:t>
            </w:r>
          </w:p>
        </w:tc>
        <w:tc>
          <w:tcPr>
            <w:tcW w:w="369" w:type="pct"/>
            <w:hideMark/>
          </w:tcPr>
          <w:p w14:paraId="615B2361" w14:textId="77777777" w:rsidR="003E2FA0" w:rsidRPr="002B55E9" w:rsidRDefault="003E2FA0" w:rsidP="00430554">
            <w:pPr>
              <w:pStyle w:val="lgy-"/>
              <w:rPr>
                <w:rFonts w:eastAsia="宋体"/>
              </w:rPr>
            </w:pPr>
            <w:r w:rsidRPr="002B55E9">
              <w:rPr>
                <w:rFonts w:eastAsia="宋体"/>
              </w:rPr>
              <w:t xml:space="preserve">7.17 </w:t>
            </w:r>
          </w:p>
        </w:tc>
        <w:tc>
          <w:tcPr>
            <w:tcW w:w="519" w:type="pct"/>
            <w:hideMark/>
          </w:tcPr>
          <w:p w14:paraId="00692B3D" w14:textId="77777777" w:rsidR="003E2FA0" w:rsidRPr="002B55E9" w:rsidRDefault="003E2FA0" w:rsidP="00430554">
            <w:pPr>
              <w:pStyle w:val="lgy-"/>
              <w:rPr>
                <w:rFonts w:eastAsia="宋体"/>
              </w:rPr>
            </w:pPr>
            <w:r w:rsidRPr="002B55E9">
              <w:rPr>
                <w:rFonts w:eastAsia="宋体"/>
              </w:rPr>
              <w:t xml:space="preserve">21.51 </w:t>
            </w:r>
          </w:p>
        </w:tc>
        <w:tc>
          <w:tcPr>
            <w:tcW w:w="465" w:type="pct"/>
            <w:hideMark/>
          </w:tcPr>
          <w:p w14:paraId="5DAC8552" w14:textId="77777777" w:rsidR="003E2FA0" w:rsidRPr="002B55E9" w:rsidRDefault="003E2FA0" w:rsidP="00430554">
            <w:pPr>
              <w:pStyle w:val="lgy-"/>
              <w:rPr>
                <w:rFonts w:eastAsia="宋体"/>
              </w:rPr>
            </w:pPr>
            <w:r w:rsidRPr="002B55E9">
              <w:rPr>
                <w:rFonts w:eastAsia="宋体"/>
              </w:rPr>
              <w:t xml:space="preserve">4.30 </w:t>
            </w:r>
          </w:p>
        </w:tc>
        <w:tc>
          <w:tcPr>
            <w:tcW w:w="369" w:type="pct"/>
            <w:hideMark/>
          </w:tcPr>
          <w:p w14:paraId="3E83838A"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332150CE" w14:textId="77777777" w:rsidTr="003E2FA0">
        <w:trPr>
          <w:trHeight w:val="283"/>
        </w:trPr>
        <w:tc>
          <w:tcPr>
            <w:tcW w:w="498" w:type="pct"/>
            <w:vMerge w:val="restart"/>
            <w:hideMark/>
          </w:tcPr>
          <w:p w14:paraId="33B10E1B" w14:textId="77777777" w:rsidR="003E2FA0" w:rsidRPr="002B55E9" w:rsidRDefault="003E2FA0" w:rsidP="00430554">
            <w:pPr>
              <w:pStyle w:val="lgy-"/>
              <w:rPr>
                <w:rFonts w:eastAsia="宋体"/>
              </w:rPr>
            </w:pPr>
            <w:r w:rsidRPr="002B55E9">
              <w:rPr>
                <w:rFonts w:eastAsia="宋体" w:hint="eastAsia"/>
              </w:rPr>
              <w:t>地面清洗废水</w:t>
            </w:r>
          </w:p>
        </w:tc>
        <w:tc>
          <w:tcPr>
            <w:tcW w:w="389" w:type="pct"/>
            <w:vMerge w:val="restart"/>
            <w:hideMark/>
          </w:tcPr>
          <w:p w14:paraId="2A76DE81" w14:textId="77777777" w:rsidR="003E2FA0" w:rsidRPr="002B55E9" w:rsidRDefault="003E2FA0" w:rsidP="00430554">
            <w:pPr>
              <w:pStyle w:val="lgy-"/>
              <w:rPr>
                <w:rFonts w:eastAsia="宋体"/>
              </w:rPr>
            </w:pPr>
            <w:r w:rsidRPr="002B55E9">
              <w:rPr>
                <w:rFonts w:eastAsia="宋体" w:hint="eastAsia"/>
              </w:rPr>
              <w:t xml:space="preserve">1056 </w:t>
            </w:r>
          </w:p>
        </w:tc>
        <w:tc>
          <w:tcPr>
            <w:tcW w:w="534" w:type="pct"/>
            <w:hideMark/>
          </w:tcPr>
          <w:p w14:paraId="2D42B349"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72E4C8BD"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4DF5F6F7" w14:textId="77777777" w:rsidR="003E2FA0" w:rsidRPr="002B55E9" w:rsidRDefault="003E2FA0" w:rsidP="00430554">
            <w:pPr>
              <w:pStyle w:val="lgy-"/>
              <w:rPr>
                <w:rFonts w:eastAsia="宋体"/>
                <w:szCs w:val="22"/>
              </w:rPr>
            </w:pPr>
            <w:r w:rsidRPr="002B55E9">
              <w:rPr>
                <w:rFonts w:eastAsia="宋体" w:hint="eastAsia"/>
                <w:szCs w:val="22"/>
              </w:rPr>
              <w:t>50</w:t>
            </w:r>
          </w:p>
        </w:tc>
        <w:tc>
          <w:tcPr>
            <w:tcW w:w="396" w:type="pct"/>
            <w:hideMark/>
          </w:tcPr>
          <w:p w14:paraId="701048C1" w14:textId="77777777" w:rsidR="003E2FA0" w:rsidRPr="002B55E9" w:rsidRDefault="003E2FA0" w:rsidP="00430554">
            <w:pPr>
              <w:pStyle w:val="lgy-"/>
              <w:rPr>
                <w:rFonts w:eastAsia="宋体"/>
              </w:rPr>
            </w:pPr>
            <w:r w:rsidRPr="002B55E9">
              <w:rPr>
                <w:rFonts w:eastAsia="宋体"/>
              </w:rPr>
              <w:t xml:space="preserve">1000.00 </w:t>
            </w:r>
          </w:p>
        </w:tc>
        <w:tc>
          <w:tcPr>
            <w:tcW w:w="369" w:type="pct"/>
            <w:hideMark/>
          </w:tcPr>
          <w:p w14:paraId="3BC40AF3" w14:textId="77777777" w:rsidR="003E2FA0" w:rsidRPr="002B55E9" w:rsidRDefault="003E2FA0" w:rsidP="00430554">
            <w:pPr>
              <w:pStyle w:val="lgy-"/>
              <w:rPr>
                <w:rFonts w:eastAsia="宋体"/>
              </w:rPr>
            </w:pPr>
            <w:r w:rsidRPr="002B55E9">
              <w:rPr>
                <w:rFonts w:eastAsia="宋体"/>
              </w:rPr>
              <w:t xml:space="preserve">450.00 </w:t>
            </w:r>
          </w:p>
        </w:tc>
        <w:tc>
          <w:tcPr>
            <w:tcW w:w="369" w:type="pct"/>
            <w:hideMark/>
          </w:tcPr>
          <w:p w14:paraId="6AE4E969" w14:textId="77777777" w:rsidR="003E2FA0" w:rsidRPr="002B55E9" w:rsidRDefault="003E2FA0" w:rsidP="00430554">
            <w:pPr>
              <w:pStyle w:val="lgy-"/>
              <w:rPr>
                <w:rFonts w:eastAsia="宋体"/>
              </w:rPr>
            </w:pPr>
            <w:r w:rsidRPr="002B55E9">
              <w:rPr>
                <w:rFonts w:eastAsia="宋体"/>
              </w:rPr>
              <w:t xml:space="preserve">500.00 </w:t>
            </w:r>
          </w:p>
        </w:tc>
        <w:tc>
          <w:tcPr>
            <w:tcW w:w="369" w:type="pct"/>
            <w:hideMark/>
          </w:tcPr>
          <w:p w14:paraId="6ADB58E1" w14:textId="77777777" w:rsidR="003E2FA0" w:rsidRPr="002B55E9" w:rsidRDefault="003E2FA0" w:rsidP="00430554">
            <w:pPr>
              <w:pStyle w:val="lgy-"/>
              <w:rPr>
                <w:rFonts w:eastAsia="宋体"/>
              </w:rPr>
            </w:pPr>
            <w:r w:rsidRPr="002B55E9">
              <w:rPr>
                <w:rFonts w:eastAsia="宋体"/>
              </w:rPr>
              <w:t xml:space="preserve">20.00 </w:t>
            </w:r>
          </w:p>
        </w:tc>
        <w:tc>
          <w:tcPr>
            <w:tcW w:w="519" w:type="pct"/>
            <w:hideMark/>
          </w:tcPr>
          <w:p w14:paraId="7BED93C4" w14:textId="77777777" w:rsidR="003E2FA0" w:rsidRPr="002B55E9" w:rsidRDefault="003E2FA0" w:rsidP="00430554">
            <w:pPr>
              <w:pStyle w:val="lgy-"/>
              <w:rPr>
                <w:rFonts w:eastAsia="宋体"/>
              </w:rPr>
            </w:pPr>
            <w:r w:rsidRPr="002B55E9">
              <w:rPr>
                <w:rFonts w:eastAsia="宋体"/>
              </w:rPr>
              <w:t xml:space="preserve">30.00 </w:t>
            </w:r>
          </w:p>
        </w:tc>
        <w:tc>
          <w:tcPr>
            <w:tcW w:w="465" w:type="pct"/>
            <w:hideMark/>
          </w:tcPr>
          <w:p w14:paraId="644AB2EC" w14:textId="77777777" w:rsidR="003E2FA0" w:rsidRPr="002B55E9" w:rsidRDefault="003E2FA0" w:rsidP="00430554">
            <w:pPr>
              <w:pStyle w:val="lgy-"/>
              <w:rPr>
                <w:rFonts w:eastAsia="宋体"/>
              </w:rPr>
            </w:pPr>
            <w:r w:rsidRPr="002B55E9">
              <w:rPr>
                <w:rFonts w:eastAsia="宋体"/>
              </w:rPr>
              <w:t xml:space="preserve">10.00 </w:t>
            </w:r>
          </w:p>
        </w:tc>
        <w:tc>
          <w:tcPr>
            <w:tcW w:w="369" w:type="pct"/>
            <w:hideMark/>
          </w:tcPr>
          <w:p w14:paraId="20BEF728"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3C5F3AC3" w14:textId="77777777" w:rsidTr="003E2FA0">
        <w:trPr>
          <w:trHeight w:val="283"/>
        </w:trPr>
        <w:tc>
          <w:tcPr>
            <w:tcW w:w="498" w:type="pct"/>
            <w:vMerge/>
            <w:hideMark/>
          </w:tcPr>
          <w:p w14:paraId="2025B5DF" w14:textId="77777777" w:rsidR="003E2FA0" w:rsidRPr="002B55E9" w:rsidRDefault="003E2FA0" w:rsidP="00430554">
            <w:pPr>
              <w:pStyle w:val="lgy-"/>
              <w:rPr>
                <w:rFonts w:eastAsia="宋体"/>
              </w:rPr>
            </w:pPr>
          </w:p>
        </w:tc>
        <w:tc>
          <w:tcPr>
            <w:tcW w:w="389" w:type="pct"/>
            <w:vMerge/>
            <w:hideMark/>
          </w:tcPr>
          <w:p w14:paraId="61BEE6FB" w14:textId="77777777" w:rsidR="003E2FA0" w:rsidRPr="002B55E9" w:rsidRDefault="003E2FA0" w:rsidP="00430554">
            <w:pPr>
              <w:pStyle w:val="lgy-"/>
              <w:rPr>
                <w:rFonts w:eastAsia="宋体"/>
              </w:rPr>
            </w:pPr>
          </w:p>
        </w:tc>
        <w:tc>
          <w:tcPr>
            <w:tcW w:w="534" w:type="pct"/>
            <w:hideMark/>
          </w:tcPr>
          <w:p w14:paraId="73B00326"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4275AC16"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37579565"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360B0F85" w14:textId="77777777" w:rsidR="003E2FA0" w:rsidRPr="002B55E9" w:rsidRDefault="003E2FA0" w:rsidP="00430554">
            <w:pPr>
              <w:pStyle w:val="lgy-"/>
              <w:rPr>
                <w:rFonts w:eastAsia="宋体"/>
              </w:rPr>
            </w:pPr>
            <w:r w:rsidRPr="002B55E9">
              <w:rPr>
                <w:rFonts w:eastAsia="宋体"/>
              </w:rPr>
              <w:t xml:space="preserve">1.06 </w:t>
            </w:r>
          </w:p>
        </w:tc>
        <w:tc>
          <w:tcPr>
            <w:tcW w:w="369" w:type="pct"/>
            <w:hideMark/>
          </w:tcPr>
          <w:p w14:paraId="615F3443" w14:textId="77777777" w:rsidR="003E2FA0" w:rsidRPr="002B55E9" w:rsidRDefault="003E2FA0" w:rsidP="00430554">
            <w:pPr>
              <w:pStyle w:val="lgy-"/>
              <w:rPr>
                <w:rFonts w:eastAsia="宋体"/>
              </w:rPr>
            </w:pPr>
            <w:r w:rsidRPr="002B55E9">
              <w:rPr>
                <w:rFonts w:eastAsia="宋体"/>
              </w:rPr>
              <w:t xml:space="preserve">0.48 </w:t>
            </w:r>
          </w:p>
        </w:tc>
        <w:tc>
          <w:tcPr>
            <w:tcW w:w="369" w:type="pct"/>
            <w:hideMark/>
          </w:tcPr>
          <w:p w14:paraId="1C64CB1B" w14:textId="77777777" w:rsidR="003E2FA0" w:rsidRPr="002B55E9" w:rsidRDefault="003E2FA0" w:rsidP="00430554">
            <w:pPr>
              <w:pStyle w:val="lgy-"/>
              <w:rPr>
                <w:rFonts w:eastAsia="宋体"/>
              </w:rPr>
            </w:pPr>
            <w:r w:rsidRPr="002B55E9">
              <w:rPr>
                <w:rFonts w:eastAsia="宋体"/>
              </w:rPr>
              <w:t xml:space="preserve">0.53 </w:t>
            </w:r>
          </w:p>
        </w:tc>
        <w:tc>
          <w:tcPr>
            <w:tcW w:w="369" w:type="pct"/>
            <w:hideMark/>
          </w:tcPr>
          <w:p w14:paraId="61D07956" w14:textId="77777777" w:rsidR="003E2FA0" w:rsidRPr="002B55E9" w:rsidRDefault="003E2FA0" w:rsidP="00430554">
            <w:pPr>
              <w:pStyle w:val="lgy-"/>
              <w:rPr>
                <w:rFonts w:eastAsia="宋体"/>
              </w:rPr>
            </w:pPr>
            <w:r w:rsidRPr="002B55E9">
              <w:rPr>
                <w:rFonts w:eastAsia="宋体"/>
              </w:rPr>
              <w:t xml:space="preserve">0.02 </w:t>
            </w:r>
          </w:p>
        </w:tc>
        <w:tc>
          <w:tcPr>
            <w:tcW w:w="519" w:type="pct"/>
            <w:hideMark/>
          </w:tcPr>
          <w:p w14:paraId="15CBD0BB" w14:textId="77777777" w:rsidR="003E2FA0" w:rsidRPr="002B55E9" w:rsidRDefault="003E2FA0" w:rsidP="00430554">
            <w:pPr>
              <w:pStyle w:val="lgy-"/>
              <w:rPr>
                <w:rFonts w:eastAsia="宋体"/>
              </w:rPr>
            </w:pPr>
            <w:r w:rsidRPr="002B55E9">
              <w:rPr>
                <w:rFonts w:eastAsia="宋体"/>
              </w:rPr>
              <w:t xml:space="preserve">0.03 </w:t>
            </w:r>
          </w:p>
        </w:tc>
        <w:tc>
          <w:tcPr>
            <w:tcW w:w="465" w:type="pct"/>
            <w:hideMark/>
          </w:tcPr>
          <w:p w14:paraId="47134C68" w14:textId="77777777" w:rsidR="003E2FA0" w:rsidRPr="002B55E9" w:rsidRDefault="003E2FA0" w:rsidP="00430554">
            <w:pPr>
              <w:pStyle w:val="lgy-"/>
              <w:rPr>
                <w:rFonts w:eastAsia="宋体"/>
              </w:rPr>
            </w:pPr>
            <w:r w:rsidRPr="002B55E9">
              <w:rPr>
                <w:rFonts w:eastAsia="宋体"/>
              </w:rPr>
              <w:t xml:space="preserve">0.01 </w:t>
            </w:r>
          </w:p>
        </w:tc>
        <w:tc>
          <w:tcPr>
            <w:tcW w:w="369" w:type="pct"/>
            <w:hideMark/>
          </w:tcPr>
          <w:p w14:paraId="4A670DA5"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3E575A73" w14:textId="77777777" w:rsidTr="003E2FA0">
        <w:trPr>
          <w:trHeight w:val="283"/>
        </w:trPr>
        <w:tc>
          <w:tcPr>
            <w:tcW w:w="498" w:type="pct"/>
            <w:vMerge w:val="restart"/>
            <w:hideMark/>
          </w:tcPr>
          <w:p w14:paraId="2C5E232F" w14:textId="77777777" w:rsidR="003E2FA0" w:rsidRPr="002B55E9" w:rsidRDefault="003E2FA0" w:rsidP="00430554">
            <w:pPr>
              <w:pStyle w:val="lgy-"/>
              <w:rPr>
                <w:rFonts w:eastAsia="宋体"/>
              </w:rPr>
            </w:pPr>
            <w:r w:rsidRPr="002B55E9">
              <w:rPr>
                <w:rFonts w:eastAsia="宋体" w:hint="eastAsia"/>
              </w:rPr>
              <w:t>喷淋塔排水</w:t>
            </w:r>
          </w:p>
        </w:tc>
        <w:tc>
          <w:tcPr>
            <w:tcW w:w="389" w:type="pct"/>
            <w:vMerge w:val="restart"/>
            <w:hideMark/>
          </w:tcPr>
          <w:p w14:paraId="32787B78" w14:textId="77777777" w:rsidR="003E2FA0" w:rsidRPr="002B55E9" w:rsidRDefault="003E2FA0" w:rsidP="00430554">
            <w:pPr>
              <w:pStyle w:val="lgy-"/>
              <w:rPr>
                <w:rFonts w:eastAsia="宋体"/>
              </w:rPr>
            </w:pPr>
            <w:r w:rsidRPr="002B55E9">
              <w:rPr>
                <w:rFonts w:eastAsia="宋体" w:hint="eastAsia"/>
              </w:rPr>
              <w:t xml:space="preserve">4208 </w:t>
            </w:r>
          </w:p>
        </w:tc>
        <w:tc>
          <w:tcPr>
            <w:tcW w:w="534" w:type="pct"/>
            <w:hideMark/>
          </w:tcPr>
          <w:p w14:paraId="532589AD"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621F9EF1" w14:textId="77777777" w:rsidR="003E2FA0" w:rsidRPr="002B55E9" w:rsidRDefault="003E2FA0" w:rsidP="00430554">
            <w:pPr>
              <w:pStyle w:val="lgy-"/>
              <w:rPr>
                <w:rFonts w:eastAsia="宋体"/>
                <w:szCs w:val="22"/>
              </w:rPr>
            </w:pPr>
            <w:r w:rsidRPr="002B55E9">
              <w:rPr>
                <w:rFonts w:eastAsia="宋体" w:hint="eastAsia"/>
                <w:szCs w:val="22"/>
              </w:rPr>
              <w:t>8~10</w:t>
            </w:r>
          </w:p>
        </w:tc>
        <w:tc>
          <w:tcPr>
            <w:tcW w:w="430" w:type="pct"/>
            <w:noWrap/>
            <w:hideMark/>
          </w:tcPr>
          <w:p w14:paraId="72216F5F"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07BA77F7" w14:textId="77777777" w:rsidR="003E2FA0" w:rsidRPr="002B55E9" w:rsidRDefault="003E2FA0" w:rsidP="00430554">
            <w:pPr>
              <w:pStyle w:val="lgy-"/>
              <w:rPr>
                <w:rFonts w:eastAsia="宋体"/>
              </w:rPr>
            </w:pPr>
            <w:r w:rsidRPr="002B55E9">
              <w:rPr>
                <w:rFonts w:eastAsia="宋体"/>
              </w:rPr>
              <w:t xml:space="preserve">5155.64 </w:t>
            </w:r>
          </w:p>
        </w:tc>
        <w:tc>
          <w:tcPr>
            <w:tcW w:w="369" w:type="pct"/>
            <w:hideMark/>
          </w:tcPr>
          <w:p w14:paraId="1798FA4D" w14:textId="77777777" w:rsidR="003E2FA0" w:rsidRPr="002B55E9" w:rsidRDefault="003E2FA0" w:rsidP="00430554">
            <w:pPr>
              <w:pStyle w:val="lgy-"/>
              <w:rPr>
                <w:rFonts w:eastAsia="宋体"/>
              </w:rPr>
            </w:pPr>
            <w:r w:rsidRPr="002B55E9">
              <w:rPr>
                <w:rFonts w:eastAsia="宋体"/>
              </w:rPr>
              <w:t xml:space="preserve">3965.88 </w:t>
            </w:r>
          </w:p>
        </w:tc>
        <w:tc>
          <w:tcPr>
            <w:tcW w:w="369" w:type="pct"/>
            <w:hideMark/>
          </w:tcPr>
          <w:p w14:paraId="62C71EF5" w14:textId="77777777" w:rsidR="003E2FA0" w:rsidRPr="002B55E9" w:rsidRDefault="003E2FA0" w:rsidP="00430554">
            <w:pPr>
              <w:pStyle w:val="lgy-"/>
              <w:rPr>
                <w:rFonts w:eastAsia="宋体"/>
              </w:rPr>
            </w:pPr>
            <w:r w:rsidRPr="002B55E9">
              <w:rPr>
                <w:rFonts w:eastAsia="宋体"/>
              </w:rPr>
              <w:t xml:space="preserve">500.00 </w:t>
            </w:r>
          </w:p>
        </w:tc>
        <w:tc>
          <w:tcPr>
            <w:tcW w:w="369" w:type="pct"/>
            <w:hideMark/>
          </w:tcPr>
          <w:p w14:paraId="0BFB85AF" w14:textId="77777777" w:rsidR="003E2FA0" w:rsidRPr="002B55E9" w:rsidRDefault="003E2FA0" w:rsidP="00430554">
            <w:pPr>
              <w:pStyle w:val="lgy-"/>
              <w:rPr>
                <w:rFonts w:eastAsia="宋体"/>
              </w:rPr>
            </w:pPr>
            <w:r w:rsidRPr="002B55E9">
              <w:rPr>
                <w:rFonts w:eastAsia="宋体"/>
              </w:rPr>
              <w:t xml:space="preserve">50.00 </w:t>
            </w:r>
          </w:p>
        </w:tc>
        <w:tc>
          <w:tcPr>
            <w:tcW w:w="519" w:type="pct"/>
            <w:hideMark/>
          </w:tcPr>
          <w:p w14:paraId="4B443489" w14:textId="77777777" w:rsidR="003E2FA0" w:rsidRPr="002B55E9" w:rsidRDefault="003E2FA0" w:rsidP="00430554">
            <w:pPr>
              <w:pStyle w:val="lgy-"/>
              <w:rPr>
                <w:rFonts w:eastAsia="宋体"/>
              </w:rPr>
            </w:pPr>
            <w:r w:rsidRPr="002B55E9">
              <w:rPr>
                <w:rFonts w:eastAsia="宋体"/>
              </w:rPr>
              <w:t xml:space="preserve">70.00 </w:t>
            </w:r>
          </w:p>
        </w:tc>
        <w:tc>
          <w:tcPr>
            <w:tcW w:w="465" w:type="pct"/>
            <w:hideMark/>
          </w:tcPr>
          <w:p w14:paraId="12A03AD2"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27FD55F8"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4C391ACC" w14:textId="77777777" w:rsidTr="003E2FA0">
        <w:trPr>
          <w:trHeight w:val="283"/>
        </w:trPr>
        <w:tc>
          <w:tcPr>
            <w:tcW w:w="498" w:type="pct"/>
            <w:vMerge/>
            <w:hideMark/>
          </w:tcPr>
          <w:p w14:paraId="3835C1EC" w14:textId="77777777" w:rsidR="003E2FA0" w:rsidRPr="002B55E9" w:rsidRDefault="003E2FA0" w:rsidP="00430554">
            <w:pPr>
              <w:pStyle w:val="lgy-"/>
              <w:rPr>
                <w:rFonts w:eastAsia="宋体"/>
              </w:rPr>
            </w:pPr>
          </w:p>
        </w:tc>
        <w:tc>
          <w:tcPr>
            <w:tcW w:w="389" w:type="pct"/>
            <w:vMerge/>
            <w:hideMark/>
          </w:tcPr>
          <w:p w14:paraId="015D53E7" w14:textId="77777777" w:rsidR="003E2FA0" w:rsidRPr="002B55E9" w:rsidRDefault="003E2FA0" w:rsidP="00430554">
            <w:pPr>
              <w:pStyle w:val="lgy-"/>
              <w:rPr>
                <w:rFonts w:eastAsia="宋体"/>
              </w:rPr>
            </w:pPr>
          </w:p>
        </w:tc>
        <w:tc>
          <w:tcPr>
            <w:tcW w:w="534" w:type="pct"/>
            <w:hideMark/>
          </w:tcPr>
          <w:p w14:paraId="74687E3C"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67BFC246"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428CF42F"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34809979" w14:textId="77777777" w:rsidR="003E2FA0" w:rsidRPr="002B55E9" w:rsidRDefault="003E2FA0" w:rsidP="00430554">
            <w:pPr>
              <w:pStyle w:val="lgy-"/>
              <w:rPr>
                <w:rFonts w:eastAsia="宋体"/>
              </w:rPr>
            </w:pPr>
            <w:r w:rsidRPr="002B55E9">
              <w:rPr>
                <w:rFonts w:eastAsia="宋体"/>
              </w:rPr>
              <w:t xml:space="preserve">21.69 </w:t>
            </w:r>
          </w:p>
        </w:tc>
        <w:tc>
          <w:tcPr>
            <w:tcW w:w="369" w:type="pct"/>
            <w:hideMark/>
          </w:tcPr>
          <w:p w14:paraId="448C8E19" w14:textId="77777777" w:rsidR="003E2FA0" w:rsidRPr="002B55E9" w:rsidRDefault="003E2FA0" w:rsidP="00430554">
            <w:pPr>
              <w:pStyle w:val="lgy-"/>
              <w:rPr>
                <w:rFonts w:eastAsia="宋体"/>
              </w:rPr>
            </w:pPr>
            <w:r w:rsidRPr="002B55E9">
              <w:rPr>
                <w:rFonts w:eastAsia="宋体"/>
              </w:rPr>
              <w:t xml:space="preserve">16.69 </w:t>
            </w:r>
          </w:p>
        </w:tc>
        <w:tc>
          <w:tcPr>
            <w:tcW w:w="369" w:type="pct"/>
            <w:hideMark/>
          </w:tcPr>
          <w:p w14:paraId="5F34386F" w14:textId="77777777" w:rsidR="003E2FA0" w:rsidRPr="002B55E9" w:rsidRDefault="003E2FA0" w:rsidP="00430554">
            <w:pPr>
              <w:pStyle w:val="lgy-"/>
              <w:rPr>
                <w:rFonts w:eastAsia="宋体"/>
              </w:rPr>
            </w:pPr>
            <w:r w:rsidRPr="002B55E9">
              <w:rPr>
                <w:rFonts w:eastAsia="宋体"/>
              </w:rPr>
              <w:t xml:space="preserve">2.10 </w:t>
            </w:r>
          </w:p>
        </w:tc>
        <w:tc>
          <w:tcPr>
            <w:tcW w:w="369" w:type="pct"/>
            <w:hideMark/>
          </w:tcPr>
          <w:p w14:paraId="7165F4FB" w14:textId="77777777" w:rsidR="003E2FA0" w:rsidRPr="002B55E9" w:rsidRDefault="003E2FA0" w:rsidP="00430554">
            <w:pPr>
              <w:pStyle w:val="lgy-"/>
              <w:rPr>
                <w:rFonts w:eastAsia="宋体"/>
              </w:rPr>
            </w:pPr>
            <w:r w:rsidRPr="002B55E9">
              <w:rPr>
                <w:rFonts w:eastAsia="宋体"/>
              </w:rPr>
              <w:t xml:space="preserve">0.21 </w:t>
            </w:r>
          </w:p>
        </w:tc>
        <w:tc>
          <w:tcPr>
            <w:tcW w:w="519" w:type="pct"/>
            <w:hideMark/>
          </w:tcPr>
          <w:p w14:paraId="6F742848" w14:textId="77777777" w:rsidR="003E2FA0" w:rsidRPr="002B55E9" w:rsidRDefault="003E2FA0" w:rsidP="00430554">
            <w:pPr>
              <w:pStyle w:val="lgy-"/>
              <w:rPr>
                <w:rFonts w:eastAsia="宋体"/>
              </w:rPr>
            </w:pPr>
            <w:r w:rsidRPr="002B55E9">
              <w:rPr>
                <w:rFonts w:eastAsia="宋体"/>
              </w:rPr>
              <w:t xml:space="preserve">0.29 </w:t>
            </w:r>
          </w:p>
        </w:tc>
        <w:tc>
          <w:tcPr>
            <w:tcW w:w="465" w:type="pct"/>
            <w:hideMark/>
          </w:tcPr>
          <w:p w14:paraId="563A4FF6"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161A694F"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4C112129" w14:textId="77777777" w:rsidTr="003E2FA0">
        <w:trPr>
          <w:trHeight w:val="283"/>
        </w:trPr>
        <w:tc>
          <w:tcPr>
            <w:tcW w:w="498" w:type="pct"/>
            <w:vMerge w:val="restart"/>
            <w:hideMark/>
          </w:tcPr>
          <w:p w14:paraId="45C5F434" w14:textId="77777777" w:rsidR="003E2FA0" w:rsidRPr="002B55E9" w:rsidRDefault="003E2FA0" w:rsidP="00430554">
            <w:pPr>
              <w:pStyle w:val="lgy-"/>
              <w:rPr>
                <w:rFonts w:eastAsia="宋体"/>
              </w:rPr>
            </w:pPr>
            <w:r w:rsidRPr="002B55E9">
              <w:rPr>
                <w:rFonts w:eastAsia="宋体" w:hint="eastAsia"/>
              </w:rPr>
              <w:t>循环水排水</w:t>
            </w:r>
          </w:p>
        </w:tc>
        <w:tc>
          <w:tcPr>
            <w:tcW w:w="389" w:type="pct"/>
            <w:vMerge w:val="restart"/>
            <w:hideMark/>
          </w:tcPr>
          <w:p w14:paraId="56363E8A" w14:textId="77777777" w:rsidR="003E2FA0" w:rsidRPr="002B55E9" w:rsidRDefault="003E2FA0" w:rsidP="00430554">
            <w:pPr>
              <w:pStyle w:val="lgy-"/>
              <w:rPr>
                <w:rFonts w:eastAsia="宋体"/>
              </w:rPr>
            </w:pPr>
            <w:r w:rsidRPr="002B55E9">
              <w:rPr>
                <w:rFonts w:eastAsia="宋体" w:hint="eastAsia"/>
              </w:rPr>
              <w:t xml:space="preserve">3168 </w:t>
            </w:r>
          </w:p>
        </w:tc>
        <w:tc>
          <w:tcPr>
            <w:tcW w:w="534" w:type="pct"/>
            <w:hideMark/>
          </w:tcPr>
          <w:p w14:paraId="7A0A1131"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6F427591"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63A523C0"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51596221" w14:textId="77777777" w:rsidR="003E2FA0" w:rsidRPr="002B55E9" w:rsidRDefault="003E2FA0" w:rsidP="00430554">
            <w:pPr>
              <w:pStyle w:val="lgy-"/>
              <w:rPr>
                <w:rFonts w:eastAsia="宋体"/>
              </w:rPr>
            </w:pPr>
            <w:r w:rsidRPr="002B55E9">
              <w:rPr>
                <w:rFonts w:eastAsia="宋体"/>
              </w:rPr>
              <w:t xml:space="preserve">100.00 </w:t>
            </w:r>
          </w:p>
        </w:tc>
        <w:tc>
          <w:tcPr>
            <w:tcW w:w="369" w:type="pct"/>
            <w:hideMark/>
          </w:tcPr>
          <w:p w14:paraId="6D165C9C" w14:textId="77777777" w:rsidR="003E2FA0" w:rsidRPr="002B55E9" w:rsidRDefault="003E2FA0" w:rsidP="00430554">
            <w:pPr>
              <w:pStyle w:val="lgy-"/>
              <w:rPr>
                <w:rFonts w:eastAsia="宋体"/>
              </w:rPr>
            </w:pPr>
            <w:r w:rsidRPr="002B55E9">
              <w:rPr>
                <w:rFonts w:eastAsia="宋体"/>
              </w:rPr>
              <w:t xml:space="preserve">35.00 </w:t>
            </w:r>
          </w:p>
        </w:tc>
        <w:tc>
          <w:tcPr>
            <w:tcW w:w="369" w:type="pct"/>
            <w:hideMark/>
          </w:tcPr>
          <w:p w14:paraId="0DEBB799" w14:textId="77777777" w:rsidR="003E2FA0" w:rsidRPr="002B55E9" w:rsidRDefault="003E2FA0" w:rsidP="00430554">
            <w:pPr>
              <w:pStyle w:val="lgy-"/>
              <w:rPr>
                <w:rFonts w:eastAsia="宋体"/>
              </w:rPr>
            </w:pPr>
            <w:r w:rsidRPr="002B55E9">
              <w:rPr>
                <w:rFonts w:eastAsia="宋体"/>
              </w:rPr>
              <w:t xml:space="preserve">40.00 </w:t>
            </w:r>
          </w:p>
        </w:tc>
        <w:tc>
          <w:tcPr>
            <w:tcW w:w="369" w:type="pct"/>
            <w:hideMark/>
          </w:tcPr>
          <w:p w14:paraId="26EF23DA" w14:textId="77777777" w:rsidR="003E2FA0" w:rsidRPr="002B55E9" w:rsidRDefault="003E2FA0" w:rsidP="00430554">
            <w:pPr>
              <w:pStyle w:val="lgy-"/>
              <w:rPr>
                <w:rFonts w:eastAsia="宋体"/>
              </w:rPr>
            </w:pPr>
            <w:r w:rsidRPr="002B55E9">
              <w:rPr>
                <w:rFonts w:eastAsia="宋体"/>
              </w:rPr>
              <w:t xml:space="preserve">10.00 </w:t>
            </w:r>
          </w:p>
        </w:tc>
        <w:tc>
          <w:tcPr>
            <w:tcW w:w="519" w:type="pct"/>
            <w:hideMark/>
          </w:tcPr>
          <w:p w14:paraId="3F3F2FAC" w14:textId="77777777" w:rsidR="003E2FA0" w:rsidRPr="002B55E9" w:rsidRDefault="003E2FA0" w:rsidP="00430554">
            <w:pPr>
              <w:pStyle w:val="lgy-"/>
              <w:rPr>
                <w:rFonts w:eastAsia="宋体"/>
              </w:rPr>
            </w:pPr>
            <w:r w:rsidRPr="002B55E9">
              <w:rPr>
                <w:rFonts w:eastAsia="宋体"/>
              </w:rPr>
              <w:t xml:space="preserve">20.00 </w:t>
            </w:r>
          </w:p>
        </w:tc>
        <w:tc>
          <w:tcPr>
            <w:tcW w:w="465" w:type="pct"/>
            <w:hideMark/>
          </w:tcPr>
          <w:p w14:paraId="7614AC47"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122214FC"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47BED558" w14:textId="77777777" w:rsidTr="003E2FA0">
        <w:trPr>
          <w:trHeight w:val="283"/>
        </w:trPr>
        <w:tc>
          <w:tcPr>
            <w:tcW w:w="498" w:type="pct"/>
            <w:vMerge/>
            <w:hideMark/>
          </w:tcPr>
          <w:p w14:paraId="483205C6" w14:textId="77777777" w:rsidR="003E2FA0" w:rsidRPr="002B55E9" w:rsidRDefault="003E2FA0" w:rsidP="00430554">
            <w:pPr>
              <w:pStyle w:val="lgy-"/>
              <w:rPr>
                <w:rFonts w:eastAsia="宋体"/>
              </w:rPr>
            </w:pPr>
          </w:p>
        </w:tc>
        <w:tc>
          <w:tcPr>
            <w:tcW w:w="389" w:type="pct"/>
            <w:vMerge/>
            <w:hideMark/>
          </w:tcPr>
          <w:p w14:paraId="42145BA4" w14:textId="77777777" w:rsidR="003E2FA0" w:rsidRPr="002B55E9" w:rsidRDefault="003E2FA0" w:rsidP="00430554">
            <w:pPr>
              <w:pStyle w:val="lgy-"/>
              <w:rPr>
                <w:rFonts w:eastAsia="宋体"/>
              </w:rPr>
            </w:pPr>
          </w:p>
        </w:tc>
        <w:tc>
          <w:tcPr>
            <w:tcW w:w="534" w:type="pct"/>
            <w:hideMark/>
          </w:tcPr>
          <w:p w14:paraId="220C6CD6"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51B80171"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1B1C32A1"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23CF1784" w14:textId="77777777" w:rsidR="003E2FA0" w:rsidRPr="002B55E9" w:rsidRDefault="003E2FA0" w:rsidP="00430554">
            <w:pPr>
              <w:pStyle w:val="lgy-"/>
              <w:rPr>
                <w:rFonts w:eastAsia="宋体"/>
              </w:rPr>
            </w:pPr>
            <w:r w:rsidRPr="002B55E9">
              <w:rPr>
                <w:rFonts w:eastAsia="宋体"/>
              </w:rPr>
              <w:t xml:space="preserve">0.32 </w:t>
            </w:r>
          </w:p>
        </w:tc>
        <w:tc>
          <w:tcPr>
            <w:tcW w:w="369" w:type="pct"/>
            <w:hideMark/>
          </w:tcPr>
          <w:p w14:paraId="5AC5F24D" w14:textId="77777777" w:rsidR="003E2FA0" w:rsidRPr="002B55E9" w:rsidRDefault="003E2FA0" w:rsidP="00430554">
            <w:pPr>
              <w:pStyle w:val="lgy-"/>
              <w:rPr>
                <w:rFonts w:eastAsia="宋体"/>
              </w:rPr>
            </w:pPr>
            <w:r w:rsidRPr="002B55E9">
              <w:rPr>
                <w:rFonts w:eastAsia="宋体"/>
              </w:rPr>
              <w:t xml:space="preserve">0.11 </w:t>
            </w:r>
          </w:p>
        </w:tc>
        <w:tc>
          <w:tcPr>
            <w:tcW w:w="369" w:type="pct"/>
            <w:hideMark/>
          </w:tcPr>
          <w:p w14:paraId="76ED5B85" w14:textId="77777777" w:rsidR="003E2FA0" w:rsidRPr="002B55E9" w:rsidRDefault="003E2FA0" w:rsidP="00430554">
            <w:pPr>
              <w:pStyle w:val="lgy-"/>
              <w:rPr>
                <w:rFonts w:eastAsia="宋体"/>
              </w:rPr>
            </w:pPr>
            <w:r w:rsidRPr="002B55E9">
              <w:rPr>
                <w:rFonts w:eastAsia="宋体"/>
              </w:rPr>
              <w:t xml:space="preserve">0.13 </w:t>
            </w:r>
          </w:p>
        </w:tc>
        <w:tc>
          <w:tcPr>
            <w:tcW w:w="369" w:type="pct"/>
            <w:hideMark/>
          </w:tcPr>
          <w:p w14:paraId="0ADCFE92" w14:textId="77777777" w:rsidR="003E2FA0" w:rsidRPr="002B55E9" w:rsidRDefault="003E2FA0" w:rsidP="00430554">
            <w:pPr>
              <w:pStyle w:val="lgy-"/>
              <w:rPr>
                <w:rFonts w:eastAsia="宋体"/>
              </w:rPr>
            </w:pPr>
            <w:r w:rsidRPr="002B55E9">
              <w:rPr>
                <w:rFonts w:eastAsia="宋体"/>
              </w:rPr>
              <w:t xml:space="preserve">0.03 </w:t>
            </w:r>
          </w:p>
        </w:tc>
        <w:tc>
          <w:tcPr>
            <w:tcW w:w="519" w:type="pct"/>
            <w:hideMark/>
          </w:tcPr>
          <w:p w14:paraId="5B1EE740" w14:textId="77777777" w:rsidR="003E2FA0" w:rsidRPr="002B55E9" w:rsidRDefault="003E2FA0" w:rsidP="00430554">
            <w:pPr>
              <w:pStyle w:val="lgy-"/>
              <w:rPr>
                <w:rFonts w:eastAsia="宋体"/>
              </w:rPr>
            </w:pPr>
            <w:r w:rsidRPr="002B55E9">
              <w:rPr>
                <w:rFonts w:eastAsia="宋体"/>
              </w:rPr>
              <w:t xml:space="preserve">0.06 </w:t>
            </w:r>
          </w:p>
        </w:tc>
        <w:tc>
          <w:tcPr>
            <w:tcW w:w="465" w:type="pct"/>
            <w:hideMark/>
          </w:tcPr>
          <w:p w14:paraId="4B9A75A4"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7F9FE3EC"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389923BE" w14:textId="77777777" w:rsidTr="003E2FA0">
        <w:trPr>
          <w:trHeight w:val="283"/>
        </w:trPr>
        <w:tc>
          <w:tcPr>
            <w:tcW w:w="498" w:type="pct"/>
            <w:vMerge w:val="restart"/>
            <w:hideMark/>
          </w:tcPr>
          <w:p w14:paraId="7F0B5F0A" w14:textId="77777777" w:rsidR="003E2FA0" w:rsidRPr="002B55E9" w:rsidRDefault="003E2FA0" w:rsidP="00430554">
            <w:pPr>
              <w:pStyle w:val="lgy-"/>
              <w:rPr>
                <w:rFonts w:eastAsia="宋体"/>
              </w:rPr>
            </w:pPr>
            <w:r w:rsidRPr="002B55E9">
              <w:rPr>
                <w:rFonts w:eastAsia="宋体" w:hint="eastAsia"/>
              </w:rPr>
              <w:t>化验室排水</w:t>
            </w:r>
          </w:p>
        </w:tc>
        <w:tc>
          <w:tcPr>
            <w:tcW w:w="389" w:type="pct"/>
            <w:vMerge w:val="restart"/>
            <w:hideMark/>
          </w:tcPr>
          <w:p w14:paraId="724A0D2C" w14:textId="77777777" w:rsidR="003E2FA0" w:rsidRPr="002B55E9" w:rsidRDefault="003E2FA0" w:rsidP="00430554">
            <w:pPr>
              <w:pStyle w:val="lgy-"/>
              <w:rPr>
                <w:rFonts w:eastAsia="宋体"/>
              </w:rPr>
            </w:pPr>
            <w:r w:rsidRPr="002B55E9">
              <w:rPr>
                <w:rFonts w:eastAsia="宋体" w:hint="eastAsia"/>
              </w:rPr>
              <w:t xml:space="preserve">326 </w:t>
            </w:r>
          </w:p>
        </w:tc>
        <w:tc>
          <w:tcPr>
            <w:tcW w:w="534" w:type="pct"/>
            <w:hideMark/>
          </w:tcPr>
          <w:p w14:paraId="1DE84BA5"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73AAB9C0"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77A4FF85"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0FEB8C6D" w14:textId="77777777" w:rsidR="003E2FA0" w:rsidRPr="002B55E9" w:rsidRDefault="003E2FA0" w:rsidP="00430554">
            <w:pPr>
              <w:pStyle w:val="lgy-"/>
              <w:rPr>
                <w:rFonts w:eastAsia="宋体"/>
              </w:rPr>
            </w:pPr>
            <w:r w:rsidRPr="002B55E9">
              <w:rPr>
                <w:rFonts w:eastAsia="宋体"/>
              </w:rPr>
              <w:t xml:space="preserve">1000.00 </w:t>
            </w:r>
          </w:p>
        </w:tc>
        <w:tc>
          <w:tcPr>
            <w:tcW w:w="369" w:type="pct"/>
            <w:hideMark/>
          </w:tcPr>
          <w:p w14:paraId="5A76F5DB" w14:textId="77777777" w:rsidR="003E2FA0" w:rsidRPr="002B55E9" w:rsidRDefault="003E2FA0" w:rsidP="00430554">
            <w:pPr>
              <w:pStyle w:val="lgy-"/>
              <w:rPr>
                <w:rFonts w:eastAsia="宋体"/>
              </w:rPr>
            </w:pPr>
            <w:r w:rsidRPr="002B55E9">
              <w:rPr>
                <w:rFonts w:eastAsia="宋体"/>
              </w:rPr>
              <w:t xml:space="preserve">400.00 </w:t>
            </w:r>
          </w:p>
        </w:tc>
        <w:tc>
          <w:tcPr>
            <w:tcW w:w="369" w:type="pct"/>
            <w:hideMark/>
          </w:tcPr>
          <w:p w14:paraId="20C2BE9B" w14:textId="77777777" w:rsidR="003E2FA0" w:rsidRPr="002B55E9" w:rsidRDefault="003E2FA0" w:rsidP="00430554">
            <w:pPr>
              <w:pStyle w:val="lgy-"/>
              <w:rPr>
                <w:rFonts w:eastAsia="宋体"/>
              </w:rPr>
            </w:pPr>
            <w:r w:rsidRPr="002B55E9">
              <w:rPr>
                <w:rFonts w:eastAsia="宋体"/>
              </w:rPr>
              <w:t xml:space="preserve">300.00 </w:t>
            </w:r>
          </w:p>
        </w:tc>
        <w:tc>
          <w:tcPr>
            <w:tcW w:w="369" w:type="pct"/>
            <w:hideMark/>
          </w:tcPr>
          <w:p w14:paraId="6A17174C" w14:textId="77777777" w:rsidR="003E2FA0" w:rsidRPr="002B55E9" w:rsidRDefault="003E2FA0" w:rsidP="00430554">
            <w:pPr>
              <w:pStyle w:val="lgy-"/>
              <w:rPr>
                <w:rFonts w:eastAsia="宋体"/>
              </w:rPr>
            </w:pPr>
            <w:r w:rsidRPr="002B55E9">
              <w:rPr>
                <w:rFonts w:eastAsia="宋体"/>
              </w:rPr>
              <w:t xml:space="preserve">7.00 </w:t>
            </w:r>
          </w:p>
        </w:tc>
        <w:tc>
          <w:tcPr>
            <w:tcW w:w="519" w:type="pct"/>
            <w:hideMark/>
          </w:tcPr>
          <w:p w14:paraId="12E5BA65" w14:textId="77777777" w:rsidR="003E2FA0" w:rsidRPr="002B55E9" w:rsidRDefault="003E2FA0" w:rsidP="00430554">
            <w:pPr>
              <w:pStyle w:val="lgy-"/>
              <w:rPr>
                <w:rFonts w:eastAsia="宋体"/>
              </w:rPr>
            </w:pPr>
            <w:r w:rsidRPr="002B55E9">
              <w:rPr>
                <w:rFonts w:eastAsia="宋体"/>
              </w:rPr>
              <w:t xml:space="preserve">15.00 </w:t>
            </w:r>
          </w:p>
        </w:tc>
        <w:tc>
          <w:tcPr>
            <w:tcW w:w="465" w:type="pct"/>
            <w:hideMark/>
          </w:tcPr>
          <w:p w14:paraId="122C6ADE" w14:textId="77777777" w:rsidR="003E2FA0" w:rsidRPr="002B55E9" w:rsidRDefault="003E2FA0" w:rsidP="00430554">
            <w:pPr>
              <w:pStyle w:val="lgy-"/>
              <w:rPr>
                <w:rFonts w:eastAsia="宋体"/>
              </w:rPr>
            </w:pPr>
            <w:r w:rsidRPr="002B55E9">
              <w:rPr>
                <w:rFonts w:eastAsia="宋体"/>
              </w:rPr>
              <w:t xml:space="preserve">8.00 </w:t>
            </w:r>
          </w:p>
        </w:tc>
        <w:tc>
          <w:tcPr>
            <w:tcW w:w="369" w:type="pct"/>
            <w:hideMark/>
          </w:tcPr>
          <w:p w14:paraId="4D0C86A3"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0D46F43B" w14:textId="77777777" w:rsidTr="003E2FA0">
        <w:trPr>
          <w:trHeight w:val="283"/>
        </w:trPr>
        <w:tc>
          <w:tcPr>
            <w:tcW w:w="498" w:type="pct"/>
            <w:vMerge/>
            <w:hideMark/>
          </w:tcPr>
          <w:p w14:paraId="65FCF016" w14:textId="77777777" w:rsidR="003E2FA0" w:rsidRPr="002B55E9" w:rsidRDefault="003E2FA0" w:rsidP="00430554">
            <w:pPr>
              <w:pStyle w:val="lgy-"/>
              <w:rPr>
                <w:rFonts w:eastAsia="宋体"/>
              </w:rPr>
            </w:pPr>
          </w:p>
        </w:tc>
        <w:tc>
          <w:tcPr>
            <w:tcW w:w="389" w:type="pct"/>
            <w:vMerge/>
            <w:hideMark/>
          </w:tcPr>
          <w:p w14:paraId="33936172" w14:textId="77777777" w:rsidR="003E2FA0" w:rsidRPr="002B55E9" w:rsidRDefault="003E2FA0" w:rsidP="00430554">
            <w:pPr>
              <w:pStyle w:val="lgy-"/>
              <w:rPr>
                <w:rFonts w:eastAsia="宋体"/>
              </w:rPr>
            </w:pPr>
          </w:p>
        </w:tc>
        <w:tc>
          <w:tcPr>
            <w:tcW w:w="534" w:type="pct"/>
            <w:hideMark/>
          </w:tcPr>
          <w:p w14:paraId="380E2A02"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126E4F2B"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2CDFE031"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23A87ACA" w14:textId="77777777" w:rsidR="003E2FA0" w:rsidRPr="002B55E9" w:rsidRDefault="003E2FA0" w:rsidP="00430554">
            <w:pPr>
              <w:pStyle w:val="lgy-"/>
              <w:rPr>
                <w:rFonts w:eastAsia="宋体"/>
              </w:rPr>
            </w:pPr>
            <w:r w:rsidRPr="002B55E9">
              <w:rPr>
                <w:rFonts w:eastAsia="宋体"/>
              </w:rPr>
              <w:t xml:space="preserve">0.33 </w:t>
            </w:r>
          </w:p>
        </w:tc>
        <w:tc>
          <w:tcPr>
            <w:tcW w:w="369" w:type="pct"/>
            <w:hideMark/>
          </w:tcPr>
          <w:p w14:paraId="117B59B3" w14:textId="77777777" w:rsidR="003E2FA0" w:rsidRPr="002B55E9" w:rsidRDefault="003E2FA0" w:rsidP="00430554">
            <w:pPr>
              <w:pStyle w:val="lgy-"/>
              <w:rPr>
                <w:rFonts w:eastAsia="宋体"/>
              </w:rPr>
            </w:pPr>
            <w:r w:rsidRPr="002B55E9">
              <w:rPr>
                <w:rFonts w:eastAsia="宋体"/>
              </w:rPr>
              <w:t xml:space="preserve">0.13 </w:t>
            </w:r>
          </w:p>
        </w:tc>
        <w:tc>
          <w:tcPr>
            <w:tcW w:w="369" w:type="pct"/>
            <w:hideMark/>
          </w:tcPr>
          <w:p w14:paraId="442CD1FD" w14:textId="77777777" w:rsidR="003E2FA0" w:rsidRPr="002B55E9" w:rsidRDefault="003E2FA0" w:rsidP="00430554">
            <w:pPr>
              <w:pStyle w:val="lgy-"/>
              <w:rPr>
                <w:rFonts w:eastAsia="宋体"/>
              </w:rPr>
            </w:pPr>
            <w:r w:rsidRPr="002B55E9">
              <w:rPr>
                <w:rFonts w:eastAsia="宋体"/>
              </w:rPr>
              <w:t xml:space="preserve">0.10 </w:t>
            </w:r>
          </w:p>
        </w:tc>
        <w:tc>
          <w:tcPr>
            <w:tcW w:w="369" w:type="pct"/>
            <w:hideMark/>
          </w:tcPr>
          <w:p w14:paraId="0680A5F7" w14:textId="77777777" w:rsidR="003E2FA0" w:rsidRPr="002B55E9" w:rsidRDefault="003E2FA0" w:rsidP="00430554">
            <w:pPr>
              <w:pStyle w:val="lgy-"/>
              <w:rPr>
                <w:rFonts w:eastAsia="宋体"/>
              </w:rPr>
            </w:pPr>
            <w:r w:rsidRPr="002B55E9">
              <w:rPr>
                <w:rFonts w:eastAsia="宋体"/>
              </w:rPr>
              <w:t xml:space="preserve">0.00 </w:t>
            </w:r>
          </w:p>
        </w:tc>
        <w:tc>
          <w:tcPr>
            <w:tcW w:w="519" w:type="pct"/>
            <w:hideMark/>
          </w:tcPr>
          <w:p w14:paraId="106B9A0C" w14:textId="77777777" w:rsidR="003E2FA0" w:rsidRPr="002B55E9" w:rsidRDefault="003E2FA0" w:rsidP="00430554">
            <w:pPr>
              <w:pStyle w:val="lgy-"/>
              <w:rPr>
                <w:rFonts w:eastAsia="宋体"/>
              </w:rPr>
            </w:pPr>
            <w:r w:rsidRPr="002B55E9">
              <w:rPr>
                <w:rFonts w:eastAsia="宋体"/>
              </w:rPr>
              <w:t xml:space="preserve">0.00 </w:t>
            </w:r>
          </w:p>
        </w:tc>
        <w:tc>
          <w:tcPr>
            <w:tcW w:w="465" w:type="pct"/>
            <w:hideMark/>
          </w:tcPr>
          <w:p w14:paraId="0B01835F"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54199227"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14583ACA" w14:textId="77777777" w:rsidTr="003E2FA0">
        <w:trPr>
          <w:trHeight w:val="283"/>
        </w:trPr>
        <w:tc>
          <w:tcPr>
            <w:tcW w:w="498" w:type="pct"/>
            <w:vMerge w:val="restart"/>
            <w:hideMark/>
          </w:tcPr>
          <w:p w14:paraId="761434E7" w14:textId="77777777" w:rsidR="003E2FA0" w:rsidRPr="002B55E9" w:rsidRDefault="003E2FA0" w:rsidP="00430554">
            <w:pPr>
              <w:pStyle w:val="lgy-"/>
              <w:rPr>
                <w:rFonts w:eastAsia="宋体"/>
              </w:rPr>
            </w:pPr>
            <w:r w:rsidRPr="002B55E9">
              <w:rPr>
                <w:rFonts w:eastAsia="宋体" w:hint="eastAsia"/>
              </w:rPr>
              <w:t>纯水制备废水</w:t>
            </w:r>
          </w:p>
        </w:tc>
        <w:tc>
          <w:tcPr>
            <w:tcW w:w="389" w:type="pct"/>
            <w:vMerge w:val="restart"/>
            <w:hideMark/>
          </w:tcPr>
          <w:p w14:paraId="003E67F9" w14:textId="77777777" w:rsidR="003E2FA0" w:rsidRPr="002B55E9" w:rsidRDefault="003E2FA0" w:rsidP="00430554">
            <w:pPr>
              <w:pStyle w:val="lgy-"/>
              <w:rPr>
                <w:rFonts w:eastAsia="宋体"/>
              </w:rPr>
            </w:pPr>
            <w:r w:rsidRPr="002B55E9">
              <w:rPr>
                <w:rFonts w:eastAsia="宋体" w:hint="eastAsia"/>
              </w:rPr>
              <w:t xml:space="preserve">11 </w:t>
            </w:r>
          </w:p>
        </w:tc>
        <w:tc>
          <w:tcPr>
            <w:tcW w:w="534" w:type="pct"/>
            <w:hideMark/>
          </w:tcPr>
          <w:p w14:paraId="75277E37"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0721FE1E"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3E1E899C"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3491EECE" w14:textId="77777777" w:rsidR="003E2FA0" w:rsidRPr="002B55E9" w:rsidRDefault="003E2FA0" w:rsidP="00430554">
            <w:pPr>
              <w:pStyle w:val="lgy-"/>
              <w:rPr>
                <w:rFonts w:eastAsia="宋体"/>
              </w:rPr>
            </w:pPr>
            <w:r w:rsidRPr="002B55E9">
              <w:rPr>
                <w:rFonts w:eastAsia="宋体"/>
              </w:rPr>
              <w:t xml:space="preserve">40.00 </w:t>
            </w:r>
          </w:p>
        </w:tc>
        <w:tc>
          <w:tcPr>
            <w:tcW w:w="369" w:type="pct"/>
            <w:hideMark/>
          </w:tcPr>
          <w:p w14:paraId="5D83131A" w14:textId="77777777" w:rsidR="003E2FA0" w:rsidRPr="002B55E9" w:rsidRDefault="003E2FA0" w:rsidP="00430554">
            <w:pPr>
              <w:pStyle w:val="lgy-"/>
              <w:rPr>
                <w:rFonts w:eastAsia="宋体"/>
              </w:rPr>
            </w:pPr>
            <w:r w:rsidRPr="002B55E9">
              <w:rPr>
                <w:rFonts w:eastAsia="宋体"/>
              </w:rPr>
              <w:t xml:space="preserve">10.00 </w:t>
            </w:r>
          </w:p>
        </w:tc>
        <w:tc>
          <w:tcPr>
            <w:tcW w:w="369" w:type="pct"/>
            <w:hideMark/>
          </w:tcPr>
          <w:p w14:paraId="0880A41D" w14:textId="77777777" w:rsidR="003E2FA0" w:rsidRPr="002B55E9" w:rsidRDefault="003E2FA0" w:rsidP="00430554">
            <w:pPr>
              <w:pStyle w:val="lgy-"/>
              <w:rPr>
                <w:rFonts w:eastAsia="宋体"/>
              </w:rPr>
            </w:pPr>
            <w:r w:rsidRPr="002B55E9">
              <w:rPr>
                <w:rFonts w:eastAsia="宋体"/>
              </w:rPr>
              <w:t xml:space="preserve">10.00 </w:t>
            </w:r>
          </w:p>
        </w:tc>
        <w:tc>
          <w:tcPr>
            <w:tcW w:w="369" w:type="pct"/>
            <w:hideMark/>
          </w:tcPr>
          <w:p w14:paraId="4A24B3F1" w14:textId="77777777" w:rsidR="003E2FA0" w:rsidRPr="002B55E9" w:rsidRDefault="003E2FA0" w:rsidP="00430554">
            <w:pPr>
              <w:pStyle w:val="lgy-"/>
              <w:rPr>
                <w:rFonts w:eastAsia="宋体"/>
              </w:rPr>
            </w:pPr>
            <w:r w:rsidRPr="002B55E9">
              <w:rPr>
                <w:rFonts w:eastAsia="宋体"/>
              </w:rPr>
              <w:t xml:space="preserve">5.00 </w:t>
            </w:r>
          </w:p>
        </w:tc>
        <w:tc>
          <w:tcPr>
            <w:tcW w:w="519" w:type="pct"/>
            <w:hideMark/>
          </w:tcPr>
          <w:p w14:paraId="7D18025C" w14:textId="77777777" w:rsidR="003E2FA0" w:rsidRPr="002B55E9" w:rsidRDefault="003E2FA0" w:rsidP="00430554">
            <w:pPr>
              <w:pStyle w:val="lgy-"/>
              <w:rPr>
                <w:rFonts w:eastAsia="宋体"/>
              </w:rPr>
            </w:pPr>
            <w:r w:rsidRPr="002B55E9">
              <w:rPr>
                <w:rFonts w:eastAsia="宋体"/>
              </w:rPr>
              <w:t xml:space="preserve">0.00 </w:t>
            </w:r>
          </w:p>
        </w:tc>
        <w:tc>
          <w:tcPr>
            <w:tcW w:w="465" w:type="pct"/>
            <w:hideMark/>
          </w:tcPr>
          <w:p w14:paraId="1D1F6D26"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59AB09AB"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29B6D705" w14:textId="77777777" w:rsidTr="003E2FA0">
        <w:trPr>
          <w:trHeight w:val="283"/>
        </w:trPr>
        <w:tc>
          <w:tcPr>
            <w:tcW w:w="498" w:type="pct"/>
            <w:vMerge/>
            <w:hideMark/>
          </w:tcPr>
          <w:p w14:paraId="17D411D4" w14:textId="77777777" w:rsidR="003E2FA0" w:rsidRPr="002B55E9" w:rsidRDefault="003E2FA0" w:rsidP="00430554">
            <w:pPr>
              <w:pStyle w:val="lgy-"/>
              <w:rPr>
                <w:rFonts w:eastAsia="宋体"/>
              </w:rPr>
            </w:pPr>
          </w:p>
        </w:tc>
        <w:tc>
          <w:tcPr>
            <w:tcW w:w="389" w:type="pct"/>
            <w:vMerge/>
            <w:hideMark/>
          </w:tcPr>
          <w:p w14:paraId="3DBCBF91" w14:textId="77777777" w:rsidR="003E2FA0" w:rsidRPr="002B55E9" w:rsidRDefault="003E2FA0" w:rsidP="00430554">
            <w:pPr>
              <w:pStyle w:val="lgy-"/>
              <w:rPr>
                <w:rFonts w:eastAsia="宋体"/>
              </w:rPr>
            </w:pPr>
          </w:p>
        </w:tc>
        <w:tc>
          <w:tcPr>
            <w:tcW w:w="534" w:type="pct"/>
            <w:hideMark/>
          </w:tcPr>
          <w:p w14:paraId="0D0DF771"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6BDA74C0"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36BDEDA0"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2F51E0FA" w14:textId="77777777" w:rsidR="003E2FA0" w:rsidRPr="002B55E9" w:rsidRDefault="003E2FA0" w:rsidP="00430554">
            <w:pPr>
              <w:pStyle w:val="lgy-"/>
              <w:rPr>
                <w:rFonts w:eastAsia="宋体"/>
              </w:rPr>
            </w:pPr>
            <w:r w:rsidRPr="002B55E9">
              <w:rPr>
                <w:rFonts w:eastAsia="宋体"/>
              </w:rPr>
              <w:t>4.40E-04</w:t>
            </w:r>
          </w:p>
        </w:tc>
        <w:tc>
          <w:tcPr>
            <w:tcW w:w="369" w:type="pct"/>
            <w:hideMark/>
          </w:tcPr>
          <w:p w14:paraId="7330A617" w14:textId="77777777" w:rsidR="003E2FA0" w:rsidRPr="002B55E9" w:rsidRDefault="003E2FA0" w:rsidP="00430554">
            <w:pPr>
              <w:pStyle w:val="lgy-"/>
              <w:rPr>
                <w:rFonts w:eastAsia="宋体"/>
              </w:rPr>
            </w:pPr>
            <w:r w:rsidRPr="002B55E9">
              <w:rPr>
                <w:rFonts w:eastAsia="宋体"/>
              </w:rPr>
              <w:t>1.10E-04</w:t>
            </w:r>
          </w:p>
        </w:tc>
        <w:tc>
          <w:tcPr>
            <w:tcW w:w="369" w:type="pct"/>
            <w:hideMark/>
          </w:tcPr>
          <w:p w14:paraId="2C60C74E" w14:textId="77777777" w:rsidR="003E2FA0" w:rsidRPr="002B55E9" w:rsidRDefault="003E2FA0" w:rsidP="00430554">
            <w:pPr>
              <w:pStyle w:val="lgy-"/>
              <w:rPr>
                <w:rFonts w:eastAsia="宋体"/>
              </w:rPr>
            </w:pPr>
            <w:r w:rsidRPr="002B55E9">
              <w:rPr>
                <w:rFonts w:eastAsia="宋体"/>
              </w:rPr>
              <w:t>1.10E-04</w:t>
            </w:r>
          </w:p>
        </w:tc>
        <w:tc>
          <w:tcPr>
            <w:tcW w:w="369" w:type="pct"/>
            <w:hideMark/>
          </w:tcPr>
          <w:p w14:paraId="17CAB40F" w14:textId="77777777" w:rsidR="003E2FA0" w:rsidRPr="002B55E9" w:rsidRDefault="003E2FA0" w:rsidP="00430554">
            <w:pPr>
              <w:pStyle w:val="lgy-"/>
              <w:rPr>
                <w:rFonts w:eastAsia="宋体"/>
              </w:rPr>
            </w:pPr>
            <w:r w:rsidRPr="002B55E9">
              <w:rPr>
                <w:rFonts w:eastAsia="宋体"/>
              </w:rPr>
              <w:t>5.50E-05</w:t>
            </w:r>
          </w:p>
        </w:tc>
        <w:tc>
          <w:tcPr>
            <w:tcW w:w="519" w:type="pct"/>
            <w:hideMark/>
          </w:tcPr>
          <w:p w14:paraId="566A6A2E" w14:textId="77777777" w:rsidR="003E2FA0" w:rsidRPr="002B55E9" w:rsidRDefault="003E2FA0" w:rsidP="00430554">
            <w:pPr>
              <w:pStyle w:val="lgy-"/>
              <w:rPr>
                <w:rFonts w:eastAsia="宋体"/>
              </w:rPr>
            </w:pPr>
            <w:r w:rsidRPr="002B55E9">
              <w:rPr>
                <w:rFonts w:eastAsia="宋体"/>
              </w:rPr>
              <w:t xml:space="preserve">0.00 </w:t>
            </w:r>
          </w:p>
        </w:tc>
        <w:tc>
          <w:tcPr>
            <w:tcW w:w="465" w:type="pct"/>
            <w:hideMark/>
          </w:tcPr>
          <w:p w14:paraId="4B785288"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620313DB"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3667C093" w14:textId="77777777" w:rsidTr="003E2FA0">
        <w:trPr>
          <w:trHeight w:val="283"/>
        </w:trPr>
        <w:tc>
          <w:tcPr>
            <w:tcW w:w="498" w:type="pct"/>
            <w:vMerge w:val="restart"/>
            <w:hideMark/>
          </w:tcPr>
          <w:p w14:paraId="6663A55E" w14:textId="77777777" w:rsidR="003E2FA0" w:rsidRPr="002B55E9" w:rsidRDefault="003E2FA0" w:rsidP="00430554">
            <w:pPr>
              <w:pStyle w:val="lgy-"/>
              <w:rPr>
                <w:rFonts w:eastAsia="宋体"/>
                <w:szCs w:val="22"/>
              </w:rPr>
            </w:pPr>
            <w:r w:rsidRPr="002B55E9">
              <w:rPr>
                <w:rFonts w:eastAsia="宋体" w:hint="eastAsia"/>
                <w:szCs w:val="22"/>
              </w:rPr>
              <w:t>海天调味品公司污水处理站</w:t>
            </w:r>
          </w:p>
        </w:tc>
        <w:tc>
          <w:tcPr>
            <w:tcW w:w="389" w:type="pct"/>
            <w:vMerge w:val="restart"/>
            <w:noWrap/>
            <w:hideMark/>
          </w:tcPr>
          <w:p w14:paraId="17CBFD17" w14:textId="77777777" w:rsidR="003E2FA0" w:rsidRPr="002B55E9" w:rsidRDefault="003E2FA0" w:rsidP="00430554">
            <w:pPr>
              <w:pStyle w:val="lgy-"/>
              <w:rPr>
                <w:rFonts w:eastAsia="宋体"/>
                <w:szCs w:val="22"/>
              </w:rPr>
            </w:pPr>
            <w:r w:rsidRPr="002B55E9">
              <w:rPr>
                <w:rFonts w:eastAsia="宋体" w:hint="eastAsia"/>
                <w:szCs w:val="22"/>
              </w:rPr>
              <w:t xml:space="preserve">172612 </w:t>
            </w:r>
          </w:p>
        </w:tc>
        <w:tc>
          <w:tcPr>
            <w:tcW w:w="534" w:type="pct"/>
            <w:hideMark/>
          </w:tcPr>
          <w:p w14:paraId="07B90B17"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60EB1984"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363EC494" w14:textId="77777777" w:rsidR="003E2FA0" w:rsidRPr="002B55E9" w:rsidRDefault="003E2FA0" w:rsidP="00430554">
            <w:pPr>
              <w:pStyle w:val="lgy-"/>
              <w:rPr>
                <w:rFonts w:eastAsia="宋体"/>
                <w:szCs w:val="22"/>
              </w:rPr>
            </w:pPr>
            <w:r w:rsidRPr="002B55E9">
              <w:rPr>
                <w:rFonts w:eastAsia="宋体" w:hint="eastAsia"/>
                <w:szCs w:val="22"/>
              </w:rPr>
              <w:t>125</w:t>
            </w:r>
          </w:p>
        </w:tc>
        <w:tc>
          <w:tcPr>
            <w:tcW w:w="396" w:type="pct"/>
            <w:noWrap/>
            <w:hideMark/>
          </w:tcPr>
          <w:p w14:paraId="210843A0" w14:textId="77777777" w:rsidR="003E2FA0" w:rsidRPr="002B55E9" w:rsidRDefault="003E2FA0" w:rsidP="00430554">
            <w:pPr>
              <w:pStyle w:val="lgy-"/>
              <w:rPr>
                <w:rFonts w:eastAsia="宋体"/>
                <w:szCs w:val="22"/>
              </w:rPr>
            </w:pPr>
            <w:r w:rsidRPr="002B55E9">
              <w:rPr>
                <w:rFonts w:eastAsia="宋体" w:hint="eastAsia"/>
                <w:szCs w:val="22"/>
              </w:rPr>
              <w:t xml:space="preserve">2655.70 </w:t>
            </w:r>
          </w:p>
        </w:tc>
        <w:tc>
          <w:tcPr>
            <w:tcW w:w="369" w:type="pct"/>
            <w:noWrap/>
            <w:hideMark/>
          </w:tcPr>
          <w:p w14:paraId="55170D24" w14:textId="77777777" w:rsidR="003E2FA0" w:rsidRPr="002B55E9" w:rsidRDefault="003E2FA0" w:rsidP="00430554">
            <w:pPr>
              <w:pStyle w:val="lgy-"/>
              <w:rPr>
                <w:rFonts w:eastAsia="宋体"/>
                <w:szCs w:val="22"/>
              </w:rPr>
            </w:pPr>
            <w:r w:rsidRPr="002B55E9">
              <w:rPr>
                <w:rFonts w:eastAsia="宋体" w:hint="eastAsia"/>
                <w:szCs w:val="22"/>
              </w:rPr>
              <w:t xml:space="preserve">1146.41 </w:t>
            </w:r>
          </w:p>
        </w:tc>
        <w:tc>
          <w:tcPr>
            <w:tcW w:w="369" w:type="pct"/>
            <w:noWrap/>
            <w:hideMark/>
          </w:tcPr>
          <w:p w14:paraId="70600ADF" w14:textId="77777777" w:rsidR="003E2FA0" w:rsidRPr="002B55E9" w:rsidRDefault="003E2FA0" w:rsidP="00430554">
            <w:pPr>
              <w:pStyle w:val="lgy-"/>
              <w:rPr>
                <w:rFonts w:eastAsia="宋体"/>
                <w:szCs w:val="22"/>
              </w:rPr>
            </w:pPr>
            <w:r w:rsidRPr="002B55E9">
              <w:rPr>
                <w:rFonts w:eastAsia="宋体" w:hint="eastAsia"/>
                <w:szCs w:val="22"/>
              </w:rPr>
              <w:t xml:space="preserve">1081.50 </w:t>
            </w:r>
          </w:p>
        </w:tc>
        <w:tc>
          <w:tcPr>
            <w:tcW w:w="369" w:type="pct"/>
            <w:noWrap/>
            <w:hideMark/>
          </w:tcPr>
          <w:p w14:paraId="2F8E0353" w14:textId="77777777" w:rsidR="003E2FA0" w:rsidRPr="002B55E9" w:rsidRDefault="003E2FA0" w:rsidP="00430554">
            <w:pPr>
              <w:pStyle w:val="lgy-"/>
              <w:rPr>
                <w:rFonts w:eastAsia="宋体"/>
                <w:szCs w:val="22"/>
              </w:rPr>
            </w:pPr>
            <w:r w:rsidRPr="002B55E9">
              <w:rPr>
                <w:rFonts w:eastAsia="宋体" w:hint="eastAsia"/>
                <w:szCs w:val="22"/>
              </w:rPr>
              <w:t xml:space="preserve">44.06 </w:t>
            </w:r>
          </w:p>
        </w:tc>
        <w:tc>
          <w:tcPr>
            <w:tcW w:w="519" w:type="pct"/>
            <w:noWrap/>
            <w:hideMark/>
          </w:tcPr>
          <w:p w14:paraId="762259CC" w14:textId="77777777" w:rsidR="003E2FA0" w:rsidRPr="002B55E9" w:rsidRDefault="003E2FA0" w:rsidP="00430554">
            <w:pPr>
              <w:pStyle w:val="lgy-"/>
              <w:rPr>
                <w:rFonts w:eastAsia="宋体"/>
                <w:szCs w:val="22"/>
              </w:rPr>
            </w:pPr>
            <w:r w:rsidRPr="002B55E9">
              <w:rPr>
                <w:rFonts w:eastAsia="宋体" w:hint="eastAsia"/>
                <w:szCs w:val="22"/>
              </w:rPr>
              <w:t xml:space="preserve">128.21 </w:t>
            </w:r>
          </w:p>
        </w:tc>
        <w:tc>
          <w:tcPr>
            <w:tcW w:w="465" w:type="pct"/>
            <w:noWrap/>
            <w:hideMark/>
          </w:tcPr>
          <w:p w14:paraId="1EDBCE5D" w14:textId="77777777" w:rsidR="003E2FA0" w:rsidRPr="002B55E9" w:rsidRDefault="003E2FA0" w:rsidP="00430554">
            <w:pPr>
              <w:pStyle w:val="lgy-"/>
              <w:rPr>
                <w:rFonts w:eastAsia="宋体"/>
                <w:szCs w:val="22"/>
              </w:rPr>
            </w:pPr>
            <w:r w:rsidRPr="002B55E9">
              <w:rPr>
                <w:rFonts w:eastAsia="宋体" w:hint="eastAsia"/>
                <w:szCs w:val="22"/>
              </w:rPr>
              <w:t xml:space="preserve">25.13 </w:t>
            </w:r>
          </w:p>
        </w:tc>
        <w:tc>
          <w:tcPr>
            <w:tcW w:w="369" w:type="pct"/>
            <w:noWrap/>
            <w:hideMark/>
          </w:tcPr>
          <w:p w14:paraId="718884F2" w14:textId="77777777" w:rsidR="003E2FA0" w:rsidRPr="002B55E9" w:rsidRDefault="003E2FA0" w:rsidP="00430554">
            <w:pPr>
              <w:pStyle w:val="lgy-"/>
              <w:rPr>
                <w:rFonts w:eastAsia="宋体"/>
                <w:szCs w:val="22"/>
              </w:rPr>
            </w:pPr>
            <w:r w:rsidRPr="002B55E9">
              <w:rPr>
                <w:rFonts w:eastAsia="宋体" w:hint="eastAsia"/>
                <w:szCs w:val="22"/>
              </w:rPr>
              <w:t xml:space="preserve">3.32 </w:t>
            </w:r>
          </w:p>
        </w:tc>
      </w:tr>
      <w:tr w:rsidR="003E2FA0" w:rsidRPr="002B55E9" w14:paraId="15FFF455" w14:textId="77777777" w:rsidTr="003E2FA0">
        <w:trPr>
          <w:trHeight w:val="283"/>
        </w:trPr>
        <w:tc>
          <w:tcPr>
            <w:tcW w:w="498" w:type="pct"/>
            <w:vMerge/>
            <w:hideMark/>
          </w:tcPr>
          <w:p w14:paraId="45539148" w14:textId="77777777" w:rsidR="003E2FA0" w:rsidRPr="002B55E9" w:rsidRDefault="003E2FA0" w:rsidP="00430554">
            <w:pPr>
              <w:pStyle w:val="lgy-"/>
              <w:rPr>
                <w:rFonts w:eastAsia="宋体"/>
                <w:szCs w:val="22"/>
              </w:rPr>
            </w:pPr>
          </w:p>
        </w:tc>
        <w:tc>
          <w:tcPr>
            <w:tcW w:w="389" w:type="pct"/>
            <w:vMerge/>
            <w:hideMark/>
          </w:tcPr>
          <w:p w14:paraId="31F954BE" w14:textId="77777777" w:rsidR="003E2FA0" w:rsidRPr="002B55E9" w:rsidRDefault="003E2FA0" w:rsidP="00430554">
            <w:pPr>
              <w:pStyle w:val="lgy-"/>
              <w:rPr>
                <w:rFonts w:eastAsia="宋体"/>
                <w:szCs w:val="22"/>
              </w:rPr>
            </w:pPr>
          </w:p>
        </w:tc>
        <w:tc>
          <w:tcPr>
            <w:tcW w:w="534" w:type="pct"/>
            <w:hideMark/>
          </w:tcPr>
          <w:p w14:paraId="4534D1D8"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166316A0"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7267B2B7"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0F401856" w14:textId="77777777" w:rsidR="003E2FA0" w:rsidRPr="002B55E9" w:rsidRDefault="003E2FA0" w:rsidP="00430554">
            <w:pPr>
              <w:pStyle w:val="lgy-"/>
              <w:rPr>
                <w:rFonts w:eastAsia="宋体"/>
              </w:rPr>
            </w:pPr>
            <w:r w:rsidRPr="002B55E9">
              <w:rPr>
                <w:rFonts w:eastAsia="宋体"/>
              </w:rPr>
              <w:t xml:space="preserve">458.40 </w:t>
            </w:r>
          </w:p>
        </w:tc>
        <w:tc>
          <w:tcPr>
            <w:tcW w:w="369" w:type="pct"/>
            <w:hideMark/>
          </w:tcPr>
          <w:p w14:paraId="28F2467A" w14:textId="77777777" w:rsidR="003E2FA0" w:rsidRPr="002B55E9" w:rsidRDefault="003E2FA0" w:rsidP="00430554">
            <w:pPr>
              <w:pStyle w:val="lgy-"/>
              <w:rPr>
                <w:rFonts w:eastAsia="宋体"/>
              </w:rPr>
            </w:pPr>
            <w:r w:rsidRPr="002B55E9">
              <w:rPr>
                <w:rFonts w:eastAsia="宋体"/>
              </w:rPr>
              <w:t xml:space="preserve">197.88 </w:t>
            </w:r>
          </w:p>
        </w:tc>
        <w:tc>
          <w:tcPr>
            <w:tcW w:w="369" w:type="pct"/>
            <w:hideMark/>
          </w:tcPr>
          <w:p w14:paraId="718688BD" w14:textId="77777777" w:rsidR="003E2FA0" w:rsidRPr="002B55E9" w:rsidRDefault="003E2FA0" w:rsidP="00430554">
            <w:pPr>
              <w:pStyle w:val="lgy-"/>
              <w:rPr>
                <w:rFonts w:eastAsia="宋体"/>
              </w:rPr>
            </w:pPr>
            <w:r w:rsidRPr="002B55E9">
              <w:rPr>
                <w:rFonts w:eastAsia="宋体"/>
              </w:rPr>
              <w:t xml:space="preserve">186.68 </w:t>
            </w:r>
          </w:p>
        </w:tc>
        <w:tc>
          <w:tcPr>
            <w:tcW w:w="369" w:type="pct"/>
            <w:hideMark/>
          </w:tcPr>
          <w:p w14:paraId="5138B35E" w14:textId="77777777" w:rsidR="003E2FA0" w:rsidRPr="002B55E9" w:rsidRDefault="003E2FA0" w:rsidP="00430554">
            <w:pPr>
              <w:pStyle w:val="lgy-"/>
              <w:rPr>
                <w:rFonts w:eastAsia="宋体"/>
              </w:rPr>
            </w:pPr>
            <w:r w:rsidRPr="002B55E9">
              <w:rPr>
                <w:rFonts w:eastAsia="宋体"/>
              </w:rPr>
              <w:t xml:space="preserve">7.61 </w:t>
            </w:r>
          </w:p>
        </w:tc>
        <w:tc>
          <w:tcPr>
            <w:tcW w:w="519" w:type="pct"/>
            <w:hideMark/>
          </w:tcPr>
          <w:p w14:paraId="07460EF8" w14:textId="77777777" w:rsidR="003E2FA0" w:rsidRPr="002B55E9" w:rsidRDefault="003E2FA0" w:rsidP="00430554">
            <w:pPr>
              <w:pStyle w:val="lgy-"/>
              <w:rPr>
                <w:rFonts w:eastAsia="宋体"/>
              </w:rPr>
            </w:pPr>
            <w:r w:rsidRPr="002B55E9">
              <w:rPr>
                <w:rFonts w:eastAsia="宋体"/>
              </w:rPr>
              <w:t xml:space="preserve">22.13 </w:t>
            </w:r>
          </w:p>
        </w:tc>
        <w:tc>
          <w:tcPr>
            <w:tcW w:w="465" w:type="pct"/>
            <w:hideMark/>
          </w:tcPr>
          <w:p w14:paraId="25B8F033" w14:textId="77777777" w:rsidR="003E2FA0" w:rsidRPr="002B55E9" w:rsidRDefault="003E2FA0" w:rsidP="00430554">
            <w:pPr>
              <w:pStyle w:val="lgy-"/>
              <w:rPr>
                <w:rFonts w:eastAsia="宋体"/>
              </w:rPr>
            </w:pPr>
            <w:r w:rsidRPr="002B55E9">
              <w:rPr>
                <w:rFonts w:eastAsia="宋体"/>
              </w:rPr>
              <w:t xml:space="preserve">4.34 </w:t>
            </w:r>
          </w:p>
        </w:tc>
        <w:tc>
          <w:tcPr>
            <w:tcW w:w="369" w:type="pct"/>
            <w:hideMark/>
          </w:tcPr>
          <w:p w14:paraId="42E39F88" w14:textId="77777777" w:rsidR="003E2FA0" w:rsidRPr="002B55E9" w:rsidRDefault="003E2FA0" w:rsidP="00430554">
            <w:pPr>
              <w:pStyle w:val="lgy-"/>
              <w:rPr>
                <w:rFonts w:eastAsia="宋体"/>
              </w:rPr>
            </w:pPr>
            <w:r w:rsidRPr="002B55E9">
              <w:rPr>
                <w:rFonts w:eastAsia="宋体"/>
              </w:rPr>
              <w:t xml:space="preserve">0.57 </w:t>
            </w:r>
          </w:p>
        </w:tc>
      </w:tr>
      <w:tr w:rsidR="003E2FA0" w:rsidRPr="002B55E9" w14:paraId="77F1EBC4" w14:textId="77777777" w:rsidTr="003E2FA0">
        <w:trPr>
          <w:trHeight w:val="283"/>
        </w:trPr>
        <w:tc>
          <w:tcPr>
            <w:tcW w:w="498" w:type="pct"/>
            <w:vMerge/>
            <w:hideMark/>
          </w:tcPr>
          <w:p w14:paraId="174D0B4B" w14:textId="77777777" w:rsidR="003E2FA0" w:rsidRPr="002B55E9" w:rsidRDefault="003E2FA0" w:rsidP="00430554">
            <w:pPr>
              <w:pStyle w:val="lgy-"/>
              <w:rPr>
                <w:rFonts w:eastAsia="宋体"/>
                <w:szCs w:val="22"/>
              </w:rPr>
            </w:pPr>
          </w:p>
        </w:tc>
        <w:tc>
          <w:tcPr>
            <w:tcW w:w="389" w:type="pct"/>
            <w:vMerge/>
            <w:hideMark/>
          </w:tcPr>
          <w:p w14:paraId="01B6E862" w14:textId="77777777" w:rsidR="003E2FA0" w:rsidRPr="002B55E9" w:rsidRDefault="003E2FA0" w:rsidP="00430554">
            <w:pPr>
              <w:pStyle w:val="lgy-"/>
              <w:rPr>
                <w:rFonts w:eastAsia="宋体"/>
                <w:szCs w:val="22"/>
              </w:rPr>
            </w:pPr>
          </w:p>
        </w:tc>
        <w:tc>
          <w:tcPr>
            <w:tcW w:w="534" w:type="pct"/>
            <w:hideMark/>
          </w:tcPr>
          <w:p w14:paraId="60FDAA8D" w14:textId="77777777" w:rsidR="003E2FA0" w:rsidRPr="002B55E9" w:rsidRDefault="003E2FA0" w:rsidP="00430554">
            <w:pPr>
              <w:pStyle w:val="lgy-"/>
              <w:rPr>
                <w:rFonts w:eastAsia="宋体"/>
              </w:rPr>
            </w:pPr>
            <w:r w:rsidRPr="002B55E9">
              <w:rPr>
                <w:rFonts w:eastAsia="宋体" w:hint="eastAsia"/>
              </w:rPr>
              <w:t>处理效率</w:t>
            </w:r>
          </w:p>
        </w:tc>
        <w:tc>
          <w:tcPr>
            <w:tcW w:w="292" w:type="pct"/>
            <w:noWrap/>
            <w:hideMark/>
          </w:tcPr>
          <w:p w14:paraId="7E84D0D7" w14:textId="77777777" w:rsidR="003E2FA0" w:rsidRPr="002B55E9" w:rsidRDefault="003E2FA0" w:rsidP="00430554">
            <w:pPr>
              <w:pStyle w:val="lgy-"/>
              <w:rPr>
                <w:rFonts w:eastAsia="宋体"/>
              </w:rPr>
            </w:pPr>
          </w:p>
        </w:tc>
        <w:tc>
          <w:tcPr>
            <w:tcW w:w="430" w:type="pct"/>
            <w:noWrap/>
            <w:hideMark/>
          </w:tcPr>
          <w:p w14:paraId="484CD558" w14:textId="77777777" w:rsidR="003E2FA0" w:rsidRPr="002B55E9" w:rsidRDefault="003E2FA0" w:rsidP="00430554">
            <w:pPr>
              <w:pStyle w:val="lgy-"/>
              <w:rPr>
                <w:rFonts w:eastAsia="宋体"/>
                <w:szCs w:val="22"/>
              </w:rPr>
            </w:pPr>
            <w:r w:rsidRPr="002B55E9">
              <w:rPr>
                <w:rFonts w:eastAsia="宋体" w:hint="eastAsia"/>
                <w:szCs w:val="22"/>
              </w:rPr>
              <w:t>92.00%</w:t>
            </w:r>
          </w:p>
        </w:tc>
        <w:tc>
          <w:tcPr>
            <w:tcW w:w="396" w:type="pct"/>
            <w:noWrap/>
            <w:hideMark/>
          </w:tcPr>
          <w:p w14:paraId="46A179F1" w14:textId="77777777" w:rsidR="003E2FA0" w:rsidRPr="002B55E9" w:rsidRDefault="003E2FA0" w:rsidP="00430554">
            <w:pPr>
              <w:pStyle w:val="lgy-"/>
              <w:rPr>
                <w:rFonts w:eastAsia="宋体"/>
                <w:szCs w:val="22"/>
              </w:rPr>
            </w:pPr>
            <w:r w:rsidRPr="002B55E9">
              <w:rPr>
                <w:rFonts w:eastAsia="宋体" w:hint="eastAsia"/>
                <w:szCs w:val="22"/>
              </w:rPr>
              <w:t>95.13%</w:t>
            </w:r>
          </w:p>
        </w:tc>
        <w:tc>
          <w:tcPr>
            <w:tcW w:w="369" w:type="pct"/>
            <w:noWrap/>
            <w:hideMark/>
          </w:tcPr>
          <w:p w14:paraId="3BCFFEBF" w14:textId="77777777" w:rsidR="003E2FA0" w:rsidRPr="002B55E9" w:rsidRDefault="003E2FA0" w:rsidP="00430554">
            <w:pPr>
              <w:pStyle w:val="lgy-"/>
              <w:rPr>
                <w:rFonts w:eastAsia="宋体"/>
                <w:szCs w:val="22"/>
              </w:rPr>
            </w:pPr>
            <w:r w:rsidRPr="002B55E9">
              <w:rPr>
                <w:rFonts w:eastAsia="宋体" w:hint="eastAsia"/>
                <w:szCs w:val="22"/>
              </w:rPr>
              <w:t>95.57%</w:t>
            </w:r>
          </w:p>
        </w:tc>
        <w:tc>
          <w:tcPr>
            <w:tcW w:w="369" w:type="pct"/>
            <w:noWrap/>
            <w:hideMark/>
          </w:tcPr>
          <w:p w14:paraId="356CCA51" w14:textId="77777777" w:rsidR="003E2FA0" w:rsidRPr="002B55E9" w:rsidRDefault="003E2FA0" w:rsidP="00430554">
            <w:pPr>
              <w:pStyle w:val="lgy-"/>
              <w:rPr>
                <w:rFonts w:eastAsia="宋体"/>
                <w:szCs w:val="22"/>
              </w:rPr>
            </w:pPr>
            <w:r w:rsidRPr="002B55E9">
              <w:rPr>
                <w:rFonts w:eastAsia="宋体" w:hint="eastAsia"/>
                <w:szCs w:val="22"/>
              </w:rPr>
              <w:t>86.60%</w:t>
            </w:r>
          </w:p>
        </w:tc>
        <w:tc>
          <w:tcPr>
            <w:tcW w:w="369" w:type="pct"/>
            <w:noWrap/>
            <w:hideMark/>
          </w:tcPr>
          <w:p w14:paraId="299A529B" w14:textId="77777777" w:rsidR="003E2FA0" w:rsidRPr="002B55E9" w:rsidRDefault="003E2FA0" w:rsidP="00430554">
            <w:pPr>
              <w:pStyle w:val="lgy-"/>
              <w:rPr>
                <w:rFonts w:eastAsia="宋体"/>
                <w:szCs w:val="22"/>
              </w:rPr>
            </w:pPr>
            <w:r w:rsidRPr="002B55E9">
              <w:rPr>
                <w:rFonts w:eastAsia="宋体" w:hint="eastAsia"/>
                <w:szCs w:val="22"/>
              </w:rPr>
              <w:t>62.59%</w:t>
            </w:r>
          </w:p>
        </w:tc>
        <w:tc>
          <w:tcPr>
            <w:tcW w:w="519" w:type="pct"/>
            <w:noWrap/>
            <w:hideMark/>
          </w:tcPr>
          <w:p w14:paraId="205FBB3C" w14:textId="77777777" w:rsidR="003E2FA0" w:rsidRPr="002B55E9" w:rsidRDefault="003E2FA0" w:rsidP="00430554">
            <w:pPr>
              <w:pStyle w:val="lgy-"/>
              <w:rPr>
                <w:rFonts w:eastAsia="宋体"/>
                <w:szCs w:val="22"/>
              </w:rPr>
            </w:pPr>
            <w:r w:rsidRPr="002B55E9">
              <w:rPr>
                <w:rFonts w:eastAsia="宋体" w:hint="eastAsia"/>
                <w:szCs w:val="22"/>
              </w:rPr>
              <w:t>73.66%</w:t>
            </w:r>
          </w:p>
        </w:tc>
        <w:tc>
          <w:tcPr>
            <w:tcW w:w="465" w:type="pct"/>
            <w:noWrap/>
            <w:hideMark/>
          </w:tcPr>
          <w:p w14:paraId="139EA5BF" w14:textId="77777777" w:rsidR="003E2FA0" w:rsidRPr="002B55E9" w:rsidRDefault="003E2FA0" w:rsidP="00430554">
            <w:pPr>
              <w:pStyle w:val="lgy-"/>
              <w:rPr>
                <w:rFonts w:eastAsia="宋体"/>
                <w:szCs w:val="22"/>
              </w:rPr>
            </w:pPr>
            <w:r w:rsidRPr="002B55E9">
              <w:rPr>
                <w:rFonts w:eastAsia="宋体" w:hint="eastAsia"/>
                <w:szCs w:val="22"/>
              </w:rPr>
              <w:t>95.12%</w:t>
            </w:r>
          </w:p>
        </w:tc>
        <w:tc>
          <w:tcPr>
            <w:tcW w:w="369" w:type="pct"/>
            <w:noWrap/>
            <w:hideMark/>
          </w:tcPr>
          <w:p w14:paraId="484945A9" w14:textId="77777777" w:rsidR="003E2FA0" w:rsidRPr="002B55E9" w:rsidRDefault="003E2FA0" w:rsidP="00430554">
            <w:pPr>
              <w:pStyle w:val="lgy-"/>
              <w:rPr>
                <w:rFonts w:eastAsia="宋体"/>
                <w:szCs w:val="22"/>
              </w:rPr>
            </w:pPr>
            <w:r w:rsidRPr="002B55E9">
              <w:rPr>
                <w:rFonts w:eastAsia="宋体" w:hint="eastAsia"/>
                <w:szCs w:val="22"/>
              </w:rPr>
              <w:t>60.00%</w:t>
            </w:r>
          </w:p>
        </w:tc>
      </w:tr>
      <w:tr w:rsidR="003E2FA0" w:rsidRPr="002B55E9" w14:paraId="6336CF0E" w14:textId="77777777" w:rsidTr="003E2FA0">
        <w:trPr>
          <w:trHeight w:val="283"/>
        </w:trPr>
        <w:tc>
          <w:tcPr>
            <w:tcW w:w="498" w:type="pct"/>
            <w:vMerge/>
            <w:hideMark/>
          </w:tcPr>
          <w:p w14:paraId="16EEBBC9" w14:textId="77777777" w:rsidR="003E2FA0" w:rsidRPr="002B55E9" w:rsidRDefault="003E2FA0" w:rsidP="00430554">
            <w:pPr>
              <w:pStyle w:val="lgy-"/>
              <w:rPr>
                <w:rFonts w:eastAsia="宋体"/>
                <w:szCs w:val="22"/>
              </w:rPr>
            </w:pPr>
          </w:p>
        </w:tc>
        <w:tc>
          <w:tcPr>
            <w:tcW w:w="389" w:type="pct"/>
            <w:vMerge/>
            <w:hideMark/>
          </w:tcPr>
          <w:p w14:paraId="5FA6D1FA" w14:textId="77777777" w:rsidR="003E2FA0" w:rsidRPr="002B55E9" w:rsidRDefault="003E2FA0" w:rsidP="00430554">
            <w:pPr>
              <w:pStyle w:val="lgy-"/>
              <w:rPr>
                <w:rFonts w:eastAsia="宋体"/>
                <w:szCs w:val="22"/>
              </w:rPr>
            </w:pPr>
          </w:p>
        </w:tc>
        <w:tc>
          <w:tcPr>
            <w:tcW w:w="534" w:type="pct"/>
            <w:hideMark/>
          </w:tcPr>
          <w:p w14:paraId="1DD25A5C"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29E13C89" w14:textId="77777777" w:rsidR="003E2FA0" w:rsidRPr="002B55E9" w:rsidRDefault="003E2FA0" w:rsidP="00430554">
            <w:pPr>
              <w:pStyle w:val="lgy-"/>
              <w:rPr>
                <w:rFonts w:eastAsia="宋体"/>
              </w:rPr>
            </w:pPr>
          </w:p>
        </w:tc>
        <w:tc>
          <w:tcPr>
            <w:tcW w:w="430" w:type="pct"/>
            <w:noWrap/>
            <w:hideMark/>
          </w:tcPr>
          <w:p w14:paraId="40DC27B1" w14:textId="77777777" w:rsidR="003E2FA0" w:rsidRPr="002B55E9" w:rsidRDefault="003E2FA0" w:rsidP="00430554">
            <w:pPr>
              <w:pStyle w:val="lgy-"/>
              <w:rPr>
                <w:rFonts w:eastAsia="宋体"/>
                <w:szCs w:val="22"/>
              </w:rPr>
            </w:pPr>
            <w:r w:rsidRPr="002B55E9">
              <w:rPr>
                <w:rFonts w:eastAsia="宋体" w:hint="eastAsia"/>
                <w:szCs w:val="22"/>
              </w:rPr>
              <w:t>10</w:t>
            </w:r>
          </w:p>
        </w:tc>
        <w:tc>
          <w:tcPr>
            <w:tcW w:w="396" w:type="pct"/>
            <w:noWrap/>
            <w:hideMark/>
          </w:tcPr>
          <w:p w14:paraId="58EB758F" w14:textId="77777777" w:rsidR="003E2FA0" w:rsidRPr="002B55E9" w:rsidRDefault="003E2FA0" w:rsidP="00430554">
            <w:pPr>
              <w:pStyle w:val="lgy-"/>
              <w:rPr>
                <w:rFonts w:eastAsia="宋体"/>
                <w:szCs w:val="22"/>
              </w:rPr>
            </w:pPr>
            <w:r w:rsidRPr="002B55E9">
              <w:rPr>
                <w:rFonts w:eastAsia="宋体" w:hint="eastAsia"/>
                <w:szCs w:val="22"/>
              </w:rPr>
              <w:t xml:space="preserve">129.35 </w:t>
            </w:r>
          </w:p>
        </w:tc>
        <w:tc>
          <w:tcPr>
            <w:tcW w:w="369" w:type="pct"/>
            <w:noWrap/>
            <w:hideMark/>
          </w:tcPr>
          <w:p w14:paraId="5C09DAFF" w14:textId="77777777" w:rsidR="003E2FA0" w:rsidRPr="002B55E9" w:rsidRDefault="003E2FA0" w:rsidP="00430554">
            <w:pPr>
              <w:pStyle w:val="lgy-"/>
              <w:rPr>
                <w:rFonts w:eastAsia="宋体"/>
                <w:szCs w:val="22"/>
              </w:rPr>
            </w:pPr>
            <w:r w:rsidRPr="002B55E9">
              <w:rPr>
                <w:rFonts w:eastAsia="宋体" w:hint="eastAsia"/>
                <w:szCs w:val="22"/>
              </w:rPr>
              <w:t xml:space="preserve">50.76 </w:t>
            </w:r>
          </w:p>
        </w:tc>
        <w:tc>
          <w:tcPr>
            <w:tcW w:w="369" w:type="pct"/>
            <w:noWrap/>
            <w:hideMark/>
          </w:tcPr>
          <w:p w14:paraId="01233FA2" w14:textId="77777777" w:rsidR="003E2FA0" w:rsidRPr="002B55E9" w:rsidRDefault="003E2FA0" w:rsidP="00430554">
            <w:pPr>
              <w:pStyle w:val="lgy-"/>
              <w:rPr>
                <w:rFonts w:eastAsia="宋体"/>
                <w:szCs w:val="22"/>
              </w:rPr>
            </w:pPr>
            <w:r w:rsidRPr="002B55E9">
              <w:rPr>
                <w:rFonts w:eastAsia="宋体" w:hint="eastAsia"/>
                <w:szCs w:val="22"/>
              </w:rPr>
              <w:t xml:space="preserve">144.92 </w:t>
            </w:r>
          </w:p>
        </w:tc>
        <w:tc>
          <w:tcPr>
            <w:tcW w:w="369" w:type="pct"/>
            <w:noWrap/>
            <w:hideMark/>
          </w:tcPr>
          <w:p w14:paraId="404CD8E8" w14:textId="77777777" w:rsidR="003E2FA0" w:rsidRPr="002B55E9" w:rsidRDefault="003E2FA0" w:rsidP="00430554">
            <w:pPr>
              <w:pStyle w:val="lgy-"/>
              <w:rPr>
                <w:rFonts w:eastAsia="宋体"/>
                <w:szCs w:val="22"/>
              </w:rPr>
            </w:pPr>
            <w:r w:rsidRPr="002B55E9">
              <w:rPr>
                <w:rFonts w:eastAsia="宋体" w:hint="eastAsia"/>
                <w:szCs w:val="22"/>
              </w:rPr>
              <w:t xml:space="preserve">16.48 </w:t>
            </w:r>
          </w:p>
        </w:tc>
        <w:tc>
          <w:tcPr>
            <w:tcW w:w="519" w:type="pct"/>
            <w:noWrap/>
            <w:hideMark/>
          </w:tcPr>
          <w:p w14:paraId="5F2A18D1" w14:textId="77777777" w:rsidR="003E2FA0" w:rsidRPr="002B55E9" w:rsidRDefault="003E2FA0" w:rsidP="00430554">
            <w:pPr>
              <w:pStyle w:val="lgy-"/>
              <w:rPr>
                <w:rFonts w:eastAsia="宋体"/>
                <w:szCs w:val="22"/>
              </w:rPr>
            </w:pPr>
            <w:r w:rsidRPr="002B55E9">
              <w:rPr>
                <w:rFonts w:eastAsia="宋体" w:hint="eastAsia"/>
                <w:szCs w:val="22"/>
              </w:rPr>
              <w:t xml:space="preserve">33.77 </w:t>
            </w:r>
          </w:p>
        </w:tc>
        <w:tc>
          <w:tcPr>
            <w:tcW w:w="465" w:type="pct"/>
            <w:noWrap/>
            <w:hideMark/>
          </w:tcPr>
          <w:p w14:paraId="6D06FBBD" w14:textId="77777777" w:rsidR="003E2FA0" w:rsidRPr="002B55E9" w:rsidRDefault="003E2FA0" w:rsidP="00430554">
            <w:pPr>
              <w:pStyle w:val="lgy-"/>
              <w:rPr>
                <w:rFonts w:eastAsia="宋体"/>
                <w:szCs w:val="22"/>
              </w:rPr>
            </w:pPr>
            <w:r w:rsidRPr="002B55E9">
              <w:rPr>
                <w:rFonts w:eastAsia="宋体" w:hint="eastAsia"/>
                <w:szCs w:val="22"/>
              </w:rPr>
              <w:t xml:space="preserve">1.23 </w:t>
            </w:r>
          </w:p>
        </w:tc>
        <w:tc>
          <w:tcPr>
            <w:tcW w:w="369" w:type="pct"/>
            <w:noWrap/>
            <w:hideMark/>
          </w:tcPr>
          <w:p w14:paraId="3FF47E7E" w14:textId="77777777" w:rsidR="003E2FA0" w:rsidRPr="002B55E9" w:rsidRDefault="003E2FA0" w:rsidP="00430554">
            <w:pPr>
              <w:pStyle w:val="lgy-"/>
              <w:rPr>
                <w:rFonts w:eastAsia="宋体"/>
                <w:szCs w:val="22"/>
              </w:rPr>
            </w:pPr>
            <w:r w:rsidRPr="002B55E9">
              <w:rPr>
                <w:rFonts w:eastAsia="宋体" w:hint="eastAsia"/>
                <w:szCs w:val="22"/>
              </w:rPr>
              <w:t xml:space="preserve">1.33 </w:t>
            </w:r>
          </w:p>
        </w:tc>
      </w:tr>
      <w:tr w:rsidR="003E2FA0" w:rsidRPr="002B55E9" w14:paraId="3034E648" w14:textId="77777777" w:rsidTr="003E2FA0">
        <w:trPr>
          <w:trHeight w:val="283"/>
        </w:trPr>
        <w:tc>
          <w:tcPr>
            <w:tcW w:w="498" w:type="pct"/>
            <w:vMerge/>
            <w:hideMark/>
          </w:tcPr>
          <w:p w14:paraId="48B22793" w14:textId="77777777" w:rsidR="003E2FA0" w:rsidRPr="002B55E9" w:rsidRDefault="003E2FA0" w:rsidP="00430554">
            <w:pPr>
              <w:pStyle w:val="lgy-"/>
              <w:rPr>
                <w:rFonts w:eastAsia="宋体"/>
                <w:szCs w:val="22"/>
              </w:rPr>
            </w:pPr>
          </w:p>
        </w:tc>
        <w:tc>
          <w:tcPr>
            <w:tcW w:w="389" w:type="pct"/>
            <w:vMerge/>
            <w:hideMark/>
          </w:tcPr>
          <w:p w14:paraId="75A503EC" w14:textId="77777777" w:rsidR="003E2FA0" w:rsidRPr="002B55E9" w:rsidRDefault="003E2FA0" w:rsidP="00430554">
            <w:pPr>
              <w:pStyle w:val="lgy-"/>
              <w:rPr>
                <w:rFonts w:eastAsia="宋体"/>
                <w:szCs w:val="22"/>
              </w:rPr>
            </w:pPr>
          </w:p>
        </w:tc>
        <w:tc>
          <w:tcPr>
            <w:tcW w:w="534" w:type="pct"/>
            <w:hideMark/>
          </w:tcPr>
          <w:p w14:paraId="5694668D" w14:textId="77777777" w:rsidR="003E2FA0" w:rsidRPr="002B55E9" w:rsidRDefault="003E2FA0" w:rsidP="00430554">
            <w:pPr>
              <w:pStyle w:val="lgy-"/>
              <w:rPr>
                <w:rFonts w:eastAsia="宋体"/>
              </w:rPr>
            </w:pPr>
            <w:r w:rsidRPr="002B55E9">
              <w:rPr>
                <w:rFonts w:eastAsia="宋体" w:hint="eastAsia"/>
              </w:rPr>
              <w:t>排放量</w:t>
            </w:r>
            <w:r w:rsidRPr="002B55E9">
              <w:rPr>
                <w:rFonts w:eastAsia="宋体" w:hint="eastAsia"/>
              </w:rPr>
              <w:t>t/a</w:t>
            </w:r>
          </w:p>
        </w:tc>
        <w:tc>
          <w:tcPr>
            <w:tcW w:w="292" w:type="pct"/>
            <w:noWrap/>
            <w:hideMark/>
          </w:tcPr>
          <w:p w14:paraId="162F05C5" w14:textId="77777777" w:rsidR="003E2FA0" w:rsidRPr="002B55E9" w:rsidRDefault="003E2FA0" w:rsidP="00430554">
            <w:pPr>
              <w:pStyle w:val="lgy-"/>
              <w:rPr>
                <w:rFonts w:eastAsia="宋体"/>
              </w:rPr>
            </w:pPr>
          </w:p>
        </w:tc>
        <w:tc>
          <w:tcPr>
            <w:tcW w:w="430" w:type="pct"/>
            <w:noWrap/>
            <w:hideMark/>
          </w:tcPr>
          <w:p w14:paraId="24FD022D"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noWrap/>
            <w:hideMark/>
          </w:tcPr>
          <w:p w14:paraId="19494740" w14:textId="77777777" w:rsidR="003E2FA0" w:rsidRPr="002B55E9" w:rsidRDefault="003E2FA0" w:rsidP="00430554">
            <w:pPr>
              <w:pStyle w:val="lgy-"/>
              <w:rPr>
                <w:rFonts w:eastAsia="宋体"/>
                <w:szCs w:val="22"/>
              </w:rPr>
            </w:pPr>
            <w:r w:rsidRPr="002B55E9">
              <w:rPr>
                <w:rFonts w:eastAsia="宋体" w:hint="eastAsia"/>
                <w:szCs w:val="22"/>
              </w:rPr>
              <w:t xml:space="preserve">22.33 </w:t>
            </w:r>
          </w:p>
        </w:tc>
        <w:tc>
          <w:tcPr>
            <w:tcW w:w="369" w:type="pct"/>
            <w:noWrap/>
            <w:hideMark/>
          </w:tcPr>
          <w:p w14:paraId="2B3F1FFE" w14:textId="77777777" w:rsidR="003E2FA0" w:rsidRPr="002B55E9" w:rsidRDefault="003E2FA0" w:rsidP="00430554">
            <w:pPr>
              <w:pStyle w:val="lgy-"/>
              <w:rPr>
                <w:rFonts w:eastAsia="宋体"/>
                <w:szCs w:val="22"/>
              </w:rPr>
            </w:pPr>
            <w:r w:rsidRPr="002B55E9">
              <w:rPr>
                <w:rFonts w:eastAsia="宋体" w:hint="eastAsia"/>
                <w:szCs w:val="22"/>
              </w:rPr>
              <w:t xml:space="preserve">8.76 </w:t>
            </w:r>
          </w:p>
        </w:tc>
        <w:tc>
          <w:tcPr>
            <w:tcW w:w="369" w:type="pct"/>
            <w:noWrap/>
            <w:hideMark/>
          </w:tcPr>
          <w:p w14:paraId="2FBB2087" w14:textId="77777777" w:rsidR="003E2FA0" w:rsidRPr="002B55E9" w:rsidRDefault="003E2FA0" w:rsidP="00430554">
            <w:pPr>
              <w:pStyle w:val="lgy-"/>
              <w:rPr>
                <w:rFonts w:eastAsia="宋体"/>
                <w:szCs w:val="22"/>
              </w:rPr>
            </w:pPr>
            <w:r w:rsidRPr="002B55E9">
              <w:rPr>
                <w:rFonts w:eastAsia="宋体" w:hint="eastAsia"/>
                <w:szCs w:val="22"/>
              </w:rPr>
              <w:t xml:space="preserve">25.02 </w:t>
            </w:r>
          </w:p>
        </w:tc>
        <w:tc>
          <w:tcPr>
            <w:tcW w:w="369" w:type="pct"/>
            <w:noWrap/>
            <w:hideMark/>
          </w:tcPr>
          <w:p w14:paraId="38DB98EF" w14:textId="77777777" w:rsidR="003E2FA0" w:rsidRPr="002B55E9" w:rsidRDefault="003E2FA0" w:rsidP="00430554">
            <w:pPr>
              <w:pStyle w:val="lgy-"/>
              <w:rPr>
                <w:rFonts w:eastAsia="宋体"/>
                <w:szCs w:val="22"/>
              </w:rPr>
            </w:pPr>
            <w:r w:rsidRPr="002B55E9">
              <w:rPr>
                <w:rFonts w:eastAsia="宋体" w:hint="eastAsia"/>
                <w:szCs w:val="22"/>
              </w:rPr>
              <w:t xml:space="preserve">2.85 </w:t>
            </w:r>
          </w:p>
        </w:tc>
        <w:tc>
          <w:tcPr>
            <w:tcW w:w="519" w:type="pct"/>
            <w:noWrap/>
            <w:hideMark/>
          </w:tcPr>
          <w:p w14:paraId="5B86E403" w14:textId="77777777" w:rsidR="003E2FA0" w:rsidRPr="002B55E9" w:rsidRDefault="003E2FA0" w:rsidP="00430554">
            <w:pPr>
              <w:pStyle w:val="lgy-"/>
              <w:rPr>
                <w:rFonts w:eastAsia="宋体"/>
                <w:szCs w:val="22"/>
              </w:rPr>
            </w:pPr>
            <w:r w:rsidRPr="002B55E9">
              <w:rPr>
                <w:rFonts w:eastAsia="宋体" w:hint="eastAsia"/>
                <w:szCs w:val="22"/>
              </w:rPr>
              <w:t xml:space="preserve">5.83 </w:t>
            </w:r>
          </w:p>
        </w:tc>
        <w:tc>
          <w:tcPr>
            <w:tcW w:w="465" w:type="pct"/>
            <w:noWrap/>
            <w:hideMark/>
          </w:tcPr>
          <w:p w14:paraId="60E6231A" w14:textId="77777777" w:rsidR="003E2FA0" w:rsidRPr="002B55E9" w:rsidRDefault="003E2FA0" w:rsidP="00430554">
            <w:pPr>
              <w:pStyle w:val="lgy-"/>
              <w:rPr>
                <w:rFonts w:eastAsia="宋体"/>
                <w:szCs w:val="22"/>
              </w:rPr>
            </w:pPr>
            <w:r w:rsidRPr="002B55E9">
              <w:rPr>
                <w:rFonts w:eastAsia="宋体" w:hint="eastAsia"/>
                <w:szCs w:val="22"/>
              </w:rPr>
              <w:t xml:space="preserve">0.21 </w:t>
            </w:r>
          </w:p>
        </w:tc>
        <w:tc>
          <w:tcPr>
            <w:tcW w:w="369" w:type="pct"/>
            <w:noWrap/>
            <w:hideMark/>
          </w:tcPr>
          <w:p w14:paraId="77DD7861" w14:textId="77777777" w:rsidR="003E2FA0" w:rsidRPr="002B55E9" w:rsidRDefault="003E2FA0" w:rsidP="00430554">
            <w:pPr>
              <w:pStyle w:val="lgy-"/>
              <w:rPr>
                <w:rFonts w:eastAsia="宋体"/>
                <w:szCs w:val="22"/>
              </w:rPr>
            </w:pPr>
            <w:r w:rsidRPr="002B55E9">
              <w:rPr>
                <w:rFonts w:eastAsia="宋体" w:hint="eastAsia"/>
                <w:szCs w:val="22"/>
              </w:rPr>
              <w:t xml:space="preserve">0.23 </w:t>
            </w:r>
          </w:p>
        </w:tc>
      </w:tr>
      <w:tr w:rsidR="003E2FA0" w:rsidRPr="002B55E9" w14:paraId="27840F6F" w14:textId="77777777" w:rsidTr="003E2FA0">
        <w:trPr>
          <w:trHeight w:val="283"/>
        </w:trPr>
        <w:tc>
          <w:tcPr>
            <w:tcW w:w="498" w:type="pct"/>
            <w:vMerge w:val="restart"/>
            <w:hideMark/>
          </w:tcPr>
          <w:p w14:paraId="78731871" w14:textId="77777777" w:rsidR="003E2FA0" w:rsidRPr="002B55E9" w:rsidRDefault="003E2FA0" w:rsidP="00430554">
            <w:pPr>
              <w:pStyle w:val="lgy-"/>
              <w:rPr>
                <w:rFonts w:eastAsia="宋体"/>
              </w:rPr>
            </w:pPr>
            <w:r w:rsidRPr="002B55E9">
              <w:rPr>
                <w:rFonts w:eastAsia="宋体" w:hint="eastAsia"/>
              </w:rPr>
              <w:t>蒸汽冷凝水</w:t>
            </w:r>
          </w:p>
        </w:tc>
        <w:tc>
          <w:tcPr>
            <w:tcW w:w="389" w:type="pct"/>
            <w:vMerge w:val="restart"/>
            <w:hideMark/>
          </w:tcPr>
          <w:p w14:paraId="727DA168" w14:textId="77777777" w:rsidR="003E2FA0" w:rsidRPr="002B55E9" w:rsidRDefault="003E2FA0" w:rsidP="00430554">
            <w:pPr>
              <w:pStyle w:val="lgy-"/>
              <w:rPr>
                <w:rFonts w:eastAsia="宋体"/>
              </w:rPr>
            </w:pPr>
            <w:r w:rsidRPr="002B55E9">
              <w:rPr>
                <w:rFonts w:eastAsia="宋体" w:hint="eastAsia"/>
              </w:rPr>
              <w:t xml:space="preserve">56964 </w:t>
            </w:r>
          </w:p>
        </w:tc>
        <w:tc>
          <w:tcPr>
            <w:tcW w:w="534" w:type="pct"/>
            <w:hideMark/>
          </w:tcPr>
          <w:p w14:paraId="58A60472"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74057861"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10E821D2"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34661D14" w14:textId="77777777" w:rsidR="003E2FA0" w:rsidRPr="002B55E9" w:rsidRDefault="003E2FA0" w:rsidP="00430554">
            <w:pPr>
              <w:pStyle w:val="lgy-"/>
              <w:rPr>
                <w:rFonts w:eastAsia="宋体"/>
              </w:rPr>
            </w:pPr>
            <w:r w:rsidRPr="002B55E9">
              <w:rPr>
                <w:rFonts w:eastAsia="宋体"/>
              </w:rPr>
              <w:t xml:space="preserve">40.00 </w:t>
            </w:r>
          </w:p>
        </w:tc>
        <w:tc>
          <w:tcPr>
            <w:tcW w:w="369" w:type="pct"/>
            <w:hideMark/>
          </w:tcPr>
          <w:p w14:paraId="4C764D0D" w14:textId="77777777" w:rsidR="003E2FA0" w:rsidRPr="002B55E9" w:rsidRDefault="003E2FA0" w:rsidP="00430554">
            <w:pPr>
              <w:pStyle w:val="lgy-"/>
              <w:rPr>
                <w:rFonts w:eastAsia="宋体"/>
              </w:rPr>
            </w:pPr>
            <w:r w:rsidRPr="002B55E9">
              <w:rPr>
                <w:rFonts w:eastAsia="宋体"/>
              </w:rPr>
              <w:t xml:space="preserve">10.00 </w:t>
            </w:r>
          </w:p>
        </w:tc>
        <w:tc>
          <w:tcPr>
            <w:tcW w:w="369" w:type="pct"/>
            <w:hideMark/>
          </w:tcPr>
          <w:p w14:paraId="7176BBD1" w14:textId="77777777" w:rsidR="003E2FA0" w:rsidRPr="002B55E9" w:rsidRDefault="003E2FA0" w:rsidP="00430554">
            <w:pPr>
              <w:pStyle w:val="lgy-"/>
              <w:rPr>
                <w:rFonts w:eastAsia="宋体"/>
              </w:rPr>
            </w:pPr>
            <w:r w:rsidRPr="002B55E9">
              <w:rPr>
                <w:rFonts w:eastAsia="宋体"/>
              </w:rPr>
              <w:t xml:space="preserve">10.00 </w:t>
            </w:r>
          </w:p>
        </w:tc>
        <w:tc>
          <w:tcPr>
            <w:tcW w:w="369" w:type="pct"/>
            <w:hideMark/>
          </w:tcPr>
          <w:p w14:paraId="731047CB" w14:textId="77777777" w:rsidR="003E2FA0" w:rsidRPr="002B55E9" w:rsidRDefault="003E2FA0" w:rsidP="00430554">
            <w:pPr>
              <w:pStyle w:val="lgy-"/>
              <w:rPr>
                <w:rFonts w:eastAsia="宋体"/>
              </w:rPr>
            </w:pPr>
            <w:r w:rsidRPr="002B55E9">
              <w:rPr>
                <w:rFonts w:eastAsia="宋体"/>
              </w:rPr>
              <w:t xml:space="preserve">5.00 </w:t>
            </w:r>
          </w:p>
        </w:tc>
        <w:tc>
          <w:tcPr>
            <w:tcW w:w="519" w:type="pct"/>
            <w:hideMark/>
          </w:tcPr>
          <w:p w14:paraId="529F3526" w14:textId="77777777" w:rsidR="003E2FA0" w:rsidRPr="002B55E9" w:rsidRDefault="003E2FA0" w:rsidP="00430554">
            <w:pPr>
              <w:pStyle w:val="lgy-"/>
              <w:rPr>
                <w:rFonts w:eastAsia="宋体"/>
              </w:rPr>
            </w:pPr>
            <w:r w:rsidRPr="002B55E9">
              <w:rPr>
                <w:rFonts w:eastAsia="宋体"/>
              </w:rPr>
              <w:t xml:space="preserve">10.00 </w:t>
            </w:r>
          </w:p>
        </w:tc>
        <w:tc>
          <w:tcPr>
            <w:tcW w:w="465" w:type="pct"/>
            <w:hideMark/>
          </w:tcPr>
          <w:p w14:paraId="40C6DD21"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281E0B2A"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033F6F28" w14:textId="77777777" w:rsidTr="003E2FA0">
        <w:trPr>
          <w:trHeight w:val="283"/>
        </w:trPr>
        <w:tc>
          <w:tcPr>
            <w:tcW w:w="498" w:type="pct"/>
            <w:vMerge/>
            <w:hideMark/>
          </w:tcPr>
          <w:p w14:paraId="1050D996" w14:textId="77777777" w:rsidR="003E2FA0" w:rsidRPr="002B55E9" w:rsidRDefault="003E2FA0" w:rsidP="00430554">
            <w:pPr>
              <w:pStyle w:val="lgy-"/>
              <w:rPr>
                <w:rFonts w:eastAsia="宋体"/>
              </w:rPr>
            </w:pPr>
          </w:p>
        </w:tc>
        <w:tc>
          <w:tcPr>
            <w:tcW w:w="389" w:type="pct"/>
            <w:vMerge/>
            <w:hideMark/>
          </w:tcPr>
          <w:p w14:paraId="08B8152E" w14:textId="77777777" w:rsidR="003E2FA0" w:rsidRPr="002B55E9" w:rsidRDefault="003E2FA0" w:rsidP="00430554">
            <w:pPr>
              <w:pStyle w:val="lgy-"/>
              <w:rPr>
                <w:rFonts w:eastAsia="宋体"/>
              </w:rPr>
            </w:pPr>
          </w:p>
        </w:tc>
        <w:tc>
          <w:tcPr>
            <w:tcW w:w="534" w:type="pct"/>
            <w:hideMark/>
          </w:tcPr>
          <w:p w14:paraId="19113658" w14:textId="77777777" w:rsidR="003E2FA0" w:rsidRPr="002B55E9" w:rsidRDefault="003E2FA0" w:rsidP="00430554">
            <w:pPr>
              <w:pStyle w:val="lgy-"/>
              <w:rPr>
                <w:rFonts w:eastAsia="宋体"/>
              </w:rPr>
            </w:pPr>
            <w:r w:rsidRPr="002B55E9">
              <w:rPr>
                <w:rFonts w:eastAsia="宋体" w:hint="eastAsia"/>
              </w:rPr>
              <w:t>产生量</w:t>
            </w:r>
            <w:r w:rsidRPr="002B55E9">
              <w:rPr>
                <w:rFonts w:eastAsia="宋体" w:hint="eastAsia"/>
              </w:rPr>
              <w:t>t/a</w:t>
            </w:r>
          </w:p>
        </w:tc>
        <w:tc>
          <w:tcPr>
            <w:tcW w:w="292" w:type="pct"/>
            <w:noWrap/>
            <w:hideMark/>
          </w:tcPr>
          <w:p w14:paraId="445E7D06"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77EF2BB7"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hideMark/>
          </w:tcPr>
          <w:p w14:paraId="2D6CF1D6" w14:textId="77777777" w:rsidR="003E2FA0" w:rsidRPr="002B55E9" w:rsidRDefault="003E2FA0" w:rsidP="00430554">
            <w:pPr>
              <w:pStyle w:val="lgy-"/>
              <w:rPr>
                <w:rFonts w:eastAsia="宋体"/>
              </w:rPr>
            </w:pPr>
            <w:r w:rsidRPr="002B55E9">
              <w:rPr>
                <w:rFonts w:eastAsia="宋体"/>
              </w:rPr>
              <w:t xml:space="preserve">2.28 </w:t>
            </w:r>
          </w:p>
        </w:tc>
        <w:tc>
          <w:tcPr>
            <w:tcW w:w="369" w:type="pct"/>
            <w:hideMark/>
          </w:tcPr>
          <w:p w14:paraId="47865703" w14:textId="77777777" w:rsidR="003E2FA0" w:rsidRPr="002B55E9" w:rsidRDefault="003E2FA0" w:rsidP="00430554">
            <w:pPr>
              <w:pStyle w:val="lgy-"/>
              <w:rPr>
                <w:rFonts w:eastAsia="宋体"/>
              </w:rPr>
            </w:pPr>
            <w:r w:rsidRPr="002B55E9">
              <w:rPr>
                <w:rFonts w:eastAsia="宋体"/>
              </w:rPr>
              <w:t xml:space="preserve">0.57 </w:t>
            </w:r>
          </w:p>
        </w:tc>
        <w:tc>
          <w:tcPr>
            <w:tcW w:w="369" w:type="pct"/>
            <w:hideMark/>
          </w:tcPr>
          <w:p w14:paraId="07C4F7BE" w14:textId="77777777" w:rsidR="003E2FA0" w:rsidRPr="002B55E9" w:rsidRDefault="003E2FA0" w:rsidP="00430554">
            <w:pPr>
              <w:pStyle w:val="lgy-"/>
              <w:rPr>
                <w:rFonts w:eastAsia="宋体"/>
              </w:rPr>
            </w:pPr>
            <w:r w:rsidRPr="002B55E9">
              <w:rPr>
                <w:rFonts w:eastAsia="宋体"/>
              </w:rPr>
              <w:t xml:space="preserve">0.57 </w:t>
            </w:r>
          </w:p>
        </w:tc>
        <w:tc>
          <w:tcPr>
            <w:tcW w:w="369" w:type="pct"/>
            <w:hideMark/>
          </w:tcPr>
          <w:p w14:paraId="2A60EBD9" w14:textId="77777777" w:rsidR="003E2FA0" w:rsidRPr="002B55E9" w:rsidRDefault="003E2FA0" w:rsidP="00430554">
            <w:pPr>
              <w:pStyle w:val="lgy-"/>
              <w:rPr>
                <w:rFonts w:eastAsia="宋体"/>
              </w:rPr>
            </w:pPr>
            <w:r w:rsidRPr="002B55E9">
              <w:rPr>
                <w:rFonts w:eastAsia="宋体"/>
              </w:rPr>
              <w:t xml:space="preserve">0.28 </w:t>
            </w:r>
          </w:p>
        </w:tc>
        <w:tc>
          <w:tcPr>
            <w:tcW w:w="519" w:type="pct"/>
            <w:hideMark/>
          </w:tcPr>
          <w:p w14:paraId="6344A3AB" w14:textId="77777777" w:rsidR="003E2FA0" w:rsidRPr="002B55E9" w:rsidRDefault="003E2FA0" w:rsidP="00430554">
            <w:pPr>
              <w:pStyle w:val="lgy-"/>
              <w:rPr>
                <w:rFonts w:eastAsia="宋体"/>
              </w:rPr>
            </w:pPr>
            <w:r w:rsidRPr="002B55E9">
              <w:rPr>
                <w:rFonts w:eastAsia="宋体"/>
              </w:rPr>
              <w:t xml:space="preserve">0.57 </w:t>
            </w:r>
          </w:p>
        </w:tc>
        <w:tc>
          <w:tcPr>
            <w:tcW w:w="465" w:type="pct"/>
            <w:hideMark/>
          </w:tcPr>
          <w:p w14:paraId="5B47CE08" w14:textId="77777777" w:rsidR="003E2FA0" w:rsidRPr="002B55E9" w:rsidRDefault="003E2FA0" w:rsidP="00430554">
            <w:pPr>
              <w:pStyle w:val="lgy-"/>
              <w:rPr>
                <w:rFonts w:eastAsia="宋体"/>
              </w:rPr>
            </w:pPr>
            <w:r w:rsidRPr="002B55E9">
              <w:rPr>
                <w:rFonts w:eastAsia="宋体"/>
              </w:rPr>
              <w:t xml:space="preserve">0.00 </w:t>
            </w:r>
          </w:p>
        </w:tc>
        <w:tc>
          <w:tcPr>
            <w:tcW w:w="369" w:type="pct"/>
            <w:hideMark/>
          </w:tcPr>
          <w:p w14:paraId="6CB7ECDC" w14:textId="77777777" w:rsidR="003E2FA0" w:rsidRPr="002B55E9" w:rsidRDefault="003E2FA0" w:rsidP="00430554">
            <w:pPr>
              <w:pStyle w:val="lgy-"/>
              <w:rPr>
                <w:rFonts w:eastAsia="宋体"/>
              </w:rPr>
            </w:pPr>
            <w:r w:rsidRPr="002B55E9">
              <w:rPr>
                <w:rFonts w:eastAsia="宋体"/>
              </w:rPr>
              <w:t xml:space="preserve">0.00 </w:t>
            </w:r>
          </w:p>
        </w:tc>
      </w:tr>
      <w:tr w:rsidR="003E2FA0" w:rsidRPr="002B55E9" w14:paraId="04DEB63B" w14:textId="77777777" w:rsidTr="003E2FA0">
        <w:trPr>
          <w:trHeight w:val="283"/>
        </w:trPr>
        <w:tc>
          <w:tcPr>
            <w:tcW w:w="498" w:type="pct"/>
            <w:vMerge w:val="restart"/>
            <w:hideMark/>
          </w:tcPr>
          <w:p w14:paraId="33980C93" w14:textId="77777777" w:rsidR="003E2FA0" w:rsidRPr="002B55E9" w:rsidRDefault="003E2FA0" w:rsidP="00430554">
            <w:pPr>
              <w:pStyle w:val="lgy-"/>
              <w:rPr>
                <w:rFonts w:eastAsia="宋体"/>
                <w:szCs w:val="22"/>
              </w:rPr>
            </w:pPr>
            <w:r w:rsidRPr="002B55E9">
              <w:rPr>
                <w:rFonts w:eastAsia="宋体" w:hint="eastAsia"/>
                <w:szCs w:val="22"/>
              </w:rPr>
              <w:t>海天调味品公司总排口</w:t>
            </w:r>
          </w:p>
        </w:tc>
        <w:tc>
          <w:tcPr>
            <w:tcW w:w="389" w:type="pct"/>
            <w:vMerge w:val="restart"/>
            <w:noWrap/>
            <w:hideMark/>
          </w:tcPr>
          <w:p w14:paraId="6B274256" w14:textId="77777777" w:rsidR="003E2FA0" w:rsidRPr="002B55E9" w:rsidRDefault="003E2FA0" w:rsidP="00430554">
            <w:pPr>
              <w:pStyle w:val="lgy-"/>
              <w:rPr>
                <w:rFonts w:eastAsia="宋体"/>
                <w:szCs w:val="22"/>
              </w:rPr>
            </w:pPr>
            <w:r w:rsidRPr="002B55E9">
              <w:rPr>
                <w:rFonts w:eastAsia="宋体" w:hint="eastAsia"/>
                <w:szCs w:val="22"/>
              </w:rPr>
              <w:t xml:space="preserve">229575 </w:t>
            </w:r>
          </w:p>
        </w:tc>
        <w:tc>
          <w:tcPr>
            <w:tcW w:w="534" w:type="pct"/>
            <w:hideMark/>
          </w:tcPr>
          <w:p w14:paraId="5C28D367" w14:textId="77777777" w:rsidR="003E2FA0" w:rsidRPr="002B55E9" w:rsidRDefault="003E2FA0" w:rsidP="00430554">
            <w:pPr>
              <w:pStyle w:val="lgy-"/>
              <w:rPr>
                <w:rFonts w:eastAsia="宋体"/>
              </w:rPr>
            </w:pPr>
            <w:r w:rsidRPr="002B55E9">
              <w:rPr>
                <w:rFonts w:eastAsia="宋体" w:hint="eastAsia"/>
              </w:rPr>
              <w:t>浓度</w:t>
            </w:r>
            <w:r w:rsidRPr="002B55E9">
              <w:rPr>
                <w:rFonts w:eastAsia="宋体" w:hint="eastAsia"/>
              </w:rPr>
              <w:t>mg/L</w:t>
            </w:r>
          </w:p>
        </w:tc>
        <w:tc>
          <w:tcPr>
            <w:tcW w:w="292" w:type="pct"/>
            <w:noWrap/>
            <w:hideMark/>
          </w:tcPr>
          <w:p w14:paraId="2543017E"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169D07E8" w14:textId="77777777" w:rsidR="003E2FA0" w:rsidRPr="002B55E9" w:rsidRDefault="003E2FA0" w:rsidP="00430554">
            <w:pPr>
              <w:pStyle w:val="lgy-"/>
              <w:rPr>
                <w:rFonts w:eastAsia="宋体"/>
                <w:szCs w:val="22"/>
              </w:rPr>
            </w:pPr>
            <w:r w:rsidRPr="002B55E9">
              <w:rPr>
                <w:rFonts w:eastAsia="宋体" w:hint="eastAsia"/>
                <w:szCs w:val="22"/>
              </w:rPr>
              <w:t>8</w:t>
            </w:r>
          </w:p>
        </w:tc>
        <w:tc>
          <w:tcPr>
            <w:tcW w:w="396" w:type="pct"/>
            <w:noWrap/>
            <w:hideMark/>
          </w:tcPr>
          <w:p w14:paraId="21450D8D" w14:textId="77777777" w:rsidR="003E2FA0" w:rsidRPr="002B55E9" w:rsidRDefault="003E2FA0" w:rsidP="00430554">
            <w:pPr>
              <w:pStyle w:val="lgy-"/>
              <w:rPr>
                <w:rFonts w:eastAsia="宋体"/>
                <w:szCs w:val="22"/>
              </w:rPr>
            </w:pPr>
            <w:r w:rsidRPr="002B55E9">
              <w:rPr>
                <w:rFonts w:eastAsia="宋体" w:hint="eastAsia"/>
                <w:szCs w:val="22"/>
              </w:rPr>
              <w:t xml:space="preserve">107.18 </w:t>
            </w:r>
          </w:p>
        </w:tc>
        <w:tc>
          <w:tcPr>
            <w:tcW w:w="369" w:type="pct"/>
            <w:noWrap/>
            <w:hideMark/>
          </w:tcPr>
          <w:p w14:paraId="71258B86" w14:textId="77777777" w:rsidR="003E2FA0" w:rsidRPr="002B55E9" w:rsidRDefault="003E2FA0" w:rsidP="00430554">
            <w:pPr>
              <w:pStyle w:val="lgy-"/>
              <w:rPr>
                <w:rFonts w:eastAsia="宋体"/>
                <w:szCs w:val="22"/>
              </w:rPr>
            </w:pPr>
            <w:r w:rsidRPr="002B55E9">
              <w:rPr>
                <w:rFonts w:eastAsia="宋体" w:hint="eastAsia"/>
                <w:szCs w:val="22"/>
              </w:rPr>
              <w:t xml:space="preserve">40.65 </w:t>
            </w:r>
          </w:p>
        </w:tc>
        <w:tc>
          <w:tcPr>
            <w:tcW w:w="369" w:type="pct"/>
            <w:noWrap/>
            <w:hideMark/>
          </w:tcPr>
          <w:p w14:paraId="48668173" w14:textId="77777777" w:rsidR="003E2FA0" w:rsidRPr="002B55E9" w:rsidRDefault="003E2FA0" w:rsidP="00430554">
            <w:pPr>
              <w:pStyle w:val="lgy-"/>
              <w:rPr>
                <w:rFonts w:eastAsia="宋体"/>
                <w:szCs w:val="22"/>
              </w:rPr>
            </w:pPr>
            <w:r w:rsidRPr="002B55E9">
              <w:rPr>
                <w:rFonts w:eastAsia="宋体" w:hint="eastAsia"/>
                <w:szCs w:val="22"/>
              </w:rPr>
              <w:t xml:space="preserve">111.44 </w:t>
            </w:r>
          </w:p>
        </w:tc>
        <w:tc>
          <w:tcPr>
            <w:tcW w:w="369" w:type="pct"/>
            <w:noWrap/>
            <w:hideMark/>
          </w:tcPr>
          <w:p w14:paraId="1F80F6AA" w14:textId="77777777" w:rsidR="003E2FA0" w:rsidRPr="002B55E9" w:rsidRDefault="003E2FA0" w:rsidP="00430554">
            <w:pPr>
              <w:pStyle w:val="lgy-"/>
              <w:rPr>
                <w:rFonts w:eastAsia="宋体"/>
                <w:szCs w:val="22"/>
              </w:rPr>
            </w:pPr>
            <w:r w:rsidRPr="002B55E9">
              <w:rPr>
                <w:rFonts w:eastAsia="宋体" w:hint="eastAsia"/>
                <w:szCs w:val="22"/>
              </w:rPr>
              <w:t xml:space="preserve">13.63 </w:t>
            </w:r>
          </w:p>
        </w:tc>
        <w:tc>
          <w:tcPr>
            <w:tcW w:w="519" w:type="pct"/>
            <w:noWrap/>
            <w:hideMark/>
          </w:tcPr>
          <w:p w14:paraId="3183A216" w14:textId="77777777" w:rsidR="003E2FA0" w:rsidRPr="002B55E9" w:rsidRDefault="003E2FA0" w:rsidP="00430554">
            <w:pPr>
              <w:pStyle w:val="lgy-"/>
              <w:rPr>
                <w:rFonts w:eastAsia="宋体"/>
                <w:szCs w:val="22"/>
              </w:rPr>
            </w:pPr>
            <w:r w:rsidRPr="002B55E9">
              <w:rPr>
                <w:rFonts w:eastAsia="宋体" w:hint="eastAsia"/>
                <w:szCs w:val="22"/>
              </w:rPr>
              <w:t xml:space="preserve">27.88 </w:t>
            </w:r>
          </w:p>
        </w:tc>
        <w:tc>
          <w:tcPr>
            <w:tcW w:w="465" w:type="pct"/>
            <w:noWrap/>
            <w:hideMark/>
          </w:tcPr>
          <w:p w14:paraId="21EE0707" w14:textId="77777777" w:rsidR="003E2FA0" w:rsidRPr="002B55E9" w:rsidRDefault="003E2FA0" w:rsidP="00430554">
            <w:pPr>
              <w:pStyle w:val="lgy-"/>
              <w:rPr>
                <w:rFonts w:eastAsia="宋体"/>
                <w:szCs w:val="22"/>
              </w:rPr>
            </w:pPr>
            <w:r w:rsidRPr="002B55E9">
              <w:rPr>
                <w:rFonts w:eastAsia="宋体" w:hint="eastAsia"/>
                <w:szCs w:val="22"/>
              </w:rPr>
              <w:t xml:space="preserve">0.92 </w:t>
            </w:r>
          </w:p>
        </w:tc>
        <w:tc>
          <w:tcPr>
            <w:tcW w:w="369" w:type="pct"/>
            <w:noWrap/>
            <w:hideMark/>
          </w:tcPr>
          <w:p w14:paraId="439053A3" w14:textId="77777777" w:rsidR="003E2FA0" w:rsidRPr="002B55E9" w:rsidRDefault="003E2FA0" w:rsidP="00430554">
            <w:pPr>
              <w:pStyle w:val="lgy-"/>
              <w:rPr>
                <w:rFonts w:eastAsia="宋体"/>
                <w:szCs w:val="22"/>
              </w:rPr>
            </w:pPr>
            <w:r w:rsidRPr="002B55E9">
              <w:rPr>
                <w:rFonts w:eastAsia="宋体" w:hint="eastAsia"/>
                <w:szCs w:val="22"/>
              </w:rPr>
              <w:t xml:space="preserve">1.00 </w:t>
            </w:r>
          </w:p>
        </w:tc>
      </w:tr>
      <w:tr w:rsidR="003E2FA0" w:rsidRPr="002B55E9" w14:paraId="3C587624" w14:textId="77777777" w:rsidTr="003E2FA0">
        <w:trPr>
          <w:trHeight w:val="283"/>
        </w:trPr>
        <w:tc>
          <w:tcPr>
            <w:tcW w:w="498" w:type="pct"/>
            <w:vMerge/>
            <w:hideMark/>
          </w:tcPr>
          <w:p w14:paraId="6F01A203" w14:textId="77777777" w:rsidR="003E2FA0" w:rsidRPr="002B55E9" w:rsidRDefault="003E2FA0" w:rsidP="00430554">
            <w:pPr>
              <w:pStyle w:val="lgy-"/>
              <w:rPr>
                <w:rFonts w:eastAsia="宋体"/>
                <w:szCs w:val="22"/>
              </w:rPr>
            </w:pPr>
          </w:p>
        </w:tc>
        <w:tc>
          <w:tcPr>
            <w:tcW w:w="389" w:type="pct"/>
            <w:vMerge/>
            <w:hideMark/>
          </w:tcPr>
          <w:p w14:paraId="2CB15037" w14:textId="77777777" w:rsidR="003E2FA0" w:rsidRPr="002B55E9" w:rsidRDefault="003E2FA0" w:rsidP="00430554">
            <w:pPr>
              <w:pStyle w:val="lgy-"/>
              <w:rPr>
                <w:rFonts w:eastAsia="宋体"/>
                <w:szCs w:val="22"/>
              </w:rPr>
            </w:pPr>
          </w:p>
        </w:tc>
        <w:tc>
          <w:tcPr>
            <w:tcW w:w="534" w:type="pct"/>
            <w:hideMark/>
          </w:tcPr>
          <w:p w14:paraId="295F2307" w14:textId="77777777" w:rsidR="003E2FA0" w:rsidRPr="002B55E9" w:rsidRDefault="003E2FA0" w:rsidP="00430554">
            <w:pPr>
              <w:pStyle w:val="lgy-"/>
              <w:rPr>
                <w:rFonts w:eastAsia="宋体"/>
              </w:rPr>
            </w:pPr>
            <w:r w:rsidRPr="002B55E9">
              <w:rPr>
                <w:rFonts w:eastAsia="宋体" w:hint="eastAsia"/>
              </w:rPr>
              <w:t>排放量</w:t>
            </w:r>
            <w:r w:rsidRPr="002B55E9">
              <w:rPr>
                <w:rFonts w:eastAsia="宋体" w:hint="eastAsia"/>
              </w:rPr>
              <w:t>t/a</w:t>
            </w:r>
          </w:p>
        </w:tc>
        <w:tc>
          <w:tcPr>
            <w:tcW w:w="292" w:type="pct"/>
            <w:noWrap/>
            <w:hideMark/>
          </w:tcPr>
          <w:p w14:paraId="41CF7D3D" w14:textId="77777777" w:rsidR="003E2FA0" w:rsidRPr="002B55E9" w:rsidRDefault="003E2FA0" w:rsidP="00430554">
            <w:pPr>
              <w:pStyle w:val="lgy-"/>
              <w:rPr>
                <w:rFonts w:eastAsia="宋体"/>
                <w:szCs w:val="22"/>
              </w:rPr>
            </w:pPr>
            <w:r w:rsidRPr="002B55E9">
              <w:rPr>
                <w:rFonts w:eastAsia="宋体" w:hint="eastAsia"/>
                <w:szCs w:val="22"/>
              </w:rPr>
              <w:t>/</w:t>
            </w:r>
          </w:p>
        </w:tc>
        <w:tc>
          <w:tcPr>
            <w:tcW w:w="430" w:type="pct"/>
            <w:noWrap/>
            <w:hideMark/>
          </w:tcPr>
          <w:p w14:paraId="500461C1"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noWrap/>
            <w:hideMark/>
          </w:tcPr>
          <w:p w14:paraId="532705B9" w14:textId="77777777" w:rsidR="003E2FA0" w:rsidRPr="002B55E9" w:rsidRDefault="003E2FA0" w:rsidP="00430554">
            <w:pPr>
              <w:pStyle w:val="lgy-"/>
              <w:rPr>
                <w:rFonts w:eastAsia="宋体"/>
                <w:szCs w:val="22"/>
              </w:rPr>
            </w:pPr>
            <w:r w:rsidRPr="002B55E9">
              <w:rPr>
                <w:rFonts w:eastAsia="宋体" w:hint="eastAsia"/>
                <w:szCs w:val="22"/>
              </w:rPr>
              <w:t xml:space="preserve">24.61 </w:t>
            </w:r>
          </w:p>
        </w:tc>
        <w:tc>
          <w:tcPr>
            <w:tcW w:w="369" w:type="pct"/>
            <w:noWrap/>
            <w:hideMark/>
          </w:tcPr>
          <w:p w14:paraId="1B137788" w14:textId="77777777" w:rsidR="003E2FA0" w:rsidRPr="002B55E9" w:rsidRDefault="003E2FA0" w:rsidP="00430554">
            <w:pPr>
              <w:pStyle w:val="lgy-"/>
              <w:rPr>
                <w:rFonts w:eastAsia="宋体"/>
                <w:szCs w:val="22"/>
              </w:rPr>
            </w:pPr>
            <w:r w:rsidRPr="002B55E9">
              <w:rPr>
                <w:rFonts w:eastAsia="宋体" w:hint="eastAsia"/>
                <w:szCs w:val="22"/>
              </w:rPr>
              <w:t xml:space="preserve">9.33 </w:t>
            </w:r>
          </w:p>
        </w:tc>
        <w:tc>
          <w:tcPr>
            <w:tcW w:w="369" w:type="pct"/>
            <w:noWrap/>
            <w:hideMark/>
          </w:tcPr>
          <w:p w14:paraId="54DD5068" w14:textId="77777777" w:rsidR="003E2FA0" w:rsidRPr="002B55E9" w:rsidRDefault="003E2FA0" w:rsidP="00430554">
            <w:pPr>
              <w:pStyle w:val="lgy-"/>
              <w:rPr>
                <w:rFonts w:eastAsia="宋体"/>
                <w:szCs w:val="22"/>
              </w:rPr>
            </w:pPr>
            <w:r w:rsidRPr="002B55E9">
              <w:rPr>
                <w:rFonts w:eastAsia="宋体" w:hint="eastAsia"/>
                <w:szCs w:val="22"/>
              </w:rPr>
              <w:t xml:space="preserve">25.58 </w:t>
            </w:r>
          </w:p>
        </w:tc>
        <w:tc>
          <w:tcPr>
            <w:tcW w:w="369" w:type="pct"/>
            <w:noWrap/>
            <w:hideMark/>
          </w:tcPr>
          <w:p w14:paraId="496281DE" w14:textId="77777777" w:rsidR="003E2FA0" w:rsidRPr="002B55E9" w:rsidRDefault="003E2FA0" w:rsidP="00430554">
            <w:pPr>
              <w:pStyle w:val="lgy-"/>
              <w:rPr>
                <w:rFonts w:eastAsia="宋体"/>
                <w:szCs w:val="22"/>
              </w:rPr>
            </w:pPr>
            <w:r w:rsidRPr="002B55E9">
              <w:rPr>
                <w:rFonts w:eastAsia="宋体" w:hint="eastAsia"/>
                <w:szCs w:val="22"/>
              </w:rPr>
              <w:t xml:space="preserve">3.13 </w:t>
            </w:r>
          </w:p>
        </w:tc>
        <w:tc>
          <w:tcPr>
            <w:tcW w:w="519" w:type="pct"/>
            <w:noWrap/>
            <w:hideMark/>
          </w:tcPr>
          <w:p w14:paraId="631D048D" w14:textId="77777777" w:rsidR="003E2FA0" w:rsidRPr="002B55E9" w:rsidRDefault="003E2FA0" w:rsidP="00430554">
            <w:pPr>
              <w:pStyle w:val="lgy-"/>
              <w:rPr>
                <w:rFonts w:eastAsia="宋体"/>
                <w:szCs w:val="22"/>
              </w:rPr>
            </w:pPr>
            <w:r w:rsidRPr="002B55E9">
              <w:rPr>
                <w:rFonts w:eastAsia="宋体" w:hint="eastAsia"/>
                <w:szCs w:val="22"/>
              </w:rPr>
              <w:t xml:space="preserve">6.40 </w:t>
            </w:r>
          </w:p>
        </w:tc>
        <w:tc>
          <w:tcPr>
            <w:tcW w:w="465" w:type="pct"/>
            <w:noWrap/>
            <w:hideMark/>
          </w:tcPr>
          <w:p w14:paraId="6B448C6E" w14:textId="77777777" w:rsidR="003E2FA0" w:rsidRPr="002B55E9" w:rsidRDefault="003E2FA0" w:rsidP="00430554">
            <w:pPr>
              <w:pStyle w:val="lgy-"/>
              <w:rPr>
                <w:rFonts w:eastAsia="宋体"/>
                <w:szCs w:val="22"/>
              </w:rPr>
            </w:pPr>
            <w:r w:rsidRPr="002B55E9">
              <w:rPr>
                <w:rFonts w:eastAsia="宋体" w:hint="eastAsia"/>
                <w:szCs w:val="22"/>
              </w:rPr>
              <w:t xml:space="preserve">0.21 </w:t>
            </w:r>
          </w:p>
        </w:tc>
        <w:tc>
          <w:tcPr>
            <w:tcW w:w="369" w:type="pct"/>
            <w:noWrap/>
            <w:hideMark/>
          </w:tcPr>
          <w:p w14:paraId="3FCC57CA" w14:textId="77777777" w:rsidR="003E2FA0" w:rsidRPr="002B55E9" w:rsidRDefault="003E2FA0" w:rsidP="00430554">
            <w:pPr>
              <w:pStyle w:val="lgy-"/>
              <w:rPr>
                <w:rFonts w:eastAsia="宋体"/>
                <w:szCs w:val="22"/>
              </w:rPr>
            </w:pPr>
            <w:r w:rsidRPr="002B55E9">
              <w:rPr>
                <w:rFonts w:eastAsia="宋体" w:hint="eastAsia"/>
                <w:szCs w:val="22"/>
              </w:rPr>
              <w:t xml:space="preserve">0.23 </w:t>
            </w:r>
          </w:p>
        </w:tc>
      </w:tr>
      <w:tr w:rsidR="003E2FA0" w:rsidRPr="002B55E9" w14:paraId="17FA244F" w14:textId="77777777" w:rsidTr="003E2FA0">
        <w:trPr>
          <w:trHeight w:val="283"/>
        </w:trPr>
        <w:tc>
          <w:tcPr>
            <w:tcW w:w="1422" w:type="pct"/>
            <w:gridSpan w:val="3"/>
            <w:noWrap/>
            <w:hideMark/>
          </w:tcPr>
          <w:p w14:paraId="28B90731" w14:textId="77777777" w:rsidR="003E2FA0" w:rsidRPr="002B55E9" w:rsidRDefault="003E2FA0" w:rsidP="00430554">
            <w:pPr>
              <w:pStyle w:val="lgy-"/>
              <w:rPr>
                <w:rFonts w:eastAsia="宋体"/>
                <w:szCs w:val="22"/>
              </w:rPr>
            </w:pPr>
            <w:r w:rsidRPr="002B55E9">
              <w:rPr>
                <w:rFonts w:eastAsia="宋体" w:hint="eastAsia"/>
                <w:szCs w:val="22"/>
              </w:rPr>
              <w:t>标准限值</w:t>
            </w:r>
          </w:p>
        </w:tc>
        <w:tc>
          <w:tcPr>
            <w:tcW w:w="292" w:type="pct"/>
            <w:noWrap/>
            <w:hideMark/>
          </w:tcPr>
          <w:p w14:paraId="5D559A8C" w14:textId="77777777" w:rsidR="003E2FA0" w:rsidRPr="002B55E9" w:rsidRDefault="003E2FA0" w:rsidP="00430554">
            <w:pPr>
              <w:pStyle w:val="lgy-"/>
              <w:rPr>
                <w:rFonts w:eastAsia="宋体"/>
                <w:szCs w:val="22"/>
              </w:rPr>
            </w:pPr>
            <w:r w:rsidRPr="002B55E9">
              <w:rPr>
                <w:rFonts w:eastAsia="宋体" w:hint="eastAsia"/>
                <w:szCs w:val="22"/>
              </w:rPr>
              <w:t>6~9</w:t>
            </w:r>
          </w:p>
        </w:tc>
        <w:tc>
          <w:tcPr>
            <w:tcW w:w="430" w:type="pct"/>
            <w:noWrap/>
            <w:hideMark/>
          </w:tcPr>
          <w:p w14:paraId="3816CC18" w14:textId="77777777" w:rsidR="003E2FA0" w:rsidRPr="002B55E9" w:rsidRDefault="003E2FA0" w:rsidP="00430554">
            <w:pPr>
              <w:pStyle w:val="lgy-"/>
              <w:rPr>
                <w:rFonts w:eastAsia="宋体"/>
                <w:szCs w:val="22"/>
              </w:rPr>
            </w:pPr>
            <w:r w:rsidRPr="002B55E9">
              <w:rPr>
                <w:rFonts w:eastAsia="宋体" w:hint="eastAsia"/>
                <w:szCs w:val="22"/>
              </w:rPr>
              <w:t>/</w:t>
            </w:r>
          </w:p>
        </w:tc>
        <w:tc>
          <w:tcPr>
            <w:tcW w:w="396" w:type="pct"/>
            <w:noWrap/>
            <w:hideMark/>
          </w:tcPr>
          <w:p w14:paraId="5DA08963" w14:textId="77777777" w:rsidR="003E2FA0" w:rsidRPr="002B55E9" w:rsidRDefault="003E2FA0" w:rsidP="00430554">
            <w:pPr>
              <w:pStyle w:val="lgy-"/>
              <w:rPr>
                <w:rFonts w:eastAsia="宋体"/>
                <w:szCs w:val="22"/>
              </w:rPr>
            </w:pPr>
            <w:r w:rsidRPr="002B55E9">
              <w:rPr>
                <w:rFonts w:eastAsia="宋体" w:hint="eastAsia"/>
                <w:szCs w:val="22"/>
              </w:rPr>
              <w:t>320</w:t>
            </w:r>
          </w:p>
        </w:tc>
        <w:tc>
          <w:tcPr>
            <w:tcW w:w="369" w:type="pct"/>
            <w:noWrap/>
            <w:hideMark/>
          </w:tcPr>
          <w:p w14:paraId="72C37E8B" w14:textId="77777777" w:rsidR="003E2FA0" w:rsidRPr="002B55E9" w:rsidRDefault="003E2FA0" w:rsidP="00430554">
            <w:pPr>
              <w:pStyle w:val="lgy-"/>
              <w:rPr>
                <w:rFonts w:eastAsia="宋体"/>
                <w:szCs w:val="22"/>
              </w:rPr>
            </w:pPr>
            <w:r w:rsidRPr="002B55E9">
              <w:rPr>
                <w:rFonts w:eastAsia="宋体" w:hint="eastAsia"/>
                <w:szCs w:val="22"/>
              </w:rPr>
              <w:t>170</w:t>
            </w:r>
          </w:p>
        </w:tc>
        <w:tc>
          <w:tcPr>
            <w:tcW w:w="369" w:type="pct"/>
            <w:noWrap/>
            <w:hideMark/>
          </w:tcPr>
          <w:p w14:paraId="50DA83B2" w14:textId="77777777" w:rsidR="003E2FA0" w:rsidRPr="002B55E9" w:rsidRDefault="003E2FA0" w:rsidP="00430554">
            <w:pPr>
              <w:pStyle w:val="lgy-"/>
              <w:rPr>
                <w:rFonts w:eastAsia="宋体"/>
                <w:szCs w:val="22"/>
              </w:rPr>
            </w:pPr>
            <w:r w:rsidRPr="002B55E9">
              <w:rPr>
                <w:rFonts w:eastAsia="宋体" w:hint="eastAsia"/>
                <w:szCs w:val="22"/>
              </w:rPr>
              <w:t>200</w:t>
            </w:r>
          </w:p>
        </w:tc>
        <w:tc>
          <w:tcPr>
            <w:tcW w:w="369" w:type="pct"/>
            <w:noWrap/>
            <w:hideMark/>
          </w:tcPr>
          <w:p w14:paraId="69FB1E66" w14:textId="77777777" w:rsidR="003E2FA0" w:rsidRPr="002B55E9" w:rsidRDefault="003E2FA0" w:rsidP="00430554">
            <w:pPr>
              <w:pStyle w:val="lgy-"/>
              <w:rPr>
                <w:rFonts w:eastAsia="宋体"/>
                <w:szCs w:val="22"/>
              </w:rPr>
            </w:pPr>
            <w:r w:rsidRPr="002B55E9">
              <w:rPr>
                <w:rFonts w:eastAsia="宋体" w:hint="eastAsia"/>
                <w:szCs w:val="22"/>
              </w:rPr>
              <w:t>35</w:t>
            </w:r>
          </w:p>
        </w:tc>
        <w:tc>
          <w:tcPr>
            <w:tcW w:w="519" w:type="pct"/>
            <w:noWrap/>
            <w:hideMark/>
          </w:tcPr>
          <w:p w14:paraId="61CA2DFB" w14:textId="77777777" w:rsidR="003E2FA0" w:rsidRPr="002B55E9" w:rsidRDefault="003E2FA0" w:rsidP="00430554">
            <w:pPr>
              <w:pStyle w:val="lgy-"/>
              <w:rPr>
                <w:rFonts w:eastAsia="宋体"/>
                <w:szCs w:val="22"/>
              </w:rPr>
            </w:pPr>
            <w:r w:rsidRPr="002B55E9">
              <w:rPr>
                <w:rFonts w:eastAsia="宋体" w:hint="eastAsia"/>
                <w:szCs w:val="22"/>
              </w:rPr>
              <w:t>40</w:t>
            </w:r>
          </w:p>
        </w:tc>
        <w:tc>
          <w:tcPr>
            <w:tcW w:w="465" w:type="pct"/>
            <w:noWrap/>
            <w:hideMark/>
          </w:tcPr>
          <w:p w14:paraId="2452EAD9" w14:textId="77777777" w:rsidR="003E2FA0" w:rsidRPr="002B55E9" w:rsidRDefault="003E2FA0" w:rsidP="00430554">
            <w:pPr>
              <w:pStyle w:val="lgy-"/>
              <w:rPr>
                <w:rFonts w:eastAsia="宋体"/>
                <w:szCs w:val="22"/>
              </w:rPr>
            </w:pPr>
            <w:r w:rsidRPr="002B55E9">
              <w:rPr>
                <w:rFonts w:eastAsia="宋体" w:hint="eastAsia"/>
                <w:szCs w:val="22"/>
              </w:rPr>
              <w:t>3.5</w:t>
            </w:r>
          </w:p>
        </w:tc>
        <w:tc>
          <w:tcPr>
            <w:tcW w:w="369" w:type="pct"/>
            <w:noWrap/>
            <w:hideMark/>
          </w:tcPr>
          <w:p w14:paraId="1C08598E" w14:textId="77777777" w:rsidR="003E2FA0" w:rsidRPr="002B55E9" w:rsidRDefault="003E2FA0" w:rsidP="00430554">
            <w:pPr>
              <w:pStyle w:val="lgy-"/>
              <w:rPr>
                <w:rFonts w:eastAsia="宋体"/>
                <w:szCs w:val="22"/>
              </w:rPr>
            </w:pPr>
            <w:r w:rsidRPr="002B55E9">
              <w:rPr>
                <w:rFonts w:eastAsia="宋体" w:hint="eastAsia"/>
                <w:szCs w:val="22"/>
              </w:rPr>
              <w:t>100</w:t>
            </w:r>
          </w:p>
        </w:tc>
      </w:tr>
    </w:tbl>
    <w:p w14:paraId="74704344" w14:textId="6E6EEAAB" w:rsidR="00D170E5" w:rsidRPr="002B55E9" w:rsidRDefault="00EF27AD">
      <w:pPr>
        <w:pStyle w:val="affff7"/>
        <w:adjustRightInd w:val="0"/>
        <w:snapToGrid w:val="0"/>
        <w:spacing w:after="0"/>
        <w:rPr>
          <w:szCs w:val="24"/>
        </w:rPr>
      </w:pPr>
      <w:r w:rsidRPr="002B55E9">
        <w:rPr>
          <w:szCs w:val="24"/>
        </w:rPr>
        <w:t>由上表可知，</w:t>
      </w:r>
      <w:r w:rsidRPr="002B55E9">
        <w:rPr>
          <w:rFonts w:hint="eastAsia"/>
          <w:szCs w:val="24"/>
        </w:rPr>
        <w:t>本项目</w:t>
      </w:r>
      <w:r w:rsidRPr="002B55E9">
        <w:rPr>
          <w:szCs w:val="24"/>
        </w:rPr>
        <w:t>总排口废水污染物排放浓度</w:t>
      </w:r>
      <w:r w:rsidRPr="002B55E9">
        <w:rPr>
          <w:rFonts w:hint="eastAsia"/>
          <w:szCs w:val="24"/>
        </w:rPr>
        <w:t>满足《污水综合排放标准》（</w:t>
      </w:r>
      <w:r w:rsidRPr="002B55E9">
        <w:rPr>
          <w:rFonts w:hint="eastAsia"/>
          <w:szCs w:val="24"/>
        </w:rPr>
        <w:t>GB8978-1996</w:t>
      </w:r>
      <w:r w:rsidRPr="002B55E9">
        <w:rPr>
          <w:rFonts w:hint="eastAsia"/>
          <w:szCs w:val="24"/>
        </w:rPr>
        <w:t>）表</w:t>
      </w:r>
      <w:r w:rsidRPr="002B55E9">
        <w:rPr>
          <w:rFonts w:hint="eastAsia"/>
          <w:szCs w:val="24"/>
        </w:rPr>
        <w:t>4</w:t>
      </w:r>
      <w:r w:rsidRPr="002B55E9">
        <w:rPr>
          <w:rFonts w:hint="eastAsia"/>
          <w:szCs w:val="24"/>
        </w:rPr>
        <w:t>中三级标准以及东西湖区污水处理厂纳管要求</w:t>
      </w:r>
      <w:r w:rsidRPr="002B55E9">
        <w:rPr>
          <w:szCs w:val="24"/>
        </w:rPr>
        <w:t>。</w:t>
      </w:r>
    </w:p>
    <w:p w14:paraId="11D18CB4" w14:textId="77777777" w:rsidR="00D170E5" w:rsidRPr="002B55E9" w:rsidRDefault="00EF27AD">
      <w:pPr>
        <w:pStyle w:val="4"/>
        <w:rPr>
          <w:color w:val="auto"/>
        </w:rPr>
      </w:pPr>
      <w:r w:rsidRPr="002B55E9">
        <w:rPr>
          <w:color w:val="auto"/>
        </w:rPr>
        <w:t>噪声</w:t>
      </w:r>
    </w:p>
    <w:p w14:paraId="2F0F98C1" w14:textId="77777777" w:rsidR="00D170E5" w:rsidRPr="002B55E9" w:rsidRDefault="00EF27AD">
      <w:pPr>
        <w:pStyle w:val="affff7"/>
        <w:snapToGrid w:val="0"/>
        <w:spacing w:after="0"/>
        <w:rPr>
          <w:szCs w:val="24"/>
        </w:rPr>
      </w:pPr>
      <w:r w:rsidRPr="002B55E9">
        <w:rPr>
          <w:szCs w:val="24"/>
        </w:rPr>
        <w:t>本工程的主要噪声源有</w:t>
      </w:r>
      <w:r w:rsidRPr="002B55E9">
        <w:rPr>
          <w:rFonts w:hint="eastAsia"/>
        </w:rPr>
        <w:t>风机</w:t>
      </w:r>
      <w:r w:rsidRPr="002B55E9">
        <w:t>、</w:t>
      </w:r>
      <w:r w:rsidRPr="002B55E9">
        <w:rPr>
          <w:rFonts w:hint="eastAsia"/>
        </w:rPr>
        <w:t>粉碎机、</w:t>
      </w:r>
      <w:r w:rsidRPr="002B55E9">
        <w:t>各类</w:t>
      </w:r>
      <w:r w:rsidRPr="002B55E9">
        <w:rPr>
          <w:rFonts w:hint="eastAsia"/>
        </w:rPr>
        <w:t>水泵、制冷机组</w:t>
      </w:r>
      <w:r w:rsidRPr="002B55E9">
        <w:rPr>
          <w:szCs w:val="24"/>
        </w:rPr>
        <w:t>等</w:t>
      </w:r>
      <w:r w:rsidRPr="002B55E9">
        <w:rPr>
          <w:rFonts w:hint="eastAsia"/>
          <w:szCs w:val="24"/>
        </w:rPr>
        <w:t>设备运行噪声</w:t>
      </w:r>
      <w:r w:rsidRPr="002B55E9">
        <w:rPr>
          <w:szCs w:val="24"/>
        </w:rPr>
        <w:t>。</w:t>
      </w:r>
      <w:r w:rsidRPr="002B55E9">
        <w:rPr>
          <w:rFonts w:hint="eastAsia"/>
          <w:szCs w:val="24"/>
        </w:rPr>
        <w:t>拟建项目各生产单元主要设备声源强度具体见下表。</w:t>
      </w:r>
    </w:p>
    <w:p w14:paraId="0463E2E8" w14:textId="77777777" w:rsidR="00D170E5" w:rsidRPr="002B55E9" w:rsidRDefault="00EF27AD">
      <w:pPr>
        <w:pStyle w:val="1f3"/>
        <w:snapToGrid w:val="0"/>
        <w:spacing w:beforeLines="0" w:before="0"/>
      </w:pPr>
      <w:r w:rsidRPr="002B55E9">
        <w:rPr>
          <w:rFonts w:hint="eastAsia"/>
        </w:rPr>
        <w:t>表</w:t>
      </w:r>
      <w:r w:rsidRPr="002B55E9">
        <w:rPr>
          <w:rFonts w:hint="eastAsia"/>
        </w:rPr>
        <w:t>3-</w:t>
      </w:r>
      <w:r w:rsidRPr="002B55E9">
        <w:t>3</w:t>
      </w:r>
      <w:r w:rsidRPr="002B55E9">
        <w:rPr>
          <w:rFonts w:hint="eastAsia"/>
        </w:rPr>
        <w:t>-</w:t>
      </w:r>
      <w:r w:rsidRPr="002B55E9">
        <w:t xml:space="preserve">30 </w:t>
      </w:r>
      <w:r w:rsidRPr="002B55E9">
        <w:rPr>
          <w:rFonts w:hint="eastAsia"/>
        </w:rPr>
        <w:t xml:space="preserve"> </w:t>
      </w:r>
      <w:r w:rsidRPr="002B55E9">
        <w:rPr>
          <w:rFonts w:hint="eastAsia"/>
        </w:rPr>
        <w:t>拟建项目各生产单元主要设备噪声值</w:t>
      </w:r>
    </w:p>
    <w:tbl>
      <w:tblPr>
        <w:tblW w:w="978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2125"/>
        <w:gridCol w:w="2282"/>
        <w:gridCol w:w="1906"/>
        <w:gridCol w:w="2053"/>
      </w:tblGrid>
      <w:tr w:rsidR="002B55E9" w:rsidRPr="002B55E9" w14:paraId="276E1D51" w14:textId="77777777">
        <w:trPr>
          <w:trHeight w:val="284"/>
        </w:trPr>
        <w:tc>
          <w:tcPr>
            <w:tcW w:w="1418" w:type="dxa"/>
            <w:vAlign w:val="center"/>
          </w:tcPr>
          <w:p w14:paraId="07049A01" w14:textId="77777777" w:rsidR="00D170E5" w:rsidRPr="002B55E9" w:rsidRDefault="00EF27AD">
            <w:pPr>
              <w:pStyle w:val="affff6"/>
            </w:pPr>
            <w:r w:rsidRPr="002B55E9">
              <w:t>序号</w:t>
            </w:r>
          </w:p>
        </w:tc>
        <w:tc>
          <w:tcPr>
            <w:tcW w:w="2125" w:type="dxa"/>
            <w:tcBorders>
              <w:bottom w:val="single" w:sz="12" w:space="0" w:color="auto"/>
            </w:tcBorders>
            <w:vAlign w:val="center"/>
          </w:tcPr>
          <w:p w14:paraId="5694C2EC" w14:textId="77777777" w:rsidR="00D170E5" w:rsidRPr="002B55E9" w:rsidRDefault="00EF27AD">
            <w:pPr>
              <w:pStyle w:val="affff6"/>
            </w:pPr>
            <w:r w:rsidRPr="002B55E9">
              <w:t>整体声源</w:t>
            </w:r>
          </w:p>
        </w:tc>
        <w:tc>
          <w:tcPr>
            <w:tcW w:w="2282" w:type="dxa"/>
            <w:tcBorders>
              <w:bottom w:val="single" w:sz="12" w:space="0" w:color="auto"/>
            </w:tcBorders>
            <w:vAlign w:val="center"/>
          </w:tcPr>
          <w:p w14:paraId="2406B82B" w14:textId="77777777" w:rsidR="00D170E5" w:rsidRPr="002B55E9" w:rsidRDefault="00EF27AD">
            <w:pPr>
              <w:pStyle w:val="affff6"/>
            </w:pPr>
            <w:r w:rsidRPr="002B55E9">
              <w:rPr>
                <w:rFonts w:hint="eastAsia"/>
              </w:rPr>
              <w:t>主要声源设备</w:t>
            </w:r>
          </w:p>
        </w:tc>
        <w:tc>
          <w:tcPr>
            <w:tcW w:w="1906" w:type="dxa"/>
            <w:tcBorders>
              <w:bottom w:val="single" w:sz="12" w:space="0" w:color="auto"/>
            </w:tcBorders>
            <w:vAlign w:val="center"/>
          </w:tcPr>
          <w:p w14:paraId="30D41AB2" w14:textId="77777777" w:rsidR="00D170E5" w:rsidRPr="002B55E9" w:rsidRDefault="00EF27AD">
            <w:pPr>
              <w:pStyle w:val="affff6"/>
            </w:pPr>
            <w:r w:rsidRPr="002B55E9">
              <w:rPr>
                <w:rFonts w:hint="eastAsia"/>
              </w:rPr>
              <w:t>声源强度</w:t>
            </w:r>
            <w:r w:rsidRPr="002B55E9">
              <w:t>dB</w:t>
            </w:r>
            <w:r w:rsidRPr="002B55E9">
              <w:rPr>
                <w:rFonts w:hint="eastAsia"/>
              </w:rPr>
              <w:t>（</w:t>
            </w:r>
            <w:r w:rsidRPr="002B55E9">
              <w:rPr>
                <w:rFonts w:hint="eastAsia"/>
              </w:rPr>
              <w:t>A</w:t>
            </w:r>
            <w:r w:rsidRPr="002B55E9">
              <w:rPr>
                <w:rFonts w:hint="eastAsia"/>
              </w:rPr>
              <w:t>）</w:t>
            </w:r>
          </w:p>
        </w:tc>
        <w:tc>
          <w:tcPr>
            <w:tcW w:w="2053" w:type="dxa"/>
            <w:tcBorders>
              <w:bottom w:val="single" w:sz="12" w:space="0" w:color="auto"/>
            </w:tcBorders>
            <w:vAlign w:val="center"/>
          </w:tcPr>
          <w:p w14:paraId="5410E6AB" w14:textId="77777777" w:rsidR="00D170E5" w:rsidRPr="002B55E9" w:rsidRDefault="00EF27AD">
            <w:pPr>
              <w:pStyle w:val="affff6"/>
            </w:pPr>
            <w:r w:rsidRPr="002B55E9">
              <w:rPr>
                <w:rFonts w:hint="eastAsia"/>
              </w:rPr>
              <w:t>拟采取的措施</w:t>
            </w:r>
          </w:p>
        </w:tc>
      </w:tr>
      <w:tr w:rsidR="002B55E9" w:rsidRPr="002B55E9" w14:paraId="1CF19B4B" w14:textId="77777777">
        <w:trPr>
          <w:trHeight w:val="284"/>
        </w:trPr>
        <w:tc>
          <w:tcPr>
            <w:tcW w:w="1418" w:type="dxa"/>
            <w:tcBorders>
              <w:top w:val="single" w:sz="12" w:space="0" w:color="auto"/>
            </w:tcBorders>
            <w:vAlign w:val="center"/>
          </w:tcPr>
          <w:p w14:paraId="4667752E" w14:textId="77777777" w:rsidR="00D170E5" w:rsidRPr="002B55E9" w:rsidRDefault="00EF27AD">
            <w:pPr>
              <w:pStyle w:val="affff6"/>
            </w:pPr>
            <w:r w:rsidRPr="002B55E9">
              <w:rPr>
                <w:rFonts w:hint="eastAsia"/>
              </w:rPr>
              <w:t>1</w:t>
            </w:r>
          </w:p>
        </w:tc>
        <w:tc>
          <w:tcPr>
            <w:tcW w:w="2125" w:type="dxa"/>
            <w:vMerge w:val="restart"/>
            <w:tcBorders>
              <w:top w:val="single" w:sz="12" w:space="0" w:color="auto"/>
            </w:tcBorders>
            <w:vAlign w:val="center"/>
          </w:tcPr>
          <w:p w14:paraId="0A074DDD" w14:textId="46B518F8" w:rsidR="00D170E5" w:rsidRPr="002B55E9" w:rsidRDefault="00EF27AD">
            <w:pPr>
              <w:pStyle w:val="affff6"/>
            </w:pPr>
            <w:r w:rsidRPr="002B55E9">
              <w:rPr>
                <w:rFonts w:hint="eastAsia"/>
              </w:rPr>
              <w:t>十三车间</w:t>
            </w:r>
            <w:r w:rsidR="00FE7EE8" w:rsidRPr="002B55E9">
              <w:rPr>
                <w:rFonts w:hint="eastAsia"/>
              </w:rPr>
              <w:t>（室内）</w:t>
            </w:r>
          </w:p>
        </w:tc>
        <w:tc>
          <w:tcPr>
            <w:tcW w:w="2282" w:type="dxa"/>
            <w:tcBorders>
              <w:top w:val="single" w:sz="12" w:space="0" w:color="auto"/>
              <w:bottom w:val="single" w:sz="4" w:space="0" w:color="auto"/>
            </w:tcBorders>
            <w:vAlign w:val="center"/>
          </w:tcPr>
          <w:p w14:paraId="5542DD31" w14:textId="77777777" w:rsidR="00D170E5" w:rsidRPr="002B55E9" w:rsidRDefault="00EF27AD">
            <w:pPr>
              <w:pStyle w:val="affff6"/>
            </w:pPr>
            <w:r w:rsidRPr="002B55E9">
              <w:rPr>
                <w:rFonts w:hint="eastAsia"/>
              </w:rPr>
              <w:t>粉碎机</w:t>
            </w:r>
          </w:p>
        </w:tc>
        <w:tc>
          <w:tcPr>
            <w:tcW w:w="1906" w:type="dxa"/>
            <w:tcBorders>
              <w:top w:val="single" w:sz="12" w:space="0" w:color="auto"/>
              <w:bottom w:val="single" w:sz="4" w:space="0" w:color="auto"/>
            </w:tcBorders>
            <w:vAlign w:val="center"/>
          </w:tcPr>
          <w:p w14:paraId="012C8CB4" w14:textId="77777777" w:rsidR="00D170E5" w:rsidRPr="002B55E9" w:rsidRDefault="00EF27AD">
            <w:pPr>
              <w:pStyle w:val="affff6"/>
            </w:pPr>
            <w:r w:rsidRPr="002B55E9">
              <w:rPr>
                <w:rFonts w:hint="eastAsia"/>
              </w:rPr>
              <w:t>~</w:t>
            </w:r>
            <w:r w:rsidRPr="002B55E9">
              <w:t>70</w:t>
            </w:r>
          </w:p>
        </w:tc>
        <w:tc>
          <w:tcPr>
            <w:tcW w:w="2053" w:type="dxa"/>
            <w:vMerge w:val="restart"/>
            <w:tcBorders>
              <w:top w:val="single" w:sz="12" w:space="0" w:color="auto"/>
            </w:tcBorders>
            <w:vAlign w:val="center"/>
          </w:tcPr>
          <w:p w14:paraId="251E7816" w14:textId="77777777" w:rsidR="00D170E5" w:rsidRPr="002B55E9" w:rsidRDefault="00EF27AD">
            <w:pPr>
              <w:pStyle w:val="affff6"/>
            </w:pPr>
            <w:r w:rsidRPr="002B55E9">
              <w:rPr>
                <w:rFonts w:hint="eastAsia"/>
              </w:rPr>
              <w:t>选用低噪声设备、整体隔声罩、墙体隔声、安装消声器等</w:t>
            </w:r>
          </w:p>
        </w:tc>
      </w:tr>
      <w:tr w:rsidR="002B55E9" w:rsidRPr="002B55E9" w14:paraId="4BEDE128" w14:textId="77777777">
        <w:trPr>
          <w:trHeight w:val="284"/>
        </w:trPr>
        <w:tc>
          <w:tcPr>
            <w:tcW w:w="1418" w:type="dxa"/>
            <w:vAlign w:val="center"/>
          </w:tcPr>
          <w:p w14:paraId="7BDF4D2B" w14:textId="77777777" w:rsidR="00D170E5" w:rsidRPr="002B55E9" w:rsidRDefault="00EF27AD">
            <w:pPr>
              <w:pStyle w:val="affff6"/>
            </w:pPr>
            <w:r w:rsidRPr="002B55E9">
              <w:rPr>
                <w:rFonts w:hint="eastAsia"/>
              </w:rPr>
              <w:t>3</w:t>
            </w:r>
          </w:p>
        </w:tc>
        <w:tc>
          <w:tcPr>
            <w:tcW w:w="2125" w:type="dxa"/>
            <w:vMerge/>
            <w:vAlign w:val="center"/>
          </w:tcPr>
          <w:p w14:paraId="40A066AA" w14:textId="77777777" w:rsidR="00D170E5" w:rsidRPr="002B55E9" w:rsidRDefault="00D170E5">
            <w:pPr>
              <w:pStyle w:val="affff6"/>
            </w:pPr>
          </w:p>
        </w:tc>
        <w:tc>
          <w:tcPr>
            <w:tcW w:w="2282" w:type="dxa"/>
            <w:vAlign w:val="center"/>
          </w:tcPr>
          <w:p w14:paraId="648F698A" w14:textId="77777777" w:rsidR="00D170E5" w:rsidRPr="002B55E9" w:rsidRDefault="00EF27AD">
            <w:pPr>
              <w:pStyle w:val="affff6"/>
            </w:pPr>
            <w:r w:rsidRPr="002B55E9">
              <w:rPr>
                <w:rFonts w:hint="eastAsia"/>
              </w:rPr>
              <w:t>过滤机</w:t>
            </w:r>
          </w:p>
        </w:tc>
        <w:tc>
          <w:tcPr>
            <w:tcW w:w="1906" w:type="dxa"/>
            <w:vAlign w:val="center"/>
          </w:tcPr>
          <w:p w14:paraId="6CD0AE8B" w14:textId="77777777" w:rsidR="00D170E5" w:rsidRPr="002B55E9" w:rsidRDefault="00EF27AD">
            <w:pPr>
              <w:pStyle w:val="affff6"/>
            </w:pPr>
            <w:r w:rsidRPr="002B55E9">
              <w:rPr>
                <w:rFonts w:hint="eastAsia"/>
              </w:rPr>
              <w:t>~65</w:t>
            </w:r>
          </w:p>
        </w:tc>
        <w:tc>
          <w:tcPr>
            <w:tcW w:w="2053" w:type="dxa"/>
            <w:vMerge/>
            <w:vAlign w:val="center"/>
          </w:tcPr>
          <w:p w14:paraId="1CC4FB6A" w14:textId="77777777" w:rsidR="00D170E5" w:rsidRPr="002B55E9" w:rsidRDefault="00D170E5">
            <w:pPr>
              <w:pStyle w:val="affff6"/>
            </w:pPr>
          </w:p>
        </w:tc>
      </w:tr>
      <w:tr w:rsidR="002B55E9" w:rsidRPr="002B55E9" w14:paraId="36CA8F22" w14:textId="77777777">
        <w:trPr>
          <w:trHeight w:val="284"/>
        </w:trPr>
        <w:tc>
          <w:tcPr>
            <w:tcW w:w="1418" w:type="dxa"/>
            <w:vAlign w:val="center"/>
          </w:tcPr>
          <w:p w14:paraId="7FE39897" w14:textId="77777777" w:rsidR="00D170E5" w:rsidRPr="002B55E9" w:rsidRDefault="00EF27AD">
            <w:pPr>
              <w:pStyle w:val="affff6"/>
            </w:pPr>
            <w:r w:rsidRPr="002B55E9">
              <w:rPr>
                <w:rFonts w:hint="eastAsia"/>
              </w:rPr>
              <w:t>4</w:t>
            </w:r>
          </w:p>
        </w:tc>
        <w:tc>
          <w:tcPr>
            <w:tcW w:w="2125" w:type="dxa"/>
            <w:vMerge/>
            <w:vAlign w:val="center"/>
          </w:tcPr>
          <w:p w14:paraId="5961C99F" w14:textId="77777777" w:rsidR="00D170E5" w:rsidRPr="002B55E9" w:rsidRDefault="00D170E5">
            <w:pPr>
              <w:pStyle w:val="affff6"/>
            </w:pPr>
          </w:p>
        </w:tc>
        <w:tc>
          <w:tcPr>
            <w:tcW w:w="2282" w:type="dxa"/>
            <w:vAlign w:val="center"/>
          </w:tcPr>
          <w:p w14:paraId="1780C0D7" w14:textId="77777777" w:rsidR="00D170E5" w:rsidRPr="002B55E9" w:rsidRDefault="00EF27AD">
            <w:pPr>
              <w:pStyle w:val="affff6"/>
            </w:pPr>
            <w:r w:rsidRPr="002B55E9">
              <w:rPr>
                <w:rFonts w:hint="eastAsia"/>
              </w:rPr>
              <w:t>压滤机</w:t>
            </w:r>
          </w:p>
        </w:tc>
        <w:tc>
          <w:tcPr>
            <w:tcW w:w="1906" w:type="dxa"/>
            <w:vAlign w:val="center"/>
          </w:tcPr>
          <w:p w14:paraId="4172B70C" w14:textId="77777777" w:rsidR="00D170E5" w:rsidRPr="002B55E9" w:rsidRDefault="00EF27AD">
            <w:pPr>
              <w:pStyle w:val="affff6"/>
            </w:pPr>
            <w:r w:rsidRPr="002B55E9">
              <w:rPr>
                <w:rFonts w:hint="eastAsia"/>
              </w:rPr>
              <w:t>~70</w:t>
            </w:r>
          </w:p>
        </w:tc>
        <w:tc>
          <w:tcPr>
            <w:tcW w:w="2053" w:type="dxa"/>
            <w:vMerge/>
            <w:vAlign w:val="center"/>
          </w:tcPr>
          <w:p w14:paraId="68E51103" w14:textId="77777777" w:rsidR="00D170E5" w:rsidRPr="002B55E9" w:rsidRDefault="00D170E5">
            <w:pPr>
              <w:pStyle w:val="affff6"/>
            </w:pPr>
          </w:p>
        </w:tc>
      </w:tr>
      <w:tr w:rsidR="002B55E9" w:rsidRPr="002B55E9" w14:paraId="172F9FF1" w14:textId="77777777">
        <w:trPr>
          <w:trHeight w:val="284"/>
        </w:trPr>
        <w:tc>
          <w:tcPr>
            <w:tcW w:w="1418" w:type="dxa"/>
            <w:vAlign w:val="center"/>
          </w:tcPr>
          <w:p w14:paraId="293AC037" w14:textId="7B77E081" w:rsidR="00FE7EE8" w:rsidRPr="002B55E9" w:rsidRDefault="00FE7EE8">
            <w:pPr>
              <w:pStyle w:val="affff6"/>
            </w:pPr>
            <w:r w:rsidRPr="002B55E9">
              <w:rPr>
                <w:rFonts w:hint="eastAsia"/>
              </w:rPr>
              <w:t>5</w:t>
            </w:r>
          </w:p>
        </w:tc>
        <w:tc>
          <w:tcPr>
            <w:tcW w:w="2125" w:type="dxa"/>
            <w:vMerge w:val="restart"/>
            <w:vAlign w:val="center"/>
          </w:tcPr>
          <w:p w14:paraId="4DECB67A" w14:textId="6EE19D1D" w:rsidR="00FE7EE8" w:rsidRPr="002B55E9" w:rsidRDefault="00FE7EE8">
            <w:pPr>
              <w:pStyle w:val="affff6"/>
            </w:pPr>
            <w:r w:rsidRPr="002B55E9">
              <w:rPr>
                <w:rFonts w:hint="eastAsia"/>
              </w:rPr>
              <w:t>十三车间（屋顶）</w:t>
            </w:r>
          </w:p>
        </w:tc>
        <w:tc>
          <w:tcPr>
            <w:tcW w:w="2282" w:type="dxa"/>
            <w:vAlign w:val="center"/>
          </w:tcPr>
          <w:p w14:paraId="0D213E84" w14:textId="46EDD92D" w:rsidR="00FE7EE8" w:rsidRPr="002B55E9" w:rsidRDefault="00FE7EE8">
            <w:pPr>
              <w:pStyle w:val="affff6"/>
            </w:pPr>
            <w:r w:rsidRPr="002B55E9">
              <w:rPr>
                <w:rFonts w:hint="eastAsia"/>
              </w:rPr>
              <w:t>风机</w:t>
            </w:r>
          </w:p>
        </w:tc>
        <w:tc>
          <w:tcPr>
            <w:tcW w:w="1906" w:type="dxa"/>
            <w:vAlign w:val="center"/>
          </w:tcPr>
          <w:p w14:paraId="4F67F969" w14:textId="13CE9B31" w:rsidR="00FE7EE8" w:rsidRPr="002B55E9" w:rsidRDefault="00FE7EE8">
            <w:pPr>
              <w:pStyle w:val="affff6"/>
            </w:pPr>
            <w:r w:rsidRPr="002B55E9">
              <w:rPr>
                <w:rFonts w:hint="eastAsia"/>
              </w:rPr>
              <w:t>~70</w:t>
            </w:r>
          </w:p>
        </w:tc>
        <w:tc>
          <w:tcPr>
            <w:tcW w:w="2053" w:type="dxa"/>
            <w:vMerge/>
            <w:vAlign w:val="center"/>
          </w:tcPr>
          <w:p w14:paraId="62D81878" w14:textId="77777777" w:rsidR="00FE7EE8" w:rsidRPr="002B55E9" w:rsidRDefault="00FE7EE8">
            <w:pPr>
              <w:pStyle w:val="affff6"/>
            </w:pPr>
          </w:p>
        </w:tc>
      </w:tr>
      <w:tr w:rsidR="002B55E9" w:rsidRPr="002B55E9" w14:paraId="12F7C6C3" w14:textId="77777777">
        <w:trPr>
          <w:trHeight w:val="284"/>
        </w:trPr>
        <w:tc>
          <w:tcPr>
            <w:tcW w:w="1418" w:type="dxa"/>
            <w:vAlign w:val="center"/>
          </w:tcPr>
          <w:p w14:paraId="42126E3D" w14:textId="40ECB418" w:rsidR="00FE7EE8" w:rsidRPr="002B55E9" w:rsidRDefault="00FE7EE8">
            <w:pPr>
              <w:pStyle w:val="affff6"/>
            </w:pPr>
            <w:r w:rsidRPr="002B55E9">
              <w:rPr>
                <w:rFonts w:hint="eastAsia"/>
              </w:rPr>
              <w:t>6</w:t>
            </w:r>
          </w:p>
        </w:tc>
        <w:tc>
          <w:tcPr>
            <w:tcW w:w="2125" w:type="dxa"/>
            <w:vMerge/>
            <w:vAlign w:val="center"/>
          </w:tcPr>
          <w:p w14:paraId="581BE084" w14:textId="77777777" w:rsidR="00FE7EE8" w:rsidRPr="002B55E9" w:rsidRDefault="00FE7EE8">
            <w:pPr>
              <w:pStyle w:val="affff6"/>
            </w:pPr>
          </w:p>
        </w:tc>
        <w:tc>
          <w:tcPr>
            <w:tcW w:w="2282" w:type="dxa"/>
            <w:vAlign w:val="center"/>
          </w:tcPr>
          <w:p w14:paraId="4081174C" w14:textId="2DB166E5" w:rsidR="00FE7EE8" w:rsidRPr="002B55E9" w:rsidRDefault="00FE7EE8">
            <w:pPr>
              <w:pStyle w:val="affff6"/>
            </w:pPr>
            <w:r w:rsidRPr="002B55E9">
              <w:rPr>
                <w:rFonts w:hint="eastAsia"/>
              </w:rPr>
              <w:t>水泵</w:t>
            </w:r>
          </w:p>
        </w:tc>
        <w:tc>
          <w:tcPr>
            <w:tcW w:w="1906" w:type="dxa"/>
            <w:vAlign w:val="center"/>
          </w:tcPr>
          <w:p w14:paraId="3367954D" w14:textId="7824673C" w:rsidR="00FE7EE8" w:rsidRPr="002B55E9" w:rsidRDefault="00FE7EE8">
            <w:pPr>
              <w:pStyle w:val="affff6"/>
            </w:pPr>
            <w:r w:rsidRPr="002B55E9">
              <w:rPr>
                <w:rFonts w:hint="eastAsia"/>
              </w:rPr>
              <w:t>~70</w:t>
            </w:r>
          </w:p>
        </w:tc>
        <w:tc>
          <w:tcPr>
            <w:tcW w:w="2053" w:type="dxa"/>
            <w:vMerge/>
            <w:vAlign w:val="center"/>
          </w:tcPr>
          <w:p w14:paraId="27D78AE2" w14:textId="77777777" w:rsidR="00FE7EE8" w:rsidRPr="002B55E9" w:rsidRDefault="00FE7EE8">
            <w:pPr>
              <w:pStyle w:val="affff6"/>
            </w:pPr>
          </w:p>
        </w:tc>
      </w:tr>
      <w:tr w:rsidR="002B55E9" w:rsidRPr="002B55E9" w14:paraId="1940BC34" w14:textId="77777777">
        <w:trPr>
          <w:trHeight w:val="284"/>
        </w:trPr>
        <w:tc>
          <w:tcPr>
            <w:tcW w:w="1418" w:type="dxa"/>
            <w:vAlign w:val="center"/>
          </w:tcPr>
          <w:p w14:paraId="13E1EC89" w14:textId="53C5C0AE" w:rsidR="00FE7EE8" w:rsidRPr="002B55E9" w:rsidRDefault="00FE7EE8">
            <w:pPr>
              <w:pStyle w:val="affff6"/>
            </w:pPr>
            <w:r w:rsidRPr="002B55E9">
              <w:rPr>
                <w:rFonts w:hint="eastAsia"/>
              </w:rPr>
              <w:t>7</w:t>
            </w:r>
          </w:p>
        </w:tc>
        <w:tc>
          <w:tcPr>
            <w:tcW w:w="2125" w:type="dxa"/>
            <w:vMerge w:val="restart"/>
            <w:vAlign w:val="center"/>
          </w:tcPr>
          <w:p w14:paraId="5D3C0DCC" w14:textId="0FBFEA3E" w:rsidR="00FE7EE8" w:rsidRPr="002B55E9" w:rsidRDefault="00FE7EE8">
            <w:pPr>
              <w:pStyle w:val="affff6"/>
            </w:pPr>
            <w:r w:rsidRPr="002B55E9">
              <w:rPr>
                <w:rFonts w:hint="eastAsia"/>
              </w:rPr>
              <w:t>十一</w:t>
            </w:r>
            <w:r w:rsidRPr="002B55E9">
              <w:t>车间</w:t>
            </w:r>
            <w:r w:rsidRPr="002B55E9">
              <w:rPr>
                <w:rFonts w:hint="eastAsia"/>
              </w:rPr>
              <w:t>（室内）</w:t>
            </w:r>
          </w:p>
        </w:tc>
        <w:tc>
          <w:tcPr>
            <w:tcW w:w="2282" w:type="dxa"/>
            <w:vAlign w:val="center"/>
          </w:tcPr>
          <w:p w14:paraId="63EA36A1" w14:textId="77777777" w:rsidR="00FE7EE8" w:rsidRPr="002B55E9" w:rsidRDefault="00FE7EE8">
            <w:pPr>
              <w:pStyle w:val="affff6"/>
            </w:pPr>
            <w:r w:rsidRPr="002B55E9">
              <w:rPr>
                <w:rFonts w:hint="eastAsia"/>
              </w:rPr>
              <w:t>灌装机</w:t>
            </w:r>
          </w:p>
        </w:tc>
        <w:tc>
          <w:tcPr>
            <w:tcW w:w="1906" w:type="dxa"/>
            <w:vAlign w:val="center"/>
          </w:tcPr>
          <w:p w14:paraId="2B3EB16E" w14:textId="77777777" w:rsidR="00FE7EE8" w:rsidRPr="002B55E9" w:rsidRDefault="00FE7EE8">
            <w:pPr>
              <w:pStyle w:val="affff6"/>
            </w:pPr>
            <w:r w:rsidRPr="002B55E9">
              <w:rPr>
                <w:rFonts w:hint="eastAsia"/>
              </w:rPr>
              <w:t>~65</w:t>
            </w:r>
          </w:p>
        </w:tc>
        <w:tc>
          <w:tcPr>
            <w:tcW w:w="2053" w:type="dxa"/>
            <w:vMerge/>
            <w:vAlign w:val="center"/>
          </w:tcPr>
          <w:p w14:paraId="1F2994DE" w14:textId="77777777" w:rsidR="00FE7EE8" w:rsidRPr="002B55E9" w:rsidRDefault="00FE7EE8">
            <w:pPr>
              <w:pStyle w:val="affff6"/>
            </w:pPr>
          </w:p>
        </w:tc>
      </w:tr>
      <w:tr w:rsidR="002B55E9" w:rsidRPr="002B55E9" w14:paraId="44D2DB79" w14:textId="77777777">
        <w:trPr>
          <w:trHeight w:val="284"/>
        </w:trPr>
        <w:tc>
          <w:tcPr>
            <w:tcW w:w="1418" w:type="dxa"/>
            <w:vAlign w:val="center"/>
          </w:tcPr>
          <w:p w14:paraId="1892D91E" w14:textId="647DA362" w:rsidR="00FE7EE8" w:rsidRPr="002B55E9" w:rsidRDefault="00FE7EE8">
            <w:pPr>
              <w:pStyle w:val="affff6"/>
            </w:pPr>
            <w:r w:rsidRPr="002B55E9">
              <w:rPr>
                <w:rFonts w:hint="eastAsia"/>
              </w:rPr>
              <w:t>8</w:t>
            </w:r>
          </w:p>
        </w:tc>
        <w:tc>
          <w:tcPr>
            <w:tcW w:w="2125" w:type="dxa"/>
            <w:vMerge/>
            <w:vAlign w:val="center"/>
          </w:tcPr>
          <w:p w14:paraId="54A001C1" w14:textId="77777777" w:rsidR="00FE7EE8" w:rsidRPr="002B55E9" w:rsidRDefault="00FE7EE8">
            <w:pPr>
              <w:pStyle w:val="affff6"/>
            </w:pPr>
          </w:p>
        </w:tc>
        <w:tc>
          <w:tcPr>
            <w:tcW w:w="2282" w:type="dxa"/>
            <w:vAlign w:val="center"/>
          </w:tcPr>
          <w:p w14:paraId="19702940" w14:textId="04C449CE" w:rsidR="00FE7EE8" w:rsidRPr="002B55E9" w:rsidRDefault="00FE7EE8">
            <w:pPr>
              <w:pStyle w:val="affff6"/>
            </w:pPr>
            <w:r w:rsidRPr="002B55E9">
              <w:rPr>
                <w:rFonts w:hint="eastAsia"/>
              </w:rPr>
              <w:t>包装线</w:t>
            </w:r>
          </w:p>
        </w:tc>
        <w:tc>
          <w:tcPr>
            <w:tcW w:w="1906" w:type="dxa"/>
            <w:vAlign w:val="center"/>
          </w:tcPr>
          <w:p w14:paraId="7EEB3172" w14:textId="3D9F1FB9" w:rsidR="00FE7EE8" w:rsidRPr="002B55E9" w:rsidRDefault="00FE7EE8">
            <w:pPr>
              <w:pStyle w:val="affff6"/>
            </w:pPr>
            <w:r w:rsidRPr="002B55E9">
              <w:rPr>
                <w:rFonts w:hint="eastAsia"/>
              </w:rPr>
              <w:t>~65</w:t>
            </w:r>
          </w:p>
        </w:tc>
        <w:tc>
          <w:tcPr>
            <w:tcW w:w="2053" w:type="dxa"/>
            <w:vMerge/>
            <w:vAlign w:val="center"/>
          </w:tcPr>
          <w:p w14:paraId="1FD4E145" w14:textId="77777777" w:rsidR="00FE7EE8" w:rsidRPr="002B55E9" w:rsidRDefault="00FE7EE8">
            <w:pPr>
              <w:pStyle w:val="affff6"/>
            </w:pPr>
          </w:p>
        </w:tc>
      </w:tr>
      <w:tr w:rsidR="002B55E9" w:rsidRPr="002B55E9" w14:paraId="73B42786" w14:textId="77777777">
        <w:trPr>
          <w:trHeight w:val="284"/>
        </w:trPr>
        <w:tc>
          <w:tcPr>
            <w:tcW w:w="1418" w:type="dxa"/>
            <w:vAlign w:val="center"/>
          </w:tcPr>
          <w:p w14:paraId="6380C92A" w14:textId="517BA92F" w:rsidR="00FE7EE8" w:rsidRPr="002B55E9" w:rsidRDefault="00FE7EE8">
            <w:pPr>
              <w:pStyle w:val="affff6"/>
            </w:pPr>
            <w:r w:rsidRPr="002B55E9">
              <w:t>8</w:t>
            </w:r>
          </w:p>
        </w:tc>
        <w:tc>
          <w:tcPr>
            <w:tcW w:w="2125" w:type="dxa"/>
            <w:vMerge/>
            <w:vAlign w:val="center"/>
          </w:tcPr>
          <w:p w14:paraId="5EB24BE3" w14:textId="77777777" w:rsidR="00FE7EE8" w:rsidRPr="002B55E9" w:rsidRDefault="00FE7EE8">
            <w:pPr>
              <w:pStyle w:val="affff6"/>
            </w:pPr>
          </w:p>
        </w:tc>
        <w:tc>
          <w:tcPr>
            <w:tcW w:w="2282" w:type="dxa"/>
            <w:vAlign w:val="center"/>
          </w:tcPr>
          <w:p w14:paraId="7916386D" w14:textId="77777777" w:rsidR="00FE7EE8" w:rsidRPr="002B55E9" w:rsidRDefault="00FE7EE8">
            <w:pPr>
              <w:pStyle w:val="affff6"/>
            </w:pPr>
            <w:r w:rsidRPr="002B55E9">
              <w:rPr>
                <w:rFonts w:hint="eastAsia"/>
              </w:rPr>
              <w:t>冷水机</w:t>
            </w:r>
          </w:p>
        </w:tc>
        <w:tc>
          <w:tcPr>
            <w:tcW w:w="1906" w:type="dxa"/>
            <w:vAlign w:val="center"/>
          </w:tcPr>
          <w:p w14:paraId="647F9C31" w14:textId="77777777" w:rsidR="00FE7EE8" w:rsidRPr="002B55E9" w:rsidRDefault="00FE7EE8">
            <w:pPr>
              <w:pStyle w:val="affff6"/>
            </w:pPr>
            <w:r w:rsidRPr="002B55E9">
              <w:rPr>
                <w:rFonts w:hint="eastAsia"/>
              </w:rPr>
              <w:t>~70</w:t>
            </w:r>
          </w:p>
        </w:tc>
        <w:tc>
          <w:tcPr>
            <w:tcW w:w="2053" w:type="dxa"/>
            <w:vMerge/>
            <w:vAlign w:val="center"/>
          </w:tcPr>
          <w:p w14:paraId="0E97E18A" w14:textId="77777777" w:rsidR="00FE7EE8" w:rsidRPr="002B55E9" w:rsidRDefault="00FE7EE8">
            <w:pPr>
              <w:pStyle w:val="affff6"/>
            </w:pPr>
          </w:p>
        </w:tc>
      </w:tr>
      <w:tr w:rsidR="002B55E9" w:rsidRPr="002B55E9" w14:paraId="459AEF3B" w14:textId="77777777">
        <w:trPr>
          <w:trHeight w:val="284"/>
        </w:trPr>
        <w:tc>
          <w:tcPr>
            <w:tcW w:w="1418" w:type="dxa"/>
            <w:vAlign w:val="center"/>
          </w:tcPr>
          <w:p w14:paraId="615D28F4" w14:textId="2118FF1C" w:rsidR="00FE7EE8" w:rsidRPr="002B55E9" w:rsidRDefault="00FE7EE8">
            <w:pPr>
              <w:pStyle w:val="affff6"/>
            </w:pPr>
            <w:r w:rsidRPr="002B55E9">
              <w:t>10</w:t>
            </w:r>
          </w:p>
        </w:tc>
        <w:tc>
          <w:tcPr>
            <w:tcW w:w="2125" w:type="dxa"/>
            <w:vMerge w:val="restart"/>
            <w:vAlign w:val="center"/>
          </w:tcPr>
          <w:p w14:paraId="4DF8FA6C" w14:textId="767022A4" w:rsidR="00FE7EE8" w:rsidRPr="002B55E9" w:rsidRDefault="00FE7EE8">
            <w:pPr>
              <w:pStyle w:val="affff6"/>
            </w:pPr>
            <w:r w:rsidRPr="002B55E9">
              <w:rPr>
                <w:rFonts w:hint="eastAsia"/>
              </w:rPr>
              <w:t>十一</w:t>
            </w:r>
            <w:r w:rsidRPr="002B55E9">
              <w:t>车间</w:t>
            </w:r>
            <w:r w:rsidRPr="002B55E9">
              <w:rPr>
                <w:rFonts w:hint="eastAsia"/>
              </w:rPr>
              <w:t>（屋顶）</w:t>
            </w:r>
          </w:p>
        </w:tc>
        <w:tc>
          <w:tcPr>
            <w:tcW w:w="2282" w:type="dxa"/>
            <w:vAlign w:val="center"/>
          </w:tcPr>
          <w:p w14:paraId="63ABDCA5" w14:textId="77777777" w:rsidR="00FE7EE8" w:rsidRPr="002B55E9" w:rsidRDefault="00FE7EE8">
            <w:pPr>
              <w:pStyle w:val="affff6"/>
            </w:pPr>
            <w:r w:rsidRPr="002B55E9">
              <w:rPr>
                <w:rFonts w:hint="eastAsia"/>
              </w:rPr>
              <w:t>冷却塔</w:t>
            </w:r>
          </w:p>
        </w:tc>
        <w:tc>
          <w:tcPr>
            <w:tcW w:w="1906" w:type="dxa"/>
            <w:vAlign w:val="center"/>
          </w:tcPr>
          <w:p w14:paraId="533C96DC" w14:textId="77777777" w:rsidR="00FE7EE8" w:rsidRPr="002B55E9" w:rsidRDefault="00FE7EE8">
            <w:pPr>
              <w:pStyle w:val="affff6"/>
            </w:pPr>
            <w:r w:rsidRPr="002B55E9">
              <w:rPr>
                <w:rFonts w:hint="eastAsia"/>
              </w:rPr>
              <w:t>~</w:t>
            </w:r>
            <w:r w:rsidRPr="002B55E9">
              <w:t>80</w:t>
            </w:r>
          </w:p>
        </w:tc>
        <w:tc>
          <w:tcPr>
            <w:tcW w:w="2053" w:type="dxa"/>
            <w:vMerge/>
            <w:vAlign w:val="center"/>
          </w:tcPr>
          <w:p w14:paraId="5674457F" w14:textId="77777777" w:rsidR="00FE7EE8" w:rsidRPr="002B55E9" w:rsidRDefault="00FE7EE8">
            <w:pPr>
              <w:pStyle w:val="affff6"/>
            </w:pPr>
          </w:p>
        </w:tc>
      </w:tr>
      <w:tr w:rsidR="002B55E9" w:rsidRPr="002B55E9" w14:paraId="3F9246CC" w14:textId="77777777">
        <w:trPr>
          <w:trHeight w:val="284"/>
        </w:trPr>
        <w:tc>
          <w:tcPr>
            <w:tcW w:w="1418" w:type="dxa"/>
            <w:vAlign w:val="center"/>
          </w:tcPr>
          <w:p w14:paraId="6CEA904F" w14:textId="29403F65" w:rsidR="00FE7EE8" w:rsidRPr="002B55E9" w:rsidRDefault="00FE7EE8">
            <w:pPr>
              <w:pStyle w:val="affff6"/>
            </w:pPr>
            <w:r w:rsidRPr="002B55E9">
              <w:rPr>
                <w:rFonts w:hint="eastAsia"/>
              </w:rPr>
              <w:t>1</w:t>
            </w:r>
            <w:r w:rsidRPr="002B55E9">
              <w:t>1</w:t>
            </w:r>
          </w:p>
        </w:tc>
        <w:tc>
          <w:tcPr>
            <w:tcW w:w="2125" w:type="dxa"/>
            <w:vMerge/>
            <w:vAlign w:val="center"/>
          </w:tcPr>
          <w:p w14:paraId="7DAF1763" w14:textId="77777777" w:rsidR="00FE7EE8" w:rsidRPr="002B55E9" w:rsidRDefault="00FE7EE8">
            <w:pPr>
              <w:pStyle w:val="affff6"/>
            </w:pPr>
          </w:p>
        </w:tc>
        <w:tc>
          <w:tcPr>
            <w:tcW w:w="2282" w:type="dxa"/>
            <w:vAlign w:val="center"/>
          </w:tcPr>
          <w:p w14:paraId="4121385C" w14:textId="69B2D36D" w:rsidR="00FE7EE8" w:rsidRPr="002B55E9" w:rsidRDefault="00FE7EE8">
            <w:pPr>
              <w:pStyle w:val="affff6"/>
            </w:pPr>
            <w:r w:rsidRPr="002B55E9">
              <w:rPr>
                <w:rFonts w:hint="eastAsia"/>
              </w:rPr>
              <w:t>风机</w:t>
            </w:r>
          </w:p>
        </w:tc>
        <w:tc>
          <w:tcPr>
            <w:tcW w:w="1906" w:type="dxa"/>
            <w:vAlign w:val="center"/>
          </w:tcPr>
          <w:p w14:paraId="327C03F4" w14:textId="094B13B6" w:rsidR="00FE7EE8" w:rsidRPr="002B55E9" w:rsidRDefault="00FE7EE8">
            <w:pPr>
              <w:pStyle w:val="affff6"/>
            </w:pPr>
            <w:r w:rsidRPr="002B55E9">
              <w:rPr>
                <w:rFonts w:hint="eastAsia"/>
              </w:rPr>
              <w:t>~70</w:t>
            </w:r>
          </w:p>
        </w:tc>
        <w:tc>
          <w:tcPr>
            <w:tcW w:w="2053" w:type="dxa"/>
            <w:vMerge/>
            <w:vAlign w:val="center"/>
          </w:tcPr>
          <w:p w14:paraId="5AB07C02" w14:textId="77777777" w:rsidR="00FE7EE8" w:rsidRPr="002B55E9" w:rsidRDefault="00FE7EE8">
            <w:pPr>
              <w:pStyle w:val="affff6"/>
            </w:pPr>
          </w:p>
        </w:tc>
      </w:tr>
      <w:tr w:rsidR="002B55E9" w:rsidRPr="002B55E9" w14:paraId="4AA6D33C" w14:textId="77777777">
        <w:trPr>
          <w:trHeight w:val="284"/>
        </w:trPr>
        <w:tc>
          <w:tcPr>
            <w:tcW w:w="1418" w:type="dxa"/>
            <w:vAlign w:val="center"/>
          </w:tcPr>
          <w:p w14:paraId="63D878F5" w14:textId="294AC261" w:rsidR="00D170E5" w:rsidRPr="002B55E9" w:rsidRDefault="00FE7EE8">
            <w:pPr>
              <w:pStyle w:val="affff6"/>
            </w:pPr>
            <w:r w:rsidRPr="002B55E9">
              <w:t>12</w:t>
            </w:r>
          </w:p>
        </w:tc>
        <w:tc>
          <w:tcPr>
            <w:tcW w:w="2125" w:type="dxa"/>
            <w:vAlign w:val="center"/>
          </w:tcPr>
          <w:p w14:paraId="02A536A2" w14:textId="77777777" w:rsidR="00D170E5" w:rsidRPr="002B55E9" w:rsidRDefault="00EF27AD">
            <w:pPr>
              <w:pStyle w:val="affff6"/>
            </w:pPr>
            <w:r w:rsidRPr="002B55E9">
              <w:rPr>
                <w:rFonts w:hint="eastAsia"/>
              </w:rPr>
              <w:t>罐区三、</w:t>
            </w:r>
            <w:r w:rsidRPr="002B55E9">
              <w:t>酒精罐区</w:t>
            </w:r>
          </w:p>
        </w:tc>
        <w:tc>
          <w:tcPr>
            <w:tcW w:w="2282" w:type="dxa"/>
            <w:vAlign w:val="center"/>
          </w:tcPr>
          <w:p w14:paraId="172DA059" w14:textId="77777777" w:rsidR="00D170E5" w:rsidRPr="002B55E9" w:rsidRDefault="00EF27AD">
            <w:pPr>
              <w:pStyle w:val="affff6"/>
            </w:pPr>
            <w:r w:rsidRPr="002B55E9">
              <w:rPr>
                <w:rFonts w:hint="eastAsia"/>
              </w:rPr>
              <w:t>泵等</w:t>
            </w:r>
          </w:p>
        </w:tc>
        <w:tc>
          <w:tcPr>
            <w:tcW w:w="1906" w:type="dxa"/>
            <w:vAlign w:val="center"/>
          </w:tcPr>
          <w:p w14:paraId="4C6D325A" w14:textId="77777777" w:rsidR="00D170E5" w:rsidRPr="002B55E9" w:rsidRDefault="00EF27AD">
            <w:pPr>
              <w:pStyle w:val="affff6"/>
            </w:pPr>
            <w:r w:rsidRPr="002B55E9">
              <w:rPr>
                <w:rFonts w:hint="eastAsia"/>
              </w:rPr>
              <w:t>~70</w:t>
            </w:r>
          </w:p>
        </w:tc>
        <w:tc>
          <w:tcPr>
            <w:tcW w:w="2053" w:type="dxa"/>
            <w:vMerge/>
            <w:vAlign w:val="center"/>
          </w:tcPr>
          <w:p w14:paraId="14318422" w14:textId="77777777" w:rsidR="00D170E5" w:rsidRPr="002B55E9" w:rsidRDefault="00D170E5">
            <w:pPr>
              <w:pStyle w:val="affff6"/>
            </w:pPr>
          </w:p>
        </w:tc>
      </w:tr>
    </w:tbl>
    <w:p w14:paraId="7D027830" w14:textId="77777777" w:rsidR="00D170E5" w:rsidRPr="002B55E9" w:rsidRDefault="00EF27AD">
      <w:pPr>
        <w:pStyle w:val="4"/>
        <w:rPr>
          <w:color w:val="auto"/>
        </w:rPr>
      </w:pPr>
      <w:r w:rsidRPr="002B55E9">
        <w:rPr>
          <w:rFonts w:hint="eastAsia"/>
          <w:color w:val="auto"/>
        </w:rPr>
        <w:lastRenderedPageBreak/>
        <w:t>固体废物</w:t>
      </w:r>
    </w:p>
    <w:p w14:paraId="62C9D002" w14:textId="77777777" w:rsidR="00D170E5" w:rsidRPr="002B55E9" w:rsidRDefault="00EF27AD">
      <w:pPr>
        <w:pStyle w:val="aa"/>
        <w:snapToGrid w:val="0"/>
        <w:rPr>
          <w:szCs w:val="24"/>
          <w:lang w:bidi="ne-NP"/>
        </w:rPr>
      </w:pPr>
      <w:r w:rsidRPr="002B55E9">
        <w:rPr>
          <w:rFonts w:hint="eastAsia"/>
          <w:szCs w:val="24"/>
        </w:rPr>
        <w:t>拟建项目产生的固体废物</w:t>
      </w:r>
      <w:r w:rsidRPr="002B55E9">
        <w:rPr>
          <w:szCs w:val="24"/>
          <w:lang w:bidi="ne-NP"/>
        </w:rPr>
        <w:t>可分为</w:t>
      </w:r>
      <w:r w:rsidRPr="002B55E9">
        <w:rPr>
          <w:rFonts w:hint="eastAsia"/>
          <w:szCs w:val="24"/>
          <w:lang w:bidi="ne-NP"/>
        </w:rPr>
        <w:t>生活垃圾、一般工业固废和危险废物三</w:t>
      </w:r>
      <w:r w:rsidRPr="002B55E9">
        <w:rPr>
          <w:szCs w:val="24"/>
          <w:lang w:bidi="ne-NP"/>
        </w:rPr>
        <w:t>大类。</w:t>
      </w:r>
    </w:p>
    <w:p w14:paraId="733DBF41" w14:textId="77777777" w:rsidR="00D170E5" w:rsidRPr="002B55E9" w:rsidRDefault="00EF27AD">
      <w:pPr>
        <w:pStyle w:val="5"/>
        <w:numPr>
          <w:ilvl w:val="4"/>
          <w:numId w:val="20"/>
        </w:numPr>
      </w:pPr>
      <w:r w:rsidRPr="002B55E9">
        <w:rPr>
          <w:rFonts w:hint="eastAsia"/>
        </w:rPr>
        <w:t>生活垃圾</w:t>
      </w:r>
    </w:p>
    <w:p w14:paraId="22DF1B59" w14:textId="77777777" w:rsidR="00D170E5" w:rsidRPr="002B55E9" w:rsidRDefault="00EF27AD">
      <w:pPr>
        <w:pStyle w:val="aa"/>
        <w:snapToGrid w:val="0"/>
        <w:rPr>
          <w:lang w:bidi="ne-NP"/>
        </w:rPr>
      </w:pPr>
      <w:bookmarkStart w:id="164" w:name="_Hlk81409808"/>
      <w:r w:rsidRPr="002B55E9">
        <w:rPr>
          <w:rFonts w:hint="eastAsia"/>
          <w:lang w:bidi="ne-NP"/>
        </w:rPr>
        <w:t>拟建项目劳动定员</w:t>
      </w:r>
      <w:r w:rsidRPr="002B55E9">
        <w:rPr>
          <w:lang w:bidi="ne-NP"/>
        </w:rPr>
        <w:t>136</w:t>
      </w:r>
      <w:r w:rsidRPr="002B55E9">
        <w:rPr>
          <w:rFonts w:hint="eastAsia"/>
          <w:lang w:bidi="ne-NP"/>
        </w:rPr>
        <w:t>人，以平均每人每班产生</w:t>
      </w:r>
      <w:r w:rsidRPr="002B55E9">
        <w:rPr>
          <w:rFonts w:hint="eastAsia"/>
          <w:lang w:bidi="ne-NP"/>
        </w:rPr>
        <w:t>1</w:t>
      </w:r>
      <w:r w:rsidRPr="002B55E9">
        <w:rPr>
          <w:lang w:bidi="ne-NP"/>
        </w:rPr>
        <w:t>kg</w:t>
      </w:r>
      <w:r w:rsidRPr="002B55E9">
        <w:rPr>
          <w:rFonts w:hint="eastAsia"/>
          <w:lang w:bidi="ne-NP"/>
        </w:rPr>
        <w:t>计，则生活垃圾年产生量约为</w:t>
      </w:r>
      <w:r w:rsidRPr="002B55E9">
        <w:rPr>
          <w:lang w:bidi="ne-NP"/>
        </w:rPr>
        <w:t>44.88t/a</w:t>
      </w:r>
      <w:r w:rsidRPr="002B55E9">
        <w:rPr>
          <w:rFonts w:hint="eastAsia"/>
          <w:lang w:bidi="ne-NP"/>
        </w:rPr>
        <w:t>，生活垃圾经收集后委托环卫部门统一处理。</w:t>
      </w:r>
      <w:bookmarkEnd w:id="164"/>
    </w:p>
    <w:p w14:paraId="6428ED30" w14:textId="77777777" w:rsidR="00D170E5" w:rsidRPr="002B55E9" w:rsidRDefault="00EF27AD">
      <w:pPr>
        <w:pStyle w:val="5"/>
        <w:numPr>
          <w:ilvl w:val="4"/>
          <w:numId w:val="20"/>
        </w:numPr>
      </w:pPr>
      <w:r w:rsidRPr="002B55E9">
        <w:rPr>
          <w:rFonts w:hint="eastAsia"/>
        </w:rPr>
        <w:t>一般固体废物</w:t>
      </w:r>
    </w:p>
    <w:p w14:paraId="11202BB3" w14:textId="24841568" w:rsidR="00D170E5" w:rsidRPr="002B55E9" w:rsidRDefault="00EF27AD">
      <w:pPr>
        <w:pStyle w:val="aa"/>
        <w:snapToGrid w:val="0"/>
        <w:rPr>
          <w:lang w:bidi="ne-NP"/>
        </w:rPr>
      </w:pPr>
      <w:bookmarkStart w:id="165" w:name="_Hlk81409823"/>
      <w:r w:rsidRPr="002B55E9">
        <w:rPr>
          <w:rFonts w:hint="eastAsia"/>
          <w:lang w:bidi="ne-NP"/>
        </w:rPr>
        <w:t>拟建项目一般固体废物主要包括过滤残渣、除尘器</w:t>
      </w:r>
      <w:r w:rsidRPr="002B55E9">
        <w:rPr>
          <w:lang w:bidi="ne-NP"/>
        </w:rPr>
        <w:t>粉尘、</w:t>
      </w:r>
      <w:r w:rsidRPr="002B55E9">
        <w:rPr>
          <w:rFonts w:hint="eastAsia"/>
        </w:rPr>
        <w:t>废包装材料（包括废瓶碎瓶、废瓶盖、废纸箱等）、</w:t>
      </w:r>
      <w:r w:rsidRPr="002B55E9">
        <w:t>纯水制备</w:t>
      </w:r>
      <w:r w:rsidRPr="002B55E9">
        <w:rPr>
          <w:rFonts w:hint="eastAsia"/>
        </w:rPr>
        <w:t>RO</w:t>
      </w:r>
      <w:r w:rsidRPr="002B55E9">
        <w:rPr>
          <w:rFonts w:hint="eastAsia"/>
        </w:rPr>
        <w:t>膜、</w:t>
      </w:r>
      <w:r w:rsidR="00F54EA6" w:rsidRPr="002B55E9">
        <w:t>废活性炭滤芯、废石英砂滤芯</w:t>
      </w:r>
      <w:r w:rsidR="00523135" w:rsidRPr="002B55E9">
        <w:rPr>
          <w:rFonts w:hint="eastAsia"/>
        </w:rPr>
        <w:t>、</w:t>
      </w:r>
      <w:r w:rsidR="00523135" w:rsidRPr="002B55E9">
        <w:t>污水处理站污泥</w:t>
      </w:r>
      <w:r w:rsidRPr="002B55E9">
        <w:rPr>
          <w:rFonts w:hint="eastAsia"/>
        </w:rPr>
        <w:t>等</w:t>
      </w:r>
      <w:r w:rsidRPr="002B55E9">
        <w:rPr>
          <w:rFonts w:hint="eastAsia"/>
          <w:lang w:bidi="ne-NP"/>
        </w:rPr>
        <w:t>。</w:t>
      </w:r>
      <w:bookmarkStart w:id="166" w:name="_Hlk81409837"/>
      <w:bookmarkEnd w:id="165"/>
    </w:p>
    <w:p w14:paraId="1A391CAA" w14:textId="77777777" w:rsidR="00D170E5" w:rsidRPr="002B55E9" w:rsidRDefault="00EF27AD">
      <w:pPr>
        <w:pStyle w:val="aa"/>
        <w:snapToGrid w:val="0"/>
        <w:rPr>
          <w:lang w:bidi="ne-NP"/>
        </w:rPr>
      </w:pPr>
      <w:r w:rsidRPr="002B55E9">
        <w:rPr>
          <w:rFonts w:hint="eastAsia"/>
          <w:lang w:bidi="ne-NP"/>
        </w:rPr>
        <w:t>（</w:t>
      </w:r>
      <w:r w:rsidRPr="002B55E9">
        <w:rPr>
          <w:rFonts w:hint="eastAsia"/>
          <w:lang w:bidi="ne-NP"/>
        </w:rPr>
        <w:t>1</w:t>
      </w:r>
      <w:r w:rsidRPr="002B55E9">
        <w:rPr>
          <w:rFonts w:hint="eastAsia"/>
          <w:lang w:bidi="ne-NP"/>
        </w:rPr>
        <w:t>）过滤残渣</w:t>
      </w:r>
    </w:p>
    <w:p w14:paraId="1C0D66CC" w14:textId="4AB871D9" w:rsidR="00D170E5" w:rsidRPr="002B55E9" w:rsidRDefault="00EF27AD">
      <w:pPr>
        <w:pStyle w:val="aa"/>
        <w:snapToGrid w:val="0"/>
        <w:rPr>
          <w:lang w:bidi="ne-NP"/>
        </w:rPr>
      </w:pPr>
      <w:r w:rsidRPr="002B55E9">
        <w:rPr>
          <w:rFonts w:hint="eastAsia"/>
          <w:lang w:bidi="ne-NP"/>
        </w:rPr>
        <w:t>香辛料提取、白米醋发酵等</w:t>
      </w:r>
      <w:r w:rsidRPr="002B55E9">
        <w:rPr>
          <w:lang w:bidi="ne-NP"/>
        </w:rPr>
        <w:t>工序过滤</w:t>
      </w:r>
      <w:r w:rsidRPr="002B55E9">
        <w:rPr>
          <w:rFonts w:hint="eastAsia"/>
          <w:lang w:bidi="ne-NP"/>
        </w:rPr>
        <w:t>均会产生过滤残渣，</w:t>
      </w:r>
      <w:r w:rsidR="00C12060" w:rsidRPr="002B55E9">
        <w:rPr>
          <w:rFonts w:hint="eastAsia"/>
          <w:lang w:bidi="ne-NP"/>
        </w:rPr>
        <w:t>主要为香辛料提取残渣、白米醋发酵过程中未糖化的淀粉及纤维素等残渣。</w:t>
      </w:r>
      <w:r w:rsidRPr="002B55E9">
        <w:rPr>
          <w:rFonts w:hint="eastAsia"/>
          <w:lang w:bidi="ne-NP"/>
        </w:rPr>
        <w:t>根据工程分析章节内容，项目年产生</w:t>
      </w:r>
      <w:r w:rsidR="00C12060" w:rsidRPr="002B55E9">
        <w:rPr>
          <w:rFonts w:hint="eastAsia"/>
          <w:lang w:bidi="ne-NP"/>
        </w:rPr>
        <w:t>过滤残渣</w:t>
      </w:r>
      <w:r w:rsidRPr="002B55E9">
        <w:rPr>
          <w:rFonts w:hint="eastAsia"/>
          <w:lang w:bidi="ne-NP"/>
        </w:rPr>
        <w:t>约</w:t>
      </w:r>
      <w:r w:rsidRPr="002B55E9">
        <w:rPr>
          <w:lang w:bidi="ne-NP"/>
        </w:rPr>
        <w:t>559.</w:t>
      </w:r>
      <w:r w:rsidR="00C12060" w:rsidRPr="002B55E9">
        <w:rPr>
          <w:lang w:bidi="ne-NP"/>
        </w:rPr>
        <w:t>5</w:t>
      </w:r>
      <w:r w:rsidRPr="002B55E9">
        <w:rPr>
          <w:lang w:bidi="ne-NP"/>
        </w:rPr>
        <w:t>t/a</w:t>
      </w:r>
      <w:r w:rsidRPr="002B55E9">
        <w:rPr>
          <w:rFonts w:hint="eastAsia"/>
          <w:lang w:bidi="ne-NP"/>
        </w:rPr>
        <w:t>，</w:t>
      </w:r>
      <w:r w:rsidR="003936C8" w:rsidRPr="002B55E9">
        <w:rPr>
          <w:rFonts w:hint="eastAsia"/>
          <w:lang w:bidi="ne-NP"/>
        </w:rPr>
        <w:t>其含水率约</w:t>
      </w:r>
      <w:r w:rsidR="003936C8" w:rsidRPr="002B55E9">
        <w:rPr>
          <w:rFonts w:hint="eastAsia"/>
          <w:lang w:bidi="ne-NP"/>
        </w:rPr>
        <w:t>45-50%</w:t>
      </w:r>
      <w:r w:rsidR="003936C8" w:rsidRPr="002B55E9">
        <w:rPr>
          <w:rFonts w:hint="eastAsia"/>
          <w:lang w:bidi="ne-NP"/>
        </w:rPr>
        <w:t>，</w:t>
      </w:r>
      <w:r w:rsidR="00360C71" w:rsidRPr="002B55E9">
        <w:rPr>
          <w:rFonts w:hint="eastAsia"/>
          <w:lang w:bidi="ne-NP"/>
        </w:rPr>
        <w:t>经</w:t>
      </w:r>
      <w:r w:rsidR="003936C8" w:rsidRPr="002B55E9">
        <w:rPr>
          <w:rFonts w:hint="eastAsia"/>
          <w:lang w:bidi="ne-NP"/>
        </w:rPr>
        <w:t>密闭袋装后</w:t>
      </w:r>
      <w:r w:rsidRPr="002B55E9">
        <w:rPr>
          <w:rFonts w:hint="eastAsia"/>
          <w:lang w:bidi="ne-NP"/>
        </w:rPr>
        <w:t>暂存于</w:t>
      </w:r>
      <w:r w:rsidRPr="002B55E9">
        <w:rPr>
          <w:lang w:bidi="ne-NP"/>
        </w:rPr>
        <w:t>十</w:t>
      </w:r>
      <w:r w:rsidRPr="002B55E9">
        <w:rPr>
          <w:rFonts w:hint="eastAsia"/>
          <w:lang w:bidi="ne-NP"/>
        </w:rPr>
        <w:t>三</w:t>
      </w:r>
      <w:r w:rsidRPr="002B55E9">
        <w:rPr>
          <w:lang w:bidi="ne-NP"/>
        </w:rPr>
        <w:t>车间</w:t>
      </w:r>
      <w:r w:rsidRPr="002B55E9">
        <w:rPr>
          <w:rFonts w:hint="eastAsia"/>
          <w:lang w:bidi="ne-NP"/>
        </w:rPr>
        <w:t>滤渣</w:t>
      </w:r>
      <w:r w:rsidRPr="002B55E9">
        <w:rPr>
          <w:lang w:bidi="ne-NP"/>
        </w:rPr>
        <w:t>暂存间内</w:t>
      </w:r>
      <w:r w:rsidR="00360C71" w:rsidRPr="002B55E9">
        <w:rPr>
          <w:rFonts w:hint="eastAsia"/>
          <w:lang w:bidi="ne-NP"/>
        </w:rPr>
        <w:t>约</w:t>
      </w:r>
      <w:r w:rsidR="00360C71" w:rsidRPr="002B55E9">
        <w:rPr>
          <w:rFonts w:hint="eastAsia"/>
          <w:lang w:bidi="ne-NP"/>
        </w:rPr>
        <w:t>1</w:t>
      </w:r>
      <w:r w:rsidR="00360C71" w:rsidRPr="002B55E9">
        <w:rPr>
          <w:lang w:bidi="ne-NP"/>
        </w:rPr>
        <w:t>~2</w:t>
      </w:r>
      <w:r w:rsidR="00360C71" w:rsidRPr="002B55E9">
        <w:rPr>
          <w:rFonts w:hint="eastAsia"/>
          <w:lang w:bidi="ne-NP"/>
        </w:rPr>
        <w:t>d</w:t>
      </w:r>
      <w:r w:rsidRPr="002B55E9">
        <w:rPr>
          <w:lang w:bidi="ne-NP"/>
        </w:rPr>
        <w:t>，</w:t>
      </w:r>
      <w:r w:rsidRPr="002B55E9">
        <w:rPr>
          <w:rFonts w:hint="eastAsia"/>
          <w:lang w:bidi="ne-NP"/>
        </w:rPr>
        <w:t>交由有机肥生产企业回收利用。</w:t>
      </w:r>
    </w:p>
    <w:p w14:paraId="37E7AF3C" w14:textId="4DF9F0DD" w:rsidR="00360C71" w:rsidRPr="002B55E9" w:rsidRDefault="00360C71">
      <w:pPr>
        <w:pStyle w:val="aa"/>
        <w:snapToGrid w:val="0"/>
        <w:rPr>
          <w:lang w:bidi="ne-NP"/>
        </w:rPr>
      </w:pPr>
      <w:r w:rsidRPr="002B55E9">
        <w:rPr>
          <w:rFonts w:hint="eastAsia"/>
          <w:lang w:bidi="ne-NP"/>
        </w:rPr>
        <w:t>料酒、白米醋和陈香醋成品过滤会产生少量过滤残渣</w:t>
      </w:r>
      <w:r w:rsidRPr="002B55E9">
        <w:rPr>
          <w:rFonts w:hint="eastAsia"/>
          <w:lang w:bidi="ne-NP"/>
        </w:rPr>
        <w:tab/>
      </w:r>
      <w:r w:rsidRPr="002B55E9">
        <w:rPr>
          <w:rFonts w:hint="eastAsia"/>
          <w:lang w:bidi="ne-NP"/>
        </w:rPr>
        <w:t>，主要成分为少量不溶物以及设备密封圈</w:t>
      </w:r>
      <w:r w:rsidR="00C12060" w:rsidRPr="002B55E9">
        <w:rPr>
          <w:rFonts w:hint="eastAsia"/>
          <w:lang w:bidi="ne-NP"/>
        </w:rPr>
        <w:t>等老化脱落杂质</w:t>
      </w:r>
      <w:r w:rsidRPr="002B55E9">
        <w:rPr>
          <w:rFonts w:hint="eastAsia"/>
          <w:lang w:bidi="ne-NP"/>
        </w:rPr>
        <w:t>，年产生量约</w:t>
      </w:r>
      <w:r w:rsidR="00EC29C7" w:rsidRPr="002B55E9">
        <w:rPr>
          <w:rFonts w:hint="eastAsia"/>
          <w:lang w:bidi="ne-NP"/>
        </w:rPr>
        <w:t>3</w:t>
      </w:r>
      <w:r w:rsidR="00EC29C7" w:rsidRPr="002B55E9">
        <w:rPr>
          <w:lang w:bidi="ne-NP"/>
        </w:rPr>
        <w:t>.</w:t>
      </w:r>
      <w:r w:rsidR="00C12060" w:rsidRPr="002B55E9">
        <w:rPr>
          <w:lang w:bidi="ne-NP"/>
        </w:rPr>
        <w:t>38</w:t>
      </w:r>
      <w:r w:rsidR="00EC29C7" w:rsidRPr="002B55E9">
        <w:rPr>
          <w:lang w:bidi="ne-NP"/>
        </w:rPr>
        <w:t>t/a</w:t>
      </w:r>
      <w:r w:rsidR="00EC29C7" w:rsidRPr="002B55E9">
        <w:rPr>
          <w:rFonts w:hint="eastAsia"/>
          <w:lang w:bidi="ne-NP"/>
        </w:rPr>
        <w:t>，</w:t>
      </w:r>
      <w:r w:rsidR="00EC29C7" w:rsidRPr="002B55E9">
        <w:rPr>
          <w:lang w:bidi="ne-NP"/>
        </w:rPr>
        <w:t>交由物资回收公司综合利用。</w:t>
      </w:r>
    </w:p>
    <w:p w14:paraId="492D6D0F" w14:textId="77777777" w:rsidR="00D170E5" w:rsidRPr="002B55E9" w:rsidRDefault="00EF27AD">
      <w:pPr>
        <w:pStyle w:val="aa"/>
        <w:snapToGrid w:val="0"/>
        <w:rPr>
          <w:lang w:bidi="ne-NP"/>
        </w:rPr>
      </w:pPr>
      <w:r w:rsidRPr="002B55E9">
        <w:rPr>
          <w:rFonts w:hint="eastAsia"/>
          <w:lang w:bidi="ne-NP"/>
        </w:rPr>
        <w:t>（</w:t>
      </w:r>
      <w:r w:rsidRPr="002B55E9">
        <w:rPr>
          <w:rFonts w:hint="eastAsia"/>
          <w:lang w:bidi="ne-NP"/>
        </w:rPr>
        <w:t>2</w:t>
      </w:r>
      <w:r w:rsidRPr="002B55E9">
        <w:rPr>
          <w:rFonts w:hint="eastAsia"/>
          <w:lang w:bidi="ne-NP"/>
        </w:rPr>
        <w:t>）除尘器</w:t>
      </w:r>
      <w:r w:rsidRPr="002B55E9">
        <w:rPr>
          <w:lang w:bidi="ne-NP"/>
        </w:rPr>
        <w:t>粉尘</w:t>
      </w:r>
    </w:p>
    <w:p w14:paraId="6EBDC731" w14:textId="61B54C82" w:rsidR="00D170E5" w:rsidRPr="002B55E9" w:rsidRDefault="00EF27AD">
      <w:pPr>
        <w:pStyle w:val="aa"/>
        <w:snapToGrid w:val="0"/>
        <w:rPr>
          <w:lang w:bidi="ne-NP"/>
        </w:rPr>
      </w:pPr>
      <w:r w:rsidRPr="002B55E9">
        <w:rPr>
          <w:rFonts w:hint="eastAsia"/>
          <w:lang w:bidi="ne-NP"/>
        </w:rPr>
        <w:t>香辛料</w:t>
      </w:r>
      <w:r w:rsidRPr="002B55E9">
        <w:rPr>
          <w:lang w:bidi="ne-NP"/>
        </w:rPr>
        <w:t>破碎工序会产生破碎粉尘，经自带除尘器收集处理后排放，根据工程分析</w:t>
      </w:r>
      <w:r w:rsidRPr="002B55E9">
        <w:rPr>
          <w:rFonts w:hint="eastAsia"/>
          <w:lang w:bidi="ne-NP"/>
        </w:rPr>
        <w:t>结果</w:t>
      </w:r>
      <w:r w:rsidRPr="002B55E9">
        <w:rPr>
          <w:lang w:bidi="ne-NP"/>
        </w:rPr>
        <w:t>，</w:t>
      </w:r>
      <w:r w:rsidRPr="002B55E9">
        <w:rPr>
          <w:rFonts w:hint="eastAsia"/>
          <w:lang w:bidi="ne-NP"/>
        </w:rPr>
        <w:t>除尘器收集</w:t>
      </w:r>
      <w:r w:rsidRPr="002B55E9">
        <w:rPr>
          <w:lang w:bidi="ne-NP"/>
        </w:rPr>
        <w:t>粉尘量约</w:t>
      </w:r>
      <w:r w:rsidRPr="002B55E9">
        <w:rPr>
          <w:rFonts w:hint="eastAsia"/>
          <w:lang w:bidi="ne-NP"/>
        </w:rPr>
        <w:t>0.</w:t>
      </w:r>
      <w:r w:rsidR="00C12060" w:rsidRPr="002B55E9">
        <w:rPr>
          <w:lang w:bidi="ne-NP"/>
        </w:rPr>
        <w:t>08</w:t>
      </w:r>
      <w:r w:rsidRPr="002B55E9">
        <w:rPr>
          <w:lang w:bidi="ne-NP"/>
        </w:rPr>
        <w:t>t/a</w:t>
      </w:r>
      <w:r w:rsidRPr="002B55E9">
        <w:rPr>
          <w:rFonts w:hint="eastAsia"/>
          <w:lang w:bidi="ne-NP"/>
        </w:rPr>
        <w:t>，主要</w:t>
      </w:r>
      <w:r w:rsidRPr="002B55E9">
        <w:rPr>
          <w:lang w:bidi="ne-NP"/>
        </w:rPr>
        <w:t>成分为香辛料粉末，交由物资回收公司综合利用。</w:t>
      </w:r>
    </w:p>
    <w:p w14:paraId="018F8E7A" w14:textId="77777777" w:rsidR="00D170E5" w:rsidRPr="002B55E9" w:rsidRDefault="00EF27AD">
      <w:pPr>
        <w:pStyle w:val="aa"/>
        <w:snapToGrid w:val="0"/>
        <w:rPr>
          <w:lang w:bidi="ne-NP"/>
        </w:rPr>
      </w:pPr>
      <w:r w:rsidRPr="002B55E9">
        <w:rPr>
          <w:rFonts w:hint="eastAsia"/>
          <w:lang w:bidi="ne-NP"/>
        </w:rPr>
        <w:t>（</w:t>
      </w:r>
      <w:r w:rsidRPr="002B55E9">
        <w:rPr>
          <w:rFonts w:hint="eastAsia"/>
          <w:lang w:bidi="ne-NP"/>
        </w:rPr>
        <w:t>3</w:t>
      </w:r>
      <w:r w:rsidRPr="002B55E9">
        <w:rPr>
          <w:rFonts w:hint="eastAsia"/>
          <w:lang w:bidi="ne-NP"/>
        </w:rPr>
        <w:t>）废包装材料</w:t>
      </w:r>
    </w:p>
    <w:p w14:paraId="7B59928B" w14:textId="77777777" w:rsidR="00D170E5" w:rsidRPr="002B55E9" w:rsidRDefault="00EF27AD">
      <w:pPr>
        <w:pStyle w:val="aa"/>
        <w:snapToGrid w:val="0"/>
        <w:rPr>
          <w:lang w:bidi="ne-NP"/>
        </w:rPr>
      </w:pPr>
      <w:r w:rsidRPr="002B55E9">
        <w:rPr>
          <w:rFonts w:hint="eastAsia"/>
          <w:lang w:bidi="ne-NP"/>
        </w:rPr>
        <w:t>项目洗瓶工序会产生</w:t>
      </w:r>
      <w:r w:rsidRPr="002B55E9">
        <w:rPr>
          <w:rFonts w:hint="eastAsia"/>
        </w:rPr>
        <w:t>废瓶碎瓶，</w:t>
      </w:r>
      <w:r w:rsidRPr="002B55E9">
        <w:rPr>
          <w:rFonts w:hint="eastAsia"/>
          <w:lang w:bidi="ne-NP"/>
        </w:rPr>
        <w:t>外购大米、调味料等原料使用前需拆包、会产生编织袋、纸箱等外包装材料，产品包装时会产生废纸箱等包装材料，合计年产生量约</w:t>
      </w:r>
      <w:r w:rsidRPr="002B55E9">
        <w:rPr>
          <w:rFonts w:hint="eastAsia"/>
          <w:lang w:bidi="ne-NP"/>
        </w:rPr>
        <w:t>1</w:t>
      </w:r>
      <w:r w:rsidRPr="002B55E9">
        <w:rPr>
          <w:lang w:bidi="ne-NP"/>
        </w:rPr>
        <w:t>2t/a</w:t>
      </w:r>
      <w:r w:rsidRPr="002B55E9">
        <w:rPr>
          <w:rFonts w:hint="eastAsia"/>
          <w:lang w:bidi="ne-NP"/>
        </w:rPr>
        <w:t>，收集后暂存于一般固废暂存间，委托物资回收单位综合利用。</w:t>
      </w:r>
    </w:p>
    <w:p w14:paraId="3657CF7D" w14:textId="77777777" w:rsidR="00D170E5" w:rsidRPr="002B55E9" w:rsidRDefault="00EF27AD">
      <w:pPr>
        <w:pStyle w:val="aa"/>
        <w:snapToGrid w:val="0"/>
        <w:rPr>
          <w:lang w:bidi="ne-NP"/>
        </w:rPr>
      </w:pPr>
      <w:r w:rsidRPr="002B55E9">
        <w:rPr>
          <w:rFonts w:hint="eastAsia"/>
          <w:lang w:bidi="ne-NP"/>
        </w:rPr>
        <w:t>（</w:t>
      </w:r>
      <w:r w:rsidRPr="002B55E9">
        <w:rPr>
          <w:rFonts w:hint="eastAsia"/>
          <w:lang w:bidi="ne-NP"/>
        </w:rPr>
        <w:t>4</w:t>
      </w:r>
      <w:r w:rsidRPr="002B55E9">
        <w:rPr>
          <w:rFonts w:hint="eastAsia"/>
          <w:lang w:bidi="ne-NP"/>
        </w:rPr>
        <w:t>）纯水制备</w:t>
      </w:r>
      <w:r w:rsidRPr="002B55E9">
        <w:rPr>
          <w:rFonts w:hint="eastAsia"/>
          <w:lang w:bidi="ne-NP"/>
        </w:rPr>
        <w:t>RO</w:t>
      </w:r>
      <w:r w:rsidRPr="002B55E9">
        <w:rPr>
          <w:rFonts w:hint="eastAsia"/>
          <w:lang w:bidi="ne-NP"/>
        </w:rPr>
        <w:t>膜</w:t>
      </w:r>
    </w:p>
    <w:p w14:paraId="61BFD07D" w14:textId="77777777" w:rsidR="00D170E5" w:rsidRPr="002B55E9" w:rsidRDefault="00EF27AD">
      <w:pPr>
        <w:pStyle w:val="aa"/>
        <w:snapToGrid w:val="0"/>
        <w:rPr>
          <w:lang w:bidi="ne-NP"/>
        </w:rPr>
      </w:pPr>
      <w:r w:rsidRPr="002B55E9">
        <w:rPr>
          <w:rFonts w:hint="eastAsia"/>
          <w:lang w:bidi="ne-NP"/>
        </w:rPr>
        <w:t>实验室纯水制备设施需定期更</w:t>
      </w:r>
      <w:r w:rsidRPr="002B55E9">
        <w:rPr>
          <w:rFonts w:hint="eastAsia"/>
          <w:lang w:bidi="ne-NP"/>
        </w:rPr>
        <w:t>RO</w:t>
      </w:r>
      <w:r w:rsidRPr="002B55E9">
        <w:rPr>
          <w:rFonts w:hint="eastAsia"/>
          <w:lang w:bidi="ne-NP"/>
        </w:rPr>
        <w:t>膜，年产生量约</w:t>
      </w:r>
      <w:r w:rsidRPr="002B55E9">
        <w:rPr>
          <w:rFonts w:hint="eastAsia"/>
          <w:lang w:bidi="ne-NP"/>
        </w:rPr>
        <w:t>0</w:t>
      </w:r>
      <w:r w:rsidRPr="002B55E9">
        <w:rPr>
          <w:lang w:bidi="ne-NP"/>
        </w:rPr>
        <w:t>.01t/a</w:t>
      </w:r>
      <w:r w:rsidRPr="002B55E9">
        <w:rPr>
          <w:rFonts w:hint="eastAsia"/>
          <w:lang w:bidi="ne-NP"/>
        </w:rPr>
        <w:t>，收集后交物资回收单位综合利用。</w:t>
      </w:r>
    </w:p>
    <w:p w14:paraId="16AE42B3" w14:textId="612938DB" w:rsidR="00D170E5" w:rsidRPr="002B55E9" w:rsidRDefault="00EF27AD">
      <w:pPr>
        <w:pStyle w:val="aa"/>
        <w:snapToGrid w:val="0"/>
        <w:rPr>
          <w:lang w:bidi="ne-NP"/>
        </w:rPr>
      </w:pPr>
      <w:r w:rsidRPr="002B55E9">
        <w:rPr>
          <w:rFonts w:hint="eastAsia"/>
          <w:lang w:bidi="ne-NP"/>
        </w:rPr>
        <w:t>（</w:t>
      </w:r>
      <w:r w:rsidRPr="002B55E9">
        <w:rPr>
          <w:rFonts w:hint="eastAsia"/>
          <w:lang w:bidi="ne-NP"/>
        </w:rPr>
        <w:t>5</w:t>
      </w:r>
      <w:r w:rsidRPr="002B55E9">
        <w:rPr>
          <w:rFonts w:hint="eastAsia"/>
          <w:lang w:bidi="ne-NP"/>
        </w:rPr>
        <w:t>）</w:t>
      </w:r>
      <w:r w:rsidR="00F54EA6" w:rsidRPr="002B55E9">
        <w:rPr>
          <w:rFonts w:hint="eastAsia"/>
          <w:lang w:bidi="ne-NP"/>
        </w:rPr>
        <w:t>废活性炭滤芯、废石英砂滤芯</w:t>
      </w:r>
    </w:p>
    <w:p w14:paraId="36418719" w14:textId="3B6FEFAF" w:rsidR="00D170E5" w:rsidRPr="002B55E9" w:rsidRDefault="00EF27AD">
      <w:pPr>
        <w:pStyle w:val="aa"/>
        <w:snapToGrid w:val="0"/>
        <w:rPr>
          <w:lang w:bidi="ne-NP"/>
        </w:rPr>
      </w:pPr>
      <w:r w:rsidRPr="002B55E9">
        <w:rPr>
          <w:rFonts w:hint="eastAsia"/>
          <w:lang w:bidi="ne-NP"/>
        </w:rPr>
        <w:t>项目工艺水</w:t>
      </w:r>
      <w:r w:rsidRPr="002B55E9">
        <w:rPr>
          <w:lang w:bidi="ne-NP"/>
        </w:rPr>
        <w:t>制备工序的</w:t>
      </w:r>
      <w:r w:rsidRPr="002B55E9">
        <w:rPr>
          <w:rFonts w:hint="eastAsia"/>
          <w:lang w:bidi="ne-NP"/>
        </w:rPr>
        <w:t>石英砂</w:t>
      </w:r>
      <w:r w:rsidRPr="002B55E9">
        <w:rPr>
          <w:lang w:bidi="ne-NP"/>
        </w:rPr>
        <w:t>、活性炭过滤器</w:t>
      </w:r>
      <w:r w:rsidRPr="002B55E9">
        <w:rPr>
          <w:rFonts w:hint="eastAsia"/>
          <w:lang w:bidi="ne-NP"/>
        </w:rPr>
        <w:t>需</w:t>
      </w:r>
      <w:r w:rsidRPr="002B55E9">
        <w:rPr>
          <w:lang w:bidi="ne-NP"/>
        </w:rPr>
        <w:t>定期更换</w:t>
      </w:r>
      <w:r w:rsidRPr="002B55E9">
        <w:rPr>
          <w:rFonts w:hint="eastAsia"/>
          <w:lang w:bidi="ne-NP"/>
        </w:rPr>
        <w:t>滤芯</w:t>
      </w:r>
      <w:r w:rsidRPr="002B55E9">
        <w:rPr>
          <w:lang w:bidi="ne-NP"/>
        </w:rPr>
        <w:t>，更换</w:t>
      </w:r>
      <w:r w:rsidRPr="002B55E9">
        <w:rPr>
          <w:rFonts w:hint="eastAsia"/>
          <w:lang w:bidi="ne-NP"/>
        </w:rPr>
        <w:t>频次约</w:t>
      </w:r>
      <w:r w:rsidRPr="002B55E9">
        <w:rPr>
          <w:rFonts w:hint="eastAsia"/>
          <w:lang w:bidi="ne-NP"/>
        </w:rPr>
        <w:t>1</w:t>
      </w:r>
      <w:r w:rsidRPr="002B55E9">
        <w:rPr>
          <w:rFonts w:hint="eastAsia"/>
          <w:lang w:bidi="ne-NP"/>
        </w:rPr>
        <w:t>次</w:t>
      </w:r>
      <w:r w:rsidRPr="002B55E9">
        <w:rPr>
          <w:rFonts w:hint="eastAsia"/>
          <w:lang w:bidi="ne-NP"/>
        </w:rPr>
        <w:t>/</w:t>
      </w:r>
      <w:r w:rsidRPr="002B55E9">
        <w:rPr>
          <w:rFonts w:hint="eastAsia"/>
          <w:lang w:bidi="ne-NP"/>
        </w:rPr>
        <w:t>年，</w:t>
      </w:r>
      <w:r w:rsidRPr="002B55E9">
        <w:rPr>
          <w:lang w:bidi="ne-NP"/>
        </w:rPr>
        <w:t>更换量</w:t>
      </w:r>
      <w:r w:rsidRPr="002B55E9">
        <w:rPr>
          <w:rFonts w:hint="eastAsia"/>
          <w:lang w:bidi="ne-NP"/>
        </w:rPr>
        <w:t>约</w:t>
      </w:r>
      <w:r w:rsidRPr="002B55E9">
        <w:rPr>
          <w:rFonts w:hint="eastAsia"/>
          <w:lang w:bidi="ne-NP"/>
        </w:rPr>
        <w:t>1</w:t>
      </w:r>
      <w:r w:rsidRPr="002B55E9">
        <w:rPr>
          <w:lang w:bidi="ne-NP"/>
        </w:rPr>
        <w:t>t/a</w:t>
      </w:r>
      <w:r w:rsidRPr="002B55E9">
        <w:rPr>
          <w:rFonts w:hint="eastAsia"/>
          <w:lang w:bidi="ne-NP"/>
        </w:rPr>
        <w:t>，收集后交物资回收单位综合利用。</w:t>
      </w:r>
    </w:p>
    <w:p w14:paraId="504ACEE3" w14:textId="68D99BD0" w:rsidR="00920BC2" w:rsidRPr="002B55E9" w:rsidRDefault="00920BC2">
      <w:pPr>
        <w:pStyle w:val="aa"/>
        <w:snapToGrid w:val="0"/>
        <w:rPr>
          <w:lang w:bidi="ne-NP"/>
        </w:rPr>
      </w:pPr>
      <w:r w:rsidRPr="002B55E9">
        <w:rPr>
          <w:rFonts w:hint="eastAsia"/>
          <w:lang w:bidi="ne-NP"/>
        </w:rPr>
        <w:t>（</w:t>
      </w:r>
      <w:r w:rsidRPr="002B55E9">
        <w:rPr>
          <w:rFonts w:hint="eastAsia"/>
          <w:lang w:bidi="ne-NP"/>
        </w:rPr>
        <w:t>6</w:t>
      </w:r>
      <w:r w:rsidRPr="002B55E9">
        <w:rPr>
          <w:rFonts w:hint="eastAsia"/>
          <w:lang w:bidi="ne-NP"/>
        </w:rPr>
        <w:t>）</w:t>
      </w:r>
      <w:r w:rsidR="00A941B6" w:rsidRPr="002B55E9">
        <w:rPr>
          <w:rFonts w:hint="eastAsia"/>
          <w:lang w:bidi="ne-NP"/>
        </w:rPr>
        <w:t>依托</w:t>
      </w:r>
      <w:r w:rsidRPr="002B55E9">
        <w:rPr>
          <w:rFonts w:hint="eastAsia"/>
          <w:lang w:bidi="ne-NP"/>
        </w:rPr>
        <w:t>污水</w:t>
      </w:r>
      <w:r w:rsidR="00A941B6" w:rsidRPr="002B55E9">
        <w:rPr>
          <w:rFonts w:hint="eastAsia"/>
          <w:lang w:bidi="ne-NP"/>
        </w:rPr>
        <w:t>处理</w:t>
      </w:r>
      <w:r w:rsidRPr="002B55E9">
        <w:rPr>
          <w:rFonts w:hint="eastAsia"/>
          <w:lang w:bidi="ne-NP"/>
        </w:rPr>
        <w:t>站</w:t>
      </w:r>
      <w:r w:rsidRPr="002B55E9">
        <w:rPr>
          <w:lang w:bidi="ne-NP"/>
        </w:rPr>
        <w:t>污泥</w:t>
      </w:r>
    </w:p>
    <w:p w14:paraId="38E5495C" w14:textId="72900233" w:rsidR="00B622DC" w:rsidRPr="002B55E9" w:rsidRDefault="00920BC2">
      <w:pPr>
        <w:pStyle w:val="aa"/>
        <w:snapToGrid w:val="0"/>
        <w:rPr>
          <w:lang w:bidi="ne-NP"/>
        </w:rPr>
      </w:pPr>
      <w:r w:rsidRPr="002B55E9">
        <w:rPr>
          <w:rFonts w:hint="eastAsia"/>
          <w:lang w:bidi="ne-NP"/>
        </w:rPr>
        <w:t>项目</w:t>
      </w:r>
      <w:r w:rsidRPr="002B55E9">
        <w:rPr>
          <w:lang w:bidi="ne-NP"/>
        </w:rPr>
        <w:t>废水依托</w:t>
      </w:r>
      <w:r w:rsidRPr="002B55E9">
        <w:rPr>
          <w:rFonts w:hint="eastAsia"/>
          <w:lang w:bidi="ne-NP"/>
        </w:rPr>
        <w:t>佛山市海天（武汉）调味食品有限公司污水处理站</w:t>
      </w:r>
      <w:r w:rsidR="00A941B6" w:rsidRPr="002B55E9">
        <w:rPr>
          <w:lang w:bidi="ne-NP"/>
        </w:rPr>
        <w:t>处理</w:t>
      </w:r>
      <w:r w:rsidRPr="002B55E9">
        <w:rPr>
          <w:rFonts w:hint="eastAsia"/>
          <w:lang w:bidi="ne-NP"/>
        </w:rPr>
        <w:t>，</w:t>
      </w:r>
      <w:r w:rsidR="00645826" w:rsidRPr="002B55E9">
        <w:rPr>
          <w:rFonts w:hint="eastAsia"/>
          <w:lang w:bidi="ne-NP"/>
        </w:rPr>
        <w:t>污水处理站</w:t>
      </w:r>
      <w:r w:rsidR="00645826" w:rsidRPr="002B55E9">
        <w:rPr>
          <w:lang w:bidi="ne-NP"/>
        </w:rPr>
        <w:t>运行过程中会产生压滤污泥</w:t>
      </w:r>
      <w:r w:rsidR="00645826" w:rsidRPr="002B55E9">
        <w:rPr>
          <w:rFonts w:hint="eastAsia"/>
          <w:bCs/>
          <w:lang w:bidi="ne-NP"/>
        </w:rPr>
        <w:t>。本</w:t>
      </w:r>
      <w:r w:rsidR="00A941B6" w:rsidRPr="002B55E9">
        <w:rPr>
          <w:bCs/>
          <w:lang w:bidi="ne-NP"/>
        </w:rPr>
        <w:t>项目</w:t>
      </w:r>
      <w:r w:rsidR="00A941B6" w:rsidRPr="002B55E9">
        <w:rPr>
          <w:rFonts w:hint="eastAsia"/>
          <w:bCs/>
          <w:lang w:bidi="ne-NP"/>
        </w:rPr>
        <w:t>排入佛山市海天（武汉）调味食品有限公司污水处理站的废</w:t>
      </w:r>
      <w:r w:rsidR="00A941B6" w:rsidRPr="002B55E9">
        <w:rPr>
          <w:rFonts w:hint="eastAsia"/>
          <w:bCs/>
          <w:lang w:bidi="ne-NP"/>
        </w:rPr>
        <w:lastRenderedPageBreak/>
        <w:t>水量约</w:t>
      </w:r>
      <w:r w:rsidR="00A941B6" w:rsidRPr="002B55E9">
        <w:rPr>
          <w:bCs/>
          <w:lang w:bidi="ne-NP"/>
        </w:rPr>
        <w:t>172612m</w:t>
      </w:r>
      <w:r w:rsidR="00A941B6" w:rsidRPr="002B55E9">
        <w:rPr>
          <w:bCs/>
          <w:vertAlign w:val="superscript"/>
          <w:lang w:bidi="ne-NP"/>
        </w:rPr>
        <w:t>3</w:t>
      </w:r>
      <w:r w:rsidR="00A941B6" w:rsidRPr="002B55E9">
        <w:rPr>
          <w:rFonts w:hint="eastAsia"/>
          <w:bCs/>
          <w:lang w:bidi="ne-NP"/>
        </w:rPr>
        <w:t>/a</w:t>
      </w:r>
      <w:r w:rsidR="00A941B6" w:rsidRPr="002B55E9">
        <w:rPr>
          <w:rFonts w:hint="eastAsia"/>
          <w:bCs/>
          <w:lang w:bidi="ne-NP"/>
        </w:rPr>
        <w:t>，类比</w:t>
      </w:r>
      <w:r w:rsidR="00A941B6" w:rsidRPr="002B55E9">
        <w:rPr>
          <w:bCs/>
          <w:lang w:bidi="ne-NP"/>
        </w:rPr>
        <w:t>《</w:t>
      </w:r>
      <w:r w:rsidR="00A941B6" w:rsidRPr="002B55E9">
        <w:rPr>
          <w:rFonts w:hint="eastAsia"/>
          <w:bCs/>
          <w:lang w:bidi="ne-NP"/>
        </w:rPr>
        <w:t>海天调味品建设项目（一期）环境影响报告表</w:t>
      </w:r>
      <w:r w:rsidR="00A941B6" w:rsidRPr="002B55E9">
        <w:rPr>
          <w:bCs/>
          <w:lang w:bidi="ne-NP"/>
        </w:rPr>
        <w:t>》</w:t>
      </w:r>
      <w:r w:rsidR="00A941B6" w:rsidRPr="002B55E9">
        <w:rPr>
          <w:rFonts w:hint="eastAsia"/>
          <w:bCs/>
          <w:lang w:bidi="ne-NP"/>
        </w:rPr>
        <w:t>（报批稿）中污泥产生系数，本项目新增污泥量约</w:t>
      </w:r>
      <w:r w:rsidR="00A941B6" w:rsidRPr="002B55E9">
        <w:rPr>
          <w:rFonts w:hint="eastAsia"/>
          <w:bCs/>
          <w:lang w:bidi="ne-NP"/>
        </w:rPr>
        <w:t>5</w:t>
      </w:r>
      <w:r w:rsidR="00A941B6" w:rsidRPr="002B55E9">
        <w:rPr>
          <w:bCs/>
          <w:lang w:bidi="ne-NP"/>
        </w:rPr>
        <w:t>38</w:t>
      </w:r>
      <w:r w:rsidR="00A941B6" w:rsidRPr="002B55E9">
        <w:rPr>
          <w:rFonts w:hint="eastAsia"/>
          <w:bCs/>
          <w:lang w:bidi="ne-NP"/>
        </w:rPr>
        <w:t>t/a</w:t>
      </w:r>
      <w:r w:rsidR="00A941B6" w:rsidRPr="002B55E9">
        <w:rPr>
          <w:rFonts w:hint="eastAsia"/>
          <w:bCs/>
          <w:lang w:bidi="ne-NP"/>
        </w:rPr>
        <w:t>，压滤后</w:t>
      </w:r>
      <w:r w:rsidR="00645826" w:rsidRPr="002B55E9">
        <w:rPr>
          <w:rFonts w:hint="eastAsia"/>
          <w:bCs/>
          <w:lang w:bidi="ne-NP"/>
        </w:rPr>
        <w:t>污泥</w:t>
      </w:r>
      <w:r w:rsidR="00A941B6" w:rsidRPr="002B55E9">
        <w:rPr>
          <w:rFonts w:hint="eastAsia"/>
          <w:bCs/>
          <w:lang w:bidi="ne-NP"/>
        </w:rPr>
        <w:t>含水率约</w:t>
      </w:r>
      <w:r w:rsidR="00A941B6" w:rsidRPr="002B55E9">
        <w:rPr>
          <w:rFonts w:hint="eastAsia"/>
          <w:bCs/>
          <w:lang w:bidi="ne-NP"/>
        </w:rPr>
        <w:t>5</w:t>
      </w:r>
      <w:r w:rsidR="00A941B6" w:rsidRPr="002B55E9">
        <w:rPr>
          <w:bCs/>
          <w:lang w:bidi="ne-NP"/>
        </w:rPr>
        <w:t>0~65%</w:t>
      </w:r>
      <w:r w:rsidR="00A941B6" w:rsidRPr="002B55E9">
        <w:rPr>
          <w:bCs/>
          <w:lang w:bidi="ne-NP"/>
        </w:rPr>
        <w:t>，</w:t>
      </w:r>
      <w:r w:rsidR="00A941B6" w:rsidRPr="002B55E9">
        <w:rPr>
          <w:rFonts w:hint="eastAsia"/>
          <w:bCs/>
          <w:lang w:bidi="ne-NP"/>
        </w:rPr>
        <w:t>含有氮、磷、钾和有机物质且不含重金属等</w:t>
      </w:r>
      <w:r w:rsidR="00A941B6" w:rsidRPr="002B55E9">
        <w:rPr>
          <w:bCs/>
          <w:lang w:bidi="ne-NP"/>
        </w:rPr>
        <w:t>有害物质</w:t>
      </w:r>
      <w:r w:rsidR="00645826" w:rsidRPr="002B55E9">
        <w:rPr>
          <w:rFonts w:hint="eastAsia"/>
          <w:bCs/>
          <w:lang w:bidi="ne-NP"/>
        </w:rPr>
        <w:t>，属于一般固体废物</w:t>
      </w:r>
      <w:r w:rsidR="00A941B6" w:rsidRPr="002B55E9">
        <w:rPr>
          <w:rFonts w:hint="eastAsia"/>
          <w:bCs/>
          <w:lang w:bidi="ne-NP"/>
        </w:rPr>
        <w:t>，交由专业单位清运处理。</w:t>
      </w:r>
      <w:r w:rsidR="00645826" w:rsidRPr="002B55E9">
        <w:rPr>
          <w:rFonts w:hint="eastAsia"/>
          <w:bCs/>
          <w:lang w:bidi="ne-NP"/>
        </w:rPr>
        <w:t>污水处理站的</w:t>
      </w:r>
      <w:r w:rsidR="00645826" w:rsidRPr="002B55E9">
        <w:rPr>
          <w:bCs/>
          <w:lang w:bidi="ne-NP"/>
        </w:rPr>
        <w:t>责任主体</w:t>
      </w:r>
      <w:r w:rsidR="00645826" w:rsidRPr="002B55E9">
        <w:rPr>
          <w:rFonts w:hint="eastAsia"/>
          <w:bCs/>
          <w:lang w:bidi="ne-NP"/>
        </w:rPr>
        <w:t>为</w:t>
      </w:r>
      <w:r w:rsidR="00645826" w:rsidRPr="002B55E9">
        <w:rPr>
          <w:rFonts w:hint="eastAsia"/>
          <w:lang w:bidi="ne-NP"/>
        </w:rPr>
        <w:t>佛山市海天（武汉）调味食品有限公司，</w:t>
      </w:r>
      <w:r w:rsidR="007F5FA9" w:rsidRPr="002B55E9">
        <w:rPr>
          <w:rFonts w:hint="eastAsia"/>
          <w:lang w:bidi="ne-NP"/>
        </w:rPr>
        <w:t>污水处理站</w:t>
      </w:r>
      <w:r w:rsidR="007F5FA9" w:rsidRPr="002B55E9">
        <w:rPr>
          <w:lang w:bidi="ne-NP"/>
        </w:rPr>
        <w:t>运营及</w:t>
      </w:r>
      <w:r w:rsidR="00645826" w:rsidRPr="002B55E9">
        <w:rPr>
          <w:lang w:bidi="ne-NP"/>
        </w:rPr>
        <w:t>污泥</w:t>
      </w:r>
      <w:r w:rsidR="007F5FA9" w:rsidRPr="002B55E9">
        <w:rPr>
          <w:rFonts w:hint="eastAsia"/>
          <w:lang w:bidi="ne-NP"/>
        </w:rPr>
        <w:t>处置</w:t>
      </w:r>
      <w:r w:rsidR="00645826" w:rsidRPr="002B55E9">
        <w:rPr>
          <w:lang w:bidi="ne-NP"/>
        </w:rPr>
        <w:t>统一由其</w:t>
      </w:r>
      <w:r w:rsidR="007F5FA9" w:rsidRPr="002B55E9">
        <w:rPr>
          <w:rFonts w:hint="eastAsia"/>
          <w:lang w:bidi="ne-NP"/>
        </w:rPr>
        <w:t>负责实施</w:t>
      </w:r>
      <w:r w:rsidR="007F5FA9" w:rsidRPr="002B55E9">
        <w:rPr>
          <w:lang w:bidi="ne-NP"/>
        </w:rPr>
        <w:t>。</w:t>
      </w:r>
    </w:p>
    <w:p w14:paraId="0AE89B28" w14:textId="77777777" w:rsidR="00D170E5" w:rsidRPr="002B55E9" w:rsidRDefault="00EF27AD">
      <w:pPr>
        <w:pStyle w:val="1f3"/>
        <w:spacing w:beforeLines="0" w:before="0"/>
        <w:rPr>
          <w:lang w:bidi="ne-NP"/>
        </w:rPr>
      </w:pPr>
      <w:r w:rsidRPr="002B55E9">
        <w:rPr>
          <w:lang w:bidi="ne-NP"/>
        </w:rPr>
        <w:t>表</w:t>
      </w:r>
      <w:r w:rsidRPr="002B55E9">
        <w:rPr>
          <w:rFonts w:hint="eastAsia"/>
        </w:rPr>
        <w:t>3-</w:t>
      </w:r>
      <w:r w:rsidRPr="002B55E9">
        <w:t>3</w:t>
      </w:r>
      <w:r w:rsidRPr="002B55E9">
        <w:rPr>
          <w:rFonts w:hint="eastAsia"/>
        </w:rPr>
        <w:t>-</w:t>
      </w:r>
      <w:r w:rsidRPr="002B55E9">
        <w:t xml:space="preserve">31 </w:t>
      </w:r>
      <w:r w:rsidRPr="002B55E9">
        <w:rPr>
          <w:rFonts w:hint="eastAsia"/>
          <w:lang w:bidi="ne-NP"/>
        </w:rPr>
        <w:t xml:space="preserve"> </w:t>
      </w:r>
      <w:r w:rsidRPr="002B55E9">
        <w:rPr>
          <w:rFonts w:hint="eastAsia"/>
          <w:lang w:bidi="ne-NP"/>
        </w:rPr>
        <w:t>拟建项目一般工业固体废物来源、成分及产生情况表</w:t>
      </w:r>
    </w:p>
    <w:tbl>
      <w:tblPr>
        <w:tblW w:w="9638" w:type="dxa"/>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853"/>
        <w:gridCol w:w="1982"/>
        <w:gridCol w:w="1984"/>
        <w:gridCol w:w="3568"/>
        <w:gridCol w:w="1251"/>
      </w:tblGrid>
      <w:tr w:rsidR="002B55E9" w:rsidRPr="002B55E9" w14:paraId="3AE0B7F7" w14:textId="77777777">
        <w:trPr>
          <w:trHeight w:val="284"/>
        </w:trPr>
        <w:tc>
          <w:tcPr>
            <w:tcW w:w="853" w:type="dxa"/>
            <w:tcBorders>
              <w:bottom w:val="single" w:sz="12" w:space="0" w:color="000000"/>
            </w:tcBorders>
            <w:vAlign w:val="center"/>
          </w:tcPr>
          <w:p w14:paraId="1895158A" w14:textId="77777777" w:rsidR="00D170E5" w:rsidRPr="002B55E9" w:rsidRDefault="00EF27AD">
            <w:pPr>
              <w:pStyle w:val="affff6"/>
            </w:pPr>
            <w:r w:rsidRPr="002B55E9">
              <w:rPr>
                <w:rFonts w:hint="eastAsia"/>
              </w:rPr>
              <w:t>序号</w:t>
            </w:r>
          </w:p>
        </w:tc>
        <w:tc>
          <w:tcPr>
            <w:tcW w:w="1982" w:type="dxa"/>
            <w:tcBorders>
              <w:bottom w:val="single" w:sz="12" w:space="0" w:color="000000"/>
            </w:tcBorders>
            <w:vAlign w:val="center"/>
          </w:tcPr>
          <w:p w14:paraId="2A6817F7" w14:textId="77777777" w:rsidR="00D170E5" w:rsidRPr="002B55E9" w:rsidRDefault="00EF27AD">
            <w:pPr>
              <w:pStyle w:val="affff6"/>
              <w:rPr>
                <w:rFonts w:ascii="宋体" w:hAnsi="宋体" w:cs="宋体"/>
              </w:rPr>
            </w:pPr>
            <w:r w:rsidRPr="002B55E9">
              <w:rPr>
                <w:rFonts w:ascii="宋体" w:hAnsi="宋体" w:cs="宋体" w:hint="eastAsia"/>
              </w:rPr>
              <w:t>名称</w:t>
            </w:r>
          </w:p>
        </w:tc>
        <w:tc>
          <w:tcPr>
            <w:tcW w:w="1984" w:type="dxa"/>
            <w:tcBorders>
              <w:bottom w:val="single" w:sz="12" w:space="0" w:color="000000"/>
            </w:tcBorders>
            <w:vAlign w:val="center"/>
          </w:tcPr>
          <w:p w14:paraId="766C277C" w14:textId="77777777" w:rsidR="00D170E5" w:rsidRPr="002B55E9" w:rsidRDefault="00EF27AD">
            <w:pPr>
              <w:pStyle w:val="affff6"/>
              <w:rPr>
                <w:rFonts w:ascii="宋体" w:hAnsi="宋体" w:cs="宋体"/>
              </w:rPr>
            </w:pPr>
            <w:r w:rsidRPr="002B55E9">
              <w:rPr>
                <w:rFonts w:ascii="宋体" w:hAnsi="宋体" w:cs="宋体" w:hint="eastAsia"/>
              </w:rPr>
              <w:t>产生工序</w:t>
            </w:r>
          </w:p>
        </w:tc>
        <w:tc>
          <w:tcPr>
            <w:tcW w:w="3568" w:type="dxa"/>
            <w:tcBorders>
              <w:bottom w:val="single" w:sz="12" w:space="0" w:color="000000"/>
            </w:tcBorders>
            <w:vAlign w:val="center"/>
          </w:tcPr>
          <w:p w14:paraId="2E33A833" w14:textId="77777777" w:rsidR="00D170E5" w:rsidRPr="002B55E9" w:rsidRDefault="00EF27AD">
            <w:pPr>
              <w:pStyle w:val="affff6"/>
              <w:rPr>
                <w:rFonts w:ascii="宋体" w:hAnsi="宋体" w:cs="宋体"/>
              </w:rPr>
            </w:pPr>
            <w:r w:rsidRPr="002B55E9">
              <w:rPr>
                <w:rFonts w:ascii="宋体" w:hAnsi="宋体" w:cs="宋体" w:hint="eastAsia"/>
              </w:rPr>
              <w:t>主要成分</w:t>
            </w:r>
          </w:p>
        </w:tc>
        <w:tc>
          <w:tcPr>
            <w:tcW w:w="1251" w:type="dxa"/>
            <w:tcBorders>
              <w:bottom w:val="single" w:sz="12" w:space="0" w:color="000000"/>
            </w:tcBorders>
            <w:vAlign w:val="center"/>
          </w:tcPr>
          <w:p w14:paraId="0EC87297" w14:textId="77777777" w:rsidR="00D170E5" w:rsidRPr="002B55E9" w:rsidRDefault="00EF27AD">
            <w:pPr>
              <w:pStyle w:val="affff6"/>
            </w:pPr>
            <w:r w:rsidRPr="002B55E9">
              <w:rPr>
                <w:rFonts w:hint="eastAsia"/>
              </w:rPr>
              <w:t>产生量</w:t>
            </w:r>
            <w:r w:rsidRPr="002B55E9">
              <w:rPr>
                <w:rFonts w:hint="eastAsia"/>
              </w:rPr>
              <w:t>t/a</w:t>
            </w:r>
          </w:p>
        </w:tc>
      </w:tr>
      <w:tr w:rsidR="002B55E9" w:rsidRPr="002B55E9" w14:paraId="46AFE16B" w14:textId="77777777">
        <w:trPr>
          <w:trHeight w:val="296"/>
        </w:trPr>
        <w:tc>
          <w:tcPr>
            <w:tcW w:w="853" w:type="dxa"/>
            <w:vAlign w:val="center"/>
          </w:tcPr>
          <w:p w14:paraId="59FE3F8B" w14:textId="77777777" w:rsidR="00D170E5" w:rsidRPr="002B55E9" w:rsidRDefault="00EF27AD">
            <w:pPr>
              <w:pStyle w:val="affff6"/>
            </w:pPr>
            <w:r w:rsidRPr="002B55E9">
              <w:rPr>
                <w:rFonts w:hint="eastAsia"/>
              </w:rPr>
              <w:t>1</w:t>
            </w:r>
          </w:p>
        </w:tc>
        <w:tc>
          <w:tcPr>
            <w:tcW w:w="1982" w:type="dxa"/>
            <w:vAlign w:val="center"/>
          </w:tcPr>
          <w:p w14:paraId="09D895E9" w14:textId="77777777" w:rsidR="00D170E5" w:rsidRPr="002B55E9" w:rsidRDefault="00EF27AD">
            <w:pPr>
              <w:pStyle w:val="affff6"/>
              <w:ind w:leftChars="-50" w:left="-100" w:rightChars="-50" w:right="-100"/>
              <w:rPr>
                <w:szCs w:val="18"/>
              </w:rPr>
            </w:pPr>
            <w:r w:rsidRPr="002B55E9">
              <w:rPr>
                <w:rFonts w:hint="eastAsia"/>
                <w:szCs w:val="18"/>
              </w:rPr>
              <w:t>过滤残渣</w:t>
            </w:r>
          </w:p>
        </w:tc>
        <w:tc>
          <w:tcPr>
            <w:tcW w:w="1984" w:type="dxa"/>
            <w:vAlign w:val="center"/>
          </w:tcPr>
          <w:p w14:paraId="54FBBA06" w14:textId="77777777" w:rsidR="00D170E5" w:rsidRPr="002B55E9" w:rsidRDefault="00EF27AD">
            <w:pPr>
              <w:pStyle w:val="affff6"/>
              <w:ind w:leftChars="-50" w:left="-100" w:rightChars="-50" w:right="-100"/>
              <w:rPr>
                <w:szCs w:val="18"/>
              </w:rPr>
            </w:pPr>
            <w:r w:rsidRPr="002B55E9">
              <w:rPr>
                <w:rFonts w:hint="eastAsia"/>
                <w:szCs w:val="18"/>
              </w:rPr>
              <w:t>过滤</w:t>
            </w:r>
          </w:p>
        </w:tc>
        <w:tc>
          <w:tcPr>
            <w:tcW w:w="3568" w:type="dxa"/>
            <w:vAlign w:val="center"/>
          </w:tcPr>
          <w:p w14:paraId="581C62BA" w14:textId="77777777" w:rsidR="00D170E5" w:rsidRPr="002B55E9" w:rsidRDefault="00EF27AD">
            <w:pPr>
              <w:pStyle w:val="affff6"/>
              <w:ind w:leftChars="-50" w:left="-100" w:rightChars="-50" w:right="-100"/>
              <w:rPr>
                <w:szCs w:val="18"/>
              </w:rPr>
            </w:pPr>
            <w:r w:rsidRPr="002B55E9">
              <w:rPr>
                <w:rFonts w:hint="eastAsia"/>
                <w:szCs w:val="18"/>
              </w:rPr>
              <w:t>香辛料提取残渣、白米醋发酵过程中未糖化的淀粉及纤维素等残渣</w:t>
            </w:r>
          </w:p>
        </w:tc>
        <w:tc>
          <w:tcPr>
            <w:tcW w:w="1251" w:type="dxa"/>
            <w:vAlign w:val="center"/>
          </w:tcPr>
          <w:p w14:paraId="54045EA6" w14:textId="0967ADC1" w:rsidR="00D170E5" w:rsidRPr="002B55E9" w:rsidRDefault="00EF27AD">
            <w:pPr>
              <w:jc w:val="center"/>
              <w:rPr>
                <w:sz w:val="18"/>
                <w:szCs w:val="18"/>
              </w:rPr>
            </w:pPr>
            <w:r w:rsidRPr="002B55E9">
              <w:rPr>
                <w:rFonts w:hint="eastAsia"/>
                <w:sz w:val="18"/>
                <w:szCs w:val="18"/>
              </w:rPr>
              <w:t>5</w:t>
            </w:r>
            <w:r w:rsidRPr="002B55E9">
              <w:rPr>
                <w:sz w:val="18"/>
                <w:szCs w:val="18"/>
              </w:rPr>
              <w:t>59.</w:t>
            </w:r>
            <w:r w:rsidR="00C12060" w:rsidRPr="002B55E9">
              <w:rPr>
                <w:sz w:val="18"/>
                <w:szCs w:val="18"/>
              </w:rPr>
              <w:t>5</w:t>
            </w:r>
          </w:p>
        </w:tc>
      </w:tr>
      <w:tr w:rsidR="002B55E9" w:rsidRPr="002B55E9" w14:paraId="641DC858" w14:textId="77777777">
        <w:trPr>
          <w:trHeight w:val="296"/>
        </w:trPr>
        <w:tc>
          <w:tcPr>
            <w:tcW w:w="853" w:type="dxa"/>
            <w:vAlign w:val="center"/>
          </w:tcPr>
          <w:p w14:paraId="5E52E738" w14:textId="77777777" w:rsidR="00C12060" w:rsidRPr="002B55E9" w:rsidRDefault="00C12060">
            <w:pPr>
              <w:pStyle w:val="affff6"/>
            </w:pPr>
          </w:p>
        </w:tc>
        <w:tc>
          <w:tcPr>
            <w:tcW w:w="1982" w:type="dxa"/>
            <w:vAlign w:val="center"/>
          </w:tcPr>
          <w:p w14:paraId="2D7D467B" w14:textId="5CBB4DEF" w:rsidR="00C12060" w:rsidRPr="002B55E9" w:rsidRDefault="00C12060">
            <w:pPr>
              <w:pStyle w:val="affff6"/>
              <w:ind w:leftChars="-50" w:left="-100" w:rightChars="-50" w:right="-100"/>
              <w:rPr>
                <w:szCs w:val="18"/>
              </w:rPr>
            </w:pPr>
            <w:r w:rsidRPr="002B55E9">
              <w:rPr>
                <w:rFonts w:hint="eastAsia"/>
                <w:szCs w:val="18"/>
              </w:rPr>
              <w:t>成品过滤残渣</w:t>
            </w:r>
          </w:p>
        </w:tc>
        <w:tc>
          <w:tcPr>
            <w:tcW w:w="1984" w:type="dxa"/>
            <w:vAlign w:val="center"/>
          </w:tcPr>
          <w:p w14:paraId="3A05AF2E" w14:textId="3F6B7D42" w:rsidR="00C12060" w:rsidRPr="002B55E9" w:rsidRDefault="00C12060">
            <w:pPr>
              <w:pStyle w:val="affff6"/>
              <w:ind w:leftChars="-50" w:left="-100" w:rightChars="-50" w:right="-100"/>
              <w:rPr>
                <w:szCs w:val="18"/>
              </w:rPr>
            </w:pPr>
            <w:r w:rsidRPr="002B55E9">
              <w:rPr>
                <w:rFonts w:hint="eastAsia"/>
                <w:szCs w:val="18"/>
              </w:rPr>
              <w:t>成品过滤</w:t>
            </w:r>
          </w:p>
        </w:tc>
        <w:tc>
          <w:tcPr>
            <w:tcW w:w="3568" w:type="dxa"/>
            <w:vAlign w:val="center"/>
          </w:tcPr>
          <w:p w14:paraId="071E5107" w14:textId="2BB520D6" w:rsidR="00C12060" w:rsidRPr="002B55E9" w:rsidRDefault="00C12060">
            <w:pPr>
              <w:pStyle w:val="affff6"/>
              <w:ind w:leftChars="-50" w:left="-100" w:rightChars="-50" w:right="-100"/>
              <w:rPr>
                <w:szCs w:val="18"/>
              </w:rPr>
            </w:pPr>
            <w:r w:rsidRPr="002B55E9">
              <w:rPr>
                <w:rFonts w:hint="eastAsia"/>
                <w:szCs w:val="18"/>
              </w:rPr>
              <w:t>不溶物及设备密封圈等老化脱落杂质</w:t>
            </w:r>
          </w:p>
        </w:tc>
        <w:tc>
          <w:tcPr>
            <w:tcW w:w="1251" w:type="dxa"/>
            <w:vAlign w:val="center"/>
          </w:tcPr>
          <w:p w14:paraId="311740CD" w14:textId="1004DEC7" w:rsidR="00C12060" w:rsidRPr="002B55E9" w:rsidRDefault="00C12060">
            <w:pPr>
              <w:jc w:val="center"/>
              <w:rPr>
                <w:sz w:val="18"/>
                <w:szCs w:val="18"/>
              </w:rPr>
            </w:pPr>
            <w:r w:rsidRPr="002B55E9">
              <w:rPr>
                <w:rFonts w:hint="eastAsia"/>
                <w:sz w:val="18"/>
                <w:szCs w:val="18"/>
              </w:rPr>
              <w:t>3</w:t>
            </w:r>
            <w:r w:rsidRPr="002B55E9">
              <w:rPr>
                <w:sz w:val="18"/>
                <w:szCs w:val="18"/>
              </w:rPr>
              <w:t>.38</w:t>
            </w:r>
          </w:p>
        </w:tc>
      </w:tr>
      <w:tr w:rsidR="002B55E9" w:rsidRPr="002B55E9" w14:paraId="02FE2861" w14:textId="77777777">
        <w:trPr>
          <w:trHeight w:val="296"/>
        </w:trPr>
        <w:tc>
          <w:tcPr>
            <w:tcW w:w="853" w:type="dxa"/>
            <w:vAlign w:val="center"/>
          </w:tcPr>
          <w:p w14:paraId="64679AEA" w14:textId="77777777" w:rsidR="00D170E5" w:rsidRPr="002B55E9" w:rsidRDefault="00EF27AD">
            <w:pPr>
              <w:pStyle w:val="affff6"/>
            </w:pPr>
            <w:r w:rsidRPr="002B55E9">
              <w:rPr>
                <w:rFonts w:hint="eastAsia"/>
              </w:rPr>
              <w:t>2</w:t>
            </w:r>
          </w:p>
        </w:tc>
        <w:tc>
          <w:tcPr>
            <w:tcW w:w="1982" w:type="dxa"/>
            <w:vAlign w:val="center"/>
          </w:tcPr>
          <w:p w14:paraId="75AEE310" w14:textId="77777777" w:rsidR="00D170E5" w:rsidRPr="002B55E9" w:rsidRDefault="00EF27AD">
            <w:pPr>
              <w:pStyle w:val="affff6"/>
              <w:ind w:leftChars="-50" w:left="-100" w:rightChars="-50" w:right="-100"/>
              <w:rPr>
                <w:szCs w:val="18"/>
              </w:rPr>
            </w:pPr>
            <w:r w:rsidRPr="002B55E9">
              <w:rPr>
                <w:rFonts w:hint="eastAsia"/>
                <w:szCs w:val="18"/>
              </w:rPr>
              <w:t>除尘器</w:t>
            </w:r>
            <w:r w:rsidRPr="002B55E9">
              <w:rPr>
                <w:szCs w:val="18"/>
              </w:rPr>
              <w:t>粉尘</w:t>
            </w:r>
          </w:p>
        </w:tc>
        <w:tc>
          <w:tcPr>
            <w:tcW w:w="1984" w:type="dxa"/>
            <w:vAlign w:val="center"/>
          </w:tcPr>
          <w:p w14:paraId="5149D7C5" w14:textId="77777777" w:rsidR="00D170E5" w:rsidRPr="002B55E9" w:rsidRDefault="00EF27AD">
            <w:pPr>
              <w:pStyle w:val="affff6"/>
              <w:ind w:leftChars="-50" w:left="-100" w:rightChars="-50" w:right="-100"/>
              <w:rPr>
                <w:szCs w:val="18"/>
              </w:rPr>
            </w:pPr>
            <w:r w:rsidRPr="002B55E9">
              <w:rPr>
                <w:rFonts w:hint="eastAsia"/>
                <w:szCs w:val="18"/>
              </w:rPr>
              <w:t>破碎</w:t>
            </w:r>
          </w:p>
        </w:tc>
        <w:tc>
          <w:tcPr>
            <w:tcW w:w="3568" w:type="dxa"/>
            <w:vAlign w:val="center"/>
          </w:tcPr>
          <w:p w14:paraId="18E77D41" w14:textId="77777777" w:rsidR="00D170E5" w:rsidRPr="002B55E9" w:rsidRDefault="00EF27AD">
            <w:pPr>
              <w:pStyle w:val="affff6"/>
              <w:ind w:leftChars="-50" w:left="-100" w:rightChars="-50" w:right="-100"/>
              <w:rPr>
                <w:szCs w:val="18"/>
              </w:rPr>
            </w:pPr>
            <w:r w:rsidRPr="002B55E9">
              <w:rPr>
                <w:rFonts w:hint="eastAsia"/>
                <w:szCs w:val="18"/>
              </w:rPr>
              <w:t>香辛料</w:t>
            </w:r>
          </w:p>
        </w:tc>
        <w:tc>
          <w:tcPr>
            <w:tcW w:w="1251" w:type="dxa"/>
            <w:vAlign w:val="center"/>
          </w:tcPr>
          <w:p w14:paraId="03BCF48B" w14:textId="7A53DEFA" w:rsidR="00D170E5" w:rsidRPr="002B55E9" w:rsidRDefault="00EF27AD">
            <w:pPr>
              <w:jc w:val="center"/>
              <w:rPr>
                <w:sz w:val="18"/>
                <w:szCs w:val="18"/>
              </w:rPr>
            </w:pPr>
            <w:r w:rsidRPr="002B55E9">
              <w:rPr>
                <w:rFonts w:hint="eastAsia"/>
                <w:sz w:val="18"/>
                <w:szCs w:val="18"/>
              </w:rPr>
              <w:t>0.</w:t>
            </w:r>
            <w:r w:rsidR="00C12060" w:rsidRPr="002B55E9">
              <w:rPr>
                <w:sz w:val="18"/>
                <w:szCs w:val="18"/>
              </w:rPr>
              <w:t>08</w:t>
            </w:r>
          </w:p>
        </w:tc>
      </w:tr>
      <w:tr w:rsidR="002B55E9" w:rsidRPr="002B55E9" w14:paraId="1F5CCA79" w14:textId="77777777">
        <w:trPr>
          <w:trHeight w:val="284"/>
        </w:trPr>
        <w:tc>
          <w:tcPr>
            <w:tcW w:w="853" w:type="dxa"/>
            <w:vAlign w:val="center"/>
          </w:tcPr>
          <w:p w14:paraId="6B5FC756" w14:textId="77777777" w:rsidR="00D170E5" w:rsidRPr="002B55E9" w:rsidRDefault="00EF27AD">
            <w:pPr>
              <w:pStyle w:val="affff6"/>
            </w:pPr>
            <w:r w:rsidRPr="002B55E9">
              <w:rPr>
                <w:rFonts w:hint="eastAsia"/>
              </w:rPr>
              <w:t>3</w:t>
            </w:r>
          </w:p>
        </w:tc>
        <w:tc>
          <w:tcPr>
            <w:tcW w:w="1982" w:type="dxa"/>
            <w:vAlign w:val="center"/>
          </w:tcPr>
          <w:p w14:paraId="546F0DA1" w14:textId="77777777" w:rsidR="00D170E5" w:rsidRPr="002B55E9" w:rsidRDefault="00EF27AD">
            <w:pPr>
              <w:pStyle w:val="affff6"/>
              <w:ind w:leftChars="-50" w:left="-100" w:rightChars="-50" w:right="-100"/>
              <w:rPr>
                <w:szCs w:val="18"/>
              </w:rPr>
            </w:pPr>
            <w:r w:rsidRPr="002B55E9">
              <w:rPr>
                <w:rFonts w:hint="eastAsia"/>
                <w:szCs w:val="18"/>
              </w:rPr>
              <w:t>废包装材料</w:t>
            </w:r>
          </w:p>
        </w:tc>
        <w:tc>
          <w:tcPr>
            <w:tcW w:w="1984" w:type="dxa"/>
            <w:vAlign w:val="center"/>
          </w:tcPr>
          <w:p w14:paraId="436AACBC" w14:textId="77777777" w:rsidR="00D170E5" w:rsidRPr="002B55E9" w:rsidRDefault="00EF27AD">
            <w:pPr>
              <w:pStyle w:val="affff6"/>
              <w:ind w:leftChars="-50" w:left="-100" w:rightChars="-50" w:right="-100"/>
              <w:rPr>
                <w:szCs w:val="18"/>
              </w:rPr>
            </w:pPr>
            <w:r w:rsidRPr="002B55E9">
              <w:rPr>
                <w:rFonts w:hint="eastAsia"/>
                <w:szCs w:val="18"/>
              </w:rPr>
              <w:t>拆包</w:t>
            </w:r>
          </w:p>
        </w:tc>
        <w:tc>
          <w:tcPr>
            <w:tcW w:w="3568" w:type="dxa"/>
            <w:vAlign w:val="center"/>
          </w:tcPr>
          <w:p w14:paraId="6E717A91" w14:textId="77777777" w:rsidR="00D170E5" w:rsidRPr="002B55E9" w:rsidRDefault="00EF27AD">
            <w:pPr>
              <w:pStyle w:val="affff6"/>
              <w:rPr>
                <w:szCs w:val="18"/>
              </w:rPr>
            </w:pPr>
            <w:r w:rsidRPr="002B55E9">
              <w:rPr>
                <w:rFonts w:hint="eastAsia"/>
                <w:szCs w:val="18"/>
              </w:rPr>
              <w:t>编织袋、纸箱等</w:t>
            </w:r>
          </w:p>
        </w:tc>
        <w:tc>
          <w:tcPr>
            <w:tcW w:w="1251" w:type="dxa"/>
            <w:vAlign w:val="center"/>
          </w:tcPr>
          <w:p w14:paraId="1277F774" w14:textId="77777777" w:rsidR="00D170E5" w:rsidRPr="002B55E9" w:rsidRDefault="00EF27AD">
            <w:pPr>
              <w:jc w:val="center"/>
              <w:rPr>
                <w:sz w:val="18"/>
                <w:szCs w:val="18"/>
              </w:rPr>
            </w:pPr>
            <w:r w:rsidRPr="002B55E9">
              <w:rPr>
                <w:rFonts w:hint="eastAsia"/>
                <w:sz w:val="18"/>
                <w:szCs w:val="18"/>
              </w:rPr>
              <w:t>1</w:t>
            </w:r>
            <w:r w:rsidRPr="002B55E9">
              <w:rPr>
                <w:sz w:val="18"/>
                <w:szCs w:val="18"/>
              </w:rPr>
              <w:t>2</w:t>
            </w:r>
          </w:p>
        </w:tc>
      </w:tr>
      <w:tr w:rsidR="002B55E9" w:rsidRPr="002B55E9" w14:paraId="02D43B04" w14:textId="77777777">
        <w:trPr>
          <w:trHeight w:val="284"/>
        </w:trPr>
        <w:tc>
          <w:tcPr>
            <w:tcW w:w="853" w:type="dxa"/>
            <w:vAlign w:val="center"/>
          </w:tcPr>
          <w:p w14:paraId="45D059AD" w14:textId="77777777" w:rsidR="00D170E5" w:rsidRPr="002B55E9" w:rsidRDefault="00EF27AD">
            <w:pPr>
              <w:pStyle w:val="affff6"/>
            </w:pPr>
            <w:r w:rsidRPr="002B55E9">
              <w:rPr>
                <w:rFonts w:hint="eastAsia"/>
              </w:rPr>
              <w:t>4</w:t>
            </w:r>
          </w:p>
        </w:tc>
        <w:tc>
          <w:tcPr>
            <w:tcW w:w="1982" w:type="dxa"/>
            <w:vAlign w:val="center"/>
          </w:tcPr>
          <w:p w14:paraId="650D13E4" w14:textId="77777777" w:rsidR="00D170E5" w:rsidRPr="002B55E9" w:rsidRDefault="00EF27AD">
            <w:pPr>
              <w:pStyle w:val="affff6"/>
              <w:ind w:leftChars="-50" w:left="-100" w:rightChars="-50" w:right="-100"/>
            </w:pPr>
            <w:r w:rsidRPr="002B55E9">
              <w:rPr>
                <w:rFonts w:hint="eastAsia"/>
              </w:rPr>
              <w:t>纯水制备</w:t>
            </w:r>
            <w:r w:rsidRPr="002B55E9">
              <w:rPr>
                <w:rFonts w:hint="eastAsia"/>
              </w:rPr>
              <w:t>RO</w:t>
            </w:r>
            <w:r w:rsidRPr="002B55E9">
              <w:rPr>
                <w:rFonts w:hint="eastAsia"/>
              </w:rPr>
              <w:t>膜</w:t>
            </w:r>
          </w:p>
        </w:tc>
        <w:tc>
          <w:tcPr>
            <w:tcW w:w="1984" w:type="dxa"/>
            <w:vAlign w:val="center"/>
          </w:tcPr>
          <w:p w14:paraId="41C10E0F" w14:textId="77777777" w:rsidR="00D170E5" w:rsidRPr="002B55E9" w:rsidRDefault="00EF27AD">
            <w:pPr>
              <w:pStyle w:val="affff6"/>
              <w:ind w:leftChars="-50" w:left="-100" w:rightChars="-50" w:right="-100"/>
            </w:pPr>
            <w:r w:rsidRPr="002B55E9">
              <w:rPr>
                <w:rFonts w:hint="eastAsia"/>
              </w:rPr>
              <w:t>纯水制备</w:t>
            </w:r>
          </w:p>
        </w:tc>
        <w:tc>
          <w:tcPr>
            <w:tcW w:w="3568" w:type="dxa"/>
            <w:vAlign w:val="center"/>
          </w:tcPr>
          <w:p w14:paraId="2645356F" w14:textId="77777777" w:rsidR="00D170E5" w:rsidRPr="002B55E9" w:rsidRDefault="00EF27AD">
            <w:pPr>
              <w:pStyle w:val="affff6"/>
              <w:rPr>
                <w:szCs w:val="18"/>
              </w:rPr>
            </w:pPr>
            <w:r w:rsidRPr="002B55E9">
              <w:rPr>
                <w:rFonts w:hint="eastAsia"/>
                <w:szCs w:val="18"/>
              </w:rPr>
              <w:t>RO</w:t>
            </w:r>
            <w:r w:rsidRPr="002B55E9">
              <w:rPr>
                <w:rFonts w:hint="eastAsia"/>
                <w:szCs w:val="18"/>
              </w:rPr>
              <w:t>膜</w:t>
            </w:r>
          </w:p>
        </w:tc>
        <w:tc>
          <w:tcPr>
            <w:tcW w:w="1251" w:type="dxa"/>
            <w:vAlign w:val="center"/>
          </w:tcPr>
          <w:p w14:paraId="481FB0F3" w14:textId="77777777" w:rsidR="00D170E5" w:rsidRPr="002B55E9" w:rsidRDefault="00EF27AD">
            <w:pPr>
              <w:jc w:val="center"/>
              <w:rPr>
                <w:sz w:val="18"/>
                <w:szCs w:val="18"/>
              </w:rPr>
            </w:pPr>
            <w:r w:rsidRPr="002B55E9">
              <w:rPr>
                <w:rFonts w:hint="eastAsia"/>
                <w:sz w:val="18"/>
                <w:szCs w:val="18"/>
              </w:rPr>
              <w:t>0</w:t>
            </w:r>
            <w:r w:rsidRPr="002B55E9">
              <w:rPr>
                <w:sz w:val="18"/>
                <w:szCs w:val="18"/>
              </w:rPr>
              <w:t>.01</w:t>
            </w:r>
          </w:p>
        </w:tc>
      </w:tr>
      <w:tr w:rsidR="002B55E9" w:rsidRPr="002B55E9" w14:paraId="0873BBA3" w14:textId="77777777">
        <w:trPr>
          <w:trHeight w:val="284"/>
        </w:trPr>
        <w:tc>
          <w:tcPr>
            <w:tcW w:w="853" w:type="dxa"/>
            <w:vAlign w:val="center"/>
          </w:tcPr>
          <w:p w14:paraId="22E8A8AD" w14:textId="77777777" w:rsidR="00D170E5" w:rsidRPr="002B55E9" w:rsidRDefault="00EF27AD">
            <w:pPr>
              <w:pStyle w:val="affff6"/>
            </w:pPr>
            <w:r w:rsidRPr="002B55E9">
              <w:rPr>
                <w:rFonts w:hint="eastAsia"/>
              </w:rPr>
              <w:t>5</w:t>
            </w:r>
          </w:p>
        </w:tc>
        <w:tc>
          <w:tcPr>
            <w:tcW w:w="1982" w:type="dxa"/>
            <w:vAlign w:val="center"/>
          </w:tcPr>
          <w:p w14:paraId="529BAC5F" w14:textId="45E92244" w:rsidR="00D170E5" w:rsidRPr="002B55E9" w:rsidRDefault="00F54EA6">
            <w:pPr>
              <w:pStyle w:val="affff6"/>
              <w:ind w:leftChars="-50" w:left="-100" w:rightChars="-50" w:right="-100"/>
            </w:pPr>
            <w:r w:rsidRPr="002B55E9">
              <w:rPr>
                <w:rFonts w:hint="eastAsia"/>
              </w:rPr>
              <w:t>废活性炭滤芯、废石英砂滤芯</w:t>
            </w:r>
          </w:p>
        </w:tc>
        <w:tc>
          <w:tcPr>
            <w:tcW w:w="1984" w:type="dxa"/>
            <w:vAlign w:val="center"/>
          </w:tcPr>
          <w:p w14:paraId="393099D8" w14:textId="77777777" w:rsidR="00D170E5" w:rsidRPr="002B55E9" w:rsidRDefault="00EF27AD">
            <w:pPr>
              <w:pStyle w:val="affff6"/>
              <w:ind w:leftChars="-50" w:left="-100" w:rightChars="-50" w:right="-100"/>
            </w:pPr>
            <w:r w:rsidRPr="002B55E9">
              <w:rPr>
                <w:rFonts w:hint="eastAsia"/>
              </w:rPr>
              <w:t>工艺水</w:t>
            </w:r>
            <w:r w:rsidRPr="002B55E9">
              <w:t>制备</w:t>
            </w:r>
          </w:p>
        </w:tc>
        <w:tc>
          <w:tcPr>
            <w:tcW w:w="3568" w:type="dxa"/>
            <w:vAlign w:val="center"/>
          </w:tcPr>
          <w:p w14:paraId="188ACB70" w14:textId="77777777" w:rsidR="00D170E5" w:rsidRPr="002B55E9" w:rsidRDefault="00EF27AD">
            <w:pPr>
              <w:pStyle w:val="affff6"/>
              <w:rPr>
                <w:szCs w:val="18"/>
              </w:rPr>
            </w:pPr>
            <w:r w:rsidRPr="002B55E9">
              <w:rPr>
                <w:rFonts w:hint="eastAsia"/>
                <w:szCs w:val="18"/>
              </w:rPr>
              <w:t>活性炭、石英砂</w:t>
            </w:r>
          </w:p>
        </w:tc>
        <w:tc>
          <w:tcPr>
            <w:tcW w:w="1251" w:type="dxa"/>
            <w:vAlign w:val="center"/>
          </w:tcPr>
          <w:p w14:paraId="1FAB449B" w14:textId="77777777" w:rsidR="00D170E5" w:rsidRPr="002B55E9" w:rsidRDefault="00EF27AD">
            <w:pPr>
              <w:jc w:val="center"/>
              <w:rPr>
                <w:sz w:val="18"/>
                <w:szCs w:val="18"/>
              </w:rPr>
            </w:pPr>
            <w:r w:rsidRPr="002B55E9">
              <w:rPr>
                <w:rFonts w:hint="eastAsia"/>
                <w:sz w:val="18"/>
                <w:szCs w:val="18"/>
              </w:rPr>
              <w:t>1</w:t>
            </w:r>
          </w:p>
        </w:tc>
      </w:tr>
      <w:tr w:rsidR="002B55E9" w:rsidRPr="002B55E9" w14:paraId="5A8352A7" w14:textId="77777777">
        <w:trPr>
          <w:trHeight w:val="284"/>
        </w:trPr>
        <w:tc>
          <w:tcPr>
            <w:tcW w:w="853" w:type="dxa"/>
            <w:vAlign w:val="center"/>
          </w:tcPr>
          <w:p w14:paraId="5EB5760B" w14:textId="464FFBBE" w:rsidR="007F5FA9" w:rsidRPr="002B55E9" w:rsidRDefault="007F5FA9">
            <w:pPr>
              <w:pStyle w:val="affff6"/>
            </w:pPr>
            <w:r w:rsidRPr="002B55E9">
              <w:rPr>
                <w:rFonts w:hint="eastAsia"/>
              </w:rPr>
              <w:t>6</w:t>
            </w:r>
          </w:p>
        </w:tc>
        <w:tc>
          <w:tcPr>
            <w:tcW w:w="1982" w:type="dxa"/>
            <w:vAlign w:val="center"/>
          </w:tcPr>
          <w:p w14:paraId="727E65DA" w14:textId="4B221A5D" w:rsidR="007F5FA9" w:rsidRPr="002B55E9" w:rsidRDefault="007F5FA9">
            <w:pPr>
              <w:pStyle w:val="affff6"/>
              <w:ind w:leftChars="-50" w:left="-100" w:rightChars="-50" w:right="-100"/>
            </w:pPr>
            <w:r w:rsidRPr="002B55E9">
              <w:rPr>
                <w:rFonts w:hint="eastAsia"/>
              </w:rPr>
              <w:t>污水处理站</w:t>
            </w:r>
            <w:r w:rsidRPr="002B55E9">
              <w:t>污泥</w:t>
            </w:r>
          </w:p>
        </w:tc>
        <w:tc>
          <w:tcPr>
            <w:tcW w:w="1984" w:type="dxa"/>
            <w:vAlign w:val="center"/>
          </w:tcPr>
          <w:p w14:paraId="76163E93" w14:textId="3DA06FE4" w:rsidR="007F5FA9" w:rsidRPr="002B55E9" w:rsidRDefault="007F5FA9">
            <w:pPr>
              <w:pStyle w:val="affff6"/>
              <w:ind w:leftChars="-50" w:left="-100" w:rightChars="-50" w:right="-100"/>
            </w:pPr>
            <w:r w:rsidRPr="002B55E9">
              <w:rPr>
                <w:rFonts w:hint="eastAsia"/>
              </w:rPr>
              <w:t>污水处理</w:t>
            </w:r>
          </w:p>
        </w:tc>
        <w:tc>
          <w:tcPr>
            <w:tcW w:w="3568" w:type="dxa"/>
            <w:vAlign w:val="center"/>
          </w:tcPr>
          <w:p w14:paraId="4E6B7A46" w14:textId="28BAE1E7" w:rsidR="007F5FA9" w:rsidRPr="002B55E9" w:rsidRDefault="007F5FA9">
            <w:pPr>
              <w:pStyle w:val="affff6"/>
              <w:rPr>
                <w:szCs w:val="18"/>
              </w:rPr>
            </w:pPr>
            <w:r w:rsidRPr="002B55E9">
              <w:rPr>
                <w:rFonts w:hint="eastAsia"/>
                <w:szCs w:val="18"/>
              </w:rPr>
              <w:t>污泥</w:t>
            </w:r>
          </w:p>
        </w:tc>
        <w:tc>
          <w:tcPr>
            <w:tcW w:w="1251" w:type="dxa"/>
            <w:vAlign w:val="center"/>
          </w:tcPr>
          <w:p w14:paraId="0C3EA66D" w14:textId="23937CBB" w:rsidR="007F5FA9" w:rsidRPr="002B55E9" w:rsidRDefault="007F5FA9">
            <w:pPr>
              <w:jc w:val="center"/>
              <w:rPr>
                <w:sz w:val="18"/>
                <w:szCs w:val="18"/>
              </w:rPr>
            </w:pPr>
            <w:r w:rsidRPr="002B55E9">
              <w:rPr>
                <w:rFonts w:hint="eastAsia"/>
                <w:sz w:val="18"/>
                <w:szCs w:val="18"/>
              </w:rPr>
              <w:t>538</w:t>
            </w:r>
          </w:p>
        </w:tc>
      </w:tr>
      <w:tr w:rsidR="002B55E9" w:rsidRPr="002B55E9" w14:paraId="0D57827C" w14:textId="77777777">
        <w:trPr>
          <w:trHeight w:val="284"/>
        </w:trPr>
        <w:tc>
          <w:tcPr>
            <w:tcW w:w="8387" w:type="dxa"/>
            <w:gridSpan w:val="4"/>
            <w:vAlign w:val="center"/>
          </w:tcPr>
          <w:p w14:paraId="5AF22113" w14:textId="77777777" w:rsidR="00D170E5" w:rsidRPr="002B55E9" w:rsidRDefault="00EF27AD">
            <w:pPr>
              <w:pStyle w:val="affff6"/>
              <w:ind w:leftChars="-50" w:left="-100" w:rightChars="-50" w:right="-100"/>
              <w:rPr>
                <w:szCs w:val="18"/>
              </w:rPr>
            </w:pPr>
            <w:r w:rsidRPr="002B55E9">
              <w:rPr>
                <w:rFonts w:hint="eastAsia"/>
                <w:szCs w:val="18"/>
              </w:rPr>
              <w:t>合计</w:t>
            </w:r>
          </w:p>
        </w:tc>
        <w:tc>
          <w:tcPr>
            <w:tcW w:w="1251" w:type="dxa"/>
            <w:vAlign w:val="center"/>
          </w:tcPr>
          <w:p w14:paraId="15EBACF9" w14:textId="5944B1ED" w:rsidR="00D170E5" w:rsidRPr="002B55E9" w:rsidRDefault="00EF27AD">
            <w:pPr>
              <w:jc w:val="center"/>
              <w:rPr>
                <w:sz w:val="18"/>
                <w:szCs w:val="18"/>
              </w:rPr>
            </w:pPr>
            <w:r w:rsidRPr="002B55E9">
              <w:rPr>
                <w:sz w:val="18"/>
                <w:szCs w:val="18"/>
              </w:rPr>
              <w:fldChar w:fldCharType="begin"/>
            </w:r>
            <w:r w:rsidRPr="002B55E9">
              <w:rPr>
                <w:sz w:val="18"/>
                <w:szCs w:val="18"/>
              </w:rPr>
              <w:instrText xml:space="preserve"> =SUM(ABOVE) </w:instrText>
            </w:r>
            <w:r w:rsidRPr="002B55E9">
              <w:rPr>
                <w:sz w:val="18"/>
                <w:szCs w:val="18"/>
              </w:rPr>
              <w:fldChar w:fldCharType="separate"/>
            </w:r>
            <w:r w:rsidR="007F5FA9" w:rsidRPr="002B55E9">
              <w:rPr>
                <w:noProof/>
                <w:sz w:val="18"/>
                <w:szCs w:val="18"/>
              </w:rPr>
              <w:t>1113.97</w:t>
            </w:r>
            <w:r w:rsidRPr="002B55E9">
              <w:rPr>
                <w:sz w:val="18"/>
                <w:szCs w:val="18"/>
              </w:rPr>
              <w:fldChar w:fldCharType="end"/>
            </w:r>
          </w:p>
        </w:tc>
      </w:tr>
    </w:tbl>
    <w:bookmarkEnd w:id="166"/>
    <w:p w14:paraId="33999F82" w14:textId="3A0B13CA" w:rsidR="007F5FA9" w:rsidRPr="002B55E9" w:rsidRDefault="007F5FA9" w:rsidP="007F5FA9">
      <w:pPr>
        <w:pStyle w:val="lgy-"/>
        <w:jc w:val="both"/>
      </w:pPr>
      <w:r w:rsidRPr="002B55E9">
        <w:rPr>
          <w:rFonts w:hint="eastAsia"/>
        </w:rPr>
        <w:t>*</w:t>
      </w:r>
      <w:r w:rsidRPr="002B55E9">
        <w:rPr>
          <w:rFonts w:hint="eastAsia"/>
        </w:rPr>
        <w:t>污水处理站</w:t>
      </w:r>
      <w:r w:rsidRPr="002B55E9">
        <w:t>污泥不在本项目厂区</w:t>
      </w:r>
      <w:r w:rsidRPr="002B55E9">
        <w:rPr>
          <w:rFonts w:hint="eastAsia"/>
        </w:rPr>
        <w:t>内</w:t>
      </w:r>
      <w:r w:rsidRPr="002B55E9">
        <w:t>产生，其责任主体为</w:t>
      </w:r>
      <w:r w:rsidRPr="002B55E9">
        <w:rPr>
          <w:rFonts w:hint="eastAsia"/>
        </w:rPr>
        <w:t>佛山市海天（武汉）调味食品有限公司，污水处理站运营及污泥处置统一由其负责实施。</w:t>
      </w:r>
    </w:p>
    <w:p w14:paraId="71358119" w14:textId="49CC099D" w:rsidR="00D170E5" w:rsidRPr="002B55E9" w:rsidRDefault="00EF27AD">
      <w:pPr>
        <w:pStyle w:val="5"/>
        <w:numPr>
          <w:ilvl w:val="4"/>
          <w:numId w:val="20"/>
        </w:numPr>
      </w:pPr>
      <w:r w:rsidRPr="002B55E9">
        <w:rPr>
          <w:rFonts w:hint="eastAsia"/>
        </w:rPr>
        <w:t>危险废物</w:t>
      </w:r>
    </w:p>
    <w:p w14:paraId="2CA682CF" w14:textId="3FD44E07" w:rsidR="00D170E5" w:rsidRPr="002B55E9" w:rsidRDefault="00EF27AD">
      <w:pPr>
        <w:pStyle w:val="aa"/>
        <w:snapToGrid w:val="0"/>
        <w:rPr>
          <w:lang w:bidi="ne-NP"/>
        </w:rPr>
      </w:pPr>
      <w:bookmarkStart w:id="167" w:name="_Hlk81409851"/>
      <w:r w:rsidRPr="002B55E9">
        <w:rPr>
          <w:lang w:bidi="ne-NP"/>
        </w:rPr>
        <w:t>参照《建设项目危险废物环境影响评价指南》，本次评价对拟建项目产生的危险废物按要求进行分类统计，拟建项目危险废物主要为</w:t>
      </w:r>
      <w:r w:rsidRPr="002B55E9">
        <w:rPr>
          <w:rFonts w:hint="eastAsia"/>
          <w:lang w:bidi="ne-NP"/>
        </w:rPr>
        <w:t>废胶桶、废油墨桶、废墨盒、实验废液、废实验室耗材、废活性炭、废机油及含油抹布等。</w:t>
      </w:r>
    </w:p>
    <w:bookmarkEnd w:id="167"/>
    <w:p w14:paraId="0AF51A3E" w14:textId="77777777" w:rsidR="00D170E5" w:rsidRPr="002B55E9" w:rsidRDefault="00EF27AD">
      <w:pPr>
        <w:pStyle w:val="aa"/>
        <w:snapToGrid w:val="0"/>
        <w:rPr>
          <w:szCs w:val="24"/>
        </w:rPr>
      </w:pPr>
      <w:r w:rsidRPr="002B55E9">
        <w:rPr>
          <w:rFonts w:hint="eastAsia"/>
          <w:szCs w:val="24"/>
        </w:rPr>
        <w:t>（</w:t>
      </w:r>
      <w:r w:rsidRPr="002B55E9">
        <w:rPr>
          <w:rFonts w:hint="eastAsia"/>
          <w:szCs w:val="24"/>
        </w:rPr>
        <w:t>1</w:t>
      </w:r>
      <w:r w:rsidRPr="002B55E9">
        <w:rPr>
          <w:rFonts w:hint="eastAsia"/>
          <w:szCs w:val="24"/>
        </w:rPr>
        <w:t>）</w:t>
      </w:r>
      <w:r w:rsidRPr="002B55E9">
        <w:rPr>
          <w:rFonts w:hint="eastAsia"/>
          <w:lang w:bidi="ne-NP"/>
        </w:rPr>
        <w:t>废胶桶、废油墨桶、废墨盒</w:t>
      </w:r>
    </w:p>
    <w:p w14:paraId="77FC643B" w14:textId="77777777" w:rsidR="00D170E5" w:rsidRPr="002B55E9" w:rsidRDefault="00EF27AD">
      <w:pPr>
        <w:pStyle w:val="aa"/>
        <w:snapToGrid w:val="0"/>
      </w:pPr>
      <w:r w:rsidRPr="002B55E9">
        <w:rPr>
          <w:rFonts w:hint="eastAsia"/>
        </w:rPr>
        <w:t>项目</w:t>
      </w:r>
      <w:r w:rsidRPr="002B55E9">
        <w:t>产品</w:t>
      </w:r>
      <w:r w:rsidRPr="002B55E9">
        <w:rPr>
          <w:rFonts w:hint="eastAsia"/>
        </w:rPr>
        <w:t>包装喷码使用油墨后会产生废油墨桶、废墨盒，年产生量约为</w:t>
      </w:r>
      <w:r w:rsidRPr="002B55E9">
        <w:rPr>
          <w:rFonts w:hint="eastAsia"/>
        </w:rPr>
        <w:t>0</w:t>
      </w:r>
      <w:r w:rsidRPr="002B55E9">
        <w:t>.01t/a</w:t>
      </w:r>
      <w:r w:rsidRPr="002B55E9">
        <w:rPr>
          <w:rFonts w:hint="eastAsia"/>
        </w:rPr>
        <w:t>，贴标</w:t>
      </w:r>
      <w:r w:rsidRPr="002B55E9">
        <w:t>使用胶粘剂后会产生废胶粘剂桶</w:t>
      </w:r>
      <w:r w:rsidRPr="002B55E9">
        <w:rPr>
          <w:rFonts w:hint="eastAsia"/>
        </w:rPr>
        <w:t>，年产生量约为</w:t>
      </w:r>
      <w:r w:rsidRPr="002B55E9">
        <w:rPr>
          <w:rFonts w:hint="eastAsia"/>
        </w:rPr>
        <w:t>0</w:t>
      </w:r>
      <w:r w:rsidRPr="002B55E9">
        <w:t>.5t/a</w:t>
      </w:r>
      <w:r w:rsidRPr="002B55E9">
        <w:t>，</w:t>
      </w:r>
      <w:r w:rsidRPr="002B55E9">
        <w:rPr>
          <w:rFonts w:hint="eastAsia"/>
        </w:rPr>
        <w:t>废油墨桶、废墨盒、</w:t>
      </w:r>
      <w:r w:rsidRPr="002B55E9">
        <w:t>废胶粘剂桶</w:t>
      </w:r>
      <w:r w:rsidRPr="002B55E9">
        <w:rPr>
          <w:rFonts w:hint="eastAsia"/>
        </w:rPr>
        <w:t>等</w:t>
      </w:r>
      <w:r w:rsidRPr="002B55E9">
        <w:t>废</w:t>
      </w:r>
      <w:r w:rsidRPr="002B55E9">
        <w:rPr>
          <w:rFonts w:hint="eastAsia"/>
        </w:rPr>
        <w:t>化学品包装属于</w:t>
      </w:r>
      <w:r w:rsidRPr="002B55E9">
        <w:rPr>
          <w:rFonts w:hint="eastAsia"/>
        </w:rPr>
        <w:t>H</w:t>
      </w:r>
      <w:r w:rsidRPr="002B55E9">
        <w:t>W49</w:t>
      </w:r>
      <w:r w:rsidRPr="002B55E9">
        <w:rPr>
          <w:rFonts w:hint="eastAsia"/>
        </w:rPr>
        <w:t>类废物，废物代码为</w:t>
      </w:r>
      <w:r w:rsidRPr="002B55E9">
        <w:rPr>
          <w:rFonts w:hint="eastAsia"/>
        </w:rPr>
        <w:t>9</w:t>
      </w:r>
      <w:r w:rsidRPr="002B55E9">
        <w:t>00-041-49</w:t>
      </w:r>
      <w:r w:rsidRPr="002B55E9">
        <w:rPr>
          <w:rFonts w:hint="eastAsia"/>
        </w:rPr>
        <w:t>。</w:t>
      </w:r>
    </w:p>
    <w:p w14:paraId="289E35FA" w14:textId="77777777" w:rsidR="00D170E5" w:rsidRPr="002B55E9" w:rsidRDefault="00EF27AD">
      <w:pPr>
        <w:pStyle w:val="aa"/>
        <w:snapToGrid w:val="0"/>
      </w:pPr>
      <w:r w:rsidRPr="002B55E9">
        <w:rPr>
          <w:rFonts w:hint="eastAsia"/>
        </w:rPr>
        <w:t>（</w:t>
      </w:r>
      <w:r w:rsidRPr="002B55E9">
        <w:t>2</w:t>
      </w:r>
      <w:r w:rsidRPr="002B55E9">
        <w:rPr>
          <w:rFonts w:hint="eastAsia"/>
        </w:rPr>
        <w:t>）实验废液</w:t>
      </w:r>
    </w:p>
    <w:p w14:paraId="58898C1D" w14:textId="77777777" w:rsidR="00D170E5" w:rsidRPr="002B55E9" w:rsidRDefault="00EF27AD">
      <w:pPr>
        <w:pStyle w:val="aa"/>
        <w:snapToGrid w:val="0"/>
      </w:pPr>
      <w:r w:rsidRPr="002B55E9">
        <w:rPr>
          <w:rFonts w:hint="eastAsia"/>
        </w:rPr>
        <w:t>实验室实验过程会产生含有</w:t>
      </w:r>
      <w:r w:rsidRPr="002B55E9">
        <w:t>废酸、</w:t>
      </w:r>
      <w:r w:rsidRPr="002B55E9">
        <w:rPr>
          <w:rFonts w:hint="eastAsia"/>
        </w:rPr>
        <w:t>废</w:t>
      </w:r>
      <w:r w:rsidRPr="002B55E9">
        <w:t>碱</w:t>
      </w:r>
      <w:r w:rsidRPr="002B55E9">
        <w:rPr>
          <w:rFonts w:hint="eastAsia"/>
        </w:rPr>
        <w:t>等具有危险特性</w:t>
      </w:r>
      <w:r w:rsidRPr="002B55E9">
        <w:t>的</w:t>
      </w:r>
      <w:r w:rsidRPr="002B55E9">
        <w:rPr>
          <w:rFonts w:hint="eastAsia"/>
        </w:rPr>
        <w:t>废实验废液，产生量约为</w:t>
      </w:r>
      <w:r w:rsidRPr="002B55E9">
        <w:t>1.5t/a</w:t>
      </w:r>
      <w:r w:rsidRPr="002B55E9">
        <w:rPr>
          <w:rFonts w:hint="eastAsia"/>
        </w:rPr>
        <w:t>，实验室废液属于</w:t>
      </w:r>
      <w:r w:rsidRPr="002B55E9">
        <w:rPr>
          <w:rFonts w:hint="eastAsia"/>
        </w:rPr>
        <w:t>H</w:t>
      </w:r>
      <w:r w:rsidRPr="002B55E9">
        <w:t>W49</w:t>
      </w:r>
      <w:r w:rsidRPr="002B55E9">
        <w:rPr>
          <w:rFonts w:hint="eastAsia"/>
        </w:rPr>
        <w:t>类废物，废物代码为</w:t>
      </w:r>
      <w:r w:rsidRPr="002B55E9">
        <w:rPr>
          <w:rFonts w:hint="eastAsia"/>
        </w:rPr>
        <w:t>9</w:t>
      </w:r>
      <w:r w:rsidRPr="002B55E9">
        <w:t>00-047-49</w:t>
      </w:r>
      <w:r w:rsidRPr="002B55E9">
        <w:rPr>
          <w:rFonts w:hint="eastAsia"/>
        </w:rPr>
        <w:t>。</w:t>
      </w:r>
    </w:p>
    <w:p w14:paraId="2FD11BA3" w14:textId="77777777" w:rsidR="00D170E5" w:rsidRPr="002B55E9" w:rsidRDefault="00EF27AD">
      <w:pPr>
        <w:pStyle w:val="aa"/>
        <w:snapToGrid w:val="0"/>
      </w:pPr>
      <w:r w:rsidRPr="002B55E9">
        <w:rPr>
          <w:rFonts w:hint="eastAsia"/>
        </w:rPr>
        <w:t>（</w:t>
      </w:r>
      <w:r w:rsidRPr="002B55E9">
        <w:t>3</w:t>
      </w:r>
      <w:r w:rsidRPr="002B55E9">
        <w:rPr>
          <w:rFonts w:hint="eastAsia"/>
        </w:rPr>
        <w:t>）化验室废耗材</w:t>
      </w:r>
    </w:p>
    <w:p w14:paraId="041E13A9" w14:textId="77777777" w:rsidR="00D170E5" w:rsidRPr="002B55E9" w:rsidRDefault="00EF27AD">
      <w:pPr>
        <w:pStyle w:val="aa"/>
        <w:snapToGrid w:val="0"/>
      </w:pPr>
      <w:r w:rsidRPr="002B55E9">
        <w:rPr>
          <w:rFonts w:hint="eastAsia"/>
        </w:rPr>
        <w:t>化验室检测分析实验过程中会产生废移液管、废手套、</w:t>
      </w:r>
      <w:r w:rsidRPr="002B55E9">
        <w:t>废试剂瓶</w:t>
      </w:r>
      <w:r w:rsidRPr="002B55E9">
        <w:rPr>
          <w:rFonts w:hint="eastAsia"/>
        </w:rPr>
        <w:t>等，年产生约为</w:t>
      </w:r>
      <w:r w:rsidRPr="002B55E9">
        <w:rPr>
          <w:rFonts w:hint="eastAsia"/>
        </w:rPr>
        <w:t>0.5</w:t>
      </w:r>
      <w:r w:rsidRPr="002B55E9">
        <w:t>t/a</w:t>
      </w:r>
      <w:r w:rsidRPr="002B55E9">
        <w:rPr>
          <w:rFonts w:hint="eastAsia"/>
        </w:rPr>
        <w:t>，废实验室耗材属于</w:t>
      </w:r>
      <w:r w:rsidRPr="002B55E9">
        <w:rPr>
          <w:rFonts w:hint="eastAsia"/>
        </w:rPr>
        <w:t>H</w:t>
      </w:r>
      <w:r w:rsidRPr="002B55E9">
        <w:t>W49</w:t>
      </w:r>
      <w:r w:rsidRPr="002B55E9">
        <w:rPr>
          <w:rFonts w:hint="eastAsia"/>
        </w:rPr>
        <w:t>类废物，废物代码为</w:t>
      </w:r>
      <w:r w:rsidRPr="002B55E9">
        <w:rPr>
          <w:rFonts w:hint="eastAsia"/>
        </w:rPr>
        <w:t>9</w:t>
      </w:r>
      <w:r w:rsidRPr="002B55E9">
        <w:t>00-047-49</w:t>
      </w:r>
      <w:r w:rsidRPr="002B55E9">
        <w:rPr>
          <w:rFonts w:hint="eastAsia"/>
        </w:rPr>
        <w:t>。</w:t>
      </w:r>
    </w:p>
    <w:p w14:paraId="10E4ECE6" w14:textId="77777777" w:rsidR="00D170E5" w:rsidRPr="002B55E9" w:rsidRDefault="00EF27AD">
      <w:pPr>
        <w:pStyle w:val="aa"/>
        <w:snapToGrid w:val="0"/>
      </w:pPr>
      <w:r w:rsidRPr="002B55E9">
        <w:rPr>
          <w:rFonts w:hint="eastAsia"/>
        </w:rPr>
        <w:t>（</w:t>
      </w:r>
      <w:r w:rsidRPr="002B55E9">
        <w:t>4</w:t>
      </w:r>
      <w:r w:rsidRPr="002B55E9">
        <w:rPr>
          <w:rFonts w:hint="eastAsia"/>
        </w:rPr>
        <w:t>）</w:t>
      </w:r>
      <w:r w:rsidRPr="002B55E9">
        <w:t>废活性炭</w:t>
      </w:r>
    </w:p>
    <w:p w14:paraId="3960F75E" w14:textId="77777777" w:rsidR="00D170E5" w:rsidRPr="002B55E9" w:rsidRDefault="00EF27AD">
      <w:pPr>
        <w:pStyle w:val="aa"/>
        <w:snapToGrid w:val="0"/>
      </w:pPr>
      <w:r w:rsidRPr="002B55E9">
        <w:rPr>
          <w:rFonts w:hint="eastAsia"/>
        </w:rPr>
        <w:t>实验室</w:t>
      </w:r>
      <w:r w:rsidRPr="002B55E9">
        <w:t>活性炭吸附装置定期更换活性炭会产生废活性炭，产生量约为</w:t>
      </w:r>
      <w:r w:rsidRPr="002B55E9">
        <w:rPr>
          <w:rFonts w:hint="eastAsia"/>
        </w:rPr>
        <w:t>0.1</w:t>
      </w:r>
      <w:r w:rsidRPr="002B55E9">
        <w:t>t/a</w:t>
      </w:r>
      <w:r w:rsidRPr="002B55E9">
        <w:t>，废活性炭属于</w:t>
      </w:r>
      <w:r w:rsidRPr="002B55E9">
        <w:rPr>
          <w:rFonts w:hint="eastAsia"/>
        </w:rPr>
        <w:t>HW49</w:t>
      </w:r>
      <w:r w:rsidRPr="002B55E9">
        <w:rPr>
          <w:rFonts w:hint="eastAsia"/>
        </w:rPr>
        <w:t>类</w:t>
      </w:r>
      <w:r w:rsidRPr="002B55E9">
        <w:t>废物</w:t>
      </w:r>
      <w:r w:rsidRPr="002B55E9">
        <w:rPr>
          <w:rFonts w:hint="eastAsia"/>
        </w:rPr>
        <w:t>，</w:t>
      </w:r>
      <w:r w:rsidRPr="002B55E9">
        <w:t>废物代码为</w:t>
      </w:r>
      <w:r w:rsidRPr="002B55E9">
        <w:rPr>
          <w:rFonts w:hint="eastAsia"/>
        </w:rPr>
        <w:t>900-039-49</w:t>
      </w:r>
      <w:r w:rsidRPr="002B55E9">
        <w:rPr>
          <w:rFonts w:hint="eastAsia"/>
        </w:rPr>
        <w:t>。</w:t>
      </w:r>
    </w:p>
    <w:p w14:paraId="57FE9362" w14:textId="77777777" w:rsidR="00D170E5" w:rsidRPr="002B55E9" w:rsidRDefault="00EF27AD">
      <w:pPr>
        <w:pStyle w:val="aa"/>
        <w:snapToGrid w:val="0"/>
        <w:rPr>
          <w:szCs w:val="24"/>
        </w:rPr>
      </w:pPr>
      <w:r w:rsidRPr="002B55E9">
        <w:rPr>
          <w:rFonts w:hint="eastAsia"/>
          <w:szCs w:val="24"/>
        </w:rPr>
        <w:t>（</w:t>
      </w:r>
      <w:r w:rsidRPr="002B55E9">
        <w:rPr>
          <w:szCs w:val="24"/>
        </w:rPr>
        <w:t>5</w:t>
      </w:r>
      <w:r w:rsidRPr="002B55E9">
        <w:rPr>
          <w:rFonts w:hint="eastAsia"/>
          <w:szCs w:val="24"/>
        </w:rPr>
        <w:t>）废机油、含油抹布</w:t>
      </w:r>
    </w:p>
    <w:p w14:paraId="5C690651" w14:textId="77777777" w:rsidR="00D170E5" w:rsidRPr="002B55E9" w:rsidRDefault="00EF27AD">
      <w:pPr>
        <w:pStyle w:val="aa"/>
        <w:snapToGrid w:val="0"/>
      </w:pPr>
      <w:r w:rsidRPr="002B55E9">
        <w:rPr>
          <w:rFonts w:hint="eastAsia"/>
          <w:szCs w:val="24"/>
        </w:rPr>
        <w:lastRenderedPageBreak/>
        <w:t>在厂区各类设备、机泵检修时会产生含油抹布和废机油，废机油产生量约为</w:t>
      </w:r>
      <w:r w:rsidRPr="002B55E9">
        <w:rPr>
          <w:rFonts w:hint="eastAsia"/>
          <w:szCs w:val="24"/>
        </w:rPr>
        <w:t>0</w:t>
      </w:r>
      <w:r w:rsidRPr="002B55E9">
        <w:rPr>
          <w:szCs w:val="24"/>
        </w:rPr>
        <w:t>.5</w:t>
      </w:r>
      <w:r w:rsidRPr="002B55E9">
        <w:rPr>
          <w:rFonts w:hint="eastAsia"/>
          <w:szCs w:val="24"/>
        </w:rPr>
        <w:t>t</w:t>
      </w:r>
      <w:r w:rsidRPr="002B55E9">
        <w:rPr>
          <w:szCs w:val="24"/>
        </w:rPr>
        <w:t>/</w:t>
      </w:r>
      <w:r w:rsidRPr="002B55E9">
        <w:rPr>
          <w:rFonts w:hint="eastAsia"/>
          <w:szCs w:val="24"/>
        </w:rPr>
        <w:t>a</w:t>
      </w:r>
      <w:r w:rsidRPr="002B55E9">
        <w:rPr>
          <w:rFonts w:hint="eastAsia"/>
          <w:szCs w:val="24"/>
        </w:rPr>
        <w:t>，含油抹布产生量约为</w:t>
      </w:r>
      <w:r w:rsidRPr="002B55E9">
        <w:rPr>
          <w:rFonts w:hint="eastAsia"/>
          <w:szCs w:val="24"/>
        </w:rPr>
        <w:t>0</w:t>
      </w:r>
      <w:r w:rsidRPr="002B55E9">
        <w:rPr>
          <w:szCs w:val="24"/>
        </w:rPr>
        <w:t>.01</w:t>
      </w:r>
      <w:r w:rsidRPr="002B55E9">
        <w:rPr>
          <w:rFonts w:hint="eastAsia"/>
          <w:szCs w:val="24"/>
        </w:rPr>
        <w:t>t</w:t>
      </w:r>
      <w:r w:rsidRPr="002B55E9">
        <w:rPr>
          <w:szCs w:val="24"/>
        </w:rPr>
        <w:t>/</w:t>
      </w:r>
      <w:r w:rsidRPr="002B55E9">
        <w:rPr>
          <w:rFonts w:hint="eastAsia"/>
          <w:szCs w:val="24"/>
        </w:rPr>
        <w:t>a</w:t>
      </w:r>
      <w:r w:rsidRPr="002B55E9">
        <w:rPr>
          <w:rFonts w:hint="eastAsia"/>
          <w:szCs w:val="24"/>
        </w:rPr>
        <w:t>。废机油</w:t>
      </w:r>
      <w:r w:rsidRPr="002B55E9">
        <w:rPr>
          <w:rFonts w:hint="eastAsia"/>
        </w:rPr>
        <w:t>属于</w:t>
      </w:r>
      <w:r w:rsidRPr="002B55E9">
        <w:rPr>
          <w:rFonts w:hint="eastAsia"/>
        </w:rPr>
        <w:t>H</w:t>
      </w:r>
      <w:r w:rsidRPr="002B55E9">
        <w:t>W08</w:t>
      </w:r>
      <w:r w:rsidRPr="002B55E9">
        <w:rPr>
          <w:rFonts w:hint="eastAsia"/>
        </w:rPr>
        <w:t>类废物，废物代码为</w:t>
      </w:r>
      <w:r w:rsidRPr="002B55E9">
        <w:rPr>
          <w:rFonts w:hint="eastAsia"/>
        </w:rPr>
        <w:t>9</w:t>
      </w:r>
      <w:r w:rsidRPr="002B55E9">
        <w:t>00-214-08</w:t>
      </w:r>
      <w:r w:rsidRPr="002B55E9">
        <w:rPr>
          <w:rFonts w:hint="eastAsia"/>
        </w:rPr>
        <w:t>，废含油抹布属于</w:t>
      </w:r>
      <w:r w:rsidRPr="002B55E9">
        <w:rPr>
          <w:rFonts w:hint="eastAsia"/>
        </w:rPr>
        <w:t>H</w:t>
      </w:r>
      <w:r w:rsidRPr="002B55E9">
        <w:t>W49</w:t>
      </w:r>
      <w:r w:rsidRPr="002B55E9">
        <w:rPr>
          <w:rFonts w:hint="eastAsia"/>
        </w:rPr>
        <w:t>类废物，废物代码为</w:t>
      </w:r>
      <w:r w:rsidRPr="002B55E9">
        <w:rPr>
          <w:rFonts w:hint="eastAsia"/>
        </w:rPr>
        <w:t>9</w:t>
      </w:r>
      <w:r w:rsidRPr="002B55E9">
        <w:t>00-041-49</w:t>
      </w:r>
      <w:r w:rsidRPr="002B55E9">
        <w:rPr>
          <w:rFonts w:hint="eastAsia"/>
        </w:rPr>
        <w:t>。</w:t>
      </w:r>
    </w:p>
    <w:p w14:paraId="44244AF6" w14:textId="6611730D" w:rsidR="00D170E5" w:rsidRPr="002B55E9" w:rsidRDefault="00EF27AD">
      <w:pPr>
        <w:pStyle w:val="1f3"/>
        <w:spacing w:before="120"/>
        <w:rPr>
          <w:lang w:bidi="ne-NP"/>
        </w:rPr>
      </w:pPr>
      <w:r w:rsidRPr="002B55E9">
        <w:rPr>
          <w:lang w:bidi="ne-NP"/>
        </w:rPr>
        <w:t>表</w:t>
      </w:r>
      <w:r w:rsidRPr="002B55E9">
        <w:rPr>
          <w:lang w:bidi="ne-NP"/>
        </w:rPr>
        <w:t>3</w:t>
      </w:r>
      <w:r w:rsidRPr="002B55E9">
        <w:rPr>
          <w:rFonts w:hint="eastAsia"/>
          <w:lang w:bidi="ne-NP"/>
        </w:rPr>
        <w:t>-</w:t>
      </w:r>
      <w:r w:rsidRPr="002B55E9">
        <w:rPr>
          <w:lang w:bidi="ne-NP"/>
        </w:rPr>
        <w:t>3</w:t>
      </w:r>
      <w:r w:rsidRPr="002B55E9">
        <w:rPr>
          <w:rFonts w:hint="eastAsia"/>
          <w:lang w:bidi="ne-NP"/>
        </w:rPr>
        <w:t>-</w:t>
      </w:r>
      <w:r w:rsidRPr="002B55E9">
        <w:rPr>
          <w:lang w:bidi="ne-NP"/>
        </w:rPr>
        <w:t xml:space="preserve">32 </w:t>
      </w:r>
      <w:r w:rsidRPr="002B55E9">
        <w:rPr>
          <w:rFonts w:hint="eastAsia"/>
          <w:lang w:bidi="ne-NP"/>
        </w:rPr>
        <w:t xml:space="preserve"> </w:t>
      </w:r>
      <w:r w:rsidRPr="002B55E9">
        <w:rPr>
          <w:lang w:bidi="ne-NP"/>
        </w:rPr>
        <w:t xml:space="preserve"> </w:t>
      </w:r>
      <w:r w:rsidRPr="002B55E9">
        <w:rPr>
          <w:rFonts w:hint="eastAsia"/>
          <w:lang w:bidi="ne-NP"/>
        </w:rPr>
        <w:t>危险废物来源、成分及产生情况</w:t>
      </w:r>
      <w:r w:rsidRPr="002B55E9">
        <w:rPr>
          <w:lang w:bidi="ne-NP"/>
        </w:rPr>
        <w:t>一览表</w:t>
      </w:r>
    </w:p>
    <w:tbl>
      <w:tblPr>
        <w:tblStyle w:val="lgy2"/>
        <w:tblW w:w="5000" w:type="pct"/>
        <w:tblLayout w:type="fixed"/>
        <w:tblCellMar>
          <w:left w:w="28" w:type="dxa"/>
          <w:right w:w="28" w:type="dxa"/>
        </w:tblCellMar>
        <w:tblLook w:val="04A0" w:firstRow="1" w:lastRow="0" w:firstColumn="1" w:lastColumn="0" w:noHBand="0" w:noVBand="1"/>
      </w:tblPr>
      <w:tblGrid>
        <w:gridCol w:w="421"/>
        <w:gridCol w:w="1099"/>
        <w:gridCol w:w="655"/>
        <w:gridCol w:w="767"/>
        <w:gridCol w:w="641"/>
        <w:gridCol w:w="951"/>
        <w:gridCol w:w="464"/>
        <w:gridCol w:w="1010"/>
        <w:gridCol w:w="1010"/>
        <w:gridCol w:w="766"/>
        <w:gridCol w:w="766"/>
        <w:gridCol w:w="1144"/>
      </w:tblGrid>
      <w:tr w:rsidR="002B55E9" w:rsidRPr="002B55E9" w14:paraId="7AE5C20E" w14:textId="77777777" w:rsidTr="00FE28E2">
        <w:trPr>
          <w:cnfStyle w:val="100000000000" w:firstRow="1" w:lastRow="0" w:firstColumn="0" w:lastColumn="0" w:oddVBand="0" w:evenVBand="0" w:oddHBand="0" w:evenHBand="0" w:firstRowFirstColumn="0" w:firstRowLastColumn="0" w:lastRowFirstColumn="0" w:lastRowLastColumn="0"/>
          <w:trHeight w:val="283"/>
        </w:trPr>
        <w:tc>
          <w:tcPr>
            <w:tcW w:w="418" w:type="dxa"/>
          </w:tcPr>
          <w:p w14:paraId="3F5C8AAC" w14:textId="77777777" w:rsidR="00084DD8" w:rsidRPr="002B55E9" w:rsidRDefault="00084DD8" w:rsidP="00FE28E2">
            <w:pPr>
              <w:pStyle w:val="lgy-"/>
              <w:rPr>
                <w:rFonts w:eastAsia="宋体"/>
              </w:rPr>
            </w:pPr>
            <w:r w:rsidRPr="002B55E9">
              <w:rPr>
                <w:rFonts w:eastAsia="宋体" w:hint="eastAsia"/>
              </w:rPr>
              <w:t>编号</w:t>
            </w:r>
          </w:p>
        </w:tc>
        <w:tc>
          <w:tcPr>
            <w:tcW w:w="1093" w:type="dxa"/>
          </w:tcPr>
          <w:p w14:paraId="5C40B103" w14:textId="77777777" w:rsidR="00084DD8" w:rsidRPr="002B55E9" w:rsidRDefault="00084DD8" w:rsidP="00FE28E2">
            <w:pPr>
              <w:pStyle w:val="lgy-"/>
              <w:rPr>
                <w:rFonts w:eastAsia="宋体"/>
              </w:rPr>
            </w:pPr>
            <w:r w:rsidRPr="002B55E9">
              <w:rPr>
                <w:rFonts w:eastAsia="宋体" w:hint="eastAsia"/>
              </w:rPr>
              <w:t>危险废物名称</w:t>
            </w:r>
          </w:p>
        </w:tc>
        <w:tc>
          <w:tcPr>
            <w:tcW w:w="651" w:type="dxa"/>
          </w:tcPr>
          <w:p w14:paraId="38D3B9B3" w14:textId="77777777" w:rsidR="00084DD8" w:rsidRPr="002B55E9" w:rsidRDefault="00084DD8" w:rsidP="00FE28E2">
            <w:pPr>
              <w:pStyle w:val="lgy-"/>
              <w:rPr>
                <w:rFonts w:eastAsia="宋体"/>
              </w:rPr>
            </w:pPr>
            <w:r w:rsidRPr="002B55E9">
              <w:rPr>
                <w:rFonts w:eastAsia="宋体" w:hint="eastAsia"/>
              </w:rPr>
              <w:t>危险废物类别</w:t>
            </w:r>
          </w:p>
        </w:tc>
        <w:tc>
          <w:tcPr>
            <w:tcW w:w="763" w:type="dxa"/>
          </w:tcPr>
          <w:p w14:paraId="2D87DA4D" w14:textId="77777777" w:rsidR="00084DD8" w:rsidRPr="002B55E9" w:rsidRDefault="00084DD8" w:rsidP="00FE28E2">
            <w:pPr>
              <w:pStyle w:val="lgy-"/>
              <w:rPr>
                <w:rFonts w:eastAsia="宋体"/>
              </w:rPr>
            </w:pPr>
            <w:r w:rsidRPr="002B55E9">
              <w:rPr>
                <w:rFonts w:eastAsia="宋体" w:hint="eastAsia"/>
              </w:rPr>
              <w:t>危险废物代码</w:t>
            </w:r>
          </w:p>
        </w:tc>
        <w:tc>
          <w:tcPr>
            <w:tcW w:w="637" w:type="dxa"/>
          </w:tcPr>
          <w:p w14:paraId="4FCE8062" w14:textId="77777777" w:rsidR="00084DD8" w:rsidRPr="002B55E9" w:rsidRDefault="00084DD8" w:rsidP="00FE28E2">
            <w:pPr>
              <w:pStyle w:val="lgy-"/>
              <w:rPr>
                <w:rFonts w:eastAsia="宋体"/>
              </w:rPr>
            </w:pPr>
            <w:r w:rsidRPr="002B55E9">
              <w:rPr>
                <w:rFonts w:eastAsia="宋体"/>
              </w:rPr>
              <w:t>产生量</w:t>
            </w:r>
          </w:p>
          <w:p w14:paraId="40200339" w14:textId="77777777" w:rsidR="00084DD8" w:rsidRPr="002B55E9" w:rsidRDefault="00084DD8" w:rsidP="00FE28E2">
            <w:pPr>
              <w:pStyle w:val="lgy-"/>
              <w:rPr>
                <w:rFonts w:eastAsia="宋体"/>
              </w:rPr>
            </w:pPr>
            <w:r w:rsidRPr="002B55E9">
              <w:rPr>
                <w:rFonts w:eastAsia="宋体"/>
              </w:rPr>
              <w:t>（</w:t>
            </w:r>
            <w:r w:rsidRPr="002B55E9">
              <w:rPr>
                <w:rFonts w:eastAsia="宋体"/>
              </w:rPr>
              <w:t>t/a</w:t>
            </w:r>
            <w:r w:rsidRPr="002B55E9">
              <w:rPr>
                <w:rFonts w:eastAsia="宋体"/>
              </w:rPr>
              <w:t>）</w:t>
            </w:r>
          </w:p>
        </w:tc>
        <w:tc>
          <w:tcPr>
            <w:tcW w:w="946" w:type="dxa"/>
          </w:tcPr>
          <w:p w14:paraId="27287075" w14:textId="77777777" w:rsidR="00084DD8" w:rsidRPr="002B55E9" w:rsidRDefault="00084DD8" w:rsidP="00FE28E2">
            <w:pPr>
              <w:pStyle w:val="lgy-"/>
              <w:rPr>
                <w:rFonts w:eastAsia="宋体"/>
              </w:rPr>
            </w:pPr>
            <w:r w:rsidRPr="002B55E9">
              <w:rPr>
                <w:rFonts w:eastAsia="宋体" w:hint="eastAsia"/>
              </w:rPr>
              <w:t>产生工序及位置</w:t>
            </w:r>
          </w:p>
        </w:tc>
        <w:tc>
          <w:tcPr>
            <w:tcW w:w="461" w:type="dxa"/>
          </w:tcPr>
          <w:p w14:paraId="556F0EAC" w14:textId="77777777" w:rsidR="00084DD8" w:rsidRPr="002B55E9" w:rsidRDefault="00084DD8" w:rsidP="00FE28E2">
            <w:pPr>
              <w:pStyle w:val="lgy-"/>
              <w:rPr>
                <w:rFonts w:eastAsia="宋体"/>
              </w:rPr>
            </w:pPr>
            <w:r w:rsidRPr="002B55E9">
              <w:rPr>
                <w:rFonts w:eastAsia="宋体" w:hint="eastAsia"/>
              </w:rPr>
              <w:t>形态</w:t>
            </w:r>
          </w:p>
        </w:tc>
        <w:tc>
          <w:tcPr>
            <w:tcW w:w="1004" w:type="dxa"/>
          </w:tcPr>
          <w:p w14:paraId="576110F5" w14:textId="1D2A3FE9" w:rsidR="00084DD8" w:rsidRPr="002B55E9" w:rsidRDefault="00084DD8" w:rsidP="00FE28E2">
            <w:pPr>
              <w:pStyle w:val="lgy-"/>
              <w:rPr>
                <w:rFonts w:eastAsia="宋体"/>
              </w:rPr>
            </w:pPr>
            <w:r w:rsidRPr="002B55E9">
              <w:rPr>
                <w:rFonts w:eastAsia="宋体" w:hint="eastAsia"/>
              </w:rPr>
              <w:t>主要</w:t>
            </w:r>
            <w:r w:rsidRPr="002B55E9">
              <w:rPr>
                <w:rFonts w:eastAsia="宋体"/>
              </w:rPr>
              <w:t>成分</w:t>
            </w:r>
          </w:p>
        </w:tc>
        <w:tc>
          <w:tcPr>
            <w:tcW w:w="1004" w:type="dxa"/>
          </w:tcPr>
          <w:p w14:paraId="2092B1FB" w14:textId="2663A296" w:rsidR="00084DD8" w:rsidRPr="002B55E9" w:rsidRDefault="00084DD8" w:rsidP="00FE28E2">
            <w:pPr>
              <w:pStyle w:val="lgy-"/>
              <w:rPr>
                <w:rFonts w:eastAsia="宋体"/>
              </w:rPr>
            </w:pPr>
            <w:r w:rsidRPr="002B55E9">
              <w:rPr>
                <w:rFonts w:eastAsia="宋体" w:hint="eastAsia"/>
              </w:rPr>
              <w:t>有害成分</w:t>
            </w:r>
          </w:p>
        </w:tc>
        <w:tc>
          <w:tcPr>
            <w:tcW w:w="762" w:type="dxa"/>
          </w:tcPr>
          <w:p w14:paraId="36C2A753" w14:textId="77777777" w:rsidR="00084DD8" w:rsidRPr="002B55E9" w:rsidRDefault="00084DD8" w:rsidP="00FE28E2">
            <w:pPr>
              <w:pStyle w:val="lgy-"/>
              <w:rPr>
                <w:rFonts w:eastAsia="宋体"/>
              </w:rPr>
            </w:pPr>
            <w:r w:rsidRPr="002B55E9">
              <w:rPr>
                <w:rFonts w:eastAsia="宋体" w:hint="eastAsia"/>
              </w:rPr>
              <w:t>产废周期</w:t>
            </w:r>
          </w:p>
        </w:tc>
        <w:tc>
          <w:tcPr>
            <w:tcW w:w="762" w:type="dxa"/>
          </w:tcPr>
          <w:p w14:paraId="6499FD62" w14:textId="77777777" w:rsidR="00084DD8" w:rsidRPr="002B55E9" w:rsidRDefault="00084DD8" w:rsidP="00FE28E2">
            <w:pPr>
              <w:pStyle w:val="lgy-"/>
              <w:rPr>
                <w:rFonts w:eastAsia="宋体"/>
              </w:rPr>
            </w:pPr>
            <w:r w:rsidRPr="002B55E9">
              <w:rPr>
                <w:rFonts w:eastAsia="宋体" w:hint="eastAsia"/>
              </w:rPr>
              <w:t>危废特性</w:t>
            </w:r>
          </w:p>
        </w:tc>
        <w:tc>
          <w:tcPr>
            <w:tcW w:w="1137" w:type="dxa"/>
          </w:tcPr>
          <w:p w14:paraId="029A7777" w14:textId="77777777" w:rsidR="00084DD8" w:rsidRPr="002B55E9" w:rsidRDefault="00084DD8" w:rsidP="00FE28E2">
            <w:pPr>
              <w:pStyle w:val="lgy-"/>
              <w:rPr>
                <w:rFonts w:eastAsia="宋体"/>
              </w:rPr>
            </w:pPr>
            <w:r w:rsidRPr="002B55E9">
              <w:rPr>
                <w:rFonts w:eastAsia="宋体" w:hint="eastAsia"/>
              </w:rPr>
              <w:t>污染防治措施</w:t>
            </w:r>
          </w:p>
        </w:tc>
      </w:tr>
      <w:tr w:rsidR="002B55E9" w:rsidRPr="002B55E9" w14:paraId="68C353FD" w14:textId="77777777" w:rsidTr="00FE28E2">
        <w:trPr>
          <w:trHeight w:val="283"/>
        </w:trPr>
        <w:tc>
          <w:tcPr>
            <w:tcW w:w="418" w:type="dxa"/>
          </w:tcPr>
          <w:p w14:paraId="5B528B46" w14:textId="77777777" w:rsidR="00084DD8" w:rsidRPr="002B55E9" w:rsidRDefault="00084DD8" w:rsidP="00FE28E2">
            <w:pPr>
              <w:pStyle w:val="lgy-"/>
              <w:rPr>
                <w:rFonts w:eastAsia="宋体"/>
              </w:rPr>
            </w:pPr>
            <w:r w:rsidRPr="002B55E9">
              <w:rPr>
                <w:rFonts w:eastAsia="宋体"/>
              </w:rPr>
              <w:t>1</w:t>
            </w:r>
          </w:p>
        </w:tc>
        <w:tc>
          <w:tcPr>
            <w:tcW w:w="1093" w:type="dxa"/>
          </w:tcPr>
          <w:p w14:paraId="08B5D479" w14:textId="77777777" w:rsidR="00084DD8" w:rsidRPr="002B55E9" w:rsidRDefault="00084DD8" w:rsidP="00FE28E2">
            <w:pPr>
              <w:pStyle w:val="lgy-"/>
              <w:rPr>
                <w:rFonts w:eastAsia="宋体"/>
              </w:rPr>
            </w:pPr>
            <w:r w:rsidRPr="002B55E9">
              <w:rPr>
                <w:rFonts w:eastAsia="宋体" w:hint="eastAsia"/>
              </w:rPr>
              <w:t>废油墨桶、废墨盒、废胶粘剂桶等</w:t>
            </w:r>
          </w:p>
        </w:tc>
        <w:tc>
          <w:tcPr>
            <w:tcW w:w="651" w:type="dxa"/>
          </w:tcPr>
          <w:p w14:paraId="42A4E9D8" w14:textId="77777777" w:rsidR="00084DD8" w:rsidRPr="002B55E9" w:rsidRDefault="00084DD8" w:rsidP="00FE28E2">
            <w:pPr>
              <w:pStyle w:val="lgy-"/>
              <w:rPr>
                <w:rFonts w:eastAsia="宋体"/>
              </w:rPr>
            </w:pPr>
            <w:r w:rsidRPr="002B55E9">
              <w:rPr>
                <w:rFonts w:eastAsia="宋体" w:hint="eastAsia"/>
              </w:rPr>
              <w:t>H</w:t>
            </w:r>
            <w:r w:rsidRPr="002B55E9">
              <w:rPr>
                <w:rFonts w:eastAsia="宋体"/>
              </w:rPr>
              <w:t>W49</w:t>
            </w:r>
          </w:p>
        </w:tc>
        <w:tc>
          <w:tcPr>
            <w:tcW w:w="763" w:type="dxa"/>
          </w:tcPr>
          <w:p w14:paraId="4BABCCAC" w14:textId="77777777" w:rsidR="00084DD8" w:rsidRPr="002B55E9" w:rsidRDefault="00084DD8" w:rsidP="00FE28E2">
            <w:pPr>
              <w:pStyle w:val="lgy-"/>
              <w:rPr>
                <w:rFonts w:eastAsia="宋体"/>
              </w:rPr>
            </w:pPr>
            <w:r w:rsidRPr="002B55E9">
              <w:rPr>
                <w:rFonts w:eastAsia="宋体" w:hint="eastAsia"/>
              </w:rPr>
              <w:t>9</w:t>
            </w:r>
            <w:r w:rsidRPr="002B55E9">
              <w:rPr>
                <w:rFonts w:eastAsia="宋体"/>
              </w:rPr>
              <w:t>00-041-49</w:t>
            </w:r>
          </w:p>
        </w:tc>
        <w:tc>
          <w:tcPr>
            <w:tcW w:w="637" w:type="dxa"/>
          </w:tcPr>
          <w:p w14:paraId="18D7CE16" w14:textId="77777777" w:rsidR="00084DD8" w:rsidRPr="002B55E9" w:rsidRDefault="00084DD8" w:rsidP="00FE28E2">
            <w:pPr>
              <w:pStyle w:val="lgy-"/>
              <w:rPr>
                <w:rFonts w:eastAsia="宋体"/>
              </w:rPr>
            </w:pPr>
            <w:r w:rsidRPr="002B55E9">
              <w:rPr>
                <w:rFonts w:eastAsia="宋体"/>
              </w:rPr>
              <w:t>0.51</w:t>
            </w:r>
          </w:p>
        </w:tc>
        <w:tc>
          <w:tcPr>
            <w:tcW w:w="946" w:type="dxa"/>
          </w:tcPr>
          <w:p w14:paraId="2A09CF2D" w14:textId="77777777" w:rsidR="00084DD8" w:rsidRPr="002B55E9" w:rsidRDefault="00084DD8" w:rsidP="00FE28E2">
            <w:pPr>
              <w:pStyle w:val="lgy-"/>
              <w:rPr>
                <w:rFonts w:eastAsia="宋体"/>
              </w:rPr>
            </w:pPr>
            <w:r w:rsidRPr="002B55E9">
              <w:rPr>
                <w:rFonts w:eastAsia="宋体" w:hint="eastAsia"/>
              </w:rPr>
              <w:t>包装</w:t>
            </w:r>
          </w:p>
        </w:tc>
        <w:tc>
          <w:tcPr>
            <w:tcW w:w="461" w:type="dxa"/>
          </w:tcPr>
          <w:p w14:paraId="555DB921" w14:textId="77777777" w:rsidR="00084DD8" w:rsidRPr="002B55E9" w:rsidRDefault="00084DD8" w:rsidP="00FE28E2">
            <w:pPr>
              <w:pStyle w:val="lgy-"/>
              <w:rPr>
                <w:rFonts w:eastAsia="宋体"/>
              </w:rPr>
            </w:pPr>
            <w:r w:rsidRPr="002B55E9">
              <w:rPr>
                <w:rFonts w:eastAsia="宋体" w:hint="eastAsia"/>
              </w:rPr>
              <w:t>固</w:t>
            </w:r>
          </w:p>
        </w:tc>
        <w:tc>
          <w:tcPr>
            <w:tcW w:w="1004" w:type="dxa"/>
          </w:tcPr>
          <w:p w14:paraId="0EEF897A" w14:textId="3E32F645" w:rsidR="00084DD8" w:rsidRPr="002B55E9" w:rsidRDefault="00084DD8" w:rsidP="00FE28E2">
            <w:pPr>
              <w:pStyle w:val="lgy-"/>
              <w:rPr>
                <w:rFonts w:eastAsia="宋体"/>
              </w:rPr>
            </w:pPr>
            <w:r w:rsidRPr="002B55E9">
              <w:rPr>
                <w:rFonts w:eastAsia="宋体" w:hint="eastAsia"/>
              </w:rPr>
              <w:t>废油墨桶、废墨盒、废胶粘剂桶等</w:t>
            </w:r>
          </w:p>
        </w:tc>
        <w:tc>
          <w:tcPr>
            <w:tcW w:w="1004" w:type="dxa"/>
          </w:tcPr>
          <w:p w14:paraId="07940148" w14:textId="41D4773F" w:rsidR="00084DD8" w:rsidRPr="002B55E9" w:rsidRDefault="00084DD8" w:rsidP="00FE28E2">
            <w:pPr>
              <w:pStyle w:val="lgy-"/>
              <w:rPr>
                <w:rFonts w:eastAsia="宋体"/>
              </w:rPr>
            </w:pPr>
            <w:r w:rsidRPr="002B55E9">
              <w:rPr>
                <w:rFonts w:eastAsia="宋体" w:hint="eastAsia"/>
              </w:rPr>
              <w:t>油墨、</w:t>
            </w:r>
            <w:r w:rsidRPr="002B55E9">
              <w:rPr>
                <w:rFonts w:eastAsia="宋体"/>
              </w:rPr>
              <w:t>胶粘剂等</w:t>
            </w:r>
          </w:p>
        </w:tc>
        <w:tc>
          <w:tcPr>
            <w:tcW w:w="762" w:type="dxa"/>
          </w:tcPr>
          <w:p w14:paraId="5401D5E9" w14:textId="77777777" w:rsidR="00084DD8" w:rsidRPr="002B55E9" w:rsidRDefault="00084DD8" w:rsidP="00FE28E2">
            <w:pPr>
              <w:pStyle w:val="lgy-"/>
              <w:rPr>
                <w:rFonts w:eastAsia="宋体"/>
              </w:rPr>
            </w:pPr>
            <w:r w:rsidRPr="002B55E9">
              <w:rPr>
                <w:rFonts w:eastAsia="宋体" w:hint="eastAsia"/>
              </w:rPr>
              <w:t>日</w:t>
            </w:r>
          </w:p>
        </w:tc>
        <w:tc>
          <w:tcPr>
            <w:tcW w:w="762" w:type="dxa"/>
          </w:tcPr>
          <w:p w14:paraId="657832AB" w14:textId="77777777" w:rsidR="00084DD8" w:rsidRPr="002B55E9" w:rsidRDefault="00084DD8" w:rsidP="00FE28E2">
            <w:pPr>
              <w:pStyle w:val="lgy-"/>
              <w:rPr>
                <w:rFonts w:eastAsia="宋体"/>
              </w:rPr>
            </w:pPr>
            <w:r w:rsidRPr="002B55E9">
              <w:rPr>
                <w:rFonts w:eastAsia="宋体" w:hint="eastAsia"/>
              </w:rPr>
              <w:t>T/I</w:t>
            </w:r>
            <w:r w:rsidRPr="002B55E9">
              <w:rPr>
                <w:rFonts w:eastAsia="宋体"/>
              </w:rPr>
              <w:t>n</w:t>
            </w:r>
          </w:p>
        </w:tc>
        <w:tc>
          <w:tcPr>
            <w:tcW w:w="1137" w:type="dxa"/>
            <w:vMerge w:val="restart"/>
          </w:tcPr>
          <w:p w14:paraId="4F3CC0F5" w14:textId="77777777" w:rsidR="00084DD8" w:rsidRPr="002B55E9" w:rsidRDefault="00084DD8" w:rsidP="00FE28E2">
            <w:pPr>
              <w:pStyle w:val="lgy-"/>
              <w:rPr>
                <w:rFonts w:eastAsia="宋体"/>
              </w:rPr>
            </w:pPr>
            <w:r w:rsidRPr="002B55E9">
              <w:rPr>
                <w:rFonts w:eastAsia="宋体" w:hint="eastAsia"/>
              </w:rPr>
              <w:t>危险废物暂存间内分类暂存，定期交有资质的单位进行妥善处置。</w:t>
            </w:r>
          </w:p>
        </w:tc>
      </w:tr>
      <w:tr w:rsidR="002B55E9" w:rsidRPr="002B55E9" w14:paraId="0D1A2C97" w14:textId="77777777" w:rsidTr="00FE28E2">
        <w:trPr>
          <w:trHeight w:val="283"/>
        </w:trPr>
        <w:tc>
          <w:tcPr>
            <w:tcW w:w="418" w:type="dxa"/>
          </w:tcPr>
          <w:p w14:paraId="2879FAB6" w14:textId="77777777" w:rsidR="00084DD8" w:rsidRPr="002B55E9" w:rsidRDefault="00084DD8" w:rsidP="00FE28E2">
            <w:pPr>
              <w:pStyle w:val="lgy-"/>
              <w:rPr>
                <w:rFonts w:eastAsia="宋体"/>
              </w:rPr>
            </w:pPr>
            <w:r w:rsidRPr="002B55E9">
              <w:rPr>
                <w:rFonts w:eastAsia="宋体" w:hint="eastAsia"/>
              </w:rPr>
              <w:t>2</w:t>
            </w:r>
          </w:p>
        </w:tc>
        <w:tc>
          <w:tcPr>
            <w:tcW w:w="1093" w:type="dxa"/>
          </w:tcPr>
          <w:p w14:paraId="6A93DDE0" w14:textId="77777777" w:rsidR="00084DD8" w:rsidRPr="002B55E9" w:rsidRDefault="00084DD8" w:rsidP="00FE28E2">
            <w:pPr>
              <w:pStyle w:val="lgy-"/>
              <w:rPr>
                <w:rFonts w:eastAsia="宋体"/>
              </w:rPr>
            </w:pPr>
            <w:r w:rsidRPr="002B55E9">
              <w:rPr>
                <w:rFonts w:eastAsia="宋体" w:hint="eastAsia"/>
              </w:rPr>
              <w:t>实验废液</w:t>
            </w:r>
          </w:p>
        </w:tc>
        <w:tc>
          <w:tcPr>
            <w:tcW w:w="651" w:type="dxa"/>
          </w:tcPr>
          <w:p w14:paraId="45B3B856" w14:textId="77777777" w:rsidR="00084DD8" w:rsidRPr="002B55E9" w:rsidRDefault="00084DD8" w:rsidP="00FE28E2">
            <w:pPr>
              <w:pStyle w:val="lgy-"/>
              <w:rPr>
                <w:rFonts w:eastAsia="宋体"/>
              </w:rPr>
            </w:pPr>
            <w:r w:rsidRPr="002B55E9">
              <w:rPr>
                <w:rFonts w:eastAsia="宋体" w:hint="eastAsia"/>
              </w:rPr>
              <w:t>H</w:t>
            </w:r>
            <w:r w:rsidRPr="002B55E9">
              <w:rPr>
                <w:rFonts w:eastAsia="宋体"/>
              </w:rPr>
              <w:t>W49</w:t>
            </w:r>
          </w:p>
        </w:tc>
        <w:tc>
          <w:tcPr>
            <w:tcW w:w="763" w:type="dxa"/>
          </w:tcPr>
          <w:p w14:paraId="1AB38C8B" w14:textId="77777777" w:rsidR="00084DD8" w:rsidRPr="002B55E9" w:rsidRDefault="00084DD8" w:rsidP="00FE28E2">
            <w:pPr>
              <w:pStyle w:val="lgy-"/>
              <w:rPr>
                <w:rFonts w:eastAsia="宋体"/>
              </w:rPr>
            </w:pPr>
            <w:r w:rsidRPr="002B55E9">
              <w:rPr>
                <w:rFonts w:eastAsia="宋体" w:hint="eastAsia"/>
              </w:rPr>
              <w:t>9</w:t>
            </w:r>
            <w:r w:rsidRPr="002B55E9">
              <w:rPr>
                <w:rFonts w:eastAsia="宋体"/>
              </w:rPr>
              <w:t>00-047-49</w:t>
            </w:r>
          </w:p>
        </w:tc>
        <w:tc>
          <w:tcPr>
            <w:tcW w:w="637" w:type="dxa"/>
          </w:tcPr>
          <w:p w14:paraId="7523670A" w14:textId="77777777" w:rsidR="00084DD8" w:rsidRPr="002B55E9" w:rsidRDefault="00084DD8" w:rsidP="00FE28E2">
            <w:pPr>
              <w:pStyle w:val="lgy-"/>
              <w:rPr>
                <w:rFonts w:eastAsia="宋体"/>
              </w:rPr>
            </w:pPr>
            <w:r w:rsidRPr="002B55E9">
              <w:rPr>
                <w:rFonts w:eastAsia="宋体"/>
              </w:rPr>
              <w:t>1.5</w:t>
            </w:r>
          </w:p>
        </w:tc>
        <w:tc>
          <w:tcPr>
            <w:tcW w:w="946" w:type="dxa"/>
          </w:tcPr>
          <w:p w14:paraId="6A34F3D3" w14:textId="77777777" w:rsidR="00084DD8" w:rsidRPr="002B55E9" w:rsidRDefault="00084DD8" w:rsidP="00FE28E2">
            <w:pPr>
              <w:pStyle w:val="lgy-"/>
              <w:rPr>
                <w:rFonts w:eastAsia="宋体"/>
              </w:rPr>
            </w:pPr>
            <w:r w:rsidRPr="002B55E9">
              <w:rPr>
                <w:rFonts w:eastAsia="宋体" w:hint="eastAsia"/>
              </w:rPr>
              <w:t>检测</w:t>
            </w:r>
          </w:p>
        </w:tc>
        <w:tc>
          <w:tcPr>
            <w:tcW w:w="461" w:type="dxa"/>
          </w:tcPr>
          <w:p w14:paraId="0C7AD5F9" w14:textId="77777777" w:rsidR="00084DD8" w:rsidRPr="002B55E9" w:rsidRDefault="00084DD8" w:rsidP="00FE28E2">
            <w:pPr>
              <w:pStyle w:val="lgy-"/>
              <w:rPr>
                <w:rFonts w:eastAsia="宋体"/>
              </w:rPr>
            </w:pPr>
            <w:r w:rsidRPr="002B55E9">
              <w:rPr>
                <w:rFonts w:eastAsia="宋体" w:hint="eastAsia"/>
              </w:rPr>
              <w:t>液</w:t>
            </w:r>
          </w:p>
        </w:tc>
        <w:tc>
          <w:tcPr>
            <w:tcW w:w="1004" w:type="dxa"/>
          </w:tcPr>
          <w:p w14:paraId="57258C72" w14:textId="7DB99CCE" w:rsidR="00084DD8" w:rsidRPr="002B55E9" w:rsidRDefault="00084DD8" w:rsidP="00FE28E2">
            <w:pPr>
              <w:pStyle w:val="lgy-"/>
              <w:rPr>
                <w:rFonts w:eastAsia="宋体"/>
              </w:rPr>
            </w:pPr>
            <w:r w:rsidRPr="002B55E9">
              <w:rPr>
                <w:rFonts w:eastAsia="宋体" w:hint="eastAsia"/>
              </w:rPr>
              <w:t>实验废液</w:t>
            </w:r>
          </w:p>
        </w:tc>
        <w:tc>
          <w:tcPr>
            <w:tcW w:w="1004" w:type="dxa"/>
          </w:tcPr>
          <w:p w14:paraId="5F6F6FA5" w14:textId="1679BBC7" w:rsidR="00084DD8" w:rsidRPr="002B55E9" w:rsidRDefault="00084DD8" w:rsidP="00FE28E2">
            <w:pPr>
              <w:pStyle w:val="lgy-"/>
              <w:rPr>
                <w:rFonts w:eastAsia="宋体"/>
              </w:rPr>
            </w:pPr>
            <w:r w:rsidRPr="002B55E9">
              <w:rPr>
                <w:rFonts w:eastAsia="宋体" w:hint="eastAsia"/>
              </w:rPr>
              <w:t>废</w:t>
            </w:r>
            <w:r w:rsidRPr="002B55E9">
              <w:rPr>
                <w:rFonts w:eastAsia="宋体"/>
              </w:rPr>
              <w:t>化学试剂</w:t>
            </w:r>
          </w:p>
        </w:tc>
        <w:tc>
          <w:tcPr>
            <w:tcW w:w="762" w:type="dxa"/>
          </w:tcPr>
          <w:p w14:paraId="511B0400" w14:textId="77777777" w:rsidR="00084DD8" w:rsidRPr="002B55E9" w:rsidRDefault="00084DD8" w:rsidP="00FE28E2">
            <w:pPr>
              <w:pStyle w:val="lgy-"/>
              <w:rPr>
                <w:rFonts w:eastAsia="宋体"/>
              </w:rPr>
            </w:pPr>
            <w:r w:rsidRPr="002B55E9">
              <w:rPr>
                <w:rFonts w:eastAsia="宋体" w:hint="eastAsia"/>
              </w:rPr>
              <w:t>日</w:t>
            </w:r>
          </w:p>
        </w:tc>
        <w:tc>
          <w:tcPr>
            <w:tcW w:w="762" w:type="dxa"/>
          </w:tcPr>
          <w:p w14:paraId="147565E5" w14:textId="77777777" w:rsidR="00084DD8" w:rsidRPr="002B55E9" w:rsidRDefault="00084DD8" w:rsidP="00FE28E2">
            <w:pPr>
              <w:pStyle w:val="lgy-"/>
              <w:rPr>
                <w:rFonts w:eastAsia="宋体"/>
              </w:rPr>
            </w:pPr>
            <w:r w:rsidRPr="002B55E9">
              <w:rPr>
                <w:rFonts w:eastAsia="宋体" w:hint="eastAsia"/>
              </w:rPr>
              <w:t>T/C/I/R</w:t>
            </w:r>
          </w:p>
        </w:tc>
        <w:tc>
          <w:tcPr>
            <w:tcW w:w="1137" w:type="dxa"/>
            <w:vMerge/>
          </w:tcPr>
          <w:p w14:paraId="76D2B943" w14:textId="77777777" w:rsidR="00084DD8" w:rsidRPr="002B55E9" w:rsidRDefault="00084DD8" w:rsidP="00FE28E2">
            <w:pPr>
              <w:pStyle w:val="lgy-"/>
              <w:rPr>
                <w:rFonts w:eastAsia="宋体"/>
              </w:rPr>
            </w:pPr>
          </w:p>
        </w:tc>
      </w:tr>
      <w:tr w:rsidR="002B55E9" w:rsidRPr="002B55E9" w14:paraId="14FF975B" w14:textId="77777777" w:rsidTr="00FE28E2">
        <w:trPr>
          <w:trHeight w:val="283"/>
        </w:trPr>
        <w:tc>
          <w:tcPr>
            <w:tcW w:w="418" w:type="dxa"/>
          </w:tcPr>
          <w:p w14:paraId="402D4A0A" w14:textId="77777777" w:rsidR="00084DD8" w:rsidRPr="002B55E9" w:rsidRDefault="00084DD8" w:rsidP="00FE28E2">
            <w:pPr>
              <w:pStyle w:val="lgy-"/>
              <w:rPr>
                <w:rFonts w:eastAsia="宋体"/>
              </w:rPr>
            </w:pPr>
            <w:r w:rsidRPr="002B55E9">
              <w:rPr>
                <w:rFonts w:eastAsia="宋体" w:hint="eastAsia"/>
              </w:rPr>
              <w:t>3</w:t>
            </w:r>
          </w:p>
        </w:tc>
        <w:tc>
          <w:tcPr>
            <w:tcW w:w="1093" w:type="dxa"/>
          </w:tcPr>
          <w:p w14:paraId="247E296B" w14:textId="77777777" w:rsidR="00084DD8" w:rsidRPr="002B55E9" w:rsidRDefault="00084DD8" w:rsidP="00FE28E2">
            <w:pPr>
              <w:pStyle w:val="lgy-"/>
              <w:rPr>
                <w:rFonts w:eastAsia="宋体"/>
              </w:rPr>
            </w:pPr>
            <w:r w:rsidRPr="002B55E9">
              <w:rPr>
                <w:rFonts w:eastAsia="宋体" w:hint="eastAsia"/>
              </w:rPr>
              <w:t>化验室</w:t>
            </w:r>
            <w:r w:rsidRPr="002B55E9">
              <w:rPr>
                <w:rFonts w:eastAsia="宋体"/>
              </w:rPr>
              <w:t>废耗材</w:t>
            </w:r>
          </w:p>
        </w:tc>
        <w:tc>
          <w:tcPr>
            <w:tcW w:w="651" w:type="dxa"/>
          </w:tcPr>
          <w:p w14:paraId="1707A1CD" w14:textId="77777777" w:rsidR="00084DD8" w:rsidRPr="002B55E9" w:rsidRDefault="00084DD8" w:rsidP="00FE28E2">
            <w:pPr>
              <w:pStyle w:val="lgy-"/>
              <w:rPr>
                <w:rFonts w:eastAsia="宋体"/>
              </w:rPr>
            </w:pPr>
            <w:r w:rsidRPr="002B55E9">
              <w:rPr>
                <w:rFonts w:eastAsia="宋体" w:hint="eastAsia"/>
              </w:rPr>
              <w:t>H</w:t>
            </w:r>
            <w:r w:rsidRPr="002B55E9">
              <w:rPr>
                <w:rFonts w:eastAsia="宋体"/>
              </w:rPr>
              <w:t>W49</w:t>
            </w:r>
          </w:p>
        </w:tc>
        <w:tc>
          <w:tcPr>
            <w:tcW w:w="763" w:type="dxa"/>
          </w:tcPr>
          <w:p w14:paraId="1AD6E43B" w14:textId="77777777" w:rsidR="00084DD8" w:rsidRPr="002B55E9" w:rsidRDefault="00084DD8" w:rsidP="00FE28E2">
            <w:pPr>
              <w:pStyle w:val="lgy-"/>
              <w:rPr>
                <w:rFonts w:eastAsia="宋体"/>
              </w:rPr>
            </w:pPr>
            <w:r w:rsidRPr="002B55E9">
              <w:rPr>
                <w:rFonts w:eastAsia="宋体" w:hint="eastAsia"/>
              </w:rPr>
              <w:t>9</w:t>
            </w:r>
            <w:r w:rsidRPr="002B55E9">
              <w:rPr>
                <w:rFonts w:eastAsia="宋体"/>
              </w:rPr>
              <w:t>00-047-49</w:t>
            </w:r>
          </w:p>
        </w:tc>
        <w:tc>
          <w:tcPr>
            <w:tcW w:w="637" w:type="dxa"/>
          </w:tcPr>
          <w:p w14:paraId="40FE6C19" w14:textId="77777777" w:rsidR="00084DD8" w:rsidRPr="002B55E9" w:rsidRDefault="00084DD8" w:rsidP="00FE28E2">
            <w:pPr>
              <w:pStyle w:val="lgy-"/>
              <w:rPr>
                <w:rFonts w:eastAsia="宋体"/>
              </w:rPr>
            </w:pPr>
            <w:r w:rsidRPr="002B55E9">
              <w:rPr>
                <w:rFonts w:eastAsia="宋体" w:hint="eastAsia"/>
              </w:rPr>
              <w:t>0.5</w:t>
            </w:r>
          </w:p>
        </w:tc>
        <w:tc>
          <w:tcPr>
            <w:tcW w:w="946" w:type="dxa"/>
          </w:tcPr>
          <w:p w14:paraId="7B85CB8D" w14:textId="77777777" w:rsidR="00084DD8" w:rsidRPr="002B55E9" w:rsidRDefault="00084DD8" w:rsidP="00FE28E2">
            <w:pPr>
              <w:pStyle w:val="lgy-"/>
              <w:rPr>
                <w:rFonts w:eastAsia="宋体"/>
              </w:rPr>
            </w:pPr>
            <w:r w:rsidRPr="002B55E9">
              <w:rPr>
                <w:rFonts w:eastAsia="宋体" w:hint="eastAsia"/>
              </w:rPr>
              <w:t>检测</w:t>
            </w:r>
          </w:p>
        </w:tc>
        <w:tc>
          <w:tcPr>
            <w:tcW w:w="461" w:type="dxa"/>
          </w:tcPr>
          <w:p w14:paraId="56DEE392" w14:textId="77777777" w:rsidR="00084DD8" w:rsidRPr="002B55E9" w:rsidRDefault="00084DD8" w:rsidP="00FE28E2">
            <w:pPr>
              <w:pStyle w:val="lgy-"/>
              <w:rPr>
                <w:rFonts w:eastAsia="宋体"/>
              </w:rPr>
            </w:pPr>
            <w:r w:rsidRPr="002B55E9">
              <w:rPr>
                <w:rFonts w:eastAsia="宋体" w:hint="eastAsia"/>
              </w:rPr>
              <w:t>固</w:t>
            </w:r>
          </w:p>
        </w:tc>
        <w:tc>
          <w:tcPr>
            <w:tcW w:w="1004" w:type="dxa"/>
          </w:tcPr>
          <w:p w14:paraId="00586201" w14:textId="5B2405A8" w:rsidR="00084DD8" w:rsidRPr="002B55E9" w:rsidRDefault="00084DD8" w:rsidP="00FE28E2">
            <w:pPr>
              <w:pStyle w:val="lgy-"/>
              <w:rPr>
                <w:rFonts w:eastAsia="宋体"/>
              </w:rPr>
            </w:pPr>
            <w:r w:rsidRPr="002B55E9">
              <w:rPr>
                <w:rFonts w:eastAsia="宋体"/>
              </w:rPr>
              <w:t>废耗材</w:t>
            </w:r>
          </w:p>
        </w:tc>
        <w:tc>
          <w:tcPr>
            <w:tcW w:w="1004" w:type="dxa"/>
          </w:tcPr>
          <w:p w14:paraId="3FCD41EA" w14:textId="5689D25F" w:rsidR="00084DD8" w:rsidRPr="002B55E9" w:rsidRDefault="00084DD8" w:rsidP="00FE28E2">
            <w:pPr>
              <w:pStyle w:val="lgy-"/>
              <w:rPr>
                <w:rFonts w:eastAsia="宋体"/>
              </w:rPr>
            </w:pPr>
            <w:r w:rsidRPr="002B55E9">
              <w:rPr>
                <w:rFonts w:eastAsia="宋体" w:hint="eastAsia"/>
              </w:rPr>
              <w:t>沾染试剂</w:t>
            </w:r>
          </w:p>
        </w:tc>
        <w:tc>
          <w:tcPr>
            <w:tcW w:w="762" w:type="dxa"/>
          </w:tcPr>
          <w:p w14:paraId="40667ABC" w14:textId="77777777" w:rsidR="00084DD8" w:rsidRPr="002B55E9" w:rsidRDefault="00084DD8" w:rsidP="00FE28E2">
            <w:pPr>
              <w:pStyle w:val="lgy-"/>
              <w:rPr>
                <w:rFonts w:eastAsia="宋体"/>
              </w:rPr>
            </w:pPr>
            <w:r w:rsidRPr="002B55E9">
              <w:rPr>
                <w:rFonts w:eastAsia="宋体" w:hint="eastAsia"/>
              </w:rPr>
              <w:t>日</w:t>
            </w:r>
          </w:p>
        </w:tc>
        <w:tc>
          <w:tcPr>
            <w:tcW w:w="762" w:type="dxa"/>
          </w:tcPr>
          <w:p w14:paraId="367F5823" w14:textId="77777777" w:rsidR="00084DD8" w:rsidRPr="002B55E9" w:rsidRDefault="00084DD8" w:rsidP="00FE28E2">
            <w:pPr>
              <w:pStyle w:val="lgy-"/>
              <w:rPr>
                <w:rFonts w:eastAsia="宋体"/>
              </w:rPr>
            </w:pPr>
            <w:r w:rsidRPr="002B55E9">
              <w:rPr>
                <w:rFonts w:eastAsia="宋体" w:hint="eastAsia"/>
              </w:rPr>
              <w:t>T/C/I/R</w:t>
            </w:r>
          </w:p>
        </w:tc>
        <w:tc>
          <w:tcPr>
            <w:tcW w:w="1137" w:type="dxa"/>
            <w:vMerge/>
          </w:tcPr>
          <w:p w14:paraId="4E650863" w14:textId="77777777" w:rsidR="00084DD8" w:rsidRPr="002B55E9" w:rsidRDefault="00084DD8" w:rsidP="00FE28E2">
            <w:pPr>
              <w:pStyle w:val="lgy-"/>
              <w:rPr>
                <w:rFonts w:eastAsia="宋体"/>
              </w:rPr>
            </w:pPr>
          </w:p>
        </w:tc>
      </w:tr>
      <w:tr w:rsidR="002B55E9" w:rsidRPr="002B55E9" w14:paraId="0BEA3D6B" w14:textId="77777777" w:rsidTr="00FE28E2">
        <w:trPr>
          <w:trHeight w:val="283"/>
        </w:trPr>
        <w:tc>
          <w:tcPr>
            <w:tcW w:w="418" w:type="dxa"/>
          </w:tcPr>
          <w:p w14:paraId="2C5E4C49" w14:textId="77777777" w:rsidR="00084DD8" w:rsidRPr="002B55E9" w:rsidRDefault="00084DD8" w:rsidP="00FE28E2">
            <w:pPr>
              <w:pStyle w:val="lgy-"/>
              <w:rPr>
                <w:rFonts w:eastAsia="宋体"/>
              </w:rPr>
            </w:pPr>
            <w:r w:rsidRPr="002B55E9">
              <w:rPr>
                <w:rFonts w:eastAsia="宋体" w:hint="eastAsia"/>
              </w:rPr>
              <w:t>4</w:t>
            </w:r>
          </w:p>
        </w:tc>
        <w:tc>
          <w:tcPr>
            <w:tcW w:w="1093" w:type="dxa"/>
          </w:tcPr>
          <w:p w14:paraId="38A15846" w14:textId="77777777" w:rsidR="00084DD8" w:rsidRPr="002B55E9" w:rsidRDefault="00084DD8" w:rsidP="00FE28E2">
            <w:pPr>
              <w:pStyle w:val="lgy-"/>
              <w:rPr>
                <w:rFonts w:eastAsia="宋体"/>
              </w:rPr>
            </w:pPr>
            <w:r w:rsidRPr="002B55E9">
              <w:rPr>
                <w:rFonts w:eastAsia="宋体" w:hint="eastAsia"/>
              </w:rPr>
              <w:t>废活性炭</w:t>
            </w:r>
          </w:p>
        </w:tc>
        <w:tc>
          <w:tcPr>
            <w:tcW w:w="651" w:type="dxa"/>
          </w:tcPr>
          <w:p w14:paraId="20C44169" w14:textId="77777777" w:rsidR="00084DD8" w:rsidRPr="002B55E9" w:rsidRDefault="00084DD8" w:rsidP="00FE28E2">
            <w:pPr>
              <w:pStyle w:val="lgy-"/>
              <w:rPr>
                <w:rFonts w:eastAsia="宋体"/>
              </w:rPr>
            </w:pPr>
            <w:r w:rsidRPr="002B55E9">
              <w:rPr>
                <w:rFonts w:eastAsia="宋体" w:hint="eastAsia"/>
              </w:rPr>
              <w:t>HW49</w:t>
            </w:r>
          </w:p>
        </w:tc>
        <w:tc>
          <w:tcPr>
            <w:tcW w:w="763" w:type="dxa"/>
          </w:tcPr>
          <w:p w14:paraId="240E13AA" w14:textId="77777777" w:rsidR="00084DD8" w:rsidRPr="002B55E9" w:rsidRDefault="00084DD8" w:rsidP="00FE28E2">
            <w:pPr>
              <w:pStyle w:val="lgy-"/>
              <w:rPr>
                <w:rFonts w:eastAsia="宋体"/>
              </w:rPr>
            </w:pPr>
            <w:r w:rsidRPr="002B55E9">
              <w:rPr>
                <w:rFonts w:eastAsia="宋体" w:hint="eastAsia"/>
              </w:rPr>
              <w:t>900-039-49</w:t>
            </w:r>
          </w:p>
        </w:tc>
        <w:tc>
          <w:tcPr>
            <w:tcW w:w="637" w:type="dxa"/>
          </w:tcPr>
          <w:p w14:paraId="4B153547" w14:textId="77777777" w:rsidR="00084DD8" w:rsidRPr="002B55E9" w:rsidRDefault="00084DD8" w:rsidP="00FE28E2">
            <w:pPr>
              <w:pStyle w:val="lgy-"/>
              <w:rPr>
                <w:rFonts w:eastAsia="宋体"/>
              </w:rPr>
            </w:pPr>
            <w:r w:rsidRPr="002B55E9">
              <w:rPr>
                <w:rFonts w:eastAsia="宋体" w:hint="eastAsia"/>
              </w:rPr>
              <w:t>0.1</w:t>
            </w:r>
          </w:p>
        </w:tc>
        <w:tc>
          <w:tcPr>
            <w:tcW w:w="946" w:type="dxa"/>
          </w:tcPr>
          <w:p w14:paraId="07A9BA71" w14:textId="77777777" w:rsidR="00084DD8" w:rsidRPr="002B55E9" w:rsidRDefault="00084DD8" w:rsidP="00FE28E2">
            <w:pPr>
              <w:pStyle w:val="lgy-"/>
              <w:rPr>
                <w:rFonts w:eastAsia="宋体"/>
              </w:rPr>
            </w:pPr>
            <w:r w:rsidRPr="002B55E9">
              <w:rPr>
                <w:rFonts w:eastAsia="宋体" w:hint="eastAsia"/>
              </w:rPr>
              <w:t>废气</w:t>
            </w:r>
            <w:r w:rsidRPr="002B55E9">
              <w:rPr>
                <w:rFonts w:eastAsia="宋体"/>
              </w:rPr>
              <w:t>处理</w:t>
            </w:r>
          </w:p>
        </w:tc>
        <w:tc>
          <w:tcPr>
            <w:tcW w:w="461" w:type="dxa"/>
          </w:tcPr>
          <w:p w14:paraId="156225C5" w14:textId="77777777" w:rsidR="00084DD8" w:rsidRPr="002B55E9" w:rsidRDefault="00084DD8" w:rsidP="00FE28E2">
            <w:pPr>
              <w:pStyle w:val="lgy-"/>
              <w:rPr>
                <w:rFonts w:eastAsia="宋体"/>
              </w:rPr>
            </w:pPr>
            <w:r w:rsidRPr="002B55E9">
              <w:rPr>
                <w:rFonts w:eastAsia="宋体" w:hint="eastAsia"/>
              </w:rPr>
              <w:t>固</w:t>
            </w:r>
          </w:p>
        </w:tc>
        <w:tc>
          <w:tcPr>
            <w:tcW w:w="1004" w:type="dxa"/>
          </w:tcPr>
          <w:p w14:paraId="798DBF21" w14:textId="4F517798" w:rsidR="00084DD8" w:rsidRPr="002B55E9" w:rsidRDefault="00084DD8" w:rsidP="00FE28E2">
            <w:pPr>
              <w:pStyle w:val="lgy-"/>
              <w:rPr>
                <w:rFonts w:eastAsia="宋体"/>
              </w:rPr>
            </w:pPr>
            <w:r w:rsidRPr="002B55E9">
              <w:rPr>
                <w:rFonts w:eastAsia="宋体" w:hint="eastAsia"/>
              </w:rPr>
              <w:t>活性炭</w:t>
            </w:r>
          </w:p>
        </w:tc>
        <w:tc>
          <w:tcPr>
            <w:tcW w:w="1004" w:type="dxa"/>
          </w:tcPr>
          <w:p w14:paraId="714FAA30" w14:textId="59B46B85" w:rsidR="00084DD8" w:rsidRPr="002B55E9" w:rsidRDefault="00084DD8" w:rsidP="00FE28E2">
            <w:pPr>
              <w:pStyle w:val="lgy-"/>
              <w:rPr>
                <w:rFonts w:eastAsia="宋体"/>
              </w:rPr>
            </w:pPr>
            <w:r w:rsidRPr="002B55E9">
              <w:rPr>
                <w:rFonts w:eastAsia="宋体" w:hint="eastAsia"/>
              </w:rPr>
              <w:t>吸附挥发性</w:t>
            </w:r>
            <w:r w:rsidRPr="002B55E9">
              <w:rPr>
                <w:rFonts w:eastAsia="宋体"/>
              </w:rPr>
              <w:t>有机物的活性炭</w:t>
            </w:r>
          </w:p>
        </w:tc>
        <w:tc>
          <w:tcPr>
            <w:tcW w:w="762" w:type="dxa"/>
          </w:tcPr>
          <w:p w14:paraId="1840F969" w14:textId="77777777" w:rsidR="00084DD8" w:rsidRPr="002B55E9" w:rsidRDefault="00084DD8" w:rsidP="00FE28E2">
            <w:pPr>
              <w:pStyle w:val="lgy-"/>
              <w:rPr>
                <w:rFonts w:eastAsia="宋体"/>
              </w:rPr>
            </w:pPr>
            <w:r w:rsidRPr="002B55E9">
              <w:rPr>
                <w:rFonts w:eastAsia="宋体" w:hint="eastAsia"/>
              </w:rPr>
              <w:t>月</w:t>
            </w:r>
          </w:p>
        </w:tc>
        <w:tc>
          <w:tcPr>
            <w:tcW w:w="762" w:type="dxa"/>
          </w:tcPr>
          <w:p w14:paraId="0FAD024C" w14:textId="77777777" w:rsidR="00084DD8" w:rsidRPr="002B55E9" w:rsidRDefault="00084DD8" w:rsidP="00FE28E2">
            <w:pPr>
              <w:pStyle w:val="lgy-"/>
              <w:rPr>
                <w:rFonts w:eastAsia="宋体"/>
              </w:rPr>
            </w:pPr>
            <w:r w:rsidRPr="002B55E9">
              <w:rPr>
                <w:rFonts w:eastAsia="宋体" w:hint="eastAsia"/>
              </w:rPr>
              <w:t>T</w:t>
            </w:r>
          </w:p>
        </w:tc>
        <w:tc>
          <w:tcPr>
            <w:tcW w:w="1137" w:type="dxa"/>
            <w:vMerge/>
          </w:tcPr>
          <w:p w14:paraId="7B3DC638" w14:textId="77777777" w:rsidR="00084DD8" w:rsidRPr="002B55E9" w:rsidRDefault="00084DD8" w:rsidP="00FE28E2">
            <w:pPr>
              <w:pStyle w:val="lgy-"/>
              <w:rPr>
                <w:rFonts w:eastAsia="宋体"/>
              </w:rPr>
            </w:pPr>
          </w:p>
        </w:tc>
      </w:tr>
      <w:tr w:rsidR="002B55E9" w:rsidRPr="002B55E9" w14:paraId="76B6A238" w14:textId="77777777" w:rsidTr="00FE28E2">
        <w:trPr>
          <w:trHeight w:val="283"/>
        </w:trPr>
        <w:tc>
          <w:tcPr>
            <w:tcW w:w="418" w:type="dxa"/>
          </w:tcPr>
          <w:p w14:paraId="3442FB14" w14:textId="77777777" w:rsidR="00084DD8" w:rsidRPr="002B55E9" w:rsidRDefault="00084DD8" w:rsidP="00FE28E2">
            <w:pPr>
              <w:pStyle w:val="lgy-"/>
              <w:rPr>
                <w:rFonts w:eastAsia="宋体"/>
              </w:rPr>
            </w:pPr>
            <w:r w:rsidRPr="002B55E9">
              <w:rPr>
                <w:rFonts w:eastAsia="宋体" w:hint="eastAsia"/>
              </w:rPr>
              <w:t>5</w:t>
            </w:r>
          </w:p>
        </w:tc>
        <w:tc>
          <w:tcPr>
            <w:tcW w:w="1093" w:type="dxa"/>
          </w:tcPr>
          <w:p w14:paraId="08A6F381" w14:textId="77777777" w:rsidR="00084DD8" w:rsidRPr="002B55E9" w:rsidRDefault="00084DD8" w:rsidP="00FE28E2">
            <w:pPr>
              <w:pStyle w:val="lgy-"/>
              <w:rPr>
                <w:rFonts w:eastAsia="宋体"/>
              </w:rPr>
            </w:pPr>
            <w:r w:rsidRPr="002B55E9">
              <w:rPr>
                <w:rFonts w:eastAsia="宋体" w:hint="eastAsia"/>
              </w:rPr>
              <w:t>废机油</w:t>
            </w:r>
          </w:p>
        </w:tc>
        <w:tc>
          <w:tcPr>
            <w:tcW w:w="651" w:type="dxa"/>
          </w:tcPr>
          <w:p w14:paraId="07D8490C" w14:textId="77777777" w:rsidR="00084DD8" w:rsidRPr="002B55E9" w:rsidRDefault="00084DD8" w:rsidP="00FE28E2">
            <w:pPr>
              <w:pStyle w:val="lgy-"/>
              <w:rPr>
                <w:rFonts w:eastAsia="宋体"/>
              </w:rPr>
            </w:pPr>
            <w:r w:rsidRPr="002B55E9">
              <w:rPr>
                <w:rFonts w:eastAsia="宋体" w:hint="eastAsia"/>
              </w:rPr>
              <w:t>H</w:t>
            </w:r>
            <w:r w:rsidRPr="002B55E9">
              <w:rPr>
                <w:rFonts w:eastAsia="宋体"/>
              </w:rPr>
              <w:t>W08</w:t>
            </w:r>
          </w:p>
        </w:tc>
        <w:tc>
          <w:tcPr>
            <w:tcW w:w="763" w:type="dxa"/>
          </w:tcPr>
          <w:p w14:paraId="0F771925" w14:textId="77777777" w:rsidR="00084DD8" w:rsidRPr="002B55E9" w:rsidRDefault="00084DD8" w:rsidP="00FE28E2">
            <w:pPr>
              <w:pStyle w:val="lgy-"/>
              <w:rPr>
                <w:rFonts w:eastAsia="宋体"/>
              </w:rPr>
            </w:pPr>
            <w:r w:rsidRPr="002B55E9">
              <w:rPr>
                <w:rFonts w:eastAsia="宋体" w:hint="eastAsia"/>
              </w:rPr>
              <w:t>9</w:t>
            </w:r>
            <w:r w:rsidRPr="002B55E9">
              <w:rPr>
                <w:rFonts w:eastAsia="宋体"/>
              </w:rPr>
              <w:t>00-214-08</w:t>
            </w:r>
          </w:p>
        </w:tc>
        <w:tc>
          <w:tcPr>
            <w:tcW w:w="637" w:type="dxa"/>
          </w:tcPr>
          <w:p w14:paraId="670C545D" w14:textId="77777777" w:rsidR="00084DD8" w:rsidRPr="002B55E9" w:rsidRDefault="00084DD8" w:rsidP="00FE28E2">
            <w:pPr>
              <w:pStyle w:val="lgy-"/>
              <w:rPr>
                <w:rFonts w:eastAsia="宋体"/>
              </w:rPr>
            </w:pPr>
            <w:r w:rsidRPr="002B55E9">
              <w:rPr>
                <w:rFonts w:eastAsia="宋体" w:hint="eastAsia"/>
              </w:rPr>
              <w:t>0</w:t>
            </w:r>
            <w:r w:rsidRPr="002B55E9">
              <w:rPr>
                <w:rFonts w:eastAsia="宋体"/>
              </w:rPr>
              <w:t>.5</w:t>
            </w:r>
          </w:p>
        </w:tc>
        <w:tc>
          <w:tcPr>
            <w:tcW w:w="946" w:type="dxa"/>
          </w:tcPr>
          <w:p w14:paraId="5F0D6F44" w14:textId="77777777" w:rsidR="00084DD8" w:rsidRPr="002B55E9" w:rsidRDefault="00084DD8" w:rsidP="00FE28E2">
            <w:pPr>
              <w:pStyle w:val="lgy-"/>
              <w:rPr>
                <w:rFonts w:eastAsia="宋体"/>
              </w:rPr>
            </w:pPr>
            <w:r w:rsidRPr="002B55E9">
              <w:rPr>
                <w:rFonts w:eastAsia="宋体" w:hint="eastAsia"/>
              </w:rPr>
              <w:t>设备检修</w:t>
            </w:r>
          </w:p>
        </w:tc>
        <w:tc>
          <w:tcPr>
            <w:tcW w:w="461" w:type="dxa"/>
          </w:tcPr>
          <w:p w14:paraId="21726ABB" w14:textId="77777777" w:rsidR="00084DD8" w:rsidRPr="002B55E9" w:rsidRDefault="00084DD8" w:rsidP="00FE28E2">
            <w:pPr>
              <w:pStyle w:val="lgy-"/>
              <w:rPr>
                <w:rFonts w:eastAsia="宋体"/>
              </w:rPr>
            </w:pPr>
            <w:r w:rsidRPr="002B55E9">
              <w:rPr>
                <w:rFonts w:eastAsia="宋体" w:hint="eastAsia"/>
              </w:rPr>
              <w:t>液</w:t>
            </w:r>
          </w:p>
        </w:tc>
        <w:tc>
          <w:tcPr>
            <w:tcW w:w="1004" w:type="dxa"/>
          </w:tcPr>
          <w:p w14:paraId="3379979D" w14:textId="41AE3CC5" w:rsidR="00084DD8" w:rsidRPr="002B55E9" w:rsidRDefault="00084DD8" w:rsidP="00FE28E2">
            <w:pPr>
              <w:pStyle w:val="lgy-"/>
              <w:rPr>
                <w:rFonts w:eastAsia="宋体"/>
              </w:rPr>
            </w:pPr>
            <w:r w:rsidRPr="002B55E9">
              <w:rPr>
                <w:rFonts w:eastAsia="宋体" w:hint="eastAsia"/>
              </w:rPr>
              <w:t>机油</w:t>
            </w:r>
          </w:p>
        </w:tc>
        <w:tc>
          <w:tcPr>
            <w:tcW w:w="1004" w:type="dxa"/>
          </w:tcPr>
          <w:p w14:paraId="3D755868" w14:textId="4DEA6034" w:rsidR="00084DD8" w:rsidRPr="002B55E9" w:rsidRDefault="00084DD8" w:rsidP="00FE28E2">
            <w:pPr>
              <w:pStyle w:val="lgy-"/>
              <w:rPr>
                <w:rFonts w:eastAsia="宋体"/>
              </w:rPr>
            </w:pPr>
            <w:r w:rsidRPr="002B55E9">
              <w:rPr>
                <w:rFonts w:eastAsia="宋体" w:hint="eastAsia"/>
              </w:rPr>
              <w:t>废矿物油</w:t>
            </w:r>
          </w:p>
        </w:tc>
        <w:tc>
          <w:tcPr>
            <w:tcW w:w="762" w:type="dxa"/>
          </w:tcPr>
          <w:p w14:paraId="59CD6AC4" w14:textId="77777777" w:rsidR="00084DD8" w:rsidRPr="002B55E9" w:rsidRDefault="00084DD8" w:rsidP="00FE28E2">
            <w:pPr>
              <w:pStyle w:val="lgy-"/>
              <w:rPr>
                <w:rFonts w:eastAsia="宋体"/>
              </w:rPr>
            </w:pPr>
            <w:r w:rsidRPr="002B55E9">
              <w:rPr>
                <w:rFonts w:eastAsia="宋体" w:hint="eastAsia"/>
              </w:rPr>
              <w:t>年</w:t>
            </w:r>
          </w:p>
        </w:tc>
        <w:tc>
          <w:tcPr>
            <w:tcW w:w="762" w:type="dxa"/>
          </w:tcPr>
          <w:p w14:paraId="3885CB01" w14:textId="77777777" w:rsidR="00084DD8" w:rsidRPr="002B55E9" w:rsidRDefault="00084DD8" w:rsidP="00FE28E2">
            <w:pPr>
              <w:pStyle w:val="lgy-"/>
              <w:rPr>
                <w:rFonts w:eastAsia="宋体"/>
              </w:rPr>
            </w:pPr>
            <w:r w:rsidRPr="002B55E9">
              <w:rPr>
                <w:rFonts w:eastAsia="宋体" w:hint="eastAsia"/>
              </w:rPr>
              <w:t>T/I</w:t>
            </w:r>
          </w:p>
        </w:tc>
        <w:tc>
          <w:tcPr>
            <w:tcW w:w="1137" w:type="dxa"/>
            <w:vMerge/>
          </w:tcPr>
          <w:p w14:paraId="7FC9AB1E" w14:textId="77777777" w:rsidR="00084DD8" w:rsidRPr="002B55E9" w:rsidRDefault="00084DD8" w:rsidP="00FE28E2">
            <w:pPr>
              <w:pStyle w:val="lgy-"/>
              <w:rPr>
                <w:rFonts w:eastAsia="宋体"/>
              </w:rPr>
            </w:pPr>
          </w:p>
        </w:tc>
      </w:tr>
      <w:tr w:rsidR="002B55E9" w:rsidRPr="002B55E9" w14:paraId="302B5434" w14:textId="77777777" w:rsidTr="00FE28E2">
        <w:trPr>
          <w:trHeight w:val="283"/>
        </w:trPr>
        <w:tc>
          <w:tcPr>
            <w:tcW w:w="418" w:type="dxa"/>
          </w:tcPr>
          <w:p w14:paraId="577A3627" w14:textId="77777777" w:rsidR="00084DD8" w:rsidRPr="002B55E9" w:rsidRDefault="00084DD8" w:rsidP="00FE28E2">
            <w:pPr>
              <w:pStyle w:val="lgy-"/>
              <w:rPr>
                <w:rFonts w:eastAsia="宋体"/>
              </w:rPr>
            </w:pPr>
            <w:r w:rsidRPr="002B55E9">
              <w:rPr>
                <w:rFonts w:eastAsia="宋体" w:hint="eastAsia"/>
              </w:rPr>
              <w:t>6</w:t>
            </w:r>
          </w:p>
        </w:tc>
        <w:tc>
          <w:tcPr>
            <w:tcW w:w="1093" w:type="dxa"/>
          </w:tcPr>
          <w:p w14:paraId="067C6118" w14:textId="77777777" w:rsidR="00084DD8" w:rsidRPr="002B55E9" w:rsidRDefault="00084DD8" w:rsidP="00FE28E2">
            <w:pPr>
              <w:pStyle w:val="lgy-"/>
              <w:rPr>
                <w:rFonts w:eastAsia="宋体"/>
              </w:rPr>
            </w:pPr>
            <w:r w:rsidRPr="002B55E9">
              <w:rPr>
                <w:rFonts w:eastAsia="宋体" w:hint="eastAsia"/>
              </w:rPr>
              <w:t>废含油抹布</w:t>
            </w:r>
          </w:p>
        </w:tc>
        <w:tc>
          <w:tcPr>
            <w:tcW w:w="651" w:type="dxa"/>
          </w:tcPr>
          <w:p w14:paraId="6CA590E9" w14:textId="77777777" w:rsidR="00084DD8" w:rsidRPr="002B55E9" w:rsidRDefault="00084DD8" w:rsidP="00FE28E2">
            <w:pPr>
              <w:pStyle w:val="lgy-"/>
              <w:rPr>
                <w:rFonts w:eastAsia="宋体"/>
              </w:rPr>
            </w:pPr>
            <w:r w:rsidRPr="002B55E9">
              <w:rPr>
                <w:rFonts w:eastAsia="宋体" w:hint="eastAsia"/>
              </w:rPr>
              <w:t>H</w:t>
            </w:r>
            <w:r w:rsidRPr="002B55E9">
              <w:rPr>
                <w:rFonts w:eastAsia="宋体"/>
              </w:rPr>
              <w:t>W49</w:t>
            </w:r>
          </w:p>
        </w:tc>
        <w:tc>
          <w:tcPr>
            <w:tcW w:w="763" w:type="dxa"/>
          </w:tcPr>
          <w:p w14:paraId="26B52784" w14:textId="77777777" w:rsidR="00084DD8" w:rsidRPr="002B55E9" w:rsidRDefault="00084DD8" w:rsidP="00FE28E2">
            <w:pPr>
              <w:pStyle w:val="lgy-"/>
              <w:rPr>
                <w:rFonts w:eastAsia="宋体"/>
              </w:rPr>
            </w:pPr>
            <w:r w:rsidRPr="002B55E9">
              <w:rPr>
                <w:rFonts w:eastAsia="宋体" w:hint="eastAsia"/>
              </w:rPr>
              <w:t>9</w:t>
            </w:r>
            <w:r w:rsidRPr="002B55E9">
              <w:rPr>
                <w:rFonts w:eastAsia="宋体"/>
              </w:rPr>
              <w:t>00-041-49</w:t>
            </w:r>
          </w:p>
        </w:tc>
        <w:tc>
          <w:tcPr>
            <w:tcW w:w="637" w:type="dxa"/>
          </w:tcPr>
          <w:p w14:paraId="0EB9C9F3" w14:textId="77777777" w:rsidR="00084DD8" w:rsidRPr="002B55E9" w:rsidRDefault="00084DD8" w:rsidP="00FE28E2">
            <w:pPr>
              <w:pStyle w:val="lgy-"/>
              <w:rPr>
                <w:rFonts w:eastAsia="宋体"/>
              </w:rPr>
            </w:pPr>
            <w:r w:rsidRPr="002B55E9">
              <w:rPr>
                <w:rFonts w:eastAsia="宋体" w:hint="eastAsia"/>
              </w:rPr>
              <w:t>0</w:t>
            </w:r>
            <w:r w:rsidRPr="002B55E9">
              <w:rPr>
                <w:rFonts w:eastAsia="宋体"/>
              </w:rPr>
              <w:t>.01</w:t>
            </w:r>
          </w:p>
        </w:tc>
        <w:tc>
          <w:tcPr>
            <w:tcW w:w="946" w:type="dxa"/>
          </w:tcPr>
          <w:p w14:paraId="08851E56" w14:textId="77777777" w:rsidR="00084DD8" w:rsidRPr="002B55E9" w:rsidRDefault="00084DD8" w:rsidP="00FE28E2">
            <w:pPr>
              <w:pStyle w:val="lgy-"/>
              <w:rPr>
                <w:rFonts w:eastAsia="宋体"/>
              </w:rPr>
            </w:pPr>
            <w:r w:rsidRPr="002B55E9">
              <w:rPr>
                <w:rFonts w:eastAsia="宋体" w:hint="eastAsia"/>
              </w:rPr>
              <w:t>设备检修</w:t>
            </w:r>
          </w:p>
        </w:tc>
        <w:tc>
          <w:tcPr>
            <w:tcW w:w="461" w:type="dxa"/>
          </w:tcPr>
          <w:p w14:paraId="75E97F6A" w14:textId="77777777" w:rsidR="00084DD8" w:rsidRPr="002B55E9" w:rsidRDefault="00084DD8" w:rsidP="00FE28E2">
            <w:pPr>
              <w:pStyle w:val="lgy-"/>
              <w:rPr>
                <w:rFonts w:eastAsia="宋体"/>
              </w:rPr>
            </w:pPr>
            <w:r w:rsidRPr="002B55E9">
              <w:rPr>
                <w:rFonts w:eastAsia="宋体" w:hint="eastAsia"/>
              </w:rPr>
              <w:t>固</w:t>
            </w:r>
          </w:p>
        </w:tc>
        <w:tc>
          <w:tcPr>
            <w:tcW w:w="1004" w:type="dxa"/>
          </w:tcPr>
          <w:p w14:paraId="33110F25" w14:textId="0D9502D3" w:rsidR="00084DD8" w:rsidRPr="002B55E9" w:rsidRDefault="00084DD8" w:rsidP="00FE28E2">
            <w:pPr>
              <w:pStyle w:val="lgy-"/>
              <w:rPr>
                <w:rFonts w:eastAsia="宋体"/>
              </w:rPr>
            </w:pPr>
            <w:r w:rsidRPr="002B55E9">
              <w:rPr>
                <w:rFonts w:eastAsia="宋体" w:hint="eastAsia"/>
              </w:rPr>
              <w:t>抹布</w:t>
            </w:r>
          </w:p>
        </w:tc>
        <w:tc>
          <w:tcPr>
            <w:tcW w:w="1004" w:type="dxa"/>
          </w:tcPr>
          <w:p w14:paraId="19C9EBDD" w14:textId="7F4AB2BE" w:rsidR="00084DD8" w:rsidRPr="002B55E9" w:rsidRDefault="00084DD8" w:rsidP="00FE28E2">
            <w:pPr>
              <w:pStyle w:val="lgy-"/>
              <w:rPr>
                <w:rFonts w:eastAsia="宋体"/>
              </w:rPr>
            </w:pPr>
            <w:r w:rsidRPr="002B55E9">
              <w:rPr>
                <w:rFonts w:eastAsia="宋体" w:hint="eastAsia"/>
              </w:rPr>
              <w:t>沾染矿物油</w:t>
            </w:r>
          </w:p>
        </w:tc>
        <w:tc>
          <w:tcPr>
            <w:tcW w:w="762" w:type="dxa"/>
          </w:tcPr>
          <w:p w14:paraId="726A358E" w14:textId="77777777" w:rsidR="00084DD8" w:rsidRPr="002B55E9" w:rsidRDefault="00084DD8" w:rsidP="00FE28E2">
            <w:pPr>
              <w:pStyle w:val="lgy-"/>
              <w:rPr>
                <w:rFonts w:eastAsia="宋体"/>
              </w:rPr>
            </w:pPr>
            <w:r w:rsidRPr="002B55E9">
              <w:rPr>
                <w:rFonts w:eastAsia="宋体" w:hint="eastAsia"/>
              </w:rPr>
              <w:t>日</w:t>
            </w:r>
          </w:p>
        </w:tc>
        <w:tc>
          <w:tcPr>
            <w:tcW w:w="762" w:type="dxa"/>
          </w:tcPr>
          <w:p w14:paraId="6F95723B" w14:textId="77777777" w:rsidR="00084DD8" w:rsidRPr="002B55E9" w:rsidRDefault="00084DD8" w:rsidP="00FE28E2">
            <w:pPr>
              <w:pStyle w:val="lgy-"/>
              <w:rPr>
                <w:rFonts w:eastAsia="宋体"/>
              </w:rPr>
            </w:pPr>
            <w:r w:rsidRPr="002B55E9">
              <w:rPr>
                <w:rFonts w:eastAsia="宋体" w:hint="eastAsia"/>
              </w:rPr>
              <w:t>T/C/I/R</w:t>
            </w:r>
          </w:p>
        </w:tc>
        <w:tc>
          <w:tcPr>
            <w:tcW w:w="1137" w:type="dxa"/>
            <w:vMerge/>
          </w:tcPr>
          <w:p w14:paraId="534C4621" w14:textId="77777777" w:rsidR="00084DD8" w:rsidRPr="002B55E9" w:rsidRDefault="00084DD8" w:rsidP="00FE28E2">
            <w:pPr>
              <w:pStyle w:val="lgy-"/>
              <w:rPr>
                <w:rFonts w:eastAsia="宋体"/>
              </w:rPr>
            </w:pPr>
          </w:p>
        </w:tc>
      </w:tr>
      <w:tr w:rsidR="002B55E9" w:rsidRPr="002B55E9" w14:paraId="417D38F1" w14:textId="77777777" w:rsidTr="00FE28E2">
        <w:trPr>
          <w:trHeight w:val="283"/>
        </w:trPr>
        <w:tc>
          <w:tcPr>
            <w:tcW w:w="2925" w:type="dxa"/>
            <w:gridSpan w:val="4"/>
          </w:tcPr>
          <w:p w14:paraId="094A1E2B" w14:textId="77777777" w:rsidR="00084DD8" w:rsidRPr="002B55E9" w:rsidRDefault="00084DD8" w:rsidP="00FE28E2">
            <w:pPr>
              <w:pStyle w:val="lgy-"/>
              <w:rPr>
                <w:rFonts w:eastAsia="宋体"/>
              </w:rPr>
            </w:pPr>
            <w:r w:rsidRPr="002B55E9">
              <w:rPr>
                <w:rFonts w:eastAsia="宋体" w:hint="eastAsia"/>
              </w:rPr>
              <w:t>合计</w:t>
            </w:r>
          </w:p>
        </w:tc>
        <w:tc>
          <w:tcPr>
            <w:tcW w:w="637" w:type="dxa"/>
          </w:tcPr>
          <w:p w14:paraId="7B7411D6" w14:textId="77777777" w:rsidR="00084DD8" w:rsidRPr="002B55E9" w:rsidRDefault="00084DD8" w:rsidP="00FE28E2">
            <w:pPr>
              <w:pStyle w:val="lgy-"/>
              <w:rPr>
                <w:rFonts w:eastAsia="宋体"/>
              </w:rPr>
            </w:pPr>
            <w:r w:rsidRPr="002B55E9">
              <w:fldChar w:fldCharType="begin"/>
            </w:r>
            <w:r w:rsidRPr="002B55E9">
              <w:rPr>
                <w:rFonts w:eastAsia="宋体"/>
              </w:rPr>
              <w:instrText xml:space="preserve"> =SUM(ABOVE) </w:instrText>
            </w:r>
            <w:r w:rsidRPr="002B55E9">
              <w:fldChar w:fldCharType="separate"/>
            </w:r>
            <w:r w:rsidRPr="002B55E9">
              <w:rPr>
                <w:rFonts w:eastAsia="宋体"/>
              </w:rPr>
              <w:t>3.12</w:t>
            </w:r>
            <w:r w:rsidRPr="002B55E9">
              <w:fldChar w:fldCharType="end"/>
            </w:r>
          </w:p>
        </w:tc>
        <w:tc>
          <w:tcPr>
            <w:tcW w:w="946" w:type="dxa"/>
          </w:tcPr>
          <w:p w14:paraId="2EDD441E" w14:textId="77777777" w:rsidR="00084DD8" w:rsidRPr="002B55E9" w:rsidRDefault="00084DD8" w:rsidP="00FE28E2">
            <w:pPr>
              <w:pStyle w:val="lgy-"/>
              <w:rPr>
                <w:rFonts w:eastAsia="宋体"/>
              </w:rPr>
            </w:pPr>
            <w:r w:rsidRPr="002B55E9">
              <w:rPr>
                <w:rFonts w:eastAsia="宋体" w:hint="eastAsia"/>
              </w:rPr>
              <w:t>/</w:t>
            </w:r>
          </w:p>
        </w:tc>
        <w:tc>
          <w:tcPr>
            <w:tcW w:w="461" w:type="dxa"/>
          </w:tcPr>
          <w:p w14:paraId="798AF2A9" w14:textId="77777777" w:rsidR="00084DD8" w:rsidRPr="002B55E9" w:rsidRDefault="00084DD8" w:rsidP="00FE28E2">
            <w:pPr>
              <w:pStyle w:val="lgy-"/>
              <w:rPr>
                <w:rFonts w:eastAsia="宋体"/>
              </w:rPr>
            </w:pPr>
            <w:r w:rsidRPr="002B55E9">
              <w:rPr>
                <w:rFonts w:eastAsia="宋体" w:hint="eastAsia"/>
              </w:rPr>
              <w:t>/</w:t>
            </w:r>
          </w:p>
        </w:tc>
        <w:tc>
          <w:tcPr>
            <w:tcW w:w="1004" w:type="dxa"/>
          </w:tcPr>
          <w:p w14:paraId="0E24E95B" w14:textId="77777777" w:rsidR="00084DD8" w:rsidRPr="002B55E9" w:rsidRDefault="00084DD8" w:rsidP="00FE28E2">
            <w:pPr>
              <w:pStyle w:val="lgy-"/>
              <w:rPr>
                <w:rFonts w:eastAsia="宋体"/>
              </w:rPr>
            </w:pPr>
          </w:p>
        </w:tc>
        <w:tc>
          <w:tcPr>
            <w:tcW w:w="1004" w:type="dxa"/>
          </w:tcPr>
          <w:p w14:paraId="628C2D56" w14:textId="307EDE5A" w:rsidR="00084DD8" w:rsidRPr="002B55E9" w:rsidRDefault="00084DD8" w:rsidP="00FE28E2">
            <w:pPr>
              <w:pStyle w:val="lgy-"/>
              <w:rPr>
                <w:rFonts w:eastAsia="宋体"/>
              </w:rPr>
            </w:pPr>
            <w:r w:rsidRPr="002B55E9">
              <w:rPr>
                <w:rFonts w:eastAsia="宋体" w:hint="eastAsia"/>
              </w:rPr>
              <w:t>/</w:t>
            </w:r>
          </w:p>
        </w:tc>
        <w:tc>
          <w:tcPr>
            <w:tcW w:w="762" w:type="dxa"/>
          </w:tcPr>
          <w:p w14:paraId="36B42478" w14:textId="77777777" w:rsidR="00084DD8" w:rsidRPr="002B55E9" w:rsidRDefault="00084DD8" w:rsidP="00FE28E2">
            <w:pPr>
              <w:pStyle w:val="lgy-"/>
              <w:rPr>
                <w:rFonts w:eastAsia="宋体"/>
              </w:rPr>
            </w:pPr>
            <w:r w:rsidRPr="002B55E9">
              <w:rPr>
                <w:rFonts w:eastAsia="宋体" w:hint="eastAsia"/>
              </w:rPr>
              <w:t>/</w:t>
            </w:r>
          </w:p>
        </w:tc>
        <w:tc>
          <w:tcPr>
            <w:tcW w:w="762" w:type="dxa"/>
          </w:tcPr>
          <w:p w14:paraId="37E7DC79" w14:textId="77777777" w:rsidR="00084DD8" w:rsidRPr="002B55E9" w:rsidRDefault="00084DD8" w:rsidP="00FE28E2">
            <w:pPr>
              <w:pStyle w:val="lgy-"/>
              <w:rPr>
                <w:rFonts w:eastAsia="宋体"/>
              </w:rPr>
            </w:pPr>
            <w:r w:rsidRPr="002B55E9">
              <w:rPr>
                <w:rFonts w:eastAsia="宋体" w:hint="eastAsia"/>
              </w:rPr>
              <w:t>/</w:t>
            </w:r>
          </w:p>
        </w:tc>
        <w:tc>
          <w:tcPr>
            <w:tcW w:w="1137" w:type="dxa"/>
          </w:tcPr>
          <w:p w14:paraId="5501CF5E" w14:textId="77777777" w:rsidR="00084DD8" w:rsidRPr="002B55E9" w:rsidRDefault="00084DD8" w:rsidP="00FE28E2">
            <w:pPr>
              <w:pStyle w:val="lgy-"/>
              <w:rPr>
                <w:rFonts w:eastAsia="宋体"/>
              </w:rPr>
            </w:pPr>
            <w:r w:rsidRPr="002B55E9">
              <w:rPr>
                <w:rFonts w:eastAsia="宋体" w:hint="eastAsia"/>
              </w:rPr>
              <w:t>/</w:t>
            </w:r>
          </w:p>
        </w:tc>
      </w:tr>
    </w:tbl>
    <w:p w14:paraId="7BFE4FB0" w14:textId="77777777" w:rsidR="00D170E5" w:rsidRPr="002B55E9" w:rsidRDefault="00EF27AD">
      <w:pPr>
        <w:pStyle w:val="5"/>
        <w:numPr>
          <w:ilvl w:val="4"/>
          <w:numId w:val="20"/>
        </w:numPr>
      </w:pPr>
      <w:r w:rsidRPr="002B55E9">
        <w:rPr>
          <w:rFonts w:hint="eastAsia"/>
        </w:rPr>
        <w:t>固体</w:t>
      </w:r>
      <w:r w:rsidRPr="002B55E9">
        <w:t>废物去向</w:t>
      </w:r>
    </w:p>
    <w:p w14:paraId="6644007B" w14:textId="77777777" w:rsidR="00D170E5" w:rsidRPr="002B55E9" w:rsidRDefault="00EF27AD">
      <w:pPr>
        <w:pStyle w:val="aa"/>
        <w:snapToGrid w:val="0"/>
      </w:pPr>
      <w:r w:rsidRPr="002B55E9">
        <w:rPr>
          <w:rFonts w:hint="eastAsia"/>
        </w:rPr>
        <w:t>拟建</w:t>
      </w:r>
      <w:r w:rsidRPr="002B55E9">
        <w:t>项目产生的固体废物包括</w:t>
      </w:r>
      <w:r w:rsidRPr="002B55E9">
        <w:rPr>
          <w:rFonts w:hint="eastAsia"/>
        </w:rPr>
        <w:t>生活垃圾</w:t>
      </w:r>
      <w:r w:rsidRPr="002B55E9">
        <w:t>、一般工业固体废物</w:t>
      </w:r>
      <w:r w:rsidRPr="002B55E9">
        <w:rPr>
          <w:rFonts w:hint="eastAsia"/>
        </w:rPr>
        <w:t>和</w:t>
      </w:r>
      <w:r w:rsidRPr="002B55E9">
        <w:t>危险废物</w:t>
      </w:r>
      <w:r w:rsidRPr="002B55E9">
        <w:rPr>
          <w:rFonts w:hint="eastAsia"/>
        </w:rPr>
        <w:t>，处置去向见下表</w:t>
      </w:r>
      <w:r w:rsidRPr="002B55E9">
        <w:t>。</w:t>
      </w:r>
    </w:p>
    <w:p w14:paraId="59D35E1A" w14:textId="77777777" w:rsidR="00D170E5" w:rsidRPr="002B55E9" w:rsidRDefault="00EF27AD">
      <w:pPr>
        <w:pStyle w:val="1f3"/>
        <w:spacing w:beforeLines="0" w:before="0"/>
        <w:rPr>
          <w:lang w:val="zh-CN"/>
        </w:rPr>
      </w:pPr>
      <w:r w:rsidRPr="002B55E9">
        <w:rPr>
          <w:lang w:val="zh-CN"/>
        </w:rPr>
        <w:t>表</w:t>
      </w:r>
      <w:r w:rsidRPr="002B55E9">
        <w:rPr>
          <w:rFonts w:hint="eastAsia"/>
          <w:lang w:val="zh-CN"/>
        </w:rPr>
        <w:t>3-</w:t>
      </w:r>
      <w:r w:rsidRPr="002B55E9">
        <w:rPr>
          <w:lang w:val="zh-CN"/>
        </w:rPr>
        <w:t>3</w:t>
      </w:r>
      <w:r w:rsidRPr="002B55E9">
        <w:rPr>
          <w:rFonts w:hint="eastAsia"/>
          <w:lang w:val="zh-CN"/>
        </w:rPr>
        <w:t>-</w:t>
      </w:r>
      <w:r w:rsidRPr="002B55E9">
        <w:rPr>
          <w:lang w:val="zh-CN"/>
        </w:rPr>
        <w:t xml:space="preserve">33  </w:t>
      </w:r>
      <w:r w:rsidRPr="002B55E9">
        <w:rPr>
          <w:lang w:val="zh-CN"/>
        </w:rPr>
        <w:t>拟建项目固体废物产生及</w:t>
      </w:r>
      <w:r w:rsidRPr="002B55E9">
        <w:rPr>
          <w:rFonts w:hint="eastAsia"/>
          <w:lang w:val="zh-CN"/>
        </w:rPr>
        <w:t>处置</w:t>
      </w:r>
      <w:r w:rsidRPr="002B55E9">
        <w:rPr>
          <w:lang w:val="zh-CN"/>
        </w:rPr>
        <w:t>情况一览表</w:t>
      </w:r>
    </w:p>
    <w:tbl>
      <w:tblPr>
        <w:tblStyle w:val="lgy2"/>
        <w:tblW w:w="5000" w:type="pct"/>
        <w:tblLayout w:type="fixed"/>
        <w:tblCellMar>
          <w:left w:w="28" w:type="dxa"/>
          <w:right w:w="28" w:type="dxa"/>
        </w:tblCellMar>
        <w:tblLook w:val="04A0" w:firstRow="1" w:lastRow="0" w:firstColumn="1" w:lastColumn="0" w:noHBand="0" w:noVBand="1"/>
      </w:tblPr>
      <w:tblGrid>
        <w:gridCol w:w="598"/>
        <w:gridCol w:w="2280"/>
        <w:gridCol w:w="838"/>
        <w:gridCol w:w="1373"/>
        <w:gridCol w:w="1043"/>
        <w:gridCol w:w="1654"/>
        <w:gridCol w:w="1908"/>
      </w:tblGrid>
      <w:tr w:rsidR="002B55E9" w:rsidRPr="002B55E9" w14:paraId="100E022D" w14:textId="77777777" w:rsidTr="007F5FA9">
        <w:trPr>
          <w:cnfStyle w:val="100000000000" w:firstRow="1" w:lastRow="0" w:firstColumn="0" w:lastColumn="0" w:oddVBand="0" w:evenVBand="0" w:oddHBand="0" w:evenHBand="0" w:firstRowFirstColumn="0" w:firstRowLastColumn="0" w:lastRowFirstColumn="0" w:lastRowLastColumn="0"/>
          <w:trHeight w:val="283"/>
        </w:trPr>
        <w:tc>
          <w:tcPr>
            <w:tcW w:w="595" w:type="dxa"/>
          </w:tcPr>
          <w:p w14:paraId="1CCDE91C" w14:textId="77777777" w:rsidR="00D170E5" w:rsidRPr="002B55E9" w:rsidRDefault="00EF27AD" w:rsidP="007F5FA9">
            <w:pPr>
              <w:pStyle w:val="lgy-"/>
              <w:rPr>
                <w:rFonts w:eastAsia="宋体"/>
              </w:rPr>
            </w:pPr>
            <w:r w:rsidRPr="002B55E9">
              <w:rPr>
                <w:rFonts w:eastAsia="宋体"/>
              </w:rPr>
              <w:t>序号</w:t>
            </w:r>
          </w:p>
        </w:tc>
        <w:tc>
          <w:tcPr>
            <w:tcW w:w="2267" w:type="dxa"/>
          </w:tcPr>
          <w:p w14:paraId="22748C99" w14:textId="77777777" w:rsidR="00D170E5" w:rsidRPr="002B55E9" w:rsidRDefault="00EF27AD" w:rsidP="007F5FA9">
            <w:pPr>
              <w:pStyle w:val="lgy-"/>
              <w:rPr>
                <w:rFonts w:eastAsia="宋体"/>
              </w:rPr>
            </w:pPr>
            <w:r w:rsidRPr="002B55E9">
              <w:rPr>
                <w:rFonts w:eastAsia="宋体"/>
              </w:rPr>
              <w:t>危险废物名称</w:t>
            </w:r>
          </w:p>
        </w:tc>
        <w:tc>
          <w:tcPr>
            <w:tcW w:w="833" w:type="dxa"/>
          </w:tcPr>
          <w:p w14:paraId="6C42909D" w14:textId="77777777" w:rsidR="00D170E5" w:rsidRPr="002B55E9" w:rsidRDefault="00EF27AD" w:rsidP="007F5FA9">
            <w:pPr>
              <w:pStyle w:val="lgy-"/>
              <w:rPr>
                <w:rFonts w:eastAsia="宋体"/>
              </w:rPr>
            </w:pPr>
            <w:r w:rsidRPr="002B55E9">
              <w:rPr>
                <w:rFonts w:eastAsia="宋体"/>
              </w:rPr>
              <w:t>废物类别</w:t>
            </w:r>
          </w:p>
        </w:tc>
        <w:tc>
          <w:tcPr>
            <w:tcW w:w="1365" w:type="dxa"/>
          </w:tcPr>
          <w:p w14:paraId="50B2B85E" w14:textId="77777777" w:rsidR="00D170E5" w:rsidRPr="002B55E9" w:rsidRDefault="00EF27AD" w:rsidP="007F5FA9">
            <w:pPr>
              <w:pStyle w:val="lgy-"/>
              <w:rPr>
                <w:rFonts w:eastAsia="宋体"/>
              </w:rPr>
            </w:pPr>
            <w:r w:rsidRPr="002B55E9">
              <w:rPr>
                <w:rFonts w:eastAsia="宋体"/>
              </w:rPr>
              <w:t>废物代码</w:t>
            </w:r>
          </w:p>
        </w:tc>
        <w:tc>
          <w:tcPr>
            <w:tcW w:w="1037" w:type="dxa"/>
          </w:tcPr>
          <w:p w14:paraId="7357C630" w14:textId="77777777" w:rsidR="00D170E5" w:rsidRPr="002B55E9" w:rsidRDefault="00EF27AD" w:rsidP="007F5FA9">
            <w:pPr>
              <w:pStyle w:val="lgy-"/>
              <w:rPr>
                <w:rFonts w:eastAsia="宋体"/>
              </w:rPr>
            </w:pPr>
            <w:r w:rsidRPr="002B55E9">
              <w:rPr>
                <w:rFonts w:eastAsia="宋体"/>
              </w:rPr>
              <w:t>产生量</w:t>
            </w:r>
          </w:p>
          <w:p w14:paraId="095B09B1" w14:textId="77777777" w:rsidR="00D170E5" w:rsidRPr="002B55E9" w:rsidRDefault="00EF27AD" w:rsidP="007F5FA9">
            <w:pPr>
              <w:pStyle w:val="lgy-"/>
              <w:rPr>
                <w:rFonts w:eastAsia="宋体"/>
              </w:rPr>
            </w:pPr>
            <w:r w:rsidRPr="002B55E9">
              <w:rPr>
                <w:rFonts w:eastAsia="宋体"/>
              </w:rPr>
              <w:t>（</w:t>
            </w:r>
            <w:r w:rsidRPr="002B55E9">
              <w:rPr>
                <w:rFonts w:eastAsia="宋体"/>
              </w:rPr>
              <w:t>t/a</w:t>
            </w:r>
            <w:r w:rsidRPr="002B55E9">
              <w:rPr>
                <w:rFonts w:eastAsia="宋体"/>
              </w:rPr>
              <w:t>）</w:t>
            </w:r>
          </w:p>
        </w:tc>
        <w:tc>
          <w:tcPr>
            <w:tcW w:w="1644" w:type="dxa"/>
          </w:tcPr>
          <w:p w14:paraId="048F6E4C" w14:textId="77777777" w:rsidR="00D170E5" w:rsidRPr="002B55E9" w:rsidRDefault="00EF27AD" w:rsidP="007F5FA9">
            <w:pPr>
              <w:pStyle w:val="lgy-"/>
              <w:rPr>
                <w:rFonts w:eastAsia="宋体"/>
              </w:rPr>
            </w:pPr>
            <w:r w:rsidRPr="002B55E9">
              <w:rPr>
                <w:rFonts w:eastAsia="宋体"/>
              </w:rPr>
              <w:t>产生工序及装置</w:t>
            </w:r>
          </w:p>
        </w:tc>
        <w:tc>
          <w:tcPr>
            <w:tcW w:w="1897" w:type="dxa"/>
          </w:tcPr>
          <w:p w14:paraId="0D87066B" w14:textId="77777777" w:rsidR="00D170E5" w:rsidRPr="002B55E9" w:rsidRDefault="00EF27AD" w:rsidP="007F5FA9">
            <w:pPr>
              <w:pStyle w:val="lgy-"/>
              <w:rPr>
                <w:rFonts w:eastAsia="宋体"/>
              </w:rPr>
            </w:pPr>
            <w:r w:rsidRPr="002B55E9">
              <w:rPr>
                <w:rFonts w:eastAsia="宋体"/>
              </w:rPr>
              <w:t>污染防治措施</w:t>
            </w:r>
          </w:p>
        </w:tc>
      </w:tr>
      <w:tr w:rsidR="002B55E9" w:rsidRPr="002B55E9" w14:paraId="4B29024F" w14:textId="77777777" w:rsidTr="007F5FA9">
        <w:trPr>
          <w:trHeight w:val="283"/>
        </w:trPr>
        <w:tc>
          <w:tcPr>
            <w:tcW w:w="595" w:type="dxa"/>
          </w:tcPr>
          <w:p w14:paraId="047640E2" w14:textId="77777777" w:rsidR="00D170E5" w:rsidRPr="002B55E9" w:rsidRDefault="00EF27AD" w:rsidP="007F5FA9">
            <w:pPr>
              <w:pStyle w:val="lgy-"/>
              <w:rPr>
                <w:rFonts w:eastAsia="宋体"/>
              </w:rPr>
            </w:pPr>
            <w:r w:rsidRPr="002B55E9">
              <w:rPr>
                <w:rFonts w:eastAsia="宋体"/>
              </w:rPr>
              <w:t>1</w:t>
            </w:r>
          </w:p>
        </w:tc>
        <w:tc>
          <w:tcPr>
            <w:tcW w:w="2267" w:type="dxa"/>
          </w:tcPr>
          <w:p w14:paraId="47A3CAFC" w14:textId="77777777" w:rsidR="00D170E5" w:rsidRPr="002B55E9" w:rsidRDefault="00EF27AD" w:rsidP="007F5FA9">
            <w:pPr>
              <w:pStyle w:val="lgy-"/>
              <w:rPr>
                <w:rFonts w:eastAsia="宋体"/>
              </w:rPr>
            </w:pPr>
            <w:r w:rsidRPr="002B55E9">
              <w:rPr>
                <w:rFonts w:eastAsia="宋体"/>
              </w:rPr>
              <w:t>生活垃圾</w:t>
            </w:r>
          </w:p>
        </w:tc>
        <w:tc>
          <w:tcPr>
            <w:tcW w:w="833" w:type="dxa"/>
          </w:tcPr>
          <w:p w14:paraId="71AEF7D1" w14:textId="77777777" w:rsidR="00D170E5" w:rsidRPr="002B55E9" w:rsidRDefault="00EF27AD" w:rsidP="007F5FA9">
            <w:pPr>
              <w:pStyle w:val="lgy-"/>
              <w:rPr>
                <w:rFonts w:eastAsia="宋体"/>
              </w:rPr>
            </w:pPr>
            <w:r w:rsidRPr="002B55E9">
              <w:rPr>
                <w:rFonts w:eastAsia="宋体" w:hint="eastAsia"/>
              </w:rPr>
              <w:t>/</w:t>
            </w:r>
          </w:p>
        </w:tc>
        <w:tc>
          <w:tcPr>
            <w:tcW w:w="1365" w:type="dxa"/>
          </w:tcPr>
          <w:p w14:paraId="6065F7B2" w14:textId="77777777" w:rsidR="00D170E5" w:rsidRPr="002B55E9" w:rsidRDefault="00EF27AD" w:rsidP="007F5FA9">
            <w:pPr>
              <w:pStyle w:val="lgy-"/>
              <w:rPr>
                <w:rFonts w:eastAsia="宋体"/>
              </w:rPr>
            </w:pPr>
            <w:r w:rsidRPr="002B55E9">
              <w:rPr>
                <w:rFonts w:eastAsia="宋体" w:hint="eastAsia"/>
              </w:rPr>
              <w:t>/</w:t>
            </w:r>
          </w:p>
        </w:tc>
        <w:tc>
          <w:tcPr>
            <w:tcW w:w="1037" w:type="dxa"/>
          </w:tcPr>
          <w:p w14:paraId="42DC61B9" w14:textId="77777777" w:rsidR="00D170E5" w:rsidRPr="002B55E9" w:rsidRDefault="00EF27AD" w:rsidP="007F5FA9">
            <w:pPr>
              <w:pStyle w:val="lgy-"/>
              <w:rPr>
                <w:rFonts w:eastAsia="宋体"/>
              </w:rPr>
            </w:pPr>
            <w:r w:rsidRPr="002B55E9">
              <w:rPr>
                <w:rFonts w:eastAsia="宋体"/>
              </w:rPr>
              <w:t>44.88</w:t>
            </w:r>
          </w:p>
        </w:tc>
        <w:tc>
          <w:tcPr>
            <w:tcW w:w="1644" w:type="dxa"/>
          </w:tcPr>
          <w:p w14:paraId="1B9DCBED" w14:textId="77777777" w:rsidR="00D170E5" w:rsidRPr="002B55E9" w:rsidRDefault="00EF27AD" w:rsidP="007F5FA9">
            <w:pPr>
              <w:pStyle w:val="lgy-"/>
              <w:rPr>
                <w:rFonts w:eastAsia="宋体"/>
              </w:rPr>
            </w:pPr>
            <w:r w:rsidRPr="002B55E9">
              <w:rPr>
                <w:rFonts w:eastAsia="宋体"/>
              </w:rPr>
              <w:t>办公生活</w:t>
            </w:r>
          </w:p>
        </w:tc>
        <w:tc>
          <w:tcPr>
            <w:tcW w:w="1897" w:type="dxa"/>
          </w:tcPr>
          <w:p w14:paraId="0FA51526" w14:textId="77777777" w:rsidR="00D170E5" w:rsidRPr="002B55E9" w:rsidRDefault="00EF27AD" w:rsidP="007F5FA9">
            <w:pPr>
              <w:pStyle w:val="lgy-"/>
              <w:rPr>
                <w:rFonts w:eastAsia="宋体"/>
              </w:rPr>
            </w:pPr>
            <w:r w:rsidRPr="002B55E9">
              <w:rPr>
                <w:rFonts w:eastAsia="宋体"/>
              </w:rPr>
              <w:t>由环卫部门清运处置</w:t>
            </w:r>
          </w:p>
        </w:tc>
      </w:tr>
      <w:tr w:rsidR="002B55E9" w:rsidRPr="002B55E9" w14:paraId="2BF0E46C" w14:textId="77777777" w:rsidTr="007F5FA9">
        <w:trPr>
          <w:trHeight w:val="283"/>
        </w:trPr>
        <w:tc>
          <w:tcPr>
            <w:tcW w:w="595" w:type="dxa"/>
          </w:tcPr>
          <w:p w14:paraId="7F4A70AE" w14:textId="7E0CE439" w:rsidR="00D170E5" w:rsidRPr="002B55E9" w:rsidRDefault="00A21829" w:rsidP="007F5FA9">
            <w:pPr>
              <w:pStyle w:val="lgy-"/>
              <w:rPr>
                <w:rFonts w:eastAsia="宋体"/>
              </w:rPr>
            </w:pPr>
            <w:r w:rsidRPr="002B55E9">
              <w:rPr>
                <w:rFonts w:eastAsia="宋体"/>
              </w:rPr>
              <w:t>2</w:t>
            </w:r>
          </w:p>
        </w:tc>
        <w:tc>
          <w:tcPr>
            <w:tcW w:w="2267" w:type="dxa"/>
          </w:tcPr>
          <w:p w14:paraId="65D1B733" w14:textId="77777777" w:rsidR="00D170E5" w:rsidRPr="002B55E9" w:rsidRDefault="00EF27AD" w:rsidP="007F5FA9">
            <w:pPr>
              <w:pStyle w:val="lgy-"/>
              <w:rPr>
                <w:rFonts w:eastAsia="宋体"/>
              </w:rPr>
            </w:pPr>
            <w:r w:rsidRPr="002B55E9">
              <w:rPr>
                <w:rFonts w:eastAsia="宋体"/>
              </w:rPr>
              <w:t>过滤残渣</w:t>
            </w:r>
          </w:p>
        </w:tc>
        <w:tc>
          <w:tcPr>
            <w:tcW w:w="833" w:type="dxa"/>
          </w:tcPr>
          <w:p w14:paraId="396E0043" w14:textId="77777777" w:rsidR="00D170E5" w:rsidRPr="002B55E9" w:rsidRDefault="00EF27AD" w:rsidP="007F5FA9">
            <w:pPr>
              <w:pStyle w:val="lgy-"/>
              <w:rPr>
                <w:rFonts w:eastAsia="宋体"/>
              </w:rPr>
            </w:pPr>
            <w:r w:rsidRPr="002B55E9">
              <w:rPr>
                <w:rFonts w:eastAsia="宋体" w:hint="eastAsia"/>
              </w:rPr>
              <w:t>/</w:t>
            </w:r>
          </w:p>
        </w:tc>
        <w:tc>
          <w:tcPr>
            <w:tcW w:w="1365" w:type="dxa"/>
          </w:tcPr>
          <w:p w14:paraId="4C0CD0EC" w14:textId="77777777" w:rsidR="00D170E5" w:rsidRPr="002B55E9" w:rsidRDefault="00EF27AD" w:rsidP="007F5FA9">
            <w:pPr>
              <w:pStyle w:val="lgy-"/>
              <w:rPr>
                <w:rFonts w:eastAsia="宋体"/>
              </w:rPr>
            </w:pPr>
            <w:r w:rsidRPr="002B55E9">
              <w:rPr>
                <w:rFonts w:eastAsia="宋体" w:hint="eastAsia"/>
              </w:rPr>
              <w:t>/</w:t>
            </w:r>
          </w:p>
        </w:tc>
        <w:tc>
          <w:tcPr>
            <w:tcW w:w="1037" w:type="dxa"/>
          </w:tcPr>
          <w:p w14:paraId="22B7CB9F" w14:textId="45072E78" w:rsidR="00D170E5" w:rsidRPr="002B55E9" w:rsidRDefault="00EF27AD" w:rsidP="007F5FA9">
            <w:pPr>
              <w:pStyle w:val="lgy-"/>
              <w:rPr>
                <w:rFonts w:eastAsia="宋体"/>
              </w:rPr>
            </w:pPr>
            <w:r w:rsidRPr="002B55E9">
              <w:rPr>
                <w:rFonts w:eastAsia="宋体"/>
              </w:rPr>
              <w:t>559.</w:t>
            </w:r>
            <w:r w:rsidR="00A21829" w:rsidRPr="002B55E9">
              <w:rPr>
                <w:rFonts w:eastAsia="宋体"/>
              </w:rPr>
              <w:t>5</w:t>
            </w:r>
          </w:p>
        </w:tc>
        <w:tc>
          <w:tcPr>
            <w:tcW w:w="1644" w:type="dxa"/>
          </w:tcPr>
          <w:p w14:paraId="000B5D18" w14:textId="77777777" w:rsidR="00D170E5" w:rsidRPr="002B55E9" w:rsidRDefault="00EF27AD" w:rsidP="007F5FA9">
            <w:pPr>
              <w:pStyle w:val="lgy-"/>
              <w:rPr>
                <w:rFonts w:eastAsia="宋体"/>
              </w:rPr>
            </w:pPr>
            <w:r w:rsidRPr="002B55E9">
              <w:rPr>
                <w:rFonts w:eastAsia="宋体"/>
              </w:rPr>
              <w:t>过滤</w:t>
            </w:r>
          </w:p>
        </w:tc>
        <w:tc>
          <w:tcPr>
            <w:tcW w:w="1897" w:type="dxa"/>
          </w:tcPr>
          <w:p w14:paraId="4EFF1C63" w14:textId="77777777" w:rsidR="00D170E5" w:rsidRPr="002B55E9" w:rsidRDefault="00EF27AD" w:rsidP="007F5FA9">
            <w:pPr>
              <w:pStyle w:val="lgy-"/>
              <w:rPr>
                <w:rFonts w:eastAsia="宋体"/>
              </w:rPr>
            </w:pPr>
            <w:r w:rsidRPr="002B55E9">
              <w:rPr>
                <w:rFonts w:eastAsia="宋体"/>
              </w:rPr>
              <w:t>有机肥生产企业回收利用</w:t>
            </w:r>
          </w:p>
        </w:tc>
      </w:tr>
      <w:tr w:rsidR="002B55E9" w:rsidRPr="002B55E9" w14:paraId="63BF659F" w14:textId="77777777" w:rsidTr="007F5FA9">
        <w:trPr>
          <w:trHeight w:val="283"/>
        </w:trPr>
        <w:tc>
          <w:tcPr>
            <w:tcW w:w="595" w:type="dxa"/>
          </w:tcPr>
          <w:p w14:paraId="5377DE45" w14:textId="3979AA6E" w:rsidR="00D170E5" w:rsidRPr="002B55E9" w:rsidRDefault="00A21829" w:rsidP="007F5FA9">
            <w:pPr>
              <w:pStyle w:val="lgy-"/>
              <w:rPr>
                <w:rFonts w:eastAsia="宋体"/>
              </w:rPr>
            </w:pPr>
            <w:r w:rsidRPr="002B55E9">
              <w:rPr>
                <w:rFonts w:eastAsia="宋体"/>
              </w:rPr>
              <w:t>3</w:t>
            </w:r>
          </w:p>
        </w:tc>
        <w:tc>
          <w:tcPr>
            <w:tcW w:w="2267" w:type="dxa"/>
          </w:tcPr>
          <w:p w14:paraId="3896F181" w14:textId="4FAD6643" w:rsidR="00D170E5" w:rsidRPr="002B55E9" w:rsidRDefault="00A21829" w:rsidP="007F5FA9">
            <w:pPr>
              <w:pStyle w:val="lgy-"/>
              <w:rPr>
                <w:rFonts w:eastAsia="宋体"/>
              </w:rPr>
            </w:pPr>
            <w:r w:rsidRPr="002B55E9">
              <w:rPr>
                <w:rFonts w:eastAsia="宋体" w:hint="eastAsia"/>
              </w:rPr>
              <w:t>成品过滤残渣</w:t>
            </w:r>
          </w:p>
        </w:tc>
        <w:tc>
          <w:tcPr>
            <w:tcW w:w="833" w:type="dxa"/>
          </w:tcPr>
          <w:p w14:paraId="11BBC60C" w14:textId="0E17599E" w:rsidR="00D170E5" w:rsidRPr="002B55E9" w:rsidRDefault="00D170E5" w:rsidP="007F5FA9">
            <w:pPr>
              <w:pStyle w:val="lgy-"/>
              <w:rPr>
                <w:rFonts w:eastAsia="宋体"/>
              </w:rPr>
            </w:pPr>
          </w:p>
        </w:tc>
        <w:tc>
          <w:tcPr>
            <w:tcW w:w="1365" w:type="dxa"/>
          </w:tcPr>
          <w:p w14:paraId="6BA96837" w14:textId="4FB2814D" w:rsidR="00D170E5" w:rsidRPr="002B55E9" w:rsidRDefault="00D170E5" w:rsidP="007F5FA9">
            <w:pPr>
              <w:pStyle w:val="lgy-"/>
              <w:rPr>
                <w:rFonts w:eastAsia="宋体"/>
              </w:rPr>
            </w:pPr>
          </w:p>
        </w:tc>
        <w:tc>
          <w:tcPr>
            <w:tcW w:w="1037" w:type="dxa"/>
          </w:tcPr>
          <w:p w14:paraId="5D0FE61D" w14:textId="130C674B" w:rsidR="00D170E5" w:rsidRPr="002B55E9" w:rsidRDefault="00A21829" w:rsidP="007F5FA9">
            <w:pPr>
              <w:pStyle w:val="lgy-"/>
              <w:rPr>
                <w:rFonts w:eastAsia="宋体"/>
              </w:rPr>
            </w:pPr>
            <w:r w:rsidRPr="002B55E9">
              <w:rPr>
                <w:rFonts w:eastAsia="宋体" w:hint="eastAsia"/>
              </w:rPr>
              <w:t>3</w:t>
            </w:r>
            <w:r w:rsidRPr="002B55E9">
              <w:rPr>
                <w:rFonts w:eastAsia="宋体"/>
              </w:rPr>
              <w:t>.38</w:t>
            </w:r>
          </w:p>
        </w:tc>
        <w:tc>
          <w:tcPr>
            <w:tcW w:w="1644" w:type="dxa"/>
          </w:tcPr>
          <w:p w14:paraId="45FBC22C" w14:textId="793F377A" w:rsidR="00D170E5" w:rsidRPr="002B55E9" w:rsidRDefault="00A21829" w:rsidP="007F5FA9">
            <w:pPr>
              <w:pStyle w:val="lgy-"/>
              <w:rPr>
                <w:rFonts w:eastAsia="宋体"/>
              </w:rPr>
            </w:pPr>
            <w:r w:rsidRPr="002B55E9">
              <w:rPr>
                <w:rFonts w:eastAsia="宋体" w:hint="eastAsia"/>
              </w:rPr>
              <w:t>成品过滤</w:t>
            </w:r>
          </w:p>
        </w:tc>
        <w:tc>
          <w:tcPr>
            <w:tcW w:w="1897" w:type="dxa"/>
            <w:vMerge w:val="restart"/>
          </w:tcPr>
          <w:p w14:paraId="6654F171" w14:textId="77777777" w:rsidR="00D170E5" w:rsidRPr="002B55E9" w:rsidRDefault="00EF27AD" w:rsidP="007F5FA9">
            <w:pPr>
              <w:pStyle w:val="lgy-"/>
              <w:rPr>
                <w:rFonts w:eastAsia="宋体"/>
              </w:rPr>
            </w:pPr>
            <w:r w:rsidRPr="002B55E9">
              <w:rPr>
                <w:rFonts w:eastAsia="宋体"/>
              </w:rPr>
              <w:t>物资回收公司综合利用</w:t>
            </w:r>
          </w:p>
        </w:tc>
      </w:tr>
      <w:tr w:rsidR="002B55E9" w:rsidRPr="002B55E9" w14:paraId="5A3A089B" w14:textId="77777777" w:rsidTr="007F5FA9">
        <w:trPr>
          <w:trHeight w:val="283"/>
        </w:trPr>
        <w:tc>
          <w:tcPr>
            <w:tcW w:w="595" w:type="dxa"/>
          </w:tcPr>
          <w:p w14:paraId="23236196" w14:textId="0B8C0658" w:rsidR="00A21829" w:rsidRPr="002B55E9" w:rsidRDefault="00A21829" w:rsidP="007F5FA9">
            <w:pPr>
              <w:pStyle w:val="lgy-"/>
              <w:rPr>
                <w:rFonts w:eastAsia="宋体"/>
              </w:rPr>
            </w:pPr>
            <w:r w:rsidRPr="002B55E9">
              <w:rPr>
                <w:rFonts w:eastAsia="宋体" w:hint="eastAsia"/>
              </w:rPr>
              <w:t>4</w:t>
            </w:r>
          </w:p>
        </w:tc>
        <w:tc>
          <w:tcPr>
            <w:tcW w:w="2267" w:type="dxa"/>
          </w:tcPr>
          <w:p w14:paraId="1F6385B8" w14:textId="00A5CFB0" w:rsidR="00A21829" w:rsidRPr="002B55E9" w:rsidRDefault="00A21829" w:rsidP="007F5FA9">
            <w:pPr>
              <w:pStyle w:val="lgy-"/>
              <w:rPr>
                <w:rFonts w:eastAsia="宋体"/>
              </w:rPr>
            </w:pPr>
            <w:r w:rsidRPr="002B55E9">
              <w:rPr>
                <w:rFonts w:eastAsia="宋体"/>
              </w:rPr>
              <w:t>除尘器粉尘</w:t>
            </w:r>
          </w:p>
        </w:tc>
        <w:tc>
          <w:tcPr>
            <w:tcW w:w="833" w:type="dxa"/>
          </w:tcPr>
          <w:p w14:paraId="480DAF99" w14:textId="741D4403" w:rsidR="00A21829" w:rsidRPr="002B55E9" w:rsidRDefault="00A21829" w:rsidP="007F5FA9">
            <w:pPr>
              <w:pStyle w:val="lgy-"/>
              <w:rPr>
                <w:rFonts w:eastAsia="宋体"/>
              </w:rPr>
            </w:pPr>
            <w:r w:rsidRPr="002B55E9">
              <w:rPr>
                <w:rFonts w:eastAsia="宋体" w:hint="eastAsia"/>
              </w:rPr>
              <w:t>/</w:t>
            </w:r>
          </w:p>
        </w:tc>
        <w:tc>
          <w:tcPr>
            <w:tcW w:w="1365" w:type="dxa"/>
          </w:tcPr>
          <w:p w14:paraId="50164C8F" w14:textId="21C72652" w:rsidR="00A21829" w:rsidRPr="002B55E9" w:rsidRDefault="00A21829" w:rsidP="007F5FA9">
            <w:pPr>
              <w:pStyle w:val="lgy-"/>
              <w:rPr>
                <w:rFonts w:eastAsia="宋体"/>
              </w:rPr>
            </w:pPr>
            <w:r w:rsidRPr="002B55E9">
              <w:rPr>
                <w:rFonts w:eastAsia="宋体" w:hint="eastAsia"/>
              </w:rPr>
              <w:t>/</w:t>
            </w:r>
          </w:p>
        </w:tc>
        <w:tc>
          <w:tcPr>
            <w:tcW w:w="1037" w:type="dxa"/>
          </w:tcPr>
          <w:p w14:paraId="0283EAD6" w14:textId="6F1F5AA9" w:rsidR="00A21829" w:rsidRPr="002B55E9" w:rsidRDefault="0042523B" w:rsidP="007F5FA9">
            <w:pPr>
              <w:pStyle w:val="lgy-"/>
              <w:rPr>
                <w:rFonts w:eastAsia="宋体"/>
              </w:rPr>
            </w:pPr>
            <w:r w:rsidRPr="002B55E9">
              <w:rPr>
                <w:rFonts w:eastAsia="宋体"/>
              </w:rPr>
              <w:t>0.08</w:t>
            </w:r>
          </w:p>
        </w:tc>
        <w:tc>
          <w:tcPr>
            <w:tcW w:w="1644" w:type="dxa"/>
          </w:tcPr>
          <w:p w14:paraId="19D4C1E7" w14:textId="13511145" w:rsidR="00A21829" w:rsidRPr="002B55E9" w:rsidRDefault="00A21829" w:rsidP="007F5FA9">
            <w:pPr>
              <w:pStyle w:val="lgy-"/>
              <w:rPr>
                <w:rFonts w:eastAsia="宋体"/>
              </w:rPr>
            </w:pPr>
            <w:r w:rsidRPr="002B55E9">
              <w:rPr>
                <w:rFonts w:eastAsia="宋体"/>
              </w:rPr>
              <w:t>破碎</w:t>
            </w:r>
          </w:p>
        </w:tc>
        <w:tc>
          <w:tcPr>
            <w:tcW w:w="1897" w:type="dxa"/>
            <w:vMerge/>
          </w:tcPr>
          <w:p w14:paraId="121F6A34" w14:textId="77777777" w:rsidR="00A21829" w:rsidRPr="002B55E9" w:rsidRDefault="00A21829" w:rsidP="007F5FA9">
            <w:pPr>
              <w:pStyle w:val="lgy-"/>
              <w:rPr>
                <w:rFonts w:eastAsia="宋体"/>
              </w:rPr>
            </w:pPr>
          </w:p>
        </w:tc>
      </w:tr>
      <w:tr w:rsidR="002B55E9" w:rsidRPr="002B55E9" w14:paraId="119CFA91" w14:textId="77777777" w:rsidTr="007F5FA9">
        <w:trPr>
          <w:trHeight w:val="283"/>
        </w:trPr>
        <w:tc>
          <w:tcPr>
            <w:tcW w:w="595" w:type="dxa"/>
          </w:tcPr>
          <w:p w14:paraId="40AA8258" w14:textId="44CBA497" w:rsidR="00A21829" w:rsidRPr="002B55E9" w:rsidRDefault="00A21829" w:rsidP="007F5FA9">
            <w:pPr>
              <w:pStyle w:val="lgy-"/>
              <w:rPr>
                <w:rFonts w:eastAsia="宋体"/>
              </w:rPr>
            </w:pPr>
            <w:r w:rsidRPr="002B55E9">
              <w:rPr>
                <w:rFonts w:eastAsia="宋体" w:hint="eastAsia"/>
              </w:rPr>
              <w:t>5</w:t>
            </w:r>
          </w:p>
        </w:tc>
        <w:tc>
          <w:tcPr>
            <w:tcW w:w="2267" w:type="dxa"/>
          </w:tcPr>
          <w:p w14:paraId="68572DED" w14:textId="77777777" w:rsidR="00A21829" w:rsidRPr="002B55E9" w:rsidRDefault="00A21829" w:rsidP="007F5FA9">
            <w:pPr>
              <w:pStyle w:val="lgy-"/>
              <w:rPr>
                <w:rFonts w:eastAsia="宋体"/>
              </w:rPr>
            </w:pPr>
            <w:r w:rsidRPr="002B55E9">
              <w:rPr>
                <w:rFonts w:eastAsia="宋体"/>
              </w:rPr>
              <w:t>废包装材料</w:t>
            </w:r>
          </w:p>
        </w:tc>
        <w:tc>
          <w:tcPr>
            <w:tcW w:w="833" w:type="dxa"/>
          </w:tcPr>
          <w:p w14:paraId="7389D3A2" w14:textId="77777777" w:rsidR="00A21829" w:rsidRPr="002B55E9" w:rsidRDefault="00A21829" w:rsidP="007F5FA9">
            <w:pPr>
              <w:pStyle w:val="lgy-"/>
              <w:rPr>
                <w:rFonts w:eastAsia="宋体"/>
              </w:rPr>
            </w:pPr>
            <w:r w:rsidRPr="002B55E9">
              <w:rPr>
                <w:rFonts w:eastAsia="宋体" w:hint="eastAsia"/>
              </w:rPr>
              <w:t>/</w:t>
            </w:r>
          </w:p>
        </w:tc>
        <w:tc>
          <w:tcPr>
            <w:tcW w:w="1365" w:type="dxa"/>
          </w:tcPr>
          <w:p w14:paraId="0988D555" w14:textId="77777777" w:rsidR="00A21829" w:rsidRPr="002B55E9" w:rsidRDefault="00A21829" w:rsidP="007F5FA9">
            <w:pPr>
              <w:pStyle w:val="lgy-"/>
              <w:rPr>
                <w:rFonts w:eastAsia="宋体"/>
              </w:rPr>
            </w:pPr>
            <w:r w:rsidRPr="002B55E9">
              <w:rPr>
                <w:rFonts w:eastAsia="宋体" w:hint="eastAsia"/>
              </w:rPr>
              <w:t>/</w:t>
            </w:r>
          </w:p>
        </w:tc>
        <w:tc>
          <w:tcPr>
            <w:tcW w:w="1037" w:type="dxa"/>
          </w:tcPr>
          <w:p w14:paraId="616CCB82" w14:textId="77777777" w:rsidR="00A21829" w:rsidRPr="002B55E9" w:rsidRDefault="00A21829" w:rsidP="007F5FA9">
            <w:pPr>
              <w:pStyle w:val="lgy-"/>
              <w:rPr>
                <w:rFonts w:eastAsia="宋体"/>
              </w:rPr>
            </w:pPr>
            <w:r w:rsidRPr="002B55E9">
              <w:rPr>
                <w:rFonts w:eastAsia="宋体"/>
              </w:rPr>
              <w:t>12</w:t>
            </w:r>
          </w:p>
        </w:tc>
        <w:tc>
          <w:tcPr>
            <w:tcW w:w="1644" w:type="dxa"/>
          </w:tcPr>
          <w:p w14:paraId="25C82BD2" w14:textId="77777777" w:rsidR="00A21829" w:rsidRPr="002B55E9" w:rsidRDefault="00A21829" w:rsidP="007F5FA9">
            <w:pPr>
              <w:pStyle w:val="lgy-"/>
              <w:rPr>
                <w:rFonts w:eastAsia="宋体"/>
              </w:rPr>
            </w:pPr>
            <w:r w:rsidRPr="002B55E9">
              <w:rPr>
                <w:rFonts w:eastAsia="宋体"/>
              </w:rPr>
              <w:t>拆包</w:t>
            </w:r>
          </w:p>
        </w:tc>
        <w:tc>
          <w:tcPr>
            <w:tcW w:w="1897" w:type="dxa"/>
            <w:vMerge/>
          </w:tcPr>
          <w:p w14:paraId="0B45D8DB" w14:textId="77777777" w:rsidR="00A21829" w:rsidRPr="002B55E9" w:rsidRDefault="00A21829" w:rsidP="007F5FA9">
            <w:pPr>
              <w:pStyle w:val="lgy-"/>
              <w:rPr>
                <w:rFonts w:eastAsia="宋体"/>
              </w:rPr>
            </w:pPr>
          </w:p>
        </w:tc>
      </w:tr>
      <w:tr w:rsidR="002B55E9" w:rsidRPr="002B55E9" w14:paraId="626CDFC1" w14:textId="77777777" w:rsidTr="007F5FA9">
        <w:trPr>
          <w:trHeight w:val="283"/>
        </w:trPr>
        <w:tc>
          <w:tcPr>
            <w:tcW w:w="595" w:type="dxa"/>
          </w:tcPr>
          <w:p w14:paraId="4E453835" w14:textId="5376075A" w:rsidR="00A21829" w:rsidRPr="002B55E9" w:rsidRDefault="00A21829" w:rsidP="007F5FA9">
            <w:pPr>
              <w:pStyle w:val="lgy-"/>
              <w:rPr>
                <w:rFonts w:eastAsia="宋体"/>
              </w:rPr>
            </w:pPr>
            <w:r w:rsidRPr="002B55E9">
              <w:rPr>
                <w:rFonts w:eastAsia="宋体" w:hint="eastAsia"/>
              </w:rPr>
              <w:t>6</w:t>
            </w:r>
          </w:p>
        </w:tc>
        <w:tc>
          <w:tcPr>
            <w:tcW w:w="2267" w:type="dxa"/>
          </w:tcPr>
          <w:p w14:paraId="508A378C" w14:textId="77777777" w:rsidR="00A21829" w:rsidRPr="002B55E9" w:rsidRDefault="00A21829" w:rsidP="007F5FA9">
            <w:pPr>
              <w:pStyle w:val="lgy-"/>
              <w:rPr>
                <w:rFonts w:eastAsia="宋体"/>
              </w:rPr>
            </w:pPr>
            <w:r w:rsidRPr="002B55E9">
              <w:rPr>
                <w:rFonts w:eastAsia="宋体"/>
              </w:rPr>
              <w:t>纯水制备</w:t>
            </w:r>
            <w:r w:rsidRPr="002B55E9">
              <w:rPr>
                <w:rFonts w:eastAsia="宋体"/>
              </w:rPr>
              <w:t>RO</w:t>
            </w:r>
            <w:r w:rsidRPr="002B55E9">
              <w:rPr>
                <w:rFonts w:eastAsia="宋体"/>
              </w:rPr>
              <w:t>膜</w:t>
            </w:r>
          </w:p>
        </w:tc>
        <w:tc>
          <w:tcPr>
            <w:tcW w:w="833" w:type="dxa"/>
          </w:tcPr>
          <w:p w14:paraId="6181DE15" w14:textId="77777777" w:rsidR="00A21829" w:rsidRPr="002B55E9" w:rsidRDefault="00A21829" w:rsidP="007F5FA9">
            <w:pPr>
              <w:pStyle w:val="lgy-"/>
              <w:rPr>
                <w:rFonts w:eastAsia="宋体"/>
              </w:rPr>
            </w:pPr>
            <w:r w:rsidRPr="002B55E9">
              <w:rPr>
                <w:rFonts w:eastAsia="宋体" w:hint="eastAsia"/>
              </w:rPr>
              <w:t>/</w:t>
            </w:r>
          </w:p>
        </w:tc>
        <w:tc>
          <w:tcPr>
            <w:tcW w:w="1365" w:type="dxa"/>
          </w:tcPr>
          <w:p w14:paraId="4E31BEDE" w14:textId="77777777" w:rsidR="00A21829" w:rsidRPr="002B55E9" w:rsidRDefault="00A21829" w:rsidP="007F5FA9">
            <w:pPr>
              <w:pStyle w:val="lgy-"/>
              <w:rPr>
                <w:rFonts w:eastAsia="宋体"/>
              </w:rPr>
            </w:pPr>
            <w:r w:rsidRPr="002B55E9">
              <w:rPr>
                <w:rFonts w:eastAsia="宋体" w:hint="eastAsia"/>
              </w:rPr>
              <w:t>/</w:t>
            </w:r>
          </w:p>
        </w:tc>
        <w:tc>
          <w:tcPr>
            <w:tcW w:w="1037" w:type="dxa"/>
          </w:tcPr>
          <w:p w14:paraId="6574326C" w14:textId="77777777" w:rsidR="00A21829" w:rsidRPr="002B55E9" w:rsidRDefault="00A21829" w:rsidP="007F5FA9">
            <w:pPr>
              <w:pStyle w:val="lgy-"/>
              <w:rPr>
                <w:rFonts w:eastAsia="宋体"/>
              </w:rPr>
            </w:pPr>
            <w:r w:rsidRPr="002B55E9">
              <w:rPr>
                <w:rFonts w:eastAsia="宋体"/>
              </w:rPr>
              <w:t>0.01</w:t>
            </w:r>
          </w:p>
        </w:tc>
        <w:tc>
          <w:tcPr>
            <w:tcW w:w="1644" w:type="dxa"/>
          </w:tcPr>
          <w:p w14:paraId="35BF4907" w14:textId="77777777" w:rsidR="00A21829" w:rsidRPr="002B55E9" w:rsidRDefault="00A21829" w:rsidP="007F5FA9">
            <w:pPr>
              <w:pStyle w:val="lgy-"/>
              <w:rPr>
                <w:rFonts w:eastAsia="宋体"/>
              </w:rPr>
            </w:pPr>
            <w:r w:rsidRPr="002B55E9">
              <w:rPr>
                <w:rFonts w:eastAsia="宋体"/>
              </w:rPr>
              <w:t>纯水制备</w:t>
            </w:r>
          </w:p>
        </w:tc>
        <w:tc>
          <w:tcPr>
            <w:tcW w:w="1897" w:type="dxa"/>
            <w:vMerge/>
          </w:tcPr>
          <w:p w14:paraId="06616BAF" w14:textId="77777777" w:rsidR="00A21829" w:rsidRPr="002B55E9" w:rsidRDefault="00A21829" w:rsidP="007F5FA9">
            <w:pPr>
              <w:pStyle w:val="lgy-"/>
              <w:rPr>
                <w:rFonts w:eastAsia="宋体"/>
              </w:rPr>
            </w:pPr>
          </w:p>
        </w:tc>
      </w:tr>
      <w:tr w:rsidR="002B55E9" w:rsidRPr="002B55E9" w14:paraId="322FC5E9" w14:textId="77777777" w:rsidTr="007F5FA9">
        <w:trPr>
          <w:trHeight w:val="283"/>
        </w:trPr>
        <w:tc>
          <w:tcPr>
            <w:tcW w:w="595" w:type="dxa"/>
          </w:tcPr>
          <w:p w14:paraId="05D0DE63" w14:textId="7204E102" w:rsidR="00A21829" w:rsidRPr="002B55E9" w:rsidRDefault="00A21829" w:rsidP="007F5FA9">
            <w:pPr>
              <w:pStyle w:val="lgy-"/>
              <w:rPr>
                <w:rFonts w:eastAsia="宋体"/>
              </w:rPr>
            </w:pPr>
            <w:r w:rsidRPr="002B55E9">
              <w:rPr>
                <w:rFonts w:eastAsia="宋体" w:hint="eastAsia"/>
              </w:rPr>
              <w:t>7</w:t>
            </w:r>
          </w:p>
        </w:tc>
        <w:tc>
          <w:tcPr>
            <w:tcW w:w="2267" w:type="dxa"/>
          </w:tcPr>
          <w:p w14:paraId="38F02553" w14:textId="3BA0F702" w:rsidR="00A21829" w:rsidRPr="002B55E9" w:rsidRDefault="00F54EA6" w:rsidP="007F5FA9">
            <w:pPr>
              <w:pStyle w:val="lgy-"/>
              <w:rPr>
                <w:rFonts w:eastAsia="宋体"/>
              </w:rPr>
            </w:pPr>
            <w:r w:rsidRPr="002B55E9">
              <w:rPr>
                <w:rFonts w:eastAsia="宋体"/>
              </w:rPr>
              <w:t>废活性炭滤芯、废石英砂滤芯</w:t>
            </w:r>
          </w:p>
        </w:tc>
        <w:tc>
          <w:tcPr>
            <w:tcW w:w="833" w:type="dxa"/>
          </w:tcPr>
          <w:p w14:paraId="6FD4C52E" w14:textId="77777777" w:rsidR="00A21829" w:rsidRPr="002B55E9" w:rsidRDefault="00A21829" w:rsidP="007F5FA9">
            <w:pPr>
              <w:pStyle w:val="lgy-"/>
              <w:rPr>
                <w:rFonts w:eastAsia="宋体"/>
              </w:rPr>
            </w:pPr>
            <w:r w:rsidRPr="002B55E9">
              <w:rPr>
                <w:rFonts w:eastAsia="宋体" w:hint="eastAsia"/>
              </w:rPr>
              <w:t>/</w:t>
            </w:r>
          </w:p>
        </w:tc>
        <w:tc>
          <w:tcPr>
            <w:tcW w:w="1365" w:type="dxa"/>
          </w:tcPr>
          <w:p w14:paraId="509D625B" w14:textId="77777777" w:rsidR="00A21829" w:rsidRPr="002B55E9" w:rsidRDefault="00A21829" w:rsidP="007F5FA9">
            <w:pPr>
              <w:pStyle w:val="lgy-"/>
              <w:rPr>
                <w:rFonts w:eastAsia="宋体"/>
              </w:rPr>
            </w:pPr>
            <w:r w:rsidRPr="002B55E9">
              <w:rPr>
                <w:rFonts w:eastAsia="宋体" w:hint="eastAsia"/>
              </w:rPr>
              <w:t>/</w:t>
            </w:r>
          </w:p>
        </w:tc>
        <w:tc>
          <w:tcPr>
            <w:tcW w:w="1037" w:type="dxa"/>
          </w:tcPr>
          <w:p w14:paraId="40D32595" w14:textId="77777777" w:rsidR="00A21829" w:rsidRPr="002B55E9" w:rsidRDefault="00A21829" w:rsidP="007F5FA9">
            <w:pPr>
              <w:pStyle w:val="lgy-"/>
              <w:rPr>
                <w:rFonts w:eastAsia="宋体"/>
              </w:rPr>
            </w:pPr>
            <w:r w:rsidRPr="002B55E9">
              <w:rPr>
                <w:rFonts w:eastAsia="宋体"/>
              </w:rPr>
              <w:t>1</w:t>
            </w:r>
          </w:p>
        </w:tc>
        <w:tc>
          <w:tcPr>
            <w:tcW w:w="1644" w:type="dxa"/>
          </w:tcPr>
          <w:p w14:paraId="7F55ADE0" w14:textId="77777777" w:rsidR="00A21829" w:rsidRPr="002B55E9" w:rsidRDefault="00A21829" w:rsidP="007F5FA9">
            <w:pPr>
              <w:pStyle w:val="lgy-"/>
              <w:rPr>
                <w:rFonts w:eastAsia="宋体"/>
              </w:rPr>
            </w:pPr>
            <w:r w:rsidRPr="002B55E9">
              <w:rPr>
                <w:rFonts w:eastAsia="宋体"/>
              </w:rPr>
              <w:t>工艺水制备</w:t>
            </w:r>
          </w:p>
        </w:tc>
        <w:tc>
          <w:tcPr>
            <w:tcW w:w="1897" w:type="dxa"/>
            <w:vMerge/>
          </w:tcPr>
          <w:p w14:paraId="14FC6808" w14:textId="77777777" w:rsidR="00A21829" w:rsidRPr="002B55E9" w:rsidRDefault="00A21829" w:rsidP="007F5FA9">
            <w:pPr>
              <w:pStyle w:val="lgy-"/>
              <w:rPr>
                <w:rFonts w:eastAsia="宋体"/>
              </w:rPr>
            </w:pPr>
          </w:p>
        </w:tc>
      </w:tr>
      <w:tr w:rsidR="002B55E9" w:rsidRPr="002B55E9" w14:paraId="2E0D7C5B" w14:textId="77777777" w:rsidTr="007F5FA9">
        <w:trPr>
          <w:trHeight w:val="283"/>
        </w:trPr>
        <w:tc>
          <w:tcPr>
            <w:tcW w:w="595" w:type="dxa"/>
          </w:tcPr>
          <w:p w14:paraId="012A42D2" w14:textId="689956DC" w:rsidR="007F5FA9" w:rsidRPr="002B55E9" w:rsidRDefault="007F5FA9" w:rsidP="007F5FA9">
            <w:pPr>
              <w:pStyle w:val="lgy-"/>
              <w:rPr>
                <w:rFonts w:eastAsia="宋体"/>
              </w:rPr>
            </w:pPr>
            <w:r w:rsidRPr="002B55E9">
              <w:rPr>
                <w:rFonts w:eastAsia="宋体" w:hint="eastAsia"/>
              </w:rPr>
              <w:t>8</w:t>
            </w:r>
          </w:p>
        </w:tc>
        <w:tc>
          <w:tcPr>
            <w:tcW w:w="2267" w:type="dxa"/>
          </w:tcPr>
          <w:p w14:paraId="4D522BD5" w14:textId="20D07AE1" w:rsidR="007F5FA9" w:rsidRPr="002B55E9" w:rsidRDefault="007F5FA9" w:rsidP="007F5FA9">
            <w:pPr>
              <w:pStyle w:val="lgy-"/>
              <w:rPr>
                <w:rFonts w:eastAsia="宋体"/>
              </w:rPr>
            </w:pPr>
            <w:r w:rsidRPr="002B55E9">
              <w:rPr>
                <w:rFonts w:eastAsia="宋体" w:hint="eastAsia"/>
              </w:rPr>
              <w:t>污水</w:t>
            </w:r>
            <w:r w:rsidRPr="002B55E9">
              <w:rPr>
                <w:rFonts w:eastAsia="宋体"/>
              </w:rPr>
              <w:t>处理站污泥</w:t>
            </w:r>
          </w:p>
        </w:tc>
        <w:tc>
          <w:tcPr>
            <w:tcW w:w="833" w:type="dxa"/>
          </w:tcPr>
          <w:p w14:paraId="64687766" w14:textId="13B85360" w:rsidR="007F5FA9" w:rsidRPr="002B55E9" w:rsidRDefault="007F5FA9" w:rsidP="007F5FA9">
            <w:pPr>
              <w:pStyle w:val="lgy-"/>
              <w:rPr>
                <w:rFonts w:eastAsia="宋体"/>
              </w:rPr>
            </w:pPr>
            <w:r w:rsidRPr="002B55E9">
              <w:rPr>
                <w:rFonts w:eastAsia="宋体" w:hint="eastAsia"/>
              </w:rPr>
              <w:t>/</w:t>
            </w:r>
          </w:p>
        </w:tc>
        <w:tc>
          <w:tcPr>
            <w:tcW w:w="1365" w:type="dxa"/>
          </w:tcPr>
          <w:p w14:paraId="16B97460" w14:textId="7EB638B3" w:rsidR="007F5FA9" w:rsidRPr="002B55E9" w:rsidRDefault="007F5FA9" w:rsidP="007F5FA9">
            <w:pPr>
              <w:pStyle w:val="lgy-"/>
              <w:rPr>
                <w:rFonts w:eastAsia="宋体"/>
              </w:rPr>
            </w:pPr>
            <w:r w:rsidRPr="002B55E9">
              <w:rPr>
                <w:rFonts w:eastAsia="宋体" w:hint="eastAsia"/>
              </w:rPr>
              <w:t>/</w:t>
            </w:r>
          </w:p>
        </w:tc>
        <w:tc>
          <w:tcPr>
            <w:tcW w:w="1037" w:type="dxa"/>
          </w:tcPr>
          <w:p w14:paraId="63B24510" w14:textId="5C42DB3D" w:rsidR="007F5FA9" w:rsidRPr="002B55E9" w:rsidRDefault="007F5FA9" w:rsidP="007F5FA9">
            <w:pPr>
              <w:pStyle w:val="lgy-"/>
              <w:rPr>
                <w:rFonts w:eastAsia="宋体"/>
              </w:rPr>
            </w:pPr>
            <w:r w:rsidRPr="002B55E9">
              <w:rPr>
                <w:rFonts w:eastAsia="宋体" w:hint="eastAsia"/>
              </w:rPr>
              <w:t>538</w:t>
            </w:r>
          </w:p>
        </w:tc>
        <w:tc>
          <w:tcPr>
            <w:tcW w:w="1644" w:type="dxa"/>
          </w:tcPr>
          <w:p w14:paraId="49106DE0" w14:textId="6CAD07B5" w:rsidR="007F5FA9" w:rsidRPr="002B55E9" w:rsidRDefault="007F5FA9" w:rsidP="007F5FA9">
            <w:pPr>
              <w:pStyle w:val="lgy-"/>
              <w:rPr>
                <w:rFonts w:eastAsia="宋体"/>
              </w:rPr>
            </w:pPr>
            <w:r w:rsidRPr="002B55E9">
              <w:rPr>
                <w:rFonts w:eastAsia="宋体" w:hint="eastAsia"/>
              </w:rPr>
              <w:t>污水处理</w:t>
            </w:r>
          </w:p>
        </w:tc>
        <w:tc>
          <w:tcPr>
            <w:tcW w:w="1897" w:type="dxa"/>
          </w:tcPr>
          <w:p w14:paraId="1653F5E8" w14:textId="72381195" w:rsidR="007F5FA9" w:rsidRPr="002B55E9" w:rsidRDefault="007F5FA9" w:rsidP="007F5FA9">
            <w:pPr>
              <w:pStyle w:val="lgy-"/>
              <w:rPr>
                <w:rFonts w:eastAsia="宋体"/>
              </w:rPr>
            </w:pPr>
            <w:r w:rsidRPr="002B55E9">
              <w:rPr>
                <w:rFonts w:eastAsia="宋体" w:hint="eastAsia"/>
              </w:rPr>
              <w:t>专业</w:t>
            </w:r>
            <w:r w:rsidRPr="002B55E9">
              <w:rPr>
                <w:rFonts w:eastAsia="宋体"/>
              </w:rPr>
              <w:t>公司清运处理</w:t>
            </w:r>
          </w:p>
        </w:tc>
      </w:tr>
      <w:tr w:rsidR="002B55E9" w:rsidRPr="002B55E9" w14:paraId="68329FB4" w14:textId="77777777" w:rsidTr="007F5FA9">
        <w:trPr>
          <w:trHeight w:val="283"/>
        </w:trPr>
        <w:tc>
          <w:tcPr>
            <w:tcW w:w="595" w:type="dxa"/>
          </w:tcPr>
          <w:p w14:paraId="6DC84EAA" w14:textId="5DA627D0" w:rsidR="007F5FA9" w:rsidRPr="002B55E9" w:rsidRDefault="007F5FA9" w:rsidP="007F5FA9">
            <w:pPr>
              <w:pStyle w:val="lgy-"/>
              <w:rPr>
                <w:rFonts w:eastAsia="宋体"/>
              </w:rPr>
            </w:pPr>
            <w:r w:rsidRPr="002B55E9">
              <w:rPr>
                <w:rFonts w:eastAsia="宋体" w:hint="eastAsia"/>
              </w:rPr>
              <w:t>9</w:t>
            </w:r>
          </w:p>
        </w:tc>
        <w:tc>
          <w:tcPr>
            <w:tcW w:w="2267" w:type="dxa"/>
          </w:tcPr>
          <w:p w14:paraId="387EB37D" w14:textId="77777777" w:rsidR="007F5FA9" w:rsidRPr="002B55E9" w:rsidRDefault="007F5FA9" w:rsidP="007F5FA9">
            <w:pPr>
              <w:pStyle w:val="lgy-"/>
              <w:rPr>
                <w:rFonts w:eastAsia="宋体"/>
              </w:rPr>
            </w:pPr>
            <w:r w:rsidRPr="002B55E9">
              <w:rPr>
                <w:rFonts w:eastAsia="宋体" w:hint="eastAsia"/>
              </w:rPr>
              <w:t>废油墨桶、废墨盒、废胶粘剂桶等</w:t>
            </w:r>
          </w:p>
        </w:tc>
        <w:tc>
          <w:tcPr>
            <w:tcW w:w="833" w:type="dxa"/>
          </w:tcPr>
          <w:p w14:paraId="6FB89341" w14:textId="77777777" w:rsidR="007F5FA9" w:rsidRPr="002B55E9" w:rsidRDefault="007F5FA9" w:rsidP="007F5FA9">
            <w:pPr>
              <w:pStyle w:val="lgy-"/>
              <w:rPr>
                <w:rFonts w:eastAsia="宋体"/>
              </w:rPr>
            </w:pPr>
            <w:r w:rsidRPr="002B55E9">
              <w:rPr>
                <w:rFonts w:eastAsia="宋体" w:hint="eastAsia"/>
              </w:rPr>
              <w:t>H</w:t>
            </w:r>
            <w:r w:rsidRPr="002B55E9">
              <w:rPr>
                <w:rFonts w:eastAsia="宋体"/>
              </w:rPr>
              <w:t>W49</w:t>
            </w:r>
          </w:p>
        </w:tc>
        <w:tc>
          <w:tcPr>
            <w:tcW w:w="1365" w:type="dxa"/>
          </w:tcPr>
          <w:p w14:paraId="16F62472" w14:textId="77777777" w:rsidR="007F5FA9" w:rsidRPr="002B55E9" w:rsidRDefault="007F5FA9" w:rsidP="007F5FA9">
            <w:pPr>
              <w:pStyle w:val="lgy-"/>
              <w:rPr>
                <w:rFonts w:eastAsia="宋体"/>
              </w:rPr>
            </w:pPr>
            <w:r w:rsidRPr="002B55E9">
              <w:rPr>
                <w:rFonts w:eastAsia="宋体" w:hint="eastAsia"/>
              </w:rPr>
              <w:t>9</w:t>
            </w:r>
            <w:r w:rsidRPr="002B55E9">
              <w:rPr>
                <w:rFonts w:eastAsia="宋体"/>
              </w:rPr>
              <w:t>00-041-49</w:t>
            </w:r>
          </w:p>
        </w:tc>
        <w:tc>
          <w:tcPr>
            <w:tcW w:w="1037" w:type="dxa"/>
          </w:tcPr>
          <w:p w14:paraId="7BE0D864" w14:textId="77777777" w:rsidR="007F5FA9" w:rsidRPr="002B55E9" w:rsidRDefault="007F5FA9" w:rsidP="007F5FA9">
            <w:pPr>
              <w:pStyle w:val="lgy-"/>
              <w:rPr>
                <w:rFonts w:eastAsia="宋体"/>
              </w:rPr>
            </w:pPr>
            <w:r w:rsidRPr="002B55E9">
              <w:rPr>
                <w:rFonts w:eastAsia="宋体"/>
              </w:rPr>
              <w:t>0.51</w:t>
            </w:r>
          </w:p>
        </w:tc>
        <w:tc>
          <w:tcPr>
            <w:tcW w:w="1644" w:type="dxa"/>
          </w:tcPr>
          <w:p w14:paraId="7BDA7042" w14:textId="77777777" w:rsidR="007F5FA9" w:rsidRPr="002B55E9" w:rsidRDefault="007F5FA9" w:rsidP="007F5FA9">
            <w:pPr>
              <w:pStyle w:val="lgy-"/>
              <w:rPr>
                <w:rFonts w:eastAsia="宋体"/>
              </w:rPr>
            </w:pPr>
            <w:r w:rsidRPr="002B55E9">
              <w:rPr>
                <w:rFonts w:eastAsia="宋体" w:hint="eastAsia"/>
              </w:rPr>
              <w:t>包装</w:t>
            </w:r>
          </w:p>
        </w:tc>
        <w:tc>
          <w:tcPr>
            <w:tcW w:w="1897" w:type="dxa"/>
            <w:vMerge w:val="restart"/>
          </w:tcPr>
          <w:p w14:paraId="06117E9A" w14:textId="77777777" w:rsidR="007F5FA9" w:rsidRPr="002B55E9" w:rsidRDefault="007F5FA9" w:rsidP="007F5FA9">
            <w:pPr>
              <w:pStyle w:val="lgy-"/>
              <w:rPr>
                <w:rFonts w:eastAsia="宋体"/>
              </w:rPr>
            </w:pPr>
            <w:r w:rsidRPr="002B55E9">
              <w:rPr>
                <w:rFonts w:eastAsia="宋体"/>
              </w:rPr>
              <w:t>于危险废物暂存间内分类暂存，定期交有资质的单位进行妥善处置</w:t>
            </w:r>
          </w:p>
        </w:tc>
      </w:tr>
      <w:tr w:rsidR="002B55E9" w:rsidRPr="002B55E9" w14:paraId="5CABDEAA" w14:textId="77777777" w:rsidTr="007F5FA9">
        <w:trPr>
          <w:trHeight w:val="283"/>
        </w:trPr>
        <w:tc>
          <w:tcPr>
            <w:tcW w:w="595" w:type="dxa"/>
          </w:tcPr>
          <w:p w14:paraId="79259A59" w14:textId="4A5233FF" w:rsidR="007F5FA9" w:rsidRPr="002B55E9" w:rsidRDefault="007F5FA9" w:rsidP="007F5FA9">
            <w:pPr>
              <w:pStyle w:val="lgy-"/>
              <w:rPr>
                <w:rFonts w:eastAsia="宋体"/>
              </w:rPr>
            </w:pPr>
            <w:r w:rsidRPr="002B55E9">
              <w:rPr>
                <w:rFonts w:eastAsia="宋体" w:hint="eastAsia"/>
              </w:rPr>
              <w:t>1</w:t>
            </w:r>
            <w:r w:rsidRPr="002B55E9">
              <w:rPr>
                <w:rFonts w:eastAsia="宋体"/>
              </w:rPr>
              <w:t>0</w:t>
            </w:r>
          </w:p>
        </w:tc>
        <w:tc>
          <w:tcPr>
            <w:tcW w:w="2267" w:type="dxa"/>
          </w:tcPr>
          <w:p w14:paraId="329F3FFE" w14:textId="77777777" w:rsidR="007F5FA9" w:rsidRPr="002B55E9" w:rsidRDefault="007F5FA9" w:rsidP="007F5FA9">
            <w:pPr>
              <w:pStyle w:val="lgy-"/>
              <w:rPr>
                <w:rFonts w:eastAsia="宋体"/>
              </w:rPr>
            </w:pPr>
            <w:r w:rsidRPr="002B55E9">
              <w:rPr>
                <w:rFonts w:eastAsia="宋体" w:hint="eastAsia"/>
              </w:rPr>
              <w:t>实验废液</w:t>
            </w:r>
          </w:p>
        </w:tc>
        <w:tc>
          <w:tcPr>
            <w:tcW w:w="833" w:type="dxa"/>
          </w:tcPr>
          <w:p w14:paraId="2266D043" w14:textId="77777777" w:rsidR="007F5FA9" w:rsidRPr="002B55E9" w:rsidRDefault="007F5FA9" w:rsidP="007F5FA9">
            <w:pPr>
              <w:pStyle w:val="lgy-"/>
              <w:rPr>
                <w:rFonts w:eastAsia="宋体"/>
              </w:rPr>
            </w:pPr>
            <w:r w:rsidRPr="002B55E9">
              <w:rPr>
                <w:rFonts w:eastAsia="宋体" w:hint="eastAsia"/>
              </w:rPr>
              <w:t>H</w:t>
            </w:r>
            <w:r w:rsidRPr="002B55E9">
              <w:rPr>
                <w:rFonts w:eastAsia="宋体"/>
              </w:rPr>
              <w:t>W49</w:t>
            </w:r>
          </w:p>
        </w:tc>
        <w:tc>
          <w:tcPr>
            <w:tcW w:w="1365" w:type="dxa"/>
          </w:tcPr>
          <w:p w14:paraId="5D505DC6" w14:textId="77777777" w:rsidR="007F5FA9" w:rsidRPr="002B55E9" w:rsidRDefault="007F5FA9" w:rsidP="007F5FA9">
            <w:pPr>
              <w:pStyle w:val="lgy-"/>
              <w:rPr>
                <w:rFonts w:eastAsia="宋体"/>
              </w:rPr>
            </w:pPr>
            <w:r w:rsidRPr="002B55E9">
              <w:rPr>
                <w:rFonts w:eastAsia="宋体" w:hint="eastAsia"/>
              </w:rPr>
              <w:t>9</w:t>
            </w:r>
            <w:r w:rsidRPr="002B55E9">
              <w:rPr>
                <w:rFonts w:eastAsia="宋体"/>
              </w:rPr>
              <w:t>00-047-49</w:t>
            </w:r>
          </w:p>
        </w:tc>
        <w:tc>
          <w:tcPr>
            <w:tcW w:w="1037" w:type="dxa"/>
          </w:tcPr>
          <w:p w14:paraId="6F2A610C" w14:textId="77777777" w:rsidR="007F5FA9" w:rsidRPr="002B55E9" w:rsidRDefault="007F5FA9" w:rsidP="007F5FA9">
            <w:pPr>
              <w:pStyle w:val="lgy-"/>
              <w:rPr>
                <w:rFonts w:eastAsia="宋体"/>
              </w:rPr>
            </w:pPr>
            <w:r w:rsidRPr="002B55E9">
              <w:rPr>
                <w:rFonts w:eastAsia="宋体"/>
              </w:rPr>
              <w:t>1.5</w:t>
            </w:r>
          </w:p>
        </w:tc>
        <w:tc>
          <w:tcPr>
            <w:tcW w:w="1644" w:type="dxa"/>
          </w:tcPr>
          <w:p w14:paraId="47DA0DAF" w14:textId="77777777" w:rsidR="007F5FA9" w:rsidRPr="002B55E9" w:rsidRDefault="007F5FA9" w:rsidP="007F5FA9">
            <w:pPr>
              <w:pStyle w:val="lgy-"/>
              <w:rPr>
                <w:rFonts w:eastAsia="宋体"/>
              </w:rPr>
            </w:pPr>
            <w:r w:rsidRPr="002B55E9">
              <w:rPr>
                <w:rFonts w:eastAsia="宋体" w:hint="eastAsia"/>
              </w:rPr>
              <w:t>检测</w:t>
            </w:r>
          </w:p>
        </w:tc>
        <w:tc>
          <w:tcPr>
            <w:tcW w:w="1897" w:type="dxa"/>
            <w:vMerge/>
          </w:tcPr>
          <w:p w14:paraId="134BC406" w14:textId="77777777" w:rsidR="007F5FA9" w:rsidRPr="002B55E9" w:rsidRDefault="007F5FA9" w:rsidP="007F5FA9">
            <w:pPr>
              <w:pStyle w:val="lgy-"/>
              <w:rPr>
                <w:rFonts w:eastAsia="宋体"/>
              </w:rPr>
            </w:pPr>
          </w:p>
        </w:tc>
      </w:tr>
      <w:tr w:rsidR="002B55E9" w:rsidRPr="002B55E9" w14:paraId="2408566E" w14:textId="77777777" w:rsidTr="007F5FA9">
        <w:trPr>
          <w:trHeight w:val="283"/>
        </w:trPr>
        <w:tc>
          <w:tcPr>
            <w:tcW w:w="595" w:type="dxa"/>
          </w:tcPr>
          <w:p w14:paraId="4889FA59" w14:textId="4EA1AAE2" w:rsidR="007F5FA9" w:rsidRPr="002B55E9" w:rsidRDefault="007F5FA9" w:rsidP="007F5FA9">
            <w:pPr>
              <w:pStyle w:val="lgy-"/>
              <w:rPr>
                <w:rFonts w:eastAsia="宋体"/>
              </w:rPr>
            </w:pPr>
            <w:r w:rsidRPr="002B55E9">
              <w:rPr>
                <w:rFonts w:eastAsia="宋体" w:hint="eastAsia"/>
              </w:rPr>
              <w:t>1</w:t>
            </w:r>
            <w:r w:rsidRPr="002B55E9">
              <w:rPr>
                <w:rFonts w:eastAsia="宋体"/>
              </w:rPr>
              <w:t>1</w:t>
            </w:r>
          </w:p>
        </w:tc>
        <w:tc>
          <w:tcPr>
            <w:tcW w:w="2267" w:type="dxa"/>
          </w:tcPr>
          <w:p w14:paraId="7055F2F5" w14:textId="77777777" w:rsidR="007F5FA9" w:rsidRPr="002B55E9" w:rsidRDefault="007F5FA9" w:rsidP="007F5FA9">
            <w:pPr>
              <w:pStyle w:val="lgy-"/>
              <w:rPr>
                <w:rFonts w:eastAsia="宋体"/>
              </w:rPr>
            </w:pPr>
            <w:r w:rsidRPr="002B55E9">
              <w:rPr>
                <w:rFonts w:eastAsia="宋体" w:hint="eastAsia"/>
              </w:rPr>
              <w:t>化验室</w:t>
            </w:r>
            <w:r w:rsidRPr="002B55E9">
              <w:rPr>
                <w:rFonts w:eastAsia="宋体"/>
              </w:rPr>
              <w:t>废耗材</w:t>
            </w:r>
          </w:p>
        </w:tc>
        <w:tc>
          <w:tcPr>
            <w:tcW w:w="833" w:type="dxa"/>
          </w:tcPr>
          <w:p w14:paraId="2C569DE9" w14:textId="77777777" w:rsidR="007F5FA9" w:rsidRPr="002B55E9" w:rsidRDefault="007F5FA9" w:rsidP="007F5FA9">
            <w:pPr>
              <w:pStyle w:val="lgy-"/>
              <w:rPr>
                <w:rFonts w:eastAsia="宋体"/>
              </w:rPr>
            </w:pPr>
            <w:r w:rsidRPr="002B55E9">
              <w:rPr>
                <w:rFonts w:eastAsia="宋体" w:hint="eastAsia"/>
              </w:rPr>
              <w:t>H</w:t>
            </w:r>
            <w:r w:rsidRPr="002B55E9">
              <w:rPr>
                <w:rFonts w:eastAsia="宋体"/>
              </w:rPr>
              <w:t>W49</w:t>
            </w:r>
          </w:p>
        </w:tc>
        <w:tc>
          <w:tcPr>
            <w:tcW w:w="1365" w:type="dxa"/>
          </w:tcPr>
          <w:p w14:paraId="11F4C5B2" w14:textId="77777777" w:rsidR="007F5FA9" w:rsidRPr="002B55E9" w:rsidRDefault="007F5FA9" w:rsidP="007F5FA9">
            <w:pPr>
              <w:pStyle w:val="lgy-"/>
              <w:rPr>
                <w:rFonts w:eastAsia="宋体"/>
              </w:rPr>
            </w:pPr>
            <w:r w:rsidRPr="002B55E9">
              <w:rPr>
                <w:rFonts w:eastAsia="宋体" w:hint="eastAsia"/>
              </w:rPr>
              <w:t>9</w:t>
            </w:r>
            <w:r w:rsidRPr="002B55E9">
              <w:rPr>
                <w:rFonts w:eastAsia="宋体"/>
              </w:rPr>
              <w:t>00-047-49</w:t>
            </w:r>
          </w:p>
        </w:tc>
        <w:tc>
          <w:tcPr>
            <w:tcW w:w="1037" w:type="dxa"/>
          </w:tcPr>
          <w:p w14:paraId="7650ED2A" w14:textId="77777777" w:rsidR="007F5FA9" w:rsidRPr="002B55E9" w:rsidRDefault="007F5FA9" w:rsidP="007F5FA9">
            <w:pPr>
              <w:pStyle w:val="lgy-"/>
              <w:rPr>
                <w:rFonts w:eastAsia="宋体"/>
              </w:rPr>
            </w:pPr>
            <w:r w:rsidRPr="002B55E9">
              <w:rPr>
                <w:rFonts w:eastAsia="宋体" w:hint="eastAsia"/>
              </w:rPr>
              <w:t>0.5</w:t>
            </w:r>
          </w:p>
        </w:tc>
        <w:tc>
          <w:tcPr>
            <w:tcW w:w="1644" w:type="dxa"/>
          </w:tcPr>
          <w:p w14:paraId="19A76A9B" w14:textId="77777777" w:rsidR="007F5FA9" w:rsidRPr="002B55E9" w:rsidRDefault="007F5FA9" w:rsidP="007F5FA9">
            <w:pPr>
              <w:pStyle w:val="lgy-"/>
              <w:rPr>
                <w:rFonts w:eastAsia="宋体"/>
              </w:rPr>
            </w:pPr>
            <w:r w:rsidRPr="002B55E9">
              <w:rPr>
                <w:rFonts w:eastAsia="宋体" w:hint="eastAsia"/>
              </w:rPr>
              <w:t>检测</w:t>
            </w:r>
          </w:p>
        </w:tc>
        <w:tc>
          <w:tcPr>
            <w:tcW w:w="1897" w:type="dxa"/>
            <w:vMerge/>
          </w:tcPr>
          <w:p w14:paraId="46B18A02" w14:textId="77777777" w:rsidR="007F5FA9" w:rsidRPr="002B55E9" w:rsidRDefault="007F5FA9" w:rsidP="007F5FA9">
            <w:pPr>
              <w:pStyle w:val="lgy-"/>
              <w:rPr>
                <w:rFonts w:eastAsia="宋体"/>
              </w:rPr>
            </w:pPr>
          </w:p>
        </w:tc>
      </w:tr>
      <w:tr w:rsidR="002B55E9" w:rsidRPr="002B55E9" w14:paraId="290AD43F" w14:textId="77777777" w:rsidTr="007F5FA9">
        <w:trPr>
          <w:trHeight w:val="283"/>
        </w:trPr>
        <w:tc>
          <w:tcPr>
            <w:tcW w:w="595" w:type="dxa"/>
          </w:tcPr>
          <w:p w14:paraId="6EE87C6B" w14:textId="2B257380" w:rsidR="007F5FA9" w:rsidRPr="002B55E9" w:rsidRDefault="007F5FA9" w:rsidP="007F5FA9">
            <w:pPr>
              <w:pStyle w:val="lgy-"/>
              <w:rPr>
                <w:rFonts w:eastAsia="宋体"/>
              </w:rPr>
            </w:pPr>
            <w:r w:rsidRPr="002B55E9">
              <w:rPr>
                <w:rFonts w:eastAsia="宋体" w:hint="eastAsia"/>
              </w:rPr>
              <w:t>1</w:t>
            </w:r>
            <w:r w:rsidRPr="002B55E9">
              <w:rPr>
                <w:rFonts w:eastAsia="宋体"/>
              </w:rPr>
              <w:t>2</w:t>
            </w:r>
          </w:p>
        </w:tc>
        <w:tc>
          <w:tcPr>
            <w:tcW w:w="2267" w:type="dxa"/>
          </w:tcPr>
          <w:p w14:paraId="67FA197E" w14:textId="77777777" w:rsidR="007F5FA9" w:rsidRPr="002B55E9" w:rsidRDefault="007F5FA9" w:rsidP="007F5FA9">
            <w:pPr>
              <w:pStyle w:val="lgy-"/>
              <w:rPr>
                <w:rFonts w:eastAsia="宋体"/>
              </w:rPr>
            </w:pPr>
            <w:r w:rsidRPr="002B55E9">
              <w:rPr>
                <w:rFonts w:eastAsia="宋体" w:hint="eastAsia"/>
              </w:rPr>
              <w:t>废活性炭</w:t>
            </w:r>
          </w:p>
        </w:tc>
        <w:tc>
          <w:tcPr>
            <w:tcW w:w="833" w:type="dxa"/>
          </w:tcPr>
          <w:p w14:paraId="00B0E419" w14:textId="77777777" w:rsidR="007F5FA9" w:rsidRPr="002B55E9" w:rsidRDefault="007F5FA9" w:rsidP="007F5FA9">
            <w:pPr>
              <w:pStyle w:val="lgy-"/>
              <w:rPr>
                <w:rFonts w:eastAsia="宋体"/>
              </w:rPr>
            </w:pPr>
            <w:r w:rsidRPr="002B55E9">
              <w:rPr>
                <w:rFonts w:eastAsia="宋体" w:hint="eastAsia"/>
              </w:rPr>
              <w:t>HW49</w:t>
            </w:r>
          </w:p>
        </w:tc>
        <w:tc>
          <w:tcPr>
            <w:tcW w:w="1365" w:type="dxa"/>
          </w:tcPr>
          <w:p w14:paraId="1D2B4716" w14:textId="77777777" w:rsidR="007F5FA9" w:rsidRPr="002B55E9" w:rsidRDefault="007F5FA9" w:rsidP="007F5FA9">
            <w:pPr>
              <w:pStyle w:val="lgy-"/>
              <w:rPr>
                <w:rFonts w:eastAsia="宋体"/>
              </w:rPr>
            </w:pPr>
            <w:r w:rsidRPr="002B55E9">
              <w:rPr>
                <w:rFonts w:eastAsia="宋体" w:hint="eastAsia"/>
              </w:rPr>
              <w:t>900-039-49</w:t>
            </w:r>
          </w:p>
        </w:tc>
        <w:tc>
          <w:tcPr>
            <w:tcW w:w="1037" w:type="dxa"/>
          </w:tcPr>
          <w:p w14:paraId="2052CCB8" w14:textId="77777777" w:rsidR="007F5FA9" w:rsidRPr="002B55E9" w:rsidRDefault="007F5FA9" w:rsidP="007F5FA9">
            <w:pPr>
              <w:pStyle w:val="lgy-"/>
              <w:rPr>
                <w:rFonts w:eastAsia="宋体"/>
              </w:rPr>
            </w:pPr>
            <w:r w:rsidRPr="002B55E9">
              <w:rPr>
                <w:rFonts w:eastAsia="宋体" w:hint="eastAsia"/>
              </w:rPr>
              <w:t>0.1</w:t>
            </w:r>
          </w:p>
        </w:tc>
        <w:tc>
          <w:tcPr>
            <w:tcW w:w="1644" w:type="dxa"/>
          </w:tcPr>
          <w:p w14:paraId="238476E4" w14:textId="77777777" w:rsidR="007F5FA9" w:rsidRPr="002B55E9" w:rsidRDefault="007F5FA9" w:rsidP="007F5FA9">
            <w:pPr>
              <w:pStyle w:val="lgy-"/>
              <w:rPr>
                <w:rFonts w:eastAsia="宋体"/>
              </w:rPr>
            </w:pPr>
            <w:r w:rsidRPr="002B55E9">
              <w:rPr>
                <w:rFonts w:eastAsia="宋体" w:hint="eastAsia"/>
              </w:rPr>
              <w:t>废气</w:t>
            </w:r>
            <w:r w:rsidRPr="002B55E9">
              <w:rPr>
                <w:rFonts w:eastAsia="宋体"/>
              </w:rPr>
              <w:t>处理</w:t>
            </w:r>
          </w:p>
        </w:tc>
        <w:tc>
          <w:tcPr>
            <w:tcW w:w="1897" w:type="dxa"/>
            <w:vMerge/>
          </w:tcPr>
          <w:p w14:paraId="2BD1C1F6" w14:textId="77777777" w:rsidR="007F5FA9" w:rsidRPr="002B55E9" w:rsidRDefault="007F5FA9" w:rsidP="007F5FA9">
            <w:pPr>
              <w:pStyle w:val="lgy-"/>
              <w:rPr>
                <w:rFonts w:eastAsia="宋体"/>
              </w:rPr>
            </w:pPr>
          </w:p>
        </w:tc>
      </w:tr>
      <w:tr w:rsidR="002B55E9" w:rsidRPr="002B55E9" w14:paraId="5CDC3C8D" w14:textId="77777777" w:rsidTr="007F5FA9">
        <w:trPr>
          <w:trHeight w:val="283"/>
        </w:trPr>
        <w:tc>
          <w:tcPr>
            <w:tcW w:w="595" w:type="dxa"/>
          </w:tcPr>
          <w:p w14:paraId="1F7D36DD" w14:textId="56CCAF58" w:rsidR="007F5FA9" w:rsidRPr="002B55E9" w:rsidRDefault="007F5FA9" w:rsidP="007F5FA9">
            <w:pPr>
              <w:pStyle w:val="lgy-"/>
              <w:rPr>
                <w:rFonts w:eastAsia="宋体"/>
              </w:rPr>
            </w:pPr>
            <w:r w:rsidRPr="002B55E9">
              <w:rPr>
                <w:rFonts w:eastAsia="宋体" w:hint="eastAsia"/>
              </w:rPr>
              <w:t>1</w:t>
            </w:r>
            <w:r w:rsidRPr="002B55E9">
              <w:rPr>
                <w:rFonts w:eastAsia="宋体"/>
              </w:rPr>
              <w:t>3</w:t>
            </w:r>
          </w:p>
        </w:tc>
        <w:tc>
          <w:tcPr>
            <w:tcW w:w="2267" w:type="dxa"/>
          </w:tcPr>
          <w:p w14:paraId="21AE806F" w14:textId="77777777" w:rsidR="007F5FA9" w:rsidRPr="002B55E9" w:rsidRDefault="007F5FA9" w:rsidP="007F5FA9">
            <w:pPr>
              <w:pStyle w:val="lgy-"/>
              <w:rPr>
                <w:rFonts w:eastAsia="宋体"/>
              </w:rPr>
            </w:pPr>
            <w:r w:rsidRPr="002B55E9">
              <w:rPr>
                <w:rFonts w:eastAsia="宋体" w:hint="eastAsia"/>
              </w:rPr>
              <w:t>废机油</w:t>
            </w:r>
          </w:p>
        </w:tc>
        <w:tc>
          <w:tcPr>
            <w:tcW w:w="833" w:type="dxa"/>
          </w:tcPr>
          <w:p w14:paraId="3E81F0BD" w14:textId="77777777" w:rsidR="007F5FA9" w:rsidRPr="002B55E9" w:rsidRDefault="007F5FA9" w:rsidP="007F5FA9">
            <w:pPr>
              <w:pStyle w:val="lgy-"/>
              <w:rPr>
                <w:rFonts w:eastAsia="宋体"/>
              </w:rPr>
            </w:pPr>
            <w:r w:rsidRPr="002B55E9">
              <w:rPr>
                <w:rFonts w:eastAsia="宋体" w:hint="eastAsia"/>
              </w:rPr>
              <w:t>H</w:t>
            </w:r>
            <w:r w:rsidRPr="002B55E9">
              <w:rPr>
                <w:rFonts w:eastAsia="宋体"/>
              </w:rPr>
              <w:t>W08</w:t>
            </w:r>
          </w:p>
        </w:tc>
        <w:tc>
          <w:tcPr>
            <w:tcW w:w="1365" w:type="dxa"/>
          </w:tcPr>
          <w:p w14:paraId="19FD4CA8" w14:textId="77777777" w:rsidR="007F5FA9" w:rsidRPr="002B55E9" w:rsidRDefault="007F5FA9" w:rsidP="007F5FA9">
            <w:pPr>
              <w:pStyle w:val="lgy-"/>
              <w:rPr>
                <w:rFonts w:eastAsia="宋体"/>
              </w:rPr>
            </w:pPr>
            <w:r w:rsidRPr="002B55E9">
              <w:rPr>
                <w:rFonts w:eastAsia="宋体" w:hint="eastAsia"/>
              </w:rPr>
              <w:t>9</w:t>
            </w:r>
            <w:r w:rsidRPr="002B55E9">
              <w:rPr>
                <w:rFonts w:eastAsia="宋体"/>
              </w:rPr>
              <w:t>00-214-08</w:t>
            </w:r>
          </w:p>
        </w:tc>
        <w:tc>
          <w:tcPr>
            <w:tcW w:w="1037" w:type="dxa"/>
          </w:tcPr>
          <w:p w14:paraId="2572777D" w14:textId="77777777" w:rsidR="007F5FA9" w:rsidRPr="002B55E9" w:rsidRDefault="007F5FA9" w:rsidP="007F5FA9">
            <w:pPr>
              <w:pStyle w:val="lgy-"/>
              <w:rPr>
                <w:rFonts w:eastAsia="宋体"/>
              </w:rPr>
            </w:pPr>
            <w:r w:rsidRPr="002B55E9">
              <w:rPr>
                <w:rFonts w:eastAsia="宋体" w:hint="eastAsia"/>
              </w:rPr>
              <w:t>0</w:t>
            </w:r>
            <w:r w:rsidRPr="002B55E9">
              <w:rPr>
                <w:rFonts w:eastAsia="宋体"/>
              </w:rPr>
              <w:t>.5</w:t>
            </w:r>
          </w:p>
        </w:tc>
        <w:tc>
          <w:tcPr>
            <w:tcW w:w="1644" w:type="dxa"/>
          </w:tcPr>
          <w:p w14:paraId="335EC190" w14:textId="77777777" w:rsidR="007F5FA9" w:rsidRPr="002B55E9" w:rsidRDefault="007F5FA9" w:rsidP="007F5FA9">
            <w:pPr>
              <w:pStyle w:val="lgy-"/>
              <w:rPr>
                <w:rFonts w:eastAsia="宋体"/>
              </w:rPr>
            </w:pPr>
            <w:r w:rsidRPr="002B55E9">
              <w:rPr>
                <w:rFonts w:eastAsia="宋体" w:hint="eastAsia"/>
              </w:rPr>
              <w:t>设备检修</w:t>
            </w:r>
          </w:p>
        </w:tc>
        <w:tc>
          <w:tcPr>
            <w:tcW w:w="1897" w:type="dxa"/>
            <w:vMerge/>
          </w:tcPr>
          <w:p w14:paraId="55349245" w14:textId="77777777" w:rsidR="007F5FA9" w:rsidRPr="002B55E9" w:rsidRDefault="007F5FA9" w:rsidP="007F5FA9">
            <w:pPr>
              <w:pStyle w:val="lgy-"/>
              <w:rPr>
                <w:rFonts w:eastAsia="宋体"/>
              </w:rPr>
            </w:pPr>
          </w:p>
        </w:tc>
      </w:tr>
      <w:tr w:rsidR="002B55E9" w:rsidRPr="002B55E9" w14:paraId="50E34FE2" w14:textId="77777777" w:rsidTr="007F5FA9">
        <w:trPr>
          <w:trHeight w:val="283"/>
        </w:trPr>
        <w:tc>
          <w:tcPr>
            <w:tcW w:w="595" w:type="dxa"/>
          </w:tcPr>
          <w:p w14:paraId="080BE51D" w14:textId="24B63120" w:rsidR="007F5FA9" w:rsidRPr="002B55E9" w:rsidRDefault="007F5FA9" w:rsidP="007F5FA9">
            <w:pPr>
              <w:pStyle w:val="lgy-"/>
              <w:rPr>
                <w:rFonts w:eastAsia="宋体"/>
              </w:rPr>
            </w:pPr>
            <w:r w:rsidRPr="002B55E9">
              <w:rPr>
                <w:rFonts w:eastAsia="宋体" w:hint="eastAsia"/>
              </w:rPr>
              <w:t>14</w:t>
            </w:r>
          </w:p>
        </w:tc>
        <w:tc>
          <w:tcPr>
            <w:tcW w:w="2267" w:type="dxa"/>
          </w:tcPr>
          <w:p w14:paraId="4B612EA0" w14:textId="77777777" w:rsidR="007F5FA9" w:rsidRPr="002B55E9" w:rsidRDefault="007F5FA9" w:rsidP="007F5FA9">
            <w:pPr>
              <w:pStyle w:val="lgy-"/>
              <w:rPr>
                <w:rFonts w:eastAsia="宋体"/>
              </w:rPr>
            </w:pPr>
            <w:r w:rsidRPr="002B55E9">
              <w:rPr>
                <w:rFonts w:eastAsia="宋体" w:hint="eastAsia"/>
              </w:rPr>
              <w:t>废含油抹布</w:t>
            </w:r>
          </w:p>
        </w:tc>
        <w:tc>
          <w:tcPr>
            <w:tcW w:w="833" w:type="dxa"/>
          </w:tcPr>
          <w:p w14:paraId="6A468697" w14:textId="77777777" w:rsidR="007F5FA9" w:rsidRPr="002B55E9" w:rsidRDefault="007F5FA9" w:rsidP="007F5FA9">
            <w:pPr>
              <w:pStyle w:val="lgy-"/>
              <w:rPr>
                <w:rFonts w:eastAsia="宋体"/>
              </w:rPr>
            </w:pPr>
            <w:r w:rsidRPr="002B55E9">
              <w:rPr>
                <w:rFonts w:eastAsia="宋体" w:hint="eastAsia"/>
              </w:rPr>
              <w:t>H</w:t>
            </w:r>
            <w:r w:rsidRPr="002B55E9">
              <w:rPr>
                <w:rFonts w:eastAsia="宋体"/>
              </w:rPr>
              <w:t>W49</w:t>
            </w:r>
          </w:p>
        </w:tc>
        <w:tc>
          <w:tcPr>
            <w:tcW w:w="1365" w:type="dxa"/>
          </w:tcPr>
          <w:p w14:paraId="2EA64039" w14:textId="77777777" w:rsidR="007F5FA9" w:rsidRPr="002B55E9" w:rsidRDefault="007F5FA9" w:rsidP="007F5FA9">
            <w:pPr>
              <w:pStyle w:val="lgy-"/>
              <w:rPr>
                <w:rFonts w:eastAsia="宋体"/>
              </w:rPr>
            </w:pPr>
            <w:r w:rsidRPr="002B55E9">
              <w:rPr>
                <w:rFonts w:eastAsia="宋体" w:hint="eastAsia"/>
              </w:rPr>
              <w:t>9</w:t>
            </w:r>
            <w:r w:rsidRPr="002B55E9">
              <w:rPr>
                <w:rFonts w:eastAsia="宋体"/>
              </w:rPr>
              <w:t>00-041-49</w:t>
            </w:r>
          </w:p>
        </w:tc>
        <w:tc>
          <w:tcPr>
            <w:tcW w:w="1037" w:type="dxa"/>
          </w:tcPr>
          <w:p w14:paraId="3AFA9DBA" w14:textId="77777777" w:rsidR="007F5FA9" w:rsidRPr="002B55E9" w:rsidRDefault="007F5FA9" w:rsidP="007F5FA9">
            <w:pPr>
              <w:pStyle w:val="lgy-"/>
              <w:rPr>
                <w:rFonts w:eastAsia="宋体"/>
              </w:rPr>
            </w:pPr>
            <w:r w:rsidRPr="002B55E9">
              <w:rPr>
                <w:rFonts w:eastAsia="宋体" w:hint="eastAsia"/>
              </w:rPr>
              <w:t>0</w:t>
            </w:r>
            <w:r w:rsidRPr="002B55E9">
              <w:rPr>
                <w:rFonts w:eastAsia="宋体"/>
              </w:rPr>
              <w:t>.01</w:t>
            </w:r>
          </w:p>
        </w:tc>
        <w:tc>
          <w:tcPr>
            <w:tcW w:w="1644" w:type="dxa"/>
          </w:tcPr>
          <w:p w14:paraId="3B81CC4D" w14:textId="77777777" w:rsidR="007F5FA9" w:rsidRPr="002B55E9" w:rsidRDefault="007F5FA9" w:rsidP="007F5FA9">
            <w:pPr>
              <w:pStyle w:val="lgy-"/>
              <w:rPr>
                <w:rFonts w:eastAsia="宋体"/>
              </w:rPr>
            </w:pPr>
            <w:r w:rsidRPr="002B55E9">
              <w:rPr>
                <w:rFonts w:eastAsia="宋体" w:hint="eastAsia"/>
              </w:rPr>
              <w:t>设备检修</w:t>
            </w:r>
          </w:p>
        </w:tc>
        <w:tc>
          <w:tcPr>
            <w:tcW w:w="1897" w:type="dxa"/>
            <w:vMerge/>
          </w:tcPr>
          <w:p w14:paraId="7D8776BE" w14:textId="77777777" w:rsidR="007F5FA9" w:rsidRPr="002B55E9" w:rsidRDefault="007F5FA9" w:rsidP="007F5FA9">
            <w:pPr>
              <w:pStyle w:val="lgy-"/>
              <w:rPr>
                <w:rFonts w:eastAsia="宋体"/>
              </w:rPr>
            </w:pPr>
          </w:p>
        </w:tc>
      </w:tr>
      <w:tr w:rsidR="002B55E9" w:rsidRPr="002B55E9" w14:paraId="06C9883E" w14:textId="77777777" w:rsidTr="007F5FA9">
        <w:trPr>
          <w:trHeight w:val="283"/>
        </w:trPr>
        <w:tc>
          <w:tcPr>
            <w:tcW w:w="5060" w:type="dxa"/>
            <w:gridSpan w:val="4"/>
          </w:tcPr>
          <w:p w14:paraId="3B7C6A7E" w14:textId="77777777" w:rsidR="007F5FA9" w:rsidRPr="002B55E9" w:rsidRDefault="007F5FA9" w:rsidP="007F5FA9">
            <w:pPr>
              <w:pStyle w:val="lgy-"/>
              <w:rPr>
                <w:rFonts w:eastAsia="宋体"/>
              </w:rPr>
            </w:pPr>
            <w:r w:rsidRPr="002B55E9">
              <w:rPr>
                <w:rFonts w:eastAsia="宋体"/>
              </w:rPr>
              <w:t>合计</w:t>
            </w:r>
          </w:p>
        </w:tc>
        <w:tc>
          <w:tcPr>
            <w:tcW w:w="1037" w:type="dxa"/>
          </w:tcPr>
          <w:p w14:paraId="2F0E3200" w14:textId="04380C04" w:rsidR="007F5FA9" w:rsidRPr="002B55E9" w:rsidRDefault="007F5FA9" w:rsidP="007F5FA9">
            <w:pPr>
              <w:pStyle w:val="lgy-"/>
              <w:rPr>
                <w:rFonts w:eastAsia="宋体"/>
              </w:rPr>
            </w:pPr>
            <w:r w:rsidRPr="002B55E9">
              <w:fldChar w:fldCharType="begin"/>
            </w:r>
            <w:r w:rsidRPr="002B55E9">
              <w:rPr>
                <w:rFonts w:eastAsia="宋体"/>
              </w:rPr>
              <w:instrText xml:space="preserve"> =SUM(ABOVE) </w:instrText>
            </w:r>
            <w:r w:rsidRPr="002B55E9">
              <w:fldChar w:fldCharType="separate"/>
            </w:r>
            <w:r w:rsidRPr="002B55E9">
              <w:rPr>
                <w:rFonts w:eastAsia="宋体"/>
                <w:noProof/>
              </w:rPr>
              <w:t>1161.97</w:t>
            </w:r>
            <w:r w:rsidRPr="002B55E9">
              <w:fldChar w:fldCharType="end"/>
            </w:r>
          </w:p>
        </w:tc>
        <w:tc>
          <w:tcPr>
            <w:tcW w:w="1644" w:type="dxa"/>
          </w:tcPr>
          <w:p w14:paraId="4EA0F5C0" w14:textId="77777777" w:rsidR="007F5FA9" w:rsidRPr="002B55E9" w:rsidRDefault="007F5FA9" w:rsidP="007F5FA9">
            <w:pPr>
              <w:pStyle w:val="lgy-"/>
              <w:rPr>
                <w:rFonts w:eastAsia="宋体"/>
              </w:rPr>
            </w:pPr>
            <w:r w:rsidRPr="002B55E9">
              <w:rPr>
                <w:rFonts w:eastAsia="宋体"/>
              </w:rPr>
              <w:t>/</w:t>
            </w:r>
          </w:p>
        </w:tc>
        <w:tc>
          <w:tcPr>
            <w:tcW w:w="1897" w:type="dxa"/>
          </w:tcPr>
          <w:p w14:paraId="1000B918" w14:textId="77777777" w:rsidR="007F5FA9" w:rsidRPr="002B55E9" w:rsidRDefault="007F5FA9" w:rsidP="007F5FA9">
            <w:pPr>
              <w:pStyle w:val="lgy-"/>
              <w:rPr>
                <w:rFonts w:eastAsia="宋体"/>
              </w:rPr>
            </w:pPr>
            <w:r w:rsidRPr="002B55E9">
              <w:rPr>
                <w:rFonts w:eastAsia="宋体"/>
              </w:rPr>
              <w:t>/</w:t>
            </w:r>
          </w:p>
        </w:tc>
      </w:tr>
    </w:tbl>
    <w:p w14:paraId="7C7C60AD" w14:textId="6EB41E68" w:rsidR="00D170E5" w:rsidRPr="002B55E9" w:rsidRDefault="00EF27AD">
      <w:pPr>
        <w:pStyle w:val="aa"/>
        <w:rPr>
          <w:szCs w:val="24"/>
        </w:rPr>
      </w:pPr>
      <w:r w:rsidRPr="002B55E9">
        <w:rPr>
          <w:rFonts w:hint="eastAsia"/>
        </w:rPr>
        <w:t>拟建项目固废总产生量</w:t>
      </w:r>
      <w:r w:rsidR="007F5FA9" w:rsidRPr="002B55E9">
        <w:t>1161.97</w:t>
      </w:r>
      <w:r w:rsidRPr="002B55E9">
        <w:rPr>
          <w:rFonts w:hint="eastAsia"/>
        </w:rPr>
        <w:t>t/a</w:t>
      </w:r>
      <w:r w:rsidRPr="002B55E9">
        <w:rPr>
          <w:rFonts w:hint="eastAsia"/>
        </w:rPr>
        <w:t>，其中危险废物产生量约</w:t>
      </w:r>
      <w:r w:rsidRPr="002B55E9">
        <w:t>3.12</w:t>
      </w:r>
      <w:r w:rsidRPr="002B55E9">
        <w:rPr>
          <w:rFonts w:hint="eastAsia"/>
        </w:rPr>
        <w:t>t/a</w:t>
      </w:r>
      <w:r w:rsidRPr="002B55E9">
        <w:rPr>
          <w:rFonts w:hint="eastAsia"/>
        </w:rPr>
        <w:t>，一般工业固废产生量约为</w:t>
      </w:r>
      <w:r w:rsidR="007F5FA9" w:rsidRPr="002B55E9">
        <w:t>1113.97</w:t>
      </w:r>
      <w:r w:rsidRPr="002B55E9">
        <w:rPr>
          <w:rFonts w:hint="eastAsia"/>
        </w:rPr>
        <w:t>t/a</w:t>
      </w:r>
      <w:r w:rsidRPr="002B55E9">
        <w:rPr>
          <w:rFonts w:hint="eastAsia"/>
        </w:rPr>
        <w:t>，生活垃圾为</w:t>
      </w:r>
      <w:r w:rsidRPr="002B55E9">
        <w:t>44.88</w:t>
      </w:r>
      <w:r w:rsidRPr="002B55E9">
        <w:rPr>
          <w:rFonts w:hint="eastAsia"/>
        </w:rPr>
        <w:t>t/a</w:t>
      </w:r>
      <w:r w:rsidRPr="002B55E9">
        <w:rPr>
          <w:rFonts w:hint="eastAsia"/>
        </w:rPr>
        <w:t>。</w:t>
      </w:r>
      <w:r w:rsidRPr="002B55E9">
        <w:rPr>
          <w:szCs w:val="24"/>
        </w:rPr>
        <w:t>各类固废均委托相关单位进行综合利用或处置，全厂各项固废得到了资源化、减量化和无害化处置。</w:t>
      </w:r>
    </w:p>
    <w:p w14:paraId="4A95C8DB" w14:textId="77777777" w:rsidR="00D170E5" w:rsidRPr="002B55E9" w:rsidRDefault="00EF27AD">
      <w:pPr>
        <w:pStyle w:val="4"/>
        <w:rPr>
          <w:color w:val="auto"/>
        </w:rPr>
      </w:pPr>
      <w:r w:rsidRPr="002B55E9">
        <w:rPr>
          <w:rFonts w:hint="eastAsia"/>
          <w:color w:val="auto"/>
        </w:rPr>
        <w:lastRenderedPageBreak/>
        <w:t>非正常排放</w:t>
      </w:r>
    </w:p>
    <w:p w14:paraId="6F4744B6" w14:textId="77777777" w:rsidR="00D170E5" w:rsidRPr="002B55E9" w:rsidRDefault="00EF27AD">
      <w:pPr>
        <w:pStyle w:val="aa"/>
        <w:snapToGrid w:val="0"/>
        <w:rPr>
          <w:szCs w:val="24"/>
        </w:rPr>
      </w:pPr>
      <w:r w:rsidRPr="002B55E9">
        <w:rPr>
          <w:rFonts w:hint="eastAsia"/>
          <w:szCs w:val="24"/>
        </w:rPr>
        <w:t>（</w:t>
      </w:r>
      <w:r w:rsidRPr="002B55E9">
        <w:rPr>
          <w:rFonts w:hint="eastAsia"/>
          <w:szCs w:val="24"/>
        </w:rPr>
        <w:t>1</w:t>
      </w:r>
      <w:r w:rsidRPr="002B55E9">
        <w:rPr>
          <w:rFonts w:hint="eastAsia"/>
          <w:szCs w:val="24"/>
        </w:rPr>
        <w:t>）废气</w:t>
      </w:r>
    </w:p>
    <w:p w14:paraId="2698438B" w14:textId="5E71E602" w:rsidR="00D170E5" w:rsidRPr="002B55E9" w:rsidRDefault="00EF27AD">
      <w:pPr>
        <w:pStyle w:val="affff7"/>
        <w:snapToGrid w:val="0"/>
        <w:spacing w:after="0"/>
        <w:rPr>
          <w:rFonts w:hAnsi="宋体"/>
        </w:rPr>
      </w:pPr>
      <w:r w:rsidRPr="002B55E9">
        <w:rPr>
          <w:rFonts w:hAnsi="宋体" w:hint="eastAsia"/>
        </w:rPr>
        <w:t>废气非正常排放主要为处理设施失效导致废气直接排放。</w:t>
      </w:r>
    </w:p>
    <w:p w14:paraId="3A63E498" w14:textId="77777777" w:rsidR="00D170E5" w:rsidRPr="002B55E9" w:rsidRDefault="00EF27AD">
      <w:pPr>
        <w:pStyle w:val="1f3"/>
        <w:spacing w:beforeLines="0" w:before="0"/>
      </w:pPr>
      <w:r w:rsidRPr="002B55E9">
        <w:rPr>
          <w:rFonts w:hint="eastAsia"/>
        </w:rPr>
        <w:t>表</w:t>
      </w:r>
      <w:r w:rsidRPr="002B55E9">
        <w:t xml:space="preserve">3-3-34  </w:t>
      </w:r>
      <w:r w:rsidRPr="002B55E9">
        <w:rPr>
          <w:rFonts w:hint="eastAsia"/>
        </w:rPr>
        <w:t>拟建项目废气处理设施失效污染物排放情况</w:t>
      </w:r>
    </w:p>
    <w:tbl>
      <w:tblPr>
        <w:tblStyle w:val="lgy2"/>
        <w:tblW w:w="5000" w:type="pct"/>
        <w:tblLayout w:type="fixed"/>
        <w:tblCellMar>
          <w:left w:w="28" w:type="dxa"/>
          <w:right w:w="28" w:type="dxa"/>
        </w:tblCellMar>
        <w:tblLook w:val="04A0" w:firstRow="1" w:lastRow="0" w:firstColumn="1" w:lastColumn="0" w:noHBand="0" w:noVBand="1"/>
      </w:tblPr>
      <w:tblGrid>
        <w:gridCol w:w="1283"/>
        <w:gridCol w:w="2851"/>
        <w:gridCol w:w="1029"/>
        <w:gridCol w:w="2189"/>
        <w:gridCol w:w="2342"/>
      </w:tblGrid>
      <w:tr w:rsidR="002B55E9" w:rsidRPr="002B55E9" w14:paraId="4578B3E8" w14:textId="77777777" w:rsidTr="001C49B0">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25455E6E" w14:textId="77777777" w:rsidR="00D170E5" w:rsidRPr="002B55E9" w:rsidRDefault="00EF27AD" w:rsidP="001C49B0">
            <w:pPr>
              <w:pStyle w:val="lgy-"/>
              <w:rPr>
                <w:rFonts w:eastAsia="宋体"/>
              </w:rPr>
            </w:pPr>
            <w:r w:rsidRPr="002B55E9">
              <w:rPr>
                <w:rFonts w:eastAsia="宋体"/>
              </w:rPr>
              <w:t>非正常排放源</w:t>
            </w:r>
          </w:p>
        </w:tc>
        <w:tc>
          <w:tcPr>
            <w:tcW w:w="2835" w:type="dxa"/>
          </w:tcPr>
          <w:p w14:paraId="7144792D" w14:textId="77777777" w:rsidR="00D170E5" w:rsidRPr="002B55E9" w:rsidRDefault="00EF27AD" w:rsidP="001C49B0">
            <w:pPr>
              <w:pStyle w:val="lgy-"/>
              <w:rPr>
                <w:rFonts w:eastAsia="宋体"/>
              </w:rPr>
            </w:pPr>
            <w:r w:rsidRPr="002B55E9">
              <w:rPr>
                <w:rFonts w:eastAsia="宋体"/>
              </w:rPr>
              <w:t>非正常排放原因</w:t>
            </w:r>
          </w:p>
        </w:tc>
        <w:tc>
          <w:tcPr>
            <w:tcW w:w="1023" w:type="dxa"/>
          </w:tcPr>
          <w:p w14:paraId="6AE99DAB" w14:textId="77777777" w:rsidR="00D170E5" w:rsidRPr="002B55E9" w:rsidRDefault="00EF27AD" w:rsidP="001C49B0">
            <w:pPr>
              <w:pStyle w:val="lgy-"/>
              <w:rPr>
                <w:rFonts w:eastAsia="宋体"/>
              </w:rPr>
            </w:pPr>
            <w:r w:rsidRPr="002B55E9">
              <w:rPr>
                <w:rFonts w:eastAsia="宋体"/>
              </w:rPr>
              <w:t>污染物</w:t>
            </w:r>
          </w:p>
        </w:tc>
        <w:tc>
          <w:tcPr>
            <w:tcW w:w="2176" w:type="dxa"/>
          </w:tcPr>
          <w:p w14:paraId="1F529FBC" w14:textId="77777777" w:rsidR="00D170E5" w:rsidRPr="002B55E9" w:rsidRDefault="00EF27AD" w:rsidP="001C49B0">
            <w:pPr>
              <w:pStyle w:val="lgy-"/>
              <w:rPr>
                <w:rFonts w:eastAsia="宋体"/>
              </w:rPr>
            </w:pPr>
            <w:r w:rsidRPr="002B55E9">
              <w:rPr>
                <w:rFonts w:eastAsia="宋体"/>
              </w:rPr>
              <w:t>非正常排放速率</w:t>
            </w:r>
            <w:r w:rsidRPr="002B55E9">
              <w:rPr>
                <w:rFonts w:eastAsia="宋体"/>
              </w:rPr>
              <w:t>/</w:t>
            </w:r>
            <w:r w:rsidRPr="002B55E9">
              <w:rPr>
                <w:rFonts w:eastAsia="宋体"/>
              </w:rPr>
              <w:t>（</w:t>
            </w:r>
            <w:r w:rsidRPr="002B55E9">
              <w:rPr>
                <w:rFonts w:eastAsia="宋体"/>
              </w:rPr>
              <w:t>kg/h</w:t>
            </w:r>
            <w:r w:rsidRPr="002B55E9">
              <w:rPr>
                <w:rFonts w:eastAsia="宋体"/>
              </w:rPr>
              <w:t>）</w:t>
            </w:r>
          </w:p>
        </w:tc>
        <w:tc>
          <w:tcPr>
            <w:tcW w:w="2328" w:type="dxa"/>
          </w:tcPr>
          <w:p w14:paraId="3FC6B774" w14:textId="77777777" w:rsidR="00D170E5" w:rsidRPr="002B55E9" w:rsidRDefault="00EF27AD" w:rsidP="001C49B0">
            <w:pPr>
              <w:pStyle w:val="lgy-"/>
              <w:rPr>
                <w:rFonts w:eastAsia="宋体"/>
              </w:rPr>
            </w:pPr>
            <w:r w:rsidRPr="002B55E9">
              <w:rPr>
                <w:rFonts w:eastAsia="宋体"/>
              </w:rPr>
              <w:t>非正常排放浓度（</w:t>
            </w:r>
            <w:r w:rsidRPr="002B55E9">
              <w:rPr>
                <w:rFonts w:eastAsia="宋体"/>
              </w:rPr>
              <w:t>mg/m</w:t>
            </w:r>
            <w:r w:rsidRPr="002B55E9">
              <w:rPr>
                <w:rFonts w:eastAsia="宋体"/>
                <w:vertAlign w:val="superscript"/>
              </w:rPr>
              <w:t>3</w:t>
            </w:r>
            <w:r w:rsidRPr="002B55E9">
              <w:rPr>
                <w:rFonts w:eastAsia="宋体"/>
              </w:rPr>
              <w:t>）</w:t>
            </w:r>
          </w:p>
        </w:tc>
      </w:tr>
      <w:tr w:rsidR="002B55E9" w:rsidRPr="002B55E9" w14:paraId="675D106C" w14:textId="77777777" w:rsidTr="001C49B0">
        <w:trPr>
          <w:trHeight w:val="283"/>
        </w:trPr>
        <w:tc>
          <w:tcPr>
            <w:tcW w:w="1276" w:type="dxa"/>
          </w:tcPr>
          <w:p w14:paraId="429AB228" w14:textId="77777777" w:rsidR="00D170E5" w:rsidRPr="002B55E9" w:rsidRDefault="00EF27AD" w:rsidP="001C49B0">
            <w:pPr>
              <w:pStyle w:val="lgy-"/>
              <w:rPr>
                <w:rFonts w:eastAsia="宋体"/>
              </w:rPr>
            </w:pPr>
            <w:r w:rsidRPr="002B55E9">
              <w:rPr>
                <w:rFonts w:eastAsia="宋体"/>
              </w:rPr>
              <w:t>DA001</w:t>
            </w:r>
          </w:p>
        </w:tc>
        <w:tc>
          <w:tcPr>
            <w:tcW w:w="2835" w:type="dxa"/>
          </w:tcPr>
          <w:p w14:paraId="43B1916E" w14:textId="77777777" w:rsidR="00D170E5" w:rsidRPr="002B55E9" w:rsidRDefault="00EF27AD" w:rsidP="001C49B0">
            <w:pPr>
              <w:pStyle w:val="lgy-"/>
              <w:rPr>
                <w:rFonts w:eastAsia="宋体"/>
              </w:rPr>
            </w:pPr>
            <w:r w:rsidRPr="002B55E9">
              <w:rPr>
                <w:rFonts w:eastAsia="宋体"/>
              </w:rPr>
              <w:t>布袋破损导致袋式除尘无处理效率</w:t>
            </w:r>
          </w:p>
        </w:tc>
        <w:tc>
          <w:tcPr>
            <w:tcW w:w="1023" w:type="dxa"/>
          </w:tcPr>
          <w:p w14:paraId="0E250E31" w14:textId="77777777" w:rsidR="00D170E5" w:rsidRPr="002B55E9" w:rsidRDefault="00EF27AD" w:rsidP="001C49B0">
            <w:pPr>
              <w:pStyle w:val="lgy-"/>
              <w:rPr>
                <w:rFonts w:eastAsia="宋体"/>
              </w:rPr>
            </w:pPr>
            <w:r w:rsidRPr="002B55E9">
              <w:rPr>
                <w:rFonts w:eastAsia="宋体"/>
              </w:rPr>
              <w:t>颗粒物</w:t>
            </w:r>
          </w:p>
        </w:tc>
        <w:tc>
          <w:tcPr>
            <w:tcW w:w="2176" w:type="dxa"/>
          </w:tcPr>
          <w:p w14:paraId="3E9E307D" w14:textId="33E0A0A3" w:rsidR="00D170E5" w:rsidRPr="002B55E9" w:rsidRDefault="00EF27AD" w:rsidP="001C49B0">
            <w:pPr>
              <w:pStyle w:val="lgy-"/>
              <w:rPr>
                <w:rFonts w:eastAsia="宋体"/>
              </w:rPr>
            </w:pPr>
            <w:r w:rsidRPr="002B55E9">
              <w:rPr>
                <w:rFonts w:eastAsia="宋体"/>
              </w:rPr>
              <w:t>0.141</w:t>
            </w:r>
          </w:p>
        </w:tc>
        <w:tc>
          <w:tcPr>
            <w:tcW w:w="2328" w:type="dxa"/>
          </w:tcPr>
          <w:p w14:paraId="55B6F836" w14:textId="77777777" w:rsidR="00D170E5" w:rsidRPr="002B55E9" w:rsidRDefault="00EF27AD" w:rsidP="001C49B0">
            <w:pPr>
              <w:pStyle w:val="lgy-"/>
              <w:rPr>
                <w:rFonts w:eastAsia="宋体"/>
              </w:rPr>
            </w:pPr>
            <w:r w:rsidRPr="002B55E9">
              <w:rPr>
                <w:rFonts w:eastAsia="宋体"/>
              </w:rPr>
              <w:t>28.24</w:t>
            </w:r>
          </w:p>
        </w:tc>
      </w:tr>
      <w:tr w:rsidR="002B55E9" w:rsidRPr="002B55E9" w14:paraId="3E837371" w14:textId="77777777" w:rsidTr="001C49B0">
        <w:trPr>
          <w:trHeight w:val="283"/>
        </w:trPr>
        <w:tc>
          <w:tcPr>
            <w:tcW w:w="1276" w:type="dxa"/>
          </w:tcPr>
          <w:p w14:paraId="784BF325" w14:textId="77777777" w:rsidR="00D170E5" w:rsidRPr="002B55E9" w:rsidRDefault="00EF27AD" w:rsidP="001C49B0">
            <w:pPr>
              <w:pStyle w:val="lgy-"/>
              <w:rPr>
                <w:rFonts w:eastAsia="宋体"/>
              </w:rPr>
            </w:pPr>
            <w:r w:rsidRPr="002B55E9">
              <w:rPr>
                <w:rFonts w:eastAsia="宋体"/>
              </w:rPr>
              <w:t>DA002</w:t>
            </w:r>
          </w:p>
        </w:tc>
        <w:tc>
          <w:tcPr>
            <w:tcW w:w="2835" w:type="dxa"/>
          </w:tcPr>
          <w:p w14:paraId="14BBD292" w14:textId="77777777" w:rsidR="00D170E5" w:rsidRPr="002B55E9" w:rsidRDefault="00EF27AD" w:rsidP="001C49B0">
            <w:pPr>
              <w:pStyle w:val="lgy-"/>
              <w:rPr>
                <w:rFonts w:eastAsia="宋体"/>
              </w:rPr>
            </w:pPr>
            <w:r w:rsidRPr="002B55E9">
              <w:rPr>
                <w:rFonts w:eastAsia="宋体"/>
              </w:rPr>
              <w:t>喷淋塔水泵故障，废气直接排放</w:t>
            </w:r>
          </w:p>
        </w:tc>
        <w:tc>
          <w:tcPr>
            <w:tcW w:w="1023" w:type="dxa"/>
          </w:tcPr>
          <w:p w14:paraId="0489F5E5" w14:textId="45ABF534" w:rsidR="00D170E5" w:rsidRPr="002B55E9" w:rsidRDefault="00924AFA" w:rsidP="001C49B0">
            <w:pPr>
              <w:pStyle w:val="lgy-"/>
              <w:rPr>
                <w:rFonts w:eastAsia="宋体"/>
              </w:rPr>
            </w:pPr>
            <w:r w:rsidRPr="002B55E9">
              <w:rPr>
                <w:rFonts w:eastAsia="宋体"/>
              </w:rPr>
              <w:t>非甲烷总烃</w:t>
            </w:r>
          </w:p>
        </w:tc>
        <w:tc>
          <w:tcPr>
            <w:tcW w:w="2176" w:type="dxa"/>
          </w:tcPr>
          <w:p w14:paraId="3BAB1747" w14:textId="1322AA01" w:rsidR="00D170E5" w:rsidRPr="002B55E9" w:rsidRDefault="001C49B0" w:rsidP="001C49B0">
            <w:pPr>
              <w:pStyle w:val="lgy-"/>
              <w:rPr>
                <w:rFonts w:eastAsia="宋体"/>
              </w:rPr>
            </w:pPr>
            <w:r w:rsidRPr="002B55E9">
              <w:rPr>
                <w:rFonts w:eastAsia="宋体" w:hint="eastAsia"/>
              </w:rPr>
              <w:t>3</w:t>
            </w:r>
            <w:r w:rsidRPr="002B55E9">
              <w:rPr>
                <w:rFonts w:eastAsia="宋体"/>
              </w:rPr>
              <w:t>.178</w:t>
            </w:r>
          </w:p>
        </w:tc>
        <w:tc>
          <w:tcPr>
            <w:tcW w:w="2328" w:type="dxa"/>
          </w:tcPr>
          <w:p w14:paraId="2DA8C467" w14:textId="2B3A5BF2" w:rsidR="00D170E5" w:rsidRPr="002B55E9" w:rsidRDefault="001C49B0" w:rsidP="001C49B0">
            <w:pPr>
              <w:pStyle w:val="lgy-"/>
              <w:rPr>
                <w:rFonts w:eastAsia="宋体"/>
              </w:rPr>
            </w:pPr>
            <w:r w:rsidRPr="002B55E9">
              <w:rPr>
                <w:rFonts w:eastAsia="宋体"/>
              </w:rPr>
              <w:t>264.87</w:t>
            </w:r>
          </w:p>
        </w:tc>
      </w:tr>
      <w:tr w:rsidR="002B55E9" w:rsidRPr="002B55E9" w14:paraId="4C1B8F75" w14:textId="77777777" w:rsidTr="001C49B0">
        <w:trPr>
          <w:trHeight w:val="283"/>
        </w:trPr>
        <w:tc>
          <w:tcPr>
            <w:tcW w:w="1276" w:type="dxa"/>
            <w:vMerge w:val="restart"/>
          </w:tcPr>
          <w:p w14:paraId="53F08F97" w14:textId="77777777" w:rsidR="001C49B0" w:rsidRPr="002B55E9" w:rsidRDefault="001C49B0" w:rsidP="001C49B0">
            <w:pPr>
              <w:pStyle w:val="lgy-"/>
              <w:rPr>
                <w:rFonts w:eastAsia="宋体"/>
              </w:rPr>
            </w:pPr>
            <w:r w:rsidRPr="002B55E9">
              <w:rPr>
                <w:rFonts w:eastAsia="宋体"/>
              </w:rPr>
              <w:t>DA003</w:t>
            </w:r>
          </w:p>
        </w:tc>
        <w:tc>
          <w:tcPr>
            <w:tcW w:w="2835" w:type="dxa"/>
            <w:vMerge w:val="restart"/>
          </w:tcPr>
          <w:p w14:paraId="4EC17004" w14:textId="77777777" w:rsidR="001C49B0" w:rsidRPr="002B55E9" w:rsidRDefault="001C49B0" w:rsidP="001C49B0">
            <w:pPr>
              <w:pStyle w:val="lgy-"/>
              <w:rPr>
                <w:rFonts w:eastAsia="宋体"/>
              </w:rPr>
            </w:pPr>
            <w:r w:rsidRPr="002B55E9">
              <w:rPr>
                <w:rFonts w:eastAsia="宋体"/>
              </w:rPr>
              <w:t>活性炭吸附长期未更换</w:t>
            </w:r>
          </w:p>
        </w:tc>
        <w:tc>
          <w:tcPr>
            <w:tcW w:w="1023" w:type="dxa"/>
          </w:tcPr>
          <w:p w14:paraId="6DF33353" w14:textId="499965B7" w:rsidR="001C49B0" w:rsidRPr="002B55E9" w:rsidRDefault="001C49B0" w:rsidP="001C49B0">
            <w:pPr>
              <w:pStyle w:val="lgy-"/>
              <w:rPr>
                <w:rFonts w:eastAsia="宋体"/>
              </w:rPr>
            </w:pPr>
            <w:r w:rsidRPr="002B55E9">
              <w:rPr>
                <w:rFonts w:eastAsia="宋体"/>
              </w:rPr>
              <w:t>非甲烷总烃</w:t>
            </w:r>
          </w:p>
        </w:tc>
        <w:tc>
          <w:tcPr>
            <w:tcW w:w="2176" w:type="dxa"/>
          </w:tcPr>
          <w:p w14:paraId="2604EA3E" w14:textId="1089334B" w:rsidR="001C49B0" w:rsidRPr="002B55E9" w:rsidRDefault="001C49B0" w:rsidP="001C49B0">
            <w:pPr>
              <w:pStyle w:val="lgy-"/>
              <w:rPr>
                <w:rFonts w:eastAsia="宋体"/>
              </w:rPr>
            </w:pPr>
            <w:r w:rsidRPr="002B55E9">
              <w:rPr>
                <w:rFonts w:eastAsia="宋体"/>
              </w:rPr>
              <w:t xml:space="preserve">0.008 </w:t>
            </w:r>
          </w:p>
        </w:tc>
        <w:tc>
          <w:tcPr>
            <w:tcW w:w="2328" w:type="dxa"/>
          </w:tcPr>
          <w:p w14:paraId="259B265D" w14:textId="0BBF8550" w:rsidR="001C49B0" w:rsidRPr="002B55E9" w:rsidRDefault="001C49B0" w:rsidP="001C49B0">
            <w:pPr>
              <w:pStyle w:val="lgy-"/>
              <w:rPr>
                <w:rFonts w:eastAsia="宋体"/>
              </w:rPr>
            </w:pPr>
            <w:r w:rsidRPr="002B55E9">
              <w:rPr>
                <w:rFonts w:eastAsia="宋体"/>
              </w:rPr>
              <w:t xml:space="preserve">1.88 </w:t>
            </w:r>
          </w:p>
        </w:tc>
      </w:tr>
      <w:tr w:rsidR="002B55E9" w:rsidRPr="002B55E9" w14:paraId="6406C5C6" w14:textId="77777777" w:rsidTr="001C49B0">
        <w:trPr>
          <w:trHeight w:val="283"/>
        </w:trPr>
        <w:tc>
          <w:tcPr>
            <w:tcW w:w="1276" w:type="dxa"/>
            <w:vMerge/>
          </w:tcPr>
          <w:p w14:paraId="585B54E4" w14:textId="77777777" w:rsidR="001C49B0" w:rsidRPr="002B55E9" w:rsidRDefault="001C49B0" w:rsidP="001C49B0">
            <w:pPr>
              <w:pStyle w:val="lgy-"/>
              <w:rPr>
                <w:rFonts w:eastAsia="宋体"/>
              </w:rPr>
            </w:pPr>
          </w:p>
        </w:tc>
        <w:tc>
          <w:tcPr>
            <w:tcW w:w="2835" w:type="dxa"/>
            <w:vMerge/>
          </w:tcPr>
          <w:p w14:paraId="42D4A36B" w14:textId="77777777" w:rsidR="001C49B0" w:rsidRPr="002B55E9" w:rsidRDefault="001C49B0" w:rsidP="001C49B0">
            <w:pPr>
              <w:pStyle w:val="lgy-"/>
              <w:rPr>
                <w:rFonts w:eastAsia="宋体"/>
              </w:rPr>
            </w:pPr>
          </w:p>
        </w:tc>
        <w:tc>
          <w:tcPr>
            <w:tcW w:w="1023" w:type="dxa"/>
          </w:tcPr>
          <w:p w14:paraId="728E0B9F" w14:textId="77777777" w:rsidR="001C49B0" w:rsidRPr="002B55E9" w:rsidRDefault="001C49B0" w:rsidP="001C49B0">
            <w:pPr>
              <w:pStyle w:val="lgy-"/>
              <w:rPr>
                <w:rFonts w:eastAsia="宋体"/>
              </w:rPr>
            </w:pPr>
            <w:r w:rsidRPr="002B55E9">
              <w:rPr>
                <w:rFonts w:eastAsia="宋体"/>
              </w:rPr>
              <w:t>甲醛</w:t>
            </w:r>
          </w:p>
        </w:tc>
        <w:tc>
          <w:tcPr>
            <w:tcW w:w="2176" w:type="dxa"/>
          </w:tcPr>
          <w:p w14:paraId="4E60C51A" w14:textId="7A817505" w:rsidR="001C49B0" w:rsidRPr="002B55E9" w:rsidRDefault="001C49B0" w:rsidP="001C49B0">
            <w:pPr>
              <w:pStyle w:val="lgy-"/>
              <w:rPr>
                <w:rFonts w:eastAsia="宋体"/>
              </w:rPr>
            </w:pPr>
            <w:r w:rsidRPr="002B55E9">
              <w:rPr>
                <w:rFonts w:eastAsia="宋体"/>
              </w:rPr>
              <w:t xml:space="preserve">0.005 </w:t>
            </w:r>
          </w:p>
        </w:tc>
        <w:tc>
          <w:tcPr>
            <w:tcW w:w="2328" w:type="dxa"/>
          </w:tcPr>
          <w:p w14:paraId="7176577A" w14:textId="4D6A0BF4" w:rsidR="001C49B0" w:rsidRPr="002B55E9" w:rsidRDefault="001C49B0" w:rsidP="001C49B0">
            <w:pPr>
              <w:pStyle w:val="lgy-"/>
              <w:rPr>
                <w:rFonts w:eastAsia="宋体"/>
              </w:rPr>
            </w:pPr>
            <w:r w:rsidRPr="002B55E9">
              <w:rPr>
                <w:rFonts w:eastAsia="宋体"/>
              </w:rPr>
              <w:t xml:space="preserve">1.23 </w:t>
            </w:r>
          </w:p>
        </w:tc>
      </w:tr>
      <w:tr w:rsidR="002B55E9" w:rsidRPr="002B55E9" w14:paraId="3E31493B" w14:textId="77777777" w:rsidTr="001C49B0">
        <w:trPr>
          <w:trHeight w:val="283"/>
        </w:trPr>
        <w:tc>
          <w:tcPr>
            <w:tcW w:w="1276" w:type="dxa"/>
            <w:vMerge/>
          </w:tcPr>
          <w:p w14:paraId="72DE30D7" w14:textId="77777777" w:rsidR="001C49B0" w:rsidRPr="002B55E9" w:rsidRDefault="001C49B0" w:rsidP="001C49B0">
            <w:pPr>
              <w:pStyle w:val="lgy-"/>
              <w:rPr>
                <w:rFonts w:eastAsia="宋体"/>
              </w:rPr>
            </w:pPr>
          </w:p>
        </w:tc>
        <w:tc>
          <w:tcPr>
            <w:tcW w:w="2835" w:type="dxa"/>
            <w:vMerge/>
          </w:tcPr>
          <w:p w14:paraId="5104A83B" w14:textId="77777777" w:rsidR="001C49B0" w:rsidRPr="002B55E9" w:rsidRDefault="001C49B0" w:rsidP="001C49B0">
            <w:pPr>
              <w:pStyle w:val="lgy-"/>
              <w:rPr>
                <w:rFonts w:eastAsia="宋体"/>
              </w:rPr>
            </w:pPr>
          </w:p>
        </w:tc>
        <w:tc>
          <w:tcPr>
            <w:tcW w:w="1023" w:type="dxa"/>
          </w:tcPr>
          <w:p w14:paraId="3AB6D0A7" w14:textId="77777777" w:rsidR="001C49B0" w:rsidRPr="002B55E9" w:rsidRDefault="001C49B0" w:rsidP="001C49B0">
            <w:pPr>
              <w:pStyle w:val="lgy-"/>
              <w:rPr>
                <w:rFonts w:eastAsia="宋体"/>
              </w:rPr>
            </w:pPr>
            <w:r w:rsidRPr="002B55E9">
              <w:rPr>
                <w:rFonts w:eastAsia="宋体"/>
              </w:rPr>
              <w:t>硫酸</w:t>
            </w:r>
          </w:p>
        </w:tc>
        <w:tc>
          <w:tcPr>
            <w:tcW w:w="2176" w:type="dxa"/>
          </w:tcPr>
          <w:p w14:paraId="126F5BC1" w14:textId="53734A89" w:rsidR="001C49B0" w:rsidRPr="002B55E9" w:rsidRDefault="001C49B0" w:rsidP="001C49B0">
            <w:pPr>
              <w:pStyle w:val="lgy-"/>
              <w:rPr>
                <w:rFonts w:eastAsia="宋体"/>
              </w:rPr>
            </w:pPr>
            <w:r w:rsidRPr="002B55E9">
              <w:rPr>
                <w:rFonts w:eastAsia="宋体"/>
              </w:rPr>
              <w:t xml:space="preserve">0.011 </w:t>
            </w:r>
          </w:p>
        </w:tc>
        <w:tc>
          <w:tcPr>
            <w:tcW w:w="2328" w:type="dxa"/>
          </w:tcPr>
          <w:p w14:paraId="551FC0B9" w14:textId="78596AD3" w:rsidR="001C49B0" w:rsidRPr="002B55E9" w:rsidRDefault="001C49B0" w:rsidP="001C49B0">
            <w:pPr>
              <w:pStyle w:val="lgy-"/>
              <w:rPr>
                <w:rFonts w:eastAsia="宋体"/>
              </w:rPr>
            </w:pPr>
            <w:r w:rsidRPr="002B55E9">
              <w:rPr>
                <w:rFonts w:eastAsia="宋体"/>
              </w:rPr>
              <w:t xml:space="preserve">2.79 </w:t>
            </w:r>
          </w:p>
        </w:tc>
      </w:tr>
      <w:tr w:rsidR="002B55E9" w:rsidRPr="002B55E9" w14:paraId="0BBB9030" w14:textId="77777777" w:rsidTr="001C49B0">
        <w:trPr>
          <w:trHeight w:val="283"/>
        </w:trPr>
        <w:tc>
          <w:tcPr>
            <w:tcW w:w="1276" w:type="dxa"/>
            <w:vMerge/>
          </w:tcPr>
          <w:p w14:paraId="03D335FA" w14:textId="77777777" w:rsidR="001C49B0" w:rsidRPr="002B55E9" w:rsidRDefault="001C49B0" w:rsidP="001C49B0">
            <w:pPr>
              <w:pStyle w:val="lgy-"/>
              <w:rPr>
                <w:rFonts w:eastAsia="宋体"/>
              </w:rPr>
            </w:pPr>
          </w:p>
        </w:tc>
        <w:tc>
          <w:tcPr>
            <w:tcW w:w="2835" w:type="dxa"/>
            <w:vMerge/>
          </w:tcPr>
          <w:p w14:paraId="58CA6D9E" w14:textId="77777777" w:rsidR="001C49B0" w:rsidRPr="002B55E9" w:rsidRDefault="001C49B0" w:rsidP="001C49B0">
            <w:pPr>
              <w:pStyle w:val="lgy-"/>
              <w:rPr>
                <w:rFonts w:eastAsia="宋体"/>
              </w:rPr>
            </w:pPr>
          </w:p>
        </w:tc>
        <w:tc>
          <w:tcPr>
            <w:tcW w:w="1023" w:type="dxa"/>
          </w:tcPr>
          <w:p w14:paraId="68DC3045" w14:textId="77777777" w:rsidR="001C49B0" w:rsidRPr="002B55E9" w:rsidRDefault="001C49B0" w:rsidP="001C49B0">
            <w:pPr>
              <w:pStyle w:val="lgy-"/>
              <w:rPr>
                <w:rFonts w:eastAsia="宋体"/>
              </w:rPr>
            </w:pPr>
            <w:r w:rsidRPr="002B55E9">
              <w:rPr>
                <w:rFonts w:eastAsia="宋体"/>
              </w:rPr>
              <w:t>氯化氢</w:t>
            </w:r>
          </w:p>
        </w:tc>
        <w:tc>
          <w:tcPr>
            <w:tcW w:w="2176" w:type="dxa"/>
          </w:tcPr>
          <w:p w14:paraId="6234BA28" w14:textId="08FF3E38" w:rsidR="001C49B0" w:rsidRPr="002B55E9" w:rsidRDefault="001C49B0" w:rsidP="001C49B0">
            <w:pPr>
              <w:pStyle w:val="lgy-"/>
              <w:rPr>
                <w:rFonts w:eastAsia="宋体"/>
              </w:rPr>
            </w:pPr>
            <w:r w:rsidRPr="002B55E9">
              <w:rPr>
                <w:rFonts w:eastAsia="宋体"/>
              </w:rPr>
              <w:t>2.21E-05</w:t>
            </w:r>
          </w:p>
        </w:tc>
        <w:tc>
          <w:tcPr>
            <w:tcW w:w="2328" w:type="dxa"/>
          </w:tcPr>
          <w:p w14:paraId="1BD66A5F" w14:textId="19642308" w:rsidR="001C49B0" w:rsidRPr="002B55E9" w:rsidRDefault="001C49B0" w:rsidP="001C49B0">
            <w:pPr>
              <w:pStyle w:val="lgy-"/>
              <w:rPr>
                <w:rFonts w:eastAsia="宋体"/>
              </w:rPr>
            </w:pPr>
            <w:r w:rsidRPr="002B55E9">
              <w:rPr>
                <w:rFonts w:eastAsia="宋体"/>
              </w:rPr>
              <w:t xml:space="preserve">0.01 </w:t>
            </w:r>
          </w:p>
        </w:tc>
      </w:tr>
    </w:tbl>
    <w:p w14:paraId="35973477" w14:textId="1C42FCBD" w:rsidR="00D170E5" w:rsidRPr="002B55E9" w:rsidRDefault="00EF27AD">
      <w:pPr>
        <w:pStyle w:val="aa"/>
        <w:adjustRightInd w:val="0"/>
        <w:snapToGrid w:val="0"/>
        <w:rPr>
          <w:rFonts w:cs="宋体"/>
          <w:bCs/>
          <w:snapToGrid w:val="0"/>
          <w:lang w:bidi="ne-NP"/>
        </w:rPr>
      </w:pPr>
      <w:r w:rsidRPr="002B55E9">
        <w:rPr>
          <w:rFonts w:cs="宋体" w:hint="eastAsia"/>
          <w:bCs/>
          <w:snapToGrid w:val="0"/>
          <w:lang w:bidi="ne-NP"/>
        </w:rPr>
        <w:t>由上表可知，非正常排放状况下，废气排气筒</w:t>
      </w:r>
      <w:r w:rsidRPr="002B55E9">
        <w:rPr>
          <w:rFonts w:cs="宋体" w:hint="eastAsia"/>
          <w:bCs/>
          <w:snapToGrid w:val="0"/>
          <w:lang w:bidi="ne-NP"/>
        </w:rPr>
        <w:t>DA001</w:t>
      </w:r>
      <w:r w:rsidRPr="002B55E9">
        <w:rPr>
          <w:rFonts w:cs="宋体" w:hint="eastAsia"/>
          <w:bCs/>
          <w:snapToGrid w:val="0"/>
          <w:lang w:bidi="ne-NP"/>
        </w:rPr>
        <w:t>、</w:t>
      </w:r>
      <w:r w:rsidRPr="002B55E9">
        <w:rPr>
          <w:rFonts w:cs="宋体" w:hint="eastAsia"/>
          <w:bCs/>
          <w:snapToGrid w:val="0"/>
          <w:lang w:bidi="ne-NP"/>
        </w:rPr>
        <w:t>DA00</w:t>
      </w:r>
      <w:r w:rsidRPr="002B55E9">
        <w:rPr>
          <w:rFonts w:cs="宋体"/>
          <w:bCs/>
          <w:snapToGrid w:val="0"/>
          <w:lang w:bidi="ne-NP"/>
        </w:rPr>
        <w:t>3</w:t>
      </w:r>
      <w:r w:rsidRPr="002B55E9">
        <w:rPr>
          <w:rFonts w:cs="宋体" w:hint="eastAsia"/>
          <w:bCs/>
          <w:snapToGrid w:val="0"/>
          <w:lang w:bidi="ne-NP"/>
        </w:rPr>
        <w:t>中</w:t>
      </w:r>
      <w:r w:rsidRPr="002B55E9">
        <w:rPr>
          <w:rFonts w:cs="宋体"/>
          <w:bCs/>
          <w:snapToGrid w:val="0"/>
          <w:lang w:bidi="ne-NP"/>
        </w:rPr>
        <w:t>各污染物能满足</w:t>
      </w:r>
      <w:r w:rsidRPr="002B55E9">
        <w:t>《</w:t>
      </w:r>
      <w:r w:rsidRPr="002B55E9">
        <w:rPr>
          <w:rFonts w:hint="eastAsia"/>
        </w:rPr>
        <w:t>市人民政府</w:t>
      </w:r>
      <w:r w:rsidRPr="002B55E9">
        <w:t>关于印发武汉市</w:t>
      </w:r>
      <w:r w:rsidRPr="002B55E9">
        <w:rPr>
          <w:rFonts w:hint="eastAsia"/>
        </w:rPr>
        <w:t>2022</w:t>
      </w:r>
      <w:r w:rsidRPr="002B55E9">
        <w:rPr>
          <w:rFonts w:hint="eastAsia"/>
        </w:rPr>
        <w:t>年</w:t>
      </w:r>
      <w:r w:rsidRPr="002B55E9">
        <w:t>改善</w:t>
      </w:r>
      <w:r w:rsidRPr="002B55E9">
        <w:rPr>
          <w:rFonts w:hint="eastAsia"/>
        </w:rPr>
        <w:t>空气</w:t>
      </w:r>
      <w:r w:rsidRPr="002B55E9">
        <w:t>质量</w:t>
      </w:r>
      <w:r w:rsidRPr="002B55E9">
        <w:rPr>
          <w:rFonts w:hint="eastAsia"/>
        </w:rPr>
        <w:t>攻坚</w:t>
      </w:r>
      <w:r w:rsidRPr="002B55E9">
        <w:t>方案的通知》</w:t>
      </w:r>
      <w:r w:rsidRPr="002B55E9">
        <w:rPr>
          <w:rFonts w:hint="eastAsia"/>
        </w:rPr>
        <w:t>（武</w:t>
      </w:r>
      <w:r w:rsidRPr="002B55E9">
        <w:t>政规</w:t>
      </w:r>
      <w:r w:rsidRPr="002B55E9">
        <w:rPr>
          <w:rFonts w:hint="eastAsia"/>
        </w:rPr>
        <w:t>[2022]10</w:t>
      </w:r>
      <w:r w:rsidRPr="002B55E9">
        <w:rPr>
          <w:rFonts w:hint="eastAsia"/>
        </w:rPr>
        <w:t>号）以及</w:t>
      </w:r>
      <w:r w:rsidRPr="002B55E9">
        <w:rPr>
          <w:rFonts w:cs="宋体" w:hint="eastAsia"/>
          <w:bCs/>
          <w:snapToGrid w:val="0"/>
          <w:lang w:bidi="ne-NP"/>
        </w:rPr>
        <w:t>《大气污染物综合排放标准》（</w:t>
      </w:r>
      <w:r w:rsidRPr="002B55E9">
        <w:rPr>
          <w:rFonts w:cs="宋体" w:hint="eastAsia"/>
          <w:bCs/>
          <w:snapToGrid w:val="0"/>
          <w:lang w:bidi="ne-NP"/>
        </w:rPr>
        <w:t>GB16297-1996</w:t>
      </w:r>
      <w:r w:rsidRPr="002B55E9">
        <w:rPr>
          <w:rFonts w:cs="宋体" w:hint="eastAsia"/>
          <w:bCs/>
          <w:snapToGrid w:val="0"/>
          <w:lang w:bidi="ne-NP"/>
        </w:rPr>
        <w:t>）表</w:t>
      </w:r>
      <w:r w:rsidRPr="002B55E9">
        <w:rPr>
          <w:rFonts w:cs="宋体" w:hint="eastAsia"/>
          <w:bCs/>
          <w:snapToGrid w:val="0"/>
          <w:lang w:bidi="ne-NP"/>
        </w:rPr>
        <w:t>2</w:t>
      </w:r>
      <w:r w:rsidRPr="002B55E9">
        <w:rPr>
          <w:rFonts w:cs="宋体" w:hint="eastAsia"/>
          <w:bCs/>
          <w:snapToGrid w:val="0"/>
          <w:lang w:bidi="ne-NP"/>
        </w:rPr>
        <w:t>中的限值</w:t>
      </w:r>
      <w:r w:rsidRPr="002B55E9">
        <w:rPr>
          <w:rFonts w:cs="宋体"/>
          <w:bCs/>
          <w:snapToGrid w:val="0"/>
          <w:lang w:bidi="ne-NP"/>
        </w:rPr>
        <w:t>要求</w:t>
      </w:r>
      <w:r w:rsidRPr="002B55E9">
        <w:rPr>
          <w:rFonts w:cs="宋体" w:hint="eastAsia"/>
          <w:bCs/>
          <w:snapToGrid w:val="0"/>
          <w:lang w:bidi="ne-NP"/>
        </w:rPr>
        <w:t>，</w:t>
      </w:r>
      <w:r w:rsidRPr="002B55E9">
        <w:rPr>
          <w:rFonts w:cs="宋体" w:hint="eastAsia"/>
          <w:bCs/>
          <w:snapToGrid w:val="0"/>
          <w:lang w:bidi="ne-NP"/>
        </w:rPr>
        <w:t>DA002</w:t>
      </w:r>
      <w:r w:rsidRPr="002B55E9">
        <w:rPr>
          <w:rFonts w:cs="宋体" w:hint="eastAsia"/>
          <w:bCs/>
          <w:snapToGrid w:val="0"/>
          <w:lang w:bidi="ne-NP"/>
        </w:rPr>
        <w:t>中</w:t>
      </w:r>
      <w:r w:rsidR="00924AFA" w:rsidRPr="002B55E9">
        <w:rPr>
          <w:rFonts w:cs="宋体" w:hint="eastAsia"/>
          <w:bCs/>
          <w:snapToGrid w:val="0"/>
          <w:lang w:bidi="ne-NP"/>
        </w:rPr>
        <w:t>非甲烷总烃</w:t>
      </w:r>
      <w:r w:rsidRPr="002B55E9">
        <w:rPr>
          <w:rFonts w:cs="宋体"/>
          <w:bCs/>
          <w:snapToGrid w:val="0"/>
          <w:lang w:bidi="ne-NP"/>
        </w:rPr>
        <w:t>不能满足</w:t>
      </w:r>
      <w:r w:rsidRPr="002B55E9">
        <w:t>《</w:t>
      </w:r>
      <w:r w:rsidRPr="002B55E9">
        <w:rPr>
          <w:rFonts w:hint="eastAsia"/>
        </w:rPr>
        <w:t>市人民政府</w:t>
      </w:r>
      <w:r w:rsidRPr="002B55E9">
        <w:t>关于印发武汉市</w:t>
      </w:r>
      <w:r w:rsidRPr="002B55E9">
        <w:rPr>
          <w:rFonts w:hint="eastAsia"/>
        </w:rPr>
        <w:t>2022</w:t>
      </w:r>
      <w:r w:rsidRPr="002B55E9">
        <w:rPr>
          <w:rFonts w:hint="eastAsia"/>
        </w:rPr>
        <w:t>年</w:t>
      </w:r>
      <w:r w:rsidRPr="002B55E9">
        <w:t>改善</w:t>
      </w:r>
      <w:r w:rsidRPr="002B55E9">
        <w:rPr>
          <w:rFonts w:hint="eastAsia"/>
        </w:rPr>
        <w:t>空气</w:t>
      </w:r>
      <w:r w:rsidRPr="002B55E9">
        <w:t>质量</w:t>
      </w:r>
      <w:r w:rsidRPr="002B55E9">
        <w:rPr>
          <w:rFonts w:hint="eastAsia"/>
        </w:rPr>
        <w:t>攻坚</w:t>
      </w:r>
      <w:r w:rsidRPr="002B55E9">
        <w:t>方案的通知》</w:t>
      </w:r>
      <w:r w:rsidRPr="002B55E9">
        <w:rPr>
          <w:rFonts w:hint="eastAsia"/>
        </w:rPr>
        <w:t>（武</w:t>
      </w:r>
      <w:r w:rsidRPr="002B55E9">
        <w:t>政规</w:t>
      </w:r>
      <w:r w:rsidRPr="002B55E9">
        <w:rPr>
          <w:rFonts w:hint="eastAsia"/>
        </w:rPr>
        <w:t>[2022]10</w:t>
      </w:r>
      <w:r w:rsidRPr="002B55E9">
        <w:rPr>
          <w:rFonts w:hint="eastAsia"/>
        </w:rPr>
        <w:t>号）中</w:t>
      </w:r>
      <w:r w:rsidRPr="002B55E9">
        <w:t>的限值要求</w:t>
      </w:r>
      <w:r w:rsidRPr="002B55E9">
        <w:rPr>
          <w:rFonts w:cs="宋体" w:hint="eastAsia"/>
          <w:bCs/>
          <w:snapToGrid w:val="0"/>
          <w:lang w:bidi="ne-NP"/>
        </w:rPr>
        <w:t>。</w:t>
      </w:r>
    </w:p>
    <w:p w14:paraId="04C48776" w14:textId="77777777" w:rsidR="00D170E5" w:rsidRPr="002B55E9" w:rsidRDefault="00EF27AD">
      <w:pPr>
        <w:tabs>
          <w:tab w:val="left" w:pos="207"/>
        </w:tabs>
        <w:snapToGrid w:val="0"/>
        <w:spacing w:line="360" w:lineRule="auto"/>
        <w:ind w:firstLineChars="200" w:firstLine="480"/>
        <w:rPr>
          <w:rFonts w:cs="宋体"/>
          <w:bCs/>
          <w:snapToGrid w:val="0"/>
          <w:lang w:bidi="ne-NP"/>
        </w:rPr>
      </w:pPr>
      <w:r w:rsidRPr="002B55E9">
        <w:rPr>
          <w:rFonts w:hint="eastAsia"/>
          <w:bCs/>
          <w:kern w:val="2"/>
          <w:sz w:val="24"/>
          <w:szCs w:val="24"/>
        </w:rPr>
        <w:t>项目运行应尽可能避免污染防治措施失效的情况，如</w:t>
      </w:r>
      <w:r w:rsidRPr="002B55E9">
        <w:rPr>
          <w:bCs/>
          <w:kern w:val="2"/>
          <w:sz w:val="24"/>
          <w:szCs w:val="24"/>
        </w:rPr>
        <w:t>废气处理设施</w:t>
      </w:r>
      <w:r w:rsidRPr="002B55E9">
        <w:rPr>
          <w:rFonts w:hint="eastAsia"/>
          <w:bCs/>
          <w:kern w:val="2"/>
          <w:sz w:val="24"/>
          <w:szCs w:val="24"/>
        </w:rPr>
        <w:t>发生故障应尽快修复，必要时停工检修。</w:t>
      </w:r>
    </w:p>
    <w:p w14:paraId="028D5F43" w14:textId="77777777" w:rsidR="00D170E5" w:rsidRPr="002B55E9" w:rsidRDefault="00EF27AD">
      <w:pPr>
        <w:widowControl/>
        <w:spacing w:before="60" w:after="60" w:line="360" w:lineRule="auto"/>
        <w:ind w:firstLineChars="200" w:firstLine="482"/>
        <w:rPr>
          <w:b/>
          <w:bCs/>
          <w:snapToGrid w:val="0"/>
          <w:sz w:val="24"/>
        </w:rPr>
      </w:pPr>
      <w:r w:rsidRPr="002B55E9">
        <w:rPr>
          <w:b/>
          <w:bCs/>
          <w:snapToGrid w:val="0"/>
          <w:sz w:val="24"/>
        </w:rPr>
        <w:t>非正常工况控制措施：</w:t>
      </w:r>
    </w:p>
    <w:p w14:paraId="048C32F5" w14:textId="2E7FB1BF" w:rsidR="00D170E5" w:rsidRPr="002B55E9" w:rsidRDefault="00EF27AD" w:rsidP="001C49B0">
      <w:pPr>
        <w:spacing w:after="60" w:line="360" w:lineRule="auto"/>
        <w:ind w:firstLineChars="200" w:firstLine="480"/>
        <w:rPr>
          <w:bCs/>
          <w:snapToGrid w:val="0"/>
          <w:sz w:val="24"/>
        </w:rPr>
      </w:pPr>
      <w:r w:rsidRPr="002B55E9">
        <w:rPr>
          <w:rFonts w:hint="eastAsia"/>
          <w:bCs/>
          <w:snapToGrid w:val="0"/>
          <w:sz w:val="24"/>
        </w:rPr>
        <w:t>①</w:t>
      </w:r>
      <w:r w:rsidRPr="002B55E9">
        <w:rPr>
          <w:bCs/>
          <w:snapToGrid w:val="0"/>
          <w:sz w:val="24"/>
        </w:rPr>
        <w:t>建立健全的应急反应机制，员工一旦发现</w:t>
      </w:r>
      <w:r w:rsidRPr="002B55E9">
        <w:rPr>
          <w:rFonts w:hint="eastAsia"/>
          <w:bCs/>
          <w:snapToGrid w:val="0"/>
          <w:sz w:val="24"/>
        </w:rPr>
        <w:t>废气</w:t>
      </w:r>
      <w:r w:rsidR="009164D8" w:rsidRPr="002B55E9">
        <w:rPr>
          <w:rFonts w:hint="eastAsia"/>
          <w:bCs/>
          <w:snapToGrid w:val="0"/>
          <w:sz w:val="24"/>
        </w:rPr>
        <w:t>处理</w:t>
      </w:r>
      <w:r w:rsidRPr="002B55E9">
        <w:rPr>
          <w:rFonts w:hint="eastAsia"/>
          <w:bCs/>
          <w:snapToGrid w:val="0"/>
          <w:sz w:val="24"/>
        </w:rPr>
        <w:t>设施风机</w:t>
      </w:r>
      <w:r w:rsidR="009164D8" w:rsidRPr="002B55E9">
        <w:rPr>
          <w:rFonts w:hint="eastAsia"/>
          <w:bCs/>
          <w:snapToGrid w:val="0"/>
          <w:sz w:val="24"/>
        </w:rPr>
        <w:t>、水泵、喷淋塔等</w:t>
      </w:r>
      <w:r w:rsidRPr="002B55E9">
        <w:rPr>
          <w:rFonts w:hint="eastAsia"/>
          <w:bCs/>
          <w:snapToGrid w:val="0"/>
          <w:sz w:val="24"/>
        </w:rPr>
        <w:t>不能正常运行</w:t>
      </w:r>
      <w:r w:rsidRPr="002B55E9">
        <w:rPr>
          <w:bCs/>
          <w:snapToGrid w:val="0"/>
          <w:sz w:val="24"/>
        </w:rPr>
        <w:t>，应立即向相关负责人汇报情况，同时关闭</w:t>
      </w:r>
      <w:r w:rsidRPr="002B55E9">
        <w:rPr>
          <w:rFonts w:hint="eastAsia"/>
          <w:bCs/>
          <w:snapToGrid w:val="0"/>
          <w:sz w:val="24"/>
        </w:rPr>
        <w:t>对应的</w:t>
      </w:r>
      <w:r w:rsidRPr="002B55E9">
        <w:rPr>
          <w:bCs/>
          <w:snapToGrid w:val="0"/>
          <w:sz w:val="24"/>
        </w:rPr>
        <w:t>生产单元。</w:t>
      </w:r>
    </w:p>
    <w:p w14:paraId="118B9B87" w14:textId="73D2C02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②</w:t>
      </w:r>
      <w:r w:rsidRPr="002B55E9">
        <w:rPr>
          <w:bCs/>
          <w:snapToGrid w:val="0"/>
          <w:sz w:val="24"/>
        </w:rPr>
        <w:t>设备维修人员在生产线停止运行后应在第一时间对</w:t>
      </w:r>
      <w:r w:rsidR="009164D8" w:rsidRPr="002B55E9">
        <w:rPr>
          <w:rFonts w:hint="eastAsia"/>
          <w:bCs/>
          <w:snapToGrid w:val="0"/>
          <w:sz w:val="24"/>
        </w:rPr>
        <w:t>故障设备</w:t>
      </w:r>
      <w:r w:rsidRPr="002B55E9">
        <w:rPr>
          <w:bCs/>
          <w:snapToGrid w:val="0"/>
          <w:sz w:val="24"/>
        </w:rPr>
        <w:t>进行检测，查明问题所在，并</w:t>
      </w:r>
      <w:r w:rsidR="009164D8" w:rsidRPr="002B55E9">
        <w:rPr>
          <w:rFonts w:hint="eastAsia"/>
          <w:bCs/>
          <w:snapToGrid w:val="0"/>
          <w:sz w:val="24"/>
        </w:rPr>
        <w:t>及时</w:t>
      </w:r>
      <w:r w:rsidRPr="002B55E9">
        <w:rPr>
          <w:bCs/>
          <w:snapToGrid w:val="0"/>
          <w:sz w:val="24"/>
        </w:rPr>
        <w:t>进行维修。</w:t>
      </w:r>
    </w:p>
    <w:p w14:paraId="33DA4F32" w14:textId="5B77B9AB"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③</w:t>
      </w:r>
      <w:r w:rsidRPr="002B55E9">
        <w:rPr>
          <w:bCs/>
          <w:snapToGrid w:val="0"/>
          <w:sz w:val="24"/>
        </w:rPr>
        <w:t>实行试运行生产方案，在每次检修完成后，都需要先进行一定时间的试运行，确保</w:t>
      </w:r>
      <w:r w:rsidRPr="002B55E9">
        <w:rPr>
          <w:rFonts w:hint="eastAsia"/>
          <w:bCs/>
          <w:snapToGrid w:val="0"/>
          <w:sz w:val="24"/>
        </w:rPr>
        <w:t>废气</w:t>
      </w:r>
      <w:r w:rsidR="009164D8" w:rsidRPr="002B55E9">
        <w:rPr>
          <w:rFonts w:hint="eastAsia"/>
          <w:bCs/>
          <w:snapToGrid w:val="0"/>
          <w:sz w:val="24"/>
        </w:rPr>
        <w:t>处理</w:t>
      </w:r>
      <w:r w:rsidRPr="002B55E9">
        <w:rPr>
          <w:rFonts w:hint="eastAsia"/>
          <w:bCs/>
          <w:snapToGrid w:val="0"/>
          <w:sz w:val="24"/>
        </w:rPr>
        <w:t>设施</w:t>
      </w:r>
      <w:r w:rsidRPr="002B55E9">
        <w:rPr>
          <w:bCs/>
          <w:snapToGrid w:val="0"/>
          <w:sz w:val="24"/>
        </w:rPr>
        <w:t>能正常</w:t>
      </w:r>
      <w:r w:rsidR="009164D8" w:rsidRPr="002B55E9">
        <w:rPr>
          <w:rFonts w:hint="eastAsia"/>
          <w:bCs/>
          <w:snapToGrid w:val="0"/>
          <w:sz w:val="24"/>
        </w:rPr>
        <w:t>稳定</w:t>
      </w:r>
      <w:r w:rsidRPr="002B55E9">
        <w:rPr>
          <w:bCs/>
          <w:snapToGrid w:val="0"/>
          <w:sz w:val="24"/>
        </w:rPr>
        <w:t>运行后，再进行正式的生产活动。</w:t>
      </w:r>
    </w:p>
    <w:p w14:paraId="591CEE7E" w14:textId="77777777" w:rsidR="00D170E5" w:rsidRPr="002B55E9" w:rsidRDefault="00EF27AD">
      <w:pPr>
        <w:widowControl/>
        <w:spacing w:after="60" w:line="360" w:lineRule="auto"/>
        <w:ind w:firstLineChars="200" w:firstLine="480"/>
        <w:rPr>
          <w:szCs w:val="24"/>
        </w:rPr>
      </w:pPr>
      <w:r w:rsidRPr="002B55E9">
        <w:rPr>
          <w:rFonts w:hint="eastAsia"/>
          <w:bCs/>
          <w:snapToGrid w:val="0"/>
          <w:sz w:val="24"/>
        </w:rPr>
        <w:t>④</w:t>
      </w:r>
      <w:r w:rsidRPr="002B55E9">
        <w:rPr>
          <w:bCs/>
          <w:snapToGrid w:val="0"/>
          <w:sz w:val="24"/>
        </w:rPr>
        <w:t>定期对员工进行培训，加强员工的应急反应能力与</w:t>
      </w:r>
      <w:r w:rsidRPr="002B55E9">
        <w:rPr>
          <w:rFonts w:hint="eastAsia"/>
          <w:bCs/>
          <w:snapToGrid w:val="0"/>
          <w:sz w:val="24"/>
        </w:rPr>
        <w:t>意识。</w:t>
      </w:r>
    </w:p>
    <w:p w14:paraId="45F6383E" w14:textId="77777777" w:rsidR="00D170E5" w:rsidRPr="002B55E9" w:rsidRDefault="00EF27AD">
      <w:pPr>
        <w:pStyle w:val="aa"/>
        <w:adjustRightInd w:val="0"/>
        <w:snapToGrid w:val="0"/>
        <w:rPr>
          <w:szCs w:val="24"/>
        </w:rPr>
      </w:pPr>
      <w:r w:rsidRPr="002B55E9">
        <w:rPr>
          <w:rFonts w:hint="eastAsia"/>
          <w:szCs w:val="24"/>
        </w:rPr>
        <w:t>（</w:t>
      </w:r>
      <w:r w:rsidRPr="002B55E9">
        <w:rPr>
          <w:rFonts w:hint="eastAsia"/>
          <w:szCs w:val="24"/>
        </w:rPr>
        <w:t>2</w:t>
      </w:r>
      <w:r w:rsidRPr="002B55E9">
        <w:rPr>
          <w:rFonts w:hint="eastAsia"/>
          <w:szCs w:val="24"/>
        </w:rPr>
        <w:t>）废水</w:t>
      </w:r>
    </w:p>
    <w:p w14:paraId="11D88A3A" w14:textId="77777777" w:rsidR="00D170E5" w:rsidRPr="002B55E9" w:rsidRDefault="00EF27AD">
      <w:pPr>
        <w:pStyle w:val="aa"/>
        <w:adjustRightInd w:val="0"/>
        <w:snapToGrid w:val="0"/>
        <w:rPr>
          <w:szCs w:val="24"/>
        </w:rPr>
      </w:pPr>
      <w:r w:rsidRPr="002B55E9">
        <w:rPr>
          <w:rFonts w:cs="宋体"/>
          <w:lang w:bidi="ne-NP"/>
        </w:rPr>
        <w:t>项目废水非正常排放</w:t>
      </w:r>
      <w:r w:rsidRPr="002B55E9">
        <w:rPr>
          <w:rFonts w:cs="宋体" w:hint="eastAsia"/>
          <w:lang w:bidi="ne-NP"/>
        </w:rPr>
        <w:t>状况主要体现在</w:t>
      </w:r>
      <w:r w:rsidRPr="002B55E9">
        <w:rPr>
          <w:rFonts w:cs="宋体"/>
          <w:lang w:bidi="ne-NP"/>
        </w:rPr>
        <w:t>污水处理设施运行异常</w:t>
      </w:r>
      <w:r w:rsidRPr="002B55E9">
        <w:rPr>
          <w:rFonts w:cs="宋体" w:hint="eastAsia"/>
          <w:lang w:bidi="ne-NP"/>
        </w:rPr>
        <w:t>的</w:t>
      </w:r>
      <w:r w:rsidRPr="002B55E9">
        <w:rPr>
          <w:rFonts w:cs="宋体"/>
          <w:lang w:bidi="ne-NP"/>
        </w:rPr>
        <w:t>情况</w:t>
      </w:r>
      <w:r w:rsidRPr="002B55E9">
        <w:rPr>
          <w:rFonts w:cs="宋体" w:hint="eastAsia"/>
          <w:lang w:bidi="ne-NP"/>
        </w:rPr>
        <w:t>，</w:t>
      </w:r>
      <w:r w:rsidRPr="002B55E9">
        <w:rPr>
          <w:rFonts w:cs="宋体"/>
          <w:lang w:bidi="ne-NP"/>
        </w:rPr>
        <w:t>主要源于设备故障、断电、各处理单元工况异常等原因导致污水处理站设施处理效率下降，致使出水不能达标排放。考虑最不利情况，污水处理系统全部不能正常运行情况下，废水非正常排放总排口污染物浓度具体见</w:t>
      </w:r>
      <w:r w:rsidRPr="002B55E9">
        <w:rPr>
          <w:rFonts w:cs="宋体" w:hint="eastAsia"/>
          <w:lang w:bidi="ne-NP"/>
        </w:rPr>
        <w:t>下</w:t>
      </w:r>
      <w:r w:rsidRPr="002B55E9">
        <w:rPr>
          <w:rFonts w:cs="宋体"/>
          <w:lang w:bidi="ne-NP"/>
        </w:rPr>
        <w:t>表</w:t>
      </w:r>
      <w:r w:rsidRPr="002B55E9">
        <w:rPr>
          <w:rFonts w:cs="宋体" w:hint="eastAsia"/>
          <w:lang w:bidi="ne-NP"/>
        </w:rPr>
        <w:t>。</w:t>
      </w:r>
    </w:p>
    <w:p w14:paraId="3B3B9588" w14:textId="77777777" w:rsidR="00D170E5" w:rsidRPr="002B55E9" w:rsidRDefault="00EF27AD">
      <w:pPr>
        <w:pStyle w:val="1f3"/>
        <w:spacing w:beforeLines="0" w:before="0"/>
        <w:ind w:firstLine="482"/>
      </w:pPr>
      <w:r w:rsidRPr="002B55E9">
        <w:rPr>
          <w:rFonts w:hint="eastAsia"/>
        </w:rPr>
        <w:t>表</w:t>
      </w:r>
      <w:r w:rsidRPr="002B55E9">
        <w:rPr>
          <w:rFonts w:hint="eastAsia"/>
        </w:rPr>
        <w:t>3</w:t>
      </w:r>
      <w:r w:rsidRPr="002B55E9">
        <w:t xml:space="preserve">-3-35  </w:t>
      </w:r>
      <w:r w:rsidRPr="002B55E9">
        <w:rPr>
          <w:rFonts w:hint="eastAsia"/>
        </w:rPr>
        <w:t>拟建项目废水</w:t>
      </w:r>
      <w:r w:rsidRPr="002B55E9">
        <w:t>污染物非正常排放</w:t>
      </w:r>
      <w:r w:rsidRPr="002B55E9">
        <w:rPr>
          <w:rFonts w:hint="eastAsia"/>
        </w:rPr>
        <w:t>状况一览表</w:t>
      </w:r>
    </w:p>
    <w:tbl>
      <w:tblPr>
        <w:tblStyle w:val="lgy2"/>
        <w:tblW w:w="5000" w:type="pct"/>
        <w:tblCellMar>
          <w:left w:w="28" w:type="dxa"/>
          <w:right w:w="28" w:type="dxa"/>
        </w:tblCellMar>
        <w:tblLook w:val="04A0" w:firstRow="1" w:lastRow="0" w:firstColumn="1" w:lastColumn="0" w:noHBand="0" w:noVBand="1"/>
      </w:tblPr>
      <w:tblGrid>
        <w:gridCol w:w="2128"/>
        <w:gridCol w:w="940"/>
        <w:gridCol w:w="946"/>
        <w:gridCol w:w="946"/>
        <w:gridCol w:w="946"/>
        <w:gridCol w:w="946"/>
        <w:gridCol w:w="946"/>
        <w:gridCol w:w="946"/>
        <w:gridCol w:w="950"/>
      </w:tblGrid>
      <w:tr w:rsidR="003E2FA0" w:rsidRPr="002B55E9" w14:paraId="0876E4F7" w14:textId="257640A4" w:rsidTr="003E2FA0">
        <w:trPr>
          <w:cnfStyle w:val="100000000000" w:firstRow="1" w:lastRow="0" w:firstColumn="0" w:lastColumn="0" w:oddVBand="0" w:evenVBand="0" w:oddHBand="0" w:evenHBand="0" w:firstRowFirstColumn="0" w:firstRowLastColumn="0" w:lastRowFirstColumn="0" w:lastRowLastColumn="0"/>
          <w:trHeight w:val="283"/>
        </w:trPr>
        <w:tc>
          <w:tcPr>
            <w:tcW w:w="1097" w:type="pct"/>
            <w:vMerge w:val="restart"/>
          </w:tcPr>
          <w:p w14:paraId="77E460AA" w14:textId="77777777" w:rsidR="003E2FA0" w:rsidRPr="002B55E9" w:rsidRDefault="003E2FA0" w:rsidP="00B40496">
            <w:pPr>
              <w:pStyle w:val="lgy-"/>
              <w:rPr>
                <w:rFonts w:eastAsia="宋体"/>
              </w:rPr>
            </w:pPr>
            <w:r w:rsidRPr="002B55E9">
              <w:rPr>
                <w:rFonts w:eastAsia="宋体"/>
              </w:rPr>
              <w:t>废水指标</w:t>
            </w:r>
          </w:p>
        </w:tc>
        <w:tc>
          <w:tcPr>
            <w:tcW w:w="3903" w:type="pct"/>
            <w:gridSpan w:val="8"/>
          </w:tcPr>
          <w:p w14:paraId="0F5D46EE" w14:textId="77777777" w:rsidR="003E2FA0" w:rsidRPr="002B55E9" w:rsidRDefault="003E2FA0" w:rsidP="00B40496">
            <w:pPr>
              <w:pStyle w:val="lgy-"/>
              <w:rPr>
                <w:rFonts w:eastAsia="宋体"/>
              </w:rPr>
            </w:pPr>
            <w:r w:rsidRPr="002B55E9">
              <w:rPr>
                <w:rFonts w:eastAsia="宋体"/>
              </w:rPr>
              <w:t>污染因子浓度</w:t>
            </w:r>
            <w:r w:rsidRPr="002B55E9">
              <w:rPr>
                <w:rFonts w:eastAsia="宋体"/>
              </w:rPr>
              <w:t>mg/L</w:t>
            </w:r>
          </w:p>
        </w:tc>
      </w:tr>
      <w:tr w:rsidR="003E2FA0" w:rsidRPr="002B55E9" w14:paraId="7D198F6F" w14:textId="77777777" w:rsidTr="003E2FA0">
        <w:trPr>
          <w:trHeight w:val="283"/>
        </w:trPr>
        <w:tc>
          <w:tcPr>
            <w:tcW w:w="1097" w:type="pct"/>
            <w:vMerge/>
          </w:tcPr>
          <w:p w14:paraId="543A9CAA" w14:textId="77777777" w:rsidR="003E2FA0" w:rsidRPr="002B55E9" w:rsidRDefault="003E2FA0" w:rsidP="00B40496">
            <w:pPr>
              <w:pStyle w:val="lgy-"/>
              <w:rPr>
                <w:rFonts w:eastAsia="宋体"/>
              </w:rPr>
            </w:pPr>
          </w:p>
        </w:tc>
        <w:tc>
          <w:tcPr>
            <w:tcW w:w="485" w:type="pct"/>
          </w:tcPr>
          <w:p w14:paraId="679903CA" w14:textId="77777777" w:rsidR="003E2FA0" w:rsidRPr="002B55E9" w:rsidRDefault="003E2FA0" w:rsidP="00B40496">
            <w:pPr>
              <w:pStyle w:val="lgy-"/>
              <w:rPr>
                <w:rFonts w:eastAsia="宋体"/>
              </w:rPr>
            </w:pPr>
            <w:r w:rsidRPr="002B55E9">
              <w:rPr>
                <w:rFonts w:eastAsia="宋体"/>
              </w:rPr>
              <w:t>pH</w:t>
            </w:r>
          </w:p>
        </w:tc>
        <w:tc>
          <w:tcPr>
            <w:tcW w:w="488" w:type="pct"/>
          </w:tcPr>
          <w:p w14:paraId="74335B02" w14:textId="77777777" w:rsidR="003E2FA0" w:rsidRPr="002B55E9" w:rsidRDefault="003E2FA0" w:rsidP="00B40496">
            <w:pPr>
              <w:pStyle w:val="lgy-"/>
              <w:rPr>
                <w:rFonts w:eastAsia="宋体"/>
              </w:rPr>
            </w:pPr>
            <w:r w:rsidRPr="002B55E9">
              <w:rPr>
                <w:rFonts w:eastAsia="宋体"/>
              </w:rPr>
              <w:t>COD</w:t>
            </w:r>
          </w:p>
        </w:tc>
        <w:tc>
          <w:tcPr>
            <w:tcW w:w="488" w:type="pct"/>
          </w:tcPr>
          <w:p w14:paraId="71375AE1" w14:textId="77777777" w:rsidR="003E2FA0" w:rsidRPr="002B55E9" w:rsidRDefault="003E2FA0" w:rsidP="00B40496">
            <w:pPr>
              <w:pStyle w:val="lgy-"/>
              <w:rPr>
                <w:rFonts w:eastAsia="宋体"/>
              </w:rPr>
            </w:pPr>
            <w:r w:rsidRPr="002B55E9">
              <w:rPr>
                <w:rFonts w:eastAsia="宋体"/>
              </w:rPr>
              <w:t>BOD</w:t>
            </w:r>
            <w:r w:rsidRPr="002B55E9">
              <w:rPr>
                <w:rFonts w:eastAsia="宋体"/>
                <w:vertAlign w:val="subscript"/>
              </w:rPr>
              <w:t>5</w:t>
            </w:r>
          </w:p>
        </w:tc>
        <w:tc>
          <w:tcPr>
            <w:tcW w:w="488" w:type="pct"/>
          </w:tcPr>
          <w:p w14:paraId="73A64D04" w14:textId="77777777" w:rsidR="003E2FA0" w:rsidRPr="002B55E9" w:rsidRDefault="003E2FA0" w:rsidP="00B40496">
            <w:pPr>
              <w:pStyle w:val="lgy-"/>
              <w:rPr>
                <w:rFonts w:eastAsia="宋体"/>
              </w:rPr>
            </w:pPr>
            <w:r w:rsidRPr="002B55E9">
              <w:rPr>
                <w:rFonts w:eastAsia="宋体"/>
              </w:rPr>
              <w:t>SS</w:t>
            </w:r>
          </w:p>
        </w:tc>
        <w:tc>
          <w:tcPr>
            <w:tcW w:w="488" w:type="pct"/>
          </w:tcPr>
          <w:p w14:paraId="4DE58638" w14:textId="77777777" w:rsidR="003E2FA0" w:rsidRPr="002B55E9" w:rsidRDefault="003E2FA0" w:rsidP="00B40496">
            <w:pPr>
              <w:pStyle w:val="lgy-"/>
              <w:rPr>
                <w:rFonts w:eastAsia="宋体"/>
              </w:rPr>
            </w:pPr>
            <w:r w:rsidRPr="002B55E9">
              <w:rPr>
                <w:rFonts w:eastAsia="宋体"/>
              </w:rPr>
              <w:t>氨氮</w:t>
            </w:r>
          </w:p>
        </w:tc>
        <w:tc>
          <w:tcPr>
            <w:tcW w:w="488" w:type="pct"/>
          </w:tcPr>
          <w:p w14:paraId="795ADE3E" w14:textId="77777777" w:rsidR="003E2FA0" w:rsidRPr="002B55E9" w:rsidRDefault="003E2FA0" w:rsidP="00B40496">
            <w:pPr>
              <w:pStyle w:val="lgy-"/>
              <w:rPr>
                <w:rFonts w:eastAsia="宋体"/>
              </w:rPr>
            </w:pPr>
            <w:r w:rsidRPr="002B55E9">
              <w:rPr>
                <w:rFonts w:eastAsia="宋体"/>
              </w:rPr>
              <w:t>总氮</w:t>
            </w:r>
          </w:p>
        </w:tc>
        <w:tc>
          <w:tcPr>
            <w:tcW w:w="488" w:type="pct"/>
          </w:tcPr>
          <w:p w14:paraId="2E0CF0CD" w14:textId="77777777" w:rsidR="003E2FA0" w:rsidRPr="002B55E9" w:rsidRDefault="003E2FA0" w:rsidP="00B40496">
            <w:pPr>
              <w:pStyle w:val="lgy-"/>
              <w:rPr>
                <w:rFonts w:eastAsia="宋体"/>
              </w:rPr>
            </w:pPr>
            <w:r w:rsidRPr="002B55E9">
              <w:rPr>
                <w:rFonts w:eastAsia="宋体"/>
              </w:rPr>
              <w:t>总磷</w:t>
            </w:r>
          </w:p>
        </w:tc>
        <w:tc>
          <w:tcPr>
            <w:tcW w:w="491" w:type="pct"/>
          </w:tcPr>
          <w:p w14:paraId="417EC11D" w14:textId="77777777" w:rsidR="003E2FA0" w:rsidRPr="002B55E9" w:rsidRDefault="003E2FA0" w:rsidP="00B40496">
            <w:pPr>
              <w:pStyle w:val="lgy-"/>
              <w:rPr>
                <w:rFonts w:eastAsia="宋体"/>
              </w:rPr>
            </w:pPr>
            <w:r w:rsidRPr="002B55E9">
              <w:rPr>
                <w:rFonts w:eastAsia="宋体"/>
              </w:rPr>
              <w:t>动植物油</w:t>
            </w:r>
          </w:p>
        </w:tc>
      </w:tr>
      <w:tr w:rsidR="003E2FA0" w:rsidRPr="002B55E9" w14:paraId="6FFC4837" w14:textId="77777777" w:rsidTr="003E2FA0">
        <w:trPr>
          <w:trHeight w:val="283"/>
        </w:trPr>
        <w:tc>
          <w:tcPr>
            <w:tcW w:w="1097" w:type="pct"/>
          </w:tcPr>
          <w:p w14:paraId="58A083EB" w14:textId="77777777" w:rsidR="003E2FA0" w:rsidRPr="002B55E9" w:rsidRDefault="003E2FA0" w:rsidP="00B40496">
            <w:pPr>
              <w:pStyle w:val="lgy-"/>
              <w:rPr>
                <w:rFonts w:eastAsia="宋体"/>
              </w:rPr>
            </w:pPr>
            <w:r w:rsidRPr="002B55E9">
              <w:rPr>
                <w:rFonts w:eastAsia="宋体"/>
              </w:rPr>
              <w:lastRenderedPageBreak/>
              <w:t>综合废水</w:t>
            </w:r>
          </w:p>
        </w:tc>
        <w:tc>
          <w:tcPr>
            <w:tcW w:w="485" w:type="pct"/>
          </w:tcPr>
          <w:p w14:paraId="20F1AC1C" w14:textId="77777777" w:rsidR="003E2FA0" w:rsidRPr="002B55E9" w:rsidRDefault="003E2FA0" w:rsidP="00B40496">
            <w:pPr>
              <w:pStyle w:val="lgy-"/>
              <w:rPr>
                <w:rFonts w:eastAsia="宋体"/>
              </w:rPr>
            </w:pPr>
            <w:r w:rsidRPr="002B55E9">
              <w:rPr>
                <w:rFonts w:eastAsia="宋体"/>
              </w:rPr>
              <w:t>6~9</w:t>
            </w:r>
          </w:p>
        </w:tc>
        <w:tc>
          <w:tcPr>
            <w:tcW w:w="488" w:type="pct"/>
          </w:tcPr>
          <w:p w14:paraId="72646A90" w14:textId="79CC808F" w:rsidR="003E2FA0" w:rsidRPr="002B55E9" w:rsidRDefault="003E2FA0" w:rsidP="00B40496">
            <w:pPr>
              <w:pStyle w:val="lgy-"/>
              <w:rPr>
                <w:rFonts w:eastAsia="宋体"/>
              </w:rPr>
            </w:pPr>
            <w:r w:rsidRPr="002B55E9">
              <w:rPr>
                <w:rFonts w:eastAsia="宋体" w:hint="eastAsia"/>
                <w:szCs w:val="22"/>
              </w:rPr>
              <w:t xml:space="preserve">2654.15 </w:t>
            </w:r>
          </w:p>
        </w:tc>
        <w:tc>
          <w:tcPr>
            <w:tcW w:w="488" w:type="pct"/>
          </w:tcPr>
          <w:p w14:paraId="1158FF97" w14:textId="2BB7856C" w:rsidR="003E2FA0" w:rsidRPr="002B55E9" w:rsidRDefault="003E2FA0" w:rsidP="00B40496">
            <w:pPr>
              <w:pStyle w:val="lgy-"/>
              <w:rPr>
                <w:rFonts w:eastAsia="宋体"/>
              </w:rPr>
            </w:pPr>
            <w:r w:rsidRPr="002B55E9">
              <w:rPr>
                <w:rFonts w:eastAsia="宋体" w:hint="eastAsia"/>
                <w:szCs w:val="22"/>
              </w:rPr>
              <w:t xml:space="preserve">1145.22 </w:t>
            </w:r>
          </w:p>
        </w:tc>
        <w:tc>
          <w:tcPr>
            <w:tcW w:w="488" w:type="pct"/>
          </w:tcPr>
          <w:p w14:paraId="1E51FF47" w14:textId="4B54E973" w:rsidR="003E2FA0" w:rsidRPr="002B55E9" w:rsidRDefault="003E2FA0" w:rsidP="00B40496">
            <w:pPr>
              <w:pStyle w:val="lgy-"/>
              <w:rPr>
                <w:rFonts w:eastAsia="宋体"/>
              </w:rPr>
            </w:pPr>
            <w:r w:rsidRPr="002B55E9">
              <w:rPr>
                <w:rFonts w:eastAsia="宋体" w:hint="eastAsia"/>
                <w:szCs w:val="22"/>
              </w:rPr>
              <w:t xml:space="preserve">1081.50 </w:t>
            </w:r>
          </w:p>
        </w:tc>
        <w:tc>
          <w:tcPr>
            <w:tcW w:w="488" w:type="pct"/>
          </w:tcPr>
          <w:p w14:paraId="4ABAFBD8" w14:textId="1A641F9D" w:rsidR="003E2FA0" w:rsidRPr="002B55E9" w:rsidRDefault="003E2FA0" w:rsidP="00B40496">
            <w:pPr>
              <w:pStyle w:val="lgy-"/>
              <w:rPr>
                <w:rFonts w:eastAsia="宋体"/>
              </w:rPr>
            </w:pPr>
            <w:r w:rsidRPr="002B55E9">
              <w:rPr>
                <w:rFonts w:eastAsia="宋体" w:hint="eastAsia"/>
                <w:szCs w:val="22"/>
              </w:rPr>
              <w:t xml:space="preserve">44.06 </w:t>
            </w:r>
          </w:p>
        </w:tc>
        <w:tc>
          <w:tcPr>
            <w:tcW w:w="488" w:type="pct"/>
          </w:tcPr>
          <w:p w14:paraId="025C5807" w14:textId="1F309C10" w:rsidR="003E2FA0" w:rsidRPr="002B55E9" w:rsidRDefault="003E2FA0" w:rsidP="00B40496">
            <w:pPr>
              <w:pStyle w:val="lgy-"/>
              <w:rPr>
                <w:rFonts w:eastAsia="宋体"/>
              </w:rPr>
            </w:pPr>
            <w:r w:rsidRPr="002B55E9">
              <w:rPr>
                <w:rFonts w:eastAsia="宋体" w:hint="eastAsia"/>
                <w:szCs w:val="22"/>
              </w:rPr>
              <w:t xml:space="preserve">128.21 </w:t>
            </w:r>
          </w:p>
        </w:tc>
        <w:tc>
          <w:tcPr>
            <w:tcW w:w="488" w:type="pct"/>
          </w:tcPr>
          <w:p w14:paraId="2BA9ADC1" w14:textId="730209A5" w:rsidR="003E2FA0" w:rsidRPr="002B55E9" w:rsidRDefault="003E2FA0" w:rsidP="00B40496">
            <w:pPr>
              <w:pStyle w:val="lgy-"/>
              <w:rPr>
                <w:rFonts w:eastAsia="宋体"/>
              </w:rPr>
            </w:pPr>
            <w:r w:rsidRPr="002B55E9">
              <w:rPr>
                <w:rFonts w:eastAsia="宋体" w:hint="eastAsia"/>
                <w:szCs w:val="22"/>
              </w:rPr>
              <w:t xml:space="preserve">25.13 </w:t>
            </w:r>
          </w:p>
        </w:tc>
        <w:tc>
          <w:tcPr>
            <w:tcW w:w="491" w:type="pct"/>
          </w:tcPr>
          <w:p w14:paraId="277B9B36" w14:textId="14566EFD" w:rsidR="003E2FA0" w:rsidRPr="002B55E9" w:rsidRDefault="003E2FA0" w:rsidP="00B40496">
            <w:pPr>
              <w:pStyle w:val="lgy-"/>
              <w:rPr>
                <w:rFonts w:eastAsia="宋体"/>
              </w:rPr>
            </w:pPr>
            <w:r w:rsidRPr="002B55E9">
              <w:rPr>
                <w:rFonts w:eastAsia="宋体" w:hint="eastAsia"/>
                <w:szCs w:val="22"/>
              </w:rPr>
              <w:t xml:space="preserve">3.32 </w:t>
            </w:r>
          </w:p>
        </w:tc>
      </w:tr>
    </w:tbl>
    <w:p w14:paraId="3C6B48A9" w14:textId="77777777" w:rsidR="00D170E5" w:rsidRPr="002B55E9" w:rsidRDefault="00EF27AD">
      <w:pPr>
        <w:pStyle w:val="aa"/>
        <w:adjustRightInd w:val="0"/>
        <w:snapToGrid w:val="0"/>
        <w:rPr>
          <w:bCs/>
          <w:snapToGrid w:val="0"/>
        </w:rPr>
      </w:pPr>
      <w:r w:rsidRPr="002B55E9">
        <w:rPr>
          <w:rFonts w:hint="eastAsia"/>
          <w:bCs/>
          <w:snapToGrid w:val="0"/>
        </w:rPr>
        <w:t>由上表可知，</w:t>
      </w:r>
      <w:r w:rsidRPr="002B55E9">
        <w:rPr>
          <w:rFonts w:cs="宋体"/>
          <w:bCs/>
          <w:snapToGrid w:val="0"/>
          <w:lang w:bidi="ne-NP"/>
        </w:rPr>
        <w:t>废水非正常排放</w:t>
      </w:r>
      <w:r w:rsidRPr="002B55E9">
        <w:rPr>
          <w:rFonts w:cs="宋体" w:hint="eastAsia"/>
          <w:bCs/>
          <w:snapToGrid w:val="0"/>
          <w:lang w:bidi="ne-NP"/>
        </w:rPr>
        <w:t>状况下，</w:t>
      </w:r>
      <w:r w:rsidRPr="002B55E9">
        <w:rPr>
          <w:rFonts w:hint="eastAsia"/>
          <w:bCs/>
          <w:snapToGrid w:val="0"/>
        </w:rPr>
        <w:t>C</w:t>
      </w:r>
      <w:r w:rsidRPr="002B55E9">
        <w:rPr>
          <w:bCs/>
          <w:snapToGrid w:val="0"/>
        </w:rPr>
        <w:t>OD</w:t>
      </w:r>
      <w:r w:rsidRPr="002B55E9">
        <w:rPr>
          <w:rFonts w:hint="eastAsia"/>
          <w:bCs/>
          <w:snapToGrid w:val="0"/>
        </w:rPr>
        <w:t>、</w:t>
      </w:r>
      <w:r w:rsidRPr="002B55E9">
        <w:rPr>
          <w:bCs/>
          <w:snapToGrid w:val="0"/>
        </w:rPr>
        <w:t>BOD</w:t>
      </w:r>
      <w:r w:rsidRPr="002B55E9">
        <w:rPr>
          <w:bCs/>
          <w:snapToGrid w:val="0"/>
          <w:vertAlign w:val="subscript"/>
        </w:rPr>
        <w:t>5</w:t>
      </w:r>
      <w:r w:rsidRPr="002B55E9">
        <w:rPr>
          <w:rFonts w:hint="eastAsia"/>
          <w:bCs/>
          <w:snapToGrid w:val="0"/>
        </w:rPr>
        <w:t>、</w:t>
      </w:r>
      <w:r w:rsidRPr="002B55E9">
        <w:rPr>
          <w:rFonts w:hint="eastAsia"/>
          <w:bCs/>
          <w:snapToGrid w:val="0"/>
        </w:rPr>
        <w:t>SS</w:t>
      </w:r>
      <w:r w:rsidRPr="002B55E9">
        <w:rPr>
          <w:rFonts w:hint="eastAsia"/>
          <w:bCs/>
          <w:snapToGrid w:val="0"/>
        </w:rPr>
        <w:t>、氨氮、</w:t>
      </w:r>
      <w:r w:rsidRPr="002B55E9">
        <w:rPr>
          <w:rFonts w:hint="eastAsia"/>
          <w:bCs/>
          <w:snapToGrid w:val="0"/>
        </w:rPr>
        <w:t>TN</w:t>
      </w:r>
      <w:r w:rsidRPr="002B55E9">
        <w:rPr>
          <w:rFonts w:hint="eastAsia"/>
          <w:bCs/>
          <w:snapToGrid w:val="0"/>
        </w:rPr>
        <w:t>、</w:t>
      </w:r>
      <w:r w:rsidRPr="002B55E9">
        <w:rPr>
          <w:rFonts w:hint="eastAsia"/>
          <w:bCs/>
          <w:snapToGrid w:val="0"/>
        </w:rPr>
        <w:t>TP</w:t>
      </w:r>
      <w:r w:rsidRPr="002B55E9">
        <w:rPr>
          <w:bCs/>
          <w:snapToGrid w:val="0"/>
        </w:rPr>
        <w:t>等</w:t>
      </w:r>
      <w:r w:rsidRPr="002B55E9">
        <w:rPr>
          <w:rFonts w:hint="eastAsia"/>
          <w:bCs/>
          <w:snapToGrid w:val="0"/>
        </w:rPr>
        <w:t>排放不能</w:t>
      </w:r>
      <w:r w:rsidRPr="002B55E9">
        <w:t>满足《污水综合排放标准》（</w:t>
      </w:r>
      <w:r w:rsidRPr="002B55E9">
        <w:t>GB8978-1996</w:t>
      </w:r>
      <w:r w:rsidRPr="002B55E9">
        <w:t>）中三级标准</w:t>
      </w:r>
      <w:r w:rsidRPr="002B55E9">
        <w:rPr>
          <w:rFonts w:hint="eastAsia"/>
        </w:rPr>
        <w:t>以及东西湖区污水处理厂纳管标准</w:t>
      </w:r>
      <w:r w:rsidRPr="002B55E9">
        <w:rPr>
          <w:rFonts w:hint="eastAsia"/>
          <w:bCs/>
          <w:snapToGrid w:val="0"/>
        </w:rPr>
        <w:t>。</w:t>
      </w:r>
    </w:p>
    <w:p w14:paraId="7ACF5DC6" w14:textId="59BF6E63" w:rsidR="00D170E5" w:rsidRPr="002B55E9" w:rsidRDefault="00EF27AD">
      <w:pPr>
        <w:pStyle w:val="aa"/>
        <w:adjustRightInd w:val="0"/>
        <w:snapToGrid w:val="0"/>
        <w:rPr>
          <w:szCs w:val="24"/>
        </w:rPr>
      </w:pPr>
      <w:r w:rsidRPr="002B55E9">
        <w:rPr>
          <w:rFonts w:hint="eastAsia"/>
          <w:bCs/>
          <w:snapToGrid w:val="0"/>
        </w:rPr>
        <w:t>海天调味品公司污</w:t>
      </w:r>
      <w:r w:rsidRPr="002B55E9">
        <w:rPr>
          <w:bCs/>
          <w:snapToGrid w:val="0"/>
        </w:rPr>
        <w:t>水</w:t>
      </w:r>
      <w:r w:rsidRPr="002B55E9">
        <w:rPr>
          <w:rFonts w:hint="eastAsia"/>
          <w:bCs/>
          <w:snapToGrid w:val="0"/>
        </w:rPr>
        <w:t>处理站</w:t>
      </w:r>
      <w:r w:rsidR="00B40496" w:rsidRPr="002B55E9">
        <w:rPr>
          <w:rFonts w:hint="eastAsia"/>
          <w:bCs/>
          <w:snapToGrid w:val="0"/>
        </w:rPr>
        <w:t>调节池</w:t>
      </w:r>
      <w:r w:rsidRPr="002B55E9">
        <w:rPr>
          <w:rFonts w:hint="eastAsia"/>
          <w:bCs/>
          <w:snapToGrid w:val="0"/>
        </w:rPr>
        <w:t>可暂存至少</w:t>
      </w:r>
      <w:r w:rsidRPr="002B55E9">
        <w:rPr>
          <w:rFonts w:hint="eastAsia"/>
          <w:bCs/>
          <w:snapToGrid w:val="0"/>
        </w:rPr>
        <w:t>24</w:t>
      </w:r>
      <w:r w:rsidRPr="002B55E9">
        <w:rPr>
          <w:rFonts w:hint="eastAsia"/>
          <w:bCs/>
          <w:snapToGrid w:val="0"/>
        </w:rPr>
        <w:t>小时生产废水量，企业于该段时间内，可组织维修工作，若维修工作于该段时间内无法完成，则应暂时停止生产，直至污</w:t>
      </w:r>
      <w:r w:rsidRPr="002B55E9">
        <w:rPr>
          <w:bCs/>
          <w:snapToGrid w:val="0"/>
        </w:rPr>
        <w:t>水</w:t>
      </w:r>
      <w:r w:rsidRPr="002B55E9">
        <w:rPr>
          <w:rFonts w:hint="eastAsia"/>
          <w:bCs/>
          <w:snapToGrid w:val="0"/>
        </w:rPr>
        <w:t>预处理站能正常运行并确保废水能被处理稳定达标后，重启生产，确保废水</w:t>
      </w:r>
      <w:r w:rsidRPr="002B55E9">
        <w:rPr>
          <w:bCs/>
          <w:snapToGrid w:val="0"/>
        </w:rPr>
        <w:t>经处理达标后排入</w:t>
      </w:r>
      <w:r w:rsidRPr="002B55E9">
        <w:rPr>
          <w:rFonts w:hint="eastAsia"/>
          <w:bCs/>
          <w:snapToGrid w:val="0"/>
        </w:rPr>
        <w:t>园区</w:t>
      </w:r>
      <w:r w:rsidRPr="002B55E9">
        <w:rPr>
          <w:bCs/>
          <w:snapToGrid w:val="0"/>
        </w:rPr>
        <w:t>污水管网</w:t>
      </w:r>
      <w:r w:rsidRPr="002B55E9">
        <w:rPr>
          <w:rFonts w:hint="eastAsia"/>
          <w:bCs/>
          <w:snapToGrid w:val="0"/>
        </w:rPr>
        <w:t>。</w:t>
      </w:r>
    </w:p>
    <w:p w14:paraId="004D61BB" w14:textId="77777777" w:rsidR="00D170E5" w:rsidRPr="002B55E9" w:rsidRDefault="00EF27AD">
      <w:pPr>
        <w:pStyle w:val="4"/>
        <w:rPr>
          <w:color w:val="auto"/>
        </w:rPr>
      </w:pPr>
      <w:r w:rsidRPr="002B55E9">
        <w:rPr>
          <w:rFonts w:hint="eastAsia"/>
          <w:color w:val="auto"/>
        </w:rPr>
        <w:t>主要污染物汇总</w:t>
      </w:r>
    </w:p>
    <w:p w14:paraId="33AAEC85" w14:textId="77777777" w:rsidR="00D170E5" w:rsidRPr="002B55E9" w:rsidRDefault="00EF27AD">
      <w:pPr>
        <w:pStyle w:val="affff7"/>
        <w:snapToGrid w:val="0"/>
        <w:spacing w:after="0"/>
      </w:pPr>
      <w:r w:rsidRPr="002B55E9">
        <w:t>综合以上分析内容，项目运营后各项污染物经相关措施处理后，排放总量的统计结果见</w:t>
      </w:r>
      <w:r w:rsidRPr="002B55E9">
        <w:rPr>
          <w:rFonts w:hint="eastAsia"/>
        </w:rPr>
        <w:t>下</w:t>
      </w:r>
      <w:r w:rsidRPr="002B55E9">
        <w:t>表。</w:t>
      </w:r>
    </w:p>
    <w:p w14:paraId="3F407CE4" w14:textId="77777777" w:rsidR="00D170E5" w:rsidRPr="002B55E9" w:rsidRDefault="00EF27AD">
      <w:pPr>
        <w:pStyle w:val="1f3"/>
        <w:spacing w:beforeLines="0" w:before="0"/>
      </w:pPr>
      <w:r w:rsidRPr="002B55E9">
        <w:t>表</w:t>
      </w:r>
      <w:r w:rsidRPr="002B55E9">
        <w:rPr>
          <w:rFonts w:hint="eastAsia"/>
        </w:rPr>
        <w:t>3-</w:t>
      </w:r>
      <w:r w:rsidRPr="002B55E9">
        <w:t>3</w:t>
      </w:r>
      <w:r w:rsidRPr="002B55E9">
        <w:rPr>
          <w:rFonts w:hint="eastAsia"/>
        </w:rPr>
        <w:t>-</w:t>
      </w:r>
      <w:r w:rsidRPr="002B55E9">
        <w:t xml:space="preserve">36  </w:t>
      </w:r>
      <w:r w:rsidRPr="002B55E9">
        <w:t>项目实施后各项污染物排放总量统计表</w:t>
      </w:r>
    </w:p>
    <w:tbl>
      <w:tblPr>
        <w:tblStyle w:val="lgy2"/>
        <w:tblW w:w="5000" w:type="pct"/>
        <w:tblLayout w:type="fixed"/>
        <w:tblCellMar>
          <w:left w:w="28" w:type="dxa"/>
          <w:right w:w="28" w:type="dxa"/>
        </w:tblCellMar>
        <w:tblLook w:val="04A0" w:firstRow="1" w:lastRow="0" w:firstColumn="1" w:lastColumn="0" w:noHBand="0" w:noVBand="1"/>
      </w:tblPr>
      <w:tblGrid>
        <w:gridCol w:w="2139"/>
        <w:gridCol w:w="2354"/>
        <w:gridCol w:w="1601"/>
        <w:gridCol w:w="1999"/>
        <w:gridCol w:w="1601"/>
      </w:tblGrid>
      <w:tr w:rsidR="002B55E9" w:rsidRPr="002B55E9" w14:paraId="771DCF34" w14:textId="77777777" w:rsidTr="00B40496">
        <w:trPr>
          <w:cnfStyle w:val="100000000000" w:firstRow="1" w:lastRow="0" w:firstColumn="0" w:lastColumn="0" w:oddVBand="0" w:evenVBand="0" w:oddHBand="0" w:evenHBand="0" w:firstRowFirstColumn="0" w:firstRowLastColumn="0" w:lastRowFirstColumn="0" w:lastRowLastColumn="0"/>
          <w:trHeight w:val="283"/>
        </w:trPr>
        <w:tc>
          <w:tcPr>
            <w:tcW w:w="2127" w:type="dxa"/>
          </w:tcPr>
          <w:p w14:paraId="2803FF23" w14:textId="77777777" w:rsidR="00D170E5" w:rsidRPr="002B55E9" w:rsidRDefault="00EF27AD" w:rsidP="00B40496">
            <w:pPr>
              <w:pStyle w:val="lgy-"/>
              <w:rPr>
                <w:rFonts w:eastAsia="宋体"/>
              </w:rPr>
            </w:pPr>
            <w:r w:rsidRPr="002B55E9">
              <w:rPr>
                <w:rFonts w:eastAsia="宋体"/>
                <w:lang w:bidi="ar"/>
              </w:rPr>
              <w:t>类</w:t>
            </w:r>
            <w:r w:rsidRPr="002B55E9">
              <w:rPr>
                <w:rFonts w:eastAsia="宋体"/>
                <w:lang w:bidi="ar"/>
              </w:rPr>
              <w:t xml:space="preserve">  </w:t>
            </w:r>
            <w:r w:rsidRPr="002B55E9">
              <w:rPr>
                <w:rFonts w:eastAsia="宋体"/>
                <w:lang w:bidi="ar"/>
              </w:rPr>
              <w:t>别</w:t>
            </w:r>
          </w:p>
        </w:tc>
        <w:tc>
          <w:tcPr>
            <w:tcW w:w="2340" w:type="dxa"/>
          </w:tcPr>
          <w:p w14:paraId="3C5FA00E" w14:textId="77777777" w:rsidR="00D170E5" w:rsidRPr="002B55E9" w:rsidRDefault="00EF27AD" w:rsidP="00B40496">
            <w:pPr>
              <w:pStyle w:val="lgy-"/>
              <w:rPr>
                <w:rFonts w:eastAsia="宋体"/>
              </w:rPr>
            </w:pPr>
            <w:r w:rsidRPr="002B55E9">
              <w:rPr>
                <w:rFonts w:eastAsia="宋体"/>
                <w:lang w:bidi="ar"/>
              </w:rPr>
              <w:t>污染物名称</w:t>
            </w:r>
          </w:p>
        </w:tc>
        <w:tc>
          <w:tcPr>
            <w:tcW w:w="1592" w:type="dxa"/>
          </w:tcPr>
          <w:p w14:paraId="3B8C17B9" w14:textId="77777777" w:rsidR="00D170E5" w:rsidRPr="002B55E9" w:rsidRDefault="00EF27AD" w:rsidP="00B40496">
            <w:pPr>
              <w:pStyle w:val="lgy-"/>
              <w:rPr>
                <w:rFonts w:eastAsia="宋体"/>
              </w:rPr>
            </w:pPr>
            <w:r w:rsidRPr="002B55E9">
              <w:rPr>
                <w:rFonts w:eastAsia="宋体"/>
                <w:lang w:bidi="ar"/>
              </w:rPr>
              <w:t>产生量（</w:t>
            </w:r>
            <w:r w:rsidRPr="002B55E9">
              <w:rPr>
                <w:rFonts w:eastAsia="宋体"/>
                <w:lang w:bidi="ar"/>
              </w:rPr>
              <w:t>t/a</w:t>
            </w:r>
            <w:r w:rsidRPr="002B55E9">
              <w:rPr>
                <w:rFonts w:eastAsia="宋体"/>
                <w:lang w:bidi="ar"/>
              </w:rPr>
              <w:t>）</w:t>
            </w:r>
          </w:p>
        </w:tc>
        <w:tc>
          <w:tcPr>
            <w:tcW w:w="1987" w:type="dxa"/>
          </w:tcPr>
          <w:p w14:paraId="0876D77F" w14:textId="77777777" w:rsidR="00D170E5" w:rsidRPr="002B55E9" w:rsidRDefault="00EF27AD" w:rsidP="00B40496">
            <w:pPr>
              <w:pStyle w:val="lgy-"/>
              <w:rPr>
                <w:rFonts w:eastAsia="宋体"/>
              </w:rPr>
            </w:pPr>
            <w:r w:rsidRPr="002B55E9">
              <w:rPr>
                <w:rFonts w:eastAsia="宋体"/>
                <w:lang w:bidi="ar"/>
              </w:rPr>
              <w:t>削减量（</w:t>
            </w:r>
            <w:r w:rsidRPr="002B55E9">
              <w:rPr>
                <w:rFonts w:eastAsia="宋体"/>
                <w:lang w:bidi="ar"/>
              </w:rPr>
              <w:t>t/a</w:t>
            </w:r>
            <w:r w:rsidRPr="002B55E9">
              <w:rPr>
                <w:rFonts w:eastAsia="宋体"/>
                <w:lang w:bidi="ar"/>
              </w:rPr>
              <w:t>）</w:t>
            </w:r>
          </w:p>
        </w:tc>
        <w:tc>
          <w:tcPr>
            <w:tcW w:w="1592" w:type="dxa"/>
          </w:tcPr>
          <w:p w14:paraId="5235DAF5" w14:textId="77777777" w:rsidR="00D170E5" w:rsidRPr="002B55E9" w:rsidRDefault="00EF27AD" w:rsidP="00B40496">
            <w:pPr>
              <w:pStyle w:val="lgy-"/>
              <w:rPr>
                <w:rFonts w:eastAsia="宋体"/>
              </w:rPr>
            </w:pPr>
            <w:r w:rsidRPr="002B55E9">
              <w:rPr>
                <w:rFonts w:eastAsia="宋体"/>
                <w:lang w:bidi="ar"/>
              </w:rPr>
              <w:t>排放量（</w:t>
            </w:r>
            <w:r w:rsidRPr="002B55E9">
              <w:rPr>
                <w:rFonts w:eastAsia="宋体"/>
                <w:lang w:bidi="ar"/>
              </w:rPr>
              <w:t>t/a</w:t>
            </w:r>
            <w:r w:rsidRPr="002B55E9">
              <w:rPr>
                <w:rFonts w:eastAsia="宋体"/>
                <w:lang w:bidi="ar"/>
              </w:rPr>
              <w:t>）</w:t>
            </w:r>
          </w:p>
        </w:tc>
      </w:tr>
      <w:tr w:rsidR="002B55E9" w:rsidRPr="002B55E9" w14:paraId="0DD013FA" w14:textId="77777777" w:rsidTr="00B40496">
        <w:trPr>
          <w:trHeight w:val="283"/>
        </w:trPr>
        <w:tc>
          <w:tcPr>
            <w:tcW w:w="2127" w:type="dxa"/>
            <w:vMerge w:val="restart"/>
          </w:tcPr>
          <w:p w14:paraId="4DA2F4CD" w14:textId="77777777" w:rsidR="00B40496" w:rsidRPr="002B55E9" w:rsidRDefault="00B40496" w:rsidP="00B40496">
            <w:pPr>
              <w:pStyle w:val="lgy-"/>
              <w:rPr>
                <w:rFonts w:eastAsia="宋体"/>
              </w:rPr>
            </w:pPr>
            <w:r w:rsidRPr="002B55E9">
              <w:rPr>
                <w:rFonts w:eastAsia="宋体"/>
                <w:lang w:bidi="ar"/>
              </w:rPr>
              <w:t>废气</w:t>
            </w:r>
          </w:p>
        </w:tc>
        <w:tc>
          <w:tcPr>
            <w:tcW w:w="2340" w:type="dxa"/>
          </w:tcPr>
          <w:p w14:paraId="7F964080" w14:textId="77777777" w:rsidR="00B40496" w:rsidRPr="002B55E9" w:rsidRDefault="00B40496" w:rsidP="00B40496">
            <w:pPr>
              <w:pStyle w:val="lgy-"/>
              <w:rPr>
                <w:rFonts w:eastAsia="宋体"/>
              </w:rPr>
            </w:pPr>
            <w:r w:rsidRPr="002B55E9">
              <w:rPr>
                <w:rFonts w:eastAsia="宋体"/>
                <w:lang w:bidi="ar"/>
              </w:rPr>
              <w:t>颗粒物</w:t>
            </w:r>
          </w:p>
        </w:tc>
        <w:tc>
          <w:tcPr>
            <w:tcW w:w="1592" w:type="dxa"/>
          </w:tcPr>
          <w:p w14:paraId="42355B25" w14:textId="478559D5" w:rsidR="00B40496" w:rsidRPr="002B55E9" w:rsidRDefault="00B40496" w:rsidP="00B40496">
            <w:pPr>
              <w:pStyle w:val="lgy-"/>
              <w:rPr>
                <w:rFonts w:eastAsia="宋体"/>
              </w:rPr>
            </w:pPr>
            <w:r w:rsidRPr="002B55E9">
              <w:rPr>
                <w:rFonts w:eastAsia="宋体"/>
              </w:rPr>
              <w:t xml:space="preserve">0.141 </w:t>
            </w:r>
          </w:p>
        </w:tc>
        <w:tc>
          <w:tcPr>
            <w:tcW w:w="1987" w:type="dxa"/>
          </w:tcPr>
          <w:p w14:paraId="13F682F8" w14:textId="22F89142" w:rsidR="00B40496" w:rsidRPr="002B55E9" w:rsidRDefault="00B40496" w:rsidP="00B40496">
            <w:pPr>
              <w:pStyle w:val="lgy-"/>
              <w:rPr>
                <w:rFonts w:eastAsia="宋体"/>
              </w:rPr>
            </w:pPr>
            <w:r w:rsidRPr="002B55E9">
              <w:rPr>
                <w:rFonts w:eastAsia="宋体"/>
              </w:rPr>
              <w:t xml:space="preserve">0.076 </w:t>
            </w:r>
          </w:p>
        </w:tc>
        <w:tc>
          <w:tcPr>
            <w:tcW w:w="1592" w:type="dxa"/>
          </w:tcPr>
          <w:p w14:paraId="730B267A" w14:textId="746CA261" w:rsidR="00B40496" w:rsidRPr="002B55E9" w:rsidRDefault="00B40496" w:rsidP="00B40496">
            <w:pPr>
              <w:pStyle w:val="lgy-"/>
              <w:rPr>
                <w:rFonts w:eastAsia="宋体"/>
              </w:rPr>
            </w:pPr>
            <w:r w:rsidRPr="002B55E9">
              <w:rPr>
                <w:rFonts w:eastAsia="宋体"/>
              </w:rPr>
              <w:t xml:space="preserve">0.065 </w:t>
            </w:r>
          </w:p>
        </w:tc>
      </w:tr>
      <w:tr w:rsidR="002B55E9" w:rsidRPr="002B55E9" w14:paraId="4125D56C" w14:textId="77777777" w:rsidTr="00B40496">
        <w:trPr>
          <w:trHeight w:val="283"/>
        </w:trPr>
        <w:tc>
          <w:tcPr>
            <w:tcW w:w="2127" w:type="dxa"/>
            <w:vMerge/>
          </w:tcPr>
          <w:p w14:paraId="029B28D4" w14:textId="77777777" w:rsidR="00B40496" w:rsidRPr="002B55E9" w:rsidRDefault="00B40496" w:rsidP="00B40496">
            <w:pPr>
              <w:pStyle w:val="lgy-"/>
              <w:rPr>
                <w:rFonts w:eastAsia="宋体"/>
                <w:lang w:bidi="ar"/>
              </w:rPr>
            </w:pPr>
          </w:p>
        </w:tc>
        <w:tc>
          <w:tcPr>
            <w:tcW w:w="2340" w:type="dxa"/>
          </w:tcPr>
          <w:p w14:paraId="1579F9AD" w14:textId="2AFC95DF" w:rsidR="00B40496" w:rsidRPr="002B55E9" w:rsidRDefault="00B40496" w:rsidP="00B40496">
            <w:pPr>
              <w:pStyle w:val="lgy-"/>
              <w:rPr>
                <w:rFonts w:eastAsia="宋体"/>
              </w:rPr>
            </w:pPr>
            <w:r w:rsidRPr="002B55E9">
              <w:rPr>
                <w:rFonts w:eastAsia="宋体"/>
              </w:rPr>
              <w:t>非甲烷总烃</w:t>
            </w:r>
          </w:p>
        </w:tc>
        <w:tc>
          <w:tcPr>
            <w:tcW w:w="1592" w:type="dxa"/>
          </w:tcPr>
          <w:p w14:paraId="036C1F38" w14:textId="02575A76" w:rsidR="00B40496" w:rsidRPr="002B55E9" w:rsidRDefault="00B40496" w:rsidP="00B40496">
            <w:pPr>
              <w:pStyle w:val="lgy-"/>
              <w:rPr>
                <w:rFonts w:eastAsia="宋体"/>
              </w:rPr>
            </w:pPr>
            <w:r w:rsidRPr="002B55E9">
              <w:rPr>
                <w:rFonts w:eastAsia="宋体"/>
              </w:rPr>
              <w:t xml:space="preserve">15.809 </w:t>
            </w:r>
          </w:p>
        </w:tc>
        <w:tc>
          <w:tcPr>
            <w:tcW w:w="1987" w:type="dxa"/>
          </w:tcPr>
          <w:p w14:paraId="65F668C1" w14:textId="717AE85B" w:rsidR="00B40496" w:rsidRPr="002B55E9" w:rsidRDefault="00B40496" w:rsidP="00B40496">
            <w:pPr>
              <w:pStyle w:val="lgy-"/>
              <w:rPr>
                <w:rFonts w:eastAsia="宋体"/>
              </w:rPr>
            </w:pPr>
            <w:r w:rsidRPr="002B55E9">
              <w:rPr>
                <w:rFonts w:eastAsia="宋体"/>
              </w:rPr>
              <w:t xml:space="preserve">12.093 </w:t>
            </w:r>
          </w:p>
        </w:tc>
        <w:tc>
          <w:tcPr>
            <w:tcW w:w="1592" w:type="dxa"/>
          </w:tcPr>
          <w:p w14:paraId="391DA3E8" w14:textId="55D8456F" w:rsidR="00B40496" w:rsidRPr="002B55E9" w:rsidRDefault="00B40496" w:rsidP="00B40496">
            <w:pPr>
              <w:pStyle w:val="lgy-"/>
              <w:rPr>
                <w:rFonts w:eastAsia="宋体"/>
              </w:rPr>
            </w:pPr>
            <w:r w:rsidRPr="002B55E9">
              <w:rPr>
                <w:rFonts w:eastAsia="宋体"/>
              </w:rPr>
              <w:t xml:space="preserve">3.716 </w:t>
            </w:r>
          </w:p>
        </w:tc>
      </w:tr>
      <w:tr w:rsidR="002B55E9" w:rsidRPr="002B55E9" w14:paraId="1F1C08E5" w14:textId="77777777" w:rsidTr="00B40496">
        <w:trPr>
          <w:trHeight w:val="283"/>
        </w:trPr>
        <w:tc>
          <w:tcPr>
            <w:tcW w:w="2127" w:type="dxa"/>
            <w:vMerge/>
          </w:tcPr>
          <w:p w14:paraId="6379576A" w14:textId="77777777" w:rsidR="00B40496" w:rsidRPr="002B55E9" w:rsidRDefault="00B40496" w:rsidP="00B40496">
            <w:pPr>
              <w:pStyle w:val="lgy-"/>
              <w:rPr>
                <w:rFonts w:eastAsia="宋体"/>
                <w:lang w:bidi="ar"/>
              </w:rPr>
            </w:pPr>
          </w:p>
        </w:tc>
        <w:tc>
          <w:tcPr>
            <w:tcW w:w="2340" w:type="dxa"/>
          </w:tcPr>
          <w:p w14:paraId="411B6CC7" w14:textId="77777777" w:rsidR="00B40496" w:rsidRPr="002B55E9" w:rsidRDefault="00B40496" w:rsidP="00B40496">
            <w:pPr>
              <w:pStyle w:val="lgy-"/>
              <w:rPr>
                <w:rFonts w:eastAsia="宋体"/>
              </w:rPr>
            </w:pPr>
            <w:r w:rsidRPr="002B55E9">
              <w:rPr>
                <w:rFonts w:eastAsia="宋体"/>
              </w:rPr>
              <w:t>甲醛</w:t>
            </w:r>
          </w:p>
        </w:tc>
        <w:tc>
          <w:tcPr>
            <w:tcW w:w="1592" w:type="dxa"/>
          </w:tcPr>
          <w:p w14:paraId="5428DE04" w14:textId="60948594" w:rsidR="00B40496" w:rsidRPr="002B55E9" w:rsidRDefault="00B40496" w:rsidP="00B40496">
            <w:pPr>
              <w:pStyle w:val="lgy-"/>
              <w:rPr>
                <w:rFonts w:eastAsia="宋体"/>
              </w:rPr>
            </w:pPr>
            <w:r w:rsidRPr="002B55E9">
              <w:rPr>
                <w:rFonts w:eastAsia="宋体"/>
              </w:rPr>
              <w:t>4.89E-03</w:t>
            </w:r>
          </w:p>
        </w:tc>
        <w:tc>
          <w:tcPr>
            <w:tcW w:w="1987" w:type="dxa"/>
          </w:tcPr>
          <w:p w14:paraId="3EDA237C" w14:textId="5FA0E4E2" w:rsidR="00B40496" w:rsidRPr="002B55E9" w:rsidRDefault="00B40496" w:rsidP="00B40496">
            <w:pPr>
              <w:pStyle w:val="lgy-"/>
              <w:rPr>
                <w:rFonts w:eastAsia="宋体"/>
              </w:rPr>
            </w:pPr>
            <w:r w:rsidRPr="002B55E9">
              <w:rPr>
                <w:rFonts w:eastAsia="宋体"/>
              </w:rPr>
              <w:t>1.44E-03</w:t>
            </w:r>
          </w:p>
        </w:tc>
        <w:tc>
          <w:tcPr>
            <w:tcW w:w="1592" w:type="dxa"/>
          </w:tcPr>
          <w:p w14:paraId="51901254" w14:textId="683BDD35" w:rsidR="00B40496" w:rsidRPr="002B55E9" w:rsidRDefault="00B40496" w:rsidP="00B40496">
            <w:pPr>
              <w:pStyle w:val="lgy-"/>
              <w:rPr>
                <w:rFonts w:eastAsia="宋体"/>
              </w:rPr>
            </w:pPr>
            <w:r w:rsidRPr="002B55E9">
              <w:rPr>
                <w:rFonts w:eastAsia="宋体"/>
              </w:rPr>
              <w:t>3.45E-03</w:t>
            </w:r>
          </w:p>
        </w:tc>
      </w:tr>
      <w:tr w:rsidR="002B55E9" w:rsidRPr="002B55E9" w14:paraId="4BF90919" w14:textId="77777777" w:rsidTr="00B40496">
        <w:trPr>
          <w:trHeight w:val="283"/>
        </w:trPr>
        <w:tc>
          <w:tcPr>
            <w:tcW w:w="2127" w:type="dxa"/>
            <w:vMerge/>
          </w:tcPr>
          <w:p w14:paraId="118DEDA5" w14:textId="77777777" w:rsidR="00B40496" w:rsidRPr="002B55E9" w:rsidRDefault="00B40496" w:rsidP="00B40496">
            <w:pPr>
              <w:pStyle w:val="lgy-"/>
              <w:rPr>
                <w:rFonts w:eastAsia="宋体"/>
                <w:lang w:bidi="ar"/>
              </w:rPr>
            </w:pPr>
          </w:p>
        </w:tc>
        <w:tc>
          <w:tcPr>
            <w:tcW w:w="2340" w:type="dxa"/>
          </w:tcPr>
          <w:p w14:paraId="0CE28C1D" w14:textId="77777777" w:rsidR="00B40496" w:rsidRPr="002B55E9" w:rsidRDefault="00B40496" w:rsidP="00B40496">
            <w:pPr>
              <w:pStyle w:val="lgy-"/>
              <w:rPr>
                <w:rFonts w:eastAsia="宋体"/>
              </w:rPr>
            </w:pPr>
            <w:r w:rsidRPr="002B55E9">
              <w:rPr>
                <w:rFonts w:eastAsia="宋体"/>
              </w:rPr>
              <w:t>硫酸</w:t>
            </w:r>
          </w:p>
        </w:tc>
        <w:tc>
          <w:tcPr>
            <w:tcW w:w="1592" w:type="dxa"/>
          </w:tcPr>
          <w:p w14:paraId="6A25FEB6" w14:textId="757EFC27" w:rsidR="00B40496" w:rsidRPr="002B55E9" w:rsidRDefault="00B40496" w:rsidP="00B40496">
            <w:pPr>
              <w:pStyle w:val="lgy-"/>
              <w:rPr>
                <w:rFonts w:eastAsia="宋体"/>
              </w:rPr>
            </w:pPr>
            <w:r w:rsidRPr="002B55E9">
              <w:rPr>
                <w:rFonts w:eastAsia="宋体"/>
              </w:rPr>
              <w:t xml:space="preserve">0.011 </w:t>
            </w:r>
          </w:p>
        </w:tc>
        <w:tc>
          <w:tcPr>
            <w:tcW w:w="1987" w:type="dxa"/>
          </w:tcPr>
          <w:p w14:paraId="4EA98593" w14:textId="51D14D5D" w:rsidR="00B40496" w:rsidRPr="002B55E9" w:rsidRDefault="00B40496" w:rsidP="00B40496">
            <w:pPr>
              <w:pStyle w:val="lgy-"/>
              <w:rPr>
                <w:rFonts w:eastAsia="宋体"/>
              </w:rPr>
            </w:pPr>
            <w:r w:rsidRPr="002B55E9">
              <w:rPr>
                <w:rFonts w:eastAsia="宋体"/>
              </w:rPr>
              <w:t>0</w:t>
            </w:r>
          </w:p>
        </w:tc>
        <w:tc>
          <w:tcPr>
            <w:tcW w:w="1592" w:type="dxa"/>
          </w:tcPr>
          <w:p w14:paraId="58764319" w14:textId="3659DCD0" w:rsidR="00B40496" w:rsidRPr="002B55E9" w:rsidRDefault="00B40496" w:rsidP="00B40496">
            <w:pPr>
              <w:pStyle w:val="lgy-"/>
              <w:rPr>
                <w:rFonts w:eastAsia="宋体"/>
              </w:rPr>
            </w:pPr>
            <w:r w:rsidRPr="002B55E9">
              <w:rPr>
                <w:rFonts w:eastAsia="宋体"/>
              </w:rPr>
              <w:t xml:space="preserve">0.011 </w:t>
            </w:r>
          </w:p>
        </w:tc>
      </w:tr>
      <w:tr w:rsidR="002B55E9" w:rsidRPr="002B55E9" w14:paraId="1AED4A10" w14:textId="77777777" w:rsidTr="00B40496">
        <w:trPr>
          <w:trHeight w:val="283"/>
        </w:trPr>
        <w:tc>
          <w:tcPr>
            <w:tcW w:w="2127" w:type="dxa"/>
            <w:vMerge/>
          </w:tcPr>
          <w:p w14:paraId="2BDED6F4" w14:textId="77777777" w:rsidR="00B40496" w:rsidRPr="002B55E9" w:rsidRDefault="00B40496" w:rsidP="00B40496">
            <w:pPr>
              <w:pStyle w:val="lgy-"/>
              <w:rPr>
                <w:rFonts w:eastAsia="宋体"/>
                <w:lang w:bidi="ar"/>
              </w:rPr>
            </w:pPr>
          </w:p>
        </w:tc>
        <w:tc>
          <w:tcPr>
            <w:tcW w:w="2340" w:type="dxa"/>
          </w:tcPr>
          <w:p w14:paraId="1EE92470" w14:textId="77777777" w:rsidR="00B40496" w:rsidRPr="002B55E9" w:rsidRDefault="00B40496" w:rsidP="00B40496">
            <w:pPr>
              <w:pStyle w:val="lgy-"/>
              <w:rPr>
                <w:rFonts w:eastAsia="宋体"/>
              </w:rPr>
            </w:pPr>
            <w:r w:rsidRPr="002B55E9">
              <w:rPr>
                <w:rFonts w:eastAsia="宋体"/>
              </w:rPr>
              <w:t>氯化氢</w:t>
            </w:r>
          </w:p>
        </w:tc>
        <w:tc>
          <w:tcPr>
            <w:tcW w:w="1592" w:type="dxa"/>
          </w:tcPr>
          <w:p w14:paraId="71278F56" w14:textId="2B532846" w:rsidR="00B40496" w:rsidRPr="002B55E9" w:rsidRDefault="00B40496" w:rsidP="00B40496">
            <w:pPr>
              <w:pStyle w:val="lgy-"/>
              <w:rPr>
                <w:rFonts w:eastAsia="宋体"/>
              </w:rPr>
            </w:pPr>
            <w:r w:rsidRPr="002B55E9">
              <w:rPr>
                <w:rFonts w:eastAsia="宋体"/>
              </w:rPr>
              <w:t>2.18E-05</w:t>
            </w:r>
          </w:p>
        </w:tc>
        <w:tc>
          <w:tcPr>
            <w:tcW w:w="1987" w:type="dxa"/>
          </w:tcPr>
          <w:p w14:paraId="15B2CE5B" w14:textId="0A9C2966" w:rsidR="00B40496" w:rsidRPr="002B55E9" w:rsidRDefault="00B40496" w:rsidP="00B40496">
            <w:pPr>
              <w:pStyle w:val="lgy-"/>
              <w:rPr>
                <w:rFonts w:eastAsia="宋体"/>
              </w:rPr>
            </w:pPr>
            <w:r w:rsidRPr="002B55E9">
              <w:rPr>
                <w:rFonts w:eastAsia="宋体"/>
              </w:rPr>
              <w:t>0</w:t>
            </w:r>
          </w:p>
        </w:tc>
        <w:tc>
          <w:tcPr>
            <w:tcW w:w="1592" w:type="dxa"/>
          </w:tcPr>
          <w:p w14:paraId="07A33322" w14:textId="0396D827" w:rsidR="00B40496" w:rsidRPr="002B55E9" w:rsidRDefault="00B40496" w:rsidP="00B40496">
            <w:pPr>
              <w:pStyle w:val="lgy-"/>
              <w:rPr>
                <w:rFonts w:eastAsia="宋体"/>
                <w:vertAlign w:val="superscript"/>
              </w:rPr>
            </w:pPr>
            <w:r w:rsidRPr="002B55E9">
              <w:rPr>
                <w:rFonts w:eastAsia="宋体"/>
              </w:rPr>
              <w:t>2.18E-05</w:t>
            </w:r>
          </w:p>
        </w:tc>
      </w:tr>
      <w:tr w:rsidR="002B55E9" w:rsidRPr="002B55E9" w14:paraId="57FA4C9E" w14:textId="77777777" w:rsidTr="00B40496">
        <w:trPr>
          <w:trHeight w:val="283"/>
        </w:trPr>
        <w:tc>
          <w:tcPr>
            <w:tcW w:w="2127" w:type="dxa"/>
            <w:vMerge w:val="restart"/>
          </w:tcPr>
          <w:p w14:paraId="1C3F0FD2" w14:textId="77777777" w:rsidR="00B40496" w:rsidRPr="002B55E9" w:rsidRDefault="00B40496" w:rsidP="00B40496">
            <w:pPr>
              <w:pStyle w:val="lgy-"/>
              <w:rPr>
                <w:rFonts w:eastAsia="宋体"/>
              </w:rPr>
            </w:pPr>
            <w:r w:rsidRPr="002B55E9">
              <w:rPr>
                <w:rFonts w:eastAsia="宋体"/>
                <w:lang w:bidi="ar"/>
              </w:rPr>
              <w:t>废水</w:t>
            </w:r>
          </w:p>
        </w:tc>
        <w:tc>
          <w:tcPr>
            <w:tcW w:w="2340" w:type="dxa"/>
          </w:tcPr>
          <w:p w14:paraId="3A4EB41F" w14:textId="77777777" w:rsidR="00B40496" w:rsidRPr="002B55E9" w:rsidRDefault="00B40496" w:rsidP="00B40496">
            <w:pPr>
              <w:pStyle w:val="lgy-"/>
              <w:rPr>
                <w:rFonts w:eastAsia="宋体"/>
              </w:rPr>
            </w:pPr>
            <w:r w:rsidRPr="002B55E9">
              <w:rPr>
                <w:rFonts w:eastAsia="宋体"/>
              </w:rPr>
              <w:t>废水量</w:t>
            </w:r>
          </w:p>
        </w:tc>
        <w:tc>
          <w:tcPr>
            <w:tcW w:w="1592" w:type="dxa"/>
          </w:tcPr>
          <w:p w14:paraId="7860D204" w14:textId="6CE8F40F" w:rsidR="00B40496" w:rsidRPr="002B55E9" w:rsidRDefault="00B40496" w:rsidP="00B40496">
            <w:pPr>
              <w:pStyle w:val="lgy-"/>
              <w:rPr>
                <w:rFonts w:eastAsia="宋体"/>
              </w:rPr>
            </w:pPr>
            <w:r w:rsidRPr="002B55E9">
              <w:rPr>
                <w:rFonts w:eastAsia="宋体"/>
              </w:rPr>
              <w:t xml:space="preserve">229575.00 </w:t>
            </w:r>
          </w:p>
        </w:tc>
        <w:tc>
          <w:tcPr>
            <w:tcW w:w="1987" w:type="dxa"/>
          </w:tcPr>
          <w:p w14:paraId="3565CB9B" w14:textId="3E1DEF1A" w:rsidR="00B40496" w:rsidRPr="002B55E9" w:rsidRDefault="00B40496" w:rsidP="00B40496">
            <w:pPr>
              <w:pStyle w:val="lgy-"/>
              <w:rPr>
                <w:rFonts w:eastAsia="宋体"/>
              </w:rPr>
            </w:pPr>
            <w:r w:rsidRPr="002B55E9">
              <w:rPr>
                <w:rFonts w:eastAsia="宋体"/>
              </w:rPr>
              <w:t>/</w:t>
            </w:r>
          </w:p>
        </w:tc>
        <w:tc>
          <w:tcPr>
            <w:tcW w:w="1592" w:type="dxa"/>
          </w:tcPr>
          <w:p w14:paraId="1D40BF5E" w14:textId="1CA5EA41" w:rsidR="00B40496" w:rsidRPr="002B55E9" w:rsidRDefault="00B40496" w:rsidP="00B40496">
            <w:pPr>
              <w:pStyle w:val="lgy-"/>
              <w:rPr>
                <w:rFonts w:eastAsia="宋体"/>
              </w:rPr>
            </w:pPr>
            <w:r w:rsidRPr="002B55E9">
              <w:rPr>
                <w:rFonts w:eastAsia="宋体"/>
              </w:rPr>
              <w:t xml:space="preserve">229575.00 </w:t>
            </w:r>
          </w:p>
        </w:tc>
      </w:tr>
      <w:tr w:rsidR="002B55E9" w:rsidRPr="002B55E9" w14:paraId="70864FB6" w14:textId="77777777" w:rsidTr="00B40496">
        <w:trPr>
          <w:trHeight w:val="283"/>
        </w:trPr>
        <w:tc>
          <w:tcPr>
            <w:tcW w:w="2127" w:type="dxa"/>
            <w:vMerge/>
          </w:tcPr>
          <w:p w14:paraId="385A3093" w14:textId="77777777" w:rsidR="00B40496" w:rsidRPr="002B55E9" w:rsidRDefault="00B40496" w:rsidP="00B40496">
            <w:pPr>
              <w:pStyle w:val="lgy-"/>
              <w:rPr>
                <w:rFonts w:eastAsia="宋体"/>
                <w:lang w:bidi="ar"/>
              </w:rPr>
            </w:pPr>
          </w:p>
        </w:tc>
        <w:tc>
          <w:tcPr>
            <w:tcW w:w="2340" w:type="dxa"/>
          </w:tcPr>
          <w:p w14:paraId="770655CF" w14:textId="77777777" w:rsidR="00B40496" w:rsidRPr="002B55E9" w:rsidRDefault="00B40496" w:rsidP="00B40496">
            <w:pPr>
              <w:pStyle w:val="lgy-"/>
              <w:rPr>
                <w:rFonts w:eastAsia="宋体"/>
              </w:rPr>
            </w:pPr>
            <w:r w:rsidRPr="002B55E9">
              <w:rPr>
                <w:rFonts w:eastAsia="宋体"/>
              </w:rPr>
              <w:t>COD</w:t>
            </w:r>
          </w:p>
        </w:tc>
        <w:tc>
          <w:tcPr>
            <w:tcW w:w="1592" w:type="dxa"/>
          </w:tcPr>
          <w:p w14:paraId="4916E14E" w14:textId="5B2ED211" w:rsidR="00B40496" w:rsidRPr="002B55E9" w:rsidRDefault="00B40496" w:rsidP="00B40496">
            <w:pPr>
              <w:pStyle w:val="lgy-"/>
              <w:rPr>
                <w:rFonts w:eastAsia="宋体"/>
              </w:rPr>
            </w:pPr>
            <w:r w:rsidRPr="002B55E9">
              <w:rPr>
                <w:rFonts w:eastAsia="宋体"/>
              </w:rPr>
              <w:t xml:space="preserve">460.42 </w:t>
            </w:r>
          </w:p>
        </w:tc>
        <w:tc>
          <w:tcPr>
            <w:tcW w:w="1987" w:type="dxa"/>
          </w:tcPr>
          <w:p w14:paraId="0DCE57F6" w14:textId="110EEA30" w:rsidR="00B40496" w:rsidRPr="002B55E9" w:rsidRDefault="00B40496" w:rsidP="00B40496">
            <w:pPr>
              <w:pStyle w:val="lgy-"/>
              <w:rPr>
                <w:rFonts w:eastAsia="宋体"/>
              </w:rPr>
            </w:pPr>
            <w:r w:rsidRPr="002B55E9">
              <w:rPr>
                <w:rFonts w:eastAsia="宋体"/>
              </w:rPr>
              <w:t xml:space="preserve">448.94 </w:t>
            </w:r>
          </w:p>
        </w:tc>
        <w:tc>
          <w:tcPr>
            <w:tcW w:w="1592" w:type="dxa"/>
          </w:tcPr>
          <w:p w14:paraId="40113E0D" w14:textId="623DD63D" w:rsidR="00B40496" w:rsidRPr="002B55E9" w:rsidRDefault="00B40496" w:rsidP="00B40496">
            <w:pPr>
              <w:pStyle w:val="lgy-"/>
              <w:rPr>
                <w:rFonts w:eastAsia="宋体"/>
              </w:rPr>
            </w:pPr>
            <w:r w:rsidRPr="002B55E9">
              <w:rPr>
                <w:rFonts w:eastAsia="宋体"/>
              </w:rPr>
              <w:t xml:space="preserve">11.48 </w:t>
            </w:r>
          </w:p>
        </w:tc>
      </w:tr>
      <w:tr w:rsidR="002B55E9" w:rsidRPr="002B55E9" w14:paraId="2F0DE2A5" w14:textId="77777777" w:rsidTr="00B40496">
        <w:trPr>
          <w:trHeight w:val="283"/>
        </w:trPr>
        <w:tc>
          <w:tcPr>
            <w:tcW w:w="2127" w:type="dxa"/>
            <w:vMerge/>
          </w:tcPr>
          <w:p w14:paraId="6BACF4E5" w14:textId="77777777" w:rsidR="00B40496" w:rsidRPr="002B55E9" w:rsidRDefault="00B40496" w:rsidP="00B40496">
            <w:pPr>
              <w:pStyle w:val="lgy-"/>
              <w:rPr>
                <w:rFonts w:eastAsia="宋体"/>
                <w:lang w:bidi="ar"/>
              </w:rPr>
            </w:pPr>
          </w:p>
        </w:tc>
        <w:tc>
          <w:tcPr>
            <w:tcW w:w="2340" w:type="dxa"/>
          </w:tcPr>
          <w:p w14:paraId="653BF817" w14:textId="77777777" w:rsidR="00B40496" w:rsidRPr="002B55E9" w:rsidRDefault="00B40496" w:rsidP="00B40496">
            <w:pPr>
              <w:pStyle w:val="lgy-"/>
              <w:rPr>
                <w:rFonts w:eastAsia="宋体"/>
              </w:rPr>
            </w:pPr>
            <w:r w:rsidRPr="002B55E9">
              <w:rPr>
                <w:rFonts w:eastAsia="宋体"/>
              </w:rPr>
              <w:t>NH</w:t>
            </w:r>
            <w:r w:rsidRPr="002B55E9">
              <w:rPr>
                <w:rFonts w:eastAsia="宋体"/>
                <w:vertAlign w:val="subscript"/>
              </w:rPr>
              <w:t>3</w:t>
            </w:r>
            <w:r w:rsidRPr="002B55E9">
              <w:rPr>
                <w:rFonts w:eastAsia="宋体"/>
              </w:rPr>
              <w:t>-N</w:t>
            </w:r>
          </w:p>
        </w:tc>
        <w:tc>
          <w:tcPr>
            <w:tcW w:w="1592" w:type="dxa"/>
          </w:tcPr>
          <w:p w14:paraId="48A970C8" w14:textId="2CC71574" w:rsidR="00B40496" w:rsidRPr="002B55E9" w:rsidRDefault="00B40496" w:rsidP="00B40496">
            <w:pPr>
              <w:pStyle w:val="lgy-"/>
              <w:rPr>
                <w:rFonts w:eastAsia="宋体"/>
              </w:rPr>
            </w:pPr>
            <w:r w:rsidRPr="002B55E9">
              <w:rPr>
                <w:rFonts w:eastAsia="宋体"/>
              </w:rPr>
              <w:t xml:space="preserve">7.89 </w:t>
            </w:r>
          </w:p>
        </w:tc>
        <w:tc>
          <w:tcPr>
            <w:tcW w:w="1987" w:type="dxa"/>
          </w:tcPr>
          <w:p w14:paraId="27588E1C" w14:textId="3D593688" w:rsidR="00B40496" w:rsidRPr="002B55E9" w:rsidRDefault="00B40496" w:rsidP="00B40496">
            <w:pPr>
              <w:pStyle w:val="lgy-"/>
              <w:rPr>
                <w:rFonts w:eastAsia="宋体"/>
              </w:rPr>
            </w:pPr>
            <w:r w:rsidRPr="002B55E9">
              <w:rPr>
                <w:rFonts w:eastAsia="宋体"/>
              </w:rPr>
              <w:t xml:space="preserve">6.74 </w:t>
            </w:r>
          </w:p>
        </w:tc>
        <w:tc>
          <w:tcPr>
            <w:tcW w:w="1592" w:type="dxa"/>
          </w:tcPr>
          <w:p w14:paraId="0B509FC4" w14:textId="36B1991D" w:rsidR="00B40496" w:rsidRPr="002B55E9" w:rsidRDefault="00B40496" w:rsidP="00B40496">
            <w:pPr>
              <w:pStyle w:val="lgy-"/>
              <w:rPr>
                <w:rFonts w:eastAsia="宋体"/>
              </w:rPr>
            </w:pPr>
            <w:r w:rsidRPr="002B55E9">
              <w:rPr>
                <w:rFonts w:eastAsia="宋体"/>
              </w:rPr>
              <w:t xml:space="preserve">1.148 </w:t>
            </w:r>
          </w:p>
        </w:tc>
      </w:tr>
      <w:tr w:rsidR="002B55E9" w:rsidRPr="002B55E9" w14:paraId="5A362108" w14:textId="77777777" w:rsidTr="00B40496">
        <w:trPr>
          <w:trHeight w:val="283"/>
        </w:trPr>
        <w:tc>
          <w:tcPr>
            <w:tcW w:w="2127" w:type="dxa"/>
            <w:vMerge w:val="restart"/>
          </w:tcPr>
          <w:p w14:paraId="42BC8F82" w14:textId="77777777" w:rsidR="00D170E5" w:rsidRPr="002B55E9" w:rsidRDefault="00EF27AD" w:rsidP="00B40496">
            <w:pPr>
              <w:pStyle w:val="lgy-"/>
              <w:rPr>
                <w:rFonts w:eastAsia="宋体"/>
              </w:rPr>
            </w:pPr>
            <w:r w:rsidRPr="002B55E9">
              <w:rPr>
                <w:rFonts w:eastAsia="宋体"/>
                <w:lang w:bidi="ar"/>
              </w:rPr>
              <w:t>固体废物</w:t>
            </w:r>
          </w:p>
        </w:tc>
        <w:tc>
          <w:tcPr>
            <w:tcW w:w="2340" w:type="dxa"/>
          </w:tcPr>
          <w:p w14:paraId="56DA5793" w14:textId="77777777" w:rsidR="00D170E5" w:rsidRPr="002B55E9" w:rsidRDefault="00EF27AD" w:rsidP="00B40496">
            <w:pPr>
              <w:pStyle w:val="lgy-"/>
              <w:rPr>
                <w:rFonts w:eastAsia="宋体"/>
              </w:rPr>
            </w:pPr>
            <w:r w:rsidRPr="002B55E9">
              <w:rPr>
                <w:rFonts w:eastAsia="宋体"/>
              </w:rPr>
              <w:t>生活垃圾</w:t>
            </w:r>
          </w:p>
        </w:tc>
        <w:tc>
          <w:tcPr>
            <w:tcW w:w="1592" w:type="dxa"/>
          </w:tcPr>
          <w:p w14:paraId="115E8B15" w14:textId="77777777" w:rsidR="00D170E5" w:rsidRPr="002B55E9" w:rsidRDefault="00EF27AD" w:rsidP="00B40496">
            <w:pPr>
              <w:pStyle w:val="lgy-"/>
              <w:rPr>
                <w:rFonts w:eastAsia="宋体"/>
              </w:rPr>
            </w:pPr>
            <w:r w:rsidRPr="002B55E9">
              <w:rPr>
                <w:rFonts w:eastAsia="宋体"/>
              </w:rPr>
              <w:t>44.88</w:t>
            </w:r>
          </w:p>
        </w:tc>
        <w:tc>
          <w:tcPr>
            <w:tcW w:w="1987" w:type="dxa"/>
          </w:tcPr>
          <w:p w14:paraId="730A4E96" w14:textId="77777777" w:rsidR="00D170E5" w:rsidRPr="002B55E9" w:rsidRDefault="00EF27AD" w:rsidP="00B40496">
            <w:pPr>
              <w:pStyle w:val="lgy-"/>
              <w:rPr>
                <w:rFonts w:eastAsia="宋体"/>
              </w:rPr>
            </w:pPr>
            <w:r w:rsidRPr="002B55E9">
              <w:rPr>
                <w:rFonts w:eastAsia="宋体"/>
              </w:rPr>
              <w:t>44.88</w:t>
            </w:r>
          </w:p>
        </w:tc>
        <w:tc>
          <w:tcPr>
            <w:tcW w:w="1592" w:type="dxa"/>
            <w:vMerge w:val="restart"/>
          </w:tcPr>
          <w:p w14:paraId="6D75C5E7" w14:textId="77777777" w:rsidR="00D170E5" w:rsidRPr="002B55E9" w:rsidRDefault="00EF27AD" w:rsidP="00B40496">
            <w:pPr>
              <w:pStyle w:val="lgy-"/>
              <w:rPr>
                <w:rFonts w:eastAsia="宋体"/>
              </w:rPr>
            </w:pPr>
            <w:r w:rsidRPr="002B55E9">
              <w:rPr>
                <w:rFonts w:eastAsia="宋体"/>
                <w:lang w:bidi="ar"/>
              </w:rPr>
              <w:t xml:space="preserve">0 </w:t>
            </w:r>
          </w:p>
        </w:tc>
      </w:tr>
      <w:tr w:rsidR="002B55E9" w:rsidRPr="002B55E9" w14:paraId="03F16209" w14:textId="77777777" w:rsidTr="00B40496">
        <w:trPr>
          <w:trHeight w:val="283"/>
        </w:trPr>
        <w:tc>
          <w:tcPr>
            <w:tcW w:w="2127" w:type="dxa"/>
            <w:vMerge/>
          </w:tcPr>
          <w:p w14:paraId="699E2252" w14:textId="77777777" w:rsidR="00D170E5" w:rsidRPr="002B55E9" w:rsidRDefault="00D170E5" w:rsidP="00B40496">
            <w:pPr>
              <w:pStyle w:val="lgy-"/>
              <w:rPr>
                <w:rFonts w:eastAsia="宋体"/>
              </w:rPr>
            </w:pPr>
          </w:p>
        </w:tc>
        <w:tc>
          <w:tcPr>
            <w:tcW w:w="2340" w:type="dxa"/>
          </w:tcPr>
          <w:p w14:paraId="72978BA3" w14:textId="77777777" w:rsidR="00D170E5" w:rsidRPr="002B55E9" w:rsidRDefault="00EF27AD" w:rsidP="00B40496">
            <w:pPr>
              <w:pStyle w:val="lgy-"/>
              <w:rPr>
                <w:rFonts w:eastAsia="宋体"/>
              </w:rPr>
            </w:pPr>
            <w:r w:rsidRPr="002B55E9">
              <w:rPr>
                <w:rFonts w:eastAsia="宋体"/>
              </w:rPr>
              <w:t>一般工业固体废物</w:t>
            </w:r>
          </w:p>
        </w:tc>
        <w:tc>
          <w:tcPr>
            <w:tcW w:w="1592" w:type="dxa"/>
          </w:tcPr>
          <w:p w14:paraId="3AD4E2FA" w14:textId="6FEE9437" w:rsidR="00D170E5" w:rsidRPr="002B55E9" w:rsidRDefault="007F5FA9" w:rsidP="00B40496">
            <w:pPr>
              <w:pStyle w:val="lgy-"/>
              <w:rPr>
                <w:rFonts w:eastAsia="宋体"/>
              </w:rPr>
            </w:pPr>
            <w:r w:rsidRPr="002B55E9">
              <w:rPr>
                <w:rFonts w:eastAsia="宋体"/>
              </w:rPr>
              <w:t>1113.97</w:t>
            </w:r>
          </w:p>
        </w:tc>
        <w:tc>
          <w:tcPr>
            <w:tcW w:w="1987" w:type="dxa"/>
          </w:tcPr>
          <w:p w14:paraId="141466EA" w14:textId="40A8AA84" w:rsidR="00D170E5" w:rsidRPr="002B55E9" w:rsidRDefault="007F5FA9" w:rsidP="00B40496">
            <w:pPr>
              <w:pStyle w:val="lgy-"/>
              <w:rPr>
                <w:rFonts w:eastAsia="宋体"/>
              </w:rPr>
            </w:pPr>
            <w:r w:rsidRPr="002B55E9">
              <w:rPr>
                <w:rFonts w:eastAsia="宋体"/>
              </w:rPr>
              <w:t>1113.97</w:t>
            </w:r>
          </w:p>
        </w:tc>
        <w:tc>
          <w:tcPr>
            <w:tcW w:w="1592" w:type="dxa"/>
            <w:vMerge/>
          </w:tcPr>
          <w:p w14:paraId="6DBCED88" w14:textId="77777777" w:rsidR="00D170E5" w:rsidRPr="002B55E9" w:rsidRDefault="00D170E5" w:rsidP="00B40496">
            <w:pPr>
              <w:pStyle w:val="lgy-"/>
              <w:rPr>
                <w:rFonts w:eastAsia="宋体"/>
              </w:rPr>
            </w:pPr>
          </w:p>
        </w:tc>
      </w:tr>
      <w:tr w:rsidR="002B55E9" w:rsidRPr="002B55E9" w14:paraId="49293B9D" w14:textId="77777777" w:rsidTr="00B40496">
        <w:trPr>
          <w:trHeight w:val="283"/>
        </w:trPr>
        <w:tc>
          <w:tcPr>
            <w:tcW w:w="2127" w:type="dxa"/>
            <w:vMerge/>
          </w:tcPr>
          <w:p w14:paraId="5E4AAED6" w14:textId="77777777" w:rsidR="00D170E5" w:rsidRPr="002B55E9" w:rsidRDefault="00D170E5" w:rsidP="00B40496">
            <w:pPr>
              <w:pStyle w:val="lgy-"/>
              <w:rPr>
                <w:rFonts w:eastAsia="宋体"/>
              </w:rPr>
            </w:pPr>
          </w:p>
        </w:tc>
        <w:tc>
          <w:tcPr>
            <w:tcW w:w="2340" w:type="dxa"/>
          </w:tcPr>
          <w:p w14:paraId="72223117" w14:textId="77777777" w:rsidR="00D170E5" w:rsidRPr="002B55E9" w:rsidRDefault="00EF27AD" w:rsidP="00B40496">
            <w:pPr>
              <w:pStyle w:val="lgy-"/>
              <w:rPr>
                <w:rFonts w:eastAsia="宋体"/>
              </w:rPr>
            </w:pPr>
            <w:r w:rsidRPr="002B55E9">
              <w:rPr>
                <w:rFonts w:eastAsia="宋体"/>
              </w:rPr>
              <w:t>危险废物</w:t>
            </w:r>
          </w:p>
        </w:tc>
        <w:tc>
          <w:tcPr>
            <w:tcW w:w="1592" w:type="dxa"/>
          </w:tcPr>
          <w:p w14:paraId="24C22808" w14:textId="77777777" w:rsidR="00D170E5" w:rsidRPr="002B55E9" w:rsidRDefault="00EF27AD" w:rsidP="00B40496">
            <w:pPr>
              <w:pStyle w:val="lgy-"/>
              <w:rPr>
                <w:rFonts w:eastAsia="宋体"/>
              </w:rPr>
            </w:pPr>
            <w:r w:rsidRPr="002B55E9">
              <w:rPr>
                <w:rFonts w:eastAsia="宋体"/>
              </w:rPr>
              <w:t>3.12</w:t>
            </w:r>
          </w:p>
        </w:tc>
        <w:tc>
          <w:tcPr>
            <w:tcW w:w="1987" w:type="dxa"/>
          </w:tcPr>
          <w:p w14:paraId="47868B4E" w14:textId="77777777" w:rsidR="00D170E5" w:rsidRPr="002B55E9" w:rsidRDefault="00EF27AD" w:rsidP="00B40496">
            <w:pPr>
              <w:pStyle w:val="lgy-"/>
              <w:rPr>
                <w:rFonts w:eastAsia="宋体"/>
              </w:rPr>
            </w:pPr>
            <w:r w:rsidRPr="002B55E9">
              <w:rPr>
                <w:rFonts w:eastAsia="宋体"/>
              </w:rPr>
              <w:t>3.12</w:t>
            </w:r>
          </w:p>
        </w:tc>
        <w:tc>
          <w:tcPr>
            <w:tcW w:w="1592" w:type="dxa"/>
            <w:vMerge/>
          </w:tcPr>
          <w:p w14:paraId="0F9B055B" w14:textId="77777777" w:rsidR="00D170E5" w:rsidRPr="002B55E9" w:rsidRDefault="00D170E5" w:rsidP="00B40496">
            <w:pPr>
              <w:pStyle w:val="lgy-"/>
              <w:rPr>
                <w:rFonts w:eastAsia="宋体"/>
              </w:rPr>
            </w:pPr>
          </w:p>
        </w:tc>
      </w:tr>
    </w:tbl>
    <w:p w14:paraId="4DE0E1C8" w14:textId="77777777" w:rsidR="00D170E5" w:rsidRPr="002B55E9" w:rsidRDefault="00D170E5">
      <w:pPr>
        <w:pStyle w:val="affff7"/>
        <w:snapToGrid w:val="0"/>
        <w:spacing w:after="0" w:line="240" w:lineRule="auto"/>
        <w:ind w:firstLineChars="0" w:firstLine="0"/>
        <w:jc w:val="center"/>
        <w:rPr>
          <w:rFonts w:eastAsia="黑体"/>
          <w:b/>
        </w:rPr>
      </w:pPr>
    </w:p>
    <w:p w14:paraId="47429723" w14:textId="77777777" w:rsidR="00D170E5" w:rsidRPr="002B55E9" w:rsidRDefault="00D170E5">
      <w:pPr>
        <w:pStyle w:val="affff7"/>
        <w:snapToGrid w:val="0"/>
        <w:spacing w:after="0" w:line="240" w:lineRule="auto"/>
        <w:ind w:firstLineChars="0" w:firstLine="0"/>
        <w:jc w:val="center"/>
        <w:rPr>
          <w:rFonts w:eastAsia="黑体"/>
          <w:b/>
        </w:rPr>
      </w:pPr>
    </w:p>
    <w:p w14:paraId="60ACFF9E" w14:textId="77777777" w:rsidR="00D170E5" w:rsidRPr="002B55E9" w:rsidRDefault="00D170E5">
      <w:pPr>
        <w:pStyle w:val="affff7"/>
        <w:ind w:firstLineChars="0" w:firstLine="0"/>
        <w:sectPr w:rsidR="00D170E5" w:rsidRPr="002B55E9">
          <w:headerReference w:type="default" r:id="rId32"/>
          <w:pgSz w:w="11906" w:h="16838"/>
          <w:pgMar w:top="1134" w:right="1134" w:bottom="1134" w:left="1134" w:header="737" w:footer="624" w:gutter="0"/>
          <w:pgNumType w:chapStyle="1"/>
          <w:cols w:space="720"/>
          <w:docGrid w:linePitch="312"/>
        </w:sectPr>
      </w:pPr>
    </w:p>
    <w:p w14:paraId="67D72B6F" w14:textId="77777777" w:rsidR="00D170E5" w:rsidRPr="002B55E9" w:rsidRDefault="00EF27AD">
      <w:pPr>
        <w:pStyle w:val="2"/>
      </w:pPr>
      <w:bookmarkStart w:id="168" w:name="_Toc121711634"/>
      <w:bookmarkStart w:id="169" w:name="_Toc119308989"/>
      <w:bookmarkStart w:id="170" w:name="_Toc169616408"/>
      <w:bookmarkStart w:id="171" w:name="_Toc124238103"/>
      <w:bookmarkEnd w:id="40"/>
      <w:bookmarkEnd w:id="41"/>
      <w:bookmarkEnd w:id="63"/>
      <w:bookmarkEnd w:id="64"/>
      <w:bookmarkEnd w:id="65"/>
      <w:bookmarkEnd w:id="66"/>
      <w:bookmarkEnd w:id="67"/>
      <w:bookmarkEnd w:id="68"/>
      <w:r w:rsidRPr="002B55E9">
        <w:lastRenderedPageBreak/>
        <w:t>环境现状调查与评价</w:t>
      </w:r>
      <w:bookmarkEnd w:id="168"/>
      <w:bookmarkEnd w:id="169"/>
      <w:bookmarkEnd w:id="170"/>
      <w:bookmarkEnd w:id="171"/>
    </w:p>
    <w:p w14:paraId="44AA35C3" w14:textId="77777777" w:rsidR="00D170E5" w:rsidRPr="002B55E9" w:rsidRDefault="00EF27AD">
      <w:pPr>
        <w:pStyle w:val="3"/>
      </w:pPr>
      <w:bookmarkStart w:id="172" w:name="_Toc139440620"/>
      <w:bookmarkStart w:id="173" w:name="_Toc119308990"/>
      <w:bookmarkStart w:id="174" w:name="_Toc141528279"/>
      <w:bookmarkStart w:id="175" w:name="_Toc104708375"/>
      <w:bookmarkStart w:id="176" w:name="_Toc104708227"/>
      <w:bookmarkStart w:id="177" w:name="_Toc121711637"/>
      <w:r w:rsidRPr="002B55E9">
        <w:t>自然环境概况</w:t>
      </w:r>
      <w:bookmarkEnd w:id="172"/>
      <w:bookmarkEnd w:id="173"/>
      <w:bookmarkEnd w:id="174"/>
    </w:p>
    <w:p w14:paraId="50DD5E05" w14:textId="77777777" w:rsidR="00D170E5" w:rsidRPr="002B55E9" w:rsidRDefault="00EF27AD">
      <w:pPr>
        <w:pStyle w:val="4"/>
        <w:rPr>
          <w:color w:val="auto"/>
        </w:rPr>
      </w:pPr>
      <w:bookmarkStart w:id="178" w:name="_Toc141528281"/>
      <w:bookmarkStart w:id="179" w:name="_Toc139440622"/>
      <w:r w:rsidRPr="002B55E9">
        <w:rPr>
          <w:color w:val="auto"/>
        </w:rPr>
        <w:t>地理位置</w:t>
      </w:r>
    </w:p>
    <w:p w14:paraId="576CBA09" w14:textId="77777777" w:rsidR="00D170E5" w:rsidRPr="002B55E9" w:rsidRDefault="00EF27AD">
      <w:pPr>
        <w:pStyle w:val="affff7"/>
        <w:spacing w:after="0"/>
      </w:pPr>
      <w:r w:rsidRPr="002B55E9">
        <w:t>武汉市简称</w:t>
      </w:r>
      <w:r w:rsidRPr="002B55E9">
        <w:t>“</w:t>
      </w:r>
      <w:r w:rsidRPr="002B55E9">
        <w:t>汉</w:t>
      </w:r>
      <w:r w:rsidRPr="002B55E9">
        <w:t>”</w:t>
      </w:r>
      <w:r w:rsidRPr="002B55E9">
        <w:t>，俗称</w:t>
      </w:r>
      <w:r w:rsidRPr="002B55E9">
        <w:t>“</w:t>
      </w:r>
      <w:r w:rsidRPr="002B55E9">
        <w:t>江城</w:t>
      </w:r>
      <w:r w:rsidRPr="002B55E9">
        <w:t>”</w:t>
      </w:r>
      <w:r w:rsidRPr="002B55E9">
        <w:t>，位于中国腹地中心，长江与汉江交汇处，是湖北省省会，华中地区和长江中游地区的经济、科技、教育和文化中心，全国特大城市和重要的交通枢纽。地理位置为东经</w:t>
      </w:r>
      <w:r w:rsidRPr="002B55E9">
        <w:t>113°41′</w:t>
      </w:r>
      <w:r w:rsidRPr="002B55E9">
        <w:t>～</w:t>
      </w:r>
      <w:r w:rsidRPr="002B55E9">
        <w:t>115°05′</w:t>
      </w:r>
      <w:r w:rsidRPr="002B55E9">
        <w:t>，北纬</w:t>
      </w:r>
      <w:r w:rsidRPr="002B55E9">
        <w:t>29°58′</w:t>
      </w:r>
      <w:r w:rsidRPr="002B55E9">
        <w:t>～</w:t>
      </w:r>
      <w:r w:rsidRPr="002B55E9">
        <w:t>31°22′</w:t>
      </w:r>
      <w:r w:rsidRPr="002B55E9">
        <w:t>。东邻黄州市、鄂州市、大冶市，南接咸宁市、嘉鱼市、洪湖市，西界仙桃市、汉川市、孝感市，北与大悟县、红安县、麻城市接壤。东西最大横距为</w:t>
      </w:r>
      <w:r w:rsidRPr="002B55E9">
        <w:t>134</w:t>
      </w:r>
      <w:r w:rsidRPr="002B55E9">
        <w:t>千米，南北最大纵距为</w:t>
      </w:r>
      <w:r w:rsidRPr="002B55E9">
        <w:t>155</w:t>
      </w:r>
      <w:r w:rsidRPr="002B55E9">
        <w:t>千米，长江与汉水将武汉分为汉口、汉阳、武昌三部分，通称武汉三镇。武汉分为江岸、江汉区等七个城区和蔡甸、江夏区等六个远城区以及</w:t>
      </w:r>
      <w:r w:rsidRPr="002B55E9">
        <w:t>3</w:t>
      </w:r>
      <w:r w:rsidRPr="002B55E9">
        <w:t>个国家级开发区。</w:t>
      </w:r>
    </w:p>
    <w:p w14:paraId="0129CB68" w14:textId="77777777" w:rsidR="00D170E5" w:rsidRPr="002B55E9" w:rsidRDefault="00EF27AD">
      <w:pPr>
        <w:pStyle w:val="affff7"/>
        <w:rPr>
          <w:rFonts w:hAnsi="宋体"/>
        </w:rPr>
      </w:pPr>
      <w:r w:rsidRPr="002B55E9">
        <w:rPr>
          <w:rFonts w:hAnsi="宋体" w:hint="eastAsia"/>
        </w:rPr>
        <w:t>东西湖区位于武汉市区西北，地处长江左岸，位于北纬</w:t>
      </w:r>
      <w:r w:rsidRPr="002B55E9">
        <w:t>30°34′</w:t>
      </w:r>
      <w:r w:rsidRPr="002B55E9">
        <w:t>～</w:t>
      </w:r>
      <w:r w:rsidRPr="002B55E9">
        <w:t>30°47′</w:t>
      </w:r>
      <w:r w:rsidRPr="002B55E9">
        <w:t>、</w:t>
      </w:r>
      <w:r w:rsidRPr="002B55E9">
        <w:rPr>
          <w:rFonts w:hAnsi="宋体" w:hint="eastAsia"/>
        </w:rPr>
        <w:t>东经</w:t>
      </w:r>
      <w:r w:rsidRPr="002B55E9">
        <w:t>113°53′</w:t>
      </w:r>
      <w:r w:rsidRPr="002B55E9">
        <w:t>～</w:t>
      </w:r>
      <w:r w:rsidRPr="002B55E9">
        <w:t>114°30′</w:t>
      </w:r>
      <w:r w:rsidRPr="002B55E9">
        <w:rPr>
          <w:rFonts w:hAnsi="宋体" w:hint="eastAsia"/>
        </w:rPr>
        <w:t>之间。全境三面环水，为府河、汉江及张公堤所环绕。东接张公堤与硚口区、江汉区、江岸区接壤，西临汉北河与孝感市相邻，南与蔡甸区隔汉江相望，北与黄陂区以府河为界。境域自姑嫂树向西沿张公堤至舵落口接汉江干堤至新沟，再接旧府河堤至辛安渡，东北沿沦河、府河（又名捷泾河）经北泾嘴、黄花涝、大李家墩至戴家山，全境东西长</w:t>
      </w:r>
      <w:r w:rsidRPr="002B55E9">
        <w:t>38km</w:t>
      </w:r>
      <w:r w:rsidRPr="002B55E9">
        <w:rPr>
          <w:rFonts w:hAnsi="宋体" w:hint="eastAsia"/>
        </w:rPr>
        <w:t>，南北宽</w:t>
      </w:r>
      <w:r w:rsidRPr="002B55E9">
        <w:t>22</w:t>
      </w:r>
      <w:r w:rsidRPr="002B55E9">
        <w:rPr>
          <w:rFonts w:hAnsi="宋体"/>
        </w:rPr>
        <w:t>.</w:t>
      </w:r>
      <w:r w:rsidRPr="002B55E9">
        <w:t>5km</w:t>
      </w:r>
      <w:r w:rsidRPr="002B55E9">
        <w:rPr>
          <w:rFonts w:hAnsi="宋体" w:hint="eastAsia"/>
        </w:rPr>
        <w:t>，总面积</w:t>
      </w:r>
      <w:r w:rsidRPr="002B55E9">
        <w:t>499</w:t>
      </w:r>
      <w:r w:rsidRPr="002B55E9">
        <w:rPr>
          <w:rFonts w:hAnsi="宋体"/>
        </w:rPr>
        <w:t>.</w:t>
      </w:r>
      <w:r w:rsidRPr="002B55E9">
        <w:t>71km</w:t>
      </w:r>
      <w:r w:rsidRPr="002B55E9">
        <w:rPr>
          <w:vertAlign w:val="superscript"/>
        </w:rPr>
        <w:t>2</w:t>
      </w:r>
      <w:r w:rsidRPr="002B55E9">
        <w:rPr>
          <w:rFonts w:hAnsi="宋体" w:hint="eastAsia"/>
        </w:rPr>
        <w:t>。</w:t>
      </w:r>
    </w:p>
    <w:p w14:paraId="3B6D09FB" w14:textId="77777777" w:rsidR="00D170E5" w:rsidRPr="002B55E9" w:rsidRDefault="00EF27AD">
      <w:pPr>
        <w:pStyle w:val="affff7"/>
        <w:snapToGrid w:val="0"/>
        <w:spacing w:after="0"/>
      </w:pPr>
      <w:r w:rsidRPr="002B55E9">
        <w:t>拟建项目</w:t>
      </w:r>
      <w:r w:rsidRPr="002B55E9">
        <w:rPr>
          <w:rFonts w:hint="eastAsia"/>
        </w:rPr>
        <w:t>选址</w:t>
      </w:r>
      <w:r w:rsidRPr="002B55E9">
        <w:t>于</w:t>
      </w:r>
      <w:r w:rsidRPr="002B55E9">
        <w:rPr>
          <w:rFonts w:hint="eastAsia"/>
        </w:rPr>
        <w:t>东西湖区革新大道以西、兴工六路以南。地理位置图见附图</w:t>
      </w:r>
      <w:r w:rsidRPr="002B55E9">
        <w:rPr>
          <w:rFonts w:hint="eastAsia"/>
        </w:rPr>
        <w:t>1</w:t>
      </w:r>
      <w:r w:rsidRPr="002B55E9">
        <w:rPr>
          <w:rFonts w:hint="eastAsia"/>
        </w:rPr>
        <w:t>，项目周边关系示意图见附图</w:t>
      </w:r>
      <w:r w:rsidRPr="002B55E9">
        <w:rPr>
          <w:rFonts w:hint="eastAsia"/>
        </w:rPr>
        <w:t>2</w:t>
      </w:r>
      <w:r w:rsidRPr="002B55E9">
        <w:rPr>
          <w:rFonts w:hint="eastAsia"/>
        </w:rPr>
        <w:t>。</w:t>
      </w:r>
    </w:p>
    <w:p w14:paraId="6124BAAC" w14:textId="77777777" w:rsidR="00D170E5" w:rsidRPr="002B55E9" w:rsidRDefault="00EF27AD">
      <w:pPr>
        <w:pStyle w:val="4"/>
        <w:rPr>
          <w:color w:val="auto"/>
        </w:rPr>
      </w:pPr>
      <w:r w:rsidRPr="002B55E9">
        <w:rPr>
          <w:rFonts w:hint="eastAsia"/>
          <w:color w:val="auto"/>
        </w:rPr>
        <w:t>气候与气象</w:t>
      </w:r>
    </w:p>
    <w:p w14:paraId="591A51A4"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武汉市地处中纬度，太阳辐射季节性差别大，远离海洋，陆面多为矿山群，春夏季下垫面粗糙且增湿快，对流强，加之受东亚季风环流影响，其气候特征冬冷夏热、四季分明，光照充足，热能丰富，雨量充沛，为典型的亚热带东亚大陆性气候。</w:t>
      </w:r>
    </w:p>
    <w:p w14:paraId="61BAF5C4" w14:textId="77777777" w:rsidR="00D170E5" w:rsidRPr="002B55E9" w:rsidRDefault="00EF27AD">
      <w:pPr>
        <w:spacing w:after="60" w:line="360" w:lineRule="auto"/>
        <w:ind w:firstLineChars="200" w:firstLine="480"/>
        <w:rPr>
          <w:kern w:val="2"/>
          <w:sz w:val="24"/>
          <w:szCs w:val="24"/>
        </w:rPr>
      </w:pPr>
      <w:r w:rsidRPr="002B55E9">
        <w:rPr>
          <w:rFonts w:hint="eastAsia"/>
          <w:kern w:val="2"/>
          <w:sz w:val="24"/>
          <w:szCs w:val="24"/>
        </w:rPr>
        <w:t>东西湖区地处北半球中纬度地带，属亚热带大陆性季风气候，气候温和，降水丰沛，雨热同季，四季分明，日照充足，无霜期长。既具有湖北一般气候特征，又具有本区鲜明特点：一是季风明显，夏季多东南风，温暖潮湿，冬季多西北风，干燥寒冷；二是“低湖效应”明显，冷气沉积，平均气温较市区低</w:t>
      </w:r>
      <w:r w:rsidRPr="002B55E9">
        <w:rPr>
          <w:rFonts w:hint="eastAsia"/>
          <w:kern w:val="2"/>
          <w:sz w:val="24"/>
          <w:szCs w:val="24"/>
        </w:rPr>
        <w:t>2~3</w:t>
      </w:r>
      <w:r w:rsidRPr="002B55E9">
        <w:rPr>
          <w:rFonts w:hint="eastAsia"/>
          <w:kern w:val="2"/>
          <w:sz w:val="24"/>
          <w:szCs w:val="24"/>
        </w:rPr>
        <w:t>℃。</w:t>
      </w:r>
    </w:p>
    <w:p w14:paraId="5C733D56" w14:textId="77777777" w:rsidR="00D170E5" w:rsidRPr="002B55E9" w:rsidRDefault="00EF27AD">
      <w:pPr>
        <w:pStyle w:val="4"/>
        <w:rPr>
          <w:color w:val="auto"/>
        </w:rPr>
      </w:pPr>
      <w:r w:rsidRPr="002B55E9">
        <w:rPr>
          <w:rFonts w:hint="eastAsia"/>
          <w:color w:val="auto"/>
        </w:rPr>
        <w:lastRenderedPageBreak/>
        <w:t>水文水系</w:t>
      </w:r>
    </w:p>
    <w:p w14:paraId="4C0503FA" w14:textId="77777777" w:rsidR="00D170E5" w:rsidRPr="002B55E9" w:rsidRDefault="00EF27AD">
      <w:pPr>
        <w:spacing w:after="60" w:line="360" w:lineRule="auto"/>
        <w:ind w:firstLine="482"/>
        <w:rPr>
          <w:kern w:val="2"/>
          <w:sz w:val="24"/>
        </w:rPr>
      </w:pPr>
      <w:r w:rsidRPr="002B55E9">
        <w:rPr>
          <w:rFonts w:hint="eastAsia"/>
          <w:kern w:val="2"/>
          <w:sz w:val="24"/>
        </w:rPr>
        <w:t>东西湖区三面环水，四周防洪堤围绕，属独立的封闭水系。境内河渠纵横，湖港交织，具有得水独优的水资源优势。全区国土面积</w:t>
      </w:r>
      <w:r w:rsidRPr="002B55E9">
        <w:rPr>
          <w:rFonts w:hint="eastAsia"/>
          <w:kern w:val="2"/>
          <w:sz w:val="24"/>
        </w:rPr>
        <w:t>499.71km</w:t>
      </w:r>
      <w:r w:rsidRPr="002B55E9">
        <w:rPr>
          <w:rFonts w:hint="eastAsia"/>
          <w:kern w:val="2"/>
          <w:sz w:val="24"/>
          <w:vertAlign w:val="superscript"/>
        </w:rPr>
        <w:t>2</w:t>
      </w:r>
      <w:r w:rsidRPr="002B55E9">
        <w:rPr>
          <w:rFonts w:hint="eastAsia"/>
          <w:kern w:val="2"/>
          <w:sz w:val="24"/>
        </w:rPr>
        <w:t>，河道、沟渠、湖泊、鱼塘等水域面积</w:t>
      </w:r>
      <w:r w:rsidRPr="002B55E9">
        <w:rPr>
          <w:rFonts w:hint="eastAsia"/>
          <w:kern w:val="2"/>
          <w:sz w:val="24"/>
        </w:rPr>
        <w:t>103.5km</w:t>
      </w:r>
      <w:r w:rsidRPr="002B55E9">
        <w:rPr>
          <w:rFonts w:hint="eastAsia"/>
          <w:kern w:val="2"/>
          <w:sz w:val="24"/>
          <w:vertAlign w:val="superscript"/>
        </w:rPr>
        <w:t>2</w:t>
      </w:r>
      <w:r w:rsidRPr="002B55E9">
        <w:rPr>
          <w:rFonts w:hint="eastAsia"/>
          <w:kern w:val="2"/>
          <w:sz w:val="24"/>
        </w:rPr>
        <w:t>，占总面积的</w:t>
      </w:r>
      <w:r w:rsidRPr="002B55E9">
        <w:rPr>
          <w:rFonts w:hint="eastAsia"/>
          <w:kern w:val="2"/>
          <w:sz w:val="24"/>
        </w:rPr>
        <w:t>20.9%</w:t>
      </w:r>
      <w:r w:rsidRPr="002B55E9">
        <w:rPr>
          <w:rFonts w:hint="eastAsia"/>
          <w:kern w:val="2"/>
          <w:sz w:val="24"/>
        </w:rPr>
        <w:t>（全市</w:t>
      </w:r>
      <w:r w:rsidRPr="002B55E9">
        <w:rPr>
          <w:rFonts w:hint="eastAsia"/>
          <w:kern w:val="2"/>
          <w:sz w:val="24"/>
        </w:rPr>
        <w:t>23.2%</w:t>
      </w:r>
      <w:r w:rsidRPr="002B55E9">
        <w:rPr>
          <w:rFonts w:hint="eastAsia"/>
          <w:kern w:val="2"/>
          <w:sz w:val="24"/>
        </w:rPr>
        <w:t>）。全区多年平均降雨量</w:t>
      </w:r>
      <w:r w:rsidRPr="002B55E9">
        <w:rPr>
          <w:rFonts w:hint="eastAsia"/>
          <w:kern w:val="2"/>
          <w:sz w:val="24"/>
        </w:rPr>
        <w:t>1269.4mm</w:t>
      </w:r>
      <w:r w:rsidRPr="002B55E9">
        <w:rPr>
          <w:rFonts w:hint="eastAsia"/>
          <w:kern w:val="2"/>
          <w:sz w:val="24"/>
        </w:rPr>
        <w:t>，降雨量年内、年际变化较大，多年平均汛期</w:t>
      </w:r>
      <w:r w:rsidRPr="002B55E9">
        <w:rPr>
          <w:rFonts w:hint="eastAsia"/>
          <w:kern w:val="2"/>
          <w:sz w:val="24"/>
        </w:rPr>
        <w:t>4</w:t>
      </w:r>
      <w:r w:rsidRPr="002B55E9">
        <w:rPr>
          <w:rFonts w:hint="eastAsia"/>
          <w:kern w:val="2"/>
          <w:sz w:val="24"/>
        </w:rPr>
        <w:t>至</w:t>
      </w:r>
      <w:r w:rsidRPr="002B55E9">
        <w:rPr>
          <w:rFonts w:hint="eastAsia"/>
          <w:kern w:val="2"/>
          <w:sz w:val="24"/>
        </w:rPr>
        <w:t>9</w:t>
      </w:r>
      <w:r w:rsidRPr="002B55E9">
        <w:rPr>
          <w:rFonts w:hint="eastAsia"/>
          <w:kern w:val="2"/>
          <w:sz w:val="24"/>
        </w:rPr>
        <w:t>月降雨量占全年平均的</w:t>
      </w:r>
      <w:r w:rsidRPr="002B55E9">
        <w:rPr>
          <w:rFonts w:hint="eastAsia"/>
          <w:kern w:val="2"/>
          <w:sz w:val="24"/>
        </w:rPr>
        <w:t>70.2%</w:t>
      </w:r>
      <w:r w:rsidRPr="002B55E9">
        <w:rPr>
          <w:rFonts w:hint="eastAsia"/>
          <w:kern w:val="2"/>
          <w:sz w:val="24"/>
        </w:rPr>
        <w:t>，其中</w:t>
      </w:r>
      <w:r w:rsidRPr="002B55E9">
        <w:rPr>
          <w:rFonts w:hint="eastAsia"/>
          <w:kern w:val="2"/>
          <w:sz w:val="24"/>
        </w:rPr>
        <w:t>6</w:t>
      </w:r>
      <w:r w:rsidRPr="002B55E9">
        <w:rPr>
          <w:rFonts w:hint="eastAsia"/>
          <w:kern w:val="2"/>
          <w:sz w:val="24"/>
        </w:rPr>
        <w:t>月占全年</w:t>
      </w:r>
      <w:r w:rsidRPr="002B55E9">
        <w:rPr>
          <w:rFonts w:hint="eastAsia"/>
          <w:kern w:val="2"/>
          <w:sz w:val="24"/>
        </w:rPr>
        <w:t>17.6%</w:t>
      </w:r>
      <w:r w:rsidRPr="002B55E9">
        <w:rPr>
          <w:rFonts w:hint="eastAsia"/>
          <w:kern w:val="2"/>
          <w:sz w:val="24"/>
        </w:rPr>
        <w:t>，为最多降雨月，</w:t>
      </w:r>
      <w:r w:rsidRPr="002B55E9">
        <w:rPr>
          <w:rFonts w:hint="eastAsia"/>
          <w:kern w:val="2"/>
          <w:sz w:val="24"/>
        </w:rPr>
        <w:t>12</w:t>
      </w:r>
      <w:r w:rsidRPr="002B55E9">
        <w:rPr>
          <w:rFonts w:hint="eastAsia"/>
          <w:kern w:val="2"/>
          <w:sz w:val="24"/>
        </w:rPr>
        <w:t>月降雨量占全年的</w:t>
      </w:r>
      <w:r w:rsidRPr="002B55E9">
        <w:rPr>
          <w:rFonts w:hint="eastAsia"/>
          <w:kern w:val="2"/>
          <w:sz w:val="24"/>
        </w:rPr>
        <w:t>2.3%</w:t>
      </w:r>
      <w:r w:rsidRPr="002B55E9">
        <w:rPr>
          <w:rFonts w:hint="eastAsia"/>
          <w:kern w:val="2"/>
          <w:sz w:val="24"/>
        </w:rPr>
        <w:t>，为最少月。丰水年如</w:t>
      </w:r>
      <w:r w:rsidRPr="002B55E9">
        <w:rPr>
          <w:rFonts w:hint="eastAsia"/>
          <w:kern w:val="2"/>
          <w:sz w:val="24"/>
        </w:rPr>
        <w:t>1983</w:t>
      </w:r>
      <w:r w:rsidRPr="002B55E9">
        <w:rPr>
          <w:rFonts w:hint="eastAsia"/>
          <w:kern w:val="2"/>
          <w:sz w:val="24"/>
        </w:rPr>
        <w:t>年，吴家山站年降雨量达</w:t>
      </w:r>
      <w:r w:rsidRPr="002B55E9">
        <w:rPr>
          <w:rFonts w:hint="eastAsia"/>
          <w:kern w:val="2"/>
          <w:sz w:val="24"/>
        </w:rPr>
        <w:t>1927mm</w:t>
      </w:r>
      <w:r w:rsidRPr="002B55E9">
        <w:rPr>
          <w:rFonts w:hint="eastAsia"/>
          <w:kern w:val="2"/>
          <w:sz w:val="24"/>
        </w:rPr>
        <w:t>；枯水年如</w:t>
      </w:r>
      <w:r w:rsidRPr="002B55E9">
        <w:rPr>
          <w:rFonts w:hint="eastAsia"/>
          <w:kern w:val="2"/>
          <w:sz w:val="24"/>
        </w:rPr>
        <w:t xml:space="preserve">1966 </w:t>
      </w:r>
      <w:r w:rsidRPr="002B55E9">
        <w:rPr>
          <w:rFonts w:hint="eastAsia"/>
          <w:kern w:val="2"/>
          <w:sz w:val="24"/>
        </w:rPr>
        <w:t>年，降雨量仅</w:t>
      </w:r>
      <w:r w:rsidRPr="002B55E9">
        <w:rPr>
          <w:rFonts w:hint="eastAsia"/>
          <w:kern w:val="2"/>
          <w:sz w:val="24"/>
        </w:rPr>
        <w:t>861.7mm</w:t>
      </w:r>
      <w:r w:rsidRPr="002B55E9">
        <w:rPr>
          <w:rFonts w:hint="eastAsia"/>
          <w:kern w:val="2"/>
          <w:sz w:val="24"/>
        </w:rPr>
        <w:t>，丰枯相差</w:t>
      </w:r>
      <w:r w:rsidRPr="002B55E9">
        <w:rPr>
          <w:rFonts w:hint="eastAsia"/>
          <w:kern w:val="2"/>
          <w:sz w:val="24"/>
        </w:rPr>
        <w:t>1</w:t>
      </w:r>
      <w:r w:rsidRPr="002B55E9">
        <w:rPr>
          <w:rFonts w:hint="eastAsia"/>
          <w:kern w:val="2"/>
          <w:sz w:val="24"/>
        </w:rPr>
        <w:t>倍以上。全区多年平均地表径流深为</w:t>
      </w:r>
      <w:r w:rsidRPr="002B55E9">
        <w:rPr>
          <w:rFonts w:hint="eastAsia"/>
          <w:kern w:val="2"/>
          <w:sz w:val="24"/>
        </w:rPr>
        <w:t>500mm</w:t>
      </w:r>
      <w:r w:rsidRPr="002B55E9">
        <w:rPr>
          <w:rFonts w:hint="eastAsia"/>
          <w:kern w:val="2"/>
          <w:sz w:val="24"/>
        </w:rPr>
        <w:t>左右，径流模数为</w:t>
      </w:r>
      <w:r w:rsidRPr="002B55E9">
        <w:rPr>
          <w:rFonts w:hint="eastAsia"/>
          <w:kern w:val="2"/>
          <w:sz w:val="24"/>
        </w:rPr>
        <w:t>51.1</w:t>
      </w:r>
      <w:r w:rsidRPr="002B55E9">
        <w:rPr>
          <w:rFonts w:hint="eastAsia"/>
          <w:kern w:val="2"/>
          <w:sz w:val="24"/>
        </w:rPr>
        <w:t>万</w:t>
      </w:r>
      <w:r w:rsidRPr="002B55E9">
        <w:rPr>
          <w:rFonts w:hint="eastAsia"/>
          <w:kern w:val="2"/>
          <w:sz w:val="24"/>
        </w:rPr>
        <w:t>m</w:t>
      </w:r>
      <w:r w:rsidRPr="002B55E9">
        <w:rPr>
          <w:rFonts w:hint="eastAsia"/>
          <w:kern w:val="2"/>
          <w:sz w:val="24"/>
        </w:rPr>
        <w:t>³</w:t>
      </w:r>
      <w:r w:rsidRPr="002B55E9">
        <w:rPr>
          <w:rFonts w:hint="eastAsia"/>
          <w:kern w:val="2"/>
          <w:sz w:val="24"/>
        </w:rPr>
        <w:t>/km2</w:t>
      </w:r>
      <w:r w:rsidRPr="002B55E9">
        <w:rPr>
          <w:rFonts w:hint="eastAsia"/>
          <w:kern w:val="2"/>
          <w:sz w:val="24"/>
        </w:rPr>
        <w:t>年，多年平均地表水径流量为</w:t>
      </w:r>
      <w:r w:rsidRPr="002B55E9">
        <w:rPr>
          <w:rFonts w:hint="eastAsia"/>
          <w:kern w:val="2"/>
          <w:sz w:val="24"/>
        </w:rPr>
        <w:t>2.2948</w:t>
      </w:r>
      <w:r w:rsidRPr="002B55E9">
        <w:rPr>
          <w:rFonts w:hint="eastAsia"/>
          <w:kern w:val="2"/>
          <w:sz w:val="24"/>
        </w:rPr>
        <w:t>亿</w:t>
      </w:r>
      <w:r w:rsidRPr="002B55E9">
        <w:rPr>
          <w:rFonts w:hint="eastAsia"/>
          <w:kern w:val="2"/>
          <w:sz w:val="24"/>
        </w:rPr>
        <w:t>m</w:t>
      </w:r>
      <w:r w:rsidRPr="002B55E9">
        <w:rPr>
          <w:rFonts w:hint="eastAsia"/>
          <w:kern w:val="2"/>
          <w:sz w:val="24"/>
        </w:rPr>
        <w:t>³。</w:t>
      </w:r>
    </w:p>
    <w:p w14:paraId="777671B2" w14:textId="77777777" w:rsidR="00D170E5" w:rsidRPr="002B55E9" w:rsidRDefault="00EF27AD">
      <w:pPr>
        <w:spacing w:after="60" w:line="360" w:lineRule="auto"/>
        <w:ind w:firstLine="482"/>
        <w:rPr>
          <w:kern w:val="2"/>
          <w:sz w:val="24"/>
        </w:rPr>
      </w:pPr>
      <w:r w:rsidRPr="002B55E9">
        <w:rPr>
          <w:rFonts w:hint="eastAsia"/>
          <w:kern w:val="2"/>
          <w:sz w:val="24"/>
        </w:rPr>
        <w:t>东西湖区过境水资源丰富，过境河流共</w:t>
      </w:r>
      <w:r w:rsidRPr="002B55E9">
        <w:rPr>
          <w:rFonts w:hint="eastAsia"/>
          <w:kern w:val="2"/>
          <w:sz w:val="24"/>
        </w:rPr>
        <w:t>4</w:t>
      </w:r>
      <w:r w:rsidRPr="002B55E9">
        <w:rPr>
          <w:rFonts w:hint="eastAsia"/>
          <w:kern w:val="2"/>
          <w:sz w:val="24"/>
        </w:rPr>
        <w:t>条，分别为汉江、府河、沦河、汉北河，其多年平均过境水总量为</w:t>
      </w:r>
      <w:r w:rsidRPr="002B55E9">
        <w:rPr>
          <w:rFonts w:hint="eastAsia"/>
          <w:kern w:val="2"/>
          <w:sz w:val="24"/>
        </w:rPr>
        <w:t>580</w:t>
      </w:r>
      <w:r w:rsidRPr="002B55E9">
        <w:rPr>
          <w:rFonts w:hint="eastAsia"/>
          <w:kern w:val="2"/>
          <w:sz w:val="24"/>
        </w:rPr>
        <w:t>亿</w:t>
      </w:r>
      <w:r w:rsidRPr="002B55E9">
        <w:rPr>
          <w:rFonts w:hint="eastAsia"/>
          <w:kern w:val="2"/>
          <w:sz w:val="24"/>
        </w:rPr>
        <w:t>m</w:t>
      </w:r>
      <w:r w:rsidRPr="002B55E9">
        <w:rPr>
          <w:rFonts w:hint="eastAsia"/>
          <w:kern w:val="2"/>
          <w:sz w:val="24"/>
          <w:vertAlign w:val="superscript"/>
        </w:rPr>
        <w:t>3</w:t>
      </w:r>
      <w:r w:rsidRPr="002B55E9">
        <w:rPr>
          <w:rFonts w:hint="eastAsia"/>
          <w:kern w:val="2"/>
          <w:sz w:val="24"/>
        </w:rPr>
        <w:t>。东西湖区在历史上，即为长江、汉江、涢水、府澴河等水体的储水区，现仍通过径河等河渠系统与汉北河、沦河、汉江、府河等水体相通，堤防虽分割了江湖的自然联系，但由于排渍、排涝的要求，各水系与汉江之间又通过排水泵站和排水闸保持着由内向外的单项联系，具有天然的生态联系。东西湖区域内湖泊星罗密布，根据</w:t>
      </w:r>
      <w:r w:rsidRPr="002B55E9">
        <w:rPr>
          <w:rFonts w:hint="eastAsia"/>
          <w:kern w:val="2"/>
          <w:sz w:val="24"/>
        </w:rPr>
        <w:t>2012</w:t>
      </w:r>
      <w:r w:rsidRPr="002B55E9">
        <w:rPr>
          <w:rFonts w:hint="eastAsia"/>
          <w:kern w:val="2"/>
          <w:sz w:val="24"/>
        </w:rPr>
        <w:t>年水利普查数据，东西湖区现有湖泊</w:t>
      </w:r>
      <w:r w:rsidRPr="002B55E9">
        <w:rPr>
          <w:rFonts w:hint="eastAsia"/>
          <w:kern w:val="2"/>
          <w:sz w:val="24"/>
        </w:rPr>
        <w:t>26</w:t>
      </w:r>
      <w:r w:rsidRPr="002B55E9">
        <w:rPr>
          <w:rFonts w:hint="eastAsia"/>
          <w:kern w:val="2"/>
          <w:sz w:val="24"/>
        </w:rPr>
        <w:t>个，水域总面积为</w:t>
      </w:r>
      <w:r w:rsidRPr="002B55E9">
        <w:rPr>
          <w:rFonts w:hint="eastAsia"/>
          <w:kern w:val="2"/>
          <w:sz w:val="24"/>
        </w:rPr>
        <w:t>16.97km</w:t>
      </w:r>
      <w:r w:rsidRPr="002B55E9">
        <w:rPr>
          <w:rFonts w:hint="eastAsia"/>
          <w:kern w:val="2"/>
          <w:sz w:val="24"/>
          <w:vertAlign w:val="superscript"/>
        </w:rPr>
        <w:t>2</w:t>
      </w:r>
      <w:r w:rsidRPr="002B55E9">
        <w:rPr>
          <w:rFonts w:hint="eastAsia"/>
          <w:kern w:val="2"/>
          <w:sz w:val="24"/>
        </w:rPr>
        <w:t>。面积大于</w:t>
      </w:r>
      <w:r w:rsidRPr="002B55E9">
        <w:rPr>
          <w:rFonts w:hint="eastAsia"/>
          <w:kern w:val="2"/>
          <w:sz w:val="24"/>
        </w:rPr>
        <w:t>0.5km</w:t>
      </w:r>
      <w:r w:rsidRPr="002B55E9">
        <w:rPr>
          <w:rFonts w:hint="eastAsia"/>
          <w:kern w:val="2"/>
          <w:sz w:val="24"/>
          <w:vertAlign w:val="superscript"/>
        </w:rPr>
        <w:t>2</w:t>
      </w:r>
      <w:r w:rsidRPr="002B55E9">
        <w:rPr>
          <w:rFonts w:hint="eastAsia"/>
          <w:kern w:val="2"/>
          <w:sz w:val="24"/>
        </w:rPr>
        <w:t>的湖泊</w:t>
      </w:r>
      <w:r w:rsidRPr="002B55E9">
        <w:rPr>
          <w:rFonts w:hint="eastAsia"/>
          <w:kern w:val="2"/>
          <w:sz w:val="24"/>
        </w:rPr>
        <w:t>11</w:t>
      </w:r>
      <w:r w:rsidRPr="002B55E9">
        <w:rPr>
          <w:rFonts w:hint="eastAsia"/>
          <w:kern w:val="2"/>
          <w:sz w:val="24"/>
        </w:rPr>
        <w:t>个，总面积</w:t>
      </w:r>
      <w:r w:rsidRPr="002B55E9">
        <w:rPr>
          <w:rFonts w:hint="eastAsia"/>
          <w:kern w:val="2"/>
          <w:sz w:val="24"/>
        </w:rPr>
        <w:t>13.53km</w:t>
      </w:r>
      <w:r w:rsidRPr="002B55E9">
        <w:rPr>
          <w:rFonts w:hint="eastAsia"/>
          <w:kern w:val="2"/>
          <w:sz w:val="24"/>
          <w:vertAlign w:val="superscript"/>
        </w:rPr>
        <w:t>2</w:t>
      </w:r>
      <w:r w:rsidRPr="002B55E9">
        <w:rPr>
          <w:rFonts w:hint="eastAsia"/>
          <w:kern w:val="2"/>
          <w:sz w:val="24"/>
        </w:rPr>
        <w:t>，小于</w:t>
      </w:r>
      <w:r w:rsidRPr="002B55E9">
        <w:rPr>
          <w:rFonts w:hint="eastAsia"/>
          <w:kern w:val="2"/>
          <w:sz w:val="24"/>
        </w:rPr>
        <w:t>0.5km</w:t>
      </w:r>
      <w:r w:rsidRPr="002B55E9">
        <w:rPr>
          <w:rFonts w:hint="eastAsia"/>
          <w:kern w:val="2"/>
          <w:sz w:val="24"/>
          <w:vertAlign w:val="superscript"/>
        </w:rPr>
        <w:t>2</w:t>
      </w:r>
      <w:r w:rsidRPr="002B55E9">
        <w:rPr>
          <w:rFonts w:hint="eastAsia"/>
          <w:kern w:val="2"/>
          <w:sz w:val="24"/>
        </w:rPr>
        <w:t>的湖泊</w:t>
      </w:r>
      <w:r w:rsidRPr="002B55E9">
        <w:rPr>
          <w:rFonts w:hint="eastAsia"/>
          <w:kern w:val="2"/>
          <w:sz w:val="24"/>
        </w:rPr>
        <w:t>15</w:t>
      </w:r>
      <w:r w:rsidRPr="002B55E9">
        <w:rPr>
          <w:rFonts w:hint="eastAsia"/>
          <w:kern w:val="2"/>
          <w:sz w:val="24"/>
        </w:rPr>
        <w:t>个，总面积</w:t>
      </w:r>
      <w:r w:rsidRPr="002B55E9">
        <w:rPr>
          <w:rFonts w:hint="eastAsia"/>
          <w:kern w:val="2"/>
          <w:sz w:val="24"/>
        </w:rPr>
        <w:t>3.44km</w:t>
      </w:r>
      <w:r w:rsidRPr="002B55E9">
        <w:rPr>
          <w:rFonts w:hint="eastAsia"/>
          <w:kern w:val="2"/>
          <w:sz w:val="24"/>
          <w:vertAlign w:val="superscript"/>
        </w:rPr>
        <w:t>2</w:t>
      </w:r>
      <w:r w:rsidRPr="002B55E9">
        <w:rPr>
          <w:rFonts w:hint="eastAsia"/>
          <w:kern w:val="2"/>
          <w:sz w:val="24"/>
        </w:rPr>
        <w:t>。湖区水位以大湖口水位为基准，一般正常水位在</w:t>
      </w:r>
      <w:r w:rsidRPr="002B55E9">
        <w:rPr>
          <w:rFonts w:hint="eastAsia"/>
          <w:kern w:val="2"/>
          <w:sz w:val="24"/>
        </w:rPr>
        <w:t>20.00m</w:t>
      </w:r>
      <w:r w:rsidRPr="002B55E9">
        <w:rPr>
          <w:rFonts w:hint="eastAsia"/>
          <w:kern w:val="2"/>
          <w:sz w:val="24"/>
        </w:rPr>
        <w:t>左右，最低控制水位为</w:t>
      </w:r>
      <w:r w:rsidRPr="002B55E9">
        <w:rPr>
          <w:rFonts w:hint="eastAsia"/>
          <w:kern w:val="2"/>
          <w:sz w:val="24"/>
        </w:rPr>
        <w:t>19.50m</w:t>
      </w:r>
      <w:r w:rsidRPr="002B55E9">
        <w:rPr>
          <w:rFonts w:hint="eastAsia"/>
          <w:kern w:val="2"/>
          <w:sz w:val="24"/>
        </w:rPr>
        <w:t>，最高控制水位为</w:t>
      </w:r>
      <w:r w:rsidRPr="002B55E9">
        <w:rPr>
          <w:rFonts w:hint="eastAsia"/>
          <w:kern w:val="2"/>
          <w:sz w:val="24"/>
        </w:rPr>
        <w:t>20.50m</w:t>
      </w:r>
      <w:r w:rsidRPr="002B55E9">
        <w:rPr>
          <w:rFonts w:hint="eastAsia"/>
          <w:kern w:val="2"/>
          <w:sz w:val="24"/>
        </w:rPr>
        <w:t>，调蓄水深一般在</w:t>
      </w:r>
      <w:r w:rsidRPr="002B55E9">
        <w:rPr>
          <w:rFonts w:hint="eastAsia"/>
          <w:kern w:val="2"/>
          <w:sz w:val="24"/>
        </w:rPr>
        <w:t>0.5m~1.0m</w:t>
      </w:r>
      <w:r w:rsidRPr="002B55E9">
        <w:rPr>
          <w:rFonts w:hint="eastAsia"/>
          <w:kern w:val="2"/>
          <w:sz w:val="24"/>
        </w:rPr>
        <w:t>，湖水通过排水渠、涵闸、泵站等排入汉江或府河。东西湖区港渠纵横交错、遍布城郊，为东西湖区雨污水排放、水系连通发挥着巨大作用，是水系布局中不可或缺的重要组成部分。港渠最初为湖泊水系及江湖连通的载体、纽带，但其后大多成为城市排水、排污的通道。东西湖区现有排灌沟渠总长度为</w:t>
      </w:r>
      <w:r w:rsidRPr="002B55E9">
        <w:rPr>
          <w:rFonts w:hint="eastAsia"/>
          <w:kern w:val="2"/>
          <w:sz w:val="24"/>
        </w:rPr>
        <w:t>1125.3km</w:t>
      </w:r>
      <w:r w:rsidRPr="002B55E9">
        <w:rPr>
          <w:rFonts w:hint="eastAsia"/>
          <w:kern w:val="2"/>
          <w:sz w:val="24"/>
        </w:rPr>
        <w:t>，其中主要排灌港渠</w:t>
      </w:r>
      <w:r w:rsidRPr="002B55E9">
        <w:rPr>
          <w:rFonts w:hint="eastAsia"/>
          <w:kern w:val="2"/>
          <w:sz w:val="24"/>
        </w:rPr>
        <w:t>98</w:t>
      </w:r>
      <w:r w:rsidRPr="002B55E9">
        <w:rPr>
          <w:rFonts w:hint="eastAsia"/>
          <w:kern w:val="2"/>
          <w:sz w:val="24"/>
        </w:rPr>
        <w:t>条，长度为</w:t>
      </w:r>
      <w:r w:rsidRPr="002B55E9">
        <w:rPr>
          <w:rFonts w:hint="eastAsia"/>
          <w:kern w:val="2"/>
          <w:sz w:val="24"/>
        </w:rPr>
        <w:t>384.19km</w:t>
      </w:r>
      <w:r w:rsidRPr="002B55E9">
        <w:rPr>
          <w:rFonts w:hint="eastAsia"/>
          <w:kern w:val="2"/>
          <w:sz w:val="24"/>
        </w:rPr>
        <w:t>。</w:t>
      </w:r>
    </w:p>
    <w:p w14:paraId="15F4BEBD" w14:textId="77777777" w:rsidR="00D170E5" w:rsidRPr="002B55E9" w:rsidRDefault="00EF27AD">
      <w:pPr>
        <w:spacing w:after="60" w:line="360" w:lineRule="auto"/>
        <w:ind w:firstLine="482"/>
        <w:rPr>
          <w:bCs/>
          <w:kern w:val="2"/>
          <w:sz w:val="24"/>
        </w:rPr>
      </w:pPr>
      <w:r w:rsidRPr="002B55E9">
        <w:rPr>
          <w:bCs/>
          <w:kern w:val="2"/>
          <w:sz w:val="24"/>
        </w:rPr>
        <w:t>府河（又名府澴河、涢水），发源于随州大洪山北麓，从源头灵官垭起，经随州自广水、安陆、云梦、应城、孝南、黄陂，自西北向东南流经东西湖区东北侧，经武汉市谌家矶注入长江，全长</w:t>
      </w:r>
      <w:r w:rsidRPr="002B55E9">
        <w:rPr>
          <w:bCs/>
          <w:kern w:val="2"/>
          <w:sz w:val="24"/>
        </w:rPr>
        <w:t>349km</w:t>
      </w:r>
      <w:r w:rsidRPr="002B55E9">
        <w:rPr>
          <w:bCs/>
          <w:kern w:val="2"/>
          <w:sz w:val="24"/>
        </w:rPr>
        <w:t>，过境长度</w:t>
      </w:r>
      <w:r w:rsidRPr="002B55E9">
        <w:rPr>
          <w:bCs/>
          <w:kern w:val="2"/>
          <w:sz w:val="24"/>
        </w:rPr>
        <w:t>38.5km</w:t>
      </w:r>
      <w:r w:rsidRPr="002B55E9">
        <w:rPr>
          <w:bCs/>
          <w:kern w:val="2"/>
          <w:sz w:val="24"/>
        </w:rPr>
        <w:t>。澴河发源于大别山南麓的灵山，干流全长</w:t>
      </w:r>
      <w:r w:rsidRPr="002B55E9">
        <w:rPr>
          <w:bCs/>
          <w:kern w:val="2"/>
          <w:sz w:val="24"/>
        </w:rPr>
        <w:t>150.8km</w:t>
      </w:r>
      <w:r w:rsidRPr="002B55E9">
        <w:rPr>
          <w:bCs/>
          <w:kern w:val="2"/>
          <w:sz w:val="24"/>
        </w:rPr>
        <w:t>。流经大悟、孝昌、孝南，在孝南的卧龙与府河汇合称府澴河。府河与澴河原来各分其流，府河流入汈汊湖，澴河下游分两条，一条由新沟南流入汉江，一条由沦河东流到捷径河由谌家矶入长江。</w:t>
      </w:r>
      <w:r w:rsidRPr="002B55E9">
        <w:rPr>
          <w:bCs/>
          <w:kern w:val="2"/>
          <w:sz w:val="24"/>
        </w:rPr>
        <w:t>1959</w:t>
      </w:r>
      <w:r w:rsidRPr="002B55E9">
        <w:rPr>
          <w:bCs/>
          <w:kern w:val="2"/>
          <w:sz w:val="24"/>
        </w:rPr>
        <w:t>年，政府实施府澴河改道工程，将府河撇出汈汊湖，改由谌家矶入长江，澴河改入府河，从此府河、澴河成为同一水系。改道工程全长</w:t>
      </w:r>
      <w:r w:rsidRPr="002B55E9">
        <w:rPr>
          <w:bCs/>
          <w:kern w:val="2"/>
          <w:sz w:val="24"/>
        </w:rPr>
        <w:t>83.8km</w:t>
      </w:r>
      <w:r w:rsidRPr="002B55E9">
        <w:rPr>
          <w:bCs/>
          <w:kern w:val="2"/>
          <w:sz w:val="24"/>
        </w:rPr>
        <w:t>。从黄江口经护子潭、卧龙潭至北泾咀与捷径河连，由谌家矶入长江。府河流域面积为</w:t>
      </w:r>
      <w:r w:rsidRPr="002B55E9">
        <w:rPr>
          <w:bCs/>
          <w:kern w:val="2"/>
          <w:sz w:val="24"/>
        </w:rPr>
        <w:t>14769km</w:t>
      </w:r>
      <w:r w:rsidRPr="002B55E9">
        <w:rPr>
          <w:bCs/>
          <w:kern w:val="2"/>
          <w:sz w:val="24"/>
          <w:vertAlign w:val="superscript"/>
        </w:rPr>
        <w:t>2</w:t>
      </w:r>
      <w:r w:rsidRPr="002B55E9">
        <w:rPr>
          <w:bCs/>
          <w:kern w:val="2"/>
          <w:sz w:val="24"/>
        </w:rPr>
        <w:t>，河流沿线修建大中型水库</w:t>
      </w:r>
      <w:r w:rsidRPr="002B55E9">
        <w:rPr>
          <w:bCs/>
          <w:kern w:val="2"/>
          <w:sz w:val="24"/>
        </w:rPr>
        <w:t>27</w:t>
      </w:r>
      <w:r w:rsidRPr="002B55E9">
        <w:rPr>
          <w:bCs/>
          <w:kern w:val="2"/>
          <w:sz w:val="24"/>
        </w:rPr>
        <w:t>座和小型水库</w:t>
      </w:r>
      <w:r w:rsidRPr="002B55E9">
        <w:rPr>
          <w:bCs/>
          <w:kern w:val="2"/>
          <w:sz w:val="24"/>
        </w:rPr>
        <w:t>600</w:t>
      </w:r>
      <w:r w:rsidRPr="002B55E9">
        <w:rPr>
          <w:bCs/>
          <w:kern w:val="2"/>
          <w:sz w:val="24"/>
        </w:rPr>
        <w:t>多座，共拦截流域面积</w:t>
      </w:r>
      <w:r w:rsidRPr="002B55E9">
        <w:rPr>
          <w:bCs/>
          <w:kern w:val="2"/>
          <w:sz w:val="24"/>
        </w:rPr>
        <w:t>3800km</w:t>
      </w:r>
      <w:r w:rsidRPr="002B55E9">
        <w:rPr>
          <w:bCs/>
          <w:kern w:val="2"/>
          <w:sz w:val="24"/>
          <w:vertAlign w:val="superscript"/>
        </w:rPr>
        <w:t>2</w:t>
      </w:r>
      <w:r w:rsidRPr="002B55E9">
        <w:rPr>
          <w:bCs/>
          <w:kern w:val="2"/>
          <w:sz w:val="24"/>
        </w:rPr>
        <w:t>，占总面积的</w:t>
      </w:r>
      <w:r w:rsidRPr="002B55E9">
        <w:rPr>
          <w:bCs/>
          <w:kern w:val="2"/>
          <w:sz w:val="24"/>
        </w:rPr>
        <w:t>26%</w:t>
      </w:r>
      <w:r w:rsidRPr="002B55E9">
        <w:rPr>
          <w:bCs/>
          <w:kern w:val="2"/>
          <w:sz w:val="24"/>
        </w:rPr>
        <w:t>。最高</w:t>
      </w:r>
      <w:r w:rsidRPr="002B55E9">
        <w:rPr>
          <w:bCs/>
          <w:kern w:val="2"/>
          <w:sz w:val="24"/>
        </w:rPr>
        <w:lastRenderedPageBreak/>
        <w:t>水位</w:t>
      </w:r>
      <w:r w:rsidRPr="002B55E9">
        <w:rPr>
          <w:bCs/>
          <w:kern w:val="2"/>
          <w:sz w:val="24"/>
        </w:rPr>
        <w:t>32.76m</w:t>
      </w:r>
      <w:r w:rsidRPr="002B55E9">
        <w:rPr>
          <w:bCs/>
          <w:kern w:val="2"/>
          <w:sz w:val="24"/>
        </w:rPr>
        <w:t>（</w:t>
      </w:r>
      <w:r w:rsidRPr="002B55E9">
        <w:rPr>
          <w:bCs/>
          <w:kern w:val="2"/>
          <w:sz w:val="24"/>
        </w:rPr>
        <w:t>1968</w:t>
      </w:r>
      <w:r w:rsidRPr="002B55E9">
        <w:rPr>
          <w:bCs/>
          <w:kern w:val="2"/>
          <w:sz w:val="24"/>
        </w:rPr>
        <w:t>年</w:t>
      </w:r>
      <w:r w:rsidRPr="002B55E9">
        <w:rPr>
          <w:bCs/>
          <w:kern w:val="2"/>
          <w:sz w:val="24"/>
        </w:rPr>
        <w:t>7</w:t>
      </w:r>
      <w:r w:rsidRPr="002B55E9">
        <w:rPr>
          <w:bCs/>
          <w:kern w:val="2"/>
          <w:sz w:val="24"/>
        </w:rPr>
        <w:t>月</w:t>
      </w:r>
      <w:r w:rsidRPr="002B55E9">
        <w:rPr>
          <w:bCs/>
          <w:kern w:val="2"/>
          <w:sz w:val="24"/>
        </w:rPr>
        <w:t>16</w:t>
      </w:r>
      <w:r w:rsidRPr="002B55E9">
        <w:rPr>
          <w:bCs/>
          <w:kern w:val="2"/>
          <w:sz w:val="24"/>
        </w:rPr>
        <w:t>日隔蒲站），年平均过境水量为</w:t>
      </w:r>
      <w:r w:rsidRPr="002B55E9">
        <w:rPr>
          <w:bCs/>
          <w:kern w:val="2"/>
          <w:sz w:val="24"/>
        </w:rPr>
        <w:t>47.1</w:t>
      </w:r>
      <w:r w:rsidRPr="002B55E9">
        <w:rPr>
          <w:bCs/>
          <w:kern w:val="2"/>
          <w:sz w:val="24"/>
        </w:rPr>
        <w:t>亿方。府河全靠上游降雨来水，洪枯水位相差悬殊，大旱年份则河水断流。</w:t>
      </w:r>
    </w:p>
    <w:p w14:paraId="694622E9" w14:textId="77777777" w:rsidR="00D170E5" w:rsidRPr="002B55E9" w:rsidRDefault="00EF27AD">
      <w:pPr>
        <w:pStyle w:val="4"/>
        <w:rPr>
          <w:color w:val="auto"/>
        </w:rPr>
      </w:pPr>
      <w:r w:rsidRPr="002B55E9">
        <w:rPr>
          <w:rFonts w:hint="eastAsia"/>
          <w:color w:val="auto"/>
        </w:rPr>
        <w:t>地形、地质、地貌</w:t>
      </w:r>
    </w:p>
    <w:p w14:paraId="42B64512"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武汉市东西湖区地处江汉平原的东北缘，地势一马平川。由于过境水系河道的变化，长期的河湖淤积使地理环境不断优化。地貌属岗边湖积平原，自西向东倾斜，间以坡岭。由地形与地势变化及成土母质差别，可分为四种地貌类型。西南部与汉江呈平行带状分布者为高亢冲积平原，地面高程一般在</w:t>
      </w:r>
      <w:r w:rsidRPr="002B55E9">
        <w:rPr>
          <w:rFonts w:hint="eastAsia"/>
          <w:bCs/>
          <w:snapToGrid w:val="0"/>
          <w:sz w:val="24"/>
        </w:rPr>
        <w:t>21.5</w:t>
      </w:r>
      <w:r w:rsidRPr="002B55E9">
        <w:rPr>
          <w:rFonts w:hint="eastAsia"/>
          <w:bCs/>
          <w:snapToGrid w:val="0"/>
          <w:sz w:val="24"/>
        </w:rPr>
        <w:t>～</w:t>
      </w:r>
      <w:r w:rsidRPr="002B55E9">
        <w:rPr>
          <w:rFonts w:hint="eastAsia"/>
          <w:bCs/>
          <w:snapToGrid w:val="0"/>
          <w:sz w:val="24"/>
        </w:rPr>
        <w:t>24m</w:t>
      </w:r>
      <w:r w:rsidRPr="002B55E9">
        <w:rPr>
          <w:rFonts w:hint="eastAsia"/>
          <w:bCs/>
          <w:snapToGrid w:val="0"/>
          <w:sz w:val="24"/>
        </w:rPr>
        <w:t>，以一千五百至二千分之一的坡度沿江堤向腹心逐渐倾斜，地势平坦开阔，占全区总面积的</w:t>
      </w:r>
      <w:r w:rsidRPr="002B55E9">
        <w:rPr>
          <w:rFonts w:hint="eastAsia"/>
          <w:bCs/>
          <w:snapToGrid w:val="0"/>
          <w:sz w:val="24"/>
        </w:rPr>
        <w:t>34.7%</w:t>
      </w:r>
      <w:r w:rsidRPr="002B55E9">
        <w:rPr>
          <w:rFonts w:hint="eastAsia"/>
          <w:bCs/>
          <w:snapToGrid w:val="0"/>
          <w:sz w:val="24"/>
        </w:rPr>
        <w:t>；东北部为垅岗平原，地面高程在</w:t>
      </w:r>
      <w:r w:rsidRPr="002B55E9">
        <w:rPr>
          <w:rFonts w:hint="eastAsia"/>
          <w:bCs/>
          <w:snapToGrid w:val="0"/>
          <w:sz w:val="24"/>
        </w:rPr>
        <w:t>21.5</w:t>
      </w:r>
      <w:r w:rsidRPr="002B55E9">
        <w:rPr>
          <w:rFonts w:hint="eastAsia"/>
          <w:bCs/>
          <w:snapToGrid w:val="0"/>
          <w:sz w:val="24"/>
        </w:rPr>
        <w:t>～</w:t>
      </w:r>
      <w:r w:rsidRPr="002B55E9">
        <w:rPr>
          <w:rFonts w:hint="eastAsia"/>
          <w:bCs/>
          <w:snapToGrid w:val="0"/>
          <w:sz w:val="24"/>
        </w:rPr>
        <w:t>26m</w:t>
      </w:r>
      <w:r w:rsidRPr="002B55E9">
        <w:rPr>
          <w:rFonts w:hint="eastAsia"/>
          <w:bCs/>
          <w:snapToGrid w:val="0"/>
          <w:sz w:val="24"/>
        </w:rPr>
        <w:t>，地势起伏不大，相对高差</w:t>
      </w:r>
      <w:r w:rsidRPr="002B55E9">
        <w:rPr>
          <w:rFonts w:hint="eastAsia"/>
          <w:bCs/>
          <w:snapToGrid w:val="0"/>
          <w:sz w:val="24"/>
        </w:rPr>
        <w:t>1</w:t>
      </w:r>
      <w:r w:rsidRPr="002B55E9">
        <w:rPr>
          <w:rFonts w:hint="eastAsia"/>
          <w:bCs/>
          <w:snapToGrid w:val="0"/>
          <w:sz w:val="24"/>
        </w:rPr>
        <w:t>～</w:t>
      </w:r>
      <w:r w:rsidRPr="002B55E9">
        <w:rPr>
          <w:rFonts w:hint="eastAsia"/>
          <w:bCs/>
          <w:snapToGrid w:val="0"/>
          <w:sz w:val="24"/>
        </w:rPr>
        <w:t>5m</w:t>
      </w:r>
      <w:r w:rsidRPr="002B55E9">
        <w:rPr>
          <w:rFonts w:hint="eastAsia"/>
          <w:bCs/>
          <w:snapToGrid w:val="0"/>
          <w:sz w:val="24"/>
        </w:rPr>
        <w:t>，占全区总面积的</w:t>
      </w:r>
      <w:r w:rsidRPr="002B55E9">
        <w:rPr>
          <w:rFonts w:hint="eastAsia"/>
          <w:bCs/>
          <w:snapToGrid w:val="0"/>
          <w:sz w:val="24"/>
        </w:rPr>
        <w:t>37.4%</w:t>
      </w:r>
      <w:r w:rsidRPr="002B55E9">
        <w:rPr>
          <w:rFonts w:hint="eastAsia"/>
          <w:bCs/>
          <w:snapToGrid w:val="0"/>
          <w:sz w:val="24"/>
        </w:rPr>
        <w:t>；北部为低丘陵，地面高程</w:t>
      </w:r>
      <w:r w:rsidRPr="002B55E9">
        <w:rPr>
          <w:rFonts w:hint="eastAsia"/>
          <w:bCs/>
          <w:snapToGrid w:val="0"/>
          <w:sz w:val="24"/>
        </w:rPr>
        <w:t>60</w:t>
      </w:r>
      <w:r w:rsidRPr="002B55E9">
        <w:rPr>
          <w:rFonts w:hint="eastAsia"/>
          <w:bCs/>
          <w:snapToGrid w:val="0"/>
          <w:sz w:val="24"/>
        </w:rPr>
        <w:t>～</w:t>
      </w:r>
      <w:r w:rsidRPr="002B55E9">
        <w:rPr>
          <w:rFonts w:hint="eastAsia"/>
          <w:bCs/>
          <w:snapToGrid w:val="0"/>
          <w:sz w:val="24"/>
        </w:rPr>
        <w:t>69.1m</w:t>
      </w:r>
      <w:r w:rsidRPr="002B55E9">
        <w:rPr>
          <w:rFonts w:hint="eastAsia"/>
          <w:bCs/>
          <w:snapToGrid w:val="0"/>
          <w:sz w:val="24"/>
        </w:rPr>
        <w:t>，占全区总面积的</w:t>
      </w:r>
      <w:r w:rsidRPr="002B55E9">
        <w:rPr>
          <w:rFonts w:hint="eastAsia"/>
          <w:bCs/>
          <w:snapToGrid w:val="0"/>
          <w:sz w:val="24"/>
        </w:rPr>
        <w:t>1%</w:t>
      </w:r>
      <w:r w:rsidRPr="002B55E9">
        <w:rPr>
          <w:rFonts w:hint="eastAsia"/>
          <w:bCs/>
          <w:snapToGrid w:val="0"/>
          <w:sz w:val="24"/>
        </w:rPr>
        <w:t>；中部为湖积平原，界于冲积平原与垅岗平原之间，地面高程在</w:t>
      </w:r>
      <w:r w:rsidRPr="002B55E9">
        <w:rPr>
          <w:rFonts w:hint="eastAsia"/>
          <w:bCs/>
          <w:snapToGrid w:val="0"/>
          <w:sz w:val="24"/>
        </w:rPr>
        <w:t>18</w:t>
      </w:r>
      <w:r w:rsidRPr="002B55E9">
        <w:rPr>
          <w:rFonts w:hint="eastAsia"/>
          <w:bCs/>
          <w:snapToGrid w:val="0"/>
          <w:sz w:val="24"/>
        </w:rPr>
        <w:t>～</w:t>
      </w:r>
      <w:r w:rsidRPr="002B55E9">
        <w:rPr>
          <w:rFonts w:hint="eastAsia"/>
          <w:bCs/>
          <w:snapToGrid w:val="0"/>
          <w:sz w:val="24"/>
        </w:rPr>
        <w:t>21.5m</w:t>
      </w:r>
      <w:r w:rsidRPr="002B55E9">
        <w:rPr>
          <w:rFonts w:hint="eastAsia"/>
          <w:bCs/>
          <w:snapToGrid w:val="0"/>
          <w:sz w:val="24"/>
        </w:rPr>
        <w:t>之间，地势开阔平缓，占全区总面积的</w:t>
      </w:r>
      <w:r w:rsidRPr="002B55E9">
        <w:rPr>
          <w:rFonts w:hint="eastAsia"/>
          <w:bCs/>
          <w:snapToGrid w:val="0"/>
          <w:sz w:val="24"/>
        </w:rPr>
        <w:t>26.9%</w:t>
      </w:r>
      <w:r w:rsidRPr="002B55E9">
        <w:rPr>
          <w:rFonts w:hint="eastAsia"/>
          <w:bCs/>
          <w:snapToGrid w:val="0"/>
          <w:sz w:val="24"/>
        </w:rPr>
        <w:t>。</w:t>
      </w:r>
    </w:p>
    <w:p w14:paraId="6584AA1D"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武汉市东西湖区地层以新生代第四系全新统和上更新统为主。西南部为一级阶地，属全新统，为冲积、湖积、湖冲积层，厚度大于</w:t>
      </w:r>
      <w:r w:rsidRPr="002B55E9">
        <w:rPr>
          <w:rFonts w:hint="eastAsia"/>
          <w:bCs/>
          <w:snapToGrid w:val="0"/>
          <w:sz w:val="24"/>
        </w:rPr>
        <w:t>45m</w:t>
      </w:r>
      <w:r w:rsidRPr="002B55E9">
        <w:rPr>
          <w:rFonts w:hint="eastAsia"/>
          <w:bCs/>
          <w:snapToGrid w:val="0"/>
          <w:sz w:val="24"/>
        </w:rPr>
        <w:t>。上为黄褐色黏土、亚砂土、亚黏土透镜体，厚度在</w:t>
      </w:r>
      <w:r w:rsidRPr="002B55E9">
        <w:rPr>
          <w:rFonts w:hint="eastAsia"/>
          <w:bCs/>
          <w:snapToGrid w:val="0"/>
          <w:sz w:val="24"/>
        </w:rPr>
        <w:t>10</w:t>
      </w:r>
      <w:r w:rsidRPr="002B55E9">
        <w:rPr>
          <w:rFonts w:hint="eastAsia"/>
          <w:bCs/>
          <w:snapToGrid w:val="0"/>
          <w:sz w:val="24"/>
        </w:rPr>
        <w:t>～</w:t>
      </w:r>
      <w:r w:rsidRPr="002B55E9">
        <w:rPr>
          <w:rFonts w:hint="eastAsia"/>
          <w:bCs/>
          <w:snapToGrid w:val="0"/>
          <w:sz w:val="24"/>
        </w:rPr>
        <w:t>25m</w:t>
      </w:r>
      <w:r w:rsidRPr="002B55E9">
        <w:rPr>
          <w:rFonts w:hint="eastAsia"/>
          <w:bCs/>
          <w:snapToGrid w:val="0"/>
          <w:sz w:val="24"/>
        </w:rPr>
        <w:t>，局部夹湖积、湖冲积黑色淤泥；中为黄色砂层，粒径由上至下逐渐变粗，厚度</w:t>
      </w:r>
      <w:r w:rsidRPr="002B55E9">
        <w:rPr>
          <w:rFonts w:hint="eastAsia"/>
          <w:bCs/>
          <w:snapToGrid w:val="0"/>
          <w:sz w:val="24"/>
        </w:rPr>
        <w:t>15</w:t>
      </w:r>
      <w:r w:rsidRPr="002B55E9">
        <w:rPr>
          <w:rFonts w:hint="eastAsia"/>
          <w:bCs/>
          <w:snapToGrid w:val="0"/>
          <w:sz w:val="24"/>
        </w:rPr>
        <w:t>～</w:t>
      </w:r>
      <w:r w:rsidRPr="002B55E9">
        <w:rPr>
          <w:rFonts w:hint="eastAsia"/>
          <w:bCs/>
          <w:snapToGrid w:val="0"/>
          <w:sz w:val="24"/>
        </w:rPr>
        <w:t>40m</w:t>
      </w:r>
      <w:r w:rsidRPr="002B55E9">
        <w:rPr>
          <w:rFonts w:hint="eastAsia"/>
          <w:bCs/>
          <w:snapToGrid w:val="0"/>
          <w:sz w:val="24"/>
        </w:rPr>
        <w:t>，间夹深色淤泥质与砂石层；下由灰白色砂砾石层过渡到卵石层，厚度</w:t>
      </w:r>
      <w:r w:rsidRPr="002B55E9">
        <w:rPr>
          <w:rFonts w:hint="eastAsia"/>
          <w:bCs/>
          <w:snapToGrid w:val="0"/>
          <w:sz w:val="24"/>
        </w:rPr>
        <w:t>5</w:t>
      </w:r>
      <w:r w:rsidRPr="002B55E9">
        <w:rPr>
          <w:rFonts w:hint="eastAsia"/>
          <w:bCs/>
          <w:snapToGrid w:val="0"/>
          <w:sz w:val="24"/>
        </w:rPr>
        <w:t>～</w:t>
      </w:r>
      <w:r w:rsidRPr="002B55E9">
        <w:rPr>
          <w:rFonts w:hint="eastAsia"/>
          <w:bCs/>
          <w:snapToGrid w:val="0"/>
          <w:sz w:val="24"/>
        </w:rPr>
        <w:t>20m</w:t>
      </w:r>
      <w:r w:rsidRPr="002B55E9">
        <w:rPr>
          <w:rFonts w:hint="eastAsia"/>
          <w:bCs/>
          <w:snapToGrid w:val="0"/>
          <w:sz w:val="24"/>
        </w:rPr>
        <w:t>，间夹砂或黏土、卵石。东北部为二级阶地，属上更新统，为冲积和湖冲积层，厚度</w:t>
      </w:r>
      <w:r w:rsidRPr="002B55E9">
        <w:rPr>
          <w:rFonts w:hint="eastAsia"/>
          <w:bCs/>
          <w:snapToGrid w:val="0"/>
          <w:sz w:val="24"/>
        </w:rPr>
        <w:t>20</w:t>
      </w:r>
      <w:r w:rsidRPr="002B55E9">
        <w:rPr>
          <w:rFonts w:hint="eastAsia"/>
          <w:bCs/>
          <w:snapToGrid w:val="0"/>
          <w:sz w:val="24"/>
        </w:rPr>
        <w:t>～</w:t>
      </w:r>
      <w:r w:rsidRPr="002B55E9">
        <w:rPr>
          <w:rFonts w:hint="eastAsia"/>
          <w:bCs/>
          <w:snapToGrid w:val="0"/>
          <w:sz w:val="24"/>
        </w:rPr>
        <w:t>40m</w:t>
      </w:r>
      <w:r w:rsidRPr="002B55E9">
        <w:rPr>
          <w:rFonts w:hint="eastAsia"/>
          <w:bCs/>
          <w:snapToGrid w:val="0"/>
          <w:sz w:val="24"/>
        </w:rPr>
        <w:t>。冲积层：上为杏黄、褐黄色黏土，全铁锰结核，局部具灰白色黏土团块，并夹有淤泥质，厚度</w:t>
      </w:r>
      <w:r w:rsidRPr="002B55E9">
        <w:rPr>
          <w:rFonts w:hint="eastAsia"/>
          <w:bCs/>
          <w:snapToGrid w:val="0"/>
          <w:sz w:val="24"/>
        </w:rPr>
        <w:t>10</w:t>
      </w:r>
      <w:r w:rsidRPr="002B55E9">
        <w:rPr>
          <w:rFonts w:hint="eastAsia"/>
          <w:bCs/>
          <w:snapToGrid w:val="0"/>
          <w:sz w:val="24"/>
        </w:rPr>
        <w:t>～</w:t>
      </w:r>
      <w:r w:rsidRPr="002B55E9">
        <w:rPr>
          <w:rFonts w:hint="eastAsia"/>
          <w:bCs/>
          <w:snapToGrid w:val="0"/>
          <w:sz w:val="24"/>
        </w:rPr>
        <w:t>30m</w:t>
      </w:r>
      <w:r w:rsidRPr="002B55E9">
        <w:rPr>
          <w:rFonts w:hint="eastAsia"/>
          <w:bCs/>
          <w:snapToGrid w:val="0"/>
          <w:sz w:val="24"/>
        </w:rPr>
        <w:t>；下以砾石为主，局部相变成含砾的中粗砂夹亚砂土与淤泥质亚黏土，厚度</w:t>
      </w:r>
      <w:r w:rsidRPr="002B55E9">
        <w:rPr>
          <w:rFonts w:hint="eastAsia"/>
          <w:bCs/>
          <w:snapToGrid w:val="0"/>
          <w:sz w:val="24"/>
        </w:rPr>
        <w:t>6</w:t>
      </w:r>
      <w:r w:rsidRPr="002B55E9">
        <w:rPr>
          <w:rFonts w:hint="eastAsia"/>
          <w:bCs/>
          <w:snapToGrid w:val="0"/>
          <w:sz w:val="24"/>
        </w:rPr>
        <w:t>～</w:t>
      </w:r>
      <w:r w:rsidRPr="002B55E9">
        <w:rPr>
          <w:rFonts w:hint="eastAsia"/>
          <w:bCs/>
          <w:snapToGrid w:val="0"/>
          <w:sz w:val="24"/>
        </w:rPr>
        <w:t>26m</w:t>
      </w:r>
      <w:r w:rsidRPr="002B55E9">
        <w:rPr>
          <w:rFonts w:hint="eastAsia"/>
          <w:bCs/>
          <w:snapToGrid w:val="0"/>
          <w:sz w:val="24"/>
        </w:rPr>
        <w:t>。湖冲积层：黄褐略带青灰色淤泥质亚黏土，局部含白色螺壳，厚度</w:t>
      </w:r>
      <w:r w:rsidRPr="002B55E9">
        <w:rPr>
          <w:rFonts w:hint="eastAsia"/>
          <w:bCs/>
          <w:snapToGrid w:val="0"/>
          <w:sz w:val="24"/>
        </w:rPr>
        <w:t>0.5</w:t>
      </w:r>
      <w:r w:rsidRPr="002B55E9">
        <w:rPr>
          <w:rFonts w:hint="eastAsia"/>
          <w:bCs/>
          <w:snapToGrid w:val="0"/>
          <w:sz w:val="24"/>
        </w:rPr>
        <w:t>～</w:t>
      </w:r>
      <w:r w:rsidRPr="002B55E9">
        <w:rPr>
          <w:rFonts w:hint="eastAsia"/>
          <w:bCs/>
          <w:snapToGrid w:val="0"/>
          <w:sz w:val="24"/>
        </w:rPr>
        <w:t>3m</w:t>
      </w:r>
      <w:r w:rsidRPr="002B55E9">
        <w:rPr>
          <w:rFonts w:hint="eastAsia"/>
          <w:bCs/>
          <w:snapToGrid w:val="0"/>
          <w:sz w:val="24"/>
        </w:rPr>
        <w:t>，具明显二元结构。吴家山、柏泉等丘陵地带属古生代碳系中统黄龙群，岩性特征：中上部分浅灰色及灰白色泥状灰岩、微粒灰岩、白云质灰岩、生物灰岩，下为浅灰、灰白色白云岩，厚度</w:t>
      </w:r>
      <w:r w:rsidRPr="002B55E9">
        <w:rPr>
          <w:rFonts w:hint="eastAsia"/>
          <w:bCs/>
          <w:snapToGrid w:val="0"/>
          <w:sz w:val="24"/>
        </w:rPr>
        <w:t>30</w:t>
      </w:r>
      <w:r w:rsidRPr="002B55E9">
        <w:rPr>
          <w:rFonts w:hint="eastAsia"/>
          <w:bCs/>
          <w:snapToGrid w:val="0"/>
          <w:sz w:val="24"/>
        </w:rPr>
        <w:t>～</w:t>
      </w:r>
      <w:r w:rsidRPr="002B55E9">
        <w:rPr>
          <w:rFonts w:hint="eastAsia"/>
          <w:bCs/>
          <w:snapToGrid w:val="0"/>
          <w:sz w:val="24"/>
        </w:rPr>
        <w:t>108m</w:t>
      </w:r>
      <w:r w:rsidRPr="002B55E9">
        <w:rPr>
          <w:rFonts w:hint="eastAsia"/>
          <w:bCs/>
          <w:snapToGrid w:val="0"/>
          <w:sz w:val="24"/>
        </w:rPr>
        <w:t>。</w:t>
      </w:r>
    </w:p>
    <w:p w14:paraId="2D7F0DED" w14:textId="77777777" w:rsidR="00D170E5" w:rsidRPr="002B55E9" w:rsidRDefault="00EF27AD">
      <w:pPr>
        <w:pStyle w:val="4"/>
        <w:rPr>
          <w:color w:val="auto"/>
        </w:rPr>
      </w:pPr>
      <w:r w:rsidRPr="002B55E9">
        <w:rPr>
          <w:rFonts w:hint="eastAsia"/>
          <w:color w:val="auto"/>
        </w:rPr>
        <w:t>植物、生物多样性</w:t>
      </w:r>
    </w:p>
    <w:p w14:paraId="7E460C71"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武汉市植物区系属中亚热带常绿阔叶林向北亚热带落叶阔叶林过渡的地带。据不完全统计，全市的蕨类和种子植物有</w:t>
      </w:r>
      <w:r w:rsidRPr="002B55E9">
        <w:rPr>
          <w:rFonts w:hint="eastAsia"/>
          <w:bCs/>
          <w:snapToGrid w:val="0"/>
          <w:sz w:val="24"/>
        </w:rPr>
        <w:t>106</w:t>
      </w:r>
      <w:r w:rsidRPr="002B55E9">
        <w:rPr>
          <w:rFonts w:hint="eastAsia"/>
          <w:bCs/>
          <w:snapToGrid w:val="0"/>
          <w:sz w:val="24"/>
        </w:rPr>
        <w:t>科、</w:t>
      </w:r>
      <w:r w:rsidRPr="002B55E9">
        <w:rPr>
          <w:rFonts w:hint="eastAsia"/>
          <w:bCs/>
          <w:snapToGrid w:val="0"/>
          <w:sz w:val="24"/>
        </w:rPr>
        <w:t>607</w:t>
      </w:r>
      <w:r w:rsidRPr="002B55E9">
        <w:rPr>
          <w:rFonts w:hint="eastAsia"/>
          <w:bCs/>
          <w:snapToGrid w:val="0"/>
          <w:sz w:val="24"/>
        </w:rPr>
        <w:t>属、</w:t>
      </w:r>
      <w:r w:rsidRPr="002B55E9">
        <w:rPr>
          <w:rFonts w:hint="eastAsia"/>
          <w:bCs/>
          <w:snapToGrid w:val="0"/>
          <w:sz w:val="24"/>
        </w:rPr>
        <w:t>1066</w:t>
      </w:r>
      <w:r w:rsidRPr="002B55E9">
        <w:rPr>
          <w:rFonts w:hint="eastAsia"/>
          <w:bCs/>
          <w:snapToGrid w:val="0"/>
          <w:sz w:val="24"/>
        </w:rPr>
        <w:t>种，兼具南方和北方植物区系成分。常绿阔叶林和落叶阔叶林组成的混交林，是武汉市典型的植被类型。</w:t>
      </w:r>
    </w:p>
    <w:p w14:paraId="605858F7" w14:textId="77777777" w:rsidR="00D170E5" w:rsidRPr="002B55E9" w:rsidRDefault="00EF27AD">
      <w:pPr>
        <w:widowControl/>
        <w:spacing w:after="60" w:line="360" w:lineRule="auto"/>
        <w:ind w:firstLineChars="200" w:firstLine="480"/>
      </w:pPr>
      <w:r w:rsidRPr="002B55E9">
        <w:rPr>
          <w:rFonts w:hint="eastAsia"/>
          <w:bCs/>
          <w:snapToGrid w:val="0"/>
          <w:sz w:val="24"/>
        </w:rPr>
        <w:t>武汉市动物资源种类繁多，有畜禽、水生、药用、毛皮羽用、害虫天敌、国家保护动物等各类动物。畜禽动物主要有猪、牛、鸡等</w:t>
      </w:r>
      <w:r w:rsidRPr="002B55E9">
        <w:rPr>
          <w:rFonts w:hint="eastAsia"/>
          <w:bCs/>
          <w:snapToGrid w:val="0"/>
          <w:sz w:val="24"/>
        </w:rPr>
        <w:t>10</w:t>
      </w:r>
      <w:r w:rsidRPr="002B55E9">
        <w:rPr>
          <w:rFonts w:hint="eastAsia"/>
          <w:bCs/>
          <w:snapToGrid w:val="0"/>
          <w:sz w:val="24"/>
        </w:rPr>
        <w:t>余种，</w:t>
      </w:r>
      <w:r w:rsidRPr="002B55E9">
        <w:rPr>
          <w:rFonts w:hint="eastAsia"/>
          <w:bCs/>
          <w:snapToGrid w:val="0"/>
          <w:sz w:val="24"/>
        </w:rPr>
        <w:t>70</w:t>
      </w:r>
      <w:r w:rsidRPr="002B55E9">
        <w:rPr>
          <w:rFonts w:hint="eastAsia"/>
          <w:bCs/>
          <w:snapToGrid w:val="0"/>
          <w:sz w:val="24"/>
        </w:rPr>
        <w:t>多个品种。鱼类资源有</w:t>
      </w:r>
      <w:r w:rsidRPr="002B55E9">
        <w:rPr>
          <w:rFonts w:hint="eastAsia"/>
          <w:bCs/>
          <w:snapToGrid w:val="0"/>
          <w:sz w:val="24"/>
        </w:rPr>
        <w:t>11</w:t>
      </w:r>
      <w:r w:rsidRPr="002B55E9">
        <w:rPr>
          <w:rFonts w:hint="eastAsia"/>
          <w:bCs/>
          <w:snapToGrid w:val="0"/>
          <w:sz w:val="24"/>
        </w:rPr>
        <w:t>目、</w:t>
      </w:r>
      <w:r w:rsidRPr="002B55E9">
        <w:rPr>
          <w:rFonts w:hint="eastAsia"/>
          <w:bCs/>
          <w:snapToGrid w:val="0"/>
          <w:sz w:val="24"/>
        </w:rPr>
        <w:t>22</w:t>
      </w:r>
      <w:r w:rsidRPr="002B55E9">
        <w:rPr>
          <w:rFonts w:hint="eastAsia"/>
          <w:bCs/>
          <w:snapToGrid w:val="0"/>
          <w:sz w:val="24"/>
        </w:rPr>
        <w:t>科、</w:t>
      </w:r>
      <w:r w:rsidRPr="002B55E9">
        <w:rPr>
          <w:rFonts w:hint="eastAsia"/>
          <w:bCs/>
          <w:snapToGrid w:val="0"/>
          <w:sz w:val="24"/>
        </w:rPr>
        <w:t>88</w:t>
      </w:r>
      <w:r w:rsidRPr="002B55E9">
        <w:rPr>
          <w:rFonts w:hint="eastAsia"/>
          <w:bCs/>
          <w:snapToGrid w:val="0"/>
          <w:sz w:val="24"/>
        </w:rPr>
        <w:t>种，主要经济鱼类有草、青、鲢等</w:t>
      </w:r>
      <w:r w:rsidRPr="002B55E9">
        <w:rPr>
          <w:rFonts w:hint="eastAsia"/>
          <w:bCs/>
          <w:snapToGrid w:val="0"/>
          <w:sz w:val="24"/>
        </w:rPr>
        <w:t>20</w:t>
      </w:r>
      <w:r w:rsidRPr="002B55E9">
        <w:rPr>
          <w:rFonts w:hint="eastAsia"/>
          <w:bCs/>
          <w:snapToGrid w:val="0"/>
          <w:sz w:val="24"/>
        </w:rPr>
        <w:t>余种，“武昌鱼”（团头鲂）是经济名贵鱼种，在国际市场上享有较高的声誉，武汉已有大量繁殖。水禽有雁、鹳、鹈等</w:t>
      </w:r>
      <w:r w:rsidRPr="002B55E9">
        <w:rPr>
          <w:rFonts w:hint="eastAsia"/>
          <w:bCs/>
          <w:snapToGrid w:val="0"/>
          <w:sz w:val="24"/>
        </w:rPr>
        <w:t>8</w:t>
      </w:r>
      <w:r w:rsidRPr="002B55E9">
        <w:rPr>
          <w:rFonts w:hint="eastAsia"/>
          <w:bCs/>
          <w:snapToGrid w:val="0"/>
          <w:sz w:val="24"/>
        </w:rPr>
        <w:t>目、</w:t>
      </w:r>
      <w:r w:rsidRPr="002B55E9">
        <w:rPr>
          <w:rFonts w:hint="eastAsia"/>
          <w:bCs/>
          <w:snapToGrid w:val="0"/>
          <w:sz w:val="24"/>
        </w:rPr>
        <w:t>14</w:t>
      </w:r>
      <w:r w:rsidRPr="002B55E9">
        <w:rPr>
          <w:rFonts w:hint="eastAsia"/>
          <w:bCs/>
          <w:snapToGrid w:val="0"/>
          <w:sz w:val="24"/>
        </w:rPr>
        <w:t>科、</w:t>
      </w:r>
      <w:r w:rsidRPr="002B55E9">
        <w:rPr>
          <w:rFonts w:hint="eastAsia"/>
          <w:bCs/>
          <w:snapToGrid w:val="0"/>
          <w:sz w:val="24"/>
        </w:rPr>
        <w:t>54</w:t>
      </w:r>
      <w:r w:rsidRPr="002B55E9">
        <w:rPr>
          <w:rFonts w:hint="eastAsia"/>
          <w:bCs/>
          <w:snapToGrid w:val="0"/>
          <w:sz w:val="24"/>
        </w:rPr>
        <w:lastRenderedPageBreak/>
        <w:t>种，白鹳是国家一类保护的珍贵稀有水禽。特种水生动物有江豚、鳖等，江豚是国家二类保护动物，在野生动物资源中，毛皮兽类很少，主要是药用动物、农林害虫等。</w:t>
      </w:r>
    </w:p>
    <w:p w14:paraId="3859D6C5" w14:textId="77777777" w:rsidR="00D170E5" w:rsidRPr="002B55E9" w:rsidRDefault="00EF27AD">
      <w:pPr>
        <w:pStyle w:val="3"/>
      </w:pPr>
      <w:bookmarkStart w:id="180" w:name="_Toc119308991"/>
      <w:r w:rsidRPr="002B55E9">
        <w:rPr>
          <w:rFonts w:hint="eastAsia"/>
        </w:rPr>
        <w:t>环境质量现状调查</w:t>
      </w:r>
      <w:bookmarkEnd w:id="180"/>
    </w:p>
    <w:bookmarkEnd w:id="178"/>
    <w:bookmarkEnd w:id="179"/>
    <w:p w14:paraId="699111A4" w14:textId="77777777" w:rsidR="00D170E5" w:rsidRPr="002B55E9" w:rsidRDefault="00EF27AD">
      <w:pPr>
        <w:pStyle w:val="4"/>
        <w:numPr>
          <w:ilvl w:val="3"/>
          <w:numId w:val="21"/>
        </w:numPr>
        <w:rPr>
          <w:color w:val="auto"/>
        </w:rPr>
      </w:pPr>
      <w:r w:rsidRPr="002B55E9">
        <w:rPr>
          <w:color w:val="auto"/>
        </w:rPr>
        <w:t>环境空气</w:t>
      </w:r>
    </w:p>
    <w:p w14:paraId="7D5EA4C1" w14:textId="77777777" w:rsidR="00D170E5" w:rsidRPr="002B55E9" w:rsidRDefault="00EF27AD">
      <w:pPr>
        <w:pStyle w:val="5"/>
      </w:pPr>
      <w:r w:rsidRPr="002B55E9">
        <w:rPr>
          <w:rFonts w:hint="eastAsia"/>
        </w:rPr>
        <w:t>项目所在区域环境空气达标判定</w:t>
      </w:r>
    </w:p>
    <w:p w14:paraId="32E37AB2" w14:textId="77777777" w:rsidR="00D170E5" w:rsidRPr="002B55E9" w:rsidRDefault="00EF27AD">
      <w:pPr>
        <w:adjustRightInd w:val="0"/>
        <w:snapToGrid w:val="0"/>
        <w:spacing w:line="360" w:lineRule="auto"/>
        <w:ind w:firstLineChars="200" w:firstLine="480"/>
        <w:rPr>
          <w:sz w:val="24"/>
          <w:lang w:val="zh-CN"/>
        </w:rPr>
      </w:pPr>
      <w:r w:rsidRPr="002B55E9">
        <w:rPr>
          <w:sz w:val="24"/>
        </w:rPr>
        <w:t>为了解项目所在区域环境空气质量状况，</w:t>
      </w:r>
      <w:r w:rsidRPr="002B55E9">
        <w:rPr>
          <w:rFonts w:hint="eastAsia"/>
          <w:sz w:val="24"/>
        </w:rPr>
        <w:t>大气基本污染物环境质量现状数据引用武汉市生态环境局官网发布的《</w:t>
      </w:r>
      <w:r w:rsidRPr="002B55E9">
        <w:rPr>
          <w:rFonts w:hint="eastAsia"/>
          <w:sz w:val="24"/>
        </w:rPr>
        <w:t>2021</w:t>
      </w:r>
      <w:r w:rsidRPr="002B55E9">
        <w:rPr>
          <w:rFonts w:hint="eastAsia"/>
          <w:sz w:val="24"/>
        </w:rPr>
        <w:t>年武汉市生态环境状况公报》中吴家山国控点处</w:t>
      </w:r>
      <w:r w:rsidRPr="002B55E9">
        <w:rPr>
          <w:rFonts w:hint="eastAsia"/>
          <w:sz w:val="24"/>
          <w:lang w:val="zh-CN"/>
        </w:rPr>
        <w:t>（位于本项目东南侧约</w:t>
      </w:r>
      <w:r w:rsidRPr="002B55E9">
        <w:rPr>
          <w:rFonts w:hint="eastAsia"/>
          <w:sz w:val="24"/>
          <w:lang w:val="zh-CN"/>
        </w:rPr>
        <w:t>1</w:t>
      </w:r>
      <w:r w:rsidRPr="002B55E9">
        <w:rPr>
          <w:sz w:val="24"/>
          <w:lang w:val="zh-CN"/>
        </w:rPr>
        <w:t>4km</w:t>
      </w:r>
      <w:r w:rsidRPr="002B55E9">
        <w:rPr>
          <w:rFonts w:hint="eastAsia"/>
          <w:sz w:val="24"/>
          <w:lang w:val="zh-CN"/>
        </w:rPr>
        <w:t>处）</w:t>
      </w:r>
      <w:r w:rsidRPr="002B55E9">
        <w:rPr>
          <w:rFonts w:hint="eastAsia"/>
          <w:sz w:val="24"/>
        </w:rPr>
        <w:t>的环境质量数据进行分析，结果</w:t>
      </w:r>
      <w:r w:rsidRPr="002B55E9">
        <w:rPr>
          <w:sz w:val="24"/>
          <w:lang w:val="zh-CN"/>
        </w:rPr>
        <w:t>见下表。</w:t>
      </w:r>
    </w:p>
    <w:p w14:paraId="5BE6DECC" w14:textId="77777777" w:rsidR="00D170E5" w:rsidRPr="002B55E9" w:rsidRDefault="00EF27AD">
      <w:pPr>
        <w:jc w:val="center"/>
        <w:rPr>
          <w:rFonts w:eastAsia="黑体"/>
          <w:b/>
          <w:sz w:val="24"/>
        </w:rPr>
      </w:pPr>
      <w:r w:rsidRPr="002B55E9">
        <w:rPr>
          <w:rFonts w:eastAsia="黑体"/>
          <w:b/>
          <w:sz w:val="24"/>
        </w:rPr>
        <w:t>表</w:t>
      </w:r>
      <w:r w:rsidRPr="002B55E9">
        <w:rPr>
          <w:rFonts w:eastAsia="黑体"/>
          <w:b/>
          <w:sz w:val="24"/>
        </w:rPr>
        <w:t xml:space="preserve">4-2-1 </w:t>
      </w:r>
      <w:r w:rsidRPr="002B55E9">
        <w:rPr>
          <w:rFonts w:eastAsia="黑体"/>
          <w:b/>
          <w:sz w:val="24"/>
        </w:rPr>
        <w:t>区域空气质量现状评价表</w:t>
      </w:r>
    </w:p>
    <w:tbl>
      <w:tblPr>
        <w:tblW w:w="9638"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695"/>
        <w:gridCol w:w="1687"/>
        <w:gridCol w:w="1689"/>
        <w:gridCol w:w="1552"/>
        <w:gridCol w:w="1664"/>
        <w:gridCol w:w="1351"/>
      </w:tblGrid>
      <w:tr w:rsidR="002B55E9" w:rsidRPr="002B55E9" w14:paraId="2B547C88" w14:textId="77777777">
        <w:trPr>
          <w:trHeight w:val="298"/>
          <w:jc w:val="center"/>
        </w:trPr>
        <w:tc>
          <w:tcPr>
            <w:tcW w:w="1695" w:type="dxa"/>
            <w:vMerge w:val="restart"/>
            <w:tcBorders>
              <w:top w:val="single" w:sz="12" w:space="0" w:color="auto"/>
              <w:bottom w:val="single" w:sz="12" w:space="0" w:color="auto"/>
              <w:tl2br w:val="nil"/>
            </w:tcBorders>
            <w:shd w:val="clear" w:color="auto" w:fill="auto"/>
            <w:vAlign w:val="center"/>
          </w:tcPr>
          <w:p w14:paraId="42FE13AC" w14:textId="77777777" w:rsidR="00D170E5" w:rsidRPr="002B55E9" w:rsidRDefault="00EF27AD">
            <w:pPr>
              <w:adjustRightInd w:val="0"/>
              <w:snapToGrid w:val="0"/>
              <w:rPr>
                <w:sz w:val="18"/>
                <w:szCs w:val="18"/>
              </w:rPr>
            </w:pPr>
            <w:r w:rsidRPr="002B55E9">
              <w:rPr>
                <w:sz w:val="18"/>
                <w:szCs w:val="18"/>
              </w:rPr>
              <w:t xml:space="preserve">     </w:t>
            </w:r>
            <w:r w:rsidRPr="002B55E9">
              <w:rPr>
                <w:sz w:val="18"/>
                <w:szCs w:val="18"/>
              </w:rPr>
              <w:t>污染物</w:t>
            </w:r>
          </w:p>
        </w:tc>
        <w:tc>
          <w:tcPr>
            <w:tcW w:w="1687" w:type="dxa"/>
            <w:vMerge w:val="restart"/>
            <w:tcBorders>
              <w:top w:val="single" w:sz="12" w:space="0" w:color="auto"/>
              <w:bottom w:val="single" w:sz="12" w:space="0" w:color="auto"/>
              <w:tl2br w:val="nil"/>
            </w:tcBorders>
            <w:shd w:val="clear" w:color="auto" w:fill="auto"/>
            <w:vAlign w:val="center"/>
          </w:tcPr>
          <w:p w14:paraId="284585FA" w14:textId="77777777" w:rsidR="00D170E5" w:rsidRPr="002B55E9" w:rsidRDefault="00EF27AD">
            <w:pPr>
              <w:adjustRightInd w:val="0"/>
              <w:snapToGrid w:val="0"/>
              <w:jc w:val="center"/>
              <w:rPr>
                <w:sz w:val="18"/>
                <w:szCs w:val="18"/>
              </w:rPr>
            </w:pPr>
            <w:r w:rsidRPr="002B55E9">
              <w:rPr>
                <w:sz w:val="18"/>
                <w:szCs w:val="18"/>
              </w:rPr>
              <w:t>评价指标</w:t>
            </w:r>
          </w:p>
        </w:tc>
        <w:tc>
          <w:tcPr>
            <w:tcW w:w="1689" w:type="dxa"/>
            <w:vMerge w:val="restart"/>
            <w:tcBorders>
              <w:top w:val="single" w:sz="12" w:space="0" w:color="auto"/>
              <w:bottom w:val="single" w:sz="12" w:space="0" w:color="auto"/>
              <w:tl2br w:val="nil"/>
            </w:tcBorders>
            <w:shd w:val="clear" w:color="auto" w:fill="auto"/>
            <w:vAlign w:val="center"/>
          </w:tcPr>
          <w:p w14:paraId="0E318F28"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sz w:val="18"/>
                <w:szCs w:val="18"/>
              </w:rPr>
              <w:t>现状浓度</w:t>
            </w:r>
            <w:r w:rsidRPr="002B55E9">
              <w:rPr>
                <w:sz w:val="18"/>
                <w:szCs w:val="18"/>
              </w:rPr>
              <w:t>(μg/m</w:t>
            </w:r>
            <w:r w:rsidRPr="002B55E9">
              <w:rPr>
                <w:sz w:val="18"/>
                <w:szCs w:val="18"/>
                <w:vertAlign w:val="superscript"/>
              </w:rPr>
              <w:t>3</w:t>
            </w:r>
            <w:r w:rsidRPr="002B55E9">
              <w:rPr>
                <w:sz w:val="18"/>
                <w:szCs w:val="18"/>
              </w:rPr>
              <w:t>)</w:t>
            </w:r>
          </w:p>
        </w:tc>
        <w:tc>
          <w:tcPr>
            <w:tcW w:w="1552" w:type="dxa"/>
            <w:vMerge w:val="restart"/>
            <w:tcBorders>
              <w:top w:val="single" w:sz="12" w:space="0" w:color="auto"/>
              <w:bottom w:val="single" w:sz="12" w:space="0" w:color="auto"/>
              <w:tl2br w:val="nil"/>
            </w:tcBorders>
            <w:shd w:val="clear" w:color="auto" w:fill="auto"/>
            <w:vAlign w:val="center"/>
          </w:tcPr>
          <w:p w14:paraId="1E4DA203"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sz w:val="18"/>
                <w:szCs w:val="18"/>
              </w:rPr>
              <w:t>标准值</w:t>
            </w:r>
            <w:r w:rsidRPr="002B55E9">
              <w:rPr>
                <w:sz w:val="18"/>
                <w:szCs w:val="18"/>
              </w:rPr>
              <w:t>(μg/m</w:t>
            </w:r>
            <w:r w:rsidRPr="002B55E9">
              <w:rPr>
                <w:sz w:val="18"/>
                <w:szCs w:val="18"/>
                <w:vertAlign w:val="superscript"/>
              </w:rPr>
              <w:t>3</w:t>
            </w:r>
            <w:r w:rsidRPr="002B55E9">
              <w:rPr>
                <w:sz w:val="18"/>
                <w:szCs w:val="18"/>
              </w:rPr>
              <w:t>)</w:t>
            </w:r>
          </w:p>
        </w:tc>
        <w:tc>
          <w:tcPr>
            <w:tcW w:w="1664" w:type="dxa"/>
            <w:vMerge w:val="restart"/>
            <w:tcBorders>
              <w:top w:val="single" w:sz="12" w:space="0" w:color="auto"/>
              <w:bottom w:val="single" w:sz="12" w:space="0" w:color="auto"/>
              <w:tl2br w:val="nil"/>
            </w:tcBorders>
            <w:shd w:val="clear" w:color="auto" w:fill="auto"/>
            <w:vAlign w:val="center"/>
          </w:tcPr>
          <w:p w14:paraId="234D1493"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sz w:val="18"/>
                <w:szCs w:val="18"/>
              </w:rPr>
              <w:t>占标率（</w:t>
            </w:r>
            <w:r w:rsidRPr="002B55E9">
              <w:rPr>
                <w:sz w:val="18"/>
                <w:szCs w:val="18"/>
              </w:rPr>
              <w:t>%</w:t>
            </w:r>
            <w:r w:rsidRPr="002B55E9">
              <w:rPr>
                <w:sz w:val="18"/>
                <w:szCs w:val="18"/>
              </w:rPr>
              <w:t>）</w:t>
            </w:r>
          </w:p>
        </w:tc>
        <w:tc>
          <w:tcPr>
            <w:tcW w:w="1351" w:type="dxa"/>
            <w:vMerge w:val="restart"/>
            <w:tcBorders>
              <w:top w:val="single" w:sz="12" w:space="0" w:color="auto"/>
              <w:bottom w:val="single" w:sz="12" w:space="0" w:color="auto"/>
              <w:tl2br w:val="nil"/>
            </w:tcBorders>
            <w:shd w:val="clear" w:color="auto" w:fill="auto"/>
            <w:vAlign w:val="center"/>
          </w:tcPr>
          <w:p w14:paraId="5F1B09D1"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sz w:val="18"/>
                <w:szCs w:val="18"/>
              </w:rPr>
              <w:t>达标情况</w:t>
            </w:r>
          </w:p>
        </w:tc>
      </w:tr>
      <w:tr w:rsidR="002B55E9" w:rsidRPr="002B55E9" w14:paraId="4546F669" w14:textId="77777777">
        <w:trPr>
          <w:trHeight w:val="207"/>
          <w:jc w:val="center"/>
        </w:trPr>
        <w:tc>
          <w:tcPr>
            <w:tcW w:w="1695" w:type="dxa"/>
            <w:vMerge/>
            <w:tcBorders>
              <w:top w:val="single" w:sz="4" w:space="0" w:color="auto"/>
              <w:bottom w:val="single" w:sz="12" w:space="0" w:color="auto"/>
              <w:tl2br w:val="nil"/>
            </w:tcBorders>
            <w:shd w:val="clear" w:color="auto" w:fill="auto"/>
            <w:vAlign w:val="center"/>
          </w:tcPr>
          <w:p w14:paraId="633A2C92" w14:textId="77777777" w:rsidR="00D170E5" w:rsidRPr="002B55E9" w:rsidRDefault="00D170E5">
            <w:pPr>
              <w:adjustRightInd w:val="0"/>
              <w:snapToGrid w:val="0"/>
              <w:jc w:val="center"/>
              <w:rPr>
                <w:sz w:val="18"/>
                <w:szCs w:val="18"/>
              </w:rPr>
            </w:pPr>
          </w:p>
        </w:tc>
        <w:tc>
          <w:tcPr>
            <w:tcW w:w="1687" w:type="dxa"/>
            <w:vMerge/>
            <w:tcBorders>
              <w:top w:val="single" w:sz="4" w:space="0" w:color="auto"/>
              <w:bottom w:val="single" w:sz="12" w:space="0" w:color="auto"/>
              <w:tl2br w:val="nil"/>
            </w:tcBorders>
            <w:shd w:val="clear" w:color="auto" w:fill="auto"/>
            <w:vAlign w:val="center"/>
          </w:tcPr>
          <w:p w14:paraId="49CCBB99" w14:textId="77777777" w:rsidR="00D170E5" w:rsidRPr="002B55E9" w:rsidRDefault="00D170E5">
            <w:pPr>
              <w:adjustRightInd w:val="0"/>
              <w:snapToGrid w:val="0"/>
              <w:jc w:val="center"/>
              <w:rPr>
                <w:sz w:val="18"/>
                <w:szCs w:val="18"/>
              </w:rPr>
            </w:pPr>
          </w:p>
        </w:tc>
        <w:tc>
          <w:tcPr>
            <w:tcW w:w="1689" w:type="dxa"/>
            <w:vMerge/>
            <w:tcBorders>
              <w:top w:val="single" w:sz="4" w:space="0" w:color="auto"/>
              <w:bottom w:val="single" w:sz="12" w:space="0" w:color="auto"/>
              <w:tl2br w:val="nil"/>
            </w:tcBorders>
            <w:shd w:val="clear" w:color="auto" w:fill="auto"/>
            <w:vAlign w:val="center"/>
          </w:tcPr>
          <w:p w14:paraId="4E45BF43" w14:textId="77777777" w:rsidR="00D170E5" w:rsidRPr="002B55E9" w:rsidRDefault="00D170E5">
            <w:pPr>
              <w:tabs>
                <w:tab w:val="left" w:pos="0"/>
              </w:tabs>
              <w:autoSpaceDE w:val="0"/>
              <w:autoSpaceDN w:val="0"/>
              <w:adjustRightInd w:val="0"/>
              <w:snapToGrid w:val="0"/>
              <w:jc w:val="center"/>
              <w:textAlignment w:val="baseline"/>
              <w:rPr>
                <w:sz w:val="18"/>
                <w:szCs w:val="18"/>
              </w:rPr>
            </w:pPr>
          </w:p>
        </w:tc>
        <w:tc>
          <w:tcPr>
            <w:tcW w:w="1552" w:type="dxa"/>
            <w:vMerge/>
            <w:tcBorders>
              <w:top w:val="single" w:sz="4" w:space="0" w:color="auto"/>
              <w:bottom w:val="single" w:sz="12" w:space="0" w:color="auto"/>
              <w:tl2br w:val="nil"/>
            </w:tcBorders>
            <w:shd w:val="clear" w:color="auto" w:fill="auto"/>
            <w:vAlign w:val="center"/>
          </w:tcPr>
          <w:p w14:paraId="64C74FA5" w14:textId="77777777" w:rsidR="00D170E5" w:rsidRPr="002B55E9" w:rsidRDefault="00D170E5">
            <w:pPr>
              <w:tabs>
                <w:tab w:val="left" w:pos="0"/>
              </w:tabs>
              <w:autoSpaceDE w:val="0"/>
              <w:autoSpaceDN w:val="0"/>
              <w:adjustRightInd w:val="0"/>
              <w:snapToGrid w:val="0"/>
              <w:jc w:val="center"/>
              <w:textAlignment w:val="baseline"/>
              <w:rPr>
                <w:sz w:val="18"/>
                <w:szCs w:val="18"/>
              </w:rPr>
            </w:pPr>
          </w:p>
        </w:tc>
        <w:tc>
          <w:tcPr>
            <w:tcW w:w="1664" w:type="dxa"/>
            <w:vMerge/>
            <w:tcBorders>
              <w:top w:val="single" w:sz="4" w:space="0" w:color="auto"/>
              <w:bottom w:val="single" w:sz="12" w:space="0" w:color="auto"/>
              <w:tl2br w:val="nil"/>
            </w:tcBorders>
            <w:shd w:val="clear" w:color="auto" w:fill="auto"/>
            <w:vAlign w:val="center"/>
          </w:tcPr>
          <w:p w14:paraId="4D4752C5" w14:textId="77777777" w:rsidR="00D170E5" w:rsidRPr="002B55E9" w:rsidRDefault="00D170E5">
            <w:pPr>
              <w:tabs>
                <w:tab w:val="left" w:pos="0"/>
              </w:tabs>
              <w:autoSpaceDE w:val="0"/>
              <w:autoSpaceDN w:val="0"/>
              <w:adjustRightInd w:val="0"/>
              <w:snapToGrid w:val="0"/>
              <w:jc w:val="center"/>
              <w:textAlignment w:val="baseline"/>
              <w:rPr>
                <w:sz w:val="18"/>
                <w:szCs w:val="18"/>
              </w:rPr>
            </w:pPr>
          </w:p>
        </w:tc>
        <w:tc>
          <w:tcPr>
            <w:tcW w:w="1351" w:type="dxa"/>
            <w:vMerge/>
            <w:tcBorders>
              <w:top w:val="single" w:sz="4" w:space="0" w:color="auto"/>
              <w:bottom w:val="single" w:sz="12" w:space="0" w:color="auto"/>
              <w:tl2br w:val="nil"/>
            </w:tcBorders>
            <w:shd w:val="clear" w:color="auto" w:fill="auto"/>
            <w:vAlign w:val="center"/>
          </w:tcPr>
          <w:p w14:paraId="443F23A3" w14:textId="77777777" w:rsidR="00D170E5" w:rsidRPr="002B55E9" w:rsidRDefault="00D170E5">
            <w:pPr>
              <w:tabs>
                <w:tab w:val="left" w:pos="0"/>
              </w:tabs>
              <w:autoSpaceDE w:val="0"/>
              <w:autoSpaceDN w:val="0"/>
              <w:adjustRightInd w:val="0"/>
              <w:snapToGrid w:val="0"/>
              <w:jc w:val="center"/>
              <w:textAlignment w:val="baseline"/>
              <w:rPr>
                <w:sz w:val="18"/>
                <w:szCs w:val="18"/>
              </w:rPr>
            </w:pPr>
          </w:p>
        </w:tc>
      </w:tr>
      <w:tr w:rsidR="002B55E9" w:rsidRPr="002B55E9" w14:paraId="4DEA7066" w14:textId="77777777">
        <w:trPr>
          <w:trHeight w:val="300"/>
          <w:jc w:val="center"/>
        </w:trPr>
        <w:tc>
          <w:tcPr>
            <w:tcW w:w="1695" w:type="dxa"/>
            <w:tcBorders>
              <w:top w:val="single" w:sz="12" w:space="0" w:color="auto"/>
              <w:bottom w:val="single" w:sz="4" w:space="0" w:color="auto"/>
            </w:tcBorders>
            <w:shd w:val="clear" w:color="auto" w:fill="auto"/>
            <w:vAlign w:val="center"/>
          </w:tcPr>
          <w:p w14:paraId="4E67FDF3" w14:textId="77777777" w:rsidR="00D170E5" w:rsidRPr="002B55E9" w:rsidRDefault="00EF27AD">
            <w:pPr>
              <w:adjustRightInd w:val="0"/>
              <w:snapToGrid w:val="0"/>
              <w:jc w:val="center"/>
              <w:rPr>
                <w:sz w:val="18"/>
                <w:szCs w:val="18"/>
              </w:rPr>
            </w:pPr>
            <w:r w:rsidRPr="002B55E9">
              <w:rPr>
                <w:sz w:val="18"/>
                <w:szCs w:val="18"/>
              </w:rPr>
              <w:t>SO</w:t>
            </w:r>
            <w:r w:rsidRPr="002B55E9">
              <w:rPr>
                <w:sz w:val="18"/>
                <w:szCs w:val="18"/>
                <w:vertAlign w:val="subscript"/>
              </w:rPr>
              <w:t>2</w:t>
            </w:r>
          </w:p>
        </w:tc>
        <w:tc>
          <w:tcPr>
            <w:tcW w:w="1687" w:type="dxa"/>
            <w:tcBorders>
              <w:top w:val="single" w:sz="12" w:space="0" w:color="auto"/>
              <w:bottom w:val="single" w:sz="4" w:space="0" w:color="auto"/>
            </w:tcBorders>
            <w:shd w:val="clear" w:color="auto" w:fill="auto"/>
            <w:vAlign w:val="center"/>
          </w:tcPr>
          <w:p w14:paraId="06862B06"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12" w:space="0" w:color="auto"/>
              <w:bottom w:val="single" w:sz="4" w:space="0" w:color="auto"/>
            </w:tcBorders>
            <w:shd w:val="clear" w:color="auto" w:fill="auto"/>
            <w:vAlign w:val="center"/>
          </w:tcPr>
          <w:p w14:paraId="642D2D31"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7</w:t>
            </w:r>
          </w:p>
        </w:tc>
        <w:tc>
          <w:tcPr>
            <w:tcW w:w="1552" w:type="dxa"/>
            <w:tcBorders>
              <w:top w:val="single" w:sz="12" w:space="0" w:color="auto"/>
              <w:bottom w:val="single" w:sz="4" w:space="0" w:color="auto"/>
            </w:tcBorders>
            <w:shd w:val="clear" w:color="auto" w:fill="auto"/>
            <w:vAlign w:val="center"/>
          </w:tcPr>
          <w:p w14:paraId="342B8A7E"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6</w:t>
            </w:r>
            <w:r w:rsidRPr="002B55E9">
              <w:rPr>
                <w:sz w:val="18"/>
                <w:szCs w:val="18"/>
              </w:rPr>
              <w:t>0</w:t>
            </w:r>
          </w:p>
        </w:tc>
        <w:tc>
          <w:tcPr>
            <w:tcW w:w="1664" w:type="dxa"/>
            <w:tcBorders>
              <w:top w:val="single" w:sz="12" w:space="0" w:color="auto"/>
              <w:left w:val="nil"/>
              <w:bottom w:val="single" w:sz="4" w:space="0" w:color="auto"/>
              <w:right w:val="nil"/>
            </w:tcBorders>
            <w:shd w:val="clear" w:color="auto" w:fill="auto"/>
            <w:vAlign w:val="center"/>
          </w:tcPr>
          <w:p w14:paraId="056CC783" w14:textId="77777777" w:rsidR="00D170E5" w:rsidRPr="002B55E9" w:rsidRDefault="00EF27AD">
            <w:pPr>
              <w:widowControl/>
              <w:jc w:val="center"/>
              <w:rPr>
                <w:sz w:val="18"/>
                <w:szCs w:val="18"/>
              </w:rPr>
            </w:pPr>
            <w:r w:rsidRPr="002B55E9">
              <w:rPr>
                <w:rFonts w:hint="eastAsia"/>
                <w:sz w:val="18"/>
                <w:szCs w:val="18"/>
              </w:rPr>
              <w:t>11.67</w:t>
            </w:r>
          </w:p>
        </w:tc>
        <w:tc>
          <w:tcPr>
            <w:tcW w:w="1351" w:type="dxa"/>
            <w:tcBorders>
              <w:top w:val="single" w:sz="12" w:space="0" w:color="auto"/>
            </w:tcBorders>
            <w:shd w:val="clear" w:color="auto" w:fill="auto"/>
            <w:vAlign w:val="center"/>
          </w:tcPr>
          <w:p w14:paraId="392EA7DC"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r w:rsidR="002B55E9" w:rsidRPr="002B55E9" w14:paraId="595E724B" w14:textId="77777777">
        <w:trPr>
          <w:trHeight w:val="300"/>
          <w:jc w:val="center"/>
        </w:trPr>
        <w:tc>
          <w:tcPr>
            <w:tcW w:w="1695" w:type="dxa"/>
            <w:tcBorders>
              <w:top w:val="single" w:sz="4" w:space="0" w:color="auto"/>
              <w:bottom w:val="single" w:sz="4" w:space="0" w:color="auto"/>
            </w:tcBorders>
            <w:shd w:val="clear" w:color="auto" w:fill="auto"/>
            <w:vAlign w:val="center"/>
          </w:tcPr>
          <w:p w14:paraId="35E6CBDA" w14:textId="77777777" w:rsidR="00D170E5" w:rsidRPr="002B55E9" w:rsidRDefault="00EF27AD">
            <w:pPr>
              <w:adjustRightInd w:val="0"/>
              <w:snapToGrid w:val="0"/>
              <w:jc w:val="center"/>
              <w:rPr>
                <w:sz w:val="18"/>
                <w:szCs w:val="18"/>
              </w:rPr>
            </w:pPr>
            <w:r w:rsidRPr="002B55E9">
              <w:rPr>
                <w:sz w:val="18"/>
                <w:szCs w:val="18"/>
              </w:rPr>
              <w:t>NO</w:t>
            </w:r>
            <w:r w:rsidRPr="002B55E9">
              <w:rPr>
                <w:sz w:val="18"/>
                <w:szCs w:val="18"/>
                <w:vertAlign w:val="subscript"/>
              </w:rPr>
              <w:t>2</w:t>
            </w:r>
          </w:p>
        </w:tc>
        <w:tc>
          <w:tcPr>
            <w:tcW w:w="1687" w:type="dxa"/>
            <w:tcBorders>
              <w:top w:val="single" w:sz="4" w:space="0" w:color="auto"/>
              <w:bottom w:val="single" w:sz="4" w:space="0" w:color="auto"/>
            </w:tcBorders>
            <w:shd w:val="clear" w:color="auto" w:fill="auto"/>
            <w:vAlign w:val="center"/>
          </w:tcPr>
          <w:p w14:paraId="72273904"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4" w:space="0" w:color="auto"/>
              <w:bottom w:val="single" w:sz="4" w:space="0" w:color="auto"/>
            </w:tcBorders>
            <w:shd w:val="clear" w:color="auto" w:fill="auto"/>
            <w:vAlign w:val="center"/>
          </w:tcPr>
          <w:p w14:paraId="65C351F3"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37</w:t>
            </w:r>
          </w:p>
        </w:tc>
        <w:tc>
          <w:tcPr>
            <w:tcW w:w="1552" w:type="dxa"/>
            <w:tcBorders>
              <w:top w:val="single" w:sz="4" w:space="0" w:color="auto"/>
              <w:bottom w:val="single" w:sz="4" w:space="0" w:color="auto"/>
            </w:tcBorders>
            <w:shd w:val="clear" w:color="auto" w:fill="auto"/>
            <w:vAlign w:val="center"/>
          </w:tcPr>
          <w:p w14:paraId="112BCF17"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4</w:t>
            </w:r>
            <w:r w:rsidRPr="002B55E9">
              <w:rPr>
                <w:sz w:val="18"/>
                <w:szCs w:val="18"/>
              </w:rPr>
              <w:t>0</w:t>
            </w:r>
          </w:p>
        </w:tc>
        <w:tc>
          <w:tcPr>
            <w:tcW w:w="1664" w:type="dxa"/>
            <w:tcBorders>
              <w:top w:val="single" w:sz="4" w:space="0" w:color="auto"/>
              <w:left w:val="nil"/>
              <w:bottom w:val="single" w:sz="4" w:space="0" w:color="auto"/>
              <w:right w:val="nil"/>
            </w:tcBorders>
            <w:shd w:val="clear" w:color="auto" w:fill="auto"/>
            <w:vAlign w:val="center"/>
          </w:tcPr>
          <w:p w14:paraId="58B469D7" w14:textId="77777777" w:rsidR="00D170E5" w:rsidRPr="002B55E9" w:rsidRDefault="00EF27AD">
            <w:pPr>
              <w:jc w:val="center"/>
              <w:rPr>
                <w:sz w:val="18"/>
                <w:szCs w:val="18"/>
              </w:rPr>
            </w:pPr>
            <w:r w:rsidRPr="002B55E9">
              <w:rPr>
                <w:rFonts w:hint="eastAsia"/>
                <w:sz w:val="18"/>
                <w:szCs w:val="18"/>
              </w:rPr>
              <w:t>92.5</w:t>
            </w:r>
          </w:p>
        </w:tc>
        <w:tc>
          <w:tcPr>
            <w:tcW w:w="1351" w:type="dxa"/>
            <w:shd w:val="clear" w:color="auto" w:fill="auto"/>
            <w:vAlign w:val="center"/>
          </w:tcPr>
          <w:p w14:paraId="1C4D37B2"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r w:rsidR="002B55E9" w:rsidRPr="002B55E9" w14:paraId="4005CCCD" w14:textId="77777777">
        <w:trPr>
          <w:trHeight w:val="300"/>
          <w:jc w:val="center"/>
        </w:trPr>
        <w:tc>
          <w:tcPr>
            <w:tcW w:w="1695" w:type="dxa"/>
            <w:tcBorders>
              <w:top w:val="single" w:sz="4" w:space="0" w:color="auto"/>
              <w:bottom w:val="single" w:sz="4" w:space="0" w:color="auto"/>
            </w:tcBorders>
            <w:shd w:val="clear" w:color="auto" w:fill="auto"/>
            <w:vAlign w:val="center"/>
          </w:tcPr>
          <w:p w14:paraId="17537DCB" w14:textId="77777777" w:rsidR="00D170E5" w:rsidRPr="002B55E9" w:rsidRDefault="00EF27AD">
            <w:pPr>
              <w:adjustRightInd w:val="0"/>
              <w:snapToGrid w:val="0"/>
              <w:jc w:val="center"/>
              <w:rPr>
                <w:sz w:val="18"/>
                <w:szCs w:val="18"/>
              </w:rPr>
            </w:pPr>
            <w:r w:rsidRPr="002B55E9">
              <w:rPr>
                <w:sz w:val="18"/>
                <w:szCs w:val="18"/>
              </w:rPr>
              <w:t>PM</w:t>
            </w:r>
            <w:r w:rsidRPr="002B55E9">
              <w:rPr>
                <w:sz w:val="18"/>
                <w:szCs w:val="18"/>
                <w:vertAlign w:val="subscript"/>
              </w:rPr>
              <w:t>10</w:t>
            </w:r>
          </w:p>
        </w:tc>
        <w:tc>
          <w:tcPr>
            <w:tcW w:w="1687" w:type="dxa"/>
            <w:tcBorders>
              <w:top w:val="single" w:sz="4" w:space="0" w:color="auto"/>
              <w:bottom w:val="single" w:sz="4" w:space="0" w:color="auto"/>
            </w:tcBorders>
            <w:shd w:val="clear" w:color="auto" w:fill="auto"/>
            <w:vAlign w:val="center"/>
          </w:tcPr>
          <w:p w14:paraId="790D805A"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4" w:space="0" w:color="auto"/>
              <w:bottom w:val="single" w:sz="4" w:space="0" w:color="auto"/>
            </w:tcBorders>
            <w:shd w:val="clear" w:color="auto" w:fill="auto"/>
            <w:vAlign w:val="center"/>
          </w:tcPr>
          <w:p w14:paraId="1601F1F6"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62</w:t>
            </w:r>
          </w:p>
        </w:tc>
        <w:tc>
          <w:tcPr>
            <w:tcW w:w="1552" w:type="dxa"/>
            <w:tcBorders>
              <w:top w:val="single" w:sz="4" w:space="0" w:color="auto"/>
              <w:bottom w:val="single" w:sz="4" w:space="0" w:color="auto"/>
            </w:tcBorders>
            <w:shd w:val="clear" w:color="auto" w:fill="auto"/>
            <w:vAlign w:val="center"/>
          </w:tcPr>
          <w:p w14:paraId="63AC282E"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7</w:t>
            </w:r>
            <w:r w:rsidRPr="002B55E9">
              <w:rPr>
                <w:sz w:val="18"/>
                <w:szCs w:val="18"/>
              </w:rPr>
              <w:t>0</w:t>
            </w:r>
          </w:p>
        </w:tc>
        <w:tc>
          <w:tcPr>
            <w:tcW w:w="1664" w:type="dxa"/>
            <w:tcBorders>
              <w:top w:val="single" w:sz="4" w:space="0" w:color="auto"/>
              <w:left w:val="nil"/>
              <w:bottom w:val="single" w:sz="4" w:space="0" w:color="auto"/>
              <w:right w:val="nil"/>
            </w:tcBorders>
            <w:shd w:val="clear" w:color="auto" w:fill="auto"/>
            <w:vAlign w:val="center"/>
          </w:tcPr>
          <w:p w14:paraId="5E8E674B" w14:textId="77777777" w:rsidR="00D170E5" w:rsidRPr="002B55E9" w:rsidRDefault="00EF27AD">
            <w:pPr>
              <w:jc w:val="center"/>
              <w:rPr>
                <w:sz w:val="18"/>
                <w:szCs w:val="18"/>
              </w:rPr>
            </w:pPr>
            <w:r w:rsidRPr="002B55E9">
              <w:rPr>
                <w:rFonts w:hint="eastAsia"/>
                <w:sz w:val="18"/>
                <w:szCs w:val="18"/>
              </w:rPr>
              <w:t>88.57</w:t>
            </w:r>
          </w:p>
        </w:tc>
        <w:tc>
          <w:tcPr>
            <w:tcW w:w="1351" w:type="dxa"/>
            <w:shd w:val="clear" w:color="auto" w:fill="auto"/>
            <w:vAlign w:val="center"/>
          </w:tcPr>
          <w:p w14:paraId="181D8862"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r w:rsidR="002B55E9" w:rsidRPr="002B55E9" w14:paraId="607D8B47" w14:textId="77777777">
        <w:trPr>
          <w:trHeight w:val="300"/>
          <w:jc w:val="center"/>
        </w:trPr>
        <w:tc>
          <w:tcPr>
            <w:tcW w:w="1695" w:type="dxa"/>
            <w:tcBorders>
              <w:top w:val="single" w:sz="4" w:space="0" w:color="auto"/>
              <w:bottom w:val="single" w:sz="4" w:space="0" w:color="auto"/>
            </w:tcBorders>
            <w:shd w:val="clear" w:color="auto" w:fill="auto"/>
            <w:vAlign w:val="center"/>
          </w:tcPr>
          <w:p w14:paraId="398EACF7" w14:textId="77777777" w:rsidR="00D170E5" w:rsidRPr="002B55E9" w:rsidRDefault="00EF27AD">
            <w:pPr>
              <w:adjustRightInd w:val="0"/>
              <w:snapToGrid w:val="0"/>
              <w:jc w:val="center"/>
              <w:rPr>
                <w:sz w:val="18"/>
                <w:szCs w:val="18"/>
              </w:rPr>
            </w:pPr>
            <w:r w:rsidRPr="002B55E9">
              <w:rPr>
                <w:sz w:val="18"/>
                <w:szCs w:val="18"/>
              </w:rPr>
              <w:t>PM</w:t>
            </w:r>
            <w:r w:rsidRPr="002B55E9">
              <w:rPr>
                <w:sz w:val="18"/>
                <w:szCs w:val="18"/>
                <w:vertAlign w:val="subscript"/>
              </w:rPr>
              <w:t>2.5</w:t>
            </w:r>
          </w:p>
        </w:tc>
        <w:tc>
          <w:tcPr>
            <w:tcW w:w="1687" w:type="dxa"/>
            <w:tcBorders>
              <w:top w:val="single" w:sz="4" w:space="0" w:color="auto"/>
              <w:bottom w:val="single" w:sz="4" w:space="0" w:color="auto"/>
            </w:tcBorders>
            <w:shd w:val="clear" w:color="auto" w:fill="auto"/>
            <w:vAlign w:val="center"/>
          </w:tcPr>
          <w:p w14:paraId="318E4710"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4" w:space="0" w:color="auto"/>
              <w:bottom w:val="single" w:sz="4" w:space="0" w:color="auto"/>
            </w:tcBorders>
            <w:shd w:val="clear" w:color="auto" w:fill="auto"/>
            <w:vAlign w:val="center"/>
          </w:tcPr>
          <w:p w14:paraId="3A4907A8"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35</w:t>
            </w:r>
          </w:p>
        </w:tc>
        <w:tc>
          <w:tcPr>
            <w:tcW w:w="1552" w:type="dxa"/>
            <w:tcBorders>
              <w:top w:val="single" w:sz="4" w:space="0" w:color="auto"/>
              <w:bottom w:val="single" w:sz="4" w:space="0" w:color="auto"/>
            </w:tcBorders>
            <w:shd w:val="clear" w:color="auto" w:fill="auto"/>
            <w:vAlign w:val="center"/>
          </w:tcPr>
          <w:p w14:paraId="1EB77F84"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3</w:t>
            </w:r>
            <w:r w:rsidRPr="002B55E9">
              <w:rPr>
                <w:sz w:val="18"/>
                <w:szCs w:val="18"/>
              </w:rPr>
              <w:t>5</w:t>
            </w:r>
          </w:p>
        </w:tc>
        <w:tc>
          <w:tcPr>
            <w:tcW w:w="1664" w:type="dxa"/>
            <w:tcBorders>
              <w:top w:val="single" w:sz="4" w:space="0" w:color="auto"/>
              <w:left w:val="nil"/>
              <w:bottom w:val="single" w:sz="4" w:space="0" w:color="auto"/>
              <w:right w:val="nil"/>
            </w:tcBorders>
            <w:shd w:val="clear" w:color="auto" w:fill="auto"/>
            <w:vAlign w:val="center"/>
          </w:tcPr>
          <w:p w14:paraId="00A3A95F" w14:textId="77777777" w:rsidR="00D170E5" w:rsidRPr="002B55E9" w:rsidRDefault="00EF27AD">
            <w:pPr>
              <w:jc w:val="center"/>
              <w:rPr>
                <w:sz w:val="18"/>
                <w:szCs w:val="18"/>
              </w:rPr>
            </w:pPr>
            <w:r w:rsidRPr="002B55E9">
              <w:rPr>
                <w:rFonts w:hint="eastAsia"/>
                <w:sz w:val="18"/>
                <w:szCs w:val="18"/>
              </w:rPr>
              <w:t>100</w:t>
            </w:r>
          </w:p>
        </w:tc>
        <w:tc>
          <w:tcPr>
            <w:tcW w:w="1351" w:type="dxa"/>
            <w:shd w:val="clear" w:color="auto" w:fill="auto"/>
            <w:vAlign w:val="center"/>
          </w:tcPr>
          <w:p w14:paraId="21A560C1"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r w:rsidR="002B55E9" w:rsidRPr="002B55E9" w14:paraId="5F66B40D" w14:textId="77777777">
        <w:trPr>
          <w:trHeight w:val="300"/>
          <w:jc w:val="center"/>
        </w:trPr>
        <w:tc>
          <w:tcPr>
            <w:tcW w:w="1695" w:type="dxa"/>
            <w:tcBorders>
              <w:top w:val="single" w:sz="4" w:space="0" w:color="auto"/>
              <w:bottom w:val="single" w:sz="4" w:space="0" w:color="auto"/>
            </w:tcBorders>
            <w:shd w:val="clear" w:color="auto" w:fill="auto"/>
            <w:vAlign w:val="center"/>
          </w:tcPr>
          <w:p w14:paraId="4B550CDB" w14:textId="77777777" w:rsidR="00D170E5" w:rsidRPr="002B55E9" w:rsidRDefault="00EF27AD">
            <w:pPr>
              <w:adjustRightInd w:val="0"/>
              <w:snapToGrid w:val="0"/>
              <w:jc w:val="center"/>
              <w:rPr>
                <w:sz w:val="18"/>
                <w:szCs w:val="18"/>
              </w:rPr>
            </w:pPr>
            <w:r w:rsidRPr="002B55E9">
              <w:rPr>
                <w:sz w:val="18"/>
                <w:szCs w:val="18"/>
              </w:rPr>
              <w:t>CO</w:t>
            </w:r>
          </w:p>
        </w:tc>
        <w:tc>
          <w:tcPr>
            <w:tcW w:w="1687" w:type="dxa"/>
            <w:tcBorders>
              <w:top w:val="single" w:sz="4" w:space="0" w:color="auto"/>
              <w:bottom w:val="single" w:sz="4" w:space="0" w:color="auto"/>
            </w:tcBorders>
            <w:shd w:val="clear" w:color="auto" w:fill="auto"/>
            <w:vAlign w:val="center"/>
          </w:tcPr>
          <w:p w14:paraId="18DAF87D"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4" w:space="0" w:color="auto"/>
              <w:bottom w:val="single" w:sz="4" w:space="0" w:color="auto"/>
            </w:tcBorders>
            <w:shd w:val="clear" w:color="auto" w:fill="auto"/>
            <w:vAlign w:val="center"/>
          </w:tcPr>
          <w:p w14:paraId="237B9F77"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1.3</w:t>
            </w:r>
          </w:p>
        </w:tc>
        <w:tc>
          <w:tcPr>
            <w:tcW w:w="1552" w:type="dxa"/>
            <w:tcBorders>
              <w:top w:val="single" w:sz="4" w:space="0" w:color="auto"/>
              <w:bottom w:val="single" w:sz="4" w:space="0" w:color="auto"/>
            </w:tcBorders>
            <w:shd w:val="clear" w:color="auto" w:fill="auto"/>
            <w:vAlign w:val="center"/>
          </w:tcPr>
          <w:p w14:paraId="58A159B7"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4</w:t>
            </w:r>
            <w:r w:rsidRPr="002B55E9">
              <w:rPr>
                <w:sz w:val="18"/>
                <w:szCs w:val="18"/>
              </w:rPr>
              <w:t>000</w:t>
            </w:r>
          </w:p>
        </w:tc>
        <w:tc>
          <w:tcPr>
            <w:tcW w:w="1664" w:type="dxa"/>
            <w:tcBorders>
              <w:top w:val="single" w:sz="4" w:space="0" w:color="auto"/>
              <w:bottom w:val="single" w:sz="4" w:space="0" w:color="auto"/>
            </w:tcBorders>
            <w:shd w:val="clear" w:color="auto" w:fill="auto"/>
            <w:vAlign w:val="center"/>
          </w:tcPr>
          <w:p w14:paraId="40FBB83E"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0.00325</w:t>
            </w:r>
          </w:p>
        </w:tc>
        <w:tc>
          <w:tcPr>
            <w:tcW w:w="1351" w:type="dxa"/>
            <w:shd w:val="clear" w:color="auto" w:fill="auto"/>
            <w:vAlign w:val="center"/>
          </w:tcPr>
          <w:p w14:paraId="13D7F88B"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r w:rsidR="002B55E9" w:rsidRPr="002B55E9" w14:paraId="3F265979" w14:textId="77777777">
        <w:trPr>
          <w:trHeight w:val="300"/>
          <w:jc w:val="center"/>
        </w:trPr>
        <w:tc>
          <w:tcPr>
            <w:tcW w:w="1695" w:type="dxa"/>
            <w:tcBorders>
              <w:top w:val="single" w:sz="4" w:space="0" w:color="auto"/>
              <w:bottom w:val="single" w:sz="12" w:space="0" w:color="auto"/>
            </w:tcBorders>
            <w:shd w:val="clear" w:color="auto" w:fill="auto"/>
            <w:vAlign w:val="center"/>
          </w:tcPr>
          <w:p w14:paraId="02164279" w14:textId="77777777" w:rsidR="00D170E5" w:rsidRPr="002B55E9" w:rsidRDefault="00EF27AD">
            <w:pPr>
              <w:adjustRightInd w:val="0"/>
              <w:snapToGrid w:val="0"/>
              <w:jc w:val="center"/>
              <w:rPr>
                <w:sz w:val="18"/>
                <w:szCs w:val="18"/>
              </w:rPr>
            </w:pPr>
            <w:r w:rsidRPr="002B55E9">
              <w:rPr>
                <w:sz w:val="18"/>
                <w:szCs w:val="18"/>
              </w:rPr>
              <w:t>O</w:t>
            </w:r>
            <w:r w:rsidRPr="002B55E9">
              <w:rPr>
                <w:sz w:val="18"/>
                <w:szCs w:val="18"/>
                <w:vertAlign w:val="subscript"/>
              </w:rPr>
              <w:t>3</w:t>
            </w:r>
          </w:p>
        </w:tc>
        <w:tc>
          <w:tcPr>
            <w:tcW w:w="1687" w:type="dxa"/>
            <w:tcBorders>
              <w:top w:val="single" w:sz="4" w:space="0" w:color="auto"/>
              <w:bottom w:val="single" w:sz="12" w:space="0" w:color="auto"/>
            </w:tcBorders>
            <w:shd w:val="clear" w:color="auto" w:fill="auto"/>
            <w:vAlign w:val="center"/>
          </w:tcPr>
          <w:p w14:paraId="2B00D714" w14:textId="77777777" w:rsidR="00D170E5" w:rsidRPr="002B55E9" w:rsidRDefault="00EF27AD">
            <w:pPr>
              <w:adjustRightInd w:val="0"/>
              <w:snapToGrid w:val="0"/>
              <w:jc w:val="center"/>
              <w:rPr>
                <w:sz w:val="18"/>
                <w:szCs w:val="18"/>
              </w:rPr>
            </w:pPr>
            <w:r w:rsidRPr="002B55E9">
              <w:rPr>
                <w:sz w:val="18"/>
                <w:szCs w:val="18"/>
              </w:rPr>
              <w:t>年均质量浓度</w:t>
            </w:r>
          </w:p>
        </w:tc>
        <w:tc>
          <w:tcPr>
            <w:tcW w:w="1689" w:type="dxa"/>
            <w:tcBorders>
              <w:top w:val="single" w:sz="4" w:space="0" w:color="auto"/>
              <w:bottom w:val="single" w:sz="12" w:space="0" w:color="auto"/>
            </w:tcBorders>
            <w:shd w:val="clear" w:color="auto" w:fill="auto"/>
            <w:vAlign w:val="center"/>
          </w:tcPr>
          <w:p w14:paraId="5A47D9CE"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158</w:t>
            </w:r>
          </w:p>
        </w:tc>
        <w:tc>
          <w:tcPr>
            <w:tcW w:w="1552" w:type="dxa"/>
            <w:tcBorders>
              <w:top w:val="single" w:sz="4" w:space="0" w:color="auto"/>
              <w:bottom w:val="single" w:sz="12" w:space="0" w:color="auto"/>
            </w:tcBorders>
            <w:shd w:val="clear" w:color="auto" w:fill="auto"/>
            <w:vAlign w:val="center"/>
          </w:tcPr>
          <w:p w14:paraId="117BA5E1"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1</w:t>
            </w:r>
            <w:r w:rsidRPr="002B55E9">
              <w:rPr>
                <w:sz w:val="18"/>
                <w:szCs w:val="18"/>
              </w:rPr>
              <w:t>60</w:t>
            </w:r>
          </w:p>
        </w:tc>
        <w:tc>
          <w:tcPr>
            <w:tcW w:w="1664" w:type="dxa"/>
            <w:tcBorders>
              <w:top w:val="single" w:sz="4" w:space="0" w:color="auto"/>
              <w:bottom w:val="single" w:sz="12" w:space="0" w:color="auto"/>
            </w:tcBorders>
            <w:shd w:val="clear" w:color="auto" w:fill="auto"/>
            <w:vAlign w:val="center"/>
          </w:tcPr>
          <w:p w14:paraId="4F976DBF"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98.75</w:t>
            </w:r>
          </w:p>
        </w:tc>
        <w:tc>
          <w:tcPr>
            <w:tcW w:w="1351" w:type="dxa"/>
            <w:tcBorders>
              <w:bottom w:val="single" w:sz="12" w:space="0" w:color="auto"/>
            </w:tcBorders>
            <w:shd w:val="clear" w:color="auto" w:fill="auto"/>
            <w:vAlign w:val="center"/>
          </w:tcPr>
          <w:p w14:paraId="7F5A1D63" w14:textId="77777777" w:rsidR="00D170E5" w:rsidRPr="002B55E9" w:rsidRDefault="00EF27AD">
            <w:pPr>
              <w:tabs>
                <w:tab w:val="left" w:pos="0"/>
              </w:tabs>
              <w:autoSpaceDE w:val="0"/>
              <w:autoSpaceDN w:val="0"/>
              <w:adjustRightInd w:val="0"/>
              <w:snapToGrid w:val="0"/>
              <w:jc w:val="center"/>
              <w:textAlignment w:val="baseline"/>
              <w:rPr>
                <w:sz w:val="18"/>
                <w:szCs w:val="18"/>
              </w:rPr>
            </w:pPr>
            <w:r w:rsidRPr="002B55E9">
              <w:rPr>
                <w:rFonts w:hint="eastAsia"/>
                <w:sz w:val="18"/>
                <w:szCs w:val="18"/>
              </w:rPr>
              <w:t>达标</w:t>
            </w:r>
          </w:p>
        </w:tc>
      </w:tr>
    </w:tbl>
    <w:p w14:paraId="3D435032" w14:textId="77777777" w:rsidR="00D170E5" w:rsidRPr="002B55E9" w:rsidRDefault="00EF27AD">
      <w:pPr>
        <w:pStyle w:val="affff7"/>
      </w:pPr>
      <w:r w:rsidRPr="002B55E9">
        <w:t>从上表可知，项目所在区域</w:t>
      </w:r>
      <w:r w:rsidRPr="002B55E9">
        <w:t>SO</w:t>
      </w:r>
      <w:r w:rsidRPr="002B55E9">
        <w:rPr>
          <w:vertAlign w:val="subscript"/>
        </w:rPr>
        <w:t>2</w:t>
      </w:r>
      <w:r w:rsidRPr="002B55E9">
        <w:t>、</w:t>
      </w:r>
      <w:r w:rsidRPr="002B55E9">
        <w:t>NO</w:t>
      </w:r>
      <w:r w:rsidRPr="002B55E9">
        <w:rPr>
          <w:vertAlign w:val="subscript"/>
        </w:rPr>
        <w:t>2</w:t>
      </w:r>
      <w:r w:rsidRPr="002B55E9">
        <w:t>、</w:t>
      </w:r>
      <w:r w:rsidRPr="002B55E9">
        <w:t>PM</w:t>
      </w:r>
      <w:r w:rsidRPr="002B55E9">
        <w:rPr>
          <w:vertAlign w:val="subscript"/>
        </w:rPr>
        <w:t>10</w:t>
      </w:r>
      <w:r w:rsidRPr="002B55E9">
        <w:t>、</w:t>
      </w:r>
      <w:r w:rsidRPr="002B55E9">
        <w:t>PM</w:t>
      </w:r>
      <w:r w:rsidRPr="002B55E9">
        <w:rPr>
          <w:vertAlign w:val="subscript"/>
        </w:rPr>
        <w:t>2.5</w:t>
      </w:r>
      <w:r w:rsidRPr="002B55E9">
        <w:rPr>
          <w:rFonts w:hint="eastAsia"/>
        </w:rPr>
        <w:t>、</w:t>
      </w:r>
      <w:r w:rsidRPr="002B55E9">
        <w:t>CO</w:t>
      </w:r>
      <w:r w:rsidRPr="002B55E9">
        <w:t>、臭氧监测值</w:t>
      </w:r>
      <w:r w:rsidRPr="002B55E9">
        <w:rPr>
          <w:rFonts w:hint="eastAsia"/>
        </w:rPr>
        <w:t>均</w:t>
      </w:r>
      <w:r w:rsidRPr="002B55E9">
        <w:t>可以满足《环境空气质量标准》（</w:t>
      </w:r>
      <w:r w:rsidRPr="002B55E9">
        <w:t>GB3095-2012</w:t>
      </w:r>
      <w:r w:rsidRPr="002B55E9">
        <w:t>）及其修改单二级标准，因此判断项目所在区域</w:t>
      </w:r>
      <w:r w:rsidRPr="002B55E9">
        <w:rPr>
          <w:rFonts w:hint="eastAsia"/>
        </w:rPr>
        <w:t>为达标区</w:t>
      </w:r>
      <w:r w:rsidRPr="002B55E9">
        <w:rPr>
          <w:rFonts w:hint="eastAsia"/>
          <w:lang w:val="zh-CN"/>
        </w:rPr>
        <w:t>。</w:t>
      </w:r>
    </w:p>
    <w:p w14:paraId="5A6874D1" w14:textId="77777777" w:rsidR="00D170E5" w:rsidRPr="002B55E9" w:rsidRDefault="00EF27AD">
      <w:pPr>
        <w:pStyle w:val="5"/>
      </w:pPr>
      <w:r w:rsidRPr="002B55E9">
        <w:rPr>
          <w:rFonts w:hint="eastAsia"/>
        </w:rPr>
        <w:t>环境空气质量现状监测（特征因子）</w:t>
      </w:r>
    </w:p>
    <w:p w14:paraId="745649EB" w14:textId="6EB3FCE4" w:rsidR="00D170E5" w:rsidRPr="002B55E9" w:rsidRDefault="00EF27AD">
      <w:pPr>
        <w:pStyle w:val="affff7"/>
      </w:pPr>
      <w:bookmarkStart w:id="181" w:name="_Toc223950483"/>
      <w:bookmarkStart w:id="182" w:name="_Toc113789383"/>
      <w:bookmarkStart w:id="183" w:name="_Toc104171187"/>
      <w:bookmarkStart w:id="184" w:name="_Toc101667424"/>
      <w:bookmarkStart w:id="185" w:name="_Toc112555056"/>
      <w:bookmarkStart w:id="186" w:name="_Toc115781852"/>
      <w:bookmarkStart w:id="187" w:name="_Toc104171440"/>
      <w:bookmarkStart w:id="188" w:name="_Toc104175509"/>
      <w:bookmarkStart w:id="189" w:name="_Toc115783085"/>
      <w:r w:rsidRPr="002B55E9">
        <w:t>按照武政办</w:t>
      </w:r>
      <w:r w:rsidRPr="002B55E9">
        <w:t>[20</w:t>
      </w:r>
      <w:r w:rsidRPr="002B55E9">
        <w:rPr>
          <w:rFonts w:hint="eastAsia"/>
        </w:rPr>
        <w:t>13</w:t>
      </w:r>
      <w:r w:rsidRPr="002B55E9">
        <w:t>]</w:t>
      </w:r>
      <w:r w:rsidRPr="002B55E9">
        <w:rPr>
          <w:rFonts w:hint="eastAsia"/>
        </w:rPr>
        <w:t>129</w:t>
      </w:r>
      <w:r w:rsidRPr="002B55E9">
        <w:t>号《</w:t>
      </w:r>
      <w:r w:rsidRPr="002B55E9">
        <w:rPr>
          <w:rFonts w:hint="eastAsia"/>
          <w:spacing w:val="-4"/>
        </w:rPr>
        <w:t>市人民政府办公厅关于转发武汉市环境空气质量功能区类别规定的通知</w:t>
      </w:r>
      <w:r w:rsidRPr="002B55E9">
        <w:t>》的规定，</w:t>
      </w:r>
      <w:r w:rsidRPr="002B55E9">
        <w:rPr>
          <w:rFonts w:hint="eastAsia"/>
        </w:rPr>
        <w:t>本项目所在区域</w:t>
      </w:r>
      <w:r w:rsidRPr="002B55E9">
        <w:t>属于</w:t>
      </w:r>
      <w:r w:rsidRPr="002B55E9">
        <w:rPr>
          <w:rFonts w:hint="eastAsia"/>
        </w:rPr>
        <w:t>“</w:t>
      </w:r>
      <w:r w:rsidRPr="002B55E9">
        <w:t>二类区域</w:t>
      </w:r>
      <w:r w:rsidRPr="002B55E9">
        <w:rPr>
          <w:rFonts w:hint="eastAsia"/>
        </w:rPr>
        <w:t>”</w:t>
      </w:r>
      <w:r w:rsidRPr="002B55E9">
        <w:t>，项目所在区域环境空气功能区属二类区，</w:t>
      </w:r>
      <w:r w:rsidRPr="002B55E9">
        <w:rPr>
          <w:rFonts w:hint="eastAsia"/>
        </w:rPr>
        <w:t>项目特征污染物</w:t>
      </w:r>
      <w:r w:rsidR="00924AFA" w:rsidRPr="002B55E9">
        <w:rPr>
          <w:rFonts w:hint="eastAsia"/>
        </w:rPr>
        <w:t>总挥发性有机物</w:t>
      </w:r>
      <w:r w:rsidRPr="002B55E9">
        <w:rPr>
          <w:rFonts w:hint="eastAsia"/>
        </w:rPr>
        <w:t>、</w:t>
      </w:r>
      <w:r w:rsidRPr="002B55E9">
        <w:t>硫酸、氯化氢、甲醛</w:t>
      </w:r>
      <w:r w:rsidR="0037095F" w:rsidRPr="002B55E9">
        <w:rPr>
          <w:rFonts w:hint="eastAsia"/>
        </w:rPr>
        <w:t>、</w:t>
      </w:r>
      <w:r w:rsidR="0037095F" w:rsidRPr="002B55E9">
        <w:t>非甲烷总烃、氨、硫化氢</w:t>
      </w:r>
      <w:r w:rsidRPr="002B55E9">
        <w:rPr>
          <w:rFonts w:hint="eastAsia"/>
        </w:rPr>
        <w:t>参照执行</w:t>
      </w:r>
      <w:r w:rsidRPr="002B55E9">
        <w:t>《环境影响评价技术导则</w:t>
      </w:r>
      <w:r w:rsidRPr="002B55E9">
        <w:t xml:space="preserve"> </w:t>
      </w:r>
      <w:r w:rsidRPr="002B55E9">
        <w:t>大气环境》</w:t>
      </w:r>
      <w:r w:rsidRPr="002B55E9">
        <w:rPr>
          <w:rFonts w:hint="eastAsia"/>
        </w:rPr>
        <w:t>（</w:t>
      </w:r>
      <w:r w:rsidRPr="002B55E9">
        <w:rPr>
          <w:rFonts w:hint="eastAsia"/>
        </w:rPr>
        <w:t>HJ2.2-2018</w:t>
      </w:r>
      <w:r w:rsidRPr="002B55E9">
        <w:rPr>
          <w:rFonts w:hint="eastAsia"/>
        </w:rPr>
        <w:t>）附录</w:t>
      </w:r>
      <w:r w:rsidRPr="002B55E9">
        <w:rPr>
          <w:rFonts w:hint="eastAsia"/>
        </w:rPr>
        <w:t>D</w:t>
      </w:r>
      <w:r w:rsidRPr="002B55E9">
        <w:rPr>
          <w:rFonts w:hint="eastAsia"/>
        </w:rPr>
        <w:t>中污染物浓度限值，</w:t>
      </w:r>
      <w:r w:rsidRPr="002B55E9">
        <w:t>TSP</w:t>
      </w:r>
      <w:r w:rsidRPr="002B55E9">
        <w:rPr>
          <w:rFonts w:hint="eastAsia"/>
        </w:rPr>
        <w:t>执行《环境</w:t>
      </w:r>
      <w:r w:rsidRPr="002B55E9">
        <w:t>空气质量标准</w:t>
      </w:r>
      <w:r w:rsidRPr="002B55E9">
        <w:rPr>
          <w:rFonts w:hint="eastAsia"/>
        </w:rPr>
        <w:t>》（</w:t>
      </w:r>
      <w:r w:rsidRPr="002B55E9">
        <w:rPr>
          <w:rFonts w:hint="eastAsia"/>
        </w:rPr>
        <w:t>GB3095-2012</w:t>
      </w:r>
      <w:r w:rsidRPr="002B55E9">
        <w:rPr>
          <w:rFonts w:hint="eastAsia"/>
        </w:rPr>
        <w:t>）中</w:t>
      </w:r>
      <w:r w:rsidRPr="002B55E9">
        <w:t>的二级标准</w:t>
      </w:r>
      <w:r w:rsidRPr="002B55E9">
        <w:rPr>
          <w:rFonts w:hint="eastAsia"/>
        </w:rPr>
        <w:t>。</w:t>
      </w:r>
    </w:p>
    <w:p w14:paraId="2D5EADF7" w14:textId="5092BFA8" w:rsidR="00D170E5" w:rsidRPr="002B55E9" w:rsidRDefault="009E34E1" w:rsidP="00FB20E5">
      <w:pPr>
        <w:pStyle w:val="affff7"/>
        <w:rPr>
          <w:bCs w:val="0"/>
        </w:rPr>
      </w:pPr>
      <w:r w:rsidRPr="002B55E9">
        <w:rPr>
          <w:rFonts w:hint="eastAsia"/>
        </w:rPr>
        <w:t>为</w:t>
      </w:r>
      <w:r w:rsidR="00FB20E5" w:rsidRPr="002B55E9">
        <w:rPr>
          <w:rFonts w:hint="eastAsia"/>
        </w:rPr>
        <w:t>了解</w:t>
      </w:r>
      <w:r w:rsidR="00FB20E5" w:rsidRPr="002B55E9">
        <w:t>区域环境质量现状，</w:t>
      </w:r>
      <w:r w:rsidR="00EF27AD" w:rsidRPr="002B55E9">
        <w:t>本次评价</w:t>
      </w:r>
      <w:r w:rsidR="00924AFA" w:rsidRPr="002B55E9">
        <w:rPr>
          <w:rFonts w:hint="eastAsia"/>
          <w:spacing w:val="-8"/>
        </w:rPr>
        <w:t>总挥发性有机物</w:t>
      </w:r>
      <w:r w:rsidR="00FB20E5" w:rsidRPr="002B55E9">
        <w:rPr>
          <w:rFonts w:hint="eastAsia"/>
          <w:spacing w:val="-8"/>
        </w:rPr>
        <w:t>、</w:t>
      </w:r>
      <w:r w:rsidR="00FB20E5" w:rsidRPr="002B55E9">
        <w:rPr>
          <w:spacing w:val="-8"/>
        </w:rPr>
        <w:t>非甲烷总烃</w:t>
      </w:r>
      <w:r w:rsidR="00FB20E5" w:rsidRPr="002B55E9">
        <w:rPr>
          <w:rFonts w:hint="eastAsia"/>
          <w:spacing w:val="-8"/>
        </w:rPr>
        <w:t>、</w:t>
      </w:r>
      <w:r w:rsidR="00FB20E5" w:rsidRPr="002B55E9">
        <w:rPr>
          <w:spacing w:val="-8"/>
        </w:rPr>
        <w:t>氨、硫化氢</w:t>
      </w:r>
      <w:r w:rsidR="00EF27AD" w:rsidRPr="002B55E9">
        <w:rPr>
          <w:rFonts w:hint="eastAsia"/>
          <w:spacing w:val="-8"/>
        </w:rPr>
        <w:t>引用《新沟镇街食品医疗板块规划环评环境监测报告》（跃华（检）字</w:t>
      </w:r>
      <w:r w:rsidR="00EF27AD" w:rsidRPr="002B55E9">
        <w:rPr>
          <w:rFonts w:hint="eastAsia"/>
          <w:spacing w:val="-8"/>
        </w:rPr>
        <w:t>2</w:t>
      </w:r>
      <w:r w:rsidR="00EF27AD" w:rsidRPr="002B55E9">
        <w:rPr>
          <w:spacing w:val="-8"/>
        </w:rPr>
        <w:t>0210790</w:t>
      </w:r>
      <w:r w:rsidR="00EF27AD" w:rsidRPr="002B55E9">
        <w:rPr>
          <w:rFonts w:hint="eastAsia"/>
          <w:spacing w:val="-8"/>
        </w:rPr>
        <w:t>）中</w:t>
      </w:r>
      <w:r w:rsidR="00EF27AD" w:rsidRPr="002B55E9">
        <w:rPr>
          <w:spacing w:val="-8"/>
        </w:rPr>
        <w:t>G3</w:t>
      </w:r>
      <w:r w:rsidR="00EF27AD" w:rsidRPr="002B55E9">
        <w:rPr>
          <w:rFonts w:hint="eastAsia"/>
          <w:spacing w:val="-8"/>
        </w:rPr>
        <w:t>荷花苑还建小区（位于本项目西北侧约</w:t>
      </w:r>
      <w:r w:rsidR="00EF27AD" w:rsidRPr="002B55E9">
        <w:rPr>
          <w:rFonts w:hint="eastAsia"/>
          <w:spacing w:val="-8"/>
        </w:rPr>
        <w:t>2</w:t>
      </w:r>
      <w:r w:rsidR="00EF27AD" w:rsidRPr="002B55E9">
        <w:rPr>
          <w:spacing w:val="-8"/>
        </w:rPr>
        <w:t>.2km</w:t>
      </w:r>
      <w:r w:rsidR="00EF27AD" w:rsidRPr="002B55E9">
        <w:rPr>
          <w:rFonts w:hint="eastAsia"/>
          <w:spacing w:val="-8"/>
        </w:rPr>
        <w:t>）、</w:t>
      </w:r>
      <w:r w:rsidR="00EF27AD" w:rsidRPr="002B55E9">
        <w:rPr>
          <w:rFonts w:hint="eastAsia"/>
          <w:spacing w:val="-8"/>
        </w:rPr>
        <w:t>G</w:t>
      </w:r>
      <w:r w:rsidR="00EF27AD" w:rsidRPr="002B55E9">
        <w:rPr>
          <w:spacing w:val="-8"/>
        </w:rPr>
        <w:t>5</w:t>
      </w:r>
      <w:r w:rsidR="00EF27AD" w:rsidRPr="002B55E9">
        <w:rPr>
          <w:rFonts w:hint="eastAsia"/>
          <w:spacing w:val="-8"/>
        </w:rPr>
        <w:t>孙家湾新村（位于本项目西南侧</w:t>
      </w:r>
      <w:r w:rsidR="00EF27AD" w:rsidRPr="002B55E9">
        <w:rPr>
          <w:rFonts w:hint="eastAsia"/>
          <w:spacing w:val="-8"/>
        </w:rPr>
        <w:t>1</w:t>
      </w:r>
      <w:r w:rsidR="00EF27AD" w:rsidRPr="002B55E9">
        <w:rPr>
          <w:spacing w:val="-8"/>
        </w:rPr>
        <w:t>.5km</w:t>
      </w:r>
      <w:r w:rsidR="00EF27AD" w:rsidRPr="002B55E9">
        <w:rPr>
          <w:rFonts w:hint="eastAsia"/>
          <w:spacing w:val="-8"/>
        </w:rPr>
        <w:t>）监测数据进行分析，监测时间</w:t>
      </w:r>
      <w:r w:rsidR="00EF27AD" w:rsidRPr="002B55E9">
        <w:rPr>
          <w:rFonts w:hint="eastAsia"/>
          <w:spacing w:val="-8"/>
        </w:rPr>
        <w:t>2</w:t>
      </w:r>
      <w:r w:rsidR="00EF27AD" w:rsidRPr="002B55E9">
        <w:rPr>
          <w:spacing w:val="-8"/>
        </w:rPr>
        <w:t>021</w:t>
      </w:r>
      <w:r w:rsidR="00EF27AD" w:rsidRPr="002B55E9">
        <w:rPr>
          <w:rFonts w:hint="eastAsia"/>
          <w:spacing w:val="-8"/>
        </w:rPr>
        <w:t>年</w:t>
      </w:r>
      <w:r w:rsidR="00EF27AD" w:rsidRPr="002B55E9">
        <w:rPr>
          <w:rFonts w:hint="eastAsia"/>
          <w:spacing w:val="-8"/>
        </w:rPr>
        <w:t>4</w:t>
      </w:r>
      <w:r w:rsidR="00EF27AD" w:rsidRPr="002B55E9">
        <w:rPr>
          <w:rFonts w:hint="eastAsia"/>
          <w:spacing w:val="-8"/>
        </w:rPr>
        <w:t>月</w:t>
      </w:r>
      <w:r w:rsidR="00EF27AD" w:rsidRPr="002B55E9">
        <w:rPr>
          <w:spacing w:val="-8"/>
        </w:rPr>
        <w:t>6</w:t>
      </w:r>
      <w:r w:rsidR="00EF27AD" w:rsidRPr="002B55E9">
        <w:rPr>
          <w:rFonts w:hint="eastAsia"/>
          <w:spacing w:val="-8"/>
        </w:rPr>
        <w:t>日</w:t>
      </w:r>
      <w:r w:rsidR="00EF27AD" w:rsidRPr="002B55E9">
        <w:rPr>
          <w:rFonts w:hint="eastAsia"/>
          <w:spacing w:val="-8"/>
        </w:rPr>
        <w:t>~</w:t>
      </w:r>
      <w:r w:rsidR="00EF27AD" w:rsidRPr="002B55E9">
        <w:rPr>
          <w:spacing w:val="-8"/>
        </w:rPr>
        <w:t>2021</w:t>
      </w:r>
      <w:r w:rsidR="00EF27AD" w:rsidRPr="002B55E9">
        <w:rPr>
          <w:rFonts w:hint="eastAsia"/>
          <w:spacing w:val="-8"/>
        </w:rPr>
        <w:t>年</w:t>
      </w:r>
      <w:r w:rsidR="00EF27AD" w:rsidRPr="002B55E9">
        <w:rPr>
          <w:spacing w:val="-8"/>
        </w:rPr>
        <w:t>4</w:t>
      </w:r>
      <w:r w:rsidR="00EF27AD" w:rsidRPr="002B55E9">
        <w:rPr>
          <w:rFonts w:hint="eastAsia"/>
          <w:spacing w:val="-8"/>
        </w:rPr>
        <w:t>月</w:t>
      </w:r>
      <w:r w:rsidR="00EF27AD" w:rsidRPr="002B55E9">
        <w:rPr>
          <w:spacing w:val="-8"/>
        </w:rPr>
        <w:t>12</w:t>
      </w:r>
      <w:r w:rsidR="00EF27AD" w:rsidRPr="002B55E9">
        <w:rPr>
          <w:rFonts w:hint="eastAsia"/>
          <w:spacing w:val="-8"/>
        </w:rPr>
        <w:t>日，引用</w:t>
      </w:r>
      <w:r w:rsidR="00EF27AD" w:rsidRPr="002B55E9">
        <w:rPr>
          <w:spacing w:val="-8"/>
        </w:rPr>
        <w:t>点位</w:t>
      </w:r>
      <w:r w:rsidR="00EF27AD" w:rsidRPr="002B55E9">
        <w:rPr>
          <w:rFonts w:hint="eastAsia"/>
          <w:spacing w:val="-8"/>
        </w:rPr>
        <w:t>与</w:t>
      </w:r>
      <w:r w:rsidR="00EF27AD" w:rsidRPr="002B55E9">
        <w:rPr>
          <w:spacing w:val="-8"/>
        </w:rPr>
        <w:t>本项目距离小于</w:t>
      </w:r>
      <w:r w:rsidR="00EF27AD" w:rsidRPr="002B55E9">
        <w:rPr>
          <w:rFonts w:hint="eastAsia"/>
          <w:spacing w:val="-8"/>
        </w:rPr>
        <w:t>3</w:t>
      </w:r>
      <w:r w:rsidR="00EF27AD" w:rsidRPr="002B55E9">
        <w:rPr>
          <w:spacing w:val="-8"/>
        </w:rPr>
        <w:t>km</w:t>
      </w:r>
      <w:r w:rsidR="00EF27AD" w:rsidRPr="002B55E9">
        <w:rPr>
          <w:spacing w:val="-8"/>
        </w:rPr>
        <w:t>，</w:t>
      </w:r>
      <w:r w:rsidR="00EF27AD" w:rsidRPr="002B55E9">
        <w:rPr>
          <w:rFonts w:hint="eastAsia"/>
          <w:spacing w:val="-8"/>
        </w:rPr>
        <w:t>监测</w:t>
      </w:r>
      <w:r w:rsidR="00EF27AD" w:rsidRPr="002B55E9">
        <w:rPr>
          <w:spacing w:val="-8"/>
        </w:rPr>
        <w:t>时间在</w:t>
      </w:r>
      <w:r w:rsidR="00EF27AD" w:rsidRPr="002B55E9">
        <w:rPr>
          <w:spacing w:val="-8"/>
        </w:rPr>
        <w:t>3</w:t>
      </w:r>
      <w:r w:rsidR="00EF27AD" w:rsidRPr="002B55E9">
        <w:rPr>
          <w:rFonts w:hint="eastAsia"/>
          <w:spacing w:val="-8"/>
        </w:rPr>
        <w:t>年</w:t>
      </w:r>
      <w:r w:rsidR="00EF27AD" w:rsidRPr="002B55E9">
        <w:rPr>
          <w:spacing w:val="-8"/>
        </w:rPr>
        <w:t>内，</w:t>
      </w:r>
      <w:r w:rsidR="00EF27AD" w:rsidRPr="002B55E9">
        <w:rPr>
          <w:rFonts w:hint="eastAsia"/>
          <w:spacing w:val="-8"/>
        </w:rPr>
        <w:t>符合引用要求。</w:t>
      </w:r>
      <w:r w:rsidR="00EF27AD" w:rsidRPr="002B55E9">
        <w:rPr>
          <w:rFonts w:hint="eastAsia"/>
          <w:bCs w:val="0"/>
        </w:rPr>
        <w:t>监测数据及评价结果如下表所示：</w:t>
      </w:r>
    </w:p>
    <w:p w14:paraId="24449E4B" w14:textId="77777777" w:rsidR="00D170E5" w:rsidRPr="002B55E9" w:rsidRDefault="00D170E5">
      <w:pPr>
        <w:widowControl/>
        <w:spacing w:after="60" w:line="360" w:lineRule="auto"/>
        <w:ind w:firstLineChars="200" w:firstLine="480"/>
        <w:rPr>
          <w:bCs/>
          <w:snapToGrid w:val="0"/>
          <w:sz w:val="24"/>
        </w:rPr>
      </w:pPr>
    </w:p>
    <w:p w14:paraId="77797A9C" w14:textId="77777777" w:rsidR="00D170E5" w:rsidRPr="002B55E9" w:rsidRDefault="00D170E5">
      <w:pPr>
        <w:widowControl/>
        <w:spacing w:after="60" w:line="360" w:lineRule="auto"/>
        <w:ind w:firstLineChars="200" w:firstLine="480"/>
        <w:rPr>
          <w:bCs/>
          <w:snapToGrid w:val="0"/>
          <w:sz w:val="24"/>
        </w:rPr>
      </w:pPr>
    </w:p>
    <w:p w14:paraId="0A61AAEF" w14:textId="03F0C672" w:rsidR="00D170E5" w:rsidRPr="002B55E9" w:rsidRDefault="00EF27AD">
      <w:pPr>
        <w:adjustRightInd w:val="0"/>
        <w:snapToGrid w:val="0"/>
        <w:jc w:val="center"/>
        <w:rPr>
          <w:rFonts w:hAnsi="宋体"/>
          <w:b/>
          <w:sz w:val="24"/>
        </w:rPr>
      </w:pPr>
      <w:r w:rsidRPr="002B55E9">
        <w:rPr>
          <w:rFonts w:hAnsi="宋体"/>
          <w:b/>
          <w:sz w:val="24"/>
        </w:rPr>
        <w:lastRenderedPageBreak/>
        <w:t>表</w:t>
      </w:r>
      <w:r w:rsidRPr="002B55E9">
        <w:rPr>
          <w:rFonts w:hint="eastAsia"/>
          <w:b/>
          <w:sz w:val="24"/>
        </w:rPr>
        <w:t>4-2-2</w:t>
      </w:r>
      <w:r w:rsidRPr="002B55E9">
        <w:rPr>
          <w:b/>
          <w:sz w:val="24"/>
        </w:rPr>
        <w:t xml:space="preserve"> </w:t>
      </w:r>
      <w:r w:rsidRPr="002B55E9">
        <w:rPr>
          <w:rFonts w:hAnsi="宋体"/>
          <w:b/>
          <w:sz w:val="24"/>
        </w:rPr>
        <w:t>项目所在区域</w:t>
      </w:r>
      <w:r w:rsidR="00924AFA" w:rsidRPr="002B55E9">
        <w:rPr>
          <w:rFonts w:hint="eastAsia"/>
          <w:b/>
          <w:sz w:val="24"/>
        </w:rPr>
        <w:t>总挥发性有机物</w:t>
      </w:r>
      <w:r w:rsidRPr="002B55E9">
        <w:rPr>
          <w:rFonts w:hAnsi="宋体"/>
          <w:b/>
          <w:sz w:val="24"/>
        </w:rPr>
        <w:t>环境空气质量监测结果</w:t>
      </w:r>
    </w:p>
    <w:tbl>
      <w:tblPr>
        <w:tblStyle w:val="lgy2"/>
        <w:tblW w:w="5000" w:type="pct"/>
        <w:tblLayout w:type="fixed"/>
        <w:tblCellMar>
          <w:left w:w="28" w:type="dxa"/>
          <w:right w:w="28" w:type="dxa"/>
        </w:tblCellMar>
        <w:tblLook w:val="04A0" w:firstRow="1" w:lastRow="0" w:firstColumn="1" w:lastColumn="0" w:noHBand="0" w:noVBand="1"/>
      </w:tblPr>
      <w:tblGrid>
        <w:gridCol w:w="655"/>
        <w:gridCol w:w="1158"/>
        <w:gridCol w:w="1120"/>
        <w:gridCol w:w="890"/>
        <w:gridCol w:w="956"/>
        <w:gridCol w:w="1210"/>
        <w:gridCol w:w="1200"/>
        <w:gridCol w:w="901"/>
        <w:gridCol w:w="903"/>
        <w:gridCol w:w="700"/>
      </w:tblGrid>
      <w:tr w:rsidR="002B55E9" w:rsidRPr="002B55E9" w14:paraId="1FBA11E8" w14:textId="77777777" w:rsidTr="0050580B">
        <w:trPr>
          <w:cnfStyle w:val="100000000000" w:firstRow="1" w:lastRow="0" w:firstColumn="0" w:lastColumn="0" w:oddVBand="0" w:evenVBand="0" w:oddHBand="0" w:evenHBand="0" w:firstRowFirstColumn="0" w:firstRowLastColumn="0" w:lastRowFirstColumn="0" w:lastRowLastColumn="0"/>
          <w:trHeight w:val="283"/>
        </w:trPr>
        <w:tc>
          <w:tcPr>
            <w:tcW w:w="651" w:type="dxa"/>
            <w:vMerge w:val="restart"/>
          </w:tcPr>
          <w:p w14:paraId="5FE75AD4" w14:textId="77777777" w:rsidR="00D170E5" w:rsidRPr="002B55E9" w:rsidRDefault="00EF27AD">
            <w:pPr>
              <w:pStyle w:val="lgy-"/>
              <w:rPr>
                <w:rFonts w:eastAsia="宋体"/>
              </w:rPr>
            </w:pPr>
            <w:r w:rsidRPr="002B55E9">
              <w:rPr>
                <w:rFonts w:eastAsia="宋体"/>
              </w:rPr>
              <w:t>点位名称</w:t>
            </w:r>
          </w:p>
        </w:tc>
        <w:tc>
          <w:tcPr>
            <w:tcW w:w="2265" w:type="dxa"/>
            <w:gridSpan w:val="2"/>
          </w:tcPr>
          <w:p w14:paraId="49946635" w14:textId="77777777" w:rsidR="00D170E5" w:rsidRPr="002B55E9" w:rsidRDefault="00EF27AD">
            <w:pPr>
              <w:pStyle w:val="lgy-"/>
              <w:rPr>
                <w:rFonts w:eastAsia="宋体"/>
              </w:rPr>
            </w:pPr>
            <w:r w:rsidRPr="002B55E9">
              <w:rPr>
                <w:rFonts w:eastAsia="宋体"/>
              </w:rPr>
              <w:t>监测点位置</w:t>
            </w:r>
          </w:p>
        </w:tc>
        <w:tc>
          <w:tcPr>
            <w:tcW w:w="885" w:type="dxa"/>
            <w:vMerge w:val="restart"/>
          </w:tcPr>
          <w:p w14:paraId="5D21EE5F" w14:textId="77777777" w:rsidR="00D170E5" w:rsidRPr="002B55E9" w:rsidRDefault="00EF27AD">
            <w:pPr>
              <w:pStyle w:val="lgy-"/>
              <w:rPr>
                <w:rFonts w:eastAsia="宋体"/>
              </w:rPr>
            </w:pPr>
            <w:r w:rsidRPr="002B55E9">
              <w:rPr>
                <w:rFonts w:eastAsia="宋体"/>
              </w:rPr>
              <w:t>污染物</w:t>
            </w:r>
          </w:p>
        </w:tc>
        <w:tc>
          <w:tcPr>
            <w:tcW w:w="2153" w:type="dxa"/>
            <w:gridSpan w:val="2"/>
          </w:tcPr>
          <w:p w14:paraId="79C29AA9" w14:textId="77777777" w:rsidR="00D170E5" w:rsidRPr="002B55E9" w:rsidRDefault="00EF27AD">
            <w:pPr>
              <w:pStyle w:val="lgy-"/>
              <w:rPr>
                <w:rFonts w:eastAsia="宋体"/>
              </w:rPr>
            </w:pPr>
            <w:r w:rsidRPr="002B55E9">
              <w:rPr>
                <w:rFonts w:eastAsia="宋体"/>
              </w:rPr>
              <w:t>评价标准</w:t>
            </w:r>
            <w:r w:rsidRPr="002B55E9">
              <w:rPr>
                <w:rFonts w:eastAsia="宋体"/>
              </w:rPr>
              <w:t>/</w:t>
            </w:r>
            <w:r w:rsidRPr="002B55E9">
              <w:rPr>
                <w:rFonts w:eastAsia="宋体"/>
              </w:rPr>
              <w:t>（</w:t>
            </w:r>
            <w:r w:rsidRPr="002B55E9">
              <w:rPr>
                <w:rFonts w:eastAsia="宋体"/>
              </w:rPr>
              <w:t>mg/m</w:t>
            </w:r>
            <w:r w:rsidRPr="002B55E9">
              <w:rPr>
                <w:rFonts w:eastAsia="宋体"/>
                <w:vertAlign w:val="superscript"/>
              </w:rPr>
              <w:t>3</w:t>
            </w:r>
            <w:r w:rsidRPr="002B55E9">
              <w:rPr>
                <w:rFonts w:eastAsia="宋体"/>
              </w:rPr>
              <w:t>）</w:t>
            </w:r>
          </w:p>
        </w:tc>
        <w:tc>
          <w:tcPr>
            <w:tcW w:w="1193" w:type="dxa"/>
            <w:vMerge w:val="restart"/>
          </w:tcPr>
          <w:p w14:paraId="39B431AB" w14:textId="77777777" w:rsidR="00D170E5" w:rsidRPr="002B55E9" w:rsidRDefault="00EF27AD">
            <w:pPr>
              <w:pStyle w:val="lgy-"/>
              <w:rPr>
                <w:rFonts w:eastAsia="宋体"/>
              </w:rPr>
            </w:pPr>
            <w:r w:rsidRPr="002B55E9">
              <w:rPr>
                <w:rFonts w:eastAsia="宋体"/>
              </w:rPr>
              <w:t>监测浓度范围</w:t>
            </w:r>
          </w:p>
          <w:p w14:paraId="50E232BB" w14:textId="77777777" w:rsidR="00D170E5" w:rsidRPr="002B55E9" w:rsidRDefault="00EF27AD">
            <w:pPr>
              <w:pStyle w:val="lgy-"/>
              <w:rPr>
                <w:rFonts w:eastAsia="宋体"/>
              </w:rPr>
            </w:pPr>
            <w:r w:rsidRPr="002B55E9">
              <w:rPr>
                <w:rFonts w:eastAsia="宋体"/>
              </w:rPr>
              <w:t>（</w:t>
            </w:r>
            <w:r w:rsidRPr="002B55E9">
              <w:rPr>
                <w:rFonts w:eastAsia="宋体"/>
              </w:rPr>
              <w:t>mg/m</w:t>
            </w:r>
            <w:r w:rsidRPr="002B55E9">
              <w:rPr>
                <w:rFonts w:eastAsia="宋体"/>
                <w:vertAlign w:val="superscript"/>
              </w:rPr>
              <w:t>3</w:t>
            </w:r>
            <w:r w:rsidRPr="002B55E9">
              <w:rPr>
                <w:rFonts w:eastAsia="宋体"/>
              </w:rPr>
              <w:t>）</w:t>
            </w:r>
          </w:p>
        </w:tc>
        <w:tc>
          <w:tcPr>
            <w:tcW w:w="896" w:type="dxa"/>
            <w:vMerge w:val="restart"/>
          </w:tcPr>
          <w:p w14:paraId="10C0FFF6" w14:textId="77777777" w:rsidR="00D170E5" w:rsidRPr="002B55E9" w:rsidRDefault="00EF27AD">
            <w:pPr>
              <w:pStyle w:val="lgy-"/>
              <w:rPr>
                <w:rFonts w:eastAsia="宋体"/>
              </w:rPr>
            </w:pPr>
            <w:r w:rsidRPr="002B55E9">
              <w:rPr>
                <w:rFonts w:eastAsia="宋体"/>
              </w:rPr>
              <w:t>最大浓度占标率</w:t>
            </w:r>
            <w:r w:rsidRPr="002B55E9">
              <w:rPr>
                <w:rFonts w:eastAsia="宋体"/>
              </w:rPr>
              <w:t>/%</w:t>
            </w:r>
          </w:p>
        </w:tc>
        <w:tc>
          <w:tcPr>
            <w:tcW w:w="898" w:type="dxa"/>
            <w:vMerge w:val="restart"/>
          </w:tcPr>
          <w:p w14:paraId="5728338B" w14:textId="77777777" w:rsidR="00D170E5" w:rsidRPr="002B55E9" w:rsidRDefault="00EF27AD">
            <w:pPr>
              <w:pStyle w:val="lgy-"/>
              <w:rPr>
                <w:rFonts w:eastAsia="宋体"/>
              </w:rPr>
            </w:pPr>
            <w:r w:rsidRPr="002B55E9">
              <w:rPr>
                <w:rFonts w:eastAsia="宋体"/>
              </w:rPr>
              <w:t>超标率</w:t>
            </w:r>
            <w:r w:rsidRPr="002B55E9">
              <w:rPr>
                <w:rFonts w:eastAsia="宋体"/>
              </w:rPr>
              <w:t>/%</w:t>
            </w:r>
          </w:p>
        </w:tc>
        <w:tc>
          <w:tcPr>
            <w:tcW w:w="696" w:type="dxa"/>
            <w:vMerge w:val="restart"/>
          </w:tcPr>
          <w:p w14:paraId="3C4E37A9" w14:textId="77777777" w:rsidR="00D170E5" w:rsidRPr="002B55E9" w:rsidRDefault="00EF27AD">
            <w:pPr>
              <w:pStyle w:val="lgy-"/>
              <w:rPr>
                <w:rFonts w:eastAsia="宋体"/>
              </w:rPr>
            </w:pPr>
            <w:r w:rsidRPr="002B55E9">
              <w:rPr>
                <w:rFonts w:eastAsia="宋体"/>
              </w:rPr>
              <w:t>达标情况</w:t>
            </w:r>
          </w:p>
        </w:tc>
      </w:tr>
      <w:tr w:rsidR="002B55E9" w:rsidRPr="002B55E9" w14:paraId="03652920" w14:textId="77777777" w:rsidTr="0050580B">
        <w:trPr>
          <w:trHeight w:val="283"/>
        </w:trPr>
        <w:tc>
          <w:tcPr>
            <w:tcW w:w="651" w:type="dxa"/>
            <w:vMerge/>
          </w:tcPr>
          <w:p w14:paraId="404DBE02" w14:textId="77777777" w:rsidR="00D170E5" w:rsidRPr="002B55E9" w:rsidRDefault="00D170E5">
            <w:pPr>
              <w:pStyle w:val="lgy-"/>
              <w:rPr>
                <w:rFonts w:eastAsia="宋体"/>
              </w:rPr>
            </w:pPr>
          </w:p>
        </w:tc>
        <w:tc>
          <w:tcPr>
            <w:tcW w:w="1151" w:type="dxa"/>
          </w:tcPr>
          <w:p w14:paraId="017F2C92" w14:textId="77777777" w:rsidR="00D170E5" w:rsidRPr="002B55E9" w:rsidRDefault="00EF27AD">
            <w:pPr>
              <w:pStyle w:val="lgy-"/>
              <w:rPr>
                <w:rFonts w:eastAsia="宋体"/>
              </w:rPr>
            </w:pPr>
            <w:r w:rsidRPr="002B55E9">
              <w:rPr>
                <w:rFonts w:eastAsia="宋体"/>
              </w:rPr>
              <w:t>经度</w:t>
            </w:r>
          </w:p>
        </w:tc>
        <w:tc>
          <w:tcPr>
            <w:tcW w:w="1114" w:type="dxa"/>
          </w:tcPr>
          <w:p w14:paraId="06DD885A" w14:textId="77777777" w:rsidR="00D170E5" w:rsidRPr="002B55E9" w:rsidRDefault="00EF27AD">
            <w:pPr>
              <w:pStyle w:val="lgy-"/>
              <w:rPr>
                <w:rFonts w:eastAsia="宋体"/>
              </w:rPr>
            </w:pPr>
            <w:r w:rsidRPr="002B55E9">
              <w:rPr>
                <w:rFonts w:eastAsia="宋体"/>
              </w:rPr>
              <w:t>纬度</w:t>
            </w:r>
          </w:p>
        </w:tc>
        <w:tc>
          <w:tcPr>
            <w:tcW w:w="885" w:type="dxa"/>
            <w:vMerge/>
          </w:tcPr>
          <w:p w14:paraId="7BC497B8" w14:textId="77777777" w:rsidR="00D170E5" w:rsidRPr="002B55E9" w:rsidRDefault="00D170E5">
            <w:pPr>
              <w:pStyle w:val="lgy-"/>
              <w:rPr>
                <w:rFonts w:eastAsia="宋体"/>
              </w:rPr>
            </w:pPr>
          </w:p>
        </w:tc>
        <w:tc>
          <w:tcPr>
            <w:tcW w:w="950" w:type="dxa"/>
          </w:tcPr>
          <w:p w14:paraId="3FFD6DEF" w14:textId="77777777" w:rsidR="00D170E5" w:rsidRPr="002B55E9" w:rsidRDefault="00EF27AD">
            <w:pPr>
              <w:pStyle w:val="lgy-"/>
              <w:rPr>
                <w:rFonts w:eastAsia="宋体"/>
              </w:rPr>
            </w:pPr>
            <w:r w:rsidRPr="002B55E9">
              <w:rPr>
                <w:rFonts w:eastAsia="宋体"/>
              </w:rPr>
              <w:t>8</w:t>
            </w:r>
            <w:r w:rsidRPr="002B55E9">
              <w:rPr>
                <w:rFonts w:eastAsia="宋体"/>
              </w:rPr>
              <w:t>小时均值</w:t>
            </w:r>
          </w:p>
        </w:tc>
        <w:tc>
          <w:tcPr>
            <w:tcW w:w="1203" w:type="dxa"/>
          </w:tcPr>
          <w:p w14:paraId="786F4442" w14:textId="77777777" w:rsidR="00D170E5" w:rsidRPr="002B55E9" w:rsidRDefault="00EF27AD">
            <w:pPr>
              <w:pStyle w:val="lgy-"/>
              <w:rPr>
                <w:rFonts w:eastAsia="宋体"/>
              </w:rPr>
            </w:pPr>
            <w:r w:rsidRPr="002B55E9">
              <w:rPr>
                <w:rFonts w:eastAsia="宋体"/>
              </w:rPr>
              <w:t>1</w:t>
            </w:r>
            <w:r w:rsidRPr="002B55E9">
              <w:rPr>
                <w:rFonts w:eastAsia="宋体"/>
              </w:rPr>
              <w:t>小时平均</w:t>
            </w:r>
          </w:p>
        </w:tc>
        <w:tc>
          <w:tcPr>
            <w:tcW w:w="1193" w:type="dxa"/>
            <w:vMerge/>
          </w:tcPr>
          <w:p w14:paraId="5F9AA165" w14:textId="77777777" w:rsidR="00D170E5" w:rsidRPr="002B55E9" w:rsidRDefault="00D170E5">
            <w:pPr>
              <w:pStyle w:val="lgy-"/>
              <w:rPr>
                <w:rFonts w:eastAsia="宋体"/>
              </w:rPr>
            </w:pPr>
          </w:p>
        </w:tc>
        <w:tc>
          <w:tcPr>
            <w:tcW w:w="896" w:type="dxa"/>
            <w:vMerge/>
          </w:tcPr>
          <w:p w14:paraId="4A2E7EA0" w14:textId="77777777" w:rsidR="00D170E5" w:rsidRPr="002B55E9" w:rsidRDefault="00D170E5">
            <w:pPr>
              <w:pStyle w:val="lgy-"/>
              <w:rPr>
                <w:rFonts w:eastAsia="宋体"/>
              </w:rPr>
            </w:pPr>
          </w:p>
        </w:tc>
        <w:tc>
          <w:tcPr>
            <w:tcW w:w="898" w:type="dxa"/>
            <w:vMerge/>
          </w:tcPr>
          <w:p w14:paraId="74BC9F48" w14:textId="77777777" w:rsidR="00D170E5" w:rsidRPr="002B55E9" w:rsidRDefault="00D170E5">
            <w:pPr>
              <w:pStyle w:val="lgy-"/>
              <w:rPr>
                <w:rFonts w:eastAsia="宋体"/>
              </w:rPr>
            </w:pPr>
          </w:p>
        </w:tc>
        <w:tc>
          <w:tcPr>
            <w:tcW w:w="696" w:type="dxa"/>
            <w:vMerge/>
          </w:tcPr>
          <w:p w14:paraId="03378139" w14:textId="77777777" w:rsidR="00D170E5" w:rsidRPr="002B55E9" w:rsidRDefault="00D170E5">
            <w:pPr>
              <w:pStyle w:val="lgy-"/>
              <w:rPr>
                <w:rFonts w:eastAsia="宋体"/>
              </w:rPr>
            </w:pPr>
          </w:p>
        </w:tc>
      </w:tr>
      <w:tr w:rsidR="002B55E9" w:rsidRPr="002B55E9" w14:paraId="341A764C" w14:textId="77777777" w:rsidTr="0050580B">
        <w:trPr>
          <w:trHeight w:val="283"/>
        </w:trPr>
        <w:tc>
          <w:tcPr>
            <w:tcW w:w="651" w:type="dxa"/>
            <w:vMerge w:val="restart"/>
          </w:tcPr>
          <w:p w14:paraId="5AE753B1" w14:textId="77777777" w:rsidR="0050580B" w:rsidRPr="002B55E9" w:rsidRDefault="0050580B">
            <w:pPr>
              <w:pStyle w:val="lgy-"/>
              <w:rPr>
                <w:rFonts w:eastAsia="宋体"/>
              </w:rPr>
            </w:pPr>
            <w:r w:rsidRPr="002B55E9">
              <w:rPr>
                <w:rFonts w:eastAsia="宋体"/>
              </w:rPr>
              <w:t>G3</w:t>
            </w:r>
            <w:r w:rsidRPr="002B55E9">
              <w:rPr>
                <w:rFonts w:eastAsia="宋体"/>
              </w:rPr>
              <w:t>荷花苑还建小区</w:t>
            </w:r>
          </w:p>
        </w:tc>
        <w:tc>
          <w:tcPr>
            <w:tcW w:w="1151" w:type="dxa"/>
            <w:vMerge w:val="restart"/>
          </w:tcPr>
          <w:p w14:paraId="77829E6E" w14:textId="77777777" w:rsidR="0050580B" w:rsidRPr="002B55E9" w:rsidRDefault="0050580B">
            <w:pPr>
              <w:pStyle w:val="lgy-"/>
              <w:rPr>
                <w:rFonts w:eastAsia="宋体"/>
              </w:rPr>
            </w:pPr>
            <w:r w:rsidRPr="002B55E9">
              <w:rPr>
                <w:rFonts w:eastAsia="宋体"/>
              </w:rPr>
              <w:t>113.98587871</w:t>
            </w:r>
          </w:p>
        </w:tc>
        <w:tc>
          <w:tcPr>
            <w:tcW w:w="1114" w:type="dxa"/>
            <w:vMerge w:val="restart"/>
          </w:tcPr>
          <w:p w14:paraId="6904DD84" w14:textId="77777777" w:rsidR="0050580B" w:rsidRPr="002B55E9" w:rsidRDefault="0050580B">
            <w:pPr>
              <w:pStyle w:val="lgy-"/>
              <w:rPr>
                <w:rFonts w:eastAsia="宋体"/>
              </w:rPr>
            </w:pPr>
            <w:r w:rsidRPr="002B55E9">
              <w:rPr>
                <w:rFonts w:eastAsia="宋体"/>
              </w:rPr>
              <w:t>30.69159488</w:t>
            </w:r>
          </w:p>
        </w:tc>
        <w:tc>
          <w:tcPr>
            <w:tcW w:w="885" w:type="dxa"/>
          </w:tcPr>
          <w:p w14:paraId="7AB2FF05" w14:textId="702C5592" w:rsidR="0050580B" w:rsidRPr="002B55E9" w:rsidRDefault="0050580B">
            <w:pPr>
              <w:pStyle w:val="lgy-"/>
              <w:rPr>
                <w:rFonts w:eastAsia="宋体"/>
              </w:rPr>
            </w:pPr>
            <w:r w:rsidRPr="002B55E9">
              <w:rPr>
                <w:rFonts w:eastAsia="宋体"/>
              </w:rPr>
              <w:t>总挥发性有机物</w:t>
            </w:r>
          </w:p>
        </w:tc>
        <w:tc>
          <w:tcPr>
            <w:tcW w:w="950" w:type="dxa"/>
          </w:tcPr>
          <w:p w14:paraId="3FEE5C80" w14:textId="77777777" w:rsidR="0050580B" w:rsidRPr="002B55E9" w:rsidRDefault="0050580B">
            <w:pPr>
              <w:pStyle w:val="lgy-"/>
              <w:rPr>
                <w:rFonts w:eastAsia="宋体"/>
              </w:rPr>
            </w:pPr>
            <w:r w:rsidRPr="002B55E9">
              <w:rPr>
                <w:rFonts w:eastAsia="宋体"/>
              </w:rPr>
              <w:t>0.6</w:t>
            </w:r>
          </w:p>
        </w:tc>
        <w:tc>
          <w:tcPr>
            <w:tcW w:w="1203" w:type="dxa"/>
          </w:tcPr>
          <w:p w14:paraId="365F73BE" w14:textId="77777777" w:rsidR="0050580B" w:rsidRPr="002B55E9" w:rsidRDefault="0050580B" w:rsidP="00EF27AD">
            <w:pPr>
              <w:pStyle w:val="lgy-"/>
              <w:rPr>
                <w:rFonts w:eastAsia="宋体"/>
              </w:rPr>
            </w:pPr>
            <w:r w:rsidRPr="002B55E9">
              <w:rPr>
                <w:rFonts w:eastAsia="宋体"/>
              </w:rPr>
              <w:t>/</w:t>
            </w:r>
          </w:p>
        </w:tc>
        <w:tc>
          <w:tcPr>
            <w:tcW w:w="1193" w:type="dxa"/>
          </w:tcPr>
          <w:p w14:paraId="06E80051" w14:textId="77777777" w:rsidR="0050580B" w:rsidRPr="002B55E9" w:rsidRDefault="0050580B">
            <w:pPr>
              <w:pStyle w:val="lgy-"/>
              <w:rPr>
                <w:rFonts w:eastAsia="宋体"/>
              </w:rPr>
            </w:pPr>
            <w:r w:rsidRPr="002B55E9">
              <w:rPr>
                <w:rFonts w:eastAsia="宋体"/>
              </w:rPr>
              <w:t>0.0197~0.369</w:t>
            </w:r>
          </w:p>
        </w:tc>
        <w:tc>
          <w:tcPr>
            <w:tcW w:w="896" w:type="dxa"/>
          </w:tcPr>
          <w:p w14:paraId="0D60D10F" w14:textId="77777777" w:rsidR="0050580B" w:rsidRPr="002B55E9" w:rsidRDefault="0050580B">
            <w:pPr>
              <w:pStyle w:val="lgy-"/>
              <w:rPr>
                <w:rFonts w:eastAsia="宋体"/>
              </w:rPr>
            </w:pPr>
            <w:r w:rsidRPr="002B55E9">
              <w:rPr>
                <w:rFonts w:eastAsia="宋体"/>
              </w:rPr>
              <w:t>61.5</w:t>
            </w:r>
          </w:p>
        </w:tc>
        <w:tc>
          <w:tcPr>
            <w:tcW w:w="898" w:type="dxa"/>
          </w:tcPr>
          <w:p w14:paraId="5640F7AD" w14:textId="77777777" w:rsidR="0050580B" w:rsidRPr="002B55E9" w:rsidRDefault="0050580B">
            <w:pPr>
              <w:pStyle w:val="lgy-"/>
              <w:rPr>
                <w:rFonts w:eastAsia="宋体"/>
              </w:rPr>
            </w:pPr>
            <w:r w:rsidRPr="002B55E9">
              <w:rPr>
                <w:rFonts w:eastAsia="宋体"/>
              </w:rPr>
              <w:t>/</w:t>
            </w:r>
          </w:p>
        </w:tc>
        <w:tc>
          <w:tcPr>
            <w:tcW w:w="696" w:type="dxa"/>
          </w:tcPr>
          <w:p w14:paraId="156A8FC7" w14:textId="77777777" w:rsidR="0050580B" w:rsidRPr="002B55E9" w:rsidRDefault="0050580B">
            <w:pPr>
              <w:pStyle w:val="lgy-"/>
              <w:rPr>
                <w:rFonts w:eastAsia="宋体"/>
              </w:rPr>
            </w:pPr>
            <w:r w:rsidRPr="002B55E9">
              <w:rPr>
                <w:rFonts w:eastAsia="宋体"/>
              </w:rPr>
              <w:t>达标</w:t>
            </w:r>
          </w:p>
        </w:tc>
      </w:tr>
      <w:tr w:rsidR="002B55E9" w:rsidRPr="002B55E9" w14:paraId="13BB181B" w14:textId="77777777" w:rsidTr="0050580B">
        <w:trPr>
          <w:trHeight w:val="283"/>
        </w:trPr>
        <w:tc>
          <w:tcPr>
            <w:tcW w:w="651" w:type="dxa"/>
            <w:vMerge/>
          </w:tcPr>
          <w:p w14:paraId="642898B0" w14:textId="77777777" w:rsidR="0050580B" w:rsidRPr="002B55E9" w:rsidRDefault="0050580B">
            <w:pPr>
              <w:pStyle w:val="lgy-"/>
              <w:rPr>
                <w:rFonts w:eastAsia="宋体"/>
              </w:rPr>
            </w:pPr>
          </w:p>
        </w:tc>
        <w:tc>
          <w:tcPr>
            <w:tcW w:w="1151" w:type="dxa"/>
            <w:vMerge/>
          </w:tcPr>
          <w:p w14:paraId="04767A06" w14:textId="77777777" w:rsidR="0050580B" w:rsidRPr="002B55E9" w:rsidRDefault="0050580B">
            <w:pPr>
              <w:pStyle w:val="lgy-"/>
              <w:rPr>
                <w:rFonts w:eastAsia="宋体"/>
              </w:rPr>
            </w:pPr>
          </w:p>
        </w:tc>
        <w:tc>
          <w:tcPr>
            <w:tcW w:w="1114" w:type="dxa"/>
            <w:vMerge/>
          </w:tcPr>
          <w:p w14:paraId="5033E2BD" w14:textId="77777777" w:rsidR="0050580B" w:rsidRPr="002B55E9" w:rsidRDefault="0050580B">
            <w:pPr>
              <w:pStyle w:val="lgy-"/>
              <w:rPr>
                <w:rFonts w:eastAsia="宋体"/>
              </w:rPr>
            </w:pPr>
          </w:p>
        </w:tc>
        <w:tc>
          <w:tcPr>
            <w:tcW w:w="885" w:type="dxa"/>
          </w:tcPr>
          <w:p w14:paraId="718E4D17" w14:textId="6CB95083" w:rsidR="0050580B" w:rsidRPr="002B55E9" w:rsidRDefault="0050580B" w:rsidP="00FB20E5">
            <w:pPr>
              <w:pStyle w:val="lgy-"/>
              <w:rPr>
                <w:rFonts w:eastAsia="宋体"/>
              </w:rPr>
            </w:pPr>
            <w:r w:rsidRPr="002B55E9">
              <w:rPr>
                <w:rFonts w:eastAsia="宋体"/>
              </w:rPr>
              <w:t>非甲烷总烃</w:t>
            </w:r>
          </w:p>
        </w:tc>
        <w:tc>
          <w:tcPr>
            <w:tcW w:w="950" w:type="dxa"/>
          </w:tcPr>
          <w:p w14:paraId="7B3062CA" w14:textId="23EE15D9" w:rsidR="0050580B" w:rsidRPr="002B55E9" w:rsidRDefault="0050580B">
            <w:pPr>
              <w:pStyle w:val="lgy-"/>
              <w:rPr>
                <w:rFonts w:eastAsia="宋体"/>
              </w:rPr>
            </w:pPr>
            <w:r w:rsidRPr="002B55E9">
              <w:rPr>
                <w:rFonts w:eastAsia="宋体"/>
              </w:rPr>
              <w:t>/</w:t>
            </w:r>
          </w:p>
        </w:tc>
        <w:tc>
          <w:tcPr>
            <w:tcW w:w="1203" w:type="dxa"/>
          </w:tcPr>
          <w:p w14:paraId="0A4ACDE8" w14:textId="37DD9DD9" w:rsidR="0050580B" w:rsidRPr="002B55E9" w:rsidRDefault="0050580B" w:rsidP="00EF27AD">
            <w:pPr>
              <w:pStyle w:val="lgy-"/>
              <w:rPr>
                <w:rFonts w:eastAsia="宋体"/>
              </w:rPr>
            </w:pPr>
            <w:r w:rsidRPr="002B55E9">
              <w:rPr>
                <w:rFonts w:eastAsia="宋体"/>
              </w:rPr>
              <w:t>2</w:t>
            </w:r>
          </w:p>
        </w:tc>
        <w:tc>
          <w:tcPr>
            <w:tcW w:w="1193" w:type="dxa"/>
          </w:tcPr>
          <w:p w14:paraId="72C9EDC2" w14:textId="77A7165A" w:rsidR="0050580B" w:rsidRPr="002B55E9" w:rsidRDefault="0050580B">
            <w:pPr>
              <w:pStyle w:val="lgy-"/>
              <w:rPr>
                <w:rFonts w:eastAsia="宋体"/>
              </w:rPr>
            </w:pPr>
            <w:r w:rsidRPr="002B55E9">
              <w:rPr>
                <w:rFonts w:eastAsia="宋体"/>
              </w:rPr>
              <w:t>0.45~0.73</w:t>
            </w:r>
          </w:p>
        </w:tc>
        <w:tc>
          <w:tcPr>
            <w:tcW w:w="896" w:type="dxa"/>
          </w:tcPr>
          <w:p w14:paraId="47B31952" w14:textId="3A3E8027" w:rsidR="0050580B" w:rsidRPr="002B55E9" w:rsidRDefault="0050580B">
            <w:pPr>
              <w:pStyle w:val="lgy-"/>
              <w:rPr>
                <w:rFonts w:eastAsia="宋体"/>
              </w:rPr>
            </w:pPr>
            <w:r w:rsidRPr="002B55E9">
              <w:rPr>
                <w:rFonts w:eastAsia="宋体"/>
              </w:rPr>
              <w:t>36.5</w:t>
            </w:r>
          </w:p>
        </w:tc>
        <w:tc>
          <w:tcPr>
            <w:tcW w:w="898" w:type="dxa"/>
          </w:tcPr>
          <w:p w14:paraId="3CDF43B8" w14:textId="34B5BEF7" w:rsidR="0050580B" w:rsidRPr="002B55E9" w:rsidRDefault="0050580B">
            <w:pPr>
              <w:pStyle w:val="lgy-"/>
              <w:rPr>
                <w:rFonts w:eastAsia="宋体"/>
              </w:rPr>
            </w:pPr>
            <w:r w:rsidRPr="002B55E9">
              <w:rPr>
                <w:rFonts w:eastAsia="宋体"/>
              </w:rPr>
              <w:t>/</w:t>
            </w:r>
          </w:p>
        </w:tc>
        <w:tc>
          <w:tcPr>
            <w:tcW w:w="696" w:type="dxa"/>
          </w:tcPr>
          <w:p w14:paraId="5C35B705" w14:textId="78F00984" w:rsidR="0050580B" w:rsidRPr="002B55E9" w:rsidRDefault="0050580B">
            <w:pPr>
              <w:pStyle w:val="lgy-"/>
              <w:rPr>
                <w:rFonts w:eastAsia="宋体"/>
              </w:rPr>
            </w:pPr>
            <w:r w:rsidRPr="002B55E9">
              <w:rPr>
                <w:rFonts w:eastAsia="宋体"/>
              </w:rPr>
              <w:t>达标</w:t>
            </w:r>
          </w:p>
        </w:tc>
      </w:tr>
      <w:tr w:rsidR="002B55E9" w:rsidRPr="002B55E9" w14:paraId="582D69F6" w14:textId="77777777" w:rsidTr="0050580B">
        <w:trPr>
          <w:trHeight w:val="283"/>
        </w:trPr>
        <w:tc>
          <w:tcPr>
            <w:tcW w:w="651" w:type="dxa"/>
            <w:vMerge/>
          </w:tcPr>
          <w:p w14:paraId="34AD5409" w14:textId="77777777" w:rsidR="0050580B" w:rsidRPr="002B55E9" w:rsidRDefault="0050580B">
            <w:pPr>
              <w:pStyle w:val="lgy-"/>
              <w:rPr>
                <w:rFonts w:eastAsia="宋体"/>
              </w:rPr>
            </w:pPr>
          </w:p>
        </w:tc>
        <w:tc>
          <w:tcPr>
            <w:tcW w:w="1151" w:type="dxa"/>
            <w:vMerge/>
          </w:tcPr>
          <w:p w14:paraId="787D9C0E" w14:textId="77777777" w:rsidR="0050580B" w:rsidRPr="002B55E9" w:rsidRDefault="0050580B">
            <w:pPr>
              <w:pStyle w:val="lgy-"/>
              <w:rPr>
                <w:rFonts w:eastAsia="宋体"/>
              </w:rPr>
            </w:pPr>
          </w:p>
        </w:tc>
        <w:tc>
          <w:tcPr>
            <w:tcW w:w="1114" w:type="dxa"/>
            <w:vMerge/>
          </w:tcPr>
          <w:p w14:paraId="05D8CD89" w14:textId="77777777" w:rsidR="0050580B" w:rsidRPr="002B55E9" w:rsidRDefault="0050580B">
            <w:pPr>
              <w:pStyle w:val="lgy-"/>
              <w:rPr>
                <w:rFonts w:eastAsia="宋体"/>
              </w:rPr>
            </w:pPr>
          </w:p>
        </w:tc>
        <w:tc>
          <w:tcPr>
            <w:tcW w:w="885" w:type="dxa"/>
          </w:tcPr>
          <w:p w14:paraId="6951AB67" w14:textId="70922BCD" w:rsidR="0050580B" w:rsidRPr="002B55E9" w:rsidRDefault="0050580B" w:rsidP="00FB20E5">
            <w:pPr>
              <w:pStyle w:val="lgy-"/>
              <w:rPr>
                <w:rFonts w:eastAsia="宋体"/>
              </w:rPr>
            </w:pPr>
            <w:r w:rsidRPr="002B55E9">
              <w:rPr>
                <w:rFonts w:eastAsia="宋体"/>
              </w:rPr>
              <w:t>氨</w:t>
            </w:r>
          </w:p>
        </w:tc>
        <w:tc>
          <w:tcPr>
            <w:tcW w:w="950" w:type="dxa"/>
          </w:tcPr>
          <w:p w14:paraId="7D2975D1" w14:textId="079D37BE" w:rsidR="0050580B" w:rsidRPr="002B55E9" w:rsidRDefault="0050580B">
            <w:pPr>
              <w:pStyle w:val="lgy-"/>
              <w:rPr>
                <w:rFonts w:eastAsia="宋体"/>
              </w:rPr>
            </w:pPr>
            <w:r w:rsidRPr="002B55E9">
              <w:rPr>
                <w:rFonts w:eastAsia="宋体"/>
              </w:rPr>
              <w:t>/</w:t>
            </w:r>
          </w:p>
        </w:tc>
        <w:tc>
          <w:tcPr>
            <w:tcW w:w="1203" w:type="dxa"/>
          </w:tcPr>
          <w:p w14:paraId="3A99C63E" w14:textId="26D09CA4" w:rsidR="0050580B" w:rsidRPr="002B55E9" w:rsidRDefault="0050580B" w:rsidP="00EF27AD">
            <w:pPr>
              <w:pStyle w:val="lgy-"/>
              <w:rPr>
                <w:rFonts w:eastAsia="宋体"/>
              </w:rPr>
            </w:pPr>
            <w:r w:rsidRPr="002B55E9">
              <w:rPr>
                <w:rFonts w:eastAsia="宋体"/>
              </w:rPr>
              <w:t>0.2</w:t>
            </w:r>
          </w:p>
        </w:tc>
        <w:tc>
          <w:tcPr>
            <w:tcW w:w="1193" w:type="dxa"/>
          </w:tcPr>
          <w:p w14:paraId="385700FB" w14:textId="38645FBA" w:rsidR="0050580B" w:rsidRPr="002B55E9" w:rsidRDefault="0050580B">
            <w:pPr>
              <w:pStyle w:val="lgy-"/>
              <w:rPr>
                <w:rFonts w:eastAsia="宋体"/>
              </w:rPr>
            </w:pPr>
            <w:r w:rsidRPr="002B55E9">
              <w:rPr>
                <w:rFonts w:eastAsia="宋体"/>
              </w:rPr>
              <w:t>0.03~0.09</w:t>
            </w:r>
          </w:p>
        </w:tc>
        <w:tc>
          <w:tcPr>
            <w:tcW w:w="896" w:type="dxa"/>
          </w:tcPr>
          <w:p w14:paraId="7CCD6975" w14:textId="66AFDAC7" w:rsidR="0050580B" w:rsidRPr="002B55E9" w:rsidRDefault="0050580B">
            <w:pPr>
              <w:pStyle w:val="lgy-"/>
              <w:rPr>
                <w:rFonts w:eastAsia="宋体"/>
              </w:rPr>
            </w:pPr>
            <w:r w:rsidRPr="002B55E9">
              <w:rPr>
                <w:rFonts w:eastAsia="宋体"/>
              </w:rPr>
              <w:t>/</w:t>
            </w:r>
          </w:p>
        </w:tc>
        <w:tc>
          <w:tcPr>
            <w:tcW w:w="898" w:type="dxa"/>
          </w:tcPr>
          <w:p w14:paraId="6F53AA42" w14:textId="2CFD2F3E" w:rsidR="0050580B" w:rsidRPr="002B55E9" w:rsidRDefault="0050580B">
            <w:pPr>
              <w:pStyle w:val="lgy-"/>
              <w:rPr>
                <w:rFonts w:eastAsia="宋体"/>
              </w:rPr>
            </w:pPr>
            <w:r w:rsidRPr="002B55E9">
              <w:rPr>
                <w:rFonts w:eastAsia="宋体"/>
              </w:rPr>
              <w:t>/</w:t>
            </w:r>
          </w:p>
        </w:tc>
        <w:tc>
          <w:tcPr>
            <w:tcW w:w="696" w:type="dxa"/>
          </w:tcPr>
          <w:p w14:paraId="77B79072" w14:textId="5225661B" w:rsidR="0050580B" w:rsidRPr="002B55E9" w:rsidRDefault="0050580B">
            <w:pPr>
              <w:pStyle w:val="lgy-"/>
              <w:rPr>
                <w:rFonts w:eastAsia="宋体"/>
              </w:rPr>
            </w:pPr>
            <w:r w:rsidRPr="002B55E9">
              <w:rPr>
                <w:rFonts w:eastAsia="宋体"/>
              </w:rPr>
              <w:t>达标</w:t>
            </w:r>
          </w:p>
        </w:tc>
      </w:tr>
      <w:tr w:rsidR="002B55E9" w:rsidRPr="002B55E9" w14:paraId="4A1675DD" w14:textId="77777777" w:rsidTr="0050580B">
        <w:trPr>
          <w:trHeight w:val="283"/>
        </w:trPr>
        <w:tc>
          <w:tcPr>
            <w:tcW w:w="651" w:type="dxa"/>
            <w:vMerge/>
          </w:tcPr>
          <w:p w14:paraId="4A344EB2" w14:textId="77777777" w:rsidR="0050580B" w:rsidRPr="002B55E9" w:rsidRDefault="0050580B">
            <w:pPr>
              <w:pStyle w:val="lgy-"/>
              <w:rPr>
                <w:rFonts w:eastAsia="宋体"/>
              </w:rPr>
            </w:pPr>
          </w:p>
        </w:tc>
        <w:tc>
          <w:tcPr>
            <w:tcW w:w="1151" w:type="dxa"/>
            <w:vMerge/>
          </w:tcPr>
          <w:p w14:paraId="53BBD65C" w14:textId="77777777" w:rsidR="0050580B" w:rsidRPr="002B55E9" w:rsidRDefault="0050580B">
            <w:pPr>
              <w:pStyle w:val="lgy-"/>
              <w:rPr>
                <w:rFonts w:eastAsia="宋体"/>
              </w:rPr>
            </w:pPr>
          </w:p>
        </w:tc>
        <w:tc>
          <w:tcPr>
            <w:tcW w:w="1114" w:type="dxa"/>
            <w:vMerge/>
          </w:tcPr>
          <w:p w14:paraId="681B5D23" w14:textId="77777777" w:rsidR="0050580B" w:rsidRPr="002B55E9" w:rsidRDefault="0050580B">
            <w:pPr>
              <w:pStyle w:val="lgy-"/>
              <w:rPr>
                <w:rFonts w:eastAsia="宋体"/>
              </w:rPr>
            </w:pPr>
          </w:p>
        </w:tc>
        <w:tc>
          <w:tcPr>
            <w:tcW w:w="885" w:type="dxa"/>
          </w:tcPr>
          <w:p w14:paraId="7CD1001F" w14:textId="638B89B5" w:rsidR="0050580B" w:rsidRPr="002B55E9" w:rsidRDefault="0050580B">
            <w:pPr>
              <w:pStyle w:val="lgy-"/>
              <w:rPr>
                <w:rFonts w:eastAsia="宋体"/>
              </w:rPr>
            </w:pPr>
            <w:r w:rsidRPr="002B55E9">
              <w:rPr>
                <w:rFonts w:eastAsia="宋体"/>
              </w:rPr>
              <w:t>硫化氢</w:t>
            </w:r>
          </w:p>
        </w:tc>
        <w:tc>
          <w:tcPr>
            <w:tcW w:w="950" w:type="dxa"/>
          </w:tcPr>
          <w:p w14:paraId="78FEA17D" w14:textId="40706F71" w:rsidR="0050580B" w:rsidRPr="002B55E9" w:rsidRDefault="0050580B">
            <w:pPr>
              <w:pStyle w:val="lgy-"/>
              <w:rPr>
                <w:rFonts w:eastAsia="宋体"/>
              </w:rPr>
            </w:pPr>
            <w:r w:rsidRPr="002B55E9">
              <w:rPr>
                <w:rFonts w:eastAsia="宋体"/>
              </w:rPr>
              <w:t>/</w:t>
            </w:r>
          </w:p>
        </w:tc>
        <w:tc>
          <w:tcPr>
            <w:tcW w:w="1203" w:type="dxa"/>
          </w:tcPr>
          <w:p w14:paraId="5B863EE8" w14:textId="58CF0350" w:rsidR="0050580B" w:rsidRPr="002B55E9" w:rsidRDefault="0050580B" w:rsidP="00EF27AD">
            <w:pPr>
              <w:pStyle w:val="lgy-"/>
              <w:rPr>
                <w:rFonts w:eastAsia="宋体"/>
              </w:rPr>
            </w:pPr>
            <w:r w:rsidRPr="002B55E9">
              <w:rPr>
                <w:rFonts w:eastAsia="宋体"/>
              </w:rPr>
              <w:t>0.01</w:t>
            </w:r>
          </w:p>
        </w:tc>
        <w:tc>
          <w:tcPr>
            <w:tcW w:w="1193" w:type="dxa"/>
          </w:tcPr>
          <w:p w14:paraId="482825EB" w14:textId="13684B47" w:rsidR="0050580B" w:rsidRPr="002B55E9" w:rsidRDefault="0050580B">
            <w:pPr>
              <w:pStyle w:val="lgy-"/>
              <w:rPr>
                <w:rFonts w:eastAsia="宋体"/>
              </w:rPr>
            </w:pPr>
            <w:r w:rsidRPr="002B55E9">
              <w:rPr>
                <w:rFonts w:eastAsia="宋体"/>
              </w:rPr>
              <w:t>ND(0.001)</w:t>
            </w:r>
          </w:p>
        </w:tc>
        <w:tc>
          <w:tcPr>
            <w:tcW w:w="896" w:type="dxa"/>
          </w:tcPr>
          <w:p w14:paraId="474387D4" w14:textId="2218398D" w:rsidR="0050580B" w:rsidRPr="002B55E9" w:rsidRDefault="0050580B">
            <w:pPr>
              <w:pStyle w:val="lgy-"/>
              <w:rPr>
                <w:rFonts w:eastAsia="宋体"/>
              </w:rPr>
            </w:pPr>
            <w:r w:rsidRPr="002B55E9">
              <w:rPr>
                <w:rFonts w:eastAsia="宋体"/>
              </w:rPr>
              <w:t>/</w:t>
            </w:r>
          </w:p>
        </w:tc>
        <w:tc>
          <w:tcPr>
            <w:tcW w:w="898" w:type="dxa"/>
          </w:tcPr>
          <w:p w14:paraId="04BEB998" w14:textId="6EBAA230" w:rsidR="0050580B" w:rsidRPr="002B55E9" w:rsidRDefault="0050580B">
            <w:pPr>
              <w:pStyle w:val="lgy-"/>
              <w:rPr>
                <w:rFonts w:eastAsia="宋体"/>
              </w:rPr>
            </w:pPr>
            <w:r w:rsidRPr="002B55E9">
              <w:rPr>
                <w:rFonts w:eastAsia="宋体"/>
              </w:rPr>
              <w:t>/</w:t>
            </w:r>
          </w:p>
        </w:tc>
        <w:tc>
          <w:tcPr>
            <w:tcW w:w="696" w:type="dxa"/>
          </w:tcPr>
          <w:p w14:paraId="23E2AD13" w14:textId="3A0C407A" w:rsidR="0050580B" w:rsidRPr="002B55E9" w:rsidRDefault="0050580B">
            <w:pPr>
              <w:pStyle w:val="lgy-"/>
              <w:rPr>
                <w:rFonts w:eastAsia="宋体"/>
              </w:rPr>
            </w:pPr>
            <w:r w:rsidRPr="002B55E9">
              <w:rPr>
                <w:rFonts w:eastAsia="宋体"/>
              </w:rPr>
              <w:t>达标</w:t>
            </w:r>
          </w:p>
        </w:tc>
      </w:tr>
      <w:tr w:rsidR="002B55E9" w:rsidRPr="002B55E9" w14:paraId="5522DB5A" w14:textId="77777777" w:rsidTr="0050580B">
        <w:trPr>
          <w:trHeight w:val="283"/>
        </w:trPr>
        <w:tc>
          <w:tcPr>
            <w:tcW w:w="651" w:type="dxa"/>
            <w:vMerge w:val="restart"/>
          </w:tcPr>
          <w:p w14:paraId="76391381" w14:textId="77777777" w:rsidR="0050580B" w:rsidRPr="002B55E9" w:rsidRDefault="0050580B">
            <w:pPr>
              <w:pStyle w:val="lgy-"/>
              <w:rPr>
                <w:rFonts w:eastAsia="宋体"/>
              </w:rPr>
            </w:pPr>
            <w:r w:rsidRPr="002B55E9">
              <w:rPr>
                <w:rFonts w:eastAsia="宋体"/>
              </w:rPr>
              <w:t>G5</w:t>
            </w:r>
            <w:r w:rsidRPr="002B55E9">
              <w:rPr>
                <w:rFonts w:eastAsia="宋体"/>
              </w:rPr>
              <w:t>孙家湾新村</w:t>
            </w:r>
          </w:p>
        </w:tc>
        <w:tc>
          <w:tcPr>
            <w:tcW w:w="1151" w:type="dxa"/>
            <w:vMerge w:val="restart"/>
          </w:tcPr>
          <w:p w14:paraId="06AE2A29" w14:textId="77777777" w:rsidR="0050580B" w:rsidRPr="002B55E9" w:rsidRDefault="0050580B">
            <w:pPr>
              <w:pStyle w:val="lgy-"/>
              <w:rPr>
                <w:rFonts w:eastAsia="宋体"/>
              </w:rPr>
            </w:pPr>
            <w:r w:rsidRPr="002B55E9">
              <w:rPr>
                <w:rFonts w:eastAsia="宋体"/>
              </w:rPr>
              <w:t>113.98803821</w:t>
            </w:r>
          </w:p>
        </w:tc>
        <w:tc>
          <w:tcPr>
            <w:tcW w:w="1114" w:type="dxa"/>
            <w:vMerge w:val="restart"/>
          </w:tcPr>
          <w:p w14:paraId="629428C1" w14:textId="77777777" w:rsidR="0050580B" w:rsidRPr="002B55E9" w:rsidRDefault="0050580B">
            <w:pPr>
              <w:pStyle w:val="lgy-"/>
              <w:rPr>
                <w:rFonts w:eastAsia="宋体"/>
              </w:rPr>
            </w:pPr>
            <w:r w:rsidRPr="002B55E9">
              <w:rPr>
                <w:rFonts w:eastAsia="宋体"/>
              </w:rPr>
              <w:t>30.66263287</w:t>
            </w:r>
          </w:p>
        </w:tc>
        <w:tc>
          <w:tcPr>
            <w:tcW w:w="885" w:type="dxa"/>
          </w:tcPr>
          <w:p w14:paraId="68EC675A" w14:textId="7493ACAE" w:rsidR="0050580B" w:rsidRPr="002B55E9" w:rsidRDefault="0050580B">
            <w:pPr>
              <w:pStyle w:val="lgy-"/>
              <w:rPr>
                <w:rFonts w:eastAsia="宋体"/>
              </w:rPr>
            </w:pPr>
            <w:r w:rsidRPr="002B55E9">
              <w:rPr>
                <w:rFonts w:eastAsia="宋体"/>
              </w:rPr>
              <w:t>总挥发性有机物</w:t>
            </w:r>
          </w:p>
        </w:tc>
        <w:tc>
          <w:tcPr>
            <w:tcW w:w="950" w:type="dxa"/>
          </w:tcPr>
          <w:p w14:paraId="5045CF78" w14:textId="77777777" w:rsidR="0050580B" w:rsidRPr="002B55E9" w:rsidRDefault="0050580B">
            <w:pPr>
              <w:pStyle w:val="lgy-"/>
              <w:rPr>
                <w:rFonts w:eastAsia="宋体"/>
              </w:rPr>
            </w:pPr>
            <w:r w:rsidRPr="002B55E9">
              <w:rPr>
                <w:rFonts w:eastAsia="宋体"/>
              </w:rPr>
              <w:t>0.6</w:t>
            </w:r>
          </w:p>
        </w:tc>
        <w:tc>
          <w:tcPr>
            <w:tcW w:w="1203" w:type="dxa"/>
          </w:tcPr>
          <w:p w14:paraId="21351E64" w14:textId="77777777" w:rsidR="0050580B" w:rsidRPr="002B55E9" w:rsidRDefault="0050580B">
            <w:pPr>
              <w:pStyle w:val="lgy-"/>
              <w:rPr>
                <w:rFonts w:eastAsia="宋体"/>
              </w:rPr>
            </w:pPr>
            <w:r w:rsidRPr="002B55E9">
              <w:rPr>
                <w:rFonts w:eastAsia="宋体"/>
              </w:rPr>
              <w:t>/</w:t>
            </w:r>
          </w:p>
        </w:tc>
        <w:tc>
          <w:tcPr>
            <w:tcW w:w="1193" w:type="dxa"/>
          </w:tcPr>
          <w:p w14:paraId="0DDB961B" w14:textId="77777777" w:rsidR="0050580B" w:rsidRPr="002B55E9" w:rsidRDefault="0050580B">
            <w:pPr>
              <w:pStyle w:val="lgy-"/>
              <w:rPr>
                <w:rFonts w:eastAsia="宋体"/>
              </w:rPr>
            </w:pPr>
            <w:r w:rsidRPr="002B55E9">
              <w:rPr>
                <w:rFonts w:eastAsia="宋体"/>
              </w:rPr>
              <w:t>0.0374~0.283</w:t>
            </w:r>
          </w:p>
        </w:tc>
        <w:tc>
          <w:tcPr>
            <w:tcW w:w="896" w:type="dxa"/>
          </w:tcPr>
          <w:p w14:paraId="3C1A50FE" w14:textId="77777777" w:rsidR="0050580B" w:rsidRPr="002B55E9" w:rsidRDefault="0050580B">
            <w:pPr>
              <w:pStyle w:val="lgy-"/>
              <w:rPr>
                <w:rFonts w:eastAsia="宋体"/>
              </w:rPr>
            </w:pPr>
            <w:r w:rsidRPr="002B55E9">
              <w:rPr>
                <w:rFonts w:eastAsia="宋体"/>
              </w:rPr>
              <w:t>47.2</w:t>
            </w:r>
          </w:p>
        </w:tc>
        <w:tc>
          <w:tcPr>
            <w:tcW w:w="898" w:type="dxa"/>
          </w:tcPr>
          <w:p w14:paraId="58A1E92D" w14:textId="77777777" w:rsidR="0050580B" w:rsidRPr="002B55E9" w:rsidRDefault="0050580B">
            <w:pPr>
              <w:pStyle w:val="lgy-"/>
              <w:rPr>
                <w:rFonts w:eastAsia="宋体"/>
              </w:rPr>
            </w:pPr>
            <w:r w:rsidRPr="002B55E9">
              <w:rPr>
                <w:rFonts w:eastAsia="宋体"/>
              </w:rPr>
              <w:t>/</w:t>
            </w:r>
          </w:p>
        </w:tc>
        <w:tc>
          <w:tcPr>
            <w:tcW w:w="696" w:type="dxa"/>
          </w:tcPr>
          <w:p w14:paraId="567B596F" w14:textId="77777777" w:rsidR="0050580B" w:rsidRPr="002B55E9" w:rsidRDefault="0050580B">
            <w:pPr>
              <w:pStyle w:val="lgy-"/>
              <w:rPr>
                <w:rFonts w:eastAsia="宋体"/>
              </w:rPr>
            </w:pPr>
            <w:r w:rsidRPr="002B55E9">
              <w:rPr>
                <w:rFonts w:eastAsia="宋体"/>
              </w:rPr>
              <w:t>达标</w:t>
            </w:r>
          </w:p>
        </w:tc>
      </w:tr>
      <w:tr w:rsidR="002B55E9" w:rsidRPr="002B55E9" w14:paraId="5E931A2C" w14:textId="77777777" w:rsidTr="0050580B">
        <w:trPr>
          <w:trHeight w:val="283"/>
        </w:trPr>
        <w:tc>
          <w:tcPr>
            <w:tcW w:w="651" w:type="dxa"/>
            <w:vMerge/>
          </w:tcPr>
          <w:p w14:paraId="632CC57B" w14:textId="77777777" w:rsidR="0050580B" w:rsidRPr="002B55E9" w:rsidRDefault="0050580B" w:rsidP="0050580B">
            <w:pPr>
              <w:pStyle w:val="lgy-"/>
              <w:rPr>
                <w:rFonts w:eastAsia="宋体"/>
              </w:rPr>
            </w:pPr>
          </w:p>
        </w:tc>
        <w:tc>
          <w:tcPr>
            <w:tcW w:w="1151" w:type="dxa"/>
            <w:vMerge/>
          </w:tcPr>
          <w:p w14:paraId="47A0DB78" w14:textId="77777777" w:rsidR="0050580B" w:rsidRPr="002B55E9" w:rsidRDefault="0050580B" w:rsidP="0050580B">
            <w:pPr>
              <w:pStyle w:val="lgy-"/>
              <w:rPr>
                <w:rFonts w:eastAsia="宋体"/>
              </w:rPr>
            </w:pPr>
          </w:p>
        </w:tc>
        <w:tc>
          <w:tcPr>
            <w:tcW w:w="1114" w:type="dxa"/>
            <w:vMerge/>
          </w:tcPr>
          <w:p w14:paraId="011077FE" w14:textId="77777777" w:rsidR="0050580B" w:rsidRPr="002B55E9" w:rsidRDefault="0050580B" w:rsidP="0050580B">
            <w:pPr>
              <w:pStyle w:val="lgy-"/>
              <w:rPr>
                <w:rFonts w:eastAsia="宋体"/>
              </w:rPr>
            </w:pPr>
          </w:p>
        </w:tc>
        <w:tc>
          <w:tcPr>
            <w:tcW w:w="885" w:type="dxa"/>
          </w:tcPr>
          <w:p w14:paraId="6FD8063D" w14:textId="246CAE40" w:rsidR="0050580B" w:rsidRPr="002B55E9" w:rsidRDefault="0050580B" w:rsidP="0050580B">
            <w:pPr>
              <w:pStyle w:val="lgy-"/>
              <w:rPr>
                <w:rFonts w:eastAsia="宋体"/>
              </w:rPr>
            </w:pPr>
            <w:r w:rsidRPr="002B55E9">
              <w:rPr>
                <w:rFonts w:eastAsia="宋体"/>
              </w:rPr>
              <w:t>氨</w:t>
            </w:r>
          </w:p>
        </w:tc>
        <w:tc>
          <w:tcPr>
            <w:tcW w:w="950" w:type="dxa"/>
          </w:tcPr>
          <w:p w14:paraId="4D74507D" w14:textId="5B33BB06" w:rsidR="0050580B" w:rsidRPr="002B55E9" w:rsidRDefault="0050580B" w:rsidP="0050580B">
            <w:pPr>
              <w:pStyle w:val="lgy-"/>
              <w:rPr>
                <w:rFonts w:eastAsia="宋体"/>
              </w:rPr>
            </w:pPr>
            <w:r w:rsidRPr="002B55E9">
              <w:rPr>
                <w:rFonts w:eastAsia="宋体"/>
              </w:rPr>
              <w:t>/</w:t>
            </w:r>
          </w:p>
        </w:tc>
        <w:tc>
          <w:tcPr>
            <w:tcW w:w="1203" w:type="dxa"/>
          </w:tcPr>
          <w:p w14:paraId="0240BA3C" w14:textId="47BAE05C" w:rsidR="0050580B" w:rsidRPr="002B55E9" w:rsidRDefault="0050580B" w:rsidP="0050580B">
            <w:pPr>
              <w:pStyle w:val="lgy-"/>
              <w:rPr>
                <w:rFonts w:eastAsia="宋体"/>
              </w:rPr>
            </w:pPr>
            <w:r w:rsidRPr="002B55E9">
              <w:rPr>
                <w:rFonts w:eastAsia="宋体"/>
              </w:rPr>
              <w:t>0.2</w:t>
            </w:r>
          </w:p>
        </w:tc>
        <w:tc>
          <w:tcPr>
            <w:tcW w:w="1193" w:type="dxa"/>
          </w:tcPr>
          <w:p w14:paraId="083535B7" w14:textId="6B26E8CF" w:rsidR="0050580B" w:rsidRPr="002B55E9" w:rsidRDefault="0050580B" w:rsidP="0050580B">
            <w:pPr>
              <w:pStyle w:val="lgy-"/>
              <w:rPr>
                <w:rFonts w:eastAsia="宋体"/>
              </w:rPr>
            </w:pPr>
            <w:r w:rsidRPr="002B55E9">
              <w:rPr>
                <w:rFonts w:eastAsia="宋体"/>
              </w:rPr>
              <w:t>0.03~0.09</w:t>
            </w:r>
          </w:p>
        </w:tc>
        <w:tc>
          <w:tcPr>
            <w:tcW w:w="896" w:type="dxa"/>
          </w:tcPr>
          <w:p w14:paraId="7C5A5D82" w14:textId="7BC7F90C" w:rsidR="0050580B" w:rsidRPr="002B55E9" w:rsidRDefault="0050580B" w:rsidP="0050580B">
            <w:pPr>
              <w:pStyle w:val="lgy-"/>
              <w:rPr>
                <w:rFonts w:eastAsia="宋体"/>
              </w:rPr>
            </w:pPr>
            <w:r w:rsidRPr="002B55E9">
              <w:rPr>
                <w:rFonts w:eastAsia="宋体"/>
              </w:rPr>
              <w:t>45</w:t>
            </w:r>
          </w:p>
        </w:tc>
        <w:tc>
          <w:tcPr>
            <w:tcW w:w="898" w:type="dxa"/>
          </w:tcPr>
          <w:p w14:paraId="31C2459F" w14:textId="77777777" w:rsidR="0050580B" w:rsidRPr="002B55E9" w:rsidRDefault="0050580B" w:rsidP="0050580B">
            <w:pPr>
              <w:pStyle w:val="lgy-"/>
              <w:rPr>
                <w:rFonts w:eastAsia="宋体"/>
              </w:rPr>
            </w:pPr>
          </w:p>
        </w:tc>
        <w:tc>
          <w:tcPr>
            <w:tcW w:w="696" w:type="dxa"/>
          </w:tcPr>
          <w:p w14:paraId="04F5A3A1" w14:textId="4BA6B2BA" w:rsidR="0050580B" w:rsidRPr="002B55E9" w:rsidRDefault="0050580B" w:rsidP="0050580B">
            <w:pPr>
              <w:pStyle w:val="lgy-"/>
              <w:rPr>
                <w:rFonts w:eastAsia="宋体"/>
              </w:rPr>
            </w:pPr>
            <w:r w:rsidRPr="002B55E9">
              <w:rPr>
                <w:rFonts w:eastAsia="宋体"/>
              </w:rPr>
              <w:t>达标</w:t>
            </w:r>
          </w:p>
        </w:tc>
      </w:tr>
      <w:tr w:rsidR="002B55E9" w:rsidRPr="002B55E9" w14:paraId="62B3E707" w14:textId="77777777" w:rsidTr="0050580B">
        <w:trPr>
          <w:trHeight w:val="283"/>
        </w:trPr>
        <w:tc>
          <w:tcPr>
            <w:tcW w:w="651" w:type="dxa"/>
            <w:vMerge/>
          </w:tcPr>
          <w:p w14:paraId="0B625513" w14:textId="77777777" w:rsidR="0050580B" w:rsidRPr="002B55E9" w:rsidRDefault="0050580B" w:rsidP="0050580B">
            <w:pPr>
              <w:pStyle w:val="lgy-"/>
              <w:rPr>
                <w:rFonts w:eastAsia="宋体"/>
              </w:rPr>
            </w:pPr>
          </w:p>
        </w:tc>
        <w:tc>
          <w:tcPr>
            <w:tcW w:w="1151" w:type="dxa"/>
            <w:vMerge/>
          </w:tcPr>
          <w:p w14:paraId="56667193" w14:textId="77777777" w:rsidR="0050580B" w:rsidRPr="002B55E9" w:rsidRDefault="0050580B" w:rsidP="0050580B">
            <w:pPr>
              <w:pStyle w:val="lgy-"/>
              <w:rPr>
                <w:rFonts w:eastAsia="宋体"/>
              </w:rPr>
            </w:pPr>
          </w:p>
        </w:tc>
        <w:tc>
          <w:tcPr>
            <w:tcW w:w="1114" w:type="dxa"/>
            <w:vMerge/>
          </w:tcPr>
          <w:p w14:paraId="331FECAB" w14:textId="77777777" w:rsidR="0050580B" w:rsidRPr="002B55E9" w:rsidRDefault="0050580B" w:rsidP="0050580B">
            <w:pPr>
              <w:pStyle w:val="lgy-"/>
              <w:rPr>
                <w:rFonts w:eastAsia="宋体"/>
              </w:rPr>
            </w:pPr>
          </w:p>
        </w:tc>
        <w:tc>
          <w:tcPr>
            <w:tcW w:w="885" w:type="dxa"/>
          </w:tcPr>
          <w:p w14:paraId="6AC734E9" w14:textId="78659B9F" w:rsidR="0050580B" w:rsidRPr="002B55E9" w:rsidRDefault="0050580B" w:rsidP="0050580B">
            <w:pPr>
              <w:pStyle w:val="lgy-"/>
              <w:rPr>
                <w:rFonts w:eastAsia="宋体"/>
              </w:rPr>
            </w:pPr>
            <w:r w:rsidRPr="002B55E9">
              <w:rPr>
                <w:rFonts w:eastAsia="宋体"/>
              </w:rPr>
              <w:t>硫化氢</w:t>
            </w:r>
          </w:p>
        </w:tc>
        <w:tc>
          <w:tcPr>
            <w:tcW w:w="950" w:type="dxa"/>
          </w:tcPr>
          <w:p w14:paraId="7745B1D9" w14:textId="4BB616B8" w:rsidR="0050580B" w:rsidRPr="002B55E9" w:rsidRDefault="0050580B" w:rsidP="0050580B">
            <w:pPr>
              <w:pStyle w:val="lgy-"/>
              <w:rPr>
                <w:rFonts w:eastAsia="宋体"/>
              </w:rPr>
            </w:pPr>
            <w:r w:rsidRPr="002B55E9">
              <w:rPr>
                <w:rFonts w:eastAsia="宋体"/>
              </w:rPr>
              <w:t>/</w:t>
            </w:r>
          </w:p>
        </w:tc>
        <w:tc>
          <w:tcPr>
            <w:tcW w:w="1203" w:type="dxa"/>
          </w:tcPr>
          <w:p w14:paraId="47C4BE8E" w14:textId="673E0E33" w:rsidR="0050580B" w:rsidRPr="002B55E9" w:rsidRDefault="0050580B" w:rsidP="0050580B">
            <w:pPr>
              <w:pStyle w:val="lgy-"/>
              <w:rPr>
                <w:rFonts w:eastAsia="宋体"/>
              </w:rPr>
            </w:pPr>
            <w:r w:rsidRPr="002B55E9">
              <w:rPr>
                <w:rFonts w:eastAsia="宋体"/>
              </w:rPr>
              <w:t>0.01</w:t>
            </w:r>
          </w:p>
        </w:tc>
        <w:tc>
          <w:tcPr>
            <w:tcW w:w="1193" w:type="dxa"/>
          </w:tcPr>
          <w:p w14:paraId="61CF16A4" w14:textId="66BFDE48" w:rsidR="0050580B" w:rsidRPr="002B55E9" w:rsidRDefault="0050580B" w:rsidP="0050580B">
            <w:pPr>
              <w:pStyle w:val="lgy-"/>
              <w:rPr>
                <w:rFonts w:eastAsia="宋体"/>
              </w:rPr>
            </w:pPr>
            <w:r w:rsidRPr="002B55E9">
              <w:rPr>
                <w:rFonts w:eastAsia="宋体"/>
              </w:rPr>
              <w:t>ND(0.001)</w:t>
            </w:r>
          </w:p>
        </w:tc>
        <w:tc>
          <w:tcPr>
            <w:tcW w:w="896" w:type="dxa"/>
          </w:tcPr>
          <w:p w14:paraId="60A46F3D" w14:textId="69BF5036" w:rsidR="0050580B" w:rsidRPr="002B55E9" w:rsidRDefault="0050580B" w:rsidP="0050580B">
            <w:pPr>
              <w:pStyle w:val="lgy-"/>
              <w:rPr>
                <w:rFonts w:eastAsia="宋体"/>
              </w:rPr>
            </w:pPr>
            <w:r w:rsidRPr="002B55E9">
              <w:rPr>
                <w:rFonts w:eastAsia="宋体"/>
              </w:rPr>
              <w:t>/</w:t>
            </w:r>
          </w:p>
        </w:tc>
        <w:tc>
          <w:tcPr>
            <w:tcW w:w="898" w:type="dxa"/>
          </w:tcPr>
          <w:p w14:paraId="1F4C52F3" w14:textId="6B752292" w:rsidR="0050580B" w:rsidRPr="002B55E9" w:rsidRDefault="0050580B" w:rsidP="0050580B">
            <w:pPr>
              <w:pStyle w:val="lgy-"/>
              <w:rPr>
                <w:rFonts w:eastAsia="宋体"/>
              </w:rPr>
            </w:pPr>
            <w:r w:rsidRPr="002B55E9">
              <w:rPr>
                <w:rFonts w:eastAsia="宋体"/>
              </w:rPr>
              <w:t>/</w:t>
            </w:r>
          </w:p>
        </w:tc>
        <w:tc>
          <w:tcPr>
            <w:tcW w:w="696" w:type="dxa"/>
          </w:tcPr>
          <w:p w14:paraId="4E16FB4F" w14:textId="21A4D4A9" w:rsidR="0050580B" w:rsidRPr="002B55E9" w:rsidRDefault="0050580B" w:rsidP="0050580B">
            <w:pPr>
              <w:pStyle w:val="lgy-"/>
              <w:rPr>
                <w:rFonts w:eastAsia="宋体"/>
              </w:rPr>
            </w:pPr>
            <w:r w:rsidRPr="002B55E9">
              <w:rPr>
                <w:rFonts w:eastAsia="宋体"/>
              </w:rPr>
              <w:t>达标</w:t>
            </w:r>
          </w:p>
        </w:tc>
      </w:tr>
    </w:tbl>
    <w:p w14:paraId="3545F858" w14:textId="7EEA5F85" w:rsidR="00D170E5" w:rsidRPr="002B55E9" w:rsidRDefault="00EF27AD">
      <w:pPr>
        <w:widowControl/>
        <w:spacing w:after="60" w:line="360" w:lineRule="auto"/>
        <w:ind w:firstLineChars="200" w:firstLine="464"/>
      </w:pPr>
      <w:r w:rsidRPr="002B55E9">
        <w:rPr>
          <w:rFonts w:hint="eastAsia"/>
          <w:spacing w:val="-8"/>
          <w:sz w:val="24"/>
        </w:rPr>
        <w:t>由上表可知，监测点处的</w:t>
      </w:r>
      <w:r w:rsidR="00924AFA" w:rsidRPr="002B55E9">
        <w:rPr>
          <w:rFonts w:hint="eastAsia"/>
          <w:spacing w:val="-8"/>
          <w:sz w:val="24"/>
        </w:rPr>
        <w:t>总挥发性有机物</w:t>
      </w:r>
      <w:r w:rsidR="0050580B" w:rsidRPr="002B55E9">
        <w:rPr>
          <w:rFonts w:hint="eastAsia"/>
          <w:spacing w:val="-8"/>
          <w:sz w:val="24"/>
        </w:rPr>
        <w:t>、</w:t>
      </w:r>
      <w:r w:rsidR="007E47F0" w:rsidRPr="002B55E9">
        <w:rPr>
          <w:spacing w:val="-8"/>
          <w:sz w:val="24"/>
        </w:rPr>
        <w:t>氨、硫化氢</w:t>
      </w:r>
      <w:r w:rsidRPr="002B55E9">
        <w:rPr>
          <w:rFonts w:hint="eastAsia"/>
          <w:spacing w:val="-8"/>
          <w:sz w:val="24"/>
        </w:rPr>
        <w:t>均能满足《环境影响评价技术导则</w:t>
      </w:r>
      <w:r w:rsidRPr="002B55E9">
        <w:rPr>
          <w:rFonts w:hint="eastAsia"/>
          <w:spacing w:val="-8"/>
          <w:sz w:val="24"/>
        </w:rPr>
        <w:t xml:space="preserve"> </w:t>
      </w:r>
      <w:r w:rsidRPr="002B55E9">
        <w:rPr>
          <w:rFonts w:hint="eastAsia"/>
          <w:spacing w:val="-8"/>
          <w:sz w:val="24"/>
        </w:rPr>
        <w:t>大气环境》（</w:t>
      </w:r>
      <w:r w:rsidRPr="002B55E9">
        <w:rPr>
          <w:rFonts w:hint="eastAsia"/>
          <w:spacing w:val="-8"/>
          <w:sz w:val="24"/>
        </w:rPr>
        <w:t>HJ2.2-2018</w:t>
      </w:r>
      <w:r w:rsidRPr="002B55E9">
        <w:rPr>
          <w:rFonts w:hint="eastAsia"/>
          <w:spacing w:val="-8"/>
          <w:sz w:val="24"/>
        </w:rPr>
        <w:t>）附录</w:t>
      </w:r>
      <w:r w:rsidRPr="002B55E9">
        <w:rPr>
          <w:rFonts w:hint="eastAsia"/>
          <w:spacing w:val="-8"/>
          <w:sz w:val="24"/>
        </w:rPr>
        <w:t>D</w:t>
      </w:r>
      <w:r w:rsidRPr="002B55E9">
        <w:rPr>
          <w:rFonts w:hint="eastAsia"/>
          <w:spacing w:val="-8"/>
          <w:sz w:val="24"/>
        </w:rPr>
        <w:t>中相应限值的要求</w:t>
      </w:r>
      <w:r w:rsidR="0050580B" w:rsidRPr="002B55E9">
        <w:rPr>
          <w:rFonts w:hint="eastAsia"/>
          <w:spacing w:val="-8"/>
          <w:sz w:val="24"/>
        </w:rPr>
        <w:t>，</w:t>
      </w:r>
      <w:r w:rsidR="0050580B" w:rsidRPr="002B55E9">
        <w:rPr>
          <w:bCs/>
          <w:spacing w:val="-8"/>
          <w:sz w:val="24"/>
        </w:rPr>
        <w:t>非甲烷总烃可以满足《大气污染综合排放标准详解》中推荐的小时标准限值的要求</w:t>
      </w:r>
      <w:r w:rsidR="0050580B" w:rsidRPr="002B55E9">
        <w:rPr>
          <w:rFonts w:hint="eastAsia"/>
          <w:bCs/>
          <w:spacing w:val="-8"/>
          <w:sz w:val="24"/>
        </w:rPr>
        <w:t>。</w:t>
      </w:r>
    </w:p>
    <w:p w14:paraId="585509FB" w14:textId="39B6280A" w:rsidR="00D170E5" w:rsidRPr="002B55E9" w:rsidRDefault="00EF27AD">
      <w:pPr>
        <w:pStyle w:val="affff7"/>
        <w:snapToGrid w:val="0"/>
        <w:spacing w:after="0"/>
      </w:pPr>
      <w:r w:rsidRPr="002B55E9">
        <w:t>项目特征</w:t>
      </w:r>
      <w:r w:rsidRPr="002B55E9">
        <w:rPr>
          <w:rFonts w:hint="eastAsia"/>
        </w:rPr>
        <w:t>污染物中</w:t>
      </w:r>
      <w:r w:rsidRPr="002B55E9">
        <w:t>硫酸、氯化氢、甲醛</w:t>
      </w:r>
      <w:r w:rsidRPr="002B55E9">
        <w:rPr>
          <w:rFonts w:hint="eastAsia"/>
        </w:rPr>
        <w:t>、</w:t>
      </w:r>
      <w:r w:rsidRPr="002B55E9">
        <w:rPr>
          <w:rFonts w:hint="eastAsia"/>
        </w:rPr>
        <w:t>TSP</w:t>
      </w:r>
      <w:r w:rsidRPr="002B55E9">
        <w:rPr>
          <w:rFonts w:hint="eastAsia"/>
        </w:rPr>
        <w:t>委托</w:t>
      </w:r>
      <w:r w:rsidRPr="002B55E9">
        <w:t>湖北相融监测有限公司</w:t>
      </w:r>
      <w:r w:rsidRPr="002B55E9">
        <w:rPr>
          <w:rFonts w:hint="eastAsia"/>
        </w:rPr>
        <w:t>于</w:t>
      </w:r>
      <w:r w:rsidRPr="002B55E9">
        <w:rPr>
          <w:rFonts w:hint="eastAsia"/>
        </w:rPr>
        <w:t>2022</w:t>
      </w:r>
      <w:r w:rsidRPr="002B55E9">
        <w:rPr>
          <w:rFonts w:hint="eastAsia"/>
        </w:rPr>
        <w:t>年</w:t>
      </w:r>
      <w:r w:rsidRPr="002B55E9">
        <w:rPr>
          <w:rFonts w:hint="eastAsia"/>
        </w:rPr>
        <w:t>6</w:t>
      </w:r>
      <w:r w:rsidRPr="002B55E9">
        <w:rPr>
          <w:rFonts w:hint="eastAsia"/>
        </w:rPr>
        <w:t>月</w:t>
      </w:r>
      <w:r w:rsidRPr="002B55E9">
        <w:rPr>
          <w:rFonts w:hint="eastAsia"/>
        </w:rPr>
        <w:t>13</w:t>
      </w:r>
      <w:r w:rsidRPr="002B55E9">
        <w:rPr>
          <w:rFonts w:hint="eastAsia"/>
        </w:rPr>
        <w:t>日</w:t>
      </w:r>
      <w:r w:rsidRPr="002B55E9">
        <w:t>~6</w:t>
      </w:r>
      <w:r w:rsidRPr="002B55E9">
        <w:rPr>
          <w:rFonts w:hint="eastAsia"/>
        </w:rPr>
        <w:t>月</w:t>
      </w:r>
      <w:r w:rsidRPr="002B55E9">
        <w:rPr>
          <w:rFonts w:hint="eastAsia"/>
        </w:rPr>
        <w:t>19</w:t>
      </w:r>
      <w:r w:rsidRPr="002B55E9">
        <w:rPr>
          <w:rFonts w:hint="eastAsia"/>
        </w:rPr>
        <w:t>日对厂址及</w:t>
      </w:r>
      <w:r w:rsidR="0037095F" w:rsidRPr="002B55E9">
        <w:rPr>
          <w:rFonts w:hint="eastAsia"/>
        </w:rPr>
        <w:t>下风向</w:t>
      </w:r>
      <w:r w:rsidRPr="002B55E9">
        <w:t>孙家湾新</w:t>
      </w:r>
      <w:r w:rsidRPr="002B55E9">
        <w:rPr>
          <w:rFonts w:hint="eastAsia"/>
        </w:rPr>
        <w:t>村</w:t>
      </w:r>
      <w:r w:rsidRPr="002B55E9">
        <w:t>处</w:t>
      </w:r>
      <w:r w:rsidRPr="002B55E9">
        <w:rPr>
          <w:rFonts w:hint="eastAsia"/>
        </w:rPr>
        <w:t>进行</w:t>
      </w:r>
      <w:r w:rsidRPr="002B55E9">
        <w:t>了</w:t>
      </w:r>
      <w:r w:rsidRPr="002B55E9">
        <w:rPr>
          <w:rFonts w:hint="eastAsia"/>
        </w:rPr>
        <w:t>现状</w:t>
      </w:r>
      <w:r w:rsidRPr="002B55E9">
        <w:t>监测，</w:t>
      </w:r>
      <w:r w:rsidRPr="002B55E9">
        <w:rPr>
          <w:rFonts w:hint="eastAsia"/>
        </w:rPr>
        <w:t>报告</w:t>
      </w:r>
      <w:r w:rsidRPr="002B55E9">
        <w:t>编号：相融检</w:t>
      </w:r>
      <w:r w:rsidRPr="002B55E9">
        <w:rPr>
          <w:rFonts w:hint="eastAsia"/>
        </w:rPr>
        <w:t>字</w:t>
      </w:r>
      <w:r w:rsidRPr="002B55E9">
        <w:rPr>
          <w:rFonts w:hint="eastAsia"/>
        </w:rPr>
        <w:t>[</w:t>
      </w:r>
      <w:r w:rsidRPr="002B55E9">
        <w:t>2022</w:t>
      </w:r>
      <w:r w:rsidRPr="002B55E9">
        <w:rPr>
          <w:rFonts w:hint="eastAsia"/>
        </w:rPr>
        <w:t>]</w:t>
      </w:r>
      <w:r w:rsidRPr="002B55E9">
        <w:rPr>
          <w:rFonts w:hint="eastAsia"/>
        </w:rPr>
        <w:t>第</w:t>
      </w:r>
      <w:r w:rsidRPr="002B55E9">
        <w:rPr>
          <w:rFonts w:hint="eastAsia"/>
        </w:rPr>
        <w:t>060053</w:t>
      </w:r>
      <w:r w:rsidRPr="002B55E9">
        <w:rPr>
          <w:rFonts w:hint="eastAsia"/>
        </w:rPr>
        <w:t>号</w:t>
      </w:r>
      <w:r w:rsidRPr="002B55E9">
        <w:t>，监测报告见附件。</w:t>
      </w:r>
    </w:p>
    <w:p w14:paraId="516CBCFF"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监测数据及评价结果如下表所示：</w:t>
      </w:r>
    </w:p>
    <w:p w14:paraId="539B622B" w14:textId="77777777" w:rsidR="00D170E5" w:rsidRPr="002B55E9" w:rsidRDefault="00EF27AD">
      <w:pPr>
        <w:adjustRightInd w:val="0"/>
        <w:snapToGrid w:val="0"/>
        <w:jc w:val="center"/>
        <w:rPr>
          <w:rFonts w:hAnsi="宋体"/>
          <w:b/>
          <w:sz w:val="24"/>
        </w:rPr>
      </w:pPr>
      <w:r w:rsidRPr="002B55E9">
        <w:rPr>
          <w:rFonts w:hAnsi="宋体"/>
          <w:b/>
          <w:sz w:val="24"/>
        </w:rPr>
        <w:t>表</w:t>
      </w:r>
      <w:r w:rsidRPr="002B55E9">
        <w:rPr>
          <w:rFonts w:hint="eastAsia"/>
          <w:b/>
          <w:sz w:val="24"/>
        </w:rPr>
        <w:t>4-2-3</w:t>
      </w:r>
      <w:r w:rsidRPr="002B55E9">
        <w:rPr>
          <w:b/>
          <w:sz w:val="24"/>
        </w:rPr>
        <w:t xml:space="preserve">  </w:t>
      </w:r>
      <w:r w:rsidRPr="002B55E9">
        <w:rPr>
          <w:rFonts w:hAnsi="宋体"/>
          <w:b/>
          <w:sz w:val="24"/>
        </w:rPr>
        <w:t>项目所在区域</w:t>
      </w:r>
      <w:r w:rsidRPr="002B55E9">
        <w:rPr>
          <w:rFonts w:hint="eastAsia"/>
          <w:b/>
          <w:sz w:val="24"/>
        </w:rPr>
        <w:t>甲醛</w:t>
      </w:r>
      <w:r w:rsidRPr="002B55E9">
        <w:rPr>
          <w:b/>
          <w:sz w:val="24"/>
        </w:rPr>
        <w:t>、氯化氢、硫酸雾</w:t>
      </w:r>
      <w:r w:rsidRPr="002B55E9">
        <w:rPr>
          <w:rFonts w:hAnsi="宋体"/>
          <w:b/>
          <w:sz w:val="24"/>
        </w:rPr>
        <w:t>环境空气质量监测结果</w:t>
      </w:r>
      <w:r w:rsidRPr="002B55E9">
        <w:rPr>
          <w:rFonts w:hAnsi="宋体" w:hint="eastAsia"/>
          <w:b/>
          <w:sz w:val="24"/>
        </w:rPr>
        <w:t>（小时值）</w:t>
      </w:r>
    </w:p>
    <w:tbl>
      <w:tblPr>
        <w:tblStyle w:val="lgy2"/>
        <w:tblW w:w="5000" w:type="pct"/>
        <w:tblLayout w:type="fixed"/>
        <w:tblCellMar>
          <w:left w:w="28" w:type="dxa"/>
          <w:right w:w="28" w:type="dxa"/>
        </w:tblCellMar>
        <w:tblLook w:val="04A0" w:firstRow="1" w:lastRow="0" w:firstColumn="1" w:lastColumn="0" w:noHBand="0" w:noVBand="1"/>
      </w:tblPr>
      <w:tblGrid>
        <w:gridCol w:w="766"/>
        <w:gridCol w:w="1250"/>
        <w:gridCol w:w="1289"/>
        <w:gridCol w:w="1026"/>
        <w:gridCol w:w="1101"/>
        <w:gridCol w:w="1380"/>
        <w:gridCol w:w="1039"/>
        <w:gridCol w:w="1041"/>
        <w:gridCol w:w="801"/>
      </w:tblGrid>
      <w:tr w:rsidR="002B55E9" w:rsidRPr="002B55E9" w14:paraId="61D27357"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762" w:type="dxa"/>
          </w:tcPr>
          <w:p w14:paraId="0B11FC2B" w14:textId="77777777" w:rsidR="00D170E5" w:rsidRPr="002B55E9" w:rsidRDefault="00EF27AD">
            <w:pPr>
              <w:pStyle w:val="lgy-"/>
            </w:pPr>
            <w:r w:rsidRPr="002B55E9">
              <w:rPr>
                <w:rFonts w:eastAsia="宋体" w:hint="eastAsia"/>
              </w:rPr>
              <w:t>点位名称</w:t>
            </w:r>
          </w:p>
        </w:tc>
        <w:tc>
          <w:tcPr>
            <w:tcW w:w="2525" w:type="dxa"/>
            <w:gridSpan w:val="2"/>
          </w:tcPr>
          <w:p w14:paraId="4C03AA5A" w14:textId="77777777" w:rsidR="00D170E5" w:rsidRPr="002B55E9" w:rsidRDefault="00EF27AD" w:rsidP="00EF27AD">
            <w:pPr>
              <w:pStyle w:val="lgy-"/>
            </w:pPr>
            <w:r w:rsidRPr="002B55E9">
              <w:rPr>
                <w:rFonts w:eastAsia="宋体" w:hint="eastAsia"/>
              </w:rPr>
              <w:t>监测点位置</w:t>
            </w:r>
          </w:p>
        </w:tc>
        <w:tc>
          <w:tcPr>
            <w:tcW w:w="1020" w:type="dxa"/>
          </w:tcPr>
          <w:p w14:paraId="43AB2965" w14:textId="77777777" w:rsidR="00D170E5" w:rsidRPr="002B55E9" w:rsidRDefault="00EF27AD">
            <w:pPr>
              <w:pStyle w:val="lgy-"/>
            </w:pPr>
            <w:r w:rsidRPr="002B55E9">
              <w:rPr>
                <w:rFonts w:eastAsia="宋体" w:hint="eastAsia"/>
              </w:rPr>
              <w:t>污染物</w:t>
            </w:r>
          </w:p>
        </w:tc>
        <w:tc>
          <w:tcPr>
            <w:tcW w:w="1095" w:type="dxa"/>
          </w:tcPr>
          <w:p w14:paraId="185FD459" w14:textId="77777777" w:rsidR="00D170E5" w:rsidRPr="002B55E9" w:rsidRDefault="00EF27AD">
            <w:pPr>
              <w:pStyle w:val="lgy-"/>
            </w:pPr>
            <w:r w:rsidRPr="002B55E9">
              <w:rPr>
                <w:rFonts w:eastAsia="宋体" w:hint="eastAsia"/>
              </w:rPr>
              <w:t>评价标准</w:t>
            </w:r>
            <w:r w:rsidRPr="002B55E9">
              <w:rPr>
                <w:rFonts w:eastAsia="宋体" w:hint="eastAsia"/>
              </w:rPr>
              <w:t>/</w:t>
            </w:r>
            <w:r w:rsidRPr="002B55E9">
              <w:rPr>
                <w:rFonts w:eastAsia="宋体" w:hint="eastAsia"/>
              </w:rPr>
              <w:t>（</w:t>
            </w:r>
            <w:r w:rsidRPr="002B55E9">
              <w:rPr>
                <w:rFonts w:eastAsia="宋体"/>
              </w:rPr>
              <w:t>m</w:t>
            </w:r>
            <w:r w:rsidRPr="002B55E9">
              <w:rPr>
                <w:rFonts w:eastAsia="宋体" w:hint="eastAsia"/>
              </w:rPr>
              <w:t>g/m</w:t>
            </w:r>
            <w:r w:rsidRPr="002B55E9">
              <w:rPr>
                <w:rFonts w:eastAsia="宋体" w:hint="eastAsia"/>
                <w:vertAlign w:val="superscript"/>
              </w:rPr>
              <w:t>3</w:t>
            </w:r>
            <w:r w:rsidRPr="002B55E9">
              <w:rPr>
                <w:rFonts w:eastAsia="宋体" w:hint="eastAsia"/>
              </w:rPr>
              <w:t>）</w:t>
            </w:r>
          </w:p>
        </w:tc>
        <w:tc>
          <w:tcPr>
            <w:tcW w:w="1372" w:type="dxa"/>
          </w:tcPr>
          <w:p w14:paraId="2F6206D7" w14:textId="77777777" w:rsidR="00D170E5" w:rsidRPr="002B55E9" w:rsidRDefault="00EF27AD">
            <w:pPr>
              <w:pStyle w:val="lgy-"/>
              <w:rPr>
                <w:rFonts w:eastAsia="宋体"/>
              </w:rPr>
            </w:pPr>
            <w:r w:rsidRPr="002B55E9">
              <w:rPr>
                <w:rFonts w:eastAsia="宋体" w:hint="eastAsia"/>
              </w:rPr>
              <w:t>监测</w:t>
            </w:r>
            <w:r w:rsidRPr="002B55E9">
              <w:rPr>
                <w:rFonts w:eastAsia="宋体"/>
              </w:rPr>
              <w:t>浓度范围</w:t>
            </w:r>
          </w:p>
          <w:p w14:paraId="5EAD3BE6" w14:textId="77777777" w:rsidR="00D170E5" w:rsidRPr="002B55E9" w:rsidRDefault="00EF27AD">
            <w:pPr>
              <w:pStyle w:val="lgy-"/>
            </w:pPr>
            <w:r w:rsidRPr="002B55E9">
              <w:rPr>
                <w:rFonts w:eastAsia="宋体" w:hint="eastAsia"/>
              </w:rPr>
              <w:t>（</w:t>
            </w:r>
            <w:r w:rsidRPr="002B55E9">
              <w:rPr>
                <w:rFonts w:eastAsia="宋体"/>
              </w:rPr>
              <w:t>mg/Nm</w:t>
            </w:r>
            <w:r w:rsidRPr="002B55E9">
              <w:rPr>
                <w:rFonts w:eastAsia="宋体"/>
                <w:vertAlign w:val="superscript"/>
              </w:rPr>
              <w:t>3</w:t>
            </w:r>
            <w:r w:rsidRPr="002B55E9">
              <w:rPr>
                <w:rFonts w:eastAsia="宋体" w:hint="eastAsia"/>
              </w:rPr>
              <w:t>）</w:t>
            </w:r>
          </w:p>
        </w:tc>
        <w:tc>
          <w:tcPr>
            <w:tcW w:w="1033" w:type="dxa"/>
          </w:tcPr>
          <w:p w14:paraId="36DFBF92" w14:textId="77777777" w:rsidR="00D170E5" w:rsidRPr="002B55E9" w:rsidRDefault="00EF27AD">
            <w:pPr>
              <w:pStyle w:val="lgy-"/>
            </w:pPr>
            <w:r w:rsidRPr="002B55E9">
              <w:rPr>
                <w:rFonts w:eastAsia="宋体" w:hint="eastAsia"/>
              </w:rPr>
              <w:t>最大浓度占标率</w:t>
            </w:r>
            <w:r w:rsidRPr="002B55E9">
              <w:rPr>
                <w:rFonts w:eastAsia="宋体" w:hint="eastAsia"/>
              </w:rPr>
              <w:t>/%</w:t>
            </w:r>
          </w:p>
        </w:tc>
        <w:tc>
          <w:tcPr>
            <w:tcW w:w="1035" w:type="dxa"/>
          </w:tcPr>
          <w:p w14:paraId="40C515C9" w14:textId="77777777" w:rsidR="00D170E5" w:rsidRPr="002B55E9" w:rsidRDefault="00EF27AD">
            <w:pPr>
              <w:pStyle w:val="lgy-"/>
            </w:pPr>
            <w:r w:rsidRPr="002B55E9">
              <w:rPr>
                <w:rFonts w:eastAsia="宋体"/>
              </w:rPr>
              <w:t>超标率</w:t>
            </w:r>
            <w:r w:rsidRPr="002B55E9">
              <w:rPr>
                <w:rFonts w:eastAsia="宋体" w:hint="eastAsia"/>
              </w:rPr>
              <w:t>/</w:t>
            </w:r>
            <w:r w:rsidRPr="002B55E9">
              <w:rPr>
                <w:rFonts w:eastAsia="宋体"/>
              </w:rPr>
              <w:t>%</w:t>
            </w:r>
          </w:p>
        </w:tc>
        <w:tc>
          <w:tcPr>
            <w:tcW w:w="796" w:type="dxa"/>
          </w:tcPr>
          <w:p w14:paraId="63E1A060" w14:textId="77777777" w:rsidR="00D170E5" w:rsidRPr="002B55E9" w:rsidRDefault="00EF27AD">
            <w:pPr>
              <w:pStyle w:val="lgy-"/>
              <w:rPr>
                <w:rFonts w:eastAsia="宋体"/>
              </w:rPr>
            </w:pPr>
            <w:r w:rsidRPr="002B55E9">
              <w:rPr>
                <w:rFonts w:eastAsia="宋体" w:hint="eastAsia"/>
              </w:rPr>
              <w:t>达标情况</w:t>
            </w:r>
          </w:p>
        </w:tc>
      </w:tr>
      <w:tr w:rsidR="002B55E9" w:rsidRPr="002B55E9" w14:paraId="0E940967" w14:textId="77777777" w:rsidTr="00EF27AD">
        <w:trPr>
          <w:trHeight w:val="283"/>
        </w:trPr>
        <w:tc>
          <w:tcPr>
            <w:tcW w:w="762" w:type="dxa"/>
            <w:vMerge w:val="restart"/>
          </w:tcPr>
          <w:p w14:paraId="619FC318" w14:textId="77777777" w:rsidR="00D170E5" w:rsidRPr="002B55E9" w:rsidRDefault="00EF27AD">
            <w:pPr>
              <w:pStyle w:val="lgy-"/>
            </w:pPr>
            <w:r w:rsidRPr="002B55E9">
              <w:rPr>
                <w:rFonts w:eastAsia="宋体" w:hint="eastAsia"/>
              </w:rPr>
              <w:t>1</w:t>
            </w:r>
            <w:r w:rsidRPr="002B55E9">
              <w:rPr>
                <w:rFonts w:eastAsia="宋体"/>
              </w:rPr>
              <w:t>#</w:t>
            </w:r>
            <w:r w:rsidRPr="002B55E9">
              <w:rPr>
                <w:rFonts w:eastAsia="宋体"/>
              </w:rPr>
              <w:t>厂址处</w:t>
            </w:r>
          </w:p>
        </w:tc>
        <w:tc>
          <w:tcPr>
            <w:tcW w:w="1243" w:type="dxa"/>
            <w:vMerge w:val="restart"/>
          </w:tcPr>
          <w:p w14:paraId="490C5E8A" w14:textId="77777777" w:rsidR="00D170E5" w:rsidRPr="002B55E9" w:rsidRDefault="00EF27AD">
            <w:pPr>
              <w:pStyle w:val="lgy-"/>
            </w:pPr>
            <w:r w:rsidRPr="002B55E9">
              <w:rPr>
                <w:rFonts w:eastAsia="宋体"/>
              </w:rPr>
              <w:t>113.99364382</w:t>
            </w:r>
          </w:p>
        </w:tc>
        <w:tc>
          <w:tcPr>
            <w:tcW w:w="1282" w:type="dxa"/>
            <w:vMerge w:val="restart"/>
          </w:tcPr>
          <w:p w14:paraId="7A93A068" w14:textId="77777777" w:rsidR="00D170E5" w:rsidRPr="002B55E9" w:rsidRDefault="00EF27AD">
            <w:pPr>
              <w:pStyle w:val="lgy-"/>
            </w:pPr>
            <w:r w:rsidRPr="002B55E9">
              <w:rPr>
                <w:rFonts w:eastAsia="宋体"/>
              </w:rPr>
              <w:t>30.67651596</w:t>
            </w:r>
          </w:p>
        </w:tc>
        <w:tc>
          <w:tcPr>
            <w:tcW w:w="1020" w:type="dxa"/>
          </w:tcPr>
          <w:p w14:paraId="0C7DB28A" w14:textId="77777777" w:rsidR="00D170E5" w:rsidRPr="002B55E9" w:rsidRDefault="00EF27AD">
            <w:pPr>
              <w:pStyle w:val="lgy-"/>
            </w:pPr>
            <w:r w:rsidRPr="002B55E9">
              <w:rPr>
                <w:rFonts w:eastAsia="宋体" w:hint="eastAsia"/>
              </w:rPr>
              <w:t>甲醛</w:t>
            </w:r>
          </w:p>
        </w:tc>
        <w:tc>
          <w:tcPr>
            <w:tcW w:w="1095" w:type="dxa"/>
          </w:tcPr>
          <w:p w14:paraId="4D371C3E" w14:textId="77777777" w:rsidR="00D170E5" w:rsidRPr="002B55E9" w:rsidRDefault="00EF27AD">
            <w:pPr>
              <w:pStyle w:val="lgy-"/>
            </w:pPr>
            <w:r w:rsidRPr="002B55E9">
              <w:rPr>
                <w:rFonts w:eastAsia="宋体" w:hint="eastAsia"/>
              </w:rPr>
              <w:t>0.05</w:t>
            </w:r>
          </w:p>
        </w:tc>
        <w:tc>
          <w:tcPr>
            <w:tcW w:w="1372" w:type="dxa"/>
          </w:tcPr>
          <w:p w14:paraId="564354A2" w14:textId="77777777" w:rsidR="00D170E5" w:rsidRPr="002B55E9" w:rsidRDefault="00EF27AD">
            <w:pPr>
              <w:pStyle w:val="lgy-"/>
            </w:pPr>
            <w:r w:rsidRPr="002B55E9">
              <w:rPr>
                <w:rFonts w:eastAsia="宋体" w:hint="eastAsia"/>
              </w:rPr>
              <w:t>ND</w:t>
            </w:r>
          </w:p>
        </w:tc>
        <w:tc>
          <w:tcPr>
            <w:tcW w:w="1033" w:type="dxa"/>
          </w:tcPr>
          <w:p w14:paraId="7012AA15" w14:textId="77777777" w:rsidR="00D170E5" w:rsidRPr="002B55E9" w:rsidRDefault="00EF27AD">
            <w:pPr>
              <w:pStyle w:val="lgy-"/>
            </w:pPr>
            <w:r w:rsidRPr="002B55E9">
              <w:rPr>
                <w:rFonts w:eastAsia="宋体" w:hint="eastAsia"/>
              </w:rPr>
              <w:t>/</w:t>
            </w:r>
          </w:p>
        </w:tc>
        <w:tc>
          <w:tcPr>
            <w:tcW w:w="1035" w:type="dxa"/>
          </w:tcPr>
          <w:p w14:paraId="1713E2AA" w14:textId="77777777" w:rsidR="00D170E5" w:rsidRPr="002B55E9" w:rsidRDefault="00EF27AD">
            <w:pPr>
              <w:pStyle w:val="lgy-"/>
            </w:pPr>
            <w:r w:rsidRPr="002B55E9">
              <w:rPr>
                <w:rFonts w:eastAsia="宋体" w:hint="eastAsia"/>
              </w:rPr>
              <w:t>/</w:t>
            </w:r>
          </w:p>
        </w:tc>
        <w:tc>
          <w:tcPr>
            <w:tcW w:w="796" w:type="dxa"/>
          </w:tcPr>
          <w:p w14:paraId="70EB511F" w14:textId="77777777" w:rsidR="00D170E5" w:rsidRPr="002B55E9" w:rsidRDefault="00EF27AD">
            <w:pPr>
              <w:pStyle w:val="lgy-"/>
              <w:rPr>
                <w:rFonts w:eastAsia="宋体"/>
              </w:rPr>
            </w:pPr>
            <w:r w:rsidRPr="002B55E9">
              <w:rPr>
                <w:rFonts w:eastAsia="宋体" w:hint="eastAsia"/>
              </w:rPr>
              <w:t>达标</w:t>
            </w:r>
          </w:p>
        </w:tc>
      </w:tr>
      <w:tr w:rsidR="002B55E9" w:rsidRPr="002B55E9" w14:paraId="2D0059EE" w14:textId="77777777" w:rsidTr="00EF27AD">
        <w:trPr>
          <w:trHeight w:val="283"/>
        </w:trPr>
        <w:tc>
          <w:tcPr>
            <w:tcW w:w="762" w:type="dxa"/>
            <w:vMerge/>
          </w:tcPr>
          <w:p w14:paraId="603960B3" w14:textId="77777777" w:rsidR="00D170E5" w:rsidRPr="002B55E9" w:rsidRDefault="00D170E5">
            <w:pPr>
              <w:pStyle w:val="lgy-"/>
            </w:pPr>
          </w:p>
        </w:tc>
        <w:tc>
          <w:tcPr>
            <w:tcW w:w="1243" w:type="dxa"/>
            <w:vMerge/>
          </w:tcPr>
          <w:p w14:paraId="143F9A48" w14:textId="77777777" w:rsidR="00D170E5" w:rsidRPr="002B55E9" w:rsidRDefault="00D170E5">
            <w:pPr>
              <w:pStyle w:val="lgy-"/>
            </w:pPr>
          </w:p>
        </w:tc>
        <w:tc>
          <w:tcPr>
            <w:tcW w:w="1282" w:type="dxa"/>
            <w:vMerge/>
          </w:tcPr>
          <w:p w14:paraId="670E7B2B" w14:textId="77777777" w:rsidR="00D170E5" w:rsidRPr="002B55E9" w:rsidRDefault="00D170E5">
            <w:pPr>
              <w:pStyle w:val="lgy-"/>
            </w:pPr>
          </w:p>
        </w:tc>
        <w:tc>
          <w:tcPr>
            <w:tcW w:w="1020" w:type="dxa"/>
          </w:tcPr>
          <w:p w14:paraId="3198179C" w14:textId="77777777" w:rsidR="00D170E5" w:rsidRPr="002B55E9" w:rsidRDefault="00EF27AD">
            <w:pPr>
              <w:pStyle w:val="lgy-"/>
            </w:pPr>
            <w:r w:rsidRPr="002B55E9">
              <w:rPr>
                <w:rFonts w:eastAsia="宋体" w:hint="eastAsia"/>
              </w:rPr>
              <w:t>氯化氢</w:t>
            </w:r>
          </w:p>
        </w:tc>
        <w:tc>
          <w:tcPr>
            <w:tcW w:w="1095" w:type="dxa"/>
          </w:tcPr>
          <w:p w14:paraId="32CE803B" w14:textId="77777777" w:rsidR="00D170E5" w:rsidRPr="002B55E9" w:rsidRDefault="00EF27AD">
            <w:pPr>
              <w:pStyle w:val="lgy-"/>
            </w:pPr>
            <w:r w:rsidRPr="002B55E9">
              <w:rPr>
                <w:rFonts w:eastAsia="宋体" w:hint="eastAsia"/>
              </w:rPr>
              <w:t>0.05</w:t>
            </w:r>
          </w:p>
        </w:tc>
        <w:tc>
          <w:tcPr>
            <w:tcW w:w="1372" w:type="dxa"/>
          </w:tcPr>
          <w:p w14:paraId="371A38FE" w14:textId="77777777" w:rsidR="00D170E5" w:rsidRPr="002B55E9" w:rsidRDefault="00EF27AD">
            <w:pPr>
              <w:pStyle w:val="lgy-"/>
            </w:pPr>
            <w:r w:rsidRPr="002B55E9">
              <w:rPr>
                <w:rFonts w:eastAsia="宋体" w:hint="eastAsia"/>
              </w:rPr>
              <w:t>ND</w:t>
            </w:r>
          </w:p>
        </w:tc>
        <w:tc>
          <w:tcPr>
            <w:tcW w:w="1033" w:type="dxa"/>
          </w:tcPr>
          <w:p w14:paraId="04092EC9" w14:textId="77777777" w:rsidR="00D170E5" w:rsidRPr="002B55E9" w:rsidRDefault="00EF27AD">
            <w:pPr>
              <w:pStyle w:val="lgy-"/>
            </w:pPr>
            <w:r w:rsidRPr="002B55E9">
              <w:rPr>
                <w:rFonts w:eastAsia="宋体" w:hint="eastAsia"/>
              </w:rPr>
              <w:t>/</w:t>
            </w:r>
          </w:p>
        </w:tc>
        <w:tc>
          <w:tcPr>
            <w:tcW w:w="1035" w:type="dxa"/>
          </w:tcPr>
          <w:p w14:paraId="6F548592" w14:textId="77777777" w:rsidR="00D170E5" w:rsidRPr="002B55E9" w:rsidRDefault="00EF27AD">
            <w:pPr>
              <w:pStyle w:val="lgy-"/>
            </w:pPr>
            <w:r w:rsidRPr="002B55E9">
              <w:rPr>
                <w:rFonts w:eastAsia="宋体" w:hint="eastAsia"/>
              </w:rPr>
              <w:t>/</w:t>
            </w:r>
          </w:p>
        </w:tc>
        <w:tc>
          <w:tcPr>
            <w:tcW w:w="796" w:type="dxa"/>
          </w:tcPr>
          <w:p w14:paraId="189526DB" w14:textId="77777777" w:rsidR="00D170E5" w:rsidRPr="002B55E9" w:rsidRDefault="00EF27AD">
            <w:pPr>
              <w:pStyle w:val="lgy-"/>
              <w:rPr>
                <w:rFonts w:eastAsia="宋体"/>
              </w:rPr>
            </w:pPr>
            <w:r w:rsidRPr="002B55E9">
              <w:rPr>
                <w:rFonts w:eastAsia="宋体" w:hint="eastAsia"/>
              </w:rPr>
              <w:t>达标</w:t>
            </w:r>
          </w:p>
        </w:tc>
      </w:tr>
      <w:tr w:rsidR="002B55E9" w:rsidRPr="002B55E9" w14:paraId="242EB413" w14:textId="77777777" w:rsidTr="00EF27AD">
        <w:trPr>
          <w:trHeight w:val="283"/>
        </w:trPr>
        <w:tc>
          <w:tcPr>
            <w:tcW w:w="762" w:type="dxa"/>
            <w:vMerge/>
          </w:tcPr>
          <w:p w14:paraId="0186C60C" w14:textId="77777777" w:rsidR="00D170E5" w:rsidRPr="002B55E9" w:rsidRDefault="00D170E5">
            <w:pPr>
              <w:pStyle w:val="lgy-"/>
            </w:pPr>
          </w:p>
        </w:tc>
        <w:tc>
          <w:tcPr>
            <w:tcW w:w="1243" w:type="dxa"/>
            <w:vMerge/>
          </w:tcPr>
          <w:p w14:paraId="2A6871E2" w14:textId="77777777" w:rsidR="00D170E5" w:rsidRPr="002B55E9" w:rsidRDefault="00D170E5">
            <w:pPr>
              <w:pStyle w:val="lgy-"/>
            </w:pPr>
          </w:p>
        </w:tc>
        <w:tc>
          <w:tcPr>
            <w:tcW w:w="1282" w:type="dxa"/>
            <w:vMerge/>
          </w:tcPr>
          <w:p w14:paraId="03E5B570" w14:textId="77777777" w:rsidR="00D170E5" w:rsidRPr="002B55E9" w:rsidRDefault="00D170E5">
            <w:pPr>
              <w:pStyle w:val="lgy-"/>
            </w:pPr>
          </w:p>
        </w:tc>
        <w:tc>
          <w:tcPr>
            <w:tcW w:w="1020" w:type="dxa"/>
          </w:tcPr>
          <w:p w14:paraId="1E6E297F" w14:textId="77777777" w:rsidR="00D170E5" w:rsidRPr="002B55E9" w:rsidRDefault="00EF27AD">
            <w:pPr>
              <w:pStyle w:val="lgy-"/>
            </w:pPr>
            <w:r w:rsidRPr="002B55E9">
              <w:rPr>
                <w:rFonts w:eastAsia="宋体" w:hint="eastAsia"/>
              </w:rPr>
              <w:t>硫酸</w:t>
            </w:r>
            <w:r w:rsidRPr="002B55E9">
              <w:rPr>
                <w:rFonts w:eastAsia="宋体"/>
              </w:rPr>
              <w:t>雾</w:t>
            </w:r>
          </w:p>
        </w:tc>
        <w:tc>
          <w:tcPr>
            <w:tcW w:w="1095" w:type="dxa"/>
          </w:tcPr>
          <w:p w14:paraId="033AB7E2" w14:textId="77777777" w:rsidR="00D170E5" w:rsidRPr="002B55E9" w:rsidRDefault="00EF27AD">
            <w:pPr>
              <w:pStyle w:val="lgy-"/>
            </w:pPr>
            <w:r w:rsidRPr="002B55E9">
              <w:rPr>
                <w:rFonts w:eastAsia="宋体" w:hint="eastAsia"/>
              </w:rPr>
              <w:t>0.3</w:t>
            </w:r>
          </w:p>
        </w:tc>
        <w:tc>
          <w:tcPr>
            <w:tcW w:w="1372" w:type="dxa"/>
          </w:tcPr>
          <w:p w14:paraId="7EAD008C" w14:textId="77777777" w:rsidR="00D170E5" w:rsidRPr="002B55E9" w:rsidRDefault="00EF27AD">
            <w:pPr>
              <w:pStyle w:val="lgy-"/>
            </w:pPr>
            <w:r w:rsidRPr="002B55E9">
              <w:rPr>
                <w:rFonts w:eastAsia="宋体" w:hint="eastAsia"/>
              </w:rPr>
              <w:t>0.0169~</w:t>
            </w:r>
            <w:r w:rsidRPr="002B55E9">
              <w:rPr>
                <w:rFonts w:eastAsia="宋体"/>
              </w:rPr>
              <w:t>0.0216</w:t>
            </w:r>
          </w:p>
        </w:tc>
        <w:tc>
          <w:tcPr>
            <w:tcW w:w="1033" w:type="dxa"/>
          </w:tcPr>
          <w:p w14:paraId="4DFB0032" w14:textId="77777777" w:rsidR="00D170E5" w:rsidRPr="002B55E9" w:rsidRDefault="00EF27AD">
            <w:pPr>
              <w:pStyle w:val="lgy-"/>
            </w:pPr>
            <w:r w:rsidRPr="002B55E9">
              <w:rPr>
                <w:rFonts w:eastAsia="宋体" w:hint="eastAsia"/>
              </w:rPr>
              <w:t>7</w:t>
            </w:r>
            <w:r w:rsidRPr="002B55E9">
              <w:rPr>
                <w:rFonts w:eastAsia="宋体"/>
              </w:rPr>
              <w:t>.</w:t>
            </w:r>
            <w:r w:rsidRPr="002B55E9">
              <w:rPr>
                <w:rFonts w:eastAsia="宋体" w:hint="eastAsia"/>
              </w:rPr>
              <w:t>2</w:t>
            </w:r>
            <w:r w:rsidRPr="002B55E9">
              <w:rPr>
                <w:rFonts w:eastAsia="宋体"/>
              </w:rPr>
              <w:t>%</w:t>
            </w:r>
          </w:p>
        </w:tc>
        <w:tc>
          <w:tcPr>
            <w:tcW w:w="1035" w:type="dxa"/>
          </w:tcPr>
          <w:p w14:paraId="314364BE" w14:textId="77777777" w:rsidR="00D170E5" w:rsidRPr="002B55E9" w:rsidRDefault="00EF27AD">
            <w:pPr>
              <w:pStyle w:val="lgy-"/>
            </w:pPr>
            <w:r w:rsidRPr="002B55E9">
              <w:rPr>
                <w:rFonts w:eastAsia="宋体" w:hint="eastAsia"/>
              </w:rPr>
              <w:t>0</w:t>
            </w:r>
          </w:p>
        </w:tc>
        <w:tc>
          <w:tcPr>
            <w:tcW w:w="796" w:type="dxa"/>
          </w:tcPr>
          <w:p w14:paraId="017C9A0E" w14:textId="77777777" w:rsidR="00D170E5" w:rsidRPr="002B55E9" w:rsidRDefault="00EF27AD">
            <w:pPr>
              <w:pStyle w:val="lgy-"/>
              <w:rPr>
                <w:rFonts w:eastAsia="宋体"/>
              </w:rPr>
            </w:pPr>
            <w:r w:rsidRPr="002B55E9">
              <w:rPr>
                <w:rFonts w:eastAsia="宋体" w:hint="eastAsia"/>
              </w:rPr>
              <w:t>达标</w:t>
            </w:r>
          </w:p>
        </w:tc>
      </w:tr>
      <w:tr w:rsidR="002B55E9" w:rsidRPr="002B55E9" w14:paraId="115BA116" w14:textId="77777777" w:rsidTr="00EF27AD">
        <w:trPr>
          <w:trHeight w:val="283"/>
        </w:trPr>
        <w:tc>
          <w:tcPr>
            <w:tcW w:w="762" w:type="dxa"/>
            <w:vMerge w:val="restart"/>
          </w:tcPr>
          <w:p w14:paraId="2EBEFE18" w14:textId="77777777" w:rsidR="00D170E5" w:rsidRPr="002B55E9" w:rsidRDefault="00EF27AD">
            <w:pPr>
              <w:pStyle w:val="lgy-"/>
            </w:pPr>
            <w:r w:rsidRPr="002B55E9">
              <w:rPr>
                <w:rFonts w:eastAsia="宋体" w:hint="eastAsia"/>
              </w:rPr>
              <w:t>2</w:t>
            </w:r>
            <w:r w:rsidRPr="002B55E9">
              <w:rPr>
                <w:rFonts w:eastAsia="宋体"/>
              </w:rPr>
              <w:t>#</w:t>
            </w:r>
            <w:r w:rsidRPr="002B55E9">
              <w:rPr>
                <w:rFonts w:eastAsia="宋体" w:hint="eastAsia"/>
              </w:rPr>
              <w:t>孙家湾新村</w:t>
            </w:r>
          </w:p>
        </w:tc>
        <w:tc>
          <w:tcPr>
            <w:tcW w:w="1243" w:type="dxa"/>
            <w:vMerge w:val="restart"/>
          </w:tcPr>
          <w:p w14:paraId="70269EBE" w14:textId="77777777" w:rsidR="00D170E5" w:rsidRPr="002B55E9" w:rsidRDefault="00EF27AD">
            <w:pPr>
              <w:pStyle w:val="lgy-"/>
            </w:pPr>
            <w:r w:rsidRPr="002B55E9">
              <w:rPr>
                <w:rFonts w:eastAsia="宋体"/>
              </w:rPr>
              <w:t>113.98803821</w:t>
            </w:r>
          </w:p>
        </w:tc>
        <w:tc>
          <w:tcPr>
            <w:tcW w:w="1282" w:type="dxa"/>
            <w:vMerge w:val="restart"/>
          </w:tcPr>
          <w:p w14:paraId="14A4D42D" w14:textId="77777777" w:rsidR="00D170E5" w:rsidRPr="002B55E9" w:rsidRDefault="00EF27AD">
            <w:pPr>
              <w:pStyle w:val="lgy-"/>
            </w:pPr>
            <w:r w:rsidRPr="002B55E9">
              <w:rPr>
                <w:rFonts w:eastAsia="宋体"/>
              </w:rPr>
              <w:t>30.66263287</w:t>
            </w:r>
          </w:p>
        </w:tc>
        <w:tc>
          <w:tcPr>
            <w:tcW w:w="1020" w:type="dxa"/>
          </w:tcPr>
          <w:p w14:paraId="126C88DC" w14:textId="77777777" w:rsidR="00D170E5" w:rsidRPr="002B55E9" w:rsidRDefault="00EF27AD">
            <w:pPr>
              <w:pStyle w:val="lgy-"/>
            </w:pPr>
            <w:r w:rsidRPr="002B55E9">
              <w:rPr>
                <w:rFonts w:eastAsia="宋体" w:hint="eastAsia"/>
              </w:rPr>
              <w:t>甲醛</w:t>
            </w:r>
          </w:p>
        </w:tc>
        <w:tc>
          <w:tcPr>
            <w:tcW w:w="1095" w:type="dxa"/>
          </w:tcPr>
          <w:p w14:paraId="68CB1079" w14:textId="77777777" w:rsidR="00D170E5" w:rsidRPr="002B55E9" w:rsidRDefault="00EF27AD">
            <w:pPr>
              <w:pStyle w:val="lgy-"/>
            </w:pPr>
            <w:r w:rsidRPr="002B55E9">
              <w:rPr>
                <w:rFonts w:eastAsia="宋体" w:hint="eastAsia"/>
              </w:rPr>
              <w:t>0.05</w:t>
            </w:r>
          </w:p>
        </w:tc>
        <w:tc>
          <w:tcPr>
            <w:tcW w:w="1372" w:type="dxa"/>
          </w:tcPr>
          <w:p w14:paraId="5143E6C5" w14:textId="77777777" w:rsidR="00D170E5" w:rsidRPr="002B55E9" w:rsidRDefault="00EF27AD">
            <w:pPr>
              <w:pStyle w:val="lgy-"/>
            </w:pPr>
            <w:r w:rsidRPr="002B55E9">
              <w:rPr>
                <w:rFonts w:eastAsia="宋体" w:hint="eastAsia"/>
              </w:rPr>
              <w:t>ND</w:t>
            </w:r>
          </w:p>
        </w:tc>
        <w:tc>
          <w:tcPr>
            <w:tcW w:w="1033" w:type="dxa"/>
          </w:tcPr>
          <w:p w14:paraId="34F8F43A" w14:textId="77777777" w:rsidR="00D170E5" w:rsidRPr="002B55E9" w:rsidRDefault="00EF27AD">
            <w:pPr>
              <w:pStyle w:val="lgy-"/>
            </w:pPr>
            <w:r w:rsidRPr="002B55E9">
              <w:rPr>
                <w:rFonts w:eastAsia="宋体" w:hint="eastAsia"/>
              </w:rPr>
              <w:t>/</w:t>
            </w:r>
          </w:p>
        </w:tc>
        <w:tc>
          <w:tcPr>
            <w:tcW w:w="1035" w:type="dxa"/>
          </w:tcPr>
          <w:p w14:paraId="4DBE14AF" w14:textId="77777777" w:rsidR="00D170E5" w:rsidRPr="002B55E9" w:rsidRDefault="00EF27AD">
            <w:pPr>
              <w:pStyle w:val="lgy-"/>
            </w:pPr>
            <w:r w:rsidRPr="002B55E9">
              <w:rPr>
                <w:rFonts w:eastAsia="宋体" w:hint="eastAsia"/>
              </w:rPr>
              <w:t>/</w:t>
            </w:r>
          </w:p>
        </w:tc>
        <w:tc>
          <w:tcPr>
            <w:tcW w:w="796" w:type="dxa"/>
          </w:tcPr>
          <w:p w14:paraId="102C5F95" w14:textId="77777777" w:rsidR="00D170E5" w:rsidRPr="002B55E9" w:rsidRDefault="00EF27AD">
            <w:pPr>
              <w:pStyle w:val="lgy-"/>
              <w:rPr>
                <w:rFonts w:eastAsia="宋体"/>
              </w:rPr>
            </w:pPr>
            <w:r w:rsidRPr="002B55E9">
              <w:rPr>
                <w:rFonts w:eastAsia="宋体" w:hint="eastAsia"/>
              </w:rPr>
              <w:t>达标</w:t>
            </w:r>
          </w:p>
        </w:tc>
      </w:tr>
      <w:tr w:rsidR="002B55E9" w:rsidRPr="002B55E9" w14:paraId="02D702AD" w14:textId="77777777" w:rsidTr="00EF27AD">
        <w:trPr>
          <w:trHeight w:val="283"/>
        </w:trPr>
        <w:tc>
          <w:tcPr>
            <w:tcW w:w="762" w:type="dxa"/>
            <w:vMerge/>
          </w:tcPr>
          <w:p w14:paraId="033F8730" w14:textId="77777777" w:rsidR="00D170E5" w:rsidRPr="002B55E9" w:rsidRDefault="00D170E5">
            <w:pPr>
              <w:pStyle w:val="lgy-"/>
            </w:pPr>
          </w:p>
        </w:tc>
        <w:tc>
          <w:tcPr>
            <w:tcW w:w="1243" w:type="dxa"/>
            <w:vMerge/>
          </w:tcPr>
          <w:p w14:paraId="3731E6C6" w14:textId="77777777" w:rsidR="00D170E5" w:rsidRPr="002B55E9" w:rsidRDefault="00D170E5">
            <w:pPr>
              <w:pStyle w:val="lgy-"/>
            </w:pPr>
          </w:p>
        </w:tc>
        <w:tc>
          <w:tcPr>
            <w:tcW w:w="1282" w:type="dxa"/>
            <w:vMerge/>
          </w:tcPr>
          <w:p w14:paraId="106F0577" w14:textId="77777777" w:rsidR="00D170E5" w:rsidRPr="002B55E9" w:rsidRDefault="00D170E5">
            <w:pPr>
              <w:pStyle w:val="lgy-"/>
            </w:pPr>
          </w:p>
        </w:tc>
        <w:tc>
          <w:tcPr>
            <w:tcW w:w="1020" w:type="dxa"/>
          </w:tcPr>
          <w:p w14:paraId="0E314DF2" w14:textId="77777777" w:rsidR="00D170E5" w:rsidRPr="002B55E9" w:rsidRDefault="00EF27AD">
            <w:pPr>
              <w:pStyle w:val="lgy-"/>
            </w:pPr>
            <w:r w:rsidRPr="002B55E9">
              <w:rPr>
                <w:rFonts w:eastAsia="宋体" w:hint="eastAsia"/>
              </w:rPr>
              <w:t>氯化氢</w:t>
            </w:r>
          </w:p>
        </w:tc>
        <w:tc>
          <w:tcPr>
            <w:tcW w:w="1095" w:type="dxa"/>
          </w:tcPr>
          <w:p w14:paraId="1487FABC" w14:textId="77777777" w:rsidR="00D170E5" w:rsidRPr="002B55E9" w:rsidRDefault="00EF27AD">
            <w:pPr>
              <w:pStyle w:val="lgy-"/>
            </w:pPr>
            <w:r w:rsidRPr="002B55E9">
              <w:rPr>
                <w:rFonts w:eastAsia="宋体" w:hint="eastAsia"/>
              </w:rPr>
              <w:t>0.05</w:t>
            </w:r>
          </w:p>
        </w:tc>
        <w:tc>
          <w:tcPr>
            <w:tcW w:w="1372" w:type="dxa"/>
          </w:tcPr>
          <w:p w14:paraId="3FAAAC27" w14:textId="77777777" w:rsidR="00D170E5" w:rsidRPr="002B55E9" w:rsidRDefault="00EF27AD">
            <w:pPr>
              <w:pStyle w:val="lgy-"/>
            </w:pPr>
            <w:r w:rsidRPr="002B55E9">
              <w:rPr>
                <w:rFonts w:eastAsia="宋体" w:hint="eastAsia"/>
              </w:rPr>
              <w:t>ND</w:t>
            </w:r>
          </w:p>
        </w:tc>
        <w:tc>
          <w:tcPr>
            <w:tcW w:w="1033" w:type="dxa"/>
          </w:tcPr>
          <w:p w14:paraId="119B344E" w14:textId="77777777" w:rsidR="00D170E5" w:rsidRPr="002B55E9" w:rsidRDefault="00EF27AD">
            <w:pPr>
              <w:pStyle w:val="lgy-"/>
            </w:pPr>
            <w:r w:rsidRPr="002B55E9">
              <w:rPr>
                <w:rFonts w:eastAsia="宋体" w:hint="eastAsia"/>
              </w:rPr>
              <w:t>/</w:t>
            </w:r>
          </w:p>
        </w:tc>
        <w:tc>
          <w:tcPr>
            <w:tcW w:w="1035" w:type="dxa"/>
          </w:tcPr>
          <w:p w14:paraId="0A32498A" w14:textId="77777777" w:rsidR="00D170E5" w:rsidRPr="002B55E9" w:rsidRDefault="00EF27AD">
            <w:pPr>
              <w:pStyle w:val="lgy-"/>
            </w:pPr>
            <w:r w:rsidRPr="002B55E9">
              <w:rPr>
                <w:rFonts w:eastAsia="宋体" w:hint="eastAsia"/>
              </w:rPr>
              <w:t>/</w:t>
            </w:r>
          </w:p>
        </w:tc>
        <w:tc>
          <w:tcPr>
            <w:tcW w:w="796" w:type="dxa"/>
          </w:tcPr>
          <w:p w14:paraId="463BE543" w14:textId="77777777" w:rsidR="00D170E5" w:rsidRPr="002B55E9" w:rsidRDefault="00EF27AD">
            <w:pPr>
              <w:pStyle w:val="lgy-"/>
              <w:rPr>
                <w:rFonts w:eastAsia="宋体"/>
              </w:rPr>
            </w:pPr>
            <w:r w:rsidRPr="002B55E9">
              <w:rPr>
                <w:rFonts w:eastAsia="宋体" w:hint="eastAsia"/>
              </w:rPr>
              <w:t>达标</w:t>
            </w:r>
          </w:p>
        </w:tc>
      </w:tr>
      <w:tr w:rsidR="002B55E9" w:rsidRPr="002B55E9" w14:paraId="568A0386" w14:textId="77777777" w:rsidTr="00EF27AD">
        <w:trPr>
          <w:trHeight w:val="283"/>
        </w:trPr>
        <w:tc>
          <w:tcPr>
            <w:tcW w:w="762" w:type="dxa"/>
            <w:vMerge/>
          </w:tcPr>
          <w:p w14:paraId="0D8E5754" w14:textId="77777777" w:rsidR="00D170E5" w:rsidRPr="002B55E9" w:rsidRDefault="00D170E5">
            <w:pPr>
              <w:pStyle w:val="lgy-"/>
            </w:pPr>
          </w:p>
        </w:tc>
        <w:tc>
          <w:tcPr>
            <w:tcW w:w="1243" w:type="dxa"/>
            <w:vMerge/>
          </w:tcPr>
          <w:p w14:paraId="28B8F900" w14:textId="77777777" w:rsidR="00D170E5" w:rsidRPr="002B55E9" w:rsidRDefault="00D170E5">
            <w:pPr>
              <w:pStyle w:val="lgy-"/>
            </w:pPr>
          </w:p>
        </w:tc>
        <w:tc>
          <w:tcPr>
            <w:tcW w:w="1282" w:type="dxa"/>
            <w:vMerge/>
          </w:tcPr>
          <w:p w14:paraId="5B354A6B" w14:textId="77777777" w:rsidR="00D170E5" w:rsidRPr="002B55E9" w:rsidRDefault="00D170E5">
            <w:pPr>
              <w:pStyle w:val="lgy-"/>
            </w:pPr>
          </w:p>
        </w:tc>
        <w:tc>
          <w:tcPr>
            <w:tcW w:w="1020" w:type="dxa"/>
          </w:tcPr>
          <w:p w14:paraId="2674C769" w14:textId="77777777" w:rsidR="00D170E5" w:rsidRPr="002B55E9" w:rsidRDefault="00EF27AD">
            <w:pPr>
              <w:pStyle w:val="lgy-"/>
            </w:pPr>
            <w:r w:rsidRPr="002B55E9">
              <w:rPr>
                <w:rFonts w:eastAsia="宋体" w:hint="eastAsia"/>
              </w:rPr>
              <w:t>硫酸</w:t>
            </w:r>
            <w:r w:rsidRPr="002B55E9">
              <w:rPr>
                <w:rFonts w:eastAsia="宋体"/>
              </w:rPr>
              <w:t>雾</w:t>
            </w:r>
          </w:p>
        </w:tc>
        <w:tc>
          <w:tcPr>
            <w:tcW w:w="1095" w:type="dxa"/>
          </w:tcPr>
          <w:p w14:paraId="6912C722" w14:textId="77777777" w:rsidR="00D170E5" w:rsidRPr="002B55E9" w:rsidRDefault="00EF27AD">
            <w:pPr>
              <w:pStyle w:val="lgy-"/>
            </w:pPr>
            <w:r w:rsidRPr="002B55E9">
              <w:rPr>
                <w:rFonts w:eastAsia="宋体" w:hint="eastAsia"/>
              </w:rPr>
              <w:t>0.3</w:t>
            </w:r>
          </w:p>
        </w:tc>
        <w:tc>
          <w:tcPr>
            <w:tcW w:w="1372" w:type="dxa"/>
          </w:tcPr>
          <w:p w14:paraId="106E41D7" w14:textId="77777777" w:rsidR="00D170E5" w:rsidRPr="002B55E9" w:rsidRDefault="00EF27AD">
            <w:pPr>
              <w:pStyle w:val="lgy-"/>
            </w:pPr>
            <w:r w:rsidRPr="002B55E9">
              <w:rPr>
                <w:rFonts w:eastAsia="宋体" w:hint="eastAsia"/>
              </w:rPr>
              <w:t>0.0</w:t>
            </w:r>
            <w:r w:rsidRPr="002B55E9">
              <w:rPr>
                <w:rFonts w:eastAsia="宋体"/>
              </w:rPr>
              <w:t>0805</w:t>
            </w:r>
            <w:r w:rsidRPr="002B55E9">
              <w:rPr>
                <w:rFonts w:eastAsia="宋体" w:hint="eastAsia"/>
              </w:rPr>
              <w:t>~</w:t>
            </w:r>
            <w:r w:rsidRPr="002B55E9">
              <w:rPr>
                <w:rFonts w:eastAsia="宋体"/>
              </w:rPr>
              <w:t>0.00956</w:t>
            </w:r>
          </w:p>
        </w:tc>
        <w:tc>
          <w:tcPr>
            <w:tcW w:w="1033" w:type="dxa"/>
          </w:tcPr>
          <w:p w14:paraId="70E08A74" w14:textId="77777777" w:rsidR="00D170E5" w:rsidRPr="002B55E9" w:rsidRDefault="00EF27AD">
            <w:pPr>
              <w:pStyle w:val="lgy-"/>
            </w:pPr>
            <w:r w:rsidRPr="002B55E9">
              <w:rPr>
                <w:rFonts w:eastAsia="宋体"/>
              </w:rPr>
              <w:t>3.19%</w:t>
            </w:r>
          </w:p>
        </w:tc>
        <w:tc>
          <w:tcPr>
            <w:tcW w:w="1035" w:type="dxa"/>
          </w:tcPr>
          <w:p w14:paraId="712C6A91" w14:textId="77777777" w:rsidR="00D170E5" w:rsidRPr="002B55E9" w:rsidRDefault="00EF27AD">
            <w:pPr>
              <w:pStyle w:val="lgy-"/>
            </w:pPr>
            <w:r w:rsidRPr="002B55E9">
              <w:rPr>
                <w:rFonts w:eastAsia="宋体" w:hint="eastAsia"/>
              </w:rPr>
              <w:t>0</w:t>
            </w:r>
          </w:p>
        </w:tc>
        <w:tc>
          <w:tcPr>
            <w:tcW w:w="796" w:type="dxa"/>
          </w:tcPr>
          <w:p w14:paraId="50012234" w14:textId="77777777" w:rsidR="00D170E5" w:rsidRPr="002B55E9" w:rsidRDefault="00EF27AD">
            <w:pPr>
              <w:pStyle w:val="lgy-"/>
              <w:rPr>
                <w:rFonts w:eastAsia="宋体"/>
              </w:rPr>
            </w:pPr>
            <w:r w:rsidRPr="002B55E9">
              <w:rPr>
                <w:rFonts w:eastAsia="宋体" w:hint="eastAsia"/>
              </w:rPr>
              <w:t>达标</w:t>
            </w:r>
          </w:p>
        </w:tc>
      </w:tr>
    </w:tbl>
    <w:p w14:paraId="07B61555" w14:textId="77777777" w:rsidR="00D170E5" w:rsidRPr="002B55E9" w:rsidRDefault="00EF27AD">
      <w:pPr>
        <w:adjustRightInd w:val="0"/>
        <w:snapToGrid w:val="0"/>
        <w:jc w:val="center"/>
        <w:rPr>
          <w:rFonts w:hAnsi="宋体"/>
          <w:b/>
          <w:sz w:val="24"/>
        </w:rPr>
      </w:pPr>
      <w:r w:rsidRPr="002B55E9">
        <w:rPr>
          <w:rFonts w:hAnsi="宋体"/>
          <w:b/>
          <w:sz w:val="24"/>
        </w:rPr>
        <w:t>表</w:t>
      </w:r>
      <w:r w:rsidRPr="002B55E9">
        <w:rPr>
          <w:rFonts w:hint="eastAsia"/>
          <w:b/>
          <w:sz w:val="24"/>
        </w:rPr>
        <w:t>4-2-4</w:t>
      </w:r>
      <w:r w:rsidRPr="002B55E9">
        <w:rPr>
          <w:b/>
          <w:sz w:val="24"/>
        </w:rPr>
        <w:t xml:space="preserve">  </w:t>
      </w:r>
      <w:r w:rsidRPr="002B55E9">
        <w:rPr>
          <w:rFonts w:hAnsi="宋体"/>
          <w:b/>
          <w:sz w:val="24"/>
        </w:rPr>
        <w:t>项目所在区域</w:t>
      </w:r>
      <w:r w:rsidRPr="002B55E9">
        <w:rPr>
          <w:b/>
          <w:sz w:val="24"/>
        </w:rPr>
        <w:t>TSP</w:t>
      </w:r>
      <w:r w:rsidRPr="002B55E9">
        <w:rPr>
          <w:rFonts w:hint="eastAsia"/>
          <w:b/>
          <w:sz w:val="24"/>
        </w:rPr>
        <w:t>、</w:t>
      </w:r>
      <w:r w:rsidRPr="002B55E9">
        <w:rPr>
          <w:b/>
          <w:sz w:val="24"/>
        </w:rPr>
        <w:t>氯化氢、硫酸雾</w:t>
      </w:r>
      <w:r w:rsidRPr="002B55E9">
        <w:rPr>
          <w:rFonts w:hAnsi="宋体"/>
          <w:b/>
          <w:sz w:val="24"/>
        </w:rPr>
        <w:t>环境空气质量监测结果</w:t>
      </w:r>
      <w:r w:rsidRPr="002B55E9">
        <w:rPr>
          <w:rFonts w:hAnsi="宋体" w:hint="eastAsia"/>
          <w:b/>
          <w:sz w:val="24"/>
        </w:rPr>
        <w:t>（日均值）</w:t>
      </w:r>
    </w:p>
    <w:tbl>
      <w:tblPr>
        <w:tblStyle w:val="lgy2"/>
        <w:tblW w:w="5000" w:type="pct"/>
        <w:tblLayout w:type="fixed"/>
        <w:tblCellMar>
          <w:left w:w="28" w:type="dxa"/>
          <w:right w:w="28" w:type="dxa"/>
        </w:tblCellMar>
        <w:tblLook w:val="04A0" w:firstRow="1" w:lastRow="0" w:firstColumn="1" w:lastColumn="0" w:noHBand="0" w:noVBand="1"/>
      </w:tblPr>
      <w:tblGrid>
        <w:gridCol w:w="766"/>
        <w:gridCol w:w="1250"/>
        <w:gridCol w:w="1289"/>
        <w:gridCol w:w="1026"/>
        <w:gridCol w:w="1101"/>
        <w:gridCol w:w="1380"/>
        <w:gridCol w:w="1039"/>
        <w:gridCol w:w="1041"/>
        <w:gridCol w:w="801"/>
      </w:tblGrid>
      <w:tr w:rsidR="002B55E9" w:rsidRPr="002B55E9" w14:paraId="76D329C1"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762" w:type="dxa"/>
          </w:tcPr>
          <w:p w14:paraId="6F5D15B3" w14:textId="77777777" w:rsidR="00D170E5" w:rsidRPr="002B55E9" w:rsidRDefault="00EF27AD">
            <w:pPr>
              <w:pStyle w:val="lgy-"/>
            </w:pPr>
            <w:r w:rsidRPr="002B55E9">
              <w:rPr>
                <w:rFonts w:eastAsia="宋体" w:hint="eastAsia"/>
              </w:rPr>
              <w:t>点位名称</w:t>
            </w:r>
          </w:p>
        </w:tc>
        <w:tc>
          <w:tcPr>
            <w:tcW w:w="2525" w:type="dxa"/>
            <w:gridSpan w:val="2"/>
          </w:tcPr>
          <w:p w14:paraId="61165A3A" w14:textId="77777777" w:rsidR="00D170E5" w:rsidRPr="002B55E9" w:rsidRDefault="00EF27AD" w:rsidP="00EF27AD">
            <w:pPr>
              <w:pStyle w:val="lgy-"/>
            </w:pPr>
            <w:r w:rsidRPr="002B55E9">
              <w:rPr>
                <w:rFonts w:eastAsia="宋体" w:hint="eastAsia"/>
              </w:rPr>
              <w:t>监测点位置</w:t>
            </w:r>
          </w:p>
        </w:tc>
        <w:tc>
          <w:tcPr>
            <w:tcW w:w="1020" w:type="dxa"/>
          </w:tcPr>
          <w:p w14:paraId="319059FC" w14:textId="77777777" w:rsidR="00D170E5" w:rsidRPr="002B55E9" w:rsidRDefault="00EF27AD">
            <w:pPr>
              <w:pStyle w:val="lgy-"/>
            </w:pPr>
            <w:r w:rsidRPr="002B55E9">
              <w:rPr>
                <w:rFonts w:eastAsia="宋体" w:hint="eastAsia"/>
              </w:rPr>
              <w:t>污染物</w:t>
            </w:r>
          </w:p>
        </w:tc>
        <w:tc>
          <w:tcPr>
            <w:tcW w:w="1095" w:type="dxa"/>
          </w:tcPr>
          <w:p w14:paraId="09D8D624" w14:textId="77777777" w:rsidR="00D170E5" w:rsidRPr="002B55E9" w:rsidRDefault="00EF27AD">
            <w:pPr>
              <w:pStyle w:val="lgy-"/>
            </w:pPr>
            <w:r w:rsidRPr="002B55E9">
              <w:rPr>
                <w:rFonts w:eastAsia="宋体" w:hint="eastAsia"/>
              </w:rPr>
              <w:t>评价标准</w:t>
            </w:r>
            <w:r w:rsidRPr="002B55E9">
              <w:rPr>
                <w:rFonts w:eastAsia="宋体" w:hint="eastAsia"/>
              </w:rPr>
              <w:t>/</w:t>
            </w:r>
            <w:r w:rsidRPr="002B55E9">
              <w:rPr>
                <w:rFonts w:eastAsia="宋体" w:hint="eastAsia"/>
              </w:rPr>
              <w:t>（</w:t>
            </w:r>
            <w:r w:rsidRPr="002B55E9">
              <w:rPr>
                <w:rFonts w:eastAsia="宋体"/>
              </w:rPr>
              <w:t>m</w:t>
            </w:r>
            <w:r w:rsidRPr="002B55E9">
              <w:rPr>
                <w:rFonts w:eastAsia="宋体" w:hint="eastAsia"/>
              </w:rPr>
              <w:t>g/m</w:t>
            </w:r>
            <w:r w:rsidRPr="002B55E9">
              <w:rPr>
                <w:rFonts w:eastAsia="宋体" w:hint="eastAsia"/>
                <w:vertAlign w:val="superscript"/>
              </w:rPr>
              <w:t>3</w:t>
            </w:r>
            <w:r w:rsidRPr="002B55E9">
              <w:rPr>
                <w:rFonts w:eastAsia="宋体" w:hint="eastAsia"/>
              </w:rPr>
              <w:t>）</w:t>
            </w:r>
          </w:p>
        </w:tc>
        <w:tc>
          <w:tcPr>
            <w:tcW w:w="1372" w:type="dxa"/>
          </w:tcPr>
          <w:p w14:paraId="5E9BE264" w14:textId="77777777" w:rsidR="00D170E5" w:rsidRPr="002B55E9" w:rsidRDefault="00EF27AD">
            <w:pPr>
              <w:pStyle w:val="lgy-"/>
              <w:rPr>
                <w:rFonts w:eastAsia="宋体"/>
              </w:rPr>
            </w:pPr>
            <w:r w:rsidRPr="002B55E9">
              <w:rPr>
                <w:rFonts w:eastAsia="宋体" w:hint="eastAsia"/>
              </w:rPr>
              <w:t>监测</w:t>
            </w:r>
            <w:r w:rsidRPr="002B55E9">
              <w:rPr>
                <w:rFonts w:eastAsia="宋体"/>
              </w:rPr>
              <w:t>浓度范围</w:t>
            </w:r>
          </w:p>
          <w:p w14:paraId="1D4902D4" w14:textId="77777777" w:rsidR="00D170E5" w:rsidRPr="002B55E9" w:rsidRDefault="00EF27AD">
            <w:pPr>
              <w:pStyle w:val="lgy-"/>
            </w:pPr>
            <w:r w:rsidRPr="002B55E9">
              <w:rPr>
                <w:rFonts w:eastAsia="宋体" w:hint="eastAsia"/>
              </w:rPr>
              <w:t>（</w:t>
            </w:r>
            <w:r w:rsidRPr="002B55E9">
              <w:rPr>
                <w:rFonts w:eastAsia="宋体"/>
              </w:rPr>
              <w:t>mg/Nm</w:t>
            </w:r>
            <w:r w:rsidRPr="002B55E9">
              <w:rPr>
                <w:rFonts w:eastAsia="宋体"/>
                <w:vertAlign w:val="superscript"/>
              </w:rPr>
              <w:t>3</w:t>
            </w:r>
            <w:r w:rsidRPr="002B55E9">
              <w:rPr>
                <w:rFonts w:eastAsia="宋体" w:hint="eastAsia"/>
              </w:rPr>
              <w:t>）</w:t>
            </w:r>
          </w:p>
        </w:tc>
        <w:tc>
          <w:tcPr>
            <w:tcW w:w="1033" w:type="dxa"/>
          </w:tcPr>
          <w:p w14:paraId="14FE3318" w14:textId="77777777" w:rsidR="00D170E5" w:rsidRPr="002B55E9" w:rsidRDefault="00EF27AD">
            <w:pPr>
              <w:pStyle w:val="lgy-"/>
            </w:pPr>
            <w:r w:rsidRPr="002B55E9">
              <w:rPr>
                <w:rFonts w:eastAsia="宋体" w:hint="eastAsia"/>
              </w:rPr>
              <w:t>最大浓度占标率</w:t>
            </w:r>
            <w:r w:rsidRPr="002B55E9">
              <w:rPr>
                <w:rFonts w:eastAsia="宋体" w:hint="eastAsia"/>
              </w:rPr>
              <w:t>/%</w:t>
            </w:r>
          </w:p>
        </w:tc>
        <w:tc>
          <w:tcPr>
            <w:tcW w:w="1035" w:type="dxa"/>
          </w:tcPr>
          <w:p w14:paraId="76FADC68" w14:textId="77777777" w:rsidR="00D170E5" w:rsidRPr="002B55E9" w:rsidRDefault="00EF27AD">
            <w:pPr>
              <w:pStyle w:val="lgy-"/>
            </w:pPr>
            <w:r w:rsidRPr="002B55E9">
              <w:rPr>
                <w:rFonts w:eastAsia="宋体"/>
              </w:rPr>
              <w:t>超标率</w:t>
            </w:r>
            <w:r w:rsidRPr="002B55E9">
              <w:rPr>
                <w:rFonts w:eastAsia="宋体" w:hint="eastAsia"/>
              </w:rPr>
              <w:t>/</w:t>
            </w:r>
            <w:r w:rsidRPr="002B55E9">
              <w:rPr>
                <w:rFonts w:eastAsia="宋体"/>
              </w:rPr>
              <w:t>%</w:t>
            </w:r>
          </w:p>
        </w:tc>
        <w:tc>
          <w:tcPr>
            <w:tcW w:w="796" w:type="dxa"/>
          </w:tcPr>
          <w:p w14:paraId="10E686EF" w14:textId="77777777" w:rsidR="00D170E5" w:rsidRPr="002B55E9" w:rsidRDefault="00EF27AD">
            <w:pPr>
              <w:pStyle w:val="lgy-"/>
              <w:rPr>
                <w:rFonts w:eastAsia="宋体"/>
              </w:rPr>
            </w:pPr>
            <w:r w:rsidRPr="002B55E9">
              <w:rPr>
                <w:rFonts w:eastAsia="宋体" w:hint="eastAsia"/>
              </w:rPr>
              <w:t>达标情况</w:t>
            </w:r>
          </w:p>
        </w:tc>
      </w:tr>
      <w:tr w:rsidR="002B55E9" w:rsidRPr="002B55E9" w14:paraId="7F52313A" w14:textId="77777777" w:rsidTr="00EF27AD">
        <w:trPr>
          <w:trHeight w:val="283"/>
        </w:trPr>
        <w:tc>
          <w:tcPr>
            <w:tcW w:w="762" w:type="dxa"/>
            <w:vMerge w:val="restart"/>
          </w:tcPr>
          <w:p w14:paraId="1DF5D464" w14:textId="77777777" w:rsidR="00D170E5" w:rsidRPr="002B55E9" w:rsidRDefault="00EF27AD">
            <w:pPr>
              <w:pStyle w:val="lgy-"/>
            </w:pPr>
            <w:r w:rsidRPr="002B55E9">
              <w:rPr>
                <w:rFonts w:eastAsia="宋体" w:hint="eastAsia"/>
              </w:rPr>
              <w:t>1</w:t>
            </w:r>
            <w:r w:rsidRPr="002B55E9">
              <w:rPr>
                <w:rFonts w:eastAsia="宋体"/>
              </w:rPr>
              <w:t>#</w:t>
            </w:r>
            <w:r w:rsidRPr="002B55E9">
              <w:rPr>
                <w:rFonts w:eastAsia="宋体"/>
              </w:rPr>
              <w:t>厂址处</w:t>
            </w:r>
          </w:p>
        </w:tc>
        <w:tc>
          <w:tcPr>
            <w:tcW w:w="1243" w:type="dxa"/>
            <w:vMerge w:val="restart"/>
          </w:tcPr>
          <w:p w14:paraId="7AE1BCCB" w14:textId="77777777" w:rsidR="00D170E5" w:rsidRPr="002B55E9" w:rsidRDefault="00EF27AD">
            <w:pPr>
              <w:pStyle w:val="lgy-"/>
            </w:pPr>
            <w:r w:rsidRPr="002B55E9">
              <w:rPr>
                <w:rFonts w:eastAsia="宋体"/>
              </w:rPr>
              <w:t>113.99364382</w:t>
            </w:r>
          </w:p>
        </w:tc>
        <w:tc>
          <w:tcPr>
            <w:tcW w:w="1282" w:type="dxa"/>
            <w:vMerge w:val="restart"/>
          </w:tcPr>
          <w:p w14:paraId="4114A7FD" w14:textId="77777777" w:rsidR="00D170E5" w:rsidRPr="002B55E9" w:rsidRDefault="00EF27AD">
            <w:pPr>
              <w:pStyle w:val="lgy-"/>
            </w:pPr>
            <w:r w:rsidRPr="002B55E9">
              <w:rPr>
                <w:rFonts w:eastAsia="宋体"/>
              </w:rPr>
              <w:t>30.67651596</w:t>
            </w:r>
          </w:p>
        </w:tc>
        <w:tc>
          <w:tcPr>
            <w:tcW w:w="1020" w:type="dxa"/>
          </w:tcPr>
          <w:p w14:paraId="507D72A5" w14:textId="77777777" w:rsidR="00D170E5" w:rsidRPr="002B55E9" w:rsidRDefault="00EF27AD">
            <w:pPr>
              <w:pStyle w:val="lgy-"/>
            </w:pPr>
            <w:r w:rsidRPr="002B55E9">
              <w:rPr>
                <w:rFonts w:eastAsia="宋体" w:hint="eastAsia"/>
              </w:rPr>
              <w:t>TSP</w:t>
            </w:r>
          </w:p>
        </w:tc>
        <w:tc>
          <w:tcPr>
            <w:tcW w:w="1095" w:type="dxa"/>
          </w:tcPr>
          <w:p w14:paraId="77A406B2" w14:textId="77777777" w:rsidR="00D170E5" w:rsidRPr="002B55E9" w:rsidRDefault="00EF27AD">
            <w:pPr>
              <w:pStyle w:val="lgy-"/>
            </w:pPr>
            <w:r w:rsidRPr="002B55E9">
              <w:rPr>
                <w:rFonts w:eastAsia="宋体" w:hint="eastAsia"/>
              </w:rPr>
              <w:t>0.3</w:t>
            </w:r>
          </w:p>
        </w:tc>
        <w:tc>
          <w:tcPr>
            <w:tcW w:w="1372" w:type="dxa"/>
          </w:tcPr>
          <w:p w14:paraId="6AA1C3F0" w14:textId="77777777" w:rsidR="00D170E5" w:rsidRPr="002B55E9" w:rsidRDefault="00EF27AD">
            <w:pPr>
              <w:pStyle w:val="lgy-"/>
            </w:pPr>
            <w:r w:rsidRPr="002B55E9">
              <w:rPr>
                <w:rFonts w:eastAsia="宋体" w:hint="eastAsia"/>
              </w:rPr>
              <w:t>0.016</w:t>
            </w:r>
            <w:r w:rsidRPr="002B55E9">
              <w:rPr>
                <w:rFonts w:eastAsia="宋体"/>
              </w:rPr>
              <w:t>~0.032</w:t>
            </w:r>
          </w:p>
        </w:tc>
        <w:tc>
          <w:tcPr>
            <w:tcW w:w="1033" w:type="dxa"/>
          </w:tcPr>
          <w:p w14:paraId="5AE6AFF8" w14:textId="77777777" w:rsidR="00D170E5" w:rsidRPr="002B55E9" w:rsidRDefault="00EF27AD">
            <w:pPr>
              <w:pStyle w:val="lgy-"/>
            </w:pPr>
            <w:r w:rsidRPr="002B55E9">
              <w:rPr>
                <w:rFonts w:eastAsia="宋体" w:hint="eastAsia"/>
              </w:rPr>
              <w:t>10.67</w:t>
            </w:r>
            <w:r w:rsidRPr="002B55E9">
              <w:rPr>
                <w:rFonts w:eastAsia="宋体"/>
              </w:rPr>
              <w:t>%</w:t>
            </w:r>
          </w:p>
        </w:tc>
        <w:tc>
          <w:tcPr>
            <w:tcW w:w="1035" w:type="dxa"/>
          </w:tcPr>
          <w:p w14:paraId="5EF99881" w14:textId="77777777" w:rsidR="00D170E5" w:rsidRPr="002B55E9" w:rsidRDefault="00EF27AD">
            <w:pPr>
              <w:pStyle w:val="lgy-"/>
            </w:pPr>
            <w:r w:rsidRPr="002B55E9">
              <w:rPr>
                <w:rFonts w:eastAsia="宋体" w:hint="eastAsia"/>
              </w:rPr>
              <w:t>0</w:t>
            </w:r>
          </w:p>
        </w:tc>
        <w:tc>
          <w:tcPr>
            <w:tcW w:w="796" w:type="dxa"/>
          </w:tcPr>
          <w:p w14:paraId="285C7DC8" w14:textId="77777777" w:rsidR="00D170E5" w:rsidRPr="002B55E9" w:rsidRDefault="00EF27AD">
            <w:pPr>
              <w:pStyle w:val="lgy-"/>
              <w:rPr>
                <w:rFonts w:eastAsia="宋体"/>
              </w:rPr>
            </w:pPr>
            <w:r w:rsidRPr="002B55E9">
              <w:rPr>
                <w:rFonts w:eastAsia="宋体" w:hint="eastAsia"/>
              </w:rPr>
              <w:t>达标</w:t>
            </w:r>
          </w:p>
        </w:tc>
      </w:tr>
      <w:tr w:rsidR="002B55E9" w:rsidRPr="002B55E9" w14:paraId="5E2182E2" w14:textId="77777777" w:rsidTr="00EF27AD">
        <w:trPr>
          <w:trHeight w:val="283"/>
        </w:trPr>
        <w:tc>
          <w:tcPr>
            <w:tcW w:w="762" w:type="dxa"/>
            <w:vMerge/>
          </w:tcPr>
          <w:p w14:paraId="0F377A88" w14:textId="77777777" w:rsidR="00D170E5" w:rsidRPr="002B55E9" w:rsidRDefault="00D170E5">
            <w:pPr>
              <w:pStyle w:val="lgy-"/>
            </w:pPr>
          </w:p>
        </w:tc>
        <w:tc>
          <w:tcPr>
            <w:tcW w:w="1243" w:type="dxa"/>
            <w:vMerge/>
          </w:tcPr>
          <w:p w14:paraId="5E645BA4" w14:textId="77777777" w:rsidR="00D170E5" w:rsidRPr="002B55E9" w:rsidRDefault="00D170E5">
            <w:pPr>
              <w:pStyle w:val="lgy-"/>
            </w:pPr>
          </w:p>
        </w:tc>
        <w:tc>
          <w:tcPr>
            <w:tcW w:w="1282" w:type="dxa"/>
            <w:vMerge/>
          </w:tcPr>
          <w:p w14:paraId="4B1C912C" w14:textId="77777777" w:rsidR="00D170E5" w:rsidRPr="002B55E9" w:rsidRDefault="00D170E5">
            <w:pPr>
              <w:pStyle w:val="lgy-"/>
            </w:pPr>
          </w:p>
        </w:tc>
        <w:tc>
          <w:tcPr>
            <w:tcW w:w="1020" w:type="dxa"/>
          </w:tcPr>
          <w:p w14:paraId="21FA22B9" w14:textId="77777777" w:rsidR="00D170E5" w:rsidRPr="002B55E9" w:rsidRDefault="00EF27AD">
            <w:pPr>
              <w:pStyle w:val="lgy-"/>
            </w:pPr>
            <w:r w:rsidRPr="002B55E9">
              <w:rPr>
                <w:rFonts w:eastAsia="宋体" w:hint="eastAsia"/>
              </w:rPr>
              <w:t>氯化氢</w:t>
            </w:r>
          </w:p>
        </w:tc>
        <w:tc>
          <w:tcPr>
            <w:tcW w:w="1095" w:type="dxa"/>
          </w:tcPr>
          <w:p w14:paraId="1412CF9A" w14:textId="77777777" w:rsidR="00D170E5" w:rsidRPr="002B55E9" w:rsidRDefault="00EF27AD">
            <w:pPr>
              <w:pStyle w:val="lgy-"/>
            </w:pPr>
            <w:r w:rsidRPr="002B55E9">
              <w:rPr>
                <w:rFonts w:eastAsia="宋体" w:hint="eastAsia"/>
              </w:rPr>
              <w:t>15</w:t>
            </w:r>
          </w:p>
        </w:tc>
        <w:tc>
          <w:tcPr>
            <w:tcW w:w="1372" w:type="dxa"/>
          </w:tcPr>
          <w:p w14:paraId="30B309DC" w14:textId="77777777" w:rsidR="00D170E5" w:rsidRPr="002B55E9" w:rsidRDefault="00EF27AD">
            <w:pPr>
              <w:pStyle w:val="lgy-"/>
            </w:pPr>
            <w:r w:rsidRPr="002B55E9">
              <w:rPr>
                <w:rFonts w:eastAsia="宋体" w:hint="eastAsia"/>
              </w:rPr>
              <w:t>ND</w:t>
            </w:r>
          </w:p>
        </w:tc>
        <w:tc>
          <w:tcPr>
            <w:tcW w:w="1033" w:type="dxa"/>
          </w:tcPr>
          <w:p w14:paraId="5F8DF843" w14:textId="77777777" w:rsidR="00D170E5" w:rsidRPr="002B55E9" w:rsidRDefault="00EF27AD">
            <w:pPr>
              <w:pStyle w:val="lgy-"/>
            </w:pPr>
            <w:r w:rsidRPr="002B55E9">
              <w:rPr>
                <w:rFonts w:eastAsia="宋体" w:hint="eastAsia"/>
              </w:rPr>
              <w:t>/</w:t>
            </w:r>
          </w:p>
        </w:tc>
        <w:tc>
          <w:tcPr>
            <w:tcW w:w="1035" w:type="dxa"/>
          </w:tcPr>
          <w:p w14:paraId="647A1D25" w14:textId="77777777" w:rsidR="00D170E5" w:rsidRPr="002B55E9" w:rsidRDefault="00EF27AD">
            <w:pPr>
              <w:pStyle w:val="lgy-"/>
            </w:pPr>
            <w:r w:rsidRPr="002B55E9">
              <w:rPr>
                <w:rFonts w:eastAsia="宋体" w:hint="eastAsia"/>
              </w:rPr>
              <w:t>/</w:t>
            </w:r>
          </w:p>
        </w:tc>
        <w:tc>
          <w:tcPr>
            <w:tcW w:w="796" w:type="dxa"/>
          </w:tcPr>
          <w:p w14:paraId="3BBD097B" w14:textId="77777777" w:rsidR="00D170E5" w:rsidRPr="002B55E9" w:rsidRDefault="00EF27AD">
            <w:pPr>
              <w:pStyle w:val="lgy-"/>
              <w:rPr>
                <w:rFonts w:eastAsia="宋体"/>
              </w:rPr>
            </w:pPr>
            <w:r w:rsidRPr="002B55E9">
              <w:rPr>
                <w:rFonts w:eastAsia="宋体" w:hint="eastAsia"/>
              </w:rPr>
              <w:t>达标</w:t>
            </w:r>
          </w:p>
        </w:tc>
      </w:tr>
      <w:tr w:rsidR="002B55E9" w:rsidRPr="002B55E9" w14:paraId="2D3D2C93" w14:textId="77777777" w:rsidTr="00EF27AD">
        <w:trPr>
          <w:trHeight w:val="283"/>
        </w:trPr>
        <w:tc>
          <w:tcPr>
            <w:tcW w:w="762" w:type="dxa"/>
            <w:vMerge/>
          </w:tcPr>
          <w:p w14:paraId="46A6F1B7" w14:textId="77777777" w:rsidR="00D170E5" w:rsidRPr="002B55E9" w:rsidRDefault="00D170E5">
            <w:pPr>
              <w:pStyle w:val="lgy-"/>
            </w:pPr>
          </w:p>
        </w:tc>
        <w:tc>
          <w:tcPr>
            <w:tcW w:w="1243" w:type="dxa"/>
            <w:vMerge/>
          </w:tcPr>
          <w:p w14:paraId="0D93DC9D" w14:textId="77777777" w:rsidR="00D170E5" w:rsidRPr="002B55E9" w:rsidRDefault="00D170E5">
            <w:pPr>
              <w:pStyle w:val="lgy-"/>
            </w:pPr>
          </w:p>
        </w:tc>
        <w:tc>
          <w:tcPr>
            <w:tcW w:w="1282" w:type="dxa"/>
            <w:vMerge/>
          </w:tcPr>
          <w:p w14:paraId="7C83326C" w14:textId="77777777" w:rsidR="00D170E5" w:rsidRPr="002B55E9" w:rsidRDefault="00D170E5">
            <w:pPr>
              <w:pStyle w:val="lgy-"/>
            </w:pPr>
          </w:p>
        </w:tc>
        <w:tc>
          <w:tcPr>
            <w:tcW w:w="1020" w:type="dxa"/>
          </w:tcPr>
          <w:p w14:paraId="50324CB3" w14:textId="77777777" w:rsidR="00D170E5" w:rsidRPr="002B55E9" w:rsidRDefault="00EF27AD">
            <w:pPr>
              <w:pStyle w:val="lgy-"/>
            </w:pPr>
            <w:r w:rsidRPr="002B55E9">
              <w:rPr>
                <w:rFonts w:eastAsia="宋体" w:hint="eastAsia"/>
              </w:rPr>
              <w:t>硫酸雾</w:t>
            </w:r>
          </w:p>
        </w:tc>
        <w:tc>
          <w:tcPr>
            <w:tcW w:w="1095" w:type="dxa"/>
          </w:tcPr>
          <w:p w14:paraId="34B5456C" w14:textId="77777777" w:rsidR="00D170E5" w:rsidRPr="002B55E9" w:rsidRDefault="00EF27AD">
            <w:pPr>
              <w:pStyle w:val="lgy-"/>
            </w:pPr>
            <w:r w:rsidRPr="002B55E9">
              <w:rPr>
                <w:rFonts w:eastAsia="宋体" w:hint="eastAsia"/>
              </w:rPr>
              <w:t>0.1</w:t>
            </w:r>
          </w:p>
        </w:tc>
        <w:tc>
          <w:tcPr>
            <w:tcW w:w="1372" w:type="dxa"/>
          </w:tcPr>
          <w:p w14:paraId="29350445" w14:textId="77777777" w:rsidR="00D170E5" w:rsidRPr="002B55E9" w:rsidRDefault="00EF27AD">
            <w:pPr>
              <w:pStyle w:val="lgy-"/>
            </w:pPr>
            <w:r w:rsidRPr="002B55E9">
              <w:rPr>
                <w:rFonts w:eastAsia="宋体" w:hint="eastAsia"/>
              </w:rPr>
              <w:t>0.0026</w:t>
            </w:r>
            <w:r w:rsidRPr="002B55E9">
              <w:rPr>
                <w:rFonts w:eastAsia="宋体"/>
              </w:rPr>
              <w:t>~0.00304</w:t>
            </w:r>
          </w:p>
        </w:tc>
        <w:tc>
          <w:tcPr>
            <w:tcW w:w="1033" w:type="dxa"/>
          </w:tcPr>
          <w:p w14:paraId="71F1A235" w14:textId="77777777" w:rsidR="00D170E5" w:rsidRPr="002B55E9" w:rsidRDefault="00EF27AD">
            <w:pPr>
              <w:pStyle w:val="lgy-"/>
            </w:pPr>
            <w:r w:rsidRPr="002B55E9">
              <w:rPr>
                <w:rFonts w:eastAsia="宋体" w:hint="eastAsia"/>
              </w:rPr>
              <w:t>3.04</w:t>
            </w:r>
            <w:r w:rsidRPr="002B55E9">
              <w:rPr>
                <w:rFonts w:eastAsia="宋体"/>
              </w:rPr>
              <w:t>%</w:t>
            </w:r>
          </w:p>
        </w:tc>
        <w:tc>
          <w:tcPr>
            <w:tcW w:w="1035" w:type="dxa"/>
          </w:tcPr>
          <w:p w14:paraId="5DE8AE9B" w14:textId="77777777" w:rsidR="00D170E5" w:rsidRPr="002B55E9" w:rsidRDefault="00EF27AD">
            <w:pPr>
              <w:pStyle w:val="lgy-"/>
            </w:pPr>
            <w:r w:rsidRPr="002B55E9">
              <w:rPr>
                <w:rFonts w:eastAsia="宋体" w:hint="eastAsia"/>
              </w:rPr>
              <w:t>0</w:t>
            </w:r>
          </w:p>
        </w:tc>
        <w:tc>
          <w:tcPr>
            <w:tcW w:w="796" w:type="dxa"/>
          </w:tcPr>
          <w:p w14:paraId="427F6B1E" w14:textId="77777777" w:rsidR="00D170E5" w:rsidRPr="002B55E9" w:rsidRDefault="00EF27AD">
            <w:pPr>
              <w:pStyle w:val="lgy-"/>
              <w:rPr>
                <w:rFonts w:eastAsia="宋体"/>
              </w:rPr>
            </w:pPr>
            <w:r w:rsidRPr="002B55E9">
              <w:rPr>
                <w:rFonts w:eastAsia="宋体" w:hint="eastAsia"/>
              </w:rPr>
              <w:t>达标</w:t>
            </w:r>
          </w:p>
        </w:tc>
      </w:tr>
      <w:tr w:rsidR="002B55E9" w:rsidRPr="002B55E9" w14:paraId="0061E6AA" w14:textId="77777777" w:rsidTr="00EF27AD">
        <w:trPr>
          <w:trHeight w:val="283"/>
        </w:trPr>
        <w:tc>
          <w:tcPr>
            <w:tcW w:w="762" w:type="dxa"/>
            <w:vMerge w:val="restart"/>
          </w:tcPr>
          <w:p w14:paraId="1EE3D29B" w14:textId="77777777" w:rsidR="00D170E5" w:rsidRPr="002B55E9" w:rsidRDefault="00EF27AD">
            <w:pPr>
              <w:pStyle w:val="lgy-"/>
            </w:pPr>
            <w:r w:rsidRPr="002B55E9">
              <w:rPr>
                <w:rFonts w:eastAsia="宋体" w:hint="eastAsia"/>
              </w:rPr>
              <w:t>2</w:t>
            </w:r>
            <w:r w:rsidRPr="002B55E9">
              <w:rPr>
                <w:rFonts w:eastAsia="宋体"/>
              </w:rPr>
              <w:t>#</w:t>
            </w:r>
            <w:r w:rsidRPr="002B55E9">
              <w:rPr>
                <w:rFonts w:eastAsia="宋体" w:hint="eastAsia"/>
              </w:rPr>
              <w:t>孙家湾新村</w:t>
            </w:r>
          </w:p>
        </w:tc>
        <w:tc>
          <w:tcPr>
            <w:tcW w:w="1243" w:type="dxa"/>
            <w:vMerge w:val="restart"/>
          </w:tcPr>
          <w:p w14:paraId="25133790" w14:textId="77777777" w:rsidR="00D170E5" w:rsidRPr="002B55E9" w:rsidRDefault="00EF27AD">
            <w:pPr>
              <w:pStyle w:val="lgy-"/>
            </w:pPr>
            <w:r w:rsidRPr="002B55E9">
              <w:rPr>
                <w:rFonts w:eastAsia="宋体"/>
              </w:rPr>
              <w:t>113.98803821</w:t>
            </w:r>
          </w:p>
        </w:tc>
        <w:tc>
          <w:tcPr>
            <w:tcW w:w="1282" w:type="dxa"/>
            <w:vMerge w:val="restart"/>
          </w:tcPr>
          <w:p w14:paraId="6D474C14" w14:textId="77777777" w:rsidR="00D170E5" w:rsidRPr="002B55E9" w:rsidRDefault="00EF27AD">
            <w:pPr>
              <w:pStyle w:val="lgy-"/>
            </w:pPr>
            <w:r w:rsidRPr="002B55E9">
              <w:rPr>
                <w:rFonts w:eastAsia="宋体"/>
              </w:rPr>
              <w:t>30.66263287</w:t>
            </w:r>
          </w:p>
        </w:tc>
        <w:tc>
          <w:tcPr>
            <w:tcW w:w="1020" w:type="dxa"/>
          </w:tcPr>
          <w:p w14:paraId="633E8104" w14:textId="77777777" w:rsidR="00D170E5" w:rsidRPr="002B55E9" w:rsidRDefault="00EF27AD">
            <w:pPr>
              <w:pStyle w:val="lgy-"/>
            </w:pPr>
            <w:r w:rsidRPr="002B55E9">
              <w:rPr>
                <w:rFonts w:eastAsia="宋体" w:hint="eastAsia"/>
              </w:rPr>
              <w:t>TSP</w:t>
            </w:r>
          </w:p>
        </w:tc>
        <w:tc>
          <w:tcPr>
            <w:tcW w:w="1095" w:type="dxa"/>
          </w:tcPr>
          <w:p w14:paraId="6FE86A11" w14:textId="77777777" w:rsidR="00D170E5" w:rsidRPr="002B55E9" w:rsidRDefault="00EF27AD">
            <w:pPr>
              <w:pStyle w:val="lgy-"/>
            </w:pPr>
            <w:r w:rsidRPr="002B55E9">
              <w:rPr>
                <w:rFonts w:eastAsia="宋体" w:hint="eastAsia"/>
              </w:rPr>
              <w:t>0.3</w:t>
            </w:r>
          </w:p>
        </w:tc>
        <w:tc>
          <w:tcPr>
            <w:tcW w:w="1372" w:type="dxa"/>
          </w:tcPr>
          <w:p w14:paraId="4239F26E" w14:textId="77777777" w:rsidR="00D170E5" w:rsidRPr="002B55E9" w:rsidRDefault="00EF27AD">
            <w:pPr>
              <w:pStyle w:val="lgy-"/>
            </w:pPr>
            <w:r w:rsidRPr="002B55E9">
              <w:rPr>
                <w:rFonts w:eastAsia="宋体" w:hint="eastAsia"/>
              </w:rPr>
              <w:t>0.005</w:t>
            </w:r>
            <w:r w:rsidRPr="002B55E9">
              <w:rPr>
                <w:rFonts w:eastAsia="宋体"/>
              </w:rPr>
              <w:t>~0.01</w:t>
            </w:r>
          </w:p>
        </w:tc>
        <w:tc>
          <w:tcPr>
            <w:tcW w:w="1033" w:type="dxa"/>
          </w:tcPr>
          <w:p w14:paraId="4416414C" w14:textId="77777777" w:rsidR="00D170E5" w:rsidRPr="002B55E9" w:rsidRDefault="00EF27AD">
            <w:pPr>
              <w:pStyle w:val="lgy-"/>
            </w:pPr>
            <w:r w:rsidRPr="002B55E9">
              <w:rPr>
                <w:rFonts w:eastAsia="宋体" w:hint="eastAsia"/>
              </w:rPr>
              <w:t>3.33</w:t>
            </w:r>
            <w:r w:rsidRPr="002B55E9">
              <w:rPr>
                <w:rFonts w:eastAsia="宋体"/>
              </w:rPr>
              <w:t>%</w:t>
            </w:r>
          </w:p>
        </w:tc>
        <w:tc>
          <w:tcPr>
            <w:tcW w:w="1035" w:type="dxa"/>
          </w:tcPr>
          <w:p w14:paraId="24D3EA8F" w14:textId="77777777" w:rsidR="00D170E5" w:rsidRPr="002B55E9" w:rsidRDefault="00EF27AD">
            <w:pPr>
              <w:pStyle w:val="lgy-"/>
            </w:pPr>
            <w:r w:rsidRPr="002B55E9">
              <w:rPr>
                <w:rFonts w:eastAsia="宋体" w:hint="eastAsia"/>
              </w:rPr>
              <w:t>0</w:t>
            </w:r>
          </w:p>
        </w:tc>
        <w:tc>
          <w:tcPr>
            <w:tcW w:w="796" w:type="dxa"/>
          </w:tcPr>
          <w:p w14:paraId="70DA43A4" w14:textId="77777777" w:rsidR="00D170E5" w:rsidRPr="002B55E9" w:rsidRDefault="00EF27AD">
            <w:pPr>
              <w:pStyle w:val="lgy-"/>
              <w:rPr>
                <w:rFonts w:eastAsia="宋体"/>
              </w:rPr>
            </w:pPr>
            <w:r w:rsidRPr="002B55E9">
              <w:rPr>
                <w:rFonts w:eastAsia="宋体" w:hint="eastAsia"/>
              </w:rPr>
              <w:t>达标</w:t>
            </w:r>
          </w:p>
        </w:tc>
      </w:tr>
      <w:tr w:rsidR="002B55E9" w:rsidRPr="002B55E9" w14:paraId="352200C4" w14:textId="77777777" w:rsidTr="00EF27AD">
        <w:trPr>
          <w:trHeight w:val="283"/>
        </w:trPr>
        <w:tc>
          <w:tcPr>
            <w:tcW w:w="762" w:type="dxa"/>
            <w:vMerge/>
          </w:tcPr>
          <w:p w14:paraId="46DAB371" w14:textId="77777777" w:rsidR="00D170E5" w:rsidRPr="002B55E9" w:rsidRDefault="00D170E5">
            <w:pPr>
              <w:pStyle w:val="lgy-"/>
            </w:pPr>
          </w:p>
        </w:tc>
        <w:tc>
          <w:tcPr>
            <w:tcW w:w="1243" w:type="dxa"/>
            <w:vMerge/>
          </w:tcPr>
          <w:p w14:paraId="4F22CBEB" w14:textId="77777777" w:rsidR="00D170E5" w:rsidRPr="002B55E9" w:rsidRDefault="00D170E5">
            <w:pPr>
              <w:pStyle w:val="lgy-"/>
            </w:pPr>
          </w:p>
        </w:tc>
        <w:tc>
          <w:tcPr>
            <w:tcW w:w="1282" w:type="dxa"/>
            <w:vMerge/>
          </w:tcPr>
          <w:p w14:paraId="04F5E4BF" w14:textId="77777777" w:rsidR="00D170E5" w:rsidRPr="002B55E9" w:rsidRDefault="00D170E5">
            <w:pPr>
              <w:pStyle w:val="lgy-"/>
            </w:pPr>
          </w:p>
        </w:tc>
        <w:tc>
          <w:tcPr>
            <w:tcW w:w="1020" w:type="dxa"/>
          </w:tcPr>
          <w:p w14:paraId="685515DA" w14:textId="77777777" w:rsidR="00D170E5" w:rsidRPr="002B55E9" w:rsidRDefault="00EF27AD">
            <w:pPr>
              <w:pStyle w:val="lgy-"/>
            </w:pPr>
            <w:r w:rsidRPr="002B55E9">
              <w:rPr>
                <w:rFonts w:eastAsia="宋体" w:hint="eastAsia"/>
              </w:rPr>
              <w:t>氯化氢</w:t>
            </w:r>
          </w:p>
        </w:tc>
        <w:tc>
          <w:tcPr>
            <w:tcW w:w="1095" w:type="dxa"/>
          </w:tcPr>
          <w:p w14:paraId="23343B51" w14:textId="77777777" w:rsidR="00D170E5" w:rsidRPr="002B55E9" w:rsidRDefault="00EF27AD">
            <w:pPr>
              <w:pStyle w:val="lgy-"/>
            </w:pPr>
            <w:r w:rsidRPr="002B55E9">
              <w:rPr>
                <w:rFonts w:eastAsia="宋体" w:hint="eastAsia"/>
              </w:rPr>
              <w:t>15</w:t>
            </w:r>
          </w:p>
        </w:tc>
        <w:tc>
          <w:tcPr>
            <w:tcW w:w="1372" w:type="dxa"/>
          </w:tcPr>
          <w:p w14:paraId="25D45437" w14:textId="77777777" w:rsidR="00D170E5" w:rsidRPr="002B55E9" w:rsidRDefault="00EF27AD">
            <w:pPr>
              <w:pStyle w:val="lgy-"/>
            </w:pPr>
            <w:r w:rsidRPr="002B55E9">
              <w:rPr>
                <w:rFonts w:eastAsia="宋体" w:hint="eastAsia"/>
              </w:rPr>
              <w:t>ND</w:t>
            </w:r>
          </w:p>
        </w:tc>
        <w:tc>
          <w:tcPr>
            <w:tcW w:w="1033" w:type="dxa"/>
          </w:tcPr>
          <w:p w14:paraId="5DAF87E3" w14:textId="77777777" w:rsidR="00D170E5" w:rsidRPr="002B55E9" w:rsidRDefault="00EF27AD">
            <w:pPr>
              <w:pStyle w:val="lgy-"/>
            </w:pPr>
            <w:r w:rsidRPr="002B55E9">
              <w:rPr>
                <w:rFonts w:eastAsia="宋体" w:hint="eastAsia"/>
              </w:rPr>
              <w:t>/</w:t>
            </w:r>
          </w:p>
        </w:tc>
        <w:tc>
          <w:tcPr>
            <w:tcW w:w="1035" w:type="dxa"/>
          </w:tcPr>
          <w:p w14:paraId="31FCFB5D" w14:textId="77777777" w:rsidR="00D170E5" w:rsidRPr="002B55E9" w:rsidRDefault="00EF27AD">
            <w:pPr>
              <w:pStyle w:val="lgy-"/>
            </w:pPr>
            <w:r w:rsidRPr="002B55E9">
              <w:rPr>
                <w:rFonts w:eastAsia="宋体" w:hint="eastAsia"/>
              </w:rPr>
              <w:t>/</w:t>
            </w:r>
          </w:p>
        </w:tc>
        <w:tc>
          <w:tcPr>
            <w:tcW w:w="796" w:type="dxa"/>
          </w:tcPr>
          <w:p w14:paraId="5143E7D7" w14:textId="77777777" w:rsidR="00D170E5" w:rsidRPr="002B55E9" w:rsidRDefault="00EF27AD">
            <w:pPr>
              <w:pStyle w:val="lgy-"/>
              <w:rPr>
                <w:rFonts w:eastAsia="宋体"/>
              </w:rPr>
            </w:pPr>
            <w:r w:rsidRPr="002B55E9">
              <w:rPr>
                <w:rFonts w:eastAsia="宋体" w:hint="eastAsia"/>
              </w:rPr>
              <w:t>达标</w:t>
            </w:r>
          </w:p>
        </w:tc>
      </w:tr>
      <w:tr w:rsidR="002B55E9" w:rsidRPr="002B55E9" w14:paraId="67987B68" w14:textId="77777777" w:rsidTr="00EF27AD">
        <w:trPr>
          <w:trHeight w:val="283"/>
        </w:trPr>
        <w:tc>
          <w:tcPr>
            <w:tcW w:w="762" w:type="dxa"/>
            <w:vMerge/>
          </w:tcPr>
          <w:p w14:paraId="74843AFD" w14:textId="77777777" w:rsidR="00D170E5" w:rsidRPr="002B55E9" w:rsidRDefault="00D170E5">
            <w:pPr>
              <w:pStyle w:val="lgy-"/>
            </w:pPr>
          </w:p>
        </w:tc>
        <w:tc>
          <w:tcPr>
            <w:tcW w:w="1243" w:type="dxa"/>
            <w:vMerge/>
          </w:tcPr>
          <w:p w14:paraId="0FD7E94F" w14:textId="77777777" w:rsidR="00D170E5" w:rsidRPr="002B55E9" w:rsidRDefault="00D170E5">
            <w:pPr>
              <w:pStyle w:val="lgy-"/>
            </w:pPr>
          </w:p>
        </w:tc>
        <w:tc>
          <w:tcPr>
            <w:tcW w:w="1282" w:type="dxa"/>
            <w:vMerge/>
          </w:tcPr>
          <w:p w14:paraId="691E36AA" w14:textId="77777777" w:rsidR="00D170E5" w:rsidRPr="002B55E9" w:rsidRDefault="00D170E5">
            <w:pPr>
              <w:pStyle w:val="lgy-"/>
            </w:pPr>
          </w:p>
        </w:tc>
        <w:tc>
          <w:tcPr>
            <w:tcW w:w="1020" w:type="dxa"/>
          </w:tcPr>
          <w:p w14:paraId="47241616" w14:textId="77777777" w:rsidR="00D170E5" w:rsidRPr="002B55E9" w:rsidRDefault="00EF27AD">
            <w:pPr>
              <w:pStyle w:val="lgy-"/>
            </w:pPr>
            <w:r w:rsidRPr="002B55E9">
              <w:rPr>
                <w:rFonts w:eastAsia="宋体" w:hint="eastAsia"/>
              </w:rPr>
              <w:t>硫酸雾</w:t>
            </w:r>
          </w:p>
        </w:tc>
        <w:tc>
          <w:tcPr>
            <w:tcW w:w="1095" w:type="dxa"/>
          </w:tcPr>
          <w:p w14:paraId="4E702D46" w14:textId="77777777" w:rsidR="00D170E5" w:rsidRPr="002B55E9" w:rsidRDefault="00EF27AD">
            <w:pPr>
              <w:pStyle w:val="lgy-"/>
            </w:pPr>
            <w:r w:rsidRPr="002B55E9">
              <w:rPr>
                <w:rFonts w:eastAsia="宋体" w:hint="eastAsia"/>
              </w:rPr>
              <w:t>0.1</w:t>
            </w:r>
          </w:p>
        </w:tc>
        <w:tc>
          <w:tcPr>
            <w:tcW w:w="1372" w:type="dxa"/>
          </w:tcPr>
          <w:p w14:paraId="4085A3C2" w14:textId="77777777" w:rsidR="00D170E5" w:rsidRPr="002B55E9" w:rsidRDefault="00EF27AD">
            <w:pPr>
              <w:pStyle w:val="lgy-"/>
            </w:pPr>
            <w:r w:rsidRPr="002B55E9">
              <w:rPr>
                <w:rFonts w:eastAsia="宋体" w:hint="eastAsia"/>
              </w:rPr>
              <w:t>0.00677</w:t>
            </w:r>
            <w:r w:rsidRPr="002B55E9">
              <w:rPr>
                <w:rFonts w:eastAsia="宋体"/>
              </w:rPr>
              <w:t>~0.00881</w:t>
            </w:r>
          </w:p>
        </w:tc>
        <w:tc>
          <w:tcPr>
            <w:tcW w:w="1033" w:type="dxa"/>
          </w:tcPr>
          <w:p w14:paraId="61E80E55" w14:textId="77777777" w:rsidR="00D170E5" w:rsidRPr="002B55E9" w:rsidRDefault="00EF27AD">
            <w:pPr>
              <w:pStyle w:val="lgy-"/>
            </w:pPr>
            <w:r w:rsidRPr="002B55E9">
              <w:rPr>
                <w:rFonts w:eastAsia="宋体" w:hint="eastAsia"/>
              </w:rPr>
              <w:t>8.81</w:t>
            </w:r>
            <w:r w:rsidRPr="002B55E9">
              <w:rPr>
                <w:rFonts w:eastAsia="宋体"/>
              </w:rPr>
              <w:t>%</w:t>
            </w:r>
          </w:p>
        </w:tc>
        <w:tc>
          <w:tcPr>
            <w:tcW w:w="1035" w:type="dxa"/>
          </w:tcPr>
          <w:p w14:paraId="1E7AD050" w14:textId="77777777" w:rsidR="00D170E5" w:rsidRPr="002B55E9" w:rsidRDefault="00EF27AD">
            <w:pPr>
              <w:pStyle w:val="lgy-"/>
            </w:pPr>
            <w:r w:rsidRPr="002B55E9">
              <w:rPr>
                <w:rFonts w:eastAsia="宋体" w:hint="eastAsia"/>
              </w:rPr>
              <w:t>0</w:t>
            </w:r>
          </w:p>
        </w:tc>
        <w:tc>
          <w:tcPr>
            <w:tcW w:w="796" w:type="dxa"/>
          </w:tcPr>
          <w:p w14:paraId="68964315" w14:textId="77777777" w:rsidR="00D170E5" w:rsidRPr="002B55E9" w:rsidRDefault="00EF27AD">
            <w:pPr>
              <w:pStyle w:val="lgy-"/>
              <w:rPr>
                <w:rFonts w:eastAsia="宋体"/>
              </w:rPr>
            </w:pPr>
            <w:r w:rsidRPr="002B55E9">
              <w:rPr>
                <w:rFonts w:eastAsia="宋体" w:hint="eastAsia"/>
              </w:rPr>
              <w:t>达标</w:t>
            </w:r>
          </w:p>
        </w:tc>
      </w:tr>
    </w:tbl>
    <w:p w14:paraId="5FC32B82" w14:textId="16C00281" w:rsidR="00D170E5" w:rsidRPr="002B55E9" w:rsidRDefault="00EF27AD">
      <w:pPr>
        <w:pStyle w:val="affff7"/>
        <w:snapToGrid w:val="0"/>
        <w:spacing w:after="0"/>
      </w:pPr>
      <w:r w:rsidRPr="002B55E9">
        <w:rPr>
          <w:rFonts w:hint="eastAsia"/>
          <w:bCs w:val="0"/>
        </w:rPr>
        <w:t>综上所述，项目所在区域</w:t>
      </w:r>
      <w:r w:rsidR="007E47F0" w:rsidRPr="002B55E9">
        <w:rPr>
          <w:rFonts w:hint="eastAsia"/>
          <w:bCs w:val="0"/>
        </w:rPr>
        <w:t>总挥发性有机物、硫酸、氯化氢、甲醛、非甲烷总烃、氨、硫化氢</w:t>
      </w:r>
      <w:r w:rsidRPr="002B55E9">
        <w:rPr>
          <w:rFonts w:hint="eastAsia"/>
          <w:bCs w:val="0"/>
        </w:rPr>
        <w:t>满足</w:t>
      </w:r>
      <w:r w:rsidRPr="002B55E9">
        <w:rPr>
          <w:bCs w:val="0"/>
        </w:rPr>
        <w:t>《环境影响评价技术导则</w:t>
      </w:r>
      <w:r w:rsidRPr="002B55E9">
        <w:rPr>
          <w:bCs w:val="0"/>
        </w:rPr>
        <w:t xml:space="preserve"> </w:t>
      </w:r>
      <w:r w:rsidRPr="002B55E9">
        <w:rPr>
          <w:bCs w:val="0"/>
        </w:rPr>
        <w:t>大气环境》</w:t>
      </w:r>
      <w:r w:rsidRPr="002B55E9">
        <w:rPr>
          <w:rFonts w:hint="eastAsia"/>
          <w:bCs w:val="0"/>
        </w:rPr>
        <w:t>（</w:t>
      </w:r>
      <w:r w:rsidRPr="002B55E9">
        <w:rPr>
          <w:rFonts w:hint="eastAsia"/>
          <w:bCs w:val="0"/>
        </w:rPr>
        <w:t>HJ2.2-2018</w:t>
      </w:r>
      <w:r w:rsidRPr="002B55E9">
        <w:rPr>
          <w:rFonts w:hint="eastAsia"/>
          <w:bCs w:val="0"/>
        </w:rPr>
        <w:t>）附录</w:t>
      </w:r>
      <w:r w:rsidRPr="002B55E9">
        <w:rPr>
          <w:rFonts w:hint="eastAsia"/>
          <w:bCs w:val="0"/>
        </w:rPr>
        <w:t>D</w:t>
      </w:r>
      <w:r w:rsidRPr="002B55E9">
        <w:rPr>
          <w:rFonts w:hint="eastAsia"/>
          <w:bCs w:val="0"/>
        </w:rPr>
        <w:t>中污染物浓度限值</w:t>
      </w:r>
      <w:r w:rsidRPr="002B55E9">
        <w:rPr>
          <w:rFonts w:hint="eastAsia"/>
        </w:rPr>
        <w:t>，</w:t>
      </w:r>
      <w:r w:rsidRPr="002B55E9">
        <w:t>TSP</w:t>
      </w:r>
      <w:r w:rsidRPr="002B55E9">
        <w:rPr>
          <w:rFonts w:hint="eastAsia"/>
        </w:rPr>
        <w:t>满足《环境</w:t>
      </w:r>
      <w:r w:rsidRPr="002B55E9">
        <w:t>空气质量标准</w:t>
      </w:r>
      <w:r w:rsidRPr="002B55E9">
        <w:rPr>
          <w:rFonts w:hint="eastAsia"/>
        </w:rPr>
        <w:t>》（</w:t>
      </w:r>
      <w:r w:rsidRPr="002B55E9">
        <w:rPr>
          <w:rFonts w:hint="eastAsia"/>
        </w:rPr>
        <w:t>GB3095-2012</w:t>
      </w:r>
      <w:r w:rsidRPr="002B55E9">
        <w:rPr>
          <w:rFonts w:hint="eastAsia"/>
        </w:rPr>
        <w:t>）中</w:t>
      </w:r>
      <w:r w:rsidRPr="002B55E9">
        <w:t>的二级标准</w:t>
      </w:r>
      <w:r w:rsidRPr="002B55E9">
        <w:rPr>
          <w:rFonts w:hint="eastAsia"/>
        </w:rPr>
        <w:t>。</w:t>
      </w:r>
      <w:r w:rsidR="00A23DFA" w:rsidRPr="002B55E9">
        <w:rPr>
          <w:rFonts w:hint="eastAsia"/>
        </w:rPr>
        <w:t>非甲烷总烃可以满足《大气污染综合排放标准详解》中推荐的小时标准限值的要求。</w:t>
      </w:r>
    </w:p>
    <w:p w14:paraId="5D68F530" w14:textId="77777777" w:rsidR="00D170E5" w:rsidRPr="002B55E9" w:rsidRDefault="00EF27AD">
      <w:pPr>
        <w:pStyle w:val="4"/>
        <w:numPr>
          <w:ilvl w:val="3"/>
          <w:numId w:val="21"/>
        </w:numPr>
        <w:rPr>
          <w:color w:val="auto"/>
        </w:rPr>
      </w:pPr>
      <w:r w:rsidRPr="002B55E9">
        <w:rPr>
          <w:color w:val="auto"/>
        </w:rPr>
        <w:t>地表水</w:t>
      </w:r>
      <w:bookmarkEnd w:id="181"/>
      <w:bookmarkEnd w:id="182"/>
      <w:bookmarkEnd w:id="183"/>
      <w:bookmarkEnd w:id="184"/>
      <w:bookmarkEnd w:id="185"/>
      <w:bookmarkEnd w:id="186"/>
      <w:bookmarkEnd w:id="187"/>
      <w:bookmarkEnd w:id="188"/>
      <w:bookmarkEnd w:id="189"/>
    </w:p>
    <w:p w14:paraId="1E931FE9" w14:textId="77777777" w:rsidR="00D170E5" w:rsidRPr="002B55E9" w:rsidRDefault="00EF27AD">
      <w:pPr>
        <w:pStyle w:val="affff7"/>
        <w:spacing w:after="0"/>
      </w:pPr>
      <w:r w:rsidRPr="002B55E9">
        <w:rPr>
          <w:rFonts w:hint="eastAsia"/>
        </w:rPr>
        <w:lastRenderedPageBreak/>
        <w:t>项目废水的受纳水体为府河，最终受纳水体为长江武汉段。根据《武汉市地表水环境功能区类别》（鄂政办函</w:t>
      </w:r>
      <w:r w:rsidRPr="002B55E9">
        <w:rPr>
          <w:rFonts w:hint="eastAsia"/>
        </w:rPr>
        <w:t>[2000]74</w:t>
      </w:r>
      <w:r w:rsidRPr="002B55E9">
        <w:rPr>
          <w:rFonts w:hint="eastAsia"/>
        </w:rPr>
        <w:t>号）规定，府河为Ⅴ类水体，长江（武汉段）的功能类别为集中式生活饮用水源地二级保护区，为Ⅲ类水体，水质应执行《地表水环境质量标准》</w:t>
      </w:r>
      <w:r w:rsidRPr="002B55E9">
        <w:rPr>
          <w:rFonts w:hint="eastAsia"/>
        </w:rPr>
        <w:t>GB3838-2002</w:t>
      </w:r>
      <w:r w:rsidRPr="002B55E9">
        <w:rPr>
          <w:rFonts w:hint="eastAsia"/>
        </w:rPr>
        <w:t>中的Ⅲ类标准。</w:t>
      </w:r>
    </w:p>
    <w:p w14:paraId="0D3BEF96" w14:textId="559810DD" w:rsidR="00D170E5" w:rsidRPr="002B55E9" w:rsidRDefault="00EF27AD">
      <w:pPr>
        <w:pStyle w:val="affff7"/>
      </w:pPr>
      <w:r w:rsidRPr="002B55E9">
        <w:rPr>
          <w:rFonts w:hint="eastAsia"/>
        </w:rPr>
        <w:t>本次评价采用武汉市生态环境局发布的《</w:t>
      </w:r>
      <w:r w:rsidRPr="002B55E9">
        <w:rPr>
          <w:rFonts w:hint="eastAsia"/>
        </w:rPr>
        <w:t>2</w:t>
      </w:r>
      <w:r w:rsidRPr="002B55E9">
        <w:t>021</w:t>
      </w:r>
      <w:r w:rsidRPr="002B55E9">
        <w:rPr>
          <w:rFonts w:hint="eastAsia"/>
        </w:rPr>
        <w:t>年武汉市生态环境状况公报》中府河李家墩断面</w:t>
      </w:r>
      <w:r w:rsidR="007D6F87" w:rsidRPr="002B55E9">
        <w:rPr>
          <w:rFonts w:hint="eastAsia"/>
        </w:rPr>
        <w:t>、岱山大桥</w:t>
      </w:r>
      <w:r w:rsidR="00E27CA9" w:rsidRPr="002B55E9">
        <w:rPr>
          <w:rFonts w:hint="eastAsia"/>
        </w:rPr>
        <w:t>断面</w:t>
      </w:r>
      <w:r w:rsidRPr="002B55E9">
        <w:rPr>
          <w:rFonts w:hint="eastAsia"/>
        </w:rPr>
        <w:t>、朱家河口断面的统计数据进行地表水环境质量分析评价，结果见下表。</w:t>
      </w:r>
    </w:p>
    <w:p w14:paraId="4F62FAF9" w14:textId="77777777" w:rsidR="00D170E5" w:rsidRPr="002B55E9" w:rsidRDefault="00EF27AD">
      <w:pPr>
        <w:snapToGrid w:val="0"/>
        <w:jc w:val="center"/>
        <w:rPr>
          <w:rFonts w:eastAsia="黑体" w:hAnsi="黑体"/>
          <w:b/>
          <w:sz w:val="24"/>
        </w:rPr>
      </w:pPr>
      <w:r w:rsidRPr="002B55E9">
        <w:rPr>
          <w:rFonts w:eastAsia="黑体" w:hAnsi="黑体" w:hint="eastAsia"/>
          <w:b/>
          <w:sz w:val="24"/>
        </w:rPr>
        <w:t>表</w:t>
      </w:r>
      <w:r w:rsidRPr="002B55E9">
        <w:rPr>
          <w:rFonts w:eastAsia="黑体" w:hint="eastAsia"/>
          <w:b/>
          <w:sz w:val="24"/>
        </w:rPr>
        <w:t>4</w:t>
      </w:r>
      <w:r w:rsidRPr="002B55E9">
        <w:rPr>
          <w:rFonts w:eastAsia="黑体" w:hAnsi="黑体" w:hint="eastAsia"/>
          <w:b/>
          <w:sz w:val="24"/>
        </w:rPr>
        <w:t>-</w:t>
      </w:r>
      <w:r w:rsidRPr="002B55E9">
        <w:rPr>
          <w:rFonts w:eastAsia="黑体" w:hint="eastAsia"/>
          <w:b/>
          <w:sz w:val="24"/>
        </w:rPr>
        <w:t>2</w:t>
      </w:r>
      <w:r w:rsidRPr="002B55E9">
        <w:rPr>
          <w:rFonts w:eastAsia="黑体" w:hAnsi="黑体" w:hint="eastAsia"/>
          <w:b/>
          <w:sz w:val="24"/>
        </w:rPr>
        <w:t>-</w:t>
      </w:r>
      <w:r w:rsidRPr="002B55E9">
        <w:rPr>
          <w:rFonts w:eastAsia="黑体"/>
          <w:b/>
          <w:sz w:val="24"/>
        </w:rPr>
        <w:t>5</w:t>
      </w:r>
      <w:r w:rsidRPr="002B55E9">
        <w:rPr>
          <w:rFonts w:eastAsia="黑体" w:hAnsi="黑体" w:hint="eastAsia"/>
          <w:b/>
          <w:sz w:val="24"/>
        </w:rPr>
        <w:t xml:space="preserve">  </w:t>
      </w:r>
      <w:r w:rsidRPr="002B55E9">
        <w:rPr>
          <w:rFonts w:eastAsia="黑体"/>
          <w:b/>
          <w:sz w:val="24"/>
        </w:rPr>
        <w:t>2021</w:t>
      </w:r>
      <w:r w:rsidRPr="002B55E9">
        <w:rPr>
          <w:rFonts w:eastAsia="黑体" w:hAnsi="黑体"/>
          <w:b/>
          <w:sz w:val="24"/>
        </w:rPr>
        <w:t>年</w:t>
      </w:r>
      <w:r w:rsidRPr="002B55E9">
        <w:rPr>
          <w:rFonts w:eastAsia="黑体" w:hAnsi="黑体" w:hint="eastAsia"/>
          <w:b/>
          <w:sz w:val="24"/>
        </w:rPr>
        <w:t>府河</w:t>
      </w:r>
      <w:r w:rsidRPr="002B55E9">
        <w:rPr>
          <w:rFonts w:eastAsia="黑体" w:hAnsi="黑体"/>
          <w:b/>
          <w:sz w:val="24"/>
        </w:rPr>
        <w:t>水质</w:t>
      </w:r>
      <w:r w:rsidRPr="002B55E9">
        <w:rPr>
          <w:rFonts w:eastAsia="黑体" w:hAnsi="黑体" w:hint="eastAsia"/>
          <w:b/>
          <w:sz w:val="24"/>
        </w:rPr>
        <w:t>监测结果一览表</w:t>
      </w:r>
    </w:p>
    <w:tbl>
      <w:tblPr>
        <w:tblStyle w:val="lgy2"/>
        <w:tblW w:w="5000" w:type="pct"/>
        <w:tblLayout w:type="fixed"/>
        <w:tblCellMar>
          <w:left w:w="28" w:type="dxa"/>
          <w:right w:w="28" w:type="dxa"/>
        </w:tblCellMar>
        <w:tblLook w:val="04A0" w:firstRow="1" w:lastRow="0" w:firstColumn="1" w:lastColumn="0" w:noHBand="0" w:noVBand="1"/>
      </w:tblPr>
      <w:tblGrid>
        <w:gridCol w:w="1182"/>
        <w:gridCol w:w="990"/>
        <w:gridCol w:w="991"/>
        <w:gridCol w:w="991"/>
        <w:gridCol w:w="1406"/>
        <w:gridCol w:w="1906"/>
        <w:gridCol w:w="2227"/>
      </w:tblGrid>
      <w:tr w:rsidR="002B55E9" w:rsidRPr="002B55E9" w14:paraId="254FD092"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176" w:type="dxa"/>
          </w:tcPr>
          <w:p w14:paraId="2343061D" w14:textId="77777777" w:rsidR="00D170E5" w:rsidRPr="002B55E9" w:rsidRDefault="00EF27AD" w:rsidP="00EF27AD">
            <w:pPr>
              <w:pStyle w:val="lgy-"/>
            </w:pPr>
            <w:r w:rsidRPr="002B55E9">
              <w:rPr>
                <w:rFonts w:eastAsia="宋体"/>
              </w:rPr>
              <w:t>河流名称</w:t>
            </w:r>
          </w:p>
        </w:tc>
        <w:tc>
          <w:tcPr>
            <w:tcW w:w="985" w:type="dxa"/>
          </w:tcPr>
          <w:p w14:paraId="5D4E5057" w14:textId="77777777" w:rsidR="00D170E5" w:rsidRPr="002B55E9" w:rsidRDefault="00EF27AD">
            <w:pPr>
              <w:pStyle w:val="lgy-"/>
            </w:pPr>
            <w:r w:rsidRPr="002B55E9">
              <w:rPr>
                <w:rFonts w:eastAsia="宋体"/>
              </w:rPr>
              <w:t>监测断面</w:t>
            </w:r>
          </w:p>
        </w:tc>
        <w:tc>
          <w:tcPr>
            <w:tcW w:w="985" w:type="dxa"/>
          </w:tcPr>
          <w:p w14:paraId="206CF03A" w14:textId="77777777" w:rsidR="00D170E5" w:rsidRPr="002B55E9" w:rsidRDefault="00EF27AD">
            <w:pPr>
              <w:pStyle w:val="lgy-"/>
            </w:pPr>
            <w:r w:rsidRPr="002B55E9">
              <w:rPr>
                <w:rFonts w:eastAsia="宋体"/>
              </w:rPr>
              <w:t>功能类别</w:t>
            </w:r>
          </w:p>
        </w:tc>
        <w:tc>
          <w:tcPr>
            <w:tcW w:w="985" w:type="dxa"/>
          </w:tcPr>
          <w:p w14:paraId="0E4893A6" w14:textId="77777777" w:rsidR="00D170E5" w:rsidRPr="002B55E9" w:rsidRDefault="00EF27AD">
            <w:pPr>
              <w:pStyle w:val="lgy-"/>
            </w:pPr>
            <w:r w:rsidRPr="002B55E9">
              <w:rPr>
                <w:rFonts w:eastAsia="宋体"/>
              </w:rPr>
              <w:t>水质现状</w:t>
            </w:r>
          </w:p>
        </w:tc>
        <w:tc>
          <w:tcPr>
            <w:tcW w:w="1398" w:type="dxa"/>
          </w:tcPr>
          <w:p w14:paraId="11551216" w14:textId="77777777" w:rsidR="00D170E5" w:rsidRPr="002B55E9" w:rsidRDefault="00EF27AD">
            <w:pPr>
              <w:pStyle w:val="lgy-"/>
            </w:pPr>
            <w:r w:rsidRPr="002B55E9">
              <w:rPr>
                <w:rFonts w:eastAsia="宋体"/>
              </w:rPr>
              <w:t>达标情况</w:t>
            </w:r>
          </w:p>
        </w:tc>
        <w:tc>
          <w:tcPr>
            <w:tcW w:w="1895" w:type="dxa"/>
          </w:tcPr>
          <w:p w14:paraId="07A3941D" w14:textId="77777777" w:rsidR="00D170E5" w:rsidRPr="002B55E9" w:rsidRDefault="00EF27AD">
            <w:pPr>
              <w:pStyle w:val="lgy-"/>
            </w:pPr>
            <w:r w:rsidRPr="002B55E9">
              <w:rPr>
                <w:rFonts w:eastAsia="宋体"/>
              </w:rPr>
              <w:t>水质变化情况</w:t>
            </w:r>
          </w:p>
        </w:tc>
        <w:tc>
          <w:tcPr>
            <w:tcW w:w="2214" w:type="dxa"/>
          </w:tcPr>
          <w:p w14:paraId="2975BFE7" w14:textId="77777777" w:rsidR="00D170E5" w:rsidRPr="002B55E9" w:rsidRDefault="00EF27AD">
            <w:pPr>
              <w:pStyle w:val="lgy-"/>
              <w:rPr>
                <w:rFonts w:eastAsia="宋体"/>
              </w:rPr>
            </w:pPr>
            <w:r w:rsidRPr="002B55E9">
              <w:rPr>
                <w:rFonts w:eastAsia="宋体"/>
              </w:rPr>
              <w:t>超标项目及倍数</w:t>
            </w:r>
          </w:p>
        </w:tc>
      </w:tr>
      <w:tr w:rsidR="002B55E9" w:rsidRPr="002B55E9" w14:paraId="6BEB751B" w14:textId="77777777" w:rsidTr="00EF27AD">
        <w:trPr>
          <w:trHeight w:val="283"/>
        </w:trPr>
        <w:tc>
          <w:tcPr>
            <w:tcW w:w="1176" w:type="dxa"/>
            <w:vMerge w:val="restart"/>
          </w:tcPr>
          <w:p w14:paraId="020127BE" w14:textId="77777777" w:rsidR="00D170E5" w:rsidRPr="002B55E9" w:rsidRDefault="00EF27AD">
            <w:pPr>
              <w:pStyle w:val="lgy-"/>
            </w:pPr>
            <w:r w:rsidRPr="002B55E9">
              <w:rPr>
                <w:rFonts w:eastAsia="宋体"/>
              </w:rPr>
              <w:t>府河</w:t>
            </w:r>
            <w:r w:rsidRPr="002B55E9">
              <w:rPr>
                <w:rFonts w:eastAsia="宋体" w:hint="eastAsia"/>
              </w:rPr>
              <w:t>（黄花涝</w:t>
            </w:r>
            <w:r w:rsidRPr="002B55E9">
              <w:rPr>
                <w:rFonts w:eastAsia="宋体" w:hint="eastAsia"/>
              </w:rPr>
              <w:t>--</w:t>
            </w:r>
            <w:r w:rsidRPr="002B55E9">
              <w:rPr>
                <w:rFonts w:eastAsia="宋体" w:hint="eastAsia"/>
              </w:rPr>
              <w:t>入长江）</w:t>
            </w:r>
          </w:p>
        </w:tc>
        <w:tc>
          <w:tcPr>
            <w:tcW w:w="985" w:type="dxa"/>
          </w:tcPr>
          <w:p w14:paraId="015E4811" w14:textId="77777777" w:rsidR="00D170E5" w:rsidRPr="002B55E9" w:rsidRDefault="00EF27AD">
            <w:pPr>
              <w:pStyle w:val="lgy-"/>
            </w:pPr>
            <w:r w:rsidRPr="002B55E9">
              <w:rPr>
                <w:rFonts w:eastAsia="宋体"/>
              </w:rPr>
              <w:t>李家墩</w:t>
            </w:r>
          </w:p>
        </w:tc>
        <w:tc>
          <w:tcPr>
            <w:tcW w:w="985" w:type="dxa"/>
          </w:tcPr>
          <w:p w14:paraId="18FF75D1" w14:textId="77777777" w:rsidR="00D170E5" w:rsidRPr="002B55E9" w:rsidRDefault="00EF27AD">
            <w:pPr>
              <w:pStyle w:val="lgy-"/>
            </w:pPr>
            <w:r w:rsidRPr="002B55E9">
              <w:rPr>
                <w:rFonts w:eastAsia="宋体"/>
              </w:rPr>
              <w:t>V</w:t>
            </w:r>
          </w:p>
        </w:tc>
        <w:tc>
          <w:tcPr>
            <w:tcW w:w="985" w:type="dxa"/>
          </w:tcPr>
          <w:p w14:paraId="1B57A1E6" w14:textId="77777777" w:rsidR="00D170E5" w:rsidRPr="002B55E9" w:rsidRDefault="00EF27AD">
            <w:pPr>
              <w:pStyle w:val="lgy-"/>
            </w:pPr>
            <w:r w:rsidRPr="002B55E9">
              <w:rPr>
                <w:rFonts w:eastAsia="宋体" w:hint="eastAsia"/>
              </w:rPr>
              <w:t>Ⅲ</w:t>
            </w:r>
          </w:p>
        </w:tc>
        <w:tc>
          <w:tcPr>
            <w:tcW w:w="1398" w:type="dxa"/>
          </w:tcPr>
          <w:p w14:paraId="0BEAA624" w14:textId="77777777" w:rsidR="00D170E5" w:rsidRPr="002B55E9" w:rsidRDefault="00EF27AD">
            <w:pPr>
              <w:pStyle w:val="lgy-"/>
            </w:pPr>
            <w:r w:rsidRPr="002B55E9">
              <w:rPr>
                <w:rFonts w:eastAsia="宋体"/>
              </w:rPr>
              <w:t>达标</w:t>
            </w:r>
          </w:p>
        </w:tc>
        <w:tc>
          <w:tcPr>
            <w:tcW w:w="1895" w:type="dxa"/>
          </w:tcPr>
          <w:p w14:paraId="43F477DD" w14:textId="77777777" w:rsidR="00D170E5" w:rsidRPr="002B55E9" w:rsidRDefault="00EF27AD">
            <w:pPr>
              <w:pStyle w:val="lgy-"/>
            </w:pPr>
            <w:r w:rsidRPr="002B55E9">
              <w:rPr>
                <w:rFonts w:eastAsia="宋体" w:hint="eastAsia"/>
              </w:rPr>
              <w:t>好转</w:t>
            </w:r>
          </w:p>
        </w:tc>
        <w:tc>
          <w:tcPr>
            <w:tcW w:w="2214" w:type="dxa"/>
          </w:tcPr>
          <w:p w14:paraId="14A72963" w14:textId="77777777" w:rsidR="00D170E5" w:rsidRPr="002B55E9" w:rsidRDefault="00EF27AD">
            <w:pPr>
              <w:pStyle w:val="lgy-"/>
              <w:rPr>
                <w:rFonts w:eastAsia="宋体"/>
              </w:rPr>
            </w:pPr>
            <w:r w:rsidRPr="002B55E9">
              <w:rPr>
                <w:rFonts w:eastAsia="宋体"/>
              </w:rPr>
              <w:t>无</w:t>
            </w:r>
          </w:p>
        </w:tc>
      </w:tr>
      <w:tr w:rsidR="002B55E9" w:rsidRPr="002B55E9" w14:paraId="79F435A6" w14:textId="77777777" w:rsidTr="00EF27AD">
        <w:trPr>
          <w:trHeight w:val="283"/>
        </w:trPr>
        <w:tc>
          <w:tcPr>
            <w:tcW w:w="1176" w:type="dxa"/>
            <w:vMerge/>
          </w:tcPr>
          <w:p w14:paraId="42F88B36" w14:textId="77777777" w:rsidR="00D170E5" w:rsidRPr="002B55E9" w:rsidRDefault="00D170E5">
            <w:pPr>
              <w:pStyle w:val="lgy-"/>
            </w:pPr>
          </w:p>
        </w:tc>
        <w:tc>
          <w:tcPr>
            <w:tcW w:w="985" w:type="dxa"/>
          </w:tcPr>
          <w:p w14:paraId="540180F1" w14:textId="77777777" w:rsidR="00D170E5" w:rsidRPr="002B55E9" w:rsidRDefault="00EF27AD">
            <w:pPr>
              <w:pStyle w:val="lgy-"/>
            </w:pPr>
            <w:r w:rsidRPr="002B55E9">
              <w:rPr>
                <w:rFonts w:eastAsia="宋体"/>
              </w:rPr>
              <w:t>岱山大桥</w:t>
            </w:r>
          </w:p>
        </w:tc>
        <w:tc>
          <w:tcPr>
            <w:tcW w:w="985" w:type="dxa"/>
          </w:tcPr>
          <w:p w14:paraId="58BC6DB9" w14:textId="77777777" w:rsidR="00D170E5" w:rsidRPr="002B55E9" w:rsidRDefault="00EF27AD">
            <w:pPr>
              <w:pStyle w:val="lgy-"/>
            </w:pPr>
            <w:r w:rsidRPr="002B55E9">
              <w:rPr>
                <w:rFonts w:eastAsia="宋体"/>
              </w:rPr>
              <w:t>V</w:t>
            </w:r>
          </w:p>
        </w:tc>
        <w:tc>
          <w:tcPr>
            <w:tcW w:w="985" w:type="dxa"/>
          </w:tcPr>
          <w:p w14:paraId="4FCA39AF" w14:textId="77777777" w:rsidR="00D170E5" w:rsidRPr="002B55E9" w:rsidRDefault="00EF27AD">
            <w:pPr>
              <w:pStyle w:val="lgy-"/>
            </w:pPr>
            <w:r w:rsidRPr="002B55E9">
              <w:rPr>
                <w:rFonts w:eastAsia="宋体" w:hint="eastAsia"/>
              </w:rPr>
              <w:t>Ⅲ</w:t>
            </w:r>
          </w:p>
        </w:tc>
        <w:tc>
          <w:tcPr>
            <w:tcW w:w="1398" w:type="dxa"/>
          </w:tcPr>
          <w:p w14:paraId="1C13C27F" w14:textId="77777777" w:rsidR="00D170E5" w:rsidRPr="002B55E9" w:rsidRDefault="00EF27AD">
            <w:pPr>
              <w:pStyle w:val="lgy-"/>
            </w:pPr>
            <w:r w:rsidRPr="002B55E9">
              <w:rPr>
                <w:rFonts w:eastAsia="宋体"/>
              </w:rPr>
              <w:t>达标</w:t>
            </w:r>
          </w:p>
        </w:tc>
        <w:tc>
          <w:tcPr>
            <w:tcW w:w="1895" w:type="dxa"/>
          </w:tcPr>
          <w:p w14:paraId="3D194666" w14:textId="77777777" w:rsidR="00D170E5" w:rsidRPr="002B55E9" w:rsidRDefault="00EF27AD">
            <w:pPr>
              <w:pStyle w:val="lgy-"/>
            </w:pPr>
            <w:r w:rsidRPr="002B55E9">
              <w:rPr>
                <w:rFonts w:eastAsia="宋体" w:hint="eastAsia"/>
              </w:rPr>
              <w:t>好转</w:t>
            </w:r>
          </w:p>
        </w:tc>
        <w:tc>
          <w:tcPr>
            <w:tcW w:w="2214" w:type="dxa"/>
          </w:tcPr>
          <w:p w14:paraId="0DAE7CBE" w14:textId="77777777" w:rsidR="00D170E5" w:rsidRPr="002B55E9" w:rsidRDefault="00EF27AD">
            <w:pPr>
              <w:pStyle w:val="lgy-"/>
              <w:rPr>
                <w:rFonts w:eastAsia="宋体"/>
              </w:rPr>
            </w:pPr>
            <w:r w:rsidRPr="002B55E9">
              <w:rPr>
                <w:rFonts w:eastAsia="宋体"/>
              </w:rPr>
              <w:t>无</w:t>
            </w:r>
          </w:p>
        </w:tc>
      </w:tr>
      <w:tr w:rsidR="002B55E9" w:rsidRPr="002B55E9" w14:paraId="3704309C" w14:textId="77777777" w:rsidTr="00EF27AD">
        <w:trPr>
          <w:trHeight w:val="283"/>
        </w:trPr>
        <w:tc>
          <w:tcPr>
            <w:tcW w:w="1176" w:type="dxa"/>
            <w:vMerge/>
          </w:tcPr>
          <w:p w14:paraId="28BB1D17" w14:textId="77777777" w:rsidR="00D170E5" w:rsidRPr="002B55E9" w:rsidRDefault="00D170E5">
            <w:pPr>
              <w:pStyle w:val="lgy-"/>
            </w:pPr>
          </w:p>
        </w:tc>
        <w:tc>
          <w:tcPr>
            <w:tcW w:w="985" w:type="dxa"/>
          </w:tcPr>
          <w:p w14:paraId="2D57B188" w14:textId="77777777" w:rsidR="00D170E5" w:rsidRPr="002B55E9" w:rsidRDefault="00EF27AD">
            <w:pPr>
              <w:pStyle w:val="lgy-"/>
            </w:pPr>
            <w:r w:rsidRPr="002B55E9">
              <w:rPr>
                <w:rFonts w:eastAsia="宋体"/>
              </w:rPr>
              <w:t>朱家河口</w:t>
            </w:r>
          </w:p>
        </w:tc>
        <w:tc>
          <w:tcPr>
            <w:tcW w:w="985" w:type="dxa"/>
          </w:tcPr>
          <w:p w14:paraId="18426E66" w14:textId="77777777" w:rsidR="00D170E5" w:rsidRPr="002B55E9" w:rsidRDefault="00EF27AD">
            <w:pPr>
              <w:pStyle w:val="lgy-"/>
            </w:pPr>
            <w:r w:rsidRPr="002B55E9">
              <w:rPr>
                <w:rFonts w:eastAsia="宋体"/>
              </w:rPr>
              <w:t>V</w:t>
            </w:r>
          </w:p>
        </w:tc>
        <w:tc>
          <w:tcPr>
            <w:tcW w:w="985" w:type="dxa"/>
          </w:tcPr>
          <w:p w14:paraId="4791F72D" w14:textId="77777777" w:rsidR="00D170E5" w:rsidRPr="002B55E9" w:rsidRDefault="00EF27AD">
            <w:pPr>
              <w:pStyle w:val="lgy-"/>
            </w:pPr>
            <w:r w:rsidRPr="002B55E9">
              <w:rPr>
                <w:rFonts w:eastAsia="宋体" w:hint="eastAsia"/>
              </w:rPr>
              <w:t>Ⅳ</w:t>
            </w:r>
          </w:p>
        </w:tc>
        <w:tc>
          <w:tcPr>
            <w:tcW w:w="1398" w:type="dxa"/>
          </w:tcPr>
          <w:p w14:paraId="45C4550F" w14:textId="77777777" w:rsidR="00D170E5" w:rsidRPr="002B55E9" w:rsidRDefault="00EF27AD">
            <w:pPr>
              <w:pStyle w:val="lgy-"/>
            </w:pPr>
            <w:r w:rsidRPr="002B55E9">
              <w:rPr>
                <w:rFonts w:eastAsia="宋体"/>
              </w:rPr>
              <w:t>达标</w:t>
            </w:r>
          </w:p>
        </w:tc>
        <w:tc>
          <w:tcPr>
            <w:tcW w:w="1895" w:type="dxa"/>
          </w:tcPr>
          <w:p w14:paraId="180006E1" w14:textId="77777777" w:rsidR="00D170E5" w:rsidRPr="002B55E9" w:rsidRDefault="00EF27AD">
            <w:pPr>
              <w:pStyle w:val="lgy-"/>
            </w:pPr>
            <w:r w:rsidRPr="002B55E9">
              <w:rPr>
                <w:rFonts w:eastAsia="宋体"/>
              </w:rPr>
              <w:t>稳定</w:t>
            </w:r>
          </w:p>
        </w:tc>
        <w:tc>
          <w:tcPr>
            <w:tcW w:w="2214" w:type="dxa"/>
          </w:tcPr>
          <w:p w14:paraId="5414A4D4" w14:textId="77777777" w:rsidR="00D170E5" w:rsidRPr="002B55E9" w:rsidRDefault="00EF27AD">
            <w:pPr>
              <w:pStyle w:val="lgy-"/>
              <w:rPr>
                <w:rFonts w:eastAsia="宋体"/>
              </w:rPr>
            </w:pPr>
            <w:r w:rsidRPr="002B55E9">
              <w:rPr>
                <w:rFonts w:eastAsia="宋体"/>
              </w:rPr>
              <w:t>无</w:t>
            </w:r>
          </w:p>
        </w:tc>
      </w:tr>
    </w:tbl>
    <w:p w14:paraId="36C9911C"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由</w:t>
      </w:r>
      <w:r w:rsidRPr="002B55E9">
        <w:rPr>
          <w:rFonts w:hint="eastAsia"/>
          <w:bCs/>
          <w:snapToGrid w:val="0"/>
          <w:sz w:val="24"/>
        </w:rPr>
        <w:t>上表</w:t>
      </w:r>
      <w:r w:rsidRPr="002B55E9">
        <w:rPr>
          <w:bCs/>
          <w:snapToGrid w:val="0"/>
          <w:sz w:val="24"/>
        </w:rPr>
        <w:t>可知，</w:t>
      </w:r>
      <w:r w:rsidRPr="002B55E9">
        <w:rPr>
          <w:rFonts w:hint="eastAsia"/>
          <w:bCs/>
          <w:snapToGrid w:val="0"/>
          <w:sz w:val="24"/>
        </w:rPr>
        <w:t>拟建项目最终受纳水体府河（黄花涝</w:t>
      </w:r>
      <w:r w:rsidRPr="002B55E9">
        <w:rPr>
          <w:rFonts w:hint="eastAsia"/>
          <w:bCs/>
          <w:snapToGrid w:val="0"/>
          <w:sz w:val="24"/>
        </w:rPr>
        <w:t>--</w:t>
      </w:r>
      <w:r w:rsidRPr="002B55E9">
        <w:rPr>
          <w:rFonts w:hint="eastAsia"/>
          <w:bCs/>
          <w:snapToGrid w:val="0"/>
          <w:sz w:val="24"/>
        </w:rPr>
        <w:t>入长江）各断面</w:t>
      </w:r>
      <w:r w:rsidRPr="002B55E9">
        <w:rPr>
          <w:rFonts w:hint="eastAsia"/>
          <w:bCs/>
          <w:snapToGrid w:val="0"/>
          <w:sz w:val="24"/>
        </w:rPr>
        <w:t>2021</w:t>
      </w:r>
      <w:r w:rsidRPr="002B55E9">
        <w:rPr>
          <w:rFonts w:hint="eastAsia"/>
          <w:bCs/>
          <w:snapToGrid w:val="0"/>
          <w:sz w:val="24"/>
        </w:rPr>
        <w:t>年水质监测指标均能满足对应功能类别水质标准</w:t>
      </w:r>
      <w:r w:rsidRPr="002B55E9">
        <w:rPr>
          <w:bCs/>
          <w:snapToGrid w:val="0"/>
          <w:sz w:val="24"/>
        </w:rPr>
        <w:t>的要求</w:t>
      </w:r>
      <w:r w:rsidRPr="002B55E9">
        <w:rPr>
          <w:rFonts w:hint="eastAsia"/>
          <w:bCs/>
          <w:snapToGrid w:val="0"/>
          <w:sz w:val="24"/>
        </w:rPr>
        <w:t>。</w:t>
      </w:r>
    </w:p>
    <w:p w14:paraId="6DD0C11A" w14:textId="77777777" w:rsidR="00D170E5" w:rsidRPr="002B55E9" w:rsidRDefault="00EF27AD">
      <w:pPr>
        <w:pStyle w:val="4"/>
        <w:numPr>
          <w:ilvl w:val="3"/>
          <w:numId w:val="21"/>
        </w:numPr>
        <w:rPr>
          <w:color w:val="auto"/>
        </w:rPr>
      </w:pPr>
      <w:bookmarkStart w:id="190" w:name="_Toc105202701"/>
      <w:bookmarkStart w:id="191" w:name="_Toc115781853"/>
      <w:bookmarkStart w:id="192" w:name="_Toc223950484"/>
      <w:bookmarkStart w:id="193" w:name="_Toc111945665"/>
      <w:bookmarkStart w:id="194" w:name="_Toc115783086"/>
      <w:bookmarkStart w:id="195" w:name="_Toc113789384"/>
      <w:r w:rsidRPr="002B55E9">
        <w:rPr>
          <w:color w:val="auto"/>
        </w:rPr>
        <w:t>环境噪声</w:t>
      </w:r>
      <w:bookmarkEnd w:id="190"/>
      <w:bookmarkEnd w:id="191"/>
      <w:bookmarkEnd w:id="192"/>
      <w:bookmarkEnd w:id="193"/>
      <w:bookmarkEnd w:id="194"/>
      <w:bookmarkEnd w:id="195"/>
    </w:p>
    <w:p w14:paraId="7C8CEBCB" w14:textId="77777777" w:rsidR="00D170E5" w:rsidRPr="002B55E9" w:rsidRDefault="00EF27AD">
      <w:pPr>
        <w:pStyle w:val="affff7"/>
        <w:rPr>
          <w:szCs w:val="24"/>
        </w:rPr>
      </w:pPr>
      <w:r w:rsidRPr="002B55E9">
        <w:t>根据武汉市人民政府办公厅文件武政办</w:t>
      </w:r>
      <w:r w:rsidRPr="002B55E9">
        <w:t>[2019]12</w:t>
      </w:r>
      <w:r w:rsidRPr="002B55E9">
        <w:t>号《市人民政府办公厅关于印发武汉市声环境质量功能区类别规定的通知》规定，项目所在区域属</w:t>
      </w:r>
      <w:r w:rsidRPr="002B55E9">
        <w:t>2</w:t>
      </w:r>
      <w:r w:rsidRPr="002B55E9">
        <w:t>类区，</w:t>
      </w:r>
      <w:r w:rsidRPr="002B55E9">
        <w:rPr>
          <w:rFonts w:hint="eastAsia"/>
        </w:rPr>
        <w:t>应执行</w:t>
      </w:r>
      <w:r w:rsidRPr="002B55E9">
        <w:t>《声环境质量标准》（</w:t>
      </w:r>
      <w:r w:rsidRPr="002B55E9">
        <w:t>GB3096-2008</w:t>
      </w:r>
      <w:r w:rsidRPr="002B55E9">
        <w:t>）</w:t>
      </w:r>
      <w:r w:rsidRPr="002B55E9">
        <w:t>2</w:t>
      </w:r>
      <w:r w:rsidRPr="002B55E9">
        <w:rPr>
          <w:rFonts w:hint="eastAsia"/>
        </w:rPr>
        <w:t>类标准，</w:t>
      </w:r>
      <w:r w:rsidRPr="002B55E9">
        <w:t>即昼间不超过</w:t>
      </w:r>
      <w:r w:rsidRPr="002B55E9">
        <w:t>60dB(A)</w:t>
      </w:r>
      <w:r w:rsidRPr="002B55E9">
        <w:t>，夜间不超过</w:t>
      </w:r>
      <w:r w:rsidRPr="002B55E9">
        <w:t>50dB(A)</w:t>
      </w:r>
      <w:r w:rsidRPr="002B55E9">
        <w:t>，</w:t>
      </w:r>
      <w:r w:rsidRPr="002B55E9">
        <w:rPr>
          <w:rFonts w:hint="eastAsia"/>
        </w:rPr>
        <w:t>东</w:t>
      </w:r>
      <w:r w:rsidRPr="002B55E9">
        <w:t>侧临近</w:t>
      </w:r>
      <w:r w:rsidRPr="002B55E9">
        <w:rPr>
          <w:rFonts w:hint="eastAsia"/>
        </w:rPr>
        <w:t>革新大道</w:t>
      </w:r>
      <w:r w:rsidRPr="002B55E9">
        <w:t>（武汉</w:t>
      </w:r>
      <w:r w:rsidRPr="002B55E9">
        <w:rPr>
          <w:rFonts w:hint="eastAsia"/>
        </w:rPr>
        <w:t>城市主干路</w:t>
      </w:r>
      <w:r w:rsidRPr="002B55E9">
        <w:t>）的厂界应满足《声环境质量标准》（</w:t>
      </w:r>
      <w:r w:rsidRPr="002B55E9">
        <w:t>GB3096-2008</w:t>
      </w:r>
      <w:r w:rsidRPr="002B55E9">
        <w:t>）</w:t>
      </w:r>
      <w:r w:rsidRPr="002B55E9">
        <w:t>4a</w:t>
      </w:r>
      <w:r w:rsidRPr="002B55E9">
        <w:t>类标准的要求</w:t>
      </w:r>
      <w:r w:rsidRPr="002B55E9">
        <w:rPr>
          <w:rFonts w:hint="eastAsia"/>
        </w:rPr>
        <w:t>，</w:t>
      </w:r>
      <w:r w:rsidRPr="002B55E9">
        <w:t>即昼间不超过</w:t>
      </w:r>
      <w:r w:rsidRPr="002B55E9">
        <w:rPr>
          <w:rFonts w:hint="eastAsia"/>
        </w:rPr>
        <w:t>70</w:t>
      </w:r>
      <w:r w:rsidRPr="002B55E9">
        <w:t>dB(A)</w:t>
      </w:r>
      <w:r w:rsidRPr="002B55E9">
        <w:t>，夜间不超过</w:t>
      </w:r>
      <w:r w:rsidRPr="002B55E9">
        <w:t>5</w:t>
      </w:r>
      <w:r w:rsidRPr="002B55E9">
        <w:rPr>
          <w:rFonts w:hint="eastAsia"/>
        </w:rPr>
        <w:t>5</w:t>
      </w:r>
      <w:r w:rsidRPr="002B55E9">
        <w:t>dB(A)</w:t>
      </w:r>
      <w:r w:rsidRPr="002B55E9">
        <w:rPr>
          <w:rFonts w:hint="eastAsia"/>
        </w:rPr>
        <w:t>。</w:t>
      </w:r>
    </w:p>
    <w:p w14:paraId="453EB392" w14:textId="77777777" w:rsidR="00D170E5" w:rsidRPr="002B55E9" w:rsidRDefault="00EF27AD">
      <w:pPr>
        <w:pStyle w:val="affff7"/>
        <w:rPr>
          <w:szCs w:val="24"/>
        </w:rPr>
      </w:pPr>
      <w:r w:rsidRPr="002B55E9">
        <w:rPr>
          <w:szCs w:val="24"/>
        </w:rPr>
        <w:t>本次评价</w:t>
      </w:r>
      <w:r w:rsidRPr="002B55E9">
        <w:rPr>
          <w:rFonts w:hint="eastAsia"/>
          <w:szCs w:val="24"/>
        </w:rPr>
        <w:t>委托湖北</w:t>
      </w:r>
      <w:r w:rsidRPr="002B55E9">
        <w:rPr>
          <w:szCs w:val="24"/>
        </w:rPr>
        <w:t>相融</w:t>
      </w:r>
      <w:r w:rsidRPr="002B55E9">
        <w:rPr>
          <w:rFonts w:hint="eastAsia"/>
          <w:szCs w:val="24"/>
        </w:rPr>
        <w:t>检测</w:t>
      </w:r>
      <w:r w:rsidRPr="002B55E9">
        <w:rPr>
          <w:szCs w:val="24"/>
        </w:rPr>
        <w:t>有限公司于</w:t>
      </w:r>
      <w:r w:rsidRPr="002B55E9">
        <w:rPr>
          <w:szCs w:val="24"/>
        </w:rPr>
        <w:t>2022</w:t>
      </w:r>
      <w:r w:rsidRPr="002B55E9">
        <w:rPr>
          <w:szCs w:val="24"/>
        </w:rPr>
        <w:t>年</w:t>
      </w:r>
      <w:r w:rsidRPr="002B55E9">
        <w:rPr>
          <w:szCs w:val="24"/>
        </w:rPr>
        <w:t>6</w:t>
      </w:r>
      <w:r w:rsidRPr="002B55E9">
        <w:rPr>
          <w:rFonts w:hint="eastAsia"/>
          <w:szCs w:val="24"/>
        </w:rPr>
        <w:t>月</w:t>
      </w:r>
      <w:r w:rsidRPr="002B55E9">
        <w:rPr>
          <w:rFonts w:hint="eastAsia"/>
          <w:szCs w:val="24"/>
        </w:rPr>
        <w:t>16</w:t>
      </w:r>
      <w:r w:rsidRPr="002B55E9">
        <w:rPr>
          <w:rFonts w:hint="eastAsia"/>
          <w:szCs w:val="24"/>
        </w:rPr>
        <w:t>日、</w:t>
      </w:r>
      <w:r w:rsidRPr="002B55E9">
        <w:rPr>
          <w:rFonts w:hint="eastAsia"/>
          <w:szCs w:val="24"/>
        </w:rPr>
        <w:t>6</w:t>
      </w:r>
      <w:r w:rsidRPr="002B55E9">
        <w:rPr>
          <w:rFonts w:hint="eastAsia"/>
          <w:szCs w:val="24"/>
        </w:rPr>
        <w:t>月</w:t>
      </w:r>
      <w:r w:rsidRPr="002B55E9">
        <w:rPr>
          <w:rFonts w:hint="eastAsia"/>
          <w:szCs w:val="24"/>
        </w:rPr>
        <w:t>17</w:t>
      </w:r>
      <w:r w:rsidRPr="002B55E9">
        <w:rPr>
          <w:rFonts w:hint="eastAsia"/>
          <w:szCs w:val="24"/>
        </w:rPr>
        <w:t>日对项目四周</w:t>
      </w:r>
      <w:r w:rsidRPr="002B55E9">
        <w:rPr>
          <w:szCs w:val="24"/>
        </w:rPr>
        <w:t>环境噪声现状进行了现场监测。按照《声环境质量标准》（</w:t>
      </w:r>
      <w:r w:rsidRPr="002B55E9">
        <w:rPr>
          <w:szCs w:val="24"/>
        </w:rPr>
        <w:t>GB3096-2008</w:t>
      </w:r>
      <w:r w:rsidRPr="002B55E9">
        <w:rPr>
          <w:szCs w:val="24"/>
        </w:rPr>
        <w:t>）中有关规定，</w:t>
      </w:r>
      <w:r w:rsidRPr="002B55E9">
        <w:rPr>
          <w:rFonts w:hint="eastAsia"/>
          <w:szCs w:val="24"/>
        </w:rPr>
        <w:t>共</w:t>
      </w:r>
      <w:r w:rsidRPr="002B55E9">
        <w:rPr>
          <w:szCs w:val="24"/>
        </w:rPr>
        <w:t>布置</w:t>
      </w:r>
      <w:r w:rsidRPr="002B55E9">
        <w:rPr>
          <w:szCs w:val="24"/>
        </w:rPr>
        <w:t>6</w:t>
      </w:r>
      <w:r w:rsidRPr="002B55E9">
        <w:rPr>
          <w:szCs w:val="24"/>
        </w:rPr>
        <w:t>个现状监测点</w:t>
      </w:r>
      <w:r w:rsidRPr="002B55E9">
        <w:rPr>
          <w:rFonts w:hint="eastAsia"/>
          <w:szCs w:val="24"/>
        </w:rPr>
        <w:t>，</w:t>
      </w:r>
      <w:r w:rsidRPr="002B55E9">
        <w:rPr>
          <w:rFonts w:hint="eastAsia"/>
          <w:szCs w:val="21"/>
        </w:rPr>
        <w:t>监测点位见附图</w:t>
      </w:r>
      <w:r w:rsidRPr="002B55E9">
        <w:rPr>
          <w:rFonts w:hint="eastAsia"/>
          <w:szCs w:val="24"/>
        </w:rPr>
        <w:t>，</w:t>
      </w:r>
      <w:r w:rsidRPr="002B55E9">
        <w:rPr>
          <w:szCs w:val="24"/>
        </w:rPr>
        <w:t>监测结果见</w:t>
      </w:r>
      <w:r w:rsidRPr="002B55E9">
        <w:rPr>
          <w:rFonts w:hint="eastAsia"/>
          <w:szCs w:val="24"/>
        </w:rPr>
        <w:t>下</w:t>
      </w:r>
      <w:r w:rsidRPr="002B55E9">
        <w:rPr>
          <w:szCs w:val="24"/>
        </w:rPr>
        <w:t>表。</w:t>
      </w:r>
    </w:p>
    <w:p w14:paraId="117BC660" w14:textId="77777777" w:rsidR="00D170E5" w:rsidRPr="002B55E9" w:rsidRDefault="00EF27AD">
      <w:pPr>
        <w:pStyle w:val="1f3"/>
        <w:spacing w:beforeLines="0" w:before="0"/>
      </w:pPr>
      <w:r w:rsidRPr="002B55E9">
        <w:t>表</w:t>
      </w:r>
      <w:r w:rsidRPr="002B55E9">
        <w:t>4-</w:t>
      </w:r>
      <w:r w:rsidRPr="002B55E9">
        <w:rPr>
          <w:rFonts w:hint="eastAsia"/>
        </w:rPr>
        <w:t>2</w:t>
      </w:r>
      <w:r w:rsidRPr="002B55E9">
        <w:t>-</w:t>
      </w:r>
      <w:r w:rsidRPr="002B55E9">
        <w:rPr>
          <w:rFonts w:hint="eastAsia"/>
        </w:rPr>
        <w:t>6</w:t>
      </w:r>
      <w:r w:rsidRPr="002B55E9">
        <w:t xml:space="preserve">  </w:t>
      </w:r>
      <w:r w:rsidRPr="002B55E9">
        <w:t>场界及周围环境噪声监测及评价结果</w:t>
      </w:r>
      <w:r w:rsidRPr="002B55E9">
        <w:t xml:space="preserve">  [LeqdB(A)]</w:t>
      </w:r>
    </w:p>
    <w:tbl>
      <w:tblPr>
        <w:tblStyle w:val="lgy2"/>
        <w:tblW w:w="5000" w:type="pct"/>
        <w:tblLayout w:type="fixed"/>
        <w:tblCellMar>
          <w:left w:w="28" w:type="dxa"/>
          <w:right w:w="28" w:type="dxa"/>
        </w:tblCellMar>
        <w:tblLook w:val="04A0" w:firstRow="1" w:lastRow="0" w:firstColumn="1" w:lastColumn="0" w:noHBand="0" w:noVBand="1"/>
      </w:tblPr>
      <w:tblGrid>
        <w:gridCol w:w="1110"/>
        <w:gridCol w:w="1459"/>
        <w:gridCol w:w="1003"/>
        <w:gridCol w:w="1109"/>
        <w:gridCol w:w="1290"/>
        <w:gridCol w:w="1144"/>
        <w:gridCol w:w="1202"/>
        <w:gridCol w:w="1376"/>
      </w:tblGrid>
      <w:tr w:rsidR="002B55E9" w:rsidRPr="002B55E9" w14:paraId="795E7523"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103" w:type="dxa"/>
            <w:vMerge w:val="restart"/>
          </w:tcPr>
          <w:p w14:paraId="54761EA6" w14:textId="77777777" w:rsidR="00D170E5" w:rsidRPr="002B55E9" w:rsidRDefault="00EF27AD">
            <w:pPr>
              <w:pStyle w:val="lgy-"/>
            </w:pPr>
            <w:r w:rsidRPr="002B55E9">
              <w:rPr>
                <w:rFonts w:eastAsia="宋体" w:hint="eastAsia"/>
              </w:rPr>
              <w:t>测点编号</w:t>
            </w:r>
          </w:p>
        </w:tc>
        <w:tc>
          <w:tcPr>
            <w:tcW w:w="1451" w:type="dxa"/>
            <w:vMerge w:val="restart"/>
          </w:tcPr>
          <w:p w14:paraId="5282B4F9" w14:textId="77777777" w:rsidR="00D170E5" w:rsidRPr="002B55E9" w:rsidRDefault="00EF27AD" w:rsidP="00EF27AD">
            <w:pPr>
              <w:pStyle w:val="lgy-"/>
            </w:pPr>
            <w:r w:rsidRPr="002B55E9">
              <w:rPr>
                <w:rFonts w:eastAsia="宋体" w:hint="eastAsia"/>
              </w:rPr>
              <w:t>测点位置</w:t>
            </w:r>
          </w:p>
        </w:tc>
        <w:tc>
          <w:tcPr>
            <w:tcW w:w="2100" w:type="dxa"/>
            <w:gridSpan w:val="2"/>
          </w:tcPr>
          <w:p w14:paraId="7B659928" w14:textId="77777777" w:rsidR="00D170E5" w:rsidRPr="002B55E9" w:rsidRDefault="00EF27AD">
            <w:pPr>
              <w:pStyle w:val="lgy-"/>
            </w:pPr>
            <w:r w:rsidRPr="002B55E9">
              <w:rPr>
                <w:rFonts w:eastAsia="宋体" w:hint="eastAsia"/>
              </w:rPr>
              <w:t>昼间监测</w:t>
            </w:r>
          </w:p>
        </w:tc>
        <w:tc>
          <w:tcPr>
            <w:tcW w:w="1283" w:type="dxa"/>
            <w:vMerge w:val="restart"/>
          </w:tcPr>
          <w:p w14:paraId="03B19888" w14:textId="77777777" w:rsidR="00D170E5" w:rsidRPr="002B55E9" w:rsidRDefault="00EF27AD">
            <w:pPr>
              <w:pStyle w:val="lgy-"/>
            </w:pPr>
            <w:r w:rsidRPr="002B55E9">
              <w:rPr>
                <w:rFonts w:eastAsia="宋体" w:hint="eastAsia"/>
              </w:rPr>
              <w:t>标准限值</w:t>
            </w:r>
          </w:p>
        </w:tc>
        <w:tc>
          <w:tcPr>
            <w:tcW w:w="2333" w:type="dxa"/>
            <w:gridSpan w:val="2"/>
          </w:tcPr>
          <w:p w14:paraId="4F355CC4" w14:textId="77777777" w:rsidR="00D170E5" w:rsidRPr="002B55E9" w:rsidRDefault="00EF27AD">
            <w:pPr>
              <w:pStyle w:val="lgy-"/>
            </w:pPr>
            <w:r w:rsidRPr="002B55E9">
              <w:rPr>
                <w:rFonts w:eastAsia="宋体" w:hint="eastAsia"/>
              </w:rPr>
              <w:t>夜间监测值</w:t>
            </w:r>
          </w:p>
        </w:tc>
        <w:tc>
          <w:tcPr>
            <w:tcW w:w="1368" w:type="dxa"/>
            <w:vMerge w:val="restart"/>
          </w:tcPr>
          <w:p w14:paraId="4D34B05B" w14:textId="77777777" w:rsidR="00D170E5" w:rsidRPr="002B55E9" w:rsidRDefault="00EF27AD">
            <w:pPr>
              <w:pStyle w:val="lgy-"/>
              <w:rPr>
                <w:rFonts w:eastAsia="宋体"/>
              </w:rPr>
            </w:pPr>
            <w:r w:rsidRPr="002B55E9">
              <w:rPr>
                <w:rFonts w:eastAsia="宋体" w:hint="eastAsia"/>
              </w:rPr>
              <w:t>标准限值</w:t>
            </w:r>
          </w:p>
        </w:tc>
      </w:tr>
      <w:tr w:rsidR="002B55E9" w:rsidRPr="002B55E9" w14:paraId="12234A76" w14:textId="77777777" w:rsidTr="00EF27AD">
        <w:trPr>
          <w:trHeight w:val="283"/>
        </w:trPr>
        <w:tc>
          <w:tcPr>
            <w:tcW w:w="1103" w:type="dxa"/>
            <w:vMerge/>
          </w:tcPr>
          <w:p w14:paraId="37C0B700" w14:textId="77777777" w:rsidR="00D170E5" w:rsidRPr="002B55E9" w:rsidRDefault="00D170E5">
            <w:pPr>
              <w:pStyle w:val="lgy-"/>
            </w:pPr>
          </w:p>
        </w:tc>
        <w:tc>
          <w:tcPr>
            <w:tcW w:w="1451" w:type="dxa"/>
            <w:vMerge/>
          </w:tcPr>
          <w:p w14:paraId="77395B6E" w14:textId="77777777" w:rsidR="00D170E5" w:rsidRPr="002B55E9" w:rsidRDefault="00D170E5">
            <w:pPr>
              <w:pStyle w:val="lgy-"/>
            </w:pPr>
          </w:p>
        </w:tc>
        <w:tc>
          <w:tcPr>
            <w:tcW w:w="997" w:type="dxa"/>
          </w:tcPr>
          <w:p w14:paraId="6E758265" w14:textId="77777777" w:rsidR="00D170E5" w:rsidRPr="002B55E9" w:rsidRDefault="00EF27AD">
            <w:pPr>
              <w:pStyle w:val="lgy-"/>
            </w:pPr>
            <w:r w:rsidRPr="002B55E9">
              <w:rPr>
                <w:rFonts w:eastAsia="宋体" w:hint="eastAsia"/>
              </w:rPr>
              <w:t>6</w:t>
            </w:r>
            <w:r w:rsidRPr="002B55E9">
              <w:rPr>
                <w:rFonts w:eastAsia="宋体" w:hint="eastAsia"/>
              </w:rPr>
              <w:t>月</w:t>
            </w:r>
            <w:r w:rsidRPr="002B55E9">
              <w:rPr>
                <w:rFonts w:eastAsia="宋体" w:hint="eastAsia"/>
              </w:rPr>
              <w:t>16</w:t>
            </w:r>
            <w:r w:rsidRPr="002B55E9">
              <w:rPr>
                <w:rFonts w:eastAsia="宋体" w:hint="eastAsia"/>
              </w:rPr>
              <w:t>日</w:t>
            </w:r>
          </w:p>
        </w:tc>
        <w:tc>
          <w:tcPr>
            <w:tcW w:w="1103" w:type="dxa"/>
          </w:tcPr>
          <w:p w14:paraId="2D184B36" w14:textId="77777777" w:rsidR="00D170E5" w:rsidRPr="002B55E9" w:rsidRDefault="00EF27AD">
            <w:pPr>
              <w:pStyle w:val="lgy-"/>
            </w:pPr>
            <w:r w:rsidRPr="002B55E9">
              <w:rPr>
                <w:rFonts w:eastAsia="宋体" w:hint="eastAsia"/>
              </w:rPr>
              <w:t>6</w:t>
            </w:r>
            <w:r w:rsidRPr="002B55E9">
              <w:rPr>
                <w:rFonts w:eastAsia="宋体" w:hint="eastAsia"/>
              </w:rPr>
              <w:t>月</w:t>
            </w:r>
            <w:r w:rsidRPr="002B55E9">
              <w:rPr>
                <w:rFonts w:eastAsia="宋体" w:hint="eastAsia"/>
              </w:rPr>
              <w:t>1</w:t>
            </w:r>
            <w:r w:rsidRPr="002B55E9">
              <w:rPr>
                <w:rFonts w:eastAsia="宋体"/>
              </w:rPr>
              <w:t>7</w:t>
            </w:r>
            <w:r w:rsidRPr="002B55E9">
              <w:rPr>
                <w:rFonts w:eastAsia="宋体" w:hint="eastAsia"/>
              </w:rPr>
              <w:t>日</w:t>
            </w:r>
          </w:p>
        </w:tc>
        <w:tc>
          <w:tcPr>
            <w:tcW w:w="1283" w:type="dxa"/>
            <w:vMerge/>
          </w:tcPr>
          <w:p w14:paraId="180A2D76" w14:textId="77777777" w:rsidR="00D170E5" w:rsidRPr="002B55E9" w:rsidRDefault="00D170E5">
            <w:pPr>
              <w:pStyle w:val="lgy-"/>
            </w:pPr>
          </w:p>
        </w:tc>
        <w:tc>
          <w:tcPr>
            <w:tcW w:w="1138" w:type="dxa"/>
          </w:tcPr>
          <w:p w14:paraId="597ECF59" w14:textId="77777777" w:rsidR="00D170E5" w:rsidRPr="002B55E9" w:rsidRDefault="00EF27AD">
            <w:pPr>
              <w:pStyle w:val="lgy-"/>
            </w:pPr>
            <w:r w:rsidRPr="002B55E9">
              <w:rPr>
                <w:rFonts w:eastAsia="宋体" w:hint="eastAsia"/>
              </w:rPr>
              <w:t>6</w:t>
            </w:r>
            <w:r w:rsidRPr="002B55E9">
              <w:rPr>
                <w:rFonts w:eastAsia="宋体" w:hint="eastAsia"/>
              </w:rPr>
              <w:t>月</w:t>
            </w:r>
            <w:r w:rsidRPr="002B55E9">
              <w:rPr>
                <w:rFonts w:eastAsia="宋体" w:hint="eastAsia"/>
              </w:rPr>
              <w:t>16</w:t>
            </w:r>
            <w:r w:rsidRPr="002B55E9">
              <w:rPr>
                <w:rFonts w:eastAsia="宋体" w:hint="eastAsia"/>
              </w:rPr>
              <w:t>日</w:t>
            </w:r>
          </w:p>
        </w:tc>
        <w:tc>
          <w:tcPr>
            <w:tcW w:w="1195" w:type="dxa"/>
          </w:tcPr>
          <w:p w14:paraId="70E56E1C" w14:textId="77777777" w:rsidR="00D170E5" w:rsidRPr="002B55E9" w:rsidRDefault="00EF27AD">
            <w:pPr>
              <w:pStyle w:val="lgy-"/>
            </w:pPr>
            <w:r w:rsidRPr="002B55E9">
              <w:rPr>
                <w:rFonts w:eastAsia="宋体" w:hint="eastAsia"/>
              </w:rPr>
              <w:t>6</w:t>
            </w:r>
            <w:r w:rsidRPr="002B55E9">
              <w:rPr>
                <w:rFonts w:eastAsia="宋体" w:hint="eastAsia"/>
              </w:rPr>
              <w:t>月</w:t>
            </w:r>
            <w:r w:rsidRPr="002B55E9">
              <w:rPr>
                <w:rFonts w:eastAsia="宋体" w:hint="eastAsia"/>
              </w:rPr>
              <w:t>1</w:t>
            </w:r>
            <w:r w:rsidRPr="002B55E9">
              <w:rPr>
                <w:rFonts w:eastAsia="宋体"/>
              </w:rPr>
              <w:t>7</w:t>
            </w:r>
            <w:r w:rsidRPr="002B55E9">
              <w:rPr>
                <w:rFonts w:eastAsia="宋体" w:hint="eastAsia"/>
              </w:rPr>
              <w:t>日</w:t>
            </w:r>
          </w:p>
        </w:tc>
        <w:tc>
          <w:tcPr>
            <w:tcW w:w="1368" w:type="dxa"/>
            <w:vMerge/>
          </w:tcPr>
          <w:p w14:paraId="2CBE0DC7" w14:textId="77777777" w:rsidR="00D170E5" w:rsidRPr="002B55E9" w:rsidRDefault="00D170E5">
            <w:pPr>
              <w:pStyle w:val="lgy-"/>
              <w:rPr>
                <w:rFonts w:eastAsia="宋体"/>
              </w:rPr>
            </w:pPr>
          </w:p>
        </w:tc>
      </w:tr>
      <w:tr w:rsidR="002B55E9" w:rsidRPr="002B55E9" w14:paraId="373B902B" w14:textId="77777777" w:rsidTr="00EF27AD">
        <w:trPr>
          <w:trHeight w:val="283"/>
        </w:trPr>
        <w:tc>
          <w:tcPr>
            <w:tcW w:w="1103" w:type="dxa"/>
          </w:tcPr>
          <w:p w14:paraId="6EEC4910" w14:textId="77777777" w:rsidR="00D170E5" w:rsidRPr="002B55E9" w:rsidRDefault="00EF27AD">
            <w:pPr>
              <w:pStyle w:val="lgy-"/>
            </w:pPr>
            <w:r w:rsidRPr="002B55E9">
              <w:rPr>
                <w:rFonts w:eastAsia="宋体"/>
              </w:rPr>
              <w:t>1#</w:t>
            </w:r>
          </w:p>
        </w:tc>
        <w:tc>
          <w:tcPr>
            <w:tcW w:w="1451" w:type="dxa"/>
          </w:tcPr>
          <w:p w14:paraId="79BBCD7D" w14:textId="77777777" w:rsidR="00D170E5" w:rsidRPr="002B55E9" w:rsidRDefault="00EF27AD">
            <w:pPr>
              <w:pStyle w:val="lgy-"/>
            </w:pPr>
            <w:r w:rsidRPr="002B55E9">
              <w:rPr>
                <w:rFonts w:eastAsia="宋体" w:hint="eastAsia"/>
              </w:rPr>
              <w:t>东厂界</w:t>
            </w:r>
          </w:p>
        </w:tc>
        <w:tc>
          <w:tcPr>
            <w:tcW w:w="997" w:type="dxa"/>
          </w:tcPr>
          <w:p w14:paraId="34C73D28" w14:textId="77777777" w:rsidR="00D170E5" w:rsidRPr="002B55E9" w:rsidRDefault="00EF27AD">
            <w:pPr>
              <w:pStyle w:val="lgy-"/>
            </w:pPr>
            <w:r w:rsidRPr="002B55E9">
              <w:rPr>
                <w:rFonts w:eastAsia="宋体" w:hint="eastAsia"/>
              </w:rPr>
              <w:t>52</w:t>
            </w:r>
          </w:p>
        </w:tc>
        <w:tc>
          <w:tcPr>
            <w:tcW w:w="1103" w:type="dxa"/>
          </w:tcPr>
          <w:p w14:paraId="5A81EE0A" w14:textId="77777777" w:rsidR="00D170E5" w:rsidRPr="002B55E9" w:rsidRDefault="00EF27AD">
            <w:pPr>
              <w:pStyle w:val="lgy-"/>
            </w:pPr>
            <w:r w:rsidRPr="002B55E9">
              <w:rPr>
                <w:rFonts w:eastAsia="宋体" w:hint="eastAsia"/>
              </w:rPr>
              <w:t>52</w:t>
            </w:r>
          </w:p>
        </w:tc>
        <w:tc>
          <w:tcPr>
            <w:tcW w:w="1283" w:type="dxa"/>
          </w:tcPr>
          <w:p w14:paraId="4595CC8D" w14:textId="77777777" w:rsidR="00D170E5" w:rsidRPr="002B55E9" w:rsidRDefault="00EF27AD">
            <w:pPr>
              <w:pStyle w:val="lgy-"/>
            </w:pPr>
            <w:r w:rsidRPr="002B55E9">
              <w:rPr>
                <w:rFonts w:eastAsia="宋体"/>
              </w:rPr>
              <w:t>70</w:t>
            </w:r>
          </w:p>
        </w:tc>
        <w:tc>
          <w:tcPr>
            <w:tcW w:w="1138" w:type="dxa"/>
          </w:tcPr>
          <w:p w14:paraId="1ED50BAD" w14:textId="77777777" w:rsidR="00D170E5" w:rsidRPr="002B55E9" w:rsidRDefault="00EF27AD">
            <w:pPr>
              <w:pStyle w:val="lgy-"/>
            </w:pPr>
            <w:r w:rsidRPr="002B55E9">
              <w:rPr>
                <w:rFonts w:eastAsia="宋体" w:hint="eastAsia"/>
              </w:rPr>
              <w:t>46</w:t>
            </w:r>
          </w:p>
        </w:tc>
        <w:tc>
          <w:tcPr>
            <w:tcW w:w="1195" w:type="dxa"/>
          </w:tcPr>
          <w:p w14:paraId="6E2DA624" w14:textId="77777777" w:rsidR="00D170E5" w:rsidRPr="002B55E9" w:rsidRDefault="00EF27AD">
            <w:pPr>
              <w:pStyle w:val="lgy-"/>
            </w:pPr>
            <w:r w:rsidRPr="002B55E9">
              <w:rPr>
                <w:rFonts w:eastAsia="宋体" w:hint="eastAsia"/>
              </w:rPr>
              <w:t>45</w:t>
            </w:r>
          </w:p>
        </w:tc>
        <w:tc>
          <w:tcPr>
            <w:tcW w:w="1368" w:type="dxa"/>
          </w:tcPr>
          <w:p w14:paraId="684B990E"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r w:rsidR="002B55E9" w:rsidRPr="002B55E9" w14:paraId="47E783F9" w14:textId="77777777" w:rsidTr="00EF27AD">
        <w:trPr>
          <w:trHeight w:val="283"/>
        </w:trPr>
        <w:tc>
          <w:tcPr>
            <w:tcW w:w="1103" w:type="dxa"/>
          </w:tcPr>
          <w:p w14:paraId="0316928C" w14:textId="77777777" w:rsidR="00D170E5" w:rsidRPr="002B55E9" w:rsidRDefault="00EF27AD">
            <w:pPr>
              <w:pStyle w:val="lgy-"/>
            </w:pPr>
            <w:r w:rsidRPr="002B55E9">
              <w:rPr>
                <w:rFonts w:eastAsia="宋体" w:hint="eastAsia"/>
              </w:rPr>
              <w:t>2</w:t>
            </w:r>
            <w:r w:rsidRPr="002B55E9">
              <w:rPr>
                <w:rFonts w:eastAsia="宋体"/>
              </w:rPr>
              <w:t>#</w:t>
            </w:r>
          </w:p>
        </w:tc>
        <w:tc>
          <w:tcPr>
            <w:tcW w:w="1451" w:type="dxa"/>
          </w:tcPr>
          <w:p w14:paraId="1400BEEF" w14:textId="77777777" w:rsidR="00D170E5" w:rsidRPr="002B55E9" w:rsidRDefault="00EF27AD">
            <w:pPr>
              <w:pStyle w:val="lgy-"/>
            </w:pPr>
            <w:r w:rsidRPr="002B55E9">
              <w:rPr>
                <w:rFonts w:eastAsia="宋体" w:hint="eastAsia"/>
              </w:rPr>
              <w:t>南厂界</w:t>
            </w:r>
          </w:p>
        </w:tc>
        <w:tc>
          <w:tcPr>
            <w:tcW w:w="997" w:type="dxa"/>
          </w:tcPr>
          <w:p w14:paraId="7BA98188" w14:textId="77777777" w:rsidR="00D170E5" w:rsidRPr="002B55E9" w:rsidRDefault="00EF27AD">
            <w:pPr>
              <w:pStyle w:val="lgy-"/>
            </w:pPr>
            <w:r w:rsidRPr="002B55E9">
              <w:rPr>
                <w:rFonts w:eastAsia="宋体" w:hint="eastAsia"/>
              </w:rPr>
              <w:t>48</w:t>
            </w:r>
          </w:p>
        </w:tc>
        <w:tc>
          <w:tcPr>
            <w:tcW w:w="1103" w:type="dxa"/>
          </w:tcPr>
          <w:p w14:paraId="30DB43C8" w14:textId="77777777" w:rsidR="00D170E5" w:rsidRPr="002B55E9" w:rsidRDefault="00EF27AD">
            <w:pPr>
              <w:pStyle w:val="lgy-"/>
            </w:pPr>
            <w:r w:rsidRPr="002B55E9">
              <w:rPr>
                <w:rFonts w:eastAsia="宋体" w:hint="eastAsia"/>
              </w:rPr>
              <w:t>48</w:t>
            </w:r>
          </w:p>
        </w:tc>
        <w:tc>
          <w:tcPr>
            <w:tcW w:w="1283" w:type="dxa"/>
          </w:tcPr>
          <w:p w14:paraId="66C40F6B" w14:textId="77777777" w:rsidR="00D170E5" w:rsidRPr="002B55E9" w:rsidRDefault="00EF27AD">
            <w:pPr>
              <w:pStyle w:val="lgy-"/>
            </w:pPr>
            <w:r w:rsidRPr="002B55E9">
              <w:rPr>
                <w:rFonts w:eastAsia="宋体" w:hint="eastAsia"/>
              </w:rPr>
              <w:t>6</w:t>
            </w:r>
            <w:r w:rsidRPr="002B55E9">
              <w:rPr>
                <w:rFonts w:eastAsia="宋体"/>
              </w:rPr>
              <w:t>0</w:t>
            </w:r>
          </w:p>
        </w:tc>
        <w:tc>
          <w:tcPr>
            <w:tcW w:w="1138" w:type="dxa"/>
          </w:tcPr>
          <w:p w14:paraId="0A906BD1" w14:textId="77777777" w:rsidR="00D170E5" w:rsidRPr="002B55E9" w:rsidRDefault="00EF27AD">
            <w:pPr>
              <w:pStyle w:val="lgy-"/>
            </w:pPr>
            <w:r w:rsidRPr="002B55E9">
              <w:rPr>
                <w:rFonts w:eastAsia="宋体" w:hint="eastAsia"/>
              </w:rPr>
              <w:t>44</w:t>
            </w:r>
          </w:p>
        </w:tc>
        <w:tc>
          <w:tcPr>
            <w:tcW w:w="1195" w:type="dxa"/>
          </w:tcPr>
          <w:p w14:paraId="6184F2A3" w14:textId="77777777" w:rsidR="00D170E5" w:rsidRPr="002B55E9" w:rsidRDefault="00EF27AD">
            <w:pPr>
              <w:pStyle w:val="lgy-"/>
            </w:pPr>
            <w:r w:rsidRPr="002B55E9">
              <w:rPr>
                <w:rFonts w:eastAsia="宋体" w:hint="eastAsia"/>
              </w:rPr>
              <w:t>44</w:t>
            </w:r>
          </w:p>
        </w:tc>
        <w:tc>
          <w:tcPr>
            <w:tcW w:w="1368" w:type="dxa"/>
          </w:tcPr>
          <w:p w14:paraId="445D3C85"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r w:rsidR="002B55E9" w:rsidRPr="002B55E9" w14:paraId="6C6CE584" w14:textId="77777777" w:rsidTr="00EF27AD">
        <w:trPr>
          <w:trHeight w:val="283"/>
        </w:trPr>
        <w:tc>
          <w:tcPr>
            <w:tcW w:w="1103" w:type="dxa"/>
          </w:tcPr>
          <w:p w14:paraId="17BEB024" w14:textId="77777777" w:rsidR="00D170E5" w:rsidRPr="002B55E9" w:rsidRDefault="00EF27AD">
            <w:pPr>
              <w:pStyle w:val="lgy-"/>
            </w:pPr>
            <w:r w:rsidRPr="002B55E9">
              <w:rPr>
                <w:rFonts w:eastAsia="宋体" w:hint="eastAsia"/>
              </w:rPr>
              <w:t>3</w:t>
            </w:r>
            <w:r w:rsidRPr="002B55E9">
              <w:rPr>
                <w:rFonts w:eastAsia="宋体"/>
              </w:rPr>
              <w:t>#</w:t>
            </w:r>
          </w:p>
        </w:tc>
        <w:tc>
          <w:tcPr>
            <w:tcW w:w="1451" w:type="dxa"/>
          </w:tcPr>
          <w:p w14:paraId="09780FE7" w14:textId="77777777" w:rsidR="00D170E5" w:rsidRPr="002B55E9" w:rsidRDefault="00EF27AD">
            <w:pPr>
              <w:pStyle w:val="lgy-"/>
            </w:pPr>
            <w:r w:rsidRPr="002B55E9">
              <w:rPr>
                <w:rFonts w:eastAsia="宋体" w:hint="eastAsia"/>
              </w:rPr>
              <w:t>南厂界</w:t>
            </w:r>
          </w:p>
        </w:tc>
        <w:tc>
          <w:tcPr>
            <w:tcW w:w="997" w:type="dxa"/>
          </w:tcPr>
          <w:p w14:paraId="5E06B495" w14:textId="77777777" w:rsidR="00D170E5" w:rsidRPr="002B55E9" w:rsidRDefault="00EF27AD">
            <w:pPr>
              <w:pStyle w:val="lgy-"/>
            </w:pPr>
            <w:r w:rsidRPr="002B55E9">
              <w:rPr>
                <w:rFonts w:eastAsia="宋体" w:hint="eastAsia"/>
              </w:rPr>
              <w:t>47</w:t>
            </w:r>
          </w:p>
        </w:tc>
        <w:tc>
          <w:tcPr>
            <w:tcW w:w="1103" w:type="dxa"/>
          </w:tcPr>
          <w:p w14:paraId="424AA3A7" w14:textId="77777777" w:rsidR="00D170E5" w:rsidRPr="002B55E9" w:rsidRDefault="00EF27AD">
            <w:pPr>
              <w:pStyle w:val="lgy-"/>
            </w:pPr>
            <w:r w:rsidRPr="002B55E9">
              <w:rPr>
                <w:rFonts w:eastAsia="宋体" w:hint="eastAsia"/>
              </w:rPr>
              <w:t>47</w:t>
            </w:r>
          </w:p>
        </w:tc>
        <w:tc>
          <w:tcPr>
            <w:tcW w:w="1283" w:type="dxa"/>
          </w:tcPr>
          <w:p w14:paraId="44750A3F" w14:textId="77777777" w:rsidR="00D170E5" w:rsidRPr="002B55E9" w:rsidRDefault="00EF27AD">
            <w:pPr>
              <w:pStyle w:val="lgy-"/>
            </w:pPr>
            <w:r w:rsidRPr="002B55E9">
              <w:rPr>
                <w:rFonts w:eastAsia="宋体" w:hint="eastAsia"/>
              </w:rPr>
              <w:t>6</w:t>
            </w:r>
            <w:r w:rsidRPr="002B55E9">
              <w:rPr>
                <w:rFonts w:eastAsia="宋体"/>
              </w:rPr>
              <w:t>0</w:t>
            </w:r>
          </w:p>
        </w:tc>
        <w:tc>
          <w:tcPr>
            <w:tcW w:w="1138" w:type="dxa"/>
          </w:tcPr>
          <w:p w14:paraId="5916DECA" w14:textId="77777777" w:rsidR="00D170E5" w:rsidRPr="002B55E9" w:rsidRDefault="00EF27AD">
            <w:pPr>
              <w:pStyle w:val="lgy-"/>
            </w:pPr>
            <w:r w:rsidRPr="002B55E9">
              <w:rPr>
                <w:rFonts w:eastAsia="宋体" w:hint="eastAsia"/>
              </w:rPr>
              <w:t>44</w:t>
            </w:r>
          </w:p>
        </w:tc>
        <w:tc>
          <w:tcPr>
            <w:tcW w:w="1195" w:type="dxa"/>
          </w:tcPr>
          <w:p w14:paraId="5D6DC54C" w14:textId="77777777" w:rsidR="00D170E5" w:rsidRPr="002B55E9" w:rsidRDefault="00EF27AD">
            <w:pPr>
              <w:pStyle w:val="lgy-"/>
            </w:pPr>
            <w:r w:rsidRPr="002B55E9">
              <w:rPr>
                <w:rFonts w:eastAsia="宋体" w:hint="eastAsia"/>
              </w:rPr>
              <w:t>42</w:t>
            </w:r>
          </w:p>
        </w:tc>
        <w:tc>
          <w:tcPr>
            <w:tcW w:w="1368" w:type="dxa"/>
          </w:tcPr>
          <w:p w14:paraId="5736CD40"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r w:rsidR="002B55E9" w:rsidRPr="002B55E9" w14:paraId="377DA7B9" w14:textId="77777777" w:rsidTr="00EF27AD">
        <w:trPr>
          <w:trHeight w:val="283"/>
        </w:trPr>
        <w:tc>
          <w:tcPr>
            <w:tcW w:w="1103" w:type="dxa"/>
          </w:tcPr>
          <w:p w14:paraId="28ADEDEB" w14:textId="77777777" w:rsidR="00D170E5" w:rsidRPr="002B55E9" w:rsidRDefault="00EF27AD">
            <w:pPr>
              <w:pStyle w:val="lgy-"/>
            </w:pPr>
            <w:r w:rsidRPr="002B55E9">
              <w:rPr>
                <w:rFonts w:eastAsia="宋体"/>
              </w:rPr>
              <w:t>4</w:t>
            </w:r>
            <w:r w:rsidRPr="002B55E9">
              <w:rPr>
                <w:rFonts w:eastAsia="宋体" w:hint="eastAsia"/>
              </w:rPr>
              <w:t>#</w:t>
            </w:r>
          </w:p>
        </w:tc>
        <w:tc>
          <w:tcPr>
            <w:tcW w:w="1451" w:type="dxa"/>
          </w:tcPr>
          <w:p w14:paraId="338D18AE" w14:textId="77777777" w:rsidR="00D170E5" w:rsidRPr="002B55E9" w:rsidRDefault="00EF27AD">
            <w:pPr>
              <w:pStyle w:val="lgy-"/>
            </w:pPr>
            <w:r w:rsidRPr="002B55E9">
              <w:rPr>
                <w:rFonts w:eastAsia="宋体" w:hint="eastAsia"/>
              </w:rPr>
              <w:t>西厂界</w:t>
            </w:r>
          </w:p>
        </w:tc>
        <w:tc>
          <w:tcPr>
            <w:tcW w:w="997" w:type="dxa"/>
          </w:tcPr>
          <w:p w14:paraId="46F8898D" w14:textId="77777777" w:rsidR="00D170E5" w:rsidRPr="002B55E9" w:rsidRDefault="00EF27AD">
            <w:pPr>
              <w:pStyle w:val="lgy-"/>
            </w:pPr>
            <w:r w:rsidRPr="002B55E9">
              <w:rPr>
                <w:rFonts w:eastAsia="宋体" w:hint="eastAsia"/>
              </w:rPr>
              <w:t>47</w:t>
            </w:r>
          </w:p>
        </w:tc>
        <w:tc>
          <w:tcPr>
            <w:tcW w:w="1103" w:type="dxa"/>
          </w:tcPr>
          <w:p w14:paraId="47C1C4DB" w14:textId="77777777" w:rsidR="00D170E5" w:rsidRPr="002B55E9" w:rsidRDefault="00EF27AD">
            <w:pPr>
              <w:pStyle w:val="lgy-"/>
            </w:pPr>
            <w:r w:rsidRPr="002B55E9">
              <w:rPr>
                <w:rFonts w:eastAsia="宋体" w:hint="eastAsia"/>
              </w:rPr>
              <w:t>46</w:t>
            </w:r>
          </w:p>
        </w:tc>
        <w:tc>
          <w:tcPr>
            <w:tcW w:w="1283" w:type="dxa"/>
          </w:tcPr>
          <w:p w14:paraId="6FA9EF34" w14:textId="77777777" w:rsidR="00D170E5" w:rsidRPr="002B55E9" w:rsidRDefault="00EF27AD">
            <w:pPr>
              <w:pStyle w:val="lgy-"/>
            </w:pPr>
            <w:r w:rsidRPr="002B55E9">
              <w:rPr>
                <w:rFonts w:eastAsia="宋体"/>
              </w:rPr>
              <w:t>60</w:t>
            </w:r>
          </w:p>
        </w:tc>
        <w:tc>
          <w:tcPr>
            <w:tcW w:w="1138" w:type="dxa"/>
          </w:tcPr>
          <w:p w14:paraId="654AA270" w14:textId="77777777" w:rsidR="00D170E5" w:rsidRPr="002B55E9" w:rsidRDefault="00EF27AD">
            <w:pPr>
              <w:pStyle w:val="lgy-"/>
            </w:pPr>
            <w:r w:rsidRPr="002B55E9">
              <w:rPr>
                <w:rFonts w:eastAsia="宋体" w:hint="eastAsia"/>
              </w:rPr>
              <w:t>43</w:t>
            </w:r>
          </w:p>
        </w:tc>
        <w:tc>
          <w:tcPr>
            <w:tcW w:w="1195" w:type="dxa"/>
          </w:tcPr>
          <w:p w14:paraId="7B4688F6" w14:textId="77777777" w:rsidR="00D170E5" w:rsidRPr="002B55E9" w:rsidRDefault="00EF27AD">
            <w:pPr>
              <w:pStyle w:val="lgy-"/>
            </w:pPr>
            <w:r w:rsidRPr="002B55E9">
              <w:rPr>
                <w:rFonts w:eastAsia="宋体" w:hint="eastAsia"/>
              </w:rPr>
              <w:t>42</w:t>
            </w:r>
          </w:p>
        </w:tc>
        <w:tc>
          <w:tcPr>
            <w:tcW w:w="1368" w:type="dxa"/>
          </w:tcPr>
          <w:p w14:paraId="5C01433F"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r w:rsidR="002B55E9" w:rsidRPr="002B55E9" w14:paraId="3BAAA288" w14:textId="77777777" w:rsidTr="00EF27AD">
        <w:trPr>
          <w:trHeight w:val="283"/>
        </w:trPr>
        <w:tc>
          <w:tcPr>
            <w:tcW w:w="1103" w:type="dxa"/>
          </w:tcPr>
          <w:p w14:paraId="6A9823E5" w14:textId="77777777" w:rsidR="00D170E5" w:rsidRPr="002B55E9" w:rsidRDefault="00EF27AD">
            <w:pPr>
              <w:pStyle w:val="lgy-"/>
            </w:pPr>
            <w:r w:rsidRPr="002B55E9">
              <w:rPr>
                <w:rFonts w:eastAsia="宋体" w:hint="eastAsia"/>
              </w:rPr>
              <w:t>5</w:t>
            </w:r>
            <w:r w:rsidRPr="002B55E9">
              <w:rPr>
                <w:rFonts w:eastAsia="宋体"/>
              </w:rPr>
              <w:t>#</w:t>
            </w:r>
          </w:p>
        </w:tc>
        <w:tc>
          <w:tcPr>
            <w:tcW w:w="1451" w:type="dxa"/>
          </w:tcPr>
          <w:p w14:paraId="69A5F12A" w14:textId="77777777" w:rsidR="00D170E5" w:rsidRPr="002B55E9" w:rsidRDefault="00EF27AD">
            <w:pPr>
              <w:pStyle w:val="lgy-"/>
            </w:pPr>
            <w:r w:rsidRPr="002B55E9">
              <w:rPr>
                <w:rFonts w:eastAsia="宋体" w:hint="eastAsia"/>
              </w:rPr>
              <w:t>北厂界</w:t>
            </w:r>
          </w:p>
        </w:tc>
        <w:tc>
          <w:tcPr>
            <w:tcW w:w="997" w:type="dxa"/>
          </w:tcPr>
          <w:p w14:paraId="1E21C475" w14:textId="77777777" w:rsidR="00D170E5" w:rsidRPr="002B55E9" w:rsidRDefault="00EF27AD">
            <w:pPr>
              <w:pStyle w:val="lgy-"/>
            </w:pPr>
            <w:r w:rsidRPr="002B55E9">
              <w:rPr>
                <w:rFonts w:eastAsia="宋体" w:hint="eastAsia"/>
              </w:rPr>
              <w:t>50</w:t>
            </w:r>
          </w:p>
        </w:tc>
        <w:tc>
          <w:tcPr>
            <w:tcW w:w="1103" w:type="dxa"/>
          </w:tcPr>
          <w:p w14:paraId="107A7B12" w14:textId="77777777" w:rsidR="00D170E5" w:rsidRPr="002B55E9" w:rsidRDefault="00EF27AD">
            <w:pPr>
              <w:pStyle w:val="lgy-"/>
            </w:pPr>
            <w:r w:rsidRPr="002B55E9">
              <w:rPr>
                <w:rFonts w:eastAsia="宋体" w:hint="eastAsia"/>
              </w:rPr>
              <w:t>51</w:t>
            </w:r>
          </w:p>
        </w:tc>
        <w:tc>
          <w:tcPr>
            <w:tcW w:w="1283" w:type="dxa"/>
          </w:tcPr>
          <w:p w14:paraId="45D02EB7" w14:textId="77777777" w:rsidR="00D170E5" w:rsidRPr="002B55E9" w:rsidRDefault="00EF27AD">
            <w:pPr>
              <w:pStyle w:val="lgy-"/>
            </w:pPr>
            <w:r w:rsidRPr="002B55E9">
              <w:rPr>
                <w:rFonts w:eastAsia="宋体"/>
              </w:rPr>
              <w:t>60</w:t>
            </w:r>
          </w:p>
        </w:tc>
        <w:tc>
          <w:tcPr>
            <w:tcW w:w="1138" w:type="dxa"/>
          </w:tcPr>
          <w:p w14:paraId="5E9CFFC4" w14:textId="77777777" w:rsidR="00D170E5" w:rsidRPr="002B55E9" w:rsidRDefault="00EF27AD">
            <w:pPr>
              <w:pStyle w:val="lgy-"/>
            </w:pPr>
            <w:r w:rsidRPr="002B55E9">
              <w:rPr>
                <w:rFonts w:eastAsia="宋体" w:hint="eastAsia"/>
              </w:rPr>
              <w:t>44</w:t>
            </w:r>
          </w:p>
        </w:tc>
        <w:tc>
          <w:tcPr>
            <w:tcW w:w="1195" w:type="dxa"/>
          </w:tcPr>
          <w:p w14:paraId="480CE183" w14:textId="77777777" w:rsidR="00D170E5" w:rsidRPr="002B55E9" w:rsidRDefault="00EF27AD">
            <w:pPr>
              <w:pStyle w:val="lgy-"/>
            </w:pPr>
            <w:r w:rsidRPr="002B55E9">
              <w:rPr>
                <w:rFonts w:eastAsia="宋体" w:hint="eastAsia"/>
              </w:rPr>
              <w:t>44</w:t>
            </w:r>
          </w:p>
        </w:tc>
        <w:tc>
          <w:tcPr>
            <w:tcW w:w="1368" w:type="dxa"/>
          </w:tcPr>
          <w:p w14:paraId="31343A3A"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r w:rsidR="002B55E9" w:rsidRPr="002B55E9" w14:paraId="4F89CA3E" w14:textId="77777777" w:rsidTr="00EF27AD">
        <w:trPr>
          <w:trHeight w:val="283"/>
        </w:trPr>
        <w:tc>
          <w:tcPr>
            <w:tcW w:w="1103" w:type="dxa"/>
          </w:tcPr>
          <w:p w14:paraId="1C29FE9F" w14:textId="77777777" w:rsidR="00D170E5" w:rsidRPr="002B55E9" w:rsidRDefault="00EF27AD">
            <w:pPr>
              <w:pStyle w:val="lgy-"/>
            </w:pPr>
            <w:r w:rsidRPr="002B55E9">
              <w:rPr>
                <w:rFonts w:eastAsia="宋体" w:hint="eastAsia"/>
              </w:rPr>
              <w:t>6</w:t>
            </w:r>
            <w:r w:rsidRPr="002B55E9">
              <w:rPr>
                <w:rFonts w:eastAsia="宋体"/>
              </w:rPr>
              <w:t>#</w:t>
            </w:r>
          </w:p>
        </w:tc>
        <w:tc>
          <w:tcPr>
            <w:tcW w:w="1451" w:type="dxa"/>
          </w:tcPr>
          <w:p w14:paraId="1219CA9E" w14:textId="77777777" w:rsidR="00D170E5" w:rsidRPr="002B55E9" w:rsidRDefault="00EF27AD">
            <w:pPr>
              <w:pStyle w:val="lgy-"/>
            </w:pPr>
            <w:r w:rsidRPr="002B55E9">
              <w:rPr>
                <w:rFonts w:eastAsia="宋体" w:hint="eastAsia"/>
              </w:rPr>
              <w:t>北厂界</w:t>
            </w:r>
          </w:p>
        </w:tc>
        <w:tc>
          <w:tcPr>
            <w:tcW w:w="997" w:type="dxa"/>
          </w:tcPr>
          <w:p w14:paraId="027ED35D" w14:textId="77777777" w:rsidR="00D170E5" w:rsidRPr="002B55E9" w:rsidRDefault="00EF27AD">
            <w:pPr>
              <w:pStyle w:val="lgy-"/>
            </w:pPr>
            <w:r w:rsidRPr="002B55E9">
              <w:rPr>
                <w:rFonts w:eastAsia="宋体" w:hint="eastAsia"/>
              </w:rPr>
              <w:t>49</w:t>
            </w:r>
          </w:p>
        </w:tc>
        <w:tc>
          <w:tcPr>
            <w:tcW w:w="1103" w:type="dxa"/>
          </w:tcPr>
          <w:p w14:paraId="567F4098" w14:textId="77777777" w:rsidR="00D170E5" w:rsidRPr="002B55E9" w:rsidRDefault="00EF27AD">
            <w:pPr>
              <w:pStyle w:val="lgy-"/>
            </w:pPr>
            <w:r w:rsidRPr="002B55E9">
              <w:rPr>
                <w:rFonts w:eastAsia="宋体" w:hint="eastAsia"/>
              </w:rPr>
              <w:t>50</w:t>
            </w:r>
          </w:p>
        </w:tc>
        <w:tc>
          <w:tcPr>
            <w:tcW w:w="1283" w:type="dxa"/>
          </w:tcPr>
          <w:p w14:paraId="6ADDEEB2" w14:textId="77777777" w:rsidR="00D170E5" w:rsidRPr="002B55E9" w:rsidRDefault="00EF27AD">
            <w:pPr>
              <w:pStyle w:val="lgy-"/>
            </w:pPr>
            <w:r w:rsidRPr="002B55E9">
              <w:rPr>
                <w:rFonts w:eastAsia="宋体" w:hint="eastAsia"/>
              </w:rPr>
              <w:t>6</w:t>
            </w:r>
            <w:r w:rsidRPr="002B55E9">
              <w:rPr>
                <w:rFonts w:eastAsia="宋体"/>
              </w:rPr>
              <w:t>0</w:t>
            </w:r>
          </w:p>
        </w:tc>
        <w:tc>
          <w:tcPr>
            <w:tcW w:w="1138" w:type="dxa"/>
          </w:tcPr>
          <w:p w14:paraId="5F1B0D96" w14:textId="77777777" w:rsidR="00D170E5" w:rsidRPr="002B55E9" w:rsidRDefault="00EF27AD">
            <w:pPr>
              <w:pStyle w:val="lgy-"/>
            </w:pPr>
            <w:r w:rsidRPr="002B55E9">
              <w:rPr>
                <w:rFonts w:eastAsia="宋体" w:hint="eastAsia"/>
              </w:rPr>
              <w:t>43</w:t>
            </w:r>
          </w:p>
        </w:tc>
        <w:tc>
          <w:tcPr>
            <w:tcW w:w="1195" w:type="dxa"/>
          </w:tcPr>
          <w:p w14:paraId="2BE51520" w14:textId="77777777" w:rsidR="00D170E5" w:rsidRPr="002B55E9" w:rsidRDefault="00EF27AD">
            <w:pPr>
              <w:pStyle w:val="lgy-"/>
            </w:pPr>
            <w:r w:rsidRPr="002B55E9">
              <w:rPr>
                <w:rFonts w:eastAsia="宋体" w:hint="eastAsia"/>
              </w:rPr>
              <w:t>43</w:t>
            </w:r>
          </w:p>
        </w:tc>
        <w:tc>
          <w:tcPr>
            <w:tcW w:w="1368" w:type="dxa"/>
          </w:tcPr>
          <w:p w14:paraId="0E683A1B" w14:textId="77777777" w:rsidR="00D170E5" w:rsidRPr="002B55E9" w:rsidRDefault="00EF27AD">
            <w:pPr>
              <w:pStyle w:val="lgy-"/>
              <w:rPr>
                <w:rFonts w:eastAsia="宋体"/>
              </w:rPr>
            </w:pPr>
            <w:r w:rsidRPr="002B55E9">
              <w:rPr>
                <w:rFonts w:eastAsia="宋体" w:hint="eastAsia"/>
              </w:rPr>
              <w:t>5</w:t>
            </w:r>
            <w:r w:rsidRPr="002B55E9">
              <w:rPr>
                <w:rFonts w:eastAsia="宋体"/>
              </w:rPr>
              <w:t>5</w:t>
            </w:r>
          </w:p>
        </w:tc>
      </w:tr>
    </w:tbl>
    <w:p w14:paraId="74207B58" w14:textId="77777777" w:rsidR="00D170E5" w:rsidRPr="002B55E9" w:rsidRDefault="00EF27AD">
      <w:pPr>
        <w:pStyle w:val="affff7"/>
        <w:widowControl w:val="0"/>
        <w:snapToGrid w:val="0"/>
      </w:pPr>
      <w:r w:rsidRPr="002B55E9">
        <w:t>由</w:t>
      </w:r>
      <w:r w:rsidRPr="002B55E9">
        <w:rPr>
          <w:rFonts w:hint="eastAsia"/>
        </w:rPr>
        <w:t>上</w:t>
      </w:r>
      <w:r w:rsidRPr="002B55E9">
        <w:t>表监测结果</w:t>
      </w:r>
      <w:r w:rsidRPr="002B55E9">
        <w:rPr>
          <w:rFonts w:hint="eastAsia"/>
        </w:rPr>
        <w:t>可知</w:t>
      </w:r>
      <w:r w:rsidRPr="002B55E9">
        <w:t>，</w:t>
      </w:r>
      <w:r w:rsidRPr="002B55E9">
        <w:rPr>
          <w:rFonts w:hint="eastAsia"/>
        </w:rPr>
        <w:t>东侧厂界处</w:t>
      </w:r>
      <w:r w:rsidRPr="002B55E9">
        <w:t>声环境质量</w:t>
      </w:r>
      <w:r w:rsidRPr="002B55E9">
        <w:rPr>
          <w:rFonts w:hint="eastAsia"/>
        </w:rPr>
        <w:t>能够</w:t>
      </w:r>
      <w:r w:rsidRPr="002B55E9">
        <w:t>达到《</w:t>
      </w:r>
      <w:r w:rsidRPr="002B55E9">
        <w:rPr>
          <w:rFonts w:hint="eastAsia"/>
        </w:rPr>
        <w:t>声环境质量标准</w:t>
      </w:r>
      <w:r w:rsidRPr="002B55E9">
        <w:t>》</w:t>
      </w:r>
      <w:r w:rsidRPr="002B55E9">
        <w:rPr>
          <w:rFonts w:hint="eastAsia"/>
        </w:rPr>
        <w:t>(</w:t>
      </w:r>
      <w:r w:rsidRPr="002B55E9">
        <w:t>GB</w:t>
      </w:r>
      <w:r w:rsidRPr="002B55E9">
        <w:rPr>
          <w:rFonts w:hint="eastAsia"/>
        </w:rPr>
        <w:t>3096</w:t>
      </w:r>
      <w:r w:rsidRPr="002B55E9">
        <w:t>-2008</w:t>
      </w:r>
      <w:r w:rsidRPr="002B55E9">
        <w:rPr>
          <w:rFonts w:hint="eastAsia"/>
        </w:rPr>
        <w:t>)</w:t>
      </w:r>
      <w:r w:rsidRPr="002B55E9">
        <w:t>中的</w:t>
      </w:r>
      <w:r w:rsidRPr="002B55E9">
        <w:rPr>
          <w:rFonts w:hint="eastAsia"/>
        </w:rPr>
        <w:t>4a</w:t>
      </w:r>
      <w:r w:rsidRPr="002B55E9">
        <w:t>类标准要求</w:t>
      </w:r>
      <w:r w:rsidRPr="002B55E9">
        <w:rPr>
          <w:rFonts w:hint="eastAsia"/>
        </w:rPr>
        <w:t>，西侧、北侧、南侧厂界处</w:t>
      </w:r>
      <w:r w:rsidRPr="002B55E9">
        <w:t>声环境质量</w:t>
      </w:r>
      <w:r w:rsidRPr="002B55E9">
        <w:rPr>
          <w:rFonts w:hint="eastAsia"/>
        </w:rPr>
        <w:t>能够</w:t>
      </w:r>
      <w:r w:rsidRPr="002B55E9">
        <w:t>达到《</w:t>
      </w:r>
      <w:r w:rsidRPr="002B55E9">
        <w:rPr>
          <w:rFonts w:hint="eastAsia"/>
        </w:rPr>
        <w:t>声环境质量标准</w:t>
      </w:r>
      <w:r w:rsidRPr="002B55E9">
        <w:t>》</w:t>
      </w:r>
      <w:r w:rsidRPr="002B55E9">
        <w:rPr>
          <w:rFonts w:hint="eastAsia"/>
        </w:rPr>
        <w:t>(</w:t>
      </w:r>
      <w:r w:rsidRPr="002B55E9">
        <w:t>GB</w:t>
      </w:r>
      <w:r w:rsidRPr="002B55E9">
        <w:rPr>
          <w:rFonts w:hint="eastAsia"/>
        </w:rPr>
        <w:t>3096</w:t>
      </w:r>
      <w:r w:rsidRPr="002B55E9">
        <w:t>-2008</w:t>
      </w:r>
      <w:r w:rsidRPr="002B55E9">
        <w:rPr>
          <w:rFonts w:hint="eastAsia"/>
        </w:rPr>
        <w:t>)</w:t>
      </w:r>
      <w:r w:rsidRPr="002B55E9">
        <w:t>中的</w:t>
      </w:r>
      <w:r w:rsidRPr="002B55E9">
        <w:t>2</w:t>
      </w:r>
      <w:r w:rsidRPr="002B55E9">
        <w:t>类标准要求</w:t>
      </w:r>
      <w:r w:rsidRPr="002B55E9">
        <w:rPr>
          <w:rFonts w:hint="eastAsia"/>
        </w:rPr>
        <w:t>。</w:t>
      </w:r>
    </w:p>
    <w:p w14:paraId="1D28E278" w14:textId="77777777" w:rsidR="00D170E5" w:rsidRPr="002B55E9" w:rsidRDefault="00EF27AD">
      <w:pPr>
        <w:pStyle w:val="4"/>
        <w:numPr>
          <w:ilvl w:val="3"/>
          <w:numId w:val="21"/>
        </w:numPr>
        <w:rPr>
          <w:color w:val="auto"/>
        </w:rPr>
      </w:pPr>
      <w:bookmarkStart w:id="196" w:name="_Toc513736233"/>
      <w:bookmarkStart w:id="197" w:name="_Toc409427241"/>
      <w:bookmarkStart w:id="198" w:name="_Toc389594255"/>
      <w:bookmarkStart w:id="199" w:name="_Toc431383337"/>
      <w:r w:rsidRPr="002B55E9">
        <w:rPr>
          <w:rFonts w:hint="eastAsia"/>
          <w:color w:val="auto"/>
        </w:rPr>
        <w:lastRenderedPageBreak/>
        <w:t>地下水</w:t>
      </w:r>
      <w:bookmarkEnd w:id="196"/>
    </w:p>
    <w:p w14:paraId="4484E70A" w14:textId="77777777" w:rsidR="00D170E5" w:rsidRPr="002B55E9" w:rsidRDefault="00EF27AD">
      <w:pPr>
        <w:pStyle w:val="affff7"/>
      </w:pPr>
      <w:r w:rsidRPr="002B55E9">
        <w:rPr>
          <w:rFonts w:hint="eastAsia"/>
        </w:rPr>
        <w:t>根据《新沟镇街食品医疗用地板块总体规划环境影响报告书》，项目厂址所在区域地下水应执行《地下水质量标准》（</w:t>
      </w:r>
      <w:r w:rsidRPr="002B55E9">
        <w:rPr>
          <w:rFonts w:hint="eastAsia"/>
        </w:rPr>
        <w:t>GB/T14848-2017</w:t>
      </w:r>
      <w:r w:rsidRPr="002B55E9">
        <w:rPr>
          <w:rFonts w:hint="eastAsia"/>
        </w:rPr>
        <w:t>）</w:t>
      </w:r>
      <w:r w:rsidRPr="002B55E9">
        <w:rPr>
          <w:rFonts w:ascii="宋体" w:hAnsi="宋体" w:hint="eastAsia"/>
        </w:rPr>
        <w:t>Ⅳ</w:t>
      </w:r>
      <w:r w:rsidRPr="002B55E9">
        <w:rPr>
          <w:rFonts w:hint="eastAsia"/>
        </w:rPr>
        <w:t>类标准。</w:t>
      </w:r>
    </w:p>
    <w:p w14:paraId="39A0557B" w14:textId="77777777" w:rsidR="00D170E5" w:rsidRPr="002B55E9" w:rsidRDefault="00EF27AD">
      <w:pPr>
        <w:pStyle w:val="5"/>
      </w:pPr>
      <w:r w:rsidRPr="002B55E9">
        <w:rPr>
          <w:rFonts w:hint="eastAsia"/>
        </w:rPr>
        <w:t>监测内容</w:t>
      </w:r>
    </w:p>
    <w:p w14:paraId="56FC2A45" w14:textId="1F6875B6" w:rsidR="00D170E5" w:rsidRPr="002B55E9" w:rsidRDefault="00EF27AD">
      <w:pPr>
        <w:pStyle w:val="affff7"/>
        <w:snapToGrid w:val="0"/>
        <w:spacing w:after="0"/>
      </w:pPr>
      <w:r w:rsidRPr="002B55E9">
        <w:rPr>
          <w:rFonts w:hint="eastAsia"/>
        </w:rPr>
        <w:t>为了解项目所在区域的地下水情况，本评价委托湖北</w:t>
      </w:r>
      <w:r w:rsidRPr="002B55E9">
        <w:t>相融</w:t>
      </w:r>
      <w:r w:rsidRPr="002B55E9">
        <w:rPr>
          <w:rFonts w:hint="eastAsia"/>
        </w:rPr>
        <w:t>检测</w:t>
      </w:r>
      <w:r w:rsidRPr="002B55E9">
        <w:t>有限公司</w:t>
      </w:r>
      <w:r w:rsidRPr="002B55E9">
        <w:rPr>
          <w:rFonts w:hint="eastAsia"/>
        </w:rPr>
        <w:t>对项目厂区上下游地下水环境质量现状进行了监测，监测时间为</w:t>
      </w:r>
      <w:r w:rsidRPr="002B55E9">
        <w:rPr>
          <w:rFonts w:hint="eastAsia"/>
        </w:rPr>
        <w:t>202</w:t>
      </w:r>
      <w:r w:rsidRPr="002B55E9">
        <w:t>2</w:t>
      </w:r>
      <w:r w:rsidRPr="002B55E9">
        <w:rPr>
          <w:rFonts w:hint="eastAsia"/>
        </w:rPr>
        <w:t>年</w:t>
      </w:r>
      <w:r w:rsidRPr="002B55E9">
        <w:rPr>
          <w:rFonts w:hint="eastAsia"/>
        </w:rPr>
        <w:t>6</w:t>
      </w:r>
      <w:r w:rsidRPr="002B55E9">
        <w:rPr>
          <w:rFonts w:hint="eastAsia"/>
        </w:rPr>
        <w:t>月</w:t>
      </w:r>
      <w:r w:rsidRPr="002B55E9">
        <w:rPr>
          <w:rFonts w:hint="eastAsia"/>
        </w:rPr>
        <w:t>17</w:t>
      </w:r>
      <w:r w:rsidRPr="002B55E9">
        <w:rPr>
          <w:rFonts w:hint="eastAsia"/>
        </w:rPr>
        <w:t>日，监测报告编号为：</w:t>
      </w:r>
      <w:r w:rsidRPr="002B55E9">
        <w:t>相融检</w:t>
      </w:r>
      <w:r w:rsidRPr="002B55E9">
        <w:rPr>
          <w:rFonts w:hint="eastAsia"/>
        </w:rPr>
        <w:t>字</w:t>
      </w:r>
      <w:r w:rsidRPr="002B55E9">
        <w:rPr>
          <w:rFonts w:hint="eastAsia"/>
        </w:rPr>
        <w:t>[</w:t>
      </w:r>
      <w:r w:rsidRPr="002B55E9">
        <w:t>2022</w:t>
      </w:r>
      <w:r w:rsidRPr="002B55E9">
        <w:rPr>
          <w:rFonts w:hint="eastAsia"/>
        </w:rPr>
        <w:t>]</w:t>
      </w:r>
      <w:r w:rsidRPr="002B55E9">
        <w:rPr>
          <w:rFonts w:hint="eastAsia"/>
        </w:rPr>
        <w:t>第</w:t>
      </w:r>
      <w:r w:rsidRPr="002B55E9">
        <w:rPr>
          <w:rFonts w:hint="eastAsia"/>
        </w:rPr>
        <w:t>060053</w:t>
      </w:r>
      <w:r w:rsidRPr="002B55E9">
        <w:rPr>
          <w:rFonts w:hint="eastAsia"/>
        </w:rPr>
        <w:t>号。</w:t>
      </w:r>
    </w:p>
    <w:p w14:paraId="22EE8A0F" w14:textId="77777777" w:rsidR="00D170E5" w:rsidRPr="002B55E9" w:rsidRDefault="00EF27AD">
      <w:pPr>
        <w:pStyle w:val="affff7"/>
        <w:snapToGrid w:val="0"/>
        <w:spacing w:after="0"/>
      </w:pPr>
      <w:bookmarkStart w:id="200" w:name="_Hlk510857985"/>
      <w:r w:rsidRPr="002B55E9">
        <w:t>（</w:t>
      </w:r>
      <w:r w:rsidRPr="002B55E9">
        <w:t>1</w:t>
      </w:r>
      <w:r w:rsidRPr="002B55E9">
        <w:t>）监测项目</w:t>
      </w:r>
    </w:p>
    <w:p w14:paraId="343337FE" w14:textId="77777777" w:rsidR="00D170E5" w:rsidRPr="002B55E9" w:rsidRDefault="00EF27AD">
      <w:pPr>
        <w:pStyle w:val="affff7"/>
        <w:snapToGrid w:val="0"/>
        <w:spacing w:after="0"/>
      </w:pPr>
      <w:r w:rsidRPr="002B55E9">
        <w:rPr>
          <w:rFonts w:hint="eastAsia"/>
        </w:rPr>
        <w:t>水质监测项目包括</w:t>
      </w:r>
      <w:r w:rsidRPr="002B55E9">
        <w:t>K</w:t>
      </w:r>
      <w:r w:rsidRPr="002B55E9">
        <w:rPr>
          <w:vertAlign w:val="superscript"/>
        </w:rPr>
        <w:t>+</w:t>
      </w:r>
      <w:r w:rsidRPr="002B55E9">
        <w:t>、</w:t>
      </w:r>
      <w:r w:rsidRPr="002B55E9">
        <w:t>Na</w:t>
      </w:r>
      <w:r w:rsidRPr="002B55E9">
        <w:rPr>
          <w:vertAlign w:val="superscript"/>
        </w:rPr>
        <w:t>+</w:t>
      </w:r>
      <w:r w:rsidRPr="002B55E9">
        <w:t>、</w:t>
      </w:r>
      <w:r w:rsidRPr="002B55E9">
        <w:t>Ca</w:t>
      </w:r>
      <w:r w:rsidRPr="002B55E9">
        <w:rPr>
          <w:vertAlign w:val="superscript"/>
        </w:rPr>
        <w:t>2+</w:t>
      </w:r>
      <w:r w:rsidRPr="002B55E9">
        <w:t>、</w:t>
      </w:r>
      <w:r w:rsidRPr="002B55E9">
        <w:t>Mg</w:t>
      </w:r>
      <w:r w:rsidRPr="002B55E9">
        <w:rPr>
          <w:vertAlign w:val="superscript"/>
        </w:rPr>
        <w:t>2+</w:t>
      </w:r>
      <w:r w:rsidRPr="002B55E9">
        <w:t>、</w:t>
      </w:r>
      <w:r w:rsidRPr="002B55E9">
        <w:t>CO</w:t>
      </w:r>
      <w:r w:rsidRPr="002B55E9">
        <w:rPr>
          <w:vertAlign w:val="subscript"/>
        </w:rPr>
        <w:t>3</w:t>
      </w:r>
      <w:r w:rsidRPr="002B55E9">
        <w:rPr>
          <w:vertAlign w:val="superscript"/>
        </w:rPr>
        <w:t>2-</w:t>
      </w:r>
      <w:r w:rsidRPr="002B55E9">
        <w:t>、</w:t>
      </w:r>
      <w:r w:rsidRPr="002B55E9">
        <w:t>HCO</w:t>
      </w:r>
      <w:r w:rsidRPr="002B55E9">
        <w:rPr>
          <w:vertAlign w:val="subscript"/>
        </w:rPr>
        <w:t>3</w:t>
      </w:r>
      <w:r w:rsidRPr="002B55E9">
        <w:rPr>
          <w:vertAlign w:val="superscript"/>
        </w:rPr>
        <w:t>-</w:t>
      </w:r>
      <w:r w:rsidRPr="002B55E9">
        <w:t>、</w:t>
      </w:r>
      <w:r w:rsidRPr="002B55E9">
        <w:t>pH</w:t>
      </w:r>
      <w:r w:rsidRPr="002B55E9">
        <w:t>、氨氮、硝酸盐、亚硝酸盐、挥发性酚类、氰化物、砷、汞、铬</w:t>
      </w:r>
      <w:r w:rsidRPr="002B55E9">
        <w:t>(</w:t>
      </w:r>
      <w:r w:rsidRPr="002B55E9">
        <w:t>六价</w:t>
      </w:r>
      <w:r w:rsidRPr="002B55E9">
        <w:t>)</w:t>
      </w:r>
      <w:r w:rsidRPr="002B55E9">
        <w:t>、总硬度、铅、氟、镉、铁、锰、溶解性总固体、高锰酸盐指数、硫酸盐、氯化物、总大肠菌群</w:t>
      </w:r>
      <w:r w:rsidRPr="002B55E9">
        <w:rPr>
          <w:rFonts w:hint="eastAsia"/>
        </w:rPr>
        <w:t>、细菌总数</w:t>
      </w:r>
      <w:r w:rsidRPr="002B55E9">
        <w:t>等以及地下水位高程。</w:t>
      </w:r>
    </w:p>
    <w:p w14:paraId="2BF7DD3F" w14:textId="77777777" w:rsidR="00D170E5" w:rsidRPr="002B55E9" w:rsidRDefault="00EF27AD">
      <w:pPr>
        <w:pStyle w:val="affff7"/>
        <w:snapToGrid w:val="0"/>
        <w:spacing w:after="0"/>
      </w:pPr>
      <w:r w:rsidRPr="002B55E9">
        <w:t>（</w:t>
      </w:r>
      <w:r w:rsidRPr="002B55E9">
        <w:t>2</w:t>
      </w:r>
      <w:r w:rsidRPr="002B55E9">
        <w:t>）点位设置</w:t>
      </w:r>
    </w:p>
    <w:p w14:paraId="5EEF88C9" w14:textId="7E75999C" w:rsidR="00D170E5" w:rsidRPr="002B55E9" w:rsidRDefault="00EF27AD">
      <w:pPr>
        <w:pStyle w:val="affff7"/>
        <w:snapToGrid w:val="0"/>
        <w:spacing w:after="0"/>
      </w:pPr>
      <w:r w:rsidRPr="002B55E9">
        <w:rPr>
          <w:rFonts w:hint="eastAsia"/>
          <w:szCs w:val="22"/>
        </w:rPr>
        <w:t>本项目共设置</w:t>
      </w:r>
      <w:r w:rsidRPr="002B55E9">
        <w:rPr>
          <w:rFonts w:hint="eastAsia"/>
          <w:szCs w:val="22"/>
        </w:rPr>
        <w:t>6</w:t>
      </w:r>
      <w:r w:rsidRPr="002B55E9">
        <w:rPr>
          <w:rFonts w:hint="eastAsia"/>
          <w:szCs w:val="22"/>
        </w:rPr>
        <w:t>个地下水监测点位，其中</w:t>
      </w:r>
      <w:r w:rsidRPr="002B55E9">
        <w:rPr>
          <w:szCs w:val="22"/>
        </w:rPr>
        <w:t>NW4</w:t>
      </w:r>
      <w:r w:rsidRPr="002B55E9">
        <w:rPr>
          <w:rFonts w:hint="eastAsia"/>
          <w:szCs w:val="22"/>
        </w:rPr>
        <w:t>、</w:t>
      </w:r>
      <w:r w:rsidRPr="002B55E9">
        <w:rPr>
          <w:rFonts w:hint="eastAsia"/>
          <w:szCs w:val="22"/>
        </w:rPr>
        <w:t>NW5</w:t>
      </w:r>
      <w:r w:rsidRPr="002B55E9">
        <w:rPr>
          <w:rFonts w:hint="eastAsia"/>
          <w:szCs w:val="22"/>
        </w:rPr>
        <w:t>水质水位复合</w:t>
      </w:r>
      <w:r w:rsidRPr="002B55E9">
        <w:rPr>
          <w:szCs w:val="22"/>
        </w:rPr>
        <w:t>点</w:t>
      </w:r>
      <w:r w:rsidRPr="002B55E9">
        <w:rPr>
          <w:rFonts w:hint="eastAsia"/>
          <w:szCs w:val="22"/>
        </w:rPr>
        <w:t>以及</w:t>
      </w:r>
      <w:r w:rsidRPr="002B55E9">
        <w:rPr>
          <w:szCs w:val="22"/>
        </w:rPr>
        <w:t>NW9</w:t>
      </w:r>
      <w:r w:rsidRPr="002B55E9">
        <w:rPr>
          <w:rFonts w:hint="eastAsia"/>
          <w:szCs w:val="22"/>
        </w:rPr>
        <w:t>水位</w:t>
      </w:r>
      <w:r w:rsidRPr="002B55E9">
        <w:rPr>
          <w:szCs w:val="22"/>
        </w:rPr>
        <w:t>点</w:t>
      </w:r>
      <w:r w:rsidRPr="002B55E9">
        <w:rPr>
          <w:rFonts w:hint="eastAsia"/>
          <w:spacing w:val="-8"/>
        </w:rPr>
        <w:t>引用《新沟镇街食品医疗板块规划环评环境监测报告》（报告编号：跃华（检）字</w:t>
      </w:r>
      <w:r w:rsidRPr="002B55E9">
        <w:rPr>
          <w:rFonts w:hint="eastAsia"/>
          <w:spacing w:val="-8"/>
        </w:rPr>
        <w:t>2</w:t>
      </w:r>
      <w:r w:rsidRPr="002B55E9">
        <w:rPr>
          <w:spacing w:val="-8"/>
        </w:rPr>
        <w:t>0210790</w:t>
      </w:r>
      <w:r w:rsidRPr="002B55E9">
        <w:rPr>
          <w:rFonts w:hint="eastAsia"/>
          <w:szCs w:val="22"/>
        </w:rPr>
        <w:t>）中的</w:t>
      </w:r>
      <w:r w:rsidRPr="002B55E9">
        <w:rPr>
          <w:szCs w:val="22"/>
        </w:rPr>
        <w:t>数据</w:t>
      </w:r>
      <w:r w:rsidRPr="002B55E9">
        <w:rPr>
          <w:rFonts w:hint="eastAsia"/>
          <w:szCs w:val="22"/>
        </w:rPr>
        <w:t>。</w:t>
      </w:r>
      <w:r w:rsidRPr="002B55E9">
        <w:rPr>
          <w:rFonts w:hint="eastAsia"/>
          <w:szCs w:val="22"/>
        </w:rPr>
        <w:t>NW4</w:t>
      </w:r>
      <w:r w:rsidRPr="002B55E9">
        <w:rPr>
          <w:rFonts w:hint="eastAsia"/>
          <w:szCs w:val="22"/>
        </w:rPr>
        <w:t>、</w:t>
      </w:r>
      <w:r w:rsidRPr="002B55E9">
        <w:rPr>
          <w:rFonts w:hint="eastAsia"/>
          <w:szCs w:val="22"/>
        </w:rPr>
        <w:t>NW5</w:t>
      </w:r>
      <w:r w:rsidRPr="002B55E9">
        <w:rPr>
          <w:rFonts w:hint="eastAsia"/>
          <w:szCs w:val="22"/>
        </w:rPr>
        <w:t>、</w:t>
      </w:r>
      <w:r w:rsidRPr="002B55E9">
        <w:rPr>
          <w:rFonts w:hint="eastAsia"/>
          <w:szCs w:val="22"/>
        </w:rPr>
        <w:t>NW9</w:t>
      </w:r>
      <w:r w:rsidRPr="002B55E9">
        <w:rPr>
          <w:rFonts w:hint="eastAsia"/>
          <w:szCs w:val="22"/>
        </w:rPr>
        <w:t>、</w:t>
      </w:r>
      <w:r w:rsidRPr="002B55E9">
        <w:rPr>
          <w:szCs w:val="22"/>
        </w:rPr>
        <w:t>以及本次</w:t>
      </w:r>
      <w:r w:rsidRPr="002B55E9">
        <w:rPr>
          <w:rFonts w:hint="eastAsia"/>
          <w:szCs w:val="22"/>
        </w:rPr>
        <w:t>补充</w:t>
      </w:r>
      <w:r w:rsidRPr="002B55E9">
        <w:rPr>
          <w:szCs w:val="22"/>
        </w:rPr>
        <w:t>监测的</w:t>
      </w:r>
      <w:r w:rsidRPr="002B55E9">
        <w:rPr>
          <w:rFonts w:hint="eastAsia"/>
          <w:szCs w:val="22"/>
        </w:rPr>
        <w:t>1</w:t>
      </w:r>
      <w:r w:rsidRPr="002B55E9">
        <w:rPr>
          <w:szCs w:val="22"/>
        </w:rPr>
        <w:t>#~3#</w:t>
      </w:r>
      <w:r w:rsidRPr="002B55E9">
        <w:rPr>
          <w:szCs w:val="22"/>
        </w:rPr>
        <w:t>监测点</w:t>
      </w:r>
      <w:r w:rsidRPr="002B55E9">
        <w:t>分别位于</w:t>
      </w:r>
      <w:r w:rsidRPr="002B55E9">
        <w:rPr>
          <w:rFonts w:hint="eastAsia"/>
        </w:rPr>
        <w:t>项目</w:t>
      </w:r>
      <w:r w:rsidRPr="002B55E9">
        <w:t>厂区上游、</w:t>
      </w:r>
      <w:r w:rsidR="00C871BF" w:rsidRPr="002B55E9">
        <w:rPr>
          <w:rFonts w:hint="eastAsia"/>
        </w:rPr>
        <w:t>和</w:t>
      </w:r>
      <w:r w:rsidRPr="002B55E9">
        <w:rPr>
          <w:rFonts w:hint="eastAsia"/>
        </w:rPr>
        <w:t>项目</w:t>
      </w:r>
      <w:r w:rsidRPr="002B55E9">
        <w:t>厂区下游，</w:t>
      </w:r>
      <w:r w:rsidRPr="002B55E9">
        <w:rPr>
          <w:rFonts w:hint="eastAsia"/>
        </w:rPr>
        <w:t>监测点位符合</w:t>
      </w:r>
      <w:r w:rsidRPr="002B55E9">
        <w:rPr>
          <w:rFonts w:hint="eastAsia"/>
        </w:rPr>
        <w:t>HJ</w:t>
      </w:r>
      <w:r w:rsidRPr="002B55E9">
        <w:t>610</w:t>
      </w:r>
      <w:r w:rsidRPr="002B55E9">
        <w:rPr>
          <w:rFonts w:hint="eastAsia"/>
        </w:rPr>
        <w:t>-2016</w:t>
      </w:r>
      <w:r w:rsidRPr="002B55E9">
        <w:rPr>
          <w:rFonts w:hint="eastAsia"/>
        </w:rPr>
        <w:t>《环境影响评价技术导则</w:t>
      </w:r>
      <w:r w:rsidRPr="002B55E9">
        <w:rPr>
          <w:rFonts w:hint="eastAsia"/>
        </w:rPr>
        <w:t xml:space="preserve"> </w:t>
      </w:r>
      <w:r w:rsidRPr="002B55E9">
        <w:rPr>
          <w:rFonts w:hint="eastAsia"/>
        </w:rPr>
        <w:t>地下水环境》中规定的要求：三级评价项目调查评价面积为</w:t>
      </w:r>
      <w:r w:rsidRPr="002B55E9">
        <w:rPr>
          <w:rFonts w:hint="eastAsia"/>
        </w:rPr>
        <w:t>6km</w:t>
      </w:r>
      <w:r w:rsidRPr="002B55E9">
        <w:rPr>
          <w:rFonts w:hint="eastAsia"/>
          <w:vertAlign w:val="superscript"/>
        </w:rPr>
        <w:t>2</w:t>
      </w:r>
      <w:r w:rsidRPr="002B55E9">
        <w:rPr>
          <w:rFonts w:hint="eastAsia"/>
        </w:rPr>
        <w:t>，设置</w:t>
      </w:r>
      <w:r w:rsidR="00C871BF" w:rsidRPr="002B55E9">
        <w:rPr>
          <w:rFonts w:hint="eastAsia"/>
        </w:rPr>
        <w:t>潜水含水层水质监测点应不少于</w:t>
      </w:r>
      <w:r w:rsidR="00C871BF" w:rsidRPr="002B55E9">
        <w:rPr>
          <w:rFonts w:hint="eastAsia"/>
        </w:rPr>
        <w:t>3</w:t>
      </w:r>
      <w:r w:rsidR="00C871BF" w:rsidRPr="002B55E9">
        <w:rPr>
          <w:rFonts w:hint="eastAsia"/>
        </w:rPr>
        <w:t>个，可能受建设项目影响且具有饮用水开发利用价值的含水层</w:t>
      </w:r>
      <w:r w:rsidR="00C871BF" w:rsidRPr="002B55E9">
        <w:rPr>
          <w:rFonts w:hint="eastAsia"/>
        </w:rPr>
        <w:t>1-2</w:t>
      </w:r>
      <w:r w:rsidR="00C871BF" w:rsidRPr="002B55E9">
        <w:rPr>
          <w:rFonts w:hint="eastAsia"/>
        </w:rPr>
        <w:t>个。原则上建设项目场地上游及下游影响区的地下水水质监测点各不得少于</w:t>
      </w:r>
      <w:r w:rsidR="00C871BF" w:rsidRPr="002B55E9">
        <w:rPr>
          <w:rFonts w:hint="eastAsia"/>
        </w:rPr>
        <w:t>1</w:t>
      </w:r>
      <w:r w:rsidR="00C871BF" w:rsidRPr="002B55E9">
        <w:rPr>
          <w:rFonts w:hint="eastAsia"/>
        </w:rPr>
        <w:t>个。</w:t>
      </w:r>
      <w:r w:rsidRPr="002B55E9">
        <w:t>具体监测点位见</w:t>
      </w:r>
      <w:r w:rsidRPr="002B55E9">
        <w:rPr>
          <w:rFonts w:hint="eastAsia"/>
        </w:rPr>
        <w:t>下</w:t>
      </w:r>
      <w:r w:rsidRPr="002B55E9">
        <w:t>表。</w:t>
      </w:r>
    </w:p>
    <w:p w14:paraId="265F6B20" w14:textId="77777777" w:rsidR="00D170E5" w:rsidRPr="002B55E9" w:rsidRDefault="00EF27AD">
      <w:pPr>
        <w:pStyle w:val="afffffffffffff3"/>
        <w:ind w:firstLine="482"/>
        <w:rPr>
          <w:rFonts w:eastAsia="黑体"/>
          <w:sz w:val="24"/>
        </w:rPr>
      </w:pPr>
      <w:r w:rsidRPr="002B55E9">
        <w:rPr>
          <w:rFonts w:eastAsia="黑体"/>
          <w:sz w:val="24"/>
        </w:rPr>
        <w:t>表</w:t>
      </w:r>
      <w:r w:rsidRPr="002B55E9">
        <w:rPr>
          <w:rFonts w:eastAsia="黑体"/>
          <w:sz w:val="24"/>
        </w:rPr>
        <w:t xml:space="preserve">4-2-7 </w:t>
      </w:r>
      <w:r w:rsidRPr="002B55E9">
        <w:rPr>
          <w:rFonts w:eastAsia="黑体"/>
          <w:sz w:val="24"/>
        </w:rPr>
        <w:t>地下水监测点位</w:t>
      </w:r>
    </w:p>
    <w:tbl>
      <w:tblPr>
        <w:tblStyle w:val="lgy2"/>
        <w:tblW w:w="5000" w:type="pct"/>
        <w:tblLayout w:type="fixed"/>
        <w:tblCellMar>
          <w:left w:w="28" w:type="dxa"/>
          <w:right w:w="28" w:type="dxa"/>
        </w:tblCellMar>
        <w:tblLook w:val="04A0" w:firstRow="1" w:lastRow="0" w:firstColumn="1" w:lastColumn="0" w:noHBand="0" w:noVBand="1"/>
      </w:tblPr>
      <w:tblGrid>
        <w:gridCol w:w="1502"/>
        <w:gridCol w:w="2091"/>
        <w:gridCol w:w="1673"/>
        <w:gridCol w:w="1813"/>
        <w:gridCol w:w="2614"/>
      </w:tblGrid>
      <w:tr w:rsidR="002B55E9" w:rsidRPr="002B55E9" w14:paraId="588393C6"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493" w:type="dxa"/>
          </w:tcPr>
          <w:p w14:paraId="359D77E1" w14:textId="77777777" w:rsidR="00D170E5" w:rsidRPr="002B55E9" w:rsidRDefault="00EF27AD">
            <w:pPr>
              <w:pStyle w:val="lgy-"/>
            </w:pPr>
            <w:r w:rsidRPr="002B55E9">
              <w:rPr>
                <w:rFonts w:eastAsia="宋体"/>
              </w:rPr>
              <w:t>监测点位</w:t>
            </w:r>
            <w:r w:rsidRPr="002B55E9">
              <w:rPr>
                <w:rFonts w:eastAsia="宋体" w:hint="eastAsia"/>
              </w:rPr>
              <w:t>编号</w:t>
            </w:r>
          </w:p>
        </w:tc>
        <w:tc>
          <w:tcPr>
            <w:tcW w:w="2079" w:type="dxa"/>
          </w:tcPr>
          <w:p w14:paraId="750CB0A0" w14:textId="77777777" w:rsidR="00D170E5" w:rsidRPr="002B55E9" w:rsidRDefault="00EF27AD">
            <w:pPr>
              <w:pStyle w:val="lgy-"/>
            </w:pPr>
            <w:r w:rsidRPr="002B55E9">
              <w:rPr>
                <w:rFonts w:eastAsia="宋体"/>
              </w:rPr>
              <w:t>监测点位</w:t>
            </w:r>
            <w:r w:rsidRPr="002B55E9">
              <w:rPr>
                <w:rFonts w:eastAsia="宋体" w:hint="eastAsia"/>
              </w:rPr>
              <w:t>名称</w:t>
            </w:r>
          </w:p>
        </w:tc>
        <w:tc>
          <w:tcPr>
            <w:tcW w:w="1664" w:type="dxa"/>
          </w:tcPr>
          <w:p w14:paraId="02E0EBAE" w14:textId="77777777" w:rsidR="00D170E5" w:rsidRPr="002B55E9" w:rsidRDefault="00EF27AD">
            <w:pPr>
              <w:pStyle w:val="lgy-"/>
            </w:pPr>
            <w:r w:rsidRPr="002B55E9">
              <w:rPr>
                <w:rFonts w:eastAsia="宋体"/>
              </w:rPr>
              <w:t>经度</w:t>
            </w:r>
          </w:p>
        </w:tc>
        <w:tc>
          <w:tcPr>
            <w:tcW w:w="1803" w:type="dxa"/>
          </w:tcPr>
          <w:p w14:paraId="09BE27F0" w14:textId="77777777" w:rsidR="00D170E5" w:rsidRPr="002B55E9" w:rsidRDefault="00EF27AD" w:rsidP="00EF27AD">
            <w:pPr>
              <w:pStyle w:val="lgy-"/>
            </w:pPr>
            <w:r w:rsidRPr="002B55E9">
              <w:rPr>
                <w:rFonts w:eastAsia="宋体"/>
              </w:rPr>
              <w:t>纬度</w:t>
            </w:r>
          </w:p>
        </w:tc>
        <w:tc>
          <w:tcPr>
            <w:tcW w:w="2599" w:type="dxa"/>
          </w:tcPr>
          <w:p w14:paraId="5F0EDEBB" w14:textId="77777777" w:rsidR="00D170E5" w:rsidRPr="002B55E9" w:rsidRDefault="00EF27AD">
            <w:pPr>
              <w:pStyle w:val="lgy-"/>
              <w:rPr>
                <w:rFonts w:eastAsia="宋体"/>
              </w:rPr>
            </w:pPr>
            <w:r w:rsidRPr="002B55E9">
              <w:rPr>
                <w:rFonts w:eastAsia="宋体"/>
              </w:rPr>
              <w:t>与本项目方位及距离</w:t>
            </w:r>
          </w:p>
        </w:tc>
      </w:tr>
      <w:tr w:rsidR="002B55E9" w:rsidRPr="002B55E9" w14:paraId="12D9646F" w14:textId="77777777" w:rsidTr="00EF27AD">
        <w:trPr>
          <w:trHeight w:val="283"/>
        </w:trPr>
        <w:tc>
          <w:tcPr>
            <w:tcW w:w="1493" w:type="dxa"/>
          </w:tcPr>
          <w:p w14:paraId="4AC8FA68" w14:textId="77777777" w:rsidR="00D170E5" w:rsidRPr="002B55E9" w:rsidRDefault="00EF27AD">
            <w:pPr>
              <w:pStyle w:val="lgy-"/>
            </w:pPr>
            <w:r w:rsidRPr="002B55E9">
              <w:rPr>
                <w:rFonts w:eastAsia="宋体" w:hint="eastAsia"/>
              </w:rPr>
              <w:t>NW4</w:t>
            </w:r>
          </w:p>
        </w:tc>
        <w:tc>
          <w:tcPr>
            <w:tcW w:w="2079" w:type="dxa"/>
          </w:tcPr>
          <w:p w14:paraId="1B3B3BB4" w14:textId="77777777" w:rsidR="00D170E5" w:rsidRPr="002B55E9" w:rsidRDefault="00EF27AD">
            <w:pPr>
              <w:pStyle w:val="lgy-"/>
            </w:pPr>
            <w:r w:rsidRPr="002B55E9">
              <w:rPr>
                <w:rFonts w:eastAsia="宋体" w:hint="eastAsia"/>
              </w:rPr>
              <w:t>水质</w:t>
            </w:r>
            <w:r w:rsidRPr="002B55E9">
              <w:rPr>
                <w:rFonts w:eastAsia="宋体"/>
              </w:rPr>
              <w:t>水位复合点</w:t>
            </w:r>
          </w:p>
        </w:tc>
        <w:tc>
          <w:tcPr>
            <w:tcW w:w="1664" w:type="dxa"/>
          </w:tcPr>
          <w:p w14:paraId="4A6E2CA6" w14:textId="77777777" w:rsidR="00D170E5" w:rsidRPr="002B55E9" w:rsidRDefault="00EF27AD">
            <w:pPr>
              <w:pStyle w:val="lgy-"/>
            </w:pPr>
            <w:r w:rsidRPr="002B55E9">
              <w:rPr>
                <w:rFonts w:eastAsia="宋体"/>
              </w:rPr>
              <w:t>114.00014166</w:t>
            </w:r>
          </w:p>
        </w:tc>
        <w:tc>
          <w:tcPr>
            <w:tcW w:w="1803" w:type="dxa"/>
          </w:tcPr>
          <w:p w14:paraId="7FB3C859" w14:textId="77777777" w:rsidR="00D170E5" w:rsidRPr="002B55E9" w:rsidRDefault="00EF27AD">
            <w:pPr>
              <w:pStyle w:val="lgy-"/>
            </w:pPr>
            <w:r w:rsidRPr="002B55E9">
              <w:rPr>
                <w:rFonts w:eastAsia="宋体"/>
              </w:rPr>
              <w:t>30.67869557</w:t>
            </w:r>
          </w:p>
        </w:tc>
        <w:tc>
          <w:tcPr>
            <w:tcW w:w="2599" w:type="dxa"/>
          </w:tcPr>
          <w:p w14:paraId="2F19FBB0" w14:textId="77777777" w:rsidR="00D170E5" w:rsidRPr="002B55E9" w:rsidRDefault="00EF27AD">
            <w:pPr>
              <w:pStyle w:val="lgy-"/>
              <w:rPr>
                <w:rFonts w:eastAsia="宋体"/>
              </w:rPr>
            </w:pPr>
            <w:r w:rsidRPr="002B55E9">
              <w:rPr>
                <w:rFonts w:eastAsia="宋体" w:hint="eastAsia"/>
              </w:rPr>
              <w:t>厂区</w:t>
            </w:r>
            <w:r w:rsidRPr="002B55E9">
              <w:rPr>
                <w:rFonts w:eastAsia="宋体"/>
              </w:rPr>
              <w:t>东侧约</w:t>
            </w:r>
            <w:r w:rsidRPr="002B55E9">
              <w:rPr>
                <w:rFonts w:eastAsia="宋体" w:hint="eastAsia"/>
              </w:rPr>
              <w:t>450</w:t>
            </w:r>
            <w:r w:rsidRPr="002B55E9">
              <w:rPr>
                <w:rFonts w:eastAsia="宋体"/>
              </w:rPr>
              <w:t>m</w:t>
            </w:r>
            <w:r w:rsidRPr="002B55E9">
              <w:rPr>
                <w:rFonts w:eastAsia="宋体"/>
              </w:rPr>
              <w:t>处</w:t>
            </w:r>
          </w:p>
        </w:tc>
      </w:tr>
      <w:tr w:rsidR="002B55E9" w:rsidRPr="002B55E9" w14:paraId="48E24A97" w14:textId="77777777" w:rsidTr="00EF27AD">
        <w:trPr>
          <w:trHeight w:val="283"/>
        </w:trPr>
        <w:tc>
          <w:tcPr>
            <w:tcW w:w="1493" w:type="dxa"/>
          </w:tcPr>
          <w:p w14:paraId="38EEB377" w14:textId="77777777" w:rsidR="00D170E5" w:rsidRPr="002B55E9" w:rsidRDefault="00EF27AD">
            <w:pPr>
              <w:pStyle w:val="lgy-"/>
            </w:pPr>
            <w:r w:rsidRPr="002B55E9">
              <w:rPr>
                <w:rFonts w:eastAsia="宋体" w:hint="eastAsia"/>
              </w:rPr>
              <w:t>NW5</w:t>
            </w:r>
          </w:p>
        </w:tc>
        <w:tc>
          <w:tcPr>
            <w:tcW w:w="2079" w:type="dxa"/>
          </w:tcPr>
          <w:p w14:paraId="3867BE76" w14:textId="77777777" w:rsidR="00D170E5" w:rsidRPr="002B55E9" w:rsidRDefault="00EF27AD">
            <w:pPr>
              <w:pStyle w:val="lgy-"/>
            </w:pPr>
            <w:r w:rsidRPr="002B55E9">
              <w:rPr>
                <w:rFonts w:eastAsia="宋体" w:hint="eastAsia"/>
              </w:rPr>
              <w:t>水质</w:t>
            </w:r>
            <w:r w:rsidRPr="002B55E9">
              <w:rPr>
                <w:rFonts w:eastAsia="宋体"/>
              </w:rPr>
              <w:t>水位复合点</w:t>
            </w:r>
          </w:p>
        </w:tc>
        <w:tc>
          <w:tcPr>
            <w:tcW w:w="1664" w:type="dxa"/>
          </w:tcPr>
          <w:p w14:paraId="7F0293B9" w14:textId="77777777" w:rsidR="00D170E5" w:rsidRPr="002B55E9" w:rsidRDefault="00EF27AD">
            <w:pPr>
              <w:pStyle w:val="lgy-"/>
            </w:pPr>
            <w:r w:rsidRPr="002B55E9">
              <w:rPr>
                <w:rFonts w:eastAsia="宋体"/>
              </w:rPr>
              <w:t>114.00087289</w:t>
            </w:r>
          </w:p>
        </w:tc>
        <w:tc>
          <w:tcPr>
            <w:tcW w:w="1803" w:type="dxa"/>
          </w:tcPr>
          <w:p w14:paraId="20EA1EC3" w14:textId="77777777" w:rsidR="00D170E5" w:rsidRPr="002B55E9" w:rsidRDefault="00EF27AD">
            <w:pPr>
              <w:pStyle w:val="lgy-"/>
            </w:pPr>
            <w:r w:rsidRPr="002B55E9">
              <w:rPr>
                <w:rFonts w:eastAsia="宋体"/>
              </w:rPr>
              <w:t>30.67513443</w:t>
            </w:r>
          </w:p>
        </w:tc>
        <w:tc>
          <w:tcPr>
            <w:tcW w:w="2599" w:type="dxa"/>
          </w:tcPr>
          <w:p w14:paraId="50AAF0BC" w14:textId="77777777" w:rsidR="00D170E5" w:rsidRPr="002B55E9" w:rsidRDefault="00EF27AD">
            <w:pPr>
              <w:pStyle w:val="lgy-"/>
              <w:rPr>
                <w:rFonts w:eastAsia="宋体"/>
              </w:rPr>
            </w:pPr>
            <w:r w:rsidRPr="002B55E9">
              <w:rPr>
                <w:rFonts w:eastAsia="宋体" w:hint="eastAsia"/>
              </w:rPr>
              <w:t>厂区</w:t>
            </w:r>
            <w:r w:rsidRPr="002B55E9">
              <w:rPr>
                <w:rFonts w:eastAsia="宋体"/>
              </w:rPr>
              <w:t>东南侧约</w:t>
            </w:r>
            <w:r w:rsidRPr="002B55E9">
              <w:rPr>
                <w:rFonts w:eastAsia="宋体" w:hint="eastAsia"/>
              </w:rPr>
              <w:t>440m</w:t>
            </w:r>
            <w:r w:rsidRPr="002B55E9">
              <w:rPr>
                <w:rFonts w:eastAsia="宋体"/>
              </w:rPr>
              <w:t>处</w:t>
            </w:r>
          </w:p>
        </w:tc>
      </w:tr>
      <w:tr w:rsidR="002B55E9" w:rsidRPr="002B55E9" w14:paraId="5B36ABD4" w14:textId="77777777" w:rsidTr="00EF27AD">
        <w:trPr>
          <w:trHeight w:val="283"/>
        </w:trPr>
        <w:tc>
          <w:tcPr>
            <w:tcW w:w="1493" w:type="dxa"/>
          </w:tcPr>
          <w:p w14:paraId="2C546B15" w14:textId="77777777" w:rsidR="00D170E5" w:rsidRPr="002B55E9" w:rsidRDefault="00EF27AD">
            <w:pPr>
              <w:pStyle w:val="lgy-"/>
            </w:pPr>
            <w:r w:rsidRPr="002B55E9">
              <w:rPr>
                <w:rFonts w:eastAsia="宋体" w:hint="eastAsia"/>
              </w:rPr>
              <w:t>1#</w:t>
            </w:r>
          </w:p>
        </w:tc>
        <w:tc>
          <w:tcPr>
            <w:tcW w:w="2079" w:type="dxa"/>
          </w:tcPr>
          <w:p w14:paraId="3D9CD181" w14:textId="77777777" w:rsidR="00D170E5" w:rsidRPr="002B55E9" w:rsidRDefault="00EF27AD">
            <w:pPr>
              <w:pStyle w:val="lgy-"/>
            </w:pPr>
            <w:r w:rsidRPr="002B55E9">
              <w:rPr>
                <w:rFonts w:eastAsia="宋体" w:hint="eastAsia"/>
              </w:rPr>
              <w:t>水质</w:t>
            </w:r>
            <w:r w:rsidRPr="002B55E9">
              <w:rPr>
                <w:rFonts w:eastAsia="宋体"/>
              </w:rPr>
              <w:t>水位复合点</w:t>
            </w:r>
          </w:p>
        </w:tc>
        <w:tc>
          <w:tcPr>
            <w:tcW w:w="1664" w:type="dxa"/>
          </w:tcPr>
          <w:p w14:paraId="441E29A4" w14:textId="77777777" w:rsidR="00D170E5" w:rsidRPr="002B55E9" w:rsidRDefault="00EF27AD">
            <w:pPr>
              <w:pStyle w:val="lgy-"/>
            </w:pPr>
            <w:r w:rsidRPr="002B55E9">
              <w:rPr>
                <w:rFonts w:eastAsia="宋体"/>
              </w:rPr>
              <w:t>113.98778915</w:t>
            </w:r>
          </w:p>
        </w:tc>
        <w:tc>
          <w:tcPr>
            <w:tcW w:w="1803" w:type="dxa"/>
          </w:tcPr>
          <w:p w14:paraId="54304202" w14:textId="77777777" w:rsidR="00D170E5" w:rsidRPr="002B55E9" w:rsidRDefault="00EF27AD">
            <w:pPr>
              <w:pStyle w:val="lgy-"/>
            </w:pPr>
            <w:r w:rsidRPr="002B55E9">
              <w:rPr>
                <w:rFonts w:eastAsia="宋体"/>
              </w:rPr>
              <w:t>30.67139682</w:t>
            </w:r>
          </w:p>
        </w:tc>
        <w:tc>
          <w:tcPr>
            <w:tcW w:w="2599" w:type="dxa"/>
          </w:tcPr>
          <w:p w14:paraId="5A6120DD" w14:textId="77777777" w:rsidR="00D170E5" w:rsidRPr="002B55E9" w:rsidRDefault="00EF27AD">
            <w:pPr>
              <w:pStyle w:val="lgy-"/>
              <w:rPr>
                <w:rFonts w:eastAsia="宋体"/>
              </w:rPr>
            </w:pPr>
            <w:r w:rsidRPr="002B55E9">
              <w:rPr>
                <w:rFonts w:eastAsia="宋体" w:hint="eastAsia"/>
              </w:rPr>
              <w:t>厂区</w:t>
            </w:r>
            <w:r w:rsidRPr="002B55E9">
              <w:rPr>
                <w:rFonts w:eastAsia="宋体"/>
              </w:rPr>
              <w:t>西南约</w:t>
            </w:r>
            <w:r w:rsidRPr="002B55E9">
              <w:rPr>
                <w:rFonts w:eastAsia="宋体" w:hint="eastAsia"/>
              </w:rPr>
              <w:t>200</w:t>
            </w:r>
            <w:r w:rsidRPr="002B55E9">
              <w:rPr>
                <w:rFonts w:eastAsia="宋体"/>
              </w:rPr>
              <w:t>m</w:t>
            </w:r>
            <w:r w:rsidRPr="002B55E9">
              <w:rPr>
                <w:rFonts w:eastAsia="宋体"/>
              </w:rPr>
              <w:t>处</w:t>
            </w:r>
          </w:p>
        </w:tc>
      </w:tr>
      <w:tr w:rsidR="002B55E9" w:rsidRPr="002B55E9" w14:paraId="6AB34C11" w14:textId="77777777" w:rsidTr="00EF27AD">
        <w:trPr>
          <w:trHeight w:val="283"/>
        </w:trPr>
        <w:tc>
          <w:tcPr>
            <w:tcW w:w="1493" w:type="dxa"/>
          </w:tcPr>
          <w:p w14:paraId="5B6AD348" w14:textId="77777777" w:rsidR="00D170E5" w:rsidRPr="002B55E9" w:rsidRDefault="00EF27AD">
            <w:pPr>
              <w:pStyle w:val="lgy-"/>
            </w:pPr>
            <w:r w:rsidRPr="002B55E9">
              <w:rPr>
                <w:rFonts w:eastAsia="宋体" w:hint="eastAsia"/>
              </w:rPr>
              <w:t>NW9</w:t>
            </w:r>
          </w:p>
        </w:tc>
        <w:tc>
          <w:tcPr>
            <w:tcW w:w="2079" w:type="dxa"/>
          </w:tcPr>
          <w:p w14:paraId="2C38673F" w14:textId="77777777" w:rsidR="00D170E5" w:rsidRPr="002B55E9" w:rsidRDefault="00EF27AD">
            <w:pPr>
              <w:pStyle w:val="lgy-"/>
            </w:pPr>
            <w:r w:rsidRPr="002B55E9">
              <w:rPr>
                <w:rFonts w:eastAsia="宋体" w:hint="eastAsia"/>
              </w:rPr>
              <w:t>水位</w:t>
            </w:r>
            <w:r w:rsidRPr="002B55E9">
              <w:rPr>
                <w:rFonts w:eastAsia="宋体"/>
              </w:rPr>
              <w:t>点</w:t>
            </w:r>
          </w:p>
        </w:tc>
        <w:tc>
          <w:tcPr>
            <w:tcW w:w="1664" w:type="dxa"/>
          </w:tcPr>
          <w:p w14:paraId="0ADD998E" w14:textId="77777777" w:rsidR="00D170E5" w:rsidRPr="002B55E9" w:rsidRDefault="00EF27AD">
            <w:pPr>
              <w:pStyle w:val="lgy-"/>
            </w:pPr>
            <w:r w:rsidRPr="002B55E9">
              <w:rPr>
                <w:rFonts w:eastAsia="宋体"/>
              </w:rPr>
              <w:t>113.99013574</w:t>
            </w:r>
          </w:p>
        </w:tc>
        <w:tc>
          <w:tcPr>
            <w:tcW w:w="1803" w:type="dxa"/>
          </w:tcPr>
          <w:p w14:paraId="7258A2DE" w14:textId="77777777" w:rsidR="00D170E5" w:rsidRPr="002B55E9" w:rsidRDefault="00EF27AD">
            <w:pPr>
              <w:pStyle w:val="lgy-"/>
            </w:pPr>
            <w:r w:rsidRPr="002B55E9">
              <w:rPr>
                <w:rFonts w:eastAsia="宋体"/>
              </w:rPr>
              <w:t>30.66234354</w:t>
            </w:r>
          </w:p>
        </w:tc>
        <w:tc>
          <w:tcPr>
            <w:tcW w:w="2599" w:type="dxa"/>
          </w:tcPr>
          <w:p w14:paraId="4D6D0706" w14:textId="77777777" w:rsidR="00D170E5" w:rsidRPr="002B55E9" w:rsidRDefault="00EF27AD">
            <w:pPr>
              <w:pStyle w:val="lgy-"/>
              <w:rPr>
                <w:rFonts w:eastAsia="宋体"/>
              </w:rPr>
            </w:pPr>
            <w:r w:rsidRPr="002B55E9">
              <w:rPr>
                <w:rFonts w:eastAsia="宋体" w:hint="eastAsia"/>
              </w:rPr>
              <w:t>厂区</w:t>
            </w:r>
            <w:r w:rsidRPr="002B55E9">
              <w:rPr>
                <w:rFonts w:eastAsia="宋体"/>
              </w:rPr>
              <w:t>西南侧约</w:t>
            </w:r>
            <w:r w:rsidRPr="002B55E9">
              <w:rPr>
                <w:rFonts w:eastAsia="宋体" w:hint="eastAsia"/>
              </w:rPr>
              <w:t>1.3</w:t>
            </w:r>
            <w:r w:rsidRPr="002B55E9">
              <w:rPr>
                <w:rFonts w:eastAsia="宋体"/>
              </w:rPr>
              <w:t>km</w:t>
            </w:r>
            <w:r w:rsidRPr="002B55E9">
              <w:rPr>
                <w:rFonts w:eastAsia="宋体"/>
              </w:rPr>
              <w:t>处</w:t>
            </w:r>
          </w:p>
        </w:tc>
      </w:tr>
      <w:tr w:rsidR="002B55E9" w:rsidRPr="002B55E9" w14:paraId="78513E19" w14:textId="77777777" w:rsidTr="00EF27AD">
        <w:trPr>
          <w:trHeight w:val="283"/>
        </w:trPr>
        <w:tc>
          <w:tcPr>
            <w:tcW w:w="1493" w:type="dxa"/>
          </w:tcPr>
          <w:p w14:paraId="7B7A0EAD" w14:textId="77777777" w:rsidR="00D170E5" w:rsidRPr="002B55E9" w:rsidRDefault="00EF27AD">
            <w:pPr>
              <w:pStyle w:val="lgy-"/>
            </w:pPr>
            <w:r w:rsidRPr="002B55E9">
              <w:rPr>
                <w:rFonts w:eastAsia="宋体" w:hint="eastAsia"/>
              </w:rPr>
              <w:t>2#</w:t>
            </w:r>
          </w:p>
        </w:tc>
        <w:tc>
          <w:tcPr>
            <w:tcW w:w="2079" w:type="dxa"/>
          </w:tcPr>
          <w:p w14:paraId="1491EF46" w14:textId="77777777" w:rsidR="00D170E5" w:rsidRPr="002B55E9" w:rsidRDefault="00EF27AD">
            <w:pPr>
              <w:pStyle w:val="lgy-"/>
            </w:pPr>
            <w:r w:rsidRPr="002B55E9">
              <w:rPr>
                <w:rFonts w:eastAsia="宋体" w:hint="eastAsia"/>
              </w:rPr>
              <w:t>水位</w:t>
            </w:r>
            <w:r w:rsidRPr="002B55E9">
              <w:rPr>
                <w:rFonts w:eastAsia="宋体"/>
              </w:rPr>
              <w:t>点</w:t>
            </w:r>
          </w:p>
        </w:tc>
        <w:tc>
          <w:tcPr>
            <w:tcW w:w="1664" w:type="dxa"/>
          </w:tcPr>
          <w:p w14:paraId="3D94FD9D" w14:textId="77777777" w:rsidR="00D170E5" w:rsidRPr="002B55E9" w:rsidRDefault="00EF27AD">
            <w:pPr>
              <w:pStyle w:val="lgy-"/>
            </w:pPr>
            <w:r w:rsidRPr="002B55E9">
              <w:rPr>
                <w:rFonts w:eastAsia="宋体"/>
              </w:rPr>
              <w:t>113.99611473</w:t>
            </w:r>
          </w:p>
        </w:tc>
        <w:tc>
          <w:tcPr>
            <w:tcW w:w="1803" w:type="dxa"/>
          </w:tcPr>
          <w:p w14:paraId="17D237D2" w14:textId="77777777" w:rsidR="00D170E5" w:rsidRPr="002B55E9" w:rsidRDefault="00EF27AD">
            <w:pPr>
              <w:pStyle w:val="lgy-"/>
            </w:pPr>
            <w:r w:rsidRPr="002B55E9">
              <w:rPr>
                <w:rFonts w:eastAsia="宋体"/>
              </w:rPr>
              <w:t>30.67165520</w:t>
            </w:r>
          </w:p>
        </w:tc>
        <w:tc>
          <w:tcPr>
            <w:tcW w:w="2599" w:type="dxa"/>
          </w:tcPr>
          <w:p w14:paraId="76B42736" w14:textId="77777777" w:rsidR="00D170E5" w:rsidRPr="002B55E9" w:rsidRDefault="00EF27AD">
            <w:pPr>
              <w:pStyle w:val="lgy-"/>
              <w:rPr>
                <w:rFonts w:eastAsia="宋体"/>
              </w:rPr>
            </w:pPr>
            <w:r w:rsidRPr="002B55E9">
              <w:rPr>
                <w:rFonts w:eastAsia="宋体" w:hint="eastAsia"/>
              </w:rPr>
              <w:t>厂区</w:t>
            </w:r>
            <w:r w:rsidRPr="002B55E9">
              <w:rPr>
                <w:rFonts w:eastAsia="宋体"/>
              </w:rPr>
              <w:t>南侧约</w:t>
            </w:r>
            <w:r w:rsidRPr="002B55E9">
              <w:rPr>
                <w:rFonts w:eastAsia="宋体" w:hint="eastAsia"/>
              </w:rPr>
              <w:t>200</w:t>
            </w:r>
            <w:r w:rsidRPr="002B55E9">
              <w:rPr>
                <w:rFonts w:eastAsia="宋体"/>
              </w:rPr>
              <w:t>m</w:t>
            </w:r>
            <w:r w:rsidRPr="002B55E9">
              <w:rPr>
                <w:rFonts w:eastAsia="宋体"/>
              </w:rPr>
              <w:t>处</w:t>
            </w:r>
          </w:p>
        </w:tc>
      </w:tr>
      <w:tr w:rsidR="002B55E9" w:rsidRPr="002B55E9" w14:paraId="3DACBC64" w14:textId="77777777" w:rsidTr="00EF27AD">
        <w:trPr>
          <w:trHeight w:val="283"/>
        </w:trPr>
        <w:tc>
          <w:tcPr>
            <w:tcW w:w="1493" w:type="dxa"/>
          </w:tcPr>
          <w:p w14:paraId="5FC82C1B" w14:textId="77777777" w:rsidR="00D170E5" w:rsidRPr="002B55E9" w:rsidRDefault="00EF27AD">
            <w:pPr>
              <w:pStyle w:val="lgy-"/>
            </w:pPr>
            <w:r w:rsidRPr="002B55E9">
              <w:rPr>
                <w:rFonts w:eastAsia="宋体" w:hint="eastAsia"/>
              </w:rPr>
              <w:t>3#</w:t>
            </w:r>
          </w:p>
        </w:tc>
        <w:tc>
          <w:tcPr>
            <w:tcW w:w="2079" w:type="dxa"/>
          </w:tcPr>
          <w:p w14:paraId="1D50FEB9" w14:textId="77777777" w:rsidR="00D170E5" w:rsidRPr="002B55E9" w:rsidRDefault="00EF27AD">
            <w:pPr>
              <w:pStyle w:val="lgy-"/>
            </w:pPr>
            <w:r w:rsidRPr="002B55E9">
              <w:rPr>
                <w:rFonts w:eastAsia="宋体" w:hint="eastAsia"/>
              </w:rPr>
              <w:t>水位</w:t>
            </w:r>
            <w:r w:rsidRPr="002B55E9">
              <w:rPr>
                <w:rFonts w:eastAsia="宋体"/>
              </w:rPr>
              <w:t>点</w:t>
            </w:r>
          </w:p>
        </w:tc>
        <w:tc>
          <w:tcPr>
            <w:tcW w:w="1664" w:type="dxa"/>
          </w:tcPr>
          <w:p w14:paraId="4748BCCC" w14:textId="77777777" w:rsidR="00D170E5" w:rsidRPr="002B55E9" w:rsidRDefault="00EF27AD">
            <w:pPr>
              <w:pStyle w:val="lgy-"/>
            </w:pPr>
            <w:r w:rsidRPr="002B55E9">
              <w:rPr>
                <w:rFonts w:eastAsia="宋体"/>
              </w:rPr>
              <w:t>113.98929119</w:t>
            </w:r>
          </w:p>
        </w:tc>
        <w:tc>
          <w:tcPr>
            <w:tcW w:w="1803" w:type="dxa"/>
          </w:tcPr>
          <w:p w14:paraId="4C7FC3C9" w14:textId="77777777" w:rsidR="00D170E5" w:rsidRPr="002B55E9" w:rsidRDefault="00EF27AD">
            <w:pPr>
              <w:pStyle w:val="lgy-"/>
            </w:pPr>
            <w:r w:rsidRPr="002B55E9">
              <w:rPr>
                <w:rFonts w:eastAsia="宋体"/>
              </w:rPr>
              <w:t>30.67848362</w:t>
            </w:r>
          </w:p>
        </w:tc>
        <w:tc>
          <w:tcPr>
            <w:tcW w:w="2599" w:type="dxa"/>
          </w:tcPr>
          <w:p w14:paraId="5C86E284" w14:textId="77777777" w:rsidR="00D170E5" w:rsidRPr="002B55E9" w:rsidRDefault="00EF27AD">
            <w:pPr>
              <w:pStyle w:val="lgy-"/>
              <w:rPr>
                <w:rFonts w:eastAsia="宋体"/>
              </w:rPr>
            </w:pPr>
            <w:r w:rsidRPr="002B55E9">
              <w:rPr>
                <w:rFonts w:eastAsia="宋体" w:hint="eastAsia"/>
              </w:rPr>
              <w:t>厂区</w:t>
            </w:r>
            <w:r w:rsidRPr="002B55E9">
              <w:rPr>
                <w:rFonts w:eastAsia="宋体"/>
              </w:rPr>
              <w:t>北侧约</w:t>
            </w:r>
            <w:r w:rsidRPr="002B55E9">
              <w:rPr>
                <w:rFonts w:eastAsia="宋体" w:hint="eastAsia"/>
              </w:rPr>
              <w:t>300</w:t>
            </w:r>
            <w:r w:rsidRPr="002B55E9">
              <w:rPr>
                <w:rFonts w:eastAsia="宋体"/>
              </w:rPr>
              <w:t xml:space="preserve">m </w:t>
            </w:r>
            <w:r w:rsidRPr="002B55E9">
              <w:rPr>
                <w:rFonts w:eastAsia="宋体" w:hint="eastAsia"/>
              </w:rPr>
              <w:t>处</w:t>
            </w:r>
          </w:p>
        </w:tc>
      </w:tr>
    </w:tbl>
    <w:p w14:paraId="26C42B63" w14:textId="77777777" w:rsidR="00D170E5" w:rsidRPr="002B55E9" w:rsidRDefault="00EF27AD">
      <w:pPr>
        <w:pStyle w:val="5"/>
        <w:numPr>
          <w:ilvl w:val="4"/>
          <w:numId w:val="22"/>
        </w:numPr>
      </w:pPr>
      <w:r w:rsidRPr="002B55E9">
        <w:rPr>
          <w:rFonts w:hint="eastAsia"/>
        </w:rPr>
        <w:t>评价</w:t>
      </w:r>
      <w:r w:rsidRPr="002B55E9">
        <w:t>方法</w:t>
      </w:r>
    </w:p>
    <w:p w14:paraId="4EC12D63" w14:textId="77777777" w:rsidR="00D170E5" w:rsidRPr="002B55E9" w:rsidRDefault="00EF27AD">
      <w:pPr>
        <w:pStyle w:val="affff7"/>
      </w:pPr>
      <w:r w:rsidRPr="002B55E9">
        <w:t>根据地下水导则的要求，地下水水质现状评价应采用标准指数法。标准指数＞</w:t>
      </w:r>
      <w:r w:rsidRPr="002B55E9">
        <w:t>1</w:t>
      </w:r>
      <w:r w:rsidRPr="002B55E9">
        <w:t>，表明该水质因子已超标，标准指数越大，超标越严重。</w:t>
      </w:r>
    </w:p>
    <w:p w14:paraId="63F7002F" w14:textId="77777777" w:rsidR="00D170E5" w:rsidRPr="002B55E9" w:rsidRDefault="00EF27AD">
      <w:pPr>
        <w:pStyle w:val="affff7"/>
      </w:pPr>
      <w:r w:rsidRPr="002B55E9">
        <w:t>（</w:t>
      </w:r>
      <w:r w:rsidRPr="002B55E9">
        <w:t>1</w:t>
      </w:r>
      <w:r w:rsidRPr="002B55E9">
        <w:t>）对于评价标准为定值的水质因子：</w:t>
      </w:r>
    </w:p>
    <w:p w14:paraId="15CF0762" w14:textId="77777777" w:rsidR="00D170E5" w:rsidRPr="002B55E9" w:rsidRDefault="00EF27AD">
      <w:pPr>
        <w:pStyle w:val="affff7"/>
        <w:jc w:val="center"/>
      </w:pPr>
      <w:r w:rsidRPr="002B55E9">
        <w:rPr>
          <w:position w:val="-30"/>
        </w:rPr>
        <w:object w:dxaOrig="914" w:dyaOrig="726" w14:anchorId="0239164B">
          <v:shape id="_x0000_i1026" type="#_x0000_t75" style="width:46.05pt;height:36.85pt" o:ole="">
            <v:imagedata r:id="rId33" o:title=""/>
          </v:shape>
          <o:OLEObject Type="Embed" ProgID="Equation.3" ShapeID="_x0000_i1026" DrawAspect="Content" ObjectID="_1732338922" r:id="rId34"/>
        </w:object>
      </w:r>
    </w:p>
    <w:p w14:paraId="425AFB31" w14:textId="77777777" w:rsidR="00D170E5" w:rsidRPr="002B55E9" w:rsidRDefault="00EF27AD">
      <w:pPr>
        <w:pStyle w:val="affff7"/>
      </w:pPr>
      <w:r w:rsidRPr="002B55E9">
        <w:lastRenderedPageBreak/>
        <w:t>式中：</w:t>
      </w:r>
      <w:r w:rsidRPr="002B55E9">
        <w:t>Pi—</w:t>
      </w:r>
      <w:r w:rsidRPr="002B55E9">
        <w:t>第</w:t>
      </w:r>
      <w:r w:rsidRPr="002B55E9">
        <w:t>i</w:t>
      </w:r>
      <w:r w:rsidRPr="002B55E9">
        <w:t>个水质因子的标准指数，无量纲；</w:t>
      </w:r>
    </w:p>
    <w:p w14:paraId="3763504E" w14:textId="77777777" w:rsidR="00D170E5" w:rsidRPr="002B55E9" w:rsidRDefault="00EF27AD">
      <w:pPr>
        <w:pStyle w:val="affff7"/>
      </w:pPr>
      <w:r w:rsidRPr="002B55E9">
        <w:t>Ci—</w:t>
      </w:r>
      <w:r w:rsidRPr="002B55E9">
        <w:t>第</w:t>
      </w:r>
      <w:r w:rsidRPr="002B55E9">
        <w:t>i</w:t>
      </w:r>
      <w:r w:rsidRPr="002B55E9">
        <w:t>个水质因子的监测浓度值，</w:t>
      </w:r>
      <w:r w:rsidRPr="002B55E9">
        <w:t>mg/L</w:t>
      </w:r>
      <w:r w:rsidRPr="002B55E9">
        <w:t>；</w:t>
      </w:r>
    </w:p>
    <w:p w14:paraId="780CA171" w14:textId="77777777" w:rsidR="00D170E5" w:rsidRPr="002B55E9" w:rsidRDefault="00EF27AD">
      <w:pPr>
        <w:pStyle w:val="affff7"/>
      </w:pPr>
      <w:r w:rsidRPr="002B55E9">
        <w:t>CSi—</w:t>
      </w:r>
      <w:r w:rsidRPr="002B55E9">
        <w:t>第</w:t>
      </w:r>
      <w:r w:rsidRPr="002B55E9">
        <w:t>i</w:t>
      </w:r>
      <w:r w:rsidRPr="002B55E9">
        <w:t>个水质因子的标准浓度值，</w:t>
      </w:r>
      <w:r w:rsidRPr="002B55E9">
        <w:t>mg/L</w:t>
      </w:r>
      <w:r w:rsidRPr="002B55E9">
        <w:t>。</w:t>
      </w:r>
    </w:p>
    <w:p w14:paraId="179A557A" w14:textId="77777777" w:rsidR="00D170E5" w:rsidRPr="002B55E9" w:rsidRDefault="00EF27AD">
      <w:pPr>
        <w:pStyle w:val="affff7"/>
      </w:pPr>
      <w:r w:rsidRPr="002B55E9">
        <w:t>（</w:t>
      </w:r>
      <w:r w:rsidRPr="002B55E9">
        <w:t>2</w:t>
      </w:r>
      <w:r w:rsidRPr="002B55E9">
        <w:t>）对于评价标准为区间值的水质因子（如</w:t>
      </w:r>
      <w:r w:rsidRPr="002B55E9">
        <w:t>pH</w:t>
      </w:r>
      <w:r w:rsidRPr="002B55E9">
        <w:t>值），其标准指数计算方法如下：</w:t>
      </w:r>
    </w:p>
    <w:p w14:paraId="16CDF2AE" w14:textId="77777777" w:rsidR="00D170E5" w:rsidRPr="002B55E9" w:rsidRDefault="00EF27AD">
      <w:pPr>
        <w:pStyle w:val="affff7"/>
        <w:jc w:val="center"/>
      </w:pPr>
      <w:r w:rsidRPr="002B55E9">
        <w:rPr>
          <w:position w:val="-30"/>
        </w:rPr>
        <w:object w:dxaOrig="2993" w:dyaOrig="726" w14:anchorId="6318DAA4">
          <v:shape id="_x0000_i1027" type="#_x0000_t75" style="width:150.7pt;height:36.85pt" o:ole="">
            <v:imagedata r:id="rId35" o:title=""/>
          </v:shape>
          <o:OLEObject Type="Embed" ProgID="Equation.3" ShapeID="_x0000_i1027" DrawAspect="Content" ObjectID="_1732338923" r:id="rId36"/>
        </w:object>
      </w:r>
    </w:p>
    <w:p w14:paraId="75E3AA04" w14:textId="77777777" w:rsidR="00D170E5" w:rsidRPr="002B55E9" w:rsidRDefault="00EF27AD">
      <w:pPr>
        <w:pStyle w:val="affff7"/>
        <w:jc w:val="center"/>
      </w:pPr>
      <w:r w:rsidRPr="002B55E9">
        <w:rPr>
          <w:position w:val="-30"/>
        </w:rPr>
        <w:object w:dxaOrig="2993" w:dyaOrig="726" w14:anchorId="4B88AF09">
          <v:shape id="_x0000_i1028" type="#_x0000_t75" style="width:150.7pt;height:36.85pt" o:ole="">
            <v:imagedata r:id="rId37" o:title=""/>
          </v:shape>
          <o:OLEObject Type="Embed" ProgID="Equation.3" ShapeID="_x0000_i1028" DrawAspect="Content" ObjectID="_1732338924" r:id="rId38"/>
        </w:object>
      </w:r>
    </w:p>
    <w:p w14:paraId="39FE4D1F" w14:textId="77777777" w:rsidR="00D170E5" w:rsidRPr="002B55E9" w:rsidRDefault="00EF27AD">
      <w:pPr>
        <w:pStyle w:val="affff7"/>
      </w:pPr>
      <w:r w:rsidRPr="002B55E9">
        <w:t>式中：</w:t>
      </w:r>
      <w:r w:rsidRPr="002B55E9">
        <w:t>P</w:t>
      </w:r>
      <w:r w:rsidRPr="002B55E9">
        <w:rPr>
          <w:vertAlign w:val="subscript"/>
        </w:rPr>
        <w:t>pH</w:t>
      </w:r>
      <w:r w:rsidRPr="002B55E9">
        <w:t>：</w:t>
      </w:r>
      <w:r w:rsidRPr="002B55E9">
        <w:t>pH</w:t>
      </w:r>
      <w:r w:rsidRPr="002B55E9">
        <w:t>的标准指数，无量纲；</w:t>
      </w:r>
    </w:p>
    <w:p w14:paraId="6BE166DD" w14:textId="77777777" w:rsidR="00D170E5" w:rsidRPr="002B55E9" w:rsidRDefault="00EF27AD">
      <w:pPr>
        <w:pStyle w:val="affff7"/>
        <w:ind w:firstLineChars="500" w:firstLine="1200"/>
      </w:pPr>
      <w:r w:rsidRPr="002B55E9">
        <w:t>pH</w:t>
      </w:r>
      <w:r w:rsidRPr="002B55E9">
        <w:t>：</w:t>
      </w:r>
      <w:r w:rsidRPr="002B55E9">
        <w:t>pH</w:t>
      </w:r>
      <w:r w:rsidRPr="002B55E9">
        <w:t>监测值；</w:t>
      </w:r>
    </w:p>
    <w:p w14:paraId="41342CDD" w14:textId="77777777" w:rsidR="00D170E5" w:rsidRPr="002B55E9" w:rsidRDefault="00EF27AD">
      <w:pPr>
        <w:pStyle w:val="affff7"/>
        <w:ind w:firstLineChars="500" w:firstLine="1200"/>
      </w:pPr>
      <w:r w:rsidRPr="002B55E9">
        <w:t>pH</w:t>
      </w:r>
      <w:r w:rsidRPr="002B55E9">
        <w:rPr>
          <w:vertAlign w:val="subscript"/>
        </w:rPr>
        <w:t>sd</w:t>
      </w:r>
      <w:r w:rsidRPr="002B55E9">
        <w:t>：标准中</w:t>
      </w:r>
      <w:r w:rsidRPr="002B55E9">
        <w:t>pH</w:t>
      </w:r>
      <w:r w:rsidRPr="002B55E9">
        <w:t>的下限值；</w:t>
      </w:r>
    </w:p>
    <w:p w14:paraId="09A9E870" w14:textId="77777777" w:rsidR="00D170E5" w:rsidRPr="002B55E9" w:rsidRDefault="00EF27AD">
      <w:pPr>
        <w:pStyle w:val="affff7"/>
        <w:ind w:firstLineChars="500" w:firstLine="1200"/>
      </w:pPr>
      <w:r w:rsidRPr="002B55E9">
        <w:t>pHsu</w:t>
      </w:r>
      <w:r w:rsidRPr="002B55E9">
        <w:t>：标准中</w:t>
      </w:r>
      <w:r w:rsidRPr="002B55E9">
        <w:t>pH</w:t>
      </w:r>
      <w:r w:rsidRPr="002B55E9">
        <w:t>的上限值。</w:t>
      </w:r>
    </w:p>
    <w:p w14:paraId="5646D578" w14:textId="77777777" w:rsidR="00D170E5" w:rsidRPr="002B55E9" w:rsidRDefault="00EF27AD">
      <w:pPr>
        <w:pStyle w:val="affff7"/>
      </w:pPr>
      <w:r w:rsidRPr="002B55E9">
        <w:t>水质参数的标准指数大于</w:t>
      </w:r>
      <w:r w:rsidRPr="002B55E9">
        <w:t>1</w:t>
      </w:r>
      <w:r w:rsidRPr="002B55E9">
        <w:t>，表明该水质参数超过了规定的水质标准。</w:t>
      </w:r>
    </w:p>
    <w:bookmarkEnd w:id="200"/>
    <w:p w14:paraId="7678530D" w14:textId="77777777" w:rsidR="00D170E5" w:rsidRPr="002B55E9" w:rsidRDefault="00EF27AD">
      <w:pPr>
        <w:pStyle w:val="5"/>
      </w:pPr>
      <w:r w:rsidRPr="002B55E9">
        <w:rPr>
          <w:rFonts w:hint="eastAsia"/>
        </w:rPr>
        <w:t>监测结果及评价</w:t>
      </w:r>
    </w:p>
    <w:p w14:paraId="01172099" w14:textId="009AC5FC" w:rsidR="00D170E5" w:rsidRPr="002B55E9" w:rsidRDefault="00EF27AD">
      <w:pPr>
        <w:pStyle w:val="affff7"/>
        <w:spacing w:after="0"/>
      </w:pPr>
      <w:r w:rsidRPr="002B55E9">
        <w:t>项目所在区域</w:t>
      </w:r>
      <w:r w:rsidRPr="002B55E9">
        <w:rPr>
          <w:rFonts w:hint="eastAsia"/>
        </w:rPr>
        <w:t>地下水水位监测结果</w:t>
      </w:r>
      <w:r w:rsidRPr="002B55E9">
        <w:t>见</w:t>
      </w:r>
      <w:r w:rsidRPr="002B55E9">
        <w:rPr>
          <w:rFonts w:hint="eastAsia"/>
        </w:rPr>
        <w:t>下</w:t>
      </w:r>
      <w:r w:rsidRPr="002B55E9">
        <w:t>表</w:t>
      </w:r>
      <w:r w:rsidRPr="002B55E9">
        <w:rPr>
          <w:rFonts w:hint="eastAsia"/>
        </w:rPr>
        <w:t>4</w:t>
      </w:r>
      <w:r w:rsidRPr="002B55E9">
        <w:t>-2-</w:t>
      </w:r>
      <w:r w:rsidR="006C19DD" w:rsidRPr="002B55E9">
        <w:t>8</w:t>
      </w:r>
      <w:r w:rsidRPr="002B55E9">
        <w:rPr>
          <w:rFonts w:hint="eastAsia"/>
        </w:rPr>
        <w:t>，</w:t>
      </w:r>
      <w:r w:rsidRPr="002B55E9">
        <w:t>项目所在区域</w:t>
      </w:r>
      <w:r w:rsidRPr="002B55E9">
        <w:rPr>
          <w:rFonts w:hint="eastAsia"/>
        </w:rPr>
        <w:t>地下水水质监测结果</w:t>
      </w:r>
      <w:r w:rsidRPr="002B55E9">
        <w:t>见表</w:t>
      </w:r>
      <w:r w:rsidRPr="002B55E9">
        <w:t>4</w:t>
      </w:r>
      <w:r w:rsidRPr="002B55E9">
        <w:rPr>
          <w:rFonts w:hint="eastAsia"/>
        </w:rPr>
        <w:t>-</w:t>
      </w:r>
      <w:r w:rsidR="006C19DD" w:rsidRPr="002B55E9">
        <w:t>2-9</w:t>
      </w:r>
      <w:r w:rsidRPr="002B55E9">
        <w:t>。</w:t>
      </w:r>
    </w:p>
    <w:p w14:paraId="6F4A3F42" w14:textId="77777777" w:rsidR="00D170E5" w:rsidRPr="002B55E9" w:rsidRDefault="00EF27AD">
      <w:pPr>
        <w:pStyle w:val="afffffffffffff3"/>
        <w:ind w:firstLine="482"/>
        <w:rPr>
          <w:sz w:val="24"/>
          <w:szCs w:val="32"/>
        </w:rPr>
      </w:pPr>
      <w:r w:rsidRPr="002B55E9">
        <w:rPr>
          <w:rFonts w:hint="eastAsia"/>
          <w:sz w:val="24"/>
          <w:szCs w:val="32"/>
        </w:rPr>
        <w:t>表</w:t>
      </w:r>
      <w:r w:rsidRPr="002B55E9">
        <w:rPr>
          <w:sz w:val="24"/>
          <w:szCs w:val="32"/>
        </w:rPr>
        <w:t>4</w:t>
      </w:r>
      <w:r w:rsidRPr="002B55E9">
        <w:rPr>
          <w:rFonts w:hint="eastAsia"/>
          <w:sz w:val="24"/>
          <w:szCs w:val="32"/>
        </w:rPr>
        <w:t>-</w:t>
      </w:r>
      <w:r w:rsidRPr="002B55E9">
        <w:rPr>
          <w:sz w:val="24"/>
          <w:szCs w:val="32"/>
        </w:rPr>
        <w:t>2</w:t>
      </w:r>
      <w:r w:rsidRPr="002B55E9">
        <w:rPr>
          <w:rFonts w:hint="eastAsia"/>
          <w:sz w:val="24"/>
          <w:szCs w:val="32"/>
        </w:rPr>
        <w:t>-</w:t>
      </w:r>
      <w:r w:rsidRPr="002B55E9">
        <w:rPr>
          <w:sz w:val="24"/>
          <w:szCs w:val="32"/>
        </w:rPr>
        <w:t>8</w:t>
      </w:r>
      <w:r w:rsidRPr="002B55E9">
        <w:rPr>
          <w:rFonts w:hint="eastAsia"/>
          <w:sz w:val="24"/>
          <w:szCs w:val="32"/>
        </w:rPr>
        <w:t xml:space="preserve"> </w:t>
      </w:r>
      <w:r w:rsidRPr="002B55E9">
        <w:rPr>
          <w:rFonts w:hint="eastAsia"/>
          <w:sz w:val="24"/>
          <w:szCs w:val="32"/>
        </w:rPr>
        <w:t>地下水水位监测结果</w:t>
      </w:r>
      <w:r w:rsidRPr="002B55E9">
        <w:rPr>
          <w:sz w:val="24"/>
          <w:szCs w:val="32"/>
        </w:rPr>
        <w:t>一览表</w:t>
      </w:r>
    </w:p>
    <w:tbl>
      <w:tblPr>
        <w:tblW w:w="96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00"/>
        <w:gridCol w:w="823"/>
        <w:gridCol w:w="1363"/>
        <w:gridCol w:w="1363"/>
        <w:gridCol w:w="1463"/>
        <w:gridCol w:w="1363"/>
        <w:gridCol w:w="1363"/>
      </w:tblGrid>
      <w:tr w:rsidR="002B55E9" w:rsidRPr="002B55E9" w14:paraId="439F637F" w14:textId="77777777">
        <w:trPr>
          <w:trHeight w:val="284"/>
          <w:jc w:val="center"/>
        </w:trPr>
        <w:tc>
          <w:tcPr>
            <w:tcW w:w="1900" w:type="dxa"/>
            <w:vAlign w:val="center"/>
          </w:tcPr>
          <w:p w14:paraId="0E69B13B" w14:textId="77777777" w:rsidR="00D170E5" w:rsidRPr="002B55E9" w:rsidRDefault="00EF27AD">
            <w:pPr>
              <w:pStyle w:val="affff6"/>
              <w:ind w:left="-105" w:right="-105"/>
            </w:pPr>
            <w:r w:rsidRPr="002B55E9">
              <w:rPr>
                <w:rFonts w:hint="eastAsia"/>
              </w:rPr>
              <w:t>点位名称</w:t>
            </w:r>
          </w:p>
        </w:tc>
        <w:tc>
          <w:tcPr>
            <w:tcW w:w="823" w:type="dxa"/>
            <w:vAlign w:val="center"/>
          </w:tcPr>
          <w:p w14:paraId="07C0D2D1" w14:textId="77777777" w:rsidR="00D170E5" w:rsidRPr="002B55E9" w:rsidRDefault="00EF27AD">
            <w:pPr>
              <w:pStyle w:val="affff6"/>
              <w:ind w:left="-105" w:right="-105"/>
            </w:pPr>
            <w:r w:rsidRPr="002B55E9">
              <w:rPr>
                <w:rFonts w:hint="eastAsia"/>
              </w:rPr>
              <w:t>NW4</w:t>
            </w:r>
          </w:p>
        </w:tc>
        <w:tc>
          <w:tcPr>
            <w:tcW w:w="1363" w:type="dxa"/>
            <w:vAlign w:val="center"/>
          </w:tcPr>
          <w:p w14:paraId="0B64601D" w14:textId="77777777" w:rsidR="00D170E5" w:rsidRPr="002B55E9" w:rsidRDefault="00EF27AD">
            <w:pPr>
              <w:pStyle w:val="affff6"/>
              <w:ind w:left="-105" w:right="-105"/>
            </w:pPr>
            <w:r w:rsidRPr="002B55E9">
              <w:rPr>
                <w:rFonts w:hint="eastAsia"/>
              </w:rPr>
              <w:t>NW5</w:t>
            </w:r>
          </w:p>
        </w:tc>
        <w:tc>
          <w:tcPr>
            <w:tcW w:w="1363" w:type="dxa"/>
            <w:vAlign w:val="center"/>
          </w:tcPr>
          <w:p w14:paraId="24C7F741" w14:textId="77777777" w:rsidR="00D170E5" w:rsidRPr="002B55E9" w:rsidRDefault="00EF27AD">
            <w:pPr>
              <w:pStyle w:val="affff6"/>
              <w:ind w:left="-105" w:right="-105"/>
            </w:pPr>
            <w:r w:rsidRPr="002B55E9">
              <w:rPr>
                <w:rFonts w:hint="eastAsia"/>
              </w:rPr>
              <w:t>NW9</w:t>
            </w:r>
          </w:p>
        </w:tc>
        <w:tc>
          <w:tcPr>
            <w:tcW w:w="1463" w:type="dxa"/>
            <w:vAlign w:val="center"/>
          </w:tcPr>
          <w:p w14:paraId="26652D5D" w14:textId="77777777" w:rsidR="00D170E5" w:rsidRPr="002B55E9" w:rsidRDefault="00EF27AD">
            <w:pPr>
              <w:pStyle w:val="affff6"/>
              <w:ind w:left="-105" w:right="-105"/>
            </w:pPr>
            <w:r w:rsidRPr="002B55E9">
              <w:rPr>
                <w:rFonts w:hint="eastAsia"/>
              </w:rPr>
              <w:t>1</w:t>
            </w:r>
            <w:r w:rsidRPr="002B55E9">
              <w:t>#</w:t>
            </w:r>
          </w:p>
        </w:tc>
        <w:tc>
          <w:tcPr>
            <w:tcW w:w="1363" w:type="dxa"/>
            <w:vAlign w:val="center"/>
          </w:tcPr>
          <w:p w14:paraId="128A1DD5" w14:textId="77777777" w:rsidR="00D170E5" w:rsidRPr="002B55E9" w:rsidRDefault="00EF27AD">
            <w:pPr>
              <w:pStyle w:val="affff6"/>
              <w:ind w:left="-105" w:right="-105"/>
            </w:pPr>
            <w:r w:rsidRPr="002B55E9">
              <w:rPr>
                <w:rFonts w:hint="eastAsia"/>
              </w:rPr>
              <w:t>2</w:t>
            </w:r>
            <w:r w:rsidRPr="002B55E9">
              <w:t>#</w:t>
            </w:r>
          </w:p>
        </w:tc>
        <w:tc>
          <w:tcPr>
            <w:tcW w:w="1363" w:type="dxa"/>
            <w:vAlign w:val="center"/>
          </w:tcPr>
          <w:p w14:paraId="57A72E13" w14:textId="77777777" w:rsidR="00D170E5" w:rsidRPr="002B55E9" w:rsidRDefault="00EF27AD">
            <w:pPr>
              <w:pStyle w:val="affff6"/>
              <w:ind w:left="-105" w:right="-105"/>
            </w:pPr>
            <w:r w:rsidRPr="002B55E9">
              <w:rPr>
                <w:rFonts w:hint="eastAsia"/>
              </w:rPr>
              <w:t>3</w:t>
            </w:r>
            <w:r w:rsidRPr="002B55E9">
              <w:t>#</w:t>
            </w:r>
          </w:p>
        </w:tc>
      </w:tr>
      <w:tr w:rsidR="002B55E9" w:rsidRPr="002B55E9" w14:paraId="38531E38" w14:textId="77777777">
        <w:trPr>
          <w:trHeight w:val="284"/>
          <w:jc w:val="center"/>
        </w:trPr>
        <w:tc>
          <w:tcPr>
            <w:tcW w:w="1900" w:type="dxa"/>
            <w:vAlign w:val="center"/>
          </w:tcPr>
          <w:p w14:paraId="54B8DBBF" w14:textId="77777777" w:rsidR="00D170E5" w:rsidRPr="002B55E9" w:rsidRDefault="00EF27AD">
            <w:pPr>
              <w:pStyle w:val="affff6"/>
              <w:ind w:left="-105" w:right="-105"/>
            </w:pPr>
            <w:r w:rsidRPr="002B55E9">
              <w:rPr>
                <w:rFonts w:hint="eastAsia"/>
              </w:rPr>
              <w:t>地下水位</w:t>
            </w:r>
            <w:r w:rsidRPr="002B55E9">
              <w:t>(m)</w:t>
            </w:r>
          </w:p>
        </w:tc>
        <w:tc>
          <w:tcPr>
            <w:tcW w:w="823" w:type="dxa"/>
            <w:vAlign w:val="center"/>
          </w:tcPr>
          <w:p w14:paraId="52D31BB5" w14:textId="77777777" w:rsidR="00D170E5" w:rsidRPr="002B55E9" w:rsidRDefault="00EF27AD">
            <w:pPr>
              <w:pStyle w:val="affff6"/>
              <w:ind w:left="-105" w:right="-105"/>
            </w:pPr>
            <w:r w:rsidRPr="002B55E9">
              <w:rPr>
                <w:rFonts w:hint="eastAsia"/>
              </w:rPr>
              <w:t>20.61</w:t>
            </w:r>
          </w:p>
        </w:tc>
        <w:tc>
          <w:tcPr>
            <w:tcW w:w="1363" w:type="dxa"/>
            <w:vAlign w:val="center"/>
          </w:tcPr>
          <w:p w14:paraId="07DAC91F" w14:textId="77777777" w:rsidR="00D170E5" w:rsidRPr="002B55E9" w:rsidRDefault="00EF27AD">
            <w:pPr>
              <w:pStyle w:val="affff6"/>
              <w:ind w:left="-105" w:right="-105"/>
            </w:pPr>
            <w:r w:rsidRPr="002B55E9">
              <w:rPr>
                <w:rFonts w:hint="eastAsia"/>
              </w:rPr>
              <w:t>19.35</w:t>
            </w:r>
          </w:p>
        </w:tc>
        <w:tc>
          <w:tcPr>
            <w:tcW w:w="1363" w:type="dxa"/>
            <w:vAlign w:val="center"/>
          </w:tcPr>
          <w:p w14:paraId="6F625FFC" w14:textId="77777777" w:rsidR="00D170E5" w:rsidRPr="002B55E9" w:rsidRDefault="00EF27AD">
            <w:pPr>
              <w:pStyle w:val="affff6"/>
              <w:ind w:left="-105" w:right="-105"/>
            </w:pPr>
            <w:r w:rsidRPr="002B55E9">
              <w:rPr>
                <w:rFonts w:hint="eastAsia"/>
              </w:rPr>
              <w:t>24.0</w:t>
            </w:r>
            <w:r w:rsidRPr="002B55E9">
              <w:t>7</w:t>
            </w:r>
          </w:p>
        </w:tc>
        <w:tc>
          <w:tcPr>
            <w:tcW w:w="1463" w:type="dxa"/>
            <w:vAlign w:val="center"/>
          </w:tcPr>
          <w:p w14:paraId="2C092974" w14:textId="77777777" w:rsidR="00D170E5" w:rsidRPr="002B55E9" w:rsidRDefault="00EF27AD">
            <w:pPr>
              <w:pStyle w:val="affff6"/>
              <w:ind w:left="-105" w:right="-105"/>
            </w:pPr>
            <w:r w:rsidRPr="002B55E9">
              <w:rPr>
                <w:rFonts w:hint="eastAsia"/>
              </w:rPr>
              <w:t>23.8</w:t>
            </w:r>
          </w:p>
        </w:tc>
        <w:tc>
          <w:tcPr>
            <w:tcW w:w="1363" w:type="dxa"/>
            <w:vAlign w:val="center"/>
          </w:tcPr>
          <w:p w14:paraId="768817FC" w14:textId="77777777" w:rsidR="00D170E5" w:rsidRPr="002B55E9" w:rsidRDefault="00EF27AD">
            <w:pPr>
              <w:pStyle w:val="affff6"/>
              <w:ind w:left="-105" w:right="-105"/>
            </w:pPr>
            <w:r w:rsidRPr="002B55E9">
              <w:rPr>
                <w:rFonts w:hint="eastAsia"/>
              </w:rPr>
              <w:t>23.9</w:t>
            </w:r>
          </w:p>
        </w:tc>
        <w:tc>
          <w:tcPr>
            <w:tcW w:w="1363" w:type="dxa"/>
            <w:vAlign w:val="center"/>
          </w:tcPr>
          <w:p w14:paraId="5E0D1E5F" w14:textId="77777777" w:rsidR="00D170E5" w:rsidRPr="002B55E9" w:rsidRDefault="00EF27AD">
            <w:pPr>
              <w:pStyle w:val="affff6"/>
              <w:ind w:left="-105" w:right="-105"/>
            </w:pPr>
            <w:r w:rsidRPr="002B55E9">
              <w:rPr>
                <w:rFonts w:hint="eastAsia"/>
              </w:rPr>
              <w:t>24.0</w:t>
            </w:r>
          </w:p>
        </w:tc>
      </w:tr>
    </w:tbl>
    <w:p w14:paraId="1F4A0DFB" w14:textId="1B5A9771" w:rsidR="008C3758" w:rsidRPr="002B55E9" w:rsidRDefault="006C19DD">
      <w:pPr>
        <w:pStyle w:val="affff7"/>
        <w:spacing w:after="0"/>
      </w:pPr>
      <w:r w:rsidRPr="002B55E9">
        <w:rPr>
          <w:rFonts w:hint="eastAsia"/>
        </w:rPr>
        <w:t>本项目根据各监测点水位，借助</w:t>
      </w:r>
      <w:r w:rsidRPr="002B55E9">
        <w:rPr>
          <w:rFonts w:hint="eastAsia"/>
        </w:rPr>
        <w:t>surfer</w:t>
      </w:r>
      <w:r w:rsidRPr="002B55E9">
        <w:rPr>
          <w:rFonts w:hint="eastAsia"/>
        </w:rPr>
        <w:t>软件生成项目地下水评价区域内地下水流向及分布如下：</w:t>
      </w:r>
    </w:p>
    <w:tbl>
      <w:tblPr>
        <w:tblStyle w:val="afff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27"/>
      </w:tblGrid>
      <w:tr w:rsidR="002B55E9" w:rsidRPr="002B55E9" w14:paraId="0A8BD456" w14:textId="77777777" w:rsidTr="00E27CA9">
        <w:tc>
          <w:tcPr>
            <w:tcW w:w="9627" w:type="dxa"/>
          </w:tcPr>
          <w:p w14:paraId="03E1DA99" w14:textId="75615801" w:rsidR="00E27CA9" w:rsidRPr="002B55E9" w:rsidRDefault="00E27CA9" w:rsidP="00E27CA9">
            <w:pPr>
              <w:pStyle w:val="lgy-"/>
            </w:pPr>
            <w:r w:rsidRPr="002B55E9">
              <w:rPr>
                <w:noProof/>
              </w:rPr>
              <w:lastRenderedPageBreak/>
              <mc:AlternateContent>
                <mc:Choice Requires="wpg">
                  <w:drawing>
                    <wp:anchor distT="0" distB="0" distL="114300" distR="114300" simplePos="0" relativeHeight="251663872" behindDoc="0" locked="0" layoutInCell="1" allowOverlap="1" wp14:anchorId="5EB8BA7A" wp14:editId="6BB39682">
                      <wp:simplePos x="0" y="0"/>
                      <wp:positionH relativeFrom="column">
                        <wp:posOffset>2404745</wp:posOffset>
                      </wp:positionH>
                      <wp:positionV relativeFrom="paragraph">
                        <wp:posOffset>1691640</wp:posOffset>
                      </wp:positionV>
                      <wp:extent cx="1065529" cy="323054"/>
                      <wp:effectExtent l="0" t="152400" r="0" b="191770"/>
                      <wp:wrapNone/>
                      <wp:docPr id="55" name="组合 55"/>
                      <wp:cNvGraphicFramePr/>
                      <a:graphic xmlns:a="http://schemas.openxmlformats.org/drawingml/2006/main">
                        <a:graphicData uri="http://schemas.microsoft.com/office/word/2010/wordprocessingGroup">
                          <wpg:wgp>
                            <wpg:cNvGrpSpPr/>
                            <wpg:grpSpPr>
                              <a:xfrm>
                                <a:off x="0" y="0"/>
                                <a:ext cx="1065529" cy="323054"/>
                                <a:chOff x="0" y="0"/>
                                <a:chExt cx="1065529" cy="323054"/>
                              </a:xfrm>
                            </wpg:grpSpPr>
                            <wps:wsp>
                              <wps:cNvPr id="54" name="箭头: 右 54"/>
                              <wps:cNvSpPr/>
                              <wps:spPr>
                                <a:xfrm rot="20046004">
                                  <a:off x="109445" y="0"/>
                                  <a:ext cx="592667" cy="97366"/>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rot="19996015">
                                  <a:off x="0" y="23970"/>
                                  <a:ext cx="1065529" cy="299084"/>
                                </a:xfrm>
                                <a:prstGeom prst="rect">
                                  <a:avLst/>
                                </a:prstGeom>
                                <a:noFill/>
                                <a:ln w="9525">
                                  <a:noFill/>
                                  <a:miter lim="800000"/>
                                  <a:headEnd/>
                                  <a:tailEnd/>
                                </a:ln>
                              </wps:spPr>
                              <wps:txbx>
                                <w:txbxContent>
                                  <w:p w14:paraId="02A8A5A8" w14:textId="4E477224" w:rsidR="003C27EE" w:rsidRPr="00DE57E9" w:rsidRDefault="003C27EE">
                                    <w:pPr>
                                      <w:rPr>
                                        <w:b/>
                                        <w:bCs/>
                                        <w:color w:val="00B050"/>
                                        <w:sz w:val="24"/>
                                        <w:szCs w:val="24"/>
                                      </w:rPr>
                                    </w:pPr>
                                    <w:r w:rsidRPr="00DE57E9">
                                      <w:rPr>
                                        <w:rFonts w:hint="eastAsia"/>
                                        <w:b/>
                                        <w:bCs/>
                                        <w:color w:val="00B050"/>
                                        <w:sz w:val="24"/>
                                        <w:szCs w:val="24"/>
                                      </w:rPr>
                                      <w:t>地下水流向</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组合 55" o:spid="_x0000_s1026" style="position:absolute;left:0;text-align:left;margin-left:189.35pt;margin-top:133.2pt;width:83.9pt;height:25.45pt;z-index:251663872;mso-width-relative:margin;mso-height-relative:margin" coordsize="1065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4" o:spid="_x0000_s1027" type="#_x0000_t13" style="position:absolute;left:1094;width:5927;height:973;rotation:-1697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o+8IA&#10;AADbAAAADwAAAGRycy9kb3ducmV2LnhtbESP0WrCQBRE3wv+w3KFvtWNJYpEVxFBKEUfEv2AS/Y2&#10;Sc3eDbubGP/eFQp9HGbmDLPZjaYVAznfWFYwnyUgiEurG64UXC/HjxUIH5A1tpZJwYM87LaTtw1m&#10;2t45p6EIlYgQ9hkqqEPoMil9WZNBP7MdcfR+rDMYonSV1A7vEW5a+ZkkS2mw4bhQY0eHmspb0RsF&#10;yTKtfu01JTa5/z73p5U7NqVS79NxvwYRaAz/4b/2l1awSOH1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uj7wgAAANsAAAAPAAAAAAAAAAAAAAAAAJgCAABkcnMvZG93&#10;bnJldi54bWxQSwUGAAAAAAQABAD1AAAAhwMAAAAA&#10;" adj="19826" fillcolor="#00b050" strokecolor="#00b050" strokeweight="1pt"/>
                      <v:shapetype id="_x0000_t202" coordsize="21600,21600" o:spt="202" path="m,l,21600r21600,l21600,xe">
                        <v:stroke joinstyle="miter"/>
                        <v:path gradientshapeok="t" o:connecttype="rect"/>
                      </v:shapetype>
                      <v:shape id="文本框 2" o:spid="_x0000_s1028" type="#_x0000_t202" style="position:absolute;top:239;width:10655;height:2991;rotation:-17519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9msYA&#10;AADcAAAADwAAAGRycy9kb3ducmV2LnhtbESPQWvCQBSE70L/w/IKvZmNUlSiq5SGQntRtK3g7Zl9&#10;ZtNm34bsVqO/3hWEHoeZ+YaZLTpbiyO1vnKsYJCkIIgLpysuFXx9vvUnIHxA1lg7JgVn8rCYP/Rm&#10;mGl34jUdN6EUEcI+QwUmhCaT0heGLPrENcTRO7jWYoiyLaVu8RThtpbDNB1JixXHBYMNvRoqfjd/&#10;VsGlNi7/HulV7n8m+Xa/3JXP2w+lnh67lymIQF34D9/b71rBcDCG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9msYAAADcAAAADwAAAAAAAAAAAAAAAACYAgAAZHJz&#10;L2Rvd25yZXYueG1sUEsFBgAAAAAEAAQA9QAAAIsDAAAAAA==&#10;" filled="f" stroked="f">
                        <v:textbox style="mso-fit-shape-to-text:t">
                          <w:txbxContent>
                            <w:p w14:paraId="02A8A5A8" w14:textId="4E477224" w:rsidR="005D3EDA" w:rsidRPr="00DE57E9" w:rsidRDefault="005D3EDA">
                              <w:pPr>
                                <w:rPr>
                                  <w:b/>
                                  <w:bCs/>
                                  <w:color w:val="00B050"/>
                                  <w:sz w:val="24"/>
                                  <w:szCs w:val="24"/>
                                </w:rPr>
                              </w:pPr>
                              <w:r w:rsidRPr="00DE57E9">
                                <w:rPr>
                                  <w:rFonts w:hint="eastAsia"/>
                                  <w:b/>
                                  <w:bCs/>
                                  <w:color w:val="00B050"/>
                                  <w:sz w:val="24"/>
                                  <w:szCs w:val="24"/>
                                </w:rPr>
                                <w:t>地下水流向</w:t>
                              </w:r>
                            </w:p>
                          </w:txbxContent>
                        </v:textbox>
                      </v:shape>
                    </v:group>
                  </w:pict>
                </mc:Fallback>
              </mc:AlternateContent>
            </w:r>
            <w:r w:rsidRPr="002B55E9">
              <w:rPr>
                <w:noProof/>
              </w:rPr>
              <w:drawing>
                <wp:inline distT="0" distB="0" distL="0" distR="0" wp14:anchorId="118C2CFE" wp14:editId="49A6CCC9">
                  <wp:extent cx="3952875" cy="3405754"/>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0496" cy="3412320"/>
                          </a:xfrm>
                          <a:prstGeom prst="rect">
                            <a:avLst/>
                          </a:prstGeom>
                        </pic:spPr>
                      </pic:pic>
                    </a:graphicData>
                  </a:graphic>
                </wp:inline>
              </w:drawing>
            </w:r>
          </w:p>
        </w:tc>
      </w:tr>
    </w:tbl>
    <w:p w14:paraId="71680A0E" w14:textId="39F50D9C" w:rsidR="008C3758" w:rsidRPr="002B55E9" w:rsidRDefault="008C3758" w:rsidP="008C3758">
      <w:pPr>
        <w:pStyle w:val="lgy"/>
        <w:rPr>
          <w:rFonts w:ascii="黑体" w:eastAsia="黑体" w:hAnsi="黑体"/>
          <w:color w:val="auto"/>
        </w:rPr>
      </w:pPr>
      <w:r w:rsidRPr="002B55E9">
        <w:rPr>
          <w:rFonts w:ascii="黑体" w:eastAsia="黑体" w:hAnsi="黑体" w:hint="eastAsia"/>
          <w:color w:val="auto"/>
          <w:sz w:val="24"/>
          <w:szCs w:val="24"/>
        </w:rPr>
        <w:t>图4</w:t>
      </w:r>
      <w:r w:rsidRPr="002B55E9">
        <w:rPr>
          <w:rFonts w:ascii="黑体" w:eastAsia="黑体" w:hAnsi="黑体"/>
          <w:color w:val="auto"/>
          <w:sz w:val="24"/>
          <w:szCs w:val="24"/>
        </w:rPr>
        <w:t xml:space="preserve">-2-1  </w:t>
      </w:r>
      <w:r w:rsidRPr="002B55E9">
        <w:rPr>
          <w:rFonts w:ascii="黑体" w:eastAsia="黑体" w:hAnsi="黑体" w:hint="eastAsia"/>
          <w:color w:val="auto"/>
          <w:sz w:val="24"/>
          <w:szCs w:val="24"/>
        </w:rPr>
        <w:t>项目区域地下水水位等值线图</w:t>
      </w:r>
    </w:p>
    <w:p w14:paraId="7AD2EF6D" w14:textId="77777777" w:rsidR="008F7914" w:rsidRPr="002B55E9" w:rsidRDefault="008F7914">
      <w:pPr>
        <w:pStyle w:val="afffffffffffff3"/>
        <w:ind w:firstLine="482"/>
        <w:rPr>
          <w:rFonts w:eastAsia="黑体"/>
          <w:sz w:val="24"/>
        </w:rPr>
      </w:pPr>
      <w:bookmarkStart w:id="201" w:name="OLE_LINK3"/>
    </w:p>
    <w:p w14:paraId="4DDE1502" w14:textId="1B380700" w:rsidR="00D170E5" w:rsidRPr="002B55E9" w:rsidRDefault="00EF27AD">
      <w:pPr>
        <w:pStyle w:val="afffffffffffff3"/>
        <w:ind w:firstLine="482"/>
        <w:rPr>
          <w:rFonts w:eastAsia="黑体"/>
          <w:sz w:val="24"/>
        </w:rPr>
      </w:pPr>
      <w:r w:rsidRPr="002B55E9">
        <w:rPr>
          <w:rFonts w:eastAsia="黑体"/>
          <w:sz w:val="24"/>
        </w:rPr>
        <w:t>表</w:t>
      </w:r>
      <w:r w:rsidRPr="002B55E9">
        <w:rPr>
          <w:rFonts w:eastAsia="黑体"/>
          <w:sz w:val="24"/>
        </w:rPr>
        <w:t>4</w:t>
      </w:r>
      <w:r w:rsidRPr="002B55E9">
        <w:rPr>
          <w:rFonts w:eastAsia="黑体" w:hint="eastAsia"/>
          <w:sz w:val="24"/>
        </w:rPr>
        <w:t>-</w:t>
      </w:r>
      <w:r w:rsidRPr="002B55E9">
        <w:rPr>
          <w:rFonts w:eastAsia="黑体"/>
          <w:sz w:val="24"/>
        </w:rPr>
        <w:t>2</w:t>
      </w:r>
      <w:r w:rsidRPr="002B55E9">
        <w:rPr>
          <w:rFonts w:eastAsia="黑体" w:hint="eastAsia"/>
          <w:sz w:val="24"/>
        </w:rPr>
        <w:t>-</w:t>
      </w:r>
      <w:r w:rsidRPr="002B55E9">
        <w:rPr>
          <w:rFonts w:eastAsia="黑体"/>
          <w:sz w:val="24"/>
        </w:rPr>
        <w:t>9</w:t>
      </w:r>
      <w:r w:rsidRPr="002B55E9">
        <w:rPr>
          <w:rFonts w:eastAsia="黑体" w:hint="eastAsia"/>
          <w:sz w:val="24"/>
        </w:rPr>
        <w:t>地下水监测结果和评价一览表（</w:t>
      </w:r>
      <w:r w:rsidRPr="002B55E9">
        <w:rPr>
          <w:rFonts w:eastAsia="黑体" w:hint="eastAsia"/>
          <w:sz w:val="24"/>
        </w:rPr>
        <w:t>mg</w:t>
      </w:r>
      <w:r w:rsidRPr="002B55E9">
        <w:rPr>
          <w:rFonts w:eastAsia="黑体"/>
          <w:sz w:val="24"/>
        </w:rPr>
        <w:t>/</w:t>
      </w:r>
      <w:r w:rsidRPr="002B55E9">
        <w:rPr>
          <w:rFonts w:eastAsia="黑体" w:hint="eastAsia"/>
          <w:sz w:val="24"/>
        </w:rPr>
        <w:t>L</w:t>
      </w:r>
      <w:r w:rsidRPr="002B55E9">
        <w:rPr>
          <w:rFonts w:eastAsia="黑体" w:hint="eastAsia"/>
          <w:sz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49"/>
        <w:gridCol w:w="1931"/>
        <w:gridCol w:w="1130"/>
        <w:gridCol w:w="670"/>
        <w:gridCol w:w="555"/>
        <w:gridCol w:w="670"/>
        <w:gridCol w:w="784"/>
        <w:gridCol w:w="670"/>
        <w:gridCol w:w="670"/>
        <w:gridCol w:w="784"/>
        <w:gridCol w:w="670"/>
        <w:gridCol w:w="670"/>
      </w:tblGrid>
      <w:tr w:rsidR="002B55E9" w:rsidRPr="002B55E9" w14:paraId="047725A6" w14:textId="77777777" w:rsidTr="006C19DD">
        <w:trPr>
          <w:trHeight w:val="284"/>
          <w:jc w:val="center"/>
        </w:trPr>
        <w:tc>
          <w:tcPr>
            <w:tcW w:w="925" w:type="dxa"/>
            <w:vMerge w:val="restart"/>
            <w:vAlign w:val="center"/>
          </w:tcPr>
          <w:p w14:paraId="5BD8CCF6" w14:textId="77777777" w:rsidR="00D170E5" w:rsidRPr="002B55E9" w:rsidRDefault="00EF27AD">
            <w:pPr>
              <w:pStyle w:val="affff6"/>
              <w:ind w:left="-105" w:right="-105"/>
              <w:rPr>
                <w:szCs w:val="18"/>
              </w:rPr>
            </w:pPr>
            <w:r w:rsidRPr="002B55E9">
              <w:rPr>
                <w:rFonts w:hint="eastAsia"/>
                <w:szCs w:val="18"/>
              </w:rPr>
              <w:t>序号</w:t>
            </w:r>
          </w:p>
        </w:tc>
        <w:tc>
          <w:tcPr>
            <w:tcW w:w="3068" w:type="dxa"/>
            <w:vMerge w:val="restart"/>
            <w:vAlign w:val="center"/>
          </w:tcPr>
          <w:p w14:paraId="273BCE0A" w14:textId="77777777" w:rsidR="00D170E5" w:rsidRPr="002B55E9" w:rsidRDefault="00EF27AD">
            <w:pPr>
              <w:pStyle w:val="affff6"/>
              <w:ind w:left="-105" w:right="-105"/>
              <w:rPr>
                <w:szCs w:val="18"/>
              </w:rPr>
            </w:pPr>
            <w:r w:rsidRPr="002B55E9">
              <w:rPr>
                <w:rFonts w:hint="eastAsia"/>
                <w:szCs w:val="18"/>
              </w:rPr>
              <w:t>监测项目</w:t>
            </w:r>
          </w:p>
        </w:tc>
        <w:tc>
          <w:tcPr>
            <w:tcW w:w="1731" w:type="dxa"/>
            <w:vAlign w:val="center"/>
          </w:tcPr>
          <w:p w14:paraId="3C5C12DA" w14:textId="77777777" w:rsidR="00D170E5" w:rsidRPr="002B55E9" w:rsidRDefault="00EF27AD">
            <w:pPr>
              <w:pStyle w:val="affff6"/>
              <w:ind w:left="-105" w:right="-105"/>
              <w:rPr>
                <w:szCs w:val="18"/>
              </w:rPr>
            </w:pPr>
            <w:r w:rsidRPr="002B55E9">
              <w:rPr>
                <w:rFonts w:hint="eastAsia"/>
                <w:szCs w:val="18"/>
              </w:rPr>
              <w:t>评价标准</w:t>
            </w:r>
          </w:p>
        </w:tc>
        <w:tc>
          <w:tcPr>
            <w:tcW w:w="8847" w:type="dxa"/>
            <w:gridSpan w:val="9"/>
            <w:vAlign w:val="center"/>
          </w:tcPr>
          <w:p w14:paraId="334BF808" w14:textId="77777777" w:rsidR="00D170E5" w:rsidRPr="002B55E9" w:rsidRDefault="00EF27AD">
            <w:pPr>
              <w:pStyle w:val="affff6"/>
              <w:ind w:left="-105" w:right="-105"/>
              <w:rPr>
                <w:szCs w:val="18"/>
              </w:rPr>
            </w:pPr>
            <w:r w:rsidRPr="002B55E9">
              <w:rPr>
                <w:rFonts w:hint="eastAsia"/>
                <w:szCs w:val="18"/>
              </w:rPr>
              <w:t>监测结果</w:t>
            </w:r>
          </w:p>
        </w:tc>
      </w:tr>
      <w:tr w:rsidR="002B55E9" w:rsidRPr="002B55E9" w14:paraId="77493D26" w14:textId="77777777" w:rsidTr="006C19DD">
        <w:trPr>
          <w:trHeight w:val="284"/>
          <w:jc w:val="center"/>
        </w:trPr>
        <w:tc>
          <w:tcPr>
            <w:tcW w:w="925" w:type="dxa"/>
            <w:vMerge/>
            <w:vAlign w:val="center"/>
          </w:tcPr>
          <w:p w14:paraId="69EC0381" w14:textId="77777777" w:rsidR="00D170E5" w:rsidRPr="002B55E9" w:rsidRDefault="00D170E5">
            <w:pPr>
              <w:pStyle w:val="affff6"/>
              <w:ind w:left="-105" w:right="-105"/>
              <w:rPr>
                <w:szCs w:val="18"/>
              </w:rPr>
            </w:pPr>
          </w:p>
        </w:tc>
        <w:tc>
          <w:tcPr>
            <w:tcW w:w="3068" w:type="dxa"/>
            <w:vMerge/>
            <w:vAlign w:val="center"/>
          </w:tcPr>
          <w:p w14:paraId="1E4F6087" w14:textId="77777777" w:rsidR="00D170E5" w:rsidRPr="002B55E9" w:rsidRDefault="00D170E5">
            <w:pPr>
              <w:pStyle w:val="affff6"/>
              <w:ind w:left="-105" w:right="-105"/>
              <w:rPr>
                <w:szCs w:val="18"/>
              </w:rPr>
            </w:pPr>
          </w:p>
        </w:tc>
        <w:tc>
          <w:tcPr>
            <w:tcW w:w="1731" w:type="dxa"/>
            <w:vMerge w:val="restart"/>
            <w:vAlign w:val="center"/>
          </w:tcPr>
          <w:p w14:paraId="6636EDC3" w14:textId="77777777" w:rsidR="00D170E5" w:rsidRPr="002B55E9" w:rsidRDefault="00EF27AD">
            <w:pPr>
              <w:pStyle w:val="affff6"/>
              <w:ind w:left="-105" w:right="-105"/>
              <w:rPr>
                <w:szCs w:val="18"/>
              </w:rPr>
            </w:pPr>
            <w:r w:rsidRPr="002B55E9">
              <w:rPr>
                <w:szCs w:val="18"/>
              </w:rPr>
              <w:t>GBT14848-2017</w:t>
            </w:r>
            <w:r w:rsidRPr="002B55E9">
              <w:rPr>
                <w:rFonts w:ascii="宋体" w:hAnsi="宋体" w:hint="eastAsia"/>
                <w:szCs w:val="18"/>
              </w:rPr>
              <w:t>Ⅳ</w:t>
            </w:r>
            <w:r w:rsidRPr="002B55E9">
              <w:rPr>
                <w:rFonts w:hint="eastAsia"/>
                <w:szCs w:val="18"/>
              </w:rPr>
              <w:t>类</w:t>
            </w:r>
          </w:p>
        </w:tc>
        <w:tc>
          <w:tcPr>
            <w:tcW w:w="2693" w:type="dxa"/>
            <w:gridSpan w:val="3"/>
            <w:vAlign w:val="center"/>
          </w:tcPr>
          <w:p w14:paraId="644C400F" w14:textId="77777777" w:rsidR="00D170E5" w:rsidRPr="002B55E9" w:rsidRDefault="00EF27AD">
            <w:pPr>
              <w:pStyle w:val="affff6"/>
              <w:ind w:left="-105" w:right="-105"/>
              <w:rPr>
                <w:szCs w:val="18"/>
              </w:rPr>
            </w:pPr>
            <w:r w:rsidRPr="002B55E9">
              <w:rPr>
                <w:szCs w:val="18"/>
              </w:rPr>
              <w:t>NW4</w:t>
            </w:r>
          </w:p>
        </w:tc>
        <w:tc>
          <w:tcPr>
            <w:tcW w:w="3077" w:type="dxa"/>
            <w:gridSpan w:val="3"/>
            <w:vAlign w:val="center"/>
          </w:tcPr>
          <w:p w14:paraId="5C4260B4" w14:textId="77777777" w:rsidR="00D170E5" w:rsidRPr="002B55E9" w:rsidRDefault="00EF27AD">
            <w:pPr>
              <w:pStyle w:val="affff6"/>
              <w:ind w:left="-105" w:right="-105"/>
              <w:rPr>
                <w:szCs w:val="18"/>
              </w:rPr>
            </w:pPr>
            <w:r w:rsidRPr="002B55E9">
              <w:rPr>
                <w:rFonts w:hint="eastAsia"/>
                <w:szCs w:val="18"/>
              </w:rPr>
              <w:t>NW5</w:t>
            </w:r>
          </w:p>
        </w:tc>
        <w:tc>
          <w:tcPr>
            <w:tcW w:w="3077" w:type="dxa"/>
            <w:gridSpan w:val="3"/>
            <w:vAlign w:val="center"/>
          </w:tcPr>
          <w:p w14:paraId="7984D0C0" w14:textId="77777777" w:rsidR="00D170E5" w:rsidRPr="002B55E9" w:rsidRDefault="00EF27AD">
            <w:pPr>
              <w:pStyle w:val="affff6"/>
              <w:ind w:left="-105" w:right="-105"/>
              <w:rPr>
                <w:szCs w:val="18"/>
              </w:rPr>
            </w:pPr>
            <w:r w:rsidRPr="002B55E9">
              <w:rPr>
                <w:szCs w:val="18"/>
              </w:rPr>
              <w:t>1</w:t>
            </w:r>
            <w:r w:rsidRPr="002B55E9">
              <w:rPr>
                <w:rFonts w:hint="eastAsia"/>
                <w:szCs w:val="18"/>
              </w:rPr>
              <w:t>#</w:t>
            </w:r>
          </w:p>
        </w:tc>
      </w:tr>
      <w:tr w:rsidR="002B55E9" w:rsidRPr="002B55E9" w14:paraId="200D4078" w14:textId="77777777" w:rsidTr="006C19DD">
        <w:trPr>
          <w:trHeight w:val="284"/>
          <w:jc w:val="center"/>
        </w:trPr>
        <w:tc>
          <w:tcPr>
            <w:tcW w:w="925" w:type="dxa"/>
            <w:vMerge/>
            <w:tcBorders>
              <w:bottom w:val="single" w:sz="12" w:space="0" w:color="auto"/>
            </w:tcBorders>
            <w:vAlign w:val="center"/>
          </w:tcPr>
          <w:p w14:paraId="4FBBCE1E" w14:textId="77777777" w:rsidR="00D170E5" w:rsidRPr="002B55E9" w:rsidRDefault="00D170E5">
            <w:pPr>
              <w:pStyle w:val="affff6"/>
              <w:ind w:left="-105" w:right="-105"/>
              <w:rPr>
                <w:szCs w:val="18"/>
              </w:rPr>
            </w:pPr>
          </w:p>
        </w:tc>
        <w:tc>
          <w:tcPr>
            <w:tcW w:w="3068" w:type="dxa"/>
            <w:vMerge/>
            <w:tcBorders>
              <w:bottom w:val="single" w:sz="12" w:space="0" w:color="auto"/>
            </w:tcBorders>
            <w:vAlign w:val="center"/>
          </w:tcPr>
          <w:p w14:paraId="72DF43B7" w14:textId="77777777" w:rsidR="00D170E5" w:rsidRPr="002B55E9" w:rsidRDefault="00D170E5">
            <w:pPr>
              <w:pStyle w:val="affff6"/>
              <w:ind w:left="-105" w:right="-105"/>
              <w:rPr>
                <w:szCs w:val="18"/>
              </w:rPr>
            </w:pPr>
          </w:p>
        </w:tc>
        <w:tc>
          <w:tcPr>
            <w:tcW w:w="1731" w:type="dxa"/>
            <w:vMerge/>
            <w:tcBorders>
              <w:bottom w:val="single" w:sz="12" w:space="0" w:color="auto"/>
            </w:tcBorders>
            <w:vAlign w:val="center"/>
          </w:tcPr>
          <w:p w14:paraId="7A35B61E" w14:textId="77777777" w:rsidR="00D170E5" w:rsidRPr="002B55E9" w:rsidRDefault="00D170E5">
            <w:pPr>
              <w:pStyle w:val="affff6"/>
              <w:ind w:left="-105" w:right="-105"/>
              <w:rPr>
                <w:szCs w:val="18"/>
              </w:rPr>
            </w:pPr>
          </w:p>
        </w:tc>
        <w:tc>
          <w:tcPr>
            <w:tcW w:w="962" w:type="dxa"/>
            <w:tcBorders>
              <w:bottom w:val="single" w:sz="12" w:space="0" w:color="auto"/>
            </w:tcBorders>
            <w:vAlign w:val="center"/>
          </w:tcPr>
          <w:p w14:paraId="799899CD" w14:textId="77777777" w:rsidR="00D170E5" w:rsidRPr="002B55E9" w:rsidRDefault="00EF27AD">
            <w:pPr>
              <w:pStyle w:val="affff6"/>
              <w:ind w:left="-105" w:right="-105"/>
              <w:rPr>
                <w:szCs w:val="18"/>
              </w:rPr>
            </w:pPr>
            <w:r w:rsidRPr="002B55E9">
              <w:rPr>
                <w:rFonts w:hint="eastAsia"/>
                <w:szCs w:val="18"/>
              </w:rPr>
              <w:t>浓度</w:t>
            </w:r>
            <w:r w:rsidRPr="002B55E9">
              <w:rPr>
                <w:szCs w:val="18"/>
              </w:rPr>
              <w:t>(mg/L)</w:t>
            </w:r>
          </w:p>
        </w:tc>
        <w:tc>
          <w:tcPr>
            <w:tcW w:w="769" w:type="dxa"/>
            <w:tcBorders>
              <w:bottom w:val="single" w:sz="12" w:space="0" w:color="auto"/>
            </w:tcBorders>
            <w:vAlign w:val="center"/>
          </w:tcPr>
          <w:p w14:paraId="6E5145E1" w14:textId="77777777" w:rsidR="00D170E5" w:rsidRPr="002B55E9" w:rsidRDefault="00EF27AD">
            <w:pPr>
              <w:pStyle w:val="affff6"/>
              <w:ind w:left="-105" w:right="-105"/>
              <w:rPr>
                <w:szCs w:val="18"/>
              </w:rPr>
            </w:pPr>
            <w:r w:rsidRPr="002B55E9">
              <w:rPr>
                <w:rFonts w:hint="eastAsia"/>
                <w:szCs w:val="18"/>
              </w:rPr>
              <w:t>标准指数</w:t>
            </w:r>
          </w:p>
        </w:tc>
        <w:tc>
          <w:tcPr>
            <w:tcW w:w="962" w:type="dxa"/>
            <w:tcBorders>
              <w:bottom w:val="single" w:sz="12" w:space="0" w:color="auto"/>
            </w:tcBorders>
            <w:vAlign w:val="center"/>
          </w:tcPr>
          <w:p w14:paraId="3EF2C50B" w14:textId="77777777" w:rsidR="00D170E5" w:rsidRPr="002B55E9" w:rsidRDefault="00EF27AD">
            <w:pPr>
              <w:pStyle w:val="affff6"/>
              <w:ind w:left="-105" w:right="-105"/>
              <w:rPr>
                <w:szCs w:val="18"/>
              </w:rPr>
            </w:pPr>
            <w:r w:rsidRPr="002B55E9">
              <w:rPr>
                <w:rFonts w:hint="eastAsia"/>
                <w:szCs w:val="18"/>
              </w:rPr>
              <w:t>超标倍数</w:t>
            </w:r>
          </w:p>
        </w:tc>
        <w:tc>
          <w:tcPr>
            <w:tcW w:w="1153" w:type="dxa"/>
            <w:tcBorders>
              <w:bottom w:val="single" w:sz="12" w:space="0" w:color="auto"/>
            </w:tcBorders>
            <w:vAlign w:val="center"/>
          </w:tcPr>
          <w:p w14:paraId="027E1E07" w14:textId="77777777" w:rsidR="00D170E5" w:rsidRPr="002B55E9" w:rsidRDefault="00EF27AD">
            <w:pPr>
              <w:pStyle w:val="affff6"/>
              <w:ind w:left="-105" w:right="-105"/>
              <w:rPr>
                <w:szCs w:val="18"/>
              </w:rPr>
            </w:pPr>
            <w:r w:rsidRPr="002B55E9">
              <w:rPr>
                <w:rFonts w:hint="eastAsia"/>
                <w:szCs w:val="18"/>
              </w:rPr>
              <w:t>浓度</w:t>
            </w:r>
            <w:r w:rsidRPr="002B55E9">
              <w:rPr>
                <w:szCs w:val="18"/>
              </w:rPr>
              <w:t>(mg/L)</w:t>
            </w:r>
          </w:p>
        </w:tc>
        <w:tc>
          <w:tcPr>
            <w:tcW w:w="962" w:type="dxa"/>
            <w:tcBorders>
              <w:bottom w:val="single" w:sz="12" w:space="0" w:color="auto"/>
            </w:tcBorders>
            <w:vAlign w:val="center"/>
          </w:tcPr>
          <w:p w14:paraId="3B529CA7" w14:textId="77777777" w:rsidR="00D170E5" w:rsidRPr="002B55E9" w:rsidRDefault="00EF27AD">
            <w:pPr>
              <w:pStyle w:val="affff6"/>
              <w:ind w:left="-105" w:right="-105"/>
              <w:rPr>
                <w:szCs w:val="18"/>
              </w:rPr>
            </w:pPr>
            <w:r w:rsidRPr="002B55E9">
              <w:rPr>
                <w:rFonts w:hint="eastAsia"/>
                <w:szCs w:val="18"/>
              </w:rPr>
              <w:t>标准指数</w:t>
            </w:r>
          </w:p>
        </w:tc>
        <w:tc>
          <w:tcPr>
            <w:tcW w:w="962" w:type="dxa"/>
            <w:tcBorders>
              <w:bottom w:val="single" w:sz="12" w:space="0" w:color="auto"/>
            </w:tcBorders>
            <w:vAlign w:val="center"/>
          </w:tcPr>
          <w:p w14:paraId="6B508FA7" w14:textId="77777777" w:rsidR="00D170E5" w:rsidRPr="002B55E9" w:rsidRDefault="00EF27AD">
            <w:pPr>
              <w:pStyle w:val="affff6"/>
              <w:ind w:left="-105" w:right="-105"/>
              <w:rPr>
                <w:szCs w:val="18"/>
              </w:rPr>
            </w:pPr>
            <w:r w:rsidRPr="002B55E9">
              <w:rPr>
                <w:rFonts w:hint="eastAsia"/>
                <w:szCs w:val="18"/>
              </w:rPr>
              <w:t>超标倍数</w:t>
            </w:r>
          </w:p>
        </w:tc>
        <w:tc>
          <w:tcPr>
            <w:tcW w:w="1153" w:type="dxa"/>
            <w:tcBorders>
              <w:bottom w:val="single" w:sz="12" w:space="0" w:color="auto"/>
            </w:tcBorders>
            <w:vAlign w:val="center"/>
          </w:tcPr>
          <w:p w14:paraId="0CA3FA79" w14:textId="77777777" w:rsidR="00D170E5" w:rsidRPr="002B55E9" w:rsidRDefault="00EF27AD">
            <w:pPr>
              <w:pStyle w:val="affff6"/>
              <w:ind w:left="-105" w:right="-105"/>
              <w:rPr>
                <w:szCs w:val="18"/>
              </w:rPr>
            </w:pPr>
            <w:r w:rsidRPr="002B55E9">
              <w:rPr>
                <w:rFonts w:hint="eastAsia"/>
                <w:szCs w:val="18"/>
              </w:rPr>
              <w:t>浓度</w:t>
            </w:r>
            <w:r w:rsidRPr="002B55E9">
              <w:rPr>
                <w:szCs w:val="18"/>
              </w:rPr>
              <w:t>(mg/L)</w:t>
            </w:r>
          </w:p>
        </w:tc>
        <w:tc>
          <w:tcPr>
            <w:tcW w:w="962" w:type="dxa"/>
            <w:tcBorders>
              <w:bottom w:val="single" w:sz="12" w:space="0" w:color="auto"/>
            </w:tcBorders>
            <w:vAlign w:val="center"/>
          </w:tcPr>
          <w:p w14:paraId="09CCB0BA" w14:textId="77777777" w:rsidR="00D170E5" w:rsidRPr="002B55E9" w:rsidRDefault="00EF27AD">
            <w:pPr>
              <w:pStyle w:val="affff6"/>
              <w:ind w:left="-105" w:right="-105"/>
              <w:rPr>
                <w:szCs w:val="18"/>
              </w:rPr>
            </w:pPr>
            <w:r w:rsidRPr="002B55E9">
              <w:rPr>
                <w:rFonts w:hint="eastAsia"/>
                <w:szCs w:val="18"/>
              </w:rPr>
              <w:t>标准指数</w:t>
            </w:r>
          </w:p>
        </w:tc>
        <w:tc>
          <w:tcPr>
            <w:tcW w:w="962" w:type="dxa"/>
            <w:tcBorders>
              <w:bottom w:val="single" w:sz="12" w:space="0" w:color="auto"/>
            </w:tcBorders>
            <w:vAlign w:val="center"/>
          </w:tcPr>
          <w:p w14:paraId="0CA48EF7" w14:textId="77777777" w:rsidR="00D170E5" w:rsidRPr="002B55E9" w:rsidRDefault="00EF27AD">
            <w:pPr>
              <w:pStyle w:val="affff6"/>
              <w:ind w:left="-105" w:right="-105"/>
              <w:rPr>
                <w:szCs w:val="18"/>
              </w:rPr>
            </w:pPr>
            <w:r w:rsidRPr="002B55E9">
              <w:rPr>
                <w:rFonts w:hint="eastAsia"/>
                <w:szCs w:val="18"/>
              </w:rPr>
              <w:t>超标倍数</w:t>
            </w:r>
          </w:p>
        </w:tc>
      </w:tr>
      <w:tr w:rsidR="002B55E9" w:rsidRPr="002B55E9" w14:paraId="5E2A86C8" w14:textId="77777777" w:rsidTr="006C19DD">
        <w:trPr>
          <w:trHeight w:val="284"/>
          <w:jc w:val="center"/>
        </w:trPr>
        <w:tc>
          <w:tcPr>
            <w:tcW w:w="925" w:type="dxa"/>
            <w:tcBorders>
              <w:top w:val="single" w:sz="12" w:space="0" w:color="auto"/>
              <w:bottom w:val="single" w:sz="4" w:space="0" w:color="auto"/>
            </w:tcBorders>
            <w:vAlign w:val="center"/>
          </w:tcPr>
          <w:p w14:paraId="376F11E9" w14:textId="77777777" w:rsidR="00D170E5" w:rsidRPr="002B55E9" w:rsidRDefault="00EF27AD">
            <w:pPr>
              <w:pStyle w:val="affff6"/>
              <w:ind w:left="-105" w:right="-105"/>
              <w:rPr>
                <w:szCs w:val="18"/>
              </w:rPr>
            </w:pPr>
            <w:r w:rsidRPr="002B55E9">
              <w:rPr>
                <w:szCs w:val="18"/>
              </w:rPr>
              <w:t>1</w:t>
            </w:r>
          </w:p>
        </w:tc>
        <w:tc>
          <w:tcPr>
            <w:tcW w:w="3068" w:type="dxa"/>
            <w:tcBorders>
              <w:top w:val="single" w:sz="12" w:space="0" w:color="auto"/>
              <w:bottom w:val="single" w:sz="4" w:space="0" w:color="auto"/>
            </w:tcBorders>
            <w:vAlign w:val="center"/>
          </w:tcPr>
          <w:p w14:paraId="3B0EFB13" w14:textId="77777777" w:rsidR="00D170E5" w:rsidRPr="002B55E9" w:rsidRDefault="00EF27AD">
            <w:pPr>
              <w:pStyle w:val="affff6"/>
              <w:ind w:left="-105" w:right="-105"/>
              <w:rPr>
                <w:szCs w:val="18"/>
              </w:rPr>
            </w:pPr>
            <w:r w:rsidRPr="002B55E9">
              <w:rPr>
                <w:szCs w:val="18"/>
              </w:rPr>
              <w:t>pH</w:t>
            </w:r>
            <w:r w:rsidRPr="002B55E9">
              <w:rPr>
                <w:szCs w:val="18"/>
              </w:rPr>
              <w:t>值（无量纲）</w:t>
            </w:r>
          </w:p>
        </w:tc>
        <w:tc>
          <w:tcPr>
            <w:tcW w:w="1731" w:type="dxa"/>
            <w:tcBorders>
              <w:top w:val="single" w:sz="12" w:space="0" w:color="auto"/>
              <w:bottom w:val="single" w:sz="4" w:space="0" w:color="auto"/>
            </w:tcBorders>
            <w:vAlign w:val="center"/>
          </w:tcPr>
          <w:p w14:paraId="48C2E32A" w14:textId="77777777" w:rsidR="00D170E5" w:rsidRPr="002B55E9" w:rsidRDefault="00EF27AD">
            <w:pPr>
              <w:pStyle w:val="affff7"/>
              <w:spacing w:after="0" w:line="240" w:lineRule="auto"/>
              <w:ind w:firstLineChars="0" w:firstLine="0"/>
              <w:jc w:val="center"/>
              <w:rPr>
                <w:bCs w:val="0"/>
                <w:snapToGrid/>
                <w:sz w:val="18"/>
                <w:szCs w:val="18"/>
              </w:rPr>
            </w:pPr>
            <w:r w:rsidRPr="002B55E9">
              <w:rPr>
                <w:bCs w:val="0"/>
                <w:snapToGrid/>
                <w:sz w:val="18"/>
                <w:szCs w:val="18"/>
              </w:rPr>
              <w:t xml:space="preserve">5.5~6.5 </w:t>
            </w:r>
          </w:p>
          <w:p w14:paraId="7791A53C" w14:textId="77777777" w:rsidR="00D170E5" w:rsidRPr="002B55E9" w:rsidRDefault="00EF27AD">
            <w:pPr>
              <w:pStyle w:val="affff6"/>
              <w:ind w:left="-105" w:right="-105"/>
              <w:rPr>
                <w:szCs w:val="18"/>
              </w:rPr>
            </w:pPr>
            <w:r w:rsidRPr="002B55E9">
              <w:rPr>
                <w:szCs w:val="18"/>
              </w:rPr>
              <w:t>8.5~9</w:t>
            </w:r>
          </w:p>
        </w:tc>
        <w:tc>
          <w:tcPr>
            <w:tcW w:w="962" w:type="dxa"/>
            <w:tcBorders>
              <w:top w:val="single" w:sz="12" w:space="0" w:color="auto"/>
              <w:bottom w:val="single" w:sz="4" w:space="0" w:color="auto"/>
            </w:tcBorders>
            <w:vAlign w:val="center"/>
          </w:tcPr>
          <w:p w14:paraId="297CECFA" w14:textId="77777777" w:rsidR="00D170E5" w:rsidRPr="002B55E9" w:rsidRDefault="00EF27AD">
            <w:pPr>
              <w:pStyle w:val="affff6"/>
              <w:ind w:left="-105" w:right="-105"/>
              <w:rPr>
                <w:szCs w:val="18"/>
              </w:rPr>
            </w:pPr>
            <w:r w:rsidRPr="002B55E9">
              <w:rPr>
                <w:rFonts w:hint="eastAsia"/>
                <w:szCs w:val="18"/>
              </w:rPr>
              <w:t>7.56</w:t>
            </w:r>
          </w:p>
        </w:tc>
        <w:tc>
          <w:tcPr>
            <w:tcW w:w="769" w:type="dxa"/>
            <w:tcBorders>
              <w:top w:val="single" w:sz="12" w:space="0" w:color="auto"/>
              <w:bottom w:val="single" w:sz="4" w:space="0" w:color="auto"/>
            </w:tcBorders>
            <w:vAlign w:val="center"/>
          </w:tcPr>
          <w:p w14:paraId="389C082A" w14:textId="23334B04" w:rsidR="00D170E5" w:rsidRPr="002B55E9" w:rsidRDefault="00EF27AD">
            <w:pPr>
              <w:pStyle w:val="affff6"/>
              <w:ind w:left="-105" w:right="-105"/>
              <w:rPr>
                <w:szCs w:val="18"/>
              </w:rPr>
            </w:pPr>
            <w:r w:rsidRPr="002B55E9">
              <w:rPr>
                <w:rFonts w:hint="eastAsia"/>
                <w:szCs w:val="18"/>
              </w:rPr>
              <w:t>/</w:t>
            </w:r>
          </w:p>
        </w:tc>
        <w:tc>
          <w:tcPr>
            <w:tcW w:w="962" w:type="dxa"/>
            <w:tcBorders>
              <w:top w:val="single" w:sz="12" w:space="0" w:color="auto"/>
              <w:bottom w:val="single" w:sz="4" w:space="0" w:color="auto"/>
            </w:tcBorders>
            <w:vAlign w:val="center"/>
          </w:tcPr>
          <w:p w14:paraId="54F208D3" w14:textId="77777777" w:rsidR="00D170E5" w:rsidRPr="002B55E9" w:rsidRDefault="00EF27AD">
            <w:pPr>
              <w:pStyle w:val="affff6"/>
              <w:ind w:left="-105" w:right="-105"/>
              <w:rPr>
                <w:szCs w:val="18"/>
              </w:rPr>
            </w:pPr>
            <w:r w:rsidRPr="002B55E9">
              <w:rPr>
                <w:rFonts w:hint="eastAsia"/>
                <w:szCs w:val="18"/>
              </w:rPr>
              <w:t>/</w:t>
            </w:r>
          </w:p>
        </w:tc>
        <w:tc>
          <w:tcPr>
            <w:tcW w:w="1153" w:type="dxa"/>
            <w:tcBorders>
              <w:top w:val="single" w:sz="12" w:space="0" w:color="auto"/>
              <w:bottom w:val="single" w:sz="4" w:space="0" w:color="auto"/>
            </w:tcBorders>
            <w:vAlign w:val="center"/>
          </w:tcPr>
          <w:p w14:paraId="64497120" w14:textId="77777777" w:rsidR="00D170E5" w:rsidRPr="002B55E9" w:rsidRDefault="00EF27AD">
            <w:pPr>
              <w:pStyle w:val="affff6"/>
              <w:ind w:left="-105" w:right="-105"/>
              <w:rPr>
                <w:szCs w:val="18"/>
              </w:rPr>
            </w:pPr>
            <w:r w:rsidRPr="002B55E9">
              <w:rPr>
                <w:rFonts w:hint="eastAsia"/>
                <w:szCs w:val="18"/>
              </w:rPr>
              <w:t>7.44</w:t>
            </w:r>
          </w:p>
        </w:tc>
        <w:tc>
          <w:tcPr>
            <w:tcW w:w="962" w:type="dxa"/>
            <w:tcBorders>
              <w:top w:val="single" w:sz="12" w:space="0" w:color="auto"/>
              <w:bottom w:val="single" w:sz="4" w:space="0" w:color="auto"/>
            </w:tcBorders>
            <w:vAlign w:val="center"/>
          </w:tcPr>
          <w:p w14:paraId="7085B6BB"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12" w:space="0" w:color="auto"/>
              <w:bottom w:val="single" w:sz="4" w:space="0" w:color="auto"/>
            </w:tcBorders>
            <w:vAlign w:val="center"/>
          </w:tcPr>
          <w:p w14:paraId="54C02988" w14:textId="77777777" w:rsidR="00D170E5" w:rsidRPr="002B55E9" w:rsidRDefault="00EF27AD">
            <w:pPr>
              <w:pStyle w:val="affff6"/>
              <w:ind w:left="-105" w:right="-105"/>
              <w:rPr>
                <w:szCs w:val="18"/>
              </w:rPr>
            </w:pPr>
            <w:r w:rsidRPr="002B55E9">
              <w:rPr>
                <w:rFonts w:hint="eastAsia"/>
                <w:szCs w:val="18"/>
              </w:rPr>
              <w:t>/</w:t>
            </w:r>
          </w:p>
        </w:tc>
        <w:tc>
          <w:tcPr>
            <w:tcW w:w="1153" w:type="dxa"/>
            <w:tcBorders>
              <w:top w:val="single" w:sz="12" w:space="0" w:color="auto"/>
              <w:bottom w:val="single" w:sz="4" w:space="0" w:color="auto"/>
            </w:tcBorders>
            <w:vAlign w:val="center"/>
          </w:tcPr>
          <w:p w14:paraId="6B061B26" w14:textId="77777777" w:rsidR="00D170E5" w:rsidRPr="002B55E9" w:rsidRDefault="00EF27AD">
            <w:pPr>
              <w:pStyle w:val="affff6"/>
              <w:ind w:left="-105" w:right="-105"/>
              <w:rPr>
                <w:szCs w:val="18"/>
              </w:rPr>
            </w:pPr>
            <w:r w:rsidRPr="002B55E9">
              <w:rPr>
                <w:rFonts w:hint="eastAsia"/>
                <w:szCs w:val="18"/>
              </w:rPr>
              <w:t>6.9</w:t>
            </w:r>
          </w:p>
        </w:tc>
        <w:tc>
          <w:tcPr>
            <w:tcW w:w="962" w:type="dxa"/>
            <w:tcBorders>
              <w:top w:val="single" w:sz="12" w:space="0" w:color="auto"/>
              <w:bottom w:val="single" w:sz="4" w:space="0" w:color="auto"/>
            </w:tcBorders>
            <w:vAlign w:val="center"/>
          </w:tcPr>
          <w:p w14:paraId="644C6B5A"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12" w:space="0" w:color="auto"/>
              <w:bottom w:val="single" w:sz="4" w:space="0" w:color="auto"/>
            </w:tcBorders>
            <w:vAlign w:val="center"/>
          </w:tcPr>
          <w:p w14:paraId="62BF40EC" w14:textId="77777777" w:rsidR="00D170E5" w:rsidRPr="002B55E9" w:rsidRDefault="00EF27AD">
            <w:pPr>
              <w:pStyle w:val="affff6"/>
              <w:ind w:left="-105" w:right="-105"/>
              <w:rPr>
                <w:szCs w:val="18"/>
              </w:rPr>
            </w:pPr>
            <w:r w:rsidRPr="002B55E9">
              <w:rPr>
                <w:rFonts w:hint="eastAsia"/>
                <w:szCs w:val="18"/>
              </w:rPr>
              <w:t>/</w:t>
            </w:r>
          </w:p>
        </w:tc>
      </w:tr>
      <w:tr w:rsidR="002B55E9" w:rsidRPr="002B55E9" w14:paraId="1D524893" w14:textId="77777777" w:rsidTr="006C19DD">
        <w:trPr>
          <w:trHeight w:val="284"/>
          <w:jc w:val="center"/>
        </w:trPr>
        <w:tc>
          <w:tcPr>
            <w:tcW w:w="925" w:type="dxa"/>
            <w:tcBorders>
              <w:top w:val="single" w:sz="4" w:space="0" w:color="auto"/>
            </w:tcBorders>
            <w:vAlign w:val="center"/>
          </w:tcPr>
          <w:p w14:paraId="208199D3" w14:textId="77777777" w:rsidR="00D170E5" w:rsidRPr="002B55E9" w:rsidRDefault="00EF27AD">
            <w:pPr>
              <w:pStyle w:val="affff6"/>
              <w:ind w:left="-105" w:right="-105"/>
              <w:rPr>
                <w:szCs w:val="18"/>
              </w:rPr>
            </w:pPr>
            <w:r w:rsidRPr="002B55E9">
              <w:rPr>
                <w:szCs w:val="18"/>
              </w:rPr>
              <w:t>2</w:t>
            </w:r>
          </w:p>
        </w:tc>
        <w:tc>
          <w:tcPr>
            <w:tcW w:w="3068" w:type="dxa"/>
            <w:tcBorders>
              <w:top w:val="single" w:sz="4" w:space="0" w:color="auto"/>
            </w:tcBorders>
            <w:vAlign w:val="center"/>
          </w:tcPr>
          <w:p w14:paraId="26F6EE19" w14:textId="77777777" w:rsidR="00D170E5" w:rsidRPr="002B55E9" w:rsidRDefault="00EF27AD">
            <w:pPr>
              <w:pStyle w:val="affff6"/>
              <w:ind w:left="-105" w:right="-105"/>
              <w:rPr>
                <w:szCs w:val="18"/>
              </w:rPr>
            </w:pPr>
            <w:r w:rsidRPr="002B55E9">
              <w:rPr>
                <w:rFonts w:hint="eastAsia"/>
                <w:szCs w:val="18"/>
              </w:rPr>
              <w:t>钾</w:t>
            </w:r>
          </w:p>
        </w:tc>
        <w:tc>
          <w:tcPr>
            <w:tcW w:w="1731" w:type="dxa"/>
            <w:tcBorders>
              <w:top w:val="single" w:sz="4" w:space="0" w:color="auto"/>
            </w:tcBorders>
            <w:vAlign w:val="center"/>
          </w:tcPr>
          <w:p w14:paraId="6A1902A1"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4" w:space="0" w:color="auto"/>
            </w:tcBorders>
            <w:vAlign w:val="center"/>
          </w:tcPr>
          <w:p w14:paraId="5C86DA9D" w14:textId="77777777" w:rsidR="00D170E5" w:rsidRPr="002B55E9" w:rsidRDefault="00EF27AD">
            <w:pPr>
              <w:pStyle w:val="affff6"/>
              <w:ind w:left="-105" w:right="-105"/>
              <w:rPr>
                <w:szCs w:val="18"/>
              </w:rPr>
            </w:pPr>
            <w:r w:rsidRPr="002B55E9">
              <w:rPr>
                <w:rFonts w:hint="eastAsia"/>
                <w:szCs w:val="18"/>
              </w:rPr>
              <w:t>1.44</w:t>
            </w:r>
          </w:p>
        </w:tc>
        <w:tc>
          <w:tcPr>
            <w:tcW w:w="769" w:type="dxa"/>
            <w:tcBorders>
              <w:top w:val="single" w:sz="4" w:space="0" w:color="auto"/>
            </w:tcBorders>
            <w:vAlign w:val="center"/>
          </w:tcPr>
          <w:p w14:paraId="3C7DAA1A"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4" w:space="0" w:color="auto"/>
            </w:tcBorders>
            <w:vAlign w:val="center"/>
          </w:tcPr>
          <w:p w14:paraId="3BF384F5" w14:textId="77777777" w:rsidR="00D170E5" w:rsidRPr="002B55E9" w:rsidRDefault="00EF27AD">
            <w:pPr>
              <w:pStyle w:val="affff6"/>
              <w:ind w:left="-105" w:right="-105"/>
              <w:rPr>
                <w:szCs w:val="18"/>
              </w:rPr>
            </w:pPr>
            <w:r w:rsidRPr="002B55E9">
              <w:rPr>
                <w:rFonts w:hint="eastAsia"/>
                <w:szCs w:val="18"/>
              </w:rPr>
              <w:t>/</w:t>
            </w:r>
          </w:p>
        </w:tc>
        <w:tc>
          <w:tcPr>
            <w:tcW w:w="1153" w:type="dxa"/>
            <w:tcBorders>
              <w:top w:val="single" w:sz="4" w:space="0" w:color="auto"/>
            </w:tcBorders>
            <w:vAlign w:val="center"/>
          </w:tcPr>
          <w:p w14:paraId="084078DC" w14:textId="77777777" w:rsidR="00D170E5" w:rsidRPr="002B55E9" w:rsidRDefault="00EF27AD">
            <w:pPr>
              <w:pStyle w:val="affff6"/>
              <w:ind w:left="-105" w:right="-105"/>
              <w:rPr>
                <w:szCs w:val="18"/>
              </w:rPr>
            </w:pPr>
            <w:r w:rsidRPr="002B55E9">
              <w:rPr>
                <w:rFonts w:hint="eastAsia"/>
                <w:szCs w:val="18"/>
              </w:rPr>
              <w:t>2.74</w:t>
            </w:r>
          </w:p>
        </w:tc>
        <w:tc>
          <w:tcPr>
            <w:tcW w:w="962" w:type="dxa"/>
            <w:tcBorders>
              <w:top w:val="single" w:sz="4" w:space="0" w:color="auto"/>
            </w:tcBorders>
            <w:vAlign w:val="center"/>
          </w:tcPr>
          <w:p w14:paraId="2C6938D6"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4" w:space="0" w:color="auto"/>
            </w:tcBorders>
            <w:vAlign w:val="center"/>
          </w:tcPr>
          <w:p w14:paraId="5BB623F6" w14:textId="77777777" w:rsidR="00D170E5" w:rsidRPr="002B55E9" w:rsidRDefault="00EF27AD">
            <w:pPr>
              <w:pStyle w:val="affff6"/>
              <w:ind w:left="-105" w:right="-105"/>
              <w:rPr>
                <w:szCs w:val="18"/>
              </w:rPr>
            </w:pPr>
            <w:r w:rsidRPr="002B55E9">
              <w:rPr>
                <w:rFonts w:hint="eastAsia"/>
                <w:szCs w:val="18"/>
              </w:rPr>
              <w:t>/</w:t>
            </w:r>
          </w:p>
        </w:tc>
        <w:tc>
          <w:tcPr>
            <w:tcW w:w="1153" w:type="dxa"/>
            <w:tcBorders>
              <w:top w:val="single" w:sz="4" w:space="0" w:color="auto"/>
            </w:tcBorders>
            <w:vAlign w:val="center"/>
          </w:tcPr>
          <w:p w14:paraId="758E7360" w14:textId="77777777" w:rsidR="00D170E5" w:rsidRPr="002B55E9" w:rsidRDefault="00EF27AD">
            <w:pPr>
              <w:pStyle w:val="affff6"/>
              <w:ind w:left="-105" w:right="-105"/>
              <w:rPr>
                <w:szCs w:val="18"/>
              </w:rPr>
            </w:pPr>
            <w:r w:rsidRPr="002B55E9">
              <w:rPr>
                <w:rFonts w:hint="eastAsia"/>
                <w:szCs w:val="18"/>
              </w:rPr>
              <w:t>2.78</w:t>
            </w:r>
          </w:p>
        </w:tc>
        <w:tc>
          <w:tcPr>
            <w:tcW w:w="962" w:type="dxa"/>
            <w:tcBorders>
              <w:top w:val="single" w:sz="4" w:space="0" w:color="auto"/>
            </w:tcBorders>
            <w:vAlign w:val="center"/>
          </w:tcPr>
          <w:p w14:paraId="74ED1000" w14:textId="77777777" w:rsidR="00D170E5" w:rsidRPr="002B55E9" w:rsidRDefault="00EF27AD">
            <w:pPr>
              <w:pStyle w:val="affff6"/>
              <w:ind w:left="-105" w:right="-105"/>
              <w:rPr>
                <w:szCs w:val="18"/>
              </w:rPr>
            </w:pPr>
            <w:r w:rsidRPr="002B55E9">
              <w:rPr>
                <w:rFonts w:hint="eastAsia"/>
                <w:szCs w:val="18"/>
              </w:rPr>
              <w:t>/</w:t>
            </w:r>
          </w:p>
        </w:tc>
        <w:tc>
          <w:tcPr>
            <w:tcW w:w="962" w:type="dxa"/>
            <w:tcBorders>
              <w:top w:val="single" w:sz="4" w:space="0" w:color="auto"/>
            </w:tcBorders>
            <w:vAlign w:val="center"/>
          </w:tcPr>
          <w:p w14:paraId="458BC005" w14:textId="77777777" w:rsidR="00D170E5" w:rsidRPr="002B55E9" w:rsidRDefault="00EF27AD">
            <w:pPr>
              <w:pStyle w:val="affff6"/>
              <w:ind w:left="-105" w:right="-105"/>
              <w:rPr>
                <w:szCs w:val="18"/>
              </w:rPr>
            </w:pPr>
            <w:r w:rsidRPr="002B55E9">
              <w:rPr>
                <w:rFonts w:hint="eastAsia"/>
                <w:szCs w:val="18"/>
              </w:rPr>
              <w:t>/</w:t>
            </w:r>
          </w:p>
        </w:tc>
      </w:tr>
      <w:tr w:rsidR="002B55E9" w:rsidRPr="002B55E9" w14:paraId="2BD261C3" w14:textId="77777777" w:rsidTr="006C19DD">
        <w:trPr>
          <w:trHeight w:val="284"/>
          <w:jc w:val="center"/>
        </w:trPr>
        <w:tc>
          <w:tcPr>
            <w:tcW w:w="925" w:type="dxa"/>
            <w:vAlign w:val="center"/>
          </w:tcPr>
          <w:p w14:paraId="78B6F130" w14:textId="77777777" w:rsidR="00D170E5" w:rsidRPr="002B55E9" w:rsidRDefault="00EF27AD">
            <w:pPr>
              <w:pStyle w:val="affff6"/>
              <w:ind w:left="-105" w:right="-105"/>
              <w:rPr>
                <w:szCs w:val="18"/>
              </w:rPr>
            </w:pPr>
            <w:r w:rsidRPr="002B55E9">
              <w:rPr>
                <w:szCs w:val="18"/>
              </w:rPr>
              <w:t>3</w:t>
            </w:r>
          </w:p>
        </w:tc>
        <w:tc>
          <w:tcPr>
            <w:tcW w:w="3068" w:type="dxa"/>
            <w:vAlign w:val="center"/>
          </w:tcPr>
          <w:p w14:paraId="1D4FAAB6" w14:textId="77777777" w:rsidR="00D170E5" w:rsidRPr="002B55E9" w:rsidRDefault="00EF27AD">
            <w:pPr>
              <w:pStyle w:val="affff6"/>
              <w:ind w:left="-105" w:right="-105"/>
              <w:rPr>
                <w:szCs w:val="18"/>
              </w:rPr>
            </w:pPr>
            <w:r w:rsidRPr="002B55E9">
              <w:rPr>
                <w:rFonts w:hint="eastAsia"/>
                <w:szCs w:val="18"/>
              </w:rPr>
              <w:t>钠</w:t>
            </w:r>
          </w:p>
        </w:tc>
        <w:tc>
          <w:tcPr>
            <w:tcW w:w="1731" w:type="dxa"/>
            <w:vAlign w:val="center"/>
          </w:tcPr>
          <w:p w14:paraId="1454CDBB" w14:textId="77777777" w:rsidR="00D170E5" w:rsidRPr="002B55E9" w:rsidRDefault="00EF27AD">
            <w:pPr>
              <w:pStyle w:val="affff6"/>
              <w:ind w:left="-105" w:right="-105"/>
              <w:rPr>
                <w:szCs w:val="18"/>
              </w:rPr>
            </w:pPr>
            <w:r w:rsidRPr="002B55E9">
              <w:rPr>
                <w:rFonts w:hint="eastAsia"/>
                <w:szCs w:val="18"/>
              </w:rPr>
              <w:t>400</w:t>
            </w:r>
          </w:p>
        </w:tc>
        <w:tc>
          <w:tcPr>
            <w:tcW w:w="962" w:type="dxa"/>
            <w:vAlign w:val="center"/>
          </w:tcPr>
          <w:p w14:paraId="14652899" w14:textId="77777777" w:rsidR="00D170E5" w:rsidRPr="002B55E9" w:rsidRDefault="00EF27AD">
            <w:pPr>
              <w:pStyle w:val="affff6"/>
              <w:ind w:left="-105" w:right="-105"/>
              <w:rPr>
                <w:szCs w:val="18"/>
              </w:rPr>
            </w:pPr>
            <w:r w:rsidRPr="002B55E9">
              <w:rPr>
                <w:rFonts w:hint="eastAsia"/>
                <w:szCs w:val="18"/>
              </w:rPr>
              <w:t>10.0</w:t>
            </w:r>
          </w:p>
        </w:tc>
        <w:tc>
          <w:tcPr>
            <w:tcW w:w="769" w:type="dxa"/>
            <w:vAlign w:val="center"/>
          </w:tcPr>
          <w:p w14:paraId="07D328C3" w14:textId="77777777" w:rsidR="00D170E5" w:rsidRPr="002B55E9" w:rsidRDefault="00EF27AD">
            <w:pPr>
              <w:pStyle w:val="affff6"/>
              <w:ind w:left="-105" w:right="-105"/>
              <w:rPr>
                <w:szCs w:val="18"/>
              </w:rPr>
            </w:pPr>
            <w:r w:rsidRPr="002B55E9">
              <w:rPr>
                <w:rFonts w:hint="eastAsia"/>
                <w:szCs w:val="18"/>
              </w:rPr>
              <w:t>0.025</w:t>
            </w:r>
          </w:p>
        </w:tc>
        <w:tc>
          <w:tcPr>
            <w:tcW w:w="962" w:type="dxa"/>
            <w:vAlign w:val="center"/>
          </w:tcPr>
          <w:p w14:paraId="4ACF76A3" w14:textId="77777777" w:rsidR="00D170E5" w:rsidRPr="002B55E9" w:rsidRDefault="00EF27AD">
            <w:pPr>
              <w:pStyle w:val="affff6"/>
              <w:ind w:left="-105" w:right="-105"/>
              <w:rPr>
                <w:szCs w:val="18"/>
              </w:rPr>
            </w:pPr>
            <w:r w:rsidRPr="002B55E9">
              <w:rPr>
                <w:rFonts w:hint="eastAsia"/>
                <w:szCs w:val="18"/>
              </w:rPr>
              <w:t>0</w:t>
            </w:r>
          </w:p>
        </w:tc>
        <w:tc>
          <w:tcPr>
            <w:tcW w:w="1153" w:type="dxa"/>
            <w:vAlign w:val="center"/>
          </w:tcPr>
          <w:p w14:paraId="14073517" w14:textId="77777777" w:rsidR="00D170E5" w:rsidRPr="002B55E9" w:rsidRDefault="00EF27AD">
            <w:pPr>
              <w:pStyle w:val="affff6"/>
              <w:ind w:left="-105" w:right="-105"/>
              <w:rPr>
                <w:szCs w:val="18"/>
              </w:rPr>
            </w:pPr>
            <w:r w:rsidRPr="002B55E9">
              <w:rPr>
                <w:rFonts w:hint="eastAsia"/>
                <w:szCs w:val="18"/>
              </w:rPr>
              <w:t>10.8</w:t>
            </w:r>
          </w:p>
        </w:tc>
        <w:tc>
          <w:tcPr>
            <w:tcW w:w="962" w:type="dxa"/>
            <w:vAlign w:val="center"/>
          </w:tcPr>
          <w:p w14:paraId="738C8014" w14:textId="77777777" w:rsidR="00D170E5" w:rsidRPr="002B55E9" w:rsidRDefault="00EF27AD">
            <w:pPr>
              <w:pStyle w:val="affff6"/>
              <w:ind w:left="-105" w:right="-105"/>
              <w:rPr>
                <w:szCs w:val="18"/>
              </w:rPr>
            </w:pPr>
            <w:r w:rsidRPr="002B55E9">
              <w:rPr>
                <w:rFonts w:hint="eastAsia"/>
                <w:szCs w:val="18"/>
              </w:rPr>
              <w:t>0.027</w:t>
            </w:r>
          </w:p>
        </w:tc>
        <w:tc>
          <w:tcPr>
            <w:tcW w:w="962" w:type="dxa"/>
            <w:vAlign w:val="center"/>
          </w:tcPr>
          <w:p w14:paraId="701A7F77" w14:textId="77777777" w:rsidR="00D170E5" w:rsidRPr="002B55E9" w:rsidRDefault="00EF27AD">
            <w:pPr>
              <w:pStyle w:val="affff6"/>
              <w:ind w:left="-105" w:right="-105"/>
              <w:rPr>
                <w:szCs w:val="18"/>
              </w:rPr>
            </w:pPr>
            <w:r w:rsidRPr="002B55E9">
              <w:rPr>
                <w:rFonts w:hint="eastAsia"/>
                <w:szCs w:val="18"/>
              </w:rPr>
              <w:t>0</w:t>
            </w:r>
          </w:p>
        </w:tc>
        <w:tc>
          <w:tcPr>
            <w:tcW w:w="1153" w:type="dxa"/>
            <w:vAlign w:val="center"/>
          </w:tcPr>
          <w:p w14:paraId="4398F057" w14:textId="77777777" w:rsidR="00D170E5" w:rsidRPr="002B55E9" w:rsidRDefault="00EF27AD">
            <w:pPr>
              <w:pStyle w:val="affff6"/>
              <w:ind w:left="-105" w:right="-105"/>
              <w:rPr>
                <w:szCs w:val="18"/>
              </w:rPr>
            </w:pPr>
            <w:r w:rsidRPr="002B55E9">
              <w:rPr>
                <w:szCs w:val="18"/>
              </w:rPr>
              <w:t>17.6</w:t>
            </w:r>
          </w:p>
        </w:tc>
        <w:tc>
          <w:tcPr>
            <w:tcW w:w="962" w:type="dxa"/>
            <w:vAlign w:val="center"/>
          </w:tcPr>
          <w:p w14:paraId="5D491A09" w14:textId="77777777" w:rsidR="00D170E5" w:rsidRPr="002B55E9" w:rsidRDefault="00EF27AD">
            <w:pPr>
              <w:pStyle w:val="affff6"/>
              <w:ind w:left="-105" w:right="-105"/>
              <w:rPr>
                <w:szCs w:val="18"/>
              </w:rPr>
            </w:pPr>
            <w:r w:rsidRPr="002B55E9">
              <w:rPr>
                <w:rFonts w:hint="eastAsia"/>
                <w:szCs w:val="18"/>
              </w:rPr>
              <w:t>0.044</w:t>
            </w:r>
          </w:p>
        </w:tc>
        <w:tc>
          <w:tcPr>
            <w:tcW w:w="962" w:type="dxa"/>
            <w:vAlign w:val="center"/>
          </w:tcPr>
          <w:p w14:paraId="5878C2B4" w14:textId="77777777" w:rsidR="00D170E5" w:rsidRPr="002B55E9" w:rsidRDefault="00EF27AD">
            <w:pPr>
              <w:pStyle w:val="affff6"/>
              <w:ind w:left="-105" w:right="-105"/>
              <w:rPr>
                <w:szCs w:val="18"/>
              </w:rPr>
            </w:pPr>
            <w:r w:rsidRPr="002B55E9">
              <w:rPr>
                <w:rFonts w:hint="eastAsia"/>
                <w:szCs w:val="18"/>
              </w:rPr>
              <w:t>/</w:t>
            </w:r>
          </w:p>
        </w:tc>
      </w:tr>
      <w:tr w:rsidR="002B55E9" w:rsidRPr="002B55E9" w14:paraId="7BB2CFCE" w14:textId="77777777" w:rsidTr="006C19DD">
        <w:trPr>
          <w:trHeight w:val="284"/>
          <w:jc w:val="center"/>
        </w:trPr>
        <w:tc>
          <w:tcPr>
            <w:tcW w:w="925" w:type="dxa"/>
            <w:vAlign w:val="center"/>
          </w:tcPr>
          <w:p w14:paraId="40FD3EAC" w14:textId="77777777" w:rsidR="00D170E5" w:rsidRPr="002B55E9" w:rsidRDefault="00EF27AD">
            <w:pPr>
              <w:pStyle w:val="affff6"/>
              <w:ind w:left="-105" w:right="-105"/>
              <w:rPr>
                <w:szCs w:val="18"/>
              </w:rPr>
            </w:pPr>
            <w:r w:rsidRPr="002B55E9">
              <w:rPr>
                <w:szCs w:val="18"/>
              </w:rPr>
              <w:t>4</w:t>
            </w:r>
          </w:p>
        </w:tc>
        <w:tc>
          <w:tcPr>
            <w:tcW w:w="3068" w:type="dxa"/>
            <w:vAlign w:val="center"/>
          </w:tcPr>
          <w:p w14:paraId="4E5A153D" w14:textId="77777777" w:rsidR="00D170E5" w:rsidRPr="002B55E9" w:rsidRDefault="00EF27AD">
            <w:pPr>
              <w:pStyle w:val="affff6"/>
              <w:ind w:left="-105" w:right="-105"/>
              <w:rPr>
                <w:szCs w:val="18"/>
              </w:rPr>
            </w:pPr>
            <w:r w:rsidRPr="002B55E9">
              <w:rPr>
                <w:rFonts w:hint="eastAsia"/>
                <w:szCs w:val="18"/>
              </w:rPr>
              <w:t>钙</w:t>
            </w:r>
          </w:p>
        </w:tc>
        <w:tc>
          <w:tcPr>
            <w:tcW w:w="1731" w:type="dxa"/>
            <w:vAlign w:val="center"/>
          </w:tcPr>
          <w:p w14:paraId="70EDAD4F"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691E9BF8" w14:textId="77777777" w:rsidR="00D170E5" w:rsidRPr="002B55E9" w:rsidRDefault="00EF27AD">
            <w:pPr>
              <w:pStyle w:val="affff6"/>
              <w:ind w:left="-105" w:right="-105"/>
              <w:rPr>
                <w:szCs w:val="18"/>
              </w:rPr>
            </w:pPr>
            <w:r w:rsidRPr="002B55E9">
              <w:rPr>
                <w:rFonts w:hint="eastAsia"/>
                <w:szCs w:val="18"/>
              </w:rPr>
              <w:t>168</w:t>
            </w:r>
          </w:p>
        </w:tc>
        <w:tc>
          <w:tcPr>
            <w:tcW w:w="769" w:type="dxa"/>
            <w:vAlign w:val="center"/>
          </w:tcPr>
          <w:p w14:paraId="56526510"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31FC0D33" w14:textId="77777777" w:rsidR="00D170E5" w:rsidRPr="002B55E9" w:rsidRDefault="00EF27AD">
            <w:pPr>
              <w:pStyle w:val="affff6"/>
              <w:ind w:left="-105" w:right="-105"/>
              <w:rPr>
                <w:szCs w:val="18"/>
              </w:rPr>
            </w:pPr>
            <w:r w:rsidRPr="002B55E9">
              <w:rPr>
                <w:rFonts w:hint="eastAsia"/>
                <w:szCs w:val="18"/>
              </w:rPr>
              <w:t>/</w:t>
            </w:r>
          </w:p>
        </w:tc>
        <w:tc>
          <w:tcPr>
            <w:tcW w:w="1153" w:type="dxa"/>
            <w:vAlign w:val="center"/>
          </w:tcPr>
          <w:p w14:paraId="2D933711" w14:textId="77777777" w:rsidR="00D170E5" w:rsidRPr="002B55E9" w:rsidRDefault="00EF27AD">
            <w:pPr>
              <w:pStyle w:val="affff6"/>
              <w:ind w:left="-105" w:right="-105"/>
              <w:rPr>
                <w:szCs w:val="18"/>
              </w:rPr>
            </w:pPr>
            <w:r w:rsidRPr="002B55E9">
              <w:rPr>
                <w:rFonts w:hint="eastAsia"/>
                <w:szCs w:val="18"/>
              </w:rPr>
              <w:t>118</w:t>
            </w:r>
          </w:p>
        </w:tc>
        <w:tc>
          <w:tcPr>
            <w:tcW w:w="962" w:type="dxa"/>
            <w:vAlign w:val="center"/>
          </w:tcPr>
          <w:p w14:paraId="03B46357"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3A53C41E" w14:textId="77777777" w:rsidR="00D170E5" w:rsidRPr="002B55E9" w:rsidRDefault="00EF27AD">
            <w:pPr>
              <w:pStyle w:val="affff6"/>
              <w:ind w:left="-105" w:right="-105"/>
              <w:rPr>
                <w:szCs w:val="18"/>
              </w:rPr>
            </w:pPr>
            <w:r w:rsidRPr="002B55E9">
              <w:rPr>
                <w:rFonts w:hint="eastAsia"/>
                <w:szCs w:val="18"/>
              </w:rPr>
              <w:t>/</w:t>
            </w:r>
          </w:p>
        </w:tc>
        <w:tc>
          <w:tcPr>
            <w:tcW w:w="1153" w:type="dxa"/>
            <w:vAlign w:val="center"/>
          </w:tcPr>
          <w:p w14:paraId="3A977FA0" w14:textId="77777777" w:rsidR="00D170E5" w:rsidRPr="002B55E9" w:rsidRDefault="00EF27AD">
            <w:pPr>
              <w:pStyle w:val="affff6"/>
              <w:ind w:left="-105" w:right="-105"/>
              <w:rPr>
                <w:szCs w:val="18"/>
              </w:rPr>
            </w:pPr>
            <w:r w:rsidRPr="002B55E9">
              <w:rPr>
                <w:rFonts w:hint="eastAsia"/>
                <w:szCs w:val="18"/>
              </w:rPr>
              <w:t>41.6</w:t>
            </w:r>
          </w:p>
        </w:tc>
        <w:tc>
          <w:tcPr>
            <w:tcW w:w="962" w:type="dxa"/>
            <w:vAlign w:val="center"/>
          </w:tcPr>
          <w:p w14:paraId="6107F6F6"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099A3368" w14:textId="77777777" w:rsidR="00D170E5" w:rsidRPr="002B55E9" w:rsidRDefault="00EF27AD">
            <w:pPr>
              <w:pStyle w:val="affff6"/>
              <w:ind w:left="-105" w:right="-105"/>
              <w:rPr>
                <w:szCs w:val="18"/>
              </w:rPr>
            </w:pPr>
            <w:r w:rsidRPr="002B55E9">
              <w:rPr>
                <w:rFonts w:hint="eastAsia"/>
                <w:szCs w:val="18"/>
              </w:rPr>
              <w:t>/</w:t>
            </w:r>
          </w:p>
        </w:tc>
      </w:tr>
      <w:tr w:rsidR="002B55E9" w:rsidRPr="002B55E9" w14:paraId="4E49132F" w14:textId="77777777" w:rsidTr="006C19DD">
        <w:trPr>
          <w:trHeight w:val="284"/>
          <w:jc w:val="center"/>
        </w:trPr>
        <w:tc>
          <w:tcPr>
            <w:tcW w:w="925" w:type="dxa"/>
            <w:vAlign w:val="center"/>
          </w:tcPr>
          <w:p w14:paraId="15DB066D" w14:textId="77777777" w:rsidR="00D170E5" w:rsidRPr="002B55E9" w:rsidRDefault="00EF27AD">
            <w:pPr>
              <w:pStyle w:val="affff6"/>
              <w:ind w:left="-105" w:right="-105"/>
              <w:rPr>
                <w:szCs w:val="18"/>
              </w:rPr>
            </w:pPr>
            <w:r w:rsidRPr="002B55E9">
              <w:rPr>
                <w:szCs w:val="18"/>
              </w:rPr>
              <w:t>5</w:t>
            </w:r>
          </w:p>
        </w:tc>
        <w:tc>
          <w:tcPr>
            <w:tcW w:w="3068" w:type="dxa"/>
            <w:vAlign w:val="center"/>
          </w:tcPr>
          <w:p w14:paraId="0E924F5A" w14:textId="77777777" w:rsidR="00D170E5" w:rsidRPr="002B55E9" w:rsidRDefault="00EF27AD">
            <w:pPr>
              <w:pStyle w:val="affff6"/>
              <w:ind w:left="-105" w:right="-105"/>
              <w:rPr>
                <w:szCs w:val="18"/>
              </w:rPr>
            </w:pPr>
            <w:r w:rsidRPr="002B55E9">
              <w:rPr>
                <w:rFonts w:hint="eastAsia"/>
                <w:szCs w:val="18"/>
              </w:rPr>
              <w:t>镁</w:t>
            </w:r>
          </w:p>
        </w:tc>
        <w:tc>
          <w:tcPr>
            <w:tcW w:w="1731" w:type="dxa"/>
            <w:vAlign w:val="center"/>
          </w:tcPr>
          <w:p w14:paraId="1DFAFBAD"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4095D65E" w14:textId="77777777" w:rsidR="00D170E5" w:rsidRPr="002B55E9" w:rsidRDefault="00EF27AD">
            <w:pPr>
              <w:pStyle w:val="affff6"/>
              <w:ind w:left="-105" w:right="-105"/>
              <w:rPr>
                <w:szCs w:val="18"/>
              </w:rPr>
            </w:pPr>
            <w:r w:rsidRPr="002B55E9">
              <w:rPr>
                <w:rFonts w:hint="eastAsia"/>
                <w:szCs w:val="18"/>
              </w:rPr>
              <w:t>32.1</w:t>
            </w:r>
          </w:p>
        </w:tc>
        <w:tc>
          <w:tcPr>
            <w:tcW w:w="769" w:type="dxa"/>
            <w:vAlign w:val="center"/>
          </w:tcPr>
          <w:p w14:paraId="4F4DA8AB"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14C7DC3"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1E819349" w14:textId="77777777" w:rsidR="00D170E5" w:rsidRPr="002B55E9" w:rsidRDefault="00EF27AD">
            <w:pPr>
              <w:pStyle w:val="affff6"/>
              <w:ind w:left="-105" w:right="-105"/>
              <w:rPr>
                <w:szCs w:val="18"/>
              </w:rPr>
            </w:pPr>
            <w:r w:rsidRPr="002B55E9">
              <w:rPr>
                <w:rFonts w:hint="eastAsia"/>
                <w:szCs w:val="18"/>
              </w:rPr>
              <w:t>26.0</w:t>
            </w:r>
          </w:p>
        </w:tc>
        <w:tc>
          <w:tcPr>
            <w:tcW w:w="962" w:type="dxa"/>
            <w:shd w:val="clear" w:color="auto" w:fill="auto"/>
            <w:vAlign w:val="center"/>
          </w:tcPr>
          <w:p w14:paraId="6BFC0B4B"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F4A29CB"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1B3219CE" w14:textId="77777777" w:rsidR="00D170E5" w:rsidRPr="002B55E9" w:rsidRDefault="00EF27AD">
            <w:pPr>
              <w:pStyle w:val="affff6"/>
              <w:ind w:left="-105" w:right="-105"/>
              <w:rPr>
                <w:szCs w:val="18"/>
              </w:rPr>
            </w:pPr>
            <w:r w:rsidRPr="002B55E9">
              <w:rPr>
                <w:rFonts w:hint="eastAsia"/>
                <w:szCs w:val="18"/>
              </w:rPr>
              <w:t>10.0</w:t>
            </w:r>
          </w:p>
        </w:tc>
        <w:tc>
          <w:tcPr>
            <w:tcW w:w="962" w:type="dxa"/>
            <w:shd w:val="clear" w:color="auto" w:fill="auto"/>
            <w:vAlign w:val="center"/>
          </w:tcPr>
          <w:p w14:paraId="6C14AB21"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FF61323" w14:textId="77777777" w:rsidR="00D170E5" w:rsidRPr="002B55E9" w:rsidRDefault="00EF27AD">
            <w:pPr>
              <w:pStyle w:val="affff6"/>
              <w:ind w:left="-105" w:right="-105"/>
              <w:rPr>
                <w:szCs w:val="18"/>
              </w:rPr>
            </w:pPr>
            <w:r w:rsidRPr="002B55E9">
              <w:rPr>
                <w:rFonts w:hint="eastAsia"/>
                <w:szCs w:val="18"/>
              </w:rPr>
              <w:t>/</w:t>
            </w:r>
          </w:p>
        </w:tc>
      </w:tr>
      <w:tr w:rsidR="002B55E9" w:rsidRPr="002B55E9" w14:paraId="0A9F1A97" w14:textId="77777777" w:rsidTr="006C19DD">
        <w:trPr>
          <w:trHeight w:val="284"/>
          <w:jc w:val="center"/>
        </w:trPr>
        <w:tc>
          <w:tcPr>
            <w:tcW w:w="925" w:type="dxa"/>
            <w:vAlign w:val="center"/>
          </w:tcPr>
          <w:p w14:paraId="6471DA73" w14:textId="77777777" w:rsidR="00D170E5" w:rsidRPr="002B55E9" w:rsidRDefault="00EF27AD">
            <w:pPr>
              <w:pStyle w:val="affff6"/>
              <w:ind w:left="-105" w:right="-105"/>
              <w:rPr>
                <w:szCs w:val="18"/>
              </w:rPr>
            </w:pPr>
            <w:r w:rsidRPr="002B55E9">
              <w:rPr>
                <w:szCs w:val="18"/>
              </w:rPr>
              <w:t>6</w:t>
            </w:r>
          </w:p>
        </w:tc>
        <w:tc>
          <w:tcPr>
            <w:tcW w:w="3068" w:type="dxa"/>
            <w:vAlign w:val="center"/>
          </w:tcPr>
          <w:p w14:paraId="7ED64896" w14:textId="77777777" w:rsidR="00D170E5" w:rsidRPr="002B55E9" w:rsidRDefault="00EF27AD">
            <w:pPr>
              <w:pStyle w:val="affff6"/>
              <w:ind w:left="-105" w:right="-105"/>
              <w:rPr>
                <w:szCs w:val="18"/>
              </w:rPr>
            </w:pPr>
            <w:r w:rsidRPr="002B55E9">
              <w:rPr>
                <w:rFonts w:hint="eastAsia"/>
                <w:szCs w:val="18"/>
              </w:rPr>
              <w:t>碱度（</w:t>
            </w:r>
            <w:r w:rsidRPr="002B55E9">
              <w:rPr>
                <w:rFonts w:hint="eastAsia"/>
                <w:szCs w:val="18"/>
              </w:rPr>
              <w:t>CO</w:t>
            </w:r>
            <w:r w:rsidRPr="002B55E9">
              <w:rPr>
                <w:rFonts w:hint="eastAsia"/>
                <w:szCs w:val="18"/>
                <w:vertAlign w:val="subscript"/>
              </w:rPr>
              <w:t>3</w:t>
            </w:r>
            <w:r w:rsidRPr="002B55E9">
              <w:rPr>
                <w:rFonts w:hint="eastAsia"/>
                <w:szCs w:val="18"/>
                <w:vertAlign w:val="superscript"/>
              </w:rPr>
              <w:t>2-</w:t>
            </w:r>
            <w:r w:rsidRPr="002B55E9">
              <w:rPr>
                <w:rFonts w:hint="eastAsia"/>
                <w:szCs w:val="18"/>
              </w:rPr>
              <w:t>）</w:t>
            </w:r>
          </w:p>
        </w:tc>
        <w:tc>
          <w:tcPr>
            <w:tcW w:w="1731" w:type="dxa"/>
            <w:vAlign w:val="center"/>
          </w:tcPr>
          <w:p w14:paraId="7DABA863"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3D67CE95"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526D0444"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B499240"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107C6A29"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10015042"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1D70B1A5"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075BCD3A"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67DCEC14"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2159BC72" w14:textId="77777777" w:rsidR="00D170E5" w:rsidRPr="002B55E9" w:rsidRDefault="00EF27AD">
            <w:pPr>
              <w:pStyle w:val="affff6"/>
              <w:ind w:left="-105" w:right="-105"/>
              <w:rPr>
                <w:szCs w:val="18"/>
              </w:rPr>
            </w:pPr>
            <w:r w:rsidRPr="002B55E9">
              <w:rPr>
                <w:rFonts w:hint="eastAsia"/>
                <w:szCs w:val="18"/>
              </w:rPr>
              <w:t>/</w:t>
            </w:r>
          </w:p>
        </w:tc>
      </w:tr>
      <w:tr w:rsidR="002B55E9" w:rsidRPr="002B55E9" w14:paraId="0F71D834" w14:textId="77777777" w:rsidTr="006C19DD">
        <w:trPr>
          <w:trHeight w:val="284"/>
          <w:jc w:val="center"/>
        </w:trPr>
        <w:tc>
          <w:tcPr>
            <w:tcW w:w="925" w:type="dxa"/>
            <w:vAlign w:val="center"/>
          </w:tcPr>
          <w:p w14:paraId="14CBB6AD" w14:textId="77777777" w:rsidR="00D170E5" w:rsidRPr="002B55E9" w:rsidRDefault="00EF27AD">
            <w:pPr>
              <w:pStyle w:val="affff6"/>
              <w:ind w:left="-105" w:right="-105"/>
              <w:rPr>
                <w:szCs w:val="18"/>
              </w:rPr>
            </w:pPr>
            <w:r w:rsidRPr="002B55E9">
              <w:rPr>
                <w:szCs w:val="18"/>
              </w:rPr>
              <w:t>7</w:t>
            </w:r>
          </w:p>
        </w:tc>
        <w:tc>
          <w:tcPr>
            <w:tcW w:w="3068" w:type="dxa"/>
            <w:vAlign w:val="center"/>
          </w:tcPr>
          <w:p w14:paraId="662BB794" w14:textId="77777777" w:rsidR="00D170E5" w:rsidRPr="002B55E9" w:rsidRDefault="00EF27AD">
            <w:pPr>
              <w:pStyle w:val="affff6"/>
              <w:ind w:left="-105" w:right="-105"/>
              <w:rPr>
                <w:szCs w:val="18"/>
              </w:rPr>
            </w:pPr>
            <w:r w:rsidRPr="002B55E9">
              <w:rPr>
                <w:rFonts w:hint="eastAsia"/>
                <w:szCs w:val="18"/>
              </w:rPr>
              <w:t>碱度（</w:t>
            </w:r>
            <w:r w:rsidRPr="002B55E9">
              <w:rPr>
                <w:rFonts w:hint="eastAsia"/>
                <w:szCs w:val="18"/>
              </w:rPr>
              <w:t>HCO</w:t>
            </w:r>
            <w:r w:rsidRPr="002B55E9">
              <w:rPr>
                <w:rFonts w:hint="eastAsia"/>
                <w:szCs w:val="18"/>
                <w:vertAlign w:val="subscript"/>
              </w:rPr>
              <w:t>3</w:t>
            </w:r>
            <w:r w:rsidRPr="002B55E9">
              <w:rPr>
                <w:rFonts w:hint="eastAsia"/>
                <w:szCs w:val="18"/>
                <w:vertAlign w:val="superscript"/>
              </w:rPr>
              <w:t>-</w:t>
            </w:r>
            <w:r w:rsidRPr="002B55E9">
              <w:rPr>
                <w:rFonts w:hint="eastAsia"/>
                <w:szCs w:val="18"/>
              </w:rPr>
              <w:t>）</w:t>
            </w:r>
          </w:p>
        </w:tc>
        <w:tc>
          <w:tcPr>
            <w:tcW w:w="1731" w:type="dxa"/>
            <w:vAlign w:val="center"/>
          </w:tcPr>
          <w:p w14:paraId="362E9377" w14:textId="77777777" w:rsidR="00D170E5" w:rsidRPr="002B55E9" w:rsidRDefault="00EF27AD">
            <w:pPr>
              <w:pStyle w:val="affff6"/>
              <w:ind w:left="-105" w:right="-105"/>
              <w:rPr>
                <w:szCs w:val="18"/>
              </w:rPr>
            </w:pPr>
            <w:r w:rsidRPr="002B55E9">
              <w:rPr>
                <w:rFonts w:hint="eastAsia"/>
                <w:szCs w:val="18"/>
              </w:rPr>
              <w:t>/</w:t>
            </w:r>
          </w:p>
        </w:tc>
        <w:tc>
          <w:tcPr>
            <w:tcW w:w="962" w:type="dxa"/>
            <w:vAlign w:val="center"/>
          </w:tcPr>
          <w:p w14:paraId="33DC08E2" w14:textId="77777777" w:rsidR="00D170E5" w:rsidRPr="002B55E9" w:rsidRDefault="00EF27AD">
            <w:pPr>
              <w:pStyle w:val="affff6"/>
              <w:ind w:left="-105" w:right="-105"/>
              <w:rPr>
                <w:szCs w:val="18"/>
              </w:rPr>
            </w:pPr>
            <w:r w:rsidRPr="002B55E9">
              <w:rPr>
                <w:rFonts w:hint="eastAsia"/>
                <w:szCs w:val="18"/>
              </w:rPr>
              <w:t>586</w:t>
            </w:r>
          </w:p>
        </w:tc>
        <w:tc>
          <w:tcPr>
            <w:tcW w:w="769" w:type="dxa"/>
            <w:vAlign w:val="center"/>
          </w:tcPr>
          <w:p w14:paraId="1B4D98FA"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0AF25E41"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0F169645" w14:textId="77777777" w:rsidR="00D170E5" w:rsidRPr="002B55E9" w:rsidRDefault="00EF27AD">
            <w:pPr>
              <w:pStyle w:val="affff6"/>
              <w:ind w:left="-105" w:right="-105"/>
              <w:rPr>
                <w:szCs w:val="18"/>
              </w:rPr>
            </w:pPr>
            <w:r w:rsidRPr="002B55E9">
              <w:rPr>
                <w:rFonts w:hint="eastAsia"/>
                <w:szCs w:val="18"/>
              </w:rPr>
              <w:t>412</w:t>
            </w:r>
          </w:p>
        </w:tc>
        <w:tc>
          <w:tcPr>
            <w:tcW w:w="962" w:type="dxa"/>
            <w:shd w:val="clear" w:color="auto" w:fill="auto"/>
            <w:vAlign w:val="center"/>
          </w:tcPr>
          <w:p w14:paraId="708F8072"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4C3F9C22"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3F55B4F8" w14:textId="77777777" w:rsidR="00D170E5" w:rsidRPr="002B55E9" w:rsidRDefault="00EF27AD">
            <w:pPr>
              <w:pStyle w:val="affff6"/>
              <w:ind w:left="-105" w:right="-105"/>
              <w:rPr>
                <w:szCs w:val="18"/>
              </w:rPr>
            </w:pPr>
            <w:r w:rsidRPr="002B55E9">
              <w:rPr>
                <w:rFonts w:hint="eastAsia"/>
                <w:szCs w:val="18"/>
              </w:rPr>
              <w:t>145</w:t>
            </w:r>
          </w:p>
        </w:tc>
        <w:tc>
          <w:tcPr>
            <w:tcW w:w="962" w:type="dxa"/>
            <w:shd w:val="clear" w:color="auto" w:fill="auto"/>
            <w:vAlign w:val="center"/>
          </w:tcPr>
          <w:p w14:paraId="560C6828"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504AD1C" w14:textId="77777777" w:rsidR="00D170E5" w:rsidRPr="002B55E9" w:rsidRDefault="00EF27AD">
            <w:pPr>
              <w:pStyle w:val="affff6"/>
              <w:ind w:left="-105" w:right="-105"/>
              <w:rPr>
                <w:szCs w:val="18"/>
              </w:rPr>
            </w:pPr>
            <w:r w:rsidRPr="002B55E9">
              <w:rPr>
                <w:rFonts w:hint="eastAsia"/>
                <w:szCs w:val="18"/>
              </w:rPr>
              <w:t>/</w:t>
            </w:r>
          </w:p>
        </w:tc>
      </w:tr>
      <w:tr w:rsidR="002B55E9" w:rsidRPr="002B55E9" w14:paraId="028BE3A4" w14:textId="77777777" w:rsidTr="006C19DD">
        <w:trPr>
          <w:trHeight w:val="284"/>
          <w:jc w:val="center"/>
        </w:trPr>
        <w:tc>
          <w:tcPr>
            <w:tcW w:w="925" w:type="dxa"/>
            <w:shd w:val="clear" w:color="auto" w:fill="auto"/>
            <w:vAlign w:val="center"/>
          </w:tcPr>
          <w:p w14:paraId="1D7FEBE1" w14:textId="77777777" w:rsidR="00D170E5" w:rsidRPr="002B55E9" w:rsidRDefault="00EF27AD">
            <w:pPr>
              <w:pStyle w:val="affff6"/>
              <w:ind w:left="-105" w:right="-105"/>
              <w:rPr>
                <w:szCs w:val="18"/>
              </w:rPr>
            </w:pPr>
            <w:r w:rsidRPr="002B55E9">
              <w:rPr>
                <w:szCs w:val="18"/>
              </w:rPr>
              <w:t>8</w:t>
            </w:r>
          </w:p>
        </w:tc>
        <w:tc>
          <w:tcPr>
            <w:tcW w:w="3068" w:type="dxa"/>
            <w:shd w:val="clear" w:color="auto" w:fill="auto"/>
            <w:vAlign w:val="center"/>
          </w:tcPr>
          <w:p w14:paraId="4F88D7ED" w14:textId="77777777" w:rsidR="00D170E5" w:rsidRPr="002B55E9" w:rsidRDefault="00EF27AD">
            <w:pPr>
              <w:pStyle w:val="affff6"/>
              <w:ind w:left="-105" w:right="-105"/>
              <w:rPr>
                <w:szCs w:val="18"/>
              </w:rPr>
            </w:pPr>
            <w:r w:rsidRPr="002B55E9">
              <w:rPr>
                <w:rFonts w:hint="eastAsia"/>
                <w:szCs w:val="18"/>
              </w:rPr>
              <w:t>氨氮</w:t>
            </w:r>
          </w:p>
        </w:tc>
        <w:tc>
          <w:tcPr>
            <w:tcW w:w="1731" w:type="dxa"/>
            <w:shd w:val="clear" w:color="auto" w:fill="auto"/>
            <w:vAlign w:val="center"/>
          </w:tcPr>
          <w:p w14:paraId="4FD079FC" w14:textId="77777777" w:rsidR="00D170E5" w:rsidRPr="002B55E9" w:rsidRDefault="00EF27AD">
            <w:pPr>
              <w:pStyle w:val="affff6"/>
              <w:ind w:left="-105" w:right="-105"/>
              <w:rPr>
                <w:szCs w:val="18"/>
              </w:rPr>
            </w:pPr>
            <w:r w:rsidRPr="002B55E9">
              <w:rPr>
                <w:rFonts w:hint="eastAsia"/>
                <w:szCs w:val="18"/>
              </w:rPr>
              <w:t>1</w:t>
            </w:r>
            <w:r w:rsidRPr="002B55E9">
              <w:rPr>
                <w:szCs w:val="18"/>
              </w:rPr>
              <w:t>.5</w:t>
            </w:r>
          </w:p>
        </w:tc>
        <w:tc>
          <w:tcPr>
            <w:tcW w:w="962" w:type="dxa"/>
            <w:shd w:val="clear" w:color="auto" w:fill="auto"/>
            <w:vAlign w:val="center"/>
          </w:tcPr>
          <w:p w14:paraId="0BE49F0D" w14:textId="77777777" w:rsidR="00D170E5" w:rsidRPr="002B55E9" w:rsidRDefault="00EF27AD">
            <w:pPr>
              <w:pStyle w:val="affff6"/>
              <w:ind w:left="-105" w:right="-105"/>
              <w:rPr>
                <w:szCs w:val="18"/>
              </w:rPr>
            </w:pPr>
            <w:r w:rsidRPr="002B55E9">
              <w:rPr>
                <w:rFonts w:hint="eastAsia"/>
                <w:szCs w:val="18"/>
              </w:rPr>
              <w:t>0.34</w:t>
            </w:r>
          </w:p>
        </w:tc>
        <w:tc>
          <w:tcPr>
            <w:tcW w:w="769" w:type="dxa"/>
            <w:shd w:val="clear" w:color="auto" w:fill="auto"/>
            <w:vAlign w:val="center"/>
          </w:tcPr>
          <w:p w14:paraId="5CB67BC7" w14:textId="77777777" w:rsidR="00D170E5" w:rsidRPr="002B55E9" w:rsidRDefault="00EF27AD">
            <w:pPr>
              <w:pStyle w:val="affff6"/>
              <w:ind w:left="-105" w:right="-105"/>
              <w:rPr>
                <w:szCs w:val="18"/>
              </w:rPr>
            </w:pPr>
            <w:r w:rsidRPr="002B55E9">
              <w:rPr>
                <w:rFonts w:hint="eastAsia"/>
                <w:szCs w:val="18"/>
              </w:rPr>
              <w:t>0.2267</w:t>
            </w:r>
          </w:p>
        </w:tc>
        <w:tc>
          <w:tcPr>
            <w:tcW w:w="962" w:type="dxa"/>
            <w:shd w:val="clear" w:color="auto" w:fill="auto"/>
            <w:vAlign w:val="center"/>
          </w:tcPr>
          <w:p w14:paraId="5FB77B20"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1CFB61CE" w14:textId="77777777" w:rsidR="00D170E5" w:rsidRPr="002B55E9" w:rsidRDefault="00EF27AD">
            <w:pPr>
              <w:pStyle w:val="affff6"/>
              <w:ind w:left="-105" w:right="-105"/>
              <w:rPr>
                <w:szCs w:val="18"/>
              </w:rPr>
            </w:pPr>
            <w:r w:rsidRPr="002B55E9">
              <w:rPr>
                <w:rFonts w:hint="eastAsia"/>
                <w:szCs w:val="18"/>
              </w:rPr>
              <w:t>0.27</w:t>
            </w:r>
          </w:p>
        </w:tc>
        <w:tc>
          <w:tcPr>
            <w:tcW w:w="962" w:type="dxa"/>
            <w:shd w:val="clear" w:color="auto" w:fill="auto"/>
            <w:vAlign w:val="center"/>
          </w:tcPr>
          <w:p w14:paraId="72E3D3E1" w14:textId="77777777" w:rsidR="00D170E5" w:rsidRPr="002B55E9" w:rsidRDefault="00EF27AD">
            <w:pPr>
              <w:pStyle w:val="affff6"/>
              <w:ind w:left="-105" w:right="-105"/>
              <w:rPr>
                <w:szCs w:val="18"/>
              </w:rPr>
            </w:pPr>
            <w:r w:rsidRPr="002B55E9">
              <w:rPr>
                <w:rFonts w:hint="eastAsia"/>
                <w:szCs w:val="18"/>
              </w:rPr>
              <w:t>0.18</w:t>
            </w:r>
          </w:p>
        </w:tc>
        <w:tc>
          <w:tcPr>
            <w:tcW w:w="962" w:type="dxa"/>
            <w:shd w:val="clear" w:color="auto" w:fill="auto"/>
            <w:vAlign w:val="center"/>
          </w:tcPr>
          <w:p w14:paraId="294459D9"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3E379E18" w14:textId="77777777" w:rsidR="00D170E5" w:rsidRPr="002B55E9" w:rsidRDefault="00EF27AD">
            <w:pPr>
              <w:pStyle w:val="affff6"/>
              <w:ind w:left="-105" w:right="-105"/>
              <w:rPr>
                <w:szCs w:val="18"/>
              </w:rPr>
            </w:pPr>
            <w:r w:rsidRPr="002B55E9">
              <w:rPr>
                <w:rFonts w:hint="eastAsia"/>
                <w:szCs w:val="18"/>
              </w:rPr>
              <w:t>0.13</w:t>
            </w:r>
          </w:p>
        </w:tc>
        <w:tc>
          <w:tcPr>
            <w:tcW w:w="962" w:type="dxa"/>
            <w:shd w:val="clear" w:color="auto" w:fill="auto"/>
            <w:vAlign w:val="center"/>
          </w:tcPr>
          <w:p w14:paraId="76B8C466" w14:textId="77777777" w:rsidR="00D170E5" w:rsidRPr="002B55E9" w:rsidRDefault="00EF27AD">
            <w:pPr>
              <w:pStyle w:val="affff6"/>
              <w:ind w:left="-105" w:right="-105"/>
              <w:rPr>
                <w:szCs w:val="18"/>
              </w:rPr>
            </w:pPr>
            <w:r w:rsidRPr="002B55E9">
              <w:rPr>
                <w:rFonts w:hint="eastAsia"/>
                <w:szCs w:val="18"/>
              </w:rPr>
              <w:t>0.087</w:t>
            </w:r>
          </w:p>
        </w:tc>
        <w:tc>
          <w:tcPr>
            <w:tcW w:w="962" w:type="dxa"/>
            <w:shd w:val="clear" w:color="auto" w:fill="auto"/>
            <w:vAlign w:val="center"/>
          </w:tcPr>
          <w:p w14:paraId="29537A69" w14:textId="77777777" w:rsidR="00D170E5" w:rsidRPr="002B55E9" w:rsidRDefault="00EF27AD">
            <w:pPr>
              <w:pStyle w:val="affff6"/>
              <w:ind w:left="-105" w:right="-105"/>
              <w:rPr>
                <w:szCs w:val="18"/>
              </w:rPr>
            </w:pPr>
            <w:r w:rsidRPr="002B55E9">
              <w:rPr>
                <w:rFonts w:hint="eastAsia"/>
                <w:szCs w:val="18"/>
              </w:rPr>
              <w:t>0</w:t>
            </w:r>
          </w:p>
        </w:tc>
      </w:tr>
      <w:tr w:rsidR="002B55E9" w:rsidRPr="002B55E9" w14:paraId="34C7805B" w14:textId="77777777" w:rsidTr="006C19DD">
        <w:trPr>
          <w:trHeight w:val="284"/>
          <w:jc w:val="center"/>
        </w:trPr>
        <w:tc>
          <w:tcPr>
            <w:tcW w:w="925" w:type="dxa"/>
            <w:vAlign w:val="center"/>
          </w:tcPr>
          <w:p w14:paraId="4BA8C7B8" w14:textId="77777777" w:rsidR="00D170E5" w:rsidRPr="002B55E9" w:rsidRDefault="00EF27AD">
            <w:pPr>
              <w:pStyle w:val="affff6"/>
              <w:ind w:left="-105" w:right="-105"/>
              <w:rPr>
                <w:szCs w:val="18"/>
              </w:rPr>
            </w:pPr>
            <w:r w:rsidRPr="002B55E9">
              <w:rPr>
                <w:szCs w:val="18"/>
              </w:rPr>
              <w:t>9</w:t>
            </w:r>
          </w:p>
        </w:tc>
        <w:tc>
          <w:tcPr>
            <w:tcW w:w="3068" w:type="dxa"/>
            <w:vAlign w:val="center"/>
          </w:tcPr>
          <w:p w14:paraId="2502C014" w14:textId="77777777" w:rsidR="00D170E5" w:rsidRPr="002B55E9" w:rsidRDefault="00EF27AD">
            <w:pPr>
              <w:pStyle w:val="affff6"/>
              <w:ind w:left="-105" w:right="-105"/>
              <w:rPr>
                <w:szCs w:val="18"/>
              </w:rPr>
            </w:pPr>
            <w:r w:rsidRPr="002B55E9">
              <w:rPr>
                <w:rFonts w:hint="eastAsia"/>
                <w:szCs w:val="18"/>
              </w:rPr>
              <w:t>硝酸盐</w:t>
            </w:r>
          </w:p>
        </w:tc>
        <w:tc>
          <w:tcPr>
            <w:tcW w:w="1731" w:type="dxa"/>
            <w:vAlign w:val="center"/>
          </w:tcPr>
          <w:p w14:paraId="758F8EC3" w14:textId="77777777" w:rsidR="00D170E5" w:rsidRPr="002B55E9" w:rsidRDefault="00EF27AD">
            <w:pPr>
              <w:pStyle w:val="affff6"/>
              <w:ind w:left="-105" w:right="-105"/>
              <w:rPr>
                <w:szCs w:val="18"/>
              </w:rPr>
            </w:pPr>
            <w:r w:rsidRPr="002B55E9">
              <w:rPr>
                <w:rFonts w:hint="eastAsia"/>
                <w:szCs w:val="18"/>
              </w:rPr>
              <w:t>30</w:t>
            </w:r>
          </w:p>
        </w:tc>
        <w:tc>
          <w:tcPr>
            <w:tcW w:w="962" w:type="dxa"/>
            <w:vAlign w:val="center"/>
          </w:tcPr>
          <w:p w14:paraId="1F64C454" w14:textId="77777777" w:rsidR="00D170E5" w:rsidRPr="002B55E9" w:rsidRDefault="00EF27AD">
            <w:pPr>
              <w:pStyle w:val="affff6"/>
              <w:ind w:left="-105" w:right="-105"/>
              <w:rPr>
                <w:szCs w:val="18"/>
              </w:rPr>
            </w:pPr>
            <w:r w:rsidRPr="002B55E9">
              <w:rPr>
                <w:rFonts w:hint="eastAsia"/>
                <w:szCs w:val="18"/>
              </w:rPr>
              <w:t>0.283</w:t>
            </w:r>
          </w:p>
        </w:tc>
        <w:tc>
          <w:tcPr>
            <w:tcW w:w="769" w:type="dxa"/>
            <w:vAlign w:val="center"/>
          </w:tcPr>
          <w:p w14:paraId="77CC9D29" w14:textId="77777777" w:rsidR="00D170E5" w:rsidRPr="002B55E9" w:rsidRDefault="00EF27AD">
            <w:pPr>
              <w:pStyle w:val="affff6"/>
              <w:ind w:left="-105" w:right="-105"/>
              <w:rPr>
                <w:szCs w:val="18"/>
              </w:rPr>
            </w:pPr>
            <w:r w:rsidRPr="002B55E9">
              <w:rPr>
                <w:rFonts w:hint="eastAsia"/>
                <w:szCs w:val="18"/>
              </w:rPr>
              <w:t>0.00943</w:t>
            </w:r>
          </w:p>
        </w:tc>
        <w:tc>
          <w:tcPr>
            <w:tcW w:w="962" w:type="dxa"/>
            <w:shd w:val="clear" w:color="auto" w:fill="auto"/>
            <w:vAlign w:val="center"/>
          </w:tcPr>
          <w:p w14:paraId="7FB61524"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075611F9"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0BFC35BB"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5A60A38"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2DE2E488" w14:textId="77777777" w:rsidR="00D170E5" w:rsidRPr="002B55E9" w:rsidRDefault="00EF27AD">
            <w:pPr>
              <w:pStyle w:val="affff6"/>
              <w:ind w:left="-105" w:right="-105"/>
              <w:rPr>
                <w:szCs w:val="18"/>
              </w:rPr>
            </w:pPr>
            <w:r w:rsidRPr="002B55E9">
              <w:rPr>
                <w:rFonts w:hint="eastAsia"/>
                <w:szCs w:val="18"/>
              </w:rPr>
              <w:t>1.36</w:t>
            </w:r>
          </w:p>
        </w:tc>
        <w:tc>
          <w:tcPr>
            <w:tcW w:w="962" w:type="dxa"/>
            <w:shd w:val="clear" w:color="auto" w:fill="auto"/>
            <w:vAlign w:val="center"/>
          </w:tcPr>
          <w:p w14:paraId="7465F53E" w14:textId="77777777" w:rsidR="00D170E5" w:rsidRPr="002B55E9" w:rsidRDefault="00EF27AD">
            <w:pPr>
              <w:pStyle w:val="affff6"/>
              <w:ind w:left="-105" w:right="-105"/>
              <w:rPr>
                <w:szCs w:val="18"/>
              </w:rPr>
            </w:pPr>
            <w:r w:rsidRPr="002B55E9">
              <w:rPr>
                <w:rFonts w:hint="eastAsia"/>
                <w:szCs w:val="18"/>
              </w:rPr>
              <w:t>0.0453</w:t>
            </w:r>
          </w:p>
        </w:tc>
        <w:tc>
          <w:tcPr>
            <w:tcW w:w="962" w:type="dxa"/>
            <w:shd w:val="clear" w:color="auto" w:fill="auto"/>
            <w:vAlign w:val="center"/>
          </w:tcPr>
          <w:p w14:paraId="067E4270" w14:textId="77777777" w:rsidR="00D170E5" w:rsidRPr="002B55E9" w:rsidRDefault="00EF27AD">
            <w:pPr>
              <w:pStyle w:val="affff6"/>
              <w:ind w:left="-105" w:right="-105"/>
              <w:rPr>
                <w:szCs w:val="18"/>
              </w:rPr>
            </w:pPr>
            <w:r w:rsidRPr="002B55E9">
              <w:rPr>
                <w:rFonts w:hint="eastAsia"/>
                <w:szCs w:val="18"/>
              </w:rPr>
              <w:t>0</w:t>
            </w:r>
          </w:p>
        </w:tc>
      </w:tr>
      <w:tr w:rsidR="002B55E9" w:rsidRPr="002B55E9" w14:paraId="7CF8AC86" w14:textId="77777777" w:rsidTr="006C19DD">
        <w:trPr>
          <w:trHeight w:val="284"/>
          <w:jc w:val="center"/>
        </w:trPr>
        <w:tc>
          <w:tcPr>
            <w:tcW w:w="925" w:type="dxa"/>
            <w:vAlign w:val="center"/>
          </w:tcPr>
          <w:p w14:paraId="6493E957" w14:textId="77777777" w:rsidR="00D170E5" w:rsidRPr="002B55E9" w:rsidRDefault="00EF27AD">
            <w:pPr>
              <w:pStyle w:val="affff6"/>
              <w:ind w:left="-105" w:right="-105"/>
              <w:rPr>
                <w:szCs w:val="18"/>
              </w:rPr>
            </w:pPr>
            <w:r w:rsidRPr="002B55E9">
              <w:rPr>
                <w:szCs w:val="18"/>
              </w:rPr>
              <w:t>10</w:t>
            </w:r>
          </w:p>
        </w:tc>
        <w:tc>
          <w:tcPr>
            <w:tcW w:w="3068" w:type="dxa"/>
            <w:vAlign w:val="center"/>
          </w:tcPr>
          <w:p w14:paraId="196B96FC" w14:textId="77777777" w:rsidR="00D170E5" w:rsidRPr="002B55E9" w:rsidRDefault="00EF27AD">
            <w:pPr>
              <w:pStyle w:val="affff6"/>
              <w:ind w:left="-105" w:right="-105"/>
              <w:rPr>
                <w:szCs w:val="18"/>
              </w:rPr>
            </w:pPr>
            <w:r w:rsidRPr="002B55E9">
              <w:rPr>
                <w:rFonts w:hint="eastAsia"/>
                <w:szCs w:val="18"/>
              </w:rPr>
              <w:t>亚硝酸盐</w:t>
            </w:r>
          </w:p>
        </w:tc>
        <w:tc>
          <w:tcPr>
            <w:tcW w:w="1731" w:type="dxa"/>
            <w:vAlign w:val="center"/>
          </w:tcPr>
          <w:p w14:paraId="4F8BF5FF" w14:textId="77777777" w:rsidR="00D170E5" w:rsidRPr="002B55E9" w:rsidRDefault="00EF27AD">
            <w:pPr>
              <w:pStyle w:val="affff6"/>
              <w:ind w:left="-105" w:right="-105"/>
              <w:rPr>
                <w:szCs w:val="18"/>
              </w:rPr>
            </w:pPr>
            <w:r w:rsidRPr="002B55E9">
              <w:rPr>
                <w:rFonts w:hint="eastAsia"/>
                <w:szCs w:val="18"/>
              </w:rPr>
              <w:t>4</w:t>
            </w:r>
            <w:r w:rsidRPr="002B55E9">
              <w:rPr>
                <w:szCs w:val="18"/>
              </w:rPr>
              <w:t>.8</w:t>
            </w:r>
          </w:p>
        </w:tc>
        <w:tc>
          <w:tcPr>
            <w:tcW w:w="962" w:type="dxa"/>
            <w:vAlign w:val="center"/>
          </w:tcPr>
          <w:p w14:paraId="4769172C" w14:textId="77777777" w:rsidR="00D170E5" w:rsidRPr="002B55E9" w:rsidRDefault="00EF27AD">
            <w:pPr>
              <w:pStyle w:val="affff6"/>
              <w:ind w:left="-105" w:right="-105"/>
              <w:rPr>
                <w:szCs w:val="18"/>
              </w:rPr>
            </w:pPr>
            <w:r w:rsidRPr="002B55E9">
              <w:rPr>
                <w:rFonts w:hint="eastAsia"/>
                <w:szCs w:val="18"/>
              </w:rPr>
              <w:t>0.024</w:t>
            </w:r>
          </w:p>
        </w:tc>
        <w:tc>
          <w:tcPr>
            <w:tcW w:w="769" w:type="dxa"/>
            <w:vAlign w:val="center"/>
          </w:tcPr>
          <w:p w14:paraId="25AABD2A" w14:textId="77777777" w:rsidR="00D170E5" w:rsidRPr="002B55E9" w:rsidRDefault="00EF27AD">
            <w:pPr>
              <w:pStyle w:val="affff6"/>
              <w:ind w:left="-105" w:right="-105"/>
              <w:rPr>
                <w:szCs w:val="18"/>
              </w:rPr>
            </w:pPr>
            <w:r w:rsidRPr="002B55E9">
              <w:rPr>
                <w:rFonts w:hint="eastAsia"/>
                <w:szCs w:val="18"/>
              </w:rPr>
              <w:t>0.005</w:t>
            </w:r>
          </w:p>
        </w:tc>
        <w:tc>
          <w:tcPr>
            <w:tcW w:w="962" w:type="dxa"/>
            <w:shd w:val="clear" w:color="auto" w:fill="auto"/>
            <w:vAlign w:val="center"/>
          </w:tcPr>
          <w:p w14:paraId="2227C75B"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6B17B264" w14:textId="77777777" w:rsidR="00D170E5" w:rsidRPr="002B55E9" w:rsidRDefault="00EF27AD">
            <w:pPr>
              <w:pStyle w:val="affff6"/>
              <w:ind w:left="-105" w:right="-105"/>
              <w:rPr>
                <w:szCs w:val="18"/>
              </w:rPr>
            </w:pPr>
            <w:r w:rsidRPr="002B55E9">
              <w:rPr>
                <w:rFonts w:hint="eastAsia"/>
                <w:szCs w:val="18"/>
              </w:rPr>
              <w:t>0.003</w:t>
            </w:r>
          </w:p>
        </w:tc>
        <w:tc>
          <w:tcPr>
            <w:tcW w:w="962" w:type="dxa"/>
            <w:shd w:val="clear" w:color="auto" w:fill="auto"/>
            <w:vAlign w:val="center"/>
          </w:tcPr>
          <w:p w14:paraId="07239959" w14:textId="77777777" w:rsidR="00D170E5" w:rsidRPr="002B55E9" w:rsidRDefault="00EF27AD">
            <w:pPr>
              <w:pStyle w:val="affff6"/>
              <w:ind w:left="-105" w:right="-105"/>
              <w:rPr>
                <w:szCs w:val="18"/>
              </w:rPr>
            </w:pPr>
            <w:r w:rsidRPr="002B55E9">
              <w:rPr>
                <w:rFonts w:hint="eastAsia"/>
                <w:szCs w:val="18"/>
              </w:rPr>
              <w:t>0.000625</w:t>
            </w:r>
          </w:p>
        </w:tc>
        <w:tc>
          <w:tcPr>
            <w:tcW w:w="962" w:type="dxa"/>
            <w:shd w:val="clear" w:color="auto" w:fill="auto"/>
            <w:vAlign w:val="center"/>
          </w:tcPr>
          <w:p w14:paraId="7BBE97E9"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59D6C8C5" w14:textId="77777777" w:rsidR="00D170E5" w:rsidRPr="002B55E9" w:rsidRDefault="00EF27AD">
            <w:pPr>
              <w:pStyle w:val="affff6"/>
              <w:ind w:left="-105" w:right="-105"/>
              <w:rPr>
                <w:szCs w:val="18"/>
              </w:rPr>
            </w:pPr>
            <w:r w:rsidRPr="002B55E9">
              <w:rPr>
                <w:rFonts w:hint="eastAsia"/>
                <w:szCs w:val="18"/>
              </w:rPr>
              <w:t>0.052</w:t>
            </w:r>
          </w:p>
        </w:tc>
        <w:tc>
          <w:tcPr>
            <w:tcW w:w="962" w:type="dxa"/>
            <w:shd w:val="clear" w:color="auto" w:fill="auto"/>
            <w:vAlign w:val="center"/>
          </w:tcPr>
          <w:p w14:paraId="1FE1029D" w14:textId="77777777" w:rsidR="00D170E5" w:rsidRPr="002B55E9" w:rsidRDefault="00EF27AD">
            <w:pPr>
              <w:pStyle w:val="affff6"/>
              <w:ind w:left="-105" w:right="-105"/>
              <w:rPr>
                <w:szCs w:val="18"/>
              </w:rPr>
            </w:pPr>
            <w:r w:rsidRPr="002B55E9">
              <w:rPr>
                <w:rFonts w:hint="eastAsia"/>
                <w:szCs w:val="18"/>
              </w:rPr>
              <w:t>0.0108</w:t>
            </w:r>
          </w:p>
        </w:tc>
        <w:tc>
          <w:tcPr>
            <w:tcW w:w="962" w:type="dxa"/>
            <w:shd w:val="clear" w:color="auto" w:fill="auto"/>
            <w:vAlign w:val="center"/>
          </w:tcPr>
          <w:p w14:paraId="162DFABC" w14:textId="77777777" w:rsidR="00D170E5" w:rsidRPr="002B55E9" w:rsidRDefault="00D170E5">
            <w:pPr>
              <w:pStyle w:val="affff6"/>
              <w:ind w:left="-105" w:right="-105"/>
              <w:rPr>
                <w:szCs w:val="18"/>
              </w:rPr>
            </w:pPr>
          </w:p>
        </w:tc>
      </w:tr>
      <w:tr w:rsidR="002B55E9" w:rsidRPr="002B55E9" w14:paraId="2AC6A5BF" w14:textId="77777777" w:rsidTr="006C19DD">
        <w:trPr>
          <w:trHeight w:val="284"/>
          <w:jc w:val="center"/>
        </w:trPr>
        <w:tc>
          <w:tcPr>
            <w:tcW w:w="925" w:type="dxa"/>
            <w:vAlign w:val="center"/>
          </w:tcPr>
          <w:p w14:paraId="6AFF93A7" w14:textId="77777777" w:rsidR="00D170E5" w:rsidRPr="002B55E9" w:rsidRDefault="00EF27AD">
            <w:pPr>
              <w:pStyle w:val="affff6"/>
              <w:ind w:left="-105" w:right="-105"/>
              <w:rPr>
                <w:szCs w:val="18"/>
              </w:rPr>
            </w:pPr>
            <w:r w:rsidRPr="002B55E9">
              <w:rPr>
                <w:szCs w:val="18"/>
              </w:rPr>
              <w:t>11</w:t>
            </w:r>
          </w:p>
        </w:tc>
        <w:tc>
          <w:tcPr>
            <w:tcW w:w="3068" w:type="dxa"/>
            <w:vAlign w:val="center"/>
          </w:tcPr>
          <w:p w14:paraId="69D05AFC" w14:textId="77777777" w:rsidR="00D170E5" w:rsidRPr="002B55E9" w:rsidRDefault="00EF27AD">
            <w:pPr>
              <w:pStyle w:val="affff6"/>
              <w:ind w:left="-105" w:right="-105"/>
              <w:rPr>
                <w:szCs w:val="18"/>
              </w:rPr>
            </w:pPr>
            <w:r w:rsidRPr="002B55E9">
              <w:rPr>
                <w:rFonts w:hint="eastAsia"/>
                <w:szCs w:val="18"/>
              </w:rPr>
              <w:t>挥发性酚类</w:t>
            </w:r>
          </w:p>
        </w:tc>
        <w:tc>
          <w:tcPr>
            <w:tcW w:w="1731" w:type="dxa"/>
            <w:vAlign w:val="center"/>
          </w:tcPr>
          <w:p w14:paraId="793F7658" w14:textId="77777777" w:rsidR="00D170E5" w:rsidRPr="002B55E9" w:rsidRDefault="00EF27AD">
            <w:pPr>
              <w:pStyle w:val="affff6"/>
              <w:ind w:left="-105" w:right="-105"/>
              <w:rPr>
                <w:szCs w:val="18"/>
              </w:rPr>
            </w:pPr>
            <w:r w:rsidRPr="002B55E9">
              <w:rPr>
                <w:rFonts w:hint="eastAsia"/>
                <w:szCs w:val="18"/>
              </w:rPr>
              <w:t>0.01</w:t>
            </w:r>
          </w:p>
        </w:tc>
        <w:tc>
          <w:tcPr>
            <w:tcW w:w="962" w:type="dxa"/>
            <w:vAlign w:val="center"/>
          </w:tcPr>
          <w:p w14:paraId="12AC1764"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6F0A0FE5"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010C9B6"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4F173F55"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49E56F3A"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01E8EBA0"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5FA40DA6"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33AC7FCF"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BB00542" w14:textId="77777777" w:rsidR="00D170E5" w:rsidRPr="002B55E9" w:rsidRDefault="00EF27AD">
            <w:pPr>
              <w:pStyle w:val="affff6"/>
              <w:ind w:left="-105" w:right="-105"/>
              <w:rPr>
                <w:szCs w:val="18"/>
              </w:rPr>
            </w:pPr>
            <w:r w:rsidRPr="002B55E9">
              <w:rPr>
                <w:rFonts w:hint="eastAsia"/>
                <w:szCs w:val="18"/>
              </w:rPr>
              <w:t>/</w:t>
            </w:r>
          </w:p>
        </w:tc>
      </w:tr>
      <w:tr w:rsidR="002B55E9" w:rsidRPr="002B55E9" w14:paraId="5D6949A1" w14:textId="77777777" w:rsidTr="006C19DD">
        <w:trPr>
          <w:trHeight w:val="284"/>
          <w:jc w:val="center"/>
        </w:trPr>
        <w:tc>
          <w:tcPr>
            <w:tcW w:w="925" w:type="dxa"/>
            <w:vAlign w:val="center"/>
          </w:tcPr>
          <w:p w14:paraId="21D1521A" w14:textId="77777777" w:rsidR="00D170E5" w:rsidRPr="002B55E9" w:rsidRDefault="00EF27AD">
            <w:pPr>
              <w:pStyle w:val="affff6"/>
              <w:ind w:left="-105" w:right="-105"/>
              <w:rPr>
                <w:szCs w:val="18"/>
              </w:rPr>
            </w:pPr>
            <w:r w:rsidRPr="002B55E9">
              <w:rPr>
                <w:szCs w:val="18"/>
              </w:rPr>
              <w:t>12</w:t>
            </w:r>
          </w:p>
        </w:tc>
        <w:tc>
          <w:tcPr>
            <w:tcW w:w="3068" w:type="dxa"/>
            <w:vAlign w:val="center"/>
          </w:tcPr>
          <w:p w14:paraId="76476E62" w14:textId="77777777" w:rsidR="00D170E5" w:rsidRPr="002B55E9" w:rsidRDefault="00EF27AD">
            <w:pPr>
              <w:pStyle w:val="affff6"/>
              <w:ind w:left="-105" w:right="-105"/>
              <w:rPr>
                <w:szCs w:val="18"/>
              </w:rPr>
            </w:pPr>
            <w:r w:rsidRPr="002B55E9">
              <w:rPr>
                <w:rFonts w:hint="eastAsia"/>
                <w:szCs w:val="18"/>
              </w:rPr>
              <w:t>氰化物</w:t>
            </w:r>
          </w:p>
        </w:tc>
        <w:tc>
          <w:tcPr>
            <w:tcW w:w="1731" w:type="dxa"/>
            <w:vAlign w:val="center"/>
          </w:tcPr>
          <w:p w14:paraId="2D62959F" w14:textId="77777777" w:rsidR="00D170E5" w:rsidRPr="002B55E9" w:rsidRDefault="00EF27AD">
            <w:pPr>
              <w:pStyle w:val="affff6"/>
              <w:ind w:left="-105" w:right="-105"/>
              <w:rPr>
                <w:szCs w:val="18"/>
              </w:rPr>
            </w:pPr>
            <w:r w:rsidRPr="002B55E9">
              <w:rPr>
                <w:rFonts w:hint="eastAsia"/>
                <w:szCs w:val="18"/>
              </w:rPr>
              <w:t>0.1</w:t>
            </w:r>
          </w:p>
        </w:tc>
        <w:tc>
          <w:tcPr>
            <w:tcW w:w="962" w:type="dxa"/>
            <w:vAlign w:val="center"/>
          </w:tcPr>
          <w:p w14:paraId="3A12BD85"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7BFD591A"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415026B8"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3AEA2674"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43D2002A"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A5D24CB"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12598246"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0EE77AF2"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1643C47" w14:textId="77777777" w:rsidR="00D170E5" w:rsidRPr="002B55E9" w:rsidRDefault="00EF27AD">
            <w:pPr>
              <w:pStyle w:val="affff6"/>
              <w:ind w:left="-105" w:right="-105"/>
              <w:rPr>
                <w:szCs w:val="18"/>
              </w:rPr>
            </w:pPr>
            <w:r w:rsidRPr="002B55E9">
              <w:rPr>
                <w:rFonts w:hint="eastAsia"/>
                <w:szCs w:val="18"/>
              </w:rPr>
              <w:t>/</w:t>
            </w:r>
          </w:p>
        </w:tc>
      </w:tr>
      <w:tr w:rsidR="002B55E9" w:rsidRPr="002B55E9" w14:paraId="74890FA5" w14:textId="77777777" w:rsidTr="006C19DD">
        <w:trPr>
          <w:trHeight w:val="284"/>
          <w:jc w:val="center"/>
        </w:trPr>
        <w:tc>
          <w:tcPr>
            <w:tcW w:w="925" w:type="dxa"/>
            <w:vAlign w:val="center"/>
          </w:tcPr>
          <w:p w14:paraId="2B3A9D86" w14:textId="77777777" w:rsidR="00D170E5" w:rsidRPr="002B55E9" w:rsidRDefault="00EF27AD">
            <w:pPr>
              <w:pStyle w:val="affff6"/>
              <w:ind w:left="-105" w:right="-105"/>
              <w:rPr>
                <w:szCs w:val="18"/>
              </w:rPr>
            </w:pPr>
            <w:r w:rsidRPr="002B55E9">
              <w:rPr>
                <w:szCs w:val="18"/>
              </w:rPr>
              <w:t>13</w:t>
            </w:r>
          </w:p>
        </w:tc>
        <w:tc>
          <w:tcPr>
            <w:tcW w:w="3068" w:type="dxa"/>
            <w:vAlign w:val="center"/>
          </w:tcPr>
          <w:p w14:paraId="02B9F713" w14:textId="77777777" w:rsidR="00D170E5" w:rsidRPr="002B55E9" w:rsidRDefault="00EF27AD">
            <w:pPr>
              <w:pStyle w:val="affff6"/>
              <w:ind w:left="-105" w:right="-105"/>
              <w:rPr>
                <w:szCs w:val="18"/>
              </w:rPr>
            </w:pPr>
            <w:r w:rsidRPr="002B55E9">
              <w:rPr>
                <w:rFonts w:hint="eastAsia"/>
                <w:szCs w:val="18"/>
              </w:rPr>
              <w:t>砷</w:t>
            </w:r>
          </w:p>
        </w:tc>
        <w:tc>
          <w:tcPr>
            <w:tcW w:w="1731" w:type="dxa"/>
            <w:vAlign w:val="center"/>
          </w:tcPr>
          <w:p w14:paraId="33483BC4" w14:textId="77777777" w:rsidR="00D170E5" w:rsidRPr="002B55E9" w:rsidRDefault="00EF27AD">
            <w:pPr>
              <w:pStyle w:val="affff6"/>
              <w:ind w:left="-105" w:right="-105"/>
              <w:rPr>
                <w:szCs w:val="18"/>
              </w:rPr>
            </w:pPr>
            <w:r w:rsidRPr="002B55E9">
              <w:rPr>
                <w:rFonts w:hint="eastAsia"/>
                <w:szCs w:val="18"/>
              </w:rPr>
              <w:t>0.05</w:t>
            </w:r>
          </w:p>
        </w:tc>
        <w:tc>
          <w:tcPr>
            <w:tcW w:w="962" w:type="dxa"/>
            <w:vAlign w:val="center"/>
          </w:tcPr>
          <w:p w14:paraId="752999F4" w14:textId="77777777" w:rsidR="00D170E5" w:rsidRPr="002B55E9" w:rsidRDefault="00EF27AD">
            <w:pPr>
              <w:pStyle w:val="affff6"/>
              <w:ind w:left="-105" w:right="-105"/>
              <w:rPr>
                <w:szCs w:val="18"/>
              </w:rPr>
            </w:pPr>
            <w:r w:rsidRPr="002B55E9">
              <w:rPr>
                <w:rFonts w:hint="eastAsia"/>
                <w:szCs w:val="18"/>
              </w:rPr>
              <w:t>0.0009</w:t>
            </w:r>
          </w:p>
        </w:tc>
        <w:tc>
          <w:tcPr>
            <w:tcW w:w="769" w:type="dxa"/>
            <w:vAlign w:val="center"/>
          </w:tcPr>
          <w:p w14:paraId="58042EFC" w14:textId="77777777" w:rsidR="00D170E5" w:rsidRPr="002B55E9" w:rsidRDefault="00EF27AD">
            <w:pPr>
              <w:pStyle w:val="affff6"/>
              <w:ind w:left="-105" w:right="-105"/>
              <w:rPr>
                <w:szCs w:val="18"/>
              </w:rPr>
            </w:pPr>
            <w:r w:rsidRPr="002B55E9">
              <w:rPr>
                <w:rFonts w:hint="eastAsia"/>
                <w:szCs w:val="18"/>
              </w:rPr>
              <w:t>0.018</w:t>
            </w:r>
          </w:p>
        </w:tc>
        <w:tc>
          <w:tcPr>
            <w:tcW w:w="962" w:type="dxa"/>
            <w:shd w:val="clear" w:color="auto" w:fill="auto"/>
            <w:vAlign w:val="center"/>
          </w:tcPr>
          <w:p w14:paraId="338B5170"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02C01201"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1D7F5B73"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9E40F44"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7D2A6EED" w14:textId="77777777" w:rsidR="00D170E5" w:rsidRPr="002B55E9" w:rsidRDefault="00EF27AD">
            <w:pPr>
              <w:pStyle w:val="affff6"/>
              <w:ind w:left="-105" w:right="-105"/>
              <w:rPr>
                <w:szCs w:val="18"/>
              </w:rPr>
            </w:pPr>
            <w:r w:rsidRPr="002B55E9">
              <w:rPr>
                <w:rFonts w:hint="eastAsia"/>
                <w:szCs w:val="18"/>
              </w:rPr>
              <w:t>0.0027</w:t>
            </w:r>
          </w:p>
        </w:tc>
        <w:tc>
          <w:tcPr>
            <w:tcW w:w="962" w:type="dxa"/>
            <w:shd w:val="clear" w:color="auto" w:fill="auto"/>
            <w:vAlign w:val="center"/>
          </w:tcPr>
          <w:p w14:paraId="5FEE8863" w14:textId="77777777" w:rsidR="00D170E5" w:rsidRPr="002B55E9" w:rsidRDefault="00EF27AD">
            <w:pPr>
              <w:pStyle w:val="affff6"/>
              <w:ind w:left="-105" w:right="-105"/>
              <w:rPr>
                <w:szCs w:val="18"/>
              </w:rPr>
            </w:pPr>
            <w:r w:rsidRPr="002B55E9">
              <w:rPr>
                <w:rFonts w:hint="eastAsia"/>
                <w:szCs w:val="18"/>
              </w:rPr>
              <w:t>0.054</w:t>
            </w:r>
          </w:p>
        </w:tc>
        <w:tc>
          <w:tcPr>
            <w:tcW w:w="962" w:type="dxa"/>
            <w:shd w:val="clear" w:color="auto" w:fill="auto"/>
            <w:vAlign w:val="center"/>
          </w:tcPr>
          <w:p w14:paraId="5CF31568" w14:textId="77777777" w:rsidR="00D170E5" w:rsidRPr="002B55E9" w:rsidRDefault="00EF27AD">
            <w:pPr>
              <w:pStyle w:val="affff6"/>
              <w:ind w:left="-105" w:right="-105"/>
              <w:rPr>
                <w:szCs w:val="18"/>
              </w:rPr>
            </w:pPr>
            <w:r w:rsidRPr="002B55E9">
              <w:rPr>
                <w:rFonts w:hint="eastAsia"/>
                <w:szCs w:val="18"/>
              </w:rPr>
              <w:t>0</w:t>
            </w:r>
          </w:p>
        </w:tc>
      </w:tr>
      <w:tr w:rsidR="002B55E9" w:rsidRPr="002B55E9" w14:paraId="396F9E6A" w14:textId="77777777" w:rsidTr="006C19DD">
        <w:trPr>
          <w:trHeight w:val="284"/>
          <w:jc w:val="center"/>
        </w:trPr>
        <w:tc>
          <w:tcPr>
            <w:tcW w:w="925" w:type="dxa"/>
            <w:vAlign w:val="center"/>
          </w:tcPr>
          <w:p w14:paraId="492A171D" w14:textId="77777777" w:rsidR="00D170E5" w:rsidRPr="002B55E9" w:rsidRDefault="00EF27AD">
            <w:pPr>
              <w:pStyle w:val="affff6"/>
              <w:ind w:left="-105" w:right="-105"/>
              <w:rPr>
                <w:szCs w:val="18"/>
              </w:rPr>
            </w:pPr>
            <w:r w:rsidRPr="002B55E9">
              <w:rPr>
                <w:szCs w:val="18"/>
              </w:rPr>
              <w:t>14</w:t>
            </w:r>
          </w:p>
        </w:tc>
        <w:tc>
          <w:tcPr>
            <w:tcW w:w="3068" w:type="dxa"/>
            <w:vAlign w:val="center"/>
          </w:tcPr>
          <w:p w14:paraId="6EC59C35" w14:textId="77777777" w:rsidR="00D170E5" w:rsidRPr="002B55E9" w:rsidRDefault="00EF27AD">
            <w:pPr>
              <w:pStyle w:val="affff6"/>
              <w:ind w:left="-105" w:right="-105"/>
              <w:rPr>
                <w:szCs w:val="18"/>
              </w:rPr>
            </w:pPr>
            <w:r w:rsidRPr="002B55E9">
              <w:rPr>
                <w:rFonts w:hint="eastAsia"/>
                <w:szCs w:val="18"/>
              </w:rPr>
              <w:t>汞</w:t>
            </w:r>
          </w:p>
        </w:tc>
        <w:tc>
          <w:tcPr>
            <w:tcW w:w="1731" w:type="dxa"/>
            <w:vAlign w:val="center"/>
          </w:tcPr>
          <w:p w14:paraId="2E0693F1" w14:textId="77777777" w:rsidR="00D170E5" w:rsidRPr="002B55E9" w:rsidRDefault="00EF27AD">
            <w:pPr>
              <w:pStyle w:val="affff6"/>
              <w:ind w:left="-105" w:right="-105"/>
              <w:rPr>
                <w:szCs w:val="18"/>
              </w:rPr>
            </w:pPr>
            <w:r w:rsidRPr="002B55E9">
              <w:rPr>
                <w:rFonts w:hint="eastAsia"/>
                <w:szCs w:val="18"/>
              </w:rPr>
              <w:t>0</w:t>
            </w:r>
            <w:r w:rsidRPr="002B55E9">
              <w:rPr>
                <w:szCs w:val="18"/>
              </w:rPr>
              <w:t>.002</w:t>
            </w:r>
          </w:p>
        </w:tc>
        <w:tc>
          <w:tcPr>
            <w:tcW w:w="962" w:type="dxa"/>
            <w:vAlign w:val="center"/>
          </w:tcPr>
          <w:p w14:paraId="4D66539A"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69A2069F"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07E4ED23"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746A165A"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24E87534"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04E52522"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65CE49A3" w14:textId="77777777" w:rsidR="00D170E5" w:rsidRPr="002B55E9" w:rsidRDefault="00EF27AD">
            <w:pPr>
              <w:pStyle w:val="affff6"/>
              <w:ind w:left="-105" w:right="-105"/>
              <w:rPr>
                <w:szCs w:val="18"/>
              </w:rPr>
            </w:pPr>
            <w:r w:rsidRPr="002B55E9">
              <w:rPr>
                <w:rFonts w:hint="eastAsia"/>
                <w:szCs w:val="18"/>
              </w:rPr>
              <w:t>0.00174</w:t>
            </w:r>
          </w:p>
        </w:tc>
        <w:tc>
          <w:tcPr>
            <w:tcW w:w="962" w:type="dxa"/>
            <w:shd w:val="clear" w:color="auto" w:fill="auto"/>
            <w:vAlign w:val="center"/>
          </w:tcPr>
          <w:p w14:paraId="35EBEC93" w14:textId="77777777" w:rsidR="00D170E5" w:rsidRPr="002B55E9" w:rsidRDefault="00EF27AD">
            <w:pPr>
              <w:pStyle w:val="affff6"/>
              <w:ind w:left="-105" w:right="-105"/>
              <w:rPr>
                <w:szCs w:val="18"/>
              </w:rPr>
            </w:pPr>
            <w:r w:rsidRPr="002B55E9">
              <w:rPr>
                <w:rFonts w:hint="eastAsia"/>
                <w:szCs w:val="18"/>
              </w:rPr>
              <w:t>0.87</w:t>
            </w:r>
          </w:p>
        </w:tc>
        <w:tc>
          <w:tcPr>
            <w:tcW w:w="962" w:type="dxa"/>
            <w:shd w:val="clear" w:color="auto" w:fill="auto"/>
            <w:vAlign w:val="center"/>
          </w:tcPr>
          <w:p w14:paraId="36DF8EA2" w14:textId="77777777" w:rsidR="00D170E5" w:rsidRPr="002B55E9" w:rsidRDefault="00EF27AD">
            <w:pPr>
              <w:pStyle w:val="affff6"/>
              <w:ind w:left="-105" w:right="-105"/>
              <w:rPr>
                <w:szCs w:val="18"/>
              </w:rPr>
            </w:pPr>
            <w:r w:rsidRPr="002B55E9">
              <w:rPr>
                <w:rFonts w:hint="eastAsia"/>
                <w:szCs w:val="18"/>
              </w:rPr>
              <w:t>0</w:t>
            </w:r>
          </w:p>
        </w:tc>
      </w:tr>
      <w:tr w:rsidR="002B55E9" w:rsidRPr="002B55E9" w14:paraId="075A1A91" w14:textId="77777777" w:rsidTr="006C19DD">
        <w:trPr>
          <w:trHeight w:val="284"/>
          <w:jc w:val="center"/>
        </w:trPr>
        <w:tc>
          <w:tcPr>
            <w:tcW w:w="925" w:type="dxa"/>
            <w:vAlign w:val="center"/>
          </w:tcPr>
          <w:p w14:paraId="0A1D1FE1" w14:textId="77777777" w:rsidR="00D170E5" w:rsidRPr="002B55E9" w:rsidRDefault="00EF27AD">
            <w:pPr>
              <w:pStyle w:val="affff6"/>
              <w:ind w:left="-105" w:right="-105"/>
              <w:rPr>
                <w:szCs w:val="18"/>
              </w:rPr>
            </w:pPr>
            <w:r w:rsidRPr="002B55E9">
              <w:rPr>
                <w:szCs w:val="18"/>
              </w:rPr>
              <w:t>15</w:t>
            </w:r>
          </w:p>
        </w:tc>
        <w:tc>
          <w:tcPr>
            <w:tcW w:w="3068" w:type="dxa"/>
            <w:vAlign w:val="center"/>
          </w:tcPr>
          <w:p w14:paraId="1A5CA646" w14:textId="77777777" w:rsidR="00D170E5" w:rsidRPr="002B55E9" w:rsidRDefault="00EF27AD">
            <w:pPr>
              <w:pStyle w:val="affff6"/>
              <w:ind w:left="-105" w:right="-105"/>
              <w:rPr>
                <w:szCs w:val="18"/>
              </w:rPr>
            </w:pPr>
            <w:r w:rsidRPr="002B55E9">
              <w:rPr>
                <w:rFonts w:hint="eastAsia"/>
                <w:szCs w:val="18"/>
              </w:rPr>
              <w:t>铬（六价）</w:t>
            </w:r>
          </w:p>
        </w:tc>
        <w:tc>
          <w:tcPr>
            <w:tcW w:w="1731" w:type="dxa"/>
            <w:vAlign w:val="center"/>
          </w:tcPr>
          <w:p w14:paraId="6F63935C" w14:textId="77777777" w:rsidR="00D170E5" w:rsidRPr="002B55E9" w:rsidRDefault="00EF27AD">
            <w:pPr>
              <w:pStyle w:val="affff6"/>
              <w:ind w:left="-105" w:right="-105"/>
              <w:rPr>
                <w:szCs w:val="18"/>
              </w:rPr>
            </w:pPr>
            <w:r w:rsidRPr="002B55E9">
              <w:rPr>
                <w:rFonts w:hint="eastAsia"/>
                <w:szCs w:val="18"/>
              </w:rPr>
              <w:t>0.1</w:t>
            </w:r>
          </w:p>
        </w:tc>
        <w:tc>
          <w:tcPr>
            <w:tcW w:w="962" w:type="dxa"/>
            <w:vAlign w:val="center"/>
          </w:tcPr>
          <w:p w14:paraId="5A1918A5"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0FD36542"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BE05D5C"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296A57BB"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6FB47B72"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9F0AE6F"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2160D96E"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1B82033E"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5C3106D" w14:textId="77777777" w:rsidR="00D170E5" w:rsidRPr="002B55E9" w:rsidRDefault="00EF27AD">
            <w:pPr>
              <w:pStyle w:val="affff6"/>
              <w:ind w:left="-105" w:right="-105"/>
              <w:rPr>
                <w:szCs w:val="18"/>
              </w:rPr>
            </w:pPr>
            <w:r w:rsidRPr="002B55E9">
              <w:rPr>
                <w:rFonts w:hint="eastAsia"/>
                <w:szCs w:val="18"/>
              </w:rPr>
              <w:t>0</w:t>
            </w:r>
          </w:p>
        </w:tc>
      </w:tr>
      <w:tr w:rsidR="002B55E9" w:rsidRPr="002B55E9" w14:paraId="31973A05" w14:textId="77777777" w:rsidTr="006C19DD">
        <w:trPr>
          <w:trHeight w:val="284"/>
          <w:jc w:val="center"/>
        </w:trPr>
        <w:tc>
          <w:tcPr>
            <w:tcW w:w="925" w:type="dxa"/>
            <w:vAlign w:val="center"/>
          </w:tcPr>
          <w:p w14:paraId="26B9CE8C" w14:textId="77777777" w:rsidR="00D170E5" w:rsidRPr="002B55E9" w:rsidRDefault="00EF27AD">
            <w:pPr>
              <w:pStyle w:val="affff6"/>
              <w:ind w:left="-105" w:right="-105"/>
              <w:rPr>
                <w:szCs w:val="18"/>
              </w:rPr>
            </w:pPr>
            <w:r w:rsidRPr="002B55E9">
              <w:rPr>
                <w:szCs w:val="18"/>
              </w:rPr>
              <w:t>16</w:t>
            </w:r>
          </w:p>
        </w:tc>
        <w:tc>
          <w:tcPr>
            <w:tcW w:w="3068" w:type="dxa"/>
            <w:vAlign w:val="center"/>
          </w:tcPr>
          <w:p w14:paraId="4135883B" w14:textId="77777777" w:rsidR="00D170E5" w:rsidRPr="002B55E9" w:rsidRDefault="00EF27AD">
            <w:pPr>
              <w:pStyle w:val="affff6"/>
              <w:ind w:left="-105" w:right="-105"/>
              <w:rPr>
                <w:szCs w:val="18"/>
              </w:rPr>
            </w:pPr>
            <w:r w:rsidRPr="002B55E9">
              <w:rPr>
                <w:rFonts w:hint="eastAsia"/>
                <w:szCs w:val="18"/>
              </w:rPr>
              <w:t>总硬度</w:t>
            </w:r>
          </w:p>
        </w:tc>
        <w:tc>
          <w:tcPr>
            <w:tcW w:w="1731" w:type="dxa"/>
            <w:vAlign w:val="center"/>
          </w:tcPr>
          <w:p w14:paraId="3DB82231" w14:textId="77777777" w:rsidR="00D170E5" w:rsidRPr="002B55E9" w:rsidRDefault="00EF27AD">
            <w:pPr>
              <w:pStyle w:val="affff6"/>
              <w:ind w:left="-105" w:right="-105"/>
              <w:rPr>
                <w:szCs w:val="18"/>
              </w:rPr>
            </w:pPr>
            <w:r w:rsidRPr="002B55E9">
              <w:rPr>
                <w:rFonts w:hint="eastAsia"/>
                <w:szCs w:val="18"/>
              </w:rPr>
              <w:t>6</w:t>
            </w:r>
            <w:r w:rsidRPr="002B55E9">
              <w:rPr>
                <w:szCs w:val="18"/>
              </w:rPr>
              <w:t>50</w:t>
            </w:r>
          </w:p>
        </w:tc>
        <w:tc>
          <w:tcPr>
            <w:tcW w:w="962" w:type="dxa"/>
            <w:vAlign w:val="center"/>
          </w:tcPr>
          <w:p w14:paraId="5C0474B6" w14:textId="77777777" w:rsidR="00D170E5" w:rsidRPr="002B55E9" w:rsidRDefault="00EF27AD">
            <w:pPr>
              <w:pStyle w:val="affff6"/>
              <w:ind w:left="-105" w:right="-105"/>
              <w:rPr>
                <w:szCs w:val="18"/>
              </w:rPr>
            </w:pPr>
            <w:r w:rsidRPr="002B55E9">
              <w:rPr>
                <w:rFonts w:hint="eastAsia"/>
                <w:szCs w:val="18"/>
              </w:rPr>
              <w:t>557</w:t>
            </w:r>
          </w:p>
        </w:tc>
        <w:tc>
          <w:tcPr>
            <w:tcW w:w="769" w:type="dxa"/>
            <w:vAlign w:val="center"/>
          </w:tcPr>
          <w:p w14:paraId="31FE4BD3" w14:textId="77777777" w:rsidR="00D170E5" w:rsidRPr="002B55E9" w:rsidRDefault="00EF27AD">
            <w:pPr>
              <w:pStyle w:val="affff6"/>
              <w:ind w:left="-105" w:right="-105"/>
              <w:rPr>
                <w:szCs w:val="18"/>
              </w:rPr>
            </w:pPr>
            <w:r w:rsidRPr="002B55E9">
              <w:rPr>
                <w:rFonts w:hint="eastAsia"/>
                <w:szCs w:val="18"/>
              </w:rPr>
              <w:t>0.8569</w:t>
            </w:r>
          </w:p>
        </w:tc>
        <w:tc>
          <w:tcPr>
            <w:tcW w:w="962" w:type="dxa"/>
            <w:shd w:val="clear" w:color="auto" w:fill="auto"/>
            <w:vAlign w:val="center"/>
          </w:tcPr>
          <w:p w14:paraId="03AFB21A"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065037C3" w14:textId="77777777" w:rsidR="00D170E5" w:rsidRPr="002B55E9" w:rsidRDefault="00EF27AD">
            <w:pPr>
              <w:pStyle w:val="affff6"/>
              <w:ind w:left="-105" w:right="-105"/>
              <w:rPr>
                <w:szCs w:val="18"/>
              </w:rPr>
            </w:pPr>
            <w:r w:rsidRPr="002B55E9">
              <w:rPr>
                <w:rFonts w:hint="eastAsia"/>
                <w:szCs w:val="18"/>
              </w:rPr>
              <w:t>434</w:t>
            </w:r>
          </w:p>
        </w:tc>
        <w:tc>
          <w:tcPr>
            <w:tcW w:w="962" w:type="dxa"/>
            <w:shd w:val="clear" w:color="auto" w:fill="auto"/>
            <w:vAlign w:val="center"/>
          </w:tcPr>
          <w:p w14:paraId="4E77DCAD" w14:textId="77777777" w:rsidR="00D170E5" w:rsidRPr="002B55E9" w:rsidRDefault="00EF27AD">
            <w:pPr>
              <w:pStyle w:val="affff6"/>
              <w:ind w:left="-105" w:right="-105"/>
              <w:rPr>
                <w:szCs w:val="18"/>
              </w:rPr>
            </w:pPr>
            <w:r w:rsidRPr="002B55E9">
              <w:rPr>
                <w:rFonts w:hint="eastAsia"/>
                <w:szCs w:val="18"/>
              </w:rPr>
              <w:t>0.6677</w:t>
            </w:r>
          </w:p>
        </w:tc>
        <w:tc>
          <w:tcPr>
            <w:tcW w:w="962" w:type="dxa"/>
            <w:shd w:val="clear" w:color="auto" w:fill="auto"/>
            <w:vAlign w:val="center"/>
          </w:tcPr>
          <w:p w14:paraId="6759B276"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77203BFF" w14:textId="77777777" w:rsidR="00D170E5" w:rsidRPr="002B55E9" w:rsidRDefault="00EF27AD">
            <w:pPr>
              <w:pStyle w:val="affff6"/>
              <w:ind w:left="-105" w:right="-105"/>
              <w:rPr>
                <w:szCs w:val="18"/>
              </w:rPr>
            </w:pPr>
            <w:r w:rsidRPr="002B55E9">
              <w:rPr>
                <w:rFonts w:hint="eastAsia"/>
                <w:szCs w:val="18"/>
              </w:rPr>
              <w:t>145</w:t>
            </w:r>
          </w:p>
        </w:tc>
        <w:tc>
          <w:tcPr>
            <w:tcW w:w="962" w:type="dxa"/>
            <w:shd w:val="clear" w:color="auto" w:fill="auto"/>
            <w:vAlign w:val="center"/>
          </w:tcPr>
          <w:p w14:paraId="2AAA8B64" w14:textId="77777777" w:rsidR="00D170E5" w:rsidRPr="002B55E9" w:rsidRDefault="00EF27AD">
            <w:pPr>
              <w:pStyle w:val="affff6"/>
              <w:ind w:left="-105" w:right="-105"/>
              <w:rPr>
                <w:szCs w:val="18"/>
              </w:rPr>
            </w:pPr>
            <w:r w:rsidRPr="002B55E9">
              <w:rPr>
                <w:rFonts w:hint="eastAsia"/>
                <w:szCs w:val="18"/>
              </w:rPr>
              <w:t>0.223</w:t>
            </w:r>
          </w:p>
        </w:tc>
        <w:tc>
          <w:tcPr>
            <w:tcW w:w="962" w:type="dxa"/>
            <w:shd w:val="clear" w:color="auto" w:fill="auto"/>
            <w:vAlign w:val="center"/>
          </w:tcPr>
          <w:p w14:paraId="6BB24894" w14:textId="77777777" w:rsidR="00D170E5" w:rsidRPr="002B55E9" w:rsidRDefault="00EF27AD">
            <w:pPr>
              <w:pStyle w:val="affff6"/>
              <w:ind w:left="-105" w:right="-105"/>
              <w:rPr>
                <w:szCs w:val="18"/>
              </w:rPr>
            </w:pPr>
            <w:r w:rsidRPr="002B55E9">
              <w:rPr>
                <w:rFonts w:hint="eastAsia"/>
                <w:szCs w:val="18"/>
              </w:rPr>
              <w:t>0</w:t>
            </w:r>
          </w:p>
        </w:tc>
      </w:tr>
      <w:tr w:rsidR="002B55E9" w:rsidRPr="002B55E9" w14:paraId="7E141646" w14:textId="77777777" w:rsidTr="006C19DD">
        <w:trPr>
          <w:trHeight w:val="284"/>
          <w:jc w:val="center"/>
        </w:trPr>
        <w:tc>
          <w:tcPr>
            <w:tcW w:w="925" w:type="dxa"/>
            <w:vAlign w:val="center"/>
          </w:tcPr>
          <w:p w14:paraId="1199AD28" w14:textId="77777777" w:rsidR="00D170E5" w:rsidRPr="002B55E9" w:rsidRDefault="00EF27AD">
            <w:pPr>
              <w:pStyle w:val="affff6"/>
              <w:ind w:left="-105" w:right="-105"/>
              <w:rPr>
                <w:szCs w:val="18"/>
              </w:rPr>
            </w:pPr>
            <w:r w:rsidRPr="002B55E9">
              <w:rPr>
                <w:szCs w:val="18"/>
              </w:rPr>
              <w:t>17</w:t>
            </w:r>
          </w:p>
        </w:tc>
        <w:tc>
          <w:tcPr>
            <w:tcW w:w="3068" w:type="dxa"/>
            <w:vAlign w:val="center"/>
          </w:tcPr>
          <w:p w14:paraId="4F949B1E" w14:textId="77777777" w:rsidR="00D170E5" w:rsidRPr="002B55E9" w:rsidRDefault="00EF27AD">
            <w:pPr>
              <w:pStyle w:val="affff6"/>
              <w:ind w:left="-105" w:right="-105"/>
              <w:rPr>
                <w:szCs w:val="18"/>
              </w:rPr>
            </w:pPr>
            <w:r w:rsidRPr="002B55E9">
              <w:rPr>
                <w:rFonts w:hint="eastAsia"/>
                <w:szCs w:val="18"/>
              </w:rPr>
              <w:t>铅</w:t>
            </w:r>
          </w:p>
        </w:tc>
        <w:tc>
          <w:tcPr>
            <w:tcW w:w="1731" w:type="dxa"/>
            <w:vAlign w:val="center"/>
          </w:tcPr>
          <w:p w14:paraId="130FA199" w14:textId="77777777" w:rsidR="00D170E5" w:rsidRPr="002B55E9" w:rsidRDefault="00EF27AD">
            <w:pPr>
              <w:pStyle w:val="affff6"/>
              <w:ind w:left="-105" w:right="-105"/>
              <w:rPr>
                <w:szCs w:val="18"/>
              </w:rPr>
            </w:pPr>
            <w:r w:rsidRPr="002B55E9">
              <w:rPr>
                <w:rFonts w:hint="eastAsia"/>
                <w:szCs w:val="18"/>
              </w:rPr>
              <w:t>0.1</w:t>
            </w:r>
          </w:p>
        </w:tc>
        <w:tc>
          <w:tcPr>
            <w:tcW w:w="962" w:type="dxa"/>
            <w:vAlign w:val="center"/>
          </w:tcPr>
          <w:p w14:paraId="59B719EF"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606ADE3B"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EDC79A9"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6B344EBD"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50BD9CB9"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15324CFC"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45C028FA"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77F0D8F5"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6DC01C8C" w14:textId="77777777" w:rsidR="00D170E5" w:rsidRPr="002B55E9" w:rsidRDefault="00EF27AD">
            <w:pPr>
              <w:pStyle w:val="affff6"/>
              <w:ind w:left="-105" w:right="-105"/>
              <w:rPr>
                <w:szCs w:val="18"/>
              </w:rPr>
            </w:pPr>
            <w:r w:rsidRPr="002B55E9">
              <w:rPr>
                <w:rFonts w:hint="eastAsia"/>
                <w:szCs w:val="18"/>
              </w:rPr>
              <w:t>/</w:t>
            </w:r>
          </w:p>
        </w:tc>
      </w:tr>
      <w:tr w:rsidR="002B55E9" w:rsidRPr="002B55E9" w14:paraId="40CEAB16" w14:textId="77777777" w:rsidTr="006C19DD">
        <w:trPr>
          <w:trHeight w:val="284"/>
          <w:jc w:val="center"/>
        </w:trPr>
        <w:tc>
          <w:tcPr>
            <w:tcW w:w="925" w:type="dxa"/>
            <w:vAlign w:val="center"/>
          </w:tcPr>
          <w:p w14:paraId="63A77F87" w14:textId="77777777" w:rsidR="00D170E5" w:rsidRPr="002B55E9" w:rsidRDefault="00EF27AD">
            <w:pPr>
              <w:pStyle w:val="affff6"/>
              <w:ind w:left="-105" w:right="-105"/>
              <w:rPr>
                <w:szCs w:val="18"/>
              </w:rPr>
            </w:pPr>
            <w:r w:rsidRPr="002B55E9">
              <w:rPr>
                <w:szCs w:val="18"/>
              </w:rPr>
              <w:t>18</w:t>
            </w:r>
          </w:p>
        </w:tc>
        <w:tc>
          <w:tcPr>
            <w:tcW w:w="3068" w:type="dxa"/>
            <w:vAlign w:val="center"/>
          </w:tcPr>
          <w:p w14:paraId="2BD440E0" w14:textId="77777777" w:rsidR="00D170E5" w:rsidRPr="002B55E9" w:rsidRDefault="00EF27AD">
            <w:pPr>
              <w:pStyle w:val="affff6"/>
              <w:ind w:left="-105" w:right="-105"/>
              <w:rPr>
                <w:szCs w:val="18"/>
              </w:rPr>
            </w:pPr>
            <w:r w:rsidRPr="002B55E9">
              <w:rPr>
                <w:rFonts w:hint="eastAsia"/>
                <w:szCs w:val="18"/>
              </w:rPr>
              <w:t>氟化物</w:t>
            </w:r>
          </w:p>
        </w:tc>
        <w:tc>
          <w:tcPr>
            <w:tcW w:w="1731" w:type="dxa"/>
            <w:vAlign w:val="center"/>
          </w:tcPr>
          <w:p w14:paraId="08C99B42" w14:textId="77777777" w:rsidR="00D170E5" w:rsidRPr="002B55E9" w:rsidRDefault="00EF27AD">
            <w:pPr>
              <w:pStyle w:val="affff6"/>
              <w:ind w:left="-105" w:right="-105"/>
              <w:rPr>
                <w:szCs w:val="18"/>
              </w:rPr>
            </w:pPr>
            <w:r w:rsidRPr="002B55E9">
              <w:rPr>
                <w:rFonts w:hint="eastAsia"/>
                <w:szCs w:val="18"/>
              </w:rPr>
              <w:t>2.0</w:t>
            </w:r>
          </w:p>
        </w:tc>
        <w:tc>
          <w:tcPr>
            <w:tcW w:w="962" w:type="dxa"/>
            <w:vAlign w:val="center"/>
          </w:tcPr>
          <w:p w14:paraId="3955EA33" w14:textId="77777777" w:rsidR="00D170E5" w:rsidRPr="002B55E9" w:rsidRDefault="00EF27AD">
            <w:pPr>
              <w:pStyle w:val="affff6"/>
              <w:ind w:left="-105" w:right="-105"/>
              <w:rPr>
                <w:szCs w:val="18"/>
              </w:rPr>
            </w:pPr>
            <w:r w:rsidRPr="002B55E9">
              <w:rPr>
                <w:rFonts w:hint="eastAsia"/>
                <w:szCs w:val="18"/>
              </w:rPr>
              <w:t>0.337</w:t>
            </w:r>
          </w:p>
        </w:tc>
        <w:tc>
          <w:tcPr>
            <w:tcW w:w="769" w:type="dxa"/>
            <w:vAlign w:val="center"/>
          </w:tcPr>
          <w:p w14:paraId="30067B59" w14:textId="77777777" w:rsidR="00D170E5" w:rsidRPr="002B55E9" w:rsidRDefault="00EF27AD">
            <w:pPr>
              <w:pStyle w:val="affff6"/>
              <w:ind w:left="-105" w:right="-105"/>
              <w:rPr>
                <w:szCs w:val="18"/>
              </w:rPr>
            </w:pPr>
            <w:r w:rsidRPr="002B55E9">
              <w:rPr>
                <w:rFonts w:hint="eastAsia"/>
                <w:szCs w:val="18"/>
              </w:rPr>
              <w:t>0.1685</w:t>
            </w:r>
          </w:p>
        </w:tc>
        <w:tc>
          <w:tcPr>
            <w:tcW w:w="962" w:type="dxa"/>
            <w:shd w:val="clear" w:color="auto" w:fill="auto"/>
            <w:vAlign w:val="center"/>
          </w:tcPr>
          <w:p w14:paraId="03B6D07D"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17690602" w14:textId="77777777" w:rsidR="00D170E5" w:rsidRPr="002B55E9" w:rsidRDefault="00EF27AD">
            <w:pPr>
              <w:pStyle w:val="affff6"/>
              <w:ind w:left="-105" w:right="-105"/>
              <w:rPr>
                <w:szCs w:val="18"/>
              </w:rPr>
            </w:pPr>
            <w:r w:rsidRPr="002B55E9">
              <w:rPr>
                <w:rFonts w:hint="eastAsia"/>
                <w:szCs w:val="18"/>
              </w:rPr>
              <w:t>0.268</w:t>
            </w:r>
          </w:p>
        </w:tc>
        <w:tc>
          <w:tcPr>
            <w:tcW w:w="962" w:type="dxa"/>
            <w:shd w:val="clear" w:color="auto" w:fill="auto"/>
            <w:vAlign w:val="center"/>
          </w:tcPr>
          <w:p w14:paraId="33182FDA" w14:textId="77777777" w:rsidR="00D170E5" w:rsidRPr="002B55E9" w:rsidRDefault="00EF27AD">
            <w:pPr>
              <w:pStyle w:val="affff6"/>
              <w:ind w:left="-105" w:right="-105"/>
              <w:rPr>
                <w:szCs w:val="18"/>
              </w:rPr>
            </w:pPr>
            <w:r w:rsidRPr="002B55E9">
              <w:rPr>
                <w:rFonts w:hint="eastAsia"/>
                <w:szCs w:val="18"/>
              </w:rPr>
              <w:t>0.134</w:t>
            </w:r>
          </w:p>
        </w:tc>
        <w:tc>
          <w:tcPr>
            <w:tcW w:w="962" w:type="dxa"/>
            <w:shd w:val="clear" w:color="auto" w:fill="auto"/>
            <w:vAlign w:val="center"/>
          </w:tcPr>
          <w:p w14:paraId="41F08FB8"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44C6514C" w14:textId="77777777" w:rsidR="00D170E5" w:rsidRPr="002B55E9" w:rsidRDefault="00EF27AD">
            <w:pPr>
              <w:pStyle w:val="affff6"/>
              <w:ind w:left="-105" w:right="-105"/>
              <w:rPr>
                <w:szCs w:val="18"/>
              </w:rPr>
            </w:pPr>
            <w:r w:rsidRPr="002B55E9">
              <w:rPr>
                <w:rFonts w:hint="eastAsia"/>
                <w:szCs w:val="18"/>
              </w:rPr>
              <w:t>0.21</w:t>
            </w:r>
          </w:p>
        </w:tc>
        <w:tc>
          <w:tcPr>
            <w:tcW w:w="962" w:type="dxa"/>
            <w:shd w:val="clear" w:color="auto" w:fill="auto"/>
            <w:vAlign w:val="center"/>
          </w:tcPr>
          <w:p w14:paraId="0729A715" w14:textId="77777777" w:rsidR="00D170E5" w:rsidRPr="002B55E9" w:rsidRDefault="00EF27AD">
            <w:pPr>
              <w:pStyle w:val="affff6"/>
              <w:ind w:left="-105" w:right="-105"/>
              <w:rPr>
                <w:szCs w:val="18"/>
              </w:rPr>
            </w:pPr>
            <w:r w:rsidRPr="002B55E9">
              <w:rPr>
                <w:rFonts w:hint="eastAsia"/>
                <w:szCs w:val="18"/>
              </w:rPr>
              <w:t>0.105</w:t>
            </w:r>
          </w:p>
        </w:tc>
        <w:tc>
          <w:tcPr>
            <w:tcW w:w="962" w:type="dxa"/>
            <w:shd w:val="clear" w:color="auto" w:fill="auto"/>
            <w:vAlign w:val="center"/>
          </w:tcPr>
          <w:p w14:paraId="63FB7544" w14:textId="77777777" w:rsidR="00D170E5" w:rsidRPr="002B55E9" w:rsidRDefault="00EF27AD">
            <w:pPr>
              <w:pStyle w:val="affff6"/>
              <w:ind w:left="-105" w:right="-105"/>
              <w:rPr>
                <w:szCs w:val="18"/>
              </w:rPr>
            </w:pPr>
            <w:r w:rsidRPr="002B55E9">
              <w:rPr>
                <w:rFonts w:hint="eastAsia"/>
                <w:szCs w:val="18"/>
              </w:rPr>
              <w:t>0</w:t>
            </w:r>
          </w:p>
        </w:tc>
      </w:tr>
      <w:tr w:rsidR="002B55E9" w:rsidRPr="002B55E9" w14:paraId="07BA39AE" w14:textId="77777777" w:rsidTr="006C19DD">
        <w:trPr>
          <w:trHeight w:val="284"/>
          <w:jc w:val="center"/>
        </w:trPr>
        <w:tc>
          <w:tcPr>
            <w:tcW w:w="925" w:type="dxa"/>
            <w:vAlign w:val="center"/>
          </w:tcPr>
          <w:p w14:paraId="53864EB9" w14:textId="77777777" w:rsidR="00D170E5" w:rsidRPr="002B55E9" w:rsidRDefault="00EF27AD">
            <w:pPr>
              <w:pStyle w:val="affff6"/>
              <w:ind w:left="-105" w:right="-105"/>
              <w:rPr>
                <w:szCs w:val="18"/>
              </w:rPr>
            </w:pPr>
            <w:r w:rsidRPr="002B55E9">
              <w:rPr>
                <w:szCs w:val="18"/>
              </w:rPr>
              <w:t>19</w:t>
            </w:r>
          </w:p>
        </w:tc>
        <w:tc>
          <w:tcPr>
            <w:tcW w:w="3068" w:type="dxa"/>
            <w:vAlign w:val="center"/>
          </w:tcPr>
          <w:p w14:paraId="6286DFFA" w14:textId="77777777" w:rsidR="00D170E5" w:rsidRPr="002B55E9" w:rsidRDefault="00EF27AD">
            <w:pPr>
              <w:pStyle w:val="affff6"/>
              <w:ind w:left="-105" w:right="-105"/>
              <w:rPr>
                <w:szCs w:val="18"/>
              </w:rPr>
            </w:pPr>
            <w:r w:rsidRPr="002B55E9">
              <w:rPr>
                <w:rFonts w:hint="eastAsia"/>
                <w:szCs w:val="18"/>
              </w:rPr>
              <w:t>镉</w:t>
            </w:r>
          </w:p>
        </w:tc>
        <w:tc>
          <w:tcPr>
            <w:tcW w:w="1731" w:type="dxa"/>
            <w:vAlign w:val="center"/>
          </w:tcPr>
          <w:p w14:paraId="6B4B72AD" w14:textId="77777777" w:rsidR="00D170E5" w:rsidRPr="002B55E9" w:rsidRDefault="00EF27AD">
            <w:pPr>
              <w:pStyle w:val="affff6"/>
              <w:ind w:left="-105" w:right="-105"/>
              <w:rPr>
                <w:szCs w:val="18"/>
              </w:rPr>
            </w:pPr>
            <w:r w:rsidRPr="002B55E9">
              <w:rPr>
                <w:rFonts w:hint="eastAsia"/>
                <w:szCs w:val="18"/>
              </w:rPr>
              <w:t>0.01</w:t>
            </w:r>
          </w:p>
        </w:tc>
        <w:tc>
          <w:tcPr>
            <w:tcW w:w="962" w:type="dxa"/>
            <w:vAlign w:val="center"/>
          </w:tcPr>
          <w:p w14:paraId="487B5686" w14:textId="77777777" w:rsidR="00D170E5" w:rsidRPr="002B55E9" w:rsidRDefault="00EF27AD">
            <w:pPr>
              <w:pStyle w:val="affff6"/>
              <w:ind w:left="-105" w:right="-105"/>
              <w:rPr>
                <w:szCs w:val="18"/>
              </w:rPr>
            </w:pPr>
            <w:r w:rsidRPr="002B55E9">
              <w:rPr>
                <w:rFonts w:hint="eastAsia"/>
                <w:szCs w:val="18"/>
              </w:rPr>
              <w:t>ND</w:t>
            </w:r>
          </w:p>
        </w:tc>
        <w:tc>
          <w:tcPr>
            <w:tcW w:w="769" w:type="dxa"/>
            <w:vAlign w:val="center"/>
          </w:tcPr>
          <w:p w14:paraId="3EB3404D"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7DB699D8"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6138E56F"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5EC6B7CD"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08862392"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1D0F4154"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6D49EA36"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47AB0A62" w14:textId="77777777" w:rsidR="00D170E5" w:rsidRPr="002B55E9" w:rsidRDefault="00EF27AD">
            <w:pPr>
              <w:pStyle w:val="affff6"/>
              <w:ind w:left="-105" w:right="-105"/>
              <w:rPr>
                <w:szCs w:val="18"/>
              </w:rPr>
            </w:pPr>
            <w:r w:rsidRPr="002B55E9">
              <w:rPr>
                <w:rFonts w:hint="eastAsia"/>
                <w:szCs w:val="18"/>
              </w:rPr>
              <w:t>/</w:t>
            </w:r>
          </w:p>
        </w:tc>
      </w:tr>
      <w:tr w:rsidR="002B55E9" w:rsidRPr="002B55E9" w14:paraId="2EF03FEF" w14:textId="77777777" w:rsidTr="006C19DD">
        <w:trPr>
          <w:trHeight w:val="284"/>
          <w:jc w:val="center"/>
        </w:trPr>
        <w:tc>
          <w:tcPr>
            <w:tcW w:w="925" w:type="dxa"/>
            <w:shd w:val="clear" w:color="auto" w:fill="auto"/>
            <w:vAlign w:val="center"/>
          </w:tcPr>
          <w:p w14:paraId="0E438727" w14:textId="77777777" w:rsidR="00D170E5" w:rsidRPr="002B55E9" w:rsidRDefault="00EF27AD">
            <w:pPr>
              <w:pStyle w:val="affff6"/>
              <w:ind w:left="-105" w:right="-105"/>
              <w:rPr>
                <w:szCs w:val="18"/>
              </w:rPr>
            </w:pPr>
            <w:r w:rsidRPr="002B55E9">
              <w:rPr>
                <w:szCs w:val="18"/>
              </w:rPr>
              <w:t>20</w:t>
            </w:r>
          </w:p>
        </w:tc>
        <w:tc>
          <w:tcPr>
            <w:tcW w:w="3068" w:type="dxa"/>
            <w:shd w:val="clear" w:color="auto" w:fill="auto"/>
            <w:vAlign w:val="center"/>
          </w:tcPr>
          <w:p w14:paraId="4FA4ACD2" w14:textId="77777777" w:rsidR="00D170E5" w:rsidRPr="002B55E9" w:rsidRDefault="00EF27AD">
            <w:pPr>
              <w:pStyle w:val="affff6"/>
              <w:ind w:left="-105" w:right="-105"/>
              <w:rPr>
                <w:szCs w:val="18"/>
              </w:rPr>
            </w:pPr>
            <w:r w:rsidRPr="002B55E9">
              <w:rPr>
                <w:rFonts w:hint="eastAsia"/>
                <w:szCs w:val="18"/>
              </w:rPr>
              <w:t>铁</w:t>
            </w:r>
          </w:p>
        </w:tc>
        <w:tc>
          <w:tcPr>
            <w:tcW w:w="1731" w:type="dxa"/>
            <w:shd w:val="clear" w:color="auto" w:fill="auto"/>
            <w:vAlign w:val="center"/>
          </w:tcPr>
          <w:p w14:paraId="7B86E354" w14:textId="77777777" w:rsidR="00D170E5" w:rsidRPr="002B55E9" w:rsidRDefault="00EF27AD">
            <w:pPr>
              <w:pStyle w:val="affff6"/>
              <w:ind w:left="-105" w:right="-105"/>
              <w:rPr>
                <w:szCs w:val="18"/>
              </w:rPr>
            </w:pPr>
            <w:r w:rsidRPr="002B55E9">
              <w:rPr>
                <w:rFonts w:hint="eastAsia"/>
                <w:szCs w:val="18"/>
              </w:rPr>
              <w:t>2</w:t>
            </w:r>
            <w:r w:rsidRPr="002B55E9">
              <w:rPr>
                <w:szCs w:val="18"/>
              </w:rPr>
              <w:t>.0</w:t>
            </w:r>
          </w:p>
        </w:tc>
        <w:tc>
          <w:tcPr>
            <w:tcW w:w="962" w:type="dxa"/>
            <w:shd w:val="clear" w:color="auto" w:fill="auto"/>
            <w:vAlign w:val="center"/>
          </w:tcPr>
          <w:p w14:paraId="00CC1511" w14:textId="77777777" w:rsidR="00D170E5" w:rsidRPr="002B55E9" w:rsidRDefault="00EF27AD">
            <w:pPr>
              <w:pStyle w:val="affff6"/>
              <w:ind w:left="-105" w:right="-105"/>
              <w:rPr>
                <w:szCs w:val="18"/>
              </w:rPr>
            </w:pPr>
            <w:r w:rsidRPr="002B55E9">
              <w:rPr>
                <w:rFonts w:hint="eastAsia"/>
                <w:szCs w:val="18"/>
              </w:rPr>
              <w:t>ND</w:t>
            </w:r>
          </w:p>
        </w:tc>
        <w:tc>
          <w:tcPr>
            <w:tcW w:w="769" w:type="dxa"/>
            <w:shd w:val="clear" w:color="auto" w:fill="auto"/>
            <w:vAlign w:val="center"/>
          </w:tcPr>
          <w:p w14:paraId="3050D0EB"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276B9380" w14:textId="77777777" w:rsidR="00D170E5" w:rsidRPr="002B55E9" w:rsidRDefault="00EF27AD">
            <w:pPr>
              <w:pStyle w:val="affff6"/>
              <w:ind w:left="-105" w:right="-105"/>
              <w:rPr>
                <w:szCs w:val="18"/>
              </w:rPr>
            </w:pPr>
            <w:r w:rsidRPr="002B55E9">
              <w:rPr>
                <w:rFonts w:hint="eastAsia"/>
                <w:szCs w:val="18"/>
              </w:rPr>
              <w:t>/</w:t>
            </w:r>
          </w:p>
        </w:tc>
        <w:tc>
          <w:tcPr>
            <w:tcW w:w="1153" w:type="dxa"/>
            <w:tcBorders>
              <w:bottom w:val="single" w:sz="4" w:space="0" w:color="auto"/>
            </w:tcBorders>
            <w:shd w:val="clear" w:color="auto" w:fill="auto"/>
            <w:vAlign w:val="center"/>
          </w:tcPr>
          <w:p w14:paraId="65066975" w14:textId="77777777" w:rsidR="00D170E5" w:rsidRPr="002B55E9" w:rsidRDefault="00EF27AD">
            <w:pPr>
              <w:pStyle w:val="affff6"/>
              <w:ind w:left="-105" w:right="-105"/>
              <w:rPr>
                <w:szCs w:val="18"/>
              </w:rPr>
            </w:pPr>
            <w:r w:rsidRPr="002B55E9">
              <w:rPr>
                <w:rFonts w:hint="eastAsia"/>
                <w:szCs w:val="18"/>
              </w:rPr>
              <w:t>ND</w:t>
            </w:r>
          </w:p>
        </w:tc>
        <w:tc>
          <w:tcPr>
            <w:tcW w:w="962" w:type="dxa"/>
            <w:tcBorders>
              <w:bottom w:val="single" w:sz="4" w:space="0" w:color="auto"/>
            </w:tcBorders>
            <w:shd w:val="clear" w:color="auto" w:fill="auto"/>
            <w:vAlign w:val="center"/>
          </w:tcPr>
          <w:p w14:paraId="4208886E" w14:textId="77777777" w:rsidR="00D170E5" w:rsidRPr="002B55E9" w:rsidRDefault="00EF27AD">
            <w:pPr>
              <w:pStyle w:val="affff6"/>
              <w:ind w:left="-105" w:right="-105"/>
              <w:rPr>
                <w:szCs w:val="18"/>
              </w:rPr>
            </w:pPr>
            <w:r w:rsidRPr="002B55E9">
              <w:rPr>
                <w:rFonts w:hint="eastAsia"/>
                <w:szCs w:val="18"/>
              </w:rPr>
              <w:t>/</w:t>
            </w:r>
          </w:p>
        </w:tc>
        <w:tc>
          <w:tcPr>
            <w:tcW w:w="962" w:type="dxa"/>
            <w:tcBorders>
              <w:bottom w:val="single" w:sz="4" w:space="0" w:color="auto"/>
            </w:tcBorders>
            <w:shd w:val="clear" w:color="auto" w:fill="auto"/>
            <w:vAlign w:val="center"/>
          </w:tcPr>
          <w:p w14:paraId="5C66BABA" w14:textId="77777777" w:rsidR="00D170E5" w:rsidRPr="002B55E9" w:rsidRDefault="00EF27AD">
            <w:pPr>
              <w:pStyle w:val="affff6"/>
              <w:ind w:left="-105" w:right="-105"/>
              <w:rPr>
                <w:szCs w:val="18"/>
              </w:rPr>
            </w:pPr>
            <w:r w:rsidRPr="002B55E9">
              <w:rPr>
                <w:rFonts w:hint="eastAsia"/>
                <w:szCs w:val="18"/>
              </w:rPr>
              <w:t>/</w:t>
            </w:r>
          </w:p>
        </w:tc>
        <w:tc>
          <w:tcPr>
            <w:tcW w:w="1153" w:type="dxa"/>
            <w:shd w:val="clear" w:color="auto" w:fill="auto"/>
            <w:vAlign w:val="center"/>
          </w:tcPr>
          <w:p w14:paraId="6C165872" w14:textId="77777777" w:rsidR="00D170E5" w:rsidRPr="002B55E9" w:rsidRDefault="00EF27AD">
            <w:pPr>
              <w:pStyle w:val="affff6"/>
              <w:ind w:left="-105" w:right="-105"/>
              <w:rPr>
                <w:szCs w:val="18"/>
              </w:rPr>
            </w:pPr>
            <w:r w:rsidRPr="002B55E9">
              <w:rPr>
                <w:rFonts w:hint="eastAsia"/>
                <w:szCs w:val="18"/>
              </w:rPr>
              <w:t>0</w:t>
            </w:r>
            <w:r w:rsidRPr="002B55E9">
              <w:rPr>
                <w:szCs w:val="18"/>
              </w:rPr>
              <w:t>.18</w:t>
            </w:r>
          </w:p>
        </w:tc>
        <w:tc>
          <w:tcPr>
            <w:tcW w:w="962" w:type="dxa"/>
            <w:shd w:val="clear" w:color="auto" w:fill="auto"/>
            <w:vAlign w:val="center"/>
          </w:tcPr>
          <w:p w14:paraId="304BF651" w14:textId="77777777" w:rsidR="00D170E5" w:rsidRPr="002B55E9" w:rsidRDefault="00EF27AD">
            <w:pPr>
              <w:pStyle w:val="affff6"/>
              <w:ind w:left="-105" w:right="-105"/>
              <w:rPr>
                <w:szCs w:val="18"/>
              </w:rPr>
            </w:pPr>
            <w:r w:rsidRPr="002B55E9">
              <w:rPr>
                <w:rFonts w:hint="eastAsia"/>
                <w:szCs w:val="18"/>
              </w:rPr>
              <w:t>0.09</w:t>
            </w:r>
          </w:p>
        </w:tc>
        <w:tc>
          <w:tcPr>
            <w:tcW w:w="962" w:type="dxa"/>
            <w:shd w:val="clear" w:color="auto" w:fill="auto"/>
            <w:vAlign w:val="center"/>
          </w:tcPr>
          <w:p w14:paraId="6D35404A" w14:textId="77777777" w:rsidR="00D170E5" w:rsidRPr="002B55E9" w:rsidRDefault="00EF27AD">
            <w:pPr>
              <w:pStyle w:val="affff6"/>
              <w:ind w:left="-105" w:right="-105"/>
              <w:rPr>
                <w:szCs w:val="18"/>
              </w:rPr>
            </w:pPr>
            <w:r w:rsidRPr="002B55E9">
              <w:rPr>
                <w:rFonts w:hint="eastAsia"/>
                <w:szCs w:val="18"/>
              </w:rPr>
              <w:t>0</w:t>
            </w:r>
          </w:p>
        </w:tc>
      </w:tr>
      <w:tr w:rsidR="002B55E9" w:rsidRPr="002B55E9" w14:paraId="65408DDB" w14:textId="77777777" w:rsidTr="006C19DD">
        <w:trPr>
          <w:trHeight w:val="284"/>
          <w:jc w:val="center"/>
        </w:trPr>
        <w:tc>
          <w:tcPr>
            <w:tcW w:w="925" w:type="dxa"/>
            <w:shd w:val="clear" w:color="auto" w:fill="auto"/>
            <w:vAlign w:val="center"/>
          </w:tcPr>
          <w:p w14:paraId="51D180C6" w14:textId="77777777" w:rsidR="00D170E5" w:rsidRPr="002B55E9" w:rsidRDefault="00EF27AD">
            <w:pPr>
              <w:pStyle w:val="affff6"/>
              <w:ind w:left="-105" w:right="-105"/>
              <w:rPr>
                <w:szCs w:val="18"/>
              </w:rPr>
            </w:pPr>
            <w:r w:rsidRPr="002B55E9">
              <w:rPr>
                <w:szCs w:val="18"/>
              </w:rPr>
              <w:t>21</w:t>
            </w:r>
          </w:p>
        </w:tc>
        <w:tc>
          <w:tcPr>
            <w:tcW w:w="3068" w:type="dxa"/>
            <w:shd w:val="clear" w:color="auto" w:fill="auto"/>
            <w:vAlign w:val="center"/>
          </w:tcPr>
          <w:p w14:paraId="6D461AAC" w14:textId="77777777" w:rsidR="00D170E5" w:rsidRPr="002B55E9" w:rsidRDefault="00EF27AD">
            <w:pPr>
              <w:pStyle w:val="affff6"/>
              <w:ind w:left="-105" w:right="-105"/>
              <w:rPr>
                <w:szCs w:val="18"/>
              </w:rPr>
            </w:pPr>
            <w:r w:rsidRPr="002B55E9">
              <w:rPr>
                <w:rFonts w:hint="eastAsia"/>
                <w:szCs w:val="18"/>
              </w:rPr>
              <w:t>锰</w:t>
            </w:r>
          </w:p>
        </w:tc>
        <w:tc>
          <w:tcPr>
            <w:tcW w:w="1731" w:type="dxa"/>
            <w:shd w:val="clear" w:color="auto" w:fill="auto"/>
            <w:vAlign w:val="center"/>
          </w:tcPr>
          <w:p w14:paraId="357A2428" w14:textId="77777777" w:rsidR="00D170E5" w:rsidRPr="002B55E9" w:rsidRDefault="00EF27AD">
            <w:pPr>
              <w:pStyle w:val="affff6"/>
              <w:ind w:left="-105" w:right="-105"/>
              <w:rPr>
                <w:szCs w:val="18"/>
              </w:rPr>
            </w:pPr>
            <w:r w:rsidRPr="002B55E9">
              <w:rPr>
                <w:rFonts w:hint="eastAsia"/>
                <w:szCs w:val="18"/>
              </w:rPr>
              <w:t>1</w:t>
            </w:r>
            <w:r w:rsidRPr="002B55E9">
              <w:rPr>
                <w:szCs w:val="18"/>
              </w:rPr>
              <w:t>.5</w:t>
            </w:r>
          </w:p>
        </w:tc>
        <w:tc>
          <w:tcPr>
            <w:tcW w:w="962" w:type="dxa"/>
            <w:shd w:val="clear" w:color="auto" w:fill="auto"/>
            <w:vAlign w:val="center"/>
          </w:tcPr>
          <w:p w14:paraId="29C9ED1F" w14:textId="77777777" w:rsidR="00D170E5" w:rsidRPr="002B55E9" w:rsidRDefault="00EF27AD">
            <w:pPr>
              <w:pStyle w:val="affff6"/>
              <w:ind w:left="-105" w:right="-105"/>
              <w:rPr>
                <w:szCs w:val="18"/>
              </w:rPr>
            </w:pPr>
            <w:r w:rsidRPr="002B55E9">
              <w:rPr>
                <w:rFonts w:hint="eastAsia"/>
                <w:szCs w:val="18"/>
              </w:rPr>
              <w:t>0.0379</w:t>
            </w:r>
          </w:p>
        </w:tc>
        <w:tc>
          <w:tcPr>
            <w:tcW w:w="769" w:type="dxa"/>
            <w:shd w:val="clear" w:color="auto" w:fill="auto"/>
            <w:vAlign w:val="center"/>
          </w:tcPr>
          <w:p w14:paraId="429A88E4" w14:textId="77777777" w:rsidR="00D170E5" w:rsidRPr="002B55E9" w:rsidRDefault="00EF27AD">
            <w:pPr>
              <w:pStyle w:val="affff6"/>
              <w:ind w:left="-105" w:right="-105"/>
              <w:rPr>
                <w:szCs w:val="18"/>
              </w:rPr>
            </w:pPr>
            <w:r w:rsidRPr="002B55E9">
              <w:rPr>
                <w:rFonts w:hint="eastAsia"/>
                <w:szCs w:val="18"/>
              </w:rPr>
              <w:t>0.02527</w:t>
            </w:r>
          </w:p>
        </w:tc>
        <w:tc>
          <w:tcPr>
            <w:tcW w:w="962" w:type="dxa"/>
            <w:shd w:val="clear" w:color="auto" w:fill="auto"/>
            <w:vAlign w:val="center"/>
          </w:tcPr>
          <w:p w14:paraId="3D82695F" w14:textId="77777777" w:rsidR="00D170E5" w:rsidRPr="002B55E9" w:rsidRDefault="00EF27AD">
            <w:pPr>
              <w:pStyle w:val="affff6"/>
              <w:ind w:left="-105" w:right="-105"/>
              <w:rPr>
                <w:szCs w:val="18"/>
              </w:rPr>
            </w:pPr>
            <w:r w:rsidRPr="002B55E9">
              <w:rPr>
                <w:rFonts w:hint="eastAsia"/>
                <w:szCs w:val="18"/>
              </w:rPr>
              <w:t>0</w:t>
            </w:r>
          </w:p>
        </w:tc>
        <w:tc>
          <w:tcPr>
            <w:tcW w:w="1153" w:type="dxa"/>
            <w:tcBorders>
              <w:top w:val="single" w:sz="4" w:space="0" w:color="auto"/>
              <w:bottom w:val="single" w:sz="4" w:space="0" w:color="auto"/>
            </w:tcBorders>
            <w:shd w:val="clear" w:color="auto" w:fill="auto"/>
            <w:vAlign w:val="center"/>
          </w:tcPr>
          <w:p w14:paraId="4F11337C" w14:textId="77777777" w:rsidR="00D170E5" w:rsidRPr="002B55E9" w:rsidRDefault="00EF27AD">
            <w:pPr>
              <w:pStyle w:val="affff6"/>
              <w:ind w:left="-105" w:right="-105"/>
              <w:rPr>
                <w:szCs w:val="18"/>
              </w:rPr>
            </w:pPr>
            <w:r w:rsidRPr="002B55E9">
              <w:rPr>
                <w:rFonts w:hint="eastAsia"/>
                <w:szCs w:val="18"/>
              </w:rPr>
              <w:t>0.0291</w:t>
            </w:r>
          </w:p>
        </w:tc>
        <w:tc>
          <w:tcPr>
            <w:tcW w:w="962" w:type="dxa"/>
            <w:tcBorders>
              <w:top w:val="single" w:sz="4" w:space="0" w:color="auto"/>
              <w:bottom w:val="single" w:sz="4" w:space="0" w:color="auto"/>
            </w:tcBorders>
            <w:shd w:val="clear" w:color="auto" w:fill="auto"/>
            <w:vAlign w:val="center"/>
          </w:tcPr>
          <w:p w14:paraId="61F0EAF2" w14:textId="77777777" w:rsidR="00D170E5" w:rsidRPr="002B55E9" w:rsidRDefault="00EF27AD">
            <w:pPr>
              <w:pStyle w:val="affff6"/>
              <w:ind w:left="-105" w:right="-105"/>
              <w:rPr>
                <w:szCs w:val="18"/>
              </w:rPr>
            </w:pPr>
            <w:r w:rsidRPr="002B55E9">
              <w:rPr>
                <w:rFonts w:hint="eastAsia"/>
                <w:szCs w:val="18"/>
              </w:rPr>
              <w:t>0.0194</w:t>
            </w:r>
          </w:p>
        </w:tc>
        <w:tc>
          <w:tcPr>
            <w:tcW w:w="962" w:type="dxa"/>
            <w:tcBorders>
              <w:top w:val="single" w:sz="4" w:space="0" w:color="auto"/>
              <w:bottom w:val="single" w:sz="4" w:space="0" w:color="auto"/>
            </w:tcBorders>
            <w:shd w:val="clear" w:color="auto" w:fill="auto"/>
            <w:vAlign w:val="center"/>
          </w:tcPr>
          <w:p w14:paraId="72722A04"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20C2CF12" w14:textId="77777777" w:rsidR="00D170E5" w:rsidRPr="002B55E9" w:rsidRDefault="00EF27AD">
            <w:pPr>
              <w:pStyle w:val="affff6"/>
              <w:ind w:left="-105" w:right="-105"/>
              <w:rPr>
                <w:szCs w:val="18"/>
              </w:rPr>
            </w:pPr>
            <w:r w:rsidRPr="002B55E9">
              <w:rPr>
                <w:rFonts w:hint="eastAsia"/>
                <w:szCs w:val="18"/>
              </w:rPr>
              <w:t>ND</w:t>
            </w:r>
          </w:p>
        </w:tc>
        <w:tc>
          <w:tcPr>
            <w:tcW w:w="962" w:type="dxa"/>
            <w:shd w:val="clear" w:color="auto" w:fill="auto"/>
            <w:vAlign w:val="center"/>
          </w:tcPr>
          <w:p w14:paraId="6C8EA381" w14:textId="77777777" w:rsidR="00D170E5" w:rsidRPr="002B55E9" w:rsidRDefault="00EF27AD">
            <w:pPr>
              <w:pStyle w:val="affff6"/>
              <w:ind w:left="-105" w:right="-105"/>
              <w:rPr>
                <w:szCs w:val="18"/>
              </w:rPr>
            </w:pPr>
            <w:r w:rsidRPr="002B55E9">
              <w:rPr>
                <w:rFonts w:hint="eastAsia"/>
                <w:szCs w:val="18"/>
              </w:rPr>
              <w:t>/</w:t>
            </w:r>
          </w:p>
        </w:tc>
        <w:tc>
          <w:tcPr>
            <w:tcW w:w="962" w:type="dxa"/>
            <w:shd w:val="clear" w:color="auto" w:fill="auto"/>
            <w:vAlign w:val="center"/>
          </w:tcPr>
          <w:p w14:paraId="37236E05" w14:textId="77777777" w:rsidR="00D170E5" w:rsidRPr="002B55E9" w:rsidRDefault="00EF27AD">
            <w:pPr>
              <w:pStyle w:val="affff6"/>
              <w:ind w:left="-105" w:right="-105"/>
              <w:rPr>
                <w:szCs w:val="18"/>
              </w:rPr>
            </w:pPr>
            <w:r w:rsidRPr="002B55E9">
              <w:rPr>
                <w:rFonts w:hint="eastAsia"/>
                <w:szCs w:val="18"/>
              </w:rPr>
              <w:t>0</w:t>
            </w:r>
          </w:p>
        </w:tc>
      </w:tr>
      <w:tr w:rsidR="002B55E9" w:rsidRPr="002B55E9" w14:paraId="7483F995" w14:textId="77777777" w:rsidTr="006C19DD">
        <w:trPr>
          <w:trHeight w:val="284"/>
          <w:jc w:val="center"/>
        </w:trPr>
        <w:tc>
          <w:tcPr>
            <w:tcW w:w="925" w:type="dxa"/>
            <w:vAlign w:val="center"/>
          </w:tcPr>
          <w:p w14:paraId="788EF4CE" w14:textId="77777777" w:rsidR="00D170E5" w:rsidRPr="002B55E9" w:rsidRDefault="00EF27AD">
            <w:pPr>
              <w:pStyle w:val="affff6"/>
              <w:ind w:left="-105" w:right="-105"/>
              <w:rPr>
                <w:szCs w:val="18"/>
              </w:rPr>
            </w:pPr>
            <w:r w:rsidRPr="002B55E9">
              <w:rPr>
                <w:szCs w:val="18"/>
              </w:rPr>
              <w:t>22</w:t>
            </w:r>
          </w:p>
        </w:tc>
        <w:tc>
          <w:tcPr>
            <w:tcW w:w="3068" w:type="dxa"/>
            <w:vAlign w:val="center"/>
          </w:tcPr>
          <w:p w14:paraId="1F527268" w14:textId="77777777" w:rsidR="00D170E5" w:rsidRPr="002B55E9" w:rsidRDefault="00EF27AD">
            <w:pPr>
              <w:pStyle w:val="affff6"/>
              <w:ind w:left="-105" w:right="-105"/>
              <w:rPr>
                <w:szCs w:val="18"/>
              </w:rPr>
            </w:pPr>
            <w:r w:rsidRPr="002B55E9">
              <w:rPr>
                <w:rFonts w:hint="eastAsia"/>
                <w:szCs w:val="18"/>
              </w:rPr>
              <w:t>溶解性总固体</w:t>
            </w:r>
          </w:p>
        </w:tc>
        <w:tc>
          <w:tcPr>
            <w:tcW w:w="1731" w:type="dxa"/>
            <w:vAlign w:val="center"/>
          </w:tcPr>
          <w:p w14:paraId="38FBC517" w14:textId="77777777" w:rsidR="00D170E5" w:rsidRPr="002B55E9" w:rsidRDefault="00EF27AD">
            <w:pPr>
              <w:pStyle w:val="affff6"/>
              <w:ind w:left="-105" w:right="-105"/>
              <w:rPr>
                <w:szCs w:val="18"/>
              </w:rPr>
            </w:pPr>
            <w:r w:rsidRPr="002B55E9">
              <w:rPr>
                <w:rFonts w:hint="eastAsia"/>
                <w:szCs w:val="18"/>
              </w:rPr>
              <w:t>2</w:t>
            </w:r>
            <w:r w:rsidRPr="002B55E9">
              <w:rPr>
                <w:szCs w:val="18"/>
              </w:rPr>
              <w:t>000</w:t>
            </w:r>
          </w:p>
        </w:tc>
        <w:tc>
          <w:tcPr>
            <w:tcW w:w="962" w:type="dxa"/>
            <w:vAlign w:val="center"/>
          </w:tcPr>
          <w:p w14:paraId="2DC4DDDF" w14:textId="77777777" w:rsidR="00D170E5" w:rsidRPr="002B55E9" w:rsidRDefault="00EF27AD">
            <w:pPr>
              <w:pStyle w:val="affff6"/>
              <w:ind w:left="-105" w:right="-105"/>
              <w:rPr>
                <w:szCs w:val="18"/>
              </w:rPr>
            </w:pPr>
            <w:r w:rsidRPr="002B55E9">
              <w:rPr>
                <w:rFonts w:hint="eastAsia"/>
                <w:szCs w:val="18"/>
              </w:rPr>
              <w:t>612</w:t>
            </w:r>
          </w:p>
        </w:tc>
        <w:tc>
          <w:tcPr>
            <w:tcW w:w="769" w:type="dxa"/>
            <w:vAlign w:val="center"/>
          </w:tcPr>
          <w:p w14:paraId="748077AB" w14:textId="77777777" w:rsidR="00D170E5" w:rsidRPr="002B55E9" w:rsidRDefault="00EF27AD">
            <w:pPr>
              <w:pStyle w:val="affff6"/>
              <w:ind w:left="-105" w:right="-105"/>
              <w:rPr>
                <w:szCs w:val="18"/>
              </w:rPr>
            </w:pPr>
            <w:r w:rsidRPr="002B55E9">
              <w:rPr>
                <w:rFonts w:hint="eastAsia"/>
                <w:szCs w:val="18"/>
              </w:rPr>
              <w:t>0.306</w:t>
            </w:r>
          </w:p>
        </w:tc>
        <w:tc>
          <w:tcPr>
            <w:tcW w:w="962" w:type="dxa"/>
            <w:shd w:val="clear" w:color="auto" w:fill="auto"/>
            <w:vAlign w:val="center"/>
          </w:tcPr>
          <w:p w14:paraId="7F7BDC25" w14:textId="77777777" w:rsidR="00D170E5" w:rsidRPr="002B55E9" w:rsidRDefault="00EF27AD">
            <w:pPr>
              <w:pStyle w:val="affff6"/>
              <w:ind w:left="-105" w:right="-105"/>
              <w:rPr>
                <w:szCs w:val="18"/>
              </w:rPr>
            </w:pPr>
            <w:r w:rsidRPr="002B55E9">
              <w:rPr>
                <w:rFonts w:hint="eastAsia"/>
                <w:szCs w:val="18"/>
              </w:rPr>
              <w:t>0</w:t>
            </w:r>
          </w:p>
        </w:tc>
        <w:tc>
          <w:tcPr>
            <w:tcW w:w="1153" w:type="dxa"/>
            <w:tcBorders>
              <w:top w:val="single" w:sz="4" w:space="0" w:color="auto"/>
            </w:tcBorders>
            <w:shd w:val="clear" w:color="auto" w:fill="auto"/>
            <w:vAlign w:val="center"/>
          </w:tcPr>
          <w:p w14:paraId="4DB96F8D" w14:textId="77777777" w:rsidR="00D170E5" w:rsidRPr="002B55E9" w:rsidRDefault="00EF27AD">
            <w:pPr>
              <w:pStyle w:val="affff6"/>
              <w:ind w:left="-105" w:right="-105"/>
              <w:rPr>
                <w:szCs w:val="18"/>
              </w:rPr>
            </w:pPr>
            <w:r w:rsidRPr="002B55E9">
              <w:rPr>
                <w:rFonts w:hint="eastAsia"/>
                <w:szCs w:val="18"/>
              </w:rPr>
              <w:t>528</w:t>
            </w:r>
          </w:p>
        </w:tc>
        <w:tc>
          <w:tcPr>
            <w:tcW w:w="962" w:type="dxa"/>
            <w:tcBorders>
              <w:top w:val="single" w:sz="4" w:space="0" w:color="auto"/>
            </w:tcBorders>
            <w:shd w:val="clear" w:color="auto" w:fill="auto"/>
            <w:vAlign w:val="center"/>
          </w:tcPr>
          <w:p w14:paraId="5DF954A7" w14:textId="77777777" w:rsidR="00D170E5" w:rsidRPr="002B55E9" w:rsidRDefault="00EF27AD">
            <w:pPr>
              <w:pStyle w:val="affff6"/>
              <w:ind w:left="-105" w:right="-105"/>
              <w:rPr>
                <w:szCs w:val="18"/>
              </w:rPr>
            </w:pPr>
            <w:r w:rsidRPr="002B55E9">
              <w:rPr>
                <w:rFonts w:hint="eastAsia"/>
                <w:szCs w:val="18"/>
              </w:rPr>
              <w:t>0.264</w:t>
            </w:r>
          </w:p>
        </w:tc>
        <w:tc>
          <w:tcPr>
            <w:tcW w:w="962" w:type="dxa"/>
            <w:tcBorders>
              <w:top w:val="single" w:sz="4" w:space="0" w:color="auto"/>
            </w:tcBorders>
            <w:shd w:val="clear" w:color="auto" w:fill="auto"/>
            <w:vAlign w:val="center"/>
          </w:tcPr>
          <w:p w14:paraId="4131821B"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23590DD1" w14:textId="77777777" w:rsidR="00D170E5" w:rsidRPr="002B55E9" w:rsidRDefault="00EF27AD">
            <w:pPr>
              <w:pStyle w:val="affff6"/>
              <w:ind w:left="-105" w:right="-105"/>
              <w:rPr>
                <w:szCs w:val="18"/>
              </w:rPr>
            </w:pPr>
            <w:r w:rsidRPr="002B55E9">
              <w:rPr>
                <w:rFonts w:hint="eastAsia"/>
                <w:szCs w:val="18"/>
              </w:rPr>
              <w:t>121</w:t>
            </w:r>
          </w:p>
        </w:tc>
        <w:tc>
          <w:tcPr>
            <w:tcW w:w="962" w:type="dxa"/>
            <w:shd w:val="clear" w:color="auto" w:fill="auto"/>
            <w:vAlign w:val="center"/>
          </w:tcPr>
          <w:p w14:paraId="2A73D3C2" w14:textId="77777777" w:rsidR="00D170E5" w:rsidRPr="002B55E9" w:rsidRDefault="00EF27AD">
            <w:pPr>
              <w:pStyle w:val="affff6"/>
              <w:ind w:left="-105" w:right="-105"/>
              <w:rPr>
                <w:szCs w:val="18"/>
              </w:rPr>
            </w:pPr>
            <w:r w:rsidRPr="002B55E9">
              <w:rPr>
                <w:rFonts w:hint="eastAsia"/>
                <w:szCs w:val="18"/>
              </w:rPr>
              <w:t>0.0605</w:t>
            </w:r>
          </w:p>
        </w:tc>
        <w:tc>
          <w:tcPr>
            <w:tcW w:w="962" w:type="dxa"/>
            <w:shd w:val="clear" w:color="auto" w:fill="auto"/>
            <w:vAlign w:val="center"/>
          </w:tcPr>
          <w:p w14:paraId="388F823C" w14:textId="77777777" w:rsidR="00D170E5" w:rsidRPr="002B55E9" w:rsidRDefault="00EF27AD">
            <w:pPr>
              <w:pStyle w:val="affff6"/>
              <w:ind w:left="-105" w:right="-105"/>
              <w:rPr>
                <w:szCs w:val="18"/>
              </w:rPr>
            </w:pPr>
            <w:r w:rsidRPr="002B55E9">
              <w:rPr>
                <w:rFonts w:hint="eastAsia"/>
                <w:szCs w:val="18"/>
              </w:rPr>
              <w:t>0</w:t>
            </w:r>
          </w:p>
        </w:tc>
      </w:tr>
      <w:tr w:rsidR="002B55E9" w:rsidRPr="002B55E9" w14:paraId="0B843161" w14:textId="77777777" w:rsidTr="006C19DD">
        <w:trPr>
          <w:trHeight w:val="284"/>
          <w:jc w:val="center"/>
        </w:trPr>
        <w:tc>
          <w:tcPr>
            <w:tcW w:w="925" w:type="dxa"/>
            <w:vAlign w:val="center"/>
          </w:tcPr>
          <w:p w14:paraId="060AB567" w14:textId="77777777" w:rsidR="00D170E5" w:rsidRPr="002B55E9" w:rsidRDefault="00EF27AD">
            <w:pPr>
              <w:pStyle w:val="affff6"/>
              <w:ind w:left="-105" w:right="-105"/>
              <w:rPr>
                <w:szCs w:val="18"/>
              </w:rPr>
            </w:pPr>
            <w:r w:rsidRPr="002B55E9">
              <w:rPr>
                <w:szCs w:val="18"/>
              </w:rPr>
              <w:lastRenderedPageBreak/>
              <w:t>23</w:t>
            </w:r>
          </w:p>
        </w:tc>
        <w:tc>
          <w:tcPr>
            <w:tcW w:w="3068" w:type="dxa"/>
            <w:vAlign w:val="center"/>
          </w:tcPr>
          <w:p w14:paraId="63DDF606" w14:textId="77777777" w:rsidR="00D170E5" w:rsidRPr="002B55E9" w:rsidRDefault="00EF27AD">
            <w:pPr>
              <w:pStyle w:val="affff6"/>
              <w:ind w:left="-105" w:right="-105"/>
              <w:rPr>
                <w:szCs w:val="18"/>
              </w:rPr>
            </w:pPr>
            <w:r w:rsidRPr="002B55E9">
              <w:rPr>
                <w:rFonts w:hint="eastAsia"/>
                <w:szCs w:val="18"/>
              </w:rPr>
              <w:t>耗氧量</w:t>
            </w:r>
          </w:p>
        </w:tc>
        <w:tc>
          <w:tcPr>
            <w:tcW w:w="1731" w:type="dxa"/>
            <w:vAlign w:val="center"/>
          </w:tcPr>
          <w:p w14:paraId="55343A91" w14:textId="77777777" w:rsidR="00D170E5" w:rsidRPr="002B55E9" w:rsidRDefault="00EF27AD">
            <w:pPr>
              <w:pStyle w:val="affff6"/>
              <w:ind w:left="-105" w:right="-105"/>
              <w:rPr>
                <w:szCs w:val="18"/>
              </w:rPr>
            </w:pPr>
            <w:r w:rsidRPr="002B55E9">
              <w:rPr>
                <w:rFonts w:hint="eastAsia"/>
                <w:szCs w:val="18"/>
              </w:rPr>
              <w:t>1</w:t>
            </w:r>
            <w:r w:rsidRPr="002B55E9">
              <w:rPr>
                <w:szCs w:val="18"/>
              </w:rPr>
              <w:t>0</w:t>
            </w:r>
          </w:p>
        </w:tc>
        <w:tc>
          <w:tcPr>
            <w:tcW w:w="962" w:type="dxa"/>
            <w:vAlign w:val="center"/>
          </w:tcPr>
          <w:p w14:paraId="4FB7A637" w14:textId="77777777" w:rsidR="00D170E5" w:rsidRPr="002B55E9" w:rsidRDefault="00EF27AD">
            <w:pPr>
              <w:pStyle w:val="affff6"/>
              <w:ind w:left="-105" w:right="-105"/>
              <w:rPr>
                <w:szCs w:val="18"/>
              </w:rPr>
            </w:pPr>
            <w:r w:rsidRPr="002B55E9">
              <w:rPr>
                <w:rFonts w:hint="eastAsia"/>
                <w:szCs w:val="18"/>
              </w:rPr>
              <w:t>2.91</w:t>
            </w:r>
          </w:p>
        </w:tc>
        <w:tc>
          <w:tcPr>
            <w:tcW w:w="769" w:type="dxa"/>
            <w:vAlign w:val="center"/>
          </w:tcPr>
          <w:p w14:paraId="53706824" w14:textId="77777777" w:rsidR="00D170E5" w:rsidRPr="002B55E9" w:rsidRDefault="00EF27AD">
            <w:pPr>
              <w:pStyle w:val="affff6"/>
              <w:ind w:left="-105" w:right="-105"/>
              <w:rPr>
                <w:szCs w:val="18"/>
              </w:rPr>
            </w:pPr>
            <w:r w:rsidRPr="002B55E9">
              <w:rPr>
                <w:rFonts w:hint="eastAsia"/>
                <w:szCs w:val="18"/>
              </w:rPr>
              <w:t>0.291</w:t>
            </w:r>
          </w:p>
        </w:tc>
        <w:tc>
          <w:tcPr>
            <w:tcW w:w="962" w:type="dxa"/>
            <w:shd w:val="clear" w:color="auto" w:fill="auto"/>
            <w:vAlign w:val="center"/>
          </w:tcPr>
          <w:p w14:paraId="1A5816F4"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40755B5E" w14:textId="77777777" w:rsidR="00D170E5" w:rsidRPr="002B55E9" w:rsidRDefault="00EF27AD">
            <w:pPr>
              <w:pStyle w:val="affff6"/>
              <w:ind w:left="-105" w:right="-105"/>
              <w:rPr>
                <w:szCs w:val="18"/>
              </w:rPr>
            </w:pPr>
            <w:r w:rsidRPr="002B55E9">
              <w:rPr>
                <w:rFonts w:hint="eastAsia"/>
                <w:szCs w:val="18"/>
              </w:rPr>
              <w:t>4.88</w:t>
            </w:r>
          </w:p>
        </w:tc>
        <w:tc>
          <w:tcPr>
            <w:tcW w:w="962" w:type="dxa"/>
            <w:shd w:val="clear" w:color="auto" w:fill="auto"/>
            <w:vAlign w:val="center"/>
          </w:tcPr>
          <w:p w14:paraId="713EFEFC" w14:textId="77777777" w:rsidR="00D170E5" w:rsidRPr="002B55E9" w:rsidRDefault="00EF27AD">
            <w:pPr>
              <w:pStyle w:val="affff6"/>
              <w:ind w:left="-105" w:right="-105"/>
              <w:rPr>
                <w:szCs w:val="18"/>
              </w:rPr>
            </w:pPr>
            <w:r w:rsidRPr="002B55E9">
              <w:rPr>
                <w:rFonts w:hint="eastAsia"/>
                <w:szCs w:val="18"/>
              </w:rPr>
              <w:t>0.488</w:t>
            </w:r>
          </w:p>
        </w:tc>
        <w:tc>
          <w:tcPr>
            <w:tcW w:w="962" w:type="dxa"/>
            <w:shd w:val="clear" w:color="auto" w:fill="auto"/>
            <w:vAlign w:val="center"/>
          </w:tcPr>
          <w:p w14:paraId="18C90196"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724E8AAA" w14:textId="77777777" w:rsidR="00D170E5" w:rsidRPr="002B55E9" w:rsidRDefault="00EF27AD">
            <w:pPr>
              <w:pStyle w:val="affff6"/>
              <w:ind w:left="-105" w:right="-105"/>
              <w:rPr>
                <w:szCs w:val="18"/>
              </w:rPr>
            </w:pPr>
            <w:r w:rsidRPr="002B55E9">
              <w:rPr>
                <w:rFonts w:hint="eastAsia"/>
                <w:szCs w:val="18"/>
              </w:rPr>
              <w:t>2.8</w:t>
            </w:r>
          </w:p>
        </w:tc>
        <w:tc>
          <w:tcPr>
            <w:tcW w:w="962" w:type="dxa"/>
            <w:shd w:val="clear" w:color="auto" w:fill="auto"/>
            <w:vAlign w:val="center"/>
          </w:tcPr>
          <w:p w14:paraId="4A2A9E48" w14:textId="77777777" w:rsidR="00D170E5" w:rsidRPr="002B55E9" w:rsidRDefault="00EF27AD">
            <w:pPr>
              <w:pStyle w:val="affff6"/>
              <w:ind w:left="-105" w:right="-105"/>
              <w:rPr>
                <w:szCs w:val="18"/>
              </w:rPr>
            </w:pPr>
            <w:r w:rsidRPr="002B55E9">
              <w:rPr>
                <w:rFonts w:hint="eastAsia"/>
                <w:szCs w:val="18"/>
              </w:rPr>
              <w:t>0.28</w:t>
            </w:r>
          </w:p>
        </w:tc>
        <w:tc>
          <w:tcPr>
            <w:tcW w:w="962" w:type="dxa"/>
            <w:shd w:val="clear" w:color="auto" w:fill="auto"/>
            <w:vAlign w:val="center"/>
          </w:tcPr>
          <w:p w14:paraId="60071A2E" w14:textId="77777777" w:rsidR="00D170E5" w:rsidRPr="002B55E9" w:rsidRDefault="00EF27AD">
            <w:pPr>
              <w:pStyle w:val="affff6"/>
              <w:ind w:left="-105" w:right="-105"/>
              <w:rPr>
                <w:szCs w:val="18"/>
              </w:rPr>
            </w:pPr>
            <w:r w:rsidRPr="002B55E9">
              <w:rPr>
                <w:rFonts w:hint="eastAsia"/>
                <w:szCs w:val="18"/>
              </w:rPr>
              <w:t>0</w:t>
            </w:r>
          </w:p>
        </w:tc>
      </w:tr>
      <w:tr w:rsidR="002B55E9" w:rsidRPr="002B55E9" w14:paraId="112ADA6E" w14:textId="77777777" w:rsidTr="006C19DD">
        <w:trPr>
          <w:trHeight w:val="284"/>
          <w:jc w:val="center"/>
        </w:trPr>
        <w:tc>
          <w:tcPr>
            <w:tcW w:w="925" w:type="dxa"/>
            <w:vAlign w:val="center"/>
          </w:tcPr>
          <w:p w14:paraId="69670178" w14:textId="77777777" w:rsidR="00D170E5" w:rsidRPr="002B55E9" w:rsidRDefault="00EF27AD">
            <w:pPr>
              <w:pStyle w:val="affff6"/>
              <w:ind w:left="-105" w:right="-105"/>
              <w:rPr>
                <w:szCs w:val="18"/>
              </w:rPr>
            </w:pPr>
            <w:r w:rsidRPr="002B55E9">
              <w:rPr>
                <w:szCs w:val="18"/>
              </w:rPr>
              <w:t>24</w:t>
            </w:r>
          </w:p>
        </w:tc>
        <w:tc>
          <w:tcPr>
            <w:tcW w:w="3068" w:type="dxa"/>
            <w:vAlign w:val="center"/>
          </w:tcPr>
          <w:p w14:paraId="2FB05161" w14:textId="77777777" w:rsidR="00D170E5" w:rsidRPr="002B55E9" w:rsidRDefault="00EF27AD">
            <w:pPr>
              <w:pStyle w:val="affff6"/>
              <w:ind w:left="-105" w:right="-105"/>
              <w:rPr>
                <w:szCs w:val="18"/>
              </w:rPr>
            </w:pPr>
            <w:r w:rsidRPr="002B55E9">
              <w:rPr>
                <w:rFonts w:hint="eastAsia"/>
                <w:szCs w:val="18"/>
              </w:rPr>
              <w:t>硫酸盐</w:t>
            </w:r>
          </w:p>
        </w:tc>
        <w:tc>
          <w:tcPr>
            <w:tcW w:w="1731" w:type="dxa"/>
            <w:vAlign w:val="center"/>
          </w:tcPr>
          <w:p w14:paraId="1A2EC896" w14:textId="77777777" w:rsidR="00D170E5" w:rsidRPr="002B55E9" w:rsidRDefault="00EF27AD">
            <w:pPr>
              <w:pStyle w:val="affff6"/>
              <w:ind w:left="-105" w:right="-105"/>
              <w:rPr>
                <w:szCs w:val="18"/>
              </w:rPr>
            </w:pPr>
            <w:r w:rsidRPr="002B55E9">
              <w:rPr>
                <w:rFonts w:hint="eastAsia"/>
                <w:szCs w:val="18"/>
              </w:rPr>
              <w:t>3</w:t>
            </w:r>
            <w:r w:rsidRPr="002B55E9">
              <w:rPr>
                <w:szCs w:val="18"/>
              </w:rPr>
              <w:t>50</w:t>
            </w:r>
          </w:p>
        </w:tc>
        <w:tc>
          <w:tcPr>
            <w:tcW w:w="962" w:type="dxa"/>
            <w:vAlign w:val="center"/>
          </w:tcPr>
          <w:p w14:paraId="0FD1EDE0" w14:textId="77777777" w:rsidR="00D170E5" w:rsidRPr="002B55E9" w:rsidRDefault="00EF27AD">
            <w:pPr>
              <w:pStyle w:val="affff6"/>
              <w:ind w:left="-105" w:right="-105"/>
              <w:rPr>
                <w:szCs w:val="18"/>
              </w:rPr>
            </w:pPr>
            <w:r w:rsidRPr="002B55E9">
              <w:rPr>
                <w:rFonts w:hint="eastAsia"/>
                <w:szCs w:val="18"/>
              </w:rPr>
              <w:t>47.3</w:t>
            </w:r>
          </w:p>
        </w:tc>
        <w:tc>
          <w:tcPr>
            <w:tcW w:w="769" w:type="dxa"/>
            <w:vAlign w:val="center"/>
          </w:tcPr>
          <w:p w14:paraId="039F5384" w14:textId="77777777" w:rsidR="00D170E5" w:rsidRPr="002B55E9" w:rsidRDefault="00EF27AD">
            <w:pPr>
              <w:pStyle w:val="affff6"/>
              <w:ind w:left="-105" w:right="-105"/>
              <w:rPr>
                <w:szCs w:val="18"/>
              </w:rPr>
            </w:pPr>
            <w:r w:rsidRPr="002B55E9">
              <w:rPr>
                <w:rFonts w:hint="eastAsia"/>
                <w:szCs w:val="18"/>
              </w:rPr>
              <w:t>0.135</w:t>
            </w:r>
          </w:p>
        </w:tc>
        <w:tc>
          <w:tcPr>
            <w:tcW w:w="962" w:type="dxa"/>
            <w:shd w:val="clear" w:color="auto" w:fill="auto"/>
            <w:vAlign w:val="center"/>
          </w:tcPr>
          <w:p w14:paraId="125397B8"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2BF01A21" w14:textId="77777777" w:rsidR="00D170E5" w:rsidRPr="002B55E9" w:rsidRDefault="00EF27AD">
            <w:pPr>
              <w:pStyle w:val="affff6"/>
              <w:ind w:left="-105" w:right="-105"/>
              <w:rPr>
                <w:szCs w:val="18"/>
              </w:rPr>
            </w:pPr>
            <w:r w:rsidRPr="002B55E9">
              <w:rPr>
                <w:rFonts w:hint="eastAsia"/>
                <w:szCs w:val="18"/>
              </w:rPr>
              <w:t>61.8</w:t>
            </w:r>
          </w:p>
        </w:tc>
        <w:tc>
          <w:tcPr>
            <w:tcW w:w="962" w:type="dxa"/>
            <w:shd w:val="clear" w:color="auto" w:fill="auto"/>
            <w:vAlign w:val="center"/>
          </w:tcPr>
          <w:p w14:paraId="352724E1" w14:textId="77777777" w:rsidR="00D170E5" w:rsidRPr="002B55E9" w:rsidRDefault="00EF27AD">
            <w:pPr>
              <w:pStyle w:val="affff6"/>
              <w:ind w:left="-105" w:right="-105"/>
              <w:rPr>
                <w:szCs w:val="18"/>
              </w:rPr>
            </w:pPr>
            <w:r w:rsidRPr="002B55E9">
              <w:rPr>
                <w:rFonts w:hint="eastAsia"/>
                <w:szCs w:val="18"/>
              </w:rPr>
              <w:t>0.1765</w:t>
            </w:r>
          </w:p>
        </w:tc>
        <w:tc>
          <w:tcPr>
            <w:tcW w:w="962" w:type="dxa"/>
            <w:shd w:val="clear" w:color="auto" w:fill="auto"/>
            <w:vAlign w:val="center"/>
          </w:tcPr>
          <w:p w14:paraId="39BE8AC1" w14:textId="77777777" w:rsidR="00D170E5" w:rsidRPr="002B55E9" w:rsidRDefault="00EF27AD">
            <w:pPr>
              <w:pStyle w:val="affff6"/>
              <w:ind w:left="-105" w:right="-105"/>
              <w:rPr>
                <w:szCs w:val="18"/>
              </w:rPr>
            </w:pPr>
            <w:r w:rsidRPr="002B55E9">
              <w:rPr>
                <w:rFonts w:hint="eastAsia"/>
                <w:szCs w:val="18"/>
              </w:rPr>
              <w:t>0</w:t>
            </w:r>
          </w:p>
        </w:tc>
        <w:tc>
          <w:tcPr>
            <w:tcW w:w="1153" w:type="dxa"/>
            <w:shd w:val="clear" w:color="auto" w:fill="auto"/>
            <w:vAlign w:val="center"/>
          </w:tcPr>
          <w:p w14:paraId="5DDDDEBC" w14:textId="77777777" w:rsidR="00D170E5" w:rsidRPr="002B55E9" w:rsidRDefault="00EF27AD">
            <w:pPr>
              <w:pStyle w:val="affff6"/>
              <w:ind w:left="-105" w:right="-105"/>
              <w:rPr>
                <w:szCs w:val="18"/>
              </w:rPr>
            </w:pPr>
            <w:r w:rsidRPr="002B55E9">
              <w:rPr>
                <w:rFonts w:hint="eastAsia"/>
                <w:szCs w:val="18"/>
              </w:rPr>
              <w:t>44.7</w:t>
            </w:r>
          </w:p>
        </w:tc>
        <w:tc>
          <w:tcPr>
            <w:tcW w:w="962" w:type="dxa"/>
            <w:shd w:val="clear" w:color="auto" w:fill="auto"/>
            <w:vAlign w:val="center"/>
          </w:tcPr>
          <w:p w14:paraId="23B6BD39" w14:textId="77777777" w:rsidR="00D170E5" w:rsidRPr="002B55E9" w:rsidRDefault="00EF27AD">
            <w:pPr>
              <w:pStyle w:val="affff6"/>
              <w:ind w:left="-105" w:right="-105"/>
              <w:rPr>
                <w:szCs w:val="18"/>
              </w:rPr>
            </w:pPr>
            <w:r w:rsidRPr="002B55E9">
              <w:rPr>
                <w:rFonts w:hint="eastAsia"/>
                <w:szCs w:val="18"/>
              </w:rPr>
              <w:t>0.1277</w:t>
            </w:r>
          </w:p>
        </w:tc>
        <w:tc>
          <w:tcPr>
            <w:tcW w:w="962" w:type="dxa"/>
            <w:shd w:val="clear" w:color="auto" w:fill="auto"/>
            <w:vAlign w:val="center"/>
          </w:tcPr>
          <w:p w14:paraId="3485EEE7" w14:textId="77777777" w:rsidR="00D170E5" w:rsidRPr="002B55E9" w:rsidRDefault="00EF27AD">
            <w:pPr>
              <w:pStyle w:val="affff6"/>
              <w:ind w:left="-105" w:right="-105"/>
              <w:rPr>
                <w:szCs w:val="18"/>
              </w:rPr>
            </w:pPr>
            <w:r w:rsidRPr="002B55E9">
              <w:rPr>
                <w:rFonts w:hint="eastAsia"/>
                <w:szCs w:val="18"/>
              </w:rPr>
              <w:t>0</w:t>
            </w:r>
          </w:p>
        </w:tc>
      </w:tr>
      <w:tr w:rsidR="002B55E9" w:rsidRPr="002B55E9" w14:paraId="271BB26A" w14:textId="77777777" w:rsidTr="006C19DD">
        <w:trPr>
          <w:trHeight w:val="284"/>
          <w:jc w:val="center"/>
        </w:trPr>
        <w:tc>
          <w:tcPr>
            <w:tcW w:w="925" w:type="dxa"/>
            <w:vAlign w:val="center"/>
          </w:tcPr>
          <w:p w14:paraId="340A5E84" w14:textId="77777777" w:rsidR="00D170E5" w:rsidRPr="002B55E9" w:rsidRDefault="00EF27AD">
            <w:pPr>
              <w:pStyle w:val="affff6"/>
              <w:ind w:left="-105" w:right="-105"/>
              <w:rPr>
                <w:szCs w:val="18"/>
              </w:rPr>
            </w:pPr>
            <w:r w:rsidRPr="002B55E9">
              <w:rPr>
                <w:szCs w:val="18"/>
              </w:rPr>
              <w:t>25</w:t>
            </w:r>
          </w:p>
        </w:tc>
        <w:tc>
          <w:tcPr>
            <w:tcW w:w="3068" w:type="dxa"/>
            <w:vAlign w:val="center"/>
          </w:tcPr>
          <w:p w14:paraId="0CD8BC68" w14:textId="77777777" w:rsidR="00D170E5" w:rsidRPr="002B55E9" w:rsidRDefault="00EF27AD">
            <w:pPr>
              <w:pStyle w:val="affff6"/>
              <w:ind w:left="-105" w:right="-105"/>
              <w:rPr>
                <w:szCs w:val="18"/>
              </w:rPr>
            </w:pPr>
            <w:r w:rsidRPr="002B55E9">
              <w:rPr>
                <w:rFonts w:hint="eastAsia"/>
                <w:szCs w:val="18"/>
              </w:rPr>
              <w:t>氯化物</w:t>
            </w:r>
          </w:p>
        </w:tc>
        <w:tc>
          <w:tcPr>
            <w:tcW w:w="1731" w:type="dxa"/>
            <w:vAlign w:val="center"/>
          </w:tcPr>
          <w:p w14:paraId="71C09C13" w14:textId="77777777" w:rsidR="00D170E5" w:rsidRPr="002B55E9" w:rsidRDefault="00EF27AD">
            <w:pPr>
              <w:pStyle w:val="affff6"/>
              <w:ind w:left="-105" w:right="-105"/>
              <w:rPr>
                <w:szCs w:val="18"/>
              </w:rPr>
            </w:pPr>
            <w:r w:rsidRPr="002B55E9">
              <w:rPr>
                <w:rFonts w:hint="eastAsia"/>
                <w:szCs w:val="18"/>
              </w:rPr>
              <w:t>3</w:t>
            </w:r>
            <w:r w:rsidRPr="002B55E9">
              <w:rPr>
                <w:szCs w:val="18"/>
              </w:rPr>
              <w:t>50</w:t>
            </w:r>
          </w:p>
        </w:tc>
        <w:tc>
          <w:tcPr>
            <w:tcW w:w="962" w:type="dxa"/>
            <w:vAlign w:val="center"/>
          </w:tcPr>
          <w:p w14:paraId="05306AE2" w14:textId="77777777" w:rsidR="00D170E5" w:rsidRPr="002B55E9" w:rsidRDefault="00EF27AD">
            <w:pPr>
              <w:pStyle w:val="affff6"/>
              <w:ind w:left="-105" w:right="-105"/>
              <w:rPr>
                <w:szCs w:val="18"/>
              </w:rPr>
            </w:pPr>
            <w:r w:rsidRPr="002B55E9">
              <w:rPr>
                <w:rFonts w:hint="eastAsia"/>
                <w:szCs w:val="18"/>
              </w:rPr>
              <w:t>11.0</w:t>
            </w:r>
          </w:p>
        </w:tc>
        <w:tc>
          <w:tcPr>
            <w:tcW w:w="769" w:type="dxa"/>
            <w:vAlign w:val="center"/>
          </w:tcPr>
          <w:p w14:paraId="2D811BD2" w14:textId="77777777" w:rsidR="00D170E5" w:rsidRPr="002B55E9" w:rsidRDefault="00EF27AD">
            <w:pPr>
              <w:pStyle w:val="affff6"/>
              <w:ind w:left="-105" w:right="-105"/>
              <w:rPr>
                <w:szCs w:val="18"/>
              </w:rPr>
            </w:pPr>
            <w:r w:rsidRPr="002B55E9">
              <w:rPr>
                <w:rFonts w:hint="eastAsia"/>
                <w:szCs w:val="18"/>
              </w:rPr>
              <w:t>0.0314</w:t>
            </w:r>
          </w:p>
        </w:tc>
        <w:tc>
          <w:tcPr>
            <w:tcW w:w="962" w:type="dxa"/>
            <w:vAlign w:val="center"/>
          </w:tcPr>
          <w:p w14:paraId="4D151836" w14:textId="77777777" w:rsidR="00D170E5" w:rsidRPr="002B55E9" w:rsidRDefault="00EF27AD">
            <w:pPr>
              <w:pStyle w:val="affff6"/>
              <w:ind w:left="-105" w:right="-105"/>
              <w:rPr>
                <w:szCs w:val="18"/>
              </w:rPr>
            </w:pPr>
            <w:r w:rsidRPr="002B55E9">
              <w:rPr>
                <w:rFonts w:hint="eastAsia"/>
                <w:szCs w:val="18"/>
              </w:rPr>
              <w:t>0</w:t>
            </w:r>
          </w:p>
        </w:tc>
        <w:tc>
          <w:tcPr>
            <w:tcW w:w="1153" w:type="dxa"/>
            <w:vAlign w:val="center"/>
          </w:tcPr>
          <w:p w14:paraId="3D4EB00D" w14:textId="77777777" w:rsidR="00D170E5" w:rsidRPr="002B55E9" w:rsidRDefault="00EF27AD">
            <w:pPr>
              <w:pStyle w:val="affff6"/>
              <w:ind w:left="-105" w:right="-105"/>
              <w:rPr>
                <w:szCs w:val="18"/>
              </w:rPr>
            </w:pPr>
            <w:r w:rsidRPr="002B55E9">
              <w:rPr>
                <w:rFonts w:hint="eastAsia"/>
                <w:szCs w:val="18"/>
              </w:rPr>
              <w:t>4.82</w:t>
            </w:r>
          </w:p>
        </w:tc>
        <w:tc>
          <w:tcPr>
            <w:tcW w:w="962" w:type="dxa"/>
            <w:vAlign w:val="center"/>
          </w:tcPr>
          <w:p w14:paraId="0EC4B3CC" w14:textId="77777777" w:rsidR="00D170E5" w:rsidRPr="002B55E9" w:rsidRDefault="00EF27AD">
            <w:pPr>
              <w:pStyle w:val="affff6"/>
              <w:ind w:left="-105" w:right="-105"/>
              <w:rPr>
                <w:szCs w:val="18"/>
              </w:rPr>
            </w:pPr>
            <w:r w:rsidRPr="002B55E9">
              <w:rPr>
                <w:rFonts w:hint="eastAsia"/>
                <w:szCs w:val="18"/>
              </w:rPr>
              <w:t>0.01377</w:t>
            </w:r>
          </w:p>
        </w:tc>
        <w:tc>
          <w:tcPr>
            <w:tcW w:w="962" w:type="dxa"/>
            <w:vAlign w:val="center"/>
          </w:tcPr>
          <w:p w14:paraId="2B32611E" w14:textId="77777777" w:rsidR="00D170E5" w:rsidRPr="002B55E9" w:rsidRDefault="00EF27AD">
            <w:pPr>
              <w:pStyle w:val="affff6"/>
              <w:ind w:left="-105" w:right="-105"/>
              <w:rPr>
                <w:szCs w:val="18"/>
              </w:rPr>
            </w:pPr>
            <w:r w:rsidRPr="002B55E9">
              <w:rPr>
                <w:rFonts w:hint="eastAsia"/>
                <w:szCs w:val="18"/>
              </w:rPr>
              <w:t>0</w:t>
            </w:r>
          </w:p>
        </w:tc>
        <w:tc>
          <w:tcPr>
            <w:tcW w:w="1153" w:type="dxa"/>
            <w:vAlign w:val="center"/>
          </w:tcPr>
          <w:p w14:paraId="46C484BB" w14:textId="77777777" w:rsidR="00D170E5" w:rsidRPr="002B55E9" w:rsidRDefault="00EF27AD">
            <w:pPr>
              <w:pStyle w:val="affff6"/>
              <w:ind w:left="-105" w:right="-105"/>
              <w:rPr>
                <w:szCs w:val="18"/>
              </w:rPr>
            </w:pPr>
            <w:r w:rsidRPr="002B55E9">
              <w:rPr>
                <w:rFonts w:hint="eastAsia"/>
                <w:szCs w:val="18"/>
              </w:rPr>
              <w:t>26</w:t>
            </w:r>
          </w:p>
        </w:tc>
        <w:tc>
          <w:tcPr>
            <w:tcW w:w="962" w:type="dxa"/>
            <w:vAlign w:val="center"/>
          </w:tcPr>
          <w:p w14:paraId="7C24C2B0" w14:textId="77777777" w:rsidR="00D170E5" w:rsidRPr="002B55E9" w:rsidRDefault="00EF27AD">
            <w:pPr>
              <w:pStyle w:val="affff6"/>
              <w:ind w:left="-105" w:right="-105"/>
              <w:rPr>
                <w:szCs w:val="18"/>
              </w:rPr>
            </w:pPr>
            <w:r w:rsidRPr="002B55E9">
              <w:rPr>
                <w:rFonts w:hint="eastAsia"/>
                <w:szCs w:val="18"/>
              </w:rPr>
              <w:t>0.07428</w:t>
            </w:r>
          </w:p>
        </w:tc>
        <w:tc>
          <w:tcPr>
            <w:tcW w:w="962" w:type="dxa"/>
            <w:vAlign w:val="center"/>
          </w:tcPr>
          <w:p w14:paraId="294DC217" w14:textId="77777777" w:rsidR="00D170E5" w:rsidRPr="002B55E9" w:rsidRDefault="00EF27AD">
            <w:pPr>
              <w:pStyle w:val="affff6"/>
              <w:ind w:left="-105" w:right="-105"/>
              <w:rPr>
                <w:szCs w:val="18"/>
              </w:rPr>
            </w:pPr>
            <w:r w:rsidRPr="002B55E9">
              <w:rPr>
                <w:rFonts w:hint="eastAsia"/>
                <w:szCs w:val="18"/>
              </w:rPr>
              <w:t>0</w:t>
            </w:r>
          </w:p>
        </w:tc>
      </w:tr>
      <w:tr w:rsidR="002B55E9" w:rsidRPr="002B55E9" w14:paraId="3D26D84C" w14:textId="77777777" w:rsidTr="006C19DD">
        <w:trPr>
          <w:trHeight w:val="284"/>
          <w:jc w:val="center"/>
        </w:trPr>
        <w:tc>
          <w:tcPr>
            <w:tcW w:w="925" w:type="dxa"/>
            <w:vAlign w:val="center"/>
          </w:tcPr>
          <w:p w14:paraId="6C985FFA" w14:textId="77777777" w:rsidR="00D170E5" w:rsidRPr="002B55E9" w:rsidRDefault="00EF27AD">
            <w:pPr>
              <w:pStyle w:val="affff6"/>
              <w:ind w:left="-105" w:right="-105"/>
              <w:rPr>
                <w:szCs w:val="18"/>
              </w:rPr>
            </w:pPr>
            <w:r w:rsidRPr="002B55E9">
              <w:rPr>
                <w:szCs w:val="18"/>
              </w:rPr>
              <w:t>26</w:t>
            </w:r>
          </w:p>
        </w:tc>
        <w:tc>
          <w:tcPr>
            <w:tcW w:w="3068" w:type="dxa"/>
            <w:vAlign w:val="center"/>
          </w:tcPr>
          <w:p w14:paraId="2CA6E100" w14:textId="77777777" w:rsidR="00D170E5" w:rsidRPr="002B55E9" w:rsidRDefault="00EF27AD">
            <w:pPr>
              <w:pStyle w:val="affff6"/>
              <w:ind w:left="-105" w:right="-105"/>
              <w:rPr>
                <w:szCs w:val="18"/>
              </w:rPr>
            </w:pPr>
            <w:r w:rsidRPr="002B55E9">
              <w:rPr>
                <w:rFonts w:hint="eastAsia"/>
                <w:szCs w:val="18"/>
              </w:rPr>
              <w:t>总大肠菌群（</w:t>
            </w:r>
            <w:r w:rsidRPr="002B55E9">
              <w:rPr>
                <w:rFonts w:hint="eastAsia"/>
                <w:szCs w:val="18"/>
              </w:rPr>
              <w:t>MPN/100mL</w:t>
            </w:r>
            <w:r w:rsidRPr="002B55E9">
              <w:rPr>
                <w:rFonts w:hint="eastAsia"/>
                <w:szCs w:val="18"/>
              </w:rPr>
              <w:t>）</w:t>
            </w:r>
          </w:p>
        </w:tc>
        <w:tc>
          <w:tcPr>
            <w:tcW w:w="1731" w:type="dxa"/>
            <w:vAlign w:val="center"/>
          </w:tcPr>
          <w:p w14:paraId="19127520" w14:textId="77777777" w:rsidR="00D170E5" w:rsidRPr="002B55E9" w:rsidRDefault="00EF27AD">
            <w:pPr>
              <w:pStyle w:val="affff6"/>
              <w:ind w:left="-105" w:right="-105"/>
              <w:rPr>
                <w:szCs w:val="18"/>
              </w:rPr>
            </w:pPr>
            <w:r w:rsidRPr="002B55E9">
              <w:rPr>
                <w:rFonts w:hint="eastAsia"/>
                <w:szCs w:val="18"/>
              </w:rPr>
              <w:t>100</w:t>
            </w:r>
          </w:p>
        </w:tc>
        <w:tc>
          <w:tcPr>
            <w:tcW w:w="962" w:type="dxa"/>
            <w:tcBorders>
              <w:bottom w:val="single" w:sz="4" w:space="0" w:color="auto"/>
            </w:tcBorders>
            <w:vAlign w:val="center"/>
          </w:tcPr>
          <w:p w14:paraId="742401F9" w14:textId="77777777" w:rsidR="00D170E5" w:rsidRPr="002B55E9" w:rsidRDefault="00EF27AD">
            <w:pPr>
              <w:pStyle w:val="affff6"/>
              <w:ind w:left="-105" w:right="-105"/>
              <w:rPr>
                <w:szCs w:val="18"/>
              </w:rPr>
            </w:pPr>
            <w:r w:rsidRPr="002B55E9">
              <w:rPr>
                <w:szCs w:val="18"/>
              </w:rPr>
              <w:t>＜</w:t>
            </w:r>
            <w:r w:rsidRPr="002B55E9">
              <w:rPr>
                <w:rFonts w:hint="eastAsia"/>
                <w:szCs w:val="18"/>
              </w:rPr>
              <w:t>2</w:t>
            </w:r>
          </w:p>
        </w:tc>
        <w:tc>
          <w:tcPr>
            <w:tcW w:w="769" w:type="dxa"/>
            <w:tcBorders>
              <w:bottom w:val="single" w:sz="4" w:space="0" w:color="auto"/>
            </w:tcBorders>
            <w:vAlign w:val="center"/>
          </w:tcPr>
          <w:p w14:paraId="246C93E3" w14:textId="77777777" w:rsidR="00D170E5" w:rsidRPr="002B55E9" w:rsidRDefault="00EF27AD">
            <w:pPr>
              <w:pStyle w:val="affff6"/>
              <w:ind w:left="-105" w:right="-105"/>
              <w:rPr>
                <w:szCs w:val="18"/>
              </w:rPr>
            </w:pPr>
            <w:r w:rsidRPr="002B55E9">
              <w:rPr>
                <w:rFonts w:hint="eastAsia"/>
                <w:szCs w:val="18"/>
              </w:rPr>
              <w:t>/</w:t>
            </w:r>
          </w:p>
        </w:tc>
        <w:tc>
          <w:tcPr>
            <w:tcW w:w="962" w:type="dxa"/>
            <w:tcBorders>
              <w:bottom w:val="single" w:sz="4" w:space="0" w:color="auto"/>
            </w:tcBorders>
            <w:vAlign w:val="center"/>
          </w:tcPr>
          <w:p w14:paraId="74722AA0" w14:textId="77777777" w:rsidR="00D170E5" w:rsidRPr="002B55E9" w:rsidRDefault="00EF27AD">
            <w:pPr>
              <w:pStyle w:val="affff6"/>
              <w:ind w:left="-105" w:right="-105"/>
              <w:rPr>
                <w:szCs w:val="18"/>
              </w:rPr>
            </w:pPr>
            <w:r w:rsidRPr="002B55E9">
              <w:rPr>
                <w:rFonts w:hint="eastAsia"/>
                <w:szCs w:val="18"/>
              </w:rPr>
              <w:t>0</w:t>
            </w:r>
          </w:p>
        </w:tc>
        <w:tc>
          <w:tcPr>
            <w:tcW w:w="1153" w:type="dxa"/>
            <w:tcBorders>
              <w:bottom w:val="single" w:sz="4" w:space="0" w:color="auto"/>
            </w:tcBorders>
            <w:vAlign w:val="center"/>
          </w:tcPr>
          <w:p w14:paraId="5ADA410C" w14:textId="77777777" w:rsidR="00D170E5" w:rsidRPr="002B55E9" w:rsidRDefault="00EF27AD">
            <w:pPr>
              <w:pStyle w:val="affff6"/>
              <w:ind w:left="-105" w:right="-105"/>
              <w:rPr>
                <w:szCs w:val="18"/>
              </w:rPr>
            </w:pPr>
            <w:r w:rsidRPr="002B55E9">
              <w:rPr>
                <w:szCs w:val="18"/>
              </w:rPr>
              <w:t>＜</w:t>
            </w:r>
            <w:r w:rsidRPr="002B55E9">
              <w:rPr>
                <w:rFonts w:hint="eastAsia"/>
                <w:szCs w:val="18"/>
              </w:rPr>
              <w:t>2</w:t>
            </w:r>
          </w:p>
        </w:tc>
        <w:tc>
          <w:tcPr>
            <w:tcW w:w="962" w:type="dxa"/>
            <w:tcBorders>
              <w:bottom w:val="single" w:sz="4" w:space="0" w:color="auto"/>
            </w:tcBorders>
            <w:vAlign w:val="center"/>
          </w:tcPr>
          <w:p w14:paraId="01FE4C32" w14:textId="77777777" w:rsidR="00D170E5" w:rsidRPr="002B55E9" w:rsidRDefault="00EF27AD">
            <w:pPr>
              <w:pStyle w:val="affff6"/>
              <w:ind w:left="-105" w:right="-105"/>
              <w:rPr>
                <w:szCs w:val="18"/>
              </w:rPr>
            </w:pPr>
            <w:r w:rsidRPr="002B55E9">
              <w:rPr>
                <w:rFonts w:hint="eastAsia"/>
                <w:szCs w:val="18"/>
              </w:rPr>
              <w:t>/</w:t>
            </w:r>
          </w:p>
        </w:tc>
        <w:tc>
          <w:tcPr>
            <w:tcW w:w="962" w:type="dxa"/>
            <w:tcBorders>
              <w:bottom w:val="single" w:sz="4" w:space="0" w:color="auto"/>
            </w:tcBorders>
            <w:vAlign w:val="center"/>
          </w:tcPr>
          <w:p w14:paraId="13BDBDAF" w14:textId="77777777" w:rsidR="00D170E5" w:rsidRPr="002B55E9" w:rsidRDefault="00EF27AD">
            <w:pPr>
              <w:pStyle w:val="affff6"/>
              <w:ind w:left="-105" w:right="-105"/>
              <w:rPr>
                <w:szCs w:val="18"/>
              </w:rPr>
            </w:pPr>
            <w:r w:rsidRPr="002B55E9">
              <w:rPr>
                <w:rFonts w:hint="eastAsia"/>
                <w:szCs w:val="18"/>
              </w:rPr>
              <w:t>0</w:t>
            </w:r>
          </w:p>
        </w:tc>
        <w:tc>
          <w:tcPr>
            <w:tcW w:w="1153" w:type="dxa"/>
            <w:tcBorders>
              <w:bottom w:val="single" w:sz="4" w:space="0" w:color="auto"/>
            </w:tcBorders>
            <w:vAlign w:val="center"/>
          </w:tcPr>
          <w:p w14:paraId="712299CC" w14:textId="77777777" w:rsidR="00D170E5" w:rsidRPr="002B55E9" w:rsidRDefault="00EF27AD">
            <w:pPr>
              <w:pStyle w:val="affff6"/>
              <w:ind w:left="-105" w:right="-105"/>
              <w:rPr>
                <w:szCs w:val="18"/>
              </w:rPr>
            </w:pPr>
            <w:r w:rsidRPr="002B55E9">
              <w:rPr>
                <w:szCs w:val="18"/>
              </w:rPr>
              <w:t>＜</w:t>
            </w:r>
            <w:r w:rsidRPr="002B55E9">
              <w:rPr>
                <w:rFonts w:hint="eastAsia"/>
                <w:szCs w:val="18"/>
              </w:rPr>
              <w:t>2</w:t>
            </w:r>
          </w:p>
        </w:tc>
        <w:tc>
          <w:tcPr>
            <w:tcW w:w="962" w:type="dxa"/>
            <w:tcBorders>
              <w:bottom w:val="single" w:sz="4" w:space="0" w:color="auto"/>
            </w:tcBorders>
            <w:vAlign w:val="center"/>
          </w:tcPr>
          <w:p w14:paraId="577312EE" w14:textId="77777777" w:rsidR="00D170E5" w:rsidRPr="002B55E9" w:rsidRDefault="00EF27AD">
            <w:pPr>
              <w:pStyle w:val="affff6"/>
              <w:ind w:left="-105" w:right="-105"/>
              <w:rPr>
                <w:szCs w:val="18"/>
              </w:rPr>
            </w:pPr>
            <w:r w:rsidRPr="002B55E9">
              <w:rPr>
                <w:rFonts w:hint="eastAsia"/>
                <w:szCs w:val="18"/>
              </w:rPr>
              <w:t>/</w:t>
            </w:r>
          </w:p>
        </w:tc>
        <w:tc>
          <w:tcPr>
            <w:tcW w:w="962" w:type="dxa"/>
            <w:tcBorders>
              <w:bottom w:val="single" w:sz="4" w:space="0" w:color="auto"/>
            </w:tcBorders>
            <w:vAlign w:val="center"/>
          </w:tcPr>
          <w:p w14:paraId="74AA1CFC" w14:textId="77777777" w:rsidR="00D170E5" w:rsidRPr="002B55E9" w:rsidRDefault="00EF27AD">
            <w:pPr>
              <w:pStyle w:val="affff6"/>
              <w:ind w:left="-105" w:right="-105"/>
              <w:rPr>
                <w:szCs w:val="18"/>
              </w:rPr>
            </w:pPr>
            <w:r w:rsidRPr="002B55E9">
              <w:rPr>
                <w:rFonts w:hint="eastAsia"/>
                <w:szCs w:val="18"/>
              </w:rPr>
              <w:t>0</w:t>
            </w:r>
          </w:p>
        </w:tc>
      </w:tr>
      <w:tr w:rsidR="002B55E9" w:rsidRPr="002B55E9" w14:paraId="588C62F6" w14:textId="77777777" w:rsidTr="006C19DD">
        <w:trPr>
          <w:trHeight w:val="284"/>
          <w:jc w:val="center"/>
        </w:trPr>
        <w:tc>
          <w:tcPr>
            <w:tcW w:w="925" w:type="dxa"/>
            <w:shd w:val="clear" w:color="auto" w:fill="auto"/>
            <w:vAlign w:val="center"/>
          </w:tcPr>
          <w:p w14:paraId="1644B30E" w14:textId="77777777" w:rsidR="00D170E5" w:rsidRPr="002B55E9" w:rsidRDefault="00EF27AD">
            <w:pPr>
              <w:pStyle w:val="affff6"/>
              <w:ind w:left="-105" w:right="-105"/>
              <w:rPr>
                <w:szCs w:val="18"/>
              </w:rPr>
            </w:pPr>
            <w:r w:rsidRPr="002B55E9">
              <w:rPr>
                <w:szCs w:val="18"/>
              </w:rPr>
              <w:t>27</w:t>
            </w:r>
          </w:p>
        </w:tc>
        <w:tc>
          <w:tcPr>
            <w:tcW w:w="3068" w:type="dxa"/>
            <w:shd w:val="clear" w:color="auto" w:fill="auto"/>
            <w:vAlign w:val="center"/>
          </w:tcPr>
          <w:p w14:paraId="6495D296" w14:textId="77777777" w:rsidR="00D170E5" w:rsidRPr="002B55E9" w:rsidRDefault="00EF27AD">
            <w:pPr>
              <w:pStyle w:val="affff6"/>
              <w:ind w:left="-105" w:right="-105"/>
              <w:rPr>
                <w:szCs w:val="18"/>
              </w:rPr>
            </w:pPr>
            <w:r w:rsidRPr="002B55E9">
              <w:rPr>
                <w:rFonts w:hint="eastAsia"/>
                <w:szCs w:val="18"/>
              </w:rPr>
              <w:t>细菌总数（</w:t>
            </w:r>
            <w:r w:rsidRPr="002B55E9">
              <w:rPr>
                <w:rFonts w:hint="eastAsia"/>
                <w:szCs w:val="18"/>
              </w:rPr>
              <w:t>CFU/mL</w:t>
            </w:r>
            <w:r w:rsidRPr="002B55E9">
              <w:rPr>
                <w:rFonts w:hint="eastAsia"/>
                <w:szCs w:val="18"/>
              </w:rPr>
              <w:t>）</w:t>
            </w:r>
          </w:p>
        </w:tc>
        <w:tc>
          <w:tcPr>
            <w:tcW w:w="1731" w:type="dxa"/>
            <w:shd w:val="clear" w:color="auto" w:fill="auto"/>
            <w:vAlign w:val="center"/>
          </w:tcPr>
          <w:p w14:paraId="62BCAEAA" w14:textId="77777777" w:rsidR="00D170E5" w:rsidRPr="002B55E9" w:rsidRDefault="00EF27AD">
            <w:pPr>
              <w:pStyle w:val="affff6"/>
              <w:ind w:left="-105" w:right="-105"/>
              <w:rPr>
                <w:szCs w:val="18"/>
              </w:rPr>
            </w:pPr>
            <w:r w:rsidRPr="002B55E9">
              <w:rPr>
                <w:rFonts w:hint="eastAsia"/>
                <w:szCs w:val="18"/>
              </w:rPr>
              <w:t>1000</w:t>
            </w:r>
          </w:p>
        </w:tc>
        <w:tc>
          <w:tcPr>
            <w:tcW w:w="962" w:type="dxa"/>
            <w:tcBorders>
              <w:top w:val="single" w:sz="4" w:space="0" w:color="auto"/>
              <w:bottom w:val="single" w:sz="12" w:space="0" w:color="auto"/>
            </w:tcBorders>
            <w:shd w:val="clear" w:color="auto" w:fill="auto"/>
            <w:vAlign w:val="center"/>
          </w:tcPr>
          <w:p w14:paraId="7B85985B" w14:textId="77777777" w:rsidR="00D170E5" w:rsidRPr="002B55E9" w:rsidRDefault="00EF27AD">
            <w:pPr>
              <w:pStyle w:val="affff6"/>
              <w:ind w:left="-105" w:right="-105"/>
              <w:rPr>
                <w:szCs w:val="18"/>
              </w:rPr>
            </w:pPr>
            <w:r w:rsidRPr="002B55E9">
              <w:rPr>
                <w:rFonts w:hint="eastAsia"/>
                <w:szCs w:val="18"/>
              </w:rPr>
              <w:t>89</w:t>
            </w:r>
          </w:p>
        </w:tc>
        <w:tc>
          <w:tcPr>
            <w:tcW w:w="769" w:type="dxa"/>
            <w:tcBorders>
              <w:top w:val="single" w:sz="4" w:space="0" w:color="auto"/>
              <w:bottom w:val="single" w:sz="12" w:space="0" w:color="auto"/>
            </w:tcBorders>
            <w:shd w:val="clear" w:color="auto" w:fill="auto"/>
            <w:vAlign w:val="center"/>
          </w:tcPr>
          <w:p w14:paraId="4F32CAC7" w14:textId="77777777" w:rsidR="00D170E5" w:rsidRPr="002B55E9" w:rsidRDefault="00EF27AD">
            <w:pPr>
              <w:pStyle w:val="affff6"/>
              <w:ind w:left="-105" w:right="-105"/>
              <w:rPr>
                <w:szCs w:val="18"/>
              </w:rPr>
            </w:pPr>
            <w:r w:rsidRPr="002B55E9">
              <w:rPr>
                <w:rFonts w:hint="eastAsia"/>
                <w:szCs w:val="18"/>
              </w:rPr>
              <w:t>0.089</w:t>
            </w:r>
          </w:p>
        </w:tc>
        <w:tc>
          <w:tcPr>
            <w:tcW w:w="962" w:type="dxa"/>
            <w:tcBorders>
              <w:top w:val="single" w:sz="4" w:space="0" w:color="auto"/>
              <w:bottom w:val="single" w:sz="12" w:space="0" w:color="auto"/>
            </w:tcBorders>
            <w:shd w:val="clear" w:color="auto" w:fill="auto"/>
            <w:vAlign w:val="center"/>
          </w:tcPr>
          <w:p w14:paraId="6A9A0789" w14:textId="77777777" w:rsidR="00D170E5" w:rsidRPr="002B55E9" w:rsidRDefault="00EF27AD">
            <w:pPr>
              <w:pStyle w:val="affff6"/>
              <w:ind w:left="-105" w:right="-105"/>
              <w:rPr>
                <w:szCs w:val="18"/>
              </w:rPr>
            </w:pPr>
            <w:r w:rsidRPr="002B55E9">
              <w:rPr>
                <w:rFonts w:hint="eastAsia"/>
                <w:szCs w:val="18"/>
              </w:rPr>
              <w:t>0</w:t>
            </w:r>
          </w:p>
        </w:tc>
        <w:tc>
          <w:tcPr>
            <w:tcW w:w="1153" w:type="dxa"/>
            <w:tcBorders>
              <w:top w:val="single" w:sz="4" w:space="0" w:color="auto"/>
              <w:bottom w:val="single" w:sz="12" w:space="0" w:color="auto"/>
            </w:tcBorders>
            <w:shd w:val="clear" w:color="auto" w:fill="auto"/>
            <w:vAlign w:val="center"/>
          </w:tcPr>
          <w:p w14:paraId="32200B68" w14:textId="77777777" w:rsidR="00D170E5" w:rsidRPr="002B55E9" w:rsidRDefault="00EF27AD">
            <w:pPr>
              <w:pStyle w:val="affff6"/>
              <w:ind w:left="-105" w:right="-105"/>
              <w:rPr>
                <w:szCs w:val="18"/>
              </w:rPr>
            </w:pPr>
            <w:r w:rsidRPr="002B55E9">
              <w:rPr>
                <w:rFonts w:hint="eastAsia"/>
                <w:szCs w:val="18"/>
              </w:rPr>
              <w:t>68</w:t>
            </w:r>
          </w:p>
        </w:tc>
        <w:tc>
          <w:tcPr>
            <w:tcW w:w="962" w:type="dxa"/>
            <w:tcBorders>
              <w:top w:val="single" w:sz="4" w:space="0" w:color="auto"/>
              <w:bottom w:val="single" w:sz="12" w:space="0" w:color="auto"/>
            </w:tcBorders>
            <w:shd w:val="clear" w:color="auto" w:fill="auto"/>
            <w:vAlign w:val="center"/>
          </w:tcPr>
          <w:p w14:paraId="12625932" w14:textId="77777777" w:rsidR="00D170E5" w:rsidRPr="002B55E9" w:rsidRDefault="00EF27AD">
            <w:pPr>
              <w:pStyle w:val="affff6"/>
              <w:ind w:left="-105" w:right="-105"/>
              <w:rPr>
                <w:szCs w:val="18"/>
              </w:rPr>
            </w:pPr>
            <w:r w:rsidRPr="002B55E9">
              <w:rPr>
                <w:rFonts w:hint="eastAsia"/>
                <w:szCs w:val="18"/>
              </w:rPr>
              <w:t>0.068</w:t>
            </w:r>
          </w:p>
        </w:tc>
        <w:tc>
          <w:tcPr>
            <w:tcW w:w="962" w:type="dxa"/>
            <w:tcBorders>
              <w:top w:val="single" w:sz="4" w:space="0" w:color="auto"/>
              <w:bottom w:val="single" w:sz="12" w:space="0" w:color="auto"/>
            </w:tcBorders>
            <w:shd w:val="clear" w:color="auto" w:fill="auto"/>
            <w:vAlign w:val="center"/>
          </w:tcPr>
          <w:p w14:paraId="6204806B" w14:textId="77777777" w:rsidR="00D170E5" w:rsidRPr="002B55E9" w:rsidRDefault="00EF27AD">
            <w:pPr>
              <w:pStyle w:val="affff6"/>
              <w:ind w:left="-105" w:right="-105"/>
              <w:rPr>
                <w:szCs w:val="18"/>
              </w:rPr>
            </w:pPr>
            <w:r w:rsidRPr="002B55E9">
              <w:rPr>
                <w:rFonts w:hint="eastAsia"/>
                <w:szCs w:val="18"/>
              </w:rPr>
              <w:t>0</w:t>
            </w:r>
          </w:p>
        </w:tc>
        <w:tc>
          <w:tcPr>
            <w:tcW w:w="1153" w:type="dxa"/>
            <w:tcBorders>
              <w:top w:val="single" w:sz="4" w:space="0" w:color="auto"/>
              <w:bottom w:val="single" w:sz="12" w:space="0" w:color="auto"/>
            </w:tcBorders>
            <w:shd w:val="clear" w:color="auto" w:fill="auto"/>
            <w:vAlign w:val="center"/>
          </w:tcPr>
          <w:p w14:paraId="61BF7DFB" w14:textId="77777777" w:rsidR="00D170E5" w:rsidRPr="002B55E9" w:rsidRDefault="00EF27AD">
            <w:pPr>
              <w:pStyle w:val="affff6"/>
              <w:ind w:left="-105" w:right="-105"/>
              <w:rPr>
                <w:szCs w:val="18"/>
              </w:rPr>
            </w:pPr>
            <w:r w:rsidRPr="002B55E9">
              <w:rPr>
                <w:rFonts w:hint="eastAsia"/>
                <w:szCs w:val="18"/>
              </w:rPr>
              <w:t>60</w:t>
            </w:r>
          </w:p>
        </w:tc>
        <w:tc>
          <w:tcPr>
            <w:tcW w:w="962" w:type="dxa"/>
            <w:tcBorders>
              <w:top w:val="single" w:sz="4" w:space="0" w:color="auto"/>
              <w:bottom w:val="single" w:sz="12" w:space="0" w:color="auto"/>
            </w:tcBorders>
            <w:shd w:val="clear" w:color="auto" w:fill="auto"/>
            <w:vAlign w:val="center"/>
          </w:tcPr>
          <w:p w14:paraId="0A5102B8" w14:textId="77777777" w:rsidR="00D170E5" w:rsidRPr="002B55E9" w:rsidRDefault="00EF27AD">
            <w:pPr>
              <w:pStyle w:val="affff6"/>
              <w:ind w:left="-105" w:right="-105"/>
              <w:rPr>
                <w:szCs w:val="18"/>
              </w:rPr>
            </w:pPr>
            <w:r w:rsidRPr="002B55E9">
              <w:rPr>
                <w:rFonts w:hint="eastAsia"/>
                <w:szCs w:val="18"/>
              </w:rPr>
              <w:t>0.06</w:t>
            </w:r>
          </w:p>
        </w:tc>
        <w:tc>
          <w:tcPr>
            <w:tcW w:w="962" w:type="dxa"/>
            <w:tcBorders>
              <w:top w:val="single" w:sz="4" w:space="0" w:color="auto"/>
              <w:bottom w:val="single" w:sz="12" w:space="0" w:color="auto"/>
            </w:tcBorders>
            <w:shd w:val="clear" w:color="auto" w:fill="auto"/>
            <w:vAlign w:val="center"/>
          </w:tcPr>
          <w:p w14:paraId="60E1FBF9" w14:textId="77777777" w:rsidR="00D170E5" w:rsidRPr="002B55E9" w:rsidRDefault="00EF27AD">
            <w:pPr>
              <w:pStyle w:val="affff6"/>
              <w:ind w:left="-105" w:right="-105"/>
              <w:rPr>
                <w:szCs w:val="18"/>
              </w:rPr>
            </w:pPr>
            <w:r w:rsidRPr="002B55E9">
              <w:rPr>
                <w:rFonts w:hint="eastAsia"/>
                <w:szCs w:val="18"/>
              </w:rPr>
              <w:t>0</w:t>
            </w:r>
          </w:p>
        </w:tc>
      </w:tr>
    </w:tbl>
    <w:p w14:paraId="1CBD599A" w14:textId="2B279F67" w:rsidR="00D170E5" w:rsidRPr="002B55E9" w:rsidRDefault="00EF27AD">
      <w:pPr>
        <w:rPr>
          <w:sz w:val="18"/>
          <w:szCs w:val="18"/>
        </w:rPr>
      </w:pPr>
      <w:r w:rsidRPr="002B55E9">
        <w:rPr>
          <w:sz w:val="18"/>
          <w:szCs w:val="18"/>
        </w:rPr>
        <w:t>注：</w:t>
      </w:r>
      <w:r w:rsidRPr="002B55E9">
        <w:rPr>
          <w:sz w:val="18"/>
          <w:szCs w:val="18"/>
        </w:rPr>
        <w:t>ND</w:t>
      </w:r>
      <w:r w:rsidRPr="002B55E9">
        <w:rPr>
          <w:sz w:val="18"/>
          <w:szCs w:val="18"/>
        </w:rPr>
        <w:t>表示未检出。</w:t>
      </w:r>
      <w:bookmarkEnd w:id="201"/>
    </w:p>
    <w:bookmarkEnd w:id="197"/>
    <w:bookmarkEnd w:id="198"/>
    <w:bookmarkEnd w:id="199"/>
    <w:p w14:paraId="09C6C43F" w14:textId="77777777" w:rsidR="00D170E5" w:rsidRPr="002B55E9" w:rsidRDefault="00EF27AD">
      <w:pPr>
        <w:pStyle w:val="affff7"/>
      </w:pPr>
      <w:r w:rsidRPr="002B55E9">
        <w:t>由上表监测结果可知，项目所在区域地下水水质指标</w:t>
      </w:r>
      <w:r w:rsidRPr="002B55E9">
        <w:rPr>
          <w:rFonts w:hint="eastAsia"/>
        </w:rPr>
        <w:t>均能满足《地下水质量标准》（</w:t>
      </w:r>
      <w:r w:rsidRPr="002B55E9">
        <w:rPr>
          <w:rFonts w:hint="eastAsia"/>
        </w:rPr>
        <w:t>GB/T14848-2017</w:t>
      </w:r>
      <w:r w:rsidRPr="002B55E9">
        <w:rPr>
          <w:rFonts w:hint="eastAsia"/>
        </w:rPr>
        <w:t>）</w:t>
      </w:r>
      <w:r w:rsidRPr="002B55E9">
        <w:rPr>
          <w:rFonts w:ascii="宋体" w:hAnsi="宋体" w:hint="eastAsia"/>
        </w:rPr>
        <w:t>Ⅳ</w:t>
      </w:r>
      <w:r w:rsidRPr="002B55E9">
        <w:rPr>
          <w:rFonts w:hint="eastAsia"/>
        </w:rPr>
        <w:t>类标准限值要求。</w:t>
      </w:r>
    </w:p>
    <w:p w14:paraId="29635059" w14:textId="77777777" w:rsidR="00D170E5" w:rsidRPr="002B55E9" w:rsidRDefault="00EF27AD">
      <w:pPr>
        <w:pStyle w:val="4"/>
        <w:numPr>
          <w:ilvl w:val="3"/>
          <w:numId w:val="21"/>
        </w:numPr>
        <w:rPr>
          <w:color w:val="auto"/>
        </w:rPr>
      </w:pPr>
      <w:r w:rsidRPr="002B55E9">
        <w:rPr>
          <w:rFonts w:hint="eastAsia"/>
          <w:color w:val="auto"/>
        </w:rPr>
        <w:t>土壤</w:t>
      </w:r>
    </w:p>
    <w:p w14:paraId="620E274B" w14:textId="77777777" w:rsidR="00D170E5" w:rsidRPr="002B55E9" w:rsidRDefault="00EF27AD">
      <w:pPr>
        <w:adjustRightInd w:val="0"/>
        <w:snapToGrid w:val="0"/>
        <w:spacing w:line="360" w:lineRule="auto"/>
        <w:ind w:firstLineChars="200" w:firstLine="480"/>
        <w:rPr>
          <w:bCs/>
          <w:snapToGrid w:val="0"/>
          <w:sz w:val="24"/>
        </w:rPr>
      </w:pPr>
      <w:r w:rsidRPr="002B55E9">
        <w:rPr>
          <w:rFonts w:hint="eastAsia"/>
          <w:bCs/>
          <w:snapToGrid w:val="0"/>
          <w:sz w:val="24"/>
        </w:rPr>
        <w:t>项目土壤环境影响评价项目类别为</w:t>
      </w:r>
      <w:r w:rsidRPr="002B55E9">
        <w:rPr>
          <w:rFonts w:ascii="宋体" w:hAnsi="宋体" w:hint="eastAsia"/>
          <w:bCs/>
          <w:snapToGrid w:val="0"/>
          <w:sz w:val="24"/>
        </w:rPr>
        <w:t>Ⅳ</w:t>
      </w:r>
      <w:r w:rsidRPr="002B55E9">
        <w:rPr>
          <w:rFonts w:hint="eastAsia"/>
          <w:bCs/>
          <w:snapToGrid w:val="0"/>
          <w:sz w:val="24"/>
        </w:rPr>
        <w:t>类，可不开展土壤环境影响评价。</w:t>
      </w:r>
    </w:p>
    <w:p w14:paraId="54065497" w14:textId="77777777" w:rsidR="00D170E5" w:rsidRPr="002B55E9" w:rsidRDefault="00EF27AD">
      <w:pPr>
        <w:pStyle w:val="4"/>
        <w:numPr>
          <w:ilvl w:val="3"/>
          <w:numId w:val="21"/>
        </w:numPr>
        <w:rPr>
          <w:color w:val="auto"/>
        </w:rPr>
      </w:pPr>
      <w:r w:rsidRPr="002B55E9">
        <w:rPr>
          <w:rFonts w:hint="eastAsia"/>
          <w:color w:val="auto"/>
        </w:rPr>
        <w:t>小结及主要环境问题</w:t>
      </w:r>
    </w:p>
    <w:p w14:paraId="11E817B9" w14:textId="327A1B92" w:rsidR="00D170E5" w:rsidRPr="002B55E9" w:rsidRDefault="00EF27AD">
      <w:pPr>
        <w:pStyle w:val="affff7"/>
        <w:snapToGrid w:val="0"/>
        <w:spacing w:after="0"/>
      </w:pPr>
      <w:r w:rsidRPr="002B55E9">
        <w:t>由前述环境质量监测结果表明，</w:t>
      </w:r>
      <w:bookmarkStart w:id="202" w:name="_Hlk81410987"/>
      <w:r w:rsidRPr="002B55E9">
        <w:t>2021</w:t>
      </w:r>
      <w:r w:rsidRPr="002B55E9">
        <w:rPr>
          <w:rFonts w:hint="eastAsia"/>
          <w:szCs w:val="24"/>
        </w:rPr>
        <w:t>年区域国控点吴家山监测点环境</w:t>
      </w:r>
      <w:r w:rsidRPr="002B55E9">
        <w:rPr>
          <w:szCs w:val="24"/>
        </w:rPr>
        <w:t>空气质量</w:t>
      </w:r>
      <w:r w:rsidRPr="002B55E9">
        <w:rPr>
          <w:rFonts w:hint="eastAsia"/>
          <w:szCs w:val="24"/>
        </w:rPr>
        <w:t>基本</w:t>
      </w:r>
      <w:r w:rsidRPr="002B55E9">
        <w:rPr>
          <w:szCs w:val="24"/>
        </w:rPr>
        <w:t>因子</w:t>
      </w:r>
      <w:r w:rsidRPr="002B55E9">
        <w:rPr>
          <w:rFonts w:hint="eastAsia"/>
          <w:szCs w:val="24"/>
        </w:rPr>
        <w:t>均能满足</w:t>
      </w:r>
      <w:r w:rsidRPr="002B55E9">
        <w:rPr>
          <w:rFonts w:hint="eastAsia"/>
        </w:rPr>
        <w:t>《环境空气质量标准》（</w:t>
      </w:r>
      <w:r w:rsidRPr="002B55E9">
        <w:rPr>
          <w:rFonts w:hint="eastAsia"/>
        </w:rPr>
        <w:t>GB3095-2012</w:t>
      </w:r>
      <w:r w:rsidRPr="002B55E9">
        <w:rPr>
          <w:rFonts w:hint="eastAsia"/>
        </w:rPr>
        <w:t>）及其修改单二级标准的要求，</w:t>
      </w:r>
      <w:r w:rsidRPr="002B55E9">
        <w:rPr>
          <w:szCs w:val="24"/>
        </w:rPr>
        <w:t>因此判断项目所在区域</w:t>
      </w:r>
      <w:r w:rsidRPr="002B55E9">
        <w:rPr>
          <w:rFonts w:hint="eastAsia"/>
          <w:szCs w:val="24"/>
        </w:rPr>
        <w:t>为</w:t>
      </w:r>
      <w:r w:rsidRPr="002B55E9">
        <w:rPr>
          <w:szCs w:val="24"/>
        </w:rPr>
        <w:t>环境空气质量达标</w:t>
      </w:r>
      <w:r w:rsidRPr="002B55E9">
        <w:rPr>
          <w:rFonts w:hint="eastAsia"/>
          <w:szCs w:val="24"/>
        </w:rPr>
        <w:t>区</w:t>
      </w:r>
      <w:r w:rsidRPr="002B55E9">
        <w:rPr>
          <w:rFonts w:hint="eastAsia"/>
        </w:rPr>
        <w:t>。监测期间</w:t>
      </w:r>
      <w:r w:rsidRPr="002B55E9">
        <w:t>特征因子</w:t>
      </w:r>
      <w:r w:rsidR="007E47F0" w:rsidRPr="002B55E9">
        <w:rPr>
          <w:rFonts w:hint="eastAsia"/>
        </w:rPr>
        <w:t>总挥发性有机物、硫酸、氯化氢、甲醛、氨、硫化氢</w:t>
      </w:r>
      <w:r w:rsidRPr="002B55E9">
        <w:t>监测值能满足《环境影响评价技术导则</w:t>
      </w:r>
      <w:r w:rsidRPr="002B55E9">
        <w:t xml:space="preserve"> </w:t>
      </w:r>
      <w:r w:rsidRPr="002B55E9">
        <w:t>大气环境》（</w:t>
      </w:r>
      <w:r w:rsidRPr="002B55E9">
        <w:t>HJ2.2-2018</w:t>
      </w:r>
      <w:r w:rsidRPr="002B55E9">
        <w:t>）附录</w:t>
      </w:r>
      <w:r w:rsidRPr="002B55E9">
        <w:t>D</w:t>
      </w:r>
      <w:r w:rsidRPr="002B55E9">
        <w:t>要求</w:t>
      </w:r>
      <w:r w:rsidRPr="002B55E9">
        <w:rPr>
          <w:rFonts w:hint="eastAsia"/>
        </w:rPr>
        <w:t>，</w:t>
      </w:r>
      <w:r w:rsidRPr="002B55E9">
        <w:rPr>
          <w:rFonts w:hint="eastAsia"/>
        </w:rPr>
        <w:t>TSP</w:t>
      </w:r>
      <w:r w:rsidRPr="002B55E9">
        <w:rPr>
          <w:rFonts w:hint="eastAsia"/>
        </w:rPr>
        <w:t>能</w:t>
      </w:r>
      <w:r w:rsidRPr="002B55E9">
        <w:t>满足</w:t>
      </w:r>
      <w:r w:rsidRPr="002B55E9">
        <w:rPr>
          <w:rFonts w:hint="eastAsia"/>
        </w:rPr>
        <w:t>《环境空气质量标准》（</w:t>
      </w:r>
      <w:r w:rsidRPr="002B55E9">
        <w:rPr>
          <w:rFonts w:hint="eastAsia"/>
        </w:rPr>
        <w:t>GB3095-2012</w:t>
      </w:r>
      <w:r w:rsidRPr="002B55E9">
        <w:rPr>
          <w:rFonts w:hint="eastAsia"/>
        </w:rPr>
        <w:t>）及其修改单二级标准</w:t>
      </w:r>
      <w:bookmarkEnd w:id="202"/>
      <w:r w:rsidRPr="002B55E9">
        <w:rPr>
          <w:rFonts w:hint="eastAsia"/>
          <w:szCs w:val="24"/>
        </w:rPr>
        <w:t>。</w:t>
      </w:r>
      <w:r w:rsidR="00A23DFA" w:rsidRPr="002B55E9">
        <w:rPr>
          <w:rFonts w:hint="eastAsia"/>
        </w:rPr>
        <w:t>非甲烷总烃可以满足《大气污染综合排放标准详解》中推荐的小时标准限值的要求。</w:t>
      </w:r>
    </w:p>
    <w:p w14:paraId="0FE2D925" w14:textId="2132B917" w:rsidR="00D170E5" w:rsidRPr="002B55E9" w:rsidRDefault="00EF27AD">
      <w:pPr>
        <w:pStyle w:val="affff7"/>
        <w:snapToGrid w:val="0"/>
        <w:spacing w:after="0"/>
      </w:pPr>
      <w:r w:rsidRPr="002B55E9">
        <w:t>项目废水受纳水体</w:t>
      </w:r>
      <w:r w:rsidRPr="002B55E9">
        <w:rPr>
          <w:rFonts w:hint="eastAsia"/>
        </w:rPr>
        <w:t>为府河，</w:t>
      </w:r>
      <w:r w:rsidRPr="002B55E9">
        <w:rPr>
          <w:bCs w:val="0"/>
        </w:rPr>
        <w:t>2021</w:t>
      </w:r>
      <w:r w:rsidRPr="002B55E9">
        <w:rPr>
          <w:rFonts w:hint="eastAsia"/>
          <w:bCs w:val="0"/>
        </w:rPr>
        <w:t>年府河李家墩断面、朱家河口断面、岱山大桥断面各监测指标均能达到《地表水环境质量标准》（</w:t>
      </w:r>
      <w:r w:rsidRPr="002B55E9">
        <w:rPr>
          <w:rFonts w:hint="eastAsia"/>
          <w:bCs w:val="0"/>
        </w:rPr>
        <w:t>G</w:t>
      </w:r>
      <w:r w:rsidRPr="002B55E9">
        <w:rPr>
          <w:bCs w:val="0"/>
        </w:rPr>
        <w:t>B3838-2002</w:t>
      </w:r>
      <w:r w:rsidRPr="002B55E9">
        <w:rPr>
          <w:rFonts w:hint="eastAsia"/>
          <w:bCs w:val="0"/>
        </w:rPr>
        <w:t>）中“</w:t>
      </w:r>
      <w:r w:rsidRPr="002B55E9">
        <w:rPr>
          <w:rFonts w:ascii="宋体" w:hAnsi="宋体" w:hint="eastAsia"/>
          <w:bCs w:val="0"/>
        </w:rPr>
        <w:t>Ⅴ类水质要求</w:t>
      </w:r>
      <w:r w:rsidRPr="002B55E9">
        <w:rPr>
          <w:rFonts w:hint="eastAsia"/>
          <w:bCs w:val="0"/>
        </w:rPr>
        <w:t>”。</w:t>
      </w:r>
    </w:p>
    <w:p w14:paraId="0CB1181E" w14:textId="77777777" w:rsidR="00D170E5" w:rsidRPr="002B55E9" w:rsidRDefault="00EF27AD">
      <w:pPr>
        <w:pStyle w:val="affff7"/>
        <w:snapToGrid w:val="0"/>
        <w:spacing w:after="0"/>
      </w:pPr>
      <w:bookmarkStart w:id="203" w:name="_Hlk81411009"/>
      <w:r w:rsidRPr="002B55E9">
        <w:t>项目</w:t>
      </w:r>
      <w:r w:rsidRPr="002B55E9">
        <w:rPr>
          <w:rFonts w:hint="eastAsia"/>
        </w:rPr>
        <w:t>西、南、北侧厂界处昼、夜声环境质量监测值能满足</w:t>
      </w:r>
      <w:r w:rsidRPr="002B55E9">
        <w:t>《</w:t>
      </w:r>
      <w:r w:rsidRPr="002B55E9">
        <w:rPr>
          <w:rFonts w:hint="eastAsia"/>
        </w:rPr>
        <w:t>声</w:t>
      </w:r>
      <w:r w:rsidRPr="002B55E9">
        <w:t>环境质量标准》</w:t>
      </w:r>
      <w:r w:rsidRPr="002B55E9">
        <w:rPr>
          <w:rFonts w:hint="eastAsia"/>
        </w:rPr>
        <w:t>（</w:t>
      </w:r>
      <w:r w:rsidRPr="002B55E9">
        <w:rPr>
          <w:rFonts w:hint="eastAsia"/>
        </w:rPr>
        <w:t>GB3096-2008</w:t>
      </w:r>
      <w:r w:rsidRPr="002B55E9">
        <w:rPr>
          <w:rFonts w:hint="eastAsia"/>
        </w:rPr>
        <w:t>）“</w:t>
      </w:r>
      <w:r w:rsidRPr="002B55E9">
        <w:t>2</w:t>
      </w:r>
      <w:r w:rsidRPr="002B55E9">
        <w:rPr>
          <w:rFonts w:hint="eastAsia"/>
        </w:rPr>
        <w:t>类”的要求，厂界东侧监测值能满足</w:t>
      </w:r>
      <w:r w:rsidRPr="002B55E9">
        <w:rPr>
          <w:rFonts w:hint="eastAsia"/>
        </w:rPr>
        <w:t>GB3096-2008</w:t>
      </w:r>
      <w:r w:rsidRPr="002B55E9">
        <w:rPr>
          <w:rFonts w:hint="eastAsia"/>
        </w:rPr>
        <w:t>“</w:t>
      </w:r>
      <w:r w:rsidRPr="002B55E9">
        <w:t>4a</w:t>
      </w:r>
      <w:r w:rsidRPr="002B55E9">
        <w:rPr>
          <w:rFonts w:hint="eastAsia"/>
        </w:rPr>
        <w:t>类标准”的要求</w:t>
      </w:r>
      <w:bookmarkEnd w:id="203"/>
      <w:r w:rsidRPr="002B55E9">
        <w:rPr>
          <w:rFonts w:hint="eastAsia"/>
        </w:rPr>
        <w:t>。</w:t>
      </w:r>
    </w:p>
    <w:p w14:paraId="00F6E8CE" w14:textId="77777777" w:rsidR="00D170E5" w:rsidRPr="002B55E9" w:rsidRDefault="00EF27AD">
      <w:pPr>
        <w:pStyle w:val="affff7"/>
        <w:snapToGrid w:val="0"/>
        <w:spacing w:after="0"/>
      </w:pPr>
      <w:bookmarkStart w:id="204" w:name="_Hlk81411023"/>
      <w:r w:rsidRPr="002B55E9">
        <w:rPr>
          <w:rFonts w:hint="eastAsia"/>
        </w:rPr>
        <w:t>项目地下水环境监测指能满足《地下水质量标准》（</w:t>
      </w:r>
      <w:r w:rsidRPr="002B55E9">
        <w:rPr>
          <w:rFonts w:hint="eastAsia"/>
        </w:rPr>
        <w:t>GB/T14848-2017</w:t>
      </w:r>
      <w:r w:rsidRPr="002B55E9">
        <w:rPr>
          <w:rFonts w:hint="eastAsia"/>
        </w:rPr>
        <w:t>）</w:t>
      </w:r>
      <w:r w:rsidRPr="002B55E9">
        <w:rPr>
          <w:rFonts w:ascii="宋体" w:hAnsi="宋体" w:cs="宋体" w:hint="eastAsia"/>
        </w:rPr>
        <w:t>Ⅳ</w:t>
      </w:r>
      <w:r w:rsidRPr="002B55E9">
        <w:rPr>
          <w:rFonts w:hint="eastAsia"/>
        </w:rPr>
        <w:t>类标准限值要求。</w:t>
      </w:r>
      <w:bookmarkEnd w:id="204"/>
    </w:p>
    <w:p w14:paraId="1B4DD944" w14:textId="77777777" w:rsidR="00D170E5" w:rsidRPr="002B55E9" w:rsidRDefault="00D170E5">
      <w:pPr>
        <w:pStyle w:val="affff7"/>
      </w:pPr>
    </w:p>
    <w:p w14:paraId="1494C28D" w14:textId="77777777" w:rsidR="00D170E5" w:rsidRPr="002B55E9" w:rsidRDefault="00D170E5">
      <w:pPr>
        <w:pStyle w:val="affff7"/>
      </w:pPr>
    </w:p>
    <w:p w14:paraId="29F846B8" w14:textId="77777777" w:rsidR="00D170E5" w:rsidRPr="002B55E9" w:rsidRDefault="00D170E5">
      <w:pPr>
        <w:pStyle w:val="affff7"/>
      </w:pPr>
    </w:p>
    <w:p w14:paraId="34BDD879" w14:textId="77777777" w:rsidR="00D170E5" w:rsidRPr="002B55E9" w:rsidRDefault="00D170E5">
      <w:pPr>
        <w:pStyle w:val="affff7"/>
      </w:pPr>
    </w:p>
    <w:bookmarkEnd w:id="175"/>
    <w:bookmarkEnd w:id="176"/>
    <w:bookmarkEnd w:id="177"/>
    <w:p w14:paraId="7226710F" w14:textId="77777777" w:rsidR="00D170E5" w:rsidRPr="002B55E9" w:rsidRDefault="00D170E5">
      <w:pPr>
        <w:pStyle w:val="affff7"/>
        <w:sectPr w:rsidR="00D170E5" w:rsidRPr="002B55E9">
          <w:headerReference w:type="default" r:id="rId40"/>
          <w:pgSz w:w="11905" w:h="16838"/>
          <w:pgMar w:top="1134" w:right="1134" w:bottom="1134" w:left="1134" w:header="737" w:footer="624" w:gutter="0"/>
          <w:cols w:space="720"/>
          <w:docGrid w:linePitch="312"/>
        </w:sectPr>
      </w:pPr>
    </w:p>
    <w:p w14:paraId="47CC3F80" w14:textId="77777777" w:rsidR="00D170E5" w:rsidRPr="002B55E9" w:rsidRDefault="00EF27AD">
      <w:pPr>
        <w:pStyle w:val="2"/>
      </w:pPr>
      <w:bookmarkStart w:id="205" w:name="_Toc121711639"/>
      <w:bookmarkStart w:id="206" w:name="_Toc124238109"/>
      <w:bookmarkStart w:id="207" w:name="_Toc169616442"/>
      <w:bookmarkStart w:id="208" w:name="_Toc119308992"/>
      <w:bookmarkStart w:id="209" w:name="_Toc199925114"/>
      <w:r w:rsidRPr="002B55E9">
        <w:lastRenderedPageBreak/>
        <w:t>环境影响预测与评价</w:t>
      </w:r>
      <w:bookmarkEnd w:id="205"/>
      <w:bookmarkEnd w:id="206"/>
      <w:bookmarkEnd w:id="207"/>
      <w:bookmarkEnd w:id="208"/>
      <w:bookmarkEnd w:id="209"/>
    </w:p>
    <w:p w14:paraId="01ACFB14" w14:textId="77777777" w:rsidR="00D170E5" w:rsidRPr="002B55E9" w:rsidRDefault="00EF27AD">
      <w:pPr>
        <w:pStyle w:val="3"/>
      </w:pPr>
      <w:bookmarkStart w:id="210" w:name="_Toc247186189"/>
      <w:bookmarkStart w:id="211" w:name="_Toc119308993"/>
      <w:bookmarkStart w:id="212" w:name="_Toc199925115"/>
      <w:bookmarkStart w:id="213" w:name="_Toc121711640"/>
      <w:bookmarkStart w:id="214" w:name="_Toc169616443"/>
      <w:bookmarkStart w:id="215" w:name="_Toc124238110"/>
      <w:r w:rsidRPr="002B55E9">
        <w:t>施工期环境影响分析</w:t>
      </w:r>
      <w:bookmarkEnd w:id="210"/>
      <w:bookmarkEnd w:id="211"/>
      <w:bookmarkEnd w:id="212"/>
      <w:bookmarkEnd w:id="213"/>
      <w:bookmarkEnd w:id="214"/>
      <w:bookmarkEnd w:id="215"/>
    </w:p>
    <w:p w14:paraId="6428DF1E" w14:textId="77777777" w:rsidR="00D170E5" w:rsidRPr="002B55E9" w:rsidRDefault="00EF27AD">
      <w:pPr>
        <w:pStyle w:val="affff7"/>
        <w:snapToGrid w:val="0"/>
        <w:spacing w:after="0"/>
      </w:pPr>
      <w:r w:rsidRPr="002B55E9">
        <w:t>施工期主要包括工程用地范围内的地面挖掘、场地平整、修筑道路、土建施工、设备安装、建筑材料运输等活动。主要施工机械包括挖土机、碾压机、起重机、空气压缩机、吊车及各种装修机具等；工程施工所需土石料可就地取材，钢材、水泥、木材及工程设备等由汽车运输进入施工现场。拟建工程厂区施工的基本特点是：场地相对集中，施工总量大，机械化程度高，施工交通条件好，在施工过程中存在污染环境的因素。</w:t>
      </w:r>
    </w:p>
    <w:p w14:paraId="0F046C3A" w14:textId="77777777" w:rsidR="00D170E5" w:rsidRPr="002B55E9" w:rsidRDefault="00EF27AD">
      <w:pPr>
        <w:pStyle w:val="4"/>
        <w:rPr>
          <w:color w:val="auto"/>
        </w:rPr>
      </w:pPr>
      <w:bookmarkStart w:id="216" w:name="_Toc169616444"/>
      <w:r w:rsidRPr="002B55E9">
        <w:rPr>
          <w:color w:val="auto"/>
        </w:rPr>
        <w:t>施工期大气污染影响简析</w:t>
      </w:r>
      <w:bookmarkEnd w:id="216"/>
    </w:p>
    <w:p w14:paraId="37B8ADE2" w14:textId="77777777" w:rsidR="00D170E5" w:rsidRPr="002B55E9" w:rsidRDefault="00EF27AD">
      <w:pPr>
        <w:pStyle w:val="affff7"/>
        <w:snapToGrid w:val="0"/>
        <w:spacing w:after="0"/>
      </w:pPr>
      <w:r w:rsidRPr="002B55E9">
        <w:t>在拟建项目施工过程中，影响大气环境的废气排放源主要为场地平整、材料装卸以及交通运输产生扬尘、汽车尾车和挖掘机、推土机外排废气等。以上污染源中主要污染因子为粉尘。</w:t>
      </w:r>
    </w:p>
    <w:p w14:paraId="42F39583" w14:textId="77777777" w:rsidR="00D170E5" w:rsidRPr="002B55E9" w:rsidRDefault="00EF27AD">
      <w:pPr>
        <w:pStyle w:val="affff7"/>
        <w:snapToGrid w:val="0"/>
        <w:spacing w:after="0"/>
      </w:pPr>
      <w:r w:rsidRPr="002B55E9">
        <w:t>拟建项目建设过程中，粉尘污染主要来源于：</w:t>
      </w:r>
    </w:p>
    <w:p w14:paraId="15BB9756" w14:textId="77777777" w:rsidR="00D170E5" w:rsidRPr="002B55E9" w:rsidRDefault="00EF27AD">
      <w:pPr>
        <w:pStyle w:val="affff7"/>
        <w:snapToGrid w:val="0"/>
        <w:spacing w:after="0"/>
      </w:pPr>
      <w:r w:rsidRPr="002B55E9">
        <w:t>（</w:t>
      </w:r>
      <w:r w:rsidRPr="002B55E9">
        <w:t>1</w:t>
      </w:r>
      <w:r w:rsidRPr="002B55E9">
        <w:t>）土方的运输、装卸和堆放、填土和场地平整等过程产生的粉尘；</w:t>
      </w:r>
    </w:p>
    <w:p w14:paraId="58A9826D" w14:textId="77777777" w:rsidR="00D170E5" w:rsidRPr="002B55E9" w:rsidRDefault="00EF27AD">
      <w:pPr>
        <w:pStyle w:val="affff7"/>
        <w:snapToGrid w:val="0"/>
        <w:spacing w:after="0"/>
      </w:pPr>
      <w:r w:rsidRPr="002B55E9">
        <w:t>（</w:t>
      </w:r>
      <w:r w:rsidRPr="002B55E9">
        <w:t>2</w:t>
      </w:r>
      <w:r w:rsidRPr="002B55E9">
        <w:t>）建筑材料如水泥、白灰、砂子等在其装卸、运输、堆放等过程中，因风力作用而产生的扬尘污染；</w:t>
      </w:r>
    </w:p>
    <w:p w14:paraId="79FD74AC" w14:textId="77777777" w:rsidR="00D170E5" w:rsidRPr="002B55E9" w:rsidRDefault="00EF27AD">
      <w:pPr>
        <w:pStyle w:val="affff7"/>
        <w:snapToGrid w:val="0"/>
        <w:spacing w:after="0"/>
      </w:pPr>
      <w:r w:rsidRPr="002B55E9">
        <w:t>（</w:t>
      </w:r>
      <w:r w:rsidRPr="002B55E9">
        <w:t>3</w:t>
      </w:r>
      <w:r w:rsidRPr="002B55E9">
        <w:t>）运输车辆往来将造成地面扬尘；</w:t>
      </w:r>
    </w:p>
    <w:p w14:paraId="0B71EBF7" w14:textId="77777777" w:rsidR="00D170E5" w:rsidRPr="002B55E9" w:rsidRDefault="00EF27AD">
      <w:pPr>
        <w:pStyle w:val="affff7"/>
        <w:snapToGrid w:val="0"/>
        <w:spacing w:after="0"/>
      </w:pPr>
      <w:r w:rsidRPr="002B55E9">
        <w:t>（</w:t>
      </w:r>
      <w:r w:rsidRPr="002B55E9">
        <w:t>4</w:t>
      </w:r>
      <w:r w:rsidRPr="002B55E9">
        <w:t>）施工垃圾在其堆放和清运过程中将产生扬尘。</w:t>
      </w:r>
    </w:p>
    <w:p w14:paraId="2C76116A" w14:textId="77777777" w:rsidR="00D170E5" w:rsidRPr="002B55E9" w:rsidRDefault="00EF27AD">
      <w:pPr>
        <w:pStyle w:val="affff7"/>
        <w:snapToGrid w:val="0"/>
        <w:spacing w:after="0"/>
      </w:pPr>
      <w:r w:rsidRPr="002B55E9">
        <w:t>施工期间产生的粉尘（扬尘）污染主要取决于施工作业方式、材料的堆放及风力等因素，其中受风力因素的影响最大。根据相关资料，在一般气象条件下，平均风速为</w:t>
      </w:r>
      <w:r w:rsidRPr="002B55E9">
        <w:t>2.5m/s</w:t>
      </w:r>
      <w:r w:rsidRPr="002B55E9">
        <w:t>时，建筑工地内</w:t>
      </w:r>
      <w:r w:rsidRPr="002B55E9">
        <w:t>TSP</w:t>
      </w:r>
      <w:r w:rsidRPr="002B55E9">
        <w:t>浓度为其上风向对照点的</w:t>
      </w:r>
      <w:r w:rsidRPr="002B55E9">
        <w:t>2</w:t>
      </w:r>
      <w:r w:rsidRPr="002B55E9">
        <w:t>～</w:t>
      </w:r>
      <w:r w:rsidRPr="002B55E9">
        <w:t>2.5</w:t>
      </w:r>
      <w:r w:rsidRPr="002B55E9">
        <w:t>倍，建筑施工扬尘的影响范围在其下风向可达</w:t>
      </w:r>
      <w:r w:rsidRPr="002B55E9">
        <w:t>150m</w:t>
      </w:r>
      <w:r w:rsidRPr="002B55E9">
        <w:t>，影响范围内</w:t>
      </w:r>
      <w:r w:rsidRPr="002B55E9">
        <w:t>TSP</w:t>
      </w:r>
      <w:r w:rsidRPr="002B55E9">
        <w:t>浓度平均值可达</w:t>
      </w:r>
      <w:r w:rsidRPr="002B55E9">
        <w:t>0.49mg/m</w:t>
      </w:r>
      <w:r w:rsidRPr="002B55E9">
        <w:rPr>
          <w:vertAlign w:val="superscript"/>
        </w:rPr>
        <w:t>3</w:t>
      </w:r>
      <w:r w:rsidRPr="002B55E9">
        <w:t>。当有围栏时，在同等条件下，其影响距离可缩短</w:t>
      </w:r>
      <w:r w:rsidRPr="002B55E9">
        <w:t>40%(</w:t>
      </w:r>
      <w:r w:rsidRPr="002B55E9">
        <w:t>即缩短</w:t>
      </w:r>
      <w:r w:rsidRPr="002B55E9">
        <w:t>60m)</w:t>
      </w:r>
      <w:r w:rsidRPr="002B55E9">
        <w:t>。当风速大于</w:t>
      </w:r>
      <w:r w:rsidRPr="002B55E9">
        <w:t>5m/s</w:t>
      </w:r>
      <w:r w:rsidRPr="002B55E9">
        <w:t>时，施工现场及其下风向部分区域</w:t>
      </w:r>
      <w:r w:rsidRPr="002B55E9">
        <w:t>TSP</w:t>
      </w:r>
      <w:r w:rsidRPr="002B55E9">
        <w:t>浓度将超过空气质量标准中的二级标准，而且随着风速的增大，施工扬尘产生的污染程度和超标范围也将随之增强和扩大。</w:t>
      </w:r>
    </w:p>
    <w:p w14:paraId="4886C934" w14:textId="77777777" w:rsidR="00D170E5" w:rsidRPr="002B55E9" w:rsidRDefault="00EF27AD">
      <w:pPr>
        <w:pStyle w:val="affff7"/>
        <w:snapToGrid w:val="0"/>
        <w:spacing w:after="0"/>
      </w:pPr>
      <w:r w:rsidRPr="002B55E9">
        <w:t>为尽量减轻扬尘污染程度，缩小其影响范围。其主要对策有：</w:t>
      </w:r>
    </w:p>
    <w:p w14:paraId="75E1A47B" w14:textId="77777777" w:rsidR="00D170E5" w:rsidRPr="002B55E9" w:rsidRDefault="00EF27AD">
      <w:pPr>
        <w:pStyle w:val="affff7"/>
        <w:snapToGrid w:val="0"/>
        <w:spacing w:after="0"/>
      </w:pPr>
      <w:r w:rsidRPr="002B55E9">
        <w:t>（</w:t>
      </w:r>
      <w:r w:rsidRPr="002B55E9">
        <w:t>1</w:t>
      </w:r>
      <w:r w:rsidRPr="002B55E9">
        <w:t>）开挖时，对作业面和土堆适当喷水，使其保持一定湿度，以减少扬尘量。而且开挖的泥土和建筑垃圾要及时运走，以免长期堆放表面干燥而起尘；</w:t>
      </w:r>
    </w:p>
    <w:p w14:paraId="6C7005A8" w14:textId="77777777" w:rsidR="00D170E5" w:rsidRPr="002B55E9" w:rsidRDefault="00EF27AD">
      <w:pPr>
        <w:pStyle w:val="affff7"/>
        <w:snapToGrid w:val="0"/>
        <w:spacing w:after="0"/>
      </w:pPr>
      <w:r w:rsidRPr="002B55E9">
        <w:lastRenderedPageBreak/>
        <w:t>（</w:t>
      </w:r>
      <w:r w:rsidRPr="002B55E9">
        <w:t>2</w:t>
      </w:r>
      <w:r w:rsidRPr="002B55E9">
        <w:t>）谨防运输车辆装载过满，并尽量采取遮盖、密闭措施，减少沿途抛洒，并及时清扫散落在路面上的泥土和建筑材料，冲洗轮胎，定时洒水压尘，以减少运输过程中的扬尘；</w:t>
      </w:r>
    </w:p>
    <w:p w14:paraId="2095EB5B" w14:textId="77777777" w:rsidR="00D170E5" w:rsidRPr="002B55E9" w:rsidRDefault="00EF27AD">
      <w:pPr>
        <w:pStyle w:val="affff7"/>
        <w:snapToGrid w:val="0"/>
        <w:spacing w:after="0"/>
      </w:pPr>
      <w:r w:rsidRPr="002B55E9">
        <w:t>（</w:t>
      </w:r>
      <w:r w:rsidRPr="002B55E9">
        <w:t>3</w:t>
      </w:r>
      <w:r w:rsidRPr="002B55E9">
        <w:t>）施工现场要进行围栏或部分围栏，缩小施工扬尘扩散范围；</w:t>
      </w:r>
    </w:p>
    <w:p w14:paraId="3272B623" w14:textId="77777777" w:rsidR="00D170E5" w:rsidRPr="002B55E9" w:rsidRDefault="00EF27AD">
      <w:pPr>
        <w:pStyle w:val="affff7"/>
        <w:snapToGrid w:val="0"/>
        <w:spacing w:after="0"/>
      </w:pPr>
      <w:r w:rsidRPr="002B55E9">
        <w:t>（</w:t>
      </w:r>
      <w:r w:rsidRPr="002B55E9">
        <w:t>4</w:t>
      </w:r>
      <w:r w:rsidRPr="002B55E9">
        <w:t>）当风速过大时，应停止施工作业，并对堆存的砂粉等建筑材料采取遮盖措施</w:t>
      </w:r>
      <w:r w:rsidRPr="002B55E9">
        <w:rPr>
          <w:rFonts w:hint="eastAsia"/>
        </w:rPr>
        <w:t>。</w:t>
      </w:r>
    </w:p>
    <w:p w14:paraId="75C21967" w14:textId="77777777" w:rsidR="00D170E5" w:rsidRPr="002B55E9" w:rsidRDefault="00EF27AD">
      <w:pPr>
        <w:pStyle w:val="4"/>
        <w:rPr>
          <w:color w:val="auto"/>
        </w:rPr>
      </w:pPr>
      <w:r w:rsidRPr="002B55E9">
        <w:rPr>
          <w:rFonts w:hint="eastAsia"/>
          <w:color w:val="auto"/>
        </w:rPr>
        <w:t>施工期水环境影响分析</w:t>
      </w:r>
    </w:p>
    <w:p w14:paraId="32558991" w14:textId="77777777" w:rsidR="00D170E5" w:rsidRPr="002B55E9" w:rsidRDefault="00EF27AD">
      <w:pPr>
        <w:pStyle w:val="affff7"/>
        <w:snapToGrid w:val="0"/>
        <w:spacing w:after="0"/>
      </w:pPr>
      <w:r w:rsidRPr="002B55E9">
        <w:t>施工期间所产生的污水主要有基础施工中泥浆水，建材冲洗水，车辆出入冲洗水等施工废水和施工人员所产生的生活污水等。生活污水中主要有</w:t>
      </w:r>
      <w:r w:rsidRPr="002B55E9">
        <w:t>COD</w:t>
      </w:r>
      <w:r w:rsidRPr="002B55E9">
        <w:t>、氨氮等污染物，施工废水中主要有泥浆、石油类等污染物。</w:t>
      </w:r>
    </w:p>
    <w:p w14:paraId="168B50FA" w14:textId="77777777" w:rsidR="00D170E5" w:rsidRPr="002B55E9" w:rsidRDefault="00EF27AD">
      <w:pPr>
        <w:pStyle w:val="affff7"/>
        <w:snapToGrid w:val="0"/>
        <w:spacing w:after="0"/>
      </w:pPr>
      <w:r w:rsidRPr="002B55E9">
        <w:t>项目施工期生活污水排放量约为</w:t>
      </w:r>
      <w:r w:rsidRPr="002B55E9">
        <w:t>6m</w:t>
      </w:r>
      <w:r w:rsidRPr="002B55E9">
        <w:rPr>
          <w:vertAlign w:val="superscript"/>
        </w:rPr>
        <w:t>3</w:t>
      </w:r>
      <w:r w:rsidRPr="002B55E9">
        <w:t>/d</w:t>
      </w:r>
      <w:r w:rsidRPr="002B55E9">
        <w:t>，污水中各污染物浓度约为</w:t>
      </w:r>
      <w:r w:rsidRPr="002B55E9">
        <w:t>COD</w:t>
      </w:r>
      <w:r w:rsidRPr="002B55E9">
        <w:t>：</w:t>
      </w:r>
      <w:r w:rsidRPr="002B55E9">
        <w:t>100~150mg/L</w:t>
      </w:r>
      <w:r w:rsidRPr="002B55E9">
        <w:t>，氨氮：</w:t>
      </w:r>
      <w:r w:rsidRPr="002B55E9">
        <w:t>10~30mg/L</w:t>
      </w:r>
      <w:r w:rsidRPr="002B55E9">
        <w:t>。施工期生活污水</w:t>
      </w:r>
      <w:r w:rsidRPr="002B55E9">
        <w:rPr>
          <w:rFonts w:hint="eastAsia"/>
        </w:rPr>
        <w:t>排入市政</w:t>
      </w:r>
      <w:r w:rsidRPr="002B55E9">
        <w:t>污水管网，排入</w:t>
      </w:r>
      <w:r w:rsidRPr="002B55E9">
        <w:rPr>
          <w:rFonts w:hint="eastAsia"/>
        </w:rPr>
        <w:t>东西湖污水处理厂</w:t>
      </w:r>
      <w:r w:rsidRPr="002B55E9">
        <w:t>进行处理。</w:t>
      </w:r>
    </w:p>
    <w:p w14:paraId="79AE3D5D" w14:textId="77777777" w:rsidR="00D170E5" w:rsidRPr="002B55E9" w:rsidRDefault="00EF27AD">
      <w:pPr>
        <w:pStyle w:val="affff7"/>
        <w:snapToGrid w:val="0"/>
        <w:spacing w:after="0"/>
      </w:pPr>
      <w:r w:rsidRPr="002B55E9">
        <w:t>施工期产生的施工废水排放量较难估计，污水中各污染物浓度约为：石油类</w:t>
      </w:r>
      <w:r w:rsidRPr="002B55E9">
        <w:t>10~30mg/L</w:t>
      </w:r>
      <w:r w:rsidRPr="002B55E9">
        <w:t>，</w:t>
      </w:r>
      <w:r w:rsidRPr="002B55E9">
        <w:t>SS100~400mg/L</w:t>
      </w:r>
      <w:r w:rsidRPr="002B55E9">
        <w:t>。对施工场地所产生的生产废水应加以管理、控制，应设置专门沟渠，经格栅沉淀池处理后部分循环利用，部分排入</w:t>
      </w:r>
      <w:r w:rsidRPr="002B55E9">
        <w:rPr>
          <w:rFonts w:hint="eastAsia"/>
        </w:rPr>
        <w:t>东西湖污水处理厂</w:t>
      </w:r>
      <w:r w:rsidRPr="002B55E9">
        <w:t>进行处理。</w:t>
      </w:r>
    </w:p>
    <w:p w14:paraId="2C7521FB" w14:textId="77777777" w:rsidR="00D170E5" w:rsidRPr="002B55E9" w:rsidRDefault="00EF27AD">
      <w:pPr>
        <w:pStyle w:val="affff7"/>
        <w:snapToGrid w:val="0"/>
        <w:spacing w:after="0"/>
      </w:pPr>
      <w:r w:rsidRPr="002B55E9">
        <w:t>因此，施工期项目施工废水和生活污水经处理后达标排放，对受纳水体不会产生不利影响。</w:t>
      </w:r>
    </w:p>
    <w:p w14:paraId="24A56424" w14:textId="77777777" w:rsidR="00D170E5" w:rsidRPr="002B55E9" w:rsidRDefault="00EF27AD">
      <w:pPr>
        <w:pStyle w:val="4"/>
        <w:rPr>
          <w:color w:val="auto"/>
        </w:rPr>
      </w:pPr>
      <w:bookmarkStart w:id="217" w:name="_Toc169616445"/>
      <w:r w:rsidRPr="002B55E9">
        <w:rPr>
          <w:rFonts w:hint="eastAsia"/>
          <w:color w:val="auto"/>
        </w:rPr>
        <w:t>施工期</w:t>
      </w:r>
      <w:r w:rsidRPr="002B55E9">
        <w:rPr>
          <w:color w:val="auto"/>
        </w:rPr>
        <w:t>声环境影响分析</w:t>
      </w:r>
      <w:bookmarkEnd w:id="217"/>
    </w:p>
    <w:p w14:paraId="77FF7744" w14:textId="77777777" w:rsidR="00D170E5" w:rsidRPr="002B55E9" w:rsidRDefault="00EF27AD">
      <w:pPr>
        <w:pStyle w:val="affff7"/>
      </w:pPr>
      <w:r w:rsidRPr="002B55E9">
        <w:t>噪声将是施工期的主要污染因子，施工过程中使用的运输车辆及施工机械设备如打桩机、挖掘机、推土机、运输车辆等都是噪声的产生源。根据有关资料将主要施工机械产生的噪声状况列于表</w:t>
      </w:r>
      <w:r w:rsidRPr="002B55E9">
        <w:rPr>
          <w:rFonts w:hint="eastAsia"/>
        </w:rPr>
        <w:t>5</w:t>
      </w:r>
      <w:r w:rsidRPr="002B55E9">
        <w:t>-1-1</w:t>
      </w:r>
      <w:r w:rsidRPr="002B55E9">
        <w:t>。</w:t>
      </w:r>
    </w:p>
    <w:p w14:paraId="1E8F62C4" w14:textId="77777777" w:rsidR="00D170E5" w:rsidRPr="002B55E9" w:rsidRDefault="00EF27AD">
      <w:pPr>
        <w:pStyle w:val="1f3"/>
        <w:spacing w:before="120"/>
      </w:pPr>
      <w:r w:rsidRPr="002B55E9">
        <w:t>表</w:t>
      </w:r>
      <w:r w:rsidRPr="002B55E9">
        <w:rPr>
          <w:rFonts w:hint="eastAsia"/>
        </w:rPr>
        <w:t>5</w:t>
      </w:r>
      <w:r w:rsidRPr="002B55E9">
        <w:t xml:space="preserve">-1-1  </w:t>
      </w:r>
      <w:r w:rsidRPr="002B55E9">
        <w:t>施工机械设备噪声一览表</w:t>
      </w:r>
    </w:p>
    <w:tbl>
      <w:tblPr>
        <w:tblW w:w="958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963"/>
        <w:gridCol w:w="5624"/>
      </w:tblGrid>
      <w:tr w:rsidR="002B55E9" w:rsidRPr="002B55E9" w14:paraId="2767C849" w14:textId="77777777">
        <w:trPr>
          <w:trHeight w:val="284"/>
          <w:jc w:val="center"/>
        </w:trPr>
        <w:tc>
          <w:tcPr>
            <w:tcW w:w="3963" w:type="dxa"/>
            <w:tcBorders>
              <w:top w:val="single" w:sz="12" w:space="0" w:color="auto"/>
              <w:bottom w:val="single" w:sz="12" w:space="0" w:color="auto"/>
            </w:tcBorders>
            <w:vAlign w:val="center"/>
          </w:tcPr>
          <w:p w14:paraId="7DCCC4CD" w14:textId="77777777" w:rsidR="00D170E5" w:rsidRPr="002B55E9" w:rsidRDefault="00EF27AD">
            <w:pPr>
              <w:pStyle w:val="affff6"/>
            </w:pPr>
            <w:r w:rsidRPr="002B55E9">
              <w:t>施工设备名称</w:t>
            </w:r>
          </w:p>
        </w:tc>
        <w:tc>
          <w:tcPr>
            <w:tcW w:w="5624" w:type="dxa"/>
            <w:tcBorders>
              <w:top w:val="single" w:sz="12" w:space="0" w:color="auto"/>
              <w:bottom w:val="single" w:sz="12" w:space="0" w:color="auto"/>
            </w:tcBorders>
            <w:vAlign w:val="center"/>
          </w:tcPr>
          <w:p w14:paraId="33A6F73E" w14:textId="77777777" w:rsidR="00D170E5" w:rsidRPr="002B55E9" w:rsidRDefault="00EF27AD">
            <w:pPr>
              <w:pStyle w:val="affff6"/>
            </w:pPr>
            <w:r w:rsidRPr="002B55E9">
              <w:t>距设备</w:t>
            </w:r>
            <w:r w:rsidRPr="002B55E9">
              <w:t>10m</w:t>
            </w:r>
            <w:r w:rsidRPr="002B55E9">
              <w:t>处平均</w:t>
            </w:r>
            <w:r w:rsidRPr="002B55E9">
              <w:t>A</w:t>
            </w:r>
            <w:r w:rsidRPr="002B55E9">
              <w:t>声级</w:t>
            </w:r>
            <w:r w:rsidRPr="002B55E9">
              <w:t>dB(A)</w:t>
            </w:r>
          </w:p>
        </w:tc>
      </w:tr>
      <w:tr w:rsidR="002B55E9" w:rsidRPr="002B55E9" w14:paraId="3F8BC1F7" w14:textId="77777777">
        <w:trPr>
          <w:trHeight w:val="284"/>
          <w:jc w:val="center"/>
        </w:trPr>
        <w:tc>
          <w:tcPr>
            <w:tcW w:w="3963" w:type="dxa"/>
            <w:tcBorders>
              <w:top w:val="single" w:sz="12" w:space="0" w:color="auto"/>
            </w:tcBorders>
            <w:vAlign w:val="center"/>
          </w:tcPr>
          <w:p w14:paraId="537B6C4A" w14:textId="77777777" w:rsidR="00D170E5" w:rsidRPr="002B55E9" w:rsidRDefault="00EF27AD">
            <w:pPr>
              <w:pStyle w:val="affff6"/>
            </w:pPr>
            <w:r w:rsidRPr="002B55E9">
              <w:t>打桩机</w:t>
            </w:r>
          </w:p>
        </w:tc>
        <w:tc>
          <w:tcPr>
            <w:tcW w:w="5624" w:type="dxa"/>
            <w:tcBorders>
              <w:top w:val="single" w:sz="12" w:space="0" w:color="auto"/>
            </w:tcBorders>
            <w:vAlign w:val="center"/>
          </w:tcPr>
          <w:p w14:paraId="40F62F92" w14:textId="77777777" w:rsidR="00D170E5" w:rsidRPr="002B55E9" w:rsidRDefault="00EF27AD">
            <w:pPr>
              <w:pStyle w:val="affff6"/>
            </w:pPr>
            <w:r w:rsidRPr="002B55E9">
              <w:t>105</w:t>
            </w:r>
          </w:p>
        </w:tc>
      </w:tr>
      <w:tr w:rsidR="002B55E9" w:rsidRPr="002B55E9" w14:paraId="7CCD38E7" w14:textId="77777777">
        <w:trPr>
          <w:trHeight w:val="284"/>
          <w:jc w:val="center"/>
        </w:trPr>
        <w:tc>
          <w:tcPr>
            <w:tcW w:w="3963" w:type="dxa"/>
            <w:vAlign w:val="center"/>
          </w:tcPr>
          <w:p w14:paraId="6F9CF6F8" w14:textId="77777777" w:rsidR="00D170E5" w:rsidRPr="002B55E9" w:rsidRDefault="00EF27AD">
            <w:pPr>
              <w:pStyle w:val="affff6"/>
            </w:pPr>
            <w:r w:rsidRPr="002B55E9">
              <w:t>挖掘机</w:t>
            </w:r>
          </w:p>
        </w:tc>
        <w:tc>
          <w:tcPr>
            <w:tcW w:w="5624" w:type="dxa"/>
            <w:vAlign w:val="center"/>
          </w:tcPr>
          <w:p w14:paraId="73BB8AEA" w14:textId="77777777" w:rsidR="00D170E5" w:rsidRPr="002B55E9" w:rsidRDefault="00EF27AD">
            <w:pPr>
              <w:pStyle w:val="affff6"/>
            </w:pPr>
            <w:r w:rsidRPr="002B55E9">
              <w:t>82</w:t>
            </w:r>
          </w:p>
        </w:tc>
      </w:tr>
      <w:tr w:rsidR="002B55E9" w:rsidRPr="002B55E9" w14:paraId="3CA484D4" w14:textId="77777777">
        <w:trPr>
          <w:trHeight w:val="284"/>
          <w:jc w:val="center"/>
        </w:trPr>
        <w:tc>
          <w:tcPr>
            <w:tcW w:w="3963" w:type="dxa"/>
            <w:vAlign w:val="center"/>
          </w:tcPr>
          <w:p w14:paraId="680CE688" w14:textId="77777777" w:rsidR="00D170E5" w:rsidRPr="002B55E9" w:rsidRDefault="00EF27AD">
            <w:pPr>
              <w:pStyle w:val="affff6"/>
            </w:pPr>
            <w:r w:rsidRPr="002B55E9">
              <w:t>推土机</w:t>
            </w:r>
          </w:p>
        </w:tc>
        <w:tc>
          <w:tcPr>
            <w:tcW w:w="5624" w:type="dxa"/>
            <w:vAlign w:val="center"/>
          </w:tcPr>
          <w:p w14:paraId="51F4EFE8" w14:textId="77777777" w:rsidR="00D170E5" w:rsidRPr="002B55E9" w:rsidRDefault="00EF27AD">
            <w:pPr>
              <w:pStyle w:val="affff6"/>
            </w:pPr>
            <w:r w:rsidRPr="002B55E9">
              <w:t>76</w:t>
            </w:r>
          </w:p>
        </w:tc>
      </w:tr>
      <w:tr w:rsidR="002B55E9" w:rsidRPr="002B55E9" w14:paraId="11B70E89" w14:textId="77777777">
        <w:trPr>
          <w:trHeight w:val="284"/>
          <w:jc w:val="center"/>
        </w:trPr>
        <w:tc>
          <w:tcPr>
            <w:tcW w:w="3963" w:type="dxa"/>
            <w:vAlign w:val="center"/>
          </w:tcPr>
          <w:p w14:paraId="0E8881ED" w14:textId="77777777" w:rsidR="00D170E5" w:rsidRPr="002B55E9" w:rsidRDefault="00EF27AD">
            <w:pPr>
              <w:pStyle w:val="affff6"/>
            </w:pPr>
            <w:r w:rsidRPr="002B55E9">
              <w:t>起重机</w:t>
            </w:r>
          </w:p>
        </w:tc>
        <w:tc>
          <w:tcPr>
            <w:tcW w:w="5624" w:type="dxa"/>
            <w:vAlign w:val="center"/>
          </w:tcPr>
          <w:p w14:paraId="25ED0A76" w14:textId="77777777" w:rsidR="00D170E5" w:rsidRPr="002B55E9" w:rsidRDefault="00EF27AD">
            <w:pPr>
              <w:pStyle w:val="affff6"/>
            </w:pPr>
            <w:r w:rsidRPr="002B55E9">
              <w:t>82</w:t>
            </w:r>
          </w:p>
        </w:tc>
      </w:tr>
      <w:tr w:rsidR="002B55E9" w:rsidRPr="002B55E9" w14:paraId="1F37ACE6" w14:textId="77777777">
        <w:trPr>
          <w:trHeight w:val="284"/>
          <w:jc w:val="center"/>
        </w:trPr>
        <w:tc>
          <w:tcPr>
            <w:tcW w:w="3963" w:type="dxa"/>
            <w:vAlign w:val="center"/>
          </w:tcPr>
          <w:p w14:paraId="36B5640E" w14:textId="77777777" w:rsidR="00D170E5" w:rsidRPr="002B55E9" w:rsidRDefault="00EF27AD">
            <w:pPr>
              <w:pStyle w:val="affff6"/>
            </w:pPr>
            <w:r w:rsidRPr="002B55E9">
              <w:t>压路机</w:t>
            </w:r>
          </w:p>
        </w:tc>
        <w:tc>
          <w:tcPr>
            <w:tcW w:w="5624" w:type="dxa"/>
            <w:vAlign w:val="center"/>
          </w:tcPr>
          <w:p w14:paraId="67CC2F18" w14:textId="77777777" w:rsidR="00D170E5" w:rsidRPr="002B55E9" w:rsidRDefault="00EF27AD">
            <w:pPr>
              <w:pStyle w:val="affff6"/>
            </w:pPr>
            <w:r w:rsidRPr="002B55E9">
              <w:t>82</w:t>
            </w:r>
          </w:p>
        </w:tc>
      </w:tr>
      <w:tr w:rsidR="002B55E9" w:rsidRPr="002B55E9" w14:paraId="5EF809D8" w14:textId="77777777">
        <w:trPr>
          <w:trHeight w:val="284"/>
          <w:jc w:val="center"/>
        </w:trPr>
        <w:tc>
          <w:tcPr>
            <w:tcW w:w="3963" w:type="dxa"/>
            <w:vAlign w:val="center"/>
          </w:tcPr>
          <w:p w14:paraId="35F0ACBA" w14:textId="77777777" w:rsidR="00D170E5" w:rsidRPr="002B55E9" w:rsidRDefault="00EF27AD">
            <w:pPr>
              <w:pStyle w:val="affff6"/>
            </w:pPr>
            <w:r w:rsidRPr="002B55E9">
              <w:t>卡车</w:t>
            </w:r>
          </w:p>
        </w:tc>
        <w:tc>
          <w:tcPr>
            <w:tcW w:w="5624" w:type="dxa"/>
            <w:vAlign w:val="center"/>
          </w:tcPr>
          <w:p w14:paraId="6D1F25BF" w14:textId="77777777" w:rsidR="00D170E5" w:rsidRPr="002B55E9" w:rsidRDefault="00EF27AD">
            <w:pPr>
              <w:pStyle w:val="affff6"/>
            </w:pPr>
            <w:r w:rsidRPr="002B55E9">
              <w:t>85</w:t>
            </w:r>
          </w:p>
        </w:tc>
      </w:tr>
      <w:tr w:rsidR="002B55E9" w:rsidRPr="002B55E9" w14:paraId="03E2BE32" w14:textId="77777777">
        <w:trPr>
          <w:trHeight w:val="284"/>
          <w:jc w:val="center"/>
        </w:trPr>
        <w:tc>
          <w:tcPr>
            <w:tcW w:w="3963" w:type="dxa"/>
            <w:tcBorders>
              <w:bottom w:val="single" w:sz="12" w:space="0" w:color="auto"/>
            </w:tcBorders>
            <w:vAlign w:val="center"/>
          </w:tcPr>
          <w:p w14:paraId="6C9E8E3D" w14:textId="77777777" w:rsidR="00D170E5" w:rsidRPr="002B55E9" w:rsidRDefault="00EF27AD">
            <w:pPr>
              <w:pStyle w:val="affff6"/>
            </w:pPr>
            <w:r w:rsidRPr="002B55E9">
              <w:t>电锯</w:t>
            </w:r>
          </w:p>
        </w:tc>
        <w:tc>
          <w:tcPr>
            <w:tcW w:w="5624" w:type="dxa"/>
            <w:tcBorders>
              <w:bottom w:val="single" w:sz="12" w:space="0" w:color="auto"/>
            </w:tcBorders>
            <w:vAlign w:val="center"/>
          </w:tcPr>
          <w:p w14:paraId="19C3B425" w14:textId="77777777" w:rsidR="00D170E5" w:rsidRPr="002B55E9" w:rsidRDefault="00EF27AD">
            <w:pPr>
              <w:pStyle w:val="affff6"/>
            </w:pPr>
            <w:r w:rsidRPr="002B55E9">
              <w:t>84</w:t>
            </w:r>
          </w:p>
        </w:tc>
      </w:tr>
    </w:tbl>
    <w:p w14:paraId="2CA733F8" w14:textId="77777777" w:rsidR="00D170E5" w:rsidRPr="002B55E9" w:rsidRDefault="00EF27AD">
      <w:pPr>
        <w:pStyle w:val="affff7"/>
      </w:pPr>
      <w:r w:rsidRPr="002B55E9">
        <w:t>由表</w:t>
      </w:r>
      <w:r w:rsidRPr="002B55E9">
        <w:rPr>
          <w:rFonts w:hint="eastAsia"/>
        </w:rPr>
        <w:t>5</w:t>
      </w:r>
      <w:r w:rsidRPr="002B55E9">
        <w:t>-1-1</w:t>
      </w:r>
      <w:r w:rsidRPr="002B55E9">
        <w:t>中可以看出，现场施工机械设备噪声很高，而且实际施工过程中，往往是多种机械同时工作，各种噪声源辐射的相互叠加，噪声级将更高，辐射范围亦更大。</w:t>
      </w:r>
    </w:p>
    <w:p w14:paraId="25818697" w14:textId="77777777" w:rsidR="00D170E5" w:rsidRPr="002B55E9" w:rsidRDefault="00EF27AD">
      <w:pPr>
        <w:pStyle w:val="affff7"/>
      </w:pPr>
      <w:r w:rsidRPr="002B55E9">
        <w:t>由于本工程施工过程中使用的施工机械所产生的噪声主要属于中低频噪声，因此在预测其影响时可只考虑其扩散衰减，预测模型选用：</w:t>
      </w:r>
    </w:p>
    <w:p w14:paraId="75150BFE" w14:textId="77777777" w:rsidR="00D170E5" w:rsidRPr="002B55E9" w:rsidRDefault="00EF27AD">
      <w:pPr>
        <w:pStyle w:val="affff7"/>
      </w:pPr>
      <w:r w:rsidRPr="002B55E9">
        <w:t>L</w:t>
      </w:r>
      <w:r w:rsidRPr="002B55E9">
        <w:rPr>
          <w:vertAlign w:val="subscript"/>
        </w:rPr>
        <w:t>2</w:t>
      </w:r>
      <w:r w:rsidRPr="002B55E9">
        <w:t>=L</w:t>
      </w:r>
      <w:r w:rsidRPr="002B55E9">
        <w:rPr>
          <w:vertAlign w:val="subscript"/>
        </w:rPr>
        <w:t>1</w:t>
      </w:r>
      <w:r w:rsidRPr="002B55E9">
        <w:t>－</w:t>
      </w:r>
      <w:r w:rsidRPr="002B55E9">
        <w:t>20</w:t>
      </w:r>
      <w:r w:rsidRPr="002B55E9">
        <w:t>（</w:t>
      </w:r>
      <w:r w:rsidRPr="002B55E9">
        <w:t>lgr</w:t>
      </w:r>
      <w:r w:rsidRPr="002B55E9">
        <w:rPr>
          <w:vertAlign w:val="subscript"/>
        </w:rPr>
        <w:t>2</w:t>
      </w:r>
      <w:r w:rsidRPr="002B55E9">
        <w:t>/r</w:t>
      </w:r>
      <w:r w:rsidRPr="002B55E9">
        <w:rPr>
          <w:vertAlign w:val="subscript"/>
        </w:rPr>
        <w:t>1</w:t>
      </w:r>
      <w:r w:rsidRPr="002B55E9">
        <w:t>）</w:t>
      </w:r>
      <w:r w:rsidRPr="002B55E9">
        <w:t>(r</w:t>
      </w:r>
      <w:r w:rsidRPr="002B55E9">
        <w:rPr>
          <w:vertAlign w:val="subscript"/>
        </w:rPr>
        <w:t>2</w:t>
      </w:r>
      <w:r w:rsidRPr="002B55E9">
        <w:t>&gt;r</w:t>
      </w:r>
      <w:r w:rsidRPr="002B55E9">
        <w:rPr>
          <w:vertAlign w:val="subscript"/>
        </w:rPr>
        <w:t>1</w:t>
      </w:r>
      <w:r w:rsidRPr="002B55E9">
        <w:t>)</w:t>
      </w:r>
    </w:p>
    <w:p w14:paraId="437A17DE" w14:textId="77777777" w:rsidR="00D170E5" w:rsidRPr="002B55E9" w:rsidRDefault="00EF27AD">
      <w:pPr>
        <w:pStyle w:val="affff7"/>
      </w:pPr>
      <w:r w:rsidRPr="002B55E9">
        <w:lastRenderedPageBreak/>
        <w:t>式中：</w:t>
      </w:r>
      <w:r w:rsidRPr="002B55E9">
        <w:t>L</w:t>
      </w:r>
      <w:r w:rsidRPr="002B55E9">
        <w:rPr>
          <w:vertAlign w:val="subscript"/>
        </w:rPr>
        <w:t>1</w:t>
      </w:r>
      <w:r w:rsidRPr="002B55E9">
        <w:t>、</w:t>
      </w:r>
      <w:r w:rsidRPr="002B55E9">
        <w:t>L</w:t>
      </w:r>
      <w:r w:rsidRPr="002B55E9">
        <w:rPr>
          <w:vertAlign w:val="subscript"/>
        </w:rPr>
        <w:t>2</w:t>
      </w:r>
      <w:r w:rsidRPr="002B55E9">
        <w:t>分别为距声源</w:t>
      </w:r>
      <w:r w:rsidRPr="002B55E9">
        <w:t>r</w:t>
      </w:r>
      <w:r w:rsidRPr="002B55E9">
        <w:rPr>
          <w:vertAlign w:val="subscript"/>
        </w:rPr>
        <w:t>1</w:t>
      </w:r>
      <w:r w:rsidRPr="002B55E9">
        <w:t>r</w:t>
      </w:r>
      <w:r w:rsidRPr="002B55E9">
        <w:rPr>
          <w:vertAlign w:val="subscript"/>
        </w:rPr>
        <w:t>2</w:t>
      </w:r>
      <w:r w:rsidRPr="002B55E9">
        <w:t>处的等效</w:t>
      </w:r>
      <w:r w:rsidRPr="002B55E9">
        <w:t>A</w:t>
      </w:r>
      <w:r w:rsidRPr="002B55E9">
        <w:t>声级</w:t>
      </w:r>
      <w:r w:rsidRPr="002B55E9">
        <w:t>[dB(A)]</w:t>
      </w:r>
      <w:r w:rsidRPr="002B55E9">
        <w:t>；</w:t>
      </w:r>
    </w:p>
    <w:p w14:paraId="3DF27E95" w14:textId="77777777" w:rsidR="00D170E5" w:rsidRPr="002B55E9" w:rsidRDefault="00EF27AD">
      <w:pPr>
        <w:pStyle w:val="affff7"/>
      </w:pPr>
      <w:r w:rsidRPr="002B55E9">
        <w:t>r</w:t>
      </w:r>
      <w:r w:rsidRPr="002B55E9">
        <w:rPr>
          <w:vertAlign w:val="subscript"/>
        </w:rPr>
        <w:t>1</w:t>
      </w:r>
      <w:r w:rsidRPr="002B55E9">
        <w:t>、</w:t>
      </w:r>
      <w:r w:rsidRPr="002B55E9">
        <w:t>r</w:t>
      </w:r>
      <w:r w:rsidRPr="002B55E9">
        <w:rPr>
          <w:vertAlign w:val="subscript"/>
        </w:rPr>
        <w:t>2</w:t>
      </w:r>
      <w:r w:rsidRPr="002B55E9">
        <w:t>为接受点距声源的距离</w:t>
      </w:r>
      <w:r w:rsidRPr="002B55E9">
        <w:t>(m)</w:t>
      </w:r>
      <w:r w:rsidRPr="002B55E9">
        <w:t>。</w:t>
      </w:r>
    </w:p>
    <w:p w14:paraId="1AEEF94A" w14:textId="77777777" w:rsidR="00D170E5" w:rsidRPr="002B55E9" w:rsidRDefault="00EF27AD">
      <w:pPr>
        <w:pStyle w:val="affff7"/>
      </w:pPr>
      <w:r w:rsidRPr="002B55E9">
        <w:t>由上式可推出噪声随距离增加而衰减的量</w:t>
      </w:r>
      <w:r w:rsidRPr="002B55E9">
        <w:rPr>
          <w:rFonts w:ascii="Cambria Math" w:hAnsi="Cambria Math" w:cs="Cambria Math"/>
        </w:rPr>
        <w:t>△</w:t>
      </w:r>
      <w:r w:rsidRPr="002B55E9">
        <w:t>L</w:t>
      </w:r>
      <w:r w:rsidRPr="002B55E9">
        <w:t>：</w:t>
      </w:r>
    </w:p>
    <w:p w14:paraId="5CDE5995" w14:textId="77777777" w:rsidR="00D170E5" w:rsidRPr="002B55E9" w:rsidRDefault="00EF27AD">
      <w:pPr>
        <w:pStyle w:val="affff7"/>
      </w:pPr>
      <w:r w:rsidRPr="002B55E9">
        <w:t>L=L</w:t>
      </w:r>
      <w:r w:rsidRPr="002B55E9">
        <w:rPr>
          <w:vertAlign w:val="subscript"/>
        </w:rPr>
        <w:t>1</w:t>
      </w:r>
      <w:r w:rsidRPr="002B55E9">
        <w:t>-L</w:t>
      </w:r>
      <w:r w:rsidRPr="002B55E9">
        <w:rPr>
          <w:vertAlign w:val="subscript"/>
        </w:rPr>
        <w:t>2</w:t>
      </w:r>
      <w:r w:rsidRPr="002B55E9">
        <w:t>=20lg</w:t>
      </w:r>
      <w:r w:rsidRPr="002B55E9">
        <w:rPr>
          <w:lang w:val="en-GB"/>
        </w:rPr>
        <w:t>（</w:t>
      </w:r>
      <w:r w:rsidRPr="002B55E9">
        <w:t>r</w:t>
      </w:r>
      <w:r w:rsidRPr="002B55E9">
        <w:rPr>
          <w:vertAlign w:val="subscript"/>
        </w:rPr>
        <w:t>2</w:t>
      </w:r>
      <w:r w:rsidRPr="002B55E9">
        <w:t>/r</w:t>
      </w:r>
      <w:r w:rsidRPr="002B55E9">
        <w:rPr>
          <w:vertAlign w:val="subscript"/>
        </w:rPr>
        <w:t>1</w:t>
      </w:r>
      <w:r w:rsidRPr="002B55E9">
        <w:rPr>
          <w:lang w:val="en-GB"/>
        </w:rPr>
        <w:t>）</w:t>
      </w:r>
    </w:p>
    <w:p w14:paraId="591F90D4" w14:textId="77777777" w:rsidR="00D170E5" w:rsidRPr="002B55E9" w:rsidRDefault="00EF27AD">
      <w:pPr>
        <w:pStyle w:val="affff7"/>
      </w:pPr>
      <w:r w:rsidRPr="002B55E9">
        <w:t>由上式可计算出噪声值随距离衰减的情况，结果见表</w:t>
      </w:r>
      <w:r w:rsidRPr="002B55E9">
        <w:rPr>
          <w:rFonts w:hint="eastAsia"/>
        </w:rPr>
        <w:t>5</w:t>
      </w:r>
      <w:r w:rsidRPr="002B55E9">
        <w:t>-1-2</w:t>
      </w:r>
      <w:r w:rsidRPr="002B55E9">
        <w:t>。</w:t>
      </w:r>
    </w:p>
    <w:p w14:paraId="2B03FDD8" w14:textId="77777777" w:rsidR="00D170E5" w:rsidRPr="002B55E9" w:rsidRDefault="00EF27AD">
      <w:pPr>
        <w:pStyle w:val="1f3"/>
        <w:spacing w:before="120"/>
      </w:pPr>
      <w:r w:rsidRPr="002B55E9">
        <w:t>表</w:t>
      </w:r>
      <w:r w:rsidRPr="002B55E9">
        <w:rPr>
          <w:rFonts w:hint="eastAsia"/>
        </w:rPr>
        <w:t>5</w:t>
      </w:r>
      <w:r w:rsidRPr="002B55E9">
        <w:t xml:space="preserve">-1-2  </w:t>
      </w:r>
      <w:r w:rsidRPr="002B55E9">
        <w:t>不同施工阶段作业噪声限值一览表</w:t>
      </w:r>
    </w:p>
    <w:tbl>
      <w:tblPr>
        <w:tblW w:w="9854" w:type="dxa"/>
        <w:jc w:val="center"/>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1494"/>
        <w:gridCol w:w="928"/>
        <w:gridCol w:w="928"/>
        <w:gridCol w:w="930"/>
        <w:gridCol w:w="928"/>
        <w:gridCol w:w="930"/>
        <w:gridCol w:w="928"/>
        <w:gridCol w:w="930"/>
        <w:gridCol w:w="928"/>
        <w:gridCol w:w="930"/>
      </w:tblGrid>
      <w:tr w:rsidR="002B55E9" w:rsidRPr="002B55E9" w14:paraId="214D319D" w14:textId="77777777">
        <w:trPr>
          <w:trHeight w:val="284"/>
          <w:jc w:val="center"/>
        </w:trPr>
        <w:tc>
          <w:tcPr>
            <w:tcW w:w="1494" w:type="dxa"/>
            <w:vAlign w:val="center"/>
          </w:tcPr>
          <w:p w14:paraId="532DFF5D" w14:textId="77777777" w:rsidR="00D170E5" w:rsidRPr="002B55E9" w:rsidRDefault="00EF27AD">
            <w:pPr>
              <w:pStyle w:val="affff6"/>
            </w:pPr>
            <w:r w:rsidRPr="002B55E9">
              <w:t>距离</w:t>
            </w:r>
            <w:r w:rsidRPr="002B55E9">
              <w:t>(m)</w:t>
            </w:r>
          </w:p>
        </w:tc>
        <w:tc>
          <w:tcPr>
            <w:tcW w:w="928" w:type="dxa"/>
            <w:vAlign w:val="center"/>
          </w:tcPr>
          <w:p w14:paraId="26AA7FF5" w14:textId="77777777" w:rsidR="00D170E5" w:rsidRPr="002B55E9" w:rsidRDefault="00EF27AD">
            <w:pPr>
              <w:pStyle w:val="affff6"/>
            </w:pPr>
            <w:r w:rsidRPr="002B55E9">
              <w:t>1</w:t>
            </w:r>
          </w:p>
        </w:tc>
        <w:tc>
          <w:tcPr>
            <w:tcW w:w="928" w:type="dxa"/>
            <w:vAlign w:val="center"/>
          </w:tcPr>
          <w:p w14:paraId="75FBA66E" w14:textId="77777777" w:rsidR="00D170E5" w:rsidRPr="002B55E9" w:rsidRDefault="00EF27AD">
            <w:pPr>
              <w:pStyle w:val="affff6"/>
            </w:pPr>
            <w:r w:rsidRPr="002B55E9">
              <w:t>10</w:t>
            </w:r>
          </w:p>
        </w:tc>
        <w:tc>
          <w:tcPr>
            <w:tcW w:w="930" w:type="dxa"/>
            <w:vAlign w:val="center"/>
          </w:tcPr>
          <w:p w14:paraId="522CAE4A" w14:textId="77777777" w:rsidR="00D170E5" w:rsidRPr="002B55E9" w:rsidRDefault="00EF27AD">
            <w:pPr>
              <w:pStyle w:val="affff6"/>
            </w:pPr>
            <w:r w:rsidRPr="002B55E9">
              <w:t>50</w:t>
            </w:r>
          </w:p>
        </w:tc>
        <w:tc>
          <w:tcPr>
            <w:tcW w:w="928" w:type="dxa"/>
            <w:vAlign w:val="center"/>
          </w:tcPr>
          <w:p w14:paraId="17272F1E" w14:textId="77777777" w:rsidR="00D170E5" w:rsidRPr="002B55E9" w:rsidRDefault="00EF27AD">
            <w:pPr>
              <w:pStyle w:val="affff6"/>
            </w:pPr>
            <w:r w:rsidRPr="002B55E9">
              <w:t>100</w:t>
            </w:r>
          </w:p>
        </w:tc>
        <w:tc>
          <w:tcPr>
            <w:tcW w:w="930" w:type="dxa"/>
            <w:vAlign w:val="center"/>
          </w:tcPr>
          <w:p w14:paraId="55474A65" w14:textId="77777777" w:rsidR="00D170E5" w:rsidRPr="002B55E9" w:rsidRDefault="00EF27AD">
            <w:pPr>
              <w:pStyle w:val="affff6"/>
            </w:pPr>
            <w:r w:rsidRPr="002B55E9">
              <w:t>150</w:t>
            </w:r>
          </w:p>
        </w:tc>
        <w:tc>
          <w:tcPr>
            <w:tcW w:w="928" w:type="dxa"/>
            <w:vAlign w:val="center"/>
          </w:tcPr>
          <w:p w14:paraId="2AFDDCE2" w14:textId="77777777" w:rsidR="00D170E5" w:rsidRPr="002B55E9" w:rsidRDefault="00EF27AD">
            <w:pPr>
              <w:pStyle w:val="affff6"/>
            </w:pPr>
            <w:r w:rsidRPr="002B55E9">
              <w:t>200</w:t>
            </w:r>
          </w:p>
        </w:tc>
        <w:tc>
          <w:tcPr>
            <w:tcW w:w="930" w:type="dxa"/>
            <w:vAlign w:val="center"/>
          </w:tcPr>
          <w:p w14:paraId="680F9BEC" w14:textId="77777777" w:rsidR="00D170E5" w:rsidRPr="002B55E9" w:rsidRDefault="00EF27AD">
            <w:pPr>
              <w:pStyle w:val="affff6"/>
            </w:pPr>
            <w:r w:rsidRPr="002B55E9">
              <w:t>250</w:t>
            </w:r>
          </w:p>
        </w:tc>
        <w:tc>
          <w:tcPr>
            <w:tcW w:w="928" w:type="dxa"/>
            <w:vAlign w:val="center"/>
          </w:tcPr>
          <w:p w14:paraId="39DD9410" w14:textId="77777777" w:rsidR="00D170E5" w:rsidRPr="002B55E9" w:rsidRDefault="00EF27AD">
            <w:pPr>
              <w:pStyle w:val="affff6"/>
            </w:pPr>
            <w:r w:rsidRPr="002B55E9">
              <w:t>400</w:t>
            </w:r>
          </w:p>
        </w:tc>
        <w:tc>
          <w:tcPr>
            <w:tcW w:w="930" w:type="dxa"/>
            <w:vAlign w:val="center"/>
          </w:tcPr>
          <w:p w14:paraId="0485EFCD" w14:textId="77777777" w:rsidR="00D170E5" w:rsidRPr="002B55E9" w:rsidRDefault="00EF27AD">
            <w:pPr>
              <w:pStyle w:val="affff6"/>
            </w:pPr>
            <w:r w:rsidRPr="002B55E9">
              <w:t>600</w:t>
            </w:r>
          </w:p>
        </w:tc>
      </w:tr>
      <w:tr w:rsidR="002B55E9" w:rsidRPr="002B55E9" w14:paraId="42E71B25" w14:textId="77777777">
        <w:trPr>
          <w:trHeight w:val="284"/>
          <w:jc w:val="center"/>
        </w:trPr>
        <w:tc>
          <w:tcPr>
            <w:tcW w:w="1494" w:type="dxa"/>
            <w:vAlign w:val="center"/>
          </w:tcPr>
          <w:p w14:paraId="297518F9" w14:textId="77777777" w:rsidR="00D170E5" w:rsidRPr="002B55E9" w:rsidRDefault="00EF27AD">
            <w:pPr>
              <w:pStyle w:val="affff6"/>
            </w:pPr>
            <w:r w:rsidRPr="002B55E9">
              <w:rPr>
                <w:rFonts w:ascii="Cambria Math" w:hAnsi="Cambria Math" w:cs="Cambria Math"/>
                <w:lang w:val="en-GB"/>
              </w:rPr>
              <w:t>△</w:t>
            </w:r>
            <w:r w:rsidRPr="002B55E9">
              <w:t>LdB(A)</w:t>
            </w:r>
          </w:p>
        </w:tc>
        <w:tc>
          <w:tcPr>
            <w:tcW w:w="928" w:type="dxa"/>
            <w:vAlign w:val="center"/>
          </w:tcPr>
          <w:p w14:paraId="0C4BC022" w14:textId="77777777" w:rsidR="00D170E5" w:rsidRPr="002B55E9" w:rsidRDefault="00EF27AD">
            <w:pPr>
              <w:pStyle w:val="affff6"/>
            </w:pPr>
            <w:r w:rsidRPr="002B55E9">
              <w:t>0</w:t>
            </w:r>
          </w:p>
        </w:tc>
        <w:tc>
          <w:tcPr>
            <w:tcW w:w="928" w:type="dxa"/>
            <w:vAlign w:val="center"/>
          </w:tcPr>
          <w:p w14:paraId="51168A41" w14:textId="77777777" w:rsidR="00D170E5" w:rsidRPr="002B55E9" w:rsidRDefault="00EF27AD">
            <w:pPr>
              <w:pStyle w:val="affff6"/>
            </w:pPr>
            <w:r w:rsidRPr="002B55E9">
              <w:t>20</w:t>
            </w:r>
          </w:p>
        </w:tc>
        <w:tc>
          <w:tcPr>
            <w:tcW w:w="930" w:type="dxa"/>
            <w:vAlign w:val="center"/>
          </w:tcPr>
          <w:p w14:paraId="68C2B867" w14:textId="77777777" w:rsidR="00D170E5" w:rsidRPr="002B55E9" w:rsidRDefault="00EF27AD">
            <w:pPr>
              <w:pStyle w:val="affff6"/>
            </w:pPr>
            <w:r w:rsidRPr="002B55E9">
              <w:t>34</w:t>
            </w:r>
          </w:p>
        </w:tc>
        <w:tc>
          <w:tcPr>
            <w:tcW w:w="928" w:type="dxa"/>
            <w:vAlign w:val="center"/>
          </w:tcPr>
          <w:p w14:paraId="11292AA0" w14:textId="77777777" w:rsidR="00D170E5" w:rsidRPr="002B55E9" w:rsidRDefault="00EF27AD">
            <w:pPr>
              <w:pStyle w:val="affff6"/>
            </w:pPr>
            <w:r w:rsidRPr="002B55E9">
              <w:t>40</w:t>
            </w:r>
          </w:p>
        </w:tc>
        <w:tc>
          <w:tcPr>
            <w:tcW w:w="930" w:type="dxa"/>
            <w:vAlign w:val="center"/>
          </w:tcPr>
          <w:p w14:paraId="7355027B" w14:textId="77777777" w:rsidR="00D170E5" w:rsidRPr="002B55E9" w:rsidRDefault="00EF27AD">
            <w:pPr>
              <w:pStyle w:val="affff6"/>
            </w:pPr>
            <w:r w:rsidRPr="002B55E9">
              <w:t>43</w:t>
            </w:r>
          </w:p>
        </w:tc>
        <w:tc>
          <w:tcPr>
            <w:tcW w:w="928" w:type="dxa"/>
            <w:vAlign w:val="center"/>
          </w:tcPr>
          <w:p w14:paraId="1F4D1808" w14:textId="77777777" w:rsidR="00D170E5" w:rsidRPr="002B55E9" w:rsidRDefault="00EF27AD">
            <w:pPr>
              <w:pStyle w:val="affff6"/>
            </w:pPr>
            <w:r w:rsidRPr="002B55E9">
              <w:t>46</w:t>
            </w:r>
          </w:p>
        </w:tc>
        <w:tc>
          <w:tcPr>
            <w:tcW w:w="930" w:type="dxa"/>
            <w:vAlign w:val="center"/>
          </w:tcPr>
          <w:p w14:paraId="6B9F9B62" w14:textId="77777777" w:rsidR="00D170E5" w:rsidRPr="002B55E9" w:rsidRDefault="00EF27AD">
            <w:pPr>
              <w:pStyle w:val="affff6"/>
            </w:pPr>
            <w:r w:rsidRPr="002B55E9">
              <w:t>48</w:t>
            </w:r>
          </w:p>
        </w:tc>
        <w:tc>
          <w:tcPr>
            <w:tcW w:w="928" w:type="dxa"/>
            <w:vAlign w:val="center"/>
          </w:tcPr>
          <w:p w14:paraId="6518EC72" w14:textId="77777777" w:rsidR="00D170E5" w:rsidRPr="002B55E9" w:rsidRDefault="00EF27AD">
            <w:pPr>
              <w:pStyle w:val="affff6"/>
            </w:pPr>
            <w:r w:rsidRPr="002B55E9">
              <w:t>52</w:t>
            </w:r>
          </w:p>
        </w:tc>
        <w:tc>
          <w:tcPr>
            <w:tcW w:w="930" w:type="dxa"/>
            <w:vAlign w:val="center"/>
          </w:tcPr>
          <w:p w14:paraId="0833B659" w14:textId="77777777" w:rsidR="00D170E5" w:rsidRPr="002B55E9" w:rsidRDefault="00EF27AD">
            <w:pPr>
              <w:pStyle w:val="affff6"/>
            </w:pPr>
            <w:r w:rsidRPr="002B55E9">
              <w:t>57</w:t>
            </w:r>
          </w:p>
        </w:tc>
      </w:tr>
    </w:tbl>
    <w:p w14:paraId="370937BA" w14:textId="77777777" w:rsidR="00D170E5" w:rsidRPr="002B55E9" w:rsidRDefault="00EF27AD">
      <w:pPr>
        <w:pStyle w:val="affff7"/>
      </w:pPr>
      <w:r w:rsidRPr="002B55E9">
        <w:t>若按表</w:t>
      </w:r>
      <w:r w:rsidRPr="002B55E9">
        <w:rPr>
          <w:rFonts w:hint="eastAsia"/>
        </w:rPr>
        <w:t>5</w:t>
      </w:r>
      <w:r w:rsidRPr="002B55E9">
        <w:t>-1-2</w:t>
      </w:r>
      <w:r w:rsidRPr="002B55E9">
        <w:t>中噪声最高的设备打桩机和挖掘机计算，工程施工噪声随距离衰减后的情况如表</w:t>
      </w:r>
      <w:r w:rsidRPr="002B55E9">
        <w:rPr>
          <w:rFonts w:hint="eastAsia"/>
        </w:rPr>
        <w:t>5</w:t>
      </w:r>
      <w:r w:rsidRPr="002B55E9">
        <w:t>-1-3</w:t>
      </w:r>
      <w:r w:rsidRPr="002B55E9">
        <w:t>所示。</w:t>
      </w:r>
    </w:p>
    <w:p w14:paraId="77ABB9E0" w14:textId="77777777" w:rsidR="00D170E5" w:rsidRPr="002B55E9" w:rsidRDefault="00EF27AD">
      <w:pPr>
        <w:pStyle w:val="1f3"/>
        <w:spacing w:before="120"/>
      </w:pPr>
      <w:r w:rsidRPr="002B55E9">
        <w:t>表</w:t>
      </w:r>
      <w:r w:rsidRPr="002B55E9">
        <w:rPr>
          <w:rFonts w:hint="eastAsia"/>
        </w:rPr>
        <w:t>5</w:t>
      </w:r>
      <w:r w:rsidRPr="002B55E9">
        <w:t xml:space="preserve">-1-3  </w:t>
      </w:r>
      <w:r w:rsidRPr="002B55E9">
        <w:t>噪声值随距离的衰减关系</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773"/>
        <w:gridCol w:w="773"/>
        <w:gridCol w:w="773"/>
        <w:gridCol w:w="773"/>
        <w:gridCol w:w="772"/>
        <w:gridCol w:w="772"/>
        <w:gridCol w:w="772"/>
        <w:gridCol w:w="772"/>
        <w:gridCol w:w="772"/>
        <w:gridCol w:w="772"/>
      </w:tblGrid>
      <w:tr w:rsidR="002B55E9" w:rsidRPr="002B55E9" w14:paraId="15AA3B5D" w14:textId="77777777">
        <w:trPr>
          <w:trHeight w:val="284"/>
          <w:jc w:val="center"/>
        </w:trPr>
        <w:tc>
          <w:tcPr>
            <w:tcW w:w="2130" w:type="dxa"/>
            <w:tcBorders>
              <w:top w:val="single" w:sz="12" w:space="0" w:color="auto"/>
              <w:bottom w:val="single" w:sz="12" w:space="0" w:color="auto"/>
            </w:tcBorders>
            <w:vAlign w:val="center"/>
          </w:tcPr>
          <w:p w14:paraId="1206C861" w14:textId="77777777" w:rsidR="00D170E5" w:rsidRPr="002B55E9" w:rsidRDefault="00EF27AD">
            <w:pPr>
              <w:pStyle w:val="affff6"/>
            </w:pPr>
            <w:r w:rsidRPr="002B55E9">
              <w:t>距离</w:t>
            </w:r>
            <w:r w:rsidRPr="002B55E9">
              <w:t>(m)</w:t>
            </w:r>
          </w:p>
        </w:tc>
        <w:tc>
          <w:tcPr>
            <w:tcW w:w="773" w:type="dxa"/>
            <w:tcBorders>
              <w:top w:val="single" w:sz="12" w:space="0" w:color="auto"/>
              <w:bottom w:val="single" w:sz="12" w:space="0" w:color="auto"/>
            </w:tcBorders>
            <w:vAlign w:val="center"/>
          </w:tcPr>
          <w:p w14:paraId="2941EA69" w14:textId="77777777" w:rsidR="00D170E5" w:rsidRPr="002B55E9" w:rsidRDefault="00EF27AD">
            <w:pPr>
              <w:pStyle w:val="affff6"/>
            </w:pPr>
            <w:r w:rsidRPr="002B55E9">
              <w:t>10</w:t>
            </w:r>
          </w:p>
        </w:tc>
        <w:tc>
          <w:tcPr>
            <w:tcW w:w="773" w:type="dxa"/>
            <w:tcBorders>
              <w:top w:val="single" w:sz="12" w:space="0" w:color="auto"/>
              <w:bottom w:val="single" w:sz="12" w:space="0" w:color="auto"/>
            </w:tcBorders>
            <w:vAlign w:val="center"/>
          </w:tcPr>
          <w:p w14:paraId="60CA8852" w14:textId="77777777" w:rsidR="00D170E5" w:rsidRPr="002B55E9" w:rsidRDefault="00EF27AD">
            <w:pPr>
              <w:pStyle w:val="affff6"/>
            </w:pPr>
            <w:r w:rsidRPr="002B55E9">
              <w:t>50</w:t>
            </w:r>
          </w:p>
        </w:tc>
        <w:tc>
          <w:tcPr>
            <w:tcW w:w="773" w:type="dxa"/>
            <w:tcBorders>
              <w:top w:val="single" w:sz="12" w:space="0" w:color="auto"/>
              <w:bottom w:val="single" w:sz="12" w:space="0" w:color="auto"/>
            </w:tcBorders>
            <w:vAlign w:val="center"/>
          </w:tcPr>
          <w:p w14:paraId="54DCAB3F" w14:textId="77777777" w:rsidR="00D170E5" w:rsidRPr="002B55E9" w:rsidRDefault="00EF27AD">
            <w:pPr>
              <w:pStyle w:val="affff6"/>
            </w:pPr>
            <w:r w:rsidRPr="002B55E9">
              <w:t>100</w:t>
            </w:r>
          </w:p>
        </w:tc>
        <w:tc>
          <w:tcPr>
            <w:tcW w:w="773" w:type="dxa"/>
            <w:tcBorders>
              <w:top w:val="single" w:sz="12" w:space="0" w:color="auto"/>
              <w:bottom w:val="single" w:sz="12" w:space="0" w:color="auto"/>
            </w:tcBorders>
            <w:vAlign w:val="center"/>
          </w:tcPr>
          <w:p w14:paraId="30A27A96" w14:textId="77777777" w:rsidR="00D170E5" w:rsidRPr="002B55E9" w:rsidRDefault="00EF27AD">
            <w:pPr>
              <w:pStyle w:val="affff6"/>
            </w:pPr>
            <w:r w:rsidRPr="002B55E9">
              <w:t>150</w:t>
            </w:r>
          </w:p>
        </w:tc>
        <w:tc>
          <w:tcPr>
            <w:tcW w:w="772" w:type="dxa"/>
            <w:tcBorders>
              <w:top w:val="single" w:sz="12" w:space="0" w:color="auto"/>
              <w:bottom w:val="single" w:sz="12" w:space="0" w:color="auto"/>
            </w:tcBorders>
            <w:vAlign w:val="center"/>
          </w:tcPr>
          <w:p w14:paraId="64459924" w14:textId="77777777" w:rsidR="00D170E5" w:rsidRPr="002B55E9" w:rsidRDefault="00EF27AD">
            <w:pPr>
              <w:pStyle w:val="affff6"/>
            </w:pPr>
            <w:r w:rsidRPr="002B55E9">
              <w:t>200</w:t>
            </w:r>
          </w:p>
        </w:tc>
        <w:tc>
          <w:tcPr>
            <w:tcW w:w="772" w:type="dxa"/>
            <w:tcBorders>
              <w:top w:val="single" w:sz="12" w:space="0" w:color="auto"/>
              <w:bottom w:val="single" w:sz="12" w:space="0" w:color="auto"/>
            </w:tcBorders>
            <w:vAlign w:val="center"/>
          </w:tcPr>
          <w:p w14:paraId="5D10F350" w14:textId="77777777" w:rsidR="00D170E5" w:rsidRPr="002B55E9" w:rsidRDefault="00EF27AD">
            <w:pPr>
              <w:pStyle w:val="affff6"/>
            </w:pPr>
            <w:r w:rsidRPr="002B55E9">
              <w:t>250</w:t>
            </w:r>
          </w:p>
        </w:tc>
        <w:tc>
          <w:tcPr>
            <w:tcW w:w="772" w:type="dxa"/>
            <w:tcBorders>
              <w:top w:val="single" w:sz="12" w:space="0" w:color="auto"/>
              <w:bottom w:val="single" w:sz="12" w:space="0" w:color="auto"/>
            </w:tcBorders>
            <w:vAlign w:val="center"/>
          </w:tcPr>
          <w:p w14:paraId="6E5319DA" w14:textId="77777777" w:rsidR="00D170E5" w:rsidRPr="002B55E9" w:rsidRDefault="00EF27AD">
            <w:pPr>
              <w:pStyle w:val="affff6"/>
            </w:pPr>
            <w:r w:rsidRPr="002B55E9">
              <w:t>300</w:t>
            </w:r>
          </w:p>
        </w:tc>
        <w:tc>
          <w:tcPr>
            <w:tcW w:w="772" w:type="dxa"/>
            <w:tcBorders>
              <w:top w:val="single" w:sz="12" w:space="0" w:color="auto"/>
              <w:bottom w:val="single" w:sz="12" w:space="0" w:color="auto"/>
            </w:tcBorders>
            <w:vAlign w:val="center"/>
          </w:tcPr>
          <w:p w14:paraId="0513BF94" w14:textId="77777777" w:rsidR="00D170E5" w:rsidRPr="002B55E9" w:rsidRDefault="00EF27AD">
            <w:pPr>
              <w:pStyle w:val="affff6"/>
            </w:pPr>
            <w:r w:rsidRPr="002B55E9">
              <w:t>400</w:t>
            </w:r>
          </w:p>
        </w:tc>
        <w:tc>
          <w:tcPr>
            <w:tcW w:w="772" w:type="dxa"/>
            <w:tcBorders>
              <w:top w:val="single" w:sz="12" w:space="0" w:color="auto"/>
              <w:bottom w:val="single" w:sz="12" w:space="0" w:color="auto"/>
            </w:tcBorders>
            <w:vAlign w:val="center"/>
          </w:tcPr>
          <w:p w14:paraId="61A93C26" w14:textId="77777777" w:rsidR="00D170E5" w:rsidRPr="002B55E9" w:rsidRDefault="00EF27AD">
            <w:pPr>
              <w:pStyle w:val="affff6"/>
            </w:pPr>
            <w:r w:rsidRPr="002B55E9">
              <w:t>500</w:t>
            </w:r>
          </w:p>
        </w:tc>
        <w:tc>
          <w:tcPr>
            <w:tcW w:w="772" w:type="dxa"/>
            <w:tcBorders>
              <w:top w:val="single" w:sz="12" w:space="0" w:color="auto"/>
              <w:bottom w:val="single" w:sz="12" w:space="0" w:color="auto"/>
            </w:tcBorders>
            <w:vAlign w:val="center"/>
          </w:tcPr>
          <w:p w14:paraId="34755E2A" w14:textId="77777777" w:rsidR="00D170E5" w:rsidRPr="002B55E9" w:rsidRDefault="00EF27AD">
            <w:pPr>
              <w:pStyle w:val="affff6"/>
            </w:pPr>
            <w:r w:rsidRPr="002B55E9">
              <w:t>600</w:t>
            </w:r>
          </w:p>
        </w:tc>
      </w:tr>
      <w:tr w:rsidR="002B55E9" w:rsidRPr="002B55E9" w14:paraId="31744FCA" w14:textId="77777777">
        <w:trPr>
          <w:trHeight w:val="284"/>
          <w:jc w:val="center"/>
        </w:trPr>
        <w:tc>
          <w:tcPr>
            <w:tcW w:w="2130" w:type="dxa"/>
            <w:tcBorders>
              <w:top w:val="single" w:sz="12" w:space="0" w:color="auto"/>
            </w:tcBorders>
            <w:vAlign w:val="center"/>
          </w:tcPr>
          <w:p w14:paraId="3EB42AEA" w14:textId="77777777" w:rsidR="00D170E5" w:rsidRPr="002B55E9" w:rsidRDefault="00EF27AD">
            <w:pPr>
              <w:pStyle w:val="affff6"/>
            </w:pPr>
            <w:r w:rsidRPr="002B55E9">
              <w:t>打桩机噪声值</w:t>
            </w:r>
            <w:r w:rsidRPr="002B55E9">
              <w:t>[dB(A)]</w:t>
            </w:r>
          </w:p>
        </w:tc>
        <w:tc>
          <w:tcPr>
            <w:tcW w:w="773" w:type="dxa"/>
            <w:tcBorders>
              <w:top w:val="single" w:sz="12" w:space="0" w:color="auto"/>
            </w:tcBorders>
            <w:vAlign w:val="center"/>
          </w:tcPr>
          <w:p w14:paraId="20DF1B77" w14:textId="77777777" w:rsidR="00D170E5" w:rsidRPr="002B55E9" w:rsidRDefault="00EF27AD">
            <w:pPr>
              <w:pStyle w:val="affff6"/>
            </w:pPr>
            <w:r w:rsidRPr="002B55E9">
              <w:t>105</w:t>
            </w:r>
          </w:p>
        </w:tc>
        <w:tc>
          <w:tcPr>
            <w:tcW w:w="773" w:type="dxa"/>
            <w:tcBorders>
              <w:top w:val="single" w:sz="12" w:space="0" w:color="auto"/>
            </w:tcBorders>
            <w:vAlign w:val="center"/>
          </w:tcPr>
          <w:p w14:paraId="2A2D7082" w14:textId="77777777" w:rsidR="00D170E5" w:rsidRPr="002B55E9" w:rsidRDefault="00EF27AD">
            <w:pPr>
              <w:pStyle w:val="affff6"/>
            </w:pPr>
            <w:r w:rsidRPr="002B55E9">
              <w:t>91</w:t>
            </w:r>
          </w:p>
        </w:tc>
        <w:tc>
          <w:tcPr>
            <w:tcW w:w="773" w:type="dxa"/>
            <w:tcBorders>
              <w:top w:val="single" w:sz="12" w:space="0" w:color="auto"/>
            </w:tcBorders>
            <w:vAlign w:val="center"/>
          </w:tcPr>
          <w:p w14:paraId="2C42019F" w14:textId="77777777" w:rsidR="00D170E5" w:rsidRPr="002B55E9" w:rsidRDefault="00EF27AD">
            <w:pPr>
              <w:pStyle w:val="affff6"/>
            </w:pPr>
            <w:r w:rsidRPr="002B55E9">
              <w:t>85</w:t>
            </w:r>
          </w:p>
        </w:tc>
        <w:tc>
          <w:tcPr>
            <w:tcW w:w="773" w:type="dxa"/>
            <w:tcBorders>
              <w:top w:val="single" w:sz="12" w:space="0" w:color="auto"/>
            </w:tcBorders>
            <w:vAlign w:val="center"/>
          </w:tcPr>
          <w:p w14:paraId="7B44F4CB" w14:textId="77777777" w:rsidR="00D170E5" w:rsidRPr="002B55E9" w:rsidRDefault="00EF27AD">
            <w:pPr>
              <w:pStyle w:val="affff6"/>
            </w:pPr>
            <w:r w:rsidRPr="002B55E9">
              <w:t>82</w:t>
            </w:r>
          </w:p>
        </w:tc>
        <w:tc>
          <w:tcPr>
            <w:tcW w:w="772" w:type="dxa"/>
            <w:tcBorders>
              <w:top w:val="single" w:sz="12" w:space="0" w:color="auto"/>
            </w:tcBorders>
            <w:vAlign w:val="center"/>
          </w:tcPr>
          <w:p w14:paraId="1F700D41" w14:textId="77777777" w:rsidR="00D170E5" w:rsidRPr="002B55E9" w:rsidRDefault="00EF27AD">
            <w:pPr>
              <w:pStyle w:val="affff6"/>
            </w:pPr>
            <w:r w:rsidRPr="002B55E9">
              <w:t>79</w:t>
            </w:r>
          </w:p>
        </w:tc>
        <w:tc>
          <w:tcPr>
            <w:tcW w:w="772" w:type="dxa"/>
            <w:tcBorders>
              <w:top w:val="single" w:sz="12" w:space="0" w:color="auto"/>
            </w:tcBorders>
            <w:vAlign w:val="center"/>
          </w:tcPr>
          <w:p w14:paraId="28B933AE" w14:textId="77777777" w:rsidR="00D170E5" w:rsidRPr="002B55E9" w:rsidRDefault="00EF27AD">
            <w:pPr>
              <w:pStyle w:val="affff6"/>
            </w:pPr>
            <w:r w:rsidRPr="002B55E9">
              <w:t>77</w:t>
            </w:r>
          </w:p>
        </w:tc>
        <w:tc>
          <w:tcPr>
            <w:tcW w:w="772" w:type="dxa"/>
            <w:tcBorders>
              <w:top w:val="single" w:sz="12" w:space="0" w:color="auto"/>
            </w:tcBorders>
            <w:vAlign w:val="center"/>
          </w:tcPr>
          <w:p w14:paraId="64007579" w14:textId="77777777" w:rsidR="00D170E5" w:rsidRPr="002B55E9" w:rsidRDefault="00EF27AD">
            <w:pPr>
              <w:pStyle w:val="affff6"/>
            </w:pPr>
            <w:r w:rsidRPr="002B55E9">
              <w:t>76</w:t>
            </w:r>
          </w:p>
        </w:tc>
        <w:tc>
          <w:tcPr>
            <w:tcW w:w="772" w:type="dxa"/>
            <w:tcBorders>
              <w:top w:val="single" w:sz="12" w:space="0" w:color="auto"/>
            </w:tcBorders>
            <w:vAlign w:val="center"/>
          </w:tcPr>
          <w:p w14:paraId="00A785F1" w14:textId="77777777" w:rsidR="00D170E5" w:rsidRPr="002B55E9" w:rsidRDefault="00EF27AD">
            <w:pPr>
              <w:pStyle w:val="affff6"/>
            </w:pPr>
            <w:r w:rsidRPr="002B55E9">
              <w:t>73</w:t>
            </w:r>
          </w:p>
        </w:tc>
        <w:tc>
          <w:tcPr>
            <w:tcW w:w="772" w:type="dxa"/>
            <w:tcBorders>
              <w:top w:val="single" w:sz="12" w:space="0" w:color="auto"/>
            </w:tcBorders>
            <w:vAlign w:val="center"/>
          </w:tcPr>
          <w:p w14:paraId="35CA2001" w14:textId="77777777" w:rsidR="00D170E5" w:rsidRPr="002B55E9" w:rsidRDefault="00EF27AD">
            <w:pPr>
              <w:pStyle w:val="affff6"/>
            </w:pPr>
            <w:r w:rsidRPr="002B55E9">
              <w:t>70</w:t>
            </w:r>
          </w:p>
        </w:tc>
        <w:tc>
          <w:tcPr>
            <w:tcW w:w="772" w:type="dxa"/>
            <w:tcBorders>
              <w:top w:val="single" w:sz="12" w:space="0" w:color="auto"/>
            </w:tcBorders>
            <w:vAlign w:val="center"/>
          </w:tcPr>
          <w:p w14:paraId="263A9BB6" w14:textId="77777777" w:rsidR="00D170E5" w:rsidRPr="002B55E9" w:rsidRDefault="00EF27AD">
            <w:pPr>
              <w:pStyle w:val="affff6"/>
            </w:pPr>
            <w:r w:rsidRPr="002B55E9">
              <w:t>68</w:t>
            </w:r>
          </w:p>
        </w:tc>
      </w:tr>
      <w:tr w:rsidR="002B55E9" w:rsidRPr="002B55E9" w14:paraId="1EFD5991" w14:textId="77777777">
        <w:trPr>
          <w:trHeight w:val="284"/>
          <w:jc w:val="center"/>
        </w:trPr>
        <w:tc>
          <w:tcPr>
            <w:tcW w:w="2130" w:type="dxa"/>
            <w:vAlign w:val="center"/>
          </w:tcPr>
          <w:p w14:paraId="5625B479" w14:textId="77777777" w:rsidR="00D170E5" w:rsidRPr="002B55E9" w:rsidRDefault="00EF27AD">
            <w:pPr>
              <w:pStyle w:val="affff6"/>
            </w:pPr>
            <w:r w:rsidRPr="002B55E9">
              <w:t>挖掘机噪声值</w:t>
            </w:r>
            <w:r w:rsidRPr="002B55E9">
              <w:t>[dB(A)]</w:t>
            </w:r>
          </w:p>
        </w:tc>
        <w:tc>
          <w:tcPr>
            <w:tcW w:w="773" w:type="dxa"/>
            <w:vAlign w:val="center"/>
          </w:tcPr>
          <w:p w14:paraId="7F8979B8" w14:textId="77777777" w:rsidR="00D170E5" w:rsidRPr="002B55E9" w:rsidRDefault="00EF27AD">
            <w:pPr>
              <w:pStyle w:val="affff6"/>
            </w:pPr>
            <w:r w:rsidRPr="002B55E9">
              <w:t>82</w:t>
            </w:r>
          </w:p>
        </w:tc>
        <w:tc>
          <w:tcPr>
            <w:tcW w:w="773" w:type="dxa"/>
            <w:vAlign w:val="center"/>
          </w:tcPr>
          <w:p w14:paraId="580F7A09" w14:textId="77777777" w:rsidR="00D170E5" w:rsidRPr="002B55E9" w:rsidRDefault="00EF27AD">
            <w:pPr>
              <w:pStyle w:val="affff6"/>
            </w:pPr>
            <w:r w:rsidRPr="002B55E9">
              <w:t>68</w:t>
            </w:r>
          </w:p>
        </w:tc>
        <w:tc>
          <w:tcPr>
            <w:tcW w:w="773" w:type="dxa"/>
            <w:vAlign w:val="center"/>
          </w:tcPr>
          <w:p w14:paraId="64C97E37" w14:textId="77777777" w:rsidR="00D170E5" w:rsidRPr="002B55E9" w:rsidRDefault="00EF27AD">
            <w:pPr>
              <w:pStyle w:val="affff6"/>
            </w:pPr>
            <w:r w:rsidRPr="002B55E9">
              <w:t>62</w:t>
            </w:r>
          </w:p>
        </w:tc>
        <w:tc>
          <w:tcPr>
            <w:tcW w:w="773" w:type="dxa"/>
            <w:vAlign w:val="center"/>
          </w:tcPr>
          <w:p w14:paraId="20FBE0BE" w14:textId="77777777" w:rsidR="00D170E5" w:rsidRPr="002B55E9" w:rsidRDefault="00EF27AD">
            <w:pPr>
              <w:pStyle w:val="affff6"/>
            </w:pPr>
            <w:r w:rsidRPr="002B55E9">
              <w:t>59</w:t>
            </w:r>
          </w:p>
        </w:tc>
        <w:tc>
          <w:tcPr>
            <w:tcW w:w="772" w:type="dxa"/>
            <w:vAlign w:val="center"/>
          </w:tcPr>
          <w:p w14:paraId="79E9ADEA" w14:textId="77777777" w:rsidR="00D170E5" w:rsidRPr="002B55E9" w:rsidRDefault="00EF27AD">
            <w:pPr>
              <w:pStyle w:val="affff6"/>
            </w:pPr>
            <w:r w:rsidRPr="002B55E9">
              <w:t>56</w:t>
            </w:r>
          </w:p>
        </w:tc>
        <w:tc>
          <w:tcPr>
            <w:tcW w:w="772" w:type="dxa"/>
            <w:vAlign w:val="center"/>
          </w:tcPr>
          <w:p w14:paraId="14C1E27F" w14:textId="77777777" w:rsidR="00D170E5" w:rsidRPr="002B55E9" w:rsidRDefault="00EF27AD">
            <w:pPr>
              <w:pStyle w:val="affff6"/>
            </w:pPr>
            <w:r w:rsidRPr="002B55E9">
              <w:t>54</w:t>
            </w:r>
          </w:p>
        </w:tc>
        <w:tc>
          <w:tcPr>
            <w:tcW w:w="772" w:type="dxa"/>
            <w:vAlign w:val="center"/>
          </w:tcPr>
          <w:p w14:paraId="6D1AD89B" w14:textId="77777777" w:rsidR="00D170E5" w:rsidRPr="002B55E9" w:rsidRDefault="00EF27AD">
            <w:pPr>
              <w:pStyle w:val="affff6"/>
            </w:pPr>
            <w:r w:rsidRPr="002B55E9">
              <w:t>53</w:t>
            </w:r>
          </w:p>
        </w:tc>
        <w:tc>
          <w:tcPr>
            <w:tcW w:w="772" w:type="dxa"/>
            <w:vAlign w:val="center"/>
          </w:tcPr>
          <w:p w14:paraId="39F4B489" w14:textId="77777777" w:rsidR="00D170E5" w:rsidRPr="002B55E9" w:rsidRDefault="00EF27AD">
            <w:pPr>
              <w:pStyle w:val="affff6"/>
            </w:pPr>
            <w:r w:rsidRPr="002B55E9">
              <w:t>50</w:t>
            </w:r>
          </w:p>
        </w:tc>
        <w:tc>
          <w:tcPr>
            <w:tcW w:w="772" w:type="dxa"/>
            <w:vAlign w:val="center"/>
          </w:tcPr>
          <w:p w14:paraId="7BBEB9EB" w14:textId="77777777" w:rsidR="00D170E5" w:rsidRPr="002B55E9" w:rsidRDefault="00EF27AD">
            <w:pPr>
              <w:pStyle w:val="affff6"/>
            </w:pPr>
            <w:r w:rsidRPr="002B55E9">
              <w:t>47</w:t>
            </w:r>
          </w:p>
        </w:tc>
        <w:tc>
          <w:tcPr>
            <w:tcW w:w="772" w:type="dxa"/>
            <w:vAlign w:val="center"/>
          </w:tcPr>
          <w:p w14:paraId="5EEF5784" w14:textId="77777777" w:rsidR="00D170E5" w:rsidRPr="002B55E9" w:rsidRDefault="00EF27AD">
            <w:pPr>
              <w:pStyle w:val="affff6"/>
            </w:pPr>
            <w:r w:rsidRPr="002B55E9">
              <w:t>45</w:t>
            </w:r>
          </w:p>
        </w:tc>
      </w:tr>
    </w:tbl>
    <w:p w14:paraId="7861D7C1" w14:textId="77777777" w:rsidR="00D170E5" w:rsidRPr="002B55E9" w:rsidRDefault="00EF27AD">
      <w:pPr>
        <w:pStyle w:val="affff7"/>
        <w:snapToGrid w:val="0"/>
        <w:spacing w:after="0"/>
      </w:pPr>
      <w:r w:rsidRPr="002B55E9">
        <w:t>由上表计算结果可知，白天施工机械超标范围为</w:t>
      </w:r>
      <w:r w:rsidRPr="002B55E9">
        <w:t>500m</w:t>
      </w:r>
      <w:r w:rsidRPr="002B55E9">
        <w:t>以内。因高噪声的打桩机夜间禁止施工作业，所以对其它施工机械而言，夜间需在</w:t>
      </w:r>
      <w:r w:rsidRPr="002B55E9">
        <w:t>400m</w:t>
      </w:r>
      <w:r w:rsidRPr="002B55E9">
        <w:t>以外才能达到作业噪声限值。综上所述，工程施工期不可避免的会给周围环境带来一定影响，但随着工程施工活动的结束，上述不利影响将得到改善及消除。</w:t>
      </w:r>
    </w:p>
    <w:p w14:paraId="5C9EFD46" w14:textId="77777777" w:rsidR="00D170E5" w:rsidRPr="002B55E9" w:rsidRDefault="00EF27AD">
      <w:pPr>
        <w:pStyle w:val="affff7"/>
        <w:snapToGrid w:val="0"/>
        <w:spacing w:after="0"/>
      </w:pPr>
      <w:r w:rsidRPr="002B55E9">
        <w:t>此外，施工过程中各种车辆的运行，将会引起公路沿线噪声级增加。</w:t>
      </w:r>
    </w:p>
    <w:p w14:paraId="5A675180" w14:textId="77777777" w:rsidR="00D170E5" w:rsidRPr="002B55E9" w:rsidRDefault="00EF27AD">
      <w:pPr>
        <w:pStyle w:val="affff7"/>
        <w:snapToGrid w:val="0"/>
        <w:spacing w:after="0"/>
      </w:pPr>
      <w:r w:rsidRPr="002B55E9">
        <w:t>根据上述分析和评价结果，为了减轻本工程施工噪声的环境影响，建议采取以下控制措施：</w:t>
      </w:r>
    </w:p>
    <w:p w14:paraId="48AE8AFE" w14:textId="77777777" w:rsidR="00D170E5" w:rsidRPr="002B55E9" w:rsidRDefault="00EF27AD">
      <w:pPr>
        <w:pStyle w:val="affff7"/>
        <w:snapToGrid w:val="0"/>
        <w:spacing w:after="0"/>
      </w:pPr>
      <w:r w:rsidRPr="002B55E9">
        <w:rPr>
          <w:rFonts w:ascii="宋体" w:hAnsi="宋体" w:cs="宋体" w:hint="eastAsia"/>
        </w:rPr>
        <w:t>①加</w:t>
      </w:r>
      <w:r w:rsidRPr="002B55E9">
        <w:t>强施工管理，合理安排施工作业时间，禁止夜间进行高噪声施工作业。</w:t>
      </w:r>
    </w:p>
    <w:p w14:paraId="6B1716E6" w14:textId="77777777" w:rsidR="00D170E5" w:rsidRPr="002B55E9" w:rsidRDefault="00EF27AD">
      <w:pPr>
        <w:pStyle w:val="affff7"/>
        <w:snapToGrid w:val="0"/>
        <w:spacing w:after="0"/>
      </w:pPr>
      <w:r w:rsidRPr="002B55E9">
        <w:rPr>
          <w:rFonts w:ascii="宋体" w:hAnsi="宋体" w:cs="宋体" w:hint="eastAsia"/>
        </w:rPr>
        <w:t>②</w:t>
      </w:r>
      <w:r w:rsidRPr="002B55E9">
        <w:t>施工机械应尽可能放置于场地中部，可减少对周边环境的影响。</w:t>
      </w:r>
    </w:p>
    <w:p w14:paraId="6FD67395" w14:textId="77777777" w:rsidR="00D170E5" w:rsidRPr="002B55E9" w:rsidRDefault="00EF27AD">
      <w:pPr>
        <w:pStyle w:val="affff7"/>
        <w:snapToGrid w:val="0"/>
        <w:spacing w:after="0"/>
      </w:pPr>
      <w:r w:rsidRPr="002B55E9">
        <w:rPr>
          <w:rFonts w:ascii="宋体" w:hAnsi="宋体" w:cs="宋体" w:hint="eastAsia"/>
        </w:rPr>
        <w:t>③</w:t>
      </w:r>
      <w:r w:rsidRPr="002B55E9">
        <w:t>以液压工具代替气压工具。</w:t>
      </w:r>
    </w:p>
    <w:p w14:paraId="111D090D" w14:textId="77777777" w:rsidR="00D170E5" w:rsidRPr="002B55E9" w:rsidRDefault="00EF27AD">
      <w:pPr>
        <w:pStyle w:val="affff7"/>
        <w:snapToGrid w:val="0"/>
        <w:spacing w:after="0"/>
      </w:pPr>
      <w:r w:rsidRPr="002B55E9">
        <w:rPr>
          <w:rFonts w:ascii="宋体" w:hAnsi="宋体" w:cs="宋体" w:hint="eastAsia"/>
        </w:rPr>
        <w:t>④</w:t>
      </w:r>
      <w:r w:rsidRPr="002B55E9">
        <w:t>在高噪声设备周围设置掩蔽物。</w:t>
      </w:r>
    </w:p>
    <w:p w14:paraId="21F0FD2F" w14:textId="77777777" w:rsidR="00D170E5" w:rsidRPr="002B55E9" w:rsidRDefault="00EF27AD">
      <w:pPr>
        <w:pStyle w:val="affff7"/>
        <w:snapToGrid w:val="0"/>
        <w:spacing w:after="0"/>
      </w:pPr>
      <w:r w:rsidRPr="002B55E9">
        <w:rPr>
          <w:rFonts w:ascii="宋体" w:hAnsi="宋体" w:cs="宋体" w:hint="eastAsia"/>
        </w:rPr>
        <w:t>⑤</w:t>
      </w:r>
      <w:r w:rsidRPr="002B55E9">
        <w:t>尽量压缩工区汽车数量和行车密度，控制汽车鸣笛。</w:t>
      </w:r>
    </w:p>
    <w:p w14:paraId="352DB629" w14:textId="77777777" w:rsidR="00D170E5" w:rsidRPr="002B55E9" w:rsidRDefault="00EF27AD">
      <w:pPr>
        <w:pStyle w:val="affff7"/>
        <w:snapToGrid w:val="0"/>
        <w:spacing w:after="0"/>
      </w:pPr>
      <w:r w:rsidRPr="002B55E9">
        <w:rPr>
          <w:rFonts w:ascii="宋体" w:hAnsi="宋体" w:cs="宋体" w:hint="eastAsia"/>
        </w:rPr>
        <w:t>⑥</w:t>
      </w:r>
      <w:r w:rsidRPr="002B55E9">
        <w:t>做好劳动保护工作，让在噪声源附近操作的作业人员配戴防护耳塞。</w:t>
      </w:r>
    </w:p>
    <w:p w14:paraId="35B224AD" w14:textId="77777777" w:rsidR="00D170E5" w:rsidRPr="002B55E9" w:rsidRDefault="00EF27AD">
      <w:pPr>
        <w:pStyle w:val="4"/>
        <w:rPr>
          <w:color w:val="auto"/>
        </w:rPr>
      </w:pPr>
      <w:bookmarkStart w:id="218" w:name="_Toc169616446"/>
      <w:r w:rsidRPr="002B55E9">
        <w:rPr>
          <w:color w:val="auto"/>
        </w:rPr>
        <w:t>施工期固体废物</w:t>
      </w:r>
      <w:bookmarkEnd w:id="218"/>
    </w:p>
    <w:p w14:paraId="0E35DC43" w14:textId="77777777" w:rsidR="00D170E5" w:rsidRPr="002B55E9" w:rsidRDefault="00EF27AD">
      <w:pPr>
        <w:pStyle w:val="affff7"/>
        <w:snapToGrid w:val="0"/>
        <w:spacing w:after="0"/>
      </w:pPr>
      <w:r w:rsidRPr="002B55E9">
        <w:t>清理场地及基坑开挖阶段的施工垃圾，特别应强调以下两点：</w:t>
      </w:r>
    </w:p>
    <w:p w14:paraId="434FC0E5" w14:textId="77777777" w:rsidR="00D170E5" w:rsidRPr="002B55E9" w:rsidRDefault="00EF27AD">
      <w:pPr>
        <w:pStyle w:val="affff7"/>
        <w:snapToGrid w:val="0"/>
        <w:spacing w:after="0"/>
      </w:pPr>
      <w:r w:rsidRPr="002B55E9">
        <w:t>（</w:t>
      </w:r>
      <w:r w:rsidRPr="002B55E9">
        <w:t>1</w:t>
      </w:r>
      <w:r w:rsidRPr="002B55E9">
        <w:t>）建设单位应与环卫部门签定卫生责任状，共同核定清运</w:t>
      </w:r>
      <w:r w:rsidRPr="002B55E9">
        <w:rPr>
          <w:rFonts w:hint="eastAsia"/>
        </w:rPr>
        <w:t>建筑垃圾</w:t>
      </w:r>
      <w:r w:rsidRPr="002B55E9">
        <w:t>数量，领取</w:t>
      </w:r>
      <w:r w:rsidRPr="002B55E9">
        <w:rPr>
          <w:rFonts w:hint="eastAsia"/>
        </w:rPr>
        <w:t>建筑垃圾</w:t>
      </w:r>
      <w:r w:rsidRPr="002B55E9">
        <w:t>清运许可证。清运</w:t>
      </w:r>
      <w:r w:rsidRPr="002B55E9">
        <w:rPr>
          <w:rFonts w:hint="eastAsia"/>
        </w:rPr>
        <w:t>建筑垃圾</w:t>
      </w:r>
      <w:r w:rsidRPr="002B55E9">
        <w:t>单位应严格按环卫和公安部门确定的路线行驶。</w:t>
      </w:r>
    </w:p>
    <w:p w14:paraId="65A7E0C3" w14:textId="77777777" w:rsidR="00D170E5" w:rsidRPr="002B55E9" w:rsidRDefault="00EF27AD">
      <w:pPr>
        <w:pStyle w:val="affff7"/>
        <w:snapToGrid w:val="0"/>
        <w:spacing w:after="0"/>
      </w:pPr>
      <w:r w:rsidRPr="002B55E9">
        <w:lastRenderedPageBreak/>
        <w:t>（</w:t>
      </w:r>
      <w:r w:rsidRPr="002B55E9">
        <w:t>2</w:t>
      </w:r>
      <w:r w:rsidRPr="002B55E9">
        <w:t>）运送</w:t>
      </w:r>
      <w:r w:rsidRPr="002B55E9">
        <w:rPr>
          <w:rFonts w:hint="eastAsia"/>
        </w:rPr>
        <w:t>建筑垃圾</w:t>
      </w:r>
      <w:r w:rsidRPr="002B55E9">
        <w:t>应使用不漏水的翻斗车，渣土不得沿途漏散、飞扬，清运车辆进出施工现场不得带泥污染路面。主体结构及装修阶段的施工垃圾，主要为碎砖瓦砾、建筑材料的废边角余料、各种废涂料等。对这部分施工垃圾应集中收集后由市政环卫部门统一处理，分类进行综合利用和妥善处置，不得造成二次污染。</w:t>
      </w:r>
    </w:p>
    <w:p w14:paraId="7466954B" w14:textId="77777777" w:rsidR="00D170E5" w:rsidRPr="002B55E9" w:rsidRDefault="00EF27AD">
      <w:pPr>
        <w:pStyle w:val="3"/>
      </w:pPr>
      <w:bookmarkStart w:id="219" w:name="_Toc119308994"/>
      <w:bookmarkStart w:id="220" w:name="_Toc139440628"/>
      <w:bookmarkStart w:id="221" w:name="_Toc141528287"/>
      <w:r w:rsidRPr="002B55E9">
        <w:t>运营期大气环境影响</w:t>
      </w:r>
      <w:r w:rsidRPr="002B55E9">
        <w:rPr>
          <w:rFonts w:hint="eastAsia"/>
        </w:rPr>
        <w:t>预测</w:t>
      </w:r>
      <w:bookmarkEnd w:id="219"/>
    </w:p>
    <w:p w14:paraId="1E7A5323" w14:textId="77777777" w:rsidR="00D170E5" w:rsidRPr="002B55E9" w:rsidRDefault="00EF27AD">
      <w:pPr>
        <w:pStyle w:val="4"/>
        <w:rPr>
          <w:color w:val="auto"/>
        </w:rPr>
      </w:pPr>
      <w:r w:rsidRPr="002B55E9">
        <w:rPr>
          <w:rFonts w:hint="eastAsia"/>
          <w:color w:val="auto"/>
        </w:rPr>
        <w:t>区域气象数据分析</w:t>
      </w:r>
    </w:p>
    <w:p w14:paraId="55D426FA" w14:textId="77777777" w:rsidR="00D170E5" w:rsidRPr="002B55E9" w:rsidRDefault="00EF27AD">
      <w:pPr>
        <w:pStyle w:val="5"/>
      </w:pPr>
      <w:r w:rsidRPr="002B55E9">
        <w:rPr>
          <w:rFonts w:hint="eastAsia"/>
        </w:rPr>
        <w:t>气象概况</w:t>
      </w:r>
    </w:p>
    <w:p w14:paraId="46E826AD" w14:textId="77777777" w:rsidR="00D170E5" w:rsidRPr="002B55E9" w:rsidRDefault="00EF27AD">
      <w:pPr>
        <w:spacing w:after="60" w:line="360" w:lineRule="auto"/>
        <w:ind w:firstLineChars="200" w:firstLine="480"/>
        <w:rPr>
          <w:sz w:val="24"/>
        </w:rPr>
      </w:pPr>
      <w:r w:rsidRPr="002B55E9">
        <w:rPr>
          <w:rFonts w:hint="eastAsia"/>
          <w:sz w:val="24"/>
        </w:rPr>
        <w:t>本次评价采用武汉气象站（</w:t>
      </w:r>
      <w:r w:rsidRPr="002B55E9">
        <w:rPr>
          <w:rFonts w:hint="eastAsia"/>
          <w:sz w:val="24"/>
        </w:rPr>
        <w:t>57494</w:t>
      </w:r>
      <w:r w:rsidRPr="002B55E9">
        <w:rPr>
          <w:rFonts w:hint="eastAsia"/>
          <w:sz w:val="24"/>
        </w:rPr>
        <w:t>）统计资料，气象站地理坐标为东经</w:t>
      </w:r>
      <w:r w:rsidRPr="002B55E9">
        <w:rPr>
          <w:rFonts w:hint="eastAsia"/>
          <w:sz w:val="24"/>
        </w:rPr>
        <w:t>114.0506</w:t>
      </w:r>
      <w:r w:rsidRPr="002B55E9">
        <w:rPr>
          <w:rFonts w:hint="eastAsia"/>
          <w:sz w:val="24"/>
        </w:rPr>
        <w:t>度，北纬</w:t>
      </w:r>
      <w:r w:rsidRPr="002B55E9">
        <w:rPr>
          <w:rFonts w:hint="eastAsia"/>
          <w:sz w:val="24"/>
        </w:rPr>
        <w:t>30.5977</w:t>
      </w:r>
      <w:r w:rsidRPr="002B55E9">
        <w:rPr>
          <w:rFonts w:hint="eastAsia"/>
          <w:sz w:val="24"/>
        </w:rPr>
        <w:t>度，海拔高度</w:t>
      </w:r>
      <w:r w:rsidRPr="002B55E9">
        <w:rPr>
          <w:rFonts w:hint="eastAsia"/>
          <w:sz w:val="24"/>
        </w:rPr>
        <w:t>23.6</w:t>
      </w:r>
      <w:r w:rsidRPr="002B55E9">
        <w:rPr>
          <w:rFonts w:hint="eastAsia"/>
          <w:sz w:val="24"/>
        </w:rPr>
        <w:t>米。气象站始建于</w:t>
      </w:r>
      <w:r w:rsidRPr="002B55E9">
        <w:rPr>
          <w:rFonts w:hint="eastAsia"/>
          <w:sz w:val="24"/>
        </w:rPr>
        <w:t>1949</w:t>
      </w:r>
      <w:r w:rsidRPr="002B55E9">
        <w:rPr>
          <w:rFonts w:hint="eastAsia"/>
          <w:sz w:val="24"/>
        </w:rPr>
        <w:t>年，</w:t>
      </w:r>
      <w:r w:rsidRPr="002B55E9">
        <w:rPr>
          <w:rFonts w:hint="eastAsia"/>
          <w:sz w:val="24"/>
        </w:rPr>
        <w:t>1949</w:t>
      </w:r>
      <w:r w:rsidRPr="002B55E9">
        <w:rPr>
          <w:rFonts w:hint="eastAsia"/>
          <w:sz w:val="24"/>
        </w:rPr>
        <w:t>年正式进行气象观测。气象站拥有长期的气象观测资料，以下资料根据</w:t>
      </w:r>
      <w:r w:rsidRPr="002B55E9">
        <w:rPr>
          <w:rFonts w:hint="eastAsia"/>
          <w:sz w:val="24"/>
        </w:rPr>
        <w:t>2001-2020</w:t>
      </w:r>
      <w:r w:rsidRPr="002B55E9">
        <w:rPr>
          <w:rFonts w:hint="eastAsia"/>
          <w:sz w:val="24"/>
        </w:rPr>
        <w:t>年气象数据统计分析。</w:t>
      </w:r>
    </w:p>
    <w:p w14:paraId="53209D3A" w14:textId="77777777" w:rsidR="00D170E5" w:rsidRPr="002B55E9" w:rsidRDefault="00EF27AD">
      <w:pPr>
        <w:jc w:val="center"/>
        <w:rPr>
          <w:rFonts w:ascii="黑体" w:eastAsia="黑体" w:hAnsi="黑体"/>
          <w:b/>
          <w:sz w:val="24"/>
        </w:rPr>
      </w:pPr>
      <w:bookmarkStart w:id="222" w:name="_Toc293996833"/>
      <w:r w:rsidRPr="002B55E9">
        <w:rPr>
          <w:rFonts w:ascii="黑体" w:eastAsia="黑体" w:hAnsi="黑体"/>
          <w:b/>
          <w:sz w:val="24"/>
        </w:rPr>
        <w:t>表</w:t>
      </w:r>
      <w:r w:rsidRPr="002B55E9">
        <w:rPr>
          <w:rFonts w:eastAsia="黑体" w:hint="eastAsia"/>
          <w:b/>
          <w:sz w:val="24"/>
        </w:rPr>
        <w:t>5</w:t>
      </w:r>
      <w:r w:rsidRPr="002B55E9">
        <w:rPr>
          <w:rFonts w:ascii="黑体" w:eastAsia="黑体" w:hAnsi="黑体" w:hint="eastAsia"/>
          <w:b/>
          <w:sz w:val="24"/>
        </w:rPr>
        <w:t>-</w:t>
      </w:r>
      <w:r w:rsidRPr="002B55E9">
        <w:rPr>
          <w:rFonts w:eastAsia="黑体" w:hint="eastAsia"/>
          <w:b/>
          <w:sz w:val="24"/>
        </w:rPr>
        <w:t>2</w:t>
      </w:r>
      <w:r w:rsidRPr="002B55E9">
        <w:rPr>
          <w:rFonts w:ascii="黑体" w:eastAsia="黑体" w:hAnsi="黑体"/>
          <w:b/>
          <w:sz w:val="24"/>
        </w:rPr>
        <w:t>-</w:t>
      </w:r>
      <w:r w:rsidRPr="002B55E9">
        <w:rPr>
          <w:rFonts w:eastAsia="黑体"/>
          <w:b/>
          <w:sz w:val="24"/>
        </w:rPr>
        <w:t>1</w:t>
      </w:r>
      <w:r w:rsidRPr="002B55E9">
        <w:rPr>
          <w:rFonts w:ascii="黑体" w:eastAsia="黑体" w:hAnsi="黑体"/>
          <w:b/>
          <w:sz w:val="24"/>
        </w:rPr>
        <w:t xml:space="preserve">  武汉市气候（</w:t>
      </w:r>
      <w:r w:rsidRPr="002B55E9">
        <w:rPr>
          <w:rFonts w:eastAsia="黑体" w:hint="eastAsia"/>
          <w:b/>
          <w:sz w:val="24"/>
        </w:rPr>
        <w:t>2001</w:t>
      </w:r>
      <w:r w:rsidRPr="002B55E9">
        <w:rPr>
          <w:rFonts w:ascii="黑体" w:eastAsia="黑体" w:hAnsi="黑体" w:hint="eastAsia"/>
          <w:b/>
          <w:sz w:val="24"/>
        </w:rPr>
        <w:t>～</w:t>
      </w:r>
      <w:r w:rsidRPr="002B55E9">
        <w:rPr>
          <w:rFonts w:eastAsia="黑体"/>
          <w:b/>
          <w:sz w:val="24"/>
        </w:rPr>
        <w:t>20</w:t>
      </w:r>
      <w:r w:rsidRPr="002B55E9">
        <w:rPr>
          <w:rFonts w:eastAsia="黑体" w:hint="eastAsia"/>
          <w:b/>
          <w:sz w:val="24"/>
        </w:rPr>
        <w:t>20</w:t>
      </w:r>
      <w:r w:rsidRPr="002B55E9">
        <w:rPr>
          <w:rFonts w:ascii="黑体" w:eastAsia="黑体" w:hAnsi="黑体"/>
          <w:b/>
          <w:sz w:val="24"/>
        </w:rPr>
        <w:t>年）统计数据一览表</w:t>
      </w:r>
      <w:bookmarkEnd w:id="222"/>
    </w:p>
    <w:tbl>
      <w:tblPr>
        <w:tblW w:w="963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07"/>
        <w:gridCol w:w="3061"/>
        <w:gridCol w:w="1578"/>
        <w:gridCol w:w="2025"/>
        <w:gridCol w:w="1566"/>
      </w:tblGrid>
      <w:tr w:rsidR="002B55E9" w:rsidRPr="002B55E9" w14:paraId="3CE0A747" w14:textId="77777777">
        <w:trPr>
          <w:trHeight w:val="284"/>
          <w:jc w:val="center"/>
        </w:trPr>
        <w:tc>
          <w:tcPr>
            <w:tcW w:w="4468" w:type="dxa"/>
            <w:gridSpan w:val="2"/>
            <w:tcBorders>
              <w:top w:val="single" w:sz="12" w:space="0" w:color="auto"/>
              <w:bottom w:val="single" w:sz="12" w:space="0" w:color="auto"/>
            </w:tcBorders>
            <w:vAlign w:val="center"/>
          </w:tcPr>
          <w:p w14:paraId="253CA6DE" w14:textId="77777777" w:rsidR="00D170E5" w:rsidRPr="002B55E9" w:rsidRDefault="00EF27AD">
            <w:pPr>
              <w:pStyle w:val="affffffffffffffffff6"/>
              <w:rPr>
                <w:szCs w:val="18"/>
              </w:rPr>
            </w:pPr>
            <w:r w:rsidRPr="002B55E9">
              <w:rPr>
                <w:szCs w:val="18"/>
              </w:rPr>
              <w:t>统计项目</w:t>
            </w:r>
          </w:p>
        </w:tc>
        <w:tc>
          <w:tcPr>
            <w:tcW w:w="1578" w:type="dxa"/>
            <w:tcBorders>
              <w:top w:val="single" w:sz="12" w:space="0" w:color="auto"/>
              <w:bottom w:val="single" w:sz="12" w:space="0" w:color="auto"/>
            </w:tcBorders>
            <w:vAlign w:val="center"/>
          </w:tcPr>
          <w:p w14:paraId="22DA6299" w14:textId="77777777" w:rsidR="00D170E5" w:rsidRPr="002B55E9" w:rsidRDefault="00EF27AD">
            <w:pPr>
              <w:pStyle w:val="affffffffffffffffff6"/>
              <w:rPr>
                <w:szCs w:val="18"/>
              </w:rPr>
            </w:pPr>
            <w:r w:rsidRPr="002B55E9">
              <w:rPr>
                <w:szCs w:val="18"/>
              </w:rPr>
              <w:t>*</w:t>
            </w:r>
            <w:r w:rsidRPr="002B55E9">
              <w:rPr>
                <w:szCs w:val="18"/>
              </w:rPr>
              <w:t>统计值</w:t>
            </w:r>
          </w:p>
        </w:tc>
        <w:tc>
          <w:tcPr>
            <w:tcW w:w="2025" w:type="dxa"/>
            <w:tcBorders>
              <w:top w:val="single" w:sz="12" w:space="0" w:color="auto"/>
              <w:bottom w:val="single" w:sz="12" w:space="0" w:color="auto"/>
            </w:tcBorders>
            <w:vAlign w:val="center"/>
          </w:tcPr>
          <w:p w14:paraId="2F055A28" w14:textId="77777777" w:rsidR="00D170E5" w:rsidRPr="002B55E9" w:rsidRDefault="00EF27AD">
            <w:pPr>
              <w:pStyle w:val="affffffffffffffffff6"/>
              <w:rPr>
                <w:szCs w:val="18"/>
              </w:rPr>
            </w:pPr>
            <w:r w:rsidRPr="002B55E9">
              <w:rPr>
                <w:szCs w:val="18"/>
              </w:rPr>
              <w:t>极值出现时间</w:t>
            </w:r>
          </w:p>
        </w:tc>
        <w:tc>
          <w:tcPr>
            <w:tcW w:w="1566" w:type="dxa"/>
            <w:tcBorders>
              <w:top w:val="single" w:sz="12" w:space="0" w:color="auto"/>
              <w:bottom w:val="single" w:sz="12" w:space="0" w:color="auto"/>
            </w:tcBorders>
            <w:vAlign w:val="center"/>
          </w:tcPr>
          <w:p w14:paraId="7B606A73" w14:textId="77777777" w:rsidR="00D170E5" w:rsidRPr="002B55E9" w:rsidRDefault="00EF27AD">
            <w:pPr>
              <w:pStyle w:val="affffffffffffffffff6"/>
              <w:rPr>
                <w:szCs w:val="18"/>
              </w:rPr>
            </w:pPr>
            <w:r w:rsidRPr="002B55E9">
              <w:rPr>
                <w:szCs w:val="18"/>
              </w:rPr>
              <w:t>**</w:t>
            </w:r>
            <w:r w:rsidRPr="002B55E9">
              <w:rPr>
                <w:szCs w:val="18"/>
              </w:rPr>
              <w:t>极值</w:t>
            </w:r>
          </w:p>
        </w:tc>
      </w:tr>
      <w:tr w:rsidR="002B55E9" w:rsidRPr="002B55E9" w14:paraId="6F80F9B9" w14:textId="77777777">
        <w:trPr>
          <w:trHeight w:val="284"/>
          <w:jc w:val="center"/>
        </w:trPr>
        <w:tc>
          <w:tcPr>
            <w:tcW w:w="4468" w:type="dxa"/>
            <w:gridSpan w:val="2"/>
            <w:tcBorders>
              <w:top w:val="single" w:sz="12" w:space="0" w:color="auto"/>
            </w:tcBorders>
            <w:vAlign w:val="center"/>
          </w:tcPr>
          <w:p w14:paraId="117E1F0B" w14:textId="77777777" w:rsidR="00D170E5" w:rsidRPr="002B55E9" w:rsidRDefault="00EF27AD">
            <w:pPr>
              <w:pStyle w:val="affffffffffffffffff6"/>
              <w:rPr>
                <w:szCs w:val="18"/>
              </w:rPr>
            </w:pPr>
            <w:r w:rsidRPr="002B55E9">
              <w:rPr>
                <w:szCs w:val="18"/>
              </w:rPr>
              <w:t>多年平均气温（</w:t>
            </w:r>
            <w:r w:rsidRPr="002B55E9">
              <w:rPr>
                <w:rFonts w:ascii="宋体" w:hAnsi="宋体" w:cs="宋体" w:hint="eastAsia"/>
                <w:szCs w:val="18"/>
              </w:rPr>
              <w:t>℃</w:t>
            </w:r>
            <w:r w:rsidRPr="002B55E9">
              <w:rPr>
                <w:szCs w:val="18"/>
              </w:rPr>
              <w:t>）</w:t>
            </w:r>
          </w:p>
        </w:tc>
        <w:tc>
          <w:tcPr>
            <w:tcW w:w="1578" w:type="dxa"/>
            <w:tcBorders>
              <w:top w:val="single" w:sz="12" w:space="0" w:color="auto"/>
            </w:tcBorders>
            <w:vAlign w:val="center"/>
          </w:tcPr>
          <w:p w14:paraId="2E79B114" w14:textId="77777777" w:rsidR="00D170E5" w:rsidRPr="002B55E9" w:rsidRDefault="00EF27AD">
            <w:pPr>
              <w:pStyle w:val="affffffffffffffffff6"/>
              <w:rPr>
                <w:szCs w:val="18"/>
              </w:rPr>
            </w:pPr>
            <w:r w:rsidRPr="002B55E9">
              <w:rPr>
                <w:szCs w:val="18"/>
              </w:rPr>
              <w:t>17.4</w:t>
            </w:r>
          </w:p>
        </w:tc>
        <w:tc>
          <w:tcPr>
            <w:tcW w:w="2025" w:type="dxa"/>
            <w:tcBorders>
              <w:top w:val="single" w:sz="12" w:space="0" w:color="auto"/>
            </w:tcBorders>
            <w:vAlign w:val="center"/>
          </w:tcPr>
          <w:p w14:paraId="0D8B1C11" w14:textId="77777777" w:rsidR="00D170E5" w:rsidRPr="002B55E9" w:rsidRDefault="00D170E5">
            <w:pPr>
              <w:pStyle w:val="affffffffffffffffff6"/>
              <w:rPr>
                <w:szCs w:val="18"/>
              </w:rPr>
            </w:pPr>
          </w:p>
        </w:tc>
        <w:tc>
          <w:tcPr>
            <w:tcW w:w="1566" w:type="dxa"/>
            <w:tcBorders>
              <w:top w:val="single" w:sz="12" w:space="0" w:color="auto"/>
            </w:tcBorders>
            <w:vAlign w:val="center"/>
          </w:tcPr>
          <w:p w14:paraId="2CC07CD0" w14:textId="77777777" w:rsidR="00D170E5" w:rsidRPr="002B55E9" w:rsidRDefault="00D170E5">
            <w:pPr>
              <w:pStyle w:val="affffffffffffffffff6"/>
              <w:rPr>
                <w:szCs w:val="18"/>
              </w:rPr>
            </w:pPr>
          </w:p>
        </w:tc>
      </w:tr>
      <w:tr w:rsidR="002B55E9" w:rsidRPr="002B55E9" w14:paraId="0400BF69" w14:textId="77777777">
        <w:trPr>
          <w:trHeight w:val="284"/>
          <w:jc w:val="center"/>
        </w:trPr>
        <w:tc>
          <w:tcPr>
            <w:tcW w:w="4468" w:type="dxa"/>
            <w:gridSpan w:val="2"/>
            <w:vAlign w:val="center"/>
          </w:tcPr>
          <w:p w14:paraId="41F916F5" w14:textId="77777777" w:rsidR="00D170E5" w:rsidRPr="002B55E9" w:rsidRDefault="00EF27AD">
            <w:pPr>
              <w:pStyle w:val="affffffffffffffffff6"/>
              <w:rPr>
                <w:szCs w:val="18"/>
              </w:rPr>
            </w:pPr>
            <w:r w:rsidRPr="002B55E9">
              <w:rPr>
                <w:szCs w:val="18"/>
              </w:rPr>
              <w:t>累年极端最高气温（</w:t>
            </w:r>
            <w:r w:rsidRPr="002B55E9">
              <w:rPr>
                <w:rFonts w:ascii="宋体" w:hAnsi="宋体" w:cs="宋体" w:hint="eastAsia"/>
                <w:szCs w:val="18"/>
              </w:rPr>
              <w:t>℃</w:t>
            </w:r>
            <w:r w:rsidRPr="002B55E9">
              <w:rPr>
                <w:szCs w:val="18"/>
              </w:rPr>
              <w:t>）</w:t>
            </w:r>
          </w:p>
        </w:tc>
        <w:tc>
          <w:tcPr>
            <w:tcW w:w="1578" w:type="dxa"/>
            <w:vAlign w:val="center"/>
          </w:tcPr>
          <w:p w14:paraId="0BF28C73" w14:textId="77777777" w:rsidR="00D170E5" w:rsidRPr="002B55E9" w:rsidRDefault="00EF27AD">
            <w:pPr>
              <w:pStyle w:val="affffffffffffffffff6"/>
              <w:rPr>
                <w:szCs w:val="18"/>
              </w:rPr>
            </w:pPr>
            <w:r w:rsidRPr="002B55E9">
              <w:rPr>
                <w:szCs w:val="18"/>
              </w:rPr>
              <w:t>38.</w:t>
            </w:r>
            <w:r w:rsidRPr="002B55E9">
              <w:rPr>
                <w:rFonts w:hint="eastAsia"/>
                <w:szCs w:val="18"/>
              </w:rPr>
              <w:t>1</w:t>
            </w:r>
          </w:p>
        </w:tc>
        <w:tc>
          <w:tcPr>
            <w:tcW w:w="2025" w:type="dxa"/>
            <w:vAlign w:val="center"/>
          </w:tcPr>
          <w:p w14:paraId="7302CA47" w14:textId="77777777" w:rsidR="00D170E5" w:rsidRPr="002B55E9" w:rsidRDefault="00EF27AD">
            <w:pPr>
              <w:pStyle w:val="affffffffffffffffff6"/>
              <w:rPr>
                <w:szCs w:val="18"/>
              </w:rPr>
            </w:pPr>
            <w:r w:rsidRPr="002B55E9">
              <w:rPr>
                <w:szCs w:val="18"/>
              </w:rPr>
              <w:t>2017-07-27</w:t>
            </w:r>
          </w:p>
        </w:tc>
        <w:tc>
          <w:tcPr>
            <w:tcW w:w="1566" w:type="dxa"/>
            <w:vAlign w:val="center"/>
          </w:tcPr>
          <w:p w14:paraId="4D16EFF7" w14:textId="77777777" w:rsidR="00D170E5" w:rsidRPr="002B55E9" w:rsidRDefault="00EF27AD">
            <w:pPr>
              <w:pStyle w:val="affffffffffffffffff6"/>
              <w:rPr>
                <w:szCs w:val="18"/>
              </w:rPr>
            </w:pPr>
            <w:r w:rsidRPr="002B55E9">
              <w:rPr>
                <w:szCs w:val="18"/>
              </w:rPr>
              <w:t>39.7</w:t>
            </w:r>
          </w:p>
        </w:tc>
      </w:tr>
      <w:tr w:rsidR="002B55E9" w:rsidRPr="002B55E9" w14:paraId="27FE63A5" w14:textId="77777777">
        <w:trPr>
          <w:trHeight w:val="284"/>
          <w:jc w:val="center"/>
        </w:trPr>
        <w:tc>
          <w:tcPr>
            <w:tcW w:w="4468" w:type="dxa"/>
            <w:gridSpan w:val="2"/>
            <w:vAlign w:val="center"/>
          </w:tcPr>
          <w:p w14:paraId="2BBBC91B" w14:textId="77777777" w:rsidR="00D170E5" w:rsidRPr="002B55E9" w:rsidRDefault="00EF27AD">
            <w:pPr>
              <w:pStyle w:val="affffffffffffffffff6"/>
              <w:rPr>
                <w:szCs w:val="18"/>
              </w:rPr>
            </w:pPr>
            <w:r w:rsidRPr="002B55E9">
              <w:rPr>
                <w:szCs w:val="18"/>
              </w:rPr>
              <w:t>累年极端最低气温（</w:t>
            </w:r>
            <w:r w:rsidRPr="002B55E9">
              <w:rPr>
                <w:rFonts w:ascii="宋体" w:hAnsi="宋体" w:cs="宋体" w:hint="eastAsia"/>
                <w:szCs w:val="18"/>
              </w:rPr>
              <w:t>℃</w:t>
            </w:r>
            <w:r w:rsidRPr="002B55E9">
              <w:rPr>
                <w:szCs w:val="18"/>
              </w:rPr>
              <w:t>）</w:t>
            </w:r>
          </w:p>
        </w:tc>
        <w:tc>
          <w:tcPr>
            <w:tcW w:w="1578" w:type="dxa"/>
            <w:vAlign w:val="center"/>
          </w:tcPr>
          <w:p w14:paraId="5E1EDFDB" w14:textId="77777777" w:rsidR="00D170E5" w:rsidRPr="002B55E9" w:rsidRDefault="00EF27AD">
            <w:pPr>
              <w:pStyle w:val="affffffffffffffffff6"/>
              <w:rPr>
                <w:szCs w:val="18"/>
              </w:rPr>
            </w:pPr>
            <w:r w:rsidRPr="002B55E9">
              <w:rPr>
                <w:szCs w:val="18"/>
              </w:rPr>
              <w:t>-5.</w:t>
            </w:r>
            <w:r w:rsidRPr="002B55E9">
              <w:rPr>
                <w:rFonts w:hint="eastAsia"/>
                <w:szCs w:val="18"/>
              </w:rPr>
              <w:t>2</w:t>
            </w:r>
          </w:p>
        </w:tc>
        <w:tc>
          <w:tcPr>
            <w:tcW w:w="2025" w:type="dxa"/>
            <w:vAlign w:val="center"/>
          </w:tcPr>
          <w:p w14:paraId="617EC699" w14:textId="77777777" w:rsidR="00D170E5" w:rsidRPr="002B55E9" w:rsidRDefault="00EF27AD">
            <w:pPr>
              <w:pStyle w:val="affffffffffffffffff6"/>
              <w:rPr>
                <w:szCs w:val="18"/>
              </w:rPr>
            </w:pPr>
            <w:r w:rsidRPr="002B55E9">
              <w:rPr>
                <w:szCs w:val="18"/>
              </w:rPr>
              <w:t>2016-01-25</w:t>
            </w:r>
          </w:p>
        </w:tc>
        <w:tc>
          <w:tcPr>
            <w:tcW w:w="1566" w:type="dxa"/>
            <w:vAlign w:val="center"/>
          </w:tcPr>
          <w:p w14:paraId="5795C6F4" w14:textId="77777777" w:rsidR="00D170E5" w:rsidRPr="002B55E9" w:rsidRDefault="00EF27AD">
            <w:pPr>
              <w:pStyle w:val="affffffffffffffffff6"/>
              <w:rPr>
                <w:szCs w:val="18"/>
              </w:rPr>
            </w:pPr>
            <w:r w:rsidRPr="002B55E9">
              <w:rPr>
                <w:szCs w:val="18"/>
              </w:rPr>
              <w:t>-9.4</w:t>
            </w:r>
          </w:p>
        </w:tc>
      </w:tr>
      <w:tr w:rsidR="002B55E9" w:rsidRPr="002B55E9" w14:paraId="2EED23F0" w14:textId="77777777">
        <w:trPr>
          <w:trHeight w:val="284"/>
          <w:jc w:val="center"/>
        </w:trPr>
        <w:tc>
          <w:tcPr>
            <w:tcW w:w="4468" w:type="dxa"/>
            <w:gridSpan w:val="2"/>
            <w:vAlign w:val="center"/>
          </w:tcPr>
          <w:p w14:paraId="65418515" w14:textId="77777777" w:rsidR="00D170E5" w:rsidRPr="002B55E9" w:rsidRDefault="00EF27AD">
            <w:pPr>
              <w:pStyle w:val="affffffffffffffffff6"/>
              <w:rPr>
                <w:szCs w:val="18"/>
              </w:rPr>
            </w:pPr>
            <w:r w:rsidRPr="002B55E9">
              <w:rPr>
                <w:szCs w:val="18"/>
              </w:rPr>
              <w:t>多年平均气压（</w:t>
            </w:r>
            <w:r w:rsidRPr="002B55E9">
              <w:rPr>
                <w:szCs w:val="18"/>
              </w:rPr>
              <w:t>hPa</w:t>
            </w:r>
            <w:r w:rsidRPr="002B55E9">
              <w:rPr>
                <w:szCs w:val="18"/>
              </w:rPr>
              <w:t>）</w:t>
            </w:r>
          </w:p>
        </w:tc>
        <w:tc>
          <w:tcPr>
            <w:tcW w:w="1578" w:type="dxa"/>
            <w:vAlign w:val="center"/>
          </w:tcPr>
          <w:p w14:paraId="1D9B7629" w14:textId="77777777" w:rsidR="00D170E5" w:rsidRPr="002B55E9" w:rsidRDefault="00EF27AD">
            <w:pPr>
              <w:pStyle w:val="affffffffffffffffff6"/>
              <w:rPr>
                <w:szCs w:val="18"/>
              </w:rPr>
            </w:pPr>
            <w:r w:rsidRPr="002B55E9">
              <w:rPr>
                <w:szCs w:val="18"/>
              </w:rPr>
              <w:t>1013.</w:t>
            </w:r>
            <w:r w:rsidRPr="002B55E9">
              <w:rPr>
                <w:rFonts w:hint="eastAsia"/>
                <w:szCs w:val="18"/>
              </w:rPr>
              <w:t>1</w:t>
            </w:r>
          </w:p>
        </w:tc>
        <w:tc>
          <w:tcPr>
            <w:tcW w:w="2025" w:type="dxa"/>
            <w:vAlign w:val="center"/>
          </w:tcPr>
          <w:p w14:paraId="7010BC36" w14:textId="77777777" w:rsidR="00D170E5" w:rsidRPr="002B55E9" w:rsidRDefault="00D170E5">
            <w:pPr>
              <w:pStyle w:val="affffffffffffffffff6"/>
              <w:rPr>
                <w:szCs w:val="18"/>
              </w:rPr>
            </w:pPr>
          </w:p>
        </w:tc>
        <w:tc>
          <w:tcPr>
            <w:tcW w:w="1566" w:type="dxa"/>
            <w:vAlign w:val="center"/>
          </w:tcPr>
          <w:p w14:paraId="4D116218" w14:textId="77777777" w:rsidR="00D170E5" w:rsidRPr="002B55E9" w:rsidRDefault="00D170E5">
            <w:pPr>
              <w:pStyle w:val="affffffffffffffffff6"/>
              <w:rPr>
                <w:szCs w:val="18"/>
              </w:rPr>
            </w:pPr>
          </w:p>
        </w:tc>
      </w:tr>
      <w:tr w:rsidR="002B55E9" w:rsidRPr="002B55E9" w14:paraId="78DD2433" w14:textId="77777777">
        <w:trPr>
          <w:trHeight w:val="284"/>
          <w:jc w:val="center"/>
        </w:trPr>
        <w:tc>
          <w:tcPr>
            <w:tcW w:w="4468" w:type="dxa"/>
            <w:gridSpan w:val="2"/>
            <w:vAlign w:val="center"/>
          </w:tcPr>
          <w:p w14:paraId="5A887345" w14:textId="77777777" w:rsidR="00D170E5" w:rsidRPr="002B55E9" w:rsidRDefault="00EF27AD">
            <w:pPr>
              <w:pStyle w:val="affffffffffffffffff6"/>
              <w:rPr>
                <w:szCs w:val="18"/>
              </w:rPr>
            </w:pPr>
            <w:r w:rsidRPr="002B55E9">
              <w:rPr>
                <w:szCs w:val="18"/>
              </w:rPr>
              <w:t>多年平均水汽压（</w:t>
            </w:r>
            <w:r w:rsidRPr="002B55E9">
              <w:rPr>
                <w:szCs w:val="18"/>
              </w:rPr>
              <w:t>hPa</w:t>
            </w:r>
            <w:r w:rsidRPr="002B55E9">
              <w:rPr>
                <w:szCs w:val="18"/>
              </w:rPr>
              <w:t>）</w:t>
            </w:r>
          </w:p>
        </w:tc>
        <w:tc>
          <w:tcPr>
            <w:tcW w:w="1578" w:type="dxa"/>
            <w:vAlign w:val="center"/>
          </w:tcPr>
          <w:p w14:paraId="3FBB0A0A" w14:textId="77777777" w:rsidR="00D170E5" w:rsidRPr="002B55E9" w:rsidRDefault="00EF27AD">
            <w:pPr>
              <w:pStyle w:val="affffffffffffffffff6"/>
              <w:rPr>
                <w:szCs w:val="18"/>
              </w:rPr>
            </w:pPr>
            <w:r w:rsidRPr="002B55E9">
              <w:rPr>
                <w:szCs w:val="18"/>
              </w:rPr>
              <w:t>16.8</w:t>
            </w:r>
          </w:p>
        </w:tc>
        <w:tc>
          <w:tcPr>
            <w:tcW w:w="2025" w:type="dxa"/>
            <w:vAlign w:val="center"/>
          </w:tcPr>
          <w:p w14:paraId="057CF1A9" w14:textId="77777777" w:rsidR="00D170E5" w:rsidRPr="002B55E9" w:rsidRDefault="00D170E5">
            <w:pPr>
              <w:pStyle w:val="affffffffffffffffff6"/>
              <w:rPr>
                <w:szCs w:val="18"/>
              </w:rPr>
            </w:pPr>
          </w:p>
        </w:tc>
        <w:tc>
          <w:tcPr>
            <w:tcW w:w="1566" w:type="dxa"/>
            <w:vAlign w:val="center"/>
          </w:tcPr>
          <w:p w14:paraId="254F9393" w14:textId="77777777" w:rsidR="00D170E5" w:rsidRPr="002B55E9" w:rsidRDefault="00D170E5">
            <w:pPr>
              <w:pStyle w:val="affffffffffffffffff6"/>
              <w:rPr>
                <w:szCs w:val="18"/>
              </w:rPr>
            </w:pPr>
          </w:p>
        </w:tc>
      </w:tr>
      <w:tr w:rsidR="002B55E9" w:rsidRPr="002B55E9" w14:paraId="1691F89C" w14:textId="77777777">
        <w:trPr>
          <w:trHeight w:val="284"/>
          <w:jc w:val="center"/>
        </w:trPr>
        <w:tc>
          <w:tcPr>
            <w:tcW w:w="4468" w:type="dxa"/>
            <w:gridSpan w:val="2"/>
            <w:vAlign w:val="center"/>
          </w:tcPr>
          <w:p w14:paraId="56C2A266" w14:textId="77777777" w:rsidR="00D170E5" w:rsidRPr="002B55E9" w:rsidRDefault="00EF27AD">
            <w:pPr>
              <w:pStyle w:val="affffffffffffffffff6"/>
              <w:rPr>
                <w:szCs w:val="18"/>
              </w:rPr>
            </w:pPr>
            <w:r w:rsidRPr="002B55E9">
              <w:rPr>
                <w:szCs w:val="18"/>
              </w:rPr>
              <w:t>多年平均相对湿度</w:t>
            </w:r>
            <w:r w:rsidRPr="002B55E9">
              <w:rPr>
                <w:szCs w:val="18"/>
              </w:rPr>
              <w:t>(%)</w:t>
            </w:r>
          </w:p>
        </w:tc>
        <w:tc>
          <w:tcPr>
            <w:tcW w:w="1578" w:type="dxa"/>
            <w:vAlign w:val="center"/>
          </w:tcPr>
          <w:p w14:paraId="03DD1639" w14:textId="77777777" w:rsidR="00D170E5" w:rsidRPr="002B55E9" w:rsidRDefault="00EF27AD">
            <w:pPr>
              <w:pStyle w:val="affffffffffffffffff6"/>
              <w:rPr>
                <w:szCs w:val="18"/>
              </w:rPr>
            </w:pPr>
            <w:r w:rsidRPr="002B55E9">
              <w:rPr>
                <w:szCs w:val="18"/>
              </w:rPr>
              <w:t>75.</w:t>
            </w:r>
            <w:r w:rsidRPr="002B55E9">
              <w:rPr>
                <w:rFonts w:hint="eastAsia"/>
                <w:szCs w:val="18"/>
              </w:rPr>
              <w:t>6</w:t>
            </w:r>
          </w:p>
        </w:tc>
        <w:tc>
          <w:tcPr>
            <w:tcW w:w="2025" w:type="dxa"/>
            <w:vAlign w:val="center"/>
          </w:tcPr>
          <w:p w14:paraId="53AA4326" w14:textId="77777777" w:rsidR="00D170E5" w:rsidRPr="002B55E9" w:rsidRDefault="00D170E5">
            <w:pPr>
              <w:pStyle w:val="affffffffffffffffff6"/>
              <w:rPr>
                <w:szCs w:val="18"/>
              </w:rPr>
            </w:pPr>
          </w:p>
        </w:tc>
        <w:tc>
          <w:tcPr>
            <w:tcW w:w="1566" w:type="dxa"/>
            <w:vAlign w:val="center"/>
          </w:tcPr>
          <w:p w14:paraId="45DEFCB8" w14:textId="77777777" w:rsidR="00D170E5" w:rsidRPr="002B55E9" w:rsidRDefault="00D170E5">
            <w:pPr>
              <w:pStyle w:val="affffffffffffffffff6"/>
              <w:rPr>
                <w:szCs w:val="18"/>
              </w:rPr>
            </w:pPr>
          </w:p>
        </w:tc>
      </w:tr>
      <w:tr w:rsidR="002B55E9" w:rsidRPr="002B55E9" w14:paraId="22AB7043" w14:textId="77777777">
        <w:trPr>
          <w:trHeight w:val="284"/>
          <w:jc w:val="center"/>
        </w:trPr>
        <w:tc>
          <w:tcPr>
            <w:tcW w:w="4468" w:type="dxa"/>
            <w:gridSpan w:val="2"/>
            <w:vAlign w:val="center"/>
          </w:tcPr>
          <w:p w14:paraId="78FB435F" w14:textId="77777777" w:rsidR="00D170E5" w:rsidRPr="002B55E9" w:rsidRDefault="00EF27AD">
            <w:pPr>
              <w:pStyle w:val="affffffffffffffffff6"/>
              <w:rPr>
                <w:szCs w:val="18"/>
              </w:rPr>
            </w:pPr>
            <w:r w:rsidRPr="002B55E9">
              <w:rPr>
                <w:szCs w:val="18"/>
              </w:rPr>
              <w:t>多年平均降雨量</w:t>
            </w:r>
            <w:r w:rsidRPr="002B55E9">
              <w:rPr>
                <w:szCs w:val="18"/>
              </w:rPr>
              <w:t>(mm)</w:t>
            </w:r>
          </w:p>
        </w:tc>
        <w:tc>
          <w:tcPr>
            <w:tcW w:w="1578" w:type="dxa"/>
            <w:vAlign w:val="center"/>
          </w:tcPr>
          <w:p w14:paraId="5A549762" w14:textId="77777777" w:rsidR="00D170E5" w:rsidRPr="002B55E9" w:rsidRDefault="00EF27AD">
            <w:pPr>
              <w:pStyle w:val="affffffffffffffffff6"/>
              <w:rPr>
                <w:szCs w:val="18"/>
              </w:rPr>
            </w:pPr>
            <w:r w:rsidRPr="002B55E9">
              <w:rPr>
                <w:szCs w:val="18"/>
              </w:rPr>
              <w:t>12</w:t>
            </w:r>
            <w:r w:rsidRPr="002B55E9">
              <w:rPr>
                <w:rFonts w:hint="eastAsia"/>
                <w:szCs w:val="18"/>
              </w:rPr>
              <w:t>95.3</w:t>
            </w:r>
          </w:p>
        </w:tc>
        <w:tc>
          <w:tcPr>
            <w:tcW w:w="2025" w:type="dxa"/>
            <w:vAlign w:val="center"/>
          </w:tcPr>
          <w:p w14:paraId="7A407ED0" w14:textId="77777777" w:rsidR="00D170E5" w:rsidRPr="002B55E9" w:rsidRDefault="00EF27AD">
            <w:pPr>
              <w:pStyle w:val="affffffffffffffffff6"/>
              <w:rPr>
                <w:szCs w:val="18"/>
              </w:rPr>
            </w:pPr>
            <w:r w:rsidRPr="002B55E9">
              <w:rPr>
                <w:szCs w:val="18"/>
              </w:rPr>
              <w:t>2016-07-06</w:t>
            </w:r>
          </w:p>
        </w:tc>
        <w:tc>
          <w:tcPr>
            <w:tcW w:w="1566" w:type="dxa"/>
            <w:vAlign w:val="center"/>
          </w:tcPr>
          <w:p w14:paraId="174DE734" w14:textId="77777777" w:rsidR="00D170E5" w:rsidRPr="002B55E9" w:rsidRDefault="00EF27AD">
            <w:pPr>
              <w:pStyle w:val="affffffffffffffffff6"/>
              <w:rPr>
                <w:szCs w:val="18"/>
              </w:rPr>
            </w:pPr>
            <w:r w:rsidRPr="002B55E9">
              <w:rPr>
                <w:szCs w:val="18"/>
              </w:rPr>
              <w:t>241.5</w:t>
            </w:r>
          </w:p>
        </w:tc>
      </w:tr>
      <w:tr w:rsidR="002B55E9" w:rsidRPr="002B55E9" w14:paraId="3577C0C9" w14:textId="77777777">
        <w:trPr>
          <w:trHeight w:val="284"/>
          <w:jc w:val="center"/>
        </w:trPr>
        <w:tc>
          <w:tcPr>
            <w:tcW w:w="1407" w:type="dxa"/>
            <w:vMerge w:val="restart"/>
            <w:vAlign w:val="center"/>
          </w:tcPr>
          <w:p w14:paraId="25FE80ED" w14:textId="77777777" w:rsidR="00D170E5" w:rsidRPr="002B55E9" w:rsidRDefault="00EF27AD">
            <w:pPr>
              <w:pStyle w:val="affffffffffffffffff6"/>
              <w:rPr>
                <w:szCs w:val="18"/>
              </w:rPr>
            </w:pPr>
            <w:r w:rsidRPr="002B55E9">
              <w:rPr>
                <w:szCs w:val="18"/>
              </w:rPr>
              <w:t>灾害天气统计</w:t>
            </w:r>
          </w:p>
        </w:tc>
        <w:tc>
          <w:tcPr>
            <w:tcW w:w="3061" w:type="dxa"/>
            <w:vAlign w:val="center"/>
          </w:tcPr>
          <w:p w14:paraId="2FA4BB9F" w14:textId="77777777" w:rsidR="00D170E5" w:rsidRPr="002B55E9" w:rsidRDefault="00EF27AD">
            <w:pPr>
              <w:pStyle w:val="affffffffffffffffff6"/>
              <w:rPr>
                <w:szCs w:val="18"/>
              </w:rPr>
            </w:pPr>
            <w:r w:rsidRPr="002B55E9">
              <w:rPr>
                <w:szCs w:val="18"/>
              </w:rPr>
              <w:t>多年平均沙暴日数</w:t>
            </w:r>
            <w:r w:rsidRPr="002B55E9">
              <w:rPr>
                <w:szCs w:val="18"/>
              </w:rPr>
              <w:t>(d)</w:t>
            </w:r>
          </w:p>
        </w:tc>
        <w:tc>
          <w:tcPr>
            <w:tcW w:w="1578" w:type="dxa"/>
            <w:vAlign w:val="center"/>
          </w:tcPr>
          <w:p w14:paraId="5DBE8D17" w14:textId="77777777" w:rsidR="00D170E5" w:rsidRPr="002B55E9" w:rsidRDefault="00EF27AD">
            <w:pPr>
              <w:pStyle w:val="affffffffffffffffff6"/>
              <w:rPr>
                <w:szCs w:val="18"/>
              </w:rPr>
            </w:pPr>
            <w:r w:rsidRPr="002B55E9">
              <w:rPr>
                <w:szCs w:val="18"/>
              </w:rPr>
              <w:t>0.0</w:t>
            </w:r>
          </w:p>
        </w:tc>
        <w:tc>
          <w:tcPr>
            <w:tcW w:w="2025" w:type="dxa"/>
            <w:vAlign w:val="center"/>
          </w:tcPr>
          <w:p w14:paraId="72378C63" w14:textId="77777777" w:rsidR="00D170E5" w:rsidRPr="002B55E9" w:rsidRDefault="00D170E5">
            <w:pPr>
              <w:pStyle w:val="affffffffffffffffff6"/>
              <w:rPr>
                <w:szCs w:val="18"/>
              </w:rPr>
            </w:pPr>
          </w:p>
        </w:tc>
        <w:tc>
          <w:tcPr>
            <w:tcW w:w="1566" w:type="dxa"/>
            <w:vAlign w:val="center"/>
          </w:tcPr>
          <w:p w14:paraId="5811946B" w14:textId="77777777" w:rsidR="00D170E5" w:rsidRPr="002B55E9" w:rsidRDefault="00D170E5">
            <w:pPr>
              <w:pStyle w:val="affffffffffffffffff6"/>
              <w:rPr>
                <w:szCs w:val="18"/>
              </w:rPr>
            </w:pPr>
          </w:p>
        </w:tc>
      </w:tr>
      <w:tr w:rsidR="002B55E9" w:rsidRPr="002B55E9" w14:paraId="10B965C6" w14:textId="77777777">
        <w:trPr>
          <w:trHeight w:val="284"/>
          <w:jc w:val="center"/>
        </w:trPr>
        <w:tc>
          <w:tcPr>
            <w:tcW w:w="1407" w:type="dxa"/>
            <w:vMerge/>
            <w:vAlign w:val="center"/>
          </w:tcPr>
          <w:p w14:paraId="4E2BB8C8" w14:textId="77777777" w:rsidR="00D170E5" w:rsidRPr="002B55E9" w:rsidRDefault="00D170E5">
            <w:pPr>
              <w:pStyle w:val="affffffffffffffffff6"/>
              <w:rPr>
                <w:szCs w:val="18"/>
              </w:rPr>
            </w:pPr>
          </w:p>
        </w:tc>
        <w:tc>
          <w:tcPr>
            <w:tcW w:w="3061" w:type="dxa"/>
            <w:vAlign w:val="center"/>
          </w:tcPr>
          <w:p w14:paraId="7E5CC1B8" w14:textId="77777777" w:rsidR="00D170E5" w:rsidRPr="002B55E9" w:rsidRDefault="00EF27AD">
            <w:pPr>
              <w:pStyle w:val="affffffffffffffffff6"/>
              <w:rPr>
                <w:szCs w:val="18"/>
              </w:rPr>
            </w:pPr>
            <w:r w:rsidRPr="002B55E9">
              <w:rPr>
                <w:szCs w:val="18"/>
              </w:rPr>
              <w:t>多年平均雷暴日数</w:t>
            </w:r>
            <w:r w:rsidRPr="002B55E9">
              <w:rPr>
                <w:szCs w:val="18"/>
              </w:rPr>
              <w:t>(d)</w:t>
            </w:r>
          </w:p>
        </w:tc>
        <w:tc>
          <w:tcPr>
            <w:tcW w:w="1578" w:type="dxa"/>
            <w:vAlign w:val="center"/>
          </w:tcPr>
          <w:p w14:paraId="4780B3B8" w14:textId="77777777" w:rsidR="00D170E5" w:rsidRPr="002B55E9" w:rsidRDefault="00EF27AD">
            <w:pPr>
              <w:pStyle w:val="affffffffffffffffff6"/>
              <w:rPr>
                <w:szCs w:val="18"/>
              </w:rPr>
            </w:pPr>
            <w:r w:rsidRPr="002B55E9">
              <w:rPr>
                <w:rFonts w:hint="eastAsia"/>
                <w:szCs w:val="18"/>
              </w:rPr>
              <w:t>21.7</w:t>
            </w:r>
          </w:p>
        </w:tc>
        <w:tc>
          <w:tcPr>
            <w:tcW w:w="2025" w:type="dxa"/>
            <w:vAlign w:val="center"/>
          </w:tcPr>
          <w:p w14:paraId="2F7B67B2" w14:textId="77777777" w:rsidR="00D170E5" w:rsidRPr="002B55E9" w:rsidRDefault="00D170E5">
            <w:pPr>
              <w:pStyle w:val="affffffffffffffffff6"/>
              <w:rPr>
                <w:szCs w:val="18"/>
              </w:rPr>
            </w:pPr>
          </w:p>
        </w:tc>
        <w:tc>
          <w:tcPr>
            <w:tcW w:w="1566" w:type="dxa"/>
            <w:vAlign w:val="center"/>
          </w:tcPr>
          <w:p w14:paraId="2C45E6F1" w14:textId="77777777" w:rsidR="00D170E5" w:rsidRPr="002B55E9" w:rsidRDefault="00D170E5">
            <w:pPr>
              <w:pStyle w:val="affffffffffffffffff6"/>
              <w:rPr>
                <w:szCs w:val="18"/>
              </w:rPr>
            </w:pPr>
          </w:p>
        </w:tc>
      </w:tr>
      <w:tr w:rsidR="002B55E9" w:rsidRPr="002B55E9" w14:paraId="23118DD5" w14:textId="77777777">
        <w:trPr>
          <w:trHeight w:val="284"/>
          <w:jc w:val="center"/>
        </w:trPr>
        <w:tc>
          <w:tcPr>
            <w:tcW w:w="1407" w:type="dxa"/>
            <w:vMerge/>
            <w:vAlign w:val="center"/>
          </w:tcPr>
          <w:p w14:paraId="33821594" w14:textId="77777777" w:rsidR="00D170E5" w:rsidRPr="002B55E9" w:rsidRDefault="00D170E5">
            <w:pPr>
              <w:pStyle w:val="affffffffffffffffff6"/>
              <w:rPr>
                <w:szCs w:val="18"/>
              </w:rPr>
            </w:pPr>
          </w:p>
        </w:tc>
        <w:tc>
          <w:tcPr>
            <w:tcW w:w="3061" w:type="dxa"/>
            <w:vAlign w:val="center"/>
          </w:tcPr>
          <w:p w14:paraId="20828E88" w14:textId="77777777" w:rsidR="00D170E5" w:rsidRPr="002B55E9" w:rsidRDefault="00EF27AD">
            <w:pPr>
              <w:pStyle w:val="affffffffffffffffff6"/>
              <w:rPr>
                <w:szCs w:val="18"/>
              </w:rPr>
            </w:pPr>
            <w:r w:rsidRPr="002B55E9">
              <w:rPr>
                <w:szCs w:val="18"/>
              </w:rPr>
              <w:t>多年平均冰雹日数</w:t>
            </w:r>
            <w:r w:rsidRPr="002B55E9">
              <w:rPr>
                <w:szCs w:val="18"/>
              </w:rPr>
              <w:t>(d)</w:t>
            </w:r>
          </w:p>
        </w:tc>
        <w:tc>
          <w:tcPr>
            <w:tcW w:w="1578" w:type="dxa"/>
            <w:vAlign w:val="center"/>
          </w:tcPr>
          <w:p w14:paraId="4BA2C0FC" w14:textId="77777777" w:rsidR="00D170E5" w:rsidRPr="002B55E9" w:rsidRDefault="00EF27AD">
            <w:pPr>
              <w:pStyle w:val="affffffffffffffffff6"/>
              <w:rPr>
                <w:szCs w:val="18"/>
              </w:rPr>
            </w:pPr>
            <w:r w:rsidRPr="002B55E9">
              <w:rPr>
                <w:szCs w:val="18"/>
              </w:rPr>
              <w:t>0.1</w:t>
            </w:r>
          </w:p>
        </w:tc>
        <w:tc>
          <w:tcPr>
            <w:tcW w:w="2025" w:type="dxa"/>
            <w:vAlign w:val="center"/>
          </w:tcPr>
          <w:p w14:paraId="3DD26B9F" w14:textId="77777777" w:rsidR="00D170E5" w:rsidRPr="002B55E9" w:rsidRDefault="00D170E5">
            <w:pPr>
              <w:pStyle w:val="affffffffffffffffff6"/>
              <w:rPr>
                <w:szCs w:val="18"/>
              </w:rPr>
            </w:pPr>
          </w:p>
        </w:tc>
        <w:tc>
          <w:tcPr>
            <w:tcW w:w="1566" w:type="dxa"/>
            <w:vAlign w:val="center"/>
          </w:tcPr>
          <w:p w14:paraId="4C779810" w14:textId="77777777" w:rsidR="00D170E5" w:rsidRPr="002B55E9" w:rsidRDefault="00D170E5">
            <w:pPr>
              <w:pStyle w:val="affffffffffffffffff6"/>
              <w:rPr>
                <w:szCs w:val="18"/>
              </w:rPr>
            </w:pPr>
          </w:p>
        </w:tc>
      </w:tr>
      <w:tr w:rsidR="002B55E9" w:rsidRPr="002B55E9" w14:paraId="5ACCE57A" w14:textId="77777777">
        <w:trPr>
          <w:trHeight w:val="284"/>
          <w:jc w:val="center"/>
        </w:trPr>
        <w:tc>
          <w:tcPr>
            <w:tcW w:w="1407" w:type="dxa"/>
            <w:vMerge/>
            <w:vAlign w:val="center"/>
          </w:tcPr>
          <w:p w14:paraId="737AED0E" w14:textId="77777777" w:rsidR="00D170E5" w:rsidRPr="002B55E9" w:rsidRDefault="00D170E5">
            <w:pPr>
              <w:pStyle w:val="affffffffffffffffff6"/>
              <w:rPr>
                <w:szCs w:val="18"/>
              </w:rPr>
            </w:pPr>
          </w:p>
        </w:tc>
        <w:tc>
          <w:tcPr>
            <w:tcW w:w="3061" w:type="dxa"/>
            <w:vAlign w:val="center"/>
          </w:tcPr>
          <w:p w14:paraId="4DE539A1" w14:textId="77777777" w:rsidR="00D170E5" w:rsidRPr="002B55E9" w:rsidRDefault="00EF27AD">
            <w:pPr>
              <w:pStyle w:val="affffffffffffffffff6"/>
              <w:rPr>
                <w:szCs w:val="18"/>
              </w:rPr>
            </w:pPr>
            <w:r w:rsidRPr="002B55E9">
              <w:rPr>
                <w:szCs w:val="18"/>
              </w:rPr>
              <w:t>多年平均大风日数</w:t>
            </w:r>
            <w:r w:rsidRPr="002B55E9">
              <w:rPr>
                <w:szCs w:val="18"/>
              </w:rPr>
              <w:t>(d)</w:t>
            </w:r>
          </w:p>
        </w:tc>
        <w:tc>
          <w:tcPr>
            <w:tcW w:w="1578" w:type="dxa"/>
            <w:vAlign w:val="center"/>
          </w:tcPr>
          <w:p w14:paraId="6DE0C5F4" w14:textId="77777777" w:rsidR="00D170E5" w:rsidRPr="002B55E9" w:rsidRDefault="00EF27AD">
            <w:pPr>
              <w:pStyle w:val="affffffffffffffffff6"/>
              <w:rPr>
                <w:szCs w:val="18"/>
              </w:rPr>
            </w:pPr>
            <w:r w:rsidRPr="002B55E9">
              <w:rPr>
                <w:szCs w:val="18"/>
              </w:rPr>
              <w:t>0.3</w:t>
            </w:r>
          </w:p>
        </w:tc>
        <w:tc>
          <w:tcPr>
            <w:tcW w:w="2025" w:type="dxa"/>
            <w:vAlign w:val="center"/>
          </w:tcPr>
          <w:p w14:paraId="63171421" w14:textId="77777777" w:rsidR="00D170E5" w:rsidRPr="002B55E9" w:rsidRDefault="00D170E5">
            <w:pPr>
              <w:pStyle w:val="affffffffffffffffff6"/>
              <w:rPr>
                <w:szCs w:val="18"/>
              </w:rPr>
            </w:pPr>
          </w:p>
        </w:tc>
        <w:tc>
          <w:tcPr>
            <w:tcW w:w="1566" w:type="dxa"/>
            <w:vAlign w:val="center"/>
          </w:tcPr>
          <w:p w14:paraId="076C24D0" w14:textId="77777777" w:rsidR="00D170E5" w:rsidRPr="002B55E9" w:rsidRDefault="00D170E5">
            <w:pPr>
              <w:pStyle w:val="affffffffffffffffff6"/>
              <w:rPr>
                <w:szCs w:val="18"/>
              </w:rPr>
            </w:pPr>
          </w:p>
        </w:tc>
      </w:tr>
      <w:tr w:rsidR="002B55E9" w:rsidRPr="002B55E9" w14:paraId="7BD08B26" w14:textId="77777777">
        <w:trPr>
          <w:trHeight w:val="284"/>
          <w:jc w:val="center"/>
        </w:trPr>
        <w:tc>
          <w:tcPr>
            <w:tcW w:w="4468" w:type="dxa"/>
            <w:gridSpan w:val="2"/>
            <w:vAlign w:val="center"/>
          </w:tcPr>
          <w:p w14:paraId="018C4FB7" w14:textId="77777777" w:rsidR="00D170E5" w:rsidRPr="002B55E9" w:rsidRDefault="00EF27AD">
            <w:pPr>
              <w:pStyle w:val="affffffffffffffffff6"/>
              <w:rPr>
                <w:szCs w:val="18"/>
              </w:rPr>
            </w:pPr>
            <w:r w:rsidRPr="002B55E9">
              <w:rPr>
                <w:szCs w:val="18"/>
              </w:rPr>
              <w:t>多年实测极大风速（</w:t>
            </w:r>
            <w:r w:rsidRPr="002B55E9">
              <w:rPr>
                <w:szCs w:val="18"/>
              </w:rPr>
              <w:t>m/s</w:t>
            </w:r>
            <w:r w:rsidRPr="002B55E9">
              <w:rPr>
                <w:szCs w:val="18"/>
              </w:rPr>
              <w:t>）、相应风向</w:t>
            </w:r>
          </w:p>
        </w:tc>
        <w:tc>
          <w:tcPr>
            <w:tcW w:w="1578" w:type="dxa"/>
            <w:vAlign w:val="center"/>
          </w:tcPr>
          <w:p w14:paraId="7EDAE383" w14:textId="77777777" w:rsidR="00D170E5" w:rsidRPr="002B55E9" w:rsidRDefault="00EF27AD">
            <w:pPr>
              <w:pStyle w:val="affffffffffffffffff6"/>
              <w:rPr>
                <w:szCs w:val="18"/>
              </w:rPr>
            </w:pPr>
            <w:r w:rsidRPr="002B55E9">
              <w:rPr>
                <w:szCs w:val="18"/>
              </w:rPr>
              <w:t>16.</w:t>
            </w:r>
            <w:r w:rsidRPr="002B55E9">
              <w:rPr>
                <w:rFonts w:hint="eastAsia"/>
                <w:szCs w:val="18"/>
              </w:rPr>
              <w:t>0</w:t>
            </w:r>
          </w:p>
        </w:tc>
        <w:tc>
          <w:tcPr>
            <w:tcW w:w="2025" w:type="dxa"/>
            <w:vAlign w:val="center"/>
          </w:tcPr>
          <w:p w14:paraId="2E571619" w14:textId="77777777" w:rsidR="00D170E5" w:rsidRPr="002B55E9" w:rsidRDefault="00EF27AD">
            <w:pPr>
              <w:pStyle w:val="affffffffffffffffff6"/>
              <w:rPr>
                <w:szCs w:val="18"/>
              </w:rPr>
            </w:pPr>
            <w:r w:rsidRPr="002B55E9">
              <w:rPr>
                <w:szCs w:val="18"/>
              </w:rPr>
              <w:t>2015-05-11</w:t>
            </w:r>
          </w:p>
        </w:tc>
        <w:tc>
          <w:tcPr>
            <w:tcW w:w="1566" w:type="dxa"/>
            <w:vAlign w:val="center"/>
          </w:tcPr>
          <w:p w14:paraId="5DF785B0" w14:textId="77777777" w:rsidR="00D170E5" w:rsidRPr="002B55E9" w:rsidRDefault="00EF27AD">
            <w:pPr>
              <w:autoSpaceDE w:val="0"/>
              <w:autoSpaceDN w:val="0"/>
              <w:adjustRightInd w:val="0"/>
              <w:snapToGrid w:val="0"/>
              <w:jc w:val="center"/>
              <w:rPr>
                <w:sz w:val="18"/>
                <w:szCs w:val="18"/>
              </w:rPr>
            </w:pPr>
            <w:r w:rsidRPr="002B55E9">
              <w:rPr>
                <w:sz w:val="18"/>
                <w:szCs w:val="18"/>
              </w:rPr>
              <w:t>18.7NW</w:t>
            </w:r>
          </w:p>
        </w:tc>
      </w:tr>
      <w:tr w:rsidR="002B55E9" w:rsidRPr="002B55E9" w14:paraId="6AE4320B" w14:textId="77777777">
        <w:trPr>
          <w:trHeight w:val="284"/>
          <w:jc w:val="center"/>
        </w:trPr>
        <w:tc>
          <w:tcPr>
            <w:tcW w:w="4468" w:type="dxa"/>
            <w:gridSpan w:val="2"/>
            <w:vAlign w:val="center"/>
          </w:tcPr>
          <w:p w14:paraId="0A772552" w14:textId="77777777" w:rsidR="00D170E5" w:rsidRPr="002B55E9" w:rsidRDefault="00EF27AD">
            <w:pPr>
              <w:pStyle w:val="affffffffffffffffff6"/>
              <w:rPr>
                <w:szCs w:val="18"/>
              </w:rPr>
            </w:pPr>
            <w:r w:rsidRPr="002B55E9">
              <w:rPr>
                <w:szCs w:val="18"/>
              </w:rPr>
              <w:t>多年平均风速（</w:t>
            </w:r>
            <w:r w:rsidRPr="002B55E9">
              <w:rPr>
                <w:szCs w:val="18"/>
              </w:rPr>
              <w:t>m/s</w:t>
            </w:r>
            <w:r w:rsidRPr="002B55E9">
              <w:rPr>
                <w:szCs w:val="18"/>
              </w:rPr>
              <w:t>）</w:t>
            </w:r>
          </w:p>
        </w:tc>
        <w:tc>
          <w:tcPr>
            <w:tcW w:w="1578" w:type="dxa"/>
            <w:vAlign w:val="center"/>
          </w:tcPr>
          <w:p w14:paraId="17DF7FA7" w14:textId="77777777" w:rsidR="00D170E5" w:rsidRPr="002B55E9" w:rsidRDefault="00EF27AD">
            <w:pPr>
              <w:pStyle w:val="affffffffffffffffff6"/>
              <w:rPr>
                <w:szCs w:val="18"/>
              </w:rPr>
            </w:pPr>
            <w:r w:rsidRPr="002B55E9">
              <w:rPr>
                <w:szCs w:val="18"/>
              </w:rPr>
              <w:t>1.5</w:t>
            </w:r>
          </w:p>
        </w:tc>
        <w:tc>
          <w:tcPr>
            <w:tcW w:w="2025" w:type="dxa"/>
            <w:vAlign w:val="center"/>
          </w:tcPr>
          <w:p w14:paraId="7430DA5E" w14:textId="77777777" w:rsidR="00D170E5" w:rsidRPr="002B55E9" w:rsidRDefault="00D170E5">
            <w:pPr>
              <w:pStyle w:val="affffffffffffffffff6"/>
              <w:rPr>
                <w:szCs w:val="18"/>
              </w:rPr>
            </w:pPr>
          </w:p>
        </w:tc>
        <w:tc>
          <w:tcPr>
            <w:tcW w:w="1566" w:type="dxa"/>
            <w:vAlign w:val="center"/>
          </w:tcPr>
          <w:p w14:paraId="11364AE7" w14:textId="77777777" w:rsidR="00D170E5" w:rsidRPr="002B55E9" w:rsidRDefault="00D170E5">
            <w:pPr>
              <w:pStyle w:val="affffffffffffffffff6"/>
              <w:rPr>
                <w:szCs w:val="18"/>
              </w:rPr>
            </w:pPr>
          </w:p>
        </w:tc>
      </w:tr>
      <w:tr w:rsidR="002B55E9" w:rsidRPr="002B55E9" w14:paraId="64D30131" w14:textId="77777777">
        <w:trPr>
          <w:trHeight w:val="284"/>
          <w:jc w:val="center"/>
        </w:trPr>
        <w:tc>
          <w:tcPr>
            <w:tcW w:w="4468" w:type="dxa"/>
            <w:gridSpan w:val="2"/>
            <w:vAlign w:val="center"/>
          </w:tcPr>
          <w:p w14:paraId="4F60BDB1" w14:textId="77777777" w:rsidR="00D170E5" w:rsidRPr="002B55E9" w:rsidRDefault="00EF27AD">
            <w:pPr>
              <w:pStyle w:val="affffffffffffffffff6"/>
              <w:rPr>
                <w:szCs w:val="18"/>
              </w:rPr>
            </w:pPr>
            <w:r w:rsidRPr="002B55E9">
              <w:rPr>
                <w:szCs w:val="18"/>
              </w:rPr>
              <w:t>多年主导风向、风向频率</w:t>
            </w:r>
            <w:r w:rsidRPr="002B55E9">
              <w:rPr>
                <w:szCs w:val="18"/>
              </w:rPr>
              <w:t>(%)</w:t>
            </w:r>
          </w:p>
        </w:tc>
        <w:tc>
          <w:tcPr>
            <w:tcW w:w="1578" w:type="dxa"/>
            <w:vAlign w:val="center"/>
          </w:tcPr>
          <w:p w14:paraId="4D5A0624" w14:textId="77777777" w:rsidR="00D170E5" w:rsidRPr="002B55E9" w:rsidRDefault="00EF27AD">
            <w:pPr>
              <w:autoSpaceDE w:val="0"/>
              <w:autoSpaceDN w:val="0"/>
              <w:adjustRightInd w:val="0"/>
              <w:snapToGrid w:val="0"/>
              <w:jc w:val="center"/>
              <w:rPr>
                <w:sz w:val="18"/>
                <w:szCs w:val="18"/>
              </w:rPr>
            </w:pPr>
            <w:r w:rsidRPr="002B55E9">
              <w:rPr>
                <w:rFonts w:hint="eastAsia"/>
                <w:sz w:val="18"/>
                <w:szCs w:val="18"/>
              </w:rPr>
              <w:t>NE11.3</w:t>
            </w:r>
            <w:r w:rsidRPr="002B55E9">
              <w:rPr>
                <w:sz w:val="18"/>
                <w:szCs w:val="18"/>
              </w:rPr>
              <w:t>%</w:t>
            </w:r>
          </w:p>
        </w:tc>
        <w:tc>
          <w:tcPr>
            <w:tcW w:w="2025" w:type="dxa"/>
            <w:vAlign w:val="center"/>
          </w:tcPr>
          <w:p w14:paraId="11AA80ED" w14:textId="77777777" w:rsidR="00D170E5" w:rsidRPr="002B55E9" w:rsidRDefault="00D170E5">
            <w:pPr>
              <w:pStyle w:val="affffffffffffffffff6"/>
              <w:rPr>
                <w:szCs w:val="18"/>
              </w:rPr>
            </w:pPr>
          </w:p>
        </w:tc>
        <w:tc>
          <w:tcPr>
            <w:tcW w:w="1566" w:type="dxa"/>
            <w:vAlign w:val="center"/>
          </w:tcPr>
          <w:p w14:paraId="5520C283" w14:textId="77777777" w:rsidR="00D170E5" w:rsidRPr="002B55E9" w:rsidRDefault="00D170E5">
            <w:pPr>
              <w:pStyle w:val="affffffffffffffffff6"/>
              <w:rPr>
                <w:szCs w:val="18"/>
              </w:rPr>
            </w:pPr>
          </w:p>
        </w:tc>
      </w:tr>
      <w:tr w:rsidR="002B55E9" w:rsidRPr="002B55E9" w14:paraId="4660FC27" w14:textId="77777777">
        <w:trPr>
          <w:trHeight w:val="284"/>
          <w:jc w:val="center"/>
        </w:trPr>
        <w:tc>
          <w:tcPr>
            <w:tcW w:w="4468" w:type="dxa"/>
            <w:gridSpan w:val="2"/>
            <w:vAlign w:val="center"/>
          </w:tcPr>
          <w:p w14:paraId="0DE19A55" w14:textId="77777777" w:rsidR="00D170E5" w:rsidRPr="002B55E9" w:rsidRDefault="00EF27AD">
            <w:pPr>
              <w:pStyle w:val="affffffffffffffffff6"/>
              <w:rPr>
                <w:szCs w:val="18"/>
              </w:rPr>
            </w:pPr>
            <w:r w:rsidRPr="002B55E9">
              <w:rPr>
                <w:szCs w:val="18"/>
              </w:rPr>
              <w:t>多年静风频率</w:t>
            </w:r>
            <w:r w:rsidRPr="002B55E9">
              <w:rPr>
                <w:szCs w:val="18"/>
              </w:rPr>
              <w:t>(</w:t>
            </w:r>
            <w:r w:rsidRPr="002B55E9">
              <w:rPr>
                <w:szCs w:val="18"/>
              </w:rPr>
              <w:t>风速</w:t>
            </w:r>
            <w:r w:rsidRPr="002B55E9">
              <w:rPr>
                <w:szCs w:val="18"/>
              </w:rPr>
              <w:t>&lt;=0.2m/s)(%)</w:t>
            </w:r>
          </w:p>
        </w:tc>
        <w:tc>
          <w:tcPr>
            <w:tcW w:w="1578" w:type="dxa"/>
            <w:vAlign w:val="center"/>
          </w:tcPr>
          <w:p w14:paraId="22EA6714" w14:textId="77777777" w:rsidR="00D170E5" w:rsidRPr="002B55E9" w:rsidRDefault="00EF27AD">
            <w:pPr>
              <w:pStyle w:val="affffffffffffffffff6"/>
              <w:rPr>
                <w:szCs w:val="18"/>
              </w:rPr>
            </w:pPr>
            <w:r w:rsidRPr="002B55E9">
              <w:rPr>
                <w:szCs w:val="18"/>
              </w:rPr>
              <w:t>1</w:t>
            </w:r>
            <w:r w:rsidRPr="002B55E9">
              <w:rPr>
                <w:rFonts w:hint="eastAsia"/>
                <w:szCs w:val="18"/>
              </w:rPr>
              <w:t>3</w:t>
            </w:r>
            <w:r w:rsidRPr="002B55E9">
              <w:rPr>
                <w:szCs w:val="18"/>
              </w:rPr>
              <w:t>.4</w:t>
            </w:r>
          </w:p>
        </w:tc>
        <w:tc>
          <w:tcPr>
            <w:tcW w:w="2025" w:type="dxa"/>
            <w:vAlign w:val="center"/>
          </w:tcPr>
          <w:p w14:paraId="15812696" w14:textId="77777777" w:rsidR="00D170E5" w:rsidRPr="002B55E9" w:rsidRDefault="00D170E5">
            <w:pPr>
              <w:pStyle w:val="affffffffffffffffff6"/>
              <w:rPr>
                <w:szCs w:val="18"/>
              </w:rPr>
            </w:pPr>
          </w:p>
        </w:tc>
        <w:tc>
          <w:tcPr>
            <w:tcW w:w="1566" w:type="dxa"/>
            <w:vAlign w:val="center"/>
          </w:tcPr>
          <w:p w14:paraId="16B20470" w14:textId="77777777" w:rsidR="00D170E5" w:rsidRPr="002B55E9" w:rsidRDefault="00D170E5">
            <w:pPr>
              <w:pStyle w:val="affffffffffffffffff6"/>
              <w:rPr>
                <w:szCs w:val="18"/>
              </w:rPr>
            </w:pPr>
          </w:p>
        </w:tc>
      </w:tr>
      <w:tr w:rsidR="002B55E9" w:rsidRPr="002B55E9" w14:paraId="793994EE" w14:textId="77777777">
        <w:trPr>
          <w:trHeight w:val="284"/>
          <w:jc w:val="center"/>
        </w:trPr>
        <w:tc>
          <w:tcPr>
            <w:tcW w:w="4468" w:type="dxa"/>
            <w:gridSpan w:val="2"/>
            <w:vAlign w:val="center"/>
          </w:tcPr>
          <w:p w14:paraId="11B6383E" w14:textId="77777777" w:rsidR="00D170E5" w:rsidRPr="002B55E9" w:rsidRDefault="00EF27AD">
            <w:pPr>
              <w:pStyle w:val="affffffffffffffffff6"/>
              <w:rPr>
                <w:szCs w:val="18"/>
              </w:rPr>
            </w:pPr>
            <w:r w:rsidRPr="002B55E9">
              <w:rPr>
                <w:szCs w:val="18"/>
              </w:rPr>
              <w:t>*</w:t>
            </w:r>
            <w:r w:rsidRPr="002B55E9">
              <w:rPr>
                <w:szCs w:val="18"/>
              </w:rPr>
              <w:t>统计值代表均值</w:t>
            </w:r>
          </w:p>
          <w:p w14:paraId="16984E5C" w14:textId="77777777" w:rsidR="00D170E5" w:rsidRPr="002B55E9" w:rsidRDefault="00EF27AD">
            <w:pPr>
              <w:pStyle w:val="affffffffffffffffff6"/>
              <w:rPr>
                <w:szCs w:val="18"/>
              </w:rPr>
            </w:pPr>
            <w:r w:rsidRPr="002B55E9">
              <w:rPr>
                <w:szCs w:val="18"/>
              </w:rPr>
              <w:t>**</w:t>
            </w:r>
            <w:r w:rsidRPr="002B55E9">
              <w:rPr>
                <w:szCs w:val="18"/>
              </w:rPr>
              <w:t>极值代表极端值</w:t>
            </w:r>
          </w:p>
        </w:tc>
        <w:tc>
          <w:tcPr>
            <w:tcW w:w="1578" w:type="dxa"/>
            <w:vAlign w:val="center"/>
          </w:tcPr>
          <w:p w14:paraId="6C02DCDC" w14:textId="77777777" w:rsidR="00D170E5" w:rsidRPr="002B55E9" w:rsidRDefault="00EF27AD">
            <w:pPr>
              <w:pStyle w:val="affffffffffffffffff6"/>
              <w:rPr>
                <w:szCs w:val="18"/>
              </w:rPr>
            </w:pPr>
            <w:r w:rsidRPr="002B55E9">
              <w:rPr>
                <w:szCs w:val="18"/>
              </w:rPr>
              <w:t>举例：累年极端最高气温</w:t>
            </w:r>
          </w:p>
        </w:tc>
        <w:tc>
          <w:tcPr>
            <w:tcW w:w="2025" w:type="dxa"/>
            <w:vAlign w:val="center"/>
          </w:tcPr>
          <w:p w14:paraId="44DFE207" w14:textId="77777777" w:rsidR="00D170E5" w:rsidRPr="002B55E9" w:rsidRDefault="00EF27AD">
            <w:pPr>
              <w:pStyle w:val="affffffffffffffffff6"/>
              <w:rPr>
                <w:szCs w:val="18"/>
              </w:rPr>
            </w:pPr>
            <w:r w:rsidRPr="002B55E9">
              <w:rPr>
                <w:szCs w:val="18"/>
              </w:rPr>
              <w:t>*</w:t>
            </w:r>
            <w:r w:rsidRPr="002B55E9">
              <w:rPr>
                <w:szCs w:val="18"/>
              </w:rPr>
              <w:t>代表极端最高气温的累年平均值</w:t>
            </w:r>
          </w:p>
        </w:tc>
        <w:tc>
          <w:tcPr>
            <w:tcW w:w="1566" w:type="dxa"/>
            <w:vAlign w:val="center"/>
          </w:tcPr>
          <w:p w14:paraId="5BEEF4FE" w14:textId="77777777" w:rsidR="00D170E5" w:rsidRPr="002B55E9" w:rsidRDefault="00EF27AD">
            <w:pPr>
              <w:pStyle w:val="affffffffffffffffff6"/>
              <w:rPr>
                <w:szCs w:val="18"/>
              </w:rPr>
            </w:pPr>
            <w:r w:rsidRPr="002B55E9">
              <w:rPr>
                <w:szCs w:val="18"/>
              </w:rPr>
              <w:t>**</w:t>
            </w:r>
            <w:r w:rsidRPr="002B55E9">
              <w:rPr>
                <w:szCs w:val="18"/>
              </w:rPr>
              <w:t>代表极端最高气温的累年</w:t>
            </w:r>
          </w:p>
        </w:tc>
      </w:tr>
    </w:tbl>
    <w:p w14:paraId="31135471" w14:textId="77777777" w:rsidR="00D170E5" w:rsidRPr="002B55E9" w:rsidRDefault="00EF27AD">
      <w:pPr>
        <w:pStyle w:val="5"/>
        <w:numPr>
          <w:ilvl w:val="4"/>
          <w:numId w:val="23"/>
        </w:numPr>
      </w:pPr>
      <w:r w:rsidRPr="002B55E9">
        <w:rPr>
          <w:rFonts w:hint="eastAsia"/>
        </w:rPr>
        <w:t>气象站观测数据统计</w:t>
      </w:r>
    </w:p>
    <w:p w14:paraId="4D9B2EC5" w14:textId="77777777" w:rsidR="00D170E5" w:rsidRPr="002B55E9" w:rsidRDefault="00EF27AD">
      <w:pPr>
        <w:spacing w:line="360" w:lineRule="auto"/>
        <w:ind w:firstLineChars="200" w:firstLine="400"/>
        <w:rPr>
          <w:bCs/>
          <w:snapToGrid w:val="0"/>
          <w:sz w:val="24"/>
        </w:rPr>
      </w:pPr>
      <w:r w:rsidRPr="002B55E9">
        <w:rPr>
          <w:rFonts w:hint="eastAsia"/>
        </w:rPr>
        <w:t>（</w:t>
      </w:r>
      <w:r w:rsidRPr="002B55E9">
        <w:rPr>
          <w:rFonts w:hint="eastAsia"/>
        </w:rPr>
        <w:t>1</w:t>
      </w:r>
      <w:r w:rsidRPr="002B55E9">
        <w:rPr>
          <w:rFonts w:hint="eastAsia"/>
        </w:rPr>
        <w:t>）</w:t>
      </w:r>
      <w:r w:rsidRPr="002B55E9">
        <w:rPr>
          <w:bCs/>
          <w:snapToGrid w:val="0"/>
          <w:sz w:val="24"/>
        </w:rPr>
        <w:t>月平均风速</w:t>
      </w:r>
    </w:p>
    <w:p w14:paraId="555E0C7D" w14:textId="77777777" w:rsidR="00D170E5" w:rsidRPr="002B55E9" w:rsidRDefault="00EF27AD">
      <w:pPr>
        <w:spacing w:line="360" w:lineRule="auto"/>
        <w:ind w:firstLineChars="200" w:firstLine="480"/>
        <w:rPr>
          <w:bCs/>
          <w:snapToGrid w:val="0"/>
          <w:sz w:val="24"/>
        </w:rPr>
      </w:pPr>
      <w:r w:rsidRPr="002B55E9">
        <w:rPr>
          <w:rFonts w:hint="eastAsia"/>
          <w:bCs/>
          <w:snapToGrid w:val="0"/>
          <w:sz w:val="24"/>
        </w:rPr>
        <w:t>武汉气象站月平均风速如下表，</w:t>
      </w:r>
      <w:r w:rsidRPr="002B55E9">
        <w:rPr>
          <w:rFonts w:hint="eastAsia"/>
          <w:bCs/>
          <w:snapToGrid w:val="0"/>
          <w:sz w:val="24"/>
        </w:rPr>
        <w:t xml:space="preserve">07 </w:t>
      </w:r>
      <w:r w:rsidRPr="002B55E9">
        <w:rPr>
          <w:rFonts w:hint="eastAsia"/>
          <w:bCs/>
          <w:snapToGrid w:val="0"/>
          <w:sz w:val="24"/>
        </w:rPr>
        <w:t>月平均风速最大（</w:t>
      </w:r>
      <w:r w:rsidRPr="002B55E9">
        <w:rPr>
          <w:rFonts w:hint="eastAsia"/>
          <w:bCs/>
          <w:snapToGrid w:val="0"/>
          <w:sz w:val="24"/>
        </w:rPr>
        <w:t xml:space="preserve">1.8 </w:t>
      </w:r>
      <w:r w:rsidRPr="002B55E9">
        <w:rPr>
          <w:rFonts w:hint="eastAsia"/>
          <w:bCs/>
          <w:snapToGrid w:val="0"/>
          <w:sz w:val="24"/>
        </w:rPr>
        <w:t>米</w:t>
      </w:r>
      <w:r w:rsidRPr="002B55E9">
        <w:rPr>
          <w:rFonts w:hint="eastAsia"/>
          <w:bCs/>
          <w:snapToGrid w:val="0"/>
          <w:sz w:val="24"/>
        </w:rPr>
        <w:t>/</w:t>
      </w:r>
      <w:r w:rsidRPr="002B55E9">
        <w:rPr>
          <w:rFonts w:hint="eastAsia"/>
          <w:bCs/>
          <w:snapToGrid w:val="0"/>
          <w:sz w:val="24"/>
        </w:rPr>
        <w:t>秒），</w:t>
      </w:r>
      <w:r w:rsidRPr="002B55E9">
        <w:rPr>
          <w:rFonts w:hint="eastAsia"/>
          <w:bCs/>
          <w:snapToGrid w:val="0"/>
          <w:sz w:val="24"/>
        </w:rPr>
        <w:t xml:space="preserve">11 </w:t>
      </w:r>
      <w:r w:rsidRPr="002B55E9">
        <w:rPr>
          <w:rFonts w:hint="eastAsia"/>
          <w:bCs/>
          <w:snapToGrid w:val="0"/>
          <w:sz w:val="24"/>
        </w:rPr>
        <w:t>月风最小（</w:t>
      </w:r>
      <w:r w:rsidRPr="002B55E9">
        <w:rPr>
          <w:rFonts w:hint="eastAsia"/>
          <w:bCs/>
          <w:snapToGrid w:val="0"/>
          <w:sz w:val="24"/>
        </w:rPr>
        <w:t xml:space="preserve">1.3 </w:t>
      </w:r>
      <w:r w:rsidRPr="002B55E9">
        <w:rPr>
          <w:rFonts w:hint="eastAsia"/>
          <w:bCs/>
          <w:snapToGrid w:val="0"/>
          <w:sz w:val="24"/>
        </w:rPr>
        <w:t>米</w:t>
      </w:r>
      <w:r w:rsidRPr="002B55E9">
        <w:rPr>
          <w:rFonts w:hint="eastAsia"/>
          <w:bCs/>
          <w:snapToGrid w:val="0"/>
          <w:sz w:val="24"/>
        </w:rPr>
        <w:t>/</w:t>
      </w:r>
      <w:r w:rsidRPr="002B55E9">
        <w:rPr>
          <w:rFonts w:hint="eastAsia"/>
          <w:bCs/>
          <w:snapToGrid w:val="0"/>
          <w:sz w:val="24"/>
        </w:rPr>
        <w:t>秒）</w:t>
      </w:r>
      <w:r w:rsidRPr="002B55E9">
        <w:rPr>
          <w:bCs/>
          <w:snapToGrid w:val="0"/>
          <w:sz w:val="24"/>
        </w:rPr>
        <w:t>。</w:t>
      </w:r>
    </w:p>
    <w:p w14:paraId="1411F7D9"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hint="eastAsia"/>
          <w:b/>
          <w:sz w:val="24"/>
        </w:rPr>
        <w:t>5-</w:t>
      </w:r>
      <w:r w:rsidRPr="002B55E9">
        <w:rPr>
          <w:rFonts w:eastAsia="黑体"/>
          <w:b/>
          <w:sz w:val="24"/>
        </w:rPr>
        <w:t xml:space="preserve">2-2  </w:t>
      </w:r>
      <w:r w:rsidRPr="002B55E9">
        <w:rPr>
          <w:rFonts w:eastAsia="黑体"/>
          <w:b/>
          <w:sz w:val="24"/>
        </w:rPr>
        <w:t>武汉市</w:t>
      </w:r>
      <w:r w:rsidRPr="002B55E9">
        <w:rPr>
          <w:rFonts w:eastAsia="黑体" w:hint="eastAsia"/>
          <w:b/>
          <w:sz w:val="24"/>
        </w:rPr>
        <w:t>气象站</w:t>
      </w:r>
      <w:r w:rsidRPr="002B55E9">
        <w:rPr>
          <w:rFonts w:eastAsia="黑体"/>
          <w:b/>
          <w:sz w:val="24"/>
        </w:rPr>
        <w:t>200</w:t>
      </w:r>
      <w:r w:rsidRPr="002B55E9">
        <w:rPr>
          <w:rFonts w:eastAsia="黑体" w:hint="eastAsia"/>
          <w:b/>
          <w:sz w:val="24"/>
        </w:rPr>
        <w:t>1</w:t>
      </w:r>
      <w:r w:rsidRPr="002B55E9">
        <w:rPr>
          <w:rFonts w:eastAsia="黑体"/>
          <w:b/>
          <w:sz w:val="24"/>
        </w:rPr>
        <w:t>～</w:t>
      </w:r>
      <w:r w:rsidRPr="002B55E9">
        <w:rPr>
          <w:rFonts w:eastAsia="黑体"/>
          <w:b/>
          <w:sz w:val="24"/>
        </w:rPr>
        <w:t>20</w:t>
      </w:r>
      <w:r w:rsidRPr="002B55E9">
        <w:rPr>
          <w:rFonts w:eastAsia="黑体" w:hint="eastAsia"/>
          <w:b/>
          <w:sz w:val="24"/>
        </w:rPr>
        <w:t>20</w:t>
      </w:r>
      <w:r w:rsidRPr="002B55E9">
        <w:rPr>
          <w:rFonts w:eastAsia="黑体" w:hint="eastAsia"/>
          <w:b/>
          <w:sz w:val="24"/>
        </w:rPr>
        <w:t>月平均风速统计（单位</w:t>
      </w:r>
      <w:r w:rsidRPr="002B55E9">
        <w:rPr>
          <w:rFonts w:eastAsia="黑体" w:hint="eastAsia"/>
          <w:b/>
          <w:sz w:val="24"/>
        </w:rPr>
        <w:t>m/s</w:t>
      </w:r>
      <w:r w:rsidRPr="002B55E9">
        <w:rPr>
          <w:rFonts w:eastAsia="黑体" w:hint="eastAsia"/>
          <w:b/>
          <w:sz w:val="24"/>
        </w:rPr>
        <w:t>）</w:t>
      </w:r>
    </w:p>
    <w:tbl>
      <w:tblPr>
        <w:tblW w:w="9637" w:type="dxa"/>
        <w:jc w:val="center"/>
        <w:tblBorders>
          <w:top w:val="single" w:sz="12" w:space="0" w:color="auto"/>
          <w:bottom w:val="single" w:sz="12" w:space="0" w:color="auto"/>
          <w:insideH w:val="single" w:sz="12" w:space="0" w:color="auto"/>
          <w:insideV w:val="single" w:sz="6" w:space="0" w:color="auto"/>
        </w:tblBorders>
        <w:tblLayout w:type="fixed"/>
        <w:tblLook w:val="04A0" w:firstRow="1" w:lastRow="0" w:firstColumn="1" w:lastColumn="0" w:noHBand="0" w:noVBand="1"/>
      </w:tblPr>
      <w:tblGrid>
        <w:gridCol w:w="1208"/>
        <w:gridCol w:w="694"/>
        <w:gridCol w:w="694"/>
        <w:gridCol w:w="694"/>
        <w:gridCol w:w="694"/>
        <w:gridCol w:w="694"/>
        <w:gridCol w:w="694"/>
        <w:gridCol w:w="694"/>
        <w:gridCol w:w="694"/>
        <w:gridCol w:w="694"/>
        <w:gridCol w:w="730"/>
        <w:gridCol w:w="730"/>
        <w:gridCol w:w="723"/>
      </w:tblGrid>
      <w:tr w:rsidR="002B55E9" w:rsidRPr="002B55E9" w14:paraId="766A9258" w14:textId="77777777">
        <w:trPr>
          <w:trHeight w:val="284"/>
          <w:jc w:val="center"/>
        </w:trPr>
        <w:tc>
          <w:tcPr>
            <w:tcW w:w="1208" w:type="dxa"/>
            <w:tcMar>
              <w:left w:w="28" w:type="dxa"/>
              <w:right w:w="28" w:type="dxa"/>
            </w:tcMar>
            <w:vAlign w:val="center"/>
          </w:tcPr>
          <w:p w14:paraId="105DEA8B" w14:textId="77777777" w:rsidR="00D170E5" w:rsidRPr="002B55E9" w:rsidRDefault="00EF27AD">
            <w:pPr>
              <w:jc w:val="center"/>
              <w:rPr>
                <w:sz w:val="18"/>
              </w:rPr>
            </w:pPr>
            <w:r w:rsidRPr="002B55E9">
              <w:rPr>
                <w:sz w:val="18"/>
              </w:rPr>
              <w:t>月份</w:t>
            </w:r>
          </w:p>
        </w:tc>
        <w:tc>
          <w:tcPr>
            <w:tcW w:w="694" w:type="dxa"/>
            <w:tcMar>
              <w:left w:w="28" w:type="dxa"/>
              <w:right w:w="28" w:type="dxa"/>
            </w:tcMar>
            <w:vAlign w:val="center"/>
          </w:tcPr>
          <w:p w14:paraId="7DFB9E80" w14:textId="77777777" w:rsidR="00D170E5" w:rsidRPr="002B55E9" w:rsidRDefault="00EF27AD">
            <w:pPr>
              <w:jc w:val="center"/>
              <w:rPr>
                <w:sz w:val="18"/>
              </w:rPr>
            </w:pPr>
            <w:r w:rsidRPr="002B55E9">
              <w:rPr>
                <w:sz w:val="18"/>
              </w:rPr>
              <w:t>1</w:t>
            </w:r>
            <w:r w:rsidRPr="002B55E9">
              <w:rPr>
                <w:sz w:val="18"/>
              </w:rPr>
              <w:t>月</w:t>
            </w:r>
          </w:p>
        </w:tc>
        <w:tc>
          <w:tcPr>
            <w:tcW w:w="694" w:type="dxa"/>
            <w:tcMar>
              <w:left w:w="28" w:type="dxa"/>
              <w:right w:w="28" w:type="dxa"/>
            </w:tcMar>
            <w:vAlign w:val="center"/>
          </w:tcPr>
          <w:p w14:paraId="38FC83B2" w14:textId="77777777" w:rsidR="00D170E5" w:rsidRPr="002B55E9" w:rsidRDefault="00EF27AD">
            <w:pPr>
              <w:jc w:val="center"/>
              <w:rPr>
                <w:sz w:val="18"/>
              </w:rPr>
            </w:pPr>
            <w:r w:rsidRPr="002B55E9">
              <w:rPr>
                <w:sz w:val="18"/>
              </w:rPr>
              <w:t>2</w:t>
            </w:r>
            <w:r w:rsidRPr="002B55E9">
              <w:rPr>
                <w:sz w:val="18"/>
              </w:rPr>
              <w:t>月</w:t>
            </w:r>
          </w:p>
        </w:tc>
        <w:tc>
          <w:tcPr>
            <w:tcW w:w="694" w:type="dxa"/>
            <w:tcMar>
              <w:left w:w="28" w:type="dxa"/>
              <w:right w:w="28" w:type="dxa"/>
            </w:tcMar>
            <w:vAlign w:val="center"/>
          </w:tcPr>
          <w:p w14:paraId="4A550C6B" w14:textId="77777777" w:rsidR="00D170E5" w:rsidRPr="002B55E9" w:rsidRDefault="00EF27AD">
            <w:pPr>
              <w:jc w:val="center"/>
              <w:rPr>
                <w:sz w:val="18"/>
              </w:rPr>
            </w:pPr>
            <w:r w:rsidRPr="002B55E9">
              <w:rPr>
                <w:sz w:val="18"/>
              </w:rPr>
              <w:t>3</w:t>
            </w:r>
            <w:r w:rsidRPr="002B55E9">
              <w:rPr>
                <w:sz w:val="18"/>
              </w:rPr>
              <w:t>月</w:t>
            </w:r>
          </w:p>
        </w:tc>
        <w:tc>
          <w:tcPr>
            <w:tcW w:w="694" w:type="dxa"/>
            <w:tcMar>
              <w:left w:w="28" w:type="dxa"/>
              <w:right w:w="28" w:type="dxa"/>
            </w:tcMar>
            <w:vAlign w:val="center"/>
          </w:tcPr>
          <w:p w14:paraId="3BCA4D06" w14:textId="77777777" w:rsidR="00D170E5" w:rsidRPr="002B55E9" w:rsidRDefault="00EF27AD">
            <w:pPr>
              <w:jc w:val="center"/>
              <w:rPr>
                <w:sz w:val="18"/>
              </w:rPr>
            </w:pPr>
            <w:r w:rsidRPr="002B55E9">
              <w:rPr>
                <w:sz w:val="18"/>
              </w:rPr>
              <w:t>4</w:t>
            </w:r>
            <w:r w:rsidRPr="002B55E9">
              <w:rPr>
                <w:sz w:val="18"/>
              </w:rPr>
              <w:t>月</w:t>
            </w:r>
          </w:p>
        </w:tc>
        <w:tc>
          <w:tcPr>
            <w:tcW w:w="694" w:type="dxa"/>
            <w:tcMar>
              <w:left w:w="28" w:type="dxa"/>
              <w:right w:w="28" w:type="dxa"/>
            </w:tcMar>
            <w:vAlign w:val="center"/>
          </w:tcPr>
          <w:p w14:paraId="5AF9A516" w14:textId="77777777" w:rsidR="00D170E5" w:rsidRPr="002B55E9" w:rsidRDefault="00EF27AD">
            <w:pPr>
              <w:jc w:val="center"/>
              <w:rPr>
                <w:sz w:val="18"/>
              </w:rPr>
            </w:pPr>
            <w:r w:rsidRPr="002B55E9">
              <w:rPr>
                <w:sz w:val="18"/>
              </w:rPr>
              <w:t>5</w:t>
            </w:r>
            <w:r w:rsidRPr="002B55E9">
              <w:rPr>
                <w:sz w:val="18"/>
              </w:rPr>
              <w:t>月</w:t>
            </w:r>
          </w:p>
        </w:tc>
        <w:tc>
          <w:tcPr>
            <w:tcW w:w="694" w:type="dxa"/>
            <w:tcMar>
              <w:left w:w="28" w:type="dxa"/>
              <w:right w:w="28" w:type="dxa"/>
            </w:tcMar>
            <w:vAlign w:val="center"/>
          </w:tcPr>
          <w:p w14:paraId="363F28E4" w14:textId="77777777" w:rsidR="00D170E5" w:rsidRPr="002B55E9" w:rsidRDefault="00EF27AD">
            <w:pPr>
              <w:jc w:val="center"/>
              <w:rPr>
                <w:sz w:val="18"/>
              </w:rPr>
            </w:pPr>
            <w:r w:rsidRPr="002B55E9">
              <w:rPr>
                <w:sz w:val="18"/>
              </w:rPr>
              <w:t>6</w:t>
            </w:r>
            <w:r w:rsidRPr="002B55E9">
              <w:rPr>
                <w:sz w:val="18"/>
              </w:rPr>
              <w:t>月</w:t>
            </w:r>
          </w:p>
        </w:tc>
        <w:tc>
          <w:tcPr>
            <w:tcW w:w="694" w:type="dxa"/>
            <w:tcMar>
              <w:left w:w="28" w:type="dxa"/>
              <w:right w:w="28" w:type="dxa"/>
            </w:tcMar>
            <w:vAlign w:val="center"/>
          </w:tcPr>
          <w:p w14:paraId="30107BE2" w14:textId="77777777" w:rsidR="00D170E5" w:rsidRPr="002B55E9" w:rsidRDefault="00EF27AD">
            <w:pPr>
              <w:jc w:val="center"/>
              <w:rPr>
                <w:sz w:val="18"/>
              </w:rPr>
            </w:pPr>
            <w:r w:rsidRPr="002B55E9">
              <w:rPr>
                <w:sz w:val="18"/>
              </w:rPr>
              <w:t>7</w:t>
            </w:r>
            <w:r w:rsidRPr="002B55E9">
              <w:rPr>
                <w:sz w:val="18"/>
              </w:rPr>
              <w:t>月</w:t>
            </w:r>
          </w:p>
        </w:tc>
        <w:tc>
          <w:tcPr>
            <w:tcW w:w="694" w:type="dxa"/>
            <w:tcMar>
              <w:left w:w="28" w:type="dxa"/>
              <w:right w:w="28" w:type="dxa"/>
            </w:tcMar>
            <w:vAlign w:val="center"/>
          </w:tcPr>
          <w:p w14:paraId="036D6AC4" w14:textId="77777777" w:rsidR="00D170E5" w:rsidRPr="002B55E9" w:rsidRDefault="00EF27AD">
            <w:pPr>
              <w:jc w:val="center"/>
              <w:rPr>
                <w:sz w:val="18"/>
              </w:rPr>
            </w:pPr>
            <w:r w:rsidRPr="002B55E9">
              <w:rPr>
                <w:sz w:val="18"/>
              </w:rPr>
              <w:t>8</w:t>
            </w:r>
            <w:r w:rsidRPr="002B55E9">
              <w:rPr>
                <w:sz w:val="18"/>
              </w:rPr>
              <w:t>月</w:t>
            </w:r>
          </w:p>
        </w:tc>
        <w:tc>
          <w:tcPr>
            <w:tcW w:w="694" w:type="dxa"/>
            <w:tcMar>
              <w:left w:w="28" w:type="dxa"/>
              <w:right w:w="28" w:type="dxa"/>
            </w:tcMar>
            <w:vAlign w:val="center"/>
          </w:tcPr>
          <w:p w14:paraId="17A596A1" w14:textId="77777777" w:rsidR="00D170E5" w:rsidRPr="002B55E9" w:rsidRDefault="00EF27AD">
            <w:pPr>
              <w:jc w:val="center"/>
              <w:rPr>
                <w:sz w:val="18"/>
              </w:rPr>
            </w:pPr>
            <w:r w:rsidRPr="002B55E9">
              <w:rPr>
                <w:sz w:val="18"/>
              </w:rPr>
              <w:t>9</w:t>
            </w:r>
            <w:r w:rsidRPr="002B55E9">
              <w:rPr>
                <w:sz w:val="18"/>
              </w:rPr>
              <w:t>月</w:t>
            </w:r>
          </w:p>
        </w:tc>
        <w:tc>
          <w:tcPr>
            <w:tcW w:w="730" w:type="dxa"/>
            <w:tcMar>
              <w:left w:w="28" w:type="dxa"/>
              <w:right w:w="28" w:type="dxa"/>
            </w:tcMar>
            <w:vAlign w:val="center"/>
          </w:tcPr>
          <w:p w14:paraId="46906585" w14:textId="77777777" w:rsidR="00D170E5" w:rsidRPr="002B55E9" w:rsidRDefault="00EF27AD">
            <w:pPr>
              <w:jc w:val="center"/>
              <w:rPr>
                <w:sz w:val="18"/>
              </w:rPr>
            </w:pPr>
            <w:r w:rsidRPr="002B55E9">
              <w:rPr>
                <w:sz w:val="18"/>
              </w:rPr>
              <w:t>10</w:t>
            </w:r>
            <w:r w:rsidRPr="002B55E9">
              <w:rPr>
                <w:sz w:val="18"/>
              </w:rPr>
              <w:t>月</w:t>
            </w:r>
          </w:p>
        </w:tc>
        <w:tc>
          <w:tcPr>
            <w:tcW w:w="730" w:type="dxa"/>
            <w:tcMar>
              <w:left w:w="28" w:type="dxa"/>
              <w:right w:w="28" w:type="dxa"/>
            </w:tcMar>
            <w:vAlign w:val="center"/>
          </w:tcPr>
          <w:p w14:paraId="2C9380A6" w14:textId="77777777" w:rsidR="00D170E5" w:rsidRPr="002B55E9" w:rsidRDefault="00EF27AD">
            <w:pPr>
              <w:jc w:val="center"/>
              <w:rPr>
                <w:sz w:val="18"/>
              </w:rPr>
            </w:pPr>
            <w:r w:rsidRPr="002B55E9">
              <w:rPr>
                <w:sz w:val="18"/>
              </w:rPr>
              <w:t>11</w:t>
            </w:r>
            <w:r w:rsidRPr="002B55E9">
              <w:rPr>
                <w:sz w:val="18"/>
              </w:rPr>
              <w:t>月</w:t>
            </w:r>
          </w:p>
        </w:tc>
        <w:tc>
          <w:tcPr>
            <w:tcW w:w="723" w:type="dxa"/>
            <w:tcMar>
              <w:left w:w="28" w:type="dxa"/>
              <w:right w:w="28" w:type="dxa"/>
            </w:tcMar>
            <w:vAlign w:val="center"/>
          </w:tcPr>
          <w:p w14:paraId="31BB3846" w14:textId="77777777" w:rsidR="00D170E5" w:rsidRPr="002B55E9" w:rsidRDefault="00EF27AD">
            <w:pPr>
              <w:jc w:val="center"/>
              <w:rPr>
                <w:sz w:val="18"/>
              </w:rPr>
            </w:pPr>
            <w:r w:rsidRPr="002B55E9">
              <w:rPr>
                <w:sz w:val="18"/>
              </w:rPr>
              <w:t>12</w:t>
            </w:r>
            <w:r w:rsidRPr="002B55E9">
              <w:rPr>
                <w:sz w:val="18"/>
              </w:rPr>
              <w:t>月</w:t>
            </w:r>
          </w:p>
        </w:tc>
      </w:tr>
      <w:tr w:rsidR="002B55E9" w:rsidRPr="002B55E9" w14:paraId="14B584B3" w14:textId="77777777">
        <w:trPr>
          <w:trHeight w:val="284"/>
          <w:jc w:val="center"/>
        </w:trPr>
        <w:tc>
          <w:tcPr>
            <w:tcW w:w="1208" w:type="dxa"/>
            <w:tcMar>
              <w:left w:w="28" w:type="dxa"/>
              <w:right w:w="28" w:type="dxa"/>
            </w:tcMar>
            <w:vAlign w:val="center"/>
          </w:tcPr>
          <w:p w14:paraId="717D2DA8" w14:textId="77777777" w:rsidR="00D170E5" w:rsidRPr="002B55E9" w:rsidRDefault="00EF27AD">
            <w:pPr>
              <w:jc w:val="center"/>
              <w:rPr>
                <w:sz w:val="18"/>
              </w:rPr>
            </w:pPr>
            <w:r w:rsidRPr="002B55E9">
              <w:rPr>
                <w:sz w:val="18"/>
              </w:rPr>
              <w:t>风速</w:t>
            </w:r>
            <w:r w:rsidRPr="002B55E9">
              <w:rPr>
                <w:sz w:val="18"/>
              </w:rPr>
              <w:t>(m/s)</w:t>
            </w:r>
          </w:p>
        </w:tc>
        <w:tc>
          <w:tcPr>
            <w:tcW w:w="694" w:type="dxa"/>
            <w:tcMar>
              <w:left w:w="28" w:type="dxa"/>
              <w:right w:w="28" w:type="dxa"/>
            </w:tcMar>
            <w:vAlign w:val="center"/>
          </w:tcPr>
          <w:p w14:paraId="6A4D7140" w14:textId="77777777" w:rsidR="00D170E5" w:rsidRPr="002B55E9" w:rsidRDefault="00EF27AD">
            <w:pPr>
              <w:jc w:val="center"/>
              <w:rPr>
                <w:sz w:val="18"/>
                <w:szCs w:val="18"/>
              </w:rPr>
            </w:pPr>
            <w:r w:rsidRPr="002B55E9">
              <w:rPr>
                <w:sz w:val="18"/>
                <w:szCs w:val="18"/>
              </w:rPr>
              <w:t>1.4</w:t>
            </w:r>
          </w:p>
        </w:tc>
        <w:tc>
          <w:tcPr>
            <w:tcW w:w="694" w:type="dxa"/>
            <w:tcMar>
              <w:left w:w="28" w:type="dxa"/>
              <w:right w:w="28" w:type="dxa"/>
            </w:tcMar>
            <w:vAlign w:val="center"/>
          </w:tcPr>
          <w:p w14:paraId="37FEA1C1" w14:textId="77777777" w:rsidR="00D170E5" w:rsidRPr="002B55E9" w:rsidRDefault="00EF27AD">
            <w:pPr>
              <w:jc w:val="center"/>
              <w:rPr>
                <w:sz w:val="18"/>
                <w:szCs w:val="18"/>
              </w:rPr>
            </w:pPr>
            <w:r w:rsidRPr="002B55E9">
              <w:rPr>
                <w:sz w:val="18"/>
                <w:szCs w:val="18"/>
              </w:rPr>
              <w:t>1.</w:t>
            </w:r>
            <w:r w:rsidRPr="002B55E9">
              <w:rPr>
                <w:rFonts w:hint="eastAsia"/>
                <w:sz w:val="18"/>
                <w:szCs w:val="18"/>
              </w:rPr>
              <w:t>6</w:t>
            </w:r>
          </w:p>
        </w:tc>
        <w:tc>
          <w:tcPr>
            <w:tcW w:w="694" w:type="dxa"/>
            <w:tcMar>
              <w:left w:w="28" w:type="dxa"/>
              <w:right w:w="28" w:type="dxa"/>
            </w:tcMar>
            <w:vAlign w:val="center"/>
          </w:tcPr>
          <w:p w14:paraId="3E904C78" w14:textId="77777777" w:rsidR="00D170E5" w:rsidRPr="002B55E9" w:rsidRDefault="00EF27AD">
            <w:pPr>
              <w:jc w:val="center"/>
              <w:rPr>
                <w:sz w:val="18"/>
                <w:szCs w:val="18"/>
              </w:rPr>
            </w:pPr>
            <w:r w:rsidRPr="002B55E9">
              <w:rPr>
                <w:sz w:val="18"/>
                <w:szCs w:val="18"/>
              </w:rPr>
              <w:t>1.7</w:t>
            </w:r>
          </w:p>
        </w:tc>
        <w:tc>
          <w:tcPr>
            <w:tcW w:w="694" w:type="dxa"/>
            <w:tcMar>
              <w:left w:w="28" w:type="dxa"/>
              <w:right w:w="28" w:type="dxa"/>
            </w:tcMar>
            <w:vAlign w:val="center"/>
          </w:tcPr>
          <w:p w14:paraId="40D26BE3" w14:textId="77777777" w:rsidR="00D170E5" w:rsidRPr="002B55E9" w:rsidRDefault="00EF27AD">
            <w:pPr>
              <w:jc w:val="center"/>
              <w:rPr>
                <w:sz w:val="18"/>
                <w:szCs w:val="18"/>
              </w:rPr>
            </w:pPr>
            <w:r w:rsidRPr="002B55E9">
              <w:rPr>
                <w:sz w:val="18"/>
                <w:szCs w:val="18"/>
              </w:rPr>
              <w:t>1.</w:t>
            </w:r>
            <w:r w:rsidRPr="002B55E9">
              <w:rPr>
                <w:rFonts w:hint="eastAsia"/>
                <w:sz w:val="18"/>
                <w:szCs w:val="18"/>
              </w:rPr>
              <w:t>8</w:t>
            </w:r>
          </w:p>
        </w:tc>
        <w:tc>
          <w:tcPr>
            <w:tcW w:w="694" w:type="dxa"/>
            <w:tcMar>
              <w:left w:w="28" w:type="dxa"/>
              <w:right w:w="28" w:type="dxa"/>
            </w:tcMar>
            <w:vAlign w:val="center"/>
          </w:tcPr>
          <w:p w14:paraId="6381CA90" w14:textId="77777777" w:rsidR="00D170E5" w:rsidRPr="002B55E9" w:rsidRDefault="00EF27AD">
            <w:pPr>
              <w:jc w:val="center"/>
              <w:rPr>
                <w:sz w:val="18"/>
                <w:szCs w:val="18"/>
              </w:rPr>
            </w:pPr>
            <w:r w:rsidRPr="002B55E9">
              <w:rPr>
                <w:sz w:val="18"/>
                <w:szCs w:val="18"/>
              </w:rPr>
              <w:t>1.5</w:t>
            </w:r>
          </w:p>
        </w:tc>
        <w:tc>
          <w:tcPr>
            <w:tcW w:w="694" w:type="dxa"/>
            <w:tcMar>
              <w:left w:w="28" w:type="dxa"/>
              <w:right w:w="28" w:type="dxa"/>
            </w:tcMar>
            <w:vAlign w:val="center"/>
          </w:tcPr>
          <w:p w14:paraId="0544F41F" w14:textId="77777777" w:rsidR="00D170E5" w:rsidRPr="002B55E9" w:rsidRDefault="00EF27AD">
            <w:pPr>
              <w:jc w:val="center"/>
              <w:rPr>
                <w:sz w:val="18"/>
                <w:szCs w:val="18"/>
              </w:rPr>
            </w:pPr>
            <w:r w:rsidRPr="002B55E9">
              <w:rPr>
                <w:sz w:val="18"/>
                <w:szCs w:val="18"/>
              </w:rPr>
              <w:t>1.</w:t>
            </w:r>
            <w:r w:rsidRPr="002B55E9">
              <w:rPr>
                <w:rFonts w:hint="eastAsia"/>
                <w:sz w:val="18"/>
                <w:szCs w:val="18"/>
              </w:rPr>
              <w:t>5</w:t>
            </w:r>
          </w:p>
        </w:tc>
        <w:tc>
          <w:tcPr>
            <w:tcW w:w="694" w:type="dxa"/>
            <w:tcMar>
              <w:left w:w="28" w:type="dxa"/>
              <w:right w:w="28" w:type="dxa"/>
            </w:tcMar>
            <w:vAlign w:val="center"/>
          </w:tcPr>
          <w:p w14:paraId="4155FBC3" w14:textId="77777777" w:rsidR="00D170E5" w:rsidRPr="002B55E9" w:rsidRDefault="00EF27AD">
            <w:pPr>
              <w:jc w:val="center"/>
              <w:rPr>
                <w:sz w:val="18"/>
                <w:szCs w:val="18"/>
              </w:rPr>
            </w:pPr>
            <w:r w:rsidRPr="002B55E9">
              <w:rPr>
                <w:sz w:val="18"/>
                <w:szCs w:val="18"/>
              </w:rPr>
              <w:t>1.8</w:t>
            </w:r>
          </w:p>
        </w:tc>
        <w:tc>
          <w:tcPr>
            <w:tcW w:w="694" w:type="dxa"/>
            <w:tcMar>
              <w:left w:w="28" w:type="dxa"/>
              <w:right w:w="28" w:type="dxa"/>
            </w:tcMar>
            <w:vAlign w:val="center"/>
          </w:tcPr>
          <w:p w14:paraId="1AA85204" w14:textId="77777777" w:rsidR="00D170E5" w:rsidRPr="002B55E9" w:rsidRDefault="00EF27AD">
            <w:pPr>
              <w:jc w:val="center"/>
              <w:rPr>
                <w:sz w:val="18"/>
                <w:szCs w:val="18"/>
              </w:rPr>
            </w:pPr>
            <w:r w:rsidRPr="002B55E9">
              <w:rPr>
                <w:sz w:val="18"/>
                <w:szCs w:val="18"/>
              </w:rPr>
              <w:t>1.</w:t>
            </w:r>
            <w:r w:rsidRPr="002B55E9">
              <w:rPr>
                <w:rFonts w:hint="eastAsia"/>
                <w:sz w:val="18"/>
                <w:szCs w:val="18"/>
              </w:rPr>
              <w:t>8</w:t>
            </w:r>
          </w:p>
        </w:tc>
        <w:tc>
          <w:tcPr>
            <w:tcW w:w="694" w:type="dxa"/>
            <w:tcMar>
              <w:left w:w="28" w:type="dxa"/>
              <w:right w:w="28" w:type="dxa"/>
            </w:tcMar>
            <w:vAlign w:val="center"/>
          </w:tcPr>
          <w:p w14:paraId="465F25B1" w14:textId="77777777" w:rsidR="00D170E5" w:rsidRPr="002B55E9" w:rsidRDefault="00EF27AD">
            <w:pPr>
              <w:jc w:val="center"/>
              <w:rPr>
                <w:sz w:val="18"/>
                <w:szCs w:val="18"/>
              </w:rPr>
            </w:pPr>
            <w:r w:rsidRPr="002B55E9">
              <w:rPr>
                <w:sz w:val="18"/>
                <w:szCs w:val="18"/>
              </w:rPr>
              <w:t>1.5</w:t>
            </w:r>
          </w:p>
        </w:tc>
        <w:tc>
          <w:tcPr>
            <w:tcW w:w="730" w:type="dxa"/>
            <w:tcMar>
              <w:left w:w="28" w:type="dxa"/>
              <w:right w:w="28" w:type="dxa"/>
            </w:tcMar>
            <w:vAlign w:val="center"/>
          </w:tcPr>
          <w:p w14:paraId="4B35C0A8" w14:textId="77777777" w:rsidR="00D170E5" w:rsidRPr="002B55E9" w:rsidRDefault="00EF27AD">
            <w:pPr>
              <w:jc w:val="center"/>
              <w:rPr>
                <w:sz w:val="18"/>
                <w:szCs w:val="18"/>
              </w:rPr>
            </w:pPr>
            <w:r w:rsidRPr="002B55E9">
              <w:rPr>
                <w:sz w:val="18"/>
                <w:szCs w:val="18"/>
              </w:rPr>
              <w:t>1.3</w:t>
            </w:r>
          </w:p>
        </w:tc>
        <w:tc>
          <w:tcPr>
            <w:tcW w:w="730" w:type="dxa"/>
            <w:tcMar>
              <w:left w:w="28" w:type="dxa"/>
              <w:right w:w="28" w:type="dxa"/>
            </w:tcMar>
            <w:vAlign w:val="center"/>
          </w:tcPr>
          <w:p w14:paraId="682CC033" w14:textId="77777777" w:rsidR="00D170E5" w:rsidRPr="002B55E9" w:rsidRDefault="00EF27AD">
            <w:pPr>
              <w:jc w:val="center"/>
              <w:rPr>
                <w:sz w:val="18"/>
                <w:szCs w:val="18"/>
              </w:rPr>
            </w:pPr>
            <w:r w:rsidRPr="002B55E9">
              <w:rPr>
                <w:sz w:val="18"/>
                <w:szCs w:val="18"/>
              </w:rPr>
              <w:t>1.3</w:t>
            </w:r>
          </w:p>
        </w:tc>
        <w:tc>
          <w:tcPr>
            <w:tcW w:w="723" w:type="dxa"/>
            <w:tcMar>
              <w:left w:w="28" w:type="dxa"/>
              <w:right w:w="28" w:type="dxa"/>
            </w:tcMar>
            <w:vAlign w:val="center"/>
          </w:tcPr>
          <w:p w14:paraId="17D65632" w14:textId="77777777" w:rsidR="00D170E5" w:rsidRPr="002B55E9" w:rsidRDefault="00EF27AD">
            <w:pPr>
              <w:jc w:val="center"/>
              <w:rPr>
                <w:sz w:val="18"/>
                <w:szCs w:val="18"/>
              </w:rPr>
            </w:pPr>
            <w:r w:rsidRPr="002B55E9">
              <w:rPr>
                <w:sz w:val="18"/>
                <w:szCs w:val="18"/>
              </w:rPr>
              <w:t>1.</w:t>
            </w:r>
            <w:r w:rsidRPr="002B55E9">
              <w:rPr>
                <w:rFonts w:hint="eastAsia"/>
                <w:sz w:val="18"/>
                <w:szCs w:val="18"/>
              </w:rPr>
              <w:t>4</w:t>
            </w:r>
          </w:p>
        </w:tc>
      </w:tr>
    </w:tbl>
    <w:p w14:paraId="12B073EA" w14:textId="77777777" w:rsidR="00D170E5" w:rsidRPr="002B55E9" w:rsidRDefault="00EF27AD">
      <w:pPr>
        <w:widowControl/>
        <w:adjustRightInd w:val="0"/>
        <w:snapToGrid w:val="0"/>
        <w:spacing w:line="360" w:lineRule="auto"/>
        <w:ind w:firstLineChars="200" w:firstLine="480"/>
        <w:rPr>
          <w:snapToGrid w:val="0"/>
          <w:sz w:val="24"/>
        </w:rPr>
      </w:pPr>
      <w:r w:rsidRPr="002B55E9">
        <w:rPr>
          <w:rFonts w:hint="eastAsia"/>
          <w:sz w:val="24"/>
        </w:rPr>
        <w:t>（</w:t>
      </w:r>
      <w:r w:rsidRPr="002B55E9">
        <w:rPr>
          <w:rFonts w:hint="eastAsia"/>
          <w:sz w:val="24"/>
        </w:rPr>
        <w:t>2</w:t>
      </w:r>
      <w:r w:rsidRPr="002B55E9">
        <w:rPr>
          <w:rFonts w:hint="eastAsia"/>
          <w:sz w:val="24"/>
        </w:rPr>
        <w:t>）</w:t>
      </w:r>
      <w:r w:rsidRPr="002B55E9">
        <w:rPr>
          <w:rFonts w:hint="eastAsia"/>
          <w:snapToGrid w:val="0"/>
          <w:sz w:val="24"/>
        </w:rPr>
        <w:t>风向特征</w:t>
      </w:r>
    </w:p>
    <w:p w14:paraId="165B83EB" w14:textId="77777777" w:rsidR="00D170E5" w:rsidRPr="002B55E9" w:rsidRDefault="00EF27AD">
      <w:pPr>
        <w:widowControl/>
        <w:adjustRightInd w:val="0"/>
        <w:snapToGrid w:val="0"/>
        <w:spacing w:line="360" w:lineRule="auto"/>
        <w:ind w:firstLineChars="200" w:firstLine="480"/>
        <w:rPr>
          <w:snapToGrid w:val="0"/>
          <w:sz w:val="24"/>
        </w:rPr>
      </w:pPr>
      <w:r w:rsidRPr="002B55E9">
        <w:rPr>
          <w:rFonts w:hint="eastAsia"/>
          <w:snapToGrid w:val="0"/>
          <w:sz w:val="24"/>
        </w:rPr>
        <w:lastRenderedPageBreak/>
        <w:t>武汉市</w:t>
      </w:r>
      <w:r w:rsidRPr="002B55E9">
        <w:rPr>
          <w:snapToGrid w:val="0"/>
          <w:sz w:val="24"/>
        </w:rPr>
        <w:t>近</w:t>
      </w:r>
      <w:r w:rsidRPr="002B55E9">
        <w:rPr>
          <w:snapToGrid w:val="0"/>
          <w:sz w:val="24"/>
        </w:rPr>
        <w:t>20</w:t>
      </w:r>
      <w:r w:rsidRPr="002B55E9">
        <w:rPr>
          <w:snapToGrid w:val="0"/>
          <w:sz w:val="24"/>
        </w:rPr>
        <w:t>年</w:t>
      </w:r>
      <w:r w:rsidRPr="002B55E9">
        <w:rPr>
          <w:rFonts w:hint="eastAsia"/>
          <w:snapToGrid w:val="0"/>
          <w:sz w:val="24"/>
        </w:rPr>
        <w:t>资料分析的风向玫瑰图如下图所示，武汉气象站主要风向为</w:t>
      </w:r>
      <w:r w:rsidRPr="002B55E9">
        <w:rPr>
          <w:rFonts w:hint="eastAsia"/>
          <w:snapToGrid w:val="0"/>
          <w:sz w:val="24"/>
        </w:rPr>
        <w:t>C</w:t>
      </w:r>
      <w:r w:rsidRPr="002B55E9">
        <w:rPr>
          <w:rFonts w:hint="eastAsia"/>
          <w:snapToGrid w:val="0"/>
          <w:sz w:val="24"/>
        </w:rPr>
        <w:t>和</w:t>
      </w:r>
      <w:r w:rsidRPr="002B55E9">
        <w:rPr>
          <w:rFonts w:hint="eastAsia"/>
          <w:snapToGrid w:val="0"/>
          <w:sz w:val="24"/>
        </w:rPr>
        <w:t>N</w:t>
      </w:r>
      <w:r w:rsidRPr="002B55E9">
        <w:rPr>
          <w:snapToGrid w:val="0"/>
          <w:sz w:val="24"/>
        </w:rPr>
        <w:t>E</w:t>
      </w:r>
      <w:r w:rsidRPr="002B55E9">
        <w:rPr>
          <w:rFonts w:hint="eastAsia"/>
          <w:snapToGrid w:val="0"/>
          <w:sz w:val="24"/>
        </w:rPr>
        <w:t>、</w:t>
      </w:r>
      <w:r w:rsidRPr="002B55E9">
        <w:rPr>
          <w:rFonts w:hint="eastAsia"/>
          <w:snapToGrid w:val="0"/>
          <w:sz w:val="24"/>
        </w:rPr>
        <w:t>N</w:t>
      </w:r>
      <w:r w:rsidRPr="002B55E9">
        <w:rPr>
          <w:snapToGrid w:val="0"/>
          <w:sz w:val="24"/>
        </w:rPr>
        <w:t>NE</w:t>
      </w:r>
      <w:r w:rsidRPr="002B55E9">
        <w:rPr>
          <w:rFonts w:hint="eastAsia"/>
          <w:snapToGrid w:val="0"/>
          <w:sz w:val="24"/>
        </w:rPr>
        <w:t>、</w:t>
      </w:r>
      <w:r w:rsidRPr="002B55E9">
        <w:rPr>
          <w:rFonts w:hint="eastAsia"/>
          <w:snapToGrid w:val="0"/>
          <w:sz w:val="24"/>
        </w:rPr>
        <w:t>N</w:t>
      </w:r>
      <w:r w:rsidRPr="002B55E9">
        <w:rPr>
          <w:rFonts w:hint="eastAsia"/>
          <w:snapToGrid w:val="0"/>
          <w:sz w:val="24"/>
        </w:rPr>
        <w:t>，占</w:t>
      </w:r>
      <w:r w:rsidRPr="002B55E9">
        <w:rPr>
          <w:rFonts w:hint="eastAsia"/>
          <w:snapToGrid w:val="0"/>
          <w:sz w:val="24"/>
        </w:rPr>
        <w:t>43</w:t>
      </w:r>
      <w:r w:rsidRPr="002B55E9">
        <w:rPr>
          <w:snapToGrid w:val="0"/>
          <w:sz w:val="24"/>
        </w:rPr>
        <w:t>.</w:t>
      </w:r>
      <w:r w:rsidRPr="002B55E9">
        <w:rPr>
          <w:rFonts w:hint="eastAsia"/>
          <w:snapToGrid w:val="0"/>
          <w:sz w:val="24"/>
        </w:rPr>
        <w:t>6%</w:t>
      </w:r>
      <w:r w:rsidRPr="002B55E9">
        <w:rPr>
          <w:rFonts w:hint="eastAsia"/>
          <w:snapToGrid w:val="0"/>
          <w:sz w:val="24"/>
        </w:rPr>
        <w:t>，其中以</w:t>
      </w:r>
      <w:r w:rsidRPr="002B55E9">
        <w:rPr>
          <w:rFonts w:hint="eastAsia"/>
          <w:snapToGrid w:val="0"/>
          <w:sz w:val="24"/>
        </w:rPr>
        <w:t xml:space="preserve"> NE </w:t>
      </w:r>
      <w:r w:rsidRPr="002B55E9">
        <w:rPr>
          <w:rFonts w:hint="eastAsia"/>
          <w:snapToGrid w:val="0"/>
          <w:sz w:val="24"/>
        </w:rPr>
        <w:t>为主风向，占到全年</w:t>
      </w:r>
      <w:r w:rsidRPr="002B55E9">
        <w:rPr>
          <w:rFonts w:hint="eastAsia"/>
          <w:snapToGrid w:val="0"/>
          <w:sz w:val="24"/>
        </w:rPr>
        <w:t xml:space="preserve"> 11.3</w:t>
      </w:r>
      <w:r w:rsidRPr="002B55E9">
        <w:rPr>
          <w:rFonts w:hint="eastAsia"/>
          <w:snapToGrid w:val="0"/>
          <w:sz w:val="24"/>
        </w:rPr>
        <w:t>％左右。</w:t>
      </w:r>
    </w:p>
    <w:p w14:paraId="4FE092C8" w14:textId="77777777" w:rsidR="00D170E5" w:rsidRPr="002B55E9" w:rsidRDefault="00EF27AD">
      <w:pPr>
        <w:jc w:val="center"/>
        <w:rPr>
          <w:rFonts w:eastAsia="黑体"/>
          <w:b/>
          <w:sz w:val="24"/>
        </w:rPr>
      </w:pPr>
      <w:r w:rsidRPr="002B55E9">
        <w:rPr>
          <w:rFonts w:eastAsia="黑体" w:hint="eastAsia"/>
          <w:b/>
          <w:sz w:val="24"/>
        </w:rPr>
        <w:t>表</w:t>
      </w:r>
      <w:r w:rsidRPr="002B55E9">
        <w:rPr>
          <w:rFonts w:eastAsia="黑体" w:hint="eastAsia"/>
          <w:b/>
          <w:sz w:val="24"/>
        </w:rPr>
        <w:t>5-</w:t>
      </w:r>
      <w:r w:rsidRPr="002B55E9">
        <w:rPr>
          <w:rFonts w:eastAsia="黑体"/>
          <w:b/>
          <w:sz w:val="24"/>
        </w:rPr>
        <w:t xml:space="preserve">2-3  </w:t>
      </w:r>
      <w:r w:rsidRPr="002B55E9">
        <w:rPr>
          <w:rFonts w:eastAsia="黑体" w:hint="eastAsia"/>
          <w:b/>
          <w:sz w:val="24"/>
        </w:rPr>
        <w:t>武汉气象站年风向频率统计（单位</w:t>
      </w:r>
      <w:r w:rsidRPr="002B55E9">
        <w:rPr>
          <w:rFonts w:eastAsia="黑体" w:hint="eastAsia"/>
          <w:b/>
          <w:sz w:val="24"/>
        </w:rPr>
        <w:t>%</w:t>
      </w:r>
      <w:r w:rsidRPr="002B55E9">
        <w:rPr>
          <w:rFonts w:eastAsia="黑体" w:hint="eastAsia"/>
          <w:b/>
          <w:sz w:val="24"/>
        </w:rPr>
        <w:t>）</w:t>
      </w:r>
    </w:p>
    <w:tbl>
      <w:tblPr>
        <w:tblW w:w="9637" w:type="dxa"/>
        <w:jc w:val="center"/>
        <w:tblBorders>
          <w:top w:val="single" w:sz="12" w:space="0" w:color="auto"/>
          <w:bottom w:val="single" w:sz="12" w:space="0" w:color="auto"/>
          <w:insideH w:val="single" w:sz="12" w:space="0" w:color="auto"/>
          <w:insideV w:val="single" w:sz="6" w:space="0" w:color="auto"/>
        </w:tblBorders>
        <w:tblLayout w:type="fixed"/>
        <w:tblLook w:val="04A0" w:firstRow="1" w:lastRow="0" w:firstColumn="1" w:lastColumn="0" w:noHBand="0" w:noVBand="1"/>
      </w:tblPr>
      <w:tblGrid>
        <w:gridCol w:w="577"/>
        <w:gridCol w:w="441"/>
        <w:gridCol w:w="586"/>
        <w:gridCol w:w="531"/>
        <w:gridCol w:w="566"/>
        <w:gridCol w:w="441"/>
        <w:gridCol w:w="537"/>
        <w:gridCol w:w="441"/>
        <w:gridCol w:w="527"/>
        <w:gridCol w:w="441"/>
        <w:gridCol w:w="587"/>
        <w:gridCol w:w="486"/>
        <w:gridCol w:w="656"/>
        <w:gridCol w:w="441"/>
        <w:gridCol w:w="686"/>
        <w:gridCol w:w="516"/>
        <w:gridCol w:w="646"/>
        <w:gridCol w:w="531"/>
      </w:tblGrid>
      <w:tr w:rsidR="002B55E9" w:rsidRPr="002B55E9" w14:paraId="3B75824E" w14:textId="77777777">
        <w:trPr>
          <w:trHeight w:val="284"/>
          <w:tblHeader/>
          <w:jc w:val="center"/>
        </w:trPr>
        <w:tc>
          <w:tcPr>
            <w:tcW w:w="577" w:type="dxa"/>
            <w:vAlign w:val="center"/>
          </w:tcPr>
          <w:p w14:paraId="756BD646" w14:textId="77777777" w:rsidR="00D170E5" w:rsidRPr="002B55E9" w:rsidRDefault="00EF27AD">
            <w:pPr>
              <w:ind w:leftChars="-50" w:left="-100" w:rightChars="-50" w:right="-100"/>
              <w:jc w:val="center"/>
              <w:rPr>
                <w:sz w:val="18"/>
              </w:rPr>
            </w:pPr>
            <w:r w:rsidRPr="002B55E9">
              <w:rPr>
                <w:sz w:val="18"/>
              </w:rPr>
              <w:t>风向</w:t>
            </w:r>
          </w:p>
        </w:tc>
        <w:tc>
          <w:tcPr>
            <w:tcW w:w="441" w:type="dxa"/>
            <w:vAlign w:val="center"/>
          </w:tcPr>
          <w:p w14:paraId="4508308B" w14:textId="77777777" w:rsidR="00D170E5" w:rsidRPr="002B55E9" w:rsidRDefault="00EF27AD">
            <w:pPr>
              <w:jc w:val="center"/>
              <w:rPr>
                <w:sz w:val="18"/>
              </w:rPr>
            </w:pPr>
            <w:r w:rsidRPr="002B55E9">
              <w:rPr>
                <w:sz w:val="18"/>
              </w:rPr>
              <w:t>N</w:t>
            </w:r>
          </w:p>
        </w:tc>
        <w:tc>
          <w:tcPr>
            <w:tcW w:w="586" w:type="dxa"/>
            <w:vAlign w:val="center"/>
          </w:tcPr>
          <w:p w14:paraId="663B1ABD" w14:textId="77777777" w:rsidR="00D170E5" w:rsidRPr="002B55E9" w:rsidRDefault="00EF27AD">
            <w:pPr>
              <w:jc w:val="center"/>
              <w:rPr>
                <w:sz w:val="18"/>
              </w:rPr>
            </w:pPr>
            <w:r w:rsidRPr="002B55E9">
              <w:rPr>
                <w:sz w:val="18"/>
              </w:rPr>
              <w:t>NNE</w:t>
            </w:r>
          </w:p>
        </w:tc>
        <w:tc>
          <w:tcPr>
            <w:tcW w:w="531" w:type="dxa"/>
            <w:vAlign w:val="center"/>
          </w:tcPr>
          <w:p w14:paraId="047DA120" w14:textId="77777777" w:rsidR="00D170E5" w:rsidRPr="002B55E9" w:rsidRDefault="00EF27AD">
            <w:pPr>
              <w:jc w:val="center"/>
              <w:rPr>
                <w:sz w:val="18"/>
              </w:rPr>
            </w:pPr>
            <w:r w:rsidRPr="002B55E9">
              <w:rPr>
                <w:sz w:val="18"/>
              </w:rPr>
              <w:t>NE</w:t>
            </w:r>
          </w:p>
        </w:tc>
        <w:tc>
          <w:tcPr>
            <w:tcW w:w="566" w:type="dxa"/>
            <w:vAlign w:val="center"/>
          </w:tcPr>
          <w:p w14:paraId="629B01A5" w14:textId="77777777" w:rsidR="00D170E5" w:rsidRPr="002B55E9" w:rsidRDefault="00EF27AD">
            <w:pPr>
              <w:jc w:val="center"/>
              <w:rPr>
                <w:sz w:val="18"/>
              </w:rPr>
            </w:pPr>
            <w:r w:rsidRPr="002B55E9">
              <w:rPr>
                <w:sz w:val="18"/>
              </w:rPr>
              <w:t>ENE</w:t>
            </w:r>
          </w:p>
        </w:tc>
        <w:tc>
          <w:tcPr>
            <w:tcW w:w="441" w:type="dxa"/>
            <w:vAlign w:val="center"/>
          </w:tcPr>
          <w:p w14:paraId="6F9AF98B" w14:textId="77777777" w:rsidR="00D170E5" w:rsidRPr="002B55E9" w:rsidRDefault="00EF27AD">
            <w:pPr>
              <w:jc w:val="center"/>
              <w:rPr>
                <w:sz w:val="18"/>
              </w:rPr>
            </w:pPr>
            <w:r w:rsidRPr="002B55E9">
              <w:rPr>
                <w:sz w:val="18"/>
              </w:rPr>
              <w:t>E</w:t>
            </w:r>
          </w:p>
        </w:tc>
        <w:tc>
          <w:tcPr>
            <w:tcW w:w="537" w:type="dxa"/>
            <w:vAlign w:val="center"/>
          </w:tcPr>
          <w:p w14:paraId="27644B33" w14:textId="77777777" w:rsidR="00D170E5" w:rsidRPr="002B55E9" w:rsidRDefault="00EF27AD">
            <w:pPr>
              <w:jc w:val="center"/>
              <w:rPr>
                <w:sz w:val="18"/>
              </w:rPr>
            </w:pPr>
            <w:r w:rsidRPr="002B55E9">
              <w:rPr>
                <w:sz w:val="18"/>
              </w:rPr>
              <w:t>ESE</w:t>
            </w:r>
          </w:p>
        </w:tc>
        <w:tc>
          <w:tcPr>
            <w:tcW w:w="441" w:type="dxa"/>
            <w:vAlign w:val="center"/>
          </w:tcPr>
          <w:p w14:paraId="4DA5A730" w14:textId="77777777" w:rsidR="00D170E5" w:rsidRPr="002B55E9" w:rsidRDefault="00EF27AD">
            <w:pPr>
              <w:jc w:val="center"/>
              <w:rPr>
                <w:sz w:val="18"/>
              </w:rPr>
            </w:pPr>
            <w:r w:rsidRPr="002B55E9">
              <w:rPr>
                <w:sz w:val="18"/>
              </w:rPr>
              <w:t>SE</w:t>
            </w:r>
          </w:p>
        </w:tc>
        <w:tc>
          <w:tcPr>
            <w:tcW w:w="527" w:type="dxa"/>
            <w:vAlign w:val="center"/>
          </w:tcPr>
          <w:p w14:paraId="670BB719" w14:textId="77777777" w:rsidR="00D170E5" w:rsidRPr="002B55E9" w:rsidRDefault="00EF27AD">
            <w:pPr>
              <w:jc w:val="center"/>
              <w:rPr>
                <w:sz w:val="18"/>
              </w:rPr>
            </w:pPr>
            <w:r w:rsidRPr="002B55E9">
              <w:rPr>
                <w:sz w:val="18"/>
              </w:rPr>
              <w:t>SSE</w:t>
            </w:r>
          </w:p>
        </w:tc>
        <w:tc>
          <w:tcPr>
            <w:tcW w:w="441" w:type="dxa"/>
            <w:vAlign w:val="center"/>
          </w:tcPr>
          <w:p w14:paraId="477C320B" w14:textId="77777777" w:rsidR="00D170E5" w:rsidRPr="002B55E9" w:rsidRDefault="00EF27AD">
            <w:pPr>
              <w:jc w:val="center"/>
              <w:rPr>
                <w:sz w:val="18"/>
              </w:rPr>
            </w:pPr>
            <w:r w:rsidRPr="002B55E9">
              <w:rPr>
                <w:sz w:val="18"/>
              </w:rPr>
              <w:t>S</w:t>
            </w:r>
          </w:p>
        </w:tc>
        <w:tc>
          <w:tcPr>
            <w:tcW w:w="587" w:type="dxa"/>
            <w:vAlign w:val="center"/>
          </w:tcPr>
          <w:p w14:paraId="0298A26C" w14:textId="77777777" w:rsidR="00D170E5" w:rsidRPr="002B55E9" w:rsidRDefault="00EF27AD">
            <w:pPr>
              <w:jc w:val="center"/>
              <w:rPr>
                <w:sz w:val="18"/>
              </w:rPr>
            </w:pPr>
            <w:r w:rsidRPr="002B55E9">
              <w:rPr>
                <w:sz w:val="18"/>
              </w:rPr>
              <w:t>SSW</w:t>
            </w:r>
          </w:p>
        </w:tc>
        <w:tc>
          <w:tcPr>
            <w:tcW w:w="486" w:type="dxa"/>
            <w:vAlign w:val="center"/>
          </w:tcPr>
          <w:p w14:paraId="349BB538" w14:textId="77777777" w:rsidR="00D170E5" w:rsidRPr="002B55E9" w:rsidRDefault="00EF27AD">
            <w:pPr>
              <w:jc w:val="center"/>
              <w:rPr>
                <w:sz w:val="18"/>
              </w:rPr>
            </w:pPr>
            <w:r w:rsidRPr="002B55E9">
              <w:rPr>
                <w:sz w:val="18"/>
              </w:rPr>
              <w:t>SW</w:t>
            </w:r>
          </w:p>
        </w:tc>
        <w:tc>
          <w:tcPr>
            <w:tcW w:w="656" w:type="dxa"/>
            <w:vAlign w:val="center"/>
          </w:tcPr>
          <w:p w14:paraId="5483F0B9" w14:textId="77777777" w:rsidR="00D170E5" w:rsidRPr="002B55E9" w:rsidRDefault="00EF27AD">
            <w:pPr>
              <w:jc w:val="center"/>
              <w:rPr>
                <w:sz w:val="18"/>
              </w:rPr>
            </w:pPr>
            <w:r w:rsidRPr="002B55E9">
              <w:rPr>
                <w:sz w:val="18"/>
              </w:rPr>
              <w:t>WSW</w:t>
            </w:r>
          </w:p>
        </w:tc>
        <w:tc>
          <w:tcPr>
            <w:tcW w:w="441" w:type="dxa"/>
            <w:vAlign w:val="center"/>
          </w:tcPr>
          <w:p w14:paraId="64B6CFB5" w14:textId="77777777" w:rsidR="00D170E5" w:rsidRPr="002B55E9" w:rsidRDefault="00EF27AD">
            <w:pPr>
              <w:jc w:val="center"/>
              <w:rPr>
                <w:sz w:val="18"/>
              </w:rPr>
            </w:pPr>
            <w:r w:rsidRPr="002B55E9">
              <w:rPr>
                <w:sz w:val="18"/>
              </w:rPr>
              <w:t>W</w:t>
            </w:r>
          </w:p>
        </w:tc>
        <w:tc>
          <w:tcPr>
            <w:tcW w:w="686" w:type="dxa"/>
            <w:vAlign w:val="center"/>
          </w:tcPr>
          <w:p w14:paraId="544B3F2D" w14:textId="77777777" w:rsidR="00D170E5" w:rsidRPr="002B55E9" w:rsidRDefault="00EF27AD">
            <w:pPr>
              <w:jc w:val="center"/>
              <w:rPr>
                <w:sz w:val="18"/>
              </w:rPr>
            </w:pPr>
            <w:r w:rsidRPr="002B55E9">
              <w:rPr>
                <w:sz w:val="18"/>
              </w:rPr>
              <w:t>WNW</w:t>
            </w:r>
          </w:p>
        </w:tc>
        <w:tc>
          <w:tcPr>
            <w:tcW w:w="516" w:type="dxa"/>
            <w:vAlign w:val="center"/>
          </w:tcPr>
          <w:p w14:paraId="65C374D1" w14:textId="77777777" w:rsidR="00D170E5" w:rsidRPr="002B55E9" w:rsidRDefault="00EF27AD">
            <w:pPr>
              <w:jc w:val="center"/>
              <w:rPr>
                <w:sz w:val="18"/>
              </w:rPr>
            </w:pPr>
            <w:r w:rsidRPr="002B55E9">
              <w:rPr>
                <w:sz w:val="18"/>
              </w:rPr>
              <w:t>NW</w:t>
            </w:r>
          </w:p>
        </w:tc>
        <w:tc>
          <w:tcPr>
            <w:tcW w:w="646" w:type="dxa"/>
            <w:vAlign w:val="center"/>
          </w:tcPr>
          <w:p w14:paraId="16655D1B" w14:textId="77777777" w:rsidR="00D170E5" w:rsidRPr="002B55E9" w:rsidRDefault="00EF27AD">
            <w:pPr>
              <w:jc w:val="center"/>
              <w:rPr>
                <w:sz w:val="18"/>
              </w:rPr>
            </w:pPr>
            <w:r w:rsidRPr="002B55E9">
              <w:rPr>
                <w:sz w:val="18"/>
              </w:rPr>
              <w:t>NNW</w:t>
            </w:r>
          </w:p>
        </w:tc>
        <w:tc>
          <w:tcPr>
            <w:tcW w:w="531" w:type="dxa"/>
            <w:vAlign w:val="center"/>
          </w:tcPr>
          <w:p w14:paraId="49B18CDB" w14:textId="77777777" w:rsidR="00D170E5" w:rsidRPr="002B55E9" w:rsidRDefault="00EF27AD">
            <w:pPr>
              <w:jc w:val="center"/>
              <w:rPr>
                <w:sz w:val="18"/>
              </w:rPr>
            </w:pPr>
            <w:r w:rsidRPr="002B55E9">
              <w:rPr>
                <w:sz w:val="18"/>
              </w:rPr>
              <w:t>C</w:t>
            </w:r>
          </w:p>
        </w:tc>
      </w:tr>
      <w:tr w:rsidR="002B55E9" w:rsidRPr="002B55E9" w14:paraId="4211D2B0" w14:textId="77777777">
        <w:trPr>
          <w:trHeight w:val="284"/>
          <w:tblHeader/>
          <w:jc w:val="center"/>
        </w:trPr>
        <w:tc>
          <w:tcPr>
            <w:tcW w:w="577" w:type="dxa"/>
            <w:vAlign w:val="center"/>
          </w:tcPr>
          <w:p w14:paraId="2614AE86" w14:textId="77777777" w:rsidR="00D170E5" w:rsidRPr="002B55E9" w:rsidRDefault="00EF27AD">
            <w:pPr>
              <w:ind w:leftChars="-50" w:left="-100" w:rightChars="-50" w:right="-100"/>
              <w:jc w:val="center"/>
              <w:rPr>
                <w:sz w:val="18"/>
              </w:rPr>
            </w:pPr>
            <w:r w:rsidRPr="002B55E9">
              <w:rPr>
                <w:sz w:val="18"/>
              </w:rPr>
              <w:t>风频</w:t>
            </w:r>
            <w:r w:rsidRPr="002B55E9">
              <w:rPr>
                <w:sz w:val="18"/>
              </w:rPr>
              <w:t>(%)</w:t>
            </w:r>
          </w:p>
        </w:tc>
        <w:tc>
          <w:tcPr>
            <w:tcW w:w="441" w:type="dxa"/>
            <w:vAlign w:val="center"/>
          </w:tcPr>
          <w:p w14:paraId="02780966" w14:textId="77777777" w:rsidR="00D170E5" w:rsidRPr="002B55E9" w:rsidRDefault="00EF27AD">
            <w:pPr>
              <w:jc w:val="center"/>
              <w:rPr>
                <w:sz w:val="18"/>
              </w:rPr>
            </w:pPr>
            <w:r w:rsidRPr="002B55E9">
              <w:rPr>
                <w:rFonts w:hint="eastAsia"/>
                <w:sz w:val="18"/>
              </w:rPr>
              <w:t>7</w:t>
            </w:r>
            <w:r w:rsidRPr="002B55E9">
              <w:rPr>
                <w:sz w:val="18"/>
              </w:rPr>
              <w:t>.</w:t>
            </w:r>
            <w:r w:rsidRPr="002B55E9">
              <w:rPr>
                <w:rFonts w:hint="eastAsia"/>
                <w:sz w:val="18"/>
              </w:rPr>
              <w:t>8</w:t>
            </w:r>
          </w:p>
        </w:tc>
        <w:tc>
          <w:tcPr>
            <w:tcW w:w="586" w:type="dxa"/>
            <w:vAlign w:val="center"/>
          </w:tcPr>
          <w:p w14:paraId="520D42CE" w14:textId="77777777" w:rsidR="00D170E5" w:rsidRPr="002B55E9" w:rsidRDefault="00EF27AD">
            <w:pPr>
              <w:jc w:val="center"/>
              <w:rPr>
                <w:sz w:val="18"/>
                <w:szCs w:val="18"/>
              </w:rPr>
            </w:pPr>
            <w:r w:rsidRPr="002B55E9">
              <w:rPr>
                <w:rFonts w:hint="eastAsia"/>
                <w:sz w:val="18"/>
                <w:szCs w:val="18"/>
              </w:rPr>
              <w:t>1</w:t>
            </w:r>
            <w:r w:rsidRPr="002B55E9">
              <w:rPr>
                <w:sz w:val="18"/>
                <w:szCs w:val="18"/>
              </w:rPr>
              <w:t>1.</w:t>
            </w:r>
            <w:r w:rsidRPr="002B55E9">
              <w:rPr>
                <w:rFonts w:hint="eastAsia"/>
                <w:sz w:val="18"/>
                <w:szCs w:val="18"/>
              </w:rPr>
              <w:t>1</w:t>
            </w:r>
          </w:p>
        </w:tc>
        <w:tc>
          <w:tcPr>
            <w:tcW w:w="531" w:type="dxa"/>
            <w:vAlign w:val="center"/>
          </w:tcPr>
          <w:p w14:paraId="61C8ADE1" w14:textId="77777777" w:rsidR="00D170E5" w:rsidRPr="002B55E9" w:rsidRDefault="00EF27AD">
            <w:pPr>
              <w:jc w:val="center"/>
              <w:rPr>
                <w:sz w:val="18"/>
                <w:szCs w:val="18"/>
              </w:rPr>
            </w:pPr>
            <w:r w:rsidRPr="002B55E9">
              <w:rPr>
                <w:rFonts w:hint="eastAsia"/>
                <w:sz w:val="18"/>
                <w:szCs w:val="18"/>
              </w:rPr>
              <w:t>1</w:t>
            </w:r>
            <w:r w:rsidRPr="002B55E9">
              <w:rPr>
                <w:sz w:val="18"/>
                <w:szCs w:val="18"/>
              </w:rPr>
              <w:t>1.</w:t>
            </w:r>
            <w:r w:rsidRPr="002B55E9">
              <w:rPr>
                <w:rFonts w:hint="eastAsia"/>
                <w:sz w:val="18"/>
                <w:szCs w:val="18"/>
              </w:rPr>
              <w:t>3</w:t>
            </w:r>
          </w:p>
        </w:tc>
        <w:tc>
          <w:tcPr>
            <w:tcW w:w="566" w:type="dxa"/>
            <w:vAlign w:val="center"/>
          </w:tcPr>
          <w:p w14:paraId="6AC387CC" w14:textId="77777777" w:rsidR="00D170E5" w:rsidRPr="002B55E9" w:rsidRDefault="00EF27AD">
            <w:pPr>
              <w:jc w:val="center"/>
              <w:rPr>
                <w:sz w:val="18"/>
                <w:szCs w:val="18"/>
              </w:rPr>
            </w:pPr>
            <w:r w:rsidRPr="002B55E9">
              <w:rPr>
                <w:rFonts w:hint="eastAsia"/>
                <w:sz w:val="18"/>
                <w:szCs w:val="18"/>
              </w:rPr>
              <w:t>6</w:t>
            </w:r>
            <w:r w:rsidRPr="002B55E9">
              <w:rPr>
                <w:sz w:val="18"/>
                <w:szCs w:val="18"/>
              </w:rPr>
              <w:t>.</w:t>
            </w:r>
            <w:r w:rsidRPr="002B55E9">
              <w:rPr>
                <w:rFonts w:hint="eastAsia"/>
                <w:sz w:val="18"/>
                <w:szCs w:val="18"/>
              </w:rPr>
              <w:t>4</w:t>
            </w:r>
          </w:p>
        </w:tc>
        <w:tc>
          <w:tcPr>
            <w:tcW w:w="441" w:type="dxa"/>
            <w:vAlign w:val="center"/>
          </w:tcPr>
          <w:p w14:paraId="6A3D8F00" w14:textId="77777777" w:rsidR="00D170E5" w:rsidRPr="002B55E9" w:rsidRDefault="00EF27AD">
            <w:pPr>
              <w:jc w:val="center"/>
              <w:rPr>
                <w:sz w:val="18"/>
                <w:szCs w:val="18"/>
              </w:rPr>
            </w:pPr>
            <w:r w:rsidRPr="002B55E9">
              <w:rPr>
                <w:rFonts w:hint="eastAsia"/>
                <w:sz w:val="18"/>
                <w:szCs w:val="18"/>
              </w:rPr>
              <w:t>5</w:t>
            </w:r>
            <w:r w:rsidRPr="002B55E9">
              <w:rPr>
                <w:sz w:val="18"/>
                <w:szCs w:val="18"/>
              </w:rPr>
              <w:t>.</w:t>
            </w:r>
            <w:r w:rsidRPr="002B55E9">
              <w:rPr>
                <w:rFonts w:hint="eastAsia"/>
                <w:sz w:val="18"/>
                <w:szCs w:val="18"/>
              </w:rPr>
              <w:t>5</w:t>
            </w:r>
          </w:p>
        </w:tc>
        <w:tc>
          <w:tcPr>
            <w:tcW w:w="537" w:type="dxa"/>
            <w:vAlign w:val="center"/>
          </w:tcPr>
          <w:p w14:paraId="56A3D06F" w14:textId="77777777" w:rsidR="00D170E5" w:rsidRPr="002B55E9" w:rsidRDefault="00EF27AD">
            <w:pPr>
              <w:jc w:val="center"/>
              <w:rPr>
                <w:sz w:val="18"/>
                <w:szCs w:val="18"/>
              </w:rPr>
            </w:pPr>
            <w:r w:rsidRPr="002B55E9">
              <w:rPr>
                <w:rFonts w:hint="eastAsia"/>
                <w:sz w:val="18"/>
                <w:szCs w:val="18"/>
              </w:rPr>
              <w:t>5.0</w:t>
            </w:r>
          </w:p>
        </w:tc>
        <w:tc>
          <w:tcPr>
            <w:tcW w:w="441" w:type="dxa"/>
            <w:vAlign w:val="center"/>
          </w:tcPr>
          <w:p w14:paraId="65801F91" w14:textId="77777777" w:rsidR="00D170E5" w:rsidRPr="002B55E9" w:rsidRDefault="00EF27AD">
            <w:pPr>
              <w:jc w:val="center"/>
              <w:rPr>
                <w:sz w:val="18"/>
                <w:szCs w:val="18"/>
              </w:rPr>
            </w:pPr>
            <w:r w:rsidRPr="002B55E9">
              <w:rPr>
                <w:rFonts w:hint="eastAsia"/>
                <w:sz w:val="18"/>
                <w:szCs w:val="18"/>
              </w:rPr>
              <w:t>4</w:t>
            </w:r>
            <w:r w:rsidRPr="002B55E9">
              <w:rPr>
                <w:sz w:val="18"/>
                <w:szCs w:val="18"/>
              </w:rPr>
              <w:t>.4</w:t>
            </w:r>
          </w:p>
        </w:tc>
        <w:tc>
          <w:tcPr>
            <w:tcW w:w="527" w:type="dxa"/>
            <w:vAlign w:val="center"/>
          </w:tcPr>
          <w:p w14:paraId="7F47F76E" w14:textId="77777777" w:rsidR="00D170E5" w:rsidRPr="002B55E9" w:rsidRDefault="00EF27AD">
            <w:pPr>
              <w:jc w:val="center"/>
              <w:rPr>
                <w:sz w:val="18"/>
                <w:szCs w:val="18"/>
              </w:rPr>
            </w:pPr>
            <w:r w:rsidRPr="002B55E9">
              <w:rPr>
                <w:rFonts w:hint="eastAsia"/>
                <w:sz w:val="18"/>
                <w:szCs w:val="18"/>
              </w:rPr>
              <w:t>3</w:t>
            </w:r>
            <w:r w:rsidRPr="002B55E9">
              <w:rPr>
                <w:sz w:val="18"/>
                <w:szCs w:val="18"/>
              </w:rPr>
              <w:t>.</w:t>
            </w:r>
            <w:r w:rsidRPr="002B55E9">
              <w:rPr>
                <w:rFonts w:hint="eastAsia"/>
                <w:sz w:val="18"/>
                <w:szCs w:val="18"/>
              </w:rPr>
              <w:t>5</w:t>
            </w:r>
          </w:p>
        </w:tc>
        <w:tc>
          <w:tcPr>
            <w:tcW w:w="441" w:type="dxa"/>
            <w:vAlign w:val="center"/>
          </w:tcPr>
          <w:p w14:paraId="06EC3D89" w14:textId="77777777" w:rsidR="00D170E5" w:rsidRPr="002B55E9" w:rsidRDefault="00EF27AD">
            <w:pPr>
              <w:jc w:val="center"/>
              <w:rPr>
                <w:sz w:val="18"/>
                <w:szCs w:val="18"/>
              </w:rPr>
            </w:pPr>
            <w:r w:rsidRPr="002B55E9">
              <w:rPr>
                <w:rFonts w:hint="eastAsia"/>
                <w:sz w:val="18"/>
                <w:szCs w:val="18"/>
              </w:rPr>
              <w:t>3</w:t>
            </w:r>
            <w:r w:rsidRPr="002B55E9">
              <w:rPr>
                <w:sz w:val="18"/>
                <w:szCs w:val="18"/>
              </w:rPr>
              <w:t>.</w:t>
            </w:r>
            <w:r w:rsidRPr="002B55E9">
              <w:rPr>
                <w:rFonts w:hint="eastAsia"/>
                <w:sz w:val="18"/>
                <w:szCs w:val="18"/>
              </w:rPr>
              <w:t>8</w:t>
            </w:r>
          </w:p>
        </w:tc>
        <w:tc>
          <w:tcPr>
            <w:tcW w:w="587" w:type="dxa"/>
            <w:vAlign w:val="center"/>
          </w:tcPr>
          <w:p w14:paraId="30016CF0" w14:textId="77777777" w:rsidR="00D170E5" w:rsidRPr="002B55E9" w:rsidRDefault="00EF27AD">
            <w:pPr>
              <w:jc w:val="center"/>
              <w:rPr>
                <w:sz w:val="18"/>
                <w:szCs w:val="18"/>
              </w:rPr>
            </w:pPr>
            <w:r w:rsidRPr="002B55E9">
              <w:rPr>
                <w:rFonts w:hint="eastAsia"/>
                <w:sz w:val="18"/>
                <w:szCs w:val="18"/>
              </w:rPr>
              <w:t>3</w:t>
            </w:r>
            <w:r w:rsidRPr="002B55E9">
              <w:rPr>
                <w:sz w:val="18"/>
                <w:szCs w:val="18"/>
              </w:rPr>
              <w:t>.</w:t>
            </w:r>
            <w:r w:rsidRPr="002B55E9">
              <w:rPr>
                <w:rFonts w:hint="eastAsia"/>
                <w:sz w:val="18"/>
                <w:szCs w:val="18"/>
              </w:rPr>
              <w:t>8</w:t>
            </w:r>
          </w:p>
        </w:tc>
        <w:tc>
          <w:tcPr>
            <w:tcW w:w="486" w:type="dxa"/>
            <w:vAlign w:val="center"/>
          </w:tcPr>
          <w:p w14:paraId="41BD078F" w14:textId="77777777" w:rsidR="00D170E5" w:rsidRPr="002B55E9" w:rsidRDefault="00EF27AD">
            <w:pPr>
              <w:jc w:val="center"/>
              <w:rPr>
                <w:sz w:val="18"/>
                <w:szCs w:val="18"/>
              </w:rPr>
            </w:pPr>
            <w:r w:rsidRPr="002B55E9">
              <w:rPr>
                <w:rFonts w:hint="eastAsia"/>
                <w:sz w:val="18"/>
                <w:szCs w:val="18"/>
              </w:rPr>
              <w:t>3</w:t>
            </w:r>
            <w:r w:rsidRPr="002B55E9">
              <w:rPr>
                <w:sz w:val="18"/>
                <w:szCs w:val="18"/>
              </w:rPr>
              <w:t>.1</w:t>
            </w:r>
          </w:p>
        </w:tc>
        <w:tc>
          <w:tcPr>
            <w:tcW w:w="656" w:type="dxa"/>
            <w:vAlign w:val="center"/>
          </w:tcPr>
          <w:p w14:paraId="0BD7C0A9" w14:textId="77777777" w:rsidR="00D170E5" w:rsidRPr="002B55E9" w:rsidRDefault="00EF27AD">
            <w:pPr>
              <w:jc w:val="center"/>
              <w:rPr>
                <w:sz w:val="18"/>
                <w:szCs w:val="18"/>
              </w:rPr>
            </w:pPr>
            <w:r w:rsidRPr="002B55E9">
              <w:rPr>
                <w:rFonts w:hint="eastAsia"/>
                <w:sz w:val="18"/>
                <w:szCs w:val="18"/>
              </w:rPr>
              <w:t>3</w:t>
            </w:r>
            <w:r w:rsidRPr="002B55E9">
              <w:rPr>
                <w:sz w:val="18"/>
                <w:szCs w:val="18"/>
              </w:rPr>
              <w:t>.0</w:t>
            </w:r>
          </w:p>
        </w:tc>
        <w:tc>
          <w:tcPr>
            <w:tcW w:w="441" w:type="dxa"/>
            <w:vAlign w:val="center"/>
          </w:tcPr>
          <w:p w14:paraId="6F06C059" w14:textId="77777777" w:rsidR="00D170E5" w:rsidRPr="002B55E9" w:rsidRDefault="00EF27AD">
            <w:pPr>
              <w:jc w:val="center"/>
              <w:rPr>
                <w:sz w:val="18"/>
                <w:szCs w:val="18"/>
              </w:rPr>
            </w:pPr>
            <w:r w:rsidRPr="002B55E9">
              <w:rPr>
                <w:rFonts w:hint="eastAsia"/>
                <w:sz w:val="18"/>
                <w:szCs w:val="18"/>
              </w:rPr>
              <w:t>4</w:t>
            </w:r>
            <w:r w:rsidRPr="002B55E9">
              <w:rPr>
                <w:sz w:val="18"/>
                <w:szCs w:val="18"/>
              </w:rPr>
              <w:t>.6</w:t>
            </w:r>
          </w:p>
        </w:tc>
        <w:tc>
          <w:tcPr>
            <w:tcW w:w="686" w:type="dxa"/>
            <w:vAlign w:val="center"/>
          </w:tcPr>
          <w:p w14:paraId="710E15EF" w14:textId="77777777" w:rsidR="00D170E5" w:rsidRPr="002B55E9" w:rsidRDefault="00EF27AD">
            <w:pPr>
              <w:jc w:val="center"/>
              <w:rPr>
                <w:sz w:val="18"/>
                <w:szCs w:val="18"/>
              </w:rPr>
            </w:pPr>
            <w:r w:rsidRPr="002B55E9">
              <w:rPr>
                <w:rFonts w:hint="eastAsia"/>
                <w:sz w:val="18"/>
                <w:szCs w:val="18"/>
              </w:rPr>
              <w:t>2</w:t>
            </w:r>
            <w:r w:rsidRPr="002B55E9">
              <w:rPr>
                <w:sz w:val="18"/>
                <w:szCs w:val="18"/>
              </w:rPr>
              <w:t>.7</w:t>
            </w:r>
          </w:p>
        </w:tc>
        <w:tc>
          <w:tcPr>
            <w:tcW w:w="516" w:type="dxa"/>
            <w:vAlign w:val="center"/>
          </w:tcPr>
          <w:p w14:paraId="446C588D" w14:textId="77777777" w:rsidR="00D170E5" w:rsidRPr="002B55E9" w:rsidRDefault="00EF27AD">
            <w:pPr>
              <w:jc w:val="center"/>
              <w:rPr>
                <w:sz w:val="18"/>
                <w:szCs w:val="18"/>
              </w:rPr>
            </w:pPr>
            <w:r w:rsidRPr="002B55E9">
              <w:rPr>
                <w:rFonts w:hint="eastAsia"/>
                <w:sz w:val="18"/>
                <w:szCs w:val="18"/>
              </w:rPr>
              <w:t>3</w:t>
            </w:r>
            <w:r w:rsidRPr="002B55E9">
              <w:rPr>
                <w:sz w:val="18"/>
                <w:szCs w:val="18"/>
              </w:rPr>
              <w:t>.7</w:t>
            </w:r>
          </w:p>
        </w:tc>
        <w:tc>
          <w:tcPr>
            <w:tcW w:w="646" w:type="dxa"/>
            <w:vAlign w:val="center"/>
          </w:tcPr>
          <w:p w14:paraId="0B8DF444" w14:textId="77777777" w:rsidR="00D170E5" w:rsidRPr="002B55E9" w:rsidRDefault="00EF27AD">
            <w:pPr>
              <w:jc w:val="center"/>
              <w:rPr>
                <w:sz w:val="18"/>
                <w:szCs w:val="18"/>
              </w:rPr>
            </w:pPr>
            <w:r w:rsidRPr="002B55E9">
              <w:rPr>
                <w:rFonts w:hint="eastAsia"/>
                <w:sz w:val="18"/>
                <w:szCs w:val="18"/>
              </w:rPr>
              <w:t>6</w:t>
            </w:r>
            <w:r w:rsidRPr="002B55E9">
              <w:rPr>
                <w:sz w:val="18"/>
                <w:szCs w:val="18"/>
              </w:rPr>
              <w:t>.8</w:t>
            </w:r>
          </w:p>
        </w:tc>
        <w:tc>
          <w:tcPr>
            <w:tcW w:w="531" w:type="dxa"/>
            <w:vAlign w:val="center"/>
          </w:tcPr>
          <w:p w14:paraId="5FE07C6A" w14:textId="77777777" w:rsidR="00D170E5" w:rsidRPr="002B55E9" w:rsidRDefault="00EF27AD">
            <w:pPr>
              <w:jc w:val="center"/>
              <w:rPr>
                <w:sz w:val="18"/>
                <w:szCs w:val="18"/>
              </w:rPr>
            </w:pPr>
            <w:r w:rsidRPr="002B55E9">
              <w:rPr>
                <w:rFonts w:hint="eastAsia"/>
                <w:sz w:val="18"/>
                <w:szCs w:val="18"/>
              </w:rPr>
              <w:t>13</w:t>
            </w:r>
            <w:r w:rsidRPr="002B55E9">
              <w:rPr>
                <w:sz w:val="18"/>
                <w:szCs w:val="18"/>
              </w:rPr>
              <w:t>.4</w:t>
            </w:r>
          </w:p>
        </w:tc>
      </w:tr>
    </w:tbl>
    <w:p w14:paraId="40CC7E28" w14:textId="77777777" w:rsidR="00D170E5" w:rsidRPr="002B55E9" w:rsidRDefault="00EF27AD">
      <w:pPr>
        <w:widowControl/>
        <w:adjustRightInd w:val="0"/>
        <w:snapToGrid w:val="0"/>
        <w:spacing w:line="360" w:lineRule="auto"/>
        <w:jc w:val="center"/>
        <w:rPr>
          <w:rFonts w:hAnsi="宋体"/>
          <w:bCs/>
          <w:snapToGrid w:val="0"/>
          <w:sz w:val="24"/>
        </w:rPr>
      </w:pPr>
      <w:r w:rsidRPr="002B55E9">
        <w:rPr>
          <w:rFonts w:hAnsi="宋体" w:hint="eastAsia"/>
          <w:bCs/>
          <w:noProof/>
          <w:snapToGrid w:val="0"/>
          <w:sz w:val="24"/>
        </w:rPr>
        <w:drawing>
          <wp:inline distT="0" distB="0" distL="0" distR="0" wp14:anchorId="55AFDB9D" wp14:editId="5688ECBA">
            <wp:extent cx="5046980" cy="3783965"/>
            <wp:effectExtent l="0" t="0" r="0" b="0"/>
            <wp:docPr id="18" name="图片 6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8" descr="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46980" cy="3783965"/>
                    </a:xfrm>
                    <a:prstGeom prst="rect">
                      <a:avLst/>
                    </a:prstGeom>
                    <a:noFill/>
                    <a:ln>
                      <a:noFill/>
                    </a:ln>
                  </pic:spPr>
                </pic:pic>
              </a:graphicData>
            </a:graphic>
          </wp:inline>
        </w:drawing>
      </w:r>
    </w:p>
    <w:p w14:paraId="0010A4AB" w14:textId="77777777" w:rsidR="00D170E5" w:rsidRPr="002B55E9" w:rsidRDefault="00EF27AD">
      <w:pPr>
        <w:widowControl/>
        <w:adjustRightInd w:val="0"/>
        <w:snapToGrid w:val="0"/>
        <w:spacing w:line="360" w:lineRule="auto"/>
        <w:ind w:firstLineChars="200" w:firstLine="482"/>
        <w:jc w:val="center"/>
        <w:rPr>
          <w:rFonts w:hAnsi="宋体"/>
          <w:bCs/>
          <w:snapToGrid w:val="0"/>
          <w:sz w:val="24"/>
        </w:rPr>
      </w:pPr>
      <w:r w:rsidRPr="002B55E9">
        <w:rPr>
          <w:b/>
          <w:bCs/>
          <w:snapToGrid w:val="0"/>
          <w:sz w:val="24"/>
        </w:rPr>
        <w:t>图</w:t>
      </w:r>
      <w:r w:rsidRPr="002B55E9">
        <w:rPr>
          <w:rFonts w:hint="eastAsia"/>
          <w:b/>
          <w:bCs/>
          <w:snapToGrid w:val="0"/>
          <w:sz w:val="24"/>
        </w:rPr>
        <w:t>5-2-1</w:t>
      </w:r>
      <w:r w:rsidRPr="002B55E9">
        <w:rPr>
          <w:b/>
          <w:bCs/>
          <w:snapToGrid w:val="0"/>
          <w:sz w:val="24"/>
        </w:rPr>
        <w:t xml:space="preserve">  </w:t>
      </w:r>
      <w:r w:rsidRPr="002B55E9">
        <w:rPr>
          <w:b/>
          <w:bCs/>
          <w:snapToGrid w:val="0"/>
          <w:sz w:val="24"/>
        </w:rPr>
        <w:t>武汉市风向玫瑰图</w:t>
      </w:r>
      <w:r w:rsidRPr="002B55E9">
        <w:rPr>
          <w:rFonts w:hint="eastAsia"/>
          <w:b/>
          <w:bCs/>
          <w:snapToGrid w:val="0"/>
          <w:sz w:val="24"/>
        </w:rPr>
        <w:t>（静风频率</w:t>
      </w:r>
      <w:r w:rsidRPr="002B55E9">
        <w:rPr>
          <w:rFonts w:hint="eastAsia"/>
          <w:b/>
          <w:bCs/>
          <w:snapToGrid w:val="0"/>
          <w:sz w:val="24"/>
        </w:rPr>
        <w:t>13.4%</w:t>
      </w:r>
      <w:r w:rsidRPr="002B55E9">
        <w:rPr>
          <w:rFonts w:hint="eastAsia"/>
          <w:b/>
          <w:bCs/>
          <w:snapToGrid w:val="0"/>
          <w:sz w:val="24"/>
        </w:rPr>
        <w:t>）</w:t>
      </w:r>
    </w:p>
    <w:p w14:paraId="1989E953" w14:textId="77777777" w:rsidR="00D170E5" w:rsidRPr="002B55E9" w:rsidRDefault="00EF27AD">
      <w:pPr>
        <w:widowControl/>
        <w:adjustRightInd w:val="0"/>
        <w:snapToGrid w:val="0"/>
        <w:spacing w:line="360" w:lineRule="auto"/>
        <w:ind w:firstLineChars="200" w:firstLine="480"/>
        <w:rPr>
          <w:snapToGrid w:val="0"/>
          <w:sz w:val="24"/>
        </w:rPr>
      </w:pPr>
      <w:r w:rsidRPr="002B55E9">
        <w:rPr>
          <w:rFonts w:hint="eastAsia"/>
          <w:bCs/>
          <w:sz w:val="24"/>
        </w:rPr>
        <w:t>武汉市近</w:t>
      </w:r>
      <w:r w:rsidRPr="002B55E9">
        <w:rPr>
          <w:rFonts w:hint="eastAsia"/>
          <w:bCs/>
          <w:sz w:val="24"/>
        </w:rPr>
        <w:t>2</w:t>
      </w:r>
      <w:r w:rsidRPr="002B55E9">
        <w:rPr>
          <w:bCs/>
          <w:sz w:val="24"/>
        </w:rPr>
        <w:t>0</w:t>
      </w:r>
      <w:r w:rsidRPr="002B55E9">
        <w:rPr>
          <w:rFonts w:hint="eastAsia"/>
          <w:bCs/>
          <w:sz w:val="24"/>
        </w:rPr>
        <w:t>年</w:t>
      </w:r>
      <w:r w:rsidRPr="002B55E9">
        <w:rPr>
          <w:rFonts w:hint="eastAsia"/>
          <w:snapToGrid w:val="0"/>
          <w:sz w:val="24"/>
        </w:rPr>
        <w:t>各月风向频率见下表所示：</w:t>
      </w:r>
    </w:p>
    <w:p w14:paraId="5AC8C748" w14:textId="77777777" w:rsidR="00D170E5" w:rsidRPr="002B55E9" w:rsidRDefault="00EF27AD">
      <w:pPr>
        <w:jc w:val="center"/>
        <w:rPr>
          <w:rFonts w:eastAsia="黑体"/>
          <w:b/>
          <w:sz w:val="24"/>
        </w:rPr>
      </w:pPr>
      <w:r w:rsidRPr="002B55E9">
        <w:rPr>
          <w:rFonts w:eastAsia="黑体" w:hint="eastAsia"/>
          <w:b/>
          <w:sz w:val="24"/>
        </w:rPr>
        <w:t>表</w:t>
      </w:r>
      <w:r w:rsidRPr="002B55E9">
        <w:rPr>
          <w:rFonts w:eastAsia="黑体" w:hint="eastAsia"/>
          <w:b/>
          <w:sz w:val="24"/>
        </w:rPr>
        <w:t>5-</w:t>
      </w:r>
      <w:r w:rsidRPr="002B55E9">
        <w:rPr>
          <w:rFonts w:eastAsia="黑体"/>
          <w:b/>
          <w:sz w:val="24"/>
        </w:rPr>
        <w:t xml:space="preserve">2-4  </w:t>
      </w:r>
      <w:r w:rsidRPr="002B55E9">
        <w:rPr>
          <w:rFonts w:eastAsia="黑体"/>
          <w:b/>
          <w:sz w:val="24"/>
        </w:rPr>
        <w:t>武汉市</w:t>
      </w:r>
      <w:r w:rsidRPr="002B55E9">
        <w:rPr>
          <w:rFonts w:eastAsia="黑体"/>
          <w:b/>
          <w:sz w:val="24"/>
        </w:rPr>
        <w:t>200</w:t>
      </w:r>
      <w:r w:rsidRPr="002B55E9">
        <w:rPr>
          <w:rFonts w:eastAsia="黑体" w:hint="eastAsia"/>
          <w:b/>
          <w:sz w:val="24"/>
        </w:rPr>
        <w:t>1</w:t>
      </w:r>
      <w:r w:rsidRPr="002B55E9">
        <w:rPr>
          <w:rFonts w:eastAsia="黑体"/>
          <w:b/>
          <w:sz w:val="24"/>
        </w:rPr>
        <w:t>～</w:t>
      </w:r>
      <w:r w:rsidRPr="002B55E9">
        <w:rPr>
          <w:rFonts w:eastAsia="黑体"/>
          <w:b/>
          <w:sz w:val="24"/>
        </w:rPr>
        <w:t>20</w:t>
      </w:r>
      <w:r w:rsidRPr="002B55E9">
        <w:rPr>
          <w:rFonts w:eastAsia="黑体" w:hint="eastAsia"/>
          <w:b/>
          <w:sz w:val="24"/>
        </w:rPr>
        <w:t>20</w:t>
      </w:r>
      <w:r w:rsidRPr="002B55E9">
        <w:rPr>
          <w:rFonts w:eastAsia="黑体"/>
          <w:b/>
          <w:sz w:val="24"/>
        </w:rPr>
        <w:t>年年均风频月变化</w:t>
      </w:r>
      <w:r w:rsidRPr="002B55E9">
        <w:rPr>
          <w:rFonts w:eastAsia="黑体"/>
          <w:b/>
          <w:sz w:val="24"/>
        </w:rPr>
        <w:t>(%)</w:t>
      </w:r>
    </w:p>
    <w:tbl>
      <w:tblPr>
        <w:tblW w:w="9637" w:type="dxa"/>
        <w:jc w:val="center"/>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691"/>
        <w:gridCol w:w="517"/>
        <w:gridCol w:w="572"/>
        <w:gridCol w:w="517"/>
        <w:gridCol w:w="555"/>
        <w:gridCol w:w="432"/>
        <w:gridCol w:w="524"/>
        <w:gridCol w:w="432"/>
        <w:gridCol w:w="513"/>
        <w:gridCol w:w="432"/>
        <w:gridCol w:w="574"/>
        <w:gridCol w:w="476"/>
        <w:gridCol w:w="642"/>
        <w:gridCol w:w="432"/>
        <w:gridCol w:w="671"/>
        <w:gridCol w:w="505"/>
        <w:gridCol w:w="551"/>
        <w:gridCol w:w="601"/>
      </w:tblGrid>
      <w:tr w:rsidR="002B55E9" w:rsidRPr="002B55E9" w14:paraId="0AB2E7A3" w14:textId="77777777">
        <w:trPr>
          <w:trHeight w:val="255"/>
          <w:tblHeader/>
          <w:jc w:val="center"/>
        </w:trPr>
        <w:tc>
          <w:tcPr>
            <w:tcW w:w="691" w:type="dxa"/>
            <w:tcBorders>
              <w:top w:val="single" w:sz="12" w:space="0" w:color="auto"/>
              <w:bottom w:val="single" w:sz="12" w:space="0" w:color="auto"/>
            </w:tcBorders>
            <w:vAlign w:val="center"/>
          </w:tcPr>
          <w:p w14:paraId="6391EA24" w14:textId="77777777" w:rsidR="00D170E5" w:rsidRPr="002B55E9" w:rsidRDefault="00EF27AD">
            <w:pPr>
              <w:jc w:val="center"/>
              <w:rPr>
                <w:sz w:val="18"/>
                <w:szCs w:val="18"/>
              </w:rPr>
            </w:pPr>
            <w:r w:rsidRPr="002B55E9">
              <w:rPr>
                <w:sz w:val="18"/>
                <w:szCs w:val="18"/>
              </w:rPr>
              <w:t>风向</w:t>
            </w:r>
          </w:p>
          <w:p w14:paraId="6FD05EA9" w14:textId="77777777" w:rsidR="00D170E5" w:rsidRPr="002B55E9" w:rsidRDefault="00EF27AD">
            <w:pPr>
              <w:jc w:val="center"/>
              <w:rPr>
                <w:sz w:val="18"/>
                <w:szCs w:val="18"/>
              </w:rPr>
            </w:pPr>
            <w:r w:rsidRPr="002B55E9">
              <w:rPr>
                <w:sz w:val="18"/>
                <w:szCs w:val="18"/>
              </w:rPr>
              <w:t>风频</w:t>
            </w:r>
            <w:r w:rsidRPr="002B55E9">
              <w:rPr>
                <w:sz w:val="18"/>
                <w:szCs w:val="18"/>
              </w:rPr>
              <w:t>(%)</w:t>
            </w:r>
          </w:p>
        </w:tc>
        <w:tc>
          <w:tcPr>
            <w:tcW w:w="517" w:type="dxa"/>
            <w:tcBorders>
              <w:top w:val="single" w:sz="12" w:space="0" w:color="auto"/>
              <w:bottom w:val="single" w:sz="12" w:space="0" w:color="auto"/>
            </w:tcBorders>
            <w:vAlign w:val="center"/>
          </w:tcPr>
          <w:p w14:paraId="27CC75B4" w14:textId="77777777" w:rsidR="00D170E5" w:rsidRPr="002B55E9" w:rsidRDefault="00EF27AD">
            <w:pPr>
              <w:jc w:val="center"/>
              <w:rPr>
                <w:sz w:val="18"/>
                <w:szCs w:val="18"/>
              </w:rPr>
            </w:pPr>
            <w:r w:rsidRPr="002B55E9">
              <w:rPr>
                <w:sz w:val="18"/>
                <w:szCs w:val="18"/>
              </w:rPr>
              <w:t>N</w:t>
            </w:r>
          </w:p>
        </w:tc>
        <w:tc>
          <w:tcPr>
            <w:tcW w:w="572" w:type="dxa"/>
            <w:tcBorders>
              <w:top w:val="single" w:sz="12" w:space="0" w:color="auto"/>
              <w:bottom w:val="single" w:sz="12" w:space="0" w:color="auto"/>
            </w:tcBorders>
            <w:vAlign w:val="center"/>
          </w:tcPr>
          <w:p w14:paraId="69CC3B0D" w14:textId="77777777" w:rsidR="00D170E5" w:rsidRPr="002B55E9" w:rsidRDefault="00EF27AD">
            <w:pPr>
              <w:jc w:val="center"/>
              <w:rPr>
                <w:sz w:val="18"/>
                <w:szCs w:val="18"/>
              </w:rPr>
            </w:pPr>
            <w:r w:rsidRPr="002B55E9">
              <w:rPr>
                <w:sz w:val="18"/>
                <w:szCs w:val="18"/>
              </w:rPr>
              <w:t>NNE</w:t>
            </w:r>
          </w:p>
        </w:tc>
        <w:tc>
          <w:tcPr>
            <w:tcW w:w="517" w:type="dxa"/>
            <w:tcBorders>
              <w:top w:val="single" w:sz="12" w:space="0" w:color="auto"/>
              <w:bottom w:val="single" w:sz="12" w:space="0" w:color="auto"/>
            </w:tcBorders>
            <w:vAlign w:val="center"/>
          </w:tcPr>
          <w:p w14:paraId="5B02588F" w14:textId="77777777" w:rsidR="00D170E5" w:rsidRPr="002B55E9" w:rsidRDefault="00EF27AD">
            <w:pPr>
              <w:jc w:val="center"/>
              <w:rPr>
                <w:sz w:val="18"/>
                <w:szCs w:val="18"/>
              </w:rPr>
            </w:pPr>
            <w:r w:rsidRPr="002B55E9">
              <w:rPr>
                <w:sz w:val="18"/>
                <w:szCs w:val="18"/>
              </w:rPr>
              <w:t>NE</w:t>
            </w:r>
          </w:p>
        </w:tc>
        <w:tc>
          <w:tcPr>
            <w:tcW w:w="555" w:type="dxa"/>
            <w:tcBorders>
              <w:top w:val="single" w:sz="12" w:space="0" w:color="auto"/>
              <w:bottom w:val="single" w:sz="12" w:space="0" w:color="auto"/>
            </w:tcBorders>
            <w:vAlign w:val="center"/>
          </w:tcPr>
          <w:p w14:paraId="040C42F0" w14:textId="77777777" w:rsidR="00D170E5" w:rsidRPr="002B55E9" w:rsidRDefault="00EF27AD">
            <w:pPr>
              <w:jc w:val="center"/>
              <w:rPr>
                <w:sz w:val="18"/>
                <w:szCs w:val="18"/>
              </w:rPr>
            </w:pPr>
            <w:r w:rsidRPr="002B55E9">
              <w:rPr>
                <w:sz w:val="18"/>
                <w:szCs w:val="18"/>
              </w:rPr>
              <w:t>ENE</w:t>
            </w:r>
          </w:p>
        </w:tc>
        <w:tc>
          <w:tcPr>
            <w:tcW w:w="432" w:type="dxa"/>
            <w:tcBorders>
              <w:top w:val="single" w:sz="12" w:space="0" w:color="auto"/>
              <w:bottom w:val="single" w:sz="12" w:space="0" w:color="auto"/>
            </w:tcBorders>
            <w:vAlign w:val="center"/>
          </w:tcPr>
          <w:p w14:paraId="6570B49F" w14:textId="77777777" w:rsidR="00D170E5" w:rsidRPr="002B55E9" w:rsidRDefault="00EF27AD">
            <w:pPr>
              <w:jc w:val="center"/>
              <w:rPr>
                <w:sz w:val="18"/>
                <w:szCs w:val="18"/>
              </w:rPr>
            </w:pPr>
            <w:r w:rsidRPr="002B55E9">
              <w:rPr>
                <w:sz w:val="18"/>
                <w:szCs w:val="18"/>
              </w:rPr>
              <w:t>E</w:t>
            </w:r>
          </w:p>
        </w:tc>
        <w:tc>
          <w:tcPr>
            <w:tcW w:w="524" w:type="dxa"/>
            <w:tcBorders>
              <w:top w:val="single" w:sz="12" w:space="0" w:color="auto"/>
              <w:bottom w:val="single" w:sz="12" w:space="0" w:color="auto"/>
            </w:tcBorders>
            <w:vAlign w:val="center"/>
          </w:tcPr>
          <w:p w14:paraId="2FCE23E2" w14:textId="77777777" w:rsidR="00D170E5" w:rsidRPr="002B55E9" w:rsidRDefault="00EF27AD">
            <w:pPr>
              <w:jc w:val="center"/>
              <w:rPr>
                <w:sz w:val="18"/>
                <w:szCs w:val="18"/>
              </w:rPr>
            </w:pPr>
            <w:r w:rsidRPr="002B55E9">
              <w:rPr>
                <w:sz w:val="18"/>
                <w:szCs w:val="18"/>
              </w:rPr>
              <w:t>ESE</w:t>
            </w:r>
          </w:p>
        </w:tc>
        <w:tc>
          <w:tcPr>
            <w:tcW w:w="432" w:type="dxa"/>
            <w:tcBorders>
              <w:top w:val="single" w:sz="12" w:space="0" w:color="auto"/>
              <w:bottom w:val="single" w:sz="12" w:space="0" w:color="auto"/>
            </w:tcBorders>
            <w:vAlign w:val="center"/>
          </w:tcPr>
          <w:p w14:paraId="12437311" w14:textId="77777777" w:rsidR="00D170E5" w:rsidRPr="002B55E9" w:rsidRDefault="00EF27AD">
            <w:pPr>
              <w:jc w:val="center"/>
              <w:rPr>
                <w:sz w:val="18"/>
                <w:szCs w:val="18"/>
              </w:rPr>
            </w:pPr>
            <w:r w:rsidRPr="002B55E9">
              <w:rPr>
                <w:sz w:val="18"/>
                <w:szCs w:val="18"/>
              </w:rPr>
              <w:t>SE</w:t>
            </w:r>
          </w:p>
        </w:tc>
        <w:tc>
          <w:tcPr>
            <w:tcW w:w="513" w:type="dxa"/>
            <w:tcBorders>
              <w:top w:val="single" w:sz="12" w:space="0" w:color="auto"/>
              <w:bottom w:val="single" w:sz="12" w:space="0" w:color="auto"/>
            </w:tcBorders>
            <w:vAlign w:val="center"/>
          </w:tcPr>
          <w:p w14:paraId="40A1FE1C" w14:textId="77777777" w:rsidR="00D170E5" w:rsidRPr="002B55E9" w:rsidRDefault="00EF27AD">
            <w:pPr>
              <w:jc w:val="center"/>
              <w:rPr>
                <w:sz w:val="18"/>
                <w:szCs w:val="18"/>
              </w:rPr>
            </w:pPr>
            <w:r w:rsidRPr="002B55E9">
              <w:rPr>
                <w:sz w:val="18"/>
                <w:szCs w:val="18"/>
              </w:rPr>
              <w:t>SSE</w:t>
            </w:r>
          </w:p>
        </w:tc>
        <w:tc>
          <w:tcPr>
            <w:tcW w:w="432" w:type="dxa"/>
            <w:tcBorders>
              <w:top w:val="single" w:sz="12" w:space="0" w:color="auto"/>
              <w:bottom w:val="single" w:sz="12" w:space="0" w:color="auto"/>
            </w:tcBorders>
            <w:vAlign w:val="center"/>
          </w:tcPr>
          <w:p w14:paraId="219E5516" w14:textId="77777777" w:rsidR="00D170E5" w:rsidRPr="002B55E9" w:rsidRDefault="00EF27AD">
            <w:pPr>
              <w:jc w:val="center"/>
              <w:rPr>
                <w:sz w:val="18"/>
                <w:szCs w:val="18"/>
              </w:rPr>
            </w:pPr>
            <w:r w:rsidRPr="002B55E9">
              <w:rPr>
                <w:sz w:val="18"/>
                <w:szCs w:val="18"/>
              </w:rPr>
              <w:t>S</w:t>
            </w:r>
          </w:p>
        </w:tc>
        <w:tc>
          <w:tcPr>
            <w:tcW w:w="574" w:type="dxa"/>
            <w:tcBorders>
              <w:top w:val="single" w:sz="12" w:space="0" w:color="auto"/>
              <w:bottom w:val="single" w:sz="12" w:space="0" w:color="auto"/>
            </w:tcBorders>
            <w:vAlign w:val="center"/>
          </w:tcPr>
          <w:p w14:paraId="5232E975" w14:textId="77777777" w:rsidR="00D170E5" w:rsidRPr="002B55E9" w:rsidRDefault="00EF27AD">
            <w:pPr>
              <w:jc w:val="center"/>
              <w:rPr>
                <w:sz w:val="18"/>
                <w:szCs w:val="18"/>
              </w:rPr>
            </w:pPr>
            <w:r w:rsidRPr="002B55E9">
              <w:rPr>
                <w:sz w:val="18"/>
                <w:szCs w:val="18"/>
              </w:rPr>
              <w:t>SSW</w:t>
            </w:r>
          </w:p>
        </w:tc>
        <w:tc>
          <w:tcPr>
            <w:tcW w:w="476" w:type="dxa"/>
            <w:tcBorders>
              <w:top w:val="single" w:sz="12" w:space="0" w:color="auto"/>
              <w:bottom w:val="single" w:sz="12" w:space="0" w:color="auto"/>
            </w:tcBorders>
            <w:vAlign w:val="center"/>
          </w:tcPr>
          <w:p w14:paraId="06331DC0" w14:textId="77777777" w:rsidR="00D170E5" w:rsidRPr="002B55E9" w:rsidRDefault="00EF27AD">
            <w:pPr>
              <w:jc w:val="center"/>
              <w:rPr>
                <w:sz w:val="18"/>
                <w:szCs w:val="18"/>
              </w:rPr>
            </w:pPr>
            <w:r w:rsidRPr="002B55E9">
              <w:rPr>
                <w:sz w:val="18"/>
                <w:szCs w:val="18"/>
              </w:rPr>
              <w:t>SW</w:t>
            </w:r>
          </w:p>
        </w:tc>
        <w:tc>
          <w:tcPr>
            <w:tcW w:w="642" w:type="dxa"/>
            <w:tcBorders>
              <w:top w:val="single" w:sz="12" w:space="0" w:color="auto"/>
              <w:bottom w:val="single" w:sz="12" w:space="0" w:color="auto"/>
            </w:tcBorders>
            <w:vAlign w:val="center"/>
          </w:tcPr>
          <w:p w14:paraId="720905F8" w14:textId="77777777" w:rsidR="00D170E5" w:rsidRPr="002B55E9" w:rsidRDefault="00EF27AD">
            <w:pPr>
              <w:jc w:val="center"/>
              <w:rPr>
                <w:sz w:val="18"/>
                <w:szCs w:val="18"/>
              </w:rPr>
            </w:pPr>
            <w:r w:rsidRPr="002B55E9">
              <w:rPr>
                <w:sz w:val="18"/>
                <w:szCs w:val="18"/>
              </w:rPr>
              <w:t>WSW</w:t>
            </w:r>
          </w:p>
        </w:tc>
        <w:tc>
          <w:tcPr>
            <w:tcW w:w="432" w:type="dxa"/>
            <w:tcBorders>
              <w:top w:val="single" w:sz="12" w:space="0" w:color="auto"/>
              <w:bottom w:val="single" w:sz="12" w:space="0" w:color="auto"/>
            </w:tcBorders>
            <w:vAlign w:val="center"/>
          </w:tcPr>
          <w:p w14:paraId="5F36F646" w14:textId="77777777" w:rsidR="00D170E5" w:rsidRPr="002B55E9" w:rsidRDefault="00EF27AD">
            <w:pPr>
              <w:jc w:val="center"/>
              <w:rPr>
                <w:sz w:val="18"/>
                <w:szCs w:val="18"/>
              </w:rPr>
            </w:pPr>
            <w:r w:rsidRPr="002B55E9">
              <w:rPr>
                <w:sz w:val="18"/>
                <w:szCs w:val="18"/>
              </w:rPr>
              <w:t>W</w:t>
            </w:r>
          </w:p>
        </w:tc>
        <w:tc>
          <w:tcPr>
            <w:tcW w:w="671" w:type="dxa"/>
            <w:tcBorders>
              <w:top w:val="single" w:sz="12" w:space="0" w:color="auto"/>
              <w:bottom w:val="single" w:sz="12" w:space="0" w:color="auto"/>
            </w:tcBorders>
            <w:vAlign w:val="center"/>
          </w:tcPr>
          <w:p w14:paraId="5A92CCF2" w14:textId="77777777" w:rsidR="00D170E5" w:rsidRPr="002B55E9" w:rsidRDefault="00EF27AD">
            <w:pPr>
              <w:jc w:val="center"/>
              <w:rPr>
                <w:sz w:val="18"/>
                <w:szCs w:val="18"/>
              </w:rPr>
            </w:pPr>
            <w:r w:rsidRPr="002B55E9">
              <w:rPr>
                <w:sz w:val="18"/>
                <w:szCs w:val="18"/>
              </w:rPr>
              <w:t>WNW</w:t>
            </w:r>
          </w:p>
        </w:tc>
        <w:tc>
          <w:tcPr>
            <w:tcW w:w="505" w:type="dxa"/>
            <w:tcBorders>
              <w:top w:val="single" w:sz="12" w:space="0" w:color="auto"/>
              <w:bottom w:val="single" w:sz="12" w:space="0" w:color="auto"/>
            </w:tcBorders>
            <w:vAlign w:val="center"/>
          </w:tcPr>
          <w:p w14:paraId="4CCD40DF" w14:textId="77777777" w:rsidR="00D170E5" w:rsidRPr="002B55E9" w:rsidRDefault="00EF27AD">
            <w:pPr>
              <w:jc w:val="center"/>
              <w:rPr>
                <w:sz w:val="18"/>
                <w:szCs w:val="18"/>
              </w:rPr>
            </w:pPr>
            <w:r w:rsidRPr="002B55E9">
              <w:rPr>
                <w:sz w:val="18"/>
                <w:szCs w:val="18"/>
              </w:rPr>
              <w:t>NW</w:t>
            </w:r>
          </w:p>
        </w:tc>
        <w:tc>
          <w:tcPr>
            <w:tcW w:w="551" w:type="dxa"/>
            <w:tcBorders>
              <w:top w:val="single" w:sz="12" w:space="0" w:color="auto"/>
              <w:bottom w:val="single" w:sz="12" w:space="0" w:color="auto"/>
            </w:tcBorders>
            <w:vAlign w:val="center"/>
          </w:tcPr>
          <w:p w14:paraId="793E867F" w14:textId="77777777" w:rsidR="00D170E5" w:rsidRPr="002B55E9" w:rsidRDefault="00EF27AD">
            <w:pPr>
              <w:jc w:val="center"/>
              <w:rPr>
                <w:sz w:val="18"/>
                <w:szCs w:val="18"/>
              </w:rPr>
            </w:pPr>
            <w:r w:rsidRPr="002B55E9">
              <w:rPr>
                <w:sz w:val="18"/>
                <w:szCs w:val="18"/>
              </w:rPr>
              <w:t>NNW</w:t>
            </w:r>
          </w:p>
        </w:tc>
        <w:tc>
          <w:tcPr>
            <w:tcW w:w="601" w:type="dxa"/>
            <w:tcBorders>
              <w:top w:val="single" w:sz="12" w:space="0" w:color="auto"/>
              <w:bottom w:val="single" w:sz="12" w:space="0" w:color="auto"/>
            </w:tcBorders>
            <w:vAlign w:val="center"/>
          </w:tcPr>
          <w:p w14:paraId="6EBAAE05" w14:textId="77777777" w:rsidR="00D170E5" w:rsidRPr="002B55E9" w:rsidRDefault="00EF27AD">
            <w:pPr>
              <w:jc w:val="center"/>
              <w:rPr>
                <w:sz w:val="18"/>
                <w:szCs w:val="18"/>
              </w:rPr>
            </w:pPr>
            <w:r w:rsidRPr="002B55E9">
              <w:rPr>
                <w:sz w:val="18"/>
                <w:szCs w:val="18"/>
              </w:rPr>
              <w:t>C</w:t>
            </w:r>
          </w:p>
        </w:tc>
      </w:tr>
      <w:tr w:rsidR="002B55E9" w:rsidRPr="002B55E9" w14:paraId="0C80187B" w14:textId="77777777">
        <w:trPr>
          <w:trHeight w:val="255"/>
          <w:jc w:val="center"/>
        </w:trPr>
        <w:tc>
          <w:tcPr>
            <w:tcW w:w="691" w:type="dxa"/>
            <w:tcBorders>
              <w:top w:val="single" w:sz="12" w:space="0" w:color="auto"/>
            </w:tcBorders>
            <w:vAlign w:val="center"/>
          </w:tcPr>
          <w:p w14:paraId="0C6D0866" w14:textId="77777777" w:rsidR="00D170E5" w:rsidRPr="002B55E9" w:rsidRDefault="00EF27AD">
            <w:pPr>
              <w:jc w:val="center"/>
              <w:rPr>
                <w:sz w:val="18"/>
                <w:szCs w:val="18"/>
              </w:rPr>
            </w:pPr>
            <w:r w:rsidRPr="002B55E9">
              <w:rPr>
                <w:sz w:val="18"/>
                <w:szCs w:val="18"/>
              </w:rPr>
              <w:t>一月</w:t>
            </w:r>
          </w:p>
        </w:tc>
        <w:tc>
          <w:tcPr>
            <w:tcW w:w="517" w:type="dxa"/>
            <w:tcBorders>
              <w:top w:val="single" w:sz="12" w:space="0" w:color="auto"/>
            </w:tcBorders>
            <w:vAlign w:val="center"/>
          </w:tcPr>
          <w:p w14:paraId="4DE7DCAA" w14:textId="77777777" w:rsidR="00D170E5" w:rsidRPr="002B55E9" w:rsidRDefault="00EF27AD">
            <w:pPr>
              <w:widowControl/>
              <w:jc w:val="center"/>
              <w:textAlignment w:val="top"/>
              <w:rPr>
                <w:sz w:val="18"/>
                <w:szCs w:val="18"/>
              </w:rPr>
            </w:pPr>
            <w:r w:rsidRPr="002B55E9">
              <w:rPr>
                <w:sz w:val="18"/>
                <w:szCs w:val="18"/>
                <w:lang w:bidi="ar"/>
              </w:rPr>
              <w:t>9.8</w:t>
            </w:r>
          </w:p>
        </w:tc>
        <w:tc>
          <w:tcPr>
            <w:tcW w:w="572" w:type="dxa"/>
            <w:tcBorders>
              <w:top w:val="single" w:sz="12" w:space="0" w:color="auto"/>
            </w:tcBorders>
            <w:vAlign w:val="center"/>
          </w:tcPr>
          <w:p w14:paraId="530934A8" w14:textId="77777777" w:rsidR="00D170E5" w:rsidRPr="002B55E9" w:rsidRDefault="00EF27AD">
            <w:pPr>
              <w:widowControl/>
              <w:jc w:val="center"/>
              <w:textAlignment w:val="top"/>
              <w:rPr>
                <w:sz w:val="18"/>
                <w:szCs w:val="18"/>
              </w:rPr>
            </w:pPr>
            <w:r w:rsidRPr="002B55E9">
              <w:rPr>
                <w:sz w:val="18"/>
                <w:szCs w:val="18"/>
                <w:lang w:bidi="ar"/>
              </w:rPr>
              <w:t>14.0</w:t>
            </w:r>
          </w:p>
        </w:tc>
        <w:tc>
          <w:tcPr>
            <w:tcW w:w="517" w:type="dxa"/>
            <w:tcBorders>
              <w:top w:val="single" w:sz="12" w:space="0" w:color="auto"/>
            </w:tcBorders>
            <w:vAlign w:val="center"/>
          </w:tcPr>
          <w:p w14:paraId="2335F523" w14:textId="77777777" w:rsidR="00D170E5" w:rsidRPr="002B55E9" w:rsidRDefault="00EF27AD">
            <w:pPr>
              <w:widowControl/>
              <w:jc w:val="center"/>
              <w:textAlignment w:val="top"/>
              <w:rPr>
                <w:sz w:val="18"/>
                <w:szCs w:val="18"/>
              </w:rPr>
            </w:pPr>
            <w:r w:rsidRPr="002B55E9">
              <w:rPr>
                <w:rStyle w:val="font21"/>
                <w:color w:val="auto"/>
                <w:lang w:bidi="ar"/>
              </w:rPr>
              <w:t>13.5</w:t>
            </w:r>
          </w:p>
        </w:tc>
        <w:tc>
          <w:tcPr>
            <w:tcW w:w="555" w:type="dxa"/>
            <w:tcBorders>
              <w:top w:val="single" w:sz="12" w:space="0" w:color="auto"/>
            </w:tcBorders>
            <w:vAlign w:val="center"/>
          </w:tcPr>
          <w:p w14:paraId="680A0CF7" w14:textId="77777777" w:rsidR="00D170E5" w:rsidRPr="002B55E9" w:rsidRDefault="00EF27AD">
            <w:pPr>
              <w:widowControl/>
              <w:jc w:val="center"/>
              <w:textAlignment w:val="top"/>
              <w:rPr>
                <w:sz w:val="18"/>
                <w:szCs w:val="18"/>
              </w:rPr>
            </w:pPr>
            <w:r w:rsidRPr="002B55E9">
              <w:rPr>
                <w:sz w:val="18"/>
                <w:szCs w:val="18"/>
                <w:lang w:bidi="ar"/>
              </w:rPr>
              <w:t>7.6</w:t>
            </w:r>
          </w:p>
        </w:tc>
        <w:tc>
          <w:tcPr>
            <w:tcW w:w="432" w:type="dxa"/>
            <w:tcBorders>
              <w:top w:val="single" w:sz="12" w:space="0" w:color="auto"/>
            </w:tcBorders>
            <w:vAlign w:val="center"/>
          </w:tcPr>
          <w:p w14:paraId="64A043FC" w14:textId="77777777" w:rsidR="00D170E5" w:rsidRPr="002B55E9" w:rsidRDefault="00EF27AD">
            <w:pPr>
              <w:widowControl/>
              <w:jc w:val="center"/>
              <w:textAlignment w:val="top"/>
              <w:rPr>
                <w:sz w:val="18"/>
                <w:szCs w:val="18"/>
              </w:rPr>
            </w:pPr>
            <w:r w:rsidRPr="002B55E9">
              <w:rPr>
                <w:sz w:val="18"/>
                <w:szCs w:val="18"/>
                <w:lang w:bidi="ar"/>
              </w:rPr>
              <w:t>3.9</w:t>
            </w:r>
          </w:p>
        </w:tc>
        <w:tc>
          <w:tcPr>
            <w:tcW w:w="524" w:type="dxa"/>
            <w:tcBorders>
              <w:top w:val="single" w:sz="12" w:space="0" w:color="auto"/>
            </w:tcBorders>
            <w:vAlign w:val="center"/>
          </w:tcPr>
          <w:p w14:paraId="735CF5BB" w14:textId="77777777" w:rsidR="00D170E5" w:rsidRPr="002B55E9" w:rsidRDefault="00EF27AD">
            <w:pPr>
              <w:widowControl/>
              <w:jc w:val="center"/>
              <w:textAlignment w:val="top"/>
              <w:rPr>
                <w:sz w:val="18"/>
                <w:szCs w:val="18"/>
              </w:rPr>
            </w:pPr>
            <w:r w:rsidRPr="002B55E9">
              <w:rPr>
                <w:sz w:val="18"/>
                <w:szCs w:val="18"/>
                <w:lang w:bidi="ar"/>
              </w:rPr>
              <w:t>3.3</w:t>
            </w:r>
          </w:p>
        </w:tc>
        <w:tc>
          <w:tcPr>
            <w:tcW w:w="432" w:type="dxa"/>
            <w:tcBorders>
              <w:top w:val="single" w:sz="12" w:space="0" w:color="auto"/>
            </w:tcBorders>
            <w:vAlign w:val="center"/>
          </w:tcPr>
          <w:p w14:paraId="504C094F" w14:textId="77777777" w:rsidR="00D170E5" w:rsidRPr="002B55E9" w:rsidRDefault="00EF27AD">
            <w:pPr>
              <w:widowControl/>
              <w:jc w:val="center"/>
              <w:textAlignment w:val="top"/>
              <w:rPr>
                <w:sz w:val="18"/>
                <w:szCs w:val="18"/>
              </w:rPr>
            </w:pPr>
            <w:r w:rsidRPr="002B55E9">
              <w:rPr>
                <w:sz w:val="18"/>
                <w:szCs w:val="18"/>
                <w:lang w:bidi="ar"/>
              </w:rPr>
              <w:t>3.8</w:t>
            </w:r>
          </w:p>
        </w:tc>
        <w:tc>
          <w:tcPr>
            <w:tcW w:w="513" w:type="dxa"/>
            <w:tcBorders>
              <w:top w:val="single" w:sz="12" w:space="0" w:color="auto"/>
            </w:tcBorders>
            <w:vAlign w:val="center"/>
          </w:tcPr>
          <w:p w14:paraId="100DF7A4" w14:textId="77777777" w:rsidR="00D170E5" w:rsidRPr="002B55E9" w:rsidRDefault="00EF27AD">
            <w:pPr>
              <w:widowControl/>
              <w:jc w:val="center"/>
              <w:textAlignment w:val="top"/>
              <w:rPr>
                <w:sz w:val="18"/>
                <w:szCs w:val="18"/>
              </w:rPr>
            </w:pPr>
            <w:r w:rsidRPr="002B55E9">
              <w:rPr>
                <w:sz w:val="18"/>
                <w:szCs w:val="18"/>
                <w:lang w:bidi="ar"/>
              </w:rPr>
              <w:t>1.6</w:t>
            </w:r>
          </w:p>
        </w:tc>
        <w:tc>
          <w:tcPr>
            <w:tcW w:w="432" w:type="dxa"/>
            <w:tcBorders>
              <w:top w:val="single" w:sz="12" w:space="0" w:color="auto"/>
            </w:tcBorders>
            <w:vAlign w:val="center"/>
          </w:tcPr>
          <w:p w14:paraId="02E1FD30" w14:textId="77777777" w:rsidR="00D170E5" w:rsidRPr="002B55E9" w:rsidRDefault="00EF27AD">
            <w:pPr>
              <w:widowControl/>
              <w:jc w:val="center"/>
              <w:textAlignment w:val="top"/>
              <w:rPr>
                <w:sz w:val="18"/>
                <w:szCs w:val="18"/>
              </w:rPr>
            </w:pPr>
            <w:r w:rsidRPr="002B55E9">
              <w:rPr>
                <w:sz w:val="18"/>
                <w:szCs w:val="18"/>
                <w:lang w:bidi="ar"/>
              </w:rPr>
              <w:t>1.9</w:t>
            </w:r>
          </w:p>
        </w:tc>
        <w:tc>
          <w:tcPr>
            <w:tcW w:w="574" w:type="dxa"/>
            <w:tcBorders>
              <w:top w:val="single" w:sz="12" w:space="0" w:color="auto"/>
            </w:tcBorders>
            <w:vAlign w:val="center"/>
          </w:tcPr>
          <w:p w14:paraId="32BACD2A" w14:textId="77777777" w:rsidR="00D170E5" w:rsidRPr="002B55E9" w:rsidRDefault="00EF27AD">
            <w:pPr>
              <w:widowControl/>
              <w:jc w:val="center"/>
              <w:textAlignment w:val="top"/>
              <w:rPr>
                <w:sz w:val="18"/>
                <w:szCs w:val="18"/>
              </w:rPr>
            </w:pPr>
            <w:r w:rsidRPr="002B55E9">
              <w:rPr>
                <w:sz w:val="18"/>
                <w:szCs w:val="18"/>
                <w:lang w:bidi="ar"/>
              </w:rPr>
              <w:t>1.8</w:t>
            </w:r>
          </w:p>
        </w:tc>
        <w:tc>
          <w:tcPr>
            <w:tcW w:w="476" w:type="dxa"/>
            <w:tcBorders>
              <w:top w:val="single" w:sz="12" w:space="0" w:color="auto"/>
            </w:tcBorders>
            <w:vAlign w:val="center"/>
          </w:tcPr>
          <w:p w14:paraId="435D9CFA" w14:textId="77777777" w:rsidR="00D170E5" w:rsidRPr="002B55E9" w:rsidRDefault="00EF27AD">
            <w:pPr>
              <w:widowControl/>
              <w:jc w:val="center"/>
              <w:textAlignment w:val="top"/>
              <w:rPr>
                <w:sz w:val="18"/>
                <w:szCs w:val="18"/>
              </w:rPr>
            </w:pPr>
            <w:r w:rsidRPr="002B55E9">
              <w:rPr>
                <w:sz w:val="18"/>
                <w:szCs w:val="18"/>
                <w:lang w:bidi="ar"/>
              </w:rPr>
              <w:t>1.3</w:t>
            </w:r>
          </w:p>
        </w:tc>
        <w:tc>
          <w:tcPr>
            <w:tcW w:w="642" w:type="dxa"/>
            <w:tcBorders>
              <w:top w:val="single" w:sz="12" w:space="0" w:color="auto"/>
            </w:tcBorders>
            <w:vAlign w:val="center"/>
          </w:tcPr>
          <w:p w14:paraId="795BEFB2" w14:textId="77777777" w:rsidR="00D170E5" w:rsidRPr="002B55E9" w:rsidRDefault="00EF27AD">
            <w:pPr>
              <w:widowControl/>
              <w:jc w:val="center"/>
              <w:textAlignment w:val="top"/>
              <w:rPr>
                <w:sz w:val="18"/>
                <w:szCs w:val="18"/>
              </w:rPr>
            </w:pPr>
            <w:r w:rsidRPr="002B55E9">
              <w:rPr>
                <w:sz w:val="18"/>
                <w:szCs w:val="18"/>
                <w:lang w:bidi="ar"/>
              </w:rPr>
              <w:t>2.2</w:t>
            </w:r>
          </w:p>
        </w:tc>
        <w:tc>
          <w:tcPr>
            <w:tcW w:w="432" w:type="dxa"/>
            <w:tcBorders>
              <w:top w:val="single" w:sz="12" w:space="0" w:color="auto"/>
            </w:tcBorders>
            <w:vAlign w:val="center"/>
          </w:tcPr>
          <w:p w14:paraId="57076770" w14:textId="77777777" w:rsidR="00D170E5" w:rsidRPr="002B55E9" w:rsidRDefault="00EF27AD">
            <w:pPr>
              <w:widowControl/>
              <w:jc w:val="center"/>
              <w:textAlignment w:val="top"/>
              <w:rPr>
                <w:sz w:val="18"/>
                <w:szCs w:val="18"/>
              </w:rPr>
            </w:pPr>
            <w:r w:rsidRPr="002B55E9">
              <w:rPr>
                <w:sz w:val="18"/>
                <w:szCs w:val="18"/>
                <w:lang w:bidi="ar"/>
              </w:rPr>
              <w:t>4.7</w:t>
            </w:r>
          </w:p>
        </w:tc>
        <w:tc>
          <w:tcPr>
            <w:tcW w:w="671" w:type="dxa"/>
            <w:tcBorders>
              <w:top w:val="single" w:sz="12" w:space="0" w:color="auto"/>
            </w:tcBorders>
            <w:vAlign w:val="center"/>
          </w:tcPr>
          <w:p w14:paraId="5218238E" w14:textId="77777777" w:rsidR="00D170E5" w:rsidRPr="002B55E9" w:rsidRDefault="00EF27AD">
            <w:pPr>
              <w:widowControl/>
              <w:jc w:val="center"/>
              <w:textAlignment w:val="top"/>
              <w:rPr>
                <w:sz w:val="18"/>
                <w:szCs w:val="18"/>
              </w:rPr>
            </w:pPr>
            <w:r w:rsidRPr="002B55E9">
              <w:rPr>
                <w:sz w:val="18"/>
                <w:szCs w:val="18"/>
                <w:lang w:bidi="ar"/>
              </w:rPr>
              <w:t>3.3</w:t>
            </w:r>
          </w:p>
        </w:tc>
        <w:tc>
          <w:tcPr>
            <w:tcW w:w="505" w:type="dxa"/>
            <w:tcBorders>
              <w:top w:val="single" w:sz="12" w:space="0" w:color="auto"/>
            </w:tcBorders>
            <w:vAlign w:val="center"/>
          </w:tcPr>
          <w:p w14:paraId="0318DFB2" w14:textId="77777777" w:rsidR="00D170E5" w:rsidRPr="002B55E9" w:rsidRDefault="00EF27AD">
            <w:pPr>
              <w:widowControl/>
              <w:jc w:val="center"/>
              <w:textAlignment w:val="top"/>
              <w:rPr>
                <w:sz w:val="18"/>
                <w:szCs w:val="18"/>
              </w:rPr>
            </w:pPr>
            <w:r w:rsidRPr="002B55E9">
              <w:rPr>
                <w:sz w:val="18"/>
                <w:szCs w:val="18"/>
                <w:lang w:bidi="ar"/>
              </w:rPr>
              <w:t>4.3</w:t>
            </w:r>
          </w:p>
        </w:tc>
        <w:tc>
          <w:tcPr>
            <w:tcW w:w="551" w:type="dxa"/>
            <w:tcBorders>
              <w:top w:val="single" w:sz="12" w:space="0" w:color="auto"/>
            </w:tcBorders>
            <w:vAlign w:val="center"/>
          </w:tcPr>
          <w:p w14:paraId="6C4A72B9" w14:textId="77777777" w:rsidR="00D170E5" w:rsidRPr="002B55E9" w:rsidRDefault="00EF27AD">
            <w:pPr>
              <w:widowControl/>
              <w:jc w:val="center"/>
              <w:textAlignment w:val="top"/>
              <w:rPr>
                <w:sz w:val="18"/>
                <w:szCs w:val="18"/>
              </w:rPr>
            </w:pPr>
            <w:r w:rsidRPr="002B55E9">
              <w:rPr>
                <w:sz w:val="18"/>
                <w:szCs w:val="18"/>
                <w:lang w:bidi="ar"/>
              </w:rPr>
              <w:t>7.4</w:t>
            </w:r>
          </w:p>
        </w:tc>
        <w:tc>
          <w:tcPr>
            <w:tcW w:w="601" w:type="dxa"/>
            <w:tcBorders>
              <w:top w:val="single" w:sz="12" w:space="0" w:color="auto"/>
            </w:tcBorders>
            <w:vAlign w:val="center"/>
          </w:tcPr>
          <w:p w14:paraId="7F2012D9" w14:textId="77777777" w:rsidR="00D170E5" w:rsidRPr="002B55E9" w:rsidRDefault="00EF27AD">
            <w:pPr>
              <w:widowControl/>
              <w:jc w:val="center"/>
              <w:textAlignment w:val="top"/>
              <w:rPr>
                <w:sz w:val="18"/>
                <w:szCs w:val="18"/>
              </w:rPr>
            </w:pPr>
            <w:r w:rsidRPr="002B55E9">
              <w:rPr>
                <w:rStyle w:val="font21"/>
                <w:color w:val="auto"/>
                <w:lang w:bidi="ar"/>
              </w:rPr>
              <w:t>15.6</w:t>
            </w:r>
          </w:p>
        </w:tc>
      </w:tr>
      <w:tr w:rsidR="002B55E9" w:rsidRPr="002B55E9" w14:paraId="6BD15FAB" w14:textId="77777777">
        <w:trPr>
          <w:trHeight w:val="255"/>
          <w:jc w:val="center"/>
        </w:trPr>
        <w:tc>
          <w:tcPr>
            <w:tcW w:w="691" w:type="dxa"/>
            <w:vAlign w:val="center"/>
          </w:tcPr>
          <w:p w14:paraId="2937CDB9" w14:textId="77777777" w:rsidR="00D170E5" w:rsidRPr="002B55E9" w:rsidRDefault="00EF27AD">
            <w:pPr>
              <w:jc w:val="center"/>
              <w:rPr>
                <w:sz w:val="18"/>
                <w:szCs w:val="18"/>
              </w:rPr>
            </w:pPr>
            <w:r w:rsidRPr="002B55E9">
              <w:rPr>
                <w:sz w:val="18"/>
                <w:szCs w:val="18"/>
              </w:rPr>
              <w:t>二月</w:t>
            </w:r>
          </w:p>
        </w:tc>
        <w:tc>
          <w:tcPr>
            <w:tcW w:w="517" w:type="dxa"/>
            <w:vAlign w:val="center"/>
          </w:tcPr>
          <w:p w14:paraId="5CDBFE08" w14:textId="77777777" w:rsidR="00D170E5" w:rsidRPr="002B55E9" w:rsidRDefault="00EF27AD">
            <w:pPr>
              <w:widowControl/>
              <w:jc w:val="center"/>
              <w:textAlignment w:val="top"/>
              <w:rPr>
                <w:sz w:val="18"/>
                <w:szCs w:val="18"/>
              </w:rPr>
            </w:pPr>
            <w:r w:rsidRPr="002B55E9">
              <w:rPr>
                <w:sz w:val="18"/>
                <w:szCs w:val="18"/>
                <w:lang w:bidi="ar"/>
              </w:rPr>
              <w:t>8.0</w:t>
            </w:r>
          </w:p>
        </w:tc>
        <w:tc>
          <w:tcPr>
            <w:tcW w:w="572" w:type="dxa"/>
            <w:vAlign w:val="center"/>
          </w:tcPr>
          <w:p w14:paraId="7EAD7236" w14:textId="77777777" w:rsidR="00D170E5" w:rsidRPr="002B55E9" w:rsidRDefault="00EF27AD">
            <w:pPr>
              <w:widowControl/>
              <w:jc w:val="center"/>
              <w:textAlignment w:val="top"/>
              <w:rPr>
                <w:sz w:val="18"/>
                <w:szCs w:val="18"/>
              </w:rPr>
            </w:pPr>
            <w:r w:rsidRPr="002B55E9">
              <w:rPr>
                <w:sz w:val="18"/>
                <w:szCs w:val="18"/>
                <w:lang w:bidi="ar"/>
              </w:rPr>
              <w:t>13.0</w:t>
            </w:r>
          </w:p>
        </w:tc>
        <w:tc>
          <w:tcPr>
            <w:tcW w:w="517" w:type="dxa"/>
            <w:vAlign w:val="center"/>
          </w:tcPr>
          <w:p w14:paraId="5F0384BD" w14:textId="77777777" w:rsidR="00D170E5" w:rsidRPr="002B55E9" w:rsidRDefault="00EF27AD">
            <w:pPr>
              <w:widowControl/>
              <w:jc w:val="center"/>
              <w:textAlignment w:val="top"/>
              <w:rPr>
                <w:sz w:val="18"/>
                <w:szCs w:val="18"/>
              </w:rPr>
            </w:pPr>
            <w:r w:rsidRPr="002B55E9">
              <w:rPr>
                <w:rStyle w:val="font21"/>
                <w:color w:val="auto"/>
                <w:lang w:bidi="ar"/>
              </w:rPr>
              <w:t>13.6</w:t>
            </w:r>
          </w:p>
        </w:tc>
        <w:tc>
          <w:tcPr>
            <w:tcW w:w="555" w:type="dxa"/>
            <w:vAlign w:val="center"/>
          </w:tcPr>
          <w:p w14:paraId="25084212" w14:textId="77777777" w:rsidR="00D170E5" w:rsidRPr="002B55E9" w:rsidRDefault="00EF27AD">
            <w:pPr>
              <w:widowControl/>
              <w:jc w:val="center"/>
              <w:textAlignment w:val="top"/>
              <w:rPr>
                <w:sz w:val="18"/>
                <w:szCs w:val="18"/>
              </w:rPr>
            </w:pPr>
            <w:r w:rsidRPr="002B55E9">
              <w:rPr>
                <w:sz w:val="18"/>
                <w:szCs w:val="18"/>
                <w:lang w:bidi="ar"/>
              </w:rPr>
              <w:t>7.2</w:t>
            </w:r>
          </w:p>
        </w:tc>
        <w:tc>
          <w:tcPr>
            <w:tcW w:w="432" w:type="dxa"/>
            <w:vAlign w:val="center"/>
          </w:tcPr>
          <w:p w14:paraId="48DB663C" w14:textId="77777777" w:rsidR="00D170E5" w:rsidRPr="002B55E9" w:rsidRDefault="00EF27AD">
            <w:pPr>
              <w:widowControl/>
              <w:jc w:val="center"/>
              <w:textAlignment w:val="top"/>
              <w:rPr>
                <w:sz w:val="18"/>
                <w:szCs w:val="18"/>
              </w:rPr>
            </w:pPr>
            <w:r w:rsidRPr="002B55E9">
              <w:rPr>
                <w:sz w:val="18"/>
                <w:szCs w:val="18"/>
                <w:lang w:bidi="ar"/>
              </w:rPr>
              <w:t>6.3</w:t>
            </w:r>
          </w:p>
        </w:tc>
        <w:tc>
          <w:tcPr>
            <w:tcW w:w="524" w:type="dxa"/>
            <w:vAlign w:val="center"/>
          </w:tcPr>
          <w:p w14:paraId="23EDE065" w14:textId="77777777" w:rsidR="00D170E5" w:rsidRPr="002B55E9" w:rsidRDefault="00EF27AD">
            <w:pPr>
              <w:widowControl/>
              <w:jc w:val="center"/>
              <w:textAlignment w:val="top"/>
              <w:rPr>
                <w:sz w:val="18"/>
                <w:szCs w:val="18"/>
              </w:rPr>
            </w:pPr>
            <w:r w:rsidRPr="002B55E9">
              <w:rPr>
                <w:sz w:val="18"/>
                <w:szCs w:val="18"/>
                <w:lang w:bidi="ar"/>
              </w:rPr>
              <w:t>4.4</w:t>
            </w:r>
          </w:p>
        </w:tc>
        <w:tc>
          <w:tcPr>
            <w:tcW w:w="432" w:type="dxa"/>
            <w:vAlign w:val="center"/>
          </w:tcPr>
          <w:p w14:paraId="77C638F0" w14:textId="77777777" w:rsidR="00D170E5" w:rsidRPr="002B55E9" w:rsidRDefault="00EF27AD">
            <w:pPr>
              <w:widowControl/>
              <w:jc w:val="center"/>
              <w:textAlignment w:val="top"/>
              <w:rPr>
                <w:sz w:val="18"/>
                <w:szCs w:val="18"/>
              </w:rPr>
            </w:pPr>
            <w:r w:rsidRPr="002B55E9">
              <w:rPr>
                <w:sz w:val="18"/>
                <w:szCs w:val="18"/>
                <w:lang w:bidi="ar"/>
              </w:rPr>
              <w:t>3.8</w:t>
            </w:r>
          </w:p>
        </w:tc>
        <w:tc>
          <w:tcPr>
            <w:tcW w:w="513" w:type="dxa"/>
            <w:vAlign w:val="center"/>
          </w:tcPr>
          <w:p w14:paraId="0A833C83" w14:textId="77777777" w:rsidR="00D170E5" w:rsidRPr="002B55E9" w:rsidRDefault="00EF27AD">
            <w:pPr>
              <w:widowControl/>
              <w:jc w:val="center"/>
              <w:textAlignment w:val="top"/>
              <w:rPr>
                <w:sz w:val="18"/>
                <w:szCs w:val="18"/>
              </w:rPr>
            </w:pPr>
            <w:r w:rsidRPr="002B55E9">
              <w:rPr>
                <w:sz w:val="18"/>
                <w:szCs w:val="18"/>
                <w:lang w:bidi="ar"/>
              </w:rPr>
              <w:t>3.1</w:t>
            </w:r>
          </w:p>
        </w:tc>
        <w:tc>
          <w:tcPr>
            <w:tcW w:w="432" w:type="dxa"/>
            <w:vAlign w:val="center"/>
          </w:tcPr>
          <w:p w14:paraId="67B521AA" w14:textId="77777777" w:rsidR="00D170E5" w:rsidRPr="002B55E9" w:rsidRDefault="00EF27AD">
            <w:pPr>
              <w:widowControl/>
              <w:jc w:val="center"/>
              <w:textAlignment w:val="top"/>
              <w:rPr>
                <w:sz w:val="18"/>
                <w:szCs w:val="18"/>
              </w:rPr>
            </w:pPr>
            <w:r w:rsidRPr="002B55E9">
              <w:rPr>
                <w:sz w:val="18"/>
                <w:szCs w:val="18"/>
                <w:lang w:bidi="ar"/>
              </w:rPr>
              <w:t>2.3</w:t>
            </w:r>
          </w:p>
        </w:tc>
        <w:tc>
          <w:tcPr>
            <w:tcW w:w="574" w:type="dxa"/>
            <w:vAlign w:val="center"/>
          </w:tcPr>
          <w:p w14:paraId="2AD959D1" w14:textId="77777777" w:rsidR="00D170E5" w:rsidRPr="002B55E9" w:rsidRDefault="00EF27AD">
            <w:pPr>
              <w:widowControl/>
              <w:jc w:val="center"/>
              <w:textAlignment w:val="top"/>
              <w:rPr>
                <w:sz w:val="18"/>
                <w:szCs w:val="18"/>
              </w:rPr>
            </w:pPr>
            <w:r w:rsidRPr="002B55E9">
              <w:rPr>
                <w:sz w:val="18"/>
                <w:szCs w:val="18"/>
                <w:lang w:bidi="ar"/>
              </w:rPr>
              <w:t>2.2</w:t>
            </w:r>
          </w:p>
        </w:tc>
        <w:tc>
          <w:tcPr>
            <w:tcW w:w="476" w:type="dxa"/>
            <w:vAlign w:val="center"/>
          </w:tcPr>
          <w:p w14:paraId="6F575F58" w14:textId="77777777" w:rsidR="00D170E5" w:rsidRPr="002B55E9" w:rsidRDefault="00EF27AD">
            <w:pPr>
              <w:widowControl/>
              <w:jc w:val="center"/>
              <w:textAlignment w:val="top"/>
              <w:rPr>
                <w:sz w:val="18"/>
                <w:szCs w:val="18"/>
              </w:rPr>
            </w:pPr>
            <w:r w:rsidRPr="002B55E9">
              <w:rPr>
                <w:sz w:val="18"/>
                <w:szCs w:val="18"/>
                <w:lang w:bidi="ar"/>
              </w:rPr>
              <w:t>2.4</w:t>
            </w:r>
          </w:p>
        </w:tc>
        <w:tc>
          <w:tcPr>
            <w:tcW w:w="642" w:type="dxa"/>
            <w:vAlign w:val="center"/>
          </w:tcPr>
          <w:p w14:paraId="05F1AA8F" w14:textId="77777777" w:rsidR="00D170E5" w:rsidRPr="002B55E9" w:rsidRDefault="00EF27AD">
            <w:pPr>
              <w:widowControl/>
              <w:jc w:val="center"/>
              <w:textAlignment w:val="top"/>
              <w:rPr>
                <w:sz w:val="18"/>
                <w:szCs w:val="18"/>
              </w:rPr>
            </w:pPr>
            <w:r w:rsidRPr="002B55E9">
              <w:rPr>
                <w:sz w:val="18"/>
                <w:szCs w:val="18"/>
                <w:lang w:bidi="ar"/>
              </w:rPr>
              <w:t>2.4</w:t>
            </w:r>
          </w:p>
        </w:tc>
        <w:tc>
          <w:tcPr>
            <w:tcW w:w="432" w:type="dxa"/>
            <w:vAlign w:val="center"/>
          </w:tcPr>
          <w:p w14:paraId="2328DF88" w14:textId="77777777" w:rsidR="00D170E5" w:rsidRPr="002B55E9" w:rsidRDefault="00EF27AD">
            <w:pPr>
              <w:widowControl/>
              <w:jc w:val="center"/>
              <w:textAlignment w:val="top"/>
              <w:rPr>
                <w:sz w:val="18"/>
                <w:szCs w:val="18"/>
              </w:rPr>
            </w:pPr>
            <w:r w:rsidRPr="002B55E9">
              <w:rPr>
                <w:sz w:val="18"/>
                <w:szCs w:val="18"/>
                <w:lang w:bidi="ar"/>
              </w:rPr>
              <w:t>3.5</w:t>
            </w:r>
          </w:p>
        </w:tc>
        <w:tc>
          <w:tcPr>
            <w:tcW w:w="671" w:type="dxa"/>
            <w:vAlign w:val="center"/>
          </w:tcPr>
          <w:p w14:paraId="721424FE" w14:textId="77777777" w:rsidR="00D170E5" w:rsidRPr="002B55E9" w:rsidRDefault="00EF27AD">
            <w:pPr>
              <w:widowControl/>
              <w:jc w:val="center"/>
              <w:textAlignment w:val="top"/>
              <w:rPr>
                <w:sz w:val="18"/>
                <w:szCs w:val="18"/>
              </w:rPr>
            </w:pPr>
            <w:r w:rsidRPr="002B55E9">
              <w:rPr>
                <w:sz w:val="18"/>
                <w:szCs w:val="18"/>
                <w:lang w:bidi="ar"/>
              </w:rPr>
              <w:t>2.6</w:t>
            </w:r>
          </w:p>
        </w:tc>
        <w:tc>
          <w:tcPr>
            <w:tcW w:w="505" w:type="dxa"/>
            <w:vAlign w:val="center"/>
          </w:tcPr>
          <w:p w14:paraId="09DC1425" w14:textId="77777777" w:rsidR="00D170E5" w:rsidRPr="002B55E9" w:rsidRDefault="00EF27AD">
            <w:pPr>
              <w:widowControl/>
              <w:jc w:val="center"/>
              <w:textAlignment w:val="top"/>
              <w:rPr>
                <w:sz w:val="18"/>
                <w:szCs w:val="18"/>
              </w:rPr>
            </w:pPr>
            <w:r w:rsidRPr="002B55E9">
              <w:rPr>
                <w:sz w:val="18"/>
                <w:szCs w:val="18"/>
                <w:lang w:bidi="ar"/>
              </w:rPr>
              <w:t>3.5</w:t>
            </w:r>
          </w:p>
        </w:tc>
        <w:tc>
          <w:tcPr>
            <w:tcW w:w="551" w:type="dxa"/>
            <w:vAlign w:val="center"/>
          </w:tcPr>
          <w:p w14:paraId="5AFD8A42" w14:textId="77777777" w:rsidR="00D170E5" w:rsidRPr="002B55E9" w:rsidRDefault="00EF27AD">
            <w:pPr>
              <w:widowControl/>
              <w:jc w:val="center"/>
              <w:textAlignment w:val="top"/>
              <w:rPr>
                <w:sz w:val="18"/>
                <w:szCs w:val="18"/>
              </w:rPr>
            </w:pPr>
            <w:r w:rsidRPr="002B55E9">
              <w:rPr>
                <w:sz w:val="18"/>
                <w:szCs w:val="18"/>
                <w:lang w:bidi="ar"/>
              </w:rPr>
              <w:t>8.2</w:t>
            </w:r>
          </w:p>
        </w:tc>
        <w:tc>
          <w:tcPr>
            <w:tcW w:w="601" w:type="dxa"/>
            <w:vAlign w:val="center"/>
          </w:tcPr>
          <w:p w14:paraId="4BADF65E" w14:textId="77777777" w:rsidR="00D170E5" w:rsidRPr="002B55E9" w:rsidRDefault="00EF27AD">
            <w:pPr>
              <w:widowControl/>
              <w:jc w:val="center"/>
              <w:textAlignment w:val="top"/>
              <w:rPr>
                <w:sz w:val="18"/>
                <w:szCs w:val="18"/>
              </w:rPr>
            </w:pPr>
            <w:r w:rsidRPr="002B55E9">
              <w:rPr>
                <w:rStyle w:val="font21"/>
                <w:color w:val="auto"/>
                <w:lang w:bidi="ar"/>
              </w:rPr>
              <w:t>13.3</w:t>
            </w:r>
          </w:p>
        </w:tc>
      </w:tr>
      <w:tr w:rsidR="002B55E9" w:rsidRPr="002B55E9" w14:paraId="2D54F6DC" w14:textId="77777777">
        <w:trPr>
          <w:trHeight w:val="255"/>
          <w:jc w:val="center"/>
        </w:trPr>
        <w:tc>
          <w:tcPr>
            <w:tcW w:w="691" w:type="dxa"/>
            <w:vAlign w:val="center"/>
          </w:tcPr>
          <w:p w14:paraId="5A50160F" w14:textId="77777777" w:rsidR="00D170E5" w:rsidRPr="002B55E9" w:rsidRDefault="00EF27AD">
            <w:pPr>
              <w:jc w:val="center"/>
              <w:rPr>
                <w:sz w:val="18"/>
                <w:szCs w:val="18"/>
              </w:rPr>
            </w:pPr>
            <w:r w:rsidRPr="002B55E9">
              <w:rPr>
                <w:sz w:val="18"/>
                <w:szCs w:val="18"/>
              </w:rPr>
              <w:t>三月</w:t>
            </w:r>
          </w:p>
        </w:tc>
        <w:tc>
          <w:tcPr>
            <w:tcW w:w="517" w:type="dxa"/>
            <w:vAlign w:val="center"/>
          </w:tcPr>
          <w:p w14:paraId="4D6B2FDD" w14:textId="77777777" w:rsidR="00D170E5" w:rsidRPr="002B55E9" w:rsidRDefault="00EF27AD">
            <w:pPr>
              <w:widowControl/>
              <w:jc w:val="center"/>
              <w:textAlignment w:val="top"/>
              <w:rPr>
                <w:sz w:val="18"/>
                <w:szCs w:val="18"/>
              </w:rPr>
            </w:pPr>
            <w:r w:rsidRPr="002B55E9">
              <w:rPr>
                <w:sz w:val="18"/>
                <w:szCs w:val="18"/>
                <w:lang w:bidi="ar"/>
              </w:rPr>
              <w:t>6.8</w:t>
            </w:r>
          </w:p>
        </w:tc>
        <w:tc>
          <w:tcPr>
            <w:tcW w:w="572" w:type="dxa"/>
            <w:vAlign w:val="center"/>
          </w:tcPr>
          <w:p w14:paraId="24181923" w14:textId="77777777" w:rsidR="00D170E5" w:rsidRPr="002B55E9" w:rsidRDefault="00EF27AD">
            <w:pPr>
              <w:widowControl/>
              <w:jc w:val="center"/>
              <w:textAlignment w:val="top"/>
              <w:rPr>
                <w:sz w:val="18"/>
                <w:szCs w:val="18"/>
              </w:rPr>
            </w:pPr>
            <w:r w:rsidRPr="002B55E9">
              <w:rPr>
                <w:sz w:val="18"/>
                <w:szCs w:val="18"/>
                <w:lang w:bidi="ar"/>
              </w:rPr>
              <w:t>11.0</w:t>
            </w:r>
          </w:p>
        </w:tc>
        <w:tc>
          <w:tcPr>
            <w:tcW w:w="517" w:type="dxa"/>
            <w:vAlign w:val="center"/>
          </w:tcPr>
          <w:p w14:paraId="4B89241D" w14:textId="77777777" w:rsidR="00D170E5" w:rsidRPr="002B55E9" w:rsidRDefault="00EF27AD">
            <w:pPr>
              <w:widowControl/>
              <w:jc w:val="center"/>
              <w:textAlignment w:val="top"/>
              <w:rPr>
                <w:sz w:val="18"/>
                <w:szCs w:val="18"/>
              </w:rPr>
            </w:pPr>
            <w:r w:rsidRPr="002B55E9">
              <w:rPr>
                <w:rStyle w:val="font21"/>
                <w:color w:val="auto"/>
                <w:lang w:bidi="ar"/>
              </w:rPr>
              <w:t>12.4</w:t>
            </w:r>
          </w:p>
        </w:tc>
        <w:tc>
          <w:tcPr>
            <w:tcW w:w="555" w:type="dxa"/>
            <w:vAlign w:val="center"/>
          </w:tcPr>
          <w:p w14:paraId="673B428D" w14:textId="77777777" w:rsidR="00D170E5" w:rsidRPr="002B55E9" w:rsidRDefault="00EF27AD">
            <w:pPr>
              <w:widowControl/>
              <w:jc w:val="center"/>
              <w:textAlignment w:val="top"/>
              <w:rPr>
                <w:sz w:val="18"/>
                <w:szCs w:val="18"/>
              </w:rPr>
            </w:pPr>
            <w:r w:rsidRPr="002B55E9">
              <w:rPr>
                <w:sz w:val="18"/>
                <w:szCs w:val="18"/>
                <w:lang w:bidi="ar"/>
              </w:rPr>
              <w:t>5.9</w:t>
            </w:r>
          </w:p>
        </w:tc>
        <w:tc>
          <w:tcPr>
            <w:tcW w:w="432" w:type="dxa"/>
            <w:vAlign w:val="center"/>
          </w:tcPr>
          <w:p w14:paraId="67750924" w14:textId="77777777" w:rsidR="00D170E5" w:rsidRPr="002B55E9" w:rsidRDefault="00EF27AD">
            <w:pPr>
              <w:widowControl/>
              <w:jc w:val="center"/>
              <w:textAlignment w:val="top"/>
              <w:rPr>
                <w:sz w:val="18"/>
                <w:szCs w:val="18"/>
              </w:rPr>
            </w:pPr>
            <w:r w:rsidRPr="002B55E9">
              <w:rPr>
                <w:sz w:val="18"/>
                <w:szCs w:val="18"/>
                <w:lang w:bidi="ar"/>
              </w:rPr>
              <w:t>6.9</w:t>
            </w:r>
          </w:p>
        </w:tc>
        <w:tc>
          <w:tcPr>
            <w:tcW w:w="524" w:type="dxa"/>
            <w:vAlign w:val="center"/>
          </w:tcPr>
          <w:p w14:paraId="0FEC95D4" w14:textId="77777777" w:rsidR="00D170E5" w:rsidRPr="002B55E9" w:rsidRDefault="00EF27AD">
            <w:pPr>
              <w:widowControl/>
              <w:jc w:val="center"/>
              <w:textAlignment w:val="top"/>
              <w:rPr>
                <w:sz w:val="18"/>
                <w:szCs w:val="18"/>
              </w:rPr>
            </w:pPr>
            <w:r w:rsidRPr="002B55E9">
              <w:rPr>
                <w:sz w:val="18"/>
                <w:szCs w:val="18"/>
                <w:lang w:bidi="ar"/>
              </w:rPr>
              <w:t>6.0</w:t>
            </w:r>
          </w:p>
        </w:tc>
        <w:tc>
          <w:tcPr>
            <w:tcW w:w="432" w:type="dxa"/>
            <w:vAlign w:val="center"/>
          </w:tcPr>
          <w:p w14:paraId="023CA123" w14:textId="77777777" w:rsidR="00D170E5" w:rsidRPr="002B55E9" w:rsidRDefault="00EF27AD">
            <w:pPr>
              <w:widowControl/>
              <w:jc w:val="center"/>
              <w:textAlignment w:val="top"/>
              <w:rPr>
                <w:sz w:val="18"/>
                <w:szCs w:val="18"/>
              </w:rPr>
            </w:pPr>
            <w:r w:rsidRPr="002B55E9">
              <w:rPr>
                <w:sz w:val="18"/>
                <w:szCs w:val="18"/>
                <w:lang w:bidi="ar"/>
              </w:rPr>
              <w:t>5.8</w:t>
            </w:r>
          </w:p>
        </w:tc>
        <w:tc>
          <w:tcPr>
            <w:tcW w:w="513" w:type="dxa"/>
            <w:vAlign w:val="center"/>
          </w:tcPr>
          <w:p w14:paraId="6AFE7B40" w14:textId="77777777" w:rsidR="00D170E5" w:rsidRPr="002B55E9" w:rsidRDefault="00EF27AD">
            <w:pPr>
              <w:widowControl/>
              <w:jc w:val="center"/>
              <w:textAlignment w:val="top"/>
              <w:rPr>
                <w:sz w:val="18"/>
                <w:szCs w:val="18"/>
              </w:rPr>
            </w:pPr>
            <w:r w:rsidRPr="002B55E9">
              <w:rPr>
                <w:sz w:val="18"/>
                <w:szCs w:val="18"/>
                <w:lang w:bidi="ar"/>
              </w:rPr>
              <w:t>4.9</w:t>
            </w:r>
          </w:p>
        </w:tc>
        <w:tc>
          <w:tcPr>
            <w:tcW w:w="432" w:type="dxa"/>
            <w:vAlign w:val="center"/>
          </w:tcPr>
          <w:p w14:paraId="3FCB47A7" w14:textId="77777777" w:rsidR="00D170E5" w:rsidRPr="002B55E9" w:rsidRDefault="00EF27AD">
            <w:pPr>
              <w:widowControl/>
              <w:jc w:val="center"/>
              <w:textAlignment w:val="top"/>
              <w:rPr>
                <w:sz w:val="18"/>
                <w:szCs w:val="18"/>
              </w:rPr>
            </w:pPr>
            <w:r w:rsidRPr="002B55E9">
              <w:rPr>
                <w:sz w:val="18"/>
                <w:szCs w:val="18"/>
                <w:lang w:bidi="ar"/>
              </w:rPr>
              <w:t>4.1</w:t>
            </w:r>
          </w:p>
        </w:tc>
        <w:tc>
          <w:tcPr>
            <w:tcW w:w="574" w:type="dxa"/>
            <w:vAlign w:val="center"/>
          </w:tcPr>
          <w:p w14:paraId="7488B6BE" w14:textId="77777777" w:rsidR="00D170E5" w:rsidRPr="002B55E9" w:rsidRDefault="00EF27AD">
            <w:pPr>
              <w:widowControl/>
              <w:jc w:val="center"/>
              <w:textAlignment w:val="top"/>
              <w:rPr>
                <w:sz w:val="18"/>
                <w:szCs w:val="18"/>
              </w:rPr>
            </w:pPr>
            <w:r w:rsidRPr="002B55E9">
              <w:rPr>
                <w:sz w:val="18"/>
                <w:szCs w:val="18"/>
                <w:lang w:bidi="ar"/>
              </w:rPr>
              <w:t>3.6</w:t>
            </w:r>
          </w:p>
        </w:tc>
        <w:tc>
          <w:tcPr>
            <w:tcW w:w="476" w:type="dxa"/>
            <w:vAlign w:val="center"/>
          </w:tcPr>
          <w:p w14:paraId="3BD79880" w14:textId="77777777" w:rsidR="00D170E5" w:rsidRPr="002B55E9" w:rsidRDefault="00EF27AD">
            <w:pPr>
              <w:widowControl/>
              <w:jc w:val="center"/>
              <w:textAlignment w:val="top"/>
              <w:rPr>
                <w:sz w:val="18"/>
                <w:szCs w:val="18"/>
              </w:rPr>
            </w:pPr>
            <w:r w:rsidRPr="002B55E9">
              <w:rPr>
                <w:sz w:val="18"/>
                <w:szCs w:val="18"/>
                <w:lang w:bidi="ar"/>
              </w:rPr>
              <w:t>2.9</w:t>
            </w:r>
          </w:p>
        </w:tc>
        <w:tc>
          <w:tcPr>
            <w:tcW w:w="642" w:type="dxa"/>
            <w:vAlign w:val="center"/>
          </w:tcPr>
          <w:p w14:paraId="59023B8B" w14:textId="77777777" w:rsidR="00D170E5" w:rsidRPr="002B55E9" w:rsidRDefault="00EF27AD">
            <w:pPr>
              <w:widowControl/>
              <w:jc w:val="center"/>
              <w:textAlignment w:val="top"/>
              <w:rPr>
                <w:sz w:val="18"/>
                <w:szCs w:val="18"/>
              </w:rPr>
            </w:pPr>
            <w:r w:rsidRPr="002B55E9">
              <w:rPr>
                <w:sz w:val="18"/>
                <w:szCs w:val="18"/>
                <w:lang w:bidi="ar"/>
              </w:rPr>
              <w:t>4.6</w:t>
            </w:r>
          </w:p>
        </w:tc>
        <w:tc>
          <w:tcPr>
            <w:tcW w:w="432" w:type="dxa"/>
            <w:vAlign w:val="center"/>
          </w:tcPr>
          <w:p w14:paraId="45B3238E" w14:textId="77777777" w:rsidR="00D170E5" w:rsidRPr="002B55E9" w:rsidRDefault="00EF27AD">
            <w:pPr>
              <w:widowControl/>
              <w:jc w:val="center"/>
              <w:textAlignment w:val="top"/>
              <w:rPr>
                <w:sz w:val="18"/>
                <w:szCs w:val="18"/>
              </w:rPr>
            </w:pPr>
            <w:r w:rsidRPr="002B55E9">
              <w:rPr>
                <w:sz w:val="18"/>
                <w:szCs w:val="18"/>
                <w:lang w:bidi="ar"/>
              </w:rPr>
              <w:t>3.9</w:t>
            </w:r>
          </w:p>
        </w:tc>
        <w:tc>
          <w:tcPr>
            <w:tcW w:w="671" w:type="dxa"/>
            <w:vAlign w:val="center"/>
          </w:tcPr>
          <w:p w14:paraId="0467D32F" w14:textId="77777777" w:rsidR="00D170E5" w:rsidRPr="002B55E9" w:rsidRDefault="00EF27AD">
            <w:pPr>
              <w:widowControl/>
              <w:jc w:val="center"/>
              <w:textAlignment w:val="top"/>
              <w:rPr>
                <w:sz w:val="18"/>
                <w:szCs w:val="18"/>
              </w:rPr>
            </w:pPr>
            <w:r w:rsidRPr="002B55E9">
              <w:rPr>
                <w:sz w:val="18"/>
                <w:szCs w:val="18"/>
                <w:lang w:bidi="ar"/>
              </w:rPr>
              <w:t>1.9</w:t>
            </w:r>
          </w:p>
        </w:tc>
        <w:tc>
          <w:tcPr>
            <w:tcW w:w="505" w:type="dxa"/>
            <w:vAlign w:val="center"/>
          </w:tcPr>
          <w:p w14:paraId="1E1D6853" w14:textId="77777777" w:rsidR="00D170E5" w:rsidRPr="002B55E9" w:rsidRDefault="00EF27AD">
            <w:pPr>
              <w:widowControl/>
              <w:jc w:val="center"/>
              <w:textAlignment w:val="top"/>
              <w:rPr>
                <w:sz w:val="18"/>
                <w:szCs w:val="18"/>
              </w:rPr>
            </w:pPr>
            <w:r w:rsidRPr="002B55E9">
              <w:rPr>
                <w:sz w:val="18"/>
                <w:szCs w:val="18"/>
                <w:lang w:bidi="ar"/>
              </w:rPr>
              <w:t>2.8</w:t>
            </w:r>
          </w:p>
        </w:tc>
        <w:tc>
          <w:tcPr>
            <w:tcW w:w="551" w:type="dxa"/>
            <w:vAlign w:val="center"/>
          </w:tcPr>
          <w:p w14:paraId="6937FF1B" w14:textId="77777777" w:rsidR="00D170E5" w:rsidRPr="002B55E9" w:rsidRDefault="00EF27AD">
            <w:pPr>
              <w:widowControl/>
              <w:jc w:val="center"/>
              <w:textAlignment w:val="top"/>
              <w:rPr>
                <w:sz w:val="18"/>
                <w:szCs w:val="18"/>
              </w:rPr>
            </w:pPr>
            <w:r w:rsidRPr="002B55E9">
              <w:rPr>
                <w:sz w:val="18"/>
                <w:szCs w:val="18"/>
                <w:lang w:bidi="ar"/>
              </w:rPr>
              <w:t>5.4</w:t>
            </w:r>
          </w:p>
        </w:tc>
        <w:tc>
          <w:tcPr>
            <w:tcW w:w="601" w:type="dxa"/>
            <w:vAlign w:val="center"/>
          </w:tcPr>
          <w:p w14:paraId="2442AF8A" w14:textId="77777777" w:rsidR="00D170E5" w:rsidRPr="002B55E9" w:rsidRDefault="00EF27AD">
            <w:pPr>
              <w:widowControl/>
              <w:jc w:val="center"/>
              <w:textAlignment w:val="top"/>
              <w:rPr>
                <w:sz w:val="18"/>
                <w:szCs w:val="18"/>
              </w:rPr>
            </w:pPr>
            <w:r w:rsidRPr="002B55E9">
              <w:rPr>
                <w:rStyle w:val="font21"/>
                <w:color w:val="auto"/>
                <w:lang w:bidi="ar"/>
              </w:rPr>
              <w:t>11.3</w:t>
            </w:r>
          </w:p>
        </w:tc>
      </w:tr>
      <w:tr w:rsidR="002B55E9" w:rsidRPr="002B55E9" w14:paraId="0557BFB4" w14:textId="77777777">
        <w:trPr>
          <w:trHeight w:val="255"/>
          <w:jc w:val="center"/>
        </w:trPr>
        <w:tc>
          <w:tcPr>
            <w:tcW w:w="691" w:type="dxa"/>
            <w:vAlign w:val="center"/>
          </w:tcPr>
          <w:p w14:paraId="2F8F1277" w14:textId="77777777" w:rsidR="00D170E5" w:rsidRPr="002B55E9" w:rsidRDefault="00EF27AD">
            <w:pPr>
              <w:jc w:val="center"/>
              <w:rPr>
                <w:sz w:val="18"/>
                <w:szCs w:val="18"/>
              </w:rPr>
            </w:pPr>
            <w:r w:rsidRPr="002B55E9">
              <w:rPr>
                <w:sz w:val="18"/>
                <w:szCs w:val="18"/>
              </w:rPr>
              <w:t>四月</w:t>
            </w:r>
          </w:p>
        </w:tc>
        <w:tc>
          <w:tcPr>
            <w:tcW w:w="517" w:type="dxa"/>
            <w:vAlign w:val="center"/>
          </w:tcPr>
          <w:p w14:paraId="1EC43015" w14:textId="77777777" w:rsidR="00D170E5" w:rsidRPr="002B55E9" w:rsidRDefault="00EF27AD">
            <w:pPr>
              <w:widowControl/>
              <w:jc w:val="center"/>
              <w:textAlignment w:val="top"/>
              <w:rPr>
                <w:sz w:val="18"/>
                <w:szCs w:val="18"/>
              </w:rPr>
            </w:pPr>
            <w:r w:rsidRPr="002B55E9">
              <w:rPr>
                <w:sz w:val="18"/>
                <w:szCs w:val="18"/>
                <w:lang w:bidi="ar"/>
              </w:rPr>
              <w:t>6.6</w:t>
            </w:r>
          </w:p>
        </w:tc>
        <w:tc>
          <w:tcPr>
            <w:tcW w:w="572" w:type="dxa"/>
            <w:vAlign w:val="center"/>
          </w:tcPr>
          <w:p w14:paraId="677548BA" w14:textId="77777777" w:rsidR="00D170E5" w:rsidRPr="002B55E9" w:rsidRDefault="00EF27AD">
            <w:pPr>
              <w:widowControl/>
              <w:jc w:val="center"/>
              <w:textAlignment w:val="top"/>
              <w:rPr>
                <w:sz w:val="18"/>
                <w:szCs w:val="18"/>
              </w:rPr>
            </w:pPr>
            <w:r w:rsidRPr="002B55E9">
              <w:rPr>
                <w:sz w:val="18"/>
                <w:szCs w:val="18"/>
                <w:lang w:bidi="ar"/>
              </w:rPr>
              <w:t>9.6</w:t>
            </w:r>
          </w:p>
        </w:tc>
        <w:tc>
          <w:tcPr>
            <w:tcW w:w="517" w:type="dxa"/>
            <w:vAlign w:val="center"/>
          </w:tcPr>
          <w:p w14:paraId="19740321" w14:textId="77777777" w:rsidR="00D170E5" w:rsidRPr="002B55E9" w:rsidRDefault="00EF27AD">
            <w:pPr>
              <w:widowControl/>
              <w:jc w:val="center"/>
              <w:textAlignment w:val="top"/>
              <w:rPr>
                <w:sz w:val="18"/>
                <w:szCs w:val="18"/>
              </w:rPr>
            </w:pPr>
            <w:r w:rsidRPr="002B55E9">
              <w:rPr>
                <w:sz w:val="18"/>
                <w:szCs w:val="18"/>
                <w:lang w:bidi="ar"/>
              </w:rPr>
              <w:t>9.2</w:t>
            </w:r>
          </w:p>
        </w:tc>
        <w:tc>
          <w:tcPr>
            <w:tcW w:w="555" w:type="dxa"/>
            <w:vAlign w:val="center"/>
          </w:tcPr>
          <w:p w14:paraId="12A8D09F" w14:textId="77777777" w:rsidR="00D170E5" w:rsidRPr="002B55E9" w:rsidRDefault="00EF27AD">
            <w:pPr>
              <w:widowControl/>
              <w:jc w:val="center"/>
              <w:textAlignment w:val="top"/>
              <w:rPr>
                <w:sz w:val="18"/>
                <w:szCs w:val="18"/>
              </w:rPr>
            </w:pPr>
            <w:r w:rsidRPr="002B55E9">
              <w:rPr>
                <w:sz w:val="18"/>
                <w:szCs w:val="18"/>
                <w:lang w:bidi="ar"/>
              </w:rPr>
              <w:t>5.8</w:t>
            </w:r>
          </w:p>
        </w:tc>
        <w:tc>
          <w:tcPr>
            <w:tcW w:w="432" w:type="dxa"/>
            <w:vAlign w:val="center"/>
          </w:tcPr>
          <w:p w14:paraId="7158301C" w14:textId="77777777" w:rsidR="00D170E5" w:rsidRPr="002B55E9" w:rsidRDefault="00EF27AD">
            <w:pPr>
              <w:widowControl/>
              <w:jc w:val="center"/>
              <w:textAlignment w:val="top"/>
              <w:rPr>
                <w:sz w:val="18"/>
                <w:szCs w:val="18"/>
              </w:rPr>
            </w:pPr>
            <w:r w:rsidRPr="002B55E9">
              <w:rPr>
                <w:sz w:val="18"/>
                <w:szCs w:val="18"/>
                <w:lang w:bidi="ar"/>
              </w:rPr>
              <w:t>7.1</w:t>
            </w:r>
          </w:p>
        </w:tc>
        <w:tc>
          <w:tcPr>
            <w:tcW w:w="524" w:type="dxa"/>
            <w:vAlign w:val="center"/>
          </w:tcPr>
          <w:p w14:paraId="5F3AA5E5" w14:textId="77777777" w:rsidR="00D170E5" w:rsidRPr="002B55E9" w:rsidRDefault="00EF27AD">
            <w:pPr>
              <w:widowControl/>
              <w:jc w:val="center"/>
              <w:textAlignment w:val="top"/>
              <w:rPr>
                <w:sz w:val="18"/>
                <w:szCs w:val="18"/>
              </w:rPr>
            </w:pPr>
            <w:r w:rsidRPr="002B55E9">
              <w:rPr>
                <w:sz w:val="18"/>
                <w:szCs w:val="18"/>
                <w:lang w:bidi="ar"/>
              </w:rPr>
              <w:t>7.8</w:t>
            </w:r>
          </w:p>
        </w:tc>
        <w:tc>
          <w:tcPr>
            <w:tcW w:w="432" w:type="dxa"/>
            <w:vAlign w:val="center"/>
          </w:tcPr>
          <w:p w14:paraId="67FB289E" w14:textId="77777777" w:rsidR="00D170E5" w:rsidRPr="002B55E9" w:rsidRDefault="00EF27AD">
            <w:pPr>
              <w:widowControl/>
              <w:jc w:val="center"/>
              <w:textAlignment w:val="top"/>
              <w:rPr>
                <w:sz w:val="18"/>
                <w:szCs w:val="18"/>
              </w:rPr>
            </w:pPr>
            <w:r w:rsidRPr="002B55E9">
              <w:rPr>
                <w:sz w:val="18"/>
                <w:szCs w:val="18"/>
                <w:lang w:bidi="ar"/>
              </w:rPr>
              <w:t>6.1</w:t>
            </w:r>
          </w:p>
        </w:tc>
        <w:tc>
          <w:tcPr>
            <w:tcW w:w="513" w:type="dxa"/>
            <w:vAlign w:val="center"/>
          </w:tcPr>
          <w:p w14:paraId="29521ADA" w14:textId="77777777" w:rsidR="00D170E5" w:rsidRPr="002B55E9" w:rsidRDefault="00EF27AD">
            <w:pPr>
              <w:widowControl/>
              <w:jc w:val="center"/>
              <w:textAlignment w:val="top"/>
              <w:rPr>
                <w:sz w:val="18"/>
                <w:szCs w:val="18"/>
              </w:rPr>
            </w:pPr>
            <w:r w:rsidRPr="002B55E9">
              <w:rPr>
                <w:sz w:val="18"/>
                <w:szCs w:val="18"/>
                <w:lang w:bidi="ar"/>
              </w:rPr>
              <w:t>4.2</w:t>
            </w:r>
          </w:p>
        </w:tc>
        <w:tc>
          <w:tcPr>
            <w:tcW w:w="432" w:type="dxa"/>
            <w:vAlign w:val="center"/>
          </w:tcPr>
          <w:p w14:paraId="4DDCF4C9" w14:textId="77777777" w:rsidR="00D170E5" w:rsidRPr="002B55E9" w:rsidRDefault="00EF27AD">
            <w:pPr>
              <w:widowControl/>
              <w:jc w:val="center"/>
              <w:textAlignment w:val="top"/>
              <w:rPr>
                <w:sz w:val="18"/>
                <w:szCs w:val="18"/>
              </w:rPr>
            </w:pPr>
            <w:r w:rsidRPr="002B55E9">
              <w:rPr>
                <w:sz w:val="18"/>
                <w:szCs w:val="18"/>
                <w:lang w:bidi="ar"/>
              </w:rPr>
              <w:t>4.7</w:t>
            </w:r>
          </w:p>
        </w:tc>
        <w:tc>
          <w:tcPr>
            <w:tcW w:w="574" w:type="dxa"/>
            <w:vAlign w:val="center"/>
          </w:tcPr>
          <w:p w14:paraId="30A7A9D3" w14:textId="77777777" w:rsidR="00D170E5" w:rsidRPr="002B55E9" w:rsidRDefault="00EF27AD">
            <w:pPr>
              <w:widowControl/>
              <w:jc w:val="center"/>
              <w:textAlignment w:val="top"/>
              <w:rPr>
                <w:sz w:val="18"/>
                <w:szCs w:val="18"/>
              </w:rPr>
            </w:pPr>
            <w:r w:rsidRPr="002B55E9">
              <w:rPr>
                <w:sz w:val="18"/>
                <w:szCs w:val="18"/>
                <w:lang w:bidi="ar"/>
              </w:rPr>
              <w:t>4.3</w:t>
            </w:r>
          </w:p>
        </w:tc>
        <w:tc>
          <w:tcPr>
            <w:tcW w:w="476" w:type="dxa"/>
            <w:vAlign w:val="center"/>
          </w:tcPr>
          <w:p w14:paraId="2B2ABF39" w14:textId="77777777" w:rsidR="00D170E5" w:rsidRPr="002B55E9" w:rsidRDefault="00EF27AD">
            <w:pPr>
              <w:widowControl/>
              <w:jc w:val="center"/>
              <w:textAlignment w:val="top"/>
              <w:rPr>
                <w:sz w:val="18"/>
                <w:szCs w:val="18"/>
              </w:rPr>
            </w:pPr>
            <w:r w:rsidRPr="002B55E9">
              <w:rPr>
                <w:sz w:val="18"/>
                <w:szCs w:val="18"/>
                <w:lang w:bidi="ar"/>
              </w:rPr>
              <w:t>4.6</w:t>
            </w:r>
          </w:p>
        </w:tc>
        <w:tc>
          <w:tcPr>
            <w:tcW w:w="642" w:type="dxa"/>
            <w:vAlign w:val="center"/>
          </w:tcPr>
          <w:p w14:paraId="21F6B0B2" w14:textId="77777777" w:rsidR="00D170E5" w:rsidRPr="002B55E9" w:rsidRDefault="00EF27AD">
            <w:pPr>
              <w:widowControl/>
              <w:jc w:val="center"/>
              <w:textAlignment w:val="top"/>
              <w:rPr>
                <w:sz w:val="18"/>
                <w:szCs w:val="18"/>
              </w:rPr>
            </w:pPr>
            <w:r w:rsidRPr="002B55E9">
              <w:rPr>
                <w:sz w:val="18"/>
                <w:szCs w:val="18"/>
                <w:lang w:bidi="ar"/>
              </w:rPr>
              <w:t>3.1</w:t>
            </w:r>
          </w:p>
        </w:tc>
        <w:tc>
          <w:tcPr>
            <w:tcW w:w="432" w:type="dxa"/>
            <w:vAlign w:val="center"/>
          </w:tcPr>
          <w:p w14:paraId="0FE55EFB" w14:textId="77777777" w:rsidR="00D170E5" w:rsidRPr="002B55E9" w:rsidRDefault="00EF27AD">
            <w:pPr>
              <w:widowControl/>
              <w:jc w:val="center"/>
              <w:textAlignment w:val="top"/>
              <w:rPr>
                <w:sz w:val="18"/>
                <w:szCs w:val="18"/>
              </w:rPr>
            </w:pPr>
            <w:r w:rsidRPr="002B55E9">
              <w:rPr>
                <w:sz w:val="18"/>
                <w:szCs w:val="18"/>
                <w:lang w:bidi="ar"/>
              </w:rPr>
              <w:t>4.5</w:t>
            </w:r>
          </w:p>
        </w:tc>
        <w:tc>
          <w:tcPr>
            <w:tcW w:w="671" w:type="dxa"/>
            <w:vAlign w:val="center"/>
          </w:tcPr>
          <w:p w14:paraId="6D796D24" w14:textId="77777777" w:rsidR="00D170E5" w:rsidRPr="002B55E9" w:rsidRDefault="00EF27AD">
            <w:pPr>
              <w:widowControl/>
              <w:jc w:val="center"/>
              <w:textAlignment w:val="top"/>
              <w:rPr>
                <w:sz w:val="18"/>
                <w:szCs w:val="18"/>
              </w:rPr>
            </w:pPr>
            <w:r w:rsidRPr="002B55E9">
              <w:rPr>
                <w:sz w:val="18"/>
                <w:szCs w:val="18"/>
                <w:lang w:bidi="ar"/>
              </w:rPr>
              <w:t>2.0</w:t>
            </w:r>
          </w:p>
        </w:tc>
        <w:tc>
          <w:tcPr>
            <w:tcW w:w="505" w:type="dxa"/>
            <w:vAlign w:val="center"/>
          </w:tcPr>
          <w:p w14:paraId="665CF37D" w14:textId="77777777" w:rsidR="00D170E5" w:rsidRPr="002B55E9" w:rsidRDefault="00EF27AD">
            <w:pPr>
              <w:widowControl/>
              <w:jc w:val="center"/>
              <w:textAlignment w:val="top"/>
              <w:rPr>
                <w:sz w:val="18"/>
                <w:szCs w:val="18"/>
              </w:rPr>
            </w:pPr>
            <w:r w:rsidRPr="002B55E9">
              <w:rPr>
                <w:sz w:val="18"/>
                <w:szCs w:val="18"/>
                <w:lang w:bidi="ar"/>
              </w:rPr>
              <w:t>3.1</w:t>
            </w:r>
          </w:p>
        </w:tc>
        <w:tc>
          <w:tcPr>
            <w:tcW w:w="551" w:type="dxa"/>
            <w:vAlign w:val="center"/>
          </w:tcPr>
          <w:p w14:paraId="16F5F487" w14:textId="77777777" w:rsidR="00D170E5" w:rsidRPr="002B55E9" w:rsidRDefault="00EF27AD">
            <w:pPr>
              <w:widowControl/>
              <w:jc w:val="center"/>
              <w:textAlignment w:val="top"/>
              <w:rPr>
                <w:sz w:val="18"/>
                <w:szCs w:val="18"/>
              </w:rPr>
            </w:pPr>
            <w:r w:rsidRPr="002B55E9">
              <w:rPr>
                <w:sz w:val="18"/>
                <w:szCs w:val="18"/>
                <w:lang w:bidi="ar"/>
              </w:rPr>
              <w:t>6.4</w:t>
            </w:r>
          </w:p>
        </w:tc>
        <w:tc>
          <w:tcPr>
            <w:tcW w:w="601" w:type="dxa"/>
            <w:vAlign w:val="center"/>
          </w:tcPr>
          <w:p w14:paraId="74B2AB04" w14:textId="77777777" w:rsidR="00D170E5" w:rsidRPr="002B55E9" w:rsidRDefault="00EF27AD">
            <w:pPr>
              <w:widowControl/>
              <w:jc w:val="center"/>
              <w:textAlignment w:val="top"/>
              <w:rPr>
                <w:sz w:val="18"/>
                <w:szCs w:val="18"/>
              </w:rPr>
            </w:pPr>
            <w:r w:rsidRPr="002B55E9">
              <w:rPr>
                <w:rStyle w:val="font21"/>
                <w:color w:val="auto"/>
                <w:lang w:bidi="ar"/>
              </w:rPr>
              <w:t>11.0</w:t>
            </w:r>
          </w:p>
        </w:tc>
      </w:tr>
      <w:tr w:rsidR="002B55E9" w:rsidRPr="002B55E9" w14:paraId="121004CC" w14:textId="77777777">
        <w:trPr>
          <w:trHeight w:val="255"/>
          <w:jc w:val="center"/>
        </w:trPr>
        <w:tc>
          <w:tcPr>
            <w:tcW w:w="691" w:type="dxa"/>
            <w:vAlign w:val="center"/>
          </w:tcPr>
          <w:p w14:paraId="12620AA0" w14:textId="77777777" w:rsidR="00D170E5" w:rsidRPr="002B55E9" w:rsidRDefault="00EF27AD">
            <w:pPr>
              <w:jc w:val="center"/>
              <w:rPr>
                <w:sz w:val="18"/>
                <w:szCs w:val="18"/>
              </w:rPr>
            </w:pPr>
            <w:r w:rsidRPr="002B55E9">
              <w:rPr>
                <w:sz w:val="18"/>
                <w:szCs w:val="18"/>
              </w:rPr>
              <w:t>五月</w:t>
            </w:r>
          </w:p>
        </w:tc>
        <w:tc>
          <w:tcPr>
            <w:tcW w:w="517" w:type="dxa"/>
            <w:vAlign w:val="center"/>
          </w:tcPr>
          <w:p w14:paraId="563E525F" w14:textId="77777777" w:rsidR="00D170E5" w:rsidRPr="002B55E9" w:rsidRDefault="00EF27AD">
            <w:pPr>
              <w:widowControl/>
              <w:jc w:val="center"/>
              <w:textAlignment w:val="top"/>
              <w:rPr>
                <w:sz w:val="18"/>
                <w:szCs w:val="18"/>
              </w:rPr>
            </w:pPr>
            <w:r w:rsidRPr="002B55E9">
              <w:rPr>
                <w:sz w:val="18"/>
                <w:szCs w:val="18"/>
                <w:lang w:bidi="ar"/>
              </w:rPr>
              <w:t>6.6</w:t>
            </w:r>
          </w:p>
        </w:tc>
        <w:tc>
          <w:tcPr>
            <w:tcW w:w="572" w:type="dxa"/>
            <w:vAlign w:val="center"/>
          </w:tcPr>
          <w:p w14:paraId="2FEAF3D5" w14:textId="77777777" w:rsidR="00D170E5" w:rsidRPr="002B55E9" w:rsidRDefault="00EF27AD">
            <w:pPr>
              <w:widowControl/>
              <w:jc w:val="center"/>
              <w:textAlignment w:val="top"/>
              <w:rPr>
                <w:sz w:val="18"/>
                <w:szCs w:val="18"/>
              </w:rPr>
            </w:pPr>
            <w:r w:rsidRPr="002B55E9">
              <w:rPr>
                <w:sz w:val="18"/>
                <w:szCs w:val="18"/>
                <w:lang w:bidi="ar"/>
              </w:rPr>
              <w:t>7.8</w:t>
            </w:r>
          </w:p>
        </w:tc>
        <w:tc>
          <w:tcPr>
            <w:tcW w:w="517" w:type="dxa"/>
            <w:vAlign w:val="center"/>
          </w:tcPr>
          <w:p w14:paraId="63990CBE" w14:textId="77777777" w:rsidR="00D170E5" w:rsidRPr="002B55E9" w:rsidRDefault="00EF27AD">
            <w:pPr>
              <w:widowControl/>
              <w:jc w:val="center"/>
              <w:textAlignment w:val="top"/>
              <w:rPr>
                <w:sz w:val="18"/>
                <w:szCs w:val="18"/>
              </w:rPr>
            </w:pPr>
            <w:r w:rsidRPr="002B55E9">
              <w:rPr>
                <w:sz w:val="18"/>
                <w:szCs w:val="18"/>
                <w:lang w:bidi="ar"/>
              </w:rPr>
              <w:t>8.7</w:t>
            </w:r>
          </w:p>
        </w:tc>
        <w:tc>
          <w:tcPr>
            <w:tcW w:w="555" w:type="dxa"/>
            <w:vAlign w:val="center"/>
          </w:tcPr>
          <w:p w14:paraId="018AB11D" w14:textId="77777777" w:rsidR="00D170E5" w:rsidRPr="002B55E9" w:rsidRDefault="00EF27AD">
            <w:pPr>
              <w:widowControl/>
              <w:jc w:val="center"/>
              <w:textAlignment w:val="top"/>
              <w:rPr>
                <w:sz w:val="18"/>
                <w:szCs w:val="18"/>
              </w:rPr>
            </w:pPr>
            <w:r w:rsidRPr="002B55E9">
              <w:rPr>
                <w:sz w:val="18"/>
                <w:szCs w:val="18"/>
                <w:lang w:bidi="ar"/>
              </w:rPr>
              <w:t>6.2</w:t>
            </w:r>
          </w:p>
        </w:tc>
        <w:tc>
          <w:tcPr>
            <w:tcW w:w="432" w:type="dxa"/>
            <w:vAlign w:val="center"/>
          </w:tcPr>
          <w:p w14:paraId="40B96214" w14:textId="77777777" w:rsidR="00D170E5" w:rsidRPr="002B55E9" w:rsidRDefault="00EF27AD">
            <w:pPr>
              <w:widowControl/>
              <w:jc w:val="center"/>
              <w:textAlignment w:val="top"/>
              <w:rPr>
                <w:sz w:val="18"/>
                <w:szCs w:val="18"/>
              </w:rPr>
            </w:pPr>
            <w:r w:rsidRPr="002B55E9">
              <w:rPr>
                <w:sz w:val="18"/>
                <w:szCs w:val="18"/>
                <w:lang w:bidi="ar"/>
              </w:rPr>
              <w:t>6.2</w:t>
            </w:r>
          </w:p>
        </w:tc>
        <w:tc>
          <w:tcPr>
            <w:tcW w:w="524" w:type="dxa"/>
            <w:vAlign w:val="center"/>
          </w:tcPr>
          <w:p w14:paraId="22F46A1E" w14:textId="77777777" w:rsidR="00D170E5" w:rsidRPr="002B55E9" w:rsidRDefault="00EF27AD">
            <w:pPr>
              <w:widowControl/>
              <w:jc w:val="center"/>
              <w:textAlignment w:val="top"/>
              <w:rPr>
                <w:sz w:val="18"/>
                <w:szCs w:val="18"/>
              </w:rPr>
            </w:pPr>
            <w:r w:rsidRPr="002B55E9">
              <w:rPr>
                <w:sz w:val="18"/>
                <w:szCs w:val="18"/>
                <w:lang w:bidi="ar"/>
              </w:rPr>
              <w:t>7.0</w:t>
            </w:r>
          </w:p>
        </w:tc>
        <w:tc>
          <w:tcPr>
            <w:tcW w:w="432" w:type="dxa"/>
            <w:vAlign w:val="center"/>
          </w:tcPr>
          <w:p w14:paraId="1597BF77" w14:textId="77777777" w:rsidR="00D170E5" w:rsidRPr="002B55E9" w:rsidRDefault="00EF27AD">
            <w:pPr>
              <w:widowControl/>
              <w:jc w:val="center"/>
              <w:textAlignment w:val="top"/>
              <w:rPr>
                <w:sz w:val="18"/>
                <w:szCs w:val="18"/>
              </w:rPr>
            </w:pPr>
            <w:r w:rsidRPr="002B55E9">
              <w:rPr>
                <w:sz w:val="18"/>
                <w:szCs w:val="18"/>
                <w:lang w:bidi="ar"/>
              </w:rPr>
              <w:t>5.7</w:t>
            </w:r>
          </w:p>
        </w:tc>
        <w:tc>
          <w:tcPr>
            <w:tcW w:w="513" w:type="dxa"/>
            <w:vAlign w:val="center"/>
          </w:tcPr>
          <w:p w14:paraId="79990567" w14:textId="77777777" w:rsidR="00D170E5" w:rsidRPr="002B55E9" w:rsidRDefault="00EF27AD">
            <w:pPr>
              <w:widowControl/>
              <w:jc w:val="center"/>
              <w:textAlignment w:val="top"/>
              <w:rPr>
                <w:sz w:val="18"/>
                <w:szCs w:val="18"/>
              </w:rPr>
            </w:pPr>
            <w:r w:rsidRPr="002B55E9">
              <w:rPr>
                <w:sz w:val="18"/>
                <w:szCs w:val="18"/>
                <w:lang w:bidi="ar"/>
              </w:rPr>
              <w:t>4.4</w:t>
            </w:r>
          </w:p>
        </w:tc>
        <w:tc>
          <w:tcPr>
            <w:tcW w:w="432" w:type="dxa"/>
            <w:vAlign w:val="center"/>
          </w:tcPr>
          <w:p w14:paraId="7E714410" w14:textId="77777777" w:rsidR="00D170E5" w:rsidRPr="002B55E9" w:rsidRDefault="00EF27AD">
            <w:pPr>
              <w:widowControl/>
              <w:jc w:val="center"/>
              <w:textAlignment w:val="top"/>
              <w:rPr>
                <w:sz w:val="18"/>
                <w:szCs w:val="18"/>
              </w:rPr>
            </w:pPr>
            <w:r w:rsidRPr="002B55E9">
              <w:rPr>
                <w:sz w:val="18"/>
                <w:szCs w:val="18"/>
                <w:lang w:bidi="ar"/>
              </w:rPr>
              <w:t>4.9</w:t>
            </w:r>
          </w:p>
        </w:tc>
        <w:tc>
          <w:tcPr>
            <w:tcW w:w="574" w:type="dxa"/>
            <w:vAlign w:val="center"/>
          </w:tcPr>
          <w:p w14:paraId="5A4D1F8F" w14:textId="77777777" w:rsidR="00D170E5" w:rsidRPr="002B55E9" w:rsidRDefault="00EF27AD">
            <w:pPr>
              <w:widowControl/>
              <w:jc w:val="center"/>
              <w:textAlignment w:val="top"/>
              <w:rPr>
                <w:sz w:val="18"/>
                <w:szCs w:val="18"/>
              </w:rPr>
            </w:pPr>
            <w:r w:rsidRPr="002B55E9">
              <w:rPr>
                <w:sz w:val="18"/>
                <w:szCs w:val="18"/>
                <w:lang w:bidi="ar"/>
              </w:rPr>
              <w:t>5.3</w:t>
            </w:r>
          </w:p>
        </w:tc>
        <w:tc>
          <w:tcPr>
            <w:tcW w:w="476" w:type="dxa"/>
            <w:vAlign w:val="center"/>
          </w:tcPr>
          <w:p w14:paraId="5BC093A1" w14:textId="77777777" w:rsidR="00D170E5" w:rsidRPr="002B55E9" w:rsidRDefault="00EF27AD">
            <w:pPr>
              <w:widowControl/>
              <w:jc w:val="center"/>
              <w:textAlignment w:val="top"/>
              <w:rPr>
                <w:sz w:val="18"/>
                <w:szCs w:val="18"/>
              </w:rPr>
            </w:pPr>
            <w:r w:rsidRPr="002B55E9">
              <w:rPr>
                <w:sz w:val="18"/>
                <w:szCs w:val="18"/>
                <w:lang w:bidi="ar"/>
              </w:rPr>
              <w:t>3.3</w:t>
            </w:r>
          </w:p>
        </w:tc>
        <w:tc>
          <w:tcPr>
            <w:tcW w:w="642" w:type="dxa"/>
            <w:vAlign w:val="center"/>
          </w:tcPr>
          <w:p w14:paraId="05EC69CC" w14:textId="77777777" w:rsidR="00D170E5" w:rsidRPr="002B55E9" w:rsidRDefault="00EF27AD">
            <w:pPr>
              <w:widowControl/>
              <w:jc w:val="center"/>
              <w:textAlignment w:val="top"/>
              <w:rPr>
                <w:sz w:val="18"/>
                <w:szCs w:val="18"/>
              </w:rPr>
            </w:pPr>
            <w:r w:rsidRPr="002B55E9">
              <w:rPr>
                <w:sz w:val="18"/>
                <w:szCs w:val="18"/>
                <w:lang w:bidi="ar"/>
              </w:rPr>
              <w:t>3.6</w:t>
            </w:r>
          </w:p>
        </w:tc>
        <w:tc>
          <w:tcPr>
            <w:tcW w:w="432" w:type="dxa"/>
            <w:vAlign w:val="center"/>
          </w:tcPr>
          <w:p w14:paraId="59A37693" w14:textId="77777777" w:rsidR="00D170E5" w:rsidRPr="002B55E9" w:rsidRDefault="00EF27AD">
            <w:pPr>
              <w:widowControl/>
              <w:jc w:val="center"/>
              <w:textAlignment w:val="top"/>
              <w:rPr>
                <w:sz w:val="18"/>
                <w:szCs w:val="18"/>
              </w:rPr>
            </w:pPr>
            <w:r w:rsidRPr="002B55E9">
              <w:rPr>
                <w:sz w:val="18"/>
                <w:szCs w:val="18"/>
                <w:lang w:bidi="ar"/>
              </w:rPr>
              <w:t>4.9</w:t>
            </w:r>
          </w:p>
        </w:tc>
        <w:tc>
          <w:tcPr>
            <w:tcW w:w="671" w:type="dxa"/>
            <w:vAlign w:val="center"/>
          </w:tcPr>
          <w:p w14:paraId="6F08B978" w14:textId="77777777" w:rsidR="00D170E5" w:rsidRPr="002B55E9" w:rsidRDefault="00EF27AD">
            <w:pPr>
              <w:widowControl/>
              <w:jc w:val="center"/>
              <w:textAlignment w:val="top"/>
              <w:rPr>
                <w:sz w:val="18"/>
                <w:szCs w:val="18"/>
              </w:rPr>
            </w:pPr>
            <w:r w:rsidRPr="002B55E9">
              <w:rPr>
                <w:sz w:val="18"/>
                <w:szCs w:val="18"/>
                <w:lang w:bidi="ar"/>
              </w:rPr>
              <w:t>2.8</w:t>
            </w:r>
          </w:p>
        </w:tc>
        <w:tc>
          <w:tcPr>
            <w:tcW w:w="505" w:type="dxa"/>
            <w:vAlign w:val="center"/>
          </w:tcPr>
          <w:p w14:paraId="3CC02927" w14:textId="77777777" w:rsidR="00D170E5" w:rsidRPr="002B55E9" w:rsidRDefault="00EF27AD">
            <w:pPr>
              <w:widowControl/>
              <w:jc w:val="center"/>
              <w:textAlignment w:val="top"/>
              <w:rPr>
                <w:sz w:val="18"/>
                <w:szCs w:val="18"/>
              </w:rPr>
            </w:pPr>
            <w:r w:rsidRPr="002B55E9">
              <w:rPr>
                <w:sz w:val="18"/>
                <w:szCs w:val="18"/>
                <w:lang w:bidi="ar"/>
              </w:rPr>
              <w:t>3.8</w:t>
            </w:r>
          </w:p>
        </w:tc>
        <w:tc>
          <w:tcPr>
            <w:tcW w:w="551" w:type="dxa"/>
            <w:vAlign w:val="center"/>
          </w:tcPr>
          <w:p w14:paraId="32F7A10C" w14:textId="77777777" w:rsidR="00D170E5" w:rsidRPr="002B55E9" w:rsidRDefault="00EF27AD">
            <w:pPr>
              <w:widowControl/>
              <w:jc w:val="center"/>
              <w:textAlignment w:val="top"/>
              <w:rPr>
                <w:sz w:val="18"/>
                <w:szCs w:val="18"/>
              </w:rPr>
            </w:pPr>
            <w:r w:rsidRPr="002B55E9">
              <w:rPr>
                <w:sz w:val="18"/>
                <w:szCs w:val="18"/>
                <w:lang w:bidi="ar"/>
              </w:rPr>
              <w:t>5.9</w:t>
            </w:r>
          </w:p>
        </w:tc>
        <w:tc>
          <w:tcPr>
            <w:tcW w:w="601" w:type="dxa"/>
            <w:vAlign w:val="center"/>
          </w:tcPr>
          <w:p w14:paraId="60EA2811" w14:textId="77777777" w:rsidR="00D170E5" w:rsidRPr="002B55E9" w:rsidRDefault="00EF27AD">
            <w:pPr>
              <w:widowControl/>
              <w:jc w:val="center"/>
              <w:textAlignment w:val="top"/>
              <w:rPr>
                <w:sz w:val="18"/>
                <w:szCs w:val="18"/>
              </w:rPr>
            </w:pPr>
            <w:r w:rsidRPr="002B55E9">
              <w:rPr>
                <w:rStyle w:val="font21"/>
                <w:color w:val="auto"/>
                <w:lang w:bidi="ar"/>
              </w:rPr>
              <w:t>12.9</w:t>
            </w:r>
          </w:p>
        </w:tc>
      </w:tr>
      <w:tr w:rsidR="002B55E9" w:rsidRPr="002B55E9" w14:paraId="1988D898" w14:textId="77777777">
        <w:trPr>
          <w:trHeight w:val="255"/>
          <w:jc w:val="center"/>
        </w:trPr>
        <w:tc>
          <w:tcPr>
            <w:tcW w:w="691" w:type="dxa"/>
            <w:vAlign w:val="center"/>
          </w:tcPr>
          <w:p w14:paraId="0B94B9D0" w14:textId="77777777" w:rsidR="00D170E5" w:rsidRPr="002B55E9" w:rsidRDefault="00EF27AD">
            <w:pPr>
              <w:jc w:val="center"/>
              <w:rPr>
                <w:sz w:val="18"/>
                <w:szCs w:val="18"/>
              </w:rPr>
            </w:pPr>
            <w:r w:rsidRPr="002B55E9">
              <w:rPr>
                <w:sz w:val="18"/>
                <w:szCs w:val="18"/>
              </w:rPr>
              <w:t>六月</w:t>
            </w:r>
          </w:p>
        </w:tc>
        <w:tc>
          <w:tcPr>
            <w:tcW w:w="517" w:type="dxa"/>
            <w:vAlign w:val="center"/>
          </w:tcPr>
          <w:p w14:paraId="63A920C6" w14:textId="77777777" w:rsidR="00D170E5" w:rsidRPr="002B55E9" w:rsidRDefault="00EF27AD">
            <w:pPr>
              <w:widowControl/>
              <w:jc w:val="center"/>
              <w:textAlignment w:val="top"/>
              <w:rPr>
                <w:sz w:val="18"/>
                <w:szCs w:val="18"/>
              </w:rPr>
            </w:pPr>
            <w:r w:rsidRPr="002B55E9">
              <w:rPr>
                <w:sz w:val="18"/>
                <w:szCs w:val="18"/>
                <w:lang w:bidi="ar"/>
              </w:rPr>
              <w:t>4.6</w:t>
            </w:r>
          </w:p>
        </w:tc>
        <w:tc>
          <w:tcPr>
            <w:tcW w:w="572" w:type="dxa"/>
            <w:vAlign w:val="center"/>
          </w:tcPr>
          <w:p w14:paraId="6A5B3F51" w14:textId="77777777" w:rsidR="00D170E5" w:rsidRPr="002B55E9" w:rsidRDefault="00EF27AD">
            <w:pPr>
              <w:widowControl/>
              <w:jc w:val="center"/>
              <w:textAlignment w:val="top"/>
              <w:rPr>
                <w:sz w:val="18"/>
                <w:szCs w:val="18"/>
              </w:rPr>
            </w:pPr>
            <w:r w:rsidRPr="002B55E9">
              <w:rPr>
                <w:sz w:val="18"/>
                <w:szCs w:val="18"/>
                <w:lang w:bidi="ar"/>
              </w:rPr>
              <w:t>6.4</w:t>
            </w:r>
          </w:p>
        </w:tc>
        <w:tc>
          <w:tcPr>
            <w:tcW w:w="517" w:type="dxa"/>
            <w:vAlign w:val="center"/>
          </w:tcPr>
          <w:p w14:paraId="4998FC23" w14:textId="77777777" w:rsidR="00D170E5" w:rsidRPr="002B55E9" w:rsidRDefault="00EF27AD">
            <w:pPr>
              <w:widowControl/>
              <w:jc w:val="center"/>
              <w:textAlignment w:val="top"/>
              <w:rPr>
                <w:sz w:val="18"/>
                <w:szCs w:val="18"/>
              </w:rPr>
            </w:pPr>
            <w:r w:rsidRPr="002B55E9">
              <w:rPr>
                <w:sz w:val="18"/>
                <w:szCs w:val="18"/>
                <w:lang w:bidi="ar"/>
              </w:rPr>
              <w:t>6.1</w:t>
            </w:r>
          </w:p>
        </w:tc>
        <w:tc>
          <w:tcPr>
            <w:tcW w:w="555" w:type="dxa"/>
            <w:vAlign w:val="center"/>
          </w:tcPr>
          <w:p w14:paraId="0D0DB245" w14:textId="77777777" w:rsidR="00D170E5" w:rsidRPr="002B55E9" w:rsidRDefault="00EF27AD">
            <w:pPr>
              <w:widowControl/>
              <w:jc w:val="center"/>
              <w:textAlignment w:val="top"/>
              <w:rPr>
                <w:sz w:val="18"/>
                <w:szCs w:val="18"/>
              </w:rPr>
            </w:pPr>
            <w:r w:rsidRPr="002B55E9">
              <w:rPr>
                <w:sz w:val="18"/>
                <w:szCs w:val="18"/>
                <w:lang w:bidi="ar"/>
              </w:rPr>
              <w:t>5.5</w:t>
            </w:r>
          </w:p>
        </w:tc>
        <w:tc>
          <w:tcPr>
            <w:tcW w:w="432" w:type="dxa"/>
            <w:vAlign w:val="center"/>
          </w:tcPr>
          <w:p w14:paraId="617CB597" w14:textId="77777777" w:rsidR="00D170E5" w:rsidRPr="002B55E9" w:rsidRDefault="00EF27AD">
            <w:pPr>
              <w:widowControl/>
              <w:jc w:val="center"/>
              <w:textAlignment w:val="top"/>
              <w:rPr>
                <w:sz w:val="18"/>
                <w:szCs w:val="18"/>
              </w:rPr>
            </w:pPr>
            <w:r w:rsidRPr="002B55E9">
              <w:rPr>
                <w:sz w:val="18"/>
                <w:szCs w:val="18"/>
                <w:lang w:bidi="ar"/>
              </w:rPr>
              <w:t>6.8</w:t>
            </w:r>
          </w:p>
        </w:tc>
        <w:tc>
          <w:tcPr>
            <w:tcW w:w="524" w:type="dxa"/>
            <w:vAlign w:val="center"/>
          </w:tcPr>
          <w:p w14:paraId="084F485C" w14:textId="77777777" w:rsidR="00D170E5" w:rsidRPr="002B55E9" w:rsidRDefault="00EF27AD">
            <w:pPr>
              <w:widowControl/>
              <w:jc w:val="center"/>
              <w:textAlignment w:val="top"/>
              <w:rPr>
                <w:sz w:val="18"/>
                <w:szCs w:val="18"/>
              </w:rPr>
            </w:pPr>
            <w:r w:rsidRPr="002B55E9">
              <w:rPr>
                <w:sz w:val="18"/>
                <w:szCs w:val="18"/>
                <w:lang w:bidi="ar"/>
              </w:rPr>
              <w:t>8.8</w:t>
            </w:r>
          </w:p>
        </w:tc>
        <w:tc>
          <w:tcPr>
            <w:tcW w:w="432" w:type="dxa"/>
            <w:vAlign w:val="center"/>
          </w:tcPr>
          <w:p w14:paraId="6497B77A" w14:textId="77777777" w:rsidR="00D170E5" w:rsidRPr="002B55E9" w:rsidRDefault="00EF27AD">
            <w:pPr>
              <w:widowControl/>
              <w:jc w:val="center"/>
              <w:textAlignment w:val="top"/>
              <w:rPr>
                <w:sz w:val="18"/>
                <w:szCs w:val="18"/>
              </w:rPr>
            </w:pPr>
            <w:r w:rsidRPr="002B55E9">
              <w:rPr>
                <w:sz w:val="18"/>
                <w:szCs w:val="18"/>
                <w:lang w:bidi="ar"/>
              </w:rPr>
              <w:t>7.1</w:t>
            </w:r>
          </w:p>
        </w:tc>
        <w:tc>
          <w:tcPr>
            <w:tcW w:w="513" w:type="dxa"/>
            <w:vAlign w:val="center"/>
          </w:tcPr>
          <w:p w14:paraId="2B66BD28" w14:textId="77777777" w:rsidR="00D170E5" w:rsidRPr="002B55E9" w:rsidRDefault="00EF27AD">
            <w:pPr>
              <w:widowControl/>
              <w:jc w:val="center"/>
              <w:textAlignment w:val="top"/>
              <w:rPr>
                <w:sz w:val="18"/>
                <w:szCs w:val="18"/>
              </w:rPr>
            </w:pPr>
            <w:r w:rsidRPr="002B55E9">
              <w:rPr>
                <w:sz w:val="18"/>
                <w:szCs w:val="18"/>
                <w:lang w:bidi="ar"/>
              </w:rPr>
              <w:t>5.4</w:t>
            </w:r>
          </w:p>
        </w:tc>
        <w:tc>
          <w:tcPr>
            <w:tcW w:w="432" w:type="dxa"/>
            <w:vAlign w:val="center"/>
          </w:tcPr>
          <w:p w14:paraId="1F736859" w14:textId="77777777" w:rsidR="00D170E5" w:rsidRPr="002B55E9" w:rsidRDefault="00EF27AD">
            <w:pPr>
              <w:widowControl/>
              <w:jc w:val="center"/>
              <w:textAlignment w:val="top"/>
              <w:rPr>
                <w:sz w:val="18"/>
                <w:szCs w:val="18"/>
              </w:rPr>
            </w:pPr>
            <w:r w:rsidRPr="002B55E9">
              <w:rPr>
                <w:sz w:val="18"/>
                <w:szCs w:val="18"/>
                <w:lang w:bidi="ar"/>
              </w:rPr>
              <w:t>6.5</w:t>
            </w:r>
          </w:p>
        </w:tc>
        <w:tc>
          <w:tcPr>
            <w:tcW w:w="574" w:type="dxa"/>
            <w:vAlign w:val="center"/>
          </w:tcPr>
          <w:p w14:paraId="2976D661" w14:textId="77777777" w:rsidR="00D170E5" w:rsidRPr="002B55E9" w:rsidRDefault="00EF27AD">
            <w:pPr>
              <w:widowControl/>
              <w:jc w:val="center"/>
              <w:textAlignment w:val="top"/>
              <w:rPr>
                <w:sz w:val="18"/>
                <w:szCs w:val="18"/>
              </w:rPr>
            </w:pPr>
            <w:r w:rsidRPr="002B55E9">
              <w:rPr>
                <w:sz w:val="18"/>
                <w:szCs w:val="18"/>
                <w:lang w:bidi="ar"/>
              </w:rPr>
              <w:t>6.0</w:t>
            </w:r>
          </w:p>
        </w:tc>
        <w:tc>
          <w:tcPr>
            <w:tcW w:w="476" w:type="dxa"/>
            <w:vAlign w:val="center"/>
          </w:tcPr>
          <w:p w14:paraId="4F0B1BFB" w14:textId="77777777" w:rsidR="00D170E5" w:rsidRPr="002B55E9" w:rsidRDefault="00EF27AD">
            <w:pPr>
              <w:widowControl/>
              <w:jc w:val="center"/>
              <w:textAlignment w:val="top"/>
              <w:rPr>
                <w:sz w:val="18"/>
                <w:szCs w:val="18"/>
              </w:rPr>
            </w:pPr>
            <w:r w:rsidRPr="002B55E9">
              <w:rPr>
                <w:sz w:val="18"/>
                <w:szCs w:val="18"/>
                <w:lang w:bidi="ar"/>
              </w:rPr>
              <w:t>4.9</w:t>
            </w:r>
          </w:p>
        </w:tc>
        <w:tc>
          <w:tcPr>
            <w:tcW w:w="642" w:type="dxa"/>
            <w:vAlign w:val="center"/>
          </w:tcPr>
          <w:p w14:paraId="783D56BB" w14:textId="77777777" w:rsidR="00D170E5" w:rsidRPr="002B55E9" w:rsidRDefault="00EF27AD">
            <w:pPr>
              <w:widowControl/>
              <w:jc w:val="center"/>
              <w:textAlignment w:val="top"/>
              <w:rPr>
                <w:sz w:val="18"/>
                <w:szCs w:val="18"/>
              </w:rPr>
            </w:pPr>
            <w:r w:rsidRPr="002B55E9">
              <w:rPr>
                <w:sz w:val="18"/>
                <w:szCs w:val="18"/>
                <w:lang w:bidi="ar"/>
              </w:rPr>
              <w:t>4.8</w:t>
            </w:r>
          </w:p>
        </w:tc>
        <w:tc>
          <w:tcPr>
            <w:tcW w:w="432" w:type="dxa"/>
            <w:vAlign w:val="center"/>
          </w:tcPr>
          <w:p w14:paraId="64352903" w14:textId="77777777" w:rsidR="00D170E5" w:rsidRPr="002B55E9" w:rsidRDefault="00EF27AD">
            <w:pPr>
              <w:widowControl/>
              <w:jc w:val="center"/>
              <w:textAlignment w:val="top"/>
              <w:rPr>
                <w:sz w:val="18"/>
                <w:szCs w:val="18"/>
              </w:rPr>
            </w:pPr>
            <w:r w:rsidRPr="002B55E9">
              <w:rPr>
                <w:sz w:val="18"/>
                <w:szCs w:val="18"/>
                <w:lang w:bidi="ar"/>
              </w:rPr>
              <w:t>5.4</w:t>
            </w:r>
          </w:p>
        </w:tc>
        <w:tc>
          <w:tcPr>
            <w:tcW w:w="671" w:type="dxa"/>
            <w:vAlign w:val="center"/>
          </w:tcPr>
          <w:p w14:paraId="66733347" w14:textId="77777777" w:rsidR="00D170E5" w:rsidRPr="002B55E9" w:rsidRDefault="00EF27AD">
            <w:pPr>
              <w:widowControl/>
              <w:jc w:val="center"/>
              <w:textAlignment w:val="top"/>
              <w:rPr>
                <w:sz w:val="18"/>
                <w:szCs w:val="18"/>
              </w:rPr>
            </w:pPr>
            <w:r w:rsidRPr="002B55E9">
              <w:rPr>
                <w:sz w:val="18"/>
                <w:szCs w:val="18"/>
                <w:lang w:bidi="ar"/>
              </w:rPr>
              <w:t>3.4</w:t>
            </w:r>
          </w:p>
        </w:tc>
        <w:tc>
          <w:tcPr>
            <w:tcW w:w="505" w:type="dxa"/>
            <w:vAlign w:val="center"/>
          </w:tcPr>
          <w:p w14:paraId="6C8306CD" w14:textId="77777777" w:rsidR="00D170E5" w:rsidRPr="002B55E9" w:rsidRDefault="00EF27AD">
            <w:pPr>
              <w:widowControl/>
              <w:jc w:val="center"/>
              <w:textAlignment w:val="top"/>
              <w:rPr>
                <w:sz w:val="18"/>
                <w:szCs w:val="18"/>
              </w:rPr>
            </w:pPr>
            <w:r w:rsidRPr="002B55E9">
              <w:rPr>
                <w:sz w:val="18"/>
                <w:szCs w:val="18"/>
                <w:lang w:bidi="ar"/>
              </w:rPr>
              <w:t>2.4</w:t>
            </w:r>
          </w:p>
        </w:tc>
        <w:tc>
          <w:tcPr>
            <w:tcW w:w="551" w:type="dxa"/>
            <w:vAlign w:val="center"/>
          </w:tcPr>
          <w:p w14:paraId="79A8E8C5" w14:textId="77777777" w:rsidR="00D170E5" w:rsidRPr="002B55E9" w:rsidRDefault="00EF27AD">
            <w:pPr>
              <w:widowControl/>
              <w:jc w:val="center"/>
              <w:textAlignment w:val="top"/>
              <w:rPr>
                <w:sz w:val="18"/>
                <w:szCs w:val="18"/>
              </w:rPr>
            </w:pPr>
            <w:r w:rsidRPr="002B55E9">
              <w:rPr>
                <w:sz w:val="18"/>
                <w:szCs w:val="18"/>
                <w:lang w:bidi="ar"/>
              </w:rPr>
              <w:t>4.0</w:t>
            </w:r>
          </w:p>
        </w:tc>
        <w:tc>
          <w:tcPr>
            <w:tcW w:w="601" w:type="dxa"/>
            <w:vAlign w:val="center"/>
          </w:tcPr>
          <w:p w14:paraId="5FF6C8F9" w14:textId="77777777" w:rsidR="00D170E5" w:rsidRPr="002B55E9" w:rsidRDefault="00EF27AD">
            <w:pPr>
              <w:widowControl/>
              <w:jc w:val="center"/>
              <w:textAlignment w:val="top"/>
              <w:rPr>
                <w:sz w:val="18"/>
                <w:szCs w:val="18"/>
              </w:rPr>
            </w:pPr>
            <w:r w:rsidRPr="002B55E9">
              <w:rPr>
                <w:rStyle w:val="font21"/>
                <w:color w:val="auto"/>
                <w:lang w:bidi="ar"/>
              </w:rPr>
              <w:t>12.0</w:t>
            </w:r>
          </w:p>
        </w:tc>
      </w:tr>
      <w:tr w:rsidR="002B55E9" w:rsidRPr="002B55E9" w14:paraId="2862EA65" w14:textId="77777777">
        <w:trPr>
          <w:trHeight w:val="255"/>
          <w:jc w:val="center"/>
        </w:trPr>
        <w:tc>
          <w:tcPr>
            <w:tcW w:w="691" w:type="dxa"/>
            <w:vAlign w:val="center"/>
          </w:tcPr>
          <w:p w14:paraId="31E9F46B" w14:textId="77777777" w:rsidR="00D170E5" w:rsidRPr="002B55E9" w:rsidRDefault="00EF27AD">
            <w:pPr>
              <w:jc w:val="center"/>
              <w:rPr>
                <w:sz w:val="18"/>
                <w:szCs w:val="18"/>
              </w:rPr>
            </w:pPr>
            <w:r w:rsidRPr="002B55E9">
              <w:rPr>
                <w:sz w:val="18"/>
                <w:szCs w:val="18"/>
              </w:rPr>
              <w:t>七月</w:t>
            </w:r>
          </w:p>
        </w:tc>
        <w:tc>
          <w:tcPr>
            <w:tcW w:w="517" w:type="dxa"/>
            <w:vAlign w:val="center"/>
          </w:tcPr>
          <w:p w14:paraId="7752855C" w14:textId="77777777" w:rsidR="00D170E5" w:rsidRPr="002B55E9" w:rsidRDefault="00EF27AD">
            <w:pPr>
              <w:widowControl/>
              <w:jc w:val="center"/>
              <w:textAlignment w:val="top"/>
              <w:rPr>
                <w:sz w:val="18"/>
                <w:szCs w:val="18"/>
              </w:rPr>
            </w:pPr>
            <w:r w:rsidRPr="002B55E9">
              <w:rPr>
                <w:sz w:val="18"/>
                <w:szCs w:val="18"/>
                <w:lang w:bidi="ar"/>
              </w:rPr>
              <w:t>3.6</w:t>
            </w:r>
          </w:p>
        </w:tc>
        <w:tc>
          <w:tcPr>
            <w:tcW w:w="572" w:type="dxa"/>
            <w:vAlign w:val="center"/>
          </w:tcPr>
          <w:p w14:paraId="33D3081E" w14:textId="77777777" w:rsidR="00D170E5" w:rsidRPr="002B55E9" w:rsidRDefault="00EF27AD">
            <w:pPr>
              <w:widowControl/>
              <w:jc w:val="center"/>
              <w:textAlignment w:val="top"/>
              <w:rPr>
                <w:sz w:val="18"/>
                <w:szCs w:val="18"/>
              </w:rPr>
            </w:pPr>
            <w:r w:rsidRPr="002B55E9">
              <w:rPr>
                <w:sz w:val="18"/>
                <w:szCs w:val="18"/>
                <w:lang w:bidi="ar"/>
              </w:rPr>
              <w:t>6.8</w:t>
            </w:r>
          </w:p>
        </w:tc>
        <w:tc>
          <w:tcPr>
            <w:tcW w:w="517" w:type="dxa"/>
            <w:vAlign w:val="center"/>
          </w:tcPr>
          <w:p w14:paraId="41EB3DBE" w14:textId="77777777" w:rsidR="00D170E5" w:rsidRPr="002B55E9" w:rsidRDefault="00EF27AD">
            <w:pPr>
              <w:widowControl/>
              <w:jc w:val="center"/>
              <w:textAlignment w:val="top"/>
              <w:rPr>
                <w:sz w:val="18"/>
                <w:szCs w:val="18"/>
              </w:rPr>
            </w:pPr>
            <w:r w:rsidRPr="002B55E9">
              <w:rPr>
                <w:sz w:val="18"/>
                <w:szCs w:val="18"/>
                <w:lang w:bidi="ar"/>
              </w:rPr>
              <w:t>5.9</w:t>
            </w:r>
          </w:p>
        </w:tc>
        <w:tc>
          <w:tcPr>
            <w:tcW w:w="555" w:type="dxa"/>
            <w:vAlign w:val="center"/>
          </w:tcPr>
          <w:p w14:paraId="78AC6980" w14:textId="77777777" w:rsidR="00D170E5" w:rsidRPr="002B55E9" w:rsidRDefault="00EF27AD">
            <w:pPr>
              <w:widowControl/>
              <w:jc w:val="center"/>
              <w:textAlignment w:val="top"/>
              <w:rPr>
                <w:sz w:val="18"/>
                <w:szCs w:val="18"/>
              </w:rPr>
            </w:pPr>
            <w:r w:rsidRPr="002B55E9">
              <w:rPr>
                <w:sz w:val="18"/>
                <w:szCs w:val="18"/>
                <w:lang w:bidi="ar"/>
              </w:rPr>
              <w:t>5.0</w:t>
            </w:r>
          </w:p>
        </w:tc>
        <w:tc>
          <w:tcPr>
            <w:tcW w:w="432" w:type="dxa"/>
            <w:vAlign w:val="center"/>
          </w:tcPr>
          <w:p w14:paraId="09585EA5" w14:textId="77777777" w:rsidR="00D170E5" w:rsidRPr="002B55E9" w:rsidRDefault="00EF27AD">
            <w:pPr>
              <w:widowControl/>
              <w:jc w:val="center"/>
              <w:textAlignment w:val="top"/>
              <w:rPr>
                <w:sz w:val="18"/>
                <w:szCs w:val="18"/>
              </w:rPr>
            </w:pPr>
            <w:r w:rsidRPr="002B55E9">
              <w:rPr>
                <w:sz w:val="18"/>
                <w:szCs w:val="18"/>
                <w:lang w:bidi="ar"/>
              </w:rPr>
              <w:t>4.0</w:t>
            </w:r>
          </w:p>
        </w:tc>
        <w:tc>
          <w:tcPr>
            <w:tcW w:w="524" w:type="dxa"/>
            <w:vAlign w:val="center"/>
          </w:tcPr>
          <w:p w14:paraId="1E339F42" w14:textId="77777777" w:rsidR="00D170E5" w:rsidRPr="002B55E9" w:rsidRDefault="00EF27AD">
            <w:pPr>
              <w:widowControl/>
              <w:jc w:val="center"/>
              <w:textAlignment w:val="top"/>
              <w:rPr>
                <w:sz w:val="18"/>
                <w:szCs w:val="18"/>
              </w:rPr>
            </w:pPr>
            <w:r w:rsidRPr="002B55E9">
              <w:rPr>
                <w:sz w:val="18"/>
                <w:szCs w:val="18"/>
                <w:lang w:bidi="ar"/>
              </w:rPr>
              <w:t>6.4</w:t>
            </w:r>
          </w:p>
        </w:tc>
        <w:tc>
          <w:tcPr>
            <w:tcW w:w="432" w:type="dxa"/>
            <w:vAlign w:val="center"/>
          </w:tcPr>
          <w:p w14:paraId="3D716D1C" w14:textId="77777777" w:rsidR="00D170E5" w:rsidRPr="002B55E9" w:rsidRDefault="00EF27AD">
            <w:pPr>
              <w:widowControl/>
              <w:jc w:val="center"/>
              <w:textAlignment w:val="top"/>
              <w:rPr>
                <w:sz w:val="18"/>
                <w:szCs w:val="18"/>
              </w:rPr>
            </w:pPr>
            <w:r w:rsidRPr="002B55E9">
              <w:rPr>
                <w:sz w:val="18"/>
                <w:szCs w:val="18"/>
                <w:lang w:bidi="ar"/>
              </w:rPr>
              <w:t>6.0</w:t>
            </w:r>
          </w:p>
        </w:tc>
        <w:tc>
          <w:tcPr>
            <w:tcW w:w="513" w:type="dxa"/>
            <w:vAlign w:val="center"/>
          </w:tcPr>
          <w:p w14:paraId="4373A59C" w14:textId="77777777" w:rsidR="00D170E5" w:rsidRPr="002B55E9" w:rsidRDefault="00EF27AD">
            <w:pPr>
              <w:widowControl/>
              <w:jc w:val="center"/>
              <w:textAlignment w:val="top"/>
              <w:rPr>
                <w:sz w:val="18"/>
                <w:szCs w:val="18"/>
              </w:rPr>
            </w:pPr>
            <w:r w:rsidRPr="002B55E9">
              <w:rPr>
                <w:sz w:val="18"/>
                <w:szCs w:val="18"/>
                <w:lang w:bidi="ar"/>
              </w:rPr>
              <w:t>6.7</w:t>
            </w:r>
          </w:p>
        </w:tc>
        <w:tc>
          <w:tcPr>
            <w:tcW w:w="432" w:type="dxa"/>
            <w:vAlign w:val="center"/>
          </w:tcPr>
          <w:p w14:paraId="46A534BA" w14:textId="77777777" w:rsidR="00D170E5" w:rsidRPr="002B55E9" w:rsidRDefault="00EF27AD">
            <w:pPr>
              <w:widowControl/>
              <w:jc w:val="center"/>
              <w:textAlignment w:val="top"/>
              <w:rPr>
                <w:sz w:val="18"/>
                <w:szCs w:val="18"/>
              </w:rPr>
            </w:pPr>
            <w:r w:rsidRPr="002B55E9">
              <w:rPr>
                <w:sz w:val="18"/>
                <w:szCs w:val="18"/>
                <w:lang w:bidi="ar"/>
              </w:rPr>
              <w:t>9.1</w:t>
            </w:r>
          </w:p>
        </w:tc>
        <w:tc>
          <w:tcPr>
            <w:tcW w:w="574" w:type="dxa"/>
            <w:vAlign w:val="center"/>
          </w:tcPr>
          <w:p w14:paraId="4AE4A25B" w14:textId="77777777" w:rsidR="00D170E5" w:rsidRPr="002B55E9" w:rsidRDefault="00EF27AD">
            <w:pPr>
              <w:widowControl/>
              <w:jc w:val="center"/>
              <w:textAlignment w:val="top"/>
              <w:rPr>
                <w:sz w:val="18"/>
                <w:szCs w:val="18"/>
              </w:rPr>
            </w:pPr>
            <w:r w:rsidRPr="002B55E9">
              <w:rPr>
                <w:rStyle w:val="font21"/>
                <w:color w:val="auto"/>
                <w:lang w:bidi="ar"/>
              </w:rPr>
              <w:t>10.7</w:t>
            </w:r>
          </w:p>
        </w:tc>
        <w:tc>
          <w:tcPr>
            <w:tcW w:w="476" w:type="dxa"/>
            <w:vAlign w:val="center"/>
          </w:tcPr>
          <w:p w14:paraId="40354E48" w14:textId="77777777" w:rsidR="00D170E5" w:rsidRPr="002B55E9" w:rsidRDefault="00EF27AD">
            <w:pPr>
              <w:widowControl/>
              <w:jc w:val="center"/>
              <w:textAlignment w:val="top"/>
              <w:rPr>
                <w:sz w:val="18"/>
                <w:szCs w:val="18"/>
              </w:rPr>
            </w:pPr>
            <w:r w:rsidRPr="002B55E9">
              <w:rPr>
                <w:sz w:val="18"/>
                <w:szCs w:val="18"/>
                <w:lang w:bidi="ar"/>
              </w:rPr>
              <w:t>8.5</w:t>
            </w:r>
          </w:p>
        </w:tc>
        <w:tc>
          <w:tcPr>
            <w:tcW w:w="642" w:type="dxa"/>
            <w:vAlign w:val="center"/>
          </w:tcPr>
          <w:p w14:paraId="5808F619" w14:textId="77777777" w:rsidR="00D170E5" w:rsidRPr="002B55E9" w:rsidRDefault="00EF27AD">
            <w:pPr>
              <w:widowControl/>
              <w:jc w:val="center"/>
              <w:textAlignment w:val="top"/>
              <w:rPr>
                <w:sz w:val="18"/>
                <w:szCs w:val="18"/>
              </w:rPr>
            </w:pPr>
            <w:r w:rsidRPr="002B55E9">
              <w:rPr>
                <w:sz w:val="18"/>
                <w:szCs w:val="18"/>
                <w:lang w:bidi="ar"/>
              </w:rPr>
              <w:t>5.0</w:t>
            </w:r>
          </w:p>
        </w:tc>
        <w:tc>
          <w:tcPr>
            <w:tcW w:w="432" w:type="dxa"/>
            <w:vAlign w:val="center"/>
          </w:tcPr>
          <w:p w14:paraId="6AD60408" w14:textId="77777777" w:rsidR="00D170E5" w:rsidRPr="002B55E9" w:rsidRDefault="00EF27AD">
            <w:pPr>
              <w:widowControl/>
              <w:jc w:val="center"/>
              <w:textAlignment w:val="top"/>
              <w:rPr>
                <w:sz w:val="18"/>
                <w:szCs w:val="18"/>
              </w:rPr>
            </w:pPr>
            <w:r w:rsidRPr="002B55E9">
              <w:rPr>
                <w:sz w:val="18"/>
                <w:szCs w:val="18"/>
                <w:lang w:bidi="ar"/>
              </w:rPr>
              <w:t>5.3</w:t>
            </w:r>
          </w:p>
        </w:tc>
        <w:tc>
          <w:tcPr>
            <w:tcW w:w="671" w:type="dxa"/>
            <w:vAlign w:val="center"/>
          </w:tcPr>
          <w:p w14:paraId="2F6596C7" w14:textId="77777777" w:rsidR="00D170E5" w:rsidRPr="002B55E9" w:rsidRDefault="00EF27AD">
            <w:pPr>
              <w:widowControl/>
              <w:jc w:val="center"/>
              <w:textAlignment w:val="top"/>
              <w:rPr>
                <w:sz w:val="18"/>
                <w:szCs w:val="18"/>
              </w:rPr>
            </w:pPr>
            <w:r w:rsidRPr="002B55E9">
              <w:rPr>
                <w:sz w:val="18"/>
                <w:szCs w:val="18"/>
                <w:lang w:bidi="ar"/>
              </w:rPr>
              <w:t>2.3</w:t>
            </w:r>
          </w:p>
        </w:tc>
        <w:tc>
          <w:tcPr>
            <w:tcW w:w="505" w:type="dxa"/>
            <w:vAlign w:val="center"/>
          </w:tcPr>
          <w:p w14:paraId="67560B1C" w14:textId="77777777" w:rsidR="00D170E5" w:rsidRPr="002B55E9" w:rsidRDefault="00EF27AD">
            <w:pPr>
              <w:widowControl/>
              <w:jc w:val="center"/>
              <w:textAlignment w:val="top"/>
              <w:rPr>
                <w:sz w:val="18"/>
                <w:szCs w:val="18"/>
              </w:rPr>
            </w:pPr>
            <w:r w:rsidRPr="002B55E9">
              <w:rPr>
                <w:sz w:val="18"/>
                <w:szCs w:val="18"/>
                <w:lang w:bidi="ar"/>
              </w:rPr>
              <w:t>2.1</w:t>
            </w:r>
          </w:p>
        </w:tc>
        <w:tc>
          <w:tcPr>
            <w:tcW w:w="551" w:type="dxa"/>
            <w:vAlign w:val="center"/>
          </w:tcPr>
          <w:p w14:paraId="6AF52190" w14:textId="77777777" w:rsidR="00D170E5" w:rsidRPr="002B55E9" w:rsidRDefault="00EF27AD">
            <w:pPr>
              <w:widowControl/>
              <w:jc w:val="center"/>
              <w:textAlignment w:val="top"/>
              <w:rPr>
                <w:sz w:val="18"/>
                <w:szCs w:val="18"/>
              </w:rPr>
            </w:pPr>
            <w:r w:rsidRPr="002B55E9">
              <w:rPr>
                <w:sz w:val="18"/>
                <w:szCs w:val="18"/>
                <w:lang w:bidi="ar"/>
              </w:rPr>
              <w:t>4.0</w:t>
            </w:r>
          </w:p>
        </w:tc>
        <w:tc>
          <w:tcPr>
            <w:tcW w:w="601" w:type="dxa"/>
            <w:vAlign w:val="center"/>
          </w:tcPr>
          <w:p w14:paraId="59157CD5" w14:textId="77777777" w:rsidR="00D170E5" w:rsidRPr="002B55E9" w:rsidRDefault="00EF27AD">
            <w:pPr>
              <w:widowControl/>
              <w:jc w:val="center"/>
              <w:textAlignment w:val="top"/>
              <w:rPr>
                <w:sz w:val="18"/>
                <w:szCs w:val="18"/>
              </w:rPr>
            </w:pPr>
            <w:r w:rsidRPr="002B55E9">
              <w:rPr>
                <w:sz w:val="18"/>
                <w:szCs w:val="18"/>
                <w:lang w:bidi="ar"/>
              </w:rPr>
              <w:t>8.5</w:t>
            </w:r>
          </w:p>
        </w:tc>
      </w:tr>
      <w:tr w:rsidR="002B55E9" w:rsidRPr="002B55E9" w14:paraId="4514D82B" w14:textId="77777777">
        <w:trPr>
          <w:trHeight w:val="255"/>
          <w:jc w:val="center"/>
        </w:trPr>
        <w:tc>
          <w:tcPr>
            <w:tcW w:w="691" w:type="dxa"/>
            <w:vAlign w:val="center"/>
          </w:tcPr>
          <w:p w14:paraId="75C6F78F" w14:textId="77777777" w:rsidR="00D170E5" w:rsidRPr="002B55E9" w:rsidRDefault="00EF27AD">
            <w:pPr>
              <w:jc w:val="center"/>
              <w:rPr>
                <w:sz w:val="18"/>
                <w:szCs w:val="18"/>
              </w:rPr>
            </w:pPr>
            <w:r w:rsidRPr="002B55E9">
              <w:rPr>
                <w:sz w:val="18"/>
                <w:szCs w:val="18"/>
              </w:rPr>
              <w:t>八月</w:t>
            </w:r>
          </w:p>
        </w:tc>
        <w:tc>
          <w:tcPr>
            <w:tcW w:w="517" w:type="dxa"/>
            <w:vAlign w:val="center"/>
          </w:tcPr>
          <w:p w14:paraId="6D14251A" w14:textId="77777777" w:rsidR="00D170E5" w:rsidRPr="002B55E9" w:rsidRDefault="00EF27AD">
            <w:pPr>
              <w:widowControl/>
              <w:jc w:val="center"/>
              <w:textAlignment w:val="top"/>
              <w:rPr>
                <w:sz w:val="18"/>
                <w:szCs w:val="18"/>
              </w:rPr>
            </w:pPr>
            <w:r w:rsidRPr="002B55E9">
              <w:rPr>
                <w:sz w:val="18"/>
                <w:szCs w:val="18"/>
                <w:lang w:bidi="ar"/>
              </w:rPr>
              <w:t>8.2</w:t>
            </w:r>
          </w:p>
        </w:tc>
        <w:tc>
          <w:tcPr>
            <w:tcW w:w="572" w:type="dxa"/>
            <w:vAlign w:val="center"/>
          </w:tcPr>
          <w:p w14:paraId="38E055E6" w14:textId="77777777" w:rsidR="00D170E5" w:rsidRPr="002B55E9" w:rsidRDefault="00EF27AD">
            <w:pPr>
              <w:widowControl/>
              <w:jc w:val="center"/>
              <w:textAlignment w:val="top"/>
              <w:rPr>
                <w:sz w:val="18"/>
                <w:szCs w:val="18"/>
              </w:rPr>
            </w:pPr>
            <w:r w:rsidRPr="002B55E9">
              <w:rPr>
                <w:sz w:val="18"/>
                <w:szCs w:val="18"/>
                <w:lang w:bidi="ar"/>
              </w:rPr>
              <w:t>11.2</w:t>
            </w:r>
          </w:p>
        </w:tc>
        <w:tc>
          <w:tcPr>
            <w:tcW w:w="517" w:type="dxa"/>
            <w:vAlign w:val="center"/>
          </w:tcPr>
          <w:p w14:paraId="114C3159" w14:textId="77777777" w:rsidR="00D170E5" w:rsidRPr="002B55E9" w:rsidRDefault="00EF27AD">
            <w:pPr>
              <w:widowControl/>
              <w:jc w:val="center"/>
              <w:textAlignment w:val="top"/>
              <w:rPr>
                <w:sz w:val="18"/>
                <w:szCs w:val="18"/>
              </w:rPr>
            </w:pPr>
            <w:r w:rsidRPr="002B55E9">
              <w:rPr>
                <w:sz w:val="18"/>
                <w:szCs w:val="18"/>
                <w:lang w:bidi="ar"/>
              </w:rPr>
              <w:t>14.2</w:t>
            </w:r>
          </w:p>
        </w:tc>
        <w:tc>
          <w:tcPr>
            <w:tcW w:w="555" w:type="dxa"/>
            <w:vAlign w:val="center"/>
          </w:tcPr>
          <w:p w14:paraId="330DE02D" w14:textId="77777777" w:rsidR="00D170E5" w:rsidRPr="002B55E9" w:rsidRDefault="00EF27AD">
            <w:pPr>
              <w:widowControl/>
              <w:jc w:val="center"/>
              <w:textAlignment w:val="top"/>
              <w:rPr>
                <w:sz w:val="18"/>
                <w:szCs w:val="18"/>
              </w:rPr>
            </w:pPr>
            <w:r w:rsidRPr="002B55E9">
              <w:rPr>
                <w:sz w:val="18"/>
                <w:szCs w:val="18"/>
                <w:lang w:bidi="ar"/>
              </w:rPr>
              <w:t>6.6</w:t>
            </w:r>
          </w:p>
        </w:tc>
        <w:tc>
          <w:tcPr>
            <w:tcW w:w="432" w:type="dxa"/>
            <w:vAlign w:val="center"/>
          </w:tcPr>
          <w:p w14:paraId="365DE4B5" w14:textId="77777777" w:rsidR="00D170E5" w:rsidRPr="002B55E9" w:rsidRDefault="00EF27AD">
            <w:pPr>
              <w:widowControl/>
              <w:jc w:val="center"/>
              <w:textAlignment w:val="top"/>
              <w:rPr>
                <w:sz w:val="18"/>
                <w:szCs w:val="18"/>
              </w:rPr>
            </w:pPr>
            <w:r w:rsidRPr="002B55E9">
              <w:rPr>
                <w:sz w:val="18"/>
                <w:szCs w:val="18"/>
                <w:lang w:bidi="ar"/>
              </w:rPr>
              <w:t>5.6</w:t>
            </w:r>
          </w:p>
        </w:tc>
        <w:tc>
          <w:tcPr>
            <w:tcW w:w="524" w:type="dxa"/>
            <w:vAlign w:val="center"/>
          </w:tcPr>
          <w:p w14:paraId="4B1BBCBC" w14:textId="77777777" w:rsidR="00D170E5" w:rsidRPr="002B55E9" w:rsidRDefault="00EF27AD">
            <w:pPr>
              <w:widowControl/>
              <w:jc w:val="center"/>
              <w:textAlignment w:val="top"/>
              <w:rPr>
                <w:sz w:val="18"/>
                <w:szCs w:val="18"/>
              </w:rPr>
            </w:pPr>
            <w:r w:rsidRPr="002B55E9">
              <w:rPr>
                <w:sz w:val="18"/>
                <w:szCs w:val="18"/>
                <w:lang w:bidi="ar"/>
              </w:rPr>
              <w:t>4.1</w:t>
            </w:r>
          </w:p>
        </w:tc>
        <w:tc>
          <w:tcPr>
            <w:tcW w:w="432" w:type="dxa"/>
            <w:vAlign w:val="center"/>
          </w:tcPr>
          <w:p w14:paraId="02244EFE" w14:textId="77777777" w:rsidR="00D170E5" w:rsidRPr="002B55E9" w:rsidRDefault="00EF27AD">
            <w:pPr>
              <w:widowControl/>
              <w:jc w:val="center"/>
              <w:textAlignment w:val="top"/>
              <w:rPr>
                <w:sz w:val="18"/>
                <w:szCs w:val="18"/>
              </w:rPr>
            </w:pPr>
            <w:r w:rsidRPr="002B55E9">
              <w:rPr>
                <w:sz w:val="18"/>
                <w:szCs w:val="18"/>
                <w:lang w:bidi="ar"/>
              </w:rPr>
              <w:t>3.8</w:t>
            </w:r>
          </w:p>
        </w:tc>
        <w:tc>
          <w:tcPr>
            <w:tcW w:w="513" w:type="dxa"/>
            <w:vAlign w:val="center"/>
          </w:tcPr>
          <w:p w14:paraId="45F71FD1" w14:textId="77777777" w:rsidR="00D170E5" w:rsidRPr="002B55E9" w:rsidRDefault="00EF27AD">
            <w:pPr>
              <w:widowControl/>
              <w:jc w:val="center"/>
              <w:textAlignment w:val="top"/>
              <w:rPr>
                <w:sz w:val="18"/>
                <w:szCs w:val="18"/>
              </w:rPr>
            </w:pPr>
            <w:r w:rsidRPr="002B55E9">
              <w:rPr>
                <w:sz w:val="18"/>
                <w:szCs w:val="18"/>
                <w:lang w:bidi="ar"/>
              </w:rPr>
              <w:t>3.2</w:t>
            </w:r>
          </w:p>
        </w:tc>
        <w:tc>
          <w:tcPr>
            <w:tcW w:w="432" w:type="dxa"/>
            <w:vAlign w:val="center"/>
          </w:tcPr>
          <w:p w14:paraId="348C81F3" w14:textId="77777777" w:rsidR="00D170E5" w:rsidRPr="002B55E9" w:rsidRDefault="00EF27AD">
            <w:pPr>
              <w:widowControl/>
              <w:jc w:val="center"/>
              <w:textAlignment w:val="top"/>
              <w:rPr>
                <w:sz w:val="18"/>
                <w:szCs w:val="18"/>
              </w:rPr>
            </w:pPr>
            <w:r w:rsidRPr="002B55E9">
              <w:rPr>
                <w:sz w:val="18"/>
                <w:szCs w:val="18"/>
                <w:lang w:bidi="ar"/>
              </w:rPr>
              <w:t>4.3</w:t>
            </w:r>
          </w:p>
        </w:tc>
        <w:tc>
          <w:tcPr>
            <w:tcW w:w="574" w:type="dxa"/>
            <w:vAlign w:val="center"/>
          </w:tcPr>
          <w:p w14:paraId="0D621CC6" w14:textId="77777777" w:rsidR="00D170E5" w:rsidRPr="002B55E9" w:rsidRDefault="00EF27AD">
            <w:pPr>
              <w:widowControl/>
              <w:jc w:val="center"/>
              <w:textAlignment w:val="top"/>
              <w:rPr>
                <w:sz w:val="18"/>
                <w:szCs w:val="18"/>
              </w:rPr>
            </w:pPr>
            <w:r w:rsidRPr="002B55E9">
              <w:rPr>
                <w:sz w:val="18"/>
                <w:szCs w:val="18"/>
                <w:lang w:bidi="ar"/>
              </w:rPr>
              <w:t>4.9</w:t>
            </w:r>
          </w:p>
        </w:tc>
        <w:tc>
          <w:tcPr>
            <w:tcW w:w="476" w:type="dxa"/>
            <w:vAlign w:val="center"/>
          </w:tcPr>
          <w:p w14:paraId="07F69513" w14:textId="77777777" w:rsidR="00D170E5" w:rsidRPr="002B55E9" w:rsidRDefault="00EF27AD">
            <w:pPr>
              <w:widowControl/>
              <w:jc w:val="center"/>
              <w:textAlignment w:val="top"/>
              <w:rPr>
                <w:sz w:val="18"/>
                <w:szCs w:val="18"/>
              </w:rPr>
            </w:pPr>
            <w:r w:rsidRPr="002B55E9">
              <w:rPr>
                <w:sz w:val="18"/>
                <w:szCs w:val="18"/>
                <w:lang w:bidi="ar"/>
              </w:rPr>
              <w:t>3.4</w:t>
            </w:r>
          </w:p>
        </w:tc>
        <w:tc>
          <w:tcPr>
            <w:tcW w:w="642" w:type="dxa"/>
            <w:vAlign w:val="center"/>
          </w:tcPr>
          <w:p w14:paraId="19C1B5C6" w14:textId="77777777" w:rsidR="00D170E5" w:rsidRPr="002B55E9" w:rsidRDefault="00EF27AD">
            <w:pPr>
              <w:widowControl/>
              <w:jc w:val="center"/>
              <w:textAlignment w:val="top"/>
              <w:rPr>
                <w:sz w:val="18"/>
                <w:szCs w:val="18"/>
              </w:rPr>
            </w:pPr>
            <w:r w:rsidRPr="002B55E9">
              <w:rPr>
                <w:sz w:val="18"/>
                <w:szCs w:val="18"/>
                <w:lang w:bidi="ar"/>
              </w:rPr>
              <w:t>2.4</w:t>
            </w:r>
          </w:p>
        </w:tc>
        <w:tc>
          <w:tcPr>
            <w:tcW w:w="432" w:type="dxa"/>
            <w:vAlign w:val="center"/>
          </w:tcPr>
          <w:p w14:paraId="3767256D" w14:textId="77777777" w:rsidR="00D170E5" w:rsidRPr="002B55E9" w:rsidRDefault="00EF27AD">
            <w:pPr>
              <w:widowControl/>
              <w:jc w:val="center"/>
              <w:textAlignment w:val="top"/>
              <w:rPr>
                <w:sz w:val="18"/>
                <w:szCs w:val="18"/>
              </w:rPr>
            </w:pPr>
            <w:r w:rsidRPr="002B55E9">
              <w:rPr>
                <w:sz w:val="18"/>
                <w:szCs w:val="18"/>
                <w:lang w:bidi="ar"/>
              </w:rPr>
              <w:t>5.2</w:t>
            </w:r>
          </w:p>
        </w:tc>
        <w:tc>
          <w:tcPr>
            <w:tcW w:w="671" w:type="dxa"/>
            <w:vAlign w:val="center"/>
          </w:tcPr>
          <w:p w14:paraId="0B139ECB" w14:textId="77777777" w:rsidR="00D170E5" w:rsidRPr="002B55E9" w:rsidRDefault="00EF27AD">
            <w:pPr>
              <w:widowControl/>
              <w:jc w:val="center"/>
              <w:textAlignment w:val="top"/>
              <w:rPr>
                <w:sz w:val="18"/>
                <w:szCs w:val="18"/>
              </w:rPr>
            </w:pPr>
            <w:r w:rsidRPr="002B55E9">
              <w:rPr>
                <w:sz w:val="18"/>
                <w:szCs w:val="18"/>
                <w:lang w:bidi="ar"/>
              </w:rPr>
              <w:t>3.0</w:t>
            </w:r>
          </w:p>
        </w:tc>
        <w:tc>
          <w:tcPr>
            <w:tcW w:w="505" w:type="dxa"/>
            <w:vAlign w:val="center"/>
          </w:tcPr>
          <w:p w14:paraId="0ABF7D35" w14:textId="77777777" w:rsidR="00D170E5" w:rsidRPr="002B55E9" w:rsidRDefault="00EF27AD">
            <w:pPr>
              <w:widowControl/>
              <w:jc w:val="center"/>
              <w:textAlignment w:val="top"/>
              <w:rPr>
                <w:sz w:val="18"/>
                <w:szCs w:val="18"/>
              </w:rPr>
            </w:pPr>
            <w:r w:rsidRPr="002B55E9">
              <w:rPr>
                <w:sz w:val="18"/>
                <w:szCs w:val="18"/>
                <w:lang w:bidi="ar"/>
              </w:rPr>
              <w:t>3.9</w:t>
            </w:r>
          </w:p>
        </w:tc>
        <w:tc>
          <w:tcPr>
            <w:tcW w:w="551" w:type="dxa"/>
            <w:vAlign w:val="center"/>
          </w:tcPr>
          <w:p w14:paraId="6F331B37" w14:textId="77777777" w:rsidR="00D170E5" w:rsidRPr="002B55E9" w:rsidRDefault="00EF27AD">
            <w:pPr>
              <w:widowControl/>
              <w:jc w:val="center"/>
              <w:textAlignment w:val="top"/>
              <w:rPr>
                <w:sz w:val="18"/>
                <w:szCs w:val="18"/>
              </w:rPr>
            </w:pPr>
            <w:r w:rsidRPr="002B55E9">
              <w:rPr>
                <w:sz w:val="18"/>
                <w:szCs w:val="18"/>
                <w:lang w:bidi="ar"/>
              </w:rPr>
              <w:t>7.8</w:t>
            </w:r>
          </w:p>
        </w:tc>
        <w:tc>
          <w:tcPr>
            <w:tcW w:w="601" w:type="dxa"/>
            <w:vAlign w:val="center"/>
          </w:tcPr>
          <w:p w14:paraId="16A7F954" w14:textId="77777777" w:rsidR="00D170E5" w:rsidRPr="002B55E9" w:rsidRDefault="00EF27AD">
            <w:pPr>
              <w:widowControl/>
              <w:jc w:val="center"/>
              <w:textAlignment w:val="top"/>
              <w:rPr>
                <w:sz w:val="18"/>
                <w:szCs w:val="18"/>
              </w:rPr>
            </w:pPr>
            <w:r w:rsidRPr="002B55E9">
              <w:rPr>
                <w:sz w:val="18"/>
                <w:szCs w:val="18"/>
                <w:lang w:bidi="ar"/>
              </w:rPr>
              <w:t>8.0</w:t>
            </w:r>
          </w:p>
        </w:tc>
      </w:tr>
      <w:tr w:rsidR="002B55E9" w:rsidRPr="002B55E9" w14:paraId="185450BA" w14:textId="77777777">
        <w:trPr>
          <w:trHeight w:val="255"/>
          <w:jc w:val="center"/>
        </w:trPr>
        <w:tc>
          <w:tcPr>
            <w:tcW w:w="691" w:type="dxa"/>
            <w:vAlign w:val="center"/>
          </w:tcPr>
          <w:p w14:paraId="4BB5BC7E" w14:textId="77777777" w:rsidR="00D170E5" w:rsidRPr="002B55E9" w:rsidRDefault="00EF27AD">
            <w:pPr>
              <w:jc w:val="center"/>
              <w:rPr>
                <w:sz w:val="18"/>
                <w:szCs w:val="18"/>
              </w:rPr>
            </w:pPr>
            <w:r w:rsidRPr="002B55E9">
              <w:rPr>
                <w:sz w:val="18"/>
                <w:szCs w:val="18"/>
              </w:rPr>
              <w:t>九月</w:t>
            </w:r>
          </w:p>
        </w:tc>
        <w:tc>
          <w:tcPr>
            <w:tcW w:w="517" w:type="dxa"/>
            <w:vAlign w:val="center"/>
          </w:tcPr>
          <w:p w14:paraId="160D0392" w14:textId="77777777" w:rsidR="00D170E5" w:rsidRPr="002B55E9" w:rsidRDefault="00EF27AD">
            <w:pPr>
              <w:widowControl/>
              <w:jc w:val="center"/>
              <w:textAlignment w:val="top"/>
              <w:rPr>
                <w:sz w:val="18"/>
                <w:szCs w:val="18"/>
              </w:rPr>
            </w:pPr>
            <w:r w:rsidRPr="002B55E9">
              <w:rPr>
                <w:sz w:val="18"/>
                <w:szCs w:val="18"/>
                <w:lang w:bidi="ar"/>
              </w:rPr>
              <w:t>10.5</w:t>
            </w:r>
          </w:p>
        </w:tc>
        <w:tc>
          <w:tcPr>
            <w:tcW w:w="572" w:type="dxa"/>
            <w:vAlign w:val="center"/>
          </w:tcPr>
          <w:p w14:paraId="0C4EAAB2" w14:textId="77777777" w:rsidR="00D170E5" w:rsidRPr="002B55E9" w:rsidRDefault="00EF27AD">
            <w:pPr>
              <w:widowControl/>
              <w:jc w:val="center"/>
              <w:textAlignment w:val="top"/>
              <w:rPr>
                <w:sz w:val="18"/>
                <w:szCs w:val="18"/>
              </w:rPr>
            </w:pPr>
            <w:r w:rsidRPr="002B55E9">
              <w:rPr>
                <w:sz w:val="18"/>
                <w:szCs w:val="18"/>
                <w:lang w:bidi="ar"/>
              </w:rPr>
              <w:t>15.2</w:t>
            </w:r>
          </w:p>
        </w:tc>
        <w:tc>
          <w:tcPr>
            <w:tcW w:w="517" w:type="dxa"/>
            <w:vAlign w:val="center"/>
          </w:tcPr>
          <w:p w14:paraId="40F71A0C" w14:textId="77777777" w:rsidR="00D170E5" w:rsidRPr="002B55E9" w:rsidRDefault="00EF27AD">
            <w:pPr>
              <w:widowControl/>
              <w:jc w:val="center"/>
              <w:textAlignment w:val="top"/>
              <w:rPr>
                <w:sz w:val="18"/>
                <w:szCs w:val="18"/>
              </w:rPr>
            </w:pPr>
            <w:r w:rsidRPr="002B55E9">
              <w:rPr>
                <w:sz w:val="18"/>
                <w:szCs w:val="18"/>
                <w:lang w:bidi="ar"/>
              </w:rPr>
              <w:t>15.9</w:t>
            </w:r>
          </w:p>
        </w:tc>
        <w:tc>
          <w:tcPr>
            <w:tcW w:w="555" w:type="dxa"/>
            <w:vAlign w:val="center"/>
          </w:tcPr>
          <w:p w14:paraId="62AF1EB7" w14:textId="77777777" w:rsidR="00D170E5" w:rsidRPr="002B55E9" w:rsidRDefault="00EF27AD">
            <w:pPr>
              <w:widowControl/>
              <w:jc w:val="center"/>
              <w:textAlignment w:val="top"/>
              <w:rPr>
                <w:sz w:val="18"/>
                <w:szCs w:val="18"/>
              </w:rPr>
            </w:pPr>
            <w:r w:rsidRPr="002B55E9">
              <w:rPr>
                <w:sz w:val="18"/>
                <w:szCs w:val="18"/>
                <w:lang w:bidi="ar"/>
              </w:rPr>
              <w:t>7.4</w:t>
            </w:r>
          </w:p>
        </w:tc>
        <w:tc>
          <w:tcPr>
            <w:tcW w:w="432" w:type="dxa"/>
            <w:vAlign w:val="center"/>
          </w:tcPr>
          <w:p w14:paraId="733A42F2" w14:textId="77777777" w:rsidR="00D170E5" w:rsidRPr="002B55E9" w:rsidRDefault="00EF27AD">
            <w:pPr>
              <w:widowControl/>
              <w:jc w:val="center"/>
              <w:textAlignment w:val="top"/>
              <w:rPr>
                <w:sz w:val="18"/>
                <w:szCs w:val="18"/>
              </w:rPr>
            </w:pPr>
            <w:r w:rsidRPr="002B55E9">
              <w:rPr>
                <w:sz w:val="18"/>
                <w:szCs w:val="18"/>
                <w:lang w:bidi="ar"/>
              </w:rPr>
              <w:t>5.4</w:t>
            </w:r>
          </w:p>
        </w:tc>
        <w:tc>
          <w:tcPr>
            <w:tcW w:w="524" w:type="dxa"/>
            <w:vAlign w:val="center"/>
          </w:tcPr>
          <w:p w14:paraId="1D273068" w14:textId="77777777" w:rsidR="00D170E5" w:rsidRPr="002B55E9" w:rsidRDefault="00EF27AD">
            <w:pPr>
              <w:widowControl/>
              <w:jc w:val="center"/>
              <w:textAlignment w:val="top"/>
              <w:rPr>
                <w:sz w:val="18"/>
                <w:szCs w:val="18"/>
              </w:rPr>
            </w:pPr>
            <w:r w:rsidRPr="002B55E9">
              <w:rPr>
                <w:sz w:val="18"/>
                <w:szCs w:val="18"/>
                <w:lang w:bidi="ar"/>
              </w:rPr>
              <w:t>3.5</w:t>
            </w:r>
          </w:p>
        </w:tc>
        <w:tc>
          <w:tcPr>
            <w:tcW w:w="432" w:type="dxa"/>
            <w:vAlign w:val="center"/>
          </w:tcPr>
          <w:p w14:paraId="0378CE3E" w14:textId="77777777" w:rsidR="00D170E5" w:rsidRPr="002B55E9" w:rsidRDefault="00EF27AD">
            <w:pPr>
              <w:widowControl/>
              <w:jc w:val="center"/>
              <w:textAlignment w:val="top"/>
              <w:rPr>
                <w:sz w:val="18"/>
                <w:szCs w:val="18"/>
              </w:rPr>
            </w:pPr>
            <w:r w:rsidRPr="002B55E9">
              <w:rPr>
                <w:sz w:val="18"/>
                <w:szCs w:val="18"/>
                <w:lang w:bidi="ar"/>
              </w:rPr>
              <w:t>3.1</w:t>
            </w:r>
          </w:p>
        </w:tc>
        <w:tc>
          <w:tcPr>
            <w:tcW w:w="513" w:type="dxa"/>
            <w:vAlign w:val="center"/>
          </w:tcPr>
          <w:p w14:paraId="4C8CC670" w14:textId="77777777" w:rsidR="00D170E5" w:rsidRPr="002B55E9" w:rsidRDefault="00EF27AD">
            <w:pPr>
              <w:widowControl/>
              <w:jc w:val="center"/>
              <w:textAlignment w:val="top"/>
              <w:rPr>
                <w:sz w:val="18"/>
                <w:szCs w:val="18"/>
              </w:rPr>
            </w:pPr>
            <w:r w:rsidRPr="002B55E9">
              <w:rPr>
                <w:sz w:val="18"/>
                <w:szCs w:val="18"/>
                <w:lang w:bidi="ar"/>
              </w:rPr>
              <w:t>1.6</w:t>
            </w:r>
          </w:p>
        </w:tc>
        <w:tc>
          <w:tcPr>
            <w:tcW w:w="432" w:type="dxa"/>
            <w:vAlign w:val="center"/>
          </w:tcPr>
          <w:p w14:paraId="4FA58D14" w14:textId="77777777" w:rsidR="00D170E5" w:rsidRPr="002B55E9" w:rsidRDefault="00EF27AD">
            <w:pPr>
              <w:widowControl/>
              <w:jc w:val="center"/>
              <w:textAlignment w:val="top"/>
              <w:rPr>
                <w:sz w:val="18"/>
                <w:szCs w:val="18"/>
              </w:rPr>
            </w:pPr>
            <w:r w:rsidRPr="002B55E9">
              <w:rPr>
                <w:sz w:val="18"/>
                <w:szCs w:val="18"/>
                <w:lang w:bidi="ar"/>
              </w:rPr>
              <w:t>2.2</w:t>
            </w:r>
          </w:p>
        </w:tc>
        <w:tc>
          <w:tcPr>
            <w:tcW w:w="574" w:type="dxa"/>
            <w:vAlign w:val="center"/>
          </w:tcPr>
          <w:p w14:paraId="1D2222AB" w14:textId="77777777" w:rsidR="00D170E5" w:rsidRPr="002B55E9" w:rsidRDefault="00EF27AD">
            <w:pPr>
              <w:widowControl/>
              <w:jc w:val="center"/>
              <w:textAlignment w:val="top"/>
              <w:rPr>
                <w:sz w:val="18"/>
                <w:szCs w:val="18"/>
              </w:rPr>
            </w:pPr>
            <w:r w:rsidRPr="002B55E9">
              <w:rPr>
                <w:sz w:val="18"/>
                <w:szCs w:val="18"/>
                <w:lang w:bidi="ar"/>
              </w:rPr>
              <w:t>1.2</w:t>
            </w:r>
          </w:p>
        </w:tc>
        <w:tc>
          <w:tcPr>
            <w:tcW w:w="476" w:type="dxa"/>
            <w:vAlign w:val="center"/>
          </w:tcPr>
          <w:p w14:paraId="4198AAE6" w14:textId="77777777" w:rsidR="00D170E5" w:rsidRPr="002B55E9" w:rsidRDefault="00EF27AD">
            <w:pPr>
              <w:widowControl/>
              <w:jc w:val="center"/>
              <w:textAlignment w:val="top"/>
              <w:rPr>
                <w:sz w:val="18"/>
                <w:szCs w:val="18"/>
              </w:rPr>
            </w:pPr>
            <w:r w:rsidRPr="002B55E9">
              <w:rPr>
                <w:sz w:val="18"/>
                <w:szCs w:val="18"/>
                <w:lang w:bidi="ar"/>
              </w:rPr>
              <w:t>1.6</w:t>
            </w:r>
          </w:p>
        </w:tc>
        <w:tc>
          <w:tcPr>
            <w:tcW w:w="642" w:type="dxa"/>
            <w:vAlign w:val="center"/>
          </w:tcPr>
          <w:p w14:paraId="18E11CEA" w14:textId="77777777" w:rsidR="00D170E5" w:rsidRPr="002B55E9" w:rsidRDefault="00EF27AD">
            <w:pPr>
              <w:widowControl/>
              <w:jc w:val="center"/>
              <w:textAlignment w:val="top"/>
              <w:rPr>
                <w:sz w:val="18"/>
                <w:szCs w:val="18"/>
              </w:rPr>
            </w:pPr>
            <w:r w:rsidRPr="002B55E9">
              <w:rPr>
                <w:sz w:val="18"/>
                <w:szCs w:val="18"/>
                <w:lang w:bidi="ar"/>
              </w:rPr>
              <w:t>1.7</w:t>
            </w:r>
          </w:p>
        </w:tc>
        <w:tc>
          <w:tcPr>
            <w:tcW w:w="432" w:type="dxa"/>
            <w:vAlign w:val="center"/>
          </w:tcPr>
          <w:p w14:paraId="0F1EEAF1" w14:textId="77777777" w:rsidR="00D170E5" w:rsidRPr="002B55E9" w:rsidRDefault="00EF27AD">
            <w:pPr>
              <w:widowControl/>
              <w:jc w:val="center"/>
              <w:textAlignment w:val="top"/>
              <w:rPr>
                <w:sz w:val="18"/>
                <w:szCs w:val="18"/>
              </w:rPr>
            </w:pPr>
            <w:r w:rsidRPr="002B55E9">
              <w:rPr>
                <w:sz w:val="18"/>
                <w:szCs w:val="18"/>
                <w:lang w:bidi="ar"/>
              </w:rPr>
              <w:t>4.0</w:t>
            </w:r>
          </w:p>
        </w:tc>
        <w:tc>
          <w:tcPr>
            <w:tcW w:w="671" w:type="dxa"/>
            <w:vAlign w:val="center"/>
          </w:tcPr>
          <w:p w14:paraId="3027E04A" w14:textId="77777777" w:rsidR="00D170E5" w:rsidRPr="002B55E9" w:rsidRDefault="00EF27AD">
            <w:pPr>
              <w:widowControl/>
              <w:jc w:val="center"/>
              <w:textAlignment w:val="top"/>
              <w:rPr>
                <w:sz w:val="18"/>
                <w:szCs w:val="18"/>
              </w:rPr>
            </w:pPr>
            <w:r w:rsidRPr="002B55E9">
              <w:rPr>
                <w:sz w:val="18"/>
                <w:szCs w:val="18"/>
                <w:lang w:bidi="ar"/>
              </w:rPr>
              <w:t>2.0</w:t>
            </w:r>
          </w:p>
        </w:tc>
        <w:tc>
          <w:tcPr>
            <w:tcW w:w="505" w:type="dxa"/>
            <w:vAlign w:val="center"/>
          </w:tcPr>
          <w:p w14:paraId="04D44E54" w14:textId="77777777" w:rsidR="00D170E5" w:rsidRPr="002B55E9" w:rsidRDefault="00EF27AD">
            <w:pPr>
              <w:widowControl/>
              <w:jc w:val="center"/>
              <w:textAlignment w:val="top"/>
              <w:rPr>
                <w:sz w:val="18"/>
                <w:szCs w:val="18"/>
              </w:rPr>
            </w:pPr>
            <w:r w:rsidRPr="002B55E9">
              <w:rPr>
                <w:sz w:val="18"/>
                <w:szCs w:val="18"/>
                <w:lang w:bidi="ar"/>
              </w:rPr>
              <w:t>3.9</w:t>
            </w:r>
          </w:p>
        </w:tc>
        <w:tc>
          <w:tcPr>
            <w:tcW w:w="551" w:type="dxa"/>
            <w:vAlign w:val="center"/>
          </w:tcPr>
          <w:p w14:paraId="5FCD9F04" w14:textId="77777777" w:rsidR="00D170E5" w:rsidRPr="002B55E9" w:rsidRDefault="00EF27AD">
            <w:pPr>
              <w:widowControl/>
              <w:jc w:val="center"/>
              <w:textAlignment w:val="top"/>
              <w:rPr>
                <w:sz w:val="18"/>
                <w:szCs w:val="18"/>
              </w:rPr>
            </w:pPr>
            <w:r w:rsidRPr="002B55E9">
              <w:rPr>
                <w:sz w:val="18"/>
                <w:szCs w:val="18"/>
                <w:lang w:bidi="ar"/>
              </w:rPr>
              <w:t>8.8</w:t>
            </w:r>
          </w:p>
        </w:tc>
        <w:tc>
          <w:tcPr>
            <w:tcW w:w="601" w:type="dxa"/>
            <w:vAlign w:val="center"/>
          </w:tcPr>
          <w:p w14:paraId="6E5A46A0" w14:textId="77777777" w:rsidR="00D170E5" w:rsidRPr="002B55E9" w:rsidRDefault="00EF27AD">
            <w:pPr>
              <w:widowControl/>
              <w:jc w:val="center"/>
              <w:textAlignment w:val="top"/>
              <w:rPr>
                <w:sz w:val="18"/>
                <w:szCs w:val="18"/>
              </w:rPr>
            </w:pPr>
            <w:r w:rsidRPr="002B55E9">
              <w:rPr>
                <w:sz w:val="18"/>
                <w:szCs w:val="18"/>
                <w:lang w:bidi="ar"/>
              </w:rPr>
              <w:t>12.1</w:t>
            </w:r>
          </w:p>
        </w:tc>
      </w:tr>
      <w:tr w:rsidR="002B55E9" w:rsidRPr="002B55E9" w14:paraId="04D44872" w14:textId="77777777">
        <w:trPr>
          <w:trHeight w:val="255"/>
          <w:jc w:val="center"/>
        </w:trPr>
        <w:tc>
          <w:tcPr>
            <w:tcW w:w="691" w:type="dxa"/>
            <w:vAlign w:val="center"/>
          </w:tcPr>
          <w:p w14:paraId="75A9B8EC" w14:textId="77777777" w:rsidR="00D170E5" w:rsidRPr="002B55E9" w:rsidRDefault="00EF27AD">
            <w:pPr>
              <w:jc w:val="center"/>
              <w:rPr>
                <w:sz w:val="18"/>
                <w:szCs w:val="18"/>
              </w:rPr>
            </w:pPr>
            <w:r w:rsidRPr="002B55E9">
              <w:rPr>
                <w:sz w:val="18"/>
                <w:szCs w:val="18"/>
              </w:rPr>
              <w:t>十月</w:t>
            </w:r>
          </w:p>
        </w:tc>
        <w:tc>
          <w:tcPr>
            <w:tcW w:w="517" w:type="dxa"/>
            <w:vAlign w:val="center"/>
          </w:tcPr>
          <w:p w14:paraId="0B282F46" w14:textId="77777777" w:rsidR="00D170E5" w:rsidRPr="002B55E9" w:rsidRDefault="00EF27AD">
            <w:pPr>
              <w:widowControl/>
              <w:jc w:val="center"/>
              <w:textAlignment w:val="top"/>
              <w:rPr>
                <w:sz w:val="18"/>
                <w:szCs w:val="18"/>
              </w:rPr>
            </w:pPr>
            <w:r w:rsidRPr="002B55E9">
              <w:rPr>
                <w:sz w:val="18"/>
                <w:szCs w:val="18"/>
                <w:lang w:bidi="ar"/>
              </w:rPr>
              <w:t>10.6</w:t>
            </w:r>
          </w:p>
        </w:tc>
        <w:tc>
          <w:tcPr>
            <w:tcW w:w="572" w:type="dxa"/>
            <w:vAlign w:val="center"/>
          </w:tcPr>
          <w:p w14:paraId="1FAA3586" w14:textId="77777777" w:rsidR="00D170E5" w:rsidRPr="002B55E9" w:rsidRDefault="00EF27AD">
            <w:pPr>
              <w:widowControl/>
              <w:jc w:val="center"/>
              <w:textAlignment w:val="top"/>
              <w:rPr>
                <w:sz w:val="18"/>
                <w:szCs w:val="18"/>
              </w:rPr>
            </w:pPr>
            <w:r w:rsidRPr="002B55E9">
              <w:rPr>
                <w:sz w:val="18"/>
                <w:szCs w:val="18"/>
                <w:lang w:bidi="ar"/>
              </w:rPr>
              <w:t>13.1</w:t>
            </w:r>
          </w:p>
        </w:tc>
        <w:tc>
          <w:tcPr>
            <w:tcW w:w="517" w:type="dxa"/>
            <w:vAlign w:val="center"/>
          </w:tcPr>
          <w:p w14:paraId="5FD405C8" w14:textId="77777777" w:rsidR="00D170E5" w:rsidRPr="002B55E9" w:rsidRDefault="00EF27AD">
            <w:pPr>
              <w:widowControl/>
              <w:jc w:val="center"/>
              <w:textAlignment w:val="top"/>
              <w:rPr>
                <w:sz w:val="18"/>
                <w:szCs w:val="18"/>
              </w:rPr>
            </w:pPr>
            <w:r w:rsidRPr="002B55E9">
              <w:rPr>
                <w:sz w:val="18"/>
                <w:szCs w:val="18"/>
                <w:lang w:bidi="ar"/>
              </w:rPr>
              <w:t>11.4</w:t>
            </w:r>
          </w:p>
        </w:tc>
        <w:tc>
          <w:tcPr>
            <w:tcW w:w="555" w:type="dxa"/>
            <w:vAlign w:val="center"/>
          </w:tcPr>
          <w:p w14:paraId="63EEBB05" w14:textId="77777777" w:rsidR="00D170E5" w:rsidRPr="002B55E9" w:rsidRDefault="00EF27AD">
            <w:pPr>
              <w:widowControl/>
              <w:jc w:val="center"/>
              <w:textAlignment w:val="top"/>
              <w:rPr>
                <w:sz w:val="18"/>
                <w:szCs w:val="18"/>
              </w:rPr>
            </w:pPr>
            <w:r w:rsidRPr="002B55E9">
              <w:rPr>
                <w:sz w:val="18"/>
                <w:szCs w:val="18"/>
                <w:lang w:bidi="ar"/>
              </w:rPr>
              <w:t>6.4</w:t>
            </w:r>
          </w:p>
        </w:tc>
        <w:tc>
          <w:tcPr>
            <w:tcW w:w="432" w:type="dxa"/>
            <w:vAlign w:val="center"/>
          </w:tcPr>
          <w:p w14:paraId="5889A833" w14:textId="77777777" w:rsidR="00D170E5" w:rsidRPr="002B55E9" w:rsidRDefault="00EF27AD">
            <w:pPr>
              <w:widowControl/>
              <w:jc w:val="center"/>
              <w:textAlignment w:val="top"/>
              <w:rPr>
                <w:sz w:val="18"/>
                <w:szCs w:val="18"/>
              </w:rPr>
            </w:pPr>
            <w:r w:rsidRPr="002B55E9">
              <w:rPr>
                <w:sz w:val="18"/>
                <w:szCs w:val="18"/>
                <w:lang w:bidi="ar"/>
              </w:rPr>
              <w:t>4.6</w:t>
            </w:r>
          </w:p>
        </w:tc>
        <w:tc>
          <w:tcPr>
            <w:tcW w:w="524" w:type="dxa"/>
            <w:vAlign w:val="center"/>
          </w:tcPr>
          <w:p w14:paraId="34069042" w14:textId="77777777" w:rsidR="00D170E5" w:rsidRPr="002B55E9" w:rsidRDefault="00EF27AD">
            <w:pPr>
              <w:widowControl/>
              <w:jc w:val="center"/>
              <w:textAlignment w:val="top"/>
              <w:rPr>
                <w:sz w:val="18"/>
                <w:szCs w:val="18"/>
              </w:rPr>
            </w:pPr>
            <w:r w:rsidRPr="002B55E9">
              <w:rPr>
                <w:sz w:val="18"/>
                <w:szCs w:val="18"/>
                <w:lang w:bidi="ar"/>
              </w:rPr>
              <w:t>3.4</w:t>
            </w:r>
          </w:p>
        </w:tc>
        <w:tc>
          <w:tcPr>
            <w:tcW w:w="432" w:type="dxa"/>
            <w:vAlign w:val="center"/>
          </w:tcPr>
          <w:p w14:paraId="7AD904BF" w14:textId="77777777" w:rsidR="00D170E5" w:rsidRPr="002B55E9" w:rsidRDefault="00EF27AD">
            <w:pPr>
              <w:widowControl/>
              <w:jc w:val="center"/>
              <w:textAlignment w:val="top"/>
              <w:rPr>
                <w:sz w:val="18"/>
                <w:szCs w:val="18"/>
              </w:rPr>
            </w:pPr>
            <w:r w:rsidRPr="002B55E9">
              <w:rPr>
                <w:sz w:val="18"/>
                <w:szCs w:val="18"/>
                <w:lang w:bidi="ar"/>
              </w:rPr>
              <w:t>2.1</w:t>
            </w:r>
          </w:p>
        </w:tc>
        <w:tc>
          <w:tcPr>
            <w:tcW w:w="513" w:type="dxa"/>
            <w:vAlign w:val="center"/>
          </w:tcPr>
          <w:p w14:paraId="72980C3E" w14:textId="77777777" w:rsidR="00D170E5" w:rsidRPr="002B55E9" w:rsidRDefault="00EF27AD">
            <w:pPr>
              <w:widowControl/>
              <w:jc w:val="center"/>
              <w:textAlignment w:val="top"/>
              <w:rPr>
                <w:sz w:val="18"/>
                <w:szCs w:val="18"/>
              </w:rPr>
            </w:pPr>
            <w:r w:rsidRPr="002B55E9">
              <w:rPr>
                <w:sz w:val="18"/>
                <w:szCs w:val="18"/>
                <w:lang w:bidi="ar"/>
              </w:rPr>
              <w:t>1.6</w:t>
            </w:r>
          </w:p>
        </w:tc>
        <w:tc>
          <w:tcPr>
            <w:tcW w:w="432" w:type="dxa"/>
            <w:vAlign w:val="center"/>
          </w:tcPr>
          <w:p w14:paraId="4E1AA647" w14:textId="77777777" w:rsidR="00D170E5" w:rsidRPr="002B55E9" w:rsidRDefault="00EF27AD">
            <w:pPr>
              <w:widowControl/>
              <w:jc w:val="center"/>
              <w:textAlignment w:val="top"/>
              <w:rPr>
                <w:sz w:val="18"/>
                <w:szCs w:val="18"/>
              </w:rPr>
            </w:pPr>
            <w:r w:rsidRPr="002B55E9">
              <w:rPr>
                <w:sz w:val="18"/>
                <w:szCs w:val="18"/>
                <w:lang w:bidi="ar"/>
              </w:rPr>
              <w:t>1.8</w:t>
            </w:r>
          </w:p>
        </w:tc>
        <w:tc>
          <w:tcPr>
            <w:tcW w:w="574" w:type="dxa"/>
            <w:vAlign w:val="center"/>
          </w:tcPr>
          <w:p w14:paraId="6F69C017" w14:textId="77777777" w:rsidR="00D170E5" w:rsidRPr="002B55E9" w:rsidRDefault="00EF27AD">
            <w:pPr>
              <w:widowControl/>
              <w:jc w:val="center"/>
              <w:textAlignment w:val="top"/>
              <w:rPr>
                <w:sz w:val="18"/>
                <w:szCs w:val="18"/>
              </w:rPr>
            </w:pPr>
            <w:r w:rsidRPr="002B55E9">
              <w:rPr>
                <w:sz w:val="18"/>
                <w:szCs w:val="18"/>
                <w:lang w:bidi="ar"/>
              </w:rPr>
              <w:t>1.4</w:t>
            </w:r>
          </w:p>
        </w:tc>
        <w:tc>
          <w:tcPr>
            <w:tcW w:w="476" w:type="dxa"/>
            <w:vAlign w:val="center"/>
          </w:tcPr>
          <w:p w14:paraId="46FB2B71" w14:textId="77777777" w:rsidR="00D170E5" w:rsidRPr="002B55E9" w:rsidRDefault="00EF27AD">
            <w:pPr>
              <w:widowControl/>
              <w:jc w:val="center"/>
              <w:textAlignment w:val="top"/>
              <w:rPr>
                <w:sz w:val="18"/>
                <w:szCs w:val="18"/>
              </w:rPr>
            </w:pPr>
            <w:r w:rsidRPr="002B55E9">
              <w:rPr>
                <w:sz w:val="18"/>
                <w:szCs w:val="18"/>
                <w:lang w:bidi="ar"/>
              </w:rPr>
              <w:t>1.5</w:t>
            </w:r>
          </w:p>
        </w:tc>
        <w:tc>
          <w:tcPr>
            <w:tcW w:w="642" w:type="dxa"/>
            <w:vAlign w:val="center"/>
          </w:tcPr>
          <w:p w14:paraId="2CBE55E9" w14:textId="77777777" w:rsidR="00D170E5" w:rsidRPr="002B55E9" w:rsidRDefault="00EF27AD">
            <w:pPr>
              <w:widowControl/>
              <w:jc w:val="center"/>
              <w:textAlignment w:val="top"/>
              <w:rPr>
                <w:sz w:val="18"/>
                <w:szCs w:val="18"/>
              </w:rPr>
            </w:pPr>
            <w:r w:rsidRPr="002B55E9">
              <w:rPr>
                <w:sz w:val="18"/>
                <w:szCs w:val="18"/>
                <w:lang w:bidi="ar"/>
              </w:rPr>
              <w:t>1.9</w:t>
            </w:r>
          </w:p>
        </w:tc>
        <w:tc>
          <w:tcPr>
            <w:tcW w:w="432" w:type="dxa"/>
            <w:vAlign w:val="center"/>
          </w:tcPr>
          <w:p w14:paraId="1CF2868A" w14:textId="77777777" w:rsidR="00D170E5" w:rsidRPr="002B55E9" w:rsidRDefault="00EF27AD">
            <w:pPr>
              <w:widowControl/>
              <w:jc w:val="center"/>
              <w:textAlignment w:val="top"/>
              <w:rPr>
                <w:sz w:val="18"/>
                <w:szCs w:val="18"/>
              </w:rPr>
            </w:pPr>
            <w:r w:rsidRPr="002B55E9">
              <w:rPr>
                <w:sz w:val="18"/>
                <w:szCs w:val="18"/>
                <w:lang w:bidi="ar"/>
              </w:rPr>
              <w:t>5.6</w:t>
            </w:r>
          </w:p>
        </w:tc>
        <w:tc>
          <w:tcPr>
            <w:tcW w:w="671" w:type="dxa"/>
            <w:vAlign w:val="center"/>
          </w:tcPr>
          <w:p w14:paraId="1F202D22" w14:textId="77777777" w:rsidR="00D170E5" w:rsidRPr="002B55E9" w:rsidRDefault="00EF27AD">
            <w:pPr>
              <w:widowControl/>
              <w:jc w:val="center"/>
              <w:textAlignment w:val="top"/>
              <w:rPr>
                <w:sz w:val="18"/>
                <w:szCs w:val="18"/>
              </w:rPr>
            </w:pPr>
            <w:r w:rsidRPr="002B55E9">
              <w:rPr>
                <w:sz w:val="18"/>
                <w:szCs w:val="18"/>
                <w:lang w:bidi="ar"/>
              </w:rPr>
              <w:t>3.0</w:t>
            </w:r>
          </w:p>
        </w:tc>
        <w:tc>
          <w:tcPr>
            <w:tcW w:w="505" w:type="dxa"/>
            <w:vAlign w:val="center"/>
          </w:tcPr>
          <w:p w14:paraId="30703264" w14:textId="77777777" w:rsidR="00D170E5" w:rsidRPr="002B55E9" w:rsidRDefault="00EF27AD">
            <w:pPr>
              <w:widowControl/>
              <w:jc w:val="center"/>
              <w:textAlignment w:val="top"/>
              <w:rPr>
                <w:sz w:val="18"/>
                <w:szCs w:val="18"/>
              </w:rPr>
            </w:pPr>
            <w:r w:rsidRPr="002B55E9">
              <w:rPr>
                <w:sz w:val="18"/>
                <w:szCs w:val="18"/>
                <w:lang w:bidi="ar"/>
              </w:rPr>
              <w:t>4.7</w:t>
            </w:r>
          </w:p>
        </w:tc>
        <w:tc>
          <w:tcPr>
            <w:tcW w:w="551" w:type="dxa"/>
            <w:vAlign w:val="center"/>
          </w:tcPr>
          <w:p w14:paraId="5B49F347" w14:textId="77777777" w:rsidR="00D170E5" w:rsidRPr="002B55E9" w:rsidRDefault="00EF27AD">
            <w:pPr>
              <w:widowControl/>
              <w:jc w:val="center"/>
              <w:textAlignment w:val="top"/>
              <w:rPr>
                <w:sz w:val="18"/>
                <w:szCs w:val="18"/>
              </w:rPr>
            </w:pPr>
            <w:r w:rsidRPr="002B55E9">
              <w:rPr>
                <w:sz w:val="18"/>
                <w:szCs w:val="18"/>
                <w:lang w:bidi="ar"/>
              </w:rPr>
              <w:t>8.7</w:t>
            </w:r>
          </w:p>
        </w:tc>
        <w:tc>
          <w:tcPr>
            <w:tcW w:w="601" w:type="dxa"/>
            <w:vAlign w:val="center"/>
          </w:tcPr>
          <w:p w14:paraId="3F06D98A" w14:textId="77777777" w:rsidR="00D170E5" w:rsidRPr="002B55E9" w:rsidRDefault="00EF27AD">
            <w:pPr>
              <w:widowControl/>
              <w:jc w:val="center"/>
              <w:textAlignment w:val="top"/>
              <w:rPr>
                <w:sz w:val="18"/>
                <w:szCs w:val="18"/>
              </w:rPr>
            </w:pPr>
            <w:r w:rsidRPr="002B55E9">
              <w:rPr>
                <w:sz w:val="18"/>
                <w:szCs w:val="18"/>
                <w:lang w:bidi="ar"/>
              </w:rPr>
              <w:t>18.2</w:t>
            </w:r>
          </w:p>
        </w:tc>
      </w:tr>
      <w:tr w:rsidR="002B55E9" w:rsidRPr="002B55E9" w14:paraId="44E4319B" w14:textId="77777777">
        <w:trPr>
          <w:trHeight w:val="255"/>
          <w:jc w:val="center"/>
        </w:trPr>
        <w:tc>
          <w:tcPr>
            <w:tcW w:w="691" w:type="dxa"/>
            <w:vAlign w:val="center"/>
          </w:tcPr>
          <w:p w14:paraId="5EEBF190" w14:textId="77777777" w:rsidR="00D170E5" w:rsidRPr="002B55E9" w:rsidRDefault="00EF27AD">
            <w:pPr>
              <w:jc w:val="center"/>
              <w:rPr>
                <w:sz w:val="18"/>
                <w:szCs w:val="18"/>
              </w:rPr>
            </w:pPr>
            <w:r w:rsidRPr="002B55E9">
              <w:rPr>
                <w:sz w:val="18"/>
                <w:szCs w:val="18"/>
              </w:rPr>
              <w:t>十一月</w:t>
            </w:r>
          </w:p>
        </w:tc>
        <w:tc>
          <w:tcPr>
            <w:tcW w:w="517" w:type="dxa"/>
            <w:vAlign w:val="center"/>
          </w:tcPr>
          <w:p w14:paraId="1C9F0B57" w14:textId="77777777" w:rsidR="00D170E5" w:rsidRPr="002B55E9" w:rsidRDefault="00EF27AD">
            <w:pPr>
              <w:widowControl/>
              <w:jc w:val="center"/>
              <w:textAlignment w:val="top"/>
              <w:rPr>
                <w:sz w:val="18"/>
                <w:szCs w:val="18"/>
              </w:rPr>
            </w:pPr>
            <w:r w:rsidRPr="002B55E9">
              <w:rPr>
                <w:sz w:val="18"/>
                <w:szCs w:val="18"/>
                <w:lang w:bidi="ar"/>
              </w:rPr>
              <w:t>9.0</w:t>
            </w:r>
          </w:p>
        </w:tc>
        <w:tc>
          <w:tcPr>
            <w:tcW w:w="572" w:type="dxa"/>
            <w:vAlign w:val="center"/>
          </w:tcPr>
          <w:p w14:paraId="1C82BCE8" w14:textId="77777777" w:rsidR="00D170E5" w:rsidRPr="002B55E9" w:rsidRDefault="00EF27AD">
            <w:pPr>
              <w:widowControl/>
              <w:jc w:val="center"/>
              <w:textAlignment w:val="top"/>
              <w:rPr>
                <w:sz w:val="18"/>
                <w:szCs w:val="18"/>
              </w:rPr>
            </w:pPr>
            <w:r w:rsidRPr="002B55E9">
              <w:rPr>
                <w:sz w:val="18"/>
                <w:szCs w:val="18"/>
                <w:lang w:bidi="ar"/>
              </w:rPr>
              <w:t>12.1</w:t>
            </w:r>
          </w:p>
        </w:tc>
        <w:tc>
          <w:tcPr>
            <w:tcW w:w="517" w:type="dxa"/>
            <w:vAlign w:val="center"/>
          </w:tcPr>
          <w:p w14:paraId="5E95E1E0" w14:textId="77777777" w:rsidR="00D170E5" w:rsidRPr="002B55E9" w:rsidRDefault="00EF27AD">
            <w:pPr>
              <w:widowControl/>
              <w:jc w:val="center"/>
              <w:textAlignment w:val="top"/>
              <w:rPr>
                <w:sz w:val="18"/>
                <w:szCs w:val="18"/>
              </w:rPr>
            </w:pPr>
            <w:r w:rsidRPr="002B55E9">
              <w:rPr>
                <w:sz w:val="18"/>
                <w:szCs w:val="18"/>
                <w:lang w:bidi="ar"/>
              </w:rPr>
              <w:t>11.9</w:t>
            </w:r>
          </w:p>
        </w:tc>
        <w:tc>
          <w:tcPr>
            <w:tcW w:w="555" w:type="dxa"/>
            <w:vAlign w:val="center"/>
          </w:tcPr>
          <w:p w14:paraId="37074729" w14:textId="77777777" w:rsidR="00D170E5" w:rsidRPr="002B55E9" w:rsidRDefault="00EF27AD">
            <w:pPr>
              <w:widowControl/>
              <w:jc w:val="center"/>
              <w:textAlignment w:val="top"/>
              <w:rPr>
                <w:sz w:val="18"/>
                <w:szCs w:val="18"/>
              </w:rPr>
            </w:pPr>
            <w:r w:rsidRPr="002B55E9">
              <w:rPr>
                <w:sz w:val="18"/>
                <w:szCs w:val="18"/>
                <w:lang w:bidi="ar"/>
              </w:rPr>
              <w:t>6.0</w:t>
            </w:r>
          </w:p>
        </w:tc>
        <w:tc>
          <w:tcPr>
            <w:tcW w:w="432" w:type="dxa"/>
            <w:vAlign w:val="center"/>
          </w:tcPr>
          <w:p w14:paraId="2D41C23E" w14:textId="77777777" w:rsidR="00D170E5" w:rsidRPr="002B55E9" w:rsidRDefault="00EF27AD">
            <w:pPr>
              <w:widowControl/>
              <w:jc w:val="center"/>
              <w:textAlignment w:val="top"/>
              <w:rPr>
                <w:sz w:val="18"/>
                <w:szCs w:val="18"/>
              </w:rPr>
            </w:pPr>
            <w:r w:rsidRPr="002B55E9">
              <w:rPr>
                <w:sz w:val="18"/>
                <w:szCs w:val="18"/>
                <w:lang w:bidi="ar"/>
              </w:rPr>
              <w:t>5.0</w:t>
            </w:r>
          </w:p>
        </w:tc>
        <w:tc>
          <w:tcPr>
            <w:tcW w:w="524" w:type="dxa"/>
            <w:vAlign w:val="center"/>
          </w:tcPr>
          <w:p w14:paraId="4EC58FE7" w14:textId="77777777" w:rsidR="00D170E5" w:rsidRPr="002B55E9" w:rsidRDefault="00EF27AD">
            <w:pPr>
              <w:widowControl/>
              <w:jc w:val="center"/>
              <w:textAlignment w:val="top"/>
              <w:rPr>
                <w:sz w:val="18"/>
                <w:szCs w:val="18"/>
              </w:rPr>
            </w:pPr>
            <w:r w:rsidRPr="002B55E9">
              <w:rPr>
                <w:sz w:val="18"/>
                <w:szCs w:val="18"/>
                <w:lang w:bidi="ar"/>
              </w:rPr>
              <w:t>3.2</w:t>
            </w:r>
          </w:p>
        </w:tc>
        <w:tc>
          <w:tcPr>
            <w:tcW w:w="432" w:type="dxa"/>
            <w:vAlign w:val="center"/>
          </w:tcPr>
          <w:p w14:paraId="0C2E606C" w14:textId="77777777" w:rsidR="00D170E5" w:rsidRPr="002B55E9" w:rsidRDefault="00EF27AD">
            <w:pPr>
              <w:widowControl/>
              <w:jc w:val="center"/>
              <w:textAlignment w:val="top"/>
              <w:rPr>
                <w:sz w:val="18"/>
                <w:szCs w:val="18"/>
              </w:rPr>
            </w:pPr>
            <w:r w:rsidRPr="002B55E9">
              <w:rPr>
                <w:sz w:val="18"/>
                <w:szCs w:val="18"/>
                <w:lang w:bidi="ar"/>
              </w:rPr>
              <w:t>2.8</w:t>
            </w:r>
          </w:p>
        </w:tc>
        <w:tc>
          <w:tcPr>
            <w:tcW w:w="513" w:type="dxa"/>
            <w:vAlign w:val="center"/>
          </w:tcPr>
          <w:p w14:paraId="6A35B7FE" w14:textId="77777777" w:rsidR="00D170E5" w:rsidRPr="002B55E9" w:rsidRDefault="00EF27AD">
            <w:pPr>
              <w:widowControl/>
              <w:jc w:val="center"/>
              <w:textAlignment w:val="top"/>
              <w:rPr>
                <w:sz w:val="18"/>
                <w:szCs w:val="18"/>
              </w:rPr>
            </w:pPr>
            <w:r w:rsidRPr="002B55E9">
              <w:rPr>
                <w:sz w:val="18"/>
                <w:szCs w:val="18"/>
                <w:lang w:bidi="ar"/>
              </w:rPr>
              <w:t>2.6</w:t>
            </w:r>
          </w:p>
        </w:tc>
        <w:tc>
          <w:tcPr>
            <w:tcW w:w="432" w:type="dxa"/>
            <w:vAlign w:val="center"/>
          </w:tcPr>
          <w:p w14:paraId="29E08449" w14:textId="77777777" w:rsidR="00D170E5" w:rsidRPr="002B55E9" w:rsidRDefault="00EF27AD">
            <w:pPr>
              <w:widowControl/>
              <w:jc w:val="center"/>
              <w:textAlignment w:val="top"/>
              <w:rPr>
                <w:sz w:val="18"/>
                <w:szCs w:val="18"/>
              </w:rPr>
            </w:pPr>
            <w:r w:rsidRPr="002B55E9">
              <w:rPr>
                <w:sz w:val="18"/>
                <w:szCs w:val="18"/>
                <w:lang w:bidi="ar"/>
              </w:rPr>
              <w:t>1.6</w:t>
            </w:r>
          </w:p>
        </w:tc>
        <w:tc>
          <w:tcPr>
            <w:tcW w:w="574" w:type="dxa"/>
            <w:vAlign w:val="center"/>
          </w:tcPr>
          <w:p w14:paraId="253FA569" w14:textId="77777777" w:rsidR="00D170E5" w:rsidRPr="002B55E9" w:rsidRDefault="00EF27AD">
            <w:pPr>
              <w:widowControl/>
              <w:jc w:val="center"/>
              <w:textAlignment w:val="top"/>
              <w:rPr>
                <w:sz w:val="18"/>
                <w:szCs w:val="18"/>
              </w:rPr>
            </w:pPr>
            <w:r w:rsidRPr="002B55E9">
              <w:rPr>
                <w:sz w:val="18"/>
                <w:szCs w:val="18"/>
                <w:lang w:bidi="ar"/>
              </w:rPr>
              <w:t>2.0</w:t>
            </w:r>
          </w:p>
        </w:tc>
        <w:tc>
          <w:tcPr>
            <w:tcW w:w="476" w:type="dxa"/>
            <w:vAlign w:val="center"/>
          </w:tcPr>
          <w:p w14:paraId="15B96C2A" w14:textId="77777777" w:rsidR="00D170E5" w:rsidRPr="002B55E9" w:rsidRDefault="00EF27AD">
            <w:pPr>
              <w:widowControl/>
              <w:jc w:val="center"/>
              <w:textAlignment w:val="top"/>
              <w:rPr>
                <w:sz w:val="18"/>
                <w:szCs w:val="18"/>
              </w:rPr>
            </w:pPr>
            <w:r w:rsidRPr="002B55E9">
              <w:rPr>
                <w:sz w:val="18"/>
                <w:szCs w:val="18"/>
                <w:lang w:bidi="ar"/>
              </w:rPr>
              <w:t>1.8</w:t>
            </w:r>
          </w:p>
        </w:tc>
        <w:tc>
          <w:tcPr>
            <w:tcW w:w="642" w:type="dxa"/>
            <w:vAlign w:val="center"/>
          </w:tcPr>
          <w:p w14:paraId="05773185" w14:textId="77777777" w:rsidR="00D170E5" w:rsidRPr="002B55E9" w:rsidRDefault="00EF27AD">
            <w:pPr>
              <w:widowControl/>
              <w:jc w:val="center"/>
              <w:textAlignment w:val="top"/>
              <w:rPr>
                <w:sz w:val="18"/>
                <w:szCs w:val="18"/>
              </w:rPr>
            </w:pPr>
            <w:r w:rsidRPr="002B55E9">
              <w:rPr>
                <w:sz w:val="18"/>
                <w:szCs w:val="18"/>
                <w:lang w:bidi="ar"/>
              </w:rPr>
              <w:t>1.8</w:t>
            </w:r>
          </w:p>
        </w:tc>
        <w:tc>
          <w:tcPr>
            <w:tcW w:w="432" w:type="dxa"/>
            <w:vAlign w:val="center"/>
          </w:tcPr>
          <w:p w14:paraId="48B37FE0" w14:textId="77777777" w:rsidR="00D170E5" w:rsidRPr="002B55E9" w:rsidRDefault="00EF27AD">
            <w:pPr>
              <w:widowControl/>
              <w:jc w:val="center"/>
              <w:textAlignment w:val="top"/>
              <w:rPr>
                <w:sz w:val="18"/>
                <w:szCs w:val="18"/>
              </w:rPr>
            </w:pPr>
            <w:r w:rsidRPr="002B55E9">
              <w:rPr>
                <w:sz w:val="18"/>
                <w:szCs w:val="18"/>
                <w:lang w:bidi="ar"/>
              </w:rPr>
              <w:t>3.8</w:t>
            </w:r>
          </w:p>
        </w:tc>
        <w:tc>
          <w:tcPr>
            <w:tcW w:w="671" w:type="dxa"/>
            <w:vAlign w:val="center"/>
          </w:tcPr>
          <w:p w14:paraId="293D95EF" w14:textId="77777777" w:rsidR="00D170E5" w:rsidRPr="002B55E9" w:rsidRDefault="00EF27AD">
            <w:pPr>
              <w:widowControl/>
              <w:jc w:val="center"/>
              <w:textAlignment w:val="top"/>
              <w:rPr>
                <w:sz w:val="18"/>
                <w:szCs w:val="18"/>
              </w:rPr>
            </w:pPr>
            <w:r w:rsidRPr="002B55E9">
              <w:rPr>
                <w:sz w:val="18"/>
                <w:szCs w:val="18"/>
                <w:lang w:bidi="ar"/>
              </w:rPr>
              <w:t>3.0</w:t>
            </w:r>
          </w:p>
        </w:tc>
        <w:tc>
          <w:tcPr>
            <w:tcW w:w="505" w:type="dxa"/>
            <w:vAlign w:val="center"/>
          </w:tcPr>
          <w:p w14:paraId="3AADB855" w14:textId="77777777" w:rsidR="00D170E5" w:rsidRPr="002B55E9" w:rsidRDefault="00EF27AD">
            <w:pPr>
              <w:widowControl/>
              <w:jc w:val="center"/>
              <w:textAlignment w:val="top"/>
              <w:rPr>
                <w:sz w:val="18"/>
                <w:szCs w:val="18"/>
              </w:rPr>
            </w:pPr>
            <w:r w:rsidRPr="002B55E9">
              <w:rPr>
                <w:sz w:val="18"/>
                <w:szCs w:val="18"/>
                <w:lang w:bidi="ar"/>
              </w:rPr>
              <w:t>4.5</w:t>
            </w:r>
          </w:p>
        </w:tc>
        <w:tc>
          <w:tcPr>
            <w:tcW w:w="551" w:type="dxa"/>
            <w:vAlign w:val="center"/>
          </w:tcPr>
          <w:p w14:paraId="35856BCC" w14:textId="77777777" w:rsidR="00D170E5" w:rsidRPr="002B55E9" w:rsidRDefault="00EF27AD">
            <w:pPr>
              <w:widowControl/>
              <w:jc w:val="center"/>
              <w:textAlignment w:val="top"/>
              <w:rPr>
                <w:sz w:val="18"/>
                <w:szCs w:val="18"/>
              </w:rPr>
            </w:pPr>
            <w:r w:rsidRPr="002B55E9">
              <w:rPr>
                <w:sz w:val="18"/>
                <w:szCs w:val="18"/>
                <w:lang w:bidi="ar"/>
              </w:rPr>
              <w:t>8.1</w:t>
            </w:r>
          </w:p>
        </w:tc>
        <w:tc>
          <w:tcPr>
            <w:tcW w:w="601" w:type="dxa"/>
            <w:vAlign w:val="center"/>
          </w:tcPr>
          <w:p w14:paraId="5A853F8F" w14:textId="77777777" w:rsidR="00D170E5" w:rsidRPr="002B55E9" w:rsidRDefault="00EF27AD">
            <w:pPr>
              <w:widowControl/>
              <w:jc w:val="center"/>
              <w:textAlignment w:val="top"/>
              <w:rPr>
                <w:sz w:val="18"/>
                <w:szCs w:val="18"/>
              </w:rPr>
            </w:pPr>
            <w:r w:rsidRPr="002B55E9">
              <w:rPr>
                <w:sz w:val="18"/>
                <w:szCs w:val="18"/>
                <w:lang w:bidi="ar"/>
              </w:rPr>
              <w:t>20.8</w:t>
            </w:r>
          </w:p>
        </w:tc>
      </w:tr>
      <w:tr w:rsidR="002B55E9" w:rsidRPr="002B55E9" w14:paraId="56BE05AE" w14:textId="77777777">
        <w:trPr>
          <w:trHeight w:val="255"/>
          <w:jc w:val="center"/>
        </w:trPr>
        <w:tc>
          <w:tcPr>
            <w:tcW w:w="691" w:type="dxa"/>
            <w:vAlign w:val="center"/>
          </w:tcPr>
          <w:p w14:paraId="014FED4A" w14:textId="77777777" w:rsidR="00D170E5" w:rsidRPr="002B55E9" w:rsidRDefault="00EF27AD">
            <w:pPr>
              <w:jc w:val="center"/>
              <w:rPr>
                <w:sz w:val="18"/>
                <w:szCs w:val="18"/>
              </w:rPr>
            </w:pPr>
            <w:r w:rsidRPr="002B55E9">
              <w:rPr>
                <w:sz w:val="18"/>
                <w:szCs w:val="18"/>
              </w:rPr>
              <w:t>十二月</w:t>
            </w:r>
          </w:p>
        </w:tc>
        <w:tc>
          <w:tcPr>
            <w:tcW w:w="517" w:type="dxa"/>
            <w:vAlign w:val="center"/>
          </w:tcPr>
          <w:p w14:paraId="724EEB86" w14:textId="77777777" w:rsidR="00D170E5" w:rsidRPr="002B55E9" w:rsidRDefault="00EF27AD">
            <w:pPr>
              <w:widowControl/>
              <w:jc w:val="center"/>
              <w:textAlignment w:val="top"/>
              <w:rPr>
                <w:sz w:val="18"/>
                <w:szCs w:val="18"/>
              </w:rPr>
            </w:pPr>
            <w:r w:rsidRPr="002B55E9">
              <w:rPr>
                <w:sz w:val="18"/>
                <w:szCs w:val="18"/>
                <w:lang w:bidi="ar"/>
              </w:rPr>
              <w:t>9.7</w:t>
            </w:r>
          </w:p>
        </w:tc>
        <w:tc>
          <w:tcPr>
            <w:tcW w:w="572" w:type="dxa"/>
            <w:vAlign w:val="center"/>
          </w:tcPr>
          <w:p w14:paraId="58AE63FF" w14:textId="77777777" w:rsidR="00D170E5" w:rsidRPr="002B55E9" w:rsidRDefault="00EF27AD">
            <w:pPr>
              <w:widowControl/>
              <w:jc w:val="center"/>
              <w:textAlignment w:val="top"/>
              <w:rPr>
                <w:sz w:val="18"/>
                <w:szCs w:val="18"/>
              </w:rPr>
            </w:pPr>
            <w:r w:rsidRPr="002B55E9">
              <w:rPr>
                <w:sz w:val="18"/>
                <w:szCs w:val="18"/>
                <w:lang w:bidi="ar"/>
              </w:rPr>
              <w:t>13.0</w:t>
            </w:r>
          </w:p>
        </w:tc>
        <w:tc>
          <w:tcPr>
            <w:tcW w:w="517" w:type="dxa"/>
            <w:vAlign w:val="center"/>
          </w:tcPr>
          <w:p w14:paraId="353F1DCE" w14:textId="77777777" w:rsidR="00D170E5" w:rsidRPr="002B55E9" w:rsidRDefault="00EF27AD">
            <w:pPr>
              <w:widowControl/>
              <w:jc w:val="center"/>
              <w:textAlignment w:val="top"/>
              <w:rPr>
                <w:sz w:val="18"/>
                <w:szCs w:val="18"/>
              </w:rPr>
            </w:pPr>
            <w:r w:rsidRPr="002B55E9">
              <w:rPr>
                <w:sz w:val="18"/>
                <w:szCs w:val="18"/>
                <w:lang w:bidi="ar"/>
              </w:rPr>
              <w:t>13.0</w:t>
            </w:r>
          </w:p>
        </w:tc>
        <w:tc>
          <w:tcPr>
            <w:tcW w:w="555" w:type="dxa"/>
            <w:vAlign w:val="center"/>
          </w:tcPr>
          <w:p w14:paraId="51673E74" w14:textId="77777777" w:rsidR="00D170E5" w:rsidRPr="002B55E9" w:rsidRDefault="00EF27AD">
            <w:pPr>
              <w:widowControl/>
              <w:jc w:val="center"/>
              <w:textAlignment w:val="top"/>
              <w:rPr>
                <w:sz w:val="18"/>
                <w:szCs w:val="18"/>
              </w:rPr>
            </w:pPr>
            <w:r w:rsidRPr="002B55E9">
              <w:rPr>
                <w:sz w:val="18"/>
                <w:szCs w:val="18"/>
                <w:lang w:bidi="ar"/>
              </w:rPr>
              <w:t>7.5</w:t>
            </w:r>
          </w:p>
        </w:tc>
        <w:tc>
          <w:tcPr>
            <w:tcW w:w="432" w:type="dxa"/>
            <w:vAlign w:val="center"/>
          </w:tcPr>
          <w:p w14:paraId="00D3C116" w14:textId="77777777" w:rsidR="00D170E5" w:rsidRPr="002B55E9" w:rsidRDefault="00EF27AD">
            <w:pPr>
              <w:widowControl/>
              <w:jc w:val="center"/>
              <w:textAlignment w:val="top"/>
              <w:rPr>
                <w:sz w:val="18"/>
                <w:szCs w:val="18"/>
              </w:rPr>
            </w:pPr>
            <w:r w:rsidRPr="002B55E9">
              <w:rPr>
                <w:sz w:val="18"/>
                <w:szCs w:val="18"/>
                <w:lang w:bidi="ar"/>
              </w:rPr>
              <w:t>4.0</w:t>
            </w:r>
          </w:p>
        </w:tc>
        <w:tc>
          <w:tcPr>
            <w:tcW w:w="524" w:type="dxa"/>
            <w:vAlign w:val="center"/>
          </w:tcPr>
          <w:p w14:paraId="56A30D68" w14:textId="77777777" w:rsidR="00D170E5" w:rsidRPr="002B55E9" w:rsidRDefault="00EF27AD">
            <w:pPr>
              <w:widowControl/>
              <w:jc w:val="center"/>
              <w:textAlignment w:val="top"/>
              <w:rPr>
                <w:sz w:val="18"/>
                <w:szCs w:val="18"/>
              </w:rPr>
            </w:pPr>
            <w:r w:rsidRPr="002B55E9">
              <w:rPr>
                <w:sz w:val="18"/>
                <w:szCs w:val="18"/>
                <w:lang w:bidi="ar"/>
              </w:rPr>
              <w:t>2.4</w:t>
            </w:r>
          </w:p>
        </w:tc>
        <w:tc>
          <w:tcPr>
            <w:tcW w:w="432" w:type="dxa"/>
            <w:vAlign w:val="center"/>
          </w:tcPr>
          <w:p w14:paraId="48463343" w14:textId="77777777" w:rsidR="00D170E5" w:rsidRPr="002B55E9" w:rsidRDefault="00EF27AD">
            <w:pPr>
              <w:widowControl/>
              <w:jc w:val="center"/>
              <w:textAlignment w:val="top"/>
              <w:rPr>
                <w:sz w:val="18"/>
                <w:szCs w:val="18"/>
              </w:rPr>
            </w:pPr>
            <w:r w:rsidRPr="002B55E9">
              <w:rPr>
                <w:sz w:val="18"/>
                <w:szCs w:val="18"/>
                <w:lang w:bidi="ar"/>
              </w:rPr>
              <w:t>3.0</w:t>
            </w:r>
          </w:p>
        </w:tc>
        <w:tc>
          <w:tcPr>
            <w:tcW w:w="513" w:type="dxa"/>
            <w:vAlign w:val="center"/>
          </w:tcPr>
          <w:p w14:paraId="48296688" w14:textId="77777777" w:rsidR="00D170E5" w:rsidRPr="002B55E9" w:rsidRDefault="00EF27AD">
            <w:pPr>
              <w:widowControl/>
              <w:jc w:val="center"/>
              <w:textAlignment w:val="top"/>
              <w:rPr>
                <w:sz w:val="18"/>
                <w:szCs w:val="18"/>
              </w:rPr>
            </w:pPr>
            <w:r w:rsidRPr="002B55E9">
              <w:rPr>
                <w:sz w:val="18"/>
                <w:szCs w:val="18"/>
                <w:lang w:bidi="ar"/>
              </w:rPr>
              <w:t>2.6</w:t>
            </w:r>
          </w:p>
        </w:tc>
        <w:tc>
          <w:tcPr>
            <w:tcW w:w="432" w:type="dxa"/>
            <w:vAlign w:val="center"/>
          </w:tcPr>
          <w:p w14:paraId="774F5D66" w14:textId="77777777" w:rsidR="00D170E5" w:rsidRPr="002B55E9" w:rsidRDefault="00EF27AD">
            <w:pPr>
              <w:widowControl/>
              <w:jc w:val="center"/>
              <w:textAlignment w:val="top"/>
              <w:rPr>
                <w:sz w:val="18"/>
                <w:szCs w:val="18"/>
              </w:rPr>
            </w:pPr>
            <w:r w:rsidRPr="002B55E9">
              <w:rPr>
                <w:sz w:val="18"/>
                <w:szCs w:val="18"/>
                <w:lang w:bidi="ar"/>
              </w:rPr>
              <w:t>1.9</w:t>
            </w:r>
          </w:p>
        </w:tc>
        <w:tc>
          <w:tcPr>
            <w:tcW w:w="574" w:type="dxa"/>
            <w:vAlign w:val="center"/>
          </w:tcPr>
          <w:p w14:paraId="3ABF04C5" w14:textId="77777777" w:rsidR="00D170E5" w:rsidRPr="002B55E9" w:rsidRDefault="00EF27AD">
            <w:pPr>
              <w:widowControl/>
              <w:jc w:val="center"/>
              <w:textAlignment w:val="top"/>
              <w:rPr>
                <w:sz w:val="18"/>
                <w:szCs w:val="18"/>
              </w:rPr>
            </w:pPr>
            <w:r w:rsidRPr="002B55E9">
              <w:rPr>
                <w:sz w:val="18"/>
                <w:szCs w:val="18"/>
                <w:lang w:bidi="ar"/>
              </w:rPr>
              <w:t>2.0</w:t>
            </w:r>
          </w:p>
        </w:tc>
        <w:tc>
          <w:tcPr>
            <w:tcW w:w="476" w:type="dxa"/>
            <w:vAlign w:val="center"/>
          </w:tcPr>
          <w:p w14:paraId="4D26D700" w14:textId="77777777" w:rsidR="00D170E5" w:rsidRPr="002B55E9" w:rsidRDefault="00EF27AD">
            <w:pPr>
              <w:widowControl/>
              <w:jc w:val="center"/>
              <w:textAlignment w:val="top"/>
              <w:rPr>
                <w:sz w:val="18"/>
                <w:szCs w:val="18"/>
              </w:rPr>
            </w:pPr>
            <w:r w:rsidRPr="002B55E9">
              <w:rPr>
                <w:sz w:val="18"/>
                <w:szCs w:val="18"/>
                <w:lang w:bidi="ar"/>
              </w:rPr>
              <w:t>1.3</w:t>
            </w:r>
          </w:p>
        </w:tc>
        <w:tc>
          <w:tcPr>
            <w:tcW w:w="642" w:type="dxa"/>
            <w:vAlign w:val="center"/>
          </w:tcPr>
          <w:p w14:paraId="6613083E" w14:textId="77777777" w:rsidR="00D170E5" w:rsidRPr="002B55E9" w:rsidRDefault="00EF27AD">
            <w:pPr>
              <w:widowControl/>
              <w:jc w:val="center"/>
              <w:textAlignment w:val="top"/>
              <w:rPr>
                <w:sz w:val="18"/>
                <w:szCs w:val="18"/>
              </w:rPr>
            </w:pPr>
            <w:r w:rsidRPr="002B55E9">
              <w:rPr>
                <w:sz w:val="18"/>
                <w:szCs w:val="18"/>
                <w:lang w:bidi="ar"/>
              </w:rPr>
              <w:t>2.7</w:t>
            </w:r>
          </w:p>
        </w:tc>
        <w:tc>
          <w:tcPr>
            <w:tcW w:w="432" w:type="dxa"/>
            <w:vAlign w:val="center"/>
          </w:tcPr>
          <w:p w14:paraId="03302C49" w14:textId="77777777" w:rsidR="00D170E5" w:rsidRPr="002B55E9" w:rsidRDefault="00EF27AD">
            <w:pPr>
              <w:widowControl/>
              <w:jc w:val="center"/>
              <w:textAlignment w:val="top"/>
              <w:rPr>
                <w:sz w:val="18"/>
                <w:szCs w:val="18"/>
              </w:rPr>
            </w:pPr>
            <w:r w:rsidRPr="002B55E9">
              <w:rPr>
                <w:sz w:val="18"/>
                <w:szCs w:val="18"/>
                <w:lang w:bidi="ar"/>
              </w:rPr>
              <w:t>4.0</w:t>
            </w:r>
          </w:p>
        </w:tc>
        <w:tc>
          <w:tcPr>
            <w:tcW w:w="671" w:type="dxa"/>
            <w:vAlign w:val="center"/>
          </w:tcPr>
          <w:p w14:paraId="6A1FA65D" w14:textId="77777777" w:rsidR="00D170E5" w:rsidRPr="002B55E9" w:rsidRDefault="00EF27AD">
            <w:pPr>
              <w:widowControl/>
              <w:jc w:val="center"/>
              <w:textAlignment w:val="top"/>
              <w:rPr>
                <w:sz w:val="18"/>
                <w:szCs w:val="18"/>
              </w:rPr>
            </w:pPr>
            <w:r w:rsidRPr="002B55E9">
              <w:rPr>
                <w:sz w:val="18"/>
                <w:szCs w:val="18"/>
                <w:lang w:bidi="ar"/>
              </w:rPr>
              <w:t>3.4</w:t>
            </w:r>
          </w:p>
        </w:tc>
        <w:tc>
          <w:tcPr>
            <w:tcW w:w="505" w:type="dxa"/>
            <w:vAlign w:val="center"/>
          </w:tcPr>
          <w:p w14:paraId="5B3E2051" w14:textId="77777777" w:rsidR="00D170E5" w:rsidRPr="002B55E9" w:rsidRDefault="00EF27AD">
            <w:pPr>
              <w:widowControl/>
              <w:jc w:val="center"/>
              <w:textAlignment w:val="top"/>
              <w:rPr>
                <w:sz w:val="18"/>
                <w:szCs w:val="18"/>
              </w:rPr>
            </w:pPr>
            <w:r w:rsidRPr="002B55E9">
              <w:rPr>
                <w:sz w:val="18"/>
                <w:szCs w:val="18"/>
                <w:lang w:bidi="ar"/>
              </w:rPr>
              <w:t>5.0</w:t>
            </w:r>
          </w:p>
        </w:tc>
        <w:tc>
          <w:tcPr>
            <w:tcW w:w="551" w:type="dxa"/>
            <w:vAlign w:val="center"/>
          </w:tcPr>
          <w:p w14:paraId="796AAECB" w14:textId="77777777" w:rsidR="00D170E5" w:rsidRPr="002B55E9" w:rsidRDefault="00EF27AD">
            <w:pPr>
              <w:widowControl/>
              <w:jc w:val="center"/>
              <w:textAlignment w:val="top"/>
              <w:rPr>
                <w:sz w:val="18"/>
                <w:szCs w:val="18"/>
              </w:rPr>
            </w:pPr>
            <w:r w:rsidRPr="002B55E9">
              <w:rPr>
                <w:sz w:val="18"/>
                <w:szCs w:val="18"/>
                <w:lang w:bidi="ar"/>
              </w:rPr>
              <w:t>7.4</w:t>
            </w:r>
          </w:p>
        </w:tc>
        <w:tc>
          <w:tcPr>
            <w:tcW w:w="601" w:type="dxa"/>
            <w:vAlign w:val="center"/>
          </w:tcPr>
          <w:p w14:paraId="0CC0AD1E" w14:textId="77777777" w:rsidR="00D170E5" w:rsidRPr="002B55E9" w:rsidRDefault="00EF27AD">
            <w:pPr>
              <w:widowControl/>
              <w:jc w:val="center"/>
              <w:textAlignment w:val="top"/>
              <w:rPr>
                <w:sz w:val="18"/>
                <w:szCs w:val="18"/>
              </w:rPr>
            </w:pPr>
            <w:r w:rsidRPr="002B55E9">
              <w:rPr>
                <w:sz w:val="18"/>
                <w:szCs w:val="18"/>
                <w:lang w:bidi="ar"/>
              </w:rPr>
              <w:t>17.3</w:t>
            </w:r>
          </w:p>
        </w:tc>
      </w:tr>
    </w:tbl>
    <w:p w14:paraId="52ECBD60" w14:textId="77777777" w:rsidR="00D170E5" w:rsidRPr="002B55E9" w:rsidRDefault="00EF27AD">
      <w:pPr>
        <w:widowControl/>
        <w:adjustRightInd w:val="0"/>
        <w:snapToGrid w:val="0"/>
        <w:spacing w:line="360" w:lineRule="auto"/>
        <w:jc w:val="center"/>
        <w:rPr>
          <w:snapToGrid w:val="0"/>
          <w:sz w:val="24"/>
        </w:rPr>
      </w:pPr>
      <w:r w:rsidRPr="002B55E9">
        <w:rPr>
          <w:bCs/>
          <w:noProof/>
          <w:snapToGrid w:val="0"/>
          <w:sz w:val="24"/>
        </w:rPr>
        <w:lastRenderedPageBreak/>
        <w:drawing>
          <wp:inline distT="0" distB="0" distL="0" distR="0" wp14:anchorId="5DEE7B7A" wp14:editId="2103E458">
            <wp:extent cx="2851785" cy="2135505"/>
            <wp:effectExtent l="0" t="0" r="0" b="0"/>
            <wp:docPr id="19" name="图片 69" descr="1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descr="1月"/>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51785" cy="2135505"/>
                    </a:xfrm>
                    <a:prstGeom prst="rect">
                      <a:avLst/>
                    </a:prstGeom>
                    <a:noFill/>
                    <a:ln>
                      <a:noFill/>
                    </a:ln>
                  </pic:spPr>
                </pic:pic>
              </a:graphicData>
            </a:graphic>
          </wp:inline>
        </w:drawing>
      </w:r>
      <w:r w:rsidRPr="002B55E9">
        <w:rPr>
          <w:bCs/>
          <w:snapToGrid w:val="0"/>
          <w:sz w:val="24"/>
        </w:rPr>
        <w:t xml:space="preserve">   </w:t>
      </w:r>
      <w:r w:rsidRPr="002B55E9">
        <w:rPr>
          <w:rFonts w:hint="eastAsia"/>
          <w:noProof/>
          <w:snapToGrid w:val="0"/>
          <w:sz w:val="24"/>
        </w:rPr>
        <w:drawing>
          <wp:inline distT="0" distB="0" distL="0" distR="0" wp14:anchorId="2D5BC276" wp14:editId="343FEF13">
            <wp:extent cx="2905760" cy="2177415"/>
            <wp:effectExtent l="0" t="0" r="0" b="0"/>
            <wp:docPr id="20" name="图片 70" descr="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descr="2月"/>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905760" cy="2177415"/>
                    </a:xfrm>
                    <a:prstGeom prst="rect">
                      <a:avLst/>
                    </a:prstGeom>
                    <a:noFill/>
                    <a:ln>
                      <a:noFill/>
                    </a:ln>
                  </pic:spPr>
                </pic:pic>
              </a:graphicData>
            </a:graphic>
          </wp:inline>
        </w:drawing>
      </w:r>
    </w:p>
    <w:p w14:paraId="5F29EB8F" w14:textId="77777777" w:rsidR="00D170E5" w:rsidRPr="002B55E9" w:rsidRDefault="00EF27AD">
      <w:pPr>
        <w:widowControl/>
        <w:adjustRightInd w:val="0"/>
        <w:snapToGrid w:val="0"/>
        <w:spacing w:line="360" w:lineRule="auto"/>
        <w:jc w:val="center"/>
        <w:rPr>
          <w:bCs/>
          <w:sz w:val="24"/>
        </w:rPr>
      </w:pPr>
      <w:r w:rsidRPr="002B55E9">
        <w:rPr>
          <w:bCs/>
          <w:noProof/>
          <w:snapToGrid w:val="0"/>
          <w:sz w:val="24"/>
        </w:rPr>
        <w:drawing>
          <wp:inline distT="0" distB="0" distL="0" distR="0" wp14:anchorId="13C38D50" wp14:editId="5010EEA2">
            <wp:extent cx="2851785" cy="2129790"/>
            <wp:effectExtent l="0" t="0" r="0" b="0"/>
            <wp:docPr id="21" name="图片 71" descr="3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descr="3月"/>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851785" cy="2129790"/>
                    </a:xfrm>
                    <a:prstGeom prst="rect">
                      <a:avLst/>
                    </a:prstGeom>
                    <a:noFill/>
                    <a:ln>
                      <a:noFill/>
                    </a:ln>
                  </pic:spPr>
                </pic:pic>
              </a:graphicData>
            </a:graphic>
          </wp:inline>
        </w:drawing>
      </w:r>
      <w:r w:rsidRPr="002B55E9">
        <w:rPr>
          <w:bCs/>
          <w:snapToGrid w:val="0"/>
          <w:sz w:val="24"/>
        </w:rPr>
        <w:t xml:space="preserve"> </w:t>
      </w:r>
      <w:r w:rsidRPr="002B55E9">
        <w:rPr>
          <w:rFonts w:hint="eastAsia"/>
          <w:bCs/>
          <w:snapToGrid w:val="0"/>
          <w:sz w:val="24"/>
        </w:rPr>
        <w:t xml:space="preserve">  </w:t>
      </w:r>
      <w:r w:rsidRPr="002B55E9">
        <w:rPr>
          <w:bCs/>
          <w:snapToGrid w:val="0"/>
          <w:sz w:val="24"/>
        </w:rPr>
        <w:t xml:space="preserve">  </w:t>
      </w:r>
      <w:r w:rsidRPr="002B55E9">
        <w:rPr>
          <w:rFonts w:hint="eastAsia"/>
          <w:bCs/>
          <w:noProof/>
          <w:sz w:val="24"/>
        </w:rPr>
        <w:drawing>
          <wp:inline distT="0" distB="0" distL="0" distR="0" wp14:anchorId="349F9C03" wp14:editId="6A30ECCA">
            <wp:extent cx="2815590" cy="2123440"/>
            <wp:effectExtent l="0" t="0" r="0" b="0"/>
            <wp:docPr id="22" name="图片 72" descr="4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descr="4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15590" cy="2123440"/>
                    </a:xfrm>
                    <a:prstGeom prst="rect">
                      <a:avLst/>
                    </a:prstGeom>
                    <a:noFill/>
                    <a:ln>
                      <a:noFill/>
                    </a:ln>
                  </pic:spPr>
                </pic:pic>
              </a:graphicData>
            </a:graphic>
          </wp:inline>
        </w:drawing>
      </w:r>
    </w:p>
    <w:p w14:paraId="663EA510" w14:textId="77777777" w:rsidR="00D170E5" w:rsidRPr="002B55E9" w:rsidRDefault="00EF27AD">
      <w:pPr>
        <w:widowControl/>
        <w:adjustRightInd w:val="0"/>
        <w:snapToGrid w:val="0"/>
        <w:spacing w:line="360" w:lineRule="auto"/>
        <w:jc w:val="center"/>
        <w:rPr>
          <w:snapToGrid w:val="0"/>
          <w:sz w:val="24"/>
        </w:rPr>
      </w:pPr>
      <w:r w:rsidRPr="002B55E9">
        <w:rPr>
          <w:bCs/>
          <w:noProof/>
          <w:sz w:val="24"/>
        </w:rPr>
        <w:drawing>
          <wp:inline distT="0" distB="0" distL="0" distR="0" wp14:anchorId="71F8E915" wp14:editId="7512B373">
            <wp:extent cx="2959735" cy="2219960"/>
            <wp:effectExtent l="0" t="0" r="0" b="0"/>
            <wp:docPr id="23" name="图片 73" descr="5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descr="5月"/>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959735" cy="2219960"/>
                    </a:xfrm>
                    <a:prstGeom prst="rect">
                      <a:avLst/>
                    </a:prstGeom>
                    <a:noFill/>
                    <a:ln>
                      <a:noFill/>
                    </a:ln>
                  </pic:spPr>
                </pic:pic>
              </a:graphicData>
            </a:graphic>
          </wp:inline>
        </w:drawing>
      </w:r>
      <w:r w:rsidRPr="002B55E9">
        <w:rPr>
          <w:bCs/>
          <w:sz w:val="24"/>
        </w:rPr>
        <w:t xml:space="preserve">   </w:t>
      </w:r>
      <w:r w:rsidRPr="002B55E9">
        <w:rPr>
          <w:bCs/>
          <w:noProof/>
          <w:sz w:val="24"/>
        </w:rPr>
        <w:drawing>
          <wp:inline distT="0" distB="0" distL="0" distR="0" wp14:anchorId="697B4779" wp14:editId="3971E12C">
            <wp:extent cx="2821305" cy="2111375"/>
            <wp:effectExtent l="0" t="0" r="0" b="0"/>
            <wp:docPr id="24" name="图片 74" descr="6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descr="6月"/>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21305" cy="2111375"/>
                    </a:xfrm>
                    <a:prstGeom prst="rect">
                      <a:avLst/>
                    </a:prstGeom>
                    <a:noFill/>
                    <a:ln>
                      <a:noFill/>
                    </a:ln>
                  </pic:spPr>
                </pic:pic>
              </a:graphicData>
            </a:graphic>
          </wp:inline>
        </w:drawing>
      </w:r>
      <w:r w:rsidRPr="002B55E9">
        <w:rPr>
          <w:bCs/>
          <w:sz w:val="24"/>
        </w:rPr>
        <w:t xml:space="preserve">  </w:t>
      </w:r>
    </w:p>
    <w:p w14:paraId="0C4F4808" w14:textId="77777777" w:rsidR="00D170E5" w:rsidRPr="002B55E9" w:rsidRDefault="00EF27AD">
      <w:pPr>
        <w:widowControl/>
        <w:adjustRightInd w:val="0"/>
        <w:snapToGrid w:val="0"/>
        <w:spacing w:line="360" w:lineRule="auto"/>
        <w:ind w:firstLineChars="200" w:firstLine="480"/>
        <w:jc w:val="center"/>
        <w:rPr>
          <w:rFonts w:hAnsi="宋体"/>
          <w:bCs/>
          <w:snapToGrid w:val="0"/>
          <w:sz w:val="24"/>
        </w:rPr>
      </w:pPr>
      <w:r w:rsidRPr="002B55E9">
        <w:rPr>
          <w:rFonts w:hAnsi="宋体" w:hint="eastAsia"/>
          <w:bCs/>
          <w:noProof/>
          <w:snapToGrid w:val="0"/>
          <w:sz w:val="24"/>
        </w:rPr>
        <w:drawing>
          <wp:inline distT="0" distB="0" distL="0" distR="0" wp14:anchorId="60D82442" wp14:editId="5EF3D88F">
            <wp:extent cx="2815590" cy="2105660"/>
            <wp:effectExtent l="0" t="0" r="0" b="0"/>
            <wp:docPr id="25" name="图片 75" descr="7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descr="7月"/>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15590" cy="2105660"/>
                    </a:xfrm>
                    <a:prstGeom prst="rect">
                      <a:avLst/>
                    </a:prstGeom>
                    <a:noFill/>
                    <a:ln>
                      <a:noFill/>
                    </a:ln>
                  </pic:spPr>
                </pic:pic>
              </a:graphicData>
            </a:graphic>
          </wp:inline>
        </w:drawing>
      </w:r>
      <w:r w:rsidRPr="002B55E9">
        <w:rPr>
          <w:rFonts w:hAnsi="宋体" w:hint="eastAsia"/>
          <w:bCs/>
          <w:noProof/>
          <w:snapToGrid w:val="0"/>
          <w:sz w:val="24"/>
        </w:rPr>
        <w:drawing>
          <wp:inline distT="0" distB="0" distL="0" distR="0" wp14:anchorId="4BC7C4F5" wp14:editId="49DBD122">
            <wp:extent cx="2815590" cy="2111375"/>
            <wp:effectExtent l="0" t="0" r="0" b="0"/>
            <wp:docPr id="26" name="图片 76" descr="8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descr="8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15590" cy="2111375"/>
                    </a:xfrm>
                    <a:prstGeom prst="rect">
                      <a:avLst/>
                    </a:prstGeom>
                    <a:noFill/>
                    <a:ln>
                      <a:noFill/>
                    </a:ln>
                  </pic:spPr>
                </pic:pic>
              </a:graphicData>
            </a:graphic>
          </wp:inline>
        </w:drawing>
      </w:r>
    </w:p>
    <w:p w14:paraId="588B1FFD" w14:textId="77777777" w:rsidR="00D170E5" w:rsidRPr="002B55E9" w:rsidRDefault="00EF27AD">
      <w:pPr>
        <w:widowControl/>
        <w:adjustRightInd w:val="0"/>
        <w:snapToGrid w:val="0"/>
        <w:spacing w:line="360" w:lineRule="auto"/>
        <w:ind w:firstLineChars="200" w:firstLine="480"/>
        <w:rPr>
          <w:rFonts w:hAnsi="宋体"/>
          <w:bCs/>
          <w:snapToGrid w:val="0"/>
          <w:sz w:val="24"/>
        </w:rPr>
      </w:pPr>
      <w:r w:rsidRPr="002B55E9">
        <w:rPr>
          <w:bCs/>
          <w:noProof/>
          <w:snapToGrid w:val="0"/>
          <w:sz w:val="24"/>
        </w:rPr>
        <w:lastRenderedPageBreak/>
        <w:drawing>
          <wp:inline distT="0" distB="0" distL="0" distR="0" wp14:anchorId="10F2CEEF" wp14:editId="4DF96889">
            <wp:extent cx="2803525" cy="2105660"/>
            <wp:effectExtent l="0" t="0" r="0" b="0"/>
            <wp:docPr id="27" name="图片 77" descr="9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descr="9月"/>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803525" cy="2105660"/>
                    </a:xfrm>
                    <a:prstGeom prst="rect">
                      <a:avLst/>
                    </a:prstGeom>
                    <a:noFill/>
                    <a:ln>
                      <a:noFill/>
                    </a:ln>
                  </pic:spPr>
                </pic:pic>
              </a:graphicData>
            </a:graphic>
          </wp:inline>
        </w:drawing>
      </w:r>
      <w:r w:rsidRPr="002B55E9">
        <w:rPr>
          <w:bCs/>
          <w:snapToGrid w:val="0"/>
          <w:sz w:val="24"/>
        </w:rPr>
        <w:t xml:space="preserve">   </w:t>
      </w:r>
      <w:r w:rsidRPr="002B55E9">
        <w:rPr>
          <w:rFonts w:hAnsi="宋体" w:hint="eastAsia"/>
          <w:bCs/>
          <w:noProof/>
          <w:snapToGrid w:val="0"/>
          <w:sz w:val="24"/>
        </w:rPr>
        <w:drawing>
          <wp:inline distT="0" distB="0" distL="0" distR="0" wp14:anchorId="742C3512" wp14:editId="5EFCE38E">
            <wp:extent cx="2731135" cy="2051685"/>
            <wp:effectExtent l="0" t="0" r="0" b="0"/>
            <wp:docPr id="28" name="图片 78" descr="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descr="10月"/>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31135" cy="2051685"/>
                    </a:xfrm>
                    <a:prstGeom prst="rect">
                      <a:avLst/>
                    </a:prstGeom>
                    <a:noFill/>
                    <a:ln>
                      <a:noFill/>
                    </a:ln>
                  </pic:spPr>
                </pic:pic>
              </a:graphicData>
            </a:graphic>
          </wp:inline>
        </w:drawing>
      </w:r>
    </w:p>
    <w:p w14:paraId="6C5718E1" w14:textId="77777777" w:rsidR="00D170E5" w:rsidRPr="002B55E9" w:rsidRDefault="00EF27AD">
      <w:pPr>
        <w:widowControl/>
        <w:adjustRightInd w:val="0"/>
        <w:snapToGrid w:val="0"/>
        <w:spacing w:line="360" w:lineRule="auto"/>
        <w:ind w:firstLineChars="200" w:firstLine="480"/>
        <w:rPr>
          <w:rFonts w:hAnsi="宋体"/>
          <w:bCs/>
          <w:snapToGrid w:val="0"/>
          <w:sz w:val="24"/>
        </w:rPr>
      </w:pPr>
      <w:r w:rsidRPr="002B55E9">
        <w:rPr>
          <w:bCs/>
          <w:noProof/>
          <w:sz w:val="24"/>
        </w:rPr>
        <w:drawing>
          <wp:inline distT="0" distB="0" distL="0" distR="0" wp14:anchorId="26B2ADB5" wp14:editId="2FBEBA8B">
            <wp:extent cx="2634615" cy="1972945"/>
            <wp:effectExtent l="0" t="0" r="0" b="0"/>
            <wp:docPr id="29" name="图片 79" descr="11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descr="11月"/>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634615" cy="1972945"/>
                    </a:xfrm>
                    <a:prstGeom prst="rect">
                      <a:avLst/>
                    </a:prstGeom>
                    <a:noFill/>
                    <a:ln>
                      <a:noFill/>
                    </a:ln>
                  </pic:spPr>
                </pic:pic>
              </a:graphicData>
            </a:graphic>
          </wp:inline>
        </w:drawing>
      </w:r>
      <w:r w:rsidRPr="002B55E9">
        <w:rPr>
          <w:bCs/>
          <w:sz w:val="24"/>
        </w:rPr>
        <w:t xml:space="preserve">    </w:t>
      </w:r>
      <w:r w:rsidRPr="002B55E9">
        <w:rPr>
          <w:rFonts w:hAnsi="宋体" w:hint="eastAsia"/>
          <w:bCs/>
          <w:noProof/>
          <w:snapToGrid w:val="0"/>
          <w:sz w:val="24"/>
        </w:rPr>
        <w:drawing>
          <wp:inline distT="0" distB="0" distL="0" distR="0" wp14:anchorId="43072C68" wp14:editId="053F5752">
            <wp:extent cx="2809240" cy="2105660"/>
            <wp:effectExtent l="0" t="0" r="0" b="0"/>
            <wp:docPr id="30" name="图片 80" descr="1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descr="12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09240" cy="2105660"/>
                    </a:xfrm>
                    <a:prstGeom prst="rect">
                      <a:avLst/>
                    </a:prstGeom>
                    <a:noFill/>
                    <a:ln>
                      <a:noFill/>
                    </a:ln>
                  </pic:spPr>
                </pic:pic>
              </a:graphicData>
            </a:graphic>
          </wp:inline>
        </w:drawing>
      </w:r>
    </w:p>
    <w:p w14:paraId="64626620" w14:textId="77777777" w:rsidR="00D170E5" w:rsidRPr="002B55E9" w:rsidRDefault="00EF27AD">
      <w:pPr>
        <w:spacing w:after="60" w:line="360" w:lineRule="auto"/>
        <w:jc w:val="center"/>
        <w:rPr>
          <w:b/>
          <w:sz w:val="24"/>
        </w:rPr>
      </w:pPr>
      <w:r w:rsidRPr="002B55E9">
        <w:rPr>
          <w:rFonts w:hint="eastAsia"/>
          <w:b/>
          <w:sz w:val="24"/>
        </w:rPr>
        <w:t>图</w:t>
      </w:r>
      <w:r w:rsidRPr="002B55E9">
        <w:rPr>
          <w:rFonts w:hint="eastAsia"/>
          <w:b/>
          <w:sz w:val="24"/>
        </w:rPr>
        <w:t xml:space="preserve">5-2-2  </w:t>
      </w:r>
      <w:r w:rsidRPr="002B55E9">
        <w:rPr>
          <w:rFonts w:hint="eastAsia"/>
          <w:b/>
          <w:sz w:val="24"/>
        </w:rPr>
        <w:t>武汉月风向玫瑰图</w:t>
      </w:r>
    </w:p>
    <w:p w14:paraId="2DF4B32A" w14:textId="77777777" w:rsidR="00D170E5" w:rsidRPr="002B55E9" w:rsidRDefault="00EF27AD">
      <w:pPr>
        <w:spacing w:line="360" w:lineRule="auto"/>
        <w:ind w:firstLineChars="200" w:firstLine="480"/>
        <w:rPr>
          <w:bCs/>
          <w:snapToGrid w:val="0"/>
          <w:sz w:val="24"/>
        </w:rPr>
      </w:pPr>
      <w:r w:rsidRPr="002B55E9">
        <w:rPr>
          <w:rFonts w:hint="eastAsia"/>
          <w:bCs/>
          <w:snapToGrid w:val="0"/>
          <w:sz w:val="24"/>
        </w:rPr>
        <w:t>（</w:t>
      </w:r>
      <w:r w:rsidRPr="002B55E9">
        <w:rPr>
          <w:rFonts w:hint="eastAsia"/>
          <w:bCs/>
          <w:snapToGrid w:val="0"/>
          <w:sz w:val="24"/>
        </w:rPr>
        <w:t>3</w:t>
      </w:r>
      <w:r w:rsidRPr="002B55E9">
        <w:rPr>
          <w:rFonts w:hint="eastAsia"/>
          <w:bCs/>
          <w:snapToGrid w:val="0"/>
          <w:sz w:val="24"/>
        </w:rPr>
        <w:t>）风速年际变化特征与周期分析</w:t>
      </w:r>
    </w:p>
    <w:p w14:paraId="1F8A2E6C"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根据近</w:t>
      </w:r>
      <w:r w:rsidRPr="002B55E9">
        <w:rPr>
          <w:bCs/>
          <w:sz w:val="24"/>
        </w:rPr>
        <w:t>20</w:t>
      </w:r>
      <w:r w:rsidRPr="002B55E9">
        <w:rPr>
          <w:rFonts w:hint="eastAsia"/>
          <w:bCs/>
          <w:sz w:val="24"/>
        </w:rPr>
        <w:t>年资料分析，武汉气象站风速呈现上升趋势，每年上升</w:t>
      </w:r>
      <w:r w:rsidRPr="002B55E9">
        <w:rPr>
          <w:bCs/>
          <w:sz w:val="24"/>
        </w:rPr>
        <w:t>0.0</w:t>
      </w:r>
      <w:r w:rsidRPr="002B55E9">
        <w:rPr>
          <w:rFonts w:hint="eastAsia"/>
          <w:bCs/>
          <w:sz w:val="24"/>
        </w:rPr>
        <w:t>3</w:t>
      </w:r>
      <w:r w:rsidRPr="002B55E9">
        <w:rPr>
          <w:bCs/>
          <w:sz w:val="24"/>
        </w:rPr>
        <w:t>%</w:t>
      </w:r>
      <w:r w:rsidRPr="002B55E9">
        <w:rPr>
          <w:rFonts w:hint="eastAsia"/>
          <w:bCs/>
          <w:sz w:val="24"/>
        </w:rPr>
        <w:t>，</w:t>
      </w:r>
      <w:r w:rsidRPr="002B55E9">
        <w:rPr>
          <w:bCs/>
          <w:sz w:val="24"/>
        </w:rPr>
        <w:t>2010</w:t>
      </w:r>
      <w:r w:rsidRPr="002B55E9">
        <w:rPr>
          <w:rFonts w:hint="eastAsia"/>
          <w:bCs/>
          <w:sz w:val="24"/>
        </w:rPr>
        <w:t>年年平均风速最大（</w:t>
      </w:r>
      <w:r w:rsidRPr="002B55E9">
        <w:rPr>
          <w:bCs/>
          <w:sz w:val="24"/>
        </w:rPr>
        <w:t>2.1</w:t>
      </w:r>
      <w:r w:rsidRPr="002B55E9">
        <w:rPr>
          <w:rFonts w:hint="eastAsia"/>
          <w:bCs/>
          <w:sz w:val="24"/>
        </w:rPr>
        <w:t>米</w:t>
      </w:r>
      <w:r w:rsidRPr="002B55E9">
        <w:rPr>
          <w:bCs/>
          <w:sz w:val="24"/>
        </w:rPr>
        <w:t>/</w:t>
      </w:r>
      <w:r w:rsidRPr="002B55E9">
        <w:rPr>
          <w:rFonts w:hint="eastAsia"/>
          <w:bCs/>
          <w:sz w:val="24"/>
        </w:rPr>
        <w:t>秒），</w:t>
      </w:r>
      <w:r w:rsidRPr="002B55E9">
        <w:rPr>
          <w:bCs/>
          <w:sz w:val="24"/>
        </w:rPr>
        <w:t>2001</w:t>
      </w:r>
      <w:r w:rsidRPr="002B55E9">
        <w:rPr>
          <w:rFonts w:hint="eastAsia"/>
          <w:bCs/>
          <w:sz w:val="24"/>
        </w:rPr>
        <w:t>年年平均风速最小（</w:t>
      </w:r>
      <w:r w:rsidRPr="002B55E9">
        <w:rPr>
          <w:bCs/>
          <w:sz w:val="24"/>
        </w:rPr>
        <w:t xml:space="preserve">1.1 </w:t>
      </w:r>
      <w:r w:rsidRPr="002B55E9">
        <w:rPr>
          <w:rFonts w:hint="eastAsia"/>
          <w:bCs/>
          <w:sz w:val="24"/>
        </w:rPr>
        <w:t>米</w:t>
      </w:r>
      <w:r w:rsidRPr="002B55E9">
        <w:rPr>
          <w:bCs/>
          <w:sz w:val="24"/>
        </w:rPr>
        <w:t>/</w:t>
      </w:r>
      <w:r w:rsidRPr="002B55E9">
        <w:rPr>
          <w:rFonts w:hint="eastAsia"/>
          <w:bCs/>
          <w:sz w:val="24"/>
        </w:rPr>
        <w:t>秒），周期为</w:t>
      </w:r>
      <w:r w:rsidRPr="002B55E9">
        <w:rPr>
          <w:bCs/>
          <w:sz w:val="24"/>
        </w:rPr>
        <w:t>10</w:t>
      </w:r>
      <w:r w:rsidRPr="002B55E9">
        <w:rPr>
          <w:rFonts w:hint="eastAsia"/>
          <w:bCs/>
          <w:sz w:val="24"/>
        </w:rPr>
        <w:t>年。</w:t>
      </w:r>
    </w:p>
    <w:p w14:paraId="1323A8BF"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6A05877B" wp14:editId="712B5757">
            <wp:extent cx="4457700" cy="3338830"/>
            <wp:effectExtent l="0" t="0" r="0" b="0"/>
            <wp:docPr id="31" name="图片 81" descr="年平均风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descr="年平均风速"/>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457700" cy="3338830"/>
                    </a:xfrm>
                    <a:prstGeom prst="rect">
                      <a:avLst/>
                    </a:prstGeom>
                    <a:noFill/>
                    <a:ln>
                      <a:noFill/>
                    </a:ln>
                  </pic:spPr>
                </pic:pic>
              </a:graphicData>
            </a:graphic>
          </wp:inline>
        </w:drawing>
      </w:r>
    </w:p>
    <w:p w14:paraId="5A0D741D" w14:textId="77777777" w:rsidR="00D170E5" w:rsidRPr="002B55E9" w:rsidRDefault="00EF27AD">
      <w:pPr>
        <w:spacing w:after="60" w:line="360" w:lineRule="auto"/>
        <w:jc w:val="center"/>
        <w:rPr>
          <w:b/>
          <w:sz w:val="24"/>
        </w:rPr>
      </w:pPr>
      <w:r w:rsidRPr="002B55E9">
        <w:rPr>
          <w:rFonts w:hint="eastAsia"/>
          <w:b/>
          <w:sz w:val="24"/>
        </w:rPr>
        <w:t>图</w:t>
      </w:r>
      <w:r w:rsidRPr="002B55E9">
        <w:rPr>
          <w:rFonts w:hint="eastAsia"/>
          <w:b/>
          <w:sz w:val="24"/>
        </w:rPr>
        <w:t xml:space="preserve">5-2-3  </w:t>
      </w:r>
      <w:r w:rsidRPr="002B55E9">
        <w:rPr>
          <w:rFonts w:hint="eastAsia"/>
          <w:b/>
          <w:sz w:val="24"/>
        </w:rPr>
        <w:t>武汉（</w:t>
      </w:r>
      <w:r w:rsidRPr="002B55E9">
        <w:rPr>
          <w:rFonts w:hint="eastAsia"/>
          <w:b/>
          <w:sz w:val="24"/>
        </w:rPr>
        <w:t>2001-2020</w:t>
      </w:r>
      <w:r w:rsidRPr="002B55E9">
        <w:rPr>
          <w:rFonts w:hint="eastAsia"/>
          <w:b/>
          <w:sz w:val="24"/>
        </w:rPr>
        <w:t>）年平均风速（单位：</w:t>
      </w:r>
      <w:r w:rsidRPr="002B55E9">
        <w:rPr>
          <w:rFonts w:hint="eastAsia"/>
          <w:b/>
          <w:sz w:val="24"/>
        </w:rPr>
        <w:t>m/s</w:t>
      </w:r>
      <w:r w:rsidRPr="002B55E9">
        <w:rPr>
          <w:rFonts w:hint="eastAsia"/>
          <w:b/>
          <w:sz w:val="24"/>
        </w:rPr>
        <w:t>，虚线为趋势线）</w:t>
      </w:r>
    </w:p>
    <w:p w14:paraId="512C5660" w14:textId="77777777" w:rsidR="00D170E5" w:rsidRPr="002B55E9" w:rsidRDefault="00EF27AD">
      <w:pPr>
        <w:pStyle w:val="5"/>
        <w:numPr>
          <w:ilvl w:val="4"/>
          <w:numId w:val="24"/>
        </w:numPr>
      </w:pPr>
      <w:r w:rsidRPr="002B55E9">
        <w:rPr>
          <w:rFonts w:hint="eastAsia"/>
        </w:rPr>
        <w:lastRenderedPageBreak/>
        <w:t>气象站温度分析</w:t>
      </w:r>
    </w:p>
    <w:p w14:paraId="2CFA728C"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w:t>
      </w:r>
      <w:r w:rsidRPr="002B55E9">
        <w:rPr>
          <w:rFonts w:hint="eastAsia"/>
          <w:bCs/>
          <w:sz w:val="24"/>
        </w:rPr>
        <w:t>1</w:t>
      </w:r>
      <w:r w:rsidRPr="002B55E9">
        <w:rPr>
          <w:rFonts w:hint="eastAsia"/>
          <w:bCs/>
          <w:sz w:val="24"/>
        </w:rPr>
        <w:t>）月平均气温与极端气温</w:t>
      </w:r>
    </w:p>
    <w:p w14:paraId="1F093E40"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武汉气象站</w:t>
      </w:r>
      <w:r w:rsidRPr="002B55E9">
        <w:rPr>
          <w:rFonts w:hint="eastAsia"/>
          <w:bCs/>
          <w:sz w:val="24"/>
        </w:rPr>
        <w:t>07</w:t>
      </w:r>
      <w:r w:rsidRPr="002B55E9">
        <w:rPr>
          <w:rFonts w:hint="eastAsia"/>
          <w:bCs/>
          <w:sz w:val="24"/>
        </w:rPr>
        <w:t>月气温最高（</w:t>
      </w:r>
      <w:r w:rsidRPr="002B55E9">
        <w:rPr>
          <w:rFonts w:hint="eastAsia"/>
          <w:bCs/>
          <w:sz w:val="24"/>
        </w:rPr>
        <w:t>29.6</w:t>
      </w:r>
      <w:r w:rsidRPr="002B55E9">
        <w:rPr>
          <w:rFonts w:hint="eastAsia"/>
          <w:bCs/>
          <w:sz w:val="24"/>
        </w:rPr>
        <w:t>℃），</w:t>
      </w:r>
      <w:r w:rsidRPr="002B55E9">
        <w:rPr>
          <w:rFonts w:hint="eastAsia"/>
          <w:bCs/>
          <w:sz w:val="24"/>
        </w:rPr>
        <w:t>01</w:t>
      </w:r>
      <w:r w:rsidRPr="002B55E9">
        <w:rPr>
          <w:rFonts w:hint="eastAsia"/>
          <w:bCs/>
          <w:sz w:val="24"/>
        </w:rPr>
        <w:t>月气温最低（</w:t>
      </w:r>
      <w:r w:rsidRPr="002B55E9">
        <w:rPr>
          <w:rFonts w:hint="eastAsia"/>
          <w:bCs/>
          <w:sz w:val="24"/>
        </w:rPr>
        <w:t>4.0</w:t>
      </w:r>
      <w:r w:rsidRPr="002B55E9">
        <w:rPr>
          <w:rFonts w:hint="eastAsia"/>
          <w:bCs/>
          <w:sz w:val="24"/>
        </w:rPr>
        <w:t>℃），近</w:t>
      </w:r>
      <w:r w:rsidRPr="002B55E9">
        <w:rPr>
          <w:rFonts w:hint="eastAsia"/>
          <w:bCs/>
          <w:sz w:val="24"/>
        </w:rPr>
        <w:t>20</w:t>
      </w:r>
      <w:r w:rsidRPr="002B55E9">
        <w:rPr>
          <w:rFonts w:hint="eastAsia"/>
          <w:bCs/>
          <w:sz w:val="24"/>
        </w:rPr>
        <w:t>年极端最高气温出现在</w:t>
      </w:r>
      <w:r w:rsidRPr="002B55E9">
        <w:rPr>
          <w:rFonts w:hint="eastAsia"/>
          <w:bCs/>
          <w:sz w:val="24"/>
        </w:rPr>
        <w:t>2017-07-27</w:t>
      </w:r>
      <w:r w:rsidRPr="002B55E9">
        <w:rPr>
          <w:rFonts w:hint="eastAsia"/>
          <w:bCs/>
          <w:sz w:val="24"/>
        </w:rPr>
        <w:t>（</w:t>
      </w:r>
      <w:r w:rsidRPr="002B55E9">
        <w:rPr>
          <w:rFonts w:hint="eastAsia"/>
          <w:bCs/>
          <w:sz w:val="24"/>
        </w:rPr>
        <w:t>39.7</w:t>
      </w:r>
      <w:r w:rsidRPr="002B55E9">
        <w:rPr>
          <w:rFonts w:hint="eastAsia"/>
          <w:bCs/>
          <w:sz w:val="24"/>
        </w:rPr>
        <w:t>℃），近</w:t>
      </w:r>
      <w:r w:rsidRPr="002B55E9">
        <w:rPr>
          <w:rFonts w:hint="eastAsia"/>
          <w:bCs/>
          <w:sz w:val="24"/>
        </w:rPr>
        <w:t>20</w:t>
      </w:r>
      <w:r w:rsidRPr="002B55E9">
        <w:rPr>
          <w:rFonts w:hint="eastAsia"/>
          <w:bCs/>
          <w:sz w:val="24"/>
        </w:rPr>
        <w:t>年极端最低气温出现在</w:t>
      </w:r>
      <w:r w:rsidRPr="002B55E9">
        <w:rPr>
          <w:rFonts w:hint="eastAsia"/>
          <w:bCs/>
          <w:sz w:val="24"/>
        </w:rPr>
        <w:t>2016-01-25</w:t>
      </w:r>
      <w:r w:rsidRPr="002B55E9">
        <w:rPr>
          <w:rFonts w:hint="eastAsia"/>
          <w:bCs/>
          <w:sz w:val="24"/>
        </w:rPr>
        <w:t>（</w:t>
      </w:r>
      <w:r w:rsidRPr="002B55E9">
        <w:rPr>
          <w:rFonts w:hint="eastAsia"/>
          <w:bCs/>
          <w:sz w:val="24"/>
        </w:rPr>
        <w:t>-9.4</w:t>
      </w:r>
      <w:r w:rsidRPr="002B55E9">
        <w:rPr>
          <w:rFonts w:hint="eastAsia"/>
          <w:bCs/>
          <w:sz w:val="24"/>
        </w:rPr>
        <w:t>℃）。</w:t>
      </w:r>
    </w:p>
    <w:p w14:paraId="40A5EB7A"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26C2A6C2" wp14:editId="14842796">
            <wp:extent cx="4439920" cy="3332480"/>
            <wp:effectExtent l="0" t="0" r="0" b="0"/>
            <wp:docPr id="32" name="图片 83" descr="月平均气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3" descr="月平均气温"/>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439920" cy="3332480"/>
                    </a:xfrm>
                    <a:prstGeom prst="rect">
                      <a:avLst/>
                    </a:prstGeom>
                    <a:noFill/>
                    <a:ln>
                      <a:noFill/>
                    </a:ln>
                  </pic:spPr>
                </pic:pic>
              </a:graphicData>
            </a:graphic>
          </wp:inline>
        </w:drawing>
      </w:r>
    </w:p>
    <w:p w14:paraId="38477313" w14:textId="77777777" w:rsidR="00D170E5" w:rsidRPr="002B55E9" w:rsidRDefault="00EF27AD">
      <w:pPr>
        <w:spacing w:after="60" w:line="360" w:lineRule="auto"/>
        <w:jc w:val="center"/>
        <w:rPr>
          <w:b/>
          <w:sz w:val="24"/>
        </w:rPr>
      </w:pPr>
      <w:r w:rsidRPr="002B55E9">
        <w:rPr>
          <w:rFonts w:hint="eastAsia"/>
          <w:b/>
          <w:sz w:val="24"/>
        </w:rPr>
        <w:t>图</w:t>
      </w:r>
      <w:r w:rsidRPr="002B55E9">
        <w:rPr>
          <w:rFonts w:hint="eastAsia"/>
          <w:b/>
          <w:sz w:val="24"/>
        </w:rPr>
        <w:t>5</w:t>
      </w:r>
      <w:r w:rsidRPr="002B55E9">
        <w:rPr>
          <w:b/>
          <w:sz w:val="24"/>
        </w:rPr>
        <w:t>-</w:t>
      </w:r>
      <w:r w:rsidRPr="002B55E9">
        <w:rPr>
          <w:rFonts w:hint="eastAsia"/>
          <w:b/>
          <w:sz w:val="24"/>
        </w:rPr>
        <w:t xml:space="preserve">2-4  </w:t>
      </w:r>
      <w:r w:rsidRPr="002B55E9">
        <w:rPr>
          <w:rFonts w:hint="eastAsia"/>
          <w:b/>
          <w:sz w:val="24"/>
        </w:rPr>
        <w:t>武汉月平均气温（单位：℃）</w:t>
      </w:r>
    </w:p>
    <w:p w14:paraId="28166BE2"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w:t>
      </w:r>
      <w:r w:rsidRPr="002B55E9">
        <w:rPr>
          <w:rFonts w:hint="eastAsia"/>
          <w:bCs/>
          <w:sz w:val="24"/>
        </w:rPr>
        <w:t>2</w:t>
      </w:r>
      <w:r w:rsidRPr="002B55E9">
        <w:rPr>
          <w:rFonts w:hint="eastAsia"/>
          <w:bCs/>
          <w:sz w:val="24"/>
        </w:rPr>
        <w:t>）温度年际变化趋势与周期分析</w:t>
      </w:r>
    </w:p>
    <w:p w14:paraId="7F35779E"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武汉气象站近</w:t>
      </w:r>
      <w:r w:rsidRPr="002B55E9">
        <w:rPr>
          <w:rFonts w:hint="eastAsia"/>
          <w:bCs/>
          <w:sz w:val="24"/>
        </w:rPr>
        <w:t>20</w:t>
      </w:r>
      <w:r w:rsidRPr="002B55E9">
        <w:rPr>
          <w:rFonts w:hint="eastAsia"/>
          <w:bCs/>
          <w:sz w:val="24"/>
        </w:rPr>
        <w:t>年气温呈现下降趋势，每年下降</w:t>
      </w:r>
      <w:r w:rsidRPr="002B55E9">
        <w:rPr>
          <w:rFonts w:hint="eastAsia"/>
          <w:bCs/>
          <w:sz w:val="24"/>
        </w:rPr>
        <w:t>0.06%</w:t>
      </w:r>
      <w:r w:rsidRPr="002B55E9">
        <w:rPr>
          <w:rFonts w:hint="eastAsia"/>
          <w:bCs/>
          <w:sz w:val="24"/>
        </w:rPr>
        <w:t>，</w:t>
      </w:r>
      <w:r w:rsidRPr="002B55E9">
        <w:rPr>
          <w:rFonts w:hint="eastAsia"/>
          <w:bCs/>
          <w:sz w:val="24"/>
        </w:rPr>
        <w:t>2007</w:t>
      </w:r>
      <w:r w:rsidRPr="002B55E9">
        <w:rPr>
          <w:rFonts w:hint="eastAsia"/>
          <w:bCs/>
          <w:sz w:val="24"/>
        </w:rPr>
        <w:t>年年平均气温最高（</w:t>
      </w:r>
      <w:r w:rsidRPr="002B55E9">
        <w:rPr>
          <w:rFonts w:hint="eastAsia"/>
          <w:bCs/>
          <w:sz w:val="24"/>
        </w:rPr>
        <w:t>18.6</w:t>
      </w:r>
      <w:r w:rsidRPr="002B55E9">
        <w:rPr>
          <w:rFonts w:hint="eastAsia"/>
          <w:bCs/>
          <w:sz w:val="24"/>
        </w:rPr>
        <w:t>℃），</w:t>
      </w:r>
      <w:r w:rsidRPr="002B55E9">
        <w:rPr>
          <w:rFonts w:hint="eastAsia"/>
          <w:bCs/>
          <w:sz w:val="24"/>
        </w:rPr>
        <w:t xml:space="preserve">2011 </w:t>
      </w:r>
      <w:r w:rsidRPr="002B55E9">
        <w:rPr>
          <w:rFonts w:hint="eastAsia"/>
          <w:bCs/>
          <w:sz w:val="24"/>
        </w:rPr>
        <w:t>年年平均气温最低（</w:t>
      </w:r>
      <w:r w:rsidRPr="002B55E9">
        <w:rPr>
          <w:rFonts w:hint="eastAsia"/>
          <w:bCs/>
          <w:sz w:val="24"/>
        </w:rPr>
        <w:t>16.3</w:t>
      </w:r>
      <w:r w:rsidRPr="002B55E9">
        <w:rPr>
          <w:rFonts w:hint="eastAsia"/>
          <w:bCs/>
          <w:sz w:val="24"/>
        </w:rPr>
        <w:t>℃），无明显周期。</w:t>
      </w:r>
    </w:p>
    <w:p w14:paraId="413AE348"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2CEF676E" wp14:editId="775FBACD">
            <wp:extent cx="4048760" cy="3025775"/>
            <wp:effectExtent l="0" t="0" r="0" b="0"/>
            <wp:docPr id="33" name="图片 84" descr="年平均气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4" descr="年平均气温"/>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048760" cy="3025775"/>
                    </a:xfrm>
                    <a:prstGeom prst="rect">
                      <a:avLst/>
                    </a:prstGeom>
                    <a:noFill/>
                    <a:ln>
                      <a:noFill/>
                    </a:ln>
                  </pic:spPr>
                </pic:pic>
              </a:graphicData>
            </a:graphic>
          </wp:inline>
        </w:drawing>
      </w:r>
    </w:p>
    <w:p w14:paraId="0B2E16CE" w14:textId="77777777" w:rsidR="00D170E5" w:rsidRPr="002B55E9" w:rsidRDefault="00EF27AD">
      <w:pPr>
        <w:widowControl/>
        <w:adjustRightInd w:val="0"/>
        <w:snapToGrid w:val="0"/>
        <w:spacing w:line="360" w:lineRule="auto"/>
        <w:ind w:firstLineChars="200" w:firstLine="482"/>
        <w:jc w:val="center"/>
        <w:rPr>
          <w:b/>
          <w:bCs/>
          <w:sz w:val="24"/>
        </w:rPr>
      </w:pPr>
      <w:r w:rsidRPr="002B55E9">
        <w:rPr>
          <w:rFonts w:hint="eastAsia"/>
          <w:b/>
          <w:bCs/>
          <w:sz w:val="24"/>
        </w:rPr>
        <w:t>图</w:t>
      </w:r>
      <w:r w:rsidRPr="002B55E9">
        <w:rPr>
          <w:rFonts w:hint="eastAsia"/>
          <w:b/>
          <w:sz w:val="24"/>
        </w:rPr>
        <w:t xml:space="preserve">5-2-5 </w:t>
      </w:r>
      <w:r w:rsidRPr="002B55E9">
        <w:rPr>
          <w:rFonts w:hint="eastAsia"/>
          <w:b/>
          <w:bCs/>
          <w:sz w:val="24"/>
        </w:rPr>
        <w:t xml:space="preserve"> </w:t>
      </w:r>
      <w:r w:rsidRPr="002B55E9">
        <w:rPr>
          <w:rFonts w:hint="eastAsia"/>
          <w:b/>
          <w:bCs/>
          <w:sz w:val="24"/>
        </w:rPr>
        <w:t>武汉（</w:t>
      </w:r>
      <w:r w:rsidRPr="002B55E9">
        <w:rPr>
          <w:rFonts w:hint="eastAsia"/>
          <w:b/>
          <w:bCs/>
          <w:sz w:val="24"/>
        </w:rPr>
        <w:t>2001-2020</w:t>
      </w:r>
      <w:r w:rsidRPr="002B55E9">
        <w:rPr>
          <w:rFonts w:hint="eastAsia"/>
          <w:b/>
          <w:bCs/>
          <w:sz w:val="24"/>
        </w:rPr>
        <w:t>）年平均气温（单位：℃，虚线为趋势线）</w:t>
      </w:r>
    </w:p>
    <w:p w14:paraId="022D818E" w14:textId="77777777" w:rsidR="00D170E5" w:rsidRPr="002B55E9" w:rsidRDefault="00EF27AD">
      <w:pPr>
        <w:pStyle w:val="5"/>
        <w:numPr>
          <w:ilvl w:val="4"/>
          <w:numId w:val="24"/>
        </w:numPr>
      </w:pPr>
      <w:r w:rsidRPr="002B55E9">
        <w:rPr>
          <w:rFonts w:hint="eastAsia"/>
        </w:rPr>
        <w:lastRenderedPageBreak/>
        <w:t>气象站降水分析</w:t>
      </w:r>
    </w:p>
    <w:p w14:paraId="26CFD837"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w:t>
      </w:r>
      <w:r w:rsidRPr="002B55E9">
        <w:rPr>
          <w:rFonts w:hint="eastAsia"/>
          <w:bCs/>
          <w:sz w:val="24"/>
        </w:rPr>
        <w:t>1</w:t>
      </w:r>
      <w:r w:rsidRPr="002B55E9">
        <w:rPr>
          <w:rFonts w:hint="eastAsia"/>
          <w:bCs/>
          <w:sz w:val="24"/>
        </w:rPr>
        <w:t>）月平均降水与极端降水</w:t>
      </w:r>
    </w:p>
    <w:p w14:paraId="0EA66F3B"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武汉气象站</w:t>
      </w:r>
      <w:r w:rsidRPr="002B55E9">
        <w:rPr>
          <w:rFonts w:hint="eastAsia"/>
          <w:bCs/>
          <w:sz w:val="24"/>
        </w:rPr>
        <w:t>07</w:t>
      </w:r>
      <w:r w:rsidRPr="002B55E9">
        <w:rPr>
          <w:rFonts w:hint="eastAsia"/>
          <w:bCs/>
          <w:sz w:val="24"/>
        </w:rPr>
        <w:t>月降水量最大（</w:t>
      </w:r>
      <w:r w:rsidRPr="002B55E9">
        <w:rPr>
          <w:rFonts w:hint="eastAsia"/>
          <w:bCs/>
          <w:sz w:val="24"/>
        </w:rPr>
        <w:t>217.7</w:t>
      </w:r>
      <w:r w:rsidRPr="002B55E9">
        <w:rPr>
          <w:rFonts w:hint="eastAsia"/>
          <w:bCs/>
          <w:sz w:val="24"/>
        </w:rPr>
        <w:t>毫米），</w:t>
      </w:r>
      <w:r w:rsidRPr="002B55E9">
        <w:rPr>
          <w:rFonts w:hint="eastAsia"/>
          <w:bCs/>
          <w:sz w:val="24"/>
        </w:rPr>
        <w:t>12</w:t>
      </w:r>
      <w:r w:rsidRPr="002B55E9">
        <w:rPr>
          <w:rFonts w:hint="eastAsia"/>
          <w:bCs/>
          <w:sz w:val="24"/>
        </w:rPr>
        <w:t>月降水量最小（</w:t>
      </w:r>
      <w:r w:rsidRPr="002B55E9">
        <w:rPr>
          <w:rFonts w:hint="eastAsia"/>
          <w:bCs/>
          <w:sz w:val="24"/>
        </w:rPr>
        <w:t>32.4</w:t>
      </w:r>
      <w:r w:rsidRPr="002B55E9">
        <w:rPr>
          <w:rFonts w:hint="eastAsia"/>
          <w:bCs/>
          <w:sz w:val="24"/>
        </w:rPr>
        <w:t>毫米），近</w:t>
      </w:r>
      <w:r w:rsidRPr="002B55E9">
        <w:rPr>
          <w:rFonts w:hint="eastAsia"/>
          <w:bCs/>
          <w:sz w:val="24"/>
        </w:rPr>
        <w:t>20</w:t>
      </w:r>
      <w:r w:rsidRPr="002B55E9">
        <w:rPr>
          <w:rFonts w:hint="eastAsia"/>
          <w:bCs/>
          <w:sz w:val="24"/>
        </w:rPr>
        <w:t>年极端最大日降水出现在</w:t>
      </w:r>
      <w:r w:rsidRPr="002B55E9">
        <w:rPr>
          <w:rFonts w:hint="eastAsia"/>
          <w:bCs/>
          <w:sz w:val="24"/>
        </w:rPr>
        <w:t>2016-07-06</w:t>
      </w:r>
      <w:r w:rsidRPr="002B55E9">
        <w:rPr>
          <w:rFonts w:hint="eastAsia"/>
          <w:bCs/>
          <w:sz w:val="24"/>
        </w:rPr>
        <w:t>（</w:t>
      </w:r>
      <w:r w:rsidRPr="002B55E9">
        <w:rPr>
          <w:rFonts w:hint="eastAsia"/>
          <w:bCs/>
          <w:sz w:val="24"/>
        </w:rPr>
        <w:t>241.5</w:t>
      </w:r>
      <w:r w:rsidRPr="002B55E9">
        <w:rPr>
          <w:rFonts w:hint="eastAsia"/>
          <w:bCs/>
          <w:sz w:val="24"/>
        </w:rPr>
        <w:t>毫米）。</w:t>
      </w:r>
    </w:p>
    <w:p w14:paraId="2205EC39" w14:textId="77777777" w:rsidR="00D170E5" w:rsidRPr="002B55E9" w:rsidRDefault="00EF27AD">
      <w:pPr>
        <w:widowControl/>
        <w:adjustRightInd w:val="0"/>
        <w:snapToGrid w:val="0"/>
        <w:spacing w:line="360" w:lineRule="auto"/>
        <w:ind w:firstLineChars="200" w:firstLine="480"/>
        <w:jc w:val="center"/>
        <w:rPr>
          <w:bCs/>
          <w:sz w:val="24"/>
        </w:rPr>
      </w:pPr>
      <w:r w:rsidRPr="002B55E9">
        <w:rPr>
          <w:rFonts w:hint="eastAsia"/>
          <w:bCs/>
          <w:noProof/>
          <w:sz w:val="24"/>
        </w:rPr>
        <w:drawing>
          <wp:inline distT="0" distB="0" distL="0" distR="0" wp14:anchorId="2E8E547E" wp14:editId="254C2FBB">
            <wp:extent cx="4180840" cy="3128010"/>
            <wp:effectExtent l="0" t="0" r="0" b="0"/>
            <wp:docPr id="34" name="图片 85" descr="月平均降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5" descr="月平均降水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180840" cy="3128010"/>
                    </a:xfrm>
                    <a:prstGeom prst="rect">
                      <a:avLst/>
                    </a:prstGeom>
                    <a:noFill/>
                    <a:ln>
                      <a:noFill/>
                    </a:ln>
                  </pic:spPr>
                </pic:pic>
              </a:graphicData>
            </a:graphic>
          </wp:inline>
        </w:drawing>
      </w:r>
    </w:p>
    <w:p w14:paraId="58440C9D" w14:textId="77777777" w:rsidR="00D170E5" w:rsidRPr="002B55E9" w:rsidRDefault="00EF27AD">
      <w:pPr>
        <w:widowControl/>
        <w:adjustRightInd w:val="0"/>
        <w:snapToGrid w:val="0"/>
        <w:spacing w:line="360" w:lineRule="auto"/>
        <w:ind w:firstLineChars="200" w:firstLine="482"/>
        <w:jc w:val="center"/>
        <w:rPr>
          <w:b/>
          <w:bCs/>
          <w:sz w:val="24"/>
        </w:rPr>
      </w:pPr>
      <w:r w:rsidRPr="002B55E9">
        <w:rPr>
          <w:rFonts w:hint="eastAsia"/>
          <w:b/>
          <w:bCs/>
          <w:sz w:val="24"/>
        </w:rPr>
        <w:t>图</w:t>
      </w:r>
      <w:r w:rsidRPr="002B55E9">
        <w:rPr>
          <w:b/>
          <w:bCs/>
          <w:sz w:val="24"/>
        </w:rPr>
        <w:t>5</w:t>
      </w:r>
      <w:r w:rsidRPr="002B55E9">
        <w:rPr>
          <w:rFonts w:hint="eastAsia"/>
          <w:b/>
          <w:bCs/>
          <w:sz w:val="24"/>
        </w:rPr>
        <w:t>-</w:t>
      </w:r>
      <w:r w:rsidRPr="002B55E9">
        <w:rPr>
          <w:b/>
          <w:bCs/>
          <w:sz w:val="24"/>
        </w:rPr>
        <w:t>2-</w:t>
      </w:r>
      <w:r w:rsidRPr="002B55E9">
        <w:rPr>
          <w:rFonts w:hint="eastAsia"/>
          <w:b/>
          <w:bCs/>
          <w:sz w:val="24"/>
        </w:rPr>
        <w:t xml:space="preserve">6  </w:t>
      </w:r>
      <w:r w:rsidRPr="002B55E9">
        <w:rPr>
          <w:rFonts w:hint="eastAsia"/>
          <w:b/>
          <w:bCs/>
          <w:sz w:val="24"/>
        </w:rPr>
        <w:t>武汉月平均降水量（单位：毫米）</w:t>
      </w:r>
    </w:p>
    <w:p w14:paraId="45A4CEEF"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w:t>
      </w:r>
      <w:r w:rsidRPr="002B55E9">
        <w:rPr>
          <w:rFonts w:hint="eastAsia"/>
          <w:bCs/>
          <w:sz w:val="24"/>
        </w:rPr>
        <w:t>2</w:t>
      </w:r>
      <w:r w:rsidRPr="002B55E9">
        <w:rPr>
          <w:rFonts w:hint="eastAsia"/>
          <w:bCs/>
          <w:sz w:val="24"/>
        </w:rPr>
        <w:t>）降水年际变化趋势与周期分析</w:t>
      </w:r>
    </w:p>
    <w:p w14:paraId="5EA36FE1"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武汉气象站近</w:t>
      </w:r>
      <w:r w:rsidRPr="002B55E9">
        <w:rPr>
          <w:rFonts w:hint="eastAsia"/>
          <w:bCs/>
          <w:sz w:val="24"/>
        </w:rPr>
        <w:t>20</w:t>
      </w:r>
      <w:r w:rsidRPr="002B55E9">
        <w:rPr>
          <w:rFonts w:hint="eastAsia"/>
          <w:bCs/>
          <w:sz w:val="24"/>
        </w:rPr>
        <w:t>年年降水总量无明显变化趋势，</w:t>
      </w:r>
      <w:r w:rsidRPr="002B55E9">
        <w:rPr>
          <w:rFonts w:hint="eastAsia"/>
          <w:bCs/>
          <w:sz w:val="24"/>
        </w:rPr>
        <w:t>2020</w:t>
      </w:r>
      <w:r w:rsidRPr="002B55E9">
        <w:rPr>
          <w:rFonts w:hint="eastAsia"/>
          <w:bCs/>
          <w:sz w:val="24"/>
        </w:rPr>
        <w:t>年年总降水量最大（</w:t>
      </w:r>
      <w:r w:rsidRPr="002B55E9">
        <w:rPr>
          <w:rFonts w:hint="eastAsia"/>
          <w:bCs/>
          <w:sz w:val="24"/>
        </w:rPr>
        <w:t>2012.3</w:t>
      </w:r>
      <w:r w:rsidRPr="002B55E9">
        <w:rPr>
          <w:rFonts w:hint="eastAsia"/>
          <w:bCs/>
          <w:sz w:val="24"/>
        </w:rPr>
        <w:t>毫米），</w:t>
      </w:r>
      <w:r w:rsidRPr="002B55E9">
        <w:rPr>
          <w:rFonts w:hint="eastAsia"/>
          <w:bCs/>
          <w:sz w:val="24"/>
        </w:rPr>
        <w:t xml:space="preserve">2001 </w:t>
      </w:r>
      <w:r w:rsidRPr="002B55E9">
        <w:rPr>
          <w:rFonts w:hint="eastAsia"/>
          <w:bCs/>
          <w:sz w:val="24"/>
        </w:rPr>
        <w:t>年年总降水量最小（</w:t>
      </w:r>
      <w:r w:rsidRPr="002B55E9">
        <w:rPr>
          <w:rFonts w:hint="eastAsia"/>
          <w:bCs/>
          <w:sz w:val="24"/>
        </w:rPr>
        <w:t xml:space="preserve">899.8 </w:t>
      </w:r>
      <w:r w:rsidRPr="002B55E9">
        <w:rPr>
          <w:rFonts w:hint="eastAsia"/>
          <w:bCs/>
          <w:sz w:val="24"/>
        </w:rPr>
        <w:t>毫米），周期为</w:t>
      </w:r>
      <w:r w:rsidRPr="002B55E9">
        <w:rPr>
          <w:rFonts w:hint="eastAsia"/>
          <w:bCs/>
          <w:sz w:val="24"/>
        </w:rPr>
        <w:t>2-3</w:t>
      </w:r>
      <w:r w:rsidRPr="002B55E9">
        <w:rPr>
          <w:rFonts w:hint="eastAsia"/>
          <w:bCs/>
          <w:sz w:val="24"/>
        </w:rPr>
        <w:t>年。</w:t>
      </w:r>
    </w:p>
    <w:p w14:paraId="3F07E866"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76CFD71F" wp14:editId="1E7CB753">
            <wp:extent cx="4325620" cy="3242310"/>
            <wp:effectExtent l="0" t="0" r="0" b="0"/>
            <wp:docPr id="35" name="图片 86" descr="年总降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6" descr="年总降水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325620" cy="3242310"/>
                    </a:xfrm>
                    <a:prstGeom prst="rect">
                      <a:avLst/>
                    </a:prstGeom>
                    <a:noFill/>
                    <a:ln>
                      <a:noFill/>
                    </a:ln>
                  </pic:spPr>
                </pic:pic>
              </a:graphicData>
            </a:graphic>
          </wp:inline>
        </w:drawing>
      </w:r>
    </w:p>
    <w:p w14:paraId="2D6B6CD8" w14:textId="77777777" w:rsidR="00D170E5" w:rsidRPr="002B55E9" w:rsidRDefault="00EF27AD">
      <w:pPr>
        <w:widowControl/>
        <w:adjustRightInd w:val="0"/>
        <w:snapToGrid w:val="0"/>
        <w:spacing w:line="360" w:lineRule="auto"/>
        <w:ind w:firstLineChars="200" w:firstLine="482"/>
        <w:jc w:val="center"/>
        <w:rPr>
          <w:b/>
          <w:bCs/>
          <w:sz w:val="24"/>
        </w:rPr>
      </w:pPr>
      <w:r w:rsidRPr="002B55E9">
        <w:rPr>
          <w:rFonts w:hint="eastAsia"/>
          <w:b/>
          <w:bCs/>
          <w:sz w:val="24"/>
        </w:rPr>
        <w:t>图</w:t>
      </w:r>
      <w:r w:rsidRPr="002B55E9">
        <w:rPr>
          <w:b/>
          <w:bCs/>
          <w:sz w:val="24"/>
        </w:rPr>
        <w:t>5</w:t>
      </w:r>
      <w:r w:rsidRPr="002B55E9">
        <w:rPr>
          <w:rFonts w:hint="eastAsia"/>
          <w:b/>
          <w:bCs/>
          <w:sz w:val="24"/>
        </w:rPr>
        <w:t>-</w:t>
      </w:r>
      <w:r w:rsidRPr="002B55E9">
        <w:rPr>
          <w:b/>
          <w:bCs/>
          <w:sz w:val="24"/>
        </w:rPr>
        <w:t>2-</w:t>
      </w:r>
      <w:r w:rsidRPr="002B55E9">
        <w:rPr>
          <w:rFonts w:hint="eastAsia"/>
          <w:b/>
          <w:bCs/>
          <w:sz w:val="24"/>
        </w:rPr>
        <w:t xml:space="preserve">7  </w:t>
      </w:r>
      <w:r w:rsidRPr="002B55E9">
        <w:rPr>
          <w:rFonts w:hint="eastAsia"/>
          <w:b/>
          <w:bCs/>
          <w:sz w:val="24"/>
        </w:rPr>
        <w:t>武汉（</w:t>
      </w:r>
      <w:r w:rsidRPr="002B55E9">
        <w:rPr>
          <w:rFonts w:hint="eastAsia"/>
          <w:b/>
          <w:bCs/>
          <w:sz w:val="24"/>
        </w:rPr>
        <w:t>2001-2020</w:t>
      </w:r>
      <w:r w:rsidRPr="002B55E9">
        <w:rPr>
          <w:rFonts w:hint="eastAsia"/>
          <w:b/>
          <w:bCs/>
          <w:sz w:val="24"/>
        </w:rPr>
        <w:t>）年总降水量（单位：毫米，虚线为趋势线）</w:t>
      </w:r>
    </w:p>
    <w:p w14:paraId="0D3B6181" w14:textId="77777777" w:rsidR="00D170E5" w:rsidRPr="002B55E9" w:rsidRDefault="00EF27AD">
      <w:pPr>
        <w:pStyle w:val="5"/>
        <w:numPr>
          <w:ilvl w:val="4"/>
          <w:numId w:val="24"/>
        </w:numPr>
      </w:pPr>
      <w:r w:rsidRPr="002B55E9">
        <w:rPr>
          <w:rFonts w:hint="eastAsia"/>
        </w:rPr>
        <w:lastRenderedPageBreak/>
        <w:t>气象站日照分析</w:t>
      </w:r>
    </w:p>
    <w:p w14:paraId="3A184CD5"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w:t>
      </w:r>
      <w:r w:rsidRPr="002B55E9">
        <w:rPr>
          <w:rFonts w:hint="eastAsia"/>
          <w:bCs/>
          <w:sz w:val="24"/>
        </w:rPr>
        <w:t>1</w:t>
      </w:r>
      <w:r w:rsidRPr="002B55E9">
        <w:rPr>
          <w:rFonts w:hint="eastAsia"/>
          <w:bCs/>
          <w:sz w:val="24"/>
        </w:rPr>
        <w:t>）月日照时数</w:t>
      </w:r>
    </w:p>
    <w:p w14:paraId="51485F58" w14:textId="77777777" w:rsidR="00D170E5" w:rsidRPr="002B55E9" w:rsidRDefault="00EF27AD">
      <w:pPr>
        <w:widowControl/>
        <w:adjustRightInd w:val="0"/>
        <w:snapToGrid w:val="0"/>
        <w:spacing w:line="360" w:lineRule="auto"/>
        <w:ind w:firstLineChars="200" w:firstLine="480"/>
        <w:rPr>
          <w:bCs/>
          <w:sz w:val="24"/>
        </w:rPr>
      </w:pPr>
      <w:r w:rsidRPr="002B55E9">
        <w:rPr>
          <w:rFonts w:hint="eastAsia"/>
          <w:bCs/>
          <w:sz w:val="24"/>
        </w:rPr>
        <w:t>武汉气象站</w:t>
      </w:r>
      <w:r w:rsidRPr="002B55E9">
        <w:rPr>
          <w:rFonts w:hint="eastAsia"/>
          <w:bCs/>
          <w:sz w:val="24"/>
        </w:rPr>
        <w:t>07</w:t>
      </w:r>
      <w:r w:rsidRPr="002B55E9">
        <w:rPr>
          <w:rFonts w:hint="eastAsia"/>
          <w:bCs/>
          <w:sz w:val="24"/>
        </w:rPr>
        <w:t>月日照最长（</w:t>
      </w:r>
      <w:r w:rsidRPr="002B55E9">
        <w:rPr>
          <w:rFonts w:hint="eastAsia"/>
          <w:bCs/>
          <w:sz w:val="24"/>
        </w:rPr>
        <w:t>218.2</w:t>
      </w:r>
      <w:r w:rsidRPr="002B55E9">
        <w:rPr>
          <w:rFonts w:hint="eastAsia"/>
          <w:bCs/>
          <w:sz w:val="24"/>
        </w:rPr>
        <w:t>小时），</w:t>
      </w:r>
      <w:r w:rsidRPr="002B55E9">
        <w:rPr>
          <w:rFonts w:hint="eastAsia"/>
          <w:bCs/>
          <w:sz w:val="24"/>
        </w:rPr>
        <w:t>02</w:t>
      </w:r>
      <w:r w:rsidRPr="002B55E9">
        <w:rPr>
          <w:rFonts w:hint="eastAsia"/>
          <w:bCs/>
          <w:sz w:val="24"/>
        </w:rPr>
        <w:t>月日照最短（</w:t>
      </w:r>
      <w:r w:rsidRPr="002B55E9">
        <w:rPr>
          <w:rFonts w:hint="eastAsia"/>
          <w:bCs/>
          <w:sz w:val="24"/>
        </w:rPr>
        <w:t>87.0</w:t>
      </w:r>
      <w:r w:rsidRPr="002B55E9">
        <w:rPr>
          <w:rFonts w:hint="eastAsia"/>
          <w:bCs/>
          <w:sz w:val="24"/>
        </w:rPr>
        <w:t>小时）。</w:t>
      </w:r>
    </w:p>
    <w:p w14:paraId="607E963F"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3191B6C2" wp14:editId="3E1CEE85">
            <wp:extent cx="4313555" cy="3230245"/>
            <wp:effectExtent l="0" t="0" r="0" b="0"/>
            <wp:docPr id="36" name="图片 87" descr="日照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7" descr="日照时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13555" cy="3230245"/>
                    </a:xfrm>
                    <a:prstGeom prst="rect">
                      <a:avLst/>
                    </a:prstGeom>
                    <a:noFill/>
                    <a:ln>
                      <a:noFill/>
                    </a:ln>
                  </pic:spPr>
                </pic:pic>
              </a:graphicData>
            </a:graphic>
          </wp:inline>
        </w:drawing>
      </w:r>
    </w:p>
    <w:p w14:paraId="7356E293" w14:textId="77777777" w:rsidR="00D170E5" w:rsidRPr="002B55E9" w:rsidRDefault="00EF27AD">
      <w:pPr>
        <w:widowControl/>
        <w:adjustRightInd w:val="0"/>
        <w:snapToGrid w:val="0"/>
        <w:spacing w:line="360" w:lineRule="auto"/>
        <w:jc w:val="center"/>
        <w:rPr>
          <w:b/>
          <w:bCs/>
          <w:sz w:val="24"/>
        </w:rPr>
      </w:pPr>
      <w:r w:rsidRPr="002B55E9">
        <w:rPr>
          <w:rFonts w:hint="eastAsia"/>
          <w:b/>
          <w:bCs/>
          <w:sz w:val="24"/>
        </w:rPr>
        <w:t>图</w:t>
      </w:r>
      <w:r w:rsidRPr="002B55E9">
        <w:rPr>
          <w:b/>
          <w:bCs/>
          <w:sz w:val="24"/>
        </w:rPr>
        <w:t>5-2-</w:t>
      </w:r>
      <w:r w:rsidRPr="002B55E9">
        <w:rPr>
          <w:rFonts w:hint="eastAsia"/>
          <w:b/>
          <w:bCs/>
          <w:sz w:val="24"/>
        </w:rPr>
        <w:t xml:space="preserve">8  </w:t>
      </w:r>
      <w:r w:rsidRPr="002B55E9">
        <w:rPr>
          <w:rFonts w:hint="eastAsia"/>
          <w:b/>
          <w:bCs/>
          <w:sz w:val="24"/>
        </w:rPr>
        <w:t>武汉月日照时数（单位：小时）</w:t>
      </w:r>
    </w:p>
    <w:p w14:paraId="673F0C9F"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w:t>
      </w:r>
      <w:r w:rsidRPr="002B55E9">
        <w:rPr>
          <w:rFonts w:hint="eastAsia"/>
          <w:bCs/>
          <w:sz w:val="24"/>
        </w:rPr>
        <w:t>2</w:t>
      </w:r>
      <w:r w:rsidRPr="002B55E9">
        <w:rPr>
          <w:rFonts w:hint="eastAsia"/>
          <w:bCs/>
          <w:sz w:val="24"/>
        </w:rPr>
        <w:t>）日照时数年际变化趋势与周期分析</w:t>
      </w:r>
    </w:p>
    <w:p w14:paraId="78D42D43"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武汉气象站近</w:t>
      </w:r>
      <w:r w:rsidRPr="002B55E9">
        <w:rPr>
          <w:rFonts w:hint="eastAsia"/>
          <w:bCs/>
          <w:sz w:val="24"/>
        </w:rPr>
        <w:t>20</w:t>
      </w:r>
      <w:r w:rsidRPr="002B55E9">
        <w:rPr>
          <w:rFonts w:hint="eastAsia"/>
          <w:bCs/>
          <w:sz w:val="24"/>
        </w:rPr>
        <w:t>年年日照时数呈现下降趋势，每年下降</w:t>
      </w:r>
      <w:r w:rsidRPr="002B55E9">
        <w:rPr>
          <w:rFonts w:hint="eastAsia"/>
          <w:bCs/>
          <w:sz w:val="24"/>
        </w:rPr>
        <w:t>13.70%</w:t>
      </w:r>
      <w:r w:rsidRPr="002B55E9">
        <w:rPr>
          <w:rFonts w:hint="eastAsia"/>
          <w:bCs/>
          <w:sz w:val="24"/>
        </w:rPr>
        <w:t>，</w:t>
      </w:r>
      <w:r w:rsidRPr="002B55E9">
        <w:rPr>
          <w:rFonts w:hint="eastAsia"/>
          <w:bCs/>
          <w:sz w:val="24"/>
        </w:rPr>
        <w:t>2001</w:t>
      </w:r>
      <w:r w:rsidRPr="002B55E9">
        <w:rPr>
          <w:rFonts w:hint="eastAsia"/>
          <w:bCs/>
          <w:sz w:val="24"/>
        </w:rPr>
        <w:t>年年日照时数最长（</w:t>
      </w:r>
      <w:r w:rsidRPr="002B55E9">
        <w:rPr>
          <w:rFonts w:hint="eastAsia"/>
          <w:bCs/>
          <w:sz w:val="24"/>
        </w:rPr>
        <w:t xml:space="preserve">2106.3 </w:t>
      </w:r>
      <w:r w:rsidRPr="002B55E9">
        <w:rPr>
          <w:rFonts w:hint="eastAsia"/>
          <w:bCs/>
          <w:sz w:val="24"/>
        </w:rPr>
        <w:t>小时），</w:t>
      </w:r>
      <w:r w:rsidRPr="002B55E9">
        <w:rPr>
          <w:rFonts w:hint="eastAsia"/>
          <w:bCs/>
          <w:sz w:val="24"/>
        </w:rPr>
        <w:t>2010</w:t>
      </w:r>
      <w:r w:rsidRPr="002B55E9">
        <w:rPr>
          <w:rFonts w:hint="eastAsia"/>
          <w:bCs/>
          <w:sz w:val="24"/>
        </w:rPr>
        <w:t>年年日照时数最短（</w:t>
      </w:r>
      <w:r w:rsidRPr="002B55E9">
        <w:rPr>
          <w:rFonts w:hint="eastAsia"/>
          <w:bCs/>
          <w:sz w:val="24"/>
        </w:rPr>
        <w:t xml:space="preserve">1544.0 </w:t>
      </w:r>
      <w:r w:rsidRPr="002B55E9">
        <w:rPr>
          <w:rFonts w:hint="eastAsia"/>
          <w:bCs/>
          <w:sz w:val="24"/>
        </w:rPr>
        <w:t>小时），周期为</w:t>
      </w:r>
      <w:r w:rsidRPr="002B55E9">
        <w:rPr>
          <w:rFonts w:hint="eastAsia"/>
          <w:bCs/>
          <w:sz w:val="24"/>
        </w:rPr>
        <w:t xml:space="preserve">2-3 </w:t>
      </w:r>
      <w:r w:rsidRPr="002B55E9">
        <w:rPr>
          <w:rFonts w:hint="eastAsia"/>
          <w:bCs/>
          <w:sz w:val="24"/>
        </w:rPr>
        <w:t>年。</w:t>
      </w:r>
    </w:p>
    <w:p w14:paraId="7ED96D0E"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76F72713" wp14:editId="02A2FE0A">
            <wp:extent cx="4493895" cy="3362960"/>
            <wp:effectExtent l="0" t="0" r="0" b="0"/>
            <wp:docPr id="37" name="图片 88" descr="年日照时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8" descr="年日照时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493895" cy="3362960"/>
                    </a:xfrm>
                    <a:prstGeom prst="rect">
                      <a:avLst/>
                    </a:prstGeom>
                    <a:noFill/>
                    <a:ln>
                      <a:noFill/>
                    </a:ln>
                  </pic:spPr>
                </pic:pic>
              </a:graphicData>
            </a:graphic>
          </wp:inline>
        </w:drawing>
      </w:r>
    </w:p>
    <w:p w14:paraId="7639ACE4" w14:textId="77777777" w:rsidR="00D170E5" w:rsidRPr="002B55E9" w:rsidRDefault="00EF27AD">
      <w:pPr>
        <w:widowControl/>
        <w:adjustRightInd w:val="0"/>
        <w:snapToGrid w:val="0"/>
        <w:spacing w:line="360" w:lineRule="auto"/>
        <w:jc w:val="center"/>
        <w:rPr>
          <w:b/>
          <w:bCs/>
          <w:sz w:val="24"/>
        </w:rPr>
      </w:pPr>
      <w:r w:rsidRPr="002B55E9">
        <w:rPr>
          <w:rFonts w:hint="eastAsia"/>
          <w:b/>
          <w:bCs/>
          <w:sz w:val="24"/>
        </w:rPr>
        <w:t>图</w:t>
      </w:r>
      <w:r w:rsidRPr="002B55E9">
        <w:rPr>
          <w:b/>
          <w:bCs/>
          <w:sz w:val="24"/>
        </w:rPr>
        <w:t>5</w:t>
      </w:r>
      <w:r w:rsidRPr="002B55E9">
        <w:rPr>
          <w:rFonts w:hint="eastAsia"/>
          <w:b/>
          <w:bCs/>
          <w:sz w:val="24"/>
        </w:rPr>
        <w:t>-</w:t>
      </w:r>
      <w:r w:rsidRPr="002B55E9">
        <w:rPr>
          <w:b/>
          <w:bCs/>
          <w:sz w:val="24"/>
        </w:rPr>
        <w:t>2-</w:t>
      </w:r>
      <w:r w:rsidRPr="002B55E9">
        <w:rPr>
          <w:rFonts w:hint="eastAsia"/>
          <w:b/>
          <w:bCs/>
          <w:sz w:val="24"/>
        </w:rPr>
        <w:t xml:space="preserve">9  </w:t>
      </w:r>
      <w:r w:rsidRPr="002B55E9">
        <w:rPr>
          <w:rFonts w:hint="eastAsia"/>
          <w:b/>
          <w:bCs/>
          <w:sz w:val="24"/>
        </w:rPr>
        <w:t>武汉（</w:t>
      </w:r>
      <w:r w:rsidRPr="002B55E9">
        <w:rPr>
          <w:rFonts w:hint="eastAsia"/>
          <w:b/>
          <w:bCs/>
          <w:sz w:val="24"/>
        </w:rPr>
        <w:t>2001-2020</w:t>
      </w:r>
      <w:r w:rsidRPr="002B55E9">
        <w:rPr>
          <w:rFonts w:hint="eastAsia"/>
          <w:b/>
          <w:bCs/>
          <w:sz w:val="24"/>
        </w:rPr>
        <w:t>）年日照时长（单位：小时，虚线为趋势线）</w:t>
      </w:r>
    </w:p>
    <w:p w14:paraId="1DAA9BF2" w14:textId="77777777" w:rsidR="00D170E5" w:rsidRPr="002B55E9" w:rsidRDefault="00EF27AD">
      <w:pPr>
        <w:pStyle w:val="5"/>
        <w:numPr>
          <w:ilvl w:val="4"/>
          <w:numId w:val="25"/>
        </w:numPr>
      </w:pPr>
      <w:r w:rsidRPr="002B55E9">
        <w:rPr>
          <w:rFonts w:hint="eastAsia"/>
        </w:rPr>
        <w:lastRenderedPageBreak/>
        <w:t>气象站相对湿度分析</w:t>
      </w:r>
    </w:p>
    <w:p w14:paraId="352D42CB"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w:t>
      </w:r>
      <w:r w:rsidRPr="002B55E9">
        <w:rPr>
          <w:rFonts w:hint="eastAsia"/>
          <w:bCs/>
          <w:sz w:val="24"/>
        </w:rPr>
        <w:t>1</w:t>
      </w:r>
      <w:r w:rsidRPr="002B55E9">
        <w:rPr>
          <w:rFonts w:hint="eastAsia"/>
          <w:bCs/>
          <w:sz w:val="24"/>
        </w:rPr>
        <w:t>）月相对湿度分析</w:t>
      </w:r>
    </w:p>
    <w:p w14:paraId="24684236"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武汉气象站</w:t>
      </w:r>
      <w:r w:rsidRPr="002B55E9">
        <w:rPr>
          <w:rFonts w:hint="eastAsia"/>
          <w:bCs/>
          <w:sz w:val="24"/>
        </w:rPr>
        <w:t>02</w:t>
      </w:r>
      <w:r w:rsidRPr="002B55E9">
        <w:rPr>
          <w:rFonts w:hint="eastAsia"/>
          <w:bCs/>
          <w:sz w:val="24"/>
        </w:rPr>
        <w:t>月平均相对湿度最大（</w:t>
      </w:r>
      <w:r w:rsidRPr="002B55E9">
        <w:rPr>
          <w:rFonts w:hint="eastAsia"/>
          <w:bCs/>
          <w:sz w:val="24"/>
        </w:rPr>
        <w:t>77.3%</w:t>
      </w:r>
      <w:r w:rsidRPr="002B55E9">
        <w:rPr>
          <w:rFonts w:hint="eastAsia"/>
          <w:bCs/>
          <w:sz w:val="24"/>
        </w:rPr>
        <w:t>），</w:t>
      </w:r>
      <w:r w:rsidRPr="002B55E9">
        <w:rPr>
          <w:rFonts w:hint="eastAsia"/>
          <w:bCs/>
          <w:sz w:val="24"/>
        </w:rPr>
        <w:t>04</w:t>
      </w:r>
      <w:r w:rsidRPr="002B55E9">
        <w:rPr>
          <w:rFonts w:hint="eastAsia"/>
          <w:bCs/>
          <w:sz w:val="24"/>
        </w:rPr>
        <w:t>月平均相对湿度最小（</w:t>
      </w:r>
      <w:r w:rsidRPr="002B55E9">
        <w:rPr>
          <w:rFonts w:hint="eastAsia"/>
          <w:bCs/>
          <w:sz w:val="24"/>
        </w:rPr>
        <w:t>73.4%</w:t>
      </w:r>
      <w:r w:rsidRPr="002B55E9">
        <w:rPr>
          <w:rFonts w:hint="eastAsia"/>
          <w:bCs/>
          <w:sz w:val="24"/>
        </w:rPr>
        <w:t>）。</w:t>
      </w:r>
    </w:p>
    <w:p w14:paraId="4EC0CAA3"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41F87C1B" wp14:editId="74BDF3AC">
            <wp:extent cx="4439920" cy="3326765"/>
            <wp:effectExtent l="0" t="0" r="0" b="0"/>
            <wp:docPr id="38" name="图片 89" descr="平均相对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9" descr="平均相对湿度"/>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439920" cy="3326765"/>
                    </a:xfrm>
                    <a:prstGeom prst="rect">
                      <a:avLst/>
                    </a:prstGeom>
                    <a:noFill/>
                    <a:ln>
                      <a:noFill/>
                    </a:ln>
                  </pic:spPr>
                </pic:pic>
              </a:graphicData>
            </a:graphic>
          </wp:inline>
        </w:drawing>
      </w:r>
    </w:p>
    <w:p w14:paraId="552AB1D2" w14:textId="77777777" w:rsidR="00D170E5" w:rsidRPr="002B55E9" w:rsidRDefault="00EF27AD">
      <w:pPr>
        <w:widowControl/>
        <w:adjustRightInd w:val="0"/>
        <w:snapToGrid w:val="0"/>
        <w:spacing w:line="360" w:lineRule="auto"/>
        <w:jc w:val="center"/>
        <w:rPr>
          <w:b/>
          <w:bCs/>
          <w:sz w:val="24"/>
        </w:rPr>
      </w:pPr>
      <w:r w:rsidRPr="002B55E9">
        <w:rPr>
          <w:rFonts w:hint="eastAsia"/>
          <w:b/>
          <w:bCs/>
          <w:sz w:val="24"/>
        </w:rPr>
        <w:t>图</w:t>
      </w:r>
      <w:r w:rsidRPr="002B55E9">
        <w:rPr>
          <w:b/>
          <w:bCs/>
          <w:sz w:val="24"/>
        </w:rPr>
        <w:t>5-2-</w:t>
      </w:r>
      <w:r w:rsidRPr="002B55E9">
        <w:rPr>
          <w:rFonts w:hint="eastAsia"/>
          <w:b/>
          <w:bCs/>
          <w:sz w:val="24"/>
        </w:rPr>
        <w:t xml:space="preserve">10  </w:t>
      </w:r>
      <w:r w:rsidRPr="002B55E9">
        <w:rPr>
          <w:rFonts w:hint="eastAsia"/>
          <w:b/>
          <w:bCs/>
          <w:sz w:val="24"/>
        </w:rPr>
        <w:t>武汉月平均相对湿度（纵轴为百分比）</w:t>
      </w:r>
    </w:p>
    <w:p w14:paraId="61F4A0A0"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w:t>
      </w:r>
      <w:r w:rsidRPr="002B55E9">
        <w:rPr>
          <w:rFonts w:hint="eastAsia"/>
          <w:bCs/>
          <w:sz w:val="24"/>
        </w:rPr>
        <w:t>2</w:t>
      </w:r>
      <w:r w:rsidRPr="002B55E9">
        <w:rPr>
          <w:rFonts w:hint="eastAsia"/>
          <w:bCs/>
          <w:sz w:val="24"/>
        </w:rPr>
        <w:t>）相对湿度年际变化趋势与周期分析</w:t>
      </w:r>
    </w:p>
    <w:p w14:paraId="00C30414" w14:textId="77777777" w:rsidR="00D170E5" w:rsidRPr="002B55E9" w:rsidRDefault="00EF27AD">
      <w:pPr>
        <w:widowControl/>
        <w:adjustRightInd w:val="0"/>
        <w:snapToGrid w:val="0"/>
        <w:spacing w:after="60" w:line="360" w:lineRule="auto"/>
        <w:ind w:firstLineChars="200" w:firstLine="480"/>
        <w:rPr>
          <w:bCs/>
          <w:sz w:val="24"/>
        </w:rPr>
      </w:pPr>
      <w:r w:rsidRPr="002B55E9">
        <w:rPr>
          <w:rFonts w:hint="eastAsia"/>
          <w:bCs/>
          <w:sz w:val="24"/>
        </w:rPr>
        <w:t>武汉气象站近</w:t>
      </w:r>
      <w:r w:rsidRPr="002B55E9">
        <w:rPr>
          <w:bCs/>
          <w:sz w:val="24"/>
        </w:rPr>
        <w:t>20</w:t>
      </w:r>
      <w:r w:rsidRPr="002B55E9">
        <w:rPr>
          <w:rFonts w:hint="eastAsia"/>
          <w:bCs/>
          <w:sz w:val="24"/>
        </w:rPr>
        <w:t>年年平均相对湿度呈现上升趋势，每年上升</w:t>
      </w:r>
      <w:r w:rsidRPr="002B55E9">
        <w:rPr>
          <w:bCs/>
          <w:sz w:val="24"/>
        </w:rPr>
        <w:t>0.</w:t>
      </w:r>
      <w:r w:rsidRPr="002B55E9">
        <w:rPr>
          <w:rFonts w:hint="eastAsia"/>
          <w:bCs/>
          <w:sz w:val="24"/>
        </w:rPr>
        <w:t>53</w:t>
      </w:r>
      <w:r w:rsidRPr="002B55E9">
        <w:rPr>
          <w:bCs/>
          <w:sz w:val="24"/>
        </w:rPr>
        <w:t>%</w:t>
      </w:r>
      <w:r w:rsidRPr="002B55E9">
        <w:rPr>
          <w:rFonts w:hint="eastAsia"/>
          <w:bCs/>
          <w:sz w:val="24"/>
        </w:rPr>
        <w:t>，</w:t>
      </w:r>
      <w:r w:rsidRPr="002B55E9">
        <w:rPr>
          <w:bCs/>
          <w:sz w:val="24"/>
        </w:rPr>
        <w:t>2012</w:t>
      </w:r>
      <w:r w:rsidRPr="002B55E9">
        <w:rPr>
          <w:rFonts w:hint="eastAsia"/>
          <w:bCs/>
          <w:sz w:val="24"/>
        </w:rPr>
        <w:t>年年平均相对湿度最大（</w:t>
      </w:r>
      <w:r w:rsidRPr="002B55E9">
        <w:rPr>
          <w:bCs/>
          <w:sz w:val="24"/>
        </w:rPr>
        <w:t>81.0%</w:t>
      </w:r>
      <w:r w:rsidRPr="002B55E9">
        <w:rPr>
          <w:rFonts w:hint="eastAsia"/>
          <w:bCs/>
          <w:sz w:val="24"/>
        </w:rPr>
        <w:t>），</w:t>
      </w:r>
      <w:r w:rsidRPr="002B55E9">
        <w:rPr>
          <w:bCs/>
          <w:sz w:val="24"/>
        </w:rPr>
        <w:t>2007</w:t>
      </w:r>
      <w:r w:rsidRPr="002B55E9">
        <w:rPr>
          <w:rFonts w:hint="eastAsia"/>
          <w:bCs/>
          <w:sz w:val="24"/>
        </w:rPr>
        <w:t>年年平均相对湿度最小（</w:t>
      </w:r>
      <w:r w:rsidRPr="002B55E9">
        <w:rPr>
          <w:bCs/>
          <w:sz w:val="24"/>
        </w:rPr>
        <w:t>67.0%</w:t>
      </w:r>
      <w:r w:rsidRPr="002B55E9">
        <w:rPr>
          <w:rFonts w:hint="eastAsia"/>
          <w:bCs/>
          <w:sz w:val="24"/>
        </w:rPr>
        <w:t>），周期为</w:t>
      </w:r>
      <w:r w:rsidRPr="002B55E9">
        <w:rPr>
          <w:rFonts w:hint="eastAsia"/>
          <w:bCs/>
          <w:sz w:val="24"/>
        </w:rPr>
        <w:t>2-3</w:t>
      </w:r>
      <w:r w:rsidRPr="002B55E9">
        <w:rPr>
          <w:rFonts w:hint="eastAsia"/>
          <w:bCs/>
          <w:sz w:val="24"/>
        </w:rPr>
        <w:t>年。</w:t>
      </w:r>
    </w:p>
    <w:p w14:paraId="54802099" w14:textId="77777777" w:rsidR="00D170E5" w:rsidRPr="002B55E9" w:rsidRDefault="00EF27AD">
      <w:pPr>
        <w:widowControl/>
        <w:adjustRightInd w:val="0"/>
        <w:snapToGrid w:val="0"/>
        <w:spacing w:line="360" w:lineRule="auto"/>
        <w:jc w:val="center"/>
        <w:rPr>
          <w:bCs/>
          <w:sz w:val="24"/>
        </w:rPr>
      </w:pPr>
      <w:r w:rsidRPr="002B55E9">
        <w:rPr>
          <w:rFonts w:hint="eastAsia"/>
          <w:bCs/>
          <w:noProof/>
          <w:sz w:val="24"/>
        </w:rPr>
        <w:drawing>
          <wp:inline distT="0" distB="0" distL="0" distR="0" wp14:anchorId="3639F27D" wp14:editId="6818798D">
            <wp:extent cx="4355465" cy="3260725"/>
            <wp:effectExtent l="0" t="0" r="0" b="0"/>
            <wp:docPr id="39" name="图片 90" descr="年平均相对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0" descr="年平均相对湿度"/>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355465" cy="3260725"/>
                    </a:xfrm>
                    <a:prstGeom prst="rect">
                      <a:avLst/>
                    </a:prstGeom>
                    <a:noFill/>
                    <a:ln>
                      <a:noFill/>
                    </a:ln>
                  </pic:spPr>
                </pic:pic>
              </a:graphicData>
            </a:graphic>
          </wp:inline>
        </w:drawing>
      </w:r>
    </w:p>
    <w:p w14:paraId="526F634D" w14:textId="77777777" w:rsidR="00D170E5" w:rsidRPr="002B55E9" w:rsidRDefault="00EF27AD">
      <w:pPr>
        <w:widowControl/>
        <w:adjustRightInd w:val="0"/>
        <w:snapToGrid w:val="0"/>
        <w:spacing w:line="360" w:lineRule="auto"/>
        <w:jc w:val="center"/>
        <w:rPr>
          <w:b/>
          <w:bCs/>
          <w:sz w:val="24"/>
        </w:rPr>
      </w:pPr>
      <w:r w:rsidRPr="002B55E9">
        <w:rPr>
          <w:rFonts w:hint="eastAsia"/>
          <w:b/>
          <w:bCs/>
          <w:sz w:val="24"/>
        </w:rPr>
        <w:t>图</w:t>
      </w:r>
      <w:r w:rsidRPr="002B55E9">
        <w:rPr>
          <w:b/>
          <w:bCs/>
          <w:sz w:val="24"/>
        </w:rPr>
        <w:t>5</w:t>
      </w:r>
      <w:r w:rsidRPr="002B55E9">
        <w:rPr>
          <w:rFonts w:hint="eastAsia"/>
          <w:b/>
          <w:bCs/>
          <w:sz w:val="24"/>
        </w:rPr>
        <w:t>-</w:t>
      </w:r>
      <w:r w:rsidRPr="002B55E9">
        <w:rPr>
          <w:b/>
          <w:bCs/>
          <w:sz w:val="24"/>
        </w:rPr>
        <w:t>2-</w:t>
      </w:r>
      <w:r w:rsidRPr="002B55E9">
        <w:rPr>
          <w:rFonts w:hint="eastAsia"/>
          <w:b/>
          <w:bCs/>
          <w:sz w:val="24"/>
        </w:rPr>
        <w:t xml:space="preserve">11  </w:t>
      </w:r>
      <w:r w:rsidRPr="002B55E9">
        <w:rPr>
          <w:rFonts w:hint="eastAsia"/>
          <w:b/>
          <w:bCs/>
          <w:sz w:val="24"/>
        </w:rPr>
        <w:t>武汉（</w:t>
      </w:r>
      <w:r w:rsidRPr="002B55E9">
        <w:rPr>
          <w:rFonts w:hint="eastAsia"/>
          <w:b/>
          <w:bCs/>
          <w:sz w:val="24"/>
        </w:rPr>
        <w:t>2001-2020</w:t>
      </w:r>
      <w:r w:rsidRPr="002B55E9">
        <w:rPr>
          <w:rFonts w:hint="eastAsia"/>
          <w:b/>
          <w:bCs/>
          <w:sz w:val="24"/>
        </w:rPr>
        <w:t>）年平均相对湿度（纵轴为百分比，虚线为趋势线）</w:t>
      </w:r>
    </w:p>
    <w:p w14:paraId="16415E7C" w14:textId="77777777" w:rsidR="00D170E5" w:rsidRPr="002B55E9" w:rsidRDefault="00EF27AD">
      <w:pPr>
        <w:pStyle w:val="4"/>
        <w:rPr>
          <w:color w:val="auto"/>
        </w:rPr>
      </w:pPr>
      <w:r w:rsidRPr="002B55E9">
        <w:rPr>
          <w:rFonts w:hint="eastAsia"/>
          <w:color w:val="auto"/>
        </w:rPr>
        <w:lastRenderedPageBreak/>
        <w:t>评价等级判断</w:t>
      </w:r>
    </w:p>
    <w:p w14:paraId="64D288E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拟建</w:t>
      </w:r>
      <w:r w:rsidRPr="002B55E9">
        <w:rPr>
          <w:bCs/>
          <w:snapToGrid w:val="0"/>
          <w:sz w:val="24"/>
        </w:rPr>
        <w:t>项目评价等级</w:t>
      </w:r>
      <w:r w:rsidRPr="002B55E9">
        <w:rPr>
          <w:rFonts w:hint="eastAsia"/>
          <w:bCs/>
          <w:snapToGrid w:val="0"/>
          <w:sz w:val="24"/>
        </w:rPr>
        <w:t>判别</w:t>
      </w:r>
      <w:r w:rsidRPr="002B55E9">
        <w:rPr>
          <w:bCs/>
          <w:snapToGrid w:val="0"/>
          <w:sz w:val="24"/>
        </w:rPr>
        <w:t>（</w:t>
      </w:r>
      <w:r w:rsidRPr="002B55E9">
        <w:rPr>
          <w:bCs/>
          <w:snapToGrid w:val="0"/>
          <w:sz w:val="24"/>
        </w:rPr>
        <w:t>HJ2.2-2018</w:t>
      </w:r>
      <w:r w:rsidRPr="002B55E9">
        <w:rPr>
          <w:bCs/>
          <w:snapToGrid w:val="0"/>
          <w:sz w:val="24"/>
        </w:rPr>
        <w:t>表</w:t>
      </w:r>
      <w:r w:rsidRPr="002B55E9">
        <w:rPr>
          <w:bCs/>
          <w:snapToGrid w:val="0"/>
          <w:sz w:val="24"/>
        </w:rPr>
        <w:t>2</w:t>
      </w:r>
      <w:r w:rsidRPr="002B55E9">
        <w:rPr>
          <w:bCs/>
          <w:snapToGrid w:val="0"/>
          <w:sz w:val="24"/>
        </w:rPr>
        <w:t>）见</w:t>
      </w:r>
      <w:r w:rsidRPr="002B55E9">
        <w:rPr>
          <w:rFonts w:hint="eastAsia"/>
          <w:bCs/>
          <w:snapToGrid w:val="0"/>
          <w:sz w:val="24"/>
        </w:rPr>
        <w:t>下</w:t>
      </w:r>
      <w:r w:rsidRPr="002B55E9">
        <w:rPr>
          <w:bCs/>
          <w:snapToGrid w:val="0"/>
          <w:sz w:val="24"/>
        </w:rPr>
        <w:t>表。</w:t>
      </w:r>
    </w:p>
    <w:p w14:paraId="7BDAAED3" w14:textId="77777777" w:rsidR="00D170E5" w:rsidRPr="002B55E9" w:rsidRDefault="00EF27AD">
      <w:pPr>
        <w:adjustRightInd w:val="0"/>
        <w:snapToGrid w:val="0"/>
        <w:jc w:val="center"/>
        <w:rPr>
          <w:rFonts w:eastAsia="黑体"/>
          <w:b/>
          <w:kern w:val="2"/>
          <w:sz w:val="24"/>
          <w:szCs w:val="21"/>
        </w:rPr>
      </w:pPr>
      <w:r w:rsidRPr="002B55E9">
        <w:rPr>
          <w:rFonts w:eastAsia="黑体"/>
          <w:b/>
          <w:kern w:val="2"/>
          <w:sz w:val="24"/>
          <w:szCs w:val="21"/>
        </w:rPr>
        <w:t>表</w:t>
      </w:r>
      <w:r w:rsidRPr="002B55E9">
        <w:rPr>
          <w:rFonts w:eastAsia="黑体"/>
          <w:b/>
          <w:kern w:val="2"/>
          <w:sz w:val="24"/>
          <w:szCs w:val="21"/>
        </w:rPr>
        <w:t xml:space="preserve">5-2-9  </w:t>
      </w:r>
      <w:r w:rsidRPr="002B55E9">
        <w:rPr>
          <w:rFonts w:eastAsia="黑体"/>
          <w:b/>
          <w:kern w:val="2"/>
          <w:sz w:val="24"/>
          <w:szCs w:val="21"/>
        </w:rPr>
        <w:t>评价</w:t>
      </w:r>
      <w:r w:rsidRPr="002B55E9">
        <w:rPr>
          <w:rFonts w:eastAsia="黑体" w:hint="eastAsia"/>
          <w:b/>
          <w:kern w:val="2"/>
          <w:sz w:val="24"/>
          <w:szCs w:val="21"/>
        </w:rPr>
        <w:t>等级判别表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76"/>
        <w:gridCol w:w="4877"/>
      </w:tblGrid>
      <w:tr w:rsidR="002B55E9" w:rsidRPr="002B55E9" w14:paraId="5B8375DA" w14:textId="77777777">
        <w:trPr>
          <w:trHeight w:val="283"/>
          <w:jc w:val="center"/>
        </w:trPr>
        <w:tc>
          <w:tcPr>
            <w:tcW w:w="4876" w:type="dxa"/>
            <w:tcBorders>
              <w:top w:val="single" w:sz="12" w:space="0" w:color="auto"/>
              <w:left w:val="nil"/>
              <w:bottom w:val="single" w:sz="12" w:space="0" w:color="auto"/>
              <w:right w:val="single" w:sz="4" w:space="0" w:color="auto"/>
            </w:tcBorders>
            <w:vAlign w:val="center"/>
          </w:tcPr>
          <w:p w14:paraId="0F71DB9A" w14:textId="77777777" w:rsidR="00D170E5" w:rsidRPr="002B55E9" w:rsidRDefault="00EF27AD">
            <w:pPr>
              <w:adjustRightInd w:val="0"/>
              <w:snapToGrid w:val="0"/>
              <w:jc w:val="center"/>
              <w:rPr>
                <w:bCs/>
                <w:sz w:val="18"/>
                <w:szCs w:val="18"/>
              </w:rPr>
            </w:pPr>
            <w:r w:rsidRPr="002B55E9">
              <w:rPr>
                <w:bCs/>
                <w:sz w:val="18"/>
                <w:szCs w:val="18"/>
              </w:rPr>
              <w:t>评价工作等级</w:t>
            </w:r>
          </w:p>
        </w:tc>
        <w:tc>
          <w:tcPr>
            <w:tcW w:w="4877" w:type="dxa"/>
            <w:tcBorders>
              <w:top w:val="single" w:sz="12" w:space="0" w:color="auto"/>
              <w:left w:val="single" w:sz="4" w:space="0" w:color="auto"/>
              <w:bottom w:val="single" w:sz="12" w:space="0" w:color="auto"/>
              <w:right w:val="nil"/>
            </w:tcBorders>
            <w:vAlign w:val="center"/>
          </w:tcPr>
          <w:p w14:paraId="1E025BAB" w14:textId="77777777" w:rsidR="00D170E5" w:rsidRPr="002B55E9" w:rsidRDefault="00EF27AD">
            <w:pPr>
              <w:adjustRightInd w:val="0"/>
              <w:snapToGrid w:val="0"/>
              <w:jc w:val="center"/>
              <w:rPr>
                <w:bCs/>
                <w:sz w:val="18"/>
                <w:szCs w:val="18"/>
              </w:rPr>
            </w:pPr>
            <w:r w:rsidRPr="002B55E9">
              <w:rPr>
                <w:bCs/>
                <w:sz w:val="18"/>
                <w:szCs w:val="18"/>
              </w:rPr>
              <w:t>评价工作分级判据</w:t>
            </w:r>
          </w:p>
        </w:tc>
      </w:tr>
      <w:tr w:rsidR="002B55E9" w:rsidRPr="002B55E9" w14:paraId="047D34B4" w14:textId="77777777">
        <w:trPr>
          <w:trHeight w:val="283"/>
          <w:jc w:val="center"/>
        </w:trPr>
        <w:tc>
          <w:tcPr>
            <w:tcW w:w="4876" w:type="dxa"/>
            <w:vAlign w:val="center"/>
          </w:tcPr>
          <w:p w14:paraId="5D4D1804" w14:textId="77777777" w:rsidR="00D170E5" w:rsidRPr="002B55E9" w:rsidRDefault="00EF27AD">
            <w:pPr>
              <w:adjustRightInd w:val="0"/>
              <w:snapToGrid w:val="0"/>
              <w:jc w:val="center"/>
              <w:rPr>
                <w:bCs/>
                <w:sz w:val="18"/>
                <w:szCs w:val="18"/>
              </w:rPr>
            </w:pPr>
            <w:r w:rsidRPr="002B55E9">
              <w:rPr>
                <w:bCs/>
                <w:sz w:val="18"/>
                <w:szCs w:val="18"/>
              </w:rPr>
              <w:t>一级</w:t>
            </w:r>
            <w:r w:rsidRPr="002B55E9">
              <w:rPr>
                <w:rFonts w:hint="eastAsia"/>
                <w:bCs/>
                <w:sz w:val="18"/>
                <w:szCs w:val="18"/>
              </w:rPr>
              <w:t>评价</w:t>
            </w:r>
          </w:p>
        </w:tc>
        <w:tc>
          <w:tcPr>
            <w:tcW w:w="4877" w:type="dxa"/>
            <w:vAlign w:val="center"/>
          </w:tcPr>
          <w:p w14:paraId="719F39E7" w14:textId="77777777" w:rsidR="00D170E5" w:rsidRPr="002B55E9" w:rsidRDefault="00EF27AD">
            <w:pPr>
              <w:adjustRightInd w:val="0"/>
              <w:snapToGrid w:val="0"/>
              <w:jc w:val="center"/>
              <w:rPr>
                <w:bCs/>
                <w:sz w:val="18"/>
                <w:szCs w:val="18"/>
              </w:rPr>
            </w:pPr>
            <w:r w:rsidRPr="002B55E9">
              <w:rPr>
                <w:bCs/>
                <w:sz w:val="18"/>
                <w:szCs w:val="18"/>
              </w:rPr>
              <w:t>P</w:t>
            </w:r>
            <w:r w:rsidRPr="002B55E9">
              <w:rPr>
                <w:bCs/>
                <w:sz w:val="18"/>
                <w:szCs w:val="18"/>
                <w:vertAlign w:val="subscript"/>
              </w:rPr>
              <w:t>max</w:t>
            </w:r>
            <w:r w:rsidRPr="002B55E9">
              <w:rPr>
                <w:bCs/>
                <w:sz w:val="18"/>
                <w:szCs w:val="18"/>
              </w:rPr>
              <w:t>≥10</w:t>
            </w:r>
            <w:r w:rsidRPr="002B55E9">
              <w:rPr>
                <w:bCs/>
                <w:sz w:val="18"/>
                <w:szCs w:val="18"/>
              </w:rPr>
              <w:t>％</w:t>
            </w:r>
            <w:r w:rsidRPr="002B55E9">
              <w:rPr>
                <w:bCs/>
                <w:sz w:val="18"/>
                <w:szCs w:val="18"/>
              </w:rPr>
              <w:t xml:space="preserve"> </w:t>
            </w:r>
          </w:p>
        </w:tc>
      </w:tr>
      <w:tr w:rsidR="002B55E9" w:rsidRPr="002B55E9" w14:paraId="7F5C4AC5" w14:textId="77777777">
        <w:trPr>
          <w:trHeight w:val="283"/>
          <w:jc w:val="center"/>
        </w:trPr>
        <w:tc>
          <w:tcPr>
            <w:tcW w:w="4876" w:type="dxa"/>
            <w:vAlign w:val="center"/>
          </w:tcPr>
          <w:p w14:paraId="525B9284" w14:textId="77777777" w:rsidR="00D170E5" w:rsidRPr="002B55E9" w:rsidRDefault="00EF27AD">
            <w:pPr>
              <w:adjustRightInd w:val="0"/>
              <w:snapToGrid w:val="0"/>
              <w:jc w:val="center"/>
              <w:rPr>
                <w:bCs/>
                <w:sz w:val="18"/>
                <w:szCs w:val="18"/>
              </w:rPr>
            </w:pPr>
            <w:r w:rsidRPr="002B55E9">
              <w:rPr>
                <w:bCs/>
                <w:sz w:val="18"/>
                <w:szCs w:val="18"/>
              </w:rPr>
              <w:t>二级</w:t>
            </w:r>
            <w:r w:rsidRPr="002B55E9">
              <w:rPr>
                <w:rFonts w:hint="eastAsia"/>
                <w:bCs/>
                <w:sz w:val="18"/>
                <w:szCs w:val="18"/>
              </w:rPr>
              <w:t>评价</w:t>
            </w:r>
          </w:p>
        </w:tc>
        <w:tc>
          <w:tcPr>
            <w:tcW w:w="4877" w:type="dxa"/>
            <w:vAlign w:val="center"/>
          </w:tcPr>
          <w:p w14:paraId="1E10A37A" w14:textId="77777777" w:rsidR="00D170E5" w:rsidRPr="002B55E9" w:rsidRDefault="00EF27AD">
            <w:pPr>
              <w:adjustRightInd w:val="0"/>
              <w:snapToGrid w:val="0"/>
              <w:jc w:val="center"/>
              <w:rPr>
                <w:bCs/>
                <w:sz w:val="18"/>
                <w:szCs w:val="18"/>
              </w:rPr>
            </w:pPr>
            <w:r w:rsidRPr="002B55E9">
              <w:rPr>
                <w:bCs/>
                <w:sz w:val="18"/>
                <w:szCs w:val="18"/>
              </w:rPr>
              <w:t>1</w:t>
            </w:r>
            <w:r w:rsidRPr="002B55E9">
              <w:rPr>
                <w:bCs/>
                <w:sz w:val="18"/>
                <w:szCs w:val="18"/>
              </w:rPr>
              <w:t>％</w:t>
            </w:r>
            <w:r w:rsidRPr="002B55E9">
              <w:rPr>
                <w:bCs/>
                <w:sz w:val="18"/>
                <w:szCs w:val="18"/>
              </w:rPr>
              <w:t>≤P</w:t>
            </w:r>
            <w:r w:rsidRPr="002B55E9">
              <w:rPr>
                <w:bCs/>
                <w:sz w:val="18"/>
                <w:szCs w:val="18"/>
                <w:vertAlign w:val="subscript"/>
              </w:rPr>
              <w:t>max</w:t>
            </w:r>
            <w:r w:rsidRPr="002B55E9">
              <w:rPr>
                <w:bCs/>
                <w:sz w:val="18"/>
                <w:szCs w:val="18"/>
              </w:rPr>
              <w:t>＜</w:t>
            </w:r>
            <w:r w:rsidRPr="002B55E9">
              <w:rPr>
                <w:bCs/>
                <w:sz w:val="18"/>
                <w:szCs w:val="18"/>
              </w:rPr>
              <w:t>10</w:t>
            </w:r>
            <w:r w:rsidRPr="002B55E9">
              <w:rPr>
                <w:bCs/>
                <w:sz w:val="18"/>
                <w:szCs w:val="18"/>
              </w:rPr>
              <w:t>％</w:t>
            </w:r>
          </w:p>
        </w:tc>
      </w:tr>
      <w:tr w:rsidR="002B55E9" w:rsidRPr="002B55E9" w14:paraId="68379A36" w14:textId="77777777">
        <w:trPr>
          <w:trHeight w:val="283"/>
          <w:jc w:val="center"/>
        </w:trPr>
        <w:tc>
          <w:tcPr>
            <w:tcW w:w="4876" w:type="dxa"/>
            <w:vAlign w:val="center"/>
          </w:tcPr>
          <w:p w14:paraId="12AD6466" w14:textId="77777777" w:rsidR="00D170E5" w:rsidRPr="002B55E9" w:rsidRDefault="00EF27AD">
            <w:pPr>
              <w:adjustRightInd w:val="0"/>
              <w:snapToGrid w:val="0"/>
              <w:jc w:val="center"/>
              <w:rPr>
                <w:bCs/>
                <w:sz w:val="18"/>
                <w:szCs w:val="18"/>
              </w:rPr>
            </w:pPr>
            <w:r w:rsidRPr="002B55E9">
              <w:rPr>
                <w:bCs/>
                <w:sz w:val="18"/>
                <w:szCs w:val="18"/>
              </w:rPr>
              <w:t>三级</w:t>
            </w:r>
            <w:r w:rsidRPr="002B55E9">
              <w:rPr>
                <w:rFonts w:hint="eastAsia"/>
                <w:bCs/>
                <w:sz w:val="18"/>
                <w:szCs w:val="18"/>
              </w:rPr>
              <w:t>评价</w:t>
            </w:r>
          </w:p>
        </w:tc>
        <w:tc>
          <w:tcPr>
            <w:tcW w:w="4877" w:type="dxa"/>
            <w:vAlign w:val="center"/>
          </w:tcPr>
          <w:p w14:paraId="20F16836" w14:textId="77777777" w:rsidR="00D170E5" w:rsidRPr="002B55E9" w:rsidRDefault="00EF27AD">
            <w:pPr>
              <w:adjustRightInd w:val="0"/>
              <w:snapToGrid w:val="0"/>
              <w:jc w:val="center"/>
              <w:rPr>
                <w:bCs/>
                <w:sz w:val="18"/>
                <w:szCs w:val="18"/>
              </w:rPr>
            </w:pPr>
            <w:r w:rsidRPr="002B55E9">
              <w:rPr>
                <w:bCs/>
                <w:sz w:val="18"/>
                <w:szCs w:val="18"/>
              </w:rPr>
              <w:t>P</w:t>
            </w:r>
            <w:r w:rsidRPr="002B55E9">
              <w:rPr>
                <w:bCs/>
                <w:sz w:val="18"/>
                <w:szCs w:val="18"/>
                <w:vertAlign w:val="subscript"/>
              </w:rPr>
              <w:t>max</w:t>
            </w:r>
            <w:r w:rsidRPr="002B55E9">
              <w:rPr>
                <w:bCs/>
                <w:sz w:val="18"/>
                <w:szCs w:val="18"/>
              </w:rPr>
              <w:t>＜</w:t>
            </w:r>
            <w:r w:rsidRPr="002B55E9">
              <w:rPr>
                <w:bCs/>
                <w:sz w:val="18"/>
                <w:szCs w:val="18"/>
              </w:rPr>
              <w:t>1</w:t>
            </w:r>
            <w:r w:rsidRPr="002B55E9">
              <w:rPr>
                <w:bCs/>
                <w:sz w:val="18"/>
                <w:szCs w:val="18"/>
              </w:rPr>
              <w:t>％</w:t>
            </w:r>
            <w:r w:rsidRPr="002B55E9">
              <w:rPr>
                <w:bCs/>
                <w:sz w:val="18"/>
                <w:szCs w:val="18"/>
              </w:rPr>
              <w:t xml:space="preserve"> </w:t>
            </w:r>
          </w:p>
        </w:tc>
      </w:tr>
    </w:tbl>
    <w:p w14:paraId="3823E51B" w14:textId="77777777" w:rsidR="00D170E5" w:rsidRPr="002B55E9" w:rsidRDefault="00EF27AD">
      <w:pPr>
        <w:spacing w:after="60" w:line="360" w:lineRule="auto"/>
        <w:ind w:firstLineChars="200" w:firstLine="480"/>
        <w:rPr>
          <w:bCs/>
          <w:snapToGrid w:val="0"/>
          <w:sz w:val="24"/>
        </w:rPr>
      </w:pPr>
      <w:r w:rsidRPr="002B55E9">
        <w:rPr>
          <w:bCs/>
          <w:snapToGrid w:val="0"/>
          <w:sz w:val="24"/>
        </w:rPr>
        <w:t>根据项目的工程分析可知，</w:t>
      </w:r>
      <w:r w:rsidRPr="002B55E9">
        <w:rPr>
          <w:rFonts w:hint="eastAsia"/>
          <w:bCs/>
          <w:snapToGrid w:val="0"/>
          <w:sz w:val="24"/>
        </w:rPr>
        <w:t>拟建</w:t>
      </w:r>
      <w:r w:rsidRPr="002B55E9">
        <w:rPr>
          <w:bCs/>
          <w:snapToGrid w:val="0"/>
          <w:sz w:val="24"/>
        </w:rPr>
        <w:t>项目</w:t>
      </w:r>
      <w:r w:rsidRPr="002B55E9">
        <w:rPr>
          <w:rFonts w:hint="eastAsia"/>
          <w:bCs/>
          <w:snapToGrid w:val="0"/>
          <w:sz w:val="24"/>
        </w:rPr>
        <w:t>废气主要为十三车间生产工艺废气、十一车间化验室实验废气、储罐大小呼吸废气等</w:t>
      </w:r>
      <w:r w:rsidRPr="002B55E9">
        <w:rPr>
          <w:bCs/>
          <w:snapToGrid w:val="0"/>
          <w:sz w:val="24"/>
        </w:rPr>
        <w:t>。主要污染物最大地面浓度占标率（</w:t>
      </w:r>
      <w:r w:rsidRPr="002B55E9">
        <w:rPr>
          <w:bCs/>
          <w:snapToGrid w:val="0"/>
          <w:sz w:val="24"/>
        </w:rPr>
        <w:t>P</w:t>
      </w:r>
      <w:r w:rsidRPr="002B55E9">
        <w:rPr>
          <w:bCs/>
          <w:snapToGrid w:val="0"/>
          <w:sz w:val="24"/>
          <w:vertAlign w:val="subscript"/>
        </w:rPr>
        <w:t>i</w:t>
      </w:r>
      <w:r w:rsidRPr="002B55E9">
        <w:rPr>
          <w:bCs/>
          <w:snapToGrid w:val="0"/>
          <w:sz w:val="24"/>
        </w:rPr>
        <w:t>）计算公式如下：</w:t>
      </w:r>
    </w:p>
    <w:p w14:paraId="54190E54" w14:textId="77777777" w:rsidR="00D170E5" w:rsidRPr="002B55E9" w:rsidRDefault="00A8249C">
      <w:pPr>
        <w:adjustRightInd w:val="0"/>
        <w:snapToGrid w:val="0"/>
        <w:jc w:val="center"/>
        <w:rPr>
          <w:bCs/>
          <w:sz w:val="18"/>
          <w:szCs w:val="18"/>
        </w:rPr>
      </w:pPr>
      <w:r>
        <w:rPr>
          <w:bCs/>
          <w:sz w:val="18"/>
          <w:szCs w:val="18"/>
        </w:rPr>
        <w:pict w14:anchorId="0DFC15C1">
          <v:shape id="_x0000_i1029" type="#_x0000_t75" style="width:79.55pt;height:37.65pt">
            <v:imagedata r:id="rId17" o:title=""/>
          </v:shape>
        </w:pict>
      </w:r>
    </w:p>
    <w:p w14:paraId="60479E54" w14:textId="77777777" w:rsidR="00D170E5" w:rsidRPr="002B55E9" w:rsidRDefault="00EF27AD">
      <w:pPr>
        <w:spacing w:after="60" w:line="360" w:lineRule="auto"/>
        <w:ind w:firstLineChars="200" w:firstLine="480"/>
        <w:rPr>
          <w:bCs/>
          <w:snapToGrid w:val="0"/>
          <w:sz w:val="24"/>
        </w:rPr>
      </w:pPr>
      <w:r w:rsidRPr="002B55E9">
        <w:rPr>
          <w:bCs/>
          <w:snapToGrid w:val="0"/>
          <w:sz w:val="24"/>
        </w:rPr>
        <w:t>式中：</w:t>
      </w:r>
      <w:r w:rsidRPr="002B55E9">
        <w:rPr>
          <w:bCs/>
          <w:snapToGrid w:val="0"/>
          <w:sz w:val="24"/>
        </w:rPr>
        <w:t>P</w:t>
      </w:r>
      <w:r w:rsidRPr="002B55E9">
        <w:rPr>
          <w:bCs/>
          <w:snapToGrid w:val="0"/>
          <w:sz w:val="24"/>
          <w:vertAlign w:val="subscript"/>
        </w:rPr>
        <w:t>i</w:t>
      </w:r>
      <w:r w:rsidRPr="002B55E9">
        <w:rPr>
          <w:bCs/>
          <w:snapToGrid w:val="0"/>
          <w:sz w:val="24"/>
        </w:rPr>
        <w:t>—</w:t>
      </w:r>
      <w:r w:rsidRPr="002B55E9">
        <w:rPr>
          <w:bCs/>
          <w:snapToGrid w:val="0"/>
          <w:sz w:val="24"/>
        </w:rPr>
        <w:t>第</w:t>
      </w:r>
      <w:r w:rsidRPr="002B55E9">
        <w:rPr>
          <w:bCs/>
          <w:snapToGrid w:val="0"/>
          <w:sz w:val="24"/>
        </w:rPr>
        <w:t xml:space="preserve">i </w:t>
      </w:r>
      <w:r w:rsidRPr="002B55E9">
        <w:rPr>
          <w:bCs/>
          <w:snapToGrid w:val="0"/>
          <w:sz w:val="24"/>
        </w:rPr>
        <w:t>个污染物的最大地面空气质量浓度占标率，</w:t>
      </w:r>
      <w:r w:rsidRPr="002B55E9">
        <w:rPr>
          <w:bCs/>
          <w:snapToGrid w:val="0"/>
          <w:sz w:val="24"/>
        </w:rPr>
        <w:t>%</w:t>
      </w:r>
      <w:r w:rsidRPr="002B55E9">
        <w:rPr>
          <w:bCs/>
          <w:snapToGrid w:val="0"/>
          <w:sz w:val="24"/>
        </w:rPr>
        <w:t>；</w:t>
      </w:r>
    </w:p>
    <w:p w14:paraId="3691F959" w14:textId="77777777" w:rsidR="00D170E5" w:rsidRPr="002B55E9" w:rsidRDefault="00EF27AD">
      <w:pPr>
        <w:spacing w:after="60" w:line="360" w:lineRule="auto"/>
        <w:ind w:firstLineChars="200" w:firstLine="480"/>
        <w:rPr>
          <w:bCs/>
          <w:snapToGrid w:val="0"/>
          <w:sz w:val="24"/>
        </w:rPr>
      </w:pPr>
      <w:r w:rsidRPr="002B55E9">
        <w:rPr>
          <w:bCs/>
          <w:snapToGrid w:val="0"/>
          <w:sz w:val="24"/>
        </w:rPr>
        <w:t>C</w:t>
      </w:r>
      <w:r w:rsidRPr="002B55E9">
        <w:rPr>
          <w:bCs/>
          <w:snapToGrid w:val="0"/>
          <w:sz w:val="24"/>
          <w:vertAlign w:val="subscript"/>
        </w:rPr>
        <w:t>i</w:t>
      </w:r>
      <w:r w:rsidRPr="002B55E9">
        <w:rPr>
          <w:bCs/>
          <w:snapToGrid w:val="0"/>
          <w:sz w:val="24"/>
        </w:rPr>
        <w:t>—</w:t>
      </w:r>
      <w:r w:rsidRPr="002B55E9">
        <w:rPr>
          <w:bCs/>
          <w:snapToGrid w:val="0"/>
          <w:sz w:val="24"/>
        </w:rPr>
        <w:t>采用估算模式计算出的第</w:t>
      </w:r>
      <w:r w:rsidRPr="002B55E9">
        <w:rPr>
          <w:bCs/>
          <w:snapToGrid w:val="0"/>
          <w:sz w:val="24"/>
        </w:rPr>
        <w:t>i</w:t>
      </w:r>
      <w:r w:rsidRPr="002B55E9">
        <w:rPr>
          <w:bCs/>
          <w:snapToGrid w:val="0"/>
          <w:sz w:val="24"/>
        </w:rPr>
        <w:t>个污染物的最大</w:t>
      </w:r>
      <w:r w:rsidRPr="002B55E9">
        <w:rPr>
          <w:bCs/>
          <w:snapToGrid w:val="0"/>
          <w:sz w:val="24"/>
        </w:rPr>
        <w:t>1h</w:t>
      </w:r>
      <w:r w:rsidRPr="002B55E9">
        <w:rPr>
          <w:bCs/>
          <w:snapToGrid w:val="0"/>
          <w:sz w:val="24"/>
        </w:rPr>
        <w:t>地面浓度，</w:t>
      </w:r>
      <w:r w:rsidRPr="002B55E9">
        <w:rPr>
          <w:bCs/>
          <w:snapToGrid w:val="0"/>
          <w:sz w:val="24"/>
        </w:rPr>
        <w:t>μg/m</w:t>
      </w:r>
      <w:r w:rsidRPr="002B55E9">
        <w:rPr>
          <w:bCs/>
          <w:snapToGrid w:val="0"/>
          <w:sz w:val="24"/>
          <w:vertAlign w:val="superscript"/>
        </w:rPr>
        <w:t>3</w:t>
      </w:r>
      <w:r w:rsidRPr="002B55E9">
        <w:rPr>
          <w:rFonts w:hint="eastAsia"/>
          <w:bCs/>
          <w:snapToGrid w:val="0"/>
          <w:sz w:val="24"/>
        </w:rPr>
        <w:t>；</w:t>
      </w:r>
    </w:p>
    <w:p w14:paraId="19179657" w14:textId="77777777" w:rsidR="00D170E5" w:rsidRPr="002B55E9" w:rsidRDefault="00EF27AD">
      <w:pPr>
        <w:spacing w:after="60" w:line="360" w:lineRule="auto"/>
        <w:ind w:firstLineChars="200" w:firstLine="480"/>
        <w:rPr>
          <w:bCs/>
          <w:snapToGrid w:val="0"/>
          <w:sz w:val="24"/>
        </w:rPr>
      </w:pPr>
      <w:r w:rsidRPr="002B55E9">
        <w:rPr>
          <w:bCs/>
          <w:snapToGrid w:val="0"/>
          <w:sz w:val="24"/>
        </w:rPr>
        <w:t>C</w:t>
      </w:r>
      <w:r w:rsidRPr="002B55E9">
        <w:rPr>
          <w:bCs/>
          <w:snapToGrid w:val="0"/>
          <w:sz w:val="24"/>
          <w:vertAlign w:val="subscript"/>
        </w:rPr>
        <w:t>oi</w:t>
      </w:r>
      <w:r w:rsidRPr="002B55E9">
        <w:rPr>
          <w:bCs/>
          <w:snapToGrid w:val="0"/>
          <w:sz w:val="24"/>
        </w:rPr>
        <w:t>—</w:t>
      </w:r>
      <w:r w:rsidRPr="002B55E9">
        <w:rPr>
          <w:bCs/>
          <w:snapToGrid w:val="0"/>
          <w:sz w:val="24"/>
        </w:rPr>
        <w:t>第</w:t>
      </w:r>
      <w:r w:rsidRPr="002B55E9">
        <w:rPr>
          <w:bCs/>
          <w:snapToGrid w:val="0"/>
          <w:sz w:val="24"/>
        </w:rPr>
        <w:t xml:space="preserve">i </w:t>
      </w:r>
      <w:r w:rsidRPr="002B55E9">
        <w:rPr>
          <w:bCs/>
          <w:snapToGrid w:val="0"/>
          <w:sz w:val="24"/>
        </w:rPr>
        <w:t>个污染物的环境空气质量标准，</w:t>
      </w:r>
      <w:r w:rsidRPr="002B55E9">
        <w:rPr>
          <w:bCs/>
          <w:snapToGrid w:val="0"/>
          <w:sz w:val="24"/>
        </w:rPr>
        <w:t>μg/m</w:t>
      </w:r>
      <w:r w:rsidRPr="002B55E9">
        <w:rPr>
          <w:bCs/>
          <w:snapToGrid w:val="0"/>
          <w:sz w:val="24"/>
          <w:vertAlign w:val="superscript"/>
        </w:rPr>
        <w:t>3</w:t>
      </w:r>
      <w:r w:rsidRPr="002B55E9">
        <w:rPr>
          <w:bCs/>
          <w:snapToGrid w:val="0"/>
          <w:sz w:val="24"/>
        </w:rPr>
        <w:t>；</w:t>
      </w:r>
    </w:p>
    <w:p w14:paraId="38EF3443" w14:textId="77777777" w:rsidR="00D170E5" w:rsidRPr="002B55E9" w:rsidRDefault="00EF27AD">
      <w:pPr>
        <w:spacing w:after="60" w:line="360" w:lineRule="auto"/>
        <w:ind w:firstLineChars="200" w:firstLine="480"/>
      </w:pPr>
      <w:r w:rsidRPr="002B55E9">
        <w:rPr>
          <w:bCs/>
          <w:snapToGrid w:val="0"/>
          <w:sz w:val="24"/>
        </w:rPr>
        <w:t>C</w:t>
      </w:r>
      <w:r w:rsidRPr="002B55E9">
        <w:rPr>
          <w:bCs/>
          <w:snapToGrid w:val="0"/>
          <w:sz w:val="24"/>
          <w:vertAlign w:val="subscript"/>
        </w:rPr>
        <w:t>oi</w:t>
      </w:r>
      <w:r w:rsidRPr="002B55E9">
        <w:rPr>
          <w:bCs/>
          <w:snapToGrid w:val="0"/>
          <w:sz w:val="24"/>
        </w:rPr>
        <w:t>—</w:t>
      </w:r>
      <w:r w:rsidRPr="002B55E9">
        <w:rPr>
          <w:bCs/>
          <w:snapToGrid w:val="0"/>
          <w:sz w:val="24"/>
        </w:rPr>
        <w:t>第</w:t>
      </w:r>
      <w:r w:rsidRPr="002B55E9">
        <w:rPr>
          <w:bCs/>
          <w:snapToGrid w:val="0"/>
          <w:sz w:val="24"/>
        </w:rPr>
        <w:t xml:space="preserve">i </w:t>
      </w:r>
      <w:r w:rsidRPr="002B55E9">
        <w:rPr>
          <w:bCs/>
          <w:snapToGrid w:val="0"/>
          <w:sz w:val="24"/>
        </w:rPr>
        <w:t>个污染物的环境空气质量标准，</w:t>
      </w:r>
      <w:r w:rsidRPr="002B55E9">
        <w:rPr>
          <w:bCs/>
          <w:snapToGrid w:val="0"/>
          <w:sz w:val="24"/>
        </w:rPr>
        <w:t>μg/m</w:t>
      </w:r>
      <w:r w:rsidRPr="002B55E9">
        <w:rPr>
          <w:bCs/>
          <w:snapToGrid w:val="0"/>
          <w:sz w:val="24"/>
          <w:vertAlign w:val="superscript"/>
        </w:rPr>
        <w:t>3</w:t>
      </w:r>
      <w:r w:rsidRPr="002B55E9">
        <w:rPr>
          <w:bCs/>
          <w:snapToGrid w:val="0"/>
          <w:sz w:val="24"/>
        </w:rPr>
        <w:t>。一般选用</w:t>
      </w:r>
      <w:r w:rsidRPr="002B55E9">
        <w:rPr>
          <w:bCs/>
          <w:snapToGrid w:val="0"/>
          <w:sz w:val="24"/>
        </w:rPr>
        <w:t>GB3095</w:t>
      </w:r>
      <w:r w:rsidRPr="002B55E9">
        <w:rPr>
          <w:bCs/>
          <w:snapToGrid w:val="0"/>
          <w:sz w:val="24"/>
        </w:rPr>
        <w:t>中</w:t>
      </w:r>
      <w:r w:rsidRPr="002B55E9">
        <w:rPr>
          <w:bCs/>
          <w:snapToGrid w:val="0"/>
          <w:sz w:val="24"/>
        </w:rPr>
        <w:t>1h</w:t>
      </w:r>
      <w:r w:rsidRPr="002B55E9">
        <w:rPr>
          <w:bCs/>
          <w:snapToGrid w:val="0"/>
          <w:sz w:val="24"/>
        </w:rPr>
        <w:t>平均质量浓度的二级浓度限值；如项目位于一类环境空气功能区，应选择相应的一级浓度限值；对标准中未包含的污染物，使用</w:t>
      </w:r>
      <w:r w:rsidRPr="002B55E9">
        <w:rPr>
          <w:bCs/>
          <w:snapToGrid w:val="0"/>
          <w:sz w:val="24"/>
        </w:rPr>
        <w:t>5.2</w:t>
      </w:r>
      <w:r w:rsidRPr="002B55E9">
        <w:rPr>
          <w:bCs/>
          <w:snapToGrid w:val="0"/>
          <w:sz w:val="24"/>
        </w:rPr>
        <w:t>确定各评价因子</w:t>
      </w:r>
      <w:r w:rsidRPr="002B55E9">
        <w:rPr>
          <w:bCs/>
          <w:snapToGrid w:val="0"/>
          <w:sz w:val="24"/>
        </w:rPr>
        <w:t>1h</w:t>
      </w:r>
      <w:r w:rsidRPr="002B55E9">
        <w:rPr>
          <w:bCs/>
          <w:snapToGrid w:val="0"/>
          <w:sz w:val="24"/>
        </w:rPr>
        <w:t>评价质量浓度限值。对仅有</w:t>
      </w:r>
      <w:r w:rsidRPr="002B55E9">
        <w:rPr>
          <w:bCs/>
          <w:snapToGrid w:val="0"/>
          <w:sz w:val="24"/>
        </w:rPr>
        <w:t>8h</w:t>
      </w:r>
      <w:r w:rsidRPr="002B55E9">
        <w:rPr>
          <w:bCs/>
          <w:snapToGrid w:val="0"/>
          <w:sz w:val="24"/>
        </w:rPr>
        <w:t>平均质量浓度限值、日均质量浓度限值或年均质量浓度限值的，可分别按</w:t>
      </w:r>
      <w:r w:rsidRPr="002B55E9">
        <w:rPr>
          <w:bCs/>
          <w:snapToGrid w:val="0"/>
          <w:sz w:val="24"/>
        </w:rPr>
        <w:t>2</w:t>
      </w:r>
      <w:r w:rsidRPr="002B55E9">
        <w:rPr>
          <w:bCs/>
          <w:snapToGrid w:val="0"/>
          <w:sz w:val="24"/>
        </w:rPr>
        <w:t>倍、</w:t>
      </w:r>
      <w:r w:rsidRPr="002B55E9">
        <w:rPr>
          <w:bCs/>
          <w:snapToGrid w:val="0"/>
          <w:sz w:val="24"/>
        </w:rPr>
        <w:t>3</w:t>
      </w:r>
      <w:r w:rsidRPr="002B55E9">
        <w:rPr>
          <w:bCs/>
          <w:snapToGrid w:val="0"/>
          <w:sz w:val="24"/>
        </w:rPr>
        <w:t>倍、</w:t>
      </w:r>
      <w:r w:rsidRPr="002B55E9">
        <w:rPr>
          <w:bCs/>
          <w:snapToGrid w:val="0"/>
          <w:sz w:val="24"/>
        </w:rPr>
        <w:t>6</w:t>
      </w:r>
      <w:r w:rsidRPr="002B55E9">
        <w:rPr>
          <w:bCs/>
          <w:snapToGrid w:val="0"/>
          <w:sz w:val="24"/>
        </w:rPr>
        <w:t>倍折算为</w:t>
      </w:r>
      <w:r w:rsidRPr="002B55E9">
        <w:rPr>
          <w:bCs/>
          <w:snapToGrid w:val="0"/>
          <w:sz w:val="24"/>
        </w:rPr>
        <w:t>1h</w:t>
      </w:r>
      <w:r w:rsidRPr="002B55E9">
        <w:rPr>
          <w:bCs/>
          <w:snapToGrid w:val="0"/>
          <w:sz w:val="24"/>
        </w:rPr>
        <w:t>平均质量浓度限值。</w:t>
      </w:r>
    </w:p>
    <w:p w14:paraId="4BB4D212" w14:textId="77777777" w:rsidR="00D170E5" w:rsidRPr="002B55E9" w:rsidRDefault="00EF27AD">
      <w:pPr>
        <w:pStyle w:val="5"/>
      </w:pPr>
      <w:r w:rsidRPr="002B55E9">
        <w:rPr>
          <w:rFonts w:hint="eastAsia"/>
        </w:rPr>
        <w:t>评价因子和评价标准</w:t>
      </w:r>
    </w:p>
    <w:p w14:paraId="72EBCD4F" w14:textId="77777777" w:rsidR="00D170E5" w:rsidRPr="002B55E9" w:rsidRDefault="00EF27AD">
      <w:pPr>
        <w:pStyle w:val="affff7"/>
        <w:snapToGrid w:val="0"/>
        <w:spacing w:after="0"/>
        <w:rPr>
          <w:rFonts w:hAnsi="宋体"/>
        </w:rPr>
      </w:pPr>
      <w:r w:rsidRPr="002B55E9">
        <w:rPr>
          <w:rFonts w:hAnsi="宋体" w:hint="eastAsia"/>
        </w:rPr>
        <w:t>拟建项目废气主要为</w:t>
      </w:r>
      <w:r w:rsidRPr="002B55E9">
        <w:rPr>
          <w:rFonts w:hint="eastAsia"/>
        </w:rPr>
        <w:t>十三</w:t>
      </w:r>
      <w:r w:rsidRPr="002B55E9">
        <w:t>车间</w:t>
      </w:r>
      <w:r w:rsidRPr="002B55E9">
        <w:rPr>
          <w:rFonts w:hAnsi="宋体" w:hint="eastAsia"/>
        </w:rPr>
        <w:t>生产工艺废气、</w:t>
      </w:r>
      <w:r w:rsidRPr="002B55E9">
        <w:rPr>
          <w:rFonts w:hint="eastAsia"/>
        </w:rPr>
        <w:t>十一</w:t>
      </w:r>
      <w:r w:rsidRPr="002B55E9">
        <w:t>车间</w:t>
      </w:r>
      <w:r w:rsidRPr="002B55E9">
        <w:rPr>
          <w:rFonts w:hAnsi="宋体" w:hint="eastAsia"/>
        </w:rPr>
        <w:t>化验室实验废气、储罐</w:t>
      </w:r>
      <w:r w:rsidRPr="002B55E9">
        <w:rPr>
          <w:rFonts w:hAnsi="宋体"/>
        </w:rPr>
        <w:t>大小呼吸废气</w:t>
      </w:r>
      <w:r w:rsidRPr="002B55E9">
        <w:rPr>
          <w:rFonts w:hAnsi="宋体" w:hint="eastAsia"/>
        </w:rPr>
        <w:t>等。拟建项目评价因子和评价标准见下表所示：</w:t>
      </w:r>
    </w:p>
    <w:p w14:paraId="5B30488F" w14:textId="77777777" w:rsidR="00D170E5" w:rsidRPr="002B55E9" w:rsidRDefault="00EF27AD">
      <w:pPr>
        <w:pStyle w:val="1f3"/>
        <w:adjustRightInd w:val="0"/>
        <w:snapToGrid w:val="0"/>
        <w:spacing w:beforeLines="0" w:before="0"/>
      </w:pPr>
      <w:r w:rsidRPr="002B55E9">
        <w:rPr>
          <w:rFonts w:hint="eastAsia"/>
        </w:rPr>
        <w:t>表</w:t>
      </w:r>
      <w:r w:rsidRPr="002B55E9">
        <w:rPr>
          <w:rFonts w:hint="eastAsia"/>
        </w:rPr>
        <w:t>5-2-</w:t>
      </w:r>
      <w:r w:rsidRPr="002B55E9">
        <w:t>6</w:t>
      </w:r>
      <w:r w:rsidRPr="002B55E9">
        <w:rPr>
          <w:rFonts w:hint="eastAsia"/>
        </w:rPr>
        <w:t xml:space="preserve">  </w:t>
      </w:r>
      <w:r w:rsidRPr="002B55E9">
        <w:rPr>
          <w:rFonts w:hint="eastAsia"/>
        </w:rPr>
        <w:t>评价因子和评价标准</w:t>
      </w:r>
    </w:p>
    <w:tbl>
      <w:tblPr>
        <w:tblW w:w="96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35"/>
        <w:gridCol w:w="1380"/>
        <w:gridCol w:w="1889"/>
        <w:gridCol w:w="3733"/>
      </w:tblGrid>
      <w:tr w:rsidR="002B55E9" w:rsidRPr="002B55E9" w14:paraId="1960B1E0" w14:textId="77777777">
        <w:trPr>
          <w:trHeight w:val="284"/>
        </w:trPr>
        <w:tc>
          <w:tcPr>
            <w:tcW w:w="2635" w:type="dxa"/>
            <w:tcBorders>
              <w:top w:val="single" w:sz="12" w:space="0" w:color="auto"/>
              <w:bottom w:val="single" w:sz="12" w:space="0" w:color="auto"/>
            </w:tcBorders>
            <w:vAlign w:val="center"/>
          </w:tcPr>
          <w:p w14:paraId="665C6F56" w14:textId="77777777" w:rsidR="00D170E5" w:rsidRPr="002B55E9" w:rsidRDefault="00EF27AD">
            <w:pPr>
              <w:jc w:val="center"/>
              <w:rPr>
                <w:sz w:val="18"/>
                <w:szCs w:val="18"/>
              </w:rPr>
            </w:pPr>
            <w:r w:rsidRPr="002B55E9">
              <w:rPr>
                <w:sz w:val="18"/>
                <w:szCs w:val="18"/>
              </w:rPr>
              <w:t>污染物名称</w:t>
            </w:r>
          </w:p>
        </w:tc>
        <w:tc>
          <w:tcPr>
            <w:tcW w:w="1380" w:type="dxa"/>
            <w:tcBorders>
              <w:top w:val="single" w:sz="12" w:space="0" w:color="auto"/>
              <w:bottom w:val="single" w:sz="12" w:space="0" w:color="auto"/>
            </w:tcBorders>
            <w:vAlign w:val="center"/>
          </w:tcPr>
          <w:p w14:paraId="03282AD6" w14:textId="77777777" w:rsidR="00D170E5" w:rsidRPr="002B55E9" w:rsidRDefault="00EF27AD">
            <w:pPr>
              <w:jc w:val="center"/>
              <w:rPr>
                <w:sz w:val="18"/>
                <w:szCs w:val="18"/>
              </w:rPr>
            </w:pPr>
            <w:r w:rsidRPr="002B55E9">
              <w:rPr>
                <w:sz w:val="18"/>
                <w:szCs w:val="18"/>
              </w:rPr>
              <w:t>取值时间</w:t>
            </w:r>
          </w:p>
        </w:tc>
        <w:tc>
          <w:tcPr>
            <w:tcW w:w="1889" w:type="dxa"/>
            <w:tcBorders>
              <w:top w:val="single" w:sz="12" w:space="0" w:color="auto"/>
              <w:bottom w:val="single" w:sz="12" w:space="0" w:color="auto"/>
            </w:tcBorders>
            <w:vAlign w:val="center"/>
          </w:tcPr>
          <w:p w14:paraId="36FFF922" w14:textId="77777777" w:rsidR="00D170E5" w:rsidRPr="002B55E9" w:rsidRDefault="00EF27AD">
            <w:pPr>
              <w:jc w:val="center"/>
              <w:rPr>
                <w:sz w:val="18"/>
                <w:szCs w:val="18"/>
              </w:rPr>
            </w:pPr>
            <w:bookmarkStart w:id="223" w:name="OLE_LINK5"/>
            <w:r w:rsidRPr="002B55E9">
              <w:rPr>
                <w:sz w:val="18"/>
                <w:szCs w:val="18"/>
              </w:rPr>
              <w:t>标准值</w:t>
            </w:r>
            <w:bookmarkEnd w:id="223"/>
          </w:p>
          <w:p w14:paraId="15055956" w14:textId="77777777" w:rsidR="00D170E5" w:rsidRPr="002B55E9" w:rsidRDefault="00EF27AD">
            <w:pPr>
              <w:jc w:val="center"/>
              <w:rPr>
                <w:sz w:val="18"/>
                <w:szCs w:val="18"/>
              </w:rPr>
            </w:pPr>
            <w:bookmarkStart w:id="224" w:name="OLE_LINK15"/>
            <w:r w:rsidRPr="002B55E9">
              <w:rPr>
                <w:sz w:val="18"/>
                <w:szCs w:val="18"/>
              </w:rPr>
              <w:t>(μg/m</w:t>
            </w:r>
            <w:r w:rsidRPr="002B55E9">
              <w:rPr>
                <w:sz w:val="18"/>
                <w:szCs w:val="18"/>
                <w:vertAlign w:val="superscript"/>
              </w:rPr>
              <w:t>3</w:t>
            </w:r>
            <w:r w:rsidRPr="002B55E9">
              <w:rPr>
                <w:sz w:val="18"/>
                <w:szCs w:val="18"/>
              </w:rPr>
              <w:t>)</w:t>
            </w:r>
            <w:bookmarkEnd w:id="224"/>
          </w:p>
        </w:tc>
        <w:tc>
          <w:tcPr>
            <w:tcW w:w="3733" w:type="dxa"/>
            <w:tcBorders>
              <w:top w:val="single" w:sz="12" w:space="0" w:color="auto"/>
              <w:bottom w:val="single" w:sz="12" w:space="0" w:color="auto"/>
            </w:tcBorders>
            <w:vAlign w:val="center"/>
          </w:tcPr>
          <w:p w14:paraId="0940E368" w14:textId="77777777" w:rsidR="00D170E5" w:rsidRPr="002B55E9" w:rsidRDefault="00EF27AD">
            <w:pPr>
              <w:jc w:val="center"/>
              <w:rPr>
                <w:sz w:val="18"/>
                <w:szCs w:val="18"/>
              </w:rPr>
            </w:pPr>
            <w:r w:rsidRPr="002B55E9">
              <w:rPr>
                <w:sz w:val="18"/>
                <w:szCs w:val="18"/>
              </w:rPr>
              <w:t>标准来源</w:t>
            </w:r>
          </w:p>
        </w:tc>
      </w:tr>
      <w:tr w:rsidR="002B55E9" w:rsidRPr="002B55E9" w14:paraId="6D355C89" w14:textId="77777777">
        <w:trPr>
          <w:trHeight w:val="284"/>
        </w:trPr>
        <w:tc>
          <w:tcPr>
            <w:tcW w:w="2635" w:type="dxa"/>
            <w:tcBorders>
              <w:top w:val="single" w:sz="12" w:space="0" w:color="auto"/>
              <w:bottom w:val="single" w:sz="4" w:space="0" w:color="auto"/>
            </w:tcBorders>
            <w:vAlign w:val="center"/>
          </w:tcPr>
          <w:p w14:paraId="2D948E7B" w14:textId="63DAE1C5" w:rsidR="00D170E5" w:rsidRPr="002B55E9" w:rsidRDefault="00EF27AD" w:rsidP="00924AFA">
            <w:pPr>
              <w:jc w:val="center"/>
              <w:rPr>
                <w:sz w:val="18"/>
                <w:szCs w:val="18"/>
              </w:rPr>
            </w:pPr>
            <w:r w:rsidRPr="002B55E9">
              <w:rPr>
                <w:rFonts w:hint="eastAsia"/>
                <w:sz w:val="18"/>
                <w:szCs w:val="18"/>
              </w:rPr>
              <w:t>总挥发性有机物</w:t>
            </w:r>
          </w:p>
        </w:tc>
        <w:tc>
          <w:tcPr>
            <w:tcW w:w="1380" w:type="dxa"/>
            <w:tcBorders>
              <w:top w:val="single" w:sz="12" w:space="0" w:color="auto"/>
              <w:bottom w:val="single" w:sz="4" w:space="0" w:color="auto"/>
            </w:tcBorders>
            <w:vAlign w:val="center"/>
          </w:tcPr>
          <w:p w14:paraId="372ACFB0" w14:textId="77777777" w:rsidR="00D170E5" w:rsidRPr="002B55E9" w:rsidRDefault="00EF27AD">
            <w:pPr>
              <w:jc w:val="center"/>
              <w:rPr>
                <w:sz w:val="18"/>
                <w:szCs w:val="18"/>
              </w:rPr>
            </w:pPr>
            <w:r w:rsidRPr="002B55E9">
              <w:rPr>
                <w:rFonts w:hint="eastAsia"/>
                <w:sz w:val="18"/>
                <w:szCs w:val="18"/>
              </w:rPr>
              <w:t>8h</w:t>
            </w:r>
            <w:r w:rsidRPr="002B55E9">
              <w:rPr>
                <w:rFonts w:hint="eastAsia"/>
                <w:sz w:val="18"/>
                <w:szCs w:val="18"/>
              </w:rPr>
              <w:t>平均</w:t>
            </w:r>
          </w:p>
        </w:tc>
        <w:tc>
          <w:tcPr>
            <w:tcW w:w="1889" w:type="dxa"/>
            <w:tcBorders>
              <w:top w:val="single" w:sz="12" w:space="0" w:color="auto"/>
              <w:bottom w:val="single" w:sz="4" w:space="0" w:color="auto"/>
            </w:tcBorders>
            <w:vAlign w:val="center"/>
          </w:tcPr>
          <w:p w14:paraId="006E65F6" w14:textId="77777777" w:rsidR="00D170E5" w:rsidRPr="002B55E9" w:rsidRDefault="00EF27AD">
            <w:pPr>
              <w:jc w:val="center"/>
              <w:rPr>
                <w:sz w:val="18"/>
                <w:szCs w:val="18"/>
              </w:rPr>
            </w:pPr>
            <w:r w:rsidRPr="002B55E9">
              <w:rPr>
                <w:rFonts w:hint="eastAsia"/>
                <w:sz w:val="18"/>
                <w:szCs w:val="18"/>
              </w:rPr>
              <w:t>600</w:t>
            </w:r>
          </w:p>
        </w:tc>
        <w:tc>
          <w:tcPr>
            <w:tcW w:w="3733" w:type="dxa"/>
            <w:vMerge w:val="restart"/>
            <w:tcBorders>
              <w:top w:val="single" w:sz="12" w:space="0" w:color="auto"/>
            </w:tcBorders>
            <w:vAlign w:val="center"/>
          </w:tcPr>
          <w:p w14:paraId="264A4BBC" w14:textId="77777777" w:rsidR="00D170E5" w:rsidRPr="002B55E9" w:rsidRDefault="00EF27AD">
            <w:pPr>
              <w:jc w:val="center"/>
              <w:rPr>
                <w:sz w:val="18"/>
                <w:szCs w:val="18"/>
              </w:rPr>
            </w:pPr>
            <w:r w:rsidRPr="002B55E9">
              <w:rPr>
                <w:rFonts w:hint="eastAsia"/>
                <w:sz w:val="18"/>
                <w:szCs w:val="18"/>
              </w:rPr>
              <w:t>《环境影响评价技术导则——大气环境》</w:t>
            </w:r>
          </w:p>
          <w:p w14:paraId="0B483C13" w14:textId="77777777" w:rsidR="00D170E5" w:rsidRPr="002B55E9" w:rsidRDefault="00EF27AD">
            <w:pPr>
              <w:jc w:val="center"/>
              <w:rPr>
                <w:sz w:val="18"/>
                <w:szCs w:val="18"/>
              </w:rPr>
            </w:pPr>
            <w:r w:rsidRPr="002B55E9">
              <w:rPr>
                <w:rFonts w:hint="eastAsia"/>
                <w:sz w:val="18"/>
                <w:szCs w:val="18"/>
              </w:rPr>
              <w:t>（</w:t>
            </w:r>
            <w:r w:rsidRPr="002B55E9">
              <w:rPr>
                <w:rFonts w:hint="eastAsia"/>
                <w:sz w:val="18"/>
                <w:szCs w:val="18"/>
              </w:rPr>
              <w:t>HJ2.2-2018</w:t>
            </w:r>
            <w:r w:rsidRPr="002B55E9">
              <w:rPr>
                <w:rFonts w:hint="eastAsia"/>
                <w:sz w:val="18"/>
                <w:szCs w:val="18"/>
              </w:rPr>
              <w:t>）附录</w:t>
            </w:r>
            <w:r w:rsidRPr="002B55E9">
              <w:rPr>
                <w:rFonts w:hint="eastAsia"/>
                <w:sz w:val="18"/>
                <w:szCs w:val="18"/>
              </w:rPr>
              <w:t>D</w:t>
            </w:r>
          </w:p>
        </w:tc>
      </w:tr>
      <w:tr w:rsidR="002B55E9" w:rsidRPr="002B55E9" w14:paraId="4B65AC37" w14:textId="77777777">
        <w:trPr>
          <w:trHeight w:val="284"/>
        </w:trPr>
        <w:tc>
          <w:tcPr>
            <w:tcW w:w="2635" w:type="dxa"/>
            <w:vMerge w:val="restart"/>
            <w:tcBorders>
              <w:top w:val="single" w:sz="4" w:space="0" w:color="auto"/>
            </w:tcBorders>
            <w:vAlign w:val="center"/>
          </w:tcPr>
          <w:p w14:paraId="332BDBBC" w14:textId="77777777" w:rsidR="00D170E5" w:rsidRPr="002B55E9" w:rsidRDefault="00EF27AD">
            <w:pPr>
              <w:jc w:val="center"/>
              <w:rPr>
                <w:sz w:val="18"/>
                <w:szCs w:val="18"/>
              </w:rPr>
            </w:pPr>
            <w:r w:rsidRPr="002B55E9">
              <w:rPr>
                <w:rFonts w:hint="eastAsia"/>
                <w:sz w:val="18"/>
                <w:szCs w:val="18"/>
              </w:rPr>
              <w:t>硫酸</w:t>
            </w:r>
          </w:p>
        </w:tc>
        <w:tc>
          <w:tcPr>
            <w:tcW w:w="1380" w:type="dxa"/>
            <w:tcBorders>
              <w:top w:val="single" w:sz="4" w:space="0" w:color="auto"/>
              <w:bottom w:val="single" w:sz="4" w:space="0" w:color="auto"/>
            </w:tcBorders>
            <w:vAlign w:val="center"/>
          </w:tcPr>
          <w:p w14:paraId="34998301" w14:textId="77777777" w:rsidR="00D170E5" w:rsidRPr="002B55E9" w:rsidRDefault="00EF27AD">
            <w:pPr>
              <w:pStyle w:val="affff6"/>
              <w:adjustRightInd w:val="0"/>
              <w:snapToGrid w:val="0"/>
              <w:rPr>
                <w:szCs w:val="18"/>
              </w:rPr>
            </w:pPr>
            <w:r w:rsidRPr="002B55E9">
              <w:rPr>
                <w:rFonts w:hint="eastAsia"/>
                <w:szCs w:val="18"/>
              </w:rPr>
              <w:t>1</w:t>
            </w:r>
            <w:r w:rsidRPr="002B55E9">
              <w:rPr>
                <w:szCs w:val="18"/>
              </w:rPr>
              <w:t>h</w:t>
            </w:r>
            <w:r w:rsidRPr="002B55E9">
              <w:rPr>
                <w:szCs w:val="18"/>
              </w:rPr>
              <w:t>平均</w:t>
            </w:r>
          </w:p>
        </w:tc>
        <w:tc>
          <w:tcPr>
            <w:tcW w:w="1889" w:type="dxa"/>
            <w:tcBorders>
              <w:top w:val="single" w:sz="4" w:space="0" w:color="auto"/>
              <w:bottom w:val="single" w:sz="4" w:space="0" w:color="auto"/>
            </w:tcBorders>
            <w:vAlign w:val="center"/>
          </w:tcPr>
          <w:p w14:paraId="004390B0" w14:textId="77777777" w:rsidR="00D170E5" w:rsidRPr="002B55E9" w:rsidRDefault="00EF27AD">
            <w:pPr>
              <w:pStyle w:val="affff6"/>
              <w:adjustRightInd w:val="0"/>
              <w:snapToGrid w:val="0"/>
              <w:rPr>
                <w:szCs w:val="18"/>
              </w:rPr>
            </w:pPr>
            <w:r w:rsidRPr="002B55E9">
              <w:rPr>
                <w:rFonts w:hint="eastAsia"/>
                <w:szCs w:val="18"/>
              </w:rPr>
              <w:t>300</w:t>
            </w:r>
          </w:p>
        </w:tc>
        <w:tc>
          <w:tcPr>
            <w:tcW w:w="3733" w:type="dxa"/>
            <w:vMerge/>
            <w:vAlign w:val="center"/>
          </w:tcPr>
          <w:p w14:paraId="3B1262D0" w14:textId="77777777" w:rsidR="00D170E5" w:rsidRPr="002B55E9" w:rsidRDefault="00D170E5">
            <w:pPr>
              <w:jc w:val="center"/>
              <w:rPr>
                <w:sz w:val="18"/>
                <w:szCs w:val="18"/>
              </w:rPr>
            </w:pPr>
          </w:p>
        </w:tc>
      </w:tr>
      <w:tr w:rsidR="002B55E9" w:rsidRPr="002B55E9" w14:paraId="1F726336" w14:textId="77777777">
        <w:trPr>
          <w:trHeight w:val="284"/>
        </w:trPr>
        <w:tc>
          <w:tcPr>
            <w:tcW w:w="2635" w:type="dxa"/>
            <w:vMerge/>
            <w:tcBorders>
              <w:bottom w:val="single" w:sz="4" w:space="0" w:color="auto"/>
            </w:tcBorders>
            <w:vAlign w:val="center"/>
          </w:tcPr>
          <w:p w14:paraId="168C9C5D" w14:textId="77777777" w:rsidR="00D170E5" w:rsidRPr="002B55E9" w:rsidRDefault="00D170E5">
            <w:pPr>
              <w:jc w:val="center"/>
              <w:rPr>
                <w:sz w:val="18"/>
                <w:szCs w:val="18"/>
              </w:rPr>
            </w:pPr>
          </w:p>
        </w:tc>
        <w:tc>
          <w:tcPr>
            <w:tcW w:w="1380" w:type="dxa"/>
            <w:tcBorders>
              <w:top w:val="single" w:sz="4" w:space="0" w:color="auto"/>
              <w:bottom w:val="single" w:sz="4" w:space="0" w:color="auto"/>
            </w:tcBorders>
            <w:vAlign w:val="center"/>
          </w:tcPr>
          <w:p w14:paraId="2B576238" w14:textId="77777777" w:rsidR="00D170E5" w:rsidRPr="002B55E9" w:rsidRDefault="00EF27AD">
            <w:pPr>
              <w:pStyle w:val="affff6"/>
              <w:adjustRightInd w:val="0"/>
              <w:snapToGrid w:val="0"/>
              <w:rPr>
                <w:szCs w:val="18"/>
              </w:rPr>
            </w:pPr>
            <w:r w:rsidRPr="002B55E9">
              <w:rPr>
                <w:rFonts w:hint="eastAsia"/>
                <w:szCs w:val="18"/>
              </w:rPr>
              <w:t>日</w:t>
            </w:r>
            <w:r w:rsidRPr="002B55E9">
              <w:rPr>
                <w:szCs w:val="18"/>
              </w:rPr>
              <w:t>平均</w:t>
            </w:r>
          </w:p>
        </w:tc>
        <w:tc>
          <w:tcPr>
            <w:tcW w:w="1889" w:type="dxa"/>
            <w:tcBorders>
              <w:top w:val="single" w:sz="4" w:space="0" w:color="auto"/>
              <w:bottom w:val="single" w:sz="4" w:space="0" w:color="auto"/>
            </w:tcBorders>
            <w:vAlign w:val="center"/>
          </w:tcPr>
          <w:p w14:paraId="525FCE4B" w14:textId="77777777" w:rsidR="00D170E5" w:rsidRPr="002B55E9" w:rsidRDefault="00EF27AD">
            <w:pPr>
              <w:pStyle w:val="affff6"/>
              <w:adjustRightInd w:val="0"/>
              <w:snapToGrid w:val="0"/>
              <w:rPr>
                <w:szCs w:val="18"/>
              </w:rPr>
            </w:pPr>
            <w:r w:rsidRPr="002B55E9">
              <w:rPr>
                <w:rFonts w:hint="eastAsia"/>
                <w:szCs w:val="18"/>
              </w:rPr>
              <w:t>100</w:t>
            </w:r>
          </w:p>
        </w:tc>
        <w:tc>
          <w:tcPr>
            <w:tcW w:w="3733" w:type="dxa"/>
            <w:vMerge/>
            <w:vAlign w:val="center"/>
          </w:tcPr>
          <w:p w14:paraId="4079E5D1" w14:textId="77777777" w:rsidR="00D170E5" w:rsidRPr="002B55E9" w:rsidRDefault="00D170E5">
            <w:pPr>
              <w:jc w:val="center"/>
              <w:rPr>
                <w:sz w:val="18"/>
                <w:szCs w:val="18"/>
              </w:rPr>
            </w:pPr>
          </w:p>
        </w:tc>
      </w:tr>
      <w:tr w:rsidR="002B55E9" w:rsidRPr="002B55E9" w14:paraId="1D605CBA" w14:textId="77777777">
        <w:trPr>
          <w:trHeight w:val="284"/>
        </w:trPr>
        <w:tc>
          <w:tcPr>
            <w:tcW w:w="2635" w:type="dxa"/>
            <w:vMerge w:val="restart"/>
            <w:tcBorders>
              <w:top w:val="single" w:sz="4" w:space="0" w:color="auto"/>
            </w:tcBorders>
            <w:vAlign w:val="center"/>
          </w:tcPr>
          <w:p w14:paraId="0254D1C2" w14:textId="77777777" w:rsidR="00D170E5" w:rsidRPr="002B55E9" w:rsidRDefault="00EF27AD">
            <w:pPr>
              <w:jc w:val="center"/>
              <w:rPr>
                <w:sz w:val="18"/>
                <w:szCs w:val="18"/>
              </w:rPr>
            </w:pPr>
            <w:r w:rsidRPr="002B55E9">
              <w:rPr>
                <w:rFonts w:hint="eastAsia"/>
                <w:sz w:val="18"/>
                <w:szCs w:val="18"/>
              </w:rPr>
              <w:t>氯化氢</w:t>
            </w:r>
          </w:p>
        </w:tc>
        <w:tc>
          <w:tcPr>
            <w:tcW w:w="1380" w:type="dxa"/>
            <w:tcBorders>
              <w:top w:val="single" w:sz="4" w:space="0" w:color="auto"/>
              <w:bottom w:val="single" w:sz="4" w:space="0" w:color="auto"/>
            </w:tcBorders>
            <w:vAlign w:val="center"/>
          </w:tcPr>
          <w:p w14:paraId="0AFFA95D" w14:textId="77777777" w:rsidR="00D170E5" w:rsidRPr="002B55E9" w:rsidRDefault="00EF27AD">
            <w:pPr>
              <w:pStyle w:val="affff6"/>
              <w:adjustRightInd w:val="0"/>
              <w:snapToGrid w:val="0"/>
              <w:rPr>
                <w:szCs w:val="18"/>
              </w:rPr>
            </w:pPr>
            <w:r w:rsidRPr="002B55E9">
              <w:rPr>
                <w:rFonts w:hint="eastAsia"/>
                <w:szCs w:val="18"/>
              </w:rPr>
              <w:t>1</w:t>
            </w:r>
            <w:r w:rsidRPr="002B55E9">
              <w:rPr>
                <w:szCs w:val="18"/>
              </w:rPr>
              <w:t>h</w:t>
            </w:r>
            <w:r w:rsidRPr="002B55E9">
              <w:rPr>
                <w:szCs w:val="18"/>
              </w:rPr>
              <w:t>平均</w:t>
            </w:r>
          </w:p>
        </w:tc>
        <w:tc>
          <w:tcPr>
            <w:tcW w:w="1889" w:type="dxa"/>
            <w:tcBorders>
              <w:top w:val="single" w:sz="4" w:space="0" w:color="auto"/>
              <w:bottom w:val="single" w:sz="4" w:space="0" w:color="auto"/>
            </w:tcBorders>
            <w:vAlign w:val="center"/>
          </w:tcPr>
          <w:p w14:paraId="0D111CDF" w14:textId="77777777" w:rsidR="00D170E5" w:rsidRPr="002B55E9" w:rsidRDefault="00EF27AD">
            <w:pPr>
              <w:pStyle w:val="affff6"/>
              <w:adjustRightInd w:val="0"/>
              <w:snapToGrid w:val="0"/>
              <w:rPr>
                <w:szCs w:val="18"/>
              </w:rPr>
            </w:pPr>
            <w:r w:rsidRPr="002B55E9">
              <w:rPr>
                <w:rFonts w:hint="eastAsia"/>
                <w:szCs w:val="18"/>
              </w:rPr>
              <w:t>50</w:t>
            </w:r>
          </w:p>
        </w:tc>
        <w:tc>
          <w:tcPr>
            <w:tcW w:w="3733" w:type="dxa"/>
            <w:vMerge/>
            <w:vAlign w:val="center"/>
          </w:tcPr>
          <w:p w14:paraId="648D5770" w14:textId="77777777" w:rsidR="00D170E5" w:rsidRPr="002B55E9" w:rsidRDefault="00D170E5">
            <w:pPr>
              <w:jc w:val="center"/>
              <w:rPr>
                <w:sz w:val="18"/>
                <w:szCs w:val="18"/>
              </w:rPr>
            </w:pPr>
          </w:p>
        </w:tc>
      </w:tr>
      <w:tr w:rsidR="002B55E9" w:rsidRPr="002B55E9" w14:paraId="578D3C39" w14:textId="77777777">
        <w:trPr>
          <w:trHeight w:val="284"/>
        </w:trPr>
        <w:tc>
          <w:tcPr>
            <w:tcW w:w="2635" w:type="dxa"/>
            <w:vMerge/>
            <w:tcBorders>
              <w:bottom w:val="single" w:sz="4" w:space="0" w:color="auto"/>
            </w:tcBorders>
            <w:vAlign w:val="center"/>
          </w:tcPr>
          <w:p w14:paraId="14D213E1" w14:textId="77777777" w:rsidR="00D170E5" w:rsidRPr="002B55E9" w:rsidRDefault="00D170E5">
            <w:pPr>
              <w:jc w:val="center"/>
              <w:rPr>
                <w:sz w:val="18"/>
                <w:szCs w:val="18"/>
              </w:rPr>
            </w:pPr>
          </w:p>
        </w:tc>
        <w:tc>
          <w:tcPr>
            <w:tcW w:w="1380" w:type="dxa"/>
            <w:tcBorders>
              <w:top w:val="single" w:sz="4" w:space="0" w:color="auto"/>
              <w:bottom w:val="single" w:sz="4" w:space="0" w:color="auto"/>
            </w:tcBorders>
            <w:vAlign w:val="center"/>
          </w:tcPr>
          <w:p w14:paraId="5A515D14" w14:textId="77777777" w:rsidR="00D170E5" w:rsidRPr="002B55E9" w:rsidRDefault="00EF27AD">
            <w:pPr>
              <w:pStyle w:val="affff6"/>
              <w:adjustRightInd w:val="0"/>
              <w:snapToGrid w:val="0"/>
              <w:rPr>
                <w:szCs w:val="18"/>
              </w:rPr>
            </w:pPr>
            <w:r w:rsidRPr="002B55E9">
              <w:rPr>
                <w:rFonts w:hint="eastAsia"/>
                <w:szCs w:val="18"/>
              </w:rPr>
              <w:t>日</w:t>
            </w:r>
            <w:r w:rsidRPr="002B55E9">
              <w:rPr>
                <w:szCs w:val="18"/>
              </w:rPr>
              <w:t>平均</w:t>
            </w:r>
          </w:p>
        </w:tc>
        <w:tc>
          <w:tcPr>
            <w:tcW w:w="1889" w:type="dxa"/>
            <w:tcBorders>
              <w:top w:val="single" w:sz="4" w:space="0" w:color="auto"/>
              <w:bottom w:val="single" w:sz="4" w:space="0" w:color="auto"/>
            </w:tcBorders>
            <w:vAlign w:val="center"/>
          </w:tcPr>
          <w:p w14:paraId="7E6CA6E6" w14:textId="77777777" w:rsidR="00D170E5" w:rsidRPr="002B55E9" w:rsidRDefault="00EF27AD">
            <w:pPr>
              <w:pStyle w:val="affff6"/>
              <w:adjustRightInd w:val="0"/>
              <w:snapToGrid w:val="0"/>
              <w:rPr>
                <w:szCs w:val="18"/>
              </w:rPr>
            </w:pPr>
            <w:r w:rsidRPr="002B55E9">
              <w:rPr>
                <w:rFonts w:hint="eastAsia"/>
                <w:szCs w:val="18"/>
              </w:rPr>
              <w:t>15</w:t>
            </w:r>
          </w:p>
        </w:tc>
        <w:tc>
          <w:tcPr>
            <w:tcW w:w="3733" w:type="dxa"/>
            <w:vMerge/>
            <w:vAlign w:val="center"/>
          </w:tcPr>
          <w:p w14:paraId="294BAF35" w14:textId="77777777" w:rsidR="00D170E5" w:rsidRPr="002B55E9" w:rsidRDefault="00D170E5">
            <w:pPr>
              <w:jc w:val="center"/>
              <w:rPr>
                <w:sz w:val="18"/>
                <w:szCs w:val="18"/>
              </w:rPr>
            </w:pPr>
          </w:p>
        </w:tc>
      </w:tr>
      <w:tr w:rsidR="002B55E9" w:rsidRPr="002B55E9" w14:paraId="74178F82" w14:textId="77777777">
        <w:trPr>
          <w:trHeight w:val="284"/>
        </w:trPr>
        <w:tc>
          <w:tcPr>
            <w:tcW w:w="2635" w:type="dxa"/>
            <w:tcBorders>
              <w:top w:val="single" w:sz="4" w:space="0" w:color="auto"/>
              <w:bottom w:val="single" w:sz="4" w:space="0" w:color="auto"/>
            </w:tcBorders>
            <w:vAlign w:val="center"/>
          </w:tcPr>
          <w:p w14:paraId="604C4AD8" w14:textId="77777777" w:rsidR="00D170E5" w:rsidRPr="002B55E9" w:rsidRDefault="00EF27AD">
            <w:pPr>
              <w:jc w:val="center"/>
              <w:rPr>
                <w:sz w:val="18"/>
                <w:szCs w:val="18"/>
              </w:rPr>
            </w:pPr>
            <w:r w:rsidRPr="002B55E9">
              <w:rPr>
                <w:rFonts w:hint="eastAsia"/>
                <w:sz w:val="18"/>
                <w:szCs w:val="18"/>
              </w:rPr>
              <w:t>甲醛</w:t>
            </w:r>
          </w:p>
        </w:tc>
        <w:tc>
          <w:tcPr>
            <w:tcW w:w="1380" w:type="dxa"/>
            <w:tcBorders>
              <w:top w:val="single" w:sz="4" w:space="0" w:color="auto"/>
              <w:bottom w:val="single" w:sz="4" w:space="0" w:color="auto"/>
            </w:tcBorders>
            <w:vAlign w:val="center"/>
          </w:tcPr>
          <w:p w14:paraId="69E02F23" w14:textId="77777777" w:rsidR="00D170E5" w:rsidRPr="002B55E9" w:rsidRDefault="00EF27AD">
            <w:pPr>
              <w:pStyle w:val="affff6"/>
              <w:adjustRightInd w:val="0"/>
              <w:snapToGrid w:val="0"/>
              <w:rPr>
                <w:szCs w:val="18"/>
              </w:rPr>
            </w:pPr>
            <w:r w:rsidRPr="002B55E9">
              <w:rPr>
                <w:rFonts w:hint="eastAsia"/>
                <w:szCs w:val="18"/>
              </w:rPr>
              <w:t>1</w:t>
            </w:r>
            <w:r w:rsidRPr="002B55E9">
              <w:rPr>
                <w:szCs w:val="18"/>
              </w:rPr>
              <w:t>h</w:t>
            </w:r>
            <w:r w:rsidRPr="002B55E9">
              <w:rPr>
                <w:rFonts w:hint="eastAsia"/>
                <w:szCs w:val="18"/>
              </w:rPr>
              <w:t>平均</w:t>
            </w:r>
          </w:p>
        </w:tc>
        <w:tc>
          <w:tcPr>
            <w:tcW w:w="1889" w:type="dxa"/>
            <w:tcBorders>
              <w:top w:val="single" w:sz="4" w:space="0" w:color="auto"/>
              <w:bottom w:val="single" w:sz="4" w:space="0" w:color="auto"/>
            </w:tcBorders>
            <w:vAlign w:val="center"/>
          </w:tcPr>
          <w:p w14:paraId="587D366B" w14:textId="77777777" w:rsidR="00D170E5" w:rsidRPr="002B55E9" w:rsidRDefault="00EF27AD">
            <w:pPr>
              <w:pStyle w:val="affff6"/>
              <w:adjustRightInd w:val="0"/>
              <w:snapToGrid w:val="0"/>
              <w:rPr>
                <w:szCs w:val="18"/>
              </w:rPr>
            </w:pPr>
            <w:r w:rsidRPr="002B55E9">
              <w:rPr>
                <w:rFonts w:hint="eastAsia"/>
                <w:szCs w:val="18"/>
              </w:rPr>
              <w:t>50</w:t>
            </w:r>
          </w:p>
        </w:tc>
        <w:tc>
          <w:tcPr>
            <w:tcW w:w="3733" w:type="dxa"/>
            <w:vMerge/>
            <w:vAlign w:val="center"/>
          </w:tcPr>
          <w:p w14:paraId="569D8581" w14:textId="77777777" w:rsidR="00D170E5" w:rsidRPr="002B55E9" w:rsidRDefault="00D170E5">
            <w:pPr>
              <w:jc w:val="center"/>
              <w:rPr>
                <w:sz w:val="18"/>
                <w:szCs w:val="18"/>
              </w:rPr>
            </w:pPr>
          </w:p>
        </w:tc>
      </w:tr>
      <w:tr w:rsidR="002B55E9" w:rsidRPr="002B55E9" w14:paraId="48D2D41B" w14:textId="77777777" w:rsidTr="008A0413">
        <w:trPr>
          <w:trHeight w:val="284"/>
        </w:trPr>
        <w:tc>
          <w:tcPr>
            <w:tcW w:w="2635" w:type="dxa"/>
            <w:tcBorders>
              <w:top w:val="single" w:sz="4" w:space="0" w:color="auto"/>
              <w:bottom w:val="single" w:sz="4" w:space="0" w:color="auto"/>
            </w:tcBorders>
            <w:vAlign w:val="center"/>
          </w:tcPr>
          <w:p w14:paraId="46E972C6" w14:textId="5F2D28D5" w:rsidR="00514304" w:rsidRPr="002B55E9" w:rsidRDefault="00514304">
            <w:pPr>
              <w:jc w:val="center"/>
              <w:rPr>
                <w:sz w:val="18"/>
                <w:szCs w:val="18"/>
              </w:rPr>
            </w:pPr>
            <w:r w:rsidRPr="002B55E9">
              <w:rPr>
                <w:rFonts w:hint="eastAsia"/>
                <w:sz w:val="18"/>
                <w:szCs w:val="18"/>
              </w:rPr>
              <w:t>P</w:t>
            </w:r>
            <w:r w:rsidRPr="002B55E9">
              <w:rPr>
                <w:sz w:val="18"/>
                <w:szCs w:val="18"/>
              </w:rPr>
              <w:t>M10</w:t>
            </w:r>
          </w:p>
        </w:tc>
        <w:tc>
          <w:tcPr>
            <w:tcW w:w="1380" w:type="dxa"/>
            <w:tcBorders>
              <w:top w:val="single" w:sz="4" w:space="0" w:color="auto"/>
              <w:bottom w:val="single" w:sz="4" w:space="0" w:color="auto"/>
            </w:tcBorders>
            <w:vAlign w:val="center"/>
          </w:tcPr>
          <w:p w14:paraId="04E4FC36" w14:textId="3405AB0E" w:rsidR="00514304" w:rsidRPr="002B55E9" w:rsidRDefault="00514304">
            <w:pPr>
              <w:pStyle w:val="affff6"/>
              <w:adjustRightInd w:val="0"/>
              <w:snapToGrid w:val="0"/>
              <w:rPr>
                <w:szCs w:val="18"/>
              </w:rPr>
            </w:pPr>
            <w:r w:rsidRPr="002B55E9">
              <w:rPr>
                <w:rFonts w:hint="eastAsia"/>
                <w:szCs w:val="18"/>
              </w:rPr>
              <w:t>日平均</w:t>
            </w:r>
          </w:p>
        </w:tc>
        <w:tc>
          <w:tcPr>
            <w:tcW w:w="1889" w:type="dxa"/>
            <w:tcBorders>
              <w:top w:val="single" w:sz="4" w:space="0" w:color="auto"/>
              <w:bottom w:val="single" w:sz="4" w:space="0" w:color="auto"/>
            </w:tcBorders>
            <w:vAlign w:val="center"/>
          </w:tcPr>
          <w:p w14:paraId="5FAC54C5" w14:textId="7431303C" w:rsidR="00514304" w:rsidRPr="002B55E9" w:rsidRDefault="00514304">
            <w:pPr>
              <w:pStyle w:val="affff6"/>
              <w:adjustRightInd w:val="0"/>
              <w:snapToGrid w:val="0"/>
              <w:rPr>
                <w:szCs w:val="18"/>
              </w:rPr>
            </w:pPr>
            <w:r w:rsidRPr="002B55E9">
              <w:rPr>
                <w:rFonts w:hint="eastAsia"/>
                <w:szCs w:val="18"/>
              </w:rPr>
              <w:t>1</w:t>
            </w:r>
            <w:r w:rsidRPr="002B55E9">
              <w:rPr>
                <w:szCs w:val="18"/>
              </w:rPr>
              <w:t>50</w:t>
            </w:r>
          </w:p>
        </w:tc>
        <w:tc>
          <w:tcPr>
            <w:tcW w:w="3733" w:type="dxa"/>
            <w:vMerge w:val="restart"/>
            <w:vAlign w:val="center"/>
          </w:tcPr>
          <w:p w14:paraId="713CE966" w14:textId="77777777" w:rsidR="00514304" w:rsidRPr="002B55E9" w:rsidRDefault="00514304">
            <w:pPr>
              <w:jc w:val="center"/>
              <w:rPr>
                <w:sz w:val="18"/>
                <w:szCs w:val="18"/>
              </w:rPr>
            </w:pPr>
            <w:r w:rsidRPr="002B55E9">
              <w:rPr>
                <w:rFonts w:hint="eastAsia"/>
                <w:sz w:val="18"/>
                <w:szCs w:val="18"/>
              </w:rPr>
              <w:t>《环境</w:t>
            </w:r>
            <w:r w:rsidRPr="002B55E9">
              <w:rPr>
                <w:sz w:val="18"/>
                <w:szCs w:val="18"/>
              </w:rPr>
              <w:t>空气质量标准</w:t>
            </w:r>
            <w:r w:rsidRPr="002B55E9">
              <w:rPr>
                <w:rFonts w:hint="eastAsia"/>
                <w:sz w:val="18"/>
                <w:szCs w:val="18"/>
              </w:rPr>
              <w:t>》（</w:t>
            </w:r>
            <w:r w:rsidRPr="002B55E9">
              <w:rPr>
                <w:rFonts w:hint="eastAsia"/>
                <w:sz w:val="18"/>
                <w:szCs w:val="18"/>
              </w:rPr>
              <w:t>GB3095-2012</w:t>
            </w:r>
            <w:r w:rsidRPr="002B55E9">
              <w:rPr>
                <w:rFonts w:hint="eastAsia"/>
                <w:sz w:val="18"/>
                <w:szCs w:val="18"/>
              </w:rPr>
              <w:t>）</w:t>
            </w:r>
          </w:p>
        </w:tc>
      </w:tr>
      <w:tr w:rsidR="002B55E9" w:rsidRPr="002B55E9" w14:paraId="5BC21636" w14:textId="77777777">
        <w:trPr>
          <w:trHeight w:val="284"/>
        </w:trPr>
        <w:tc>
          <w:tcPr>
            <w:tcW w:w="2635" w:type="dxa"/>
            <w:tcBorders>
              <w:top w:val="single" w:sz="4" w:space="0" w:color="auto"/>
              <w:bottom w:val="single" w:sz="12" w:space="0" w:color="auto"/>
            </w:tcBorders>
            <w:vAlign w:val="center"/>
          </w:tcPr>
          <w:p w14:paraId="089190C1" w14:textId="6B0128B2" w:rsidR="00514304" w:rsidRPr="002B55E9" w:rsidRDefault="00514304" w:rsidP="008A0413">
            <w:pPr>
              <w:jc w:val="center"/>
              <w:rPr>
                <w:sz w:val="18"/>
                <w:szCs w:val="18"/>
              </w:rPr>
            </w:pPr>
            <w:r w:rsidRPr="002B55E9">
              <w:rPr>
                <w:rFonts w:hint="eastAsia"/>
                <w:sz w:val="18"/>
                <w:szCs w:val="18"/>
              </w:rPr>
              <w:t>TSP</w:t>
            </w:r>
          </w:p>
        </w:tc>
        <w:tc>
          <w:tcPr>
            <w:tcW w:w="1380" w:type="dxa"/>
            <w:tcBorders>
              <w:top w:val="single" w:sz="4" w:space="0" w:color="auto"/>
              <w:bottom w:val="single" w:sz="12" w:space="0" w:color="auto"/>
            </w:tcBorders>
            <w:vAlign w:val="center"/>
          </w:tcPr>
          <w:p w14:paraId="536AF150" w14:textId="2683341E" w:rsidR="00514304" w:rsidRPr="002B55E9" w:rsidRDefault="00514304" w:rsidP="008A0413">
            <w:pPr>
              <w:pStyle w:val="affff6"/>
              <w:adjustRightInd w:val="0"/>
              <w:snapToGrid w:val="0"/>
              <w:rPr>
                <w:szCs w:val="18"/>
              </w:rPr>
            </w:pPr>
            <w:r w:rsidRPr="002B55E9">
              <w:rPr>
                <w:rFonts w:hint="eastAsia"/>
                <w:szCs w:val="18"/>
              </w:rPr>
              <w:t>日平均</w:t>
            </w:r>
          </w:p>
        </w:tc>
        <w:tc>
          <w:tcPr>
            <w:tcW w:w="1889" w:type="dxa"/>
            <w:tcBorders>
              <w:top w:val="single" w:sz="4" w:space="0" w:color="auto"/>
              <w:bottom w:val="single" w:sz="12" w:space="0" w:color="auto"/>
            </w:tcBorders>
            <w:vAlign w:val="center"/>
          </w:tcPr>
          <w:p w14:paraId="48B8628D" w14:textId="12733BB1" w:rsidR="00514304" w:rsidRPr="002B55E9" w:rsidRDefault="00514304" w:rsidP="008A0413">
            <w:pPr>
              <w:pStyle w:val="affff6"/>
              <w:adjustRightInd w:val="0"/>
              <w:snapToGrid w:val="0"/>
              <w:rPr>
                <w:szCs w:val="18"/>
              </w:rPr>
            </w:pPr>
            <w:r w:rsidRPr="002B55E9">
              <w:rPr>
                <w:rFonts w:hint="eastAsia"/>
                <w:szCs w:val="18"/>
              </w:rPr>
              <w:t>300</w:t>
            </w:r>
          </w:p>
        </w:tc>
        <w:tc>
          <w:tcPr>
            <w:tcW w:w="3733" w:type="dxa"/>
            <w:vMerge/>
            <w:tcBorders>
              <w:bottom w:val="single" w:sz="12" w:space="0" w:color="auto"/>
            </w:tcBorders>
            <w:vAlign w:val="center"/>
          </w:tcPr>
          <w:p w14:paraId="64A9A8EA" w14:textId="77777777" w:rsidR="00514304" w:rsidRPr="002B55E9" w:rsidRDefault="00514304" w:rsidP="008A0413">
            <w:pPr>
              <w:jc w:val="center"/>
              <w:rPr>
                <w:sz w:val="18"/>
                <w:szCs w:val="18"/>
              </w:rPr>
            </w:pPr>
          </w:p>
        </w:tc>
      </w:tr>
    </w:tbl>
    <w:p w14:paraId="5B1FF8EF" w14:textId="77777777" w:rsidR="00D170E5" w:rsidRPr="002B55E9" w:rsidRDefault="00EF27AD" w:rsidP="00514304">
      <w:pPr>
        <w:pStyle w:val="5"/>
        <w:keepNext w:val="0"/>
      </w:pPr>
      <w:r w:rsidRPr="002B55E9">
        <w:rPr>
          <w:rFonts w:hint="eastAsia"/>
        </w:rPr>
        <w:t>估算模型及模型参数</w:t>
      </w:r>
    </w:p>
    <w:p w14:paraId="749DBC97" w14:textId="5681A43C" w:rsidR="00D170E5" w:rsidRPr="002B55E9" w:rsidRDefault="00EF27AD" w:rsidP="00514304">
      <w:pPr>
        <w:pStyle w:val="affff7"/>
        <w:widowControl w:val="0"/>
        <w:spacing w:after="0"/>
        <w:rPr>
          <w:rFonts w:hAnsi="宋体"/>
        </w:rPr>
      </w:pPr>
      <w:r w:rsidRPr="002B55E9">
        <w:t>根据工程分析，本项目排放的污染因子主要为</w:t>
      </w:r>
      <w:r w:rsidR="00924AFA" w:rsidRPr="002B55E9">
        <w:rPr>
          <w:rFonts w:hint="eastAsia"/>
        </w:rPr>
        <w:t>非甲烷总烃</w:t>
      </w:r>
      <w:r w:rsidRPr="002B55E9">
        <w:rPr>
          <w:rFonts w:hAnsi="宋体" w:hint="eastAsia"/>
        </w:rPr>
        <w:t>、</w:t>
      </w:r>
      <w:r w:rsidRPr="002B55E9">
        <w:t>硫酸、氯化氢、甲醛、</w:t>
      </w:r>
      <w:r w:rsidRPr="002B55E9">
        <w:rPr>
          <w:rFonts w:hint="eastAsia"/>
        </w:rPr>
        <w:t>TSP</w:t>
      </w:r>
      <w:r w:rsidRPr="002B55E9">
        <w:rPr>
          <w:rFonts w:hAnsi="宋体" w:hint="eastAsia"/>
        </w:rPr>
        <w:t>。因此确定本项目预测因子为</w:t>
      </w:r>
      <w:r w:rsidR="00924AFA" w:rsidRPr="002B55E9">
        <w:t>总挥发性有机物</w:t>
      </w:r>
      <w:r w:rsidRPr="002B55E9">
        <w:rPr>
          <w:rFonts w:hAnsi="宋体" w:hint="eastAsia"/>
        </w:rPr>
        <w:t>、</w:t>
      </w:r>
      <w:r w:rsidRPr="002B55E9">
        <w:t>硫酸、氯化氢、甲醛、</w:t>
      </w:r>
      <w:r w:rsidRPr="002B55E9">
        <w:rPr>
          <w:rFonts w:hint="eastAsia"/>
        </w:rPr>
        <w:t>TSP</w:t>
      </w:r>
      <w:r w:rsidRPr="002B55E9">
        <w:rPr>
          <w:rFonts w:hAnsi="宋体" w:hint="eastAsia"/>
        </w:rPr>
        <w:t>。</w:t>
      </w:r>
      <w:r w:rsidRPr="002B55E9">
        <w:t>估算模型采用</w:t>
      </w:r>
      <w:r w:rsidRPr="002B55E9">
        <w:lastRenderedPageBreak/>
        <w:t>《环境影响评价技术导则</w:t>
      </w:r>
      <w:r w:rsidRPr="002B55E9">
        <w:t>·</w:t>
      </w:r>
      <w:r w:rsidRPr="002B55E9">
        <w:t>大气环境》（</w:t>
      </w:r>
      <w:r w:rsidRPr="002B55E9">
        <w:t>HJ2.2-2018</w:t>
      </w:r>
      <w:r w:rsidRPr="002B55E9">
        <w:t>）</w:t>
      </w:r>
      <w:r w:rsidRPr="002B55E9">
        <w:rPr>
          <w:rFonts w:hint="eastAsia"/>
        </w:rPr>
        <w:t>中规定的</w:t>
      </w:r>
      <w:r w:rsidRPr="002B55E9">
        <w:t>AERSCREEN</w:t>
      </w:r>
      <w:r w:rsidRPr="002B55E9">
        <w:t>模型。</w:t>
      </w:r>
    </w:p>
    <w:p w14:paraId="6258EFE7" w14:textId="77777777" w:rsidR="00D170E5" w:rsidRPr="002B55E9" w:rsidRDefault="00EF27AD">
      <w:pPr>
        <w:pStyle w:val="affff7"/>
        <w:spacing w:after="0"/>
      </w:pPr>
      <w:r w:rsidRPr="002B55E9">
        <w:t>根据</w:t>
      </w:r>
      <w:r w:rsidRPr="002B55E9">
        <w:t>HJ2.2-2018“ 5.3.2.2</w:t>
      </w:r>
      <w:r w:rsidRPr="002B55E9">
        <w:t>编制环境影响报告</w:t>
      </w:r>
      <w:r w:rsidRPr="002B55E9">
        <w:rPr>
          <w:rFonts w:hint="eastAsia"/>
        </w:rPr>
        <w:t>书</w:t>
      </w:r>
      <w:r w:rsidRPr="002B55E9">
        <w:t>的项目在采用估算模型计算评价等级时，应输入地形参数</w:t>
      </w:r>
      <w:r w:rsidRPr="002B55E9">
        <w:t>”</w:t>
      </w:r>
      <w:r w:rsidRPr="002B55E9">
        <w:t>。本次预测地形数据分辨率为</w:t>
      </w:r>
      <w:r w:rsidRPr="002B55E9">
        <w:t>90m</w:t>
      </w:r>
      <w:r w:rsidRPr="002B55E9">
        <w:t>。</w:t>
      </w:r>
    </w:p>
    <w:p w14:paraId="08F86549" w14:textId="77777777" w:rsidR="00D170E5" w:rsidRPr="002B55E9" w:rsidRDefault="00EF27AD">
      <w:pPr>
        <w:pStyle w:val="affff7"/>
        <w:spacing w:after="0"/>
        <w:rPr>
          <w:rFonts w:hAnsi="宋体"/>
        </w:rPr>
      </w:pPr>
      <w:r w:rsidRPr="002B55E9">
        <w:t>根据</w:t>
      </w:r>
      <w:r w:rsidRPr="002B55E9">
        <w:t>HJ2.2-2018</w:t>
      </w:r>
      <w:r w:rsidRPr="002B55E9">
        <w:t>附录</w:t>
      </w:r>
      <w:r w:rsidRPr="002B55E9">
        <w:t>B.6.2</w:t>
      </w:r>
      <w:r w:rsidRPr="002B55E9">
        <w:t>污染源附近</w:t>
      </w:r>
      <w:r w:rsidRPr="002B55E9">
        <w:t>3km</w:t>
      </w:r>
      <w:r w:rsidRPr="002B55E9">
        <w:t>范围内有大型水体时，需选择熏烟选项，本项目周边</w:t>
      </w:r>
      <w:r w:rsidRPr="002B55E9">
        <w:t>3km</w:t>
      </w:r>
      <w:r w:rsidRPr="002B55E9">
        <w:t>范围内无大型海或湖水体，无需选择熏烟选项。项目周边模型参数见下表。</w:t>
      </w:r>
    </w:p>
    <w:p w14:paraId="3C52585E" w14:textId="77777777" w:rsidR="00D170E5" w:rsidRPr="002B55E9" w:rsidRDefault="00EF27AD">
      <w:pPr>
        <w:pStyle w:val="1f3"/>
        <w:snapToGrid w:val="0"/>
        <w:spacing w:beforeLines="0" w:before="0"/>
      </w:pPr>
      <w:r w:rsidRPr="002B55E9">
        <w:rPr>
          <w:rFonts w:hint="eastAsia"/>
        </w:rPr>
        <w:t>表</w:t>
      </w:r>
      <w:r w:rsidRPr="002B55E9">
        <w:rPr>
          <w:rFonts w:hint="eastAsia"/>
        </w:rPr>
        <w:t>5</w:t>
      </w:r>
      <w:r w:rsidRPr="002B55E9">
        <w:t xml:space="preserve">-2-7  </w:t>
      </w:r>
      <w:r w:rsidRPr="002B55E9">
        <w:rPr>
          <w:rFonts w:hint="eastAsia"/>
        </w:rPr>
        <w:t>估算模型参数表</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60"/>
        <w:gridCol w:w="2127"/>
        <w:gridCol w:w="1843"/>
        <w:gridCol w:w="4107"/>
      </w:tblGrid>
      <w:tr w:rsidR="002B55E9" w:rsidRPr="002B55E9" w14:paraId="3164277D" w14:textId="77777777">
        <w:trPr>
          <w:trHeight w:val="284"/>
          <w:jc w:val="center"/>
        </w:trPr>
        <w:tc>
          <w:tcPr>
            <w:tcW w:w="3687" w:type="dxa"/>
            <w:gridSpan w:val="2"/>
            <w:tcBorders>
              <w:top w:val="single" w:sz="12" w:space="0" w:color="auto"/>
              <w:bottom w:val="single" w:sz="12" w:space="0" w:color="auto"/>
            </w:tcBorders>
            <w:vAlign w:val="center"/>
          </w:tcPr>
          <w:p w14:paraId="3E14E67D" w14:textId="77777777" w:rsidR="00D170E5" w:rsidRPr="002B55E9" w:rsidRDefault="00EF27AD">
            <w:pPr>
              <w:snapToGrid w:val="0"/>
              <w:jc w:val="center"/>
              <w:rPr>
                <w:sz w:val="18"/>
                <w:szCs w:val="18"/>
              </w:rPr>
            </w:pPr>
            <w:r w:rsidRPr="002B55E9">
              <w:rPr>
                <w:rFonts w:hint="eastAsia"/>
                <w:sz w:val="18"/>
                <w:szCs w:val="18"/>
              </w:rPr>
              <w:t>参数</w:t>
            </w:r>
          </w:p>
        </w:tc>
        <w:tc>
          <w:tcPr>
            <w:tcW w:w="1843" w:type="dxa"/>
            <w:tcBorders>
              <w:top w:val="single" w:sz="12" w:space="0" w:color="auto"/>
              <w:bottom w:val="single" w:sz="12" w:space="0" w:color="auto"/>
            </w:tcBorders>
            <w:vAlign w:val="center"/>
          </w:tcPr>
          <w:p w14:paraId="42DB292B" w14:textId="77777777" w:rsidR="00D170E5" w:rsidRPr="002B55E9" w:rsidRDefault="00EF27AD">
            <w:pPr>
              <w:snapToGrid w:val="0"/>
              <w:jc w:val="center"/>
              <w:rPr>
                <w:sz w:val="18"/>
                <w:szCs w:val="18"/>
              </w:rPr>
            </w:pPr>
            <w:r w:rsidRPr="002B55E9">
              <w:rPr>
                <w:rFonts w:hint="eastAsia"/>
                <w:sz w:val="18"/>
                <w:szCs w:val="18"/>
              </w:rPr>
              <w:t>取值</w:t>
            </w:r>
          </w:p>
        </w:tc>
        <w:tc>
          <w:tcPr>
            <w:tcW w:w="4107" w:type="dxa"/>
            <w:tcBorders>
              <w:top w:val="single" w:sz="12" w:space="0" w:color="auto"/>
              <w:bottom w:val="single" w:sz="12" w:space="0" w:color="auto"/>
            </w:tcBorders>
            <w:vAlign w:val="center"/>
          </w:tcPr>
          <w:p w14:paraId="6CC735B4" w14:textId="77777777" w:rsidR="00D170E5" w:rsidRPr="002B55E9" w:rsidRDefault="00EF27AD">
            <w:pPr>
              <w:snapToGrid w:val="0"/>
              <w:jc w:val="center"/>
              <w:rPr>
                <w:sz w:val="18"/>
                <w:szCs w:val="18"/>
              </w:rPr>
            </w:pPr>
            <w:r w:rsidRPr="002B55E9">
              <w:rPr>
                <w:rFonts w:hint="eastAsia"/>
                <w:sz w:val="18"/>
                <w:szCs w:val="18"/>
              </w:rPr>
              <w:t>取值依据</w:t>
            </w:r>
          </w:p>
        </w:tc>
      </w:tr>
      <w:tr w:rsidR="002B55E9" w:rsidRPr="002B55E9" w14:paraId="7FA40E73" w14:textId="77777777">
        <w:trPr>
          <w:trHeight w:val="284"/>
          <w:jc w:val="center"/>
        </w:trPr>
        <w:tc>
          <w:tcPr>
            <w:tcW w:w="1560" w:type="dxa"/>
            <w:vMerge w:val="restart"/>
            <w:tcBorders>
              <w:top w:val="single" w:sz="12" w:space="0" w:color="auto"/>
            </w:tcBorders>
            <w:vAlign w:val="center"/>
          </w:tcPr>
          <w:p w14:paraId="6A4BABDE" w14:textId="77777777" w:rsidR="00D170E5" w:rsidRPr="002B55E9" w:rsidRDefault="00EF27AD">
            <w:pPr>
              <w:snapToGrid w:val="0"/>
              <w:jc w:val="center"/>
              <w:rPr>
                <w:sz w:val="18"/>
                <w:szCs w:val="18"/>
              </w:rPr>
            </w:pPr>
            <w:r w:rsidRPr="002B55E9">
              <w:rPr>
                <w:rFonts w:hint="eastAsia"/>
                <w:sz w:val="18"/>
                <w:szCs w:val="18"/>
              </w:rPr>
              <w:t>城市农村</w:t>
            </w:r>
            <w:r w:rsidRPr="002B55E9">
              <w:rPr>
                <w:sz w:val="18"/>
                <w:szCs w:val="18"/>
              </w:rPr>
              <w:t>/</w:t>
            </w:r>
            <w:r w:rsidRPr="002B55E9">
              <w:rPr>
                <w:rFonts w:hint="eastAsia"/>
                <w:sz w:val="18"/>
                <w:szCs w:val="18"/>
              </w:rPr>
              <w:t>选项</w:t>
            </w:r>
          </w:p>
        </w:tc>
        <w:tc>
          <w:tcPr>
            <w:tcW w:w="2127" w:type="dxa"/>
            <w:tcBorders>
              <w:top w:val="single" w:sz="12" w:space="0" w:color="auto"/>
            </w:tcBorders>
            <w:vAlign w:val="center"/>
          </w:tcPr>
          <w:p w14:paraId="740D4C18" w14:textId="77777777" w:rsidR="00D170E5" w:rsidRPr="002B55E9" w:rsidRDefault="00EF27AD">
            <w:pPr>
              <w:snapToGrid w:val="0"/>
              <w:jc w:val="center"/>
              <w:rPr>
                <w:sz w:val="18"/>
                <w:szCs w:val="18"/>
              </w:rPr>
            </w:pPr>
            <w:r w:rsidRPr="002B55E9">
              <w:rPr>
                <w:rFonts w:hint="eastAsia"/>
                <w:sz w:val="18"/>
                <w:szCs w:val="18"/>
              </w:rPr>
              <w:t>城市</w:t>
            </w:r>
            <w:r w:rsidRPr="002B55E9">
              <w:rPr>
                <w:sz w:val="18"/>
                <w:szCs w:val="18"/>
              </w:rPr>
              <w:t>/</w:t>
            </w:r>
            <w:r w:rsidRPr="002B55E9">
              <w:rPr>
                <w:rFonts w:hint="eastAsia"/>
                <w:sz w:val="18"/>
                <w:szCs w:val="18"/>
              </w:rPr>
              <w:t>农村</w:t>
            </w:r>
          </w:p>
        </w:tc>
        <w:tc>
          <w:tcPr>
            <w:tcW w:w="1843" w:type="dxa"/>
            <w:tcBorders>
              <w:top w:val="single" w:sz="12" w:space="0" w:color="auto"/>
            </w:tcBorders>
            <w:vAlign w:val="center"/>
          </w:tcPr>
          <w:p w14:paraId="3D2D3CDD" w14:textId="77777777" w:rsidR="00D170E5" w:rsidRPr="002B55E9" w:rsidRDefault="00EF27AD">
            <w:pPr>
              <w:snapToGrid w:val="0"/>
              <w:jc w:val="center"/>
              <w:rPr>
                <w:rFonts w:ascii="等线" w:hAnsi="等线"/>
                <w:sz w:val="18"/>
                <w:szCs w:val="18"/>
              </w:rPr>
            </w:pPr>
            <w:r w:rsidRPr="002B55E9">
              <w:rPr>
                <w:rFonts w:hint="eastAsia"/>
                <w:sz w:val="18"/>
                <w:szCs w:val="18"/>
              </w:rPr>
              <w:t>城市</w:t>
            </w:r>
          </w:p>
        </w:tc>
        <w:tc>
          <w:tcPr>
            <w:tcW w:w="4107" w:type="dxa"/>
            <w:tcBorders>
              <w:top w:val="single" w:sz="12" w:space="0" w:color="auto"/>
            </w:tcBorders>
            <w:vAlign w:val="center"/>
          </w:tcPr>
          <w:p w14:paraId="0B84C5C7" w14:textId="77777777" w:rsidR="00D170E5" w:rsidRPr="002B55E9" w:rsidRDefault="00EF27AD">
            <w:pPr>
              <w:snapToGrid w:val="0"/>
              <w:jc w:val="center"/>
              <w:rPr>
                <w:sz w:val="18"/>
                <w:szCs w:val="18"/>
              </w:rPr>
            </w:pPr>
            <w:r w:rsidRPr="002B55E9">
              <w:rPr>
                <w:rFonts w:hint="eastAsia"/>
                <w:sz w:val="18"/>
                <w:szCs w:val="18"/>
              </w:rPr>
              <w:t>武汉市城市总体规划</w:t>
            </w:r>
          </w:p>
        </w:tc>
      </w:tr>
      <w:tr w:rsidR="002B55E9" w:rsidRPr="002B55E9" w14:paraId="26D902F9" w14:textId="77777777">
        <w:trPr>
          <w:trHeight w:val="284"/>
          <w:jc w:val="center"/>
        </w:trPr>
        <w:tc>
          <w:tcPr>
            <w:tcW w:w="1560" w:type="dxa"/>
            <w:vMerge/>
            <w:vAlign w:val="center"/>
          </w:tcPr>
          <w:p w14:paraId="53CB4398" w14:textId="77777777" w:rsidR="00D170E5" w:rsidRPr="002B55E9" w:rsidRDefault="00D170E5">
            <w:pPr>
              <w:widowControl/>
              <w:snapToGrid w:val="0"/>
              <w:jc w:val="left"/>
              <w:rPr>
                <w:rFonts w:eastAsia="等线"/>
                <w:sz w:val="18"/>
                <w:szCs w:val="18"/>
              </w:rPr>
            </w:pPr>
          </w:p>
        </w:tc>
        <w:tc>
          <w:tcPr>
            <w:tcW w:w="2127" w:type="dxa"/>
            <w:vAlign w:val="center"/>
          </w:tcPr>
          <w:p w14:paraId="37ECF4C3" w14:textId="77777777" w:rsidR="00D170E5" w:rsidRPr="002B55E9" w:rsidRDefault="00EF27AD">
            <w:pPr>
              <w:snapToGrid w:val="0"/>
              <w:jc w:val="center"/>
              <w:rPr>
                <w:sz w:val="18"/>
                <w:szCs w:val="18"/>
              </w:rPr>
            </w:pPr>
            <w:r w:rsidRPr="002B55E9">
              <w:rPr>
                <w:rFonts w:hint="eastAsia"/>
                <w:sz w:val="18"/>
                <w:szCs w:val="18"/>
              </w:rPr>
              <w:t>人口数</w:t>
            </w:r>
            <w:r w:rsidRPr="002B55E9">
              <w:rPr>
                <w:sz w:val="18"/>
                <w:szCs w:val="18"/>
              </w:rPr>
              <w:t>(</w:t>
            </w:r>
            <w:r w:rsidRPr="002B55E9">
              <w:rPr>
                <w:rFonts w:hint="eastAsia"/>
                <w:sz w:val="18"/>
                <w:szCs w:val="18"/>
              </w:rPr>
              <w:t>城市人口数</w:t>
            </w:r>
            <w:r w:rsidRPr="002B55E9">
              <w:rPr>
                <w:sz w:val="18"/>
                <w:szCs w:val="18"/>
              </w:rPr>
              <w:t>)</w:t>
            </w:r>
          </w:p>
        </w:tc>
        <w:tc>
          <w:tcPr>
            <w:tcW w:w="1843" w:type="dxa"/>
            <w:vAlign w:val="center"/>
          </w:tcPr>
          <w:p w14:paraId="1876AED0" w14:textId="77777777" w:rsidR="00D170E5" w:rsidRPr="002B55E9" w:rsidRDefault="00EF27AD">
            <w:pPr>
              <w:snapToGrid w:val="0"/>
              <w:jc w:val="center"/>
              <w:rPr>
                <w:sz w:val="18"/>
                <w:szCs w:val="18"/>
              </w:rPr>
            </w:pPr>
            <w:r w:rsidRPr="002B55E9">
              <w:rPr>
                <w:sz w:val="18"/>
                <w:szCs w:val="18"/>
              </w:rPr>
              <w:t>1232.65</w:t>
            </w:r>
            <w:r w:rsidRPr="002B55E9">
              <w:rPr>
                <w:sz w:val="18"/>
                <w:szCs w:val="18"/>
              </w:rPr>
              <w:t>万</w:t>
            </w:r>
          </w:p>
        </w:tc>
        <w:tc>
          <w:tcPr>
            <w:tcW w:w="4107" w:type="dxa"/>
            <w:vAlign w:val="center"/>
          </w:tcPr>
          <w:p w14:paraId="1C1D3077" w14:textId="77777777" w:rsidR="00D170E5" w:rsidRPr="002B55E9" w:rsidRDefault="00EF27AD">
            <w:pPr>
              <w:snapToGrid w:val="0"/>
              <w:jc w:val="center"/>
              <w:rPr>
                <w:sz w:val="18"/>
                <w:szCs w:val="18"/>
              </w:rPr>
            </w:pPr>
            <w:r w:rsidRPr="002B55E9">
              <w:rPr>
                <w:rFonts w:hint="eastAsia"/>
                <w:sz w:val="18"/>
                <w:szCs w:val="18"/>
              </w:rPr>
              <w:t>《武汉市第七次全国人口普查公报》（</w:t>
            </w:r>
            <w:r w:rsidRPr="002B55E9">
              <w:rPr>
                <w:rFonts w:hint="eastAsia"/>
                <w:sz w:val="18"/>
                <w:szCs w:val="18"/>
              </w:rPr>
              <w:t>2021</w:t>
            </w:r>
            <w:r w:rsidRPr="002B55E9">
              <w:rPr>
                <w:rFonts w:hint="eastAsia"/>
                <w:sz w:val="18"/>
                <w:szCs w:val="18"/>
              </w:rPr>
              <w:t>年）</w:t>
            </w:r>
          </w:p>
        </w:tc>
      </w:tr>
      <w:tr w:rsidR="002B55E9" w:rsidRPr="002B55E9" w14:paraId="18C12EC4" w14:textId="77777777">
        <w:trPr>
          <w:trHeight w:val="284"/>
          <w:jc w:val="center"/>
        </w:trPr>
        <w:tc>
          <w:tcPr>
            <w:tcW w:w="3687" w:type="dxa"/>
            <w:gridSpan w:val="2"/>
            <w:vAlign w:val="center"/>
          </w:tcPr>
          <w:p w14:paraId="6E53D7B5" w14:textId="77777777" w:rsidR="00D170E5" w:rsidRPr="002B55E9" w:rsidRDefault="00EF27AD">
            <w:pPr>
              <w:snapToGrid w:val="0"/>
              <w:jc w:val="center"/>
              <w:rPr>
                <w:sz w:val="18"/>
                <w:szCs w:val="18"/>
              </w:rPr>
            </w:pPr>
            <w:r w:rsidRPr="002B55E9">
              <w:rPr>
                <w:rFonts w:hint="eastAsia"/>
                <w:sz w:val="18"/>
                <w:szCs w:val="18"/>
              </w:rPr>
              <w:t>最高环境温度</w:t>
            </w:r>
          </w:p>
        </w:tc>
        <w:tc>
          <w:tcPr>
            <w:tcW w:w="1843" w:type="dxa"/>
            <w:vAlign w:val="center"/>
          </w:tcPr>
          <w:p w14:paraId="21871F03" w14:textId="77777777" w:rsidR="00D170E5" w:rsidRPr="002B55E9" w:rsidRDefault="00EF27AD">
            <w:pPr>
              <w:snapToGrid w:val="0"/>
              <w:jc w:val="center"/>
              <w:rPr>
                <w:rFonts w:ascii="等线" w:hAnsi="等线"/>
                <w:sz w:val="18"/>
                <w:szCs w:val="18"/>
              </w:rPr>
            </w:pPr>
            <w:r w:rsidRPr="002B55E9">
              <w:rPr>
                <w:sz w:val="18"/>
                <w:szCs w:val="18"/>
              </w:rPr>
              <w:t>38.1°C</w:t>
            </w:r>
          </w:p>
        </w:tc>
        <w:tc>
          <w:tcPr>
            <w:tcW w:w="4107" w:type="dxa"/>
            <w:vMerge w:val="restart"/>
            <w:vAlign w:val="center"/>
          </w:tcPr>
          <w:p w14:paraId="57BD6B10" w14:textId="77777777" w:rsidR="00D170E5" w:rsidRPr="002B55E9" w:rsidRDefault="00EF27AD">
            <w:pPr>
              <w:snapToGrid w:val="0"/>
              <w:jc w:val="center"/>
              <w:rPr>
                <w:sz w:val="18"/>
                <w:szCs w:val="18"/>
              </w:rPr>
            </w:pPr>
            <w:r w:rsidRPr="002B55E9">
              <w:rPr>
                <w:rFonts w:hint="eastAsia"/>
                <w:sz w:val="18"/>
                <w:szCs w:val="18"/>
              </w:rPr>
              <w:t>武汉气象资料分析报告（</w:t>
            </w:r>
            <w:r w:rsidRPr="002B55E9">
              <w:rPr>
                <w:rFonts w:hint="eastAsia"/>
                <w:sz w:val="18"/>
                <w:szCs w:val="18"/>
              </w:rPr>
              <w:t>2000~2020</w:t>
            </w:r>
            <w:r w:rsidRPr="002B55E9">
              <w:rPr>
                <w:rFonts w:hint="eastAsia"/>
                <w:sz w:val="18"/>
                <w:szCs w:val="18"/>
              </w:rPr>
              <w:t>年）</w:t>
            </w:r>
          </w:p>
        </w:tc>
      </w:tr>
      <w:tr w:rsidR="002B55E9" w:rsidRPr="002B55E9" w14:paraId="6AC8665F" w14:textId="77777777">
        <w:trPr>
          <w:trHeight w:val="284"/>
          <w:jc w:val="center"/>
        </w:trPr>
        <w:tc>
          <w:tcPr>
            <w:tcW w:w="3687" w:type="dxa"/>
            <w:gridSpan w:val="2"/>
            <w:vAlign w:val="center"/>
          </w:tcPr>
          <w:p w14:paraId="462BC289" w14:textId="77777777" w:rsidR="00D170E5" w:rsidRPr="002B55E9" w:rsidRDefault="00EF27AD">
            <w:pPr>
              <w:snapToGrid w:val="0"/>
              <w:jc w:val="center"/>
              <w:rPr>
                <w:sz w:val="18"/>
                <w:szCs w:val="18"/>
              </w:rPr>
            </w:pPr>
            <w:r w:rsidRPr="002B55E9">
              <w:rPr>
                <w:rFonts w:hint="eastAsia"/>
                <w:sz w:val="18"/>
                <w:szCs w:val="18"/>
              </w:rPr>
              <w:t>最低环境温度</w:t>
            </w:r>
          </w:p>
        </w:tc>
        <w:tc>
          <w:tcPr>
            <w:tcW w:w="1843" w:type="dxa"/>
            <w:vAlign w:val="center"/>
          </w:tcPr>
          <w:p w14:paraId="17D2D77E" w14:textId="77777777" w:rsidR="00D170E5" w:rsidRPr="002B55E9" w:rsidRDefault="00EF27AD">
            <w:pPr>
              <w:snapToGrid w:val="0"/>
              <w:jc w:val="center"/>
              <w:rPr>
                <w:rFonts w:ascii="等线" w:hAnsi="等线"/>
                <w:sz w:val="18"/>
                <w:szCs w:val="18"/>
              </w:rPr>
            </w:pPr>
            <w:r w:rsidRPr="002B55E9">
              <w:rPr>
                <w:sz w:val="18"/>
                <w:szCs w:val="18"/>
              </w:rPr>
              <w:t>-5.2 °C</w:t>
            </w:r>
          </w:p>
        </w:tc>
        <w:tc>
          <w:tcPr>
            <w:tcW w:w="4107" w:type="dxa"/>
            <w:vMerge/>
            <w:vAlign w:val="center"/>
          </w:tcPr>
          <w:p w14:paraId="0EA1A876" w14:textId="77777777" w:rsidR="00D170E5" w:rsidRPr="002B55E9" w:rsidRDefault="00D170E5">
            <w:pPr>
              <w:snapToGrid w:val="0"/>
              <w:jc w:val="center"/>
              <w:rPr>
                <w:sz w:val="18"/>
                <w:szCs w:val="18"/>
              </w:rPr>
            </w:pPr>
          </w:p>
        </w:tc>
      </w:tr>
      <w:tr w:rsidR="002B55E9" w:rsidRPr="002B55E9" w14:paraId="36B65BE0" w14:textId="77777777">
        <w:trPr>
          <w:trHeight w:val="284"/>
          <w:jc w:val="center"/>
        </w:trPr>
        <w:tc>
          <w:tcPr>
            <w:tcW w:w="3687" w:type="dxa"/>
            <w:gridSpan w:val="2"/>
            <w:vAlign w:val="center"/>
          </w:tcPr>
          <w:p w14:paraId="250C2A7F" w14:textId="77777777" w:rsidR="00D170E5" w:rsidRPr="002B55E9" w:rsidRDefault="00EF27AD">
            <w:pPr>
              <w:snapToGrid w:val="0"/>
              <w:jc w:val="center"/>
              <w:rPr>
                <w:sz w:val="18"/>
                <w:szCs w:val="18"/>
              </w:rPr>
            </w:pPr>
            <w:r w:rsidRPr="002B55E9">
              <w:rPr>
                <w:rFonts w:hint="eastAsia"/>
                <w:sz w:val="18"/>
                <w:szCs w:val="18"/>
              </w:rPr>
              <w:t>土地利用类型</w:t>
            </w:r>
          </w:p>
        </w:tc>
        <w:tc>
          <w:tcPr>
            <w:tcW w:w="1843" w:type="dxa"/>
            <w:vAlign w:val="center"/>
          </w:tcPr>
          <w:p w14:paraId="5EC717D6" w14:textId="77777777" w:rsidR="00D170E5" w:rsidRPr="002B55E9" w:rsidRDefault="00EF27AD">
            <w:pPr>
              <w:snapToGrid w:val="0"/>
              <w:jc w:val="center"/>
              <w:rPr>
                <w:rFonts w:ascii="等线" w:hAnsi="等线"/>
                <w:sz w:val="18"/>
                <w:szCs w:val="18"/>
              </w:rPr>
            </w:pPr>
            <w:r w:rsidRPr="002B55E9">
              <w:rPr>
                <w:rFonts w:hint="eastAsia"/>
                <w:sz w:val="18"/>
                <w:szCs w:val="18"/>
              </w:rPr>
              <w:t>城市</w:t>
            </w:r>
          </w:p>
        </w:tc>
        <w:tc>
          <w:tcPr>
            <w:tcW w:w="4107" w:type="dxa"/>
            <w:vAlign w:val="center"/>
          </w:tcPr>
          <w:p w14:paraId="16EA5472" w14:textId="77777777" w:rsidR="00D170E5" w:rsidRPr="002B55E9" w:rsidRDefault="00EF27AD">
            <w:pPr>
              <w:snapToGrid w:val="0"/>
              <w:jc w:val="center"/>
              <w:rPr>
                <w:sz w:val="18"/>
                <w:szCs w:val="18"/>
              </w:rPr>
            </w:pPr>
            <w:r w:rsidRPr="002B55E9">
              <w:rPr>
                <w:rFonts w:hint="eastAsia"/>
                <w:sz w:val="18"/>
                <w:szCs w:val="18"/>
              </w:rPr>
              <w:t>武汉市城市总体规划</w:t>
            </w:r>
          </w:p>
        </w:tc>
      </w:tr>
      <w:tr w:rsidR="002B55E9" w:rsidRPr="002B55E9" w14:paraId="404112A3" w14:textId="77777777">
        <w:trPr>
          <w:trHeight w:val="284"/>
          <w:jc w:val="center"/>
        </w:trPr>
        <w:tc>
          <w:tcPr>
            <w:tcW w:w="3687" w:type="dxa"/>
            <w:gridSpan w:val="2"/>
            <w:vAlign w:val="center"/>
          </w:tcPr>
          <w:p w14:paraId="0CEF7EA3" w14:textId="77777777" w:rsidR="00D170E5" w:rsidRPr="002B55E9" w:rsidRDefault="00EF27AD">
            <w:pPr>
              <w:snapToGrid w:val="0"/>
              <w:jc w:val="center"/>
              <w:rPr>
                <w:sz w:val="18"/>
                <w:szCs w:val="18"/>
              </w:rPr>
            </w:pPr>
            <w:r w:rsidRPr="002B55E9">
              <w:rPr>
                <w:rFonts w:hint="eastAsia"/>
                <w:sz w:val="18"/>
                <w:szCs w:val="18"/>
              </w:rPr>
              <w:t>区域湿度条件</w:t>
            </w:r>
          </w:p>
        </w:tc>
        <w:tc>
          <w:tcPr>
            <w:tcW w:w="1843" w:type="dxa"/>
            <w:vAlign w:val="center"/>
          </w:tcPr>
          <w:p w14:paraId="5AD9FA05"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潮湿</w:t>
            </w:r>
          </w:p>
        </w:tc>
        <w:tc>
          <w:tcPr>
            <w:tcW w:w="4107" w:type="dxa"/>
            <w:vAlign w:val="center"/>
          </w:tcPr>
          <w:p w14:paraId="7759849A" w14:textId="77777777" w:rsidR="00D170E5" w:rsidRPr="002B55E9" w:rsidRDefault="00EF27AD">
            <w:pPr>
              <w:snapToGrid w:val="0"/>
              <w:jc w:val="center"/>
              <w:rPr>
                <w:rFonts w:ascii="等线" w:hAnsi="等线"/>
                <w:sz w:val="18"/>
                <w:szCs w:val="18"/>
              </w:rPr>
            </w:pPr>
            <w:r w:rsidRPr="002B55E9">
              <w:rPr>
                <w:sz w:val="18"/>
                <w:szCs w:val="21"/>
              </w:rPr>
              <w:t>中国干湿程度</w:t>
            </w:r>
          </w:p>
        </w:tc>
      </w:tr>
      <w:tr w:rsidR="002B55E9" w:rsidRPr="002B55E9" w14:paraId="69F0B653" w14:textId="77777777">
        <w:trPr>
          <w:trHeight w:val="284"/>
          <w:jc w:val="center"/>
        </w:trPr>
        <w:tc>
          <w:tcPr>
            <w:tcW w:w="1560" w:type="dxa"/>
            <w:vMerge w:val="restart"/>
            <w:vAlign w:val="center"/>
          </w:tcPr>
          <w:p w14:paraId="1B74D973" w14:textId="77777777" w:rsidR="00D170E5" w:rsidRPr="002B55E9" w:rsidRDefault="00EF27AD">
            <w:pPr>
              <w:snapToGrid w:val="0"/>
              <w:jc w:val="center"/>
              <w:rPr>
                <w:sz w:val="18"/>
                <w:szCs w:val="18"/>
              </w:rPr>
            </w:pPr>
            <w:r w:rsidRPr="002B55E9">
              <w:rPr>
                <w:rFonts w:hint="eastAsia"/>
                <w:sz w:val="18"/>
                <w:szCs w:val="18"/>
              </w:rPr>
              <w:t>是否考虑地形</w:t>
            </w:r>
          </w:p>
        </w:tc>
        <w:tc>
          <w:tcPr>
            <w:tcW w:w="2127" w:type="dxa"/>
            <w:vAlign w:val="center"/>
          </w:tcPr>
          <w:p w14:paraId="6CC6C945" w14:textId="77777777" w:rsidR="00D170E5" w:rsidRPr="002B55E9" w:rsidRDefault="00EF27AD">
            <w:pPr>
              <w:snapToGrid w:val="0"/>
              <w:jc w:val="center"/>
              <w:rPr>
                <w:sz w:val="18"/>
                <w:szCs w:val="18"/>
              </w:rPr>
            </w:pPr>
            <w:r w:rsidRPr="002B55E9">
              <w:rPr>
                <w:rFonts w:hint="eastAsia"/>
                <w:sz w:val="18"/>
                <w:szCs w:val="18"/>
              </w:rPr>
              <w:t>考虑地形</w:t>
            </w:r>
          </w:p>
        </w:tc>
        <w:tc>
          <w:tcPr>
            <w:tcW w:w="1843" w:type="dxa"/>
            <w:vAlign w:val="center"/>
          </w:tcPr>
          <w:p w14:paraId="21245A9F" w14:textId="77777777" w:rsidR="00D170E5" w:rsidRPr="002B55E9" w:rsidRDefault="00EF27AD">
            <w:pPr>
              <w:snapToGrid w:val="0"/>
              <w:jc w:val="center"/>
              <w:rPr>
                <w:rFonts w:ascii="等线" w:hAnsi="等线"/>
                <w:sz w:val="18"/>
                <w:szCs w:val="18"/>
              </w:rPr>
            </w:pPr>
            <w:r w:rsidRPr="002B55E9">
              <w:rPr>
                <w:rFonts w:hint="eastAsia"/>
                <w:sz w:val="18"/>
                <w:szCs w:val="18"/>
              </w:rPr>
              <w:t>是</w:t>
            </w:r>
          </w:p>
        </w:tc>
        <w:tc>
          <w:tcPr>
            <w:tcW w:w="4107" w:type="dxa"/>
            <w:vAlign w:val="center"/>
          </w:tcPr>
          <w:p w14:paraId="0AB557A9" w14:textId="77777777" w:rsidR="00D170E5" w:rsidRPr="002B55E9" w:rsidRDefault="00EF27AD">
            <w:pPr>
              <w:snapToGrid w:val="0"/>
              <w:jc w:val="center"/>
              <w:rPr>
                <w:sz w:val="18"/>
                <w:szCs w:val="18"/>
              </w:rPr>
            </w:pPr>
            <w:r w:rsidRPr="002B55E9">
              <w:rPr>
                <w:rFonts w:ascii="等线" w:hAnsi="等线" w:hint="eastAsia"/>
                <w:sz w:val="18"/>
                <w:szCs w:val="18"/>
              </w:rPr>
              <w:t>/</w:t>
            </w:r>
          </w:p>
        </w:tc>
      </w:tr>
      <w:tr w:rsidR="002B55E9" w:rsidRPr="002B55E9" w14:paraId="01A0EDEB" w14:textId="77777777">
        <w:trPr>
          <w:trHeight w:val="284"/>
          <w:jc w:val="center"/>
        </w:trPr>
        <w:tc>
          <w:tcPr>
            <w:tcW w:w="1560" w:type="dxa"/>
            <w:vMerge/>
            <w:vAlign w:val="center"/>
          </w:tcPr>
          <w:p w14:paraId="528F7660" w14:textId="77777777" w:rsidR="00D170E5" w:rsidRPr="002B55E9" w:rsidRDefault="00D170E5">
            <w:pPr>
              <w:widowControl/>
              <w:snapToGrid w:val="0"/>
              <w:jc w:val="left"/>
              <w:rPr>
                <w:rFonts w:eastAsia="等线"/>
                <w:sz w:val="18"/>
                <w:szCs w:val="18"/>
              </w:rPr>
            </w:pPr>
          </w:p>
        </w:tc>
        <w:tc>
          <w:tcPr>
            <w:tcW w:w="2127" w:type="dxa"/>
            <w:vAlign w:val="center"/>
          </w:tcPr>
          <w:p w14:paraId="64BD341D" w14:textId="77777777" w:rsidR="00D170E5" w:rsidRPr="002B55E9" w:rsidRDefault="00EF27AD">
            <w:pPr>
              <w:snapToGrid w:val="0"/>
              <w:jc w:val="center"/>
              <w:rPr>
                <w:sz w:val="18"/>
                <w:szCs w:val="18"/>
              </w:rPr>
            </w:pPr>
            <w:r w:rsidRPr="002B55E9">
              <w:rPr>
                <w:rFonts w:hint="eastAsia"/>
                <w:sz w:val="18"/>
                <w:szCs w:val="18"/>
              </w:rPr>
              <w:t>地形数据分辨率</w:t>
            </w:r>
            <w:r w:rsidRPr="002B55E9">
              <w:rPr>
                <w:sz w:val="18"/>
                <w:szCs w:val="18"/>
              </w:rPr>
              <w:t>(m)</w:t>
            </w:r>
          </w:p>
        </w:tc>
        <w:tc>
          <w:tcPr>
            <w:tcW w:w="1843" w:type="dxa"/>
            <w:vAlign w:val="center"/>
          </w:tcPr>
          <w:p w14:paraId="49852450" w14:textId="77777777" w:rsidR="00D170E5" w:rsidRPr="002B55E9" w:rsidRDefault="00EF27AD">
            <w:pPr>
              <w:snapToGrid w:val="0"/>
              <w:jc w:val="center"/>
              <w:rPr>
                <w:rFonts w:ascii="等线" w:hAnsi="等线"/>
                <w:sz w:val="18"/>
                <w:szCs w:val="18"/>
              </w:rPr>
            </w:pPr>
            <w:r w:rsidRPr="002B55E9">
              <w:rPr>
                <w:sz w:val="18"/>
                <w:szCs w:val="18"/>
              </w:rPr>
              <w:t>90</w:t>
            </w:r>
          </w:p>
        </w:tc>
        <w:tc>
          <w:tcPr>
            <w:tcW w:w="4107" w:type="dxa"/>
            <w:vAlign w:val="center"/>
          </w:tcPr>
          <w:p w14:paraId="13CEDA7F" w14:textId="77777777" w:rsidR="00D170E5" w:rsidRPr="002B55E9" w:rsidRDefault="00EF27AD">
            <w:pPr>
              <w:snapToGrid w:val="0"/>
              <w:jc w:val="center"/>
              <w:rPr>
                <w:sz w:val="18"/>
                <w:szCs w:val="18"/>
              </w:rPr>
            </w:pPr>
            <w:r w:rsidRPr="002B55E9">
              <w:rPr>
                <w:rFonts w:ascii="等线" w:hAnsi="等线" w:hint="eastAsia"/>
                <w:sz w:val="18"/>
                <w:szCs w:val="18"/>
              </w:rPr>
              <w:t>/</w:t>
            </w:r>
          </w:p>
        </w:tc>
      </w:tr>
      <w:tr w:rsidR="002B55E9" w:rsidRPr="002B55E9" w14:paraId="2C603522" w14:textId="77777777">
        <w:trPr>
          <w:trHeight w:val="284"/>
          <w:jc w:val="center"/>
        </w:trPr>
        <w:tc>
          <w:tcPr>
            <w:tcW w:w="1560" w:type="dxa"/>
            <w:vMerge w:val="restart"/>
            <w:vAlign w:val="center"/>
          </w:tcPr>
          <w:p w14:paraId="15D3F131" w14:textId="77777777" w:rsidR="00D170E5" w:rsidRPr="002B55E9" w:rsidRDefault="00EF27AD">
            <w:pPr>
              <w:snapToGrid w:val="0"/>
              <w:jc w:val="center"/>
              <w:rPr>
                <w:sz w:val="18"/>
                <w:szCs w:val="18"/>
              </w:rPr>
            </w:pPr>
            <w:r w:rsidRPr="002B55E9">
              <w:rPr>
                <w:rFonts w:hint="eastAsia"/>
                <w:sz w:val="18"/>
                <w:szCs w:val="18"/>
              </w:rPr>
              <w:t>是否考虑海岸线熏烟</w:t>
            </w:r>
          </w:p>
        </w:tc>
        <w:tc>
          <w:tcPr>
            <w:tcW w:w="2127" w:type="dxa"/>
            <w:vAlign w:val="center"/>
          </w:tcPr>
          <w:p w14:paraId="7ED8ADB4" w14:textId="77777777" w:rsidR="00D170E5" w:rsidRPr="002B55E9" w:rsidRDefault="00EF27AD">
            <w:pPr>
              <w:snapToGrid w:val="0"/>
              <w:jc w:val="center"/>
              <w:rPr>
                <w:sz w:val="18"/>
                <w:szCs w:val="18"/>
              </w:rPr>
            </w:pPr>
            <w:r w:rsidRPr="002B55E9">
              <w:rPr>
                <w:rFonts w:hint="eastAsia"/>
                <w:sz w:val="18"/>
                <w:szCs w:val="18"/>
              </w:rPr>
              <w:t>考虑海岸线熏烟</w:t>
            </w:r>
          </w:p>
        </w:tc>
        <w:tc>
          <w:tcPr>
            <w:tcW w:w="1843" w:type="dxa"/>
            <w:vAlign w:val="center"/>
          </w:tcPr>
          <w:p w14:paraId="598CD3FA"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否</w:t>
            </w:r>
          </w:p>
        </w:tc>
        <w:tc>
          <w:tcPr>
            <w:tcW w:w="4107" w:type="dxa"/>
            <w:vAlign w:val="center"/>
          </w:tcPr>
          <w:p w14:paraId="0AAD108A" w14:textId="77777777" w:rsidR="00D170E5" w:rsidRPr="002B55E9" w:rsidRDefault="00EF27AD">
            <w:pPr>
              <w:snapToGrid w:val="0"/>
              <w:jc w:val="center"/>
              <w:rPr>
                <w:rFonts w:ascii="等线" w:hAnsi="等线"/>
                <w:sz w:val="18"/>
                <w:szCs w:val="18"/>
              </w:rPr>
            </w:pPr>
            <w:r w:rsidRPr="002B55E9">
              <w:rPr>
                <w:sz w:val="18"/>
                <w:szCs w:val="21"/>
              </w:rPr>
              <w:t>周边</w:t>
            </w:r>
            <w:r w:rsidRPr="002B55E9">
              <w:rPr>
                <w:sz w:val="18"/>
                <w:szCs w:val="21"/>
              </w:rPr>
              <w:t>3km</w:t>
            </w:r>
            <w:r w:rsidRPr="002B55E9">
              <w:rPr>
                <w:sz w:val="18"/>
                <w:szCs w:val="21"/>
              </w:rPr>
              <w:t>范围内无大型水体</w:t>
            </w:r>
          </w:p>
        </w:tc>
      </w:tr>
      <w:tr w:rsidR="002B55E9" w:rsidRPr="002B55E9" w14:paraId="3918FCB4" w14:textId="77777777">
        <w:trPr>
          <w:trHeight w:val="284"/>
          <w:jc w:val="center"/>
        </w:trPr>
        <w:tc>
          <w:tcPr>
            <w:tcW w:w="1560" w:type="dxa"/>
            <w:vMerge/>
            <w:vAlign w:val="center"/>
          </w:tcPr>
          <w:p w14:paraId="01E31945" w14:textId="77777777" w:rsidR="00D170E5" w:rsidRPr="002B55E9" w:rsidRDefault="00D170E5">
            <w:pPr>
              <w:widowControl/>
              <w:snapToGrid w:val="0"/>
              <w:jc w:val="left"/>
              <w:rPr>
                <w:rFonts w:eastAsia="等线"/>
                <w:sz w:val="18"/>
                <w:szCs w:val="18"/>
              </w:rPr>
            </w:pPr>
          </w:p>
        </w:tc>
        <w:tc>
          <w:tcPr>
            <w:tcW w:w="2127" w:type="dxa"/>
            <w:vAlign w:val="center"/>
          </w:tcPr>
          <w:p w14:paraId="004D1D39" w14:textId="77777777" w:rsidR="00D170E5" w:rsidRPr="002B55E9" w:rsidRDefault="00EF27AD">
            <w:pPr>
              <w:snapToGrid w:val="0"/>
              <w:jc w:val="center"/>
              <w:rPr>
                <w:sz w:val="18"/>
                <w:szCs w:val="18"/>
              </w:rPr>
            </w:pPr>
            <w:r w:rsidRPr="002B55E9">
              <w:rPr>
                <w:rFonts w:hint="eastAsia"/>
                <w:sz w:val="18"/>
                <w:szCs w:val="18"/>
              </w:rPr>
              <w:t>海岸线距离</w:t>
            </w:r>
            <w:r w:rsidRPr="002B55E9">
              <w:rPr>
                <w:sz w:val="18"/>
                <w:szCs w:val="18"/>
              </w:rPr>
              <w:t>/m</w:t>
            </w:r>
          </w:p>
        </w:tc>
        <w:tc>
          <w:tcPr>
            <w:tcW w:w="1843" w:type="dxa"/>
            <w:vAlign w:val="center"/>
          </w:tcPr>
          <w:p w14:paraId="2966CD2E"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w:t>
            </w:r>
          </w:p>
        </w:tc>
        <w:tc>
          <w:tcPr>
            <w:tcW w:w="4107" w:type="dxa"/>
            <w:vAlign w:val="center"/>
          </w:tcPr>
          <w:p w14:paraId="67DA3465"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w:t>
            </w:r>
          </w:p>
        </w:tc>
      </w:tr>
      <w:tr w:rsidR="002B55E9" w:rsidRPr="002B55E9" w14:paraId="78E9F7BB" w14:textId="77777777">
        <w:trPr>
          <w:trHeight w:val="284"/>
          <w:jc w:val="center"/>
        </w:trPr>
        <w:tc>
          <w:tcPr>
            <w:tcW w:w="1560" w:type="dxa"/>
            <w:vMerge/>
            <w:vAlign w:val="center"/>
          </w:tcPr>
          <w:p w14:paraId="0EA36274" w14:textId="77777777" w:rsidR="00D170E5" w:rsidRPr="002B55E9" w:rsidRDefault="00D170E5">
            <w:pPr>
              <w:widowControl/>
              <w:snapToGrid w:val="0"/>
              <w:jc w:val="left"/>
              <w:rPr>
                <w:rFonts w:eastAsia="等线"/>
                <w:sz w:val="18"/>
                <w:szCs w:val="18"/>
              </w:rPr>
            </w:pPr>
          </w:p>
        </w:tc>
        <w:tc>
          <w:tcPr>
            <w:tcW w:w="2127" w:type="dxa"/>
            <w:vAlign w:val="center"/>
          </w:tcPr>
          <w:p w14:paraId="2D04C68C" w14:textId="77777777" w:rsidR="00D170E5" w:rsidRPr="002B55E9" w:rsidRDefault="00EF27AD">
            <w:pPr>
              <w:snapToGrid w:val="0"/>
              <w:jc w:val="center"/>
              <w:rPr>
                <w:sz w:val="18"/>
                <w:szCs w:val="18"/>
              </w:rPr>
            </w:pPr>
            <w:r w:rsidRPr="002B55E9">
              <w:rPr>
                <w:rFonts w:hint="eastAsia"/>
                <w:sz w:val="18"/>
                <w:szCs w:val="18"/>
              </w:rPr>
              <w:t>海岸线方向</w:t>
            </w:r>
            <w:r w:rsidRPr="002B55E9">
              <w:rPr>
                <w:sz w:val="18"/>
                <w:szCs w:val="18"/>
              </w:rPr>
              <w:t>/</w:t>
            </w:r>
            <w:r w:rsidRPr="002B55E9">
              <w:rPr>
                <w:sz w:val="18"/>
                <w:szCs w:val="18"/>
                <w:vertAlign w:val="superscript"/>
              </w:rPr>
              <w:t>o</w:t>
            </w:r>
          </w:p>
        </w:tc>
        <w:tc>
          <w:tcPr>
            <w:tcW w:w="1843" w:type="dxa"/>
            <w:vAlign w:val="center"/>
          </w:tcPr>
          <w:p w14:paraId="2B41AA80"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w:t>
            </w:r>
          </w:p>
        </w:tc>
        <w:tc>
          <w:tcPr>
            <w:tcW w:w="4107" w:type="dxa"/>
            <w:vAlign w:val="center"/>
          </w:tcPr>
          <w:p w14:paraId="1136A87A" w14:textId="77777777" w:rsidR="00D170E5" w:rsidRPr="002B55E9" w:rsidRDefault="00EF27AD">
            <w:pPr>
              <w:snapToGrid w:val="0"/>
              <w:jc w:val="center"/>
              <w:rPr>
                <w:rFonts w:ascii="等线" w:hAnsi="等线"/>
                <w:sz w:val="18"/>
                <w:szCs w:val="18"/>
              </w:rPr>
            </w:pPr>
            <w:r w:rsidRPr="002B55E9">
              <w:rPr>
                <w:rFonts w:ascii="等线" w:hAnsi="等线" w:hint="eastAsia"/>
                <w:sz w:val="18"/>
                <w:szCs w:val="18"/>
              </w:rPr>
              <w:t>/</w:t>
            </w:r>
          </w:p>
        </w:tc>
      </w:tr>
    </w:tbl>
    <w:p w14:paraId="42D1AF9A" w14:textId="77777777" w:rsidR="00D170E5" w:rsidRPr="002B55E9" w:rsidRDefault="00EF27AD">
      <w:pPr>
        <w:pStyle w:val="5"/>
      </w:pPr>
      <w:r w:rsidRPr="002B55E9">
        <w:rPr>
          <w:rFonts w:hint="eastAsia"/>
        </w:rPr>
        <w:t>污染源参数</w:t>
      </w:r>
    </w:p>
    <w:p w14:paraId="014A8BBA" w14:textId="77777777" w:rsidR="00D170E5" w:rsidRPr="002B55E9" w:rsidRDefault="00EF27AD">
      <w:pPr>
        <w:pStyle w:val="affff7"/>
        <w:snapToGrid w:val="0"/>
        <w:spacing w:after="0"/>
        <w:rPr>
          <w:rFonts w:hAnsi="宋体"/>
        </w:rPr>
      </w:pPr>
      <w:r w:rsidRPr="002B55E9">
        <w:rPr>
          <w:rFonts w:hAnsi="宋体" w:hint="eastAsia"/>
        </w:rPr>
        <w:t>根据工程分析，拟建项目选择</w:t>
      </w:r>
      <w:r w:rsidRPr="002B55E9">
        <w:rPr>
          <w:rFonts w:hint="eastAsia"/>
        </w:rPr>
        <w:t>D</w:t>
      </w:r>
      <w:r w:rsidRPr="002B55E9">
        <w:t>A001</w:t>
      </w:r>
      <w:r w:rsidRPr="002B55E9">
        <w:rPr>
          <w:rFonts w:hAnsi="宋体" w:hint="eastAsia"/>
        </w:rPr>
        <w:t>、</w:t>
      </w:r>
      <w:r w:rsidRPr="002B55E9">
        <w:rPr>
          <w:rFonts w:hint="eastAsia"/>
        </w:rPr>
        <w:t>DA002</w:t>
      </w:r>
      <w:r w:rsidRPr="002B55E9">
        <w:rPr>
          <w:rFonts w:hAnsi="宋体" w:hint="eastAsia"/>
        </w:rPr>
        <w:t>、十一车间、十三车间、罐区三、酒精</w:t>
      </w:r>
      <w:r w:rsidRPr="002B55E9">
        <w:rPr>
          <w:rFonts w:hAnsi="宋体"/>
        </w:rPr>
        <w:t>罐区</w:t>
      </w:r>
      <w:r w:rsidRPr="002B55E9">
        <w:rPr>
          <w:rFonts w:hAnsi="宋体" w:hint="eastAsia"/>
        </w:rPr>
        <w:t>无组织废气作为源强进行预测。</w:t>
      </w:r>
    </w:p>
    <w:p w14:paraId="519F025C" w14:textId="6518D0F2" w:rsidR="00F531DF" w:rsidRPr="002B55E9" w:rsidRDefault="00F531DF">
      <w:pPr>
        <w:pStyle w:val="affff7"/>
        <w:snapToGrid w:val="0"/>
        <w:spacing w:after="0"/>
        <w:rPr>
          <w:rFonts w:hAnsi="宋体"/>
        </w:rPr>
      </w:pPr>
      <w:r w:rsidRPr="002B55E9">
        <w:rPr>
          <w:rFonts w:hAnsi="宋体" w:hint="eastAsia"/>
        </w:rPr>
        <w:t>（</w:t>
      </w:r>
      <w:r w:rsidRPr="002B55E9">
        <w:rPr>
          <w:rFonts w:hAnsi="宋体" w:hint="eastAsia"/>
        </w:rPr>
        <w:t>1</w:t>
      </w:r>
      <w:r w:rsidRPr="002B55E9">
        <w:rPr>
          <w:rFonts w:hAnsi="宋体" w:hint="eastAsia"/>
        </w:rPr>
        <w:t>）正常排放</w:t>
      </w:r>
    </w:p>
    <w:p w14:paraId="23DF1DD0" w14:textId="7DDE3B89" w:rsidR="00D170E5" w:rsidRPr="002B55E9" w:rsidRDefault="00F531DF">
      <w:pPr>
        <w:pStyle w:val="affff7"/>
        <w:snapToGrid w:val="0"/>
        <w:spacing w:after="0"/>
        <w:rPr>
          <w:rFonts w:hAnsi="宋体"/>
        </w:rPr>
      </w:pPr>
      <w:r w:rsidRPr="002B55E9">
        <w:rPr>
          <w:rFonts w:hAnsi="宋体" w:hint="eastAsia"/>
        </w:rPr>
        <w:t>正常排放条件下，</w:t>
      </w:r>
      <w:r w:rsidR="00EF27AD" w:rsidRPr="002B55E9">
        <w:rPr>
          <w:rFonts w:hAnsi="宋体" w:hint="eastAsia"/>
        </w:rPr>
        <w:t>本项目排放的污染源参数如下表所示：</w:t>
      </w:r>
    </w:p>
    <w:p w14:paraId="418773BA" w14:textId="5DA82757" w:rsidR="00D170E5" w:rsidRPr="002B55E9" w:rsidRDefault="00EF27AD">
      <w:pPr>
        <w:pStyle w:val="1f3"/>
        <w:spacing w:beforeLines="0" w:before="0"/>
      </w:pPr>
      <w:r w:rsidRPr="002B55E9">
        <w:rPr>
          <w:rFonts w:hint="eastAsia"/>
        </w:rPr>
        <w:t>表</w:t>
      </w:r>
      <w:r w:rsidRPr="002B55E9">
        <w:rPr>
          <w:rFonts w:hint="eastAsia"/>
        </w:rPr>
        <w:t>5</w:t>
      </w:r>
      <w:r w:rsidRPr="002B55E9">
        <w:t xml:space="preserve">-2-8  </w:t>
      </w:r>
      <w:r w:rsidR="00B40496" w:rsidRPr="002B55E9">
        <w:rPr>
          <w:rFonts w:hint="eastAsia"/>
        </w:rPr>
        <w:t>正常排放条件下</w:t>
      </w:r>
      <w:r w:rsidRPr="002B55E9">
        <w:rPr>
          <w:rFonts w:hint="eastAsia"/>
        </w:rPr>
        <w:t>主要废气污染源参数一览表（点源）</w:t>
      </w:r>
    </w:p>
    <w:tbl>
      <w:tblPr>
        <w:tblStyle w:val="lgy2"/>
        <w:tblW w:w="5000" w:type="pct"/>
        <w:tblLayout w:type="fixed"/>
        <w:tblCellMar>
          <w:left w:w="28" w:type="dxa"/>
          <w:right w:w="28" w:type="dxa"/>
        </w:tblCellMar>
        <w:tblLook w:val="04A0" w:firstRow="1" w:lastRow="0" w:firstColumn="1" w:lastColumn="0" w:noHBand="0" w:noVBand="1"/>
      </w:tblPr>
      <w:tblGrid>
        <w:gridCol w:w="848"/>
        <w:gridCol w:w="1037"/>
        <w:gridCol w:w="1305"/>
        <w:gridCol w:w="1020"/>
        <w:gridCol w:w="729"/>
        <w:gridCol w:w="558"/>
        <w:gridCol w:w="491"/>
        <w:gridCol w:w="789"/>
        <w:gridCol w:w="547"/>
        <w:gridCol w:w="550"/>
        <w:gridCol w:w="466"/>
        <w:gridCol w:w="558"/>
        <w:gridCol w:w="795"/>
      </w:tblGrid>
      <w:tr w:rsidR="002B55E9" w:rsidRPr="002B55E9" w14:paraId="45C3BA3D"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844" w:type="dxa"/>
            <w:vMerge w:val="restart"/>
          </w:tcPr>
          <w:p w14:paraId="046F90A3" w14:textId="77777777" w:rsidR="00D170E5" w:rsidRPr="002B55E9" w:rsidRDefault="00EF27AD">
            <w:pPr>
              <w:pStyle w:val="lgy-"/>
            </w:pPr>
            <w:r w:rsidRPr="002B55E9">
              <w:rPr>
                <w:rFonts w:eastAsia="宋体" w:hint="eastAsia"/>
              </w:rPr>
              <w:t>编号</w:t>
            </w:r>
          </w:p>
        </w:tc>
        <w:tc>
          <w:tcPr>
            <w:tcW w:w="1031" w:type="dxa"/>
            <w:vMerge w:val="restart"/>
          </w:tcPr>
          <w:p w14:paraId="470C61C8" w14:textId="77777777" w:rsidR="00D170E5" w:rsidRPr="002B55E9" w:rsidRDefault="00EF27AD">
            <w:pPr>
              <w:pStyle w:val="lgy-"/>
            </w:pPr>
            <w:r w:rsidRPr="002B55E9">
              <w:rPr>
                <w:rFonts w:eastAsia="宋体" w:hint="eastAsia"/>
              </w:rPr>
              <w:t>名称</w:t>
            </w:r>
          </w:p>
        </w:tc>
        <w:tc>
          <w:tcPr>
            <w:tcW w:w="2311" w:type="dxa"/>
            <w:gridSpan w:val="2"/>
          </w:tcPr>
          <w:p w14:paraId="411001B5" w14:textId="77777777" w:rsidR="00D170E5" w:rsidRPr="002B55E9" w:rsidRDefault="00EF27AD">
            <w:pPr>
              <w:pStyle w:val="lgy-"/>
            </w:pPr>
            <w:r w:rsidRPr="002B55E9">
              <w:rPr>
                <w:rFonts w:eastAsia="宋体" w:hint="eastAsia"/>
              </w:rPr>
              <w:t>排气筒底部中心坐标</w:t>
            </w:r>
            <w:r w:rsidRPr="002B55E9">
              <w:rPr>
                <w:rFonts w:eastAsia="宋体" w:hint="eastAsia"/>
              </w:rPr>
              <w:t>/</w:t>
            </w:r>
            <w:r w:rsidRPr="002B55E9">
              <w:rPr>
                <w:rFonts w:eastAsia="宋体" w:hint="eastAsia"/>
              </w:rPr>
              <w:t>°</w:t>
            </w:r>
          </w:p>
        </w:tc>
        <w:tc>
          <w:tcPr>
            <w:tcW w:w="725" w:type="dxa"/>
            <w:vMerge w:val="restart"/>
          </w:tcPr>
          <w:p w14:paraId="1E1E649B" w14:textId="77777777" w:rsidR="00D170E5" w:rsidRPr="002B55E9" w:rsidRDefault="00EF27AD">
            <w:pPr>
              <w:pStyle w:val="lgy-"/>
            </w:pPr>
            <w:r w:rsidRPr="002B55E9">
              <w:rPr>
                <w:rFonts w:eastAsia="宋体" w:hint="eastAsia"/>
              </w:rPr>
              <w:t>排气筒底部海拔高度</w:t>
            </w:r>
            <w:r w:rsidRPr="002B55E9">
              <w:rPr>
                <w:rFonts w:eastAsia="宋体" w:hint="eastAsia"/>
              </w:rPr>
              <w:t>/m</w:t>
            </w:r>
          </w:p>
        </w:tc>
        <w:tc>
          <w:tcPr>
            <w:tcW w:w="555" w:type="dxa"/>
            <w:vMerge w:val="restart"/>
          </w:tcPr>
          <w:p w14:paraId="0F065EB6" w14:textId="77777777" w:rsidR="00D170E5" w:rsidRPr="002B55E9" w:rsidRDefault="00EF27AD">
            <w:pPr>
              <w:pStyle w:val="lgy-"/>
            </w:pPr>
            <w:r w:rsidRPr="002B55E9">
              <w:rPr>
                <w:rFonts w:eastAsia="宋体" w:hint="eastAsia"/>
              </w:rPr>
              <w:t>排气筒高度</w:t>
            </w:r>
            <w:r w:rsidRPr="002B55E9">
              <w:rPr>
                <w:rFonts w:eastAsia="宋体" w:hint="eastAsia"/>
              </w:rPr>
              <w:t>/m</w:t>
            </w:r>
          </w:p>
        </w:tc>
        <w:tc>
          <w:tcPr>
            <w:tcW w:w="488" w:type="dxa"/>
            <w:vMerge w:val="restart"/>
          </w:tcPr>
          <w:p w14:paraId="026C1BC7" w14:textId="77777777" w:rsidR="00D170E5" w:rsidRPr="002B55E9" w:rsidRDefault="00EF27AD">
            <w:pPr>
              <w:pStyle w:val="lgy-"/>
            </w:pPr>
            <w:r w:rsidRPr="002B55E9">
              <w:rPr>
                <w:rFonts w:eastAsia="宋体" w:hint="eastAsia"/>
              </w:rPr>
              <w:t>排气筒内径</w:t>
            </w:r>
            <w:r w:rsidRPr="002B55E9">
              <w:rPr>
                <w:rFonts w:eastAsia="宋体" w:hint="eastAsia"/>
              </w:rPr>
              <w:t>/m</w:t>
            </w:r>
          </w:p>
        </w:tc>
        <w:tc>
          <w:tcPr>
            <w:tcW w:w="784" w:type="dxa"/>
            <w:vMerge w:val="restart"/>
          </w:tcPr>
          <w:p w14:paraId="0872427D" w14:textId="77777777" w:rsidR="00D170E5" w:rsidRPr="002B55E9" w:rsidRDefault="00EF27AD">
            <w:pPr>
              <w:pStyle w:val="lgy-"/>
            </w:pPr>
            <w:r w:rsidRPr="002B55E9">
              <w:rPr>
                <w:rFonts w:eastAsia="宋体" w:hint="eastAsia"/>
              </w:rPr>
              <w:t>烟气量</w:t>
            </w:r>
            <w:r w:rsidRPr="002B55E9">
              <w:rPr>
                <w:rFonts w:eastAsia="宋体" w:hint="eastAsia"/>
              </w:rPr>
              <w:t>/</w:t>
            </w:r>
            <w:r w:rsidRPr="002B55E9">
              <w:rPr>
                <w:rFonts w:eastAsia="宋体" w:hint="eastAsia"/>
              </w:rPr>
              <w:t>（</w:t>
            </w:r>
            <w:r w:rsidRPr="002B55E9">
              <w:rPr>
                <w:rFonts w:eastAsia="宋体" w:hint="eastAsia"/>
              </w:rPr>
              <w:t>m</w:t>
            </w:r>
            <w:r w:rsidRPr="002B55E9">
              <w:rPr>
                <w:rFonts w:eastAsia="宋体"/>
                <w:vertAlign w:val="superscript"/>
              </w:rPr>
              <w:t>3</w:t>
            </w:r>
            <w:r w:rsidRPr="002B55E9">
              <w:rPr>
                <w:rFonts w:eastAsia="宋体"/>
              </w:rPr>
              <w:t>/</w:t>
            </w:r>
            <w:r w:rsidRPr="002B55E9">
              <w:rPr>
                <w:rFonts w:eastAsia="宋体" w:hint="eastAsia"/>
              </w:rPr>
              <w:t>h</w:t>
            </w:r>
            <w:r w:rsidRPr="002B55E9">
              <w:rPr>
                <w:rFonts w:eastAsia="宋体" w:hint="eastAsia"/>
              </w:rPr>
              <w:t>）</w:t>
            </w:r>
          </w:p>
        </w:tc>
        <w:tc>
          <w:tcPr>
            <w:tcW w:w="544" w:type="dxa"/>
            <w:vMerge w:val="restart"/>
          </w:tcPr>
          <w:p w14:paraId="226D7ACC" w14:textId="77777777" w:rsidR="00D170E5" w:rsidRPr="002B55E9" w:rsidRDefault="00EF27AD">
            <w:pPr>
              <w:pStyle w:val="lgy-"/>
            </w:pPr>
            <w:r w:rsidRPr="002B55E9">
              <w:rPr>
                <w:rFonts w:eastAsia="宋体" w:hint="eastAsia"/>
              </w:rPr>
              <w:t>烟气温度</w:t>
            </w:r>
            <w:r w:rsidRPr="002B55E9">
              <w:rPr>
                <w:rFonts w:eastAsia="宋体" w:hint="eastAsia"/>
              </w:rPr>
              <w:t>/</w:t>
            </w:r>
            <w:r w:rsidRPr="002B55E9">
              <w:rPr>
                <w:rFonts w:eastAsia="宋体" w:hint="eastAsia"/>
              </w:rPr>
              <w:t>℃</w:t>
            </w:r>
          </w:p>
        </w:tc>
        <w:tc>
          <w:tcPr>
            <w:tcW w:w="547" w:type="dxa"/>
            <w:vMerge w:val="restart"/>
          </w:tcPr>
          <w:p w14:paraId="5D0CB638" w14:textId="77777777" w:rsidR="00D170E5" w:rsidRPr="002B55E9" w:rsidRDefault="00EF27AD">
            <w:pPr>
              <w:pStyle w:val="lgy-"/>
            </w:pPr>
            <w:r w:rsidRPr="002B55E9">
              <w:rPr>
                <w:rFonts w:eastAsia="宋体" w:hint="eastAsia"/>
              </w:rPr>
              <w:t>年排放小时数</w:t>
            </w:r>
            <w:r w:rsidRPr="002B55E9">
              <w:rPr>
                <w:rFonts w:eastAsia="宋体" w:hint="eastAsia"/>
              </w:rPr>
              <w:t>/h</w:t>
            </w:r>
          </w:p>
        </w:tc>
        <w:tc>
          <w:tcPr>
            <w:tcW w:w="463" w:type="dxa"/>
            <w:vMerge w:val="restart"/>
          </w:tcPr>
          <w:p w14:paraId="4BB7764B" w14:textId="77777777" w:rsidR="00D170E5" w:rsidRPr="002B55E9" w:rsidRDefault="00EF27AD">
            <w:pPr>
              <w:pStyle w:val="lgy-"/>
            </w:pPr>
            <w:r w:rsidRPr="002B55E9">
              <w:rPr>
                <w:rFonts w:eastAsia="宋体" w:hint="eastAsia"/>
              </w:rPr>
              <w:t>排放工况</w:t>
            </w:r>
          </w:p>
        </w:tc>
        <w:tc>
          <w:tcPr>
            <w:tcW w:w="555" w:type="dxa"/>
            <w:vMerge w:val="restart"/>
          </w:tcPr>
          <w:p w14:paraId="58420BA3" w14:textId="77777777" w:rsidR="00D170E5" w:rsidRPr="002B55E9" w:rsidRDefault="00EF27AD">
            <w:pPr>
              <w:pStyle w:val="lgy-"/>
            </w:pPr>
            <w:r w:rsidRPr="002B55E9">
              <w:rPr>
                <w:rFonts w:eastAsia="宋体" w:hint="eastAsia"/>
              </w:rPr>
              <w:t>污染物</w:t>
            </w:r>
            <w:r w:rsidRPr="002B55E9">
              <w:rPr>
                <w:rFonts w:eastAsia="宋体"/>
              </w:rPr>
              <w:t>种类</w:t>
            </w:r>
          </w:p>
        </w:tc>
        <w:tc>
          <w:tcPr>
            <w:tcW w:w="790" w:type="dxa"/>
            <w:vMerge w:val="restart"/>
          </w:tcPr>
          <w:p w14:paraId="78C557BC" w14:textId="77777777" w:rsidR="00D170E5" w:rsidRPr="002B55E9" w:rsidRDefault="00EF27AD">
            <w:pPr>
              <w:pStyle w:val="lgy-"/>
              <w:rPr>
                <w:rFonts w:eastAsia="宋体"/>
              </w:rPr>
            </w:pPr>
            <w:r w:rsidRPr="002B55E9">
              <w:rPr>
                <w:rFonts w:eastAsia="宋体" w:hint="eastAsia"/>
              </w:rPr>
              <w:t>排放</w:t>
            </w:r>
            <w:r w:rsidRPr="002B55E9">
              <w:rPr>
                <w:rFonts w:eastAsia="宋体"/>
              </w:rPr>
              <w:t>速率</w:t>
            </w:r>
            <w:r w:rsidRPr="002B55E9">
              <w:rPr>
                <w:rFonts w:eastAsia="宋体"/>
              </w:rPr>
              <w:t>kg/h</w:t>
            </w:r>
          </w:p>
        </w:tc>
      </w:tr>
      <w:tr w:rsidR="002B55E9" w:rsidRPr="002B55E9" w14:paraId="3D110A8B" w14:textId="77777777" w:rsidTr="00EF27AD">
        <w:trPr>
          <w:trHeight w:val="283"/>
        </w:trPr>
        <w:tc>
          <w:tcPr>
            <w:tcW w:w="844" w:type="dxa"/>
            <w:vMerge/>
          </w:tcPr>
          <w:p w14:paraId="00CC8237" w14:textId="77777777" w:rsidR="00D170E5" w:rsidRPr="002B55E9" w:rsidRDefault="00D170E5">
            <w:pPr>
              <w:pStyle w:val="lgy-"/>
            </w:pPr>
          </w:p>
        </w:tc>
        <w:tc>
          <w:tcPr>
            <w:tcW w:w="1031" w:type="dxa"/>
            <w:vMerge/>
          </w:tcPr>
          <w:p w14:paraId="40AC3978" w14:textId="77777777" w:rsidR="00D170E5" w:rsidRPr="002B55E9" w:rsidRDefault="00D170E5">
            <w:pPr>
              <w:pStyle w:val="lgy-"/>
            </w:pPr>
          </w:p>
        </w:tc>
        <w:tc>
          <w:tcPr>
            <w:tcW w:w="1297" w:type="dxa"/>
          </w:tcPr>
          <w:p w14:paraId="2A2580FF" w14:textId="77777777" w:rsidR="00D170E5" w:rsidRPr="002B55E9" w:rsidRDefault="00EF27AD">
            <w:pPr>
              <w:pStyle w:val="lgy-"/>
            </w:pPr>
            <w:r w:rsidRPr="002B55E9">
              <w:rPr>
                <w:rFonts w:eastAsia="宋体" w:hint="eastAsia"/>
              </w:rPr>
              <w:t>经度</w:t>
            </w:r>
          </w:p>
        </w:tc>
        <w:tc>
          <w:tcPr>
            <w:tcW w:w="1014" w:type="dxa"/>
          </w:tcPr>
          <w:p w14:paraId="7BD271C0" w14:textId="77777777" w:rsidR="00D170E5" w:rsidRPr="002B55E9" w:rsidRDefault="00EF27AD" w:rsidP="00EF27AD">
            <w:pPr>
              <w:pStyle w:val="lgy-"/>
            </w:pPr>
            <w:r w:rsidRPr="002B55E9">
              <w:rPr>
                <w:rFonts w:eastAsia="宋体" w:hint="eastAsia"/>
              </w:rPr>
              <w:t>纬度</w:t>
            </w:r>
          </w:p>
        </w:tc>
        <w:tc>
          <w:tcPr>
            <w:tcW w:w="725" w:type="dxa"/>
            <w:vMerge/>
          </w:tcPr>
          <w:p w14:paraId="5362DF04" w14:textId="77777777" w:rsidR="00D170E5" w:rsidRPr="002B55E9" w:rsidRDefault="00D170E5">
            <w:pPr>
              <w:pStyle w:val="lgy-"/>
            </w:pPr>
          </w:p>
        </w:tc>
        <w:tc>
          <w:tcPr>
            <w:tcW w:w="555" w:type="dxa"/>
            <w:vMerge/>
          </w:tcPr>
          <w:p w14:paraId="1312777E" w14:textId="77777777" w:rsidR="00D170E5" w:rsidRPr="002B55E9" w:rsidRDefault="00D170E5">
            <w:pPr>
              <w:pStyle w:val="lgy-"/>
            </w:pPr>
          </w:p>
        </w:tc>
        <w:tc>
          <w:tcPr>
            <w:tcW w:w="488" w:type="dxa"/>
            <w:vMerge/>
          </w:tcPr>
          <w:p w14:paraId="467EEAD9" w14:textId="77777777" w:rsidR="00D170E5" w:rsidRPr="002B55E9" w:rsidRDefault="00D170E5">
            <w:pPr>
              <w:pStyle w:val="lgy-"/>
            </w:pPr>
          </w:p>
        </w:tc>
        <w:tc>
          <w:tcPr>
            <w:tcW w:w="784" w:type="dxa"/>
            <w:vMerge/>
          </w:tcPr>
          <w:p w14:paraId="0E046B04" w14:textId="77777777" w:rsidR="00D170E5" w:rsidRPr="002B55E9" w:rsidRDefault="00D170E5">
            <w:pPr>
              <w:pStyle w:val="lgy-"/>
            </w:pPr>
          </w:p>
        </w:tc>
        <w:tc>
          <w:tcPr>
            <w:tcW w:w="544" w:type="dxa"/>
            <w:vMerge/>
          </w:tcPr>
          <w:p w14:paraId="5A8A264F" w14:textId="77777777" w:rsidR="00D170E5" w:rsidRPr="002B55E9" w:rsidRDefault="00D170E5">
            <w:pPr>
              <w:pStyle w:val="lgy-"/>
            </w:pPr>
          </w:p>
        </w:tc>
        <w:tc>
          <w:tcPr>
            <w:tcW w:w="547" w:type="dxa"/>
            <w:vMerge/>
          </w:tcPr>
          <w:p w14:paraId="00EC84D6" w14:textId="77777777" w:rsidR="00D170E5" w:rsidRPr="002B55E9" w:rsidRDefault="00D170E5">
            <w:pPr>
              <w:pStyle w:val="lgy-"/>
            </w:pPr>
          </w:p>
        </w:tc>
        <w:tc>
          <w:tcPr>
            <w:tcW w:w="463" w:type="dxa"/>
            <w:vMerge/>
          </w:tcPr>
          <w:p w14:paraId="0CB0BAF2" w14:textId="77777777" w:rsidR="00D170E5" w:rsidRPr="002B55E9" w:rsidRDefault="00D170E5">
            <w:pPr>
              <w:pStyle w:val="lgy-"/>
            </w:pPr>
          </w:p>
        </w:tc>
        <w:tc>
          <w:tcPr>
            <w:tcW w:w="555" w:type="dxa"/>
            <w:vMerge/>
          </w:tcPr>
          <w:p w14:paraId="7300880A" w14:textId="77777777" w:rsidR="00D170E5" w:rsidRPr="002B55E9" w:rsidRDefault="00D170E5">
            <w:pPr>
              <w:pStyle w:val="lgy-"/>
            </w:pPr>
          </w:p>
        </w:tc>
        <w:tc>
          <w:tcPr>
            <w:tcW w:w="790" w:type="dxa"/>
            <w:vMerge/>
          </w:tcPr>
          <w:p w14:paraId="766FE0D4" w14:textId="77777777" w:rsidR="00D170E5" w:rsidRPr="002B55E9" w:rsidRDefault="00D170E5">
            <w:pPr>
              <w:pStyle w:val="lgy-"/>
              <w:rPr>
                <w:rFonts w:eastAsia="宋体"/>
              </w:rPr>
            </w:pPr>
          </w:p>
        </w:tc>
      </w:tr>
      <w:tr w:rsidR="002B55E9" w:rsidRPr="002B55E9" w14:paraId="28115791" w14:textId="77777777" w:rsidTr="00EF27AD">
        <w:trPr>
          <w:trHeight w:val="283"/>
        </w:trPr>
        <w:tc>
          <w:tcPr>
            <w:tcW w:w="844" w:type="dxa"/>
          </w:tcPr>
          <w:p w14:paraId="51CE5521" w14:textId="77777777" w:rsidR="00D170E5" w:rsidRPr="002B55E9" w:rsidRDefault="00EF27AD">
            <w:pPr>
              <w:pStyle w:val="lgy-"/>
            </w:pPr>
            <w:r w:rsidRPr="002B55E9">
              <w:rPr>
                <w:rFonts w:eastAsia="宋体" w:hint="eastAsia"/>
              </w:rPr>
              <w:t>DA001</w:t>
            </w:r>
          </w:p>
        </w:tc>
        <w:tc>
          <w:tcPr>
            <w:tcW w:w="1031" w:type="dxa"/>
          </w:tcPr>
          <w:p w14:paraId="73A4BCA2" w14:textId="77777777" w:rsidR="00D170E5" w:rsidRPr="002B55E9" w:rsidRDefault="00EF27AD">
            <w:pPr>
              <w:pStyle w:val="lgy-"/>
            </w:pPr>
            <w:r w:rsidRPr="002B55E9">
              <w:rPr>
                <w:rFonts w:eastAsia="宋体"/>
              </w:rPr>
              <w:t>破碎粉尘</w:t>
            </w:r>
            <w:r w:rsidRPr="002B55E9">
              <w:rPr>
                <w:rFonts w:eastAsia="宋体" w:hint="eastAsia"/>
              </w:rPr>
              <w:t>排气筒</w:t>
            </w:r>
          </w:p>
        </w:tc>
        <w:tc>
          <w:tcPr>
            <w:tcW w:w="1297" w:type="dxa"/>
          </w:tcPr>
          <w:p w14:paraId="11E59767" w14:textId="77777777" w:rsidR="00D170E5" w:rsidRPr="002B55E9" w:rsidRDefault="00EF27AD">
            <w:pPr>
              <w:pStyle w:val="lgy-"/>
            </w:pPr>
            <w:r w:rsidRPr="002B55E9">
              <w:rPr>
                <w:rFonts w:eastAsia="宋体"/>
              </w:rPr>
              <w:t>113.9933252</w:t>
            </w:r>
          </w:p>
        </w:tc>
        <w:tc>
          <w:tcPr>
            <w:tcW w:w="1014" w:type="dxa"/>
          </w:tcPr>
          <w:p w14:paraId="2FEE0A55" w14:textId="77777777" w:rsidR="00D170E5" w:rsidRPr="002B55E9" w:rsidRDefault="00EF27AD">
            <w:pPr>
              <w:pStyle w:val="lgy-"/>
            </w:pPr>
            <w:r w:rsidRPr="002B55E9">
              <w:rPr>
                <w:rFonts w:eastAsia="宋体"/>
              </w:rPr>
              <w:t>30.6758630</w:t>
            </w:r>
          </w:p>
        </w:tc>
        <w:tc>
          <w:tcPr>
            <w:tcW w:w="725" w:type="dxa"/>
          </w:tcPr>
          <w:p w14:paraId="5A0F3665" w14:textId="77777777" w:rsidR="00D170E5" w:rsidRPr="002B55E9" w:rsidRDefault="00EF27AD">
            <w:pPr>
              <w:pStyle w:val="lgy-"/>
            </w:pPr>
            <w:r w:rsidRPr="002B55E9">
              <w:rPr>
                <w:rFonts w:eastAsia="宋体" w:hint="eastAsia"/>
              </w:rPr>
              <w:t>25</w:t>
            </w:r>
          </w:p>
        </w:tc>
        <w:tc>
          <w:tcPr>
            <w:tcW w:w="555" w:type="dxa"/>
          </w:tcPr>
          <w:p w14:paraId="14A6A087" w14:textId="77777777" w:rsidR="00D170E5" w:rsidRPr="002B55E9" w:rsidRDefault="00EF27AD">
            <w:pPr>
              <w:pStyle w:val="lgy-"/>
            </w:pPr>
            <w:r w:rsidRPr="002B55E9">
              <w:rPr>
                <w:rFonts w:eastAsia="宋体"/>
              </w:rPr>
              <w:t>18</w:t>
            </w:r>
          </w:p>
        </w:tc>
        <w:tc>
          <w:tcPr>
            <w:tcW w:w="488" w:type="dxa"/>
          </w:tcPr>
          <w:p w14:paraId="57691ABB" w14:textId="77777777" w:rsidR="00D170E5" w:rsidRPr="002B55E9" w:rsidRDefault="00EF27AD">
            <w:pPr>
              <w:pStyle w:val="lgy-"/>
            </w:pPr>
            <w:r w:rsidRPr="002B55E9">
              <w:rPr>
                <w:rFonts w:eastAsia="宋体" w:hint="eastAsia"/>
              </w:rPr>
              <w:t>0.4</w:t>
            </w:r>
          </w:p>
        </w:tc>
        <w:tc>
          <w:tcPr>
            <w:tcW w:w="784" w:type="dxa"/>
          </w:tcPr>
          <w:p w14:paraId="763360E8" w14:textId="77777777" w:rsidR="00D170E5" w:rsidRPr="002B55E9" w:rsidRDefault="00EF27AD">
            <w:pPr>
              <w:pStyle w:val="lgy-"/>
            </w:pPr>
            <w:r w:rsidRPr="002B55E9">
              <w:rPr>
                <w:rFonts w:eastAsia="宋体" w:hint="eastAsia"/>
              </w:rPr>
              <w:t>5000</w:t>
            </w:r>
          </w:p>
        </w:tc>
        <w:tc>
          <w:tcPr>
            <w:tcW w:w="544" w:type="dxa"/>
          </w:tcPr>
          <w:p w14:paraId="2C19907B" w14:textId="77777777" w:rsidR="00D170E5" w:rsidRPr="002B55E9" w:rsidRDefault="00EF27AD">
            <w:pPr>
              <w:pStyle w:val="lgy-"/>
            </w:pPr>
            <w:r w:rsidRPr="002B55E9">
              <w:rPr>
                <w:rFonts w:eastAsia="宋体" w:hint="eastAsia"/>
              </w:rPr>
              <w:t>2</w:t>
            </w:r>
            <w:r w:rsidRPr="002B55E9">
              <w:rPr>
                <w:rFonts w:eastAsia="宋体"/>
              </w:rPr>
              <w:t>5</w:t>
            </w:r>
          </w:p>
        </w:tc>
        <w:tc>
          <w:tcPr>
            <w:tcW w:w="547" w:type="dxa"/>
          </w:tcPr>
          <w:p w14:paraId="6BC87D3F" w14:textId="77777777" w:rsidR="00D170E5" w:rsidRPr="002B55E9" w:rsidRDefault="00EF27AD">
            <w:pPr>
              <w:pStyle w:val="lgy-"/>
            </w:pPr>
            <w:r w:rsidRPr="002B55E9">
              <w:rPr>
                <w:rFonts w:eastAsia="宋体" w:hint="eastAsia"/>
              </w:rPr>
              <w:t>1000</w:t>
            </w:r>
          </w:p>
        </w:tc>
        <w:tc>
          <w:tcPr>
            <w:tcW w:w="463" w:type="dxa"/>
          </w:tcPr>
          <w:p w14:paraId="0579CD6E" w14:textId="77777777" w:rsidR="00D170E5" w:rsidRPr="002B55E9" w:rsidRDefault="00EF27AD">
            <w:pPr>
              <w:pStyle w:val="lgy-"/>
            </w:pPr>
            <w:r w:rsidRPr="002B55E9">
              <w:rPr>
                <w:rFonts w:eastAsia="宋体" w:hint="eastAsia"/>
              </w:rPr>
              <w:t>正常</w:t>
            </w:r>
          </w:p>
        </w:tc>
        <w:tc>
          <w:tcPr>
            <w:tcW w:w="555" w:type="dxa"/>
          </w:tcPr>
          <w:p w14:paraId="2CCAAC09" w14:textId="77777777" w:rsidR="00D170E5" w:rsidRPr="002B55E9" w:rsidRDefault="00EF27AD">
            <w:pPr>
              <w:pStyle w:val="lgy-"/>
            </w:pPr>
            <w:r w:rsidRPr="002B55E9">
              <w:rPr>
                <w:rFonts w:eastAsia="宋体" w:hint="eastAsia"/>
              </w:rPr>
              <w:t>颗粒物</w:t>
            </w:r>
          </w:p>
        </w:tc>
        <w:tc>
          <w:tcPr>
            <w:tcW w:w="790" w:type="dxa"/>
          </w:tcPr>
          <w:p w14:paraId="76369C26" w14:textId="77777777" w:rsidR="00D170E5" w:rsidRPr="002B55E9" w:rsidRDefault="00EF27AD">
            <w:pPr>
              <w:pStyle w:val="lgy-"/>
              <w:rPr>
                <w:rFonts w:eastAsia="宋体"/>
              </w:rPr>
            </w:pPr>
            <w:r w:rsidRPr="002B55E9">
              <w:rPr>
                <w:rFonts w:eastAsia="宋体"/>
              </w:rPr>
              <w:t>0.051</w:t>
            </w:r>
          </w:p>
        </w:tc>
      </w:tr>
      <w:tr w:rsidR="002B55E9" w:rsidRPr="002B55E9" w14:paraId="7D31C9EC" w14:textId="77777777" w:rsidTr="00EF27AD">
        <w:trPr>
          <w:trHeight w:val="283"/>
        </w:trPr>
        <w:tc>
          <w:tcPr>
            <w:tcW w:w="844" w:type="dxa"/>
          </w:tcPr>
          <w:p w14:paraId="3C590F99" w14:textId="77777777" w:rsidR="00D170E5" w:rsidRPr="002B55E9" w:rsidRDefault="00EF27AD">
            <w:pPr>
              <w:pStyle w:val="lgy-"/>
            </w:pPr>
            <w:r w:rsidRPr="002B55E9">
              <w:rPr>
                <w:rFonts w:eastAsia="宋体" w:hint="eastAsia"/>
              </w:rPr>
              <w:t>DA002</w:t>
            </w:r>
          </w:p>
        </w:tc>
        <w:tc>
          <w:tcPr>
            <w:tcW w:w="1031" w:type="dxa"/>
          </w:tcPr>
          <w:p w14:paraId="3FB823B8" w14:textId="77777777" w:rsidR="00D170E5" w:rsidRPr="002B55E9" w:rsidRDefault="00EF27AD">
            <w:pPr>
              <w:pStyle w:val="lgy-"/>
            </w:pPr>
            <w:r w:rsidRPr="002B55E9">
              <w:rPr>
                <w:rFonts w:eastAsia="宋体"/>
              </w:rPr>
              <w:t>工艺废气</w:t>
            </w:r>
            <w:r w:rsidRPr="002B55E9">
              <w:rPr>
                <w:rFonts w:eastAsia="宋体" w:hint="eastAsia"/>
              </w:rPr>
              <w:t>排气筒</w:t>
            </w:r>
          </w:p>
        </w:tc>
        <w:tc>
          <w:tcPr>
            <w:tcW w:w="1297" w:type="dxa"/>
          </w:tcPr>
          <w:p w14:paraId="163F1A18" w14:textId="77777777" w:rsidR="00D170E5" w:rsidRPr="002B55E9" w:rsidRDefault="00EF27AD">
            <w:pPr>
              <w:pStyle w:val="lgy-"/>
            </w:pPr>
            <w:r w:rsidRPr="002B55E9">
              <w:rPr>
                <w:rFonts w:eastAsia="宋体"/>
              </w:rPr>
              <w:t>113.993744</w:t>
            </w:r>
          </w:p>
        </w:tc>
        <w:tc>
          <w:tcPr>
            <w:tcW w:w="1014" w:type="dxa"/>
          </w:tcPr>
          <w:p w14:paraId="0DD8D2CE" w14:textId="77777777" w:rsidR="00D170E5" w:rsidRPr="002B55E9" w:rsidRDefault="00EF27AD">
            <w:pPr>
              <w:pStyle w:val="lgy-"/>
            </w:pPr>
            <w:r w:rsidRPr="002B55E9">
              <w:rPr>
                <w:rFonts w:eastAsia="宋体"/>
              </w:rPr>
              <w:t>30.676038</w:t>
            </w:r>
          </w:p>
        </w:tc>
        <w:tc>
          <w:tcPr>
            <w:tcW w:w="725" w:type="dxa"/>
          </w:tcPr>
          <w:p w14:paraId="521BD245" w14:textId="77777777" w:rsidR="00D170E5" w:rsidRPr="002B55E9" w:rsidRDefault="00EF27AD">
            <w:pPr>
              <w:pStyle w:val="lgy-"/>
            </w:pPr>
            <w:r w:rsidRPr="002B55E9">
              <w:rPr>
                <w:rFonts w:eastAsia="宋体" w:hint="eastAsia"/>
              </w:rPr>
              <w:t>25</w:t>
            </w:r>
          </w:p>
        </w:tc>
        <w:tc>
          <w:tcPr>
            <w:tcW w:w="555" w:type="dxa"/>
          </w:tcPr>
          <w:p w14:paraId="105E8C11" w14:textId="77777777" w:rsidR="00D170E5" w:rsidRPr="002B55E9" w:rsidRDefault="00EF27AD">
            <w:pPr>
              <w:pStyle w:val="lgy-"/>
            </w:pPr>
            <w:r w:rsidRPr="002B55E9">
              <w:rPr>
                <w:rFonts w:eastAsia="宋体" w:hint="eastAsia"/>
              </w:rPr>
              <w:t>18</w:t>
            </w:r>
          </w:p>
        </w:tc>
        <w:tc>
          <w:tcPr>
            <w:tcW w:w="488" w:type="dxa"/>
          </w:tcPr>
          <w:p w14:paraId="16302A57" w14:textId="77777777" w:rsidR="00D170E5" w:rsidRPr="002B55E9" w:rsidRDefault="00EF27AD">
            <w:pPr>
              <w:pStyle w:val="lgy-"/>
            </w:pPr>
            <w:r w:rsidRPr="002B55E9">
              <w:rPr>
                <w:rFonts w:eastAsia="宋体" w:hint="eastAsia"/>
              </w:rPr>
              <w:t>0.5</w:t>
            </w:r>
          </w:p>
        </w:tc>
        <w:tc>
          <w:tcPr>
            <w:tcW w:w="784" w:type="dxa"/>
          </w:tcPr>
          <w:p w14:paraId="50D50DFE" w14:textId="77777777" w:rsidR="00D170E5" w:rsidRPr="002B55E9" w:rsidRDefault="00EF27AD">
            <w:pPr>
              <w:pStyle w:val="lgy-"/>
            </w:pPr>
            <w:r w:rsidRPr="002B55E9">
              <w:rPr>
                <w:rFonts w:eastAsia="宋体" w:hint="eastAsia"/>
              </w:rPr>
              <w:t>1</w:t>
            </w:r>
            <w:r w:rsidRPr="002B55E9">
              <w:rPr>
                <w:rFonts w:eastAsia="宋体"/>
              </w:rPr>
              <w:t>2</w:t>
            </w:r>
            <w:r w:rsidRPr="002B55E9">
              <w:rPr>
                <w:rFonts w:eastAsia="宋体" w:hint="eastAsia"/>
              </w:rPr>
              <w:t>000</w:t>
            </w:r>
          </w:p>
        </w:tc>
        <w:tc>
          <w:tcPr>
            <w:tcW w:w="544" w:type="dxa"/>
          </w:tcPr>
          <w:p w14:paraId="1886A091" w14:textId="77777777" w:rsidR="00D170E5" w:rsidRPr="002B55E9" w:rsidRDefault="00EF27AD">
            <w:pPr>
              <w:pStyle w:val="lgy-"/>
            </w:pPr>
            <w:r w:rsidRPr="002B55E9">
              <w:rPr>
                <w:rFonts w:eastAsia="宋体" w:hint="eastAsia"/>
              </w:rPr>
              <w:t>25</w:t>
            </w:r>
          </w:p>
        </w:tc>
        <w:tc>
          <w:tcPr>
            <w:tcW w:w="547" w:type="dxa"/>
          </w:tcPr>
          <w:p w14:paraId="7FCAA59A" w14:textId="77777777" w:rsidR="00D170E5" w:rsidRPr="002B55E9" w:rsidRDefault="00EF27AD">
            <w:pPr>
              <w:pStyle w:val="lgy-"/>
            </w:pPr>
            <w:r w:rsidRPr="002B55E9">
              <w:rPr>
                <w:rFonts w:eastAsia="宋体" w:hint="eastAsia"/>
              </w:rPr>
              <w:t>7500</w:t>
            </w:r>
          </w:p>
        </w:tc>
        <w:tc>
          <w:tcPr>
            <w:tcW w:w="463" w:type="dxa"/>
          </w:tcPr>
          <w:p w14:paraId="1C3FF75D" w14:textId="77777777" w:rsidR="00D170E5" w:rsidRPr="002B55E9" w:rsidRDefault="00EF27AD">
            <w:pPr>
              <w:pStyle w:val="lgy-"/>
            </w:pPr>
            <w:r w:rsidRPr="002B55E9">
              <w:rPr>
                <w:rFonts w:eastAsia="宋体" w:hint="eastAsia"/>
              </w:rPr>
              <w:t>正常</w:t>
            </w:r>
          </w:p>
        </w:tc>
        <w:tc>
          <w:tcPr>
            <w:tcW w:w="555" w:type="dxa"/>
          </w:tcPr>
          <w:p w14:paraId="5D016C59" w14:textId="6E3F7082" w:rsidR="00D170E5" w:rsidRPr="002B55E9" w:rsidRDefault="00924AFA">
            <w:pPr>
              <w:pStyle w:val="lgy-"/>
            </w:pPr>
            <w:r w:rsidRPr="002B55E9">
              <w:rPr>
                <w:rFonts w:eastAsia="宋体" w:hint="eastAsia"/>
              </w:rPr>
              <w:t>非甲烷总烃</w:t>
            </w:r>
          </w:p>
        </w:tc>
        <w:tc>
          <w:tcPr>
            <w:tcW w:w="790" w:type="dxa"/>
          </w:tcPr>
          <w:p w14:paraId="1AA669B3" w14:textId="0CA4F0B4" w:rsidR="00D170E5" w:rsidRPr="002B55E9" w:rsidRDefault="00EF27AD">
            <w:pPr>
              <w:pStyle w:val="lgy-"/>
              <w:rPr>
                <w:rFonts w:eastAsia="宋体"/>
              </w:rPr>
            </w:pPr>
            <w:r w:rsidRPr="002B55E9">
              <w:rPr>
                <w:rFonts w:eastAsia="宋体"/>
              </w:rPr>
              <w:t>0.</w:t>
            </w:r>
            <w:r w:rsidR="007C40AC" w:rsidRPr="002B55E9">
              <w:rPr>
                <w:rFonts w:eastAsia="宋体"/>
              </w:rPr>
              <w:t>477</w:t>
            </w:r>
          </w:p>
        </w:tc>
      </w:tr>
      <w:tr w:rsidR="002B55E9" w:rsidRPr="002B55E9" w14:paraId="7B91899F" w14:textId="77777777" w:rsidTr="00EF27AD">
        <w:trPr>
          <w:trHeight w:val="283"/>
        </w:trPr>
        <w:tc>
          <w:tcPr>
            <w:tcW w:w="844" w:type="dxa"/>
            <w:vMerge w:val="restart"/>
          </w:tcPr>
          <w:p w14:paraId="7A1C5107" w14:textId="77777777" w:rsidR="00D170E5" w:rsidRPr="002B55E9" w:rsidRDefault="00EF27AD">
            <w:pPr>
              <w:pStyle w:val="lgy-"/>
            </w:pPr>
            <w:r w:rsidRPr="002B55E9">
              <w:rPr>
                <w:rFonts w:eastAsia="宋体" w:hint="eastAsia"/>
              </w:rPr>
              <w:t>DA00</w:t>
            </w:r>
            <w:r w:rsidRPr="002B55E9">
              <w:rPr>
                <w:rFonts w:eastAsia="宋体"/>
              </w:rPr>
              <w:t>3</w:t>
            </w:r>
          </w:p>
        </w:tc>
        <w:tc>
          <w:tcPr>
            <w:tcW w:w="1031" w:type="dxa"/>
            <w:vMerge w:val="restart"/>
          </w:tcPr>
          <w:p w14:paraId="2B5D61C5" w14:textId="77777777" w:rsidR="00D170E5" w:rsidRPr="002B55E9" w:rsidRDefault="00EF27AD">
            <w:pPr>
              <w:pStyle w:val="lgy-"/>
            </w:pPr>
            <w:r w:rsidRPr="002B55E9">
              <w:rPr>
                <w:rFonts w:eastAsia="宋体" w:hint="eastAsia"/>
              </w:rPr>
              <w:t>化验室废气排气筒</w:t>
            </w:r>
          </w:p>
        </w:tc>
        <w:tc>
          <w:tcPr>
            <w:tcW w:w="1297" w:type="dxa"/>
            <w:vMerge w:val="restart"/>
          </w:tcPr>
          <w:p w14:paraId="387C8F85" w14:textId="77777777" w:rsidR="00D170E5" w:rsidRPr="002B55E9" w:rsidRDefault="00EF27AD">
            <w:pPr>
              <w:pStyle w:val="lgy-"/>
            </w:pPr>
            <w:r w:rsidRPr="002B55E9">
              <w:rPr>
                <w:rFonts w:eastAsia="宋体"/>
              </w:rPr>
              <w:t>113.9935934</w:t>
            </w:r>
          </w:p>
        </w:tc>
        <w:tc>
          <w:tcPr>
            <w:tcW w:w="1014" w:type="dxa"/>
            <w:vMerge w:val="restart"/>
          </w:tcPr>
          <w:p w14:paraId="1D9AA9B3" w14:textId="77777777" w:rsidR="00D170E5" w:rsidRPr="002B55E9" w:rsidRDefault="00EF27AD">
            <w:pPr>
              <w:pStyle w:val="lgy-"/>
            </w:pPr>
            <w:r w:rsidRPr="002B55E9">
              <w:rPr>
                <w:rFonts w:eastAsia="宋体"/>
              </w:rPr>
              <w:t>30.6756323</w:t>
            </w:r>
          </w:p>
        </w:tc>
        <w:tc>
          <w:tcPr>
            <w:tcW w:w="725" w:type="dxa"/>
            <w:vMerge w:val="restart"/>
          </w:tcPr>
          <w:p w14:paraId="516CFD56" w14:textId="77777777" w:rsidR="00D170E5" w:rsidRPr="002B55E9" w:rsidRDefault="00EF27AD">
            <w:pPr>
              <w:pStyle w:val="lgy-"/>
            </w:pPr>
            <w:r w:rsidRPr="002B55E9">
              <w:rPr>
                <w:rFonts w:eastAsia="宋体" w:hint="eastAsia"/>
              </w:rPr>
              <w:t>25</w:t>
            </w:r>
          </w:p>
        </w:tc>
        <w:tc>
          <w:tcPr>
            <w:tcW w:w="555" w:type="dxa"/>
            <w:vMerge w:val="restart"/>
          </w:tcPr>
          <w:p w14:paraId="5D3FA6C1" w14:textId="77777777" w:rsidR="00D170E5" w:rsidRPr="002B55E9" w:rsidRDefault="00EF27AD">
            <w:pPr>
              <w:pStyle w:val="lgy-"/>
            </w:pPr>
            <w:r w:rsidRPr="002B55E9">
              <w:rPr>
                <w:rFonts w:eastAsia="宋体" w:hint="eastAsia"/>
              </w:rPr>
              <w:t>18</w:t>
            </w:r>
          </w:p>
        </w:tc>
        <w:tc>
          <w:tcPr>
            <w:tcW w:w="488" w:type="dxa"/>
            <w:vMerge w:val="restart"/>
          </w:tcPr>
          <w:p w14:paraId="6DED2422" w14:textId="77777777" w:rsidR="00D170E5" w:rsidRPr="002B55E9" w:rsidRDefault="00EF27AD">
            <w:pPr>
              <w:pStyle w:val="lgy-"/>
            </w:pPr>
            <w:r w:rsidRPr="002B55E9">
              <w:rPr>
                <w:rFonts w:eastAsia="宋体" w:hint="eastAsia"/>
              </w:rPr>
              <w:t>0.</w:t>
            </w:r>
            <w:r w:rsidRPr="002B55E9">
              <w:rPr>
                <w:rFonts w:eastAsia="宋体"/>
              </w:rPr>
              <w:t>3</w:t>
            </w:r>
          </w:p>
        </w:tc>
        <w:tc>
          <w:tcPr>
            <w:tcW w:w="784" w:type="dxa"/>
            <w:vMerge w:val="restart"/>
          </w:tcPr>
          <w:p w14:paraId="3D902D61" w14:textId="77777777" w:rsidR="00D170E5" w:rsidRPr="002B55E9" w:rsidRDefault="00EF27AD">
            <w:pPr>
              <w:pStyle w:val="lgy-"/>
            </w:pPr>
            <w:r w:rsidRPr="002B55E9">
              <w:rPr>
                <w:rFonts w:eastAsia="宋体" w:hint="eastAsia"/>
              </w:rPr>
              <w:t>4000</w:t>
            </w:r>
          </w:p>
        </w:tc>
        <w:tc>
          <w:tcPr>
            <w:tcW w:w="544" w:type="dxa"/>
            <w:vMerge w:val="restart"/>
          </w:tcPr>
          <w:p w14:paraId="5F29B3FC" w14:textId="77777777" w:rsidR="00D170E5" w:rsidRPr="002B55E9" w:rsidRDefault="00EF27AD">
            <w:pPr>
              <w:pStyle w:val="lgy-"/>
            </w:pPr>
            <w:r w:rsidRPr="002B55E9">
              <w:rPr>
                <w:rFonts w:eastAsia="宋体" w:hint="eastAsia"/>
              </w:rPr>
              <w:t>2</w:t>
            </w:r>
            <w:r w:rsidRPr="002B55E9">
              <w:rPr>
                <w:rFonts w:eastAsia="宋体"/>
              </w:rPr>
              <w:t>5</w:t>
            </w:r>
          </w:p>
        </w:tc>
        <w:tc>
          <w:tcPr>
            <w:tcW w:w="547" w:type="dxa"/>
            <w:vMerge w:val="restart"/>
          </w:tcPr>
          <w:p w14:paraId="5DEAAAE7" w14:textId="00A03313" w:rsidR="00D170E5" w:rsidRPr="002B55E9" w:rsidRDefault="00382309">
            <w:pPr>
              <w:pStyle w:val="lgy-"/>
            </w:pPr>
            <w:r w:rsidRPr="002B55E9">
              <w:rPr>
                <w:rFonts w:eastAsia="宋体"/>
              </w:rPr>
              <w:t>99</w:t>
            </w:r>
            <w:r w:rsidR="00EF27AD" w:rsidRPr="002B55E9">
              <w:rPr>
                <w:rFonts w:eastAsia="宋体" w:hint="eastAsia"/>
              </w:rPr>
              <w:t>0</w:t>
            </w:r>
          </w:p>
        </w:tc>
        <w:tc>
          <w:tcPr>
            <w:tcW w:w="463" w:type="dxa"/>
            <w:vMerge w:val="restart"/>
          </w:tcPr>
          <w:p w14:paraId="0EAB5063" w14:textId="77777777" w:rsidR="00D170E5" w:rsidRPr="002B55E9" w:rsidRDefault="00EF27AD">
            <w:pPr>
              <w:pStyle w:val="lgy-"/>
            </w:pPr>
            <w:r w:rsidRPr="002B55E9">
              <w:rPr>
                <w:rFonts w:eastAsia="宋体" w:hint="eastAsia"/>
              </w:rPr>
              <w:t>正常</w:t>
            </w:r>
          </w:p>
        </w:tc>
        <w:tc>
          <w:tcPr>
            <w:tcW w:w="555" w:type="dxa"/>
          </w:tcPr>
          <w:p w14:paraId="5D37B217" w14:textId="66C6B5BF" w:rsidR="00D170E5" w:rsidRPr="002B55E9" w:rsidRDefault="00924AFA">
            <w:pPr>
              <w:pStyle w:val="lgy-"/>
            </w:pPr>
            <w:r w:rsidRPr="002B55E9">
              <w:rPr>
                <w:rFonts w:eastAsia="宋体" w:hint="eastAsia"/>
              </w:rPr>
              <w:t>非甲烷总烃</w:t>
            </w:r>
          </w:p>
        </w:tc>
        <w:tc>
          <w:tcPr>
            <w:tcW w:w="790" w:type="dxa"/>
          </w:tcPr>
          <w:p w14:paraId="3CB80B2D" w14:textId="1CA53B48" w:rsidR="00D170E5" w:rsidRPr="002B55E9" w:rsidRDefault="00EF27AD">
            <w:pPr>
              <w:pStyle w:val="lgy-"/>
              <w:rPr>
                <w:rFonts w:eastAsia="宋体"/>
              </w:rPr>
            </w:pPr>
            <w:r w:rsidRPr="002B55E9">
              <w:rPr>
                <w:rFonts w:eastAsia="宋体"/>
              </w:rPr>
              <w:t>0.00</w:t>
            </w:r>
            <w:r w:rsidR="007C40AC" w:rsidRPr="002B55E9">
              <w:rPr>
                <w:rFonts w:eastAsia="宋体"/>
              </w:rPr>
              <w:t>5</w:t>
            </w:r>
          </w:p>
        </w:tc>
      </w:tr>
      <w:tr w:rsidR="002B55E9" w:rsidRPr="002B55E9" w14:paraId="4922298C" w14:textId="77777777" w:rsidTr="00EF27AD">
        <w:trPr>
          <w:trHeight w:val="283"/>
        </w:trPr>
        <w:tc>
          <w:tcPr>
            <w:tcW w:w="844" w:type="dxa"/>
            <w:vMerge/>
          </w:tcPr>
          <w:p w14:paraId="19599585" w14:textId="77777777" w:rsidR="00D170E5" w:rsidRPr="002B55E9" w:rsidRDefault="00D170E5">
            <w:pPr>
              <w:pStyle w:val="lgy-"/>
            </w:pPr>
          </w:p>
        </w:tc>
        <w:tc>
          <w:tcPr>
            <w:tcW w:w="1031" w:type="dxa"/>
            <w:vMerge/>
          </w:tcPr>
          <w:p w14:paraId="1CC9D36E" w14:textId="77777777" w:rsidR="00D170E5" w:rsidRPr="002B55E9" w:rsidRDefault="00D170E5">
            <w:pPr>
              <w:pStyle w:val="lgy-"/>
            </w:pPr>
          </w:p>
        </w:tc>
        <w:tc>
          <w:tcPr>
            <w:tcW w:w="1297" w:type="dxa"/>
            <w:vMerge/>
          </w:tcPr>
          <w:p w14:paraId="05C0DAB6" w14:textId="77777777" w:rsidR="00D170E5" w:rsidRPr="002B55E9" w:rsidRDefault="00D170E5">
            <w:pPr>
              <w:pStyle w:val="lgy-"/>
            </w:pPr>
          </w:p>
        </w:tc>
        <w:tc>
          <w:tcPr>
            <w:tcW w:w="1014" w:type="dxa"/>
            <w:vMerge/>
          </w:tcPr>
          <w:p w14:paraId="529330FD" w14:textId="77777777" w:rsidR="00D170E5" w:rsidRPr="002B55E9" w:rsidRDefault="00D170E5">
            <w:pPr>
              <w:pStyle w:val="lgy-"/>
            </w:pPr>
          </w:p>
        </w:tc>
        <w:tc>
          <w:tcPr>
            <w:tcW w:w="725" w:type="dxa"/>
            <w:vMerge/>
          </w:tcPr>
          <w:p w14:paraId="73CB2E94" w14:textId="77777777" w:rsidR="00D170E5" w:rsidRPr="002B55E9" w:rsidRDefault="00D170E5">
            <w:pPr>
              <w:pStyle w:val="lgy-"/>
            </w:pPr>
          </w:p>
        </w:tc>
        <w:tc>
          <w:tcPr>
            <w:tcW w:w="555" w:type="dxa"/>
            <w:vMerge/>
          </w:tcPr>
          <w:p w14:paraId="54C6C758" w14:textId="77777777" w:rsidR="00D170E5" w:rsidRPr="002B55E9" w:rsidRDefault="00D170E5">
            <w:pPr>
              <w:pStyle w:val="lgy-"/>
            </w:pPr>
          </w:p>
        </w:tc>
        <w:tc>
          <w:tcPr>
            <w:tcW w:w="488" w:type="dxa"/>
            <w:vMerge/>
          </w:tcPr>
          <w:p w14:paraId="68DA643E" w14:textId="77777777" w:rsidR="00D170E5" w:rsidRPr="002B55E9" w:rsidRDefault="00D170E5">
            <w:pPr>
              <w:pStyle w:val="lgy-"/>
            </w:pPr>
          </w:p>
        </w:tc>
        <w:tc>
          <w:tcPr>
            <w:tcW w:w="784" w:type="dxa"/>
            <w:vMerge/>
          </w:tcPr>
          <w:p w14:paraId="1D44803B" w14:textId="77777777" w:rsidR="00D170E5" w:rsidRPr="002B55E9" w:rsidRDefault="00D170E5">
            <w:pPr>
              <w:pStyle w:val="lgy-"/>
            </w:pPr>
          </w:p>
        </w:tc>
        <w:tc>
          <w:tcPr>
            <w:tcW w:w="544" w:type="dxa"/>
            <w:vMerge/>
          </w:tcPr>
          <w:p w14:paraId="67F82BE0" w14:textId="77777777" w:rsidR="00D170E5" w:rsidRPr="002B55E9" w:rsidRDefault="00D170E5">
            <w:pPr>
              <w:pStyle w:val="lgy-"/>
            </w:pPr>
          </w:p>
        </w:tc>
        <w:tc>
          <w:tcPr>
            <w:tcW w:w="547" w:type="dxa"/>
            <w:vMerge/>
          </w:tcPr>
          <w:p w14:paraId="36B8256A" w14:textId="77777777" w:rsidR="00D170E5" w:rsidRPr="002B55E9" w:rsidRDefault="00D170E5">
            <w:pPr>
              <w:pStyle w:val="lgy-"/>
            </w:pPr>
          </w:p>
        </w:tc>
        <w:tc>
          <w:tcPr>
            <w:tcW w:w="463" w:type="dxa"/>
            <w:vMerge/>
          </w:tcPr>
          <w:p w14:paraId="518022B5" w14:textId="77777777" w:rsidR="00D170E5" w:rsidRPr="002B55E9" w:rsidRDefault="00D170E5">
            <w:pPr>
              <w:pStyle w:val="lgy-"/>
            </w:pPr>
          </w:p>
        </w:tc>
        <w:tc>
          <w:tcPr>
            <w:tcW w:w="555" w:type="dxa"/>
          </w:tcPr>
          <w:p w14:paraId="3BC0535E" w14:textId="77777777" w:rsidR="00D170E5" w:rsidRPr="002B55E9" w:rsidRDefault="00EF27AD">
            <w:pPr>
              <w:pStyle w:val="lgy-"/>
            </w:pPr>
            <w:r w:rsidRPr="002B55E9">
              <w:rPr>
                <w:rFonts w:eastAsia="宋体" w:hint="eastAsia"/>
              </w:rPr>
              <w:t>甲醛</w:t>
            </w:r>
          </w:p>
        </w:tc>
        <w:tc>
          <w:tcPr>
            <w:tcW w:w="790" w:type="dxa"/>
          </w:tcPr>
          <w:p w14:paraId="5C4B2047" w14:textId="72AA84CD" w:rsidR="00D170E5" w:rsidRPr="002B55E9" w:rsidRDefault="00EF27AD">
            <w:pPr>
              <w:pStyle w:val="lgy-"/>
              <w:rPr>
                <w:rFonts w:eastAsia="宋体"/>
              </w:rPr>
            </w:pPr>
            <w:r w:rsidRPr="002B55E9">
              <w:rPr>
                <w:rFonts w:eastAsia="宋体"/>
              </w:rPr>
              <w:t>0.00</w:t>
            </w:r>
            <w:r w:rsidR="007C40AC" w:rsidRPr="002B55E9">
              <w:rPr>
                <w:rFonts w:eastAsia="宋体"/>
              </w:rPr>
              <w:t>3</w:t>
            </w:r>
          </w:p>
        </w:tc>
      </w:tr>
      <w:tr w:rsidR="002B55E9" w:rsidRPr="002B55E9" w14:paraId="269B742B" w14:textId="77777777" w:rsidTr="00EF27AD">
        <w:trPr>
          <w:trHeight w:val="283"/>
        </w:trPr>
        <w:tc>
          <w:tcPr>
            <w:tcW w:w="844" w:type="dxa"/>
            <w:vMerge/>
          </w:tcPr>
          <w:p w14:paraId="3EA0ACF6" w14:textId="77777777" w:rsidR="00D170E5" w:rsidRPr="002B55E9" w:rsidRDefault="00D170E5">
            <w:pPr>
              <w:pStyle w:val="lgy-"/>
            </w:pPr>
          </w:p>
        </w:tc>
        <w:tc>
          <w:tcPr>
            <w:tcW w:w="1031" w:type="dxa"/>
            <w:vMerge/>
          </w:tcPr>
          <w:p w14:paraId="35182FB0" w14:textId="77777777" w:rsidR="00D170E5" w:rsidRPr="002B55E9" w:rsidRDefault="00D170E5">
            <w:pPr>
              <w:pStyle w:val="lgy-"/>
            </w:pPr>
          </w:p>
        </w:tc>
        <w:tc>
          <w:tcPr>
            <w:tcW w:w="1297" w:type="dxa"/>
            <w:vMerge/>
          </w:tcPr>
          <w:p w14:paraId="7BEA3000" w14:textId="77777777" w:rsidR="00D170E5" w:rsidRPr="002B55E9" w:rsidRDefault="00D170E5">
            <w:pPr>
              <w:pStyle w:val="lgy-"/>
            </w:pPr>
          </w:p>
        </w:tc>
        <w:tc>
          <w:tcPr>
            <w:tcW w:w="1014" w:type="dxa"/>
            <w:vMerge/>
          </w:tcPr>
          <w:p w14:paraId="624071A0" w14:textId="77777777" w:rsidR="00D170E5" w:rsidRPr="002B55E9" w:rsidRDefault="00D170E5">
            <w:pPr>
              <w:pStyle w:val="lgy-"/>
            </w:pPr>
          </w:p>
        </w:tc>
        <w:tc>
          <w:tcPr>
            <w:tcW w:w="725" w:type="dxa"/>
            <w:vMerge/>
          </w:tcPr>
          <w:p w14:paraId="5D53EA41" w14:textId="77777777" w:rsidR="00D170E5" w:rsidRPr="002B55E9" w:rsidRDefault="00D170E5">
            <w:pPr>
              <w:pStyle w:val="lgy-"/>
            </w:pPr>
          </w:p>
        </w:tc>
        <w:tc>
          <w:tcPr>
            <w:tcW w:w="555" w:type="dxa"/>
            <w:vMerge/>
          </w:tcPr>
          <w:p w14:paraId="774EA55D" w14:textId="77777777" w:rsidR="00D170E5" w:rsidRPr="002B55E9" w:rsidRDefault="00D170E5">
            <w:pPr>
              <w:pStyle w:val="lgy-"/>
            </w:pPr>
          </w:p>
        </w:tc>
        <w:tc>
          <w:tcPr>
            <w:tcW w:w="488" w:type="dxa"/>
            <w:vMerge/>
          </w:tcPr>
          <w:p w14:paraId="1F2AD441" w14:textId="77777777" w:rsidR="00D170E5" w:rsidRPr="002B55E9" w:rsidRDefault="00D170E5">
            <w:pPr>
              <w:pStyle w:val="lgy-"/>
            </w:pPr>
          </w:p>
        </w:tc>
        <w:tc>
          <w:tcPr>
            <w:tcW w:w="784" w:type="dxa"/>
            <w:vMerge/>
          </w:tcPr>
          <w:p w14:paraId="491D71A4" w14:textId="77777777" w:rsidR="00D170E5" w:rsidRPr="002B55E9" w:rsidRDefault="00D170E5">
            <w:pPr>
              <w:pStyle w:val="lgy-"/>
            </w:pPr>
          </w:p>
        </w:tc>
        <w:tc>
          <w:tcPr>
            <w:tcW w:w="544" w:type="dxa"/>
            <w:vMerge/>
          </w:tcPr>
          <w:p w14:paraId="099D8AFB" w14:textId="77777777" w:rsidR="00D170E5" w:rsidRPr="002B55E9" w:rsidRDefault="00D170E5">
            <w:pPr>
              <w:pStyle w:val="lgy-"/>
            </w:pPr>
          </w:p>
        </w:tc>
        <w:tc>
          <w:tcPr>
            <w:tcW w:w="547" w:type="dxa"/>
            <w:vMerge/>
          </w:tcPr>
          <w:p w14:paraId="7BE96FF5" w14:textId="77777777" w:rsidR="00D170E5" w:rsidRPr="002B55E9" w:rsidRDefault="00D170E5">
            <w:pPr>
              <w:pStyle w:val="lgy-"/>
            </w:pPr>
          </w:p>
        </w:tc>
        <w:tc>
          <w:tcPr>
            <w:tcW w:w="463" w:type="dxa"/>
            <w:vMerge/>
          </w:tcPr>
          <w:p w14:paraId="457913B9" w14:textId="77777777" w:rsidR="00D170E5" w:rsidRPr="002B55E9" w:rsidRDefault="00D170E5">
            <w:pPr>
              <w:pStyle w:val="lgy-"/>
            </w:pPr>
          </w:p>
        </w:tc>
        <w:tc>
          <w:tcPr>
            <w:tcW w:w="555" w:type="dxa"/>
          </w:tcPr>
          <w:p w14:paraId="50F674A7" w14:textId="77777777" w:rsidR="00D170E5" w:rsidRPr="002B55E9" w:rsidRDefault="00EF27AD">
            <w:pPr>
              <w:pStyle w:val="lgy-"/>
            </w:pPr>
            <w:r w:rsidRPr="002B55E9">
              <w:rPr>
                <w:rFonts w:eastAsia="宋体" w:hint="eastAsia"/>
              </w:rPr>
              <w:t>硫酸</w:t>
            </w:r>
          </w:p>
        </w:tc>
        <w:tc>
          <w:tcPr>
            <w:tcW w:w="790" w:type="dxa"/>
          </w:tcPr>
          <w:p w14:paraId="19E5F958" w14:textId="5AF105BC" w:rsidR="00D170E5" w:rsidRPr="002B55E9" w:rsidRDefault="00EF27AD">
            <w:pPr>
              <w:pStyle w:val="lgy-"/>
              <w:rPr>
                <w:rFonts w:eastAsia="宋体"/>
              </w:rPr>
            </w:pPr>
            <w:r w:rsidRPr="002B55E9">
              <w:rPr>
                <w:rFonts w:eastAsia="宋体"/>
              </w:rPr>
              <w:t>0.01</w:t>
            </w:r>
            <w:r w:rsidR="007C40AC" w:rsidRPr="002B55E9">
              <w:rPr>
                <w:rFonts w:eastAsia="宋体"/>
              </w:rPr>
              <w:t>1</w:t>
            </w:r>
          </w:p>
        </w:tc>
      </w:tr>
      <w:tr w:rsidR="002B55E9" w:rsidRPr="002B55E9" w14:paraId="43DA79F9" w14:textId="77777777" w:rsidTr="00EF27AD">
        <w:trPr>
          <w:trHeight w:val="283"/>
        </w:trPr>
        <w:tc>
          <w:tcPr>
            <w:tcW w:w="844" w:type="dxa"/>
            <w:vMerge/>
          </w:tcPr>
          <w:p w14:paraId="34C46F3D" w14:textId="77777777" w:rsidR="00D170E5" w:rsidRPr="002B55E9" w:rsidRDefault="00D170E5">
            <w:pPr>
              <w:pStyle w:val="lgy-"/>
            </w:pPr>
          </w:p>
        </w:tc>
        <w:tc>
          <w:tcPr>
            <w:tcW w:w="1031" w:type="dxa"/>
            <w:vMerge/>
          </w:tcPr>
          <w:p w14:paraId="6EEC33ED" w14:textId="77777777" w:rsidR="00D170E5" w:rsidRPr="002B55E9" w:rsidRDefault="00D170E5">
            <w:pPr>
              <w:pStyle w:val="lgy-"/>
            </w:pPr>
          </w:p>
        </w:tc>
        <w:tc>
          <w:tcPr>
            <w:tcW w:w="1297" w:type="dxa"/>
            <w:vMerge/>
          </w:tcPr>
          <w:p w14:paraId="7690F0D9" w14:textId="77777777" w:rsidR="00D170E5" w:rsidRPr="002B55E9" w:rsidRDefault="00D170E5">
            <w:pPr>
              <w:pStyle w:val="lgy-"/>
            </w:pPr>
          </w:p>
        </w:tc>
        <w:tc>
          <w:tcPr>
            <w:tcW w:w="1014" w:type="dxa"/>
            <w:vMerge/>
          </w:tcPr>
          <w:p w14:paraId="3174A873" w14:textId="77777777" w:rsidR="00D170E5" w:rsidRPr="002B55E9" w:rsidRDefault="00D170E5">
            <w:pPr>
              <w:pStyle w:val="lgy-"/>
            </w:pPr>
          </w:p>
        </w:tc>
        <w:tc>
          <w:tcPr>
            <w:tcW w:w="725" w:type="dxa"/>
            <w:vMerge/>
          </w:tcPr>
          <w:p w14:paraId="636F01BE" w14:textId="77777777" w:rsidR="00D170E5" w:rsidRPr="002B55E9" w:rsidRDefault="00D170E5">
            <w:pPr>
              <w:pStyle w:val="lgy-"/>
            </w:pPr>
          </w:p>
        </w:tc>
        <w:tc>
          <w:tcPr>
            <w:tcW w:w="555" w:type="dxa"/>
            <w:vMerge/>
          </w:tcPr>
          <w:p w14:paraId="34A2B82E" w14:textId="77777777" w:rsidR="00D170E5" w:rsidRPr="002B55E9" w:rsidRDefault="00D170E5">
            <w:pPr>
              <w:pStyle w:val="lgy-"/>
            </w:pPr>
          </w:p>
        </w:tc>
        <w:tc>
          <w:tcPr>
            <w:tcW w:w="488" w:type="dxa"/>
            <w:vMerge/>
          </w:tcPr>
          <w:p w14:paraId="6180949A" w14:textId="77777777" w:rsidR="00D170E5" w:rsidRPr="002B55E9" w:rsidRDefault="00D170E5">
            <w:pPr>
              <w:pStyle w:val="lgy-"/>
            </w:pPr>
          </w:p>
        </w:tc>
        <w:tc>
          <w:tcPr>
            <w:tcW w:w="784" w:type="dxa"/>
            <w:vMerge/>
          </w:tcPr>
          <w:p w14:paraId="1CD1B442" w14:textId="77777777" w:rsidR="00D170E5" w:rsidRPr="002B55E9" w:rsidRDefault="00D170E5">
            <w:pPr>
              <w:pStyle w:val="lgy-"/>
            </w:pPr>
          </w:p>
        </w:tc>
        <w:tc>
          <w:tcPr>
            <w:tcW w:w="544" w:type="dxa"/>
            <w:vMerge/>
          </w:tcPr>
          <w:p w14:paraId="33FD196D" w14:textId="77777777" w:rsidR="00D170E5" w:rsidRPr="002B55E9" w:rsidRDefault="00D170E5">
            <w:pPr>
              <w:pStyle w:val="lgy-"/>
            </w:pPr>
          </w:p>
        </w:tc>
        <w:tc>
          <w:tcPr>
            <w:tcW w:w="547" w:type="dxa"/>
            <w:vMerge/>
          </w:tcPr>
          <w:p w14:paraId="0FC52F16" w14:textId="77777777" w:rsidR="00D170E5" w:rsidRPr="002B55E9" w:rsidRDefault="00D170E5">
            <w:pPr>
              <w:pStyle w:val="lgy-"/>
            </w:pPr>
          </w:p>
        </w:tc>
        <w:tc>
          <w:tcPr>
            <w:tcW w:w="463" w:type="dxa"/>
            <w:vMerge/>
          </w:tcPr>
          <w:p w14:paraId="1AAC1338" w14:textId="77777777" w:rsidR="00D170E5" w:rsidRPr="002B55E9" w:rsidRDefault="00D170E5">
            <w:pPr>
              <w:pStyle w:val="lgy-"/>
            </w:pPr>
          </w:p>
        </w:tc>
        <w:tc>
          <w:tcPr>
            <w:tcW w:w="555" w:type="dxa"/>
          </w:tcPr>
          <w:p w14:paraId="566A15F9" w14:textId="77777777" w:rsidR="00D170E5" w:rsidRPr="002B55E9" w:rsidRDefault="00EF27AD">
            <w:pPr>
              <w:pStyle w:val="lgy-"/>
            </w:pPr>
            <w:r w:rsidRPr="002B55E9">
              <w:rPr>
                <w:rFonts w:eastAsia="宋体" w:hint="eastAsia"/>
              </w:rPr>
              <w:t>氯化氢</w:t>
            </w:r>
          </w:p>
        </w:tc>
        <w:tc>
          <w:tcPr>
            <w:tcW w:w="790" w:type="dxa"/>
          </w:tcPr>
          <w:p w14:paraId="3ED9C800" w14:textId="12D3716A" w:rsidR="00D170E5" w:rsidRPr="002B55E9" w:rsidRDefault="007C40AC">
            <w:pPr>
              <w:pStyle w:val="lgy-"/>
              <w:rPr>
                <w:rFonts w:eastAsia="宋体"/>
              </w:rPr>
            </w:pPr>
            <w:r w:rsidRPr="002B55E9">
              <w:rPr>
                <w:rFonts w:eastAsia="宋体"/>
              </w:rPr>
              <w:t>2.16</w:t>
            </w:r>
            <w:r w:rsidR="00EF27AD" w:rsidRPr="002B55E9">
              <w:rPr>
                <w:rFonts w:eastAsia="宋体"/>
              </w:rPr>
              <w:t>E-05</w:t>
            </w:r>
          </w:p>
        </w:tc>
      </w:tr>
    </w:tbl>
    <w:p w14:paraId="2F86145C" w14:textId="12F7925B" w:rsidR="00D170E5" w:rsidRPr="002B55E9" w:rsidRDefault="00EF27AD">
      <w:pPr>
        <w:pStyle w:val="1f3"/>
        <w:spacing w:beforeLines="0" w:before="0"/>
      </w:pPr>
      <w:r w:rsidRPr="002B55E9">
        <w:rPr>
          <w:rFonts w:hint="eastAsia"/>
        </w:rPr>
        <w:t>表</w:t>
      </w:r>
      <w:r w:rsidRPr="002B55E9">
        <w:rPr>
          <w:rFonts w:hint="eastAsia"/>
        </w:rPr>
        <w:t>5</w:t>
      </w:r>
      <w:r w:rsidRPr="002B55E9">
        <w:t xml:space="preserve">-2-9  </w:t>
      </w:r>
      <w:r w:rsidR="00B40496" w:rsidRPr="002B55E9">
        <w:rPr>
          <w:rFonts w:hint="eastAsia"/>
        </w:rPr>
        <w:t>正常排放条件下</w:t>
      </w:r>
      <w:r w:rsidRPr="002B55E9">
        <w:rPr>
          <w:rFonts w:hint="eastAsia"/>
        </w:rPr>
        <w:t>主要废气污染源参数一览表（面源）</w:t>
      </w:r>
    </w:p>
    <w:tbl>
      <w:tblPr>
        <w:tblStyle w:val="lgy2"/>
        <w:tblW w:w="5000" w:type="pct"/>
        <w:tblLayout w:type="fixed"/>
        <w:tblCellMar>
          <w:left w:w="28" w:type="dxa"/>
          <w:right w:w="28" w:type="dxa"/>
        </w:tblCellMar>
        <w:tblLook w:val="04A0" w:firstRow="1" w:lastRow="0" w:firstColumn="1" w:lastColumn="0" w:noHBand="0" w:noVBand="1"/>
      </w:tblPr>
      <w:tblGrid>
        <w:gridCol w:w="752"/>
        <w:gridCol w:w="1141"/>
        <w:gridCol w:w="1045"/>
        <w:gridCol w:w="750"/>
        <w:gridCol w:w="750"/>
        <w:gridCol w:w="754"/>
        <w:gridCol w:w="754"/>
        <w:gridCol w:w="754"/>
        <w:gridCol w:w="754"/>
        <w:gridCol w:w="673"/>
        <w:gridCol w:w="824"/>
        <w:gridCol w:w="742"/>
      </w:tblGrid>
      <w:tr w:rsidR="002B55E9" w:rsidRPr="002B55E9" w14:paraId="631B2B0F"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747" w:type="dxa"/>
            <w:vMerge w:val="restart"/>
          </w:tcPr>
          <w:p w14:paraId="45C7CB2A" w14:textId="77777777" w:rsidR="00D170E5" w:rsidRPr="002B55E9" w:rsidRDefault="00EF27AD">
            <w:pPr>
              <w:pStyle w:val="lgy-"/>
            </w:pPr>
            <w:bookmarkStart w:id="225" w:name="_Hlk61791985"/>
            <w:r w:rsidRPr="002B55E9">
              <w:rPr>
                <w:rFonts w:eastAsia="宋体" w:hint="eastAsia"/>
              </w:rPr>
              <w:t>面源名称</w:t>
            </w:r>
          </w:p>
        </w:tc>
        <w:tc>
          <w:tcPr>
            <w:tcW w:w="2172" w:type="dxa"/>
            <w:gridSpan w:val="2"/>
          </w:tcPr>
          <w:p w14:paraId="1CC9D783" w14:textId="77777777" w:rsidR="00D170E5" w:rsidRPr="002B55E9" w:rsidRDefault="00EF27AD">
            <w:pPr>
              <w:pStyle w:val="lgy-"/>
            </w:pPr>
            <w:r w:rsidRPr="002B55E9">
              <w:rPr>
                <w:rFonts w:eastAsia="宋体" w:hint="eastAsia"/>
              </w:rPr>
              <w:t>面源起点坐标</w:t>
            </w:r>
            <w:r w:rsidRPr="002B55E9">
              <w:rPr>
                <w:rFonts w:eastAsia="宋体" w:hint="eastAsia"/>
              </w:rPr>
              <w:t>/</w:t>
            </w:r>
            <w:r w:rsidRPr="002B55E9">
              <w:rPr>
                <w:rFonts w:eastAsia="宋体" w:hint="eastAsia"/>
              </w:rPr>
              <w:t>°</w:t>
            </w:r>
          </w:p>
        </w:tc>
        <w:tc>
          <w:tcPr>
            <w:tcW w:w="746" w:type="dxa"/>
            <w:vMerge w:val="restart"/>
          </w:tcPr>
          <w:p w14:paraId="065D7A7C" w14:textId="77777777" w:rsidR="00D170E5" w:rsidRPr="002B55E9" w:rsidRDefault="00EF27AD">
            <w:pPr>
              <w:pStyle w:val="lgy-"/>
            </w:pPr>
            <w:r w:rsidRPr="002B55E9">
              <w:rPr>
                <w:rFonts w:eastAsia="宋体" w:hint="eastAsia"/>
              </w:rPr>
              <w:t>面源海报高度</w:t>
            </w:r>
            <w:r w:rsidRPr="002B55E9">
              <w:rPr>
                <w:rFonts w:eastAsia="宋体" w:hint="eastAsia"/>
              </w:rPr>
              <w:t>/m</w:t>
            </w:r>
          </w:p>
        </w:tc>
        <w:tc>
          <w:tcPr>
            <w:tcW w:w="746" w:type="dxa"/>
            <w:vMerge w:val="restart"/>
          </w:tcPr>
          <w:p w14:paraId="4B309BDF" w14:textId="77777777" w:rsidR="00D170E5" w:rsidRPr="002B55E9" w:rsidRDefault="00EF27AD">
            <w:pPr>
              <w:pStyle w:val="lgy-"/>
            </w:pPr>
            <w:r w:rsidRPr="002B55E9">
              <w:rPr>
                <w:rFonts w:eastAsia="宋体" w:hint="eastAsia"/>
              </w:rPr>
              <w:t>面源长度</w:t>
            </w:r>
            <w:r w:rsidRPr="002B55E9">
              <w:rPr>
                <w:rFonts w:eastAsia="宋体" w:hint="eastAsia"/>
              </w:rPr>
              <w:t>/m</w:t>
            </w:r>
          </w:p>
        </w:tc>
        <w:tc>
          <w:tcPr>
            <w:tcW w:w="750" w:type="dxa"/>
            <w:vMerge w:val="restart"/>
          </w:tcPr>
          <w:p w14:paraId="22D89607" w14:textId="77777777" w:rsidR="00D170E5" w:rsidRPr="002B55E9" w:rsidRDefault="00EF27AD" w:rsidP="00EF27AD">
            <w:pPr>
              <w:pStyle w:val="lgy-"/>
            </w:pPr>
            <w:r w:rsidRPr="002B55E9">
              <w:rPr>
                <w:rFonts w:eastAsia="宋体" w:hint="eastAsia"/>
              </w:rPr>
              <w:t>面源宽度</w:t>
            </w:r>
            <w:r w:rsidRPr="002B55E9">
              <w:rPr>
                <w:rFonts w:eastAsia="宋体" w:hint="eastAsia"/>
              </w:rPr>
              <w:t>/m</w:t>
            </w:r>
          </w:p>
        </w:tc>
        <w:tc>
          <w:tcPr>
            <w:tcW w:w="750" w:type="dxa"/>
            <w:vMerge w:val="restart"/>
          </w:tcPr>
          <w:p w14:paraId="6A00401D" w14:textId="77777777" w:rsidR="00D170E5" w:rsidRPr="002B55E9" w:rsidRDefault="00EF27AD">
            <w:pPr>
              <w:pStyle w:val="lgy-"/>
            </w:pPr>
            <w:r w:rsidRPr="002B55E9">
              <w:rPr>
                <w:rFonts w:eastAsia="宋体" w:hint="eastAsia"/>
              </w:rPr>
              <w:t>与正北向夹角</w:t>
            </w:r>
            <w:r w:rsidRPr="002B55E9">
              <w:rPr>
                <w:rFonts w:eastAsia="宋体" w:hint="eastAsia"/>
              </w:rPr>
              <w:t>/</w:t>
            </w:r>
            <w:r w:rsidRPr="002B55E9">
              <w:rPr>
                <w:rFonts w:eastAsia="宋体" w:hint="eastAsia"/>
              </w:rPr>
              <w:t>°</w:t>
            </w:r>
          </w:p>
        </w:tc>
        <w:tc>
          <w:tcPr>
            <w:tcW w:w="750" w:type="dxa"/>
            <w:vMerge w:val="restart"/>
          </w:tcPr>
          <w:p w14:paraId="26A893DE" w14:textId="77777777" w:rsidR="00D170E5" w:rsidRPr="002B55E9" w:rsidRDefault="00EF27AD">
            <w:pPr>
              <w:pStyle w:val="lgy-"/>
            </w:pPr>
            <w:r w:rsidRPr="002B55E9">
              <w:rPr>
                <w:rFonts w:eastAsia="宋体" w:hint="eastAsia"/>
              </w:rPr>
              <w:t>面源有效排放高度</w:t>
            </w:r>
            <w:r w:rsidRPr="002B55E9">
              <w:rPr>
                <w:rFonts w:eastAsia="宋体" w:hint="eastAsia"/>
              </w:rPr>
              <w:t>/m</w:t>
            </w:r>
          </w:p>
        </w:tc>
        <w:tc>
          <w:tcPr>
            <w:tcW w:w="750" w:type="dxa"/>
            <w:vMerge w:val="restart"/>
          </w:tcPr>
          <w:p w14:paraId="2C3D84BD" w14:textId="77777777" w:rsidR="00D170E5" w:rsidRPr="002B55E9" w:rsidRDefault="00EF27AD">
            <w:pPr>
              <w:pStyle w:val="lgy-"/>
            </w:pPr>
            <w:r w:rsidRPr="002B55E9">
              <w:rPr>
                <w:rFonts w:eastAsia="宋体" w:hint="eastAsia"/>
              </w:rPr>
              <w:t>年排放小时数</w:t>
            </w:r>
            <w:r w:rsidRPr="002B55E9">
              <w:rPr>
                <w:rFonts w:eastAsia="宋体" w:hint="eastAsia"/>
              </w:rPr>
              <w:t>/h</w:t>
            </w:r>
          </w:p>
        </w:tc>
        <w:tc>
          <w:tcPr>
            <w:tcW w:w="669" w:type="dxa"/>
            <w:vMerge w:val="restart"/>
          </w:tcPr>
          <w:p w14:paraId="4F1A1F60" w14:textId="77777777" w:rsidR="00D170E5" w:rsidRPr="002B55E9" w:rsidRDefault="00EF27AD">
            <w:pPr>
              <w:pStyle w:val="lgy-"/>
            </w:pPr>
            <w:r w:rsidRPr="002B55E9">
              <w:rPr>
                <w:rFonts w:eastAsia="宋体" w:hint="eastAsia"/>
              </w:rPr>
              <w:t>排放工况</w:t>
            </w:r>
          </w:p>
        </w:tc>
        <w:tc>
          <w:tcPr>
            <w:tcW w:w="819" w:type="dxa"/>
            <w:vMerge w:val="restart"/>
          </w:tcPr>
          <w:p w14:paraId="3832821D" w14:textId="77777777" w:rsidR="00D170E5" w:rsidRPr="002B55E9" w:rsidRDefault="00EF27AD">
            <w:pPr>
              <w:pStyle w:val="lgy-"/>
            </w:pPr>
            <w:r w:rsidRPr="002B55E9">
              <w:rPr>
                <w:rFonts w:eastAsia="宋体" w:hint="eastAsia"/>
              </w:rPr>
              <w:t>污染物</w:t>
            </w:r>
            <w:r w:rsidRPr="002B55E9">
              <w:rPr>
                <w:rFonts w:eastAsia="宋体"/>
              </w:rPr>
              <w:t>种类</w:t>
            </w:r>
          </w:p>
        </w:tc>
        <w:tc>
          <w:tcPr>
            <w:tcW w:w="738" w:type="dxa"/>
            <w:vMerge w:val="restart"/>
          </w:tcPr>
          <w:p w14:paraId="04B65D05" w14:textId="77777777" w:rsidR="00D170E5" w:rsidRPr="002B55E9" w:rsidRDefault="00EF27AD">
            <w:pPr>
              <w:pStyle w:val="lgy-"/>
              <w:rPr>
                <w:rFonts w:eastAsia="宋体"/>
              </w:rPr>
            </w:pPr>
            <w:r w:rsidRPr="002B55E9">
              <w:rPr>
                <w:rFonts w:eastAsia="宋体" w:hint="eastAsia"/>
              </w:rPr>
              <w:t>最大排放</w:t>
            </w:r>
            <w:r w:rsidRPr="002B55E9">
              <w:rPr>
                <w:rFonts w:eastAsia="宋体"/>
              </w:rPr>
              <w:t>速率</w:t>
            </w:r>
            <w:r w:rsidRPr="002B55E9">
              <w:rPr>
                <w:rFonts w:eastAsia="宋体" w:hint="eastAsia"/>
              </w:rPr>
              <w:t>k</w:t>
            </w:r>
            <w:r w:rsidRPr="002B55E9">
              <w:rPr>
                <w:rFonts w:eastAsia="宋体"/>
              </w:rPr>
              <w:t>g/h</w:t>
            </w:r>
          </w:p>
        </w:tc>
      </w:tr>
      <w:tr w:rsidR="002B55E9" w:rsidRPr="002B55E9" w14:paraId="58C9E3C8" w14:textId="77777777" w:rsidTr="00EF27AD">
        <w:trPr>
          <w:trHeight w:val="283"/>
        </w:trPr>
        <w:tc>
          <w:tcPr>
            <w:tcW w:w="747" w:type="dxa"/>
            <w:vMerge/>
          </w:tcPr>
          <w:p w14:paraId="244FB8AA" w14:textId="77777777" w:rsidR="00D170E5" w:rsidRPr="002B55E9" w:rsidRDefault="00D170E5">
            <w:pPr>
              <w:pStyle w:val="lgy-"/>
            </w:pPr>
          </w:p>
        </w:tc>
        <w:tc>
          <w:tcPr>
            <w:tcW w:w="1133" w:type="dxa"/>
          </w:tcPr>
          <w:p w14:paraId="216C1FE9" w14:textId="77777777" w:rsidR="00D170E5" w:rsidRPr="002B55E9" w:rsidRDefault="00EF27AD">
            <w:pPr>
              <w:pStyle w:val="lgy-"/>
            </w:pPr>
            <w:r w:rsidRPr="002B55E9">
              <w:rPr>
                <w:rFonts w:eastAsia="宋体" w:hint="eastAsia"/>
              </w:rPr>
              <w:t>经度</w:t>
            </w:r>
          </w:p>
        </w:tc>
        <w:tc>
          <w:tcPr>
            <w:tcW w:w="1039" w:type="dxa"/>
          </w:tcPr>
          <w:p w14:paraId="4C10F26E" w14:textId="77777777" w:rsidR="00D170E5" w:rsidRPr="002B55E9" w:rsidRDefault="00EF27AD">
            <w:pPr>
              <w:pStyle w:val="lgy-"/>
            </w:pPr>
            <w:r w:rsidRPr="002B55E9">
              <w:rPr>
                <w:rFonts w:eastAsia="宋体" w:hint="eastAsia"/>
              </w:rPr>
              <w:t>纬度</w:t>
            </w:r>
          </w:p>
        </w:tc>
        <w:tc>
          <w:tcPr>
            <w:tcW w:w="746" w:type="dxa"/>
            <w:vMerge/>
          </w:tcPr>
          <w:p w14:paraId="4131360F" w14:textId="77777777" w:rsidR="00D170E5" w:rsidRPr="002B55E9" w:rsidRDefault="00D170E5">
            <w:pPr>
              <w:pStyle w:val="lgy-"/>
            </w:pPr>
          </w:p>
        </w:tc>
        <w:tc>
          <w:tcPr>
            <w:tcW w:w="746" w:type="dxa"/>
            <w:vMerge/>
          </w:tcPr>
          <w:p w14:paraId="17F3BDF6" w14:textId="77777777" w:rsidR="00D170E5" w:rsidRPr="002B55E9" w:rsidRDefault="00D170E5">
            <w:pPr>
              <w:pStyle w:val="lgy-"/>
            </w:pPr>
          </w:p>
        </w:tc>
        <w:tc>
          <w:tcPr>
            <w:tcW w:w="750" w:type="dxa"/>
            <w:vMerge/>
          </w:tcPr>
          <w:p w14:paraId="7CCB380B" w14:textId="77777777" w:rsidR="00D170E5" w:rsidRPr="002B55E9" w:rsidRDefault="00D170E5">
            <w:pPr>
              <w:pStyle w:val="lgy-"/>
            </w:pPr>
          </w:p>
        </w:tc>
        <w:tc>
          <w:tcPr>
            <w:tcW w:w="750" w:type="dxa"/>
            <w:vMerge/>
          </w:tcPr>
          <w:p w14:paraId="1B31E83F" w14:textId="77777777" w:rsidR="00D170E5" w:rsidRPr="002B55E9" w:rsidRDefault="00D170E5">
            <w:pPr>
              <w:pStyle w:val="lgy-"/>
            </w:pPr>
          </w:p>
        </w:tc>
        <w:tc>
          <w:tcPr>
            <w:tcW w:w="750" w:type="dxa"/>
            <w:vMerge/>
          </w:tcPr>
          <w:p w14:paraId="64A7823D" w14:textId="77777777" w:rsidR="00D170E5" w:rsidRPr="002B55E9" w:rsidRDefault="00D170E5">
            <w:pPr>
              <w:pStyle w:val="lgy-"/>
            </w:pPr>
          </w:p>
        </w:tc>
        <w:tc>
          <w:tcPr>
            <w:tcW w:w="750" w:type="dxa"/>
            <w:vMerge/>
          </w:tcPr>
          <w:p w14:paraId="093C57B3" w14:textId="77777777" w:rsidR="00D170E5" w:rsidRPr="002B55E9" w:rsidRDefault="00D170E5">
            <w:pPr>
              <w:pStyle w:val="lgy-"/>
            </w:pPr>
          </w:p>
        </w:tc>
        <w:tc>
          <w:tcPr>
            <w:tcW w:w="669" w:type="dxa"/>
            <w:vMerge/>
          </w:tcPr>
          <w:p w14:paraId="6AFD12F7" w14:textId="77777777" w:rsidR="00D170E5" w:rsidRPr="002B55E9" w:rsidRDefault="00D170E5">
            <w:pPr>
              <w:pStyle w:val="lgy-"/>
            </w:pPr>
          </w:p>
        </w:tc>
        <w:tc>
          <w:tcPr>
            <w:tcW w:w="819" w:type="dxa"/>
            <w:vMerge/>
          </w:tcPr>
          <w:p w14:paraId="09CD7CA1" w14:textId="77777777" w:rsidR="00D170E5" w:rsidRPr="002B55E9" w:rsidRDefault="00D170E5">
            <w:pPr>
              <w:pStyle w:val="lgy-"/>
            </w:pPr>
          </w:p>
        </w:tc>
        <w:tc>
          <w:tcPr>
            <w:tcW w:w="738" w:type="dxa"/>
            <w:vMerge/>
          </w:tcPr>
          <w:p w14:paraId="2B32D95F" w14:textId="77777777" w:rsidR="00D170E5" w:rsidRPr="002B55E9" w:rsidRDefault="00D170E5">
            <w:pPr>
              <w:pStyle w:val="lgy-"/>
              <w:rPr>
                <w:rFonts w:eastAsia="宋体"/>
              </w:rPr>
            </w:pPr>
          </w:p>
        </w:tc>
      </w:tr>
      <w:tr w:rsidR="002B55E9" w:rsidRPr="002B55E9" w14:paraId="67F9E17D" w14:textId="77777777" w:rsidTr="00EF27AD">
        <w:trPr>
          <w:trHeight w:val="283"/>
        </w:trPr>
        <w:tc>
          <w:tcPr>
            <w:tcW w:w="747" w:type="dxa"/>
          </w:tcPr>
          <w:p w14:paraId="54345A6E" w14:textId="77777777" w:rsidR="00D170E5" w:rsidRPr="002B55E9" w:rsidRDefault="00EF27AD">
            <w:pPr>
              <w:pStyle w:val="lgy-"/>
            </w:pPr>
            <w:r w:rsidRPr="002B55E9">
              <w:rPr>
                <w:rFonts w:eastAsia="宋体" w:hint="eastAsia"/>
              </w:rPr>
              <w:t>十三车间</w:t>
            </w:r>
          </w:p>
        </w:tc>
        <w:tc>
          <w:tcPr>
            <w:tcW w:w="1133" w:type="dxa"/>
          </w:tcPr>
          <w:p w14:paraId="777E0194" w14:textId="77777777" w:rsidR="00D170E5" w:rsidRPr="002B55E9" w:rsidRDefault="00EF27AD">
            <w:pPr>
              <w:pStyle w:val="lgy-"/>
            </w:pPr>
            <w:r w:rsidRPr="002B55E9">
              <w:rPr>
                <w:rFonts w:eastAsia="宋体"/>
              </w:rPr>
              <w:t>113.99318576</w:t>
            </w:r>
          </w:p>
        </w:tc>
        <w:tc>
          <w:tcPr>
            <w:tcW w:w="1039" w:type="dxa"/>
          </w:tcPr>
          <w:p w14:paraId="380F7FE1" w14:textId="77777777" w:rsidR="00D170E5" w:rsidRPr="002B55E9" w:rsidRDefault="00EF27AD">
            <w:pPr>
              <w:pStyle w:val="lgy-"/>
            </w:pPr>
            <w:r w:rsidRPr="002B55E9">
              <w:rPr>
                <w:rFonts w:eastAsia="宋体"/>
              </w:rPr>
              <w:t>30.67571540</w:t>
            </w:r>
          </w:p>
        </w:tc>
        <w:tc>
          <w:tcPr>
            <w:tcW w:w="746" w:type="dxa"/>
          </w:tcPr>
          <w:p w14:paraId="45A9B0FB" w14:textId="77777777" w:rsidR="00D170E5" w:rsidRPr="002B55E9" w:rsidRDefault="00EF27AD">
            <w:pPr>
              <w:pStyle w:val="lgy-"/>
            </w:pPr>
            <w:r w:rsidRPr="002B55E9">
              <w:rPr>
                <w:rFonts w:eastAsia="宋体" w:hint="eastAsia"/>
              </w:rPr>
              <w:t>25</w:t>
            </w:r>
          </w:p>
        </w:tc>
        <w:tc>
          <w:tcPr>
            <w:tcW w:w="746" w:type="dxa"/>
          </w:tcPr>
          <w:p w14:paraId="19F769A6" w14:textId="77777777" w:rsidR="00D170E5" w:rsidRPr="002B55E9" w:rsidRDefault="00EF27AD">
            <w:pPr>
              <w:pStyle w:val="lgy-"/>
            </w:pPr>
            <w:r w:rsidRPr="002B55E9">
              <w:rPr>
                <w:rFonts w:eastAsia="宋体" w:hint="eastAsia"/>
              </w:rPr>
              <w:t>16</w:t>
            </w:r>
            <w:r w:rsidRPr="002B55E9">
              <w:rPr>
                <w:rFonts w:eastAsia="宋体"/>
              </w:rPr>
              <w:t>4</w:t>
            </w:r>
          </w:p>
        </w:tc>
        <w:tc>
          <w:tcPr>
            <w:tcW w:w="750" w:type="dxa"/>
          </w:tcPr>
          <w:p w14:paraId="439CBE53" w14:textId="77777777" w:rsidR="00D170E5" w:rsidRPr="002B55E9" w:rsidRDefault="00EF27AD">
            <w:pPr>
              <w:pStyle w:val="lgy-"/>
            </w:pPr>
            <w:r w:rsidRPr="002B55E9">
              <w:rPr>
                <w:rFonts w:eastAsia="宋体" w:hint="eastAsia"/>
              </w:rPr>
              <w:t>40</w:t>
            </w:r>
          </w:p>
        </w:tc>
        <w:tc>
          <w:tcPr>
            <w:tcW w:w="750" w:type="dxa"/>
          </w:tcPr>
          <w:p w14:paraId="6F3E58C1" w14:textId="77777777" w:rsidR="00D170E5" w:rsidRPr="002B55E9" w:rsidRDefault="00EF27AD">
            <w:pPr>
              <w:pStyle w:val="lgy-"/>
            </w:pPr>
            <w:r w:rsidRPr="002B55E9">
              <w:rPr>
                <w:rFonts w:eastAsia="宋体"/>
              </w:rPr>
              <w:t>135</w:t>
            </w:r>
          </w:p>
        </w:tc>
        <w:tc>
          <w:tcPr>
            <w:tcW w:w="750" w:type="dxa"/>
          </w:tcPr>
          <w:p w14:paraId="45DFE5D0" w14:textId="77777777" w:rsidR="00D170E5" w:rsidRPr="002B55E9" w:rsidRDefault="00EF27AD">
            <w:pPr>
              <w:pStyle w:val="lgy-"/>
            </w:pPr>
            <w:r w:rsidRPr="002B55E9">
              <w:rPr>
                <w:rFonts w:eastAsia="宋体"/>
              </w:rPr>
              <w:t>7</w:t>
            </w:r>
          </w:p>
        </w:tc>
        <w:tc>
          <w:tcPr>
            <w:tcW w:w="750" w:type="dxa"/>
          </w:tcPr>
          <w:p w14:paraId="39804696" w14:textId="2D7A036E" w:rsidR="00D170E5" w:rsidRPr="002B55E9" w:rsidRDefault="007C40AC">
            <w:pPr>
              <w:pStyle w:val="lgy-"/>
            </w:pPr>
            <w:r w:rsidRPr="002B55E9">
              <w:rPr>
                <w:rFonts w:eastAsia="宋体"/>
              </w:rPr>
              <w:t>7920</w:t>
            </w:r>
          </w:p>
        </w:tc>
        <w:tc>
          <w:tcPr>
            <w:tcW w:w="669" w:type="dxa"/>
          </w:tcPr>
          <w:p w14:paraId="0920C329" w14:textId="77777777" w:rsidR="00D170E5" w:rsidRPr="002B55E9" w:rsidRDefault="00EF27AD">
            <w:pPr>
              <w:pStyle w:val="lgy-"/>
            </w:pPr>
            <w:r w:rsidRPr="002B55E9">
              <w:rPr>
                <w:rFonts w:eastAsia="宋体" w:hint="eastAsia"/>
              </w:rPr>
              <w:t>正常</w:t>
            </w:r>
          </w:p>
        </w:tc>
        <w:tc>
          <w:tcPr>
            <w:tcW w:w="819" w:type="dxa"/>
          </w:tcPr>
          <w:p w14:paraId="48EBA721" w14:textId="77777777" w:rsidR="00D170E5" w:rsidRPr="002B55E9" w:rsidRDefault="00EF27AD">
            <w:pPr>
              <w:pStyle w:val="lgy-"/>
            </w:pPr>
            <w:r w:rsidRPr="002B55E9">
              <w:rPr>
                <w:rFonts w:eastAsia="宋体" w:hint="eastAsia"/>
              </w:rPr>
              <w:t>颗粒物</w:t>
            </w:r>
          </w:p>
        </w:tc>
        <w:tc>
          <w:tcPr>
            <w:tcW w:w="738" w:type="dxa"/>
          </w:tcPr>
          <w:p w14:paraId="13776F6A" w14:textId="77777777" w:rsidR="00D170E5" w:rsidRPr="002B55E9" w:rsidRDefault="00EF27AD">
            <w:pPr>
              <w:pStyle w:val="lgy-"/>
              <w:rPr>
                <w:rFonts w:eastAsia="宋体"/>
              </w:rPr>
            </w:pPr>
            <w:r w:rsidRPr="002B55E9">
              <w:rPr>
                <w:rFonts w:eastAsia="宋体"/>
              </w:rPr>
              <w:t>0.014</w:t>
            </w:r>
          </w:p>
        </w:tc>
      </w:tr>
      <w:tr w:rsidR="002B55E9" w:rsidRPr="002B55E9" w14:paraId="422FAB20" w14:textId="77777777" w:rsidTr="00EF27AD">
        <w:trPr>
          <w:trHeight w:val="283"/>
        </w:trPr>
        <w:tc>
          <w:tcPr>
            <w:tcW w:w="747" w:type="dxa"/>
            <w:vMerge w:val="restart"/>
          </w:tcPr>
          <w:p w14:paraId="0843AB3A" w14:textId="77777777" w:rsidR="00D170E5" w:rsidRPr="002B55E9" w:rsidRDefault="00EF27AD">
            <w:pPr>
              <w:pStyle w:val="lgy-"/>
            </w:pPr>
            <w:r w:rsidRPr="002B55E9">
              <w:rPr>
                <w:rFonts w:eastAsia="宋体" w:hint="eastAsia"/>
              </w:rPr>
              <w:lastRenderedPageBreak/>
              <w:t>十一</w:t>
            </w:r>
            <w:r w:rsidRPr="002B55E9">
              <w:rPr>
                <w:rFonts w:eastAsia="宋体"/>
              </w:rPr>
              <w:t>车间</w:t>
            </w:r>
          </w:p>
        </w:tc>
        <w:tc>
          <w:tcPr>
            <w:tcW w:w="1133" w:type="dxa"/>
            <w:vMerge w:val="restart"/>
          </w:tcPr>
          <w:p w14:paraId="270C7F94" w14:textId="77777777" w:rsidR="00D170E5" w:rsidRPr="002B55E9" w:rsidRDefault="00EF27AD">
            <w:pPr>
              <w:pStyle w:val="lgy-"/>
            </w:pPr>
            <w:r w:rsidRPr="002B55E9">
              <w:rPr>
                <w:rFonts w:eastAsia="宋体"/>
              </w:rPr>
              <w:t>113.99316430</w:t>
            </w:r>
          </w:p>
        </w:tc>
        <w:tc>
          <w:tcPr>
            <w:tcW w:w="1039" w:type="dxa"/>
            <w:vMerge w:val="restart"/>
          </w:tcPr>
          <w:p w14:paraId="25870A63" w14:textId="77777777" w:rsidR="00D170E5" w:rsidRPr="002B55E9" w:rsidRDefault="00EF27AD">
            <w:pPr>
              <w:pStyle w:val="lgy-"/>
            </w:pPr>
            <w:r w:rsidRPr="002B55E9">
              <w:rPr>
                <w:rFonts w:eastAsia="宋体"/>
              </w:rPr>
              <w:t>30.67504179</w:t>
            </w:r>
          </w:p>
        </w:tc>
        <w:tc>
          <w:tcPr>
            <w:tcW w:w="746" w:type="dxa"/>
            <w:vMerge w:val="restart"/>
          </w:tcPr>
          <w:p w14:paraId="48A64597" w14:textId="77777777" w:rsidR="00D170E5" w:rsidRPr="002B55E9" w:rsidRDefault="00EF27AD">
            <w:pPr>
              <w:pStyle w:val="lgy-"/>
            </w:pPr>
            <w:r w:rsidRPr="002B55E9">
              <w:rPr>
                <w:rFonts w:eastAsia="宋体" w:hint="eastAsia"/>
              </w:rPr>
              <w:t>25</w:t>
            </w:r>
          </w:p>
        </w:tc>
        <w:tc>
          <w:tcPr>
            <w:tcW w:w="746" w:type="dxa"/>
            <w:vMerge w:val="restart"/>
          </w:tcPr>
          <w:p w14:paraId="2DC89297" w14:textId="77777777" w:rsidR="00D170E5" w:rsidRPr="002B55E9" w:rsidRDefault="00EF27AD">
            <w:pPr>
              <w:pStyle w:val="lgy-"/>
            </w:pPr>
            <w:r w:rsidRPr="002B55E9">
              <w:rPr>
                <w:rFonts w:eastAsia="宋体" w:hint="eastAsia"/>
              </w:rPr>
              <w:t>16</w:t>
            </w:r>
            <w:r w:rsidRPr="002B55E9">
              <w:rPr>
                <w:rFonts w:eastAsia="宋体"/>
              </w:rPr>
              <w:t>0</w:t>
            </w:r>
          </w:p>
        </w:tc>
        <w:tc>
          <w:tcPr>
            <w:tcW w:w="750" w:type="dxa"/>
            <w:vMerge w:val="restart"/>
          </w:tcPr>
          <w:p w14:paraId="02AC7171" w14:textId="77777777" w:rsidR="00D170E5" w:rsidRPr="002B55E9" w:rsidRDefault="00EF27AD">
            <w:pPr>
              <w:pStyle w:val="lgy-"/>
            </w:pPr>
            <w:r w:rsidRPr="002B55E9">
              <w:rPr>
                <w:rFonts w:eastAsia="宋体" w:hint="eastAsia"/>
              </w:rPr>
              <w:t>88</w:t>
            </w:r>
          </w:p>
        </w:tc>
        <w:tc>
          <w:tcPr>
            <w:tcW w:w="750" w:type="dxa"/>
            <w:vMerge w:val="restart"/>
          </w:tcPr>
          <w:p w14:paraId="2C88B393" w14:textId="77777777" w:rsidR="00D170E5" w:rsidRPr="002B55E9" w:rsidRDefault="00EF27AD">
            <w:pPr>
              <w:pStyle w:val="lgy-"/>
            </w:pPr>
            <w:r w:rsidRPr="002B55E9">
              <w:rPr>
                <w:rFonts w:eastAsia="宋体"/>
              </w:rPr>
              <w:t>135</w:t>
            </w:r>
          </w:p>
        </w:tc>
        <w:tc>
          <w:tcPr>
            <w:tcW w:w="750" w:type="dxa"/>
            <w:vMerge w:val="restart"/>
          </w:tcPr>
          <w:p w14:paraId="135DD8BD" w14:textId="77777777" w:rsidR="00D170E5" w:rsidRPr="002B55E9" w:rsidRDefault="00EF27AD">
            <w:pPr>
              <w:pStyle w:val="lgy-"/>
            </w:pPr>
            <w:r w:rsidRPr="002B55E9">
              <w:rPr>
                <w:rFonts w:eastAsia="宋体"/>
              </w:rPr>
              <w:t>7</w:t>
            </w:r>
          </w:p>
        </w:tc>
        <w:tc>
          <w:tcPr>
            <w:tcW w:w="750" w:type="dxa"/>
            <w:vMerge w:val="restart"/>
          </w:tcPr>
          <w:p w14:paraId="125075F9" w14:textId="7D43A1A8" w:rsidR="00D170E5" w:rsidRPr="002B55E9" w:rsidRDefault="007C40AC">
            <w:pPr>
              <w:pStyle w:val="lgy-"/>
            </w:pPr>
            <w:r w:rsidRPr="002B55E9">
              <w:rPr>
                <w:rFonts w:eastAsia="宋体"/>
              </w:rPr>
              <w:t>7920</w:t>
            </w:r>
          </w:p>
        </w:tc>
        <w:tc>
          <w:tcPr>
            <w:tcW w:w="669" w:type="dxa"/>
            <w:vMerge w:val="restart"/>
          </w:tcPr>
          <w:p w14:paraId="33CA847C" w14:textId="77777777" w:rsidR="00D170E5" w:rsidRPr="002B55E9" w:rsidRDefault="00EF27AD">
            <w:pPr>
              <w:pStyle w:val="lgy-"/>
            </w:pPr>
            <w:r w:rsidRPr="002B55E9">
              <w:rPr>
                <w:rFonts w:eastAsia="宋体" w:hint="eastAsia"/>
              </w:rPr>
              <w:t>正常</w:t>
            </w:r>
          </w:p>
        </w:tc>
        <w:tc>
          <w:tcPr>
            <w:tcW w:w="819" w:type="dxa"/>
          </w:tcPr>
          <w:p w14:paraId="7B495745" w14:textId="36226BD3" w:rsidR="00D170E5" w:rsidRPr="002B55E9" w:rsidRDefault="00924AFA">
            <w:pPr>
              <w:pStyle w:val="lgy-"/>
            </w:pPr>
            <w:r w:rsidRPr="002B55E9">
              <w:rPr>
                <w:rFonts w:eastAsia="宋体" w:hint="eastAsia"/>
              </w:rPr>
              <w:t>非甲烷总烃</w:t>
            </w:r>
          </w:p>
        </w:tc>
        <w:tc>
          <w:tcPr>
            <w:tcW w:w="738" w:type="dxa"/>
          </w:tcPr>
          <w:p w14:paraId="47A5E42F" w14:textId="4AF96E52" w:rsidR="00D170E5" w:rsidRPr="002B55E9" w:rsidRDefault="007C40AC">
            <w:pPr>
              <w:pStyle w:val="lgy-"/>
              <w:rPr>
                <w:rFonts w:eastAsia="宋体"/>
              </w:rPr>
            </w:pPr>
            <w:r w:rsidRPr="002B55E9">
              <w:rPr>
                <w:rFonts w:eastAsia="宋体"/>
              </w:rPr>
              <w:t>0.022</w:t>
            </w:r>
          </w:p>
        </w:tc>
      </w:tr>
      <w:tr w:rsidR="002B55E9" w:rsidRPr="002B55E9" w14:paraId="054ABA95" w14:textId="77777777" w:rsidTr="00AE5254">
        <w:trPr>
          <w:trHeight w:val="283"/>
        </w:trPr>
        <w:tc>
          <w:tcPr>
            <w:tcW w:w="747" w:type="dxa"/>
            <w:vMerge/>
          </w:tcPr>
          <w:p w14:paraId="39C4D27A" w14:textId="77777777" w:rsidR="00B67DB4" w:rsidRPr="002B55E9" w:rsidRDefault="00B67DB4" w:rsidP="00B67DB4">
            <w:pPr>
              <w:pStyle w:val="lgy-"/>
            </w:pPr>
          </w:p>
        </w:tc>
        <w:tc>
          <w:tcPr>
            <w:tcW w:w="1133" w:type="dxa"/>
            <w:vMerge/>
          </w:tcPr>
          <w:p w14:paraId="4ECB62B8" w14:textId="77777777" w:rsidR="00B67DB4" w:rsidRPr="002B55E9" w:rsidRDefault="00B67DB4" w:rsidP="00B67DB4">
            <w:pPr>
              <w:pStyle w:val="lgy-"/>
            </w:pPr>
          </w:p>
        </w:tc>
        <w:tc>
          <w:tcPr>
            <w:tcW w:w="1039" w:type="dxa"/>
            <w:vMerge/>
          </w:tcPr>
          <w:p w14:paraId="6B9702DC" w14:textId="77777777" w:rsidR="00B67DB4" w:rsidRPr="002B55E9" w:rsidRDefault="00B67DB4" w:rsidP="00B67DB4">
            <w:pPr>
              <w:pStyle w:val="lgy-"/>
            </w:pPr>
          </w:p>
        </w:tc>
        <w:tc>
          <w:tcPr>
            <w:tcW w:w="746" w:type="dxa"/>
            <w:vMerge/>
          </w:tcPr>
          <w:p w14:paraId="1B559FD8" w14:textId="77777777" w:rsidR="00B67DB4" w:rsidRPr="002B55E9" w:rsidRDefault="00B67DB4" w:rsidP="00B67DB4">
            <w:pPr>
              <w:pStyle w:val="lgy-"/>
            </w:pPr>
          </w:p>
        </w:tc>
        <w:tc>
          <w:tcPr>
            <w:tcW w:w="746" w:type="dxa"/>
            <w:vMerge/>
          </w:tcPr>
          <w:p w14:paraId="3EE1E6ED" w14:textId="77777777" w:rsidR="00B67DB4" w:rsidRPr="002B55E9" w:rsidRDefault="00B67DB4" w:rsidP="00B67DB4">
            <w:pPr>
              <w:pStyle w:val="lgy-"/>
            </w:pPr>
          </w:p>
        </w:tc>
        <w:tc>
          <w:tcPr>
            <w:tcW w:w="750" w:type="dxa"/>
            <w:vMerge/>
          </w:tcPr>
          <w:p w14:paraId="7B64FA8B" w14:textId="77777777" w:rsidR="00B67DB4" w:rsidRPr="002B55E9" w:rsidRDefault="00B67DB4" w:rsidP="00B67DB4">
            <w:pPr>
              <w:pStyle w:val="lgy-"/>
            </w:pPr>
          </w:p>
        </w:tc>
        <w:tc>
          <w:tcPr>
            <w:tcW w:w="750" w:type="dxa"/>
            <w:vMerge/>
          </w:tcPr>
          <w:p w14:paraId="6BECAEA3" w14:textId="77777777" w:rsidR="00B67DB4" w:rsidRPr="002B55E9" w:rsidRDefault="00B67DB4" w:rsidP="00B67DB4">
            <w:pPr>
              <w:pStyle w:val="lgy-"/>
            </w:pPr>
          </w:p>
        </w:tc>
        <w:tc>
          <w:tcPr>
            <w:tcW w:w="750" w:type="dxa"/>
            <w:vMerge/>
          </w:tcPr>
          <w:p w14:paraId="71F4A510" w14:textId="77777777" w:rsidR="00B67DB4" w:rsidRPr="002B55E9" w:rsidRDefault="00B67DB4" w:rsidP="00B67DB4">
            <w:pPr>
              <w:pStyle w:val="lgy-"/>
            </w:pPr>
          </w:p>
        </w:tc>
        <w:tc>
          <w:tcPr>
            <w:tcW w:w="750" w:type="dxa"/>
            <w:vMerge/>
          </w:tcPr>
          <w:p w14:paraId="516D4EC6" w14:textId="77777777" w:rsidR="00B67DB4" w:rsidRPr="002B55E9" w:rsidRDefault="00B67DB4" w:rsidP="00B67DB4">
            <w:pPr>
              <w:pStyle w:val="lgy-"/>
            </w:pPr>
          </w:p>
        </w:tc>
        <w:tc>
          <w:tcPr>
            <w:tcW w:w="669" w:type="dxa"/>
            <w:vMerge/>
          </w:tcPr>
          <w:p w14:paraId="6973D46C" w14:textId="77777777" w:rsidR="00B67DB4" w:rsidRPr="002B55E9" w:rsidRDefault="00B67DB4" w:rsidP="00B67DB4">
            <w:pPr>
              <w:pStyle w:val="lgy-"/>
            </w:pPr>
          </w:p>
        </w:tc>
        <w:tc>
          <w:tcPr>
            <w:tcW w:w="819" w:type="dxa"/>
          </w:tcPr>
          <w:p w14:paraId="1BA932EA" w14:textId="77777777" w:rsidR="00B67DB4" w:rsidRPr="002B55E9" w:rsidRDefault="00B67DB4" w:rsidP="00B67DB4">
            <w:pPr>
              <w:pStyle w:val="lgy-"/>
              <w:rPr>
                <w:kern w:val="2"/>
              </w:rPr>
            </w:pPr>
            <w:r w:rsidRPr="002B55E9">
              <w:rPr>
                <w:rFonts w:eastAsia="宋体" w:hint="eastAsia"/>
                <w:kern w:val="2"/>
              </w:rPr>
              <w:t>甲醛</w:t>
            </w:r>
          </w:p>
        </w:tc>
        <w:tc>
          <w:tcPr>
            <w:tcW w:w="738" w:type="dxa"/>
            <w:tcBorders>
              <w:top w:val="nil"/>
              <w:left w:val="nil"/>
              <w:bottom w:val="single" w:sz="8" w:space="0" w:color="auto"/>
              <w:right w:val="nil"/>
            </w:tcBorders>
          </w:tcPr>
          <w:p w14:paraId="45130244" w14:textId="2413C7DF" w:rsidR="00B67DB4" w:rsidRPr="002B55E9" w:rsidRDefault="00B67DB4" w:rsidP="00B67DB4">
            <w:pPr>
              <w:pStyle w:val="lgy-"/>
              <w:rPr>
                <w:rFonts w:eastAsia="宋体"/>
              </w:rPr>
            </w:pPr>
            <w:r w:rsidRPr="002B55E9">
              <w:rPr>
                <w:rFonts w:eastAsia="等线"/>
              </w:rPr>
              <w:t>9.88E-05</w:t>
            </w:r>
          </w:p>
        </w:tc>
      </w:tr>
      <w:tr w:rsidR="002B55E9" w:rsidRPr="002B55E9" w14:paraId="0C1E4BBC" w14:textId="77777777" w:rsidTr="00AE5254">
        <w:trPr>
          <w:trHeight w:val="283"/>
        </w:trPr>
        <w:tc>
          <w:tcPr>
            <w:tcW w:w="747" w:type="dxa"/>
            <w:vMerge/>
          </w:tcPr>
          <w:p w14:paraId="1EE48B5F" w14:textId="77777777" w:rsidR="00B67DB4" w:rsidRPr="002B55E9" w:rsidRDefault="00B67DB4" w:rsidP="00B67DB4">
            <w:pPr>
              <w:pStyle w:val="lgy-"/>
            </w:pPr>
          </w:p>
        </w:tc>
        <w:tc>
          <w:tcPr>
            <w:tcW w:w="1133" w:type="dxa"/>
            <w:vMerge/>
          </w:tcPr>
          <w:p w14:paraId="40C3798D" w14:textId="77777777" w:rsidR="00B67DB4" w:rsidRPr="002B55E9" w:rsidRDefault="00B67DB4" w:rsidP="00B67DB4">
            <w:pPr>
              <w:pStyle w:val="lgy-"/>
            </w:pPr>
          </w:p>
        </w:tc>
        <w:tc>
          <w:tcPr>
            <w:tcW w:w="1039" w:type="dxa"/>
            <w:vMerge/>
          </w:tcPr>
          <w:p w14:paraId="261AFF59" w14:textId="77777777" w:rsidR="00B67DB4" w:rsidRPr="002B55E9" w:rsidRDefault="00B67DB4" w:rsidP="00B67DB4">
            <w:pPr>
              <w:pStyle w:val="lgy-"/>
            </w:pPr>
          </w:p>
        </w:tc>
        <w:tc>
          <w:tcPr>
            <w:tcW w:w="746" w:type="dxa"/>
            <w:vMerge/>
          </w:tcPr>
          <w:p w14:paraId="74C2CD19" w14:textId="77777777" w:rsidR="00B67DB4" w:rsidRPr="002B55E9" w:rsidRDefault="00B67DB4" w:rsidP="00B67DB4">
            <w:pPr>
              <w:pStyle w:val="lgy-"/>
            </w:pPr>
          </w:p>
        </w:tc>
        <w:tc>
          <w:tcPr>
            <w:tcW w:w="746" w:type="dxa"/>
            <w:vMerge/>
          </w:tcPr>
          <w:p w14:paraId="70433B21" w14:textId="77777777" w:rsidR="00B67DB4" w:rsidRPr="002B55E9" w:rsidRDefault="00B67DB4" w:rsidP="00B67DB4">
            <w:pPr>
              <w:pStyle w:val="lgy-"/>
            </w:pPr>
          </w:p>
        </w:tc>
        <w:tc>
          <w:tcPr>
            <w:tcW w:w="750" w:type="dxa"/>
            <w:vMerge/>
          </w:tcPr>
          <w:p w14:paraId="5E40555A" w14:textId="77777777" w:rsidR="00B67DB4" w:rsidRPr="002B55E9" w:rsidRDefault="00B67DB4" w:rsidP="00B67DB4">
            <w:pPr>
              <w:pStyle w:val="lgy-"/>
            </w:pPr>
          </w:p>
        </w:tc>
        <w:tc>
          <w:tcPr>
            <w:tcW w:w="750" w:type="dxa"/>
            <w:vMerge/>
          </w:tcPr>
          <w:p w14:paraId="65173AFB" w14:textId="77777777" w:rsidR="00B67DB4" w:rsidRPr="002B55E9" w:rsidRDefault="00B67DB4" w:rsidP="00B67DB4">
            <w:pPr>
              <w:pStyle w:val="lgy-"/>
            </w:pPr>
          </w:p>
        </w:tc>
        <w:tc>
          <w:tcPr>
            <w:tcW w:w="750" w:type="dxa"/>
            <w:vMerge/>
          </w:tcPr>
          <w:p w14:paraId="473E8E7E" w14:textId="77777777" w:rsidR="00B67DB4" w:rsidRPr="002B55E9" w:rsidRDefault="00B67DB4" w:rsidP="00B67DB4">
            <w:pPr>
              <w:pStyle w:val="lgy-"/>
            </w:pPr>
          </w:p>
        </w:tc>
        <w:tc>
          <w:tcPr>
            <w:tcW w:w="750" w:type="dxa"/>
            <w:vMerge/>
          </w:tcPr>
          <w:p w14:paraId="45ED5369" w14:textId="77777777" w:rsidR="00B67DB4" w:rsidRPr="002B55E9" w:rsidRDefault="00B67DB4" w:rsidP="00B67DB4">
            <w:pPr>
              <w:pStyle w:val="lgy-"/>
            </w:pPr>
          </w:p>
        </w:tc>
        <w:tc>
          <w:tcPr>
            <w:tcW w:w="669" w:type="dxa"/>
            <w:vMerge/>
          </w:tcPr>
          <w:p w14:paraId="3CA5C29B" w14:textId="77777777" w:rsidR="00B67DB4" w:rsidRPr="002B55E9" w:rsidRDefault="00B67DB4" w:rsidP="00B67DB4">
            <w:pPr>
              <w:pStyle w:val="lgy-"/>
            </w:pPr>
          </w:p>
        </w:tc>
        <w:tc>
          <w:tcPr>
            <w:tcW w:w="819" w:type="dxa"/>
          </w:tcPr>
          <w:p w14:paraId="3E277785" w14:textId="77777777" w:rsidR="00B67DB4" w:rsidRPr="002B55E9" w:rsidRDefault="00B67DB4" w:rsidP="00B67DB4">
            <w:pPr>
              <w:pStyle w:val="lgy-"/>
              <w:rPr>
                <w:kern w:val="2"/>
              </w:rPr>
            </w:pPr>
            <w:r w:rsidRPr="002B55E9">
              <w:rPr>
                <w:rFonts w:eastAsia="宋体" w:hint="eastAsia"/>
                <w:kern w:val="2"/>
              </w:rPr>
              <w:t>硫酸</w:t>
            </w:r>
          </w:p>
        </w:tc>
        <w:tc>
          <w:tcPr>
            <w:tcW w:w="738" w:type="dxa"/>
            <w:tcBorders>
              <w:top w:val="nil"/>
              <w:left w:val="nil"/>
              <w:bottom w:val="single" w:sz="8" w:space="0" w:color="auto"/>
              <w:right w:val="nil"/>
            </w:tcBorders>
          </w:tcPr>
          <w:p w14:paraId="0B210089" w14:textId="3ED437E3" w:rsidR="00B67DB4" w:rsidRPr="002B55E9" w:rsidRDefault="00B67DB4" w:rsidP="00B67DB4">
            <w:pPr>
              <w:pStyle w:val="lgy-"/>
              <w:rPr>
                <w:rFonts w:eastAsia="宋体"/>
              </w:rPr>
            </w:pPr>
            <w:r w:rsidRPr="002B55E9">
              <w:rPr>
                <w:rFonts w:eastAsia="等线"/>
              </w:rPr>
              <w:t>2.23E-04</w:t>
            </w:r>
          </w:p>
        </w:tc>
      </w:tr>
      <w:tr w:rsidR="002B55E9" w:rsidRPr="002B55E9" w14:paraId="62CD9FB1" w14:textId="77777777" w:rsidTr="00AE5254">
        <w:trPr>
          <w:trHeight w:val="283"/>
        </w:trPr>
        <w:tc>
          <w:tcPr>
            <w:tcW w:w="747" w:type="dxa"/>
            <w:vMerge/>
          </w:tcPr>
          <w:p w14:paraId="014C151C" w14:textId="77777777" w:rsidR="00B67DB4" w:rsidRPr="002B55E9" w:rsidRDefault="00B67DB4" w:rsidP="00B67DB4">
            <w:pPr>
              <w:pStyle w:val="lgy-"/>
            </w:pPr>
          </w:p>
        </w:tc>
        <w:tc>
          <w:tcPr>
            <w:tcW w:w="1133" w:type="dxa"/>
            <w:vMerge/>
          </w:tcPr>
          <w:p w14:paraId="5ED29448" w14:textId="77777777" w:rsidR="00B67DB4" w:rsidRPr="002B55E9" w:rsidRDefault="00B67DB4" w:rsidP="00B67DB4">
            <w:pPr>
              <w:pStyle w:val="lgy-"/>
            </w:pPr>
          </w:p>
        </w:tc>
        <w:tc>
          <w:tcPr>
            <w:tcW w:w="1039" w:type="dxa"/>
            <w:vMerge/>
          </w:tcPr>
          <w:p w14:paraId="4F8F8871" w14:textId="77777777" w:rsidR="00B67DB4" w:rsidRPr="002B55E9" w:rsidRDefault="00B67DB4" w:rsidP="00B67DB4">
            <w:pPr>
              <w:pStyle w:val="lgy-"/>
            </w:pPr>
          </w:p>
        </w:tc>
        <w:tc>
          <w:tcPr>
            <w:tcW w:w="746" w:type="dxa"/>
            <w:vMerge/>
          </w:tcPr>
          <w:p w14:paraId="507226C6" w14:textId="77777777" w:rsidR="00B67DB4" w:rsidRPr="002B55E9" w:rsidRDefault="00B67DB4" w:rsidP="00B67DB4">
            <w:pPr>
              <w:pStyle w:val="lgy-"/>
            </w:pPr>
          </w:p>
        </w:tc>
        <w:tc>
          <w:tcPr>
            <w:tcW w:w="746" w:type="dxa"/>
            <w:vMerge/>
          </w:tcPr>
          <w:p w14:paraId="46465DF5" w14:textId="77777777" w:rsidR="00B67DB4" w:rsidRPr="002B55E9" w:rsidRDefault="00B67DB4" w:rsidP="00B67DB4">
            <w:pPr>
              <w:pStyle w:val="lgy-"/>
            </w:pPr>
          </w:p>
        </w:tc>
        <w:tc>
          <w:tcPr>
            <w:tcW w:w="750" w:type="dxa"/>
            <w:vMerge/>
          </w:tcPr>
          <w:p w14:paraId="148F6CA7" w14:textId="77777777" w:rsidR="00B67DB4" w:rsidRPr="002B55E9" w:rsidRDefault="00B67DB4" w:rsidP="00B67DB4">
            <w:pPr>
              <w:pStyle w:val="lgy-"/>
            </w:pPr>
          </w:p>
        </w:tc>
        <w:tc>
          <w:tcPr>
            <w:tcW w:w="750" w:type="dxa"/>
            <w:vMerge/>
          </w:tcPr>
          <w:p w14:paraId="5D4804AE" w14:textId="77777777" w:rsidR="00B67DB4" w:rsidRPr="002B55E9" w:rsidRDefault="00B67DB4" w:rsidP="00B67DB4">
            <w:pPr>
              <w:pStyle w:val="lgy-"/>
            </w:pPr>
          </w:p>
        </w:tc>
        <w:tc>
          <w:tcPr>
            <w:tcW w:w="750" w:type="dxa"/>
            <w:vMerge/>
          </w:tcPr>
          <w:p w14:paraId="2EE86207" w14:textId="77777777" w:rsidR="00B67DB4" w:rsidRPr="002B55E9" w:rsidRDefault="00B67DB4" w:rsidP="00B67DB4">
            <w:pPr>
              <w:pStyle w:val="lgy-"/>
            </w:pPr>
          </w:p>
        </w:tc>
        <w:tc>
          <w:tcPr>
            <w:tcW w:w="750" w:type="dxa"/>
            <w:vMerge/>
          </w:tcPr>
          <w:p w14:paraId="24055FB7" w14:textId="77777777" w:rsidR="00B67DB4" w:rsidRPr="002B55E9" w:rsidRDefault="00B67DB4" w:rsidP="00B67DB4">
            <w:pPr>
              <w:pStyle w:val="lgy-"/>
            </w:pPr>
          </w:p>
        </w:tc>
        <w:tc>
          <w:tcPr>
            <w:tcW w:w="669" w:type="dxa"/>
            <w:vMerge/>
          </w:tcPr>
          <w:p w14:paraId="7D35B9A8" w14:textId="77777777" w:rsidR="00B67DB4" w:rsidRPr="002B55E9" w:rsidRDefault="00B67DB4" w:rsidP="00B67DB4">
            <w:pPr>
              <w:pStyle w:val="lgy-"/>
            </w:pPr>
          </w:p>
        </w:tc>
        <w:tc>
          <w:tcPr>
            <w:tcW w:w="819" w:type="dxa"/>
          </w:tcPr>
          <w:p w14:paraId="11205B7E" w14:textId="77777777" w:rsidR="00B67DB4" w:rsidRPr="002B55E9" w:rsidRDefault="00B67DB4" w:rsidP="00B67DB4">
            <w:pPr>
              <w:pStyle w:val="lgy-"/>
              <w:rPr>
                <w:kern w:val="2"/>
              </w:rPr>
            </w:pPr>
            <w:r w:rsidRPr="002B55E9">
              <w:rPr>
                <w:rFonts w:eastAsia="宋体" w:hint="eastAsia"/>
                <w:kern w:val="2"/>
              </w:rPr>
              <w:t>氯化氢</w:t>
            </w:r>
          </w:p>
        </w:tc>
        <w:tc>
          <w:tcPr>
            <w:tcW w:w="738" w:type="dxa"/>
            <w:tcBorders>
              <w:top w:val="nil"/>
              <w:left w:val="nil"/>
              <w:bottom w:val="single" w:sz="8" w:space="0" w:color="auto"/>
              <w:right w:val="nil"/>
            </w:tcBorders>
          </w:tcPr>
          <w:p w14:paraId="2162B52F" w14:textId="7847EE49" w:rsidR="00B67DB4" w:rsidRPr="002B55E9" w:rsidRDefault="00B67DB4" w:rsidP="00B67DB4">
            <w:pPr>
              <w:pStyle w:val="lgy-"/>
              <w:rPr>
                <w:rFonts w:eastAsia="宋体"/>
              </w:rPr>
            </w:pPr>
            <w:r w:rsidRPr="002B55E9">
              <w:rPr>
                <w:rFonts w:eastAsia="等线"/>
              </w:rPr>
              <w:t>4.41E-07</w:t>
            </w:r>
          </w:p>
        </w:tc>
      </w:tr>
      <w:tr w:rsidR="002B55E9" w:rsidRPr="002B55E9" w14:paraId="19DBA4AC" w14:textId="77777777" w:rsidTr="00EF27AD">
        <w:trPr>
          <w:trHeight w:val="283"/>
        </w:trPr>
        <w:tc>
          <w:tcPr>
            <w:tcW w:w="747" w:type="dxa"/>
          </w:tcPr>
          <w:p w14:paraId="05743E6B" w14:textId="77777777" w:rsidR="00D170E5" w:rsidRPr="002B55E9" w:rsidRDefault="00EF27AD">
            <w:pPr>
              <w:pStyle w:val="lgy-"/>
            </w:pPr>
            <w:r w:rsidRPr="002B55E9">
              <w:rPr>
                <w:rFonts w:eastAsia="宋体" w:hint="eastAsia"/>
              </w:rPr>
              <w:t>罐区三</w:t>
            </w:r>
          </w:p>
        </w:tc>
        <w:tc>
          <w:tcPr>
            <w:tcW w:w="1133" w:type="dxa"/>
          </w:tcPr>
          <w:p w14:paraId="578B3EAD" w14:textId="77777777" w:rsidR="00D170E5" w:rsidRPr="002B55E9" w:rsidRDefault="00EF27AD">
            <w:pPr>
              <w:pStyle w:val="lgy-"/>
            </w:pPr>
            <w:r w:rsidRPr="002B55E9">
              <w:rPr>
                <w:rFonts w:eastAsia="宋体"/>
              </w:rPr>
              <w:t>113.99198413</w:t>
            </w:r>
          </w:p>
        </w:tc>
        <w:tc>
          <w:tcPr>
            <w:tcW w:w="1039" w:type="dxa"/>
          </w:tcPr>
          <w:p w14:paraId="13F04858" w14:textId="77777777" w:rsidR="00D170E5" w:rsidRPr="002B55E9" w:rsidRDefault="00EF27AD">
            <w:pPr>
              <w:pStyle w:val="lgy-"/>
            </w:pPr>
            <w:r w:rsidRPr="002B55E9">
              <w:rPr>
                <w:rFonts w:eastAsia="宋体"/>
              </w:rPr>
              <w:t>30.67542935</w:t>
            </w:r>
          </w:p>
        </w:tc>
        <w:tc>
          <w:tcPr>
            <w:tcW w:w="746" w:type="dxa"/>
          </w:tcPr>
          <w:p w14:paraId="0414151D" w14:textId="77777777" w:rsidR="00D170E5" w:rsidRPr="002B55E9" w:rsidRDefault="00EF27AD">
            <w:pPr>
              <w:pStyle w:val="lgy-"/>
            </w:pPr>
            <w:r w:rsidRPr="002B55E9">
              <w:rPr>
                <w:rFonts w:eastAsia="宋体" w:hint="eastAsia"/>
              </w:rPr>
              <w:t>25</w:t>
            </w:r>
          </w:p>
        </w:tc>
        <w:tc>
          <w:tcPr>
            <w:tcW w:w="746" w:type="dxa"/>
          </w:tcPr>
          <w:p w14:paraId="117AB568" w14:textId="77777777" w:rsidR="00D170E5" w:rsidRPr="002B55E9" w:rsidRDefault="00EF27AD">
            <w:pPr>
              <w:pStyle w:val="lgy-"/>
            </w:pPr>
            <w:r w:rsidRPr="002B55E9">
              <w:rPr>
                <w:rFonts w:eastAsia="宋体" w:hint="eastAsia"/>
              </w:rPr>
              <w:t>63</w:t>
            </w:r>
          </w:p>
        </w:tc>
        <w:tc>
          <w:tcPr>
            <w:tcW w:w="750" w:type="dxa"/>
          </w:tcPr>
          <w:p w14:paraId="2B8E0F47" w14:textId="77777777" w:rsidR="00D170E5" w:rsidRPr="002B55E9" w:rsidRDefault="00EF27AD">
            <w:pPr>
              <w:pStyle w:val="lgy-"/>
            </w:pPr>
            <w:r w:rsidRPr="002B55E9">
              <w:rPr>
                <w:rFonts w:eastAsia="宋体" w:hint="eastAsia"/>
              </w:rPr>
              <w:t>3</w:t>
            </w:r>
            <w:r w:rsidRPr="002B55E9">
              <w:rPr>
                <w:rFonts w:eastAsia="宋体"/>
              </w:rPr>
              <w:t>3</w:t>
            </w:r>
          </w:p>
        </w:tc>
        <w:tc>
          <w:tcPr>
            <w:tcW w:w="750" w:type="dxa"/>
          </w:tcPr>
          <w:p w14:paraId="03ECEEFD" w14:textId="77777777" w:rsidR="00D170E5" w:rsidRPr="002B55E9" w:rsidRDefault="00EF27AD">
            <w:pPr>
              <w:pStyle w:val="lgy-"/>
            </w:pPr>
            <w:r w:rsidRPr="002B55E9">
              <w:rPr>
                <w:rFonts w:eastAsia="宋体"/>
              </w:rPr>
              <w:t>135</w:t>
            </w:r>
          </w:p>
        </w:tc>
        <w:tc>
          <w:tcPr>
            <w:tcW w:w="750" w:type="dxa"/>
          </w:tcPr>
          <w:p w14:paraId="33990B5F" w14:textId="77777777" w:rsidR="00D170E5" w:rsidRPr="002B55E9" w:rsidRDefault="00EF27AD">
            <w:pPr>
              <w:pStyle w:val="lgy-"/>
            </w:pPr>
            <w:r w:rsidRPr="002B55E9">
              <w:rPr>
                <w:rFonts w:eastAsia="宋体" w:hint="eastAsia"/>
              </w:rPr>
              <w:t>12</w:t>
            </w:r>
            <w:r w:rsidRPr="002B55E9">
              <w:rPr>
                <w:rFonts w:eastAsia="宋体"/>
              </w:rPr>
              <w:t>.5</w:t>
            </w:r>
          </w:p>
        </w:tc>
        <w:tc>
          <w:tcPr>
            <w:tcW w:w="750" w:type="dxa"/>
          </w:tcPr>
          <w:p w14:paraId="1155FC7A" w14:textId="77777777" w:rsidR="00D170E5" w:rsidRPr="002B55E9" w:rsidRDefault="00EF27AD">
            <w:pPr>
              <w:pStyle w:val="lgy-"/>
            </w:pPr>
            <w:r w:rsidRPr="002B55E9">
              <w:rPr>
                <w:rFonts w:eastAsia="宋体" w:hint="eastAsia"/>
              </w:rPr>
              <w:t>8760</w:t>
            </w:r>
          </w:p>
        </w:tc>
        <w:tc>
          <w:tcPr>
            <w:tcW w:w="669" w:type="dxa"/>
          </w:tcPr>
          <w:p w14:paraId="2AC39A4E" w14:textId="77777777" w:rsidR="00D170E5" w:rsidRPr="002B55E9" w:rsidRDefault="00EF27AD">
            <w:pPr>
              <w:pStyle w:val="lgy-"/>
            </w:pPr>
            <w:r w:rsidRPr="002B55E9">
              <w:rPr>
                <w:rFonts w:eastAsia="宋体" w:hint="eastAsia"/>
              </w:rPr>
              <w:t>正常</w:t>
            </w:r>
          </w:p>
        </w:tc>
        <w:tc>
          <w:tcPr>
            <w:tcW w:w="819" w:type="dxa"/>
          </w:tcPr>
          <w:p w14:paraId="2D036ED7" w14:textId="7E20BAD8" w:rsidR="00D170E5" w:rsidRPr="002B55E9" w:rsidRDefault="00924AFA">
            <w:pPr>
              <w:pStyle w:val="lgy-"/>
              <w:rPr>
                <w:kern w:val="2"/>
              </w:rPr>
            </w:pPr>
            <w:r w:rsidRPr="002B55E9">
              <w:rPr>
                <w:rFonts w:eastAsia="宋体" w:hint="eastAsia"/>
                <w:kern w:val="2"/>
              </w:rPr>
              <w:t>非甲烷总烃</w:t>
            </w:r>
          </w:p>
        </w:tc>
        <w:tc>
          <w:tcPr>
            <w:tcW w:w="738" w:type="dxa"/>
          </w:tcPr>
          <w:p w14:paraId="77BFF309" w14:textId="77777777" w:rsidR="00D170E5" w:rsidRPr="002B55E9" w:rsidRDefault="00EF27AD">
            <w:pPr>
              <w:pStyle w:val="lgy-"/>
              <w:rPr>
                <w:rFonts w:eastAsia="宋体"/>
              </w:rPr>
            </w:pPr>
            <w:r w:rsidRPr="002B55E9">
              <w:rPr>
                <w:rFonts w:eastAsia="宋体"/>
              </w:rPr>
              <w:t>0.058</w:t>
            </w:r>
          </w:p>
        </w:tc>
      </w:tr>
      <w:tr w:rsidR="002B55E9" w:rsidRPr="002B55E9" w14:paraId="2A6AA50D" w14:textId="77777777" w:rsidTr="00EF27AD">
        <w:trPr>
          <w:trHeight w:val="283"/>
        </w:trPr>
        <w:tc>
          <w:tcPr>
            <w:tcW w:w="747" w:type="dxa"/>
          </w:tcPr>
          <w:p w14:paraId="1A490C77" w14:textId="77777777" w:rsidR="00D170E5" w:rsidRPr="002B55E9" w:rsidRDefault="00EF27AD">
            <w:pPr>
              <w:pStyle w:val="lgy-"/>
            </w:pPr>
            <w:r w:rsidRPr="002B55E9">
              <w:rPr>
                <w:rFonts w:eastAsia="宋体" w:hint="eastAsia"/>
              </w:rPr>
              <w:t>酒精</w:t>
            </w:r>
            <w:r w:rsidRPr="002B55E9">
              <w:rPr>
                <w:rFonts w:eastAsia="宋体"/>
              </w:rPr>
              <w:t>罐区</w:t>
            </w:r>
          </w:p>
        </w:tc>
        <w:tc>
          <w:tcPr>
            <w:tcW w:w="1133" w:type="dxa"/>
          </w:tcPr>
          <w:p w14:paraId="7F6FEA9F" w14:textId="77777777" w:rsidR="00D170E5" w:rsidRPr="002B55E9" w:rsidRDefault="00EF27AD">
            <w:pPr>
              <w:pStyle w:val="lgy-"/>
            </w:pPr>
            <w:r w:rsidRPr="002B55E9">
              <w:rPr>
                <w:rFonts w:eastAsia="宋体"/>
              </w:rPr>
              <w:t>113.98930192</w:t>
            </w:r>
          </w:p>
        </w:tc>
        <w:tc>
          <w:tcPr>
            <w:tcW w:w="1039" w:type="dxa"/>
          </w:tcPr>
          <w:p w14:paraId="0388DB37" w14:textId="77777777" w:rsidR="00D170E5" w:rsidRPr="002B55E9" w:rsidRDefault="00EF27AD">
            <w:pPr>
              <w:pStyle w:val="lgy-"/>
            </w:pPr>
            <w:r w:rsidRPr="002B55E9">
              <w:rPr>
                <w:rFonts w:eastAsia="宋体"/>
              </w:rPr>
              <w:t>30.67417439</w:t>
            </w:r>
          </w:p>
        </w:tc>
        <w:tc>
          <w:tcPr>
            <w:tcW w:w="746" w:type="dxa"/>
          </w:tcPr>
          <w:p w14:paraId="344E6D6D" w14:textId="77777777" w:rsidR="00D170E5" w:rsidRPr="002B55E9" w:rsidRDefault="00EF27AD">
            <w:pPr>
              <w:pStyle w:val="lgy-"/>
            </w:pPr>
            <w:r w:rsidRPr="002B55E9">
              <w:rPr>
                <w:rFonts w:eastAsia="宋体" w:hint="eastAsia"/>
              </w:rPr>
              <w:t>25</w:t>
            </w:r>
          </w:p>
        </w:tc>
        <w:tc>
          <w:tcPr>
            <w:tcW w:w="746" w:type="dxa"/>
          </w:tcPr>
          <w:p w14:paraId="3FC8BB06" w14:textId="77777777" w:rsidR="00D170E5" w:rsidRPr="002B55E9" w:rsidRDefault="00EF27AD">
            <w:pPr>
              <w:pStyle w:val="lgy-"/>
            </w:pPr>
            <w:r w:rsidRPr="002B55E9">
              <w:rPr>
                <w:rFonts w:eastAsia="宋体"/>
              </w:rPr>
              <w:t>26.7</w:t>
            </w:r>
          </w:p>
        </w:tc>
        <w:tc>
          <w:tcPr>
            <w:tcW w:w="750" w:type="dxa"/>
          </w:tcPr>
          <w:p w14:paraId="12BBB983" w14:textId="77777777" w:rsidR="00D170E5" w:rsidRPr="002B55E9" w:rsidRDefault="00EF27AD">
            <w:pPr>
              <w:pStyle w:val="lgy-"/>
            </w:pPr>
            <w:r w:rsidRPr="002B55E9">
              <w:rPr>
                <w:rFonts w:eastAsia="宋体" w:hint="eastAsia"/>
              </w:rPr>
              <w:t>2</w:t>
            </w:r>
            <w:r w:rsidRPr="002B55E9">
              <w:rPr>
                <w:rFonts w:eastAsia="宋体"/>
              </w:rPr>
              <w:t>6.7</w:t>
            </w:r>
          </w:p>
        </w:tc>
        <w:tc>
          <w:tcPr>
            <w:tcW w:w="750" w:type="dxa"/>
          </w:tcPr>
          <w:p w14:paraId="46C89262" w14:textId="77777777" w:rsidR="00D170E5" w:rsidRPr="002B55E9" w:rsidRDefault="00EF27AD">
            <w:pPr>
              <w:pStyle w:val="lgy-"/>
            </w:pPr>
            <w:r w:rsidRPr="002B55E9">
              <w:rPr>
                <w:rFonts w:eastAsia="宋体"/>
              </w:rPr>
              <w:t>135</w:t>
            </w:r>
          </w:p>
        </w:tc>
        <w:tc>
          <w:tcPr>
            <w:tcW w:w="750" w:type="dxa"/>
          </w:tcPr>
          <w:p w14:paraId="17A4917F" w14:textId="77777777" w:rsidR="00D170E5" w:rsidRPr="002B55E9" w:rsidRDefault="00EF27AD">
            <w:pPr>
              <w:pStyle w:val="lgy-"/>
            </w:pPr>
            <w:r w:rsidRPr="002B55E9">
              <w:rPr>
                <w:rFonts w:eastAsia="宋体"/>
              </w:rPr>
              <w:t>10.5</w:t>
            </w:r>
          </w:p>
        </w:tc>
        <w:tc>
          <w:tcPr>
            <w:tcW w:w="750" w:type="dxa"/>
          </w:tcPr>
          <w:p w14:paraId="1F6E6B16" w14:textId="77777777" w:rsidR="00D170E5" w:rsidRPr="002B55E9" w:rsidRDefault="00EF27AD">
            <w:pPr>
              <w:pStyle w:val="lgy-"/>
            </w:pPr>
            <w:r w:rsidRPr="002B55E9">
              <w:rPr>
                <w:rFonts w:eastAsia="宋体" w:hint="eastAsia"/>
              </w:rPr>
              <w:t>8760</w:t>
            </w:r>
          </w:p>
        </w:tc>
        <w:tc>
          <w:tcPr>
            <w:tcW w:w="669" w:type="dxa"/>
          </w:tcPr>
          <w:p w14:paraId="6A0EFC70" w14:textId="77777777" w:rsidR="00D170E5" w:rsidRPr="002B55E9" w:rsidRDefault="00EF27AD">
            <w:pPr>
              <w:pStyle w:val="lgy-"/>
            </w:pPr>
            <w:r w:rsidRPr="002B55E9">
              <w:rPr>
                <w:rFonts w:eastAsia="宋体" w:hint="eastAsia"/>
              </w:rPr>
              <w:t>正常</w:t>
            </w:r>
          </w:p>
        </w:tc>
        <w:tc>
          <w:tcPr>
            <w:tcW w:w="819" w:type="dxa"/>
          </w:tcPr>
          <w:p w14:paraId="5BF73F89" w14:textId="63147AE8" w:rsidR="00D170E5" w:rsidRPr="002B55E9" w:rsidRDefault="00924AFA">
            <w:pPr>
              <w:pStyle w:val="lgy-"/>
              <w:rPr>
                <w:kern w:val="2"/>
              </w:rPr>
            </w:pPr>
            <w:r w:rsidRPr="002B55E9">
              <w:rPr>
                <w:rFonts w:eastAsia="宋体"/>
                <w:kern w:val="2"/>
              </w:rPr>
              <w:t>非甲烷总烃</w:t>
            </w:r>
          </w:p>
        </w:tc>
        <w:tc>
          <w:tcPr>
            <w:tcW w:w="738" w:type="dxa"/>
          </w:tcPr>
          <w:p w14:paraId="374D455C" w14:textId="77777777" w:rsidR="00D170E5" w:rsidRPr="002B55E9" w:rsidRDefault="00EF27AD">
            <w:pPr>
              <w:pStyle w:val="lgy-"/>
              <w:rPr>
                <w:rFonts w:eastAsia="宋体"/>
              </w:rPr>
            </w:pPr>
            <w:r w:rsidRPr="002B55E9">
              <w:rPr>
                <w:rFonts w:eastAsia="宋体"/>
              </w:rPr>
              <w:t>0.049</w:t>
            </w:r>
          </w:p>
        </w:tc>
      </w:tr>
    </w:tbl>
    <w:bookmarkEnd w:id="225"/>
    <w:p w14:paraId="16B21252" w14:textId="77777777" w:rsidR="00F531DF" w:rsidRPr="002B55E9" w:rsidRDefault="00F531DF" w:rsidP="00F531DF">
      <w:pPr>
        <w:spacing w:line="360" w:lineRule="auto"/>
        <w:ind w:firstLine="480"/>
        <w:rPr>
          <w:sz w:val="24"/>
          <w:szCs w:val="24"/>
        </w:rPr>
      </w:pPr>
      <w:r w:rsidRPr="002B55E9">
        <w:rPr>
          <w:sz w:val="24"/>
          <w:szCs w:val="24"/>
        </w:rPr>
        <w:t>（</w:t>
      </w:r>
      <w:r w:rsidRPr="002B55E9">
        <w:rPr>
          <w:sz w:val="24"/>
          <w:szCs w:val="24"/>
        </w:rPr>
        <w:t>2</w:t>
      </w:r>
      <w:r w:rsidRPr="002B55E9">
        <w:rPr>
          <w:sz w:val="24"/>
          <w:szCs w:val="24"/>
        </w:rPr>
        <w:t>）非正常排放</w:t>
      </w:r>
    </w:p>
    <w:p w14:paraId="48759760" w14:textId="77777777" w:rsidR="00F531DF" w:rsidRPr="002B55E9" w:rsidRDefault="00F531DF" w:rsidP="00F531DF">
      <w:pPr>
        <w:spacing w:line="360" w:lineRule="auto"/>
        <w:ind w:firstLine="480"/>
        <w:rPr>
          <w:sz w:val="24"/>
          <w:szCs w:val="24"/>
        </w:rPr>
      </w:pPr>
      <w:r w:rsidRPr="002B55E9">
        <w:rPr>
          <w:sz w:val="24"/>
          <w:szCs w:val="24"/>
        </w:rPr>
        <w:t>本项目非正常工况排放参数见下表。</w:t>
      </w:r>
    </w:p>
    <w:p w14:paraId="623D1191" w14:textId="35215495" w:rsidR="00F531DF" w:rsidRPr="002B55E9" w:rsidRDefault="00F531DF" w:rsidP="00F531DF">
      <w:pPr>
        <w:pStyle w:val="afffffff8"/>
        <w:spacing w:beforeLines="0" w:before="0" w:afterLines="0" w:after="0"/>
        <w:rPr>
          <w:b/>
          <w:bCs/>
          <w:color w:val="auto"/>
          <w:sz w:val="24"/>
          <w:szCs w:val="24"/>
        </w:rPr>
      </w:pPr>
      <w:r w:rsidRPr="002B55E9">
        <w:rPr>
          <w:rFonts w:hint="eastAsia"/>
          <w:b/>
          <w:bCs/>
          <w:color w:val="auto"/>
          <w:sz w:val="24"/>
          <w:szCs w:val="24"/>
        </w:rPr>
        <w:t>表5-2-1</w:t>
      </w:r>
      <w:r w:rsidRPr="002B55E9">
        <w:rPr>
          <w:b/>
          <w:bCs/>
          <w:color w:val="auto"/>
          <w:sz w:val="24"/>
          <w:szCs w:val="24"/>
        </w:rPr>
        <w:t>0</w:t>
      </w:r>
      <w:r w:rsidRPr="002B55E9">
        <w:rPr>
          <w:rFonts w:hint="eastAsia"/>
          <w:b/>
          <w:bCs/>
          <w:color w:val="auto"/>
          <w:sz w:val="24"/>
          <w:szCs w:val="24"/>
        </w:rPr>
        <w:t xml:space="preserve"> </w:t>
      </w:r>
      <w:r w:rsidRPr="002B55E9">
        <w:rPr>
          <w:b/>
          <w:bCs/>
          <w:color w:val="auto"/>
          <w:sz w:val="24"/>
          <w:szCs w:val="24"/>
        </w:rPr>
        <w:t xml:space="preserve"> </w:t>
      </w:r>
      <w:r w:rsidRPr="002B55E9">
        <w:rPr>
          <w:rFonts w:hint="eastAsia"/>
          <w:b/>
          <w:bCs/>
          <w:color w:val="auto"/>
          <w:sz w:val="24"/>
          <w:szCs w:val="24"/>
        </w:rPr>
        <w:t>非正常排放条件下排放源强一览表（点源）</w:t>
      </w:r>
    </w:p>
    <w:tbl>
      <w:tblPr>
        <w:tblStyle w:val="lgy2"/>
        <w:tblW w:w="5000" w:type="pct"/>
        <w:tblCellMar>
          <w:left w:w="28" w:type="dxa"/>
          <w:right w:w="28" w:type="dxa"/>
        </w:tblCellMar>
        <w:tblLook w:val="04A0" w:firstRow="1" w:lastRow="0" w:firstColumn="1" w:lastColumn="0" w:noHBand="0" w:noVBand="1"/>
      </w:tblPr>
      <w:tblGrid>
        <w:gridCol w:w="1021"/>
        <w:gridCol w:w="2327"/>
        <w:gridCol w:w="1217"/>
        <w:gridCol w:w="998"/>
        <w:gridCol w:w="998"/>
        <w:gridCol w:w="853"/>
        <w:gridCol w:w="1283"/>
        <w:gridCol w:w="996"/>
      </w:tblGrid>
      <w:tr w:rsidR="002B55E9" w:rsidRPr="002B55E9" w14:paraId="5B38DFAE" w14:textId="77777777" w:rsidTr="00625BF6">
        <w:trPr>
          <w:cnfStyle w:val="100000000000" w:firstRow="1" w:lastRow="0" w:firstColumn="0" w:lastColumn="0" w:oddVBand="0" w:evenVBand="0" w:oddHBand="0" w:evenHBand="0" w:firstRowFirstColumn="0" w:firstRowLastColumn="0" w:lastRowFirstColumn="0" w:lastRowLastColumn="0"/>
          <w:trHeight w:val="283"/>
        </w:trPr>
        <w:tc>
          <w:tcPr>
            <w:tcW w:w="526" w:type="pct"/>
            <w:vMerge w:val="restart"/>
          </w:tcPr>
          <w:p w14:paraId="02B6ACB9" w14:textId="77777777" w:rsidR="00625BF6" w:rsidRPr="002B55E9" w:rsidRDefault="00625BF6" w:rsidP="00B4243F">
            <w:pPr>
              <w:pStyle w:val="lgy-"/>
              <w:rPr>
                <w:rFonts w:eastAsia="宋体"/>
              </w:rPr>
            </w:pPr>
            <w:r w:rsidRPr="002B55E9">
              <w:rPr>
                <w:rFonts w:eastAsia="宋体" w:hint="eastAsia"/>
              </w:rPr>
              <w:t>非正常排放源编号</w:t>
            </w:r>
          </w:p>
        </w:tc>
        <w:tc>
          <w:tcPr>
            <w:tcW w:w="1200" w:type="pct"/>
            <w:vMerge w:val="restart"/>
          </w:tcPr>
          <w:p w14:paraId="350CEC5B" w14:textId="77777777" w:rsidR="00625BF6" w:rsidRPr="002B55E9" w:rsidRDefault="00625BF6" w:rsidP="00B4243F">
            <w:pPr>
              <w:pStyle w:val="lgy-"/>
              <w:rPr>
                <w:rFonts w:eastAsia="宋体"/>
              </w:rPr>
            </w:pPr>
            <w:r w:rsidRPr="002B55E9">
              <w:rPr>
                <w:rFonts w:eastAsia="宋体" w:hint="eastAsia"/>
              </w:rPr>
              <w:t>非正常排放原因</w:t>
            </w:r>
          </w:p>
        </w:tc>
        <w:tc>
          <w:tcPr>
            <w:tcW w:w="1658" w:type="pct"/>
            <w:gridSpan w:val="3"/>
          </w:tcPr>
          <w:p w14:paraId="4BD42CE9" w14:textId="77777777" w:rsidR="00625BF6" w:rsidRPr="002B55E9" w:rsidRDefault="00625BF6" w:rsidP="00B4243F">
            <w:pPr>
              <w:pStyle w:val="lgy-"/>
              <w:rPr>
                <w:rFonts w:eastAsia="宋体"/>
              </w:rPr>
            </w:pPr>
            <w:r w:rsidRPr="002B55E9">
              <w:rPr>
                <w:rFonts w:eastAsia="宋体" w:hint="eastAsia"/>
              </w:rPr>
              <w:t>排气筒参数</w:t>
            </w:r>
          </w:p>
        </w:tc>
        <w:tc>
          <w:tcPr>
            <w:tcW w:w="440" w:type="pct"/>
            <w:vMerge w:val="restart"/>
          </w:tcPr>
          <w:p w14:paraId="25CBCCEC" w14:textId="2FAD82BE" w:rsidR="00625BF6" w:rsidRPr="002B55E9" w:rsidRDefault="00625BF6" w:rsidP="00B4243F">
            <w:pPr>
              <w:pStyle w:val="lgy-"/>
              <w:rPr>
                <w:rFonts w:eastAsia="宋体"/>
              </w:rPr>
            </w:pPr>
            <w:r w:rsidRPr="002B55E9">
              <w:rPr>
                <w:rFonts w:eastAsia="宋体" w:hint="eastAsia"/>
              </w:rPr>
              <w:t>废气量（</w:t>
            </w:r>
            <w:r w:rsidRPr="002B55E9">
              <w:rPr>
                <w:rFonts w:eastAsia="宋体"/>
              </w:rPr>
              <w:t>m</w:t>
            </w:r>
            <w:r w:rsidRPr="002B55E9">
              <w:rPr>
                <w:rFonts w:eastAsia="宋体"/>
                <w:vertAlign w:val="superscript"/>
              </w:rPr>
              <w:t>3</w:t>
            </w:r>
            <w:r w:rsidRPr="002B55E9">
              <w:rPr>
                <w:rFonts w:eastAsia="宋体"/>
              </w:rPr>
              <w:t>/h</w:t>
            </w:r>
            <w:r w:rsidRPr="002B55E9">
              <w:rPr>
                <w:rFonts w:eastAsia="宋体" w:hint="eastAsia"/>
              </w:rPr>
              <w:t>）</w:t>
            </w:r>
          </w:p>
        </w:tc>
        <w:tc>
          <w:tcPr>
            <w:tcW w:w="662" w:type="pct"/>
            <w:vMerge w:val="restart"/>
          </w:tcPr>
          <w:p w14:paraId="16815141" w14:textId="77777777" w:rsidR="00625BF6" w:rsidRPr="002B55E9" w:rsidRDefault="00625BF6" w:rsidP="00B4243F">
            <w:pPr>
              <w:pStyle w:val="lgy-"/>
              <w:rPr>
                <w:rFonts w:eastAsia="宋体"/>
              </w:rPr>
            </w:pPr>
            <w:r w:rsidRPr="002B55E9">
              <w:rPr>
                <w:rFonts w:eastAsia="宋体" w:hint="eastAsia"/>
              </w:rPr>
              <w:t>污染因子</w:t>
            </w:r>
          </w:p>
        </w:tc>
        <w:tc>
          <w:tcPr>
            <w:tcW w:w="514" w:type="pct"/>
            <w:vMerge w:val="restart"/>
          </w:tcPr>
          <w:p w14:paraId="7A16E414" w14:textId="5BE807D3" w:rsidR="00625BF6" w:rsidRPr="002B55E9" w:rsidRDefault="00625BF6" w:rsidP="00B4243F">
            <w:pPr>
              <w:pStyle w:val="lgy-"/>
              <w:rPr>
                <w:rFonts w:eastAsia="宋体"/>
              </w:rPr>
            </w:pPr>
            <w:r w:rsidRPr="002B55E9">
              <w:rPr>
                <w:rFonts w:eastAsia="宋体" w:hint="eastAsia"/>
              </w:rPr>
              <w:t>排放速率（</w:t>
            </w:r>
            <w:r w:rsidRPr="002B55E9">
              <w:rPr>
                <w:rFonts w:eastAsia="宋体"/>
              </w:rPr>
              <w:t>kg/h</w:t>
            </w:r>
            <w:r w:rsidRPr="002B55E9">
              <w:rPr>
                <w:rFonts w:eastAsia="宋体" w:hint="eastAsia"/>
              </w:rPr>
              <w:t>）</w:t>
            </w:r>
          </w:p>
        </w:tc>
      </w:tr>
      <w:tr w:rsidR="002B55E9" w:rsidRPr="002B55E9" w14:paraId="6441D35B" w14:textId="77777777" w:rsidTr="00625BF6">
        <w:trPr>
          <w:trHeight w:val="283"/>
        </w:trPr>
        <w:tc>
          <w:tcPr>
            <w:tcW w:w="526" w:type="pct"/>
            <w:vMerge/>
          </w:tcPr>
          <w:p w14:paraId="2FE9FF56" w14:textId="77777777" w:rsidR="00625BF6" w:rsidRPr="002B55E9" w:rsidRDefault="00625BF6" w:rsidP="00B4243F">
            <w:pPr>
              <w:pStyle w:val="lgy-"/>
              <w:rPr>
                <w:rFonts w:eastAsia="宋体"/>
              </w:rPr>
            </w:pPr>
          </w:p>
        </w:tc>
        <w:tc>
          <w:tcPr>
            <w:tcW w:w="1200" w:type="pct"/>
            <w:vMerge/>
          </w:tcPr>
          <w:p w14:paraId="3EF55A03" w14:textId="77777777" w:rsidR="00625BF6" w:rsidRPr="002B55E9" w:rsidRDefault="00625BF6" w:rsidP="00B4243F">
            <w:pPr>
              <w:pStyle w:val="lgy-"/>
              <w:rPr>
                <w:rFonts w:eastAsia="宋体"/>
              </w:rPr>
            </w:pPr>
          </w:p>
        </w:tc>
        <w:tc>
          <w:tcPr>
            <w:tcW w:w="628" w:type="pct"/>
          </w:tcPr>
          <w:p w14:paraId="658B01C6" w14:textId="77777777" w:rsidR="00625BF6" w:rsidRPr="002B55E9" w:rsidRDefault="00625BF6" w:rsidP="00B4243F">
            <w:pPr>
              <w:pStyle w:val="lgy-"/>
              <w:rPr>
                <w:rFonts w:eastAsia="宋体"/>
              </w:rPr>
            </w:pPr>
            <w:r w:rsidRPr="002B55E9">
              <w:rPr>
                <w:rFonts w:eastAsia="宋体" w:hint="eastAsia"/>
              </w:rPr>
              <w:t>高度（</w:t>
            </w:r>
            <w:r w:rsidRPr="002B55E9">
              <w:rPr>
                <w:rFonts w:eastAsia="宋体"/>
              </w:rPr>
              <w:t>m</w:t>
            </w:r>
            <w:r w:rsidRPr="002B55E9">
              <w:rPr>
                <w:rFonts w:eastAsia="宋体" w:hint="eastAsia"/>
              </w:rPr>
              <w:t>）</w:t>
            </w:r>
          </w:p>
        </w:tc>
        <w:tc>
          <w:tcPr>
            <w:tcW w:w="515" w:type="pct"/>
          </w:tcPr>
          <w:p w14:paraId="20CFFD38" w14:textId="77777777" w:rsidR="00625BF6" w:rsidRPr="002B55E9" w:rsidRDefault="00625BF6" w:rsidP="00B4243F">
            <w:pPr>
              <w:pStyle w:val="lgy-"/>
              <w:rPr>
                <w:rFonts w:eastAsia="宋体"/>
              </w:rPr>
            </w:pPr>
            <w:r w:rsidRPr="002B55E9">
              <w:rPr>
                <w:rFonts w:eastAsia="宋体" w:hint="eastAsia"/>
              </w:rPr>
              <w:t>内径（</w:t>
            </w:r>
            <w:r w:rsidRPr="002B55E9">
              <w:rPr>
                <w:rFonts w:eastAsia="宋体"/>
              </w:rPr>
              <w:t>m</w:t>
            </w:r>
            <w:r w:rsidRPr="002B55E9">
              <w:rPr>
                <w:rFonts w:eastAsia="宋体" w:hint="eastAsia"/>
              </w:rPr>
              <w:t>）</w:t>
            </w:r>
          </w:p>
        </w:tc>
        <w:tc>
          <w:tcPr>
            <w:tcW w:w="515" w:type="pct"/>
          </w:tcPr>
          <w:p w14:paraId="66322396" w14:textId="77777777" w:rsidR="00625BF6" w:rsidRPr="002B55E9" w:rsidRDefault="00625BF6" w:rsidP="00B4243F">
            <w:pPr>
              <w:pStyle w:val="lgy-"/>
              <w:rPr>
                <w:rFonts w:eastAsia="宋体"/>
              </w:rPr>
            </w:pPr>
            <w:r w:rsidRPr="002B55E9">
              <w:rPr>
                <w:rFonts w:eastAsia="宋体" w:hint="eastAsia"/>
              </w:rPr>
              <w:t>温度（℃）</w:t>
            </w:r>
          </w:p>
        </w:tc>
        <w:tc>
          <w:tcPr>
            <w:tcW w:w="440" w:type="pct"/>
            <w:vMerge/>
          </w:tcPr>
          <w:p w14:paraId="2C8C0DF5" w14:textId="77777777" w:rsidR="00625BF6" w:rsidRPr="002B55E9" w:rsidRDefault="00625BF6" w:rsidP="00B4243F">
            <w:pPr>
              <w:pStyle w:val="lgy-"/>
              <w:rPr>
                <w:rFonts w:eastAsia="宋体"/>
              </w:rPr>
            </w:pPr>
          </w:p>
        </w:tc>
        <w:tc>
          <w:tcPr>
            <w:tcW w:w="662" w:type="pct"/>
            <w:vMerge/>
          </w:tcPr>
          <w:p w14:paraId="14002907" w14:textId="77777777" w:rsidR="00625BF6" w:rsidRPr="002B55E9" w:rsidRDefault="00625BF6" w:rsidP="00B4243F">
            <w:pPr>
              <w:pStyle w:val="lgy-"/>
              <w:rPr>
                <w:rFonts w:eastAsia="宋体"/>
              </w:rPr>
            </w:pPr>
          </w:p>
        </w:tc>
        <w:tc>
          <w:tcPr>
            <w:tcW w:w="514" w:type="pct"/>
            <w:vMerge/>
          </w:tcPr>
          <w:p w14:paraId="6532ADC9" w14:textId="1ABCE69E" w:rsidR="00625BF6" w:rsidRPr="002B55E9" w:rsidRDefault="00625BF6" w:rsidP="00B4243F">
            <w:pPr>
              <w:pStyle w:val="lgy-"/>
              <w:rPr>
                <w:rFonts w:eastAsia="宋体"/>
              </w:rPr>
            </w:pPr>
          </w:p>
        </w:tc>
      </w:tr>
      <w:tr w:rsidR="002B55E9" w:rsidRPr="002B55E9" w14:paraId="697C669B" w14:textId="77777777" w:rsidTr="00625BF6">
        <w:trPr>
          <w:trHeight w:val="283"/>
        </w:trPr>
        <w:tc>
          <w:tcPr>
            <w:tcW w:w="526" w:type="pct"/>
            <w:noWrap/>
          </w:tcPr>
          <w:p w14:paraId="4C563402" w14:textId="77777777" w:rsidR="00B4243F" w:rsidRPr="002B55E9" w:rsidRDefault="00B4243F" w:rsidP="00B4243F">
            <w:pPr>
              <w:pStyle w:val="lgy-"/>
              <w:rPr>
                <w:rFonts w:eastAsia="宋体"/>
              </w:rPr>
            </w:pPr>
            <w:r w:rsidRPr="002B55E9">
              <w:rPr>
                <w:rFonts w:eastAsia="宋体"/>
              </w:rPr>
              <w:t>DA001</w:t>
            </w:r>
          </w:p>
        </w:tc>
        <w:tc>
          <w:tcPr>
            <w:tcW w:w="1200" w:type="pct"/>
          </w:tcPr>
          <w:p w14:paraId="2216046C" w14:textId="73C8D03C" w:rsidR="00B4243F" w:rsidRPr="002B55E9" w:rsidRDefault="00B4243F" w:rsidP="00B4243F">
            <w:pPr>
              <w:pStyle w:val="lgy-"/>
              <w:rPr>
                <w:rFonts w:eastAsia="宋体"/>
                <w:b/>
              </w:rPr>
            </w:pPr>
            <w:r w:rsidRPr="002B55E9">
              <w:rPr>
                <w:rFonts w:eastAsia="宋体"/>
              </w:rPr>
              <w:t>布袋破损导致袋式除尘无处理效率</w:t>
            </w:r>
          </w:p>
        </w:tc>
        <w:tc>
          <w:tcPr>
            <w:tcW w:w="628" w:type="pct"/>
            <w:noWrap/>
          </w:tcPr>
          <w:p w14:paraId="41B478F4" w14:textId="1C226AAB" w:rsidR="00B4243F" w:rsidRPr="002B55E9" w:rsidRDefault="00B4243F" w:rsidP="00B4243F">
            <w:pPr>
              <w:pStyle w:val="lgy-"/>
              <w:rPr>
                <w:rFonts w:eastAsia="宋体"/>
              </w:rPr>
            </w:pPr>
            <w:r w:rsidRPr="002B55E9">
              <w:rPr>
                <w:rFonts w:eastAsia="宋体"/>
              </w:rPr>
              <w:t>18</w:t>
            </w:r>
          </w:p>
        </w:tc>
        <w:tc>
          <w:tcPr>
            <w:tcW w:w="515" w:type="pct"/>
            <w:noWrap/>
          </w:tcPr>
          <w:p w14:paraId="4390FAB0" w14:textId="6F62E614" w:rsidR="00B4243F" w:rsidRPr="002B55E9" w:rsidRDefault="00B4243F" w:rsidP="00B4243F">
            <w:pPr>
              <w:pStyle w:val="lgy-"/>
              <w:rPr>
                <w:rFonts w:eastAsia="宋体"/>
              </w:rPr>
            </w:pPr>
            <w:r w:rsidRPr="002B55E9">
              <w:rPr>
                <w:rFonts w:eastAsia="宋体" w:hint="eastAsia"/>
              </w:rPr>
              <w:t>0.4</w:t>
            </w:r>
          </w:p>
        </w:tc>
        <w:tc>
          <w:tcPr>
            <w:tcW w:w="515" w:type="pct"/>
            <w:noWrap/>
          </w:tcPr>
          <w:p w14:paraId="2BEE07CF" w14:textId="3A8FBEE4" w:rsidR="00B4243F" w:rsidRPr="002B55E9" w:rsidRDefault="00B4243F" w:rsidP="00B4243F">
            <w:pPr>
              <w:pStyle w:val="lgy-"/>
              <w:rPr>
                <w:rFonts w:eastAsia="宋体"/>
              </w:rPr>
            </w:pPr>
            <w:r w:rsidRPr="002B55E9">
              <w:rPr>
                <w:rFonts w:eastAsia="宋体" w:hint="eastAsia"/>
              </w:rPr>
              <w:t>25</w:t>
            </w:r>
          </w:p>
        </w:tc>
        <w:tc>
          <w:tcPr>
            <w:tcW w:w="440" w:type="pct"/>
            <w:noWrap/>
          </w:tcPr>
          <w:p w14:paraId="65AE49D1" w14:textId="3414EE08" w:rsidR="00B4243F" w:rsidRPr="002B55E9" w:rsidRDefault="00B4243F" w:rsidP="00B4243F">
            <w:pPr>
              <w:pStyle w:val="lgy-"/>
              <w:rPr>
                <w:rFonts w:eastAsia="宋体"/>
              </w:rPr>
            </w:pPr>
            <w:r w:rsidRPr="002B55E9">
              <w:rPr>
                <w:rFonts w:eastAsia="宋体" w:hint="eastAsia"/>
              </w:rPr>
              <w:t>5000</w:t>
            </w:r>
          </w:p>
        </w:tc>
        <w:tc>
          <w:tcPr>
            <w:tcW w:w="662" w:type="pct"/>
          </w:tcPr>
          <w:p w14:paraId="6A52CAEA" w14:textId="77777777" w:rsidR="00B4243F" w:rsidRPr="002B55E9" w:rsidRDefault="00B4243F" w:rsidP="00B4243F">
            <w:pPr>
              <w:pStyle w:val="lgy-"/>
              <w:rPr>
                <w:rFonts w:eastAsia="宋体"/>
              </w:rPr>
            </w:pPr>
            <w:r w:rsidRPr="002B55E9">
              <w:rPr>
                <w:rFonts w:eastAsia="宋体" w:hint="eastAsia"/>
              </w:rPr>
              <w:t>颗粒物</w:t>
            </w:r>
          </w:p>
        </w:tc>
        <w:tc>
          <w:tcPr>
            <w:tcW w:w="514" w:type="pct"/>
            <w:noWrap/>
          </w:tcPr>
          <w:p w14:paraId="053F53BF" w14:textId="05249908" w:rsidR="00B4243F" w:rsidRPr="002B55E9" w:rsidRDefault="00B4243F" w:rsidP="00B4243F">
            <w:pPr>
              <w:pStyle w:val="lgy-"/>
              <w:rPr>
                <w:rFonts w:eastAsia="宋体"/>
              </w:rPr>
            </w:pPr>
            <w:r w:rsidRPr="002B55E9">
              <w:rPr>
                <w:rFonts w:eastAsia="宋体"/>
              </w:rPr>
              <w:t>0.141</w:t>
            </w:r>
          </w:p>
        </w:tc>
      </w:tr>
      <w:tr w:rsidR="002B55E9" w:rsidRPr="002B55E9" w14:paraId="16A940CF" w14:textId="77777777" w:rsidTr="00625BF6">
        <w:trPr>
          <w:trHeight w:val="283"/>
        </w:trPr>
        <w:tc>
          <w:tcPr>
            <w:tcW w:w="526" w:type="pct"/>
            <w:noWrap/>
          </w:tcPr>
          <w:p w14:paraId="47A82AB0" w14:textId="4103F667" w:rsidR="00B4243F" w:rsidRPr="002B55E9" w:rsidRDefault="00B4243F" w:rsidP="00B4243F">
            <w:pPr>
              <w:pStyle w:val="lgy-"/>
              <w:rPr>
                <w:rFonts w:eastAsia="宋体"/>
              </w:rPr>
            </w:pPr>
            <w:r w:rsidRPr="002B55E9">
              <w:rPr>
                <w:rFonts w:eastAsia="宋体"/>
              </w:rPr>
              <w:t>DA002</w:t>
            </w:r>
          </w:p>
        </w:tc>
        <w:tc>
          <w:tcPr>
            <w:tcW w:w="1200" w:type="pct"/>
          </w:tcPr>
          <w:p w14:paraId="197A71F7" w14:textId="79E98D3F" w:rsidR="00B4243F" w:rsidRPr="002B55E9" w:rsidRDefault="00B4243F" w:rsidP="00B4243F">
            <w:pPr>
              <w:pStyle w:val="lgy-"/>
              <w:rPr>
                <w:rFonts w:eastAsia="宋体"/>
                <w:b/>
              </w:rPr>
            </w:pPr>
            <w:r w:rsidRPr="002B55E9">
              <w:rPr>
                <w:rFonts w:eastAsia="宋体"/>
              </w:rPr>
              <w:t>喷淋塔水泵故障，废气直接排放</w:t>
            </w:r>
          </w:p>
        </w:tc>
        <w:tc>
          <w:tcPr>
            <w:tcW w:w="628" w:type="pct"/>
            <w:noWrap/>
          </w:tcPr>
          <w:p w14:paraId="0972C3E9" w14:textId="739AB8C1" w:rsidR="00B4243F" w:rsidRPr="002B55E9" w:rsidRDefault="00B4243F" w:rsidP="00B4243F">
            <w:pPr>
              <w:pStyle w:val="lgy-"/>
              <w:rPr>
                <w:rFonts w:eastAsia="宋体"/>
              </w:rPr>
            </w:pPr>
            <w:r w:rsidRPr="002B55E9">
              <w:rPr>
                <w:rFonts w:eastAsia="宋体" w:hint="eastAsia"/>
              </w:rPr>
              <w:t>18</w:t>
            </w:r>
          </w:p>
        </w:tc>
        <w:tc>
          <w:tcPr>
            <w:tcW w:w="515" w:type="pct"/>
            <w:noWrap/>
          </w:tcPr>
          <w:p w14:paraId="12D27772" w14:textId="11AEC704" w:rsidR="00B4243F" w:rsidRPr="002B55E9" w:rsidRDefault="00B4243F" w:rsidP="00B4243F">
            <w:pPr>
              <w:pStyle w:val="lgy-"/>
              <w:rPr>
                <w:rFonts w:eastAsia="宋体"/>
              </w:rPr>
            </w:pPr>
            <w:r w:rsidRPr="002B55E9">
              <w:rPr>
                <w:rFonts w:eastAsia="宋体" w:hint="eastAsia"/>
              </w:rPr>
              <w:t>0.5</w:t>
            </w:r>
          </w:p>
        </w:tc>
        <w:tc>
          <w:tcPr>
            <w:tcW w:w="515" w:type="pct"/>
            <w:noWrap/>
          </w:tcPr>
          <w:p w14:paraId="2F3D13ED" w14:textId="7F1EA86C" w:rsidR="00B4243F" w:rsidRPr="002B55E9" w:rsidRDefault="00B4243F" w:rsidP="00B4243F">
            <w:pPr>
              <w:pStyle w:val="lgy-"/>
              <w:rPr>
                <w:rFonts w:eastAsia="宋体"/>
              </w:rPr>
            </w:pPr>
            <w:r w:rsidRPr="002B55E9">
              <w:rPr>
                <w:rFonts w:eastAsia="宋体" w:hint="eastAsia"/>
              </w:rPr>
              <w:t>25</w:t>
            </w:r>
          </w:p>
        </w:tc>
        <w:tc>
          <w:tcPr>
            <w:tcW w:w="440" w:type="pct"/>
            <w:noWrap/>
          </w:tcPr>
          <w:p w14:paraId="553237D3" w14:textId="7E00CD1C" w:rsidR="00B4243F" w:rsidRPr="002B55E9" w:rsidRDefault="00B4243F" w:rsidP="00B4243F">
            <w:pPr>
              <w:pStyle w:val="lgy-"/>
              <w:rPr>
                <w:rFonts w:eastAsia="宋体"/>
              </w:rPr>
            </w:pPr>
            <w:r w:rsidRPr="002B55E9">
              <w:rPr>
                <w:rFonts w:eastAsia="宋体" w:hint="eastAsia"/>
              </w:rPr>
              <w:t>1</w:t>
            </w:r>
            <w:r w:rsidRPr="002B55E9">
              <w:rPr>
                <w:rFonts w:eastAsia="宋体"/>
              </w:rPr>
              <w:t>2</w:t>
            </w:r>
            <w:r w:rsidRPr="002B55E9">
              <w:rPr>
                <w:rFonts w:eastAsia="宋体" w:hint="eastAsia"/>
              </w:rPr>
              <w:t>000</w:t>
            </w:r>
          </w:p>
        </w:tc>
        <w:tc>
          <w:tcPr>
            <w:tcW w:w="662" w:type="pct"/>
          </w:tcPr>
          <w:p w14:paraId="0294737F" w14:textId="79052A5F" w:rsidR="00B4243F" w:rsidRPr="002B55E9" w:rsidRDefault="00B4243F" w:rsidP="00B4243F">
            <w:pPr>
              <w:pStyle w:val="lgy-"/>
              <w:rPr>
                <w:rFonts w:eastAsia="宋体"/>
              </w:rPr>
            </w:pPr>
            <w:r w:rsidRPr="002B55E9">
              <w:rPr>
                <w:rFonts w:eastAsia="宋体" w:hint="eastAsia"/>
              </w:rPr>
              <w:t>非甲烷总烃</w:t>
            </w:r>
          </w:p>
        </w:tc>
        <w:tc>
          <w:tcPr>
            <w:tcW w:w="514" w:type="pct"/>
            <w:noWrap/>
          </w:tcPr>
          <w:p w14:paraId="141F7A73" w14:textId="680F8D5D" w:rsidR="00B4243F" w:rsidRPr="002B55E9" w:rsidRDefault="00B4243F" w:rsidP="00B4243F">
            <w:pPr>
              <w:pStyle w:val="lgy-"/>
              <w:rPr>
                <w:rFonts w:eastAsia="宋体"/>
              </w:rPr>
            </w:pPr>
            <w:r w:rsidRPr="002B55E9">
              <w:rPr>
                <w:rFonts w:eastAsia="宋体" w:hint="eastAsia"/>
              </w:rPr>
              <w:t>3</w:t>
            </w:r>
            <w:r w:rsidRPr="002B55E9">
              <w:rPr>
                <w:rFonts w:eastAsia="宋体"/>
              </w:rPr>
              <w:t>.178</w:t>
            </w:r>
          </w:p>
        </w:tc>
      </w:tr>
      <w:tr w:rsidR="002B55E9" w:rsidRPr="002B55E9" w14:paraId="478AF112" w14:textId="77777777" w:rsidTr="00625BF6">
        <w:trPr>
          <w:trHeight w:val="283"/>
        </w:trPr>
        <w:tc>
          <w:tcPr>
            <w:tcW w:w="526" w:type="pct"/>
            <w:vMerge w:val="restart"/>
            <w:noWrap/>
          </w:tcPr>
          <w:p w14:paraId="086463D6" w14:textId="2B23D2AF" w:rsidR="00B4243F" w:rsidRPr="002B55E9" w:rsidRDefault="00B4243F" w:rsidP="00B4243F">
            <w:pPr>
              <w:pStyle w:val="lgy-"/>
              <w:rPr>
                <w:rFonts w:eastAsia="宋体"/>
              </w:rPr>
            </w:pPr>
            <w:r w:rsidRPr="002B55E9">
              <w:rPr>
                <w:rFonts w:eastAsia="宋体"/>
              </w:rPr>
              <w:t>DA003</w:t>
            </w:r>
          </w:p>
        </w:tc>
        <w:tc>
          <w:tcPr>
            <w:tcW w:w="1200" w:type="pct"/>
            <w:vMerge w:val="restart"/>
          </w:tcPr>
          <w:p w14:paraId="0E56AB96" w14:textId="0FDCA90B" w:rsidR="00B4243F" w:rsidRPr="002B55E9" w:rsidRDefault="00B4243F" w:rsidP="00B4243F">
            <w:pPr>
              <w:pStyle w:val="lgy-"/>
              <w:rPr>
                <w:rFonts w:eastAsia="宋体"/>
                <w:b/>
              </w:rPr>
            </w:pPr>
            <w:r w:rsidRPr="002B55E9">
              <w:rPr>
                <w:rFonts w:eastAsia="宋体"/>
              </w:rPr>
              <w:t>活性炭吸附长期未更换</w:t>
            </w:r>
          </w:p>
        </w:tc>
        <w:tc>
          <w:tcPr>
            <w:tcW w:w="628" w:type="pct"/>
            <w:vMerge w:val="restart"/>
            <w:noWrap/>
          </w:tcPr>
          <w:p w14:paraId="2E015EBA" w14:textId="2C54941F" w:rsidR="00B4243F" w:rsidRPr="002B55E9" w:rsidRDefault="00B4243F" w:rsidP="00B4243F">
            <w:pPr>
              <w:pStyle w:val="lgy-"/>
              <w:rPr>
                <w:rFonts w:eastAsia="宋体"/>
              </w:rPr>
            </w:pPr>
            <w:r w:rsidRPr="002B55E9">
              <w:rPr>
                <w:rFonts w:eastAsia="宋体" w:hint="eastAsia"/>
              </w:rPr>
              <w:t>18</w:t>
            </w:r>
          </w:p>
        </w:tc>
        <w:tc>
          <w:tcPr>
            <w:tcW w:w="515" w:type="pct"/>
            <w:vMerge w:val="restart"/>
            <w:noWrap/>
          </w:tcPr>
          <w:p w14:paraId="059BD91F" w14:textId="43C3443A" w:rsidR="00B4243F" w:rsidRPr="002B55E9" w:rsidRDefault="00B4243F" w:rsidP="00B4243F">
            <w:pPr>
              <w:pStyle w:val="lgy-"/>
              <w:rPr>
                <w:rFonts w:eastAsia="宋体"/>
              </w:rPr>
            </w:pPr>
            <w:r w:rsidRPr="002B55E9">
              <w:rPr>
                <w:rFonts w:eastAsia="宋体" w:hint="eastAsia"/>
              </w:rPr>
              <w:t>0.</w:t>
            </w:r>
            <w:r w:rsidRPr="002B55E9">
              <w:rPr>
                <w:rFonts w:eastAsia="宋体"/>
              </w:rPr>
              <w:t>3</w:t>
            </w:r>
          </w:p>
        </w:tc>
        <w:tc>
          <w:tcPr>
            <w:tcW w:w="515" w:type="pct"/>
            <w:vMerge w:val="restart"/>
            <w:noWrap/>
          </w:tcPr>
          <w:p w14:paraId="46E51BAE" w14:textId="47F15E0C" w:rsidR="00B4243F" w:rsidRPr="002B55E9" w:rsidRDefault="00B4243F" w:rsidP="00B4243F">
            <w:pPr>
              <w:pStyle w:val="lgy-"/>
              <w:rPr>
                <w:rFonts w:eastAsia="宋体"/>
              </w:rPr>
            </w:pPr>
            <w:r w:rsidRPr="002B55E9">
              <w:rPr>
                <w:rFonts w:eastAsia="宋体" w:hint="eastAsia"/>
              </w:rPr>
              <w:t>25</w:t>
            </w:r>
          </w:p>
        </w:tc>
        <w:tc>
          <w:tcPr>
            <w:tcW w:w="440" w:type="pct"/>
            <w:vMerge w:val="restart"/>
            <w:noWrap/>
          </w:tcPr>
          <w:p w14:paraId="5E63BC7F" w14:textId="7FC99B7C" w:rsidR="00B4243F" w:rsidRPr="002B55E9" w:rsidRDefault="00B4243F" w:rsidP="00B4243F">
            <w:pPr>
              <w:pStyle w:val="lgy-"/>
              <w:rPr>
                <w:rFonts w:eastAsia="宋体"/>
              </w:rPr>
            </w:pPr>
            <w:r w:rsidRPr="002B55E9">
              <w:rPr>
                <w:rFonts w:eastAsia="宋体" w:hint="eastAsia"/>
              </w:rPr>
              <w:t>4000</w:t>
            </w:r>
          </w:p>
        </w:tc>
        <w:tc>
          <w:tcPr>
            <w:tcW w:w="662" w:type="pct"/>
          </w:tcPr>
          <w:p w14:paraId="33434F9F" w14:textId="13CA1CE4" w:rsidR="00B4243F" w:rsidRPr="002B55E9" w:rsidRDefault="00B4243F" w:rsidP="00B4243F">
            <w:pPr>
              <w:pStyle w:val="lgy-"/>
              <w:rPr>
                <w:rFonts w:eastAsia="宋体"/>
              </w:rPr>
            </w:pPr>
            <w:r w:rsidRPr="002B55E9">
              <w:rPr>
                <w:rFonts w:eastAsia="宋体" w:hint="eastAsia"/>
              </w:rPr>
              <w:t>非甲烷总烃</w:t>
            </w:r>
          </w:p>
        </w:tc>
        <w:tc>
          <w:tcPr>
            <w:tcW w:w="514" w:type="pct"/>
            <w:noWrap/>
          </w:tcPr>
          <w:p w14:paraId="3852476D" w14:textId="37AF113C" w:rsidR="00B4243F" w:rsidRPr="002B55E9" w:rsidRDefault="00B4243F" w:rsidP="00B4243F">
            <w:pPr>
              <w:pStyle w:val="lgy-"/>
              <w:rPr>
                <w:rFonts w:eastAsia="宋体"/>
              </w:rPr>
            </w:pPr>
            <w:r w:rsidRPr="002B55E9">
              <w:rPr>
                <w:rFonts w:eastAsia="宋体"/>
              </w:rPr>
              <w:t xml:space="preserve">0.008 </w:t>
            </w:r>
          </w:p>
        </w:tc>
      </w:tr>
      <w:tr w:rsidR="002B55E9" w:rsidRPr="002B55E9" w14:paraId="15B54C22" w14:textId="77777777" w:rsidTr="00625BF6">
        <w:trPr>
          <w:trHeight w:val="283"/>
        </w:trPr>
        <w:tc>
          <w:tcPr>
            <w:tcW w:w="526" w:type="pct"/>
            <w:vMerge/>
            <w:noWrap/>
          </w:tcPr>
          <w:p w14:paraId="262A45F0" w14:textId="77777777" w:rsidR="00B4243F" w:rsidRPr="002B55E9" w:rsidRDefault="00B4243F" w:rsidP="00B4243F">
            <w:pPr>
              <w:pStyle w:val="lgy-"/>
              <w:rPr>
                <w:rFonts w:eastAsia="宋体"/>
              </w:rPr>
            </w:pPr>
          </w:p>
        </w:tc>
        <w:tc>
          <w:tcPr>
            <w:tcW w:w="1200" w:type="pct"/>
            <w:vMerge/>
          </w:tcPr>
          <w:p w14:paraId="3EC9DD15" w14:textId="77777777" w:rsidR="00B4243F" w:rsidRPr="002B55E9" w:rsidRDefault="00B4243F" w:rsidP="00B4243F">
            <w:pPr>
              <w:pStyle w:val="lgy-"/>
              <w:rPr>
                <w:rFonts w:eastAsia="宋体"/>
                <w:b/>
              </w:rPr>
            </w:pPr>
          </w:p>
        </w:tc>
        <w:tc>
          <w:tcPr>
            <w:tcW w:w="628" w:type="pct"/>
            <w:vMerge/>
            <w:noWrap/>
          </w:tcPr>
          <w:p w14:paraId="613340C0" w14:textId="77777777" w:rsidR="00B4243F" w:rsidRPr="002B55E9" w:rsidRDefault="00B4243F" w:rsidP="00B4243F">
            <w:pPr>
              <w:pStyle w:val="lgy-"/>
              <w:rPr>
                <w:rFonts w:eastAsia="宋体"/>
              </w:rPr>
            </w:pPr>
          </w:p>
        </w:tc>
        <w:tc>
          <w:tcPr>
            <w:tcW w:w="515" w:type="pct"/>
            <w:vMerge/>
            <w:noWrap/>
          </w:tcPr>
          <w:p w14:paraId="0647E297" w14:textId="77777777" w:rsidR="00B4243F" w:rsidRPr="002B55E9" w:rsidRDefault="00B4243F" w:rsidP="00B4243F">
            <w:pPr>
              <w:pStyle w:val="lgy-"/>
              <w:rPr>
                <w:rFonts w:eastAsia="宋体"/>
              </w:rPr>
            </w:pPr>
          </w:p>
        </w:tc>
        <w:tc>
          <w:tcPr>
            <w:tcW w:w="515" w:type="pct"/>
            <w:vMerge/>
            <w:noWrap/>
          </w:tcPr>
          <w:p w14:paraId="0ECC705C" w14:textId="77777777" w:rsidR="00B4243F" w:rsidRPr="002B55E9" w:rsidRDefault="00B4243F" w:rsidP="00B4243F">
            <w:pPr>
              <w:pStyle w:val="lgy-"/>
              <w:rPr>
                <w:rFonts w:eastAsia="宋体"/>
              </w:rPr>
            </w:pPr>
          </w:p>
        </w:tc>
        <w:tc>
          <w:tcPr>
            <w:tcW w:w="440" w:type="pct"/>
            <w:vMerge/>
            <w:noWrap/>
          </w:tcPr>
          <w:p w14:paraId="53FF210F" w14:textId="77777777" w:rsidR="00B4243F" w:rsidRPr="002B55E9" w:rsidRDefault="00B4243F" w:rsidP="00B4243F">
            <w:pPr>
              <w:pStyle w:val="lgy-"/>
              <w:rPr>
                <w:rFonts w:eastAsia="宋体"/>
              </w:rPr>
            </w:pPr>
          </w:p>
        </w:tc>
        <w:tc>
          <w:tcPr>
            <w:tcW w:w="662" w:type="pct"/>
          </w:tcPr>
          <w:p w14:paraId="7DA419A8" w14:textId="4BC30CDA" w:rsidR="00B4243F" w:rsidRPr="002B55E9" w:rsidRDefault="00B4243F" w:rsidP="00B4243F">
            <w:pPr>
              <w:pStyle w:val="lgy-"/>
              <w:rPr>
                <w:rFonts w:eastAsia="宋体"/>
              </w:rPr>
            </w:pPr>
            <w:r w:rsidRPr="002B55E9">
              <w:rPr>
                <w:rFonts w:eastAsia="宋体" w:hint="eastAsia"/>
              </w:rPr>
              <w:t>甲醛</w:t>
            </w:r>
          </w:p>
        </w:tc>
        <w:tc>
          <w:tcPr>
            <w:tcW w:w="514" w:type="pct"/>
            <w:noWrap/>
          </w:tcPr>
          <w:p w14:paraId="1B7940BD" w14:textId="52350C94" w:rsidR="00B4243F" w:rsidRPr="002B55E9" w:rsidRDefault="00B4243F" w:rsidP="00B4243F">
            <w:pPr>
              <w:pStyle w:val="lgy-"/>
              <w:rPr>
                <w:rFonts w:eastAsia="宋体"/>
              </w:rPr>
            </w:pPr>
            <w:r w:rsidRPr="002B55E9">
              <w:rPr>
                <w:rFonts w:eastAsia="宋体"/>
              </w:rPr>
              <w:t xml:space="preserve">0.005 </w:t>
            </w:r>
          </w:p>
        </w:tc>
      </w:tr>
      <w:tr w:rsidR="002B55E9" w:rsidRPr="002B55E9" w14:paraId="1CFEE2E7" w14:textId="77777777" w:rsidTr="00625BF6">
        <w:trPr>
          <w:trHeight w:val="283"/>
        </w:trPr>
        <w:tc>
          <w:tcPr>
            <w:tcW w:w="526" w:type="pct"/>
            <w:vMerge/>
            <w:noWrap/>
          </w:tcPr>
          <w:p w14:paraId="0D4FE235" w14:textId="77777777" w:rsidR="00B4243F" w:rsidRPr="002B55E9" w:rsidRDefault="00B4243F" w:rsidP="00B4243F">
            <w:pPr>
              <w:pStyle w:val="lgy-"/>
              <w:rPr>
                <w:rFonts w:eastAsia="宋体"/>
              </w:rPr>
            </w:pPr>
          </w:p>
        </w:tc>
        <w:tc>
          <w:tcPr>
            <w:tcW w:w="1200" w:type="pct"/>
            <w:vMerge/>
          </w:tcPr>
          <w:p w14:paraId="4CA5C76C" w14:textId="77777777" w:rsidR="00B4243F" w:rsidRPr="002B55E9" w:rsidRDefault="00B4243F" w:rsidP="00B4243F">
            <w:pPr>
              <w:pStyle w:val="lgy-"/>
              <w:rPr>
                <w:rFonts w:eastAsia="宋体"/>
                <w:b/>
              </w:rPr>
            </w:pPr>
          </w:p>
        </w:tc>
        <w:tc>
          <w:tcPr>
            <w:tcW w:w="628" w:type="pct"/>
            <w:vMerge/>
            <w:noWrap/>
          </w:tcPr>
          <w:p w14:paraId="0EE04E9B" w14:textId="77777777" w:rsidR="00B4243F" w:rsidRPr="002B55E9" w:rsidRDefault="00B4243F" w:rsidP="00B4243F">
            <w:pPr>
              <w:pStyle w:val="lgy-"/>
              <w:rPr>
                <w:rFonts w:eastAsia="宋体"/>
              </w:rPr>
            </w:pPr>
          </w:p>
        </w:tc>
        <w:tc>
          <w:tcPr>
            <w:tcW w:w="515" w:type="pct"/>
            <w:vMerge/>
            <w:noWrap/>
          </w:tcPr>
          <w:p w14:paraId="4E345804" w14:textId="77777777" w:rsidR="00B4243F" w:rsidRPr="002B55E9" w:rsidRDefault="00B4243F" w:rsidP="00B4243F">
            <w:pPr>
              <w:pStyle w:val="lgy-"/>
              <w:rPr>
                <w:rFonts w:eastAsia="宋体"/>
              </w:rPr>
            </w:pPr>
          </w:p>
        </w:tc>
        <w:tc>
          <w:tcPr>
            <w:tcW w:w="515" w:type="pct"/>
            <w:vMerge/>
            <w:noWrap/>
          </w:tcPr>
          <w:p w14:paraId="492164C6" w14:textId="77777777" w:rsidR="00B4243F" w:rsidRPr="002B55E9" w:rsidRDefault="00B4243F" w:rsidP="00B4243F">
            <w:pPr>
              <w:pStyle w:val="lgy-"/>
              <w:rPr>
                <w:rFonts w:eastAsia="宋体"/>
              </w:rPr>
            </w:pPr>
          </w:p>
        </w:tc>
        <w:tc>
          <w:tcPr>
            <w:tcW w:w="440" w:type="pct"/>
            <w:vMerge/>
            <w:noWrap/>
          </w:tcPr>
          <w:p w14:paraId="2123D92C" w14:textId="77777777" w:rsidR="00B4243F" w:rsidRPr="002B55E9" w:rsidRDefault="00B4243F" w:rsidP="00B4243F">
            <w:pPr>
              <w:pStyle w:val="lgy-"/>
              <w:rPr>
                <w:rFonts w:eastAsia="宋体"/>
              </w:rPr>
            </w:pPr>
          </w:p>
        </w:tc>
        <w:tc>
          <w:tcPr>
            <w:tcW w:w="662" w:type="pct"/>
          </w:tcPr>
          <w:p w14:paraId="774F2D45" w14:textId="14D0DF9D" w:rsidR="00B4243F" w:rsidRPr="002B55E9" w:rsidRDefault="00B4243F" w:rsidP="00B4243F">
            <w:pPr>
              <w:pStyle w:val="lgy-"/>
              <w:rPr>
                <w:rFonts w:eastAsia="宋体"/>
              </w:rPr>
            </w:pPr>
            <w:r w:rsidRPr="002B55E9">
              <w:rPr>
                <w:rFonts w:eastAsia="宋体" w:hint="eastAsia"/>
              </w:rPr>
              <w:t>硫酸</w:t>
            </w:r>
          </w:p>
        </w:tc>
        <w:tc>
          <w:tcPr>
            <w:tcW w:w="514" w:type="pct"/>
            <w:noWrap/>
          </w:tcPr>
          <w:p w14:paraId="3388AA6D" w14:textId="5830652D" w:rsidR="00B4243F" w:rsidRPr="002B55E9" w:rsidRDefault="00B4243F" w:rsidP="00B4243F">
            <w:pPr>
              <w:pStyle w:val="lgy-"/>
              <w:rPr>
                <w:rFonts w:eastAsia="宋体"/>
              </w:rPr>
            </w:pPr>
            <w:r w:rsidRPr="002B55E9">
              <w:rPr>
                <w:rFonts w:eastAsia="宋体"/>
              </w:rPr>
              <w:t xml:space="preserve">0.011 </w:t>
            </w:r>
          </w:p>
        </w:tc>
      </w:tr>
      <w:tr w:rsidR="002B55E9" w:rsidRPr="002B55E9" w14:paraId="723245A3" w14:textId="77777777" w:rsidTr="00625BF6">
        <w:trPr>
          <w:trHeight w:val="283"/>
        </w:trPr>
        <w:tc>
          <w:tcPr>
            <w:tcW w:w="526" w:type="pct"/>
            <w:vMerge/>
            <w:noWrap/>
          </w:tcPr>
          <w:p w14:paraId="68488449" w14:textId="77777777" w:rsidR="00B4243F" w:rsidRPr="002B55E9" w:rsidRDefault="00B4243F" w:rsidP="00B4243F">
            <w:pPr>
              <w:pStyle w:val="lgy-"/>
              <w:rPr>
                <w:rFonts w:eastAsia="宋体"/>
              </w:rPr>
            </w:pPr>
          </w:p>
        </w:tc>
        <w:tc>
          <w:tcPr>
            <w:tcW w:w="1200" w:type="pct"/>
            <w:vMerge/>
          </w:tcPr>
          <w:p w14:paraId="4107DB82" w14:textId="77777777" w:rsidR="00B4243F" w:rsidRPr="002B55E9" w:rsidRDefault="00B4243F" w:rsidP="00B4243F">
            <w:pPr>
              <w:pStyle w:val="lgy-"/>
              <w:rPr>
                <w:rFonts w:eastAsia="宋体"/>
                <w:b/>
              </w:rPr>
            </w:pPr>
          </w:p>
        </w:tc>
        <w:tc>
          <w:tcPr>
            <w:tcW w:w="628" w:type="pct"/>
            <w:vMerge/>
            <w:noWrap/>
          </w:tcPr>
          <w:p w14:paraId="657CCEC9" w14:textId="77777777" w:rsidR="00B4243F" w:rsidRPr="002B55E9" w:rsidRDefault="00B4243F" w:rsidP="00B4243F">
            <w:pPr>
              <w:pStyle w:val="lgy-"/>
              <w:rPr>
                <w:rFonts w:eastAsia="宋体"/>
              </w:rPr>
            </w:pPr>
          </w:p>
        </w:tc>
        <w:tc>
          <w:tcPr>
            <w:tcW w:w="515" w:type="pct"/>
            <w:vMerge/>
            <w:noWrap/>
          </w:tcPr>
          <w:p w14:paraId="0015D695" w14:textId="77777777" w:rsidR="00B4243F" w:rsidRPr="002B55E9" w:rsidRDefault="00B4243F" w:rsidP="00B4243F">
            <w:pPr>
              <w:pStyle w:val="lgy-"/>
              <w:rPr>
                <w:rFonts w:eastAsia="宋体"/>
              </w:rPr>
            </w:pPr>
          </w:p>
        </w:tc>
        <w:tc>
          <w:tcPr>
            <w:tcW w:w="515" w:type="pct"/>
            <w:vMerge/>
            <w:noWrap/>
          </w:tcPr>
          <w:p w14:paraId="60D5B245" w14:textId="77777777" w:rsidR="00B4243F" w:rsidRPr="002B55E9" w:rsidRDefault="00B4243F" w:rsidP="00B4243F">
            <w:pPr>
              <w:pStyle w:val="lgy-"/>
              <w:rPr>
                <w:rFonts w:eastAsia="宋体"/>
              </w:rPr>
            </w:pPr>
          </w:p>
        </w:tc>
        <w:tc>
          <w:tcPr>
            <w:tcW w:w="440" w:type="pct"/>
            <w:vMerge/>
            <w:noWrap/>
          </w:tcPr>
          <w:p w14:paraId="0124FE5A" w14:textId="77777777" w:rsidR="00B4243F" w:rsidRPr="002B55E9" w:rsidRDefault="00B4243F" w:rsidP="00B4243F">
            <w:pPr>
              <w:pStyle w:val="lgy-"/>
              <w:rPr>
                <w:rFonts w:eastAsia="宋体"/>
              </w:rPr>
            </w:pPr>
          </w:p>
        </w:tc>
        <w:tc>
          <w:tcPr>
            <w:tcW w:w="662" w:type="pct"/>
          </w:tcPr>
          <w:p w14:paraId="033E786C" w14:textId="2C1F4A66" w:rsidR="00B4243F" w:rsidRPr="002B55E9" w:rsidRDefault="00B4243F" w:rsidP="00B4243F">
            <w:pPr>
              <w:pStyle w:val="lgy-"/>
              <w:rPr>
                <w:rFonts w:eastAsia="宋体"/>
              </w:rPr>
            </w:pPr>
            <w:r w:rsidRPr="002B55E9">
              <w:rPr>
                <w:rFonts w:eastAsia="宋体" w:hint="eastAsia"/>
              </w:rPr>
              <w:t>氯化氢</w:t>
            </w:r>
          </w:p>
        </w:tc>
        <w:tc>
          <w:tcPr>
            <w:tcW w:w="514" w:type="pct"/>
            <w:noWrap/>
          </w:tcPr>
          <w:p w14:paraId="0E9E83C8" w14:textId="53A66044" w:rsidR="00B4243F" w:rsidRPr="002B55E9" w:rsidRDefault="00B4243F" w:rsidP="00B4243F">
            <w:pPr>
              <w:pStyle w:val="lgy-"/>
              <w:rPr>
                <w:rFonts w:eastAsia="宋体"/>
              </w:rPr>
            </w:pPr>
            <w:r w:rsidRPr="002B55E9">
              <w:rPr>
                <w:rFonts w:eastAsia="宋体"/>
              </w:rPr>
              <w:t>2.21E-05</w:t>
            </w:r>
          </w:p>
        </w:tc>
      </w:tr>
    </w:tbl>
    <w:p w14:paraId="584ABA44" w14:textId="0414B34D" w:rsidR="00D170E5" w:rsidRPr="002B55E9" w:rsidRDefault="00EF27AD">
      <w:pPr>
        <w:pStyle w:val="5"/>
        <w:numPr>
          <w:ilvl w:val="4"/>
          <w:numId w:val="26"/>
        </w:numPr>
      </w:pPr>
      <w:r w:rsidRPr="002B55E9">
        <w:rPr>
          <w:rFonts w:hint="eastAsia"/>
        </w:rPr>
        <w:t>评价等级的确定</w:t>
      </w:r>
    </w:p>
    <w:p w14:paraId="45D894AD" w14:textId="398FADAF" w:rsidR="00D170E5" w:rsidRPr="002B55E9" w:rsidRDefault="00625BF6">
      <w:pPr>
        <w:pStyle w:val="affff7"/>
        <w:snapToGrid w:val="0"/>
        <w:spacing w:after="0"/>
      </w:pPr>
      <w:r w:rsidRPr="002B55E9">
        <w:rPr>
          <w:rFonts w:hint="eastAsia"/>
        </w:rPr>
        <w:t>正常排放条件下，</w:t>
      </w:r>
      <w:r w:rsidR="00EF27AD" w:rsidRPr="002B55E9">
        <w:rPr>
          <w:rFonts w:hint="eastAsia"/>
        </w:rPr>
        <w:t>本项目主要污染源估算模型计算结果如下表所示</w:t>
      </w:r>
      <w:r w:rsidR="00EF27AD" w:rsidRPr="002B55E9">
        <w:t>。</w:t>
      </w:r>
    </w:p>
    <w:p w14:paraId="20CC7FC0" w14:textId="71F9C1F0" w:rsidR="00D170E5" w:rsidRPr="002B55E9" w:rsidRDefault="00EF27AD">
      <w:pPr>
        <w:pStyle w:val="1f3"/>
        <w:spacing w:beforeLines="0" w:before="0"/>
      </w:pPr>
      <w:r w:rsidRPr="002B55E9">
        <w:rPr>
          <w:rFonts w:hint="eastAsia"/>
        </w:rPr>
        <w:t>表</w:t>
      </w:r>
      <w:r w:rsidRPr="002B55E9">
        <w:rPr>
          <w:rFonts w:hint="eastAsia"/>
        </w:rPr>
        <w:t>5</w:t>
      </w:r>
      <w:r w:rsidRPr="002B55E9">
        <w:t>-2-1</w:t>
      </w:r>
      <w:r w:rsidR="00F531DF" w:rsidRPr="002B55E9">
        <w:t>1</w:t>
      </w:r>
      <w:r w:rsidRPr="002B55E9">
        <w:t xml:space="preserve">  </w:t>
      </w:r>
      <w:r w:rsidR="00120639" w:rsidRPr="002B55E9">
        <w:rPr>
          <w:rFonts w:hint="eastAsia"/>
        </w:rPr>
        <w:t>正常排放条件下</w:t>
      </w:r>
      <w:r w:rsidRPr="002B55E9">
        <w:rPr>
          <w:rFonts w:hint="eastAsia"/>
        </w:rPr>
        <w:t>主要污染源估算模型计算结果汇总表</w:t>
      </w:r>
    </w:p>
    <w:tbl>
      <w:tblPr>
        <w:tblW w:w="96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3"/>
        <w:gridCol w:w="1124"/>
        <w:gridCol w:w="1638"/>
        <w:gridCol w:w="1559"/>
        <w:gridCol w:w="1278"/>
        <w:gridCol w:w="1135"/>
        <w:gridCol w:w="1270"/>
      </w:tblGrid>
      <w:tr w:rsidR="002B55E9" w:rsidRPr="002B55E9" w14:paraId="4933BED5" w14:textId="77777777" w:rsidTr="00625BF6">
        <w:trPr>
          <w:trHeight w:val="284"/>
        </w:trPr>
        <w:tc>
          <w:tcPr>
            <w:tcW w:w="1633" w:type="dxa"/>
            <w:tcBorders>
              <w:top w:val="single" w:sz="12" w:space="0" w:color="auto"/>
              <w:bottom w:val="single" w:sz="12" w:space="0" w:color="auto"/>
            </w:tcBorders>
            <w:vAlign w:val="center"/>
          </w:tcPr>
          <w:p w14:paraId="604DA67D" w14:textId="77777777" w:rsidR="00D170E5" w:rsidRPr="002B55E9" w:rsidRDefault="00EF27AD">
            <w:pPr>
              <w:jc w:val="center"/>
              <w:rPr>
                <w:sz w:val="18"/>
                <w:szCs w:val="18"/>
              </w:rPr>
            </w:pPr>
            <w:r w:rsidRPr="002B55E9">
              <w:rPr>
                <w:sz w:val="18"/>
                <w:szCs w:val="18"/>
              </w:rPr>
              <w:t>污染源名称</w:t>
            </w:r>
          </w:p>
        </w:tc>
        <w:tc>
          <w:tcPr>
            <w:tcW w:w="1124" w:type="dxa"/>
            <w:tcBorders>
              <w:top w:val="single" w:sz="12" w:space="0" w:color="auto"/>
              <w:bottom w:val="single" w:sz="12" w:space="0" w:color="auto"/>
            </w:tcBorders>
            <w:vAlign w:val="center"/>
          </w:tcPr>
          <w:p w14:paraId="1DF8FD07" w14:textId="77777777" w:rsidR="00D170E5" w:rsidRPr="002B55E9" w:rsidRDefault="00EF27AD">
            <w:pPr>
              <w:jc w:val="center"/>
              <w:rPr>
                <w:sz w:val="18"/>
                <w:szCs w:val="18"/>
              </w:rPr>
            </w:pPr>
            <w:r w:rsidRPr="002B55E9">
              <w:rPr>
                <w:rFonts w:hint="eastAsia"/>
                <w:sz w:val="18"/>
                <w:szCs w:val="18"/>
              </w:rPr>
              <w:t>排气筒编号</w:t>
            </w:r>
          </w:p>
        </w:tc>
        <w:tc>
          <w:tcPr>
            <w:tcW w:w="1638" w:type="dxa"/>
            <w:tcBorders>
              <w:top w:val="single" w:sz="12" w:space="0" w:color="auto"/>
              <w:bottom w:val="single" w:sz="12" w:space="0" w:color="auto"/>
            </w:tcBorders>
            <w:vAlign w:val="center"/>
          </w:tcPr>
          <w:p w14:paraId="740FB36E" w14:textId="77777777" w:rsidR="00D170E5" w:rsidRPr="002B55E9" w:rsidRDefault="00EF27AD">
            <w:pPr>
              <w:jc w:val="center"/>
              <w:rPr>
                <w:sz w:val="18"/>
                <w:szCs w:val="18"/>
              </w:rPr>
            </w:pPr>
            <w:r w:rsidRPr="002B55E9">
              <w:rPr>
                <w:sz w:val="18"/>
                <w:szCs w:val="18"/>
              </w:rPr>
              <w:t>评价因子</w:t>
            </w:r>
          </w:p>
        </w:tc>
        <w:tc>
          <w:tcPr>
            <w:tcW w:w="1559" w:type="dxa"/>
            <w:tcBorders>
              <w:top w:val="single" w:sz="12" w:space="0" w:color="auto"/>
              <w:bottom w:val="single" w:sz="12" w:space="0" w:color="auto"/>
            </w:tcBorders>
            <w:vAlign w:val="center"/>
          </w:tcPr>
          <w:p w14:paraId="19638484" w14:textId="77777777" w:rsidR="00D170E5" w:rsidRPr="002B55E9" w:rsidRDefault="00EF27AD">
            <w:pPr>
              <w:jc w:val="center"/>
              <w:rPr>
                <w:sz w:val="18"/>
                <w:szCs w:val="18"/>
              </w:rPr>
            </w:pPr>
            <w:r w:rsidRPr="002B55E9">
              <w:rPr>
                <w:sz w:val="18"/>
                <w:szCs w:val="18"/>
              </w:rPr>
              <w:t>评价标准</w:t>
            </w:r>
            <w:r w:rsidRPr="002B55E9">
              <w:rPr>
                <w:sz w:val="18"/>
                <w:szCs w:val="18"/>
              </w:rPr>
              <w:t>(μg/m</w:t>
            </w:r>
            <w:r w:rsidRPr="002B55E9">
              <w:rPr>
                <w:sz w:val="18"/>
                <w:szCs w:val="18"/>
                <w:vertAlign w:val="superscript"/>
              </w:rPr>
              <w:t>3</w:t>
            </w:r>
            <w:r w:rsidRPr="002B55E9">
              <w:rPr>
                <w:sz w:val="18"/>
                <w:szCs w:val="18"/>
              </w:rPr>
              <w:t>)</w:t>
            </w:r>
          </w:p>
        </w:tc>
        <w:tc>
          <w:tcPr>
            <w:tcW w:w="1278" w:type="dxa"/>
            <w:tcBorders>
              <w:top w:val="single" w:sz="12" w:space="0" w:color="auto"/>
              <w:bottom w:val="single" w:sz="12" w:space="0" w:color="auto"/>
            </w:tcBorders>
            <w:vAlign w:val="center"/>
          </w:tcPr>
          <w:p w14:paraId="19DF71AE" w14:textId="77777777" w:rsidR="00D170E5" w:rsidRPr="002B55E9" w:rsidRDefault="00EF27AD">
            <w:pPr>
              <w:jc w:val="center"/>
              <w:rPr>
                <w:sz w:val="18"/>
                <w:szCs w:val="18"/>
              </w:rPr>
            </w:pPr>
            <w:r w:rsidRPr="002B55E9">
              <w:rPr>
                <w:sz w:val="18"/>
                <w:szCs w:val="18"/>
              </w:rPr>
              <w:t>C</w:t>
            </w:r>
            <w:r w:rsidRPr="002B55E9">
              <w:rPr>
                <w:sz w:val="18"/>
                <w:szCs w:val="18"/>
                <w:vertAlign w:val="subscript"/>
              </w:rPr>
              <w:t>max</w:t>
            </w:r>
            <w:r w:rsidRPr="002B55E9">
              <w:rPr>
                <w:sz w:val="18"/>
                <w:szCs w:val="18"/>
              </w:rPr>
              <w:t>(μg/m</w:t>
            </w:r>
            <w:r w:rsidRPr="002B55E9">
              <w:rPr>
                <w:sz w:val="18"/>
                <w:szCs w:val="18"/>
                <w:vertAlign w:val="superscript"/>
              </w:rPr>
              <w:t>3</w:t>
            </w:r>
            <w:r w:rsidRPr="002B55E9">
              <w:rPr>
                <w:sz w:val="18"/>
                <w:szCs w:val="18"/>
              </w:rPr>
              <w:t>)</w:t>
            </w:r>
          </w:p>
        </w:tc>
        <w:tc>
          <w:tcPr>
            <w:tcW w:w="1135" w:type="dxa"/>
            <w:tcBorders>
              <w:top w:val="single" w:sz="12" w:space="0" w:color="auto"/>
              <w:bottom w:val="single" w:sz="12" w:space="0" w:color="auto"/>
            </w:tcBorders>
            <w:vAlign w:val="center"/>
          </w:tcPr>
          <w:p w14:paraId="2C18DCC1" w14:textId="77777777" w:rsidR="00D170E5" w:rsidRPr="002B55E9" w:rsidRDefault="00EF27AD">
            <w:pPr>
              <w:jc w:val="center"/>
              <w:rPr>
                <w:sz w:val="18"/>
                <w:szCs w:val="18"/>
              </w:rPr>
            </w:pPr>
            <w:r w:rsidRPr="002B55E9">
              <w:rPr>
                <w:sz w:val="18"/>
                <w:szCs w:val="18"/>
              </w:rPr>
              <w:t>P</w:t>
            </w:r>
            <w:r w:rsidRPr="002B55E9">
              <w:rPr>
                <w:sz w:val="18"/>
                <w:szCs w:val="18"/>
                <w:vertAlign w:val="subscript"/>
              </w:rPr>
              <w:t>max</w:t>
            </w:r>
            <w:r w:rsidRPr="002B55E9">
              <w:rPr>
                <w:sz w:val="18"/>
                <w:szCs w:val="18"/>
              </w:rPr>
              <w:t>(%)</w:t>
            </w:r>
          </w:p>
        </w:tc>
        <w:tc>
          <w:tcPr>
            <w:tcW w:w="1270" w:type="dxa"/>
            <w:tcBorders>
              <w:top w:val="single" w:sz="12" w:space="0" w:color="auto"/>
              <w:bottom w:val="single" w:sz="12" w:space="0" w:color="auto"/>
            </w:tcBorders>
            <w:vAlign w:val="center"/>
          </w:tcPr>
          <w:p w14:paraId="50D9A8F6" w14:textId="77777777" w:rsidR="00D170E5" w:rsidRPr="002B55E9" w:rsidRDefault="00EF27AD">
            <w:pPr>
              <w:jc w:val="center"/>
              <w:rPr>
                <w:sz w:val="18"/>
                <w:szCs w:val="18"/>
              </w:rPr>
            </w:pPr>
            <w:r w:rsidRPr="002B55E9">
              <w:rPr>
                <w:sz w:val="18"/>
                <w:szCs w:val="18"/>
              </w:rPr>
              <w:t>D</w:t>
            </w:r>
            <w:r w:rsidRPr="002B55E9">
              <w:rPr>
                <w:sz w:val="18"/>
                <w:szCs w:val="18"/>
                <w:vertAlign w:val="subscript"/>
              </w:rPr>
              <w:t>10%</w:t>
            </w:r>
            <w:r w:rsidRPr="002B55E9">
              <w:rPr>
                <w:sz w:val="18"/>
                <w:szCs w:val="18"/>
              </w:rPr>
              <w:t>(m)</w:t>
            </w:r>
          </w:p>
        </w:tc>
      </w:tr>
      <w:tr w:rsidR="002B55E9" w:rsidRPr="002B55E9" w14:paraId="0B873FC5" w14:textId="77777777" w:rsidTr="00625BF6">
        <w:trPr>
          <w:trHeight w:val="284"/>
        </w:trPr>
        <w:tc>
          <w:tcPr>
            <w:tcW w:w="1633" w:type="dxa"/>
            <w:vAlign w:val="center"/>
          </w:tcPr>
          <w:p w14:paraId="612CC692" w14:textId="77777777" w:rsidR="00D170E5" w:rsidRPr="002B55E9" w:rsidRDefault="00EF27AD">
            <w:pPr>
              <w:jc w:val="center"/>
              <w:rPr>
                <w:sz w:val="18"/>
                <w:szCs w:val="18"/>
              </w:rPr>
            </w:pPr>
            <w:r w:rsidRPr="002B55E9">
              <w:rPr>
                <w:rFonts w:hint="eastAsia"/>
                <w:sz w:val="18"/>
                <w:szCs w:val="18"/>
              </w:rPr>
              <w:t>破碎</w:t>
            </w:r>
            <w:r w:rsidRPr="002B55E9">
              <w:rPr>
                <w:sz w:val="18"/>
                <w:szCs w:val="18"/>
              </w:rPr>
              <w:t>粉尘</w:t>
            </w:r>
            <w:r w:rsidRPr="002B55E9">
              <w:rPr>
                <w:rFonts w:hint="eastAsia"/>
                <w:sz w:val="18"/>
                <w:szCs w:val="18"/>
              </w:rPr>
              <w:t>排气筒</w:t>
            </w:r>
          </w:p>
        </w:tc>
        <w:tc>
          <w:tcPr>
            <w:tcW w:w="1124" w:type="dxa"/>
            <w:vAlign w:val="center"/>
          </w:tcPr>
          <w:p w14:paraId="0DCABD0A" w14:textId="77777777" w:rsidR="00D170E5" w:rsidRPr="002B55E9" w:rsidRDefault="00EF27AD">
            <w:pPr>
              <w:jc w:val="center"/>
              <w:rPr>
                <w:sz w:val="18"/>
                <w:szCs w:val="18"/>
              </w:rPr>
            </w:pPr>
            <w:r w:rsidRPr="002B55E9">
              <w:rPr>
                <w:rFonts w:hint="eastAsia"/>
                <w:sz w:val="18"/>
                <w:szCs w:val="18"/>
              </w:rPr>
              <w:t>DA001</w:t>
            </w:r>
          </w:p>
        </w:tc>
        <w:tc>
          <w:tcPr>
            <w:tcW w:w="1638" w:type="dxa"/>
            <w:vAlign w:val="center"/>
          </w:tcPr>
          <w:p w14:paraId="35C2CE9F" w14:textId="7214EEBB" w:rsidR="00D170E5" w:rsidRPr="002B55E9" w:rsidRDefault="00625BF6">
            <w:pPr>
              <w:jc w:val="center"/>
              <w:rPr>
                <w:sz w:val="18"/>
                <w:szCs w:val="18"/>
              </w:rPr>
            </w:pPr>
            <w:r w:rsidRPr="002B55E9">
              <w:rPr>
                <w:sz w:val="18"/>
                <w:szCs w:val="18"/>
              </w:rPr>
              <w:t>PM10</w:t>
            </w:r>
          </w:p>
        </w:tc>
        <w:tc>
          <w:tcPr>
            <w:tcW w:w="1559" w:type="dxa"/>
            <w:vAlign w:val="center"/>
          </w:tcPr>
          <w:p w14:paraId="0D7D8720" w14:textId="09197067" w:rsidR="00D170E5" w:rsidRPr="002B55E9" w:rsidRDefault="00625BF6">
            <w:pPr>
              <w:jc w:val="center"/>
              <w:rPr>
                <w:sz w:val="18"/>
                <w:szCs w:val="18"/>
              </w:rPr>
            </w:pPr>
            <w:r w:rsidRPr="002B55E9">
              <w:rPr>
                <w:rFonts w:hint="eastAsia"/>
                <w:sz w:val="18"/>
                <w:szCs w:val="18"/>
              </w:rPr>
              <w:t>4</w:t>
            </w:r>
            <w:r w:rsidRPr="002B55E9">
              <w:rPr>
                <w:sz w:val="18"/>
                <w:szCs w:val="18"/>
              </w:rPr>
              <w:t>50</w:t>
            </w:r>
          </w:p>
        </w:tc>
        <w:tc>
          <w:tcPr>
            <w:tcW w:w="1278" w:type="dxa"/>
            <w:vAlign w:val="center"/>
          </w:tcPr>
          <w:p w14:paraId="23B5968A" w14:textId="703C2BB4" w:rsidR="00D170E5" w:rsidRPr="002B55E9" w:rsidRDefault="00B67DB4">
            <w:pPr>
              <w:jc w:val="center"/>
              <w:rPr>
                <w:sz w:val="18"/>
                <w:szCs w:val="18"/>
              </w:rPr>
            </w:pPr>
            <w:r w:rsidRPr="002B55E9">
              <w:rPr>
                <w:sz w:val="18"/>
                <w:szCs w:val="18"/>
              </w:rPr>
              <w:t>1.10E-03</w:t>
            </w:r>
          </w:p>
        </w:tc>
        <w:tc>
          <w:tcPr>
            <w:tcW w:w="1135" w:type="dxa"/>
            <w:vAlign w:val="center"/>
          </w:tcPr>
          <w:p w14:paraId="085D03A7" w14:textId="272AEDE5" w:rsidR="00D170E5" w:rsidRPr="002B55E9" w:rsidRDefault="00B67DB4">
            <w:pPr>
              <w:jc w:val="center"/>
              <w:rPr>
                <w:rFonts w:eastAsia="等线"/>
                <w:sz w:val="18"/>
                <w:szCs w:val="18"/>
              </w:rPr>
            </w:pPr>
            <w:r w:rsidRPr="002B55E9">
              <w:rPr>
                <w:rFonts w:eastAsia="等线"/>
                <w:sz w:val="18"/>
                <w:szCs w:val="18"/>
              </w:rPr>
              <w:t>0.24</w:t>
            </w:r>
          </w:p>
        </w:tc>
        <w:tc>
          <w:tcPr>
            <w:tcW w:w="1270" w:type="dxa"/>
            <w:vAlign w:val="center"/>
          </w:tcPr>
          <w:p w14:paraId="7361D723" w14:textId="77777777" w:rsidR="00D170E5" w:rsidRPr="002B55E9" w:rsidRDefault="00EF27AD">
            <w:pPr>
              <w:jc w:val="center"/>
              <w:rPr>
                <w:sz w:val="18"/>
                <w:szCs w:val="18"/>
              </w:rPr>
            </w:pPr>
            <w:r w:rsidRPr="002B55E9">
              <w:rPr>
                <w:rFonts w:hint="eastAsia"/>
                <w:sz w:val="18"/>
                <w:szCs w:val="18"/>
              </w:rPr>
              <w:t>/</w:t>
            </w:r>
          </w:p>
        </w:tc>
      </w:tr>
      <w:tr w:rsidR="002B55E9" w:rsidRPr="002B55E9" w14:paraId="7935AB9E" w14:textId="77777777" w:rsidTr="00625BF6">
        <w:trPr>
          <w:trHeight w:val="284"/>
        </w:trPr>
        <w:tc>
          <w:tcPr>
            <w:tcW w:w="1633" w:type="dxa"/>
            <w:vAlign w:val="center"/>
          </w:tcPr>
          <w:p w14:paraId="5EA62B53" w14:textId="77777777" w:rsidR="00D170E5" w:rsidRPr="002B55E9" w:rsidRDefault="00EF27AD">
            <w:pPr>
              <w:jc w:val="center"/>
              <w:rPr>
                <w:sz w:val="18"/>
                <w:szCs w:val="18"/>
              </w:rPr>
            </w:pPr>
            <w:r w:rsidRPr="002B55E9">
              <w:rPr>
                <w:rFonts w:hint="eastAsia"/>
                <w:sz w:val="18"/>
                <w:szCs w:val="18"/>
              </w:rPr>
              <w:t>工艺</w:t>
            </w:r>
            <w:r w:rsidRPr="002B55E9">
              <w:rPr>
                <w:sz w:val="18"/>
                <w:szCs w:val="18"/>
              </w:rPr>
              <w:t>废气排气筒</w:t>
            </w:r>
          </w:p>
        </w:tc>
        <w:tc>
          <w:tcPr>
            <w:tcW w:w="1124" w:type="dxa"/>
            <w:vAlign w:val="center"/>
          </w:tcPr>
          <w:p w14:paraId="27D9094A" w14:textId="77777777" w:rsidR="00D170E5" w:rsidRPr="002B55E9" w:rsidRDefault="00EF27AD">
            <w:pPr>
              <w:jc w:val="center"/>
              <w:rPr>
                <w:sz w:val="18"/>
                <w:szCs w:val="18"/>
              </w:rPr>
            </w:pPr>
            <w:r w:rsidRPr="002B55E9">
              <w:rPr>
                <w:rFonts w:hint="eastAsia"/>
                <w:sz w:val="18"/>
                <w:szCs w:val="18"/>
              </w:rPr>
              <w:t>DA00</w:t>
            </w:r>
            <w:r w:rsidRPr="002B55E9">
              <w:rPr>
                <w:sz w:val="18"/>
                <w:szCs w:val="18"/>
              </w:rPr>
              <w:t>2</w:t>
            </w:r>
          </w:p>
        </w:tc>
        <w:tc>
          <w:tcPr>
            <w:tcW w:w="1638" w:type="dxa"/>
            <w:vAlign w:val="center"/>
          </w:tcPr>
          <w:p w14:paraId="4C461235" w14:textId="25C9528A" w:rsidR="00D170E5" w:rsidRPr="002B55E9" w:rsidRDefault="00924AFA">
            <w:pPr>
              <w:jc w:val="center"/>
              <w:rPr>
                <w:sz w:val="18"/>
                <w:szCs w:val="18"/>
              </w:rPr>
            </w:pPr>
            <w:r w:rsidRPr="002B55E9">
              <w:rPr>
                <w:rFonts w:hint="eastAsia"/>
                <w:sz w:val="18"/>
                <w:szCs w:val="18"/>
              </w:rPr>
              <w:t>总挥发性有机物</w:t>
            </w:r>
          </w:p>
        </w:tc>
        <w:tc>
          <w:tcPr>
            <w:tcW w:w="1559" w:type="dxa"/>
            <w:vAlign w:val="center"/>
          </w:tcPr>
          <w:p w14:paraId="3735492E" w14:textId="77777777" w:rsidR="00D170E5" w:rsidRPr="002B55E9" w:rsidRDefault="00EF27AD">
            <w:pPr>
              <w:jc w:val="center"/>
              <w:rPr>
                <w:sz w:val="18"/>
                <w:szCs w:val="18"/>
              </w:rPr>
            </w:pPr>
            <w:r w:rsidRPr="002B55E9">
              <w:rPr>
                <w:rFonts w:hint="eastAsia"/>
                <w:sz w:val="18"/>
                <w:szCs w:val="18"/>
              </w:rPr>
              <w:t>1200</w:t>
            </w:r>
          </w:p>
        </w:tc>
        <w:tc>
          <w:tcPr>
            <w:tcW w:w="1278" w:type="dxa"/>
            <w:vAlign w:val="center"/>
          </w:tcPr>
          <w:p w14:paraId="12453FF5" w14:textId="5BEF5815" w:rsidR="00D170E5" w:rsidRPr="002B55E9" w:rsidRDefault="00B67DB4">
            <w:pPr>
              <w:jc w:val="center"/>
              <w:rPr>
                <w:sz w:val="18"/>
                <w:szCs w:val="18"/>
              </w:rPr>
            </w:pPr>
            <w:r w:rsidRPr="002B55E9">
              <w:rPr>
                <w:sz w:val="18"/>
                <w:szCs w:val="18"/>
              </w:rPr>
              <w:t>7.77</w:t>
            </w:r>
            <w:r w:rsidR="00EF27AD" w:rsidRPr="002B55E9">
              <w:rPr>
                <w:sz w:val="18"/>
                <w:szCs w:val="18"/>
              </w:rPr>
              <w:t>E-03</w:t>
            </w:r>
          </w:p>
        </w:tc>
        <w:tc>
          <w:tcPr>
            <w:tcW w:w="1135" w:type="dxa"/>
            <w:vAlign w:val="center"/>
          </w:tcPr>
          <w:p w14:paraId="05B3501B" w14:textId="53EC2443" w:rsidR="00D170E5" w:rsidRPr="002B55E9" w:rsidRDefault="00B67DB4">
            <w:pPr>
              <w:jc w:val="center"/>
              <w:rPr>
                <w:rFonts w:eastAsia="等线"/>
                <w:sz w:val="18"/>
                <w:szCs w:val="18"/>
              </w:rPr>
            </w:pPr>
            <w:r w:rsidRPr="002B55E9">
              <w:rPr>
                <w:rFonts w:eastAsia="等线"/>
                <w:sz w:val="18"/>
                <w:szCs w:val="18"/>
              </w:rPr>
              <w:t>0.65</w:t>
            </w:r>
          </w:p>
        </w:tc>
        <w:tc>
          <w:tcPr>
            <w:tcW w:w="1270" w:type="dxa"/>
            <w:vAlign w:val="center"/>
          </w:tcPr>
          <w:p w14:paraId="4B14D4D4" w14:textId="77777777" w:rsidR="00D170E5" w:rsidRPr="002B55E9" w:rsidRDefault="00D170E5">
            <w:pPr>
              <w:jc w:val="center"/>
              <w:rPr>
                <w:sz w:val="18"/>
                <w:szCs w:val="18"/>
              </w:rPr>
            </w:pPr>
          </w:p>
        </w:tc>
      </w:tr>
      <w:tr w:rsidR="002B55E9" w:rsidRPr="002B55E9" w14:paraId="2ADBBECF" w14:textId="77777777" w:rsidTr="00625BF6">
        <w:trPr>
          <w:trHeight w:val="284"/>
        </w:trPr>
        <w:tc>
          <w:tcPr>
            <w:tcW w:w="1633" w:type="dxa"/>
            <w:vMerge w:val="restart"/>
            <w:vAlign w:val="center"/>
          </w:tcPr>
          <w:p w14:paraId="1B05CE1A" w14:textId="77777777" w:rsidR="00D170E5" w:rsidRPr="002B55E9" w:rsidRDefault="00EF27AD">
            <w:pPr>
              <w:jc w:val="center"/>
              <w:rPr>
                <w:sz w:val="18"/>
                <w:szCs w:val="18"/>
              </w:rPr>
            </w:pPr>
            <w:r w:rsidRPr="002B55E9">
              <w:rPr>
                <w:rFonts w:hint="eastAsia"/>
                <w:sz w:val="18"/>
                <w:szCs w:val="18"/>
              </w:rPr>
              <w:t>化验室废气排气筒</w:t>
            </w:r>
          </w:p>
        </w:tc>
        <w:tc>
          <w:tcPr>
            <w:tcW w:w="1124" w:type="dxa"/>
            <w:vMerge w:val="restart"/>
            <w:vAlign w:val="center"/>
          </w:tcPr>
          <w:p w14:paraId="48C07F1B" w14:textId="77777777" w:rsidR="00D170E5" w:rsidRPr="002B55E9" w:rsidRDefault="00EF27AD">
            <w:pPr>
              <w:jc w:val="center"/>
              <w:rPr>
                <w:sz w:val="18"/>
                <w:szCs w:val="18"/>
              </w:rPr>
            </w:pPr>
            <w:r w:rsidRPr="002B55E9">
              <w:rPr>
                <w:rFonts w:hint="eastAsia"/>
                <w:sz w:val="18"/>
                <w:szCs w:val="18"/>
              </w:rPr>
              <w:t>DA00</w:t>
            </w:r>
            <w:r w:rsidRPr="002B55E9">
              <w:rPr>
                <w:sz w:val="18"/>
                <w:szCs w:val="18"/>
              </w:rPr>
              <w:t>3</w:t>
            </w:r>
          </w:p>
        </w:tc>
        <w:tc>
          <w:tcPr>
            <w:tcW w:w="1638" w:type="dxa"/>
            <w:vAlign w:val="center"/>
          </w:tcPr>
          <w:p w14:paraId="1BD90979" w14:textId="5652D54C" w:rsidR="00D170E5" w:rsidRPr="002B55E9" w:rsidRDefault="00924AFA">
            <w:pPr>
              <w:jc w:val="center"/>
              <w:rPr>
                <w:sz w:val="18"/>
                <w:szCs w:val="18"/>
              </w:rPr>
            </w:pPr>
            <w:r w:rsidRPr="002B55E9">
              <w:rPr>
                <w:rFonts w:hint="eastAsia"/>
                <w:sz w:val="18"/>
                <w:szCs w:val="18"/>
              </w:rPr>
              <w:t>总挥发性有机物</w:t>
            </w:r>
          </w:p>
        </w:tc>
        <w:tc>
          <w:tcPr>
            <w:tcW w:w="1559" w:type="dxa"/>
            <w:vAlign w:val="center"/>
          </w:tcPr>
          <w:p w14:paraId="704D388D" w14:textId="77777777" w:rsidR="00D170E5" w:rsidRPr="002B55E9" w:rsidRDefault="00EF27AD">
            <w:pPr>
              <w:jc w:val="center"/>
              <w:rPr>
                <w:sz w:val="18"/>
                <w:szCs w:val="18"/>
              </w:rPr>
            </w:pPr>
            <w:r w:rsidRPr="002B55E9">
              <w:rPr>
                <w:rFonts w:hint="eastAsia"/>
                <w:sz w:val="18"/>
                <w:szCs w:val="18"/>
              </w:rPr>
              <w:t>1200</w:t>
            </w:r>
          </w:p>
        </w:tc>
        <w:tc>
          <w:tcPr>
            <w:tcW w:w="1278" w:type="dxa"/>
            <w:vAlign w:val="center"/>
          </w:tcPr>
          <w:p w14:paraId="5D7F7201" w14:textId="14C5FC64" w:rsidR="00D170E5" w:rsidRPr="002B55E9" w:rsidRDefault="00EF27AD">
            <w:pPr>
              <w:jc w:val="center"/>
              <w:rPr>
                <w:sz w:val="18"/>
                <w:szCs w:val="18"/>
              </w:rPr>
            </w:pPr>
            <w:r w:rsidRPr="002B55E9">
              <w:rPr>
                <w:sz w:val="18"/>
                <w:szCs w:val="18"/>
              </w:rPr>
              <w:t>1.</w:t>
            </w:r>
            <w:r w:rsidR="00B67DB4" w:rsidRPr="002B55E9">
              <w:rPr>
                <w:sz w:val="18"/>
                <w:szCs w:val="18"/>
              </w:rPr>
              <w:t>04</w:t>
            </w:r>
            <w:r w:rsidRPr="002B55E9">
              <w:rPr>
                <w:sz w:val="18"/>
                <w:szCs w:val="18"/>
              </w:rPr>
              <w:t>E-04</w:t>
            </w:r>
          </w:p>
        </w:tc>
        <w:tc>
          <w:tcPr>
            <w:tcW w:w="1135" w:type="dxa"/>
            <w:vAlign w:val="center"/>
          </w:tcPr>
          <w:p w14:paraId="7D458912" w14:textId="77777777" w:rsidR="00D170E5" w:rsidRPr="002B55E9" w:rsidRDefault="00EF27AD">
            <w:pPr>
              <w:jc w:val="center"/>
              <w:rPr>
                <w:rFonts w:eastAsia="等线"/>
                <w:sz w:val="18"/>
                <w:szCs w:val="18"/>
              </w:rPr>
            </w:pPr>
            <w:r w:rsidRPr="002B55E9">
              <w:rPr>
                <w:rFonts w:eastAsia="等线" w:hint="eastAsia"/>
                <w:sz w:val="18"/>
                <w:szCs w:val="18"/>
              </w:rPr>
              <w:t>0</w:t>
            </w:r>
            <w:r w:rsidRPr="002B55E9">
              <w:rPr>
                <w:rFonts w:eastAsia="等线"/>
                <w:sz w:val="18"/>
                <w:szCs w:val="18"/>
              </w:rPr>
              <w:t>.01</w:t>
            </w:r>
          </w:p>
        </w:tc>
        <w:tc>
          <w:tcPr>
            <w:tcW w:w="1270" w:type="dxa"/>
            <w:vAlign w:val="center"/>
          </w:tcPr>
          <w:p w14:paraId="6FA86947" w14:textId="77777777" w:rsidR="00D170E5" w:rsidRPr="002B55E9" w:rsidRDefault="00EF27AD">
            <w:pPr>
              <w:jc w:val="center"/>
              <w:rPr>
                <w:sz w:val="18"/>
                <w:szCs w:val="18"/>
              </w:rPr>
            </w:pPr>
            <w:r w:rsidRPr="002B55E9">
              <w:rPr>
                <w:rFonts w:hint="eastAsia"/>
                <w:sz w:val="18"/>
                <w:szCs w:val="18"/>
              </w:rPr>
              <w:t>/</w:t>
            </w:r>
          </w:p>
        </w:tc>
      </w:tr>
      <w:tr w:rsidR="002B55E9" w:rsidRPr="002B55E9" w14:paraId="6F37ED49" w14:textId="77777777" w:rsidTr="00625BF6">
        <w:trPr>
          <w:trHeight w:val="284"/>
        </w:trPr>
        <w:tc>
          <w:tcPr>
            <w:tcW w:w="1633" w:type="dxa"/>
            <w:vMerge/>
            <w:vAlign w:val="center"/>
          </w:tcPr>
          <w:p w14:paraId="4B33C1F9" w14:textId="77777777" w:rsidR="00D170E5" w:rsidRPr="002B55E9" w:rsidRDefault="00D170E5">
            <w:pPr>
              <w:jc w:val="center"/>
              <w:rPr>
                <w:sz w:val="18"/>
                <w:szCs w:val="18"/>
              </w:rPr>
            </w:pPr>
          </w:p>
        </w:tc>
        <w:tc>
          <w:tcPr>
            <w:tcW w:w="1124" w:type="dxa"/>
            <w:vMerge/>
            <w:vAlign w:val="center"/>
          </w:tcPr>
          <w:p w14:paraId="1BA53ED5" w14:textId="77777777" w:rsidR="00D170E5" w:rsidRPr="002B55E9" w:rsidRDefault="00D170E5">
            <w:pPr>
              <w:jc w:val="center"/>
              <w:rPr>
                <w:sz w:val="18"/>
                <w:szCs w:val="18"/>
              </w:rPr>
            </w:pPr>
          </w:p>
        </w:tc>
        <w:tc>
          <w:tcPr>
            <w:tcW w:w="1638" w:type="dxa"/>
            <w:vAlign w:val="center"/>
          </w:tcPr>
          <w:p w14:paraId="2D682EE6" w14:textId="77777777" w:rsidR="00D170E5" w:rsidRPr="002B55E9" w:rsidRDefault="00EF27AD">
            <w:pPr>
              <w:jc w:val="center"/>
              <w:rPr>
                <w:sz w:val="18"/>
                <w:szCs w:val="18"/>
              </w:rPr>
            </w:pPr>
            <w:r w:rsidRPr="002B55E9">
              <w:rPr>
                <w:rFonts w:hint="eastAsia"/>
                <w:sz w:val="18"/>
                <w:szCs w:val="18"/>
              </w:rPr>
              <w:t>甲醛</w:t>
            </w:r>
          </w:p>
        </w:tc>
        <w:tc>
          <w:tcPr>
            <w:tcW w:w="1559" w:type="dxa"/>
            <w:vAlign w:val="center"/>
          </w:tcPr>
          <w:p w14:paraId="10DBE5E7" w14:textId="77777777" w:rsidR="00D170E5" w:rsidRPr="002B55E9" w:rsidRDefault="00EF27AD">
            <w:pPr>
              <w:jc w:val="center"/>
              <w:rPr>
                <w:sz w:val="18"/>
                <w:szCs w:val="18"/>
              </w:rPr>
            </w:pPr>
            <w:r w:rsidRPr="002B55E9">
              <w:rPr>
                <w:rFonts w:hint="eastAsia"/>
                <w:sz w:val="18"/>
                <w:szCs w:val="18"/>
              </w:rPr>
              <w:t>50</w:t>
            </w:r>
          </w:p>
        </w:tc>
        <w:tc>
          <w:tcPr>
            <w:tcW w:w="1278" w:type="dxa"/>
            <w:vAlign w:val="center"/>
          </w:tcPr>
          <w:p w14:paraId="5F0F992C" w14:textId="78B3AF41" w:rsidR="00D170E5" w:rsidRPr="002B55E9" w:rsidRDefault="00B67DB4">
            <w:pPr>
              <w:jc w:val="center"/>
              <w:rPr>
                <w:sz w:val="18"/>
                <w:szCs w:val="18"/>
              </w:rPr>
            </w:pPr>
            <w:r w:rsidRPr="002B55E9">
              <w:rPr>
                <w:sz w:val="18"/>
                <w:szCs w:val="18"/>
              </w:rPr>
              <w:t>6.26</w:t>
            </w:r>
            <w:r w:rsidR="00EF27AD" w:rsidRPr="002B55E9">
              <w:rPr>
                <w:sz w:val="18"/>
                <w:szCs w:val="18"/>
              </w:rPr>
              <w:t>E-0</w:t>
            </w:r>
            <w:r w:rsidRPr="002B55E9">
              <w:rPr>
                <w:sz w:val="18"/>
                <w:szCs w:val="18"/>
              </w:rPr>
              <w:t>5</w:t>
            </w:r>
          </w:p>
        </w:tc>
        <w:tc>
          <w:tcPr>
            <w:tcW w:w="1135" w:type="dxa"/>
            <w:vAlign w:val="center"/>
          </w:tcPr>
          <w:p w14:paraId="7474070C" w14:textId="6A908DF9" w:rsidR="00D170E5" w:rsidRPr="002B55E9" w:rsidRDefault="00EF27AD">
            <w:pPr>
              <w:jc w:val="center"/>
              <w:rPr>
                <w:rFonts w:eastAsia="等线"/>
                <w:sz w:val="18"/>
                <w:szCs w:val="18"/>
              </w:rPr>
            </w:pPr>
            <w:r w:rsidRPr="002B55E9">
              <w:rPr>
                <w:rFonts w:eastAsia="等线" w:hint="eastAsia"/>
                <w:sz w:val="18"/>
                <w:szCs w:val="18"/>
              </w:rPr>
              <w:t>0</w:t>
            </w:r>
            <w:r w:rsidRPr="002B55E9">
              <w:rPr>
                <w:rFonts w:eastAsia="等线"/>
                <w:sz w:val="18"/>
                <w:szCs w:val="18"/>
              </w:rPr>
              <w:t>.</w:t>
            </w:r>
            <w:r w:rsidR="00B67DB4" w:rsidRPr="002B55E9">
              <w:rPr>
                <w:rFonts w:eastAsia="等线"/>
                <w:sz w:val="18"/>
                <w:szCs w:val="18"/>
              </w:rPr>
              <w:t>13</w:t>
            </w:r>
          </w:p>
        </w:tc>
        <w:tc>
          <w:tcPr>
            <w:tcW w:w="1270" w:type="dxa"/>
            <w:vAlign w:val="center"/>
          </w:tcPr>
          <w:p w14:paraId="223F3DF0" w14:textId="77777777" w:rsidR="00D170E5" w:rsidRPr="002B55E9" w:rsidRDefault="00EF27AD">
            <w:pPr>
              <w:jc w:val="center"/>
              <w:rPr>
                <w:sz w:val="18"/>
                <w:szCs w:val="18"/>
              </w:rPr>
            </w:pPr>
            <w:r w:rsidRPr="002B55E9">
              <w:rPr>
                <w:rFonts w:hint="eastAsia"/>
                <w:sz w:val="18"/>
                <w:szCs w:val="18"/>
              </w:rPr>
              <w:t>/</w:t>
            </w:r>
          </w:p>
        </w:tc>
      </w:tr>
      <w:tr w:rsidR="002B55E9" w:rsidRPr="002B55E9" w14:paraId="31C7BA07" w14:textId="77777777" w:rsidTr="00625BF6">
        <w:trPr>
          <w:trHeight w:val="284"/>
        </w:trPr>
        <w:tc>
          <w:tcPr>
            <w:tcW w:w="1633" w:type="dxa"/>
            <w:vMerge/>
            <w:vAlign w:val="center"/>
          </w:tcPr>
          <w:p w14:paraId="4F970633" w14:textId="77777777" w:rsidR="00D170E5" w:rsidRPr="002B55E9" w:rsidRDefault="00D170E5">
            <w:pPr>
              <w:jc w:val="center"/>
              <w:rPr>
                <w:sz w:val="18"/>
                <w:szCs w:val="18"/>
              </w:rPr>
            </w:pPr>
          </w:p>
        </w:tc>
        <w:tc>
          <w:tcPr>
            <w:tcW w:w="1124" w:type="dxa"/>
            <w:vMerge/>
            <w:vAlign w:val="center"/>
          </w:tcPr>
          <w:p w14:paraId="6FD5B5F4" w14:textId="77777777" w:rsidR="00D170E5" w:rsidRPr="002B55E9" w:rsidRDefault="00D170E5">
            <w:pPr>
              <w:jc w:val="center"/>
              <w:rPr>
                <w:sz w:val="18"/>
                <w:szCs w:val="18"/>
              </w:rPr>
            </w:pPr>
          </w:p>
        </w:tc>
        <w:tc>
          <w:tcPr>
            <w:tcW w:w="1638" w:type="dxa"/>
            <w:vAlign w:val="center"/>
          </w:tcPr>
          <w:p w14:paraId="74B25344" w14:textId="77777777" w:rsidR="00D170E5" w:rsidRPr="002B55E9" w:rsidRDefault="00EF27AD">
            <w:pPr>
              <w:jc w:val="center"/>
              <w:rPr>
                <w:sz w:val="18"/>
                <w:szCs w:val="18"/>
              </w:rPr>
            </w:pPr>
            <w:r w:rsidRPr="002B55E9">
              <w:rPr>
                <w:rFonts w:hint="eastAsia"/>
                <w:sz w:val="18"/>
                <w:szCs w:val="18"/>
              </w:rPr>
              <w:t>硫酸</w:t>
            </w:r>
          </w:p>
        </w:tc>
        <w:tc>
          <w:tcPr>
            <w:tcW w:w="1559" w:type="dxa"/>
            <w:vAlign w:val="center"/>
          </w:tcPr>
          <w:p w14:paraId="78313AD5" w14:textId="77777777" w:rsidR="00D170E5" w:rsidRPr="002B55E9" w:rsidRDefault="00EF27AD">
            <w:pPr>
              <w:jc w:val="center"/>
              <w:rPr>
                <w:sz w:val="18"/>
                <w:szCs w:val="18"/>
              </w:rPr>
            </w:pPr>
            <w:r w:rsidRPr="002B55E9">
              <w:rPr>
                <w:rFonts w:hint="eastAsia"/>
                <w:sz w:val="18"/>
                <w:szCs w:val="18"/>
              </w:rPr>
              <w:t>300</w:t>
            </w:r>
          </w:p>
        </w:tc>
        <w:tc>
          <w:tcPr>
            <w:tcW w:w="1278" w:type="dxa"/>
            <w:vAlign w:val="center"/>
          </w:tcPr>
          <w:p w14:paraId="13AAE336" w14:textId="17478BB7" w:rsidR="00D170E5" w:rsidRPr="002B55E9" w:rsidRDefault="00B67DB4">
            <w:pPr>
              <w:jc w:val="center"/>
              <w:rPr>
                <w:sz w:val="18"/>
                <w:szCs w:val="18"/>
              </w:rPr>
            </w:pPr>
            <w:r w:rsidRPr="002B55E9">
              <w:rPr>
                <w:sz w:val="18"/>
                <w:szCs w:val="18"/>
              </w:rPr>
              <w:t>2.29</w:t>
            </w:r>
            <w:r w:rsidR="00EF27AD" w:rsidRPr="002B55E9">
              <w:rPr>
                <w:sz w:val="18"/>
                <w:szCs w:val="18"/>
              </w:rPr>
              <w:t>E-04</w:t>
            </w:r>
          </w:p>
        </w:tc>
        <w:tc>
          <w:tcPr>
            <w:tcW w:w="1135" w:type="dxa"/>
            <w:vAlign w:val="center"/>
          </w:tcPr>
          <w:p w14:paraId="1DDB3C67" w14:textId="4520CC2D" w:rsidR="00D170E5" w:rsidRPr="002B55E9" w:rsidRDefault="00B67DB4">
            <w:pPr>
              <w:jc w:val="center"/>
              <w:rPr>
                <w:rFonts w:eastAsia="等线"/>
                <w:sz w:val="18"/>
                <w:szCs w:val="18"/>
              </w:rPr>
            </w:pPr>
            <w:r w:rsidRPr="002B55E9">
              <w:rPr>
                <w:rFonts w:eastAsia="等线"/>
                <w:sz w:val="18"/>
                <w:szCs w:val="18"/>
              </w:rPr>
              <w:t>0.08</w:t>
            </w:r>
          </w:p>
        </w:tc>
        <w:tc>
          <w:tcPr>
            <w:tcW w:w="1270" w:type="dxa"/>
            <w:vAlign w:val="center"/>
          </w:tcPr>
          <w:p w14:paraId="7EA8EE37" w14:textId="77777777" w:rsidR="00D170E5" w:rsidRPr="002B55E9" w:rsidRDefault="00EF27AD">
            <w:pPr>
              <w:jc w:val="center"/>
              <w:rPr>
                <w:sz w:val="18"/>
                <w:szCs w:val="18"/>
              </w:rPr>
            </w:pPr>
            <w:r w:rsidRPr="002B55E9">
              <w:rPr>
                <w:rFonts w:hint="eastAsia"/>
                <w:sz w:val="18"/>
                <w:szCs w:val="18"/>
              </w:rPr>
              <w:t>/</w:t>
            </w:r>
          </w:p>
        </w:tc>
      </w:tr>
      <w:tr w:rsidR="002B55E9" w:rsidRPr="002B55E9" w14:paraId="4FF80F8B" w14:textId="77777777" w:rsidTr="00625BF6">
        <w:trPr>
          <w:trHeight w:val="284"/>
        </w:trPr>
        <w:tc>
          <w:tcPr>
            <w:tcW w:w="1633" w:type="dxa"/>
            <w:vMerge/>
            <w:vAlign w:val="center"/>
          </w:tcPr>
          <w:p w14:paraId="563876BC" w14:textId="77777777" w:rsidR="00D170E5" w:rsidRPr="002B55E9" w:rsidRDefault="00D170E5">
            <w:pPr>
              <w:jc w:val="center"/>
              <w:rPr>
                <w:sz w:val="18"/>
                <w:szCs w:val="18"/>
              </w:rPr>
            </w:pPr>
          </w:p>
        </w:tc>
        <w:tc>
          <w:tcPr>
            <w:tcW w:w="1124" w:type="dxa"/>
            <w:vMerge/>
            <w:vAlign w:val="center"/>
          </w:tcPr>
          <w:p w14:paraId="4F2FDC1E" w14:textId="77777777" w:rsidR="00D170E5" w:rsidRPr="002B55E9" w:rsidRDefault="00D170E5">
            <w:pPr>
              <w:jc w:val="center"/>
              <w:rPr>
                <w:sz w:val="18"/>
                <w:szCs w:val="18"/>
              </w:rPr>
            </w:pPr>
          </w:p>
        </w:tc>
        <w:tc>
          <w:tcPr>
            <w:tcW w:w="1638" w:type="dxa"/>
            <w:vAlign w:val="center"/>
          </w:tcPr>
          <w:p w14:paraId="7A1C5239" w14:textId="77777777" w:rsidR="00D170E5" w:rsidRPr="002B55E9" w:rsidRDefault="00EF27AD">
            <w:pPr>
              <w:jc w:val="center"/>
              <w:rPr>
                <w:sz w:val="18"/>
                <w:szCs w:val="18"/>
              </w:rPr>
            </w:pPr>
            <w:r w:rsidRPr="002B55E9">
              <w:rPr>
                <w:rFonts w:hint="eastAsia"/>
                <w:sz w:val="18"/>
                <w:szCs w:val="18"/>
              </w:rPr>
              <w:t>氯化氢</w:t>
            </w:r>
          </w:p>
        </w:tc>
        <w:tc>
          <w:tcPr>
            <w:tcW w:w="1559" w:type="dxa"/>
            <w:vAlign w:val="center"/>
          </w:tcPr>
          <w:p w14:paraId="2B8B410E" w14:textId="77777777" w:rsidR="00D170E5" w:rsidRPr="002B55E9" w:rsidRDefault="00EF27AD">
            <w:pPr>
              <w:jc w:val="center"/>
              <w:rPr>
                <w:sz w:val="18"/>
                <w:szCs w:val="18"/>
              </w:rPr>
            </w:pPr>
            <w:r w:rsidRPr="002B55E9">
              <w:rPr>
                <w:rFonts w:hint="eastAsia"/>
                <w:sz w:val="18"/>
                <w:szCs w:val="18"/>
              </w:rPr>
              <w:t>50</w:t>
            </w:r>
          </w:p>
        </w:tc>
        <w:tc>
          <w:tcPr>
            <w:tcW w:w="1278" w:type="dxa"/>
            <w:vAlign w:val="center"/>
          </w:tcPr>
          <w:p w14:paraId="184B82BE" w14:textId="069659FA" w:rsidR="00D170E5" w:rsidRPr="002B55E9" w:rsidRDefault="00B67DB4">
            <w:pPr>
              <w:jc w:val="center"/>
              <w:rPr>
                <w:sz w:val="18"/>
                <w:szCs w:val="18"/>
              </w:rPr>
            </w:pPr>
            <w:r w:rsidRPr="002B55E9">
              <w:rPr>
                <w:sz w:val="18"/>
                <w:szCs w:val="18"/>
              </w:rPr>
              <w:t>4.51</w:t>
            </w:r>
            <w:r w:rsidR="00EF27AD" w:rsidRPr="002B55E9">
              <w:rPr>
                <w:sz w:val="18"/>
                <w:szCs w:val="18"/>
              </w:rPr>
              <w:t>E-07</w:t>
            </w:r>
          </w:p>
        </w:tc>
        <w:tc>
          <w:tcPr>
            <w:tcW w:w="1135" w:type="dxa"/>
            <w:vAlign w:val="center"/>
          </w:tcPr>
          <w:p w14:paraId="23E35F88" w14:textId="77777777" w:rsidR="00D170E5" w:rsidRPr="002B55E9" w:rsidRDefault="00EF27AD">
            <w:pPr>
              <w:jc w:val="center"/>
              <w:rPr>
                <w:rFonts w:eastAsia="等线"/>
                <w:sz w:val="18"/>
                <w:szCs w:val="18"/>
              </w:rPr>
            </w:pPr>
            <w:r w:rsidRPr="002B55E9">
              <w:rPr>
                <w:rFonts w:eastAsia="等线" w:hint="eastAsia"/>
                <w:sz w:val="18"/>
                <w:szCs w:val="18"/>
              </w:rPr>
              <w:t>0</w:t>
            </w:r>
          </w:p>
        </w:tc>
        <w:tc>
          <w:tcPr>
            <w:tcW w:w="1270" w:type="dxa"/>
            <w:vAlign w:val="center"/>
          </w:tcPr>
          <w:p w14:paraId="64D4BA32" w14:textId="77777777" w:rsidR="00D170E5" w:rsidRPr="002B55E9" w:rsidRDefault="00EF27AD">
            <w:pPr>
              <w:jc w:val="center"/>
              <w:rPr>
                <w:sz w:val="18"/>
                <w:szCs w:val="18"/>
              </w:rPr>
            </w:pPr>
            <w:r w:rsidRPr="002B55E9">
              <w:rPr>
                <w:rFonts w:hint="eastAsia"/>
                <w:sz w:val="18"/>
                <w:szCs w:val="18"/>
              </w:rPr>
              <w:t>/</w:t>
            </w:r>
          </w:p>
        </w:tc>
      </w:tr>
      <w:tr w:rsidR="002B55E9" w:rsidRPr="002B55E9" w14:paraId="13380FE1" w14:textId="77777777" w:rsidTr="00625BF6">
        <w:trPr>
          <w:trHeight w:val="284"/>
        </w:trPr>
        <w:tc>
          <w:tcPr>
            <w:tcW w:w="1633" w:type="dxa"/>
            <w:vMerge w:val="restart"/>
            <w:vAlign w:val="center"/>
          </w:tcPr>
          <w:p w14:paraId="7A79193D" w14:textId="77777777" w:rsidR="00D170E5" w:rsidRPr="002B55E9" w:rsidRDefault="00EF27AD">
            <w:pPr>
              <w:jc w:val="center"/>
              <w:rPr>
                <w:sz w:val="18"/>
                <w:szCs w:val="18"/>
              </w:rPr>
            </w:pPr>
            <w:r w:rsidRPr="002B55E9">
              <w:rPr>
                <w:rFonts w:hint="eastAsia"/>
                <w:sz w:val="18"/>
                <w:szCs w:val="18"/>
              </w:rPr>
              <w:t>十一</w:t>
            </w:r>
            <w:r w:rsidRPr="002B55E9">
              <w:rPr>
                <w:sz w:val="18"/>
                <w:szCs w:val="18"/>
              </w:rPr>
              <w:t>车间面源</w:t>
            </w:r>
          </w:p>
        </w:tc>
        <w:tc>
          <w:tcPr>
            <w:tcW w:w="1124" w:type="dxa"/>
            <w:vMerge w:val="restart"/>
            <w:vAlign w:val="center"/>
          </w:tcPr>
          <w:p w14:paraId="12CA3FE2" w14:textId="77777777" w:rsidR="00D170E5" w:rsidRPr="002B55E9" w:rsidRDefault="00EF27AD">
            <w:pPr>
              <w:jc w:val="center"/>
              <w:rPr>
                <w:sz w:val="18"/>
                <w:szCs w:val="18"/>
              </w:rPr>
            </w:pPr>
            <w:r w:rsidRPr="002B55E9">
              <w:rPr>
                <w:rFonts w:hint="eastAsia"/>
                <w:sz w:val="18"/>
                <w:szCs w:val="18"/>
              </w:rPr>
              <w:t>/</w:t>
            </w:r>
          </w:p>
        </w:tc>
        <w:tc>
          <w:tcPr>
            <w:tcW w:w="1638" w:type="dxa"/>
            <w:vAlign w:val="center"/>
          </w:tcPr>
          <w:p w14:paraId="74018B5A" w14:textId="73954B96" w:rsidR="00D170E5" w:rsidRPr="002B55E9" w:rsidRDefault="00924AFA">
            <w:pPr>
              <w:jc w:val="center"/>
              <w:rPr>
                <w:sz w:val="18"/>
                <w:szCs w:val="18"/>
              </w:rPr>
            </w:pPr>
            <w:r w:rsidRPr="002B55E9">
              <w:rPr>
                <w:rFonts w:hint="eastAsia"/>
                <w:sz w:val="18"/>
                <w:szCs w:val="18"/>
              </w:rPr>
              <w:t>总挥发性有机物</w:t>
            </w:r>
          </w:p>
        </w:tc>
        <w:tc>
          <w:tcPr>
            <w:tcW w:w="1559" w:type="dxa"/>
            <w:vAlign w:val="center"/>
          </w:tcPr>
          <w:p w14:paraId="7A4BFC1F" w14:textId="77777777" w:rsidR="00D170E5" w:rsidRPr="002B55E9" w:rsidRDefault="00EF27AD">
            <w:pPr>
              <w:jc w:val="center"/>
              <w:rPr>
                <w:sz w:val="18"/>
                <w:szCs w:val="18"/>
              </w:rPr>
            </w:pPr>
            <w:r w:rsidRPr="002B55E9">
              <w:rPr>
                <w:rFonts w:hint="eastAsia"/>
                <w:sz w:val="18"/>
                <w:szCs w:val="18"/>
              </w:rPr>
              <w:t>1200</w:t>
            </w:r>
          </w:p>
        </w:tc>
        <w:tc>
          <w:tcPr>
            <w:tcW w:w="1278" w:type="dxa"/>
            <w:vAlign w:val="center"/>
          </w:tcPr>
          <w:p w14:paraId="501417FD" w14:textId="59F9527D" w:rsidR="00D170E5" w:rsidRPr="002B55E9" w:rsidRDefault="00120639">
            <w:pPr>
              <w:jc w:val="center"/>
              <w:rPr>
                <w:sz w:val="18"/>
                <w:szCs w:val="18"/>
              </w:rPr>
            </w:pPr>
            <w:r w:rsidRPr="002B55E9">
              <w:rPr>
                <w:sz w:val="18"/>
                <w:szCs w:val="18"/>
              </w:rPr>
              <w:t>3.74E-03</w:t>
            </w:r>
          </w:p>
        </w:tc>
        <w:tc>
          <w:tcPr>
            <w:tcW w:w="1135" w:type="dxa"/>
            <w:vAlign w:val="center"/>
          </w:tcPr>
          <w:p w14:paraId="2DE91FF3" w14:textId="7B0D961F" w:rsidR="00D170E5" w:rsidRPr="002B55E9" w:rsidRDefault="00120639">
            <w:pPr>
              <w:jc w:val="center"/>
              <w:rPr>
                <w:rFonts w:eastAsia="等线"/>
                <w:sz w:val="18"/>
                <w:szCs w:val="18"/>
              </w:rPr>
            </w:pPr>
            <w:r w:rsidRPr="002B55E9">
              <w:rPr>
                <w:rFonts w:eastAsia="等线"/>
                <w:sz w:val="18"/>
                <w:szCs w:val="18"/>
              </w:rPr>
              <w:t>0.31</w:t>
            </w:r>
          </w:p>
        </w:tc>
        <w:tc>
          <w:tcPr>
            <w:tcW w:w="1270" w:type="dxa"/>
            <w:vAlign w:val="center"/>
          </w:tcPr>
          <w:p w14:paraId="637B7B5A" w14:textId="77777777" w:rsidR="00D170E5" w:rsidRPr="002B55E9" w:rsidRDefault="00EF27AD">
            <w:pPr>
              <w:jc w:val="center"/>
              <w:rPr>
                <w:sz w:val="18"/>
                <w:szCs w:val="18"/>
              </w:rPr>
            </w:pPr>
            <w:r w:rsidRPr="002B55E9">
              <w:rPr>
                <w:rFonts w:hint="eastAsia"/>
                <w:sz w:val="18"/>
                <w:szCs w:val="18"/>
              </w:rPr>
              <w:t>/</w:t>
            </w:r>
          </w:p>
        </w:tc>
      </w:tr>
      <w:tr w:rsidR="002B55E9" w:rsidRPr="002B55E9" w14:paraId="6EA6B7D5" w14:textId="77777777" w:rsidTr="00625BF6">
        <w:trPr>
          <w:trHeight w:val="284"/>
        </w:trPr>
        <w:tc>
          <w:tcPr>
            <w:tcW w:w="1633" w:type="dxa"/>
            <w:vMerge/>
            <w:vAlign w:val="center"/>
          </w:tcPr>
          <w:p w14:paraId="68C5D898" w14:textId="77777777" w:rsidR="00D170E5" w:rsidRPr="002B55E9" w:rsidRDefault="00D170E5">
            <w:pPr>
              <w:jc w:val="center"/>
              <w:rPr>
                <w:sz w:val="18"/>
                <w:szCs w:val="18"/>
              </w:rPr>
            </w:pPr>
          </w:p>
        </w:tc>
        <w:tc>
          <w:tcPr>
            <w:tcW w:w="1124" w:type="dxa"/>
            <w:vMerge/>
            <w:vAlign w:val="center"/>
          </w:tcPr>
          <w:p w14:paraId="09131F5B" w14:textId="77777777" w:rsidR="00D170E5" w:rsidRPr="002B55E9" w:rsidRDefault="00D170E5">
            <w:pPr>
              <w:jc w:val="center"/>
              <w:rPr>
                <w:sz w:val="18"/>
                <w:szCs w:val="18"/>
              </w:rPr>
            </w:pPr>
          </w:p>
        </w:tc>
        <w:tc>
          <w:tcPr>
            <w:tcW w:w="1638" w:type="dxa"/>
            <w:vAlign w:val="center"/>
          </w:tcPr>
          <w:p w14:paraId="3DA69B42" w14:textId="77777777" w:rsidR="00D170E5" w:rsidRPr="002B55E9" w:rsidRDefault="00EF27AD">
            <w:pPr>
              <w:jc w:val="center"/>
              <w:rPr>
                <w:sz w:val="18"/>
                <w:szCs w:val="18"/>
              </w:rPr>
            </w:pPr>
            <w:r w:rsidRPr="002B55E9">
              <w:rPr>
                <w:rFonts w:hint="eastAsia"/>
                <w:sz w:val="18"/>
                <w:szCs w:val="18"/>
              </w:rPr>
              <w:t>甲醛</w:t>
            </w:r>
          </w:p>
        </w:tc>
        <w:tc>
          <w:tcPr>
            <w:tcW w:w="1559" w:type="dxa"/>
            <w:vAlign w:val="center"/>
          </w:tcPr>
          <w:p w14:paraId="3B9F0B78" w14:textId="77777777" w:rsidR="00D170E5" w:rsidRPr="002B55E9" w:rsidRDefault="00EF27AD">
            <w:pPr>
              <w:jc w:val="center"/>
              <w:rPr>
                <w:sz w:val="18"/>
                <w:szCs w:val="18"/>
              </w:rPr>
            </w:pPr>
            <w:r w:rsidRPr="002B55E9">
              <w:rPr>
                <w:rFonts w:hint="eastAsia"/>
                <w:sz w:val="18"/>
                <w:szCs w:val="18"/>
              </w:rPr>
              <w:t>50</w:t>
            </w:r>
          </w:p>
        </w:tc>
        <w:tc>
          <w:tcPr>
            <w:tcW w:w="1278" w:type="dxa"/>
            <w:vAlign w:val="center"/>
          </w:tcPr>
          <w:p w14:paraId="5F87C1ED" w14:textId="6B72BC16" w:rsidR="00D170E5" w:rsidRPr="002B55E9" w:rsidRDefault="00EF27AD">
            <w:pPr>
              <w:jc w:val="center"/>
              <w:rPr>
                <w:sz w:val="18"/>
                <w:szCs w:val="18"/>
              </w:rPr>
            </w:pPr>
            <w:r w:rsidRPr="002B55E9">
              <w:rPr>
                <w:sz w:val="18"/>
                <w:szCs w:val="18"/>
              </w:rPr>
              <w:t>1.6</w:t>
            </w:r>
            <w:r w:rsidR="00120639" w:rsidRPr="002B55E9">
              <w:rPr>
                <w:sz w:val="18"/>
                <w:szCs w:val="18"/>
              </w:rPr>
              <w:t>8</w:t>
            </w:r>
            <w:r w:rsidRPr="002B55E9">
              <w:rPr>
                <w:sz w:val="18"/>
                <w:szCs w:val="18"/>
              </w:rPr>
              <w:t>E-05</w:t>
            </w:r>
          </w:p>
        </w:tc>
        <w:tc>
          <w:tcPr>
            <w:tcW w:w="1135" w:type="dxa"/>
            <w:vAlign w:val="center"/>
          </w:tcPr>
          <w:p w14:paraId="762777F0" w14:textId="53452902" w:rsidR="00D170E5" w:rsidRPr="002B55E9" w:rsidRDefault="00EF27AD">
            <w:pPr>
              <w:jc w:val="center"/>
              <w:rPr>
                <w:rFonts w:eastAsia="等线"/>
                <w:sz w:val="18"/>
                <w:szCs w:val="18"/>
              </w:rPr>
            </w:pPr>
            <w:r w:rsidRPr="002B55E9">
              <w:rPr>
                <w:rFonts w:eastAsia="等线" w:hint="eastAsia"/>
                <w:sz w:val="18"/>
                <w:szCs w:val="18"/>
              </w:rPr>
              <w:t>0</w:t>
            </w:r>
            <w:r w:rsidRPr="002B55E9">
              <w:rPr>
                <w:rFonts w:eastAsia="等线"/>
                <w:sz w:val="18"/>
                <w:szCs w:val="18"/>
              </w:rPr>
              <w:t>.03</w:t>
            </w:r>
          </w:p>
        </w:tc>
        <w:tc>
          <w:tcPr>
            <w:tcW w:w="1270" w:type="dxa"/>
            <w:vAlign w:val="center"/>
          </w:tcPr>
          <w:p w14:paraId="63312008" w14:textId="77777777" w:rsidR="00D170E5" w:rsidRPr="002B55E9" w:rsidRDefault="00EF27AD">
            <w:pPr>
              <w:jc w:val="center"/>
              <w:rPr>
                <w:sz w:val="18"/>
                <w:szCs w:val="18"/>
              </w:rPr>
            </w:pPr>
            <w:r w:rsidRPr="002B55E9">
              <w:rPr>
                <w:rFonts w:hint="eastAsia"/>
                <w:sz w:val="18"/>
                <w:szCs w:val="18"/>
              </w:rPr>
              <w:t>/</w:t>
            </w:r>
          </w:p>
        </w:tc>
      </w:tr>
      <w:tr w:rsidR="002B55E9" w:rsidRPr="002B55E9" w14:paraId="65303B22" w14:textId="77777777" w:rsidTr="00625BF6">
        <w:trPr>
          <w:trHeight w:val="284"/>
        </w:trPr>
        <w:tc>
          <w:tcPr>
            <w:tcW w:w="1633" w:type="dxa"/>
            <w:vMerge/>
            <w:vAlign w:val="center"/>
          </w:tcPr>
          <w:p w14:paraId="0CE759EC" w14:textId="77777777" w:rsidR="00D170E5" w:rsidRPr="002B55E9" w:rsidRDefault="00D170E5">
            <w:pPr>
              <w:jc w:val="center"/>
              <w:rPr>
                <w:sz w:val="18"/>
                <w:szCs w:val="18"/>
              </w:rPr>
            </w:pPr>
          </w:p>
        </w:tc>
        <w:tc>
          <w:tcPr>
            <w:tcW w:w="1124" w:type="dxa"/>
            <w:vMerge/>
            <w:vAlign w:val="center"/>
          </w:tcPr>
          <w:p w14:paraId="227169CF" w14:textId="77777777" w:rsidR="00D170E5" w:rsidRPr="002B55E9" w:rsidRDefault="00D170E5">
            <w:pPr>
              <w:jc w:val="center"/>
              <w:rPr>
                <w:sz w:val="18"/>
                <w:szCs w:val="18"/>
              </w:rPr>
            </w:pPr>
          </w:p>
        </w:tc>
        <w:tc>
          <w:tcPr>
            <w:tcW w:w="1638" w:type="dxa"/>
            <w:vAlign w:val="center"/>
          </w:tcPr>
          <w:p w14:paraId="73F4F114" w14:textId="77777777" w:rsidR="00D170E5" w:rsidRPr="002B55E9" w:rsidRDefault="00EF27AD">
            <w:pPr>
              <w:jc w:val="center"/>
              <w:rPr>
                <w:sz w:val="18"/>
                <w:szCs w:val="18"/>
              </w:rPr>
            </w:pPr>
            <w:r w:rsidRPr="002B55E9">
              <w:rPr>
                <w:rFonts w:hint="eastAsia"/>
                <w:sz w:val="18"/>
                <w:szCs w:val="18"/>
              </w:rPr>
              <w:t>硫酸</w:t>
            </w:r>
          </w:p>
        </w:tc>
        <w:tc>
          <w:tcPr>
            <w:tcW w:w="1559" w:type="dxa"/>
            <w:vAlign w:val="center"/>
          </w:tcPr>
          <w:p w14:paraId="16D18607" w14:textId="77777777" w:rsidR="00D170E5" w:rsidRPr="002B55E9" w:rsidRDefault="00EF27AD">
            <w:pPr>
              <w:jc w:val="center"/>
              <w:rPr>
                <w:sz w:val="18"/>
                <w:szCs w:val="18"/>
              </w:rPr>
            </w:pPr>
            <w:r w:rsidRPr="002B55E9">
              <w:rPr>
                <w:rFonts w:hint="eastAsia"/>
                <w:sz w:val="18"/>
                <w:szCs w:val="18"/>
              </w:rPr>
              <w:t>300</w:t>
            </w:r>
          </w:p>
        </w:tc>
        <w:tc>
          <w:tcPr>
            <w:tcW w:w="1278" w:type="dxa"/>
            <w:vAlign w:val="center"/>
          </w:tcPr>
          <w:p w14:paraId="7F0F7476" w14:textId="3E7148EA" w:rsidR="00D170E5" w:rsidRPr="002B55E9" w:rsidRDefault="00EF27AD">
            <w:pPr>
              <w:jc w:val="center"/>
              <w:rPr>
                <w:sz w:val="18"/>
                <w:szCs w:val="18"/>
              </w:rPr>
            </w:pPr>
            <w:r w:rsidRPr="002B55E9">
              <w:rPr>
                <w:sz w:val="18"/>
                <w:szCs w:val="18"/>
              </w:rPr>
              <w:t>3.7</w:t>
            </w:r>
            <w:r w:rsidR="00B67DB4" w:rsidRPr="002B55E9">
              <w:rPr>
                <w:sz w:val="18"/>
                <w:szCs w:val="18"/>
              </w:rPr>
              <w:t>9</w:t>
            </w:r>
            <w:r w:rsidRPr="002B55E9">
              <w:rPr>
                <w:sz w:val="18"/>
                <w:szCs w:val="18"/>
              </w:rPr>
              <w:t>E-05</w:t>
            </w:r>
          </w:p>
        </w:tc>
        <w:tc>
          <w:tcPr>
            <w:tcW w:w="1135" w:type="dxa"/>
            <w:vAlign w:val="center"/>
          </w:tcPr>
          <w:p w14:paraId="0EF3BC5F" w14:textId="77777777" w:rsidR="00D170E5" w:rsidRPr="002B55E9" w:rsidRDefault="00EF27AD">
            <w:pPr>
              <w:jc w:val="center"/>
              <w:rPr>
                <w:rFonts w:eastAsia="等线"/>
                <w:sz w:val="18"/>
                <w:szCs w:val="18"/>
              </w:rPr>
            </w:pPr>
            <w:r w:rsidRPr="002B55E9">
              <w:rPr>
                <w:rFonts w:eastAsia="等线" w:hint="eastAsia"/>
                <w:sz w:val="18"/>
                <w:szCs w:val="18"/>
              </w:rPr>
              <w:t>0</w:t>
            </w:r>
            <w:r w:rsidRPr="002B55E9">
              <w:rPr>
                <w:rFonts w:eastAsia="等线"/>
                <w:sz w:val="18"/>
                <w:szCs w:val="18"/>
              </w:rPr>
              <w:t>.01</w:t>
            </w:r>
          </w:p>
        </w:tc>
        <w:tc>
          <w:tcPr>
            <w:tcW w:w="1270" w:type="dxa"/>
            <w:vAlign w:val="center"/>
          </w:tcPr>
          <w:p w14:paraId="378E3266" w14:textId="77777777" w:rsidR="00D170E5" w:rsidRPr="002B55E9" w:rsidRDefault="00EF27AD">
            <w:pPr>
              <w:jc w:val="center"/>
              <w:rPr>
                <w:sz w:val="18"/>
                <w:szCs w:val="18"/>
              </w:rPr>
            </w:pPr>
            <w:r w:rsidRPr="002B55E9">
              <w:rPr>
                <w:rFonts w:hint="eastAsia"/>
                <w:sz w:val="18"/>
                <w:szCs w:val="18"/>
              </w:rPr>
              <w:t>/</w:t>
            </w:r>
          </w:p>
        </w:tc>
      </w:tr>
      <w:tr w:rsidR="002B55E9" w:rsidRPr="002B55E9" w14:paraId="3AE89A5C" w14:textId="77777777" w:rsidTr="00625BF6">
        <w:trPr>
          <w:trHeight w:val="284"/>
        </w:trPr>
        <w:tc>
          <w:tcPr>
            <w:tcW w:w="1633" w:type="dxa"/>
            <w:vMerge/>
            <w:vAlign w:val="center"/>
          </w:tcPr>
          <w:p w14:paraId="06597D84" w14:textId="77777777" w:rsidR="00D170E5" w:rsidRPr="002B55E9" w:rsidRDefault="00D170E5">
            <w:pPr>
              <w:jc w:val="center"/>
              <w:rPr>
                <w:sz w:val="18"/>
                <w:szCs w:val="18"/>
              </w:rPr>
            </w:pPr>
          </w:p>
        </w:tc>
        <w:tc>
          <w:tcPr>
            <w:tcW w:w="1124" w:type="dxa"/>
            <w:vMerge/>
            <w:vAlign w:val="center"/>
          </w:tcPr>
          <w:p w14:paraId="3230F597" w14:textId="77777777" w:rsidR="00D170E5" w:rsidRPr="002B55E9" w:rsidRDefault="00D170E5">
            <w:pPr>
              <w:jc w:val="center"/>
              <w:rPr>
                <w:sz w:val="18"/>
                <w:szCs w:val="18"/>
              </w:rPr>
            </w:pPr>
          </w:p>
        </w:tc>
        <w:tc>
          <w:tcPr>
            <w:tcW w:w="1638" w:type="dxa"/>
            <w:vAlign w:val="center"/>
          </w:tcPr>
          <w:p w14:paraId="1B4A6405" w14:textId="77777777" w:rsidR="00D170E5" w:rsidRPr="002B55E9" w:rsidRDefault="00EF27AD">
            <w:pPr>
              <w:jc w:val="center"/>
              <w:rPr>
                <w:sz w:val="18"/>
                <w:szCs w:val="18"/>
              </w:rPr>
            </w:pPr>
            <w:r w:rsidRPr="002B55E9">
              <w:rPr>
                <w:rFonts w:hint="eastAsia"/>
                <w:sz w:val="18"/>
                <w:szCs w:val="18"/>
              </w:rPr>
              <w:t>氯化氢</w:t>
            </w:r>
          </w:p>
        </w:tc>
        <w:tc>
          <w:tcPr>
            <w:tcW w:w="1559" w:type="dxa"/>
            <w:vAlign w:val="center"/>
          </w:tcPr>
          <w:p w14:paraId="0FEBD635" w14:textId="77777777" w:rsidR="00D170E5" w:rsidRPr="002B55E9" w:rsidRDefault="00EF27AD">
            <w:pPr>
              <w:jc w:val="center"/>
              <w:rPr>
                <w:sz w:val="18"/>
                <w:szCs w:val="18"/>
              </w:rPr>
            </w:pPr>
            <w:r w:rsidRPr="002B55E9">
              <w:rPr>
                <w:rFonts w:hint="eastAsia"/>
                <w:sz w:val="18"/>
                <w:szCs w:val="18"/>
              </w:rPr>
              <w:t>50</w:t>
            </w:r>
          </w:p>
        </w:tc>
        <w:tc>
          <w:tcPr>
            <w:tcW w:w="1278" w:type="dxa"/>
            <w:vAlign w:val="center"/>
          </w:tcPr>
          <w:p w14:paraId="6585602E" w14:textId="773D3997" w:rsidR="00D170E5" w:rsidRPr="002B55E9" w:rsidRDefault="00EF27AD">
            <w:pPr>
              <w:jc w:val="center"/>
              <w:rPr>
                <w:sz w:val="18"/>
                <w:szCs w:val="18"/>
              </w:rPr>
            </w:pPr>
            <w:r w:rsidRPr="002B55E9">
              <w:rPr>
                <w:sz w:val="18"/>
                <w:szCs w:val="18"/>
              </w:rPr>
              <w:t>7.4</w:t>
            </w:r>
            <w:r w:rsidR="00B67DB4" w:rsidRPr="002B55E9">
              <w:rPr>
                <w:sz w:val="18"/>
                <w:szCs w:val="18"/>
              </w:rPr>
              <w:t>9</w:t>
            </w:r>
            <w:r w:rsidRPr="002B55E9">
              <w:rPr>
                <w:sz w:val="18"/>
                <w:szCs w:val="18"/>
              </w:rPr>
              <w:t>E-08</w:t>
            </w:r>
          </w:p>
        </w:tc>
        <w:tc>
          <w:tcPr>
            <w:tcW w:w="1135" w:type="dxa"/>
            <w:vAlign w:val="center"/>
          </w:tcPr>
          <w:p w14:paraId="48C7B601" w14:textId="77777777" w:rsidR="00D170E5" w:rsidRPr="002B55E9" w:rsidRDefault="00EF27AD">
            <w:pPr>
              <w:jc w:val="center"/>
              <w:rPr>
                <w:rFonts w:eastAsia="等线"/>
                <w:sz w:val="18"/>
                <w:szCs w:val="18"/>
              </w:rPr>
            </w:pPr>
            <w:r w:rsidRPr="002B55E9">
              <w:rPr>
                <w:rFonts w:eastAsia="等线" w:hint="eastAsia"/>
                <w:sz w:val="18"/>
                <w:szCs w:val="18"/>
              </w:rPr>
              <w:t>0</w:t>
            </w:r>
          </w:p>
        </w:tc>
        <w:tc>
          <w:tcPr>
            <w:tcW w:w="1270" w:type="dxa"/>
            <w:vAlign w:val="center"/>
          </w:tcPr>
          <w:p w14:paraId="309E106B" w14:textId="77777777" w:rsidR="00D170E5" w:rsidRPr="002B55E9" w:rsidRDefault="00EF27AD">
            <w:pPr>
              <w:jc w:val="center"/>
              <w:rPr>
                <w:sz w:val="18"/>
                <w:szCs w:val="18"/>
              </w:rPr>
            </w:pPr>
            <w:r w:rsidRPr="002B55E9">
              <w:rPr>
                <w:rFonts w:hint="eastAsia"/>
                <w:sz w:val="18"/>
                <w:szCs w:val="18"/>
              </w:rPr>
              <w:t>/</w:t>
            </w:r>
          </w:p>
        </w:tc>
      </w:tr>
      <w:tr w:rsidR="002B55E9" w:rsidRPr="002B55E9" w14:paraId="151B9D00" w14:textId="77777777" w:rsidTr="00625BF6">
        <w:trPr>
          <w:trHeight w:val="284"/>
        </w:trPr>
        <w:tc>
          <w:tcPr>
            <w:tcW w:w="1633" w:type="dxa"/>
            <w:vAlign w:val="center"/>
          </w:tcPr>
          <w:p w14:paraId="08768BD3" w14:textId="77777777" w:rsidR="00120639" w:rsidRPr="002B55E9" w:rsidRDefault="00120639" w:rsidP="00120639">
            <w:pPr>
              <w:jc w:val="center"/>
              <w:rPr>
                <w:sz w:val="18"/>
                <w:szCs w:val="18"/>
              </w:rPr>
            </w:pPr>
            <w:r w:rsidRPr="002B55E9">
              <w:rPr>
                <w:rFonts w:hint="eastAsia"/>
                <w:sz w:val="18"/>
                <w:szCs w:val="18"/>
              </w:rPr>
              <w:t>十三</w:t>
            </w:r>
            <w:r w:rsidRPr="002B55E9">
              <w:rPr>
                <w:sz w:val="18"/>
                <w:szCs w:val="18"/>
              </w:rPr>
              <w:t>车间面源</w:t>
            </w:r>
          </w:p>
        </w:tc>
        <w:tc>
          <w:tcPr>
            <w:tcW w:w="1124" w:type="dxa"/>
            <w:vAlign w:val="center"/>
          </w:tcPr>
          <w:p w14:paraId="46DECD4F" w14:textId="77777777" w:rsidR="00120639" w:rsidRPr="002B55E9" w:rsidRDefault="00120639" w:rsidP="00120639">
            <w:pPr>
              <w:jc w:val="center"/>
              <w:rPr>
                <w:sz w:val="18"/>
                <w:szCs w:val="18"/>
              </w:rPr>
            </w:pPr>
            <w:r w:rsidRPr="002B55E9">
              <w:rPr>
                <w:rFonts w:hint="eastAsia"/>
                <w:sz w:val="18"/>
                <w:szCs w:val="18"/>
              </w:rPr>
              <w:t>/</w:t>
            </w:r>
          </w:p>
        </w:tc>
        <w:tc>
          <w:tcPr>
            <w:tcW w:w="1638" w:type="dxa"/>
            <w:vAlign w:val="center"/>
          </w:tcPr>
          <w:p w14:paraId="6C771741" w14:textId="26702DEC" w:rsidR="00120639" w:rsidRPr="002B55E9" w:rsidRDefault="00120639" w:rsidP="00120639">
            <w:pPr>
              <w:jc w:val="center"/>
              <w:rPr>
                <w:sz w:val="18"/>
                <w:szCs w:val="18"/>
              </w:rPr>
            </w:pPr>
            <w:r w:rsidRPr="002B55E9">
              <w:rPr>
                <w:rFonts w:hint="eastAsia"/>
                <w:sz w:val="18"/>
                <w:szCs w:val="18"/>
              </w:rPr>
              <w:t>TSP</w:t>
            </w:r>
          </w:p>
        </w:tc>
        <w:tc>
          <w:tcPr>
            <w:tcW w:w="1559" w:type="dxa"/>
            <w:vAlign w:val="center"/>
          </w:tcPr>
          <w:p w14:paraId="2FC4045D" w14:textId="389E7005" w:rsidR="00120639" w:rsidRPr="002B55E9" w:rsidRDefault="00120639" w:rsidP="00120639">
            <w:pPr>
              <w:jc w:val="center"/>
              <w:rPr>
                <w:sz w:val="18"/>
                <w:szCs w:val="18"/>
              </w:rPr>
            </w:pPr>
            <w:r w:rsidRPr="002B55E9">
              <w:rPr>
                <w:rFonts w:hint="eastAsia"/>
                <w:sz w:val="18"/>
                <w:szCs w:val="18"/>
              </w:rPr>
              <w:t>900</w:t>
            </w:r>
          </w:p>
        </w:tc>
        <w:tc>
          <w:tcPr>
            <w:tcW w:w="1278" w:type="dxa"/>
            <w:vAlign w:val="center"/>
          </w:tcPr>
          <w:p w14:paraId="0DE81F0F" w14:textId="313C3144" w:rsidR="00120639" w:rsidRPr="002B55E9" w:rsidRDefault="00120639" w:rsidP="00120639">
            <w:pPr>
              <w:jc w:val="center"/>
              <w:rPr>
                <w:sz w:val="18"/>
                <w:szCs w:val="18"/>
              </w:rPr>
            </w:pPr>
            <w:r w:rsidRPr="002B55E9">
              <w:rPr>
                <w:sz w:val="18"/>
                <w:szCs w:val="18"/>
              </w:rPr>
              <w:t>3.09E-03</w:t>
            </w:r>
          </w:p>
        </w:tc>
        <w:tc>
          <w:tcPr>
            <w:tcW w:w="1135" w:type="dxa"/>
            <w:vAlign w:val="center"/>
          </w:tcPr>
          <w:p w14:paraId="1CFC2990" w14:textId="6D3ADDC2" w:rsidR="00120639" w:rsidRPr="002B55E9" w:rsidRDefault="00120639" w:rsidP="00120639">
            <w:pPr>
              <w:jc w:val="center"/>
              <w:rPr>
                <w:rFonts w:eastAsia="等线"/>
                <w:sz w:val="18"/>
                <w:szCs w:val="18"/>
              </w:rPr>
            </w:pPr>
            <w:r w:rsidRPr="002B55E9">
              <w:rPr>
                <w:rFonts w:eastAsia="等线" w:hint="eastAsia"/>
                <w:sz w:val="18"/>
                <w:szCs w:val="18"/>
              </w:rPr>
              <w:t>0</w:t>
            </w:r>
            <w:r w:rsidRPr="002B55E9">
              <w:rPr>
                <w:rFonts w:eastAsia="等线"/>
                <w:sz w:val="18"/>
                <w:szCs w:val="18"/>
              </w:rPr>
              <w:t>.34</w:t>
            </w:r>
          </w:p>
        </w:tc>
        <w:tc>
          <w:tcPr>
            <w:tcW w:w="1270" w:type="dxa"/>
            <w:vAlign w:val="center"/>
          </w:tcPr>
          <w:p w14:paraId="10D34C1D" w14:textId="77777777" w:rsidR="00120639" w:rsidRPr="002B55E9" w:rsidRDefault="00120639" w:rsidP="00120639">
            <w:pPr>
              <w:jc w:val="center"/>
              <w:rPr>
                <w:sz w:val="18"/>
                <w:szCs w:val="18"/>
              </w:rPr>
            </w:pPr>
            <w:r w:rsidRPr="002B55E9">
              <w:rPr>
                <w:rFonts w:hint="eastAsia"/>
                <w:sz w:val="18"/>
                <w:szCs w:val="18"/>
              </w:rPr>
              <w:t>/</w:t>
            </w:r>
          </w:p>
        </w:tc>
      </w:tr>
      <w:tr w:rsidR="002B55E9" w:rsidRPr="002B55E9" w14:paraId="048A755F" w14:textId="77777777" w:rsidTr="00625BF6">
        <w:trPr>
          <w:trHeight w:val="284"/>
        </w:trPr>
        <w:tc>
          <w:tcPr>
            <w:tcW w:w="1633" w:type="dxa"/>
            <w:vAlign w:val="center"/>
          </w:tcPr>
          <w:p w14:paraId="39D80C76" w14:textId="77777777" w:rsidR="00120639" w:rsidRPr="002B55E9" w:rsidRDefault="00120639" w:rsidP="00120639">
            <w:pPr>
              <w:jc w:val="center"/>
              <w:rPr>
                <w:sz w:val="18"/>
                <w:szCs w:val="18"/>
              </w:rPr>
            </w:pPr>
            <w:r w:rsidRPr="002B55E9">
              <w:rPr>
                <w:rFonts w:hint="eastAsia"/>
                <w:sz w:val="18"/>
                <w:szCs w:val="18"/>
              </w:rPr>
              <w:t>罐区三面源</w:t>
            </w:r>
          </w:p>
        </w:tc>
        <w:tc>
          <w:tcPr>
            <w:tcW w:w="1124" w:type="dxa"/>
            <w:vAlign w:val="center"/>
          </w:tcPr>
          <w:p w14:paraId="3062D400" w14:textId="77777777" w:rsidR="00120639" w:rsidRPr="002B55E9" w:rsidRDefault="00120639" w:rsidP="00120639">
            <w:pPr>
              <w:jc w:val="center"/>
              <w:rPr>
                <w:sz w:val="18"/>
                <w:szCs w:val="18"/>
              </w:rPr>
            </w:pPr>
            <w:r w:rsidRPr="002B55E9">
              <w:rPr>
                <w:rFonts w:hint="eastAsia"/>
                <w:sz w:val="18"/>
                <w:szCs w:val="18"/>
              </w:rPr>
              <w:t>/</w:t>
            </w:r>
          </w:p>
        </w:tc>
        <w:tc>
          <w:tcPr>
            <w:tcW w:w="1638" w:type="dxa"/>
            <w:vAlign w:val="center"/>
          </w:tcPr>
          <w:p w14:paraId="5A6BC244" w14:textId="7A17615E" w:rsidR="00120639" w:rsidRPr="002B55E9" w:rsidRDefault="00120639" w:rsidP="00120639">
            <w:pPr>
              <w:jc w:val="center"/>
              <w:rPr>
                <w:sz w:val="18"/>
                <w:szCs w:val="18"/>
              </w:rPr>
            </w:pPr>
            <w:r w:rsidRPr="002B55E9">
              <w:rPr>
                <w:rFonts w:hint="eastAsia"/>
                <w:sz w:val="18"/>
                <w:szCs w:val="18"/>
              </w:rPr>
              <w:t>总挥发性有机物</w:t>
            </w:r>
          </w:p>
        </w:tc>
        <w:tc>
          <w:tcPr>
            <w:tcW w:w="1559" w:type="dxa"/>
            <w:vAlign w:val="center"/>
          </w:tcPr>
          <w:p w14:paraId="7308825E" w14:textId="77777777" w:rsidR="00120639" w:rsidRPr="002B55E9" w:rsidRDefault="00120639" w:rsidP="00120639">
            <w:pPr>
              <w:jc w:val="center"/>
              <w:rPr>
                <w:sz w:val="18"/>
                <w:szCs w:val="18"/>
              </w:rPr>
            </w:pPr>
            <w:r w:rsidRPr="002B55E9">
              <w:rPr>
                <w:rFonts w:hint="eastAsia"/>
                <w:sz w:val="18"/>
                <w:szCs w:val="18"/>
              </w:rPr>
              <w:t>1200</w:t>
            </w:r>
          </w:p>
        </w:tc>
        <w:tc>
          <w:tcPr>
            <w:tcW w:w="1278" w:type="dxa"/>
            <w:vAlign w:val="center"/>
          </w:tcPr>
          <w:p w14:paraId="287E3DEC" w14:textId="77777777" w:rsidR="00120639" w:rsidRPr="002B55E9" w:rsidRDefault="00120639" w:rsidP="00120639">
            <w:pPr>
              <w:jc w:val="center"/>
              <w:rPr>
                <w:sz w:val="18"/>
                <w:szCs w:val="18"/>
              </w:rPr>
            </w:pPr>
            <w:r w:rsidRPr="002B55E9">
              <w:rPr>
                <w:sz w:val="18"/>
                <w:szCs w:val="18"/>
              </w:rPr>
              <w:t>9.70E-03</w:t>
            </w:r>
          </w:p>
        </w:tc>
        <w:tc>
          <w:tcPr>
            <w:tcW w:w="1135" w:type="dxa"/>
            <w:vAlign w:val="center"/>
          </w:tcPr>
          <w:p w14:paraId="0E1A3E42" w14:textId="77777777" w:rsidR="00120639" w:rsidRPr="002B55E9" w:rsidRDefault="00120639" w:rsidP="00120639">
            <w:pPr>
              <w:jc w:val="center"/>
              <w:rPr>
                <w:rFonts w:eastAsia="等线"/>
                <w:sz w:val="18"/>
                <w:szCs w:val="18"/>
              </w:rPr>
            </w:pPr>
            <w:r w:rsidRPr="002B55E9">
              <w:rPr>
                <w:rFonts w:eastAsia="等线" w:hint="eastAsia"/>
                <w:sz w:val="18"/>
                <w:szCs w:val="18"/>
              </w:rPr>
              <w:t>0</w:t>
            </w:r>
            <w:r w:rsidRPr="002B55E9">
              <w:rPr>
                <w:rFonts w:eastAsia="等线"/>
                <w:sz w:val="18"/>
                <w:szCs w:val="18"/>
              </w:rPr>
              <w:t>.81</w:t>
            </w:r>
          </w:p>
        </w:tc>
        <w:tc>
          <w:tcPr>
            <w:tcW w:w="1270" w:type="dxa"/>
            <w:vAlign w:val="center"/>
          </w:tcPr>
          <w:p w14:paraId="1FD3344F" w14:textId="77777777" w:rsidR="00120639" w:rsidRPr="002B55E9" w:rsidRDefault="00120639" w:rsidP="00120639">
            <w:pPr>
              <w:jc w:val="center"/>
              <w:rPr>
                <w:sz w:val="18"/>
                <w:szCs w:val="18"/>
              </w:rPr>
            </w:pPr>
            <w:r w:rsidRPr="002B55E9">
              <w:rPr>
                <w:rFonts w:hint="eastAsia"/>
                <w:sz w:val="18"/>
                <w:szCs w:val="18"/>
              </w:rPr>
              <w:t>/</w:t>
            </w:r>
          </w:p>
        </w:tc>
      </w:tr>
      <w:tr w:rsidR="002B55E9" w:rsidRPr="002B55E9" w14:paraId="798B3350" w14:textId="77777777" w:rsidTr="00625BF6">
        <w:trPr>
          <w:trHeight w:val="284"/>
        </w:trPr>
        <w:tc>
          <w:tcPr>
            <w:tcW w:w="1633" w:type="dxa"/>
            <w:vAlign w:val="center"/>
          </w:tcPr>
          <w:p w14:paraId="4EC5799B" w14:textId="77777777" w:rsidR="00120639" w:rsidRPr="002B55E9" w:rsidRDefault="00120639" w:rsidP="00120639">
            <w:pPr>
              <w:jc w:val="center"/>
              <w:rPr>
                <w:sz w:val="18"/>
                <w:szCs w:val="18"/>
              </w:rPr>
            </w:pPr>
            <w:r w:rsidRPr="002B55E9">
              <w:rPr>
                <w:rFonts w:hint="eastAsia"/>
                <w:sz w:val="18"/>
                <w:szCs w:val="18"/>
              </w:rPr>
              <w:t>酒精</w:t>
            </w:r>
            <w:r w:rsidRPr="002B55E9">
              <w:rPr>
                <w:sz w:val="18"/>
                <w:szCs w:val="18"/>
              </w:rPr>
              <w:t>罐区面源</w:t>
            </w:r>
          </w:p>
        </w:tc>
        <w:tc>
          <w:tcPr>
            <w:tcW w:w="1124" w:type="dxa"/>
            <w:vAlign w:val="center"/>
          </w:tcPr>
          <w:p w14:paraId="08D6FCB7" w14:textId="77777777" w:rsidR="00120639" w:rsidRPr="002B55E9" w:rsidRDefault="00120639" w:rsidP="00120639">
            <w:pPr>
              <w:jc w:val="center"/>
              <w:rPr>
                <w:sz w:val="18"/>
                <w:szCs w:val="18"/>
              </w:rPr>
            </w:pPr>
            <w:r w:rsidRPr="002B55E9">
              <w:rPr>
                <w:rFonts w:hint="eastAsia"/>
                <w:sz w:val="18"/>
                <w:szCs w:val="18"/>
              </w:rPr>
              <w:t>/</w:t>
            </w:r>
          </w:p>
        </w:tc>
        <w:tc>
          <w:tcPr>
            <w:tcW w:w="1638" w:type="dxa"/>
            <w:vAlign w:val="center"/>
          </w:tcPr>
          <w:p w14:paraId="3AA99DF2" w14:textId="1E69DF47" w:rsidR="00120639" w:rsidRPr="002B55E9" w:rsidRDefault="00120639" w:rsidP="00120639">
            <w:pPr>
              <w:jc w:val="center"/>
              <w:rPr>
                <w:sz w:val="18"/>
                <w:szCs w:val="18"/>
              </w:rPr>
            </w:pPr>
            <w:r w:rsidRPr="002B55E9">
              <w:rPr>
                <w:rFonts w:hint="eastAsia"/>
                <w:sz w:val="18"/>
                <w:szCs w:val="18"/>
              </w:rPr>
              <w:t>总挥发性有机物</w:t>
            </w:r>
          </w:p>
        </w:tc>
        <w:tc>
          <w:tcPr>
            <w:tcW w:w="1559" w:type="dxa"/>
            <w:vAlign w:val="center"/>
          </w:tcPr>
          <w:p w14:paraId="181D1FDD" w14:textId="77777777" w:rsidR="00120639" w:rsidRPr="002B55E9" w:rsidRDefault="00120639" w:rsidP="00120639">
            <w:pPr>
              <w:jc w:val="center"/>
              <w:rPr>
                <w:sz w:val="18"/>
                <w:szCs w:val="18"/>
              </w:rPr>
            </w:pPr>
            <w:r w:rsidRPr="002B55E9">
              <w:rPr>
                <w:rFonts w:hint="eastAsia"/>
                <w:sz w:val="18"/>
                <w:szCs w:val="18"/>
              </w:rPr>
              <w:t>1200</w:t>
            </w:r>
          </w:p>
        </w:tc>
        <w:tc>
          <w:tcPr>
            <w:tcW w:w="1278" w:type="dxa"/>
            <w:vAlign w:val="center"/>
          </w:tcPr>
          <w:p w14:paraId="305C17AF" w14:textId="77777777" w:rsidR="00120639" w:rsidRPr="002B55E9" w:rsidRDefault="00120639" w:rsidP="00120639">
            <w:pPr>
              <w:jc w:val="center"/>
              <w:rPr>
                <w:rFonts w:eastAsia="等线"/>
                <w:sz w:val="18"/>
                <w:szCs w:val="18"/>
              </w:rPr>
            </w:pPr>
            <w:r w:rsidRPr="002B55E9">
              <w:rPr>
                <w:rFonts w:eastAsia="等线"/>
                <w:sz w:val="18"/>
                <w:szCs w:val="18"/>
              </w:rPr>
              <w:t>1.62E-02</w:t>
            </w:r>
          </w:p>
        </w:tc>
        <w:tc>
          <w:tcPr>
            <w:tcW w:w="1135" w:type="dxa"/>
            <w:vAlign w:val="center"/>
          </w:tcPr>
          <w:p w14:paraId="58056978" w14:textId="77777777" w:rsidR="00120639" w:rsidRPr="002B55E9" w:rsidRDefault="00120639" w:rsidP="00120639">
            <w:pPr>
              <w:jc w:val="center"/>
              <w:rPr>
                <w:rFonts w:eastAsia="等线"/>
                <w:sz w:val="18"/>
                <w:szCs w:val="18"/>
              </w:rPr>
            </w:pPr>
            <w:r w:rsidRPr="002B55E9">
              <w:rPr>
                <w:rFonts w:eastAsia="等线" w:hint="eastAsia"/>
                <w:sz w:val="18"/>
                <w:szCs w:val="18"/>
              </w:rPr>
              <w:t>1</w:t>
            </w:r>
            <w:r w:rsidRPr="002B55E9">
              <w:rPr>
                <w:rFonts w:eastAsia="等线"/>
                <w:sz w:val="18"/>
                <w:szCs w:val="18"/>
              </w:rPr>
              <w:t>.35</w:t>
            </w:r>
          </w:p>
        </w:tc>
        <w:tc>
          <w:tcPr>
            <w:tcW w:w="1270" w:type="dxa"/>
            <w:vAlign w:val="center"/>
          </w:tcPr>
          <w:p w14:paraId="62ABF2B7" w14:textId="77777777" w:rsidR="00120639" w:rsidRPr="002B55E9" w:rsidRDefault="00120639" w:rsidP="00120639">
            <w:pPr>
              <w:jc w:val="center"/>
              <w:rPr>
                <w:sz w:val="18"/>
                <w:szCs w:val="18"/>
              </w:rPr>
            </w:pPr>
            <w:r w:rsidRPr="002B55E9">
              <w:rPr>
                <w:rFonts w:hint="eastAsia"/>
                <w:sz w:val="18"/>
                <w:szCs w:val="18"/>
              </w:rPr>
              <w:t>/</w:t>
            </w:r>
          </w:p>
        </w:tc>
      </w:tr>
    </w:tbl>
    <w:p w14:paraId="6C3C8649" w14:textId="5806EDC3" w:rsidR="00D170E5" w:rsidRPr="002B55E9" w:rsidRDefault="00EF27AD">
      <w:pPr>
        <w:pStyle w:val="affff7"/>
      </w:pPr>
      <w:r w:rsidRPr="002B55E9">
        <w:t>由上表可知，本项目</w:t>
      </w:r>
      <w:r w:rsidRPr="002B55E9">
        <w:t>P</w:t>
      </w:r>
      <w:r w:rsidRPr="002B55E9">
        <w:rPr>
          <w:vertAlign w:val="subscript"/>
        </w:rPr>
        <w:t>max</w:t>
      </w:r>
      <w:r w:rsidRPr="002B55E9">
        <w:rPr>
          <w:rFonts w:hint="eastAsia"/>
          <w:vertAlign w:val="subscript"/>
        </w:rPr>
        <w:t>（酒精罐区）</w:t>
      </w:r>
      <w:r w:rsidRPr="002B55E9">
        <w:rPr>
          <w:szCs w:val="24"/>
        </w:rPr>
        <w:t>=1.35%</w:t>
      </w:r>
      <w:r w:rsidRPr="002B55E9">
        <w:t>＜</w:t>
      </w:r>
      <w:r w:rsidRPr="002B55E9">
        <w:t>10%</w:t>
      </w:r>
      <w:r w:rsidRPr="002B55E9">
        <w:t>，因此确定本项目评价等级为二级。评价范围为以厂区中心为中心的边长为</w:t>
      </w:r>
      <w:r w:rsidRPr="002B55E9">
        <w:t>5km</w:t>
      </w:r>
      <w:r w:rsidRPr="002B55E9">
        <w:t>的</w:t>
      </w:r>
      <w:r w:rsidRPr="002B55E9">
        <w:rPr>
          <w:rFonts w:hint="eastAsia"/>
        </w:rPr>
        <w:t>矩形</w:t>
      </w:r>
      <w:r w:rsidRPr="002B55E9">
        <w:t>。</w:t>
      </w:r>
    </w:p>
    <w:p w14:paraId="42E472CF" w14:textId="77777777" w:rsidR="00625BF6" w:rsidRPr="002B55E9" w:rsidRDefault="00625BF6" w:rsidP="00625BF6">
      <w:pPr>
        <w:pStyle w:val="affff7"/>
        <w:snapToGrid w:val="0"/>
        <w:spacing w:after="0"/>
      </w:pPr>
      <w:r w:rsidRPr="002B55E9">
        <w:rPr>
          <w:rFonts w:hint="eastAsia"/>
        </w:rPr>
        <w:t>非正常排放条件下，本项目主要污染源估算模型计算结果如下表所示</w:t>
      </w:r>
      <w:r w:rsidRPr="002B55E9">
        <w:t>。</w:t>
      </w:r>
    </w:p>
    <w:p w14:paraId="511541C5" w14:textId="2BAE51B0" w:rsidR="00625BF6" w:rsidRPr="002B55E9" w:rsidRDefault="00625BF6" w:rsidP="00625BF6">
      <w:pPr>
        <w:pStyle w:val="1f3"/>
        <w:spacing w:beforeLines="0" w:before="0"/>
      </w:pPr>
      <w:r w:rsidRPr="002B55E9">
        <w:rPr>
          <w:rFonts w:hint="eastAsia"/>
        </w:rPr>
        <w:t>表</w:t>
      </w:r>
      <w:r w:rsidRPr="002B55E9">
        <w:rPr>
          <w:rFonts w:hint="eastAsia"/>
        </w:rPr>
        <w:t>5</w:t>
      </w:r>
      <w:r w:rsidRPr="002B55E9">
        <w:t xml:space="preserve">-2-12  </w:t>
      </w:r>
      <w:r w:rsidR="00120639" w:rsidRPr="002B55E9">
        <w:rPr>
          <w:rFonts w:hint="eastAsia"/>
        </w:rPr>
        <w:t>非正常排放条件下</w:t>
      </w:r>
      <w:r w:rsidRPr="002B55E9">
        <w:rPr>
          <w:rFonts w:hint="eastAsia"/>
        </w:rPr>
        <w:t>主要污染源估算模型计算结果汇总表</w:t>
      </w:r>
    </w:p>
    <w:tbl>
      <w:tblPr>
        <w:tblW w:w="96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3"/>
        <w:gridCol w:w="1124"/>
        <w:gridCol w:w="1496"/>
        <w:gridCol w:w="1701"/>
        <w:gridCol w:w="1278"/>
        <w:gridCol w:w="1135"/>
        <w:gridCol w:w="1270"/>
      </w:tblGrid>
      <w:tr w:rsidR="002B55E9" w:rsidRPr="002B55E9" w14:paraId="36341B9F" w14:textId="77777777" w:rsidTr="00625BF6">
        <w:trPr>
          <w:trHeight w:val="284"/>
        </w:trPr>
        <w:tc>
          <w:tcPr>
            <w:tcW w:w="1633" w:type="dxa"/>
            <w:tcBorders>
              <w:top w:val="single" w:sz="12" w:space="0" w:color="auto"/>
              <w:bottom w:val="single" w:sz="12" w:space="0" w:color="auto"/>
            </w:tcBorders>
            <w:vAlign w:val="center"/>
          </w:tcPr>
          <w:p w14:paraId="378902DA" w14:textId="77777777" w:rsidR="00625BF6" w:rsidRPr="002B55E9" w:rsidRDefault="00625BF6" w:rsidP="00AE5254">
            <w:pPr>
              <w:jc w:val="center"/>
              <w:rPr>
                <w:sz w:val="18"/>
                <w:szCs w:val="18"/>
              </w:rPr>
            </w:pPr>
            <w:r w:rsidRPr="002B55E9">
              <w:rPr>
                <w:sz w:val="18"/>
                <w:szCs w:val="18"/>
              </w:rPr>
              <w:t>污染源名称</w:t>
            </w:r>
          </w:p>
        </w:tc>
        <w:tc>
          <w:tcPr>
            <w:tcW w:w="1124" w:type="dxa"/>
            <w:tcBorders>
              <w:top w:val="single" w:sz="12" w:space="0" w:color="auto"/>
              <w:bottom w:val="single" w:sz="12" w:space="0" w:color="auto"/>
            </w:tcBorders>
            <w:vAlign w:val="center"/>
          </w:tcPr>
          <w:p w14:paraId="1E3F2855" w14:textId="77777777" w:rsidR="00625BF6" w:rsidRPr="002B55E9" w:rsidRDefault="00625BF6" w:rsidP="00AE5254">
            <w:pPr>
              <w:jc w:val="center"/>
              <w:rPr>
                <w:sz w:val="18"/>
                <w:szCs w:val="18"/>
              </w:rPr>
            </w:pPr>
            <w:r w:rsidRPr="002B55E9">
              <w:rPr>
                <w:rFonts w:hint="eastAsia"/>
                <w:sz w:val="18"/>
                <w:szCs w:val="18"/>
              </w:rPr>
              <w:t>排气筒编号</w:t>
            </w:r>
          </w:p>
        </w:tc>
        <w:tc>
          <w:tcPr>
            <w:tcW w:w="1496" w:type="dxa"/>
            <w:tcBorders>
              <w:top w:val="single" w:sz="12" w:space="0" w:color="auto"/>
              <w:bottom w:val="single" w:sz="12" w:space="0" w:color="auto"/>
            </w:tcBorders>
            <w:vAlign w:val="center"/>
          </w:tcPr>
          <w:p w14:paraId="77FB1520" w14:textId="77777777" w:rsidR="00625BF6" w:rsidRPr="002B55E9" w:rsidRDefault="00625BF6" w:rsidP="00AE5254">
            <w:pPr>
              <w:jc w:val="center"/>
              <w:rPr>
                <w:sz w:val="18"/>
                <w:szCs w:val="18"/>
              </w:rPr>
            </w:pPr>
            <w:r w:rsidRPr="002B55E9">
              <w:rPr>
                <w:sz w:val="18"/>
                <w:szCs w:val="18"/>
              </w:rPr>
              <w:t>评价因子</w:t>
            </w:r>
          </w:p>
        </w:tc>
        <w:tc>
          <w:tcPr>
            <w:tcW w:w="1701" w:type="dxa"/>
            <w:tcBorders>
              <w:top w:val="single" w:sz="12" w:space="0" w:color="auto"/>
              <w:bottom w:val="single" w:sz="12" w:space="0" w:color="auto"/>
            </w:tcBorders>
            <w:vAlign w:val="center"/>
          </w:tcPr>
          <w:p w14:paraId="76665B11" w14:textId="77777777" w:rsidR="00625BF6" w:rsidRPr="002B55E9" w:rsidRDefault="00625BF6" w:rsidP="00AE5254">
            <w:pPr>
              <w:jc w:val="center"/>
              <w:rPr>
                <w:sz w:val="18"/>
                <w:szCs w:val="18"/>
              </w:rPr>
            </w:pPr>
            <w:r w:rsidRPr="002B55E9">
              <w:rPr>
                <w:sz w:val="18"/>
                <w:szCs w:val="18"/>
              </w:rPr>
              <w:t>评价标准</w:t>
            </w:r>
            <w:r w:rsidRPr="002B55E9">
              <w:rPr>
                <w:sz w:val="18"/>
                <w:szCs w:val="18"/>
              </w:rPr>
              <w:t>(μg/m</w:t>
            </w:r>
            <w:r w:rsidRPr="002B55E9">
              <w:rPr>
                <w:sz w:val="18"/>
                <w:szCs w:val="18"/>
                <w:vertAlign w:val="superscript"/>
              </w:rPr>
              <w:t>3</w:t>
            </w:r>
            <w:r w:rsidRPr="002B55E9">
              <w:rPr>
                <w:sz w:val="18"/>
                <w:szCs w:val="18"/>
              </w:rPr>
              <w:t>)</w:t>
            </w:r>
          </w:p>
        </w:tc>
        <w:tc>
          <w:tcPr>
            <w:tcW w:w="1278" w:type="dxa"/>
            <w:tcBorders>
              <w:top w:val="single" w:sz="12" w:space="0" w:color="auto"/>
              <w:bottom w:val="single" w:sz="12" w:space="0" w:color="auto"/>
            </w:tcBorders>
            <w:vAlign w:val="center"/>
          </w:tcPr>
          <w:p w14:paraId="4FC0917D" w14:textId="77777777" w:rsidR="00625BF6" w:rsidRPr="002B55E9" w:rsidRDefault="00625BF6" w:rsidP="00AE5254">
            <w:pPr>
              <w:jc w:val="center"/>
              <w:rPr>
                <w:sz w:val="18"/>
                <w:szCs w:val="18"/>
              </w:rPr>
            </w:pPr>
            <w:r w:rsidRPr="002B55E9">
              <w:rPr>
                <w:sz w:val="18"/>
                <w:szCs w:val="18"/>
              </w:rPr>
              <w:t>C</w:t>
            </w:r>
            <w:r w:rsidRPr="002B55E9">
              <w:rPr>
                <w:sz w:val="18"/>
                <w:szCs w:val="18"/>
                <w:vertAlign w:val="subscript"/>
              </w:rPr>
              <w:t>max</w:t>
            </w:r>
            <w:r w:rsidRPr="002B55E9">
              <w:rPr>
                <w:sz w:val="18"/>
                <w:szCs w:val="18"/>
              </w:rPr>
              <w:t>(μg/m</w:t>
            </w:r>
            <w:r w:rsidRPr="002B55E9">
              <w:rPr>
                <w:sz w:val="18"/>
                <w:szCs w:val="18"/>
                <w:vertAlign w:val="superscript"/>
              </w:rPr>
              <w:t>3</w:t>
            </w:r>
            <w:r w:rsidRPr="002B55E9">
              <w:rPr>
                <w:sz w:val="18"/>
                <w:szCs w:val="18"/>
              </w:rPr>
              <w:t>)</w:t>
            </w:r>
          </w:p>
        </w:tc>
        <w:tc>
          <w:tcPr>
            <w:tcW w:w="1135" w:type="dxa"/>
            <w:tcBorders>
              <w:top w:val="single" w:sz="12" w:space="0" w:color="auto"/>
              <w:bottom w:val="single" w:sz="12" w:space="0" w:color="auto"/>
            </w:tcBorders>
            <w:vAlign w:val="center"/>
          </w:tcPr>
          <w:p w14:paraId="299A3B0F" w14:textId="77777777" w:rsidR="00625BF6" w:rsidRPr="002B55E9" w:rsidRDefault="00625BF6" w:rsidP="00AE5254">
            <w:pPr>
              <w:jc w:val="center"/>
              <w:rPr>
                <w:sz w:val="18"/>
                <w:szCs w:val="18"/>
              </w:rPr>
            </w:pPr>
            <w:r w:rsidRPr="002B55E9">
              <w:rPr>
                <w:sz w:val="18"/>
                <w:szCs w:val="18"/>
              </w:rPr>
              <w:t>P</w:t>
            </w:r>
            <w:r w:rsidRPr="002B55E9">
              <w:rPr>
                <w:sz w:val="18"/>
                <w:szCs w:val="18"/>
                <w:vertAlign w:val="subscript"/>
              </w:rPr>
              <w:t>max</w:t>
            </w:r>
            <w:r w:rsidRPr="002B55E9">
              <w:rPr>
                <w:sz w:val="18"/>
                <w:szCs w:val="18"/>
              </w:rPr>
              <w:t>(%)</w:t>
            </w:r>
          </w:p>
        </w:tc>
        <w:tc>
          <w:tcPr>
            <w:tcW w:w="1270" w:type="dxa"/>
            <w:tcBorders>
              <w:top w:val="single" w:sz="12" w:space="0" w:color="auto"/>
              <w:bottom w:val="single" w:sz="12" w:space="0" w:color="auto"/>
            </w:tcBorders>
            <w:vAlign w:val="center"/>
          </w:tcPr>
          <w:p w14:paraId="1CD86F57" w14:textId="77777777" w:rsidR="00625BF6" w:rsidRPr="002B55E9" w:rsidRDefault="00625BF6" w:rsidP="00AE5254">
            <w:pPr>
              <w:jc w:val="center"/>
              <w:rPr>
                <w:sz w:val="18"/>
                <w:szCs w:val="18"/>
              </w:rPr>
            </w:pPr>
            <w:r w:rsidRPr="002B55E9">
              <w:rPr>
                <w:sz w:val="18"/>
                <w:szCs w:val="18"/>
              </w:rPr>
              <w:t>D</w:t>
            </w:r>
            <w:r w:rsidRPr="002B55E9">
              <w:rPr>
                <w:sz w:val="18"/>
                <w:szCs w:val="18"/>
                <w:vertAlign w:val="subscript"/>
              </w:rPr>
              <w:t>10%</w:t>
            </w:r>
            <w:r w:rsidRPr="002B55E9">
              <w:rPr>
                <w:sz w:val="18"/>
                <w:szCs w:val="18"/>
              </w:rPr>
              <w:t>(m)</w:t>
            </w:r>
          </w:p>
        </w:tc>
      </w:tr>
      <w:tr w:rsidR="002B55E9" w:rsidRPr="002B55E9" w14:paraId="3C89D67F" w14:textId="77777777" w:rsidTr="00625BF6">
        <w:trPr>
          <w:trHeight w:val="284"/>
        </w:trPr>
        <w:tc>
          <w:tcPr>
            <w:tcW w:w="1633" w:type="dxa"/>
            <w:vAlign w:val="center"/>
          </w:tcPr>
          <w:p w14:paraId="08147363" w14:textId="77777777" w:rsidR="00625BF6" w:rsidRPr="002B55E9" w:rsidRDefault="00625BF6" w:rsidP="00AE5254">
            <w:pPr>
              <w:jc w:val="center"/>
              <w:rPr>
                <w:sz w:val="18"/>
                <w:szCs w:val="18"/>
              </w:rPr>
            </w:pPr>
            <w:r w:rsidRPr="002B55E9">
              <w:rPr>
                <w:rFonts w:hint="eastAsia"/>
                <w:sz w:val="18"/>
                <w:szCs w:val="18"/>
              </w:rPr>
              <w:t>破碎</w:t>
            </w:r>
            <w:r w:rsidRPr="002B55E9">
              <w:rPr>
                <w:sz w:val="18"/>
                <w:szCs w:val="18"/>
              </w:rPr>
              <w:t>粉尘</w:t>
            </w:r>
            <w:r w:rsidRPr="002B55E9">
              <w:rPr>
                <w:rFonts w:hint="eastAsia"/>
                <w:sz w:val="18"/>
                <w:szCs w:val="18"/>
              </w:rPr>
              <w:t>排气筒</w:t>
            </w:r>
          </w:p>
        </w:tc>
        <w:tc>
          <w:tcPr>
            <w:tcW w:w="1124" w:type="dxa"/>
            <w:vAlign w:val="center"/>
          </w:tcPr>
          <w:p w14:paraId="139B6187" w14:textId="77777777" w:rsidR="00625BF6" w:rsidRPr="002B55E9" w:rsidRDefault="00625BF6" w:rsidP="00AE5254">
            <w:pPr>
              <w:jc w:val="center"/>
              <w:rPr>
                <w:sz w:val="18"/>
                <w:szCs w:val="18"/>
              </w:rPr>
            </w:pPr>
            <w:r w:rsidRPr="002B55E9">
              <w:rPr>
                <w:rFonts w:hint="eastAsia"/>
                <w:sz w:val="18"/>
                <w:szCs w:val="18"/>
              </w:rPr>
              <w:t>DA001</w:t>
            </w:r>
          </w:p>
        </w:tc>
        <w:tc>
          <w:tcPr>
            <w:tcW w:w="1496" w:type="dxa"/>
            <w:vAlign w:val="center"/>
          </w:tcPr>
          <w:p w14:paraId="4AF9333C" w14:textId="021609A8" w:rsidR="00625BF6" w:rsidRPr="002B55E9" w:rsidRDefault="00625BF6" w:rsidP="00AE5254">
            <w:pPr>
              <w:jc w:val="center"/>
              <w:rPr>
                <w:sz w:val="18"/>
                <w:szCs w:val="18"/>
              </w:rPr>
            </w:pPr>
            <w:r w:rsidRPr="002B55E9">
              <w:rPr>
                <w:sz w:val="18"/>
                <w:szCs w:val="18"/>
              </w:rPr>
              <w:t>PM10</w:t>
            </w:r>
          </w:p>
        </w:tc>
        <w:tc>
          <w:tcPr>
            <w:tcW w:w="1701" w:type="dxa"/>
            <w:vAlign w:val="center"/>
          </w:tcPr>
          <w:p w14:paraId="552F71AB" w14:textId="77777777" w:rsidR="00625BF6" w:rsidRPr="002B55E9" w:rsidRDefault="00625BF6" w:rsidP="00AE5254">
            <w:pPr>
              <w:jc w:val="center"/>
              <w:rPr>
                <w:sz w:val="18"/>
                <w:szCs w:val="18"/>
              </w:rPr>
            </w:pPr>
            <w:r w:rsidRPr="002B55E9">
              <w:rPr>
                <w:rFonts w:hint="eastAsia"/>
                <w:sz w:val="18"/>
                <w:szCs w:val="18"/>
              </w:rPr>
              <w:t>900</w:t>
            </w:r>
          </w:p>
        </w:tc>
        <w:tc>
          <w:tcPr>
            <w:tcW w:w="1278" w:type="dxa"/>
            <w:vAlign w:val="center"/>
          </w:tcPr>
          <w:p w14:paraId="1828840A" w14:textId="0C8FE1B3" w:rsidR="00625BF6" w:rsidRPr="002B55E9" w:rsidRDefault="00097E8E" w:rsidP="00AE5254">
            <w:pPr>
              <w:jc w:val="center"/>
              <w:rPr>
                <w:sz w:val="18"/>
                <w:szCs w:val="18"/>
              </w:rPr>
            </w:pPr>
            <w:r w:rsidRPr="002B55E9">
              <w:rPr>
                <w:sz w:val="18"/>
                <w:szCs w:val="18"/>
              </w:rPr>
              <w:t>3.04E-03</w:t>
            </w:r>
          </w:p>
        </w:tc>
        <w:tc>
          <w:tcPr>
            <w:tcW w:w="1135" w:type="dxa"/>
            <w:vAlign w:val="center"/>
          </w:tcPr>
          <w:p w14:paraId="655E4215" w14:textId="3D06EFB7" w:rsidR="00625BF6" w:rsidRPr="002B55E9" w:rsidRDefault="00097E8E"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.68</w:t>
            </w:r>
          </w:p>
        </w:tc>
        <w:tc>
          <w:tcPr>
            <w:tcW w:w="1270" w:type="dxa"/>
            <w:vAlign w:val="center"/>
          </w:tcPr>
          <w:p w14:paraId="6C1A0049" w14:textId="77777777" w:rsidR="00625BF6" w:rsidRPr="002B55E9" w:rsidRDefault="00625BF6" w:rsidP="00AE5254">
            <w:pPr>
              <w:jc w:val="center"/>
              <w:rPr>
                <w:sz w:val="18"/>
                <w:szCs w:val="18"/>
              </w:rPr>
            </w:pPr>
            <w:r w:rsidRPr="002B55E9">
              <w:rPr>
                <w:rFonts w:hint="eastAsia"/>
                <w:sz w:val="18"/>
                <w:szCs w:val="18"/>
              </w:rPr>
              <w:t>/</w:t>
            </w:r>
          </w:p>
        </w:tc>
      </w:tr>
      <w:tr w:rsidR="002B55E9" w:rsidRPr="002B55E9" w14:paraId="7745C074" w14:textId="77777777" w:rsidTr="00625BF6">
        <w:trPr>
          <w:trHeight w:val="284"/>
        </w:trPr>
        <w:tc>
          <w:tcPr>
            <w:tcW w:w="1633" w:type="dxa"/>
            <w:vAlign w:val="center"/>
          </w:tcPr>
          <w:p w14:paraId="0EF6A839" w14:textId="77777777" w:rsidR="00625BF6" w:rsidRPr="002B55E9" w:rsidRDefault="00625BF6" w:rsidP="00AE5254">
            <w:pPr>
              <w:jc w:val="center"/>
              <w:rPr>
                <w:sz w:val="18"/>
                <w:szCs w:val="18"/>
              </w:rPr>
            </w:pPr>
            <w:r w:rsidRPr="002B55E9">
              <w:rPr>
                <w:rFonts w:hint="eastAsia"/>
                <w:sz w:val="18"/>
                <w:szCs w:val="18"/>
              </w:rPr>
              <w:lastRenderedPageBreak/>
              <w:t>工艺</w:t>
            </w:r>
            <w:r w:rsidRPr="002B55E9">
              <w:rPr>
                <w:sz w:val="18"/>
                <w:szCs w:val="18"/>
              </w:rPr>
              <w:t>废气排气筒</w:t>
            </w:r>
          </w:p>
        </w:tc>
        <w:tc>
          <w:tcPr>
            <w:tcW w:w="1124" w:type="dxa"/>
            <w:vAlign w:val="center"/>
          </w:tcPr>
          <w:p w14:paraId="27A03D45" w14:textId="77777777" w:rsidR="00625BF6" w:rsidRPr="002B55E9" w:rsidRDefault="00625BF6" w:rsidP="00AE5254">
            <w:pPr>
              <w:jc w:val="center"/>
              <w:rPr>
                <w:sz w:val="18"/>
                <w:szCs w:val="18"/>
              </w:rPr>
            </w:pPr>
            <w:r w:rsidRPr="002B55E9">
              <w:rPr>
                <w:rFonts w:hint="eastAsia"/>
                <w:sz w:val="18"/>
                <w:szCs w:val="18"/>
              </w:rPr>
              <w:t>DA00</w:t>
            </w:r>
            <w:r w:rsidRPr="002B55E9">
              <w:rPr>
                <w:sz w:val="18"/>
                <w:szCs w:val="18"/>
              </w:rPr>
              <w:t>2</w:t>
            </w:r>
          </w:p>
        </w:tc>
        <w:tc>
          <w:tcPr>
            <w:tcW w:w="1496" w:type="dxa"/>
            <w:vAlign w:val="center"/>
          </w:tcPr>
          <w:p w14:paraId="495B3A23" w14:textId="77777777" w:rsidR="00625BF6" w:rsidRPr="002B55E9" w:rsidRDefault="00625BF6" w:rsidP="00AE5254">
            <w:pPr>
              <w:jc w:val="center"/>
              <w:rPr>
                <w:sz w:val="18"/>
                <w:szCs w:val="18"/>
              </w:rPr>
            </w:pPr>
            <w:r w:rsidRPr="002B55E9">
              <w:rPr>
                <w:rFonts w:hint="eastAsia"/>
                <w:sz w:val="18"/>
                <w:szCs w:val="18"/>
              </w:rPr>
              <w:t>总挥发性有机物</w:t>
            </w:r>
          </w:p>
        </w:tc>
        <w:tc>
          <w:tcPr>
            <w:tcW w:w="1701" w:type="dxa"/>
            <w:vAlign w:val="center"/>
          </w:tcPr>
          <w:p w14:paraId="4BD221C9" w14:textId="77777777" w:rsidR="00625BF6" w:rsidRPr="002B55E9" w:rsidRDefault="00625BF6" w:rsidP="00AE5254">
            <w:pPr>
              <w:jc w:val="center"/>
              <w:rPr>
                <w:sz w:val="18"/>
                <w:szCs w:val="18"/>
              </w:rPr>
            </w:pPr>
            <w:r w:rsidRPr="002B55E9">
              <w:rPr>
                <w:rFonts w:hint="eastAsia"/>
                <w:sz w:val="18"/>
                <w:szCs w:val="18"/>
              </w:rPr>
              <w:t>1200</w:t>
            </w:r>
          </w:p>
        </w:tc>
        <w:tc>
          <w:tcPr>
            <w:tcW w:w="1278" w:type="dxa"/>
            <w:vAlign w:val="center"/>
          </w:tcPr>
          <w:p w14:paraId="57670A63" w14:textId="2424F455" w:rsidR="00625BF6" w:rsidRPr="002B55E9" w:rsidRDefault="00097E8E" w:rsidP="00AE5254">
            <w:pPr>
              <w:jc w:val="center"/>
              <w:rPr>
                <w:sz w:val="18"/>
                <w:szCs w:val="18"/>
              </w:rPr>
            </w:pPr>
            <w:r w:rsidRPr="002B55E9">
              <w:rPr>
                <w:sz w:val="18"/>
                <w:szCs w:val="18"/>
              </w:rPr>
              <w:t>5.18E-02</w:t>
            </w:r>
          </w:p>
        </w:tc>
        <w:tc>
          <w:tcPr>
            <w:tcW w:w="1135" w:type="dxa"/>
            <w:vAlign w:val="center"/>
          </w:tcPr>
          <w:p w14:paraId="27066729" w14:textId="23DB8A39" w:rsidR="00625BF6" w:rsidRPr="002B55E9" w:rsidRDefault="00097E8E" w:rsidP="00AE5254">
            <w:pPr>
              <w:jc w:val="center"/>
              <w:rPr>
                <w:rFonts w:eastAsia="等线"/>
                <w:sz w:val="18"/>
                <w:szCs w:val="18"/>
              </w:rPr>
            </w:pPr>
            <w:r w:rsidRPr="002B55E9">
              <w:rPr>
                <w:rFonts w:eastAsia="等线" w:hint="eastAsia"/>
                <w:sz w:val="18"/>
                <w:szCs w:val="18"/>
              </w:rPr>
              <w:t>4</w:t>
            </w:r>
            <w:r w:rsidRPr="002B55E9">
              <w:rPr>
                <w:rFonts w:eastAsia="等线"/>
                <w:sz w:val="18"/>
                <w:szCs w:val="18"/>
              </w:rPr>
              <w:t>.31</w:t>
            </w:r>
          </w:p>
        </w:tc>
        <w:tc>
          <w:tcPr>
            <w:tcW w:w="1270" w:type="dxa"/>
            <w:vAlign w:val="center"/>
          </w:tcPr>
          <w:p w14:paraId="3BB058A7" w14:textId="77777777" w:rsidR="00625BF6" w:rsidRPr="002B55E9" w:rsidRDefault="00625BF6" w:rsidP="00AE5254">
            <w:pPr>
              <w:jc w:val="center"/>
              <w:rPr>
                <w:sz w:val="18"/>
                <w:szCs w:val="18"/>
              </w:rPr>
            </w:pPr>
          </w:p>
        </w:tc>
      </w:tr>
      <w:tr w:rsidR="002B55E9" w:rsidRPr="002B55E9" w14:paraId="5173191A" w14:textId="77777777" w:rsidTr="00625BF6">
        <w:trPr>
          <w:trHeight w:val="284"/>
        </w:trPr>
        <w:tc>
          <w:tcPr>
            <w:tcW w:w="1633" w:type="dxa"/>
            <w:vMerge w:val="restart"/>
            <w:vAlign w:val="center"/>
          </w:tcPr>
          <w:p w14:paraId="49F50E69" w14:textId="77777777" w:rsidR="00625BF6" w:rsidRPr="002B55E9" w:rsidRDefault="00625BF6" w:rsidP="00AE5254">
            <w:pPr>
              <w:jc w:val="center"/>
              <w:rPr>
                <w:sz w:val="18"/>
                <w:szCs w:val="18"/>
              </w:rPr>
            </w:pPr>
            <w:r w:rsidRPr="002B55E9">
              <w:rPr>
                <w:rFonts w:hint="eastAsia"/>
                <w:sz w:val="18"/>
                <w:szCs w:val="18"/>
              </w:rPr>
              <w:t>化验室废气排气筒</w:t>
            </w:r>
          </w:p>
        </w:tc>
        <w:tc>
          <w:tcPr>
            <w:tcW w:w="1124" w:type="dxa"/>
            <w:vMerge w:val="restart"/>
            <w:vAlign w:val="center"/>
          </w:tcPr>
          <w:p w14:paraId="5936BE1D" w14:textId="77777777" w:rsidR="00625BF6" w:rsidRPr="002B55E9" w:rsidRDefault="00625BF6" w:rsidP="00AE5254">
            <w:pPr>
              <w:jc w:val="center"/>
              <w:rPr>
                <w:sz w:val="18"/>
                <w:szCs w:val="18"/>
              </w:rPr>
            </w:pPr>
            <w:r w:rsidRPr="002B55E9">
              <w:rPr>
                <w:rFonts w:hint="eastAsia"/>
                <w:sz w:val="18"/>
                <w:szCs w:val="18"/>
              </w:rPr>
              <w:t>DA00</w:t>
            </w:r>
            <w:r w:rsidRPr="002B55E9">
              <w:rPr>
                <w:sz w:val="18"/>
                <w:szCs w:val="18"/>
              </w:rPr>
              <w:t>3</w:t>
            </w:r>
          </w:p>
        </w:tc>
        <w:tc>
          <w:tcPr>
            <w:tcW w:w="1496" w:type="dxa"/>
            <w:vAlign w:val="center"/>
          </w:tcPr>
          <w:p w14:paraId="242854ED" w14:textId="77777777" w:rsidR="00625BF6" w:rsidRPr="002B55E9" w:rsidRDefault="00625BF6" w:rsidP="00AE5254">
            <w:pPr>
              <w:jc w:val="center"/>
              <w:rPr>
                <w:sz w:val="18"/>
                <w:szCs w:val="18"/>
              </w:rPr>
            </w:pPr>
            <w:r w:rsidRPr="002B55E9">
              <w:rPr>
                <w:rFonts w:hint="eastAsia"/>
                <w:sz w:val="18"/>
                <w:szCs w:val="18"/>
              </w:rPr>
              <w:t>总挥发性有机物</w:t>
            </w:r>
          </w:p>
        </w:tc>
        <w:tc>
          <w:tcPr>
            <w:tcW w:w="1701" w:type="dxa"/>
            <w:vAlign w:val="center"/>
          </w:tcPr>
          <w:p w14:paraId="3A4EBB46" w14:textId="77777777" w:rsidR="00625BF6" w:rsidRPr="002B55E9" w:rsidRDefault="00625BF6" w:rsidP="00AE5254">
            <w:pPr>
              <w:jc w:val="center"/>
              <w:rPr>
                <w:sz w:val="18"/>
                <w:szCs w:val="18"/>
              </w:rPr>
            </w:pPr>
            <w:r w:rsidRPr="002B55E9">
              <w:rPr>
                <w:rFonts w:hint="eastAsia"/>
                <w:sz w:val="18"/>
                <w:szCs w:val="18"/>
              </w:rPr>
              <w:t>1200</w:t>
            </w:r>
          </w:p>
        </w:tc>
        <w:tc>
          <w:tcPr>
            <w:tcW w:w="1278" w:type="dxa"/>
            <w:vAlign w:val="center"/>
          </w:tcPr>
          <w:p w14:paraId="79734897" w14:textId="1CCDED9E" w:rsidR="00625BF6" w:rsidRPr="002B55E9" w:rsidRDefault="00097E8E" w:rsidP="00AE5254">
            <w:pPr>
              <w:jc w:val="center"/>
              <w:rPr>
                <w:sz w:val="18"/>
                <w:szCs w:val="18"/>
              </w:rPr>
            </w:pPr>
            <w:r w:rsidRPr="002B55E9">
              <w:rPr>
                <w:sz w:val="18"/>
                <w:szCs w:val="18"/>
              </w:rPr>
              <w:t>1.67E-04</w:t>
            </w:r>
          </w:p>
        </w:tc>
        <w:tc>
          <w:tcPr>
            <w:tcW w:w="1135" w:type="dxa"/>
            <w:vAlign w:val="center"/>
          </w:tcPr>
          <w:p w14:paraId="56B4B2BA" w14:textId="072FD5FD" w:rsidR="00625BF6" w:rsidRPr="002B55E9" w:rsidRDefault="00097E8E"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.01</w:t>
            </w:r>
          </w:p>
        </w:tc>
        <w:tc>
          <w:tcPr>
            <w:tcW w:w="1270" w:type="dxa"/>
            <w:vAlign w:val="center"/>
          </w:tcPr>
          <w:p w14:paraId="6D397CBC" w14:textId="77777777" w:rsidR="00625BF6" w:rsidRPr="002B55E9" w:rsidRDefault="00625BF6" w:rsidP="00AE5254">
            <w:pPr>
              <w:jc w:val="center"/>
              <w:rPr>
                <w:sz w:val="18"/>
                <w:szCs w:val="18"/>
              </w:rPr>
            </w:pPr>
            <w:r w:rsidRPr="002B55E9">
              <w:rPr>
                <w:rFonts w:hint="eastAsia"/>
                <w:sz w:val="18"/>
                <w:szCs w:val="18"/>
              </w:rPr>
              <w:t>/</w:t>
            </w:r>
          </w:p>
        </w:tc>
      </w:tr>
      <w:tr w:rsidR="002B55E9" w:rsidRPr="002B55E9" w14:paraId="11E79987" w14:textId="77777777" w:rsidTr="00625BF6">
        <w:trPr>
          <w:trHeight w:val="284"/>
        </w:trPr>
        <w:tc>
          <w:tcPr>
            <w:tcW w:w="1633" w:type="dxa"/>
            <w:vMerge/>
            <w:vAlign w:val="center"/>
          </w:tcPr>
          <w:p w14:paraId="4796EE5C" w14:textId="77777777" w:rsidR="00625BF6" w:rsidRPr="002B55E9" w:rsidRDefault="00625BF6" w:rsidP="00AE5254">
            <w:pPr>
              <w:jc w:val="center"/>
              <w:rPr>
                <w:sz w:val="18"/>
                <w:szCs w:val="18"/>
              </w:rPr>
            </w:pPr>
          </w:p>
        </w:tc>
        <w:tc>
          <w:tcPr>
            <w:tcW w:w="1124" w:type="dxa"/>
            <w:vMerge/>
            <w:vAlign w:val="center"/>
          </w:tcPr>
          <w:p w14:paraId="04431931" w14:textId="77777777" w:rsidR="00625BF6" w:rsidRPr="002B55E9" w:rsidRDefault="00625BF6" w:rsidP="00AE5254">
            <w:pPr>
              <w:jc w:val="center"/>
              <w:rPr>
                <w:sz w:val="18"/>
                <w:szCs w:val="18"/>
              </w:rPr>
            </w:pPr>
          </w:p>
        </w:tc>
        <w:tc>
          <w:tcPr>
            <w:tcW w:w="1496" w:type="dxa"/>
            <w:vAlign w:val="center"/>
          </w:tcPr>
          <w:p w14:paraId="1D2A1125" w14:textId="77777777" w:rsidR="00625BF6" w:rsidRPr="002B55E9" w:rsidRDefault="00625BF6" w:rsidP="00AE5254">
            <w:pPr>
              <w:jc w:val="center"/>
              <w:rPr>
                <w:sz w:val="18"/>
                <w:szCs w:val="18"/>
              </w:rPr>
            </w:pPr>
            <w:r w:rsidRPr="002B55E9">
              <w:rPr>
                <w:rFonts w:hint="eastAsia"/>
                <w:sz w:val="18"/>
                <w:szCs w:val="18"/>
              </w:rPr>
              <w:t>甲醛</w:t>
            </w:r>
          </w:p>
        </w:tc>
        <w:tc>
          <w:tcPr>
            <w:tcW w:w="1701" w:type="dxa"/>
            <w:vAlign w:val="center"/>
          </w:tcPr>
          <w:p w14:paraId="71E06F96" w14:textId="77777777" w:rsidR="00625BF6" w:rsidRPr="002B55E9" w:rsidRDefault="00625BF6" w:rsidP="00AE5254">
            <w:pPr>
              <w:jc w:val="center"/>
              <w:rPr>
                <w:sz w:val="18"/>
                <w:szCs w:val="18"/>
              </w:rPr>
            </w:pPr>
            <w:r w:rsidRPr="002B55E9">
              <w:rPr>
                <w:rFonts w:hint="eastAsia"/>
                <w:sz w:val="18"/>
                <w:szCs w:val="18"/>
              </w:rPr>
              <w:t>50</w:t>
            </w:r>
          </w:p>
        </w:tc>
        <w:tc>
          <w:tcPr>
            <w:tcW w:w="1278" w:type="dxa"/>
            <w:vAlign w:val="center"/>
          </w:tcPr>
          <w:p w14:paraId="4A25C1B5" w14:textId="56F7076B" w:rsidR="00625BF6" w:rsidRPr="002B55E9" w:rsidRDefault="00097E8E" w:rsidP="00AE5254">
            <w:pPr>
              <w:jc w:val="center"/>
              <w:rPr>
                <w:sz w:val="18"/>
                <w:szCs w:val="18"/>
              </w:rPr>
            </w:pPr>
            <w:r w:rsidRPr="002B55E9">
              <w:rPr>
                <w:sz w:val="18"/>
                <w:szCs w:val="18"/>
              </w:rPr>
              <w:t>1.04E-04</w:t>
            </w:r>
          </w:p>
        </w:tc>
        <w:tc>
          <w:tcPr>
            <w:tcW w:w="1135" w:type="dxa"/>
            <w:vAlign w:val="center"/>
          </w:tcPr>
          <w:p w14:paraId="25850C1B" w14:textId="5F465074" w:rsidR="00625BF6" w:rsidRPr="002B55E9" w:rsidRDefault="00097E8E"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.21</w:t>
            </w:r>
          </w:p>
        </w:tc>
        <w:tc>
          <w:tcPr>
            <w:tcW w:w="1270" w:type="dxa"/>
            <w:vAlign w:val="center"/>
          </w:tcPr>
          <w:p w14:paraId="7C2E28FE" w14:textId="77777777" w:rsidR="00625BF6" w:rsidRPr="002B55E9" w:rsidRDefault="00625BF6" w:rsidP="00AE5254">
            <w:pPr>
              <w:jc w:val="center"/>
              <w:rPr>
                <w:sz w:val="18"/>
                <w:szCs w:val="18"/>
              </w:rPr>
            </w:pPr>
            <w:r w:rsidRPr="002B55E9">
              <w:rPr>
                <w:rFonts w:hint="eastAsia"/>
                <w:sz w:val="18"/>
                <w:szCs w:val="18"/>
              </w:rPr>
              <w:t>/</w:t>
            </w:r>
          </w:p>
        </w:tc>
      </w:tr>
      <w:tr w:rsidR="002B55E9" w:rsidRPr="002B55E9" w14:paraId="01E6D73F" w14:textId="77777777" w:rsidTr="00625BF6">
        <w:trPr>
          <w:trHeight w:val="284"/>
        </w:trPr>
        <w:tc>
          <w:tcPr>
            <w:tcW w:w="1633" w:type="dxa"/>
            <w:vMerge/>
            <w:vAlign w:val="center"/>
          </w:tcPr>
          <w:p w14:paraId="7CF99041" w14:textId="77777777" w:rsidR="00625BF6" w:rsidRPr="002B55E9" w:rsidRDefault="00625BF6" w:rsidP="00AE5254">
            <w:pPr>
              <w:jc w:val="center"/>
              <w:rPr>
                <w:sz w:val="18"/>
                <w:szCs w:val="18"/>
              </w:rPr>
            </w:pPr>
          </w:p>
        </w:tc>
        <w:tc>
          <w:tcPr>
            <w:tcW w:w="1124" w:type="dxa"/>
            <w:vMerge/>
            <w:vAlign w:val="center"/>
          </w:tcPr>
          <w:p w14:paraId="0D200102" w14:textId="77777777" w:rsidR="00625BF6" w:rsidRPr="002B55E9" w:rsidRDefault="00625BF6" w:rsidP="00AE5254">
            <w:pPr>
              <w:jc w:val="center"/>
              <w:rPr>
                <w:sz w:val="18"/>
                <w:szCs w:val="18"/>
              </w:rPr>
            </w:pPr>
          </w:p>
        </w:tc>
        <w:tc>
          <w:tcPr>
            <w:tcW w:w="1496" w:type="dxa"/>
            <w:vAlign w:val="center"/>
          </w:tcPr>
          <w:p w14:paraId="1FD352B7" w14:textId="77777777" w:rsidR="00625BF6" w:rsidRPr="002B55E9" w:rsidRDefault="00625BF6" w:rsidP="00AE5254">
            <w:pPr>
              <w:jc w:val="center"/>
              <w:rPr>
                <w:sz w:val="18"/>
                <w:szCs w:val="18"/>
              </w:rPr>
            </w:pPr>
            <w:r w:rsidRPr="002B55E9">
              <w:rPr>
                <w:rFonts w:hint="eastAsia"/>
                <w:sz w:val="18"/>
                <w:szCs w:val="18"/>
              </w:rPr>
              <w:t>硫酸</w:t>
            </w:r>
          </w:p>
        </w:tc>
        <w:tc>
          <w:tcPr>
            <w:tcW w:w="1701" w:type="dxa"/>
            <w:vAlign w:val="center"/>
          </w:tcPr>
          <w:p w14:paraId="0918F7AC" w14:textId="77777777" w:rsidR="00625BF6" w:rsidRPr="002B55E9" w:rsidRDefault="00625BF6" w:rsidP="00AE5254">
            <w:pPr>
              <w:jc w:val="center"/>
              <w:rPr>
                <w:sz w:val="18"/>
                <w:szCs w:val="18"/>
              </w:rPr>
            </w:pPr>
            <w:r w:rsidRPr="002B55E9">
              <w:rPr>
                <w:rFonts w:hint="eastAsia"/>
                <w:sz w:val="18"/>
                <w:szCs w:val="18"/>
              </w:rPr>
              <w:t>300</w:t>
            </w:r>
          </w:p>
        </w:tc>
        <w:tc>
          <w:tcPr>
            <w:tcW w:w="1278" w:type="dxa"/>
            <w:vAlign w:val="center"/>
          </w:tcPr>
          <w:p w14:paraId="1DE23603" w14:textId="21B31560" w:rsidR="00625BF6" w:rsidRPr="002B55E9" w:rsidRDefault="00097E8E" w:rsidP="00AE5254">
            <w:pPr>
              <w:jc w:val="center"/>
              <w:rPr>
                <w:sz w:val="18"/>
                <w:szCs w:val="18"/>
              </w:rPr>
            </w:pPr>
            <w:r w:rsidRPr="002B55E9">
              <w:rPr>
                <w:sz w:val="18"/>
                <w:szCs w:val="18"/>
              </w:rPr>
              <w:t>2.29E-04</w:t>
            </w:r>
          </w:p>
        </w:tc>
        <w:tc>
          <w:tcPr>
            <w:tcW w:w="1135" w:type="dxa"/>
            <w:vAlign w:val="center"/>
          </w:tcPr>
          <w:p w14:paraId="0A3ED13B" w14:textId="3CB0AAF8" w:rsidR="00625BF6" w:rsidRPr="002B55E9" w:rsidRDefault="00097E8E" w:rsidP="00AE5254">
            <w:pPr>
              <w:jc w:val="center"/>
              <w:rPr>
                <w:rFonts w:eastAsia="等线"/>
                <w:sz w:val="18"/>
                <w:szCs w:val="18"/>
              </w:rPr>
            </w:pPr>
            <w:r w:rsidRPr="002B55E9">
              <w:rPr>
                <w:rFonts w:eastAsia="等线" w:hint="eastAsia"/>
                <w:sz w:val="18"/>
                <w:szCs w:val="18"/>
              </w:rPr>
              <w:t>0</w:t>
            </w:r>
            <w:r w:rsidRPr="002B55E9">
              <w:rPr>
                <w:rFonts w:eastAsia="等线"/>
                <w:sz w:val="18"/>
                <w:szCs w:val="18"/>
              </w:rPr>
              <w:t>.08</w:t>
            </w:r>
          </w:p>
        </w:tc>
        <w:tc>
          <w:tcPr>
            <w:tcW w:w="1270" w:type="dxa"/>
            <w:vAlign w:val="center"/>
          </w:tcPr>
          <w:p w14:paraId="26ED8A7E" w14:textId="77777777" w:rsidR="00625BF6" w:rsidRPr="002B55E9" w:rsidRDefault="00625BF6" w:rsidP="00AE5254">
            <w:pPr>
              <w:jc w:val="center"/>
              <w:rPr>
                <w:sz w:val="18"/>
                <w:szCs w:val="18"/>
              </w:rPr>
            </w:pPr>
            <w:r w:rsidRPr="002B55E9">
              <w:rPr>
                <w:rFonts w:hint="eastAsia"/>
                <w:sz w:val="18"/>
                <w:szCs w:val="18"/>
              </w:rPr>
              <w:t>/</w:t>
            </w:r>
          </w:p>
        </w:tc>
      </w:tr>
      <w:tr w:rsidR="002B55E9" w:rsidRPr="002B55E9" w14:paraId="35978BA0" w14:textId="77777777" w:rsidTr="00625BF6">
        <w:trPr>
          <w:trHeight w:val="284"/>
        </w:trPr>
        <w:tc>
          <w:tcPr>
            <w:tcW w:w="1633" w:type="dxa"/>
            <w:vMerge/>
            <w:vAlign w:val="center"/>
          </w:tcPr>
          <w:p w14:paraId="0FDC4CB4" w14:textId="77777777" w:rsidR="00625BF6" w:rsidRPr="002B55E9" w:rsidRDefault="00625BF6" w:rsidP="00AE5254">
            <w:pPr>
              <w:jc w:val="center"/>
              <w:rPr>
                <w:sz w:val="18"/>
                <w:szCs w:val="18"/>
              </w:rPr>
            </w:pPr>
          </w:p>
        </w:tc>
        <w:tc>
          <w:tcPr>
            <w:tcW w:w="1124" w:type="dxa"/>
            <w:vMerge/>
            <w:vAlign w:val="center"/>
          </w:tcPr>
          <w:p w14:paraId="11774D71" w14:textId="77777777" w:rsidR="00625BF6" w:rsidRPr="002B55E9" w:rsidRDefault="00625BF6" w:rsidP="00AE5254">
            <w:pPr>
              <w:jc w:val="center"/>
              <w:rPr>
                <w:sz w:val="18"/>
                <w:szCs w:val="18"/>
              </w:rPr>
            </w:pPr>
          </w:p>
        </w:tc>
        <w:tc>
          <w:tcPr>
            <w:tcW w:w="1496" w:type="dxa"/>
            <w:vAlign w:val="center"/>
          </w:tcPr>
          <w:p w14:paraId="28E2AD70" w14:textId="77777777" w:rsidR="00625BF6" w:rsidRPr="002B55E9" w:rsidRDefault="00625BF6" w:rsidP="00AE5254">
            <w:pPr>
              <w:jc w:val="center"/>
              <w:rPr>
                <w:sz w:val="18"/>
                <w:szCs w:val="18"/>
              </w:rPr>
            </w:pPr>
            <w:r w:rsidRPr="002B55E9">
              <w:rPr>
                <w:rFonts w:hint="eastAsia"/>
                <w:sz w:val="18"/>
                <w:szCs w:val="18"/>
              </w:rPr>
              <w:t>氯化氢</w:t>
            </w:r>
          </w:p>
        </w:tc>
        <w:tc>
          <w:tcPr>
            <w:tcW w:w="1701" w:type="dxa"/>
            <w:vAlign w:val="center"/>
          </w:tcPr>
          <w:p w14:paraId="1B245CCF" w14:textId="77777777" w:rsidR="00625BF6" w:rsidRPr="002B55E9" w:rsidRDefault="00625BF6" w:rsidP="00AE5254">
            <w:pPr>
              <w:jc w:val="center"/>
              <w:rPr>
                <w:sz w:val="18"/>
                <w:szCs w:val="18"/>
              </w:rPr>
            </w:pPr>
            <w:r w:rsidRPr="002B55E9">
              <w:rPr>
                <w:rFonts w:hint="eastAsia"/>
                <w:sz w:val="18"/>
                <w:szCs w:val="18"/>
              </w:rPr>
              <w:t>50</w:t>
            </w:r>
          </w:p>
        </w:tc>
        <w:tc>
          <w:tcPr>
            <w:tcW w:w="1278" w:type="dxa"/>
            <w:vAlign w:val="center"/>
          </w:tcPr>
          <w:p w14:paraId="5D0930BD" w14:textId="1AC7BF68" w:rsidR="00625BF6" w:rsidRPr="002B55E9" w:rsidRDefault="00FA62D9" w:rsidP="00AE5254">
            <w:pPr>
              <w:jc w:val="center"/>
              <w:rPr>
                <w:sz w:val="18"/>
                <w:szCs w:val="18"/>
              </w:rPr>
            </w:pPr>
            <w:r w:rsidRPr="002B55E9">
              <w:rPr>
                <w:sz w:val="18"/>
                <w:szCs w:val="18"/>
              </w:rPr>
              <w:t>4.61E-07</w:t>
            </w:r>
          </w:p>
        </w:tc>
        <w:tc>
          <w:tcPr>
            <w:tcW w:w="1135" w:type="dxa"/>
            <w:vAlign w:val="center"/>
          </w:tcPr>
          <w:p w14:paraId="449F9DB3" w14:textId="6EC81138" w:rsidR="00625BF6" w:rsidRPr="002B55E9" w:rsidRDefault="00FA62D9" w:rsidP="00AE5254">
            <w:pPr>
              <w:jc w:val="center"/>
              <w:rPr>
                <w:rFonts w:eastAsia="等线"/>
                <w:sz w:val="18"/>
                <w:szCs w:val="18"/>
              </w:rPr>
            </w:pPr>
            <w:r w:rsidRPr="002B55E9">
              <w:rPr>
                <w:rFonts w:eastAsia="等线" w:hint="eastAsia"/>
                <w:sz w:val="18"/>
                <w:szCs w:val="18"/>
              </w:rPr>
              <w:t>0</w:t>
            </w:r>
          </w:p>
        </w:tc>
        <w:tc>
          <w:tcPr>
            <w:tcW w:w="1270" w:type="dxa"/>
            <w:vAlign w:val="center"/>
          </w:tcPr>
          <w:p w14:paraId="3A71AA1A" w14:textId="77777777" w:rsidR="00625BF6" w:rsidRPr="002B55E9" w:rsidRDefault="00625BF6" w:rsidP="00AE5254">
            <w:pPr>
              <w:jc w:val="center"/>
              <w:rPr>
                <w:sz w:val="18"/>
                <w:szCs w:val="18"/>
              </w:rPr>
            </w:pPr>
            <w:r w:rsidRPr="002B55E9">
              <w:rPr>
                <w:rFonts w:hint="eastAsia"/>
                <w:sz w:val="18"/>
                <w:szCs w:val="18"/>
              </w:rPr>
              <w:t>/</w:t>
            </w:r>
          </w:p>
        </w:tc>
      </w:tr>
    </w:tbl>
    <w:p w14:paraId="68F89308" w14:textId="77777777" w:rsidR="00D170E5" w:rsidRPr="002B55E9" w:rsidRDefault="00EF27AD">
      <w:pPr>
        <w:pStyle w:val="4"/>
        <w:rPr>
          <w:color w:val="auto"/>
        </w:rPr>
      </w:pPr>
      <w:r w:rsidRPr="002B55E9">
        <w:rPr>
          <w:rFonts w:hint="eastAsia"/>
          <w:color w:val="auto"/>
        </w:rPr>
        <w:t>大气环境影响预测与评价</w:t>
      </w:r>
    </w:p>
    <w:p w14:paraId="5CDA53F5" w14:textId="4337EDB5" w:rsidR="00311E59" w:rsidRPr="002B55E9" w:rsidRDefault="00311E59" w:rsidP="00311E59">
      <w:pPr>
        <w:pStyle w:val="affff7"/>
        <w:spacing w:after="0"/>
      </w:pPr>
      <w:r w:rsidRPr="002B55E9">
        <w:rPr>
          <w:rFonts w:hint="eastAsia"/>
        </w:rPr>
        <w:t>根据《环境影响评价技术导则</w:t>
      </w:r>
      <w:r w:rsidRPr="002B55E9">
        <w:rPr>
          <w:rFonts w:hint="eastAsia"/>
        </w:rPr>
        <w:t xml:space="preserve">  </w:t>
      </w:r>
      <w:r w:rsidRPr="002B55E9">
        <w:rPr>
          <w:rFonts w:hint="eastAsia"/>
        </w:rPr>
        <w:t>大气环境》（</w:t>
      </w:r>
      <w:r w:rsidRPr="002B55E9">
        <w:rPr>
          <w:rFonts w:hint="eastAsia"/>
        </w:rPr>
        <w:t>HJ2.2-2018</w:t>
      </w:r>
      <w:r w:rsidRPr="002B55E9">
        <w:rPr>
          <w:rFonts w:hint="eastAsia"/>
        </w:rPr>
        <w:t>）</w:t>
      </w:r>
      <w:r w:rsidRPr="002B55E9">
        <w:rPr>
          <w:rFonts w:hint="eastAsia"/>
        </w:rPr>
        <w:t>8.1.2</w:t>
      </w:r>
      <w:r w:rsidRPr="002B55E9">
        <w:rPr>
          <w:rFonts w:hint="eastAsia"/>
        </w:rPr>
        <w:t>条，二级评价项目不进行进一步预测与评价，只对污染物排放量进行核算。因此，本次不需进一步预测，污染物排放量核算如下：</w:t>
      </w:r>
    </w:p>
    <w:p w14:paraId="0949677A" w14:textId="77777777" w:rsidR="00D170E5" w:rsidRPr="002B55E9" w:rsidRDefault="00EF27AD">
      <w:pPr>
        <w:pStyle w:val="affff7"/>
        <w:spacing w:after="0"/>
      </w:pPr>
      <w:r w:rsidRPr="002B55E9">
        <w:rPr>
          <w:rFonts w:hint="eastAsia"/>
        </w:rPr>
        <w:t>（</w:t>
      </w:r>
      <w:r w:rsidRPr="002B55E9">
        <w:rPr>
          <w:rFonts w:hint="eastAsia"/>
        </w:rPr>
        <w:t>1</w:t>
      </w:r>
      <w:r w:rsidRPr="002B55E9">
        <w:rPr>
          <w:rFonts w:hint="eastAsia"/>
        </w:rPr>
        <w:t>）有组织排放量</w:t>
      </w:r>
    </w:p>
    <w:p w14:paraId="6013655F" w14:textId="77777777" w:rsidR="00D170E5" w:rsidRPr="002B55E9" w:rsidRDefault="00EF27AD">
      <w:pPr>
        <w:pStyle w:val="affff7"/>
        <w:spacing w:after="0"/>
      </w:pPr>
      <w:r w:rsidRPr="002B55E9">
        <w:rPr>
          <w:rFonts w:hint="eastAsia"/>
        </w:rPr>
        <w:t>结合《排污许可证申请与核发技术规范</w:t>
      </w:r>
      <w:r w:rsidRPr="002B55E9">
        <w:rPr>
          <w:rFonts w:hint="eastAsia"/>
        </w:rPr>
        <w:t xml:space="preserve">  </w:t>
      </w:r>
      <w:r w:rsidRPr="002B55E9">
        <w:rPr>
          <w:rFonts w:hint="eastAsia"/>
        </w:rPr>
        <w:t>食品制造</w:t>
      </w:r>
      <w:r w:rsidRPr="002B55E9">
        <w:t>工业</w:t>
      </w:r>
      <w:r w:rsidRPr="002B55E9">
        <w:t>—</w:t>
      </w:r>
      <w:r w:rsidRPr="002B55E9">
        <w:rPr>
          <w:rFonts w:hint="eastAsia"/>
        </w:rPr>
        <w:t>调味品</w:t>
      </w:r>
      <w:r w:rsidRPr="002B55E9">
        <w:t>、发酵制品</w:t>
      </w:r>
      <w:r w:rsidRPr="002B55E9">
        <w:rPr>
          <w:rFonts w:hint="eastAsia"/>
        </w:rPr>
        <w:t>制造</w:t>
      </w:r>
      <w:r w:rsidRPr="002B55E9">
        <w:t>工业</w:t>
      </w:r>
      <w:r w:rsidRPr="002B55E9">
        <w:rPr>
          <w:rFonts w:hint="eastAsia"/>
        </w:rPr>
        <w:t>》（</w:t>
      </w:r>
      <w:r w:rsidRPr="002B55E9">
        <w:rPr>
          <w:rFonts w:hint="eastAsia"/>
        </w:rPr>
        <w:t>H</w:t>
      </w:r>
      <w:r w:rsidRPr="002B55E9">
        <w:t>J1030.2-2019</w:t>
      </w:r>
      <w:r w:rsidRPr="002B55E9">
        <w:rPr>
          <w:rFonts w:hint="eastAsia"/>
        </w:rPr>
        <w:t>），本项目</w:t>
      </w:r>
      <w:r w:rsidRPr="002B55E9">
        <w:rPr>
          <w:rFonts w:hint="eastAsia"/>
        </w:rPr>
        <w:t>DA001</w:t>
      </w:r>
      <w:r w:rsidRPr="002B55E9">
        <w:t>~DA003</w:t>
      </w:r>
      <w:r w:rsidRPr="002B55E9">
        <w:rPr>
          <w:rFonts w:hint="eastAsia"/>
        </w:rPr>
        <w:t>均为</w:t>
      </w:r>
      <w:r w:rsidRPr="002B55E9">
        <w:t>一般排放口</w:t>
      </w:r>
      <w:r w:rsidRPr="002B55E9">
        <w:rPr>
          <w:rFonts w:hint="eastAsia"/>
        </w:rPr>
        <w:t>。本项目大气污染物排放量核算汇总如下表所示：</w:t>
      </w:r>
    </w:p>
    <w:p w14:paraId="6324D43D" w14:textId="77777777" w:rsidR="00D170E5" w:rsidRPr="002B55E9" w:rsidRDefault="00EF27AD">
      <w:pPr>
        <w:pStyle w:val="1f3"/>
        <w:spacing w:before="120"/>
      </w:pPr>
      <w:r w:rsidRPr="002B55E9">
        <w:rPr>
          <w:rFonts w:hint="eastAsia"/>
        </w:rPr>
        <w:t>表</w:t>
      </w:r>
      <w:r w:rsidRPr="002B55E9">
        <w:rPr>
          <w:rFonts w:hint="eastAsia"/>
        </w:rPr>
        <w:t>5-2-1</w:t>
      </w:r>
      <w:r w:rsidRPr="002B55E9">
        <w:t>7</w:t>
      </w:r>
      <w:r w:rsidRPr="002B55E9">
        <w:rPr>
          <w:rFonts w:hint="eastAsia"/>
        </w:rPr>
        <w:t xml:space="preserve">  </w:t>
      </w:r>
      <w:r w:rsidRPr="002B55E9">
        <w:rPr>
          <w:rFonts w:hint="eastAsia"/>
        </w:rPr>
        <w:t>拟建项目大气污染物有组织排放量核算表</w:t>
      </w:r>
    </w:p>
    <w:tbl>
      <w:tblPr>
        <w:tblStyle w:val="lgy2"/>
        <w:tblW w:w="5000" w:type="pct"/>
        <w:tblLayout w:type="fixed"/>
        <w:tblCellMar>
          <w:left w:w="28" w:type="dxa"/>
          <w:right w:w="28" w:type="dxa"/>
        </w:tblCellMar>
        <w:tblLook w:val="04A0" w:firstRow="1" w:lastRow="0" w:firstColumn="1" w:lastColumn="0" w:noHBand="0" w:noVBand="1"/>
      </w:tblPr>
      <w:tblGrid>
        <w:gridCol w:w="856"/>
        <w:gridCol w:w="1283"/>
        <w:gridCol w:w="1141"/>
        <w:gridCol w:w="2423"/>
        <w:gridCol w:w="2281"/>
        <w:gridCol w:w="1709"/>
      </w:tblGrid>
      <w:tr w:rsidR="002B55E9" w:rsidRPr="002B55E9" w14:paraId="5B017C90" w14:textId="77777777" w:rsidTr="00C66729">
        <w:trPr>
          <w:cnfStyle w:val="100000000000" w:firstRow="1" w:lastRow="0" w:firstColumn="0" w:lastColumn="0" w:oddVBand="0" w:evenVBand="0" w:oddHBand="0" w:evenHBand="0" w:firstRowFirstColumn="0" w:firstRowLastColumn="0" w:lastRowFirstColumn="0" w:lastRowLastColumn="0"/>
          <w:trHeight w:val="283"/>
        </w:trPr>
        <w:tc>
          <w:tcPr>
            <w:tcW w:w="851" w:type="dxa"/>
          </w:tcPr>
          <w:p w14:paraId="16EF0320" w14:textId="77777777" w:rsidR="00D170E5" w:rsidRPr="002B55E9" w:rsidRDefault="00EF27AD" w:rsidP="00C66729">
            <w:pPr>
              <w:pStyle w:val="lgy-"/>
              <w:rPr>
                <w:rFonts w:eastAsia="宋体"/>
              </w:rPr>
            </w:pPr>
            <w:r w:rsidRPr="002B55E9">
              <w:rPr>
                <w:rFonts w:eastAsia="宋体"/>
              </w:rPr>
              <w:t>序号</w:t>
            </w:r>
          </w:p>
        </w:tc>
        <w:tc>
          <w:tcPr>
            <w:tcW w:w="1276" w:type="dxa"/>
          </w:tcPr>
          <w:p w14:paraId="6A57A9BB" w14:textId="77777777" w:rsidR="00D170E5" w:rsidRPr="002B55E9" w:rsidRDefault="00EF27AD" w:rsidP="00C66729">
            <w:pPr>
              <w:pStyle w:val="lgy-"/>
              <w:rPr>
                <w:rFonts w:eastAsia="宋体"/>
              </w:rPr>
            </w:pPr>
            <w:r w:rsidRPr="002B55E9">
              <w:rPr>
                <w:rFonts w:eastAsia="宋体"/>
              </w:rPr>
              <w:t>排放口编号</w:t>
            </w:r>
          </w:p>
        </w:tc>
        <w:tc>
          <w:tcPr>
            <w:tcW w:w="1134" w:type="dxa"/>
          </w:tcPr>
          <w:p w14:paraId="4017533C" w14:textId="77777777" w:rsidR="00D170E5" w:rsidRPr="002B55E9" w:rsidRDefault="00EF27AD" w:rsidP="00C66729">
            <w:pPr>
              <w:pStyle w:val="lgy-"/>
              <w:rPr>
                <w:rFonts w:eastAsia="宋体"/>
              </w:rPr>
            </w:pPr>
            <w:r w:rsidRPr="002B55E9">
              <w:rPr>
                <w:rFonts w:eastAsia="宋体"/>
              </w:rPr>
              <w:t>污染物</w:t>
            </w:r>
          </w:p>
        </w:tc>
        <w:tc>
          <w:tcPr>
            <w:tcW w:w="2409" w:type="dxa"/>
          </w:tcPr>
          <w:p w14:paraId="59E0F8A4" w14:textId="77777777" w:rsidR="00D170E5" w:rsidRPr="002B55E9" w:rsidRDefault="00EF27AD" w:rsidP="00C66729">
            <w:pPr>
              <w:pStyle w:val="lgy-"/>
              <w:rPr>
                <w:rFonts w:eastAsia="宋体"/>
              </w:rPr>
            </w:pPr>
            <w:r w:rsidRPr="002B55E9">
              <w:rPr>
                <w:rFonts w:eastAsia="宋体"/>
              </w:rPr>
              <w:t>核算最大排放浓度（</w:t>
            </w:r>
            <w:r w:rsidRPr="002B55E9">
              <w:rPr>
                <w:rFonts w:eastAsia="宋体"/>
              </w:rPr>
              <w:t>mg/m</w:t>
            </w:r>
            <w:r w:rsidRPr="002B55E9">
              <w:rPr>
                <w:rFonts w:eastAsia="宋体"/>
                <w:vertAlign w:val="superscript"/>
              </w:rPr>
              <w:t>3</w:t>
            </w:r>
            <w:r w:rsidRPr="002B55E9">
              <w:rPr>
                <w:rFonts w:eastAsia="宋体"/>
              </w:rPr>
              <w:t>）</w:t>
            </w:r>
          </w:p>
        </w:tc>
        <w:tc>
          <w:tcPr>
            <w:tcW w:w="2268" w:type="dxa"/>
          </w:tcPr>
          <w:p w14:paraId="26AF8F3C" w14:textId="77777777" w:rsidR="00D170E5" w:rsidRPr="002B55E9" w:rsidRDefault="00EF27AD" w:rsidP="00C66729">
            <w:pPr>
              <w:pStyle w:val="lgy-"/>
              <w:rPr>
                <w:rFonts w:eastAsia="宋体"/>
              </w:rPr>
            </w:pPr>
            <w:r w:rsidRPr="002B55E9">
              <w:rPr>
                <w:rFonts w:eastAsia="宋体"/>
              </w:rPr>
              <w:t>核算最大排放速率（</w:t>
            </w:r>
            <w:r w:rsidRPr="002B55E9">
              <w:rPr>
                <w:rFonts w:eastAsia="宋体"/>
              </w:rPr>
              <w:t>kg/h</w:t>
            </w:r>
            <w:r w:rsidRPr="002B55E9">
              <w:rPr>
                <w:rFonts w:eastAsia="宋体"/>
              </w:rPr>
              <w:t>）</w:t>
            </w:r>
          </w:p>
        </w:tc>
        <w:tc>
          <w:tcPr>
            <w:tcW w:w="1699" w:type="dxa"/>
          </w:tcPr>
          <w:p w14:paraId="3816BA9A" w14:textId="77777777" w:rsidR="00D170E5" w:rsidRPr="002B55E9" w:rsidRDefault="00EF27AD" w:rsidP="00C66729">
            <w:pPr>
              <w:pStyle w:val="lgy-"/>
              <w:rPr>
                <w:rFonts w:eastAsia="宋体"/>
              </w:rPr>
            </w:pPr>
            <w:r w:rsidRPr="002B55E9">
              <w:rPr>
                <w:rFonts w:eastAsia="宋体"/>
              </w:rPr>
              <w:t>核算年排放量（</w:t>
            </w:r>
            <w:r w:rsidRPr="002B55E9">
              <w:rPr>
                <w:rFonts w:eastAsia="宋体"/>
              </w:rPr>
              <w:t>t/a</w:t>
            </w:r>
            <w:r w:rsidRPr="002B55E9">
              <w:rPr>
                <w:rFonts w:eastAsia="宋体"/>
              </w:rPr>
              <w:t>）</w:t>
            </w:r>
          </w:p>
        </w:tc>
      </w:tr>
      <w:tr w:rsidR="002B55E9" w:rsidRPr="002B55E9" w14:paraId="237C7D65" w14:textId="77777777" w:rsidTr="00C66729">
        <w:trPr>
          <w:trHeight w:val="283"/>
        </w:trPr>
        <w:tc>
          <w:tcPr>
            <w:tcW w:w="9637" w:type="dxa"/>
            <w:gridSpan w:val="6"/>
          </w:tcPr>
          <w:p w14:paraId="63147940" w14:textId="77777777" w:rsidR="00D170E5" w:rsidRPr="002B55E9" w:rsidRDefault="00EF27AD" w:rsidP="00C66729">
            <w:pPr>
              <w:pStyle w:val="lgy-"/>
              <w:rPr>
                <w:rFonts w:eastAsia="宋体"/>
              </w:rPr>
            </w:pPr>
            <w:r w:rsidRPr="002B55E9">
              <w:rPr>
                <w:rFonts w:eastAsia="宋体"/>
              </w:rPr>
              <w:t>主要排放口</w:t>
            </w:r>
          </w:p>
        </w:tc>
      </w:tr>
      <w:tr w:rsidR="002B55E9" w:rsidRPr="002B55E9" w14:paraId="1F9353EE" w14:textId="77777777" w:rsidTr="00C66729">
        <w:trPr>
          <w:trHeight w:val="283"/>
        </w:trPr>
        <w:tc>
          <w:tcPr>
            <w:tcW w:w="9637" w:type="dxa"/>
            <w:gridSpan w:val="6"/>
          </w:tcPr>
          <w:p w14:paraId="79E349CE" w14:textId="77777777" w:rsidR="00D170E5" w:rsidRPr="002B55E9" w:rsidRDefault="00EF27AD" w:rsidP="00C66729">
            <w:pPr>
              <w:pStyle w:val="lgy-"/>
              <w:rPr>
                <w:rFonts w:eastAsia="宋体"/>
              </w:rPr>
            </w:pPr>
            <w:r w:rsidRPr="002B55E9">
              <w:rPr>
                <w:rFonts w:eastAsia="宋体"/>
              </w:rPr>
              <w:t>/</w:t>
            </w:r>
          </w:p>
        </w:tc>
      </w:tr>
      <w:tr w:rsidR="002B55E9" w:rsidRPr="002B55E9" w14:paraId="1A19E046" w14:textId="77777777" w:rsidTr="00C66729">
        <w:trPr>
          <w:trHeight w:val="283"/>
        </w:trPr>
        <w:tc>
          <w:tcPr>
            <w:tcW w:w="2127" w:type="dxa"/>
            <w:gridSpan w:val="2"/>
          </w:tcPr>
          <w:p w14:paraId="7207A11B" w14:textId="77777777" w:rsidR="00D170E5" w:rsidRPr="002B55E9" w:rsidRDefault="00EF27AD" w:rsidP="00C66729">
            <w:pPr>
              <w:pStyle w:val="lgy-"/>
              <w:rPr>
                <w:rFonts w:eastAsia="宋体"/>
              </w:rPr>
            </w:pPr>
            <w:r w:rsidRPr="002B55E9">
              <w:rPr>
                <w:rFonts w:eastAsia="宋体"/>
              </w:rPr>
              <w:t>主要排放口合计</w:t>
            </w:r>
            <w:r w:rsidRPr="002B55E9">
              <w:rPr>
                <w:rFonts w:eastAsia="宋体"/>
              </w:rPr>
              <w:t xml:space="preserve"> </w:t>
            </w:r>
          </w:p>
        </w:tc>
        <w:tc>
          <w:tcPr>
            <w:tcW w:w="5811" w:type="dxa"/>
            <w:gridSpan w:val="3"/>
          </w:tcPr>
          <w:p w14:paraId="29BC8C3C" w14:textId="77777777" w:rsidR="00D170E5" w:rsidRPr="002B55E9" w:rsidRDefault="00EF27AD" w:rsidP="00C66729">
            <w:pPr>
              <w:pStyle w:val="lgy-"/>
              <w:rPr>
                <w:rFonts w:eastAsia="宋体"/>
              </w:rPr>
            </w:pPr>
            <w:r w:rsidRPr="002B55E9">
              <w:rPr>
                <w:rFonts w:eastAsia="宋体"/>
              </w:rPr>
              <w:t>/</w:t>
            </w:r>
          </w:p>
        </w:tc>
        <w:tc>
          <w:tcPr>
            <w:tcW w:w="1699" w:type="dxa"/>
          </w:tcPr>
          <w:p w14:paraId="415CA45A" w14:textId="77777777" w:rsidR="00D170E5" w:rsidRPr="002B55E9" w:rsidRDefault="00EF27AD" w:rsidP="00C66729">
            <w:pPr>
              <w:pStyle w:val="lgy-"/>
              <w:rPr>
                <w:rFonts w:eastAsia="宋体"/>
              </w:rPr>
            </w:pPr>
            <w:r w:rsidRPr="002B55E9">
              <w:rPr>
                <w:rFonts w:eastAsia="宋体"/>
              </w:rPr>
              <w:t>/</w:t>
            </w:r>
          </w:p>
        </w:tc>
      </w:tr>
      <w:tr w:rsidR="002B55E9" w:rsidRPr="002B55E9" w14:paraId="1BDD2C6C" w14:textId="77777777" w:rsidTr="00C66729">
        <w:trPr>
          <w:trHeight w:val="283"/>
        </w:trPr>
        <w:tc>
          <w:tcPr>
            <w:tcW w:w="9637" w:type="dxa"/>
            <w:gridSpan w:val="6"/>
          </w:tcPr>
          <w:p w14:paraId="6DBD8D28" w14:textId="77777777" w:rsidR="00D170E5" w:rsidRPr="002B55E9" w:rsidRDefault="00EF27AD" w:rsidP="00C66729">
            <w:pPr>
              <w:pStyle w:val="lgy-"/>
              <w:rPr>
                <w:rFonts w:eastAsia="宋体"/>
              </w:rPr>
            </w:pPr>
            <w:r w:rsidRPr="002B55E9">
              <w:rPr>
                <w:rFonts w:eastAsia="宋体"/>
              </w:rPr>
              <w:t>一般排放口</w:t>
            </w:r>
          </w:p>
        </w:tc>
      </w:tr>
      <w:tr w:rsidR="002B55E9" w:rsidRPr="002B55E9" w14:paraId="1E7C3CBD" w14:textId="77777777" w:rsidTr="00C66729">
        <w:trPr>
          <w:trHeight w:val="283"/>
        </w:trPr>
        <w:tc>
          <w:tcPr>
            <w:tcW w:w="851" w:type="dxa"/>
          </w:tcPr>
          <w:p w14:paraId="0EFDEC80" w14:textId="77777777" w:rsidR="00C66729" w:rsidRPr="002B55E9" w:rsidRDefault="00C66729" w:rsidP="00C66729">
            <w:pPr>
              <w:pStyle w:val="lgy-"/>
              <w:rPr>
                <w:rFonts w:eastAsia="宋体"/>
              </w:rPr>
            </w:pPr>
            <w:r w:rsidRPr="002B55E9">
              <w:rPr>
                <w:rFonts w:eastAsia="宋体"/>
              </w:rPr>
              <w:t>1</w:t>
            </w:r>
          </w:p>
        </w:tc>
        <w:tc>
          <w:tcPr>
            <w:tcW w:w="1276" w:type="dxa"/>
          </w:tcPr>
          <w:p w14:paraId="3E66A5FE" w14:textId="77777777" w:rsidR="00C66729" w:rsidRPr="002B55E9" w:rsidRDefault="00C66729" w:rsidP="00C66729">
            <w:pPr>
              <w:pStyle w:val="lgy-"/>
              <w:rPr>
                <w:rFonts w:eastAsia="宋体"/>
              </w:rPr>
            </w:pPr>
            <w:r w:rsidRPr="002B55E9">
              <w:rPr>
                <w:rFonts w:eastAsia="宋体"/>
              </w:rPr>
              <w:t>DA001</w:t>
            </w:r>
          </w:p>
        </w:tc>
        <w:tc>
          <w:tcPr>
            <w:tcW w:w="1134" w:type="dxa"/>
          </w:tcPr>
          <w:p w14:paraId="02FAE3A9" w14:textId="77777777" w:rsidR="00C66729" w:rsidRPr="002B55E9" w:rsidRDefault="00C66729" w:rsidP="00C66729">
            <w:pPr>
              <w:pStyle w:val="lgy-"/>
              <w:rPr>
                <w:rFonts w:eastAsia="宋体"/>
              </w:rPr>
            </w:pPr>
            <w:r w:rsidRPr="002B55E9">
              <w:rPr>
                <w:rFonts w:eastAsia="宋体"/>
              </w:rPr>
              <w:t>颗粒物</w:t>
            </w:r>
          </w:p>
        </w:tc>
        <w:tc>
          <w:tcPr>
            <w:tcW w:w="2409" w:type="dxa"/>
          </w:tcPr>
          <w:p w14:paraId="6DFC6A76" w14:textId="36F27BBC" w:rsidR="00C66729" w:rsidRPr="002B55E9" w:rsidRDefault="00C66729" w:rsidP="00C66729">
            <w:pPr>
              <w:pStyle w:val="lgy-"/>
              <w:rPr>
                <w:rFonts w:eastAsia="宋体"/>
              </w:rPr>
            </w:pPr>
            <w:r w:rsidRPr="002B55E9">
              <w:rPr>
                <w:rFonts w:eastAsia="宋体"/>
              </w:rPr>
              <w:t>10.17</w:t>
            </w:r>
          </w:p>
        </w:tc>
        <w:tc>
          <w:tcPr>
            <w:tcW w:w="2268" w:type="dxa"/>
          </w:tcPr>
          <w:p w14:paraId="078D272F" w14:textId="7E50EE69" w:rsidR="00C66729" w:rsidRPr="002B55E9" w:rsidRDefault="00C66729" w:rsidP="00C66729">
            <w:pPr>
              <w:pStyle w:val="lgy-"/>
              <w:rPr>
                <w:rFonts w:eastAsia="宋体"/>
              </w:rPr>
            </w:pPr>
            <w:r w:rsidRPr="002B55E9">
              <w:rPr>
                <w:rFonts w:eastAsia="宋体"/>
              </w:rPr>
              <w:t>0.051</w:t>
            </w:r>
          </w:p>
        </w:tc>
        <w:tc>
          <w:tcPr>
            <w:tcW w:w="1699" w:type="dxa"/>
          </w:tcPr>
          <w:p w14:paraId="4D24F949" w14:textId="34ED51F3" w:rsidR="00C66729" w:rsidRPr="002B55E9" w:rsidRDefault="00C66729" w:rsidP="00C66729">
            <w:pPr>
              <w:pStyle w:val="lgy-"/>
              <w:rPr>
                <w:rFonts w:eastAsia="宋体"/>
              </w:rPr>
            </w:pPr>
            <w:r w:rsidRPr="002B55E9">
              <w:rPr>
                <w:rFonts w:eastAsia="宋体"/>
              </w:rPr>
              <w:t>0.051</w:t>
            </w:r>
          </w:p>
        </w:tc>
      </w:tr>
      <w:tr w:rsidR="002B55E9" w:rsidRPr="002B55E9" w14:paraId="5BD66FD8" w14:textId="77777777" w:rsidTr="00C66729">
        <w:trPr>
          <w:trHeight w:val="283"/>
        </w:trPr>
        <w:tc>
          <w:tcPr>
            <w:tcW w:w="851" w:type="dxa"/>
          </w:tcPr>
          <w:p w14:paraId="1F32E29F" w14:textId="77777777" w:rsidR="00C66729" w:rsidRPr="002B55E9" w:rsidRDefault="00C66729" w:rsidP="00C66729">
            <w:pPr>
              <w:pStyle w:val="lgy-"/>
              <w:rPr>
                <w:rFonts w:eastAsia="宋体"/>
              </w:rPr>
            </w:pPr>
            <w:r w:rsidRPr="002B55E9">
              <w:rPr>
                <w:rFonts w:eastAsia="宋体"/>
              </w:rPr>
              <w:t>2</w:t>
            </w:r>
          </w:p>
        </w:tc>
        <w:tc>
          <w:tcPr>
            <w:tcW w:w="1276" w:type="dxa"/>
          </w:tcPr>
          <w:p w14:paraId="7E2CBDEE" w14:textId="77777777" w:rsidR="00C66729" w:rsidRPr="002B55E9" w:rsidRDefault="00C66729" w:rsidP="00C66729">
            <w:pPr>
              <w:pStyle w:val="lgy-"/>
              <w:rPr>
                <w:rFonts w:eastAsia="宋体"/>
              </w:rPr>
            </w:pPr>
            <w:r w:rsidRPr="002B55E9">
              <w:rPr>
                <w:rFonts w:eastAsia="宋体"/>
              </w:rPr>
              <w:t>DA002</w:t>
            </w:r>
          </w:p>
        </w:tc>
        <w:tc>
          <w:tcPr>
            <w:tcW w:w="1134" w:type="dxa"/>
          </w:tcPr>
          <w:p w14:paraId="157F614E" w14:textId="72333F2D" w:rsidR="00C66729" w:rsidRPr="002B55E9" w:rsidRDefault="00C66729" w:rsidP="00C66729">
            <w:pPr>
              <w:pStyle w:val="lgy-"/>
              <w:rPr>
                <w:rFonts w:eastAsia="宋体"/>
              </w:rPr>
            </w:pPr>
            <w:r w:rsidRPr="002B55E9">
              <w:rPr>
                <w:rFonts w:eastAsia="宋体"/>
              </w:rPr>
              <w:t>非甲烷总烃</w:t>
            </w:r>
          </w:p>
        </w:tc>
        <w:tc>
          <w:tcPr>
            <w:tcW w:w="2409" w:type="dxa"/>
          </w:tcPr>
          <w:p w14:paraId="52C49AF7" w14:textId="7B707441" w:rsidR="00C66729" w:rsidRPr="002B55E9" w:rsidRDefault="00C66729" w:rsidP="00C66729">
            <w:pPr>
              <w:pStyle w:val="lgy-"/>
              <w:rPr>
                <w:rFonts w:eastAsia="宋体"/>
              </w:rPr>
            </w:pPr>
            <w:r w:rsidRPr="002B55E9">
              <w:rPr>
                <w:rFonts w:eastAsia="宋体"/>
              </w:rPr>
              <w:t>39.72</w:t>
            </w:r>
          </w:p>
        </w:tc>
        <w:tc>
          <w:tcPr>
            <w:tcW w:w="2268" w:type="dxa"/>
          </w:tcPr>
          <w:p w14:paraId="5B79E752" w14:textId="4FD35C04" w:rsidR="00C66729" w:rsidRPr="002B55E9" w:rsidRDefault="00C66729" w:rsidP="00C66729">
            <w:pPr>
              <w:pStyle w:val="lgy-"/>
              <w:rPr>
                <w:rFonts w:eastAsia="宋体"/>
              </w:rPr>
            </w:pPr>
            <w:r w:rsidRPr="002B55E9">
              <w:rPr>
                <w:rFonts w:eastAsia="宋体"/>
              </w:rPr>
              <w:t>0.477</w:t>
            </w:r>
          </w:p>
        </w:tc>
        <w:tc>
          <w:tcPr>
            <w:tcW w:w="1699" w:type="dxa"/>
          </w:tcPr>
          <w:p w14:paraId="6EAC1CB6" w14:textId="4BA99DDF" w:rsidR="00C66729" w:rsidRPr="002B55E9" w:rsidRDefault="00C66729" w:rsidP="00C66729">
            <w:pPr>
              <w:pStyle w:val="lgy-"/>
              <w:rPr>
                <w:rFonts w:eastAsia="宋体"/>
              </w:rPr>
            </w:pPr>
            <w:r w:rsidRPr="002B55E9">
              <w:rPr>
                <w:rFonts w:eastAsia="宋体"/>
              </w:rPr>
              <w:t>2.190</w:t>
            </w:r>
          </w:p>
        </w:tc>
      </w:tr>
      <w:tr w:rsidR="002B55E9" w:rsidRPr="002B55E9" w14:paraId="273F622F" w14:textId="77777777" w:rsidTr="00C66729">
        <w:trPr>
          <w:trHeight w:val="283"/>
        </w:trPr>
        <w:tc>
          <w:tcPr>
            <w:tcW w:w="851" w:type="dxa"/>
            <w:vMerge w:val="restart"/>
          </w:tcPr>
          <w:p w14:paraId="4C8DA9E1" w14:textId="77777777" w:rsidR="00C66729" w:rsidRPr="002B55E9" w:rsidRDefault="00C66729" w:rsidP="00C66729">
            <w:pPr>
              <w:pStyle w:val="lgy-"/>
              <w:rPr>
                <w:rFonts w:eastAsia="宋体"/>
              </w:rPr>
            </w:pPr>
            <w:r w:rsidRPr="002B55E9">
              <w:rPr>
                <w:rFonts w:eastAsia="宋体"/>
              </w:rPr>
              <w:t>3</w:t>
            </w:r>
          </w:p>
        </w:tc>
        <w:tc>
          <w:tcPr>
            <w:tcW w:w="1276" w:type="dxa"/>
            <w:vMerge w:val="restart"/>
          </w:tcPr>
          <w:p w14:paraId="71BAF29A" w14:textId="77777777" w:rsidR="00C66729" w:rsidRPr="002B55E9" w:rsidRDefault="00C66729" w:rsidP="00C66729">
            <w:pPr>
              <w:pStyle w:val="lgy-"/>
              <w:rPr>
                <w:rFonts w:eastAsia="宋体"/>
              </w:rPr>
            </w:pPr>
            <w:r w:rsidRPr="002B55E9">
              <w:rPr>
                <w:rFonts w:eastAsia="宋体"/>
              </w:rPr>
              <w:t>DA003</w:t>
            </w:r>
          </w:p>
        </w:tc>
        <w:tc>
          <w:tcPr>
            <w:tcW w:w="1134" w:type="dxa"/>
          </w:tcPr>
          <w:p w14:paraId="2BFA044B" w14:textId="23D177D5" w:rsidR="00C66729" w:rsidRPr="002B55E9" w:rsidRDefault="00C66729" w:rsidP="00C66729">
            <w:pPr>
              <w:pStyle w:val="lgy-"/>
              <w:rPr>
                <w:rFonts w:eastAsia="宋体"/>
              </w:rPr>
            </w:pPr>
            <w:r w:rsidRPr="002B55E9">
              <w:rPr>
                <w:rFonts w:eastAsia="宋体"/>
              </w:rPr>
              <w:t>非甲烷总烃</w:t>
            </w:r>
          </w:p>
        </w:tc>
        <w:tc>
          <w:tcPr>
            <w:tcW w:w="2409" w:type="dxa"/>
          </w:tcPr>
          <w:p w14:paraId="31837EF3" w14:textId="1F1D9F5E" w:rsidR="00C66729" w:rsidRPr="002B55E9" w:rsidRDefault="00C66729" w:rsidP="00C66729">
            <w:pPr>
              <w:pStyle w:val="lgy-"/>
              <w:rPr>
                <w:rFonts w:eastAsia="宋体"/>
              </w:rPr>
            </w:pPr>
            <w:r w:rsidRPr="002B55E9">
              <w:rPr>
                <w:rFonts w:eastAsia="宋体"/>
              </w:rPr>
              <w:t>1.29</w:t>
            </w:r>
          </w:p>
        </w:tc>
        <w:tc>
          <w:tcPr>
            <w:tcW w:w="2268" w:type="dxa"/>
          </w:tcPr>
          <w:p w14:paraId="1CA9F19E" w14:textId="5D0F9423" w:rsidR="00C66729" w:rsidRPr="002B55E9" w:rsidRDefault="00C66729" w:rsidP="00C66729">
            <w:pPr>
              <w:pStyle w:val="lgy-"/>
              <w:rPr>
                <w:rFonts w:eastAsia="宋体"/>
              </w:rPr>
            </w:pPr>
            <w:r w:rsidRPr="002B55E9">
              <w:rPr>
                <w:rFonts w:eastAsia="宋体"/>
              </w:rPr>
              <w:t>0.005</w:t>
            </w:r>
          </w:p>
        </w:tc>
        <w:tc>
          <w:tcPr>
            <w:tcW w:w="1699" w:type="dxa"/>
          </w:tcPr>
          <w:p w14:paraId="3EA6FCDC" w14:textId="218F998C" w:rsidR="00C66729" w:rsidRPr="002B55E9" w:rsidRDefault="00C66729" w:rsidP="00C66729">
            <w:pPr>
              <w:pStyle w:val="lgy-"/>
              <w:rPr>
                <w:rFonts w:eastAsia="宋体"/>
              </w:rPr>
            </w:pPr>
            <w:r w:rsidRPr="002B55E9">
              <w:rPr>
                <w:rFonts w:eastAsia="宋体"/>
              </w:rPr>
              <w:t>0.005</w:t>
            </w:r>
          </w:p>
        </w:tc>
      </w:tr>
      <w:tr w:rsidR="002B55E9" w:rsidRPr="002B55E9" w14:paraId="092EE5DE" w14:textId="77777777" w:rsidTr="00C66729">
        <w:trPr>
          <w:trHeight w:val="283"/>
        </w:trPr>
        <w:tc>
          <w:tcPr>
            <w:tcW w:w="851" w:type="dxa"/>
            <w:vMerge/>
          </w:tcPr>
          <w:p w14:paraId="45A66BE2" w14:textId="77777777" w:rsidR="00C66729" w:rsidRPr="002B55E9" w:rsidRDefault="00C66729" w:rsidP="00C66729">
            <w:pPr>
              <w:pStyle w:val="lgy-"/>
              <w:rPr>
                <w:rFonts w:eastAsia="宋体"/>
              </w:rPr>
            </w:pPr>
          </w:p>
        </w:tc>
        <w:tc>
          <w:tcPr>
            <w:tcW w:w="1276" w:type="dxa"/>
            <w:vMerge/>
          </w:tcPr>
          <w:p w14:paraId="1C858988" w14:textId="77777777" w:rsidR="00C66729" w:rsidRPr="002B55E9" w:rsidRDefault="00C66729" w:rsidP="00C66729">
            <w:pPr>
              <w:pStyle w:val="lgy-"/>
              <w:rPr>
                <w:rFonts w:eastAsia="宋体"/>
              </w:rPr>
            </w:pPr>
          </w:p>
        </w:tc>
        <w:tc>
          <w:tcPr>
            <w:tcW w:w="1134" w:type="dxa"/>
          </w:tcPr>
          <w:p w14:paraId="49F9E45F" w14:textId="77777777" w:rsidR="00C66729" w:rsidRPr="002B55E9" w:rsidRDefault="00C66729" w:rsidP="00C66729">
            <w:pPr>
              <w:pStyle w:val="lgy-"/>
              <w:rPr>
                <w:rFonts w:eastAsia="宋体"/>
              </w:rPr>
            </w:pPr>
            <w:r w:rsidRPr="002B55E9">
              <w:rPr>
                <w:rFonts w:eastAsia="宋体"/>
              </w:rPr>
              <w:t>甲醛</w:t>
            </w:r>
          </w:p>
        </w:tc>
        <w:tc>
          <w:tcPr>
            <w:tcW w:w="2409" w:type="dxa"/>
          </w:tcPr>
          <w:p w14:paraId="12BAF2AC" w14:textId="7EC65EE8" w:rsidR="00C66729" w:rsidRPr="002B55E9" w:rsidRDefault="00C66729" w:rsidP="00C66729">
            <w:pPr>
              <w:pStyle w:val="lgy-"/>
              <w:rPr>
                <w:rFonts w:eastAsia="宋体"/>
              </w:rPr>
            </w:pPr>
            <w:r w:rsidRPr="002B55E9">
              <w:rPr>
                <w:rFonts w:eastAsia="宋体"/>
              </w:rPr>
              <w:t>0.85</w:t>
            </w:r>
          </w:p>
        </w:tc>
        <w:tc>
          <w:tcPr>
            <w:tcW w:w="2268" w:type="dxa"/>
          </w:tcPr>
          <w:p w14:paraId="28FC6204" w14:textId="2F72C2EB" w:rsidR="00C66729" w:rsidRPr="002B55E9" w:rsidRDefault="00C66729" w:rsidP="00C66729">
            <w:pPr>
              <w:pStyle w:val="lgy-"/>
              <w:rPr>
                <w:rFonts w:eastAsia="宋体"/>
              </w:rPr>
            </w:pPr>
            <w:r w:rsidRPr="002B55E9">
              <w:rPr>
                <w:rFonts w:eastAsia="宋体"/>
              </w:rPr>
              <w:t>0.003</w:t>
            </w:r>
          </w:p>
        </w:tc>
        <w:tc>
          <w:tcPr>
            <w:tcW w:w="1699" w:type="dxa"/>
          </w:tcPr>
          <w:p w14:paraId="7548E966" w14:textId="55A4D0F4" w:rsidR="00C66729" w:rsidRPr="002B55E9" w:rsidRDefault="00C66729" w:rsidP="00C66729">
            <w:pPr>
              <w:pStyle w:val="lgy-"/>
              <w:rPr>
                <w:rFonts w:eastAsia="宋体"/>
              </w:rPr>
            </w:pPr>
            <w:r w:rsidRPr="002B55E9">
              <w:rPr>
                <w:rFonts w:eastAsia="宋体"/>
              </w:rPr>
              <w:t>0.003</w:t>
            </w:r>
          </w:p>
        </w:tc>
      </w:tr>
      <w:tr w:rsidR="002B55E9" w:rsidRPr="002B55E9" w14:paraId="539877B0" w14:textId="77777777" w:rsidTr="00C66729">
        <w:trPr>
          <w:trHeight w:val="283"/>
        </w:trPr>
        <w:tc>
          <w:tcPr>
            <w:tcW w:w="851" w:type="dxa"/>
            <w:vMerge/>
          </w:tcPr>
          <w:p w14:paraId="67353A35" w14:textId="77777777" w:rsidR="00C66729" w:rsidRPr="002B55E9" w:rsidRDefault="00C66729" w:rsidP="00C66729">
            <w:pPr>
              <w:pStyle w:val="lgy-"/>
              <w:rPr>
                <w:rFonts w:eastAsia="宋体"/>
              </w:rPr>
            </w:pPr>
          </w:p>
        </w:tc>
        <w:tc>
          <w:tcPr>
            <w:tcW w:w="1276" w:type="dxa"/>
            <w:vMerge/>
          </w:tcPr>
          <w:p w14:paraId="0006E4D1" w14:textId="77777777" w:rsidR="00C66729" w:rsidRPr="002B55E9" w:rsidRDefault="00C66729" w:rsidP="00C66729">
            <w:pPr>
              <w:pStyle w:val="lgy-"/>
              <w:rPr>
                <w:rFonts w:eastAsia="宋体"/>
              </w:rPr>
            </w:pPr>
          </w:p>
        </w:tc>
        <w:tc>
          <w:tcPr>
            <w:tcW w:w="1134" w:type="dxa"/>
          </w:tcPr>
          <w:p w14:paraId="2384C612" w14:textId="77777777" w:rsidR="00C66729" w:rsidRPr="002B55E9" w:rsidRDefault="00C66729" w:rsidP="00C66729">
            <w:pPr>
              <w:pStyle w:val="lgy-"/>
              <w:rPr>
                <w:rFonts w:eastAsia="宋体"/>
              </w:rPr>
            </w:pPr>
            <w:r w:rsidRPr="002B55E9">
              <w:rPr>
                <w:rFonts w:eastAsia="宋体"/>
              </w:rPr>
              <w:t>硫酸</w:t>
            </w:r>
          </w:p>
        </w:tc>
        <w:tc>
          <w:tcPr>
            <w:tcW w:w="2409" w:type="dxa"/>
          </w:tcPr>
          <w:p w14:paraId="37AF7775" w14:textId="6ED72611" w:rsidR="00C66729" w:rsidRPr="002B55E9" w:rsidRDefault="00C66729" w:rsidP="00C66729">
            <w:pPr>
              <w:pStyle w:val="lgy-"/>
              <w:rPr>
                <w:rFonts w:eastAsia="宋体"/>
              </w:rPr>
            </w:pPr>
            <w:r w:rsidRPr="002B55E9">
              <w:rPr>
                <w:rFonts w:eastAsia="宋体"/>
              </w:rPr>
              <w:t>2.73</w:t>
            </w:r>
          </w:p>
        </w:tc>
        <w:tc>
          <w:tcPr>
            <w:tcW w:w="2268" w:type="dxa"/>
          </w:tcPr>
          <w:p w14:paraId="61869F97" w14:textId="7544FB43" w:rsidR="00C66729" w:rsidRPr="002B55E9" w:rsidRDefault="00C66729" w:rsidP="00C66729">
            <w:pPr>
              <w:pStyle w:val="lgy-"/>
              <w:rPr>
                <w:rFonts w:eastAsia="宋体"/>
              </w:rPr>
            </w:pPr>
            <w:r w:rsidRPr="002B55E9">
              <w:rPr>
                <w:rFonts w:eastAsia="宋体"/>
              </w:rPr>
              <w:t>0.011</w:t>
            </w:r>
          </w:p>
        </w:tc>
        <w:tc>
          <w:tcPr>
            <w:tcW w:w="1699" w:type="dxa"/>
          </w:tcPr>
          <w:p w14:paraId="04A546C4" w14:textId="22F30124" w:rsidR="00C66729" w:rsidRPr="002B55E9" w:rsidRDefault="00C66729" w:rsidP="00C66729">
            <w:pPr>
              <w:pStyle w:val="lgy-"/>
              <w:rPr>
                <w:rFonts w:eastAsia="宋体"/>
              </w:rPr>
            </w:pPr>
            <w:r w:rsidRPr="002B55E9">
              <w:rPr>
                <w:rFonts w:eastAsia="宋体"/>
              </w:rPr>
              <w:t>0.011</w:t>
            </w:r>
          </w:p>
        </w:tc>
      </w:tr>
      <w:tr w:rsidR="002B55E9" w:rsidRPr="002B55E9" w14:paraId="4ACF5EFB" w14:textId="77777777" w:rsidTr="00C66729">
        <w:trPr>
          <w:trHeight w:val="283"/>
        </w:trPr>
        <w:tc>
          <w:tcPr>
            <w:tcW w:w="851" w:type="dxa"/>
            <w:vMerge/>
          </w:tcPr>
          <w:p w14:paraId="1B347468" w14:textId="77777777" w:rsidR="00C66729" w:rsidRPr="002B55E9" w:rsidRDefault="00C66729" w:rsidP="00C66729">
            <w:pPr>
              <w:pStyle w:val="lgy-"/>
              <w:rPr>
                <w:rFonts w:eastAsia="宋体"/>
              </w:rPr>
            </w:pPr>
          </w:p>
        </w:tc>
        <w:tc>
          <w:tcPr>
            <w:tcW w:w="1276" w:type="dxa"/>
            <w:vMerge/>
          </w:tcPr>
          <w:p w14:paraId="4662689D" w14:textId="77777777" w:rsidR="00C66729" w:rsidRPr="002B55E9" w:rsidRDefault="00C66729" w:rsidP="00C66729">
            <w:pPr>
              <w:pStyle w:val="lgy-"/>
              <w:rPr>
                <w:rFonts w:eastAsia="宋体"/>
              </w:rPr>
            </w:pPr>
          </w:p>
        </w:tc>
        <w:tc>
          <w:tcPr>
            <w:tcW w:w="1134" w:type="dxa"/>
          </w:tcPr>
          <w:p w14:paraId="485416AB" w14:textId="77777777" w:rsidR="00C66729" w:rsidRPr="002B55E9" w:rsidRDefault="00C66729" w:rsidP="00C66729">
            <w:pPr>
              <w:pStyle w:val="lgy-"/>
              <w:rPr>
                <w:rFonts w:eastAsia="宋体"/>
              </w:rPr>
            </w:pPr>
            <w:r w:rsidRPr="002B55E9">
              <w:rPr>
                <w:rFonts w:eastAsia="宋体"/>
              </w:rPr>
              <w:t>氯化氢</w:t>
            </w:r>
          </w:p>
        </w:tc>
        <w:tc>
          <w:tcPr>
            <w:tcW w:w="2409" w:type="dxa"/>
          </w:tcPr>
          <w:p w14:paraId="5CF66A79" w14:textId="38E18DD8" w:rsidR="00C66729" w:rsidRPr="002B55E9" w:rsidRDefault="00C66729" w:rsidP="00C66729">
            <w:pPr>
              <w:pStyle w:val="lgy-"/>
              <w:rPr>
                <w:rFonts w:eastAsia="宋体"/>
              </w:rPr>
            </w:pPr>
            <w:r w:rsidRPr="002B55E9">
              <w:rPr>
                <w:rFonts w:eastAsia="宋体"/>
              </w:rPr>
              <w:t>0.01</w:t>
            </w:r>
          </w:p>
        </w:tc>
        <w:tc>
          <w:tcPr>
            <w:tcW w:w="2268" w:type="dxa"/>
          </w:tcPr>
          <w:p w14:paraId="745F8151" w14:textId="10298AD8" w:rsidR="00C66729" w:rsidRPr="002B55E9" w:rsidRDefault="00C66729" w:rsidP="00C66729">
            <w:pPr>
              <w:pStyle w:val="lgy-"/>
              <w:rPr>
                <w:rFonts w:eastAsia="宋体"/>
              </w:rPr>
            </w:pPr>
            <w:r w:rsidRPr="002B55E9">
              <w:rPr>
                <w:rFonts w:eastAsia="宋体"/>
              </w:rPr>
              <w:t>2.16E-05</w:t>
            </w:r>
          </w:p>
        </w:tc>
        <w:tc>
          <w:tcPr>
            <w:tcW w:w="1699" w:type="dxa"/>
          </w:tcPr>
          <w:p w14:paraId="0EF0E6B5" w14:textId="7B8D287B" w:rsidR="00C66729" w:rsidRPr="002B55E9" w:rsidRDefault="00C66729" w:rsidP="00C66729">
            <w:pPr>
              <w:pStyle w:val="lgy-"/>
              <w:rPr>
                <w:rFonts w:eastAsia="宋体"/>
              </w:rPr>
            </w:pPr>
            <w:r w:rsidRPr="002B55E9">
              <w:rPr>
                <w:rFonts w:eastAsia="宋体"/>
              </w:rPr>
              <w:t>2.14E-05</w:t>
            </w:r>
          </w:p>
        </w:tc>
      </w:tr>
      <w:tr w:rsidR="002B55E9" w:rsidRPr="002B55E9" w14:paraId="29C82FF3" w14:textId="77777777" w:rsidTr="00C66729">
        <w:trPr>
          <w:trHeight w:val="283"/>
        </w:trPr>
        <w:tc>
          <w:tcPr>
            <w:tcW w:w="2127" w:type="dxa"/>
            <w:gridSpan w:val="2"/>
            <w:vMerge w:val="restart"/>
          </w:tcPr>
          <w:p w14:paraId="107BA9FD" w14:textId="77777777" w:rsidR="00C66729" w:rsidRPr="002B55E9" w:rsidRDefault="00C66729" w:rsidP="00C66729">
            <w:pPr>
              <w:pStyle w:val="lgy-"/>
              <w:rPr>
                <w:rFonts w:eastAsia="宋体"/>
              </w:rPr>
            </w:pPr>
            <w:r w:rsidRPr="002B55E9">
              <w:rPr>
                <w:rFonts w:eastAsia="宋体"/>
              </w:rPr>
              <w:t>有组织排放总计</w:t>
            </w:r>
          </w:p>
        </w:tc>
        <w:tc>
          <w:tcPr>
            <w:tcW w:w="5811" w:type="dxa"/>
            <w:gridSpan w:val="3"/>
          </w:tcPr>
          <w:p w14:paraId="73350A7A" w14:textId="77777777" w:rsidR="00C66729" w:rsidRPr="002B55E9" w:rsidRDefault="00C66729" w:rsidP="00C66729">
            <w:pPr>
              <w:pStyle w:val="lgy-"/>
              <w:rPr>
                <w:rFonts w:eastAsia="宋体"/>
              </w:rPr>
            </w:pPr>
            <w:r w:rsidRPr="002B55E9">
              <w:rPr>
                <w:rFonts w:eastAsia="宋体"/>
              </w:rPr>
              <w:t>颗粒物</w:t>
            </w:r>
          </w:p>
        </w:tc>
        <w:tc>
          <w:tcPr>
            <w:tcW w:w="1699" w:type="dxa"/>
          </w:tcPr>
          <w:p w14:paraId="54DFD3AB" w14:textId="430632C3" w:rsidR="00C66729" w:rsidRPr="002B55E9" w:rsidRDefault="00C66729" w:rsidP="00C66729">
            <w:pPr>
              <w:pStyle w:val="lgy-"/>
              <w:rPr>
                <w:rFonts w:eastAsia="宋体"/>
              </w:rPr>
            </w:pPr>
            <w:r w:rsidRPr="002B55E9">
              <w:rPr>
                <w:rFonts w:eastAsia="宋体"/>
              </w:rPr>
              <w:t>0.051</w:t>
            </w:r>
          </w:p>
        </w:tc>
      </w:tr>
      <w:tr w:rsidR="002B55E9" w:rsidRPr="002B55E9" w14:paraId="19655348" w14:textId="77777777" w:rsidTr="00C66729">
        <w:trPr>
          <w:trHeight w:val="283"/>
        </w:trPr>
        <w:tc>
          <w:tcPr>
            <w:tcW w:w="2127" w:type="dxa"/>
            <w:gridSpan w:val="2"/>
            <w:vMerge/>
          </w:tcPr>
          <w:p w14:paraId="7FE4352C" w14:textId="77777777" w:rsidR="00C66729" w:rsidRPr="002B55E9" w:rsidRDefault="00C66729" w:rsidP="00C66729">
            <w:pPr>
              <w:pStyle w:val="lgy-"/>
              <w:rPr>
                <w:rFonts w:eastAsia="宋体"/>
              </w:rPr>
            </w:pPr>
          </w:p>
        </w:tc>
        <w:tc>
          <w:tcPr>
            <w:tcW w:w="5811" w:type="dxa"/>
            <w:gridSpan w:val="3"/>
          </w:tcPr>
          <w:p w14:paraId="70D8C627" w14:textId="175EA663" w:rsidR="00C66729" w:rsidRPr="002B55E9" w:rsidRDefault="00C66729" w:rsidP="00C66729">
            <w:pPr>
              <w:pStyle w:val="lgy-"/>
              <w:rPr>
                <w:rFonts w:eastAsia="宋体"/>
              </w:rPr>
            </w:pPr>
            <w:r w:rsidRPr="002B55E9">
              <w:rPr>
                <w:rFonts w:eastAsia="宋体"/>
              </w:rPr>
              <w:t>非甲烷总烃</w:t>
            </w:r>
          </w:p>
        </w:tc>
        <w:tc>
          <w:tcPr>
            <w:tcW w:w="1699" w:type="dxa"/>
          </w:tcPr>
          <w:p w14:paraId="4736B908" w14:textId="37B1FE98" w:rsidR="00C66729" w:rsidRPr="002B55E9" w:rsidRDefault="00C66729" w:rsidP="00C66729">
            <w:pPr>
              <w:pStyle w:val="lgy-"/>
              <w:rPr>
                <w:rFonts w:eastAsia="宋体"/>
              </w:rPr>
            </w:pPr>
            <w:r w:rsidRPr="002B55E9">
              <w:rPr>
                <w:rFonts w:eastAsia="宋体"/>
              </w:rPr>
              <w:t xml:space="preserve">2.195 </w:t>
            </w:r>
          </w:p>
        </w:tc>
      </w:tr>
      <w:tr w:rsidR="002B55E9" w:rsidRPr="002B55E9" w14:paraId="27D7B0FA" w14:textId="77777777" w:rsidTr="00C66729">
        <w:trPr>
          <w:trHeight w:val="283"/>
        </w:trPr>
        <w:tc>
          <w:tcPr>
            <w:tcW w:w="2127" w:type="dxa"/>
            <w:gridSpan w:val="2"/>
            <w:vMerge/>
          </w:tcPr>
          <w:p w14:paraId="5F38AFCB" w14:textId="77777777" w:rsidR="00C66729" w:rsidRPr="002B55E9" w:rsidRDefault="00C66729" w:rsidP="00C66729">
            <w:pPr>
              <w:pStyle w:val="lgy-"/>
              <w:rPr>
                <w:rFonts w:eastAsia="宋体"/>
              </w:rPr>
            </w:pPr>
          </w:p>
        </w:tc>
        <w:tc>
          <w:tcPr>
            <w:tcW w:w="5811" w:type="dxa"/>
            <w:gridSpan w:val="3"/>
          </w:tcPr>
          <w:p w14:paraId="1CBCF942" w14:textId="77777777" w:rsidR="00C66729" w:rsidRPr="002B55E9" w:rsidRDefault="00C66729" w:rsidP="00C66729">
            <w:pPr>
              <w:pStyle w:val="lgy-"/>
              <w:rPr>
                <w:rFonts w:eastAsia="宋体"/>
              </w:rPr>
            </w:pPr>
            <w:r w:rsidRPr="002B55E9">
              <w:rPr>
                <w:rFonts w:eastAsia="宋体"/>
              </w:rPr>
              <w:t>甲醛</w:t>
            </w:r>
          </w:p>
        </w:tc>
        <w:tc>
          <w:tcPr>
            <w:tcW w:w="1699" w:type="dxa"/>
          </w:tcPr>
          <w:p w14:paraId="18B30BC8" w14:textId="62952581" w:rsidR="00C66729" w:rsidRPr="002B55E9" w:rsidRDefault="00C66729" w:rsidP="00C66729">
            <w:pPr>
              <w:pStyle w:val="lgy-"/>
              <w:rPr>
                <w:rFonts w:eastAsia="宋体"/>
              </w:rPr>
            </w:pPr>
            <w:r w:rsidRPr="002B55E9">
              <w:rPr>
                <w:rFonts w:eastAsia="宋体"/>
              </w:rPr>
              <w:t>0.003</w:t>
            </w:r>
          </w:p>
        </w:tc>
      </w:tr>
      <w:tr w:rsidR="002B55E9" w:rsidRPr="002B55E9" w14:paraId="1783523D" w14:textId="77777777" w:rsidTr="00C66729">
        <w:trPr>
          <w:trHeight w:val="283"/>
        </w:trPr>
        <w:tc>
          <w:tcPr>
            <w:tcW w:w="2127" w:type="dxa"/>
            <w:gridSpan w:val="2"/>
            <w:vMerge/>
          </w:tcPr>
          <w:p w14:paraId="18AD3EF0" w14:textId="77777777" w:rsidR="00C66729" w:rsidRPr="002B55E9" w:rsidRDefault="00C66729" w:rsidP="00C66729">
            <w:pPr>
              <w:pStyle w:val="lgy-"/>
              <w:rPr>
                <w:rFonts w:eastAsia="宋体"/>
              </w:rPr>
            </w:pPr>
          </w:p>
        </w:tc>
        <w:tc>
          <w:tcPr>
            <w:tcW w:w="5811" w:type="dxa"/>
            <w:gridSpan w:val="3"/>
          </w:tcPr>
          <w:p w14:paraId="4954480A" w14:textId="77777777" w:rsidR="00C66729" w:rsidRPr="002B55E9" w:rsidRDefault="00C66729" w:rsidP="00C66729">
            <w:pPr>
              <w:pStyle w:val="lgy-"/>
              <w:rPr>
                <w:rFonts w:eastAsia="宋体"/>
              </w:rPr>
            </w:pPr>
            <w:r w:rsidRPr="002B55E9">
              <w:rPr>
                <w:rFonts w:eastAsia="宋体"/>
              </w:rPr>
              <w:t>硫酸</w:t>
            </w:r>
          </w:p>
        </w:tc>
        <w:tc>
          <w:tcPr>
            <w:tcW w:w="1699" w:type="dxa"/>
          </w:tcPr>
          <w:p w14:paraId="415C9315" w14:textId="5D2E3602" w:rsidR="00C66729" w:rsidRPr="002B55E9" w:rsidRDefault="00C66729" w:rsidP="00C66729">
            <w:pPr>
              <w:pStyle w:val="lgy-"/>
              <w:rPr>
                <w:rFonts w:eastAsia="宋体"/>
              </w:rPr>
            </w:pPr>
            <w:r w:rsidRPr="002B55E9">
              <w:rPr>
                <w:rFonts w:eastAsia="宋体"/>
              </w:rPr>
              <w:t>0.011</w:t>
            </w:r>
          </w:p>
        </w:tc>
      </w:tr>
      <w:tr w:rsidR="002B55E9" w:rsidRPr="002B55E9" w14:paraId="7E321909" w14:textId="77777777" w:rsidTr="00C66729">
        <w:trPr>
          <w:trHeight w:val="283"/>
        </w:trPr>
        <w:tc>
          <w:tcPr>
            <w:tcW w:w="2127" w:type="dxa"/>
            <w:gridSpan w:val="2"/>
            <w:vMerge/>
          </w:tcPr>
          <w:p w14:paraId="23F6BE30" w14:textId="77777777" w:rsidR="00C66729" w:rsidRPr="002B55E9" w:rsidRDefault="00C66729" w:rsidP="00C66729">
            <w:pPr>
              <w:pStyle w:val="lgy-"/>
              <w:rPr>
                <w:rFonts w:eastAsia="宋体"/>
              </w:rPr>
            </w:pPr>
          </w:p>
        </w:tc>
        <w:tc>
          <w:tcPr>
            <w:tcW w:w="5811" w:type="dxa"/>
            <w:gridSpan w:val="3"/>
          </w:tcPr>
          <w:p w14:paraId="4BEAEA9D" w14:textId="77777777" w:rsidR="00C66729" w:rsidRPr="002B55E9" w:rsidRDefault="00C66729" w:rsidP="00C66729">
            <w:pPr>
              <w:pStyle w:val="lgy-"/>
              <w:rPr>
                <w:rFonts w:eastAsia="宋体"/>
              </w:rPr>
            </w:pPr>
            <w:r w:rsidRPr="002B55E9">
              <w:rPr>
                <w:rFonts w:eastAsia="宋体"/>
              </w:rPr>
              <w:t>氯化氢</w:t>
            </w:r>
          </w:p>
        </w:tc>
        <w:tc>
          <w:tcPr>
            <w:tcW w:w="1699" w:type="dxa"/>
          </w:tcPr>
          <w:p w14:paraId="0E376533" w14:textId="73BF3FD4" w:rsidR="00C66729" w:rsidRPr="002B55E9" w:rsidRDefault="00C66729" w:rsidP="00C66729">
            <w:pPr>
              <w:pStyle w:val="lgy-"/>
              <w:rPr>
                <w:rFonts w:eastAsia="宋体"/>
              </w:rPr>
            </w:pPr>
            <w:r w:rsidRPr="002B55E9">
              <w:rPr>
                <w:rFonts w:eastAsia="宋体"/>
              </w:rPr>
              <w:t>2.14E-05</w:t>
            </w:r>
          </w:p>
        </w:tc>
      </w:tr>
    </w:tbl>
    <w:p w14:paraId="62F7615C" w14:textId="77777777" w:rsidR="00D170E5" w:rsidRPr="002B55E9" w:rsidRDefault="00EF27AD">
      <w:pPr>
        <w:pStyle w:val="affff7"/>
        <w:spacing w:after="0"/>
        <w:rPr>
          <w:rFonts w:hAnsi="宋体"/>
        </w:rPr>
      </w:pPr>
      <w:r w:rsidRPr="002B55E9">
        <w:rPr>
          <w:rFonts w:hAnsi="宋体" w:hint="eastAsia"/>
        </w:rPr>
        <w:t>（</w:t>
      </w:r>
      <w:r w:rsidRPr="002B55E9">
        <w:rPr>
          <w:rFonts w:hint="eastAsia"/>
        </w:rPr>
        <w:t>2</w:t>
      </w:r>
      <w:r w:rsidRPr="002B55E9">
        <w:rPr>
          <w:rFonts w:hAnsi="宋体" w:hint="eastAsia"/>
        </w:rPr>
        <w:t>）无组织排放</w:t>
      </w:r>
    </w:p>
    <w:p w14:paraId="475EE043" w14:textId="77777777" w:rsidR="00D170E5" w:rsidRPr="002B55E9" w:rsidRDefault="00EF27AD">
      <w:pPr>
        <w:pStyle w:val="affff7"/>
        <w:spacing w:after="0"/>
        <w:rPr>
          <w:rFonts w:hAnsi="宋体"/>
        </w:rPr>
      </w:pPr>
      <w:r w:rsidRPr="002B55E9">
        <w:rPr>
          <w:rFonts w:hAnsi="宋体" w:hint="eastAsia"/>
        </w:rPr>
        <w:t>拟建项目无组织排放主要为十一车间</w:t>
      </w:r>
      <w:r w:rsidRPr="002B55E9">
        <w:rPr>
          <w:rFonts w:hAnsi="宋体"/>
        </w:rPr>
        <w:t>、十三车间、</w:t>
      </w:r>
      <w:r w:rsidRPr="002B55E9">
        <w:rPr>
          <w:rFonts w:hAnsi="宋体" w:hint="eastAsia"/>
        </w:rPr>
        <w:t>罐区三</w:t>
      </w:r>
      <w:r w:rsidRPr="002B55E9">
        <w:rPr>
          <w:rFonts w:hint="eastAsia"/>
        </w:rPr>
        <w:t>、</w:t>
      </w:r>
      <w:r w:rsidRPr="002B55E9">
        <w:t>酒精罐区</w:t>
      </w:r>
      <w:r w:rsidRPr="002B55E9">
        <w:rPr>
          <w:rFonts w:hint="eastAsia"/>
        </w:rPr>
        <w:t>以及动静密封点等</w:t>
      </w:r>
      <w:r w:rsidRPr="002B55E9">
        <w:rPr>
          <w:rFonts w:hAnsi="宋体" w:hint="eastAsia"/>
        </w:rPr>
        <w:t>，具体核算见下表所示：</w:t>
      </w:r>
    </w:p>
    <w:p w14:paraId="1DCE3C04" w14:textId="77777777" w:rsidR="00D170E5" w:rsidRPr="002B55E9" w:rsidRDefault="00EF27AD">
      <w:pPr>
        <w:pStyle w:val="1f3"/>
        <w:snapToGrid w:val="0"/>
        <w:spacing w:beforeLines="0" w:before="0"/>
      </w:pPr>
      <w:r w:rsidRPr="002B55E9">
        <w:rPr>
          <w:rFonts w:hint="eastAsia"/>
        </w:rPr>
        <w:t>表</w:t>
      </w:r>
      <w:r w:rsidRPr="002B55E9">
        <w:rPr>
          <w:rFonts w:hint="eastAsia"/>
        </w:rPr>
        <w:t>5</w:t>
      </w:r>
      <w:r w:rsidRPr="002B55E9">
        <w:t xml:space="preserve">-2-18  </w:t>
      </w:r>
      <w:r w:rsidRPr="002B55E9">
        <w:rPr>
          <w:rFonts w:hint="eastAsia"/>
        </w:rPr>
        <w:t>拟建项目大气主要污染物无组织排放量核算一览表</w:t>
      </w:r>
    </w:p>
    <w:tbl>
      <w:tblPr>
        <w:tblStyle w:val="lgy2"/>
        <w:tblW w:w="5000" w:type="pct"/>
        <w:tblLayout w:type="fixed"/>
        <w:tblCellMar>
          <w:left w:w="28" w:type="dxa"/>
          <w:right w:w="28" w:type="dxa"/>
        </w:tblCellMar>
        <w:tblLook w:val="04A0" w:firstRow="1" w:lastRow="0" w:firstColumn="1" w:lastColumn="0" w:noHBand="0" w:noVBand="1"/>
      </w:tblPr>
      <w:tblGrid>
        <w:gridCol w:w="494"/>
        <w:gridCol w:w="928"/>
        <w:gridCol w:w="717"/>
        <w:gridCol w:w="999"/>
        <w:gridCol w:w="855"/>
        <w:gridCol w:w="2134"/>
        <w:gridCol w:w="2496"/>
        <w:gridCol w:w="1070"/>
      </w:tblGrid>
      <w:tr w:rsidR="002B55E9" w:rsidRPr="002B55E9" w14:paraId="5B2B99D3" w14:textId="77777777" w:rsidTr="00C66729">
        <w:trPr>
          <w:cnfStyle w:val="100000000000" w:firstRow="1" w:lastRow="0" w:firstColumn="0" w:lastColumn="0" w:oddVBand="0" w:evenVBand="0" w:oddHBand="0" w:evenHBand="0" w:firstRowFirstColumn="0" w:firstRowLastColumn="0" w:lastRowFirstColumn="0" w:lastRowLastColumn="0"/>
          <w:trHeight w:val="283"/>
        </w:trPr>
        <w:tc>
          <w:tcPr>
            <w:tcW w:w="490" w:type="dxa"/>
            <w:vMerge w:val="restart"/>
          </w:tcPr>
          <w:p w14:paraId="0BE1187C" w14:textId="77777777" w:rsidR="00D170E5" w:rsidRPr="002B55E9" w:rsidRDefault="00EF27AD" w:rsidP="00C66729">
            <w:pPr>
              <w:pStyle w:val="lgy-"/>
              <w:rPr>
                <w:rFonts w:eastAsia="宋体"/>
              </w:rPr>
            </w:pPr>
            <w:r w:rsidRPr="002B55E9">
              <w:rPr>
                <w:rFonts w:eastAsia="宋体"/>
              </w:rPr>
              <w:t>序号</w:t>
            </w:r>
          </w:p>
        </w:tc>
        <w:tc>
          <w:tcPr>
            <w:tcW w:w="923" w:type="dxa"/>
            <w:vMerge w:val="restart"/>
          </w:tcPr>
          <w:p w14:paraId="5574F4E8" w14:textId="77777777" w:rsidR="00D170E5" w:rsidRPr="002B55E9" w:rsidRDefault="00EF27AD" w:rsidP="00C66729">
            <w:pPr>
              <w:pStyle w:val="lgy-"/>
              <w:rPr>
                <w:rFonts w:eastAsia="宋体"/>
              </w:rPr>
            </w:pPr>
            <w:r w:rsidRPr="002B55E9">
              <w:rPr>
                <w:rFonts w:eastAsia="宋体"/>
              </w:rPr>
              <w:t>排放口编号</w:t>
            </w:r>
          </w:p>
        </w:tc>
        <w:tc>
          <w:tcPr>
            <w:tcW w:w="713" w:type="dxa"/>
            <w:vMerge w:val="restart"/>
          </w:tcPr>
          <w:p w14:paraId="02E45A67" w14:textId="77777777" w:rsidR="00D170E5" w:rsidRPr="002B55E9" w:rsidRDefault="00EF27AD" w:rsidP="00C66729">
            <w:pPr>
              <w:pStyle w:val="lgy-"/>
              <w:rPr>
                <w:rFonts w:eastAsia="宋体"/>
              </w:rPr>
            </w:pPr>
            <w:r w:rsidRPr="002B55E9">
              <w:rPr>
                <w:rFonts w:eastAsia="宋体"/>
              </w:rPr>
              <w:t>产污环节</w:t>
            </w:r>
          </w:p>
        </w:tc>
        <w:tc>
          <w:tcPr>
            <w:tcW w:w="993" w:type="dxa"/>
            <w:vMerge w:val="restart"/>
          </w:tcPr>
          <w:p w14:paraId="0D6CC709" w14:textId="77777777" w:rsidR="00D170E5" w:rsidRPr="002B55E9" w:rsidRDefault="00EF27AD" w:rsidP="00C66729">
            <w:pPr>
              <w:pStyle w:val="lgy-"/>
              <w:rPr>
                <w:rFonts w:eastAsia="宋体"/>
              </w:rPr>
            </w:pPr>
            <w:r w:rsidRPr="002B55E9">
              <w:rPr>
                <w:rFonts w:eastAsia="宋体"/>
              </w:rPr>
              <w:t>污染物</w:t>
            </w:r>
          </w:p>
        </w:tc>
        <w:tc>
          <w:tcPr>
            <w:tcW w:w="850" w:type="dxa"/>
            <w:vMerge w:val="restart"/>
          </w:tcPr>
          <w:p w14:paraId="211C5ECB" w14:textId="77777777" w:rsidR="00D170E5" w:rsidRPr="002B55E9" w:rsidRDefault="00EF27AD" w:rsidP="00C66729">
            <w:pPr>
              <w:pStyle w:val="lgy-"/>
              <w:rPr>
                <w:rFonts w:eastAsia="宋体"/>
              </w:rPr>
            </w:pPr>
            <w:r w:rsidRPr="002B55E9">
              <w:rPr>
                <w:rFonts w:eastAsia="宋体"/>
              </w:rPr>
              <w:t>主要污染防治措施</w:t>
            </w:r>
          </w:p>
        </w:tc>
        <w:tc>
          <w:tcPr>
            <w:tcW w:w="4604" w:type="dxa"/>
            <w:gridSpan w:val="2"/>
          </w:tcPr>
          <w:p w14:paraId="586D56E7" w14:textId="77777777" w:rsidR="00D170E5" w:rsidRPr="002B55E9" w:rsidRDefault="00EF27AD" w:rsidP="00C66729">
            <w:pPr>
              <w:pStyle w:val="lgy-"/>
              <w:rPr>
                <w:rFonts w:eastAsia="宋体"/>
              </w:rPr>
            </w:pPr>
            <w:r w:rsidRPr="002B55E9">
              <w:rPr>
                <w:rFonts w:eastAsia="宋体"/>
              </w:rPr>
              <w:t>国家或地方污染物排放标准名称</w:t>
            </w:r>
          </w:p>
        </w:tc>
        <w:tc>
          <w:tcPr>
            <w:tcW w:w="1064" w:type="dxa"/>
            <w:vMerge w:val="restart"/>
          </w:tcPr>
          <w:p w14:paraId="75ABCEDB" w14:textId="77777777" w:rsidR="00D170E5" w:rsidRPr="002B55E9" w:rsidRDefault="00EF27AD" w:rsidP="00C66729">
            <w:pPr>
              <w:pStyle w:val="lgy-"/>
              <w:rPr>
                <w:rFonts w:eastAsia="宋体"/>
              </w:rPr>
            </w:pPr>
            <w:r w:rsidRPr="002B55E9">
              <w:rPr>
                <w:rFonts w:eastAsia="宋体"/>
              </w:rPr>
              <w:t>年排放量</w:t>
            </w:r>
            <w:r w:rsidRPr="002B55E9">
              <w:rPr>
                <w:rFonts w:eastAsia="宋体" w:hint="eastAsia"/>
              </w:rPr>
              <w:t>（</w:t>
            </w:r>
            <w:r w:rsidRPr="002B55E9">
              <w:rPr>
                <w:rFonts w:eastAsia="宋体" w:hint="eastAsia"/>
              </w:rPr>
              <w:t>t</w:t>
            </w:r>
            <w:r w:rsidRPr="002B55E9">
              <w:rPr>
                <w:rFonts w:eastAsia="宋体"/>
              </w:rPr>
              <w:t>/</w:t>
            </w:r>
            <w:r w:rsidRPr="002B55E9">
              <w:rPr>
                <w:rFonts w:eastAsia="宋体" w:hint="eastAsia"/>
              </w:rPr>
              <w:t>a</w:t>
            </w:r>
            <w:r w:rsidRPr="002B55E9">
              <w:rPr>
                <w:rFonts w:eastAsia="宋体" w:hint="eastAsia"/>
              </w:rPr>
              <w:t>）</w:t>
            </w:r>
          </w:p>
        </w:tc>
      </w:tr>
      <w:tr w:rsidR="002B55E9" w:rsidRPr="002B55E9" w14:paraId="17443351" w14:textId="77777777" w:rsidTr="00C66729">
        <w:trPr>
          <w:trHeight w:val="283"/>
        </w:trPr>
        <w:tc>
          <w:tcPr>
            <w:tcW w:w="490" w:type="dxa"/>
            <w:vMerge/>
          </w:tcPr>
          <w:p w14:paraId="32B90DA4" w14:textId="77777777" w:rsidR="00D170E5" w:rsidRPr="002B55E9" w:rsidRDefault="00D170E5" w:rsidP="00C66729">
            <w:pPr>
              <w:pStyle w:val="lgy-"/>
              <w:rPr>
                <w:rFonts w:eastAsia="宋体"/>
              </w:rPr>
            </w:pPr>
          </w:p>
        </w:tc>
        <w:tc>
          <w:tcPr>
            <w:tcW w:w="923" w:type="dxa"/>
            <w:vMerge/>
          </w:tcPr>
          <w:p w14:paraId="004D2C31" w14:textId="77777777" w:rsidR="00D170E5" w:rsidRPr="002B55E9" w:rsidRDefault="00D170E5" w:rsidP="00C66729">
            <w:pPr>
              <w:pStyle w:val="lgy-"/>
              <w:rPr>
                <w:rFonts w:eastAsia="宋体"/>
              </w:rPr>
            </w:pPr>
          </w:p>
        </w:tc>
        <w:tc>
          <w:tcPr>
            <w:tcW w:w="713" w:type="dxa"/>
            <w:vMerge/>
          </w:tcPr>
          <w:p w14:paraId="2BA4FE96" w14:textId="77777777" w:rsidR="00D170E5" w:rsidRPr="002B55E9" w:rsidRDefault="00D170E5" w:rsidP="00C66729">
            <w:pPr>
              <w:pStyle w:val="lgy-"/>
              <w:rPr>
                <w:rFonts w:eastAsia="宋体"/>
              </w:rPr>
            </w:pPr>
          </w:p>
        </w:tc>
        <w:tc>
          <w:tcPr>
            <w:tcW w:w="993" w:type="dxa"/>
            <w:vMerge/>
          </w:tcPr>
          <w:p w14:paraId="73C78F77" w14:textId="77777777" w:rsidR="00D170E5" w:rsidRPr="002B55E9" w:rsidRDefault="00D170E5" w:rsidP="00C66729">
            <w:pPr>
              <w:pStyle w:val="lgy-"/>
              <w:rPr>
                <w:rFonts w:eastAsia="宋体"/>
              </w:rPr>
            </w:pPr>
          </w:p>
        </w:tc>
        <w:tc>
          <w:tcPr>
            <w:tcW w:w="850" w:type="dxa"/>
            <w:vMerge/>
          </w:tcPr>
          <w:p w14:paraId="49D7C1B0" w14:textId="77777777" w:rsidR="00D170E5" w:rsidRPr="002B55E9" w:rsidRDefault="00D170E5" w:rsidP="00C66729">
            <w:pPr>
              <w:pStyle w:val="lgy-"/>
              <w:rPr>
                <w:rFonts w:eastAsia="宋体"/>
              </w:rPr>
            </w:pPr>
          </w:p>
        </w:tc>
        <w:tc>
          <w:tcPr>
            <w:tcW w:w="2122" w:type="dxa"/>
          </w:tcPr>
          <w:p w14:paraId="752E67B5" w14:textId="77777777" w:rsidR="00D170E5" w:rsidRPr="002B55E9" w:rsidRDefault="00EF27AD" w:rsidP="00C66729">
            <w:pPr>
              <w:pStyle w:val="lgy-"/>
              <w:rPr>
                <w:rFonts w:eastAsia="宋体"/>
              </w:rPr>
            </w:pPr>
            <w:r w:rsidRPr="002B55E9">
              <w:rPr>
                <w:rFonts w:eastAsia="宋体" w:hint="eastAsia"/>
              </w:rPr>
              <w:t>标准名称</w:t>
            </w:r>
          </w:p>
        </w:tc>
        <w:tc>
          <w:tcPr>
            <w:tcW w:w="2482" w:type="dxa"/>
          </w:tcPr>
          <w:p w14:paraId="104D84BE" w14:textId="77777777" w:rsidR="00D170E5" w:rsidRPr="002B55E9" w:rsidRDefault="00EF27AD" w:rsidP="00C66729">
            <w:pPr>
              <w:pStyle w:val="lgy-"/>
              <w:rPr>
                <w:rFonts w:eastAsia="宋体"/>
              </w:rPr>
            </w:pPr>
            <w:r w:rsidRPr="002B55E9">
              <w:rPr>
                <w:rFonts w:eastAsia="宋体"/>
              </w:rPr>
              <w:t>浓度限值（</w:t>
            </w:r>
            <w:r w:rsidRPr="002B55E9">
              <w:rPr>
                <w:rFonts w:eastAsia="宋体"/>
              </w:rPr>
              <w:t>mg/m</w:t>
            </w:r>
            <w:r w:rsidRPr="002B55E9">
              <w:rPr>
                <w:rFonts w:eastAsia="宋体"/>
                <w:vertAlign w:val="superscript"/>
              </w:rPr>
              <w:t>3</w:t>
            </w:r>
            <w:r w:rsidRPr="002B55E9">
              <w:rPr>
                <w:rFonts w:eastAsia="宋体"/>
              </w:rPr>
              <w:t>）</w:t>
            </w:r>
          </w:p>
        </w:tc>
        <w:tc>
          <w:tcPr>
            <w:tcW w:w="1064" w:type="dxa"/>
            <w:vMerge/>
          </w:tcPr>
          <w:p w14:paraId="08EA156A" w14:textId="77777777" w:rsidR="00D170E5" w:rsidRPr="002B55E9" w:rsidRDefault="00D170E5" w:rsidP="00C66729">
            <w:pPr>
              <w:pStyle w:val="lgy-"/>
              <w:rPr>
                <w:rFonts w:eastAsia="宋体"/>
              </w:rPr>
            </w:pPr>
          </w:p>
        </w:tc>
      </w:tr>
      <w:tr w:rsidR="002B55E9" w:rsidRPr="002B55E9" w14:paraId="63D4AA6D" w14:textId="77777777" w:rsidTr="00C66729">
        <w:trPr>
          <w:trHeight w:val="283"/>
        </w:trPr>
        <w:tc>
          <w:tcPr>
            <w:tcW w:w="490" w:type="dxa"/>
          </w:tcPr>
          <w:p w14:paraId="2E71598F" w14:textId="77777777" w:rsidR="00D170E5" w:rsidRPr="002B55E9" w:rsidRDefault="00EF27AD" w:rsidP="00C66729">
            <w:pPr>
              <w:pStyle w:val="lgy-"/>
              <w:rPr>
                <w:rFonts w:eastAsia="宋体"/>
              </w:rPr>
            </w:pPr>
            <w:r w:rsidRPr="002B55E9">
              <w:rPr>
                <w:rFonts w:eastAsia="宋体" w:hint="eastAsia"/>
              </w:rPr>
              <w:t>1</w:t>
            </w:r>
          </w:p>
        </w:tc>
        <w:tc>
          <w:tcPr>
            <w:tcW w:w="923" w:type="dxa"/>
          </w:tcPr>
          <w:p w14:paraId="4D858017" w14:textId="77777777" w:rsidR="00D170E5" w:rsidRPr="002B55E9" w:rsidRDefault="00EF27AD" w:rsidP="00C66729">
            <w:pPr>
              <w:pStyle w:val="lgy-"/>
              <w:rPr>
                <w:rFonts w:eastAsia="宋体"/>
              </w:rPr>
            </w:pPr>
            <w:r w:rsidRPr="002B55E9">
              <w:rPr>
                <w:rFonts w:eastAsia="宋体" w:hint="eastAsia"/>
              </w:rPr>
              <w:t>十三</w:t>
            </w:r>
            <w:r w:rsidRPr="002B55E9">
              <w:rPr>
                <w:rFonts w:eastAsia="宋体"/>
              </w:rPr>
              <w:t>车间</w:t>
            </w:r>
          </w:p>
        </w:tc>
        <w:tc>
          <w:tcPr>
            <w:tcW w:w="713" w:type="dxa"/>
          </w:tcPr>
          <w:p w14:paraId="158FD497" w14:textId="77777777" w:rsidR="00D170E5" w:rsidRPr="002B55E9" w:rsidRDefault="00EF27AD" w:rsidP="00C66729">
            <w:pPr>
              <w:pStyle w:val="lgy-"/>
              <w:rPr>
                <w:rFonts w:eastAsia="宋体"/>
              </w:rPr>
            </w:pPr>
            <w:r w:rsidRPr="002B55E9">
              <w:rPr>
                <w:rFonts w:eastAsia="宋体" w:hint="eastAsia"/>
              </w:rPr>
              <w:t>香辛料破碎</w:t>
            </w:r>
          </w:p>
        </w:tc>
        <w:tc>
          <w:tcPr>
            <w:tcW w:w="993" w:type="dxa"/>
          </w:tcPr>
          <w:p w14:paraId="49DB5D5A" w14:textId="77777777" w:rsidR="00D170E5" w:rsidRPr="002B55E9" w:rsidRDefault="00EF27AD" w:rsidP="00C66729">
            <w:pPr>
              <w:pStyle w:val="lgy-"/>
              <w:rPr>
                <w:rFonts w:eastAsia="宋体"/>
              </w:rPr>
            </w:pPr>
            <w:r w:rsidRPr="002B55E9">
              <w:rPr>
                <w:rFonts w:eastAsia="宋体" w:hint="eastAsia"/>
                <w:kern w:val="2"/>
              </w:rPr>
              <w:t>颗粒物</w:t>
            </w:r>
          </w:p>
        </w:tc>
        <w:tc>
          <w:tcPr>
            <w:tcW w:w="850" w:type="dxa"/>
          </w:tcPr>
          <w:p w14:paraId="7F991DE2" w14:textId="77777777" w:rsidR="00D170E5" w:rsidRPr="002B55E9" w:rsidRDefault="00EF27AD" w:rsidP="00C66729">
            <w:pPr>
              <w:pStyle w:val="lgy-"/>
              <w:rPr>
                <w:rFonts w:eastAsia="宋体"/>
              </w:rPr>
            </w:pPr>
            <w:r w:rsidRPr="002B55E9">
              <w:rPr>
                <w:rFonts w:eastAsia="宋体" w:hint="eastAsia"/>
              </w:rPr>
              <w:t>袋式除尘器</w:t>
            </w:r>
          </w:p>
        </w:tc>
        <w:tc>
          <w:tcPr>
            <w:tcW w:w="2122" w:type="dxa"/>
          </w:tcPr>
          <w:p w14:paraId="301C5F4A" w14:textId="77777777" w:rsidR="00D170E5" w:rsidRPr="002B55E9" w:rsidRDefault="00EF27AD" w:rsidP="00C66729">
            <w:pPr>
              <w:pStyle w:val="lgy-"/>
              <w:rPr>
                <w:rFonts w:eastAsia="宋体"/>
              </w:rPr>
            </w:pPr>
            <w:r w:rsidRPr="002B55E9">
              <w:rPr>
                <w:rFonts w:eastAsia="宋体" w:hint="eastAsia"/>
              </w:rPr>
              <w:t>《大气</w:t>
            </w:r>
            <w:r w:rsidRPr="002B55E9">
              <w:rPr>
                <w:rFonts w:eastAsia="宋体"/>
              </w:rPr>
              <w:t>污染物综合</w:t>
            </w:r>
            <w:r w:rsidRPr="002B55E9">
              <w:rPr>
                <w:rFonts w:eastAsia="宋体" w:hint="eastAsia"/>
              </w:rPr>
              <w:t>排放标准》</w:t>
            </w:r>
            <w:r w:rsidRPr="002B55E9">
              <w:rPr>
                <w:rFonts w:eastAsia="宋体"/>
              </w:rPr>
              <w:t>（</w:t>
            </w:r>
            <w:r w:rsidRPr="002B55E9">
              <w:rPr>
                <w:rFonts w:eastAsia="宋体" w:hint="eastAsia"/>
              </w:rPr>
              <w:t>GB16297-1996</w:t>
            </w:r>
            <w:r w:rsidRPr="002B55E9">
              <w:rPr>
                <w:rFonts w:eastAsia="宋体"/>
              </w:rPr>
              <w:t>）</w:t>
            </w:r>
          </w:p>
        </w:tc>
        <w:tc>
          <w:tcPr>
            <w:tcW w:w="2482" w:type="dxa"/>
          </w:tcPr>
          <w:p w14:paraId="4B805AD8" w14:textId="77777777" w:rsidR="00D170E5" w:rsidRPr="002B55E9" w:rsidRDefault="00EF27AD" w:rsidP="00C66729">
            <w:pPr>
              <w:pStyle w:val="lgy-"/>
              <w:rPr>
                <w:rFonts w:eastAsia="宋体"/>
              </w:rPr>
            </w:pPr>
            <w:r w:rsidRPr="002B55E9">
              <w:rPr>
                <w:rFonts w:eastAsia="宋体"/>
              </w:rPr>
              <w:t>1</w:t>
            </w:r>
          </w:p>
        </w:tc>
        <w:tc>
          <w:tcPr>
            <w:tcW w:w="1064" w:type="dxa"/>
          </w:tcPr>
          <w:p w14:paraId="1629FCD1" w14:textId="77777777" w:rsidR="00D170E5" w:rsidRPr="002B55E9" w:rsidRDefault="00EF27AD" w:rsidP="00C66729">
            <w:pPr>
              <w:pStyle w:val="lgy-"/>
              <w:rPr>
                <w:rFonts w:eastAsia="宋体"/>
              </w:rPr>
            </w:pPr>
            <w:r w:rsidRPr="002B55E9">
              <w:rPr>
                <w:rFonts w:eastAsia="宋体"/>
              </w:rPr>
              <w:t>0.014</w:t>
            </w:r>
          </w:p>
        </w:tc>
      </w:tr>
      <w:tr w:rsidR="002B55E9" w:rsidRPr="002B55E9" w14:paraId="2C0F8A52" w14:textId="77777777" w:rsidTr="00C66729">
        <w:trPr>
          <w:trHeight w:val="283"/>
        </w:trPr>
        <w:tc>
          <w:tcPr>
            <w:tcW w:w="490" w:type="dxa"/>
            <w:vMerge w:val="restart"/>
          </w:tcPr>
          <w:p w14:paraId="7B0D800E" w14:textId="77777777" w:rsidR="00C66729" w:rsidRPr="002B55E9" w:rsidRDefault="00C66729" w:rsidP="00C66729">
            <w:pPr>
              <w:pStyle w:val="lgy-"/>
              <w:rPr>
                <w:rFonts w:eastAsia="宋体"/>
              </w:rPr>
            </w:pPr>
            <w:r w:rsidRPr="002B55E9">
              <w:rPr>
                <w:rFonts w:eastAsia="宋体" w:hint="eastAsia"/>
              </w:rPr>
              <w:t>2</w:t>
            </w:r>
          </w:p>
        </w:tc>
        <w:tc>
          <w:tcPr>
            <w:tcW w:w="923" w:type="dxa"/>
            <w:vMerge w:val="restart"/>
          </w:tcPr>
          <w:p w14:paraId="4FF68A01" w14:textId="77777777" w:rsidR="00C66729" w:rsidRPr="002B55E9" w:rsidRDefault="00C66729" w:rsidP="00C66729">
            <w:pPr>
              <w:pStyle w:val="lgy-"/>
              <w:rPr>
                <w:rFonts w:eastAsia="宋体"/>
              </w:rPr>
            </w:pPr>
            <w:r w:rsidRPr="002B55E9">
              <w:rPr>
                <w:rFonts w:eastAsia="宋体" w:hint="eastAsia"/>
              </w:rPr>
              <w:t>十一车间</w:t>
            </w:r>
          </w:p>
        </w:tc>
        <w:tc>
          <w:tcPr>
            <w:tcW w:w="713" w:type="dxa"/>
            <w:vMerge w:val="restart"/>
          </w:tcPr>
          <w:p w14:paraId="40191803" w14:textId="77777777" w:rsidR="00C66729" w:rsidRPr="002B55E9" w:rsidRDefault="00C66729" w:rsidP="00C66729">
            <w:pPr>
              <w:pStyle w:val="lgy-"/>
              <w:rPr>
                <w:rFonts w:eastAsia="宋体"/>
              </w:rPr>
            </w:pPr>
            <w:r w:rsidRPr="002B55E9">
              <w:rPr>
                <w:rFonts w:eastAsia="宋体" w:hint="eastAsia"/>
              </w:rPr>
              <w:t>质检</w:t>
            </w:r>
          </w:p>
        </w:tc>
        <w:tc>
          <w:tcPr>
            <w:tcW w:w="993" w:type="dxa"/>
          </w:tcPr>
          <w:p w14:paraId="1DBB0827" w14:textId="01E2F85C" w:rsidR="00C66729" w:rsidRPr="002B55E9" w:rsidRDefault="00C66729" w:rsidP="00C66729">
            <w:pPr>
              <w:pStyle w:val="lgy-"/>
              <w:rPr>
                <w:rFonts w:eastAsia="宋体"/>
              </w:rPr>
            </w:pPr>
            <w:r w:rsidRPr="002B55E9">
              <w:rPr>
                <w:rFonts w:eastAsia="宋体" w:hint="eastAsia"/>
              </w:rPr>
              <w:t>非甲烷总烃</w:t>
            </w:r>
          </w:p>
        </w:tc>
        <w:tc>
          <w:tcPr>
            <w:tcW w:w="850" w:type="dxa"/>
            <w:vMerge w:val="restart"/>
          </w:tcPr>
          <w:p w14:paraId="2B348A93" w14:textId="646E9C4D" w:rsidR="00C66729" w:rsidRPr="002B55E9" w:rsidRDefault="00D4685B" w:rsidP="00C66729">
            <w:pPr>
              <w:pStyle w:val="lgy-"/>
              <w:rPr>
                <w:rFonts w:eastAsia="宋体"/>
              </w:rPr>
            </w:pPr>
            <w:r w:rsidRPr="002B55E9">
              <w:rPr>
                <w:rFonts w:eastAsia="宋体" w:hint="eastAsia"/>
              </w:rPr>
              <w:t>通风橱收集，活性炭吸附装置处理</w:t>
            </w:r>
          </w:p>
        </w:tc>
        <w:tc>
          <w:tcPr>
            <w:tcW w:w="2122" w:type="dxa"/>
          </w:tcPr>
          <w:p w14:paraId="19B4EB0B" w14:textId="77777777" w:rsidR="00C66729" w:rsidRPr="002B55E9" w:rsidRDefault="00C66729" w:rsidP="00C66729">
            <w:pPr>
              <w:pStyle w:val="lgy-"/>
              <w:rPr>
                <w:rFonts w:eastAsia="宋体"/>
              </w:rPr>
            </w:pPr>
            <w:r w:rsidRPr="002B55E9">
              <w:rPr>
                <w:rFonts w:eastAsia="宋体" w:hint="eastAsia"/>
              </w:rPr>
              <w:t>《挥发性有机物无组织排放标准》（</w:t>
            </w:r>
            <w:r w:rsidRPr="002B55E9">
              <w:rPr>
                <w:rFonts w:eastAsia="宋体" w:hint="eastAsia"/>
              </w:rPr>
              <w:t>GB37822-2019</w:t>
            </w:r>
            <w:r w:rsidRPr="002B55E9">
              <w:rPr>
                <w:rFonts w:eastAsia="宋体" w:hint="eastAsia"/>
              </w:rPr>
              <w:t>）</w:t>
            </w:r>
          </w:p>
        </w:tc>
        <w:tc>
          <w:tcPr>
            <w:tcW w:w="2482" w:type="dxa"/>
          </w:tcPr>
          <w:p w14:paraId="4CA9BCF8" w14:textId="77777777" w:rsidR="00C66729" w:rsidRPr="002B55E9" w:rsidRDefault="00C66729" w:rsidP="00C66729">
            <w:pPr>
              <w:pStyle w:val="lgy-"/>
              <w:rPr>
                <w:rFonts w:eastAsia="宋体"/>
              </w:rPr>
            </w:pPr>
            <w:r w:rsidRPr="002B55E9">
              <w:rPr>
                <w:rFonts w:eastAsia="宋体" w:hint="eastAsia"/>
              </w:rPr>
              <w:t>厂界无组织监控点</w:t>
            </w:r>
            <w:r w:rsidRPr="002B55E9">
              <w:rPr>
                <w:rFonts w:eastAsia="宋体"/>
              </w:rPr>
              <w:t>4.0mg/m3</w:t>
            </w:r>
            <w:r w:rsidRPr="002B55E9">
              <w:rPr>
                <w:rFonts w:eastAsia="宋体" w:hint="eastAsia"/>
              </w:rPr>
              <w:t>；厂房外监控点</w:t>
            </w:r>
            <w:r w:rsidRPr="002B55E9">
              <w:rPr>
                <w:rFonts w:eastAsia="宋体"/>
              </w:rPr>
              <w:t>6 mg/m</w:t>
            </w:r>
            <w:r w:rsidRPr="002B55E9">
              <w:rPr>
                <w:rFonts w:eastAsia="宋体"/>
                <w:vertAlign w:val="superscript"/>
              </w:rPr>
              <w:t>3</w:t>
            </w:r>
            <w:r w:rsidRPr="002B55E9">
              <w:rPr>
                <w:rFonts w:eastAsia="宋体" w:hint="eastAsia"/>
              </w:rPr>
              <w:t>（</w:t>
            </w:r>
            <w:r w:rsidRPr="002B55E9">
              <w:rPr>
                <w:rFonts w:eastAsia="宋体"/>
              </w:rPr>
              <w:t>1 h</w:t>
            </w:r>
            <w:r w:rsidRPr="002B55E9">
              <w:rPr>
                <w:rFonts w:eastAsia="宋体" w:hint="eastAsia"/>
              </w:rPr>
              <w:t>平均浓度值）、</w:t>
            </w:r>
            <w:r w:rsidRPr="002B55E9">
              <w:rPr>
                <w:rFonts w:eastAsia="宋体"/>
              </w:rPr>
              <w:t>20 mg/m</w:t>
            </w:r>
            <w:r w:rsidRPr="002B55E9">
              <w:rPr>
                <w:rFonts w:eastAsia="宋体"/>
                <w:vertAlign w:val="superscript"/>
              </w:rPr>
              <w:t>3</w:t>
            </w:r>
            <w:r w:rsidRPr="002B55E9">
              <w:rPr>
                <w:rFonts w:eastAsia="宋体" w:hint="eastAsia"/>
              </w:rPr>
              <w:t>（任意一次浓度值）</w:t>
            </w:r>
          </w:p>
        </w:tc>
        <w:tc>
          <w:tcPr>
            <w:tcW w:w="1064" w:type="dxa"/>
          </w:tcPr>
          <w:p w14:paraId="26C343DF" w14:textId="6ADE9258" w:rsidR="00C66729" w:rsidRPr="002B55E9" w:rsidRDefault="00C66729" w:rsidP="00C66729">
            <w:pPr>
              <w:pStyle w:val="lgy-"/>
              <w:rPr>
                <w:rFonts w:eastAsia="宋体"/>
              </w:rPr>
            </w:pPr>
            <w:r w:rsidRPr="002B55E9">
              <w:rPr>
                <w:rFonts w:eastAsia="宋体"/>
              </w:rPr>
              <w:t>0.173</w:t>
            </w:r>
          </w:p>
        </w:tc>
      </w:tr>
      <w:tr w:rsidR="002B55E9" w:rsidRPr="002B55E9" w14:paraId="4A50B707" w14:textId="77777777" w:rsidTr="00C66729">
        <w:trPr>
          <w:trHeight w:val="283"/>
        </w:trPr>
        <w:tc>
          <w:tcPr>
            <w:tcW w:w="490" w:type="dxa"/>
            <w:vMerge/>
          </w:tcPr>
          <w:p w14:paraId="6B3A2A21" w14:textId="77777777" w:rsidR="00C66729" w:rsidRPr="002B55E9" w:rsidRDefault="00C66729" w:rsidP="00C66729">
            <w:pPr>
              <w:pStyle w:val="lgy-"/>
              <w:rPr>
                <w:rFonts w:eastAsia="宋体"/>
              </w:rPr>
            </w:pPr>
          </w:p>
        </w:tc>
        <w:tc>
          <w:tcPr>
            <w:tcW w:w="923" w:type="dxa"/>
            <w:vMerge/>
          </w:tcPr>
          <w:p w14:paraId="316F12A0" w14:textId="77777777" w:rsidR="00C66729" w:rsidRPr="002B55E9" w:rsidRDefault="00C66729" w:rsidP="00C66729">
            <w:pPr>
              <w:pStyle w:val="lgy-"/>
              <w:rPr>
                <w:rFonts w:eastAsia="宋体"/>
              </w:rPr>
            </w:pPr>
          </w:p>
        </w:tc>
        <w:tc>
          <w:tcPr>
            <w:tcW w:w="713" w:type="dxa"/>
            <w:vMerge/>
          </w:tcPr>
          <w:p w14:paraId="0D2A477D" w14:textId="77777777" w:rsidR="00C66729" w:rsidRPr="002B55E9" w:rsidRDefault="00C66729" w:rsidP="00C66729">
            <w:pPr>
              <w:pStyle w:val="lgy-"/>
              <w:rPr>
                <w:rFonts w:eastAsia="宋体"/>
              </w:rPr>
            </w:pPr>
          </w:p>
        </w:tc>
        <w:tc>
          <w:tcPr>
            <w:tcW w:w="993" w:type="dxa"/>
          </w:tcPr>
          <w:p w14:paraId="2A054534" w14:textId="77777777" w:rsidR="00C66729" w:rsidRPr="002B55E9" w:rsidRDefault="00C66729" w:rsidP="00C66729">
            <w:pPr>
              <w:pStyle w:val="lgy-"/>
              <w:rPr>
                <w:rFonts w:eastAsia="宋体"/>
                <w:kern w:val="2"/>
              </w:rPr>
            </w:pPr>
            <w:r w:rsidRPr="002B55E9">
              <w:rPr>
                <w:rFonts w:eastAsia="宋体" w:hint="eastAsia"/>
                <w:kern w:val="2"/>
              </w:rPr>
              <w:t>甲醛</w:t>
            </w:r>
          </w:p>
        </w:tc>
        <w:tc>
          <w:tcPr>
            <w:tcW w:w="850" w:type="dxa"/>
            <w:vMerge/>
          </w:tcPr>
          <w:p w14:paraId="273C979C" w14:textId="77777777" w:rsidR="00C66729" w:rsidRPr="002B55E9" w:rsidRDefault="00C66729" w:rsidP="00C66729">
            <w:pPr>
              <w:pStyle w:val="lgy-"/>
              <w:rPr>
                <w:rFonts w:eastAsia="宋体"/>
              </w:rPr>
            </w:pPr>
          </w:p>
        </w:tc>
        <w:tc>
          <w:tcPr>
            <w:tcW w:w="2122" w:type="dxa"/>
            <w:vMerge w:val="restart"/>
          </w:tcPr>
          <w:p w14:paraId="5A910C98" w14:textId="77777777" w:rsidR="00C66729" w:rsidRPr="002B55E9" w:rsidRDefault="00C66729" w:rsidP="00C66729">
            <w:pPr>
              <w:pStyle w:val="lgy-"/>
              <w:rPr>
                <w:rFonts w:eastAsia="宋体"/>
              </w:rPr>
            </w:pPr>
            <w:r w:rsidRPr="002B55E9">
              <w:rPr>
                <w:rFonts w:eastAsia="宋体" w:hint="eastAsia"/>
              </w:rPr>
              <w:t>《大气</w:t>
            </w:r>
            <w:r w:rsidRPr="002B55E9">
              <w:rPr>
                <w:rFonts w:eastAsia="宋体"/>
              </w:rPr>
              <w:t>污染物综合</w:t>
            </w:r>
            <w:r w:rsidRPr="002B55E9">
              <w:rPr>
                <w:rFonts w:eastAsia="宋体" w:hint="eastAsia"/>
              </w:rPr>
              <w:t>排放标准》</w:t>
            </w:r>
            <w:r w:rsidRPr="002B55E9">
              <w:rPr>
                <w:rFonts w:eastAsia="宋体"/>
              </w:rPr>
              <w:t>（</w:t>
            </w:r>
            <w:r w:rsidRPr="002B55E9">
              <w:rPr>
                <w:rFonts w:eastAsia="宋体" w:hint="eastAsia"/>
              </w:rPr>
              <w:t>GB16297-1996</w:t>
            </w:r>
            <w:r w:rsidRPr="002B55E9">
              <w:rPr>
                <w:rFonts w:eastAsia="宋体"/>
              </w:rPr>
              <w:t>）</w:t>
            </w:r>
          </w:p>
        </w:tc>
        <w:tc>
          <w:tcPr>
            <w:tcW w:w="2482" w:type="dxa"/>
          </w:tcPr>
          <w:p w14:paraId="099D03A8" w14:textId="77777777" w:rsidR="00C66729" w:rsidRPr="002B55E9" w:rsidRDefault="00C66729" w:rsidP="00C66729">
            <w:pPr>
              <w:pStyle w:val="lgy-"/>
              <w:rPr>
                <w:rFonts w:eastAsia="宋体"/>
              </w:rPr>
            </w:pPr>
            <w:r w:rsidRPr="002B55E9">
              <w:rPr>
                <w:rFonts w:eastAsia="宋体" w:hint="eastAsia"/>
              </w:rPr>
              <w:t>0.2</w:t>
            </w:r>
          </w:p>
        </w:tc>
        <w:tc>
          <w:tcPr>
            <w:tcW w:w="1064" w:type="dxa"/>
          </w:tcPr>
          <w:p w14:paraId="67A1EEBD" w14:textId="7F8398D4" w:rsidR="00C66729" w:rsidRPr="002B55E9" w:rsidRDefault="00C66729" w:rsidP="00C66729">
            <w:pPr>
              <w:pStyle w:val="lgy-"/>
              <w:rPr>
                <w:rFonts w:eastAsia="宋体"/>
              </w:rPr>
            </w:pPr>
            <w:r w:rsidRPr="002B55E9">
              <w:rPr>
                <w:rFonts w:eastAsia="宋体"/>
              </w:rPr>
              <w:t>9.78E-05</w:t>
            </w:r>
          </w:p>
        </w:tc>
      </w:tr>
      <w:tr w:rsidR="002B55E9" w:rsidRPr="002B55E9" w14:paraId="25870D54" w14:textId="77777777" w:rsidTr="00C66729">
        <w:trPr>
          <w:trHeight w:val="283"/>
        </w:trPr>
        <w:tc>
          <w:tcPr>
            <w:tcW w:w="490" w:type="dxa"/>
            <w:vMerge/>
          </w:tcPr>
          <w:p w14:paraId="158A76BD" w14:textId="77777777" w:rsidR="00C66729" w:rsidRPr="002B55E9" w:rsidRDefault="00C66729" w:rsidP="00C66729">
            <w:pPr>
              <w:pStyle w:val="lgy-"/>
              <w:rPr>
                <w:rFonts w:eastAsia="宋体"/>
              </w:rPr>
            </w:pPr>
          </w:p>
        </w:tc>
        <w:tc>
          <w:tcPr>
            <w:tcW w:w="923" w:type="dxa"/>
            <w:vMerge/>
          </w:tcPr>
          <w:p w14:paraId="7BF9F96A" w14:textId="77777777" w:rsidR="00C66729" w:rsidRPr="002B55E9" w:rsidRDefault="00C66729" w:rsidP="00C66729">
            <w:pPr>
              <w:pStyle w:val="lgy-"/>
              <w:rPr>
                <w:rFonts w:eastAsia="宋体"/>
              </w:rPr>
            </w:pPr>
          </w:p>
        </w:tc>
        <w:tc>
          <w:tcPr>
            <w:tcW w:w="713" w:type="dxa"/>
            <w:vMerge/>
          </w:tcPr>
          <w:p w14:paraId="3FE23FA9" w14:textId="77777777" w:rsidR="00C66729" w:rsidRPr="002B55E9" w:rsidRDefault="00C66729" w:rsidP="00C66729">
            <w:pPr>
              <w:pStyle w:val="lgy-"/>
              <w:rPr>
                <w:rFonts w:eastAsia="宋体"/>
              </w:rPr>
            </w:pPr>
          </w:p>
        </w:tc>
        <w:tc>
          <w:tcPr>
            <w:tcW w:w="993" w:type="dxa"/>
          </w:tcPr>
          <w:p w14:paraId="65B0FC73" w14:textId="77777777" w:rsidR="00C66729" w:rsidRPr="002B55E9" w:rsidRDefault="00C66729" w:rsidP="00C66729">
            <w:pPr>
              <w:pStyle w:val="lgy-"/>
              <w:rPr>
                <w:rFonts w:eastAsia="宋体"/>
                <w:kern w:val="2"/>
              </w:rPr>
            </w:pPr>
            <w:r w:rsidRPr="002B55E9">
              <w:rPr>
                <w:rFonts w:eastAsia="宋体" w:hint="eastAsia"/>
                <w:kern w:val="2"/>
              </w:rPr>
              <w:t>硫酸</w:t>
            </w:r>
          </w:p>
        </w:tc>
        <w:tc>
          <w:tcPr>
            <w:tcW w:w="850" w:type="dxa"/>
            <w:vMerge/>
          </w:tcPr>
          <w:p w14:paraId="51D1C19C" w14:textId="77777777" w:rsidR="00C66729" w:rsidRPr="002B55E9" w:rsidRDefault="00C66729" w:rsidP="00C66729">
            <w:pPr>
              <w:pStyle w:val="lgy-"/>
              <w:rPr>
                <w:rFonts w:eastAsia="宋体"/>
              </w:rPr>
            </w:pPr>
          </w:p>
        </w:tc>
        <w:tc>
          <w:tcPr>
            <w:tcW w:w="2122" w:type="dxa"/>
            <w:vMerge/>
          </w:tcPr>
          <w:p w14:paraId="76FD64D8" w14:textId="77777777" w:rsidR="00C66729" w:rsidRPr="002B55E9" w:rsidRDefault="00C66729" w:rsidP="00C66729">
            <w:pPr>
              <w:pStyle w:val="lgy-"/>
              <w:rPr>
                <w:rFonts w:eastAsia="宋体"/>
              </w:rPr>
            </w:pPr>
          </w:p>
        </w:tc>
        <w:tc>
          <w:tcPr>
            <w:tcW w:w="2482" w:type="dxa"/>
          </w:tcPr>
          <w:p w14:paraId="7212B73D" w14:textId="77777777" w:rsidR="00C66729" w:rsidRPr="002B55E9" w:rsidRDefault="00C66729" w:rsidP="00C66729">
            <w:pPr>
              <w:pStyle w:val="lgy-"/>
              <w:rPr>
                <w:rFonts w:eastAsia="宋体"/>
              </w:rPr>
            </w:pPr>
            <w:r w:rsidRPr="002B55E9">
              <w:rPr>
                <w:rFonts w:eastAsia="宋体" w:hint="eastAsia"/>
              </w:rPr>
              <w:t>1.2</w:t>
            </w:r>
          </w:p>
        </w:tc>
        <w:tc>
          <w:tcPr>
            <w:tcW w:w="1064" w:type="dxa"/>
          </w:tcPr>
          <w:p w14:paraId="530C9A44" w14:textId="4C74A6DA" w:rsidR="00C66729" w:rsidRPr="002B55E9" w:rsidRDefault="00C66729" w:rsidP="00C66729">
            <w:pPr>
              <w:pStyle w:val="lgy-"/>
              <w:rPr>
                <w:rFonts w:eastAsia="宋体"/>
              </w:rPr>
            </w:pPr>
            <w:r w:rsidRPr="002B55E9">
              <w:rPr>
                <w:rFonts w:eastAsia="宋体"/>
              </w:rPr>
              <w:t>2.21E-04</w:t>
            </w:r>
          </w:p>
        </w:tc>
      </w:tr>
      <w:tr w:rsidR="002B55E9" w:rsidRPr="002B55E9" w14:paraId="3C86170A" w14:textId="77777777" w:rsidTr="00C66729">
        <w:trPr>
          <w:trHeight w:val="283"/>
        </w:trPr>
        <w:tc>
          <w:tcPr>
            <w:tcW w:w="490" w:type="dxa"/>
            <w:vMerge/>
          </w:tcPr>
          <w:p w14:paraId="49171533" w14:textId="77777777" w:rsidR="00C66729" w:rsidRPr="002B55E9" w:rsidRDefault="00C66729" w:rsidP="00C66729">
            <w:pPr>
              <w:pStyle w:val="lgy-"/>
              <w:rPr>
                <w:rFonts w:eastAsia="宋体"/>
              </w:rPr>
            </w:pPr>
          </w:p>
        </w:tc>
        <w:tc>
          <w:tcPr>
            <w:tcW w:w="923" w:type="dxa"/>
            <w:vMerge/>
          </w:tcPr>
          <w:p w14:paraId="15951C86" w14:textId="77777777" w:rsidR="00C66729" w:rsidRPr="002B55E9" w:rsidRDefault="00C66729" w:rsidP="00C66729">
            <w:pPr>
              <w:pStyle w:val="lgy-"/>
              <w:rPr>
                <w:rFonts w:eastAsia="宋体"/>
              </w:rPr>
            </w:pPr>
          </w:p>
        </w:tc>
        <w:tc>
          <w:tcPr>
            <w:tcW w:w="713" w:type="dxa"/>
            <w:vMerge/>
          </w:tcPr>
          <w:p w14:paraId="1473EFBD" w14:textId="77777777" w:rsidR="00C66729" w:rsidRPr="002B55E9" w:rsidRDefault="00C66729" w:rsidP="00C66729">
            <w:pPr>
              <w:pStyle w:val="lgy-"/>
              <w:rPr>
                <w:rFonts w:eastAsia="宋体"/>
              </w:rPr>
            </w:pPr>
          </w:p>
        </w:tc>
        <w:tc>
          <w:tcPr>
            <w:tcW w:w="993" w:type="dxa"/>
          </w:tcPr>
          <w:p w14:paraId="3EC0DBD5" w14:textId="77777777" w:rsidR="00C66729" w:rsidRPr="002B55E9" w:rsidRDefault="00C66729" w:rsidP="00C66729">
            <w:pPr>
              <w:pStyle w:val="lgy-"/>
              <w:rPr>
                <w:rFonts w:eastAsia="宋体"/>
                <w:kern w:val="2"/>
              </w:rPr>
            </w:pPr>
            <w:r w:rsidRPr="002B55E9">
              <w:rPr>
                <w:rFonts w:eastAsia="宋体" w:hint="eastAsia"/>
                <w:kern w:val="2"/>
              </w:rPr>
              <w:t>氯化氢</w:t>
            </w:r>
          </w:p>
        </w:tc>
        <w:tc>
          <w:tcPr>
            <w:tcW w:w="850" w:type="dxa"/>
            <w:vMerge/>
          </w:tcPr>
          <w:p w14:paraId="07BE60BC" w14:textId="77777777" w:rsidR="00C66729" w:rsidRPr="002B55E9" w:rsidRDefault="00C66729" w:rsidP="00C66729">
            <w:pPr>
              <w:pStyle w:val="lgy-"/>
              <w:rPr>
                <w:rFonts w:eastAsia="宋体"/>
              </w:rPr>
            </w:pPr>
          </w:p>
        </w:tc>
        <w:tc>
          <w:tcPr>
            <w:tcW w:w="2122" w:type="dxa"/>
            <w:vMerge/>
          </w:tcPr>
          <w:p w14:paraId="2D91C46B" w14:textId="77777777" w:rsidR="00C66729" w:rsidRPr="002B55E9" w:rsidRDefault="00C66729" w:rsidP="00C66729">
            <w:pPr>
              <w:pStyle w:val="lgy-"/>
              <w:rPr>
                <w:rFonts w:eastAsia="宋体"/>
              </w:rPr>
            </w:pPr>
          </w:p>
        </w:tc>
        <w:tc>
          <w:tcPr>
            <w:tcW w:w="2482" w:type="dxa"/>
          </w:tcPr>
          <w:p w14:paraId="4C291895" w14:textId="77777777" w:rsidR="00C66729" w:rsidRPr="002B55E9" w:rsidRDefault="00C66729" w:rsidP="00C66729">
            <w:pPr>
              <w:pStyle w:val="lgy-"/>
              <w:rPr>
                <w:rFonts w:eastAsia="宋体"/>
              </w:rPr>
            </w:pPr>
            <w:r w:rsidRPr="002B55E9">
              <w:rPr>
                <w:rFonts w:eastAsia="宋体" w:hint="eastAsia"/>
              </w:rPr>
              <w:t>0.2</w:t>
            </w:r>
          </w:p>
        </w:tc>
        <w:tc>
          <w:tcPr>
            <w:tcW w:w="1064" w:type="dxa"/>
          </w:tcPr>
          <w:p w14:paraId="5FA0F28E" w14:textId="3A466B4A" w:rsidR="00C66729" w:rsidRPr="002B55E9" w:rsidRDefault="00C66729" w:rsidP="00C66729">
            <w:pPr>
              <w:pStyle w:val="lgy-"/>
              <w:rPr>
                <w:rFonts w:eastAsia="宋体"/>
              </w:rPr>
            </w:pPr>
            <w:r w:rsidRPr="002B55E9">
              <w:rPr>
                <w:rFonts w:eastAsia="宋体"/>
              </w:rPr>
              <w:t>4.37E-07</w:t>
            </w:r>
          </w:p>
        </w:tc>
      </w:tr>
      <w:tr w:rsidR="002B55E9" w:rsidRPr="002B55E9" w14:paraId="5CDE6E96" w14:textId="77777777" w:rsidTr="00C66729">
        <w:trPr>
          <w:trHeight w:val="283"/>
        </w:trPr>
        <w:tc>
          <w:tcPr>
            <w:tcW w:w="490" w:type="dxa"/>
          </w:tcPr>
          <w:p w14:paraId="7F2EB238" w14:textId="77777777" w:rsidR="00C66729" w:rsidRPr="002B55E9" w:rsidRDefault="00C66729" w:rsidP="00C66729">
            <w:pPr>
              <w:pStyle w:val="lgy-"/>
              <w:rPr>
                <w:rFonts w:eastAsia="宋体"/>
              </w:rPr>
            </w:pPr>
            <w:r w:rsidRPr="002B55E9">
              <w:rPr>
                <w:rFonts w:eastAsia="宋体" w:hint="eastAsia"/>
              </w:rPr>
              <w:t>3</w:t>
            </w:r>
          </w:p>
        </w:tc>
        <w:tc>
          <w:tcPr>
            <w:tcW w:w="923" w:type="dxa"/>
          </w:tcPr>
          <w:p w14:paraId="3D781B82" w14:textId="77777777" w:rsidR="00C66729" w:rsidRPr="002B55E9" w:rsidRDefault="00C66729" w:rsidP="00C66729">
            <w:pPr>
              <w:pStyle w:val="lgy-"/>
              <w:rPr>
                <w:rFonts w:eastAsia="宋体"/>
              </w:rPr>
            </w:pPr>
            <w:r w:rsidRPr="002B55E9">
              <w:rPr>
                <w:rFonts w:eastAsia="宋体" w:hint="eastAsia"/>
              </w:rPr>
              <w:t>罐区三</w:t>
            </w:r>
          </w:p>
        </w:tc>
        <w:tc>
          <w:tcPr>
            <w:tcW w:w="713" w:type="dxa"/>
          </w:tcPr>
          <w:p w14:paraId="43C42C28" w14:textId="77777777" w:rsidR="00C66729" w:rsidRPr="002B55E9" w:rsidRDefault="00C66729" w:rsidP="00C66729">
            <w:pPr>
              <w:pStyle w:val="lgy-"/>
              <w:rPr>
                <w:rFonts w:eastAsia="宋体"/>
              </w:rPr>
            </w:pPr>
            <w:r w:rsidRPr="002B55E9">
              <w:rPr>
                <w:rFonts w:eastAsia="宋体" w:hint="eastAsia"/>
              </w:rPr>
              <w:t>大小呼吸</w:t>
            </w:r>
          </w:p>
        </w:tc>
        <w:tc>
          <w:tcPr>
            <w:tcW w:w="993" w:type="dxa"/>
          </w:tcPr>
          <w:p w14:paraId="57DEE3E1" w14:textId="089A5D29" w:rsidR="00C66729" w:rsidRPr="002B55E9" w:rsidRDefault="00C66729" w:rsidP="00C66729">
            <w:pPr>
              <w:pStyle w:val="lgy-"/>
              <w:rPr>
                <w:rFonts w:eastAsia="宋体"/>
              </w:rPr>
            </w:pPr>
            <w:r w:rsidRPr="002B55E9">
              <w:rPr>
                <w:rFonts w:eastAsia="宋体"/>
              </w:rPr>
              <w:t>非甲烷总烃</w:t>
            </w:r>
          </w:p>
        </w:tc>
        <w:tc>
          <w:tcPr>
            <w:tcW w:w="850" w:type="dxa"/>
          </w:tcPr>
          <w:p w14:paraId="1CD9176A" w14:textId="15F8677C" w:rsidR="00C66729" w:rsidRPr="002B55E9" w:rsidRDefault="00D4685B" w:rsidP="00C66729">
            <w:pPr>
              <w:pStyle w:val="lgy-"/>
              <w:rPr>
                <w:rFonts w:eastAsia="宋体"/>
              </w:rPr>
            </w:pPr>
            <w:r w:rsidRPr="002B55E9">
              <w:rPr>
                <w:rFonts w:eastAsia="宋体" w:hint="eastAsia"/>
              </w:rPr>
              <w:t>加强日常维护管理</w:t>
            </w:r>
          </w:p>
        </w:tc>
        <w:tc>
          <w:tcPr>
            <w:tcW w:w="2122" w:type="dxa"/>
          </w:tcPr>
          <w:p w14:paraId="4F640DD5" w14:textId="77777777" w:rsidR="00C66729" w:rsidRPr="002B55E9" w:rsidRDefault="00C66729" w:rsidP="00C66729">
            <w:pPr>
              <w:pStyle w:val="lgy-"/>
              <w:rPr>
                <w:rFonts w:eastAsia="宋体"/>
              </w:rPr>
            </w:pPr>
            <w:r w:rsidRPr="002B55E9">
              <w:rPr>
                <w:rFonts w:eastAsia="宋体" w:hint="eastAsia"/>
              </w:rPr>
              <w:t>《挥发性有机物无组织排放标准》（</w:t>
            </w:r>
            <w:r w:rsidRPr="002B55E9">
              <w:rPr>
                <w:rFonts w:eastAsia="宋体" w:hint="eastAsia"/>
              </w:rPr>
              <w:t>GB37822-2019</w:t>
            </w:r>
            <w:r w:rsidRPr="002B55E9">
              <w:rPr>
                <w:rFonts w:eastAsia="宋体" w:hint="eastAsia"/>
              </w:rPr>
              <w:t>）</w:t>
            </w:r>
          </w:p>
        </w:tc>
        <w:tc>
          <w:tcPr>
            <w:tcW w:w="2482" w:type="dxa"/>
          </w:tcPr>
          <w:p w14:paraId="4C73736E" w14:textId="77777777" w:rsidR="00C66729" w:rsidRPr="002B55E9" w:rsidRDefault="00C66729" w:rsidP="00C66729">
            <w:pPr>
              <w:pStyle w:val="lgy-"/>
              <w:rPr>
                <w:rFonts w:eastAsia="宋体"/>
              </w:rPr>
            </w:pPr>
            <w:r w:rsidRPr="002B55E9">
              <w:rPr>
                <w:rFonts w:eastAsia="宋体" w:hint="eastAsia"/>
              </w:rPr>
              <w:t>厂界无组织监控点</w:t>
            </w:r>
            <w:r w:rsidRPr="002B55E9">
              <w:rPr>
                <w:rFonts w:eastAsia="宋体"/>
              </w:rPr>
              <w:t>4.0mg/m3</w:t>
            </w:r>
            <w:r w:rsidRPr="002B55E9">
              <w:rPr>
                <w:rFonts w:eastAsia="宋体" w:hint="eastAsia"/>
              </w:rPr>
              <w:t>；厂房外监控点</w:t>
            </w:r>
            <w:r w:rsidRPr="002B55E9">
              <w:rPr>
                <w:rFonts w:eastAsia="宋体"/>
              </w:rPr>
              <w:t>6 mg/m</w:t>
            </w:r>
            <w:r w:rsidRPr="002B55E9">
              <w:rPr>
                <w:rFonts w:eastAsia="宋体"/>
                <w:vertAlign w:val="superscript"/>
              </w:rPr>
              <w:t>3</w:t>
            </w:r>
            <w:r w:rsidRPr="002B55E9">
              <w:rPr>
                <w:rFonts w:eastAsia="宋体" w:hint="eastAsia"/>
              </w:rPr>
              <w:t>（</w:t>
            </w:r>
            <w:r w:rsidRPr="002B55E9">
              <w:rPr>
                <w:rFonts w:eastAsia="宋体"/>
              </w:rPr>
              <w:t>1 h</w:t>
            </w:r>
            <w:r w:rsidRPr="002B55E9">
              <w:rPr>
                <w:rFonts w:eastAsia="宋体" w:hint="eastAsia"/>
              </w:rPr>
              <w:t>平均浓度值）、</w:t>
            </w:r>
            <w:r w:rsidRPr="002B55E9">
              <w:rPr>
                <w:rFonts w:eastAsia="宋体"/>
              </w:rPr>
              <w:t>20 mg/m</w:t>
            </w:r>
            <w:r w:rsidRPr="002B55E9">
              <w:rPr>
                <w:rFonts w:eastAsia="宋体"/>
                <w:vertAlign w:val="superscript"/>
              </w:rPr>
              <w:t>3</w:t>
            </w:r>
            <w:r w:rsidRPr="002B55E9">
              <w:rPr>
                <w:rFonts w:eastAsia="宋体" w:hint="eastAsia"/>
              </w:rPr>
              <w:t>（任意一次浓度值）</w:t>
            </w:r>
          </w:p>
        </w:tc>
        <w:tc>
          <w:tcPr>
            <w:tcW w:w="1064" w:type="dxa"/>
          </w:tcPr>
          <w:p w14:paraId="04200EA4" w14:textId="1402FB09" w:rsidR="00C66729" w:rsidRPr="002B55E9" w:rsidRDefault="00C66729" w:rsidP="00C66729">
            <w:pPr>
              <w:pStyle w:val="lgy-"/>
              <w:rPr>
                <w:rFonts w:eastAsia="宋体"/>
              </w:rPr>
            </w:pPr>
            <w:r w:rsidRPr="002B55E9">
              <w:rPr>
                <w:rFonts w:eastAsia="宋体"/>
              </w:rPr>
              <w:t>0.508</w:t>
            </w:r>
          </w:p>
        </w:tc>
      </w:tr>
      <w:tr w:rsidR="002B55E9" w:rsidRPr="002B55E9" w14:paraId="545A220D" w14:textId="77777777" w:rsidTr="00C66729">
        <w:trPr>
          <w:trHeight w:val="283"/>
        </w:trPr>
        <w:tc>
          <w:tcPr>
            <w:tcW w:w="490" w:type="dxa"/>
          </w:tcPr>
          <w:p w14:paraId="5C45557E" w14:textId="77777777" w:rsidR="00C66729" w:rsidRPr="002B55E9" w:rsidRDefault="00C66729" w:rsidP="00C66729">
            <w:pPr>
              <w:pStyle w:val="lgy-"/>
              <w:rPr>
                <w:rFonts w:eastAsia="宋体"/>
              </w:rPr>
            </w:pPr>
            <w:r w:rsidRPr="002B55E9">
              <w:rPr>
                <w:rFonts w:eastAsia="宋体" w:hint="eastAsia"/>
              </w:rPr>
              <w:t>4</w:t>
            </w:r>
          </w:p>
        </w:tc>
        <w:tc>
          <w:tcPr>
            <w:tcW w:w="923" w:type="dxa"/>
          </w:tcPr>
          <w:p w14:paraId="6AEDBD47" w14:textId="77777777" w:rsidR="00C66729" w:rsidRPr="002B55E9" w:rsidRDefault="00C66729" w:rsidP="00C66729">
            <w:pPr>
              <w:pStyle w:val="lgy-"/>
              <w:rPr>
                <w:rFonts w:eastAsia="宋体"/>
              </w:rPr>
            </w:pPr>
            <w:r w:rsidRPr="002B55E9">
              <w:rPr>
                <w:rFonts w:eastAsia="宋体" w:hint="eastAsia"/>
              </w:rPr>
              <w:t>酒精</w:t>
            </w:r>
            <w:r w:rsidRPr="002B55E9">
              <w:rPr>
                <w:rFonts w:eastAsia="宋体"/>
              </w:rPr>
              <w:t>罐区</w:t>
            </w:r>
          </w:p>
        </w:tc>
        <w:tc>
          <w:tcPr>
            <w:tcW w:w="713" w:type="dxa"/>
          </w:tcPr>
          <w:p w14:paraId="3D834C52" w14:textId="77777777" w:rsidR="00C66729" w:rsidRPr="002B55E9" w:rsidRDefault="00C66729" w:rsidP="00C66729">
            <w:pPr>
              <w:pStyle w:val="lgy-"/>
              <w:rPr>
                <w:rFonts w:eastAsia="宋体"/>
              </w:rPr>
            </w:pPr>
            <w:r w:rsidRPr="002B55E9">
              <w:rPr>
                <w:rFonts w:eastAsia="宋体" w:hint="eastAsia"/>
              </w:rPr>
              <w:t>大小呼吸</w:t>
            </w:r>
          </w:p>
        </w:tc>
        <w:tc>
          <w:tcPr>
            <w:tcW w:w="993" w:type="dxa"/>
          </w:tcPr>
          <w:p w14:paraId="7113C59F" w14:textId="616E3CDF" w:rsidR="00C66729" w:rsidRPr="002B55E9" w:rsidRDefault="00C66729" w:rsidP="00C66729">
            <w:pPr>
              <w:pStyle w:val="lgy-"/>
              <w:rPr>
                <w:rFonts w:eastAsia="宋体"/>
              </w:rPr>
            </w:pPr>
            <w:r w:rsidRPr="002B55E9">
              <w:rPr>
                <w:rFonts w:eastAsia="宋体" w:hint="eastAsia"/>
              </w:rPr>
              <w:t>非甲烷总烃</w:t>
            </w:r>
          </w:p>
        </w:tc>
        <w:tc>
          <w:tcPr>
            <w:tcW w:w="850" w:type="dxa"/>
          </w:tcPr>
          <w:p w14:paraId="1E914AD1" w14:textId="7F0D01E4" w:rsidR="00C66729" w:rsidRPr="002B55E9" w:rsidRDefault="00D4685B" w:rsidP="00C66729">
            <w:pPr>
              <w:pStyle w:val="lgy-"/>
              <w:rPr>
                <w:rFonts w:eastAsia="宋体"/>
              </w:rPr>
            </w:pPr>
            <w:r w:rsidRPr="002B55E9">
              <w:rPr>
                <w:rFonts w:eastAsia="宋体" w:hint="eastAsia"/>
              </w:rPr>
              <w:t>加强日常维护管理</w:t>
            </w:r>
          </w:p>
        </w:tc>
        <w:tc>
          <w:tcPr>
            <w:tcW w:w="2122" w:type="dxa"/>
          </w:tcPr>
          <w:p w14:paraId="46EFF6B0" w14:textId="77777777" w:rsidR="00C66729" w:rsidRPr="002B55E9" w:rsidRDefault="00C66729" w:rsidP="00C66729">
            <w:pPr>
              <w:pStyle w:val="lgy-"/>
              <w:rPr>
                <w:rFonts w:eastAsia="宋体"/>
              </w:rPr>
            </w:pPr>
            <w:r w:rsidRPr="002B55E9">
              <w:rPr>
                <w:rFonts w:eastAsia="宋体" w:hint="eastAsia"/>
              </w:rPr>
              <w:t>《挥发性有机物无组织排放标准》（</w:t>
            </w:r>
            <w:r w:rsidRPr="002B55E9">
              <w:rPr>
                <w:rFonts w:eastAsia="宋体" w:hint="eastAsia"/>
              </w:rPr>
              <w:t>GB37822-2019</w:t>
            </w:r>
            <w:r w:rsidRPr="002B55E9">
              <w:rPr>
                <w:rFonts w:eastAsia="宋体" w:hint="eastAsia"/>
              </w:rPr>
              <w:t>）</w:t>
            </w:r>
          </w:p>
        </w:tc>
        <w:tc>
          <w:tcPr>
            <w:tcW w:w="2482" w:type="dxa"/>
          </w:tcPr>
          <w:p w14:paraId="7ED791B4" w14:textId="77777777" w:rsidR="00C66729" w:rsidRPr="002B55E9" w:rsidRDefault="00C66729" w:rsidP="00C66729">
            <w:pPr>
              <w:pStyle w:val="lgy-"/>
              <w:rPr>
                <w:rFonts w:eastAsia="宋体"/>
              </w:rPr>
            </w:pPr>
            <w:r w:rsidRPr="002B55E9">
              <w:rPr>
                <w:rFonts w:eastAsia="宋体" w:hint="eastAsia"/>
              </w:rPr>
              <w:t>厂界无组织监控点</w:t>
            </w:r>
            <w:r w:rsidRPr="002B55E9">
              <w:rPr>
                <w:rFonts w:eastAsia="宋体"/>
              </w:rPr>
              <w:t>4.0mg/m3</w:t>
            </w:r>
            <w:r w:rsidRPr="002B55E9">
              <w:rPr>
                <w:rFonts w:eastAsia="宋体" w:hint="eastAsia"/>
              </w:rPr>
              <w:t>；厂房外监控点</w:t>
            </w:r>
            <w:r w:rsidRPr="002B55E9">
              <w:rPr>
                <w:rFonts w:eastAsia="宋体"/>
              </w:rPr>
              <w:t>6 mg/m</w:t>
            </w:r>
            <w:r w:rsidRPr="002B55E9">
              <w:rPr>
                <w:rFonts w:eastAsia="宋体"/>
                <w:vertAlign w:val="superscript"/>
              </w:rPr>
              <w:t>3</w:t>
            </w:r>
            <w:r w:rsidRPr="002B55E9">
              <w:rPr>
                <w:rFonts w:eastAsia="宋体" w:hint="eastAsia"/>
              </w:rPr>
              <w:t>（</w:t>
            </w:r>
            <w:r w:rsidRPr="002B55E9">
              <w:rPr>
                <w:rFonts w:eastAsia="宋体"/>
              </w:rPr>
              <w:t>1 h</w:t>
            </w:r>
            <w:r w:rsidRPr="002B55E9">
              <w:rPr>
                <w:rFonts w:eastAsia="宋体" w:hint="eastAsia"/>
              </w:rPr>
              <w:t>平均浓度值）、</w:t>
            </w:r>
            <w:r w:rsidRPr="002B55E9">
              <w:rPr>
                <w:rFonts w:eastAsia="宋体"/>
              </w:rPr>
              <w:t>20 mg/m</w:t>
            </w:r>
            <w:r w:rsidRPr="002B55E9">
              <w:rPr>
                <w:rFonts w:eastAsia="宋体"/>
                <w:vertAlign w:val="superscript"/>
              </w:rPr>
              <w:t>3</w:t>
            </w:r>
            <w:r w:rsidRPr="002B55E9">
              <w:rPr>
                <w:rFonts w:eastAsia="宋体" w:hint="eastAsia"/>
              </w:rPr>
              <w:t>（任意一次浓度值）</w:t>
            </w:r>
          </w:p>
        </w:tc>
        <w:tc>
          <w:tcPr>
            <w:tcW w:w="1064" w:type="dxa"/>
          </w:tcPr>
          <w:p w14:paraId="2EFDA971" w14:textId="3749B6AD" w:rsidR="00C66729" w:rsidRPr="002B55E9" w:rsidRDefault="00C66729" w:rsidP="00C66729">
            <w:pPr>
              <w:pStyle w:val="lgy-"/>
              <w:rPr>
                <w:rFonts w:eastAsia="宋体"/>
              </w:rPr>
            </w:pPr>
            <w:r w:rsidRPr="002B55E9">
              <w:rPr>
                <w:rFonts w:eastAsia="宋体"/>
              </w:rPr>
              <w:t>0.390</w:t>
            </w:r>
          </w:p>
        </w:tc>
      </w:tr>
      <w:tr w:rsidR="002B55E9" w:rsidRPr="002B55E9" w14:paraId="6F89E9E3" w14:textId="77777777" w:rsidTr="00C66729">
        <w:trPr>
          <w:trHeight w:val="283"/>
        </w:trPr>
        <w:tc>
          <w:tcPr>
            <w:tcW w:w="490" w:type="dxa"/>
          </w:tcPr>
          <w:p w14:paraId="20D929F0" w14:textId="77777777" w:rsidR="00C66729" w:rsidRPr="002B55E9" w:rsidRDefault="00C66729" w:rsidP="00C66729">
            <w:pPr>
              <w:pStyle w:val="lgy-"/>
              <w:rPr>
                <w:rFonts w:eastAsia="宋体"/>
              </w:rPr>
            </w:pPr>
            <w:r w:rsidRPr="002B55E9">
              <w:rPr>
                <w:rFonts w:eastAsia="宋体" w:hint="eastAsia"/>
              </w:rPr>
              <w:t>5</w:t>
            </w:r>
          </w:p>
        </w:tc>
        <w:tc>
          <w:tcPr>
            <w:tcW w:w="923" w:type="dxa"/>
          </w:tcPr>
          <w:p w14:paraId="462A8E2A" w14:textId="77777777" w:rsidR="00C66729" w:rsidRPr="002B55E9" w:rsidRDefault="00C66729" w:rsidP="00C66729">
            <w:pPr>
              <w:pStyle w:val="lgy-"/>
              <w:rPr>
                <w:rFonts w:eastAsia="宋体"/>
              </w:rPr>
            </w:pPr>
            <w:r w:rsidRPr="002B55E9">
              <w:rPr>
                <w:rFonts w:eastAsia="宋体" w:hint="eastAsia"/>
              </w:rPr>
              <w:t>设备</w:t>
            </w:r>
            <w:r w:rsidRPr="002B55E9">
              <w:rPr>
                <w:rFonts w:eastAsia="宋体"/>
              </w:rPr>
              <w:t>及管线密封点</w:t>
            </w:r>
          </w:p>
        </w:tc>
        <w:tc>
          <w:tcPr>
            <w:tcW w:w="713" w:type="dxa"/>
          </w:tcPr>
          <w:p w14:paraId="699CC104" w14:textId="77777777" w:rsidR="00C66729" w:rsidRPr="002B55E9" w:rsidRDefault="00C66729" w:rsidP="00C66729">
            <w:pPr>
              <w:pStyle w:val="lgy-"/>
              <w:rPr>
                <w:rFonts w:eastAsia="宋体"/>
              </w:rPr>
            </w:pPr>
            <w:r w:rsidRPr="002B55E9">
              <w:rPr>
                <w:rFonts w:eastAsia="宋体" w:hint="eastAsia"/>
              </w:rPr>
              <w:t>/</w:t>
            </w:r>
          </w:p>
        </w:tc>
        <w:tc>
          <w:tcPr>
            <w:tcW w:w="993" w:type="dxa"/>
          </w:tcPr>
          <w:p w14:paraId="3DA5958A" w14:textId="54D590D6" w:rsidR="00C66729" w:rsidRPr="002B55E9" w:rsidRDefault="00C66729" w:rsidP="00C66729">
            <w:pPr>
              <w:pStyle w:val="lgy-"/>
              <w:rPr>
                <w:rFonts w:eastAsia="宋体"/>
              </w:rPr>
            </w:pPr>
            <w:r w:rsidRPr="002B55E9">
              <w:rPr>
                <w:rFonts w:eastAsia="宋体" w:hint="eastAsia"/>
              </w:rPr>
              <w:t>非甲烷总烃</w:t>
            </w:r>
          </w:p>
        </w:tc>
        <w:tc>
          <w:tcPr>
            <w:tcW w:w="850" w:type="dxa"/>
          </w:tcPr>
          <w:p w14:paraId="146695DE" w14:textId="04237FB3" w:rsidR="00C66729" w:rsidRPr="002B55E9" w:rsidRDefault="00D4685B" w:rsidP="00C66729">
            <w:pPr>
              <w:pStyle w:val="lgy-"/>
              <w:rPr>
                <w:rFonts w:eastAsia="宋体"/>
              </w:rPr>
            </w:pPr>
            <w:r w:rsidRPr="002B55E9">
              <w:rPr>
                <w:rFonts w:eastAsia="宋体" w:hint="eastAsia"/>
              </w:rPr>
              <w:t>加强日常维护管理</w:t>
            </w:r>
          </w:p>
        </w:tc>
        <w:tc>
          <w:tcPr>
            <w:tcW w:w="2122" w:type="dxa"/>
          </w:tcPr>
          <w:p w14:paraId="3E902B1B" w14:textId="77777777" w:rsidR="00C66729" w:rsidRPr="002B55E9" w:rsidRDefault="00C66729" w:rsidP="00C66729">
            <w:pPr>
              <w:pStyle w:val="lgy-"/>
              <w:rPr>
                <w:rFonts w:eastAsia="宋体"/>
              </w:rPr>
            </w:pPr>
            <w:r w:rsidRPr="002B55E9">
              <w:rPr>
                <w:rFonts w:eastAsia="宋体" w:hint="eastAsia"/>
              </w:rPr>
              <w:t>《挥发性有机物无组织排放标准》（</w:t>
            </w:r>
            <w:r w:rsidRPr="002B55E9">
              <w:rPr>
                <w:rFonts w:eastAsia="宋体" w:hint="eastAsia"/>
              </w:rPr>
              <w:t>GB37822-2019</w:t>
            </w:r>
            <w:r w:rsidRPr="002B55E9">
              <w:rPr>
                <w:rFonts w:eastAsia="宋体" w:hint="eastAsia"/>
              </w:rPr>
              <w:t>）</w:t>
            </w:r>
          </w:p>
        </w:tc>
        <w:tc>
          <w:tcPr>
            <w:tcW w:w="2482" w:type="dxa"/>
          </w:tcPr>
          <w:p w14:paraId="3BD29342" w14:textId="77777777" w:rsidR="00C66729" w:rsidRPr="002B55E9" w:rsidRDefault="00C66729" w:rsidP="00C66729">
            <w:pPr>
              <w:pStyle w:val="lgy-"/>
              <w:rPr>
                <w:rFonts w:eastAsia="宋体"/>
              </w:rPr>
            </w:pPr>
            <w:r w:rsidRPr="002B55E9">
              <w:rPr>
                <w:rFonts w:eastAsia="宋体" w:hint="eastAsia"/>
              </w:rPr>
              <w:t>厂界无组织监控点</w:t>
            </w:r>
            <w:r w:rsidRPr="002B55E9">
              <w:rPr>
                <w:rFonts w:eastAsia="宋体"/>
              </w:rPr>
              <w:t>4.0mg/m3</w:t>
            </w:r>
            <w:r w:rsidRPr="002B55E9">
              <w:rPr>
                <w:rFonts w:eastAsia="宋体" w:hint="eastAsia"/>
              </w:rPr>
              <w:t>；厂房外监控点</w:t>
            </w:r>
            <w:r w:rsidRPr="002B55E9">
              <w:rPr>
                <w:rFonts w:eastAsia="宋体"/>
              </w:rPr>
              <w:t>6 mg/m</w:t>
            </w:r>
            <w:r w:rsidRPr="002B55E9">
              <w:rPr>
                <w:rFonts w:eastAsia="宋体"/>
                <w:vertAlign w:val="superscript"/>
              </w:rPr>
              <w:t>3</w:t>
            </w:r>
            <w:r w:rsidRPr="002B55E9">
              <w:rPr>
                <w:rFonts w:eastAsia="宋体" w:hint="eastAsia"/>
              </w:rPr>
              <w:t>（</w:t>
            </w:r>
            <w:r w:rsidRPr="002B55E9">
              <w:rPr>
                <w:rFonts w:eastAsia="宋体"/>
              </w:rPr>
              <w:t>1 h</w:t>
            </w:r>
            <w:r w:rsidRPr="002B55E9">
              <w:rPr>
                <w:rFonts w:eastAsia="宋体" w:hint="eastAsia"/>
              </w:rPr>
              <w:t>平均浓度值）、</w:t>
            </w:r>
            <w:r w:rsidRPr="002B55E9">
              <w:rPr>
                <w:rFonts w:eastAsia="宋体"/>
              </w:rPr>
              <w:t>20 mg/m</w:t>
            </w:r>
            <w:r w:rsidRPr="002B55E9">
              <w:rPr>
                <w:rFonts w:eastAsia="宋体"/>
                <w:vertAlign w:val="superscript"/>
              </w:rPr>
              <w:t>3</w:t>
            </w:r>
            <w:r w:rsidRPr="002B55E9">
              <w:rPr>
                <w:rFonts w:eastAsia="宋体" w:hint="eastAsia"/>
              </w:rPr>
              <w:t>（任意一次浓度值）</w:t>
            </w:r>
          </w:p>
        </w:tc>
        <w:tc>
          <w:tcPr>
            <w:tcW w:w="1064" w:type="dxa"/>
          </w:tcPr>
          <w:p w14:paraId="18682CC3" w14:textId="55A5DF37" w:rsidR="00C66729" w:rsidRPr="002B55E9" w:rsidRDefault="00C66729" w:rsidP="00C66729">
            <w:pPr>
              <w:pStyle w:val="lgy-"/>
              <w:rPr>
                <w:rFonts w:eastAsia="宋体"/>
              </w:rPr>
            </w:pPr>
            <w:r w:rsidRPr="002B55E9">
              <w:rPr>
                <w:rFonts w:eastAsia="宋体"/>
              </w:rPr>
              <w:t>0.450</w:t>
            </w:r>
          </w:p>
        </w:tc>
      </w:tr>
      <w:tr w:rsidR="002B55E9" w:rsidRPr="002B55E9" w14:paraId="707BA477" w14:textId="77777777" w:rsidTr="00C66729">
        <w:trPr>
          <w:trHeight w:val="283"/>
        </w:trPr>
        <w:tc>
          <w:tcPr>
            <w:tcW w:w="1413" w:type="dxa"/>
            <w:gridSpan w:val="2"/>
            <w:vMerge w:val="restart"/>
          </w:tcPr>
          <w:p w14:paraId="18DE9A62" w14:textId="77777777" w:rsidR="00D170E5" w:rsidRPr="002B55E9" w:rsidRDefault="00EF27AD" w:rsidP="00C66729">
            <w:pPr>
              <w:pStyle w:val="lgy-"/>
              <w:rPr>
                <w:rFonts w:eastAsia="宋体"/>
              </w:rPr>
            </w:pPr>
            <w:r w:rsidRPr="002B55E9">
              <w:rPr>
                <w:rFonts w:eastAsia="宋体"/>
              </w:rPr>
              <w:t>无组织排放总计</w:t>
            </w:r>
          </w:p>
        </w:tc>
        <w:tc>
          <w:tcPr>
            <w:tcW w:w="7160" w:type="dxa"/>
            <w:gridSpan w:val="5"/>
          </w:tcPr>
          <w:p w14:paraId="2ED57140" w14:textId="77777777" w:rsidR="00D170E5" w:rsidRPr="002B55E9" w:rsidRDefault="00EF27AD" w:rsidP="00C66729">
            <w:pPr>
              <w:pStyle w:val="lgy-"/>
              <w:rPr>
                <w:rFonts w:eastAsia="宋体"/>
              </w:rPr>
            </w:pPr>
            <w:r w:rsidRPr="002B55E9">
              <w:rPr>
                <w:rFonts w:eastAsia="宋体" w:hint="eastAsia"/>
              </w:rPr>
              <w:t>颗粒物</w:t>
            </w:r>
          </w:p>
        </w:tc>
        <w:tc>
          <w:tcPr>
            <w:tcW w:w="1064" w:type="dxa"/>
          </w:tcPr>
          <w:p w14:paraId="4D66814F" w14:textId="77777777" w:rsidR="00D170E5" w:rsidRPr="002B55E9" w:rsidRDefault="00EF27AD" w:rsidP="00C66729">
            <w:pPr>
              <w:pStyle w:val="lgy-"/>
              <w:rPr>
                <w:rFonts w:eastAsia="宋体"/>
              </w:rPr>
            </w:pPr>
            <w:r w:rsidRPr="002B55E9">
              <w:rPr>
                <w:rFonts w:eastAsia="宋体"/>
              </w:rPr>
              <w:t>0.014</w:t>
            </w:r>
          </w:p>
        </w:tc>
      </w:tr>
      <w:tr w:rsidR="002B55E9" w:rsidRPr="002B55E9" w14:paraId="7DA6D16C" w14:textId="77777777" w:rsidTr="00C66729">
        <w:trPr>
          <w:trHeight w:val="283"/>
        </w:trPr>
        <w:tc>
          <w:tcPr>
            <w:tcW w:w="1413" w:type="dxa"/>
            <w:gridSpan w:val="2"/>
            <w:vMerge/>
          </w:tcPr>
          <w:p w14:paraId="5261513B" w14:textId="77777777" w:rsidR="00D170E5" w:rsidRPr="002B55E9" w:rsidRDefault="00D170E5" w:rsidP="00C66729">
            <w:pPr>
              <w:pStyle w:val="lgy-"/>
              <w:rPr>
                <w:rFonts w:eastAsia="宋体"/>
              </w:rPr>
            </w:pPr>
          </w:p>
        </w:tc>
        <w:tc>
          <w:tcPr>
            <w:tcW w:w="7160" w:type="dxa"/>
            <w:gridSpan w:val="5"/>
          </w:tcPr>
          <w:p w14:paraId="7A7622C4" w14:textId="04E4CA20" w:rsidR="00D170E5" w:rsidRPr="002B55E9" w:rsidRDefault="00924AFA" w:rsidP="00C66729">
            <w:pPr>
              <w:pStyle w:val="lgy-"/>
              <w:rPr>
                <w:rFonts w:eastAsia="宋体"/>
              </w:rPr>
            </w:pPr>
            <w:r w:rsidRPr="002B55E9">
              <w:rPr>
                <w:rFonts w:eastAsia="宋体" w:hint="eastAsia"/>
              </w:rPr>
              <w:t>非甲烷总烃</w:t>
            </w:r>
          </w:p>
        </w:tc>
        <w:tc>
          <w:tcPr>
            <w:tcW w:w="1064" w:type="dxa"/>
          </w:tcPr>
          <w:p w14:paraId="2120AD58" w14:textId="423A8112" w:rsidR="00D170E5" w:rsidRPr="002B55E9" w:rsidRDefault="00C66729" w:rsidP="00C66729">
            <w:pPr>
              <w:pStyle w:val="lgy-"/>
              <w:rPr>
                <w:rFonts w:eastAsia="宋体"/>
              </w:rPr>
            </w:pPr>
            <w:r w:rsidRPr="002B55E9">
              <w:rPr>
                <w:rFonts w:eastAsia="宋体"/>
              </w:rPr>
              <w:t>1.521</w:t>
            </w:r>
          </w:p>
        </w:tc>
      </w:tr>
      <w:tr w:rsidR="002B55E9" w:rsidRPr="002B55E9" w14:paraId="5EFE68DE" w14:textId="77777777" w:rsidTr="00C66729">
        <w:trPr>
          <w:trHeight w:val="283"/>
        </w:trPr>
        <w:tc>
          <w:tcPr>
            <w:tcW w:w="1413" w:type="dxa"/>
            <w:gridSpan w:val="2"/>
            <w:vMerge/>
          </w:tcPr>
          <w:p w14:paraId="03BD0EE1" w14:textId="77777777" w:rsidR="00D170E5" w:rsidRPr="002B55E9" w:rsidRDefault="00D170E5" w:rsidP="00C66729">
            <w:pPr>
              <w:pStyle w:val="lgy-"/>
              <w:rPr>
                <w:rFonts w:eastAsia="宋体"/>
              </w:rPr>
            </w:pPr>
          </w:p>
        </w:tc>
        <w:tc>
          <w:tcPr>
            <w:tcW w:w="7160" w:type="dxa"/>
            <w:gridSpan w:val="5"/>
          </w:tcPr>
          <w:p w14:paraId="06F07DEC" w14:textId="77777777" w:rsidR="00D170E5" w:rsidRPr="002B55E9" w:rsidRDefault="00EF27AD" w:rsidP="00C66729">
            <w:pPr>
              <w:pStyle w:val="lgy-"/>
              <w:rPr>
                <w:rFonts w:eastAsia="宋体"/>
                <w:kern w:val="2"/>
              </w:rPr>
            </w:pPr>
            <w:r w:rsidRPr="002B55E9">
              <w:rPr>
                <w:rFonts w:eastAsia="宋体" w:hint="eastAsia"/>
                <w:kern w:val="2"/>
              </w:rPr>
              <w:t>甲醛</w:t>
            </w:r>
          </w:p>
        </w:tc>
        <w:tc>
          <w:tcPr>
            <w:tcW w:w="1064" w:type="dxa"/>
          </w:tcPr>
          <w:p w14:paraId="531B7258" w14:textId="77777777" w:rsidR="00D170E5" w:rsidRPr="002B55E9" w:rsidRDefault="00EF27AD" w:rsidP="00C66729">
            <w:pPr>
              <w:pStyle w:val="lgy-"/>
              <w:rPr>
                <w:rFonts w:eastAsia="宋体"/>
              </w:rPr>
            </w:pPr>
            <w:r w:rsidRPr="002B55E9">
              <w:rPr>
                <w:rFonts w:eastAsia="宋体"/>
              </w:rPr>
              <w:t>9.78E-05</w:t>
            </w:r>
          </w:p>
        </w:tc>
      </w:tr>
      <w:tr w:rsidR="002B55E9" w:rsidRPr="002B55E9" w14:paraId="104E4FD3" w14:textId="77777777" w:rsidTr="00C66729">
        <w:trPr>
          <w:trHeight w:val="283"/>
        </w:trPr>
        <w:tc>
          <w:tcPr>
            <w:tcW w:w="1413" w:type="dxa"/>
            <w:gridSpan w:val="2"/>
            <w:vMerge/>
          </w:tcPr>
          <w:p w14:paraId="6109F0C0" w14:textId="77777777" w:rsidR="00D170E5" w:rsidRPr="002B55E9" w:rsidRDefault="00D170E5" w:rsidP="00C66729">
            <w:pPr>
              <w:pStyle w:val="lgy-"/>
              <w:rPr>
                <w:rFonts w:eastAsia="宋体"/>
              </w:rPr>
            </w:pPr>
          </w:p>
        </w:tc>
        <w:tc>
          <w:tcPr>
            <w:tcW w:w="7160" w:type="dxa"/>
            <w:gridSpan w:val="5"/>
          </w:tcPr>
          <w:p w14:paraId="5565E95D" w14:textId="77777777" w:rsidR="00D170E5" w:rsidRPr="002B55E9" w:rsidRDefault="00EF27AD" w:rsidP="00C66729">
            <w:pPr>
              <w:pStyle w:val="lgy-"/>
              <w:rPr>
                <w:rFonts w:eastAsia="宋体"/>
                <w:kern w:val="2"/>
              </w:rPr>
            </w:pPr>
            <w:r w:rsidRPr="002B55E9">
              <w:rPr>
                <w:rFonts w:eastAsia="宋体" w:hint="eastAsia"/>
                <w:kern w:val="2"/>
              </w:rPr>
              <w:t>硫酸</w:t>
            </w:r>
          </w:p>
        </w:tc>
        <w:tc>
          <w:tcPr>
            <w:tcW w:w="1064" w:type="dxa"/>
          </w:tcPr>
          <w:p w14:paraId="41B6790A" w14:textId="77777777" w:rsidR="00D170E5" w:rsidRPr="002B55E9" w:rsidRDefault="00EF27AD" w:rsidP="00C66729">
            <w:pPr>
              <w:pStyle w:val="lgy-"/>
              <w:rPr>
                <w:rFonts w:eastAsia="宋体"/>
              </w:rPr>
            </w:pPr>
            <w:r w:rsidRPr="002B55E9">
              <w:rPr>
                <w:rFonts w:eastAsia="宋体"/>
              </w:rPr>
              <w:t>2.21E-04</w:t>
            </w:r>
          </w:p>
        </w:tc>
      </w:tr>
      <w:tr w:rsidR="002B55E9" w:rsidRPr="002B55E9" w14:paraId="4CC43320" w14:textId="77777777" w:rsidTr="00C66729">
        <w:trPr>
          <w:trHeight w:val="283"/>
        </w:trPr>
        <w:tc>
          <w:tcPr>
            <w:tcW w:w="1413" w:type="dxa"/>
            <w:gridSpan w:val="2"/>
            <w:vMerge/>
          </w:tcPr>
          <w:p w14:paraId="2759074E" w14:textId="77777777" w:rsidR="00D170E5" w:rsidRPr="002B55E9" w:rsidRDefault="00D170E5" w:rsidP="00C66729">
            <w:pPr>
              <w:pStyle w:val="lgy-"/>
              <w:rPr>
                <w:rFonts w:eastAsia="宋体"/>
              </w:rPr>
            </w:pPr>
          </w:p>
        </w:tc>
        <w:tc>
          <w:tcPr>
            <w:tcW w:w="7160" w:type="dxa"/>
            <w:gridSpan w:val="5"/>
          </w:tcPr>
          <w:p w14:paraId="1D79F0E9" w14:textId="77777777" w:rsidR="00D170E5" w:rsidRPr="002B55E9" w:rsidRDefault="00EF27AD" w:rsidP="00C66729">
            <w:pPr>
              <w:pStyle w:val="lgy-"/>
              <w:rPr>
                <w:rFonts w:eastAsia="宋体"/>
                <w:kern w:val="2"/>
              </w:rPr>
            </w:pPr>
            <w:r w:rsidRPr="002B55E9">
              <w:rPr>
                <w:rFonts w:eastAsia="宋体" w:hint="eastAsia"/>
                <w:kern w:val="2"/>
              </w:rPr>
              <w:t>氯化氢</w:t>
            </w:r>
          </w:p>
        </w:tc>
        <w:tc>
          <w:tcPr>
            <w:tcW w:w="1064" w:type="dxa"/>
          </w:tcPr>
          <w:p w14:paraId="6A1BEF9C" w14:textId="77777777" w:rsidR="00D170E5" w:rsidRPr="002B55E9" w:rsidRDefault="00EF27AD" w:rsidP="00C66729">
            <w:pPr>
              <w:pStyle w:val="lgy-"/>
              <w:rPr>
                <w:rFonts w:eastAsia="宋体"/>
              </w:rPr>
            </w:pPr>
            <w:r w:rsidRPr="002B55E9">
              <w:rPr>
                <w:rFonts w:eastAsia="宋体"/>
              </w:rPr>
              <w:t>4.37E-07</w:t>
            </w:r>
          </w:p>
        </w:tc>
      </w:tr>
    </w:tbl>
    <w:p w14:paraId="1DEA2B58" w14:textId="77777777" w:rsidR="00D170E5" w:rsidRPr="002B55E9" w:rsidRDefault="00EF27AD">
      <w:pPr>
        <w:pStyle w:val="affff7"/>
        <w:spacing w:after="0"/>
        <w:rPr>
          <w:rFonts w:hAnsi="宋体"/>
        </w:rPr>
      </w:pPr>
      <w:r w:rsidRPr="002B55E9">
        <w:rPr>
          <w:rFonts w:hAnsi="宋体" w:hint="eastAsia"/>
        </w:rPr>
        <w:t>（</w:t>
      </w:r>
      <w:r w:rsidRPr="002B55E9">
        <w:t>3</w:t>
      </w:r>
      <w:r w:rsidRPr="002B55E9">
        <w:rPr>
          <w:rFonts w:hAnsi="宋体" w:hint="eastAsia"/>
        </w:rPr>
        <w:t>）大气污染物年排放核算</w:t>
      </w:r>
    </w:p>
    <w:p w14:paraId="3B8D84D8" w14:textId="77777777" w:rsidR="00D170E5" w:rsidRPr="002B55E9" w:rsidRDefault="00EF27AD">
      <w:pPr>
        <w:pStyle w:val="affff7"/>
        <w:spacing w:after="0"/>
        <w:rPr>
          <w:rFonts w:hAnsi="宋体"/>
        </w:rPr>
      </w:pPr>
      <w:r w:rsidRPr="002B55E9">
        <w:rPr>
          <w:rFonts w:hAnsi="宋体" w:hint="eastAsia"/>
        </w:rPr>
        <w:t>根据前述项内容得出拟建项目大气污染物年排放量核算表如下：</w:t>
      </w:r>
    </w:p>
    <w:p w14:paraId="39B29794" w14:textId="77777777" w:rsidR="00D170E5" w:rsidRPr="002B55E9" w:rsidRDefault="00EF27AD">
      <w:pPr>
        <w:pStyle w:val="1f3"/>
        <w:spacing w:beforeLines="0" w:before="0"/>
      </w:pPr>
      <w:r w:rsidRPr="002B55E9">
        <w:rPr>
          <w:rFonts w:hint="eastAsia"/>
        </w:rPr>
        <w:t>表</w:t>
      </w:r>
      <w:r w:rsidRPr="002B55E9">
        <w:rPr>
          <w:rFonts w:hint="eastAsia"/>
        </w:rPr>
        <w:t>5-2-</w:t>
      </w:r>
      <w:r w:rsidRPr="002B55E9">
        <w:t>19</w:t>
      </w:r>
      <w:r w:rsidRPr="002B55E9">
        <w:rPr>
          <w:rFonts w:hint="eastAsia"/>
        </w:rPr>
        <w:t xml:space="preserve">  </w:t>
      </w:r>
      <w:r w:rsidRPr="002B55E9">
        <w:rPr>
          <w:rFonts w:hint="eastAsia"/>
        </w:rPr>
        <w:t>拟建项目大气污染物年排放量核算表</w:t>
      </w:r>
    </w:p>
    <w:tbl>
      <w:tblPr>
        <w:tblStyle w:val="lgy2"/>
        <w:tblW w:w="5000" w:type="pct"/>
        <w:tblLayout w:type="fixed"/>
        <w:tblCellMar>
          <w:left w:w="28" w:type="dxa"/>
          <w:right w:w="28" w:type="dxa"/>
        </w:tblCellMar>
        <w:tblLook w:val="04A0" w:firstRow="1" w:lastRow="0" w:firstColumn="1" w:lastColumn="0" w:noHBand="0" w:noVBand="1"/>
      </w:tblPr>
      <w:tblGrid>
        <w:gridCol w:w="3222"/>
        <w:gridCol w:w="3233"/>
        <w:gridCol w:w="3238"/>
      </w:tblGrid>
      <w:tr w:rsidR="002B55E9" w:rsidRPr="002B55E9" w14:paraId="7B58B7A6"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3204" w:type="dxa"/>
          </w:tcPr>
          <w:p w14:paraId="136DCD8E" w14:textId="77777777" w:rsidR="00D170E5" w:rsidRPr="002B55E9" w:rsidRDefault="00EF27AD">
            <w:pPr>
              <w:pStyle w:val="lgy-"/>
            </w:pPr>
            <w:r w:rsidRPr="002B55E9">
              <w:rPr>
                <w:rFonts w:eastAsia="宋体" w:hint="eastAsia"/>
              </w:rPr>
              <w:t>序号</w:t>
            </w:r>
          </w:p>
        </w:tc>
        <w:tc>
          <w:tcPr>
            <w:tcW w:w="3214" w:type="dxa"/>
          </w:tcPr>
          <w:p w14:paraId="76736A51" w14:textId="77777777" w:rsidR="00D170E5" w:rsidRPr="002B55E9" w:rsidRDefault="00EF27AD">
            <w:pPr>
              <w:pStyle w:val="lgy-"/>
            </w:pPr>
            <w:r w:rsidRPr="002B55E9">
              <w:rPr>
                <w:rFonts w:eastAsia="宋体" w:hint="eastAsia"/>
              </w:rPr>
              <w:t>污染物</w:t>
            </w:r>
          </w:p>
        </w:tc>
        <w:tc>
          <w:tcPr>
            <w:tcW w:w="3219" w:type="dxa"/>
          </w:tcPr>
          <w:p w14:paraId="44C2AC4C" w14:textId="77777777" w:rsidR="00D170E5" w:rsidRPr="002B55E9" w:rsidRDefault="00EF27AD">
            <w:pPr>
              <w:pStyle w:val="lgy-"/>
              <w:rPr>
                <w:rFonts w:eastAsia="宋体"/>
              </w:rPr>
            </w:pPr>
            <w:r w:rsidRPr="002B55E9">
              <w:rPr>
                <w:rFonts w:eastAsia="宋体" w:hint="eastAsia"/>
              </w:rPr>
              <w:t>年排放量（</w:t>
            </w:r>
            <w:r w:rsidRPr="002B55E9">
              <w:rPr>
                <w:rFonts w:eastAsia="宋体" w:hint="eastAsia"/>
              </w:rPr>
              <w:t>t/a</w:t>
            </w:r>
            <w:r w:rsidRPr="002B55E9">
              <w:rPr>
                <w:rFonts w:eastAsia="宋体" w:hint="eastAsia"/>
              </w:rPr>
              <w:t>）</w:t>
            </w:r>
          </w:p>
        </w:tc>
      </w:tr>
      <w:tr w:rsidR="002B55E9" w:rsidRPr="002B55E9" w14:paraId="73B99DA8" w14:textId="77777777" w:rsidTr="00EF27AD">
        <w:trPr>
          <w:trHeight w:val="283"/>
        </w:trPr>
        <w:tc>
          <w:tcPr>
            <w:tcW w:w="3204" w:type="dxa"/>
          </w:tcPr>
          <w:p w14:paraId="158A458E" w14:textId="77777777" w:rsidR="00D170E5" w:rsidRPr="002B55E9" w:rsidRDefault="00EF27AD" w:rsidP="00EF27AD">
            <w:pPr>
              <w:pStyle w:val="lgy-"/>
            </w:pPr>
            <w:r w:rsidRPr="002B55E9">
              <w:rPr>
                <w:rFonts w:eastAsia="宋体" w:hint="eastAsia"/>
              </w:rPr>
              <w:t>1</w:t>
            </w:r>
          </w:p>
        </w:tc>
        <w:tc>
          <w:tcPr>
            <w:tcW w:w="3214" w:type="dxa"/>
          </w:tcPr>
          <w:p w14:paraId="749B21F0" w14:textId="77777777" w:rsidR="00D170E5" w:rsidRPr="002B55E9" w:rsidRDefault="00EF27AD">
            <w:pPr>
              <w:pStyle w:val="lgy-"/>
            </w:pPr>
            <w:r w:rsidRPr="002B55E9">
              <w:rPr>
                <w:rFonts w:eastAsia="宋体" w:hint="eastAsia"/>
              </w:rPr>
              <w:t>颗粒物</w:t>
            </w:r>
          </w:p>
        </w:tc>
        <w:tc>
          <w:tcPr>
            <w:tcW w:w="3219" w:type="dxa"/>
          </w:tcPr>
          <w:p w14:paraId="7E71EDB8" w14:textId="77777777" w:rsidR="00D170E5" w:rsidRPr="002B55E9" w:rsidRDefault="00EF27AD">
            <w:pPr>
              <w:pStyle w:val="lgy-"/>
              <w:rPr>
                <w:rFonts w:eastAsia="宋体"/>
              </w:rPr>
            </w:pPr>
            <w:r w:rsidRPr="002B55E9">
              <w:rPr>
                <w:rFonts w:eastAsia="宋体"/>
              </w:rPr>
              <w:t>0.065</w:t>
            </w:r>
          </w:p>
        </w:tc>
      </w:tr>
      <w:tr w:rsidR="002B55E9" w:rsidRPr="002B55E9" w14:paraId="6F93CBBD" w14:textId="77777777" w:rsidTr="00EF27AD">
        <w:trPr>
          <w:trHeight w:val="283"/>
        </w:trPr>
        <w:tc>
          <w:tcPr>
            <w:tcW w:w="3204" w:type="dxa"/>
          </w:tcPr>
          <w:p w14:paraId="32E232F0" w14:textId="77777777" w:rsidR="00D170E5" w:rsidRPr="002B55E9" w:rsidRDefault="00EF27AD">
            <w:pPr>
              <w:pStyle w:val="lgy-"/>
            </w:pPr>
            <w:r w:rsidRPr="002B55E9">
              <w:rPr>
                <w:rFonts w:eastAsia="宋体" w:hint="eastAsia"/>
              </w:rPr>
              <w:t>2</w:t>
            </w:r>
          </w:p>
        </w:tc>
        <w:tc>
          <w:tcPr>
            <w:tcW w:w="3214" w:type="dxa"/>
          </w:tcPr>
          <w:p w14:paraId="2AC8F33C" w14:textId="28930463" w:rsidR="00D170E5" w:rsidRPr="002B55E9" w:rsidRDefault="00924AFA">
            <w:pPr>
              <w:pStyle w:val="lgy-"/>
              <w:rPr>
                <w:kern w:val="2"/>
              </w:rPr>
            </w:pPr>
            <w:r w:rsidRPr="002B55E9">
              <w:rPr>
                <w:rFonts w:eastAsia="宋体" w:hint="eastAsia"/>
              </w:rPr>
              <w:t>非甲烷总烃</w:t>
            </w:r>
            <w:r w:rsidR="00EF27AD" w:rsidRPr="002B55E9">
              <w:rPr>
                <w:rFonts w:eastAsia="宋体" w:hint="eastAsia"/>
                <w:kern w:val="2"/>
              </w:rPr>
              <w:t xml:space="preserve"> </w:t>
            </w:r>
          </w:p>
        </w:tc>
        <w:tc>
          <w:tcPr>
            <w:tcW w:w="3219" w:type="dxa"/>
          </w:tcPr>
          <w:p w14:paraId="7A281AA9" w14:textId="2A671795" w:rsidR="00D170E5" w:rsidRPr="002B55E9" w:rsidRDefault="00C66729">
            <w:pPr>
              <w:pStyle w:val="lgy-"/>
              <w:rPr>
                <w:rFonts w:eastAsia="宋体"/>
              </w:rPr>
            </w:pPr>
            <w:r w:rsidRPr="002B55E9">
              <w:rPr>
                <w:rFonts w:eastAsia="宋体"/>
              </w:rPr>
              <w:t>3.716</w:t>
            </w:r>
          </w:p>
        </w:tc>
      </w:tr>
      <w:tr w:rsidR="002B55E9" w:rsidRPr="002B55E9" w14:paraId="1530E5F6" w14:textId="77777777" w:rsidTr="00EF27AD">
        <w:trPr>
          <w:trHeight w:val="283"/>
        </w:trPr>
        <w:tc>
          <w:tcPr>
            <w:tcW w:w="3204" w:type="dxa"/>
          </w:tcPr>
          <w:p w14:paraId="13FC05BA" w14:textId="77777777" w:rsidR="00D170E5" w:rsidRPr="002B55E9" w:rsidRDefault="00EF27AD">
            <w:pPr>
              <w:pStyle w:val="lgy-"/>
            </w:pPr>
            <w:r w:rsidRPr="002B55E9">
              <w:rPr>
                <w:rFonts w:eastAsia="宋体" w:hint="eastAsia"/>
              </w:rPr>
              <w:t>3</w:t>
            </w:r>
          </w:p>
        </w:tc>
        <w:tc>
          <w:tcPr>
            <w:tcW w:w="3214" w:type="dxa"/>
          </w:tcPr>
          <w:p w14:paraId="467471FC" w14:textId="77777777" w:rsidR="00D170E5" w:rsidRPr="002B55E9" w:rsidRDefault="00EF27AD">
            <w:pPr>
              <w:pStyle w:val="lgy-"/>
              <w:rPr>
                <w:kern w:val="2"/>
              </w:rPr>
            </w:pPr>
            <w:r w:rsidRPr="002B55E9">
              <w:rPr>
                <w:rFonts w:eastAsia="宋体" w:hint="eastAsia"/>
                <w:kern w:val="2"/>
              </w:rPr>
              <w:t>甲醛</w:t>
            </w:r>
          </w:p>
        </w:tc>
        <w:tc>
          <w:tcPr>
            <w:tcW w:w="3219" w:type="dxa"/>
          </w:tcPr>
          <w:p w14:paraId="7C4599F9" w14:textId="77777777" w:rsidR="00D170E5" w:rsidRPr="002B55E9" w:rsidRDefault="00EF27AD">
            <w:pPr>
              <w:pStyle w:val="lgy-"/>
              <w:rPr>
                <w:rFonts w:eastAsia="宋体"/>
              </w:rPr>
            </w:pPr>
            <w:r w:rsidRPr="002B55E9">
              <w:rPr>
                <w:rFonts w:eastAsia="宋体"/>
              </w:rPr>
              <w:t>3.45E-03</w:t>
            </w:r>
          </w:p>
        </w:tc>
      </w:tr>
      <w:tr w:rsidR="002B55E9" w:rsidRPr="002B55E9" w14:paraId="19167A6D" w14:textId="77777777" w:rsidTr="00EF27AD">
        <w:trPr>
          <w:trHeight w:val="283"/>
        </w:trPr>
        <w:tc>
          <w:tcPr>
            <w:tcW w:w="3204" w:type="dxa"/>
          </w:tcPr>
          <w:p w14:paraId="0FF2D5A1" w14:textId="77777777" w:rsidR="00D170E5" w:rsidRPr="002B55E9" w:rsidRDefault="00EF27AD">
            <w:pPr>
              <w:pStyle w:val="lgy-"/>
            </w:pPr>
            <w:r w:rsidRPr="002B55E9">
              <w:rPr>
                <w:rFonts w:eastAsia="宋体" w:hint="eastAsia"/>
              </w:rPr>
              <w:t>4</w:t>
            </w:r>
          </w:p>
        </w:tc>
        <w:tc>
          <w:tcPr>
            <w:tcW w:w="3214" w:type="dxa"/>
          </w:tcPr>
          <w:p w14:paraId="71FA2AFF" w14:textId="77777777" w:rsidR="00D170E5" w:rsidRPr="002B55E9" w:rsidRDefault="00EF27AD">
            <w:pPr>
              <w:pStyle w:val="lgy-"/>
              <w:rPr>
                <w:kern w:val="2"/>
              </w:rPr>
            </w:pPr>
            <w:r w:rsidRPr="002B55E9">
              <w:rPr>
                <w:rFonts w:eastAsia="宋体" w:hint="eastAsia"/>
                <w:kern w:val="2"/>
              </w:rPr>
              <w:t>硫酸</w:t>
            </w:r>
          </w:p>
        </w:tc>
        <w:tc>
          <w:tcPr>
            <w:tcW w:w="3219" w:type="dxa"/>
          </w:tcPr>
          <w:p w14:paraId="25506A9B" w14:textId="77777777" w:rsidR="00D170E5" w:rsidRPr="002B55E9" w:rsidRDefault="00EF27AD">
            <w:pPr>
              <w:pStyle w:val="lgy-"/>
              <w:rPr>
                <w:rFonts w:eastAsia="宋体"/>
              </w:rPr>
            </w:pPr>
            <w:r w:rsidRPr="002B55E9">
              <w:rPr>
                <w:rFonts w:eastAsia="宋体"/>
              </w:rPr>
              <w:t>1.10E-02</w:t>
            </w:r>
          </w:p>
        </w:tc>
      </w:tr>
      <w:tr w:rsidR="002B55E9" w:rsidRPr="002B55E9" w14:paraId="0576E732" w14:textId="77777777" w:rsidTr="00EF27AD">
        <w:trPr>
          <w:trHeight w:val="283"/>
        </w:trPr>
        <w:tc>
          <w:tcPr>
            <w:tcW w:w="3204" w:type="dxa"/>
          </w:tcPr>
          <w:p w14:paraId="0E637155" w14:textId="77777777" w:rsidR="00D170E5" w:rsidRPr="002B55E9" w:rsidRDefault="00EF27AD">
            <w:pPr>
              <w:pStyle w:val="lgy-"/>
            </w:pPr>
            <w:r w:rsidRPr="002B55E9">
              <w:rPr>
                <w:rFonts w:eastAsia="宋体" w:hint="eastAsia"/>
              </w:rPr>
              <w:t>5</w:t>
            </w:r>
          </w:p>
        </w:tc>
        <w:tc>
          <w:tcPr>
            <w:tcW w:w="3214" w:type="dxa"/>
          </w:tcPr>
          <w:p w14:paraId="17FF732B" w14:textId="77777777" w:rsidR="00D170E5" w:rsidRPr="002B55E9" w:rsidRDefault="00EF27AD">
            <w:pPr>
              <w:pStyle w:val="lgy-"/>
            </w:pPr>
            <w:r w:rsidRPr="002B55E9">
              <w:rPr>
                <w:rFonts w:eastAsia="宋体" w:hint="eastAsia"/>
                <w:kern w:val="2"/>
              </w:rPr>
              <w:t>氯化氢</w:t>
            </w:r>
          </w:p>
        </w:tc>
        <w:tc>
          <w:tcPr>
            <w:tcW w:w="3219" w:type="dxa"/>
          </w:tcPr>
          <w:p w14:paraId="3DF1EF52" w14:textId="77777777" w:rsidR="00D170E5" w:rsidRPr="002B55E9" w:rsidRDefault="00EF27AD">
            <w:pPr>
              <w:pStyle w:val="lgy-"/>
              <w:rPr>
                <w:rFonts w:eastAsia="宋体"/>
              </w:rPr>
            </w:pPr>
            <w:r w:rsidRPr="002B55E9">
              <w:rPr>
                <w:rFonts w:eastAsia="宋体"/>
              </w:rPr>
              <w:t>2.18E-05</w:t>
            </w:r>
          </w:p>
        </w:tc>
      </w:tr>
    </w:tbl>
    <w:p w14:paraId="1B87BC81" w14:textId="77777777" w:rsidR="00D170E5" w:rsidRPr="002B55E9" w:rsidRDefault="00EF27AD">
      <w:pPr>
        <w:pStyle w:val="4"/>
        <w:rPr>
          <w:color w:val="auto"/>
        </w:rPr>
      </w:pPr>
      <w:r w:rsidRPr="002B55E9">
        <w:rPr>
          <w:rFonts w:hint="eastAsia"/>
          <w:color w:val="auto"/>
        </w:rPr>
        <w:t>环境防护距离</w:t>
      </w:r>
    </w:p>
    <w:p w14:paraId="4157668C" w14:textId="77777777" w:rsidR="00D170E5" w:rsidRPr="002B55E9" w:rsidRDefault="00EF27AD">
      <w:pPr>
        <w:pStyle w:val="5"/>
      </w:pPr>
      <w:r w:rsidRPr="002B55E9">
        <w:rPr>
          <w:rFonts w:hint="eastAsia"/>
        </w:rPr>
        <w:t>大气防护距离</w:t>
      </w:r>
    </w:p>
    <w:p w14:paraId="0F05A63E" w14:textId="1A6D90A0" w:rsidR="0063190E" w:rsidRPr="002B55E9" w:rsidRDefault="0063190E" w:rsidP="0063190E">
      <w:pPr>
        <w:spacing w:line="360" w:lineRule="auto"/>
        <w:ind w:firstLine="482"/>
        <w:jc w:val="left"/>
        <w:rPr>
          <w:spacing w:val="6"/>
          <w:sz w:val="24"/>
        </w:rPr>
      </w:pPr>
      <w:r w:rsidRPr="002B55E9">
        <w:rPr>
          <w:spacing w:val="6"/>
          <w:sz w:val="24"/>
        </w:rPr>
        <w:t>大气环境防护距离属于环境保护部门的环境管理规定，并应按导则</w:t>
      </w:r>
      <w:r w:rsidRPr="002B55E9">
        <w:rPr>
          <w:spacing w:val="6"/>
          <w:sz w:val="24"/>
        </w:rPr>
        <w:t>HJ2.2-2018</w:t>
      </w:r>
      <w:r w:rsidRPr="002B55E9">
        <w:rPr>
          <w:spacing w:val="6"/>
          <w:sz w:val="24"/>
        </w:rPr>
        <w:t>规定执行。根据《环境影响评价技术导则</w:t>
      </w:r>
      <w:r w:rsidRPr="002B55E9">
        <w:rPr>
          <w:spacing w:val="6"/>
          <w:sz w:val="24"/>
        </w:rPr>
        <w:t xml:space="preserve">  </w:t>
      </w:r>
      <w:r w:rsidRPr="002B55E9">
        <w:rPr>
          <w:spacing w:val="6"/>
          <w:sz w:val="24"/>
        </w:rPr>
        <w:t>大气环境》（</w:t>
      </w:r>
      <w:r w:rsidRPr="002B55E9">
        <w:rPr>
          <w:spacing w:val="6"/>
          <w:sz w:val="24"/>
        </w:rPr>
        <w:t>HJ2.2-2018</w:t>
      </w:r>
      <w:r w:rsidRPr="002B55E9">
        <w:rPr>
          <w:spacing w:val="6"/>
          <w:sz w:val="24"/>
        </w:rPr>
        <w:t>）第</w:t>
      </w:r>
      <w:r w:rsidRPr="002B55E9">
        <w:rPr>
          <w:spacing w:val="6"/>
          <w:sz w:val="24"/>
        </w:rPr>
        <w:t>8.8.5.1</w:t>
      </w:r>
      <w:r w:rsidRPr="002B55E9">
        <w:rPr>
          <w:spacing w:val="6"/>
          <w:sz w:val="24"/>
        </w:rPr>
        <w:t>条，</w:t>
      </w:r>
      <w:r w:rsidRPr="002B55E9">
        <w:rPr>
          <w:spacing w:val="6"/>
          <w:sz w:val="24"/>
        </w:rPr>
        <w:t>“</w:t>
      </w:r>
      <w:r w:rsidRPr="002B55E9">
        <w:rPr>
          <w:spacing w:val="6"/>
          <w:sz w:val="24"/>
        </w:rPr>
        <w:t>采用进一步预测模型模拟评价基准年内，本项目所有污染源（改建、扩建项目应包括全厂现有污染源）对厂界外主要污染物的短期贡献浓度分析</w:t>
      </w:r>
      <w:r w:rsidRPr="002B55E9">
        <w:rPr>
          <w:spacing w:val="6"/>
          <w:sz w:val="24"/>
        </w:rPr>
        <w:t>”</w:t>
      </w:r>
      <w:r w:rsidRPr="002B55E9">
        <w:rPr>
          <w:spacing w:val="6"/>
          <w:sz w:val="24"/>
        </w:rPr>
        <w:t>。</w:t>
      </w:r>
    </w:p>
    <w:p w14:paraId="3616C3F4" w14:textId="2217AD0A" w:rsidR="0063190E" w:rsidRPr="002B55E9" w:rsidRDefault="0063190E" w:rsidP="0063190E">
      <w:pPr>
        <w:spacing w:line="360" w:lineRule="auto"/>
        <w:ind w:firstLine="482"/>
        <w:jc w:val="left"/>
        <w:rPr>
          <w:spacing w:val="6"/>
          <w:sz w:val="24"/>
        </w:rPr>
      </w:pPr>
      <w:r w:rsidRPr="002B55E9">
        <w:rPr>
          <w:spacing w:val="6"/>
          <w:sz w:val="24"/>
        </w:rPr>
        <w:t>本项目大气环境评价等级为二级，结合</w:t>
      </w:r>
      <w:r w:rsidRPr="002B55E9">
        <w:rPr>
          <w:spacing w:val="6"/>
          <w:sz w:val="24"/>
        </w:rPr>
        <w:t>HJ2.2-2018</w:t>
      </w:r>
      <w:r w:rsidRPr="002B55E9">
        <w:rPr>
          <w:spacing w:val="6"/>
          <w:sz w:val="24"/>
        </w:rPr>
        <w:t>中的</w:t>
      </w:r>
      <w:r w:rsidRPr="002B55E9">
        <w:rPr>
          <w:spacing w:val="6"/>
          <w:sz w:val="24"/>
        </w:rPr>
        <w:t>8.1.2</w:t>
      </w:r>
      <w:r w:rsidRPr="002B55E9">
        <w:rPr>
          <w:spacing w:val="6"/>
          <w:sz w:val="24"/>
        </w:rPr>
        <w:t>条规定，二级评价项目不进行进一步预测与评价，只对污染物排放量进行核算，经过上述预测可知，本项目最大落地浓度未超过环境质量短期贡献浓度。因此，本项目不需设置大气环境防护距离</w:t>
      </w:r>
      <w:r w:rsidR="007A7D32" w:rsidRPr="002B55E9">
        <w:rPr>
          <w:rFonts w:hint="eastAsia"/>
          <w:spacing w:val="6"/>
          <w:sz w:val="24"/>
        </w:rPr>
        <w:t>。</w:t>
      </w:r>
    </w:p>
    <w:p w14:paraId="6969839D" w14:textId="77777777" w:rsidR="00D170E5" w:rsidRPr="002B55E9" w:rsidRDefault="00EF27AD">
      <w:pPr>
        <w:pStyle w:val="5"/>
      </w:pPr>
      <w:r w:rsidRPr="002B55E9">
        <w:rPr>
          <w:rFonts w:hint="eastAsia"/>
        </w:rPr>
        <w:t>卫生防护距离</w:t>
      </w:r>
    </w:p>
    <w:p w14:paraId="0FEAFA93"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根据《大气有害物质无组织排放卫生防护距离推导技术导则》（</w:t>
      </w:r>
      <w:r w:rsidRPr="002B55E9">
        <w:rPr>
          <w:rFonts w:hint="eastAsia"/>
          <w:kern w:val="2"/>
          <w:sz w:val="24"/>
          <w:szCs w:val="22"/>
        </w:rPr>
        <w:t>GB/T39499-2020</w:t>
      </w:r>
      <w:r w:rsidRPr="002B55E9">
        <w:rPr>
          <w:rFonts w:hint="eastAsia"/>
          <w:kern w:val="2"/>
          <w:sz w:val="24"/>
          <w:szCs w:val="22"/>
        </w:rPr>
        <w:t>）适用范围：“本标准适用于地处平原地区产生大气有害物质无组织排放的各种行业的新建、改建、扩建工程（不包括排放放射性污染物的行业）。复杂地形地区的卫生防护距离推导可参照本</w:t>
      </w:r>
      <w:r w:rsidRPr="002B55E9">
        <w:rPr>
          <w:rFonts w:hint="eastAsia"/>
          <w:kern w:val="2"/>
          <w:sz w:val="24"/>
          <w:szCs w:val="22"/>
        </w:rPr>
        <w:lastRenderedPageBreak/>
        <w:t>标准实施。”本项目位于平原地区的新建工程，适用于本标准。</w:t>
      </w:r>
    </w:p>
    <w:p w14:paraId="449B996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卫生防护距离初值计算公式：采用</w:t>
      </w:r>
      <w:r w:rsidRPr="002B55E9">
        <w:rPr>
          <w:rFonts w:hint="eastAsia"/>
          <w:kern w:val="2"/>
          <w:sz w:val="24"/>
          <w:szCs w:val="22"/>
        </w:rPr>
        <w:t>GB</w:t>
      </w:r>
      <w:r w:rsidRPr="002B55E9">
        <w:rPr>
          <w:kern w:val="2"/>
          <w:sz w:val="24"/>
          <w:szCs w:val="22"/>
        </w:rPr>
        <w:t>/T39499-2020</w:t>
      </w:r>
      <w:r w:rsidRPr="002B55E9">
        <w:rPr>
          <w:rFonts w:hint="eastAsia"/>
          <w:kern w:val="2"/>
          <w:sz w:val="24"/>
          <w:szCs w:val="22"/>
        </w:rPr>
        <w:t>中推荐的估算方法进行计算，具体计算公式如下：</w:t>
      </w:r>
    </w:p>
    <w:p w14:paraId="7BC65A45" w14:textId="77777777" w:rsidR="00D170E5" w:rsidRPr="002B55E9" w:rsidRDefault="00EF27AD">
      <w:pPr>
        <w:pStyle w:val="affff7"/>
        <w:adjustRightInd w:val="0"/>
        <w:snapToGrid w:val="0"/>
        <w:spacing w:after="0"/>
        <w:rPr>
          <w:szCs w:val="24"/>
          <w:lang w:val="en-GB"/>
        </w:rPr>
      </w:pPr>
      <w:r w:rsidRPr="002B55E9">
        <w:rPr>
          <w:rFonts w:hint="eastAsia"/>
          <w:szCs w:val="24"/>
        </w:rPr>
        <w:t>根据《大气有害物质无组织排放卫生防护距离推导技术导则》（</w:t>
      </w:r>
      <w:r w:rsidRPr="002B55E9">
        <w:rPr>
          <w:rFonts w:hint="eastAsia"/>
          <w:szCs w:val="24"/>
        </w:rPr>
        <w:t>G</w:t>
      </w:r>
      <w:r w:rsidRPr="002B55E9">
        <w:rPr>
          <w:szCs w:val="24"/>
        </w:rPr>
        <w:t>B</w:t>
      </w:r>
      <w:r w:rsidRPr="002B55E9">
        <w:rPr>
          <w:rFonts w:hint="eastAsia"/>
          <w:szCs w:val="24"/>
        </w:rPr>
        <w:t>/</w:t>
      </w:r>
      <w:r w:rsidRPr="002B55E9">
        <w:rPr>
          <w:szCs w:val="24"/>
        </w:rPr>
        <w:t>T39499-2020</w:t>
      </w:r>
      <w:r w:rsidRPr="002B55E9">
        <w:rPr>
          <w:rFonts w:hint="eastAsia"/>
          <w:szCs w:val="24"/>
        </w:rPr>
        <w:t>）以及</w:t>
      </w:r>
      <w:r w:rsidRPr="002B55E9">
        <w:rPr>
          <w:szCs w:val="24"/>
          <w:lang w:val="en-GB"/>
        </w:rPr>
        <w:t>《制定地方大气污染物排放标准的技术方法》（</w:t>
      </w:r>
      <w:r w:rsidRPr="002B55E9">
        <w:rPr>
          <w:szCs w:val="24"/>
          <w:lang w:val="en-GB"/>
        </w:rPr>
        <w:t>GB/T13201-91</w:t>
      </w:r>
      <w:r w:rsidRPr="002B55E9">
        <w:rPr>
          <w:szCs w:val="24"/>
          <w:lang w:val="en-GB"/>
        </w:rPr>
        <w:t>）中有关规定</w:t>
      </w:r>
      <w:r w:rsidRPr="002B55E9">
        <w:rPr>
          <w:rFonts w:hint="eastAsia"/>
          <w:szCs w:val="24"/>
          <w:lang w:val="en-GB"/>
        </w:rPr>
        <w:t>，卫生防护距离指：为了防控通过无组织排放的大气污染物的健康危害，产生大气有害物质的审查单元（生产车间或作业场所）的边界至敏感区边界的最小距离。</w:t>
      </w:r>
      <w:r w:rsidRPr="002B55E9">
        <w:rPr>
          <w:szCs w:val="24"/>
          <w:lang w:val="en-GB"/>
        </w:rPr>
        <w:t>进一步解释为：在正常生产条件下，无组织排放的有害气体（大气污染物）自生产单元（生产区、车间或工段）边界到居住区满足</w:t>
      </w:r>
      <w:r w:rsidRPr="002B55E9">
        <w:rPr>
          <w:szCs w:val="24"/>
          <w:lang w:val="en-GB"/>
        </w:rPr>
        <w:t>GB3095</w:t>
      </w:r>
      <w:r w:rsidRPr="002B55E9">
        <w:rPr>
          <w:rFonts w:hint="eastAsia"/>
          <w:szCs w:val="24"/>
          <w:lang w:val="en-GB"/>
        </w:rPr>
        <w:t>及其他标准</w:t>
      </w:r>
      <w:r w:rsidRPr="002B55E9">
        <w:rPr>
          <w:szCs w:val="24"/>
          <w:lang w:val="en-GB"/>
        </w:rPr>
        <w:t>规定的居住区容许浓度限值所需的最小距离。根据卫生防护距离计算公式：</w:t>
      </w:r>
    </w:p>
    <w:p w14:paraId="038215DC" w14:textId="77777777" w:rsidR="00D170E5" w:rsidRPr="002B55E9" w:rsidRDefault="00EF27AD">
      <w:pPr>
        <w:pStyle w:val="lgy-"/>
      </w:pPr>
      <w:r w:rsidRPr="002B55E9">
        <w:object w:dxaOrig="2880" w:dyaOrig="689" w14:anchorId="1ADB4670">
          <v:shape id="_x0000_i1030" type="#_x0000_t75" style="width:2in;height:35.15pt" o:ole="">
            <v:imagedata r:id="rId63" o:title=""/>
            <o:lock v:ext="edit" aspectratio="f"/>
          </v:shape>
          <o:OLEObject Type="Embed" ProgID="Equation.3" ShapeID="_x0000_i1030" DrawAspect="Content" ObjectID="_1732338925" r:id="rId64"/>
        </w:object>
      </w:r>
    </w:p>
    <w:p w14:paraId="308D5816"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式中：</w:t>
      </w:r>
      <w:r w:rsidRPr="002B55E9">
        <w:rPr>
          <w:rFonts w:hint="eastAsia"/>
          <w:kern w:val="2"/>
          <w:sz w:val="24"/>
          <w:szCs w:val="22"/>
        </w:rPr>
        <w:t>C</w:t>
      </w:r>
      <w:r w:rsidRPr="002B55E9">
        <w:rPr>
          <w:rFonts w:hint="eastAsia"/>
          <w:kern w:val="2"/>
          <w:sz w:val="24"/>
          <w:szCs w:val="22"/>
          <w:vertAlign w:val="subscript"/>
        </w:rPr>
        <w:t>m</w:t>
      </w:r>
      <w:r w:rsidRPr="002B55E9">
        <w:rPr>
          <w:rFonts w:hint="eastAsia"/>
          <w:kern w:val="2"/>
          <w:sz w:val="24"/>
          <w:szCs w:val="22"/>
        </w:rPr>
        <w:t>——标准浓度限值，</w:t>
      </w:r>
      <w:r w:rsidRPr="002B55E9">
        <w:rPr>
          <w:rFonts w:hint="eastAsia"/>
          <w:kern w:val="2"/>
          <w:sz w:val="24"/>
          <w:szCs w:val="22"/>
        </w:rPr>
        <w:t>mg/m</w:t>
      </w:r>
      <w:r w:rsidRPr="002B55E9">
        <w:rPr>
          <w:rFonts w:hint="eastAsia"/>
          <w:kern w:val="2"/>
          <w:sz w:val="24"/>
          <w:szCs w:val="22"/>
          <w:vertAlign w:val="superscript"/>
        </w:rPr>
        <w:t>3</w:t>
      </w:r>
      <w:r w:rsidRPr="002B55E9">
        <w:rPr>
          <w:rFonts w:hint="eastAsia"/>
          <w:kern w:val="2"/>
          <w:sz w:val="24"/>
          <w:szCs w:val="22"/>
        </w:rPr>
        <w:t>（标态）；</w:t>
      </w:r>
    </w:p>
    <w:p w14:paraId="3979228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L</w:t>
      </w:r>
      <w:r w:rsidRPr="002B55E9">
        <w:rPr>
          <w:rFonts w:hint="eastAsia"/>
          <w:kern w:val="2"/>
          <w:sz w:val="24"/>
          <w:szCs w:val="22"/>
        </w:rPr>
        <w:t>——工业企业所需卫生防护距离，</w:t>
      </w:r>
      <w:r w:rsidRPr="002B55E9">
        <w:rPr>
          <w:rFonts w:hint="eastAsia"/>
          <w:kern w:val="2"/>
          <w:sz w:val="24"/>
          <w:szCs w:val="22"/>
        </w:rPr>
        <w:t>m</w:t>
      </w:r>
      <w:r w:rsidRPr="002B55E9">
        <w:rPr>
          <w:rFonts w:hint="eastAsia"/>
          <w:kern w:val="2"/>
          <w:sz w:val="24"/>
          <w:szCs w:val="22"/>
        </w:rPr>
        <w:t>；</w:t>
      </w:r>
    </w:p>
    <w:p w14:paraId="772F5DE6"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r</w:t>
      </w:r>
      <w:r w:rsidRPr="002B55E9">
        <w:rPr>
          <w:rFonts w:hint="eastAsia"/>
          <w:kern w:val="2"/>
          <w:sz w:val="24"/>
          <w:szCs w:val="22"/>
        </w:rPr>
        <w:t>——有害气体无组织排放源所在生产单元的等效半径，</w:t>
      </w:r>
      <w:r w:rsidRPr="002B55E9">
        <w:rPr>
          <w:rFonts w:hint="eastAsia"/>
          <w:kern w:val="2"/>
          <w:sz w:val="24"/>
          <w:szCs w:val="22"/>
        </w:rPr>
        <w:t>m</w:t>
      </w:r>
      <w:r w:rsidRPr="002B55E9">
        <w:rPr>
          <w:rFonts w:hint="eastAsia"/>
          <w:kern w:val="2"/>
          <w:sz w:val="24"/>
          <w:szCs w:val="22"/>
        </w:rPr>
        <w:t>。根据生产单元占地面积</w:t>
      </w:r>
      <w:r w:rsidRPr="002B55E9">
        <w:rPr>
          <w:rFonts w:hint="eastAsia"/>
          <w:kern w:val="2"/>
          <w:sz w:val="24"/>
          <w:szCs w:val="22"/>
        </w:rPr>
        <w:t>S</w:t>
      </w:r>
      <w:r w:rsidRPr="002B55E9">
        <w:rPr>
          <w:rFonts w:hint="eastAsia"/>
          <w:kern w:val="2"/>
          <w:sz w:val="24"/>
          <w:szCs w:val="22"/>
        </w:rPr>
        <w:t>（</w:t>
      </w:r>
      <w:r w:rsidRPr="002B55E9">
        <w:rPr>
          <w:rFonts w:hint="eastAsia"/>
          <w:kern w:val="2"/>
          <w:sz w:val="24"/>
          <w:szCs w:val="22"/>
        </w:rPr>
        <w:t>m2</w:t>
      </w:r>
      <w:r w:rsidRPr="002B55E9">
        <w:rPr>
          <w:rFonts w:hint="eastAsia"/>
          <w:kern w:val="2"/>
          <w:sz w:val="24"/>
          <w:szCs w:val="22"/>
        </w:rPr>
        <w:t>）计算，</w:t>
      </w:r>
      <w:r w:rsidRPr="002B55E9">
        <w:rPr>
          <w:rFonts w:hint="eastAsia"/>
          <w:kern w:val="2"/>
          <w:sz w:val="24"/>
          <w:szCs w:val="22"/>
        </w:rPr>
        <w:t>r=</w:t>
      </w:r>
      <w:r w:rsidRPr="002B55E9">
        <w:rPr>
          <w:rFonts w:hint="eastAsia"/>
          <w:kern w:val="2"/>
          <w:sz w:val="24"/>
          <w:szCs w:val="22"/>
        </w:rPr>
        <w:t>（</w:t>
      </w:r>
      <w:r w:rsidRPr="002B55E9">
        <w:rPr>
          <w:rFonts w:hint="eastAsia"/>
          <w:kern w:val="2"/>
          <w:sz w:val="24"/>
          <w:szCs w:val="22"/>
        </w:rPr>
        <w:t>S/3.14</w:t>
      </w:r>
      <w:r w:rsidRPr="002B55E9">
        <w:rPr>
          <w:rFonts w:hint="eastAsia"/>
          <w:kern w:val="2"/>
          <w:sz w:val="24"/>
          <w:szCs w:val="22"/>
        </w:rPr>
        <w:t>）</w:t>
      </w:r>
      <w:r w:rsidRPr="002B55E9">
        <w:rPr>
          <w:rFonts w:hint="eastAsia"/>
          <w:kern w:val="2"/>
          <w:sz w:val="24"/>
          <w:szCs w:val="22"/>
          <w:vertAlign w:val="superscript"/>
        </w:rPr>
        <w:t>0.5</w:t>
      </w:r>
      <w:r w:rsidRPr="002B55E9">
        <w:rPr>
          <w:rFonts w:hint="eastAsia"/>
          <w:kern w:val="2"/>
          <w:sz w:val="24"/>
          <w:szCs w:val="22"/>
        </w:rPr>
        <w:t>；</w:t>
      </w:r>
    </w:p>
    <w:p w14:paraId="6F32493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A</w:t>
      </w:r>
      <w:r w:rsidRPr="002B55E9">
        <w:rPr>
          <w:rFonts w:hint="eastAsia"/>
          <w:kern w:val="2"/>
          <w:sz w:val="24"/>
          <w:szCs w:val="22"/>
        </w:rPr>
        <w:t>、</w:t>
      </w:r>
      <w:r w:rsidRPr="002B55E9">
        <w:rPr>
          <w:rFonts w:hint="eastAsia"/>
          <w:kern w:val="2"/>
          <w:sz w:val="24"/>
          <w:szCs w:val="22"/>
        </w:rPr>
        <w:t>B</w:t>
      </w:r>
      <w:r w:rsidRPr="002B55E9">
        <w:rPr>
          <w:rFonts w:hint="eastAsia"/>
          <w:kern w:val="2"/>
          <w:sz w:val="24"/>
          <w:szCs w:val="22"/>
        </w:rPr>
        <w:t>、</w:t>
      </w:r>
      <w:r w:rsidRPr="002B55E9">
        <w:rPr>
          <w:rFonts w:hint="eastAsia"/>
          <w:kern w:val="2"/>
          <w:sz w:val="24"/>
          <w:szCs w:val="22"/>
        </w:rPr>
        <w:t>C</w:t>
      </w:r>
      <w:r w:rsidRPr="002B55E9">
        <w:rPr>
          <w:rFonts w:hint="eastAsia"/>
          <w:kern w:val="2"/>
          <w:sz w:val="24"/>
          <w:szCs w:val="22"/>
        </w:rPr>
        <w:t>、</w:t>
      </w:r>
      <w:r w:rsidRPr="002B55E9">
        <w:rPr>
          <w:rFonts w:hint="eastAsia"/>
          <w:kern w:val="2"/>
          <w:sz w:val="24"/>
          <w:szCs w:val="22"/>
        </w:rPr>
        <w:t>D</w:t>
      </w:r>
      <w:r w:rsidRPr="002B55E9">
        <w:rPr>
          <w:rFonts w:hint="eastAsia"/>
          <w:kern w:val="2"/>
          <w:sz w:val="24"/>
          <w:szCs w:val="22"/>
        </w:rPr>
        <w:t>——卫生防护距离计算系数，根据所在地区近五年平均风速工业企业大气污染源构成类别选取；</w:t>
      </w:r>
    </w:p>
    <w:p w14:paraId="772FF58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Qc</w:t>
      </w:r>
      <w:r w:rsidRPr="002B55E9">
        <w:rPr>
          <w:rFonts w:hint="eastAsia"/>
          <w:kern w:val="2"/>
          <w:sz w:val="24"/>
          <w:szCs w:val="22"/>
        </w:rPr>
        <w:t>——工业企业有害气体无组织排放量可以达到的控制水平，</w:t>
      </w:r>
      <w:r w:rsidRPr="002B55E9">
        <w:rPr>
          <w:rFonts w:hint="eastAsia"/>
          <w:kern w:val="2"/>
          <w:sz w:val="24"/>
          <w:szCs w:val="22"/>
        </w:rPr>
        <w:t>kg/h</w:t>
      </w:r>
      <w:r w:rsidRPr="002B55E9">
        <w:rPr>
          <w:rFonts w:hint="eastAsia"/>
          <w:kern w:val="2"/>
          <w:sz w:val="24"/>
          <w:szCs w:val="22"/>
        </w:rPr>
        <w:t>；</w:t>
      </w:r>
      <w:r w:rsidRPr="002B55E9">
        <w:rPr>
          <w:rFonts w:hint="eastAsia"/>
          <w:kern w:val="2"/>
          <w:sz w:val="24"/>
          <w:szCs w:val="22"/>
        </w:rPr>
        <w:t>A</w:t>
      </w:r>
      <w:r w:rsidRPr="002B55E9">
        <w:rPr>
          <w:rFonts w:hint="eastAsia"/>
          <w:kern w:val="2"/>
          <w:sz w:val="24"/>
          <w:szCs w:val="22"/>
        </w:rPr>
        <w:t>、</w:t>
      </w:r>
      <w:r w:rsidRPr="002B55E9">
        <w:rPr>
          <w:rFonts w:hint="eastAsia"/>
          <w:kern w:val="2"/>
          <w:sz w:val="24"/>
          <w:szCs w:val="22"/>
        </w:rPr>
        <w:t>B</w:t>
      </w:r>
      <w:r w:rsidRPr="002B55E9">
        <w:rPr>
          <w:rFonts w:hint="eastAsia"/>
          <w:kern w:val="2"/>
          <w:sz w:val="24"/>
          <w:szCs w:val="22"/>
        </w:rPr>
        <w:t>、</w:t>
      </w:r>
      <w:r w:rsidRPr="002B55E9">
        <w:rPr>
          <w:rFonts w:hint="eastAsia"/>
          <w:kern w:val="2"/>
          <w:sz w:val="24"/>
          <w:szCs w:val="22"/>
        </w:rPr>
        <w:t>C</w:t>
      </w:r>
      <w:r w:rsidRPr="002B55E9">
        <w:rPr>
          <w:rFonts w:hint="eastAsia"/>
          <w:kern w:val="2"/>
          <w:sz w:val="24"/>
          <w:szCs w:val="22"/>
        </w:rPr>
        <w:t>、</w:t>
      </w:r>
      <w:r w:rsidRPr="002B55E9">
        <w:rPr>
          <w:rFonts w:hint="eastAsia"/>
          <w:kern w:val="2"/>
          <w:sz w:val="24"/>
          <w:szCs w:val="22"/>
        </w:rPr>
        <w:t>D</w:t>
      </w:r>
      <w:r w:rsidRPr="002B55E9">
        <w:rPr>
          <w:rFonts w:hint="eastAsia"/>
          <w:kern w:val="2"/>
          <w:sz w:val="24"/>
          <w:szCs w:val="22"/>
        </w:rPr>
        <w:t>－卫生防护距离计算系数，无因次，根据工业企业所在地区近五年平均风速及工业企业大气污染源构成类别从</w:t>
      </w:r>
      <w:r w:rsidRPr="002B55E9">
        <w:rPr>
          <w:rFonts w:hint="eastAsia"/>
          <w:kern w:val="2"/>
          <w:sz w:val="24"/>
          <w:szCs w:val="22"/>
        </w:rPr>
        <w:t>GB/T3840-91</w:t>
      </w:r>
      <w:r w:rsidRPr="002B55E9">
        <w:rPr>
          <w:rFonts w:hint="eastAsia"/>
          <w:kern w:val="2"/>
          <w:sz w:val="24"/>
          <w:szCs w:val="22"/>
        </w:rPr>
        <w:t>《制定地方大气污染物排放标准的技术方法》中第</w:t>
      </w:r>
      <w:r w:rsidRPr="002B55E9">
        <w:rPr>
          <w:rFonts w:hint="eastAsia"/>
          <w:kern w:val="2"/>
          <w:sz w:val="24"/>
          <w:szCs w:val="22"/>
        </w:rPr>
        <w:t>7</w:t>
      </w:r>
      <w:r w:rsidRPr="002B55E9">
        <w:rPr>
          <w:rFonts w:hint="eastAsia"/>
          <w:kern w:val="2"/>
          <w:sz w:val="24"/>
          <w:szCs w:val="22"/>
        </w:rPr>
        <w:t>条规定的表</w:t>
      </w:r>
      <w:r w:rsidRPr="002B55E9">
        <w:rPr>
          <w:rFonts w:hint="eastAsia"/>
          <w:kern w:val="2"/>
          <w:sz w:val="24"/>
          <w:szCs w:val="22"/>
        </w:rPr>
        <w:t>5</w:t>
      </w:r>
      <w:r w:rsidRPr="002B55E9">
        <w:rPr>
          <w:rFonts w:hint="eastAsia"/>
          <w:kern w:val="2"/>
          <w:sz w:val="24"/>
          <w:szCs w:val="22"/>
        </w:rPr>
        <w:t>中查取。</w:t>
      </w:r>
    </w:p>
    <w:p w14:paraId="05EB5CEB" w14:textId="77777777" w:rsidR="00D170E5" w:rsidRPr="002B55E9" w:rsidRDefault="00EF27AD">
      <w:pPr>
        <w:snapToGrid w:val="0"/>
        <w:jc w:val="center"/>
        <w:rPr>
          <w:rFonts w:eastAsia="黑体"/>
          <w:b/>
          <w:bCs/>
          <w:sz w:val="24"/>
        </w:rPr>
      </w:pPr>
      <w:r w:rsidRPr="002B55E9">
        <w:rPr>
          <w:rFonts w:eastAsia="黑体" w:hint="eastAsia"/>
          <w:b/>
          <w:bCs/>
          <w:sz w:val="24"/>
        </w:rPr>
        <w:t>表</w:t>
      </w:r>
      <w:r w:rsidRPr="002B55E9">
        <w:rPr>
          <w:rFonts w:eastAsia="黑体" w:hint="eastAsia"/>
          <w:b/>
          <w:bCs/>
          <w:sz w:val="24"/>
        </w:rPr>
        <w:t>5</w:t>
      </w:r>
      <w:r w:rsidRPr="002B55E9">
        <w:rPr>
          <w:rFonts w:eastAsia="黑体"/>
          <w:b/>
          <w:bCs/>
          <w:sz w:val="24"/>
        </w:rPr>
        <w:t xml:space="preserve">-2-21  </w:t>
      </w:r>
      <w:r w:rsidRPr="002B55E9">
        <w:rPr>
          <w:rFonts w:eastAsia="黑体" w:hint="eastAsia"/>
          <w:b/>
          <w:bCs/>
          <w:sz w:val="24"/>
        </w:rPr>
        <w:t>卫生防护距离计算系数</w:t>
      </w:r>
    </w:p>
    <w:tbl>
      <w:tblPr>
        <w:tblW w:w="985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94"/>
        <w:gridCol w:w="2016"/>
        <w:gridCol w:w="844"/>
        <w:gridCol w:w="676"/>
        <w:gridCol w:w="676"/>
        <w:gridCol w:w="676"/>
        <w:gridCol w:w="676"/>
        <w:gridCol w:w="676"/>
        <w:gridCol w:w="676"/>
        <w:gridCol w:w="676"/>
        <w:gridCol w:w="668"/>
      </w:tblGrid>
      <w:tr w:rsidR="002B55E9" w:rsidRPr="002B55E9" w14:paraId="5EFDC9E8" w14:textId="77777777">
        <w:trPr>
          <w:trHeight w:val="227"/>
          <w:tblHeader/>
        </w:trPr>
        <w:tc>
          <w:tcPr>
            <w:tcW w:w="1594" w:type="dxa"/>
            <w:vMerge w:val="restart"/>
            <w:tcBorders>
              <w:top w:val="single" w:sz="12" w:space="0" w:color="auto"/>
              <w:bottom w:val="single" w:sz="4" w:space="0" w:color="auto"/>
            </w:tcBorders>
            <w:vAlign w:val="center"/>
          </w:tcPr>
          <w:p w14:paraId="31585640" w14:textId="77777777" w:rsidR="00D170E5" w:rsidRPr="002B55E9" w:rsidRDefault="00EF27AD">
            <w:pPr>
              <w:snapToGrid w:val="0"/>
              <w:jc w:val="center"/>
              <w:rPr>
                <w:sz w:val="18"/>
                <w:szCs w:val="18"/>
              </w:rPr>
            </w:pPr>
            <w:r w:rsidRPr="002B55E9">
              <w:rPr>
                <w:sz w:val="18"/>
                <w:szCs w:val="18"/>
              </w:rPr>
              <w:t>计算系数</w:t>
            </w:r>
          </w:p>
        </w:tc>
        <w:tc>
          <w:tcPr>
            <w:tcW w:w="2016" w:type="dxa"/>
            <w:vMerge w:val="restart"/>
            <w:tcBorders>
              <w:top w:val="single" w:sz="12" w:space="0" w:color="auto"/>
              <w:bottom w:val="single" w:sz="4" w:space="0" w:color="auto"/>
            </w:tcBorders>
            <w:vAlign w:val="center"/>
          </w:tcPr>
          <w:p w14:paraId="24F1958A" w14:textId="77777777" w:rsidR="00D170E5" w:rsidRPr="002B55E9" w:rsidRDefault="00EF27AD">
            <w:pPr>
              <w:snapToGrid w:val="0"/>
              <w:jc w:val="center"/>
              <w:rPr>
                <w:sz w:val="18"/>
                <w:szCs w:val="18"/>
              </w:rPr>
            </w:pPr>
            <w:r w:rsidRPr="002B55E9">
              <w:rPr>
                <w:sz w:val="18"/>
                <w:szCs w:val="18"/>
              </w:rPr>
              <w:t>工业企业所在地区</w:t>
            </w:r>
          </w:p>
          <w:p w14:paraId="6302A320" w14:textId="77777777" w:rsidR="00D170E5" w:rsidRPr="002B55E9" w:rsidRDefault="00EF27AD">
            <w:pPr>
              <w:snapToGrid w:val="0"/>
              <w:jc w:val="center"/>
              <w:rPr>
                <w:sz w:val="18"/>
                <w:szCs w:val="18"/>
              </w:rPr>
            </w:pPr>
            <w:r w:rsidRPr="002B55E9">
              <w:rPr>
                <w:sz w:val="18"/>
                <w:szCs w:val="18"/>
              </w:rPr>
              <w:t>近五年平均风速</w:t>
            </w:r>
            <w:r w:rsidRPr="002B55E9">
              <w:rPr>
                <w:sz w:val="18"/>
                <w:szCs w:val="18"/>
              </w:rPr>
              <w:t>m/s</w:t>
            </w:r>
          </w:p>
        </w:tc>
        <w:tc>
          <w:tcPr>
            <w:tcW w:w="6244" w:type="dxa"/>
            <w:gridSpan w:val="9"/>
            <w:tcBorders>
              <w:top w:val="single" w:sz="12" w:space="0" w:color="auto"/>
              <w:bottom w:val="single" w:sz="4" w:space="0" w:color="auto"/>
            </w:tcBorders>
            <w:vAlign w:val="center"/>
          </w:tcPr>
          <w:p w14:paraId="7738F437" w14:textId="77777777" w:rsidR="00D170E5" w:rsidRPr="002B55E9" w:rsidRDefault="00EF27AD">
            <w:pPr>
              <w:snapToGrid w:val="0"/>
              <w:jc w:val="center"/>
              <w:rPr>
                <w:sz w:val="18"/>
                <w:szCs w:val="18"/>
              </w:rPr>
            </w:pPr>
            <w:r w:rsidRPr="002B55E9">
              <w:rPr>
                <w:sz w:val="18"/>
                <w:szCs w:val="18"/>
              </w:rPr>
              <w:t>卫生防护距离</w:t>
            </w:r>
            <w:r w:rsidRPr="002B55E9">
              <w:rPr>
                <w:sz w:val="18"/>
                <w:szCs w:val="18"/>
              </w:rPr>
              <w:t>L,m</w:t>
            </w:r>
          </w:p>
        </w:tc>
      </w:tr>
      <w:tr w:rsidR="002B55E9" w:rsidRPr="002B55E9" w14:paraId="213BA976" w14:textId="77777777">
        <w:trPr>
          <w:trHeight w:val="227"/>
          <w:tblHeader/>
        </w:trPr>
        <w:tc>
          <w:tcPr>
            <w:tcW w:w="1594" w:type="dxa"/>
            <w:vMerge/>
            <w:tcBorders>
              <w:top w:val="single" w:sz="4" w:space="0" w:color="auto"/>
              <w:bottom w:val="single" w:sz="4" w:space="0" w:color="auto"/>
            </w:tcBorders>
            <w:vAlign w:val="center"/>
          </w:tcPr>
          <w:p w14:paraId="4937A0B9" w14:textId="77777777" w:rsidR="00D170E5" w:rsidRPr="002B55E9" w:rsidRDefault="00D170E5">
            <w:pPr>
              <w:jc w:val="left"/>
              <w:rPr>
                <w:sz w:val="18"/>
                <w:szCs w:val="18"/>
              </w:rPr>
            </w:pPr>
          </w:p>
        </w:tc>
        <w:tc>
          <w:tcPr>
            <w:tcW w:w="2016" w:type="dxa"/>
            <w:vMerge/>
            <w:tcBorders>
              <w:top w:val="single" w:sz="4" w:space="0" w:color="auto"/>
              <w:bottom w:val="single" w:sz="4" w:space="0" w:color="auto"/>
            </w:tcBorders>
            <w:vAlign w:val="center"/>
          </w:tcPr>
          <w:p w14:paraId="761DB212" w14:textId="77777777" w:rsidR="00D170E5" w:rsidRPr="002B55E9" w:rsidRDefault="00D170E5">
            <w:pPr>
              <w:jc w:val="left"/>
              <w:rPr>
                <w:sz w:val="18"/>
                <w:szCs w:val="18"/>
              </w:rPr>
            </w:pPr>
          </w:p>
        </w:tc>
        <w:tc>
          <w:tcPr>
            <w:tcW w:w="2196" w:type="dxa"/>
            <w:gridSpan w:val="3"/>
            <w:tcBorders>
              <w:top w:val="single" w:sz="4" w:space="0" w:color="auto"/>
              <w:bottom w:val="single" w:sz="4" w:space="0" w:color="auto"/>
            </w:tcBorders>
            <w:vAlign w:val="center"/>
          </w:tcPr>
          <w:p w14:paraId="6C4546B6" w14:textId="77777777" w:rsidR="00D170E5" w:rsidRPr="002B55E9" w:rsidRDefault="00EF27AD">
            <w:pPr>
              <w:snapToGrid w:val="0"/>
              <w:jc w:val="center"/>
              <w:rPr>
                <w:sz w:val="18"/>
                <w:szCs w:val="18"/>
              </w:rPr>
            </w:pPr>
            <w:r w:rsidRPr="002B55E9">
              <w:rPr>
                <w:sz w:val="18"/>
                <w:szCs w:val="18"/>
              </w:rPr>
              <w:t>L≤1000</w:t>
            </w:r>
          </w:p>
        </w:tc>
        <w:tc>
          <w:tcPr>
            <w:tcW w:w="2028" w:type="dxa"/>
            <w:gridSpan w:val="3"/>
            <w:tcBorders>
              <w:top w:val="single" w:sz="4" w:space="0" w:color="auto"/>
              <w:bottom w:val="single" w:sz="4" w:space="0" w:color="auto"/>
            </w:tcBorders>
            <w:vAlign w:val="center"/>
          </w:tcPr>
          <w:p w14:paraId="38B69CCB" w14:textId="77777777" w:rsidR="00D170E5" w:rsidRPr="002B55E9" w:rsidRDefault="00EF27AD">
            <w:pPr>
              <w:snapToGrid w:val="0"/>
              <w:jc w:val="center"/>
              <w:rPr>
                <w:sz w:val="18"/>
                <w:szCs w:val="18"/>
              </w:rPr>
            </w:pPr>
            <w:r w:rsidRPr="002B55E9">
              <w:rPr>
                <w:sz w:val="18"/>
                <w:szCs w:val="18"/>
              </w:rPr>
              <w:t>1000</w:t>
            </w:r>
            <w:r w:rsidRPr="002B55E9">
              <w:rPr>
                <w:sz w:val="18"/>
                <w:szCs w:val="18"/>
              </w:rPr>
              <w:t>＜</w:t>
            </w:r>
            <w:r w:rsidRPr="002B55E9">
              <w:rPr>
                <w:sz w:val="18"/>
                <w:szCs w:val="18"/>
              </w:rPr>
              <w:t>L≤2000</w:t>
            </w:r>
          </w:p>
        </w:tc>
        <w:tc>
          <w:tcPr>
            <w:tcW w:w="2020" w:type="dxa"/>
            <w:gridSpan w:val="3"/>
            <w:tcBorders>
              <w:top w:val="single" w:sz="4" w:space="0" w:color="auto"/>
              <w:bottom w:val="single" w:sz="4" w:space="0" w:color="auto"/>
            </w:tcBorders>
            <w:vAlign w:val="center"/>
          </w:tcPr>
          <w:p w14:paraId="50A9E825" w14:textId="77777777" w:rsidR="00D170E5" w:rsidRPr="002B55E9" w:rsidRDefault="00EF27AD">
            <w:pPr>
              <w:snapToGrid w:val="0"/>
              <w:jc w:val="center"/>
              <w:rPr>
                <w:sz w:val="18"/>
                <w:szCs w:val="18"/>
              </w:rPr>
            </w:pPr>
            <w:r w:rsidRPr="002B55E9">
              <w:rPr>
                <w:sz w:val="18"/>
                <w:szCs w:val="18"/>
              </w:rPr>
              <w:t>L</w:t>
            </w:r>
            <w:r w:rsidRPr="002B55E9">
              <w:rPr>
                <w:sz w:val="18"/>
                <w:szCs w:val="18"/>
              </w:rPr>
              <w:t>＞</w:t>
            </w:r>
            <w:r w:rsidRPr="002B55E9">
              <w:rPr>
                <w:sz w:val="18"/>
                <w:szCs w:val="18"/>
              </w:rPr>
              <w:t>2000</w:t>
            </w:r>
          </w:p>
        </w:tc>
      </w:tr>
      <w:tr w:rsidR="002B55E9" w:rsidRPr="002B55E9" w14:paraId="7FB9D6A8" w14:textId="77777777">
        <w:trPr>
          <w:trHeight w:val="227"/>
          <w:tblHeader/>
        </w:trPr>
        <w:tc>
          <w:tcPr>
            <w:tcW w:w="1594" w:type="dxa"/>
            <w:vMerge/>
            <w:tcBorders>
              <w:top w:val="single" w:sz="4" w:space="0" w:color="auto"/>
              <w:bottom w:val="single" w:sz="4" w:space="0" w:color="auto"/>
            </w:tcBorders>
            <w:vAlign w:val="center"/>
          </w:tcPr>
          <w:p w14:paraId="08E0DB6D" w14:textId="77777777" w:rsidR="00D170E5" w:rsidRPr="002B55E9" w:rsidRDefault="00D170E5">
            <w:pPr>
              <w:jc w:val="left"/>
              <w:rPr>
                <w:sz w:val="18"/>
                <w:szCs w:val="18"/>
              </w:rPr>
            </w:pPr>
          </w:p>
        </w:tc>
        <w:tc>
          <w:tcPr>
            <w:tcW w:w="2016" w:type="dxa"/>
            <w:vMerge/>
            <w:tcBorders>
              <w:top w:val="single" w:sz="4" w:space="0" w:color="auto"/>
              <w:bottom w:val="single" w:sz="4" w:space="0" w:color="auto"/>
            </w:tcBorders>
            <w:vAlign w:val="center"/>
          </w:tcPr>
          <w:p w14:paraId="354EA9FB" w14:textId="77777777" w:rsidR="00D170E5" w:rsidRPr="002B55E9" w:rsidRDefault="00D170E5">
            <w:pPr>
              <w:jc w:val="left"/>
              <w:rPr>
                <w:sz w:val="18"/>
                <w:szCs w:val="18"/>
              </w:rPr>
            </w:pPr>
          </w:p>
        </w:tc>
        <w:tc>
          <w:tcPr>
            <w:tcW w:w="6244" w:type="dxa"/>
            <w:gridSpan w:val="9"/>
            <w:tcBorders>
              <w:top w:val="single" w:sz="4" w:space="0" w:color="auto"/>
              <w:bottom w:val="single" w:sz="4" w:space="0" w:color="auto"/>
            </w:tcBorders>
            <w:vAlign w:val="center"/>
          </w:tcPr>
          <w:p w14:paraId="25DBE3AB" w14:textId="77777777" w:rsidR="00D170E5" w:rsidRPr="002B55E9" w:rsidRDefault="00EF27AD">
            <w:pPr>
              <w:snapToGrid w:val="0"/>
              <w:jc w:val="center"/>
              <w:rPr>
                <w:sz w:val="18"/>
                <w:szCs w:val="18"/>
              </w:rPr>
            </w:pPr>
            <w:r w:rsidRPr="002B55E9">
              <w:rPr>
                <w:sz w:val="18"/>
                <w:szCs w:val="18"/>
              </w:rPr>
              <w:t>工业企业大气污染源构成类别</w:t>
            </w:r>
            <w:r w:rsidRPr="002B55E9">
              <w:rPr>
                <w:sz w:val="18"/>
                <w:szCs w:val="18"/>
                <w:vertAlign w:val="superscript"/>
              </w:rPr>
              <w:t>1)</w:t>
            </w:r>
          </w:p>
        </w:tc>
      </w:tr>
      <w:tr w:rsidR="002B55E9" w:rsidRPr="002B55E9" w14:paraId="190B454F" w14:textId="77777777">
        <w:trPr>
          <w:trHeight w:val="227"/>
          <w:tblHeader/>
        </w:trPr>
        <w:tc>
          <w:tcPr>
            <w:tcW w:w="1594" w:type="dxa"/>
            <w:vMerge/>
            <w:tcBorders>
              <w:top w:val="single" w:sz="4" w:space="0" w:color="auto"/>
              <w:bottom w:val="single" w:sz="12" w:space="0" w:color="auto"/>
            </w:tcBorders>
            <w:vAlign w:val="center"/>
          </w:tcPr>
          <w:p w14:paraId="176CEC6F" w14:textId="77777777" w:rsidR="00D170E5" w:rsidRPr="002B55E9" w:rsidRDefault="00D170E5">
            <w:pPr>
              <w:jc w:val="left"/>
              <w:rPr>
                <w:sz w:val="18"/>
                <w:szCs w:val="18"/>
              </w:rPr>
            </w:pPr>
          </w:p>
        </w:tc>
        <w:tc>
          <w:tcPr>
            <w:tcW w:w="2016" w:type="dxa"/>
            <w:vMerge/>
            <w:tcBorders>
              <w:top w:val="single" w:sz="4" w:space="0" w:color="auto"/>
              <w:bottom w:val="single" w:sz="12" w:space="0" w:color="auto"/>
            </w:tcBorders>
            <w:vAlign w:val="center"/>
          </w:tcPr>
          <w:p w14:paraId="48B72C79" w14:textId="77777777" w:rsidR="00D170E5" w:rsidRPr="002B55E9" w:rsidRDefault="00D170E5">
            <w:pPr>
              <w:jc w:val="left"/>
              <w:rPr>
                <w:sz w:val="18"/>
                <w:szCs w:val="18"/>
              </w:rPr>
            </w:pPr>
          </w:p>
        </w:tc>
        <w:tc>
          <w:tcPr>
            <w:tcW w:w="844" w:type="dxa"/>
            <w:tcBorders>
              <w:top w:val="single" w:sz="4" w:space="0" w:color="auto"/>
              <w:bottom w:val="single" w:sz="12" w:space="0" w:color="auto"/>
            </w:tcBorders>
            <w:vAlign w:val="center"/>
          </w:tcPr>
          <w:p w14:paraId="3632091B" w14:textId="77777777" w:rsidR="00D170E5" w:rsidRPr="002B55E9" w:rsidRDefault="00EF27AD">
            <w:pPr>
              <w:snapToGrid w:val="0"/>
              <w:jc w:val="center"/>
              <w:rPr>
                <w:sz w:val="18"/>
                <w:szCs w:val="18"/>
              </w:rPr>
            </w:pPr>
            <w:r w:rsidRPr="002B55E9">
              <w:rPr>
                <w:rFonts w:ascii="宋体" w:hAnsi="宋体" w:cs="宋体" w:hint="eastAsia"/>
                <w:sz w:val="18"/>
                <w:szCs w:val="18"/>
              </w:rPr>
              <w:t>Ⅰ</w:t>
            </w:r>
          </w:p>
        </w:tc>
        <w:tc>
          <w:tcPr>
            <w:tcW w:w="676" w:type="dxa"/>
            <w:tcBorders>
              <w:top w:val="single" w:sz="4" w:space="0" w:color="auto"/>
              <w:bottom w:val="single" w:sz="12" w:space="0" w:color="auto"/>
            </w:tcBorders>
            <w:vAlign w:val="center"/>
          </w:tcPr>
          <w:p w14:paraId="389420E8" w14:textId="77777777" w:rsidR="00D170E5" w:rsidRPr="002B55E9" w:rsidRDefault="00EF27AD">
            <w:pPr>
              <w:snapToGrid w:val="0"/>
              <w:jc w:val="center"/>
              <w:rPr>
                <w:sz w:val="18"/>
                <w:szCs w:val="18"/>
              </w:rPr>
            </w:pPr>
            <w:r w:rsidRPr="002B55E9">
              <w:rPr>
                <w:rFonts w:ascii="宋体" w:hAnsi="宋体" w:cs="宋体" w:hint="eastAsia"/>
                <w:sz w:val="18"/>
                <w:szCs w:val="18"/>
              </w:rPr>
              <w:t>Ⅱ</w:t>
            </w:r>
          </w:p>
        </w:tc>
        <w:tc>
          <w:tcPr>
            <w:tcW w:w="676" w:type="dxa"/>
            <w:tcBorders>
              <w:top w:val="single" w:sz="4" w:space="0" w:color="auto"/>
              <w:bottom w:val="single" w:sz="12" w:space="0" w:color="auto"/>
            </w:tcBorders>
            <w:vAlign w:val="center"/>
          </w:tcPr>
          <w:p w14:paraId="25BF44CA" w14:textId="77777777" w:rsidR="00D170E5" w:rsidRPr="002B55E9" w:rsidRDefault="00EF27AD">
            <w:pPr>
              <w:snapToGrid w:val="0"/>
              <w:jc w:val="center"/>
              <w:rPr>
                <w:sz w:val="18"/>
                <w:szCs w:val="18"/>
              </w:rPr>
            </w:pPr>
            <w:r w:rsidRPr="002B55E9">
              <w:rPr>
                <w:rFonts w:ascii="宋体" w:hAnsi="宋体" w:cs="宋体" w:hint="eastAsia"/>
                <w:sz w:val="18"/>
                <w:szCs w:val="18"/>
              </w:rPr>
              <w:t>Ⅲ</w:t>
            </w:r>
          </w:p>
        </w:tc>
        <w:tc>
          <w:tcPr>
            <w:tcW w:w="676" w:type="dxa"/>
            <w:tcBorders>
              <w:top w:val="single" w:sz="4" w:space="0" w:color="auto"/>
              <w:bottom w:val="single" w:sz="12" w:space="0" w:color="auto"/>
            </w:tcBorders>
            <w:vAlign w:val="center"/>
          </w:tcPr>
          <w:p w14:paraId="35BED16D" w14:textId="77777777" w:rsidR="00D170E5" w:rsidRPr="002B55E9" w:rsidRDefault="00EF27AD">
            <w:pPr>
              <w:snapToGrid w:val="0"/>
              <w:jc w:val="center"/>
              <w:rPr>
                <w:sz w:val="18"/>
                <w:szCs w:val="18"/>
              </w:rPr>
            </w:pPr>
            <w:r w:rsidRPr="002B55E9">
              <w:rPr>
                <w:rFonts w:ascii="宋体" w:hAnsi="宋体" w:cs="宋体" w:hint="eastAsia"/>
                <w:sz w:val="18"/>
                <w:szCs w:val="18"/>
              </w:rPr>
              <w:t>Ⅰ</w:t>
            </w:r>
          </w:p>
        </w:tc>
        <w:tc>
          <w:tcPr>
            <w:tcW w:w="676" w:type="dxa"/>
            <w:tcBorders>
              <w:top w:val="single" w:sz="4" w:space="0" w:color="auto"/>
              <w:bottom w:val="single" w:sz="12" w:space="0" w:color="auto"/>
            </w:tcBorders>
            <w:vAlign w:val="center"/>
          </w:tcPr>
          <w:p w14:paraId="7475067B" w14:textId="77777777" w:rsidR="00D170E5" w:rsidRPr="002B55E9" w:rsidRDefault="00EF27AD">
            <w:pPr>
              <w:snapToGrid w:val="0"/>
              <w:jc w:val="center"/>
              <w:rPr>
                <w:sz w:val="18"/>
                <w:szCs w:val="18"/>
              </w:rPr>
            </w:pPr>
            <w:r w:rsidRPr="002B55E9">
              <w:rPr>
                <w:rFonts w:ascii="宋体" w:hAnsi="宋体" w:cs="宋体" w:hint="eastAsia"/>
                <w:sz w:val="18"/>
                <w:szCs w:val="18"/>
              </w:rPr>
              <w:t>Ⅱ</w:t>
            </w:r>
          </w:p>
        </w:tc>
        <w:tc>
          <w:tcPr>
            <w:tcW w:w="676" w:type="dxa"/>
            <w:tcBorders>
              <w:top w:val="single" w:sz="4" w:space="0" w:color="auto"/>
              <w:bottom w:val="single" w:sz="12" w:space="0" w:color="auto"/>
            </w:tcBorders>
            <w:vAlign w:val="center"/>
          </w:tcPr>
          <w:p w14:paraId="48868C40" w14:textId="77777777" w:rsidR="00D170E5" w:rsidRPr="002B55E9" w:rsidRDefault="00EF27AD">
            <w:pPr>
              <w:snapToGrid w:val="0"/>
              <w:jc w:val="center"/>
              <w:rPr>
                <w:sz w:val="18"/>
                <w:szCs w:val="18"/>
              </w:rPr>
            </w:pPr>
            <w:r w:rsidRPr="002B55E9">
              <w:rPr>
                <w:rFonts w:ascii="宋体" w:hAnsi="宋体" w:cs="宋体" w:hint="eastAsia"/>
                <w:sz w:val="18"/>
                <w:szCs w:val="18"/>
              </w:rPr>
              <w:t>Ⅲ</w:t>
            </w:r>
          </w:p>
        </w:tc>
        <w:tc>
          <w:tcPr>
            <w:tcW w:w="676" w:type="dxa"/>
            <w:tcBorders>
              <w:top w:val="single" w:sz="4" w:space="0" w:color="auto"/>
              <w:bottom w:val="single" w:sz="12" w:space="0" w:color="auto"/>
            </w:tcBorders>
            <w:vAlign w:val="center"/>
          </w:tcPr>
          <w:p w14:paraId="6CBF5EEB" w14:textId="77777777" w:rsidR="00D170E5" w:rsidRPr="002B55E9" w:rsidRDefault="00EF27AD">
            <w:pPr>
              <w:snapToGrid w:val="0"/>
              <w:jc w:val="center"/>
              <w:rPr>
                <w:sz w:val="18"/>
                <w:szCs w:val="18"/>
              </w:rPr>
            </w:pPr>
            <w:r w:rsidRPr="002B55E9">
              <w:rPr>
                <w:rFonts w:ascii="宋体" w:hAnsi="宋体" w:cs="宋体" w:hint="eastAsia"/>
                <w:sz w:val="18"/>
                <w:szCs w:val="18"/>
              </w:rPr>
              <w:t>Ⅰ</w:t>
            </w:r>
          </w:p>
        </w:tc>
        <w:tc>
          <w:tcPr>
            <w:tcW w:w="676" w:type="dxa"/>
            <w:tcBorders>
              <w:top w:val="single" w:sz="4" w:space="0" w:color="auto"/>
              <w:bottom w:val="single" w:sz="12" w:space="0" w:color="auto"/>
            </w:tcBorders>
            <w:vAlign w:val="center"/>
          </w:tcPr>
          <w:p w14:paraId="04A95E40" w14:textId="77777777" w:rsidR="00D170E5" w:rsidRPr="002B55E9" w:rsidRDefault="00EF27AD">
            <w:pPr>
              <w:snapToGrid w:val="0"/>
              <w:jc w:val="center"/>
              <w:rPr>
                <w:sz w:val="18"/>
                <w:szCs w:val="18"/>
              </w:rPr>
            </w:pPr>
            <w:r w:rsidRPr="002B55E9">
              <w:rPr>
                <w:rFonts w:ascii="宋体" w:hAnsi="宋体" w:cs="宋体" w:hint="eastAsia"/>
                <w:sz w:val="18"/>
                <w:szCs w:val="18"/>
              </w:rPr>
              <w:t>Ⅱ</w:t>
            </w:r>
          </w:p>
        </w:tc>
        <w:tc>
          <w:tcPr>
            <w:tcW w:w="668" w:type="dxa"/>
            <w:tcBorders>
              <w:top w:val="single" w:sz="4" w:space="0" w:color="auto"/>
              <w:bottom w:val="single" w:sz="12" w:space="0" w:color="auto"/>
            </w:tcBorders>
            <w:vAlign w:val="center"/>
          </w:tcPr>
          <w:p w14:paraId="709180E8" w14:textId="77777777" w:rsidR="00D170E5" w:rsidRPr="002B55E9" w:rsidRDefault="00EF27AD">
            <w:pPr>
              <w:snapToGrid w:val="0"/>
              <w:jc w:val="center"/>
              <w:rPr>
                <w:sz w:val="18"/>
                <w:szCs w:val="18"/>
              </w:rPr>
            </w:pPr>
            <w:r w:rsidRPr="002B55E9">
              <w:rPr>
                <w:rFonts w:ascii="宋体" w:hAnsi="宋体" w:cs="宋体" w:hint="eastAsia"/>
                <w:sz w:val="18"/>
                <w:szCs w:val="18"/>
              </w:rPr>
              <w:t>Ⅲ</w:t>
            </w:r>
          </w:p>
        </w:tc>
      </w:tr>
      <w:tr w:rsidR="002B55E9" w:rsidRPr="002B55E9" w14:paraId="1C3C1C09" w14:textId="77777777">
        <w:trPr>
          <w:trHeight w:val="227"/>
        </w:trPr>
        <w:tc>
          <w:tcPr>
            <w:tcW w:w="1594" w:type="dxa"/>
            <w:vMerge w:val="restart"/>
            <w:tcBorders>
              <w:top w:val="single" w:sz="12" w:space="0" w:color="auto"/>
            </w:tcBorders>
            <w:vAlign w:val="center"/>
          </w:tcPr>
          <w:p w14:paraId="606EB972" w14:textId="77777777" w:rsidR="00D170E5" w:rsidRPr="002B55E9" w:rsidRDefault="00EF27AD">
            <w:pPr>
              <w:snapToGrid w:val="0"/>
              <w:jc w:val="center"/>
              <w:rPr>
                <w:sz w:val="18"/>
                <w:szCs w:val="18"/>
              </w:rPr>
            </w:pPr>
            <w:r w:rsidRPr="002B55E9">
              <w:rPr>
                <w:sz w:val="18"/>
                <w:szCs w:val="18"/>
              </w:rPr>
              <w:t>A</w:t>
            </w:r>
          </w:p>
        </w:tc>
        <w:tc>
          <w:tcPr>
            <w:tcW w:w="2016" w:type="dxa"/>
            <w:tcBorders>
              <w:top w:val="single" w:sz="12" w:space="0" w:color="auto"/>
            </w:tcBorders>
            <w:vAlign w:val="center"/>
          </w:tcPr>
          <w:p w14:paraId="12CD2AC6" w14:textId="77777777" w:rsidR="00D170E5" w:rsidRPr="002B55E9" w:rsidRDefault="00EF27AD">
            <w:pPr>
              <w:snapToGrid w:val="0"/>
              <w:jc w:val="center"/>
              <w:rPr>
                <w:sz w:val="18"/>
                <w:szCs w:val="18"/>
              </w:rPr>
            </w:pPr>
            <w:r w:rsidRPr="002B55E9">
              <w:rPr>
                <w:sz w:val="18"/>
                <w:szCs w:val="18"/>
              </w:rPr>
              <w:t>&lt;2</w:t>
            </w:r>
          </w:p>
        </w:tc>
        <w:tc>
          <w:tcPr>
            <w:tcW w:w="844" w:type="dxa"/>
            <w:tcBorders>
              <w:top w:val="single" w:sz="12" w:space="0" w:color="auto"/>
            </w:tcBorders>
            <w:vAlign w:val="center"/>
          </w:tcPr>
          <w:p w14:paraId="63EEB808"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5816FD65"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0503FA84"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04AE3FDF"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2BD4FE0B"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2522B008" w14:textId="77777777" w:rsidR="00D170E5" w:rsidRPr="002B55E9" w:rsidRDefault="00EF27AD">
            <w:pPr>
              <w:snapToGrid w:val="0"/>
              <w:jc w:val="center"/>
              <w:rPr>
                <w:sz w:val="18"/>
                <w:szCs w:val="18"/>
              </w:rPr>
            </w:pPr>
            <w:r w:rsidRPr="002B55E9">
              <w:rPr>
                <w:sz w:val="18"/>
                <w:szCs w:val="18"/>
              </w:rPr>
              <w:t>400</w:t>
            </w:r>
          </w:p>
        </w:tc>
        <w:tc>
          <w:tcPr>
            <w:tcW w:w="676" w:type="dxa"/>
            <w:tcBorders>
              <w:top w:val="single" w:sz="12" w:space="0" w:color="auto"/>
            </w:tcBorders>
            <w:vAlign w:val="center"/>
          </w:tcPr>
          <w:p w14:paraId="3EC7FA0C" w14:textId="77777777" w:rsidR="00D170E5" w:rsidRPr="002B55E9" w:rsidRDefault="00EF27AD">
            <w:pPr>
              <w:snapToGrid w:val="0"/>
              <w:jc w:val="center"/>
              <w:rPr>
                <w:sz w:val="18"/>
                <w:szCs w:val="18"/>
              </w:rPr>
            </w:pPr>
            <w:r w:rsidRPr="002B55E9">
              <w:rPr>
                <w:sz w:val="18"/>
                <w:szCs w:val="18"/>
              </w:rPr>
              <w:t>80</w:t>
            </w:r>
          </w:p>
        </w:tc>
        <w:tc>
          <w:tcPr>
            <w:tcW w:w="676" w:type="dxa"/>
            <w:tcBorders>
              <w:top w:val="single" w:sz="12" w:space="0" w:color="auto"/>
            </w:tcBorders>
            <w:vAlign w:val="center"/>
          </w:tcPr>
          <w:p w14:paraId="18D081B8" w14:textId="77777777" w:rsidR="00D170E5" w:rsidRPr="002B55E9" w:rsidRDefault="00EF27AD">
            <w:pPr>
              <w:snapToGrid w:val="0"/>
              <w:jc w:val="center"/>
              <w:rPr>
                <w:sz w:val="18"/>
                <w:szCs w:val="18"/>
              </w:rPr>
            </w:pPr>
            <w:r w:rsidRPr="002B55E9">
              <w:rPr>
                <w:sz w:val="18"/>
                <w:szCs w:val="18"/>
              </w:rPr>
              <w:t>80</w:t>
            </w:r>
          </w:p>
        </w:tc>
        <w:tc>
          <w:tcPr>
            <w:tcW w:w="668" w:type="dxa"/>
            <w:tcBorders>
              <w:top w:val="single" w:sz="12" w:space="0" w:color="auto"/>
            </w:tcBorders>
            <w:vAlign w:val="center"/>
          </w:tcPr>
          <w:p w14:paraId="120D1DC7" w14:textId="77777777" w:rsidR="00D170E5" w:rsidRPr="002B55E9" w:rsidRDefault="00EF27AD">
            <w:pPr>
              <w:snapToGrid w:val="0"/>
              <w:jc w:val="center"/>
              <w:rPr>
                <w:sz w:val="18"/>
                <w:szCs w:val="18"/>
              </w:rPr>
            </w:pPr>
            <w:r w:rsidRPr="002B55E9">
              <w:rPr>
                <w:sz w:val="18"/>
                <w:szCs w:val="18"/>
              </w:rPr>
              <w:t>80</w:t>
            </w:r>
          </w:p>
        </w:tc>
      </w:tr>
      <w:tr w:rsidR="002B55E9" w:rsidRPr="002B55E9" w14:paraId="100A4CEF" w14:textId="77777777">
        <w:trPr>
          <w:trHeight w:val="227"/>
        </w:trPr>
        <w:tc>
          <w:tcPr>
            <w:tcW w:w="1594" w:type="dxa"/>
            <w:vMerge/>
            <w:vAlign w:val="center"/>
          </w:tcPr>
          <w:p w14:paraId="490C3659" w14:textId="77777777" w:rsidR="00D170E5" w:rsidRPr="002B55E9" w:rsidRDefault="00D170E5">
            <w:pPr>
              <w:jc w:val="left"/>
              <w:rPr>
                <w:sz w:val="18"/>
                <w:szCs w:val="18"/>
              </w:rPr>
            </w:pPr>
          </w:p>
        </w:tc>
        <w:tc>
          <w:tcPr>
            <w:tcW w:w="2016" w:type="dxa"/>
            <w:vAlign w:val="center"/>
          </w:tcPr>
          <w:p w14:paraId="748DCD32" w14:textId="77777777" w:rsidR="00D170E5" w:rsidRPr="002B55E9" w:rsidRDefault="00EF27AD">
            <w:pPr>
              <w:snapToGrid w:val="0"/>
              <w:jc w:val="center"/>
              <w:rPr>
                <w:sz w:val="18"/>
                <w:szCs w:val="18"/>
              </w:rPr>
            </w:pPr>
            <w:r w:rsidRPr="002B55E9">
              <w:rPr>
                <w:sz w:val="18"/>
                <w:szCs w:val="18"/>
              </w:rPr>
              <w:t>2</w:t>
            </w:r>
            <w:r w:rsidRPr="002B55E9">
              <w:rPr>
                <w:sz w:val="18"/>
                <w:szCs w:val="18"/>
              </w:rPr>
              <w:t>～</w:t>
            </w:r>
            <w:r w:rsidRPr="002B55E9">
              <w:rPr>
                <w:sz w:val="18"/>
                <w:szCs w:val="18"/>
              </w:rPr>
              <w:t>4</w:t>
            </w:r>
          </w:p>
        </w:tc>
        <w:tc>
          <w:tcPr>
            <w:tcW w:w="844" w:type="dxa"/>
            <w:vAlign w:val="center"/>
          </w:tcPr>
          <w:p w14:paraId="7F05E155" w14:textId="77777777" w:rsidR="00D170E5" w:rsidRPr="002B55E9" w:rsidRDefault="00EF27AD">
            <w:pPr>
              <w:snapToGrid w:val="0"/>
              <w:jc w:val="center"/>
              <w:rPr>
                <w:sz w:val="18"/>
                <w:szCs w:val="18"/>
              </w:rPr>
            </w:pPr>
            <w:r w:rsidRPr="002B55E9">
              <w:rPr>
                <w:sz w:val="18"/>
                <w:szCs w:val="18"/>
              </w:rPr>
              <w:t>700</w:t>
            </w:r>
          </w:p>
        </w:tc>
        <w:tc>
          <w:tcPr>
            <w:tcW w:w="676" w:type="dxa"/>
            <w:vAlign w:val="center"/>
          </w:tcPr>
          <w:p w14:paraId="1FA288EB" w14:textId="77777777" w:rsidR="00D170E5" w:rsidRPr="002B55E9" w:rsidRDefault="00EF27AD">
            <w:pPr>
              <w:snapToGrid w:val="0"/>
              <w:jc w:val="center"/>
              <w:rPr>
                <w:sz w:val="18"/>
                <w:szCs w:val="18"/>
              </w:rPr>
            </w:pPr>
            <w:r w:rsidRPr="002B55E9">
              <w:rPr>
                <w:sz w:val="18"/>
                <w:szCs w:val="18"/>
              </w:rPr>
              <w:t>470</w:t>
            </w:r>
          </w:p>
        </w:tc>
        <w:tc>
          <w:tcPr>
            <w:tcW w:w="676" w:type="dxa"/>
            <w:vAlign w:val="center"/>
          </w:tcPr>
          <w:p w14:paraId="396B6FC5" w14:textId="77777777" w:rsidR="00D170E5" w:rsidRPr="002B55E9" w:rsidRDefault="00EF27AD">
            <w:pPr>
              <w:snapToGrid w:val="0"/>
              <w:jc w:val="center"/>
              <w:rPr>
                <w:sz w:val="18"/>
                <w:szCs w:val="18"/>
              </w:rPr>
            </w:pPr>
            <w:r w:rsidRPr="002B55E9">
              <w:rPr>
                <w:sz w:val="18"/>
                <w:szCs w:val="18"/>
              </w:rPr>
              <w:t>350</w:t>
            </w:r>
          </w:p>
        </w:tc>
        <w:tc>
          <w:tcPr>
            <w:tcW w:w="676" w:type="dxa"/>
            <w:vAlign w:val="center"/>
          </w:tcPr>
          <w:p w14:paraId="69ABAE95" w14:textId="77777777" w:rsidR="00D170E5" w:rsidRPr="002B55E9" w:rsidRDefault="00EF27AD">
            <w:pPr>
              <w:snapToGrid w:val="0"/>
              <w:jc w:val="center"/>
              <w:rPr>
                <w:sz w:val="18"/>
                <w:szCs w:val="18"/>
              </w:rPr>
            </w:pPr>
            <w:r w:rsidRPr="002B55E9">
              <w:rPr>
                <w:sz w:val="18"/>
                <w:szCs w:val="18"/>
              </w:rPr>
              <w:t>700</w:t>
            </w:r>
          </w:p>
        </w:tc>
        <w:tc>
          <w:tcPr>
            <w:tcW w:w="676" w:type="dxa"/>
            <w:vAlign w:val="center"/>
          </w:tcPr>
          <w:p w14:paraId="7A55780C" w14:textId="77777777" w:rsidR="00D170E5" w:rsidRPr="002B55E9" w:rsidRDefault="00EF27AD">
            <w:pPr>
              <w:snapToGrid w:val="0"/>
              <w:jc w:val="center"/>
              <w:rPr>
                <w:sz w:val="18"/>
                <w:szCs w:val="18"/>
              </w:rPr>
            </w:pPr>
            <w:r w:rsidRPr="002B55E9">
              <w:rPr>
                <w:sz w:val="18"/>
                <w:szCs w:val="18"/>
              </w:rPr>
              <w:t>470</w:t>
            </w:r>
          </w:p>
        </w:tc>
        <w:tc>
          <w:tcPr>
            <w:tcW w:w="676" w:type="dxa"/>
            <w:vAlign w:val="center"/>
          </w:tcPr>
          <w:p w14:paraId="3BEB501B" w14:textId="77777777" w:rsidR="00D170E5" w:rsidRPr="002B55E9" w:rsidRDefault="00EF27AD">
            <w:pPr>
              <w:snapToGrid w:val="0"/>
              <w:jc w:val="center"/>
              <w:rPr>
                <w:sz w:val="18"/>
                <w:szCs w:val="18"/>
              </w:rPr>
            </w:pPr>
            <w:r w:rsidRPr="002B55E9">
              <w:rPr>
                <w:sz w:val="18"/>
                <w:szCs w:val="18"/>
              </w:rPr>
              <w:t>350</w:t>
            </w:r>
          </w:p>
        </w:tc>
        <w:tc>
          <w:tcPr>
            <w:tcW w:w="676" w:type="dxa"/>
            <w:vAlign w:val="center"/>
          </w:tcPr>
          <w:p w14:paraId="4D6CFD71" w14:textId="77777777" w:rsidR="00D170E5" w:rsidRPr="002B55E9" w:rsidRDefault="00EF27AD">
            <w:pPr>
              <w:snapToGrid w:val="0"/>
              <w:jc w:val="center"/>
              <w:rPr>
                <w:sz w:val="18"/>
                <w:szCs w:val="18"/>
              </w:rPr>
            </w:pPr>
            <w:r w:rsidRPr="002B55E9">
              <w:rPr>
                <w:sz w:val="18"/>
                <w:szCs w:val="18"/>
              </w:rPr>
              <w:t>380</w:t>
            </w:r>
          </w:p>
        </w:tc>
        <w:tc>
          <w:tcPr>
            <w:tcW w:w="676" w:type="dxa"/>
            <w:vAlign w:val="center"/>
          </w:tcPr>
          <w:p w14:paraId="6943A586" w14:textId="77777777" w:rsidR="00D170E5" w:rsidRPr="002B55E9" w:rsidRDefault="00EF27AD">
            <w:pPr>
              <w:snapToGrid w:val="0"/>
              <w:jc w:val="center"/>
              <w:rPr>
                <w:sz w:val="18"/>
                <w:szCs w:val="18"/>
              </w:rPr>
            </w:pPr>
            <w:r w:rsidRPr="002B55E9">
              <w:rPr>
                <w:sz w:val="18"/>
                <w:szCs w:val="18"/>
              </w:rPr>
              <w:t>250</w:t>
            </w:r>
          </w:p>
        </w:tc>
        <w:tc>
          <w:tcPr>
            <w:tcW w:w="668" w:type="dxa"/>
            <w:vAlign w:val="center"/>
          </w:tcPr>
          <w:p w14:paraId="6331FED6" w14:textId="77777777" w:rsidR="00D170E5" w:rsidRPr="002B55E9" w:rsidRDefault="00EF27AD">
            <w:pPr>
              <w:snapToGrid w:val="0"/>
              <w:jc w:val="center"/>
              <w:rPr>
                <w:sz w:val="18"/>
                <w:szCs w:val="18"/>
              </w:rPr>
            </w:pPr>
            <w:r w:rsidRPr="002B55E9">
              <w:rPr>
                <w:sz w:val="18"/>
                <w:szCs w:val="18"/>
              </w:rPr>
              <w:t>190</w:t>
            </w:r>
          </w:p>
        </w:tc>
      </w:tr>
      <w:tr w:rsidR="002B55E9" w:rsidRPr="002B55E9" w14:paraId="1904F865" w14:textId="77777777">
        <w:trPr>
          <w:trHeight w:val="227"/>
        </w:trPr>
        <w:tc>
          <w:tcPr>
            <w:tcW w:w="1594" w:type="dxa"/>
            <w:vMerge/>
            <w:vAlign w:val="center"/>
          </w:tcPr>
          <w:p w14:paraId="76362398" w14:textId="77777777" w:rsidR="00D170E5" w:rsidRPr="002B55E9" w:rsidRDefault="00D170E5">
            <w:pPr>
              <w:jc w:val="left"/>
              <w:rPr>
                <w:sz w:val="18"/>
                <w:szCs w:val="18"/>
              </w:rPr>
            </w:pPr>
          </w:p>
        </w:tc>
        <w:tc>
          <w:tcPr>
            <w:tcW w:w="2016" w:type="dxa"/>
            <w:vAlign w:val="center"/>
          </w:tcPr>
          <w:p w14:paraId="160075F5" w14:textId="77777777" w:rsidR="00D170E5" w:rsidRPr="002B55E9" w:rsidRDefault="00EF27AD">
            <w:pPr>
              <w:snapToGrid w:val="0"/>
              <w:jc w:val="center"/>
              <w:rPr>
                <w:sz w:val="18"/>
                <w:szCs w:val="18"/>
              </w:rPr>
            </w:pPr>
            <w:r w:rsidRPr="002B55E9">
              <w:rPr>
                <w:sz w:val="18"/>
                <w:szCs w:val="18"/>
              </w:rPr>
              <w:t>&gt;4</w:t>
            </w:r>
          </w:p>
        </w:tc>
        <w:tc>
          <w:tcPr>
            <w:tcW w:w="844" w:type="dxa"/>
            <w:vAlign w:val="center"/>
          </w:tcPr>
          <w:p w14:paraId="2AB9F5AC" w14:textId="77777777" w:rsidR="00D170E5" w:rsidRPr="002B55E9" w:rsidRDefault="00EF27AD">
            <w:pPr>
              <w:snapToGrid w:val="0"/>
              <w:jc w:val="center"/>
              <w:rPr>
                <w:sz w:val="18"/>
                <w:szCs w:val="18"/>
              </w:rPr>
            </w:pPr>
            <w:r w:rsidRPr="002B55E9">
              <w:rPr>
                <w:sz w:val="18"/>
                <w:szCs w:val="18"/>
              </w:rPr>
              <w:t>530</w:t>
            </w:r>
          </w:p>
        </w:tc>
        <w:tc>
          <w:tcPr>
            <w:tcW w:w="676" w:type="dxa"/>
            <w:vAlign w:val="center"/>
          </w:tcPr>
          <w:p w14:paraId="3B128DC5" w14:textId="77777777" w:rsidR="00D170E5" w:rsidRPr="002B55E9" w:rsidRDefault="00EF27AD">
            <w:pPr>
              <w:snapToGrid w:val="0"/>
              <w:jc w:val="center"/>
              <w:rPr>
                <w:sz w:val="18"/>
                <w:szCs w:val="18"/>
              </w:rPr>
            </w:pPr>
            <w:r w:rsidRPr="002B55E9">
              <w:rPr>
                <w:sz w:val="18"/>
                <w:szCs w:val="18"/>
              </w:rPr>
              <w:t>350</w:t>
            </w:r>
          </w:p>
        </w:tc>
        <w:tc>
          <w:tcPr>
            <w:tcW w:w="676" w:type="dxa"/>
            <w:vAlign w:val="center"/>
          </w:tcPr>
          <w:p w14:paraId="51D58094" w14:textId="77777777" w:rsidR="00D170E5" w:rsidRPr="002B55E9" w:rsidRDefault="00EF27AD">
            <w:pPr>
              <w:snapToGrid w:val="0"/>
              <w:jc w:val="center"/>
              <w:rPr>
                <w:sz w:val="18"/>
                <w:szCs w:val="18"/>
              </w:rPr>
            </w:pPr>
            <w:r w:rsidRPr="002B55E9">
              <w:rPr>
                <w:sz w:val="18"/>
                <w:szCs w:val="18"/>
              </w:rPr>
              <w:t>260</w:t>
            </w:r>
          </w:p>
        </w:tc>
        <w:tc>
          <w:tcPr>
            <w:tcW w:w="676" w:type="dxa"/>
            <w:vAlign w:val="center"/>
          </w:tcPr>
          <w:p w14:paraId="06B28895" w14:textId="77777777" w:rsidR="00D170E5" w:rsidRPr="002B55E9" w:rsidRDefault="00EF27AD">
            <w:pPr>
              <w:snapToGrid w:val="0"/>
              <w:jc w:val="center"/>
              <w:rPr>
                <w:sz w:val="18"/>
                <w:szCs w:val="18"/>
              </w:rPr>
            </w:pPr>
            <w:r w:rsidRPr="002B55E9">
              <w:rPr>
                <w:sz w:val="18"/>
                <w:szCs w:val="18"/>
              </w:rPr>
              <w:t>530</w:t>
            </w:r>
          </w:p>
        </w:tc>
        <w:tc>
          <w:tcPr>
            <w:tcW w:w="676" w:type="dxa"/>
            <w:vAlign w:val="center"/>
          </w:tcPr>
          <w:p w14:paraId="0A2E754E" w14:textId="77777777" w:rsidR="00D170E5" w:rsidRPr="002B55E9" w:rsidRDefault="00EF27AD">
            <w:pPr>
              <w:snapToGrid w:val="0"/>
              <w:jc w:val="center"/>
              <w:rPr>
                <w:sz w:val="18"/>
                <w:szCs w:val="18"/>
              </w:rPr>
            </w:pPr>
            <w:r w:rsidRPr="002B55E9">
              <w:rPr>
                <w:sz w:val="18"/>
                <w:szCs w:val="18"/>
              </w:rPr>
              <w:t>350</w:t>
            </w:r>
          </w:p>
        </w:tc>
        <w:tc>
          <w:tcPr>
            <w:tcW w:w="676" w:type="dxa"/>
            <w:vAlign w:val="center"/>
          </w:tcPr>
          <w:p w14:paraId="3356D527" w14:textId="77777777" w:rsidR="00D170E5" w:rsidRPr="002B55E9" w:rsidRDefault="00EF27AD">
            <w:pPr>
              <w:snapToGrid w:val="0"/>
              <w:jc w:val="center"/>
              <w:rPr>
                <w:sz w:val="18"/>
                <w:szCs w:val="18"/>
              </w:rPr>
            </w:pPr>
            <w:r w:rsidRPr="002B55E9">
              <w:rPr>
                <w:sz w:val="18"/>
                <w:szCs w:val="18"/>
              </w:rPr>
              <w:t>260</w:t>
            </w:r>
          </w:p>
        </w:tc>
        <w:tc>
          <w:tcPr>
            <w:tcW w:w="676" w:type="dxa"/>
            <w:vAlign w:val="center"/>
          </w:tcPr>
          <w:p w14:paraId="253C0C44" w14:textId="77777777" w:rsidR="00D170E5" w:rsidRPr="002B55E9" w:rsidRDefault="00EF27AD">
            <w:pPr>
              <w:snapToGrid w:val="0"/>
              <w:jc w:val="center"/>
              <w:rPr>
                <w:sz w:val="18"/>
                <w:szCs w:val="18"/>
              </w:rPr>
            </w:pPr>
            <w:r w:rsidRPr="002B55E9">
              <w:rPr>
                <w:sz w:val="18"/>
                <w:szCs w:val="18"/>
              </w:rPr>
              <w:t>290</w:t>
            </w:r>
          </w:p>
        </w:tc>
        <w:tc>
          <w:tcPr>
            <w:tcW w:w="676" w:type="dxa"/>
            <w:vAlign w:val="center"/>
          </w:tcPr>
          <w:p w14:paraId="0BAF510B" w14:textId="77777777" w:rsidR="00D170E5" w:rsidRPr="002B55E9" w:rsidRDefault="00EF27AD">
            <w:pPr>
              <w:snapToGrid w:val="0"/>
              <w:jc w:val="center"/>
              <w:rPr>
                <w:sz w:val="18"/>
                <w:szCs w:val="18"/>
              </w:rPr>
            </w:pPr>
            <w:r w:rsidRPr="002B55E9">
              <w:rPr>
                <w:sz w:val="18"/>
                <w:szCs w:val="18"/>
              </w:rPr>
              <w:t>190</w:t>
            </w:r>
          </w:p>
        </w:tc>
        <w:tc>
          <w:tcPr>
            <w:tcW w:w="668" w:type="dxa"/>
            <w:vAlign w:val="center"/>
          </w:tcPr>
          <w:p w14:paraId="5FC4B948" w14:textId="77777777" w:rsidR="00D170E5" w:rsidRPr="002B55E9" w:rsidRDefault="00EF27AD">
            <w:pPr>
              <w:snapToGrid w:val="0"/>
              <w:jc w:val="center"/>
              <w:rPr>
                <w:sz w:val="18"/>
                <w:szCs w:val="18"/>
              </w:rPr>
            </w:pPr>
            <w:r w:rsidRPr="002B55E9">
              <w:rPr>
                <w:sz w:val="18"/>
                <w:szCs w:val="18"/>
              </w:rPr>
              <w:t>140</w:t>
            </w:r>
          </w:p>
        </w:tc>
      </w:tr>
      <w:tr w:rsidR="002B55E9" w:rsidRPr="002B55E9" w14:paraId="5F5353C1" w14:textId="77777777">
        <w:trPr>
          <w:trHeight w:val="227"/>
        </w:trPr>
        <w:tc>
          <w:tcPr>
            <w:tcW w:w="1594" w:type="dxa"/>
            <w:vMerge w:val="restart"/>
            <w:vAlign w:val="center"/>
          </w:tcPr>
          <w:p w14:paraId="6EB9EA1E" w14:textId="77777777" w:rsidR="00D170E5" w:rsidRPr="002B55E9" w:rsidRDefault="00EF27AD">
            <w:pPr>
              <w:snapToGrid w:val="0"/>
              <w:jc w:val="center"/>
              <w:rPr>
                <w:sz w:val="18"/>
                <w:szCs w:val="18"/>
              </w:rPr>
            </w:pPr>
            <w:r w:rsidRPr="002B55E9">
              <w:rPr>
                <w:sz w:val="18"/>
                <w:szCs w:val="18"/>
              </w:rPr>
              <w:t>B</w:t>
            </w:r>
          </w:p>
        </w:tc>
        <w:tc>
          <w:tcPr>
            <w:tcW w:w="2016" w:type="dxa"/>
            <w:vAlign w:val="center"/>
          </w:tcPr>
          <w:p w14:paraId="6D578046" w14:textId="77777777" w:rsidR="00D170E5" w:rsidRPr="002B55E9" w:rsidRDefault="00EF27AD">
            <w:pPr>
              <w:snapToGrid w:val="0"/>
              <w:jc w:val="center"/>
              <w:rPr>
                <w:sz w:val="18"/>
                <w:szCs w:val="18"/>
              </w:rPr>
            </w:pPr>
            <w:r w:rsidRPr="002B55E9">
              <w:rPr>
                <w:sz w:val="18"/>
                <w:szCs w:val="18"/>
              </w:rPr>
              <w:t>&lt;2</w:t>
            </w:r>
          </w:p>
        </w:tc>
        <w:tc>
          <w:tcPr>
            <w:tcW w:w="2196" w:type="dxa"/>
            <w:gridSpan w:val="3"/>
            <w:vAlign w:val="center"/>
          </w:tcPr>
          <w:p w14:paraId="50E0F58A" w14:textId="77777777" w:rsidR="00D170E5" w:rsidRPr="002B55E9" w:rsidRDefault="00EF27AD">
            <w:pPr>
              <w:snapToGrid w:val="0"/>
              <w:jc w:val="center"/>
              <w:rPr>
                <w:sz w:val="18"/>
                <w:szCs w:val="18"/>
              </w:rPr>
            </w:pPr>
            <w:r w:rsidRPr="002B55E9">
              <w:rPr>
                <w:sz w:val="18"/>
                <w:szCs w:val="18"/>
              </w:rPr>
              <w:t>0.01</w:t>
            </w:r>
          </w:p>
        </w:tc>
        <w:tc>
          <w:tcPr>
            <w:tcW w:w="2028" w:type="dxa"/>
            <w:gridSpan w:val="3"/>
            <w:vAlign w:val="center"/>
          </w:tcPr>
          <w:p w14:paraId="61388F90" w14:textId="77777777" w:rsidR="00D170E5" w:rsidRPr="002B55E9" w:rsidRDefault="00EF27AD">
            <w:pPr>
              <w:snapToGrid w:val="0"/>
              <w:jc w:val="center"/>
              <w:rPr>
                <w:sz w:val="18"/>
                <w:szCs w:val="18"/>
              </w:rPr>
            </w:pPr>
            <w:r w:rsidRPr="002B55E9">
              <w:rPr>
                <w:sz w:val="18"/>
                <w:szCs w:val="18"/>
              </w:rPr>
              <w:t>0.015</w:t>
            </w:r>
          </w:p>
        </w:tc>
        <w:tc>
          <w:tcPr>
            <w:tcW w:w="2020" w:type="dxa"/>
            <w:gridSpan w:val="3"/>
            <w:vAlign w:val="center"/>
          </w:tcPr>
          <w:p w14:paraId="51E87EBF" w14:textId="77777777" w:rsidR="00D170E5" w:rsidRPr="002B55E9" w:rsidRDefault="00EF27AD">
            <w:pPr>
              <w:snapToGrid w:val="0"/>
              <w:jc w:val="center"/>
              <w:rPr>
                <w:sz w:val="18"/>
                <w:szCs w:val="18"/>
              </w:rPr>
            </w:pPr>
            <w:r w:rsidRPr="002B55E9">
              <w:rPr>
                <w:sz w:val="18"/>
                <w:szCs w:val="18"/>
              </w:rPr>
              <w:t>0.015</w:t>
            </w:r>
          </w:p>
        </w:tc>
      </w:tr>
      <w:tr w:rsidR="002B55E9" w:rsidRPr="002B55E9" w14:paraId="4837D329" w14:textId="77777777">
        <w:trPr>
          <w:trHeight w:val="227"/>
        </w:trPr>
        <w:tc>
          <w:tcPr>
            <w:tcW w:w="1594" w:type="dxa"/>
            <w:vMerge/>
            <w:vAlign w:val="center"/>
          </w:tcPr>
          <w:p w14:paraId="1AC1024F" w14:textId="77777777" w:rsidR="00D170E5" w:rsidRPr="002B55E9" w:rsidRDefault="00D170E5">
            <w:pPr>
              <w:jc w:val="left"/>
              <w:rPr>
                <w:sz w:val="18"/>
                <w:szCs w:val="18"/>
              </w:rPr>
            </w:pPr>
          </w:p>
        </w:tc>
        <w:tc>
          <w:tcPr>
            <w:tcW w:w="2016" w:type="dxa"/>
            <w:vAlign w:val="center"/>
          </w:tcPr>
          <w:p w14:paraId="79825974" w14:textId="77777777" w:rsidR="00D170E5" w:rsidRPr="002B55E9" w:rsidRDefault="00EF27AD">
            <w:pPr>
              <w:snapToGrid w:val="0"/>
              <w:jc w:val="center"/>
              <w:rPr>
                <w:sz w:val="18"/>
                <w:szCs w:val="18"/>
              </w:rPr>
            </w:pPr>
            <w:r w:rsidRPr="002B55E9">
              <w:rPr>
                <w:sz w:val="18"/>
                <w:szCs w:val="18"/>
              </w:rPr>
              <w:t>&gt;2</w:t>
            </w:r>
          </w:p>
        </w:tc>
        <w:tc>
          <w:tcPr>
            <w:tcW w:w="2196" w:type="dxa"/>
            <w:gridSpan w:val="3"/>
            <w:vAlign w:val="center"/>
          </w:tcPr>
          <w:p w14:paraId="18AE9F4B" w14:textId="77777777" w:rsidR="00D170E5" w:rsidRPr="002B55E9" w:rsidRDefault="00EF27AD">
            <w:pPr>
              <w:snapToGrid w:val="0"/>
              <w:jc w:val="center"/>
              <w:rPr>
                <w:sz w:val="18"/>
                <w:szCs w:val="18"/>
              </w:rPr>
            </w:pPr>
            <w:r w:rsidRPr="002B55E9">
              <w:rPr>
                <w:sz w:val="18"/>
                <w:szCs w:val="18"/>
              </w:rPr>
              <w:t>0.021</w:t>
            </w:r>
          </w:p>
        </w:tc>
        <w:tc>
          <w:tcPr>
            <w:tcW w:w="2028" w:type="dxa"/>
            <w:gridSpan w:val="3"/>
            <w:vAlign w:val="center"/>
          </w:tcPr>
          <w:p w14:paraId="7E21C64D" w14:textId="77777777" w:rsidR="00D170E5" w:rsidRPr="002B55E9" w:rsidRDefault="00EF27AD">
            <w:pPr>
              <w:snapToGrid w:val="0"/>
              <w:jc w:val="center"/>
              <w:rPr>
                <w:sz w:val="18"/>
                <w:szCs w:val="18"/>
              </w:rPr>
            </w:pPr>
            <w:r w:rsidRPr="002B55E9">
              <w:rPr>
                <w:sz w:val="18"/>
                <w:szCs w:val="18"/>
              </w:rPr>
              <w:t>0.036</w:t>
            </w:r>
          </w:p>
        </w:tc>
        <w:tc>
          <w:tcPr>
            <w:tcW w:w="2020" w:type="dxa"/>
            <w:gridSpan w:val="3"/>
            <w:vAlign w:val="center"/>
          </w:tcPr>
          <w:p w14:paraId="70C171CE" w14:textId="77777777" w:rsidR="00D170E5" w:rsidRPr="002B55E9" w:rsidRDefault="00EF27AD">
            <w:pPr>
              <w:snapToGrid w:val="0"/>
              <w:jc w:val="center"/>
              <w:rPr>
                <w:sz w:val="18"/>
                <w:szCs w:val="18"/>
              </w:rPr>
            </w:pPr>
            <w:r w:rsidRPr="002B55E9">
              <w:rPr>
                <w:sz w:val="18"/>
                <w:szCs w:val="18"/>
              </w:rPr>
              <w:t>0.036</w:t>
            </w:r>
          </w:p>
        </w:tc>
      </w:tr>
      <w:tr w:rsidR="002B55E9" w:rsidRPr="002B55E9" w14:paraId="6BC044EC" w14:textId="77777777">
        <w:trPr>
          <w:trHeight w:val="227"/>
        </w:trPr>
        <w:tc>
          <w:tcPr>
            <w:tcW w:w="1594" w:type="dxa"/>
            <w:vMerge w:val="restart"/>
            <w:vAlign w:val="center"/>
          </w:tcPr>
          <w:p w14:paraId="20ACB851" w14:textId="77777777" w:rsidR="00D170E5" w:rsidRPr="002B55E9" w:rsidRDefault="00EF27AD">
            <w:pPr>
              <w:snapToGrid w:val="0"/>
              <w:jc w:val="center"/>
              <w:rPr>
                <w:sz w:val="18"/>
                <w:szCs w:val="18"/>
              </w:rPr>
            </w:pPr>
            <w:r w:rsidRPr="002B55E9">
              <w:rPr>
                <w:sz w:val="18"/>
                <w:szCs w:val="18"/>
              </w:rPr>
              <w:t>C</w:t>
            </w:r>
          </w:p>
        </w:tc>
        <w:tc>
          <w:tcPr>
            <w:tcW w:w="2016" w:type="dxa"/>
            <w:vAlign w:val="center"/>
          </w:tcPr>
          <w:p w14:paraId="1D27CEE6" w14:textId="77777777" w:rsidR="00D170E5" w:rsidRPr="002B55E9" w:rsidRDefault="00EF27AD">
            <w:pPr>
              <w:snapToGrid w:val="0"/>
              <w:jc w:val="center"/>
              <w:rPr>
                <w:sz w:val="18"/>
                <w:szCs w:val="18"/>
              </w:rPr>
            </w:pPr>
            <w:r w:rsidRPr="002B55E9">
              <w:rPr>
                <w:sz w:val="18"/>
                <w:szCs w:val="18"/>
              </w:rPr>
              <w:t>&lt;2</w:t>
            </w:r>
          </w:p>
        </w:tc>
        <w:tc>
          <w:tcPr>
            <w:tcW w:w="2196" w:type="dxa"/>
            <w:gridSpan w:val="3"/>
            <w:vAlign w:val="center"/>
          </w:tcPr>
          <w:p w14:paraId="1B390E5F" w14:textId="77777777" w:rsidR="00D170E5" w:rsidRPr="002B55E9" w:rsidRDefault="00EF27AD">
            <w:pPr>
              <w:snapToGrid w:val="0"/>
              <w:jc w:val="center"/>
              <w:rPr>
                <w:sz w:val="18"/>
                <w:szCs w:val="18"/>
              </w:rPr>
            </w:pPr>
            <w:r w:rsidRPr="002B55E9">
              <w:rPr>
                <w:sz w:val="18"/>
                <w:szCs w:val="18"/>
              </w:rPr>
              <w:t>1.85</w:t>
            </w:r>
          </w:p>
        </w:tc>
        <w:tc>
          <w:tcPr>
            <w:tcW w:w="2028" w:type="dxa"/>
            <w:gridSpan w:val="3"/>
            <w:vAlign w:val="center"/>
          </w:tcPr>
          <w:p w14:paraId="76E90A8E" w14:textId="77777777" w:rsidR="00D170E5" w:rsidRPr="002B55E9" w:rsidRDefault="00EF27AD">
            <w:pPr>
              <w:snapToGrid w:val="0"/>
              <w:jc w:val="center"/>
              <w:rPr>
                <w:sz w:val="18"/>
                <w:szCs w:val="18"/>
              </w:rPr>
            </w:pPr>
            <w:r w:rsidRPr="002B55E9">
              <w:rPr>
                <w:sz w:val="18"/>
                <w:szCs w:val="18"/>
              </w:rPr>
              <w:t>1.79</w:t>
            </w:r>
          </w:p>
        </w:tc>
        <w:tc>
          <w:tcPr>
            <w:tcW w:w="2020" w:type="dxa"/>
            <w:gridSpan w:val="3"/>
            <w:vAlign w:val="center"/>
          </w:tcPr>
          <w:p w14:paraId="6546E4B1" w14:textId="77777777" w:rsidR="00D170E5" w:rsidRPr="002B55E9" w:rsidRDefault="00EF27AD">
            <w:pPr>
              <w:snapToGrid w:val="0"/>
              <w:jc w:val="center"/>
              <w:rPr>
                <w:sz w:val="18"/>
                <w:szCs w:val="18"/>
              </w:rPr>
            </w:pPr>
            <w:r w:rsidRPr="002B55E9">
              <w:rPr>
                <w:sz w:val="18"/>
                <w:szCs w:val="18"/>
              </w:rPr>
              <w:t>1.79</w:t>
            </w:r>
          </w:p>
        </w:tc>
      </w:tr>
      <w:tr w:rsidR="002B55E9" w:rsidRPr="002B55E9" w14:paraId="3EA004E1" w14:textId="77777777">
        <w:trPr>
          <w:trHeight w:val="227"/>
        </w:trPr>
        <w:tc>
          <w:tcPr>
            <w:tcW w:w="1594" w:type="dxa"/>
            <w:vMerge/>
            <w:vAlign w:val="center"/>
          </w:tcPr>
          <w:p w14:paraId="4A20FDC8" w14:textId="77777777" w:rsidR="00D170E5" w:rsidRPr="002B55E9" w:rsidRDefault="00D170E5">
            <w:pPr>
              <w:jc w:val="left"/>
              <w:rPr>
                <w:sz w:val="18"/>
                <w:szCs w:val="18"/>
              </w:rPr>
            </w:pPr>
          </w:p>
        </w:tc>
        <w:tc>
          <w:tcPr>
            <w:tcW w:w="2016" w:type="dxa"/>
            <w:vAlign w:val="center"/>
          </w:tcPr>
          <w:p w14:paraId="6EB4B8CC" w14:textId="77777777" w:rsidR="00D170E5" w:rsidRPr="002B55E9" w:rsidRDefault="00EF27AD">
            <w:pPr>
              <w:snapToGrid w:val="0"/>
              <w:jc w:val="center"/>
              <w:rPr>
                <w:sz w:val="18"/>
                <w:szCs w:val="18"/>
              </w:rPr>
            </w:pPr>
            <w:r w:rsidRPr="002B55E9">
              <w:rPr>
                <w:sz w:val="18"/>
                <w:szCs w:val="18"/>
              </w:rPr>
              <w:t>&gt;2</w:t>
            </w:r>
          </w:p>
        </w:tc>
        <w:tc>
          <w:tcPr>
            <w:tcW w:w="2196" w:type="dxa"/>
            <w:gridSpan w:val="3"/>
            <w:vAlign w:val="center"/>
          </w:tcPr>
          <w:p w14:paraId="26224D77" w14:textId="77777777" w:rsidR="00D170E5" w:rsidRPr="002B55E9" w:rsidRDefault="00EF27AD">
            <w:pPr>
              <w:snapToGrid w:val="0"/>
              <w:jc w:val="center"/>
              <w:rPr>
                <w:sz w:val="18"/>
                <w:szCs w:val="18"/>
              </w:rPr>
            </w:pPr>
            <w:r w:rsidRPr="002B55E9">
              <w:rPr>
                <w:sz w:val="18"/>
                <w:szCs w:val="18"/>
              </w:rPr>
              <w:t>1.85</w:t>
            </w:r>
          </w:p>
        </w:tc>
        <w:tc>
          <w:tcPr>
            <w:tcW w:w="2028" w:type="dxa"/>
            <w:gridSpan w:val="3"/>
            <w:vAlign w:val="center"/>
          </w:tcPr>
          <w:p w14:paraId="0D02A2AE" w14:textId="77777777" w:rsidR="00D170E5" w:rsidRPr="002B55E9" w:rsidRDefault="00EF27AD">
            <w:pPr>
              <w:snapToGrid w:val="0"/>
              <w:jc w:val="center"/>
              <w:rPr>
                <w:sz w:val="18"/>
                <w:szCs w:val="18"/>
              </w:rPr>
            </w:pPr>
            <w:r w:rsidRPr="002B55E9">
              <w:rPr>
                <w:sz w:val="18"/>
                <w:szCs w:val="18"/>
              </w:rPr>
              <w:t>1.77</w:t>
            </w:r>
          </w:p>
        </w:tc>
        <w:tc>
          <w:tcPr>
            <w:tcW w:w="2020" w:type="dxa"/>
            <w:gridSpan w:val="3"/>
            <w:vAlign w:val="center"/>
          </w:tcPr>
          <w:p w14:paraId="39279586" w14:textId="77777777" w:rsidR="00D170E5" w:rsidRPr="002B55E9" w:rsidRDefault="00EF27AD">
            <w:pPr>
              <w:snapToGrid w:val="0"/>
              <w:jc w:val="center"/>
              <w:rPr>
                <w:sz w:val="18"/>
                <w:szCs w:val="18"/>
              </w:rPr>
            </w:pPr>
            <w:r w:rsidRPr="002B55E9">
              <w:rPr>
                <w:sz w:val="18"/>
                <w:szCs w:val="18"/>
              </w:rPr>
              <w:t>1.77</w:t>
            </w:r>
          </w:p>
        </w:tc>
      </w:tr>
      <w:tr w:rsidR="002B55E9" w:rsidRPr="002B55E9" w14:paraId="1CA7064E" w14:textId="77777777">
        <w:trPr>
          <w:trHeight w:val="227"/>
        </w:trPr>
        <w:tc>
          <w:tcPr>
            <w:tcW w:w="1594" w:type="dxa"/>
            <w:vMerge w:val="restart"/>
            <w:vAlign w:val="center"/>
          </w:tcPr>
          <w:p w14:paraId="1BE8055B" w14:textId="77777777" w:rsidR="00D170E5" w:rsidRPr="002B55E9" w:rsidRDefault="00EF27AD">
            <w:pPr>
              <w:snapToGrid w:val="0"/>
              <w:jc w:val="center"/>
              <w:rPr>
                <w:sz w:val="18"/>
                <w:szCs w:val="18"/>
              </w:rPr>
            </w:pPr>
            <w:r w:rsidRPr="002B55E9">
              <w:rPr>
                <w:sz w:val="18"/>
                <w:szCs w:val="18"/>
              </w:rPr>
              <w:t>D</w:t>
            </w:r>
          </w:p>
        </w:tc>
        <w:tc>
          <w:tcPr>
            <w:tcW w:w="2016" w:type="dxa"/>
            <w:vAlign w:val="center"/>
          </w:tcPr>
          <w:p w14:paraId="2F2230D4" w14:textId="77777777" w:rsidR="00D170E5" w:rsidRPr="002B55E9" w:rsidRDefault="00EF27AD">
            <w:pPr>
              <w:snapToGrid w:val="0"/>
              <w:jc w:val="center"/>
              <w:rPr>
                <w:sz w:val="18"/>
                <w:szCs w:val="18"/>
              </w:rPr>
            </w:pPr>
            <w:r w:rsidRPr="002B55E9">
              <w:rPr>
                <w:sz w:val="18"/>
                <w:szCs w:val="18"/>
              </w:rPr>
              <w:t>&lt;2</w:t>
            </w:r>
          </w:p>
        </w:tc>
        <w:tc>
          <w:tcPr>
            <w:tcW w:w="2196" w:type="dxa"/>
            <w:gridSpan w:val="3"/>
            <w:vAlign w:val="center"/>
          </w:tcPr>
          <w:p w14:paraId="4DB7F468" w14:textId="77777777" w:rsidR="00D170E5" w:rsidRPr="002B55E9" w:rsidRDefault="00EF27AD">
            <w:pPr>
              <w:snapToGrid w:val="0"/>
              <w:jc w:val="center"/>
              <w:rPr>
                <w:sz w:val="18"/>
                <w:szCs w:val="18"/>
              </w:rPr>
            </w:pPr>
            <w:r w:rsidRPr="002B55E9">
              <w:rPr>
                <w:sz w:val="18"/>
                <w:szCs w:val="18"/>
              </w:rPr>
              <w:t>0.78</w:t>
            </w:r>
          </w:p>
        </w:tc>
        <w:tc>
          <w:tcPr>
            <w:tcW w:w="2028" w:type="dxa"/>
            <w:gridSpan w:val="3"/>
            <w:vAlign w:val="center"/>
          </w:tcPr>
          <w:p w14:paraId="252806E2" w14:textId="77777777" w:rsidR="00D170E5" w:rsidRPr="002B55E9" w:rsidRDefault="00EF27AD">
            <w:pPr>
              <w:snapToGrid w:val="0"/>
              <w:jc w:val="center"/>
              <w:rPr>
                <w:sz w:val="18"/>
                <w:szCs w:val="18"/>
              </w:rPr>
            </w:pPr>
            <w:r w:rsidRPr="002B55E9">
              <w:rPr>
                <w:sz w:val="18"/>
                <w:szCs w:val="18"/>
              </w:rPr>
              <w:t>0.78</w:t>
            </w:r>
          </w:p>
        </w:tc>
        <w:tc>
          <w:tcPr>
            <w:tcW w:w="2020" w:type="dxa"/>
            <w:gridSpan w:val="3"/>
            <w:vAlign w:val="center"/>
          </w:tcPr>
          <w:p w14:paraId="0B9CE26C" w14:textId="77777777" w:rsidR="00D170E5" w:rsidRPr="002B55E9" w:rsidRDefault="00EF27AD">
            <w:pPr>
              <w:snapToGrid w:val="0"/>
              <w:jc w:val="center"/>
              <w:rPr>
                <w:sz w:val="18"/>
                <w:szCs w:val="18"/>
              </w:rPr>
            </w:pPr>
            <w:r w:rsidRPr="002B55E9">
              <w:rPr>
                <w:sz w:val="18"/>
                <w:szCs w:val="18"/>
              </w:rPr>
              <w:t>0.57</w:t>
            </w:r>
          </w:p>
        </w:tc>
      </w:tr>
      <w:tr w:rsidR="002B55E9" w:rsidRPr="002B55E9" w14:paraId="0263A9CB" w14:textId="77777777">
        <w:trPr>
          <w:trHeight w:val="227"/>
        </w:trPr>
        <w:tc>
          <w:tcPr>
            <w:tcW w:w="1594" w:type="dxa"/>
            <w:vMerge/>
            <w:vAlign w:val="center"/>
          </w:tcPr>
          <w:p w14:paraId="4EA9933C" w14:textId="77777777" w:rsidR="00D170E5" w:rsidRPr="002B55E9" w:rsidRDefault="00D170E5">
            <w:pPr>
              <w:jc w:val="left"/>
              <w:rPr>
                <w:sz w:val="18"/>
                <w:szCs w:val="18"/>
              </w:rPr>
            </w:pPr>
          </w:p>
        </w:tc>
        <w:tc>
          <w:tcPr>
            <w:tcW w:w="2016" w:type="dxa"/>
            <w:vAlign w:val="center"/>
          </w:tcPr>
          <w:p w14:paraId="5A8247C7" w14:textId="77777777" w:rsidR="00D170E5" w:rsidRPr="002B55E9" w:rsidRDefault="00EF27AD">
            <w:pPr>
              <w:snapToGrid w:val="0"/>
              <w:jc w:val="center"/>
              <w:rPr>
                <w:sz w:val="18"/>
                <w:szCs w:val="18"/>
              </w:rPr>
            </w:pPr>
            <w:r w:rsidRPr="002B55E9">
              <w:rPr>
                <w:sz w:val="18"/>
                <w:szCs w:val="18"/>
              </w:rPr>
              <w:t>&gt;2</w:t>
            </w:r>
          </w:p>
        </w:tc>
        <w:tc>
          <w:tcPr>
            <w:tcW w:w="2196" w:type="dxa"/>
            <w:gridSpan w:val="3"/>
            <w:vAlign w:val="center"/>
          </w:tcPr>
          <w:p w14:paraId="5308751C" w14:textId="77777777" w:rsidR="00D170E5" w:rsidRPr="002B55E9" w:rsidRDefault="00EF27AD">
            <w:pPr>
              <w:snapToGrid w:val="0"/>
              <w:jc w:val="center"/>
              <w:rPr>
                <w:sz w:val="18"/>
                <w:szCs w:val="18"/>
              </w:rPr>
            </w:pPr>
            <w:r w:rsidRPr="002B55E9">
              <w:rPr>
                <w:sz w:val="18"/>
                <w:szCs w:val="18"/>
              </w:rPr>
              <w:t>0.84</w:t>
            </w:r>
          </w:p>
        </w:tc>
        <w:tc>
          <w:tcPr>
            <w:tcW w:w="2028" w:type="dxa"/>
            <w:gridSpan w:val="3"/>
            <w:vAlign w:val="center"/>
          </w:tcPr>
          <w:p w14:paraId="06818885" w14:textId="77777777" w:rsidR="00D170E5" w:rsidRPr="002B55E9" w:rsidRDefault="00EF27AD">
            <w:pPr>
              <w:snapToGrid w:val="0"/>
              <w:jc w:val="center"/>
              <w:rPr>
                <w:sz w:val="18"/>
                <w:szCs w:val="18"/>
              </w:rPr>
            </w:pPr>
            <w:r w:rsidRPr="002B55E9">
              <w:rPr>
                <w:sz w:val="18"/>
                <w:szCs w:val="18"/>
              </w:rPr>
              <w:t>0.84</w:t>
            </w:r>
          </w:p>
        </w:tc>
        <w:tc>
          <w:tcPr>
            <w:tcW w:w="2020" w:type="dxa"/>
            <w:gridSpan w:val="3"/>
            <w:vAlign w:val="center"/>
          </w:tcPr>
          <w:p w14:paraId="325F0586" w14:textId="77777777" w:rsidR="00D170E5" w:rsidRPr="002B55E9" w:rsidRDefault="00EF27AD">
            <w:pPr>
              <w:snapToGrid w:val="0"/>
              <w:jc w:val="center"/>
              <w:rPr>
                <w:sz w:val="18"/>
                <w:szCs w:val="18"/>
              </w:rPr>
            </w:pPr>
            <w:r w:rsidRPr="002B55E9">
              <w:rPr>
                <w:sz w:val="18"/>
                <w:szCs w:val="18"/>
              </w:rPr>
              <w:t>0.76</w:t>
            </w:r>
          </w:p>
        </w:tc>
      </w:tr>
    </w:tbl>
    <w:p w14:paraId="4475887E" w14:textId="77777777" w:rsidR="00D170E5" w:rsidRPr="002B55E9" w:rsidRDefault="00EF27AD">
      <w:pPr>
        <w:pStyle w:val="affff7"/>
        <w:snapToGrid w:val="0"/>
        <w:spacing w:line="240" w:lineRule="auto"/>
        <w:ind w:firstLine="360"/>
        <w:rPr>
          <w:sz w:val="18"/>
          <w:szCs w:val="18"/>
        </w:rPr>
      </w:pPr>
      <w:r w:rsidRPr="002B55E9">
        <w:rPr>
          <w:sz w:val="18"/>
          <w:szCs w:val="18"/>
        </w:rPr>
        <w:t>注工业企业大气污染源构成分为三类：</w:t>
      </w:r>
    </w:p>
    <w:p w14:paraId="6C022902" w14:textId="77777777" w:rsidR="00D170E5" w:rsidRPr="002B55E9" w:rsidRDefault="00EF27AD">
      <w:pPr>
        <w:pStyle w:val="affff7"/>
        <w:snapToGrid w:val="0"/>
        <w:spacing w:line="240" w:lineRule="auto"/>
        <w:ind w:firstLine="360"/>
        <w:rPr>
          <w:sz w:val="18"/>
          <w:szCs w:val="18"/>
        </w:rPr>
      </w:pPr>
      <w:r w:rsidRPr="002B55E9">
        <w:rPr>
          <w:rFonts w:ascii="宋体" w:hAnsi="宋体" w:cs="宋体" w:hint="eastAsia"/>
          <w:sz w:val="18"/>
          <w:szCs w:val="18"/>
        </w:rPr>
        <w:t>Ⅰ</w:t>
      </w:r>
      <w:r w:rsidRPr="002B55E9">
        <w:rPr>
          <w:sz w:val="18"/>
          <w:szCs w:val="18"/>
        </w:rPr>
        <w:t>类：与无组织排放源共存的排放同种有害气体的排气筒的排放量，大于标准规定的允许排放量的三分之一者。</w:t>
      </w:r>
    </w:p>
    <w:p w14:paraId="29EC1D66" w14:textId="77777777" w:rsidR="00D170E5" w:rsidRPr="002B55E9" w:rsidRDefault="00EF27AD">
      <w:pPr>
        <w:pStyle w:val="affff7"/>
        <w:snapToGrid w:val="0"/>
        <w:spacing w:line="240" w:lineRule="auto"/>
        <w:ind w:firstLine="360"/>
        <w:rPr>
          <w:sz w:val="18"/>
          <w:szCs w:val="18"/>
        </w:rPr>
      </w:pPr>
      <w:r w:rsidRPr="002B55E9">
        <w:rPr>
          <w:rFonts w:ascii="宋体" w:hAnsi="宋体" w:cs="宋体" w:hint="eastAsia"/>
          <w:sz w:val="18"/>
          <w:szCs w:val="18"/>
        </w:rPr>
        <w:lastRenderedPageBreak/>
        <w:t>Ⅱ</w:t>
      </w:r>
      <w:r w:rsidRPr="002B55E9">
        <w:rPr>
          <w:sz w:val="18"/>
          <w:szCs w:val="18"/>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6230ACA4" w14:textId="77777777" w:rsidR="00D170E5" w:rsidRPr="002B55E9" w:rsidRDefault="00EF27AD">
      <w:pPr>
        <w:spacing w:line="360" w:lineRule="auto"/>
        <w:ind w:firstLine="482"/>
        <w:rPr>
          <w:spacing w:val="6"/>
          <w:sz w:val="24"/>
        </w:rPr>
      </w:pPr>
      <w:r w:rsidRPr="002B55E9">
        <w:rPr>
          <w:rFonts w:ascii="宋体" w:hAnsi="宋体" w:cs="宋体" w:hint="eastAsia"/>
          <w:sz w:val="18"/>
          <w:szCs w:val="18"/>
        </w:rPr>
        <w:t>Ⅲ</w:t>
      </w:r>
      <w:r w:rsidRPr="002B55E9">
        <w:rPr>
          <w:sz w:val="18"/>
          <w:szCs w:val="18"/>
        </w:rPr>
        <w:t>类：无排放同种有害物质的排气筒与无组织排放源共存，且无组织排放的有害物质的容许浓度是按慢性反应指标确定。</w:t>
      </w:r>
    </w:p>
    <w:p w14:paraId="005C0093" w14:textId="77777777" w:rsidR="00D170E5" w:rsidRPr="002B55E9" w:rsidRDefault="00EF27AD">
      <w:pPr>
        <w:pStyle w:val="affff7"/>
        <w:adjustRightInd w:val="0"/>
        <w:snapToGrid w:val="0"/>
        <w:spacing w:after="0"/>
      </w:pPr>
      <w:r w:rsidRPr="002B55E9">
        <w:rPr>
          <w:bCs w:val="0"/>
        </w:rPr>
        <w:t>《大气有害物质无组织排放卫生防护距离推导技术导则</w:t>
      </w:r>
      <w:r w:rsidRPr="002B55E9">
        <w:rPr>
          <w:bCs w:val="0"/>
        </w:rPr>
        <w:t xml:space="preserve"> GB/T 39499-2020</w:t>
      </w:r>
      <w:r w:rsidRPr="002B55E9">
        <w:rPr>
          <w:bCs w:val="0"/>
        </w:rPr>
        <w:t>》中第</w:t>
      </w:r>
      <w:r w:rsidRPr="002B55E9">
        <w:rPr>
          <w:bCs w:val="0"/>
        </w:rPr>
        <w:t>6.1</w:t>
      </w:r>
      <w:r w:rsidRPr="002B55E9">
        <w:rPr>
          <w:bCs w:val="0"/>
        </w:rPr>
        <w:t>条：卫生防护距离在</w:t>
      </w:r>
      <w:r w:rsidRPr="002B55E9">
        <w:rPr>
          <w:bCs w:val="0"/>
        </w:rPr>
        <w:t>100m</w:t>
      </w:r>
      <w:r w:rsidRPr="002B55E9">
        <w:rPr>
          <w:bCs w:val="0"/>
        </w:rPr>
        <w:t>以内时，级差为</w:t>
      </w:r>
      <w:r w:rsidRPr="002B55E9">
        <w:rPr>
          <w:bCs w:val="0"/>
        </w:rPr>
        <w:t>50m</w:t>
      </w:r>
      <w:r w:rsidRPr="002B55E9">
        <w:rPr>
          <w:bCs w:val="0"/>
        </w:rPr>
        <w:t>；超过</w:t>
      </w:r>
      <w:r w:rsidRPr="002B55E9">
        <w:rPr>
          <w:bCs w:val="0"/>
        </w:rPr>
        <w:t>100m</w:t>
      </w:r>
      <w:r w:rsidRPr="002B55E9">
        <w:rPr>
          <w:bCs w:val="0"/>
        </w:rPr>
        <w:t>，但小于或等于</w:t>
      </w:r>
      <w:r w:rsidRPr="002B55E9">
        <w:rPr>
          <w:bCs w:val="0"/>
        </w:rPr>
        <w:t>1000m</w:t>
      </w:r>
      <w:r w:rsidRPr="002B55E9">
        <w:rPr>
          <w:bCs w:val="0"/>
        </w:rPr>
        <w:t>时，级差为</w:t>
      </w:r>
      <w:r w:rsidRPr="002B55E9">
        <w:rPr>
          <w:bCs w:val="0"/>
        </w:rPr>
        <w:t>100m</w:t>
      </w:r>
      <w:r w:rsidRPr="002B55E9">
        <w:rPr>
          <w:bCs w:val="0"/>
        </w:rPr>
        <w:t>；超过</w:t>
      </w:r>
      <w:r w:rsidRPr="002B55E9">
        <w:rPr>
          <w:bCs w:val="0"/>
        </w:rPr>
        <w:t>1000m</w:t>
      </w:r>
      <w:r w:rsidRPr="002B55E9">
        <w:rPr>
          <w:bCs w:val="0"/>
        </w:rPr>
        <w:t>以上，级差为</w:t>
      </w:r>
      <w:r w:rsidRPr="002B55E9">
        <w:rPr>
          <w:bCs w:val="0"/>
        </w:rPr>
        <w:t>200m</w:t>
      </w:r>
      <w:r w:rsidRPr="002B55E9">
        <w:rPr>
          <w:bCs w:val="0"/>
        </w:rPr>
        <w:t>）；</w:t>
      </w:r>
      <w:r w:rsidRPr="002B55E9">
        <w:rPr>
          <w:bCs w:val="0"/>
        </w:rPr>
        <w:t>6.2</w:t>
      </w:r>
      <w:r w:rsidRPr="002B55E9">
        <w:rPr>
          <w:bCs w:val="0"/>
        </w:rPr>
        <w:t>条：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sidRPr="002B55E9">
        <w:t>。</w:t>
      </w:r>
    </w:p>
    <w:p w14:paraId="648EB794" w14:textId="77777777" w:rsidR="00D170E5" w:rsidRPr="002B55E9" w:rsidRDefault="00EF27AD">
      <w:pPr>
        <w:pStyle w:val="affff7"/>
        <w:adjustRightInd w:val="0"/>
        <w:snapToGrid w:val="0"/>
        <w:spacing w:after="0"/>
      </w:pPr>
      <w:r w:rsidRPr="002B55E9">
        <w:rPr>
          <w:rStyle w:val="150"/>
          <w:rFonts w:ascii="Times New Roman" w:hAnsi="Times New Roman"/>
        </w:rPr>
        <w:t>根据武汉市</w:t>
      </w:r>
      <w:r w:rsidRPr="002B55E9">
        <w:rPr>
          <w:rStyle w:val="150"/>
          <w:rFonts w:ascii="Times New Roman" w:hAnsi="Times New Roman"/>
        </w:rPr>
        <w:t>2000</w:t>
      </w:r>
      <w:r w:rsidRPr="002B55E9">
        <w:rPr>
          <w:rStyle w:val="150"/>
          <w:rFonts w:ascii="Times New Roman" w:hAnsi="Times New Roman"/>
        </w:rPr>
        <w:t>年～</w:t>
      </w:r>
      <w:r w:rsidRPr="002B55E9">
        <w:rPr>
          <w:rStyle w:val="150"/>
          <w:rFonts w:ascii="Times New Roman" w:hAnsi="Times New Roman"/>
        </w:rPr>
        <w:t>2021</w:t>
      </w:r>
      <w:r w:rsidRPr="002B55E9">
        <w:rPr>
          <w:rStyle w:val="150"/>
          <w:rFonts w:ascii="Times New Roman" w:hAnsi="Times New Roman"/>
        </w:rPr>
        <w:t>年年平均风速资料，年平均风速为</w:t>
      </w:r>
      <w:r w:rsidRPr="002B55E9">
        <w:rPr>
          <w:rStyle w:val="150"/>
          <w:rFonts w:ascii="Times New Roman" w:hAnsi="Times New Roman"/>
        </w:rPr>
        <w:t>1.5m/s</w:t>
      </w:r>
      <w:r w:rsidRPr="002B55E9">
        <w:rPr>
          <w:rStyle w:val="150"/>
          <w:rFonts w:ascii="Times New Roman" w:hAnsi="Times New Roman"/>
        </w:rPr>
        <w:t>。项目</w:t>
      </w:r>
      <w:r w:rsidRPr="002B55E9">
        <w:rPr>
          <w:szCs w:val="24"/>
        </w:rPr>
        <w:t>无组织排放源卫生防护距离计算结果见下表所示：</w:t>
      </w:r>
    </w:p>
    <w:p w14:paraId="5225A11A" w14:textId="77777777" w:rsidR="00D170E5" w:rsidRPr="002B55E9" w:rsidRDefault="00EF27AD">
      <w:pPr>
        <w:snapToGrid w:val="0"/>
        <w:jc w:val="center"/>
        <w:rPr>
          <w:rFonts w:eastAsia="黑体"/>
          <w:b/>
          <w:bCs/>
          <w:sz w:val="24"/>
        </w:rPr>
      </w:pPr>
      <w:r w:rsidRPr="002B55E9">
        <w:rPr>
          <w:rFonts w:eastAsia="黑体" w:hint="eastAsia"/>
          <w:b/>
          <w:bCs/>
          <w:sz w:val="24"/>
        </w:rPr>
        <w:t>表</w:t>
      </w:r>
      <w:r w:rsidRPr="002B55E9">
        <w:rPr>
          <w:rFonts w:eastAsia="黑体" w:hint="eastAsia"/>
          <w:b/>
          <w:bCs/>
          <w:sz w:val="24"/>
        </w:rPr>
        <w:t>5</w:t>
      </w:r>
      <w:r w:rsidRPr="002B55E9">
        <w:rPr>
          <w:rFonts w:eastAsia="黑体"/>
          <w:b/>
          <w:bCs/>
          <w:sz w:val="24"/>
        </w:rPr>
        <w:t xml:space="preserve">-2-22  </w:t>
      </w:r>
      <w:r w:rsidRPr="002B55E9">
        <w:rPr>
          <w:rFonts w:eastAsia="黑体" w:hint="eastAsia"/>
          <w:b/>
          <w:bCs/>
          <w:sz w:val="24"/>
        </w:rPr>
        <w:t>拟建项目无组织排放源卫生防护距离计算参数结果一览表</w:t>
      </w:r>
    </w:p>
    <w:tbl>
      <w:tblPr>
        <w:tblStyle w:val="lgy2"/>
        <w:tblW w:w="5000" w:type="pct"/>
        <w:tblLayout w:type="fixed"/>
        <w:tblCellMar>
          <w:left w:w="28" w:type="dxa"/>
          <w:right w:w="28" w:type="dxa"/>
        </w:tblCellMar>
        <w:tblLook w:val="04A0" w:firstRow="1" w:lastRow="0" w:firstColumn="1" w:lastColumn="0" w:noHBand="0" w:noVBand="1"/>
      </w:tblPr>
      <w:tblGrid>
        <w:gridCol w:w="1362"/>
        <w:gridCol w:w="1115"/>
        <w:gridCol w:w="1515"/>
        <w:gridCol w:w="1711"/>
        <w:gridCol w:w="1792"/>
        <w:gridCol w:w="977"/>
        <w:gridCol w:w="1221"/>
      </w:tblGrid>
      <w:tr w:rsidR="002B55E9" w:rsidRPr="002B55E9" w14:paraId="7050A259"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354" w:type="dxa"/>
            <w:vMerge w:val="restart"/>
          </w:tcPr>
          <w:p w14:paraId="08A23FBC" w14:textId="77777777" w:rsidR="00D170E5" w:rsidRPr="002B55E9" w:rsidRDefault="00EF27AD" w:rsidP="00EF27AD">
            <w:pPr>
              <w:pStyle w:val="lgy-"/>
            </w:pPr>
            <w:r w:rsidRPr="002B55E9">
              <w:rPr>
                <w:rFonts w:eastAsia="宋体"/>
              </w:rPr>
              <w:t>无组织排放源</w:t>
            </w:r>
          </w:p>
        </w:tc>
        <w:tc>
          <w:tcPr>
            <w:tcW w:w="1109" w:type="dxa"/>
            <w:vMerge w:val="restart"/>
          </w:tcPr>
          <w:p w14:paraId="5373C83E" w14:textId="77777777" w:rsidR="00D170E5" w:rsidRPr="002B55E9" w:rsidRDefault="00EF27AD">
            <w:pPr>
              <w:pStyle w:val="lgy-"/>
            </w:pPr>
            <w:r w:rsidRPr="002B55E9">
              <w:rPr>
                <w:rFonts w:eastAsia="宋体"/>
              </w:rPr>
              <w:t>污染因子</w:t>
            </w:r>
          </w:p>
        </w:tc>
        <w:tc>
          <w:tcPr>
            <w:tcW w:w="1506" w:type="dxa"/>
            <w:vMerge w:val="restart"/>
          </w:tcPr>
          <w:p w14:paraId="1BD5CE2A" w14:textId="77777777" w:rsidR="00D170E5" w:rsidRPr="002B55E9" w:rsidRDefault="00EF27AD">
            <w:pPr>
              <w:pStyle w:val="lgy-"/>
            </w:pPr>
            <w:r w:rsidRPr="002B55E9">
              <w:rPr>
                <w:rFonts w:eastAsia="宋体"/>
              </w:rPr>
              <w:t>排放源强</w:t>
            </w:r>
            <w:r w:rsidRPr="002B55E9">
              <w:rPr>
                <w:rFonts w:eastAsia="宋体"/>
              </w:rPr>
              <w:t>(kg/h)</w:t>
            </w:r>
          </w:p>
        </w:tc>
        <w:tc>
          <w:tcPr>
            <w:tcW w:w="1701" w:type="dxa"/>
            <w:vMerge w:val="restart"/>
          </w:tcPr>
          <w:p w14:paraId="7452DA5A" w14:textId="77777777" w:rsidR="00D170E5" w:rsidRPr="002B55E9" w:rsidRDefault="00EF27AD">
            <w:pPr>
              <w:pStyle w:val="lgy-"/>
            </w:pPr>
            <w:r w:rsidRPr="002B55E9">
              <w:rPr>
                <w:rFonts w:eastAsia="宋体"/>
              </w:rPr>
              <w:t>无组织源规格</w:t>
            </w:r>
          </w:p>
        </w:tc>
        <w:tc>
          <w:tcPr>
            <w:tcW w:w="1782" w:type="dxa"/>
            <w:vMerge w:val="restart"/>
          </w:tcPr>
          <w:p w14:paraId="298F9845" w14:textId="77777777" w:rsidR="00D170E5" w:rsidRPr="002B55E9" w:rsidRDefault="00EF27AD">
            <w:pPr>
              <w:pStyle w:val="lgy-"/>
            </w:pPr>
            <w:r w:rsidRPr="002B55E9">
              <w:rPr>
                <w:rFonts w:eastAsia="宋体"/>
              </w:rPr>
              <w:t>污染物环境标准值（</w:t>
            </w:r>
            <w:r w:rsidRPr="002B55E9">
              <w:rPr>
                <w:rFonts w:eastAsia="宋体"/>
              </w:rPr>
              <w:t>mg/m</w:t>
            </w:r>
            <w:r w:rsidRPr="002B55E9">
              <w:rPr>
                <w:rFonts w:eastAsia="宋体"/>
                <w:vertAlign w:val="superscript"/>
              </w:rPr>
              <w:t>3</w:t>
            </w:r>
            <w:r w:rsidRPr="002B55E9">
              <w:rPr>
                <w:rFonts w:eastAsia="宋体"/>
              </w:rPr>
              <w:t>）</w:t>
            </w:r>
          </w:p>
        </w:tc>
        <w:tc>
          <w:tcPr>
            <w:tcW w:w="2185" w:type="dxa"/>
            <w:gridSpan w:val="2"/>
          </w:tcPr>
          <w:p w14:paraId="04D1665D" w14:textId="77777777" w:rsidR="00D170E5" w:rsidRPr="002B55E9" w:rsidRDefault="00EF27AD">
            <w:pPr>
              <w:pStyle w:val="lgy-"/>
              <w:rPr>
                <w:rFonts w:eastAsia="宋体"/>
              </w:rPr>
            </w:pPr>
            <w:r w:rsidRPr="002B55E9">
              <w:rPr>
                <w:rFonts w:eastAsia="宋体"/>
              </w:rPr>
              <w:t>卫生防护距离（</w:t>
            </w:r>
            <w:r w:rsidRPr="002B55E9">
              <w:rPr>
                <w:rFonts w:eastAsia="宋体"/>
              </w:rPr>
              <w:t>m</w:t>
            </w:r>
            <w:r w:rsidRPr="002B55E9">
              <w:rPr>
                <w:rFonts w:eastAsia="宋体"/>
              </w:rPr>
              <w:t>）</w:t>
            </w:r>
          </w:p>
        </w:tc>
      </w:tr>
      <w:tr w:rsidR="002B55E9" w:rsidRPr="002B55E9" w14:paraId="7BC594AF" w14:textId="77777777" w:rsidTr="00EF27AD">
        <w:trPr>
          <w:trHeight w:val="283"/>
        </w:trPr>
        <w:tc>
          <w:tcPr>
            <w:tcW w:w="1354" w:type="dxa"/>
            <w:vMerge/>
          </w:tcPr>
          <w:p w14:paraId="607122BF" w14:textId="77777777" w:rsidR="00D170E5" w:rsidRPr="002B55E9" w:rsidRDefault="00D170E5">
            <w:pPr>
              <w:pStyle w:val="lgy-"/>
            </w:pPr>
          </w:p>
        </w:tc>
        <w:tc>
          <w:tcPr>
            <w:tcW w:w="1109" w:type="dxa"/>
            <w:vMerge/>
          </w:tcPr>
          <w:p w14:paraId="6F4EE14F" w14:textId="77777777" w:rsidR="00D170E5" w:rsidRPr="002B55E9" w:rsidRDefault="00D170E5">
            <w:pPr>
              <w:pStyle w:val="lgy-"/>
            </w:pPr>
          </w:p>
        </w:tc>
        <w:tc>
          <w:tcPr>
            <w:tcW w:w="1506" w:type="dxa"/>
            <w:vMerge/>
          </w:tcPr>
          <w:p w14:paraId="4026916E" w14:textId="77777777" w:rsidR="00D170E5" w:rsidRPr="002B55E9" w:rsidRDefault="00D170E5">
            <w:pPr>
              <w:pStyle w:val="lgy-"/>
            </w:pPr>
          </w:p>
        </w:tc>
        <w:tc>
          <w:tcPr>
            <w:tcW w:w="1701" w:type="dxa"/>
            <w:vMerge/>
          </w:tcPr>
          <w:p w14:paraId="22A5FB02" w14:textId="77777777" w:rsidR="00D170E5" w:rsidRPr="002B55E9" w:rsidRDefault="00D170E5">
            <w:pPr>
              <w:pStyle w:val="lgy-"/>
            </w:pPr>
          </w:p>
        </w:tc>
        <w:tc>
          <w:tcPr>
            <w:tcW w:w="1782" w:type="dxa"/>
            <w:vMerge/>
          </w:tcPr>
          <w:p w14:paraId="549B5198" w14:textId="77777777" w:rsidR="00D170E5" w:rsidRPr="002B55E9" w:rsidRDefault="00D170E5">
            <w:pPr>
              <w:pStyle w:val="lgy-"/>
            </w:pPr>
          </w:p>
        </w:tc>
        <w:tc>
          <w:tcPr>
            <w:tcW w:w="971" w:type="dxa"/>
          </w:tcPr>
          <w:p w14:paraId="65961433" w14:textId="77777777" w:rsidR="00D170E5" w:rsidRPr="002B55E9" w:rsidRDefault="00EF27AD">
            <w:pPr>
              <w:pStyle w:val="lgy-"/>
            </w:pPr>
            <w:r w:rsidRPr="002B55E9">
              <w:rPr>
                <w:rFonts w:eastAsia="宋体"/>
              </w:rPr>
              <w:t>计算值</w:t>
            </w:r>
          </w:p>
        </w:tc>
        <w:tc>
          <w:tcPr>
            <w:tcW w:w="1214" w:type="dxa"/>
          </w:tcPr>
          <w:p w14:paraId="4991DC84" w14:textId="77777777" w:rsidR="00D170E5" w:rsidRPr="002B55E9" w:rsidRDefault="00EF27AD">
            <w:pPr>
              <w:pStyle w:val="lgy-"/>
              <w:rPr>
                <w:rFonts w:eastAsia="宋体"/>
              </w:rPr>
            </w:pPr>
            <w:r w:rsidRPr="002B55E9">
              <w:rPr>
                <w:rFonts w:eastAsia="宋体"/>
              </w:rPr>
              <w:t>最终确定值</w:t>
            </w:r>
          </w:p>
        </w:tc>
      </w:tr>
      <w:tr w:rsidR="002B55E9" w:rsidRPr="002B55E9" w14:paraId="0D0E2EC0" w14:textId="77777777" w:rsidTr="00EF27AD">
        <w:trPr>
          <w:trHeight w:val="283"/>
        </w:trPr>
        <w:tc>
          <w:tcPr>
            <w:tcW w:w="1354" w:type="dxa"/>
          </w:tcPr>
          <w:p w14:paraId="65E5EA85" w14:textId="77777777" w:rsidR="00D170E5" w:rsidRPr="002B55E9" w:rsidRDefault="00EF27AD">
            <w:pPr>
              <w:pStyle w:val="lgy-"/>
            </w:pPr>
            <w:r w:rsidRPr="002B55E9">
              <w:rPr>
                <w:rFonts w:eastAsia="宋体" w:hint="eastAsia"/>
              </w:rPr>
              <w:t>十三</w:t>
            </w:r>
            <w:r w:rsidRPr="002B55E9">
              <w:rPr>
                <w:rFonts w:eastAsia="宋体"/>
              </w:rPr>
              <w:t>车间</w:t>
            </w:r>
          </w:p>
        </w:tc>
        <w:tc>
          <w:tcPr>
            <w:tcW w:w="1109" w:type="dxa"/>
          </w:tcPr>
          <w:p w14:paraId="4062CE5A" w14:textId="77777777" w:rsidR="00D170E5" w:rsidRPr="002B55E9" w:rsidRDefault="00EF27AD">
            <w:pPr>
              <w:pStyle w:val="lgy-"/>
            </w:pPr>
            <w:r w:rsidRPr="002B55E9">
              <w:rPr>
                <w:rFonts w:eastAsia="宋体" w:hint="eastAsia"/>
              </w:rPr>
              <w:t>颗粒物</w:t>
            </w:r>
          </w:p>
        </w:tc>
        <w:tc>
          <w:tcPr>
            <w:tcW w:w="1506" w:type="dxa"/>
          </w:tcPr>
          <w:p w14:paraId="29932AF6" w14:textId="77777777" w:rsidR="00D170E5" w:rsidRPr="002B55E9" w:rsidRDefault="00EF27AD">
            <w:pPr>
              <w:pStyle w:val="lgy-"/>
            </w:pPr>
            <w:r w:rsidRPr="002B55E9">
              <w:rPr>
                <w:rFonts w:eastAsia="宋体"/>
              </w:rPr>
              <w:t>0.014</w:t>
            </w:r>
          </w:p>
        </w:tc>
        <w:tc>
          <w:tcPr>
            <w:tcW w:w="1701" w:type="dxa"/>
          </w:tcPr>
          <w:p w14:paraId="0DE3F829" w14:textId="77777777" w:rsidR="00D170E5" w:rsidRPr="002B55E9" w:rsidRDefault="00EF27AD">
            <w:pPr>
              <w:pStyle w:val="lgy-"/>
            </w:pPr>
            <w:r w:rsidRPr="002B55E9">
              <w:rPr>
                <w:rFonts w:eastAsia="宋体" w:hint="eastAsia"/>
              </w:rPr>
              <w:t>16</w:t>
            </w:r>
            <w:r w:rsidRPr="002B55E9">
              <w:rPr>
                <w:rFonts w:eastAsia="宋体"/>
              </w:rPr>
              <w:t>4m</w:t>
            </w:r>
            <w:r w:rsidRPr="002B55E9">
              <w:rPr>
                <w:rFonts w:eastAsia="宋体" w:hint="eastAsia"/>
              </w:rPr>
              <w:t>×</w:t>
            </w:r>
            <w:r w:rsidRPr="002B55E9">
              <w:rPr>
                <w:rFonts w:eastAsia="宋体" w:hint="eastAsia"/>
              </w:rPr>
              <w:t>40</w:t>
            </w:r>
            <w:r w:rsidRPr="002B55E9">
              <w:rPr>
                <w:rFonts w:eastAsia="宋体"/>
              </w:rPr>
              <w:t>m</w:t>
            </w:r>
          </w:p>
        </w:tc>
        <w:tc>
          <w:tcPr>
            <w:tcW w:w="1782" w:type="dxa"/>
          </w:tcPr>
          <w:p w14:paraId="7DB3F9BC" w14:textId="77777777" w:rsidR="00D170E5" w:rsidRPr="002B55E9" w:rsidRDefault="00EF27AD">
            <w:pPr>
              <w:pStyle w:val="lgy-"/>
            </w:pPr>
            <w:r w:rsidRPr="002B55E9">
              <w:rPr>
                <w:rFonts w:eastAsia="宋体" w:hint="eastAsia"/>
              </w:rPr>
              <w:t>0.9</w:t>
            </w:r>
          </w:p>
        </w:tc>
        <w:tc>
          <w:tcPr>
            <w:tcW w:w="971" w:type="dxa"/>
          </w:tcPr>
          <w:p w14:paraId="7C808E04" w14:textId="77777777" w:rsidR="00D170E5" w:rsidRPr="002B55E9" w:rsidRDefault="00EF27AD">
            <w:pPr>
              <w:pStyle w:val="lgy-"/>
            </w:pPr>
            <w:r w:rsidRPr="002B55E9">
              <w:rPr>
                <w:rFonts w:eastAsia="宋体"/>
              </w:rPr>
              <w:t>0.189</w:t>
            </w:r>
          </w:p>
        </w:tc>
        <w:tc>
          <w:tcPr>
            <w:tcW w:w="1214" w:type="dxa"/>
          </w:tcPr>
          <w:p w14:paraId="6AD51EDF" w14:textId="43A6D64A" w:rsidR="00D170E5" w:rsidRPr="002B55E9" w:rsidRDefault="00C66729">
            <w:pPr>
              <w:pStyle w:val="lgy-"/>
              <w:rPr>
                <w:rFonts w:eastAsia="宋体"/>
              </w:rPr>
            </w:pPr>
            <w:r w:rsidRPr="002B55E9">
              <w:rPr>
                <w:rFonts w:eastAsia="宋体"/>
              </w:rPr>
              <w:t>50</w:t>
            </w:r>
          </w:p>
        </w:tc>
      </w:tr>
      <w:tr w:rsidR="002B55E9" w:rsidRPr="002B55E9" w14:paraId="6A8B439A" w14:textId="77777777" w:rsidTr="00EF27AD">
        <w:trPr>
          <w:trHeight w:val="283"/>
        </w:trPr>
        <w:tc>
          <w:tcPr>
            <w:tcW w:w="1354" w:type="dxa"/>
            <w:vMerge w:val="restart"/>
          </w:tcPr>
          <w:p w14:paraId="53849FF3" w14:textId="77777777" w:rsidR="00D170E5" w:rsidRPr="002B55E9" w:rsidRDefault="00EF27AD">
            <w:pPr>
              <w:pStyle w:val="lgy-"/>
            </w:pPr>
            <w:r w:rsidRPr="002B55E9">
              <w:rPr>
                <w:rFonts w:eastAsia="宋体" w:hint="eastAsia"/>
              </w:rPr>
              <w:t>十一车间</w:t>
            </w:r>
          </w:p>
        </w:tc>
        <w:tc>
          <w:tcPr>
            <w:tcW w:w="1109" w:type="dxa"/>
          </w:tcPr>
          <w:p w14:paraId="21F906E5" w14:textId="33362E46" w:rsidR="00D170E5" w:rsidRPr="002B55E9" w:rsidRDefault="00924AFA">
            <w:pPr>
              <w:pStyle w:val="lgy-"/>
            </w:pPr>
            <w:r w:rsidRPr="002B55E9">
              <w:rPr>
                <w:rFonts w:eastAsia="宋体" w:hint="eastAsia"/>
              </w:rPr>
              <w:t>非甲烷总烃</w:t>
            </w:r>
          </w:p>
        </w:tc>
        <w:tc>
          <w:tcPr>
            <w:tcW w:w="1506" w:type="dxa"/>
          </w:tcPr>
          <w:p w14:paraId="698A3BF5" w14:textId="3AE503CD" w:rsidR="00D170E5" w:rsidRPr="002B55E9" w:rsidRDefault="00C66729">
            <w:pPr>
              <w:pStyle w:val="lgy-"/>
            </w:pPr>
            <w:r w:rsidRPr="002B55E9">
              <w:rPr>
                <w:rFonts w:eastAsia="宋体"/>
              </w:rPr>
              <w:t>0.022</w:t>
            </w:r>
          </w:p>
        </w:tc>
        <w:tc>
          <w:tcPr>
            <w:tcW w:w="1701" w:type="dxa"/>
            <w:vMerge w:val="restart"/>
          </w:tcPr>
          <w:p w14:paraId="772B0BC1" w14:textId="77777777" w:rsidR="00D170E5" w:rsidRPr="002B55E9" w:rsidRDefault="00EF27AD">
            <w:pPr>
              <w:pStyle w:val="lgy-"/>
            </w:pPr>
            <w:r w:rsidRPr="002B55E9">
              <w:rPr>
                <w:rFonts w:eastAsia="宋体" w:hint="eastAsia"/>
              </w:rPr>
              <w:t>16</w:t>
            </w:r>
            <w:r w:rsidRPr="002B55E9">
              <w:rPr>
                <w:rFonts w:eastAsia="宋体"/>
              </w:rPr>
              <w:t>0m</w:t>
            </w:r>
            <w:r w:rsidRPr="002B55E9">
              <w:rPr>
                <w:rFonts w:eastAsia="宋体" w:hint="eastAsia"/>
              </w:rPr>
              <w:t>×</w:t>
            </w:r>
            <w:r w:rsidRPr="002B55E9">
              <w:rPr>
                <w:rFonts w:eastAsia="宋体" w:hint="eastAsia"/>
              </w:rPr>
              <w:t>88</w:t>
            </w:r>
            <w:r w:rsidRPr="002B55E9">
              <w:rPr>
                <w:rFonts w:eastAsia="宋体"/>
              </w:rPr>
              <w:t>m</w:t>
            </w:r>
          </w:p>
        </w:tc>
        <w:tc>
          <w:tcPr>
            <w:tcW w:w="1782" w:type="dxa"/>
          </w:tcPr>
          <w:p w14:paraId="496EDE94" w14:textId="77777777" w:rsidR="00D170E5" w:rsidRPr="002B55E9" w:rsidRDefault="00EF27AD">
            <w:pPr>
              <w:pStyle w:val="lgy-"/>
            </w:pPr>
            <w:r w:rsidRPr="002B55E9">
              <w:rPr>
                <w:rFonts w:eastAsia="宋体" w:hint="eastAsia"/>
              </w:rPr>
              <w:t>1.2</w:t>
            </w:r>
          </w:p>
        </w:tc>
        <w:tc>
          <w:tcPr>
            <w:tcW w:w="971" w:type="dxa"/>
          </w:tcPr>
          <w:p w14:paraId="3D5DAA29" w14:textId="0A597EDA" w:rsidR="00D170E5" w:rsidRPr="002B55E9" w:rsidRDefault="00C66729">
            <w:pPr>
              <w:pStyle w:val="lgy-"/>
            </w:pPr>
            <w:r w:rsidRPr="002B55E9">
              <w:rPr>
                <w:rFonts w:eastAsia="宋体"/>
              </w:rPr>
              <w:t>0.143</w:t>
            </w:r>
          </w:p>
        </w:tc>
        <w:tc>
          <w:tcPr>
            <w:tcW w:w="1214" w:type="dxa"/>
            <w:vMerge w:val="restart"/>
          </w:tcPr>
          <w:p w14:paraId="4D55AAEE" w14:textId="77777777" w:rsidR="00D170E5" w:rsidRPr="002B55E9" w:rsidRDefault="00EF27AD">
            <w:pPr>
              <w:pStyle w:val="lgy-"/>
              <w:rPr>
                <w:rFonts w:eastAsia="宋体"/>
              </w:rPr>
            </w:pPr>
            <w:r w:rsidRPr="002B55E9">
              <w:rPr>
                <w:rFonts w:eastAsia="宋体"/>
              </w:rPr>
              <w:t>100</w:t>
            </w:r>
          </w:p>
        </w:tc>
      </w:tr>
      <w:tr w:rsidR="002B55E9" w:rsidRPr="002B55E9" w14:paraId="120DE50A" w14:textId="77777777" w:rsidTr="00EF27AD">
        <w:trPr>
          <w:trHeight w:val="283"/>
        </w:trPr>
        <w:tc>
          <w:tcPr>
            <w:tcW w:w="1354" w:type="dxa"/>
            <w:vMerge/>
          </w:tcPr>
          <w:p w14:paraId="7BAD4E4C" w14:textId="77777777" w:rsidR="00D170E5" w:rsidRPr="002B55E9" w:rsidRDefault="00D170E5">
            <w:pPr>
              <w:pStyle w:val="lgy-"/>
            </w:pPr>
          </w:p>
        </w:tc>
        <w:tc>
          <w:tcPr>
            <w:tcW w:w="1109" w:type="dxa"/>
          </w:tcPr>
          <w:p w14:paraId="42A1B444" w14:textId="77777777" w:rsidR="00D170E5" w:rsidRPr="002B55E9" w:rsidRDefault="00EF27AD">
            <w:pPr>
              <w:pStyle w:val="lgy-"/>
            </w:pPr>
            <w:r w:rsidRPr="002B55E9">
              <w:rPr>
                <w:rFonts w:eastAsia="宋体" w:hint="eastAsia"/>
                <w:kern w:val="2"/>
              </w:rPr>
              <w:t>甲醛</w:t>
            </w:r>
          </w:p>
        </w:tc>
        <w:tc>
          <w:tcPr>
            <w:tcW w:w="1506" w:type="dxa"/>
          </w:tcPr>
          <w:p w14:paraId="508D7BE1" w14:textId="77777777" w:rsidR="00D170E5" w:rsidRPr="002B55E9" w:rsidRDefault="00EF27AD">
            <w:pPr>
              <w:pStyle w:val="lgy-"/>
            </w:pPr>
            <w:r w:rsidRPr="002B55E9">
              <w:rPr>
                <w:rFonts w:eastAsia="宋体"/>
              </w:rPr>
              <w:t>1.48E-04</w:t>
            </w:r>
          </w:p>
        </w:tc>
        <w:tc>
          <w:tcPr>
            <w:tcW w:w="1701" w:type="dxa"/>
            <w:vMerge/>
          </w:tcPr>
          <w:p w14:paraId="5ED64525" w14:textId="77777777" w:rsidR="00D170E5" w:rsidRPr="002B55E9" w:rsidRDefault="00D170E5">
            <w:pPr>
              <w:pStyle w:val="lgy-"/>
            </w:pPr>
          </w:p>
        </w:tc>
        <w:tc>
          <w:tcPr>
            <w:tcW w:w="1782" w:type="dxa"/>
          </w:tcPr>
          <w:p w14:paraId="5D27978C" w14:textId="77777777" w:rsidR="00D170E5" w:rsidRPr="002B55E9" w:rsidRDefault="00EF27AD">
            <w:pPr>
              <w:pStyle w:val="lgy-"/>
            </w:pPr>
            <w:r w:rsidRPr="002B55E9">
              <w:rPr>
                <w:rFonts w:eastAsia="宋体" w:hint="eastAsia"/>
              </w:rPr>
              <w:t>0.05</w:t>
            </w:r>
          </w:p>
        </w:tc>
        <w:tc>
          <w:tcPr>
            <w:tcW w:w="971" w:type="dxa"/>
          </w:tcPr>
          <w:p w14:paraId="52EDC068" w14:textId="77777777" w:rsidR="00D170E5" w:rsidRPr="002B55E9" w:rsidRDefault="00EF27AD">
            <w:pPr>
              <w:pStyle w:val="lgy-"/>
            </w:pPr>
            <w:r w:rsidRPr="002B55E9">
              <w:rPr>
                <w:rFonts w:eastAsia="宋体" w:hint="eastAsia"/>
              </w:rPr>
              <w:t>0</w:t>
            </w:r>
            <w:r w:rsidRPr="002B55E9">
              <w:rPr>
                <w:rFonts w:eastAsia="宋体"/>
              </w:rPr>
              <w:t>.014</w:t>
            </w:r>
          </w:p>
        </w:tc>
        <w:tc>
          <w:tcPr>
            <w:tcW w:w="1214" w:type="dxa"/>
            <w:vMerge/>
          </w:tcPr>
          <w:p w14:paraId="05FB3ADD" w14:textId="77777777" w:rsidR="00D170E5" w:rsidRPr="002B55E9" w:rsidRDefault="00D170E5">
            <w:pPr>
              <w:pStyle w:val="lgy-"/>
              <w:rPr>
                <w:rFonts w:eastAsia="宋体"/>
              </w:rPr>
            </w:pPr>
          </w:p>
        </w:tc>
      </w:tr>
      <w:tr w:rsidR="002B55E9" w:rsidRPr="002B55E9" w14:paraId="6AE9CC9F" w14:textId="77777777" w:rsidTr="00EF27AD">
        <w:trPr>
          <w:trHeight w:val="283"/>
        </w:trPr>
        <w:tc>
          <w:tcPr>
            <w:tcW w:w="1354" w:type="dxa"/>
            <w:vMerge/>
          </w:tcPr>
          <w:p w14:paraId="3A185F50" w14:textId="77777777" w:rsidR="00D170E5" w:rsidRPr="002B55E9" w:rsidRDefault="00D170E5">
            <w:pPr>
              <w:pStyle w:val="lgy-"/>
            </w:pPr>
          </w:p>
        </w:tc>
        <w:tc>
          <w:tcPr>
            <w:tcW w:w="1109" w:type="dxa"/>
          </w:tcPr>
          <w:p w14:paraId="540D601F" w14:textId="77777777" w:rsidR="00D170E5" w:rsidRPr="002B55E9" w:rsidRDefault="00EF27AD">
            <w:pPr>
              <w:pStyle w:val="lgy-"/>
            </w:pPr>
            <w:r w:rsidRPr="002B55E9">
              <w:rPr>
                <w:rFonts w:eastAsia="宋体" w:hint="eastAsia"/>
                <w:kern w:val="2"/>
              </w:rPr>
              <w:t>硫酸</w:t>
            </w:r>
          </w:p>
        </w:tc>
        <w:tc>
          <w:tcPr>
            <w:tcW w:w="1506" w:type="dxa"/>
          </w:tcPr>
          <w:p w14:paraId="202D59DC" w14:textId="77777777" w:rsidR="00D170E5" w:rsidRPr="002B55E9" w:rsidRDefault="00EF27AD">
            <w:pPr>
              <w:pStyle w:val="lgy-"/>
            </w:pPr>
            <w:r w:rsidRPr="002B55E9">
              <w:rPr>
                <w:rFonts w:eastAsia="宋体"/>
              </w:rPr>
              <w:t>3.35E-04</w:t>
            </w:r>
          </w:p>
        </w:tc>
        <w:tc>
          <w:tcPr>
            <w:tcW w:w="1701" w:type="dxa"/>
            <w:vMerge/>
          </w:tcPr>
          <w:p w14:paraId="06DD032C" w14:textId="77777777" w:rsidR="00D170E5" w:rsidRPr="002B55E9" w:rsidRDefault="00D170E5">
            <w:pPr>
              <w:pStyle w:val="lgy-"/>
            </w:pPr>
          </w:p>
        </w:tc>
        <w:tc>
          <w:tcPr>
            <w:tcW w:w="1782" w:type="dxa"/>
          </w:tcPr>
          <w:p w14:paraId="67CF75F0" w14:textId="77777777" w:rsidR="00D170E5" w:rsidRPr="002B55E9" w:rsidRDefault="00EF27AD">
            <w:pPr>
              <w:pStyle w:val="lgy-"/>
            </w:pPr>
            <w:r w:rsidRPr="002B55E9">
              <w:rPr>
                <w:rFonts w:eastAsia="宋体" w:hint="eastAsia"/>
              </w:rPr>
              <w:t>0.3</w:t>
            </w:r>
          </w:p>
        </w:tc>
        <w:tc>
          <w:tcPr>
            <w:tcW w:w="971" w:type="dxa"/>
          </w:tcPr>
          <w:p w14:paraId="1CEC78EB" w14:textId="77777777" w:rsidR="00D170E5" w:rsidRPr="002B55E9" w:rsidRDefault="00EF27AD">
            <w:pPr>
              <w:pStyle w:val="lgy-"/>
            </w:pPr>
            <w:r w:rsidRPr="002B55E9">
              <w:rPr>
                <w:rFonts w:eastAsia="宋体" w:hint="eastAsia"/>
              </w:rPr>
              <w:t>0</w:t>
            </w:r>
            <w:r w:rsidRPr="002B55E9">
              <w:rPr>
                <w:rFonts w:eastAsia="宋体"/>
              </w:rPr>
              <w:t>.004</w:t>
            </w:r>
          </w:p>
        </w:tc>
        <w:tc>
          <w:tcPr>
            <w:tcW w:w="1214" w:type="dxa"/>
            <w:vMerge/>
          </w:tcPr>
          <w:p w14:paraId="36E78518" w14:textId="77777777" w:rsidR="00D170E5" w:rsidRPr="002B55E9" w:rsidRDefault="00D170E5">
            <w:pPr>
              <w:pStyle w:val="lgy-"/>
              <w:rPr>
                <w:rFonts w:eastAsia="宋体"/>
              </w:rPr>
            </w:pPr>
          </w:p>
        </w:tc>
      </w:tr>
      <w:tr w:rsidR="002B55E9" w:rsidRPr="002B55E9" w14:paraId="38101741" w14:textId="77777777" w:rsidTr="00EF27AD">
        <w:trPr>
          <w:trHeight w:val="283"/>
        </w:trPr>
        <w:tc>
          <w:tcPr>
            <w:tcW w:w="1354" w:type="dxa"/>
            <w:vMerge/>
          </w:tcPr>
          <w:p w14:paraId="265BE6F9" w14:textId="77777777" w:rsidR="00D170E5" w:rsidRPr="002B55E9" w:rsidRDefault="00D170E5">
            <w:pPr>
              <w:pStyle w:val="lgy-"/>
            </w:pPr>
          </w:p>
        </w:tc>
        <w:tc>
          <w:tcPr>
            <w:tcW w:w="1109" w:type="dxa"/>
          </w:tcPr>
          <w:p w14:paraId="2EB8B7FF" w14:textId="77777777" w:rsidR="00D170E5" w:rsidRPr="002B55E9" w:rsidRDefault="00EF27AD">
            <w:pPr>
              <w:pStyle w:val="lgy-"/>
            </w:pPr>
            <w:r w:rsidRPr="002B55E9">
              <w:rPr>
                <w:rFonts w:eastAsia="宋体" w:hint="eastAsia"/>
                <w:kern w:val="2"/>
              </w:rPr>
              <w:t>氯化氢</w:t>
            </w:r>
          </w:p>
        </w:tc>
        <w:tc>
          <w:tcPr>
            <w:tcW w:w="1506" w:type="dxa"/>
          </w:tcPr>
          <w:p w14:paraId="7F778DCC" w14:textId="77777777" w:rsidR="00D170E5" w:rsidRPr="002B55E9" w:rsidRDefault="00EF27AD">
            <w:pPr>
              <w:pStyle w:val="lgy-"/>
            </w:pPr>
            <w:r w:rsidRPr="002B55E9">
              <w:rPr>
                <w:rFonts w:eastAsia="宋体"/>
              </w:rPr>
              <w:t>6.62E-07</w:t>
            </w:r>
          </w:p>
        </w:tc>
        <w:tc>
          <w:tcPr>
            <w:tcW w:w="1701" w:type="dxa"/>
            <w:vMerge/>
          </w:tcPr>
          <w:p w14:paraId="2887B4FC" w14:textId="77777777" w:rsidR="00D170E5" w:rsidRPr="002B55E9" w:rsidRDefault="00D170E5">
            <w:pPr>
              <w:pStyle w:val="lgy-"/>
            </w:pPr>
          </w:p>
        </w:tc>
        <w:tc>
          <w:tcPr>
            <w:tcW w:w="1782" w:type="dxa"/>
          </w:tcPr>
          <w:p w14:paraId="7936F458" w14:textId="77777777" w:rsidR="00D170E5" w:rsidRPr="002B55E9" w:rsidRDefault="00EF27AD">
            <w:pPr>
              <w:pStyle w:val="lgy-"/>
            </w:pPr>
            <w:r w:rsidRPr="002B55E9">
              <w:rPr>
                <w:rFonts w:eastAsia="宋体" w:hint="eastAsia"/>
              </w:rPr>
              <w:t>0.05</w:t>
            </w:r>
          </w:p>
        </w:tc>
        <w:tc>
          <w:tcPr>
            <w:tcW w:w="971" w:type="dxa"/>
          </w:tcPr>
          <w:p w14:paraId="4C48DB24" w14:textId="77777777" w:rsidR="00D170E5" w:rsidRPr="002B55E9" w:rsidRDefault="00EF27AD">
            <w:pPr>
              <w:pStyle w:val="lgy-"/>
            </w:pPr>
            <w:r w:rsidRPr="002B55E9">
              <w:rPr>
                <w:rFonts w:eastAsia="宋体" w:hint="eastAsia"/>
              </w:rPr>
              <w:t>0</w:t>
            </w:r>
          </w:p>
        </w:tc>
        <w:tc>
          <w:tcPr>
            <w:tcW w:w="1214" w:type="dxa"/>
            <w:vMerge/>
          </w:tcPr>
          <w:p w14:paraId="220BC1A2" w14:textId="77777777" w:rsidR="00D170E5" w:rsidRPr="002B55E9" w:rsidRDefault="00D170E5">
            <w:pPr>
              <w:pStyle w:val="lgy-"/>
              <w:rPr>
                <w:rFonts w:eastAsia="宋体"/>
              </w:rPr>
            </w:pPr>
          </w:p>
        </w:tc>
      </w:tr>
      <w:tr w:rsidR="002B55E9" w:rsidRPr="002B55E9" w14:paraId="73AF6A74" w14:textId="77777777" w:rsidTr="00EF27AD">
        <w:trPr>
          <w:trHeight w:val="283"/>
        </w:trPr>
        <w:tc>
          <w:tcPr>
            <w:tcW w:w="1354" w:type="dxa"/>
          </w:tcPr>
          <w:p w14:paraId="5C58E351" w14:textId="77777777" w:rsidR="00D170E5" w:rsidRPr="002B55E9" w:rsidRDefault="00EF27AD">
            <w:pPr>
              <w:pStyle w:val="lgy-"/>
            </w:pPr>
            <w:r w:rsidRPr="002B55E9">
              <w:rPr>
                <w:rFonts w:eastAsia="宋体" w:hint="eastAsia"/>
              </w:rPr>
              <w:t>罐区三</w:t>
            </w:r>
          </w:p>
        </w:tc>
        <w:tc>
          <w:tcPr>
            <w:tcW w:w="1109" w:type="dxa"/>
          </w:tcPr>
          <w:p w14:paraId="591577EF" w14:textId="6EBDAE9F" w:rsidR="00D170E5" w:rsidRPr="002B55E9" w:rsidRDefault="00924AFA">
            <w:pPr>
              <w:pStyle w:val="lgy-"/>
            </w:pPr>
            <w:r w:rsidRPr="002B55E9">
              <w:rPr>
                <w:rFonts w:eastAsia="宋体" w:hint="eastAsia"/>
              </w:rPr>
              <w:t>非甲烷总烃</w:t>
            </w:r>
          </w:p>
        </w:tc>
        <w:tc>
          <w:tcPr>
            <w:tcW w:w="1506" w:type="dxa"/>
          </w:tcPr>
          <w:p w14:paraId="27A7000A" w14:textId="77777777" w:rsidR="00D170E5" w:rsidRPr="002B55E9" w:rsidRDefault="00EF27AD">
            <w:pPr>
              <w:pStyle w:val="lgy-"/>
            </w:pPr>
            <w:r w:rsidRPr="002B55E9">
              <w:rPr>
                <w:rFonts w:eastAsia="宋体"/>
              </w:rPr>
              <w:t>0.058</w:t>
            </w:r>
          </w:p>
        </w:tc>
        <w:tc>
          <w:tcPr>
            <w:tcW w:w="1701" w:type="dxa"/>
          </w:tcPr>
          <w:p w14:paraId="4CB94EE8" w14:textId="77777777" w:rsidR="00D170E5" w:rsidRPr="002B55E9" w:rsidRDefault="00EF27AD">
            <w:pPr>
              <w:pStyle w:val="lgy-"/>
            </w:pPr>
            <w:r w:rsidRPr="002B55E9">
              <w:rPr>
                <w:rFonts w:eastAsia="宋体" w:hint="eastAsia"/>
              </w:rPr>
              <w:t>63</w:t>
            </w:r>
            <w:r w:rsidRPr="002B55E9">
              <w:rPr>
                <w:rFonts w:eastAsia="宋体"/>
              </w:rPr>
              <w:t>m</w:t>
            </w:r>
            <w:r w:rsidRPr="002B55E9">
              <w:rPr>
                <w:rFonts w:eastAsia="宋体" w:hint="eastAsia"/>
              </w:rPr>
              <w:t>×</w:t>
            </w:r>
            <w:r w:rsidRPr="002B55E9">
              <w:rPr>
                <w:rFonts w:eastAsia="宋体" w:hint="eastAsia"/>
              </w:rPr>
              <w:t>3</w:t>
            </w:r>
            <w:r w:rsidRPr="002B55E9">
              <w:rPr>
                <w:rFonts w:eastAsia="宋体"/>
              </w:rPr>
              <w:t>3m</w:t>
            </w:r>
          </w:p>
        </w:tc>
        <w:tc>
          <w:tcPr>
            <w:tcW w:w="1782" w:type="dxa"/>
          </w:tcPr>
          <w:p w14:paraId="7C14FADC" w14:textId="77777777" w:rsidR="00D170E5" w:rsidRPr="002B55E9" w:rsidRDefault="00EF27AD">
            <w:pPr>
              <w:pStyle w:val="lgy-"/>
            </w:pPr>
            <w:r w:rsidRPr="002B55E9">
              <w:rPr>
                <w:rFonts w:eastAsia="宋体"/>
              </w:rPr>
              <w:t>1.2</w:t>
            </w:r>
          </w:p>
        </w:tc>
        <w:tc>
          <w:tcPr>
            <w:tcW w:w="971" w:type="dxa"/>
          </w:tcPr>
          <w:p w14:paraId="4BE8CF4B" w14:textId="77777777" w:rsidR="00D170E5" w:rsidRPr="002B55E9" w:rsidRDefault="00EF27AD">
            <w:pPr>
              <w:pStyle w:val="lgy-"/>
            </w:pPr>
            <w:r w:rsidRPr="002B55E9">
              <w:rPr>
                <w:rFonts w:eastAsia="宋体" w:hint="eastAsia"/>
              </w:rPr>
              <w:t>1</w:t>
            </w:r>
            <w:r w:rsidRPr="002B55E9">
              <w:rPr>
                <w:rFonts w:eastAsia="宋体"/>
              </w:rPr>
              <w:t>.723</w:t>
            </w:r>
          </w:p>
        </w:tc>
        <w:tc>
          <w:tcPr>
            <w:tcW w:w="1214" w:type="dxa"/>
          </w:tcPr>
          <w:p w14:paraId="3D655660" w14:textId="77777777" w:rsidR="00D170E5" w:rsidRPr="002B55E9" w:rsidRDefault="00EF27AD">
            <w:pPr>
              <w:pStyle w:val="lgy-"/>
              <w:rPr>
                <w:rFonts w:eastAsia="宋体"/>
              </w:rPr>
            </w:pPr>
            <w:r w:rsidRPr="002B55E9">
              <w:rPr>
                <w:rFonts w:eastAsia="宋体" w:hint="eastAsia"/>
              </w:rPr>
              <w:t>50</w:t>
            </w:r>
          </w:p>
        </w:tc>
      </w:tr>
      <w:tr w:rsidR="002B55E9" w:rsidRPr="002B55E9" w14:paraId="65E64F8A" w14:textId="77777777" w:rsidTr="00EF27AD">
        <w:trPr>
          <w:trHeight w:val="283"/>
        </w:trPr>
        <w:tc>
          <w:tcPr>
            <w:tcW w:w="1354" w:type="dxa"/>
          </w:tcPr>
          <w:p w14:paraId="2B93CC38" w14:textId="77777777" w:rsidR="00D170E5" w:rsidRPr="002B55E9" w:rsidRDefault="00EF27AD">
            <w:pPr>
              <w:pStyle w:val="lgy-"/>
            </w:pPr>
            <w:r w:rsidRPr="002B55E9">
              <w:rPr>
                <w:rFonts w:eastAsia="宋体" w:hint="eastAsia"/>
              </w:rPr>
              <w:t>酒精</w:t>
            </w:r>
            <w:r w:rsidRPr="002B55E9">
              <w:rPr>
                <w:rFonts w:eastAsia="宋体"/>
              </w:rPr>
              <w:t>罐区</w:t>
            </w:r>
          </w:p>
        </w:tc>
        <w:tc>
          <w:tcPr>
            <w:tcW w:w="1109" w:type="dxa"/>
          </w:tcPr>
          <w:p w14:paraId="600E3F5B" w14:textId="5548F1BE" w:rsidR="00D170E5" w:rsidRPr="002B55E9" w:rsidRDefault="00924AFA">
            <w:pPr>
              <w:pStyle w:val="lgy-"/>
            </w:pPr>
            <w:r w:rsidRPr="002B55E9">
              <w:rPr>
                <w:rFonts w:eastAsia="宋体" w:hint="eastAsia"/>
              </w:rPr>
              <w:t>非甲烷总烃</w:t>
            </w:r>
          </w:p>
        </w:tc>
        <w:tc>
          <w:tcPr>
            <w:tcW w:w="1506" w:type="dxa"/>
          </w:tcPr>
          <w:p w14:paraId="1DA17D0C" w14:textId="77777777" w:rsidR="00D170E5" w:rsidRPr="002B55E9" w:rsidRDefault="00EF27AD">
            <w:pPr>
              <w:pStyle w:val="lgy-"/>
            </w:pPr>
            <w:r w:rsidRPr="002B55E9">
              <w:rPr>
                <w:rFonts w:eastAsia="宋体"/>
              </w:rPr>
              <w:t>0.049</w:t>
            </w:r>
          </w:p>
        </w:tc>
        <w:tc>
          <w:tcPr>
            <w:tcW w:w="1701" w:type="dxa"/>
          </w:tcPr>
          <w:p w14:paraId="5746F9EB" w14:textId="77777777" w:rsidR="00D170E5" w:rsidRPr="002B55E9" w:rsidRDefault="00EF27AD">
            <w:pPr>
              <w:pStyle w:val="lgy-"/>
            </w:pPr>
            <w:r w:rsidRPr="002B55E9">
              <w:rPr>
                <w:rFonts w:eastAsia="宋体" w:hint="eastAsia"/>
              </w:rPr>
              <w:t>2</w:t>
            </w:r>
            <w:r w:rsidRPr="002B55E9">
              <w:rPr>
                <w:rFonts w:eastAsia="宋体"/>
              </w:rPr>
              <w:t>6.7m</w:t>
            </w:r>
            <w:r w:rsidRPr="002B55E9">
              <w:rPr>
                <w:rFonts w:eastAsia="宋体" w:hint="eastAsia"/>
              </w:rPr>
              <w:t>×</w:t>
            </w:r>
            <w:r w:rsidRPr="002B55E9">
              <w:rPr>
                <w:rFonts w:eastAsia="宋体" w:hint="eastAsia"/>
              </w:rPr>
              <w:t>2</w:t>
            </w:r>
            <w:r w:rsidRPr="002B55E9">
              <w:rPr>
                <w:rFonts w:eastAsia="宋体"/>
              </w:rPr>
              <w:t>6.7m</w:t>
            </w:r>
          </w:p>
        </w:tc>
        <w:tc>
          <w:tcPr>
            <w:tcW w:w="1782" w:type="dxa"/>
          </w:tcPr>
          <w:p w14:paraId="58EE8DED" w14:textId="77777777" w:rsidR="00D170E5" w:rsidRPr="002B55E9" w:rsidRDefault="00EF27AD">
            <w:pPr>
              <w:pStyle w:val="lgy-"/>
            </w:pPr>
            <w:r w:rsidRPr="002B55E9">
              <w:rPr>
                <w:rFonts w:eastAsia="宋体" w:hint="eastAsia"/>
              </w:rPr>
              <w:t>1.2</w:t>
            </w:r>
          </w:p>
        </w:tc>
        <w:tc>
          <w:tcPr>
            <w:tcW w:w="971" w:type="dxa"/>
          </w:tcPr>
          <w:p w14:paraId="52C7A9F8" w14:textId="77777777" w:rsidR="00D170E5" w:rsidRPr="002B55E9" w:rsidRDefault="00EF27AD">
            <w:pPr>
              <w:pStyle w:val="lgy-"/>
            </w:pPr>
            <w:r w:rsidRPr="002B55E9">
              <w:rPr>
                <w:rFonts w:eastAsia="宋体" w:hint="eastAsia"/>
              </w:rPr>
              <w:t>2</w:t>
            </w:r>
            <w:r w:rsidRPr="002B55E9">
              <w:rPr>
                <w:rFonts w:eastAsia="宋体"/>
              </w:rPr>
              <w:t>.696</w:t>
            </w:r>
          </w:p>
        </w:tc>
        <w:tc>
          <w:tcPr>
            <w:tcW w:w="1214" w:type="dxa"/>
          </w:tcPr>
          <w:p w14:paraId="50D06603" w14:textId="77777777" w:rsidR="00D170E5" w:rsidRPr="002B55E9" w:rsidRDefault="00EF27AD">
            <w:pPr>
              <w:pStyle w:val="lgy-"/>
              <w:rPr>
                <w:rFonts w:eastAsia="宋体"/>
              </w:rPr>
            </w:pPr>
            <w:r w:rsidRPr="002B55E9">
              <w:rPr>
                <w:rFonts w:eastAsia="宋体" w:hint="eastAsia"/>
              </w:rPr>
              <w:t>50</w:t>
            </w:r>
          </w:p>
        </w:tc>
      </w:tr>
      <w:tr w:rsidR="002B55E9" w:rsidRPr="002B55E9" w14:paraId="6C96C85C" w14:textId="77777777" w:rsidTr="00EF27AD">
        <w:trPr>
          <w:trHeight w:val="283"/>
        </w:trPr>
        <w:tc>
          <w:tcPr>
            <w:tcW w:w="9637" w:type="dxa"/>
            <w:gridSpan w:val="7"/>
          </w:tcPr>
          <w:p w14:paraId="4F8641CA" w14:textId="77777777" w:rsidR="00D170E5" w:rsidRPr="002B55E9" w:rsidRDefault="00EF27AD">
            <w:pPr>
              <w:pStyle w:val="lgy-"/>
              <w:jc w:val="both"/>
              <w:rPr>
                <w:rFonts w:eastAsia="宋体"/>
              </w:rPr>
            </w:pPr>
            <w:r w:rsidRPr="002B55E9">
              <w:rPr>
                <w:rFonts w:eastAsia="宋体"/>
              </w:rPr>
              <w:t>注</w:t>
            </w:r>
            <w:r w:rsidRPr="002B55E9">
              <w:rPr>
                <w:rFonts w:eastAsia="宋体" w:hint="eastAsia"/>
              </w:rPr>
              <w:t>：根据《大气有害物质无组织排放卫生防护距离推导技术导则</w:t>
            </w:r>
            <w:r w:rsidRPr="002B55E9">
              <w:rPr>
                <w:rFonts w:eastAsia="宋体" w:hint="eastAsia"/>
              </w:rPr>
              <w:t xml:space="preserve"> GB/T 39499-2020</w:t>
            </w:r>
            <w:r w:rsidRPr="002B55E9">
              <w:rPr>
                <w:rFonts w:eastAsia="宋体" w:hint="eastAsia"/>
              </w:rPr>
              <w:t>》</w:t>
            </w:r>
            <w:r w:rsidRPr="002B55E9">
              <w:rPr>
                <w:rFonts w:eastAsia="宋体"/>
              </w:rPr>
              <w:t>“6.2</w:t>
            </w:r>
            <w:r w:rsidRPr="002B55E9">
              <w:rPr>
                <w:rFonts w:eastAsia="宋体" w:hint="eastAsia"/>
              </w:rPr>
              <w:t>多种特征大气有害物质终值的确定当企业生产单元的无组织排放存在多种特征大气有害物质时，如果分别推导出的卫生防护距离初值在同一级别时，则该企业的卫生防护距离终值等提高一级；卫生防护距离初值不在同一级别的，以卫生防护距离终值较大者为准。”</w:t>
            </w:r>
          </w:p>
        </w:tc>
      </w:tr>
    </w:tbl>
    <w:p w14:paraId="7F04C31A" w14:textId="3BAE71F8" w:rsidR="00BB5433" w:rsidRPr="002B55E9" w:rsidRDefault="00EF27AD">
      <w:pPr>
        <w:spacing w:line="360" w:lineRule="auto"/>
        <w:ind w:firstLine="482"/>
        <w:rPr>
          <w:sz w:val="24"/>
        </w:rPr>
      </w:pPr>
      <w:r w:rsidRPr="002B55E9">
        <w:rPr>
          <w:rFonts w:hint="eastAsia"/>
          <w:sz w:val="24"/>
          <w:szCs w:val="24"/>
        </w:rPr>
        <w:t>从</w:t>
      </w:r>
      <w:r w:rsidRPr="002B55E9">
        <w:rPr>
          <w:sz w:val="24"/>
          <w:szCs w:val="24"/>
        </w:rPr>
        <w:t>上述计算结果可知，项目十一车间</w:t>
      </w:r>
      <w:r w:rsidRPr="002B55E9">
        <w:rPr>
          <w:rFonts w:hint="eastAsia"/>
          <w:sz w:val="24"/>
          <w:szCs w:val="24"/>
        </w:rPr>
        <w:t>需</w:t>
      </w:r>
      <w:r w:rsidRPr="002B55E9">
        <w:rPr>
          <w:sz w:val="24"/>
          <w:szCs w:val="24"/>
        </w:rPr>
        <w:t>设置</w:t>
      </w:r>
      <w:r w:rsidRPr="002B55E9">
        <w:rPr>
          <w:rFonts w:hint="eastAsia"/>
          <w:sz w:val="24"/>
          <w:szCs w:val="24"/>
        </w:rPr>
        <w:t>100</w:t>
      </w:r>
      <w:r w:rsidRPr="002B55E9">
        <w:rPr>
          <w:sz w:val="24"/>
          <w:szCs w:val="24"/>
        </w:rPr>
        <w:t>m</w:t>
      </w:r>
      <w:r w:rsidRPr="002B55E9">
        <w:rPr>
          <w:rFonts w:hint="eastAsia"/>
          <w:sz w:val="24"/>
          <w:szCs w:val="24"/>
        </w:rPr>
        <w:t>卫生防护</w:t>
      </w:r>
      <w:r w:rsidRPr="002B55E9">
        <w:rPr>
          <w:sz w:val="24"/>
          <w:szCs w:val="24"/>
        </w:rPr>
        <w:t>距离，</w:t>
      </w:r>
      <w:r w:rsidR="00C66729" w:rsidRPr="002B55E9">
        <w:rPr>
          <w:sz w:val="24"/>
          <w:szCs w:val="24"/>
        </w:rPr>
        <w:t>十三车间</w:t>
      </w:r>
      <w:r w:rsidR="00C66729" w:rsidRPr="002B55E9">
        <w:rPr>
          <w:rFonts w:hint="eastAsia"/>
          <w:sz w:val="24"/>
          <w:szCs w:val="24"/>
        </w:rPr>
        <w:t>、</w:t>
      </w:r>
      <w:r w:rsidRPr="002B55E9">
        <w:rPr>
          <w:sz w:val="24"/>
          <w:szCs w:val="24"/>
        </w:rPr>
        <w:t>罐区三</w:t>
      </w:r>
      <w:r w:rsidRPr="002B55E9">
        <w:rPr>
          <w:rFonts w:hint="eastAsia"/>
          <w:sz w:val="24"/>
          <w:szCs w:val="24"/>
        </w:rPr>
        <w:t>和</w:t>
      </w:r>
      <w:r w:rsidRPr="002B55E9">
        <w:rPr>
          <w:sz w:val="24"/>
          <w:szCs w:val="24"/>
        </w:rPr>
        <w:t>酒精罐区应设置</w:t>
      </w:r>
      <w:r w:rsidRPr="002B55E9">
        <w:rPr>
          <w:rFonts w:hint="eastAsia"/>
          <w:sz w:val="24"/>
          <w:szCs w:val="24"/>
        </w:rPr>
        <w:t>50</w:t>
      </w:r>
      <w:r w:rsidRPr="002B55E9">
        <w:rPr>
          <w:sz w:val="24"/>
          <w:szCs w:val="24"/>
        </w:rPr>
        <w:t>m</w:t>
      </w:r>
      <w:r w:rsidRPr="002B55E9">
        <w:rPr>
          <w:sz w:val="24"/>
          <w:szCs w:val="24"/>
        </w:rPr>
        <w:t>的</w:t>
      </w:r>
      <w:r w:rsidRPr="002B55E9">
        <w:rPr>
          <w:rFonts w:hint="eastAsia"/>
          <w:sz w:val="24"/>
          <w:szCs w:val="24"/>
        </w:rPr>
        <w:t>卫生</w:t>
      </w:r>
      <w:r w:rsidRPr="002B55E9">
        <w:rPr>
          <w:sz w:val="24"/>
          <w:szCs w:val="24"/>
        </w:rPr>
        <w:t>防护距离</w:t>
      </w:r>
      <w:r w:rsidRPr="002B55E9">
        <w:rPr>
          <w:rFonts w:hint="eastAsia"/>
          <w:sz w:val="24"/>
        </w:rPr>
        <w:t>。</w:t>
      </w:r>
      <w:r w:rsidR="00BB5433" w:rsidRPr="002B55E9">
        <w:rPr>
          <w:rFonts w:hint="eastAsia"/>
          <w:sz w:val="24"/>
        </w:rPr>
        <w:t>同时根据《新沟镇街食品医疗用地板块总体规划环境影响评价报告书》及其审查意见要求</w:t>
      </w:r>
      <w:r w:rsidR="00BB5433" w:rsidRPr="002B55E9">
        <w:rPr>
          <w:rFonts w:hint="eastAsia"/>
          <w:sz w:val="24"/>
        </w:rPr>
        <w:t>:</w:t>
      </w:r>
      <w:r w:rsidR="00BB5433" w:rsidRPr="002B55E9">
        <w:rPr>
          <w:rFonts w:hint="eastAsia"/>
          <w:sz w:val="24"/>
        </w:rPr>
        <w:t>规划区生物医药及健康食品产业涉及发酵异味或污水处理站臭气等企业，周边应设置不小于</w:t>
      </w:r>
      <w:r w:rsidR="00BB5433" w:rsidRPr="002B55E9">
        <w:rPr>
          <w:rFonts w:hint="eastAsia"/>
          <w:sz w:val="24"/>
        </w:rPr>
        <w:t>100</w:t>
      </w:r>
      <w:r w:rsidR="00BB5433" w:rsidRPr="002B55E9">
        <w:rPr>
          <w:rFonts w:hint="eastAsia"/>
          <w:sz w:val="24"/>
        </w:rPr>
        <w:t>米卫生防护距离</w:t>
      </w:r>
      <w:r w:rsidR="00BB5433" w:rsidRPr="002B55E9">
        <w:rPr>
          <w:rFonts w:hint="eastAsia"/>
          <w:sz w:val="24"/>
        </w:rPr>
        <w:t>(</w:t>
      </w:r>
      <w:r w:rsidR="00BB5433" w:rsidRPr="002B55E9">
        <w:rPr>
          <w:rFonts w:hint="eastAsia"/>
          <w:sz w:val="24"/>
        </w:rPr>
        <w:t>防护距离最终以企业建设项目环评确定</w:t>
      </w:r>
      <w:r w:rsidR="00BB5433" w:rsidRPr="002B55E9">
        <w:rPr>
          <w:rFonts w:hint="eastAsia"/>
          <w:sz w:val="24"/>
        </w:rPr>
        <w:t>)</w:t>
      </w:r>
      <w:r w:rsidR="00BB5433" w:rsidRPr="002B55E9">
        <w:rPr>
          <w:rFonts w:hint="eastAsia"/>
          <w:sz w:val="24"/>
        </w:rPr>
        <w:t>，防护距离内不得新建学校、居民居住区等敏感点。</w:t>
      </w:r>
    </w:p>
    <w:p w14:paraId="6F91536D" w14:textId="380559EB" w:rsidR="00D170E5" w:rsidRPr="002B55E9" w:rsidRDefault="00BB5433">
      <w:pPr>
        <w:spacing w:line="360" w:lineRule="auto"/>
        <w:ind w:firstLine="482"/>
        <w:rPr>
          <w:sz w:val="24"/>
        </w:rPr>
      </w:pPr>
      <w:r w:rsidRPr="002B55E9">
        <w:rPr>
          <w:rFonts w:hint="eastAsia"/>
          <w:sz w:val="24"/>
        </w:rPr>
        <w:t>故拟建项目</w:t>
      </w:r>
      <w:r w:rsidRPr="002B55E9">
        <w:rPr>
          <w:sz w:val="24"/>
        </w:rPr>
        <w:t>卫生</w:t>
      </w:r>
      <w:r w:rsidRPr="002B55E9">
        <w:rPr>
          <w:rFonts w:hint="eastAsia"/>
          <w:sz w:val="24"/>
        </w:rPr>
        <w:t>防护距离均需</w:t>
      </w:r>
      <w:r w:rsidRPr="002B55E9">
        <w:rPr>
          <w:sz w:val="24"/>
        </w:rPr>
        <w:t>调整为</w:t>
      </w:r>
      <w:r w:rsidRPr="002B55E9">
        <w:rPr>
          <w:rFonts w:hint="eastAsia"/>
          <w:sz w:val="24"/>
        </w:rPr>
        <w:t>100</w:t>
      </w:r>
      <w:r w:rsidRPr="002B55E9">
        <w:rPr>
          <w:sz w:val="24"/>
        </w:rPr>
        <w:t>m</w:t>
      </w:r>
      <w:r w:rsidRPr="002B55E9">
        <w:rPr>
          <w:sz w:val="24"/>
        </w:rPr>
        <w:t>，即</w:t>
      </w:r>
      <w:r w:rsidRPr="002B55E9">
        <w:rPr>
          <w:sz w:val="24"/>
          <w:szCs w:val="24"/>
        </w:rPr>
        <w:t>十一车间</w:t>
      </w:r>
      <w:r w:rsidRPr="002B55E9">
        <w:rPr>
          <w:rFonts w:hint="eastAsia"/>
          <w:sz w:val="24"/>
          <w:szCs w:val="24"/>
        </w:rPr>
        <w:t>、</w:t>
      </w:r>
      <w:r w:rsidRPr="002B55E9">
        <w:rPr>
          <w:sz w:val="24"/>
          <w:szCs w:val="24"/>
        </w:rPr>
        <w:t>十三车间</w:t>
      </w:r>
      <w:r w:rsidRPr="002B55E9">
        <w:rPr>
          <w:rFonts w:hint="eastAsia"/>
          <w:sz w:val="24"/>
          <w:szCs w:val="24"/>
        </w:rPr>
        <w:t>、</w:t>
      </w:r>
      <w:r w:rsidRPr="002B55E9">
        <w:rPr>
          <w:sz w:val="24"/>
          <w:szCs w:val="24"/>
        </w:rPr>
        <w:t>罐区三</w:t>
      </w:r>
      <w:r w:rsidRPr="002B55E9">
        <w:rPr>
          <w:rFonts w:hint="eastAsia"/>
          <w:sz w:val="24"/>
          <w:szCs w:val="24"/>
        </w:rPr>
        <w:t>和</w:t>
      </w:r>
      <w:r w:rsidRPr="002B55E9">
        <w:rPr>
          <w:sz w:val="24"/>
          <w:szCs w:val="24"/>
        </w:rPr>
        <w:t>酒精罐区</w:t>
      </w:r>
      <w:r w:rsidRPr="002B55E9">
        <w:rPr>
          <w:rFonts w:hint="eastAsia"/>
          <w:sz w:val="24"/>
          <w:szCs w:val="24"/>
        </w:rPr>
        <w:t>均</w:t>
      </w:r>
      <w:r w:rsidRPr="002B55E9">
        <w:rPr>
          <w:sz w:val="24"/>
          <w:szCs w:val="24"/>
        </w:rPr>
        <w:t>应设置</w:t>
      </w:r>
      <w:r w:rsidRPr="002B55E9">
        <w:rPr>
          <w:sz w:val="24"/>
          <w:szCs w:val="24"/>
        </w:rPr>
        <w:t>10</w:t>
      </w:r>
      <w:r w:rsidRPr="002B55E9">
        <w:rPr>
          <w:rFonts w:hint="eastAsia"/>
          <w:sz w:val="24"/>
          <w:szCs w:val="24"/>
        </w:rPr>
        <w:t>0</w:t>
      </w:r>
      <w:r w:rsidRPr="002B55E9">
        <w:rPr>
          <w:sz w:val="24"/>
          <w:szCs w:val="24"/>
        </w:rPr>
        <w:t>m</w:t>
      </w:r>
      <w:r w:rsidRPr="002B55E9">
        <w:rPr>
          <w:sz w:val="24"/>
          <w:szCs w:val="24"/>
        </w:rPr>
        <w:t>的</w:t>
      </w:r>
      <w:r w:rsidRPr="002B55E9">
        <w:rPr>
          <w:rFonts w:hint="eastAsia"/>
          <w:sz w:val="24"/>
          <w:szCs w:val="24"/>
        </w:rPr>
        <w:t>卫生</w:t>
      </w:r>
      <w:r w:rsidRPr="002B55E9">
        <w:rPr>
          <w:sz w:val="24"/>
          <w:szCs w:val="24"/>
        </w:rPr>
        <w:t>防护距离</w:t>
      </w:r>
      <w:r w:rsidRPr="002B55E9">
        <w:rPr>
          <w:rFonts w:hint="eastAsia"/>
          <w:sz w:val="24"/>
          <w:szCs w:val="24"/>
        </w:rPr>
        <w:t>，</w:t>
      </w:r>
      <w:r w:rsidR="00EF27AD" w:rsidRPr="002B55E9">
        <w:rPr>
          <w:rFonts w:hint="eastAsia"/>
          <w:sz w:val="24"/>
        </w:rPr>
        <w:t>根据现场调查项目周边</w:t>
      </w:r>
      <w:r w:rsidR="00EF27AD" w:rsidRPr="002B55E9">
        <w:rPr>
          <w:rFonts w:hint="eastAsia"/>
          <w:sz w:val="24"/>
        </w:rPr>
        <w:t>100</w:t>
      </w:r>
      <w:r w:rsidR="00EF27AD" w:rsidRPr="002B55E9">
        <w:rPr>
          <w:rFonts w:hint="eastAsia"/>
          <w:sz w:val="24"/>
        </w:rPr>
        <w:t>米范围内无敏感点，</w:t>
      </w:r>
      <w:r w:rsidRPr="002B55E9">
        <w:rPr>
          <w:rFonts w:hint="eastAsia"/>
          <w:sz w:val="24"/>
        </w:rPr>
        <w:t>防护距离</w:t>
      </w:r>
      <w:r w:rsidRPr="002B55E9">
        <w:rPr>
          <w:sz w:val="24"/>
        </w:rPr>
        <w:t>可以得到有效设置。</w:t>
      </w:r>
      <w:r w:rsidR="00EF27AD" w:rsidRPr="002B55E9">
        <w:rPr>
          <w:rFonts w:hint="eastAsia"/>
          <w:sz w:val="24"/>
        </w:rPr>
        <w:t>同时规划远期，上述防护距离范围内也不得建设</w:t>
      </w:r>
      <w:r w:rsidR="00EF27AD" w:rsidRPr="002B55E9">
        <w:rPr>
          <w:sz w:val="24"/>
        </w:rPr>
        <w:t>学校</w:t>
      </w:r>
      <w:r w:rsidR="00EF27AD" w:rsidRPr="002B55E9">
        <w:rPr>
          <w:rFonts w:hint="eastAsia"/>
          <w:sz w:val="24"/>
        </w:rPr>
        <w:t>、</w:t>
      </w:r>
      <w:r w:rsidR="00EF27AD" w:rsidRPr="002B55E9">
        <w:rPr>
          <w:sz w:val="24"/>
        </w:rPr>
        <w:t>医院、居民区等</w:t>
      </w:r>
      <w:r w:rsidR="00EF27AD" w:rsidRPr="002B55E9">
        <w:rPr>
          <w:rFonts w:hint="eastAsia"/>
          <w:sz w:val="24"/>
        </w:rPr>
        <w:t>环境敏感点。</w:t>
      </w:r>
    </w:p>
    <w:p w14:paraId="353A6CEB" w14:textId="77777777" w:rsidR="00D170E5" w:rsidRPr="002B55E9" w:rsidRDefault="00EF27AD">
      <w:pPr>
        <w:pStyle w:val="3"/>
      </w:pPr>
      <w:bookmarkStart w:id="226" w:name="_Toc119308995"/>
      <w:r w:rsidRPr="002B55E9">
        <w:t>运营期水环境影响预测与评价</w:t>
      </w:r>
      <w:bookmarkEnd w:id="220"/>
      <w:bookmarkEnd w:id="221"/>
      <w:bookmarkEnd w:id="226"/>
    </w:p>
    <w:p w14:paraId="1D7131A4" w14:textId="77777777" w:rsidR="00D170E5" w:rsidRPr="002B55E9" w:rsidRDefault="00EF27AD">
      <w:pPr>
        <w:pStyle w:val="aa"/>
      </w:pPr>
      <w:r w:rsidRPr="002B55E9">
        <w:t>根据</w:t>
      </w:r>
      <w:r w:rsidRPr="002B55E9">
        <w:t>1.</w:t>
      </w:r>
      <w:r w:rsidRPr="002B55E9">
        <w:rPr>
          <w:rFonts w:hint="eastAsia"/>
        </w:rPr>
        <w:t>7.2</w:t>
      </w:r>
      <w:r w:rsidRPr="002B55E9">
        <w:t>章节可知，项目为水污染影响项目，评价等级为三级</w:t>
      </w:r>
      <w:r w:rsidRPr="002B55E9">
        <w:t>B</w:t>
      </w:r>
      <w:r w:rsidRPr="002B55E9">
        <w:t>，根据《环境影响评价技术导则</w:t>
      </w:r>
      <w:r w:rsidRPr="002B55E9">
        <w:t xml:space="preserve"> </w:t>
      </w:r>
      <w:r w:rsidRPr="002B55E9">
        <w:t>地表水环境》（</w:t>
      </w:r>
      <w:r w:rsidRPr="002B55E9">
        <w:t>HJ2.3-2018</w:t>
      </w:r>
      <w:r w:rsidRPr="002B55E9">
        <w:t>）</w:t>
      </w:r>
      <w:r w:rsidRPr="002B55E9">
        <w:t>7.1.2</w:t>
      </w:r>
      <w:r w:rsidRPr="002B55E9">
        <w:t>条：水污染影响型三级</w:t>
      </w:r>
      <w:r w:rsidRPr="002B55E9">
        <w:t>B</w:t>
      </w:r>
      <w:r w:rsidRPr="002B55E9">
        <w:t>评价可不进行水环</w:t>
      </w:r>
      <w:r w:rsidRPr="002B55E9">
        <w:lastRenderedPageBreak/>
        <w:t>境影响预测。</w:t>
      </w:r>
    </w:p>
    <w:p w14:paraId="1A8A11E2" w14:textId="77777777" w:rsidR="00D170E5" w:rsidRPr="002B55E9" w:rsidRDefault="00EF27AD">
      <w:pPr>
        <w:pStyle w:val="4"/>
        <w:rPr>
          <w:color w:val="auto"/>
        </w:rPr>
      </w:pPr>
      <w:r w:rsidRPr="002B55E9">
        <w:rPr>
          <w:rFonts w:hint="eastAsia"/>
          <w:color w:val="auto"/>
        </w:rPr>
        <w:t>水污染</w:t>
      </w:r>
      <w:r w:rsidRPr="002B55E9">
        <w:rPr>
          <w:color w:val="auto"/>
        </w:rPr>
        <w:t>控制和水环境影响减缓措施有效性</w:t>
      </w:r>
      <w:r w:rsidRPr="002B55E9">
        <w:rPr>
          <w:rFonts w:hint="eastAsia"/>
          <w:color w:val="auto"/>
        </w:rPr>
        <w:t>评价</w:t>
      </w:r>
    </w:p>
    <w:p w14:paraId="3DDCD282" w14:textId="77777777" w:rsidR="00D170E5" w:rsidRPr="002B55E9" w:rsidRDefault="00EF27AD">
      <w:pPr>
        <w:pStyle w:val="aa"/>
      </w:pPr>
      <w:r w:rsidRPr="002B55E9">
        <w:t>地表水污染控制和水环境影响减缓措施有效性评价详见</w:t>
      </w:r>
      <w:r w:rsidRPr="002B55E9">
        <w:t>7.3</w:t>
      </w:r>
      <w:r w:rsidRPr="002B55E9">
        <w:t>章节</w:t>
      </w:r>
      <w:r w:rsidRPr="002B55E9">
        <w:rPr>
          <w:rFonts w:hint="eastAsia"/>
        </w:rPr>
        <w:t>。</w:t>
      </w:r>
    </w:p>
    <w:p w14:paraId="5B84A309" w14:textId="77777777" w:rsidR="00D170E5" w:rsidRPr="002B55E9" w:rsidRDefault="00EF27AD">
      <w:pPr>
        <w:pStyle w:val="4"/>
        <w:rPr>
          <w:color w:val="auto"/>
        </w:rPr>
      </w:pPr>
      <w:r w:rsidRPr="002B55E9">
        <w:rPr>
          <w:rFonts w:hint="eastAsia"/>
          <w:color w:val="auto"/>
        </w:rPr>
        <w:t>依托</w:t>
      </w:r>
      <w:r w:rsidRPr="002B55E9">
        <w:rPr>
          <w:color w:val="auto"/>
        </w:rPr>
        <w:t>污水处理设施的可行性分析</w:t>
      </w:r>
    </w:p>
    <w:p w14:paraId="0A6F79FF" w14:textId="77777777" w:rsidR="00D170E5" w:rsidRPr="002B55E9" w:rsidRDefault="00EF27AD">
      <w:pPr>
        <w:pStyle w:val="5"/>
      </w:pPr>
      <w:bookmarkStart w:id="227" w:name="_Hlk41858353"/>
      <w:bookmarkStart w:id="228" w:name="_Hlk41858346"/>
      <w:bookmarkStart w:id="229" w:name="_Hlk46768255"/>
      <w:bookmarkStart w:id="230" w:name="_Toc139180944"/>
      <w:bookmarkStart w:id="231" w:name="_Toc139440629"/>
      <w:bookmarkStart w:id="232" w:name="_Toc141528288"/>
      <w:r w:rsidRPr="002B55E9">
        <w:rPr>
          <w:rFonts w:hint="eastAsia"/>
        </w:rPr>
        <w:t>废水外排</w:t>
      </w:r>
      <w:r w:rsidRPr="002B55E9">
        <w:t>路径分析</w:t>
      </w:r>
    </w:p>
    <w:p w14:paraId="71A7EA6D" w14:textId="51BDEF8A" w:rsidR="00D170E5" w:rsidRPr="002B55E9" w:rsidRDefault="00EF27AD">
      <w:pPr>
        <w:pStyle w:val="affff7"/>
        <w:snapToGrid w:val="0"/>
        <w:spacing w:after="0"/>
      </w:pPr>
      <w:r w:rsidRPr="002B55E9">
        <w:rPr>
          <w:rFonts w:hint="eastAsia"/>
        </w:rPr>
        <w:t>拟建项目</w:t>
      </w:r>
      <w:r w:rsidRPr="002B55E9">
        <w:t>生活</w:t>
      </w:r>
      <w:r w:rsidRPr="002B55E9">
        <w:rPr>
          <w:rFonts w:hint="eastAsia"/>
        </w:rPr>
        <w:t>污水经</w:t>
      </w:r>
      <w:r w:rsidRPr="002B55E9">
        <w:t>化粪池处理后与</w:t>
      </w:r>
      <w:r w:rsidRPr="002B55E9">
        <w:rPr>
          <w:rFonts w:hint="eastAsia"/>
        </w:rPr>
        <w:t>生产废水一并</w:t>
      </w:r>
      <w:r w:rsidRPr="002B55E9">
        <w:t>排入佛山市海天（</w:t>
      </w:r>
      <w:r w:rsidRPr="002B55E9">
        <w:rPr>
          <w:rFonts w:hint="eastAsia"/>
        </w:rPr>
        <w:t>武汉</w:t>
      </w:r>
      <w:r w:rsidRPr="002B55E9">
        <w:t>）</w:t>
      </w:r>
      <w:r w:rsidRPr="002B55E9">
        <w:rPr>
          <w:rFonts w:hint="eastAsia"/>
        </w:rPr>
        <w:t>调味</w:t>
      </w:r>
      <w:r w:rsidRPr="002B55E9">
        <w:t>食品有限公司厂区污水处理</w:t>
      </w:r>
      <w:r w:rsidRPr="002B55E9">
        <w:rPr>
          <w:rFonts w:hint="eastAsia"/>
        </w:rPr>
        <w:t>站</w:t>
      </w:r>
      <w:r w:rsidRPr="002B55E9">
        <w:t>处理</w:t>
      </w:r>
      <w:r w:rsidRPr="002B55E9">
        <w:rPr>
          <w:rFonts w:hint="eastAsia"/>
        </w:rPr>
        <w:t>达标后</w:t>
      </w:r>
      <w:r w:rsidRPr="002B55E9">
        <w:t>排放，蒸汽冷凝水</w:t>
      </w:r>
      <w:r w:rsidRPr="002B55E9">
        <w:rPr>
          <w:rFonts w:hint="eastAsia"/>
        </w:rPr>
        <w:t>经</w:t>
      </w:r>
      <w:r w:rsidRPr="002B55E9">
        <w:t>专用管道收集后</w:t>
      </w:r>
      <w:r w:rsidRPr="002B55E9">
        <w:rPr>
          <w:rFonts w:hint="eastAsia"/>
        </w:rPr>
        <w:t>接入</w:t>
      </w:r>
      <w:r w:rsidRPr="002B55E9">
        <w:t>佛山市海天（</w:t>
      </w:r>
      <w:r w:rsidRPr="002B55E9">
        <w:rPr>
          <w:rFonts w:hint="eastAsia"/>
        </w:rPr>
        <w:t>武汉</w:t>
      </w:r>
      <w:r w:rsidRPr="002B55E9">
        <w:t>）</w:t>
      </w:r>
      <w:r w:rsidRPr="002B55E9">
        <w:rPr>
          <w:rFonts w:hint="eastAsia"/>
        </w:rPr>
        <w:t>调味</w:t>
      </w:r>
      <w:r w:rsidRPr="002B55E9">
        <w:t>食品有限公司污水总排口排</w:t>
      </w:r>
      <w:r w:rsidRPr="002B55E9">
        <w:rPr>
          <w:rFonts w:hint="eastAsia"/>
        </w:rPr>
        <w:t>放</w:t>
      </w:r>
      <w:r w:rsidRPr="002B55E9">
        <w:t>，最终进入东西湖污水处理厂处理</w:t>
      </w:r>
      <w:r w:rsidRPr="002B55E9">
        <w:rPr>
          <w:rFonts w:hint="eastAsia"/>
        </w:rPr>
        <w:t>达标</w:t>
      </w:r>
      <w:r w:rsidRPr="002B55E9">
        <w:t>后</w:t>
      </w:r>
      <w:r w:rsidRPr="002B55E9">
        <w:rPr>
          <w:rFonts w:hint="eastAsia"/>
        </w:rPr>
        <w:t>尾水</w:t>
      </w:r>
      <w:r w:rsidRPr="002B55E9">
        <w:t>排入府河</w:t>
      </w:r>
      <w:r w:rsidRPr="002B55E9">
        <w:rPr>
          <w:rFonts w:hint="eastAsia"/>
        </w:rPr>
        <w:t>（黄花涝</w:t>
      </w:r>
      <w:r w:rsidRPr="002B55E9">
        <w:t>~</w:t>
      </w:r>
      <w:r w:rsidRPr="002B55E9">
        <w:t>入江段</w:t>
      </w:r>
      <w:r w:rsidRPr="002B55E9">
        <w:rPr>
          <w:rFonts w:hint="eastAsia"/>
        </w:rPr>
        <w:t>），项目</w:t>
      </w:r>
      <w:r w:rsidRPr="002B55E9">
        <w:t>废水</w:t>
      </w:r>
      <w:r w:rsidRPr="002B55E9">
        <w:rPr>
          <w:rFonts w:hint="eastAsia"/>
        </w:rPr>
        <w:t>排放</w:t>
      </w:r>
      <w:r w:rsidRPr="002B55E9">
        <w:t>执行</w:t>
      </w:r>
      <w:r w:rsidRPr="002B55E9">
        <w:rPr>
          <w:rFonts w:hint="eastAsia"/>
        </w:rPr>
        <w:t>《污水综合排放标准》（</w:t>
      </w:r>
      <w:r w:rsidRPr="002B55E9">
        <w:rPr>
          <w:rFonts w:hint="eastAsia"/>
        </w:rPr>
        <w:t>GB8978-1996</w:t>
      </w:r>
      <w:r w:rsidRPr="002B55E9">
        <w:rPr>
          <w:rFonts w:hint="eastAsia"/>
        </w:rPr>
        <w:t>）表</w:t>
      </w:r>
      <w:r w:rsidRPr="002B55E9">
        <w:rPr>
          <w:rFonts w:hint="eastAsia"/>
        </w:rPr>
        <w:t>4</w:t>
      </w:r>
      <w:r w:rsidRPr="002B55E9">
        <w:rPr>
          <w:rFonts w:hint="eastAsia"/>
        </w:rPr>
        <w:t>三级标准及</w:t>
      </w:r>
      <w:r w:rsidRPr="002B55E9">
        <w:t>东西湖污水处理厂进水水质要求</w:t>
      </w:r>
      <w:r w:rsidRPr="002B55E9">
        <w:rPr>
          <w:rFonts w:hint="eastAsia"/>
        </w:rPr>
        <w:t>。</w:t>
      </w:r>
    </w:p>
    <w:p w14:paraId="7E9B672F" w14:textId="37F7A1BB" w:rsidR="000E54FD" w:rsidRPr="002B55E9" w:rsidRDefault="000E54FD" w:rsidP="000E54FD">
      <w:pPr>
        <w:pStyle w:val="affff7"/>
      </w:pPr>
      <w:r w:rsidRPr="002B55E9">
        <w:rPr>
          <w:rFonts w:hint="eastAsia"/>
        </w:rPr>
        <w:t>项目废水排入佛山市海天（武汉）调味食品有限公司厂区污水处理站路径为经厂区西侧提升站及架空管道排入污水处理站的调节池，污水排放管道的建设主体为本项目建设单位海天醋业（武汉）有限公司。</w:t>
      </w:r>
    </w:p>
    <w:p w14:paraId="51D939AE" w14:textId="77777777" w:rsidR="00D170E5" w:rsidRPr="002B55E9" w:rsidRDefault="00EF27AD">
      <w:pPr>
        <w:pStyle w:val="5"/>
      </w:pPr>
      <w:r w:rsidRPr="002B55E9">
        <w:t>依托</w:t>
      </w:r>
      <w:r w:rsidRPr="002B55E9">
        <w:rPr>
          <w:rFonts w:hint="eastAsia"/>
        </w:rPr>
        <w:t>佛山市海天（武汉）调味食品有限公司</w:t>
      </w:r>
      <w:r w:rsidRPr="002B55E9">
        <w:t>污水处理</w:t>
      </w:r>
      <w:r w:rsidRPr="002B55E9">
        <w:rPr>
          <w:rFonts w:hint="eastAsia"/>
        </w:rPr>
        <w:t>站</w:t>
      </w:r>
      <w:r w:rsidRPr="002B55E9">
        <w:t>可行性</w:t>
      </w:r>
    </w:p>
    <w:p w14:paraId="1AB0E92A" w14:textId="22773608" w:rsidR="00B9539D" w:rsidRPr="002B55E9" w:rsidRDefault="00B9539D" w:rsidP="00466BEF">
      <w:pPr>
        <w:pStyle w:val="affff7"/>
        <w:snapToGrid w:val="0"/>
        <w:spacing w:after="0"/>
      </w:pPr>
      <w:r w:rsidRPr="002B55E9">
        <w:rPr>
          <w:rFonts w:hint="eastAsia"/>
        </w:rPr>
        <w:t>根据建设单位提供的资料，佛山市海天（武汉）调味食品有限公司污水处理站设计服务对象为佛山市海天（武汉）调味食品有限公司</w:t>
      </w:r>
      <w:r w:rsidR="00466BEF" w:rsidRPr="002B55E9">
        <w:rPr>
          <w:rFonts w:hint="eastAsia"/>
        </w:rPr>
        <w:t>的“海天调味品建设项目（一期）”和</w:t>
      </w:r>
      <w:r w:rsidRPr="002B55E9">
        <w:rPr>
          <w:rFonts w:hint="eastAsia"/>
        </w:rPr>
        <w:t>海天醋业（武汉）有限公司</w:t>
      </w:r>
      <w:r w:rsidR="00466BEF" w:rsidRPr="002B55E9">
        <w:rPr>
          <w:rFonts w:hint="eastAsia"/>
        </w:rPr>
        <w:t>的“海天醋酒建设项目（一期）”</w:t>
      </w:r>
      <w:r w:rsidRPr="002B55E9">
        <w:rPr>
          <w:rFonts w:hint="eastAsia"/>
        </w:rPr>
        <w:t>，主要收集处理两家公司生产过程中的生产废水、生活污水等，</w:t>
      </w:r>
      <w:r w:rsidR="00466BEF" w:rsidRPr="002B55E9">
        <w:rPr>
          <w:rFonts w:hint="eastAsia"/>
        </w:rPr>
        <w:t>涉及的产品种类为蚝油、醋、料酒等调味品，</w:t>
      </w:r>
      <w:r w:rsidR="00BB7FC4" w:rsidRPr="002B55E9">
        <w:rPr>
          <w:rFonts w:hint="eastAsia"/>
        </w:rPr>
        <w:t>前尚未开工建设，预计</w:t>
      </w:r>
      <w:r w:rsidR="00BB7FC4" w:rsidRPr="002B55E9">
        <w:rPr>
          <w:rFonts w:hint="eastAsia"/>
        </w:rPr>
        <w:t>2023</w:t>
      </w:r>
      <w:r w:rsidR="00BB7FC4" w:rsidRPr="002B55E9">
        <w:rPr>
          <w:rFonts w:hint="eastAsia"/>
        </w:rPr>
        <w:t>年</w:t>
      </w:r>
      <w:r w:rsidR="00BB7FC4" w:rsidRPr="002B55E9">
        <w:rPr>
          <w:rFonts w:hint="eastAsia"/>
        </w:rPr>
        <w:t>8</w:t>
      </w:r>
      <w:r w:rsidR="00BB7FC4" w:rsidRPr="002B55E9">
        <w:rPr>
          <w:rFonts w:hint="eastAsia"/>
        </w:rPr>
        <w:t>月</w:t>
      </w:r>
      <w:r w:rsidR="00BB7FC4" w:rsidRPr="002B55E9">
        <w:rPr>
          <w:rFonts w:hint="eastAsia"/>
        </w:rPr>
        <w:t>30</w:t>
      </w:r>
      <w:r w:rsidR="00BB7FC4" w:rsidRPr="002B55E9">
        <w:rPr>
          <w:rFonts w:hint="eastAsia"/>
        </w:rPr>
        <w:t>日建设投运，设计同时满足海天调味品建设项目（一期）（蚝油</w:t>
      </w:r>
      <w:r w:rsidR="00BB7FC4" w:rsidRPr="002B55E9">
        <w:rPr>
          <w:rFonts w:hint="eastAsia"/>
        </w:rPr>
        <w:t>25</w:t>
      </w:r>
      <w:r w:rsidR="00BB7FC4" w:rsidRPr="002B55E9">
        <w:rPr>
          <w:rFonts w:hint="eastAsia"/>
        </w:rPr>
        <w:t>万吨</w:t>
      </w:r>
      <w:r w:rsidR="00BB7FC4" w:rsidRPr="002B55E9">
        <w:rPr>
          <w:rFonts w:hint="eastAsia"/>
        </w:rPr>
        <w:t>/</w:t>
      </w:r>
      <w:r w:rsidR="00BB7FC4" w:rsidRPr="002B55E9">
        <w:rPr>
          <w:rFonts w:hint="eastAsia"/>
        </w:rPr>
        <w:t>年）与海天醋酒建设项目（一期）（</w:t>
      </w:r>
      <w:r w:rsidR="00BB7FC4" w:rsidRPr="002B55E9">
        <w:rPr>
          <w:rFonts w:hint="eastAsia"/>
        </w:rPr>
        <w:t>25</w:t>
      </w:r>
      <w:r w:rsidR="00BB7FC4" w:rsidRPr="002B55E9">
        <w:rPr>
          <w:rFonts w:hint="eastAsia"/>
        </w:rPr>
        <w:t>万吨</w:t>
      </w:r>
      <w:r w:rsidR="00BB7FC4" w:rsidRPr="002B55E9">
        <w:rPr>
          <w:rFonts w:hint="eastAsia"/>
        </w:rPr>
        <w:t>/</w:t>
      </w:r>
      <w:r w:rsidR="00BB7FC4" w:rsidRPr="002B55E9">
        <w:rPr>
          <w:rFonts w:hint="eastAsia"/>
        </w:rPr>
        <w:t>年）的废水排放处理，预测日均峰值废水量</w:t>
      </w:r>
      <w:r w:rsidR="00061664" w:rsidRPr="002B55E9">
        <w:rPr>
          <w:rFonts w:hint="eastAsia"/>
        </w:rPr>
        <w:t>小于</w:t>
      </w:r>
      <w:r w:rsidR="00061664" w:rsidRPr="002B55E9">
        <w:rPr>
          <w:rFonts w:hint="eastAsia"/>
        </w:rPr>
        <w:t>1000m</w:t>
      </w:r>
      <w:r w:rsidR="00061664" w:rsidRPr="002B55E9">
        <w:rPr>
          <w:rFonts w:hint="eastAsia"/>
        </w:rPr>
        <w:t>³</w:t>
      </w:r>
      <w:r w:rsidR="00061664" w:rsidRPr="002B55E9">
        <w:rPr>
          <w:rFonts w:hint="eastAsia"/>
        </w:rPr>
        <w:t>/d</w:t>
      </w:r>
      <w:r w:rsidRPr="002B55E9">
        <w:rPr>
          <w:rFonts w:hint="eastAsia"/>
        </w:rPr>
        <w:t>，</w:t>
      </w:r>
      <w:r w:rsidR="00061664" w:rsidRPr="002B55E9">
        <w:rPr>
          <w:rFonts w:hint="eastAsia"/>
        </w:rPr>
        <w:t>故</w:t>
      </w:r>
      <w:r w:rsidRPr="002B55E9">
        <w:rPr>
          <w:rFonts w:hint="eastAsia"/>
        </w:rPr>
        <w:t>一期</w:t>
      </w:r>
      <w:r w:rsidR="00061664" w:rsidRPr="002B55E9">
        <w:rPr>
          <w:rFonts w:hint="eastAsia"/>
        </w:rPr>
        <w:t>污水处理站</w:t>
      </w:r>
      <w:r w:rsidRPr="002B55E9">
        <w:rPr>
          <w:rFonts w:hint="eastAsia"/>
        </w:rPr>
        <w:t>按</w:t>
      </w:r>
      <w:r w:rsidRPr="002B55E9">
        <w:rPr>
          <w:rFonts w:hint="eastAsia"/>
        </w:rPr>
        <w:t>1000m</w:t>
      </w:r>
      <w:r w:rsidRPr="002B55E9">
        <w:rPr>
          <w:rFonts w:hint="eastAsia"/>
        </w:rPr>
        <w:t>³</w:t>
      </w:r>
      <w:r w:rsidRPr="002B55E9">
        <w:rPr>
          <w:rFonts w:hint="eastAsia"/>
        </w:rPr>
        <w:t>/d</w:t>
      </w:r>
      <w:r w:rsidRPr="002B55E9">
        <w:rPr>
          <w:rFonts w:hint="eastAsia"/>
        </w:rPr>
        <w:t>处理能力进行设计。</w:t>
      </w:r>
    </w:p>
    <w:p w14:paraId="15869936" w14:textId="27C99231" w:rsidR="00D170E5" w:rsidRPr="002B55E9" w:rsidRDefault="00EF27AD">
      <w:pPr>
        <w:pStyle w:val="affff7"/>
        <w:snapToGrid w:val="0"/>
        <w:spacing w:after="0"/>
        <w:ind w:firstLine="482"/>
        <w:rPr>
          <w:b/>
          <w:bCs w:val="0"/>
        </w:rPr>
      </w:pPr>
      <w:r w:rsidRPr="002B55E9">
        <w:rPr>
          <w:rFonts w:hint="eastAsia"/>
          <w:b/>
          <w:bCs w:val="0"/>
        </w:rPr>
        <w:t>（</w:t>
      </w:r>
      <w:r w:rsidRPr="002B55E9">
        <w:rPr>
          <w:rFonts w:hint="eastAsia"/>
          <w:b/>
          <w:bCs w:val="0"/>
        </w:rPr>
        <w:t>1</w:t>
      </w:r>
      <w:r w:rsidRPr="002B55E9">
        <w:rPr>
          <w:rFonts w:hint="eastAsia"/>
          <w:b/>
          <w:bCs w:val="0"/>
        </w:rPr>
        <w:t>）纳管可行性</w:t>
      </w:r>
    </w:p>
    <w:p w14:paraId="67B06DA7" w14:textId="6163E38D" w:rsidR="00D170E5" w:rsidRPr="002B55E9" w:rsidRDefault="00EF27AD">
      <w:pPr>
        <w:pStyle w:val="affff7"/>
        <w:snapToGrid w:val="0"/>
        <w:spacing w:after="0"/>
      </w:pPr>
      <w:r w:rsidRPr="002B55E9">
        <w:rPr>
          <w:rFonts w:hint="eastAsia"/>
        </w:rPr>
        <w:t>拟建项目</w:t>
      </w:r>
      <w:r w:rsidRPr="002B55E9">
        <w:t>生活</w:t>
      </w:r>
      <w:r w:rsidRPr="002B55E9">
        <w:rPr>
          <w:rFonts w:hint="eastAsia"/>
        </w:rPr>
        <w:t>污水经</w:t>
      </w:r>
      <w:r w:rsidRPr="002B55E9">
        <w:t>化粪池处理后与</w:t>
      </w:r>
      <w:r w:rsidRPr="002B55E9">
        <w:rPr>
          <w:rFonts w:hint="eastAsia"/>
        </w:rPr>
        <w:t>生产废水一并经厂区西侧的废水提升站提升至项目地块西侧的佛山市海天（武汉）调味食品有限公司污水处理站处理，蒸汽冷凝水单独收集后提升至佛山市海天（武汉）调味食品有限公司废水总排口。</w:t>
      </w:r>
      <w:r w:rsidR="00061664" w:rsidRPr="002B55E9">
        <w:rPr>
          <w:rFonts w:hint="eastAsia"/>
        </w:rPr>
        <w:t>拟建</w:t>
      </w:r>
      <w:r w:rsidRPr="002B55E9">
        <w:rPr>
          <w:rFonts w:hint="eastAsia"/>
        </w:rPr>
        <w:t>项目本次建设厂区</w:t>
      </w:r>
      <w:r w:rsidR="00061664" w:rsidRPr="002B55E9">
        <w:rPr>
          <w:rFonts w:hint="eastAsia"/>
        </w:rPr>
        <w:t>内</w:t>
      </w:r>
      <w:r w:rsidRPr="002B55E9">
        <w:rPr>
          <w:rFonts w:hint="eastAsia"/>
        </w:rPr>
        <w:t>污水管网、提升</w:t>
      </w:r>
      <w:r w:rsidR="00061664" w:rsidRPr="002B55E9">
        <w:rPr>
          <w:rFonts w:hint="eastAsia"/>
        </w:rPr>
        <w:t>泵</w:t>
      </w:r>
      <w:r w:rsidRPr="002B55E9">
        <w:rPr>
          <w:rFonts w:hint="eastAsia"/>
        </w:rPr>
        <w:t>站及</w:t>
      </w:r>
      <w:r w:rsidR="00061664" w:rsidRPr="002B55E9">
        <w:rPr>
          <w:rFonts w:hint="eastAsia"/>
        </w:rPr>
        <w:t>厂区外的污水</w:t>
      </w:r>
      <w:r w:rsidRPr="002B55E9">
        <w:rPr>
          <w:rFonts w:hint="eastAsia"/>
        </w:rPr>
        <w:t>输送管道</w:t>
      </w:r>
      <w:r w:rsidR="00061664" w:rsidRPr="002B55E9">
        <w:rPr>
          <w:rFonts w:hint="eastAsia"/>
        </w:rPr>
        <w:t>至污水处理站调节池</w:t>
      </w:r>
      <w:r w:rsidRPr="002B55E9">
        <w:rPr>
          <w:rFonts w:hint="eastAsia"/>
        </w:rPr>
        <w:t>，废水排入佛山市海天（武汉）调味食品有限公司污水处理站从输送途径方面分析可行。</w:t>
      </w:r>
    </w:p>
    <w:p w14:paraId="766B92FB" w14:textId="77777777" w:rsidR="00D170E5" w:rsidRPr="002B55E9" w:rsidRDefault="00EF27AD">
      <w:pPr>
        <w:pStyle w:val="affff7"/>
        <w:snapToGrid w:val="0"/>
        <w:spacing w:after="0"/>
        <w:ind w:firstLine="482"/>
        <w:rPr>
          <w:b/>
          <w:bCs w:val="0"/>
        </w:rPr>
      </w:pPr>
      <w:r w:rsidRPr="002B55E9">
        <w:rPr>
          <w:rFonts w:hint="eastAsia"/>
          <w:b/>
          <w:bCs w:val="0"/>
        </w:rPr>
        <w:t>（</w:t>
      </w:r>
      <w:r w:rsidRPr="002B55E9">
        <w:rPr>
          <w:b/>
          <w:bCs w:val="0"/>
        </w:rPr>
        <w:t>2</w:t>
      </w:r>
      <w:r w:rsidRPr="002B55E9">
        <w:rPr>
          <w:rFonts w:hint="eastAsia"/>
          <w:b/>
          <w:bCs w:val="0"/>
        </w:rPr>
        <w:t>）容量可行性</w:t>
      </w:r>
    </w:p>
    <w:p w14:paraId="17F295EE" w14:textId="3EDB7D8C" w:rsidR="00D170E5" w:rsidRPr="002B55E9" w:rsidRDefault="00EF27AD">
      <w:pPr>
        <w:pStyle w:val="affff7"/>
        <w:snapToGrid w:val="0"/>
        <w:spacing w:after="0"/>
      </w:pPr>
      <w:r w:rsidRPr="002B55E9">
        <w:rPr>
          <w:rFonts w:hint="eastAsia"/>
        </w:rPr>
        <w:t>根据</w:t>
      </w:r>
      <w:r w:rsidRPr="002B55E9">
        <w:t>《</w:t>
      </w:r>
      <w:r w:rsidRPr="002B55E9">
        <w:rPr>
          <w:rFonts w:hint="eastAsia"/>
        </w:rPr>
        <w:t>海天调味品建设项目（一期）环境影响报告表</w:t>
      </w:r>
      <w:r w:rsidRPr="002B55E9">
        <w:t>》</w:t>
      </w:r>
      <w:r w:rsidRPr="002B55E9">
        <w:rPr>
          <w:rFonts w:hint="eastAsia"/>
        </w:rPr>
        <w:t>（报批稿），佛山市海天（武汉）调味食品有限公司污水处理站设计处理能力为</w:t>
      </w:r>
      <w:r w:rsidRPr="002B55E9">
        <w:rPr>
          <w:rFonts w:hint="eastAsia"/>
        </w:rPr>
        <w:t>1000</w:t>
      </w:r>
      <w:r w:rsidRPr="002B55E9">
        <w:t>m</w:t>
      </w:r>
      <w:r w:rsidRPr="002B55E9">
        <w:rPr>
          <w:vertAlign w:val="superscript"/>
        </w:rPr>
        <w:t>3</w:t>
      </w:r>
      <w:r w:rsidRPr="002B55E9">
        <w:rPr>
          <w:rFonts w:hint="eastAsia"/>
        </w:rPr>
        <w:t>/d</w:t>
      </w:r>
      <w:r w:rsidRPr="002B55E9">
        <w:rPr>
          <w:rFonts w:hint="eastAsia"/>
        </w:rPr>
        <w:t>，处理工艺为“</w:t>
      </w:r>
      <w:r w:rsidR="007F1BA2" w:rsidRPr="002B55E9">
        <w:rPr>
          <w:rFonts w:hint="eastAsia"/>
        </w:rPr>
        <w:t>预处理</w:t>
      </w:r>
      <w:r w:rsidR="007F1BA2" w:rsidRPr="002B55E9">
        <w:rPr>
          <w:rFonts w:hint="eastAsia"/>
        </w:rPr>
        <w:t>+</w:t>
      </w:r>
      <w:r w:rsidR="007F1BA2" w:rsidRPr="002B55E9">
        <w:rPr>
          <w:rFonts w:hint="eastAsia"/>
        </w:rPr>
        <w:t>厌氧</w:t>
      </w:r>
      <w:r w:rsidR="007F1BA2" w:rsidRPr="002B55E9">
        <w:rPr>
          <w:rFonts w:hint="eastAsia"/>
        </w:rPr>
        <w:t>+AO</w:t>
      </w:r>
      <w:r w:rsidR="007F1BA2" w:rsidRPr="002B55E9">
        <w:rPr>
          <w:rFonts w:hint="eastAsia"/>
        </w:rPr>
        <w:t>系</w:t>
      </w:r>
      <w:r w:rsidR="007F1BA2" w:rsidRPr="002B55E9">
        <w:rPr>
          <w:rFonts w:hint="eastAsia"/>
        </w:rPr>
        <w:lastRenderedPageBreak/>
        <w:t>统</w:t>
      </w:r>
      <w:r w:rsidR="007F1BA2" w:rsidRPr="002B55E9">
        <w:rPr>
          <w:rFonts w:hint="eastAsia"/>
        </w:rPr>
        <w:t>+</w:t>
      </w:r>
      <w:r w:rsidR="007F1BA2" w:rsidRPr="002B55E9">
        <w:rPr>
          <w:rFonts w:hint="eastAsia"/>
        </w:rPr>
        <w:t>深度处理</w:t>
      </w:r>
      <w:r w:rsidRPr="002B55E9">
        <w:rPr>
          <w:rFonts w:hint="eastAsia"/>
        </w:rPr>
        <w:t>”，项目废水经污水处理站处理达标后，经市政污水管网排入东西湖区污水处理厂处理。</w:t>
      </w:r>
      <w:r w:rsidRPr="002B55E9">
        <w:t>该项目投运后，</w:t>
      </w:r>
      <w:r w:rsidRPr="002B55E9">
        <w:rPr>
          <w:rFonts w:hint="eastAsia"/>
        </w:rPr>
        <w:t>佛山市海天（武汉）调味食品有限公司最大</w:t>
      </w:r>
      <w:r w:rsidRPr="002B55E9">
        <w:t>日排水量为</w:t>
      </w:r>
      <w:r w:rsidRPr="002B55E9">
        <w:rPr>
          <w:rFonts w:hint="eastAsia"/>
        </w:rPr>
        <w:t>385</w:t>
      </w:r>
      <w:r w:rsidRPr="002B55E9">
        <w:t xml:space="preserve"> m</w:t>
      </w:r>
      <w:r w:rsidRPr="002B55E9">
        <w:rPr>
          <w:vertAlign w:val="superscript"/>
        </w:rPr>
        <w:t>3</w:t>
      </w:r>
      <w:r w:rsidRPr="002B55E9">
        <w:rPr>
          <w:rFonts w:hint="eastAsia"/>
        </w:rPr>
        <w:t>/d</w:t>
      </w:r>
      <w:r w:rsidRPr="002B55E9">
        <w:rPr>
          <w:rFonts w:hint="eastAsia"/>
        </w:rPr>
        <w:t>，</w:t>
      </w:r>
      <w:r w:rsidRPr="002B55E9">
        <w:t>剩余</w:t>
      </w:r>
      <w:r w:rsidRPr="002B55E9">
        <w:rPr>
          <w:rFonts w:hint="eastAsia"/>
        </w:rPr>
        <w:t>处理</w:t>
      </w:r>
      <w:r w:rsidRPr="002B55E9">
        <w:t>能力为</w:t>
      </w:r>
      <w:r w:rsidRPr="002B55E9">
        <w:rPr>
          <w:rFonts w:hint="eastAsia"/>
        </w:rPr>
        <w:t>615</w:t>
      </w:r>
      <w:r w:rsidRPr="002B55E9">
        <w:t xml:space="preserve"> m</w:t>
      </w:r>
      <w:r w:rsidRPr="002B55E9">
        <w:rPr>
          <w:vertAlign w:val="superscript"/>
        </w:rPr>
        <w:t>3</w:t>
      </w:r>
      <w:r w:rsidRPr="002B55E9">
        <w:rPr>
          <w:rFonts w:hint="eastAsia"/>
        </w:rPr>
        <w:t>/d</w:t>
      </w:r>
      <w:r w:rsidRPr="002B55E9">
        <w:rPr>
          <w:rFonts w:hint="eastAsia"/>
        </w:rPr>
        <w:t>，</w:t>
      </w:r>
      <w:r w:rsidRPr="002B55E9">
        <w:t>本项目需排入污水处理站的</w:t>
      </w:r>
      <w:r w:rsidRPr="002B55E9">
        <w:rPr>
          <w:rFonts w:hint="eastAsia"/>
        </w:rPr>
        <w:t>水量约</w:t>
      </w:r>
      <w:r w:rsidRPr="002B55E9">
        <w:t>为</w:t>
      </w:r>
      <w:r w:rsidR="0054267F" w:rsidRPr="002B55E9">
        <w:rPr>
          <w:rFonts w:hint="eastAsia"/>
        </w:rPr>
        <w:t>523</w:t>
      </w:r>
      <w:r w:rsidRPr="002B55E9">
        <w:t xml:space="preserve"> m</w:t>
      </w:r>
      <w:r w:rsidRPr="002B55E9">
        <w:rPr>
          <w:vertAlign w:val="superscript"/>
        </w:rPr>
        <w:t>3</w:t>
      </w:r>
      <w:r w:rsidRPr="002B55E9">
        <w:rPr>
          <w:rFonts w:hint="eastAsia"/>
        </w:rPr>
        <w:t>/d</w:t>
      </w:r>
      <w:r w:rsidRPr="002B55E9">
        <w:rPr>
          <w:rFonts w:hint="eastAsia"/>
        </w:rPr>
        <w:t>，</w:t>
      </w:r>
      <w:r w:rsidRPr="002B55E9">
        <w:t>剩余</w:t>
      </w:r>
      <w:r w:rsidRPr="002B55E9">
        <w:rPr>
          <w:rFonts w:hint="eastAsia"/>
        </w:rPr>
        <w:t>处理能力</w:t>
      </w:r>
      <w:r w:rsidRPr="002B55E9">
        <w:t>可满足本项目</w:t>
      </w:r>
      <w:r w:rsidRPr="002B55E9">
        <w:rPr>
          <w:rFonts w:hint="eastAsia"/>
        </w:rPr>
        <w:t>废水</w:t>
      </w:r>
      <w:r w:rsidRPr="002B55E9">
        <w:t>排放要求</w:t>
      </w:r>
      <w:r w:rsidR="002D5B4B" w:rsidRPr="002B55E9">
        <w:rPr>
          <w:rFonts w:hint="eastAsia"/>
        </w:rPr>
        <w:t>。本项目废水接入后，污水处理站最大日处理水量为</w:t>
      </w:r>
      <w:r w:rsidR="002D5B4B" w:rsidRPr="002B55E9">
        <w:rPr>
          <w:rFonts w:hint="eastAsia"/>
        </w:rPr>
        <w:t>9</w:t>
      </w:r>
      <w:r w:rsidR="002D5B4B" w:rsidRPr="002B55E9">
        <w:t>08 m</w:t>
      </w:r>
      <w:r w:rsidR="002D5B4B" w:rsidRPr="002B55E9">
        <w:rPr>
          <w:vertAlign w:val="superscript"/>
        </w:rPr>
        <w:t>3</w:t>
      </w:r>
      <w:r w:rsidR="002D5B4B" w:rsidRPr="002B55E9">
        <w:rPr>
          <w:rFonts w:hint="eastAsia"/>
        </w:rPr>
        <w:t>/d</w:t>
      </w:r>
      <w:r w:rsidR="002D5B4B" w:rsidRPr="002B55E9">
        <w:rPr>
          <w:rFonts w:hint="eastAsia"/>
        </w:rPr>
        <w:t>，小于</w:t>
      </w:r>
      <w:r w:rsidR="002D5B4B" w:rsidRPr="002B55E9">
        <w:rPr>
          <w:rFonts w:hint="eastAsia"/>
        </w:rPr>
        <w:t>1000m</w:t>
      </w:r>
      <w:r w:rsidR="002D5B4B" w:rsidRPr="002B55E9">
        <w:rPr>
          <w:rFonts w:hint="eastAsia"/>
        </w:rPr>
        <w:t>³</w:t>
      </w:r>
      <w:r w:rsidR="002D5B4B" w:rsidRPr="002B55E9">
        <w:rPr>
          <w:rFonts w:hint="eastAsia"/>
        </w:rPr>
        <w:t>/d</w:t>
      </w:r>
      <w:r w:rsidR="002D5B4B" w:rsidRPr="002B55E9">
        <w:rPr>
          <w:rFonts w:hint="eastAsia"/>
        </w:rPr>
        <w:t>的设计处理能力，</w:t>
      </w:r>
      <w:r w:rsidRPr="002B55E9">
        <w:rPr>
          <w:rFonts w:hint="eastAsia"/>
        </w:rPr>
        <w:t>废水排入佛山市海天（武汉）调味食品有限公司污水处理站处理从水量方面分析可行。</w:t>
      </w:r>
    </w:p>
    <w:p w14:paraId="506E90EB" w14:textId="77777777" w:rsidR="00D170E5" w:rsidRPr="002B55E9" w:rsidRDefault="00EF27AD">
      <w:pPr>
        <w:pStyle w:val="affff7"/>
        <w:snapToGrid w:val="0"/>
        <w:spacing w:after="0"/>
        <w:ind w:firstLine="482"/>
        <w:rPr>
          <w:b/>
          <w:bCs w:val="0"/>
        </w:rPr>
      </w:pPr>
      <w:r w:rsidRPr="002B55E9">
        <w:rPr>
          <w:rFonts w:hint="eastAsia"/>
          <w:b/>
          <w:bCs w:val="0"/>
        </w:rPr>
        <w:t>（</w:t>
      </w:r>
      <w:r w:rsidRPr="002B55E9">
        <w:rPr>
          <w:rFonts w:hint="eastAsia"/>
          <w:b/>
          <w:bCs w:val="0"/>
        </w:rPr>
        <w:t>3</w:t>
      </w:r>
      <w:r w:rsidRPr="002B55E9">
        <w:rPr>
          <w:rFonts w:hint="eastAsia"/>
          <w:b/>
          <w:bCs w:val="0"/>
        </w:rPr>
        <w:t>）水质处理可行性</w:t>
      </w:r>
    </w:p>
    <w:p w14:paraId="3CBA6FD2" w14:textId="1964AA83" w:rsidR="00D170E5" w:rsidRPr="002B55E9" w:rsidRDefault="00061664">
      <w:pPr>
        <w:pStyle w:val="affff7"/>
        <w:snapToGrid w:val="0"/>
      </w:pPr>
      <w:r w:rsidRPr="002B55E9">
        <w:rPr>
          <w:rFonts w:hint="eastAsia"/>
        </w:rPr>
        <w:t>本项目废水主要为</w:t>
      </w:r>
      <w:r w:rsidR="00F6413B" w:rsidRPr="002B55E9">
        <w:rPr>
          <w:rFonts w:hint="eastAsia"/>
        </w:rPr>
        <w:t>生活污水和料酒、食醋生产废水，废水中</w:t>
      </w:r>
      <w:r w:rsidR="00B9539D" w:rsidRPr="002B55E9">
        <w:rPr>
          <w:rFonts w:hint="eastAsia"/>
        </w:rPr>
        <w:t>碳氮</w:t>
      </w:r>
      <w:r w:rsidR="00F6413B" w:rsidRPr="002B55E9">
        <w:rPr>
          <w:rFonts w:hint="eastAsia"/>
        </w:rPr>
        <w:t>比约为</w:t>
      </w:r>
      <w:r w:rsidR="00B9539D" w:rsidRPr="002B55E9">
        <w:rPr>
          <w:rFonts w:hint="eastAsia"/>
        </w:rPr>
        <w:t>25</w:t>
      </w:r>
      <w:r w:rsidR="00F6413B" w:rsidRPr="002B55E9">
        <w:t>~</w:t>
      </w:r>
      <w:r w:rsidR="00B9539D" w:rsidRPr="002B55E9">
        <w:rPr>
          <w:rFonts w:hint="eastAsia"/>
        </w:rPr>
        <w:t>35</w:t>
      </w:r>
      <w:r w:rsidR="00B9539D" w:rsidRPr="002B55E9">
        <w:rPr>
          <w:rFonts w:hint="eastAsia"/>
        </w:rPr>
        <w:t>，具有可生化性强、水质稳定、无难降解有机物等特点。</w:t>
      </w:r>
      <w:r w:rsidR="00EF27AD" w:rsidRPr="002B55E9">
        <w:rPr>
          <w:rFonts w:hint="eastAsia"/>
        </w:rPr>
        <w:t>佛山市海天（武汉）调味食品有限公司污水处理站处理工艺为“</w:t>
      </w:r>
      <w:r w:rsidR="007F1BA2" w:rsidRPr="002B55E9">
        <w:rPr>
          <w:rFonts w:hint="eastAsia"/>
        </w:rPr>
        <w:t>预处理</w:t>
      </w:r>
      <w:r w:rsidR="007F1BA2" w:rsidRPr="002B55E9">
        <w:rPr>
          <w:rFonts w:hint="eastAsia"/>
        </w:rPr>
        <w:t>+</w:t>
      </w:r>
      <w:r w:rsidR="007F1BA2" w:rsidRPr="002B55E9">
        <w:rPr>
          <w:rFonts w:hint="eastAsia"/>
        </w:rPr>
        <w:t>厌氧</w:t>
      </w:r>
      <w:r w:rsidR="007F1BA2" w:rsidRPr="002B55E9">
        <w:rPr>
          <w:rFonts w:hint="eastAsia"/>
        </w:rPr>
        <w:t>+AO</w:t>
      </w:r>
      <w:r w:rsidR="007F1BA2" w:rsidRPr="002B55E9">
        <w:rPr>
          <w:rFonts w:hint="eastAsia"/>
        </w:rPr>
        <w:t>系统</w:t>
      </w:r>
      <w:r w:rsidR="007F1BA2" w:rsidRPr="002B55E9">
        <w:rPr>
          <w:rFonts w:hint="eastAsia"/>
        </w:rPr>
        <w:t>+</w:t>
      </w:r>
      <w:r w:rsidR="007F1BA2" w:rsidRPr="002B55E9">
        <w:rPr>
          <w:rFonts w:hint="eastAsia"/>
        </w:rPr>
        <w:t>深度处理</w:t>
      </w:r>
      <w:r w:rsidR="00EF27AD" w:rsidRPr="002B55E9">
        <w:rPr>
          <w:rFonts w:hint="eastAsia"/>
        </w:rPr>
        <w:t>”，详见下图。</w:t>
      </w:r>
    </w:p>
    <w:tbl>
      <w:tblPr>
        <w:tblStyle w:val="afffa"/>
        <w:tblW w:w="96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07"/>
      </w:tblGrid>
      <w:tr w:rsidR="002B55E9" w:rsidRPr="002B55E9" w14:paraId="32DC66F4" w14:textId="77777777">
        <w:tc>
          <w:tcPr>
            <w:tcW w:w="9607" w:type="dxa"/>
          </w:tcPr>
          <w:p w14:paraId="5760AD12" w14:textId="7BBD81ED" w:rsidR="00D170E5" w:rsidRPr="002B55E9" w:rsidRDefault="00666420">
            <w:pPr>
              <w:pStyle w:val="lgy-"/>
            </w:pPr>
            <w:r w:rsidRPr="002B55E9">
              <w:rPr>
                <w:noProof/>
              </w:rPr>
              <w:drawing>
                <wp:inline distT="0" distB="0" distL="0" distR="0" wp14:anchorId="302E4E45" wp14:editId="7BDC3A58">
                  <wp:extent cx="3190216" cy="396000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90216" cy="3960000"/>
                          </a:xfrm>
                          <a:prstGeom prst="rect">
                            <a:avLst/>
                          </a:prstGeom>
                        </pic:spPr>
                      </pic:pic>
                    </a:graphicData>
                  </a:graphic>
                </wp:inline>
              </w:drawing>
            </w:r>
          </w:p>
        </w:tc>
      </w:tr>
    </w:tbl>
    <w:p w14:paraId="4C666932" w14:textId="77777777" w:rsidR="00D170E5" w:rsidRPr="002B55E9" w:rsidRDefault="00EF27AD">
      <w:pPr>
        <w:pStyle w:val="lgy"/>
        <w:rPr>
          <w:rFonts w:ascii="黑体" w:eastAsia="黑体" w:hAnsi="黑体"/>
          <w:color w:val="auto"/>
          <w:sz w:val="24"/>
          <w:szCs w:val="24"/>
        </w:rPr>
      </w:pPr>
      <w:r w:rsidRPr="002B55E9">
        <w:rPr>
          <w:rFonts w:ascii="黑体" w:eastAsia="黑体" w:hAnsi="黑体"/>
          <w:color w:val="auto"/>
          <w:sz w:val="24"/>
          <w:szCs w:val="24"/>
        </w:rPr>
        <w:t>图5-3-1  废水处理工艺流程示意图</w:t>
      </w:r>
    </w:p>
    <w:p w14:paraId="03EEE2DB" w14:textId="28A07E74" w:rsidR="002D5B4B" w:rsidRPr="002B55E9" w:rsidRDefault="002D5B4B" w:rsidP="002D5B4B">
      <w:pPr>
        <w:pStyle w:val="affff7"/>
        <w:snapToGrid w:val="0"/>
        <w:spacing w:after="0"/>
      </w:pPr>
      <w:r w:rsidRPr="002B55E9">
        <w:rPr>
          <w:rFonts w:hint="eastAsia"/>
        </w:rPr>
        <w:t>根据建设单位提供的设计资料，污水处理站的设计进</w:t>
      </w:r>
      <w:r w:rsidR="008220F1" w:rsidRPr="002B55E9">
        <w:rPr>
          <w:rFonts w:hint="eastAsia"/>
        </w:rPr>
        <w:t>、出</w:t>
      </w:r>
      <w:r w:rsidRPr="002B55E9">
        <w:rPr>
          <w:rFonts w:hint="eastAsia"/>
        </w:rPr>
        <w:t>水质指标如下</w:t>
      </w:r>
      <w:r w:rsidR="00F94BAE" w:rsidRPr="002B55E9">
        <w:rPr>
          <w:rFonts w:hint="eastAsia"/>
        </w:rPr>
        <w:t>表所以。</w:t>
      </w:r>
    </w:p>
    <w:p w14:paraId="1D8EF919" w14:textId="61ACD9E6" w:rsidR="002D5B4B" w:rsidRPr="002B55E9" w:rsidRDefault="002D5B4B" w:rsidP="002D5B4B">
      <w:pPr>
        <w:jc w:val="center"/>
        <w:rPr>
          <w:rFonts w:ascii="黑体" w:eastAsia="黑体" w:hAnsi="黑体"/>
          <w:sz w:val="24"/>
          <w:szCs w:val="24"/>
        </w:rPr>
      </w:pPr>
      <w:r w:rsidRPr="002B55E9">
        <w:rPr>
          <w:rFonts w:ascii="黑体" w:eastAsia="黑体" w:hAnsi="黑体" w:hint="eastAsia"/>
          <w:b/>
          <w:bCs/>
          <w:snapToGrid w:val="0"/>
          <w:sz w:val="24"/>
          <w:szCs w:val="24"/>
        </w:rPr>
        <w:t>表5</w:t>
      </w:r>
      <w:r w:rsidRPr="002B55E9">
        <w:rPr>
          <w:rFonts w:ascii="黑体" w:eastAsia="黑体" w:hAnsi="黑体"/>
          <w:b/>
          <w:bCs/>
          <w:snapToGrid w:val="0"/>
          <w:sz w:val="24"/>
          <w:szCs w:val="24"/>
        </w:rPr>
        <w:t>-3-</w:t>
      </w:r>
      <w:r w:rsidRPr="002B55E9">
        <w:rPr>
          <w:rFonts w:ascii="黑体" w:eastAsia="黑体" w:hAnsi="黑体" w:hint="eastAsia"/>
          <w:b/>
          <w:bCs/>
          <w:snapToGrid w:val="0"/>
          <w:sz w:val="24"/>
          <w:szCs w:val="24"/>
        </w:rPr>
        <w:t>1  佛山市海天（武汉）调味食品有限公司污水处理站设计进</w:t>
      </w:r>
      <w:r w:rsidR="008220F1" w:rsidRPr="002B55E9">
        <w:rPr>
          <w:rFonts w:ascii="黑体" w:eastAsia="黑体" w:hAnsi="黑体" w:hint="eastAsia"/>
          <w:b/>
          <w:bCs/>
          <w:snapToGrid w:val="0"/>
          <w:sz w:val="24"/>
          <w:szCs w:val="24"/>
        </w:rPr>
        <w:t>、出</w:t>
      </w:r>
      <w:r w:rsidRPr="002B55E9">
        <w:rPr>
          <w:rFonts w:ascii="黑体" w:eastAsia="黑体" w:hAnsi="黑体" w:hint="eastAsia"/>
          <w:b/>
          <w:bCs/>
          <w:snapToGrid w:val="0"/>
          <w:sz w:val="24"/>
          <w:szCs w:val="24"/>
        </w:rPr>
        <w:t>水质标准</w:t>
      </w:r>
    </w:p>
    <w:tbl>
      <w:tblPr>
        <w:tblStyle w:val="lgy2"/>
        <w:tblW w:w="5000" w:type="pct"/>
        <w:tblLayout w:type="fixed"/>
        <w:tblCellMar>
          <w:left w:w="28" w:type="dxa"/>
          <w:right w:w="28" w:type="dxa"/>
        </w:tblCellMar>
        <w:tblLook w:val="04A0" w:firstRow="1" w:lastRow="0" w:firstColumn="1" w:lastColumn="0" w:noHBand="0" w:noVBand="1"/>
      </w:tblPr>
      <w:tblGrid>
        <w:gridCol w:w="1282"/>
        <w:gridCol w:w="569"/>
        <w:gridCol w:w="983"/>
        <w:gridCol w:w="1143"/>
        <w:gridCol w:w="1143"/>
        <w:gridCol w:w="1143"/>
        <w:gridCol w:w="1143"/>
        <w:gridCol w:w="1143"/>
        <w:gridCol w:w="1144"/>
      </w:tblGrid>
      <w:tr w:rsidR="002B55E9" w:rsidRPr="002B55E9" w14:paraId="1F3B8139" w14:textId="77777777" w:rsidTr="001635BA">
        <w:trPr>
          <w:cnfStyle w:val="100000000000" w:firstRow="1" w:lastRow="0" w:firstColumn="0" w:lastColumn="0" w:oddVBand="0" w:evenVBand="0" w:oddHBand="0" w:evenHBand="0" w:firstRowFirstColumn="0" w:firstRowLastColumn="0" w:lastRowFirstColumn="0" w:lastRowLastColumn="0"/>
          <w:trHeight w:val="283"/>
        </w:trPr>
        <w:tc>
          <w:tcPr>
            <w:tcW w:w="1276" w:type="dxa"/>
            <w:noWrap/>
            <w:hideMark/>
          </w:tcPr>
          <w:p w14:paraId="10F6F1D3" w14:textId="77777777" w:rsidR="002D5B4B" w:rsidRPr="002B55E9" w:rsidRDefault="002D5B4B" w:rsidP="008220F1">
            <w:pPr>
              <w:pStyle w:val="lgy-"/>
              <w:rPr>
                <w:rFonts w:eastAsia="宋体"/>
              </w:rPr>
            </w:pPr>
            <w:r w:rsidRPr="002B55E9">
              <w:rPr>
                <w:rFonts w:eastAsia="宋体" w:hint="eastAsia"/>
              </w:rPr>
              <w:t>项目</w:t>
            </w:r>
          </w:p>
        </w:tc>
        <w:tc>
          <w:tcPr>
            <w:tcW w:w="567" w:type="dxa"/>
            <w:noWrap/>
            <w:hideMark/>
          </w:tcPr>
          <w:p w14:paraId="6CA7F8E7" w14:textId="77777777" w:rsidR="002D5B4B" w:rsidRPr="002B55E9" w:rsidRDefault="002D5B4B" w:rsidP="008220F1">
            <w:pPr>
              <w:pStyle w:val="lgy-"/>
              <w:rPr>
                <w:rFonts w:eastAsia="宋体"/>
              </w:rPr>
            </w:pPr>
            <w:r w:rsidRPr="002B55E9">
              <w:rPr>
                <w:rFonts w:eastAsia="宋体" w:hint="eastAsia"/>
              </w:rPr>
              <w:t>pH</w:t>
            </w:r>
          </w:p>
        </w:tc>
        <w:tc>
          <w:tcPr>
            <w:tcW w:w="977" w:type="dxa"/>
            <w:noWrap/>
            <w:hideMark/>
          </w:tcPr>
          <w:p w14:paraId="03049A2D" w14:textId="77777777" w:rsidR="002D5B4B" w:rsidRPr="002B55E9" w:rsidRDefault="002D5B4B" w:rsidP="008220F1">
            <w:pPr>
              <w:pStyle w:val="lgy-"/>
              <w:rPr>
                <w:rFonts w:eastAsia="宋体"/>
              </w:rPr>
            </w:pPr>
            <w:r w:rsidRPr="002B55E9">
              <w:rPr>
                <w:rFonts w:eastAsia="宋体" w:hint="eastAsia"/>
              </w:rPr>
              <w:t>COD (mg/L)</w:t>
            </w:r>
          </w:p>
        </w:tc>
        <w:tc>
          <w:tcPr>
            <w:tcW w:w="1136" w:type="dxa"/>
            <w:noWrap/>
            <w:hideMark/>
          </w:tcPr>
          <w:p w14:paraId="629B6552" w14:textId="77777777" w:rsidR="002D5B4B" w:rsidRPr="002B55E9" w:rsidRDefault="002D5B4B" w:rsidP="008220F1">
            <w:pPr>
              <w:pStyle w:val="lgy-"/>
              <w:rPr>
                <w:rFonts w:eastAsia="宋体"/>
              </w:rPr>
            </w:pPr>
            <w:r w:rsidRPr="002B55E9">
              <w:rPr>
                <w:rFonts w:eastAsia="宋体" w:hint="eastAsia"/>
              </w:rPr>
              <w:t>BOD</w:t>
            </w:r>
            <w:r w:rsidRPr="002B55E9">
              <w:rPr>
                <w:rFonts w:eastAsia="宋体" w:hint="eastAsia"/>
                <w:vertAlign w:val="subscript"/>
              </w:rPr>
              <w:t xml:space="preserve">5 </w:t>
            </w:r>
            <w:r w:rsidRPr="002B55E9">
              <w:rPr>
                <w:rFonts w:eastAsia="宋体" w:hint="eastAsia"/>
              </w:rPr>
              <w:t>(mg/L)</w:t>
            </w:r>
          </w:p>
        </w:tc>
        <w:tc>
          <w:tcPr>
            <w:tcW w:w="1136" w:type="dxa"/>
            <w:noWrap/>
            <w:hideMark/>
          </w:tcPr>
          <w:p w14:paraId="7E8AE4BD" w14:textId="77777777" w:rsidR="002D5B4B" w:rsidRPr="002B55E9" w:rsidRDefault="002D5B4B" w:rsidP="008220F1">
            <w:pPr>
              <w:pStyle w:val="lgy-"/>
              <w:rPr>
                <w:rFonts w:eastAsia="宋体"/>
              </w:rPr>
            </w:pPr>
            <w:r w:rsidRPr="002B55E9">
              <w:rPr>
                <w:rFonts w:eastAsia="宋体" w:hint="eastAsia"/>
              </w:rPr>
              <w:t>SS (mg/L)</w:t>
            </w:r>
          </w:p>
        </w:tc>
        <w:tc>
          <w:tcPr>
            <w:tcW w:w="1136" w:type="dxa"/>
            <w:noWrap/>
            <w:hideMark/>
          </w:tcPr>
          <w:p w14:paraId="3176115C" w14:textId="77777777" w:rsidR="002D5B4B" w:rsidRPr="002B55E9" w:rsidRDefault="002D5B4B" w:rsidP="008220F1">
            <w:pPr>
              <w:pStyle w:val="lgy-"/>
              <w:rPr>
                <w:rFonts w:eastAsia="宋体"/>
              </w:rPr>
            </w:pPr>
            <w:r w:rsidRPr="002B55E9">
              <w:rPr>
                <w:rFonts w:eastAsia="宋体" w:hint="eastAsia"/>
              </w:rPr>
              <w:t>总氮</w:t>
            </w:r>
            <w:r w:rsidRPr="002B55E9">
              <w:rPr>
                <w:rFonts w:eastAsia="宋体" w:hint="eastAsia"/>
              </w:rPr>
              <w:t>(mg/L)</w:t>
            </w:r>
          </w:p>
        </w:tc>
        <w:tc>
          <w:tcPr>
            <w:tcW w:w="1136" w:type="dxa"/>
            <w:noWrap/>
            <w:hideMark/>
          </w:tcPr>
          <w:p w14:paraId="1984C314" w14:textId="77777777" w:rsidR="002D5B4B" w:rsidRPr="002B55E9" w:rsidRDefault="002D5B4B" w:rsidP="008220F1">
            <w:pPr>
              <w:pStyle w:val="lgy-"/>
              <w:rPr>
                <w:rFonts w:eastAsia="宋体"/>
              </w:rPr>
            </w:pPr>
            <w:r w:rsidRPr="002B55E9">
              <w:rPr>
                <w:rFonts w:eastAsia="宋体" w:hint="eastAsia"/>
              </w:rPr>
              <w:t>NH</w:t>
            </w:r>
            <w:r w:rsidRPr="002B55E9">
              <w:rPr>
                <w:rFonts w:eastAsia="宋体" w:hint="eastAsia"/>
                <w:vertAlign w:val="subscript"/>
              </w:rPr>
              <w:t>3</w:t>
            </w:r>
            <w:r w:rsidRPr="002B55E9">
              <w:rPr>
                <w:rFonts w:eastAsia="宋体" w:hint="eastAsia"/>
              </w:rPr>
              <w:t>-N (mg/L)</w:t>
            </w:r>
          </w:p>
        </w:tc>
        <w:tc>
          <w:tcPr>
            <w:tcW w:w="1136" w:type="dxa"/>
            <w:noWrap/>
            <w:hideMark/>
          </w:tcPr>
          <w:p w14:paraId="153C82C7" w14:textId="77777777" w:rsidR="002D5B4B" w:rsidRPr="002B55E9" w:rsidRDefault="002D5B4B" w:rsidP="008220F1">
            <w:pPr>
              <w:pStyle w:val="lgy-"/>
              <w:rPr>
                <w:rFonts w:eastAsia="宋体"/>
              </w:rPr>
            </w:pPr>
            <w:r w:rsidRPr="002B55E9">
              <w:rPr>
                <w:rFonts w:eastAsia="宋体" w:hint="eastAsia"/>
              </w:rPr>
              <w:t>总磷</w:t>
            </w:r>
            <w:r w:rsidRPr="002B55E9">
              <w:rPr>
                <w:rFonts w:eastAsia="宋体" w:hint="eastAsia"/>
              </w:rPr>
              <w:t>(mg/L)</w:t>
            </w:r>
          </w:p>
        </w:tc>
        <w:tc>
          <w:tcPr>
            <w:tcW w:w="1137" w:type="dxa"/>
            <w:noWrap/>
            <w:hideMark/>
          </w:tcPr>
          <w:p w14:paraId="4D71BBB9" w14:textId="77777777" w:rsidR="002D5B4B" w:rsidRPr="002B55E9" w:rsidRDefault="002D5B4B" w:rsidP="008220F1">
            <w:pPr>
              <w:pStyle w:val="lgy-"/>
              <w:rPr>
                <w:rFonts w:eastAsia="宋体"/>
              </w:rPr>
            </w:pPr>
            <w:r w:rsidRPr="002B55E9">
              <w:rPr>
                <w:rFonts w:eastAsia="宋体" w:hint="eastAsia"/>
              </w:rPr>
              <w:t>动植物油</w:t>
            </w:r>
            <w:r w:rsidRPr="002B55E9">
              <w:rPr>
                <w:rFonts w:eastAsia="宋体" w:hint="eastAsia"/>
              </w:rPr>
              <w:t>(mg/L)</w:t>
            </w:r>
          </w:p>
        </w:tc>
      </w:tr>
      <w:tr w:rsidR="002B55E9" w:rsidRPr="002B55E9" w14:paraId="446832B1" w14:textId="77777777" w:rsidTr="001635BA">
        <w:trPr>
          <w:trHeight w:val="283"/>
        </w:trPr>
        <w:tc>
          <w:tcPr>
            <w:tcW w:w="1276" w:type="dxa"/>
            <w:noWrap/>
            <w:hideMark/>
          </w:tcPr>
          <w:p w14:paraId="48D93974" w14:textId="77777777" w:rsidR="002D5B4B" w:rsidRPr="002B55E9" w:rsidRDefault="002D5B4B" w:rsidP="008220F1">
            <w:pPr>
              <w:pStyle w:val="lgy-"/>
              <w:rPr>
                <w:rFonts w:eastAsia="宋体"/>
              </w:rPr>
            </w:pPr>
            <w:r w:rsidRPr="002B55E9">
              <w:rPr>
                <w:rFonts w:eastAsia="宋体" w:hint="eastAsia"/>
              </w:rPr>
              <w:t>设计进水水质</w:t>
            </w:r>
          </w:p>
        </w:tc>
        <w:tc>
          <w:tcPr>
            <w:tcW w:w="567" w:type="dxa"/>
            <w:noWrap/>
            <w:hideMark/>
          </w:tcPr>
          <w:p w14:paraId="507DF77F" w14:textId="257F1DB5" w:rsidR="002D5B4B" w:rsidRPr="002B55E9" w:rsidRDefault="002D5B4B" w:rsidP="008220F1">
            <w:pPr>
              <w:pStyle w:val="lgy-"/>
              <w:rPr>
                <w:rFonts w:eastAsia="宋体"/>
              </w:rPr>
            </w:pPr>
            <w:r w:rsidRPr="002B55E9">
              <w:rPr>
                <w:rFonts w:eastAsia="宋体" w:hint="eastAsia"/>
              </w:rPr>
              <w:t>4.5</w:t>
            </w:r>
            <w:r w:rsidRPr="002B55E9">
              <w:rPr>
                <w:rFonts w:eastAsia="宋体"/>
              </w:rPr>
              <w:t>~</w:t>
            </w:r>
            <w:r w:rsidRPr="002B55E9">
              <w:rPr>
                <w:rFonts w:eastAsia="宋体" w:hint="eastAsia"/>
              </w:rPr>
              <w:t>10</w:t>
            </w:r>
          </w:p>
        </w:tc>
        <w:tc>
          <w:tcPr>
            <w:tcW w:w="977" w:type="dxa"/>
            <w:noWrap/>
            <w:hideMark/>
          </w:tcPr>
          <w:p w14:paraId="0B8CB39C" w14:textId="77777777" w:rsidR="002D5B4B" w:rsidRPr="002B55E9" w:rsidRDefault="002D5B4B" w:rsidP="008220F1">
            <w:pPr>
              <w:pStyle w:val="lgy-"/>
              <w:rPr>
                <w:rFonts w:eastAsia="宋体"/>
              </w:rPr>
            </w:pPr>
            <w:r w:rsidRPr="002B55E9">
              <w:rPr>
                <w:rFonts w:eastAsia="宋体" w:hint="eastAsia"/>
              </w:rPr>
              <w:t>5500</w:t>
            </w:r>
          </w:p>
        </w:tc>
        <w:tc>
          <w:tcPr>
            <w:tcW w:w="1136" w:type="dxa"/>
            <w:noWrap/>
            <w:hideMark/>
          </w:tcPr>
          <w:p w14:paraId="2FD30D70" w14:textId="77777777" w:rsidR="002D5B4B" w:rsidRPr="002B55E9" w:rsidRDefault="002D5B4B" w:rsidP="008220F1">
            <w:pPr>
              <w:pStyle w:val="lgy-"/>
              <w:rPr>
                <w:rFonts w:eastAsia="宋体"/>
              </w:rPr>
            </w:pPr>
            <w:r w:rsidRPr="002B55E9">
              <w:rPr>
                <w:rFonts w:eastAsia="宋体" w:hint="eastAsia"/>
              </w:rPr>
              <w:t>2000</w:t>
            </w:r>
          </w:p>
        </w:tc>
        <w:tc>
          <w:tcPr>
            <w:tcW w:w="1136" w:type="dxa"/>
            <w:noWrap/>
            <w:hideMark/>
          </w:tcPr>
          <w:p w14:paraId="4EB74A25" w14:textId="77777777" w:rsidR="002D5B4B" w:rsidRPr="002B55E9" w:rsidRDefault="002D5B4B" w:rsidP="008220F1">
            <w:pPr>
              <w:pStyle w:val="lgy-"/>
              <w:rPr>
                <w:rFonts w:eastAsia="宋体"/>
              </w:rPr>
            </w:pPr>
            <w:r w:rsidRPr="002B55E9">
              <w:rPr>
                <w:rFonts w:eastAsia="宋体" w:hint="eastAsia"/>
              </w:rPr>
              <w:t>1500</w:t>
            </w:r>
          </w:p>
        </w:tc>
        <w:tc>
          <w:tcPr>
            <w:tcW w:w="1136" w:type="dxa"/>
            <w:noWrap/>
            <w:hideMark/>
          </w:tcPr>
          <w:p w14:paraId="68A439B7" w14:textId="77777777" w:rsidR="002D5B4B" w:rsidRPr="002B55E9" w:rsidRDefault="002D5B4B" w:rsidP="008220F1">
            <w:pPr>
              <w:pStyle w:val="lgy-"/>
              <w:rPr>
                <w:rFonts w:eastAsia="宋体"/>
              </w:rPr>
            </w:pPr>
            <w:r w:rsidRPr="002B55E9">
              <w:rPr>
                <w:rFonts w:eastAsia="宋体" w:hint="eastAsia"/>
              </w:rPr>
              <w:t>150</w:t>
            </w:r>
          </w:p>
        </w:tc>
        <w:tc>
          <w:tcPr>
            <w:tcW w:w="1136" w:type="dxa"/>
            <w:noWrap/>
            <w:hideMark/>
          </w:tcPr>
          <w:p w14:paraId="7F471E3C" w14:textId="77777777" w:rsidR="002D5B4B" w:rsidRPr="002B55E9" w:rsidRDefault="002D5B4B" w:rsidP="008220F1">
            <w:pPr>
              <w:pStyle w:val="lgy-"/>
              <w:rPr>
                <w:rFonts w:eastAsia="宋体"/>
              </w:rPr>
            </w:pPr>
            <w:r w:rsidRPr="002B55E9">
              <w:rPr>
                <w:rFonts w:eastAsia="宋体" w:hint="eastAsia"/>
              </w:rPr>
              <w:t>80</w:t>
            </w:r>
          </w:p>
        </w:tc>
        <w:tc>
          <w:tcPr>
            <w:tcW w:w="1136" w:type="dxa"/>
            <w:noWrap/>
            <w:hideMark/>
          </w:tcPr>
          <w:p w14:paraId="665FCE31" w14:textId="77777777" w:rsidR="002D5B4B" w:rsidRPr="002B55E9" w:rsidRDefault="002D5B4B" w:rsidP="008220F1">
            <w:pPr>
              <w:pStyle w:val="lgy-"/>
              <w:rPr>
                <w:rFonts w:eastAsia="宋体"/>
              </w:rPr>
            </w:pPr>
            <w:r w:rsidRPr="002B55E9">
              <w:rPr>
                <w:rFonts w:eastAsia="宋体" w:hint="eastAsia"/>
              </w:rPr>
              <w:t>60</w:t>
            </w:r>
          </w:p>
        </w:tc>
        <w:tc>
          <w:tcPr>
            <w:tcW w:w="1137" w:type="dxa"/>
            <w:noWrap/>
            <w:hideMark/>
          </w:tcPr>
          <w:p w14:paraId="04762B4F" w14:textId="77777777" w:rsidR="002D5B4B" w:rsidRPr="002B55E9" w:rsidRDefault="002D5B4B" w:rsidP="008220F1">
            <w:pPr>
              <w:pStyle w:val="lgy-"/>
              <w:rPr>
                <w:rFonts w:eastAsia="宋体"/>
              </w:rPr>
            </w:pPr>
            <w:r w:rsidRPr="002B55E9">
              <w:rPr>
                <w:rFonts w:eastAsia="宋体" w:hint="eastAsia"/>
              </w:rPr>
              <w:t>200</w:t>
            </w:r>
          </w:p>
        </w:tc>
      </w:tr>
      <w:tr w:rsidR="002B55E9" w:rsidRPr="002B55E9" w14:paraId="3AA9DC42" w14:textId="77777777" w:rsidTr="001635BA">
        <w:trPr>
          <w:trHeight w:val="283"/>
        </w:trPr>
        <w:tc>
          <w:tcPr>
            <w:tcW w:w="1276" w:type="dxa"/>
            <w:noWrap/>
          </w:tcPr>
          <w:p w14:paraId="2BD44173" w14:textId="04E09FD6" w:rsidR="008220F1" w:rsidRPr="002B55E9" w:rsidRDefault="008220F1" w:rsidP="008220F1">
            <w:pPr>
              <w:pStyle w:val="lgy-"/>
              <w:rPr>
                <w:rFonts w:eastAsia="宋体"/>
              </w:rPr>
            </w:pPr>
            <w:r w:rsidRPr="002B55E9">
              <w:rPr>
                <w:rFonts w:eastAsia="宋体" w:hint="eastAsia"/>
              </w:rPr>
              <w:t>设计出水水质</w:t>
            </w:r>
          </w:p>
        </w:tc>
        <w:tc>
          <w:tcPr>
            <w:tcW w:w="567" w:type="dxa"/>
            <w:noWrap/>
          </w:tcPr>
          <w:p w14:paraId="08DFAF40" w14:textId="215321E6" w:rsidR="008220F1" w:rsidRPr="002B55E9" w:rsidRDefault="008220F1" w:rsidP="008220F1">
            <w:pPr>
              <w:pStyle w:val="lgy-"/>
              <w:rPr>
                <w:rFonts w:eastAsia="宋体"/>
              </w:rPr>
            </w:pPr>
            <w:r w:rsidRPr="002B55E9">
              <w:rPr>
                <w:rFonts w:eastAsia="宋体" w:hint="eastAsia"/>
              </w:rPr>
              <w:t>6</w:t>
            </w:r>
            <w:r w:rsidRPr="002B55E9">
              <w:rPr>
                <w:rFonts w:eastAsia="宋体"/>
              </w:rPr>
              <w:t>~9</w:t>
            </w:r>
          </w:p>
        </w:tc>
        <w:tc>
          <w:tcPr>
            <w:tcW w:w="977" w:type="dxa"/>
            <w:noWrap/>
          </w:tcPr>
          <w:p w14:paraId="0852CEE5" w14:textId="35A0CE27" w:rsidR="008220F1" w:rsidRPr="002B55E9" w:rsidRDefault="008220F1" w:rsidP="008220F1">
            <w:pPr>
              <w:pStyle w:val="lgy-"/>
              <w:rPr>
                <w:rFonts w:eastAsia="宋体"/>
              </w:rPr>
            </w:pPr>
            <w:r w:rsidRPr="002B55E9">
              <w:rPr>
                <w:rFonts w:eastAsia="宋体"/>
              </w:rPr>
              <w:t>270</w:t>
            </w:r>
          </w:p>
        </w:tc>
        <w:tc>
          <w:tcPr>
            <w:tcW w:w="1136" w:type="dxa"/>
            <w:noWrap/>
          </w:tcPr>
          <w:p w14:paraId="6BD7D3D9" w14:textId="2B2B6EBD" w:rsidR="008220F1" w:rsidRPr="002B55E9" w:rsidRDefault="008220F1" w:rsidP="008220F1">
            <w:pPr>
              <w:pStyle w:val="lgy-"/>
              <w:rPr>
                <w:rFonts w:eastAsia="宋体"/>
              </w:rPr>
            </w:pPr>
            <w:r w:rsidRPr="002B55E9">
              <w:rPr>
                <w:rFonts w:eastAsia="宋体"/>
              </w:rPr>
              <w:t>170</w:t>
            </w:r>
          </w:p>
        </w:tc>
        <w:tc>
          <w:tcPr>
            <w:tcW w:w="1136" w:type="dxa"/>
            <w:noWrap/>
          </w:tcPr>
          <w:p w14:paraId="51E70F90" w14:textId="19545455" w:rsidR="008220F1" w:rsidRPr="002B55E9" w:rsidRDefault="008220F1" w:rsidP="008220F1">
            <w:pPr>
              <w:pStyle w:val="lgy-"/>
              <w:rPr>
                <w:rFonts w:eastAsia="宋体"/>
              </w:rPr>
            </w:pPr>
            <w:r w:rsidRPr="002B55E9">
              <w:rPr>
                <w:rFonts w:eastAsia="宋体" w:hint="eastAsia"/>
              </w:rPr>
              <w:t>2</w:t>
            </w:r>
            <w:r w:rsidRPr="002B55E9">
              <w:rPr>
                <w:rFonts w:eastAsia="宋体"/>
              </w:rPr>
              <w:t>00</w:t>
            </w:r>
          </w:p>
        </w:tc>
        <w:tc>
          <w:tcPr>
            <w:tcW w:w="1136" w:type="dxa"/>
            <w:noWrap/>
          </w:tcPr>
          <w:p w14:paraId="284CD829" w14:textId="0D799E7B" w:rsidR="008220F1" w:rsidRPr="002B55E9" w:rsidRDefault="008220F1" w:rsidP="008220F1">
            <w:pPr>
              <w:pStyle w:val="lgy-"/>
              <w:rPr>
                <w:rFonts w:eastAsia="宋体"/>
              </w:rPr>
            </w:pPr>
            <w:r w:rsidRPr="002B55E9">
              <w:rPr>
                <w:rFonts w:eastAsia="宋体" w:hint="eastAsia"/>
              </w:rPr>
              <w:t>4</w:t>
            </w:r>
            <w:r w:rsidRPr="002B55E9">
              <w:rPr>
                <w:rFonts w:eastAsia="宋体"/>
              </w:rPr>
              <w:t>0</w:t>
            </w:r>
          </w:p>
        </w:tc>
        <w:tc>
          <w:tcPr>
            <w:tcW w:w="1136" w:type="dxa"/>
            <w:noWrap/>
          </w:tcPr>
          <w:p w14:paraId="270D765C" w14:textId="559CB28A" w:rsidR="008220F1" w:rsidRPr="002B55E9" w:rsidRDefault="008220F1" w:rsidP="008220F1">
            <w:pPr>
              <w:pStyle w:val="lgy-"/>
              <w:rPr>
                <w:rFonts w:eastAsia="宋体"/>
              </w:rPr>
            </w:pPr>
            <w:r w:rsidRPr="002B55E9">
              <w:rPr>
                <w:rFonts w:eastAsia="宋体" w:hint="eastAsia"/>
              </w:rPr>
              <w:t>3</w:t>
            </w:r>
            <w:r w:rsidRPr="002B55E9">
              <w:rPr>
                <w:rFonts w:eastAsia="宋体"/>
              </w:rPr>
              <w:t>0</w:t>
            </w:r>
          </w:p>
        </w:tc>
        <w:tc>
          <w:tcPr>
            <w:tcW w:w="1136" w:type="dxa"/>
            <w:noWrap/>
          </w:tcPr>
          <w:p w14:paraId="4A827C9D" w14:textId="777A31E5" w:rsidR="008220F1" w:rsidRPr="002B55E9" w:rsidRDefault="008220F1" w:rsidP="008220F1">
            <w:pPr>
              <w:pStyle w:val="lgy-"/>
              <w:rPr>
                <w:rFonts w:eastAsia="宋体"/>
              </w:rPr>
            </w:pPr>
            <w:r w:rsidRPr="002B55E9">
              <w:rPr>
                <w:rFonts w:eastAsia="宋体" w:hint="eastAsia"/>
              </w:rPr>
              <w:t>3</w:t>
            </w:r>
          </w:p>
        </w:tc>
        <w:tc>
          <w:tcPr>
            <w:tcW w:w="1137" w:type="dxa"/>
            <w:noWrap/>
          </w:tcPr>
          <w:p w14:paraId="0AF38109" w14:textId="132B3491" w:rsidR="008220F1" w:rsidRPr="002B55E9" w:rsidRDefault="008220F1" w:rsidP="008220F1">
            <w:pPr>
              <w:pStyle w:val="lgy-"/>
              <w:rPr>
                <w:rFonts w:eastAsia="宋体"/>
              </w:rPr>
            </w:pPr>
            <w:r w:rsidRPr="002B55E9">
              <w:rPr>
                <w:rFonts w:eastAsia="宋体" w:hint="eastAsia"/>
              </w:rPr>
              <w:t>5</w:t>
            </w:r>
            <w:r w:rsidRPr="002B55E9">
              <w:rPr>
                <w:rFonts w:eastAsia="宋体"/>
              </w:rPr>
              <w:t>0</w:t>
            </w:r>
          </w:p>
        </w:tc>
      </w:tr>
    </w:tbl>
    <w:p w14:paraId="66F21A36" w14:textId="77777777" w:rsidR="00085583" w:rsidRPr="002B55E9" w:rsidRDefault="00085583" w:rsidP="00085583">
      <w:pPr>
        <w:pStyle w:val="affff7"/>
        <w:snapToGrid w:val="0"/>
        <w:spacing w:after="0"/>
      </w:pPr>
      <w:r w:rsidRPr="002B55E9">
        <w:rPr>
          <w:rFonts w:hint="eastAsia"/>
        </w:rPr>
        <w:t>根据前述工程分析，项目排入污水处理站的废水中污染物浓度分别为</w:t>
      </w:r>
      <w:r w:rsidRPr="002B55E9">
        <w:rPr>
          <w:rFonts w:hint="eastAsia"/>
        </w:rPr>
        <w:t>C</w:t>
      </w:r>
      <w:r w:rsidRPr="002B55E9">
        <w:t>OD</w:t>
      </w:r>
      <w:r w:rsidRPr="002B55E9">
        <w:rPr>
          <w:rFonts w:hint="eastAsia"/>
        </w:rPr>
        <w:t>：</w:t>
      </w:r>
      <w:r w:rsidRPr="002B55E9">
        <w:t>2654.15</w:t>
      </w:r>
      <w:r w:rsidRPr="002B55E9">
        <w:rPr>
          <w:rFonts w:hint="eastAsia"/>
        </w:rPr>
        <w:t xml:space="preserve"> </w:t>
      </w:r>
      <w:r w:rsidR="00501911" w:rsidRPr="002B55E9">
        <w:rPr>
          <w:rFonts w:hint="eastAsia"/>
        </w:rPr>
        <w:t>mg/L</w:t>
      </w:r>
      <w:r w:rsidRPr="002B55E9">
        <w:rPr>
          <w:rFonts w:hint="eastAsia"/>
        </w:rPr>
        <w:t>、</w:t>
      </w:r>
      <w:r w:rsidR="00501911" w:rsidRPr="002B55E9">
        <w:rPr>
          <w:rFonts w:hint="eastAsia"/>
        </w:rPr>
        <w:t>BOD</w:t>
      </w:r>
      <w:r w:rsidR="00501911" w:rsidRPr="002B55E9">
        <w:rPr>
          <w:rFonts w:hint="eastAsia"/>
          <w:vertAlign w:val="subscript"/>
        </w:rPr>
        <w:t xml:space="preserve">5 </w:t>
      </w:r>
      <w:r w:rsidRPr="002B55E9">
        <w:rPr>
          <w:rFonts w:hint="eastAsia"/>
        </w:rPr>
        <w:t>：</w:t>
      </w:r>
      <w:r w:rsidRPr="002B55E9">
        <w:t xml:space="preserve">1145.22 </w:t>
      </w:r>
      <w:r w:rsidRPr="002B55E9">
        <w:tab/>
      </w:r>
      <w:r w:rsidR="00501911" w:rsidRPr="002B55E9">
        <w:rPr>
          <w:rFonts w:hint="eastAsia"/>
        </w:rPr>
        <w:t>mg/L</w:t>
      </w:r>
      <w:r w:rsidRPr="002B55E9">
        <w:rPr>
          <w:rFonts w:hint="eastAsia"/>
        </w:rPr>
        <w:t>、</w:t>
      </w:r>
      <w:r w:rsidRPr="002B55E9">
        <w:rPr>
          <w:rFonts w:hint="eastAsia"/>
        </w:rPr>
        <w:t>S</w:t>
      </w:r>
      <w:r w:rsidRPr="002B55E9">
        <w:t>S</w:t>
      </w:r>
      <w:r w:rsidRPr="002B55E9">
        <w:rPr>
          <w:rFonts w:hint="eastAsia"/>
        </w:rPr>
        <w:t>：</w:t>
      </w:r>
      <w:r w:rsidRPr="002B55E9">
        <w:t>1081.50</w:t>
      </w:r>
      <w:r w:rsidR="00501911" w:rsidRPr="002B55E9">
        <w:rPr>
          <w:rFonts w:hint="eastAsia"/>
        </w:rPr>
        <w:t>mg/L</w:t>
      </w:r>
      <w:r w:rsidRPr="002B55E9">
        <w:rPr>
          <w:rFonts w:hint="eastAsia"/>
        </w:rPr>
        <w:t>、</w:t>
      </w:r>
      <w:r w:rsidR="000F7779" w:rsidRPr="002B55E9">
        <w:rPr>
          <w:rFonts w:hint="eastAsia"/>
        </w:rPr>
        <w:t>NH</w:t>
      </w:r>
      <w:r w:rsidR="000F7779" w:rsidRPr="002B55E9">
        <w:rPr>
          <w:rFonts w:hint="eastAsia"/>
          <w:vertAlign w:val="subscript"/>
        </w:rPr>
        <w:t>3</w:t>
      </w:r>
      <w:r w:rsidR="000F7779" w:rsidRPr="002B55E9">
        <w:rPr>
          <w:rFonts w:hint="eastAsia"/>
        </w:rPr>
        <w:t>-N</w:t>
      </w:r>
      <w:r w:rsidRPr="002B55E9">
        <w:rPr>
          <w:rFonts w:hint="eastAsia"/>
        </w:rPr>
        <w:t>：</w:t>
      </w:r>
      <w:r w:rsidRPr="002B55E9">
        <w:tab/>
        <w:t>44.06</w:t>
      </w:r>
      <w:r w:rsidR="00501911" w:rsidRPr="002B55E9">
        <w:rPr>
          <w:rFonts w:hint="eastAsia"/>
        </w:rPr>
        <w:t>mg/L</w:t>
      </w:r>
      <w:r w:rsidRPr="002B55E9">
        <w:rPr>
          <w:rFonts w:hint="eastAsia"/>
        </w:rPr>
        <w:t>、总氮：</w:t>
      </w:r>
      <w:r w:rsidRPr="002B55E9">
        <w:tab/>
        <w:t>128.21</w:t>
      </w:r>
      <w:r w:rsidRPr="002B55E9">
        <w:rPr>
          <w:rFonts w:hint="eastAsia"/>
        </w:rPr>
        <w:t xml:space="preserve"> </w:t>
      </w:r>
      <w:r w:rsidR="00501911" w:rsidRPr="002B55E9">
        <w:rPr>
          <w:rFonts w:hint="eastAsia"/>
        </w:rPr>
        <w:t>mg/L</w:t>
      </w:r>
      <w:r w:rsidRPr="002B55E9">
        <w:rPr>
          <w:rFonts w:hint="eastAsia"/>
        </w:rPr>
        <w:t>、总磷：</w:t>
      </w:r>
      <w:r w:rsidRPr="002B55E9">
        <w:tab/>
        <w:t>25.13</w:t>
      </w:r>
      <w:r w:rsidR="00501911" w:rsidRPr="002B55E9">
        <w:rPr>
          <w:rFonts w:hint="eastAsia"/>
        </w:rPr>
        <w:t>mg/L</w:t>
      </w:r>
      <w:r w:rsidRPr="002B55E9">
        <w:rPr>
          <w:rFonts w:hint="eastAsia"/>
        </w:rPr>
        <w:t>、动植物油</w:t>
      </w:r>
      <w:r w:rsidRPr="002B55E9">
        <w:tab/>
      </w:r>
      <w:r w:rsidRPr="002B55E9">
        <w:rPr>
          <w:rFonts w:hint="eastAsia"/>
        </w:rPr>
        <w:t>：</w:t>
      </w:r>
      <w:r w:rsidRPr="002B55E9">
        <w:t>3.32</w:t>
      </w:r>
      <w:r w:rsidR="00501911" w:rsidRPr="002B55E9">
        <w:rPr>
          <w:rFonts w:hint="eastAsia"/>
        </w:rPr>
        <w:t>mg/L</w:t>
      </w:r>
      <w:r w:rsidRPr="002B55E9">
        <w:rPr>
          <w:rFonts w:hint="eastAsia"/>
        </w:rPr>
        <w:t>，均可满足污水处理站设计进水水质要求。</w:t>
      </w:r>
    </w:p>
    <w:p w14:paraId="30EF4683" w14:textId="59DAFA24" w:rsidR="00856C97" w:rsidRPr="002B55E9" w:rsidRDefault="00085583" w:rsidP="002D5B4B">
      <w:pPr>
        <w:pStyle w:val="affff7"/>
        <w:snapToGrid w:val="0"/>
        <w:spacing w:after="0"/>
      </w:pPr>
      <w:r w:rsidRPr="002B55E9">
        <w:rPr>
          <w:rFonts w:hint="eastAsia"/>
        </w:rPr>
        <w:lastRenderedPageBreak/>
        <w:t>根据建设单位提供的设计资料，</w:t>
      </w:r>
      <w:r w:rsidR="00856C97" w:rsidRPr="002B55E9">
        <w:rPr>
          <w:rFonts w:hint="eastAsia"/>
        </w:rPr>
        <w:t>污水处理站各工艺阶段处理效率见下表。</w:t>
      </w:r>
    </w:p>
    <w:p w14:paraId="116D3ABD" w14:textId="1942110C" w:rsidR="00856C97" w:rsidRPr="002B55E9" w:rsidRDefault="00856C97" w:rsidP="00856C97">
      <w:pPr>
        <w:jc w:val="center"/>
        <w:rPr>
          <w:rFonts w:ascii="黑体" w:eastAsia="黑体" w:hAnsi="黑体"/>
          <w:sz w:val="24"/>
          <w:szCs w:val="24"/>
        </w:rPr>
      </w:pPr>
      <w:r w:rsidRPr="002B55E9">
        <w:rPr>
          <w:rFonts w:ascii="黑体" w:eastAsia="黑体" w:hAnsi="黑体" w:hint="eastAsia"/>
          <w:b/>
          <w:bCs/>
          <w:snapToGrid w:val="0"/>
          <w:sz w:val="24"/>
          <w:szCs w:val="24"/>
        </w:rPr>
        <w:t>表5</w:t>
      </w:r>
      <w:r w:rsidRPr="002B55E9">
        <w:rPr>
          <w:rFonts w:ascii="黑体" w:eastAsia="黑体" w:hAnsi="黑体"/>
          <w:b/>
          <w:bCs/>
          <w:snapToGrid w:val="0"/>
          <w:sz w:val="24"/>
          <w:szCs w:val="24"/>
        </w:rPr>
        <w:t>-3-2</w:t>
      </w:r>
      <w:r w:rsidRPr="002B55E9">
        <w:rPr>
          <w:rFonts w:ascii="黑体" w:eastAsia="黑体" w:hAnsi="黑体" w:hint="eastAsia"/>
          <w:b/>
          <w:bCs/>
          <w:snapToGrid w:val="0"/>
          <w:sz w:val="24"/>
          <w:szCs w:val="24"/>
        </w:rPr>
        <w:t>污水处理站各工艺阶段设计处理效率一览表</w:t>
      </w:r>
    </w:p>
    <w:tbl>
      <w:tblPr>
        <w:tblStyle w:val="lgy2"/>
        <w:tblW w:w="5000" w:type="pct"/>
        <w:tblCellMar>
          <w:left w:w="28" w:type="dxa"/>
          <w:right w:w="28" w:type="dxa"/>
        </w:tblCellMar>
        <w:tblLook w:val="04A0" w:firstRow="1" w:lastRow="0" w:firstColumn="1" w:lastColumn="0" w:noHBand="0" w:noVBand="1"/>
      </w:tblPr>
      <w:tblGrid>
        <w:gridCol w:w="947"/>
        <w:gridCol w:w="1247"/>
        <w:gridCol w:w="1039"/>
        <w:gridCol w:w="967"/>
        <w:gridCol w:w="967"/>
        <w:gridCol w:w="967"/>
        <w:gridCol w:w="1371"/>
        <w:gridCol w:w="1223"/>
        <w:gridCol w:w="965"/>
      </w:tblGrid>
      <w:tr w:rsidR="003E2FA0" w:rsidRPr="002B55E9" w14:paraId="39964DA0" w14:textId="77777777" w:rsidTr="003E2FA0">
        <w:trPr>
          <w:cnfStyle w:val="100000000000" w:firstRow="1" w:lastRow="0" w:firstColumn="0" w:lastColumn="0" w:oddVBand="0" w:evenVBand="0" w:oddHBand="0" w:evenHBand="0" w:firstRowFirstColumn="0" w:firstRowLastColumn="0" w:lastRowFirstColumn="0" w:lastRowLastColumn="0"/>
          <w:trHeight w:val="283"/>
        </w:trPr>
        <w:tc>
          <w:tcPr>
            <w:tcW w:w="1131" w:type="pct"/>
            <w:gridSpan w:val="2"/>
            <w:noWrap/>
            <w:hideMark/>
          </w:tcPr>
          <w:p w14:paraId="487BCF83" w14:textId="77777777" w:rsidR="003E2FA0" w:rsidRPr="002B55E9" w:rsidRDefault="003E2FA0" w:rsidP="00085583">
            <w:pPr>
              <w:pStyle w:val="lgy-"/>
              <w:rPr>
                <w:rFonts w:eastAsia="宋体"/>
              </w:rPr>
            </w:pPr>
            <w:r w:rsidRPr="002B55E9">
              <w:rPr>
                <w:rFonts w:eastAsia="宋体" w:hint="eastAsia"/>
              </w:rPr>
              <w:t>工艺段</w:t>
            </w:r>
          </w:p>
        </w:tc>
        <w:tc>
          <w:tcPr>
            <w:tcW w:w="536" w:type="pct"/>
            <w:noWrap/>
            <w:hideMark/>
          </w:tcPr>
          <w:p w14:paraId="50D4ADAE" w14:textId="77777777" w:rsidR="003E2FA0" w:rsidRPr="002B55E9" w:rsidRDefault="003E2FA0" w:rsidP="00085583">
            <w:pPr>
              <w:pStyle w:val="lgy-"/>
              <w:rPr>
                <w:rFonts w:eastAsia="宋体"/>
              </w:rPr>
            </w:pPr>
            <w:r w:rsidRPr="002B55E9">
              <w:rPr>
                <w:rFonts w:eastAsia="宋体" w:hint="eastAsia"/>
              </w:rPr>
              <w:t>CODcr</w:t>
            </w:r>
          </w:p>
        </w:tc>
        <w:tc>
          <w:tcPr>
            <w:tcW w:w="499" w:type="pct"/>
            <w:noWrap/>
            <w:hideMark/>
          </w:tcPr>
          <w:p w14:paraId="0A17C4EE" w14:textId="77777777" w:rsidR="003E2FA0" w:rsidRPr="002B55E9" w:rsidRDefault="003E2FA0" w:rsidP="00085583">
            <w:pPr>
              <w:pStyle w:val="lgy-"/>
              <w:rPr>
                <w:rFonts w:eastAsia="宋体"/>
              </w:rPr>
            </w:pPr>
            <w:r w:rsidRPr="002B55E9">
              <w:rPr>
                <w:rFonts w:eastAsia="宋体" w:hint="eastAsia"/>
              </w:rPr>
              <w:t>BOD</w:t>
            </w:r>
            <w:r w:rsidRPr="002B55E9">
              <w:rPr>
                <w:rFonts w:eastAsia="宋体" w:hint="eastAsia"/>
                <w:vertAlign w:val="subscript"/>
              </w:rPr>
              <w:t>5</w:t>
            </w:r>
          </w:p>
        </w:tc>
        <w:tc>
          <w:tcPr>
            <w:tcW w:w="499" w:type="pct"/>
            <w:noWrap/>
            <w:hideMark/>
          </w:tcPr>
          <w:p w14:paraId="4CEA9455" w14:textId="77777777" w:rsidR="003E2FA0" w:rsidRPr="002B55E9" w:rsidRDefault="003E2FA0" w:rsidP="00085583">
            <w:pPr>
              <w:pStyle w:val="lgy-"/>
              <w:rPr>
                <w:rFonts w:eastAsia="宋体"/>
              </w:rPr>
            </w:pPr>
            <w:r w:rsidRPr="002B55E9">
              <w:rPr>
                <w:rFonts w:eastAsia="宋体" w:hint="eastAsia"/>
              </w:rPr>
              <w:t>SS</w:t>
            </w:r>
          </w:p>
        </w:tc>
        <w:tc>
          <w:tcPr>
            <w:tcW w:w="499" w:type="pct"/>
            <w:noWrap/>
            <w:hideMark/>
          </w:tcPr>
          <w:p w14:paraId="5E4971B8" w14:textId="77777777" w:rsidR="003E2FA0" w:rsidRPr="002B55E9" w:rsidRDefault="003E2FA0" w:rsidP="00085583">
            <w:pPr>
              <w:pStyle w:val="lgy-"/>
              <w:rPr>
                <w:rFonts w:eastAsia="宋体"/>
              </w:rPr>
            </w:pPr>
            <w:r w:rsidRPr="002B55E9">
              <w:rPr>
                <w:rFonts w:eastAsia="宋体" w:hint="eastAsia"/>
              </w:rPr>
              <w:t>氨氮</w:t>
            </w:r>
          </w:p>
        </w:tc>
        <w:tc>
          <w:tcPr>
            <w:tcW w:w="707" w:type="pct"/>
            <w:noWrap/>
            <w:hideMark/>
          </w:tcPr>
          <w:p w14:paraId="429C8ED0" w14:textId="77777777" w:rsidR="003E2FA0" w:rsidRPr="002B55E9" w:rsidRDefault="003E2FA0" w:rsidP="00085583">
            <w:pPr>
              <w:pStyle w:val="lgy-"/>
              <w:rPr>
                <w:rFonts w:eastAsia="宋体"/>
              </w:rPr>
            </w:pPr>
            <w:r w:rsidRPr="002B55E9">
              <w:rPr>
                <w:rFonts w:eastAsia="宋体" w:hint="eastAsia"/>
              </w:rPr>
              <w:t>总氮</w:t>
            </w:r>
          </w:p>
        </w:tc>
        <w:tc>
          <w:tcPr>
            <w:tcW w:w="631" w:type="pct"/>
            <w:noWrap/>
            <w:hideMark/>
          </w:tcPr>
          <w:p w14:paraId="0B1F9BC8" w14:textId="77777777" w:rsidR="003E2FA0" w:rsidRPr="002B55E9" w:rsidRDefault="003E2FA0" w:rsidP="00085583">
            <w:pPr>
              <w:pStyle w:val="lgy-"/>
              <w:rPr>
                <w:rFonts w:eastAsia="宋体"/>
              </w:rPr>
            </w:pPr>
            <w:r w:rsidRPr="002B55E9">
              <w:rPr>
                <w:rFonts w:eastAsia="宋体" w:hint="eastAsia"/>
              </w:rPr>
              <w:t>总磷</w:t>
            </w:r>
          </w:p>
        </w:tc>
        <w:tc>
          <w:tcPr>
            <w:tcW w:w="499" w:type="pct"/>
            <w:noWrap/>
            <w:hideMark/>
          </w:tcPr>
          <w:p w14:paraId="56A7EF71" w14:textId="77777777" w:rsidR="003E2FA0" w:rsidRPr="002B55E9" w:rsidRDefault="003E2FA0" w:rsidP="00085583">
            <w:pPr>
              <w:pStyle w:val="lgy-"/>
              <w:rPr>
                <w:rFonts w:eastAsia="宋体"/>
              </w:rPr>
            </w:pPr>
            <w:r w:rsidRPr="002B55E9">
              <w:rPr>
                <w:rFonts w:eastAsia="宋体" w:hint="eastAsia"/>
              </w:rPr>
              <w:t>动植物油</w:t>
            </w:r>
          </w:p>
        </w:tc>
      </w:tr>
      <w:tr w:rsidR="003E2FA0" w:rsidRPr="002B55E9" w14:paraId="2013C2B2" w14:textId="77777777" w:rsidTr="003E2FA0">
        <w:trPr>
          <w:trHeight w:val="283"/>
        </w:trPr>
        <w:tc>
          <w:tcPr>
            <w:tcW w:w="488" w:type="pct"/>
            <w:vMerge w:val="restart"/>
            <w:noWrap/>
            <w:hideMark/>
          </w:tcPr>
          <w:p w14:paraId="562CD3A2" w14:textId="77777777" w:rsidR="003E2FA0" w:rsidRPr="002B55E9" w:rsidRDefault="003E2FA0" w:rsidP="00085583">
            <w:pPr>
              <w:pStyle w:val="lgy-"/>
              <w:rPr>
                <w:rFonts w:eastAsia="宋体"/>
              </w:rPr>
            </w:pPr>
            <w:r w:rsidRPr="002B55E9">
              <w:rPr>
                <w:rFonts w:eastAsia="宋体" w:hint="eastAsia"/>
              </w:rPr>
              <w:t>预处理</w:t>
            </w:r>
          </w:p>
        </w:tc>
        <w:tc>
          <w:tcPr>
            <w:tcW w:w="643" w:type="pct"/>
            <w:noWrap/>
            <w:hideMark/>
          </w:tcPr>
          <w:p w14:paraId="10BFC5E5" w14:textId="77777777" w:rsidR="003E2FA0" w:rsidRPr="002B55E9" w:rsidRDefault="003E2FA0" w:rsidP="00085583">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2817A614" w14:textId="77777777" w:rsidR="003E2FA0" w:rsidRPr="002B55E9" w:rsidRDefault="003E2FA0" w:rsidP="00085583">
            <w:pPr>
              <w:pStyle w:val="lgy-"/>
              <w:rPr>
                <w:rFonts w:eastAsia="宋体"/>
              </w:rPr>
            </w:pPr>
            <w:r w:rsidRPr="002B55E9">
              <w:rPr>
                <w:rFonts w:eastAsia="宋体" w:hint="eastAsia"/>
              </w:rPr>
              <w:t>5500</w:t>
            </w:r>
          </w:p>
        </w:tc>
        <w:tc>
          <w:tcPr>
            <w:tcW w:w="499" w:type="pct"/>
            <w:noWrap/>
            <w:hideMark/>
          </w:tcPr>
          <w:p w14:paraId="2E4B1679" w14:textId="497F1F89" w:rsidR="003E2FA0" w:rsidRPr="002B55E9" w:rsidRDefault="003E2FA0" w:rsidP="00085583">
            <w:pPr>
              <w:pStyle w:val="lgy-"/>
              <w:rPr>
                <w:rFonts w:eastAsia="宋体"/>
              </w:rPr>
            </w:pPr>
            <w:r w:rsidRPr="002B55E9">
              <w:rPr>
                <w:rFonts w:eastAsia="宋体" w:hint="eastAsia"/>
                <w:szCs w:val="22"/>
              </w:rPr>
              <w:t>2000</w:t>
            </w:r>
          </w:p>
        </w:tc>
        <w:tc>
          <w:tcPr>
            <w:tcW w:w="499" w:type="pct"/>
            <w:noWrap/>
            <w:hideMark/>
          </w:tcPr>
          <w:p w14:paraId="11A9E532" w14:textId="77777777" w:rsidR="003E2FA0" w:rsidRPr="002B55E9" w:rsidRDefault="003E2FA0" w:rsidP="00085583">
            <w:pPr>
              <w:pStyle w:val="lgy-"/>
              <w:rPr>
                <w:rFonts w:eastAsia="宋体"/>
              </w:rPr>
            </w:pPr>
            <w:r w:rsidRPr="002B55E9">
              <w:rPr>
                <w:rFonts w:eastAsia="宋体" w:hint="eastAsia"/>
              </w:rPr>
              <w:t>1500</w:t>
            </w:r>
          </w:p>
        </w:tc>
        <w:tc>
          <w:tcPr>
            <w:tcW w:w="499" w:type="pct"/>
            <w:noWrap/>
            <w:hideMark/>
          </w:tcPr>
          <w:p w14:paraId="3DCA5C59" w14:textId="77777777" w:rsidR="003E2FA0" w:rsidRPr="002B55E9" w:rsidRDefault="003E2FA0" w:rsidP="00085583">
            <w:pPr>
              <w:pStyle w:val="lgy-"/>
              <w:rPr>
                <w:rFonts w:eastAsia="宋体"/>
              </w:rPr>
            </w:pPr>
            <w:r w:rsidRPr="002B55E9">
              <w:rPr>
                <w:rFonts w:eastAsia="宋体" w:hint="eastAsia"/>
              </w:rPr>
              <w:t>80</w:t>
            </w:r>
          </w:p>
        </w:tc>
        <w:tc>
          <w:tcPr>
            <w:tcW w:w="707" w:type="pct"/>
            <w:noWrap/>
            <w:hideMark/>
          </w:tcPr>
          <w:p w14:paraId="17458A1E" w14:textId="77777777" w:rsidR="003E2FA0" w:rsidRPr="002B55E9" w:rsidRDefault="003E2FA0" w:rsidP="00085583">
            <w:pPr>
              <w:pStyle w:val="lgy-"/>
              <w:rPr>
                <w:rFonts w:eastAsia="宋体"/>
              </w:rPr>
            </w:pPr>
            <w:r w:rsidRPr="002B55E9">
              <w:rPr>
                <w:rFonts w:eastAsia="宋体" w:hint="eastAsia"/>
              </w:rPr>
              <w:t>150</w:t>
            </w:r>
          </w:p>
        </w:tc>
        <w:tc>
          <w:tcPr>
            <w:tcW w:w="631" w:type="pct"/>
            <w:noWrap/>
            <w:hideMark/>
          </w:tcPr>
          <w:p w14:paraId="61D054D2" w14:textId="77777777" w:rsidR="003E2FA0" w:rsidRPr="002B55E9" w:rsidRDefault="003E2FA0" w:rsidP="00085583">
            <w:pPr>
              <w:pStyle w:val="lgy-"/>
              <w:rPr>
                <w:rFonts w:eastAsia="宋体"/>
              </w:rPr>
            </w:pPr>
            <w:r w:rsidRPr="002B55E9">
              <w:rPr>
                <w:rFonts w:eastAsia="宋体" w:hint="eastAsia"/>
              </w:rPr>
              <w:t>60</w:t>
            </w:r>
          </w:p>
        </w:tc>
        <w:tc>
          <w:tcPr>
            <w:tcW w:w="499" w:type="pct"/>
            <w:noWrap/>
            <w:hideMark/>
          </w:tcPr>
          <w:p w14:paraId="1052F7C6" w14:textId="77777777" w:rsidR="003E2FA0" w:rsidRPr="002B55E9" w:rsidRDefault="003E2FA0" w:rsidP="00085583">
            <w:pPr>
              <w:pStyle w:val="lgy-"/>
              <w:rPr>
                <w:rFonts w:eastAsia="宋体"/>
              </w:rPr>
            </w:pPr>
            <w:r w:rsidRPr="002B55E9">
              <w:rPr>
                <w:rFonts w:eastAsia="宋体" w:hint="eastAsia"/>
              </w:rPr>
              <w:t>200</w:t>
            </w:r>
          </w:p>
        </w:tc>
      </w:tr>
      <w:tr w:rsidR="003E2FA0" w:rsidRPr="002B55E9" w14:paraId="2A5FCCC5" w14:textId="77777777" w:rsidTr="003E2FA0">
        <w:trPr>
          <w:trHeight w:val="283"/>
        </w:trPr>
        <w:tc>
          <w:tcPr>
            <w:tcW w:w="488" w:type="pct"/>
            <w:vMerge/>
            <w:hideMark/>
          </w:tcPr>
          <w:p w14:paraId="3120DD4A" w14:textId="77777777" w:rsidR="003E2FA0" w:rsidRPr="002B55E9" w:rsidRDefault="003E2FA0" w:rsidP="00085583">
            <w:pPr>
              <w:pStyle w:val="lgy-"/>
              <w:rPr>
                <w:rFonts w:eastAsia="宋体"/>
              </w:rPr>
            </w:pPr>
          </w:p>
        </w:tc>
        <w:tc>
          <w:tcPr>
            <w:tcW w:w="643" w:type="pct"/>
            <w:noWrap/>
            <w:hideMark/>
          </w:tcPr>
          <w:p w14:paraId="54D62351" w14:textId="77777777" w:rsidR="003E2FA0" w:rsidRPr="002B55E9" w:rsidRDefault="003E2FA0" w:rsidP="00085583">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3615C68C" w14:textId="77777777" w:rsidR="003E2FA0" w:rsidRPr="002B55E9" w:rsidRDefault="003E2FA0" w:rsidP="00085583">
            <w:pPr>
              <w:pStyle w:val="lgy-"/>
              <w:rPr>
                <w:rFonts w:eastAsia="宋体"/>
              </w:rPr>
            </w:pPr>
            <w:r w:rsidRPr="002B55E9">
              <w:rPr>
                <w:rFonts w:eastAsia="宋体" w:hint="eastAsia"/>
              </w:rPr>
              <w:t>4500</w:t>
            </w:r>
          </w:p>
        </w:tc>
        <w:tc>
          <w:tcPr>
            <w:tcW w:w="499" w:type="pct"/>
            <w:noWrap/>
            <w:hideMark/>
          </w:tcPr>
          <w:p w14:paraId="7C6EC6D1" w14:textId="2CE9AF8D" w:rsidR="003E2FA0" w:rsidRPr="002B55E9" w:rsidRDefault="003E2FA0" w:rsidP="00085583">
            <w:pPr>
              <w:pStyle w:val="lgy-"/>
              <w:rPr>
                <w:rFonts w:eastAsia="宋体"/>
              </w:rPr>
            </w:pPr>
            <w:r w:rsidRPr="002B55E9">
              <w:rPr>
                <w:rFonts w:eastAsia="宋体" w:hint="eastAsia"/>
                <w:szCs w:val="22"/>
              </w:rPr>
              <w:t>1640</w:t>
            </w:r>
          </w:p>
        </w:tc>
        <w:tc>
          <w:tcPr>
            <w:tcW w:w="499" w:type="pct"/>
            <w:noWrap/>
            <w:hideMark/>
          </w:tcPr>
          <w:p w14:paraId="40CE3796" w14:textId="77777777" w:rsidR="003E2FA0" w:rsidRPr="002B55E9" w:rsidRDefault="003E2FA0" w:rsidP="00085583">
            <w:pPr>
              <w:pStyle w:val="lgy-"/>
              <w:rPr>
                <w:rFonts w:eastAsia="宋体"/>
              </w:rPr>
            </w:pPr>
            <w:r w:rsidRPr="002B55E9">
              <w:rPr>
                <w:rFonts w:eastAsia="宋体" w:hint="eastAsia"/>
              </w:rPr>
              <w:t>1000</w:t>
            </w:r>
          </w:p>
        </w:tc>
        <w:tc>
          <w:tcPr>
            <w:tcW w:w="499" w:type="pct"/>
            <w:noWrap/>
            <w:hideMark/>
          </w:tcPr>
          <w:p w14:paraId="4237527A" w14:textId="77777777" w:rsidR="003E2FA0" w:rsidRPr="002B55E9" w:rsidRDefault="003E2FA0" w:rsidP="00085583">
            <w:pPr>
              <w:pStyle w:val="lgy-"/>
              <w:rPr>
                <w:rFonts w:eastAsia="宋体"/>
              </w:rPr>
            </w:pPr>
            <w:r w:rsidRPr="002B55E9">
              <w:rPr>
                <w:rFonts w:eastAsia="宋体" w:hint="eastAsia"/>
              </w:rPr>
              <w:t>70</w:t>
            </w:r>
          </w:p>
        </w:tc>
        <w:tc>
          <w:tcPr>
            <w:tcW w:w="707" w:type="pct"/>
            <w:noWrap/>
            <w:hideMark/>
          </w:tcPr>
          <w:p w14:paraId="5F63FC1E" w14:textId="77777777" w:rsidR="003E2FA0" w:rsidRPr="002B55E9" w:rsidRDefault="003E2FA0" w:rsidP="00085583">
            <w:pPr>
              <w:pStyle w:val="lgy-"/>
              <w:rPr>
                <w:rFonts w:eastAsia="宋体"/>
              </w:rPr>
            </w:pPr>
            <w:r w:rsidRPr="002B55E9">
              <w:rPr>
                <w:rFonts w:eastAsia="宋体" w:hint="eastAsia"/>
              </w:rPr>
              <w:t>120</w:t>
            </w:r>
          </w:p>
        </w:tc>
        <w:tc>
          <w:tcPr>
            <w:tcW w:w="631" w:type="pct"/>
            <w:noWrap/>
            <w:hideMark/>
          </w:tcPr>
          <w:p w14:paraId="19CBF706" w14:textId="77777777" w:rsidR="003E2FA0" w:rsidRPr="002B55E9" w:rsidRDefault="003E2FA0" w:rsidP="00085583">
            <w:pPr>
              <w:pStyle w:val="lgy-"/>
              <w:rPr>
                <w:rFonts w:eastAsia="宋体"/>
              </w:rPr>
            </w:pPr>
            <w:r w:rsidRPr="002B55E9">
              <w:rPr>
                <w:rFonts w:eastAsia="宋体" w:hint="eastAsia"/>
              </w:rPr>
              <w:t>20</w:t>
            </w:r>
          </w:p>
        </w:tc>
        <w:tc>
          <w:tcPr>
            <w:tcW w:w="499" w:type="pct"/>
            <w:noWrap/>
            <w:hideMark/>
          </w:tcPr>
          <w:p w14:paraId="40D058C7" w14:textId="77777777" w:rsidR="003E2FA0" w:rsidRPr="002B55E9" w:rsidRDefault="003E2FA0" w:rsidP="00085583">
            <w:pPr>
              <w:pStyle w:val="lgy-"/>
              <w:rPr>
                <w:rFonts w:eastAsia="宋体"/>
              </w:rPr>
            </w:pPr>
            <w:r w:rsidRPr="002B55E9">
              <w:rPr>
                <w:rFonts w:eastAsia="宋体" w:hint="eastAsia"/>
              </w:rPr>
              <w:t>100</w:t>
            </w:r>
          </w:p>
        </w:tc>
      </w:tr>
      <w:tr w:rsidR="003E2FA0" w:rsidRPr="002B55E9" w14:paraId="13000E7A" w14:textId="77777777" w:rsidTr="003E2FA0">
        <w:trPr>
          <w:trHeight w:val="283"/>
        </w:trPr>
        <w:tc>
          <w:tcPr>
            <w:tcW w:w="488" w:type="pct"/>
            <w:vMerge/>
            <w:hideMark/>
          </w:tcPr>
          <w:p w14:paraId="383F5E09" w14:textId="77777777" w:rsidR="003E2FA0" w:rsidRPr="002B55E9" w:rsidRDefault="003E2FA0" w:rsidP="00085583">
            <w:pPr>
              <w:pStyle w:val="lgy-"/>
              <w:rPr>
                <w:rFonts w:eastAsia="宋体"/>
              </w:rPr>
            </w:pPr>
          </w:p>
        </w:tc>
        <w:tc>
          <w:tcPr>
            <w:tcW w:w="643" w:type="pct"/>
            <w:noWrap/>
            <w:hideMark/>
          </w:tcPr>
          <w:p w14:paraId="72074925" w14:textId="77777777" w:rsidR="003E2FA0" w:rsidRPr="002B55E9" w:rsidRDefault="003E2FA0" w:rsidP="00085583">
            <w:pPr>
              <w:pStyle w:val="lgy-"/>
              <w:rPr>
                <w:rFonts w:eastAsia="宋体"/>
              </w:rPr>
            </w:pPr>
            <w:r w:rsidRPr="002B55E9">
              <w:rPr>
                <w:rFonts w:eastAsia="宋体" w:hint="eastAsia"/>
              </w:rPr>
              <w:t>去除率</w:t>
            </w:r>
          </w:p>
        </w:tc>
        <w:tc>
          <w:tcPr>
            <w:tcW w:w="536" w:type="pct"/>
            <w:noWrap/>
            <w:hideMark/>
          </w:tcPr>
          <w:p w14:paraId="1C8E1465" w14:textId="77777777" w:rsidR="003E2FA0" w:rsidRPr="002B55E9" w:rsidRDefault="003E2FA0" w:rsidP="00085583">
            <w:pPr>
              <w:pStyle w:val="lgy-"/>
              <w:rPr>
                <w:rFonts w:eastAsia="宋体"/>
              </w:rPr>
            </w:pPr>
            <w:r w:rsidRPr="002B55E9">
              <w:rPr>
                <w:rFonts w:eastAsia="宋体" w:hint="eastAsia"/>
              </w:rPr>
              <w:t>18%</w:t>
            </w:r>
          </w:p>
        </w:tc>
        <w:tc>
          <w:tcPr>
            <w:tcW w:w="499" w:type="pct"/>
            <w:noWrap/>
            <w:hideMark/>
          </w:tcPr>
          <w:p w14:paraId="11B1153A" w14:textId="585A5B65" w:rsidR="003E2FA0" w:rsidRPr="002B55E9" w:rsidRDefault="003E2FA0" w:rsidP="00085583">
            <w:pPr>
              <w:pStyle w:val="lgy-"/>
              <w:rPr>
                <w:rFonts w:eastAsia="宋体"/>
              </w:rPr>
            </w:pPr>
            <w:r w:rsidRPr="002B55E9">
              <w:rPr>
                <w:rFonts w:eastAsia="宋体" w:hint="eastAsia"/>
                <w:szCs w:val="22"/>
              </w:rPr>
              <w:t>18%</w:t>
            </w:r>
          </w:p>
        </w:tc>
        <w:tc>
          <w:tcPr>
            <w:tcW w:w="499" w:type="pct"/>
            <w:noWrap/>
            <w:hideMark/>
          </w:tcPr>
          <w:p w14:paraId="5187FDD4" w14:textId="77777777" w:rsidR="003E2FA0" w:rsidRPr="002B55E9" w:rsidRDefault="003E2FA0" w:rsidP="00085583">
            <w:pPr>
              <w:pStyle w:val="lgy-"/>
              <w:rPr>
                <w:rFonts w:eastAsia="宋体"/>
              </w:rPr>
            </w:pPr>
            <w:r w:rsidRPr="002B55E9">
              <w:rPr>
                <w:rFonts w:eastAsia="宋体" w:hint="eastAsia"/>
              </w:rPr>
              <w:t>33%</w:t>
            </w:r>
          </w:p>
        </w:tc>
        <w:tc>
          <w:tcPr>
            <w:tcW w:w="499" w:type="pct"/>
            <w:noWrap/>
            <w:hideMark/>
          </w:tcPr>
          <w:p w14:paraId="69218AD9" w14:textId="77777777" w:rsidR="003E2FA0" w:rsidRPr="002B55E9" w:rsidRDefault="003E2FA0" w:rsidP="00085583">
            <w:pPr>
              <w:pStyle w:val="lgy-"/>
              <w:rPr>
                <w:rFonts w:eastAsia="宋体"/>
              </w:rPr>
            </w:pPr>
            <w:r w:rsidRPr="002B55E9">
              <w:rPr>
                <w:rFonts w:eastAsia="宋体" w:hint="eastAsia"/>
              </w:rPr>
              <w:t>13%</w:t>
            </w:r>
          </w:p>
        </w:tc>
        <w:tc>
          <w:tcPr>
            <w:tcW w:w="707" w:type="pct"/>
            <w:noWrap/>
            <w:hideMark/>
          </w:tcPr>
          <w:p w14:paraId="46D8A90F" w14:textId="77777777" w:rsidR="003E2FA0" w:rsidRPr="002B55E9" w:rsidRDefault="003E2FA0" w:rsidP="00085583">
            <w:pPr>
              <w:pStyle w:val="lgy-"/>
              <w:rPr>
                <w:rFonts w:eastAsia="宋体"/>
              </w:rPr>
            </w:pPr>
            <w:r w:rsidRPr="002B55E9">
              <w:rPr>
                <w:rFonts w:eastAsia="宋体" w:hint="eastAsia"/>
              </w:rPr>
              <w:t>20%</w:t>
            </w:r>
          </w:p>
        </w:tc>
        <w:tc>
          <w:tcPr>
            <w:tcW w:w="631" w:type="pct"/>
            <w:noWrap/>
            <w:hideMark/>
          </w:tcPr>
          <w:p w14:paraId="00DA7274" w14:textId="77777777" w:rsidR="003E2FA0" w:rsidRPr="002B55E9" w:rsidRDefault="003E2FA0" w:rsidP="00085583">
            <w:pPr>
              <w:pStyle w:val="lgy-"/>
              <w:rPr>
                <w:rFonts w:eastAsia="宋体"/>
              </w:rPr>
            </w:pPr>
            <w:r w:rsidRPr="002B55E9">
              <w:rPr>
                <w:rFonts w:eastAsia="宋体" w:hint="eastAsia"/>
              </w:rPr>
              <w:t>67%</w:t>
            </w:r>
          </w:p>
        </w:tc>
        <w:tc>
          <w:tcPr>
            <w:tcW w:w="499" w:type="pct"/>
            <w:noWrap/>
            <w:hideMark/>
          </w:tcPr>
          <w:p w14:paraId="576582FD" w14:textId="77777777" w:rsidR="003E2FA0" w:rsidRPr="002B55E9" w:rsidRDefault="003E2FA0" w:rsidP="00085583">
            <w:pPr>
              <w:pStyle w:val="lgy-"/>
              <w:rPr>
                <w:rFonts w:eastAsia="宋体"/>
              </w:rPr>
            </w:pPr>
            <w:r w:rsidRPr="002B55E9">
              <w:rPr>
                <w:rFonts w:eastAsia="宋体" w:hint="eastAsia"/>
              </w:rPr>
              <w:t>50%</w:t>
            </w:r>
          </w:p>
        </w:tc>
      </w:tr>
      <w:tr w:rsidR="003E2FA0" w:rsidRPr="002B55E9" w14:paraId="041F3B95" w14:textId="77777777" w:rsidTr="003E2FA0">
        <w:trPr>
          <w:trHeight w:val="283"/>
        </w:trPr>
        <w:tc>
          <w:tcPr>
            <w:tcW w:w="488" w:type="pct"/>
            <w:vMerge w:val="restart"/>
            <w:noWrap/>
            <w:hideMark/>
          </w:tcPr>
          <w:p w14:paraId="04380F1A" w14:textId="77777777" w:rsidR="003E2FA0" w:rsidRPr="002B55E9" w:rsidRDefault="003E2FA0" w:rsidP="00085583">
            <w:pPr>
              <w:pStyle w:val="lgy-"/>
              <w:rPr>
                <w:rFonts w:eastAsia="宋体"/>
              </w:rPr>
            </w:pPr>
            <w:r w:rsidRPr="002B55E9">
              <w:rPr>
                <w:rFonts w:eastAsia="宋体" w:hint="eastAsia"/>
              </w:rPr>
              <w:t>厌氧</w:t>
            </w:r>
          </w:p>
        </w:tc>
        <w:tc>
          <w:tcPr>
            <w:tcW w:w="643" w:type="pct"/>
            <w:noWrap/>
            <w:hideMark/>
          </w:tcPr>
          <w:p w14:paraId="75A8156F" w14:textId="77777777" w:rsidR="003E2FA0" w:rsidRPr="002B55E9" w:rsidRDefault="003E2FA0" w:rsidP="00085583">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4C4B3DFB" w14:textId="77777777" w:rsidR="003E2FA0" w:rsidRPr="002B55E9" w:rsidRDefault="003E2FA0" w:rsidP="00085583">
            <w:pPr>
              <w:pStyle w:val="lgy-"/>
              <w:rPr>
                <w:rFonts w:eastAsia="宋体"/>
              </w:rPr>
            </w:pPr>
            <w:r w:rsidRPr="002B55E9">
              <w:rPr>
                <w:rFonts w:eastAsia="宋体" w:hint="eastAsia"/>
              </w:rPr>
              <w:t>4500</w:t>
            </w:r>
          </w:p>
        </w:tc>
        <w:tc>
          <w:tcPr>
            <w:tcW w:w="499" w:type="pct"/>
            <w:noWrap/>
            <w:hideMark/>
          </w:tcPr>
          <w:p w14:paraId="7D95AD5B" w14:textId="1D711041" w:rsidR="003E2FA0" w:rsidRPr="002B55E9" w:rsidRDefault="003E2FA0" w:rsidP="00085583">
            <w:pPr>
              <w:pStyle w:val="lgy-"/>
              <w:rPr>
                <w:rFonts w:eastAsia="宋体"/>
              </w:rPr>
            </w:pPr>
            <w:r w:rsidRPr="002B55E9">
              <w:rPr>
                <w:rFonts w:eastAsia="宋体" w:hint="eastAsia"/>
                <w:szCs w:val="22"/>
              </w:rPr>
              <w:t>1640</w:t>
            </w:r>
          </w:p>
        </w:tc>
        <w:tc>
          <w:tcPr>
            <w:tcW w:w="499" w:type="pct"/>
            <w:noWrap/>
            <w:hideMark/>
          </w:tcPr>
          <w:p w14:paraId="722880D4" w14:textId="77777777" w:rsidR="003E2FA0" w:rsidRPr="002B55E9" w:rsidRDefault="003E2FA0" w:rsidP="00085583">
            <w:pPr>
              <w:pStyle w:val="lgy-"/>
              <w:rPr>
                <w:rFonts w:eastAsia="宋体"/>
              </w:rPr>
            </w:pPr>
            <w:r w:rsidRPr="002B55E9">
              <w:rPr>
                <w:rFonts w:eastAsia="宋体" w:hint="eastAsia"/>
              </w:rPr>
              <w:t>1000</w:t>
            </w:r>
          </w:p>
        </w:tc>
        <w:tc>
          <w:tcPr>
            <w:tcW w:w="499" w:type="pct"/>
            <w:noWrap/>
            <w:hideMark/>
          </w:tcPr>
          <w:p w14:paraId="16E34020" w14:textId="77777777" w:rsidR="003E2FA0" w:rsidRPr="002B55E9" w:rsidRDefault="003E2FA0" w:rsidP="00085583">
            <w:pPr>
              <w:pStyle w:val="lgy-"/>
              <w:rPr>
                <w:rFonts w:eastAsia="宋体"/>
              </w:rPr>
            </w:pPr>
            <w:r w:rsidRPr="002B55E9">
              <w:rPr>
                <w:rFonts w:eastAsia="宋体" w:hint="eastAsia"/>
              </w:rPr>
              <w:t>70</w:t>
            </w:r>
          </w:p>
        </w:tc>
        <w:tc>
          <w:tcPr>
            <w:tcW w:w="707" w:type="pct"/>
            <w:noWrap/>
            <w:hideMark/>
          </w:tcPr>
          <w:p w14:paraId="271FCFE3" w14:textId="77777777" w:rsidR="003E2FA0" w:rsidRPr="002B55E9" w:rsidRDefault="003E2FA0" w:rsidP="00085583">
            <w:pPr>
              <w:pStyle w:val="lgy-"/>
              <w:rPr>
                <w:rFonts w:eastAsia="宋体"/>
              </w:rPr>
            </w:pPr>
            <w:r w:rsidRPr="002B55E9">
              <w:rPr>
                <w:rFonts w:eastAsia="宋体" w:hint="eastAsia"/>
              </w:rPr>
              <w:t>120</w:t>
            </w:r>
          </w:p>
        </w:tc>
        <w:tc>
          <w:tcPr>
            <w:tcW w:w="631" w:type="pct"/>
            <w:noWrap/>
            <w:hideMark/>
          </w:tcPr>
          <w:p w14:paraId="0A76FD27" w14:textId="77777777" w:rsidR="003E2FA0" w:rsidRPr="002B55E9" w:rsidRDefault="003E2FA0" w:rsidP="00085583">
            <w:pPr>
              <w:pStyle w:val="lgy-"/>
              <w:rPr>
                <w:rFonts w:eastAsia="宋体"/>
              </w:rPr>
            </w:pPr>
            <w:r w:rsidRPr="002B55E9">
              <w:rPr>
                <w:rFonts w:eastAsia="宋体" w:hint="eastAsia"/>
              </w:rPr>
              <w:t>20</w:t>
            </w:r>
          </w:p>
        </w:tc>
        <w:tc>
          <w:tcPr>
            <w:tcW w:w="499" w:type="pct"/>
            <w:noWrap/>
            <w:hideMark/>
          </w:tcPr>
          <w:p w14:paraId="11DA71CD" w14:textId="77777777" w:rsidR="003E2FA0" w:rsidRPr="002B55E9" w:rsidRDefault="003E2FA0" w:rsidP="00085583">
            <w:pPr>
              <w:pStyle w:val="lgy-"/>
              <w:rPr>
                <w:rFonts w:eastAsia="宋体"/>
              </w:rPr>
            </w:pPr>
            <w:r w:rsidRPr="002B55E9">
              <w:rPr>
                <w:rFonts w:eastAsia="宋体" w:hint="eastAsia"/>
              </w:rPr>
              <w:t>100</w:t>
            </w:r>
          </w:p>
        </w:tc>
      </w:tr>
      <w:tr w:rsidR="003E2FA0" w:rsidRPr="002B55E9" w14:paraId="1DFAE12E" w14:textId="77777777" w:rsidTr="003E2FA0">
        <w:trPr>
          <w:trHeight w:val="283"/>
        </w:trPr>
        <w:tc>
          <w:tcPr>
            <w:tcW w:w="488" w:type="pct"/>
            <w:vMerge/>
            <w:hideMark/>
          </w:tcPr>
          <w:p w14:paraId="3D3D831E" w14:textId="77777777" w:rsidR="003E2FA0" w:rsidRPr="002B55E9" w:rsidRDefault="003E2FA0" w:rsidP="00085583">
            <w:pPr>
              <w:pStyle w:val="lgy-"/>
              <w:rPr>
                <w:rFonts w:eastAsia="宋体"/>
              </w:rPr>
            </w:pPr>
          </w:p>
        </w:tc>
        <w:tc>
          <w:tcPr>
            <w:tcW w:w="643" w:type="pct"/>
            <w:noWrap/>
            <w:hideMark/>
          </w:tcPr>
          <w:p w14:paraId="7BDBF461" w14:textId="77777777" w:rsidR="003E2FA0" w:rsidRPr="002B55E9" w:rsidRDefault="003E2FA0" w:rsidP="00085583">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403B2F50" w14:textId="77777777" w:rsidR="003E2FA0" w:rsidRPr="002B55E9" w:rsidRDefault="003E2FA0" w:rsidP="00085583">
            <w:pPr>
              <w:pStyle w:val="lgy-"/>
              <w:rPr>
                <w:rFonts w:eastAsia="宋体"/>
              </w:rPr>
            </w:pPr>
            <w:r w:rsidRPr="002B55E9">
              <w:rPr>
                <w:rFonts w:eastAsia="宋体" w:hint="eastAsia"/>
              </w:rPr>
              <w:t>500</w:t>
            </w:r>
          </w:p>
        </w:tc>
        <w:tc>
          <w:tcPr>
            <w:tcW w:w="499" w:type="pct"/>
            <w:noWrap/>
            <w:hideMark/>
          </w:tcPr>
          <w:p w14:paraId="3992F67D" w14:textId="158949EF" w:rsidR="003E2FA0" w:rsidRPr="002B55E9" w:rsidRDefault="003E2FA0" w:rsidP="00085583">
            <w:pPr>
              <w:pStyle w:val="lgy-"/>
              <w:rPr>
                <w:rFonts w:eastAsia="宋体"/>
              </w:rPr>
            </w:pPr>
            <w:r w:rsidRPr="002B55E9">
              <w:rPr>
                <w:rFonts w:eastAsia="宋体" w:hint="eastAsia"/>
                <w:szCs w:val="22"/>
              </w:rPr>
              <w:t>160</w:t>
            </w:r>
          </w:p>
        </w:tc>
        <w:tc>
          <w:tcPr>
            <w:tcW w:w="499" w:type="pct"/>
            <w:noWrap/>
            <w:hideMark/>
          </w:tcPr>
          <w:p w14:paraId="5606FEDD" w14:textId="77777777" w:rsidR="003E2FA0" w:rsidRPr="002B55E9" w:rsidRDefault="003E2FA0" w:rsidP="00085583">
            <w:pPr>
              <w:pStyle w:val="lgy-"/>
              <w:rPr>
                <w:rFonts w:eastAsia="宋体"/>
              </w:rPr>
            </w:pPr>
            <w:r w:rsidRPr="002B55E9">
              <w:rPr>
                <w:rFonts w:eastAsia="宋体" w:hint="eastAsia"/>
              </w:rPr>
              <w:t>1000</w:t>
            </w:r>
          </w:p>
        </w:tc>
        <w:tc>
          <w:tcPr>
            <w:tcW w:w="499" w:type="pct"/>
            <w:noWrap/>
            <w:hideMark/>
          </w:tcPr>
          <w:p w14:paraId="656C3BE0" w14:textId="77777777" w:rsidR="003E2FA0" w:rsidRPr="002B55E9" w:rsidRDefault="003E2FA0" w:rsidP="00085583">
            <w:pPr>
              <w:pStyle w:val="lgy-"/>
              <w:rPr>
                <w:rFonts w:eastAsia="宋体"/>
              </w:rPr>
            </w:pPr>
            <w:r w:rsidRPr="002B55E9">
              <w:rPr>
                <w:rFonts w:eastAsia="宋体" w:hint="eastAsia"/>
              </w:rPr>
              <w:t>70</w:t>
            </w:r>
          </w:p>
        </w:tc>
        <w:tc>
          <w:tcPr>
            <w:tcW w:w="707" w:type="pct"/>
            <w:noWrap/>
            <w:hideMark/>
          </w:tcPr>
          <w:p w14:paraId="0441E72E" w14:textId="77777777" w:rsidR="003E2FA0" w:rsidRPr="002B55E9" w:rsidRDefault="003E2FA0" w:rsidP="00085583">
            <w:pPr>
              <w:pStyle w:val="lgy-"/>
              <w:rPr>
                <w:rFonts w:eastAsia="宋体"/>
              </w:rPr>
            </w:pPr>
            <w:r w:rsidRPr="002B55E9">
              <w:rPr>
                <w:rFonts w:eastAsia="宋体" w:hint="eastAsia"/>
              </w:rPr>
              <w:t>120</w:t>
            </w:r>
          </w:p>
        </w:tc>
        <w:tc>
          <w:tcPr>
            <w:tcW w:w="631" w:type="pct"/>
            <w:noWrap/>
            <w:hideMark/>
          </w:tcPr>
          <w:p w14:paraId="6F4E8B47" w14:textId="77777777" w:rsidR="003E2FA0" w:rsidRPr="002B55E9" w:rsidRDefault="003E2FA0" w:rsidP="00085583">
            <w:pPr>
              <w:pStyle w:val="lgy-"/>
              <w:rPr>
                <w:rFonts w:eastAsia="宋体"/>
              </w:rPr>
            </w:pPr>
            <w:r w:rsidRPr="002B55E9">
              <w:rPr>
                <w:rFonts w:eastAsia="宋体" w:hint="eastAsia"/>
              </w:rPr>
              <w:t>20</w:t>
            </w:r>
          </w:p>
        </w:tc>
        <w:tc>
          <w:tcPr>
            <w:tcW w:w="499" w:type="pct"/>
            <w:noWrap/>
            <w:hideMark/>
          </w:tcPr>
          <w:p w14:paraId="33420C25" w14:textId="77777777" w:rsidR="003E2FA0" w:rsidRPr="002B55E9" w:rsidRDefault="003E2FA0" w:rsidP="00085583">
            <w:pPr>
              <w:pStyle w:val="lgy-"/>
              <w:rPr>
                <w:rFonts w:eastAsia="宋体"/>
              </w:rPr>
            </w:pPr>
            <w:r w:rsidRPr="002B55E9">
              <w:rPr>
                <w:rFonts w:eastAsia="宋体" w:hint="eastAsia"/>
              </w:rPr>
              <w:t>100</w:t>
            </w:r>
          </w:p>
        </w:tc>
      </w:tr>
      <w:tr w:rsidR="003E2FA0" w:rsidRPr="002B55E9" w14:paraId="06F94917" w14:textId="77777777" w:rsidTr="003E2FA0">
        <w:trPr>
          <w:trHeight w:val="283"/>
        </w:trPr>
        <w:tc>
          <w:tcPr>
            <w:tcW w:w="488" w:type="pct"/>
            <w:vMerge/>
            <w:hideMark/>
          </w:tcPr>
          <w:p w14:paraId="3C9D6885" w14:textId="77777777" w:rsidR="003E2FA0" w:rsidRPr="002B55E9" w:rsidRDefault="003E2FA0" w:rsidP="00085583">
            <w:pPr>
              <w:pStyle w:val="lgy-"/>
              <w:rPr>
                <w:rFonts w:eastAsia="宋体"/>
              </w:rPr>
            </w:pPr>
          </w:p>
        </w:tc>
        <w:tc>
          <w:tcPr>
            <w:tcW w:w="643" w:type="pct"/>
            <w:noWrap/>
            <w:hideMark/>
          </w:tcPr>
          <w:p w14:paraId="7DBF82BD" w14:textId="77777777" w:rsidR="003E2FA0" w:rsidRPr="002B55E9" w:rsidRDefault="003E2FA0" w:rsidP="00085583">
            <w:pPr>
              <w:pStyle w:val="lgy-"/>
              <w:rPr>
                <w:rFonts w:eastAsia="宋体"/>
              </w:rPr>
            </w:pPr>
            <w:r w:rsidRPr="002B55E9">
              <w:rPr>
                <w:rFonts w:eastAsia="宋体" w:hint="eastAsia"/>
              </w:rPr>
              <w:t>去除率</w:t>
            </w:r>
          </w:p>
        </w:tc>
        <w:tc>
          <w:tcPr>
            <w:tcW w:w="536" w:type="pct"/>
            <w:noWrap/>
            <w:hideMark/>
          </w:tcPr>
          <w:p w14:paraId="3707975A" w14:textId="77777777" w:rsidR="003E2FA0" w:rsidRPr="002B55E9" w:rsidRDefault="003E2FA0" w:rsidP="00085583">
            <w:pPr>
              <w:pStyle w:val="lgy-"/>
              <w:rPr>
                <w:rFonts w:eastAsia="宋体"/>
              </w:rPr>
            </w:pPr>
            <w:r w:rsidRPr="002B55E9">
              <w:rPr>
                <w:rFonts w:eastAsia="宋体" w:hint="eastAsia"/>
              </w:rPr>
              <w:t>89%</w:t>
            </w:r>
          </w:p>
        </w:tc>
        <w:tc>
          <w:tcPr>
            <w:tcW w:w="499" w:type="pct"/>
            <w:noWrap/>
            <w:hideMark/>
          </w:tcPr>
          <w:p w14:paraId="394639ED" w14:textId="6B447207" w:rsidR="003E2FA0" w:rsidRPr="002B55E9" w:rsidRDefault="003E2FA0" w:rsidP="00085583">
            <w:pPr>
              <w:pStyle w:val="lgy-"/>
              <w:rPr>
                <w:rFonts w:eastAsia="宋体"/>
              </w:rPr>
            </w:pPr>
            <w:r w:rsidRPr="002B55E9">
              <w:rPr>
                <w:rFonts w:eastAsia="宋体" w:hint="eastAsia"/>
                <w:szCs w:val="22"/>
              </w:rPr>
              <w:t>90%</w:t>
            </w:r>
          </w:p>
        </w:tc>
        <w:tc>
          <w:tcPr>
            <w:tcW w:w="499" w:type="pct"/>
            <w:noWrap/>
            <w:hideMark/>
          </w:tcPr>
          <w:p w14:paraId="562917F5" w14:textId="77777777" w:rsidR="003E2FA0" w:rsidRPr="002B55E9" w:rsidRDefault="003E2FA0" w:rsidP="00085583">
            <w:pPr>
              <w:pStyle w:val="lgy-"/>
              <w:rPr>
                <w:rFonts w:eastAsia="宋体"/>
              </w:rPr>
            </w:pPr>
            <w:r w:rsidRPr="002B55E9">
              <w:rPr>
                <w:rFonts w:eastAsia="宋体" w:hint="eastAsia"/>
              </w:rPr>
              <w:t>0%</w:t>
            </w:r>
          </w:p>
        </w:tc>
        <w:tc>
          <w:tcPr>
            <w:tcW w:w="499" w:type="pct"/>
            <w:noWrap/>
            <w:hideMark/>
          </w:tcPr>
          <w:p w14:paraId="0188EA33" w14:textId="77777777" w:rsidR="003E2FA0" w:rsidRPr="002B55E9" w:rsidRDefault="003E2FA0" w:rsidP="00085583">
            <w:pPr>
              <w:pStyle w:val="lgy-"/>
              <w:rPr>
                <w:rFonts w:eastAsia="宋体"/>
              </w:rPr>
            </w:pPr>
            <w:r w:rsidRPr="002B55E9">
              <w:rPr>
                <w:rFonts w:eastAsia="宋体" w:hint="eastAsia"/>
              </w:rPr>
              <w:t>0%</w:t>
            </w:r>
          </w:p>
        </w:tc>
        <w:tc>
          <w:tcPr>
            <w:tcW w:w="707" w:type="pct"/>
            <w:noWrap/>
            <w:hideMark/>
          </w:tcPr>
          <w:p w14:paraId="7C8D51FB" w14:textId="77777777" w:rsidR="003E2FA0" w:rsidRPr="002B55E9" w:rsidRDefault="003E2FA0" w:rsidP="00085583">
            <w:pPr>
              <w:pStyle w:val="lgy-"/>
              <w:rPr>
                <w:rFonts w:eastAsia="宋体"/>
              </w:rPr>
            </w:pPr>
            <w:r w:rsidRPr="002B55E9">
              <w:rPr>
                <w:rFonts w:eastAsia="宋体" w:hint="eastAsia"/>
              </w:rPr>
              <w:t>0%</w:t>
            </w:r>
          </w:p>
        </w:tc>
        <w:tc>
          <w:tcPr>
            <w:tcW w:w="631" w:type="pct"/>
            <w:noWrap/>
            <w:hideMark/>
          </w:tcPr>
          <w:p w14:paraId="548F17E0" w14:textId="77777777" w:rsidR="003E2FA0" w:rsidRPr="002B55E9" w:rsidRDefault="003E2FA0" w:rsidP="00085583">
            <w:pPr>
              <w:pStyle w:val="lgy-"/>
              <w:rPr>
                <w:rFonts w:eastAsia="宋体"/>
              </w:rPr>
            </w:pPr>
            <w:r w:rsidRPr="002B55E9">
              <w:rPr>
                <w:rFonts w:eastAsia="宋体" w:hint="eastAsia"/>
              </w:rPr>
              <w:t>0%</w:t>
            </w:r>
          </w:p>
        </w:tc>
        <w:tc>
          <w:tcPr>
            <w:tcW w:w="499" w:type="pct"/>
            <w:noWrap/>
            <w:hideMark/>
          </w:tcPr>
          <w:p w14:paraId="1093BDFA" w14:textId="77777777" w:rsidR="003E2FA0" w:rsidRPr="002B55E9" w:rsidRDefault="003E2FA0" w:rsidP="00085583">
            <w:pPr>
              <w:pStyle w:val="lgy-"/>
              <w:rPr>
                <w:rFonts w:eastAsia="宋体"/>
              </w:rPr>
            </w:pPr>
            <w:r w:rsidRPr="002B55E9">
              <w:rPr>
                <w:rFonts w:eastAsia="宋体" w:hint="eastAsia"/>
              </w:rPr>
              <w:t>0</w:t>
            </w:r>
          </w:p>
        </w:tc>
      </w:tr>
      <w:tr w:rsidR="003E2FA0" w:rsidRPr="002B55E9" w14:paraId="2C714863" w14:textId="77777777" w:rsidTr="003E2FA0">
        <w:trPr>
          <w:trHeight w:val="283"/>
        </w:trPr>
        <w:tc>
          <w:tcPr>
            <w:tcW w:w="488" w:type="pct"/>
            <w:vMerge w:val="restart"/>
            <w:noWrap/>
            <w:hideMark/>
          </w:tcPr>
          <w:p w14:paraId="24759C5F" w14:textId="77777777" w:rsidR="003E2FA0" w:rsidRPr="002B55E9" w:rsidRDefault="003E2FA0" w:rsidP="00085583">
            <w:pPr>
              <w:pStyle w:val="lgy-"/>
              <w:rPr>
                <w:rFonts w:eastAsia="宋体"/>
              </w:rPr>
            </w:pPr>
            <w:r w:rsidRPr="002B55E9">
              <w:rPr>
                <w:rFonts w:eastAsia="宋体" w:hint="eastAsia"/>
              </w:rPr>
              <w:t>AO</w:t>
            </w:r>
            <w:r w:rsidRPr="002B55E9">
              <w:rPr>
                <w:rFonts w:eastAsia="宋体" w:hint="eastAsia"/>
              </w:rPr>
              <w:t>系统</w:t>
            </w:r>
          </w:p>
        </w:tc>
        <w:tc>
          <w:tcPr>
            <w:tcW w:w="643" w:type="pct"/>
            <w:noWrap/>
            <w:hideMark/>
          </w:tcPr>
          <w:p w14:paraId="4EFCB803" w14:textId="77777777" w:rsidR="003E2FA0" w:rsidRPr="002B55E9" w:rsidRDefault="003E2FA0" w:rsidP="00085583">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502C1A37" w14:textId="77777777" w:rsidR="003E2FA0" w:rsidRPr="002B55E9" w:rsidRDefault="003E2FA0" w:rsidP="00085583">
            <w:pPr>
              <w:pStyle w:val="lgy-"/>
              <w:rPr>
                <w:rFonts w:eastAsia="宋体"/>
              </w:rPr>
            </w:pPr>
            <w:r w:rsidRPr="002B55E9">
              <w:rPr>
                <w:rFonts w:eastAsia="宋体" w:hint="eastAsia"/>
              </w:rPr>
              <w:t>500</w:t>
            </w:r>
          </w:p>
        </w:tc>
        <w:tc>
          <w:tcPr>
            <w:tcW w:w="499" w:type="pct"/>
            <w:noWrap/>
            <w:hideMark/>
          </w:tcPr>
          <w:p w14:paraId="46F682A0" w14:textId="3BD770FA" w:rsidR="003E2FA0" w:rsidRPr="002B55E9" w:rsidRDefault="003E2FA0" w:rsidP="00085583">
            <w:pPr>
              <w:pStyle w:val="lgy-"/>
              <w:rPr>
                <w:rFonts w:eastAsia="宋体"/>
              </w:rPr>
            </w:pPr>
            <w:r w:rsidRPr="002B55E9">
              <w:rPr>
                <w:rFonts w:eastAsia="宋体" w:hint="eastAsia"/>
                <w:szCs w:val="22"/>
              </w:rPr>
              <w:t>160</w:t>
            </w:r>
          </w:p>
        </w:tc>
        <w:tc>
          <w:tcPr>
            <w:tcW w:w="499" w:type="pct"/>
            <w:noWrap/>
            <w:hideMark/>
          </w:tcPr>
          <w:p w14:paraId="79FE1B5F" w14:textId="77777777" w:rsidR="003E2FA0" w:rsidRPr="002B55E9" w:rsidRDefault="003E2FA0" w:rsidP="00085583">
            <w:pPr>
              <w:pStyle w:val="lgy-"/>
              <w:rPr>
                <w:rFonts w:eastAsia="宋体"/>
              </w:rPr>
            </w:pPr>
            <w:r w:rsidRPr="002B55E9">
              <w:rPr>
                <w:rFonts w:eastAsia="宋体" w:hint="eastAsia"/>
              </w:rPr>
              <w:t>1000</w:t>
            </w:r>
          </w:p>
        </w:tc>
        <w:tc>
          <w:tcPr>
            <w:tcW w:w="499" w:type="pct"/>
            <w:noWrap/>
            <w:hideMark/>
          </w:tcPr>
          <w:p w14:paraId="246D1741" w14:textId="77777777" w:rsidR="003E2FA0" w:rsidRPr="002B55E9" w:rsidRDefault="003E2FA0" w:rsidP="00085583">
            <w:pPr>
              <w:pStyle w:val="lgy-"/>
              <w:rPr>
                <w:rFonts w:eastAsia="宋体"/>
              </w:rPr>
            </w:pPr>
            <w:r w:rsidRPr="002B55E9">
              <w:rPr>
                <w:rFonts w:eastAsia="宋体" w:hint="eastAsia"/>
              </w:rPr>
              <w:t>70</w:t>
            </w:r>
          </w:p>
        </w:tc>
        <w:tc>
          <w:tcPr>
            <w:tcW w:w="707" w:type="pct"/>
            <w:noWrap/>
            <w:hideMark/>
          </w:tcPr>
          <w:p w14:paraId="0821E951" w14:textId="77777777" w:rsidR="003E2FA0" w:rsidRPr="002B55E9" w:rsidRDefault="003E2FA0" w:rsidP="00085583">
            <w:pPr>
              <w:pStyle w:val="lgy-"/>
              <w:rPr>
                <w:rFonts w:eastAsia="宋体"/>
              </w:rPr>
            </w:pPr>
            <w:r w:rsidRPr="002B55E9">
              <w:rPr>
                <w:rFonts w:eastAsia="宋体" w:hint="eastAsia"/>
              </w:rPr>
              <w:t>120</w:t>
            </w:r>
          </w:p>
        </w:tc>
        <w:tc>
          <w:tcPr>
            <w:tcW w:w="631" w:type="pct"/>
            <w:noWrap/>
            <w:hideMark/>
          </w:tcPr>
          <w:p w14:paraId="18006D98" w14:textId="77777777" w:rsidR="003E2FA0" w:rsidRPr="002B55E9" w:rsidRDefault="003E2FA0" w:rsidP="00085583">
            <w:pPr>
              <w:pStyle w:val="lgy-"/>
              <w:rPr>
                <w:rFonts w:eastAsia="宋体"/>
              </w:rPr>
            </w:pPr>
            <w:r w:rsidRPr="002B55E9">
              <w:rPr>
                <w:rFonts w:eastAsia="宋体" w:hint="eastAsia"/>
              </w:rPr>
              <w:t>20</w:t>
            </w:r>
          </w:p>
        </w:tc>
        <w:tc>
          <w:tcPr>
            <w:tcW w:w="499" w:type="pct"/>
            <w:noWrap/>
            <w:hideMark/>
          </w:tcPr>
          <w:p w14:paraId="6379174A" w14:textId="77777777" w:rsidR="003E2FA0" w:rsidRPr="002B55E9" w:rsidRDefault="003E2FA0" w:rsidP="00085583">
            <w:pPr>
              <w:pStyle w:val="lgy-"/>
              <w:rPr>
                <w:rFonts w:eastAsia="宋体"/>
              </w:rPr>
            </w:pPr>
            <w:r w:rsidRPr="002B55E9">
              <w:rPr>
                <w:rFonts w:eastAsia="宋体" w:hint="eastAsia"/>
              </w:rPr>
              <w:t>100</w:t>
            </w:r>
          </w:p>
        </w:tc>
      </w:tr>
      <w:tr w:rsidR="003E2FA0" w:rsidRPr="002B55E9" w14:paraId="54C0E2B5" w14:textId="77777777" w:rsidTr="003E2FA0">
        <w:trPr>
          <w:trHeight w:val="283"/>
        </w:trPr>
        <w:tc>
          <w:tcPr>
            <w:tcW w:w="488" w:type="pct"/>
            <w:vMerge/>
            <w:hideMark/>
          </w:tcPr>
          <w:p w14:paraId="10F2B7D0" w14:textId="77777777" w:rsidR="003E2FA0" w:rsidRPr="002B55E9" w:rsidRDefault="003E2FA0" w:rsidP="00085583">
            <w:pPr>
              <w:pStyle w:val="lgy-"/>
              <w:rPr>
                <w:rFonts w:eastAsia="宋体"/>
              </w:rPr>
            </w:pPr>
          </w:p>
        </w:tc>
        <w:tc>
          <w:tcPr>
            <w:tcW w:w="643" w:type="pct"/>
            <w:noWrap/>
            <w:hideMark/>
          </w:tcPr>
          <w:p w14:paraId="4A8262BB" w14:textId="77777777" w:rsidR="003E2FA0" w:rsidRPr="002B55E9" w:rsidRDefault="003E2FA0" w:rsidP="00085583">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0712744F" w14:textId="77777777" w:rsidR="003E2FA0" w:rsidRPr="002B55E9" w:rsidRDefault="003E2FA0" w:rsidP="00085583">
            <w:pPr>
              <w:pStyle w:val="lgy-"/>
              <w:rPr>
                <w:rFonts w:eastAsia="宋体"/>
              </w:rPr>
            </w:pPr>
            <w:r w:rsidRPr="002B55E9">
              <w:rPr>
                <w:rFonts w:eastAsia="宋体" w:hint="eastAsia"/>
              </w:rPr>
              <w:t>300</w:t>
            </w:r>
          </w:p>
        </w:tc>
        <w:tc>
          <w:tcPr>
            <w:tcW w:w="499" w:type="pct"/>
            <w:noWrap/>
            <w:hideMark/>
          </w:tcPr>
          <w:p w14:paraId="6A049C0A" w14:textId="5315F92A" w:rsidR="003E2FA0" w:rsidRPr="002B55E9" w:rsidRDefault="003E2FA0" w:rsidP="00085583">
            <w:pPr>
              <w:pStyle w:val="lgy-"/>
              <w:rPr>
                <w:rFonts w:eastAsia="宋体"/>
              </w:rPr>
            </w:pPr>
            <w:r w:rsidRPr="002B55E9">
              <w:rPr>
                <w:rFonts w:eastAsia="宋体" w:hint="eastAsia"/>
                <w:szCs w:val="22"/>
              </w:rPr>
              <w:t>100</w:t>
            </w:r>
          </w:p>
        </w:tc>
        <w:tc>
          <w:tcPr>
            <w:tcW w:w="499" w:type="pct"/>
            <w:noWrap/>
            <w:hideMark/>
          </w:tcPr>
          <w:p w14:paraId="4DE32551" w14:textId="77777777" w:rsidR="003E2FA0" w:rsidRPr="002B55E9" w:rsidRDefault="003E2FA0" w:rsidP="00085583">
            <w:pPr>
              <w:pStyle w:val="lgy-"/>
              <w:rPr>
                <w:rFonts w:eastAsia="宋体"/>
              </w:rPr>
            </w:pPr>
            <w:r w:rsidRPr="002B55E9">
              <w:rPr>
                <w:rFonts w:eastAsia="宋体" w:hint="eastAsia"/>
              </w:rPr>
              <w:t>200</w:t>
            </w:r>
          </w:p>
        </w:tc>
        <w:tc>
          <w:tcPr>
            <w:tcW w:w="499" w:type="pct"/>
            <w:noWrap/>
            <w:hideMark/>
          </w:tcPr>
          <w:p w14:paraId="1E1B6DAB" w14:textId="77777777" w:rsidR="003E2FA0" w:rsidRPr="002B55E9" w:rsidRDefault="003E2FA0" w:rsidP="00085583">
            <w:pPr>
              <w:pStyle w:val="lgy-"/>
              <w:rPr>
                <w:rFonts w:eastAsia="宋体"/>
              </w:rPr>
            </w:pPr>
            <w:r w:rsidRPr="002B55E9">
              <w:rPr>
                <w:rFonts w:eastAsia="宋体" w:hint="eastAsia"/>
              </w:rPr>
              <w:t>35</w:t>
            </w:r>
          </w:p>
        </w:tc>
        <w:tc>
          <w:tcPr>
            <w:tcW w:w="707" w:type="pct"/>
            <w:noWrap/>
            <w:hideMark/>
          </w:tcPr>
          <w:p w14:paraId="1D4AF969" w14:textId="77777777" w:rsidR="003E2FA0" w:rsidRPr="002B55E9" w:rsidRDefault="003E2FA0" w:rsidP="00085583">
            <w:pPr>
              <w:pStyle w:val="lgy-"/>
              <w:rPr>
                <w:rFonts w:eastAsia="宋体"/>
              </w:rPr>
            </w:pPr>
            <w:r w:rsidRPr="002B55E9">
              <w:rPr>
                <w:rFonts w:eastAsia="宋体" w:hint="eastAsia"/>
              </w:rPr>
              <w:t>45</w:t>
            </w:r>
          </w:p>
        </w:tc>
        <w:tc>
          <w:tcPr>
            <w:tcW w:w="631" w:type="pct"/>
            <w:noWrap/>
            <w:hideMark/>
          </w:tcPr>
          <w:p w14:paraId="604F0523" w14:textId="77777777" w:rsidR="003E2FA0" w:rsidRPr="002B55E9" w:rsidRDefault="003E2FA0" w:rsidP="00085583">
            <w:pPr>
              <w:pStyle w:val="lgy-"/>
              <w:rPr>
                <w:rFonts w:eastAsia="宋体"/>
              </w:rPr>
            </w:pPr>
            <w:r w:rsidRPr="002B55E9">
              <w:rPr>
                <w:rFonts w:eastAsia="宋体" w:hint="eastAsia"/>
              </w:rPr>
              <w:t>8</w:t>
            </w:r>
          </w:p>
        </w:tc>
        <w:tc>
          <w:tcPr>
            <w:tcW w:w="499" w:type="pct"/>
            <w:noWrap/>
            <w:hideMark/>
          </w:tcPr>
          <w:p w14:paraId="5285014E" w14:textId="77777777" w:rsidR="003E2FA0" w:rsidRPr="002B55E9" w:rsidRDefault="003E2FA0" w:rsidP="00085583">
            <w:pPr>
              <w:pStyle w:val="lgy-"/>
              <w:rPr>
                <w:rFonts w:eastAsia="宋体"/>
              </w:rPr>
            </w:pPr>
            <w:r w:rsidRPr="002B55E9">
              <w:rPr>
                <w:rFonts w:eastAsia="宋体" w:hint="eastAsia"/>
              </w:rPr>
              <w:t>80</w:t>
            </w:r>
          </w:p>
        </w:tc>
      </w:tr>
      <w:tr w:rsidR="003E2FA0" w:rsidRPr="002B55E9" w14:paraId="02876E75" w14:textId="77777777" w:rsidTr="003E2FA0">
        <w:trPr>
          <w:trHeight w:val="283"/>
        </w:trPr>
        <w:tc>
          <w:tcPr>
            <w:tcW w:w="488" w:type="pct"/>
            <w:vMerge/>
            <w:hideMark/>
          </w:tcPr>
          <w:p w14:paraId="06C60BA8" w14:textId="77777777" w:rsidR="003E2FA0" w:rsidRPr="002B55E9" w:rsidRDefault="003E2FA0" w:rsidP="00085583">
            <w:pPr>
              <w:pStyle w:val="lgy-"/>
              <w:rPr>
                <w:rFonts w:eastAsia="宋体"/>
              </w:rPr>
            </w:pPr>
          </w:p>
        </w:tc>
        <w:tc>
          <w:tcPr>
            <w:tcW w:w="643" w:type="pct"/>
            <w:noWrap/>
            <w:hideMark/>
          </w:tcPr>
          <w:p w14:paraId="76B9CD99" w14:textId="77777777" w:rsidR="003E2FA0" w:rsidRPr="002B55E9" w:rsidRDefault="003E2FA0" w:rsidP="00085583">
            <w:pPr>
              <w:pStyle w:val="lgy-"/>
              <w:rPr>
                <w:rFonts w:eastAsia="宋体"/>
              </w:rPr>
            </w:pPr>
            <w:r w:rsidRPr="002B55E9">
              <w:rPr>
                <w:rFonts w:eastAsia="宋体" w:hint="eastAsia"/>
              </w:rPr>
              <w:t>去除率</w:t>
            </w:r>
          </w:p>
        </w:tc>
        <w:tc>
          <w:tcPr>
            <w:tcW w:w="536" w:type="pct"/>
            <w:noWrap/>
            <w:hideMark/>
          </w:tcPr>
          <w:p w14:paraId="51114ECE" w14:textId="77777777" w:rsidR="003E2FA0" w:rsidRPr="002B55E9" w:rsidRDefault="003E2FA0" w:rsidP="00085583">
            <w:pPr>
              <w:pStyle w:val="lgy-"/>
              <w:rPr>
                <w:rFonts w:eastAsia="宋体"/>
              </w:rPr>
            </w:pPr>
            <w:r w:rsidRPr="002B55E9">
              <w:rPr>
                <w:rFonts w:eastAsia="宋体" w:hint="eastAsia"/>
              </w:rPr>
              <w:t>40%</w:t>
            </w:r>
          </w:p>
        </w:tc>
        <w:tc>
          <w:tcPr>
            <w:tcW w:w="499" w:type="pct"/>
            <w:noWrap/>
            <w:hideMark/>
          </w:tcPr>
          <w:p w14:paraId="20092827" w14:textId="082D7981" w:rsidR="003E2FA0" w:rsidRPr="002B55E9" w:rsidRDefault="003E2FA0" w:rsidP="00085583">
            <w:pPr>
              <w:pStyle w:val="lgy-"/>
              <w:rPr>
                <w:rFonts w:eastAsia="宋体"/>
              </w:rPr>
            </w:pPr>
            <w:r w:rsidRPr="002B55E9">
              <w:rPr>
                <w:rFonts w:eastAsia="宋体" w:hint="eastAsia"/>
                <w:szCs w:val="22"/>
              </w:rPr>
              <w:t>40%</w:t>
            </w:r>
          </w:p>
        </w:tc>
        <w:tc>
          <w:tcPr>
            <w:tcW w:w="499" w:type="pct"/>
            <w:noWrap/>
            <w:hideMark/>
          </w:tcPr>
          <w:p w14:paraId="1A56288D" w14:textId="77777777" w:rsidR="003E2FA0" w:rsidRPr="002B55E9" w:rsidRDefault="003E2FA0" w:rsidP="00085583">
            <w:pPr>
              <w:pStyle w:val="lgy-"/>
              <w:rPr>
                <w:rFonts w:eastAsia="宋体"/>
              </w:rPr>
            </w:pPr>
            <w:r w:rsidRPr="002B55E9">
              <w:rPr>
                <w:rFonts w:eastAsia="宋体" w:hint="eastAsia"/>
              </w:rPr>
              <w:t>80%</w:t>
            </w:r>
          </w:p>
        </w:tc>
        <w:tc>
          <w:tcPr>
            <w:tcW w:w="499" w:type="pct"/>
            <w:noWrap/>
            <w:hideMark/>
          </w:tcPr>
          <w:p w14:paraId="765E6E87" w14:textId="77777777" w:rsidR="003E2FA0" w:rsidRPr="002B55E9" w:rsidRDefault="003E2FA0" w:rsidP="00085583">
            <w:pPr>
              <w:pStyle w:val="lgy-"/>
              <w:rPr>
                <w:rFonts w:eastAsia="宋体"/>
              </w:rPr>
            </w:pPr>
            <w:r w:rsidRPr="002B55E9">
              <w:rPr>
                <w:rFonts w:eastAsia="宋体" w:hint="eastAsia"/>
              </w:rPr>
              <w:t>50%</w:t>
            </w:r>
          </w:p>
        </w:tc>
        <w:tc>
          <w:tcPr>
            <w:tcW w:w="707" w:type="pct"/>
            <w:noWrap/>
            <w:hideMark/>
          </w:tcPr>
          <w:p w14:paraId="1FC331EC" w14:textId="77777777" w:rsidR="003E2FA0" w:rsidRPr="002B55E9" w:rsidRDefault="003E2FA0" w:rsidP="00085583">
            <w:pPr>
              <w:pStyle w:val="lgy-"/>
              <w:rPr>
                <w:rFonts w:eastAsia="宋体"/>
              </w:rPr>
            </w:pPr>
            <w:r w:rsidRPr="002B55E9">
              <w:rPr>
                <w:rFonts w:eastAsia="宋体" w:hint="eastAsia"/>
              </w:rPr>
              <w:t>63%</w:t>
            </w:r>
          </w:p>
        </w:tc>
        <w:tc>
          <w:tcPr>
            <w:tcW w:w="631" w:type="pct"/>
            <w:noWrap/>
            <w:hideMark/>
          </w:tcPr>
          <w:p w14:paraId="1E5EEE66" w14:textId="77777777" w:rsidR="003E2FA0" w:rsidRPr="002B55E9" w:rsidRDefault="003E2FA0" w:rsidP="00085583">
            <w:pPr>
              <w:pStyle w:val="lgy-"/>
              <w:rPr>
                <w:rFonts w:eastAsia="宋体"/>
              </w:rPr>
            </w:pPr>
            <w:r w:rsidRPr="002B55E9">
              <w:rPr>
                <w:rFonts w:eastAsia="宋体" w:hint="eastAsia"/>
              </w:rPr>
              <w:t>60%</w:t>
            </w:r>
          </w:p>
        </w:tc>
        <w:tc>
          <w:tcPr>
            <w:tcW w:w="499" w:type="pct"/>
            <w:noWrap/>
            <w:hideMark/>
          </w:tcPr>
          <w:p w14:paraId="3AEC735B" w14:textId="77777777" w:rsidR="003E2FA0" w:rsidRPr="002B55E9" w:rsidRDefault="003E2FA0" w:rsidP="00085583">
            <w:pPr>
              <w:pStyle w:val="lgy-"/>
              <w:rPr>
                <w:rFonts w:eastAsia="宋体"/>
              </w:rPr>
            </w:pPr>
            <w:r w:rsidRPr="002B55E9">
              <w:rPr>
                <w:rFonts w:eastAsia="宋体" w:hint="eastAsia"/>
              </w:rPr>
              <w:t>20%</w:t>
            </w:r>
          </w:p>
        </w:tc>
      </w:tr>
      <w:tr w:rsidR="003E2FA0" w:rsidRPr="002B55E9" w14:paraId="7E7D44FE" w14:textId="77777777" w:rsidTr="003E2FA0">
        <w:trPr>
          <w:trHeight w:val="283"/>
        </w:trPr>
        <w:tc>
          <w:tcPr>
            <w:tcW w:w="488" w:type="pct"/>
            <w:vMerge w:val="restart"/>
            <w:noWrap/>
            <w:hideMark/>
          </w:tcPr>
          <w:p w14:paraId="20A52A7D" w14:textId="77777777" w:rsidR="003E2FA0" w:rsidRPr="002B55E9" w:rsidRDefault="003E2FA0" w:rsidP="00085583">
            <w:pPr>
              <w:pStyle w:val="lgy-"/>
              <w:rPr>
                <w:rFonts w:eastAsia="宋体"/>
              </w:rPr>
            </w:pPr>
            <w:r w:rsidRPr="002B55E9">
              <w:rPr>
                <w:rFonts w:eastAsia="宋体" w:hint="eastAsia"/>
              </w:rPr>
              <w:t>深度处理</w:t>
            </w:r>
          </w:p>
        </w:tc>
        <w:tc>
          <w:tcPr>
            <w:tcW w:w="643" w:type="pct"/>
            <w:noWrap/>
            <w:hideMark/>
          </w:tcPr>
          <w:p w14:paraId="7B5BC8C9" w14:textId="77777777" w:rsidR="003E2FA0" w:rsidRPr="002B55E9" w:rsidRDefault="003E2FA0" w:rsidP="00085583">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0B32D3E3" w14:textId="77777777" w:rsidR="003E2FA0" w:rsidRPr="002B55E9" w:rsidRDefault="003E2FA0" w:rsidP="00085583">
            <w:pPr>
              <w:pStyle w:val="lgy-"/>
              <w:rPr>
                <w:rFonts w:eastAsia="宋体"/>
              </w:rPr>
            </w:pPr>
            <w:r w:rsidRPr="002B55E9">
              <w:rPr>
                <w:rFonts w:eastAsia="宋体" w:hint="eastAsia"/>
              </w:rPr>
              <w:t>300</w:t>
            </w:r>
          </w:p>
        </w:tc>
        <w:tc>
          <w:tcPr>
            <w:tcW w:w="499" w:type="pct"/>
            <w:noWrap/>
            <w:hideMark/>
          </w:tcPr>
          <w:p w14:paraId="37F77186" w14:textId="539AF2A0" w:rsidR="003E2FA0" w:rsidRPr="002B55E9" w:rsidRDefault="003E2FA0" w:rsidP="00085583">
            <w:pPr>
              <w:pStyle w:val="lgy-"/>
              <w:rPr>
                <w:rFonts w:eastAsia="宋体"/>
              </w:rPr>
            </w:pPr>
            <w:r w:rsidRPr="002B55E9">
              <w:rPr>
                <w:rFonts w:eastAsia="宋体" w:hint="eastAsia"/>
                <w:szCs w:val="22"/>
              </w:rPr>
              <w:t>100</w:t>
            </w:r>
          </w:p>
        </w:tc>
        <w:tc>
          <w:tcPr>
            <w:tcW w:w="499" w:type="pct"/>
            <w:noWrap/>
            <w:hideMark/>
          </w:tcPr>
          <w:p w14:paraId="2ACAF527" w14:textId="77777777" w:rsidR="003E2FA0" w:rsidRPr="002B55E9" w:rsidRDefault="003E2FA0" w:rsidP="00085583">
            <w:pPr>
              <w:pStyle w:val="lgy-"/>
              <w:rPr>
                <w:rFonts w:eastAsia="宋体"/>
              </w:rPr>
            </w:pPr>
            <w:r w:rsidRPr="002B55E9">
              <w:rPr>
                <w:rFonts w:eastAsia="宋体" w:hint="eastAsia"/>
              </w:rPr>
              <w:t>200</w:t>
            </w:r>
          </w:p>
        </w:tc>
        <w:tc>
          <w:tcPr>
            <w:tcW w:w="499" w:type="pct"/>
            <w:noWrap/>
            <w:hideMark/>
          </w:tcPr>
          <w:p w14:paraId="472B99FB" w14:textId="77777777" w:rsidR="003E2FA0" w:rsidRPr="002B55E9" w:rsidRDefault="003E2FA0" w:rsidP="00085583">
            <w:pPr>
              <w:pStyle w:val="lgy-"/>
              <w:rPr>
                <w:rFonts w:eastAsia="宋体"/>
              </w:rPr>
            </w:pPr>
            <w:r w:rsidRPr="002B55E9">
              <w:rPr>
                <w:rFonts w:eastAsia="宋体" w:hint="eastAsia"/>
              </w:rPr>
              <w:t>35</w:t>
            </w:r>
          </w:p>
        </w:tc>
        <w:tc>
          <w:tcPr>
            <w:tcW w:w="707" w:type="pct"/>
            <w:noWrap/>
            <w:hideMark/>
          </w:tcPr>
          <w:p w14:paraId="6EBF1097" w14:textId="77777777" w:rsidR="003E2FA0" w:rsidRPr="002B55E9" w:rsidRDefault="003E2FA0" w:rsidP="00085583">
            <w:pPr>
              <w:pStyle w:val="lgy-"/>
              <w:rPr>
                <w:rFonts w:eastAsia="宋体"/>
              </w:rPr>
            </w:pPr>
            <w:r w:rsidRPr="002B55E9">
              <w:rPr>
                <w:rFonts w:eastAsia="宋体" w:hint="eastAsia"/>
              </w:rPr>
              <w:t>45</w:t>
            </w:r>
          </w:p>
        </w:tc>
        <w:tc>
          <w:tcPr>
            <w:tcW w:w="631" w:type="pct"/>
            <w:noWrap/>
            <w:hideMark/>
          </w:tcPr>
          <w:p w14:paraId="32EC6BF7" w14:textId="77777777" w:rsidR="003E2FA0" w:rsidRPr="002B55E9" w:rsidRDefault="003E2FA0" w:rsidP="00085583">
            <w:pPr>
              <w:pStyle w:val="lgy-"/>
              <w:rPr>
                <w:rFonts w:eastAsia="宋体"/>
              </w:rPr>
            </w:pPr>
            <w:r w:rsidRPr="002B55E9">
              <w:rPr>
                <w:rFonts w:eastAsia="宋体" w:hint="eastAsia"/>
              </w:rPr>
              <w:t>8</w:t>
            </w:r>
          </w:p>
        </w:tc>
        <w:tc>
          <w:tcPr>
            <w:tcW w:w="499" w:type="pct"/>
            <w:noWrap/>
            <w:hideMark/>
          </w:tcPr>
          <w:p w14:paraId="32F6A6FE" w14:textId="77777777" w:rsidR="003E2FA0" w:rsidRPr="002B55E9" w:rsidRDefault="003E2FA0" w:rsidP="00085583">
            <w:pPr>
              <w:pStyle w:val="lgy-"/>
              <w:rPr>
                <w:rFonts w:eastAsia="宋体"/>
              </w:rPr>
            </w:pPr>
            <w:r w:rsidRPr="002B55E9">
              <w:rPr>
                <w:rFonts w:eastAsia="宋体" w:hint="eastAsia"/>
              </w:rPr>
              <w:t>80</w:t>
            </w:r>
          </w:p>
        </w:tc>
      </w:tr>
      <w:tr w:rsidR="003E2FA0" w:rsidRPr="002B55E9" w14:paraId="0152CBEC" w14:textId="77777777" w:rsidTr="003E2FA0">
        <w:trPr>
          <w:trHeight w:val="283"/>
        </w:trPr>
        <w:tc>
          <w:tcPr>
            <w:tcW w:w="488" w:type="pct"/>
            <w:vMerge/>
            <w:hideMark/>
          </w:tcPr>
          <w:p w14:paraId="26CCC00F" w14:textId="77777777" w:rsidR="003E2FA0" w:rsidRPr="002B55E9" w:rsidRDefault="003E2FA0" w:rsidP="00085583">
            <w:pPr>
              <w:pStyle w:val="lgy-"/>
              <w:rPr>
                <w:rFonts w:eastAsia="宋体"/>
              </w:rPr>
            </w:pPr>
          </w:p>
        </w:tc>
        <w:tc>
          <w:tcPr>
            <w:tcW w:w="643" w:type="pct"/>
            <w:noWrap/>
            <w:hideMark/>
          </w:tcPr>
          <w:p w14:paraId="17F0B5A0" w14:textId="77777777" w:rsidR="003E2FA0" w:rsidRPr="002B55E9" w:rsidRDefault="003E2FA0" w:rsidP="00085583">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08747B1E" w14:textId="77777777" w:rsidR="003E2FA0" w:rsidRPr="002B55E9" w:rsidRDefault="003E2FA0" w:rsidP="00085583">
            <w:pPr>
              <w:pStyle w:val="lgy-"/>
              <w:rPr>
                <w:rFonts w:eastAsia="宋体"/>
              </w:rPr>
            </w:pPr>
            <w:r w:rsidRPr="002B55E9">
              <w:rPr>
                <w:rFonts w:eastAsia="宋体" w:hint="eastAsia"/>
              </w:rPr>
              <w:t>270</w:t>
            </w:r>
          </w:p>
        </w:tc>
        <w:tc>
          <w:tcPr>
            <w:tcW w:w="499" w:type="pct"/>
            <w:noWrap/>
            <w:hideMark/>
          </w:tcPr>
          <w:p w14:paraId="77A3E604" w14:textId="7A5AB6C5" w:rsidR="003E2FA0" w:rsidRPr="002B55E9" w:rsidRDefault="003E2FA0" w:rsidP="00085583">
            <w:pPr>
              <w:pStyle w:val="lgy-"/>
              <w:rPr>
                <w:rFonts w:eastAsia="宋体"/>
              </w:rPr>
            </w:pPr>
            <w:r w:rsidRPr="002B55E9">
              <w:rPr>
                <w:rFonts w:eastAsia="宋体" w:hint="eastAsia"/>
                <w:szCs w:val="22"/>
              </w:rPr>
              <w:t>90</w:t>
            </w:r>
          </w:p>
        </w:tc>
        <w:tc>
          <w:tcPr>
            <w:tcW w:w="499" w:type="pct"/>
            <w:noWrap/>
            <w:hideMark/>
          </w:tcPr>
          <w:p w14:paraId="65BC2987" w14:textId="77777777" w:rsidR="003E2FA0" w:rsidRPr="002B55E9" w:rsidRDefault="003E2FA0" w:rsidP="00085583">
            <w:pPr>
              <w:pStyle w:val="lgy-"/>
              <w:rPr>
                <w:rFonts w:eastAsia="宋体"/>
              </w:rPr>
            </w:pPr>
            <w:r w:rsidRPr="002B55E9">
              <w:rPr>
                <w:rFonts w:eastAsia="宋体" w:hint="eastAsia"/>
              </w:rPr>
              <w:t>200</w:t>
            </w:r>
          </w:p>
        </w:tc>
        <w:tc>
          <w:tcPr>
            <w:tcW w:w="499" w:type="pct"/>
            <w:noWrap/>
            <w:hideMark/>
          </w:tcPr>
          <w:p w14:paraId="7E920677" w14:textId="77777777" w:rsidR="003E2FA0" w:rsidRPr="002B55E9" w:rsidRDefault="003E2FA0" w:rsidP="00085583">
            <w:pPr>
              <w:pStyle w:val="lgy-"/>
              <w:rPr>
                <w:rFonts w:eastAsia="宋体"/>
              </w:rPr>
            </w:pPr>
            <w:r w:rsidRPr="002B55E9">
              <w:rPr>
                <w:rFonts w:eastAsia="宋体" w:hint="eastAsia"/>
              </w:rPr>
              <w:t>30</w:t>
            </w:r>
          </w:p>
        </w:tc>
        <w:tc>
          <w:tcPr>
            <w:tcW w:w="707" w:type="pct"/>
            <w:noWrap/>
            <w:hideMark/>
          </w:tcPr>
          <w:p w14:paraId="430F0F0C" w14:textId="77777777" w:rsidR="003E2FA0" w:rsidRPr="002B55E9" w:rsidRDefault="003E2FA0" w:rsidP="00085583">
            <w:pPr>
              <w:pStyle w:val="lgy-"/>
              <w:rPr>
                <w:rFonts w:eastAsia="宋体"/>
              </w:rPr>
            </w:pPr>
            <w:r w:rsidRPr="002B55E9">
              <w:rPr>
                <w:rFonts w:eastAsia="宋体" w:hint="eastAsia"/>
              </w:rPr>
              <w:t>40</w:t>
            </w:r>
          </w:p>
        </w:tc>
        <w:tc>
          <w:tcPr>
            <w:tcW w:w="631" w:type="pct"/>
            <w:noWrap/>
            <w:hideMark/>
          </w:tcPr>
          <w:p w14:paraId="33C1171A" w14:textId="77777777" w:rsidR="003E2FA0" w:rsidRPr="002B55E9" w:rsidRDefault="003E2FA0" w:rsidP="00085583">
            <w:pPr>
              <w:pStyle w:val="lgy-"/>
              <w:rPr>
                <w:rFonts w:eastAsia="宋体"/>
              </w:rPr>
            </w:pPr>
            <w:r w:rsidRPr="002B55E9">
              <w:rPr>
                <w:rFonts w:eastAsia="宋体" w:hint="eastAsia"/>
              </w:rPr>
              <w:t>3</w:t>
            </w:r>
          </w:p>
        </w:tc>
        <w:tc>
          <w:tcPr>
            <w:tcW w:w="499" w:type="pct"/>
            <w:noWrap/>
            <w:hideMark/>
          </w:tcPr>
          <w:p w14:paraId="11A00ED3" w14:textId="77777777" w:rsidR="003E2FA0" w:rsidRPr="002B55E9" w:rsidRDefault="003E2FA0" w:rsidP="00085583">
            <w:pPr>
              <w:pStyle w:val="lgy-"/>
              <w:rPr>
                <w:rFonts w:eastAsia="宋体"/>
              </w:rPr>
            </w:pPr>
            <w:r w:rsidRPr="002B55E9">
              <w:rPr>
                <w:rFonts w:eastAsia="宋体" w:hint="eastAsia"/>
              </w:rPr>
              <w:t>80</w:t>
            </w:r>
          </w:p>
        </w:tc>
      </w:tr>
      <w:tr w:rsidR="003E2FA0" w:rsidRPr="002B55E9" w14:paraId="36597CFD" w14:textId="77777777" w:rsidTr="003E2FA0">
        <w:trPr>
          <w:trHeight w:val="283"/>
        </w:trPr>
        <w:tc>
          <w:tcPr>
            <w:tcW w:w="488" w:type="pct"/>
            <w:vMerge/>
            <w:hideMark/>
          </w:tcPr>
          <w:p w14:paraId="6065D800" w14:textId="77777777" w:rsidR="003E2FA0" w:rsidRPr="002B55E9" w:rsidRDefault="003E2FA0" w:rsidP="00085583">
            <w:pPr>
              <w:pStyle w:val="lgy-"/>
              <w:rPr>
                <w:rFonts w:eastAsia="宋体"/>
              </w:rPr>
            </w:pPr>
          </w:p>
        </w:tc>
        <w:tc>
          <w:tcPr>
            <w:tcW w:w="643" w:type="pct"/>
            <w:noWrap/>
            <w:hideMark/>
          </w:tcPr>
          <w:p w14:paraId="3E1C6BD7" w14:textId="77777777" w:rsidR="003E2FA0" w:rsidRPr="002B55E9" w:rsidRDefault="003E2FA0" w:rsidP="00085583">
            <w:pPr>
              <w:pStyle w:val="lgy-"/>
              <w:rPr>
                <w:rFonts w:eastAsia="宋体"/>
              </w:rPr>
            </w:pPr>
            <w:r w:rsidRPr="002B55E9">
              <w:rPr>
                <w:rFonts w:eastAsia="宋体" w:hint="eastAsia"/>
              </w:rPr>
              <w:t>去除率</w:t>
            </w:r>
          </w:p>
        </w:tc>
        <w:tc>
          <w:tcPr>
            <w:tcW w:w="536" w:type="pct"/>
            <w:noWrap/>
            <w:hideMark/>
          </w:tcPr>
          <w:p w14:paraId="6361F55D" w14:textId="77777777" w:rsidR="003E2FA0" w:rsidRPr="002B55E9" w:rsidRDefault="003E2FA0" w:rsidP="00085583">
            <w:pPr>
              <w:pStyle w:val="lgy-"/>
              <w:rPr>
                <w:rFonts w:eastAsia="宋体"/>
              </w:rPr>
            </w:pPr>
            <w:r w:rsidRPr="002B55E9">
              <w:rPr>
                <w:rFonts w:eastAsia="宋体" w:hint="eastAsia"/>
              </w:rPr>
              <w:t>10%</w:t>
            </w:r>
          </w:p>
        </w:tc>
        <w:tc>
          <w:tcPr>
            <w:tcW w:w="499" w:type="pct"/>
            <w:noWrap/>
            <w:hideMark/>
          </w:tcPr>
          <w:p w14:paraId="400EDDF5" w14:textId="19345975" w:rsidR="003E2FA0" w:rsidRPr="002B55E9" w:rsidRDefault="003E2FA0" w:rsidP="00085583">
            <w:pPr>
              <w:pStyle w:val="lgy-"/>
              <w:rPr>
                <w:rFonts w:eastAsia="宋体"/>
              </w:rPr>
            </w:pPr>
            <w:r w:rsidRPr="002B55E9">
              <w:rPr>
                <w:rFonts w:eastAsia="宋体" w:hint="eastAsia"/>
                <w:szCs w:val="22"/>
              </w:rPr>
              <w:t>10%</w:t>
            </w:r>
          </w:p>
        </w:tc>
        <w:tc>
          <w:tcPr>
            <w:tcW w:w="499" w:type="pct"/>
            <w:noWrap/>
            <w:hideMark/>
          </w:tcPr>
          <w:p w14:paraId="1565CC6F" w14:textId="77777777" w:rsidR="003E2FA0" w:rsidRPr="002B55E9" w:rsidRDefault="003E2FA0" w:rsidP="00085583">
            <w:pPr>
              <w:pStyle w:val="lgy-"/>
              <w:rPr>
                <w:rFonts w:eastAsia="宋体"/>
              </w:rPr>
            </w:pPr>
            <w:r w:rsidRPr="002B55E9">
              <w:rPr>
                <w:rFonts w:eastAsia="宋体" w:hint="eastAsia"/>
              </w:rPr>
              <w:t>0%</w:t>
            </w:r>
          </w:p>
        </w:tc>
        <w:tc>
          <w:tcPr>
            <w:tcW w:w="499" w:type="pct"/>
            <w:noWrap/>
            <w:hideMark/>
          </w:tcPr>
          <w:p w14:paraId="7D607C49" w14:textId="77777777" w:rsidR="003E2FA0" w:rsidRPr="002B55E9" w:rsidRDefault="003E2FA0" w:rsidP="00085583">
            <w:pPr>
              <w:pStyle w:val="lgy-"/>
              <w:rPr>
                <w:rFonts w:eastAsia="宋体"/>
              </w:rPr>
            </w:pPr>
            <w:r w:rsidRPr="002B55E9">
              <w:rPr>
                <w:rFonts w:eastAsia="宋体" w:hint="eastAsia"/>
              </w:rPr>
              <w:t>14%</w:t>
            </w:r>
          </w:p>
        </w:tc>
        <w:tc>
          <w:tcPr>
            <w:tcW w:w="707" w:type="pct"/>
            <w:noWrap/>
            <w:hideMark/>
          </w:tcPr>
          <w:p w14:paraId="798D0509" w14:textId="77777777" w:rsidR="003E2FA0" w:rsidRPr="002B55E9" w:rsidRDefault="003E2FA0" w:rsidP="00085583">
            <w:pPr>
              <w:pStyle w:val="lgy-"/>
              <w:rPr>
                <w:rFonts w:eastAsia="宋体"/>
              </w:rPr>
            </w:pPr>
            <w:r w:rsidRPr="002B55E9">
              <w:rPr>
                <w:rFonts w:eastAsia="宋体" w:hint="eastAsia"/>
              </w:rPr>
              <w:t>11%</w:t>
            </w:r>
          </w:p>
        </w:tc>
        <w:tc>
          <w:tcPr>
            <w:tcW w:w="631" w:type="pct"/>
            <w:noWrap/>
            <w:hideMark/>
          </w:tcPr>
          <w:p w14:paraId="320728AD" w14:textId="77777777" w:rsidR="003E2FA0" w:rsidRPr="002B55E9" w:rsidRDefault="003E2FA0" w:rsidP="00085583">
            <w:pPr>
              <w:pStyle w:val="lgy-"/>
              <w:rPr>
                <w:rFonts w:eastAsia="宋体"/>
              </w:rPr>
            </w:pPr>
            <w:r w:rsidRPr="002B55E9">
              <w:rPr>
                <w:rFonts w:eastAsia="宋体" w:hint="eastAsia"/>
              </w:rPr>
              <w:t>63%</w:t>
            </w:r>
          </w:p>
        </w:tc>
        <w:tc>
          <w:tcPr>
            <w:tcW w:w="499" w:type="pct"/>
            <w:noWrap/>
            <w:hideMark/>
          </w:tcPr>
          <w:p w14:paraId="57B038CE" w14:textId="77777777" w:rsidR="003E2FA0" w:rsidRPr="002B55E9" w:rsidRDefault="003E2FA0" w:rsidP="00085583">
            <w:pPr>
              <w:pStyle w:val="lgy-"/>
              <w:rPr>
                <w:rFonts w:eastAsia="宋体"/>
              </w:rPr>
            </w:pPr>
            <w:r w:rsidRPr="002B55E9">
              <w:rPr>
                <w:rFonts w:eastAsia="宋体" w:hint="eastAsia"/>
              </w:rPr>
              <w:t>0%</w:t>
            </w:r>
          </w:p>
        </w:tc>
      </w:tr>
      <w:tr w:rsidR="003E2FA0" w:rsidRPr="002B55E9" w14:paraId="673B1E4E" w14:textId="77777777" w:rsidTr="003E2FA0">
        <w:trPr>
          <w:trHeight w:val="283"/>
        </w:trPr>
        <w:tc>
          <w:tcPr>
            <w:tcW w:w="1131" w:type="pct"/>
            <w:gridSpan w:val="2"/>
            <w:noWrap/>
            <w:hideMark/>
          </w:tcPr>
          <w:p w14:paraId="1B173424" w14:textId="1EB2F60A" w:rsidR="003E2FA0" w:rsidRPr="002B55E9" w:rsidRDefault="003E2FA0" w:rsidP="00085583">
            <w:pPr>
              <w:pStyle w:val="lgy-"/>
              <w:rPr>
                <w:rFonts w:eastAsia="宋体"/>
              </w:rPr>
            </w:pPr>
            <w:r w:rsidRPr="002B55E9">
              <w:rPr>
                <w:rFonts w:eastAsia="宋体" w:hint="eastAsia"/>
              </w:rPr>
              <w:t>综合去除率</w:t>
            </w:r>
          </w:p>
        </w:tc>
        <w:tc>
          <w:tcPr>
            <w:tcW w:w="536" w:type="pct"/>
            <w:noWrap/>
            <w:hideMark/>
          </w:tcPr>
          <w:p w14:paraId="64381B6C" w14:textId="77777777" w:rsidR="003E2FA0" w:rsidRPr="002B55E9" w:rsidRDefault="003E2FA0" w:rsidP="00085583">
            <w:pPr>
              <w:pStyle w:val="lgy-"/>
              <w:rPr>
                <w:rFonts w:eastAsia="宋体"/>
              </w:rPr>
            </w:pPr>
            <w:r w:rsidRPr="002B55E9">
              <w:rPr>
                <w:rFonts w:eastAsia="宋体" w:hint="eastAsia"/>
              </w:rPr>
              <w:t>95.13%</w:t>
            </w:r>
          </w:p>
        </w:tc>
        <w:tc>
          <w:tcPr>
            <w:tcW w:w="499" w:type="pct"/>
            <w:noWrap/>
            <w:hideMark/>
          </w:tcPr>
          <w:p w14:paraId="5780EFF9" w14:textId="77777777" w:rsidR="003E2FA0" w:rsidRPr="002B55E9" w:rsidRDefault="003E2FA0" w:rsidP="00085583">
            <w:pPr>
              <w:pStyle w:val="lgy-"/>
              <w:rPr>
                <w:rFonts w:eastAsia="宋体"/>
              </w:rPr>
            </w:pPr>
            <w:r w:rsidRPr="002B55E9">
              <w:rPr>
                <w:rFonts w:eastAsia="宋体" w:hint="eastAsia"/>
              </w:rPr>
              <w:t>95.57%</w:t>
            </w:r>
          </w:p>
        </w:tc>
        <w:tc>
          <w:tcPr>
            <w:tcW w:w="499" w:type="pct"/>
            <w:noWrap/>
            <w:hideMark/>
          </w:tcPr>
          <w:p w14:paraId="08831953" w14:textId="77777777" w:rsidR="003E2FA0" w:rsidRPr="002B55E9" w:rsidRDefault="003E2FA0" w:rsidP="00085583">
            <w:pPr>
              <w:pStyle w:val="lgy-"/>
              <w:rPr>
                <w:rFonts w:eastAsia="宋体"/>
              </w:rPr>
            </w:pPr>
            <w:r w:rsidRPr="002B55E9">
              <w:rPr>
                <w:rFonts w:eastAsia="宋体" w:hint="eastAsia"/>
              </w:rPr>
              <w:t>86.60%</w:t>
            </w:r>
          </w:p>
        </w:tc>
        <w:tc>
          <w:tcPr>
            <w:tcW w:w="499" w:type="pct"/>
            <w:noWrap/>
            <w:hideMark/>
          </w:tcPr>
          <w:p w14:paraId="286F2DEA" w14:textId="77777777" w:rsidR="003E2FA0" w:rsidRPr="002B55E9" w:rsidRDefault="003E2FA0" w:rsidP="00085583">
            <w:pPr>
              <w:pStyle w:val="lgy-"/>
              <w:rPr>
                <w:rFonts w:eastAsia="宋体"/>
              </w:rPr>
            </w:pPr>
            <w:r w:rsidRPr="002B55E9">
              <w:rPr>
                <w:rFonts w:eastAsia="宋体" w:hint="eastAsia"/>
              </w:rPr>
              <w:t>62.59%</w:t>
            </w:r>
          </w:p>
        </w:tc>
        <w:tc>
          <w:tcPr>
            <w:tcW w:w="707" w:type="pct"/>
            <w:noWrap/>
            <w:hideMark/>
          </w:tcPr>
          <w:p w14:paraId="4C413CA7" w14:textId="77777777" w:rsidR="003E2FA0" w:rsidRPr="002B55E9" w:rsidRDefault="003E2FA0" w:rsidP="00085583">
            <w:pPr>
              <w:pStyle w:val="lgy-"/>
              <w:rPr>
                <w:rFonts w:eastAsia="宋体"/>
              </w:rPr>
            </w:pPr>
            <w:r w:rsidRPr="002B55E9">
              <w:rPr>
                <w:rFonts w:eastAsia="宋体" w:hint="eastAsia"/>
              </w:rPr>
              <w:t>73.66%</w:t>
            </w:r>
          </w:p>
        </w:tc>
        <w:tc>
          <w:tcPr>
            <w:tcW w:w="631" w:type="pct"/>
            <w:noWrap/>
            <w:hideMark/>
          </w:tcPr>
          <w:p w14:paraId="7DC0B9EA" w14:textId="77777777" w:rsidR="003E2FA0" w:rsidRPr="002B55E9" w:rsidRDefault="003E2FA0" w:rsidP="00085583">
            <w:pPr>
              <w:pStyle w:val="lgy-"/>
              <w:rPr>
                <w:rFonts w:eastAsia="宋体"/>
              </w:rPr>
            </w:pPr>
            <w:r w:rsidRPr="002B55E9">
              <w:rPr>
                <w:rFonts w:eastAsia="宋体" w:hint="eastAsia"/>
              </w:rPr>
              <w:t>95.12%</w:t>
            </w:r>
          </w:p>
        </w:tc>
        <w:tc>
          <w:tcPr>
            <w:tcW w:w="499" w:type="pct"/>
            <w:noWrap/>
            <w:hideMark/>
          </w:tcPr>
          <w:p w14:paraId="65A951BF" w14:textId="77777777" w:rsidR="003E2FA0" w:rsidRPr="002B55E9" w:rsidRDefault="003E2FA0" w:rsidP="00085583">
            <w:pPr>
              <w:pStyle w:val="lgy-"/>
              <w:rPr>
                <w:rFonts w:eastAsia="宋体"/>
              </w:rPr>
            </w:pPr>
            <w:r w:rsidRPr="002B55E9">
              <w:rPr>
                <w:rFonts w:eastAsia="宋体" w:hint="eastAsia"/>
              </w:rPr>
              <w:t>60.00%</w:t>
            </w:r>
          </w:p>
        </w:tc>
      </w:tr>
    </w:tbl>
    <w:p w14:paraId="3D289512" w14:textId="63E0D4E7" w:rsidR="00FE54F9" w:rsidRPr="002B55E9" w:rsidRDefault="00F31B66" w:rsidP="007F1BA2">
      <w:pPr>
        <w:pStyle w:val="affff7"/>
        <w:snapToGrid w:val="0"/>
        <w:spacing w:after="0"/>
        <w:rPr>
          <w:szCs w:val="24"/>
        </w:rPr>
      </w:pPr>
      <w:r w:rsidRPr="002B55E9">
        <w:rPr>
          <w:rFonts w:hint="eastAsia"/>
          <w:szCs w:val="24"/>
        </w:rPr>
        <w:t>根据</w:t>
      </w:r>
      <w:r w:rsidRPr="002B55E9">
        <w:rPr>
          <w:szCs w:val="24"/>
        </w:rPr>
        <w:t>《</w:t>
      </w:r>
      <w:r w:rsidRPr="002B55E9">
        <w:rPr>
          <w:rFonts w:hint="eastAsia"/>
          <w:szCs w:val="24"/>
        </w:rPr>
        <w:t>海天调味品建设项目（一期）环境影响报告表</w:t>
      </w:r>
      <w:r w:rsidRPr="002B55E9">
        <w:rPr>
          <w:szCs w:val="24"/>
        </w:rPr>
        <w:t>》</w:t>
      </w:r>
      <w:r w:rsidRPr="002B55E9">
        <w:rPr>
          <w:rFonts w:hint="eastAsia"/>
          <w:szCs w:val="24"/>
        </w:rPr>
        <w:t>（报批稿）中的废水产生情况，拟建项目废水排入污水处理站后，合并处理</w:t>
      </w:r>
      <w:r w:rsidR="00747EDD" w:rsidRPr="002B55E9">
        <w:rPr>
          <w:rFonts w:hint="eastAsia"/>
          <w:szCs w:val="24"/>
        </w:rPr>
        <w:t>排放</w:t>
      </w:r>
      <w:r w:rsidRPr="002B55E9">
        <w:rPr>
          <w:rFonts w:hint="eastAsia"/>
          <w:szCs w:val="24"/>
        </w:rPr>
        <w:t>情况见下表。</w:t>
      </w:r>
    </w:p>
    <w:p w14:paraId="65C30442" w14:textId="1E472EAE" w:rsidR="00FE54F9" w:rsidRPr="002B55E9" w:rsidRDefault="00CD5505" w:rsidP="00CD5505">
      <w:pPr>
        <w:pStyle w:val="affff7"/>
        <w:snapToGrid w:val="0"/>
        <w:spacing w:after="0" w:line="240" w:lineRule="auto"/>
        <w:ind w:firstLineChars="0" w:firstLine="0"/>
        <w:jc w:val="center"/>
        <w:rPr>
          <w:rFonts w:ascii="黑体" w:eastAsia="黑体" w:hAnsi="黑体"/>
          <w:b/>
          <w:szCs w:val="24"/>
        </w:rPr>
      </w:pPr>
      <w:r w:rsidRPr="002B55E9">
        <w:rPr>
          <w:rFonts w:ascii="黑体" w:eastAsia="黑体" w:hAnsi="黑体" w:hint="eastAsia"/>
          <w:b/>
          <w:szCs w:val="24"/>
        </w:rPr>
        <w:t>表5</w:t>
      </w:r>
      <w:r w:rsidRPr="002B55E9">
        <w:rPr>
          <w:rFonts w:ascii="黑体" w:eastAsia="黑体" w:hAnsi="黑体"/>
          <w:b/>
          <w:szCs w:val="24"/>
        </w:rPr>
        <w:t>-3-</w:t>
      </w:r>
      <w:r w:rsidR="00085583" w:rsidRPr="002B55E9">
        <w:rPr>
          <w:rFonts w:ascii="黑体" w:eastAsia="黑体" w:hAnsi="黑体"/>
          <w:b/>
          <w:szCs w:val="24"/>
        </w:rPr>
        <w:t>3</w:t>
      </w:r>
      <w:r w:rsidRPr="002B55E9">
        <w:rPr>
          <w:rFonts w:ascii="黑体" w:eastAsia="黑体" w:hAnsi="黑体" w:hint="eastAsia"/>
          <w:b/>
          <w:szCs w:val="24"/>
        </w:rPr>
        <w:t xml:space="preserve">  拟建项目废水合并海天调味品公司废水处理排放情况表</w:t>
      </w:r>
    </w:p>
    <w:tbl>
      <w:tblPr>
        <w:tblStyle w:val="lgy2"/>
        <w:tblW w:w="5000" w:type="pct"/>
        <w:tblCellMar>
          <w:left w:w="28" w:type="dxa"/>
          <w:right w:w="28" w:type="dxa"/>
        </w:tblCellMar>
        <w:tblLook w:val="04A0" w:firstRow="1" w:lastRow="0" w:firstColumn="1" w:lastColumn="0" w:noHBand="0" w:noVBand="1"/>
      </w:tblPr>
      <w:tblGrid>
        <w:gridCol w:w="1072"/>
        <w:gridCol w:w="644"/>
        <w:gridCol w:w="1037"/>
        <w:gridCol w:w="576"/>
        <w:gridCol w:w="832"/>
        <w:gridCol w:w="766"/>
        <w:gridCol w:w="713"/>
        <w:gridCol w:w="713"/>
        <w:gridCol w:w="713"/>
        <w:gridCol w:w="896"/>
        <w:gridCol w:w="768"/>
        <w:gridCol w:w="963"/>
      </w:tblGrid>
      <w:tr w:rsidR="003E2FA0" w:rsidRPr="002B55E9" w14:paraId="278057E9" w14:textId="77777777" w:rsidTr="003E2FA0">
        <w:trPr>
          <w:cnfStyle w:val="100000000000" w:firstRow="1" w:lastRow="0" w:firstColumn="0" w:lastColumn="0" w:oddVBand="0" w:evenVBand="0" w:oddHBand="0" w:evenHBand="0" w:firstRowFirstColumn="0" w:firstRowLastColumn="0" w:lastRowFirstColumn="0" w:lastRowLastColumn="0"/>
          <w:trHeight w:val="283"/>
        </w:trPr>
        <w:tc>
          <w:tcPr>
            <w:tcW w:w="553" w:type="pct"/>
            <w:hideMark/>
          </w:tcPr>
          <w:p w14:paraId="45DAA20D" w14:textId="77777777" w:rsidR="003E2FA0" w:rsidRPr="002B55E9" w:rsidRDefault="003E2FA0" w:rsidP="00747EDD">
            <w:pPr>
              <w:pStyle w:val="lgy-"/>
              <w:rPr>
                <w:rFonts w:eastAsia="宋体"/>
              </w:rPr>
            </w:pPr>
            <w:r w:rsidRPr="002B55E9">
              <w:rPr>
                <w:rFonts w:eastAsia="宋体" w:hint="eastAsia"/>
              </w:rPr>
              <w:t>废水类型</w:t>
            </w:r>
          </w:p>
        </w:tc>
        <w:tc>
          <w:tcPr>
            <w:tcW w:w="332" w:type="pct"/>
            <w:hideMark/>
          </w:tcPr>
          <w:p w14:paraId="6F87AC41" w14:textId="07EC41F9" w:rsidR="003E2FA0" w:rsidRPr="002B55E9" w:rsidRDefault="003E2FA0" w:rsidP="00747EDD">
            <w:pPr>
              <w:pStyle w:val="lgy-"/>
              <w:rPr>
                <w:rFonts w:eastAsia="宋体"/>
              </w:rPr>
            </w:pPr>
            <w:r w:rsidRPr="002B55E9">
              <w:rPr>
                <w:rFonts w:eastAsia="宋体" w:hint="eastAsia"/>
              </w:rPr>
              <w:t>水量</w:t>
            </w:r>
            <w:r w:rsidRPr="002B55E9">
              <w:rPr>
                <w:rFonts w:eastAsia="宋体" w:hint="eastAsia"/>
              </w:rPr>
              <w:t>m</w:t>
            </w:r>
            <w:r w:rsidRPr="002B55E9">
              <w:rPr>
                <w:rFonts w:eastAsia="宋体" w:hint="eastAsia"/>
                <w:vertAlign w:val="superscript"/>
              </w:rPr>
              <w:t>3</w:t>
            </w:r>
            <w:r w:rsidRPr="002B55E9">
              <w:rPr>
                <w:rFonts w:eastAsia="宋体" w:hint="eastAsia"/>
              </w:rPr>
              <w:t>/d</w:t>
            </w:r>
          </w:p>
        </w:tc>
        <w:tc>
          <w:tcPr>
            <w:tcW w:w="534" w:type="pct"/>
            <w:hideMark/>
          </w:tcPr>
          <w:p w14:paraId="42E82A28" w14:textId="77777777" w:rsidR="003E2FA0" w:rsidRPr="002B55E9" w:rsidRDefault="003E2FA0" w:rsidP="00747EDD">
            <w:pPr>
              <w:pStyle w:val="lgy-"/>
              <w:rPr>
                <w:rFonts w:eastAsia="宋体"/>
              </w:rPr>
            </w:pPr>
            <w:r w:rsidRPr="002B55E9">
              <w:rPr>
                <w:rFonts w:eastAsia="宋体" w:hint="eastAsia"/>
              </w:rPr>
              <w:t>项目</w:t>
            </w:r>
          </w:p>
        </w:tc>
        <w:tc>
          <w:tcPr>
            <w:tcW w:w="297" w:type="pct"/>
            <w:noWrap/>
            <w:hideMark/>
          </w:tcPr>
          <w:p w14:paraId="5FA613C6" w14:textId="77777777" w:rsidR="003E2FA0" w:rsidRPr="002B55E9" w:rsidRDefault="003E2FA0" w:rsidP="00747EDD">
            <w:pPr>
              <w:pStyle w:val="lgy-"/>
              <w:rPr>
                <w:rFonts w:eastAsia="宋体"/>
                <w:szCs w:val="22"/>
              </w:rPr>
            </w:pPr>
            <w:r w:rsidRPr="002B55E9">
              <w:rPr>
                <w:rFonts w:eastAsia="宋体" w:hint="eastAsia"/>
                <w:szCs w:val="22"/>
              </w:rPr>
              <w:t>pH</w:t>
            </w:r>
          </w:p>
        </w:tc>
        <w:tc>
          <w:tcPr>
            <w:tcW w:w="429" w:type="pct"/>
            <w:hideMark/>
          </w:tcPr>
          <w:p w14:paraId="01518B92" w14:textId="77777777" w:rsidR="003E2FA0" w:rsidRPr="002B55E9" w:rsidRDefault="003E2FA0" w:rsidP="00747EDD">
            <w:pPr>
              <w:pStyle w:val="lgy-"/>
              <w:rPr>
                <w:rFonts w:eastAsia="宋体"/>
              </w:rPr>
            </w:pPr>
            <w:r w:rsidRPr="002B55E9">
              <w:rPr>
                <w:rFonts w:eastAsia="宋体" w:hint="eastAsia"/>
              </w:rPr>
              <w:t>色度</w:t>
            </w:r>
          </w:p>
        </w:tc>
        <w:tc>
          <w:tcPr>
            <w:tcW w:w="395" w:type="pct"/>
            <w:hideMark/>
          </w:tcPr>
          <w:p w14:paraId="3063FE16" w14:textId="77777777" w:rsidR="003E2FA0" w:rsidRPr="002B55E9" w:rsidRDefault="003E2FA0" w:rsidP="00747EDD">
            <w:pPr>
              <w:pStyle w:val="lgy-"/>
              <w:rPr>
                <w:rFonts w:eastAsia="宋体"/>
              </w:rPr>
            </w:pPr>
            <w:r w:rsidRPr="002B55E9">
              <w:rPr>
                <w:rFonts w:eastAsia="宋体"/>
              </w:rPr>
              <w:t>COD</w:t>
            </w:r>
          </w:p>
        </w:tc>
        <w:tc>
          <w:tcPr>
            <w:tcW w:w="368" w:type="pct"/>
            <w:hideMark/>
          </w:tcPr>
          <w:p w14:paraId="0717659E" w14:textId="77777777" w:rsidR="003E2FA0" w:rsidRPr="002B55E9" w:rsidRDefault="003E2FA0" w:rsidP="00747EDD">
            <w:pPr>
              <w:pStyle w:val="lgy-"/>
              <w:rPr>
                <w:rFonts w:eastAsia="宋体"/>
              </w:rPr>
            </w:pPr>
            <w:r w:rsidRPr="002B55E9">
              <w:rPr>
                <w:rFonts w:eastAsia="宋体"/>
              </w:rPr>
              <w:t>BOD</w:t>
            </w:r>
            <w:r w:rsidRPr="002B55E9">
              <w:rPr>
                <w:rFonts w:eastAsia="宋体"/>
                <w:vertAlign w:val="subscript"/>
              </w:rPr>
              <w:t>5</w:t>
            </w:r>
          </w:p>
        </w:tc>
        <w:tc>
          <w:tcPr>
            <w:tcW w:w="368" w:type="pct"/>
            <w:hideMark/>
          </w:tcPr>
          <w:p w14:paraId="27A2124A" w14:textId="77777777" w:rsidR="003E2FA0" w:rsidRPr="002B55E9" w:rsidRDefault="003E2FA0" w:rsidP="00747EDD">
            <w:pPr>
              <w:pStyle w:val="lgy-"/>
              <w:rPr>
                <w:rFonts w:eastAsia="宋体"/>
              </w:rPr>
            </w:pPr>
            <w:r w:rsidRPr="002B55E9">
              <w:rPr>
                <w:rFonts w:eastAsia="宋体"/>
              </w:rPr>
              <w:t>SS</w:t>
            </w:r>
          </w:p>
        </w:tc>
        <w:tc>
          <w:tcPr>
            <w:tcW w:w="368" w:type="pct"/>
            <w:hideMark/>
          </w:tcPr>
          <w:p w14:paraId="0FA45F57" w14:textId="77777777" w:rsidR="003E2FA0" w:rsidRPr="002B55E9" w:rsidRDefault="003E2FA0" w:rsidP="00747EDD">
            <w:pPr>
              <w:pStyle w:val="lgy-"/>
              <w:rPr>
                <w:rFonts w:eastAsia="宋体"/>
              </w:rPr>
            </w:pPr>
            <w:r w:rsidRPr="002B55E9">
              <w:rPr>
                <w:rFonts w:eastAsia="宋体" w:hint="eastAsia"/>
              </w:rPr>
              <w:t>氨氮</w:t>
            </w:r>
          </w:p>
        </w:tc>
        <w:tc>
          <w:tcPr>
            <w:tcW w:w="462" w:type="pct"/>
            <w:hideMark/>
          </w:tcPr>
          <w:p w14:paraId="2FEA3C26" w14:textId="77777777" w:rsidR="003E2FA0" w:rsidRPr="002B55E9" w:rsidRDefault="003E2FA0" w:rsidP="00747EDD">
            <w:pPr>
              <w:pStyle w:val="lgy-"/>
              <w:rPr>
                <w:rFonts w:eastAsia="宋体"/>
              </w:rPr>
            </w:pPr>
            <w:r w:rsidRPr="002B55E9">
              <w:rPr>
                <w:rFonts w:eastAsia="宋体" w:hint="eastAsia"/>
              </w:rPr>
              <w:t>总氮</w:t>
            </w:r>
          </w:p>
        </w:tc>
        <w:tc>
          <w:tcPr>
            <w:tcW w:w="396" w:type="pct"/>
            <w:hideMark/>
          </w:tcPr>
          <w:p w14:paraId="48124E17" w14:textId="77777777" w:rsidR="003E2FA0" w:rsidRPr="002B55E9" w:rsidRDefault="003E2FA0" w:rsidP="00747EDD">
            <w:pPr>
              <w:pStyle w:val="lgy-"/>
              <w:rPr>
                <w:rFonts w:eastAsia="宋体"/>
              </w:rPr>
            </w:pPr>
            <w:r w:rsidRPr="002B55E9">
              <w:rPr>
                <w:rFonts w:eastAsia="宋体" w:hint="eastAsia"/>
              </w:rPr>
              <w:t>总磷</w:t>
            </w:r>
          </w:p>
        </w:tc>
        <w:tc>
          <w:tcPr>
            <w:tcW w:w="498" w:type="pct"/>
            <w:hideMark/>
          </w:tcPr>
          <w:p w14:paraId="014AA71B" w14:textId="77777777" w:rsidR="003E2FA0" w:rsidRPr="002B55E9" w:rsidRDefault="003E2FA0" w:rsidP="00747EDD">
            <w:pPr>
              <w:pStyle w:val="lgy-"/>
              <w:rPr>
                <w:rFonts w:eastAsia="宋体"/>
              </w:rPr>
            </w:pPr>
            <w:r w:rsidRPr="002B55E9">
              <w:rPr>
                <w:rFonts w:eastAsia="宋体" w:hint="eastAsia"/>
              </w:rPr>
              <w:t>动植物油</w:t>
            </w:r>
          </w:p>
        </w:tc>
      </w:tr>
      <w:tr w:rsidR="003E2FA0" w:rsidRPr="002B55E9" w14:paraId="61DBCCB0" w14:textId="77777777" w:rsidTr="003E2FA0">
        <w:trPr>
          <w:trHeight w:val="283"/>
        </w:trPr>
        <w:tc>
          <w:tcPr>
            <w:tcW w:w="553" w:type="pct"/>
            <w:vMerge w:val="restart"/>
            <w:hideMark/>
          </w:tcPr>
          <w:p w14:paraId="01B93C4F" w14:textId="25265FE2" w:rsidR="003E2FA0" w:rsidRPr="002B55E9" w:rsidRDefault="003E2FA0" w:rsidP="00747EDD">
            <w:pPr>
              <w:pStyle w:val="lgy-"/>
              <w:rPr>
                <w:rFonts w:eastAsia="宋体"/>
              </w:rPr>
            </w:pPr>
            <w:r w:rsidRPr="002B55E9">
              <w:rPr>
                <w:rFonts w:eastAsia="宋体" w:hint="eastAsia"/>
              </w:rPr>
              <w:t>本项目废水</w:t>
            </w:r>
          </w:p>
        </w:tc>
        <w:tc>
          <w:tcPr>
            <w:tcW w:w="332" w:type="pct"/>
            <w:vMerge w:val="restart"/>
          </w:tcPr>
          <w:p w14:paraId="3A4B5670" w14:textId="5061432B" w:rsidR="003E2FA0" w:rsidRPr="002B55E9" w:rsidRDefault="003E2FA0" w:rsidP="00747EDD">
            <w:pPr>
              <w:pStyle w:val="lgy-"/>
              <w:rPr>
                <w:rFonts w:eastAsia="宋体"/>
              </w:rPr>
            </w:pPr>
            <w:r w:rsidRPr="002B55E9">
              <w:rPr>
                <w:rFonts w:eastAsia="宋体" w:hint="eastAsia"/>
              </w:rPr>
              <w:t>5</w:t>
            </w:r>
            <w:r w:rsidRPr="002B55E9">
              <w:rPr>
                <w:rFonts w:eastAsia="宋体"/>
              </w:rPr>
              <w:t>23</w:t>
            </w:r>
          </w:p>
        </w:tc>
        <w:tc>
          <w:tcPr>
            <w:tcW w:w="534" w:type="pct"/>
            <w:hideMark/>
          </w:tcPr>
          <w:p w14:paraId="773FDD91"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6823F8C9" w14:textId="77777777" w:rsidR="003E2FA0" w:rsidRPr="002B55E9" w:rsidRDefault="003E2FA0" w:rsidP="00747EDD">
            <w:pPr>
              <w:pStyle w:val="lgy-"/>
              <w:rPr>
                <w:rFonts w:eastAsia="宋体"/>
                <w:szCs w:val="22"/>
              </w:rPr>
            </w:pPr>
            <w:r w:rsidRPr="002B55E9">
              <w:rPr>
                <w:rFonts w:eastAsia="宋体" w:hint="eastAsia"/>
                <w:szCs w:val="22"/>
              </w:rPr>
              <w:t>6~9</w:t>
            </w:r>
          </w:p>
        </w:tc>
        <w:tc>
          <w:tcPr>
            <w:tcW w:w="429" w:type="pct"/>
            <w:noWrap/>
            <w:hideMark/>
          </w:tcPr>
          <w:p w14:paraId="470C33A0" w14:textId="77777777" w:rsidR="003E2FA0" w:rsidRPr="002B55E9" w:rsidRDefault="003E2FA0" w:rsidP="00747EDD">
            <w:pPr>
              <w:pStyle w:val="lgy-"/>
              <w:rPr>
                <w:rFonts w:eastAsia="宋体"/>
                <w:szCs w:val="22"/>
              </w:rPr>
            </w:pPr>
            <w:r w:rsidRPr="002B55E9">
              <w:rPr>
                <w:rFonts w:eastAsia="宋体" w:hint="eastAsia"/>
                <w:szCs w:val="22"/>
              </w:rPr>
              <w:t>125</w:t>
            </w:r>
          </w:p>
        </w:tc>
        <w:tc>
          <w:tcPr>
            <w:tcW w:w="395" w:type="pct"/>
            <w:hideMark/>
          </w:tcPr>
          <w:p w14:paraId="3A255D96" w14:textId="74EB7B36" w:rsidR="003E2FA0" w:rsidRPr="002B55E9" w:rsidRDefault="003E2FA0" w:rsidP="00747EDD">
            <w:pPr>
              <w:pStyle w:val="lgy-"/>
              <w:rPr>
                <w:rFonts w:eastAsia="宋体"/>
              </w:rPr>
            </w:pPr>
            <w:r w:rsidRPr="002B55E9">
              <w:rPr>
                <w:rFonts w:eastAsia="宋体"/>
              </w:rPr>
              <w:t xml:space="preserve">2654.15 </w:t>
            </w:r>
          </w:p>
        </w:tc>
        <w:tc>
          <w:tcPr>
            <w:tcW w:w="368" w:type="pct"/>
            <w:hideMark/>
          </w:tcPr>
          <w:p w14:paraId="468422E0" w14:textId="7F009750" w:rsidR="003E2FA0" w:rsidRPr="002B55E9" w:rsidRDefault="003E2FA0" w:rsidP="00747EDD">
            <w:pPr>
              <w:pStyle w:val="lgy-"/>
              <w:rPr>
                <w:rFonts w:eastAsia="宋体"/>
              </w:rPr>
            </w:pPr>
            <w:r w:rsidRPr="002B55E9">
              <w:rPr>
                <w:rFonts w:eastAsia="宋体"/>
              </w:rPr>
              <w:t xml:space="preserve">1145.22 </w:t>
            </w:r>
          </w:p>
        </w:tc>
        <w:tc>
          <w:tcPr>
            <w:tcW w:w="368" w:type="pct"/>
            <w:hideMark/>
          </w:tcPr>
          <w:p w14:paraId="563ACDFB" w14:textId="7582BEDD" w:rsidR="003E2FA0" w:rsidRPr="002B55E9" w:rsidRDefault="003E2FA0" w:rsidP="00747EDD">
            <w:pPr>
              <w:pStyle w:val="lgy-"/>
              <w:rPr>
                <w:rFonts w:eastAsia="宋体"/>
              </w:rPr>
            </w:pPr>
            <w:r w:rsidRPr="002B55E9">
              <w:rPr>
                <w:rFonts w:eastAsia="宋体"/>
              </w:rPr>
              <w:t xml:space="preserve">1081.50 </w:t>
            </w:r>
          </w:p>
        </w:tc>
        <w:tc>
          <w:tcPr>
            <w:tcW w:w="368" w:type="pct"/>
            <w:hideMark/>
          </w:tcPr>
          <w:p w14:paraId="28FCF186" w14:textId="5C985FE1" w:rsidR="003E2FA0" w:rsidRPr="002B55E9" w:rsidRDefault="003E2FA0" w:rsidP="00747EDD">
            <w:pPr>
              <w:pStyle w:val="lgy-"/>
              <w:rPr>
                <w:rFonts w:eastAsia="宋体"/>
              </w:rPr>
            </w:pPr>
            <w:r w:rsidRPr="002B55E9">
              <w:rPr>
                <w:rFonts w:eastAsia="宋体"/>
              </w:rPr>
              <w:t xml:space="preserve">44.06 </w:t>
            </w:r>
          </w:p>
        </w:tc>
        <w:tc>
          <w:tcPr>
            <w:tcW w:w="462" w:type="pct"/>
            <w:hideMark/>
          </w:tcPr>
          <w:p w14:paraId="0ACA6545" w14:textId="7C022DC4" w:rsidR="003E2FA0" w:rsidRPr="002B55E9" w:rsidRDefault="003E2FA0" w:rsidP="00747EDD">
            <w:pPr>
              <w:pStyle w:val="lgy-"/>
              <w:rPr>
                <w:rFonts w:eastAsia="宋体"/>
              </w:rPr>
            </w:pPr>
            <w:r w:rsidRPr="002B55E9">
              <w:rPr>
                <w:rFonts w:eastAsia="宋体"/>
              </w:rPr>
              <w:t xml:space="preserve">128.21 </w:t>
            </w:r>
          </w:p>
        </w:tc>
        <w:tc>
          <w:tcPr>
            <w:tcW w:w="396" w:type="pct"/>
            <w:hideMark/>
          </w:tcPr>
          <w:p w14:paraId="119BB567" w14:textId="4C2246A3" w:rsidR="003E2FA0" w:rsidRPr="002B55E9" w:rsidRDefault="003E2FA0" w:rsidP="00747EDD">
            <w:pPr>
              <w:pStyle w:val="lgy-"/>
              <w:rPr>
                <w:rFonts w:eastAsia="宋体"/>
              </w:rPr>
            </w:pPr>
            <w:r w:rsidRPr="002B55E9">
              <w:rPr>
                <w:rFonts w:eastAsia="宋体"/>
              </w:rPr>
              <w:t xml:space="preserve">25.13 </w:t>
            </w:r>
          </w:p>
        </w:tc>
        <w:tc>
          <w:tcPr>
            <w:tcW w:w="498" w:type="pct"/>
            <w:hideMark/>
          </w:tcPr>
          <w:p w14:paraId="1D8ADFC6" w14:textId="51D40810" w:rsidR="003E2FA0" w:rsidRPr="002B55E9" w:rsidRDefault="003E2FA0" w:rsidP="00747EDD">
            <w:pPr>
              <w:pStyle w:val="lgy-"/>
              <w:rPr>
                <w:rFonts w:eastAsia="宋体"/>
              </w:rPr>
            </w:pPr>
            <w:r w:rsidRPr="002B55E9">
              <w:rPr>
                <w:rFonts w:eastAsia="宋体"/>
              </w:rPr>
              <w:t xml:space="preserve">3.32 </w:t>
            </w:r>
          </w:p>
        </w:tc>
      </w:tr>
      <w:tr w:rsidR="003E2FA0" w:rsidRPr="002B55E9" w14:paraId="3F960A20" w14:textId="77777777" w:rsidTr="003E2FA0">
        <w:trPr>
          <w:trHeight w:val="283"/>
        </w:trPr>
        <w:tc>
          <w:tcPr>
            <w:tcW w:w="553" w:type="pct"/>
            <w:vMerge/>
            <w:hideMark/>
          </w:tcPr>
          <w:p w14:paraId="48485C12" w14:textId="77777777" w:rsidR="003E2FA0" w:rsidRPr="002B55E9" w:rsidRDefault="003E2FA0" w:rsidP="00747EDD">
            <w:pPr>
              <w:pStyle w:val="lgy-"/>
              <w:rPr>
                <w:rFonts w:eastAsia="宋体"/>
              </w:rPr>
            </w:pPr>
          </w:p>
        </w:tc>
        <w:tc>
          <w:tcPr>
            <w:tcW w:w="332" w:type="pct"/>
            <w:vMerge/>
          </w:tcPr>
          <w:p w14:paraId="1B00FA1B" w14:textId="77777777" w:rsidR="003E2FA0" w:rsidRPr="002B55E9" w:rsidRDefault="003E2FA0" w:rsidP="00747EDD">
            <w:pPr>
              <w:pStyle w:val="lgy-"/>
              <w:rPr>
                <w:rFonts w:eastAsia="宋体"/>
              </w:rPr>
            </w:pPr>
          </w:p>
        </w:tc>
        <w:tc>
          <w:tcPr>
            <w:tcW w:w="534" w:type="pct"/>
            <w:hideMark/>
          </w:tcPr>
          <w:p w14:paraId="0F878FF0" w14:textId="77777777" w:rsidR="003E2FA0" w:rsidRPr="002B55E9" w:rsidRDefault="003E2FA0" w:rsidP="00747EDD">
            <w:pPr>
              <w:pStyle w:val="lgy-"/>
              <w:rPr>
                <w:rFonts w:eastAsia="宋体"/>
              </w:rPr>
            </w:pPr>
            <w:r w:rsidRPr="002B55E9">
              <w:rPr>
                <w:rFonts w:eastAsia="宋体" w:hint="eastAsia"/>
              </w:rPr>
              <w:t>产生量</w:t>
            </w:r>
            <w:r w:rsidRPr="002B55E9">
              <w:rPr>
                <w:rFonts w:eastAsia="宋体" w:hint="eastAsia"/>
              </w:rPr>
              <w:t>t/a</w:t>
            </w:r>
          </w:p>
        </w:tc>
        <w:tc>
          <w:tcPr>
            <w:tcW w:w="297" w:type="pct"/>
            <w:noWrap/>
            <w:hideMark/>
          </w:tcPr>
          <w:p w14:paraId="5EA9B185" w14:textId="77777777" w:rsidR="003E2FA0" w:rsidRPr="002B55E9" w:rsidRDefault="003E2FA0" w:rsidP="00747EDD">
            <w:pPr>
              <w:pStyle w:val="lgy-"/>
              <w:rPr>
                <w:rFonts w:eastAsia="宋体"/>
                <w:szCs w:val="22"/>
              </w:rPr>
            </w:pPr>
            <w:r w:rsidRPr="002B55E9">
              <w:rPr>
                <w:rFonts w:eastAsia="宋体" w:hint="eastAsia"/>
                <w:szCs w:val="22"/>
              </w:rPr>
              <w:t>/</w:t>
            </w:r>
          </w:p>
        </w:tc>
        <w:tc>
          <w:tcPr>
            <w:tcW w:w="429" w:type="pct"/>
            <w:noWrap/>
            <w:hideMark/>
          </w:tcPr>
          <w:p w14:paraId="2F0C1229"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hideMark/>
          </w:tcPr>
          <w:p w14:paraId="7D21765F" w14:textId="6D09FD37" w:rsidR="003E2FA0" w:rsidRPr="002B55E9" w:rsidRDefault="003E2FA0" w:rsidP="00747EDD">
            <w:pPr>
              <w:pStyle w:val="lgy-"/>
              <w:rPr>
                <w:rFonts w:eastAsia="宋体"/>
              </w:rPr>
            </w:pPr>
            <w:r w:rsidRPr="002B55E9">
              <w:rPr>
                <w:rFonts w:eastAsia="宋体"/>
              </w:rPr>
              <w:t xml:space="preserve">1.39 </w:t>
            </w:r>
          </w:p>
        </w:tc>
        <w:tc>
          <w:tcPr>
            <w:tcW w:w="368" w:type="pct"/>
            <w:hideMark/>
          </w:tcPr>
          <w:p w14:paraId="07C725A8" w14:textId="57B7325F" w:rsidR="003E2FA0" w:rsidRPr="002B55E9" w:rsidRDefault="003E2FA0" w:rsidP="00747EDD">
            <w:pPr>
              <w:pStyle w:val="lgy-"/>
              <w:rPr>
                <w:rFonts w:eastAsia="宋体"/>
              </w:rPr>
            </w:pPr>
            <w:r w:rsidRPr="002B55E9">
              <w:rPr>
                <w:rFonts w:eastAsia="宋体"/>
              </w:rPr>
              <w:t xml:space="preserve">0.60 </w:t>
            </w:r>
          </w:p>
        </w:tc>
        <w:tc>
          <w:tcPr>
            <w:tcW w:w="368" w:type="pct"/>
            <w:hideMark/>
          </w:tcPr>
          <w:p w14:paraId="7DFC5D58" w14:textId="66432AE0" w:rsidR="003E2FA0" w:rsidRPr="002B55E9" w:rsidRDefault="003E2FA0" w:rsidP="00747EDD">
            <w:pPr>
              <w:pStyle w:val="lgy-"/>
              <w:rPr>
                <w:rFonts w:eastAsia="宋体"/>
              </w:rPr>
            </w:pPr>
            <w:r w:rsidRPr="002B55E9">
              <w:rPr>
                <w:rFonts w:eastAsia="宋体"/>
              </w:rPr>
              <w:t xml:space="preserve">0.57 </w:t>
            </w:r>
          </w:p>
        </w:tc>
        <w:tc>
          <w:tcPr>
            <w:tcW w:w="368" w:type="pct"/>
            <w:hideMark/>
          </w:tcPr>
          <w:p w14:paraId="5595E577" w14:textId="161342D6" w:rsidR="003E2FA0" w:rsidRPr="002B55E9" w:rsidRDefault="003E2FA0" w:rsidP="00747EDD">
            <w:pPr>
              <w:pStyle w:val="lgy-"/>
              <w:rPr>
                <w:rFonts w:eastAsia="宋体"/>
              </w:rPr>
            </w:pPr>
            <w:r w:rsidRPr="002B55E9">
              <w:rPr>
                <w:rFonts w:eastAsia="宋体"/>
              </w:rPr>
              <w:t xml:space="preserve">0.02 </w:t>
            </w:r>
          </w:p>
        </w:tc>
        <w:tc>
          <w:tcPr>
            <w:tcW w:w="462" w:type="pct"/>
            <w:hideMark/>
          </w:tcPr>
          <w:p w14:paraId="7290E0AB" w14:textId="6B52AECC" w:rsidR="003E2FA0" w:rsidRPr="002B55E9" w:rsidRDefault="003E2FA0" w:rsidP="00747EDD">
            <w:pPr>
              <w:pStyle w:val="lgy-"/>
              <w:rPr>
                <w:rFonts w:eastAsia="宋体"/>
              </w:rPr>
            </w:pPr>
            <w:r w:rsidRPr="002B55E9">
              <w:rPr>
                <w:rFonts w:eastAsia="宋体"/>
              </w:rPr>
              <w:t xml:space="preserve">0.07 </w:t>
            </w:r>
          </w:p>
        </w:tc>
        <w:tc>
          <w:tcPr>
            <w:tcW w:w="396" w:type="pct"/>
            <w:hideMark/>
          </w:tcPr>
          <w:p w14:paraId="3B07E32D" w14:textId="0F1F57A9" w:rsidR="003E2FA0" w:rsidRPr="002B55E9" w:rsidRDefault="003E2FA0" w:rsidP="00747EDD">
            <w:pPr>
              <w:pStyle w:val="lgy-"/>
              <w:rPr>
                <w:rFonts w:eastAsia="宋体"/>
              </w:rPr>
            </w:pPr>
            <w:r w:rsidRPr="002B55E9">
              <w:rPr>
                <w:rFonts w:eastAsia="宋体"/>
              </w:rPr>
              <w:t xml:space="preserve">0.01 </w:t>
            </w:r>
          </w:p>
        </w:tc>
        <w:tc>
          <w:tcPr>
            <w:tcW w:w="498" w:type="pct"/>
            <w:hideMark/>
          </w:tcPr>
          <w:p w14:paraId="38A31448" w14:textId="0B567B8E" w:rsidR="003E2FA0" w:rsidRPr="002B55E9" w:rsidRDefault="003E2FA0" w:rsidP="00747EDD">
            <w:pPr>
              <w:pStyle w:val="lgy-"/>
              <w:rPr>
                <w:rFonts w:eastAsia="宋体"/>
              </w:rPr>
            </w:pPr>
            <w:r w:rsidRPr="002B55E9">
              <w:rPr>
                <w:rFonts w:eastAsia="宋体"/>
              </w:rPr>
              <w:t xml:space="preserve">0.002 </w:t>
            </w:r>
          </w:p>
        </w:tc>
      </w:tr>
      <w:tr w:rsidR="003E2FA0" w:rsidRPr="002B55E9" w14:paraId="7CEBD507" w14:textId="77777777" w:rsidTr="003E2FA0">
        <w:trPr>
          <w:trHeight w:val="283"/>
        </w:trPr>
        <w:tc>
          <w:tcPr>
            <w:tcW w:w="553" w:type="pct"/>
            <w:vMerge w:val="restart"/>
            <w:hideMark/>
          </w:tcPr>
          <w:p w14:paraId="7A0F5553" w14:textId="4C392D3A" w:rsidR="003E2FA0" w:rsidRPr="002B55E9" w:rsidRDefault="003E2FA0" w:rsidP="00747EDD">
            <w:pPr>
              <w:pStyle w:val="lgy-"/>
              <w:rPr>
                <w:rFonts w:eastAsia="宋体"/>
              </w:rPr>
            </w:pPr>
            <w:r w:rsidRPr="002B55E9">
              <w:rPr>
                <w:rFonts w:eastAsia="宋体" w:hint="eastAsia"/>
              </w:rPr>
              <w:t>海天调味品公司废水</w:t>
            </w:r>
          </w:p>
        </w:tc>
        <w:tc>
          <w:tcPr>
            <w:tcW w:w="332" w:type="pct"/>
            <w:vMerge w:val="restart"/>
          </w:tcPr>
          <w:p w14:paraId="394939FA" w14:textId="662D1446" w:rsidR="003E2FA0" w:rsidRPr="002B55E9" w:rsidRDefault="003E2FA0" w:rsidP="00747EDD">
            <w:pPr>
              <w:pStyle w:val="lgy-"/>
              <w:rPr>
                <w:rFonts w:eastAsia="宋体"/>
              </w:rPr>
            </w:pPr>
            <w:r w:rsidRPr="002B55E9">
              <w:rPr>
                <w:rFonts w:eastAsia="宋体" w:hint="eastAsia"/>
              </w:rPr>
              <w:t>3</w:t>
            </w:r>
            <w:r w:rsidRPr="002B55E9">
              <w:rPr>
                <w:rFonts w:eastAsia="宋体"/>
              </w:rPr>
              <w:t>85</w:t>
            </w:r>
          </w:p>
        </w:tc>
        <w:tc>
          <w:tcPr>
            <w:tcW w:w="534" w:type="pct"/>
            <w:hideMark/>
          </w:tcPr>
          <w:p w14:paraId="49420A28"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058C6E50" w14:textId="77777777" w:rsidR="003E2FA0" w:rsidRPr="002B55E9" w:rsidRDefault="003E2FA0" w:rsidP="00747EDD">
            <w:pPr>
              <w:pStyle w:val="lgy-"/>
              <w:rPr>
                <w:rFonts w:eastAsia="宋体"/>
                <w:szCs w:val="22"/>
              </w:rPr>
            </w:pPr>
            <w:r w:rsidRPr="002B55E9">
              <w:rPr>
                <w:rFonts w:eastAsia="宋体" w:hint="eastAsia"/>
                <w:szCs w:val="22"/>
              </w:rPr>
              <w:t>6~9</w:t>
            </w:r>
          </w:p>
        </w:tc>
        <w:tc>
          <w:tcPr>
            <w:tcW w:w="429" w:type="pct"/>
            <w:noWrap/>
            <w:hideMark/>
          </w:tcPr>
          <w:p w14:paraId="77709501" w14:textId="77777777" w:rsidR="003E2FA0" w:rsidRPr="002B55E9" w:rsidRDefault="003E2FA0" w:rsidP="00747EDD">
            <w:pPr>
              <w:pStyle w:val="lgy-"/>
              <w:rPr>
                <w:rFonts w:eastAsia="宋体"/>
                <w:szCs w:val="22"/>
              </w:rPr>
            </w:pPr>
            <w:r w:rsidRPr="002B55E9">
              <w:rPr>
                <w:rFonts w:eastAsia="宋体" w:hint="eastAsia"/>
                <w:szCs w:val="22"/>
              </w:rPr>
              <w:t>800</w:t>
            </w:r>
          </w:p>
        </w:tc>
        <w:tc>
          <w:tcPr>
            <w:tcW w:w="395" w:type="pct"/>
            <w:hideMark/>
          </w:tcPr>
          <w:p w14:paraId="35112C11" w14:textId="400079A8" w:rsidR="003E2FA0" w:rsidRPr="002B55E9" w:rsidRDefault="003E2FA0" w:rsidP="00747EDD">
            <w:pPr>
              <w:pStyle w:val="lgy-"/>
              <w:rPr>
                <w:rFonts w:eastAsia="宋体"/>
              </w:rPr>
            </w:pPr>
            <w:r w:rsidRPr="002B55E9">
              <w:rPr>
                <w:rFonts w:eastAsia="宋体"/>
              </w:rPr>
              <w:t xml:space="preserve">3250.00 </w:t>
            </w:r>
          </w:p>
        </w:tc>
        <w:tc>
          <w:tcPr>
            <w:tcW w:w="368" w:type="pct"/>
            <w:hideMark/>
          </w:tcPr>
          <w:p w14:paraId="6ED466CF" w14:textId="7B1288A6" w:rsidR="003E2FA0" w:rsidRPr="002B55E9" w:rsidRDefault="003E2FA0" w:rsidP="00747EDD">
            <w:pPr>
              <w:pStyle w:val="lgy-"/>
              <w:rPr>
                <w:rFonts w:eastAsia="宋体"/>
              </w:rPr>
            </w:pPr>
            <w:r w:rsidRPr="002B55E9">
              <w:rPr>
                <w:rFonts w:eastAsia="宋体"/>
              </w:rPr>
              <w:t xml:space="preserve">616.00 </w:t>
            </w:r>
          </w:p>
        </w:tc>
        <w:tc>
          <w:tcPr>
            <w:tcW w:w="368" w:type="pct"/>
            <w:hideMark/>
          </w:tcPr>
          <w:p w14:paraId="6578FCD9" w14:textId="5F67F15A" w:rsidR="003E2FA0" w:rsidRPr="002B55E9" w:rsidRDefault="003E2FA0" w:rsidP="00747EDD">
            <w:pPr>
              <w:pStyle w:val="lgy-"/>
              <w:rPr>
                <w:rFonts w:eastAsia="宋体"/>
              </w:rPr>
            </w:pPr>
            <w:r w:rsidRPr="002B55E9">
              <w:rPr>
                <w:rFonts w:eastAsia="宋体"/>
              </w:rPr>
              <w:t xml:space="preserve">1500.00 </w:t>
            </w:r>
          </w:p>
        </w:tc>
        <w:tc>
          <w:tcPr>
            <w:tcW w:w="368" w:type="pct"/>
            <w:hideMark/>
          </w:tcPr>
          <w:p w14:paraId="6D88EF2A" w14:textId="51EE65B5" w:rsidR="003E2FA0" w:rsidRPr="002B55E9" w:rsidRDefault="003E2FA0" w:rsidP="00747EDD">
            <w:pPr>
              <w:pStyle w:val="lgy-"/>
              <w:rPr>
                <w:rFonts w:eastAsia="宋体"/>
              </w:rPr>
            </w:pPr>
            <w:r w:rsidRPr="002B55E9">
              <w:rPr>
                <w:rFonts w:eastAsia="宋体"/>
              </w:rPr>
              <w:t xml:space="preserve">100.00 </w:t>
            </w:r>
          </w:p>
        </w:tc>
        <w:tc>
          <w:tcPr>
            <w:tcW w:w="462" w:type="pct"/>
            <w:hideMark/>
          </w:tcPr>
          <w:p w14:paraId="394C1266" w14:textId="17C7B61C" w:rsidR="003E2FA0" w:rsidRPr="002B55E9" w:rsidRDefault="003E2FA0" w:rsidP="00747EDD">
            <w:pPr>
              <w:pStyle w:val="lgy-"/>
              <w:rPr>
                <w:rFonts w:eastAsia="宋体"/>
              </w:rPr>
            </w:pPr>
            <w:r w:rsidRPr="002B55E9">
              <w:rPr>
                <w:rFonts w:eastAsia="宋体"/>
              </w:rPr>
              <w:t xml:space="preserve">150.00 </w:t>
            </w:r>
          </w:p>
        </w:tc>
        <w:tc>
          <w:tcPr>
            <w:tcW w:w="396" w:type="pct"/>
            <w:hideMark/>
          </w:tcPr>
          <w:p w14:paraId="366A9B83" w14:textId="5986E812" w:rsidR="003E2FA0" w:rsidRPr="002B55E9" w:rsidRDefault="003E2FA0" w:rsidP="00747EDD">
            <w:pPr>
              <w:pStyle w:val="lgy-"/>
              <w:rPr>
                <w:rFonts w:eastAsia="宋体"/>
              </w:rPr>
            </w:pPr>
            <w:r w:rsidRPr="002B55E9">
              <w:rPr>
                <w:rFonts w:eastAsia="宋体"/>
              </w:rPr>
              <w:t xml:space="preserve">40.00 </w:t>
            </w:r>
          </w:p>
        </w:tc>
        <w:tc>
          <w:tcPr>
            <w:tcW w:w="498" w:type="pct"/>
            <w:hideMark/>
          </w:tcPr>
          <w:p w14:paraId="32DCBCDE" w14:textId="3C192F43" w:rsidR="003E2FA0" w:rsidRPr="002B55E9" w:rsidRDefault="003E2FA0" w:rsidP="00747EDD">
            <w:pPr>
              <w:pStyle w:val="lgy-"/>
              <w:rPr>
                <w:rFonts w:eastAsia="宋体"/>
              </w:rPr>
            </w:pPr>
            <w:r w:rsidRPr="002B55E9">
              <w:rPr>
                <w:rFonts w:eastAsia="宋体"/>
              </w:rPr>
              <w:t xml:space="preserve">100.00 </w:t>
            </w:r>
          </w:p>
        </w:tc>
      </w:tr>
      <w:tr w:rsidR="003E2FA0" w:rsidRPr="002B55E9" w14:paraId="2E76AE62" w14:textId="77777777" w:rsidTr="003E2FA0">
        <w:trPr>
          <w:trHeight w:val="283"/>
        </w:trPr>
        <w:tc>
          <w:tcPr>
            <w:tcW w:w="553" w:type="pct"/>
            <w:vMerge/>
            <w:hideMark/>
          </w:tcPr>
          <w:p w14:paraId="7E586B0B" w14:textId="77777777" w:rsidR="003E2FA0" w:rsidRPr="002B55E9" w:rsidRDefault="003E2FA0" w:rsidP="00747EDD">
            <w:pPr>
              <w:pStyle w:val="lgy-"/>
              <w:rPr>
                <w:rFonts w:eastAsia="宋体"/>
              </w:rPr>
            </w:pPr>
          </w:p>
        </w:tc>
        <w:tc>
          <w:tcPr>
            <w:tcW w:w="332" w:type="pct"/>
            <w:vMerge/>
          </w:tcPr>
          <w:p w14:paraId="210F8ECB" w14:textId="77777777" w:rsidR="003E2FA0" w:rsidRPr="002B55E9" w:rsidRDefault="003E2FA0" w:rsidP="00747EDD">
            <w:pPr>
              <w:pStyle w:val="lgy-"/>
              <w:rPr>
                <w:rFonts w:eastAsia="宋体"/>
              </w:rPr>
            </w:pPr>
          </w:p>
        </w:tc>
        <w:tc>
          <w:tcPr>
            <w:tcW w:w="534" w:type="pct"/>
            <w:hideMark/>
          </w:tcPr>
          <w:p w14:paraId="6CE5B6B8" w14:textId="77777777" w:rsidR="003E2FA0" w:rsidRPr="002B55E9" w:rsidRDefault="003E2FA0" w:rsidP="00747EDD">
            <w:pPr>
              <w:pStyle w:val="lgy-"/>
              <w:rPr>
                <w:rFonts w:eastAsia="宋体"/>
              </w:rPr>
            </w:pPr>
            <w:r w:rsidRPr="002B55E9">
              <w:rPr>
                <w:rFonts w:eastAsia="宋体" w:hint="eastAsia"/>
              </w:rPr>
              <w:t>产生量</w:t>
            </w:r>
            <w:r w:rsidRPr="002B55E9">
              <w:rPr>
                <w:rFonts w:eastAsia="宋体" w:hint="eastAsia"/>
              </w:rPr>
              <w:t>t/a</w:t>
            </w:r>
          </w:p>
        </w:tc>
        <w:tc>
          <w:tcPr>
            <w:tcW w:w="297" w:type="pct"/>
            <w:noWrap/>
            <w:hideMark/>
          </w:tcPr>
          <w:p w14:paraId="439F9ACB" w14:textId="77777777" w:rsidR="003E2FA0" w:rsidRPr="002B55E9" w:rsidRDefault="003E2FA0" w:rsidP="00747EDD">
            <w:pPr>
              <w:pStyle w:val="lgy-"/>
              <w:rPr>
                <w:rFonts w:eastAsia="宋体"/>
                <w:szCs w:val="22"/>
              </w:rPr>
            </w:pPr>
            <w:r w:rsidRPr="002B55E9">
              <w:rPr>
                <w:rFonts w:eastAsia="宋体" w:hint="eastAsia"/>
                <w:szCs w:val="22"/>
              </w:rPr>
              <w:t>/</w:t>
            </w:r>
          </w:p>
        </w:tc>
        <w:tc>
          <w:tcPr>
            <w:tcW w:w="429" w:type="pct"/>
            <w:noWrap/>
            <w:hideMark/>
          </w:tcPr>
          <w:p w14:paraId="5D023197"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hideMark/>
          </w:tcPr>
          <w:p w14:paraId="38355183" w14:textId="7BC86E7B" w:rsidR="003E2FA0" w:rsidRPr="002B55E9" w:rsidRDefault="003E2FA0" w:rsidP="00747EDD">
            <w:pPr>
              <w:pStyle w:val="lgy-"/>
              <w:rPr>
                <w:rFonts w:eastAsia="宋体"/>
              </w:rPr>
            </w:pPr>
            <w:r w:rsidRPr="002B55E9">
              <w:rPr>
                <w:rFonts w:eastAsia="宋体"/>
              </w:rPr>
              <w:t xml:space="preserve">1.25 </w:t>
            </w:r>
          </w:p>
        </w:tc>
        <w:tc>
          <w:tcPr>
            <w:tcW w:w="368" w:type="pct"/>
            <w:hideMark/>
          </w:tcPr>
          <w:p w14:paraId="7084D864" w14:textId="5C094435" w:rsidR="003E2FA0" w:rsidRPr="002B55E9" w:rsidRDefault="003E2FA0" w:rsidP="00747EDD">
            <w:pPr>
              <w:pStyle w:val="lgy-"/>
              <w:rPr>
                <w:rFonts w:eastAsia="宋体"/>
              </w:rPr>
            </w:pPr>
            <w:r w:rsidRPr="002B55E9">
              <w:rPr>
                <w:rFonts w:eastAsia="宋体"/>
              </w:rPr>
              <w:t xml:space="preserve">0.24 </w:t>
            </w:r>
          </w:p>
        </w:tc>
        <w:tc>
          <w:tcPr>
            <w:tcW w:w="368" w:type="pct"/>
            <w:hideMark/>
          </w:tcPr>
          <w:p w14:paraId="336E714F" w14:textId="5FF81958" w:rsidR="003E2FA0" w:rsidRPr="002B55E9" w:rsidRDefault="003E2FA0" w:rsidP="00747EDD">
            <w:pPr>
              <w:pStyle w:val="lgy-"/>
              <w:rPr>
                <w:rFonts w:eastAsia="宋体"/>
              </w:rPr>
            </w:pPr>
            <w:r w:rsidRPr="002B55E9">
              <w:rPr>
                <w:rFonts w:eastAsia="宋体"/>
              </w:rPr>
              <w:t xml:space="preserve">0.58 </w:t>
            </w:r>
          </w:p>
        </w:tc>
        <w:tc>
          <w:tcPr>
            <w:tcW w:w="368" w:type="pct"/>
            <w:hideMark/>
          </w:tcPr>
          <w:p w14:paraId="2EFDBCA4" w14:textId="7E29067F" w:rsidR="003E2FA0" w:rsidRPr="002B55E9" w:rsidRDefault="003E2FA0" w:rsidP="00747EDD">
            <w:pPr>
              <w:pStyle w:val="lgy-"/>
              <w:rPr>
                <w:rFonts w:eastAsia="宋体"/>
              </w:rPr>
            </w:pPr>
            <w:r w:rsidRPr="002B55E9">
              <w:rPr>
                <w:rFonts w:eastAsia="宋体"/>
              </w:rPr>
              <w:t xml:space="preserve">0.04 </w:t>
            </w:r>
          </w:p>
        </w:tc>
        <w:tc>
          <w:tcPr>
            <w:tcW w:w="462" w:type="pct"/>
            <w:hideMark/>
          </w:tcPr>
          <w:p w14:paraId="573AAA5B" w14:textId="0523C0E0" w:rsidR="003E2FA0" w:rsidRPr="002B55E9" w:rsidRDefault="003E2FA0" w:rsidP="00747EDD">
            <w:pPr>
              <w:pStyle w:val="lgy-"/>
              <w:rPr>
                <w:rFonts w:eastAsia="宋体"/>
              </w:rPr>
            </w:pPr>
            <w:r w:rsidRPr="002B55E9">
              <w:rPr>
                <w:rFonts w:eastAsia="宋体"/>
              </w:rPr>
              <w:t xml:space="preserve">0.06 </w:t>
            </w:r>
          </w:p>
        </w:tc>
        <w:tc>
          <w:tcPr>
            <w:tcW w:w="396" w:type="pct"/>
            <w:hideMark/>
          </w:tcPr>
          <w:p w14:paraId="00A6498B" w14:textId="078F893E" w:rsidR="003E2FA0" w:rsidRPr="002B55E9" w:rsidRDefault="003E2FA0" w:rsidP="00747EDD">
            <w:pPr>
              <w:pStyle w:val="lgy-"/>
              <w:rPr>
                <w:rFonts w:eastAsia="宋体"/>
              </w:rPr>
            </w:pPr>
            <w:r w:rsidRPr="002B55E9">
              <w:rPr>
                <w:rFonts w:eastAsia="宋体"/>
              </w:rPr>
              <w:t xml:space="preserve">0.02 </w:t>
            </w:r>
          </w:p>
        </w:tc>
        <w:tc>
          <w:tcPr>
            <w:tcW w:w="498" w:type="pct"/>
            <w:hideMark/>
          </w:tcPr>
          <w:p w14:paraId="065FFCDE" w14:textId="52931FD2" w:rsidR="003E2FA0" w:rsidRPr="002B55E9" w:rsidRDefault="003E2FA0" w:rsidP="00747EDD">
            <w:pPr>
              <w:pStyle w:val="lgy-"/>
              <w:rPr>
                <w:rFonts w:eastAsia="宋体"/>
              </w:rPr>
            </w:pPr>
            <w:r w:rsidRPr="002B55E9">
              <w:rPr>
                <w:rFonts w:eastAsia="宋体"/>
              </w:rPr>
              <w:t xml:space="preserve">0.04 </w:t>
            </w:r>
          </w:p>
        </w:tc>
      </w:tr>
      <w:tr w:rsidR="003E2FA0" w:rsidRPr="002B55E9" w14:paraId="2EA95F03" w14:textId="77777777" w:rsidTr="003E2FA0">
        <w:trPr>
          <w:trHeight w:val="283"/>
        </w:trPr>
        <w:tc>
          <w:tcPr>
            <w:tcW w:w="553" w:type="pct"/>
            <w:vMerge w:val="restart"/>
            <w:hideMark/>
          </w:tcPr>
          <w:p w14:paraId="1A0CB704" w14:textId="77777777" w:rsidR="003E2FA0" w:rsidRPr="002B55E9" w:rsidRDefault="003E2FA0" w:rsidP="00747EDD">
            <w:pPr>
              <w:pStyle w:val="lgy-"/>
              <w:rPr>
                <w:rFonts w:eastAsia="宋体"/>
                <w:szCs w:val="22"/>
              </w:rPr>
            </w:pPr>
            <w:r w:rsidRPr="002B55E9">
              <w:rPr>
                <w:rFonts w:eastAsia="宋体" w:hint="eastAsia"/>
                <w:szCs w:val="22"/>
              </w:rPr>
              <w:t>海天调味品公司污水处理站</w:t>
            </w:r>
          </w:p>
        </w:tc>
        <w:tc>
          <w:tcPr>
            <w:tcW w:w="332" w:type="pct"/>
            <w:vMerge w:val="restart"/>
            <w:noWrap/>
          </w:tcPr>
          <w:p w14:paraId="74D5C245" w14:textId="1BF38FC2" w:rsidR="003E2FA0" w:rsidRPr="002B55E9" w:rsidRDefault="003E2FA0" w:rsidP="00747EDD">
            <w:pPr>
              <w:pStyle w:val="lgy-"/>
              <w:rPr>
                <w:rFonts w:eastAsia="宋体"/>
                <w:szCs w:val="22"/>
              </w:rPr>
            </w:pPr>
            <w:r w:rsidRPr="002B55E9">
              <w:rPr>
                <w:rFonts w:eastAsia="宋体" w:hint="eastAsia"/>
                <w:szCs w:val="22"/>
              </w:rPr>
              <w:t>9</w:t>
            </w:r>
            <w:r w:rsidRPr="002B55E9">
              <w:rPr>
                <w:rFonts w:eastAsia="宋体"/>
                <w:szCs w:val="22"/>
              </w:rPr>
              <w:t>08</w:t>
            </w:r>
          </w:p>
        </w:tc>
        <w:tc>
          <w:tcPr>
            <w:tcW w:w="534" w:type="pct"/>
            <w:hideMark/>
          </w:tcPr>
          <w:p w14:paraId="478AC0E6"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3117021C" w14:textId="77777777" w:rsidR="003E2FA0" w:rsidRPr="002B55E9" w:rsidRDefault="003E2FA0" w:rsidP="00747EDD">
            <w:pPr>
              <w:pStyle w:val="lgy-"/>
              <w:rPr>
                <w:rFonts w:eastAsia="宋体"/>
                <w:szCs w:val="22"/>
              </w:rPr>
            </w:pPr>
            <w:r w:rsidRPr="002B55E9">
              <w:rPr>
                <w:rFonts w:eastAsia="宋体" w:hint="eastAsia"/>
                <w:szCs w:val="22"/>
              </w:rPr>
              <w:t>6~9</w:t>
            </w:r>
          </w:p>
        </w:tc>
        <w:tc>
          <w:tcPr>
            <w:tcW w:w="429" w:type="pct"/>
            <w:noWrap/>
            <w:hideMark/>
          </w:tcPr>
          <w:p w14:paraId="5AB8BBBF" w14:textId="77777777" w:rsidR="003E2FA0" w:rsidRPr="002B55E9" w:rsidRDefault="003E2FA0" w:rsidP="00747EDD">
            <w:pPr>
              <w:pStyle w:val="lgy-"/>
              <w:rPr>
                <w:rFonts w:eastAsia="宋体"/>
                <w:szCs w:val="22"/>
              </w:rPr>
            </w:pPr>
            <w:r w:rsidRPr="002B55E9">
              <w:rPr>
                <w:rFonts w:eastAsia="宋体" w:hint="eastAsia"/>
                <w:szCs w:val="22"/>
              </w:rPr>
              <w:t>0</w:t>
            </w:r>
          </w:p>
        </w:tc>
        <w:tc>
          <w:tcPr>
            <w:tcW w:w="395" w:type="pct"/>
            <w:noWrap/>
            <w:hideMark/>
          </w:tcPr>
          <w:p w14:paraId="7C07647A" w14:textId="251693A0" w:rsidR="003E2FA0" w:rsidRPr="002B55E9" w:rsidRDefault="003E2FA0" w:rsidP="00747EDD">
            <w:pPr>
              <w:pStyle w:val="lgy-"/>
              <w:rPr>
                <w:rFonts w:eastAsia="宋体"/>
                <w:szCs w:val="22"/>
              </w:rPr>
            </w:pPr>
            <w:r w:rsidRPr="002B55E9">
              <w:rPr>
                <w:rFonts w:eastAsia="宋体" w:hint="eastAsia"/>
                <w:szCs w:val="22"/>
              </w:rPr>
              <w:t xml:space="preserve">2906.82 </w:t>
            </w:r>
          </w:p>
        </w:tc>
        <w:tc>
          <w:tcPr>
            <w:tcW w:w="368" w:type="pct"/>
            <w:noWrap/>
            <w:hideMark/>
          </w:tcPr>
          <w:p w14:paraId="42A69135" w14:textId="6153935F" w:rsidR="003E2FA0" w:rsidRPr="002B55E9" w:rsidRDefault="003E2FA0" w:rsidP="00747EDD">
            <w:pPr>
              <w:pStyle w:val="lgy-"/>
              <w:rPr>
                <w:rFonts w:eastAsia="宋体"/>
                <w:szCs w:val="22"/>
              </w:rPr>
            </w:pPr>
            <w:r w:rsidRPr="002B55E9">
              <w:rPr>
                <w:rFonts w:eastAsia="宋体" w:hint="eastAsia"/>
                <w:szCs w:val="22"/>
              </w:rPr>
              <w:t xml:space="preserve">920.80 </w:t>
            </w:r>
          </w:p>
        </w:tc>
        <w:tc>
          <w:tcPr>
            <w:tcW w:w="368" w:type="pct"/>
            <w:noWrap/>
            <w:hideMark/>
          </w:tcPr>
          <w:p w14:paraId="0B1D85E2" w14:textId="4751953A" w:rsidR="003E2FA0" w:rsidRPr="002B55E9" w:rsidRDefault="003E2FA0" w:rsidP="00747EDD">
            <w:pPr>
              <w:pStyle w:val="lgy-"/>
              <w:rPr>
                <w:rFonts w:eastAsia="宋体"/>
                <w:szCs w:val="22"/>
              </w:rPr>
            </w:pPr>
            <w:r w:rsidRPr="002B55E9">
              <w:rPr>
                <w:rFonts w:eastAsia="宋体" w:hint="eastAsia"/>
                <w:szCs w:val="22"/>
              </w:rPr>
              <w:t xml:space="preserve">1258.97 </w:t>
            </w:r>
          </w:p>
        </w:tc>
        <w:tc>
          <w:tcPr>
            <w:tcW w:w="368" w:type="pct"/>
            <w:noWrap/>
            <w:hideMark/>
          </w:tcPr>
          <w:p w14:paraId="06A5EA99" w14:textId="076BB3E4" w:rsidR="003E2FA0" w:rsidRPr="002B55E9" w:rsidRDefault="003E2FA0" w:rsidP="00747EDD">
            <w:pPr>
              <w:pStyle w:val="lgy-"/>
              <w:rPr>
                <w:rFonts w:eastAsia="宋体"/>
                <w:szCs w:val="22"/>
              </w:rPr>
            </w:pPr>
            <w:r w:rsidRPr="002B55E9">
              <w:rPr>
                <w:rFonts w:eastAsia="宋体" w:hint="eastAsia"/>
                <w:szCs w:val="22"/>
              </w:rPr>
              <w:t xml:space="preserve">67.78 </w:t>
            </w:r>
          </w:p>
        </w:tc>
        <w:tc>
          <w:tcPr>
            <w:tcW w:w="462" w:type="pct"/>
            <w:noWrap/>
            <w:hideMark/>
          </w:tcPr>
          <w:p w14:paraId="2625AB9A" w14:textId="561418A0" w:rsidR="003E2FA0" w:rsidRPr="002B55E9" w:rsidRDefault="003E2FA0" w:rsidP="00747EDD">
            <w:pPr>
              <w:pStyle w:val="lgy-"/>
              <w:rPr>
                <w:rFonts w:eastAsia="宋体"/>
                <w:szCs w:val="22"/>
              </w:rPr>
            </w:pPr>
            <w:r w:rsidRPr="002B55E9">
              <w:rPr>
                <w:rFonts w:eastAsia="宋体" w:hint="eastAsia"/>
                <w:szCs w:val="22"/>
              </w:rPr>
              <w:t xml:space="preserve">137.45 </w:t>
            </w:r>
          </w:p>
        </w:tc>
        <w:tc>
          <w:tcPr>
            <w:tcW w:w="396" w:type="pct"/>
            <w:noWrap/>
            <w:hideMark/>
          </w:tcPr>
          <w:p w14:paraId="0E34F962" w14:textId="42D08F7D" w:rsidR="003E2FA0" w:rsidRPr="002B55E9" w:rsidRDefault="003E2FA0" w:rsidP="00747EDD">
            <w:pPr>
              <w:pStyle w:val="lgy-"/>
              <w:rPr>
                <w:rFonts w:eastAsia="宋体"/>
                <w:szCs w:val="22"/>
              </w:rPr>
            </w:pPr>
            <w:r w:rsidRPr="002B55E9">
              <w:rPr>
                <w:rFonts w:eastAsia="宋体" w:hint="eastAsia"/>
                <w:szCs w:val="22"/>
              </w:rPr>
              <w:t xml:space="preserve">31.43 </w:t>
            </w:r>
          </w:p>
        </w:tc>
        <w:tc>
          <w:tcPr>
            <w:tcW w:w="498" w:type="pct"/>
            <w:noWrap/>
            <w:hideMark/>
          </w:tcPr>
          <w:p w14:paraId="214FCE30" w14:textId="4576D721" w:rsidR="003E2FA0" w:rsidRPr="002B55E9" w:rsidRDefault="003E2FA0" w:rsidP="00747EDD">
            <w:pPr>
              <w:pStyle w:val="lgy-"/>
              <w:rPr>
                <w:rFonts w:eastAsia="宋体"/>
                <w:szCs w:val="22"/>
              </w:rPr>
            </w:pPr>
            <w:r w:rsidRPr="002B55E9">
              <w:rPr>
                <w:rFonts w:eastAsia="宋体" w:hint="eastAsia"/>
                <w:szCs w:val="22"/>
              </w:rPr>
              <w:t xml:space="preserve">44.31 </w:t>
            </w:r>
          </w:p>
        </w:tc>
      </w:tr>
      <w:tr w:rsidR="003E2FA0" w:rsidRPr="002B55E9" w14:paraId="77DD28EA" w14:textId="77777777" w:rsidTr="003E2FA0">
        <w:trPr>
          <w:trHeight w:val="283"/>
        </w:trPr>
        <w:tc>
          <w:tcPr>
            <w:tcW w:w="553" w:type="pct"/>
            <w:vMerge/>
            <w:hideMark/>
          </w:tcPr>
          <w:p w14:paraId="32AEB93A" w14:textId="77777777" w:rsidR="003E2FA0" w:rsidRPr="002B55E9" w:rsidRDefault="003E2FA0" w:rsidP="00747EDD">
            <w:pPr>
              <w:pStyle w:val="lgy-"/>
              <w:rPr>
                <w:rFonts w:eastAsia="宋体"/>
                <w:szCs w:val="22"/>
              </w:rPr>
            </w:pPr>
          </w:p>
        </w:tc>
        <w:tc>
          <w:tcPr>
            <w:tcW w:w="332" w:type="pct"/>
            <w:vMerge/>
          </w:tcPr>
          <w:p w14:paraId="7404B651" w14:textId="77777777" w:rsidR="003E2FA0" w:rsidRPr="002B55E9" w:rsidRDefault="003E2FA0" w:rsidP="00747EDD">
            <w:pPr>
              <w:pStyle w:val="lgy-"/>
              <w:rPr>
                <w:rFonts w:eastAsia="宋体"/>
                <w:szCs w:val="22"/>
              </w:rPr>
            </w:pPr>
          </w:p>
        </w:tc>
        <w:tc>
          <w:tcPr>
            <w:tcW w:w="534" w:type="pct"/>
            <w:hideMark/>
          </w:tcPr>
          <w:p w14:paraId="73D32FDE" w14:textId="77777777" w:rsidR="003E2FA0" w:rsidRPr="002B55E9" w:rsidRDefault="003E2FA0" w:rsidP="00747EDD">
            <w:pPr>
              <w:pStyle w:val="lgy-"/>
              <w:rPr>
                <w:rFonts w:eastAsia="宋体"/>
              </w:rPr>
            </w:pPr>
            <w:r w:rsidRPr="002B55E9">
              <w:rPr>
                <w:rFonts w:eastAsia="宋体" w:hint="eastAsia"/>
              </w:rPr>
              <w:t>产生量</w:t>
            </w:r>
            <w:r w:rsidRPr="002B55E9">
              <w:rPr>
                <w:rFonts w:eastAsia="宋体" w:hint="eastAsia"/>
              </w:rPr>
              <w:t>t/a</w:t>
            </w:r>
          </w:p>
        </w:tc>
        <w:tc>
          <w:tcPr>
            <w:tcW w:w="297" w:type="pct"/>
            <w:noWrap/>
            <w:hideMark/>
          </w:tcPr>
          <w:p w14:paraId="07E04DF7" w14:textId="77777777" w:rsidR="003E2FA0" w:rsidRPr="002B55E9" w:rsidRDefault="003E2FA0" w:rsidP="00747EDD">
            <w:pPr>
              <w:pStyle w:val="lgy-"/>
              <w:rPr>
                <w:rFonts w:eastAsia="宋体"/>
                <w:szCs w:val="22"/>
              </w:rPr>
            </w:pPr>
            <w:r w:rsidRPr="002B55E9">
              <w:rPr>
                <w:rFonts w:eastAsia="宋体" w:hint="eastAsia"/>
                <w:szCs w:val="22"/>
              </w:rPr>
              <w:t>/</w:t>
            </w:r>
          </w:p>
        </w:tc>
        <w:tc>
          <w:tcPr>
            <w:tcW w:w="429" w:type="pct"/>
            <w:noWrap/>
            <w:hideMark/>
          </w:tcPr>
          <w:p w14:paraId="431BA903"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hideMark/>
          </w:tcPr>
          <w:p w14:paraId="172FBF58" w14:textId="0F158CC0" w:rsidR="003E2FA0" w:rsidRPr="002B55E9" w:rsidRDefault="003E2FA0" w:rsidP="00747EDD">
            <w:pPr>
              <w:pStyle w:val="lgy-"/>
              <w:rPr>
                <w:rFonts w:eastAsia="宋体"/>
              </w:rPr>
            </w:pPr>
            <w:r w:rsidRPr="002B55E9">
              <w:rPr>
                <w:rFonts w:eastAsia="宋体"/>
              </w:rPr>
              <w:t xml:space="preserve">2.64 </w:t>
            </w:r>
          </w:p>
        </w:tc>
        <w:tc>
          <w:tcPr>
            <w:tcW w:w="368" w:type="pct"/>
            <w:hideMark/>
          </w:tcPr>
          <w:p w14:paraId="1DCC51FC" w14:textId="5477AE59" w:rsidR="003E2FA0" w:rsidRPr="002B55E9" w:rsidRDefault="003E2FA0" w:rsidP="00747EDD">
            <w:pPr>
              <w:pStyle w:val="lgy-"/>
              <w:rPr>
                <w:rFonts w:eastAsia="宋体"/>
              </w:rPr>
            </w:pPr>
            <w:r w:rsidRPr="002B55E9">
              <w:rPr>
                <w:rFonts w:eastAsia="宋体"/>
              </w:rPr>
              <w:t xml:space="preserve">0.84 </w:t>
            </w:r>
          </w:p>
        </w:tc>
        <w:tc>
          <w:tcPr>
            <w:tcW w:w="368" w:type="pct"/>
            <w:hideMark/>
          </w:tcPr>
          <w:p w14:paraId="4272012B" w14:textId="54F9851B" w:rsidR="003E2FA0" w:rsidRPr="002B55E9" w:rsidRDefault="003E2FA0" w:rsidP="00747EDD">
            <w:pPr>
              <w:pStyle w:val="lgy-"/>
              <w:rPr>
                <w:rFonts w:eastAsia="宋体"/>
              </w:rPr>
            </w:pPr>
            <w:r w:rsidRPr="002B55E9">
              <w:rPr>
                <w:rFonts w:eastAsia="宋体"/>
              </w:rPr>
              <w:t xml:space="preserve">1.14 </w:t>
            </w:r>
          </w:p>
        </w:tc>
        <w:tc>
          <w:tcPr>
            <w:tcW w:w="368" w:type="pct"/>
            <w:hideMark/>
          </w:tcPr>
          <w:p w14:paraId="2AA3B98C" w14:textId="1D4D0560" w:rsidR="003E2FA0" w:rsidRPr="002B55E9" w:rsidRDefault="003E2FA0" w:rsidP="00747EDD">
            <w:pPr>
              <w:pStyle w:val="lgy-"/>
              <w:rPr>
                <w:rFonts w:eastAsia="宋体"/>
              </w:rPr>
            </w:pPr>
            <w:r w:rsidRPr="002B55E9">
              <w:rPr>
                <w:rFonts w:eastAsia="宋体"/>
              </w:rPr>
              <w:t xml:space="preserve">0.06 </w:t>
            </w:r>
          </w:p>
        </w:tc>
        <w:tc>
          <w:tcPr>
            <w:tcW w:w="462" w:type="pct"/>
            <w:hideMark/>
          </w:tcPr>
          <w:p w14:paraId="6611EB0D" w14:textId="1367AD79" w:rsidR="003E2FA0" w:rsidRPr="002B55E9" w:rsidRDefault="003E2FA0" w:rsidP="00747EDD">
            <w:pPr>
              <w:pStyle w:val="lgy-"/>
              <w:rPr>
                <w:rFonts w:eastAsia="宋体"/>
              </w:rPr>
            </w:pPr>
            <w:r w:rsidRPr="002B55E9">
              <w:rPr>
                <w:rFonts w:eastAsia="宋体"/>
              </w:rPr>
              <w:t xml:space="preserve">0.12 </w:t>
            </w:r>
          </w:p>
        </w:tc>
        <w:tc>
          <w:tcPr>
            <w:tcW w:w="396" w:type="pct"/>
            <w:hideMark/>
          </w:tcPr>
          <w:p w14:paraId="58733E98" w14:textId="63A9E303" w:rsidR="003E2FA0" w:rsidRPr="002B55E9" w:rsidRDefault="003E2FA0" w:rsidP="00747EDD">
            <w:pPr>
              <w:pStyle w:val="lgy-"/>
              <w:rPr>
                <w:rFonts w:eastAsia="宋体"/>
              </w:rPr>
            </w:pPr>
            <w:r w:rsidRPr="002B55E9">
              <w:rPr>
                <w:rFonts w:eastAsia="宋体"/>
              </w:rPr>
              <w:t xml:space="preserve">0.03 </w:t>
            </w:r>
          </w:p>
        </w:tc>
        <w:tc>
          <w:tcPr>
            <w:tcW w:w="498" w:type="pct"/>
            <w:hideMark/>
          </w:tcPr>
          <w:p w14:paraId="58352422" w14:textId="735B46B7" w:rsidR="003E2FA0" w:rsidRPr="002B55E9" w:rsidRDefault="003E2FA0" w:rsidP="00747EDD">
            <w:pPr>
              <w:pStyle w:val="lgy-"/>
              <w:rPr>
                <w:rFonts w:eastAsia="宋体"/>
              </w:rPr>
            </w:pPr>
            <w:r w:rsidRPr="002B55E9">
              <w:rPr>
                <w:rFonts w:eastAsia="宋体"/>
              </w:rPr>
              <w:t xml:space="preserve">0.04 </w:t>
            </w:r>
          </w:p>
        </w:tc>
      </w:tr>
      <w:tr w:rsidR="003E2FA0" w:rsidRPr="002B55E9" w14:paraId="13003A5F" w14:textId="77777777" w:rsidTr="003E2FA0">
        <w:trPr>
          <w:trHeight w:val="283"/>
        </w:trPr>
        <w:tc>
          <w:tcPr>
            <w:tcW w:w="553" w:type="pct"/>
            <w:vMerge/>
            <w:hideMark/>
          </w:tcPr>
          <w:p w14:paraId="7A777EFB" w14:textId="77777777" w:rsidR="003E2FA0" w:rsidRPr="002B55E9" w:rsidRDefault="003E2FA0" w:rsidP="00747EDD">
            <w:pPr>
              <w:pStyle w:val="lgy-"/>
              <w:rPr>
                <w:rFonts w:eastAsia="宋体"/>
                <w:szCs w:val="22"/>
              </w:rPr>
            </w:pPr>
          </w:p>
        </w:tc>
        <w:tc>
          <w:tcPr>
            <w:tcW w:w="332" w:type="pct"/>
            <w:vMerge/>
          </w:tcPr>
          <w:p w14:paraId="554F6BA1" w14:textId="77777777" w:rsidR="003E2FA0" w:rsidRPr="002B55E9" w:rsidRDefault="003E2FA0" w:rsidP="00747EDD">
            <w:pPr>
              <w:pStyle w:val="lgy-"/>
              <w:rPr>
                <w:rFonts w:eastAsia="宋体"/>
                <w:szCs w:val="22"/>
              </w:rPr>
            </w:pPr>
          </w:p>
        </w:tc>
        <w:tc>
          <w:tcPr>
            <w:tcW w:w="534" w:type="pct"/>
            <w:hideMark/>
          </w:tcPr>
          <w:p w14:paraId="62E0D07C" w14:textId="77777777" w:rsidR="003E2FA0" w:rsidRPr="002B55E9" w:rsidRDefault="003E2FA0" w:rsidP="00747EDD">
            <w:pPr>
              <w:pStyle w:val="lgy-"/>
              <w:rPr>
                <w:rFonts w:eastAsia="宋体"/>
              </w:rPr>
            </w:pPr>
            <w:r w:rsidRPr="002B55E9">
              <w:rPr>
                <w:rFonts w:eastAsia="宋体" w:hint="eastAsia"/>
              </w:rPr>
              <w:t>处理效率</w:t>
            </w:r>
          </w:p>
        </w:tc>
        <w:tc>
          <w:tcPr>
            <w:tcW w:w="297" w:type="pct"/>
            <w:noWrap/>
            <w:hideMark/>
          </w:tcPr>
          <w:p w14:paraId="65AB0C72" w14:textId="77777777" w:rsidR="003E2FA0" w:rsidRPr="002B55E9" w:rsidRDefault="003E2FA0" w:rsidP="00747EDD">
            <w:pPr>
              <w:pStyle w:val="lgy-"/>
              <w:rPr>
                <w:rFonts w:eastAsia="宋体"/>
              </w:rPr>
            </w:pPr>
          </w:p>
        </w:tc>
        <w:tc>
          <w:tcPr>
            <w:tcW w:w="429" w:type="pct"/>
            <w:noWrap/>
            <w:hideMark/>
          </w:tcPr>
          <w:p w14:paraId="6E0964BA" w14:textId="77777777" w:rsidR="003E2FA0" w:rsidRPr="002B55E9" w:rsidRDefault="003E2FA0" w:rsidP="00747EDD">
            <w:pPr>
              <w:pStyle w:val="lgy-"/>
              <w:rPr>
                <w:rFonts w:eastAsia="宋体"/>
                <w:szCs w:val="22"/>
              </w:rPr>
            </w:pPr>
            <w:r w:rsidRPr="002B55E9">
              <w:rPr>
                <w:rFonts w:eastAsia="宋体" w:hint="eastAsia"/>
                <w:szCs w:val="22"/>
              </w:rPr>
              <w:t>92.00%</w:t>
            </w:r>
          </w:p>
        </w:tc>
        <w:tc>
          <w:tcPr>
            <w:tcW w:w="395" w:type="pct"/>
            <w:noWrap/>
            <w:hideMark/>
          </w:tcPr>
          <w:p w14:paraId="796A2250" w14:textId="2C95A140" w:rsidR="003E2FA0" w:rsidRPr="002B55E9" w:rsidRDefault="003E2FA0" w:rsidP="00747EDD">
            <w:pPr>
              <w:pStyle w:val="lgy-"/>
              <w:rPr>
                <w:rFonts w:eastAsia="宋体"/>
                <w:szCs w:val="22"/>
              </w:rPr>
            </w:pPr>
            <w:r w:rsidRPr="002B55E9">
              <w:rPr>
                <w:rFonts w:eastAsia="宋体" w:hint="eastAsia"/>
                <w:szCs w:val="22"/>
              </w:rPr>
              <w:t>95.13%</w:t>
            </w:r>
          </w:p>
        </w:tc>
        <w:tc>
          <w:tcPr>
            <w:tcW w:w="368" w:type="pct"/>
            <w:noWrap/>
            <w:hideMark/>
          </w:tcPr>
          <w:p w14:paraId="77B342E2" w14:textId="5EA661EA" w:rsidR="003E2FA0" w:rsidRPr="002B55E9" w:rsidRDefault="003E2FA0" w:rsidP="00747EDD">
            <w:pPr>
              <w:pStyle w:val="lgy-"/>
              <w:rPr>
                <w:rFonts w:eastAsia="宋体"/>
                <w:szCs w:val="22"/>
              </w:rPr>
            </w:pPr>
            <w:r w:rsidRPr="002B55E9">
              <w:rPr>
                <w:rFonts w:eastAsia="宋体" w:hint="eastAsia"/>
                <w:szCs w:val="22"/>
              </w:rPr>
              <w:t>95.57%</w:t>
            </w:r>
          </w:p>
        </w:tc>
        <w:tc>
          <w:tcPr>
            <w:tcW w:w="368" w:type="pct"/>
            <w:noWrap/>
            <w:hideMark/>
          </w:tcPr>
          <w:p w14:paraId="3319C0A1" w14:textId="20ACBDAF" w:rsidR="003E2FA0" w:rsidRPr="002B55E9" w:rsidRDefault="003E2FA0" w:rsidP="00747EDD">
            <w:pPr>
              <w:pStyle w:val="lgy-"/>
              <w:rPr>
                <w:rFonts w:eastAsia="宋体"/>
                <w:szCs w:val="22"/>
              </w:rPr>
            </w:pPr>
            <w:r w:rsidRPr="002B55E9">
              <w:rPr>
                <w:rFonts w:eastAsia="宋体" w:hint="eastAsia"/>
                <w:szCs w:val="22"/>
              </w:rPr>
              <w:t>86.60%</w:t>
            </w:r>
          </w:p>
        </w:tc>
        <w:tc>
          <w:tcPr>
            <w:tcW w:w="368" w:type="pct"/>
            <w:noWrap/>
            <w:hideMark/>
          </w:tcPr>
          <w:p w14:paraId="7DFFA2F2" w14:textId="72E05300" w:rsidR="003E2FA0" w:rsidRPr="002B55E9" w:rsidRDefault="003E2FA0" w:rsidP="00747EDD">
            <w:pPr>
              <w:pStyle w:val="lgy-"/>
              <w:rPr>
                <w:rFonts w:eastAsia="宋体"/>
                <w:szCs w:val="22"/>
              </w:rPr>
            </w:pPr>
            <w:r w:rsidRPr="002B55E9">
              <w:rPr>
                <w:rFonts w:eastAsia="宋体" w:hint="eastAsia"/>
                <w:szCs w:val="22"/>
              </w:rPr>
              <w:t>62.59%</w:t>
            </w:r>
          </w:p>
        </w:tc>
        <w:tc>
          <w:tcPr>
            <w:tcW w:w="462" w:type="pct"/>
            <w:noWrap/>
            <w:hideMark/>
          </w:tcPr>
          <w:p w14:paraId="531B2289" w14:textId="1A6399FC" w:rsidR="003E2FA0" w:rsidRPr="002B55E9" w:rsidRDefault="003E2FA0" w:rsidP="00747EDD">
            <w:pPr>
              <w:pStyle w:val="lgy-"/>
              <w:rPr>
                <w:rFonts w:eastAsia="宋体"/>
                <w:szCs w:val="22"/>
              </w:rPr>
            </w:pPr>
            <w:r w:rsidRPr="002B55E9">
              <w:rPr>
                <w:rFonts w:eastAsia="宋体" w:hint="eastAsia"/>
                <w:szCs w:val="22"/>
              </w:rPr>
              <w:t>73.66%</w:t>
            </w:r>
          </w:p>
        </w:tc>
        <w:tc>
          <w:tcPr>
            <w:tcW w:w="396" w:type="pct"/>
            <w:noWrap/>
            <w:hideMark/>
          </w:tcPr>
          <w:p w14:paraId="5308CF17" w14:textId="654884E7" w:rsidR="003E2FA0" w:rsidRPr="002B55E9" w:rsidRDefault="003E2FA0" w:rsidP="00747EDD">
            <w:pPr>
              <w:pStyle w:val="lgy-"/>
              <w:rPr>
                <w:rFonts w:eastAsia="宋体"/>
                <w:szCs w:val="22"/>
              </w:rPr>
            </w:pPr>
            <w:r w:rsidRPr="002B55E9">
              <w:rPr>
                <w:rFonts w:eastAsia="宋体" w:hint="eastAsia"/>
                <w:szCs w:val="22"/>
              </w:rPr>
              <w:t>95.12%</w:t>
            </w:r>
          </w:p>
        </w:tc>
        <w:tc>
          <w:tcPr>
            <w:tcW w:w="498" w:type="pct"/>
            <w:noWrap/>
            <w:hideMark/>
          </w:tcPr>
          <w:p w14:paraId="13FD7FB9" w14:textId="182FC132" w:rsidR="003E2FA0" w:rsidRPr="002B55E9" w:rsidRDefault="003E2FA0" w:rsidP="00747EDD">
            <w:pPr>
              <w:pStyle w:val="lgy-"/>
              <w:rPr>
                <w:rFonts w:eastAsia="宋体"/>
                <w:szCs w:val="22"/>
              </w:rPr>
            </w:pPr>
            <w:r w:rsidRPr="002B55E9">
              <w:rPr>
                <w:rFonts w:eastAsia="宋体" w:hint="eastAsia"/>
                <w:szCs w:val="22"/>
              </w:rPr>
              <w:t>60.00%</w:t>
            </w:r>
          </w:p>
        </w:tc>
      </w:tr>
      <w:tr w:rsidR="003E2FA0" w:rsidRPr="002B55E9" w14:paraId="4FFACA3B" w14:textId="77777777" w:rsidTr="003E2FA0">
        <w:trPr>
          <w:trHeight w:val="283"/>
        </w:trPr>
        <w:tc>
          <w:tcPr>
            <w:tcW w:w="553" w:type="pct"/>
            <w:vMerge/>
            <w:hideMark/>
          </w:tcPr>
          <w:p w14:paraId="0ACBF900" w14:textId="77777777" w:rsidR="003E2FA0" w:rsidRPr="002B55E9" w:rsidRDefault="003E2FA0" w:rsidP="00747EDD">
            <w:pPr>
              <w:pStyle w:val="lgy-"/>
              <w:rPr>
                <w:rFonts w:eastAsia="宋体"/>
                <w:szCs w:val="22"/>
              </w:rPr>
            </w:pPr>
          </w:p>
        </w:tc>
        <w:tc>
          <w:tcPr>
            <w:tcW w:w="332" w:type="pct"/>
            <w:vMerge/>
          </w:tcPr>
          <w:p w14:paraId="4E1C281A" w14:textId="77777777" w:rsidR="003E2FA0" w:rsidRPr="002B55E9" w:rsidRDefault="003E2FA0" w:rsidP="00747EDD">
            <w:pPr>
              <w:pStyle w:val="lgy-"/>
              <w:rPr>
                <w:rFonts w:eastAsia="宋体"/>
                <w:szCs w:val="22"/>
              </w:rPr>
            </w:pPr>
          </w:p>
        </w:tc>
        <w:tc>
          <w:tcPr>
            <w:tcW w:w="534" w:type="pct"/>
            <w:hideMark/>
          </w:tcPr>
          <w:p w14:paraId="293B42A4"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61785535" w14:textId="793ADC81" w:rsidR="003E2FA0" w:rsidRPr="002B55E9" w:rsidRDefault="003E2FA0" w:rsidP="00747EDD">
            <w:pPr>
              <w:pStyle w:val="lgy-"/>
              <w:rPr>
                <w:rFonts w:eastAsia="宋体"/>
                <w:b/>
              </w:rPr>
            </w:pPr>
            <w:r w:rsidRPr="002B55E9">
              <w:rPr>
                <w:rFonts w:eastAsia="宋体" w:hint="eastAsia"/>
                <w:b/>
                <w:szCs w:val="22"/>
              </w:rPr>
              <w:t>6~9</w:t>
            </w:r>
          </w:p>
        </w:tc>
        <w:tc>
          <w:tcPr>
            <w:tcW w:w="429" w:type="pct"/>
            <w:noWrap/>
            <w:hideMark/>
          </w:tcPr>
          <w:p w14:paraId="6069C4F8" w14:textId="230391FE" w:rsidR="003E2FA0" w:rsidRPr="002B55E9" w:rsidRDefault="003E2FA0" w:rsidP="00747EDD">
            <w:pPr>
              <w:pStyle w:val="lgy-"/>
              <w:rPr>
                <w:rFonts w:eastAsia="宋体"/>
                <w:b/>
                <w:szCs w:val="22"/>
              </w:rPr>
            </w:pPr>
            <w:r w:rsidRPr="002B55E9">
              <w:rPr>
                <w:rFonts w:eastAsia="宋体"/>
                <w:b/>
                <w:szCs w:val="22"/>
              </w:rPr>
              <w:t>33</w:t>
            </w:r>
          </w:p>
        </w:tc>
        <w:tc>
          <w:tcPr>
            <w:tcW w:w="395" w:type="pct"/>
            <w:noWrap/>
            <w:hideMark/>
          </w:tcPr>
          <w:p w14:paraId="54B63B74" w14:textId="2B3039A2" w:rsidR="003E2FA0" w:rsidRPr="002B55E9" w:rsidRDefault="003E2FA0" w:rsidP="00747EDD">
            <w:pPr>
              <w:pStyle w:val="lgy-"/>
              <w:rPr>
                <w:rFonts w:eastAsia="宋体"/>
                <w:b/>
                <w:bCs w:val="0"/>
                <w:szCs w:val="22"/>
              </w:rPr>
            </w:pPr>
            <w:r w:rsidRPr="002B55E9">
              <w:rPr>
                <w:rFonts w:eastAsia="宋体" w:hint="eastAsia"/>
                <w:b/>
                <w:bCs w:val="0"/>
                <w:szCs w:val="22"/>
              </w:rPr>
              <w:t xml:space="preserve">141.59 </w:t>
            </w:r>
          </w:p>
        </w:tc>
        <w:tc>
          <w:tcPr>
            <w:tcW w:w="368" w:type="pct"/>
            <w:noWrap/>
            <w:hideMark/>
          </w:tcPr>
          <w:p w14:paraId="6E13B76A" w14:textId="03980183" w:rsidR="003E2FA0" w:rsidRPr="002B55E9" w:rsidRDefault="003E2FA0" w:rsidP="00747EDD">
            <w:pPr>
              <w:pStyle w:val="lgy-"/>
              <w:rPr>
                <w:rFonts w:eastAsia="宋体"/>
                <w:b/>
                <w:bCs w:val="0"/>
                <w:szCs w:val="22"/>
              </w:rPr>
            </w:pPr>
            <w:r w:rsidRPr="002B55E9">
              <w:rPr>
                <w:rFonts w:eastAsia="宋体" w:hint="eastAsia"/>
                <w:b/>
                <w:bCs w:val="0"/>
                <w:szCs w:val="22"/>
              </w:rPr>
              <w:t xml:space="preserve">40.77 </w:t>
            </w:r>
          </w:p>
        </w:tc>
        <w:tc>
          <w:tcPr>
            <w:tcW w:w="368" w:type="pct"/>
            <w:noWrap/>
            <w:hideMark/>
          </w:tcPr>
          <w:p w14:paraId="05705B64" w14:textId="0CF502AE" w:rsidR="003E2FA0" w:rsidRPr="002B55E9" w:rsidRDefault="003E2FA0" w:rsidP="00747EDD">
            <w:pPr>
              <w:pStyle w:val="lgy-"/>
              <w:rPr>
                <w:rFonts w:eastAsia="宋体"/>
                <w:b/>
                <w:bCs w:val="0"/>
                <w:szCs w:val="22"/>
              </w:rPr>
            </w:pPr>
            <w:r w:rsidRPr="002B55E9">
              <w:rPr>
                <w:rFonts w:eastAsia="宋体" w:hint="eastAsia"/>
                <w:b/>
                <w:bCs w:val="0"/>
                <w:szCs w:val="22"/>
              </w:rPr>
              <w:t xml:space="preserve">168.70 </w:t>
            </w:r>
          </w:p>
        </w:tc>
        <w:tc>
          <w:tcPr>
            <w:tcW w:w="368" w:type="pct"/>
            <w:noWrap/>
            <w:hideMark/>
          </w:tcPr>
          <w:p w14:paraId="426EC4CC" w14:textId="44B945C9" w:rsidR="003E2FA0" w:rsidRPr="002B55E9" w:rsidRDefault="003E2FA0" w:rsidP="00747EDD">
            <w:pPr>
              <w:pStyle w:val="lgy-"/>
              <w:rPr>
                <w:rFonts w:eastAsia="宋体"/>
                <w:b/>
                <w:bCs w:val="0"/>
                <w:szCs w:val="22"/>
              </w:rPr>
            </w:pPr>
            <w:r w:rsidRPr="002B55E9">
              <w:rPr>
                <w:rFonts w:eastAsia="宋体" w:hint="eastAsia"/>
                <w:b/>
                <w:bCs w:val="0"/>
                <w:szCs w:val="22"/>
              </w:rPr>
              <w:t xml:space="preserve">25.36 </w:t>
            </w:r>
          </w:p>
        </w:tc>
        <w:tc>
          <w:tcPr>
            <w:tcW w:w="462" w:type="pct"/>
            <w:noWrap/>
            <w:hideMark/>
          </w:tcPr>
          <w:p w14:paraId="2E80AC2A" w14:textId="118C5F69" w:rsidR="003E2FA0" w:rsidRPr="002B55E9" w:rsidRDefault="003E2FA0" w:rsidP="00747EDD">
            <w:pPr>
              <w:pStyle w:val="lgy-"/>
              <w:rPr>
                <w:rFonts w:eastAsia="宋体"/>
                <w:b/>
                <w:bCs w:val="0"/>
                <w:szCs w:val="22"/>
              </w:rPr>
            </w:pPr>
            <w:r w:rsidRPr="002B55E9">
              <w:rPr>
                <w:rFonts w:eastAsia="宋体" w:hint="eastAsia"/>
                <w:b/>
                <w:bCs w:val="0"/>
                <w:szCs w:val="22"/>
              </w:rPr>
              <w:t xml:space="preserve">36.21 </w:t>
            </w:r>
          </w:p>
        </w:tc>
        <w:tc>
          <w:tcPr>
            <w:tcW w:w="396" w:type="pct"/>
            <w:noWrap/>
            <w:hideMark/>
          </w:tcPr>
          <w:p w14:paraId="195989DF" w14:textId="77079289" w:rsidR="003E2FA0" w:rsidRPr="002B55E9" w:rsidRDefault="003E2FA0" w:rsidP="00747EDD">
            <w:pPr>
              <w:pStyle w:val="lgy-"/>
              <w:rPr>
                <w:rFonts w:eastAsia="宋体"/>
                <w:b/>
                <w:bCs w:val="0"/>
                <w:szCs w:val="22"/>
              </w:rPr>
            </w:pPr>
            <w:r w:rsidRPr="002B55E9">
              <w:rPr>
                <w:rFonts w:eastAsia="宋体" w:hint="eastAsia"/>
                <w:b/>
                <w:bCs w:val="0"/>
                <w:szCs w:val="22"/>
              </w:rPr>
              <w:t xml:space="preserve">1.54 </w:t>
            </w:r>
          </w:p>
        </w:tc>
        <w:tc>
          <w:tcPr>
            <w:tcW w:w="498" w:type="pct"/>
            <w:noWrap/>
            <w:hideMark/>
          </w:tcPr>
          <w:p w14:paraId="1B0AF5D9" w14:textId="67A7ABE9" w:rsidR="003E2FA0" w:rsidRPr="002B55E9" w:rsidRDefault="003E2FA0" w:rsidP="00747EDD">
            <w:pPr>
              <w:pStyle w:val="lgy-"/>
              <w:rPr>
                <w:rFonts w:eastAsia="宋体"/>
                <w:b/>
                <w:bCs w:val="0"/>
                <w:szCs w:val="22"/>
              </w:rPr>
            </w:pPr>
            <w:r w:rsidRPr="002B55E9">
              <w:rPr>
                <w:rFonts w:eastAsia="宋体" w:hint="eastAsia"/>
                <w:b/>
                <w:bCs w:val="0"/>
                <w:szCs w:val="22"/>
              </w:rPr>
              <w:t xml:space="preserve">17.73 </w:t>
            </w:r>
          </w:p>
        </w:tc>
      </w:tr>
      <w:tr w:rsidR="003E2FA0" w:rsidRPr="002B55E9" w14:paraId="45FCA341" w14:textId="77777777" w:rsidTr="003E2FA0">
        <w:trPr>
          <w:trHeight w:val="283"/>
        </w:trPr>
        <w:tc>
          <w:tcPr>
            <w:tcW w:w="553" w:type="pct"/>
            <w:vMerge/>
            <w:hideMark/>
          </w:tcPr>
          <w:p w14:paraId="632D16B8" w14:textId="77777777" w:rsidR="003E2FA0" w:rsidRPr="002B55E9" w:rsidRDefault="003E2FA0" w:rsidP="00747EDD">
            <w:pPr>
              <w:pStyle w:val="lgy-"/>
              <w:rPr>
                <w:rFonts w:eastAsia="宋体"/>
                <w:szCs w:val="22"/>
              </w:rPr>
            </w:pPr>
          </w:p>
        </w:tc>
        <w:tc>
          <w:tcPr>
            <w:tcW w:w="332" w:type="pct"/>
            <w:vMerge/>
          </w:tcPr>
          <w:p w14:paraId="53CD7027" w14:textId="77777777" w:rsidR="003E2FA0" w:rsidRPr="002B55E9" w:rsidRDefault="003E2FA0" w:rsidP="00747EDD">
            <w:pPr>
              <w:pStyle w:val="lgy-"/>
              <w:rPr>
                <w:rFonts w:eastAsia="宋体"/>
                <w:szCs w:val="22"/>
              </w:rPr>
            </w:pPr>
          </w:p>
        </w:tc>
        <w:tc>
          <w:tcPr>
            <w:tcW w:w="534" w:type="pct"/>
            <w:hideMark/>
          </w:tcPr>
          <w:p w14:paraId="0B5463CF" w14:textId="77777777" w:rsidR="003E2FA0" w:rsidRPr="002B55E9" w:rsidRDefault="003E2FA0" w:rsidP="00747EDD">
            <w:pPr>
              <w:pStyle w:val="lgy-"/>
              <w:rPr>
                <w:rFonts w:eastAsia="宋体"/>
              </w:rPr>
            </w:pPr>
            <w:r w:rsidRPr="002B55E9">
              <w:rPr>
                <w:rFonts w:eastAsia="宋体" w:hint="eastAsia"/>
              </w:rPr>
              <w:t>排放量</w:t>
            </w:r>
            <w:r w:rsidRPr="002B55E9">
              <w:rPr>
                <w:rFonts w:eastAsia="宋体" w:hint="eastAsia"/>
              </w:rPr>
              <w:t>t/a</w:t>
            </w:r>
          </w:p>
        </w:tc>
        <w:tc>
          <w:tcPr>
            <w:tcW w:w="297" w:type="pct"/>
            <w:noWrap/>
            <w:hideMark/>
          </w:tcPr>
          <w:p w14:paraId="3F85B54C" w14:textId="77777777" w:rsidR="003E2FA0" w:rsidRPr="002B55E9" w:rsidRDefault="003E2FA0" w:rsidP="00747EDD">
            <w:pPr>
              <w:pStyle w:val="lgy-"/>
              <w:rPr>
                <w:rFonts w:eastAsia="宋体"/>
              </w:rPr>
            </w:pPr>
          </w:p>
        </w:tc>
        <w:tc>
          <w:tcPr>
            <w:tcW w:w="429" w:type="pct"/>
            <w:noWrap/>
            <w:hideMark/>
          </w:tcPr>
          <w:p w14:paraId="0788E7D3"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noWrap/>
            <w:hideMark/>
          </w:tcPr>
          <w:p w14:paraId="2A323A82" w14:textId="211C16DE" w:rsidR="003E2FA0" w:rsidRPr="002B55E9" w:rsidRDefault="003E2FA0" w:rsidP="00747EDD">
            <w:pPr>
              <w:pStyle w:val="lgy-"/>
              <w:rPr>
                <w:rFonts w:eastAsia="宋体"/>
                <w:szCs w:val="22"/>
              </w:rPr>
            </w:pPr>
            <w:r w:rsidRPr="002B55E9">
              <w:rPr>
                <w:rFonts w:eastAsia="宋体" w:hint="eastAsia"/>
                <w:szCs w:val="22"/>
              </w:rPr>
              <w:t xml:space="preserve">0.13 </w:t>
            </w:r>
          </w:p>
        </w:tc>
        <w:tc>
          <w:tcPr>
            <w:tcW w:w="368" w:type="pct"/>
            <w:noWrap/>
            <w:hideMark/>
          </w:tcPr>
          <w:p w14:paraId="63FB512F" w14:textId="76FC0BF6" w:rsidR="003E2FA0" w:rsidRPr="002B55E9" w:rsidRDefault="003E2FA0" w:rsidP="00747EDD">
            <w:pPr>
              <w:pStyle w:val="lgy-"/>
              <w:rPr>
                <w:rFonts w:eastAsia="宋体"/>
                <w:szCs w:val="22"/>
              </w:rPr>
            </w:pPr>
            <w:r w:rsidRPr="002B55E9">
              <w:rPr>
                <w:rFonts w:eastAsia="宋体" w:hint="eastAsia"/>
                <w:szCs w:val="22"/>
              </w:rPr>
              <w:t xml:space="preserve">0.04 </w:t>
            </w:r>
          </w:p>
        </w:tc>
        <w:tc>
          <w:tcPr>
            <w:tcW w:w="368" w:type="pct"/>
            <w:noWrap/>
            <w:hideMark/>
          </w:tcPr>
          <w:p w14:paraId="3B666E9D" w14:textId="162EB484" w:rsidR="003E2FA0" w:rsidRPr="002B55E9" w:rsidRDefault="003E2FA0" w:rsidP="00747EDD">
            <w:pPr>
              <w:pStyle w:val="lgy-"/>
              <w:rPr>
                <w:rFonts w:eastAsia="宋体"/>
                <w:szCs w:val="22"/>
              </w:rPr>
            </w:pPr>
            <w:r w:rsidRPr="002B55E9">
              <w:rPr>
                <w:rFonts w:eastAsia="宋体" w:hint="eastAsia"/>
                <w:szCs w:val="22"/>
              </w:rPr>
              <w:t xml:space="preserve">0.15 </w:t>
            </w:r>
          </w:p>
        </w:tc>
        <w:tc>
          <w:tcPr>
            <w:tcW w:w="368" w:type="pct"/>
            <w:noWrap/>
            <w:hideMark/>
          </w:tcPr>
          <w:p w14:paraId="63AE3E25" w14:textId="7AFA6246" w:rsidR="003E2FA0" w:rsidRPr="002B55E9" w:rsidRDefault="003E2FA0" w:rsidP="00747EDD">
            <w:pPr>
              <w:pStyle w:val="lgy-"/>
              <w:rPr>
                <w:rFonts w:eastAsia="宋体"/>
                <w:szCs w:val="22"/>
              </w:rPr>
            </w:pPr>
            <w:r w:rsidRPr="002B55E9">
              <w:rPr>
                <w:rFonts w:eastAsia="宋体" w:hint="eastAsia"/>
                <w:szCs w:val="22"/>
              </w:rPr>
              <w:t xml:space="preserve">0.02 </w:t>
            </w:r>
          </w:p>
        </w:tc>
        <w:tc>
          <w:tcPr>
            <w:tcW w:w="462" w:type="pct"/>
            <w:noWrap/>
            <w:hideMark/>
          </w:tcPr>
          <w:p w14:paraId="2E930BBA" w14:textId="768B4F41" w:rsidR="003E2FA0" w:rsidRPr="002B55E9" w:rsidRDefault="003E2FA0" w:rsidP="00747EDD">
            <w:pPr>
              <w:pStyle w:val="lgy-"/>
              <w:rPr>
                <w:rFonts w:eastAsia="宋体"/>
                <w:szCs w:val="22"/>
              </w:rPr>
            </w:pPr>
            <w:r w:rsidRPr="002B55E9">
              <w:rPr>
                <w:rFonts w:eastAsia="宋体" w:hint="eastAsia"/>
                <w:szCs w:val="22"/>
              </w:rPr>
              <w:t xml:space="preserve">0.03 </w:t>
            </w:r>
          </w:p>
        </w:tc>
        <w:tc>
          <w:tcPr>
            <w:tcW w:w="396" w:type="pct"/>
            <w:noWrap/>
            <w:hideMark/>
          </w:tcPr>
          <w:p w14:paraId="5A35A2D4" w14:textId="2D007867" w:rsidR="003E2FA0" w:rsidRPr="002B55E9" w:rsidRDefault="003E2FA0" w:rsidP="00747EDD">
            <w:pPr>
              <w:pStyle w:val="lgy-"/>
              <w:rPr>
                <w:rFonts w:eastAsia="宋体"/>
                <w:szCs w:val="22"/>
              </w:rPr>
            </w:pPr>
            <w:r w:rsidRPr="002B55E9">
              <w:rPr>
                <w:rFonts w:eastAsia="宋体" w:hint="eastAsia"/>
                <w:szCs w:val="22"/>
              </w:rPr>
              <w:t xml:space="preserve">0.00 </w:t>
            </w:r>
          </w:p>
        </w:tc>
        <w:tc>
          <w:tcPr>
            <w:tcW w:w="498" w:type="pct"/>
            <w:noWrap/>
            <w:hideMark/>
          </w:tcPr>
          <w:p w14:paraId="56B48B10" w14:textId="5B4F27FC" w:rsidR="003E2FA0" w:rsidRPr="002B55E9" w:rsidRDefault="003E2FA0" w:rsidP="00747EDD">
            <w:pPr>
              <w:pStyle w:val="lgy-"/>
              <w:rPr>
                <w:rFonts w:eastAsia="宋体"/>
                <w:szCs w:val="22"/>
              </w:rPr>
            </w:pPr>
            <w:r w:rsidRPr="002B55E9">
              <w:rPr>
                <w:rFonts w:eastAsia="宋体" w:hint="eastAsia"/>
                <w:szCs w:val="22"/>
              </w:rPr>
              <w:t xml:space="preserve">0.02 </w:t>
            </w:r>
          </w:p>
        </w:tc>
      </w:tr>
      <w:tr w:rsidR="003E2FA0" w:rsidRPr="002B55E9" w14:paraId="27C01CC1" w14:textId="77777777" w:rsidTr="003E2FA0">
        <w:trPr>
          <w:trHeight w:val="283"/>
        </w:trPr>
        <w:tc>
          <w:tcPr>
            <w:tcW w:w="553" w:type="pct"/>
            <w:vMerge w:val="restart"/>
            <w:hideMark/>
          </w:tcPr>
          <w:p w14:paraId="080FD127" w14:textId="4888F8E4" w:rsidR="003E2FA0" w:rsidRPr="002B55E9" w:rsidRDefault="003E2FA0" w:rsidP="00747EDD">
            <w:pPr>
              <w:pStyle w:val="lgy-"/>
              <w:rPr>
                <w:rFonts w:eastAsia="宋体"/>
              </w:rPr>
            </w:pPr>
            <w:r w:rsidRPr="002B55E9">
              <w:rPr>
                <w:rFonts w:eastAsia="宋体" w:hint="eastAsia"/>
              </w:rPr>
              <w:t>本项目蒸汽冷凝水</w:t>
            </w:r>
          </w:p>
        </w:tc>
        <w:tc>
          <w:tcPr>
            <w:tcW w:w="332" w:type="pct"/>
            <w:vMerge w:val="restart"/>
          </w:tcPr>
          <w:p w14:paraId="61D78528" w14:textId="748F96EE" w:rsidR="003E2FA0" w:rsidRPr="002B55E9" w:rsidRDefault="003E2FA0" w:rsidP="00747EDD">
            <w:pPr>
              <w:pStyle w:val="lgy-"/>
              <w:rPr>
                <w:rFonts w:eastAsia="宋体"/>
              </w:rPr>
            </w:pPr>
            <w:r w:rsidRPr="002B55E9">
              <w:rPr>
                <w:rFonts w:eastAsia="宋体" w:hint="eastAsia"/>
              </w:rPr>
              <w:t>1</w:t>
            </w:r>
            <w:r w:rsidRPr="002B55E9">
              <w:rPr>
                <w:rFonts w:eastAsia="宋体"/>
              </w:rPr>
              <w:t>73</w:t>
            </w:r>
          </w:p>
        </w:tc>
        <w:tc>
          <w:tcPr>
            <w:tcW w:w="534" w:type="pct"/>
            <w:hideMark/>
          </w:tcPr>
          <w:p w14:paraId="241C2E05"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681E2B2A" w14:textId="77777777" w:rsidR="003E2FA0" w:rsidRPr="002B55E9" w:rsidRDefault="003E2FA0" w:rsidP="00747EDD">
            <w:pPr>
              <w:pStyle w:val="lgy-"/>
              <w:rPr>
                <w:rFonts w:eastAsia="宋体"/>
                <w:szCs w:val="22"/>
              </w:rPr>
            </w:pPr>
            <w:r w:rsidRPr="002B55E9">
              <w:rPr>
                <w:rFonts w:eastAsia="宋体" w:hint="eastAsia"/>
                <w:szCs w:val="22"/>
              </w:rPr>
              <w:t>6~9</w:t>
            </w:r>
          </w:p>
        </w:tc>
        <w:tc>
          <w:tcPr>
            <w:tcW w:w="429" w:type="pct"/>
            <w:noWrap/>
            <w:hideMark/>
          </w:tcPr>
          <w:p w14:paraId="686AD0AF"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hideMark/>
          </w:tcPr>
          <w:p w14:paraId="64D4AF06" w14:textId="3DD6D78B" w:rsidR="003E2FA0" w:rsidRPr="002B55E9" w:rsidRDefault="003E2FA0" w:rsidP="00747EDD">
            <w:pPr>
              <w:pStyle w:val="lgy-"/>
              <w:rPr>
                <w:rFonts w:eastAsia="宋体"/>
              </w:rPr>
            </w:pPr>
            <w:r w:rsidRPr="002B55E9">
              <w:rPr>
                <w:rFonts w:eastAsia="宋体"/>
              </w:rPr>
              <w:t xml:space="preserve">40.00 </w:t>
            </w:r>
          </w:p>
        </w:tc>
        <w:tc>
          <w:tcPr>
            <w:tcW w:w="368" w:type="pct"/>
            <w:hideMark/>
          </w:tcPr>
          <w:p w14:paraId="4E4B7722" w14:textId="0A4E9183" w:rsidR="003E2FA0" w:rsidRPr="002B55E9" w:rsidRDefault="003E2FA0" w:rsidP="00747EDD">
            <w:pPr>
              <w:pStyle w:val="lgy-"/>
              <w:rPr>
                <w:rFonts w:eastAsia="宋体"/>
              </w:rPr>
            </w:pPr>
            <w:r w:rsidRPr="002B55E9">
              <w:rPr>
                <w:rFonts w:eastAsia="宋体"/>
              </w:rPr>
              <w:t xml:space="preserve">10.00 </w:t>
            </w:r>
          </w:p>
        </w:tc>
        <w:tc>
          <w:tcPr>
            <w:tcW w:w="368" w:type="pct"/>
            <w:hideMark/>
          </w:tcPr>
          <w:p w14:paraId="40263A27" w14:textId="0A349755" w:rsidR="003E2FA0" w:rsidRPr="002B55E9" w:rsidRDefault="003E2FA0" w:rsidP="00747EDD">
            <w:pPr>
              <w:pStyle w:val="lgy-"/>
              <w:rPr>
                <w:rFonts w:eastAsia="宋体"/>
              </w:rPr>
            </w:pPr>
            <w:r w:rsidRPr="002B55E9">
              <w:rPr>
                <w:rFonts w:eastAsia="宋体"/>
              </w:rPr>
              <w:t xml:space="preserve">10.00 </w:t>
            </w:r>
          </w:p>
        </w:tc>
        <w:tc>
          <w:tcPr>
            <w:tcW w:w="368" w:type="pct"/>
            <w:hideMark/>
          </w:tcPr>
          <w:p w14:paraId="1591CC1A" w14:textId="3CF3E5BD" w:rsidR="003E2FA0" w:rsidRPr="002B55E9" w:rsidRDefault="003E2FA0" w:rsidP="00747EDD">
            <w:pPr>
              <w:pStyle w:val="lgy-"/>
              <w:rPr>
                <w:rFonts w:eastAsia="宋体"/>
              </w:rPr>
            </w:pPr>
            <w:r w:rsidRPr="002B55E9">
              <w:rPr>
                <w:rFonts w:eastAsia="宋体"/>
              </w:rPr>
              <w:t xml:space="preserve">5.00 </w:t>
            </w:r>
          </w:p>
        </w:tc>
        <w:tc>
          <w:tcPr>
            <w:tcW w:w="462" w:type="pct"/>
            <w:hideMark/>
          </w:tcPr>
          <w:p w14:paraId="154FC46F" w14:textId="5A0EF196" w:rsidR="003E2FA0" w:rsidRPr="002B55E9" w:rsidRDefault="003E2FA0" w:rsidP="00747EDD">
            <w:pPr>
              <w:pStyle w:val="lgy-"/>
              <w:rPr>
                <w:rFonts w:eastAsia="宋体"/>
              </w:rPr>
            </w:pPr>
            <w:r w:rsidRPr="002B55E9">
              <w:rPr>
                <w:rFonts w:eastAsia="宋体"/>
              </w:rPr>
              <w:t xml:space="preserve">10.00 </w:t>
            </w:r>
          </w:p>
        </w:tc>
        <w:tc>
          <w:tcPr>
            <w:tcW w:w="396" w:type="pct"/>
            <w:hideMark/>
          </w:tcPr>
          <w:p w14:paraId="302F98A3" w14:textId="43F235D3" w:rsidR="003E2FA0" w:rsidRPr="002B55E9" w:rsidRDefault="003E2FA0" w:rsidP="00747EDD">
            <w:pPr>
              <w:pStyle w:val="lgy-"/>
              <w:rPr>
                <w:rFonts w:eastAsia="宋体"/>
              </w:rPr>
            </w:pPr>
            <w:r w:rsidRPr="002B55E9">
              <w:rPr>
                <w:rFonts w:eastAsia="宋体"/>
              </w:rPr>
              <w:t xml:space="preserve">0.00 </w:t>
            </w:r>
          </w:p>
        </w:tc>
        <w:tc>
          <w:tcPr>
            <w:tcW w:w="498" w:type="pct"/>
            <w:hideMark/>
          </w:tcPr>
          <w:p w14:paraId="2CFF758A" w14:textId="490DAC53" w:rsidR="003E2FA0" w:rsidRPr="002B55E9" w:rsidRDefault="003E2FA0" w:rsidP="00747EDD">
            <w:pPr>
              <w:pStyle w:val="lgy-"/>
              <w:rPr>
                <w:rFonts w:eastAsia="宋体"/>
              </w:rPr>
            </w:pPr>
            <w:r w:rsidRPr="002B55E9">
              <w:rPr>
                <w:rFonts w:eastAsia="宋体"/>
              </w:rPr>
              <w:t xml:space="preserve">0.00 </w:t>
            </w:r>
          </w:p>
        </w:tc>
      </w:tr>
      <w:tr w:rsidR="003E2FA0" w:rsidRPr="002B55E9" w14:paraId="439B7F24" w14:textId="77777777" w:rsidTr="003E2FA0">
        <w:trPr>
          <w:trHeight w:val="283"/>
        </w:trPr>
        <w:tc>
          <w:tcPr>
            <w:tcW w:w="553" w:type="pct"/>
            <w:vMerge/>
            <w:hideMark/>
          </w:tcPr>
          <w:p w14:paraId="101BDD20" w14:textId="77777777" w:rsidR="003E2FA0" w:rsidRPr="002B55E9" w:rsidRDefault="003E2FA0" w:rsidP="00747EDD">
            <w:pPr>
              <w:pStyle w:val="lgy-"/>
              <w:rPr>
                <w:rFonts w:eastAsia="宋体"/>
              </w:rPr>
            </w:pPr>
          </w:p>
        </w:tc>
        <w:tc>
          <w:tcPr>
            <w:tcW w:w="332" w:type="pct"/>
            <w:vMerge/>
          </w:tcPr>
          <w:p w14:paraId="17FED345" w14:textId="77777777" w:rsidR="003E2FA0" w:rsidRPr="002B55E9" w:rsidRDefault="003E2FA0" w:rsidP="00747EDD">
            <w:pPr>
              <w:pStyle w:val="lgy-"/>
              <w:rPr>
                <w:rFonts w:eastAsia="宋体"/>
              </w:rPr>
            </w:pPr>
          </w:p>
        </w:tc>
        <w:tc>
          <w:tcPr>
            <w:tcW w:w="534" w:type="pct"/>
            <w:hideMark/>
          </w:tcPr>
          <w:p w14:paraId="25FBABD9" w14:textId="77777777" w:rsidR="003E2FA0" w:rsidRPr="002B55E9" w:rsidRDefault="003E2FA0" w:rsidP="00747EDD">
            <w:pPr>
              <w:pStyle w:val="lgy-"/>
              <w:rPr>
                <w:rFonts w:eastAsia="宋体"/>
              </w:rPr>
            </w:pPr>
            <w:r w:rsidRPr="002B55E9">
              <w:rPr>
                <w:rFonts w:eastAsia="宋体" w:hint="eastAsia"/>
              </w:rPr>
              <w:t>产生量</w:t>
            </w:r>
            <w:r w:rsidRPr="002B55E9">
              <w:rPr>
                <w:rFonts w:eastAsia="宋体" w:hint="eastAsia"/>
              </w:rPr>
              <w:t>t/a</w:t>
            </w:r>
          </w:p>
        </w:tc>
        <w:tc>
          <w:tcPr>
            <w:tcW w:w="297" w:type="pct"/>
            <w:noWrap/>
            <w:hideMark/>
          </w:tcPr>
          <w:p w14:paraId="42FC7CFF" w14:textId="77777777" w:rsidR="003E2FA0" w:rsidRPr="002B55E9" w:rsidRDefault="003E2FA0" w:rsidP="00747EDD">
            <w:pPr>
              <w:pStyle w:val="lgy-"/>
              <w:rPr>
                <w:rFonts w:eastAsia="宋体"/>
                <w:szCs w:val="22"/>
              </w:rPr>
            </w:pPr>
            <w:r w:rsidRPr="002B55E9">
              <w:rPr>
                <w:rFonts w:eastAsia="宋体" w:hint="eastAsia"/>
                <w:szCs w:val="22"/>
              </w:rPr>
              <w:t>/</w:t>
            </w:r>
          </w:p>
        </w:tc>
        <w:tc>
          <w:tcPr>
            <w:tcW w:w="429" w:type="pct"/>
            <w:noWrap/>
            <w:hideMark/>
          </w:tcPr>
          <w:p w14:paraId="6B542251"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hideMark/>
          </w:tcPr>
          <w:p w14:paraId="15B57BE8" w14:textId="0C635F8A" w:rsidR="003E2FA0" w:rsidRPr="002B55E9" w:rsidRDefault="003E2FA0" w:rsidP="00747EDD">
            <w:pPr>
              <w:pStyle w:val="lgy-"/>
              <w:rPr>
                <w:rFonts w:eastAsia="宋体"/>
              </w:rPr>
            </w:pPr>
            <w:r w:rsidRPr="002B55E9">
              <w:rPr>
                <w:rFonts w:eastAsia="宋体"/>
              </w:rPr>
              <w:t xml:space="preserve">0.01 </w:t>
            </w:r>
          </w:p>
        </w:tc>
        <w:tc>
          <w:tcPr>
            <w:tcW w:w="368" w:type="pct"/>
            <w:hideMark/>
          </w:tcPr>
          <w:p w14:paraId="6E5F3E22" w14:textId="62406CF0" w:rsidR="003E2FA0" w:rsidRPr="002B55E9" w:rsidRDefault="003E2FA0" w:rsidP="00747EDD">
            <w:pPr>
              <w:pStyle w:val="lgy-"/>
              <w:rPr>
                <w:rFonts w:eastAsia="宋体"/>
              </w:rPr>
            </w:pPr>
            <w:r w:rsidRPr="002B55E9">
              <w:rPr>
                <w:rFonts w:eastAsia="宋体"/>
              </w:rPr>
              <w:t xml:space="preserve">0.00 </w:t>
            </w:r>
          </w:p>
        </w:tc>
        <w:tc>
          <w:tcPr>
            <w:tcW w:w="368" w:type="pct"/>
            <w:hideMark/>
          </w:tcPr>
          <w:p w14:paraId="56DF89CC" w14:textId="05CF984F" w:rsidR="003E2FA0" w:rsidRPr="002B55E9" w:rsidRDefault="003E2FA0" w:rsidP="00747EDD">
            <w:pPr>
              <w:pStyle w:val="lgy-"/>
              <w:rPr>
                <w:rFonts w:eastAsia="宋体"/>
              </w:rPr>
            </w:pPr>
            <w:r w:rsidRPr="002B55E9">
              <w:rPr>
                <w:rFonts w:eastAsia="宋体"/>
              </w:rPr>
              <w:t xml:space="preserve">0.00 </w:t>
            </w:r>
          </w:p>
        </w:tc>
        <w:tc>
          <w:tcPr>
            <w:tcW w:w="368" w:type="pct"/>
            <w:hideMark/>
          </w:tcPr>
          <w:p w14:paraId="58B6433B" w14:textId="547ED532" w:rsidR="003E2FA0" w:rsidRPr="002B55E9" w:rsidRDefault="003E2FA0" w:rsidP="00747EDD">
            <w:pPr>
              <w:pStyle w:val="lgy-"/>
              <w:rPr>
                <w:rFonts w:eastAsia="宋体"/>
              </w:rPr>
            </w:pPr>
            <w:r w:rsidRPr="002B55E9">
              <w:rPr>
                <w:rFonts w:eastAsia="宋体"/>
              </w:rPr>
              <w:t xml:space="preserve">0.00 </w:t>
            </w:r>
          </w:p>
        </w:tc>
        <w:tc>
          <w:tcPr>
            <w:tcW w:w="462" w:type="pct"/>
            <w:hideMark/>
          </w:tcPr>
          <w:p w14:paraId="633E0C64" w14:textId="60539F1F" w:rsidR="003E2FA0" w:rsidRPr="002B55E9" w:rsidRDefault="003E2FA0" w:rsidP="00747EDD">
            <w:pPr>
              <w:pStyle w:val="lgy-"/>
              <w:rPr>
                <w:rFonts w:eastAsia="宋体"/>
              </w:rPr>
            </w:pPr>
            <w:r w:rsidRPr="002B55E9">
              <w:rPr>
                <w:rFonts w:eastAsia="宋体"/>
              </w:rPr>
              <w:t xml:space="preserve">0.00 </w:t>
            </w:r>
          </w:p>
        </w:tc>
        <w:tc>
          <w:tcPr>
            <w:tcW w:w="396" w:type="pct"/>
            <w:hideMark/>
          </w:tcPr>
          <w:p w14:paraId="5E6E4FFD" w14:textId="0D38D89B" w:rsidR="003E2FA0" w:rsidRPr="002B55E9" w:rsidRDefault="003E2FA0" w:rsidP="00747EDD">
            <w:pPr>
              <w:pStyle w:val="lgy-"/>
              <w:rPr>
                <w:rFonts w:eastAsia="宋体"/>
              </w:rPr>
            </w:pPr>
            <w:r w:rsidRPr="002B55E9">
              <w:rPr>
                <w:rFonts w:eastAsia="宋体"/>
              </w:rPr>
              <w:t xml:space="preserve">0.00 </w:t>
            </w:r>
          </w:p>
        </w:tc>
        <w:tc>
          <w:tcPr>
            <w:tcW w:w="498" w:type="pct"/>
            <w:hideMark/>
          </w:tcPr>
          <w:p w14:paraId="48FF79D2" w14:textId="4DC1D5B6" w:rsidR="003E2FA0" w:rsidRPr="002B55E9" w:rsidRDefault="003E2FA0" w:rsidP="00747EDD">
            <w:pPr>
              <w:pStyle w:val="lgy-"/>
              <w:rPr>
                <w:rFonts w:eastAsia="宋体"/>
              </w:rPr>
            </w:pPr>
            <w:r w:rsidRPr="002B55E9">
              <w:rPr>
                <w:rFonts w:eastAsia="宋体"/>
              </w:rPr>
              <w:t xml:space="preserve">0.00 </w:t>
            </w:r>
          </w:p>
        </w:tc>
      </w:tr>
      <w:tr w:rsidR="003E2FA0" w:rsidRPr="002B55E9" w14:paraId="29B00A92" w14:textId="77777777" w:rsidTr="003E2FA0">
        <w:trPr>
          <w:trHeight w:val="283"/>
        </w:trPr>
        <w:tc>
          <w:tcPr>
            <w:tcW w:w="553" w:type="pct"/>
            <w:vMerge w:val="restart"/>
            <w:hideMark/>
          </w:tcPr>
          <w:p w14:paraId="3F6965AA" w14:textId="77777777" w:rsidR="003E2FA0" w:rsidRPr="002B55E9" w:rsidRDefault="003E2FA0" w:rsidP="00747EDD">
            <w:pPr>
              <w:pStyle w:val="lgy-"/>
              <w:rPr>
                <w:rFonts w:eastAsia="宋体"/>
                <w:szCs w:val="22"/>
              </w:rPr>
            </w:pPr>
            <w:r w:rsidRPr="002B55E9">
              <w:rPr>
                <w:rFonts w:eastAsia="宋体" w:hint="eastAsia"/>
                <w:szCs w:val="22"/>
              </w:rPr>
              <w:t>海天调味品公司总排口</w:t>
            </w:r>
          </w:p>
        </w:tc>
        <w:tc>
          <w:tcPr>
            <w:tcW w:w="332" w:type="pct"/>
            <w:vMerge w:val="restart"/>
            <w:noWrap/>
          </w:tcPr>
          <w:p w14:paraId="496DFF94" w14:textId="2C0CD58F" w:rsidR="003E2FA0" w:rsidRPr="002B55E9" w:rsidRDefault="003E2FA0" w:rsidP="00747EDD">
            <w:pPr>
              <w:pStyle w:val="lgy-"/>
              <w:rPr>
                <w:rFonts w:eastAsia="宋体"/>
                <w:szCs w:val="22"/>
              </w:rPr>
            </w:pPr>
            <w:r w:rsidRPr="002B55E9">
              <w:rPr>
                <w:rFonts w:eastAsia="宋体" w:hint="eastAsia"/>
                <w:szCs w:val="22"/>
              </w:rPr>
              <w:t>1</w:t>
            </w:r>
            <w:r w:rsidRPr="002B55E9">
              <w:rPr>
                <w:rFonts w:eastAsia="宋体"/>
                <w:szCs w:val="22"/>
              </w:rPr>
              <w:t>081</w:t>
            </w:r>
          </w:p>
        </w:tc>
        <w:tc>
          <w:tcPr>
            <w:tcW w:w="534" w:type="pct"/>
            <w:hideMark/>
          </w:tcPr>
          <w:p w14:paraId="1BF29BEC" w14:textId="77777777" w:rsidR="003E2FA0" w:rsidRPr="002B55E9" w:rsidRDefault="003E2FA0" w:rsidP="00747EDD">
            <w:pPr>
              <w:pStyle w:val="lgy-"/>
              <w:rPr>
                <w:rFonts w:eastAsia="宋体"/>
              </w:rPr>
            </w:pPr>
            <w:r w:rsidRPr="002B55E9">
              <w:rPr>
                <w:rFonts w:eastAsia="宋体" w:hint="eastAsia"/>
              </w:rPr>
              <w:t>浓度</w:t>
            </w:r>
            <w:r w:rsidRPr="002B55E9">
              <w:rPr>
                <w:rFonts w:eastAsia="宋体" w:hint="eastAsia"/>
              </w:rPr>
              <w:t>mg/L</w:t>
            </w:r>
          </w:p>
        </w:tc>
        <w:tc>
          <w:tcPr>
            <w:tcW w:w="297" w:type="pct"/>
            <w:noWrap/>
            <w:hideMark/>
          </w:tcPr>
          <w:p w14:paraId="45546754" w14:textId="77777777" w:rsidR="003E2FA0" w:rsidRPr="002B55E9" w:rsidRDefault="003E2FA0" w:rsidP="00747EDD">
            <w:pPr>
              <w:pStyle w:val="lgy-"/>
              <w:rPr>
                <w:rFonts w:eastAsia="宋体"/>
                <w:b/>
                <w:szCs w:val="22"/>
              </w:rPr>
            </w:pPr>
            <w:r w:rsidRPr="002B55E9">
              <w:rPr>
                <w:rFonts w:eastAsia="宋体" w:hint="eastAsia"/>
                <w:b/>
                <w:szCs w:val="22"/>
              </w:rPr>
              <w:t>6~9</w:t>
            </w:r>
          </w:p>
        </w:tc>
        <w:tc>
          <w:tcPr>
            <w:tcW w:w="429" w:type="pct"/>
            <w:noWrap/>
            <w:hideMark/>
          </w:tcPr>
          <w:p w14:paraId="520CDD01" w14:textId="2FD5606C" w:rsidR="003E2FA0" w:rsidRPr="002B55E9" w:rsidRDefault="003E2FA0" w:rsidP="00747EDD">
            <w:pPr>
              <w:pStyle w:val="lgy-"/>
              <w:rPr>
                <w:rFonts w:eastAsia="宋体"/>
                <w:b/>
                <w:szCs w:val="22"/>
              </w:rPr>
            </w:pPr>
            <w:r w:rsidRPr="002B55E9">
              <w:rPr>
                <w:rFonts w:eastAsia="宋体"/>
                <w:b/>
                <w:szCs w:val="22"/>
              </w:rPr>
              <w:t>28</w:t>
            </w:r>
          </w:p>
        </w:tc>
        <w:tc>
          <w:tcPr>
            <w:tcW w:w="395" w:type="pct"/>
            <w:noWrap/>
            <w:hideMark/>
          </w:tcPr>
          <w:p w14:paraId="528740E2" w14:textId="5BEB5C4B" w:rsidR="003E2FA0" w:rsidRPr="002B55E9" w:rsidRDefault="003E2FA0" w:rsidP="00747EDD">
            <w:pPr>
              <w:pStyle w:val="lgy-"/>
              <w:rPr>
                <w:rFonts w:eastAsia="宋体"/>
                <w:b/>
                <w:bCs w:val="0"/>
                <w:szCs w:val="22"/>
              </w:rPr>
            </w:pPr>
            <w:r w:rsidRPr="002B55E9">
              <w:rPr>
                <w:rFonts w:eastAsia="宋体" w:hint="eastAsia"/>
                <w:b/>
                <w:bCs w:val="0"/>
                <w:szCs w:val="22"/>
              </w:rPr>
              <w:t xml:space="preserve">125.36 </w:t>
            </w:r>
          </w:p>
        </w:tc>
        <w:tc>
          <w:tcPr>
            <w:tcW w:w="368" w:type="pct"/>
            <w:noWrap/>
            <w:hideMark/>
          </w:tcPr>
          <w:p w14:paraId="29D10FEB" w14:textId="1ACBFF54" w:rsidR="003E2FA0" w:rsidRPr="002B55E9" w:rsidRDefault="003E2FA0" w:rsidP="00747EDD">
            <w:pPr>
              <w:pStyle w:val="lgy-"/>
              <w:rPr>
                <w:rFonts w:eastAsia="宋体"/>
                <w:b/>
                <w:bCs w:val="0"/>
                <w:szCs w:val="22"/>
              </w:rPr>
            </w:pPr>
            <w:r w:rsidRPr="002B55E9">
              <w:rPr>
                <w:rFonts w:eastAsia="宋体" w:hint="eastAsia"/>
                <w:b/>
                <w:bCs w:val="0"/>
                <w:szCs w:val="22"/>
              </w:rPr>
              <w:t xml:space="preserve">35.86 </w:t>
            </w:r>
          </w:p>
        </w:tc>
        <w:tc>
          <w:tcPr>
            <w:tcW w:w="368" w:type="pct"/>
            <w:noWrap/>
            <w:hideMark/>
          </w:tcPr>
          <w:p w14:paraId="545C80D6" w14:textId="1C2D8C5C" w:rsidR="003E2FA0" w:rsidRPr="002B55E9" w:rsidRDefault="003E2FA0" w:rsidP="00747EDD">
            <w:pPr>
              <w:pStyle w:val="lgy-"/>
              <w:rPr>
                <w:rFonts w:eastAsia="宋体"/>
                <w:b/>
                <w:bCs w:val="0"/>
                <w:szCs w:val="22"/>
              </w:rPr>
            </w:pPr>
            <w:r w:rsidRPr="002B55E9">
              <w:rPr>
                <w:rFonts w:eastAsia="宋体" w:hint="eastAsia"/>
                <w:b/>
                <w:bCs w:val="0"/>
                <w:szCs w:val="22"/>
              </w:rPr>
              <w:t xml:space="preserve">143.35 </w:t>
            </w:r>
          </w:p>
        </w:tc>
        <w:tc>
          <w:tcPr>
            <w:tcW w:w="368" w:type="pct"/>
            <w:noWrap/>
            <w:hideMark/>
          </w:tcPr>
          <w:p w14:paraId="7BC7831B" w14:textId="1882E824" w:rsidR="003E2FA0" w:rsidRPr="002B55E9" w:rsidRDefault="003E2FA0" w:rsidP="00747EDD">
            <w:pPr>
              <w:pStyle w:val="lgy-"/>
              <w:rPr>
                <w:rFonts w:eastAsia="宋体"/>
                <w:b/>
                <w:bCs w:val="0"/>
                <w:szCs w:val="22"/>
              </w:rPr>
            </w:pPr>
            <w:r w:rsidRPr="002B55E9">
              <w:rPr>
                <w:rFonts w:eastAsia="宋体" w:hint="eastAsia"/>
                <w:b/>
                <w:bCs w:val="0"/>
                <w:szCs w:val="22"/>
              </w:rPr>
              <w:t xml:space="preserve">22.11 </w:t>
            </w:r>
          </w:p>
        </w:tc>
        <w:tc>
          <w:tcPr>
            <w:tcW w:w="462" w:type="pct"/>
            <w:noWrap/>
            <w:hideMark/>
          </w:tcPr>
          <w:p w14:paraId="2FFD9C32" w14:textId="1D2F6F6E" w:rsidR="003E2FA0" w:rsidRPr="002B55E9" w:rsidRDefault="003E2FA0" w:rsidP="00747EDD">
            <w:pPr>
              <w:pStyle w:val="lgy-"/>
              <w:rPr>
                <w:rFonts w:eastAsia="宋体"/>
                <w:b/>
                <w:bCs w:val="0"/>
                <w:szCs w:val="22"/>
              </w:rPr>
            </w:pPr>
            <w:r w:rsidRPr="002B55E9">
              <w:rPr>
                <w:rFonts w:eastAsia="宋体" w:hint="eastAsia"/>
                <w:b/>
                <w:bCs w:val="0"/>
                <w:szCs w:val="22"/>
              </w:rPr>
              <w:t xml:space="preserve">32.02 </w:t>
            </w:r>
          </w:p>
        </w:tc>
        <w:tc>
          <w:tcPr>
            <w:tcW w:w="396" w:type="pct"/>
            <w:noWrap/>
            <w:hideMark/>
          </w:tcPr>
          <w:p w14:paraId="2F5DE788" w14:textId="0EA59D87" w:rsidR="003E2FA0" w:rsidRPr="002B55E9" w:rsidRDefault="003E2FA0" w:rsidP="00747EDD">
            <w:pPr>
              <w:pStyle w:val="lgy-"/>
              <w:rPr>
                <w:rFonts w:eastAsia="宋体"/>
                <w:b/>
                <w:bCs w:val="0"/>
                <w:szCs w:val="22"/>
              </w:rPr>
            </w:pPr>
            <w:r w:rsidRPr="002B55E9">
              <w:rPr>
                <w:rFonts w:eastAsia="宋体" w:hint="eastAsia"/>
                <w:b/>
                <w:bCs w:val="0"/>
                <w:szCs w:val="22"/>
              </w:rPr>
              <w:t xml:space="preserve">1.29 </w:t>
            </w:r>
          </w:p>
        </w:tc>
        <w:tc>
          <w:tcPr>
            <w:tcW w:w="498" w:type="pct"/>
            <w:noWrap/>
            <w:hideMark/>
          </w:tcPr>
          <w:p w14:paraId="40881D2E" w14:textId="43E61DC3" w:rsidR="003E2FA0" w:rsidRPr="002B55E9" w:rsidRDefault="003E2FA0" w:rsidP="00747EDD">
            <w:pPr>
              <w:pStyle w:val="lgy-"/>
              <w:rPr>
                <w:rFonts w:eastAsia="宋体"/>
                <w:b/>
                <w:bCs w:val="0"/>
                <w:szCs w:val="22"/>
              </w:rPr>
            </w:pPr>
            <w:r w:rsidRPr="002B55E9">
              <w:rPr>
                <w:rFonts w:eastAsia="宋体" w:hint="eastAsia"/>
                <w:b/>
                <w:bCs w:val="0"/>
                <w:szCs w:val="22"/>
              </w:rPr>
              <w:t xml:space="preserve">14.89 </w:t>
            </w:r>
          </w:p>
        </w:tc>
      </w:tr>
      <w:tr w:rsidR="003E2FA0" w:rsidRPr="002B55E9" w14:paraId="4FF61695" w14:textId="77777777" w:rsidTr="003E2FA0">
        <w:trPr>
          <w:trHeight w:val="283"/>
        </w:trPr>
        <w:tc>
          <w:tcPr>
            <w:tcW w:w="553" w:type="pct"/>
            <w:vMerge/>
            <w:hideMark/>
          </w:tcPr>
          <w:p w14:paraId="61924A4B" w14:textId="77777777" w:rsidR="003E2FA0" w:rsidRPr="002B55E9" w:rsidRDefault="003E2FA0" w:rsidP="00747EDD">
            <w:pPr>
              <w:pStyle w:val="lgy-"/>
              <w:rPr>
                <w:rFonts w:eastAsia="宋体"/>
                <w:szCs w:val="22"/>
              </w:rPr>
            </w:pPr>
          </w:p>
        </w:tc>
        <w:tc>
          <w:tcPr>
            <w:tcW w:w="332" w:type="pct"/>
            <w:vMerge/>
          </w:tcPr>
          <w:p w14:paraId="4439157C" w14:textId="77777777" w:rsidR="003E2FA0" w:rsidRPr="002B55E9" w:rsidRDefault="003E2FA0" w:rsidP="00747EDD">
            <w:pPr>
              <w:pStyle w:val="lgy-"/>
              <w:rPr>
                <w:rFonts w:eastAsia="宋体"/>
                <w:szCs w:val="22"/>
              </w:rPr>
            </w:pPr>
          </w:p>
        </w:tc>
        <w:tc>
          <w:tcPr>
            <w:tcW w:w="534" w:type="pct"/>
            <w:hideMark/>
          </w:tcPr>
          <w:p w14:paraId="5CFA01A6" w14:textId="77777777" w:rsidR="003E2FA0" w:rsidRPr="002B55E9" w:rsidRDefault="003E2FA0" w:rsidP="00747EDD">
            <w:pPr>
              <w:pStyle w:val="lgy-"/>
              <w:rPr>
                <w:rFonts w:eastAsia="宋体"/>
              </w:rPr>
            </w:pPr>
            <w:r w:rsidRPr="002B55E9">
              <w:rPr>
                <w:rFonts w:eastAsia="宋体" w:hint="eastAsia"/>
              </w:rPr>
              <w:t>排放量</w:t>
            </w:r>
            <w:r w:rsidRPr="002B55E9">
              <w:rPr>
                <w:rFonts w:eastAsia="宋体" w:hint="eastAsia"/>
              </w:rPr>
              <w:t>t/a</w:t>
            </w:r>
          </w:p>
        </w:tc>
        <w:tc>
          <w:tcPr>
            <w:tcW w:w="297" w:type="pct"/>
            <w:noWrap/>
            <w:hideMark/>
          </w:tcPr>
          <w:p w14:paraId="7E1E21B5" w14:textId="77777777" w:rsidR="003E2FA0" w:rsidRPr="002B55E9" w:rsidRDefault="003E2FA0" w:rsidP="00747EDD">
            <w:pPr>
              <w:pStyle w:val="lgy-"/>
              <w:rPr>
                <w:rFonts w:eastAsia="宋体"/>
                <w:szCs w:val="22"/>
              </w:rPr>
            </w:pPr>
            <w:r w:rsidRPr="002B55E9">
              <w:rPr>
                <w:rFonts w:eastAsia="宋体" w:hint="eastAsia"/>
                <w:szCs w:val="22"/>
              </w:rPr>
              <w:t>/</w:t>
            </w:r>
          </w:p>
        </w:tc>
        <w:tc>
          <w:tcPr>
            <w:tcW w:w="429" w:type="pct"/>
            <w:noWrap/>
            <w:hideMark/>
          </w:tcPr>
          <w:p w14:paraId="650005E0"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noWrap/>
            <w:hideMark/>
          </w:tcPr>
          <w:p w14:paraId="4CEE5C95" w14:textId="44DFB44B" w:rsidR="003E2FA0" w:rsidRPr="002B55E9" w:rsidRDefault="003E2FA0" w:rsidP="00747EDD">
            <w:pPr>
              <w:pStyle w:val="lgy-"/>
              <w:rPr>
                <w:rFonts w:eastAsia="宋体"/>
                <w:szCs w:val="22"/>
              </w:rPr>
            </w:pPr>
            <w:r w:rsidRPr="002B55E9">
              <w:rPr>
                <w:rFonts w:eastAsia="宋体" w:hint="eastAsia"/>
                <w:szCs w:val="22"/>
              </w:rPr>
              <w:t xml:space="preserve">0.14 </w:t>
            </w:r>
          </w:p>
        </w:tc>
        <w:tc>
          <w:tcPr>
            <w:tcW w:w="368" w:type="pct"/>
            <w:noWrap/>
            <w:hideMark/>
          </w:tcPr>
          <w:p w14:paraId="6F62A3C8" w14:textId="0E63C56D" w:rsidR="003E2FA0" w:rsidRPr="002B55E9" w:rsidRDefault="003E2FA0" w:rsidP="00747EDD">
            <w:pPr>
              <w:pStyle w:val="lgy-"/>
              <w:rPr>
                <w:rFonts w:eastAsia="宋体"/>
                <w:szCs w:val="22"/>
              </w:rPr>
            </w:pPr>
            <w:r w:rsidRPr="002B55E9">
              <w:rPr>
                <w:rFonts w:eastAsia="宋体" w:hint="eastAsia"/>
                <w:szCs w:val="22"/>
              </w:rPr>
              <w:t xml:space="preserve">0.04 </w:t>
            </w:r>
          </w:p>
        </w:tc>
        <w:tc>
          <w:tcPr>
            <w:tcW w:w="368" w:type="pct"/>
            <w:noWrap/>
            <w:hideMark/>
          </w:tcPr>
          <w:p w14:paraId="36321FD3" w14:textId="33905E63" w:rsidR="003E2FA0" w:rsidRPr="002B55E9" w:rsidRDefault="003E2FA0" w:rsidP="00747EDD">
            <w:pPr>
              <w:pStyle w:val="lgy-"/>
              <w:rPr>
                <w:rFonts w:eastAsia="宋体"/>
                <w:szCs w:val="22"/>
              </w:rPr>
            </w:pPr>
            <w:r w:rsidRPr="002B55E9">
              <w:rPr>
                <w:rFonts w:eastAsia="宋体" w:hint="eastAsia"/>
                <w:szCs w:val="22"/>
              </w:rPr>
              <w:t xml:space="preserve">0.15 </w:t>
            </w:r>
          </w:p>
        </w:tc>
        <w:tc>
          <w:tcPr>
            <w:tcW w:w="368" w:type="pct"/>
            <w:noWrap/>
            <w:hideMark/>
          </w:tcPr>
          <w:p w14:paraId="3BFBB858" w14:textId="4108B322" w:rsidR="003E2FA0" w:rsidRPr="002B55E9" w:rsidRDefault="003E2FA0" w:rsidP="00747EDD">
            <w:pPr>
              <w:pStyle w:val="lgy-"/>
              <w:rPr>
                <w:rFonts w:eastAsia="宋体"/>
                <w:szCs w:val="22"/>
              </w:rPr>
            </w:pPr>
            <w:r w:rsidRPr="002B55E9">
              <w:rPr>
                <w:rFonts w:eastAsia="宋体" w:hint="eastAsia"/>
                <w:szCs w:val="22"/>
              </w:rPr>
              <w:t xml:space="preserve">0.02 </w:t>
            </w:r>
          </w:p>
        </w:tc>
        <w:tc>
          <w:tcPr>
            <w:tcW w:w="462" w:type="pct"/>
            <w:noWrap/>
            <w:hideMark/>
          </w:tcPr>
          <w:p w14:paraId="42DBE7E1" w14:textId="2307E3E8" w:rsidR="003E2FA0" w:rsidRPr="002B55E9" w:rsidRDefault="003E2FA0" w:rsidP="00747EDD">
            <w:pPr>
              <w:pStyle w:val="lgy-"/>
              <w:rPr>
                <w:rFonts w:eastAsia="宋体"/>
                <w:szCs w:val="22"/>
              </w:rPr>
            </w:pPr>
            <w:r w:rsidRPr="002B55E9">
              <w:rPr>
                <w:rFonts w:eastAsia="宋体" w:hint="eastAsia"/>
                <w:szCs w:val="22"/>
              </w:rPr>
              <w:t xml:space="preserve">0.03 </w:t>
            </w:r>
          </w:p>
        </w:tc>
        <w:tc>
          <w:tcPr>
            <w:tcW w:w="396" w:type="pct"/>
            <w:noWrap/>
            <w:hideMark/>
          </w:tcPr>
          <w:p w14:paraId="095B6966" w14:textId="3ABA390B" w:rsidR="003E2FA0" w:rsidRPr="002B55E9" w:rsidRDefault="003E2FA0" w:rsidP="00747EDD">
            <w:pPr>
              <w:pStyle w:val="lgy-"/>
              <w:rPr>
                <w:rFonts w:eastAsia="宋体"/>
                <w:szCs w:val="22"/>
              </w:rPr>
            </w:pPr>
            <w:r w:rsidRPr="002B55E9">
              <w:rPr>
                <w:rFonts w:eastAsia="宋体" w:hint="eastAsia"/>
                <w:szCs w:val="22"/>
              </w:rPr>
              <w:t xml:space="preserve">0.001 </w:t>
            </w:r>
          </w:p>
        </w:tc>
        <w:tc>
          <w:tcPr>
            <w:tcW w:w="498" w:type="pct"/>
            <w:noWrap/>
            <w:hideMark/>
          </w:tcPr>
          <w:p w14:paraId="12E72C8C" w14:textId="32A5B4C3" w:rsidR="003E2FA0" w:rsidRPr="002B55E9" w:rsidRDefault="003E2FA0" w:rsidP="00747EDD">
            <w:pPr>
              <w:pStyle w:val="lgy-"/>
              <w:rPr>
                <w:rFonts w:eastAsia="宋体"/>
                <w:szCs w:val="22"/>
              </w:rPr>
            </w:pPr>
            <w:r w:rsidRPr="002B55E9">
              <w:rPr>
                <w:rFonts w:eastAsia="宋体" w:hint="eastAsia"/>
                <w:szCs w:val="22"/>
              </w:rPr>
              <w:t xml:space="preserve">0.02 </w:t>
            </w:r>
          </w:p>
        </w:tc>
      </w:tr>
      <w:tr w:rsidR="003E2FA0" w:rsidRPr="002B55E9" w14:paraId="3E918723" w14:textId="77777777" w:rsidTr="003E2FA0">
        <w:trPr>
          <w:trHeight w:val="283"/>
        </w:trPr>
        <w:tc>
          <w:tcPr>
            <w:tcW w:w="1420" w:type="pct"/>
            <w:gridSpan w:val="3"/>
            <w:noWrap/>
            <w:hideMark/>
          </w:tcPr>
          <w:p w14:paraId="2ECD3110" w14:textId="77777777" w:rsidR="003E2FA0" w:rsidRPr="002B55E9" w:rsidRDefault="003E2FA0" w:rsidP="00747EDD">
            <w:pPr>
              <w:pStyle w:val="lgy-"/>
              <w:rPr>
                <w:rFonts w:eastAsia="宋体"/>
                <w:szCs w:val="22"/>
              </w:rPr>
            </w:pPr>
            <w:r w:rsidRPr="002B55E9">
              <w:rPr>
                <w:rFonts w:eastAsia="宋体" w:hint="eastAsia"/>
                <w:szCs w:val="22"/>
              </w:rPr>
              <w:t>标准限值</w:t>
            </w:r>
          </w:p>
        </w:tc>
        <w:tc>
          <w:tcPr>
            <w:tcW w:w="297" w:type="pct"/>
            <w:noWrap/>
            <w:hideMark/>
          </w:tcPr>
          <w:p w14:paraId="10E011FA" w14:textId="77777777" w:rsidR="003E2FA0" w:rsidRPr="002B55E9" w:rsidRDefault="003E2FA0" w:rsidP="00747EDD">
            <w:pPr>
              <w:pStyle w:val="lgy-"/>
              <w:rPr>
                <w:rFonts w:eastAsia="宋体"/>
                <w:szCs w:val="22"/>
              </w:rPr>
            </w:pPr>
            <w:r w:rsidRPr="002B55E9">
              <w:rPr>
                <w:rFonts w:eastAsia="宋体" w:hint="eastAsia"/>
                <w:szCs w:val="22"/>
              </w:rPr>
              <w:t>6~9</w:t>
            </w:r>
          </w:p>
        </w:tc>
        <w:tc>
          <w:tcPr>
            <w:tcW w:w="429" w:type="pct"/>
            <w:noWrap/>
            <w:hideMark/>
          </w:tcPr>
          <w:p w14:paraId="7F1E4B27" w14:textId="77777777" w:rsidR="003E2FA0" w:rsidRPr="002B55E9" w:rsidRDefault="003E2FA0" w:rsidP="00747EDD">
            <w:pPr>
              <w:pStyle w:val="lgy-"/>
              <w:rPr>
                <w:rFonts w:eastAsia="宋体"/>
                <w:szCs w:val="22"/>
              </w:rPr>
            </w:pPr>
            <w:r w:rsidRPr="002B55E9">
              <w:rPr>
                <w:rFonts w:eastAsia="宋体" w:hint="eastAsia"/>
                <w:szCs w:val="22"/>
              </w:rPr>
              <w:t>/</w:t>
            </w:r>
          </w:p>
        </w:tc>
        <w:tc>
          <w:tcPr>
            <w:tcW w:w="395" w:type="pct"/>
            <w:noWrap/>
            <w:hideMark/>
          </w:tcPr>
          <w:p w14:paraId="4836253B" w14:textId="77777777" w:rsidR="003E2FA0" w:rsidRPr="002B55E9" w:rsidRDefault="003E2FA0" w:rsidP="00747EDD">
            <w:pPr>
              <w:pStyle w:val="lgy-"/>
              <w:rPr>
                <w:rFonts w:eastAsia="宋体"/>
                <w:szCs w:val="22"/>
              </w:rPr>
            </w:pPr>
            <w:r w:rsidRPr="002B55E9">
              <w:rPr>
                <w:rFonts w:eastAsia="宋体" w:hint="eastAsia"/>
                <w:szCs w:val="22"/>
              </w:rPr>
              <w:t>320</w:t>
            </w:r>
          </w:p>
        </w:tc>
        <w:tc>
          <w:tcPr>
            <w:tcW w:w="368" w:type="pct"/>
            <w:noWrap/>
            <w:hideMark/>
          </w:tcPr>
          <w:p w14:paraId="603F3142" w14:textId="77777777" w:rsidR="003E2FA0" w:rsidRPr="002B55E9" w:rsidRDefault="003E2FA0" w:rsidP="00747EDD">
            <w:pPr>
              <w:pStyle w:val="lgy-"/>
              <w:rPr>
                <w:rFonts w:eastAsia="宋体"/>
                <w:szCs w:val="22"/>
              </w:rPr>
            </w:pPr>
            <w:r w:rsidRPr="002B55E9">
              <w:rPr>
                <w:rFonts w:eastAsia="宋体" w:hint="eastAsia"/>
                <w:szCs w:val="22"/>
              </w:rPr>
              <w:t>170</w:t>
            </w:r>
          </w:p>
        </w:tc>
        <w:tc>
          <w:tcPr>
            <w:tcW w:w="368" w:type="pct"/>
            <w:noWrap/>
            <w:hideMark/>
          </w:tcPr>
          <w:p w14:paraId="73518F3C" w14:textId="77777777" w:rsidR="003E2FA0" w:rsidRPr="002B55E9" w:rsidRDefault="003E2FA0" w:rsidP="00747EDD">
            <w:pPr>
              <w:pStyle w:val="lgy-"/>
              <w:rPr>
                <w:rFonts w:eastAsia="宋体"/>
                <w:szCs w:val="22"/>
              </w:rPr>
            </w:pPr>
            <w:r w:rsidRPr="002B55E9">
              <w:rPr>
                <w:rFonts w:eastAsia="宋体" w:hint="eastAsia"/>
                <w:szCs w:val="22"/>
              </w:rPr>
              <w:t>200</w:t>
            </w:r>
          </w:p>
        </w:tc>
        <w:tc>
          <w:tcPr>
            <w:tcW w:w="368" w:type="pct"/>
            <w:noWrap/>
            <w:hideMark/>
          </w:tcPr>
          <w:p w14:paraId="1AF0DDF8" w14:textId="77777777" w:rsidR="003E2FA0" w:rsidRPr="002B55E9" w:rsidRDefault="003E2FA0" w:rsidP="00747EDD">
            <w:pPr>
              <w:pStyle w:val="lgy-"/>
              <w:rPr>
                <w:rFonts w:eastAsia="宋体"/>
                <w:szCs w:val="22"/>
              </w:rPr>
            </w:pPr>
            <w:r w:rsidRPr="002B55E9">
              <w:rPr>
                <w:rFonts w:eastAsia="宋体" w:hint="eastAsia"/>
                <w:szCs w:val="22"/>
              </w:rPr>
              <w:t>35</w:t>
            </w:r>
          </w:p>
        </w:tc>
        <w:tc>
          <w:tcPr>
            <w:tcW w:w="462" w:type="pct"/>
            <w:noWrap/>
            <w:hideMark/>
          </w:tcPr>
          <w:p w14:paraId="25803F99" w14:textId="77777777" w:rsidR="003E2FA0" w:rsidRPr="002B55E9" w:rsidRDefault="003E2FA0" w:rsidP="00747EDD">
            <w:pPr>
              <w:pStyle w:val="lgy-"/>
              <w:rPr>
                <w:rFonts w:eastAsia="宋体"/>
                <w:szCs w:val="22"/>
              </w:rPr>
            </w:pPr>
            <w:r w:rsidRPr="002B55E9">
              <w:rPr>
                <w:rFonts w:eastAsia="宋体" w:hint="eastAsia"/>
                <w:szCs w:val="22"/>
              </w:rPr>
              <w:t>40</w:t>
            </w:r>
          </w:p>
        </w:tc>
        <w:tc>
          <w:tcPr>
            <w:tcW w:w="396" w:type="pct"/>
            <w:noWrap/>
            <w:hideMark/>
          </w:tcPr>
          <w:p w14:paraId="44149584" w14:textId="77777777" w:rsidR="003E2FA0" w:rsidRPr="002B55E9" w:rsidRDefault="003E2FA0" w:rsidP="00747EDD">
            <w:pPr>
              <w:pStyle w:val="lgy-"/>
              <w:rPr>
                <w:rFonts w:eastAsia="宋体"/>
                <w:szCs w:val="22"/>
              </w:rPr>
            </w:pPr>
            <w:r w:rsidRPr="002B55E9">
              <w:rPr>
                <w:rFonts w:eastAsia="宋体" w:hint="eastAsia"/>
                <w:szCs w:val="22"/>
              </w:rPr>
              <w:t>3.5</w:t>
            </w:r>
          </w:p>
        </w:tc>
        <w:tc>
          <w:tcPr>
            <w:tcW w:w="498" w:type="pct"/>
            <w:noWrap/>
            <w:hideMark/>
          </w:tcPr>
          <w:p w14:paraId="64B8C6FC" w14:textId="77777777" w:rsidR="003E2FA0" w:rsidRPr="002B55E9" w:rsidRDefault="003E2FA0" w:rsidP="00747EDD">
            <w:pPr>
              <w:pStyle w:val="lgy-"/>
              <w:rPr>
                <w:rFonts w:eastAsia="宋体"/>
                <w:szCs w:val="22"/>
              </w:rPr>
            </w:pPr>
            <w:r w:rsidRPr="002B55E9">
              <w:rPr>
                <w:rFonts w:eastAsia="宋体" w:hint="eastAsia"/>
                <w:szCs w:val="22"/>
              </w:rPr>
              <w:t>100</w:t>
            </w:r>
          </w:p>
        </w:tc>
      </w:tr>
    </w:tbl>
    <w:p w14:paraId="21AF877E" w14:textId="77777777" w:rsidR="00D03F60" w:rsidRPr="002B55E9" w:rsidRDefault="00747EDD" w:rsidP="00D03F60">
      <w:pPr>
        <w:pStyle w:val="affff7"/>
        <w:rPr>
          <w:szCs w:val="24"/>
        </w:rPr>
      </w:pPr>
      <w:r w:rsidRPr="002B55E9">
        <w:rPr>
          <w:rFonts w:hint="eastAsia"/>
          <w:szCs w:val="24"/>
        </w:rPr>
        <w:t>由上表可知，拟建项目废水排入佛山市海天（武汉）调味食品有限公司污水处理站后与佛山市海天（武汉）调味食品有限公司</w:t>
      </w:r>
      <w:r w:rsidR="00D03F60" w:rsidRPr="002B55E9">
        <w:rPr>
          <w:rFonts w:hint="eastAsia"/>
          <w:szCs w:val="24"/>
        </w:rPr>
        <w:t>废水混合处理后，总排口污染物排放浓度均可满足《污水综合排放标准》（</w:t>
      </w:r>
      <w:r w:rsidR="00D03F60" w:rsidRPr="002B55E9">
        <w:rPr>
          <w:rFonts w:hint="eastAsia"/>
          <w:szCs w:val="24"/>
        </w:rPr>
        <w:t>GB8978-1996</w:t>
      </w:r>
      <w:r w:rsidR="00D03F60" w:rsidRPr="002B55E9">
        <w:rPr>
          <w:rFonts w:hint="eastAsia"/>
          <w:szCs w:val="24"/>
        </w:rPr>
        <w:t>）中三级标准以及东西湖区污水处理厂纳管要求</w:t>
      </w:r>
      <w:r w:rsidR="00D03F60" w:rsidRPr="002B55E9">
        <w:rPr>
          <w:szCs w:val="24"/>
        </w:rPr>
        <w:t>。</w:t>
      </w:r>
    </w:p>
    <w:p w14:paraId="0FDE72BE" w14:textId="58EBB671" w:rsidR="00D170E5" w:rsidRPr="002B55E9" w:rsidRDefault="00EF27AD" w:rsidP="007F1BA2">
      <w:pPr>
        <w:pStyle w:val="affff7"/>
        <w:snapToGrid w:val="0"/>
        <w:spacing w:after="0"/>
      </w:pPr>
      <w:r w:rsidRPr="002B55E9">
        <w:rPr>
          <w:rFonts w:hint="eastAsia"/>
          <w:szCs w:val="24"/>
        </w:rPr>
        <w:t>根据《排污许可证申请与核发技术规范食品制造工业</w:t>
      </w:r>
      <w:r w:rsidRPr="002B55E9">
        <w:rPr>
          <w:szCs w:val="24"/>
        </w:rPr>
        <w:t xml:space="preserve">  </w:t>
      </w:r>
      <w:r w:rsidRPr="002B55E9">
        <w:rPr>
          <w:rFonts w:hint="eastAsia"/>
          <w:szCs w:val="24"/>
        </w:rPr>
        <w:t>调味品、发酵制品制造业》（</w:t>
      </w:r>
      <w:r w:rsidRPr="002B55E9">
        <w:rPr>
          <w:szCs w:val="24"/>
        </w:rPr>
        <w:t>HJ 1030.2--2019</w:t>
      </w:r>
      <w:r w:rsidRPr="002B55E9">
        <w:rPr>
          <w:rFonts w:hint="eastAsia"/>
          <w:szCs w:val="24"/>
        </w:rPr>
        <w:t>），</w:t>
      </w:r>
      <w:r w:rsidR="00AB598C" w:rsidRPr="002B55E9">
        <w:rPr>
          <w:rFonts w:hint="eastAsia"/>
          <w:szCs w:val="24"/>
        </w:rPr>
        <w:t>除柠檬酸、味精、母制造以外的其他制造</w:t>
      </w:r>
      <w:r w:rsidR="007F1BA2" w:rsidRPr="002B55E9">
        <w:rPr>
          <w:rFonts w:hint="eastAsia"/>
          <w:szCs w:val="24"/>
        </w:rPr>
        <w:t>业</w:t>
      </w:r>
      <w:r w:rsidR="00AB598C" w:rsidRPr="002B55E9">
        <w:rPr>
          <w:rFonts w:hint="eastAsia"/>
          <w:szCs w:val="24"/>
        </w:rPr>
        <w:t>综合废水间接排放处理可行技术为：预处理（粗（细）格栅；调节；酸化；沉淀；气浮）</w:t>
      </w:r>
      <w:r w:rsidR="00AB598C" w:rsidRPr="002B55E9">
        <w:rPr>
          <w:rFonts w:hint="eastAsia"/>
          <w:szCs w:val="24"/>
        </w:rPr>
        <w:t>+</w:t>
      </w:r>
      <w:r w:rsidR="00AB598C" w:rsidRPr="002B55E9">
        <w:rPr>
          <w:rFonts w:hint="eastAsia"/>
          <w:szCs w:val="24"/>
        </w:rPr>
        <w:t>生化处理（厌氧处理（</w:t>
      </w:r>
      <w:r w:rsidR="00AB598C" w:rsidRPr="002B55E9">
        <w:rPr>
          <w:rFonts w:hint="eastAsia"/>
          <w:szCs w:val="24"/>
        </w:rPr>
        <w:t>UASB</w:t>
      </w:r>
      <w:r w:rsidR="00AB598C" w:rsidRPr="002B55E9">
        <w:rPr>
          <w:rFonts w:hint="eastAsia"/>
          <w:szCs w:val="24"/>
        </w:rPr>
        <w:t>、</w:t>
      </w:r>
      <w:r w:rsidR="00AB598C" w:rsidRPr="002B55E9">
        <w:rPr>
          <w:rFonts w:hint="eastAsia"/>
          <w:szCs w:val="24"/>
        </w:rPr>
        <w:t>IC</w:t>
      </w:r>
      <w:r w:rsidR="00AB598C" w:rsidRPr="002B55E9">
        <w:rPr>
          <w:rFonts w:hint="eastAsia"/>
          <w:szCs w:val="24"/>
        </w:rPr>
        <w:t>反应器等）</w:t>
      </w:r>
      <w:r w:rsidR="00AB598C" w:rsidRPr="002B55E9">
        <w:rPr>
          <w:rFonts w:hint="eastAsia"/>
          <w:szCs w:val="24"/>
        </w:rPr>
        <w:t>+</w:t>
      </w:r>
      <w:r w:rsidR="00AB598C" w:rsidRPr="002B55E9">
        <w:rPr>
          <w:rFonts w:hint="eastAsia"/>
          <w:szCs w:val="24"/>
        </w:rPr>
        <w:t>好氧处理），本项目</w:t>
      </w:r>
      <w:r w:rsidRPr="002B55E9">
        <w:rPr>
          <w:rFonts w:hint="eastAsia"/>
          <w:szCs w:val="24"/>
        </w:rPr>
        <w:t>污水处理站处理工艺为</w:t>
      </w:r>
      <w:r w:rsidR="007F1BA2" w:rsidRPr="002B55E9">
        <w:rPr>
          <w:rFonts w:hint="eastAsia"/>
          <w:szCs w:val="24"/>
        </w:rPr>
        <w:t>“预处理</w:t>
      </w:r>
      <w:r w:rsidR="007F1BA2" w:rsidRPr="002B55E9">
        <w:rPr>
          <w:rFonts w:hint="eastAsia"/>
          <w:szCs w:val="24"/>
        </w:rPr>
        <w:t>+</w:t>
      </w:r>
      <w:r w:rsidR="007F1BA2" w:rsidRPr="002B55E9">
        <w:rPr>
          <w:rFonts w:hint="eastAsia"/>
          <w:szCs w:val="24"/>
        </w:rPr>
        <w:t>厌氧</w:t>
      </w:r>
      <w:r w:rsidR="007F1BA2" w:rsidRPr="002B55E9">
        <w:rPr>
          <w:rFonts w:hint="eastAsia"/>
          <w:szCs w:val="24"/>
        </w:rPr>
        <w:t>+AO</w:t>
      </w:r>
      <w:r w:rsidR="007F1BA2" w:rsidRPr="002B55E9">
        <w:rPr>
          <w:rFonts w:hint="eastAsia"/>
          <w:szCs w:val="24"/>
        </w:rPr>
        <w:t>系统</w:t>
      </w:r>
      <w:r w:rsidR="007F1BA2" w:rsidRPr="002B55E9">
        <w:rPr>
          <w:rFonts w:hint="eastAsia"/>
          <w:szCs w:val="24"/>
        </w:rPr>
        <w:t>+</w:t>
      </w:r>
      <w:r w:rsidR="007F1BA2" w:rsidRPr="002B55E9">
        <w:rPr>
          <w:rFonts w:hint="eastAsia"/>
          <w:szCs w:val="24"/>
        </w:rPr>
        <w:t>深度处</w:t>
      </w:r>
      <w:r w:rsidR="007F1BA2" w:rsidRPr="002B55E9">
        <w:rPr>
          <w:rFonts w:hint="eastAsia"/>
          <w:szCs w:val="24"/>
        </w:rPr>
        <w:lastRenderedPageBreak/>
        <w:t>理”，包含预处理和生化处理工艺，属于技术规范中的</w:t>
      </w:r>
      <w:r w:rsidRPr="002B55E9">
        <w:rPr>
          <w:rFonts w:hint="eastAsia"/>
          <w:szCs w:val="24"/>
        </w:rPr>
        <w:t>可行技术。故项目废水依托</w:t>
      </w:r>
      <w:r w:rsidRPr="002B55E9">
        <w:rPr>
          <w:rFonts w:hint="eastAsia"/>
        </w:rPr>
        <w:t>佛山市海天（武汉）调味食品有限公司污水处理站处理从水质方面分析可行。</w:t>
      </w:r>
    </w:p>
    <w:p w14:paraId="63E492C0" w14:textId="77777777" w:rsidR="00D170E5" w:rsidRPr="002B55E9" w:rsidRDefault="00EF27AD">
      <w:pPr>
        <w:pStyle w:val="affff7"/>
        <w:snapToGrid w:val="0"/>
        <w:spacing w:after="0"/>
        <w:ind w:firstLine="482"/>
        <w:rPr>
          <w:b/>
          <w:bCs w:val="0"/>
          <w:szCs w:val="24"/>
        </w:rPr>
      </w:pPr>
      <w:r w:rsidRPr="002B55E9">
        <w:rPr>
          <w:rFonts w:hint="eastAsia"/>
          <w:b/>
          <w:bCs w:val="0"/>
          <w:szCs w:val="24"/>
        </w:rPr>
        <w:t>（</w:t>
      </w:r>
      <w:r w:rsidRPr="002B55E9">
        <w:rPr>
          <w:rFonts w:hint="eastAsia"/>
          <w:b/>
          <w:bCs w:val="0"/>
          <w:szCs w:val="24"/>
        </w:rPr>
        <w:t>4</w:t>
      </w:r>
      <w:r w:rsidRPr="002B55E9">
        <w:rPr>
          <w:rFonts w:hint="eastAsia"/>
          <w:b/>
          <w:bCs w:val="0"/>
          <w:szCs w:val="24"/>
        </w:rPr>
        <w:t>）依托处理的环境影响可行性</w:t>
      </w:r>
    </w:p>
    <w:p w14:paraId="52DEC4A3" w14:textId="77777777" w:rsidR="00D170E5" w:rsidRPr="002B55E9" w:rsidRDefault="00EF27AD">
      <w:pPr>
        <w:pStyle w:val="affff7"/>
        <w:numPr>
          <w:ilvl w:val="0"/>
          <w:numId w:val="27"/>
        </w:numPr>
        <w:snapToGrid w:val="0"/>
        <w:spacing w:after="0"/>
        <w:ind w:firstLineChars="0"/>
        <w:rPr>
          <w:b/>
          <w:bCs w:val="0"/>
          <w:szCs w:val="24"/>
        </w:rPr>
      </w:pPr>
      <w:r w:rsidRPr="002B55E9">
        <w:rPr>
          <w:rFonts w:hint="eastAsia"/>
          <w:b/>
          <w:bCs w:val="0"/>
          <w:szCs w:val="24"/>
        </w:rPr>
        <w:t>废气环境影响</w:t>
      </w:r>
    </w:p>
    <w:p w14:paraId="472A88D7" w14:textId="77777777" w:rsidR="00D170E5" w:rsidRPr="002B55E9" w:rsidRDefault="00EF27AD">
      <w:pPr>
        <w:pStyle w:val="affff7"/>
        <w:snapToGrid w:val="0"/>
        <w:rPr>
          <w:szCs w:val="24"/>
        </w:rPr>
      </w:pPr>
      <w:r w:rsidRPr="002B55E9">
        <w:rPr>
          <w:rFonts w:hint="eastAsia"/>
          <w:szCs w:val="24"/>
        </w:rPr>
        <w:t>污水处理站的恶臭主要来自于沉淀池、污泥浓缩池和污泥脱水间等，污染物主要为硫化氢、氨等恶臭气体。</w:t>
      </w:r>
    </w:p>
    <w:p w14:paraId="45D081F6" w14:textId="6CA3D4F3" w:rsidR="00D170E5" w:rsidRPr="002B55E9" w:rsidRDefault="00EF27AD">
      <w:pPr>
        <w:pStyle w:val="affff7"/>
        <w:snapToGrid w:val="0"/>
        <w:spacing w:after="0"/>
        <w:rPr>
          <w:szCs w:val="24"/>
        </w:rPr>
      </w:pPr>
      <w:r w:rsidRPr="002B55E9">
        <w:rPr>
          <w:rFonts w:hint="eastAsia"/>
          <w:szCs w:val="24"/>
        </w:rPr>
        <w:t>根据</w:t>
      </w:r>
      <w:r w:rsidRPr="002B55E9">
        <w:rPr>
          <w:szCs w:val="24"/>
        </w:rPr>
        <w:t>《</w:t>
      </w:r>
      <w:r w:rsidRPr="002B55E9">
        <w:rPr>
          <w:rFonts w:hint="eastAsia"/>
          <w:szCs w:val="24"/>
        </w:rPr>
        <w:t>海天调味品建设项目（一期）环境影响报告表</w:t>
      </w:r>
      <w:r w:rsidRPr="002B55E9">
        <w:rPr>
          <w:szCs w:val="24"/>
        </w:rPr>
        <w:t>》</w:t>
      </w:r>
      <w:r w:rsidRPr="002B55E9">
        <w:rPr>
          <w:rFonts w:hint="eastAsia"/>
          <w:szCs w:val="24"/>
        </w:rPr>
        <w:t>（报批稿），佛山市海天（武汉）调味食品有限公司拟对“调节池、沉淀池、生化池、污泥浓缩池和污泥脱水间”等处构筑物加盖封闭处理，恶臭气体收集后经一套碱洗塔</w:t>
      </w:r>
      <w:r w:rsidRPr="002B55E9">
        <w:rPr>
          <w:szCs w:val="24"/>
        </w:rPr>
        <w:t>+</w:t>
      </w:r>
      <w:r w:rsidRPr="002B55E9">
        <w:rPr>
          <w:rFonts w:hint="eastAsia"/>
          <w:szCs w:val="24"/>
        </w:rPr>
        <w:t>生物除臭装置进行处理，最终由</w:t>
      </w:r>
      <w:r w:rsidRPr="002B55E9">
        <w:rPr>
          <w:szCs w:val="24"/>
        </w:rPr>
        <w:t>20m</w:t>
      </w:r>
      <w:r w:rsidRPr="002B55E9">
        <w:rPr>
          <w:rFonts w:hint="eastAsia"/>
          <w:szCs w:val="24"/>
        </w:rPr>
        <w:t>高排气筒排放。配套的除臭装置风机风量为</w:t>
      </w:r>
      <w:r w:rsidRPr="002B55E9">
        <w:rPr>
          <w:szCs w:val="24"/>
        </w:rPr>
        <w:t>8000m</w:t>
      </w:r>
      <w:r w:rsidRPr="002B55E9">
        <w:rPr>
          <w:szCs w:val="24"/>
          <w:vertAlign w:val="superscript"/>
        </w:rPr>
        <w:t>3</w:t>
      </w:r>
      <w:r w:rsidRPr="002B55E9">
        <w:rPr>
          <w:szCs w:val="24"/>
        </w:rPr>
        <w:t>/h</w:t>
      </w:r>
      <w:r w:rsidRPr="002B55E9">
        <w:rPr>
          <w:rFonts w:hint="eastAsia"/>
          <w:szCs w:val="24"/>
        </w:rPr>
        <w:t>，恶臭气体的收集效率为</w:t>
      </w:r>
      <w:r w:rsidRPr="002B55E9">
        <w:rPr>
          <w:szCs w:val="24"/>
        </w:rPr>
        <w:t>90%</w:t>
      </w:r>
      <w:r w:rsidRPr="002B55E9">
        <w:rPr>
          <w:rFonts w:hint="eastAsia"/>
          <w:szCs w:val="24"/>
        </w:rPr>
        <w:t>、净化率为</w:t>
      </w:r>
      <w:r w:rsidRPr="002B55E9">
        <w:rPr>
          <w:szCs w:val="24"/>
        </w:rPr>
        <w:t>70%</w:t>
      </w:r>
      <w:r w:rsidRPr="002B55E9">
        <w:rPr>
          <w:rFonts w:hint="eastAsia"/>
          <w:szCs w:val="24"/>
        </w:rPr>
        <w:t>。海天调味品建设项目（一期）最大</w:t>
      </w:r>
      <w:r w:rsidRPr="002B55E9">
        <w:rPr>
          <w:szCs w:val="24"/>
        </w:rPr>
        <w:t>日排水量为</w:t>
      </w:r>
      <w:r w:rsidRPr="002B55E9">
        <w:rPr>
          <w:rFonts w:hint="eastAsia"/>
          <w:szCs w:val="24"/>
        </w:rPr>
        <w:t>385</w:t>
      </w:r>
      <w:r w:rsidRPr="002B55E9">
        <w:rPr>
          <w:szCs w:val="24"/>
        </w:rPr>
        <w:t xml:space="preserve"> m</w:t>
      </w:r>
      <w:r w:rsidRPr="002B55E9">
        <w:rPr>
          <w:szCs w:val="24"/>
          <w:vertAlign w:val="superscript"/>
        </w:rPr>
        <w:t>3</w:t>
      </w:r>
      <w:r w:rsidRPr="002B55E9">
        <w:rPr>
          <w:rFonts w:hint="eastAsia"/>
          <w:szCs w:val="24"/>
        </w:rPr>
        <w:t>/d</w:t>
      </w:r>
      <w:r w:rsidRPr="002B55E9">
        <w:rPr>
          <w:rFonts w:hint="eastAsia"/>
          <w:szCs w:val="24"/>
        </w:rPr>
        <w:t>，拟建</w:t>
      </w:r>
      <w:r w:rsidRPr="002B55E9">
        <w:rPr>
          <w:szCs w:val="24"/>
        </w:rPr>
        <w:t>项目</w:t>
      </w:r>
      <w:r w:rsidRPr="002B55E9">
        <w:rPr>
          <w:rFonts w:hint="eastAsia"/>
          <w:szCs w:val="24"/>
        </w:rPr>
        <w:t>日</w:t>
      </w:r>
      <w:r w:rsidRPr="002B55E9">
        <w:rPr>
          <w:szCs w:val="24"/>
        </w:rPr>
        <w:t>排</w:t>
      </w:r>
      <w:r w:rsidRPr="002B55E9">
        <w:rPr>
          <w:rFonts w:hint="eastAsia"/>
          <w:szCs w:val="24"/>
        </w:rPr>
        <w:t>水量约</w:t>
      </w:r>
      <w:r w:rsidRPr="002B55E9">
        <w:rPr>
          <w:szCs w:val="24"/>
        </w:rPr>
        <w:t>为</w:t>
      </w:r>
      <w:r w:rsidR="0054267F" w:rsidRPr="002B55E9">
        <w:rPr>
          <w:rFonts w:hint="eastAsia"/>
          <w:szCs w:val="24"/>
        </w:rPr>
        <w:t>523</w:t>
      </w:r>
      <w:r w:rsidRPr="002B55E9">
        <w:rPr>
          <w:szCs w:val="24"/>
        </w:rPr>
        <w:t xml:space="preserve"> m</w:t>
      </w:r>
      <w:r w:rsidRPr="002B55E9">
        <w:rPr>
          <w:szCs w:val="24"/>
          <w:vertAlign w:val="superscript"/>
        </w:rPr>
        <w:t>3</w:t>
      </w:r>
      <w:r w:rsidRPr="002B55E9">
        <w:rPr>
          <w:rFonts w:hint="eastAsia"/>
          <w:szCs w:val="24"/>
        </w:rPr>
        <w:t>/d</w:t>
      </w:r>
      <w:r w:rsidRPr="002B55E9">
        <w:rPr>
          <w:rFonts w:hint="eastAsia"/>
          <w:szCs w:val="24"/>
        </w:rPr>
        <w:t>，合计处理水量为</w:t>
      </w:r>
      <w:r w:rsidR="0054267F" w:rsidRPr="002B55E9">
        <w:rPr>
          <w:szCs w:val="24"/>
        </w:rPr>
        <w:t>908</w:t>
      </w:r>
      <w:r w:rsidRPr="002B55E9">
        <w:rPr>
          <w:szCs w:val="24"/>
        </w:rPr>
        <w:t>m</w:t>
      </w:r>
      <w:r w:rsidRPr="002B55E9">
        <w:rPr>
          <w:szCs w:val="24"/>
          <w:vertAlign w:val="superscript"/>
        </w:rPr>
        <w:t>3</w:t>
      </w:r>
      <w:r w:rsidRPr="002B55E9">
        <w:rPr>
          <w:rFonts w:hint="eastAsia"/>
          <w:szCs w:val="24"/>
        </w:rPr>
        <w:t>/d</w:t>
      </w:r>
      <w:r w:rsidRPr="002B55E9">
        <w:rPr>
          <w:rFonts w:hint="eastAsia"/>
          <w:szCs w:val="24"/>
        </w:rPr>
        <w:t>。污水处理站废气处理工艺见下图。</w:t>
      </w:r>
    </w:p>
    <w:tbl>
      <w:tblPr>
        <w:tblStyle w:val="afffa"/>
        <w:tblW w:w="96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07"/>
      </w:tblGrid>
      <w:tr w:rsidR="002B55E9" w:rsidRPr="002B55E9" w14:paraId="5D88382E" w14:textId="77777777">
        <w:tc>
          <w:tcPr>
            <w:tcW w:w="9607" w:type="dxa"/>
          </w:tcPr>
          <w:p w14:paraId="6B169CBF" w14:textId="77777777" w:rsidR="00D170E5" w:rsidRPr="002B55E9" w:rsidRDefault="00EF27AD">
            <w:pPr>
              <w:pStyle w:val="lgy-"/>
            </w:pPr>
            <w:r w:rsidRPr="002B55E9">
              <w:rPr>
                <w:rFonts w:hint="eastAsia"/>
                <w:noProof/>
              </w:rPr>
              <w:drawing>
                <wp:inline distT="0" distB="0" distL="0" distR="0" wp14:anchorId="78A0E65D" wp14:editId="4FB269C2">
                  <wp:extent cx="5381625" cy="87439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24795" cy="881522"/>
                          </a:xfrm>
                          <a:prstGeom prst="rect">
                            <a:avLst/>
                          </a:prstGeom>
                          <a:noFill/>
                          <a:ln>
                            <a:noFill/>
                          </a:ln>
                        </pic:spPr>
                      </pic:pic>
                    </a:graphicData>
                  </a:graphic>
                </wp:inline>
              </w:drawing>
            </w:r>
          </w:p>
        </w:tc>
      </w:tr>
    </w:tbl>
    <w:p w14:paraId="4DE03306" w14:textId="77777777" w:rsidR="00D170E5" w:rsidRPr="002B55E9" w:rsidRDefault="00EF27AD">
      <w:pPr>
        <w:pStyle w:val="lgy"/>
        <w:rPr>
          <w:rFonts w:ascii="黑体" w:eastAsia="黑体" w:hAnsi="黑体"/>
          <w:color w:val="auto"/>
          <w:sz w:val="24"/>
          <w:szCs w:val="24"/>
        </w:rPr>
      </w:pPr>
      <w:r w:rsidRPr="002B55E9">
        <w:rPr>
          <w:rFonts w:ascii="黑体" w:eastAsia="黑体" w:hAnsi="黑体"/>
          <w:color w:val="auto"/>
          <w:sz w:val="24"/>
          <w:szCs w:val="24"/>
        </w:rPr>
        <w:t xml:space="preserve">图5-3-2 </w:t>
      </w:r>
      <w:r w:rsidRPr="002B55E9">
        <w:rPr>
          <w:rFonts w:ascii="黑体" w:eastAsia="黑体" w:hAnsi="黑体" w:hint="eastAsia"/>
          <w:color w:val="auto"/>
          <w:sz w:val="24"/>
          <w:szCs w:val="24"/>
        </w:rPr>
        <w:t>污水处理站废气处理工艺</w:t>
      </w:r>
      <w:r w:rsidRPr="002B55E9">
        <w:rPr>
          <w:rFonts w:ascii="黑体" w:eastAsia="黑体" w:hAnsi="黑体"/>
          <w:color w:val="auto"/>
          <w:sz w:val="24"/>
          <w:szCs w:val="24"/>
        </w:rPr>
        <w:t>示意图</w:t>
      </w:r>
    </w:p>
    <w:p w14:paraId="2D123FC1" w14:textId="77777777" w:rsidR="00D170E5" w:rsidRPr="002B55E9" w:rsidRDefault="00EF27AD">
      <w:pPr>
        <w:pStyle w:val="affff7"/>
        <w:snapToGrid w:val="0"/>
        <w:rPr>
          <w:szCs w:val="24"/>
        </w:rPr>
      </w:pPr>
      <w:r w:rsidRPr="002B55E9">
        <w:rPr>
          <w:rFonts w:hint="eastAsia"/>
          <w:szCs w:val="24"/>
        </w:rPr>
        <w:t>①达标排放可行性</w:t>
      </w:r>
    </w:p>
    <w:p w14:paraId="30248909" w14:textId="77777777" w:rsidR="00D170E5" w:rsidRPr="002B55E9" w:rsidRDefault="00EF27AD">
      <w:pPr>
        <w:pStyle w:val="affff7"/>
        <w:snapToGrid w:val="0"/>
        <w:rPr>
          <w:szCs w:val="24"/>
        </w:rPr>
      </w:pPr>
      <w:r w:rsidRPr="002B55E9">
        <w:rPr>
          <w:rFonts w:hint="eastAsia"/>
          <w:szCs w:val="24"/>
        </w:rPr>
        <w:t>硫化氢和氨的产生浓度参考佛山市海天（高明）调味食品有限公司第一季度污水处理站监测报告数据（广东恒畅环保节能检测科技有限公司，报告编号：</w:t>
      </w:r>
      <w:r w:rsidRPr="002B55E9">
        <w:rPr>
          <w:szCs w:val="24"/>
        </w:rPr>
        <w:t xml:space="preserve">HC[2022-03]110H-1 </w:t>
      </w:r>
      <w:r w:rsidRPr="002B55E9">
        <w:rPr>
          <w:rFonts w:hint="eastAsia"/>
          <w:szCs w:val="24"/>
        </w:rPr>
        <w:t>号），监测期间污水处理站运行正常，硫化氢产生浓度为：</w:t>
      </w:r>
      <w:r w:rsidRPr="002B55E9">
        <w:rPr>
          <w:szCs w:val="24"/>
        </w:rPr>
        <w:t>27mg/m</w:t>
      </w:r>
      <w:r w:rsidRPr="002B55E9">
        <w:rPr>
          <w:szCs w:val="24"/>
          <w:vertAlign w:val="superscript"/>
        </w:rPr>
        <w:t>3</w:t>
      </w:r>
      <w:r w:rsidRPr="002B55E9">
        <w:rPr>
          <w:rFonts w:hint="eastAsia"/>
          <w:szCs w:val="24"/>
        </w:rPr>
        <w:t>，氨的产生浓度为：</w:t>
      </w:r>
      <w:r w:rsidRPr="002B55E9">
        <w:rPr>
          <w:szCs w:val="24"/>
        </w:rPr>
        <w:t>2.8mg/m</w:t>
      </w:r>
      <w:r w:rsidRPr="002B55E9">
        <w:rPr>
          <w:szCs w:val="24"/>
          <w:vertAlign w:val="superscript"/>
        </w:rPr>
        <w:t>3</w:t>
      </w:r>
      <w:r w:rsidRPr="002B55E9">
        <w:rPr>
          <w:rFonts w:hint="eastAsia"/>
          <w:szCs w:val="24"/>
        </w:rPr>
        <w:t>。佛山市海天（武汉）调味食品有限公司污水处理站与佛山市海天（高明）调味食品有限公司污水处理站处理工艺与废气收集处理措施基本一致，具有可类比性，具体如下：</w:t>
      </w:r>
    </w:p>
    <w:p w14:paraId="04A9E169" w14:textId="62798F91" w:rsidR="00D170E5" w:rsidRPr="002B55E9" w:rsidRDefault="00EF27AD">
      <w:pPr>
        <w:pStyle w:val="affff7"/>
        <w:snapToGrid w:val="0"/>
        <w:spacing w:line="240" w:lineRule="auto"/>
        <w:ind w:firstLineChars="0" w:firstLine="0"/>
        <w:jc w:val="center"/>
        <w:rPr>
          <w:szCs w:val="24"/>
        </w:rPr>
      </w:pPr>
      <w:r w:rsidRPr="002B55E9">
        <w:rPr>
          <w:rFonts w:eastAsia="黑体" w:hint="eastAsia"/>
          <w:b/>
        </w:rPr>
        <w:t>表</w:t>
      </w:r>
      <w:r w:rsidRPr="002B55E9">
        <w:rPr>
          <w:rFonts w:eastAsia="黑体" w:hint="eastAsia"/>
          <w:b/>
        </w:rPr>
        <w:t>5</w:t>
      </w:r>
      <w:r w:rsidRPr="002B55E9">
        <w:rPr>
          <w:rFonts w:eastAsia="黑体"/>
          <w:b/>
        </w:rPr>
        <w:t>-3-</w:t>
      </w:r>
      <w:r w:rsidR="00085583" w:rsidRPr="002B55E9">
        <w:rPr>
          <w:rFonts w:eastAsia="黑体"/>
          <w:b/>
        </w:rPr>
        <w:t>4</w:t>
      </w:r>
      <w:r w:rsidRPr="002B55E9">
        <w:rPr>
          <w:rFonts w:eastAsia="黑体"/>
          <w:b/>
        </w:rPr>
        <w:t xml:space="preserve">  </w:t>
      </w:r>
      <w:r w:rsidRPr="002B55E9">
        <w:rPr>
          <w:rFonts w:eastAsia="黑体" w:hint="eastAsia"/>
          <w:b/>
        </w:rPr>
        <w:t>污水处理站类比可行性分析一览表</w:t>
      </w:r>
    </w:p>
    <w:tbl>
      <w:tblPr>
        <w:tblStyle w:val="lgy2"/>
        <w:tblW w:w="5000" w:type="pct"/>
        <w:tblLayout w:type="fixed"/>
        <w:tblCellMar>
          <w:left w:w="28" w:type="dxa"/>
          <w:right w:w="28" w:type="dxa"/>
        </w:tblCellMar>
        <w:tblLook w:val="04A0" w:firstRow="1" w:lastRow="0" w:firstColumn="1" w:lastColumn="0" w:noHBand="0" w:noVBand="1"/>
      </w:tblPr>
      <w:tblGrid>
        <w:gridCol w:w="2551"/>
        <w:gridCol w:w="1206"/>
        <w:gridCol w:w="2506"/>
        <w:gridCol w:w="3430"/>
      </w:tblGrid>
      <w:tr w:rsidR="002B55E9" w:rsidRPr="002B55E9" w14:paraId="0EEA0647"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536" w:type="dxa"/>
            <w:noWrap/>
          </w:tcPr>
          <w:p w14:paraId="04392309" w14:textId="77777777" w:rsidR="00D170E5" w:rsidRPr="002B55E9" w:rsidRDefault="00EF27AD">
            <w:pPr>
              <w:pStyle w:val="lgy-"/>
            </w:pPr>
            <w:r w:rsidRPr="002B55E9">
              <w:rPr>
                <w:rFonts w:eastAsia="宋体" w:hint="eastAsia"/>
              </w:rPr>
              <w:t>项目</w:t>
            </w:r>
          </w:p>
        </w:tc>
        <w:tc>
          <w:tcPr>
            <w:tcW w:w="1199" w:type="dxa"/>
            <w:noWrap/>
          </w:tcPr>
          <w:p w14:paraId="1F01B1FD" w14:textId="77777777" w:rsidR="00D170E5" w:rsidRPr="002B55E9" w:rsidRDefault="00EF27AD">
            <w:pPr>
              <w:pStyle w:val="lgy-"/>
            </w:pPr>
            <w:r w:rsidRPr="002B55E9">
              <w:rPr>
                <w:rFonts w:eastAsia="宋体" w:hint="eastAsia"/>
              </w:rPr>
              <w:t>设计规模</w:t>
            </w:r>
          </w:p>
        </w:tc>
        <w:tc>
          <w:tcPr>
            <w:tcW w:w="2492" w:type="dxa"/>
            <w:noWrap/>
          </w:tcPr>
          <w:p w14:paraId="1F1606B6" w14:textId="77777777" w:rsidR="00D170E5" w:rsidRPr="002B55E9" w:rsidRDefault="00EF27AD">
            <w:pPr>
              <w:pStyle w:val="lgy-"/>
            </w:pPr>
            <w:r w:rsidRPr="002B55E9">
              <w:rPr>
                <w:rFonts w:eastAsia="宋体" w:hint="eastAsia"/>
              </w:rPr>
              <w:t>处理工艺</w:t>
            </w:r>
          </w:p>
        </w:tc>
        <w:tc>
          <w:tcPr>
            <w:tcW w:w="3410" w:type="dxa"/>
            <w:noWrap/>
          </w:tcPr>
          <w:p w14:paraId="2B0C38C1" w14:textId="77777777" w:rsidR="00D170E5" w:rsidRPr="002B55E9" w:rsidRDefault="00EF27AD">
            <w:pPr>
              <w:pStyle w:val="lgy-"/>
              <w:rPr>
                <w:rFonts w:eastAsia="宋体"/>
              </w:rPr>
            </w:pPr>
            <w:r w:rsidRPr="002B55E9">
              <w:rPr>
                <w:rFonts w:eastAsia="宋体" w:hint="eastAsia"/>
              </w:rPr>
              <w:t>废气收集处理措施</w:t>
            </w:r>
          </w:p>
        </w:tc>
      </w:tr>
      <w:tr w:rsidR="002B55E9" w:rsidRPr="002B55E9" w14:paraId="0BB64977" w14:textId="77777777" w:rsidTr="00EF27AD">
        <w:trPr>
          <w:trHeight w:val="283"/>
        </w:trPr>
        <w:tc>
          <w:tcPr>
            <w:tcW w:w="2536" w:type="dxa"/>
            <w:noWrap/>
          </w:tcPr>
          <w:p w14:paraId="42FF942E" w14:textId="77777777" w:rsidR="00D170E5" w:rsidRPr="002B55E9" w:rsidRDefault="00EF27AD" w:rsidP="00EF27AD">
            <w:pPr>
              <w:pStyle w:val="lgy-"/>
            </w:pPr>
            <w:r w:rsidRPr="002B55E9">
              <w:rPr>
                <w:rFonts w:eastAsia="宋体" w:hint="eastAsia"/>
              </w:rPr>
              <w:t>佛山市海天（高明）调味食品有限公司污水处理站</w:t>
            </w:r>
            <w:r w:rsidRPr="002B55E9">
              <w:rPr>
                <w:rFonts w:eastAsia="宋体" w:hint="eastAsia"/>
              </w:rPr>
              <w:t xml:space="preserve"> </w:t>
            </w:r>
          </w:p>
        </w:tc>
        <w:tc>
          <w:tcPr>
            <w:tcW w:w="1199" w:type="dxa"/>
            <w:noWrap/>
          </w:tcPr>
          <w:p w14:paraId="61E48000" w14:textId="77777777" w:rsidR="00D170E5" w:rsidRPr="002B55E9" w:rsidRDefault="00EF27AD">
            <w:pPr>
              <w:pStyle w:val="lgy-"/>
            </w:pPr>
            <w:r w:rsidRPr="002B55E9">
              <w:rPr>
                <w:rFonts w:eastAsia="宋体" w:hint="eastAsia"/>
              </w:rPr>
              <w:t>12000m</w:t>
            </w:r>
            <w:r w:rsidRPr="002B55E9">
              <w:rPr>
                <w:rFonts w:eastAsia="宋体" w:hint="eastAsia"/>
                <w:vertAlign w:val="superscript"/>
              </w:rPr>
              <w:t>3</w:t>
            </w:r>
            <w:r w:rsidRPr="002B55E9">
              <w:rPr>
                <w:rFonts w:eastAsia="宋体" w:hint="eastAsia"/>
              </w:rPr>
              <w:t>/d</w:t>
            </w:r>
          </w:p>
        </w:tc>
        <w:tc>
          <w:tcPr>
            <w:tcW w:w="2492" w:type="dxa"/>
            <w:noWrap/>
          </w:tcPr>
          <w:p w14:paraId="160F714B" w14:textId="77777777" w:rsidR="00D170E5" w:rsidRPr="002B55E9" w:rsidRDefault="00EF27AD">
            <w:pPr>
              <w:pStyle w:val="lgy-"/>
            </w:pPr>
            <w:r w:rsidRPr="002B55E9">
              <w:rPr>
                <w:rFonts w:eastAsia="宋体" w:hint="eastAsia"/>
              </w:rPr>
              <w:t>厌氧系统</w:t>
            </w:r>
            <w:r w:rsidRPr="002B55E9">
              <w:rPr>
                <w:rFonts w:eastAsia="宋体" w:hint="eastAsia"/>
              </w:rPr>
              <w:t xml:space="preserve"> +A/O+</w:t>
            </w:r>
            <w:r w:rsidRPr="002B55E9">
              <w:rPr>
                <w:rFonts w:eastAsia="宋体" w:hint="eastAsia"/>
              </w:rPr>
              <w:t>气浮系统</w:t>
            </w:r>
          </w:p>
        </w:tc>
        <w:tc>
          <w:tcPr>
            <w:tcW w:w="3410" w:type="dxa"/>
            <w:noWrap/>
          </w:tcPr>
          <w:p w14:paraId="697A164C" w14:textId="77777777" w:rsidR="00D170E5" w:rsidRPr="002B55E9" w:rsidRDefault="00EF27AD">
            <w:pPr>
              <w:pStyle w:val="lgy-"/>
              <w:rPr>
                <w:rFonts w:eastAsia="宋体"/>
              </w:rPr>
            </w:pPr>
            <w:r w:rsidRPr="002B55E9">
              <w:rPr>
                <w:rFonts w:eastAsia="宋体" w:hint="eastAsia"/>
              </w:rPr>
              <w:t>加盖处理，收集后由风机送至碱洗涤塔除臭系统</w:t>
            </w:r>
          </w:p>
        </w:tc>
      </w:tr>
      <w:tr w:rsidR="002B55E9" w:rsidRPr="002B55E9" w14:paraId="069651FA" w14:textId="77777777" w:rsidTr="00EF27AD">
        <w:trPr>
          <w:trHeight w:val="283"/>
        </w:trPr>
        <w:tc>
          <w:tcPr>
            <w:tcW w:w="2536" w:type="dxa"/>
            <w:noWrap/>
          </w:tcPr>
          <w:p w14:paraId="6B2D0443" w14:textId="77777777" w:rsidR="00D170E5" w:rsidRPr="002B55E9" w:rsidRDefault="00EF27AD">
            <w:pPr>
              <w:pStyle w:val="lgy-"/>
            </w:pPr>
            <w:r w:rsidRPr="002B55E9">
              <w:rPr>
                <w:rFonts w:eastAsia="宋体" w:hint="eastAsia"/>
              </w:rPr>
              <w:t>佛山市海天（武汉）调味食品有限公司污水处理站</w:t>
            </w:r>
            <w:r w:rsidRPr="002B55E9">
              <w:rPr>
                <w:rFonts w:eastAsia="宋体" w:hint="eastAsia"/>
              </w:rPr>
              <w:t xml:space="preserve"> </w:t>
            </w:r>
          </w:p>
        </w:tc>
        <w:tc>
          <w:tcPr>
            <w:tcW w:w="1199" w:type="dxa"/>
            <w:noWrap/>
          </w:tcPr>
          <w:p w14:paraId="39097AB9" w14:textId="77777777" w:rsidR="00D170E5" w:rsidRPr="002B55E9" w:rsidRDefault="00EF27AD">
            <w:pPr>
              <w:pStyle w:val="lgy-"/>
            </w:pPr>
            <w:r w:rsidRPr="002B55E9">
              <w:rPr>
                <w:rFonts w:eastAsia="宋体" w:hint="eastAsia"/>
              </w:rPr>
              <w:t>1000m</w:t>
            </w:r>
            <w:r w:rsidRPr="002B55E9">
              <w:rPr>
                <w:rFonts w:eastAsia="宋体" w:hint="eastAsia"/>
                <w:vertAlign w:val="superscript"/>
              </w:rPr>
              <w:t>3</w:t>
            </w:r>
            <w:r w:rsidRPr="002B55E9">
              <w:rPr>
                <w:rFonts w:eastAsia="宋体" w:hint="eastAsia"/>
              </w:rPr>
              <w:t>/d</w:t>
            </w:r>
          </w:p>
        </w:tc>
        <w:tc>
          <w:tcPr>
            <w:tcW w:w="2492" w:type="dxa"/>
            <w:noWrap/>
          </w:tcPr>
          <w:p w14:paraId="3BB5D2C4" w14:textId="77777777" w:rsidR="00D170E5" w:rsidRPr="002B55E9" w:rsidRDefault="00EF27AD">
            <w:pPr>
              <w:pStyle w:val="lgy-"/>
            </w:pPr>
            <w:r w:rsidRPr="002B55E9">
              <w:rPr>
                <w:rFonts w:eastAsia="宋体" w:hint="eastAsia"/>
              </w:rPr>
              <w:t>集水</w:t>
            </w:r>
            <w:r w:rsidRPr="002B55E9">
              <w:rPr>
                <w:rFonts w:eastAsia="宋体" w:hint="eastAsia"/>
              </w:rPr>
              <w:t xml:space="preserve"> +</w:t>
            </w:r>
            <w:r w:rsidRPr="002B55E9">
              <w:rPr>
                <w:rFonts w:eastAsia="宋体" w:hint="eastAsia"/>
              </w:rPr>
              <w:t>调节</w:t>
            </w:r>
            <w:r w:rsidRPr="002B55E9">
              <w:rPr>
                <w:rFonts w:eastAsia="宋体" w:hint="eastAsia"/>
              </w:rPr>
              <w:t xml:space="preserve"> +</w:t>
            </w:r>
            <w:r w:rsidRPr="002B55E9">
              <w:rPr>
                <w:rFonts w:eastAsia="宋体" w:hint="eastAsia"/>
              </w:rPr>
              <w:t>厌氧系统</w:t>
            </w:r>
            <w:r w:rsidRPr="002B55E9">
              <w:rPr>
                <w:rFonts w:eastAsia="宋体" w:hint="eastAsia"/>
              </w:rPr>
              <w:t>+A/O+</w:t>
            </w:r>
            <w:r w:rsidRPr="002B55E9">
              <w:rPr>
                <w:rFonts w:eastAsia="宋体" w:hint="eastAsia"/>
              </w:rPr>
              <w:t>二沉池</w:t>
            </w:r>
            <w:r w:rsidRPr="002B55E9">
              <w:rPr>
                <w:rFonts w:eastAsia="宋体" w:hint="eastAsia"/>
              </w:rPr>
              <w:t xml:space="preserve"> +</w:t>
            </w:r>
            <w:r w:rsidRPr="002B55E9">
              <w:rPr>
                <w:rFonts w:eastAsia="宋体" w:hint="eastAsia"/>
              </w:rPr>
              <w:t>深度处理</w:t>
            </w:r>
          </w:p>
        </w:tc>
        <w:tc>
          <w:tcPr>
            <w:tcW w:w="3410" w:type="dxa"/>
            <w:noWrap/>
          </w:tcPr>
          <w:p w14:paraId="49636E96" w14:textId="77777777" w:rsidR="00D170E5" w:rsidRPr="002B55E9" w:rsidRDefault="00EF27AD">
            <w:pPr>
              <w:pStyle w:val="lgy-"/>
              <w:rPr>
                <w:rFonts w:eastAsia="宋体"/>
              </w:rPr>
            </w:pPr>
            <w:r w:rsidRPr="002B55E9">
              <w:rPr>
                <w:rFonts w:eastAsia="宋体" w:hint="eastAsia"/>
              </w:rPr>
              <w:t>加盖封闭处理后，将恶臭气体集中收集后碱洗塔</w:t>
            </w:r>
            <w:r w:rsidRPr="002B55E9">
              <w:rPr>
                <w:rFonts w:eastAsia="宋体" w:hint="eastAsia"/>
              </w:rPr>
              <w:t>+</w:t>
            </w:r>
            <w:r w:rsidRPr="002B55E9">
              <w:rPr>
                <w:rFonts w:eastAsia="宋体" w:hint="eastAsia"/>
              </w:rPr>
              <w:t>生物除臭进行处理</w:t>
            </w:r>
          </w:p>
        </w:tc>
      </w:tr>
    </w:tbl>
    <w:p w14:paraId="4FD3A35C" w14:textId="77777777" w:rsidR="00D170E5" w:rsidRPr="002B55E9" w:rsidRDefault="00EF27AD">
      <w:pPr>
        <w:pStyle w:val="affff7"/>
        <w:snapToGrid w:val="0"/>
        <w:spacing w:after="0"/>
        <w:rPr>
          <w:szCs w:val="24"/>
        </w:rPr>
      </w:pPr>
      <w:r w:rsidRPr="002B55E9">
        <w:rPr>
          <w:rFonts w:hint="eastAsia"/>
          <w:szCs w:val="24"/>
        </w:rPr>
        <w:t>由上表可知，佛山市海天（高明）调味食品有限公司污水处理站处理规模大于拟建项目所依托的污水处理站，其产生的废气源强也应大于拟建项目所依托的污水处理站，本次评价保守计，以佛山市海天（高明）调味食品有限公司污水处理站实测数据作为拟建项目源强，则恶臭废气产排情况见下表。</w:t>
      </w:r>
    </w:p>
    <w:p w14:paraId="052EDB77" w14:textId="5DF6B339" w:rsidR="00D170E5" w:rsidRPr="002B55E9" w:rsidRDefault="00EF27AD">
      <w:pPr>
        <w:pStyle w:val="affff7"/>
        <w:snapToGrid w:val="0"/>
        <w:spacing w:line="240" w:lineRule="auto"/>
        <w:ind w:firstLineChars="0" w:firstLine="0"/>
        <w:jc w:val="center"/>
        <w:rPr>
          <w:szCs w:val="24"/>
        </w:rPr>
      </w:pPr>
      <w:r w:rsidRPr="002B55E9">
        <w:rPr>
          <w:rFonts w:eastAsia="黑体" w:hint="eastAsia"/>
          <w:b/>
        </w:rPr>
        <w:t>表</w:t>
      </w:r>
      <w:r w:rsidRPr="002B55E9">
        <w:rPr>
          <w:rFonts w:eastAsia="黑体" w:hint="eastAsia"/>
          <w:b/>
        </w:rPr>
        <w:t>5</w:t>
      </w:r>
      <w:r w:rsidRPr="002B55E9">
        <w:rPr>
          <w:rFonts w:eastAsia="黑体"/>
          <w:b/>
        </w:rPr>
        <w:t>-3-</w:t>
      </w:r>
      <w:r w:rsidR="00085583" w:rsidRPr="002B55E9">
        <w:rPr>
          <w:rFonts w:eastAsia="黑体"/>
          <w:b/>
        </w:rPr>
        <w:t>5</w:t>
      </w:r>
      <w:r w:rsidRPr="002B55E9">
        <w:rPr>
          <w:rFonts w:eastAsia="黑体"/>
          <w:b/>
        </w:rPr>
        <w:t xml:space="preserve">  </w:t>
      </w:r>
      <w:r w:rsidRPr="002B55E9">
        <w:rPr>
          <w:rFonts w:eastAsia="黑体" w:hint="eastAsia"/>
          <w:b/>
        </w:rPr>
        <w:t>污水处理站废气产排情况一览表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1713"/>
        <w:gridCol w:w="762"/>
        <w:gridCol w:w="770"/>
        <w:gridCol w:w="465"/>
        <w:gridCol w:w="922"/>
        <w:gridCol w:w="739"/>
        <w:gridCol w:w="536"/>
        <w:gridCol w:w="691"/>
        <w:gridCol w:w="916"/>
        <w:gridCol w:w="904"/>
        <w:gridCol w:w="739"/>
        <w:gridCol w:w="536"/>
      </w:tblGrid>
      <w:tr w:rsidR="002B55E9" w:rsidRPr="002B55E9" w14:paraId="45E14A98"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1702" w:type="dxa"/>
            <w:noWrap/>
          </w:tcPr>
          <w:p w14:paraId="71A60BF1" w14:textId="77777777" w:rsidR="00D170E5" w:rsidRPr="002B55E9" w:rsidRDefault="00EF27AD">
            <w:pPr>
              <w:pStyle w:val="lgy-"/>
            </w:pPr>
            <w:r w:rsidRPr="002B55E9">
              <w:rPr>
                <w:rFonts w:eastAsia="宋体" w:hint="eastAsia"/>
              </w:rPr>
              <w:lastRenderedPageBreak/>
              <w:t>排气筒名称</w:t>
            </w:r>
          </w:p>
        </w:tc>
        <w:tc>
          <w:tcPr>
            <w:tcW w:w="757" w:type="dxa"/>
            <w:noWrap/>
          </w:tcPr>
          <w:p w14:paraId="0A2500BC" w14:textId="77777777" w:rsidR="00D170E5" w:rsidRPr="002B55E9" w:rsidRDefault="00EF27AD">
            <w:pPr>
              <w:pStyle w:val="lgy-"/>
            </w:pPr>
            <w:r w:rsidRPr="002B55E9">
              <w:rPr>
                <w:rFonts w:eastAsia="宋体" w:hint="eastAsia"/>
              </w:rPr>
              <w:t>风量（</w:t>
            </w:r>
            <w:r w:rsidRPr="002B55E9">
              <w:rPr>
                <w:rFonts w:eastAsia="宋体" w:hint="eastAsia"/>
              </w:rPr>
              <w:t>m</w:t>
            </w:r>
            <w:r w:rsidRPr="002B55E9">
              <w:rPr>
                <w:rFonts w:eastAsia="宋体" w:hint="eastAsia"/>
                <w:vertAlign w:val="superscript"/>
              </w:rPr>
              <w:t>3</w:t>
            </w:r>
            <w:r w:rsidRPr="002B55E9">
              <w:rPr>
                <w:rFonts w:eastAsia="宋体" w:hint="eastAsia"/>
              </w:rPr>
              <w:t>/h</w:t>
            </w:r>
            <w:r w:rsidRPr="002B55E9">
              <w:rPr>
                <w:rFonts w:eastAsia="宋体" w:hint="eastAsia"/>
              </w:rPr>
              <w:t>）</w:t>
            </w:r>
          </w:p>
        </w:tc>
        <w:tc>
          <w:tcPr>
            <w:tcW w:w="766" w:type="dxa"/>
          </w:tcPr>
          <w:p w14:paraId="4899DA3A" w14:textId="77777777" w:rsidR="00D170E5" w:rsidRPr="002B55E9" w:rsidRDefault="00EF27AD">
            <w:pPr>
              <w:pStyle w:val="lgy-"/>
            </w:pPr>
            <w:r w:rsidRPr="002B55E9">
              <w:rPr>
                <w:rFonts w:eastAsia="宋体" w:hint="eastAsia"/>
              </w:rPr>
              <w:t>排放时间</w:t>
            </w:r>
            <w:r w:rsidRPr="002B55E9">
              <w:rPr>
                <w:rFonts w:eastAsia="宋体"/>
              </w:rPr>
              <w:t>h</w:t>
            </w:r>
          </w:p>
        </w:tc>
        <w:tc>
          <w:tcPr>
            <w:tcW w:w="462" w:type="dxa"/>
          </w:tcPr>
          <w:p w14:paraId="5155CA2C" w14:textId="77777777" w:rsidR="00D170E5" w:rsidRPr="002B55E9" w:rsidRDefault="00EF27AD">
            <w:pPr>
              <w:pStyle w:val="lgy-"/>
            </w:pPr>
            <w:r w:rsidRPr="002B55E9">
              <w:rPr>
                <w:rFonts w:eastAsia="宋体" w:hint="eastAsia"/>
              </w:rPr>
              <w:t>污染物</w:t>
            </w:r>
          </w:p>
        </w:tc>
        <w:tc>
          <w:tcPr>
            <w:tcW w:w="917" w:type="dxa"/>
          </w:tcPr>
          <w:p w14:paraId="6339D16D" w14:textId="77777777" w:rsidR="00D170E5" w:rsidRPr="002B55E9" w:rsidRDefault="00EF27AD" w:rsidP="00EF27AD">
            <w:pPr>
              <w:pStyle w:val="lgy-"/>
            </w:pPr>
            <w:r w:rsidRPr="002B55E9">
              <w:rPr>
                <w:rFonts w:eastAsia="宋体" w:hint="eastAsia"/>
              </w:rPr>
              <w:t>产生浓度（</w:t>
            </w:r>
            <w:r w:rsidRPr="002B55E9">
              <w:rPr>
                <w:rFonts w:eastAsia="宋体"/>
              </w:rPr>
              <w:t>mg/m</w:t>
            </w:r>
            <w:r w:rsidRPr="002B55E9">
              <w:rPr>
                <w:rFonts w:eastAsia="宋体"/>
                <w:vertAlign w:val="superscript"/>
              </w:rPr>
              <w:t>3</w:t>
            </w:r>
            <w:r w:rsidRPr="002B55E9">
              <w:rPr>
                <w:rFonts w:eastAsia="宋体" w:hint="eastAsia"/>
              </w:rPr>
              <w:t>）</w:t>
            </w:r>
          </w:p>
        </w:tc>
        <w:tc>
          <w:tcPr>
            <w:tcW w:w="735" w:type="dxa"/>
          </w:tcPr>
          <w:p w14:paraId="3C241B77" w14:textId="77777777" w:rsidR="00D170E5" w:rsidRPr="002B55E9" w:rsidRDefault="00EF27AD">
            <w:pPr>
              <w:pStyle w:val="lgy-"/>
            </w:pPr>
            <w:r w:rsidRPr="002B55E9">
              <w:rPr>
                <w:rFonts w:eastAsia="宋体" w:hint="eastAsia"/>
              </w:rPr>
              <w:t>产生速率（</w:t>
            </w:r>
            <w:r w:rsidRPr="002B55E9">
              <w:rPr>
                <w:rFonts w:eastAsia="宋体"/>
              </w:rPr>
              <w:t>kg/h)</w:t>
            </w:r>
          </w:p>
        </w:tc>
        <w:tc>
          <w:tcPr>
            <w:tcW w:w="533" w:type="dxa"/>
          </w:tcPr>
          <w:p w14:paraId="503E680A" w14:textId="77777777" w:rsidR="00D170E5" w:rsidRPr="002B55E9" w:rsidRDefault="00EF27AD">
            <w:pPr>
              <w:pStyle w:val="lgy-"/>
            </w:pPr>
            <w:r w:rsidRPr="002B55E9">
              <w:rPr>
                <w:rFonts w:eastAsia="宋体" w:hint="eastAsia"/>
              </w:rPr>
              <w:t>产生量</w:t>
            </w:r>
            <w:r w:rsidRPr="002B55E9">
              <w:rPr>
                <w:rFonts w:eastAsia="宋体"/>
              </w:rPr>
              <w:t>(t/a)</w:t>
            </w:r>
          </w:p>
        </w:tc>
        <w:tc>
          <w:tcPr>
            <w:tcW w:w="687" w:type="dxa"/>
          </w:tcPr>
          <w:p w14:paraId="052A303D" w14:textId="77777777" w:rsidR="00D170E5" w:rsidRPr="002B55E9" w:rsidRDefault="00EF27AD">
            <w:pPr>
              <w:pStyle w:val="lgy-"/>
            </w:pPr>
            <w:r w:rsidRPr="002B55E9">
              <w:rPr>
                <w:rFonts w:eastAsia="宋体" w:hint="eastAsia"/>
              </w:rPr>
              <w:t>废气收集</w:t>
            </w:r>
          </w:p>
        </w:tc>
        <w:tc>
          <w:tcPr>
            <w:tcW w:w="911" w:type="dxa"/>
          </w:tcPr>
          <w:p w14:paraId="3E893727" w14:textId="77777777" w:rsidR="00D170E5" w:rsidRPr="002B55E9" w:rsidRDefault="00EF27AD">
            <w:pPr>
              <w:pStyle w:val="lgy-"/>
            </w:pPr>
            <w:r w:rsidRPr="002B55E9">
              <w:rPr>
                <w:rFonts w:eastAsia="宋体" w:hint="eastAsia"/>
              </w:rPr>
              <w:t>治理措施</w:t>
            </w:r>
          </w:p>
        </w:tc>
        <w:tc>
          <w:tcPr>
            <w:tcW w:w="899" w:type="dxa"/>
          </w:tcPr>
          <w:p w14:paraId="3115A657" w14:textId="77777777" w:rsidR="00D170E5" w:rsidRPr="002B55E9" w:rsidRDefault="00EF27AD">
            <w:pPr>
              <w:pStyle w:val="lgy-"/>
            </w:pPr>
            <w:r w:rsidRPr="002B55E9">
              <w:rPr>
                <w:rFonts w:eastAsia="宋体" w:hint="eastAsia"/>
              </w:rPr>
              <w:t>排放浓度（</w:t>
            </w:r>
            <w:r w:rsidRPr="002B55E9">
              <w:rPr>
                <w:rFonts w:eastAsia="宋体"/>
              </w:rPr>
              <w:t>mg/m</w:t>
            </w:r>
            <w:r w:rsidRPr="002B55E9">
              <w:rPr>
                <w:rFonts w:eastAsia="宋体"/>
                <w:vertAlign w:val="superscript"/>
              </w:rPr>
              <w:t>3</w:t>
            </w:r>
            <w:r w:rsidRPr="002B55E9">
              <w:rPr>
                <w:rFonts w:eastAsia="宋体" w:hint="eastAsia"/>
              </w:rPr>
              <w:t>）</w:t>
            </w:r>
          </w:p>
        </w:tc>
        <w:tc>
          <w:tcPr>
            <w:tcW w:w="735" w:type="dxa"/>
          </w:tcPr>
          <w:p w14:paraId="269B22E9" w14:textId="77777777" w:rsidR="00D170E5" w:rsidRPr="002B55E9" w:rsidRDefault="00EF27AD">
            <w:pPr>
              <w:pStyle w:val="lgy-"/>
            </w:pPr>
            <w:r w:rsidRPr="002B55E9">
              <w:rPr>
                <w:rFonts w:eastAsia="宋体" w:hint="eastAsia"/>
              </w:rPr>
              <w:t>排放速率（</w:t>
            </w:r>
            <w:r w:rsidRPr="002B55E9">
              <w:rPr>
                <w:rFonts w:eastAsia="宋体"/>
              </w:rPr>
              <w:t>kg/h)</w:t>
            </w:r>
          </w:p>
        </w:tc>
        <w:tc>
          <w:tcPr>
            <w:tcW w:w="533" w:type="dxa"/>
          </w:tcPr>
          <w:p w14:paraId="28970D2D" w14:textId="77777777" w:rsidR="00D170E5" w:rsidRPr="002B55E9" w:rsidRDefault="00EF27AD">
            <w:pPr>
              <w:pStyle w:val="lgy-"/>
              <w:rPr>
                <w:rFonts w:eastAsia="宋体"/>
              </w:rPr>
            </w:pPr>
            <w:r w:rsidRPr="002B55E9">
              <w:rPr>
                <w:rFonts w:eastAsia="宋体" w:hint="eastAsia"/>
              </w:rPr>
              <w:t>排放量</w:t>
            </w:r>
            <w:r w:rsidRPr="002B55E9">
              <w:rPr>
                <w:rFonts w:eastAsia="宋体"/>
              </w:rPr>
              <w:t>(t/a)</w:t>
            </w:r>
          </w:p>
        </w:tc>
      </w:tr>
      <w:tr w:rsidR="002B55E9" w:rsidRPr="002B55E9" w14:paraId="19A1E3D3" w14:textId="77777777" w:rsidTr="00EF27AD">
        <w:trPr>
          <w:trHeight w:val="283"/>
        </w:trPr>
        <w:tc>
          <w:tcPr>
            <w:tcW w:w="1702" w:type="dxa"/>
            <w:vMerge w:val="restart"/>
            <w:noWrap/>
          </w:tcPr>
          <w:p w14:paraId="6EF77B7D" w14:textId="331051D3" w:rsidR="00D170E5" w:rsidRPr="002B55E9" w:rsidRDefault="0054267F">
            <w:pPr>
              <w:pStyle w:val="lgy-"/>
            </w:pPr>
            <w:r w:rsidRPr="002B55E9">
              <w:rPr>
                <w:rFonts w:eastAsia="宋体" w:hint="eastAsia"/>
              </w:rPr>
              <w:t>佛山市海天（武汉）调味食品有限公司</w:t>
            </w:r>
            <w:r w:rsidR="00EF27AD" w:rsidRPr="002B55E9">
              <w:rPr>
                <w:rFonts w:eastAsia="宋体" w:hint="eastAsia"/>
              </w:rPr>
              <w:t>污水处理站排气筒</w:t>
            </w:r>
          </w:p>
        </w:tc>
        <w:tc>
          <w:tcPr>
            <w:tcW w:w="757" w:type="dxa"/>
            <w:vMerge w:val="restart"/>
          </w:tcPr>
          <w:p w14:paraId="2749552F" w14:textId="77777777" w:rsidR="00D170E5" w:rsidRPr="002B55E9" w:rsidRDefault="00EF27AD">
            <w:pPr>
              <w:pStyle w:val="lgy-"/>
            </w:pPr>
            <w:r w:rsidRPr="002B55E9">
              <w:rPr>
                <w:rFonts w:eastAsia="宋体"/>
              </w:rPr>
              <w:t>8000</w:t>
            </w:r>
          </w:p>
        </w:tc>
        <w:tc>
          <w:tcPr>
            <w:tcW w:w="766" w:type="dxa"/>
          </w:tcPr>
          <w:p w14:paraId="4355BFC5" w14:textId="77777777" w:rsidR="00D170E5" w:rsidRPr="002B55E9" w:rsidRDefault="00EF27AD">
            <w:pPr>
              <w:pStyle w:val="lgy-"/>
            </w:pPr>
            <w:r w:rsidRPr="002B55E9">
              <w:rPr>
                <w:rFonts w:eastAsia="宋体"/>
              </w:rPr>
              <w:t>7920</w:t>
            </w:r>
          </w:p>
        </w:tc>
        <w:tc>
          <w:tcPr>
            <w:tcW w:w="462" w:type="dxa"/>
          </w:tcPr>
          <w:p w14:paraId="4BAABE49" w14:textId="77777777" w:rsidR="00D170E5" w:rsidRPr="002B55E9" w:rsidRDefault="00EF27AD">
            <w:pPr>
              <w:pStyle w:val="lgy-"/>
            </w:pPr>
            <w:r w:rsidRPr="002B55E9">
              <w:rPr>
                <w:rFonts w:eastAsia="宋体" w:hint="eastAsia"/>
              </w:rPr>
              <w:t>氨</w:t>
            </w:r>
          </w:p>
        </w:tc>
        <w:tc>
          <w:tcPr>
            <w:tcW w:w="917" w:type="dxa"/>
          </w:tcPr>
          <w:p w14:paraId="7052C890" w14:textId="77777777" w:rsidR="00D170E5" w:rsidRPr="002B55E9" w:rsidRDefault="00EF27AD">
            <w:pPr>
              <w:pStyle w:val="lgy-"/>
            </w:pPr>
            <w:r w:rsidRPr="002B55E9">
              <w:rPr>
                <w:rFonts w:eastAsia="宋体"/>
              </w:rPr>
              <w:t>2.80</w:t>
            </w:r>
          </w:p>
        </w:tc>
        <w:tc>
          <w:tcPr>
            <w:tcW w:w="735" w:type="dxa"/>
          </w:tcPr>
          <w:p w14:paraId="32E5388B" w14:textId="77777777" w:rsidR="00D170E5" w:rsidRPr="002B55E9" w:rsidRDefault="00EF27AD">
            <w:pPr>
              <w:pStyle w:val="lgy-"/>
            </w:pPr>
            <w:r w:rsidRPr="002B55E9">
              <w:rPr>
                <w:rFonts w:eastAsia="宋体"/>
              </w:rPr>
              <w:t xml:space="preserve">0.022 </w:t>
            </w:r>
          </w:p>
        </w:tc>
        <w:tc>
          <w:tcPr>
            <w:tcW w:w="533" w:type="dxa"/>
          </w:tcPr>
          <w:p w14:paraId="1EB70CA2" w14:textId="77777777" w:rsidR="00D170E5" w:rsidRPr="002B55E9" w:rsidRDefault="00EF27AD">
            <w:pPr>
              <w:pStyle w:val="lgy-"/>
            </w:pPr>
            <w:r w:rsidRPr="002B55E9">
              <w:rPr>
                <w:rFonts w:eastAsia="宋体"/>
              </w:rPr>
              <w:t xml:space="preserve">0.177 </w:t>
            </w:r>
          </w:p>
        </w:tc>
        <w:tc>
          <w:tcPr>
            <w:tcW w:w="687" w:type="dxa"/>
            <w:vMerge w:val="restart"/>
          </w:tcPr>
          <w:p w14:paraId="6F6C580C" w14:textId="77777777" w:rsidR="00D170E5" w:rsidRPr="002B55E9" w:rsidRDefault="00EF27AD">
            <w:pPr>
              <w:pStyle w:val="lgy-"/>
            </w:pPr>
            <w:r w:rsidRPr="002B55E9">
              <w:rPr>
                <w:rFonts w:eastAsia="宋体" w:hint="eastAsia"/>
              </w:rPr>
              <w:t>加盖密闭，收集效率</w:t>
            </w:r>
            <w:r w:rsidRPr="002B55E9">
              <w:rPr>
                <w:rFonts w:eastAsia="宋体"/>
              </w:rPr>
              <w:t>90%</w:t>
            </w:r>
          </w:p>
        </w:tc>
        <w:tc>
          <w:tcPr>
            <w:tcW w:w="911" w:type="dxa"/>
            <w:vMerge w:val="restart"/>
          </w:tcPr>
          <w:p w14:paraId="2A7AC337" w14:textId="77777777" w:rsidR="00D170E5" w:rsidRPr="002B55E9" w:rsidRDefault="00EF27AD">
            <w:pPr>
              <w:pStyle w:val="lgy-"/>
            </w:pPr>
            <w:r w:rsidRPr="002B55E9">
              <w:rPr>
                <w:rFonts w:eastAsia="宋体" w:hint="eastAsia"/>
              </w:rPr>
              <w:t>碱洗塔</w:t>
            </w:r>
            <w:r w:rsidRPr="002B55E9">
              <w:rPr>
                <w:rFonts w:eastAsia="宋体" w:hint="eastAsia"/>
              </w:rPr>
              <w:t>+</w:t>
            </w:r>
            <w:r w:rsidRPr="002B55E9">
              <w:rPr>
                <w:rFonts w:eastAsia="宋体" w:hint="eastAsia"/>
              </w:rPr>
              <w:t>生物除臭，处理效率</w:t>
            </w:r>
            <w:r w:rsidRPr="002B55E9">
              <w:rPr>
                <w:rFonts w:eastAsia="宋体" w:hint="eastAsia"/>
              </w:rPr>
              <w:t>7</w:t>
            </w:r>
            <w:r w:rsidRPr="002B55E9">
              <w:rPr>
                <w:rFonts w:eastAsia="宋体"/>
              </w:rPr>
              <w:t>0%</w:t>
            </w:r>
          </w:p>
        </w:tc>
        <w:tc>
          <w:tcPr>
            <w:tcW w:w="899" w:type="dxa"/>
          </w:tcPr>
          <w:p w14:paraId="429FDC63" w14:textId="77777777" w:rsidR="00D170E5" w:rsidRPr="002B55E9" w:rsidRDefault="00EF27AD">
            <w:pPr>
              <w:pStyle w:val="lgy-"/>
            </w:pPr>
            <w:r w:rsidRPr="002B55E9">
              <w:rPr>
                <w:rFonts w:eastAsia="宋体"/>
              </w:rPr>
              <w:t>0.76</w:t>
            </w:r>
          </w:p>
        </w:tc>
        <w:tc>
          <w:tcPr>
            <w:tcW w:w="735" w:type="dxa"/>
          </w:tcPr>
          <w:p w14:paraId="09D69FC7" w14:textId="77777777" w:rsidR="00D170E5" w:rsidRPr="002B55E9" w:rsidRDefault="00EF27AD">
            <w:pPr>
              <w:pStyle w:val="lgy-"/>
            </w:pPr>
            <w:r w:rsidRPr="002B55E9">
              <w:rPr>
                <w:rFonts w:eastAsia="宋体"/>
              </w:rPr>
              <w:t>0.006</w:t>
            </w:r>
          </w:p>
        </w:tc>
        <w:tc>
          <w:tcPr>
            <w:tcW w:w="533" w:type="dxa"/>
          </w:tcPr>
          <w:p w14:paraId="09BC58A8" w14:textId="77777777" w:rsidR="00D170E5" w:rsidRPr="002B55E9" w:rsidRDefault="00EF27AD">
            <w:pPr>
              <w:pStyle w:val="lgy-"/>
              <w:rPr>
                <w:rFonts w:eastAsia="宋体"/>
              </w:rPr>
            </w:pPr>
            <w:r w:rsidRPr="002B55E9">
              <w:rPr>
                <w:rFonts w:eastAsia="宋体"/>
              </w:rPr>
              <w:t>0.048</w:t>
            </w:r>
          </w:p>
        </w:tc>
      </w:tr>
      <w:tr w:rsidR="002B55E9" w:rsidRPr="002B55E9" w14:paraId="598520CE" w14:textId="77777777" w:rsidTr="00EF27AD">
        <w:trPr>
          <w:trHeight w:val="283"/>
        </w:trPr>
        <w:tc>
          <w:tcPr>
            <w:tcW w:w="1702" w:type="dxa"/>
            <w:vMerge/>
          </w:tcPr>
          <w:p w14:paraId="72ADD15E" w14:textId="77777777" w:rsidR="00D170E5" w:rsidRPr="002B55E9" w:rsidRDefault="00D170E5">
            <w:pPr>
              <w:pStyle w:val="lgy-"/>
            </w:pPr>
          </w:p>
        </w:tc>
        <w:tc>
          <w:tcPr>
            <w:tcW w:w="757" w:type="dxa"/>
            <w:vMerge/>
          </w:tcPr>
          <w:p w14:paraId="1145FA70" w14:textId="77777777" w:rsidR="00D170E5" w:rsidRPr="002B55E9" w:rsidRDefault="00D170E5">
            <w:pPr>
              <w:pStyle w:val="lgy-"/>
            </w:pPr>
          </w:p>
        </w:tc>
        <w:tc>
          <w:tcPr>
            <w:tcW w:w="766" w:type="dxa"/>
          </w:tcPr>
          <w:p w14:paraId="44A554C2" w14:textId="77777777" w:rsidR="00D170E5" w:rsidRPr="002B55E9" w:rsidRDefault="00EF27AD">
            <w:pPr>
              <w:pStyle w:val="lgy-"/>
            </w:pPr>
            <w:r w:rsidRPr="002B55E9">
              <w:rPr>
                <w:rFonts w:eastAsia="宋体"/>
              </w:rPr>
              <w:t>7920</w:t>
            </w:r>
          </w:p>
        </w:tc>
        <w:tc>
          <w:tcPr>
            <w:tcW w:w="462" w:type="dxa"/>
          </w:tcPr>
          <w:p w14:paraId="15B1678D" w14:textId="77777777" w:rsidR="00D170E5" w:rsidRPr="002B55E9" w:rsidRDefault="00EF27AD">
            <w:pPr>
              <w:pStyle w:val="lgy-"/>
            </w:pPr>
            <w:r w:rsidRPr="002B55E9">
              <w:rPr>
                <w:rFonts w:eastAsia="宋体" w:hint="eastAsia"/>
              </w:rPr>
              <w:t>硫化氢</w:t>
            </w:r>
          </w:p>
        </w:tc>
        <w:tc>
          <w:tcPr>
            <w:tcW w:w="917" w:type="dxa"/>
          </w:tcPr>
          <w:p w14:paraId="51DE543A" w14:textId="77777777" w:rsidR="00D170E5" w:rsidRPr="002B55E9" w:rsidRDefault="00EF27AD">
            <w:pPr>
              <w:pStyle w:val="lgy-"/>
            </w:pPr>
            <w:r w:rsidRPr="002B55E9">
              <w:rPr>
                <w:rFonts w:eastAsia="宋体"/>
              </w:rPr>
              <w:t>27.00</w:t>
            </w:r>
          </w:p>
        </w:tc>
        <w:tc>
          <w:tcPr>
            <w:tcW w:w="735" w:type="dxa"/>
          </w:tcPr>
          <w:p w14:paraId="59522443" w14:textId="77777777" w:rsidR="00D170E5" w:rsidRPr="002B55E9" w:rsidRDefault="00EF27AD">
            <w:pPr>
              <w:pStyle w:val="lgy-"/>
            </w:pPr>
            <w:r w:rsidRPr="002B55E9">
              <w:rPr>
                <w:rFonts w:eastAsia="宋体"/>
              </w:rPr>
              <w:t xml:space="preserve">0.216 </w:t>
            </w:r>
          </w:p>
        </w:tc>
        <w:tc>
          <w:tcPr>
            <w:tcW w:w="533" w:type="dxa"/>
          </w:tcPr>
          <w:p w14:paraId="3F460D75" w14:textId="77777777" w:rsidR="00D170E5" w:rsidRPr="002B55E9" w:rsidRDefault="00EF27AD">
            <w:pPr>
              <w:pStyle w:val="lgy-"/>
            </w:pPr>
            <w:r w:rsidRPr="002B55E9">
              <w:rPr>
                <w:rFonts w:eastAsia="宋体"/>
              </w:rPr>
              <w:t xml:space="preserve">1.711 </w:t>
            </w:r>
          </w:p>
        </w:tc>
        <w:tc>
          <w:tcPr>
            <w:tcW w:w="687" w:type="dxa"/>
            <w:vMerge/>
          </w:tcPr>
          <w:p w14:paraId="7D7F29A7" w14:textId="77777777" w:rsidR="00D170E5" w:rsidRPr="002B55E9" w:rsidRDefault="00D170E5">
            <w:pPr>
              <w:pStyle w:val="lgy-"/>
            </w:pPr>
          </w:p>
        </w:tc>
        <w:tc>
          <w:tcPr>
            <w:tcW w:w="911" w:type="dxa"/>
            <w:vMerge/>
          </w:tcPr>
          <w:p w14:paraId="126DD7F1" w14:textId="77777777" w:rsidR="00D170E5" w:rsidRPr="002B55E9" w:rsidRDefault="00D170E5">
            <w:pPr>
              <w:pStyle w:val="lgy-"/>
            </w:pPr>
          </w:p>
        </w:tc>
        <w:tc>
          <w:tcPr>
            <w:tcW w:w="899" w:type="dxa"/>
          </w:tcPr>
          <w:p w14:paraId="1B01FE29" w14:textId="77777777" w:rsidR="00D170E5" w:rsidRPr="002B55E9" w:rsidRDefault="00EF27AD">
            <w:pPr>
              <w:pStyle w:val="lgy-"/>
            </w:pPr>
            <w:r w:rsidRPr="002B55E9">
              <w:rPr>
                <w:rFonts w:eastAsia="宋体"/>
              </w:rPr>
              <w:t>7.29</w:t>
            </w:r>
          </w:p>
        </w:tc>
        <w:tc>
          <w:tcPr>
            <w:tcW w:w="735" w:type="dxa"/>
          </w:tcPr>
          <w:p w14:paraId="36803AEB" w14:textId="77777777" w:rsidR="00D170E5" w:rsidRPr="002B55E9" w:rsidRDefault="00EF27AD">
            <w:pPr>
              <w:pStyle w:val="lgy-"/>
            </w:pPr>
            <w:r w:rsidRPr="002B55E9">
              <w:rPr>
                <w:rFonts w:eastAsia="宋体"/>
              </w:rPr>
              <w:t>0.058</w:t>
            </w:r>
          </w:p>
        </w:tc>
        <w:tc>
          <w:tcPr>
            <w:tcW w:w="533" w:type="dxa"/>
          </w:tcPr>
          <w:p w14:paraId="706122E8" w14:textId="77777777" w:rsidR="00D170E5" w:rsidRPr="002B55E9" w:rsidRDefault="00EF27AD">
            <w:pPr>
              <w:pStyle w:val="lgy-"/>
              <w:rPr>
                <w:rFonts w:eastAsia="宋体"/>
              </w:rPr>
            </w:pPr>
            <w:r w:rsidRPr="002B55E9">
              <w:rPr>
                <w:rFonts w:eastAsia="宋体"/>
              </w:rPr>
              <w:t>0.462</w:t>
            </w:r>
          </w:p>
        </w:tc>
      </w:tr>
    </w:tbl>
    <w:p w14:paraId="634868DC" w14:textId="1453AEA3" w:rsidR="00D170E5" w:rsidRPr="002B55E9" w:rsidRDefault="00EF27AD">
      <w:pPr>
        <w:pStyle w:val="affff7"/>
        <w:snapToGrid w:val="0"/>
        <w:spacing w:line="240" w:lineRule="auto"/>
        <w:ind w:firstLineChars="0" w:firstLine="0"/>
        <w:jc w:val="center"/>
        <w:rPr>
          <w:szCs w:val="24"/>
        </w:rPr>
      </w:pPr>
      <w:r w:rsidRPr="002B55E9">
        <w:rPr>
          <w:rFonts w:eastAsia="黑体" w:hint="eastAsia"/>
          <w:b/>
        </w:rPr>
        <w:t>表</w:t>
      </w:r>
      <w:r w:rsidRPr="002B55E9">
        <w:rPr>
          <w:rFonts w:eastAsia="黑体" w:hint="eastAsia"/>
          <w:b/>
        </w:rPr>
        <w:t>5</w:t>
      </w:r>
      <w:r w:rsidRPr="002B55E9">
        <w:rPr>
          <w:rFonts w:eastAsia="黑体"/>
          <w:b/>
        </w:rPr>
        <w:t>-3-</w:t>
      </w:r>
      <w:r w:rsidR="00085583" w:rsidRPr="002B55E9">
        <w:rPr>
          <w:rFonts w:eastAsia="黑体"/>
          <w:b/>
        </w:rPr>
        <w:t>6</w:t>
      </w:r>
      <w:r w:rsidRPr="002B55E9">
        <w:rPr>
          <w:rFonts w:eastAsia="黑体"/>
          <w:b/>
        </w:rPr>
        <w:t xml:space="preserve">  </w:t>
      </w:r>
      <w:r w:rsidRPr="002B55E9">
        <w:rPr>
          <w:rFonts w:eastAsia="黑体" w:hint="eastAsia"/>
          <w:b/>
        </w:rPr>
        <w:t>污水处理站无组织废气产排情况一览表</w:t>
      </w:r>
    </w:p>
    <w:tbl>
      <w:tblPr>
        <w:tblStyle w:val="lgy2"/>
        <w:tblW w:w="5000" w:type="pct"/>
        <w:tblLayout w:type="fixed"/>
        <w:tblCellMar>
          <w:left w:w="28" w:type="dxa"/>
          <w:right w:w="28" w:type="dxa"/>
        </w:tblCellMar>
        <w:tblLook w:val="04A0" w:firstRow="1" w:lastRow="0" w:firstColumn="1" w:lastColumn="0" w:noHBand="0" w:noVBand="1"/>
      </w:tblPr>
      <w:tblGrid>
        <w:gridCol w:w="2139"/>
        <w:gridCol w:w="855"/>
        <w:gridCol w:w="855"/>
        <w:gridCol w:w="856"/>
        <w:gridCol w:w="1141"/>
        <w:gridCol w:w="998"/>
        <w:gridCol w:w="1283"/>
        <w:gridCol w:w="1566"/>
      </w:tblGrid>
      <w:tr w:rsidR="002B55E9" w:rsidRPr="002B55E9" w14:paraId="05EAE684"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127" w:type="dxa"/>
            <w:vMerge w:val="restart"/>
            <w:noWrap/>
          </w:tcPr>
          <w:p w14:paraId="6BEB9A95" w14:textId="77777777" w:rsidR="00D170E5" w:rsidRPr="002B55E9" w:rsidRDefault="00EF27AD">
            <w:pPr>
              <w:pStyle w:val="lgy-"/>
            </w:pPr>
            <w:r w:rsidRPr="002B55E9">
              <w:rPr>
                <w:rFonts w:eastAsia="宋体" w:hint="eastAsia"/>
              </w:rPr>
              <w:t>面源名称</w:t>
            </w:r>
          </w:p>
        </w:tc>
        <w:tc>
          <w:tcPr>
            <w:tcW w:w="3685" w:type="dxa"/>
            <w:gridSpan w:val="4"/>
            <w:noWrap/>
          </w:tcPr>
          <w:p w14:paraId="48963E17" w14:textId="77777777" w:rsidR="00D170E5" w:rsidRPr="002B55E9" w:rsidRDefault="00EF27AD">
            <w:pPr>
              <w:pStyle w:val="lgy-"/>
            </w:pPr>
            <w:r w:rsidRPr="002B55E9">
              <w:rPr>
                <w:rFonts w:eastAsia="宋体" w:hint="eastAsia"/>
              </w:rPr>
              <w:t>排放参数</w:t>
            </w:r>
          </w:p>
        </w:tc>
        <w:tc>
          <w:tcPr>
            <w:tcW w:w="3825" w:type="dxa"/>
            <w:gridSpan w:val="3"/>
            <w:noWrap/>
          </w:tcPr>
          <w:p w14:paraId="46D8CADA" w14:textId="77777777" w:rsidR="00D170E5" w:rsidRPr="002B55E9" w:rsidRDefault="00EF27AD">
            <w:pPr>
              <w:pStyle w:val="lgy-"/>
              <w:rPr>
                <w:rFonts w:eastAsia="宋体"/>
              </w:rPr>
            </w:pPr>
            <w:r w:rsidRPr="002B55E9">
              <w:rPr>
                <w:rFonts w:eastAsia="宋体" w:hint="eastAsia"/>
              </w:rPr>
              <w:t>无组织排放情况</w:t>
            </w:r>
          </w:p>
        </w:tc>
      </w:tr>
      <w:tr w:rsidR="002B55E9" w:rsidRPr="002B55E9" w14:paraId="0D8527A7" w14:textId="77777777" w:rsidTr="00EF27AD">
        <w:trPr>
          <w:trHeight w:val="283"/>
        </w:trPr>
        <w:tc>
          <w:tcPr>
            <w:tcW w:w="2127" w:type="dxa"/>
            <w:vMerge/>
          </w:tcPr>
          <w:p w14:paraId="1F99F6D9" w14:textId="77777777" w:rsidR="00D170E5" w:rsidRPr="002B55E9" w:rsidRDefault="00D170E5">
            <w:pPr>
              <w:pStyle w:val="lgy-"/>
            </w:pPr>
          </w:p>
        </w:tc>
        <w:tc>
          <w:tcPr>
            <w:tcW w:w="850" w:type="dxa"/>
            <w:noWrap/>
          </w:tcPr>
          <w:p w14:paraId="709FB2B4" w14:textId="77777777" w:rsidR="00D170E5" w:rsidRPr="002B55E9" w:rsidRDefault="00EF27AD" w:rsidP="00EF27AD">
            <w:pPr>
              <w:pStyle w:val="lgy-"/>
            </w:pPr>
            <w:r w:rsidRPr="002B55E9">
              <w:rPr>
                <w:rFonts w:eastAsia="宋体" w:hint="eastAsia"/>
              </w:rPr>
              <w:t>长度</w:t>
            </w:r>
            <w:r w:rsidRPr="002B55E9">
              <w:rPr>
                <w:rFonts w:eastAsia="宋体"/>
              </w:rPr>
              <w:t>m</w:t>
            </w:r>
          </w:p>
        </w:tc>
        <w:tc>
          <w:tcPr>
            <w:tcW w:w="850" w:type="dxa"/>
          </w:tcPr>
          <w:p w14:paraId="3997955B" w14:textId="77777777" w:rsidR="00D170E5" w:rsidRPr="002B55E9" w:rsidRDefault="00EF27AD">
            <w:pPr>
              <w:pStyle w:val="lgy-"/>
            </w:pPr>
            <w:r w:rsidRPr="002B55E9">
              <w:rPr>
                <w:rFonts w:eastAsia="宋体" w:hint="eastAsia"/>
              </w:rPr>
              <w:t>宽度</w:t>
            </w:r>
            <w:r w:rsidRPr="002B55E9">
              <w:rPr>
                <w:rFonts w:eastAsia="宋体"/>
              </w:rPr>
              <w:t>m</w:t>
            </w:r>
          </w:p>
        </w:tc>
        <w:tc>
          <w:tcPr>
            <w:tcW w:w="851" w:type="dxa"/>
            <w:noWrap/>
          </w:tcPr>
          <w:p w14:paraId="0749A88B" w14:textId="77777777" w:rsidR="00D170E5" w:rsidRPr="002B55E9" w:rsidRDefault="00EF27AD">
            <w:pPr>
              <w:pStyle w:val="lgy-"/>
            </w:pPr>
            <w:r w:rsidRPr="002B55E9">
              <w:rPr>
                <w:rFonts w:eastAsia="宋体" w:hint="eastAsia"/>
              </w:rPr>
              <w:t>高度</w:t>
            </w:r>
            <w:r w:rsidRPr="002B55E9">
              <w:rPr>
                <w:rFonts w:eastAsia="宋体"/>
              </w:rPr>
              <w:t>m</w:t>
            </w:r>
          </w:p>
        </w:tc>
        <w:tc>
          <w:tcPr>
            <w:tcW w:w="1134" w:type="dxa"/>
            <w:noWrap/>
          </w:tcPr>
          <w:p w14:paraId="2FD37FDD" w14:textId="77777777" w:rsidR="00D170E5" w:rsidRPr="002B55E9" w:rsidRDefault="00EF27AD">
            <w:pPr>
              <w:pStyle w:val="lgy-"/>
            </w:pPr>
            <w:r w:rsidRPr="002B55E9">
              <w:rPr>
                <w:rFonts w:eastAsia="宋体" w:hint="eastAsia"/>
              </w:rPr>
              <w:t>年排放时间</w:t>
            </w:r>
            <w:r w:rsidRPr="002B55E9">
              <w:rPr>
                <w:rFonts w:eastAsia="宋体"/>
              </w:rPr>
              <w:t>h</w:t>
            </w:r>
          </w:p>
        </w:tc>
        <w:tc>
          <w:tcPr>
            <w:tcW w:w="992" w:type="dxa"/>
            <w:noWrap/>
          </w:tcPr>
          <w:p w14:paraId="5FDD10EF" w14:textId="77777777" w:rsidR="00D170E5" w:rsidRPr="002B55E9" w:rsidRDefault="00EF27AD">
            <w:pPr>
              <w:pStyle w:val="lgy-"/>
            </w:pPr>
            <w:r w:rsidRPr="002B55E9">
              <w:rPr>
                <w:rFonts w:eastAsia="宋体" w:hint="eastAsia"/>
              </w:rPr>
              <w:t>污染物名称</w:t>
            </w:r>
          </w:p>
        </w:tc>
        <w:tc>
          <w:tcPr>
            <w:tcW w:w="1276" w:type="dxa"/>
          </w:tcPr>
          <w:p w14:paraId="3EDF7DE3" w14:textId="77777777" w:rsidR="00D170E5" w:rsidRPr="002B55E9" w:rsidRDefault="00EF27AD">
            <w:pPr>
              <w:pStyle w:val="lgy-"/>
            </w:pPr>
            <w:r w:rsidRPr="002B55E9">
              <w:rPr>
                <w:rFonts w:eastAsia="宋体" w:hint="eastAsia"/>
              </w:rPr>
              <w:t>排放量（</w:t>
            </w:r>
            <w:r w:rsidRPr="002B55E9">
              <w:rPr>
                <w:rFonts w:eastAsia="宋体"/>
              </w:rPr>
              <w:t>t/a</w:t>
            </w:r>
            <w:r w:rsidRPr="002B55E9">
              <w:rPr>
                <w:rFonts w:eastAsia="宋体" w:hint="eastAsia"/>
              </w:rPr>
              <w:t>）</w:t>
            </w:r>
          </w:p>
        </w:tc>
        <w:tc>
          <w:tcPr>
            <w:tcW w:w="1557" w:type="dxa"/>
          </w:tcPr>
          <w:p w14:paraId="1EED37DF" w14:textId="77777777" w:rsidR="00D170E5" w:rsidRPr="002B55E9" w:rsidRDefault="00EF27AD">
            <w:pPr>
              <w:pStyle w:val="lgy-"/>
              <w:rPr>
                <w:rFonts w:eastAsia="宋体"/>
              </w:rPr>
            </w:pPr>
            <w:r w:rsidRPr="002B55E9">
              <w:rPr>
                <w:rFonts w:eastAsia="宋体" w:hint="eastAsia"/>
              </w:rPr>
              <w:t>排放速率（</w:t>
            </w:r>
            <w:r w:rsidRPr="002B55E9">
              <w:rPr>
                <w:rFonts w:eastAsia="宋体"/>
              </w:rPr>
              <w:t>kg/h</w:t>
            </w:r>
            <w:r w:rsidRPr="002B55E9">
              <w:rPr>
                <w:rFonts w:eastAsia="宋体" w:hint="eastAsia"/>
              </w:rPr>
              <w:t>）</w:t>
            </w:r>
          </w:p>
        </w:tc>
      </w:tr>
      <w:tr w:rsidR="002B55E9" w:rsidRPr="002B55E9" w14:paraId="53A2F490" w14:textId="77777777" w:rsidTr="00EF27AD">
        <w:trPr>
          <w:trHeight w:val="283"/>
        </w:trPr>
        <w:tc>
          <w:tcPr>
            <w:tcW w:w="2127" w:type="dxa"/>
            <w:vMerge w:val="restart"/>
            <w:noWrap/>
          </w:tcPr>
          <w:p w14:paraId="484EE9A4" w14:textId="7EB2880B" w:rsidR="00D170E5" w:rsidRPr="002B55E9" w:rsidRDefault="0054267F">
            <w:pPr>
              <w:pStyle w:val="lgy-"/>
            </w:pPr>
            <w:r w:rsidRPr="002B55E9">
              <w:rPr>
                <w:rFonts w:eastAsia="宋体" w:hint="eastAsia"/>
              </w:rPr>
              <w:t>佛山市海天（武汉）调味食品有限公司</w:t>
            </w:r>
            <w:r w:rsidR="00EF27AD" w:rsidRPr="002B55E9">
              <w:rPr>
                <w:rFonts w:eastAsia="宋体" w:hint="eastAsia"/>
              </w:rPr>
              <w:t>污水处理站</w:t>
            </w:r>
          </w:p>
        </w:tc>
        <w:tc>
          <w:tcPr>
            <w:tcW w:w="850" w:type="dxa"/>
            <w:vMerge w:val="restart"/>
            <w:noWrap/>
          </w:tcPr>
          <w:p w14:paraId="1666065B" w14:textId="77777777" w:rsidR="00D170E5" w:rsidRPr="002B55E9" w:rsidRDefault="00EF27AD">
            <w:pPr>
              <w:pStyle w:val="lgy-"/>
            </w:pPr>
            <w:r w:rsidRPr="002B55E9">
              <w:rPr>
                <w:rFonts w:eastAsia="宋体"/>
              </w:rPr>
              <w:t>120</w:t>
            </w:r>
          </w:p>
        </w:tc>
        <w:tc>
          <w:tcPr>
            <w:tcW w:w="850" w:type="dxa"/>
            <w:vMerge w:val="restart"/>
            <w:noWrap/>
          </w:tcPr>
          <w:p w14:paraId="630E995D" w14:textId="77777777" w:rsidR="00D170E5" w:rsidRPr="002B55E9" w:rsidRDefault="00EF27AD">
            <w:pPr>
              <w:pStyle w:val="lgy-"/>
            </w:pPr>
            <w:r w:rsidRPr="002B55E9">
              <w:rPr>
                <w:rFonts w:eastAsia="宋体"/>
              </w:rPr>
              <w:t>70</w:t>
            </w:r>
          </w:p>
        </w:tc>
        <w:tc>
          <w:tcPr>
            <w:tcW w:w="851" w:type="dxa"/>
            <w:vMerge w:val="restart"/>
            <w:noWrap/>
          </w:tcPr>
          <w:p w14:paraId="421E697D" w14:textId="77777777" w:rsidR="00D170E5" w:rsidRPr="002B55E9" w:rsidRDefault="00EF27AD">
            <w:pPr>
              <w:pStyle w:val="lgy-"/>
            </w:pPr>
            <w:r w:rsidRPr="002B55E9">
              <w:rPr>
                <w:rFonts w:eastAsia="宋体"/>
              </w:rPr>
              <w:t>3</w:t>
            </w:r>
          </w:p>
        </w:tc>
        <w:tc>
          <w:tcPr>
            <w:tcW w:w="1134" w:type="dxa"/>
            <w:vMerge w:val="restart"/>
            <w:noWrap/>
          </w:tcPr>
          <w:p w14:paraId="23C1BF0C" w14:textId="77777777" w:rsidR="00D170E5" w:rsidRPr="002B55E9" w:rsidRDefault="00EF27AD">
            <w:pPr>
              <w:pStyle w:val="lgy-"/>
            </w:pPr>
            <w:r w:rsidRPr="002B55E9">
              <w:rPr>
                <w:rFonts w:eastAsia="宋体"/>
              </w:rPr>
              <w:t>7920</w:t>
            </w:r>
          </w:p>
        </w:tc>
        <w:tc>
          <w:tcPr>
            <w:tcW w:w="992" w:type="dxa"/>
          </w:tcPr>
          <w:p w14:paraId="5ACAF2A5" w14:textId="77777777" w:rsidR="00D170E5" w:rsidRPr="002B55E9" w:rsidRDefault="00EF27AD">
            <w:pPr>
              <w:pStyle w:val="lgy-"/>
            </w:pPr>
            <w:r w:rsidRPr="002B55E9">
              <w:rPr>
                <w:rFonts w:eastAsia="宋体" w:hint="eastAsia"/>
              </w:rPr>
              <w:t>氨</w:t>
            </w:r>
          </w:p>
        </w:tc>
        <w:tc>
          <w:tcPr>
            <w:tcW w:w="1276" w:type="dxa"/>
          </w:tcPr>
          <w:p w14:paraId="36CB8221" w14:textId="77777777" w:rsidR="00D170E5" w:rsidRPr="002B55E9" w:rsidRDefault="00EF27AD">
            <w:pPr>
              <w:pStyle w:val="lgy-"/>
            </w:pPr>
            <w:r w:rsidRPr="002B55E9">
              <w:rPr>
                <w:rFonts w:eastAsia="宋体"/>
              </w:rPr>
              <w:t>0.018</w:t>
            </w:r>
          </w:p>
        </w:tc>
        <w:tc>
          <w:tcPr>
            <w:tcW w:w="1557" w:type="dxa"/>
          </w:tcPr>
          <w:p w14:paraId="384BEBD4" w14:textId="77777777" w:rsidR="00D170E5" w:rsidRPr="002B55E9" w:rsidRDefault="00EF27AD">
            <w:pPr>
              <w:pStyle w:val="lgy-"/>
              <w:rPr>
                <w:rFonts w:eastAsia="宋体"/>
              </w:rPr>
            </w:pPr>
            <w:r w:rsidRPr="002B55E9">
              <w:rPr>
                <w:rFonts w:eastAsia="宋体"/>
              </w:rPr>
              <w:t>0.002</w:t>
            </w:r>
          </w:p>
        </w:tc>
      </w:tr>
      <w:tr w:rsidR="002B55E9" w:rsidRPr="002B55E9" w14:paraId="0338E611" w14:textId="77777777" w:rsidTr="00EF27AD">
        <w:trPr>
          <w:trHeight w:val="283"/>
        </w:trPr>
        <w:tc>
          <w:tcPr>
            <w:tcW w:w="2127" w:type="dxa"/>
            <w:vMerge/>
          </w:tcPr>
          <w:p w14:paraId="2D8D1C45" w14:textId="77777777" w:rsidR="00D170E5" w:rsidRPr="002B55E9" w:rsidRDefault="00D170E5">
            <w:pPr>
              <w:pStyle w:val="lgy-"/>
            </w:pPr>
          </w:p>
        </w:tc>
        <w:tc>
          <w:tcPr>
            <w:tcW w:w="850" w:type="dxa"/>
            <w:vMerge/>
          </w:tcPr>
          <w:p w14:paraId="19824262" w14:textId="77777777" w:rsidR="00D170E5" w:rsidRPr="002B55E9" w:rsidRDefault="00D170E5">
            <w:pPr>
              <w:pStyle w:val="lgy-"/>
            </w:pPr>
          </w:p>
        </w:tc>
        <w:tc>
          <w:tcPr>
            <w:tcW w:w="850" w:type="dxa"/>
            <w:vMerge/>
          </w:tcPr>
          <w:p w14:paraId="35396FBC" w14:textId="77777777" w:rsidR="00D170E5" w:rsidRPr="002B55E9" w:rsidRDefault="00D170E5">
            <w:pPr>
              <w:pStyle w:val="lgy-"/>
            </w:pPr>
          </w:p>
        </w:tc>
        <w:tc>
          <w:tcPr>
            <w:tcW w:w="851" w:type="dxa"/>
            <w:vMerge/>
          </w:tcPr>
          <w:p w14:paraId="778059BB" w14:textId="77777777" w:rsidR="00D170E5" w:rsidRPr="002B55E9" w:rsidRDefault="00D170E5">
            <w:pPr>
              <w:pStyle w:val="lgy-"/>
            </w:pPr>
          </w:p>
        </w:tc>
        <w:tc>
          <w:tcPr>
            <w:tcW w:w="1134" w:type="dxa"/>
            <w:vMerge/>
          </w:tcPr>
          <w:p w14:paraId="11FF645B" w14:textId="77777777" w:rsidR="00D170E5" w:rsidRPr="002B55E9" w:rsidRDefault="00D170E5">
            <w:pPr>
              <w:pStyle w:val="lgy-"/>
            </w:pPr>
          </w:p>
        </w:tc>
        <w:tc>
          <w:tcPr>
            <w:tcW w:w="992" w:type="dxa"/>
          </w:tcPr>
          <w:p w14:paraId="0DB9AFA2" w14:textId="77777777" w:rsidR="00D170E5" w:rsidRPr="002B55E9" w:rsidRDefault="00EF27AD">
            <w:pPr>
              <w:pStyle w:val="lgy-"/>
            </w:pPr>
            <w:r w:rsidRPr="002B55E9">
              <w:rPr>
                <w:rFonts w:eastAsia="宋体" w:hint="eastAsia"/>
              </w:rPr>
              <w:t>硫化氢</w:t>
            </w:r>
          </w:p>
        </w:tc>
        <w:tc>
          <w:tcPr>
            <w:tcW w:w="1276" w:type="dxa"/>
            <w:noWrap/>
          </w:tcPr>
          <w:p w14:paraId="279392A6" w14:textId="77777777" w:rsidR="00D170E5" w:rsidRPr="002B55E9" w:rsidRDefault="00EF27AD">
            <w:pPr>
              <w:pStyle w:val="lgy-"/>
              <w:rPr>
                <w:szCs w:val="22"/>
              </w:rPr>
            </w:pPr>
            <w:r w:rsidRPr="002B55E9">
              <w:rPr>
                <w:rFonts w:eastAsia="宋体" w:hint="eastAsia"/>
                <w:szCs w:val="22"/>
              </w:rPr>
              <w:t>0.171072</w:t>
            </w:r>
          </w:p>
        </w:tc>
        <w:tc>
          <w:tcPr>
            <w:tcW w:w="1557" w:type="dxa"/>
          </w:tcPr>
          <w:p w14:paraId="636DB801" w14:textId="77777777" w:rsidR="00D170E5" w:rsidRPr="002B55E9" w:rsidRDefault="00EF27AD">
            <w:pPr>
              <w:pStyle w:val="lgy-"/>
              <w:rPr>
                <w:rFonts w:eastAsia="宋体"/>
              </w:rPr>
            </w:pPr>
            <w:r w:rsidRPr="002B55E9">
              <w:rPr>
                <w:rFonts w:eastAsia="宋体"/>
              </w:rPr>
              <w:t>0.022</w:t>
            </w:r>
          </w:p>
        </w:tc>
      </w:tr>
    </w:tbl>
    <w:p w14:paraId="38DEDCA3" w14:textId="77777777" w:rsidR="00D170E5" w:rsidRPr="002B55E9" w:rsidRDefault="00EF27AD">
      <w:pPr>
        <w:pStyle w:val="affff7"/>
        <w:snapToGrid w:val="0"/>
        <w:rPr>
          <w:szCs w:val="24"/>
        </w:rPr>
      </w:pPr>
      <w:r w:rsidRPr="002B55E9">
        <w:rPr>
          <w:rFonts w:hint="eastAsia"/>
          <w:szCs w:val="24"/>
        </w:rPr>
        <w:t>根据上表可知，污水处理站恶臭废气经处理后，氨和硫化氢的排放速率均满足《恶臭污染物排放标准》（</w:t>
      </w:r>
      <w:r w:rsidRPr="002B55E9">
        <w:rPr>
          <w:szCs w:val="24"/>
        </w:rPr>
        <w:t>GB14554-1993</w:t>
      </w:r>
      <w:r w:rsidRPr="002B55E9">
        <w:rPr>
          <w:rFonts w:hint="eastAsia"/>
          <w:szCs w:val="24"/>
        </w:rPr>
        <w:t>）表</w:t>
      </w:r>
      <w:r w:rsidRPr="002B55E9">
        <w:rPr>
          <w:szCs w:val="24"/>
        </w:rPr>
        <w:t>2</w:t>
      </w:r>
      <w:r w:rsidRPr="002B55E9">
        <w:rPr>
          <w:rFonts w:hint="eastAsia"/>
          <w:szCs w:val="24"/>
        </w:rPr>
        <w:t>中相关限值要求，根据《排污许可证申请与核发技术规范食品制造工业—调味品、发酵制品制造工业》（</w:t>
      </w:r>
      <w:r w:rsidRPr="002B55E9">
        <w:rPr>
          <w:szCs w:val="24"/>
        </w:rPr>
        <w:t>HJ 1030.2-2019</w:t>
      </w:r>
      <w:r w:rsidRPr="002B55E9">
        <w:rPr>
          <w:rFonts w:hint="eastAsia"/>
          <w:szCs w:val="24"/>
        </w:rPr>
        <w:t>）表</w:t>
      </w:r>
      <w:r w:rsidRPr="002B55E9">
        <w:rPr>
          <w:szCs w:val="24"/>
        </w:rPr>
        <w:t>3</w:t>
      </w:r>
      <w:r w:rsidRPr="002B55E9">
        <w:rPr>
          <w:rFonts w:hint="eastAsia"/>
          <w:szCs w:val="24"/>
        </w:rPr>
        <w:t>，污水处理站恶臭废气处理设施采用的工艺为可行技术。</w:t>
      </w:r>
    </w:p>
    <w:p w14:paraId="58C3377A" w14:textId="77777777" w:rsidR="00D170E5" w:rsidRPr="002B55E9" w:rsidRDefault="00EF27AD">
      <w:pPr>
        <w:pStyle w:val="affff7"/>
        <w:snapToGrid w:val="0"/>
        <w:spacing w:after="0"/>
        <w:rPr>
          <w:szCs w:val="24"/>
        </w:rPr>
      </w:pPr>
      <w:r w:rsidRPr="002B55E9">
        <w:rPr>
          <w:rFonts w:hint="eastAsia"/>
          <w:szCs w:val="24"/>
        </w:rPr>
        <w:t>②卫生防护距离</w:t>
      </w:r>
    </w:p>
    <w:p w14:paraId="54342121" w14:textId="77777777" w:rsidR="00D170E5" w:rsidRPr="002B55E9" w:rsidRDefault="00EF27AD">
      <w:pPr>
        <w:pStyle w:val="affff7"/>
        <w:spacing w:after="0"/>
      </w:pPr>
      <w:r w:rsidRPr="002B55E9">
        <w:rPr>
          <w:rFonts w:hint="eastAsia"/>
          <w:szCs w:val="24"/>
        </w:rPr>
        <w:t>根据《大气有害物质无组织排放卫生防护距离推导技术导则》（</w:t>
      </w:r>
      <w:r w:rsidRPr="002B55E9">
        <w:rPr>
          <w:rFonts w:hint="eastAsia"/>
          <w:szCs w:val="24"/>
        </w:rPr>
        <w:t>GB/T39499-2020</w:t>
      </w:r>
      <w:r w:rsidRPr="002B55E9">
        <w:rPr>
          <w:rFonts w:hint="eastAsia"/>
          <w:szCs w:val="24"/>
        </w:rPr>
        <w:t>），污水处理站</w:t>
      </w:r>
      <w:r w:rsidRPr="002B55E9">
        <w:rPr>
          <w:szCs w:val="24"/>
        </w:rPr>
        <w:t>无组织排放源卫生防护距离计算结果见下表所示：</w:t>
      </w:r>
    </w:p>
    <w:p w14:paraId="6EE7D8B6" w14:textId="5D1A0FDC" w:rsidR="00D170E5" w:rsidRPr="002B55E9" w:rsidRDefault="00EF27AD">
      <w:pPr>
        <w:snapToGrid w:val="0"/>
        <w:jc w:val="center"/>
        <w:rPr>
          <w:rFonts w:eastAsia="黑体"/>
          <w:b/>
          <w:bCs/>
          <w:sz w:val="24"/>
        </w:rPr>
      </w:pPr>
      <w:r w:rsidRPr="002B55E9">
        <w:rPr>
          <w:rFonts w:eastAsia="黑体" w:hint="eastAsia"/>
          <w:b/>
          <w:bCs/>
          <w:sz w:val="24"/>
        </w:rPr>
        <w:t>表</w:t>
      </w:r>
      <w:r w:rsidRPr="002B55E9">
        <w:rPr>
          <w:rFonts w:eastAsia="黑体" w:hint="eastAsia"/>
          <w:b/>
          <w:bCs/>
          <w:sz w:val="24"/>
        </w:rPr>
        <w:t>5</w:t>
      </w:r>
      <w:r w:rsidRPr="002B55E9">
        <w:rPr>
          <w:rFonts w:eastAsia="黑体"/>
          <w:b/>
          <w:bCs/>
          <w:sz w:val="24"/>
        </w:rPr>
        <w:t>-3-</w:t>
      </w:r>
      <w:r w:rsidR="00085583" w:rsidRPr="002B55E9">
        <w:rPr>
          <w:rFonts w:eastAsia="黑体"/>
          <w:b/>
          <w:bCs/>
          <w:sz w:val="24"/>
        </w:rPr>
        <w:t>7</w:t>
      </w:r>
      <w:r w:rsidRPr="002B55E9">
        <w:rPr>
          <w:rFonts w:eastAsia="黑体"/>
          <w:b/>
          <w:bCs/>
          <w:sz w:val="24"/>
        </w:rPr>
        <w:t xml:space="preserve">  </w:t>
      </w:r>
      <w:r w:rsidRPr="002B55E9">
        <w:rPr>
          <w:rFonts w:eastAsia="黑体" w:hint="eastAsia"/>
          <w:b/>
          <w:bCs/>
          <w:sz w:val="24"/>
        </w:rPr>
        <w:t>拟建项目无组织排放源卫生防护距离计算参数结果一览表</w:t>
      </w:r>
    </w:p>
    <w:tbl>
      <w:tblPr>
        <w:tblStyle w:val="lgy2"/>
        <w:tblW w:w="5000" w:type="pct"/>
        <w:tblLayout w:type="fixed"/>
        <w:tblCellMar>
          <w:left w:w="28" w:type="dxa"/>
          <w:right w:w="28" w:type="dxa"/>
        </w:tblCellMar>
        <w:tblLook w:val="04A0" w:firstRow="1" w:lastRow="0" w:firstColumn="1" w:lastColumn="0" w:noHBand="0" w:noVBand="1"/>
      </w:tblPr>
      <w:tblGrid>
        <w:gridCol w:w="2139"/>
        <w:gridCol w:w="855"/>
        <w:gridCol w:w="1283"/>
        <w:gridCol w:w="1568"/>
        <w:gridCol w:w="1650"/>
        <w:gridCol w:w="977"/>
        <w:gridCol w:w="1221"/>
      </w:tblGrid>
      <w:tr w:rsidR="002B55E9" w:rsidRPr="002B55E9" w14:paraId="11B4CC4F"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127" w:type="dxa"/>
            <w:vMerge w:val="restart"/>
          </w:tcPr>
          <w:p w14:paraId="4F71A345" w14:textId="77777777" w:rsidR="00D170E5" w:rsidRPr="002B55E9" w:rsidRDefault="00EF27AD">
            <w:pPr>
              <w:pStyle w:val="lgy-"/>
            </w:pPr>
            <w:r w:rsidRPr="002B55E9">
              <w:rPr>
                <w:rFonts w:eastAsia="宋体"/>
              </w:rPr>
              <w:t>无组织排放源</w:t>
            </w:r>
          </w:p>
        </w:tc>
        <w:tc>
          <w:tcPr>
            <w:tcW w:w="850" w:type="dxa"/>
            <w:vMerge w:val="restart"/>
          </w:tcPr>
          <w:p w14:paraId="5591704C" w14:textId="77777777" w:rsidR="00D170E5" w:rsidRPr="002B55E9" w:rsidRDefault="00EF27AD">
            <w:pPr>
              <w:pStyle w:val="lgy-"/>
            </w:pPr>
            <w:r w:rsidRPr="002B55E9">
              <w:rPr>
                <w:rFonts w:eastAsia="宋体"/>
              </w:rPr>
              <w:t>污染因子</w:t>
            </w:r>
          </w:p>
        </w:tc>
        <w:tc>
          <w:tcPr>
            <w:tcW w:w="1276" w:type="dxa"/>
            <w:vMerge w:val="restart"/>
          </w:tcPr>
          <w:p w14:paraId="478DF278" w14:textId="77777777" w:rsidR="00D170E5" w:rsidRPr="002B55E9" w:rsidRDefault="00EF27AD" w:rsidP="00EF27AD">
            <w:pPr>
              <w:pStyle w:val="lgy-"/>
            </w:pPr>
            <w:r w:rsidRPr="002B55E9">
              <w:rPr>
                <w:rFonts w:eastAsia="宋体"/>
              </w:rPr>
              <w:t>排放源强</w:t>
            </w:r>
            <w:r w:rsidRPr="002B55E9">
              <w:rPr>
                <w:rFonts w:eastAsia="宋体"/>
              </w:rPr>
              <w:t>(kg/h)</w:t>
            </w:r>
          </w:p>
        </w:tc>
        <w:tc>
          <w:tcPr>
            <w:tcW w:w="1559" w:type="dxa"/>
            <w:vMerge w:val="restart"/>
          </w:tcPr>
          <w:p w14:paraId="2B9BBDC9" w14:textId="77777777" w:rsidR="00D170E5" w:rsidRPr="002B55E9" w:rsidRDefault="00EF27AD">
            <w:pPr>
              <w:pStyle w:val="lgy-"/>
            </w:pPr>
            <w:r w:rsidRPr="002B55E9">
              <w:rPr>
                <w:rFonts w:eastAsia="宋体"/>
              </w:rPr>
              <w:t>无组织源规格</w:t>
            </w:r>
          </w:p>
        </w:tc>
        <w:tc>
          <w:tcPr>
            <w:tcW w:w="1640" w:type="dxa"/>
            <w:vMerge w:val="restart"/>
          </w:tcPr>
          <w:p w14:paraId="10CC99D8" w14:textId="77777777" w:rsidR="00D170E5" w:rsidRPr="002B55E9" w:rsidRDefault="00EF27AD">
            <w:pPr>
              <w:pStyle w:val="lgy-"/>
            </w:pPr>
            <w:r w:rsidRPr="002B55E9">
              <w:rPr>
                <w:rFonts w:eastAsia="宋体"/>
              </w:rPr>
              <w:t>污染物环境标准值（</w:t>
            </w:r>
            <w:r w:rsidRPr="002B55E9">
              <w:rPr>
                <w:rFonts w:eastAsia="宋体"/>
              </w:rPr>
              <w:t>mg/m</w:t>
            </w:r>
            <w:r w:rsidRPr="002B55E9">
              <w:rPr>
                <w:rFonts w:eastAsia="宋体"/>
                <w:vertAlign w:val="superscript"/>
              </w:rPr>
              <w:t>3</w:t>
            </w:r>
            <w:r w:rsidRPr="002B55E9">
              <w:rPr>
                <w:rFonts w:eastAsia="宋体"/>
              </w:rPr>
              <w:t>）</w:t>
            </w:r>
          </w:p>
        </w:tc>
        <w:tc>
          <w:tcPr>
            <w:tcW w:w="2185" w:type="dxa"/>
            <w:gridSpan w:val="2"/>
          </w:tcPr>
          <w:p w14:paraId="1436B46F" w14:textId="77777777" w:rsidR="00D170E5" w:rsidRPr="002B55E9" w:rsidRDefault="00EF27AD">
            <w:pPr>
              <w:pStyle w:val="lgy-"/>
              <w:rPr>
                <w:rFonts w:eastAsia="宋体"/>
              </w:rPr>
            </w:pPr>
            <w:r w:rsidRPr="002B55E9">
              <w:rPr>
                <w:rFonts w:eastAsia="宋体"/>
              </w:rPr>
              <w:t>卫生防护距离（</w:t>
            </w:r>
            <w:r w:rsidRPr="002B55E9">
              <w:rPr>
                <w:rFonts w:eastAsia="宋体"/>
              </w:rPr>
              <w:t>m</w:t>
            </w:r>
            <w:r w:rsidRPr="002B55E9">
              <w:rPr>
                <w:rFonts w:eastAsia="宋体"/>
              </w:rPr>
              <w:t>）</w:t>
            </w:r>
          </w:p>
        </w:tc>
      </w:tr>
      <w:tr w:rsidR="002B55E9" w:rsidRPr="002B55E9" w14:paraId="7A5F4E69" w14:textId="77777777" w:rsidTr="00EF27AD">
        <w:trPr>
          <w:trHeight w:val="283"/>
        </w:trPr>
        <w:tc>
          <w:tcPr>
            <w:tcW w:w="2127" w:type="dxa"/>
            <w:vMerge/>
          </w:tcPr>
          <w:p w14:paraId="600EBF33" w14:textId="77777777" w:rsidR="00D170E5" w:rsidRPr="002B55E9" w:rsidRDefault="00D170E5">
            <w:pPr>
              <w:pStyle w:val="lgy-"/>
            </w:pPr>
          </w:p>
        </w:tc>
        <w:tc>
          <w:tcPr>
            <w:tcW w:w="850" w:type="dxa"/>
            <w:vMerge/>
          </w:tcPr>
          <w:p w14:paraId="30C9F2D3" w14:textId="77777777" w:rsidR="00D170E5" w:rsidRPr="002B55E9" w:rsidRDefault="00D170E5">
            <w:pPr>
              <w:pStyle w:val="lgy-"/>
            </w:pPr>
          </w:p>
        </w:tc>
        <w:tc>
          <w:tcPr>
            <w:tcW w:w="1276" w:type="dxa"/>
            <w:vMerge/>
          </w:tcPr>
          <w:p w14:paraId="4E7566B0" w14:textId="77777777" w:rsidR="00D170E5" w:rsidRPr="002B55E9" w:rsidRDefault="00D170E5">
            <w:pPr>
              <w:pStyle w:val="lgy-"/>
            </w:pPr>
          </w:p>
        </w:tc>
        <w:tc>
          <w:tcPr>
            <w:tcW w:w="1559" w:type="dxa"/>
            <w:vMerge/>
          </w:tcPr>
          <w:p w14:paraId="08F14635" w14:textId="77777777" w:rsidR="00D170E5" w:rsidRPr="002B55E9" w:rsidRDefault="00D170E5">
            <w:pPr>
              <w:pStyle w:val="lgy-"/>
            </w:pPr>
          </w:p>
        </w:tc>
        <w:tc>
          <w:tcPr>
            <w:tcW w:w="1640" w:type="dxa"/>
            <w:vMerge/>
          </w:tcPr>
          <w:p w14:paraId="2B1F11AF" w14:textId="77777777" w:rsidR="00D170E5" w:rsidRPr="002B55E9" w:rsidRDefault="00D170E5">
            <w:pPr>
              <w:pStyle w:val="lgy-"/>
            </w:pPr>
          </w:p>
        </w:tc>
        <w:tc>
          <w:tcPr>
            <w:tcW w:w="971" w:type="dxa"/>
          </w:tcPr>
          <w:p w14:paraId="61F6236A" w14:textId="77777777" w:rsidR="00D170E5" w:rsidRPr="002B55E9" w:rsidRDefault="00EF27AD">
            <w:pPr>
              <w:pStyle w:val="lgy-"/>
            </w:pPr>
            <w:r w:rsidRPr="002B55E9">
              <w:rPr>
                <w:rFonts w:eastAsia="宋体"/>
              </w:rPr>
              <w:t>计算值</w:t>
            </w:r>
          </w:p>
        </w:tc>
        <w:tc>
          <w:tcPr>
            <w:tcW w:w="1214" w:type="dxa"/>
          </w:tcPr>
          <w:p w14:paraId="3AB9863B" w14:textId="77777777" w:rsidR="00D170E5" w:rsidRPr="002B55E9" w:rsidRDefault="00EF27AD">
            <w:pPr>
              <w:pStyle w:val="lgy-"/>
              <w:rPr>
                <w:rFonts w:eastAsia="宋体"/>
              </w:rPr>
            </w:pPr>
            <w:r w:rsidRPr="002B55E9">
              <w:rPr>
                <w:rFonts w:eastAsia="宋体"/>
              </w:rPr>
              <w:t>最终确定值</w:t>
            </w:r>
          </w:p>
        </w:tc>
      </w:tr>
      <w:tr w:rsidR="002B55E9" w:rsidRPr="002B55E9" w14:paraId="072D8718" w14:textId="77777777" w:rsidTr="00EF27AD">
        <w:trPr>
          <w:trHeight w:val="283"/>
        </w:trPr>
        <w:tc>
          <w:tcPr>
            <w:tcW w:w="2127" w:type="dxa"/>
            <w:vMerge w:val="restart"/>
          </w:tcPr>
          <w:p w14:paraId="35500F33" w14:textId="77777777" w:rsidR="00D170E5" w:rsidRPr="002B55E9" w:rsidRDefault="00EF27AD">
            <w:pPr>
              <w:pStyle w:val="lgy-"/>
            </w:pPr>
            <w:r w:rsidRPr="002B55E9">
              <w:rPr>
                <w:rFonts w:eastAsia="宋体" w:hint="eastAsia"/>
              </w:rPr>
              <w:t>佛山市海天（高明）调味食品有限公司污水处理站</w:t>
            </w:r>
          </w:p>
        </w:tc>
        <w:tc>
          <w:tcPr>
            <w:tcW w:w="850" w:type="dxa"/>
          </w:tcPr>
          <w:p w14:paraId="5B63F782" w14:textId="77777777" w:rsidR="00D170E5" w:rsidRPr="002B55E9" w:rsidRDefault="00EF27AD">
            <w:pPr>
              <w:pStyle w:val="lgy-"/>
            </w:pPr>
            <w:r w:rsidRPr="002B55E9">
              <w:rPr>
                <w:rFonts w:eastAsia="宋体" w:hint="eastAsia"/>
              </w:rPr>
              <w:t>氨</w:t>
            </w:r>
          </w:p>
        </w:tc>
        <w:tc>
          <w:tcPr>
            <w:tcW w:w="1276" w:type="dxa"/>
          </w:tcPr>
          <w:p w14:paraId="251B2A38" w14:textId="77777777" w:rsidR="00D170E5" w:rsidRPr="002B55E9" w:rsidRDefault="00EF27AD">
            <w:pPr>
              <w:pStyle w:val="lgy-"/>
            </w:pPr>
            <w:r w:rsidRPr="002B55E9">
              <w:rPr>
                <w:rFonts w:eastAsia="宋体"/>
              </w:rPr>
              <w:t>0.002</w:t>
            </w:r>
          </w:p>
        </w:tc>
        <w:tc>
          <w:tcPr>
            <w:tcW w:w="1559" w:type="dxa"/>
            <w:vMerge w:val="restart"/>
          </w:tcPr>
          <w:p w14:paraId="1E2F60B7" w14:textId="77777777" w:rsidR="00D170E5" w:rsidRPr="002B55E9" w:rsidRDefault="00EF27AD">
            <w:pPr>
              <w:pStyle w:val="lgy-"/>
            </w:pPr>
            <w:r w:rsidRPr="002B55E9">
              <w:rPr>
                <w:rFonts w:eastAsia="宋体"/>
              </w:rPr>
              <w:t>120m</w:t>
            </w:r>
            <w:r w:rsidRPr="002B55E9">
              <w:rPr>
                <w:rFonts w:eastAsia="宋体" w:hint="eastAsia"/>
              </w:rPr>
              <w:t>×</w:t>
            </w:r>
            <w:r w:rsidRPr="002B55E9">
              <w:rPr>
                <w:rFonts w:eastAsia="宋体" w:hint="eastAsia"/>
              </w:rPr>
              <w:t>70</w:t>
            </w:r>
            <w:r w:rsidRPr="002B55E9">
              <w:rPr>
                <w:rFonts w:eastAsia="宋体"/>
              </w:rPr>
              <w:t>m</w:t>
            </w:r>
          </w:p>
        </w:tc>
        <w:tc>
          <w:tcPr>
            <w:tcW w:w="1640" w:type="dxa"/>
          </w:tcPr>
          <w:p w14:paraId="1A9E1311" w14:textId="77777777" w:rsidR="00D170E5" w:rsidRPr="002B55E9" w:rsidRDefault="00EF27AD">
            <w:pPr>
              <w:pStyle w:val="lgy-"/>
            </w:pPr>
            <w:r w:rsidRPr="002B55E9">
              <w:rPr>
                <w:rFonts w:eastAsia="宋体" w:hint="eastAsia"/>
              </w:rPr>
              <w:t>0</w:t>
            </w:r>
            <w:r w:rsidRPr="002B55E9">
              <w:rPr>
                <w:rFonts w:eastAsia="宋体"/>
              </w:rPr>
              <w:t>.2</w:t>
            </w:r>
          </w:p>
        </w:tc>
        <w:tc>
          <w:tcPr>
            <w:tcW w:w="971" w:type="dxa"/>
          </w:tcPr>
          <w:p w14:paraId="3D4E2AB3" w14:textId="77777777" w:rsidR="00D170E5" w:rsidRPr="002B55E9" w:rsidRDefault="00EF27AD">
            <w:pPr>
              <w:pStyle w:val="lgy-"/>
            </w:pPr>
            <w:r w:rsidRPr="002B55E9">
              <w:rPr>
                <w:rFonts w:eastAsia="宋体" w:hint="eastAsia"/>
              </w:rPr>
              <w:t>0</w:t>
            </w:r>
            <w:r w:rsidRPr="002B55E9">
              <w:rPr>
                <w:rFonts w:eastAsia="宋体"/>
              </w:rPr>
              <w:t>.091</w:t>
            </w:r>
          </w:p>
        </w:tc>
        <w:tc>
          <w:tcPr>
            <w:tcW w:w="1214" w:type="dxa"/>
            <w:vMerge w:val="restart"/>
          </w:tcPr>
          <w:p w14:paraId="7AC8DF5A" w14:textId="77777777" w:rsidR="00D170E5" w:rsidRPr="002B55E9" w:rsidRDefault="00EF27AD">
            <w:pPr>
              <w:pStyle w:val="lgy-"/>
              <w:rPr>
                <w:rFonts w:eastAsia="宋体"/>
              </w:rPr>
            </w:pPr>
            <w:r w:rsidRPr="002B55E9">
              <w:rPr>
                <w:rFonts w:eastAsia="宋体"/>
              </w:rPr>
              <w:t>100</w:t>
            </w:r>
          </w:p>
        </w:tc>
      </w:tr>
      <w:tr w:rsidR="002B55E9" w:rsidRPr="002B55E9" w14:paraId="253AA367" w14:textId="77777777" w:rsidTr="00EF27AD">
        <w:trPr>
          <w:trHeight w:val="283"/>
        </w:trPr>
        <w:tc>
          <w:tcPr>
            <w:tcW w:w="2127" w:type="dxa"/>
            <w:vMerge/>
          </w:tcPr>
          <w:p w14:paraId="78A45FE2" w14:textId="77777777" w:rsidR="00D170E5" w:rsidRPr="002B55E9" w:rsidRDefault="00D170E5">
            <w:pPr>
              <w:pStyle w:val="lgy-"/>
            </w:pPr>
          </w:p>
        </w:tc>
        <w:tc>
          <w:tcPr>
            <w:tcW w:w="850" w:type="dxa"/>
          </w:tcPr>
          <w:p w14:paraId="54FF5BD5" w14:textId="77777777" w:rsidR="00D170E5" w:rsidRPr="002B55E9" w:rsidRDefault="00EF27AD">
            <w:pPr>
              <w:pStyle w:val="lgy-"/>
            </w:pPr>
            <w:r w:rsidRPr="002B55E9">
              <w:rPr>
                <w:rFonts w:eastAsia="宋体" w:hint="eastAsia"/>
              </w:rPr>
              <w:t>硫化氢</w:t>
            </w:r>
          </w:p>
        </w:tc>
        <w:tc>
          <w:tcPr>
            <w:tcW w:w="1276" w:type="dxa"/>
          </w:tcPr>
          <w:p w14:paraId="6372E899" w14:textId="77777777" w:rsidR="00D170E5" w:rsidRPr="002B55E9" w:rsidRDefault="00EF27AD">
            <w:pPr>
              <w:pStyle w:val="lgy-"/>
            </w:pPr>
            <w:r w:rsidRPr="002B55E9">
              <w:rPr>
                <w:rFonts w:eastAsia="宋体"/>
              </w:rPr>
              <w:t>0.022</w:t>
            </w:r>
          </w:p>
        </w:tc>
        <w:tc>
          <w:tcPr>
            <w:tcW w:w="1559" w:type="dxa"/>
            <w:vMerge/>
          </w:tcPr>
          <w:p w14:paraId="4A5216D7" w14:textId="77777777" w:rsidR="00D170E5" w:rsidRPr="002B55E9" w:rsidRDefault="00D170E5">
            <w:pPr>
              <w:pStyle w:val="lgy-"/>
            </w:pPr>
          </w:p>
        </w:tc>
        <w:tc>
          <w:tcPr>
            <w:tcW w:w="1640" w:type="dxa"/>
          </w:tcPr>
          <w:p w14:paraId="4A43071A" w14:textId="77777777" w:rsidR="00D170E5" w:rsidRPr="002B55E9" w:rsidRDefault="00EF27AD">
            <w:pPr>
              <w:pStyle w:val="lgy-"/>
            </w:pPr>
            <w:r w:rsidRPr="002B55E9">
              <w:rPr>
                <w:rFonts w:eastAsia="宋体" w:hint="eastAsia"/>
              </w:rPr>
              <w:t>0</w:t>
            </w:r>
            <w:r w:rsidRPr="002B55E9">
              <w:rPr>
                <w:rFonts w:eastAsia="宋体"/>
              </w:rPr>
              <w:t>.01</w:t>
            </w:r>
          </w:p>
        </w:tc>
        <w:tc>
          <w:tcPr>
            <w:tcW w:w="971" w:type="dxa"/>
          </w:tcPr>
          <w:p w14:paraId="087457DA" w14:textId="77777777" w:rsidR="00D170E5" w:rsidRPr="002B55E9" w:rsidRDefault="00EF27AD">
            <w:pPr>
              <w:pStyle w:val="lgy-"/>
            </w:pPr>
            <w:r w:rsidRPr="002B55E9">
              <w:rPr>
                <w:rFonts w:eastAsia="宋体" w:hint="eastAsia"/>
              </w:rPr>
              <w:t>8</w:t>
            </w:r>
            <w:r w:rsidRPr="002B55E9">
              <w:rPr>
                <w:rFonts w:eastAsia="宋体"/>
              </w:rPr>
              <w:t>8.676</w:t>
            </w:r>
          </w:p>
        </w:tc>
        <w:tc>
          <w:tcPr>
            <w:tcW w:w="1214" w:type="dxa"/>
            <w:vMerge/>
          </w:tcPr>
          <w:p w14:paraId="725AECC8" w14:textId="77777777" w:rsidR="00D170E5" w:rsidRPr="002B55E9" w:rsidRDefault="00D170E5">
            <w:pPr>
              <w:pStyle w:val="lgy-"/>
              <w:rPr>
                <w:rFonts w:eastAsia="宋体"/>
              </w:rPr>
            </w:pPr>
          </w:p>
        </w:tc>
      </w:tr>
    </w:tbl>
    <w:p w14:paraId="559B6BE0" w14:textId="77777777" w:rsidR="00D170E5" w:rsidRPr="002B55E9" w:rsidRDefault="00EF27AD">
      <w:pPr>
        <w:spacing w:line="360" w:lineRule="auto"/>
        <w:ind w:firstLine="482"/>
        <w:rPr>
          <w:sz w:val="24"/>
          <w:szCs w:val="24"/>
        </w:rPr>
      </w:pPr>
      <w:r w:rsidRPr="002B55E9">
        <w:rPr>
          <w:rFonts w:hint="eastAsia"/>
          <w:sz w:val="24"/>
          <w:szCs w:val="24"/>
        </w:rPr>
        <w:t>根据</w:t>
      </w:r>
      <w:r w:rsidRPr="002B55E9">
        <w:rPr>
          <w:sz w:val="24"/>
          <w:szCs w:val="24"/>
        </w:rPr>
        <w:t>上述计算结果可知，</w:t>
      </w:r>
      <w:r w:rsidRPr="002B55E9">
        <w:rPr>
          <w:rFonts w:hint="eastAsia"/>
          <w:sz w:val="24"/>
          <w:szCs w:val="24"/>
        </w:rPr>
        <w:t>污水处理站需</w:t>
      </w:r>
      <w:r w:rsidRPr="002B55E9">
        <w:rPr>
          <w:sz w:val="24"/>
          <w:szCs w:val="24"/>
        </w:rPr>
        <w:t>设置</w:t>
      </w:r>
      <w:r w:rsidRPr="002B55E9">
        <w:rPr>
          <w:rFonts w:hint="eastAsia"/>
          <w:sz w:val="24"/>
          <w:szCs w:val="24"/>
        </w:rPr>
        <w:t>100</w:t>
      </w:r>
      <w:r w:rsidRPr="002B55E9">
        <w:rPr>
          <w:sz w:val="24"/>
          <w:szCs w:val="24"/>
        </w:rPr>
        <w:t>m</w:t>
      </w:r>
      <w:r w:rsidRPr="002B55E9">
        <w:rPr>
          <w:rFonts w:hint="eastAsia"/>
          <w:sz w:val="24"/>
          <w:szCs w:val="24"/>
        </w:rPr>
        <w:t>卫生防护</w:t>
      </w:r>
      <w:r w:rsidRPr="002B55E9">
        <w:rPr>
          <w:sz w:val="24"/>
          <w:szCs w:val="24"/>
        </w:rPr>
        <w:t>距离，</w:t>
      </w:r>
      <w:r w:rsidRPr="002B55E9">
        <w:rPr>
          <w:rFonts w:hint="eastAsia"/>
          <w:sz w:val="24"/>
          <w:szCs w:val="24"/>
        </w:rPr>
        <w:t>与</w:t>
      </w:r>
      <w:r w:rsidRPr="002B55E9">
        <w:rPr>
          <w:sz w:val="24"/>
          <w:szCs w:val="24"/>
        </w:rPr>
        <w:t>《</w:t>
      </w:r>
      <w:r w:rsidRPr="002B55E9">
        <w:rPr>
          <w:rFonts w:hint="eastAsia"/>
          <w:sz w:val="24"/>
          <w:szCs w:val="24"/>
        </w:rPr>
        <w:t>海天调味品建设项目（一期）环境影响报告表</w:t>
      </w:r>
      <w:r w:rsidRPr="002B55E9">
        <w:rPr>
          <w:sz w:val="24"/>
          <w:szCs w:val="24"/>
        </w:rPr>
        <w:t>》</w:t>
      </w:r>
      <w:r w:rsidRPr="002B55E9">
        <w:rPr>
          <w:rFonts w:hint="eastAsia"/>
          <w:sz w:val="24"/>
          <w:szCs w:val="24"/>
        </w:rPr>
        <w:t>（报批稿）中划定的卫生防护距离相同，</w:t>
      </w:r>
      <w:r w:rsidRPr="002B55E9">
        <w:rPr>
          <w:rFonts w:hint="eastAsia"/>
          <w:sz w:val="24"/>
        </w:rPr>
        <w:t>根据现场调查项目周边</w:t>
      </w:r>
      <w:r w:rsidRPr="002B55E9">
        <w:rPr>
          <w:rFonts w:hint="eastAsia"/>
          <w:sz w:val="24"/>
        </w:rPr>
        <w:t>100</w:t>
      </w:r>
      <w:r w:rsidRPr="002B55E9">
        <w:rPr>
          <w:rFonts w:hint="eastAsia"/>
          <w:sz w:val="24"/>
        </w:rPr>
        <w:t>米范围内无敏感点，同时规划远期，上述防护距离范围内也不得建设</w:t>
      </w:r>
      <w:r w:rsidRPr="002B55E9">
        <w:rPr>
          <w:sz w:val="24"/>
        </w:rPr>
        <w:t>学校</w:t>
      </w:r>
      <w:r w:rsidRPr="002B55E9">
        <w:rPr>
          <w:rFonts w:hint="eastAsia"/>
          <w:sz w:val="24"/>
        </w:rPr>
        <w:t>、</w:t>
      </w:r>
      <w:r w:rsidRPr="002B55E9">
        <w:rPr>
          <w:sz w:val="24"/>
        </w:rPr>
        <w:t>医院、居民区等</w:t>
      </w:r>
      <w:r w:rsidRPr="002B55E9">
        <w:rPr>
          <w:rFonts w:hint="eastAsia"/>
          <w:sz w:val="24"/>
        </w:rPr>
        <w:t>环境敏感点。</w:t>
      </w:r>
    </w:p>
    <w:p w14:paraId="468658D3" w14:textId="77777777" w:rsidR="00D170E5" w:rsidRPr="002B55E9" w:rsidRDefault="00EF27AD">
      <w:pPr>
        <w:pStyle w:val="affff7"/>
        <w:numPr>
          <w:ilvl w:val="0"/>
          <w:numId w:val="27"/>
        </w:numPr>
        <w:snapToGrid w:val="0"/>
        <w:spacing w:after="0"/>
        <w:ind w:firstLineChars="0"/>
        <w:rPr>
          <w:b/>
          <w:bCs w:val="0"/>
          <w:szCs w:val="24"/>
        </w:rPr>
      </w:pPr>
      <w:r w:rsidRPr="002B55E9">
        <w:rPr>
          <w:rFonts w:hint="eastAsia"/>
          <w:b/>
          <w:bCs w:val="0"/>
          <w:szCs w:val="24"/>
        </w:rPr>
        <w:t>废水环境影响</w:t>
      </w:r>
    </w:p>
    <w:p w14:paraId="2B0A786F" w14:textId="4A2DE87D" w:rsidR="00D170E5" w:rsidRPr="002B55E9" w:rsidRDefault="00EF27AD">
      <w:pPr>
        <w:pStyle w:val="affff7"/>
        <w:snapToGrid w:val="0"/>
        <w:spacing w:after="0"/>
        <w:rPr>
          <w:szCs w:val="24"/>
        </w:rPr>
      </w:pPr>
      <w:r w:rsidRPr="002B55E9">
        <w:rPr>
          <w:rFonts w:hint="eastAsia"/>
          <w:szCs w:val="24"/>
        </w:rPr>
        <w:t>拟建项目生活污水经化粪池处理后与生产废水一并经厂区西侧的废水提升站提升至项目地块西侧的佛山市海天（武汉）调味食品有限公司污水处理站处理，蒸汽冷凝水单独收集后提升至佛山市海天（武汉）调味食品有限公司废水总排口。拟建</w:t>
      </w:r>
      <w:r w:rsidRPr="002B55E9">
        <w:rPr>
          <w:szCs w:val="24"/>
        </w:rPr>
        <w:t>项目</w:t>
      </w:r>
      <w:r w:rsidRPr="002B55E9">
        <w:rPr>
          <w:rFonts w:hint="eastAsia"/>
          <w:szCs w:val="24"/>
        </w:rPr>
        <w:t>新增废水日</w:t>
      </w:r>
      <w:r w:rsidRPr="002B55E9">
        <w:rPr>
          <w:szCs w:val="24"/>
        </w:rPr>
        <w:t>排</w:t>
      </w:r>
      <w:r w:rsidRPr="002B55E9">
        <w:rPr>
          <w:rFonts w:hint="eastAsia"/>
          <w:szCs w:val="24"/>
        </w:rPr>
        <w:t>水量约</w:t>
      </w:r>
      <w:r w:rsidR="0017048E" w:rsidRPr="002B55E9">
        <w:rPr>
          <w:rFonts w:hint="eastAsia"/>
          <w:szCs w:val="24"/>
        </w:rPr>
        <w:t>696</w:t>
      </w:r>
      <w:r w:rsidRPr="002B55E9">
        <w:rPr>
          <w:szCs w:val="24"/>
        </w:rPr>
        <w:t xml:space="preserve"> m</w:t>
      </w:r>
      <w:r w:rsidRPr="002B55E9">
        <w:rPr>
          <w:szCs w:val="24"/>
          <w:vertAlign w:val="superscript"/>
        </w:rPr>
        <w:t>3</w:t>
      </w:r>
      <w:r w:rsidRPr="002B55E9">
        <w:rPr>
          <w:rFonts w:hint="eastAsia"/>
          <w:szCs w:val="24"/>
        </w:rPr>
        <w:t>/d</w:t>
      </w:r>
      <w:r w:rsidRPr="002B55E9">
        <w:rPr>
          <w:rFonts w:hint="eastAsia"/>
          <w:szCs w:val="24"/>
        </w:rPr>
        <w:t>，其中需排入污水处理站的水量约</w:t>
      </w:r>
      <w:r w:rsidR="0054267F" w:rsidRPr="002B55E9">
        <w:rPr>
          <w:rFonts w:hint="eastAsia"/>
          <w:szCs w:val="24"/>
        </w:rPr>
        <w:t>523</w:t>
      </w:r>
      <w:r w:rsidRPr="002B55E9">
        <w:rPr>
          <w:szCs w:val="24"/>
        </w:rPr>
        <w:t>m</w:t>
      </w:r>
      <w:r w:rsidRPr="002B55E9">
        <w:rPr>
          <w:szCs w:val="24"/>
          <w:vertAlign w:val="superscript"/>
        </w:rPr>
        <w:t>3</w:t>
      </w:r>
      <w:r w:rsidRPr="002B55E9">
        <w:rPr>
          <w:rFonts w:hint="eastAsia"/>
          <w:szCs w:val="24"/>
        </w:rPr>
        <w:t>/d</w:t>
      </w:r>
      <w:r w:rsidRPr="002B55E9">
        <w:rPr>
          <w:rFonts w:hint="eastAsia"/>
          <w:szCs w:val="24"/>
        </w:rPr>
        <w:t>，海天调味品建设项目（一期）最大</w:t>
      </w:r>
      <w:r w:rsidRPr="002B55E9">
        <w:rPr>
          <w:szCs w:val="24"/>
        </w:rPr>
        <w:t>日排水量为</w:t>
      </w:r>
      <w:r w:rsidRPr="002B55E9">
        <w:rPr>
          <w:rFonts w:hint="eastAsia"/>
          <w:szCs w:val="24"/>
        </w:rPr>
        <w:t>385</w:t>
      </w:r>
      <w:r w:rsidRPr="002B55E9">
        <w:rPr>
          <w:szCs w:val="24"/>
        </w:rPr>
        <w:t xml:space="preserve"> m</w:t>
      </w:r>
      <w:r w:rsidRPr="002B55E9">
        <w:rPr>
          <w:szCs w:val="24"/>
          <w:vertAlign w:val="superscript"/>
        </w:rPr>
        <w:t>3</w:t>
      </w:r>
      <w:r w:rsidRPr="002B55E9">
        <w:rPr>
          <w:rFonts w:hint="eastAsia"/>
          <w:szCs w:val="24"/>
        </w:rPr>
        <w:t>/d</w:t>
      </w:r>
      <w:r w:rsidRPr="002B55E9">
        <w:rPr>
          <w:rFonts w:hint="eastAsia"/>
          <w:szCs w:val="24"/>
        </w:rPr>
        <w:t>，污水处理站合计处理水量为</w:t>
      </w:r>
      <w:r w:rsidR="0054267F" w:rsidRPr="002B55E9">
        <w:rPr>
          <w:szCs w:val="24"/>
        </w:rPr>
        <w:t>908</w:t>
      </w:r>
      <w:r w:rsidRPr="002B55E9">
        <w:rPr>
          <w:szCs w:val="24"/>
        </w:rPr>
        <w:t>m</w:t>
      </w:r>
      <w:r w:rsidRPr="002B55E9">
        <w:rPr>
          <w:szCs w:val="24"/>
          <w:vertAlign w:val="superscript"/>
        </w:rPr>
        <w:t>3</w:t>
      </w:r>
      <w:r w:rsidRPr="002B55E9">
        <w:rPr>
          <w:rFonts w:hint="eastAsia"/>
          <w:szCs w:val="24"/>
        </w:rPr>
        <w:t>/d</w:t>
      </w:r>
      <w:r w:rsidRPr="002B55E9">
        <w:rPr>
          <w:rFonts w:hint="eastAsia"/>
          <w:szCs w:val="24"/>
        </w:rPr>
        <w:t>。根据前述分析，项目废水处理工艺为可行技术，废水经污水处理站处理后可满足排放标准限值及东西湖污水处理厂污水纳管标准要求，最终进入东西湖污水处理厂处理尾水排入府河。拟建项目废水经东西湖污水处理</w:t>
      </w:r>
      <w:r w:rsidRPr="002B55E9">
        <w:rPr>
          <w:rFonts w:hint="eastAsia"/>
          <w:szCs w:val="24"/>
        </w:rPr>
        <w:lastRenderedPageBreak/>
        <w:t>厂处理后对纳污水体的影响程度已经体现在东西湖污水处理厂处理尾水对纳污水体的影响范围内。</w:t>
      </w:r>
    </w:p>
    <w:p w14:paraId="4BBB15BD" w14:textId="77777777" w:rsidR="00D170E5" w:rsidRPr="002B55E9" w:rsidRDefault="00EF27AD">
      <w:pPr>
        <w:pStyle w:val="affff7"/>
        <w:numPr>
          <w:ilvl w:val="0"/>
          <w:numId w:val="27"/>
        </w:numPr>
        <w:snapToGrid w:val="0"/>
        <w:spacing w:after="0"/>
        <w:ind w:firstLineChars="0"/>
        <w:rPr>
          <w:b/>
          <w:bCs w:val="0"/>
          <w:szCs w:val="24"/>
        </w:rPr>
      </w:pPr>
      <w:r w:rsidRPr="002B55E9">
        <w:rPr>
          <w:rFonts w:hint="eastAsia"/>
          <w:b/>
          <w:bCs w:val="0"/>
          <w:szCs w:val="24"/>
        </w:rPr>
        <w:t>声环境影响</w:t>
      </w:r>
    </w:p>
    <w:p w14:paraId="633DBE36" w14:textId="77777777" w:rsidR="00D170E5" w:rsidRPr="002B55E9" w:rsidRDefault="00EF27AD">
      <w:pPr>
        <w:pStyle w:val="affff7"/>
        <w:snapToGrid w:val="0"/>
        <w:rPr>
          <w:szCs w:val="24"/>
        </w:rPr>
      </w:pPr>
      <w:r w:rsidRPr="002B55E9">
        <w:rPr>
          <w:rFonts w:hint="eastAsia"/>
          <w:szCs w:val="24"/>
        </w:rPr>
        <w:t>拟建项目依托佛山市海天（武汉）调味食品有限公司污水处理站，不对其进行改造及新增处理设备，新增排水量通过增加污水处理站的运行时间来实施，不新增噪声源强，不改变佛山市海天（武汉）调味食品有限公司厂界噪声贡献值，根据</w:t>
      </w:r>
      <w:r w:rsidRPr="002B55E9">
        <w:rPr>
          <w:szCs w:val="24"/>
        </w:rPr>
        <w:t>《</w:t>
      </w:r>
      <w:r w:rsidRPr="002B55E9">
        <w:rPr>
          <w:rFonts w:hint="eastAsia"/>
          <w:szCs w:val="24"/>
        </w:rPr>
        <w:t>海天调味品建设项目（一期）环境影响报告表</w:t>
      </w:r>
      <w:r w:rsidRPr="002B55E9">
        <w:rPr>
          <w:szCs w:val="24"/>
        </w:rPr>
        <w:t>》</w:t>
      </w:r>
      <w:r w:rsidRPr="002B55E9">
        <w:rPr>
          <w:rFonts w:hint="eastAsia"/>
          <w:szCs w:val="24"/>
        </w:rPr>
        <w:t>（报批稿），项目厂界噪声排放满足《工业企业厂界环境噪声排放标准》（</w:t>
      </w:r>
      <w:r w:rsidRPr="002B55E9">
        <w:rPr>
          <w:rFonts w:hint="eastAsia"/>
          <w:szCs w:val="24"/>
        </w:rPr>
        <w:t>GB12348-2008</w:t>
      </w:r>
      <w:r w:rsidRPr="002B55E9">
        <w:rPr>
          <w:rFonts w:hint="eastAsia"/>
          <w:szCs w:val="24"/>
        </w:rPr>
        <w:t>）中</w:t>
      </w:r>
      <w:r w:rsidRPr="002B55E9">
        <w:rPr>
          <w:rFonts w:hint="eastAsia"/>
          <w:szCs w:val="24"/>
        </w:rPr>
        <w:t>2</w:t>
      </w:r>
      <w:r w:rsidRPr="002B55E9">
        <w:rPr>
          <w:rFonts w:hint="eastAsia"/>
          <w:szCs w:val="24"/>
        </w:rPr>
        <w:t>类、</w:t>
      </w:r>
      <w:r w:rsidRPr="002B55E9">
        <w:rPr>
          <w:rFonts w:hint="eastAsia"/>
          <w:szCs w:val="24"/>
        </w:rPr>
        <w:t xml:space="preserve">4 </w:t>
      </w:r>
      <w:r w:rsidRPr="002B55E9">
        <w:rPr>
          <w:rFonts w:hint="eastAsia"/>
          <w:szCs w:val="24"/>
        </w:rPr>
        <w:t>类标准限值要求。</w:t>
      </w:r>
    </w:p>
    <w:p w14:paraId="52B7138E" w14:textId="77777777" w:rsidR="00D170E5" w:rsidRPr="002B55E9" w:rsidRDefault="00EF27AD">
      <w:pPr>
        <w:pStyle w:val="affff7"/>
        <w:numPr>
          <w:ilvl w:val="0"/>
          <w:numId w:val="27"/>
        </w:numPr>
        <w:snapToGrid w:val="0"/>
        <w:spacing w:after="0"/>
        <w:ind w:firstLineChars="0"/>
        <w:rPr>
          <w:b/>
          <w:bCs w:val="0"/>
          <w:szCs w:val="24"/>
        </w:rPr>
      </w:pPr>
      <w:r w:rsidRPr="002B55E9">
        <w:rPr>
          <w:rFonts w:hint="eastAsia"/>
          <w:b/>
          <w:bCs w:val="0"/>
          <w:szCs w:val="24"/>
        </w:rPr>
        <w:t>固体废物环境影响</w:t>
      </w:r>
    </w:p>
    <w:p w14:paraId="547604AD" w14:textId="7B88076B" w:rsidR="00D170E5" w:rsidRPr="002B55E9" w:rsidRDefault="00EF27AD">
      <w:pPr>
        <w:pStyle w:val="affff7"/>
        <w:snapToGrid w:val="0"/>
        <w:spacing w:after="0"/>
        <w:rPr>
          <w:szCs w:val="24"/>
        </w:rPr>
      </w:pPr>
      <w:r w:rsidRPr="002B55E9">
        <w:rPr>
          <w:rFonts w:hint="eastAsia"/>
          <w:szCs w:val="24"/>
        </w:rPr>
        <w:t>拟建</w:t>
      </w:r>
      <w:r w:rsidRPr="002B55E9">
        <w:rPr>
          <w:szCs w:val="24"/>
        </w:rPr>
        <w:t>项目</w:t>
      </w:r>
      <w:r w:rsidRPr="002B55E9">
        <w:rPr>
          <w:rFonts w:hint="eastAsia"/>
          <w:szCs w:val="24"/>
        </w:rPr>
        <w:t>排入佛山市海天（武汉）调味食品有限公司污水处理站的废水量约</w:t>
      </w:r>
      <w:r w:rsidR="0054267F" w:rsidRPr="002B55E9">
        <w:rPr>
          <w:rFonts w:hint="eastAsia"/>
          <w:szCs w:val="24"/>
        </w:rPr>
        <w:t>523</w:t>
      </w:r>
      <w:r w:rsidRPr="002B55E9">
        <w:rPr>
          <w:szCs w:val="24"/>
        </w:rPr>
        <w:t>m</w:t>
      </w:r>
      <w:r w:rsidRPr="002B55E9">
        <w:rPr>
          <w:szCs w:val="24"/>
          <w:vertAlign w:val="superscript"/>
        </w:rPr>
        <w:t>3</w:t>
      </w:r>
      <w:r w:rsidRPr="002B55E9">
        <w:rPr>
          <w:rFonts w:hint="eastAsia"/>
          <w:szCs w:val="24"/>
        </w:rPr>
        <w:t>/d</w:t>
      </w:r>
      <w:r w:rsidRPr="002B55E9">
        <w:rPr>
          <w:rFonts w:hint="eastAsia"/>
          <w:szCs w:val="24"/>
        </w:rPr>
        <w:t>，</w:t>
      </w:r>
      <w:r w:rsidR="00A21B15" w:rsidRPr="002B55E9">
        <w:rPr>
          <w:szCs w:val="24"/>
        </w:rPr>
        <w:t>172612</w:t>
      </w:r>
      <w:r w:rsidRPr="002B55E9">
        <w:rPr>
          <w:szCs w:val="24"/>
        </w:rPr>
        <w:t>m</w:t>
      </w:r>
      <w:r w:rsidRPr="002B55E9">
        <w:rPr>
          <w:szCs w:val="24"/>
          <w:vertAlign w:val="superscript"/>
        </w:rPr>
        <w:t>3</w:t>
      </w:r>
      <w:r w:rsidRPr="002B55E9">
        <w:rPr>
          <w:rFonts w:hint="eastAsia"/>
          <w:szCs w:val="24"/>
        </w:rPr>
        <w:t>/a</w:t>
      </w:r>
      <w:r w:rsidRPr="002B55E9">
        <w:rPr>
          <w:rFonts w:hint="eastAsia"/>
          <w:szCs w:val="24"/>
        </w:rPr>
        <w:t>，类比</w:t>
      </w:r>
      <w:r w:rsidRPr="002B55E9">
        <w:rPr>
          <w:szCs w:val="24"/>
        </w:rPr>
        <w:t>《</w:t>
      </w:r>
      <w:r w:rsidRPr="002B55E9">
        <w:rPr>
          <w:rFonts w:hint="eastAsia"/>
          <w:szCs w:val="24"/>
        </w:rPr>
        <w:t>海天调味品建设项目（一期）环境影响报告表</w:t>
      </w:r>
      <w:r w:rsidRPr="002B55E9">
        <w:rPr>
          <w:szCs w:val="24"/>
        </w:rPr>
        <w:t>》</w:t>
      </w:r>
      <w:r w:rsidRPr="002B55E9">
        <w:rPr>
          <w:rFonts w:hint="eastAsia"/>
          <w:szCs w:val="24"/>
        </w:rPr>
        <w:t>（报批稿）中污泥产生系数，本项目新增水量产生的污泥量约</w:t>
      </w:r>
      <w:r w:rsidRPr="002B55E9">
        <w:rPr>
          <w:rFonts w:hint="eastAsia"/>
          <w:szCs w:val="24"/>
        </w:rPr>
        <w:t>5</w:t>
      </w:r>
      <w:r w:rsidR="00A21B15" w:rsidRPr="002B55E9">
        <w:rPr>
          <w:szCs w:val="24"/>
        </w:rPr>
        <w:t>38</w:t>
      </w:r>
      <w:r w:rsidRPr="002B55E9">
        <w:rPr>
          <w:rFonts w:hint="eastAsia"/>
          <w:szCs w:val="24"/>
        </w:rPr>
        <w:t>t/a</w:t>
      </w:r>
      <w:r w:rsidRPr="002B55E9">
        <w:rPr>
          <w:rFonts w:hint="eastAsia"/>
          <w:szCs w:val="24"/>
        </w:rPr>
        <w:t>，</w:t>
      </w:r>
      <w:r w:rsidR="00AA3ACB" w:rsidRPr="002B55E9">
        <w:rPr>
          <w:rFonts w:hint="eastAsia"/>
          <w:szCs w:val="24"/>
        </w:rPr>
        <w:t>压滤后污泥含水率约</w:t>
      </w:r>
      <w:r w:rsidR="00AA3ACB" w:rsidRPr="002B55E9">
        <w:rPr>
          <w:rFonts w:hint="eastAsia"/>
          <w:szCs w:val="24"/>
        </w:rPr>
        <w:t>5</w:t>
      </w:r>
      <w:r w:rsidR="00AA3ACB" w:rsidRPr="002B55E9">
        <w:rPr>
          <w:szCs w:val="24"/>
        </w:rPr>
        <w:t>0~65%</w:t>
      </w:r>
      <w:r w:rsidR="00AA3ACB" w:rsidRPr="002B55E9">
        <w:rPr>
          <w:szCs w:val="24"/>
        </w:rPr>
        <w:t>，</w:t>
      </w:r>
      <w:r w:rsidR="00AA3ACB" w:rsidRPr="002B55E9">
        <w:rPr>
          <w:rFonts w:hint="eastAsia"/>
          <w:szCs w:val="24"/>
        </w:rPr>
        <w:t>含有氮、磷、钾和有机物质且不含重金属等</w:t>
      </w:r>
      <w:r w:rsidR="00AA3ACB" w:rsidRPr="002B55E9">
        <w:rPr>
          <w:szCs w:val="24"/>
        </w:rPr>
        <w:t>有害物质</w:t>
      </w:r>
      <w:r w:rsidR="00AA3ACB" w:rsidRPr="002B55E9">
        <w:rPr>
          <w:rFonts w:hint="eastAsia"/>
          <w:szCs w:val="24"/>
        </w:rPr>
        <w:t>，属于一般固体废物</w:t>
      </w:r>
      <w:r w:rsidR="00591298" w:rsidRPr="002B55E9">
        <w:rPr>
          <w:rFonts w:hint="eastAsia"/>
          <w:szCs w:val="24"/>
        </w:rPr>
        <w:t>，交由专业单位清运处理</w:t>
      </w:r>
      <w:r w:rsidRPr="002B55E9">
        <w:rPr>
          <w:rFonts w:hint="eastAsia"/>
          <w:szCs w:val="24"/>
        </w:rPr>
        <w:t>。</w:t>
      </w:r>
    </w:p>
    <w:p w14:paraId="4E9E55BC" w14:textId="77777777" w:rsidR="00D170E5" w:rsidRPr="002B55E9" w:rsidRDefault="00EF27AD">
      <w:pPr>
        <w:pStyle w:val="affff7"/>
        <w:numPr>
          <w:ilvl w:val="0"/>
          <w:numId w:val="27"/>
        </w:numPr>
        <w:snapToGrid w:val="0"/>
        <w:spacing w:after="0"/>
        <w:ind w:firstLineChars="0"/>
        <w:rPr>
          <w:b/>
          <w:bCs w:val="0"/>
          <w:szCs w:val="24"/>
        </w:rPr>
      </w:pPr>
      <w:r w:rsidRPr="002B55E9">
        <w:rPr>
          <w:rFonts w:hint="eastAsia"/>
          <w:b/>
          <w:bCs w:val="0"/>
          <w:szCs w:val="24"/>
        </w:rPr>
        <w:t>依托的责任主体划分</w:t>
      </w:r>
    </w:p>
    <w:p w14:paraId="2B4BF4ED" w14:textId="77777777" w:rsidR="00D170E5" w:rsidRPr="002B55E9" w:rsidRDefault="00EF27AD">
      <w:pPr>
        <w:pStyle w:val="affff7"/>
        <w:rPr>
          <w:szCs w:val="24"/>
        </w:rPr>
      </w:pPr>
      <w:r w:rsidRPr="002B55E9">
        <w:rPr>
          <w:rFonts w:hint="eastAsia"/>
          <w:szCs w:val="24"/>
        </w:rPr>
        <w:t>海天醋业（武汉）有限公司产生的生活污水、生产废水纳入佛山市海天（武汉）调味食品有限公司污水处理站处理达标后与蒸汽冷凝水一并经厂区总排口排放。根据双方签订的责任主体协议，佛山市海天（武汉）调味食品有限公司为该污水处理站环境责任主体，对污水处理站废气、废水、噪声、固体废物等达标排放负责。</w:t>
      </w:r>
    </w:p>
    <w:p w14:paraId="1BFFE398" w14:textId="4F6EFDBC" w:rsidR="00D170E5" w:rsidRPr="002B55E9" w:rsidRDefault="00EF27AD">
      <w:pPr>
        <w:pStyle w:val="affff7"/>
        <w:spacing w:line="240" w:lineRule="auto"/>
        <w:ind w:firstLineChars="0" w:firstLine="0"/>
        <w:jc w:val="center"/>
        <w:rPr>
          <w:rFonts w:eastAsia="黑体"/>
          <w:b/>
        </w:rPr>
      </w:pPr>
      <w:r w:rsidRPr="002B55E9">
        <w:rPr>
          <w:rFonts w:eastAsia="黑体" w:hint="eastAsia"/>
          <w:b/>
        </w:rPr>
        <w:t>表</w:t>
      </w:r>
      <w:r w:rsidRPr="002B55E9">
        <w:rPr>
          <w:rFonts w:eastAsia="黑体" w:hint="eastAsia"/>
          <w:b/>
        </w:rPr>
        <w:t>5</w:t>
      </w:r>
      <w:r w:rsidRPr="002B55E9">
        <w:rPr>
          <w:rFonts w:eastAsia="黑体"/>
          <w:b/>
        </w:rPr>
        <w:t>-3-</w:t>
      </w:r>
      <w:r w:rsidR="00085583" w:rsidRPr="002B55E9">
        <w:rPr>
          <w:rFonts w:eastAsia="黑体"/>
          <w:b/>
        </w:rPr>
        <w:t>8</w:t>
      </w:r>
      <w:r w:rsidRPr="002B55E9">
        <w:rPr>
          <w:rFonts w:eastAsia="黑体"/>
          <w:b/>
        </w:rPr>
        <w:t xml:space="preserve">  </w:t>
      </w:r>
      <w:r w:rsidRPr="002B55E9">
        <w:rPr>
          <w:rFonts w:eastAsia="黑体" w:hint="eastAsia"/>
          <w:b/>
        </w:rPr>
        <w:t>佛山市海天（武汉）调味食品有限公司污水处理站责任划分一览表</w:t>
      </w:r>
    </w:p>
    <w:tbl>
      <w:tblPr>
        <w:tblStyle w:val="lgy2"/>
        <w:tblW w:w="5000" w:type="pct"/>
        <w:tblCellMar>
          <w:left w:w="28" w:type="dxa"/>
          <w:right w:w="28" w:type="dxa"/>
        </w:tblCellMar>
        <w:tblLook w:val="04A0" w:firstRow="1" w:lastRow="0" w:firstColumn="1" w:lastColumn="0" w:noHBand="0" w:noVBand="1"/>
      </w:tblPr>
      <w:tblGrid>
        <w:gridCol w:w="987"/>
        <w:gridCol w:w="2394"/>
        <w:gridCol w:w="3664"/>
        <w:gridCol w:w="2648"/>
      </w:tblGrid>
      <w:tr w:rsidR="002B55E9" w:rsidRPr="002B55E9" w14:paraId="72E59CBD" w14:textId="77777777" w:rsidTr="00F679CB">
        <w:trPr>
          <w:cnfStyle w:val="100000000000" w:firstRow="1" w:lastRow="0" w:firstColumn="0" w:lastColumn="0" w:oddVBand="0" w:evenVBand="0" w:oddHBand="0" w:evenHBand="0" w:firstRowFirstColumn="0" w:firstRowLastColumn="0" w:lastRowFirstColumn="0" w:lastRowLastColumn="0"/>
          <w:trHeight w:val="283"/>
        </w:trPr>
        <w:tc>
          <w:tcPr>
            <w:tcW w:w="993" w:type="dxa"/>
            <w:vMerge w:val="restart"/>
            <w:noWrap/>
            <w:hideMark/>
          </w:tcPr>
          <w:p w14:paraId="1A6FE259" w14:textId="77777777" w:rsidR="00F679CB" w:rsidRPr="002B55E9" w:rsidRDefault="00F679CB" w:rsidP="00F679CB">
            <w:pPr>
              <w:pStyle w:val="lgy-"/>
              <w:rPr>
                <w:rFonts w:eastAsia="宋体"/>
              </w:rPr>
            </w:pPr>
            <w:r w:rsidRPr="002B55E9">
              <w:rPr>
                <w:rFonts w:eastAsia="宋体" w:hint="eastAsia"/>
              </w:rPr>
              <w:t>序号</w:t>
            </w:r>
          </w:p>
        </w:tc>
        <w:tc>
          <w:tcPr>
            <w:tcW w:w="2409" w:type="dxa"/>
            <w:vMerge w:val="restart"/>
            <w:noWrap/>
            <w:hideMark/>
          </w:tcPr>
          <w:p w14:paraId="514B3B8F" w14:textId="77777777" w:rsidR="00F679CB" w:rsidRPr="002B55E9" w:rsidRDefault="00F679CB" w:rsidP="00F679CB">
            <w:pPr>
              <w:pStyle w:val="lgy-"/>
              <w:rPr>
                <w:rFonts w:eastAsia="宋体"/>
              </w:rPr>
            </w:pPr>
            <w:r w:rsidRPr="002B55E9">
              <w:rPr>
                <w:rFonts w:eastAsia="宋体" w:hint="eastAsia"/>
              </w:rPr>
              <w:t>项目</w:t>
            </w:r>
          </w:p>
        </w:tc>
        <w:tc>
          <w:tcPr>
            <w:tcW w:w="6350" w:type="dxa"/>
            <w:gridSpan w:val="2"/>
            <w:noWrap/>
            <w:hideMark/>
          </w:tcPr>
          <w:p w14:paraId="4E38C4E0" w14:textId="77777777" w:rsidR="00F679CB" w:rsidRPr="002B55E9" w:rsidRDefault="00F679CB" w:rsidP="00F679CB">
            <w:pPr>
              <w:pStyle w:val="lgy-"/>
              <w:rPr>
                <w:rFonts w:eastAsia="宋体"/>
              </w:rPr>
            </w:pPr>
            <w:r w:rsidRPr="002B55E9">
              <w:rPr>
                <w:rFonts w:eastAsia="宋体" w:hint="eastAsia"/>
              </w:rPr>
              <w:t>责任单位</w:t>
            </w:r>
          </w:p>
        </w:tc>
      </w:tr>
      <w:tr w:rsidR="002B55E9" w:rsidRPr="002B55E9" w14:paraId="27A2D91B" w14:textId="77777777" w:rsidTr="00F679CB">
        <w:trPr>
          <w:trHeight w:val="283"/>
        </w:trPr>
        <w:tc>
          <w:tcPr>
            <w:tcW w:w="993" w:type="dxa"/>
            <w:vMerge/>
            <w:hideMark/>
          </w:tcPr>
          <w:p w14:paraId="6DBAF6EB" w14:textId="77777777" w:rsidR="00F679CB" w:rsidRPr="002B55E9" w:rsidRDefault="00F679CB" w:rsidP="00F679CB">
            <w:pPr>
              <w:pStyle w:val="lgy-"/>
              <w:rPr>
                <w:rFonts w:eastAsia="宋体"/>
              </w:rPr>
            </w:pPr>
          </w:p>
        </w:tc>
        <w:tc>
          <w:tcPr>
            <w:tcW w:w="2409" w:type="dxa"/>
            <w:vMerge/>
            <w:hideMark/>
          </w:tcPr>
          <w:p w14:paraId="389F83BE" w14:textId="77777777" w:rsidR="00F679CB" w:rsidRPr="002B55E9" w:rsidRDefault="00F679CB" w:rsidP="00F679CB">
            <w:pPr>
              <w:pStyle w:val="lgy-"/>
              <w:rPr>
                <w:rFonts w:eastAsia="宋体"/>
              </w:rPr>
            </w:pPr>
          </w:p>
        </w:tc>
        <w:tc>
          <w:tcPr>
            <w:tcW w:w="3686" w:type="dxa"/>
            <w:noWrap/>
            <w:hideMark/>
          </w:tcPr>
          <w:p w14:paraId="5A8DD8ED" w14:textId="77777777" w:rsidR="00F679CB" w:rsidRPr="002B55E9" w:rsidRDefault="00F679CB" w:rsidP="00F679CB">
            <w:pPr>
              <w:pStyle w:val="lgy-"/>
              <w:rPr>
                <w:rFonts w:eastAsia="宋体"/>
              </w:rPr>
            </w:pPr>
            <w:r w:rsidRPr="002B55E9">
              <w:rPr>
                <w:rFonts w:eastAsia="宋体" w:hint="eastAsia"/>
              </w:rPr>
              <w:t>佛山市海天（武汉）调味食品有限公司</w:t>
            </w:r>
          </w:p>
        </w:tc>
        <w:tc>
          <w:tcPr>
            <w:tcW w:w="2664" w:type="dxa"/>
            <w:noWrap/>
            <w:hideMark/>
          </w:tcPr>
          <w:p w14:paraId="0EC7F230" w14:textId="77777777" w:rsidR="00F679CB" w:rsidRPr="002B55E9" w:rsidRDefault="00F679CB" w:rsidP="00F679CB">
            <w:pPr>
              <w:pStyle w:val="lgy-"/>
              <w:rPr>
                <w:rFonts w:eastAsia="宋体"/>
              </w:rPr>
            </w:pPr>
            <w:r w:rsidRPr="002B55E9">
              <w:rPr>
                <w:rFonts w:eastAsia="宋体" w:hint="eastAsia"/>
              </w:rPr>
              <w:t>海天醋业（武汉）有限公司</w:t>
            </w:r>
          </w:p>
        </w:tc>
      </w:tr>
      <w:tr w:rsidR="002B55E9" w:rsidRPr="002B55E9" w14:paraId="2268E6EA" w14:textId="77777777" w:rsidTr="00F679CB">
        <w:trPr>
          <w:trHeight w:val="283"/>
        </w:trPr>
        <w:tc>
          <w:tcPr>
            <w:tcW w:w="993" w:type="dxa"/>
            <w:noWrap/>
            <w:hideMark/>
          </w:tcPr>
          <w:p w14:paraId="2D6FA718" w14:textId="77777777" w:rsidR="00F679CB" w:rsidRPr="002B55E9" w:rsidRDefault="00F679CB" w:rsidP="00F679CB">
            <w:pPr>
              <w:pStyle w:val="lgy-"/>
              <w:rPr>
                <w:rFonts w:eastAsia="宋体"/>
              </w:rPr>
            </w:pPr>
            <w:r w:rsidRPr="002B55E9">
              <w:rPr>
                <w:rFonts w:eastAsia="宋体" w:hint="eastAsia"/>
              </w:rPr>
              <w:t>1</w:t>
            </w:r>
          </w:p>
        </w:tc>
        <w:tc>
          <w:tcPr>
            <w:tcW w:w="2409" w:type="dxa"/>
            <w:noWrap/>
          </w:tcPr>
          <w:p w14:paraId="2F6A05BB" w14:textId="77777777" w:rsidR="00F679CB" w:rsidRPr="002B55E9" w:rsidRDefault="00F679CB" w:rsidP="00F679CB">
            <w:pPr>
              <w:pStyle w:val="lgy-"/>
              <w:rPr>
                <w:rFonts w:eastAsia="宋体"/>
              </w:rPr>
            </w:pPr>
            <w:r w:rsidRPr="002B55E9">
              <w:rPr>
                <w:rFonts w:eastAsia="宋体" w:hint="eastAsia"/>
              </w:rPr>
              <w:t>环评、设计、建设、试运行、环保验收等</w:t>
            </w:r>
          </w:p>
        </w:tc>
        <w:tc>
          <w:tcPr>
            <w:tcW w:w="3686" w:type="dxa"/>
            <w:noWrap/>
          </w:tcPr>
          <w:p w14:paraId="116AB1C0" w14:textId="77777777" w:rsidR="00F679CB" w:rsidRPr="002B55E9" w:rsidRDefault="00F679CB" w:rsidP="00F679CB">
            <w:pPr>
              <w:pStyle w:val="lgy-"/>
              <w:rPr>
                <w:rFonts w:eastAsia="宋体"/>
              </w:rPr>
            </w:pPr>
            <w:r w:rsidRPr="002B55E9">
              <w:rPr>
                <w:rFonts w:eastAsia="宋体" w:hint="eastAsia"/>
              </w:rPr>
              <w:t>√</w:t>
            </w:r>
          </w:p>
        </w:tc>
        <w:tc>
          <w:tcPr>
            <w:tcW w:w="2664" w:type="dxa"/>
            <w:noWrap/>
          </w:tcPr>
          <w:p w14:paraId="4531CBEC"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1D098FCD" w14:textId="77777777" w:rsidTr="00F679CB">
        <w:trPr>
          <w:trHeight w:val="283"/>
        </w:trPr>
        <w:tc>
          <w:tcPr>
            <w:tcW w:w="993" w:type="dxa"/>
            <w:noWrap/>
          </w:tcPr>
          <w:p w14:paraId="2D6F721B" w14:textId="77777777" w:rsidR="00F679CB" w:rsidRPr="002B55E9" w:rsidRDefault="00F679CB" w:rsidP="00F679CB">
            <w:pPr>
              <w:pStyle w:val="lgy-"/>
              <w:rPr>
                <w:rFonts w:eastAsia="宋体"/>
              </w:rPr>
            </w:pPr>
            <w:r w:rsidRPr="002B55E9">
              <w:rPr>
                <w:rFonts w:eastAsia="宋体" w:hint="eastAsia"/>
              </w:rPr>
              <w:t>2</w:t>
            </w:r>
          </w:p>
        </w:tc>
        <w:tc>
          <w:tcPr>
            <w:tcW w:w="2409" w:type="dxa"/>
            <w:noWrap/>
          </w:tcPr>
          <w:p w14:paraId="27793A25" w14:textId="77777777" w:rsidR="00F679CB" w:rsidRPr="002B55E9" w:rsidRDefault="00F679CB" w:rsidP="00F679CB">
            <w:pPr>
              <w:pStyle w:val="lgy-"/>
              <w:rPr>
                <w:rFonts w:eastAsia="宋体"/>
              </w:rPr>
            </w:pPr>
            <w:r w:rsidRPr="002B55E9">
              <w:rPr>
                <w:rFonts w:eastAsia="宋体" w:hint="eastAsia"/>
              </w:rPr>
              <w:t>海天醋业（武汉）有限公司至污水处理站排水管网建设及运维</w:t>
            </w:r>
          </w:p>
        </w:tc>
        <w:tc>
          <w:tcPr>
            <w:tcW w:w="3686" w:type="dxa"/>
            <w:noWrap/>
          </w:tcPr>
          <w:p w14:paraId="70B86A17" w14:textId="77777777" w:rsidR="00F679CB" w:rsidRPr="002B55E9" w:rsidRDefault="00F679CB" w:rsidP="00F679CB">
            <w:pPr>
              <w:pStyle w:val="lgy-"/>
              <w:rPr>
                <w:rFonts w:eastAsia="宋体"/>
              </w:rPr>
            </w:pPr>
            <w:r w:rsidRPr="002B55E9">
              <w:rPr>
                <w:rFonts w:eastAsia="宋体" w:hint="eastAsia"/>
              </w:rPr>
              <w:t>/</w:t>
            </w:r>
          </w:p>
        </w:tc>
        <w:tc>
          <w:tcPr>
            <w:tcW w:w="2664" w:type="dxa"/>
            <w:noWrap/>
          </w:tcPr>
          <w:p w14:paraId="6DCAED96"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2E8A88E6" w14:textId="77777777" w:rsidTr="00F679CB">
        <w:trPr>
          <w:trHeight w:val="283"/>
        </w:trPr>
        <w:tc>
          <w:tcPr>
            <w:tcW w:w="993" w:type="dxa"/>
            <w:noWrap/>
          </w:tcPr>
          <w:p w14:paraId="12DE6C24" w14:textId="77777777" w:rsidR="00F679CB" w:rsidRPr="002B55E9" w:rsidRDefault="00F679CB" w:rsidP="00F679CB">
            <w:pPr>
              <w:pStyle w:val="lgy-"/>
              <w:rPr>
                <w:rFonts w:eastAsia="宋体"/>
              </w:rPr>
            </w:pPr>
            <w:r w:rsidRPr="002B55E9">
              <w:rPr>
                <w:rFonts w:eastAsia="宋体" w:hint="eastAsia"/>
              </w:rPr>
              <w:t>3</w:t>
            </w:r>
          </w:p>
        </w:tc>
        <w:tc>
          <w:tcPr>
            <w:tcW w:w="2409" w:type="dxa"/>
            <w:noWrap/>
          </w:tcPr>
          <w:p w14:paraId="79E74B2F" w14:textId="77777777" w:rsidR="00F679CB" w:rsidRPr="002B55E9" w:rsidRDefault="00F679CB" w:rsidP="00F679CB">
            <w:pPr>
              <w:pStyle w:val="lgy-"/>
              <w:rPr>
                <w:rFonts w:eastAsia="宋体"/>
              </w:rPr>
            </w:pPr>
            <w:r w:rsidRPr="002B55E9">
              <w:rPr>
                <w:rFonts w:eastAsia="宋体" w:hint="eastAsia"/>
              </w:rPr>
              <w:t>日常运行维护</w:t>
            </w:r>
          </w:p>
        </w:tc>
        <w:tc>
          <w:tcPr>
            <w:tcW w:w="3686" w:type="dxa"/>
            <w:noWrap/>
          </w:tcPr>
          <w:p w14:paraId="393C4D6D" w14:textId="77777777" w:rsidR="00F679CB" w:rsidRPr="002B55E9" w:rsidRDefault="00F679CB" w:rsidP="00F679CB">
            <w:pPr>
              <w:pStyle w:val="lgy-"/>
              <w:rPr>
                <w:rFonts w:eastAsia="宋体"/>
              </w:rPr>
            </w:pPr>
            <w:r w:rsidRPr="002B55E9">
              <w:rPr>
                <w:rFonts w:eastAsia="宋体" w:hint="eastAsia"/>
              </w:rPr>
              <w:t>√</w:t>
            </w:r>
          </w:p>
        </w:tc>
        <w:tc>
          <w:tcPr>
            <w:tcW w:w="2664" w:type="dxa"/>
            <w:noWrap/>
          </w:tcPr>
          <w:p w14:paraId="5973121B" w14:textId="77777777" w:rsidR="00F679CB" w:rsidRPr="002B55E9" w:rsidRDefault="00F679CB" w:rsidP="00F679CB">
            <w:pPr>
              <w:pStyle w:val="lgy-"/>
              <w:rPr>
                <w:rFonts w:eastAsia="宋体"/>
              </w:rPr>
            </w:pPr>
            <w:r w:rsidRPr="002B55E9">
              <w:rPr>
                <w:rFonts w:eastAsia="宋体" w:hint="eastAsia"/>
              </w:rPr>
              <w:t xml:space="preserve">/ </w:t>
            </w:r>
          </w:p>
        </w:tc>
      </w:tr>
      <w:tr w:rsidR="002B55E9" w:rsidRPr="002B55E9" w14:paraId="74F54D27" w14:textId="77777777" w:rsidTr="00F679CB">
        <w:trPr>
          <w:trHeight w:val="283"/>
        </w:trPr>
        <w:tc>
          <w:tcPr>
            <w:tcW w:w="993" w:type="dxa"/>
            <w:noWrap/>
          </w:tcPr>
          <w:p w14:paraId="13B2B966" w14:textId="77777777" w:rsidR="00F679CB" w:rsidRPr="002B55E9" w:rsidRDefault="00F679CB" w:rsidP="00F679CB">
            <w:pPr>
              <w:pStyle w:val="lgy-"/>
              <w:rPr>
                <w:rFonts w:eastAsia="宋体"/>
              </w:rPr>
            </w:pPr>
            <w:r w:rsidRPr="002B55E9">
              <w:rPr>
                <w:rFonts w:eastAsia="宋体" w:hint="eastAsia"/>
              </w:rPr>
              <w:t>4</w:t>
            </w:r>
          </w:p>
        </w:tc>
        <w:tc>
          <w:tcPr>
            <w:tcW w:w="2409" w:type="dxa"/>
            <w:noWrap/>
            <w:hideMark/>
          </w:tcPr>
          <w:p w14:paraId="4A7F295D" w14:textId="77777777" w:rsidR="00F679CB" w:rsidRPr="002B55E9" w:rsidRDefault="00F679CB" w:rsidP="00F679CB">
            <w:pPr>
              <w:pStyle w:val="lgy-"/>
              <w:rPr>
                <w:rFonts w:eastAsia="宋体"/>
              </w:rPr>
            </w:pPr>
            <w:r w:rsidRPr="002B55E9">
              <w:rPr>
                <w:rFonts w:eastAsia="宋体" w:hint="eastAsia"/>
              </w:rPr>
              <w:t>废气达标排放</w:t>
            </w:r>
          </w:p>
        </w:tc>
        <w:tc>
          <w:tcPr>
            <w:tcW w:w="3686" w:type="dxa"/>
            <w:noWrap/>
            <w:hideMark/>
          </w:tcPr>
          <w:p w14:paraId="0B62AE2E" w14:textId="77777777" w:rsidR="00F679CB" w:rsidRPr="002B55E9" w:rsidRDefault="00F679CB" w:rsidP="00F679CB">
            <w:pPr>
              <w:pStyle w:val="lgy-"/>
              <w:rPr>
                <w:rFonts w:eastAsia="宋体"/>
              </w:rPr>
            </w:pPr>
            <w:r w:rsidRPr="002B55E9">
              <w:rPr>
                <w:rFonts w:eastAsia="宋体" w:hint="eastAsia"/>
              </w:rPr>
              <w:t>√</w:t>
            </w:r>
          </w:p>
        </w:tc>
        <w:tc>
          <w:tcPr>
            <w:tcW w:w="2664" w:type="dxa"/>
            <w:noWrap/>
            <w:hideMark/>
          </w:tcPr>
          <w:p w14:paraId="63C0C292"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72DFAFA8" w14:textId="77777777" w:rsidTr="00F679CB">
        <w:trPr>
          <w:trHeight w:val="283"/>
        </w:trPr>
        <w:tc>
          <w:tcPr>
            <w:tcW w:w="993" w:type="dxa"/>
            <w:noWrap/>
          </w:tcPr>
          <w:p w14:paraId="019DC383" w14:textId="77777777" w:rsidR="00F679CB" w:rsidRPr="002B55E9" w:rsidRDefault="00F679CB" w:rsidP="00F679CB">
            <w:pPr>
              <w:pStyle w:val="lgy-"/>
              <w:rPr>
                <w:rFonts w:eastAsia="宋体"/>
              </w:rPr>
            </w:pPr>
            <w:r w:rsidRPr="002B55E9">
              <w:rPr>
                <w:rFonts w:eastAsia="宋体" w:hint="eastAsia"/>
              </w:rPr>
              <w:t>5</w:t>
            </w:r>
          </w:p>
        </w:tc>
        <w:tc>
          <w:tcPr>
            <w:tcW w:w="2409" w:type="dxa"/>
            <w:noWrap/>
            <w:hideMark/>
          </w:tcPr>
          <w:p w14:paraId="1C623343" w14:textId="77777777" w:rsidR="00F679CB" w:rsidRPr="002B55E9" w:rsidRDefault="00F679CB" w:rsidP="00F679CB">
            <w:pPr>
              <w:pStyle w:val="lgy-"/>
              <w:rPr>
                <w:rFonts w:eastAsia="宋体"/>
              </w:rPr>
            </w:pPr>
            <w:r w:rsidRPr="002B55E9">
              <w:rPr>
                <w:rFonts w:eastAsia="宋体" w:hint="eastAsia"/>
              </w:rPr>
              <w:t>废水达标排放</w:t>
            </w:r>
          </w:p>
        </w:tc>
        <w:tc>
          <w:tcPr>
            <w:tcW w:w="3686" w:type="dxa"/>
            <w:noWrap/>
            <w:hideMark/>
          </w:tcPr>
          <w:p w14:paraId="7E554D6E" w14:textId="77777777" w:rsidR="00F679CB" w:rsidRPr="002B55E9" w:rsidRDefault="00F679CB" w:rsidP="00F679CB">
            <w:pPr>
              <w:pStyle w:val="lgy-"/>
              <w:rPr>
                <w:rFonts w:eastAsia="宋体"/>
              </w:rPr>
            </w:pPr>
            <w:r w:rsidRPr="002B55E9">
              <w:rPr>
                <w:rFonts w:eastAsia="宋体" w:hint="eastAsia"/>
              </w:rPr>
              <w:t>√</w:t>
            </w:r>
          </w:p>
        </w:tc>
        <w:tc>
          <w:tcPr>
            <w:tcW w:w="2664" w:type="dxa"/>
            <w:noWrap/>
            <w:hideMark/>
          </w:tcPr>
          <w:p w14:paraId="2988743A"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5A409BC6" w14:textId="77777777" w:rsidTr="00F679CB">
        <w:trPr>
          <w:trHeight w:val="283"/>
        </w:trPr>
        <w:tc>
          <w:tcPr>
            <w:tcW w:w="993" w:type="dxa"/>
            <w:noWrap/>
          </w:tcPr>
          <w:p w14:paraId="0A62B107" w14:textId="77777777" w:rsidR="00F679CB" w:rsidRPr="002B55E9" w:rsidRDefault="00F679CB" w:rsidP="00F679CB">
            <w:pPr>
              <w:pStyle w:val="lgy-"/>
              <w:rPr>
                <w:rFonts w:eastAsia="宋体"/>
              </w:rPr>
            </w:pPr>
            <w:r w:rsidRPr="002B55E9">
              <w:rPr>
                <w:rFonts w:eastAsia="宋体" w:hint="eastAsia"/>
              </w:rPr>
              <w:t>6</w:t>
            </w:r>
          </w:p>
        </w:tc>
        <w:tc>
          <w:tcPr>
            <w:tcW w:w="2409" w:type="dxa"/>
            <w:noWrap/>
            <w:hideMark/>
          </w:tcPr>
          <w:p w14:paraId="072E09BA" w14:textId="77777777" w:rsidR="00F679CB" w:rsidRPr="002B55E9" w:rsidRDefault="00F679CB" w:rsidP="00F679CB">
            <w:pPr>
              <w:pStyle w:val="lgy-"/>
              <w:rPr>
                <w:rFonts w:eastAsia="宋体"/>
              </w:rPr>
            </w:pPr>
            <w:r w:rsidRPr="002B55E9">
              <w:rPr>
                <w:rFonts w:eastAsia="宋体" w:hint="eastAsia"/>
              </w:rPr>
              <w:t>噪声达标排放</w:t>
            </w:r>
          </w:p>
        </w:tc>
        <w:tc>
          <w:tcPr>
            <w:tcW w:w="3686" w:type="dxa"/>
            <w:noWrap/>
            <w:hideMark/>
          </w:tcPr>
          <w:p w14:paraId="0C37D02F" w14:textId="77777777" w:rsidR="00F679CB" w:rsidRPr="002B55E9" w:rsidRDefault="00F679CB" w:rsidP="00F679CB">
            <w:pPr>
              <w:pStyle w:val="lgy-"/>
              <w:rPr>
                <w:rFonts w:eastAsia="宋体"/>
              </w:rPr>
            </w:pPr>
            <w:r w:rsidRPr="002B55E9">
              <w:rPr>
                <w:rFonts w:eastAsia="宋体" w:hint="eastAsia"/>
              </w:rPr>
              <w:t>√</w:t>
            </w:r>
          </w:p>
        </w:tc>
        <w:tc>
          <w:tcPr>
            <w:tcW w:w="2664" w:type="dxa"/>
            <w:noWrap/>
            <w:hideMark/>
          </w:tcPr>
          <w:p w14:paraId="543A439C"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1B4F8CB6" w14:textId="77777777" w:rsidTr="00F679CB">
        <w:trPr>
          <w:trHeight w:val="283"/>
        </w:trPr>
        <w:tc>
          <w:tcPr>
            <w:tcW w:w="993" w:type="dxa"/>
            <w:noWrap/>
          </w:tcPr>
          <w:p w14:paraId="7BA4EE8A" w14:textId="77777777" w:rsidR="00F679CB" w:rsidRPr="002B55E9" w:rsidRDefault="00F679CB" w:rsidP="00F679CB">
            <w:pPr>
              <w:pStyle w:val="lgy-"/>
              <w:rPr>
                <w:rFonts w:eastAsia="宋体"/>
              </w:rPr>
            </w:pPr>
            <w:r w:rsidRPr="002B55E9">
              <w:rPr>
                <w:rFonts w:eastAsia="宋体" w:hint="eastAsia"/>
              </w:rPr>
              <w:t>7</w:t>
            </w:r>
          </w:p>
        </w:tc>
        <w:tc>
          <w:tcPr>
            <w:tcW w:w="2409" w:type="dxa"/>
            <w:noWrap/>
            <w:hideMark/>
          </w:tcPr>
          <w:p w14:paraId="01602EC1" w14:textId="77777777" w:rsidR="00F679CB" w:rsidRPr="002B55E9" w:rsidRDefault="00F679CB" w:rsidP="00F679CB">
            <w:pPr>
              <w:pStyle w:val="lgy-"/>
              <w:rPr>
                <w:rFonts w:eastAsia="宋体"/>
              </w:rPr>
            </w:pPr>
            <w:r w:rsidRPr="002B55E9">
              <w:rPr>
                <w:rFonts w:eastAsia="宋体" w:hint="eastAsia"/>
              </w:rPr>
              <w:t>固体废物处置</w:t>
            </w:r>
          </w:p>
        </w:tc>
        <w:tc>
          <w:tcPr>
            <w:tcW w:w="3686" w:type="dxa"/>
            <w:noWrap/>
            <w:hideMark/>
          </w:tcPr>
          <w:p w14:paraId="61EE5716" w14:textId="77777777" w:rsidR="00F679CB" w:rsidRPr="002B55E9" w:rsidRDefault="00F679CB" w:rsidP="00F679CB">
            <w:pPr>
              <w:pStyle w:val="lgy-"/>
              <w:rPr>
                <w:rFonts w:eastAsia="宋体"/>
              </w:rPr>
            </w:pPr>
            <w:r w:rsidRPr="002B55E9">
              <w:rPr>
                <w:rFonts w:eastAsia="宋体" w:hint="eastAsia"/>
              </w:rPr>
              <w:t>√</w:t>
            </w:r>
          </w:p>
        </w:tc>
        <w:tc>
          <w:tcPr>
            <w:tcW w:w="2664" w:type="dxa"/>
            <w:noWrap/>
            <w:hideMark/>
          </w:tcPr>
          <w:p w14:paraId="0F8FD0F2"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0BBE4AF2" w14:textId="77777777" w:rsidTr="00F679CB">
        <w:trPr>
          <w:trHeight w:val="283"/>
        </w:trPr>
        <w:tc>
          <w:tcPr>
            <w:tcW w:w="993" w:type="dxa"/>
            <w:noWrap/>
          </w:tcPr>
          <w:p w14:paraId="55D5EFD1" w14:textId="77777777" w:rsidR="00F679CB" w:rsidRPr="002B55E9" w:rsidRDefault="00F679CB" w:rsidP="00F679CB">
            <w:pPr>
              <w:pStyle w:val="lgy-"/>
              <w:rPr>
                <w:rFonts w:eastAsia="宋体"/>
              </w:rPr>
            </w:pPr>
            <w:r w:rsidRPr="002B55E9">
              <w:rPr>
                <w:rFonts w:eastAsia="宋体" w:hint="eastAsia"/>
              </w:rPr>
              <w:t>8</w:t>
            </w:r>
          </w:p>
        </w:tc>
        <w:tc>
          <w:tcPr>
            <w:tcW w:w="2409" w:type="dxa"/>
            <w:noWrap/>
          </w:tcPr>
          <w:p w14:paraId="0B5E0CA1" w14:textId="77777777" w:rsidR="00F679CB" w:rsidRPr="002B55E9" w:rsidRDefault="00F679CB" w:rsidP="00F679CB">
            <w:pPr>
              <w:pStyle w:val="lgy-"/>
              <w:rPr>
                <w:rFonts w:eastAsia="宋体"/>
              </w:rPr>
            </w:pPr>
            <w:r w:rsidRPr="002B55E9">
              <w:rPr>
                <w:rFonts w:eastAsia="宋体" w:hint="eastAsia"/>
              </w:rPr>
              <w:t>废气、废水排口规范化建设及管理</w:t>
            </w:r>
          </w:p>
        </w:tc>
        <w:tc>
          <w:tcPr>
            <w:tcW w:w="3686" w:type="dxa"/>
            <w:noWrap/>
          </w:tcPr>
          <w:p w14:paraId="32173EF3" w14:textId="77777777" w:rsidR="00F679CB" w:rsidRPr="002B55E9" w:rsidRDefault="00F679CB" w:rsidP="00F679CB">
            <w:pPr>
              <w:pStyle w:val="lgy-"/>
              <w:rPr>
                <w:rFonts w:eastAsia="宋体"/>
              </w:rPr>
            </w:pPr>
            <w:r w:rsidRPr="002B55E9">
              <w:rPr>
                <w:rFonts w:eastAsia="宋体" w:hint="eastAsia"/>
              </w:rPr>
              <w:t>√</w:t>
            </w:r>
          </w:p>
        </w:tc>
        <w:tc>
          <w:tcPr>
            <w:tcW w:w="2664" w:type="dxa"/>
            <w:noWrap/>
          </w:tcPr>
          <w:p w14:paraId="40D6CE8A"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4C636E4A" w14:textId="77777777" w:rsidTr="00F679CB">
        <w:trPr>
          <w:trHeight w:val="283"/>
        </w:trPr>
        <w:tc>
          <w:tcPr>
            <w:tcW w:w="993" w:type="dxa"/>
            <w:noWrap/>
          </w:tcPr>
          <w:p w14:paraId="1E4DCBFB" w14:textId="77777777" w:rsidR="00F679CB" w:rsidRPr="002B55E9" w:rsidRDefault="00F679CB" w:rsidP="00F679CB">
            <w:pPr>
              <w:pStyle w:val="lgy-"/>
              <w:rPr>
                <w:rFonts w:eastAsia="宋体"/>
              </w:rPr>
            </w:pPr>
            <w:r w:rsidRPr="002B55E9">
              <w:rPr>
                <w:rFonts w:eastAsia="宋体" w:hint="eastAsia"/>
              </w:rPr>
              <w:t>9</w:t>
            </w:r>
          </w:p>
        </w:tc>
        <w:tc>
          <w:tcPr>
            <w:tcW w:w="2409" w:type="dxa"/>
            <w:noWrap/>
          </w:tcPr>
          <w:p w14:paraId="29971A27" w14:textId="77777777" w:rsidR="00F679CB" w:rsidRPr="002B55E9" w:rsidRDefault="00F679CB" w:rsidP="00F679CB">
            <w:pPr>
              <w:pStyle w:val="lgy-"/>
              <w:rPr>
                <w:rFonts w:eastAsia="宋体"/>
              </w:rPr>
            </w:pPr>
            <w:r w:rsidRPr="002B55E9">
              <w:rPr>
                <w:rFonts w:eastAsia="宋体" w:hint="eastAsia"/>
              </w:rPr>
              <w:t>环境风险</w:t>
            </w:r>
          </w:p>
        </w:tc>
        <w:tc>
          <w:tcPr>
            <w:tcW w:w="3686" w:type="dxa"/>
            <w:noWrap/>
          </w:tcPr>
          <w:p w14:paraId="24D305F6" w14:textId="77777777" w:rsidR="00F679CB" w:rsidRPr="002B55E9" w:rsidRDefault="00F679CB" w:rsidP="00F679CB">
            <w:pPr>
              <w:pStyle w:val="lgy-"/>
              <w:rPr>
                <w:rFonts w:eastAsia="宋体"/>
              </w:rPr>
            </w:pPr>
            <w:r w:rsidRPr="002B55E9">
              <w:rPr>
                <w:rFonts w:eastAsia="宋体" w:hint="eastAsia"/>
              </w:rPr>
              <w:t>√</w:t>
            </w:r>
          </w:p>
        </w:tc>
        <w:tc>
          <w:tcPr>
            <w:tcW w:w="2664" w:type="dxa"/>
            <w:noWrap/>
          </w:tcPr>
          <w:p w14:paraId="4E988642" w14:textId="77777777" w:rsidR="00F679CB" w:rsidRPr="002B55E9" w:rsidRDefault="00F679CB" w:rsidP="00F679CB">
            <w:pPr>
              <w:pStyle w:val="lgy-"/>
              <w:rPr>
                <w:rFonts w:eastAsia="宋体"/>
              </w:rPr>
            </w:pPr>
            <w:r w:rsidRPr="002B55E9">
              <w:rPr>
                <w:rFonts w:eastAsia="宋体" w:hint="eastAsia"/>
              </w:rPr>
              <w:t>/</w:t>
            </w:r>
          </w:p>
        </w:tc>
      </w:tr>
      <w:tr w:rsidR="002B55E9" w:rsidRPr="002B55E9" w14:paraId="46D3C147" w14:textId="77777777" w:rsidTr="00F679CB">
        <w:trPr>
          <w:trHeight w:val="283"/>
        </w:trPr>
        <w:tc>
          <w:tcPr>
            <w:tcW w:w="993" w:type="dxa"/>
            <w:noWrap/>
          </w:tcPr>
          <w:p w14:paraId="1D8ADE55" w14:textId="77777777" w:rsidR="00F679CB" w:rsidRPr="002B55E9" w:rsidRDefault="00F679CB" w:rsidP="00F679CB">
            <w:pPr>
              <w:pStyle w:val="lgy-"/>
              <w:rPr>
                <w:rFonts w:eastAsia="宋体"/>
              </w:rPr>
            </w:pPr>
            <w:r w:rsidRPr="002B55E9">
              <w:rPr>
                <w:rFonts w:eastAsia="宋体" w:hint="eastAsia"/>
              </w:rPr>
              <w:t>10</w:t>
            </w:r>
          </w:p>
        </w:tc>
        <w:tc>
          <w:tcPr>
            <w:tcW w:w="2409" w:type="dxa"/>
            <w:noWrap/>
            <w:hideMark/>
          </w:tcPr>
          <w:p w14:paraId="7380275C" w14:textId="77777777" w:rsidR="00F679CB" w:rsidRPr="002B55E9" w:rsidRDefault="00F679CB" w:rsidP="00F679CB">
            <w:pPr>
              <w:pStyle w:val="lgy-"/>
              <w:rPr>
                <w:rFonts w:eastAsia="宋体"/>
              </w:rPr>
            </w:pPr>
            <w:r w:rsidRPr="002B55E9">
              <w:rPr>
                <w:rFonts w:eastAsia="宋体" w:hint="eastAsia"/>
              </w:rPr>
              <w:t>自行监测实施</w:t>
            </w:r>
          </w:p>
        </w:tc>
        <w:tc>
          <w:tcPr>
            <w:tcW w:w="3686" w:type="dxa"/>
            <w:noWrap/>
            <w:hideMark/>
          </w:tcPr>
          <w:p w14:paraId="1672F560" w14:textId="77777777" w:rsidR="00F679CB" w:rsidRPr="002B55E9" w:rsidRDefault="00F679CB" w:rsidP="00F679CB">
            <w:pPr>
              <w:pStyle w:val="lgy-"/>
              <w:rPr>
                <w:rFonts w:eastAsia="宋体"/>
              </w:rPr>
            </w:pPr>
            <w:r w:rsidRPr="002B55E9">
              <w:rPr>
                <w:rFonts w:eastAsia="宋体" w:hint="eastAsia"/>
              </w:rPr>
              <w:t>√</w:t>
            </w:r>
          </w:p>
        </w:tc>
        <w:tc>
          <w:tcPr>
            <w:tcW w:w="2664" w:type="dxa"/>
            <w:noWrap/>
            <w:hideMark/>
          </w:tcPr>
          <w:p w14:paraId="533C2E94" w14:textId="77777777" w:rsidR="00F679CB" w:rsidRPr="002B55E9" w:rsidRDefault="00F679CB" w:rsidP="00F679CB">
            <w:pPr>
              <w:pStyle w:val="lgy-"/>
              <w:rPr>
                <w:rFonts w:eastAsia="宋体"/>
              </w:rPr>
            </w:pPr>
            <w:r w:rsidRPr="002B55E9">
              <w:rPr>
                <w:rFonts w:eastAsia="宋体" w:hint="eastAsia"/>
              </w:rPr>
              <w:t>/</w:t>
            </w:r>
          </w:p>
        </w:tc>
      </w:tr>
    </w:tbl>
    <w:p w14:paraId="3F78BFCF" w14:textId="77777777" w:rsidR="00D170E5" w:rsidRPr="002B55E9" w:rsidRDefault="00EF27AD">
      <w:pPr>
        <w:pStyle w:val="5"/>
      </w:pPr>
      <w:r w:rsidRPr="002B55E9">
        <w:rPr>
          <w:rFonts w:hint="eastAsia"/>
        </w:rPr>
        <w:t>污水</w:t>
      </w:r>
      <w:r w:rsidRPr="002B55E9">
        <w:t>依托东西湖污水处理厂处理可行性</w:t>
      </w:r>
    </w:p>
    <w:p w14:paraId="16634A5C" w14:textId="77777777" w:rsidR="00D170E5" w:rsidRPr="002B55E9" w:rsidRDefault="00EF27AD">
      <w:pPr>
        <w:pStyle w:val="affff7"/>
        <w:snapToGrid w:val="0"/>
        <w:spacing w:after="0"/>
      </w:pPr>
      <w:r w:rsidRPr="002B55E9">
        <w:rPr>
          <w:rFonts w:hint="eastAsia"/>
        </w:rPr>
        <w:t>（</w:t>
      </w:r>
      <w:r w:rsidRPr="002B55E9">
        <w:rPr>
          <w:rFonts w:hint="eastAsia"/>
        </w:rPr>
        <w:t>1</w:t>
      </w:r>
      <w:r w:rsidRPr="002B55E9">
        <w:rPr>
          <w:rFonts w:hint="eastAsia"/>
        </w:rPr>
        <w:t>）东西湖</w:t>
      </w:r>
      <w:r w:rsidRPr="002B55E9">
        <w:t>污水处理厂现状</w:t>
      </w:r>
    </w:p>
    <w:p w14:paraId="7A285CF2" w14:textId="77777777" w:rsidR="00D170E5" w:rsidRPr="002B55E9" w:rsidRDefault="00EF27AD">
      <w:pPr>
        <w:pStyle w:val="affff7"/>
        <w:snapToGrid w:val="0"/>
        <w:spacing w:after="0"/>
      </w:pPr>
      <w:r w:rsidRPr="002B55E9">
        <w:rPr>
          <w:bCs w:val="0"/>
        </w:rPr>
        <w:lastRenderedPageBreak/>
        <w:t>东西湖区污水处理厂位于</w:t>
      </w:r>
      <w:r w:rsidRPr="002B55E9">
        <w:rPr>
          <w:rFonts w:hint="eastAsia"/>
          <w:bCs w:val="0"/>
        </w:rPr>
        <w:t>东西湖区东吴大道与规划金山大道、南十四支沟与南十二支沟之间，一期工程于</w:t>
      </w:r>
      <w:r w:rsidRPr="002B55E9">
        <w:rPr>
          <w:rFonts w:hint="eastAsia"/>
          <w:bCs w:val="0"/>
        </w:rPr>
        <w:t>2017</w:t>
      </w:r>
      <w:r w:rsidRPr="002B55E9">
        <w:rPr>
          <w:rFonts w:hint="eastAsia"/>
          <w:bCs w:val="0"/>
        </w:rPr>
        <w:t>年建设，日处理规模达到</w:t>
      </w:r>
      <w:r w:rsidRPr="002B55E9">
        <w:rPr>
          <w:rFonts w:hint="eastAsia"/>
          <w:bCs w:val="0"/>
        </w:rPr>
        <w:t>10</w:t>
      </w:r>
      <w:r w:rsidRPr="002B55E9">
        <w:rPr>
          <w:rFonts w:hint="eastAsia"/>
          <w:bCs w:val="0"/>
        </w:rPr>
        <w:t>万立方米</w:t>
      </w:r>
      <w:r w:rsidRPr="002B55E9">
        <w:rPr>
          <w:rFonts w:hint="eastAsia"/>
          <w:bCs w:val="0"/>
        </w:rPr>
        <w:t>/</w:t>
      </w:r>
      <w:r w:rsidRPr="002B55E9">
        <w:rPr>
          <w:rFonts w:hint="eastAsia"/>
          <w:bCs w:val="0"/>
        </w:rPr>
        <w:t>日，服务范围为东西湖区中部地区（主要包括东西湖区吴家山经济技术开发区工业倍增示范园区、走马岭集镇区域、新沟集镇区域）、东山集镇区及辛安渡集镇区。</w:t>
      </w:r>
    </w:p>
    <w:p w14:paraId="7982B296" w14:textId="77777777" w:rsidR="00D170E5" w:rsidRPr="002B55E9" w:rsidRDefault="00EF27AD">
      <w:pPr>
        <w:pStyle w:val="Default"/>
        <w:spacing w:line="360" w:lineRule="auto"/>
        <w:ind w:firstLine="480"/>
        <w:rPr>
          <w:color w:val="auto"/>
        </w:rPr>
      </w:pPr>
      <w:r w:rsidRPr="002B55E9">
        <w:rPr>
          <w:rFonts w:ascii="宋体" w:eastAsia="宋体" w:hAnsi="宋体" w:hint="eastAsia"/>
          <w:color w:val="auto"/>
        </w:rPr>
        <w:t>东西湖区污水处理厂日处理规模达到</w:t>
      </w:r>
      <w:r w:rsidRPr="002B55E9">
        <w:rPr>
          <w:rFonts w:ascii="Times New Roman" w:eastAsia="宋体" w:hint="eastAsia"/>
          <w:color w:val="auto"/>
        </w:rPr>
        <w:t>10</w:t>
      </w:r>
      <w:r w:rsidRPr="002B55E9">
        <w:rPr>
          <w:rFonts w:ascii="宋体" w:eastAsia="宋体" w:hAnsi="宋体" w:hint="eastAsia"/>
          <w:color w:val="auto"/>
        </w:rPr>
        <w:t>万立方米/日，采用“改良</w:t>
      </w:r>
      <w:r w:rsidRPr="002B55E9">
        <w:rPr>
          <w:rFonts w:ascii="Times New Roman" w:eastAsia="宋体" w:hint="eastAsia"/>
          <w:color w:val="auto"/>
        </w:rPr>
        <w:t>A</w:t>
      </w:r>
      <w:r w:rsidRPr="002B55E9">
        <w:rPr>
          <w:rFonts w:ascii="宋体" w:eastAsia="宋体" w:hAnsi="宋体" w:hint="eastAsia"/>
          <w:color w:val="auto"/>
        </w:rPr>
        <w:t>/</w:t>
      </w:r>
      <w:r w:rsidRPr="002B55E9">
        <w:rPr>
          <w:rFonts w:ascii="Times New Roman" w:eastAsia="宋体" w:hint="eastAsia"/>
          <w:color w:val="auto"/>
        </w:rPr>
        <w:t>A</w:t>
      </w:r>
      <w:r w:rsidRPr="002B55E9">
        <w:rPr>
          <w:rFonts w:ascii="宋体" w:eastAsia="宋体" w:hAnsi="宋体" w:hint="eastAsia"/>
          <w:color w:val="auto"/>
        </w:rPr>
        <w:t>/</w:t>
      </w:r>
      <w:r w:rsidRPr="002B55E9">
        <w:rPr>
          <w:rFonts w:ascii="Times New Roman" w:eastAsia="宋体" w:hint="eastAsia"/>
          <w:color w:val="auto"/>
        </w:rPr>
        <w:t>O</w:t>
      </w:r>
      <w:r w:rsidRPr="002B55E9">
        <w:rPr>
          <w:rFonts w:ascii="宋体" w:eastAsia="宋体" w:hAnsi="宋体" w:hint="eastAsia"/>
          <w:color w:val="auto"/>
        </w:rPr>
        <w:t>工艺+混合+过滤+消毒”工艺，根据《东西湖区污水处理厂一期建设工程环境影响报告书》，东西湖区污水处理厂的进出水水质要求如下表。</w:t>
      </w:r>
    </w:p>
    <w:p w14:paraId="260A1C4E" w14:textId="23C4CCA1" w:rsidR="00D170E5" w:rsidRPr="002B55E9" w:rsidRDefault="00EF27AD">
      <w:pPr>
        <w:jc w:val="center"/>
        <w:rPr>
          <w:spacing w:val="6"/>
          <w:szCs w:val="22"/>
        </w:rPr>
      </w:pPr>
      <w:r w:rsidRPr="002B55E9">
        <w:rPr>
          <w:rFonts w:hint="eastAsia"/>
          <w:b/>
          <w:spacing w:val="6"/>
          <w:sz w:val="24"/>
          <w:szCs w:val="22"/>
        </w:rPr>
        <w:t>表</w:t>
      </w:r>
      <w:r w:rsidRPr="002B55E9">
        <w:rPr>
          <w:b/>
          <w:spacing w:val="6"/>
          <w:sz w:val="24"/>
          <w:szCs w:val="22"/>
        </w:rPr>
        <w:t>5-3-</w:t>
      </w:r>
      <w:r w:rsidR="00085583" w:rsidRPr="002B55E9">
        <w:rPr>
          <w:b/>
          <w:spacing w:val="6"/>
          <w:sz w:val="24"/>
          <w:szCs w:val="22"/>
        </w:rPr>
        <w:t>9</w:t>
      </w:r>
      <w:r w:rsidRPr="002B55E9">
        <w:rPr>
          <w:b/>
          <w:spacing w:val="6"/>
          <w:sz w:val="24"/>
          <w:szCs w:val="22"/>
        </w:rPr>
        <w:t xml:space="preserve"> </w:t>
      </w:r>
      <w:r w:rsidRPr="002B55E9">
        <w:rPr>
          <w:rFonts w:hint="eastAsia"/>
          <w:b/>
          <w:spacing w:val="6"/>
          <w:sz w:val="24"/>
          <w:szCs w:val="22"/>
        </w:rPr>
        <w:t>东西湖区污水处理厂进出水水质浓度要求</w:t>
      </w:r>
    </w:p>
    <w:tbl>
      <w:tblPr>
        <w:tblStyle w:val="lgy2"/>
        <w:tblW w:w="5000" w:type="pct"/>
        <w:tblLayout w:type="fixed"/>
        <w:tblCellMar>
          <w:left w:w="28" w:type="dxa"/>
          <w:right w:w="28" w:type="dxa"/>
        </w:tblCellMar>
        <w:tblLook w:val="04A0" w:firstRow="1" w:lastRow="0" w:firstColumn="1" w:lastColumn="0" w:noHBand="0" w:noVBand="1"/>
      </w:tblPr>
      <w:tblGrid>
        <w:gridCol w:w="2432"/>
        <w:gridCol w:w="1001"/>
        <w:gridCol w:w="1144"/>
        <w:gridCol w:w="1144"/>
        <w:gridCol w:w="859"/>
        <w:gridCol w:w="1001"/>
        <w:gridCol w:w="1002"/>
        <w:gridCol w:w="1110"/>
      </w:tblGrid>
      <w:tr w:rsidR="002B55E9" w:rsidRPr="002B55E9" w14:paraId="5AC21BA3"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2419" w:type="dxa"/>
            <w:vMerge w:val="restart"/>
          </w:tcPr>
          <w:p w14:paraId="6CECA0E5" w14:textId="77777777" w:rsidR="00D170E5" w:rsidRPr="002B55E9" w:rsidRDefault="00EF27AD">
            <w:pPr>
              <w:pStyle w:val="lgy-"/>
            </w:pPr>
            <w:r w:rsidRPr="002B55E9">
              <w:rPr>
                <w:rFonts w:eastAsia="宋体" w:hint="eastAsia"/>
              </w:rPr>
              <w:t>项目</w:t>
            </w:r>
          </w:p>
        </w:tc>
        <w:tc>
          <w:tcPr>
            <w:tcW w:w="995" w:type="dxa"/>
            <w:vMerge w:val="restart"/>
          </w:tcPr>
          <w:p w14:paraId="4CE552BF" w14:textId="77777777" w:rsidR="00D170E5" w:rsidRPr="002B55E9" w:rsidRDefault="00EF27AD">
            <w:pPr>
              <w:pStyle w:val="lgy-"/>
            </w:pPr>
            <w:r w:rsidRPr="002B55E9">
              <w:rPr>
                <w:rFonts w:eastAsia="宋体"/>
              </w:rPr>
              <w:t>BOD</w:t>
            </w:r>
            <w:r w:rsidRPr="002B55E9">
              <w:rPr>
                <w:rFonts w:eastAsia="宋体"/>
                <w:vertAlign w:val="subscript"/>
              </w:rPr>
              <w:t>5</w:t>
            </w:r>
          </w:p>
        </w:tc>
        <w:tc>
          <w:tcPr>
            <w:tcW w:w="1137" w:type="dxa"/>
            <w:vMerge w:val="restart"/>
          </w:tcPr>
          <w:p w14:paraId="14A45669" w14:textId="77777777" w:rsidR="00D170E5" w:rsidRPr="002B55E9" w:rsidRDefault="00EF27AD" w:rsidP="00EF27AD">
            <w:pPr>
              <w:pStyle w:val="lgy-"/>
            </w:pPr>
            <w:r w:rsidRPr="002B55E9">
              <w:rPr>
                <w:rFonts w:eastAsia="宋体"/>
              </w:rPr>
              <w:t>COD</w:t>
            </w:r>
          </w:p>
        </w:tc>
        <w:tc>
          <w:tcPr>
            <w:tcW w:w="1137" w:type="dxa"/>
            <w:vMerge w:val="restart"/>
          </w:tcPr>
          <w:p w14:paraId="7F93B8A2" w14:textId="77777777" w:rsidR="00D170E5" w:rsidRPr="002B55E9" w:rsidRDefault="00EF27AD">
            <w:pPr>
              <w:pStyle w:val="lgy-"/>
            </w:pPr>
            <w:r w:rsidRPr="002B55E9">
              <w:rPr>
                <w:rFonts w:eastAsia="宋体"/>
              </w:rPr>
              <w:t>SS</w:t>
            </w:r>
          </w:p>
        </w:tc>
        <w:tc>
          <w:tcPr>
            <w:tcW w:w="1849" w:type="dxa"/>
            <w:gridSpan w:val="2"/>
          </w:tcPr>
          <w:p w14:paraId="611F0B6C" w14:textId="77777777" w:rsidR="00D170E5" w:rsidRPr="002B55E9" w:rsidRDefault="00EF27AD">
            <w:pPr>
              <w:pStyle w:val="lgy-"/>
            </w:pPr>
            <w:r w:rsidRPr="002B55E9">
              <w:rPr>
                <w:rFonts w:eastAsia="宋体"/>
              </w:rPr>
              <w:t>NH</w:t>
            </w:r>
            <w:r w:rsidRPr="002B55E9">
              <w:rPr>
                <w:rFonts w:eastAsia="宋体"/>
                <w:vertAlign w:val="subscript"/>
              </w:rPr>
              <w:t>3</w:t>
            </w:r>
            <w:r w:rsidRPr="002B55E9">
              <w:rPr>
                <w:rFonts w:eastAsia="宋体"/>
              </w:rPr>
              <w:t>-N</w:t>
            </w:r>
          </w:p>
        </w:tc>
        <w:tc>
          <w:tcPr>
            <w:tcW w:w="996" w:type="dxa"/>
            <w:vMerge w:val="restart"/>
          </w:tcPr>
          <w:p w14:paraId="7F060FB6" w14:textId="77777777" w:rsidR="00D170E5" w:rsidRPr="002B55E9" w:rsidRDefault="00EF27AD">
            <w:pPr>
              <w:pStyle w:val="lgy-"/>
            </w:pPr>
            <w:r w:rsidRPr="002B55E9">
              <w:rPr>
                <w:rFonts w:eastAsia="宋体"/>
              </w:rPr>
              <w:t>TN</w:t>
            </w:r>
          </w:p>
        </w:tc>
        <w:tc>
          <w:tcPr>
            <w:tcW w:w="1104" w:type="dxa"/>
            <w:vMerge w:val="restart"/>
          </w:tcPr>
          <w:p w14:paraId="2695C563" w14:textId="77777777" w:rsidR="00D170E5" w:rsidRPr="002B55E9" w:rsidRDefault="00EF27AD">
            <w:pPr>
              <w:pStyle w:val="lgy-"/>
              <w:rPr>
                <w:rFonts w:eastAsia="宋体"/>
              </w:rPr>
            </w:pPr>
            <w:r w:rsidRPr="002B55E9">
              <w:rPr>
                <w:rFonts w:eastAsia="宋体"/>
              </w:rPr>
              <w:t>TP</w:t>
            </w:r>
          </w:p>
        </w:tc>
      </w:tr>
      <w:tr w:rsidR="002B55E9" w:rsidRPr="002B55E9" w14:paraId="1CF01D76" w14:textId="77777777" w:rsidTr="00EF27AD">
        <w:trPr>
          <w:trHeight w:val="283"/>
        </w:trPr>
        <w:tc>
          <w:tcPr>
            <w:tcW w:w="2419" w:type="dxa"/>
            <w:vMerge/>
          </w:tcPr>
          <w:p w14:paraId="63AB30A7" w14:textId="77777777" w:rsidR="00D170E5" w:rsidRPr="002B55E9" w:rsidRDefault="00D170E5">
            <w:pPr>
              <w:pStyle w:val="lgy-"/>
            </w:pPr>
          </w:p>
        </w:tc>
        <w:tc>
          <w:tcPr>
            <w:tcW w:w="995" w:type="dxa"/>
            <w:vMerge/>
          </w:tcPr>
          <w:p w14:paraId="39765AD9" w14:textId="77777777" w:rsidR="00D170E5" w:rsidRPr="002B55E9" w:rsidRDefault="00D170E5">
            <w:pPr>
              <w:pStyle w:val="lgy-"/>
            </w:pPr>
          </w:p>
        </w:tc>
        <w:tc>
          <w:tcPr>
            <w:tcW w:w="1137" w:type="dxa"/>
            <w:vMerge/>
          </w:tcPr>
          <w:p w14:paraId="0C880B0E" w14:textId="77777777" w:rsidR="00D170E5" w:rsidRPr="002B55E9" w:rsidRDefault="00D170E5">
            <w:pPr>
              <w:pStyle w:val="lgy-"/>
            </w:pPr>
          </w:p>
        </w:tc>
        <w:tc>
          <w:tcPr>
            <w:tcW w:w="1137" w:type="dxa"/>
            <w:vMerge/>
          </w:tcPr>
          <w:p w14:paraId="5A1CD1DB" w14:textId="77777777" w:rsidR="00D170E5" w:rsidRPr="002B55E9" w:rsidRDefault="00D170E5">
            <w:pPr>
              <w:pStyle w:val="lgy-"/>
            </w:pPr>
          </w:p>
        </w:tc>
        <w:tc>
          <w:tcPr>
            <w:tcW w:w="854" w:type="dxa"/>
          </w:tcPr>
          <w:p w14:paraId="1EAB9A20" w14:textId="77777777" w:rsidR="00D170E5" w:rsidRPr="002B55E9" w:rsidRDefault="00EF27AD">
            <w:pPr>
              <w:pStyle w:val="lgy-"/>
            </w:pPr>
            <w:r w:rsidRPr="002B55E9">
              <w:rPr>
                <w:rFonts w:eastAsia="宋体"/>
              </w:rPr>
              <w:t>&gt;12</w:t>
            </w:r>
            <w:r w:rsidRPr="002B55E9">
              <w:rPr>
                <w:rFonts w:eastAsia="宋体" w:hint="eastAsia"/>
              </w:rPr>
              <w:t>℃</w:t>
            </w:r>
          </w:p>
        </w:tc>
        <w:tc>
          <w:tcPr>
            <w:tcW w:w="995" w:type="dxa"/>
          </w:tcPr>
          <w:p w14:paraId="38446FC1" w14:textId="77777777" w:rsidR="00D170E5" w:rsidRPr="002B55E9" w:rsidRDefault="00EF27AD">
            <w:pPr>
              <w:pStyle w:val="lgy-"/>
            </w:pPr>
            <w:r w:rsidRPr="002B55E9">
              <w:rPr>
                <w:rFonts w:eastAsia="宋体" w:hint="eastAsia"/>
              </w:rPr>
              <w:t>≤</w:t>
            </w:r>
            <w:r w:rsidRPr="002B55E9">
              <w:rPr>
                <w:rFonts w:eastAsia="宋体"/>
              </w:rPr>
              <w:t>12</w:t>
            </w:r>
            <w:r w:rsidRPr="002B55E9">
              <w:rPr>
                <w:rFonts w:eastAsia="宋体" w:hint="eastAsia"/>
              </w:rPr>
              <w:t>℃</w:t>
            </w:r>
          </w:p>
        </w:tc>
        <w:tc>
          <w:tcPr>
            <w:tcW w:w="996" w:type="dxa"/>
            <w:vMerge/>
          </w:tcPr>
          <w:p w14:paraId="34800672" w14:textId="77777777" w:rsidR="00D170E5" w:rsidRPr="002B55E9" w:rsidRDefault="00D170E5">
            <w:pPr>
              <w:pStyle w:val="lgy-"/>
            </w:pPr>
          </w:p>
        </w:tc>
        <w:tc>
          <w:tcPr>
            <w:tcW w:w="1104" w:type="dxa"/>
            <w:vMerge/>
          </w:tcPr>
          <w:p w14:paraId="2E841A42" w14:textId="77777777" w:rsidR="00D170E5" w:rsidRPr="002B55E9" w:rsidRDefault="00D170E5">
            <w:pPr>
              <w:pStyle w:val="lgy-"/>
              <w:rPr>
                <w:rFonts w:eastAsia="宋体"/>
              </w:rPr>
            </w:pPr>
          </w:p>
        </w:tc>
      </w:tr>
      <w:tr w:rsidR="002B55E9" w:rsidRPr="002B55E9" w14:paraId="67324265" w14:textId="77777777" w:rsidTr="00EF27AD">
        <w:trPr>
          <w:trHeight w:val="283"/>
        </w:trPr>
        <w:tc>
          <w:tcPr>
            <w:tcW w:w="2419" w:type="dxa"/>
          </w:tcPr>
          <w:p w14:paraId="42A6F648" w14:textId="77777777" w:rsidR="00D170E5" w:rsidRPr="002B55E9" w:rsidRDefault="00EF27AD">
            <w:pPr>
              <w:pStyle w:val="lgy-"/>
            </w:pPr>
            <w:r w:rsidRPr="002B55E9">
              <w:rPr>
                <w:rFonts w:eastAsia="宋体" w:hint="eastAsia"/>
              </w:rPr>
              <w:t>设计进水水质（</w:t>
            </w:r>
            <w:r w:rsidRPr="002B55E9">
              <w:rPr>
                <w:rFonts w:eastAsia="宋体"/>
              </w:rPr>
              <w:t>mg/L</w:t>
            </w:r>
            <w:r w:rsidRPr="002B55E9">
              <w:rPr>
                <w:rFonts w:eastAsia="宋体" w:hint="eastAsia"/>
              </w:rPr>
              <w:t>）</w:t>
            </w:r>
          </w:p>
        </w:tc>
        <w:tc>
          <w:tcPr>
            <w:tcW w:w="995" w:type="dxa"/>
          </w:tcPr>
          <w:p w14:paraId="1A430DC3" w14:textId="77777777" w:rsidR="00D170E5" w:rsidRPr="002B55E9" w:rsidRDefault="00EF27AD">
            <w:pPr>
              <w:pStyle w:val="lgy-"/>
            </w:pPr>
            <w:r w:rsidRPr="002B55E9">
              <w:rPr>
                <w:rFonts w:eastAsia="宋体" w:hint="eastAsia"/>
              </w:rPr>
              <w:t>170</w:t>
            </w:r>
          </w:p>
        </w:tc>
        <w:tc>
          <w:tcPr>
            <w:tcW w:w="1137" w:type="dxa"/>
          </w:tcPr>
          <w:p w14:paraId="1973B102" w14:textId="77777777" w:rsidR="00D170E5" w:rsidRPr="002B55E9" w:rsidRDefault="00EF27AD">
            <w:pPr>
              <w:pStyle w:val="lgy-"/>
            </w:pPr>
            <w:r w:rsidRPr="002B55E9">
              <w:rPr>
                <w:rFonts w:eastAsia="宋体" w:hint="eastAsia"/>
              </w:rPr>
              <w:t>320</w:t>
            </w:r>
          </w:p>
        </w:tc>
        <w:tc>
          <w:tcPr>
            <w:tcW w:w="1137" w:type="dxa"/>
          </w:tcPr>
          <w:p w14:paraId="065A51ED" w14:textId="77777777" w:rsidR="00D170E5" w:rsidRPr="002B55E9" w:rsidRDefault="00EF27AD">
            <w:pPr>
              <w:pStyle w:val="lgy-"/>
            </w:pPr>
            <w:r w:rsidRPr="002B55E9">
              <w:rPr>
                <w:rFonts w:eastAsia="宋体" w:hint="eastAsia"/>
              </w:rPr>
              <w:t>200</w:t>
            </w:r>
          </w:p>
        </w:tc>
        <w:tc>
          <w:tcPr>
            <w:tcW w:w="1849" w:type="dxa"/>
            <w:gridSpan w:val="2"/>
          </w:tcPr>
          <w:p w14:paraId="5205AD6A" w14:textId="77777777" w:rsidR="00D170E5" w:rsidRPr="002B55E9" w:rsidRDefault="00EF27AD">
            <w:pPr>
              <w:pStyle w:val="lgy-"/>
            </w:pPr>
            <w:r w:rsidRPr="002B55E9">
              <w:rPr>
                <w:rFonts w:eastAsia="宋体" w:hint="eastAsia"/>
              </w:rPr>
              <w:t>35</w:t>
            </w:r>
          </w:p>
        </w:tc>
        <w:tc>
          <w:tcPr>
            <w:tcW w:w="996" w:type="dxa"/>
          </w:tcPr>
          <w:p w14:paraId="3EDA9DD0" w14:textId="77777777" w:rsidR="00D170E5" w:rsidRPr="002B55E9" w:rsidRDefault="00EF27AD">
            <w:pPr>
              <w:pStyle w:val="lgy-"/>
            </w:pPr>
            <w:r w:rsidRPr="002B55E9">
              <w:rPr>
                <w:rFonts w:eastAsia="宋体" w:hint="eastAsia"/>
              </w:rPr>
              <w:t>40</w:t>
            </w:r>
          </w:p>
        </w:tc>
        <w:tc>
          <w:tcPr>
            <w:tcW w:w="1104" w:type="dxa"/>
          </w:tcPr>
          <w:p w14:paraId="63E51A63" w14:textId="77777777" w:rsidR="00D170E5" w:rsidRPr="002B55E9" w:rsidRDefault="00EF27AD">
            <w:pPr>
              <w:pStyle w:val="lgy-"/>
              <w:rPr>
                <w:rFonts w:eastAsia="宋体"/>
              </w:rPr>
            </w:pPr>
            <w:r w:rsidRPr="002B55E9">
              <w:rPr>
                <w:rFonts w:eastAsia="宋体" w:hint="eastAsia"/>
              </w:rPr>
              <w:t>3.5</w:t>
            </w:r>
          </w:p>
        </w:tc>
      </w:tr>
      <w:tr w:rsidR="002B55E9" w:rsidRPr="002B55E9" w14:paraId="38E7DBF9" w14:textId="77777777" w:rsidTr="00EF27AD">
        <w:trPr>
          <w:trHeight w:val="283"/>
        </w:trPr>
        <w:tc>
          <w:tcPr>
            <w:tcW w:w="2419" w:type="dxa"/>
          </w:tcPr>
          <w:p w14:paraId="0E2A1541" w14:textId="77777777" w:rsidR="00D170E5" w:rsidRPr="002B55E9" w:rsidRDefault="00EF27AD">
            <w:pPr>
              <w:pStyle w:val="lgy-"/>
            </w:pPr>
            <w:r w:rsidRPr="002B55E9">
              <w:rPr>
                <w:rFonts w:eastAsia="宋体" w:hint="eastAsia"/>
              </w:rPr>
              <w:t>设计出水水质（</w:t>
            </w:r>
            <w:r w:rsidRPr="002B55E9">
              <w:rPr>
                <w:rFonts w:eastAsia="宋体"/>
              </w:rPr>
              <w:t>mg/L</w:t>
            </w:r>
            <w:r w:rsidRPr="002B55E9">
              <w:rPr>
                <w:rFonts w:eastAsia="宋体" w:hint="eastAsia"/>
              </w:rPr>
              <w:t>）</w:t>
            </w:r>
          </w:p>
        </w:tc>
        <w:tc>
          <w:tcPr>
            <w:tcW w:w="995" w:type="dxa"/>
          </w:tcPr>
          <w:p w14:paraId="7F7E1C0D" w14:textId="77777777" w:rsidR="00D170E5" w:rsidRPr="002B55E9" w:rsidRDefault="00EF27AD">
            <w:pPr>
              <w:pStyle w:val="lgy-"/>
            </w:pPr>
            <w:r w:rsidRPr="002B55E9">
              <w:rPr>
                <w:rFonts w:eastAsia="宋体" w:hint="eastAsia"/>
              </w:rPr>
              <w:t>≤</w:t>
            </w:r>
            <w:r w:rsidRPr="002B55E9">
              <w:rPr>
                <w:rFonts w:eastAsia="宋体"/>
              </w:rPr>
              <w:t>10</w:t>
            </w:r>
          </w:p>
        </w:tc>
        <w:tc>
          <w:tcPr>
            <w:tcW w:w="1137" w:type="dxa"/>
          </w:tcPr>
          <w:p w14:paraId="24071CD4" w14:textId="77777777" w:rsidR="00D170E5" w:rsidRPr="002B55E9" w:rsidRDefault="00EF27AD">
            <w:pPr>
              <w:pStyle w:val="lgy-"/>
            </w:pPr>
            <w:r w:rsidRPr="002B55E9">
              <w:rPr>
                <w:rFonts w:eastAsia="宋体" w:hint="eastAsia"/>
              </w:rPr>
              <w:t>≤</w:t>
            </w:r>
            <w:r w:rsidRPr="002B55E9">
              <w:rPr>
                <w:rFonts w:eastAsia="宋体"/>
              </w:rPr>
              <w:t>50</w:t>
            </w:r>
          </w:p>
        </w:tc>
        <w:tc>
          <w:tcPr>
            <w:tcW w:w="1137" w:type="dxa"/>
          </w:tcPr>
          <w:p w14:paraId="3FE9BF77" w14:textId="77777777" w:rsidR="00D170E5" w:rsidRPr="002B55E9" w:rsidRDefault="00EF27AD">
            <w:pPr>
              <w:pStyle w:val="lgy-"/>
            </w:pPr>
            <w:r w:rsidRPr="002B55E9">
              <w:rPr>
                <w:rFonts w:eastAsia="宋体" w:hint="eastAsia"/>
              </w:rPr>
              <w:t>≤</w:t>
            </w:r>
            <w:r w:rsidRPr="002B55E9">
              <w:rPr>
                <w:rFonts w:eastAsia="宋体"/>
              </w:rPr>
              <w:t>10</w:t>
            </w:r>
          </w:p>
        </w:tc>
        <w:tc>
          <w:tcPr>
            <w:tcW w:w="854" w:type="dxa"/>
          </w:tcPr>
          <w:p w14:paraId="056318E4" w14:textId="77777777" w:rsidR="00D170E5" w:rsidRPr="002B55E9" w:rsidRDefault="00EF27AD">
            <w:pPr>
              <w:pStyle w:val="lgy-"/>
            </w:pPr>
            <w:r w:rsidRPr="002B55E9">
              <w:rPr>
                <w:rFonts w:eastAsia="宋体" w:hint="eastAsia"/>
              </w:rPr>
              <w:t>≤</w:t>
            </w:r>
            <w:r w:rsidRPr="002B55E9">
              <w:rPr>
                <w:rFonts w:eastAsia="宋体"/>
              </w:rPr>
              <w:t>5</w:t>
            </w:r>
          </w:p>
        </w:tc>
        <w:tc>
          <w:tcPr>
            <w:tcW w:w="995" w:type="dxa"/>
          </w:tcPr>
          <w:p w14:paraId="45BEA271" w14:textId="77777777" w:rsidR="00D170E5" w:rsidRPr="002B55E9" w:rsidRDefault="00EF27AD">
            <w:pPr>
              <w:pStyle w:val="lgy-"/>
            </w:pPr>
            <w:r w:rsidRPr="002B55E9">
              <w:rPr>
                <w:rFonts w:eastAsia="宋体" w:hint="eastAsia"/>
              </w:rPr>
              <w:t>≤</w:t>
            </w:r>
            <w:r w:rsidRPr="002B55E9">
              <w:rPr>
                <w:rFonts w:eastAsia="宋体"/>
              </w:rPr>
              <w:t>8</w:t>
            </w:r>
          </w:p>
        </w:tc>
        <w:tc>
          <w:tcPr>
            <w:tcW w:w="996" w:type="dxa"/>
          </w:tcPr>
          <w:p w14:paraId="3D6AAB0F" w14:textId="77777777" w:rsidR="00D170E5" w:rsidRPr="002B55E9" w:rsidRDefault="00EF27AD">
            <w:pPr>
              <w:pStyle w:val="lgy-"/>
            </w:pPr>
            <w:r w:rsidRPr="002B55E9">
              <w:rPr>
                <w:rFonts w:eastAsia="宋体" w:hint="eastAsia"/>
              </w:rPr>
              <w:t>≤</w:t>
            </w:r>
            <w:r w:rsidRPr="002B55E9">
              <w:rPr>
                <w:rFonts w:eastAsia="宋体"/>
              </w:rPr>
              <w:t>15</w:t>
            </w:r>
          </w:p>
        </w:tc>
        <w:tc>
          <w:tcPr>
            <w:tcW w:w="1104" w:type="dxa"/>
          </w:tcPr>
          <w:p w14:paraId="40312867" w14:textId="77777777" w:rsidR="00D170E5" w:rsidRPr="002B55E9" w:rsidRDefault="00EF27AD">
            <w:pPr>
              <w:pStyle w:val="lgy-"/>
              <w:rPr>
                <w:rFonts w:eastAsia="宋体"/>
              </w:rPr>
            </w:pPr>
            <w:r w:rsidRPr="002B55E9">
              <w:rPr>
                <w:rFonts w:eastAsia="宋体" w:hint="eastAsia"/>
              </w:rPr>
              <w:t>≤</w:t>
            </w:r>
            <w:r w:rsidRPr="002B55E9">
              <w:rPr>
                <w:rFonts w:eastAsia="宋体"/>
              </w:rPr>
              <w:t>0.5</w:t>
            </w:r>
          </w:p>
        </w:tc>
      </w:tr>
      <w:tr w:rsidR="002B55E9" w:rsidRPr="002B55E9" w14:paraId="51ED98A0" w14:textId="77777777" w:rsidTr="00EF27AD">
        <w:trPr>
          <w:trHeight w:val="283"/>
        </w:trPr>
        <w:tc>
          <w:tcPr>
            <w:tcW w:w="2419" w:type="dxa"/>
          </w:tcPr>
          <w:p w14:paraId="31EEB028" w14:textId="77777777" w:rsidR="00D170E5" w:rsidRPr="002B55E9" w:rsidRDefault="00EF27AD">
            <w:pPr>
              <w:pStyle w:val="lgy-"/>
            </w:pPr>
            <w:r w:rsidRPr="002B55E9">
              <w:rPr>
                <w:rFonts w:eastAsia="宋体" w:hint="eastAsia"/>
              </w:rPr>
              <w:t>污染物去除率（</w:t>
            </w:r>
            <w:r w:rsidRPr="002B55E9">
              <w:rPr>
                <w:rFonts w:eastAsia="宋体"/>
              </w:rPr>
              <w:t>%</w:t>
            </w:r>
            <w:r w:rsidRPr="002B55E9">
              <w:rPr>
                <w:rFonts w:eastAsia="宋体" w:hint="eastAsia"/>
              </w:rPr>
              <w:t>）</w:t>
            </w:r>
          </w:p>
        </w:tc>
        <w:tc>
          <w:tcPr>
            <w:tcW w:w="995" w:type="dxa"/>
          </w:tcPr>
          <w:p w14:paraId="2CE8BA0F" w14:textId="77777777" w:rsidR="00D170E5" w:rsidRPr="002B55E9" w:rsidRDefault="00EF27AD">
            <w:pPr>
              <w:pStyle w:val="lgy-"/>
            </w:pPr>
            <w:r w:rsidRPr="002B55E9">
              <w:rPr>
                <w:rFonts w:eastAsia="宋体" w:hint="eastAsia"/>
              </w:rPr>
              <w:t>≥</w:t>
            </w:r>
            <w:r w:rsidRPr="002B55E9">
              <w:rPr>
                <w:rFonts w:eastAsia="宋体"/>
              </w:rPr>
              <w:t>90</w:t>
            </w:r>
          </w:p>
        </w:tc>
        <w:tc>
          <w:tcPr>
            <w:tcW w:w="1137" w:type="dxa"/>
          </w:tcPr>
          <w:p w14:paraId="7736AEE2" w14:textId="77777777" w:rsidR="00D170E5" w:rsidRPr="002B55E9" w:rsidRDefault="00EF27AD">
            <w:pPr>
              <w:pStyle w:val="lgy-"/>
            </w:pPr>
            <w:r w:rsidRPr="002B55E9">
              <w:rPr>
                <w:rFonts w:eastAsia="宋体" w:hint="eastAsia"/>
              </w:rPr>
              <w:t>≥</w:t>
            </w:r>
            <w:r w:rsidRPr="002B55E9">
              <w:rPr>
                <w:rFonts w:eastAsia="宋体"/>
              </w:rPr>
              <w:t>75</w:t>
            </w:r>
          </w:p>
        </w:tc>
        <w:tc>
          <w:tcPr>
            <w:tcW w:w="1137" w:type="dxa"/>
          </w:tcPr>
          <w:p w14:paraId="07E0015A" w14:textId="77777777" w:rsidR="00D170E5" w:rsidRPr="002B55E9" w:rsidRDefault="00EF27AD">
            <w:pPr>
              <w:pStyle w:val="lgy-"/>
            </w:pPr>
            <w:r w:rsidRPr="002B55E9">
              <w:rPr>
                <w:rFonts w:eastAsia="宋体" w:hint="eastAsia"/>
              </w:rPr>
              <w:t>≥</w:t>
            </w:r>
            <w:r w:rsidRPr="002B55E9">
              <w:rPr>
                <w:rFonts w:eastAsia="宋体"/>
              </w:rPr>
              <w:t>95.4</w:t>
            </w:r>
          </w:p>
        </w:tc>
        <w:tc>
          <w:tcPr>
            <w:tcW w:w="854" w:type="dxa"/>
          </w:tcPr>
          <w:p w14:paraId="37A086E1" w14:textId="77777777" w:rsidR="00D170E5" w:rsidRPr="002B55E9" w:rsidRDefault="00EF27AD">
            <w:pPr>
              <w:pStyle w:val="lgy-"/>
            </w:pPr>
            <w:r w:rsidRPr="002B55E9">
              <w:rPr>
                <w:rFonts w:eastAsia="宋体" w:hint="eastAsia"/>
              </w:rPr>
              <w:t>≥</w:t>
            </w:r>
            <w:r w:rsidRPr="002B55E9">
              <w:rPr>
                <w:rFonts w:eastAsia="宋体"/>
              </w:rPr>
              <w:t>80</w:t>
            </w:r>
          </w:p>
        </w:tc>
        <w:tc>
          <w:tcPr>
            <w:tcW w:w="995" w:type="dxa"/>
          </w:tcPr>
          <w:p w14:paraId="24632D86" w14:textId="77777777" w:rsidR="00D170E5" w:rsidRPr="002B55E9" w:rsidRDefault="00EF27AD">
            <w:pPr>
              <w:pStyle w:val="lgy-"/>
            </w:pPr>
            <w:r w:rsidRPr="002B55E9">
              <w:rPr>
                <w:rFonts w:eastAsia="宋体" w:hint="eastAsia"/>
              </w:rPr>
              <w:t>≥</w:t>
            </w:r>
            <w:r w:rsidRPr="002B55E9">
              <w:rPr>
                <w:rFonts w:eastAsia="宋体"/>
              </w:rPr>
              <w:t>68</w:t>
            </w:r>
          </w:p>
        </w:tc>
        <w:tc>
          <w:tcPr>
            <w:tcW w:w="996" w:type="dxa"/>
          </w:tcPr>
          <w:p w14:paraId="0BD6219C" w14:textId="77777777" w:rsidR="00D170E5" w:rsidRPr="002B55E9" w:rsidRDefault="00EF27AD">
            <w:pPr>
              <w:pStyle w:val="lgy-"/>
            </w:pPr>
            <w:r w:rsidRPr="002B55E9">
              <w:rPr>
                <w:rFonts w:eastAsia="宋体" w:hint="eastAsia"/>
              </w:rPr>
              <w:t>≥</w:t>
            </w:r>
            <w:r w:rsidRPr="002B55E9">
              <w:rPr>
                <w:rFonts w:eastAsia="宋体"/>
              </w:rPr>
              <w:t>57</w:t>
            </w:r>
          </w:p>
        </w:tc>
        <w:tc>
          <w:tcPr>
            <w:tcW w:w="1104" w:type="dxa"/>
          </w:tcPr>
          <w:p w14:paraId="30D40C6E" w14:textId="77777777" w:rsidR="00D170E5" w:rsidRPr="002B55E9" w:rsidRDefault="00EF27AD">
            <w:pPr>
              <w:pStyle w:val="lgy-"/>
              <w:rPr>
                <w:rFonts w:eastAsia="宋体"/>
              </w:rPr>
            </w:pPr>
            <w:r w:rsidRPr="002B55E9">
              <w:rPr>
                <w:rFonts w:eastAsia="宋体" w:hint="eastAsia"/>
              </w:rPr>
              <w:t>≥</w:t>
            </w:r>
            <w:r w:rsidRPr="002B55E9">
              <w:rPr>
                <w:rFonts w:eastAsia="宋体"/>
              </w:rPr>
              <w:t>83</w:t>
            </w:r>
          </w:p>
        </w:tc>
      </w:tr>
    </w:tbl>
    <w:p w14:paraId="2305029A" w14:textId="77777777" w:rsidR="00D170E5" w:rsidRPr="002B55E9" w:rsidRDefault="00EF27AD">
      <w:pPr>
        <w:pStyle w:val="affff7"/>
        <w:snapToGrid w:val="0"/>
        <w:spacing w:after="0"/>
      </w:pPr>
      <w:r w:rsidRPr="002B55E9">
        <w:rPr>
          <w:rFonts w:hint="eastAsia"/>
        </w:rPr>
        <w:t>（</w:t>
      </w:r>
      <w:r w:rsidRPr="002B55E9">
        <w:rPr>
          <w:rFonts w:hint="eastAsia"/>
        </w:rPr>
        <w:t>2</w:t>
      </w:r>
      <w:r w:rsidRPr="002B55E9">
        <w:rPr>
          <w:rFonts w:hint="eastAsia"/>
        </w:rPr>
        <w:t>）本项目</w:t>
      </w:r>
      <w:r w:rsidRPr="002B55E9">
        <w:t>依托东西湖污水处理厂的可行性</w:t>
      </w:r>
    </w:p>
    <w:p w14:paraId="12418492" w14:textId="77777777" w:rsidR="00D170E5" w:rsidRPr="002B55E9" w:rsidRDefault="00EF27AD">
      <w:pPr>
        <w:pStyle w:val="affff7"/>
        <w:snapToGrid w:val="0"/>
        <w:spacing w:after="0"/>
      </w:pPr>
      <w:r w:rsidRPr="002B55E9">
        <w:rPr>
          <w:rFonts w:hint="eastAsia"/>
        </w:rPr>
        <w:t>①</w:t>
      </w:r>
      <w:r w:rsidRPr="002B55E9">
        <w:t>纳管可行性</w:t>
      </w:r>
    </w:p>
    <w:p w14:paraId="76879879" w14:textId="77777777" w:rsidR="00D170E5" w:rsidRPr="002B55E9" w:rsidRDefault="00EF27AD">
      <w:pPr>
        <w:pStyle w:val="affff7"/>
        <w:snapToGrid w:val="0"/>
        <w:spacing w:after="0"/>
      </w:pPr>
      <w:r w:rsidRPr="002B55E9">
        <w:t>项目所在地位于东西湖</w:t>
      </w:r>
      <w:r w:rsidRPr="002B55E9">
        <w:rPr>
          <w:rFonts w:hint="eastAsia"/>
        </w:rPr>
        <w:t>区</w:t>
      </w:r>
      <w:r w:rsidRPr="002B55E9">
        <w:t>污水处理厂服务范围内，</w:t>
      </w:r>
      <w:r w:rsidRPr="002B55E9">
        <w:rPr>
          <w:rFonts w:hint="eastAsia"/>
        </w:rPr>
        <w:t>周边</w:t>
      </w:r>
      <w:r w:rsidRPr="002B55E9">
        <w:t>污水管网</w:t>
      </w:r>
      <w:r w:rsidRPr="002B55E9">
        <w:rPr>
          <w:rFonts w:hint="eastAsia"/>
        </w:rPr>
        <w:t>已建成</w:t>
      </w:r>
      <w:r w:rsidRPr="002B55E9">
        <w:t>，废水经收集后由市政污水管网汇入东西湖污水处理厂，本项目废水从收集</w:t>
      </w:r>
      <w:r w:rsidRPr="002B55E9">
        <w:rPr>
          <w:rFonts w:hint="eastAsia"/>
        </w:rPr>
        <w:t>途径</w:t>
      </w:r>
      <w:r w:rsidRPr="002B55E9">
        <w:t>方面分析可行</w:t>
      </w:r>
      <w:r w:rsidRPr="002B55E9">
        <w:rPr>
          <w:rFonts w:hint="eastAsia"/>
        </w:rPr>
        <w:t>。</w:t>
      </w:r>
    </w:p>
    <w:p w14:paraId="4AF14614" w14:textId="77777777" w:rsidR="00D170E5" w:rsidRPr="002B55E9" w:rsidRDefault="00EF27AD">
      <w:pPr>
        <w:pStyle w:val="affff7"/>
        <w:snapToGrid w:val="0"/>
        <w:spacing w:after="0"/>
      </w:pPr>
      <w:r w:rsidRPr="002B55E9">
        <w:rPr>
          <w:rFonts w:hint="eastAsia"/>
        </w:rPr>
        <w:t>②</w:t>
      </w:r>
      <w:r w:rsidRPr="002B55E9">
        <w:t>容量可行性</w:t>
      </w:r>
    </w:p>
    <w:p w14:paraId="251A4B4D" w14:textId="5E0D7F82" w:rsidR="00D170E5" w:rsidRPr="002B55E9" w:rsidRDefault="00EF27AD">
      <w:pPr>
        <w:pStyle w:val="affff7"/>
        <w:snapToGrid w:val="0"/>
        <w:spacing w:after="0"/>
      </w:pPr>
      <w:r w:rsidRPr="002B55E9">
        <w:rPr>
          <w:rFonts w:hint="eastAsia"/>
        </w:rPr>
        <w:t>东西湖区</w:t>
      </w:r>
      <w:r w:rsidRPr="002B55E9">
        <w:t>污水</w:t>
      </w:r>
      <w:r w:rsidRPr="002B55E9">
        <w:rPr>
          <w:rFonts w:hint="eastAsia"/>
        </w:rPr>
        <w:t>处理厂现状</w:t>
      </w:r>
      <w:r w:rsidRPr="002B55E9">
        <w:t>处理规模为</w:t>
      </w:r>
      <w:r w:rsidRPr="002B55E9">
        <w:rPr>
          <w:rFonts w:hint="eastAsia"/>
        </w:rPr>
        <w:t>10</w:t>
      </w:r>
      <w:r w:rsidRPr="002B55E9">
        <w:rPr>
          <w:rFonts w:hint="eastAsia"/>
        </w:rPr>
        <w:t>万吨</w:t>
      </w:r>
      <w:r w:rsidRPr="002B55E9">
        <w:rPr>
          <w:rFonts w:hint="eastAsia"/>
        </w:rPr>
        <w:t>/</w:t>
      </w:r>
      <w:r w:rsidRPr="002B55E9">
        <w:t>d</w:t>
      </w:r>
      <w:r w:rsidRPr="002B55E9">
        <w:t>，</w:t>
      </w:r>
      <w:r w:rsidR="00EC264F" w:rsidRPr="002B55E9">
        <w:rPr>
          <w:rFonts w:hint="eastAsia"/>
        </w:rPr>
        <w:t>根据《新沟镇街食品医药用地板块总体规划环境影响报告书》（报批稿），污水处理厂</w:t>
      </w:r>
      <w:r w:rsidRPr="002B55E9">
        <w:t>现状处理</w:t>
      </w:r>
      <w:r w:rsidR="00EC264F" w:rsidRPr="002B55E9">
        <w:rPr>
          <w:rFonts w:hint="eastAsia"/>
        </w:rPr>
        <w:t>水</w:t>
      </w:r>
      <w:r w:rsidRPr="002B55E9">
        <w:t>量为</w:t>
      </w:r>
      <w:r w:rsidRPr="002B55E9">
        <w:rPr>
          <w:rFonts w:hint="eastAsia"/>
        </w:rPr>
        <w:t>7.67</w:t>
      </w:r>
      <w:r w:rsidRPr="002B55E9">
        <w:rPr>
          <w:rFonts w:hint="eastAsia"/>
        </w:rPr>
        <w:t>万吨</w:t>
      </w:r>
      <w:r w:rsidRPr="002B55E9">
        <w:rPr>
          <w:rFonts w:hint="eastAsia"/>
        </w:rPr>
        <w:t>/</w:t>
      </w:r>
      <w:r w:rsidRPr="002B55E9">
        <w:t>d</w:t>
      </w:r>
      <w:r w:rsidRPr="002B55E9">
        <w:rPr>
          <w:rFonts w:hint="eastAsia"/>
        </w:rPr>
        <w:t>，本项目实施后，新增废水排放量约为</w:t>
      </w:r>
      <w:r w:rsidR="0017048E" w:rsidRPr="002B55E9">
        <w:t>696</w:t>
      </w:r>
      <w:r w:rsidRPr="002B55E9">
        <w:rPr>
          <w:rFonts w:hint="eastAsia"/>
        </w:rPr>
        <w:t>m</w:t>
      </w:r>
      <w:r w:rsidRPr="002B55E9">
        <w:rPr>
          <w:vertAlign w:val="superscript"/>
        </w:rPr>
        <w:t>3</w:t>
      </w:r>
      <w:r w:rsidRPr="002B55E9">
        <w:t>/</w:t>
      </w:r>
      <w:r w:rsidRPr="002B55E9">
        <w:rPr>
          <w:rFonts w:hint="eastAsia"/>
        </w:rPr>
        <w:t>d</w:t>
      </w:r>
      <w:r w:rsidRPr="002B55E9">
        <w:rPr>
          <w:rFonts w:hint="eastAsia"/>
        </w:rPr>
        <w:t>，占东西湖污水处理厂剩余</w:t>
      </w:r>
      <w:r w:rsidRPr="002B55E9">
        <w:t>2.33</w:t>
      </w:r>
      <w:r w:rsidRPr="002B55E9">
        <w:rPr>
          <w:rFonts w:hint="eastAsia"/>
        </w:rPr>
        <w:t>万</w:t>
      </w:r>
      <w:r w:rsidRPr="002B55E9">
        <w:rPr>
          <w:rFonts w:hint="eastAsia"/>
        </w:rPr>
        <w:t>m</w:t>
      </w:r>
      <w:r w:rsidRPr="002B55E9">
        <w:rPr>
          <w:rFonts w:hint="eastAsia"/>
          <w:vertAlign w:val="superscript"/>
        </w:rPr>
        <w:t>3</w:t>
      </w:r>
      <w:r w:rsidRPr="002B55E9">
        <w:rPr>
          <w:rFonts w:hint="eastAsia"/>
        </w:rPr>
        <w:t>/d</w:t>
      </w:r>
      <w:r w:rsidRPr="002B55E9">
        <w:rPr>
          <w:rFonts w:hint="eastAsia"/>
        </w:rPr>
        <w:t>处理能力的</w:t>
      </w:r>
      <w:r w:rsidR="0017048E" w:rsidRPr="002B55E9">
        <w:t>2.99</w:t>
      </w:r>
      <w:r w:rsidRPr="002B55E9">
        <w:rPr>
          <w:rFonts w:hint="eastAsia"/>
        </w:rPr>
        <w:t>%</w:t>
      </w:r>
      <w:r w:rsidRPr="002B55E9">
        <w:rPr>
          <w:rFonts w:hint="eastAsia"/>
        </w:rPr>
        <w:t>，因此东西湖污水处理厂具备对本项目排放废水的接纳能力。</w:t>
      </w:r>
    </w:p>
    <w:p w14:paraId="7CC7A13C" w14:textId="77777777" w:rsidR="00D170E5" w:rsidRPr="002B55E9" w:rsidRDefault="00EF27AD">
      <w:pPr>
        <w:pStyle w:val="affff7"/>
        <w:snapToGrid w:val="0"/>
        <w:spacing w:after="0"/>
      </w:pPr>
      <w:r w:rsidRPr="002B55E9">
        <w:rPr>
          <w:rFonts w:hint="eastAsia"/>
        </w:rPr>
        <w:t>③废水</w:t>
      </w:r>
      <w:r w:rsidRPr="002B55E9">
        <w:t>处理水质可行性</w:t>
      </w:r>
    </w:p>
    <w:p w14:paraId="118179F4" w14:textId="34DBC910" w:rsidR="00D170E5" w:rsidRPr="002B55E9" w:rsidRDefault="00EF27AD">
      <w:pPr>
        <w:pStyle w:val="affff7"/>
        <w:snapToGrid w:val="0"/>
        <w:spacing w:after="0"/>
      </w:pPr>
      <w:r w:rsidRPr="002B55E9">
        <w:rPr>
          <w:rFonts w:hint="eastAsia"/>
          <w:szCs w:val="24"/>
        </w:rPr>
        <w:t>根据</w:t>
      </w:r>
      <w:r w:rsidRPr="002B55E9">
        <w:rPr>
          <w:szCs w:val="24"/>
        </w:rPr>
        <w:t>前述工程分析，拟建项目</w:t>
      </w:r>
      <w:r w:rsidR="00EC264F" w:rsidRPr="002B55E9">
        <w:rPr>
          <w:rFonts w:hint="eastAsia"/>
          <w:szCs w:val="24"/>
        </w:rPr>
        <w:t>废水经厂区污水处理站处理达标后，</w:t>
      </w:r>
      <w:r w:rsidRPr="002B55E9">
        <w:rPr>
          <w:szCs w:val="24"/>
        </w:rPr>
        <w:t>总排口废水污染物排放浓度</w:t>
      </w:r>
      <w:r w:rsidRPr="002B55E9">
        <w:rPr>
          <w:rFonts w:hint="eastAsia"/>
          <w:szCs w:val="24"/>
        </w:rPr>
        <w:t>均可满足东西湖污水处理厂污水纳管标准要求，</w:t>
      </w:r>
      <w:r w:rsidR="00EC264F" w:rsidRPr="002B55E9">
        <w:rPr>
          <w:rFonts w:hint="eastAsia"/>
          <w:szCs w:val="24"/>
        </w:rPr>
        <w:t>且项目废水属于食品生产废水，具有可生化性强、无难降解有机物等特点，适用于</w:t>
      </w:r>
      <w:r w:rsidR="00EC264F" w:rsidRPr="002B55E9">
        <w:rPr>
          <w:rFonts w:hint="eastAsia"/>
        </w:rPr>
        <w:t>东西湖污水处理厂的</w:t>
      </w:r>
      <w:r w:rsidR="00EC264F" w:rsidRPr="002B55E9">
        <w:rPr>
          <w:szCs w:val="24"/>
        </w:rPr>
        <w:t>A/A/O</w:t>
      </w:r>
      <w:r w:rsidR="00EC264F" w:rsidRPr="002B55E9">
        <w:rPr>
          <w:rFonts w:hint="eastAsia"/>
          <w:szCs w:val="24"/>
        </w:rPr>
        <w:t>处理</w:t>
      </w:r>
      <w:r w:rsidR="00EC264F" w:rsidRPr="002B55E9">
        <w:rPr>
          <w:szCs w:val="24"/>
        </w:rPr>
        <w:t>工艺</w:t>
      </w:r>
      <w:r w:rsidR="00EC264F" w:rsidRPr="002B55E9">
        <w:rPr>
          <w:rFonts w:hint="eastAsia"/>
          <w:szCs w:val="24"/>
        </w:rPr>
        <w:t>，对污水处理厂的运行可起到改良作用。</w:t>
      </w:r>
      <w:r w:rsidRPr="002B55E9">
        <w:rPr>
          <w:rFonts w:hint="eastAsia"/>
        </w:rPr>
        <w:t>因此，拟建项目废水排入东西湖污水处理厂进行处理从水质上可行。</w:t>
      </w:r>
    </w:p>
    <w:p w14:paraId="2F30428F" w14:textId="77777777" w:rsidR="00D170E5" w:rsidRPr="002B55E9" w:rsidRDefault="00EF27AD">
      <w:pPr>
        <w:pStyle w:val="4"/>
        <w:rPr>
          <w:color w:val="auto"/>
        </w:rPr>
      </w:pPr>
      <w:r w:rsidRPr="002B55E9">
        <w:rPr>
          <w:rFonts w:hint="eastAsia"/>
          <w:color w:val="auto"/>
        </w:rPr>
        <w:t>地表水</w:t>
      </w:r>
      <w:r w:rsidRPr="002B55E9">
        <w:rPr>
          <w:color w:val="auto"/>
        </w:rPr>
        <w:t>环境影响评价结论</w:t>
      </w:r>
    </w:p>
    <w:p w14:paraId="69763546" w14:textId="77777777" w:rsidR="00D170E5" w:rsidRPr="002B55E9" w:rsidRDefault="00EF27AD">
      <w:pPr>
        <w:pStyle w:val="5"/>
      </w:pPr>
      <w:r w:rsidRPr="002B55E9">
        <w:rPr>
          <w:rFonts w:hint="eastAsia"/>
        </w:rPr>
        <w:t>水</w:t>
      </w:r>
      <w:r w:rsidRPr="002B55E9">
        <w:t>环境影响评价结论</w:t>
      </w:r>
    </w:p>
    <w:p w14:paraId="76E6A9A6" w14:textId="00AB3E0F" w:rsidR="00D170E5" w:rsidRPr="002B55E9" w:rsidRDefault="00EF27AD">
      <w:pPr>
        <w:pStyle w:val="aa"/>
        <w:spacing w:after="60"/>
      </w:pPr>
      <w:r w:rsidRPr="002B55E9">
        <w:rPr>
          <w:rFonts w:hint="eastAsia"/>
        </w:rPr>
        <w:t>拟建项目建成后废水日排放量约为</w:t>
      </w:r>
      <w:r w:rsidR="0017048E" w:rsidRPr="002B55E9">
        <w:t>696</w:t>
      </w:r>
      <w:r w:rsidRPr="002B55E9">
        <w:rPr>
          <w:rFonts w:hint="eastAsia"/>
        </w:rPr>
        <w:t>m</w:t>
      </w:r>
      <w:r w:rsidRPr="002B55E9">
        <w:rPr>
          <w:rFonts w:hint="eastAsia"/>
          <w:vertAlign w:val="superscript"/>
        </w:rPr>
        <w:t>3</w:t>
      </w:r>
      <w:r w:rsidRPr="002B55E9">
        <w:rPr>
          <w:rFonts w:hint="eastAsia"/>
        </w:rPr>
        <w:t>，</w:t>
      </w:r>
      <w:r w:rsidRPr="002B55E9">
        <w:t>生活</w:t>
      </w:r>
      <w:r w:rsidRPr="002B55E9">
        <w:rPr>
          <w:rFonts w:hint="eastAsia"/>
        </w:rPr>
        <w:t>污水经</w:t>
      </w:r>
      <w:r w:rsidRPr="002B55E9">
        <w:t>化粪池处理后与</w:t>
      </w:r>
      <w:r w:rsidRPr="002B55E9">
        <w:rPr>
          <w:rFonts w:hint="eastAsia"/>
        </w:rPr>
        <w:t>生产废水一并</w:t>
      </w:r>
      <w:r w:rsidRPr="002B55E9">
        <w:t>排入佛山市海天（</w:t>
      </w:r>
      <w:r w:rsidRPr="002B55E9">
        <w:rPr>
          <w:rFonts w:hint="eastAsia"/>
        </w:rPr>
        <w:t>武汉</w:t>
      </w:r>
      <w:r w:rsidRPr="002B55E9">
        <w:t>）</w:t>
      </w:r>
      <w:r w:rsidRPr="002B55E9">
        <w:rPr>
          <w:rFonts w:hint="eastAsia"/>
        </w:rPr>
        <w:t>调味</w:t>
      </w:r>
      <w:r w:rsidRPr="002B55E9">
        <w:t>食品有限公司厂区污水处理</w:t>
      </w:r>
      <w:r w:rsidRPr="002B55E9">
        <w:rPr>
          <w:rFonts w:hint="eastAsia"/>
        </w:rPr>
        <w:t>站</w:t>
      </w:r>
      <w:r w:rsidRPr="002B55E9">
        <w:t>处理</w:t>
      </w:r>
      <w:r w:rsidRPr="002B55E9">
        <w:rPr>
          <w:rFonts w:hint="eastAsia"/>
        </w:rPr>
        <w:t>达标后</w:t>
      </w:r>
      <w:r w:rsidRPr="002B55E9">
        <w:t>排放，蒸汽冷凝水</w:t>
      </w:r>
      <w:r w:rsidRPr="002B55E9">
        <w:rPr>
          <w:rFonts w:hint="eastAsia"/>
        </w:rPr>
        <w:t>经</w:t>
      </w:r>
      <w:r w:rsidRPr="002B55E9">
        <w:t>专用管道收集后</w:t>
      </w:r>
      <w:r w:rsidRPr="002B55E9">
        <w:rPr>
          <w:rFonts w:hint="eastAsia"/>
        </w:rPr>
        <w:t>接入</w:t>
      </w:r>
      <w:r w:rsidRPr="002B55E9">
        <w:t>佛山市海天（</w:t>
      </w:r>
      <w:r w:rsidRPr="002B55E9">
        <w:rPr>
          <w:rFonts w:hint="eastAsia"/>
        </w:rPr>
        <w:t>武汉</w:t>
      </w:r>
      <w:r w:rsidRPr="002B55E9">
        <w:t>）</w:t>
      </w:r>
      <w:r w:rsidRPr="002B55E9">
        <w:rPr>
          <w:rFonts w:hint="eastAsia"/>
        </w:rPr>
        <w:t>调味</w:t>
      </w:r>
      <w:r w:rsidRPr="002B55E9">
        <w:t>食品有限公司污水总排口</w:t>
      </w:r>
      <w:r w:rsidRPr="002B55E9">
        <w:rPr>
          <w:rFonts w:hint="eastAsia"/>
        </w:rPr>
        <w:t>排放，经市政污水管网</w:t>
      </w:r>
      <w:r w:rsidRPr="002B55E9">
        <w:rPr>
          <w:rFonts w:hint="eastAsia"/>
        </w:rPr>
        <w:lastRenderedPageBreak/>
        <w:t>排至东西湖污水处理厂进行处理，本项目废水从管网衔接、水量、水质上进入东西湖污水处理厂具有可行性，拟建项目废水经东西湖污水处理厂处理后对纳污水体的影响程度已经体现在东西湖污水处理厂处理尾水对纳污水体的影响范围内。</w:t>
      </w:r>
    </w:p>
    <w:p w14:paraId="0A0742BD" w14:textId="77777777" w:rsidR="00D170E5" w:rsidRPr="002B55E9" w:rsidRDefault="00EF27AD">
      <w:pPr>
        <w:pStyle w:val="affff7"/>
        <w:snapToGrid w:val="0"/>
        <w:spacing w:after="0"/>
      </w:pPr>
      <w:r w:rsidRPr="002B55E9">
        <w:rPr>
          <w:rFonts w:hint="eastAsia"/>
        </w:rPr>
        <w:t>综上所述，地表水环境影响可接受。</w:t>
      </w:r>
    </w:p>
    <w:p w14:paraId="539802D5" w14:textId="77777777" w:rsidR="00D170E5" w:rsidRPr="002B55E9" w:rsidRDefault="00EF27AD">
      <w:pPr>
        <w:pStyle w:val="5"/>
      </w:pPr>
      <w:r w:rsidRPr="002B55E9">
        <w:rPr>
          <w:rFonts w:hint="eastAsia"/>
        </w:rPr>
        <w:t>废水</w:t>
      </w:r>
      <w:r w:rsidRPr="002B55E9">
        <w:t>污染物排放量</w:t>
      </w:r>
    </w:p>
    <w:p w14:paraId="09B18BBC" w14:textId="77777777" w:rsidR="00D170E5" w:rsidRPr="002B55E9" w:rsidRDefault="00EF27AD">
      <w:pPr>
        <w:pStyle w:val="aa"/>
        <w:spacing w:after="60"/>
      </w:pPr>
      <w:r w:rsidRPr="002B55E9">
        <w:rPr>
          <w:rFonts w:hint="eastAsia"/>
        </w:rPr>
        <w:t>拟建项目废水类别、污染物及污染治理设施信息见下表。</w:t>
      </w:r>
    </w:p>
    <w:p w14:paraId="7B4A636A" w14:textId="7A89ED0E" w:rsidR="00D170E5" w:rsidRPr="002B55E9" w:rsidRDefault="00EF27AD">
      <w:pPr>
        <w:jc w:val="center"/>
        <w:rPr>
          <w:rFonts w:eastAsia="黑体"/>
          <w:b/>
          <w:sz w:val="24"/>
        </w:rPr>
      </w:pPr>
      <w:r w:rsidRPr="002B55E9">
        <w:rPr>
          <w:rFonts w:eastAsia="黑体" w:hint="eastAsia"/>
          <w:b/>
          <w:sz w:val="24"/>
        </w:rPr>
        <w:t>表</w:t>
      </w:r>
      <w:r w:rsidRPr="002B55E9">
        <w:rPr>
          <w:rFonts w:eastAsia="黑体" w:hint="eastAsia"/>
          <w:b/>
          <w:sz w:val="24"/>
        </w:rPr>
        <w:t>5-3-</w:t>
      </w:r>
      <w:r w:rsidR="008A7CEC" w:rsidRPr="002B55E9">
        <w:rPr>
          <w:rFonts w:eastAsia="黑体"/>
          <w:b/>
          <w:sz w:val="24"/>
        </w:rPr>
        <w:t>9</w:t>
      </w:r>
      <w:r w:rsidRPr="002B55E9">
        <w:rPr>
          <w:rFonts w:eastAsia="黑体" w:hint="eastAsia"/>
          <w:b/>
          <w:sz w:val="24"/>
        </w:rPr>
        <w:t xml:space="preserve">  </w:t>
      </w:r>
      <w:r w:rsidRPr="002B55E9">
        <w:rPr>
          <w:rFonts w:eastAsia="黑体" w:hint="eastAsia"/>
          <w:b/>
          <w:sz w:val="24"/>
        </w:rPr>
        <w:t>拟建项目废水类别、污染物及污染治理设施信息表</w:t>
      </w:r>
    </w:p>
    <w:tbl>
      <w:tblPr>
        <w:tblW w:w="963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54"/>
        <w:gridCol w:w="793"/>
        <w:gridCol w:w="1034"/>
        <w:gridCol w:w="713"/>
        <w:gridCol w:w="1137"/>
        <w:gridCol w:w="850"/>
        <w:gridCol w:w="854"/>
        <w:gridCol w:w="854"/>
        <w:gridCol w:w="706"/>
        <w:gridCol w:w="827"/>
        <w:gridCol w:w="1415"/>
      </w:tblGrid>
      <w:tr w:rsidR="002B55E9" w:rsidRPr="002B55E9" w14:paraId="105C6E4D" w14:textId="77777777">
        <w:trPr>
          <w:trHeight w:val="284"/>
          <w:jc w:val="center"/>
        </w:trPr>
        <w:tc>
          <w:tcPr>
            <w:tcW w:w="454" w:type="dxa"/>
            <w:vMerge w:val="restart"/>
            <w:tcBorders>
              <w:top w:val="single" w:sz="12" w:space="0" w:color="auto"/>
            </w:tcBorders>
            <w:vAlign w:val="center"/>
          </w:tcPr>
          <w:p w14:paraId="6FD4DB95" w14:textId="77777777" w:rsidR="00D170E5" w:rsidRPr="002B55E9" w:rsidRDefault="00EF27AD">
            <w:pPr>
              <w:widowControl/>
              <w:adjustRightInd w:val="0"/>
              <w:snapToGrid w:val="0"/>
              <w:jc w:val="center"/>
              <w:rPr>
                <w:sz w:val="18"/>
                <w:szCs w:val="18"/>
              </w:rPr>
            </w:pPr>
            <w:r w:rsidRPr="002B55E9">
              <w:rPr>
                <w:rFonts w:hint="eastAsia"/>
                <w:sz w:val="18"/>
                <w:szCs w:val="18"/>
                <w:lang w:bidi="ar"/>
              </w:rPr>
              <w:t>序号</w:t>
            </w:r>
          </w:p>
        </w:tc>
        <w:tc>
          <w:tcPr>
            <w:tcW w:w="793" w:type="dxa"/>
            <w:vMerge w:val="restart"/>
            <w:tcBorders>
              <w:top w:val="single" w:sz="12" w:space="0" w:color="auto"/>
            </w:tcBorders>
            <w:vAlign w:val="center"/>
          </w:tcPr>
          <w:p w14:paraId="53F8C98E" w14:textId="77777777" w:rsidR="00D170E5" w:rsidRPr="002B55E9" w:rsidRDefault="00EF27AD">
            <w:pPr>
              <w:widowControl/>
              <w:adjustRightInd w:val="0"/>
              <w:snapToGrid w:val="0"/>
              <w:jc w:val="center"/>
              <w:rPr>
                <w:sz w:val="18"/>
                <w:szCs w:val="18"/>
              </w:rPr>
            </w:pPr>
            <w:r w:rsidRPr="002B55E9">
              <w:rPr>
                <w:rFonts w:hint="eastAsia"/>
                <w:sz w:val="18"/>
                <w:szCs w:val="18"/>
                <w:lang w:bidi="ar"/>
              </w:rPr>
              <w:t>废水</w:t>
            </w:r>
          </w:p>
          <w:p w14:paraId="0A59321E" w14:textId="77777777" w:rsidR="00D170E5" w:rsidRPr="002B55E9" w:rsidRDefault="00EF27AD">
            <w:pPr>
              <w:widowControl/>
              <w:adjustRightInd w:val="0"/>
              <w:snapToGrid w:val="0"/>
              <w:jc w:val="center"/>
              <w:rPr>
                <w:sz w:val="18"/>
                <w:szCs w:val="18"/>
              </w:rPr>
            </w:pPr>
            <w:r w:rsidRPr="002B55E9">
              <w:rPr>
                <w:rFonts w:hint="eastAsia"/>
                <w:sz w:val="18"/>
                <w:szCs w:val="18"/>
                <w:lang w:bidi="ar"/>
              </w:rPr>
              <w:t>类别</w:t>
            </w:r>
          </w:p>
        </w:tc>
        <w:tc>
          <w:tcPr>
            <w:tcW w:w="1034" w:type="dxa"/>
            <w:vMerge w:val="restart"/>
            <w:tcBorders>
              <w:top w:val="single" w:sz="12" w:space="0" w:color="auto"/>
            </w:tcBorders>
            <w:vAlign w:val="center"/>
          </w:tcPr>
          <w:p w14:paraId="1AE46119" w14:textId="77777777" w:rsidR="00D170E5" w:rsidRPr="002B55E9" w:rsidRDefault="00EF27AD">
            <w:pPr>
              <w:widowControl/>
              <w:adjustRightInd w:val="0"/>
              <w:snapToGrid w:val="0"/>
              <w:jc w:val="center"/>
              <w:rPr>
                <w:sz w:val="18"/>
                <w:szCs w:val="18"/>
              </w:rPr>
            </w:pPr>
            <w:r w:rsidRPr="002B55E9">
              <w:rPr>
                <w:rFonts w:hint="eastAsia"/>
                <w:sz w:val="18"/>
                <w:szCs w:val="18"/>
                <w:lang w:bidi="ar"/>
              </w:rPr>
              <w:t>污染物</w:t>
            </w:r>
          </w:p>
          <w:p w14:paraId="466DB866" w14:textId="77777777" w:rsidR="00D170E5" w:rsidRPr="002B55E9" w:rsidRDefault="00EF27AD">
            <w:pPr>
              <w:widowControl/>
              <w:adjustRightInd w:val="0"/>
              <w:snapToGrid w:val="0"/>
              <w:jc w:val="center"/>
              <w:rPr>
                <w:sz w:val="18"/>
                <w:szCs w:val="18"/>
              </w:rPr>
            </w:pPr>
            <w:r w:rsidRPr="002B55E9">
              <w:rPr>
                <w:rFonts w:hint="eastAsia"/>
                <w:sz w:val="18"/>
                <w:szCs w:val="18"/>
                <w:lang w:bidi="ar"/>
              </w:rPr>
              <w:t>种类</w:t>
            </w:r>
          </w:p>
        </w:tc>
        <w:tc>
          <w:tcPr>
            <w:tcW w:w="713" w:type="dxa"/>
            <w:vMerge w:val="restart"/>
            <w:tcBorders>
              <w:top w:val="single" w:sz="12" w:space="0" w:color="auto"/>
            </w:tcBorders>
            <w:vAlign w:val="center"/>
          </w:tcPr>
          <w:p w14:paraId="7A48035B" w14:textId="77777777" w:rsidR="00D170E5" w:rsidRPr="002B55E9" w:rsidRDefault="00EF27AD">
            <w:pPr>
              <w:widowControl/>
              <w:adjustRightInd w:val="0"/>
              <w:snapToGrid w:val="0"/>
              <w:jc w:val="center"/>
              <w:rPr>
                <w:sz w:val="18"/>
                <w:szCs w:val="18"/>
              </w:rPr>
            </w:pPr>
            <w:r w:rsidRPr="002B55E9">
              <w:rPr>
                <w:rFonts w:hint="eastAsia"/>
                <w:sz w:val="18"/>
                <w:szCs w:val="18"/>
                <w:lang w:bidi="ar"/>
              </w:rPr>
              <w:t>排放</w:t>
            </w:r>
          </w:p>
          <w:p w14:paraId="37B5C640" w14:textId="77777777" w:rsidR="00D170E5" w:rsidRPr="002B55E9" w:rsidRDefault="00EF27AD">
            <w:pPr>
              <w:widowControl/>
              <w:adjustRightInd w:val="0"/>
              <w:snapToGrid w:val="0"/>
              <w:jc w:val="center"/>
              <w:rPr>
                <w:sz w:val="18"/>
                <w:szCs w:val="18"/>
              </w:rPr>
            </w:pPr>
            <w:r w:rsidRPr="002B55E9">
              <w:rPr>
                <w:rFonts w:hint="eastAsia"/>
                <w:sz w:val="18"/>
                <w:szCs w:val="18"/>
                <w:lang w:bidi="ar"/>
              </w:rPr>
              <w:t>去向</w:t>
            </w:r>
          </w:p>
        </w:tc>
        <w:tc>
          <w:tcPr>
            <w:tcW w:w="1137" w:type="dxa"/>
            <w:vMerge w:val="restart"/>
            <w:tcBorders>
              <w:top w:val="single" w:sz="12" w:space="0" w:color="auto"/>
            </w:tcBorders>
            <w:vAlign w:val="center"/>
          </w:tcPr>
          <w:p w14:paraId="53835965" w14:textId="77777777" w:rsidR="00D170E5" w:rsidRPr="002B55E9" w:rsidRDefault="00EF27AD">
            <w:pPr>
              <w:widowControl/>
              <w:adjustRightInd w:val="0"/>
              <w:snapToGrid w:val="0"/>
              <w:jc w:val="center"/>
              <w:rPr>
                <w:sz w:val="18"/>
                <w:szCs w:val="18"/>
              </w:rPr>
            </w:pPr>
            <w:r w:rsidRPr="002B55E9">
              <w:rPr>
                <w:rFonts w:hint="eastAsia"/>
                <w:sz w:val="18"/>
                <w:szCs w:val="18"/>
                <w:lang w:bidi="ar"/>
              </w:rPr>
              <w:t>排放规律</w:t>
            </w:r>
          </w:p>
        </w:tc>
        <w:tc>
          <w:tcPr>
            <w:tcW w:w="2558" w:type="dxa"/>
            <w:gridSpan w:val="3"/>
            <w:tcBorders>
              <w:top w:val="single" w:sz="12" w:space="0" w:color="auto"/>
            </w:tcBorders>
            <w:vAlign w:val="center"/>
          </w:tcPr>
          <w:p w14:paraId="710950DA" w14:textId="77777777" w:rsidR="00D170E5" w:rsidRPr="002B55E9" w:rsidRDefault="00EF27AD">
            <w:pPr>
              <w:widowControl/>
              <w:adjustRightInd w:val="0"/>
              <w:snapToGrid w:val="0"/>
              <w:jc w:val="center"/>
              <w:rPr>
                <w:sz w:val="18"/>
                <w:szCs w:val="18"/>
              </w:rPr>
            </w:pPr>
            <w:r w:rsidRPr="002B55E9">
              <w:rPr>
                <w:rFonts w:hint="eastAsia"/>
                <w:sz w:val="18"/>
                <w:szCs w:val="18"/>
                <w:lang w:bidi="ar"/>
              </w:rPr>
              <w:t>污染治理设施</w:t>
            </w:r>
          </w:p>
        </w:tc>
        <w:tc>
          <w:tcPr>
            <w:tcW w:w="706" w:type="dxa"/>
            <w:vMerge w:val="restart"/>
            <w:tcBorders>
              <w:top w:val="single" w:sz="12" w:space="0" w:color="auto"/>
            </w:tcBorders>
            <w:vAlign w:val="center"/>
          </w:tcPr>
          <w:p w14:paraId="0D6FC13F" w14:textId="77777777" w:rsidR="00D170E5" w:rsidRPr="002B55E9" w:rsidRDefault="00EF27AD">
            <w:pPr>
              <w:widowControl/>
              <w:adjustRightInd w:val="0"/>
              <w:snapToGrid w:val="0"/>
              <w:jc w:val="center"/>
              <w:rPr>
                <w:sz w:val="18"/>
                <w:szCs w:val="18"/>
              </w:rPr>
            </w:pPr>
            <w:r w:rsidRPr="002B55E9">
              <w:rPr>
                <w:rFonts w:hint="eastAsia"/>
                <w:sz w:val="18"/>
                <w:szCs w:val="18"/>
                <w:lang w:bidi="ar"/>
              </w:rPr>
              <w:t>排放口编号</w:t>
            </w:r>
          </w:p>
        </w:tc>
        <w:tc>
          <w:tcPr>
            <w:tcW w:w="827" w:type="dxa"/>
            <w:vMerge w:val="restart"/>
            <w:tcBorders>
              <w:top w:val="single" w:sz="12" w:space="0" w:color="auto"/>
            </w:tcBorders>
            <w:vAlign w:val="center"/>
          </w:tcPr>
          <w:p w14:paraId="13553FB8" w14:textId="77777777" w:rsidR="00D170E5" w:rsidRPr="002B55E9" w:rsidRDefault="00EF27AD">
            <w:pPr>
              <w:widowControl/>
              <w:adjustRightInd w:val="0"/>
              <w:snapToGrid w:val="0"/>
              <w:jc w:val="center"/>
              <w:rPr>
                <w:sz w:val="18"/>
                <w:szCs w:val="18"/>
              </w:rPr>
            </w:pPr>
            <w:r w:rsidRPr="002B55E9">
              <w:rPr>
                <w:rFonts w:hint="eastAsia"/>
                <w:sz w:val="18"/>
                <w:szCs w:val="18"/>
                <w:lang w:bidi="ar"/>
              </w:rPr>
              <w:t>排放口设置是否符合要求</w:t>
            </w:r>
          </w:p>
        </w:tc>
        <w:tc>
          <w:tcPr>
            <w:tcW w:w="1415" w:type="dxa"/>
            <w:vMerge w:val="restart"/>
            <w:tcBorders>
              <w:top w:val="single" w:sz="12" w:space="0" w:color="auto"/>
            </w:tcBorders>
            <w:vAlign w:val="center"/>
          </w:tcPr>
          <w:p w14:paraId="487A214D" w14:textId="77777777" w:rsidR="00D170E5" w:rsidRPr="002B55E9" w:rsidRDefault="00EF27AD">
            <w:pPr>
              <w:widowControl/>
              <w:adjustRightInd w:val="0"/>
              <w:snapToGrid w:val="0"/>
              <w:jc w:val="center"/>
              <w:rPr>
                <w:sz w:val="18"/>
                <w:szCs w:val="18"/>
              </w:rPr>
            </w:pPr>
            <w:r w:rsidRPr="002B55E9">
              <w:rPr>
                <w:rFonts w:hint="eastAsia"/>
                <w:sz w:val="18"/>
                <w:szCs w:val="18"/>
                <w:lang w:bidi="ar"/>
              </w:rPr>
              <w:t>排放口类型</w:t>
            </w:r>
          </w:p>
        </w:tc>
      </w:tr>
      <w:tr w:rsidR="002B55E9" w:rsidRPr="002B55E9" w14:paraId="2AD9D157" w14:textId="77777777">
        <w:trPr>
          <w:trHeight w:val="284"/>
          <w:jc w:val="center"/>
        </w:trPr>
        <w:tc>
          <w:tcPr>
            <w:tcW w:w="454" w:type="dxa"/>
            <w:vMerge/>
            <w:tcBorders>
              <w:bottom w:val="single" w:sz="12" w:space="0" w:color="auto"/>
            </w:tcBorders>
            <w:vAlign w:val="center"/>
          </w:tcPr>
          <w:p w14:paraId="450045F5" w14:textId="77777777" w:rsidR="00D170E5" w:rsidRPr="002B55E9" w:rsidRDefault="00D170E5">
            <w:pPr>
              <w:adjustRightInd w:val="0"/>
              <w:snapToGrid w:val="0"/>
              <w:jc w:val="center"/>
              <w:rPr>
                <w:rFonts w:ascii="Calibri" w:hAnsi="Calibri"/>
                <w:szCs w:val="22"/>
              </w:rPr>
            </w:pPr>
          </w:p>
        </w:tc>
        <w:tc>
          <w:tcPr>
            <w:tcW w:w="793" w:type="dxa"/>
            <w:vMerge/>
            <w:tcBorders>
              <w:bottom w:val="single" w:sz="12" w:space="0" w:color="auto"/>
            </w:tcBorders>
            <w:vAlign w:val="center"/>
          </w:tcPr>
          <w:p w14:paraId="36889482" w14:textId="77777777" w:rsidR="00D170E5" w:rsidRPr="002B55E9" w:rsidRDefault="00D170E5">
            <w:pPr>
              <w:adjustRightInd w:val="0"/>
              <w:snapToGrid w:val="0"/>
              <w:jc w:val="center"/>
              <w:rPr>
                <w:rFonts w:ascii="Calibri" w:hAnsi="Calibri"/>
                <w:szCs w:val="22"/>
              </w:rPr>
            </w:pPr>
          </w:p>
        </w:tc>
        <w:tc>
          <w:tcPr>
            <w:tcW w:w="1034" w:type="dxa"/>
            <w:vMerge/>
            <w:tcBorders>
              <w:bottom w:val="single" w:sz="12" w:space="0" w:color="auto"/>
            </w:tcBorders>
            <w:vAlign w:val="center"/>
          </w:tcPr>
          <w:p w14:paraId="30B60429" w14:textId="77777777" w:rsidR="00D170E5" w:rsidRPr="002B55E9" w:rsidRDefault="00D170E5">
            <w:pPr>
              <w:adjustRightInd w:val="0"/>
              <w:snapToGrid w:val="0"/>
              <w:jc w:val="center"/>
              <w:rPr>
                <w:rFonts w:ascii="Calibri" w:hAnsi="Calibri"/>
                <w:szCs w:val="22"/>
              </w:rPr>
            </w:pPr>
          </w:p>
        </w:tc>
        <w:tc>
          <w:tcPr>
            <w:tcW w:w="713" w:type="dxa"/>
            <w:vMerge/>
            <w:tcBorders>
              <w:bottom w:val="single" w:sz="12" w:space="0" w:color="auto"/>
            </w:tcBorders>
            <w:vAlign w:val="center"/>
          </w:tcPr>
          <w:p w14:paraId="51CA76EE" w14:textId="77777777" w:rsidR="00D170E5" w:rsidRPr="002B55E9" w:rsidRDefault="00D170E5">
            <w:pPr>
              <w:adjustRightInd w:val="0"/>
              <w:snapToGrid w:val="0"/>
              <w:jc w:val="center"/>
              <w:rPr>
                <w:rFonts w:ascii="Calibri" w:hAnsi="Calibri"/>
                <w:szCs w:val="22"/>
              </w:rPr>
            </w:pPr>
          </w:p>
        </w:tc>
        <w:tc>
          <w:tcPr>
            <w:tcW w:w="1137" w:type="dxa"/>
            <w:vMerge/>
            <w:tcBorders>
              <w:bottom w:val="single" w:sz="12" w:space="0" w:color="auto"/>
            </w:tcBorders>
            <w:vAlign w:val="center"/>
          </w:tcPr>
          <w:p w14:paraId="5F4160BA" w14:textId="77777777" w:rsidR="00D170E5" w:rsidRPr="002B55E9" w:rsidRDefault="00D170E5">
            <w:pPr>
              <w:adjustRightInd w:val="0"/>
              <w:snapToGrid w:val="0"/>
              <w:jc w:val="center"/>
              <w:rPr>
                <w:rFonts w:ascii="Calibri" w:hAnsi="Calibri"/>
                <w:szCs w:val="22"/>
              </w:rPr>
            </w:pPr>
          </w:p>
        </w:tc>
        <w:tc>
          <w:tcPr>
            <w:tcW w:w="850" w:type="dxa"/>
            <w:tcBorders>
              <w:bottom w:val="single" w:sz="12" w:space="0" w:color="auto"/>
            </w:tcBorders>
            <w:vAlign w:val="center"/>
          </w:tcPr>
          <w:p w14:paraId="6A28985C" w14:textId="77777777" w:rsidR="00D170E5" w:rsidRPr="002B55E9" w:rsidRDefault="00EF27AD">
            <w:pPr>
              <w:widowControl/>
              <w:adjustRightInd w:val="0"/>
              <w:snapToGrid w:val="0"/>
              <w:jc w:val="center"/>
              <w:rPr>
                <w:sz w:val="18"/>
                <w:szCs w:val="18"/>
              </w:rPr>
            </w:pPr>
            <w:r w:rsidRPr="002B55E9">
              <w:rPr>
                <w:rFonts w:hint="eastAsia"/>
                <w:sz w:val="18"/>
                <w:szCs w:val="18"/>
                <w:lang w:bidi="ar"/>
              </w:rPr>
              <w:t>污染治理设施编号</w:t>
            </w:r>
          </w:p>
        </w:tc>
        <w:tc>
          <w:tcPr>
            <w:tcW w:w="854" w:type="dxa"/>
            <w:tcBorders>
              <w:bottom w:val="single" w:sz="12" w:space="0" w:color="auto"/>
            </w:tcBorders>
            <w:vAlign w:val="center"/>
          </w:tcPr>
          <w:p w14:paraId="3269E4A1" w14:textId="77777777" w:rsidR="00D170E5" w:rsidRPr="002B55E9" w:rsidRDefault="00EF27AD">
            <w:pPr>
              <w:widowControl/>
              <w:adjustRightInd w:val="0"/>
              <w:snapToGrid w:val="0"/>
              <w:jc w:val="center"/>
              <w:rPr>
                <w:sz w:val="18"/>
                <w:szCs w:val="18"/>
              </w:rPr>
            </w:pPr>
            <w:r w:rsidRPr="002B55E9">
              <w:rPr>
                <w:rFonts w:hint="eastAsia"/>
                <w:sz w:val="18"/>
                <w:szCs w:val="18"/>
                <w:lang w:bidi="ar"/>
              </w:rPr>
              <w:t>污染治理设施名称</w:t>
            </w:r>
          </w:p>
        </w:tc>
        <w:tc>
          <w:tcPr>
            <w:tcW w:w="854" w:type="dxa"/>
            <w:tcBorders>
              <w:bottom w:val="single" w:sz="12" w:space="0" w:color="auto"/>
            </w:tcBorders>
            <w:vAlign w:val="center"/>
          </w:tcPr>
          <w:p w14:paraId="2374BAD9" w14:textId="77777777" w:rsidR="00D170E5" w:rsidRPr="002B55E9" w:rsidRDefault="00EF27AD">
            <w:pPr>
              <w:widowControl/>
              <w:adjustRightInd w:val="0"/>
              <w:snapToGrid w:val="0"/>
              <w:jc w:val="center"/>
              <w:rPr>
                <w:sz w:val="18"/>
                <w:szCs w:val="18"/>
              </w:rPr>
            </w:pPr>
            <w:r w:rsidRPr="002B55E9">
              <w:rPr>
                <w:rFonts w:hint="eastAsia"/>
                <w:sz w:val="18"/>
                <w:szCs w:val="18"/>
                <w:lang w:bidi="ar"/>
              </w:rPr>
              <w:t>污染治理设施工艺</w:t>
            </w:r>
          </w:p>
        </w:tc>
        <w:tc>
          <w:tcPr>
            <w:tcW w:w="706" w:type="dxa"/>
            <w:vMerge/>
            <w:tcBorders>
              <w:bottom w:val="single" w:sz="12" w:space="0" w:color="auto"/>
            </w:tcBorders>
            <w:vAlign w:val="center"/>
          </w:tcPr>
          <w:p w14:paraId="5030DFD0" w14:textId="77777777" w:rsidR="00D170E5" w:rsidRPr="002B55E9" w:rsidRDefault="00D170E5">
            <w:pPr>
              <w:adjustRightInd w:val="0"/>
              <w:snapToGrid w:val="0"/>
              <w:jc w:val="center"/>
              <w:rPr>
                <w:rFonts w:ascii="Calibri" w:hAnsi="Calibri"/>
                <w:szCs w:val="22"/>
              </w:rPr>
            </w:pPr>
          </w:p>
        </w:tc>
        <w:tc>
          <w:tcPr>
            <w:tcW w:w="827" w:type="dxa"/>
            <w:vMerge/>
            <w:tcBorders>
              <w:bottom w:val="single" w:sz="12" w:space="0" w:color="auto"/>
            </w:tcBorders>
            <w:vAlign w:val="center"/>
          </w:tcPr>
          <w:p w14:paraId="7E070540" w14:textId="77777777" w:rsidR="00D170E5" w:rsidRPr="002B55E9" w:rsidRDefault="00D170E5">
            <w:pPr>
              <w:adjustRightInd w:val="0"/>
              <w:snapToGrid w:val="0"/>
              <w:jc w:val="center"/>
              <w:rPr>
                <w:rFonts w:ascii="Calibri" w:hAnsi="Calibri"/>
                <w:szCs w:val="22"/>
              </w:rPr>
            </w:pPr>
          </w:p>
        </w:tc>
        <w:tc>
          <w:tcPr>
            <w:tcW w:w="1415" w:type="dxa"/>
            <w:vMerge/>
            <w:tcBorders>
              <w:bottom w:val="single" w:sz="12" w:space="0" w:color="auto"/>
            </w:tcBorders>
            <w:vAlign w:val="center"/>
          </w:tcPr>
          <w:p w14:paraId="6E616E85" w14:textId="77777777" w:rsidR="00D170E5" w:rsidRPr="002B55E9" w:rsidRDefault="00D170E5">
            <w:pPr>
              <w:adjustRightInd w:val="0"/>
              <w:snapToGrid w:val="0"/>
              <w:jc w:val="center"/>
              <w:rPr>
                <w:rFonts w:ascii="Calibri" w:hAnsi="Calibri"/>
                <w:szCs w:val="22"/>
              </w:rPr>
            </w:pPr>
          </w:p>
        </w:tc>
      </w:tr>
      <w:tr w:rsidR="002B55E9" w:rsidRPr="002B55E9" w14:paraId="224D46C9" w14:textId="77777777">
        <w:trPr>
          <w:trHeight w:val="284"/>
          <w:jc w:val="center"/>
        </w:trPr>
        <w:tc>
          <w:tcPr>
            <w:tcW w:w="454" w:type="dxa"/>
            <w:tcBorders>
              <w:top w:val="single" w:sz="12" w:space="0" w:color="auto"/>
              <w:bottom w:val="single" w:sz="12" w:space="0" w:color="auto"/>
            </w:tcBorders>
            <w:vAlign w:val="center"/>
          </w:tcPr>
          <w:p w14:paraId="0140B52D" w14:textId="77777777" w:rsidR="00D170E5" w:rsidRPr="002B55E9" w:rsidRDefault="00EF27AD">
            <w:pPr>
              <w:widowControl/>
              <w:adjustRightInd w:val="0"/>
              <w:snapToGrid w:val="0"/>
              <w:jc w:val="center"/>
              <w:rPr>
                <w:sz w:val="18"/>
                <w:szCs w:val="18"/>
              </w:rPr>
            </w:pPr>
            <w:r w:rsidRPr="002B55E9">
              <w:rPr>
                <w:rFonts w:hint="eastAsia"/>
                <w:sz w:val="18"/>
                <w:szCs w:val="18"/>
                <w:lang w:bidi="ar"/>
              </w:rPr>
              <w:t>1</w:t>
            </w:r>
          </w:p>
        </w:tc>
        <w:tc>
          <w:tcPr>
            <w:tcW w:w="793" w:type="dxa"/>
            <w:tcBorders>
              <w:top w:val="single" w:sz="12" w:space="0" w:color="auto"/>
              <w:bottom w:val="single" w:sz="12" w:space="0" w:color="auto"/>
            </w:tcBorders>
            <w:vAlign w:val="center"/>
          </w:tcPr>
          <w:p w14:paraId="2A73262A" w14:textId="77777777" w:rsidR="00D170E5" w:rsidRPr="002B55E9" w:rsidRDefault="00EF27AD">
            <w:pPr>
              <w:widowControl/>
              <w:adjustRightInd w:val="0"/>
              <w:snapToGrid w:val="0"/>
              <w:jc w:val="center"/>
              <w:textAlignment w:val="center"/>
              <w:rPr>
                <w:sz w:val="18"/>
                <w:szCs w:val="18"/>
              </w:rPr>
            </w:pPr>
            <w:r w:rsidRPr="002B55E9">
              <w:rPr>
                <w:rFonts w:hint="eastAsia"/>
                <w:sz w:val="18"/>
                <w:szCs w:val="18"/>
                <w:lang w:bidi="ar"/>
              </w:rPr>
              <w:t>生产</w:t>
            </w:r>
            <w:r w:rsidRPr="002B55E9">
              <w:rPr>
                <w:sz w:val="18"/>
                <w:szCs w:val="18"/>
                <w:lang w:bidi="ar"/>
              </w:rPr>
              <w:t>废水</w:t>
            </w:r>
            <w:r w:rsidRPr="002B55E9">
              <w:rPr>
                <w:rFonts w:hint="eastAsia"/>
                <w:sz w:val="18"/>
                <w:szCs w:val="18"/>
                <w:lang w:bidi="ar"/>
              </w:rPr>
              <w:t>、生活污水</w:t>
            </w:r>
          </w:p>
        </w:tc>
        <w:tc>
          <w:tcPr>
            <w:tcW w:w="1034" w:type="dxa"/>
            <w:tcBorders>
              <w:top w:val="single" w:sz="12" w:space="0" w:color="auto"/>
              <w:bottom w:val="single" w:sz="12" w:space="0" w:color="auto"/>
            </w:tcBorders>
            <w:vAlign w:val="center"/>
          </w:tcPr>
          <w:p w14:paraId="1E8BD02F" w14:textId="77777777" w:rsidR="00D170E5" w:rsidRPr="002B55E9" w:rsidRDefault="00EF27AD">
            <w:pPr>
              <w:widowControl/>
              <w:adjustRightInd w:val="0"/>
              <w:snapToGrid w:val="0"/>
              <w:jc w:val="center"/>
              <w:rPr>
                <w:sz w:val="18"/>
                <w:szCs w:val="18"/>
              </w:rPr>
            </w:pPr>
            <w:r w:rsidRPr="002B55E9">
              <w:rPr>
                <w:sz w:val="18"/>
                <w:szCs w:val="18"/>
                <w:lang w:bidi="ar"/>
              </w:rPr>
              <w:t>pH</w:t>
            </w:r>
            <w:r w:rsidRPr="002B55E9">
              <w:rPr>
                <w:rFonts w:hint="eastAsia"/>
                <w:sz w:val="18"/>
                <w:szCs w:val="18"/>
                <w:lang w:bidi="ar"/>
              </w:rPr>
              <w:t>、</w:t>
            </w:r>
            <w:r w:rsidRPr="002B55E9">
              <w:rPr>
                <w:sz w:val="18"/>
                <w:szCs w:val="18"/>
                <w:lang w:bidi="ar"/>
              </w:rPr>
              <w:t>COD</w:t>
            </w:r>
            <w:r w:rsidRPr="002B55E9">
              <w:rPr>
                <w:rFonts w:hint="eastAsia"/>
                <w:sz w:val="18"/>
                <w:szCs w:val="18"/>
                <w:lang w:bidi="ar"/>
              </w:rPr>
              <w:t>、</w:t>
            </w:r>
            <w:r w:rsidRPr="002B55E9">
              <w:rPr>
                <w:sz w:val="18"/>
                <w:szCs w:val="18"/>
                <w:lang w:bidi="ar"/>
              </w:rPr>
              <w:t>BOD</w:t>
            </w:r>
            <w:r w:rsidRPr="002B55E9">
              <w:rPr>
                <w:sz w:val="18"/>
                <w:szCs w:val="18"/>
                <w:vertAlign w:val="subscript"/>
                <w:lang w:bidi="ar"/>
              </w:rPr>
              <w:t>5</w:t>
            </w:r>
            <w:r w:rsidRPr="002B55E9">
              <w:rPr>
                <w:rFonts w:hint="eastAsia"/>
                <w:sz w:val="18"/>
                <w:szCs w:val="18"/>
                <w:lang w:bidi="ar"/>
              </w:rPr>
              <w:t>、</w:t>
            </w:r>
            <w:r w:rsidRPr="002B55E9">
              <w:rPr>
                <w:sz w:val="18"/>
                <w:szCs w:val="18"/>
                <w:lang w:bidi="ar"/>
              </w:rPr>
              <w:t>SS</w:t>
            </w:r>
            <w:r w:rsidRPr="002B55E9">
              <w:rPr>
                <w:rFonts w:hint="eastAsia"/>
                <w:sz w:val="18"/>
                <w:szCs w:val="18"/>
                <w:lang w:bidi="ar"/>
              </w:rPr>
              <w:t>、氨氮、总氮、总磷、</w:t>
            </w:r>
            <w:r w:rsidRPr="002B55E9">
              <w:rPr>
                <w:sz w:val="18"/>
                <w:szCs w:val="18"/>
                <w:lang w:bidi="ar"/>
              </w:rPr>
              <w:t>动植物油</w:t>
            </w:r>
          </w:p>
        </w:tc>
        <w:tc>
          <w:tcPr>
            <w:tcW w:w="713" w:type="dxa"/>
            <w:tcBorders>
              <w:top w:val="single" w:sz="12" w:space="0" w:color="auto"/>
              <w:bottom w:val="single" w:sz="12" w:space="0" w:color="auto"/>
            </w:tcBorders>
            <w:vAlign w:val="center"/>
          </w:tcPr>
          <w:p w14:paraId="74BE5F85" w14:textId="77777777" w:rsidR="00D170E5" w:rsidRPr="002B55E9" w:rsidRDefault="00EF27AD">
            <w:pPr>
              <w:widowControl/>
              <w:adjustRightInd w:val="0"/>
              <w:snapToGrid w:val="0"/>
              <w:jc w:val="center"/>
              <w:rPr>
                <w:sz w:val="18"/>
                <w:szCs w:val="18"/>
              </w:rPr>
            </w:pPr>
            <w:r w:rsidRPr="002B55E9">
              <w:rPr>
                <w:rFonts w:hint="eastAsia"/>
                <w:sz w:val="18"/>
                <w:szCs w:val="18"/>
                <w:lang w:bidi="ar"/>
              </w:rPr>
              <w:t>东西湖污水处理厂</w:t>
            </w:r>
          </w:p>
        </w:tc>
        <w:tc>
          <w:tcPr>
            <w:tcW w:w="1137" w:type="dxa"/>
            <w:tcBorders>
              <w:top w:val="single" w:sz="12" w:space="0" w:color="auto"/>
              <w:bottom w:val="single" w:sz="12" w:space="0" w:color="auto"/>
            </w:tcBorders>
            <w:vAlign w:val="center"/>
          </w:tcPr>
          <w:p w14:paraId="46635B9A" w14:textId="77777777" w:rsidR="00D170E5" w:rsidRPr="002B55E9" w:rsidRDefault="00EF27AD">
            <w:pPr>
              <w:widowControl/>
              <w:adjustRightInd w:val="0"/>
              <w:snapToGrid w:val="0"/>
              <w:jc w:val="center"/>
              <w:rPr>
                <w:sz w:val="18"/>
                <w:szCs w:val="18"/>
              </w:rPr>
            </w:pPr>
            <w:r w:rsidRPr="002B55E9">
              <w:rPr>
                <w:rFonts w:hint="eastAsia"/>
                <w:sz w:val="18"/>
                <w:szCs w:val="18"/>
                <w:lang w:bidi="ar"/>
              </w:rPr>
              <w:t>连续排放</w:t>
            </w:r>
          </w:p>
        </w:tc>
        <w:tc>
          <w:tcPr>
            <w:tcW w:w="850" w:type="dxa"/>
            <w:tcBorders>
              <w:top w:val="single" w:sz="12" w:space="0" w:color="auto"/>
              <w:bottom w:val="single" w:sz="12" w:space="0" w:color="auto"/>
            </w:tcBorders>
            <w:vAlign w:val="center"/>
          </w:tcPr>
          <w:p w14:paraId="6CBE02ED" w14:textId="77777777" w:rsidR="00D170E5" w:rsidRPr="002B55E9" w:rsidRDefault="00EF27AD">
            <w:pPr>
              <w:widowControl/>
              <w:adjustRightInd w:val="0"/>
              <w:snapToGrid w:val="0"/>
              <w:jc w:val="center"/>
              <w:rPr>
                <w:sz w:val="18"/>
                <w:szCs w:val="18"/>
              </w:rPr>
            </w:pPr>
            <w:r w:rsidRPr="002B55E9">
              <w:rPr>
                <w:sz w:val="18"/>
                <w:szCs w:val="18"/>
                <w:lang w:bidi="ar"/>
              </w:rPr>
              <w:t>TW00</w:t>
            </w:r>
            <w:r w:rsidRPr="002B55E9">
              <w:rPr>
                <w:rFonts w:hint="eastAsia"/>
                <w:sz w:val="18"/>
                <w:szCs w:val="18"/>
                <w:lang w:bidi="ar"/>
              </w:rPr>
              <w:t>1</w:t>
            </w:r>
          </w:p>
        </w:tc>
        <w:tc>
          <w:tcPr>
            <w:tcW w:w="854" w:type="dxa"/>
            <w:tcBorders>
              <w:top w:val="single" w:sz="12" w:space="0" w:color="auto"/>
              <w:bottom w:val="single" w:sz="12" w:space="0" w:color="auto"/>
            </w:tcBorders>
            <w:vAlign w:val="center"/>
          </w:tcPr>
          <w:p w14:paraId="50833216" w14:textId="77777777" w:rsidR="00D170E5" w:rsidRPr="002B55E9" w:rsidRDefault="00EF27AD">
            <w:pPr>
              <w:adjustRightInd w:val="0"/>
              <w:snapToGrid w:val="0"/>
              <w:jc w:val="center"/>
            </w:pPr>
            <w:r w:rsidRPr="002B55E9">
              <w:rPr>
                <w:rFonts w:hint="eastAsia"/>
                <w:sz w:val="18"/>
                <w:szCs w:val="18"/>
                <w:lang w:bidi="ar"/>
              </w:rPr>
              <w:t>佛山市海天</w:t>
            </w:r>
            <w:r w:rsidRPr="002B55E9">
              <w:rPr>
                <w:sz w:val="18"/>
                <w:szCs w:val="18"/>
                <w:lang w:bidi="ar"/>
              </w:rPr>
              <w:t>（</w:t>
            </w:r>
            <w:r w:rsidRPr="002B55E9">
              <w:rPr>
                <w:rFonts w:hint="eastAsia"/>
                <w:sz w:val="18"/>
                <w:szCs w:val="18"/>
                <w:lang w:bidi="ar"/>
              </w:rPr>
              <w:t>武汉</w:t>
            </w:r>
            <w:r w:rsidRPr="002B55E9">
              <w:rPr>
                <w:sz w:val="18"/>
                <w:szCs w:val="18"/>
                <w:lang w:bidi="ar"/>
              </w:rPr>
              <w:t>）</w:t>
            </w:r>
            <w:r w:rsidRPr="002B55E9">
              <w:rPr>
                <w:rFonts w:hint="eastAsia"/>
                <w:sz w:val="18"/>
                <w:szCs w:val="18"/>
                <w:lang w:bidi="ar"/>
              </w:rPr>
              <w:t>调味</w:t>
            </w:r>
            <w:r w:rsidRPr="002B55E9">
              <w:rPr>
                <w:sz w:val="18"/>
                <w:szCs w:val="18"/>
                <w:lang w:bidi="ar"/>
              </w:rPr>
              <w:t>食品有限公司</w:t>
            </w:r>
            <w:r w:rsidRPr="002B55E9">
              <w:rPr>
                <w:rFonts w:hint="eastAsia"/>
                <w:sz w:val="18"/>
                <w:szCs w:val="18"/>
                <w:lang w:bidi="ar"/>
              </w:rPr>
              <w:t>污水</w:t>
            </w:r>
            <w:r w:rsidRPr="002B55E9">
              <w:rPr>
                <w:sz w:val="18"/>
                <w:szCs w:val="18"/>
                <w:lang w:bidi="ar"/>
              </w:rPr>
              <w:t>处理站</w:t>
            </w:r>
          </w:p>
        </w:tc>
        <w:tc>
          <w:tcPr>
            <w:tcW w:w="854" w:type="dxa"/>
            <w:tcBorders>
              <w:top w:val="single" w:sz="12" w:space="0" w:color="auto"/>
              <w:bottom w:val="single" w:sz="12" w:space="0" w:color="auto"/>
            </w:tcBorders>
            <w:vAlign w:val="center"/>
          </w:tcPr>
          <w:p w14:paraId="542556B9" w14:textId="2F84EF39" w:rsidR="00D170E5" w:rsidRPr="002B55E9" w:rsidRDefault="007F1BA2">
            <w:pPr>
              <w:adjustRightInd w:val="0"/>
              <w:snapToGrid w:val="0"/>
              <w:jc w:val="center"/>
            </w:pPr>
            <w:r w:rsidRPr="002B55E9">
              <w:rPr>
                <w:rFonts w:hint="eastAsia"/>
                <w:sz w:val="18"/>
                <w:szCs w:val="18"/>
                <w:lang w:bidi="ar"/>
              </w:rPr>
              <w:t>预处理</w:t>
            </w:r>
            <w:r w:rsidRPr="002B55E9">
              <w:rPr>
                <w:rFonts w:hint="eastAsia"/>
                <w:sz w:val="18"/>
                <w:szCs w:val="18"/>
                <w:lang w:bidi="ar"/>
              </w:rPr>
              <w:t>+</w:t>
            </w:r>
            <w:r w:rsidRPr="002B55E9">
              <w:rPr>
                <w:rFonts w:hint="eastAsia"/>
                <w:sz w:val="18"/>
                <w:szCs w:val="18"/>
                <w:lang w:bidi="ar"/>
              </w:rPr>
              <w:t>厌氧</w:t>
            </w:r>
            <w:r w:rsidRPr="002B55E9">
              <w:rPr>
                <w:rFonts w:hint="eastAsia"/>
                <w:sz w:val="18"/>
                <w:szCs w:val="18"/>
                <w:lang w:bidi="ar"/>
              </w:rPr>
              <w:t>+AO</w:t>
            </w:r>
            <w:r w:rsidRPr="002B55E9">
              <w:rPr>
                <w:rFonts w:hint="eastAsia"/>
                <w:sz w:val="18"/>
                <w:szCs w:val="18"/>
                <w:lang w:bidi="ar"/>
              </w:rPr>
              <w:t>系统</w:t>
            </w:r>
            <w:r w:rsidRPr="002B55E9">
              <w:rPr>
                <w:rFonts w:hint="eastAsia"/>
                <w:sz w:val="18"/>
                <w:szCs w:val="18"/>
                <w:lang w:bidi="ar"/>
              </w:rPr>
              <w:t>+</w:t>
            </w:r>
            <w:r w:rsidRPr="002B55E9">
              <w:rPr>
                <w:rFonts w:hint="eastAsia"/>
                <w:sz w:val="18"/>
                <w:szCs w:val="18"/>
                <w:lang w:bidi="ar"/>
              </w:rPr>
              <w:t>深度处理</w:t>
            </w:r>
          </w:p>
        </w:tc>
        <w:tc>
          <w:tcPr>
            <w:tcW w:w="706" w:type="dxa"/>
            <w:tcBorders>
              <w:top w:val="single" w:sz="12" w:space="0" w:color="auto"/>
              <w:bottom w:val="single" w:sz="12" w:space="0" w:color="auto"/>
            </w:tcBorders>
            <w:vAlign w:val="center"/>
          </w:tcPr>
          <w:p w14:paraId="377CE427" w14:textId="77777777" w:rsidR="00D170E5" w:rsidRPr="002B55E9" w:rsidRDefault="00EF27AD">
            <w:pPr>
              <w:widowControl/>
              <w:adjustRightInd w:val="0"/>
              <w:snapToGrid w:val="0"/>
              <w:jc w:val="center"/>
              <w:rPr>
                <w:sz w:val="18"/>
                <w:szCs w:val="18"/>
              </w:rPr>
            </w:pPr>
            <w:r w:rsidRPr="002B55E9">
              <w:rPr>
                <w:sz w:val="18"/>
                <w:szCs w:val="18"/>
                <w:lang w:bidi="ar"/>
              </w:rPr>
              <w:t>DW001</w:t>
            </w:r>
          </w:p>
        </w:tc>
        <w:tc>
          <w:tcPr>
            <w:tcW w:w="827" w:type="dxa"/>
            <w:tcBorders>
              <w:top w:val="single" w:sz="12" w:space="0" w:color="auto"/>
              <w:bottom w:val="single" w:sz="12" w:space="0" w:color="auto"/>
            </w:tcBorders>
            <w:vAlign w:val="center"/>
          </w:tcPr>
          <w:p w14:paraId="4D498A0D" w14:textId="77777777" w:rsidR="00D170E5" w:rsidRPr="002B55E9" w:rsidRDefault="00EF27AD">
            <w:pPr>
              <w:widowControl/>
              <w:adjustRightInd w:val="0"/>
              <w:snapToGrid w:val="0"/>
              <w:jc w:val="center"/>
              <w:rPr>
                <w:sz w:val="18"/>
                <w:szCs w:val="18"/>
              </w:rPr>
            </w:pPr>
            <w:r w:rsidRPr="002B55E9">
              <w:rPr>
                <w:rFonts w:hint="eastAsia"/>
                <w:sz w:val="18"/>
                <w:szCs w:val="18"/>
              </w:rPr>
              <w:t>/</w:t>
            </w:r>
          </w:p>
        </w:tc>
        <w:tc>
          <w:tcPr>
            <w:tcW w:w="1415" w:type="dxa"/>
            <w:tcBorders>
              <w:top w:val="single" w:sz="12" w:space="0" w:color="auto"/>
              <w:bottom w:val="single" w:sz="12" w:space="0" w:color="auto"/>
            </w:tcBorders>
            <w:vAlign w:val="center"/>
          </w:tcPr>
          <w:p w14:paraId="1942056B" w14:textId="77777777" w:rsidR="00D170E5" w:rsidRPr="002B55E9" w:rsidRDefault="00EF27AD">
            <w:pPr>
              <w:widowControl/>
              <w:adjustRightInd w:val="0"/>
              <w:snapToGrid w:val="0"/>
              <w:rPr>
                <w:snapToGrid w:val="0"/>
                <w:kern w:val="20"/>
                <w:sz w:val="18"/>
                <w:szCs w:val="18"/>
              </w:rPr>
            </w:pPr>
            <w:r w:rsidRPr="002B55E9">
              <w:rPr>
                <w:rFonts w:eastAsia="Wingdings 2"/>
                <w:sz w:val="18"/>
                <w:szCs w:val="18"/>
                <w:lang w:bidi="ar"/>
              </w:rPr>
              <w:sym w:font="Wingdings 2" w:char="0052"/>
            </w:r>
            <w:r w:rsidRPr="002B55E9">
              <w:rPr>
                <w:rFonts w:hint="eastAsia"/>
                <w:sz w:val="18"/>
                <w:szCs w:val="18"/>
                <w:lang w:bidi="ar"/>
              </w:rPr>
              <w:t>企业总排</w:t>
            </w:r>
          </w:p>
          <w:p w14:paraId="14D6948B" w14:textId="77777777" w:rsidR="00D170E5" w:rsidRPr="002B55E9" w:rsidRDefault="00EF27AD">
            <w:pPr>
              <w:widowControl/>
              <w:adjustRightInd w:val="0"/>
              <w:snapToGrid w:val="0"/>
              <w:rPr>
                <w:sz w:val="18"/>
                <w:szCs w:val="18"/>
              </w:rPr>
            </w:pPr>
            <w:r w:rsidRPr="002B55E9">
              <w:rPr>
                <w:sz w:val="28"/>
                <w:szCs w:val="28"/>
                <w:lang w:bidi="ar"/>
              </w:rPr>
              <w:t>□</w:t>
            </w:r>
            <w:r w:rsidRPr="002B55E9">
              <w:rPr>
                <w:rFonts w:hint="eastAsia"/>
                <w:sz w:val="18"/>
                <w:szCs w:val="18"/>
                <w:lang w:bidi="ar"/>
              </w:rPr>
              <w:t>雨水排放</w:t>
            </w:r>
          </w:p>
          <w:p w14:paraId="070D5498" w14:textId="77777777" w:rsidR="00D170E5" w:rsidRPr="002B55E9" w:rsidRDefault="00EF27AD">
            <w:pPr>
              <w:widowControl/>
              <w:adjustRightInd w:val="0"/>
              <w:snapToGrid w:val="0"/>
              <w:rPr>
                <w:sz w:val="18"/>
                <w:szCs w:val="18"/>
              </w:rPr>
            </w:pPr>
            <w:r w:rsidRPr="002B55E9">
              <w:rPr>
                <w:sz w:val="28"/>
                <w:szCs w:val="28"/>
                <w:lang w:bidi="ar"/>
              </w:rPr>
              <w:t>□</w:t>
            </w:r>
            <w:r w:rsidRPr="002B55E9">
              <w:rPr>
                <w:rFonts w:hint="eastAsia"/>
                <w:spacing w:val="-10"/>
                <w:sz w:val="18"/>
                <w:szCs w:val="18"/>
                <w:lang w:bidi="ar"/>
              </w:rPr>
              <w:t>清净下水排放</w:t>
            </w:r>
          </w:p>
          <w:p w14:paraId="2572F242" w14:textId="77777777" w:rsidR="00D170E5" w:rsidRPr="002B55E9" w:rsidRDefault="00EF27AD">
            <w:pPr>
              <w:widowControl/>
              <w:adjustRightInd w:val="0"/>
              <w:snapToGrid w:val="0"/>
              <w:rPr>
                <w:sz w:val="18"/>
                <w:szCs w:val="18"/>
              </w:rPr>
            </w:pPr>
            <w:r w:rsidRPr="002B55E9">
              <w:rPr>
                <w:sz w:val="28"/>
                <w:szCs w:val="28"/>
                <w:lang w:bidi="ar"/>
              </w:rPr>
              <w:t>□</w:t>
            </w:r>
            <w:r w:rsidRPr="002B55E9">
              <w:rPr>
                <w:rFonts w:hint="eastAsia"/>
                <w:sz w:val="18"/>
                <w:szCs w:val="18"/>
                <w:lang w:bidi="ar"/>
              </w:rPr>
              <w:t>温排水排放</w:t>
            </w:r>
          </w:p>
          <w:p w14:paraId="45C499CE" w14:textId="77777777" w:rsidR="00D170E5" w:rsidRPr="002B55E9" w:rsidRDefault="00EF27AD">
            <w:pPr>
              <w:widowControl/>
              <w:adjustRightInd w:val="0"/>
              <w:snapToGrid w:val="0"/>
              <w:jc w:val="center"/>
              <w:rPr>
                <w:sz w:val="18"/>
                <w:szCs w:val="18"/>
              </w:rPr>
            </w:pPr>
            <w:r w:rsidRPr="002B55E9">
              <w:rPr>
                <w:sz w:val="28"/>
                <w:szCs w:val="28"/>
                <w:lang w:bidi="ar"/>
              </w:rPr>
              <w:t>□</w:t>
            </w:r>
            <w:r w:rsidRPr="002B55E9">
              <w:rPr>
                <w:rFonts w:hint="eastAsia"/>
                <w:sz w:val="18"/>
                <w:szCs w:val="18"/>
                <w:lang w:bidi="ar"/>
              </w:rPr>
              <w:t>车间或车间处理设施排放口</w:t>
            </w:r>
          </w:p>
        </w:tc>
      </w:tr>
    </w:tbl>
    <w:p w14:paraId="09A1436C" w14:textId="77777777" w:rsidR="00D170E5" w:rsidRPr="002B55E9" w:rsidRDefault="00EF27AD">
      <w:pPr>
        <w:spacing w:line="360" w:lineRule="auto"/>
        <w:ind w:firstLineChars="200" w:firstLine="480"/>
        <w:rPr>
          <w:sz w:val="24"/>
          <w:lang w:bidi="ar"/>
        </w:rPr>
      </w:pPr>
      <w:r w:rsidRPr="002B55E9">
        <w:rPr>
          <w:rFonts w:hint="eastAsia"/>
          <w:sz w:val="24"/>
          <w:lang w:bidi="ar"/>
        </w:rPr>
        <w:t>拟建项目废水间接排放口情况见下表。</w:t>
      </w:r>
    </w:p>
    <w:p w14:paraId="0AA434C5" w14:textId="4432FD8F" w:rsidR="00D170E5" w:rsidRPr="002B55E9" w:rsidRDefault="00EF27AD">
      <w:pPr>
        <w:jc w:val="center"/>
        <w:rPr>
          <w:rFonts w:eastAsia="黑体"/>
          <w:b/>
          <w:sz w:val="24"/>
        </w:rPr>
      </w:pPr>
      <w:r w:rsidRPr="002B55E9">
        <w:rPr>
          <w:rFonts w:eastAsia="黑体"/>
          <w:b/>
          <w:sz w:val="24"/>
        </w:rPr>
        <w:t>表</w:t>
      </w:r>
      <w:r w:rsidRPr="002B55E9">
        <w:rPr>
          <w:rFonts w:eastAsia="黑体"/>
          <w:b/>
          <w:sz w:val="24"/>
        </w:rPr>
        <w:t>5-3-</w:t>
      </w:r>
      <w:r w:rsidR="008A7CEC" w:rsidRPr="002B55E9">
        <w:rPr>
          <w:rFonts w:eastAsia="黑体"/>
          <w:b/>
          <w:sz w:val="24"/>
        </w:rPr>
        <w:t>10</w:t>
      </w:r>
      <w:r w:rsidRPr="002B55E9">
        <w:rPr>
          <w:rFonts w:eastAsia="黑体"/>
          <w:b/>
          <w:sz w:val="24"/>
        </w:rPr>
        <w:t xml:space="preserve"> </w:t>
      </w:r>
      <w:r w:rsidRPr="002B55E9">
        <w:rPr>
          <w:rFonts w:eastAsia="黑体" w:hint="eastAsia"/>
          <w:b/>
          <w:sz w:val="24"/>
        </w:rPr>
        <w:t xml:space="preserve"> </w:t>
      </w:r>
      <w:r w:rsidRPr="002B55E9">
        <w:rPr>
          <w:rFonts w:eastAsia="黑体"/>
          <w:b/>
          <w:sz w:val="24"/>
        </w:rPr>
        <w:t>废水间接排放口基本情况表</w:t>
      </w:r>
    </w:p>
    <w:tbl>
      <w:tblPr>
        <w:tblW w:w="9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1022"/>
        <w:gridCol w:w="846"/>
        <w:gridCol w:w="856"/>
        <w:gridCol w:w="1133"/>
        <w:gridCol w:w="852"/>
        <w:gridCol w:w="709"/>
        <w:gridCol w:w="709"/>
        <w:gridCol w:w="422"/>
        <w:gridCol w:w="1135"/>
        <w:gridCol w:w="1557"/>
      </w:tblGrid>
      <w:tr w:rsidR="002B55E9" w:rsidRPr="002B55E9" w14:paraId="4C44FB00" w14:textId="77777777">
        <w:trPr>
          <w:trHeight w:val="613"/>
          <w:tblHeader/>
          <w:jc w:val="center"/>
        </w:trPr>
        <w:tc>
          <w:tcPr>
            <w:tcW w:w="396" w:type="dxa"/>
            <w:vMerge w:val="restart"/>
            <w:tcBorders>
              <w:top w:val="single" w:sz="12" w:space="0" w:color="auto"/>
              <w:left w:val="nil"/>
              <w:bottom w:val="single" w:sz="4" w:space="0" w:color="auto"/>
            </w:tcBorders>
            <w:vAlign w:val="center"/>
          </w:tcPr>
          <w:p w14:paraId="58891553" w14:textId="77777777" w:rsidR="00D170E5" w:rsidRPr="002B55E9" w:rsidRDefault="00EF27AD">
            <w:pPr>
              <w:adjustRightInd w:val="0"/>
              <w:snapToGrid w:val="0"/>
              <w:jc w:val="center"/>
              <w:rPr>
                <w:sz w:val="18"/>
                <w:szCs w:val="18"/>
              </w:rPr>
            </w:pPr>
            <w:r w:rsidRPr="002B55E9">
              <w:rPr>
                <w:sz w:val="18"/>
                <w:szCs w:val="18"/>
              </w:rPr>
              <w:t>序号</w:t>
            </w:r>
          </w:p>
        </w:tc>
        <w:tc>
          <w:tcPr>
            <w:tcW w:w="1022" w:type="dxa"/>
            <w:vMerge w:val="restart"/>
            <w:tcBorders>
              <w:top w:val="single" w:sz="12" w:space="0" w:color="auto"/>
              <w:bottom w:val="single" w:sz="4" w:space="0" w:color="auto"/>
            </w:tcBorders>
            <w:vAlign w:val="center"/>
          </w:tcPr>
          <w:p w14:paraId="1E03EDFE" w14:textId="77777777" w:rsidR="00D170E5" w:rsidRPr="002B55E9" w:rsidRDefault="00EF27AD">
            <w:pPr>
              <w:adjustRightInd w:val="0"/>
              <w:snapToGrid w:val="0"/>
              <w:jc w:val="center"/>
              <w:rPr>
                <w:sz w:val="18"/>
                <w:szCs w:val="18"/>
              </w:rPr>
            </w:pPr>
            <w:r w:rsidRPr="002B55E9">
              <w:rPr>
                <w:sz w:val="18"/>
                <w:szCs w:val="18"/>
              </w:rPr>
              <w:t>排放口</w:t>
            </w:r>
          </w:p>
          <w:p w14:paraId="17CDDEC6" w14:textId="77777777" w:rsidR="00D170E5" w:rsidRPr="002B55E9" w:rsidRDefault="00EF27AD">
            <w:pPr>
              <w:adjustRightInd w:val="0"/>
              <w:snapToGrid w:val="0"/>
              <w:jc w:val="center"/>
              <w:rPr>
                <w:sz w:val="18"/>
                <w:szCs w:val="18"/>
              </w:rPr>
            </w:pPr>
            <w:r w:rsidRPr="002B55E9">
              <w:rPr>
                <w:sz w:val="18"/>
                <w:szCs w:val="18"/>
              </w:rPr>
              <w:t>编号</w:t>
            </w:r>
          </w:p>
        </w:tc>
        <w:tc>
          <w:tcPr>
            <w:tcW w:w="1702" w:type="dxa"/>
            <w:gridSpan w:val="2"/>
            <w:tcBorders>
              <w:top w:val="single" w:sz="12" w:space="0" w:color="auto"/>
              <w:bottom w:val="single" w:sz="4" w:space="0" w:color="auto"/>
            </w:tcBorders>
            <w:vAlign w:val="center"/>
          </w:tcPr>
          <w:p w14:paraId="4FE81FEE" w14:textId="77777777" w:rsidR="00D170E5" w:rsidRPr="002B55E9" w:rsidRDefault="00EF27AD">
            <w:pPr>
              <w:adjustRightInd w:val="0"/>
              <w:snapToGrid w:val="0"/>
              <w:jc w:val="center"/>
              <w:rPr>
                <w:sz w:val="18"/>
                <w:szCs w:val="18"/>
              </w:rPr>
            </w:pPr>
            <w:r w:rsidRPr="002B55E9">
              <w:rPr>
                <w:sz w:val="18"/>
                <w:szCs w:val="18"/>
              </w:rPr>
              <w:t>排放口地理坐标</w:t>
            </w:r>
            <w:r w:rsidRPr="002B55E9">
              <w:rPr>
                <w:sz w:val="18"/>
                <w:szCs w:val="18"/>
                <w:vertAlign w:val="superscript"/>
              </w:rPr>
              <w:t>a</w:t>
            </w:r>
          </w:p>
        </w:tc>
        <w:tc>
          <w:tcPr>
            <w:tcW w:w="1133" w:type="dxa"/>
            <w:vMerge w:val="restart"/>
            <w:tcBorders>
              <w:top w:val="single" w:sz="12" w:space="0" w:color="auto"/>
              <w:bottom w:val="single" w:sz="4" w:space="0" w:color="auto"/>
            </w:tcBorders>
            <w:vAlign w:val="center"/>
          </w:tcPr>
          <w:p w14:paraId="171DCAAD" w14:textId="77777777" w:rsidR="00D170E5" w:rsidRPr="002B55E9" w:rsidRDefault="00EF27AD">
            <w:pPr>
              <w:adjustRightInd w:val="0"/>
              <w:snapToGrid w:val="0"/>
              <w:jc w:val="center"/>
              <w:rPr>
                <w:sz w:val="18"/>
                <w:szCs w:val="18"/>
              </w:rPr>
            </w:pPr>
            <w:r w:rsidRPr="002B55E9">
              <w:rPr>
                <w:sz w:val="18"/>
                <w:szCs w:val="18"/>
              </w:rPr>
              <w:t>废水排放量</w:t>
            </w:r>
            <w:r w:rsidRPr="002B55E9">
              <w:rPr>
                <w:sz w:val="18"/>
                <w:szCs w:val="18"/>
              </w:rPr>
              <w:t>/</w:t>
            </w:r>
            <w:r w:rsidRPr="002B55E9">
              <w:rPr>
                <w:sz w:val="18"/>
                <w:szCs w:val="18"/>
              </w:rPr>
              <w:t>（万</w:t>
            </w:r>
            <w:r w:rsidRPr="002B55E9">
              <w:rPr>
                <w:sz w:val="18"/>
                <w:szCs w:val="18"/>
              </w:rPr>
              <w:t>t/a</w:t>
            </w:r>
            <w:r w:rsidRPr="002B55E9">
              <w:rPr>
                <w:sz w:val="18"/>
                <w:szCs w:val="18"/>
              </w:rPr>
              <w:t>）</w:t>
            </w:r>
          </w:p>
        </w:tc>
        <w:tc>
          <w:tcPr>
            <w:tcW w:w="852" w:type="dxa"/>
            <w:vMerge w:val="restart"/>
            <w:tcBorders>
              <w:top w:val="single" w:sz="12" w:space="0" w:color="auto"/>
              <w:bottom w:val="single" w:sz="4" w:space="0" w:color="auto"/>
            </w:tcBorders>
            <w:vAlign w:val="center"/>
          </w:tcPr>
          <w:p w14:paraId="6CF500D3" w14:textId="77777777" w:rsidR="00D170E5" w:rsidRPr="002B55E9" w:rsidRDefault="00EF27AD">
            <w:pPr>
              <w:adjustRightInd w:val="0"/>
              <w:snapToGrid w:val="0"/>
              <w:jc w:val="center"/>
              <w:rPr>
                <w:sz w:val="18"/>
                <w:szCs w:val="18"/>
              </w:rPr>
            </w:pPr>
            <w:r w:rsidRPr="002B55E9">
              <w:rPr>
                <w:sz w:val="18"/>
                <w:szCs w:val="18"/>
              </w:rPr>
              <w:t>排放</w:t>
            </w:r>
          </w:p>
          <w:p w14:paraId="0E2D7E6A" w14:textId="77777777" w:rsidR="00D170E5" w:rsidRPr="002B55E9" w:rsidRDefault="00EF27AD">
            <w:pPr>
              <w:adjustRightInd w:val="0"/>
              <w:snapToGrid w:val="0"/>
              <w:jc w:val="center"/>
              <w:rPr>
                <w:sz w:val="18"/>
                <w:szCs w:val="18"/>
              </w:rPr>
            </w:pPr>
            <w:r w:rsidRPr="002B55E9">
              <w:rPr>
                <w:sz w:val="18"/>
                <w:szCs w:val="18"/>
              </w:rPr>
              <w:t>去向</w:t>
            </w:r>
          </w:p>
        </w:tc>
        <w:tc>
          <w:tcPr>
            <w:tcW w:w="709" w:type="dxa"/>
            <w:vMerge w:val="restart"/>
            <w:tcBorders>
              <w:top w:val="single" w:sz="12" w:space="0" w:color="auto"/>
              <w:bottom w:val="single" w:sz="4" w:space="0" w:color="auto"/>
            </w:tcBorders>
            <w:vAlign w:val="center"/>
          </w:tcPr>
          <w:p w14:paraId="02576162" w14:textId="77777777" w:rsidR="00D170E5" w:rsidRPr="002B55E9" w:rsidRDefault="00EF27AD">
            <w:pPr>
              <w:adjustRightInd w:val="0"/>
              <w:snapToGrid w:val="0"/>
              <w:jc w:val="center"/>
              <w:rPr>
                <w:sz w:val="18"/>
                <w:szCs w:val="18"/>
              </w:rPr>
            </w:pPr>
            <w:r w:rsidRPr="002B55E9">
              <w:rPr>
                <w:sz w:val="18"/>
                <w:szCs w:val="18"/>
              </w:rPr>
              <w:t>排放</w:t>
            </w:r>
          </w:p>
          <w:p w14:paraId="6D3F9AE8" w14:textId="77777777" w:rsidR="00D170E5" w:rsidRPr="002B55E9" w:rsidRDefault="00EF27AD">
            <w:pPr>
              <w:adjustRightInd w:val="0"/>
              <w:snapToGrid w:val="0"/>
              <w:jc w:val="center"/>
              <w:rPr>
                <w:sz w:val="18"/>
                <w:szCs w:val="18"/>
              </w:rPr>
            </w:pPr>
            <w:r w:rsidRPr="002B55E9">
              <w:rPr>
                <w:sz w:val="18"/>
                <w:szCs w:val="18"/>
              </w:rPr>
              <w:t>规律</w:t>
            </w:r>
          </w:p>
        </w:tc>
        <w:tc>
          <w:tcPr>
            <w:tcW w:w="709" w:type="dxa"/>
            <w:vMerge w:val="restart"/>
            <w:tcBorders>
              <w:top w:val="single" w:sz="12" w:space="0" w:color="auto"/>
              <w:bottom w:val="single" w:sz="4" w:space="0" w:color="auto"/>
            </w:tcBorders>
            <w:vAlign w:val="center"/>
          </w:tcPr>
          <w:p w14:paraId="3C2699DD" w14:textId="77777777" w:rsidR="00D170E5" w:rsidRPr="002B55E9" w:rsidRDefault="00EF27AD">
            <w:pPr>
              <w:adjustRightInd w:val="0"/>
              <w:snapToGrid w:val="0"/>
              <w:jc w:val="center"/>
              <w:rPr>
                <w:sz w:val="18"/>
                <w:szCs w:val="18"/>
              </w:rPr>
            </w:pPr>
            <w:r w:rsidRPr="002B55E9">
              <w:rPr>
                <w:sz w:val="18"/>
                <w:szCs w:val="18"/>
              </w:rPr>
              <w:t>间歇排放</w:t>
            </w:r>
          </w:p>
          <w:p w14:paraId="2FE98D20" w14:textId="77777777" w:rsidR="00D170E5" w:rsidRPr="002B55E9" w:rsidRDefault="00EF27AD">
            <w:pPr>
              <w:adjustRightInd w:val="0"/>
              <w:snapToGrid w:val="0"/>
              <w:jc w:val="center"/>
              <w:rPr>
                <w:sz w:val="18"/>
                <w:szCs w:val="18"/>
              </w:rPr>
            </w:pPr>
            <w:r w:rsidRPr="002B55E9">
              <w:rPr>
                <w:sz w:val="18"/>
                <w:szCs w:val="18"/>
              </w:rPr>
              <w:t>时段</w:t>
            </w:r>
          </w:p>
        </w:tc>
        <w:tc>
          <w:tcPr>
            <w:tcW w:w="3114" w:type="dxa"/>
            <w:gridSpan w:val="3"/>
            <w:tcBorders>
              <w:top w:val="single" w:sz="12" w:space="0" w:color="auto"/>
              <w:bottom w:val="single" w:sz="4" w:space="0" w:color="auto"/>
              <w:right w:val="nil"/>
            </w:tcBorders>
            <w:vAlign w:val="center"/>
          </w:tcPr>
          <w:p w14:paraId="2DD7D64C" w14:textId="77777777" w:rsidR="00D170E5" w:rsidRPr="002B55E9" w:rsidRDefault="00EF27AD">
            <w:pPr>
              <w:adjustRightInd w:val="0"/>
              <w:snapToGrid w:val="0"/>
              <w:jc w:val="center"/>
              <w:rPr>
                <w:sz w:val="18"/>
                <w:szCs w:val="18"/>
              </w:rPr>
            </w:pPr>
            <w:r w:rsidRPr="002B55E9">
              <w:rPr>
                <w:sz w:val="18"/>
                <w:szCs w:val="18"/>
              </w:rPr>
              <w:t>受纳污水处理厂信息</w:t>
            </w:r>
          </w:p>
        </w:tc>
      </w:tr>
      <w:tr w:rsidR="002B55E9" w:rsidRPr="002B55E9" w14:paraId="1D83A340" w14:textId="77777777">
        <w:trPr>
          <w:trHeight w:val="624"/>
          <w:tblHeader/>
          <w:jc w:val="center"/>
        </w:trPr>
        <w:tc>
          <w:tcPr>
            <w:tcW w:w="396" w:type="dxa"/>
            <w:vMerge/>
            <w:tcBorders>
              <w:top w:val="single" w:sz="4" w:space="0" w:color="auto"/>
              <w:left w:val="nil"/>
              <w:bottom w:val="single" w:sz="12" w:space="0" w:color="auto"/>
            </w:tcBorders>
            <w:vAlign w:val="center"/>
          </w:tcPr>
          <w:p w14:paraId="0D5DFD3B" w14:textId="77777777" w:rsidR="00D170E5" w:rsidRPr="002B55E9" w:rsidRDefault="00D170E5">
            <w:pPr>
              <w:adjustRightInd w:val="0"/>
              <w:snapToGrid w:val="0"/>
              <w:jc w:val="center"/>
              <w:rPr>
                <w:sz w:val="18"/>
                <w:szCs w:val="18"/>
              </w:rPr>
            </w:pPr>
          </w:p>
        </w:tc>
        <w:tc>
          <w:tcPr>
            <w:tcW w:w="1022" w:type="dxa"/>
            <w:vMerge/>
            <w:tcBorders>
              <w:top w:val="single" w:sz="4" w:space="0" w:color="auto"/>
              <w:bottom w:val="single" w:sz="12" w:space="0" w:color="auto"/>
            </w:tcBorders>
            <w:vAlign w:val="center"/>
          </w:tcPr>
          <w:p w14:paraId="69C865D2" w14:textId="77777777" w:rsidR="00D170E5" w:rsidRPr="002B55E9" w:rsidRDefault="00D170E5">
            <w:pPr>
              <w:adjustRightInd w:val="0"/>
              <w:snapToGrid w:val="0"/>
              <w:jc w:val="center"/>
              <w:rPr>
                <w:sz w:val="18"/>
                <w:szCs w:val="18"/>
              </w:rPr>
            </w:pPr>
          </w:p>
        </w:tc>
        <w:tc>
          <w:tcPr>
            <w:tcW w:w="846" w:type="dxa"/>
            <w:tcBorders>
              <w:top w:val="single" w:sz="4" w:space="0" w:color="auto"/>
              <w:bottom w:val="single" w:sz="12" w:space="0" w:color="auto"/>
            </w:tcBorders>
            <w:vAlign w:val="center"/>
          </w:tcPr>
          <w:p w14:paraId="47F71BA1" w14:textId="77777777" w:rsidR="00D170E5" w:rsidRPr="002B55E9" w:rsidRDefault="00EF27AD">
            <w:pPr>
              <w:adjustRightInd w:val="0"/>
              <w:snapToGrid w:val="0"/>
              <w:jc w:val="center"/>
              <w:rPr>
                <w:sz w:val="18"/>
                <w:szCs w:val="18"/>
              </w:rPr>
            </w:pPr>
            <w:r w:rsidRPr="002B55E9">
              <w:rPr>
                <w:sz w:val="18"/>
                <w:szCs w:val="18"/>
              </w:rPr>
              <w:t>经度</w:t>
            </w:r>
          </w:p>
        </w:tc>
        <w:tc>
          <w:tcPr>
            <w:tcW w:w="856" w:type="dxa"/>
            <w:tcBorders>
              <w:top w:val="single" w:sz="4" w:space="0" w:color="auto"/>
              <w:bottom w:val="single" w:sz="12" w:space="0" w:color="auto"/>
            </w:tcBorders>
            <w:vAlign w:val="center"/>
          </w:tcPr>
          <w:p w14:paraId="6DEBD05E" w14:textId="77777777" w:rsidR="00D170E5" w:rsidRPr="002B55E9" w:rsidRDefault="00EF27AD">
            <w:pPr>
              <w:adjustRightInd w:val="0"/>
              <w:snapToGrid w:val="0"/>
              <w:jc w:val="center"/>
              <w:rPr>
                <w:sz w:val="18"/>
                <w:szCs w:val="18"/>
              </w:rPr>
            </w:pPr>
            <w:r w:rsidRPr="002B55E9">
              <w:rPr>
                <w:sz w:val="18"/>
                <w:szCs w:val="18"/>
              </w:rPr>
              <w:t>纬度</w:t>
            </w:r>
          </w:p>
        </w:tc>
        <w:tc>
          <w:tcPr>
            <w:tcW w:w="1133" w:type="dxa"/>
            <w:vMerge/>
            <w:tcBorders>
              <w:top w:val="single" w:sz="4" w:space="0" w:color="auto"/>
              <w:bottom w:val="single" w:sz="12" w:space="0" w:color="auto"/>
            </w:tcBorders>
            <w:vAlign w:val="center"/>
          </w:tcPr>
          <w:p w14:paraId="0AA5A109" w14:textId="77777777" w:rsidR="00D170E5" w:rsidRPr="002B55E9" w:rsidRDefault="00D170E5">
            <w:pPr>
              <w:adjustRightInd w:val="0"/>
              <w:snapToGrid w:val="0"/>
              <w:jc w:val="center"/>
              <w:rPr>
                <w:sz w:val="18"/>
                <w:szCs w:val="18"/>
              </w:rPr>
            </w:pPr>
          </w:p>
        </w:tc>
        <w:tc>
          <w:tcPr>
            <w:tcW w:w="852" w:type="dxa"/>
            <w:vMerge/>
            <w:tcBorders>
              <w:top w:val="single" w:sz="4" w:space="0" w:color="auto"/>
              <w:bottom w:val="single" w:sz="12" w:space="0" w:color="auto"/>
            </w:tcBorders>
            <w:vAlign w:val="center"/>
          </w:tcPr>
          <w:p w14:paraId="0F1F858D" w14:textId="77777777" w:rsidR="00D170E5" w:rsidRPr="002B55E9" w:rsidRDefault="00D170E5">
            <w:pPr>
              <w:adjustRightInd w:val="0"/>
              <w:snapToGrid w:val="0"/>
              <w:jc w:val="center"/>
              <w:rPr>
                <w:sz w:val="18"/>
                <w:szCs w:val="18"/>
              </w:rPr>
            </w:pPr>
          </w:p>
        </w:tc>
        <w:tc>
          <w:tcPr>
            <w:tcW w:w="709" w:type="dxa"/>
            <w:vMerge/>
            <w:tcBorders>
              <w:top w:val="single" w:sz="4" w:space="0" w:color="auto"/>
              <w:bottom w:val="single" w:sz="12" w:space="0" w:color="auto"/>
            </w:tcBorders>
            <w:vAlign w:val="center"/>
          </w:tcPr>
          <w:p w14:paraId="47533D4D" w14:textId="77777777" w:rsidR="00D170E5" w:rsidRPr="002B55E9" w:rsidRDefault="00D170E5">
            <w:pPr>
              <w:adjustRightInd w:val="0"/>
              <w:snapToGrid w:val="0"/>
              <w:jc w:val="center"/>
              <w:rPr>
                <w:sz w:val="18"/>
                <w:szCs w:val="18"/>
              </w:rPr>
            </w:pPr>
          </w:p>
        </w:tc>
        <w:tc>
          <w:tcPr>
            <w:tcW w:w="709" w:type="dxa"/>
            <w:vMerge/>
            <w:tcBorders>
              <w:top w:val="single" w:sz="4" w:space="0" w:color="auto"/>
              <w:bottom w:val="single" w:sz="12" w:space="0" w:color="auto"/>
            </w:tcBorders>
            <w:vAlign w:val="center"/>
          </w:tcPr>
          <w:p w14:paraId="5F638CF6" w14:textId="77777777" w:rsidR="00D170E5" w:rsidRPr="002B55E9" w:rsidRDefault="00D170E5">
            <w:pPr>
              <w:adjustRightInd w:val="0"/>
              <w:snapToGrid w:val="0"/>
              <w:jc w:val="center"/>
              <w:rPr>
                <w:sz w:val="18"/>
                <w:szCs w:val="18"/>
              </w:rPr>
            </w:pPr>
          </w:p>
        </w:tc>
        <w:tc>
          <w:tcPr>
            <w:tcW w:w="422" w:type="dxa"/>
            <w:tcBorders>
              <w:top w:val="single" w:sz="4" w:space="0" w:color="auto"/>
              <w:bottom w:val="single" w:sz="12" w:space="0" w:color="auto"/>
            </w:tcBorders>
            <w:vAlign w:val="center"/>
          </w:tcPr>
          <w:p w14:paraId="092398FB" w14:textId="77777777" w:rsidR="00D170E5" w:rsidRPr="002B55E9" w:rsidRDefault="00EF27AD">
            <w:pPr>
              <w:adjustRightInd w:val="0"/>
              <w:snapToGrid w:val="0"/>
              <w:jc w:val="center"/>
              <w:rPr>
                <w:sz w:val="18"/>
                <w:szCs w:val="18"/>
              </w:rPr>
            </w:pPr>
            <w:r w:rsidRPr="002B55E9">
              <w:rPr>
                <w:sz w:val="18"/>
                <w:szCs w:val="18"/>
              </w:rPr>
              <w:t>名称</w:t>
            </w:r>
          </w:p>
        </w:tc>
        <w:tc>
          <w:tcPr>
            <w:tcW w:w="1135" w:type="dxa"/>
            <w:tcBorders>
              <w:top w:val="single" w:sz="4" w:space="0" w:color="auto"/>
              <w:bottom w:val="single" w:sz="12" w:space="0" w:color="auto"/>
            </w:tcBorders>
            <w:vAlign w:val="center"/>
          </w:tcPr>
          <w:p w14:paraId="35B07FF8" w14:textId="77777777" w:rsidR="00D170E5" w:rsidRPr="002B55E9" w:rsidRDefault="00EF27AD">
            <w:pPr>
              <w:adjustRightInd w:val="0"/>
              <w:snapToGrid w:val="0"/>
              <w:jc w:val="center"/>
              <w:rPr>
                <w:sz w:val="18"/>
                <w:szCs w:val="18"/>
              </w:rPr>
            </w:pPr>
            <w:r w:rsidRPr="002B55E9">
              <w:rPr>
                <w:sz w:val="18"/>
                <w:szCs w:val="18"/>
              </w:rPr>
              <w:t>污染物种类</w:t>
            </w:r>
          </w:p>
        </w:tc>
        <w:tc>
          <w:tcPr>
            <w:tcW w:w="1557" w:type="dxa"/>
            <w:tcBorders>
              <w:top w:val="single" w:sz="4" w:space="0" w:color="auto"/>
              <w:bottom w:val="single" w:sz="12" w:space="0" w:color="auto"/>
              <w:right w:val="nil"/>
            </w:tcBorders>
            <w:vAlign w:val="center"/>
          </w:tcPr>
          <w:p w14:paraId="4F2A1C11" w14:textId="77777777" w:rsidR="00D170E5" w:rsidRPr="002B55E9" w:rsidRDefault="00EF27AD">
            <w:pPr>
              <w:adjustRightInd w:val="0"/>
              <w:snapToGrid w:val="0"/>
              <w:jc w:val="center"/>
              <w:rPr>
                <w:sz w:val="18"/>
                <w:szCs w:val="18"/>
              </w:rPr>
            </w:pPr>
            <w:r w:rsidRPr="002B55E9">
              <w:rPr>
                <w:sz w:val="18"/>
                <w:szCs w:val="18"/>
              </w:rPr>
              <w:t>国家或地方污染物排放标准浓度限值</w:t>
            </w:r>
            <w:r w:rsidRPr="002B55E9">
              <w:rPr>
                <w:sz w:val="18"/>
                <w:szCs w:val="18"/>
              </w:rPr>
              <w:t>/(mg/L)</w:t>
            </w:r>
          </w:p>
        </w:tc>
      </w:tr>
      <w:tr w:rsidR="002B55E9" w:rsidRPr="002B55E9" w14:paraId="470E9D4C" w14:textId="77777777">
        <w:trPr>
          <w:trHeight w:val="293"/>
          <w:jc w:val="center"/>
        </w:trPr>
        <w:tc>
          <w:tcPr>
            <w:tcW w:w="396" w:type="dxa"/>
            <w:vMerge w:val="restart"/>
            <w:tcBorders>
              <w:top w:val="single" w:sz="12" w:space="0" w:color="auto"/>
              <w:left w:val="nil"/>
            </w:tcBorders>
            <w:vAlign w:val="center"/>
          </w:tcPr>
          <w:p w14:paraId="5E1A9761" w14:textId="77777777" w:rsidR="00D170E5" w:rsidRPr="002B55E9" w:rsidRDefault="00EF27AD">
            <w:pPr>
              <w:adjustRightInd w:val="0"/>
              <w:snapToGrid w:val="0"/>
              <w:jc w:val="center"/>
              <w:rPr>
                <w:sz w:val="18"/>
                <w:szCs w:val="18"/>
              </w:rPr>
            </w:pPr>
            <w:r w:rsidRPr="002B55E9">
              <w:rPr>
                <w:sz w:val="18"/>
                <w:szCs w:val="18"/>
              </w:rPr>
              <w:t>1</w:t>
            </w:r>
          </w:p>
        </w:tc>
        <w:tc>
          <w:tcPr>
            <w:tcW w:w="1022" w:type="dxa"/>
            <w:vMerge w:val="restart"/>
            <w:tcBorders>
              <w:top w:val="single" w:sz="12" w:space="0" w:color="auto"/>
            </w:tcBorders>
            <w:vAlign w:val="center"/>
          </w:tcPr>
          <w:p w14:paraId="3D2E48DE" w14:textId="77777777" w:rsidR="00D170E5" w:rsidRPr="002B55E9" w:rsidRDefault="00EF27AD">
            <w:pPr>
              <w:adjustRightInd w:val="0"/>
              <w:snapToGrid w:val="0"/>
              <w:jc w:val="center"/>
              <w:rPr>
                <w:sz w:val="18"/>
                <w:szCs w:val="18"/>
              </w:rPr>
            </w:pPr>
            <w:r w:rsidRPr="002B55E9">
              <w:rPr>
                <w:sz w:val="18"/>
                <w:szCs w:val="18"/>
              </w:rPr>
              <w:t>DW001</w:t>
            </w:r>
          </w:p>
          <w:p w14:paraId="33AE4451" w14:textId="77777777" w:rsidR="00D170E5" w:rsidRPr="002B55E9" w:rsidRDefault="00EF27AD">
            <w:pPr>
              <w:adjustRightInd w:val="0"/>
              <w:snapToGrid w:val="0"/>
              <w:jc w:val="center"/>
              <w:rPr>
                <w:sz w:val="18"/>
                <w:szCs w:val="18"/>
              </w:rPr>
            </w:pPr>
            <w:r w:rsidRPr="002B55E9">
              <w:rPr>
                <w:rFonts w:hint="eastAsia"/>
                <w:sz w:val="18"/>
                <w:szCs w:val="18"/>
              </w:rPr>
              <w:t>（佛山市海天（武汉）调味食品有限公司总排口）</w:t>
            </w:r>
          </w:p>
        </w:tc>
        <w:tc>
          <w:tcPr>
            <w:tcW w:w="846" w:type="dxa"/>
            <w:vMerge w:val="restart"/>
            <w:tcBorders>
              <w:top w:val="single" w:sz="12" w:space="0" w:color="auto"/>
            </w:tcBorders>
            <w:vAlign w:val="center"/>
          </w:tcPr>
          <w:p w14:paraId="3F7F9ED5" w14:textId="77777777" w:rsidR="00D170E5" w:rsidRPr="002B55E9" w:rsidRDefault="00EF27AD">
            <w:pPr>
              <w:wordWrap w:val="0"/>
              <w:adjustRightInd w:val="0"/>
              <w:snapToGrid w:val="0"/>
              <w:jc w:val="center"/>
              <w:rPr>
                <w:sz w:val="18"/>
                <w:szCs w:val="18"/>
              </w:rPr>
            </w:pPr>
            <w:r w:rsidRPr="002B55E9">
              <w:rPr>
                <w:sz w:val="18"/>
                <w:szCs w:val="18"/>
              </w:rPr>
              <w:t>113.98828268</w:t>
            </w:r>
          </w:p>
        </w:tc>
        <w:tc>
          <w:tcPr>
            <w:tcW w:w="856" w:type="dxa"/>
            <w:vMerge w:val="restart"/>
            <w:tcBorders>
              <w:top w:val="single" w:sz="12" w:space="0" w:color="auto"/>
            </w:tcBorders>
            <w:vAlign w:val="center"/>
          </w:tcPr>
          <w:p w14:paraId="1DFD2F31" w14:textId="77777777" w:rsidR="00D170E5" w:rsidRPr="002B55E9" w:rsidRDefault="00EF27AD">
            <w:pPr>
              <w:wordWrap w:val="0"/>
              <w:adjustRightInd w:val="0"/>
              <w:snapToGrid w:val="0"/>
              <w:jc w:val="center"/>
              <w:rPr>
                <w:sz w:val="18"/>
                <w:szCs w:val="18"/>
              </w:rPr>
            </w:pPr>
            <w:r w:rsidRPr="002B55E9">
              <w:rPr>
                <w:sz w:val="18"/>
                <w:szCs w:val="18"/>
              </w:rPr>
              <w:t>30.67523557</w:t>
            </w:r>
          </w:p>
        </w:tc>
        <w:tc>
          <w:tcPr>
            <w:tcW w:w="1133" w:type="dxa"/>
            <w:vMerge w:val="restart"/>
            <w:tcBorders>
              <w:top w:val="single" w:sz="12" w:space="0" w:color="auto"/>
            </w:tcBorders>
            <w:vAlign w:val="center"/>
          </w:tcPr>
          <w:p w14:paraId="15082E2A" w14:textId="22DD17F8" w:rsidR="00D170E5" w:rsidRPr="002B55E9" w:rsidRDefault="007C3829">
            <w:pPr>
              <w:adjustRightInd w:val="0"/>
              <w:snapToGrid w:val="0"/>
              <w:jc w:val="center"/>
              <w:rPr>
                <w:sz w:val="18"/>
                <w:szCs w:val="18"/>
              </w:rPr>
            </w:pPr>
            <w:r w:rsidRPr="002B55E9">
              <w:rPr>
                <w:sz w:val="18"/>
                <w:szCs w:val="18"/>
              </w:rPr>
              <w:t>22.96</w:t>
            </w:r>
          </w:p>
        </w:tc>
        <w:tc>
          <w:tcPr>
            <w:tcW w:w="852" w:type="dxa"/>
            <w:vMerge w:val="restart"/>
            <w:tcBorders>
              <w:top w:val="single" w:sz="12" w:space="0" w:color="auto"/>
            </w:tcBorders>
            <w:vAlign w:val="center"/>
          </w:tcPr>
          <w:p w14:paraId="75DFC00B" w14:textId="77777777" w:rsidR="00D170E5" w:rsidRPr="002B55E9" w:rsidRDefault="00EF27AD">
            <w:pPr>
              <w:adjustRightInd w:val="0"/>
              <w:snapToGrid w:val="0"/>
              <w:jc w:val="center"/>
              <w:rPr>
                <w:sz w:val="18"/>
                <w:szCs w:val="18"/>
              </w:rPr>
            </w:pPr>
            <w:r w:rsidRPr="002B55E9">
              <w:rPr>
                <w:rFonts w:hint="eastAsia"/>
                <w:sz w:val="18"/>
                <w:szCs w:val="18"/>
              </w:rPr>
              <w:t>城市污水处理厂</w:t>
            </w:r>
          </w:p>
        </w:tc>
        <w:tc>
          <w:tcPr>
            <w:tcW w:w="709" w:type="dxa"/>
            <w:vMerge w:val="restart"/>
            <w:tcBorders>
              <w:top w:val="single" w:sz="12" w:space="0" w:color="auto"/>
            </w:tcBorders>
            <w:vAlign w:val="center"/>
          </w:tcPr>
          <w:p w14:paraId="23D76E71" w14:textId="77777777" w:rsidR="00D170E5" w:rsidRPr="002B55E9" w:rsidRDefault="00EF27AD">
            <w:pPr>
              <w:adjustRightInd w:val="0"/>
              <w:snapToGrid w:val="0"/>
              <w:jc w:val="center"/>
              <w:rPr>
                <w:sz w:val="18"/>
                <w:szCs w:val="18"/>
              </w:rPr>
            </w:pPr>
            <w:r w:rsidRPr="002B55E9">
              <w:rPr>
                <w:rFonts w:hint="eastAsia"/>
                <w:sz w:val="18"/>
                <w:szCs w:val="18"/>
              </w:rPr>
              <w:t>连续</w:t>
            </w:r>
            <w:r w:rsidRPr="002B55E9">
              <w:rPr>
                <w:sz w:val="18"/>
                <w:szCs w:val="18"/>
              </w:rPr>
              <w:t>排放</w:t>
            </w:r>
          </w:p>
        </w:tc>
        <w:tc>
          <w:tcPr>
            <w:tcW w:w="709" w:type="dxa"/>
            <w:vMerge w:val="restart"/>
            <w:tcBorders>
              <w:top w:val="single" w:sz="12" w:space="0" w:color="auto"/>
            </w:tcBorders>
            <w:vAlign w:val="center"/>
          </w:tcPr>
          <w:p w14:paraId="1AB4B60D" w14:textId="77777777" w:rsidR="00D170E5" w:rsidRPr="002B55E9" w:rsidRDefault="00EF27AD">
            <w:pPr>
              <w:adjustRightInd w:val="0"/>
              <w:snapToGrid w:val="0"/>
              <w:jc w:val="center"/>
              <w:rPr>
                <w:sz w:val="18"/>
                <w:szCs w:val="18"/>
              </w:rPr>
            </w:pPr>
            <w:r w:rsidRPr="002B55E9">
              <w:rPr>
                <w:sz w:val="18"/>
                <w:szCs w:val="18"/>
              </w:rPr>
              <w:t>/</w:t>
            </w:r>
          </w:p>
        </w:tc>
        <w:tc>
          <w:tcPr>
            <w:tcW w:w="422" w:type="dxa"/>
            <w:vMerge w:val="restart"/>
            <w:tcBorders>
              <w:top w:val="single" w:sz="12" w:space="0" w:color="auto"/>
            </w:tcBorders>
            <w:vAlign w:val="center"/>
          </w:tcPr>
          <w:p w14:paraId="21B8D1C3" w14:textId="77777777" w:rsidR="00D170E5" w:rsidRPr="002B55E9" w:rsidRDefault="00EF27AD">
            <w:pPr>
              <w:adjustRightInd w:val="0"/>
              <w:snapToGrid w:val="0"/>
              <w:jc w:val="center"/>
              <w:rPr>
                <w:sz w:val="18"/>
                <w:szCs w:val="18"/>
              </w:rPr>
            </w:pPr>
            <w:r w:rsidRPr="002B55E9">
              <w:rPr>
                <w:sz w:val="18"/>
                <w:szCs w:val="18"/>
              </w:rPr>
              <w:t>东西湖污水处理厂</w:t>
            </w:r>
          </w:p>
        </w:tc>
        <w:tc>
          <w:tcPr>
            <w:tcW w:w="1135" w:type="dxa"/>
            <w:tcBorders>
              <w:top w:val="single" w:sz="12" w:space="0" w:color="auto"/>
              <w:bottom w:val="single" w:sz="4" w:space="0" w:color="auto"/>
            </w:tcBorders>
            <w:vAlign w:val="center"/>
          </w:tcPr>
          <w:p w14:paraId="4A53F2CA" w14:textId="77777777" w:rsidR="00D170E5" w:rsidRPr="002B55E9" w:rsidRDefault="00EF27AD">
            <w:pPr>
              <w:adjustRightInd w:val="0"/>
              <w:snapToGrid w:val="0"/>
              <w:jc w:val="center"/>
              <w:rPr>
                <w:sz w:val="18"/>
                <w:szCs w:val="18"/>
              </w:rPr>
            </w:pPr>
            <w:r w:rsidRPr="002B55E9">
              <w:rPr>
                <w:rFonts w:hint="eastAsia"/>
                <w:sz w:val="18"/>
                <w:szCs w:val="18"/>
              </w:rPr>
              <w:t>pH</w:t>
            </w:r>
          </w:p>
        </w:tc>
        <w:tc>
          <w:tcPr>
            <w:tcW w:w="1557" w:type="dxa"/>
            <w:tcBorders>
              <w:top w:val="single" w:sz="12" w:space="0" w:color="auto"/>
              <w:right w:val="nil"/>
            </w:tcBorders>
            <w:vAlign w:val="center"/>
          </w:tcPr>
          <w:p w14:paraId="11961E21" w14:textId="77777777" w:rsidR="00D170E5" w:rsidRPr="002B55E9" w:rsidRDefault="00EF27AD">
            <w:pPr>
              <w:adjustRightInd w:val="0"/>
              <w:snapToGrid w:val="0"/>
              <w:jc w:val="center"/>
              <w:rPr>
                <w:sz w:val="18"/>
                <w:szCs w:val="18"/>
              </w:rPr>
            </w:pPr>
            <w:r w:rsidRPr="002B55E9">
              <w:rPr>
                <w:rFonts w:hint="eastAsia"/>
                <w:sz w:val="18"/>
                <w:szCs w:val="18"/>
              </w:rPr>
              <w:t>6</w:t>
            </w:r>
            <w:r w:rsidRPr="002B55E9">
              <w:rPr>
                <w:sz w:val="18"/>
                <w:szCs w:val="18"/>
              </w:rPr>
              <w:t>~9</w:t>
            </w:r>
          </w:p>
        </w:tc>
      </w:tr>
      <w:tr w:rsidR="002B55E9" w:rsidRPr="002B55E9" w14:paraId="794456B2" w14:textId="77777777">
        <w:trPr>
          <w:trHeight w:val="292"/>
          <w:jc w:val="center"/>
        </w:trPr>
        <w:tc>
          <w:tcPr>
            <w:tcW w:w="396" w:type="dxa"/>
            <w:vMerge/>
            <w:tcBorders>
              <w:left w:val="nil"/>
            </w:tcBorders>
            <w:vAlign w:val="center"/>
          </w:tcPr>
          <w:p w14:paraId="16B54720" w14:textId="77777777" w:rsidR="00D170E5" w:rsidRPr="002B55E9" w:rsidRDefault="00D170E5">
            <w:pPr>
              <w:adjustRightInd w:val="0"/>
              <w:snapToGrid w:val="0"/>
              <w:jc w:val="center"/>
              <w:rPr>
                <w:sz w:val="18"/>
                <w:szCs w:val="18"/>
              </w:rPr>
            </w:pPr>
          </w:p>
        </w:tc>
        <w:tc>
          <w:tcPr>
            <w:tcW w:w="1022" w:type="dxa"/>
            <w:vMerge/>
            <w:vAlign w:val="center"/>
          </w:tcPr>
          <w:p w14:paraId="43765A49" w14:textId="77777777" w:rsidR="00D170E5" w:rsidRPr="002B55E9" w:rsidRDefault="00D170E5">
            <w:pPr>
              <w:adjustRightInd w:val="0"/>
              <w:snapToGrid w:val="0"/>
              <w:jc w:val="center"/>
              <w:rPr>
                <w:sz w:val="18"/>
                <w:szCs w:val="18"/>
              </w:rPr>
            </w:pPr>
          </w:p>
        </w:tc>
        <w:tc>
          <w:tcPr>
            <w:tcW w:w="846" w:type="dxa"/>
            <w:vMerge/>
            <w:vAlign w:val="center"/>
          </w:tcPr>
          <w:p w14:paraId="2E727D2F" w14:textId="77777777" w:rsidR="00D170E5" w:rsidRPr="002B55E9" w:rsidRDefault="00D170E5">
            <w:pPr>
              <w:adjustRightInd w:val="0"/>
              <w:snapToGrid w:val="0"/>
              <w:jc w:val="center"/>
              <w:rPr>
                <w:sz w:val="18"/>
                <w:szCs w:val="18"/>
              </w:rPr>
            </w:pPr>
          </w:p>
        </w:tc>
        <w:tc>
          <w:tcPr>
            <w:tcW w:w="856" w:type="dxa"/>
            <w:vMerge/>
            <w:vAlign w:val="center"/>
          </w:tcPr>
          <w:p w14:paraId="793945AB" w14:textId="77777777" w:rsidR="00D170E5" w:rsidRPr="002B55E9" w:rsidRDefault="00D170E5">
            <w:pPr>
              <w:adjustRightInd w:val="0"/>
              <w:snapToGrid w:val="0"/>
              <w:jc w:val="center"/>
              <w:rPr>
                <w:sz w:val="18"/>
                <w:szCs w:val="18"/>
              </w:rPr>
            </w:pPr>
          </w:p>
        </w:tc>
        <w:tc>
          <w:tcPr>
            <w:tcW w:w="1133" w:type="dxa"/>
            <w:vMerge/>
            <w:vAlign w:val="center"/>
          </w:tcPr>
          <w:p w14:paraId="2532A9E8" w14:textId="77777777" w:rsidR="00D170E5" w:rsidRPr="002B55E9" w:rsidRDefault="00D170E5">
            <w:pPr>
              <w:adjustRightInd w:val="0"/>
              <w:snapToGrid w:val="0"/>
              <w:jc w:val="center"/>
              <w:rPr>
                <w:sz w:val="18"/>
                <w:szCs w:val="18"/>
              </w:rPr>
            </w:pPr>
          </w:p>
        </w:tc>
        <w:tc>
          <w:tcPr>
            <w:tcW w:w="852" w:type="dxa"/>
            <w:vMerge/>
            <w:vAlign w:val="center"/>
          </w:tcPr>
          <w:p w14:paraId="23ACFBA1" w14:textId="77777777" w:rsidR="00D170E5" w:rsidRPr="002B55E9" w:rsidRDefault="00D170E5">
            <w:pPr>
              <w:adjustRightInd w:val="0"/>
              <w:snapToGrid w:val="0"/>
              <w:jc w:val="center"/>
              <w:rPr>
                <w:sz w:val="18"/>
                <w:szCs w:val="18"/>
              </w:rPr>
            </w:pPr>
          </w:p>
        </w:tc>
        <w:tc>
          <w:tcPr>
            <w:tcW w:w="709" w:type="dxa"/>
            <w:vMerge/>
            <w:vAlign w:val="center"/>
          </w:tcPr>
          <w:p w14:paraId="3E3E1ADE" w14:textId="77777777" w:rsidR="00D170E5" w:rsidRPr="002B55E9" w:rsidRDefault="00D170E5">
            <w:pPr>
              <w:adjustRightInd w:val="0"/>
              <w:snapToGrid w:val="0"/>
              <w:jc w:val="center"/>
              <w:rPr>
                <w:sz w:val="18"/>
                <w:szCs w:val="18"/>
              </w:rPr>
            </w:pPr>
          </w:p>
        </w:tc>
        <w:tc>
          <w:tcPr>
            <w:tcW w:w="709" w:type="dxa"/>
            <w:vMerge/>
            <w:vAlign w:val="center"/>
          </w:tcPr>
          <w:p w14:paraId="6F998625" w14:textId="77777777" w:rsidR="00D170E5" w:rsidRPr="002B55E9" w:rsidRDefault="00D170E5">
            <w:pPr>
              <w:adjustRightInd w:val="0"/>
              <w:snapToGrid w:val="0"/>
              <w:jc w:val="center"/>
              <w:rPr>
                <w:sz w:val="18"/>
                <w:szCs w:val="18"/>
              </w:rPr>
            </w:pPr>
          </w:p>
        </w:tc>
        <w:tc>
          <w:tcPr>
            <w:tcW w:w="422" w:type="dxa"/>
            <w:vMerge/>
            <w:vAlign w:val="center"/>
          </w:tcPr>
          <w:p w14:paraId="6FBC2EED"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2161331C" w14:textId="77777777" w:rsidR="00D170E5" w:rsidRPr="002B55E9" w:rsidRDefault="00EF27AD">
            <w:pPr>
              <w:adjustRightInd w:val="0"/>
              <w:snapToGrid w:val="0"/>
              <w:jc w:val="center"/>
              <w:rPr>
                <w:sz w:val="18"/>
                <w:szCs w:val="18"/>
              </w:rPr>
            </w:pPr>
            <w:r w:rsidRPr="002B55E9">
              <w:rPr>
                <w:sz w:val="18"/>
                <w:szCs w:val="18"/>
              </w:rPr>
              <w:t>COD</w:t>
            </w:r>
          </w:p>
        </w:tc>
        <w:tc>
          <w:tcPr>
            <w:tcW w:w="1557" w:type="dxa"/>
            <w:tcBorders>
              <w:right w:val="nil"/>
            </w:tcBorders>
            <w:vAlign w:val="center"/>
          </w:tcPr>
          <w:p w14:paraId="28F27A23" w14:textId="77777777" w:rsidR="00D170E5" w:rsidRPr="002B55E9" w:rsidRDefault="00EF27AD">
            <w:pPr>
              <w:adjustRightInd w:val="0"/>
              <w:snapToGrid w:val="0"/>
              <w:jc w:val="center"/>
              <w:rPr>
                <w:sz w:val="18"/>
                <w:szCs w:val="18"/>
              </w:rPr>
            </w:pPr>
            <w:r w:rsidRPr="002B55E9">
              <w:rPr>
                <w:sz w:val="18"/>
                <w:szCs w:val="18"/>
              </w:rPr>
              <w:t>50</w:t>
            </w:r>
          </w:p>
        </w:tc>
      </w:tr>
      <w:tr w:rsidR="002B55E9" w:rsidRPr="002B55E9" w14:paraId="07005AC5" w14:textId="77777777">
        <w:trPr>
          <w:trHeight w:val="292"/>
          <w:jc w:val="center"/>
        </w:trPr>
        <w:tc>
          <w:tcPr>
            <w:tcW w:w="396" w:type="dxa"/>
            <w:vMerge/>
            <w:tcBorders>
              <w:left w:val="nil"/>
            </w:tcBorders>
            <w:vAlign w:val="center"/>
          </w:tcPr>
          <w:p w14:paraId="4DBEDD87" w14:textId="77777777" w:rsidR="00D170E5" w:rsidRPr="002B55E9" w:rsidRDefault="00D170E5">
            <w:pPr>
              <w:adjustRightInd w:val="0"/>
              <w:snapToGrid w:val="0"/>
              <w:jc w:val="center"/>
              <w:rPr>
                <w:sz w:val="18"/>
                <w:szCs w:val="18"/>
              </w:rPr>
            </w:pPr>
          </w:p>
        </w:tc>
        <w:tc>
          <w:tcPr>
            <w:tcW w:w="1022" w:type="dxa"/>
            <w:vMerge/>
            <w:vAlign w:val="center"/>
          </w:tcPr>
          <w:p w14:paraId="2E456F6B" w14:textId="77777777" w:rsidR="00D170E5" w:rsidRPr="002B55E9" w:rsidRDefault="00D170E5">
            <w:pPr>
              <w:adjustRightInd w:val="0"/>
              <w:snapToGrid w:val="0"/>
              <w:jc w:val="center"/>
              <w:rPr>
                <w:sz w:val="18"/>
                <w:szCs w:val="18"/>
              </w:rPr>
            </w:pPr>
          </w:p>
        </w:tc>
        <w:tc>
          <w:tcPr>
            <w:tcW w:w="846" w:type="dxa"/>
            <w:vMerge/>
            <w:vAlign w:val="center"/>
          </w:tcPr>
          <w:p w14:paraId="38D01A83" w14:textId="77777777" w:rsidR="00D170E5" w:rsidRPr="002B55E9" w:rsidRDefault="00D170E5">
            <w:pPr>
              <w:adjustRightInd w:val="0"/>
              <w:snapToGrid w:val="0"/>
              <w:jc w:val="center"/>
              <w:rPr>
                <w:sz w:val="18"/>
                <w:szCs w:val="18"/>
              </w:rPr>
            </w:pPr>
          </w:p>
        </w:tc>
        <w:tc>
          <w:tcPr>
            <w:tcW w:w="856" w:type="dxa"/>
            <w:vMerge/>
            <w:vAlign w:val="center"/>
          </w:tcPr>
          <w:p w14:paraId="2295E7BD" w14:textId="77777777" w:rsidR="00D170E5" w:rsidRPr="002B55E9" w:rsidRDefault="00D170E5">
            <w:pPr>
              <w:adjustRightInd w:val="0"/>
              <w:snapToGrid w:val="0"/>
              <w:jc w:val="center"/>
              <w:rPr>
                <w:sz w:val="18"/>
                <w:szCs w:val="18"/>
              </w:rPr>
            </w:pPr>
          </w:p>
        </w:tc>
        <w:tc>
          <w:tcPr>
            <w:tcW w:w="1133" w:type="dxa"/>
            <w:vMerge/>
            <w:vAlign w:val="center"/>
          </w:tcPr>
          <w:p w14:paraId="6BE7F076" w14:textId="77777777" w:rsidR="00D170E5" w:rsidRPr="002B55E9" w:rsidRDefault="00D170E5">
            <w:pPr>
              <w:adjustRightInd w:val="0"/>
              <w:snapToGrid w:val="0"/>
              <w:jc w:val="center"/>
              <w:rPr>
                <w:sz w:val="18"/>
                <w:szCs w:val="18"/>
              </w:rPr>
            </w:pPr>
          </w:p>
        </w:tc>
        <w:tc>
          <w:tcPr>
            <w:tcW w:w="852" w:type="dxa"/>
            <w:vMerge/>
            <w:vAlign w:val="center"/>
          </w:tcPr>
          <w:p w14:paraId="3C00BE8D" w14:textId="77777777" w:rsidR="00D170E5" w:rsidRPr="002B55E9" w:rsidRDefault="00D170E5">
            <w:pPr>
              <w:adjustRightInd w:val="0"/>
              <w:snapToGrid w:val="0"/>
              <w:jc w:val="center"/>
              <w:rPr>
                <w:sz w:val="18"/>
                <w:szCs w:val="18"/>
              </w:rPr>
            </w:pPr>
          </w:p>
        </w:tc>
        <w:tc>
          <w:tcPr>
            <w:tcW w:w="709" w:type="dxa"/>
            <w:vMerge/>
            <w:vAlign w:val="center"/>
          </w:tcPr>
          <w:p w14:paraId="039AFF6B" w14:textId="77777777" w:rsidR="00D170E5" w:rsidRPr="002B55E9" w:rsidRDefault="00D170E5">
            <w:pPr>
              <w:adjustRightInd w:val="0"/>
              <w:snapToGrid w:val="0"/>
              <w:jc w:val="center"/>
              <w:rPr>
                <w:sz w:val="18"/>
                <w:szCs w:val="18"/>
              </w:rPr>
            </w:pPr>
          </w:p>
        </w:tc>
        <w:tc>
          <w:tcPr>
            <w:tcW w:w="709" w:type="dxa"/>
            <w:vMerge/>
            <w:vAlign w:val="center"/>
          </w:tcPr>
          <w:p w14:paraId="6C455754" w14:textId="77777777" w:rsidR="00D170E5" w:rsidRPr="002B55E9" w:rsidRDefault="00D170E5">
            <w:pPr>
              <w:adjustRightInd w:val="0"/>
              <w:snapToGrid w:val="0"/>
              <w:jc w:val="center"/>
              <w:rPr>
                <w:sz w:val="18"/>
                <w:szCs w:val="18"/>
              </w:rPr>
            </w:pPr>
          </w:p>
        </w:tc>
        <w:tc>
          <w:tcPr>
            <w:tcW w:w="422" w:type="dxa"/>
            <w:vMerge/>
            <w:vAlign w:val="center"/>
          </w:tcPr>
          <w:p w14:paraId="3B3418D8"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58A9DC87" w14:textId="77777777" w:rsidR="00D170E5" w:rsidRPr="002B55E9" w:rsidRDefault="00EF27AD">
            <w:pPr>
              <w:adjustRightInd w:val="0"/>
              <w:snapToGrid w:val="0"/>
              <w:jc w:val="center"/>
              <w:rPr>
                <w:sz w:val="18"/>
                <w:szCs w:val="18"/>
              </w:rPr>
            </w:pPr>
            <w:r w:rsidRPr="002B55E9">
              <w:rPr>
                <w:sz w:val="18"/>
                <w:szCs w:val="18"/>
              </w:rPr>
              <w:t>BOD</w:t>
            </w:r>
            <w:r w:rsidRPr="002B55E9">
              <w:rPr>
                <w:sz w:val="18"/>
                <w:szCs w:val="18"/>
                <w:vertAlign w:val="subscript"/>
              </w:rPr>
              <w:t>5</w:t>
            </w:r>
          </w:p>
        </w:tc>
        <w:tc>
          <w:tcPr>
            <w:tcW w:w="1557" w:type="dxa"/>
            <w:tcBorders>
              <w:right w:val="nil"/>
            </w:tcBorders>
            <w:vAlign w:val="center"/>
          </w:tcPr>
          <w:p w14:paraId="077DFA84" w14:textId="77777777" w:rsidR="00D170E5" w:rsidRPr="002B55E9" w:rsidRDefault="00EF27AD">
            <w:pPr>
              <w:adjustRightInd w:val="0"/>
              <w:snapToGrid w:val="0"/>
              <w:jc w:val="center"/>
              <w:rPr>
                <w:sz w:val="18"/>
                <w:szCs w:val="18"/>
              </w:rPr>
            </w:pPr>
            <w:r w:rsidRPr="002B55E9">
              <w:rPr>
                <w:sz w:val="18"/>
                <w:szCs w:val="18"/>
              </w:rPr>
              <w:t>10</w:t>
            </w:r>
          </w:p>
        </w:tc>
      </w:tr>
      <w:tr w:rsidR="002B55E9" w:rsidRPr="002B55E9" w14:paraId="2D75DAA0" w14:textId="77777777">
        <w:trPr>
          <w:trHeight w:val="155"/>
          <w:jc w:val="center"/>
        </w:trPr>
        <w:tc>
          <w:tcPr>
            <w:tcW w:w="396" w:type="dxa"/>
            <w:vMerge/>
            <w:tcBorders>
              <w:left w:val="nil"/>
            </w:tcBorders>
            <w:vAlign w:val="center"/>
          </w:tcPr>
          <w:p w14:paraId="33A6EF9D" w14:textId="77777777" w:rsidR="00D170E5" w:rsidRPr="002B55E9" w:rsidRDefault="00D170E5">
            <w:pPr>
              <w:adjustRightInd w:val="0"/>
              <w:snapToGrid w:val="0"/>
              <w:jc w:val="center"/>
              <w:rPr>
                <w:sz w:val="18"/>
                <w:szCs w:val="18"/>
              </w:rPr>
            </w:pPr>
          </w:p>
        </w:tc>
        <w:tc>
          <w:tcPr>
            <w:tcW w:w="1022" w:type="dxa"/>
            <w:vMerge/>
            <w:vAlign w:val="center"/>
          </w:tcPr>
          <w:p w14:paraId="26432EC8" w14:textId="77777777" w:rsidR="00D170E5" w:rsidRPr="002B55E9" w:rsidRDefault="00D170E5">
            <w:pPr>
              <w:adjustRightInd w:val="0"/>
              <w:snapToGrid w:val="0"/>
              <w:jc w:val="center"/>
              <w:rPr>
                <w:sz w:val="18"/>
                <w:szCs w:val="18"/>
              </w:rPr>
            </w:pPr>
          </w:p>
        </w:tc>
        <w:tc>
          <w:tcPr>
            <w:tcW w:w="846" w:type="dxa"/>
            <w:vMerge/>
            <w:vAlign w:val="center"/>
          </w:tcPr>
          <w:p w14:paraId="7A6672D6" w14:textId="77777777" w:rsidR="00D170E5" w:rsidRPr="002B55E9" w:rsidRDefault="00D170E5">
            <w:pPr>
              <w:adjustRightInd w:val="0"/>
              <w:snapToGrid w:val="0"/>
              <w:jc w:val="center"/>
              <w:rPr>
                <w:sz w:val="18"/>
                <w:szCs w:val="18"/>
              </w:rPr>
            </w:pPr>
          </w:p>
        </w:tc>
        <w:tc>
          <w:tcPr>
            <w:tcW w:w="856" w:type="dxa"/>
            <w:vMerge/>
            <w:vAlign w:val="center"/>
          </w:tcPr>
          <w:p w14:paraId="4750872F" w14:textId="77777777" w:rsidR="00D170E5" w:rsidRPr="002B55E9" w:rsidRDefault="00D170E5">
            <w:pPr>
              <w:adjustRightInd w:val="0"/>
              <w:snapToGrid w:val="0"/>
              <w:jc w:val="center"/>
              <w:rPr>
                <w:sz w:val="18"/>
                <w:szCs w:val="18"/>
              </w:rPr>
            </w:pPr>
          </w:p>
        </w:tc>
        <w:tc>
          <w:tcPr>
            <w:tcW w:w="1133" w:type="dxa"/>
            <w:vMerge/>
            <w:vAlign w:val="center"/>
          </w:tcPr>
          <w:p w14:paraId="775EF142" w14:textId="77777777" w:rsidR="00D170E5" w:rsidRPr="002B55E9" w:rsidRDefault="00D170E5">
            <w:pPr>
              <w:adjustRightInd w:val="0"/>
              <w:snapToGrid w:val="0"/>
              <w:jc w:val="center"/>
              <w:rPr>
                <w:sz w:val="18"/>
                <w:szCs w:val="18"/>
              </w:rPr>
            </w:pPr>
          </w:p>
        </w:tc>
        <w:tc>
          <w:tcPr>
            <w:tcW w:w="852" w:type="dxa"/>
            <w:vMerge/>
            <w:vAlign w:val="center"/>
          </w:tcPr>
          <w:p w14:paraId="105A735B" w14:textId="77777777" w:rsidR="00D170E5" w:rsidRPr="002B55E9" w:rsidRDefault="00D170E5">
            <w:pPr>
              <w:adjustRightInd w:val="0"/>
              <w:snapToGrid w:val="0"/>
              <w:jc w:val="center"/>
              <w:rPr>
                <w:sz w:val="18"/>
                <w:szCs w:val="18"/>
              </w:rPr>
            </w:pPr>
          </w:p>
        </w:tc>
        <w:tc>
          <w:tcPr>
            <w:tcW w:w="709" w:type="dxa"/>
            <w:vMerge/>
            <w:vAlign w:val="center"/>
          </w:tcPr>
          <w:p w14:paraId="79081FA1" w14:textId="77777777" w:rsidR="00D170E5" w:rsidRPr="002B55E9" w:rsidRDefault="00D170E5">
            <w:pPr>
              <w:adjustRightInd w:val="0"/>
              <w:snapToGrid w:val="0"/>
              <w:jc w:val="center"/>
              <w:rPr>
                <w:sz w:val="18"/>
                <w:szCs w:val="18"/>
              </w:rPr>
            </w:pPr>
          </w:p>
        </w:tc>
        <w:tc>
          <w:tcPr>
            <w:tcW w:w="709" w:type="dxa"/>
            <w:vMerge/>
            <w:vAlign w:val="center"/>
          </w:tcPr>
          <w:p w14:paraId="47B25ED2" w14:textId="77777777" w:rsidR="00D170E5" w:rsidRPr="002B55E9" w:rsidRDefault="00D170E5">
            <w:pPr>
              <w:adjustRightInd w:val="0"/>
              <w:snapToGrid w:val="0"/>
              <w:jc w:val="center"/>
              <w:rPr>
                <w:sz w:val="18"/>
                <w:szCs w:val="18"/>
              </w:rPr>
            </w:pPr>
          </w:p>
        </w:tc>
        <w:tc>
          <w:tcPr>
            <w:tcW w:w="422" w:type="dxa"/>
            <w:vMerge/>
            <w:vAlign w:val="center"/>
          </w:tcPr>
          <w:p w14:paraId="20EC7788"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2AB25CB2" w14:textId="77777777" w:rsidR="00D170E5" w:rsidRPr="002B55E9" w:rsidRDefault="00EF27AD">
            <w:pPr>
              <w:adjustRightInd w:val="0"/>
              <w:snapToGrid w:val="0"/>
              <w:jc w:val="center"/>
              <w:rPr>
                <w:sz w:val="18"/>
                <w:szCs w:val="18"/>
              </w:rPr>
            </w:pPr>
            <w:r w:rsidRPr="002B55E9">
              <w:rPr>
                <w:sz w:val="18"/>
                <w:szCs w:val="18"/>
              </w:rPr>
              <w:t>SS</w:t>
            </w:r>
          </w:p>
        </w:tc>
        <w:tc>
          <w:tcPr>
            <w:tcW w:w="1557" w:type="dxa"/>
            <w:tcBorders>
              <w:right w:val="nil"/>
            </w:tcBorders>
            <w:vAlign w:val="center"/>
          </w:tcPr>
          <w:p w14:paraId="179AECA9" w14:textId="77777777" w:rsidR="00D170E5" w:rsidRPr="002B55E9" w:rsidRDefault="00EF27AD">
            <w:pPr>
              <w:adjustRightInd w:val="0"/>
              <w:snapToGrid w:val="0"/>
              <w:jc w:val="center"/>
              <w:rPr>
                <w:sz w:val="18"/>
                <w:szCs w:val="18"/>
              </w:rPr>
            </w:pPr>
            <w:r w:rsidRPr="002B55E9">
              <w:rPr>
                <w:sz w:val="18"/>
                <w:szCs w:val="18"/>
              </w:rPr>
              <w:t>10</w:t>
            </w:r>
          </w:p>
        </w:tc>
      </w:tr>
      <w:tr w:rsidR="002B55E9" w:rsidRPr="002B55E9" w14:paraId="3694AA55" w14:textId="77777777">
        <w:trPr>
          <w:trHeight w:val="154"/>
          <w:jc w:val="center"/>
        </w:trPr>
        <w:tc>
          <w:tcPr>
            <w:tcW w:w="396" w:type="dxa"/>
            <w:vMerge/>
            <w:tcBorders>
              <w:left w:val="nil"/>
            </w:tcBorders>
            <w:vAlign w:val="center"/>
          </w:tcPr>
          <w:p w14:paraId="1D50EDB1" w14:textId="77777777" w:rsidR="00D170E5" w:rsidRPr="002B55E9" w:rsidRDefault="00D170E5">
            <w:pPr>
              <w:adjustRightInd w:val="0"/>
              <w:snapToGrid w:val="0"/>
              <w:jc w:val="center"/>
              <w:rPr>
                <w:sz w:val="18"/>
                <w:szCs w:val="18"/>
              </w:rPr>
            </w:pPr>
          </w:p>
        </w:tc>
        <w:tc>
          <w:tcPr>
            <w:tcW w:w="1022" w:type="dxa"/>
            <w:vMerge/>
            <w:vAlign w:val="center"/>
          </w:tcPr>
          <w:p w14:paraId="44BB504E" w14:textId="77777777" w:rsidR="00D170E5" w:rsidRPr="002B55E9" w:rsidRDefault="00D170E5">
            <w:pPr>
              <w:adjustRightInd w:val="0"/>
              <w:snapToGrid w:val="0"/>
              <w:jc w:val="center"/>
              <w:rPr>
                <w:sz w:val="18"/>
                <w:szCs w:val="18"/>
              </w:rPr>
            </w:pPr>
          </w:p>
        </w:tc>
        <w:tc>
          <w:tcPr>
            <w:tcW w:w="846" w:type="dxa"/>
            <w:vMerge/>
            <w:vAlign w:val="center"/>
          </w:tcPr>
          <w:p w14:paraId="6104923B" w14:textId="77777777" w:rsidR="00D170E5" w:rsidRPr="002B55E9" w:rsidRDefault="00D170E5">
            <w:pPr>
              <w:adjustRightInd w:val="0"/>
              <w:snapToGrid w:val="0"/>
              <w:jc w:val="center"/>
              <w:rPr>
                <w:sz w:val="18"/>
                <w:szCs w:val="18"/>
              </w:rPr>
            </w:pPr>
          </w:p>
        </w:tc>
        <w:tc>
          <w:tcPr>
            <w:tcW w:w="856" w:type="dxa"/>
            <w:vMerge/>
            <w:vAlign w:val="center"/>
          </w:tcPr>
          <w:p w14:paraId="076ACFBB" w14:textId="77777777" w:rsidR="00D170E5" w:rsidRPr="002B55E9" w:rsidRDefault="00D170E5">
            <w:pPr>
              <w:adjustRightInd w:val="0"/>
              <w:snapToGrid w:val="0"/>
              <w:jc w:val="center"/>
              <w:rPr>
                <w:sz w:val="18"/>
                <w:szCs w:val="18"/>
              </w:rPr>
            </w:pPr>
          </w:p>
        </w:tc>
        <w:tc>
          <w:tcPr>
            <w:tcW w:w="1133" w:type="dxa"/>
            <w:vMerge/>
            <w:vAlign w:val="center"/>
          </w:tcPr>
          <w:p w14:paraId="27AFFACC" w14:textId="77777777" w:rsidR="00D170E5" w:rsidRPr="002B55E9" w:rsidRDefault="00D170E5">
            <w:pPr>
              <w:adjustRightInd w:val="0"/>
              <w:snapToGrid w:val="0"/>
              <w:jc w:val="center"/>
              <w:rPr>
                <w:sz w:val="18"/>
                <w:szCs w:val="18"/>
              </w:rPr>
            </w:pPr>
          </w:p>
        </w:tc>
        <w:tc>
          <w:tcPr>
            <w:tcW w:w="852" w:type="dxa"/>
            <w:vMerge/>
            <w:vAlign w:val="center"/>
          </w:tcPr>
          <w:p w14:paraId="253530FD" w14:textId="77777777" w:rsidR="00D170E5" w:rsidRPr="002B55E9" w:rsidRDefault="00D170E5">
            <w:pPr>
              <w:adjustRightInd w:val="0"/>
              <w:snapToGrid w:val="0"/>
              <w:jc w:val="center"/>
              <w:rPr>
                <w:sz w:val="18"/>
                <w:szCs w:val="18"/>
              </w:rPr>
            </w:pPr>
          </w:p>
        </w:tc>
        <w:tc>
          <w:tcPr>
            <w:tcW w:w="709" w:type="dxa"/>
            <w:vMerge/>
            <w:vAlign w:val="center"/>
          </w:tcPr>
          <w:p w14:paraId="04A51B54" w14:textId="77777777" w:rsidR="00D170E5" w:rsidRPr="002B55E9" w:rsidRDefault="00D170E5">
            <w:pPr>
              <w:adjustRightInd w:val="0"/>
              <w:snapToGrid w:val="0"/>
              <w:jc w:val="center"/>
              <w:rPr>
                <w:sz w:val="18"/>
                <w:szCs w:val="18"/>
              </w:rPr>
            </w:pPr>
          </w:p>
        </w:tc>
        <w:tc>
          <w:tcPr>
            <w:tcW w:w="709" w:type="dxa"/>
            <w:vMerge/>
            <w:vAlign w:val="center"/>
          </w:tcPr>
          <w:p w14:paraId="4D160895" w14:textId="77777777" w:rsidR="00D170E5" w:rsidRPr="002B55E9" w:rsidRDefault="00D170E5">
            <w:pPr>
              <w:adjustRightInd w:val="0"/>
              <w:snapToGrid w:val="0"/>
              <w:jc w:val="center"/>
              <w:rPr>
                <w:sz w:val="18"/>
                <w:szCs w:val="18"/>
              </w:rPr>
            </w:pPr>
          </w:p>
        </w:tc>
        <w:tc>
          <w:tcPr>
            <w:tcW w:w="422" w:type="dxa"/>
            <w:vMerge/>
            <w:vAlign w:val="center"/>
          </w:tcPr>
          <w:p w14:paraId="61541644"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71E71C3F" w14:textId="77777777" w:rsidR="00D170E5" w:rsidRPr="002B55E9" w:rsidRDefault="00EF27AD">
            <w:pPr>
              <w:adjustRightInd w:val="0"/>
              <w:snapToGrid w:val="0"/>
              <w:jc w:val="center"/>
              <w:rPr>
                <w:sz w:val="18"/>
                <w:szCs w:val="18"/>
              </w:rPr>
            </w:pPr>
            <w:r w:rsidRPr="002B55E9">
              <w:rPr>
                <w:sz w:val="18"/>
                <w:szCs w:val="18"/>
              </w:rPr>
              <w:t>氨氮</w:t>
            </w:r>
          </w:p>
        </w:tc>
        <w:tc>
          <w:tcPr>
            <w:tcW w:w="1557" w:type="dxa"/>
            <w:tcBorders>
              <w:right w:val="nil"/>
            </w:tcBorders>
            <w:vAlign w:val="center"/>
          </w:tcPr>
          <w:p w14:paraId="4A338C28" w14:textId="77777777" w:rsidR="00D170E5" w:rsidRPr="002B55E9" w:rsidRDefault="00EF27AD">
            <w:pPr>
              <w:adjustRightInd w:val="0"/>
              <w:snapToGrid w:val="0"/>
              <w:jc w:val="center"/>
              <w:rPr>
                <w:sz w:val="18"/>
                <w:szCs w:val="18"/>
              </w:rPr>
            </w:pPr>
            <w:r w:rsidRPr="002B55E9">
              <w:rPr>
                <w:sz w:val="18"/>
                <w:szCs w:val="18"/>
              </w:rPr>
              <w:t>5</w:t>
            </w:r>
          </w:p>
        </w:tc>
      </w:tr>
      <w:tr w:rsidR="002B55E9" w:rsidRPr="002B55E9" w14:paraId="79E12F56" w14:textId="77777777">
        <w:trPr>
          <w:trHeight w:val="154"/>
          <w:jc w:val="center"/>
        </w:trPr>
        <w:tc>
          <w:tcPr>
            <w:tcW w:w="396" w:type="dxa"/>
            <w:vMerge/>
            <w:tcBorders>
              <w:left w:val="nil"/>
            </w:tcBorders>
            <w:vAlign w:val="center"/>
          </w:tcPr>
          <w:p w14:paraId="00574384" w14:textId="77777777" w:rsidR="00D170E5" w:rsidRPr="002B55E9" w:rsidRDefault="00D170E5">
            <w:pPr>
              <w:adjustRightInd w:val="0"/>
              <w:snapToGrid w:val="0"/>
              <w:jc w:val="center"/>
              <w:rPr>
                <w:sz w:val="18"/>
                <w:szCs w:val="18"/>
              </w:rPr>
            </w:pPr>
          </w:p>
        </w:tc>
        <w:tc>
          <w:tcPr>
            <w:tcW w:w="1022" w:type="dxa"/>
            <w:vMerge/>
            <w:vAlign w:val="center"/>
          </w:tcPr>
          <w:p w14:paraId="2EC5E11E" w14:textId="77777777" w:rsidR="00D170E5" w:rsidRPr="002B55E9" w:rsidRDefault="00D170E5">
            <w:pPr>
              <w:adjustRightInd w:val="0"/>
              <w:snapToGrid w:val="0"/>
              <w:jc w:val="center"/>
              <w:rPr>
                <w:sz w:val="18"/>
                <w:szCs w:val="18"/>
              </w:rPr>
            </w:pPr>
          </w:p>
        </w:tc>
        <w:tc>
          <w:tcPr>
            <w:tcW w:w="846" w:type="dxa"/>
            <w:vMerge/>
            <w:vAlign w:val="center"/>
          </w:tcPr>
          <w:p w14:paraId="7859FE49" w14:textId="77777777" w:rsidR="00D170E5" w:rsidRPr="002B55E9" w:rsidRDefault="00D170E5">
            <w:pPr>
              <w:adjustRightInd w:val="0"/>
              <w:snapToGrid w:val="0"/>
              <w:jc w:val="center"/>
              <w:rPr>
                <w:sz w:val="18"/>
                <w:szCs w:val="18"/>
              </w:rPr>
            </w:pPr>
          </w:p>
        </w:tc>
        <w:tc>
          <w:tcPr>
            <w:tcW w:w="856" w:type="dxa"/>
            <w:vMerge/>
            <w:vAlign w:val="center"/>
          </w:tcPr>
          <w:p w14:paraId="2F7D1C33" w14:textId="77777777" w:rsidR="00D170E5" w:rsidRPr="002B55E9" w:rsidRDefault="00D170E5">
            <w:pPr>
              <w:adjustRightInd w:val="0"/>
              <w:snapToGrid w:val="0"/>
              <w:jc w:val="center"/>
              <w:rPr>
                <w:sz w:val="18"/>
                <w:szCs w:val="18"/>
              </w:rPr>
            </w:pPr>
          </w:p>
        </w:tc>
        <w:tc>
          <w:tcPr>
            <w:tcW w:w="1133" w:type="dxa"/>
            <w:vMerge/>
            <w:vAlign w:val="center"/>
          </w:tcPr>
          <w:p w14:paraId="6DAF96BC" w14:textId="77777777" w:rsidR="00D170E5" w:rsidRPr="002B55E9" w:rsidRDefault="00D170E5">
            <w:pPr>
              <w:adjustRightInd w:val="0"/>
              <w:snapToGrid w:val="0"/>
              <w:jc w:val="center"/>
              <w:rPr>
                <w:sz w:val="18"/>
                <w:szCs w:val="18"/>
              </w:rPr>
            </w:pPr>
          </w:p>
        </w:tc>
        <w:tc>
          <w:tcPr>
            <w:tcW w:w="852" w:type="dxa"/>
            <w:vMerge/>
            <w:vAlign w:val="center"/>
          </w:tcPr>
          <w:p w14:paraId="04368BB5" w14:textId="77777777" w:rsidR="00D170E5" w:rsidRPr="002B55E9" w:rsidRDefault="00D170E5">
            <w:pPr>
              <w:adjustRightInd w:val="0"/>
              <w:snapToGrid w:val="0"/>
              <w:jc w:val="center"/>
              <w:rPr>
                <w:sz w:val="18"/>
                <w:szCs w:val="18"/>
              </w:rPr>
            </w:pPr>
          </w:p>
        </w:tc>
        <w:tc>
          <w:tcPr>
            <w:tcW w:w="709" w:type="dxa"/>
            <w:vMerge/>
            <w:vAlign w:val="center"/>
          </w:tcPr>
          <w:p w14:paraId="3B9A5753" w14:textId="77777777" w:rsidR="00D170E5" w:rsidRPr="002B55E9" w:rsidRDefault="00D170E5">
            <w:pPr>
              <w:adjustRightInd w:val="0"/>
              <w:snapToGrid w:val="0"/>
              <w:jc w:val="center"/>
              <w:rPr>
                <w:sz w:val="18"/>
                <w:szCs w:val="18"/>
              </w:rPr>
            </w:pPr>
          </w:p>
        </w:tc>
        <w:tc>
          <w:tcPr>
            <w:tcW w:w="709" w:type="dxa"/>
            <w:vMerge/>
            <w:vAlign w:val="center"/>
          </w:tcPr>
          <w:p w14:paraId="2B14EA50" w14:textId="77777777" w:rsidR="00D170E5" w:rsidRPr="002B55E9" w:rsidRDefault="00D170E5">
            <w:pPr>
              <w:adjustRightInd w:val="0"/>
              <w:snapToGrid w:val="0"/>
              <w:jc w:val="center"/>
              <w:rPr>
                <w:sz w:val="18"/>
                <w:szCs w:val="18"/>
              </w:rPr>
            </w:pPr>
          </w:p>
        </w:tc>
        <w:tc>
          <w:tcPr>
            <w:tcW w:w="422" w:type="dxa"/>
            <w:vMerge/>
            <w:vAlign w:val="center"/>
          </w:tcPr>
          <w:p w14:paraId="5C6DCCC3"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7B553C8A" w14:textId="77777777" w:rsidR="00D170E5" w:rsidRPr="002B55E9" w:rsidRDefault="00EF27AD">
            <w:pPr>
              <w:adjustRightInd w:val="0"/>
              <w:snapToGrid w:val="0"/>
              <w:jc w:val="center"/>
              <w:rPr>
                <w:sz w:val="18"/>
                <w:szCs w:val="18"/>
              </w:rPr>
            </w:pPr>
            <w:r w:rsidRPr="002B55E9">
              <w:rPr>
                <w:sz w:val="18"/>
                <w:szCs w:val="18"/>
              </w:rPr>
              <w:t>总氮</w:t>
            </w:r>
          </w:p>
        </w:tc>
        <w:tc>
          <w:tcPr>
            <w:tcW w:w="1557" w:type="dxa"/>
            <w:tcBorders>
              <w:right w:val="nil"/>
            </w:tcBorders>
            <w:vAlign w:val="center"/>
          </w:tcPr>
          <w:p w14:paraId="100062F6" w14:textId="77777777" w:rsidR="00D170E5" w:rsidRPr="002B55E9" w:rsidRDefault="00EF27AD">
            <w:pPr>
              <w:adjustRightInd w:val="0"/>
              <w:snapToGrid w:val="0"/>
              <w:jc w:val="center"/>
              <w:rPr>
                <w:sz w:val="18"/>
                <w:szCs w:val="18"/>
              </w:rPr>
            </w:pPr>
            <w:r w:rsidRPr="002B55E9">
              <w:rPr>
                <w:sz w:val="18"/>
                <w:szCs w:val="18"/>
              </w:rPr>
              <w:t>15</w:t>
            </w:r>
          </w:p>
        </w:tc>
      </w:tr>
      <w:tr w:rsidR="002B55E9" w:rsidRPr="002B55E9" w14:paraId="78CFD1EE" w14:textId="77777777">
        <w:trPr>
          <w:trHeight w:val="154"/>
          <w:jc w:val="center"/>
        </w:trPr>
        <w:tc>
          <w:tcPr>
            <w:tcW w:w="396" w:type="dxa"/>
            <w:vMerge/>
            <w:tcBorders>
              <w:left w:val="nil"/>
            </w:tcBorders>
            <w:vAlign w:val="center"/>
          </w:tcPr>
          <w:p w14:paraId="4EE1EA61" w14:textId="77777777" w:rsidR="00D170E5" w:rsidRPr="002B55E9" w:rsidRDefault="00D170E5">
            <w:pPr>
              <w:adjustRightInd w:val="0"/>
              <w:snapToGrid w:val="0"/>
              <w:jc w:val="center"/>
              <w:rPr>
                <w:sz w:val="18"/>
                <w:szCs w:val="18"/>
              </w:rPr>
            </w:pPr>
          </w:p>
        </w:tc>
        <w:tc>
          <w:tcPr>
            <w:tcW w:w="1022" w:type="dxa"/>
            <w:vMerge/>
            <w:vAlign w:val="center"/>
          </w:tcPr>
          <w:p w14:paraId="4BE97A0F" w14:textId="77777777" w:rsidR="00D170E5" w:rsidRPr="002B55E9" w:rsidRDefault="00D170E5">
            <w:pPr>
              <w:adjustRightInd w:val="0"/>
              <w:snapToGrid w:val="0"/>
              <w:jc w:val="center"/>
              <w:rPr>
                <w:sz w:val="18"/>
                <w:szCs w:val="18"/>
              </w:rPr>
            </w:pPr>
          </w:p>
        </w:tc>
        <w:tc>
          <w:tcPr>
            <w:tcW w:w="846" w:type="dxa"/>
            <w:vMerge/>
            <w:vAlign w:val="center"/>
          </w:tcPr>
          <w:p w14:paraId="56FC5DBA" w14:textId="77777777" w:rsidR="00D170E5" w:rsidRPr="002B55E9" w:rsidRDefault="00D170E5">
            <w:pPr>
              <w:adjustRightInd w:val="0"/>
              <w:snapToGrid w:val="0"/>
              <w:jc w:val="center"/>
              <w:rPr>
                <w:sz w:val="18"/>
                <w:szCs w:val="18"/>
              </w:rPr>
            </w:pPr>
          </w:p>
        </w:tc>
        <w:tc>
          <w:tcPr>
            <w:tcW w:w="856" w:type="dxa"/>
            <w:vMerge/>
            <w:vAlign w:val="center"/>
          </w:tcPr>
          <w:p w14:paraId="2AA47EF7" w14:textId="77777777" w:rsidR="00D170E5" w:rsidRPr="002B55E9" w:rsidRDefault="00D170E5">
            <w:pPr>
              <w:adjustRightInd w:val="0"/>
              <w:snapToGrid w:val="0"/>
              <w:jc w:val="center"/>
              <w:rPr>
                <w:sz w:val="18"/>
                <w:szCs w:val="18"/>
              </w:rPr>
            </w:pPr>
          </w:p>
        </w:tc>
        <w:tc>
          <w:tcPr>
            <w:tcW w:w="1133" w:type="dxa"/>
            <w:vMerge/>
            <w:vAlign w:val="center"/>
          </w:tcPr>
          <w:p w14:paraId="03A78DC5" w14:textId="77777777" w:rsidR="00D170E5" w:rsidRPr="002B55E9" w:rsidRDefault="00D170E5">
            <w:pPr>
              <w:adjustRightInd w:val="0"/>
              <w:snapToGrid w:val="0"/>
              <w:jc w:val="center"/>
              <w:rPr>
                <w:sz w:val="18"/>
                <w:szCs w:val="18"/>
              </w:rPr>
            </w:pPr>
          </w:p>
        </w:tc>
        <w:tc>
          <w:tcPr>
            <w:tcW w:w="852" w:type="dxa"/>
            <w:vMerge/>
            <w:vAlign w:val="center"/>
          </w:tcPr>
          <w:p w14:paraId="4DF66F58" w14:textId="77777777" w:rsidR="00D170E5" w:rsidRPr="002B55E9" w:rsidRDefault="00D170E5">
            <w:pPr>
              <w:adjustRightInd w:val="0"/>
              <w:snapToGrid w:val="0"/>
              <w:jc w:val="center"/>
              <w:rPr>
                <w:sz w:val="18"/>
                <w:szCs w:val="18"/>
              </w:rPr>
            </w:pPr>
          </w:p>
        </w:tc>
        <w:tc>
          <w:tcPr>
            <w:tcW w:w="709" w:type="dxa"/>
            <w:vMerge/>
            <w:vAlign w:val="center"/>
          </w:tcPr>
          <w:p w14:paraId="021A6654" w14:textId="77777777" w:rsidR="00D170E5" w:rsidRPr="002B55E9" w:rsidRDefault="00D170E5">
            <w:pPr>
              <w:adjustRightInd w:val="0"/>
              <w:snapToGrid w:val="0"/>
              <w:jc w:val="center"/>
              <w:rPr>
                <w:sz w:val="18"/>
                <w:szCs w:val="18"/>
              </w:rPr>
            </w:pPr>
          </w:p>
        </w:tc>
        <w:tc>
          <w:tcPr>
            <w:tcW w:w="709" w:type="dxa"/>
            <w:vMerge/>
            <w:vAlign w:val="center"/>
          </w:tcPr>
          <w:p w14:paraId="49D45272" w14:textId="77777777" w:rsidR="00D170E5" w:rsidRPr="002B55E9" w:rsidRDefault="00D170E5">
            <w:pPr>
              <w:adjustRightInd w:val="0"/>
              <w:snapToGrid w:val="0"/>
              <w:jc w:val="center"/>
              <w:rPr>
                <w:sz w:val="18"/>
                <w:szCs w:val="18"/>
              </w:rPr>
            </w:pPr>
          </w:p>
        </w:tc>
        <w:tc>
          <w:tcPr>
            <w:tcW w:w="422" w:type="dxa"/>
            <w:vMerge/>
            <w:vAlign w:val="center"/>
          </w:tcPr>
          <w:p w14:paraId="716BC684"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4EABA466" w14:textId="77777777" w:rsidR="00D170E5" w:rsidRPr="002B55E9" w:rsidRDefault="00EF27AD">
            <w:pPr>
              <w:adjustRightInd w:val="0"/>
              <w:snapToGrid w:val="0"/>
              <w:jc w:val="center"/>
              <w:rPr>
                <w:sz w:val="18"/>
                <w:szCs w:val="18"/>
              </w:rPr>
            </w:pPr>
            <w:r w:rsidRPr="002B55E9">
              <w:rPr>
                <w:sz w:val="18"/>
                <w:szCs w:val="18"/>
              </w:rPr>
              <w:t>总磷</w:t>
            </w:r>
          </w:p>
        </w:tc>
        <w:tc>
          <w:tcPr>
            <w:tcW w:w="1557" w:type="dxa"/>
            <w:tcBorders>
              <w:right w:val="nil"/>
            </w:tcBorders>
            <w:vAlign w:val="center"/>
          </w:tcPr>
          <w:p w14:paraId="29CEAD01" w14:textId="77777777" w:rsidR="00D170E5" w:rsidRPr="002B55E9" w:rsidRDefault="00EF27AD">
            <w:pPr>
              <w:adjustRightInd w:val="0"/>
              <w:snapToGrid w:val="0"/>
              <w:jc w:val="center"/>
              <w:rPr>
                <w:sz w:val="18"/>
                <w:szCs w:val="18"/>
              </w:rPr>
            </w:pPr>
            <w:r w:rsidRPr="002B55E9">
              <w:rPr>
                <w:sz w:val="18"/>
                <w:szCs w:val="18"/>
              </w:rPr>
              <w:t>0.5</w:t>
            </w:r>
          </w:p>
        </w:tc>
      </w:tr>
      <w:tr w:rsidR="002B55E9" w:rsidRPr="002B55E9" w14:paraId="4D806785" w14:textId="77777777">
        <w:trPr>
          <w:trHeight w:val="154"/>
          <w:jc w:val="center"/>
        </w:trPr>
        <w:tc>
          <w:tcPr>
            <w:tcW w:w="396" w:type="dxa"/>
            <w:vMerge/>
            <w:tcBorders>
              <w:left w:val="nil"/>
            </w:tcBorders>
            <w:vAlign w:val="center"/>
          </w:tcPr>
          <w:p w14:paraId="57B59E1B" w14:textId="77777777" w:rsidR="00D170E5" w:rsidRPr="002B55E9" w:rsidRDefault="00D170E5">
            <w:pPr>
              <w:adjustRightInd w:val="0"/>
              <w:snapToGrid w:val="0"/>
              <w:jc w:val="center"/>
              <w:rPr>
                <w:sz w:val="18"/>
                <w:szCs w:val="18"/>
              </w:rPr>
            </w:pPr>
          </w:p>
        </w:tc>
        <w:tc>
          <w:tcPr>
            <w:tcW w:w="1022" w:type="dxa"/>
            <w:vMerge/>
            <w:vAlign w:val="center"/>
          </w:tcPr>
          <w:p w14:paraId="6D7F5B61" w14:textId="77777777" w:rsidR="00D170E5" w:rsidRPr="002B55E9" w:rsidRDefault="00D170E5">
            <w:pPr>
              <w:adjustRightInd w:val="0"/>
              <w:snapToGrid w:val="0"/>
              <w:jc w:val="center"/>
              <w:rPr>
                <w:sz w:val="18"/>
                <w:szCs w:val="18"/>
              </w:rPr>
            </w:pPr>
          </w:p>
        </w:tc>
        <w:tc>
          <w:tcPr>
            <w:tcW w:w="846" w:type="dxa"/>
            <w:vMerge/>
            <w:vAlign w:val="center"/>
          </w:tcPr>
          <w:p w14:paraId="49E195D1" w14:textId="77777777" w:rsidR="00D170E5" w:rsidRPr="002B55E9" w:rsidRDefault="00D170E5">
            <w:pPr>
              <w:adjustRightInd w:val="0"/>
              <w:snapToGrid w:val="0"/>
              <w:jc w:val="center"/>
              <w:rPr>
                <w:sz w:val="18"/>
                <w:szCs w:val="18"/>
              </w:rPr>
            </w:pPr>
          </w:p>
        </w:tc>
        <w:tc>
          <w:tcPr>
            <w:tcW w:w="856" w:type="dxa"/>
            <w:vMerge/>
            <w:vAlign w:val="center"/>
          </w:tcPr>
          <w:p w14:paraId="6E3D5D3F" w14:textId="77777777" w:rsidR="00D170E5" w:rsidRPr="002B55E9" w:rsidRDefault="00D170E5">
            <w:pPr>
              <w:adjustRightInd w:val="0"/>
              <w:snapToGrid w:val="0"/>
              <w:jc w:val="center"/>
              <w:rPr>
                <w:sz w:val="18"/>
                <w:szCs w:val="18"/>
              </w:rPr>
            </w:pPr>
          </w:p>
        </w:tc>
        <w:tc>
          <w:tcPr>
            <w:tcW w:w="1133" w:type="dxa"/>
            <w:vMerge/>
            <w:vAlign w:val="center"/>
          </w:tcPr>
          <w:p w14:paraId="432F306C" w14:textId="77777777" w:rsidR="00D170E5" w:rsidRPr="002B55E9" w:rsidRDefault="00D170E5">
            <w:pPr>
              <w:adjustRightInd w:val="0"/>
              <w:snapToGrid w:val="0"/>
              <w:jc w:val="center"/>
              <w:rPr>
                <w:sz w:val="18"/>
                <w:szCs w:val="18"/>
              </w:rPr>
            </w:pPr>
          </w:p>
        </w:tc>
        <w:tc>
          <w:tcPr>
            <w:tcW w:w="852" w:type="dxa"/>
            <w:vMerge/>
            <w:vAlign w:val="center"/>
          </w:tcPr>
          <w:p w14:paraId="046186DD" w14:textId="77777777" w:rsidR="00D170E5" w:rsidRPr="002B55E9" w:rsidRDefault="00D170E5">
            <w:pPr>
              <w:adjustRightInd w:val="0"/>
              <w:snapToGrid w:val="0"/>
              <w:jc w:val="center"/>
              <w:rPr>
                <w:sz w:val="18"/>
                <w:szCs w:val="18"/>
              </w:rPr>
            </w:pPr>
          </w:p>
        </w:tc>
        <w:tc>
          <w:tcPr>
            <w:tcW w:w="709" w:type="dxa"/>
            <w:vMerge/>
            <w:vAlign w:val="center"/>
          </w:tcPr>
          <w:p w14:paraId="2C7F87C8" w14:textId="77777777" w:rsidR="00D170E5" w:rsidRPr="002B55E9" w:rsidRDefault="00D170E5">
            <w:pPr>
              <w:adjustRightInd w:val="0"/>
              <w:snapToGrid w:val="0"/>
              <w:jc w:val="center"/>
              <w:rPr>
                <w:sz w:val="18"/>
                <w:szCs w:val="18"/>
              </w:rPr>
            </w:pPr>
          </w:p>
        </w:tc>
        <w:tc>
          <w:tcPr>
            <w:tcW w:w="709" w:type="dxa"/>
            <w:vMerge/>
            <w:vAlign w:val="center"/>
          </w:tcPr>
          <w:p w14:paraId="3388BFAD" w14:textId="77777777" w:rsidR="00D170E5" w:rsidRPr="002B55E9" w:rsidRDefault="00D170E5">
            <w:pPr>
              <w:adjustRightInd w:val="0"/>
              <w:snapToGrid w:val="0"/>
              <w:jc w:val="center"/>
              <w:rPr>
                <w:sz w:val="18"/>
                <w:szCs w:val="18"/>
              </w:rPr>
            </w:pPr>
          </w:p>
        </w:tc>
        <w:tc>
          <w:tcPr>
            <w:tcW w:w="422" w:type="dxa"/>
            <w:vMerge/>
            <w:vAlign w:val="center"/>
          </w:tcPr>
          <w:p w14:paraId="202E1648" w14:textId="77777777" w:rsidR="00D170E5" w:rsidRPr="002B55E9" w:rsidRDefault="00D170E5">
            <w:pPr>
              <w:adjustRightInd w:val="0"/>
              <w:snapToGrid w:val="0"/>
              <w:jc w:val="center"/>
              <w:rPr>
                <w:sz w:val="18"/>
                <w:szCs w:val="18"/>
              </w:rPr>
            </w:pPr>
          </w:p>
        </w:tc>
        <w:tc>
          <w:tcPr>
            <w:tcW w:w="1135" w:type="dxa"/>
            <w:tcBorders>
              <w:top w:val="single" w:sz="4" w:space="0" w:color="auto"/>
              <w:bottom w:val="single" w:sz="4" w:space="0" w:color="auto"/>
            </w:tcBorders>
            <w:vAlign w:val="center"/>
          </w:tcPr>
          <w:p w14:paraId="2319981B" w14:textId="77777777" w:rsidR="00D170E5" w:rsidRPr="002B55E9" w:rsidRDefault="00EF27AD">
            <w:pPr>
              <w:adjustRightInd w:val="0"/>
              <w:snapToGrid w:val="0"/>
              <w:jc w:val="center"/>
              <w:rPr>
                <w:sz w:val="18"/>
                <w:szCs w:val="18"/>
              </w:rPr>
            </w:pPr>
            <w:r w:rsidRPr="002B55E9">
              <w:rPr>
                <w:rFonts w:hint="eastAsia"/>
                <w:sz w:val="18"/>
                <w:szCs w:val="18"/>
              </w:rPr>
              <w:t>动植物油</w:t>
            </w:r>
          </w:p>
        </w:tc>
        <w:tc>
          <w:tcPr>
            <w:tcW w:w="1557" w:type="dxa"/>
            <w:tcBorders>
              <w:right w:val="nil"/>
            </w:tcBorders>
            <w:vAlign w:val="center"/>
          </w:tcPr>
          <w:p w14:paraId="27ED1662" w14:textId="77777777" w:rsidR="00D170E5" w:rsidRPr="002B55E9" w:rsidRDefault="00EF27AD">
            <w:pPr>
              <w:adjustRightInd w:val="0"/>
              <w:snapToGrid w:val="0"/>
              <w:jc w:val="center"/>
              <w:rPr>
                <w:sz w:val="18"/>
                <w:szCs w:val="18"/>
              </w:rPr>
            </w:pPr>
            <w:r w:rsidRPr="002B55E9">
              <w:rPr>
                <w:rFonts w:hint="eastAsia"/>
                <w:sz w:val="18"/>
                <w:szCs w:val="18"/>
              </w:rPr>
              <w:t>1</w:t>
            </w:r>
          </w:p>
        </w:tc>
      </w:tr>
    </w:tbl>
    <w:p w14:paraId="4FD0EC11" w14:textId="77777777" w:rsidR="00D170E5" w:rsidRPr="002B55E9" w:rsidRDefault="00EF27AD">
      <w:pPr>
        <w:spacing w:line="360" w:lineRule="auto"/>
        <w:ind w:firstLineChars="200" w:firstLine="480"/>
        <w:rPr>
          <w:sz w:val="24"/>
          <w:lang w:bidi="ar"/>
        </w:rPr>
      </w:pPr>
      <w:r w:rsidRPr="002B55E9">
        <w:rPr>
          <w:rFonts w:hint="eastAsia"/>
          <w:sz w:val="24"/>
          <w:lang w:bidi="ar"/>
        </w:rPr>
        <w:t>拟建项目废水污染物排放执行标准见下表。</w:t>
      </w:r>
    </w:p>
    <w:p w14:paraId="1CFD3619" w14:textId="048FB553" w:rsidR="00D170E5" w:rsidRPr="002B55E9" w:rsidRDefault="00EF27AD">
      <w:pPr>
        <w:jc w:val="center"/>
        <w:rPr>
          <w:rFonts w:eastAsia="黑体"/>
          <w:b/>
          <w:sz w:val="24"/>
        </w:rPr>
      </w:pPr>
      <w:r w:rsidRPr="002B55E9">
        <w:rPr>
          <w:rFonts w:eastAsia="黑体" w:hint="eastAsia"/>
          <w:b/>
          <w:sz w:val="24"/>
          <w:lang w:bidi="ar"/>
        </w:rPr>
        <w:t>表</w:t>
      </w:r>
      <w:r w:rsidRPr="002B55E9">
        <w:rPr>
          <w:rFonts w:eastAsia="黑体" w:hint="eastAsia"/>
          <w:b/>
          <w:sz w:val="24"/>
          <w:lang w:bidi="ar"/>
        </w:rPr>
        <w:t>5-3</w:t>
      </w:r>
      <w:r w:rsidRPr="002B55E9">
        <w:rPr>
          <w:rFonts w:eastAsia="黑体"/>
          <w:b/>
          <w:sz w:val="24"/>
          <w:lang w:bidi="ar"/>
        </w:rPr>
        <w:t>-</w:t>
      </w:r>
      <w:r w:rsidR="008A7CEC" w:rsidRPr="002B55E9">
        <w:rPr>
          <w:rFonts w:eastAsia="黑体"/>
          <w:b/>
          <w:sz w:val="24"/>
          <w:lang w:bidi="ar"/>
        </w:rPr>
        <w:t>11</w:t>
      </w:r>
      <w:r w:rsidRPr="002B55E9">
        <w:rPr>
          <w:rFonts w:eastAsia="黑体"/>
          <w:b/>
          <w:sz w:val="24"/>
          <w:lang w:bidi="ar"/>
        </w:rPr>
        <w:t xml:space="preserve"> </w:t>
      </w:r>
      <w:r w:rsidRPr="002B55E9">
        <w:rPr>
          <w:rFonts w:eastAsia="黑体" w:hint="eastAsia"/>
          <w:b/>
          <w:sz w:val="24"/>
          <w:lang w:bidi="ar"/>
        </w:rPr>
        <w:t xml:space="preserve"> </w:t>
      </w:r>
      <w:r w:rsidRPr="002B55E9">
        <w:rPr>
          <w:rFonts w:eastAsia="黑体" w:hint="eastAsia"/>
          <w:b/>
          <w:sz w:val="24"/>
          <w:lang w:bidi="ar"/>
        </w:rPr>
        <w:t>废水污染物排放执行标准</w:t>
      </w:r>
    </w:p>
    <w:tbl>
      <w:tblPr>
        <w:tblW w:w="963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13"/>
        <w:gridCol w:w="1698"/>
        <w:gridCol w:w="2128"/>
        <w:gridCol w:w="2409"/>
        <w:gridCol w:w="2689"/>
      </w:tblGrid>
      <w:tr w:rsidR="002B55E9" w:rsidRPr="002B55E9" w14:paraId="06756DA3" w14:textId="77777777">
        <w:trPr>
          <w:trHeight w:val="283"/>
          <w:jc w:val="center"/>
        </w:trPr>
        <w:tc>
          <w:tcPr>
            <w:tcW w:w="713" w:type="dxa"/>
            <w:vMerge w:val="restart"/>
            <w:tcBorders>
              <w:top w:val="single" w:sz="12" w:space="0" w:color="auto"/>
              <w:bottom w:val="single" w:sz="6" w:space="0" w:color="auto"/>
            </w:tcBorders>
            <w:vAlign w:val="center"/>
          </w:tcPr>
          <w:p w14:paraId="39112277" w14:textId="77777777" w:rsidR="00D170E5" w:rsidRPr="002B55E9" w:rsidRDefault="00EF27AD">
            <w:pPr>
              <w:adjustRightInd w:val="0"/>
              <w:snapToGrid w:val="0"/>
              <w:jc w:val="center"/>
              <w:rPr>
                <w:sz w:val="18"/>
                <w:szCs w:val="18"/>
              </w:rPr>
            </w:pPr>
            <w:r w:rsidRPr="002B55E9">
              <w:rPr>
                <w:rFonts w:hint="eastAsia"/>
                <w:sz w:val="18"/>
                <w:szCs w:val="18"/>
                <w:lang w:bidi="ar"/>
              </w:rPr>
              <w:t>序号</w:t>
            </w:r>
          </w:p>
        </w:tc>
        <w:tc>
          <w:tcPr>
            <w:tcW w:w="1698" w:type="dxa"/>
            <w:vMerge w:val="restart"/>
            <w:tcBorders>
              <w:top w:val="single" w:sz="12" w:space="0" w:color="auto"/>
              <w:bottom w:val="single" w:sz="6" w:space="0" w:color="auto"/>
            </w:tcBorders>
            <w:vAlign w:val="center"/>
          </w:tcPr>
          <w:p w14:paraId="616410B6" w14:textId="77777777" w:rsidR="00D170E5" w:rsidRPr="002B55E9" w:rsidRDefault="00EF27AD">
            <w:pPr>
              <w:adjustRightInd w:val="0"/>
              <w:snapToGrid w:val="0"/>
              <w:jc w:val="center"/>
              <w:rPr>
                <w:sz w:val="18"/>
                <w:szCs w:val="18"/>
              </w:rPr>
            </w:pPr>
            <w:r w:rsidRPr="002B55E9">
              <w:rPr>
                <w:rFonts w:hint="eastAsia"/>
                <w:sz w:val="18"/>
                <w:szCs w:val="18"/>
                <w:lang w:bidi="ar"/>
              </w:rPr>
              <w:t>排放口编号</w:t>
            </w:r>
          </w:p>
        </w:tc>
        <w:tc>
          <w:tcPr>
            <w:tcW w:w="2128" w:type="dxa"/>
            <w:vMerge w:val="restart"/>
            <w:tcBorders>
              <w:top w:val="single" w:sz="12" w:space="0" w:color="auto"/>
              <w:bottom w:val="single" w:sz="6" w:space="0" w:color="auto"/>
            </w:tcBorders>
            <w:vAlign w:val="center"/>
          </w:tcPr>
          <w:p w14:paraId="56E1FC05" w14:textId="77777777" w:rsidR="00D170E5" w:rsidRPr="002B55E9" w:rsidRDefault="00EF27AD">
            <w:pPr>
              <w:adjustRightInd w:val="0"/>
              <w:snapToGrid w:val="0"/>
              <w:jc w:val="center"/>
              <w:rPr>
                <w:sz w:val="18"/>
                <w:szCs w:val="18"/>
              </w:rPr>
            </w:pPr>
            <w:r w:rsidRPr="002B55E9">
              <w:rPr>
                <w:rFonts w:hint="eastAsia"/>
                <w:sz w:val="18"/>
                <w:szCs w:val="18"/>
                <w:lang w:bidi="ar"/>
              </w:rPr>
              <w:t>污染物种类</w:t>
            </w:r>
          </w:p>
        </w:tc>
        <w:tc>
          <w:tcPr>
            <w:tcW w:w="5098" w:type="dxa"/>
            <w:gridSpan w:val="2"/>
            <w:tcBorders>
              <w:top w:val="single" w:sz="12" w:space="0" w:color="auto"/>
              <w:bottom w:val="single" w:sz="6" w:space="0" w:color="auto"/>
            </w:tcBorders>
            <w:vAlign w:val="center"/>
          </w:tcPr>
          <w:p w14:paraId="368E26DB" w14:textId="77777777" w:rsidR="00D170E5" w:rsidRPr="002B55E9" w:rsidRDefault="00EF27AD">
            <w:pPr>
              <w:adjustRightInd w:val="0"/>
              <w:snapToGrid w:val="0"/>
              <w:jc w:val="center"/>
              <w:rPr>
                <w:sz w:val="18"/>
                <w:szCs w:val="18"/>
              </w:rPr>
            </w:pPr>
            <w:r w:rsidRPr="002B55E9">
              <w:rPr>
                <w:rFonts w:hint="eastAsia"/>
                <w:sz w:val="18"/>
                <w:szCs w:val="18"/>
                <w:lang w:bidi="ar"/>
              </w:rPr>
              <w:t>国家或地方污染物排放标准及其他按规定商定的排放协议</w:t>
            </w:r>
          </w:p>
        </w:tc>
      </w:tr>
      <w:tr w:rsidR="002B55E9" w:rsidRPr="002B55E9" w14:paraId="1E32EAF6" w14:textId="77777777">
        <w:trPr>
          <w:trHeight w:val="283"/>
          <w:jc w:val="center"/>
        </w:trPr>
        <w:tc>
          <w:tcPr>
            <w:tcW w:w="713" w:type="dxa"/>
            <w:vMerge/>
            <w:tcBorders>
              <w:top w:val="single" w:sz="6" w:space="0" w:color="auto"/>
              <w:bottom w:val="single" w:sz="12" w:space="0" w:color="auto"/>
            </w:tcBorders>
            <w:vAlign w:val="center"/>
          </w:tcPr>
          <w:p w14:paraId="61FBC407" w14:textId="77777777" w:rsidR="00D170E5" w:rsidRPr="002B55E9" w:rsidRDefault="00D170E5">
            <w:pPr>
              <w:jc w:val="center"/>
            </w:pPr>
          </w:p>
        </w:tc>
        <w:tc>
          <w:tcPr>
            <w:tcW w:w="1698" w:type="dxa"/>
            <w:vMerge/>
            <w:tcBorders>
              <w:top w:val="single" w:sz="6" w:space="0" w:color="auto"/>
              <w:bottom w:val="single" w:sz="12" w:space="0" w:color="auto"/>
            </w:tcBorders>
            <w:vAlign w:val="center"/>
          </w:tcPr>
          <w:p w14:paraId="129C3B21" w14:textId="77777777" w:rsidR="00D170E5" w:rsidRPr="002B55E9" w:rsidRDefault="00D170E5">
            <w:pPr>
              <w:jc w:val="center"/>
            </w:pPr>
          </w:p>
        </w:tc>
        <w:tc>
          <w:tcPr>
            <w:tcW w:w="2128" w:type="dxa"/>
            <w:vMerge/>
            <w:tcBorders>
              <w:top w:val="single" w:sz="6" w:space="0" w:color="auto"/>
              <w:bottom w:val="single" w:sz="12" w:space="0" w:color="auto"/>
            </w:tcBorders>
            <w:vAlign w:val="center"/>
          </w:tcPr>
          <w:p w14:paraId="0E951AC3" w14:textId="77777777" w:rsidR="00D170E5" w:rsidRPr="002B55E9" w:rsidRDefault="00D170E5">
            <w:pPr>
              <w:jc w:val="center"/>
            </w:pPr>
          </w:p>
        </w:tc>
        <w:tc>
          <w:tcPr>
            <w:tcW w:w="2409" w:type="dxa"/>
            <w:tcBorders>
              <w:top w:val="single" w:sz="6" w:space="0" w:color="auto"/>
              <w:bottom w:val="single" w:sz="12" w:space="0" w:color="auto"/>
            </w:tcBorders>
            <w:vAlign w:val="center"/>
          </w:tcPr>
          <w:p w14:paraId="0930600B" w14:textId="77777777" w:rsidR="00D170E5" w:rsidRPr="002B55E9" w:rsidRDefault="00EF27AD">
            <w:pPr>
              <w:adjustRightInd w:val="0"/>
              <w:snapToGrid w:val="0"/>
              <w:jc w:val="center"/>
              <w:rPr>
                <w:sz w:val="18"/>
                <w:szCs w:val="18"/>
              </w:rPr>
            </w:pPr>
            <w:r w:rsidRPr="002B55E9">
              <w:rPr>
                <w:rFonts w:hint="eastAsia"/>
                <w:sz w:val="18"/>
                <w:szCs w:val="18"/>
                <w:lang w:bidi="ar"/>
              </w:rPr>
              <w:t>名称</w:t>
            </w:r>
          </w:p>
        </w:tc>
        <w:tc>
          <w:tcPr>
            <w:tcW w:w="2689" w:type="dxa"/>
            <w:tcBorders>
              <w:top w:val="single" w:sz="6" w:space="0" w:color="auto"/>
              <w:bottom w:val="single" w:sz="12" w:space="0" w:color="auto"/>
            </w:tcBorders>
            <w:vAlign w:val="center"/>
          </w:tcPr>
          <w:p w14:paraId="1FE13820" w14:textId="77777777" w:rsidR="00D170E5" w:rsidRPr="002B55E9" w:rsidRDefault="00EF27AD">
            <w:pPr>
              <w:adjustRightInd w:val="0"/>
              <w:snapToGrid w:val="0"/>
              <w:jc w:val="center"/>
              <w:rPr>
                <w:sz w:val="18"/>
                <w:szCs w:val="18"/>
              </w:rPr>
            </w:pPr>
            <w:r w:rsidRPr="002B55E9">
              <w:rPr>
                <w:rFonts w:hint="eastAsia"/>
                <w:sz w:val="18"/>
                <w:szCs w:val="18"/>
                <w:lang w:bidi="ar"/>
              </w:rPr>
              <w:t>浓度限值</w:t>
            </w:r>
          </w:p>
        </w:tc>
      </w:tr>
      <w:tr w:rsidR="002B55E9" w:rsidRPr="002B55E9" w14:paraId="6EB9B907" w14:textId="77777777">
        <w:trPr>
          <w:trHeight w:val="284"/>
          <w:jc w:val="center"/>
        </w:trPr>
        <w:tc>
          <w:tcPr>
            <w:tcW w:w="713" w:type="dxa"/>
            <w:tcBorders>
              <w:top w:val="single" w:sz="12" w:space="0" w:color="auto"/>
            </w:tcBorders>
            <w:vAlign w:val="center"/>
          </w:tcPr>
          <w:p w14:paraId="226C8FD9" w14:textId="77777777" w:rsidR="00D170E5" w:rsidRPr="002B55E9" w:rsidRDefault="00EF27AD">
            <w:pPr>
              <w:adjustRightInd w:val="0"/>
              <w:snapToGrid w:val="0"/>
              <w:jc w:val="center"/>
              <w:rPr>
                <w:sz w:val="18"/>
                <w:szCs w:val="18"/>
              </w:rPr>
            </w:pPr>
            <w:r w:rsidRPr="002B55E9">
              <w:rPr>
                <w:sz w:val="18"/>
                <w:szCs w:val="18"/>
                <w:lang w:bidi="ar"/>
              </w:rPr>
              <w:t>1</w:t>
            </w:r>
          </w:p>
        </w:tc>
        <w:tc>
          <w:tcPr>
            <w:tcW w:w="1698" w:type="dxa"/>
            <w:vMerge w:val="restart"/>
            <w:tcBorders>
              <w:top w:val="single" w:sz="12" w:space="0" w:color="auto"/>
            </w:tcBorders>
            <w:vAlign w:val="center"/>
          </w:tcPr>
          <w:p w14:paraId="39D73F50" w14:textId="77777777" w:rsidR="00D170E5" w:rsidRPr="002B55E9" w:rsidRDefault="00EF27AD">
            <w:pPr>
              <w:adjustRightInd w:val="0"/>
              <w:snapToGrid w:val="0"/>
              <w:jc w:val="center"/>
              <w:rPr>
                <w:sz w:val="18"/>
                <w:szCs w:val="18"/>
                <w:lang w:bidi="ar"/>
              </w:rPr>
            </w:pPr>
            <w:r w:rsidRPr="002B55E9">
              <w:rPr>
                <w:sz w:val="18"/>
                <w:szCs w:val="18"/>
                <w:lang w:bidi="ar"/>
              </w:rPr>
              <w:t>DW001</w:t>
            </w:r>
          </w:p>
          <w:p w14:paraId="11A4C4D8" w14:textId="77777777" w:rsidR="00D170E5" w:rsidRPr="002B55E9" w:rsidRDefault="00EF27AD">
            <w:pPr>
              <w:adjustRightInd w:val="0"/>
              <w:snapToGrid w:val="0"/>
              <w:jc w:val="center"/>
              <w:rPr>
                <w:sz w:val="18"/>
                <w:szCs w:val="18"/>
              </w:rPr>
            </w:pPr>
            <w:r w:rsidRPr="002B55E9">
              <w:rPr>
                <w:rFonts w:hint="eastAsia"/>
                <w:sz w:val="18"/>
                <w:szCs w:val="18"/>
              </w:rPr>
              <w:t>（佛山市海天（武汉）调味食品有限公司总排口）</w:t>
            </w:r>
          </w:p>
        </w:tc>
        <w:tc>
          <w:tcPr>
            <w:tcW w:w="2128" w:type="dxa"/>
            <w:tcBorders>
              <w:top w:val="single" w:sz="12" w:space="0" w:color="auto"/>
            </w:tcBorders>
            <w:vAlign w:val="center"/>
          </w:tcPr>
          <w:p w14:paraId="792051B4" w14:textId="77777777" w:rsidR="00D170E5" w:rsidRPr="002B55E9" w:rsidRDefault="00EF27AD">
            <w:pPr>
              <w:adjustRightInd w:val="0"/>
              <w:snapToGrid w:val="0"/>
              <w:ind w:leftChars="-50" w:left="-100" w:rightChars="-50" w:right="-100"/>
              <w:jc w:val="center"/>
              <w:rPr>
                <w:sz w:val="18"/>
                <w:szCs w:val="18"/>
              </w:rPr>
            </w:pPr>
            <w:r w:rsidRPr="002B55E9">
              <w:rPr>
                <w:sz w:val="18"/>
                <w:szCs w:val="18"/>
                <w:lang w:bidi="ar"/>
              </w:rPr>
              <w:t>pH</w:t>
            </w:r>
          </w:p>
        </w:tc>
        <w:tc>
          <w:tcPr>
            <w:tcW w:w="2409" w:type="dxa"/>
            <w:vMerge w:val="restart"/>
            <w:tcBorders>
              <w:top w:val="single" w:sz="12" w:space="0" w:color="auto"/>
            </w:tcBorders>
            <w:vAlign w:val="center"/>
          </w:tcPr>
          <w:p w14:paraId="67EB7248" w14:textId="77777777" w:rsidR="00D170E5" w:rsidRPr="002B55E9" w:rsidRDefault="00EF27AD">
            <w:pPr>
              <w:adjustRightInd w:val="0"/>
              <w:snapToGrid w:val="0"/>
              <w:jc w:val="center"/>
              <w:rPr>
                <w:sz w:val="18"/>
                <w:szCs w:val="18"/>
              </w:rPr>
            </w:pPr>
            <w:r w:rsidRPr="002B55E9">
              <w:rPr>
                <w:rFonts w:hint="eastAsia"/>
                <w:sz w:val="18"/>
                <w:szCs w:val="18"/>
                <w:lang w:bidi="ar"/>
              </w:rPr>
              <w:t>《污水综合排放标准》（</w:t>
            </w:r>
            <w:r w:rsidRPr="002B55E9">
              <w:rPr>
                <w:rFonts w:hint="eastAsia"/>
                <w:sz w:val="18"/>
                <w:szCs w:val="18"/>
                <w:lang w:bidi="ar"/>
              </w:rPr>
              <w:t>GB8987-1996</w:t>
            </w:r>
            <w:r w:rsidRPr="002B55E9">
              <w:rPr>
                <w:rFonts w:hint="eastAsia"/>
                <w:sz w:val="18"/>
                <w:szCs w:val="18"/>
                <w:lang w:bidi="ar"/>
              </w:rPr>
              <w:t>）表</w:t>
            </w:r>
            <w:r w:rsidRPr="002B55E9">
              <w:rPr>
                <w:rFonts w:hint="eastAsia"/>
                <w:sz w:val="18"/>
                <w:szCs w:val="18"/>
                <w:lang w:bidi="ar"/>
              </w:rPr>
              <w:t>4</w:t>
            </w:r>
            <w:r w:rsidRPr="002B55E9">
              <w:rPr>
                <w:rFonts w:hint="eastAsia"/>
                <w:sz w:val="18"/>
                <w:szCs w:val="18"/>
                <w:lang w:bidi="ar"/>
              </w:rPr>
              <w:t>中“三级标准”和东西湖</w:t>
            </w:r>
            <w:r w:rsidRPr="002B55E9">
              <w:rPr>
                <w:sz w:val="18"/>
                <w:szCs w:val="18"/>
                <w:lang w:bidi="ar"/>
              </w:rPr>
              <w:t>污水处理厂</w:t>
            </w:r>
            <w:r w:rsidRPr="002B55E9">
              <w:rPr>
                <w:rFonts w:hint="eastAsia"/>
                <w:sz w:val="18"/>
                <w:szCs w:val="18"/>
                <w:lang w:bidi="ar"/>
              </w:rPr>
              <w:t>纳管</w:t>
            </w:r>
            <w:r w:rsidRPr="002B55E9">
              <w:rPr>
                <w:sz w:val="18"/>
                <w:szCs w:val="18"/>
                <w:lang w:bidi="ar"/>
              </w:rPr>
              <w:t>标准</w:t>
            </w:r>
          </w:p>
        </w:tc>
        <w:tc>
          <w:tcPr>
            <w:tcW w:w="2689" w:type="dxa"/>
            <w:tcBorders>
              <w:top w:val="single" w:sz="12" w:space="0" w:color="auto"/>
            </w:tcBorders>
            <w:vAlign w:val="center"/>
          </w:tcPr>
          <w:p w14:paraId="4E8C12CA" w14:textId="77777777" w:rsidR="00D170E5" w:rsidRPr="002B55E9" w:rsidRDefault="00EF27AD">
            <w:pPr>
              <w:adjustRightInd w:val="0"/>
              <w:snapToGrid w:val="0"/>
              <w:jc w:val="center"/>
              <w:rPr>
                <w:sz w:val="18"/>
                <w:szCs w:val="18"/>
              </w:rPr>
            </w:pPr>
            <w:r w:rsidRPr="002B55E9">
              <w:rPr>
                <w:sz w:val="18"/>
                <w:szCs w:val="18"/>
                <w:lang w:bidi="ar"/>
              </w:rPr>
              <w:t>6</w:t>
            </w:r>
            <w:r w:rsidRPr="002B55E9">
              <w:rPr>
                <w:rFonts w:hint="eastAsia"/>
                <w:sz w:val="18"/>
                <w:szCs w:val="18"/>
                <w:lang w:bidi="ar"/>
              </w:rPr>
              <w:t>～</w:t>
            </w:r>
            <w:r w:rsidRPr="002B55E9">
              <w:rPr>
                <w:sz w:val="18"/>
                <w:szCs w:val="18"/>
                <w:lang w:bidi="ar"/>
              </w:rPr>
              <w:t>9</w:t>
            </w:r>
          </w:p>
        </w:tc>
      </w:tr>
      <w:tr w:rsidR="002B55E9" w:rsidRPr="002B55E9" w14:paraId="24CB16C6" w14:textId="77777777">
        <w:trPr>
          <w:trHeight w:val="284"/>
          <w:jc w:val="center"/>
        </w:trPr>
        <w:tc>
          <w:tcPr>
            <w:tcW w:w="713" w:type="dxa"/>
            <w:vAlign w:val="center"/>
          </w:tcPr>
          <w:p w14:paraId="65FC4617" w14:textId="77777777" w:rsidR="00D170E5" w:rsidRPr="002B55E9" w:rsidRDefault="00EF27AD">
            <w:pPr>
              <w:adjustRightInd w:val="0"/>
              <w:snapToGrid w:val="0"/>
              <w:jc w:val="center"/>
              <w:rPr>
                <w:sz w:val="18"/>
                <w:szCs w:val="18"/>
              </w:rPr>
            </w:pPr>
            <w:r w:rsidRPr="002B55E9">
              <w:rPr>
                <w:sz w:val="18"/>
                <w:szCs w:val="18"/>
                <w:lang w:bidi="ar"/>
              </w:rPr>
              <w:t>2</w:t>
            </w:r>
          </w:p>
        </w:tc>
        <w:tc>
          <w:tcPr>
            <w:tcW w:w="1698" w:type="dxa"/>
            <w:vMerge/>
            <w:vAlign w:val="center"/>
          </w:tcPr>
          <w:p w14:paraId="1A19C6A3" w14:textId="77777777" w:rsidR="00D170E5" w:rsidRPr="002B55E9" w:rsidRDefault="00D170E5">
            <w:pPr>
              <w:jc w:val="center"/>
            </w:pPr>
          </w:p>
        </w:tc>
        <w:tc>
          <w:tcPr>
            <w:tcW w:w="2128" w:type="dxa"/>
            <w:vAlign w:val="center"/>
          </w:tcPr>
          <w:p w14:paraId="69E60C5E" w14:textId="77777777" w:rsidR="00D170E5" w:rsidRPr="002B55E9" w:rsidRDefault="00EF27AD">
            <w:pPr>
              <w:adjustRightInd w:val="0"/>
              <w:snapToGrid w:val="0"/>
              <w:ind w:leftChars="-50" w:left="-100" w:rightChars="-50" w:right="-100"/>
              <w:jc w:val="center"/>
              <w:rPr>
                <w:snapToGrid w:val="0"/>
                <w:sz w:val="18"/>
                <w:szCs w:val="18"/>
              </w:rPr>
            </w:pPr>
            <w:r w:rsidRPr="002B55E9">
              <w:rPr>
                <w:sz w:val="18"/>
                <w:szCs w:val="18"/>
                <w:lang w:bidi="ar"/>
              </w:rPr>
              <w:t>COD</w:t>
            </w:r>
          </w:p>
        </w:tc>
        <w:tc>
          <w:tcPr>
            <w:tcW w:w="2409" w:type="dxa"/>
            <w:vMerge/>
            <w:vAlign w:val="center"/>
          </w:tcPr>
          <w:p w14:paraId="397551FC" w14:textId="77777777" w:rsidR="00D170E5" w:rsidRPr="002B55E9" w:rsidRDefault="00D170E5">
            <w:pPr>
              <w:jc w:val="center"/>
            </w:pPr>
          </w:p>
        </w:tc>
        <w:tc>
          <w:tcPr>
            <w:tcW w:w="2689" w:type="dxa"/>
            <w:vAlign w:val="center"/>
          </w:tcPr>
          <w:p w14:paraId="64D6F03C" w14:textId="77777777" w:rsidR="00D170E5" w:rsidRPr="002B55E9" w:rsidRDefault="00EF27AD">
            <w:pPr>
              <w:adjustRightInd w:val="0"/>
              <w:snapToGrid w:val="0"/>
              <w:jc w:val="center"/>
              <w:rPr>
                <w:snapToGrid w:val="0"/>
                <w:sz w:val="18"/>
                <w:szCs w:val="18"/>
              </w:rPr>
            </w:pPr>
            <w:r w:rsidRPr="002B55E9">
              <w:rPr>
                <w:snapToGrid w:val="0"/>
                <w:sz w:val="18"/>
                <w:szCs w:val="18"/>
                <w:lang w:bidi="ar"/>
              </w:rPr>
              <w:t>320mg/L</w:t>
            </w:r>
          </w:p>
        </w:tc>
      </w:tr>
      <w:tr w:rsidR="002B55E9" w:rsidRPr="002B55E9" w14:paraId="375C4EA9" w14:textId="77777777">
        <w:trPr>
          <w:trHeight w:val="284"/>
          <w:jc w:val="center"/>
        </w:trPr>
        <w:tc>
          <w:tcPr>
            <w:tcW w:w="713" w:type="dxa"/>
            <w:vAlign w:val="center"/>
          </w:tcPr>
          <w:p w14:paraId="1E356FC4" w14:textId="77777777" w:rsidR="00D170E5" w:rsidRPr="002B55E9" w:rsidRDefault="00EF27AD">
            <w:pPr>
              <w:adjustRightInd w:val="0"/>
              <w:snapToGrid w:val="0"/>
              <w:jc w:val="center"/>
              <w:rPr>
                <w:sz w:val="18"/>
                <w:szCs w:val="18"/>
              </w:rPr>
            </w:pPr>
            <w:r w:rsidRPr="002B55E9">
              <w:rPr>
                <w:sz w:val="18"/>
                <w:szCs w:val="18"/>
                <w:lang w:bidi="ar"/>
              </w:rPr>
              <w:t>3</w:t>
            </w:r>
          </w:p>
        </w:tc>
        <w:tc>
          <w:tcPr>
            <w:tcW w:w="1698" w:type="dxa"/>
            <w:vMerge/>
            <w:vAlign w:val="center"/>
          </w:tcPr>
          <w:p w14:paraId="030D70C6" w14:textId="77777777" w:rsidR="00D170E5" w:rsidRPr="002B55E9" w:rsidRDefault="00D170E5">
            <w:pPr>
              <w:jc w:val="center"/>
            </w:pPr>
          </w:p>
        </w:tc>
        <w:tc>
          <w:tcPr>
            <w:tcW w:w="2128" w:type="dxa"/>
            <w:vAlign w:val="center"/>
          </w:tcPr>
          <w:p w14:paraId="35AC02BE" w14:textId="77777777" w:rsidR="00D170E5" w:rsidRPr="002B55E9" w:rsidRDefault="00EF27AD">
            <w:pPr>
              <w:adjustRightInd w:val="0"/>
              <w:snapToGrid w:val="0"/>
              <w:ind w:leftChars="-50" w:left="-100" w:rightChars="-50" w:right="-100"/>
              <w:jc w:val="center"/>
              <w:rPr>
                <w:sz w:val="18"/>
                <w:szCs w:val="18"/>
              </w:rPr>
            </w:pPr>
            <w:r w:rsidRPr="002B55E9">
              <w:rPr>
                <w:sz w:val="18"/>
                <w:szCs w:val="18"/>
                <w:lang w:bidi="ar"/>
              </w:rPr>
              <w:t>BOD</w:t>
            </w:r>
            <w:r w:rsidRPr="002B55E9">
              <w:rPr>
                <w:sz w:val="18"/>
                <w:szCs w:val="18"/>
                <w:vertAlign w:val="subscript"/>
                <w:lang w:bidi="ar"/>
              </w:rPr>
              <w:t>5</w:t>
            </w:r>
          </w:p>
        </w:tc>
        <w:tc>
          <w:tcPr>
            <w:tcW w:w="2409" w:type="dxa"/>
            <w:vMerge/>
            <w:vAlign w:val="center"/>
          </w:tcPr>
          <w:p w14:paraId="22F21050" w14:textId="77777777" w:rsidR="00D170E5" w:rsidRPr="002B55E9" w:rsidRDefault="00D170E5">
            <w:pPr>
              <w:jc w:val="center"/>
            </w:pPr>
          </w:p>
        </w:tc>
        <w:tc>
          <w:tcPr>
            <w:tcW w:w="2689" w:type="dxa"/>
            <w:vAlign w:val="center"/>
          </w:tcPr>
          <w:p w14:paraId="3B689D03" w14:textId="77777777" w:rsidR="00D170E5" w:rsidRPr="002B55E9" w:rsidRDefault="00EF27AD">
            <w:pPr>
              <w:adjustRightInd w:val="0"/>
              <w:snapToGrid w:val="0"/>
              <w:jc w:val="center"/>
              <w:rPr>
                <w:sz w:val="18"/>
                <w:szCs w:val="18"/>
              </w:rPr>
            </w:pPr>
            <w:r w:rsidRPr="002B55E9">
              <w:rPr>
                <w:snapToGrid w:val="0"/>
                <w:sz w:val="18"/>
                <w:szCs w:val="18"/>
                <w:lang w:bidi="ar"/>
              </w:rPr>
              <w:t>170mg/L</w:t>
            </w:r>
          </w:p>
        </w:tc>
      </w:tr>
      <w:tr w:rsidR="002B55E9" w:rsidRPr="002B55E9" w14:paraId="31B8678C" w14:textId="77777777">
        <w:trPr>
          <w:trHeight w:val="284"/>
          <w:jc w:val="center"/>
        </w:trPr>
        <w:tc>
          <w:tcPr>
            <w:tcW w:w="713" w:type="dxa"/>
            <w:vAlign w:val="center"/>
          </w:tcPr>
          <w:p w14:paraId="6B4289AD" w14:textId="77777777" w:rsidR="00D170E5" w:rsidRPr="002B55E9" w:rsidRDefault="00EF27AD">
            <w:pPr>
              <w:adjustRightInd w:val="0"/>
              <w:snapToGrid w:val="0"/>
              <w:jc w:val="center"/>
              <w:rPr>
                <w:sz w:val="18"/>
                <w:szCs w:val="18"/>
              </w:rPr>
            </w:pPr>
            <w:r w:rsidRPr="002B55E9">
              <w:rPr>
                <w:sz w:val="18"/>
                <w:szCs w:val="18"/>
                <w:lang w:bidi="ar"/>
              </w:rPr>
              <w:t>4</w:t>
            </w:r>
          </w:p>
        </w:tc>
        <w:tc>
          <w:tcPr>
            <w:tcW w:w="1698" w:type="dxa"/>
            <w:vMerge/>
            <w:vAlign w:val="center"/>
          </w:tcPr>
          <w:p w14:paraId="72A89B58" w14:textId="77777777" w:rsidR="00D170E5" w:rsidRPr="002B55E9" w:rsidRDefault="00D170E5">
            <w:pPr>
              <w:jc w:val="center"/>
            </w:pPr>
          </w:p>
        </w:tc>
        <w:tc>
          <w:tcPr>
            <w:tcW w:w="2128" w:type="dxa"/>
            <w:vAlign w:val="center"/>
          </w:tcPr>
          <w:p w14:paraId="495C7594" w14:textId="77777777" w:rsidR="00D170E5" w:rsidRPr="002B55E9" w:rsidRDefault="00EF27AD">
            <w:pPr>
              <w:adjustRightInd w:val="0"/>
              <w:snapToGrid w:val="0"/>
              <w:ind w:leftChars="-50" w:left="-100" w:rightChars="-50" w:right="-100"/>
              <w:jc w:val="center"/>
              <w:rPr>
                <w:sz w:val="18"/>
                <w:szCs w:val="18"/>
              </w:rPr>
            </w:pPr>
            <w:r w:rsidRPr="002B55E9">
              <w:rPr>
                <w:sz w:val="18"/>
                <w:szCs w:val="18"/>
                <w:lang w:bidi="ar"/>
              </w:rPr>
              <w:t>SS</w:t>
            </w:r>
          </w:p>
        </w:tc>
        <w:tc>
          <w:tcPr>
            <w:tcW w:w="2409" w:type="dxa"/>
            <w:vMerge/>
            <w:vAlign w:val="center"/>
          </w:tcPr>
          <w:p w14:paraId="7B179D48" w14:textId="77777777" w:rsidR="00D170E5" w:rsidRPr="002B55E9" w:rsidRDefault="00D170E5">
            <w:pPr>
              <w:jc w:val="center"/>
            </w:pPr>
          </w:p>
        </w:tc>
        <w:tc>
          <w:tcPr>
            <w:tcW w:w="2689" w:type="dxa"/>
            <w:vAlign w:val="center"/>
          </w:tcPr>
          <w:p w14:paraId="53F9D049" w14:textId="77777777" w:rsidR="00D170E5" w:rsidRPr="002B55E9" w:rsidRDefault="00EF27AD">
            <w:pPr>
              <w:adjustRightInd w:val="0"/>
              <w:snapToGrid w:val="0"/>
              <w:jc w:val="center"/>
              <w:rPr>
                <w:sz w:val="18"/>
                <w:szCs w:val="18"/>
              </w:rPr>
            </w:pPr>
            <w:r w:rsidRPr="002B55E9">
              <w:rPr>
                <w:snapToGrid w:val="0"/>
                <w:sz w:val="18"/>
                <w:szCs w:val="18"/>
                <w:lang w:bidi="ar"/>
              </w:rPr>
              <w:t>200mg/L</w:t>
            </w:r>
          </w:p>
        </w:tc>
      </w:tr>
      <w:tr w:rsidR="002B55E9" w:rsidRPr="002B55E9" w14:paraId="320682A1" w14:textId="77777777">
        <w:trPr>
          <w:trHeight w:val="284"/>
          <w:jc w:val="center"/>
        </w:trPr>
        <w:tc>
          <w:tcPr>
            <w:tcW w:w="713" w:type="dxa"/>
            <w:vAlign w:val="center"/>
          </w:tcPr>
          <w:p w14:paraId="0A693656" w14:textId="77777777" w:rsidR="00D170E5" w:rsidRPr="002B55E9" w:rsidRDefault="00EF27AD">
            <w:pPr>
              <w:adjustRightInd w:val="0"/>
              <w:snapToGrid w:val="0"/>
              <w:jc w:val="center"/>
              <w:rPr>
                <w:sz w:val="18"/>
                <w:szCs w:val="18"/>
              </w:rPr>
            </w:pPr>
            <w:r w:rsidRPr="002B55E9">
              <w:rPr>
                <w:sz w:val="18"/>
                <w:szCs w:val="18"/>
                <w:lang w:bidi="ar"/>
              </w:rPr>
              <w:t>5</w:t>
            </w:r>
          </w:p>
        </w:tc>
        <w:tc>
          <w:tcPr>
            <w:tcW w:w="1698" w:type="dxa"/>
            <w:vMerge/>
            <w:vAlign w:val="center"/>
          </w:tcPr>
          <w:p w14:paraId="015637DE" w14:textId="77777777" w:rsidR="00D170E5" w:rsidRPr="002B55E9" w:rsidRDefault="00D170E5">
            <w:pPr>
              <w:jc w:val="center"/>
            </w:pPr>
          </w:p>
        </w:tc>
        <w:tc>
          <w:tcPr>
            <w:tcW w:w="2128" w:type="dxa"/>
            <w:vAlign w:val="center"/>
          </w:tcPr>
          <w:p w14:paraId="63AA0315"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lang w:bidi="ar"/>
              </w:rPr>
              <w:t>氨氮</w:t>
            </w:r>
          </w:p>
        </w:tc>
        <w:tc>
          <w:tcPr>
            <w:tcW w:w="2409" w:type="dxa"/>
            <w:vMerge/>
            <w:vAlign w:val="center"/>
          </w:tcPr>
          <w:p w14:paraId="0C4528C1" w14:textId="77777777" w:rsidR="00D170E5" w:rsidRPr="002B55E9" w:rsidRDefault="00D170E5">
            <w:pPr>
              <w:jc w:val="center"/>
            </w:pPr>
          </w:p>
        </w:tc>
        <w:tc>
          <w:tcPr>
            <w:tcW w:w="2689" w:type="dxa"/>
            <w:vAlign w:val="center"/>
          </w:tcPr>
          <w:p w14:paraId="5439372C" w14:textId="77777777" w:rsidR="00D170E5" w:rsidRPr="002B55E9" w:rsidRDefault="00EF27AD">
            <w:pPr>
              <w:adjustRightInd w:val="0"/>
              <w:snapToGrid w:val="0"/>
              <w:jc w:val="center"/>
              <w:rPr>
                <w:sz w:val="18"/>
                <w:szCs w:val="18"/>
              </w:rPr>
            </w:pPr>
            <w:r w:rsidRPr="002B55E9">
              <w:rPr>
                <w:snapToGrid w:val="0"/>
                <w:sz w:val="18"/>
                <w:szCs w:val="18"/>
                <w:lang w:bidi="ar"/>
              </w:rPr>
              <w:t>35mg/L</w:t>
            </w:r>
          </w:p>
        </w:tc>
      </w:tr>
      <w:tr w:rsidR="002B55E9" w:rsidRPr="002B55E9" w14:paraId="5D1485CC" w14:textId="77777777">
        <w:trPr>
          <w:trHeight w:val="284"/>
          <w:jc w:val="center"/>
        </w:trPr>
        <w:tc>
          <w:tcPr>
            <w:tcW w:w="713" w:type="dxa"/>
            <w:vAlign w:val="center"/>
          </w:tcPr>
          <w:p w14:paraId="3ECE26B1" w14:textId="77777777" w:rsidR="00D170E5" w:rsidRPr="002B55E9" w:rsidRDefault="00EF27AD">
            <w:pPr>
              <w:adjustRightInd w:val="0"/>
              <w:snapToGrid w:val="0"/>
              <w:jc w:val="center"/>
              <w:rPr>
                <w:sz w:val="18"/>
                <w:szCs w:val="18"/>
              </w:rPr>
            </w:pPr>
            <w:r w:rsidRPr="002B55E9">
              <w:rPr>
                <w:sz w:val="18"/>
                <w:szCs w:val="18"/>
                <w:lang w:bidi="ar"/>
              </w:rPr>
              <w:t>6</w:t>
            </w:r>
          </w:p>
        </w:tc>
        <w:tc>
          <w:tcPr>
            <w:tcW w:w="1698" w:type="dxa"/>
            <w:vMerge/>
            <w:vAlign w:val="center"/>
          </w:tcPr>
          <w:p w14:paraId="05AF23BB" w14:textId="77777777" w:rsidR="00D170E5" w:rsidRPr="002B55E9" w:rsidRDefault="00D170E5">
            <w:pPr>
              <w:jc w:val="center"/>
            </w:pPr>
          </w:p>
        </w:tc>
        <w:tc>
          <w:tcPr>
            <w:tcW w:w="2128" w:type="dxa"/>
            <w:vAlign w:val="center"/>
          </w:tcPr>
          <w:p w14:paraId="2AFA5EBA" w14:textId="77777777" w:rsidR="00D170E5" w:rsidRPr="002B55E9" w:rsidRDefault="00EF27AD">
            <w:pPr>
              <w:adjustRightInd w:val="0"/>
              <w:snapToGrid w:val="0"/>
              <w:ind w:leftChars="-50" w:left="-100" w:rightChars="-50" w:right="-100"/>
              <w:jc w:val="center"/>
              <w:rPr>
                <w:snapToGrid w:val="0"/>
                <w:sz w:val="18"/>
                <w:szCs w:val="18"/>
              </w:rPr>
            </w:pPr>
            <w:r w:rsidRPr="002B55E9">
              <w:rPr>
                <w:rFonts w:hint="eastAsia"/>
                <w:sz w:val="18"/>
                <w:szCs w:val="18"/>
                <w:lang w:bidi="ar"/>
              </w:rPr>
              <w:t>总氮</w:t>
            </w:r>
          </w:p>
        </w:tc>
        <w:tc>
          <w:tcPr>
            <w:tcW w:w="2409" w:type="dxa"/>
            <w:vMerge/>
            <w:vAlign w:val="center"/>
          </w:tcPr>
          <w:p w14:paraId="6210DC56" w14:textId="77777777" w:rsidR="00D170E5" w:rsidRPr="002B55E9" w:rsidRDefault="00D170E5">
            <w:pPr>
              <w:jc w:val="center"/>
            </w:pPr>
          </w:p>
        </w:tc>
        <w:tc>
          <w:tcPr>
            <w:tcW w:w="2689" w:type="dxa"/>
            <w:vAlign w:val="center"/>
          </w:tcPr>
          <w:p w14:paraId="3BE1B61F" w14:textId="77777777" w:rsidR="00D170E5" w:rsidRPr="002B55E9" w:rsidRDefault="00EF27AD">
            <w:pPr>
              <w:adjustRightInd w:val="0"/>
              <w:snapToGrid w:val="0"/>
              <w:jc w:val="center"/>
              <w:rPr>
                <w:snapToGrid w:val="0"/>
                <w:sz w:val="18"/>
                <w:szCs w:val="18"/>
              </w:rPr>
            </w:pPr>
            <w:r w:rsidRPr="002B55E9">
              <w:rPr>
                <w:snapToGrid w:val="0"/>
                <w:sz w:val="18"/>
                <w:szCs w:val="18"/>
                <w:lang w:bidi="ar"/>
              </w:rPr>
              <w:t>40mg/L</w:t>
            </w:r>
          </w:p>
        </w:tc>
      </w:tr>
      <w:tr w:rsidR="002B55E9" w:rsidRPr="002B55E9" w14:paraId="59666FF8" w14:textId="77777777">
        <w:trPr>
          <w:trHeight w:val="284"/>
          <w:jc w:val="center"/>
        </w:trPr>
        <w:tc>
          <w:tcPr>
            <w:tcW w:w="713" w:type="dxa"/>
            <w:vAlign w:val="center"/>
          </w:tcPr>
          <w:p w14:paraId="775DC856" w14:textId="77777777" w:rsidR="00D170E5" w:rsidRPr="002B55E9" w:rsidRDefault="00EF27AD">
            <w:pPr>
              <w:adjustRightInd w:val="0"/>
              <w:snapToGrid w:val="0"/>
              <w:jc w:val="center"/>
              <w:rPr>
                <w:sz w:val="18"/>
                <w:szCs w:val="18"/>
              </w:rPr>
            </w:pPr>
            <w:r w:rsidRPr="002B55E9">
              <w:rPr>
                <w:sz w:val="18"/>
                <w:szCs w:val="18"/>
                <w:lang w:bidi="ar"/>
              </w:rPr>
              <w:t>7</w:t>
            </w:r>
          </w:p>
        </w:tc>
        <w:tc>
          <w:tcPr>
            <w:tcW w:w="1698" w:type="dxa"/>
            <w:vMerge/>
            <w:vAlign w:val="center"/>
          </w:tcPr>
          <w:p w14:paraId="63DB744A" w14:textId="77777777" w:rsidR="00D170E5" w:rsidRPr="002B55E9" w:rsidRDefault="00D170E5">
            <w:pPr>
              <w:jc w:val="center"/>
            </w:pPr>
          </w:p>
        </w:tc>
        <w:tc>
          <w:tcPr>
            <w:tcW w:w="2128" w:type="dxa"/>
            <w:vAlign w:val="center"/>
          </w:tcPr>
          <w:p w14:paraId="75092E32" w14:textId="77777777" w:rsidR="00D170E5" w:rsidRPr="002B55E9" w:rsidRDefault="00EF27AD">
            <w:pPr>
              <w:adjustRightInd w:val="0"/>
              <w:snapToGrid w:val="0"/>
              <w:ind w:leftChars="-50" w:left="-100" w:rightChars="-50" w:right="-100"/>
              <w:jc w:val="center"/>
              <w:rPr>
                <w:snapToGrid w:val="0"/>
                <w:sz w:val="18"/>
                <w:szCs w:val="18"/>
              </w:rPr>
            </w:pPr>
            <w:r w:rsidRPr="002B55E9">
              <w:rPr>
                <w:rFonts w:hint="eastAsia"/>
                <w:sz w:val="18"/>
                <w:szCs w:val="18"/>
                <w:lang w:bidi="ar"/>
              </w:rPr>
              <w:t>总磷</w:t>
            </w:r>
          </w:p>
        </w:tc>
        <w:tc>
          <w:tcPr>
            <w:tcW w:w="2409" w:type="dxa"/>
            <w:vMerge/>
            <w:vAlign w:val="center"/>
          </w:tcPr>
          <w:p w14:paraId="7C3E22E8" w14:textId="77777777" w:rsidR="00D170E5" w:rsidRPr="002B55E9" w:rsidRDefault="00D170E5">
            <w:pPr>
              <w:jc w:val="center"/>
            </w:pPr>
          </w:p>
        </w:tc>
        <w:tc>
          <w:tcPr>
            <w:tcW w:w="2689" w:type="dxa"/>
            <w:vAlign w:val="center"/>
          </w:tcPr>
          <w:p w14:paraId="76CE0A1A" w14:textId="77777777" w:rsidR="00D170E5" w:rsidRPr="002B55E9" w:rsidRDefault="00EF27AD">
            <w:pPr>
              <w:adjustRightInd w:val="0"/>
              <w:snapToGrid w:val="0"/>
              <w:jc w:val="center"/>
              <w:rPr>
                <w:snapToGrid w:val="0"/>
                <w:sz w:val="18"/>
                <w:szCs w:val="18"/>
              </w:rPr>
            </w:pPr>
            <w:r w:rsidRPr="002B55E9">
              <w:rPr>
                <w:snapToGrid w:val="0"/>
                <w:sz w:val="18"/>
                <w:szCs w:val="18"/>
                <w:lang w:bidi="ar"/>
              </w:rPr>
              <w:t>3.5mg/L</w:t>
            </w:r>
          </w:p>
        </w:tc>
      </w:tr>
      <w:tr w:rsidR="002B55E9" w:rsidRPr="002B55E9" w14:paraId="5114398E" w14:textId="77777777" w:rsidTr="003E2FA0">
        <w:trPr>
          <w:trHeight w:val="284"/>
          <w:jc w:val="center"/>
        </w:trPr>
        <w:tc>
          <w:tcPr>
            <w:tcW w:w="713" w:type="dxa"/>
            <w:vAlign w:val="center"/>
          </w:tcPr>
          <w:p w14:paraId="49E265EB" w14:textId="77777777" w:rsidR="00D170E5" w:rsidRPr="002B55E9" w:rsidRDefault="00EF27AD">
            <w:pPr>
              <w:adjustRightInd w:val="0"/>
              <w:snapToGrid w:val="0"/>
              <w:jc w:val="center"/>
              <w:rPr>
                <w:sz w:val="18"/>
                <w:szCs w:val="18"/>
                <w:lang w:bidi="ar"/>
              </w:rPr>
            </w:pPr>
            <w:r w:rsidRPr="002B55E9">
              <w:rPr>
                <w:rFonts w:hint="eastAsia"/>
                <w:sz w:val="18"/>
                <w:szCs w:val="18"/>
                <w:lang w:bidi="ar"/>
              </w:rPr>
              <w:t>8</w:t>
            </w:r>
          </w:p>
        </w:tc>
        <w:tc>
          <w:tcPr>
            <w:tcW w:w="1698" w:type="dxa"/>
            <w:vMerge/>
            <w:vAlign w:val="center"/>
          </w:tcPr>
          <w:p w14:paraId="0D6CC6A2" w14:textId="77777777" w:rsidR="00D170E5" w:rsidRPr="002B55E9" w:rsidRDefault="00D170E5">
            <w:pPr>
              <w:jc w:val="center"/>
            </w:pPr>
          </w:p>
        </w:tc>
        <w:tc>
          <w:tcPr>
            <w:tcW w:w="2128" w:type="dxa"/>
            <w:tcBorders>
              <w:bottom w:val="single" w:sz="6" w:space="0" w:color="auto"/>
            </w:tcBorders>
            <w:vAlign w:val="center"/>
          </w:tcPr>
          <w:p w14:paraId="210CFBA9" w14:textId="77777777" w:rsidR="00D170E5" w:rsidRPr="002B55E9" w:rsidRDefault="00EF27AD">
            <w:pPr>
              <w:adjustRightInd w:val="0"/>
              <w:snapToGrid w:val="0"/>
              <w:ind w:leftChars="-50" w:left="-100" w:rightChars="-50" w:right="-100"/>
              <w:jc w:val="center"/>
              <w:rPr>
                <w:sz w:val="18"/>
                <w:szCs w:val="18"/>
                <w:lang w:bidi="ar"/>
              </w:rPr>
            </w:pPr>
            <w:r w:rsidRPr="002B55E9">
              <w:rPr>
                <w:rFonts w:hint="eastAsia"/>
                <w:sz w:val="18"/>
                <w:szCs w:val="18"/>
                <w:lang w:bidi="ar"/>
              </w:rPr>
              <w:t>动植物油</w:t>
            </w:r>
          </w:p>
        </w:tc>
        <w:tc>
          <w:tcPr>
            <w:tcW w:w="2409" w:type="dxa"/>
            <w:vMerge/>
            <w:vAlign w:val="center"/>
          </w:tcPr>
          <w:p w14:paraId="0A1F4ED3" w14:textId="77777777" w:rsidR="00D170E5" w:rsidRPr="002B55E9" w:rsidRDefault="00D170E5">
            <w:pPr>
              <w:jc w:val="center"/>
            </w:pPr>
          </w:p>
        </w:tc>
        <w:tc>
          <w:tcPr>
            <w:tcW w:w="2689" w:type="dxa"/>
            <w:vAlign w:val="center"/>
          </w:tcPr>
          <w:p w14:paraId="6E1FB29E" w14:textId="77777777" w:rsidR="00D170E5" w:rsidRPr="002B55E9" w:rsidRDefault="00EF27AD">
            <w:pPr>
              <w:adjustRightInd w:val="0"/>
              <w:snapToGrid w:val="0"/>
              <w:jc w:val="center"/>
              <w:rPr>
                <w:snapToGrid w:val="0"/>
                <w:sz w:val="18"/>
                <w:szCs w:val="18"/>
                <w:lang w:bidi="ar"/>
              </w:rPr>
            </w:pPr>
            <w:r w:rsidRPr="002B55E9">
              <w:rPr>
                <w:rFonts w:hint="eastAsia"/>
                <w:snapToGrid w:val="0"/>
                <w:sz w:val="18"/>
                <w:szCs w:val="18"/>
                <w:lang w:bidi="ar"/>
              </w:rPr>
              <w:t>100</w:t>
            </w:r>
            <w:r w:rsidRPr="002B55E9">
              <w:rPr>
                <w:snapToGrid w:val="0"/>
                <w:sz w:val="18"/>
                <w:szCs w:val="18"/>
                <w:lang w:bidi="ar"/>
              </w:rPr>
              <w:t>mg/L</w:t>
            </w:r>
          </w:p>
        </w:tc>
      </w:tr>
    </w:tbl>
    <w:p w14:paraId="213F852F" w14:textId="77777777" w:rsidR="00D170E5" w:rsidRPr="002B55E9" w:rsidRDefault="00EF27AD">
      <w:pPr>
        <w:spacing w:after="60" w:line="360" w:lineRule="auto"/>
        <w:ind w:firstLineChars="200" w:firstLine="480"/>
        <w:rPr>
          <w:rFonts w:eastAsia="黑体"/>
          <w:b/>
          <w:sz w:val="24"/>
        </w:rPr>
      </w:pPr>
      <w:r w:rsidRPr="002B55E9">
        <w:rPr>
          <w:rFonts w:hint="eastAsia"/>
          <w:sz w:val="24"/>
          <w:szCs w:val="22"/>
          <w:lang w:bidi="ar"/>
        </w:rPr>
        <w:t>拟建项目水污染排放信息见下表。</w:t>
      </w:r>
    </w:p>
    <w:p w14:paraId="1CE53132" w14:textId="67536D21" w:rsidR="00D170E5" w:rsidRPr="002B55E9" w:rsidRDefault="00EF27AD">
      <w:pPr>
        <w:jc w:val="center"/>
        <w:rPr>
          <w:rFonts w:eastAsia="黑体"/>
          <w:b/>
          <w:sz w:val="24"/>
          <w:lang w:bidi="ar"/>
        </w:rPr>
      </w:pPr>
      <w:r w:rsidRPr="002B55E9">
        <w:rPr>
          <w:rFonts w:eastAsia="黑体" w:hint="eastAsia"/>
          <w:b/>
          <w:sz w:val="24"/>
          <w:lang w:bidi="ar"/>
        </w:rPr>
        <w:lastRenderedPageBreak/>
        <w:t>表</w:t>
      </w:r>
      <w:r w:rsidRPr="002B55E9">
        <w:rPr>
          <w:rFonts w:eastAsia="黑体" w:hint="eastAsia"/>
          <w:b/>
          <w:sz w:val="24"/>
          <w:lang w:bidi="ar"/>
        </w:rPr>
        <w:t>5-3</w:t>
      </w:r>
      <w:r w:rsidRPr="002B55E9">
        <w:rPr>
          <w:rFonts w:eastAsia="黑体"/>
          <w:b/>
          <w:sz w:val="24"/>
          <w:lang w:bidi="ar"/>
        </w:rPr>
        <w:t>-1</w:t>
      </w:r>
      <w:r w:rsidR="008A7CEC" w:rsidRPr="002B55E9">
        <w:rPr>
          <w:rFonts w:eastAsia="黑体"/>
          <w:b/>
          <w:sz w:val="24"/>
          <w:lang w:bidi="ar"/>
        </w:rPr>
        <w:t>2</w:t>
      </w:r>
      <w:r w:rsidRPr="002B55E9">
        <w:rPr>
          <w:rFonts w:eastAsia="黑体" w:hint="eastAsia"/>
          <w:b/>
          <w:sz w:val="24"/>
          <w:lang w:bidi="ar"/>
        </w:rPr>
        <w:t xml:space="preserve"> </w:t>
      </w:r>
      <w:r w:rsidRPr="002B55E9">
        <w:rPr>
          <w:rFonts w:eastAsia="黑体"/>
          <w:b/>
          <w:sz w:val="24"/>
          <w:lang w:bidi="ar"/>
        </w:rPr>
        <w:t xml:space="preserve"> </w:t>
      </w:r>
      <w:r w:rsidRPr="002B55E9">
        <w:rPr>
          <w:rFonts w:eastAsia="黑体" w:hint="eastAsia"/>
          <w:b/>
          <w:sz w:val="24"/>
          <w:lang w:bidi="ar"/>
        </w:rPr>
        <w:t>废水污染物排放信息表</w:t>
      </w:r>
    </w:p>
    <w:tbl>
      <w:tblPr>
        <w:tblStyle w:val="lgy2"/>
        <w:tblW w:w="5000" w:type="pct"/>
        <w:tblLayout w:type="fixed"/>
        <w:tblCellMar>
          <w:left w:w="28" w:type="dxa"/>
          <w:right w:w="28" w:type="dxa"/>
        </w:tblCellMar>
        <w:tblLook w:val="04A0" w:firstRow="1" w:lastRow="0" w:firstColumn="1" w:lastColumn="0" w:noHBand="0" w:noVBand="1"/>
      </w:tblPr>
      <w:tblGrid>
        <w:gridCol w:w="999"/>
        <w:gridCol w:w="1534"/>
        <w:gridCol w:w="1790"/>
        <w:gridCol w:w="1790"/>
        <w:gridCol w:w="1790"/>
        <w:gridCol w:w="1790"/>
      </w:tblGrid>
      <w:tr w:rsidR="002B55E9" w:rsidRPr="002B55E9" w14:paraId="6A882150" w14:textId="77777777" w:rsidTr="003E2FA0">
        <w:trPr>
          <w:cnfStyle w:val="100000000000" w:firstRow="1" w:lastRow="0" w:firstColumn="0" w:lastColumn="0" w:oddVBand="0" w:evenVBand="0" w:oddHBand="0" w:evenHBand="0" w:firstRowFirstColumn="0" w:firstRowLastColumn="0" w:lastRowFirstColumn="0" w:lastRowLastColumn="0"/>
          <w:trHeight w:val="283"/>
        </w:trPr>
        <w:tc>
          <w:tcPr>
            <w:tcW w:w="999" w:type="dxa"/>
          </w:tcPr>
          <w:p w14:paraId="1F9D0BD4" w14:textId="77777777" w:rsidR="00D170E5" w:rsidRPr="002B55E9" w:rsidRDefault="00EF27AD" w:rsidP="00AF51A8">
            <w:pPr>
              <w:pStyle w:val="lgy-"/>
              <w:rPr>
                <w:rFonts w:eastAsia="宋体"/>
              </w:rPr>
            </w:pPr>
            <w:r w:rsidRPr="002B55E9">
              <w:rPr>
                <w:rFonts w:eastAsia="宋体"/>
              </w:rPr>
              <w:t>序号</w:t>
            </w:r>
          </w:p>
        </w:tc>
        <w:tc>
          <w:tcPr>
            <w:tcW w:w="1534" w:type="dxa"/>
          </w:tcPr>
          <w:p w14:paraId="66DB947D" w14:textId="77777777" w:rsidR="00D170E5" w:rsidRPr="002B55E9" w:rsidRDefault="00EF27AD" w:rsidP="00AF51A8">
            <w:pPr>
              <w:pStyle w:val="lgy-"/>
              <w:rPr>
                <w:rFonts w:eastAsia="宋体"/>
              </w:rPr>
            </w:pPr>
            <w:r w:rsidRPr="002B55E9">
              <w:rPr>
                <w:rFonts w:eastAsia="宋体"/>
              </w:rPr>
              <w:t>排放口编号</w:t>
            </w:r>
          </w:p>
        </w:tc>
        <w:tc>
          <w:tcPr>
            <w:tcW w:w="1790" w:type="dxa"/>
          </w:tcPr>
          <w:p w14:paraId="10DC5C66" w14:textId="77777777" w:rsidR="00D170E5" w:rsidRPr="002B55E9" w:rsidRDefault="00EF27AD" w:rsidP="00AF51A8">
            <w:pPr>
              <w:pStyle w:val="lgy-"/>
              <w:rPr>
                <w:rFonts w:eastAsia="宋体"/>
              </w:rPr>
            </w:pPr>
            <w:r w:rsidRPr="002B55E9">
              <w:rPr>
                <w:rFonts w:eastAsia="宋体"/>
              </w:rPr>
              <w:t>污染物种类</w:t>
            </w:r>
          </w:p>
        </w:tc>
        <w:tc>
          <w:tcPr>
            <w:tcW w:w="1790" w:type="dxa"/>
          </w:tcPr>
          <w:p w14:paraId="70D1787D" w14:textId="77777777" w:rsidR="00D170E5" w:rsidRPr="002B55E9" w:rsidRDefault="00EF27AD" w:rsidP="00AF51A8">
            <w:pPr>
              <w:pStyle w:val="lgy-"/>
              <w:rPr>
                <w:rFonts w:eastAsia="宋体"/>
              </w:rPr>
            </w:pPr>
            <w:r w:rsidRPr="002B55E9">
              <w:rPr>
                <w:rFonts w:eastAsia="宋体"/>
              </w:rPr>
              <w:t>排放浓度（</w:t>
            </w:r>
            <w:r w:rsidRPr="002B55E9">
              <w:rPr>
                <w:rFonts w:eastAsia="宋体"/>
              </w:rPr>
              <w:t>mg/L</w:t>
            </w:r>
            <w:r w:rsidRPr="002B55E9">
              <w:rPr>
                <w:rFonts w:eastAsia="宋体"/>
              </w:rPr>
              <w:t>）</w:t>
            </w:r>
          </w:p>
        </w:tc>
        <w:tc>
          <w:tcPr>
            <w:tcW w:w="1790" w:type="dxa"/>
          </w:tcPr>
          <w:p w14:paraId="2F083F88" w14:textId="77777777" w:rsidR="00D170E5" w:rsidRPr="002B55E9" w:rsidRDefault="00EF27AD" w:rsidP="00AF51A8">
            <w:pPr>
              <w:pStyle w:val="lgy-"/>
              <w:rPr>
                <w:rFonts w:eastAsia="宋体"/>
              </w:rPr>
            </w:pPr>
            <w:r w:rsidRPr="002B55E9">
              <w:rPr>
                <w:rFonts w:eastAsia="宋体"/>
              </w:rPr>
              <w:t>日排放量（</w:t>
            </w:r>
            <w:r w:rsidRPr="002B55E9">
              <w:rPr>
                <w:rFonts w:eastAsia="宋体"/>
              </w:rPr>
              <w:t>kg/d</w:t>
            </w:r>
            <w:r w:rsidRPr="002B55E9">
              <w:rPr>
                <w:rFonts w:eastAsia="宋体"/>
              </w:rPr>
              <w:t>）</w:t>
            </w:r>
          </w:p>
        </w:tc>
        <w:tc>
          <w:tcPr>
            <w:tcW w:w="1790" w:type="dxa"/>
          </w:tcPr>
          <w:p w14:paraId="6A7A2270" w14:textId="77777777" w:rsidR="00D170E5" w:rsidRPr="002B55E9" w:rsidRDefault="00EF27AD" w:rsidP="00AF51A8">
            <w:pPr>
              <w:pStyle w:val="lgy-"/>
              <w:rPr>
                <w:rFonts w:eastAsia="宋体"/>
              </w:rPr>
            </w:pPr>
            <w:r w:rsidRPr="002B55E9">
              <w:rPr>
                <w:rFonts w:eastAsia="宋体"/>
              </w:rPr>
              <w:t>全厂年排放量（</w:t>
            </w:r>
            <w:r w:rsidRPr="002B55E9">
              <w:rPr>
                <w:rFonts w:eastAsia="宋体"/>
              </w:rPr>
              <w:t>t/a</w:t>
            </w:r>
            <w:r w:rsidRPr="002B55E9">
              <w:rPr>
                <w:rFonts w:eastAsia="宋体"/>
              </w:rPr>
              <w:t>）</w:t>
            </w:r>
          </w:p>
        </w:tc>
      </w:tr>
      <w:tr w:rsidR="002B55E9" w:rsidRPr="002B55E9" w14:paraId="161DDBEF" w14:textId="77777777" w:rsidTr="003E2FA0">
        <w:trPr>
          <w:trHeight w:val="283"/>
        </w:trPr>
        <w:tc>
          <w:tcPr>
            <w:tcW w:w="999" w:type="dxa"/>
          </w:tcPr>
          <w:p w14:paraId="0372F938" w14:textId="77777777" w:rsidR="00D170E5" w:rsidRPr="002B55E9" w:rsidRDefault="00EF27AD" w:rsidP="00AF51A8">
            <w:pPr>
              <w:pStyle w:val="lgy-"/>
              <w:rPr>
                <w:rFonts w:eastAsia="宋体"/>
              </w:rPr>
            </w:pPr>
            <w:r w:rsidRPr="002B55E9">
              <w:rPr>
                <w:rFonts w:eastAsia="宋体"/>
              </w:rPr>
              <w:t>1</w:t>
            </w:r>
          </w:p>
        </w:tc>
        <w:tc>
          <w:tcPr>
            <w:tcW w:w="1534" w:type="dxa"/>
            <w:vMerge w:val="restart"/>
          </w:tcPr>
          <w:p w14:paraId="6CCF962F" w14:textId="77777777" w:rsidR="00D170E5" w:rsidRPr="002B55E9" w:rsidRDefault="00EF27AD" w:rsidP="00AF51A8">
            <w:pPr>
              <w:pStyle w:val="lgy-"/>
              <w:rPr>
                <w:rFonts w:eastAsia="宋体"/>
              </w:rPr>
            </w:pPr>
            <w:r w:rsidRPr="002B55E9">
              <w:rPr>
                <w:rFonts w:eastAsia="宋体"/>
              </w:rPr>
              <w:t>DW001</w:t>
            </w:r>
          </w:p>
          <w:p w14:paraId="72C175CB" w14:textId="77777777" w:rsidR="00D170E5" w:rsidRPr="002B55E9" w:rsidRDefault="00EF27AD" w:rsidP="00AF51A8">
            <w:pPr>
              <w:pStyle w:val="lgy-"/>
              <w:rPr>
                <w:rFonts w:eastAsia="宋体"/>
              </w:rPr>
            </w:pPr>
            <w:r w:rsidRPr="002B55E9">
              <w:rPr>
                <w:rFonts w:eastAsia="宋体" w:hint="eastAsia"/>
              </w:rPr>
              <w:t>（佛山市海天（武汉）调味食品有限公司总排口）</w:t>
            </w:r>
          </w:p>
        </w:tc>
        <w:tc>
          <w:tcPr>
            <w:tcW w:w="1790" w:type="dxa"/>
          </w:tcPr>
          <w:p w14:paraId="02D0DC2B" w14:textId="77777777" w:rsidR="00D170E5" w:rsidRPr="002B55E9" w:rsidRDefault="00EF27AD" w:rsidP="00AF51A8">
            <w:pPr>
              <w:pStyle w:val="lgy-"/>
              <w:rPr>
                <w:rFonts w:eastAsia="宋体"/>
              </w:rPr>
            </w:pPr>
            <w:r w:rsidRPr="002B55E9">
              <w:rPr>
                <w:rFonts w:eastAsia="宋体" w:hint="eastAsia"/>
              </w:rPr>
              <w:t>pH</w:t>
            </w:r>
          </w:p>
        </w:tc>
        <w:tc>
          <w:tcPr>
            <w:tcW w:w="1790" w:type="dxa"/>
          </w:tcPr>
          <w:p w14:paraId="219B14FF" w14:textId="77777777" w:rsidR="00D170E5" w:rsidRPr="002B55E9" w:rsidRDefault="00EF27AD" w:rsidP="00AF51A8">
            <w:pPr>
              <w:pStyle w:val="lgy-"/>
              <w:rPr>
                <w:rFonts w:eastAsia="宋体"/>
              </w:rPr>
            </w:pPr>
            <w:r w:rsidRPr="002B55E9">
              <w:rPr>
                <w:rFonts w:eastAsia="宋体" w:hint="eastAsia"/>
              </w:rPr>
              <w:t>6</w:t>
            </w:r>
            <w:r w:rsidRPr="002B55E9">
              <w:rPr>
                <w:rFonts w:eastAsia="宋体"/>
              </w:rPr>
              <w:t>~9</w:t>
            </w:r>
          </w:p>
        </w:tc>
        <w:tc>
          <w:tcPr>
            <w:tcW w:w="1790" w:type="dxa"/>
          </w:tcPr>
          <w:p w14:paraId="55813708" w14:textId="77777777" w:rsidR="00D170E5" w:rsidRPr="002B55E9" w:rsidRDefault="00EF27AD" w:rsidP="00AF51A8">
            <w:pPr>
              <w:pStyle w:val="lgy-"/>
              <w:rPr>
                <w:rFonts w:eastAsia="宋体"/>
              </w:rPr>
            </w:pPr>
            <w:r w:rsidRPr="002B55E9">
              <w:rPr>
                <w:rFonts w:eastAsia="宋体" w:hint="eastAsia"/>
              </w:rPr>
              <w:t>/</w:t>
            </w:r>
          </w:p>
        </w:tc>
        <w:tc>
          <w:tcPr>
            <w:tcW w:w="1790" w:type="dxa"/>
          </w:tcPr>
          <w:p w14:paraId="592907D2" w14:textId="77777777" w:rsidR="00D170E5" w:rsidRPr="002B55E9" w:rsidRDefault="00EF27AD" w:rsidP="00AF51A8">
            <w:pPr>
              <w:pStyle w:val="lgy-"/>
              <w:rPr>
                <w:rFonts w:eastAsia="宋体"/>
              </w:rPr>
            </w:pPr>
            <w:r w:rsidRPr="002B55E9">
              <w:rPr>
                <w:rFonts w:eastAsia="宋体" w:hint="eastAsia"/>
              </w:rPr>
              <w:t>/</w:t>
            </w:r>
          </w:p>
        </w:tc>
      </w:tr>
      <w:tr w:rsidR="002B55E9" w:rsidRPr="002B55E9" w14:paraId="0A25B16C" w14:textId="77777777" w:rsidTr="003E2FA0">
        <w:trPr>
          <w:trHeight w:val="283"/>
        </w:trPr>
        <w:tc>
          <w:tcPr>
            <w:tcW w:w="999" w:type="dxa"/>
          </w:tcPr>
          <w:p w14:paraId="128B0EBC" w14:textId="77777777" w:rsidR="00AF51A8" w:rsidRPr="002B55E9" w:rsidRDefault="00AF51A8" w:rsidP="00AF51A8">
            <w:pPr>
              <w:pStyle w:val="lgy-"/>
              <w:rPr>
                <w:rFonts w:eastAsia="宋体"/>
              </w:rPr>
            </w:pPr>
            <w:r w:rsidRPr="002B55E9">
              <w:rPr>
                <w:rFonts w:eastAsia="宋体"/>
              </w:rPr>
              <w:t>2</w:t>
            </w:r>
          </w:p>
        </w:tc>
        <w:tc>
          <w:tcPr>
            <w:tcW w:w="1534" w:type="dxa"/>
            <w:vMerge/>
          </w:tcPr>
          <w:p w14:paraId="7BC0EA88" w14:textId="77777777" w:rsidR="00AF51A8" w:rsidRPr="002B55E9" w:rsidRDefault="00AF51A8" w:rsidP="00AF51A8">
            <w:pPr>
              <w:pStyle w:val="lgy-"/>
              <w:rPr>
                <w:rFonts w:eastAsia="宋体"/>
              </w:rPr>
            </w:pPr>
          </w:p>
        </w:tc>
        <w:tc>
          <w:tcPr>
            <w:tcW w:w="1790" w:type="dxa"/>
          </w:tcPr>
          <w:p w14:paraId="32F25200" w14:textId="77777777" w:rsidR="00AF51A8" w:rsidRPr="002B55E9" w:rsidRDefault="00AF51A8" w:rsidP="00AF51A8">
            <w:pPr>
              <w:pStyle w:val="lgy-"/>
              <w:rPr>
                <w:rFonts w:eastAsia="宋体"/>
              </w:rPr>
            </w:pPr>
            <w:r w:rsidRPr="002B55E9">
              <w:rPr>
                <w:rFonts w:eastAsia="宋体"/>
              </w:rPr>
              <w:t>COD</w:t>
            </w:r>
          </w:p>
        </w:tc>
        <w:tc>
          <w:tcPr>
            <w:tcW w:w="1790" w:type="dxa"/>
          </w:tcPr>
          <w:p w14:paraId="1540A7BD" w14:textId="5922FE9E" w:rsidR="00AF51A8" w:rsidRPr="002B55E9" w:rsidRDefault="00AF51A8" w:rsidP="00AF51A8">
            <w:pPr>
              <w:pStyle w:val="lgy-"/>
              <w:rPr>
                <w:rFonts w:eastAsia="宋体"/>
              </w:rPr>
            </w:pPr>
            <w:r w:rsidRPr="002B55E9">
              <w:rPr>
                <w:rFonts w:eastAsia="宋体"/>
              </w:rPr>
              <w:t xml:space="preserve">107.18 </w:t>
            </w:r>
          </w:p>
        </w:tc>
        <w:tc>
          <w:tcPr>
            <w:tcW w:w="1790" w:type="dxa"/>
          </w:tcPr>
          <w:p w14:paraId="6C6FBA0D" w14:textId="3A80AB02" w:rsidR="00AF51A8" w:rsidRPr="002B55E9" w:rsidRDefault="00AF51A8" w:rsidP="00AF51A8">
            <w:pPr>
              <w:pStyle w:val="lgy-"/>
              <w:rPr>
                <w:rFonts w:eastAsia="宋体"/>
              </w:rPr>
            </w:pPr>
            <w:r w:rsidRPr="002B55E9">
              <w:rPr>
                <w:rFonts w:eastAsia="宋体"/>
              </w:rPr>
              <w:t xml:space="preserve">74.57 </w:t>
            </w:r>
          </w:p>
        </w:tc>
        <w:tc>
          <w:tcPr>
            <w:tcW w:w="1790" w:type="dxa"/>
          </w:tcPr>
          <w:p w14:paraId="15416E00" w14:textId="6628ADF5" w:rsidR="00AF51A8" w:rsidRPr="002B55E9" w:rsidRDefault="00AF51A8" w:rsidP="00AF51A8">
            <w:pPr>
              <w:pStyle w:val="lgy-"/>
              <w:rPr>
                <w:rFonts w:eastAsia="宋体"/>
              </w:rPr>
            </w:pPr>
            <w:r w:rsidRPr="002B55E9">
              <w:rPr>
                <w:rFonts w:eastAsia="宋体"/>
              </w:rPr>
              <w:t xml:space="preserve">24.61 </w:t>
            </w:r>
          </w:p>
        </w:tc>
      </w:tr>
      <w:tr w:rsidR="002B55E9" w:rsidRPr="002B55E9" w14:paraId="29D15444" w14:textId="77777777" w:rsidTr="003E2FA0">
        <w:trPr>
          <w:trHeight w:val="283"/>
        </w:trPr>
        <w:tc>
          <w:tcPr>
            <w:tcW w:w="999" w:type="dxa"/>
          </w:tcPr>
          <w:p w14:paraId="63143148" w14:textId="77777777" w:rsidR="00AF51A8" w:rsidRPr="002B55E9" w:rsidRDefault="00AF51A8" w:rsidP="00AF51A8">
            <w:pPr>
              <w:pStyle w:val="lgy-"/>
              <w:rPr>
                <w:rFonts w:eastAsia="宋体"/>
              </w:rPr>
            </w:pPr>
            <w:r w:rsidRPr="002B55E9">
              <w:rPr>
                <w:rFonts w:eastAsia="宋体"/>
              </w:rPr>
              <w:t>3</w:t>
            </w:r>
          </w:p>
        </w:tc>
        <w:tc>
          <w:tcPr>
            <w:tcW w:w="1534" w:type="dxa"/>
            <w:vMerge/>
          </w:tcPr>
          <w:p w14:paraId="18B38813" w14:textId="77777777" w:rsidR="00AF51A8" w:rsidRPr="002B55E9" w:rsidRDefault="00AF51A8" w:rsidP="00AF51A8">
            <w:pPr>
              <w:pStyle w:val="lgy-"/>
              <w:rPr>
                <w:rFonts w:eastAsia="宋体"/>
              </w:rPr>
            </w:pPr>
          </w:p>
        </w:tc>
        <w:tc>
          <w:tcPr>
            <w:tcW w:w="1790" w:type="dxa"/>
          </w:tcPr>
          <w:p w14:paraId="3A78107A" w14:textId="77777777" w:rsidR="00AF51A8" w:rsidRPr="002B55E9" w:rsidRDefault="00AF51A8" w:rsidP="00AF51A8">
            <w:pPr>
              <w:pStyle w:val="lgy-"/>
              <w:rPr>
                <w:rFonts w:eastAsia="宋体"/>
              </w:rPr>
            </w:pPr>
            <w:r w:rsidRPr="002B55E9">
              <w:rPr>
                <w:rFonts w:eastAsia="宋体"/>
              </w:rPr>
              <w:t>BOD</w:t>
            </w:r>
            <w:r w:rsidRPr="002B55E9">
              <w:rPr>
                <w:rFonts w:eastAsia="宋体"/>
                <w:vertAlign w:val="subscript"/>
              </w:rPr>
              <w:t>5</w:t>
            </w:r>
          </w:p>
        </w:tc>
        <w:tc>
          <w:tcPr>
            <w:tcW w:w="1790" w:type="dxa"/>
          </w:tcPr>
          <w:p w14:paraId="2B1CEE6A" w14:textId="2968076F" w:rsidR="00AF51A8" w:rsidRPr="002B55E9" w:rsidRDefault="00AF51A8" w:rsidP="00AF51A8">
            <w:pPr>
              <w:pStyle w:val="lgy-"/>
              <w:rPr>
                <w:rFonts w:eastAsia="宋体"/>
              </w:rPr>
            </w:pPr>
            <w:r w:rsidRPr="002B55E9">
              <w:rPr>
                <w:rFonts w:eastAsia="宋体"/>
              </w:rPr>
              <w:t xml:space="preserve">40.65 </w:t>
            </w:r>
          </w:p>
        </w:tc>
        <w:tc>
          <w:tcPr>
            <w:tcW w:w="1790" w:type="dxa"/>
          </w:tcPr>
          <w:p w14:paraId="0FF32709" w14:textId="5BBF4250" w:rsidR="00AF51A8" w:rsidRPr="002B55E9" w:rsidRDefault="00AF51A8" w:rsidP="00AF51A8">
            <w:pPr>
              <w:pStyle w:val="lgy-"/>
              <w:rPr>
                <w:rFonts w:eastAsia="宋体"/>
              </w:rPr>
            </w:pPr>
            <w:r w:rsidRPr="002B55E9">
              <w:rPr>
                <w:rFonts w:eastAsia="宋体"/>
              </w:rPr>
              <w:t xml:space="preserve">28.28 </w:t>
            </w:r>
          </w:p>
        </w:tc>
        <w:tc>
          <w:tcPr>
            <w:tcW w:w="1790" w:type="dxa"/>
          </w:tcPr>
          <w:p w14:paraId="7E2D4587" w14:textId="1D4E460F" w:rsidR="00AF51A8" w:rsidRPr="002B55E9" w:rsidRDefault="00AF51A8" w:rsidP="00AF51A8">
            <w:pPr>
              <w:pStyle w:val="lgy-"/>
              <w:rPr>
                <w:rFonts w:eastAsia="宋体"/>
              </w:rPr>
            </w:pPr>
            <w:r w:rsidRPr="002B55E9">
              <w:rPr>
                <w:rFonts w:eastAsia="宋体"/>
              </w:rPr>
              <w:t xml:space="preserve">9.33 </w:t>
            </w:r>
          </w:p>
        </w:tc>
      </w:tr>
      <w:tr w:rsidR="002B55E9" w:rsidRPr="002B55E9" w14:paraId="6AD9A6A7" w14:textId="77777777" w:rsidTr="003E2FA0">
        <w:trPr>
          <w:trHeight w:val="283"/>
        </w:trPr>
        <w:tc>
          <w:tcPr>
            <w:tcW w:w="999" w:type="dxa"/>
          </w:tcPr>
          <w:p w14:paraId="5E9A70DE" w14:textId="77777777" w:rsidR="00AF51A8" w:rsidRPr="002B55E9" w:rsidRDefault="00AF51A8" w:rsidP="00AF51A8">
            <w:pPr>
              <w:pStyle w:val="lgy-"/>
              <w:rPr>
                <w:rFonts w:eastAsia="宋体"/>
              </w:rPr>
            </w:pPr>
            <w:r w:rsidRPr="002B55E9">
              <w:rPr>
                <w:rFonts w:eastAsia="宋体"/>
              </w:rPr>
              <w:t>4</w:t>
            </w:r>
          </w:p>
        </w:tc>
        <w:tc>
          <w:tcPr>
            <w:tcW w:w="1534" w:type="dxa"/>
            <w:vMerge/>
          </w:tcPr>
          <w:p w14:paraId="65E8EF61" w14:textId="77777777" w:rsidR="00AF51A8" w:rsidRPr="002B55E9" w:rsidRDefault="00AF51A8" w:rsidP="00AF51A8">
            <w:pPr>
              <w:pStyle w:val="lgy-"/>
              <w:rPr>
                <w:rFonts w:eastAsia="宋体"/>
              </w:rPr>
            </w:pPr>
          </w:p>
        </w:tc>
        <w:tc>
          <w:tcPr>
            <w:tcW w:w="1790" w:type="dxa"/>
          </w:tcPr>
          <w:p w14:paraId="34344A4F" w14:textId="77777777" w:rsidR="00AF51A8" w:rsidRPr="002B55E9" w:rsidRDefault="00AF51A8" w:rsidP="00AF51A8">
            <w:pPr>
              <w:pStyle w:val="lgy-"/>
              <w:rPr>
                <w:rFonts w:eastAsia="宋体"/>
              </w:rPr>
            </w:pPr>
            <w:r w:rsidRPr="002B55E9">
              <w:rPr>
                <w:rFonts w:eastAsia="宋体"/>
              </w:rPr>
              <w:t>SS</w:t>
            </w:r>
          </w:p>
        </w:tc>
        <w:tc>
          <w:tcPr>
            <w:tcW w:w="1790" w:type="dxa"/>
          </w:tcPr>
          <w:p w14:paraId="55138C05" w14:textId="2FBE1DFA" w:rsidR="00AF51A8" w:rsidRPr="002B55E9" w:rsidRDefault="00AF51A8" w:rsidP="00AF51A8">
            <w:pPr>
              <w:pStyle w:val="lgy-"/>
              <w:rPr>
                <w:rFonts w:eastAsia="宋体"/>
              </w:rPr>
            </w:pPr>
            <w:r w:rsidRPr="002B55E9">
              <w:rPr>
                <w:rFonts w:eastAsia="宋体"/>
              </w:rPr>
              <w:t xml:space="preserve">111.44 </w:t>
            </w:r>
          </w:p>
        </w:tc>
        <w:tc>
          <w:tcPr>
            <w:tcW w:w="1790" w:type="dxa"/>
          </w:tcPr>
          <w:p w14:paraId="69EF750E" w14:textId="6A82ED89" w:rsidR="00AF51A8" w:rsidRPr="002B55E9" w:rsidRDefault="00AF51A8" w:rsidP="00AF51A8">
            <w:pPr>
              <w:pStyle w:val="lgy-"/>
              <w:rPr>
                <w:rFonts w:eastAsia="宋体"/>
              </w:rPr>
            </w:pPr>
            <w:r w:rsidRPr="002B55E9">
              <w:rPr>
                <w:rFonts w:eastAsia="宋体"/>
              </w:rPr>
              <w:t xml:space="preserve">77.53 </w:t>
            </w:r>
          </w:p>
        </w:tc>
        <w:tc>
          <w:tcPr>
            <w:tcW w:w="1790" w:type="dxa"/>
          </w:tcPr>
          <w:p w14:paraId="226A80BD" w14:textId="0BB3D334" w:rsidR="00AF51A8" w:rsidRPr="002B55E9" w:rsidRDefault="00AF51A8" w:rsidP="00AF51A8">
            <w:pPr>
              <w:pStyle w:val="lgy-"/>
              <w:rPr>
                <w:rFonts w:eastAsia="宋体"/>
              </w:rPr>
            </w:pPr>
            <w:r w:rsidRPr="002B55E9">
              <w:rPr>
                <w:rFonts w:eastAsia="宋体"/>
              </w:rPr>
              <w:t xml:space="preserve">25.58 </w:t>
            </w:r>
          </w:p>
        </w:tc>
      </w:tr>
      <w:tr w:rsidR="002B55E9" w:rsidRPr="002B55E9" w14:paraId="2B4023E8" w14:textId="77777777" w:rsidTr="003E2FA0">
        <w:trPr>
          <w:trHeight w:val="283"/>
        </w:trPr>
        <w:tc>
          <w:tcPr>
            <w:tcW w:w="999" w:type="dxa"/>
          </w:tcPr>
          <w:p w14:paraId="3ADB4643" w14:textId="77777777" w:rsidR="00AF51A8" w:rsidRPr="002B55E9" w:rsidRDefault="00AF51A8" w:rsidP="00AF51A8">
            <w:pPr>
              <w:pStyle w:val="lgy-"/>
              <w:rPr>
                <w:rFonts w:eastAsia="宋体"/>
              </w:rPr>
            </w:pPr>
            <w:r w:rsidRPr="002B55E9">
              <w:rPr>
                <w:rFonts w:eastAsia="宋体"/>
              </w:rPr>
              <w:t>5</w:t>
            </w:r>
          </w:p>
        </w:tc>
        <w:tc>
          <w:tcPr>
            <w:tcW w:w="1534" w:type="dxa"/>
            <w:vMerge/>
          </w:tcPr>
          <w:p w14:paraId="092339E8" w14:textId="77777777" w:rsidR="00AF51A8" w:rsidRPr="002B55E9" w:rsidRDefault="00AF51A8" w:rsidP="00AF51A8">
            <w:pPr>
              <w:pStyle w:val="lgy-"/>
              <w:rPr>
                <w:rFonts w:eastAsia="宋体"/>
              </w:rPr>
            </w:pPr>
          </w:p>
        </w:tc>
        <w:tc>
          <w:tcPr>
            <w:tcW w:w="1790" w:type="dxa"/>
          </w:tcPr>
          <w:p w14:paraId="27712A49" w14:textId="77777777" w:rsidR="00AF51A8" w:rsidRPr="002B55E9" w:rsidRDefault="00AF51A8" w:rsidP="00AF51A8">
            <w:pPr>
              <w:pStyle w:val="lgy-"/>
              <w:rPr>
                <w:rFonts w:eastAsia="宋体"/>
              </w:rPr>
            </w:pPr>
            <w:r w:rsidRPr="002B55E9">
              <w:rPr>
                <w:rFonts w:eastAsia="宋体"/>
              </w:rPr>
              <w:t>氨氮</w:t>
            </w:r>
          </w:p>
        </w:tc>
        <w:tc>
          <w:tcPr>
            <w:tcW w:w="1790" w:type="dxa"/>
          </w:tcPr>
          <w:p w14:paraId="3B70046B" w14:textId="5D2F8DB2" w:rsidR="00AF51A8" w:rsidRPr="002B55E9" w:rsidRDefault="00AF51A8" w:rsidP="00AF51A8">
            <w:pPr>
              <w:pStyle w:val="lgy-"/>
              <w:rPr>
                <w:rFonts w:eastAsia="宋体"/>
              </w:rPr>
            </w:pPr>
            <w:r w:rsidRPr="002B55E9">
              <w:rPr>
                <w:rFonts w:eastAsia="宋体"/>
              </w:rPr>
              <w:t xml:space="preserve">13.63 </w:t>
            </w:r>
          </w:p>
        </w:tc>
        <w:tc>
          <w:tcPr>
            <w:tcW w:w="1790" w:type="dxa"/>
          </w:tcPr>
          <w:p w14:paraId="536644CD" w14:textId="531E57E0" w:rsidR="00AF51A8" w:rsidRPr="002B55E9" w:rsidRDefault="00AF51A8" w:rsidP="00AF51A8">
            <w:pPr>
              <w:pStyle w:val="lgy-"/>
              <w:rPr>
                <w:rFonts w:eastAsia="宋体"/>
              </w:rPr>
            </w:pPr>
            <w:r w:rsidRPr="002B55E9">
              <w:rPr>
                <w:rFonts w:eastAsia="宋体"/>
              </w:rPr>
              <w:t xml:space="preserve">9.49 </w:t>
            </w:r>
          </w:p>
        </w:tc>
        <w:tc>
          <w:tcPr>
            <w:tcW w:w="1790" w:type="dxa"/>
          </w:tcPr>
          <w:p w14:paraId="156A54B3" w14:textId="6F600EFB" w:rsidR="00AF51A8" w:rsidRPr="002B55E9" w:rsidRDefault="00AF51A8" w:rsidP="00AF51A8">
            <w:pPr>
              <w:pStyle w:val="lgy-"/>
              <w:rPr>
                <w:rFonts w:eastAsia="宋体"/>
              </w:rPr>
            </w:pPr>
            <w:r w:rsidRPr="002B55E9">
              <w:rPr>
                <w:rFonts w:eastAsia="宋体"/>
              </w:rPr>
              <w:t xml:space="preserve">3.13 </w:t>
            </w:r>
          </w:p>
        </w:tc>
      </w:tr>
      <w:tr w:rsidR="002B55E9" w:rsidRPr="002B55E9" w14:paraId="7BFD261F" w14:textId="77777777" w:rsidTr="003E2FA0">
        <w:trPr>
          <w:trHeight w:val="283"/>
        </w:trPr>
        <w:tc>
          <w:tcPr>
            <w:tcW w:w="999" w:type="dxa"/>
          </w:tcPr>
          <w:p w14:paraId="56AE3CB1" w14:textId="77777777" w:rsidR="00AF51A8" w:rsidRPr="002B55E9" w:rsidRDefault="00AF51A8" w:rsidP="00AF51A8">
            <w:pPr>
              <w:pStyle w:val="lgy-"/>
              <w:rPr>
                <w:rFonts w:eastAsia="宋体"/>
              </w:rPr>
            </w:pPr>
            <w:r w:rsidRPr="002B55E9">
              <w:rPr>
                <w:rFonts w:eastAsia="宋体"/>
              </w:rPr>
              <w:t>6</w:t>
            </w:r>
          </w:p>
        </w:tc>
        <w:tc>
          <w:tcPr>
            <w:tcW w:w="1534" w:type="dxa"/>
            <w:vMerge/>
          </w:tcPr>
          <w:p w14:paraId="755B4217" w14:textId="77777777" w:rsidR="00AF51A8" w:rsidRPr="002B55E9" w:rsidRDefault="00AF51A8" w:rsidP="00AF51A8">
            <w:pPr>
              <w:pStyle w:val="lgy-"/>
              <w:rPr>
                <w:rFonts w:eastAsia="宋体"/>
              </w:rPr>
            </w:pPr>
          </w:p>
        </w:tc>
        <w:tc>
          <w:tcPr>
            <w:tcW w:w="1790" w:type="dxa"/>
          </w:tcPr>
          <w:p w14:paraId="49036CDB" w14:textId="77777777" w:rsidR="00AF51A8" w:rsidRPr="002B55E9" w:rsidRDefault="00AF51A8" w:rsidP="00AF51A8">
            <w:pPr>
              <w:pStyle w:val="lgy-"/>
              <w:rPr>
                <w:rFonts w:eastAsia="宋体"/>
              </w:rPr>
            </w:pPr>
            <w:r w:rsidRPr="002B55E9">
              <w:rPr>
                <w:rFonts w:eastAsia="宋体"/>
              </w:rPr>
              <w:t>总氮</w:t>
            </w:r>
          </w:p>
        </w:tc>
        <w:tc>
          <w:tcPr>
            <w:tcW w:w="1790" w:type="dxa"/>
          </w:tcPr>
          <w:p w14:paraId="2373FB2E" w14:textId="4B015794" w:rsidR="00AF51A8" w:rsidRPr="002B55E9" w:rsidRDefault="00AF51A8" w:rsidP="00AF51A8">
            <w:pPr>
              <w:pStyle w:val="lgy-"/>
              <w:rPr>
                <w:rFonts w:eastAsia="宋体"/>
              </w:rPr>
            </w:pPr>
            <w:r w:rsidRPr="002B55E9">
              <w:rPr>
                <w:rFonts w:eastAsia="宋体"/>
              </w:rPr>
              <w:t xml:space="preserve">27.88 </w:t>
            </w:r>
          </w:p>
        </w:tc>
        <w:tc>
          <w:tcPr>
            <w:tcW w:w="1790" w:type="dxa"/>
          </w:tcPr>
          <w:p w14:paraId="3377E396" w14:textId="74D97E59" w:rsidR="00AF51A8" w:rsidRPr="002B55E9" w:rsidRDefault="00AF51A8" w:rsidP="00AF51A8">
            <w:pPr>
              <w:pStyle w:val="lgy-"/>
              <w:rPr>
                <w:rFonts w:eastAsia="宋体"/>
              </w:rPr>
            </w:pPr>
            <w:r w:rsidRPr="002B55E9">
              <w:rPr>
                <w:rFonts w:eastAsia="宋体"/>
              </w:rPr>
              <w:t xml:space="preserve">19.39 </w:t>
            </w:r>
          </w:p>
        </w:tc>
        <w:tc>
          <w:tcPr>
            <w:tcW w:w="1790" w:type="dxa"/>
          </w:tcPr>
          <w:p w14:paraId="1962BD19" w14:textId="2D3DFC98" w:rsidR="00AF51A8" w:rsidRPr="002B55E9" w:rsidRDefault="00AF51A8" w:rsidP="00AF51A8">
            <w:pPr>
              <w:pStyle w:val="lgy-"/>
              <w:rPr>
                <w:rFonts w:eastAsia="宋体"/>
              </w:rPr>
            </w:pPr>
            <w:r w:rsidRPr="002B55E9">
              <w:rPr>
                <w:rFonts w:eastAsia="宋体"/>
              </w:rPr>
              <w:t xml:space="preserve">6.40 </w:t>
            </w:r>
          </w:p>
        </w:tc>
      </w:tr>
      <w:tr w:rsidR="002B55E9" w:rsidRPr="002B55E9" w14:paraId="6FBD1246" w14:textId="77777777" w:rsidTr="003E2FA0">
        <w:trPr>
          <w:trHeight w:val="283"/>
        </w:trPr>
        <w:tc>
          <w:tcPr>
            <w:tcW w:w="999" w:type="dxa"/>
          </w:tcPr>
          <w:p w14:paraId="39AC5C63" w14:textId="77777777" w:rsidR="00AF51A8" w:rsidRPr="002B55E9" w:rsidRDefault="00AF51A8" w:rsidP="00AF51A8">
            <w:pPr>
              <w:pStyle w:val="lgy-"/>
              <w:rPr>
                <w:rFonts w:eastAsia="宋体"/>
              </w:rPr>
            </w:pPr>
            <w:r w:rsidRPr="002B55E9">
              <w:rPr>
                <w:rFonts w:eastAsia="宋体" w:hint="eastAsia"/>
              </w:rPr>
              <w:t>7</w:t>
            </w:r>
          </w:p>
        </w:tc>
        <w:tc>
          <w:tcPr>
            <w:tcW w:w="1534" w:type="dxa"/>
            <w:vMerge/>
          </w:tcPr>
          <w:p w14:paraId="246115D0" w14:textId="77777777" w:rsidR="00AF51A8" w:rsidRPr="002B55E9" w:rsidRDefault="00AF51A8" w:rsidP="00AF51A8">
            <w:pPr>
              <w:pStyle w:val="lgy-"/>
              <w:rPr>
                <w:rFonts w:eastAsia="宋体"/>
              </w:rPr>
            </w:pPr>
          </w:p>
        </w:tc>
        <w:tc>
          <w:tcPr>
            <w:tcW w:w="1790" w:type="dxa"/>
          </w:tcPr>
          <w:p w14:paraId="3B8E89DB" w14:textId="77777777" w:rsidR="00AF51A8" w:rsidRPr="002B55E9" w:rsidRDefault="00AF51A8" w:rsidP="00AF51A8">
            <w:pPr>
              <w:pStyle w:val="lgy-"/>
              <w:rPr>
                <w:rFonts w:eastAsia="宋体"/>
              </w:rPr>
            </w:pPr>
            <w:r w:rsidRPr="002B55E9">
              <w:rPr>
                <w:rFonts w:eastAsia="宋体"/>
              </w:rPr>
              <w:t>总磷</w:t>
            </w:r>
          </w:p>
        </w:tc>
        <w:tc>
          <w:tcPr>
            <w:tcW w:w="1790" w:type="dxa"/>
          </w:tcPr>
          <w:p w14:paraId="664B605C" w14:textId="091CBDFC" w:rsidR="00AF51A8" w:rsidRPr="002B55E9" w:rsidRDefault="00AF51A8" w:rsidP="00AF51A8">
            <w:pPr>
              <w:pStyle w:val="lgy-"/>
              <w:rPr>
                <w:rFonts w:eastAsia="宋体"/>
              </w:rPr>
            </w:pPr>
            <w:r w:rsidRPr="002B55E9">
              <w:rPr>
                <w:rFonts w:eastAsia="宋体"/>
              </w:rPr>
              <w:t xml:space="preserve">0.92 </w:t>
            </w:r>
          </w:p>
        </w:tc>
        <w:tc>
          <w:tcPr>
            <w:tcW w:w="1790" w:type="dxa"/>
          </w:tcPr>
          <w:p w14:paraId="74BCA666" w14:textId="5C853395" w:rsidR="00AF51A8" w:rsidRPr="002B55E9" w:rsidRDefault="00AF51A8" w:rsidP="00AF51A8">
            <w:pPr>
              <w:pStyle w:val="lgy-"/>
              <w:rPr>
                <w:rFonts w:eastAsia="宋体"/>
              </w:rPr>
            </w:pPr>
            <w:r w:rsidRPr="002B55E9">
              <w:rPr>
                <w:rFonts w:eastAsia="宋体"/>
              </w:rPr>
              <w:t xml:space="preserve">0.64 </w:t>
            </w:r>
          </w:p>
        </w:tc>
        <w:tc>
          <w:tcPr>
            <w:tcW w:w="1790" w:type="dxa"/>
          </w:tcPr>
          <w:p w14:paraId="0448965D" w14:textId="3A6FE269" w:rsidR="00AF51A8" w:rsidRPr="002B55E9" w:rsidRDefault="00AF51A8" w:rsidP="00AF51A8">
            <w:pPr>
              <w:pStyle w:val="lgy-"/>
              <w:rPr>
                <w:rFonts w:eastAsia="宋体"/>
              </w:rPr>
            </w:pPr>
            <w:r w:rsidRPr="002B55E9">
              <w:rPr>
                <w:rFonts w:eastAsia="宋体"/>
              </w:rPr>
              <w:t xml:space="preserve">0.21 </w:t>
            </w:r>
          </w:p>
        </w:tc>
      </w:tr>
      <w:tr w:rsidR="002B55E9" w:rsidRPr="002B55E9" w14:paraId="2AC50219" w14:textId="77777777" w:rsidTr="003E2FA0">
        <w:trPr>
          <w:trHeight w:val="283"/>
        </w:trPr>
        <w:tc>
          <w:tcPr>
            <w:tcW w:w="999" w:type="dxa"/>
            <w:tcBorders>
              <w:bottom w:val="single" w:sz="4" w:space="0" w:color="auto"/>
            </w:tcBorders>
          </w:tcPr>
          <w:p w14:paraId="4372F2E1" w14:textId="77777777" w:rsidR="00AF51A8" w:rsidRPr="002B55E9" w:rsidRDefault="00AF51A8" w:rsidP="00AF51A8">
            <w:pPr>
              <w:pStyle w:val="lgy-"/>
              <w:rPr>
                <w:rFonts w:eastAsia="宋体"/>
              </w:rPr>
            </w:pPr>
            <w:r w:rsidRPr="002B55E9">
              <w:rPr>
                <w:rFonts w:eastAsia="宋体" w:hint="eastAsia"/>
              </w:rPr>
              <w:t>8</w:t>
            </w:r>
          </w:p>
        </w:tc>
        <w:tc>
          <w:tcPr>
            <w:tcW w:w="1534" w:type="dxa"/>
            <w:vMerge/>
          </w:tcPr>
          <w:p w14:paraId="2BDC6780" w14:textId="77777777" w:rsidR="00AF51A8" w:rsidRPr="002B55E9" w:rsidRDefault="00AF51A8" w:rsidP="00AF51A8">
            <w:pPr>
              <w:pStyle w:val="lgy-"/>
              <w:rPr>
                <w:rFonts w:eastAsia="宋体"/>
              </w:rPr>
            </w:pPr>
          </w:p>
        </w:tc>
        <w:tc>
          <w:tcPr>
            <w:tcW w:w="1790" w:type="dxa"/>
          </w:tcPr>
          <w:p w14:paraId="417B5119" w14:textId="77777777" w:rsidR="00AF51A8" w:rsidRPr="002B55E9" w:rsidRDefault="00AF51A8" w:rsidP="00AF51A8">
            <w:pPr>
              <w:pStyle w:val="lgy-"/>
              <w:rPr>
                <w:rFonts w:eastAsia="宋体"/>
              </w:rPr>
            </w:pPr>
            <w:r w:rsidRPr="002B55E9">
              <w:rPr>
                <w:rFonts w:eastAsia="宋体" w:hint="eastAsia"/>
              </w:rPr>
              <w:t>动植物油</w:t>
            </w:r>
          </w:p>
        </w:tc>
        <w:tc>
          <w:tcPr>
            <w:tcW w:w="1790" w:type="dxa"/>
          </w:tcPr>
          <w:p w14:paraId="32E2FD61" w14:textId="4A208258" w:rsidR="00AF51A8" w:rsidRPr="002B55E9" w:rsidRDefault="00AF51A8" w:rsidP="00AF51A8">
            <w:pPr>
              <w:pStyle w:val="lgy-"/>
              <w:rPr>
                <w:rFonts w:eastAsia="宋体"/>
              </w:rPr>
            </w:pPr>
            <w:r w:rsidRPr="002B55E9">
              <w:rPr>
                <w:rFonts w:eastAsia="宋体"/>
              </w:rPr>
              <w:t xml:space="preserve">1.00 </w:t>
            </w:r>
          </w:p>
        </w:tc>
        <w:tc>
          <w:tcPr>
            <w:tcW w:w="1790" w:type="dxa"/>
          </w:tcPr>
          <w:p w14:paraId="491F4F26" w14:textId="00AB4291" w:rsidR="00AF51A8" w:rsidRPr="002B55E9" w:rsidRDefault="00AF51A8" w:rsidP="00AF51A8">
            <w:pPr>
              <w:pStyle w:val="lgy-"/>
              <w:rPr>
                <w:rFonts w:eastAsia="宋体"/>
              </w:rPr>
            </w:pPr>
            <w:r w:rsidRPr="002B55E9">
              <w:rPr>
                <w:rFonts w:eastAsia="宋体"/>
              </w:rPr>
              <w:t xml:space="preserve">0.69 </w:t>
            </w:r>
          </w:p>
        </w:tc>
        <w:tc>
          <w:tcPr>
            <w:tcW w:w="1790" w:type="dxa"/>
          </w:tcPr>
          <w:p w14:paraId="512C47A2" w14:textId="481C2634" w:rsidR="00AF51A8" w:rsidRPr="002B55E9" w:rsidRDefault="00AF51A8" w:rsidP="00AF51A8">
            <w:pPr>
              <w:pStyle w:val="lgy-"/>
              <w:rPr>
                <w:rFonts w:eastAsia="宋体"/>
              </w:rPr>
            </w:pPr>
            <w:r w:rsidRPr="002B55E9">
              <w:rPr>
                <w:rFonts w:eastAsia="宋体"/>
              </w:rPr>
              <w:t xml:space="preserve">0.23 </w:t>
            </w:r>
          </w:p>
        </w:tc>
      </w:tr>
      <w:tr w:rsidR="002B55E9" w:rsidRPr="002B55E9" w14:paraId="5D2F4631" w14:textId="77777777" w:rsidTr="003E2FA0">
        <w:trPr>
          <w:trHeight w:val="283"/>
        </w:trPr>
        <w:tc>
          <w:tcPr>
            <w:tcW w:w="2533" w:type="dxa"/>
            <w:gridSpan w:val="2"/>
            <w:vMerge w:val="restart"/>
            <w:tcBorders>
              <w:top w:val="single" w:sz="4" w:space="0" w:color="auto"/>
            </w:tcBorders>
          </w:tcPr>
          <w:p w14:paraId="49F267B5" w14:textId="77777777" w:rsidR="00AF51A8" w:rsidRPr="002B55E9" w:rsidRDefault="00EF27AD" w:rsidP="00AF51A8">
            <w:pPr>
              <w:pStyle w:val="lgy-"/>
              <w:rPr>
                <w:rFonts w:eastAsia="宋体"/>
              </w:rPr>
            </w:pPr>
            <w:r w:rsidRPr="002B55E9">
              <w:rPr>
                <w:rFonts w:eastAsia="宋体"/>
              </w:rPr>
              <w:t>全厂排放口合计</w:t>
            </w:r>
          </w:p>
          <w:p w14:paraId="55625CB2" w14:textId="0CE1B53C" w:rsidR="00D170E5" w:rsidRPr="002B55E9" w:rsidRDefault="00AF51A8" w:rsidP="00AF51A8">
            <w:pPr>
              <w:pStyle w:val="lgy-"/>
              <w:rPr>
                <w:rFonts w:eastAsia="宋体"/>
              </w:rPr>
            </w:pPr>
            <w:r w:rsidRPr="002B55E9">
              <w:rPr>
                <w:rFonts w:eastAsia="宋体" w:hint="eastAsia"/>
              </w:rPr>
              <w:t>（佛山市海天（武汉）调味食品有限公司总排口）</w:t>
            </w:r>
          </w:p>
        </w:tc>
        <w:tc>
          <w:tcPr>
            <w:tcW w:w="1790" w:type="dxa"/>
          </w:tcPr>
          <w:p w14:paraId="398B02FD" w14:textId="77777777" w:rsidR="00D170E5" w:rsidRPr="002B55E9" w:rsidRDefault="00EF27AD" w:rsidP="00AF51A8">
            <w:pPr>
              <w:pStyle w:val="lgy-"/>
              <w:rPr>
                <w:rFonts w:eastAsia="宋体"/>
              </w:rPr>
            </w:pPr>
            <w:r w:rsidRPr="002B55E9">
              <w:rPr>
                <w:rFonts w:eastAsia="宋体" w:hint="eastAsia"/>
              </w:rPr>
              <w:t>pH</w:t>
            </w:r>
          </w:p>
        </w:tc>
        <w:tc>
          <w:tcPr>
            <w:tcW w:w="1790" w:type="dxa"/>
          </w:tcPr>
          <w:p w14:paraId="24FE7416" w14:textId="77777777" w:rsidR="00D170E5" w:rsidRPr="002B55E9" w:rsidRDefault="00EF27AD" w:rsidP="00AF51A8">
            <w:pPr>
              <w:pStyle w:val="lgy-"/>
              <w:rPr>
                <w:rFonts w:eastAsia="宋体"/>
              </w:rPr>
            </w:pPr>
            <w:r w:rsidRPr="002B55E9">
              <w:rPr>
                <w:rFonts w:eastAsia="宋体" w:hint="eastAsia"/>
              </w:rPr>
              <w:t>6</w:t>
            </w:r>
            <w:r w:rsidRPr="002B55E9">
              <w:rPr>
                <w:rFonts w:eastAsia="宋体"/>
              </w:rPr>
              <w:t>~9</w:t>
            </w:r>
          </w:p>
        </w:tc>
        <w:tc>
          <w:tcPr>
            <w:tcW w:w="1790" w:type="dxa"/>
          </w:tcPr>
          <w:p w14:paraId="50B8311B" w14:textId="77777777" w:rsidR="00D170E5" w:rsidRPr="002B55E9" w:rsidRDefault="00EF27AD" w:rsidP="00AF51A8">
            <w:pPr>
              <w:pStyle w:val="lgy-"/>
              <w:rPr>
                <w:rFonts w:eastAsia="宋体"/>
              </w:rPr>
            </w:pPr>
            <w:r w:rsidRPr="002B55E9">
              <w:rPr>
                <w:rFonts w:eastAsia="宋体" w:hint="eastAsia"/>
              </w:rPr>
              <w:t>/</w:t>
            </w:r>
          </w:p>
        </w:tc>
        <w:tc>
          <w:tcPr>
            <w:tcW w:w="1790" w:type="dxa"/>
          </w:tcPr>
          <w:p w14:paraId="4540ACBA" w14:textId="77777777" w:rsidR="00D170E5" w:rsidRPr="002B55E9" w:rsidRDefault="00EF27AD" w:rsidP="00AF51A8">
            <w:pPr>
              <w:pStyle w:val="lgy-"/>
              <w:rPr>
                <w:rFonts w:eastAsia="宋体"/>
              </w:rPr>
            </w:pPr>
            <w:r w:rsidRPr="002B55E9">
              <w:rPr>
                <w:rFonts w:eastAsia="宋体" w:hint="eastAsia"/>
              </w:rPr>
              <w:t>/</w:t>
            </w:r>
          </w:p>
        </w:tc>
      </w:tr>
      <w:tr w:rsidR="002B55E9" w:rsidRPr="002B55E9" w14:paraId="41D6024D" w14:textId="77777777" w:rsidTr="003E2FA0">
        <w:trPr>
          <w:trHeight w:val="283"/>
        </w:trPr>
        <w:tc>
          <w:tcPr>
            <w:tcW w:w="2533" w:type="dxa"/>
            <w:gridSpan w:val="2"/>
            <w:vMerge/>
          </w:tcPr>
          <w:p w14:paraId="79A4B1D8" w14:textId="77777777" w:rsidR="00AF51A8" w:rsidRPr="002B55E9" w:rsidRDefault="00AF51A8" w:rsidP="00AF51A8">
            <w:pPr>
              <w:pStyle w:val="lgy-"/>
              <w:rPr>
                <w:rFonts w:eastAsia="宋体"/>
              </w:rPr>
            </w:pPr>
          </w:p>
        </w:tc>
        <w:tc>
          <w:tcPr>
            <w:tcW w:w="1790" w:type="dxa"/>
          </w:tcPr>
          <w:p w14:paraId="3E47A8D3" w14:textId="77777777" w:rsidR="00AF51A8" w:rsidRPr="002B55E9" w:rsidRDefault="00AF51A8" w:rsidP="00AF51A8">
            <w:pPr>
              <w:pStyle w:val="lgy-"/>
              <w:rPr>
                <w:rFonts w:eastAsia="宋体"/>
              </w:rPr>
            </w:pPr>
            <w:r w:rsidRPr="002B55E9">
              <w:rPr>
                <w:rFonts w:eastAsia="宋体"/>
              </w:rPr>
              <w:t>COD</w:t>
            </w:r>
          </w:p>
        </w:tc>
        <w:tc>
          <w:tcPr>
            <w:tcW w:w="1790" w:type="dxa"/>
          </w:tcPr>
          <w:p w14:paraId="5E247C25" w14:textId="1E7975E2" w:rsidR="00AF51A8" w:rsidRPr="002B55E9" w:rsidRDefault="00AF51A8" w:rsidP="00AF51A8">
            <w:pPr>
              <w:pStyle w:val="lgy-"/>
              <w:rPr>
                <w:rFonts w:eastAsia="宋体"/>
              </w:rPr>
            </w:pPr>
            <w:r w:rsidRPr="002B55E9">
              <w:rPr>
                <w:rFonts w:eastAsia="宋体"/>
              </w:rPr>
              <w:t xml:space="preserve">107.18 </w:t>
            </w:r>
          </w:p>
        </w:tc>
        <w:tc>
          <w:tcPr>
            <w:tcW w:w="1790" w:type="dxa"/>
          </w:tcPr>
          <w:p w14:paraId="38BB7AF2" w14:textId="4A0F1564" w:rsidR="00AF51A8" w:rsidRPr="002B55E9" w:rsidRDefault="00AF51A8" w:rsidP="00AF51A8">
            <w:pPr>
              <w:pStyle w:val="lgy-"/>
              <w:rPr>
                <w:rFonts w:eastAsia="宋体"/>
              </w:rPr>
            </w:pPr>
            <w:r w:rsidRPr="002B55E9">
              <w:rPr>
                <w:rFonts w:eastAsia="宋体"/>
              </w:rPr>
              <w:t xml:space="preserve">74.57 </w:t>
            </w:r>
          </w:p>
        </w:tc>
        <w:tc>
          <w:tcPr>
            <w:tcW w:w="1790" w:type="dxa"/>
          </w:tcPr>
          <w:p w14:paraId="0B687826" w14:textId="0B3DC7EC" w:rsidR="00AF51A8" w:rsidRPr="002B55E9" w:rsidRDefault="00AF51A8" w:rsidP="00AF51A8">
            <w:pPr>
              <w:pStyle w:val="lgy-"/>
              <w:rPr>
                <w:rFonts w:eastAsia="宋体"/>
              </w:rPr>
            </w:pPr>
            <w:r w:rsidRPr="002B55E9">
              <w:rPr>
                <w:rFonts w:eastAsia="宋体"/>
              </w:rPr>
              <w:t xml:space="preserve">24.61 </w:t>
            </w:r>
          </w:p>
        </w:tc>
      </w:tr>
      <w:tr w:rsidR="002B55E9" w:rsidRPr="002B55E9" w14:paraId="24598EA1" w14:textId="77777777" w:rsidTr="003E2FA0">
        <w:trPr>
          <w:trHeight w:val="283"/>
        </w:trPr>
        <w:tc>
          <w:tcPr>
            <w:tcW w:w="2533" w:type="dxa"/>
            <w:gridSpan w:val="2"/>
            <w:vMerge/>
          </w:tcPr>
          <w:p w14:paraId="4A231C2A" w14:textId="77777777" w:rsidR="00AF51A8" w:rsidRPr="002B55E9" w:rsidRDefault="00AF51A8" w:rsidP="00AF51A8">
            <w:pPr>
              <w:pStyle w:val="lgy-"/>
              <w:rPr>
                <w:rFonts w:eastAsia="宋体"/>
              </w:rPr>
            </w:pPr>
          </w:p>
        </w:tc>
        <w:tc>
          <w:tcPr>
            <w:tcW w:w="1790" w:type="dxa"/>
          </w:tcPr>
          <w:p w14:paraId="3FFC4914" w14:textId="77777777" w:rsidR="00AF51A8" w:rsidRPr="002B55E9" w:rsidRDefault="00AF51A8" w:rsidP="00AF51A8">
            <w:pPr>
              <w:pStyle w:val="lgy-"/>
              <w:rPr>
                <w:rFonts w:eastAsia="宋体"/>
              </w:rPr>
            </w:pPr>
            <w:r w:rsidRPr="002B55E9">
              <w:rPr>
                <w:rFonts w:eastAsia="宋体"/>
              </w:rPr>
              <w:t>BOD</w:t>
            </w:r>
            <w:r w:rsidRPr="002B55E9">
              <w:rPr>
                <w:rFonts w:eastAsia="宋体"/>
                <w:vertAlign w:val="subscript"/>
              </w:rPr>
              <w:t>5</w:t>
            </w:r>
          </w:p>
        </w:tc>
        <w:tc>
          <w:tcPr>
            <w:tcW w:w="1790" w:type="dxa"/>
          </w:tcPr>
          <w:p w14:paraId="4C8C6B97" w14:textId="08D05A86" w:rsidR="00AF51A8" w:rsidRPr="002B55E9" w:rsidRDefault="00AF51A8" w:rsidP="00AF51A8">
            <w:pPr>
              <w:pStyle w:val="lgy-"/>
              <w:rPr>
                <w:rFonts w:eastAsia="宋体"/>
              </w:rPr>
            </w:pPr>
            <w:r w:rsidRPr="002B55E9">
              <w:rPr>
                <w:rFonts w:eastAsia="宋体"/>
              </w:rPr>
              <w:t xml:space="preserve">40.65 </w:t>
            </w:r>
          </w:p>
        </w:tc>
        <w:tc>
          <w:tcPr>
            <w:tcW w:w="1790" w:type="dxa"/>
          </w:tcPr>
          <w:p w14:paraId="42086C34" w14:textId="364712A1" w:rsidR="00AF51A8" w:rsidRPr="002B55E9" w:rsidRDefault="00AF51A8" w:rsidP="00AF51A8">
            <w:pPr>
              <w:pStyle w:val="lgy-"/>
              <w:rPr>
                <w:rFonts w:eastAsia="宋体"/>
              </w:rPr>
            </w:pPr>
            <w:r w:rsidRPr="002B55E9">
              <w:rPr>
                <w:rFonts w:eastAsia="宋体"/>
              </w:rPr>
              <w:t xml:space="preserve">28.28 </w:t>
            </w:r>
          </w:p>
        </w:tc>
        <w:tc>
          <w:tcPr>
            <w:tcW w:w="1790" w:type="dxa"/>
          </w:tcPr>
          <w:p w14:paraId="582BD364" w14:textId="769C14A1" w:rsidR="00AF51A8" w:rsidRPr="002B55E9" w:rsidRDefault="00AF51A8" w:rsidP="00AF51A8">
            <w:pPr>
              <w:pStyle w:val="lgy-"/>
              <w:rPr>
                <w:rFonts w:eastAsia="宋体"/>
              </w:rPr>
            </w:pPr>
            <w:r w:rsidRPr="002B55E9">
              <w:rPr>
                <w:rFonts w:eastAsia="宋体"/>
              </w:rPr>
              <w:t xml:space="preserve">9.33 </w:t>
            </w:r>
          </w:p>
        </w:tc>
      </w:tr>
      <w:tr w:rsidR="002B55E9" w:rsidRPr="002B55E9" w14:paraId="3F7D156F" w14:textId="77777777" w:rsidTr="003E2FA0">
        <w:trPr>
          <w:trHeight w:val="283"/>
        </w:trPr>
        <w:tc>
          <w:tcPr>
            <w:tcW w:w="2533" w:type="dxa"/>
            <w:gridSpan w:val="2"/>
            <w:vMerge/>
          </w:tcPr>
          <w:p w14:paraId="1AC16E2A" w14:textId="77777777" w:rsidR="00AF51A8" w:rsidRPr="002B55E9" w:rsidRDefault="00AF51A8" w:rsidP="00AF51A8">
            <w:pPr>
              <w:pStyle w:val="lgy-"/>
              <w:rPr>
                <w:rFonts w:eastAsia="宋体"/>
              </w:rPr>
            </w:pPr>
          </w:p>
        </w:tc>
        <w:tc>
          <w:tcPr>
            <w:tcW w:w="1790" w:type="dxa"/>
          </w:tcPr>
          <w:p w14:paraId="09ABF32A" w14:textId="77777777" w:rsidR="00AF51A8" w:rsidRPr="002B55E9" w:rsidRDefault="00AF51A8" w:rsidP="00AF51A8">
            <w:pPr>
              <w:pStyle w:val="lgy-"/>
              <w:rPr>
                <w:rFonts w:eastAsia="宋体"/>
              </w:rPr>
            </w:pPr>
            <w:r w:rsidRPr="002B55E9">
              <w:rPr>
                <w:rFonts w:eastAsia="宋体"/>
              </w:rPr>
              <w:t>SS</w:t>
            </w:r>
          </w:p>
        </w:tc>
        <w:tc>
          <w:tcPr>
            <w:tcW w:w="1790" w:type="dxa"/>
          </w:tcPr>
          <w:p w14:paraId="249C44B0" w14:textId="3DA03AEB" w:rsidR="00AF51A8" w:rsidRPr="002B55E9" w:rsidRDefault="00AF51A8" w:rsidP="00AF51A8">
            <w:pPr>
              <w:pStyle w:val="lgy-"/>
              <w:rPr>
                <w:rFonts w:eastAsia="宋体"/>
              </w:rPr>
            </w:pPr>
            <w:r w:rsidRPr="002B55E9">
              <w:rPr>
                <w:rFonts w:eastAsia="宋体"/>
              </w:rPr>
              <w:t xml:space="preserve">111.44 </w:t>
            </w:r>
          </w:p>
        </w:tc>
        <w:tc>
          <w:tcPr>
            <w:tcW w:w="1790" w:type="dxa"/>
          </w:tcPr>
          <w:p w14:paraId="1A03D0C8" w14:textId="1196C175" w:rsidR="00AF51A8" w:rsidRPr="002B55E9" w:rsidRDefault="00AF51A8" w:rsidP="00AF51A8">
            <w:pPr>
              <w:pStyle w:val="lgy-"/>
              <w:rPr>
                <w:rFonts w:eastAsia="宋体"/>
              </w:rPr>
            </w:pPr>
            <w:r w:rsidRPr="002B55E9">
              <w:rPr>
                <w:rFonts w:eastAsia="宋体"/>
              </w:rPr>
              <w:t xml:space="preserve">77.53 </w:t>
            </w:r>
          </w:p>
        </w:tc>
        <w:tc>
          <w:tcPr>
            <w:tcW w:w="1790" w:type="dxa"/>
          </w:tcPr>
          <w:p w14:paraId="1F6D4F04" w14:textId="0C8849D5" w:rsidR="00AF51A8" w:rsidRPr="002B55E9" w:rsidRDefault="00AF51A8" w:rsidP="00AF51A8">
            <w:pPr>
              <w:pStyle w:val="lgy-"/>
              <w:rPr>
                <w:rFonts w:eastAsia="宋体"/>
              </w:rPr>
            </w:pPr>
            <w:r w:rsidRPr="002B55E9">
              <w:rPr>
                <w:rFonts w:eastAsia="宋体"/>
              </w:rPr>
              <w:t xml:space="preserve">25.58 </w:t>
            </w:r>
          </w:p>
        </w:tc>
      </w:tr>
      <w:tr w:rsidR="002B55E9" w:rsidRPr="002B55E9" w14:paraId="09E2D2E5" w14:textId="77777777" w:rsidTr="003E2FA0">
        <w:trPr>
          <w:trHeight w:val="283"/>
        </w:trPr>
        <w:tc>
          <w:tcPr>
            <w:tcW w:w="2533" w:type="dxa"/>
            <w:gridSpan w:val="2"/>
            <w:vMerge/>
          </w:tcPr>
          <w:p w14:paraId="3CAC1A04" w14:textId="77777777" w:rsidR="00AF51A8" w:rsidRPr="002B55E9" w:rsidRDefault="00AF51A8" w:rsidP="00AF51A8">
            <w:pPr>
              <w:pStyle w:val="lgy-"/>
              <w:rPr>
                <w:rFonts w:eastAsia="宋体"/>
              </w:rPr>
            </w:pPr>
          </w:p>
        </w:tc>
        <w:tc>
          <w:tcPr>
            <w:tcW w:w="1790" w:type="dxa"/>
          </w:tcPr>
          <w:p w14:paraId="316EEB5D" w14:textId="77777777" w:rsidR="00AF51A8" w:rsidRPr="002B55E9" w:rsidRDefault="00AF51A8" w:rsidP="00AF51A8">
            <w:pPr>
              <w:pStyle w:val="lgy-"/>
              <w:rPr>
                <w:rFonts w:eastAsia="宋体"/>
              </w:rPr>
            </w:pPr>
            <w:r w:rsidRPr="002B55E9">
              <w:rPr>
                <w:rFonts w:eastAsia="宋体"/>
              </w:rPr>
              <w:t>氨氮</w:t>
            </w:r>
          </w:p>
        </w:tc>
        <w:tc>
          <w:tcPr>
            <w:tcW w:w="1790" w:type="dxa"/>
          </w:tcPr>
          <w:p w14:paraId="07481572" w14:textId="0860DBD8" w:rsidR="00AF51A8" w:rsidRPr="002B55E9" w:rsidRDefault="00AF51A8" w:rsidP="00AF51A8">
            <w:pPr>
              <w:pStyle w:val="lgy-"/>
              <w:rPr>
                <w:rFonts w:eastAsia="宋体"/>
              </w:rPr>
            </w:pPr>
            <w:r w:rsidRPr="002B55E9">
              <w:rPr>
                <w:rFonts w:eastAsia="宋体"/>
              </w:rPr>
              <w:t xml:space="preserve">13.63 </w:t>
            </w:r>
          </w:p>
        </w:tc>
        <w:tc>
          <w:tcPr>
            <w:tcW w:w="1790" w:type="dxa"/>
          </w:tcPr>
          <w:p w14:paraId="736B74E7" w14:textId="2458A688" w:rsidR="00AF51A8" w:rsidRPr="002B55E9" w:rsidRDefault="00AF51A8" w:rsidP="00AF51A8">
            <w:pPr>
              <w:pStyle w:val="lgy-"/>
              <w:rPr>
                <w:rFonts w:eastAsia="宋体"/>
              </w:rPr>
            </w:pPr>
            <w:r w:rsidRPr="002B55E9">
              <w:rPr>
                <w:rFonts w:eastAsia="宋体"/>
              </w:rPr>
              <w:t xml:space="preserve">9.49 </w:t>
            </w:r>
          </w:p>
        </w:tc>
        <w:tc>
          <w:tcPr>
            <w:tcW w:w="1790" w:type="dxa"/>
          </w:tcPr>
          <w:p w14:paraId="7C70AE7C" w14:textId="35AC65C4" w:rsidR="00AF51A8" w:rsidRPr="002B55E9" w:rsidRDefault="00AF51A8" w:rsidP="00AF51A8">
            <w:pPr>
              <w:pStyle w:val="lgy-"/>
              <w:rPr>
                <w:rFonts w:eastAsia="宋体"/>
              </w:rPr>
            </w:pPr>
            <w:r w:rsidRPr="002B55E9">
              <w:rPr>
                <w:rFonts w:eastAsia="宋体"/>
              </w:rPr>
              <w:t xml:space="preserve">3.13 </w:t>
            </w:r>
          </w:p>
        </w:tc>
      </w:tr>
      <w:tr w:rsidR="002B55E9" w:rsidRPr="002B55E9" w14:paraId="530D73E6" w14:textId="77777777" w:rsidTr="003E2FA0">
        <w:trPr>
          <w:trHeight w:val="283"/>
        </w:trPr>
        <w:tc>
          <w:tcPr>
            <w:tcW w:w="2533" w:type="dxa"/>
            <w:gridSpan w:val="2"/>
            <w:vMerge/>
          </w:tcPr>
          <w:p w14:paraId="5DC15ACE" w14:textId="77777777" w:rsidR="00AF51A8" w:rsidRPr="002B55E9" w:rsidRDefault="00AF51A8" w:rsidP="00AF51A8">
            <w:pPr>
              <w:pStyle w:val="lgy-"/>
              <w:rPr>
                <w:rFonts w:eastAsia="宋体"/>
              </w:rPr>
            </w:pPr>
          </w:p>
        </w:tc>
        <w:tc>
          <w:tcPr>
            <w:tcW w:w="1790" w:type="dxa"/>
          </w:tcPr>
          <w:p w14:paraId="5DC572D7" w14:textId="77777777" w:rsidR="00AF51A8" w:rsidRPr="002B55E9" w:rsidRDefault="00AF51A8" w:rsidP="00AF51A8">
            <w:pPr>
              <w:pStyle w:val="lgy-"/>
              <w:rPr>
                <w:rFonts w:eastAsia="宋体"/>
              </w:rPr>
            </w:pPr>
            <w:r w:rsidRPr="002B55E9">
              <w:rPr>
                <w:rFonts w:eastAsia="宋体"/>
              </w:rPr>
              <w:t>总氮</w:t>
            </w:r>
          </w:p>
        </w:tc>
        <w:tc>
          <w:tcPr>
            <w:tcW w:w="1790" w:type="dxa"/>
          </w:tcPr>
          <w:p w14:paraId="7AD3926B" w14:textId="01D3502D" w:rsidR="00AF51A8" w:rsidRPr="002B55E9" w:rsidRDefault="00AF51A8" w:rsidP="00AF51A8">
            <w:pPr>
              <w:pStyle w:val="lgy-"/>
              <w:rPr>
                <w:rFonts w:eastAsia="宋体"/>
              </w:rPr>
            </w:pPr>
            <w:r w:rsidRPr="002B55E9">
              <w:rPr>
                <w:rFonts w:eastAsia="宋体"/>
              </w:rPr>
              <w:t xml:space="preserve">27.88 </w:t>
            </w:r>
          </w:p>
        </w:tc>
        <w:tc>
          <w:tcPr>
            <w:tcW w:w="1790" w:type="dxa"/>
          </w:tcPr>
          <w:p w14:paraId="21A51DCA" w14:textId="7324E288" w:rsidR="00AF51A8" w:rsidRPr="002B55E9" w:rsidRDefault="00AF51A8" w:rsidP="00AF51A8">
            <w:pPr>
              <w:pStyle w:val="lgy-"/>
              <w:rPr>
                <w:rFonts w:eastAsia="宋体"/>
              </w:rPr>
            </w:pPr>
            <w:r w:rsidRPr="002B55E9">
              <w:rPr>
                <w:rFonts w:eastAsia="宋体"/>
              </w:rPr>
              <w:t xml:space="preserve">19.39 </w:t>
            </w:r>
          </w:p>
        </w:tc>
        <w:tc>
          <w:tcPr>
            <w:tcW w:w="1790" w:type="dxa"/>
          </w:tcPr>
          <w:p w14:paraId="56749F3B" w14:textId="2CA7B3C4" w:rsidR="00AF51A8" w:rsidRPr="002B55E9" w:rsidRDefault="00AF51A8" w:rsidP="00AF51A8">
            <w:pPr>
              <w:pStyle w:val="lgy-"/>
              <w:rPr>
                <w:rFonts w:eastAsia="宋体"/>
              </w:rPr>
            </w:pPr>
            <w:r w:rsidRPr="002B55E9">
              <w:rPr>
                <w:rFonts w:eastAsia="宋体"/>
              </w:rPr>
              <w:t xml:space="preserve">6.40 </w:t>
            </w:r>
          </w:p>
        </w:tc>
      </w:tr>
      <w:tr w:rsidR="002B55E9" w:rsidRPr="002B55E9" w14:paraId="6DD8EC59" w14:textId="77777777" w:rsidTr="003E2FA0">
        <w:trPr>
          <w:trHeight w:val="283"/>
        </w:trPr>
        <w:tc>
          <w:tcPr>
            <w:tcW w:w="2533" w:type="dxa"/>
            <w:gridSpan w:val="2"/>
            <w:vMerge/>
          </w:tcPr>
          <w:p w14:paraId="462413C0" w14:textId="77777777" w:rsidR="00AF51A8" w:rsidRPr="002B55E9" w:rsidRDefault="00AF51A8" w:rsidP="00AF51A8">
            <w:pPr>
              <w:pStyle w:val="lgy-"/>
              <w:rPr>
                <w:rFonts w:eastAsia="宋体"/>
              </w:rPr>
            </w:pPr>
          </w:p>
        </w:tc>
        <w:tc>
          <w:tcPr>
            <w:tcW w:w="1790" w:type="dxa"/>
          </w:tcPr>
          <w:p w14:paraId="71167461" w14:textId="77777777" w:rsidR="00AF51A8" w:rsidRPr="002B55E9" w:rsidRDefault="00AF51A8" w:rsidP="00AF51A8">
            <w:pPr>
              <w:pStyle w:val="lgy-"/>
              <w:rPr>
                <w:rFonts w:eastAsia="宋体"/>
              </w:rPr>
            </w:pPr>
            <w:r w:rsidRPr="002B55E9">
              <w:rPr>
                <w:rFonts w:eastAsia="宋体"/>
              </w:rPr>
              <w:t>总磷</w:t>
            </w:r>
          </w:p>
        </w:tc>
        <w:tc>
          <w:tcPr>
            <w:tcW w:w="1790" w:type="dxa"/>
          </w:tcPr>
          <w:p w14:paraId="057B9FF5" w14:textId="28016AF0" w:rsidR="00AF51A8" w:rsidRPr="002B55E9" w:rsidRDefault="00AF51A8" w:rsidP="00AF51A8">
            <w:pPr>
              <w:pStyle w:val="lgy-"/>
              <w:rPr>
                <w:rFonts w:eastAsia="宋体"/>
              </w:rPr>
            </w:pPr>
            <w:r w:rsidRPr="002B55E9">
              <w:rPr>
                <w:rFonts w:eastAsia="宋体"/>
              </w:rPr>
              <w:t xml:space="preserve">0.92 </w:t>
            </w:r>
          </w:p>
        </w:tc>
        <w:tc>
          <w:tcPr>
            <w:tcW w:w="1790" w:type="dxa"/>
          </w:tcPr>
          <w:p w14:paraId="72B43113" w14:textId="4525659A" w:rsidR="00AF51A8" w:rsidRPr="002B55E9" w:rsidRDefault="00AF51A8" w:rsidP="00AF51A8">
            <w:pPr>
              <w:pStyle w:val="lgy-"/>
              <w:rPr>
                <w:rFonts w:eastAsia="宋体"/>
              </w:rPr>
            </w:pPr>
            <w:r w:rsidRPr="002B55E9">
              <w:rPr>
                <w:rFonts w:eastAsia="宋体"/>
              </w:rPr>
              <w:t xml:space="preserve">0.64 </w:t>
            </w:r>
          </w:p>
        </w:tc>
        <w:tc>
          <w:tcPr>
            <w:tcW w:w="1790" w:type="dxa"/>
          </w:tcPr>
          <w:p w14:paraId="05CB9327" w14:textId="0F1C6222" w:rsidR="00AF51A8" w:rsidRPr="002B55E9" w:rsidRDefault="00AF51A8" w:rsidP="00AF51A8">
            <w:pPr>
              <w:pStyle w:val="lgy-"/>
              <w:rPr>
                <w:rFonts w:eastAsia="宋体"/>
              </w:rPr>
            </w:pPr>
            <w:r w:rsidRPr="002B55E9">
              <w:rPr>
                <w:rFonts w:eastAsia="宋体"/>
              </w:rPr>
              <w:t xml:space="preserve">0.21 </w:t>
            </w:r>
          </w:p>
        </w:tc>
      </w:tr>
      <w:tr w:rsidR="002B55E9" w:rsidRPr="002B55E9" w14:paraId="61546C1F" w14:textId="77777777" w:rsidTr="003E2FA0">
        <w:trPr>
          <w:trHeight w:val="283"/>
        </w:trPr>
        <w:tc>
          <w:tcPr>
            <w:tcW w:w="2533" w:type="dxa"/>
            <w:gridSpan w:val="2"/>
            <w:vMerge/>
          </w:tcPr>
          <w:p w14:paraId="35F0007A" w14:textId="77777777" w:rsidR="00AF51A8" w:rsidRPr="002B55E9" w:rsidRDefault="00AF51A8" w:rsidP="00AF51A8">
            <w:pPr>
              <w:pStyle w:val="lgy-"/>
              <w:rPr>
                <w:rFonts w:eastAsia="宋体"/>
              </w:rPr>
            </w:pPr>
          </w:p>
        </w:tc>
        <w:tc>
          <w:tcPr>
            <w:tcW w:w="1790" w:type="dxa"/>
          </w:tcPr>
          <w:p w14:paraId="534F22C2" w14:textId="77777777" w:rsidR="00AF51A8" w:rsidRPr="002B55E9" w:rsidRDefault="00AF51A8" w:rsidP="00AF51A8">
            <w:pPr>
              <w:pStyle w:val="lgy-"/>
              <w:rPr>
                <w:rFonts w:eastAsia="宋体"/>
              </w:rPr>
            </w:pPr>
            <w:r w:rsidRPr="002B55E9">
              <w:rPr>
                <w:rFonts w:eastAsia="宋体" w:hint="eastAsia"/>
              </w:rPr>
              <w:t>动植物油</w:t>
            </w:r>
          </w:p>
        </w:tc>
        <w:tc>
          <w:tcPr>
            <w:tcW w:w="1790" w:type="dxa"/>
          </w:tcPr>
          <w:p w14:paraId="1DF54F89" w14:textId="03E12DC5" w:rsidR="00AF51A8" w:rsidRPr="002B55E9" w:rsidRDefault="00AF51A8" w:rsidP="00AF51A8">
            <w:pPr>
              <w:pStyle w:val="lgy-"/>
              <w:rPr>
                <w:rFonts w:eastAsia="宋体"/>
              </w:rPr>
            </w:pPr>
            <w:r w:rsidRPr="002B55E9">
              <w:rPr>
                <w:rFonts w:eastAsia="宋体"/>
              </w:rPr>
              <w:t xml:space="preserve">1.00 </w:t>
            </w:r>
          </w:p>
        </w:tc>
        <w:tc>
          <w:tcPr>
            <w:tcW w:w="1790" w:type="dxa"/>
          </w:tcPr>
          <w:p w14:paraId="66F8F330" w14:textId="1B171F37" w:rsidR="00AF51A8" w:rsidRPr="002B55E9" w:rsidRDefault="00AF51A8" w:rsidP="00AF51A8">
            <w:pPr>
              <w:pStyle w:val="lgy-"/>
              <w:rPr>
                <w:rFonts w:eastAsia="宋体"/>
              </w:rPr>
            </w:pPr>
            <w:r w:rsidRPr="002B55E9">
              <w:rPr>
                <w:rFonts w:eastAsia="宋体"/>
              </w:rPr>
              <w:t xml:space="preserve">0.69 </w:t>
            </w:r>
          </w:p>
        </w:tc>
        <w:tc>
          <w:tcPr>
            <w:tcW w:w="1790" w:type="dxa"/>
          </w:tcPr>
          <w:p w14:paraId="77967005" w14:textId="053F818B" w:rsidR="00AF51A8" w:rsidRPr="002B55E9" w:rsidRDefault="00AF51A8" w:rsidP="00AF51A8">
            <w:pPr>
              <w:pStyle w:val="lgy-"/>
              <w:rPr>
                <w:rFonts w:eastAsia="宋体"/>
              </w:rPr>
            </w:pPr>
            <w:r w:rsidRPr="002B55E9">
              <w:rPr>
                <w:rFonts w:eastAsia="宋体"/>
              </w:rPr>
              <w:t xml:space="preserve">0.23 </w:t>
            </w:r>
          </w:p>
        </w:tc>
      </w:tr>
    </w:tbl>
    <w:p w14:paraId="7D1637B4" w14:textId="77777777" w:rsidR="00D170E5" w:rsidRPr="002B55E9" w:rsidRDefault="00EF27AD">
      <w:pPr>
        <w:pStyle w:val="3"/>
      </w:pPr>
      <w:bookmarkStart w:id="233" w:name="_Toc119308996"/>
      <w:bookmarkEnd w:id="227"/>
      <w:bookmarkEnd w:id="228"/>
      <w:bookmarkEnd w:id="229"/>
      <w:r w:rsidRPr="002B55E9">
        <w:t>声环境影响预测与评价</w:t>
      </w:r>
      <w:bookmarkEnd w:id="230"/>
      <w:bookmarkEnd w:id="231"/>
      <w:bookmarkEnd w:id="232"/>
      <w:bookmarkEnd w:id="233"/>
    </w:p>
    <w:p w14:paraId="5863F4D1" w14:textId="77777777" w:rsidR="00D170E5" w:rsidRPr="002B55E9" w:rsidRDefault="00EF27AD">
      <w:pPr>
        <w:pStyle w:val="4"/>
        <w:rPr>
          <w:color w:val="auto"/>
        </w:rPr>
      </w:pPr>
      <w:r w:rsidRPr="002B55E9">
        <w:rPr>
          <w:color w:val="auto"/>
        </w:rPr>
        <w:t>评价标准</w:t>
      </w:r>
    </w:p>
    <w:p w14:paraId="0DB3DCA8" w14:textId="77777777" w:rsidR="00D170E5" w:rsidRPr="002B55E9" w:rsidRDefault="00EF27AD">
      <w:pPr>
        <w:pStyle w:val="affff7"/>
      </w:pPr>
      <w:r w:rsidRPr="002B55E9">
        <w:rPr>
          <w:lang w:val="pt-BR"/>
        </w:rPr>
        <w:t>根据武汉市人民政府办公厅文件武政办</w:t>
      </w:r>
      <w:r w:rsidRPr="002B55E9">
        <w:rPr>
          <w:lang w:val="pt-BR"/>
        </w:rPr>
        <w:t>[201</w:t>
      </w:r>
      <w:r w:rsidRPr="002B55E9">
        <w:rPr>
          <w:rFonts w:hint="eastAsia"/>
          <w:lang w:val="pt-BR"/>
        </w:rPr>
        <w:t>9</w:t>
      </w:r>
      <w:r w:rsidRPr="002B55E9">
        <w:rPr>
          <w:lang w:val="pt-BR"/>
        </w:rPr>
        <w:t>]</w:t>
      </w:r>
      <w:r w:rsidRPr="002B55E9">
        <w:rPr>
          <w:rFonts w:hint="eastAsia"/>
          <w:lang w:val="pt-BR"/>
        </w:rPr>
        <w:t>12</w:t>
      </w:r>
      <w:r w:rsidRPr="002B55E9">
        <w:rPr>
          <w:lang w:val="pt-BR"/>
        </w:rPr>
        <w:t>号《</w:t>
      </w:r>
      <w:r w:rsidRPr="002B55E9">
        <w:rPr>
          <w:rFonts w:hint="eastAsia"/>
          <w:lang w:val="pt-BR"/>
        </w:rPr>
        <w:t>市人民政府办公厅关于印发武汉市声环境功能区类别规定的通知</w:t>
      </w:r>
      <w:r w:rsidRPr="002B55E9">
        <w:rPr>
          <w:lang w:val="pt-BR"/>
        </w:rPr>
        <w:t>》，项目所在地区的声环境功能区划为</w:t>
      </w:r>
      <w:r w:rsidRPr="002B55E9">
        <w:rPr>
          <w:lang w:val="pt-BR"/>
        </w:rPr>
        <w:t>2</w:t>
      </w:r>
      <w:r w:rsidRPr="002B55E9">
        <w:rPr>
          <w:lang w:val="pt-BR"/>
        </w:rPr>
        <w:t>类区</w:t>
      </w:r>
      <w:r w:rsidRPr="002B55E9">
        <w:rPr>
          <w:rFonts w:hint="eastAsia"/>
          <w:lang w:val="pt-BR"/>
        </w:rPr>
        <w:t>，</w:t>
      </w:r>
      <w:r w:rsidRPr="002B55E9">
        <w:rPr>
          <w:lang w:val="pt-BR"/>
        </w:rPr>
        <w:t>项目厂界周边</w:t>
      </w:r>
      <w:r w:rsidRPr="002B55E9">
        <w:rPr>
          <w:rFonts w:hint="eastAsia"/>
          <w:lang w:val="pt-BR"/>
        </w:rPr>
        <w:t>200</w:t>
      </w:r>
      <w:r w:rsidRPr="002B55E9">
        <w:rPr>
          <w:lang w:val="pt-BR"/>
        </w:rPr>
        <w:t>m</w:t>
      </w:r>
      <w:r w:rsidRPr="002B55E9">
        <w:rPr>
          <w:lang w:val="pt-BR"/>
        </w:rPr>
        <w:t>范围内无声环境敏感点。</w:t>
      </w:r>
      <w:r w:rsidRPr="002B55E9">
        <w:rPr>
          <w:rFonts w:hint="eastAsia"/>
        </w:rPr>
        <w:t>项目</w:t>
      </w:r>
      <w:r w:rsidRPr="002B55E9">
        <w:t>投产后</w:t>
      </w:r>
      <w:r w:rsidRPr="002B55E9">
        <w:rPr>
          <w:rFonts w:hint="eastAsia"/>
        </w:rPr>
        <w:t>南侧</w:t>
      </w:r>
      <w:r w:rsidRPr="002B55E9">
        <w:t>、西侧、北侧</w:t>
      </w:r>
      <w:r w:rsidRPr="002B55E9">
        <w:rPr>
          <w:rFonts w:hint="eastAsia"/>
        </w:rPr>
        <w:t>厂界</w:t>
      </w:r>
      <w:r w:rsidRPr="002B55E9">
        <w:t>噪声执行</w:t>
      </w:r>
      <w:r w:rsidRPr="002B55E9">
        <w:t>GB12348-2008</w:t>
      </w:r>
      <w:r w:rsidRPr="002B55E9">
        <w:t>《工业企业厂界环境噪声排放标准》中的</w:t>
      </w:r>
      <w:r w:rsidRPr="002B55E9">
        <w:t>2</w:t>
      </w:r>
      <w:r w:rsidRPr="002B55E9">
        <w:t>类标准，即昼间</w:t>
      </w:r>
      <w:r w:rsidRPr="002B55E9">
        <w:t>60dB(A)</w:t>
      </w:r>
      <w:r w:rsidRPr="002B55E9">
        <w:t>、夜间</w:t>
      </w:r>
      <w:r w:rsidRPr="002B55E9">
        <w:t>50dB(A)</w:t>
      </w:r>
      <w:r w:rsidRPr="002B55E9">
        <w:rPr>
          <w:rFonts w:hint="eastAsia"/>
        </w:rPr>
        <w:t>。东侧厂界噪声执行</w:t>
      </w:r>
      <w:r w:rsidRPr="002B55E9">
        <w:rPr>
          <w:rFonts w:hint="eastAsia"/>
        </w:rPr>
        <w:t>4</w:t>
      </w:r>
      <w:r w:rsidRPr="002B55E9">
        <w:rPr>
          <w:rFonts w:hint="eastAsia"/>
        </w:rPr>
        <w:t>类标准，</w:t>
      </w:r>
      <w:r w:rsidRPr="002B55E9">
        <w:t>即昼间</w:t>
      </w:r>
      <w:r w:rsidRPr="002B55E9">
        <w:rPr>
          <w:rFonts w:hint="eastAsia"/>
        </w:rPr>
        <w:t>70</w:t>
      </w:r>
      <w:r w:rsidRPr="002B55E9">
        <w:t>dB(A)</w:t>
      </w:r>
      <w:r w:rsidRPr="002B55E9">
        <w:t>、夜间</w:t>
      </w:r>
      <w:r w:rsidRPr="002B55E9">
        <w:t>55dB(A)</w:t>
      </w:r>
      <w:r w:rsidRPr="002B55E9">
        <w:rPr>
          <w:rFonts w:hint="eastAsia"/>
        </w:rPr>
        <w:t>。</w:t>
      </w:r>
    </w:p>
    <w:p w14:paraId="4824CDA1" w14:textId="77777777" w:rsidR="00D170E5" w:rsidRPr="002B55E9" w:rsidRDefault="00EF27AD">
      <w:pPr>
        <w:pStyle w:val="4"/>
        <w:rPr>
          <w:color w:val="auto"/>
        </w:rPr>
      </w:pPr>
      <w:r w:rsidRPr="002B55E9">
        <w:rPr>
          <w:color w:val="auto"/>
        </w:rPr>
        <w:t>评价方法</w:t>
      </w:r>
    </w:p>
    <w:p w14:paraId="46F186F5" w14:textId="77777777" w:rsidR="00D170E5" w:rsidRPr="002B55E9" w:rsidRDefault="00EF27AD">
      <w:pPr>
        <w:pStyle w:val="5"/>
      </w:pPr>
      <w:r w:rsidRPr="002B55E9">
        <w:rPr>
          <w:rFonts w:hint="eastAsia"/>
        </w:rPr>
        <w:t>声源的分布</w:t>
      </w:r>
    </w:p>
    <w:p w14:paraId="3AD34D4E" w14:textId="1DD3C407" w:rsidR="00D170E5" w:rsidRPr="002B55E9" w:rsidRDefault="00EF27AD">
      <w:pPr>
        <w:pStyle w:val="aa"/>
      </w:pPr>
      <w:r w:rsidRPr="002B55E9">
        <w:t>本项目建成后</w:t>
      </w:r>
      <w:r w:rsidRPr="002B55E9">
        <w:rPr>
          <w:rFonts w:hint="eastAsia"/>
        </w:rPr>
        <w:t>，</w:t>
      </w:r>
      <w:r w:rsidRPr="002B55E9">
        <w:t>主要噪声源为</w:t>
      </w:r>
      <w:r w:rsidRPr="002B55E9">
        <w:rPr>
          <w:rFonts w:hint="eastAsia"/>
        </w:rPr>
        <w:t>冷却塔</w:t>
      </w:r>
      <w:r w:rsidRPr="002B55E9">
        <w:t>、</w:t>
      </w:r>
      <w:r w:rsidR="003D488E" w:rsidRPr="002B55E9">
        <w:rPr>
          <w:rFonts w:hint="eastAsia"/>
        </w:rPr>
        <w:t>风机等室外噪声源以及</w:t>
      </w:r>
      <w:r w:rsidRPr="002B55E9">
        <w:rPr>
          <w:rFonts w:hint="eastAsia"/>
        </w:rPr>
        <w:t>制冷机</w:t>
      </w:r>
      <w:r w:rsidR="003D488E" w:rsidRPr="002B55E9">
        <w:rPr>
          <w:rFonts w:hint="eastAsia"/>
        </w:rPr>
        <w:t>、压滤机、水泵</w:t>
      </w:r>
      <w:r w:rsidRPr="002B55E9">
        <w:t>等</w:t>
      </w:r>
      <w:r w:rsidR="003D488E" w:rsidRPr="002B55E9">
        <w:rPr>
          <w:rFonts w:hint="eastAsia"/>
        </w:rPr>
        <w:t>室内噪声源</w:t>
      </w:r>
      <w:r w:rsidRPr="002B55E9">
        <w:t>工作时产生</w:t>
      </w:r>
      <w:r w:rsidR="003D488E" w:rsidRPr="002B55E9">
        <w:rPr>
          <w:rFonts w:hint="eastAsia"/>
        </w:rPr>
        <w:t>的</w:t>
      </w:r>
      <w:r w:rsidRPr="002B55E9">
        <w:t>噪声</w:t>
      </w:r>
      <w:r w:rsidRPr="002B55E9">
        <w:rPr>
          <w:rFonts w:hint="eastAsia"/>
        </w:rPr>
        <w:t>，项目噪声源强如下表所示。</w:t>
      </w:r>
    </w:p>
    <w:p w14:paraId="12803067" w14:textId="1F4381EE" w:rsidR="003D488E" w:rsidRPr="002B55E9" w:rsidRDefault="003D488E" w:rsidP="003D488E">
      <w:pPr>
        <w:widowControl/>
        <w:jc w:val="center"/>
        <w:rPr>
          <w:b/>
          <w:sz w:val="24"/>
        </w:rPr>
      </w:pPr>
      <w:r w:rsidRPr="002B55E9">
        <w:rPr>
          <w:b/>
          <w:sz w:val="24"/>
        </w:rPr>
        <w:t>表</w:t>
      </w:r>
      <w:r w:rsidRPr="002B55E9">
        <w:rPr>
          <w:b/>
          <w:sz w:val="24"/>
        </w:rPr>
        <w:t xml:space="preserve"> </w:t>
      </w:r>
      <w:r w:rsidRPr="002B55E9">
        <w:rPr>
          <w:rFonts w:hint="eastAsia"/>
          <w:b/>
          <w:sz w:val="24"/>
        </w:rPr>
        <w:t>5</w:t>
      </w:r>
      <w:r w:rsidRPr="002B55E9">
        <w:rPr>
          <w:b/>
          <w:sz w:val="24"/>
        </w:rPr>
        <w:t xml:space="preserve">-4-1 </w:t>
      </w:r>
      <w:r w:rsidRPr="002B55E9">
        <w:rPr>
          <w:rFonts w:hint="eastAsia"/>
          <w:b/>
          <w:sz w:val="24"/>
        </w:rPr>
        <w:t xml:space="preserve"> </w:t>
      </w:r>
      <w:r w:rsidRPr="002B55E9">
        <w:rPr>
          <w:b/>
          <w:sz w:val="24"/>
        </w:rPr>
        <w:t>本项目各生产单元主要设备噪声值</w:t>
      </w:r>
      <w:r w:rsidRPr="002B55E9">
        <w:rPr>
          <w:rFonts w:hint="eastAsia"/>
          <w:b/>
          <w:sz w:val="24"/>
        </w:rPr>
        <w:t>（室外声源）</w:t>
      </w:r>
    </w:p>
    <w:tbl>
      <w:tblPr>
        <w:tblStyle w:val="lgy2"/>
        <w:tblW w:w="5000" w:type="pct"/>
        <w:tblCellMar>
          <w:left w:w="28" w:type="dxa"/>
          <w:right w:w="28" w:type="dxa"/>
        </w:tblCellMar>
        <w:tblLook w:val="04A0" w:firstRow="1" w:lastRow="0" w:firstColumn="1" w:lastColumn="0" w:noHBand="0" w:noVBand="1"/>
      </w:tblPr>
      <w:tblGrid>
        <w:gridCol w:w="345"/>
        <w:gridCol w:w="1607"/>
        <w:gridCol w:w="867"/>
        <w:gridCol w:w="742"/>
        <w:gridCol w:w="1239"/>
        <w:gridCol w:w="1721"/>
        <w:gridCol w:w="1002"/>
        <w:gridCol w:w="1086"/>
        <w:gridCol w:w="1084"/>
      </w:tblGrid>
      <w:tr w:rsidR="002B55E9" w:rsidRPr="002B55E9" w14:paraId="4B84F1AE" w14:textId="77777777" w:rsidTr="003D488E">
        <w:trPr>
          <w:cnfStyle w:val="100000000000" w:firstRow="1" w:lastRow="0" w:firstColumn="0" w:lastColumn="0" w:oddVBand="0" w:evenVBand="0" w:oddHBand="0" w:evenHBand="0" w:firstRowFirstColumn="0" w:firstRowLastColumn="0" w:lastRowFirstColumn="0" w:lastRowLastColumn="0"/>
          <w:trHeight w:val="283"/>
        </w:trPr>
        <w:tc>
          <w:tcPr>
            <w:tcW w:w="178" w:type="pct"/>
          </w:tcPr>
          <w:p w14:paraId="10335CCF" w14:textId="77777777" w:rsidR="003D488E" w:rsidRPr="002B55E9" w:rsidRDefault="003D488E" w:rsidP="003D488E">
            <w:pPr>
              <w:pStyle w:val="lgy-"/>
              <w:rPr>
                <w:rFonts w:eastAsia="宋体"/>
              </w:rPr>
            </w:pPr>
            <w:r w:rsidRPr="002B55E9">
              <w:rPr>
                <w:rFonts w:eastAsia="宋体"/>
              </w:rPr>
              <w:t>序号</w:t>
            </w:r>
          </w:p>
        </w:tc>
        <w:tc>
          <w:tcPr>
            <w:tcW w:w="829" w:type="pct"/>
          </w:tcPr>
          <w:p w14:paraId="1D7C29B3" w14:textId="77777777" w:rsidR="003D488E" w:rsidRPr="002B55E9" w:rsidRDefault="003D488E" w:rsidP="003D488E">
            <w:pPr>
              <w:pStyle w:val="lgy-"/>
              <w:rPr>
                <w:rFonts w:eastAsia="宋体"/>
              </w:rPr>
            </w:pPr>
            <w:r w:rsidRPr="002B55E9">
              <w:rPr>
                <w:rFonts w:eastAsia="宋体"/>
              </w:rPr>
              <w:t>噪声源位置</w:t>
            </w:r>
          </w:p>
        </w:tc>
        <w:tc>
          <w:tcPr>
            <w:tcW w:w="447" w:type="pct"/>
          </w:tcPr>
          <w:p w14:paraId="3F5869DB" w14:textId="77777777" w:rsidR="003D488E" w:rsidRPr="002B55E9" w:rsidRDefault="003D488E" w:rsidP="003D488E">
            <w:pPr>
              <w:pStyle w:val="lgy-"/>
              <w:rPr>
                <w:rFonts w:eastAsia="宋体"/>
              </w:rPr>
            </w:pPr>
            <w:r w:rsidRPr="002B55E9">
              <w:rPr>
                <w:rFonts w:eastAsia="宋体"/>
              </w:rPr>
              <w:t>主要设备</w:t>
            </w:r>
          </w:p>
        </w:tc>
        <w:tc>
          <w:tcPr>
            <w:tcW w:w="383" w:type="pct"/>
          </w:tcPr>
          <w:p w14:paraId="3DE1C861" w14:textId="77777777" w:rsidR="003D488E" w:rsidRPr="002B55E9" w:rsidRDefault="003D488E" w:rsidP="003D488E">
            <w:pPr>
              <w:pStyle w:val="lgy-"/>
              <w:rPr>
                <w:rFonts w:eastAsia="宋体"/>
              </w:rPr>
            </w:pPr>
            <w:r w:rsidRPr="002B55E9">
              <w:rPr>
                <w:rFonts w:eastAsia="宋体"/>
              </w:rPr>
              <w:t>设备数量（台）</w:t>
            </w:r>
          </w:p>
        </w:tc>
        <w:tc>
          <w:tcPr>
            <w:tcW w:w="639" w:type="pct"/>
          </w:tcPr>
          <w:p w14:paraId="19D11891" w14:textId="77777777" w:rsidR="003D488E" w:rsidRPr="002B55E9" w:rsidRDefault="003D488E" w:rsidP="003D488E">
            <w:pPr>
              <w:pStyle w:val="lgy-"/>
              <w:rPr>
                <w:rFonts w:eastAsia="宋体"/>
              </w:rPr>
            </w:pPr>
            <w:r w:rsidRPr="002B55E9">
              <w:rPr>
                <w:rFonts w:eastAsia="宋体"/>
              </w:rPr>
              <w:t>各个设备声源强度</w:t>
            </w:r>
            <w:r w:rsidRPr="002B55E9">
              <w:rPr>
                <w:rFonts w:eastAsia="宋体"/>
              </w:rPr>
              <w:t>dB</w:t>
            </w:r>
            <w:r w:rsidRPr="002B55E9">
              <w:rPr>
                <w:rFonts w:eastAsia="宋体"/>
              </w:rPr>
              <w:t>（</w:t>
            </w:r>
            <w:r w:rsidRPr="002B55E9">
              <w:rPr>
                <w:rFonts w:eastAsia="宋体"/>
              </w:rPr>
              <w:t>A</w:t>
            </w:r>
            <w:r w:rsidRPr="002B55E9">
              <w:rPr>
                <w:rFonts w:eastAsia="宋体"/>
              </w:rPr>
              <w:t>）</w:t>
            </w:r>
          </w:p>
        </w:tc>
        <w:tc>
          <w:tcPr>
            <w:tcW w:w="888" w:type="pct"/>
          </w:tcPr>
          <w:p w14:paraId="05A838AA" w14:textId="77777777" w:rsidR="003D488E" w:rsidRPr="002B55E9" w:rsidRDefault="003D488E" w:rsidP="003D488E">
            <w:pPr>
              <w:pStyle w:val="lgy-"/>
              <w:rPr>
                <w:rFonts w:eastAsia="宋体"/>
              </w:rPr>
            </w:pPr>
            <w:r w:rsidRPr="002B55E9">
              <w:rPr>
                <w:rFonts w:eastAsia="宋体"/>
              </w:rPr>
              <w:t>拟采取的措施</w:t>
            </w:r>
          </w:p>
        </w:tc>
        <w:tc>
          <w:tcPr>
            <w:tcW w:w="517" w:type="pct"/>
          </w:tcPr>
          <w:p w14:paraId="219277E6" w14:textId="77777777" w:rsidR="003D488E" w:rsidRPr="002B55E9" w:rsidRDefault="003D488E" w:rsidP="003D488E">
            <w:pPr>
              <w:pStyle w:val="lgy-"/>
              <w:rPr>
                <w:rFonts w:eastAsia="宋体"/>
              </w:rPr>
            </w:pPr>
            <w:r w:rsidRPr="002B55E9">
              <w:rPr>
                <w:rFonts w:eastAsia="宋体"/>
              </w:rPr>
              <w:t>未采取措施的声级均值</w:t>
            </w:r>
            <w:r w:rsidRPr="002B55E9">
              <w:rPr>
                <w:rFonts w:eastAsia="宋体"/>
              </w:rPr>
              <w:t>dB</w:t>
            </w:r>
          </w:p>
        </w:tc>
        <w:tc>
          <w:tcPr>
            <w:tcW w:w="560" w:type="pct"/>
          </w:tcPr>
          <w:p w14:paraId="0B0E777E" w14:textId="77777777" w:rsidR="003D488E" w:rsidRPr="002B55E9" w:rsidRDefault="003D488E" w:rsidP="003D488E">
            <w:pPr>
              <w:pStyle w:val="lgy-"/>
              <w:rPr>
                <w:rFonts w:eastAsia="宋体"/>
              </w:rPr>
            </w:pPr>
            <w:r w:rsidRPr="002B55E9">
              <w:rPr>
                <w:rFonts w:eastAsia="宋体"/>
              </w:rPr>
              <w:t>采取措施后的声级均值</w:t>
            </w:r>
            <w:r w:rsidRPr="002B55E9">
              <w:rPr>
                <w:rFonts w:eastAsia="宋体"/>
              </w:rPr>
              <w:t>dB</w:t>
            </w:r>
          </w:p>
        </w:tc>
        <w:tc>
          <w:tcPr>
            <w:tcW w:w="559" w:type="pct"/>
          </w:tcPr>
          <w:p w14:paraId="450AD472" w14:textId="77777777" w:rsidR="003D488E" w:rsidRPr="002B55E9" w:rsidRDefault="003D488E" w:rsidP="003D488E">
            <w:pPr>
              <w:pStyle w:val="lgy-"/>
              <w:rPr>
                <w:rFonts w:eastAsia="宋体"/>
              </w:rPr>
            </w:pPr>
            <w:r w:rsidRPr="002B55E9">
              <w:rPr>
                <w:rFonts w:eastAsia="宋体" w:hint="eastAsia"/>
              </w:rPr>
              <w:t>运行时段</w:t>
            </w:r>
          </w:p>
        </w:tc>
      </w:tr>
      <w:tr w:rsidR="002B55E9" w:rsidRPr="002B55E9" w14:paraId="7AEE796D" w14:textId="77777777" w:rsidTr="003D488E">
        <w:trPr>
          <w:trHeight w:val="283"/>
        </w:trPr>
        <w:tc>
          <w:tcPr>
            <w:tcW w:w="178" w:type="pct"/>
            <w:vMerge w:val="restart"/>
          </w:tcPr>
          <w:p w14:paraId="46387900" w14:textId="77777777" w:rsidR="003D488E" w:rsidRPr="002B55E9" w:rsidRDefault="003D488E" w:rsidP="003D488E">
            <w:pPr>
              <w:pStyle w:val="lgy-"/>
              <w:rPr>
                <w:rFonts w:eastAsia="宋体"/>
              </w:rPr>
            </w:pPr>
            <w:r w:rsidRPr="002B55E9">
              <w:rPr>
                <w:rFonts w:eastAsia="宋体"/>
              </w:rPr>
              <w:t>1</w:t>
            </w:r>
          </w:p>
        </w:tc>
        <w:tc>
          <w:tcPr>
            <w:tcW w:w="829" w:type="pct"/>
            <w:vMerge w:val="restart"/>
          </w:tcPr>
          <w:p w14:paraId="7F86D834" w14:textId="26D6F658" w:rsidR="003D488E" w:rsidRPr="002B55E9" w:rsidRDefault="003D488E" w:rsidP="003D488E">
            <w:pPr>
              <w:pStyle w:val="lgy-"/>
              <w:rPr>
                <w:rFonts w:eastAsia="宋体"/>
              </w:rPr>
            </w:pPr>
            <w:r w:rsidRPr="002B55E9">
              <w:rPr>
                <w:rFonts w:eastAsia="宋体" w:hint="eastAsia"/>
              </w:rPr>
              <w:t>十三车间</w:t>
            </w:r>
          </w:p>
        </w:tc>
        <w:tc>
          <w:tcPr>
            <w:tcW w:w="447" w:type="pct"/>
          </w:tcPr>
          <w:p w14:paraId="73212F9C" w14:textId="128DC070" w:rsidR="003D488E" w:rsidRPr="002B55E9" w:rsidRDefault="003D488E" w:rsidP="003D488E">
            <w:pPr>
              <w:pStyle w:val="lgy-"/>
              <w:rPr>
                <w:rFonts w:eastAsia="宋体"/>
              </w:rPr>
            </w:pPr>
            <w:r w:rsidRPr="002B55E9">
              <w:rPr>
                <w:rFonts w:eastAsia="宋体" w:hint="eastAsia"/>
              </w:rPr>
              <w:t>风机</w:t>
            </w:r>
          </w:p>
        </w:tc>
        <w:tc>
          <w:tcPr>
            <w:tcW w:w="383" w:type="pct"/>
          </w:tcPr>
          <w:p w14:paraId="5B2C6317" w14:textId="21088EA1" w:rsidR="003D488E" w:rsidRPr="002B55E9" w:rsidRDefault="003D488E" w:rsidP="003D488E">
            <w:pPr>
              <w:pStyle w:val="lgy-"/>
              <w:rPr>
                <w:rFonts w:eastAsia="宋体"/>
              </w:rPr>
            </w:pPr>
            <w:r w:rsidRPr="002B55E9">
              <w:rPr>
                <w:rFonts w:eastAsia="宋体" w:hint="eastAsia"/>
              </w:rPr>
              <w:t>1</w:t>
            </w:r>
          </w:p>
        </w:tc>
        <w:tc>
          <w:tcPr>
            <w:tcW w:w="639" w:type="pct"/>
          </w:tcPr>
          <w:p w14:paraId="50E24717" w14:textId="77777777" w:rsidR="003D488E" w:rsidRPr="002B55E9" w:rsidRDefault="003D488E" w:rsidP="003D488E">
            <w:pPr>
              <w:pStyle w:val="lgy-"/>
              <w:rPr>
                <w:rFonts w:eastAsia="宋体"/>
              </w:rPr>
            </w:pPr>
            <w:r w:rsidRPr="002B55E9">
              <w:rPr>
                <w:rFonts w:eastAsia="宋体" w:hint="eastAsia"/>
              </w:rPr>
              <w:t>~75</w:t>
            </w:r>
          </w:p>
        </w:tc>
        <w:tc>
          <w:tcPr>
            <w:tcW w:w="888" w:type="pct"/>
          </w:tcPr>
          <w:p w14:paraId="13CE201D" w14:textId="77777777" w:rsidR="003D488E" w:rsidRPr="002B55E9" w:rsidRDefault="003D488E" w:rsidP="003D488E">
            <w:pPr>
              <w:pStyle w:val="lgy-"/>
              <w:rPr>
                <w:rFonts w:eastAsia="宋体"/>
              </w:rPr>
            </w:pPr>
            <w:r w:rsidRPr="002B55E9">
              <w:rPr>
                <w:rFonts w:eastAsia="宋体" w:hint="eastAsia"/>
              </w:rPr>
              <w:t>安装减震垫、消声器、隔声等</w:t>
            </w:r>
          </w:p>
        </w:tc>
        <w:tc>
          <w:tcPr>
            <w:tcW w:w="517" w:type="pct"/>
          </w:tcPr>
          <w:p w14:paraId="65B2BB72" w14:textId="187A747F" w:rsidR="003D488E" w:rsidRPr="002B55E9" w:rsidRDefault="003D488E" w:rsidP="003D488E">
            <w:pPr>
              <w:pStyle w:val="lgy-"/>
              <w:rPr>
                <w:rFonts w:eastAsia="宋体"/>
              </w:rPr>
            </w:pPr>
            <w:r w:rsidRPr="002B55E9">
              <w:rPr>
                <w:rFonts w:eastAsia="宋体" w:hint="eastAsia"/>
              </w:rPr>
              <w:t>7</w:t>
            </w:r>
            <w:r w:rsidRPr="002B55E9">
              <w:rPr>
                <w:rFonts w:eastAsia="宋体"/>
              </w:rPr>
              <w:t>5</w:t>
            </w:r>
          </w:p>
        </w:tc>
        <w:tc>
          <w:tcPr>
            <w:tcW w:w="560" w:type="pct"/>
          </w:tcPr>
          <w:p w14:paraId="14CDE620" w14:textId="7A93EAF9" w:rsidR="003D488E" w:rsidRPr="002B55E9" w:rsidRDefault="003D488E" w:rsidP="003D488E">
            <w:pPr>
              <w:pStyle w:val="lgy-"/>
              <w:rPr>
                <w:rFonts w:eastAsia="宋体"/>
              </w:rPr>
            </w:pPr>
            <w:r w:rsidRPr="002B55E9">
              <w:rPr>
                <w:rFonts w:eastAsia="宋体" w:hint="eastAsia"/>
              </w:rPr>
              <w:t>5</w:t>
            </w:r>
            <w:r w:rsidRPr="002B55E9">
              <w:rPr>
                <w:rFonts w:eastAsia="宋体"/>
              </w:rPr>
              <w:t>5</w:t>
            </w:r>
          </w:p>
        </w:tc>
        <w:tc>
          <w:tcPr>
            <w:tcW w:w="559" w:type="pct"/>
          </w:tcPr>
          <w:p w14:paraId="3A0207B5" w14:textId="77777777" w:rsidR="003D488E" w:rsidRPr="002B55E9" w:rsidRDefault="003D488E" w:rsidP="003D488E">
            <w:pPr>
              <w:pStyle w:val="lgy-"/>
              <w:rPr>
                <w:rFonts w:eastAsia="宋体"/>
              </w:rPr>
            </w:pPr>
            <w:r w:rsidRPr="002B55E9">
              <w:rPr>
                <w:rFonts w:eastAsia="宋体" w:hint="eastAsia"/>
              </w:rPr>
              <w:t>连续</w:t>
            </w:r>
          </w:p>
        </w:tc>
      </w:tr>
      <w:tr w:rsidR="002B55E9" w:rsidRPr="002B55E9" w14:paraId="5D5A5D44" w14:textId="77777777" w:rsidTr="003D488E">
        <w:trPr>
          <w:trHeight w:val="283"/>
        </w:trPr>
        <w:tc>
          <w:tcPr>
            <w:tcW w:w="178" w:type="pct"/>
            <w:vMerge/>
          </w:tcPr>
          <w:p w14:paraId="29B54029" w14:textId="77777777" w:rsidR="003D488E" w:rsidRPr="002B55E9" w:rsidRDefault="003D488E" w:rsidP="003D488E">
            <w:pPr>
              <w:pStyle w:val="lgy-"/>
              <w:rPr>
                <w:rFonts w:eastAsia="宋体"/>
              </w:rPr>
            </w:pPr>
          </w:p>
        </w:tc>
        <w:tc>
          <w:tcPr>
            <w:tcW w:w="829" w:type="pct"/>
            <w:vMerge/>
          </w:tcPr>
          <w:p w14:paraId="296B3E96" w14:textId="77777777" w:rsidR="003D488E" w:rsidRPr="002B55E9" w:rsidRDefault="003D488E" w:rsidP="003D488E">
            <w:pPr>
              <w:pStyle w:val="lgy-"/>
              <w:rPr>
                <w:rFonts w:eastAsia="宋体"/>
              </w:rPr>
            </w:pPr>
          </w:p>
        </w:tc>
        <w:tc>
          <w:tcPr>
            <w:tcW w:w="447" w:type="pct"/>
          </w:tcPr>
          <w:p w14:paraId="124CC43B" w14:textId="501CC7D2" w:rsidR="003D488E" w:rsidRPr="002B55E9" w:rsidRDefault="003D488E" w:rsidP="003D488E">
            <w:pPr>
              <w:pStyle w:val="lgy-"/>
              <w:rPr>
                <w:rFonts w:eastAsia="宋体"/>
              </w:rPr>
            </w:pPr>
            <w:r w:rsidRPr="002B55E9">
              <w:rPr>
                <w:rFonts w:eastAsia="宋体" w:hint="eastAsia"/>
              </w:rPr>
              <w:t>水泵</w:t>
            </w:r>
          </w:p>
        </w:tc>
        <w:tc>
          <w:tcPr>
            <w:tcW w:w="383" w:type="pct"/>
          </w:tcPr>
          <w:p w14:paraId="2610C6B4" w14:textId="60548A7B" w:rsidR="003D488E" w:rsidRPr="002B55E9" w:rsidRDefault="003D488E" w:rsidP="003D488E">
            <w:pPr>
              <w:pStyle w:val="lgy-"/>
              <w:rPr>
                <w:rFonts w:eastAsia="宋体"/>
              </w:rPr>
            </w:pPr>
            <w:r w:rsidRPr="002B55E9">
              <w:rPr>
                <w:rFonts w:eastAsia="宋体" w:hint="eastAsia"/>
              </w:rPr>
              <w:t>1</w:t>
            </w:r>
          </w:p>
        </w:tc>
        <w:tc>
          <w:tcPr>
            <w:tcW w:w="639" w:type="pct"/>
          </w:tcPr>
          <w:p w14:paraId="6CA3B4DD" w14:textId="436E7E16" w:rsidR="003D488E" w:rsidRPr="002B55E9" w:rsidRDefault="003D488E" w:rsidP="003D488E">
            <w:pPr>
              <w:pStyle w:val="lgy-"/>
              <w:rPr>
                <w:rFonts w:eastAsia="宋体"/>
              </w:rPr>
            </w:pPr>
            <w:r w:rsidRPr="002B55E9">
              <w:rPr>
                <w:rFonts w:eastAsia="宋体" w:hint="eastAsia"/>
              </w:rPr>
              <w:t>~</w:t>
            </w:r>
            <w:r w:rsidRPr="002B55E9">
              <w:rPr>
                <w:rFonts w:eastAsia="宋体"/>
              </w:rPr>
              <w:t>70</w:t>
            </w:r>
          </w:p>
        </w:tc>
        <w:tc>
          <w:tcPr>
            <w:tcW w:w="888" w:type="pct"/>
          </w:tcPr>
          <w:p w14:paraId="5F5E7B71" w14:textId="77777777" w:rsidR="003D488E" w:rsidRPr="002B55E9" w:rsidRDefault="003D488E" w:rsidP="003D488E">
            <w:pPr>
              <w:pStyle w:val="lgy-"/>
              <w:rPr>
                <w:rFonts w:eastAsia="宋体"/>
              </w:rPr>
            </w:pPr>
            <w:r w:rsidRPr="002B55E9">
              <w:rPr>
                <w:rFonts w:eastAsia="宋体"/>
              </w:rPr>
              <w:t>安装</w:t>
            </w:r>
            <w:r w:rsidRPr="002B55E9">
              <w:rPr>
                <w:rFonts w:eastAsia="宋体" w:hint="eastAsia"/>
              </w:rPr>
              <w:t>减震垫、</w:t>
            </w:r>
            <w:r w:rsidRPr="002B55E9">
              <w:rPr>
                <w:rFonts w:eastAsia="宋体"/>
              </w:rPr>
              <w:t>消声器等</w:t>
            </w:r>
          </w:p>
        </w:tc>
        <w:tc>
          <w:tcPr>
            <w:tcW w:w="517" w:type="pct"/>
          </w:tcPr>
          <w:p w14:paraId="46B29350" w14:textId="56D77FF9" w:rsidR="003D488E" w:rsidRPr="002B55E9" w:rsidRDefault="003D488E" w:rsidP="003D488E">
            <w:pPr>
              <w:pStyle w:val="lgy-"/>
              <w:rPr>
                <w:rFonts w:eastAsia="宋体"/>
              </w:rPr>
            </w:pPr>
            <w:r w:rsidRPr="002B55E9">
              <w:rPr>
                <w:rFonts w:eastAsia="宋体" w:hint="eastAsia"/>
              </w:rPr>
              <w:t>7</w:t>
            </w:r>
            <w:r w:rsidRPr="002B55E9">
              <w:rPr>
                <w:rFonts w:eastAsia="宋体"/>
              </w:rPr>
              <w:t>0</w:t>
            </w:r>
          </w:p>
        </w:tc>
        <w:tc>
          <w:tcPr>
            <w:tcW w:w="560" w:type="pct"/>
          </w:tcPr>
          <w:p w14:paraId="4BCA482B" w14:textId="7A40A596" w:rsidR="003D488E" w:rsidRPr="002B55E9" w:rsidRDefault="003D488E" w:rsidP="003D488E">
            <w:pPr>
              <w:pStyle w:val="lgy-"/>
              <w:rPr>
                <w:rFonts w:eastAsia="宋体"/>
              </w:rPr>
            </w:pPr>
            <w:r w:rsidRPr="002B55E9">
              <w:rPr>
                <w:rFonts w:eastAsia="宋体" w:hint="eastAsia"/>
              </w:rPr>
              <w:t>5</w:t>
            </w:r>
            <w:r w:rsidRPr="002B55E9">
              <w:rPr>
                <w:rFonts w:eastAsia="宋体"/>
              </w:rPr>
              <w:t>0</w:t>
            </w:r>
          </w:p>
        </w:tc>
        <w:tc>
          <w:tcPr>
            <w:tcW w:w="559" w:type="pct"/>
          </w:tcPr>
          <w:p w14:paraId="2A3F66E0" w14:textId="77777777" w:rsidR="003D488E" w:rsidRPr="002B55E9" w:rsidRDefault="003D488E" w:rsidP="003D488E">
            <w:pPr>
              <w:pStyle w:val="lgy-"/>
              <w:rPr>
                <w:rFonts w:eastAsia="宋体"/>
              </w:rPr>
            </w:pPr>
            <w:r w:rsidRPr="002B55E9">
              <w:rPr>
                <w:rFonts w:eastAsia="宋体" w:hint="eastAsia"/>
              </w:rPr>
              <w:t>连续</w:t>
            </w:r>
          </w:p>
        </w:tc>
      </w:tr>
      <w:tr w:rsidR="002B55E9" w:rsidRPr="002B55E9" w14:paraId="3A493F58" w14:textId="77777777" w:rsidTr="003D488E">
        <w:trPr>
          <w:trHeight w:val="283"/>
        </w:trPr>
        <w:tc>
          <w:tcPr>
            <w:tcW w:w="178" w:type="pct"/>
            <w:vMerge w:val="restart"/>
          </w:tcPr>
          <w:p w14:paraId="6EB8D4E3" w14:textId="77777777" w:rsidR="003D488E" w:rsidRPr="002B55E9" w:rsidRDefault="003D488E" w:rsidP="003D488E">
            <w:pPr>
              <w:pStyle w:val="lgy-"/>
              <w:rPr>
                <w:rFonts w:eastAsia="宋体"/>
              </w:rPr>
            </w:pPr>
            <w:r w:rsidRPr="002B55E9">
              <w:rPr>
                <w:rFonts w:eastAsia="宋体" w:hint="eastAsia"/>
              </w:rPr>
              <w:t>2</w:t>
            </w:r>
          </w:p>
        </w:tc>
        <w:tc>
          <w:tcPr>
            <w:tcW w:w="829" w:type="pct"/>
            <w:vMerge w:val="restart"/>
          </w:tcPr>
          <w:p w14:paraId="43CC0AD7" w14:textId="0D5C41E0" w:rsidR="003D488E" w:rsidRPr="002B55E9" w:rsidRDefault="003D488E" w:rsidP="003D488E">
            <w:pPr>
              <w:pStyle w:val="lgy-"/>
              <w:rPr>
                <w:rFonts w:eastAsia="宋体"/>
              </w:rPr>
            </w:pPr>
            <w:r w:rsidRPr="002B55E9">
              <w:rPr>
                <w:rFonts w:eastAsia="宋体" w:hint="eastAsia"/>
              </w:rPr>
              <w:t>十一车间</w:t>
            </w:r>
          </w:p>
        </w:tc>
        <w:tc>
          <w:tcPr>
            <w:tcW w:w="447" w:type="pct"/>
          </w:tcPr>
          <w:p w14:paraId="05C8B60C" w14:textId="6A6575D7" w:rsidR="003D488E" w:rsidRPr="002B55E9" w:rsidRDefault="003D488E" w:rsidP="003D488E">
            <w:pPr>
              <w:pStyle w:val="lgy-"/>
              <w:rPr>
                <w:rFonts w:eastAsia="宋体"/>
              </w:rPr>
            </w:pPr>
            <w:r w:rsidRPr="002B55E9">
              <w:rPr>
                <w:rFonts w:eastAsia="宋体" w:hint="eastAsia"/>
              </w:rPr>
              <w:t>冷却塔</w:t>
            </w:r>
          </w:p>
        </w:tc>
        <w:tc>
          <w:tcPr>
            <w:tcW w:w="383" w:type="pct"/>
          </w:tcPr>
          <w:p w14:paraId="7FFC98F6" w14:textId="26518247" w:rsidR="003D488E" w:rsidRPr="002B55E9" w:rsidRDefault="003D488E" w:rsidP="003D488E">
            <w:pPr>
              <w:pStyle w:val="lgy-"/>
              <w:rPr>
                <w:rFonts w:eastAsia="宋体"/>
              </w:rPr>
            </w:pPr>
            <w:r w:rsidRPr="002B55E9">
              <w:rPr>
                <w:rFonts w:eastAsia="宋体" w:hint="eastAsia"/>
              </w:rPr>
              <w:t>2</w:t>
            </w:r>
          </w:p>
        </w:tc>
        <w:tc>
          <w:tcPr>
            <w:tcW w:w="639" w:type="pct"/>
          </w:tcPr>
          <w:p w14:paraId="188514D3" w14:textId="45F10839" w:rsidR="003D488E" w:rsidRPr="002B55E9" w:rsidRDefault="003D488E" w:rsidP="003D488E">
            <w:pPr>
              <w:pStyle w:val="lgy-"/>
              <w:rPr>
                <w:rFonts w:eastAsia="宋体"/>
              </w:rPr>
            </w:pPr>
            <w:r w:rsidRPr="002B55E9">
              <w:rPr>
                <w:rFonts w:eastAsia="宋体" w:hint="eastAsia"/>
              </w:rPr>
              <w:t>~7</w:t>
            </w:r>
            <w:r w:rsidRPr="002B55E9">
              <w:rPr>
                <w:rFonts w:eastAsia="宋体"/>
              </w:rPr>
              <w:t>0</w:t>
            </w:r>
          </w:p>
        </w:tc>
        <w:tc>
          <w:tcPr>
            <w:tcW w:w="888" w:type="pct"/>
          </w:tcPr>
          <w:p w14:paraId="447C9514" w14:textId="77777777" w:rsidR="003D488E" w:rsidRPr="002B55E9" w:rsidRDefault="003D488E" w:rsidP="003D488E">
            <w:pPr>
              <w:pStyle w:val="lgy-"/>
              <w:rPr>
                <w:rFonts w:eastAsia="宋体"/>
              </w:rPr>
            </w:pPr>
            <w:r w:rsidRPr="002B55E9">
              <w:rPr>
                <w:rFonts w:eastAsia="宋体" w:hint="eastAsia"/>
              </w:rPr>
              <w:t>安装减震垫、消声器等</w:t>
            </w:r>
          </w:p>
        </w:tc>
        <w:tc>
          <w:tcPr>
            <w:tcW w:w="517" w:type="pct"/>
          </w:tcPr>
          <w:p w14:paraId="7A700378" w14:textId="39F072F6" w:rsidR="003D488E" w:rsidRPr="002B55E9" w:rsidRDefault="003D488E" w:rsidP="003D488E">
            <w:pPr>
              <w:pStyle w:val="lgy-"/>
              <w:rPr>
                <w:rFonts w:eastAsia="宋体"/>
              </w:rPr>
            </w:pPr>
            <w:r w:rsidRPr="002B55E9">
              <w:rPr>
                <w:rFonts w:eastAsia="宋体" w:hint="eastAsia"/>
              </w:rPr>
              <w:t>7</w:t>
            </w:r>
            <w:r w:rsidRPr="002B55E9">
              <w:rPr>
                <w:rFonts w:eastAsia="宋体"/>
              </w:rPr>
              <w:t>3</w:t>
            </w:r>
          </w:p>
        </w:tc>
        <w:tc>
          <w:tcPr>
            <w:tcW w:w="560" w:type="pct"/>
          </w:tcPr>
          <w:p w14:paraId="3641FF51" w14:textId="0C5A81C2" w:rsidR="003D488E" w:rsidRPr="002B55E9" w:rsidRDefault="003D488E" w:rsidP="003D488E">
            <w:pPr>
              <w:pStyle w:val="lgy-"/>
              <w:rPr>
                <w:rFonts w:eastAsia="宋体"/>
              </w:rPr>
            </w:pPr>
            <w:r w:rsidRPr="002B55E9">
              <w:rPr>
                <w:rFonts w:eastAsia="宋体" w:hint="eastAsia"/>
              </w:rPr>
              <w:t>5</w:t>
            </w:r>
            <w:r w:rsidRPr="002B55E9">
              <w:rPr>
                <w:rFonts w:eastAsia="宋体"/>
              </w:rPr>
              <w:t>3</w:t>
            </w:r>
          </w:p>
        </w:tc>
        <w:tc>
          <w:tcPr>
            <w:tcW w:w="559" w:type="pct"/>
          </w:tcPr>
          <w:p w14:paraId="1CEC8F7C" w14:textId="77777777" w:rsidR="003D488E" w:rsidRPr="002B55E9" w:rsidRDefault="003D488E" w:rsidP="003D488E">
            <w:pPr>
              <w:pStyle w:val="lgy-"/>
              <w:rPr>
                <w:rFonts w:eastAsia="宋体"/>
              </w:rPr>
            </w:pPr>
            <w:r w:rsidRPr="002B55E9">
              <w:rPr>
                <w:rFonts w:eastAsia="宋体" w:hint="eastAsia"/>
              </w:rPr>
              <w:t>连续</w:t>
            </w:r>
          </w:p>
        </w:tc>
      </w:tr>
      <w:tr w:rsidR="002B55E9" w:rsidRPr="002B55E9" w14:paraId="77689E8B" w14:textId="77777777" w:rsidTr="003D488E">
        <w:trPr>
          <w:trHeight w:val="283"/>
        </w:trPr>
        <w:tc>
          <w:tcPr>
            <w:tcW w:w="178" w:type="pct"/>
            <w:vMerge/>
          </w:tcPr>
          <w:p w14:paraId="270FEEC2" w14:textId="77777777" w:rsidR="003D488E" w:rsidRPr="002B55E9" w:rsidRDefault="003D488E" w:rsidP="003D488E">
            <w:pPr>
              <w:pStyle w:val="lgy-"/>
              <w:rPr>
                <w:rFonts w:eastAsia="宋体"/>
              </w:rPr>
            </w:pPr>
          </w:p>
        </w:tc>
        <w:tc>
          <w:tcPr>
            <w:tcW w:w="829" w:type="pct"/>
            <w:vMerge/>
          </w:tcPr>
          <w:p w14:paraId="29474F83" w14:textId="77777777" w:rsidR="003D488E" w:rsidRPr="002B55E9" w:rsidRDefault="003D488E" w:rsidP="003D488E">
            <w:pPr>
              <w:pStyle w:val="lgy-"/>
              <w:rPr>
                <w:rFonts w:eastAsia="宋体"/>
              </w:rPr>
            </w:pPr>
          </w:p>
        </w:tc>
        <w:tc>
          <w:tcPr>
            <w:tcW w:w="447" w:type="pct"/>
          </w:tcPr>
          <w:p w14:paraId="2FC20F8F" w14:textId="6B86ECE3" w:rsidR="003D488E" w:rsidRPr="002B55E9" w:rsidRDefault="003D488E" w:rsidP="003D488E">
            <w:pPr>
              <w:pStyle w:val="lgy-"/>
              <w:rPr>
                <w:rFonts w:eastAsia="宋体"/>
              </w:rPr>
            </w:pPr>
            <w:r w:rsidRPr="002B55E9">
              <w:rPr>
                <w:rFonts w:eastAsia="宋体" w:hint="eastAsia"/>
              </w:rPr>
              <w:t>风机</w:t>
            </w:r>
          </w:p>
        </w:tc>
        <w:tc>
          <w:tcPr>
            <w:tcW w:w="383" w:type="pct"/>
          </w:tcPr>
          <w:p w14:paraId="42DBB8EA" w14:textId="1FFF9F5C" w:rsidR="003D488E" w:rsidRPr="002B55E9" w:rsidRDefault="003D488E" w:rsidP="003D488E">
            <w:pPr>
              <w:pStyle w:val="lgy-"/>
              <w:rPr>
                <w:rFonts w:eastAsia="宋体"/>
              </w:rPr>
            </w:pPr>
            <w:r w:rsidRPr="002B55E9">
              <w:rPr>
                <w:rFonts w:eastAsia="宋体" w:hint="eastAsia"/>
              </w:rPr>
              <w:t>2</w:t>
            </w:r>
          </w:p>
        </w:tc>
        <w:tc>
          <w:tcPr>
            <w:tcW w:w="639" w:type="pct"/>
          </w:tcPr>
          <w:p w14:paraId="0251CC4B" w14:textId="28FC5493" w:rsidR="003D488E" w:rsidRPr="002B55E9" w:rsidRDefault="003D488E" w:rsidP="003D488E">
            <w:pPr>
              <w:pStyle w:val="lgy-"/>
              <w:rPr>
                <w:rFonts w:eastAsia="宋体"/>
              </w:rPr>
            </w:pPr>
            <w:r w:rsidRPr="002B55E9">
              <w:rPr>
                <w:rFonts w:eastAsia="宋体" w:hint="eastAsia"/>
              </w:rPr>
              <w:t>~</w:t>
            </w:r>
            <w:r w:rsidRPr="002B55E9">
              <w:rPr>
                <w:rFonts w:eastAsia="宋体"/>
              </w:rPr>
              <w:t>75</w:t>
            </w:r>
          </w:p>
        </w:tc>
        <w:tc>
          <w:tcPr>
            <w:tcW w:w="888" w:type="pct"/>
          </w:tcPr>
          <w:p w14:paraId="17170036" w14:textId="77777777" w:rsidR="003D488E" w:rsidRPr="002B55E9" w:rsidRDefault="003D488E" w:rsidP="003D488E">
            <w:pPr>
              <w:pStyle w:val="lgy-"/>
              <w:rPr>
                <w:rFonts w:eastAsia="宋体"/>
              </w:rPr>
            </w:pPr>
            <w:r w:rsidRPr="002B55E9">
              <w:rPr>
                <w:rFonts w:eastAsia="宋体"/>
              </w:rPr>
              <w:t>安装</w:t>
            </w:r>
            <w:r w:rsidRPr="002B55E9">
              <w:rPr>
                <w:rFonts w:eastAsia="宋体" w:hint="eastAsia"/>
              </w:rPr>
              <w:t>减震垫、</w:t>
            </w:r>
            <w:r w:rsidRPr="002B55E9">
              <w:rPr>
                <w:rFonts w:eastAsia="宋体"/>
              </w:rPr>
              <w:t>消声器等</w:t>
            </w:r>
          </w:p>
        </w:tc>
        <w:tc>
          <w:tcPr>
            <w:tcW w:w="517" w:type="pct"/>
          </w:tcPr>
          <w:p w14:paraId="686FDC7A" w14:textId="696D8C06" w:rsidR="003D488E" w:rsidRPr="002B55E9" w:rsidRDefault="003D488E" w:rsidP="003D488E">
            <w:pPr>
              <w:pStyle w:val="lgy-"/>
              <w:rPr>
                <w:rFonts w:eastAsia="宋体"/>
              </w:rPr>
            </w:pPr>
            <w:r w:rsidRPr="002B55E9">
              <w:rPr>
                <w:rFonts w:eastAsia="宋体" w:hint="eastAsia"/>
              </w:rPr>
              <w:t>7</w:t>
            </w:r>
            <w:r w:rsidRPr="002B55E9">
              <w:rPr>
                <w:rFonts w:eastAsia="宋体"/>
              </w:rPr>
              <w:t>8</w:t>
            </w:r>
          </w:p>
        </w:tc>
        <w:tc>
          <w:tcPr>
            <w:tcW w:w="560" w:type="pct"/>
          </w:tcPr>
          <w:p w14:paraId="266A2264" w14:textId="6F4FE32A" w:rsidR="003D488E" w:rsidRPr="002B55E9" w:rsidRDefault="003D488E" w:rsidP="003D488E">
            <w:pPr>
              <w:pStyle w:val="lgy-"/>
              <w:rPr>
                <w:rFonts w:eastAsia="宋体"/>
              </w:rPr>
            </w:pPr>
            <w:r w:rsidRPr="002B55E9">
              <w:rPr>
                <w:rFonts w:eastAsia="宋体" w:hint="eastAsia"/>
              </w:rPr>
              <w:t>5</w:t>
            </w:r>
            <w:r w:rsidRPr="002B55E9">
              <w:rPr>
                <w:rFonts w:eastAsia="宋体"/>
              </w:rPr>
              <w:t>8</w:t>
            </w:r>
          </w:p>
        </w:tc>
        <w:tc>
          <w:tcPr>
            <w:tcW w:w="559" w:type="pct"/>
          </w:tcPr>
          <w:p w14:paraId="50B629A6" w14:textId="77777777" w:rsidR="003D488E" w:rsidRPr="002B55E9" w:rsidRDefault="003D488E" w:rsidP="003D488E">
            <w:pPr>
              <w:pStyle w:val="lgy-"/>
              <w:rPr>
                <w:rFonts w:eastAsia="宋体"/>
              </w:rPr>
            </w:pPr>
            <w:r w:rsidRPr="002B55E9">
              <w:rPr>
                <w:rFonts w:eastAsia="宋体" w:hint="eastAsia"/>
              </w:rPr>
              <w:t>连续</w:t>
            </w:r>
          </w:p>
        </w:tc>
      </w:tr>
    </w:tbl>
    <w:p w14:paraId="57497D2E" w14:textId="4CAB0564" w:rsidR="00D170E5" w:rsidRPr="002B55E9" w:rsidRDefault="00EF27AD">
      <w:pPr>
        <w:widowControl/>
        <w:jc w:val="center"/>
        <w:rPr>
          <w:b/>
          <w:sz w:val="24"/>
        </w:rPr>
      </w:pPr>
      <w:r w:rsidRPr="002B55E9">
        <w:rPr>
          <w:b/>
          <w:sz w:val="24"/>
        </w:rPr>
        <w:t>表</w:t>
      </w:r>
      <w:r w:rsidRPr="002B55E9">
        <w:rPr>
          <w:b/>
          <w:sz w:val="24"/>
        </w:rPr>
        <w:t xml:space="preserve"> </w:t>
      </w:r>
      <w:r w:rsidRPr="002B55E9">
        <w:rPr>
          <w:rFonts w:hint="eastAsia"/>
          <w:b/>
          <w:sz w:val="24"/>
        </w:rPr>
        <w:t>5</w:t>
      </w:r>
      <w:r w:rsidRPr="002B55E9">
        <w:rPr>
          <w:b/>
          <w:sz w:val="24"/>
        </w:rPr>
        <w:t>-4-</w:t>
      </w:r>
      <w:r w:rsidR="003D488E" w:rsidRPr="002B55E9">
        <w:rPr>
          <w:b/>
          <w:sz w:val="24"/>
        </w:rPr>
        <w:t>2</w:t>
      </w:r>
      <w:r w:rsidRPr="002B55E9">
        <w:rPr>
          <w:b/>
          <w:sz w:val="24"/>
        </w:rPr>
        <w:t xml:space="preserve"> </w:t>
      </w:r>
      <w:r w:rsidRPr="002B55E9">
        <w:rPr>
          <w:rFonts w:hint="eastAsia"/>
          <w:b/>
          <w:sz w:val="24"/>
        </w:rPr>
        <w:t xml:space="preserve"> </w:t>
      </w:r>
      <w:r w:rsidRPr="002B55E9">
        <w:rPr>
          <w:b/>
          <w:sz w:val="24"/>
        </w:rPr>
        <w:t>本项目各生产单元主要设备噪声值</w:t>
      </w:r>
      <w:r w:rsidR="003D488E" w:rsidRPr="002B55E9">
        <w:rPr>
          <w:rFonts w:hint="eastAsia"/>
          <w:b/>
          <w:sz w:val="24"/>
        </w:rPr>
        <w:t>（室内声源）</w:t>
      </w:r>
    </w:p>
    <w:tbl>
      <w:tblPr>
        <w:tblW w:w="963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1"/>
        <w:gridCol w:w="513"/>
        <w:gridCol w:w="956"/>
        <w:gridCol w:w="1286"/>
        <w:gridCol w:w="1186"/>
        <w:gridCol w:w="364"/>
        <w:gridCol w:w="393"/>
        <w:gridCol w:w="454"/>
        <w:gridCol w:w="757"/>
        <w:gridCol w:w="757"/>
        <w:gridCol w:w="605"/>
        <w:gridCol w:w="756"/>
        <w:gridCol w:w="605"/>
        <w:gridCol w:w="634"/>
      </w:tblGrid>
      <w:tr w:rsidR="002B55E9" w:rsidRPr="002B55E9" w14:paraId="78868E4A" w14:textId="77777777">
        <w:trPr>
          <w:trHeight w:val="270"/>
          <w:jc w:val="center"/>
        </w:trPr>
        <w:tc>
          <w:tcPr>
            <w:tcW w:w="371" w:type="dxa"/>
            <w:vMerge w:val="restart"/>
            <w:tcBorders>
              <w:top w:val="single" w:sz="12" w:space="0" w:color="auto"/>
              <w:bottom w:val="single" w:sz="6" w:space="0" w:color="auto"/>
            </w:tcBorders>
            <w:noWrap/>
            <w:vAlign w:val="center"/>
          </w:tcPr>
          <w:p w14:paraId="3954315E" w14:textId="77777777" w:rsidR="00D170E5" w:rsidRPr="002B55E9" w:rsidRDefault="00EF27AD">
            <w:pPr>
              <w:widowControl/>
              <w:jc w:val="center"/>
              <w:rPr>
                <w:sz w:val="18"/>
                <w:szCs w:val="18"/>
              </w:rPr>
            </w:pPr>
            <w:r w:rsidRPr="002B55E9">
              <w:rPr>
                <w:sz w:val="18"/>
                <w:szCs w:val="18"/>
              </w:rPr>
              <w:t>序</w:t>
            </w:r>
            <w:r w:rsidRPr="002B55E9">
              <w:rPr>
                <w:sz w:val="18"/>
                <w:szCs w:val="18"/>
              </w:rPr>
              <w:lastRenderedPageBreak/>
              <w:t>号</w:t>
            </w:r>
          </w:p>
        </w:tc>
        <w:tc>
          <w:tcPr>
            <w:tcW w:w="513" w:type="dxa"/>
            <w:vMerge w:val="restart"/>
            <w:tcBorders>
              <w:top w:val="single" w:sz="12" w:space="0" w:color="auto"/>
              <w:bottom w:val="single" w:sz="6" w:space="0" w:color="auto"/>
            </w:tcBorders>
            <w:noWrap/>
            <w:vAlign w:val="center"/>
          </w:tcPr>
          <w:p w14:paraId="6DF6ACF3" w14:textId="77777777" w:rsidR="00D170E5" w:rsidRPr="002B55E9" w:rsidRDefault="00EF27AD">
            <w:pPr>
              <w:widowControl/>
              <w:jc w:val="center"/>
              <w:rPr>
                <w:sz w:val="18"/>
                <w:szCs w:val="18"/>
              </w:rPr>
            </w:pPr>
            <w:r w:rsidRPr="002B55E9">
              <w:rPr>
                <w:sz w:val="18"/>
                <w:szCs w:val="18"/>
              </w:rPr>
              <w:lastRenderedPageBreak/>
              <w:t>建筑</w:t>
            </w:r>
            <w:r w:rsidRPr="002B55E9">
              <w:rPr>
                <w:sz w:val="18"/>
                <w:szCs w:val="18"/>
              </w:rPr>
              <w:lastRenderedPageBreak/>
              <w:t>物名称</w:t>
            </w:r>
          </w:p>
        </w:tc>
        <w:tc>
          <w:tcPr>
            <w:tcW w:w="956" w:type="dxa"/>
            <w:vMerge w:val="restart"/>
            <w:tcBorders>
              <w:top w:val="single" w:sz="12" w:space="0" w:color="auto"/>
              <w:bottom w:val="single" w:sz="6" w:space="0" w:color="auto"/>
            </w:tcBorders>
            <w:noWrap/>
            <w:vAlign w:val="center"/>
          </w:tcPr>
          <w:p w14:paraId="2B55E342" w14:textId="77777777" w:rsidR="00D170E5" w:rsidRPr="002B55E9" w:rsidRDefault="00EF27AD">
            <w:pPr>
              <w:widowControl/>
              <w:jc w:val="center"/>
              <w:rPr>
                <w:sz w:val="18"/>
                <w:szCs w:val="18"/>
              </w:rPr>
            </w:pPr>
            <w:r w:rsidRPr="002B55E9">
              <w:rPr>
                <w:sz w:val="18"/>
                <w:szCs w:val="18"/>
              </w:rPr>
              <w:lastRenderedPageBreak/>
              <w:t>声源名称</w:t>
            </w:r>
          </w:p>
        </w:tc>
        <w:tc>
          <w:tcPr>
            <w:tcW w:w="1286" w:type="dxa"/>
            <w:tcBorders>
              <w:top w:val="single" w:sz="12" w:space="0" w:color="auto"/>
              <w:bottom w:val="single" w:sz="6" w:space="0" w:color="auto"/>
            </w:tcBorders>
            <w:noWrap/>
            <w:vAlign w:val="center"/>
          </w:tcPr>
          <w:p w14:paraId="18FC33EB" w14:textId="77777777" w:rsidR="00D170E5" w:rsidRPr="002B55E9" w:rsidRDefault="00EF27AD">
            <w:pPr>
              <w:widowControl/>
              <w:jc w:val="center"/>
              <w:rPr>
                <w:sz w:val="18"/>
                <w:szCs w:val="18"/>
              </w:rPr>
            </w:pPr>
            <w:r w:rsidRPr="002B55E9">
              <w:rPr>
                <w:sz w:val="18"/>
                <w:szCs w:val="18"/>
              </w:rPr>
              <w:t>声源源强</w:t>
            </w:r>
          </w:p>
        </w:tc>
        <w:tc>
          <w:tcPr>
            <w:tcW w:w="1186" w:type="dxa"/>
            <w:vMerge w:val="restart"/>
            <w:tcBorders>
              <w:top w:val="single" w:sz="12" w:space="0" w:color="auto"/>
              <w:bottom w:val="single" w:sz="6" w:space="0" w:color="auto"/>
            </w:tcBorders>
            <w:noWrap/>
            <w:vAlign w:val="center"/>
          </w:tcPr>
          <w:p w14:paraId="1E608927" w14:textId="77777777" w:rsidR="00D170E5" w:rsidRPr="002B55E9" w:rsidRDefault="00EF27AD">
            <w:pPr>
              <w:widowControl/>
              <w:jc w:val="center"/>
              <w:rPr>
                <w:sz w:val="18"/>
                <w:szCs w:val="18"/>
              </w:rPr>
            </w:pPr>
            <w:r w:rsidRPr="002B55E9">
              <w:rPr>
                <w:sz w:val="18"/>
                <w:szCs w:val="18"/>
              </w:rPr>
              <w:t>声源控制措施</w:t>
            </w:r>
          </w:p>
        </w:tc>
        <w:tc>
          <w:tcPr>
            <w:tcW w:w="1211" w:type="dxa"/>
            <w:gridSpan w:val="3"/>
            <w:tcBorders>
              <w:top w:val="single" w:sz="12" w:space="0" w:color="auto"/>
              <w:bottom w:val="single" w:sz="6" w:space="0" w:color="auto"/>
            </w:tcBorders>
            <w:noWrap/>
            <w:vAlign w:val="center"/>
          </w:tcPr>
          <w:p w14:paraId="787A5B48" w14:textId="77777777" w:rsidR="00D170E5" w:rsidRPr="002B55E9" w:rsidRDefault="00EF27AD">
            <w:pPr>
              <w:widowControl/>
              <w:jc w:val="center"/>
              <w:rPr>
                <w:sz w:val="18"/>
                <w:szCs w:val="18"/>
              </w:rPr>
            </w:pPr>
            <w:r w:rsidRPr="002B55E9">
              <w:rPr>
                <w:sz w:val="18"/>
                <w:szCs w:val="18"/>
              </w:rPr>
              <w:t>空间相对位置</w:t>
            </w:r>
            <w:r w:rsidRPr="002B55E9">
              <w:rPr>
                <w:sz w:val="18"/>
                <w:szCs w:val="18"/>
              </w:rPr>
              <w:t>/m</w:t>
            </w:r>
          </w:p>
        </w:tc>
        <w:tc>
          <w:tcPr>
            <w:tcW w:w="757" w:type="dxa"/>
            <w:vMerge w:val="restart"/>
            <w:tcBorders>
              <w:top w:val="single" w:sz="12" w:space="0" w:color="auto"/>
              <w:bottom w:val="single" w:sz="6" w:space="0" w:color="auto"/>
            </w:tcBorders>
            <w:noWrap/>
            <w:vAlign w:val="center"/>
          </w:tcPr>
          <w:p w14:paraId="090CC941" w14:textId="77777777" w:rsidR="00D170E5" w:rsidRPr="002B55E9" w:rsidRDefault="00EF27AD">
            <w:pPr>
              <w:widowControl/>
              <w:jc w:val="center"/>
              <w:rPr>
                <w:sz w:val="18"/>
                <w:szCs w:val="18"/>
              </w:rPr>
            </w:pPr>
            <w:r w:rsidRPr="002B55E9">
              <w:rPr>
                <w:sz w:val="18"/>
                <w:szCs w:val="18"/>
              </w:rPr>
              <w:t>据室内</w:t>
            </w:r>
            <w:r w:rsidRPr="002B55E9">
              <w:rPr>
                <w:sz w:val="18"/>
                <w:szCs w:val="18"/>
              </w:rPr>
              <w:lastRenderedPageBreak/>
              <w:t>边界距离</w:t>
            </w:r>
            <w:r w:rsidRPr="002B55E9">
              <w:rPr>
                <w:sz w:val="18"/>
                <w:szCs w:val="18"/>
              </w:rPr>
              <w:t>/m</w:t>
            </w:r>
          </w:p>
        </w:tc>
        <w:tc>
          <w:tcPr>
            <w:tcW w:w="757" w:type="dxa"/>
            <w:vMerge w:val="restart"/>
            <w:tcBorders>
              <w:top w:val="single" w:sz="12" w:space="0" w:color="auto"/>
              <w:bottom w:val="single" w:sz="6" w:space="0" w:color="auto"/>
            </w:tcBorders>
            <w:noWrap/>
            <w:vAlign w:val="center"/>
          </w:tcPr>
          <w:p w14:paraId="4A916BE6" w14:textId="77777777" w:rsidR="00D170E5" w:rsidRPr="002B55E9" w:rsidRDefault="00EF27AD">
            <w:pPr>
              <w:widowControl/>
              <w:jc w:val="center"/>
              <w:rPr>
                <w:sz w:val="18"/>
                <w:szCs w:val="18"/>
              </w:rPr>
            </w:pPr>
            <w:r w:rsidRPr="002B55E9">
              <w:rPr>
                <w:sz w:val="18"/>
                <w:szCs w:val="18"/>
              </w:rPr>
              <w:lastRenderedPageBreak/>
              <w:t>室内边</w:t>
            </w:r>
            <w:r w:rsidRPr="002B55E9">
              <w:rPr>
                <w:sz w:val="18"/>
                <w:szCs w:val="18"/>
              </w:rPr>
              <w:lastRenderedPageBreak/>
              <w:t>界声级</w:t>
            </w:r>
            <w:r w:rsidRPr="002B55E9">
              <w:rPr>
                <w:sz w:val="18"/>
                <w:szCs w:val="18"/>
              </w:rPr>
              <w:t>/dB</w:t>
            </w:r>
            <w:r w:rsidRPr="002B55E9">
              <w:rPr>
                <w:sz w:val="18"/>
                <w:szCs w:val="18"/>
              </w:rPr>
              <w:t>（</w:t>
            </w:r>
            <w:r w:rsidRPr="002B55E9">
              <w:rPr>
                <w:sz w:val="18"/>
                <w:szCs w:val="18"/>
              </w:rPr>
              <w:t>A</w:t>
            </w:r>
            <w:r w:rsidRPr="002B55E9">
              <w:rPr>
                <w:sz w:val="18"/>
                <w:szCs w:val="18"/>
              </w:rPr>
              <w:t>）</w:t>
            </w:r>
          </w:p>
        </w:tc>
        <w:tc>
          <w:tcPr>
            <w:tcW w:w="605" w:type="dxa"/>
            <w:vMerge w:val="restart"/>
            <w:tcBorders>
              <w:top w:val="single" w:sz="12" w:space="0" w:color="auto"/>
              <w:bottom w:val="single" w:sz="6" w:space="0" w:color="auto"/>
            </w:tcBorders>
            <w:noWrap/>
            <w:vAlign w:val="center"/>
          </w:tcPr>
          <w:p w14:paraId="47E5339E" w14:textId="77777777" w:rsidR="00D170E5" w:rsidRPr="002B55E9" w:rsidRDefault="00EF27AD">
            <w:pPr>
              <w:widowControl/>
              <w:jc w:val="center"/>
              <w:rPr>
                <w:sz w:val="18"/>
                <w:szCs w:val="18"/>
              </w:rPr>
            </w:pPr>
            <w:r w:rsidRPr="002B55E9">
              <w:rPr>
                <w:sz w:val="18"/>
                <w:szCs w:val="18"/>
              </w:rPr>
              <w:lastRenderedPageBreak/>
              <w:t>运行时</w:t>
            </w:r>
            <w:r w:rsidRPr="002B55E9">
              <w:rPr>
                <w:sz w:val="18"/>
                <w:szCs w:val="18"/>
              </w:rPr>
              <w:lastRenderedPageBreak/>
              <w:t>段</w:t>
            </w:r>
          </w:p>
        </w:tc>
        <w:tc>
          <w:tcPr>
            <w:tcW w:w="756" w:type="dxa"/>
            <w:vMerge w:val="restart"/>
            <w:tcBorders>
              <w:top w:val="single" w:sz="12" w:space="0" w:color="auto"/>
              <w:bottom w:val="single" w:sz="6" w:space="0" w:color="auto"/>
            </w:tcBorders>
            <w:noWrap/>
            <w:vAlign w:val="center"/>
          </w:tcPr>
          <w:p w14:paraId="3EF9FECD" w14:textId="77777777" w:rsidR="00D170E5" w:rsidRPr="002B55E9" w:rsidRDefault="00EF27AD">
            <w:pPr>
              <w:widowControl/>
              <w:jc w:val="center"/>
              <w:rPr>
                <w:sz w:val="18"/>
                <w:szCs w:val="18"/>
              </w:rPr>
            </w:pPr>
            <w:r w:rsidRPr="002B55E9">
              <w:rPr>
                <w:sz w:val="18"/>
                <w:szCs w:val="18"/>
              </w:rPr>
              <w:lastRenderedPageBreak/>
              <w:t>建筑物</w:t>
            </w:r>
            <w:r w:rsidRPr="002B55E9">
              <w:rPr>
                <w:sz w:val="18"/>
                <w:szCs w:val="18"/>
              </w:rPr>
              <w:lastRenderedPageBreak/>
              <w:t>插入损失</w:t>
            </w:r>
            <w:r w:rsidRPr="002B55E9">
              <w:rPr>
                <w:sz w:val="18"/>
                <w:szCs w:val="18"/>
              </w:rPr>
              <w:t>/dB</w:t>
            </w:r>
            <w:r w:rsidRPr="002B55E9">
              <w:rPr>
                <w:sz w:val="18"/>
                <w:szCs w:val="18"/>
              </w:rPr>
              <w:t>（</w:t>
            </w:r>
            <w:r w:rsidRPr="002B55E9">
              <w:rPr>
                <w:sz w:val="18"/>
                <w:szCs w:val="18"/>
              </w:rPr>
              <w:t>A</w:t>
            </w:r>
            <w:r w:rsidRPr="002B55E9">
              <w:rPr>
                <w:sz w:val="18"/>
                <w:szCs w:val="18"/>
              </w:rPr>
              <w:t>）</w:t>
            </w:r>
          </w:p>
        </w:tc>
        <w:tc>
          <w:tcPr>
            <w:tcW w:w="1239" w:type="dxa"/>
            <w:gridSpan w:val="2"/>
            <w:tcBorders>
              <w:top w:val="single" w:sz="12" w:space="0" w:color="auto"/>
              <w:bottom w:val="single" w:sz="6" w:space="0" w:color="auto"/>
            </w:tcBorders>
            <w:noWrap/>
            <w:vAlign w:val="center"/>
          </w:tcPr>
          <w:p w14:paraId="17B0E67A" w14:textId="77777777" w:rsidR="00D170E5" w:rsidRPr="002B55E9" w:rsidRDefault="00EF27AD">
            <w:pPr>
              <w:widowControl/>
              <w:jc w:val="center"/>
              <w:rPr>
                <w:sz w:val="18"/>
                <w:szCs w:val="18"/>
              </w:rPr>
            </w:pPr>
            <w:r w:rsidRPr="002B55E9">
              <w:rPr>
                <w:sz w:val="18"/>
                <w:szCs w:val="18"/>
              </w:rPr>
              <w:lastRenderedPageBreak/>
              <w:t>建筑物外噪声</w:t>
            </w:r>
          </w:p>
        </w:tc>
      </w:tr>
      <w:tr w:rsidR="002B55E9" w:rsidRPr="002B55E9" w14:paraId="2447B290" w14:textId="77777777">
        <w:trPr>
          <w:trHeight w:val="270"/>
          <w:jc w:val="center"/>
        </w:trPr>
        <w:tc>
          <w:tcPr>
            <w:tcW w:w="371" w:type="dxa"/>
            <w:vMerge/>
            <w:tcBorders>
              <w:top w:val="single" w:sz="6" w:space="0" w:color="auto"/>
              <w:bottom w:val="single" w:sz="12" w:space="0" w:color="auto"/>
            </w:tcBorders>
            <w:vAlign w:val="center"/>
          </w:tcPr>
          <w:p w14:paraId="5D0DA105" w14:textId="77777777" w:rsidR="00D170E5" w:rsidRPr="002B55E9" w:rsidRDefault="00D170E5">
            <w:pPr>
              <w:widowControl/>
              <w:jc w:val="center"/>
              <w:rPr>
                <w:sz w:val="18"/>
                <w:szCs w:val="18"/>
              </w:rPr>
            </w:pPr>
          </w:p>
        </w:tc>
        <w:tc>
          <w:tcPr>
            <w:tcW w:w="513" w:type="dxa"/>
            <w:vMerge/>
            <w:tcBorders>
              <w:top w:val="single" w:sz="6" w:space="0" w:color="auto"/>
              <w:bottom w:val="single" w:sz="12" w:space="0" w:color="auto"/>
            </w:tcBorders>
            <w:vAlign w:val="center"/>
          </w:tcPr>
          <w:p w14:paraId="6EE72BA2" w14:textId="77777777" w:rsidR="00D170E5" w:rsidRPr="002B55E9" w:rsidRDefault="00D170E5">
            <w:pPr>
              <w:widowControl/>
              <w:jc w:val="center"/>
              <w:rPr>
                <w:sz w:val="18"/>
                <w:szCs w:val="18"/>
              </w:rPr>
            </w:pPr>
          </w:p>
        </w:tc>
        <w:tc>
          <w:tcPr>
            <w:tcW w:w="956" w:type="dxa"/>
            <w:vMerge/>
            <w:tcBorders>
              <w:top w:val="single" w:sz="6" w:space="0" w:color="auto"/>
              <w:bottom w:val="single" w:sz="12" w:space="0" w:color="auto"/>
            </w:tcBorders>
            <w:vAlign w:val="center"/>
          </w:tcPr>
          <w:p w14:paraId="3581D87E" w14:textId="77777777" w:rsidR="00D170E5" w:rsidRPr="002B55E9" w:rsidRDefault="00D170E5">
            <w:pPr>
              <w:widowControl/>
              <w:jc w:val="center"/>
              <w:rPr>
                <w:sz w:val="18"/>
                <w:szCs w:val="18"/>
              </w:rPr>
            </w:pPr>
          </w:p>
        </w:tc>
        <w:tc>
          <w:tcPr>
            <w:tcW w:w="1286" w:type="dxa"/>
            <w:tcBorders>
              <w:top w:val="single" w:sz="6" w:space="0" w:color="auto"/>
              <w:bottom w:val="single" w:sz="12" w:space="0" w:color="auto"/>
            </w:tcBorders>
            <w:noWrap/>
            <w:vAlign w:val="center"/>
          </w:tcPr>
          <w:p w14:paraId="515B3051" w14:textId="77777777" w:rsidR="00D170E5" w:rsidRPr="002B55E9" w:rsidRDefault="00EF27AD">
            <w:pPr>
              <w:widowControl/>
              <w:jc w:val="center"/>
              <w:rPr>
                <w:sz w:val="18"/>
                <w:szCs w:val="18"/>
              </w:rPr>
            </w:pPr>
            <w:r w:rsidRPr="002B55E9">
              <w:rPr>
                <w:sz w:val="18"/>
                <w:szCs w:val="18"/>
              </w:rPr>
              <w:t>（声压级</w:t>
            </w:r>
            <w:r w:rsidRPr="002B55E9">
              <w:rPr>
                <w:sz w:val="18"/>
                <w:szCs w:val="18"/>
              </w:rPr>
              <w:t>/</w:t>
            </w:r>
            <w:r w:rsidRPr="002B55E9">
              <w:rPr>
                <w:sz w:val="18"/>
                <w:szCs w:val="18"/>
              </w:rPr>
              <w:t>距声源距离）</w:t>
            </w:r>
            <w:r w:rsidRPr="002B55E9">
              <w:rPr>
                <w:sz w:val="18"/>
                <w:szCs w:val="18"/>
              </w:rPr>
              <w:t>/</w:t>
            </w:r>
            <w:r w:rsidRPr="002B55E9">
              <w:rPr>
                <w:sz w:val="18"/>
                <w:szCs w:val="18"/>
              </w:rPr>
              <w:t>（</w:t>
            </w:r>
            <w:r w:rsidRPr="002B55E9">
              <w:rPr>
                <w:sz w:val="18"/>
                <w:szCs w:val="18"/>
              </w:rPr>
              <w:t>dB</w:t>
            </w:r>
            <w:r w:rsidRPr="002B55E9">
              <w:rPr>
                <w:sz w:val="18"/>
                <w:szCs w:val="18"/>
              </w:rPr>
              <w:t>（</w:t>
            </w:r>
            <w:r w:rsidRPr="002B55E9">
              <w:rPr>
                <w:sz w:val="18"/>
                <w:szCs w:val="18"/>
              </w:rPr>
              <w:t>A</w:t>
            </w:r>
            <w:r w:rsidRPr="002B55E9">
              <w:rPr>
                <w:sz w:val="18"/>
                <w:szCs w:val="18"/>
              </w:rPr>
              <w:t>）</w:t>
            </w:r>
            <w:r w:rsidRPr="002B55E9">
              <w:rPr>
                <w:sz w:val="18"/>
                <w:szCs w:val="18"/>
              </w:rPr>
              <w:t>/m</w:t>
            </w:r>
            <w:r w:rsidRPr="002B55E9">
              <w:rPr>
                <w:sz w:val="18"/>
                <w:szCs w:val="18"/>
              </w:rPr>
              <w:t>）</w:t>
            </w:r>
          </w:p>
        </w:tc>
        <w:tc>
          <w:tcPr>
            <w:tcW w:w="1186" w:type="dxa"/>
            <w:vMerge/>
            <w:tcBorders>
              <w:top w:val="single" w:sz="6" w:space="0" w:color="auto"/>
              <w:bottom w:val="single" w:sz="12" w:space="0" w:color="auto"/>
            </w:tcBorders>
            <w:vAlign w:val="center"/>
          </w:tcPr>
          <w:p w14:paraId="32596566" w14:textId="77777777" w:rsidR="00D170E5" w:rsidRPr="002B55E9" w:rsidRDefault="00D170E5">
            <w:pPr>
              <w:widowControl/>
              <w:jc w:val="center"/>
              <w:rPr>
                <w:sz w:val="18"/>
                <w:szCs w:val="18"/>
              </w:rPr>
            </w:pPr>
          </w:p>
        </w:tc>
        <w:tc>
          <w:tcPr>
            <w:tcW w:w="364" w:type="dxa"/>
            <w:tcBorders>
              <w:top w:val="single" w:sz="6" w:space="0" w:color="auto"/>
              <w:bottom w:val="single" w:sz="12" w:space="0" w:color="auto"/>
            </w:tcBorders>
            <w:noWrap/>
            <w:vAlign w:val="center"/>
          </w:tcPr>
          <w:p w14:paraId="2A93C8F5" w14:textId="77777777" w:rsidR="00D170E5" w:rsidRPr="002B55E9" w:rsidRDefault="00EF27AD">
            <w:pPr>
              <w:widowControl/>
              <w:jc w:val="center"/>
              <w:rPr>
                <w:sz w:val="18"/>
                <w:szCs w:val="18"/>
              </w:rPr>
            </w:pPr>
            <w:r w:rsidRPr="002B55E9">
              <w:rPr>
                <w:sz w:val="18"/>
                <w:szCs w:val="18"/>
              </w:rPr>
              <w:t>X</w:t>
            </w:r>
          </w:p>
        </w:tc>
        <w:tc>
          <w:tcPr>
            <w:tcW w:w="393" w:type="dxa"/>
            <w:tcBorders>
              <w:top w:val="single" w:sz="6" w:space="0" w:color="auto"/>
              <w:bottom w:val="single" w:sz="12" w:space="0" w:color="auto"/>
            </w:tcBorders>
            <w:noWrap/>
            <w:vAlign w:val="center"/>
          </w:tcPr>
          <w:p w14:paraId="02911CC0" w14:textId="77777777" w:rsidR="00D170E5" w:rsidRPr="002B55E9" w:rsidRDefault="00EF27AD">
            <w:pPr>
              <w:widowControl/>
              <w:jc w:val="center"/>
              <w:rPr>
                <w:sz w:val="18"/>
                <w:szCs w:val="18"/>
              </w:rPr>
            </w:pPr>
            <w:r w:rsidRPr="002B55E9">
              <w:rPr>
                <w:sz w:val="18"/>
                <w:szCs w:val="18"/>
              </w:rPr>
              <w:t>Y</w:t>
            </w:r>
          </w:p>
        </w:tc>
        <w:tc>
          <w:tcPr>
            <w:tcW w:w="454" w:type="dxa"/>
            <w:tcBorders>
              <w:top w:val="single" w:sz="6" w:space="0" w:color="auto"/>
              <w:bottom w:val="single" w:sz="12" w:space="0" w:color="auto"/>
            </w:tcBorders>
            <w:noWrap/>
            <w:vAlign w:val="center"/>
          </w:tcPr>
          <w:p w14:paraId="140898A4" w14:textId="77777777" w:rsidR="00D170E5" w:rsidRPr="002B55E9" w:rsidRDefault="00EF27AD">
            <w:pPr>
              <w:widowControl/>
              <w:jc w:val="center"/>
              <w:rPr>
                <w:sz w:val="18"/>
                <w:szCs w:val="18"/>
              </w:rPr>
            </w:pPr>
            <w:r w:rsidRPr="002B55E9">
              <w:rPr>
                <w:sz w:val="18"/>
                <w:szCs w:val="18"/>
              </w:rPr>
              <w:t>Z</w:t>
            </w:r>
          </w:p>
        </w:tc>
        <w:tc>
          <w:tcPr>
            <w:tcW w:w="757" w:type="dxa"/>
            <w:vMerge/>
            <w:tcBorders>
              <w:top w:val="single" w:sz="6" w:space="0" w:color="auto"/>
              <w:bottom w:val="single" w:sz="12" w:space="0" w:color="auto"/>
            </w:tcBorders>
            <w:vAlign w:val="center"/>
          </w:tcPr>
          <w:p w14:paraId="28D48979" w14:textId="77777777" w:rsidR="00D170E5" w:rsidRPr="002B55E9" w:rsidRDefault="00D170E5">
            <w:pPr>
              <w:widowControl/>
              <w:jc w:val="center"/>
              <w:rPr>
                <w:sz w:val="18"/>
                <w:szCs w:val="18"/>
              </w:rPr>
            </w:pPr>
          </w:p>
        </w:tc>
        <w:tc>
          <w:tcPr>
            <w:tcW w:w="757" w:type="dxa"/>
            <w:vMerge/>
            <w:tcBorders>
              <w:top w:val="single" w:sz="6" w:space="0" w:color="auto"/>
              <w:bottom w:val="single" w:sz="12" w:space="0" w:color="auto"/>
            </w:tcBorders>
            <w:vAlign w:val="center"/>
          </w:tcPr>
          <w:p w14:paraId="7CAAB2C8" w14:textId="77777777" w:rsidR="00D170E5" w:rsidRPr="002B55E9" w:rsidRDefault="00D170E5">
            <w:pPr>
              <w:widowControl/>
              <w:jc w:val="center"/>
              <w:rPr>
                <w:sz w:val="18"/>
                <w:szCs w:val="18"/>
              </w:rPr>
            </w:pPr>
          </w:p>
        </w:tc>
        <w:tc>
          <w:tcPr>
            <w:tcW w:w="605" w:type="dxa"/>
            <w:vMerge/>
            <w:tcBorders>
              <w:top w:val="single" w:sz="6" w:space="0" w:color="auto"/>
              <w:bottom w:val="single" w:sz="12" w:space="0" w:color="auto"/>
            </w:tcBorders>
            <w:vAlign w:val="center"/>
          </w:tcPr>
          <w:p w14:paraId="3B999BF7" w14:textId="77777777" w:rsidR="00D170E5" w:rsidRPr="002B55E9" w:rsidRDefault="00D170E5">
            <w:pPr>
              <w:widowControl/>
              <w:jc w:val="center"/>
              <w:rPr>
                <w:sz w:val="18"/>
                <w:szCs w:val="18"/>
              </w:rPr>
            </w:pPr>
          </w:p>
        </w:tc>
        <w:tc>
          <w:tcPr>
            <w:tcW w:w="756" w:type="dxa"/>
            <w:vMerge/>
            <w:tcBorders>
              <w:top w:val="single" w:sz="6" w:space="0" w:color="auto"/>
              <w:bottom w:val="single" w:sz="12" w:space="0" w:color="auto"/>
            </w:tcBorders>
            <w:vAlign w:val="center"/>
          </w:tcPr>
          <w:p w14:paraId="0F012F92" w14:textId="77777777" w:rsidR="00D170E5" w:rsidRPr="002B55E9" w:rsidRDefault="00D170E5">
            <w:pPr>
              <w:widowControl/>
              <w:jc w:val="center"/>
              <w:rPr>
                <w:sz w:val="18"/>
                <w:szCs w:val="18"/>
              </w:rPr>
            </w:pPr>
          </w:p>
        </w:tc>
        <w:tc>
          <w:tcPr>
            <w:tcW w:w="605" w:type="dxa"/>
            <w:tcBorders>
              <w:top w:val="single" w:sz="6" w:space="0" w:color="auto"/>
              <w:bottom w:val="single" w:sz="12" w:space="0" w:color="auto"/>
            </w:tcBorders>
            <w:noWrap/>
            <w:vAlign w:val="center"/>
          </w:tcPr>
          <w:p w14:paraId="3B8AA98A" w14:textId="77777777" w:rsidR="00D170E5" w:rsidRPr="002B55E9" w:rsidRDefault="00EF27AD">
            <w:pPr>
              <w:widowControl/>
              <w:jc w:val="center"/>
              <w:rPr>
                <w:sz w:val="18"/>
                <w:szCs w:val="18"/>
              </w:rPr>
            </w:pPr>
            <w:r w:rsidRPr="002B55E9">
              <w:rPr>
                <w:sz w:val="18"/>
                <w:szCs w:val="18"/>
              </w:rPr>
              <w:t>声压级</w:t>
            </w:r>
            <w:r w:rsidRPr="002B55E9">
              <w:rPr>
                <w:sz w:val="18"/>
                <w:szCs w:val="18"/>
              </w:rPr>
              <w:t>/dB</w:t>
            </w:r>
            <w:r w:rsidRPr="002B55E9">
              <w:rPr>
                <w:sz w:val="18"/>
                <w:szCs w:val="18"/>
              </w:rPr>
              <w:t>（</w:t>
            </w:r>
            <w:r w:rsidRPr="002B55E9">
              <w:rPr>
                <w:sz w:val="18"/>
                <w:szCs w:val="18"/>
              </w:rPr>
              <w:t>A</w:t>
            </w:r>
            <w:r w:rsidRPr="002B55E9">
              <w:rPr>
                <w:sz w:val="18"/>
                <w:szCs w:val="18"/>
              </w:rPr>
              <w:t>）</w:t>
            </w:r>
          </w:p>
        </w:tc>
        <w:tc>
          <w:tcPr>
            <w:tcW w:w="634" w:type="dxa"/>
            <w:tcBorders>
              <w:top w:val="single" w:sz="6" w:space="0" w:color="auto"/>
              <w:bottom w:val="single" w:sz="12" w:space="0" w:color="auto"/>
            </w:tcBorders>
            <w:noWrap/>
            <w:vAlign w:val="center"/>
          </w:tcPr>
          <w:p w14:paraId="5196E122" w14:textId="77777777" w:rsidR="00D170E5" w:rsidRPr="002B55E9" w:rsidRDefault="00EF27AD">
            <w:pPr>
              <w:widowControl/>
              <w:jc w:val="center"/>
              <w:rPr>
                <w:sz w:val="18"/>
                <w:szCs w:val="18"/>
              </w:rPr>
            </w:pPr>
            <w:r w:rsidRPr="002B55E9">
              <w:rPr>
                <w:sz w:val="18"/>
                <w:szCs w:val="18"/>
              </w:rPr>
              <w:t>建筑物外距离</w:t>
            </w:r>
          </w:p>
        </w:tc>
      </w:tr>
      <w:tr w:rsidR="002B55E9" w:rsidRPr="002B55E9" w14:paraId="540CE638" w14:textId="77777777">
        <w:trPr>
          <w:trHeight w:val="270"/>
          <w:jc w:val="center"/>
        </w:trPr>
        <w:tc>
          <w:tcPr>
            <w:tcW w:w="371" w:type="dxa"/>
            <w:tcBorders>
              <w:top w:val="single" w:sz="12" w:space="0" w:color="auto"/>
            </w:tcBorders>
            <w:noWrap/>
            <w:vAlign w:val="center"/>
          </w:tcPr>
          <w:p w14:paraId="6D9A16A7" w14:textId="77777777" w:rsidR="00D170E5" w:rsidRPr="002B55E9" w:rsidRDefault="00EF27AD">
            <w:pPr>
              <w:widowControl/>
              <w:jc w:val="center"/>
              <w:rPr>
                <w:sz w:val="18"/>
                <w:szCs w:val="18"/>
              </w:rPr>
            </w:pPr>
            <w:r w:rsidRPr="002B55E9">
              <w:rPr>
                <w:rFonts w:hint="eastAsia"/>
                <w:sz w:val="18"/>
                <w:szCs w:val="18"/>
              </w:rPr>
              <w:lastRenderedPageBreak/>
              <w:t>1</w:t>
            </w:r>
          </w:p>
        </w:tc>
        <w:tc>
          <w:tcPr>
            <w:tcW w:w="513" w:type="dxa"/>
            <w:vMerge w:val="restart"/>
            <w:tcBorders>
              <w:top w:val="single" w:sz="12" w:space="0" w:color="auto"/>
            </w:tcBorders>
            <w:noWrap/>
            <w:vAlign w:val="center"/>
          </w:tcPr>
          <w:p w14:paraId="4B63E46D" w14:textId="77777777" w:rsidR="00D170E5" w:rsidRPr="002B55E9" w:rsidRDefault="00EF27AD">
            <w:pPr>
              <w:widowControl/>
              <w:jc w:val="center"/>
              <w:rPr>
                <w:sz w:val="18"/>
                <w:szCs w:val="18"/>
              </w:rPr>
            </w:pPr>
            <w:r w:rsidRPr="002B55E9">
              <w:rPr>
                <w:rFonts w:hint="eastAsia"/>
                <w:sz w:val="18"/>
                <w:szCs w:val="18"/>
              </w:rPr>
              <w:t>十三</w:t>
            </w:r>
            <w:r w:rsidRPr="002B55E9">
              <w:rPr>
                <w:sz w:val="18"/>
                <w:szCs w:val="18"/>
              </w:rPr>
              <w:t>车间</w:t>
            </w:r>
          </w:p>
        </w:tc>
        <w:tc>
          <w:tcPr>
            <w:tcW w:w="956" w:type="dxa"/>
            <w:tcBorders>
              <w:top w:val="single" w:sz="12" w:space="0" w:color="auto"/>
            </w:tcBorders>
            <w:noWrap/>
            <w:vAlign w:val="center"/>
          </w:tcPr>
          <w:p w14:paraId="523F08D5" w14:textId="77777777" w:rsidR="00D170E5" w:rsidRPr="002B55E9" w:rsidRDefault="00EF27AD">
            <w:pPr>
              <w:widowControl/>
              <w:jc w:val="center"/>
              <w:rPr>
                <w:sz w:val="18"/>
                <w:szCs w:val="18"/>
              </w:rPr>
            </w:pPr>
            <w:r w:rsidRPr="002B55E9">
              <w:rPr>
                <w:rFonts w:hint="eastAsia"/>
                <w:sz w:val="18"/>
                <w:szCs w:val="18"/>
              </w:rPr>
              <w:t>粉碎机</w:t>
            </w:r>
          </w:p>
        </w:tc>
        <w:tc>
          <w:tcPr>
            <w:tcW w:w="1286" w:type="dxa"/>
            <w:tcBorders>
              <w:top w:val="single" w:sz="12" w:space="0" w:color="auto"/>
            </w:tcBorders>
            <w:noWrap/>
            <w:vAlign w:val="center"/>
          </w:tcPr>
          <w:p w14:paraId="5742A80C" w14:textId="77777777" w:rsidR="00D170E5" w:rsidRPr="002B55E9" w:rsidRDefault="00EF27AD">
            <w:pPr>
              <w:widowControl/>
              <w:jc w:val="center"/>
              <w:rPr>
                <w:sz w:val="18"/>
                <w:szCs w:val="18"/>
              </w:rPr>
            </w:pPr>
            <w:r w:rsidRPr="002B55E9">
              <w:rPr>
                <w:rFonts w:hint="eastAsia"/>
                <w:sz w:val="18"/>
                <w:szCs w:val="18"/>
              </w:rPr>
              <w:t>70</w:t>
            </w:r>
            <w:r w:rsidRPr="002B55E9">
              <w:rPr>
                <w:sz w:val="18"/>
                <w:szCs w:val="18"/>
              </w:rPr>
              <w:t>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tcBorders>
              <w:top w:val="single" w:sz="12" w:space="0" w:color="auto"/>
            </w:tcBorders>
            <w:noWrap/>
            <w:vAlign w:val="center"/>
          </w:tcPr>
          <w:p w14:paraId="3335B7F1" w14:textId="77777777" w:rsidR="00D170E5" w:rsidRPr="002B55E9" w:rsidRDefault="00EF27AD">
            <w:pPr>
              <w:widowControl/>
              <w:jc w:val="center"/>
              <w:rPr>
                <w:sz w:val="18"/>
                <w:szCs w:val="18"/>
              </w:rPr>
            </w:pPr>
            <w:r w:rsidRPr="002B55E9">
              <w:rPr>
                <w:rFonts w:hint="eastAsia"/>
                <w:sz w:val="18"/>
                <w:szCs w:val="18"/>
              </w:rPr>
              <w:t>选用</w:t>
            </w:r>
            <w:r w:rsidRPr="002B55E9">
              <w:rPr>
                <w:sz w:val="18"/>
                <w:szCs w:val="18"/>
              </w:rPr>
              <w:t>低噪声设备、墙体隔声</w:t>
            </w:r>
          </w:p>
        </w:tc>
        <w:tc>
          <w:tcPr>
            <w:tcW w:w="364" w:type="dxa"/>
            <w:tcBorders>
              <w:top w:val="single" w:sz="12" w:space="0" w:color="auto"/>
            </w:tcBorders>
            <w:noWrap/>
            <w:vAlign w:val="center"/>
          </w:tcPr>
          <w:p w14:paraId="2EDE5B63" w14:textId="77777777" w:rsidR="00D170E5" w:rsidRPr="002B55E9" w:rsidRDefault="00EF27AD">
            <w:pPr>
              <w:widowControl/>
              <w:jc w:val="center"/>
              <w:rPr>
                <w:sz w:val="18"/>
                <w:szCs w:val="18"/>
              </w:rPr>
            </w:pPr>
            <w:r w:rsidRPr="002B55E9">
              <w:rPr>
                <w:rFonts w:hint="eastAsia"/>
                <w:sz w:val="18"/>
                <w:szCs w:val="18"/>
              </w:rPr>
              <w:t>54</w:t>
            </w:r>
          </w:p>
        </w:tc>
        <w:tc>
          <w:tcPr>
            <w:tcW w:w="393" w:type="dxa"/>
            <w:tcBorders>
              <w:top w:val="single" w:sz="12" w:space="0" w:color="auto"/>
            </w:tcBorders>
            <w:noWrap/>
            <w:vAlign w:val="center"/>
          </w:tcPr>
          <w:p w14:paraId="2364BFB4" w14:textId="77777777" w:rsidR="00D170E5" w:rsidRPr="002B55E9" w:rsidRDefault="00EF27AD">
            <w:pPr>
              <w:widowControl/>
              <w:jc w:val="center"/>
              <w:rPr>
                <w:sz w:val="18"/>
                <w:szCs w:val="18"/>
              </w:rPr>
            </w:pPr>
            <w:r w:rsidRPr="002B55E9">
              <w:rPr>
                <w:rFonts w:hint="eastAsia"/>
                <w:sz w:val="18"/>
                <w:szCs w:val="18"/>
              </w:rPr>
              <w:t>40</w:t>
            </w:r>
          </w:p>
        </w:tc>
        <w:tc>
          <w:tcPr>
            <w:tcW w:w="454" w:type="dxa"/>
            <w:tcBorders>
              <w:top w:val="single" w:sz="12" w:space="0" w:color="auto"/>
            </w:tcBorders>
            <w:noWrap/>
            <w:vAlign w:val="center"/>
          </w:tcPr>
          <w:p w14:paraId="6B1B34F4" w14:textId="77777777" w:rsidR="00D170E5" w:rsidRPr="002B55E9" w:rsidRDefault="00EF27AD">
            <w:pPr>
              <w:widowControl/>
              <w:jc w:val="center"/>
              <w:rPr>
                <w:sz w:val="18"/>
                <w:szCs w:val="18"/>
              </w:rPr>
            </w:pPr>
            <w:r w:rsidRPr="002B55E9">
              <w:rPr>
                <w:rFonts w:hint="eastAsia"/>
                <w:sz w:val="18"/>
                <w:szCs w:val="18"/>
              </w:rPr>
              <w:t>10</w:t>
            </w:r>
          </w:p>
        </w:tc>
        <w:tc>
          <w:tcPr>
            <w:tcW w:w="757" w:type="dxa"/>
            <w:tcBorders>
              <w:top w:val="single" w:sz="12" w:space="0" w:color="auto"/>
            </w:tcBorders>
            <w:noWrap/>
            <w:vAlign w:val="center"/>
          </w:tcPr>
          <w:p w14:paraId="0DCB694F" w14:textId="77777777" w:rsidR="00D170E5" w:rsidRPr="002B55E9" w:rsidRDefault="00EF27AD">
            <w:pPr>
              <w:widowControl/>
              <w:jc w:val="center"/>
              <w:rPr>
                <w:sz w:val="18"/>
                <w:szCs w:val="18"/>
              </w:rPr>
            </w:pPr>
            <w:r w:rsidRPr="002B55E9">
              <w:rPr>
                <w:rFonts w:hint="eastAsia"/>
                <w:sz w:val="18"/>
                <w:szCs w:val="18"/>
              </w:rPr>
              <w:t>5</w:t>
            </w:r>
          </w:p>
        </w:tc>
        <w:tc>
          <w:tcPr>
            <w:tcW w:w="757" w:type="dxa"/>
            <w:tcBorders>
              <w:top w:val="single" w:sz="12" w:space="0" w:color="auto"/>
            </w:tcBorders>
            <w:noWrap/>
            <w:vAlign w:val="center"/>
          </w:tcPr>
          <w:p w14:paraId="4F93A822" w14:textId="77777777" w:rsidR="00D170E5" w:rsidRPr="002B55E9" w:rsidRDefault="00EF27AD">
            <w:pPr>
              <w:widowControl/>
              <w:jc w:val="center"/>
              <w:rPr>
                <w:sz w:val="18"/>
                <w:szCs w:val="18"/>
              </w:rPr>
            </w:pPr>
            <w:r w:rsidRPr="002B55E9">
              <w:rPr>
                <w:sz w:val="18"/>
                <w:szCs w:val="18"/>
              </w:rPr>
              <w:t>56</w:t>
            </w:r>
          </w:p>
        </w:tc>
        <w:tc>
          <w:tcPr>
            <w:tcW w:w="605" w:type="dxa"/>
            <w:vMerge w:val="restart"/>
            <w:tcBorders>
              <w:top w:val="single" w:sz="12" w:space="0" w:color="auto"/>
            </w:tcBorders>
            <w:vAlign w:val="center"/>
          </w:tcPr>
          <w:p w14:paraId="6EA5EF2C" w14:textId="77777777" w:rsidR="00D170E5" w:rsidRPr="002B55E9" w:rsidRDefault="00EF27AD">
            <w:pPr>
              <w:widowControl/>
              <w:jc w:val="center"/>
              <w:rPr>
                <w:sz w:val="18"/>
                <w:szCs w:val="18"/>
              </w:rPr>
            </w:pPr>
            <w:r w:rsidRPr="002B55E9">
              <w:rPr>
                <w:rFonts w:hint="eastAsia"/>
                <w:sz w:val="18"/>
                <w:szCs w:val="18"/>
              </w:rPr>
              <w:t>0:00</w:t>
            </w:r>
            <w:r w:rsidRPr="002B55E9">
              <w:rPr>
                <w:sz w:val="18"/>
                <w:szCs w:val="18"/>
              </w:rPr>
              <w:t>~24</w:t>
            </w:r>
            <w:r w:rsidRPr="002B55E9">
              <w:rPr>
                <w:rFonts w:hint="eastAsia"/>
                <w:sz w:val="18"/>
                <w:szCs w:val="18"/>
              </w:rPr>
              <w:t>:00</w:t>
            </w:r>
          </w:p>
        </w:tc>
        <w:tc>
          <w:tcPr>
            <w:tcW w:w="756" w:type="dxa"/>
            <w:tcBorders>
              <w:top w:val="single" w:sz="12" w:space="0" w:color="auto"/>
            </w:tcBorders>
            <w:noWrap/>
            <w:vAlign w:val="center"/>
          </w:tcPr>
          <w:p w14:paraId="6ED56E7B" w14:textId="77777777" w:rsidR="00D170E5" w:rsidRPr="002B55E9" w:rsidRDefault="00EF27AD">
            <w:pPr>
              <w:widowControl/>
              <w:jc w:val="center"/>
              <w:rPr>
                <w:sz w:val="18"/>
                <w:szCs w:val="18"/>
              </w:rPr>
            </w:pPr>
            <w:r w:rsidRPr="002B55E9">
              <w:rPr>
                <w:rFonts w:hint="eastAsia"/>
                <w:sz w:val="18"/>
                <w:szCs w:val="18"/>
              </w:rPr>
              <w:t>20</w:t>
            </w:r>
          </w:p>
        </w:tc>
        <w:tc>
          <w:tcPr>
            <w:tcW w:w="605" w:type="dxa"/>
            <w:tcBorders>
              <w:top w:val="single" w:sz="12" w:space="0" w:color="auto"/>
            </w:tcBorders>
            <w:noWrap/>
            <w:vAlign w:val="center"/>
          </w:tcPr>
          <w:p w14:paraId="0CFC5C7F" w14:textId="77777777" w:rsidR="00D170E5" w:rsidRPr="002B55E9" w:rsidRDefault="00EF27AD">
            <w:pPr>
              <w:widowControl/>
              <w:jc w:val="center"/>
              <w:rPr>
                <w:sz w:val="18"/>
                <w:szCs w:val="18"/>
              </w:rPr>
            </w:pPr>
            <w:r w:rsidRPr="002B55E9">
              <w:rPr>
                <w:rFonts w:hint="eastAsia"/>
                <w:sz w:val="18"/>
                <w:szCs w:val="18"/>
              </w:rPr>
              <w:t>30</w:t>
            </w:r>
          </w:p>
        </w:tc>
        <w:tc>
          <w:tcPr>
            <w:tcW w:w="634" w:type="dxa"/>
            <w:tcBorders>
              <w:top w:val="single" w:sz="12" w:space="0" w:color="auto"/>
            </w:tcBorders>
            <w:noWrap/>
            <w:vAlign w:val="center"/>
          </w:tcPr>
          <w:p w14:paraId="487538B2" w14:textId="77777777" w:rsidR="00D170E5" w:rsidRPr="002B55E9" w:rsidRDefault="00EF27AD">
            <w:pPr>
              <w:widowControl/>
              <w:jc w:val="center"/>
              <w:rPr>
                <w:sz w:val="18"/>
                <w:szCs w:val="18"/>
              </w:rPr>
            </w:pPr>
            <w:r w:rsidRPr="002B55E9">
              <w:rPr>
                <w:sz w:val="18"/>
                <w:szCs w:val="18"/>
              </w:rPr>
              <w:t>1m</w:t>
            </w:r>
          </w:p>
        </w:tc>
      </w:tr>
      <w:tr w:rsidR="002B55E9" w:rsidRPr="002B55E9" w14:paraId="63B0557A" w14:textId="77777777">
        <w:trPr>
          <w:trHeight w:val="270"/>
          <w:jc w:val="center"/>
        </w:trPr>
        <w:tc>
          <w:tcPr>
            <w:tcW w:w="371" w:type="dxa"/>
            <w:noWrap/>
            <w:vAlign w:val="center"/>
          </w:tcPr>
          <w:p w14:paraId="0DE8DF38" w14:textId="77777777" w:rsidR="00D170E5" w:rsidRPr="002B55E9" w:rsidRDefault="00EF27AD">
            <w:pPr>
              <w:widowControl/>
              <w:jc w:val="center"/>
              <w:rPr>
                <w:sz w:val="18"/>
                <w:szCs w:val="18"/>
              </w:rPr>
            </w:pPr>
            <w:r w:rsidRPr="002B55E9">
              <w:rPr>
                <w:rFonts w:hint="eastAsia"/>
                <w:sz w:val="18"/>
                <w:szCs w:val="18"/>
              </w:rPr>
              <w:t>2</w:t>
            </w:r>
          </w:p>
        </w:tc>
        <w:tc>
          <w:tcPr>
            <w:tcW w:w="513" w:type="dxa"/>
            <w:vMerge/>
            <w:vAlign w:val="center"/>
          </w:tcPr>
          <w:p w14:paraId="39C817E6" w14:textId="77777777" w:rsidR="00D170E5" w:rsidRPr="002B55E9" w:rsidRDefault="00D170E5">
            <w:pPr>
              <w:widowControl/>
              <w:jc w:val="center"/>
              <w:rPr>
                <w:sz w:val="18"/>
                <w:szCs w:val="18"/>
              </w:rPr>
            </w:pPr>
          </w:p>
        </w:tc>
        <w:tc>
          <w:tcPr>
            <w:tcW w:w="956" w:type="dxa"/>
            <w:noWrap/>
            <w:vAlign w:val="center"/>
          </w:tcPr>
          <w:p w14:paraId="4C49A101" w14:textId="77777777" w:rsidR="00D170E5" w:rsidRPr="002B55E9" w:rsidRDefault="00EF27AD">
            <w:pPr>
              <w:widowControl/>
              <w:jc w:val="center"/>
              <w:rPr>
                <w:sz w:val="18"/>
                <w:szCs w:val="18"/>
              </w:rPr>
            </w:pPr>
            <w:r w:rsidRPr="002B55E9">
              <w:rPr>
                <w:rFonts w:hint="eastAsia"/>
                <w:sz w:val="18"/>
                <w:szCs w:val="18"/>
              </w:rPr>
              <w:t>过滤机</w:t>
            </w:r>
          </w:p>
        </w:tc>
        <w:tc>
          <w:tcPr>
            <w:tcW w:w="1286" w:type="dxa"/>
            <w:noWrap/>
            <w:vAlign w:val="center"/>
          </w:tcPr>
          <w:p w14:paraId="3FB28405" w14:textId="77777777" w:rsidR="00D170E5" w:rsidRPr="002B55E9" w:rsidRDefault="00EF27AD">
            <w:pPr>
              <w:widowControl/>
              <w:jc w:val="center"/>
              <w:rPr>
                <w:sz w:val="18"/>
                <w:szCs w:val="18"/>
              </w:rPr>
            </w:pPr>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vAlign w:val="center"/>
          </w:tcPr>
          <w:p w14:paraId="3E7F99CB" w14:textId="77777777" w:rsidR="00D170E5" w:rsidRPr="002B55E9" w:rsidRDefault="00EF27AD">
            <w:pPr>
              <w:widowControl/>
              <w:jc w:val="center"/>
              <w:rPr>
                <w:sz w:val="18"/>
                <w:szCs w:val="18"/>
              </w:rPr>
            </w:pPr>
            <w:r w:rsidRPr="002B55E9">
              <w:rPr>
                <w:rFonts w:hint="eastAsia"/>
                <w:sz w:val="18"/>
                <w:szCs w:val="18"/>
              </w:rPr>
              <w:t>选用</w:t>
            </w:r>
            <w:r w:rsidRPr="002B55E9">
              <w:rPr>
                <w:sz w:val="18"/>
                <w:szCs w:val="18"/>
              </w:rPr>
              <w:t>低噪声设备、墙体隔声</w:t>
            </w:r>
          </w:p>
        </w:tc>
        <w:tc>
          <w:tcPr>
            <w:tcW w:w="364" w:type="dxa"/>
            <w:noWrap/>
            <w:vAlign w:val="center"/>
          </w:tcPr>
          <w:p w14:paraId="403BE2C1" w14:textId="77777777" w:rsidR="00D170E5" w:rsidRPr="002B55E9" w:rsidRDefault="00EF27AD">
            <w:pPr>
              <w:widowControl/>
              <w:jc w:val="center"/>
              <w:rPr>
                <w:sz w:val="18"/>
                <w:szCs w:val="18"/>
              </w:rPr>
            </w:pPr>
            <w:r w:rsidRPr="002B55E9">
              <w:rPr>
                <w:rFonts w:hint="eastAsia"/>
                <w:sz w:val="18"/>
                <w:szCs w:val="18"/>
              </w:rPr>
              <w:t>108</w:t>
            </w:r>
          </w:p>
        </w:tc>
        <w:tc>
          <w:tcPr>
            <w:tcW w:w="393" w:type="dxa"/>
            <w:noWrap/>
            <w:vAlign w:val="center"/>
          </w:tcPr>
          <w:p w14:paraId="5476D011" w14:textId="77777777" w:rsidR="00D170E5" w:rsidRPr="002B55E9" w:rsidRDefault="00EF27AD">
            <w:pPr>
              <w:widowControl/>
              <w:jc w:val="center"/>
              <w:rPr>
                <w:sz w:val="18"/>
                <w:szCs w:val="18"/>
              </w:rPr>
            </w:pPr>
            <w:r w:rsidRPr="002B55E9">
              <w:rPr>
                <w:rFonts w:hint="eastAsia"/>
                <w:sz w:val="18"/>
                <w:szCs w:val="18"/>
              </w:rPr>
              <w:t>24</w:t>
            </w:r>
          </w:p>
        </w:tc>
        <w:tc>
          <w:tcPr>
            <w:tcW w:w="454" w:type="dxa"/>
            <w:noWrap/>
            <w:vAlign w:val="center"/>
          </w:tcPr>
          <w:p w14:paraId="6D1900BA"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733DD6A1" w14:textId="77777777" w:rsidR="00D170E5" w:rsidRPr="002B55E9" w:rsidRDefault="00EF27AD">
            <w:pPr>
              <w:widowControl/>
              <w:jc w:val="center"/>
              <w:rPr>
                <w:sz w:val="18"/>
                <w:szCs w:val="18"/>
              </w:rPr>
            </w:pPr>
            <w:r w:rsidRPr="002B55E9">
              <w:rPr>
                <w:rFonts w:hint="eastAsia"/>
                <w:sz w:val="18"/>
                <w:szCs w:val="18"/>
              </w:rPr>
              <w:t>9</w:t>
            </w:r>
          </w:p>
        </w:tc>
        <w:tc>
          <w:tcPr>
            <w:tcW w:w="757" w:type="dxa"/>
            <w:noWrap/>
            <w:vAlign w:val="center"/>
          </w:tcPr>
          <w:p w14:paraId="265FD075" w14:textId="77777777" w:rsidR="00D170E5" w:rsidRPr="002B55E9" w:rsidRDefault="00EF27AD">
            <w:pPr>
              <w:widowControl/>
              <w:jc w:val="center"/>
              <w:rPr>
                <w:sz w:val="18"/>
                <w:szCs w:val="18"/>
              </w:rPr>
            </w:pPr>
            <w:r w:rsidRPr="002B55E9">
              <w:rPr>
                <w:rFonts w:hint="eastAsia"/>
                <w:sz w:val="18"/>
                <w:szCs w:val="18"/>
              </w:rPr>
              <w:t>46</w:t>
            </w:r>
          </w:p>
        </w:tc>
        <w:tc>
          <w:tcPr>
            <w:tcW w:w="605" w:type="dxa"/>
            <w:vMerge/>
            <w:vAlign w:val="center"/>
          </w:tcPr>
          <w:p w14:paraId="44CCD69F" w14:textId="77777777" w:rsidR="00D170E5" w:rsidRPr="002B55E9" w:rsidRDefault="00D170E5">
            <w:pPr>
              <w:widowControl/>
              <w:jc w:val="center"/>
              <w:rPr>
                <w:sz w:val="18"/>
                <w:szCs w:val="18"/>
              </w:rPr>
            </w:pPr>
          </w:p>
        </w:tc>
        <w:tc>
          <w:tcPr>
            <w:tcW w:w="756" w:type="dxa"/>
            <w:noWrap/>
            <w:vAlign w:val="center"/>
          </w:tcPr>
          <w:p w14:paraId="01525B7F" w14:textId="77777777" w:rsidR="00D170E5" w:rsidRPr="002B55E9" w:rsidRDefault="00EF27AD">
            <w:pPr>
              <w:widowControl/>
              <w:jc w:val="center"/>
              <w:rPr>
                <w:sz w:val="18"/>
                <w:szCs w:val="18"/>
              </w:rPr>
            </w:pPr>
            <w:r w:rsidRPr="002B55E9">
              <w:rPr>
                <w:rFonts w:hint="eastAsia"/>
                <w:sz w:val="18"/>
                <w:szCs w:val="18"/>
              </w:rPr>
              <w:t>20</w:t>
            </w:r>
          </w:p>
        </w:tc>
        <w:tc>
          <w:tcPr>
            <w:tcW w:w="605" w:type="dxa"/>
            <w:noWrap/>
            <w:vAlign w:val="center"/>
          </w:tcPr>
          <w:p w14:paraId="4F8CC06C" w14:textId="77777777" w:rsidR="00D170E5" w:rsidRPr="002B55E9" w:rsidRDefault="00EF27AD">
            <w:pPr>
              <w:widowControl/>
              <w:jc w:val="center"/>
              <w:rPr>
                <w:sz w:val="18"/>
                <w:szCs w:val="18"/>
              </w:rPr>
            </w:pPr>
            <w:r w:rsidRPr="002B55E9">
              <w:rPr>
                <w:rFonts w:hint="eastAsia"/>
                <w:sz w:val="18"/>
                <w:szCs w:val="18"/>
              </w:rPr>
              <w:t>19</w:t>
            </w:r>
          </w:p>
        </w:tc>
        <w:tc>
          <w:tcPr>
            <w:tcW w:w="634" w:type="dxa"/>
            <w:noWrap/>
            <w:vAlign w:val="center"/>
          </w:tcPr>
          <w:p w14:paraId="65BECC4B" w14:textId="77777777" w:rsidR="00D170E5" w:rsidRPr="002B55E9" w:rsidRDefault="00EF27AD">
            <w:pPr>
              <w:widowControl/>
              <w:jc w:val="center"/>
              <w:rPr>
                <w:sz w:val="18"/>
                <w:szCs w:val="18"/>
              </w:rPr>
            </w:pPr>
            <w:r w:rsidRPr="002B55E9">
              <w:rPr>
                <w:sz w:val="18"/>
                <w:szCs w:val="18"/>
              </w:rPr>
              <w:t>1m</w:t>
            </w:r>
          </w:p>
        </w:tc>
      </w:tr>
      <w:tr w:rsidR="002B55E9" w:rsidRPr="002B55E9" w14:paraId="5C452DF6" w14:textId="77777777">
        <w:trPr>
          <w:trHeight w:val="270"/>
          <w:jc w:val="center"/>
        </w:trPr>
        <w:tc>
          <w:tcPr>
            <w:tcW w:w="371" w:type="dxa"/>
            <w:noWrap/>
            <w:vAlign w:val="center"/>
          </w:tcPr>
          <w:p w14:paraId="7ECC094D" w14:textId="77777777" w:rsidR="00D170E5" w:rsidRPr="002B55E9" w:rsidRDefault="00EF27AD">
            <w:pPr>
              <w:widowControl/>
              <w:jc w:val="center"/>
              <w:rPr>
                <w:sz w:val="18"/>
                <w:szCs w:val="18"/>
              </w:rPr>
            </w:pPr>
            <w:r w:rsidRPr="002B55E9">
              <w:rPr>
                <w:rFonts w:hint="eastAsia"/>
                <w:sz w:val="18"/>
                <w:szCs w:val="18"/>
              </w:rPr>
              <w:t>3</w:t>
            </w:r>
          </w:p>
        </w:tc>
        <w:tc>
          <w:tcPr>
            <w:tcW w:w="513" w:type="dxa"/>
            <w:vMerge/>
            <w:vAlign w:val="center"/>
          </w:tcPr>
          <w:p w14:paraId="748DC2F5" w14:textId="77777777" w:rsidR="00D170E5" w:rsidRPr="002B55E9" w:rsidRDefault="00D170E5">
            <w:pPr>
              <w:widowControl/>
              <w:jc w:val="center"/>
              <w:rPr>
                <w:sz w:val="18"/>
                <w:szCs w:val="18"/>
              </w:rPr>
            </w:pPr>
          </w:p>
        </w:tc>
        <w:tc>
          <w:tcPr>
            <w:tcW w:w="956" w:type="dxa"/>
            <w:noWrap/>
            <w:vAlign w:val="center"/>
          </w:tcPr>
          <w:p w14:paraId="7D7D3819" w14:textId="77777777" w:rsidR="00D170E5" w:rsidRPr="002B55E9" w:rsidRDefault="00EF27AD">
            <w:pPr>
              <w:widowControl/>
              <w:jc w:val="center"/>
              <w:rPr>
                <w:sz w:val="18"/>
                <w:szCs w:val="18"/>
              </w:rPr>
            </w:pPr>
            <w:r w:rsidRPr="002B55E9">
              <w:rPr>
                <w:rFonts w:hint="eastAsia"/>
                <w:sz w:val="18"/>
                <w:szCs w:val="18"/>
              </w:rPr>
              <w:t>过滤机</w:t>
            </w:r>
          </w:p>
        </w:tc>
        <w:tc>
          <w:tcPr>
            <w:tcW w:w="1286" w:type="dxa"/>
            <w:noWrap/>
            <w:vAlign w:val="center"/>
          </w:tcPr>
          <w:p w14:paraId="47DE041A" w14:textId="77777777" w:rsidR="00D170E5" w:rsidRPr="002B55E9" w:rsidRDefault="00EF27AD">
            <w:pPr>
              <w:widowControl/>
              <w:jc w:val="center"/>
              <w:rPr>
                <w:sz w:val="18"/>
                <w:szCs w:val="18"/>
              </w:rPr>
            </w:pPr>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2B503E60"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4075B60D" w14:textId="77777777" w:rsidR="00D170E5" w:rsidRPr="002B55E9" w:rsidRDefault="00EF27AD">
            <w:pPr>
              <w:widowControl/>
              <w:jc w:val="center"/>
              <w:rPr>
                <w:sz w:val="18"/>
                <w:szCs w:val="18"/>
              </w:rPr>
            </w:pPr>
            <w:r w:rsidRPr="002B55E9">
              <w:rPr>
                <w:rFonts w:hint="eastAsia"/>
                <w:sz w:val="18"/>
                <w:szCs w:val="18"/>
              </w:rPr>
              <w:t>108</w:t>
            </w:r>
          </w:p>
        </w:tc>
        <w:tc>
          <w:tcPr>
            <w:tcW w:w="393" w:type="dxa"/>
            <w:noWrap/>
            <w:vAlign w:val="center"/>
          </w:tcPr>
          <w:p w14:paraId="7ED5EE01" w14:textId="77777777" w:rsidR="00D170E5" w:rsidRPr="002B55E9" w:rsidRDefault="00EF27AD">
            <w:pPr>
              <w:widowControl/>
              <w:jc w:val="center"/>
              <w:rPr>
                <w:sz w:val="18"/>
                <w:szCs w:val="18"/>
              </w:rPr>
            </w:pPr>
            <w:r w:rsidRPr="002B55E9">
              <w:rPr>
                <w:rFonts w:hint="eastAsia"/>
                <w:sz w:val="18"/>
                <w:szCs w:val="18"/>
              </w:rPr>
              <w:t>28</w:t>
            </w:r>
          </w:p>
        </w:tc>
        <w:tc>
          <w:tcPr>
            <w:tcW w:w="454" w:type="dxa"/>
            <w:noWrap/>
            <w:vAlign w:val="center"/>
          </w:tcPr>
          <w:p w14:paraId="7018A208"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7C0D0EE7" w14:textId="77777777" w:rsidR="00D170E5" w:rsidRPr="002B55E9" w:rsidRDefault="00EF27AD">
            <w:pPr>
              <w:widowControl/>
              <w:jc w:val="center"/>
              <w:rPr>
                <w:sz w:val="18"/>
                <w:szCs w:val="18"/>
              </w:rPr>
            </w:pPr>
            <w:r w:rsidRPr="002B55E9">
              <w:rPr>
                <w:rFonts w:hint="eastAsia"/>
                <w:sz w:val="18"/>
                <w:szCs w:val="18"/>
              </w:rPr>
              <w:t>5</w:t>
            </w:r>
          </w:p>
        </w:tc>
        <w:tc>
          <w:tcPr>
            <w:tcW w:w="757" w:type="dxa"/>
            <w:noWrap/>
            <w:vAlign w:val="center"/>
          </w:tcPr>
          <w:p w14:paraId="1C01B9D1" w14:textId="77777777" w:rsidR="00D170E5" w:rsidRPr="002B55E9" w:rsidRDefault="00EF27AD">
            <w:pPr>
              <w:widowControl/>
              <w:jc w:val="center"/>
              <w:rPr>
                <w:sz w:val="18"/>
                <w:szCs w:val="18"/>
              </w:rPr>
            </w:pPr>
            <w:r w:rsidRPr="002B55E9">
              <w:rPr>
                <w:rFonts w:hint="eastAsia"/>
                <w:sz w:val="18"/>
                <w:szCs w:val="18"/>
              </w:rPr>
              <w:t>51</w:t>
            </w:r>
          </w:p>
        </w:tc>
        <w:tc>
          <w:tcPr>
            <w:tcW w:w="605" w:type="dxa"/>
            <w:vMerge/>
            <w:vAlign w:val="center"/>
          </w:tcPr>
          <w:p w14:paraId="0942512F" w14:textId="77777777" w:rsidR="00D170E5" w:rsidRPr="002B55E9" w:rsidRDefault="00D170E5">
            <w:pPr>
              <w:widowControl/>
              <w:jc w:val="center"/>
              <w:rPr>
                <w:sz w:val="18"/>
                <w:szCs w:val="18"/>
              </w:rPr>
            </w:pPr>
          </w:p>
        </w:tc>
        <w:tc>
          <w:tcPr>
            <w:tcW w:w="756" w:type="dxa"/>
            <w:noWrap/>
            <w:vAlign w:val="center"/>
          </w:tcPr>
          <w:p w14:paraId="50312BC6" w14:textId="77777777" w:rsidR="00D170E5" w:rsidRPr="002B55E9" w:rsidRDefault="00EF27AD">
            <w:pPr>
              <w:widowControl/>
              <w:jc w:val="center"/>
              <w:rPr>
                <w:sz w:val="18"/>
                <w:szCs w:val="18"/>
              </w:rPr>
            </w:pPr>
            <w:r w:rsidRPr="002B55E9">
              <w:rPr>
                <w:rFonts w:hint="eastAsia"/>
                <w:sz w:val="18"/>
                <w:szCs w:val="18"/>
              </w:rPr>
              <w:t>20</w:t>
            </w:r>
          </w:p>
        </w:tc>
        <w:tc>
          <w:tcPr>
            <w:tcW w:w="605" w:type="dxa"/>
            <w:noWrap/>
            <w:vAlign w:val="center"/>
          </w:tcPr>
          <w:p w14:paraId="09693183" w14:textId="77777777" w:rsidR="00D170E5" w:rsidRPr="002B55E9" w:rsidRDefault="00EF27AD">
            <w:pPr>
              <w:widowControl/>
              <w:jc w:val="center"/>
              <w:rPr>
                <w:sz w:val="18"/>
                <w:szCs w:val="18"/>
              </w:rPr>
            </w:pPr>
            <w:r w:rsidRPr="002B55E9">
              <w:rPr>
                <w:rFonts w:hint="eastAsia"/>
                <w:sz w:val="18"/>
                <w:szCs w:val="18"/>
              </w:rPr>
              <w:t>25</w:t>
            </w:r>
          </w:p>
        </w:tc>
        <w:tc>
          <w:tcPr>
            <w:tcW w:w="634" w:type="dxa"/>
            <w:noWrap/>
            <w:vAlign w:val="center"/>
          </w:tcPr>
          <w:p w14:paraId="239D1541" w14:textId="77777777" w:rsidR="00D170E5" w:rsidRPr="002B55E9" w:rsidRDefault="00EF27AD">
            <w:pPr>
              <w:widowControl/>
              <w:jc w:val="center"/>
              <w:rPr>
                <w:sz w:val="18"/>
                <w:szCs w:val="18"/>
              </w:rPr>
            </w:pPr>
            <w:r w:rsidRPr="002B55E9">
              <w:rPr>
                <w:sz w:val="18"/>
                <w:szCs w:val="18"/>
              </w:rPr>
              <w:t>1m</w:t>
            </w:r>
          </w:p>
        </w:tc>
      </w:tr>
      <w:tr w:rsidR="002B55E9" w:rsidRPr="002B55E9" w14:paraId="05C70DF7" w14:textId="77777777">
        <w:trPr>
          <w:trHeight w:val="270"/>
          <w:jc w:val="center"/>
        </w:trPr>
        <w:tc>
          <w:tcPr>
            <w:tcW w:w="371" w:type="dxa"/>
            <w:noWrap/>
            <w:vAlign w:val="center"/>
          </w:tcPr>
          <w:p w14:paraId="65011DEB" w14:textId="77777777" w:rsidR="00D170E5" w:rsidRPr="002B55E9" w:rsidRDefault="00EF27AD">
            <w:pPr>
              <w:widowControl/>
              <w:jc w:val="center"/>
              <w:rPr>
                <w:sz w:val="18"/>
                <w:szCs w:val="18"/>
              </w:rPr>
            </w:pPr>
            <w:r w:rsidRPr="002B55E9">
              <w:rPr>
                <w:rFonts w:hint="eastAsia"/>
                <w:sz w:val="18"/>
                <w:szCs w:val="18"/>
              </w:rPr>
              <w:t>4</w:t>
            </w:r>
          </w:p>
        </w:tc>
        <w:tc>
          <w:tcPr>
            <w:tcW w:w="513" w:type="dxa"/>
            <w:vMerge/>
            <w:vAlign w:val="center"/>
          </w:tcPr>
          <w:p w14:paraId="76E59B42" w14:textId="77777777" w:rsidR="00D170E5" w:rsidRPr="002B55E9" w:rsidRDefault="00D170E5">
            <w:pPr>
              <w:widowControl/>
              <w:jc w:val="center"/>
              <w:rPr>
                <w:sz w:val="18"/>
                <w:szCs w:val="18"/>
              </w:rPr>
            </w:pPr>
          </w:p>
        </w:tc>
        <w:tc>
          <w:tcPr>
            <w:tcW w:w="956" w:type="dxa"/>
            <w:noWrap/>
            <w:vAlign w:val="center"/>
          </w:tcPr>
          <w:p w14:paraId="6182197A" w14:textId="77777777" w:rsidR="00D170E5" w:rsidRPr="002B55E9" w:rsidRDefault="00EF27AD">
            <w:pPr>
              <w:widowControl/>
              <w:jc w:val="center"/>
              <w:rPr>
                <w:sz w:val="18"/>
                <w:szCs w:val="18"/>
              </w:rPr>
            </w:pPr>
            <w:r w:rsidRPr="002B55E9">
              <w:rPr>
                <w:rFonts w:hint="eastAsia"/>
                <w:sz w:val="18"/>
                <w:szCs w:val="18"/>
              </w:rPr>
              <w:t>过滤机</w:t>
            </w:r>
          </w:p>
        </w:tc>
        <w:tc>
          <w:tcPr>
            <w:tcW w:w="1286" w:type="dxa"/>
            <w:noWrap/>
            <w:vAlign w:val="center"/>
          </w:tcPr>
          <w:p w14:paraId="571849BE" w14:textId="77777777" w:rsidR="00D170E5" w:rsidRPr="002B55E9" w:rsidRDefault="00EF27AD">
            <w:pPr>
              <w:widowControl/>
              <w:jc w:val="center"/>
              <w:rPr>
                <w:sz w:val="18"/>
                <w:szCs w:val="18"/>
              </w:rPr>
            </w:pPr>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59D1D17E"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615EB5F3" w14:textId="77777777" w:rsidR="00D170E5" w:rsidRPr="002B55E9" w:rsidRDefault="00EF27AD">
            <w:pPr>
              <w:widowControl/>
              <w:jc w:val="center"/>
              <w:rPr>
                <w:sz w:val="18"/>
                <w:szCs w:val="18"/>
              </w:rPr>
            </w:pPr>
            <w:r w:rsidRPr="002B55E9">
              <w:rPr>
                <w:rFonts w:hint="eastAsia"/>
                <w:sz w:val="18"/>
                <w:szCs w:val="18"/>
              </w:rPr>
              <w:t>108</w:t>
            </w:r>
          </w:p>
        </w:tc>
        <w:tc>
          <w:tcPr>
            <w:tcW w:w="393" w:type="dxa"/>
            <w:noWrap/>
            <w:vAlign w:val="center"/>
          </w:tcPr>
          <w:p w14:paraId="097709B1" w14:textId="77777777" w:rsidR="00D170E5" w:rsidRPr="002B55E9" w:rsidRDefault="00EF27AD">
            <w:pPr>
              <w:widowControl/>
              <w:jc w:val="center"/>
              <w:rPr>
                <w:sz w:val="18"/>
                <w:szCs w:val="18"/>
              </w:rPr>
            </w:pPr>
            <w:r w:rsidRPr="002B55E9">
              <w:rPr>
                <w:rFonts w:hint="eastAsia"/>
                <w:sz w:val="18"/>
                <w:szCs w:val="18"/>
              </w:rPr>
              <w:t>32</w:t>
            </w:r>
          </w:p>
        </w:tc>
        <w:tc>
          <w:tcPr>
            <w:tcW w:w="454" w:type="dxa"/>
            <w:noWrap/>
            <w:vAlign w:val="center"/>
          </w:tcPr>
          <w:p w14:paraId="36BB79AF"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5137F2C2"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6A68E18D" w14:textId="77777777" w:rsidR="00D170E5" w:rsidRPr="002B55E9" w:rsidRDefault="00EF27AD">
            <w:pPr>
              <w:widowControl/>
              <w:jc w:val="center"/>
              <w:rPr>
                <w:sz w:val="18"/>
                <w:szCs w:val="18"/>
              </w:rPr>
            </w:pPr>
            <w:r w:rsidRPr="002B55E9">
              <w:rPr>
                <w:rFonts w:hint="eastAsia"/>
                <w:sz w:val="18"/>
                <w:szCs w:val="18"/>
              </w:rPr>
              <w:t>65</w:t>
            </w:r>
          </w:p>
        </w:tc>
        <w:tc>
          <w:tcPr>
            <w:tcW w:w="605" w:type="dxa"/>
            <w:vMerge/>
            <w:vAlign w:val="center"/>
          </w:tcPr>
          <w:p w14:paraId="54A1DFB3" w14:textId="77777777" w:rsidR="00D170E5" w:rsidRPr="002B55E9" w:rsidRDefault="00D170E5">
            <w:pPr>
              <w:widowControl/>
              <w:jc w:val="center"/>
              <w:rPr>
                <w:sz w:val="18"/>
                <w:szCs w:val="18"/>
              </w:rPr>
            </w:pPr>
          </w:p>
        </w:tc>
        <w:tc>
          <w:tcPr>
            <w:tcW w:w="756" w:type="dxa"/>
            <w:noWrap/>
            <w:vAlign w:val="center"/>
          </w:tcPr>
          <w:p w14:paraId="610FAB12" w14:textId="77777777" w:rsidR="00D170E5" w:rsidRPr="002B55E9" w:rsidRDefault="00EF27AD">
            <w:pPr>
              <w:widowControl/>
              <w:jc w:val="center"/>
              <w:rPr>
                <w:sz w:val="18"/>
                <w:szCs w:val="18"/>
              </w:rPr>
            </w:pPr>
            <w:r w:rsidRPr="002B55E9">
              <w:rPr>
                <w:rFonts w:hint="eastAsia"/>
                <w:sz w:val="18"/>
                <w:szCs w:val="18"/>
              </w:rPr>
              <w:t>20</w:t>
            </w:r>
          </w:p>
        </w:tc>
        <w:tc>
          <w:tcPr>
            <w:tcW w:w="605" w:type="dxa"/>
            <w:noWrap/>
            <w:vAlign w:val="center"/>
          </w:tcPr>
          <w:p w14:paraId="3122B199" w14:textId="77777777" w:rsidR="00D170E5" w:rsidRPr="002B55E9" w:rsidRDefault="00EF27AD">
            <w:pPr>
              <w:widowControl/>
              <w:jc w:val="center"/>
              <w:rPr>
                <w:sz w:val="18"/>
                <w:szCs w:val="18"/>
              </w:rPr>
            </w:pPr>
            <w:r w:rsidRPr="002B55E9">
              <w:rPr>
                <w:rFonts w:hint="eastAsia"/>
                <w:sz w:val="18"/>
                <w:szCs w:val="18"/>
              </w:rPr>
              <w:t>39</w:t>
            </w:r>
          </w:p>
        </w:tc>
        <w:tc>
          <w:tcPr>
            <w:tcW w:w="634" w:type="dxa"/>
            <w:noWrap/>
            <w:vAlign w:val="center"/>
          </w:tcPr>
          <w:p w14:paraId="1B040F2E" w14:textId="77777777" w:rsidR="00D170E5" w:rsidRPr="002B55E9" w:rsidRDefault="00EF27AD">
            <w:pPr>
              <w:widowControl/>
              <w:jc w:val="center"/>
              <w:rPr>
                <w:sz w:val="18"/>
                <w:szCs w:val="18"/>
              </w:rPr>
            </w:pPr>
            <w:r w:rsidRPr="002B55E9">
              <w:rPr>
                <w:sz w:val="18"/>
                <w:szCs w:val="18"/>
              </w:rPr>
              <w:t>1m</w:t>
            </w:r>
          </w:p>
        </w:tc>
      </w:tr>
      <w:tr w:rsidR="002B55E9" w:rsidRPr="002B55E9" w14:paraId="390CB9C0" w14:textId="77777777">
        <w:trPr>
          <w:trHeight w:val="270"/>
          <w:jc w:val="center"/>
        </w:trPr>
        <w:tc>
          <w:tcPr>
            <w:tcW w:w="371" w:type="dxa"/>
            <w:noWrap/>
            <w:vAlign w:val="center"/>
          </w:tcPr>
          <w:p w14:paraId="406F5D53" w14:textId="77777777" w:rsidR="00D170E5" w:rsidRPr="002B55E9" w:rsidRDefault="00EF27AD">
            <w:pPr>
              <w:widowControl/>
              <w:jc w:val="center"/>
              <w:rPr>
                <w:sz w:val="18"/>
                <w:szCs w:val="18"/>
              </w:rPr>
            </w:pPr>
            <w:r w:rsidRPr="002B55E9">
              <w:rPr>
                <w:rFonts w:hint="eastAsia"/>
                <w:sz w:val="18"/>
                <w:szCs w:val="18"/>
              </w:rPr>
              <w:t>5</w:t>
            </w:r>
          </w:p>
        </w:tc>
        <w:tc>
          <w:tcPr>
            <w:tcW w:w="513" w:type="dxa"/>
            <w:vMerge/>
            <w:vAlign w:val="center"/>
          </w:tcPr>
          <w:p w14:paraId="0B5C1385" w14:textId="77777777" w:rsidR="00D170E5" w:rsidRPr="002B55E9" w:rsidRDefault="00D170E5">
            <w:pPr>
              <w:widowControl/>
              <w:jc w:val="center"/>
              <w:rPr>
                <w:sz w:val="18"/>
                <w:szCs w:val="18"/>
              </w:rPr>
            </w:pPr>
          </w:p>
        </w:tc>
        <w:tc>
          <w:tcPr>
            <w:tcW w:w="956" w:type="dxa"/>
            <w:noWrap/>
            <w:vAlign w:val="center"/>
          </w:tcPr>
          <w:p w14:paraId="66658B0A" w14:textId="77777777" w:rsidR="00D170E5" w:rsidRPr="002B55E9" w:rsidRDefault="00EF27AD">
            <w:pPr>
              <w:widowControl/>
              <w:jc w:val="center"/>
              <w:rPr>
                <w:sz w:val="18"/>
                <w:szCs w:val="18"/>
              </w:rPr>
            </w:pPr>
            <w:r w:rsidRPr="002B55E9">
              <w:rPr>
                <w:rFonts w:hint="eastAsia"/>
                <w:sz w:val="18"/>
                <w:szCs w:val="18"/>
              </w:rPr>
              <w:t>压滤机</w:t>
            </w:r>
          </w:p>
        </w:tc>
        <w:tc>
          <w:tcPr>
            <w:tcW w:w="1286" w:type="dxa"/>
            <w:noWrap/>
            <w:vAlign w:val="center"/>
          </w:tcPr>
          <w:p w14:paraId="6093E189" w14:textId="77777777" w:rsidR="00D170E5" w:rsidRPr="002B55E9" w:rsidRDefault="00EF27AD">
            <w:pPr>
              <w:widowControl/>
              <w:jc w:val="center"/>
              <w:rPr>
                <w:sz w:val="18"/>
                <w:szCs w:val="18"/>
              </w:rPr>
            </w:pPr>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24403BFC"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4F49E5A6" w14:textId="77777777" w:rsidR="00D170E5" w:rsidRPr="002B55E9" w:rsidRDefault="00EF27AD">
            <w:pPr>
              <w:widowControl/>
              <w:jc w:val="center"/>
              <w:rPr>
                <w:sz w:val="18"/>
                <w:szCs w:val="18"/>
              </w:rPr>
            </w:pPr>
            <w:r w:rsidRPr="002B55E9">
              <w:rPr>
                <w:rFonts w:hint="eastAsia"/>
                <w:sz w:val="18"/>
                <w:szCs w:val="18"/>
              </w:rPr>
              <w:t>80</w:t>
            </w:r>
          </w:p>
        </w:tc>
        <w:tc>
          <w:tcPr>
            <w:tcW w:w="393" w:type="dxa"/>
            <w:noWrap/>
            <w:vAlign w:val="center"/>
          </w:tcPr>
          <w:p w14:paraId="60FBE67F" w14:textId="77777777" w:rsidR="00D170E5" w:rsidRPr="002B55E9" w:rsidRDefault="00EF27AD">
            <w:pPr>
              <w:widowControl/>
              <w:jc w:val="center"/>
              <w:rPr>
                <w:sz w:val="18"/>
                <w:szCs w:val="18"/>
              </w:rPr>
            </w:pPr>
            <w:r w:rsidRPr="002B55E9">
              <w:rPr>
                <w:rFonts w:hint="eastAsia"/>
                <w:sz w:val="18"/>
                <w:szCs w:val="18"/>
              </w:rPr>
              <w:t>5</w:t>
            </w:r>
          </w:p>
        </w:tc>
        <w:tc>
          <w:tcPr>
            <w:tcW w:w="454" w:type="dxa"/>
            <w:noWrap/>
            <w:vAlign w:val="center"/>
          </w:tcPr>
          <w:p w14:paraId="3AC68422" w14:textId="77777777" w:rsidR="00D170E5" w:rsidRPr="002B55E9" w:rsidRDefault="00EF27AD">
            <w:pPr>
              <w:widowControl/>
              <w:jc w:val="center"/>
              <w:rPr>
                <w:sz w:val="18"/>
                <w:szCs w:val="18"/>
              </w:rPr>
            </w:pPr>
            <w:r w:rsidRPr="002B55E9">
              <w:rPr>
                <w:rFonts w:hint="eastAsia"/>
                <w:sz w:val="18"/>
                <w:szCs w:val="18"/>
              </w:rPr>
              <w:t>7</w:t>
            </w:r>
          </w:p>
        </w:tc>
        <w:tc>
          <w:tcPr>
            <w:tcW w:w="757" w:type="dxa"/>
            <w:noWrap/>
            <w:vAlign w:val="center"/>
          </w:tcPr>
          <w:p w14:paraId="6CC7D8B3" w14:textId="77777777" w:rsidR="00D170E5" w:rsidRPr="002B55E9" w:rsidRDefault="00EF27AD">
            <w:pPr>
              <w:widowControl/>
              <w:jc w:val="center"/>
              <w:rPr>
                <w:sz w:val="18"/>
                <w:szCs w:val="18"/>
              </w:rPr>
            </w:pPr>
            <w:r w:rsidRPr="002B55E9">
              <w:rPr>
                <w:rFonts w:hint="eastAsia"/>
                <w:sz w:val="18"/>
                <w:szCs w:val="18"/>
              </w:rPr>
              <w:t>3</w:t>
            </w:r>
          </w:p>
        </w:tc>
        <w:tc>
          <w:tcPr>
            <w:tcW w:w="757" w:type="dxa"/>
            <w:noWrap/>
            <w:vAlign w:val="center"/>
          </w:tcPr>
          <w:p w14:paraId="49D14EC0" w14:textId="77777777" w:rsidR="00D170E5" w:rsidRPr="002B55E9" w:rsidRDefault="00EF27AD">
            <w:pPr>
              <w:widowControl/>
              <w:jc w:val="center"/>
              <w:rPr>
                <w:sz w:val="18"/>
                <w:szCs w:val="18"/>
              </w:rPr>
            </w:pPr>
            <w:r w:rsidRPr="002B55E9">
              <w:rPr>
                <w:rFonts w:hint="eastAsia"/>
                <w:sz w:val="18"/>
                <w:szCs w:val="18"/>
              </w:rPr>
              <w:t>60.5</w:t>
            </w:r>
          </w:p>
        </w:tc>
        <w:tc>
          <w:tcPr>
            <w:tcW w:w="605" w:type="dxa"/>
            <w:vMerge/>
            <w:vAlign w:val="center"/>
          </w:tcPr>
          <w:p w14:paraId="7DC7022C" w14:textId="77777777" w:rsidR="00D170E5" w:rsidRPr="002B55E9" w:rsidRDefault="00D170E5">
            <w:pPr>
              <w:widowControl/>
              <w:jc w:val="center"/>
              <w:rPr>
                <w:sz w:val="18"/>
                <w:szCs w:val="18"/>
              </w:rPr>
            </w:pPr>
          </w:p>
        </w:tc>
        <w:tc>
          <w:tcPr>
            <w:tcW w:w="756" w:type="dxa"/>
            <w:noWrap/>
            <w:vAlign w:val="center"/>
          </w:tcPr>
          <w:p w14:paraId="56AB5DCD" w14:textId="77777777" w:rsidR="00D170E5" w:rsidRPr="002B55E9" w:rsidRDefault="00EF27AD">
            <w:pPr>
              <w:widowControl/>
              <w:jc w:val="center"/>
              <w:rPr>
                <w:sz w:val="18"/>
                <w:szCs w:val="18"/>
              </w:rPr>
            </w:pPr>
            <w:r w:rsidRPr="002B55E9">
              <w:rPr>
                <w:rFonts w:hint="eastAsia"/>
                <w:sz w:val="18"/>
                <w:szCs w:val="18"/>
              </w:rPr>
              <w:t>20</w:t>
            </w:r>
          </w:p>
        </w:tc>
        <w:tc>
          <w:tcPr>
            <w:tcW w:w="605" w:type="dxa"/>
            <w:noWrap/>
            <w:vAlign w:val="center"/>
          </w:tcPr>
          <w:p w14:paraId="073A5938" w14:textId="77777777" w:rsidR="00D170E5" w:rsidRPr="002B55E9" w:rsidRDefault="00EF27AD">
            <w:pPr>
              <w:widowControl/>
              <w:jc w:val="center"/>
              <w:rPr>
                <w:sz w:val="18"/>
                <w:szCs w:val="18"/>
              </w:rPr>
            </w:pPr>
            <w:r w:rsidRPr="002B55E9">
              <w:rPr>
                <w:rFonts w:hint="eastAsia"/>
                <w:sz w:val="18"/>
                <w:szCs w:val="18"/>
              </w:rPr>
              <w:t>29.5</w:t>
            </w:r>
          </w:p>
        </w:tc>
        <w:tc>
          <w:tcPr>
            <w:tcW w:w="634" w:type="dxa"/>
            <w:noWrap/>
            <w:vAlign w:val="center"/>
          </w:tcPr>
          <w:p w14:paraId="647D615B" w14:textId="77777777" w:rsidR="00D170E5" w:rsidRPr="002B55E9" w:rsidRDefault="00EF27AD">
            <w:pPr>
              <w:jc w:val="center"/>
            </w:pPr>
            <w:r w:rsidRPr="002B55E9">
              <w:rPr>
                <w:sz w:val="18"/>
                <w:szCs w:val="18"/>
              </w:rPr>
              <w:t>1m</w:t>
            </w:r>
          </w:p>
        </w:tc>
      </w:tr>
      <w:tr w:rsidR="002B55E9" w:rsidRPr="002B55E9" w14:paraId="70678380" w14:textId="77777777">
        <w:trPr>
          <w:trHeight w:val="270"/>
          <w:jc w:val="center"/>
        </w:trPr>
        <w:tc>
          <w:tcPr>
            <w:tcW w:w="371" w:type="dxa"/>
            <w:noWrap/>
            <w:vAlign w:val="center"/>
          </w:tcPr>
          <w:p w14:paraId="383EBE7C" w14:textId="77777777" w:rsidR="00D170E5" w:rsidRPr="002B55E9" w:rsidRDefault="00EF27AD">
            <w:pPr>
              <w:widowControl/>
              <w:jc w:val="center"/>
              <w:rPr>
                <w:sz w:val="18"/>
                <w:szCs w:val="18"/>
              </w:rPr>
            </w:pPr>
            <w:r w:rsidRPr="002B55E9">
              <w:rPr>
                <w:rFonts w:hint="eastAsia"/>
                <w:sz w:val="18"/>
                <w:szCs w:val="18"/>
              </w:rPr>
              <w:t>6</w:t>
            </w:r>
          </w:p>
        </w:tc>
        <w:tc>
          <w:tcPr>
            <w:tcW w:w="513" w:type="dxa"/>
            <w:vMerge w:val="restart"/>
            <w:vAlign w:val="center"/>
          </w:tcPr>
          <w:p w14:paraId="5A1E7CAD" w14:textId="77777777" w:rsidR="00D170E5" w:rsidRPr="002B55E9" w:rsidRDefault="00EF27AD">
            <w:pPr>
              <w:widowControl/>
              <w:jc w:val="center"/>
              <w:rPr>
                <w:sz w:val="18"/>
                <w:szCs w:val="18"/>
              </w:rPr>
            </w:pPr>
            <w:r w:rsidRPr="002B55E9">
              <w:rPr>
                <w:rFonts w:hint="eastAsia"/>
                <w:sz w:val="18"/>
                <w:szCs w:val="18"/>
              </w:rPr>
              <w:t>十一</w:t>
            </w:r>
            <w:r w:rsidRPr="002B55E9">
              <w:rPr>
                <w:sz w:val="18"/>
                <w:szCs w:val="18"/>
              </w:rPr>
              <w:t>车间</w:t>
            </w:r>
          </w:p>
        </w:tc>
        <w:tc>
          <w:tcPr>
            <w:tcW w:w="956" w:type="dxa"/>
            <w:noWrap/>
            <w:vAlign w:val="center"/>
          </w:tcPr>
          <w:p w14:paraId="5EA1ECAF" w14:textId="77777777" w:rsidR="00D170E5" w:rsidRPr="002B55E9" w:rsidRDefault="00EF27AD">
            <w:pPr>
              <w:widowControl/>
              <w:jc w:val="center"/>
              <w:rPr>
                <w:sz w:val="18"/>
                <w:szCs w:val="18"/>
              </w:rPr>
            </w:pPr>
            <w:r w:rsidRPr="002B55E9">
              <w:rPr>
                <w:rFonts w:hint="eastAsia"/>
                <w:sz w:val="18"/>
                <w:szCs w:val="18"/>
              </w:rPr>
              <w:t>灌装机</w:t>
            </w:r>
          </w:p>
        </w:tc>
        <w:tc>
          <w:tcPr>
            <w:tcW w:w="1286" w:type="dxa"/>
            <w:noWrap/>
          </w:tcPr>
          <w:p w14:paraId="0501EEBD" w14:textId="77777777" w:rsidR="00D170E5" w:rsidRPr="002B55E9" w:rsidRDefault="00EF27AD">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3630711F"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7B708F65" w14:textId="77777777" w:rsidR="00D170E5" w:rsidRPr="002B55E9" w:rsidRDefault="00EF27AD">
            <w:pPr>
              <w:widowControl/>
              <w:jc w:val="center"/>
              <w:rPr>
                <w:sz w:val="18"/>
                <w:szCs w:val="18"/>
              </w:rPr>
            </w:pPr>
            <w:r w:rsidRPr="002B55E9">
              <w:rPr>
                <w:rFonts w:hint="eastAsia"/>
                <w:sz w:val="18"/>
                <w:szCs w:val="18"/>
              </w:rPr>
              <w:t>40</w:t>
            </w:r>
          </w:p>
        </w:tc>
        <w:tc>
          <w:tcPr>
            <w:tcW w:w="393" w:type="dxa"/>
            <w:noWrap/>
            <w:vAlign w:val="center"/>
          </w:tcPr>
          <w:p w14:paraId="283A0D6E" w14:textId="77777777" w:rsidR="00D170E5" w:rsidRPr="002B55E9" w:rsidRDefault="00EF27AD">
            <w:pPr>
              <w:widowControl/>
              <w:jc w:val="center"/>
              <w:rPr>
                <w:sz w:val="18"/>
                <w:szCs w:val="18"/>
              </w:rPr>
            </w:pPr>
            <w:r w:rsidRPr="002B55E9">
              <w:rPr>
                <w:rFonts w:hint="eastAsia"/>
                <w:sz w:val="18"/>
                <w:szCs w:val="18"/>
              </w:rPr>
              <w:t>56</w:t>
            </w:r>
          </w:p>
        </w:tc>
        <w:tc>
          <w:tcPr>
            <w:tcW w:w="454" w:type="dxa"/>
            <w:noWrap/>
            <w:vAlign w:val="center"/>
          </w:tcPr>
          <w:p w14:paraId="5621F2A0"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6F65D0C5" w14:textId="77777777" w:rsidR="00D170E5" w:rsidRPr="002B55E9" w:rsidRDefault="00EF27AD">
            <w:pPr>
              <w:widowControl/>
              <w:jc w:val="center"/>
              <w:rPr>
                <w:sz w:val="18"/>
                <w:szCs w:val="18"/>
              </w:rPr>
            </w:pPr>
            <w:r w:rsidRPr="002B55E9">
              <w:rPr>
                <w:rFonts w:hint="eastAsia"/>
                <w:sz w:val="18"/>
                <w:szCs w:val="18"/>
              </w:rPr>
              <w:t>30</w:t>
            </w:r>
          </w:p>
        </w:tc>
        <w:tc>
          <w:tcPr>
            <w:tcW w:w="757" w:type="dxa"/>
            <w:noWrap/>
            <w:vAlign w:val="center"/>
          </w:tcPr>
          <w:p w14:paraId="3006FDF1" w14:textId="77777777" w:rsidR="00D170E5" w:rsidRPr="002B55E9" w:rsidRDefault="00EF27AD">
            <w:pPr>
              <w:widowControl/>
              <w:jc w:val="center"/>
              <w:rPr>
                <w:sz w:val="18"/>
                <w:szCs w:val="18"/>
              </w:rPr>
            </w:pPr>
            <w:r w:rsidRPr="002B55E9">
              <w:rPr>
                <w:rFonts w:hint="eastAsia"/>
                <w:sz w:val="18"/>
                <w:szCs w:val="18"/>
              </w:rPr>
              <w:t>35.5</w:t>
            </w:r>
          </w:p>
        </w:tc>
        <w:tc>
          <w:tcPr>
            <w:tcW w:w="605" w:type="dxa"/>
            <w:vMerge/>
            <w:vAlign w:val="center"/>
          </w:tcPr>
          <w:p w14:paraId="1748E171" w14:textId="77777777" w:rsidR="00D170E5" w:rsidRPr="002B55E9" w:rsidRDefault="00D170E5">
            <w:pPr>
              <w:widowControl/>
              <w:jc w:val="center"/>
              <w:rPr>
                <w:sz w:val="18"/>
                <w:szCs w:val="18"/>
              </w:rPr>
            </w:pPr>
          </w:p>
        </w:tc>
        <w:tc>
          <w:tcPr>
            <w:tcW w:w="756" w:type="dxa"/>
            <w:noWrap/>
            <w:vAlign w:val="center"/>
          </w:tcPr>
          <w:p w14:paraId="61FD6C30" w14:textId="77777777" w:rsidR="00D170E5" w:rsidRPr="002B55E9" w:rsidRDefault="00EF27AD">
            <w:pPr>
              <w:jc w:val="center"/>
            </w:pPr>
            <w:r w:rsidRPr="002B55E9">
              <w:rPr>
                <w:rFonts w:hint="eastAsia"/>
                <w:sz w:val="18"/>
                <w:szCs w:val="18"/>
              </w:rPr>
              <w:t>20</w:t>
            </w:r>
          </w:p>
        </w:tc>
        <w:tc>
          <w:tcPr>
            <w:tcW w:w="605" w:type="dxa"/>
            <w:noWrap/>
            <w:vAlign w:val="center"/>
          </w:tcPr>
          <w:p w14:paraId="522C59DC" w14:textId="77777777" w:rsidR="00D170E5" w:rsidRPr="002B55E9" w:rsidRDefault="00EF27AD">
            <w:pPr>
              <w:widowControl/>
              <w:jc w:val="center"/>
              <w:rPr>
                <w:sz w:val="18"/>
                <w:szCs w:val="18"/>
              </w:rPr>
            </w:pPr>
            <w:r w:rsidRPr="002B55E9">
              <w:rPr>
                <w:rFonts w:hint="eastAsia"/>
                <w:sz w:val="18"/>
                <w:szCs w:val="18"/>
              </w:rPr>
              <w:t>9.5</w:t>
            </w:r>
          </w:p>
        </w:tc>
        <w:tc>
          <w:tcPr>
            <w:tcW w:w="634" w:type="dxa"/>
            <w:noWrap/>
            <w:vAlign w:val="center"/>
          </w:tcPr>
          <w:p w14:paraId="0A802065" w14:textId="77777777" w:rsidR="00D170E5" w:rsidRPr="002B55E9" w:rsidRDefault="00EF27AD">
            <w:pPr>
              <w:jc w:val="center"/>
            </w:pPr>
            <w:r w:rsidRPr="002B55E9">
              <w:rPr>
                <w:sz w:val="18"/>
                <w:szCs w:val="18"/>
              </w:rPr>
              <w:t>1m</w:t>
            </w:r>
          </w:p>
        </w:tc>
      </w:tr>
      <w:tr w:rsidR="002B55E9" w:rsidRPr="002B55E9" w14:paraId="10C31E83" w14:textId="77777777">
        <w:trPr>
          <w:trHeight w:val="270"/>
          <w:jc w:val="center"/>
        </w:trPr>
        <w:tc>
          <w:tcPr>
            <w:tcW w:w="371" w:type="dxa"/>
            <w:noWrap/>
            <w:vAlign w:val="center"/>
          </w:tcPr>
          <w:p w14:paraId="4E2CCA46" w14:textId="77777777" w:rsidR="00D170E5" w:rsidRPr="002B55E9" w:rsidRDefault="00EF27AD">
            <w:pPr>
              <w:widowControl/>
              <w:jc w:val="center"/>
              <w:rPr>
                <w:sz w:val="18"/>
                <w:szCs w:val="18"/>
              </w:rPr>
            </w:pPr>
            <w:r w:rsidRPr="002B55E9">
              <w:rPr>
                <w:rFonts w:hint="eastAsia"/>
                <w:sz w:val="18"/>
                <w:szCs w:val="18"/>
              </w:rPr>
              <w:t>7</w:t>
            </w:r>
          </w:p>
        </w:tc>
        <w:tc>
          <w:tcPr>
            <w:tcW w:w="513" w:type="dxa"/>
            <w:vMerge/>
            <w:vAlign w:val="center"/>
          </w:tcPr>
          <w:p w14:paraId="2758B42D" w14:textId="77777777" w:rsidR="00D170E5" w:rsidRPr="002B55E9" w:rsidRDefault="00D170E5">
            <w:pPr>
              <w:widowControl/>
              <w:jc w:val="center"/>
              <w:rPr>
                <w:sz w:val="18"/>
                <w:szCs w:val="18"/>
              </w:rPr>
            </w:pPr>
          </w:p>
        </w:tc>
        <w:tc>
          <w:tcPr>
            <w:tcW w:w="956" w:type="dxa"/>
            <w:noWrap/>
            <w:vAlign w:val="center"/>
          </w:tcPr>
          <w:p w14:paraId="1104E689" w14:textId="77777777" w:rsidR="00D170E5" w:rsidRPr="002B55E9" w:rsidRDefault="00EF27AD">
            <w:pPr>
              <w:widowControl/>
              <w:jc w:val="center"/>
              <w:rPr>
                <w:sz w:val="18"/>
                <w:szCs w:val="18"/>
              </w:rPr>
            </w:pPr>
            <w:r w:rsidRPr="002B55E9">
              <w:rPr>
                <w:rFonts w:hint="eastAsia"/>
                <w:sz w:val="18"/>
                <w:szCs w:val="18"/>
              </w:rPr>
              <w:t>灌装机</w:t>
            </w:r>
          </w:p>
        </w:tc>
        <w:tc>
          <w:tcPr>
            <w:tcW w:w="1286" w:type="dxa"/>
            <w:noWrap/>
          </w:tcPr>
          <w:p w14:paraId="040CD47D" w14:textId="77777777" w:rsidR="00D170E5" w:rsidRPr="002B55E9" w:rsidRDefault="00EF27AD">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7B407428"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72B51DEF" w14:textId="77777777" w:rsidR="00D170E5" w:rsidRPr="002B55E9" w:rsidRDefault="00EF27AD">
            <w:pPr>
              <w:widowControl/>
              <w:jc w:val="center"/>
              <w:rPr>
                <w:sz w:val="18"/>
                <w:szCs w:val="18"/>
              </w:rPr>
            </w:pPr>
            <w:r w:rsidRPr="002B55E9">
              <w:rPr>
                <w:rFonts w:hint="eastAsia"/>
                <w:sz w:val="18"/>
                <w:szCs w:val="18"/>
              </w:rPr>
              <w:t>40</w:t>
            </w:r>
          </w:p>
        </w:tc>
        <w:tc>
          <w:tcPr>
            <w:tcW w:w="393" w:type="dxa"/>
            <w:noWrap/>
            <w:vAlign w:val="center"/>
          </w:tcPr>
          <w:p w14:paraId="294A6052" w14:textId="77777777" w:rsidR="00D170E5" w:rsidRPr="002B55E9" w:rsidRDefault="00EF27AD">
            <w:pPr>
              <w:widowControl/>
              <w:jc w:val="center"/>
              <w:rPr>
                <w:sz w:val="18"/>
                <w:szCs w:val="18"/>
              </w:rPr>
            </w:pPr>
            <w:r w:rsidRPr="002B55E9">
              <w:rPr>
                <w:rFonts w:hint="eastAsia"/>
                <w:sz w:val="18"/>
                <w:szCs w:val="18"/>
              </w:rPr>
              <w:t>38</w:t>
            </w:r>
          </w:p>
        </w:tc>
        <w:tc>
          <w:tcPr>
            <w:tcW w:w="454" w:type="dxa"/>
            <w:noWrap/>
            <w:vAlign w:val="center"/>
          </w:tcPr>
          <w:p w14:paraId="255E056E"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2303060F" w14:textId="77777777" w:rsidR="00D170E5" w:rsidRPr="002B55E9" w:rsidRDefault="00EF27AD">
            <w:pPr>
              <w:widowControl/>
              <w:jc w:val="center"/>
              <w:rPr>
                <w:sz w:val="18"/>
                <w:szCs w:val="18"/>
              </w:rPr>
            </w:pPr>
            <w:r w:rsidRPr="002B55E9">
              <w:rPr>
                <w:rFonts w:hint="eastAsia"/>
                <w:sz w:val="18"/>
                <w:szCs w:val="18"/>
              </w:rPr>
              <w:t>30</w:t>
            </w:r>
          </w:p>
        </w:tc>
        <w:tc>
          <w:tcPr>
            <w:tcW w:w="757" w:type="dxa"/>
            <w:noWrap/>
            <w:vAlign w:val="center"/>
          </w:tcPr>
          <w:p w14:paraId="460C30A9" w14:textId="77777777" w:rsidR="00D170E5" w:rsidRPr="002B55E9" w:rsidRDefault="00EF27AD">
            <w:pPr>
              <w:widowControl/>
              <w:jc w:val="center"/>
              <w:rPr>
                <w:sz w:val="18"/>
                <w:szCs w:val="18"/>
              </w:rPr>
            </w:pPr>
            <w:r w:rsidRPr="002B55E9">
              <w:rPr>
                <w:rFonts w:hint="eastAsia"/>
                <w:sz w:val="18"/>
                <w:szCs w:val="18"/>
              </w:rPr>
              <w:t>35.5</w:t>
            </w:r>
          </w:p>
        </w:tc>
        <w:tc>
          <w:tcPr>
            <w:tcW w:w="605" w:type="dxa"/>
            <w:vMerge/>
            <w:vAlign w:val="center"/>
          </w:tcPr>
          <w:p w14:paraId="5CB39A9C" w14:textId="77777777" w:rsidR="00D170E5" w:rsidRPr="002B55E9" w:rsidRDefault="00D170E5">
            <w:pPr>
              <w:widowControl/>
              <w:jc w:val="center"/>
              <w:rPr>
                <w:sz w:val="18"/>
                <w:szCs w:val="18"/>
              </w:rPr>
            </w:pPr>
          </w:p>
        </w:tc>
        <w:tc>
          <w:tcPr>
            <w:tcW w:w="756" w:type="dxa"/>
            <w:noWrap/>
            <w:vAlign w:val="center"/>
          </w:tcPr>
          <w:p w14:paraId="713F3CFE" w14:textId="77777777" w:rsidR="00D170E5" w:rsidRPr="002B55E9" w:rsidRDefault="00EF27AD">
            <w:pPr>
              <w:jc w:val="center"/>
            </w:pPr>
            <w:r w:rsidRPr="002B55E9">
              <w:rPr>
                <w:rFonts w:hint="eastAsia"/>
                <w:sz w:val="18"/>
                <w:szCs w:val="18"/>
              </w:rPr>
              <w:t>20</w:t>
            </w:r>
          </w:p>
        </w:tc>
        <w:tc>
          <w:tcPr>
            <w:tcW w:w="605" w:type="dxa"/>
            <w:noWrap/>
            <w:vAlign w:val="center"/>
          </w:tcPr>
          <w:p w14:paraId="2213D2D0" w14:textId="77777777" w:rsidR="00D170E5" w:rsidRPr="002B55E9" w:rsidRDefault="00EF27AD">
            <w:pPr>
              <w:widowControl/>
              <w:jc w:val="center"/>
              <w:rPr>
                <w:sz w:val="18"/>
                <w:szCs w:val="18"/>
              </w:rPr>
            </w:pPr>
            <w:r w:rsidRPr="002B55E9">
              <w:rPr>
                <w:rFonts w:hint="eastAsia"/>
                <w:sz w:val="18"/>
                <w:szCs w:val="18"/>
              </w:rPr>
              <w:t>9.5</w:t>
            </w:r>
          </w:p>
        </w:tc>
        <w:tc>
          <w:tcPr>
            <w:tcW w:w="634" w:type="dxa"/>
            <w:noWrap/>
            <w:vAlign w:val="center"/>
          </w:tcPr>
          <w:p w14:paraId="6D8B36D3" w14:textId="77777777" w:rsidR="00D170E5" w:rsidRPr="002B55E9" w:rsidRDefault="00EF27AD">
            <w:pPr>
              <w:jc w:val="center"/>
            </w:pPr>
            <w:r w:rsidRPr="002B55E9">
              <w:rPr>
                <w:sz w:val="18"/>
                <w:szCs w:val="18"/>
              </w:rPr>
              <w:t>1m</w:t>
            </w:r>
          </w:p>
        </w:tc>
      </w:tr>
      <w:tr w:rsidR="002B55E9" w:rsidRPr="002B55E9" w14:paraId="16EB381A" w14:textId="77777777">
        <w:trPr>
          <w:trHeight w:val="270"/>
          <w:jc w:val="center"/>
        </w:trPr>
        <w:tc>
          <w:tcPr>
            <w:tcW w:w="371" w:type="dxa"/>
            <w:noWrap/>
            <w:vAlign w:val="center"/>
          </w:tcPr>
          <w:p w14:paraId="287643C2" w14:textId="77777777" w:rsidR="00D170E5" w:rsidRPr="002B55E9" w:rsidRDefault="00EF27AD">
            <w:pPr>
              <w:widowControl/>
              <w:jc w:val="center"/>
              <w:rPr>
                <w:sz w:val="18"/>
                <w:szCs w:val="18"/>
              </w:rPr>
            </w:pPr>
            <w:r w:rsidRPr="002B55E9">
              <w:rPr>
                <w:rFonts w:hint="eastAsia"/>
                <w:sz w:val="18"/>
                <w:szCs w:val="18"/>
              </w:rPr>
              <w:t>8</w:t>
            </w:r>
          </w:p>
        </w:tc>
        <w:tc>
          <w:tcPr>
            <w:tcW w:w="513" w:type="dxa"/>
            <w:vMerge/>
            <w:vAlign w:val="center"/>
          </w:tcPr>
          <w:p w14:paraId="5C123DD8" w14:textId="77777777" w:rsidR="00D170E5" w:rsidRPr="002B55E9" w:rsidRDefault="00D170E5">
            <w:pPr>
              <w:widowControl/>
              <w:jc w:val="center"/>
              <w:rPr>
                <w:sz w:val="18"/>
                <w:szCs w:val="18"/>
              </w:rPr>
            </w:pPr>
          </w:p>
        </w:tc>
        <w:tc>
          <w:tcPr>
            <w:tcW w:w="956" w:type="dxa"/>
            <w:noWrap/>
            <w:vAlign w:val="center"/>
          </w:tcPr>
          <w:p w14:paraId="42DB758A" w14:textId="77777777" w:rsidR="00D170E5" w:rsidRPr="002B55E9" w:rsidRDefault="00EF27AD">
            <w:pPr>
              <w:widowControl/>
              <w:jc w:val="center"/>
              <w:rPr>
                <w:sz w:val="18"/>
                <w:szCs w:val="18"/>
              </w:rPr>
            </w:pPr>
            <w:r w:rsidRPr="002B55E9">
              <w:rPr>
                <w:rFonts w:hint="eastAsia"/>
                <w:sz w:val="18"/>
                <w:szCs w:val="18"/>
              </w:rPr>
              <w:t>灌装机</w:t>
            </w:r>
          </w:p>
        </w:tc>
        <w:tc>
          <w:tcPr>
            <w:tcW w:w="1286" w:type="dxa"/>
            <w:noWrap/>
          </w:tcPr>
          <w:p w14:paraId="78390273" w14:textId="77777777" w:rsidR="00D170E5" w:rsidRPr="002B55E9" w:rsidRDefault="00EF27AD">
            <w:r w:rsidRPr="002B55E9">
              <w:rPr>
                <w:sz w:val="18"/>
                <w:szCs w:val="18"/>
              </w:rPr>
              <w:t>65dB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3E1FF561"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6B1570F6" w14:textId="77777777" w:rsidR="00D170E5" w:rsidRPr="002B55E9" w:rsidRDefault="00EF27AD">
            <w:pPr>
              <w:widowControl/>
              <w:jc w:val="center"/>
              <w:rPr>
                <w:sz w:val="18"/>
                <w:szCs w:val="18"/>
              </w:rPr>
            </w:pPr>
            <w:r w:rsidRPr="002B55E9">
              <w:rPr>
                <w:rFonts w:hint="eastAsia"/>
                <w:sz w:val="18"/>
                <w:szCs w:val="18"/>
              </w:rPr>
              <w:t>40</w:t>
            </w:r>
          </w:p>
        </w:tc>
        <w:tc>
          <w:tcPr>
            <w:tcW w:w="393" w:type="dxa"/>
            <w:noWrap/>
            <w:vAlign w:val="center"/>
          </w:tcPr>
          <w:p w14:paraId="309B8EB2" w14:textId="77777777" w:rsidR="00D170E5" w:rsidRPr="002B55E9" w:rsidRDefault="00EF27AD">
            <w:pPr>
              <w:widowControl/>
              <w:jc w:val="center"/>
              <w:rPr>
                <w:sz w:val="18"/>
                <w:szCs w:val="18"/>
              </w:rPr>
            </w:pPr>
            <w:r w:rsidRPr="002B55E9">
              <w:rPr>
                <w:rFonts w:hint="eastAsia"/>
                <w:sz w:val="18"/>
                <w:szCs w:val="18"/>
              </w:rPr>
              <w:t>30</w:t>
            </w:r>
          </w:p>
        </w:tc>
        <w:tc>
          <w:tcPr>
            <w:tcW w:w="454" w:type="dxa"/>
            <w:noWrap/>
            <w:vAlign w:val="center"/>
          </w:tcPr>
          <w:p w14:paraId="5ABE09EB"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478F729C" w14:textId="77777777" w:rsidR="00D170E5" w:rsidRPr="002B55E9" w:rsidRDefault="00EF27AD">
            <w:pPr>
              <w:widowControl/>
              <w:jc w:val="center"/>
              <w:rPr>
                <w:sz w:val="18"/>
                <w:szCs w:val="18"/>
              </w:rPr>
            </w:pPr>
            <w:r w:rsidRPr="002B55E9">
              <w:rPr>
                <w:rFonts w:hint="eastAsia"/>
                <w:sz w:val="18"/>
                <w:szCs w:val="18"/>
              </w:rPr>
              <w:t>30</w:t>
            </w:r>
          </w:p>
        </w:tc>
        <w:tc>
          <w:tcPr>
            <w:tcW w:w="757" w:type="dxa"/>
            <w:noWrap/>
            <w:vAlign w:val="center"/>
          </w:tcPr>
          <w:p w14:paraId="652C9646" w14:textId="77777777" w:rsidR="00D170E5" w:rsidRPr="002B55E9" w:rsidRDefault="00EF27AD">
            <w:pPr>
              <w:widowControl/>
              <w:jc w:val="center"/>
              <w:rPr>
                <w:sz w:val="18"/>
                <w:szCs w:val="18"/>
              </w:rPr>
            </w:pPr>
            <w:r w:rsidRPr="002B55E9">
              <w:rPr>
                <w:rFonts w:hint="eastAsia"/>
                <w:sz w:val="18"/>
                <w:szCs w:val="18"/>
              </w:rPr>
              <w:t>35.5</w:t>
            </w:r>
          </w:p>
        </w:tc>
        <w:tc>
          <w:tcPr>
            <w:tcW w:w="605" w:type="dxa"/>
            <w:vMerge/>
            <w:vAlign w:val="center"/>
          </w:tcPr>
          <w:p w14:paraId="7A8DDFD5" w14:textId="77777777" w:rsidR="00D170E5" w:rsidRPr="002B55E9" w:rsidRDefault="00D170E5">
            <w:pPr>
              <w:widowControl/>
              <w:jc w:val="center"/>
              <w:rPr>
                <w:sz w:val="18"/>
                <w:szCs w:val="18"/>
              </w:rPr>
            </w:pPr>
          </w:p>
        </w:tc>
        <w:tc>
          <w:tcPr>
            <w:tcW w:w="756" w:type="dxa"/>
            <w:noWrap/>
            <w:vAlign w:val="center"/>
          </w:tcPr>
          <w:p w14:paraId="2FD0D781" w14:textId="77777777" w:rsidR="00D170E5" w:rsidRPr="002B55E9" w:rsidRDefault="00EF27AD">
            <w:pPr>
              <w:jc w:val="center"/>
            </w:pPr>
            <w:r w:rsidRPr="002B55E9">
              <w:rPr>
                <w:rFonts w:hint="eastAsia"/>
                <w:sz w:val="18"/>
                <w:szCs w:val="18"/>
              </w:rPr>
              <w:t>20</w:t>
            </w:r>
          </w:p>
        </w:tc>
        <w:tc>
          <w:tcPr>
            <w:tcW w:w="605" w:type="dxa"/>
            <w:noWrap/>
            <w:vAlign w:val="center"/>
          </w:tcPr>
          <w:p w14:paraId="79E843B4" w14:textId="77777777" w:rsidR="00D170E5" w:rsidRPr="002B55E9" w:rsidRDefault="00EF27AD">
            <w:pPr>
              <w:widowControl/>
              <w:jc w:val="center"/>
              <w:rPr>
                <w:sz w:val="18"/>
                <w:szCs w:val="18"/>
              </w:rPr>
            </w:pPr>
            <w:r w:rsidRPr="002B55E9">
              <w:rPr>
                <w:rFonts w:hint="eastAsia"/>
                <w:sz w:val="18"/>
                <w:szCs w:val="18"/>
              </w:rPr>
              <w:t>9.5</w:t>
            </w:r>
          </w:p>
        </w:tc>
        <w:tc>
          <w:tcPr>
            <w:tcW w:w="634" w:type="dxa"/>
            <w:noWrap/>
            <w:vAlign w:val="center"/>
          </w:tcPr>
          <w:p w14:paraId="5E7A5A68" w14:textId="77777777" w:rsidR="00D170E5" w:rsidRPr="002B55E9" w:rsidRDefault="00EF27AD">
            <w:pPr>
              <w:jc w:val="center"/>
            </w:pPr>
            <w:r w:rsidRPr="002B55E9">
              <w:rPr>
                <w:sz w:val="18"/>
                <w:szCs w:val="18"/>
              </w:rPr>
              <w:t>1m</w:t>
            </w:r>
          </w:p>
        </w:tc>
      </w:tr>
      <w:tr w:rsidR="002B55E9" w:rsidRPr="002B55E9" w14:paraId="5A377CE0" w14:textId="77777777">
        <w:trPr>
          <w:trHeight w:val="270"/>
          <w:jc w:val="center"/>
        </w:trPr>
        <w:tc>
          <w:tcPr>
            <w:tcW w:w="371" w:type="dxa"/>
            <w:noWrap/>
            <w:vAlign w:val="center"/>
          </w:tcPr>
          <w:p w14:paraId="58D3FBA2" w14:textId="77777777" w:rsidR="00D170E5" w:rsidRPr="002B55E9" w:rsidRDefault="00EF27AD">
            <w:pPr>
              <w:widowControl/>
              <w:jc w:val="center"/>
              <w:rPr>
                <w:sz w:val="18"/>
                <w:szCs w:val="18"/>
              </w:rPr>
            </w:pPr>
            <w:r w:rsidRPr="002B55E9">
              <w:rPr>
                <w:rFonts w:hint="eastAsia"/>
                <w:sz w:val="18"/>
                <w:szCs w:val="18"/>
              </w:rPr>
              <w:t>9</w:t>
            </w:r>
          </w:p>
        </w:tc>
        <w:tc>
          <w:tcPr>
            <w:tcW w:w="513" w:type="dxa"/>
            <w:vMerge/>
            <w:vAlign w:val="center"/>
          </w:tcPr>
          <w:p w14:paraId="57696CE9" w14:textId="77777777" w:rsidR="00D170E5" w:rsidRPr="002B55E9" w:rsidRDefault="00D170E5">
            <w:pPr>
              <w:widowControl/>
              <w:jc w:val="center"/>
              <w:rPr>
                <w:sz w:val="18"/>
                <w:szCs w:val="18"/>
              </w:rPr>
            </w:pPr>
          </w:p>
        </w:tc>
        <w:tc>
          <w:tcPr>
            <w:tcW w:w="956" w:type="dxa"/>
            <w:noWrap/>
            <w:vAlign w:val="center"/>
          </w:tcPr>
          <w:p w14:paraId="0284188A" w14:textId="77777777" w:rsidR="00D170E5" w:rsidRPr="002B55E9" w:rsidRDefault="00EF27AD">
            <w:pPr>
              <w:widowControl/>
              <w:jc w:val="center"/>
              <w:rPr>
                <w:sz w:val="18"/>
                <w:szCs w:val="18"/>
              </w:rPr>
            </w:pPr>
            <w:r w:rsidRPr="002B55E9">
              <w:rPr>
                <w:rFonts w:hint="eastAsia"/>
                <w:sz w:val="18"/>
                <w:szCs w:val="18"/>
              </w:rPr>
              <w:t>冷水机</w:t>
            </w:r>
          </w:p>
        </w:tc>
        <w:tc>
          <w:tcPr>
            <w:tcW w:w="1286" w:type="dxa"/>
            <w:noWrap/>
            <w:vAlign w:val="center"/>
          </w:tcPr>
          <w:p w14:paraId="20AE1D35" w14:textId="77777777" w:rsidR="00D170E5" w:rsidRPr="002B55E9" w:rsidRDefault="00EF27AD">
            <w:pPr>
              <w:widowControl/>
              <w:jc w:val="center"/>
              <w:rPr>
                <w:sz w:val="18"/>
                <w:szCs w:val="18"/>
              </w:rPr>
            </w:pPr>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52A34123"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5C06C61D" w14:textId="77777777" w:rsidR="00D170E5" w:rsidRPr="002B55E9" w:rsidRDefault="00EF27AD">
            <w:pPr>
              <w:widowControl/>
              <w:jc w:val="center"/>
              <w:rPr>
                <w:sz w:val="18"/>
                <w:szCs w:val="18"/>
              </w:rPr>
            </w:pPr>
            <w:r w:rsidRPr="002B55E9">
              <w:rPr>
                <w:rFonts w:hint="eastAsia"/>
                <w:sz w:val="18"/>
                <w:szCs w:val="18"/>
              </w:rPr>
              <w:t>8</w:t>
            </w:r>
          </w:p>
        </w:tc>
        <w:tc>
          <w:tcPr>
            <w:tcW w:w="393" w:type="dxa"/>
            <w:noWrap/>
            <w:vAlign w:val="center"/>
          </w:tcPr>
          <w:p w14:paraId="0AEB1DAE" w14:textId="77777777" w:rsidR="00D170E5" w:rsidRPr="002B55E9" w:rsidRDefault="00EF27AD">
            <w:pPr>
              <w:widowControl/>
              <w:jc w:val="center"/>
              <w:rPr>
                <w:sz w:val="18"/>
                <w:szCs w:val="18"/>
              </w:rPr>
            </w:pPr>
            <w:r w:rsidRPr="002B55E9">
              <w:rPr>
                <w:rFonts w:hint="eastAsia"/>
                <w:sz w:val="18"/>
                <w:szCs w:val="18"/>
              </w:rPr>
              <w:t>70</w:t>
            </w:r>
          </w:p>
        </w:tc>
        <w:tc>
          <w:tcPr>
            <w:tcW w:w="454" w:type="dxa"/>
            <w:noWrap/>
            <w:vAlign w:val="center"/>
          </w:tcPr>
          <w:p w14:paraId="78DE5933"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0510F430" w14:textId="77777777" w:rsidR="00D170E5" w:rsidRPr="002B55E9" w:rsidRDefault="00EF27AD">
            <w:pPr>
              <w:widowControl/>
              <w:jc w:val="center"/>
              <w:rPr>
                <w:sz w:val="18"/>
                <w:szCs w:val="18"/>
              </w:rPr>
            </w:pPr>
            <w:r w:rsidRPr="002B55E9">
              <w:rPr>
                <w:rFonts w:hint="eastAsia"/>
                <w:sz w:val="18"/>
                <w:szCs w:val="18"/>
              </w:rPr>
              <w:t>3</w:t>
            </w:r>
          </w:p>
        </w:tc>
        <w:tc>
          <w:tcPr>
            <w:tcW w:w="757" w:type="dxa"/>
            <w:noWrap/>
            <w:vAlign w:val="center"/>
          </w:tcPr>
          <w:p w14:paraId="7674963F" w14:textId="77777777" w:rsidR="00D170E5" w:rsidRPr="002B55E9" w:rsidRDefault="00EF27AD">
            <w:pPr>
              <w:widowControl/>
              <w:jc w:val="center"/>
              <w:rPr>
                <w:sz w:val="18"/>
                <w:szCs w:val="18"/>
              </w:rPr>
            </w:pPr>
            <w:r w:rsidRPr="002B55E9">
              <w:rPr>
                <w:rFonts w:hint="eastAsia"/>
                <w:sz w:val="18"/>
                <w:szCs w:val="18"/>
              </w:rPr>
              <w:t>60</w:t>
            </w:r>
          </w:p>
        </w:tc>
        <w:tc>
          <w:tcPr>
            <w:tcW w:w="605" w:type="dxa"/>
            <w:vMerge/>
            <w:vAlign w:val="center"/>
          </w:tcPr>
          <w:p w14:paraId="71B4F3A8" w14:textId="77777777" w:rsidR="00D170E5" w:rsidRPr="002B55E9" w:rsidRDefault="00D170E5">
            <w:pPr>
              <w:widowControl/>
              <w:jc w:val="center"/>
              <w:rPr>
                <w:sz w:val="18"/>
                <w:szCs w:val="18"/>
              </w:rPr>
            </w:pPr>
          </w:p>
        </w:tc>
        <w:tc>
          <w:tcPr>
            <w:tcW w:w="756" w:type="dxa"/>
            <w:noWrap/>
            <w:vAlign w:val="center"/>
          </w:tcPr>
          <w:p w14:paraId="45F46F23" w14:textId="77777777" w:rsidR="00D170E5" w:rsidRPr="002B55E9" w:rsidRDefault="00EF27AD">
            <w:pPr>
              <w:jc w:val="center"/>
            </w:pPr>
            <w:r w:rsidRPr="002B55E9">
              <w:rPr>
                <w:rFonts w:hint="eastAsia"/>
                <w:sz w:val="18"/>
                <w:szCs w:val="18"/>
              </w:rPr>
              <w:t>20</w:t>
            </w:r>
          </w:p>
        </w:tc>
        <w:tc>
          <w:tcPr>
            <w:tcW w:w="605" w:type="dxa"/>
            <w:noWrap/>
            <w:vAlign w:val="center"/>
          </w:tcPr>
          <w:p w14:paraId="4D587C56" w14:textId="77777777" w:rsidR="00D170E5" w:rsidRPr="002B55E9" w:rsidRDefault="00EF27AD">
            <w:pPr>
              <w:widowControl/>
              <w:jc w:val="center"/>
              <w:rPr>
                <w:sz w:val="18"/>
                <w:szCs w:val="18"/>
              </w:rPr>
            </w:pPr>
            <w:r w:rsidRPr="002B55E9">
              <w:rPr>
                <w:rFonts w:hint="eastAsia"/>
                <w:sz w:val="18"/>
                <w:szCs w:val="18"/>
              </w:rPr>
              <w:t>34.5</w:t>
            </w:r>
          </w:p>
        </w:tc>
        <w:tc>
          <w:tcPr>
            <w:tcW w:w="634" w:type="dxa"/>
            <w:noWrap/>
            <w:vAlign w:val="center"/>
          </w:tcPr>
          <w:p w14:paraId="56A6DB4A" w14:textId="77777777" w:rsidR="00D170E5" w:rsidRPr="002B55E9" w:rsidRDefault="00EF27AD">
            <w:pPr>
              <w:jc w:val="center"/>
            </w:pPr>
            <w:r w:rsidRPr="002B55E9">
              <w:rPr>
                <w:sz w:val="18"/>
                <w:szCs w:val="18"/>
              </w:rPr>
              <w:t>1m</w:t>
            </w:r>
          </w:p>
        </w:tc>
      </w:tr>
      <w:tr w:rsidR="002B55E9" w:rsidRPr="002B55E9" w14:paraId="64188750" w14:textId="77777777">
        <w:trPr>
          <w:trHeight w:val="270"/>
          <w:jc w:val="center"/>
        </w:trPr>
        <w:tc>
          <w:tcPr>
            <w:tcW w:w="371" w:type="dxa"/>
            <w:noWrap/>
            <w:vAlign w:val="center"/>
          </w:tcPr>
          <w:p w14:paraId="1DBE72CC" w14:textId="77777777" w:rsidR="00D170E5" w:rsidRPr="002B55E9" w:rsidRDefault="00EF27AD">
            <w:pPr>
              <w:widowControl/>
              <w:jc w:val="center"/>
              <w:rPr>
                <w:sz w:val="18"/>
                <w:szCs w:val="18"/>
              </w:rPr>
            </w:pPr>
            <w:r w:rsidRPr="002B55E9">
              <w:rPr>
                <w:rFonts w:hint="eastAsia"/>
                <w:sz w:val="18"/>
                <w:szCs w:val="18"/>
              </w:rPr>
              <w:t>10</w:t>
            </w:r>
          </w:p>
        </w:tc>
        <w:tc>
          <w:tcPr>
            <w:tcW w:w="513" w:type="dxa"/>
            <w:vMerge/>
            <w:vAlign w:val="center"/>
          </w:tcPr>
          <w:p w14:paraId="2E46B249" w14:textId="77777777" w:rsidR="00D170E5" w:rsidRPr="002B55E9" w:rsidRDefault="00D170E5">
            <w:pPr>
              <w:widowControl/>
              <w:jc w:val="center"/>
              <w:rPr>
                <w:sz w:val="18"/>
                <w:szCs w:val="18"/>
              </w:rPr>
            </w:pPr>
          </w:p>
        </w:tc>
        <w:tc>
          <w:tcPr>
            <w:tcW w:w="956" w:type="dxa"/>
            <w:noWrap/>
            <w:vAlign w:val="center"/>
          </w:tcPr>
          <w:p w14:paraId="69325A82" w14:textId="77777777" w:rsidR="00D170E5" w:rsidRPr="002B55E9" w:rsidRDefault="00EF27AD">
            <w:pPr>
              <w:widowControl/>
              <w:jc w:val="center"/>
              <w:rPr>
                <w:sz w:val="18"/>
                <w:szCs w:val="18"/>
              </w:rPr>
            </w:pPr>
            <w:r w:rsidRPr="002B55E9">
              <w:rPr>
                <w:rFonts w:hint="eastAsia"/>
                <w:sz w:val="18"/>
                <w:szCs w:val="18"/>
              </w:rPr>
              <w:t>冷水机</w:t>
            </w:r>
          </w:p>
        </w:tc>
        <w:tc>
          <w:tcPr>
            <w:tcW w:w="1286" w:type="dxa"/>
            <w:noWrap/>
            <w:vAlign w:val="center"/>
          </w:tcPr>
          <w:p w14:paraId="4BC70BB6" w14:textId="77777777" w:rsidR="00D170E5" w:rsidRPr="002B55E9" w:rsidRDefault="00EF27AD">
            <w:pPr>
              <w:widowControl/>
              <w:jc w:val="center"/>
              <w:rPr>
                <w:sz w:val="18"/>
                <w:szCs w:val="18"/>
              </w:rPr>
            </w:pPr>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2E1920D5"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150D4B72" w14:textId="77777777" w:rsidR="00D170E5" w:rsidRPr="002B55E9" w:rsidRDefault="00EF27AD">
            <w:pPr>
              <w:widowControl/>
              <w:jc w:val="center"/>
              <w:rPr>
                <w:sz w:val="18"/>
                <w:szCs w:val="18"/>
              </w:rPr>
            </w:pPr>
            <w:r w:rsidRPr="002B55E9">
              <w:rPr>
                <w:rFonts w:hint="eastAsia"/>
                <w:sz w:val="18"/>
                <w:szCs w:val="18"/>
              </w:rPr>
              <w:t>16</w:t>
            </w:r>
          </w:p>
        </w:tc>
        <w:tc>
          <w:tcPr>
            <w:tcW w:w="393" w:type="dxa"/>
            <w:noWrap/>
            <w:vAlign w:val="center"/>
          </w:tcPr>
          <w:p w14:paraId="3A141381" w14:textId="77777777" w:rsidR="00D170E5" w:rsidRPr="002B55E9" w:rsidRDefault="00EF27AD">
            <w:pPr>
              <w:widowControl/>
              <w:jc w:val="center"/>
              <w:rPr>
                <w:sz w:val="18"/>
                <w:szCs w:val="18"/>
              </w:rPr>
            </w:pPr>
            <w:r w:rsidRPr="002B55E9">
              <w:rPr>
                <w:rFonts w:hint="eastAsia"/>
                <w:sz w:val="18"/>
                <w:szCs w:val="18"/>
              </w:rPr>
              <w:t>70</w:t>
            </w:r>
          </w:p>
        </w:tc>
        <w:tc>
          <w:tcPr>
            <w:tcW w:w="454" w:type="dxa"/>
            <w:noWrap/>
            <w:vAlign w:val="center"/>
          </w:tcPr>
          <w:p w14:paraId="2F3D1375"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55202FF1" w14:textId="77777777" w:rsidR="00D170E5" w:rsidRPr="002B55E9" w:rsidRDefault="00EF27AD">
            <w:pPr>
              <w:widowControl/>
              <w:jc w:val="center"/>
              <w:rPr>
                <w:sz w:val="18"/>
                <w:szCs w:val="18"/>
              </w:rPr>
            </w:pPr>
            <w:r w:rsidRPr="002B55E9">
              <w:rPr>
                <w:rFonts w:hint="eastAsia"/>
                <w:sz w:val="18"/>
                <w:szCs w:val="18"/>
              </w:rPr>
              <w:t>10</w:t>
            </w:r>
          </w:p>
        </w:tc>
        <w:tc>
          <w:tcPr>
            <w:tcW w:w="757" w:type="dxa"/>
            <w:noWrap/>
            <w:vAlign w:val="center"/>
          </w:tcPr>
          <w:p w14:paraId="4EDC127B" w14:textId="77777777" w:rsidR="00D170E5" w:rsidRPr="002B55E9" w:rsidRDefault="00EF27AD">
            <w:pPr>
              <w:widowControl/>
              <w:jc w:val="center"/>
              <w:rPr>
                <w:sz w:val="18"/>
                <w:szCs w:val="18"/>
              </w:rPr>
            </w:pPr>
            <w:r w:rsidRPr="002B55E9">
              <w:rPr>
                <w:rFonts w:hint="eastAsia"/>
                <w:sz w:val="18"/>
                <w:szCs w:val="18"/>
              </w:rPr>
              <w:t>50</w:t>
            </w:r>
          </w:p>
        </w:tc>
        <w:tc>
          <w:tcPr>
            <w:tcW w:w="605" w:type="dxa"/>
            <w:vMerge/>
            <w:vAlign w:val="center"/>
          </w:tcPr>
          <w:p w14:paraId="6BBDE208" w14:textId="77777777" w:rsidR="00D170E5" w:rsidRPr="002B55E9" w:rsidRDefault="00D170E5">
            <w:pPr>
              <w:widowControl/>
              <w:jc w:val="center"/>
              <w:rPr>
                <w:sz w:val="18"/>
                <w:szCs w:val="18"/>
              </w:rPr>
            </w:pPr>
          </w:p>
        </w:tc>
        <w:tc>
          <w:tcPr>
            <w:tcW w:w="756" w:type="dxa"/>
            <w:noWrap/>
            <w:vAlign w:val="center"/>
          </w:tcPr>
          <w:p w14:paraId="6E953594" w14:textId="77777777" w:rsidR="00D170E5" w:rsidRPr="002B55E9" w:rsidRDefault="00EF27AD">
            <w:pPr>
              <w:jc w:val="center"/>
            </w:pPr>
            <w:r w:rsidRPr="002B55E9">
              <w:rPr>
                <w:rFonts w:hint="eastAsia"/>
                <w:sz w:val="18"/>
                <w:szCs w:val="18"/>
              </w:rPr>
              <w:t>20</w:t>
            </w:r>
          </w:p>
        </w:tc>
        <w:tc>
          <w:tcPr>
            <w:tcW w:w="605" w:type="dxa"/>
            <w:noWrap/>
            <w:vAlign w:val="center"/>
          </w:tcPr>
          <w:p w14:paraId="6D356586" w14:textId="77777777" w:rsidR="00D170E5" w:rsidRPr="002B55E9" w:rsidRDefault="00EF27AD">
            <w:pPr>
              <w:widowControl/>
              <w:jc w:val="center"/>
              <w:rPr>
                <w:sz w:val="18"/>
                <w:szCs w:val="18"/>
              </w:rPr>
            </w:pPr>
            <w:r w:rsidRPr="002B55E9">
              <w:rPr>
                <w:rFonts w:hint="eastAsia"/>
                <w:sz w:val="18"/>
                <w:szCs w:val="18"/>
              </w:rPr>
              <w:t>24</w:t>
            </w:r>
          </w:p>
        </w:tc>
        <w:tc>
          <w:tcPr>
            <w:tcW w:w="634" w:type="dxa"/>
            <w:noWrap/>
            <w:vAlign w:val="center"/>
          </w:tcPr>
          <w:p w14:paraId="3484C223" w14:textId="77777777" w:rsidR="00D170E5" w:rsidRPr="002B55E9" w:rsidRDefault="00EF27AD">
            <w:pPr>
              <w:jc w:val="center"/>
            </w:pPr>
            <w:r w:rsidRPr="002B55E9">
              <w:rPr>
                <w:sz w:val="18"/>
                <w:szCs w:val="18"/>
              </w:rPr>
              <w:t>1m</w:t>
            </w:r>
          </w:p>
        </w:tc>
      </w:tr>
      <w:tr w:rsidR="002B55E9" w:rsidRPr="002B55E9" w14:paraId="6C3BF0D1" w14:textId="77777777">
        <w:trPr>
          <w:trHeight w:val="270"/>
          <w:jc w:val="center"/>
        </w:trPr>
        <w:tc>
          <w:tcPr>
            <w:tcW w:w="371" w:type="dxa"/>
            <w:noWrap/>
            <w:vAlign w:val="center"/>
          </w:tcPr>
          <w:p w14:paraId="47017847" w14:textId="65662C41" w:rsidR="00D170E5" w:rsidRPr="002B55E9" w:rsidRDefault="003D488E">
            <w:pPr>
              <w:widowControl/>
              <w:jc w:val="center"/>
              <w:rPr>
                <w:sz w:val="18"/>
                <w:szCs w:val="18"/>
              </w:rPr>
            </w:pPr>
            <w:r w:rsidRPr="002B55E9">
              <w:rPr>
                <w:rFonts w:hint="eastAsia"/>
                <w:sz w:val="18"/>
                <w:szCs w:val="18"/>
              </w:rPr>
              <w:t>1</w:t>
            </w:r>
            <w:r w:rsidRPr="002B55E9">
              <w:rPr>
                <w:sz w:val="18"/>
                <w:szCs w:val="18"/>
              </w:rPr>
              <w:t>1</w:t>
            </w:r>
          </w:p>
        </w:tc>
        <w:tc>
          <w:tcPr>
            <w:tcW w:w="513" w:type="dxa"/>
            <w:vMerge w:val="restart"/>
            <w:vAlign w:val="center"/>
          </w:tcPr>
          <w:p w14:paraId="1E7022F9" w14:textId="77777777" w:rsidR="00D170E5" w:rsidRPr="002B55E9" w:rsidRDefault="00EF27AD">
            <w:pPr>
              <w:widowControl/>
              <w:jc w:val="center"/>
              <w:rPr>
                <w:sz w:val="18"/>
                <w:szCs w:val="18"/>
              </w:rPr>
            </w:pPr>
            <w:r w:rsidRPr="002B55E9">
              <w:rPr>
                <w:rFonts w:hint="eastAsia"/>
                <w:sz w:val="18"/>
                <w:szCs w:val="18"/>
              </w:rPr>
              <w:t>罐区三泵房</w:t>
            </w:r>
          </w:p>
        </w:tc>
        <w:tc>
          <w:tcPr>
            <w:tcW w:w="956" w:type="dxa"/>
            <w:noWrap/>
            <w:vAlign w:val="center"/>
          </w:tcPr>
          <w:p w14:paraId="4EFA6281" w14:textId="77777777" w:rsidR="00D170E5" w:rsidRPr="002B55E9" w:rsidRDefault="00EF27AD">
            <w:pPr>
              <w:widowControl/>
              <w:jc w:val="center"/>
              <w:rPr>
                <w:sz w:val="18"/>
                <w:szCs w:val="18"/>
              </w:rPr>
            </w:pPr>
            <w:r w:rsidRPr="002B55E9">
              <w:rPr>
                <w:rFonts w:hint="eastAsia"/>
                <w:sz w:val="18"/>
                <w:szCs w:val="18"/>
              </w:rPr>
              <w:t>泵</w:t>
            </w:r>
          </w:p>
        </w:tc>
        <w:tc>
          <w:tcPr>
            <w:tcW w:w="1286" w:type="dxa"/>
            <w:noWrap/>
          </w:tcPr>
          <w:p w14:paraId="76A1C39B" w14:textId="77777777" w:rsidR="00D170E5" w:rsidRPr="002B55E9" w:rsidRDefault="00EF27AD">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36D9FBDC"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639FE5C9" w14:textId="77777777" w:rsidR="00D170E5" w:rsidRPr="002B55E9" w:rsidRDefault="00EF27AD">
            <w:pPr>
              <w:widowControl/>
              <w:jc w:val="center"/>
              <w:rPr>
                <w:sz w:val="18"/>
                <w:szCs w:val="18"/>
              </w:rPr>
            </w:pPr>
            <w:r w:rsidRPr="002B55E9">
              <w:rPr>
                <w:rFonts w:hint="eastAsia"/>
                <w:sz w:val="18"/>
                <w:szCs w:val="18"/>
              </w:rPr>
              <w:t>5</w:t>
            </w:r>
          </w:p>
        </w:tc>
        <w:tc>
          <w:tcPr>
            <w:tcW w:w="393" w:type="dxa"/>
            <w:noWrap/>
            <w:vAlign w:val="center"/>
          </w:tcPr>
          <w:p w14:paraId="083F3913" w14:textId="77777777" w:rsidR="00D170E5" w:rsidRPr="002B55E9" w:rsidRDefault="00EF27AD">
            <w:pPr>
              <w:widowControl/>
              <w:jc w:val="center"/>
              <w:rPr>
                <w:sz w:val="18"/>
                <w:szCs w:val="18"/>
              </w:rPr>
            </w:pPr>
            <w:r w:rsidRPr="002B55E9">
              <w:rPr>
                <w:rFonts w:hint="eastAsia"/>
                <w:sz w:val="18"/>
                <w:szCs w:val="18"/>
              </w:rPr>
              <w:t>3</w:t>
            </w:r>
          </w:p>
        </w:tc>
        <w:tc>
          <w:tcPr>
            <w:tcW w:w="454" w:type="dxa"/>
            <w:noWrap/>
            <w:vAlign w:val="center"/>
          </w:tcPr>
          <w:p w14:paraId="7C7D3456"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6A4DCE69" w14:textId="77777777" w:rsidR="00D170E5" w:rsidRPr="002B55E9" w:rsidRDefault="00EF27AD">
            <w:pPr>
              <w:widowControl/>
              <w:jc w:val="center"/>
              <w:rPr>
                <w:sz w:val="18"/>
                <w:szCs w:val="18"/>
              </w:rPr>
            </w:pPr>
            <w:r w:rsidRPr="002B55E9">
              <w:rPr>
                <w:rFonts w:hint="eastAsia"/>
                <w:sz w:val="18"/>
                <w:szCs w:val="18"/>
              </w:rPr>
              <w:t>2</w:t>
            </w:r>
          </w:p>
        </w:tc>
        <w:tc>
          <w:tcPr>
            <w:tcW w:w="757" w:type="dxa"/>
            <w:noWrap/>
            <w:vAlign w:val="center"/>
          </w:tcPr>
          <w:p w14:paraId="45F4860F" w14:textId="77777777" w:rsidR="00D170E5" w:rsidRPr="002B55E9" w:rsidRDefault="00EF27AD">
            <w:pPr>
              <w:widowControl/>
              <w:jc w:val="center"/>
              <w:rPr>
                <w:sz w:val="18"/>
                <w:szCs w:val="18"/>
              </w:rPr>
            </w:pPr>
            <w:r w:rsidRPr="002B55E9">
              <w:rPr>
                <w:rFonts w:hint="eastAsia"/>
                <w:sz w:val="18"/>
                <w:szCs w:val="18"/>
              </w:rPr>
              <w:t>64</w:t>
            </w:r>
          </w:p>
        </w:tc>
        <w:tc>
          <w:tcPr>
            <w:tcW w:w="605" w:type="dxa"/>
            <w:vMerge/>
            <w:vAlign w:val="center"/>
          </w:tcPr>
          <w:p w14:paraId="50C7C736" w14:textId="77777777" w:rsidR="00D170E5" w:rsidRPr="002B55E9" w:rsidRDefault="00D170E5">
            <w:pPr>
              <w:widowControl/>
              <w:jc w:val="center"/>
              <w:rPr>
                <w:sz w:val="18"/>
                <w:szCs w:val="18"/>
              </w:rPr>
            </w:pPr>
          </w:p>
        </w:tc>
        <w:tc>
          <w:tcPr>
            <w:tcW w:w="756" w:type="dxa"/>
            <w:noWrap/>
            <w:vAlign w:val="center"/>
          </w:tcPr>
          <w:p w14:paraId="1B3253B0" w14:textId="77777777" w:rsidR="00D170E5" w:rsidRPr="002B55E9" w:rsidRDefault="00EF27AD">
            <w:pPr>
              <w:jc w:val="center"/>
            </w:pPr>
            <w:r w:rsidRPr="002B55E9">
              <w:rPr>
                <w:rFonts w:hint="eastAsia"/>
                <w:sz w:val="18"/>
                <w:szCs w:val="18"/>
              </w:rPr>
              <w:t>20</w:t>
            </w:r>
          </w:p>
        </w:tc>
        <w:tc>
          <w:tcPr>
            <w:tcW w:w="605" w:type="dxa"/>
            <w:noWrap/>
            <w:vAlign w:val="center"/>
          </w:tcPr>
          <w:p w14:paraId="74C13E15" w14:textId="77777777" w:rsidR="00D170E5" w:rsidRPr="002B55E9" w:rsidRDefault="00EF27AD">
            <w:pPr>
              <w:widowControl/>
              <w:jc w:val="center"/>
              <w:rPr>
                <w:sz w:val="18"/>
                <w:szCs w:val="18"/>
              </w:rPr>
            </w:pPr>
            <w:r w:rsidRPr="002B55E9">
              <w:rPr>
                <w:rFonts w:hint="eastAsia"/>
                <w:sz w:val="18"/>
                <w:szCs w:val="18"/>
              </w:rPr>
              <w:t>38</w:t>
            </w:r>
          </w:p>
        </w:tc>
        <w:tc>
          <w:tcPr>
            <w:tcW w:w="634" w:type="dxa"/>
            <w:noWrap/>
            <w:vAlign w:val="center"/>
          </w:tcPr>
          <w:p w14:paraId="34779FD8" w14:textId="77777777" w:rsidR="00D170E5" w:rsidRPr="002B55E9" w:rsidRDefault="00EF27AD">
            <w:pPr>
              <w:jc w:val="center"/>
            </w:pPr>
            <w:r w:rsidRPr="002B55E9">
              <w:rPr>
                <w:sz w:val="18"/>
                <w:szCs w:val="18"/>
              </w:rPr>
              <w:t>1m</w:t>
            </w:r>
          </w:p>
        </w:tc>
      </w:tr>
      <w:tr w:rsidR="002B55E9" w:rsidRPr="002B55E9" w14:paraId="30D4F511" w14:textId="77777777">
        <w:trPr>
          <w:trHeight w:val="270"/>
          <w:jc w:val="center"/>
        </w:trPr>
        <w:tc>
          <w:tcPr>
            <w:tcW w:w="371" w:type="dxa"/>
            <w:noWrap/>
            <w:vAlign w:val="center"/>
          </w:tcPr>
          <w:p w14:paraId="5292697A" w14:textId="2CDED5E6" w:rsidR="00D170E5" w:rsidRPr="002B55E9" w:rsidRDefault="003D488E">
            <w:pPr>
              <w:widowControl/>
              <w:jc w:val="center"/>
              <w:rPr>
                <w:sz w:val="18"/>
                <w:szCs w:val="18"/>
              </w:rPr>
            </w:pPr>
            <w:r w:rsidRPr="002B55E9">
              <w:rPr>
                <w:rFonts w:hint="eastAsia"/>
                <w:sz w:val="18"/>
                <w:szCs w:val="18"/>
              </w:rPr>
              <w:t>1</w:t>
            </w:r>
            <w:r w:rsidRPr="002B55E9">
              <w:rPr>
                <w:sz w:val="18"/>
                <w:szCs w:val="18"/>
              </w:rPr>
              <w:t>2</w:t>
            </w:r>
          </w:p>
        </w:tc>
        <w:tc>
          <w:tcPr>
            <w:tcW w:w="513" w:type="dxa"/>
            <w:vMerge/>
            <w:vAlign w:val="center"/>
          </w:tcPr>
          <w:p w14:paraId="55E5485B" w14:textId="77777777" w:rsidR="00D170E5" w:rsidRPr="002B55E9" w:rsidRDefault="00D170E5">
            <w:pPr>
              <w:widowControl/>
              <w:jc w:val="center"/>
              <w:rPr>
                <w:sz w:val="18"/>
                <w:szCs w:val="18"/>
              </w:rPr>
            </w:pPr>
          </w:p>
        </w:tc>
        <w:tc>
          <w:tcPr>
            <w:tcW w:w="956" w:type="dxa"/>
            <w:noWrap/>
            <w:vAlign w:val="center"/>
          </w:tcPr>
          <w:p w14:paraId="5815BF7F" w14:textId="77777777" w:rsidR="00D170E5" w:rsidRPr="002B55E9" w:rsidRDefault="00EF27AD">
            <w:pPr>
              <w:widowControl/>
              <w:jc w:val="center"/>
              <w:rPr>
                <w:sz w:val="18"/>
                <w:szCs w:val="18"/>
              </w:rPr>
            </w:pPr>
            <w:r w:rsidRPr="002B55E9">
              <w:rPr>
                <w:rFonts w:hint="eastAsia"/>
                <w:sz w:val="18"/>
                <w:szCs w:val="18"/>
              </w:rPr>
              <w:t>泵</w:t>
            </w:r>
          </w:p>
        </w:tc>
        <w:tc>
          <w:tcPr>
            <w:tcW w:w="1286" w:type="dxa"/>
            <w:noWrap/>
          </w:tcPr>
          <w:p w14:paraId="55604F51" w14:textId="77777777" w:rsidR="00D170E5" w:rsidRPr="002B55E9" w:rsidRDefault="00EF27AD">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6ACFAAA5" w14:textId="77777777" w:rsidR="00D170E5" w:rsidRPr="002B55E9" w:rsidRDefault="00EF27AD">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3BD25C13" w14:textId="77777777" w:rsidR="00D170E5" w:rsidRPr="002B55E9" w:rsidRDefault="00EF27AD">
            <w:pPr>
              <w:widowControl/>
              <w:jc w:val="center"/>
              <w:rPr>
                <w:sz w:val="18"/>
                <w:szCs w:val="18"/>
              </w:rPr>
            </w:pPr>
            <w:r w:rsidRPr="002B55E9">
              <w:rPr>
                <w:rFonts w:hint="eastAsia"/>
                <w:sz w:val="18"/>
                <w:szCs w:val="18"/>
              </w:rPr>
              <w:t>6</w:t>
            </w:r>
          </w:p>
        </w:tc>
        <w:tc>
          <w:tcPr>
            <w:tcW w:w="393" w:type="dxa"/>
            <w:noWrap/>
            <w:vAlign w:val="center"/>
          </w:tcPr>
          <w:p w14:paraId="1023208B" w14:textId="77777777" w:rsidR="00D170E5" w:rsidRPr="002B55E9" w:rsidRDefault="00EF27AD">
            <w:pPr>
              <w:widowControl/>
              <w:jc w:val="center"/>
              <w:rPr>
                <w:sz w:val="18"/>
                <w:szCs w:val="18"/>
              </w:rPr>
            </w:pPr>
            <w:r w:rsidRPr="002B55E9">
              <w:rPr>
                <w:rFonts w:hint="eastAsia"/>
                <w:sz w:val="18"/>
                <w:szCs w:val="18"/>
              </w:rPr>
              <w:t>5</w:t>
            </w:r>
          </w:p>
        </w:tc>
        <w:tc>
          <w:tcPr>
            <w:tcW w:w="454" w:type="dxa"/>
            <w:noWrap/>
            <w:vAlign w:val="center"/>
          </w:tcPr>
          <w:p w14:paraId="2EA42D98" w14:textId="77777777" w:rsidR="00D170E5" w:rsidRPr="002B55E9" w:rsidRDefault="00EF27AD">
            <w:pPr>
              <w:widowControl/>
              <w:jc w:val="center"/>
              <w:rPr>
                <w:sz w:val="18"/>
                <w:szCs w:val="18"/>
              </w:rPr>
            </w:pPr>
            <w:r w:rsidRPr="002B55E9">
              <w:rPr>
                <w:rFonts w:hint="eastAsia"/>
                <w:sz w:val="18"/>
                <w:szCs w:val="18"/>
              </w:rPr>
              <w:t>1</w:t>
            </w:r>
          </w:p>
        </w:tc>
        <w:tc>
          <w:tcPr>
            <w:tcW w:w="757" w:type="dxa"/>
            <w:noWrap/>
            <w:vAlign w:val="center"/>
          </w:tcPr>
          <w:p w14:paraId="6B75E36D" w14:textId="77777777" w:rsidR="00D170E5" w:rsidRPr="002B55E9" w:rsidRDefault="00EF27AD">
            <w:pPr>
              <w:widowControl/>
              <w:jc w:val="center"/>
              <w:rPr>
                <w:sz w:val="18"/>
                <w:szCs w:val="18"/>
              </w:rPr>
            </w:pPr>
            <w:r w:rsidRPr="002B55E9">
              <w:rPr>
                <w:rFonts w:hint="eastAsia"/>
                <w:sz w:val="18"/>
                <w:szCs w:val="18"/>
              </w:rPr>
              <w:t>3</w:t>
            </w:r>
          </w:p>
        </w:tc>
        <w:tc>
          <w:tcPr>
            <w:tcW w:w="757" w:type="dxa"/>
            <w:noWrap/>
            <w:vAlign w:val="center"/>
          </w:tcPr>
          <w:p w14:paraId="24A2CA2E" w14:textId="77777777" w:rsidR="00D170E5" w:rsidRPr="002B55E9" w:rsidRDefault="00EF27AD">
            <w:pPr>
              <w:widowControl/>
              <w:jc w:val="center"/>
              <w:rPr>
                <w:sz w:val="18"/>
                <w:szCs w:val="18"/>
              </w:rPr>
            </w:pPr>
            <w:r w:rsidRPr="002B55E9">
              <w:rPr>
                <w:rFonts w:hint="eastAsia"/>
                <w:sz w:val="18"/>
                <w:szCs w:val="18"/>
              </w:rPr>
              <w:t>60.5</w:t>
            </w:r>
          </w:p>
        </w:tc>
        <w:tc>
          <w:tcPr>
            <w:tcW w:w="605" w:type="dxa"/>
            <w:vMerge/>
            <w:vAlign w:val="center"/>
          </w:tcPr>
          <w:p w14:paraId="14330AAD" w14:textId="77777777" w:rsidR="00D170E5" w:rsidRPr="002B55E9" w:rsidRDefault="00D170E5">
            <w:pPr>
              <w:widowControl/>
              <w:jc w:val="center"/>
              <w:rPr>
                <w:sz w:val="18"/>
                <w:szCs w:val="18"/>
              </w:rPr>
            </w:pPr>
          </w:p>
        </w:tc>
        <w:tc>
          <w:tcPr>
            <w:tcW w:w="756" w:type="dxa"/>
            <w:noWrap/>
            <w:vAlign w:val="center"/>
          </w:tcPr>
          <w:p w14:paraId="052D38A9" w14:textId="77777777" w:rsidR="00D170E5" w:rsidRPr="002B55E9" w:rsidRDefault="00EF27AD">
            <w:pPr>
              <w:jc w:val="center"/>
            </w:pPr>
            <w:r w:rsidRPr="002B55E9">
              <w:rPr>
                <w:rFonts w:hint="eastAsia"/>
                <w:sz w:val="18"/>
                <w:szCs w:val="18"/>
              </w:rPr>
              <w:t>20</w:t>
            </w:r>
          </w:p>
        </w:tc>
        <w:tc>
          <w:tcPr>
            <w:tcW w:w="605" w:type="dxa"/>
            <w:noWrap/>
            <w:vAlign w:val="center"/>
          </w:tcPr>
          <w:p w14:paraId="32E36C82" w14:textId="77777777" w:rsidR="00D170E5" w:rsidRPr="002B55E9" w:rsidRDefault="00EF27AD">
            <w:pPr>
              <w:widowControl/>
              <w:jc w:val="center"/>
              <w:rPr>
                <w:sz w:val="18"/>
                <w:szCs w:val="18"/>
              </w:rPr>
            </w:pPr>
            <w:r w:rsidRPr="002B55E9">
              <w:rPr>
                <w:rFonts w:hint="eastAsia"/>
                <w:sz w:val="18"/>
                <w:szCs w:val="18"/>
              </w:rPr>
              <w:t>34.5</w:t>
            </w:r>
          </w:p>
        </w:tc>
        <w:tc>
          <w:tcPr>
            <w:tcW w:w="634" w:type="dxa"/>
            <w:noWrap/>
            <w:vAlign w:val="center"/>
          </w:tcPr>
          <w:p w14:paraId="59C68B25" w14:textId="77777777" w:rsidR="00D170E5" w:rsidRPr="002B55E9" w:rsidRDefault="00EF27AD">
            <w:pPr>
              <w:jc w:val="center"/>
            </w:pPr>
            <w:r w:rsidRPr="002B55E9">
              <w:rPr>
                <w:sz w:val="18"/>
                <w:szCs w:val="18"/>
              </w:rPr>
              <w:t>1m</w:t>
            </w:r>
          </w:p>
        </w:tc>
      </w:tr>
      <w:tr w:rsidR="002B55E9" w:rsidRPr="002B55E9" w14:paraId="7CD4C7C1" w14:textId="77777777">
        <w:trPr>
          <w:trHeight w:val="270"/>
          <w:jc w:val="center"/>
        </w:trPr>
        <w:tc>
          <w:tcPr>
            <w:tcW w:w="371" w:type="dxa"/>
            <w:noWrap/>
            <w:vAlign w:val="center"/>
          </w:tcPr>
          <w:p w14:paraId="74CA52DB" w14:textId="5D855746" w:rsidR="003D488E" w:rsidRPr="002B55E9" w:rsidRDefault="003D488E" w:rsidP="003D488E">
            <w:pPr>
              <w:widowControl/>
              <w:jc w:val="center"/>
              <w:rPr>
                <w:sz w:val="18"/>
                <w:szCs w:val="18"/>
              </w:rPr>
            </w:pPr>
            <w:r w:rsidRPr="002B55E9">
              <w:rPr>
                <w:rFonts w:hint="eastAsia"/>
                <w:sz w:val="18"/>
                <w:szCs w:val="18"/>
              </w:rPr>
              <w:t>13</w:t>
            </w:r>
          </w:p>
        </w:tc>
        <w:tc>
          <w:tcPr>
            <w:tcW w:w="513" w:type="dxa"/>
            <w:vMerge/>
            <w:vAlign w:val="center"/>
          </w:tcPr>
          <w:p w14:paraId="10D998EB" w14:textId="77777777" w:rsidR="003D488E" w:rsidRPr="002B55E9" w:rsidRDefault="003D488E" w:rsidP="003D488E">
            <w:pPr>
              <w:widowControl/>
              <w:jc w:val="center"/>
              <w:rPr>
                <w:sz w:val="18"/>
                <w:szCs w:val="18"/>
              </w:rPr>
            </w:pPr>
          </w:p>
        </w:tc>
        <w:tc>
          <w:tcPr>
            <w:tcW w:w="956" w:type="dxa"/>
            <w:noWrap/>
            <w:vAlign w:val="center"/>
          </w:tcPr>
          <w:p w14:paraId="06CC1E81"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5FBAF801"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22C92099"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18F44615" w14:textId="77777777" w:rsidR="003D488E" w:rsidRPr="002B55E9" w:rsidRDefault="003D488E" w:rsidP="003D488E">
            <w:pPr>
              <w:widowControl/>
              <w:jc w:val="center"/>
              <w:rPr>
                <w:sz w:val="18"/>
                <w:szCs w:val="18"/>
              </w:rPr>
            </w:pPr>
            <w:r w:rsidRPr="002B55E9">
              <w:rPr>
                <w:rFonts w:hint="eastAsia"/>
                <w:sz w:val="18"/>
                <w:szCs w:val="18"/>
              </w:rPr>
              <w:t>4</w:t>
            </w:r>
          </w:p>
        </w:tc>
        <w:tc>
          <w:tcPr>
            <w:tcW w:w="393" w:type="dxa"/>
            <w:noWrap/>
            <w:vAlign w:val="center"/>
          </w:tcPr>
          <w:p w14:paraId="6E314574" w14:textId="77777777" w:rsidR="003D488E" w:rsidRPr="002B55E9" w:rsidRDefault="003D488E" w:rsidP="003D488E">
            <w:pPr>
              <w:widowControl/>
              <w:jc w:val="center"/>
              <w:rPr>
                <w:sz w:val="18"/>
                <w:szCs w:val="18"/>
              </w:rPr>
            </w:pPr>
            <w:r w:rsidRPr="002B55E9">
              <w:rPr>
                <w:rFonts w:hint="eastAsia"/>
                <w:sz w:val="18"/>
                <w:szCs w:val="18"/>
              </w:rPr>
              <w:t>7</w:t>
            </w:r>
          </w:p>
        </w:tc>
        <w:tc>
          <w:tcPr>
            <w:tcW w:w="454" w:type="dxa"/>
            <w:noWrap/>
            <w:vAlign w:val="center"/>
          </w:tcPr>
          <w:p w14:paraId="73426B53"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561C367A"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1362D2BF" w14:textId="77777777" w:rsidR="003D488E" w:rsidRPr="002B55E9" w:rsidRDefault="003D488E" w:rsidP="003D488E">
            <w:pPr>
              <w:widowControl/>
              <w:jc w:val="center"/>
              <w:rPr>
                <w:sz w:val="18"/>
                <w:szCs w:val="18"/>
              </w:rPr>
            </w:pPr>
            <w:r w:rsidRPr="002B55E9">
              <w:rPr>
                <w:rFonts w:hint="eastAsia"/>
                <w:sz w:val="18"/>
                <w:szCs w:val="18"/>
              </w:rPr>
              <w:t>70</w:t>
            </w:r>
          </w:p>
        </w:tc>
        <w:tc>
          <w:tcPr>
            <w:tcW w:w="605" w:type="dxa"/>
            <w:vMerge/>
            <w:vAlign w:val="center"/>
          </w:tcPr>
          <w:p w14:paraId="513B967E" w14:textId="77777777" w:rsidR="003D488E" w:rsidRPr="002B55E9" w:rsidRDefault="003D488E" w:rsidP="003D488E">
            <w:pPr>
              <w:widowControl/>
              <w:jc w:val="center"/>
              <w:rPr>
                <w:sz w:val="18"/>
                <w:szCs w:val="18"/>
              </w:rPr>
            </w:pPr>
          </w:p>
        </w:tc>
        <w:tc>
          <w:tcPr>
            <w:tcW w:w="756" w:type="dxa"/>
            <w:noWrap/>
            <w:vAlign w:val="center"/>
          </w:tcPr>
          <w:p w14:paraId="760946F2"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5CF3B6B0" w14:textId="77777777" w:rsidR="003D488E" w:rsidRPr="002B55E9" w:rsidRDefault="003D488E" w:rsidP="003D488E">
            <w:pPr>
              <w:widowControl/>
              <w:jc w:val="center"/>
              <w:rPr>
                <w:sz w:val="18"/>
                <w:szCs w:val="18"/>
              </w:rPr>
            </w:pPr>
            <w:r w:rsidRPr="002B55E9">
              <w:rPr>
                <w:rFonts w:hint="eastAsia"/>
                <w:sz w:val="18"/>
                <w:szCs w:val="18"/>
              </w:rPr>
              <w:t>44</w:t>
            </w:r>
          </w:p>
        </w:tc>
        <w:tc>
          <w:tcPr>
            <w:tcW w:w="634" w:type="dxa"/>
            <w:noWrap/>
            <w:vAlign w:val="center"/>
          </w:tcPr>
          <w:p w14:paraId="0CB452AF" w14:textId="77777777" w:rsidR="003D488E" w:rsidRPr="002B55E9" w:rsidRDefault="003D488E" w:rsidP="003D488E">
            <w:pPr>
              <w:jc w:val="center"/>
            </w:pPr>
            <w:r w:rsidRPr="002B55E9">
              <w:rPr>
                <w:sz w:val="18"/>
                <w:szCs w:val="18"/>
              </w:rPr>
              <w:t>1m</w:t>
            </w:r>
          </w:p>
        </w:tc>
      </w:tr>
      <w:tr w:rsidR="002B55E9" w:rsidRPr="002B55E9" w14:paraId="560F3B15" w14:textId="77777777">
        <w:trPr>
          <w:trHeight w:val="270"/>
          <w:jc w:val="center"/>
        </w:trPr>
        <w:tc>
          <w:tcPr>
            <w:tcW w:w="371" w:type="dxa"/>
            <w:noWrap/>
            <w:vAlign w:val="center"/>
          </w:tcPr>
          <w:p w14:paraId="0A00428F" w14:textId="5F720E37" w:rsidR="003D488E" w:rsidRPr="002B55E9" w:rsidRDefault="003D488E" w:rsidP="003D488E">
            <w:pPr>
              <w:widowControl/>
              <w:jc w:val="center"/>
              <w:rPr>
                <w:sz w:val="18"/>
                <w:szCs w:val="18"/>
              </w:rPr>
            </w:pPr>
            <w:r w:rsidRPr="002B55E9">
              <w:rPr>
                <w:rFonts w:hint="eastAsia"/>
                <w:sz w:val="18"/>
                <w:szCs w:val="18"/>
              </w:rPr>
              <w:t>14</w:t>
            </w:r>
          </w:p>
        </w:tc>
        <w:tc>
          <w:tcPr>
            <w:tcW w:w="513" w:type="dxa"/>
            <w:vMerge/>
            <w:vAlign w:val="center"/>
          </w:tcPr>
          <w:p w14:paraId="47061CC6" w14:textId="77777777" w:rsidR="003D488E" w:rsidRPr="002B55E9" w:rsidRDefault="003D488E" w:rsidP="003D488E">
            <w:pPr>
              <w:widowControl/>
              <w:jc w:val="center"/>
              <w:rPr>
                <w:sz w:val="18"/>
                <w:szCs w:val="18"/>
              </w:rPr>
            </w:pPr>
          </w:p>
        </w:tc>
        <w:tc>
          <w:tcPr>
            <w:tcW w:w="956" w:type="dxa"/>
            <w:noWrap/>
            <w:vAlign w:val="center"/>
          </w:tcPr>
          <w:p w14:paraId="508AB3F1"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7426007C"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70ED9060"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64C8B27A" w14:textId="77777777" w:rsidR="003D488E" w:rsidRPr="002B55E9" w:rsidRDefault="003D488E" w:rsidP="003D488E">
            <w:pPr>
              <w:widowControl/>
              <w:jc w:val="center"/>
              <w:rPr>
                <w:sz w:val="18"/>
                <w:szCs w:val="18"/>
              </w:rPr>
            </w:pPr>
            <w:r w:rsidRPr="002B55E9">
              <w:rPr>
                <w:rFonts w:hint="eastAsia"/>
                <w:sz w:val="18"/>
                <w:szCs w:val="18"/>
              </w:rPr>
              <w:t>3</w:t>
            </w:r>
          </w:p>
        </w:tc>
        <w:tc>
          <w:tcPr>
            <w:tcW w:w="393" w:type="dxa"/>
            <w:noWrap/>
            <w:vAlign w:val="center"/>
          </w:tcPr>
          <w:p w14:paraId="0273D90D" w14:textId="77777777" w:rsidR="003D488E" w:rsidRPr="002B55E9" w:rsidRDefault="003D488E" w:rsidP="003D488E">
            <w:pPr>
              <w:widowControl/>
              <w:jc w:val="center"/>
              <w:rPr>
                <w:sz w:val="18"/>
                <w:szCs w:val="18"/>
              </w:rPr>
            </w:pPr>
            <w:r w:rsidRPr="002B55E9">
              <w:rPr>
                <w:rFonts w:hint="eastAsia"/>
                <w:sz w:val="18"/>
                <w:szCs w:val="18"/>
              </w:rPr>
              <w:t>6</w:t>
            </w:r>
          </w:p>
        </w:tc>
        <w:tc>
          <w:tcPr>
            <w:tcW w:w="454" w:type="dxa"/>
            <w:noWrap/>
            <w:vAlign w:val="center"/>
          </w:tcPr>
          <w:p w14:paraId="315A7C53"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77604342" w14:textId="77777777" w:rsidR="003D488E" w:rsidRPr="002B55E9" w:rsidRDefault="003D488E" w:rsidP="003D488E">
            <w:pPr>
              <w:widowControl/>
              <w:jc w:val="center"/>
              <w:rPr>
                <w:sz w:val="18"/>
                <w:szCs w:val="18"/>
              </w:rPr>
            </w:pPr>
            <w:r w:rsidRPr="002B55E9">
              <w:rPr>
                <w:rFonts w:hint="eastAsia"/>
                <w:sz w:val="18"/>
                <w:szCs w:val="18"/>
              </w:rPr>
              <w:t>2</w:t>
            </w:r>
          </w:p>
        </w:tc>
        <w:tc>
          <w:tcPr>
            <w:tcW w:w="757" w:type="dxa"/>
            <w:noWrap/>
            <w:vAlign w:val="center"/>
          </w:tcPr>
          <w:p w14:paraId="43013A48" w14:textId="77777777" w:rsidR="003D488E" w:rsidRPr="002B55E9" w:rsidRDefault="003D488E" w:rsidP="003D488E">
            <w:pPr>
              <w:widowControl/>
              <w:jc w:val="center"/>
              <w:rPr>
                <w:sz w:val="18"/>
                <w:szCs w:val="18"/>
              </w:rPr>
            </w:pPr>
            <w:r w:rsidRPr="002B55E9">
              <w:rPr>
                <w:rFonts w:hint="eastAsia"/>
                <w:sz w:val="18"/>
                <w:szCs w:val="18"/>
              </w:rPr>
              <w:t>64</w:t>
            </w:r>
          </w:p>
        </w:tc>
        <w:tc>
          <w:tcPr>
            <w:tcW w:w="605" w:type="dxa"/>
            <w:vMerge/>
            <w:vAlign w:val="center"/>
          </w:tcPr>
          <w:p w14:paraId="2125A703" w14:textId="77777777" w:rsidR="003D488E" w:rsidRPr="002B55E9" w:rsidRDefault="003D488E" w:rsidP="003D488E">
            <w:pPr>
              <w:widowControl/>
              <w:jc w:val="center"/>
              <w:rPr>
                <w:sz w:val="18"/>
                <w:szCs w:val="18"/>
              </w:rPr>
            </w:pPr>
          </w:p>
        </w:tc>
        <w:tc>
          <w:tcPr>
            <w:tcW w:w="756" w:type="dxa"/>
            <w:noWrap/>
            <w:vAlign w:val="center"/>
          </w:tcPr>
          <w:p w14:paraId="3C84E32D"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510BFAF5" w14:textId="77777777" w:rsidR="003D488E" w:rsidRPr="002B55E9" w:rsidRDefault="003D488E" w:rsidP="003D488E">
            <w:pPr>
              <w:widowControl/>
              <w:jc w:val="center"/>
              <w:rPr>
                <w:sz w:val="18"/>
                <w:szCs w:val="18"/>
              </w:rPr>
            </w:pPr>
            <w:r w:rsidRPr="002B55E9">
              <w:rPr>
                <w:rFonts w:hint="eastAsia"/>
                <w:sz w:val="18"/>
                <w:szCs w:val="18"/>
              </w:rPr>
              <w:t>38</w:t>
            </w:r>
          </w:p>
        </w:tc>
        <w:tc>
          <w:tcPr>
            <w:tcW w:w="634" w:type="dxa"/>
            <w:noWrap/>
            <w:vAlign w:val="center"/>
          </w:tcPr>
          <w:p w14:paraId="53A75907" w14:textId="77777777" w:rsidR="003D488E" w:rsidRPr="002B55E9" w:rsidRDefault="003D488E" w:rsidP="003D488E">
            <w:pPr>
              <w:jc w:val="center"/>
            </w:pPr>
            <w:r w:rsidRPr="002B55E9">
              <w:rPr>
                <w:sz w:val="18"/>
                <w:szCs w:val="18"/>
              </w:rPr>
              <w:t>1m</w:t>
            </w:r>
          </w:p>
        </w:tc>
      </w:tr>
      <w:tr w:rsidR="002B55E9" w:rsidRPr="002B55E9" w14:paraId="4BAE3757" w14:textId="77777777">
        <w:trPr>
          <w:trHeight w:val="270"/>
          <w:jc w:val="center"/>
        </w:trPr>
        <w:tc>
          <w:tcPr>
            <w:tcW w:w="371" w:type="dxa"/>
            <w:noWrap/>
            <w:vAlign w:val="center"/>
          </w:tcPr>
          <w:p w14:paraId="215A70CB" w14:textId="35984280" w:rsidR="003D488E" w:rsidRPr="002B55E9" w:rsidRDefault="003D488E" w:rsidP="003D488E">
            <w:pPr>
              <w:widowControl/>
              <w:jc w:val="center"/>
              <w:rPr>
                <w:sz w:val="18"/>
                <w:szCs w:val="18"/>
              </w:rPr>
            </w:pPr>
            <w:r w:rsidRPr="002B55E9">
              <w:rPr>
                <w:rFonts w:hint="eastAsia"/>
                <w:sz w:val="18"/>
                <w:szCs w:val="18"/>
              </w:rPr>
              <w:t>15</w:t>
            </w:r>
          </w:p>
        </w:tc>
        <w:tc>
          <w:tcPr>
            <w:tcW w:w="513" w:type="dxa"/>
            <w:vMerge/>
            <w:vAlign w:val="center"/>
          </w:tcPr>
          <w:p w14:paraId="25A5DF42" w14:textId="77777777" w:rsidR="003D488E" w:rsidRPr="002B55E9" w:rsidRDefault="003D488E" w:rsidP="003D488E">
            <w:pPr>
              <w:widowControl/>
              <w:jc w:val="center"/>
              <w:rPr>
                <w:sz w:val="18"/>
                <w:szCs w:val="18"/>
              </w:rPr>
            </w:pPr>
          </w:p>
        </w:tc>
        <w:tc>
          <w:tcPr>
            <w:tcW w:w="956" w:type="dxa"/>
            <w:noWrap/>
            <w:vAlign w:val="center"/>
          </w:tcPr>
          <w:p w14:paraId="6772B3B3"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3664DA3B"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5614DB1B"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79267432" w14:textId="77777777" w:rsidR="003D488E" w:rsidRPr="002B55E9" w:rsidRDefault="003D488E" w:rsidP="003D488E">
            <w:pPr>
              <w:widowControl/>
              <w:jc w:val="center"/>
              <w:rPr>
                <w:sz w:val="18"/>
                <w:szCs w:val="18"/>
              </w:rPr>
            </w:pPr>
            <w:r w:rsidRPr="002B55E9">
              <w:rPr>
                <w:rFonts w:hint="eastAsia"/>
                <w:sz w:val="18"/>
                <w:szCs w:val="18"/>
              </w:rPr>
              <w:t>5</w:t>
            </w:r>
          </w:p>
        </w:tc>
        <w:tc>
          <w:tcPr>
            <w:tcW w:w="393" w:type="dxa"/>
            <w:noWrap/>
            <w:vAlign w:val="center"/>
          </w:tcPr>
          <w:p w14:paraId="534496C0" w14:textId="77777777" w:rsidR="003D488E" w:rsidRPr="002B55E9" w:rsidRDefault="003D488E" w:rsidP="003D488E">
            <w:pPr>
              <w:widowControl/>
              <w:jc w:val="center"/>
              <w:rPr>
                <w:sz w:val="18"/>
                <w:szCs w:val="18"/>
              </w:rPr>
            </w:pPr>
            <w:r w:rsidRPr="002B55E9">
              <w:rPr>
                <w:rFonts w:hint="eastAsia"/>
                <w:sz w:val="18"/>
                <w:szCs w:val="18"/>
              </w:rPr>
              <w:t>2</w:t>
            </w:r>
          </w:p>
        </w:tc>
        <w:tc>
          <w:tcPr>
            <w:tcW w:w="454" w:type="dxa"/>
            <w:noWrap/>
            <w:vAlign w:val="center"/>
          </w:tcPr>
          <w:p w14:paraId="095835DF"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181751A1"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51A34802" w14:textId="77777777" w:rsidR="003D488E" w:rsidRPr="002B55E9" w:rsidRDefault="003D488E" w:rsidP="003D488E">
            <w:pPr>
              <w:widowControl/>
              <w:jc w:val="center"/>
              <w:rPr>
                <w:sz w:val="18"/>
                <w:szCs w:val="18"/>
              </w:rPr>
            </w:pPr>
            <w:r w:rsidRPr="002B55E9">
              <w:rPr>
                <w:rFonts w:hint="eastAsia"/>
                <w:sz w:val="18"/>
                <w:szCs w:val="18"/>
              </w:rPr>
              <w:t>70</w:t>
            </w:r>
          </w:p>
        </w:tc>
        <w:tc>
          <w:tcPr>
            <w:tcW w:w="605" w:type="dxa"/>
            <w:vMerge/>
            <w:vAlign w:val="center"/>
          </w:tcPr>
          <w:p w14:paraId="000E4940" w14:textId="77777777" w:rsidR="003D488E" w:rsidRPr="002B55E9" w:rsidRDefault="003D488E" w:rsidP="003D488E">
            <w:pPr>
              <w:widowControl/>
              <w:jc w:val="center"/>
              <w:rPr>
                <w:sz w:val="18"/>
                <w:szCs w:val="18"/>
              </w:rPr>
            </w:pPr>
          </w:p>
        </w:tc>
        <w:tc>
          <w:tcPr>
            <w:tcW w:w="756" w:type="dxa"/>
            <w:noWrap/>
            <w:vAlign w:val="center"/>
          </w:tcPr>
          <w:p w14:paraId="3F1CCB88"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4EB8EB7C" w14:textId="77777777" w:rsidR="003D488E" w:rsidRPr="002B55E9" w:rsidRDefault="003D488E" w:rsidP="003D488E">
            <w:pPr>
              <w:widowControl/>
              <w:jc w:val="center"/>
              <w:rPr>
                <w:sz w:val="18"/>
                <w:szCs w:val="18"/>
              </w:rPr>
            </w:pPr>
            <w:r w:rsidRPr="002B55E9">
              <w:rPr>
                <w:rFonts w:hint="eastAsia"/>
                <w:sz w:val="18"/>
                <w:szCs w:val="18"/>
              </w:rPr>
              <w:t>44</w:t>
            </w:r>
          </w:p>
        </w:tc>
        <w:tc>
          <w:tcPr>
            <w:tcW w:w="634" w:type="dxa"/>
            <w:noWrap/>
            <w:vAlign w:val="center"/>
          </w:tcPr>
          <w:p w14:paraId="272EDBAD" w14:textId="77777777" w:rsidR="003D488E" w:rsidRPr="002B55E9" w:rsidRDefault="003D488E" w:rsidP="003D488E">
            <w:pPr>
              <w:jc w:val="center"/>
            </w:pPr>
            <w:r w:rsidRPr="002B55E9">
              <w:rPr>
                <w:sz w:val="18"/>
                <w:szCs w:val="18"/>
              </w:rPr>
              <w:t>1m</w:t>
            </w:r>
          </w:p>
        </w:tc>
      </w:tr>
      <w:tr w:rsidR="002B55E9" w:rsidRPr="002B55E9" w14:paraId="39489762" w14:textId="77777777">
        <w:trPr>
          <w:trHeight w:val="270"/>
          <w:jc w:val="center"/>
        </w:trPr>
        <w:tc>
          <w:tcPr>
            <w:tcW w:w="371" w:type="dxa"/>
            <w:noWrap/>
            <w:vAlign w:val="center"/>
          </w:tcPr>
          <w:p w14:paraId="758DE6FC" w14:textId="2D3BFF45" w:rsidR="003D488E" w:rsidRPr="002B55E9" w:rsidRDefault="003D488E" w:rsidP="003D488E">
            <w:pPr>
              <w:widowControl/>
              <w:jc w:val="center"/>
              <w:rPr>
                <w:sz w:val="18"/>
                <w:szCs w:val="18"/>
              </w:rPr>
            </w:pPr>
            <w:r w:rsidRPr="002B55E9">
              <w:rPr>
                <w:rFonts w:hint="eastAsia"/>
                <w:sz w:val="18"/>
                <w:szCs w:val="18"/>
              </w:rPr>
              <w:t>16</w:t>
            </w:r>
          </w:p>
        </w:tc>
        <w:tc>
          <w:tcPr>
            <w:tcW w:w="513" w:type="dxa"/>
            <w:vMerge w:val="restart"/>
            <w:vAlign w:val="center"/>
          </w:tcPr>
          <w:p w14:paraId="5FE33E57" w14:textId="77777777" w:rsidR="003D488E" w:rsidRPr="002B55E9" w:rsidRDefault="003D488E" w:rsidP="003D488E">
            <w:pPr>
              <w:widowControl/>
              <w:jc w:val="center"/>
              <w:rPr>
                <w:sz w:val="18"/>
                <w:szCs w:val="18"/>
              </w:rPr>
            </w:pPr>
            <w:r w:rsidRPr="002B55E9">
              <w:rPr>
                <w:rFonts w:hint="eastAsia"/>
                <w:sz w:val="18"/>
                <w:szCs w:val="18"/>
              </w:rPr>
              <w:t>酒精</w:t>
            </w:r>
            <w:r w:rsidRPr="002B55E9">
              <w:rPr>
                <w:sz w:val="18"/>
                <w:szCs w:val="18"/>
              </w:rPr>
              <w:t>罐区泵房</w:t>
            </w:r>
          </w:p>
        </w:tc>
        <w:tc>
          <w:tcPr>
            <w:tcW w:w="956" w:type="dxa"/>
            <w:noWrap/>
            <w:vAlign w:val="center"/>
          </w:tcPr>
          <w:p w14:paraId="2BDB85EB"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1FAD5AF2"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5886AFD5"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421467E1" w14:textId="77777777" w:rsidR="003D488E" w:rsidRPr="002B55E9" w:rsidRDefault="003D488E" w:rsidP="003D488E">
            <w:pPr>
              <w:widowControl/>
              <w:jc w:val="center"/>
              <w:rPr>
                <w:sz w:val="18"/>
                <w:szCs w:val="18"/>
              </w:rPr>
            </w:pPr>
            <w:r w:rsidRPr="002B55E9">
              <w:rPr>
                <w:rFonts w:hint="eastAsia"/>
                <w:sz w:val="18"/>
                <w:szCs w:val="18"/>
              </w:rPr>
              <w:t>2</w:t>
            </w:r>
          </w:p>
        </w:tc>
        <w:tc>
          <w:tcPr>
            <w:tcW w:w="393" w:type="dxa"/>
            <w:noWrap/>
            <w:vAlign w:val="center"/>
          </w:tcPr>
          <w:p w14:paraId="23E1F2FD" w14:textId="77777777" w:rsidR="003D488E" w:rsidRPr="002B55E9" w:rsidRDefault="003D488E" w:rsidP="003D488E">
            <w:pPr>
              <w:widowControl/>
              <w:jc w:val="center"/>
              <w:rPr>
                <w:sz w:val="18"/>
                <w:szCs w:val="18"/>
              </w:rPr>
            </w:pPr>
            <w:r w:rsidRPr="002B55E9">
              <w:rPr>
                <w:rFonts w:hint="eastAsia"/>
                <w:sz w:val="18"/>
                <w:szCs w:val="18"/>
              </w:rPr>
              <w:t>2</w:t>
            </w:r>
          </w:p>
        </w:tc>
        <w:tc>
          <w:tcPr>
            <w:tcW w:w="454" w:type="dxa"/>
            <w:noWrap/>
            <w:vAlign w:val="center"/>
          </w:tcPr>
          <w:p w14:paraId="2E339BFE"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0CF42F13" w14:textId="77777777" w:rsidR="003D488E" w:rsidRPr="002B55E9" w:rsidRDefault="003D488E" w:rsidP="003D488E">
            <w:pPr>
              <w:widowControl/>
              <w:jc w:val="center"/>
              <w:rPr>
                <w:sz w:val="18"/>
                <w:szCs w:val="18"/>
              </w:rPr>
            </w:pPr>
            <w:r w:rsidRPr="002B55E9">
              <w:rPr>
                <w:rFonts w:hint="eastAsia"/>
                <w:sz w:val="18"/>
                <w:szCs w:val="18"/>
              </w:rPr>
              <w:t>2</w:t>
            </w:r>
          </w:p>
        </w:tc>
        <w:tc>
          <w:tcPr>
            <w:tcW w:w="757" w:type="dxa"/>
            <w:noWrap/>
            <w:vAlign w:val="center"/>
          </w:tcPr>
          <w:p w14:paraId="0EBEB08A" w14:textId="77777777" w:rsidR="003D488E" w:rsidRPr="002B55E9" w:rsidRDefault="003D488E" w:rsidP="003D488E">
            <w:pPr>
              <w:widowControl/>
              <w:jc w:val="center"/>
              <w:rPr>
                <w:sz w:val="18"/>
                <w:szCs w:val="18"/>
              </w:rPr>
            </w:pPr>
            <w:r w:rsidRPr="002B55E9">
              <w:rPr>
                <w:rFonts w:hint="eastAsia"/>
                <w:sz w:val="18"/>
                <w:szCs w:val="18"/>
              </w:rPr>
              <w:t>64</w:t>
            </w:r>
          </w:p>
        </w:tc>
        <w:tc>
          <w:tcPr>
            <w:tcW w:w="605" w:type="dxa"/>
            <w:vMerge/>
            <w:vAlign w:val="center"/>
          </w:tcPr>
          <w:p w14:paraId="4487604B" w14:textId="77777777" w:rsidR="003D488E" w:rsidRPr="002B55E9" w:rsidRDefault="003D488E" w:rsidP="003D488E">
            <w:pPr>
              <w:widowControl/>
              <w:jc w:val="center"/>
              <w:rPr>
                <w:sz w:val="18"/>
                <w:szCs w:val="18"/>
              </w:rPr>
            </w:pPr>
          </w:p>
        </w:tc>
        <w:tc>
          <w:tcPr>
            <w:tcW w:w="756" w:type="dxa"/>
            <w:noWrap/>
            <w:vAlign w:val="center"/>
          </w:tcPr>
          <w:p w14:paraId="18860600"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68A0DEED" w14:textId="77777777" w:rsidR="003D488E" w:rsidRPr="002B55E9" w:rsidRDefault="003D488E" w:rsidP="003D488E">
            <w:pPr>
              <w:widowControl/>
              <w:jc w:val="center"/>
              <w:rPr>
                <w:sz w:val="18"/>
                <w:szCs w:val="18"/>
              </w:rPr>
            </w:pPr>
            <w:r w:rsidRPr="002B55E9">
              <w:rPr>
                <w:rFonts w:hint="eastAsia"/>
                <w:sz w:val="18"/>
                <w:szCs w:val="18"/>
              </w:rPr>
              <w:t>38</w:t>
            </w:r>
          </w:p>
        </w:tc>
        <w:tc>
          <w:tcPr>
            <w:tcW w:w="634" w:type="dxa"/>
            <w:noWrap/>
            <w:vAlign w:val="center"/>
          </w:tcPr>
          <w:p w14:paraId="7E951B63" w14:textId="77777777" w:rsidR="003D488E" w:rsidRPr="002B55E9" w:rsidRDefault="003D488E" w:rsidP="003D488E">
            <w:pPr>
              <w:jc w:val="center"/>
            </w:pPr>
            <w:r w:rsidRPr="002B55E9">
              <w:rPr>
                <w:sz w:val="18"/>
                <w:szCs w:val="18"/>
              </w:rPr>
              <w:t>1m</w:t>
            </w:r>
          </w:p>
        </w:tc>
      </w:tr>
      <w:tr w:rsidR="002B55E9" w:rsidRPr="002B55E9" w14:paraId="1E19228C" w14:textId="77777777">
        <w:trPr>
          <w:trHeight w:val="270"/>
          <w:jc w:val="center"/>
        </w:trPr>
        <w:tc>
          <w:tcPr>
            <w:tcW w:w="371" w:type="dxa"/>
            <w:noWrap/>
            <w:vAlign w:val="center"/>
          </w:tcPr>
          <w:p w14:paraId="30E44C2A" w14:textId="71BCBA94" w:rsidR="003D488E" w:rsidRPr="002B55E9" w:rsidRDefault="003D488E" w:rsidP="003D488E">
            <w:pPr>
              <w:widowControl/>
              <w:jc w:val="center"/>
              <w:rPr>
                <w:sz w:val="18"/>
                <w:szCs w:val="18"/>
              </w:rPr>
            </w:pPr>
            <w:r w:rsidRPr="002B55E9">
              <w:rPr>
                <w:rFonts w:hint="eastAsia"/>
                <w:sz w:val="18"/>
                <w:szCs w:val="18"/>
              </w:rPr>
              <w:t>17</w:t>
            </w:r>
          </w:p>
        </w:tc>
        <w:tc>
          <w:tcPr>
            <w:tcW w:w="513" w:type="dxa"/>
            <w:vMerge/>
            <w:vAlign w:val="center"/>
          </w:tcPr>
          <w:p w14:paraId="414ABEA0" w14:textId="77777777" w:rsidR="003D488E" w:rsidRPr="002B55E9" w:rsidRDefault="003D488E" w:rsidP="003D488E">
            <w:pPr>
              <w:widowControl/>
              <w:jc w:val="center"/>
              <w:rPr>
                <w:sz w:val="18"/>
                <w:szCs w:val="18"/>
              </w:rPr>
            </w:pPr>
          </w:p>
        </w:tc>
        <w:tc>
          <w:tcPr>
            <w:tcW w:w="956" w:type="dxa"/>
            <w:noWrap/>
            <w:vAlign w:val="center"/>
          </w:tcPr>
          <w:p w14:paraId="6B7FD205"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21A8F81D"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6A433265"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2EF13FEF" w14:textId="77777777" w:rsidR="003D488E" w:rsidRPr="002B55E9" w:rsidRDefault="003D488E" w:rsidP="003D488E">
            <w:pPr>
              <w:widowControl/>
              <w:jc w:val="center"/>
              <w:rPr>
                <w:sz w:val="18"/>
                <w:szCs w:val="18"/>
              </w:rPr>
            </w:pPr>
            <w:r w:rsidRPr="002B55E9">
              <w:rPr>
                <w:rFonts w:hint="eastAsia"/>
                <w:sz w:val="18"/>
                <w:szCs w:val="18"/>
              </w:rPr>
              <w:t>2</w:t>
            </w:r>
          </w:p>
        </w:tc>
        <w:tc>
          <w:tcPr>
            <w:tcW w:w="393" w:type="dxa"/>
            <w:noWrap/>
            <w:vAlign w:val="center"/>
          </w:tcPr>
          <w:p w14:paraId="782E753C" w14:textId="77777777" w:rsidR="003D488E" w:rsidRPr="002B55E9" w:rsidRDefault="003D488E" w:rsidP="003D488E">
            <w:pPr>
              <w:widowControl/>
              <w:jc w:val="center"/>
              <w:rPr>
                <w:sz w:val="18"/>
                <w:szCs w:val="18"/>
              </w:rPr>
            </w:pPr>
            <w:r w:rsidRPr="002B55E9">
              <w:rPr>
                <w:rFonts w:hint="eastAsia"/>
                <w:sz w:val="18"/>
                <w:szCs w:val="18"/>
              </w:rPr>
              <w:t>3</w:t>
            </w:r>
          </w:p>
        </w:tc>
        <w:tc>
          <w:tcPr>
            <w:tcW w:w="454" w:type="dxa"/>
            <w:noWrap/>
            <w:vAlign w:val="center"/>
          </w:tcPr>
          <w:p w14:paraId="29546E97"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272370FF" w14:textId="77777777" w:rsidR="003D488E" w:rsidRPr="002B55E9" w:rsidRDefault="003D488E" w:rsidP="003D488E">
            <w:pPr>
              <w:widowControl/>
              <w:jc w:val="center"/>
              <w:rPr>
                <w:sz w:val="18"/>
                <w:szCs w:val="18"/>
              </w:rPr>
            </w:pPr>
            <w:r w:rsidRPr="002B55E9">
              <w:rPr>
                <w:rFonts w:hint="eastAsia"/>
                <w:sz w:val="18"/>
                <w:szCs w:val="18"/>
              </w:rPr>
              <w:t>2</w:t>
            </w:r>
          </w:p>
        </w:tc>
        <w:tc>
          <w:tcPr>
            <w:tcW w:w="757" w:type="dxa"/>
            <w:noWrap/>
            <w:vAlign w:val="center"/>
          </w:tcPr>
          <w:p w14:paraId="15B2ADD2" w14:textId="77777777" w:rsidR="003D488E" w:rsidRPr="002B55E9" w:rsidRDefault="003D488E" w:rsidP="003D488E">
            <w:pPr>
              <w:widowControl/>
              <w:jc w:val="center"/>
              <w:rPr>
                <w:sz w:val="18"/>
                <w:szCs w:val="18"/>
              </w:rPr>
            </w:pPr>
            <w:r w:rsidRPr="002B55E9">
              <w:rPr>
                <w:rFonts w:hint="eastAsia"/>
                <w:sz w:val="18"/>
                <w:szCs w:val="18"/>
              </w:rPr>
              <w:t>64</w:t>
            </w:r>
          </w:p>
        </w:tc>
        <w:tc>
          <w:tcPr>
            <w:tcW w:w="605" w:type="dxa"/>
            <w:vMerge/>
            <w:vAlign w:val="center"/>
          </w:tcPr>
          <w:p w14:paraId="02C31A33" w14:textId="77777777" w:rsidR="003D488E" w:rsidRPr="002B55E9" w:rsidRDefault="003D488E" w:rsidP="003D488E">
            <w:pPr>
              <w:widowControl/>
              <w:jc w:val="center"/>
              <w:rPr>
                <w:sz w:val="18"/>
                <w:szCs w:val="18"/>
              </w:rPr>
            </w:pPr>
          </w:p>
        </w:tc>
        <w:tc>
          <w:tcPr>
            <w:tcW w:w="756" w:type="dxa"/>
            <w:noWrap/>
            <w:vAlign w:val="center"/>
          </w:tcPr>
          <w:p w14:paraId="11D0BFE4"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105E4B80" w14:textId="77777777" w:rsidR="003D488E" w:rsidRPr="002B55E9" w:rsidRDefault="003D488E" w:rsidP="003D488E">
            <w:pPr>
              <w:widowControl/>
              <w:jc w:val="center"/>
              <w:rPr>
                <w:sz w:val="18"/>
                <w:szCs w:val="18"/>
              </w:rPr>
            </w:pPr>
            <w:r w:rsidRPr="002B55E9">
              <w:rPr>
                <w:rFonts w:hint="eastAsia"/>
                <w:sz w:val="18"/>
                <w:szCs w:val="18"/>
              </w:rPr>
              <w:t>38</w:t>
            </w:r>
          </w:p>
        </w:tc>
        <w:tc>
          <w:tcPr>
            <w:tcW w:w="634" w:type="dxa"/>
            <w:noWrap/>
            <w:vAlign w:val="center"/>
          </w:tcPr>
          <w:p w14:paraId="0C83246D" w14:textId="77777777" w:rsidR="003D488E" w:rsidRPr="002B55E9" w:rsidRDefault="003D488E" w:rsidP="003D488E">
            <w:pPr>
              <w:jc w:val="center"/>
            </w:pPr>
            <w:r w:rsidRPr="002B55E9">
              <w:rPr>
                <w:sz w:val="18"/>
                <w:szCs w:val="18"/>
              </w:rPr>
              <w:t>1m</w:t>
            </w:r>
          </w:p>
        </w:tc>
      </w:tr>
      <w:tr w:rsidR="002B55E9" w:rsidRPr="002B55E9" w14:paraId="7E7D6CB7" w14:textId="77777777">
        <w:trPr>
          <w:trHeight w:val="270"/>
          <w:jc w:val="center"/>
        </w:trPr>
        <w:tc>
          <w:tcPr>
            <w:tcW w:w="371" w:type="dxa"/>
            <w:noWrap/>
            <w:vAlign w:val="center"/>
          </w:tcPr>
          <w:p w14:paraId="454F0A22" w14:textId="704EA8AA" w:rsidR="003D488E" w:rsidRPr="002B55E9" w:rsidRDefault="003D488E" w:rsidP="003D488E">
            <w:pPr>
              <w:widowControl/>
              <w:jc w:val="center"/>
              <w:rPr>
                <w:sz w:val="18"/>
                <w:szCs w:val="18"/>
              </w:rPr>
            </w:pPr>
            <w:r w:rsidRPr="002B55E9">
              <w:rPr>
                <w:rFonts w:hint="eastAsia"/>
                <w:sz w:val="18"/>
                <w:szCs w:val="18"/>
              </w:rPr>
              <w:t>18</w:t>
            </w:r>
          </w:p>
        </w:tc>
        <w:tc>
          <w:tcPr>
            <w:tcW w:w="513" w:type="dxa"/>
            <w:vMerge/>
            <w:vAlign w:val="center"/>
          </w:tcPr>
          <w:p w14:paraId="044499D0" w14:textId="77777777" w:rsidR="003D488E" w:rsidRPr="002B55E9" w:rsidRDefault="003D488E" w:rsidP="003D488E">
            <w:pPr>
              <w:widowControl/>
              <w:jc w:val="center"/>
              <w:rPr>
                <w:sz w:val="18"/>
                <w:szCs w:val="18"/>
              </w:rPr>
            </w:pPr>
          </w:p>
        </w:tc>
        <w:tc>
          <w:tcPr>
            <w:tcW w:w="956" w:type="dxa"/>
            <w:noWrap/>
            <w:vAlign w:val="center"/>
          </w:tcPr>
          <w:p w14:paraId="56CD83C6"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25451A26"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6708E7C3"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5BB01A60" w14:textId="77777777" w:rsidR="003D488E" w:rsidRPr="002B55E9" w:rsidRDefault="003D488E" w:rsidP="003D488E">
            <w:pPr>
              <w:widowControl/>
              <w:jc w:val="center"/>
              <w:rPr>
                <w:sz w:val="18"/>
                <w:szCs w:val="18"/>
              </w:rPr>
            </w:pPr>
            <w:r w:rsidRPr="002B55E9">
              <w:rPr>
                <w:rFonts w:hint="eastAsia"/>
                <w:sz w:val="18"/>
                <w:szCs w:val="18"/>
              </w:rPr>
              <w:t>3</w:t>
            </w:r>
          </w:p>
        </w:tc>
        <w:tc>
          <w:tcPr>
            <w:tcW w:w="393" w:type="dxa"/>
            <w:noWrap/>
            <w:vAlign w:val="center"/>
          </w:tcPr>
          <w:p w14:paraId="0DF0BC5B" w14:textId="77777777" w:rsidR="003D488E" w:rsidRPr="002B55E9" w:rsidRDefault="003D488E" w:rsidP="003D488E">
            <w:pPr>
              <w:widowControl/>
              <w:jc w:val="center"/>
              <w:rPr>
                <w:sz w:val="18"/>
                <w:szCs w:val="18"/>
              </w:rPr>
            </w:pPr>
            <w:r w:rsidRPr="002B55E9">
              <w:rPr>
                <w:rFonts w:hint="eastAsia"/>
                <w:sz w:val="18"/>
                <w:szCs w:val="18"/>
              </w:rPr>
              <w:t>2</w:t>
            </w:r>
          </w:p>
        </w:tc>
        <w:tc>
          <w:tcPr>
            <w:tcW w:w="454" w:type="dxa"/>
            <w:noWrap/>
            <w:vAlign w:val="center"/>
          </w:tcPr>
          <w:p w14:paraId="67769C9D"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4C631DA8" w14:textId="77777777" w:rsidR="003D488E" w:rsidRPr="002B55E9" w:rsidRDefault="003D488E" w:rsidP="003D488E">
            <w:pPr>
              <w:widowControl/>
              <w:jc w:val="center"/>
              <w:rPr>
                <w:sz w:val="18"/>
                <w:szCs w:val="18"/>
              </w:rPr>
            </w:pPr>
            <w:r w:rsidRPr="002B55E9">
              <w:rPr>
                <w:rFonts w:hint="eastAsia"/>
                <w:sz w:val="18"/>
                <w:szCs w:val="18"/>
              </w:rPr>
              <w:t>2</w:t>
            </w:r>
          </w:p>
        </w:tc>
        <w:tc>
          <w:tcPr>
            <w:tcW w:w="757" w:type="dxa"/>
            <w:noWrap/>
            <w:vAlign w:val="center"/>
          </w:tcPr>
          <w:p w14:paraId="1175A215" w14:textId="77777777" w:rsidR="003D488E" w:rsidRPr="002B55E9" w:rsidRDefault="003D488E" w:rsidP="003D488E">
            <w:pPr>
              <w:widowControl/>
              <w:jc w:val="center"/>
              <w:rPr>
                <w:sz w:val="18"/>
                <w:szCs w:val="18"/>
              </w:rPr>
            </w:pPr>
            <w:r w:rsidRPr="002B55E9">
              <w:rPr>
                <w:rFonts w:hint="eastAsia"/>
                <w:sz w:val="18"/>
                <w:szCs w:val="18"/>
              </w:rPr>
              <w:t>64</w:t>
            </w:r>
          </w:p>
        </w:tc>
        <w:tc>
          <w:tcPr>
            <w:tcW w:w="605" w:type="dxa"/>
            <w:vMerge/>
            <w:vAlign w:val="center"/>
          </w:tcPr>
          <w:p w14:paraId="68D7B041" w14:textId="77777777" w:rsidR="003D488E" w:rsidRPr="002B55E9" w:rsidRDefault="003D488E" w:rsidP="003D488E">
            <w:pPr>
              <w:widowControl/>
              <w:jc w:val="center"/>
              <w:rPr>
                <w:sz w:val="18"/>
                <w:szCs w:val="18"/>
              </w:rPr>
            </w:pPr>
          </w:p>
        </w:tc>
        <w:tc>
          <w:tcPr>
            <w:tcW w:w="756" w:type="dxa"/>
            <w:noWrap/>
            <w:vAlign w:val="center"/>
          </w:tcPr>
          <w:p w14:paraId="3591A965"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301C643B" w14:textId="77777777" w:rsidR="003D488E" w:rsidRPr="002B55E9" w:rsidRDefault="003D488E" w:rsidP="003D488E">
            <w:pPr>
              <w:widowControl/>
              <w:jc w:val="center"/>
              <w:rPr>
                <w:sz w:val="18"/>
                <w:szCs w:val="18"/>
              </w:rPr>
            </w:pPr>
            <w:r w:rsidRPr="002B55E9">
              <w:rPr>
                <w:rFonts w:hint="eastAsia"/>
                <w:sz w:val="18"/>
                <w:szCs w:val="18"/>
              </w:rPr>
              <w:t>38</w:t>
            </w:r>
          </w:p>
        </w:tc>
        <w:tc>
          <w:tcPr>
            <w:tcW w:w="634" w:type="dxa"/>
            <w:noWrap/>
            <w:vAlign w:val="center"/>
          </w:tcPr>
          <w:p w14:paraId="4C3DEB6C" w14:textId="77777777" w:rsidR="003D488E" w:rsidRPr="002B55E9" w:rsidRDefault="003D488E" w:rsidP="003D488E">
            <w:pPr>
              <w:jc w:val="center"/>
            </w:pPr>
            <w:r w:rsidRPr="002B55E9">
              <w:rPr>
                <w:sz w:val="18"/>
                <w:szCs w:val="18"/>
              </w:rPr>
              <w:t>1m</w:t>
            </w:r>
          </w:p>
        </w:tc>
      </w:tr>
      <w:tr w:rsidR="002B55E9" w:rsidRPr="002B55E9" w14:paraId="58A8EAB6" w14:textId="77777777">
        <w:trPr>
          <w:trHeight w:val="270"/>
          <w:jc w:val="center"/>
        </w:trPr>
        <w:tc>
          <w:tcPr>
            <w:tcW w:w="371" w:type="dxa"/>
            <w:noWrap/>
            <w:vAlign w:val="center"/>
          </w:tcPr>
          <w:p w14:paraId="2CC0AA8F" w14:textId="14A966FD" w:rsidR="003D488E" w:rsidRPr="002B55E9" w:rsidRDefault="003D488E" w:rsidP="003D488E">
            <w:pPr>
              <w:widowControl/>
              <w:jc w:val="center"/>
              <w:rPr>
                <w:sz w:val="18"/>
                <w:szCs w:val="18"/>
              </w:rPr>
            </w:pPr>
            <w:r w:rsidRPr="002B55E9">
              <w:rPr>
                <w:rFonts w:hint="eastAsia"/>
                <w:sz w:val="18"/>
                <w:szCs w:val="18"/>
              </w:rPr>
              <w:t>19</w:t>
            </w:r>
          </w:p>
        </w:tc>
        <w:tc>
          <w:tcPr>
            <w:tcW w:w="513" w:type="dxa"/>
            <w:vMerge/>
            <w:vAlign w:val="center"/>
          </w:tcPr>
          <w:p w14:paraId="765BF003" w14:textId="77777777" w:rsidR="003D488E" w:rsidRPr="002B55E9" w:rsidRDefault="003D488E" w:rsidP="003D488E">
            <w:pPr>
              <w:widowControl/>
              <w:jc w:val="center"/>
              <w:rPr>
                <w:sz w:val="18"/>
                <w:szCs w:val="18"/>
              </w:rPr>
            </w:pPr>
          </w:p>
        </w:tc>
        <w:tc>
          <w:tcPr>
            <w:tcW w:w="956" w:type="dxa"/>
            <w:noWrap/>
            <w:vAlign w:val="center"/>
          </w:tcPr>
          <w:p w14:paraId="4013888B" w14:textId="77777777" w:rsidR="003D488E" w:rsidRPr="002B55E9" w:rsidRDefault="003D488E" w:rsidP="003D488E">
            <w:pPr>
              <w:widowControl/>
              <w:jc w:val="center"/>
              <w:rPr>
                <w:sz w:val="18"/>
                <w:szCs w:val="18"/>
              </w:rPr>
            </w:pPr>
            <w:r w:rsidRPr="002B55E9">
              <w:rPr>
                <w:rFonts w:hint="eastAsia"/>
                <w:sz w:val="18"/>
                <w:szCs w:val="18"/>
              </w:rPr>
              <w:t>泵</w:t>
            </w:r>
          </w:p>
        </w:tc>
        <w:tc>
          <w:tcPr>
            <w:tcW w:w="1286" w:type="dxa"/>
            <w:noWrap/>
          </w:tcPr>
          <w:p w14:paraId="486A143D" w14:textId="77777777" w:rsidR="003D488E" w:rsidRPr="002B55E9" w:rsidRDefault="003D488E" w:rsidP="003D488E">
            <w:r w:rsidRPr="002B55E9">
              <w:rPr>
                <w:sz w:val="18"/>
                <w:szCs w:val="18"/>
              </w:rPr>
              <w:t>70dB</w:t>
            </w:r>
            <w:r w:rsidRPr="002B55E9">
              <w:rPr>
                <w:rFonts w:hint="eastAsia"/>
                <w:sz w:val="18"/>
                <w:szCs w:val="18"/>
              </w:rPr>
              <w:t>（</w:t>
            </w:r>
            <w:r w:rsidRPr="002B55E9">
              <w:rPr>
                <w:rFonts w:hint="eastAsia"/>
                <w:sz w:val="18"/>
                <w:szCs w:val="18"/>
              </w:rPr>
              <w:t>A</w:t>
            </w:r>
            <w:r w:rsidRPr="002B55E9">
              <w:rPr>
                <w:rFonts w:hint="eastAsia"/>
                <w:sz w:val="18"/>
                <w:szCs w:val="18"/>
              </w:rPr>
              <w:t>）</w:t>
            </w:r>
            <w:r w:rsidRPr="002B55E9">
              <w:rPr>
                <w:rFonts w:hint="eastAsia"/>
                <w:sz w:val="18"/>
                <w:szCs w:val="18"/>
              </w:rPr>
              <w:t>/1</w:t>
            </w:r>
            <w:r w:rsidRPr="002B55E9">
              <w:rPr>
                <w:sz w:val="18"/>
                <w:szCs w:val="18"/>
              </w:rPr>
              <w:t>m</w:t>
            </w:r>
          </w:p>
        </w:tc>
        <w:tc>
          <w:tcPr>
            <w:tcW w:w="1186" w:type="dxa"/>
            <w:noWrap/>
          </w:tcPr>
          <w:p w14:paraId="28973689" w14:textId="77777777" w:rsidR="003D488E" w:rsidRPr="002B55E9" w:rsidRDefault="003D488E" w:rsidP="003D488E">
            <w:pPr>
              <w:jc w:val="center"/>
            </w:pPr>
            <w:r w:rsidRPr="002B55E9">
              <w:rPr>
                <w:rFonts w:hint="eastAsia"/>
                <w:sz w:val="18"/>
                <w:szCs w:val="18"/>
              </w:rPr>
              <w:t>选用</w:t>
            </w:r>
            <w:r w:rsidRPr="002B55E9">
              <w:rPr>
                <w:sz w:val="18"/>
                <w:szCs w:val="18"/>
              </w:rPr>
              <w:t>低噪声设备、墙体隔声</w:t>
            </w:r>
          </w:p>
        </w:tc>
        <w:tc>
          <w:tcPr>
            <w:tcW w:w="364" w:type="dxa"/>
            <w:noWrap/>
            <w:vAlign w:val="center"/>
          </w:tcPr>
          <w:p w14:paraId="4C13FF75" w14:textId="77777777" w:rsidR="003D488E" w:rsidRPr="002B55E9" w:rsidRDefault="003D488E" w:rsidP="003D488E">
            <w:pPr>
              <w:widowControl/>
              <w:jc w:val="center"/>
              <w:rPr>
                <w:sz w:val="18"/>
                <w:szCs w:val="18"/>
              </w:rPr>
            </w:pPr>
            <w:r w:rsidRPr="002B55E9">
              <w:rPr>
                <w:rFonts w:hint="eastAsia"/>
                <w:sz w:val="18"/>
                <w:szCs w:val="18"/>
              </w:rPr>
              <w:t>3</w:t>
            </w:r>
          </w:p>
        </w:tc>
        <w:tc>
          <w:tcPr>
            <w:tcW w:w="393" w:type="dxa"/>
            <w:noWrap/>
            <w:vAlign w:val="center"/>
          </w:tcPr>
          <w:p w14:paraId="363C159A" w14:textId="77777777" w:rsidR="003D488E" w:rsidRPr="002B55E9" w:rsidRDefault="003D488E" w:rsidP="003D488E">
            <w:pPr>
              <w:widowControl/>
              <w:jc w:val="center"/>
              <w:rPr>
                <w:sz w:val="18"/>
                <w:szCs w:val="18"/>
              </w:rPr>
            </w:pPr>
            <w:r w:rsidRPr="002B55E9">
              <w:rPr>
                <w:rFonts w:hint="eastAsia"/>
                <w:sz w:val="18"/>
                <w:szCs w:val="18"/>
              </w:rPr>
              <w:t>3</w:t>
            </w:r>
          </w:p>
        </w:tc>
        <w:tc>
          <w:tcPr>
            <w:tcW w:w="454" w:type="dxa"/>
            <w:noWrap/>
            <w:vAlign w:val="center"/>
          </w:tcPr>
          <w:p w14:paraId="3A159694" w14:textId="77777777" w:rsidR="003D488E" w:rsidRPr="002B55E9" w:rsidRDefault="003D488E" w:rsidP="003D488E">
            <w:pPr>
              <w:widowControl/>
              <w:jc w:val="center"/>
              <w:rPr>
                <w:sz w:val="18"/>
                <w:szCs w:val="18"/>
              </w:rPr>
            </w:pPr>
            <w:r w:rsidRPr="002B55E9">
              <w:rPr>
                <w:rFonts w:hint="eastAsia"/>
                <w:sz w:val="18"/>
                <w:szCs w:val="18"/>
              </w:rPr>
              <w:t>1</w:t>
            </w:r>
          </w:p>
        </w:tc>
        <w:tc>
          <w:tcPr>
            <w:tcW w:w="757" w:type="dxa"/>
            <w:noWrap/>
            <w:vAlign w:val="center"/>
          </w:tcPr>
          <w:p w14:paraId="693E793D" w14:textId="77777777" w:rsidR="003D488E" w:rsidRPr="002B55E9" w:rsidRDefault="003D488E" w:rsidP="003D488E">
            <w:pPr>
              <w:widowControl/>
              <w:jc w:val="center"/>
              <w:rPr>
                <w:sz w:val="18"/>
                <w:szCs w:val="18"/>
              </w:rPr>
            </w:pPr>
            <w:r w:rsidRPr="002B55E9">
              <w:rPr>
                <w:rFonts w:hint="eastAsia"/>
                <w:sz w:val="18"/>
                <w:szCs w:val="18"/>
              </w:rPr>
              <w:t>2</w:t>
            </w:r>
          </w:p>
        </w:tc>
        <w:tc>
          <w:tcPr>
            <w:tcW w:w="757" w:type="dxa"/>
            <w:noWrap/>
            <w:vAlign w:val="center"/>
          </w:tcPr>
          <w:p w14:paraId="1CBE1252" w14:textId="77777777" w:rsidR="003D488E" w:rsidRPr="002B55E9" w:rsidRDefault="003D488E" w:rsidP="003D488E">
            <w:pPr>
              <w:widowControl/>
              <w:jc w:val="center"/>
              <w:rPr>
                <w:sz w:val="18"/>
                <w:szCs w:val="18"/>
              </w:rPr>
            </w:pPr>
            <w:r w:rsidRPr="002B55E9">
              <w:rPr>
                <w:rFonts w:hint="eastAsia"/>
                <w:sz w:val="18"/>
                <w:szCs w:val="18"/>
              </w:rPr>
              <w:t>64</w:t>
            </w:r>
          </w:p>
        </w:tc>
        <w:tc>
          <w:tcPr>
            <w:tcW w:w="605" w:type="dxa"/>
            <w:vMerge/>
            <w:vAlign w:val="center"/>
          </w:tcPr>
          <w:p w14:paraId="42D1A29D" w14:textId="77777777" w:rsidR="003D488E" w:rsidRPr="002B55E9" w:rsidRDefault="003D488E" w:rsidP="003D488E">
            <w:pPr>
              <w:widowControl/>
              <w:jc w:val="center"/>
              <w:rPr>
                <w:sz w:val="18"/>
                <w:szCs w:val="18"/>
              </w:rPr>
            </w:pPr>
          </w:p>
        </w:tc>
        <w:tc>
          <w:tcPr>
            <w:tcW w:w="756" w:type="dxa"/>
            <w:noWrap/>
            <w:vAlign w:val="center"/>
          </w:tcPr>
          <w:p w14:paraId="7F583E2B" w14:textId="77777777" w:rsidR="003D488E" w:rsidRPr="002B55E9" w:rsidRDefault="003D488E" w:rsidP="003D488E">
            <w:pPr>
              <w:jc w:val="center"/>
            </w:pPr>
            <w:r w:rsidRPr="002B55E9">
              <w:rPr>
                <w:rFonts w:hint="eastAsia"/>
                <w:sz w:val="18"/>
                <w:szCs w:val="18"/>
              </w:rPr>
              <w:t>20</w:t>
            </w:r>
          </w:p>
        </w:tc>
        <w:tc>
          <w:tcPr>
            <w:tcW w:w="605" w:type="dxa"/>
            <w:noWrap/>
            <w:vAlign w:val="center"/>
          </w:tcPr>
          <w:p w14:paraId="7755EF5A" w14:textId="77777777" w:rsidR="003D488E" w:rsidRPr="002B55E9" w:rsidRDefault="003D488E" w:rsidP="003D488E">
            <w:pPr>
              <w:widowControl/>
              <w:jc w:val="center"/>
              <w:rPr>
                <w:sz w:val="18"/>
                <w:szCs w:val="18"/>
              </w:rPr>
            </w:pPr>
            <w:r w:rsidRPr="002B55E9">
              <w:rPr>
                <w:rFonts w:hint="eastAsia"/>
                <w:sz w:val="18"/>
                <w:szCs w:val="18"/>
              </w:rPr>
              <w:t>38</w:t>
            </w:r>
          </w:p>
        </w:tc>
        <w:tc>
          <w:tcPr>
            <w:tcW w:w="634" w:type="dxa"/>
            <w:noWrap/>
            <w:vAlign w:val="center"/>
          </w:tcPr>
          <w:p w14:paraId="36CC5A17" w14:textId="77777777" w:rsidR="003D488E" w:rsidRPr="002B55E9" w:rsidRDefault="003D488E" w:rsidP="003D488E">
            <w:pPr>
              <w:jc w:val="center"/>
            </w:pPr>
            <w:r w:rsidRPr="002B55E9">
              <w:rPr>
                <w:sz w:val="18"/>
                <w:szCs w:val="18"/>
              </w:rPr>
              <w:t>1m</w:t>
            </w:r>
          </w:p>
        </w:tc>
      </w:tr>
    </w:tbl>
    <w:p w14:paraId="63413775" w14:textId="77777777" w:rsidR="00D170E5" w:rsidRPr="002B55E9" w:rsidRDefault="00EF27AD">
      <w:pPr>
        <w:widowControl/>
        <w:rPr>
          <w:sz w:val="18"/>
          <w:szCs w:val="18"/>
        </w:rPr>
      </w:pPr>
      <w:r w:rsidRPr="002B55E9">
        <w:rPr>
          <w:rFonts w:hint="eastAsia"/>
          <w:sz w:val="18"/>
          <w:szCs w:val="18"/>
        </w:rPr>
        <w:t>备注：建筑物插入损失主要考虑厂房隔声量，本次评价以</w:t>
      </w:r>
      <w:r w:rsidRPr="002B55E9">
        <w:rPr>
          <w:rFonts w:hint="eastAsia"/>
          <w:sz w:val="18"/>
          <w:szCs w:val="18"/>
        </w:rPr>
        <w:t>20</w:t>
      </w:r>
      <w:r w:rsidRPr="002B55E9">
        <w:rPr>
          <w:sz w:val="18"/>
          <w:szCs w:val="18"/>
        </w:rPr>
        <w:t>dB</w:t>
      </w:r>
      <w:r w:rsidRPr="002B55E9">
        <w:rPr>
          <w:rFonts w:hint="eastAsia"/>
          <w:sz w:val="18"/>
          <w:szCs w:val="18"/>
        </w:rPr>
        <w:t>（</w:t>
      </w:r>
      <w:r w:rsidRPr="002B55E9">
        <w:rPr>
          <w:rFonts w:hint="eastAsia"/>
          <w:sz w:val="18"/>
          <w:szCs w:val="18"/>
        </w:rPr>
        <w:t>A</w:t>
      </w:r>
      <w:r w:rsidRPr="002B55E9">
        <w:rPr>
          <w:rFonts w:hint="eastAsia"/>
          <w:sz w:val="18"/>
          <w:szCs w:val="18"/>
        </w:rPr>
        <w:t>）计。</w:t>
      </w:r>
    </w:p>
    <w:p w14:paraId="57F9808F" w14:textId="77777777" w:rsidR="00D170E5" w:rsidRPr="002B55E9" w:rsidRDefault="00EF27AD">
      <w:pPr>
        <w:pStyle w:val="5"/>
      </w:pPr>
      <w:r w:rsidRPr="002B55E9">
        <w:rPr>
          <w:rFonts w:hint="eastAsia"/>
        </w:rPr>
        <w:t>声源的简化</w:t>
      </w:r>
    </w:p>
    <w:p w14:paraId="19C5CDDC" w14:textId="77777777" w:rsidR="00D170E5" w:rsidRPr="002B55E9" w:rsidRDefault="00EF27AD">
      <w:pPr>
        <w:pStyle w:val="affff7"/>
      </w:pPr>
      <w:r w:rsidRPr="002B55E9">
        <w:rPr>
          <w:lang w:val="pt-BR"/>
        </w:rPr>
        <w:t>根据《环境影响评价技术导则</w:t>
      </w:r>
      <w:r w:rsidRPr="002B55E9">
        <w:rPr>
          <w:lang w:val="pt-BR"/>
        </w:rPr>
        <w:t xml:space="preserve"> </w:t>
      </w:r>
      <w:r w:rsidRPr="002B55E9">
        <w:rPr>
          <w:lang w:val="pt-BR"/>
        </w:rPr>
        <w:t>声环境》</w:t>
      </w:r>
      <w:r w:rsidRPr="002B55E9">
        <w:rPr>
          <w:rFonts w:hint="eastAsia"/>
          <w:lang w:val="pt-BR"/>
        </w:rPr>
        <w:t>（</w:t>
      </w:r>
      <w:r w:rsidRPr="002B55E9">
        <w:rPr>
          <w:lang w:val="pt-BR"/>
        </w:rPr>
        <w:t>HJ2.4-20</w:t>
      </w:r>
      <w:r w:rsidRPr="002B55E9">
        <w:rPr>
          <w:rFonts w:hint="eastAsia"/>
          <w:lang w:val="pt-BR"/>
        </w:rPr>
        <w:t>21</w:t>
      </w:r>
      <w:r w:rsidRPr="002B55E9">
        <w:rPr>
          <w:rFonts w:hint="eastAsia"/>
          <w:lang w:val="pt-BR"/>
        </w:rPr>
        <w:t>）</w:t>
      </w:r>
      <w:r w:rsidRPr="002B55E9">
        <w:rPr>
          <w:lang w:val="pt-BR"/>
        </w:rPr>
        <w:t>推荐的计算方法，并结合噪声源的空间分布形式以及预测点的位置，本次评价将各声源分别简化为若干点声源处理，室内源可采用等效室外声源声功率级法进行计算，预测室外源衰减至厂界处的噪声值</w:t>
      </w:r>
      <w:r w:rsidRPr="002B55E9">
        <w:t>。</w:t>
      </w:r>
    </w:p>
    <w:p w14:paraId="54773794" w14:textId="77777777" w:rsidR="00D170E5" w:rsidRPr="002B55E9" w:rsidRDefault="00EF27AD">
      <w:pPr>
        <w:pStyle w:val="4"/>
        <w:rPr>
          <w:color w:val="auto"/>
        </w:rPr>
      </w:pPr>
      <w:r w:rsidRPr="002B55E9">
        <w:rPr>
          <w:color w:val="auto"/>
        </w:rPr>
        <w:t>预测模式</w:t>
      </w:r>
    </w:p>
    <w:p w14:paraId="7C9C0D9E" w14:textId="77777777" w:rsidR="00D170E5" w:rsidRPr="002B55E9" w:rsidRDefault="00EF27AD">
      <w:pPr>
        <w:pStyle w:val="5"/>
      </w:pPr>
      <w:r w:rsidRPr="002B55E9">
        <w:rPr>
          <w:rFonts w:hint="eastAsia"/>
        </w:rPr>
        <w:t>室内声源等效室外声源声功率级计算方法</w:t>
      </w:r>
    </w:p>
    <w:p w14:paraId="09C352F9" w14:textId="77777777" w:rsidR="00D170E5" w:rsidRPr="002B55E9" w:rsidRDefault="00EF27AD">
      <w:pPr>
        <w:pStyle w:val="affff7"/>
      </w:pPr>
      <w:r w:rsidRPr="002B55E9">
        <w:t>声源位于室内，室内声源可采用等效室外声源声功率级法进行计算。设靠近开口处（或窗户）室内、室外某倍频带的声压级分别为</w:t>
      </w:r>
      <w:r w:rsidRPr="002B55E9">
        <w:rPr>
          <w:i/>
          <w:iCs/>
        </w:rPr>
        <w:t>L</w:t>
      </w:r>
      <w:r w:rsidRPr="002B55E9">
        <w:rPr>
          <w:i/>
          <w:iCs/>
          <w:sz w:val="14"/>
          <w:szCs w:val="14"/>
        </w:rPr>
        <w:t>p</w:t>
      </w:r>
      <w:r w:rsidRPr="002B55E9">
        <w:rPr>
          <w:sz w:val="14"/>
          <w:szCs w:val="14"/>
        </w:rPr>
        <w:t xml:space="preserve">1 </w:t>
      </w:r>
      <w:r w:rsidRPr="002B55E9">
        <w:t>和</w:t>
      </w:r>
      <w:r w:rsidRPr="002B55E9">
        <w:rPr>
          <w:i/>
          <w:iCs/>
        </w:rPr>
        <w:t>L</w:t>
      </w:r>
      <w:r w:rsidRPr="002B55E9">
        <w:rPr>
          <w:i/>
          <w:iCs/>
          <w:sz w:val="14"/>
          <w:szCs w:val="14"/>
        </w:rPr>
        <w:t>p</w:t>
      </w:r>
      <w:r w:rsidRPr="002B55E9">
        <w:rPr>
          <w:sz w:val="14"/>
          <w:szCs w:val="14"/>
        </w:rPr>
        <w:t>2</w:t>
      </w:r>
      <w:r w:rsidRPr="002B55E9">
        <w:t>。若声源所在室内声场为近似扩散声场，</w:t>
      </w:r>
      <w:r w:rsidRPr="002B55E9">
        <w:rPr>
          <w:szCs w:val="21"/>
        </w:rPr>
        <w:t>按下列公式计算出靠近室外围护结构处的声压级：</w:t>
      </w:r>
    </w:p>
    <w:p w14:paraId="2552D594" w14:textId="77777777" w:rsidR="00D170E5" w:rsidRPr="002B55E9" w:rsidRDefault="00EF27AD">
      <w:pPr>
        <w:autoSpaceDE w:val="0"/>
        <w:autoSpaceDN w:val="0"/>
        <w:adjustRightInd w:val="0"/>
        <w:spacing w:after="60" w:line="360" w:lineRule="auto"/>
        <w:ind w:firstLine="200"/>
        <w:jc w:val="center"/>
        <w:rPr>
          <w:szCs w:val="21"/>
        </w:rPr>
      </w:pPr>
      <w:r w:rsidRPr="002B55E9">
        <w:rPr>
          <w:noProof/>
          <w:szCs w:val="21"/>
        </w:rPr>
        <w:lastRenderedPageBreak/>
        <w:drawing>
          <wp:inline distT="0" distB="0" distL="0" distR="0" wp14:anchorId="0A900794" wp14:editId="527F72E9">
            <wp:extent cx="1588135" cy="228600"/>
            <wp:effectExtent l="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588135" cy="228600"/>
                    </a:xfrm>
                    <a:prstGeom prst="rect">
                      <a:avLst/>
                    </a:prstGeom>
                    <a:noFill/>
                    <a:ln>
                      <a:noFill/>
                    </a:ln>
                  </pic:spPr>
                </pic:pic>
              </a:graphicData>
            </a:graphic>
          </wp:inline>
        </w:drawing>
      </w:r>
    </w:p>
    <w:p w14:paraId="75D84E4D" w14:textId="77777777" w:rsidR="00D170E5" w:rsidRPr="002B55E9" w:rsidRDefault="00EF27AD">
      <w:pPr>
        <w:pStyle w:val="affff7"/>
      </w:pPr>
      <w:r w:rsidRPr="002B55E9">
        <w:t>式中：</w:t>
      </w:r>
    </w:p>
    <w:p w14:paraId="0640E161" w14:textId="77777777" w:rsidR="00D170E5" w:rsidRPr="002B55E9" w:rsidRDefault="00EF27AD">
      <w:pPr>
        <w:pStyle w:val="affff7"/>
        <w:rPr>
          <w:szCs w:val="21"/>
        </w:rPr>
      </w:pPr>
      <w:r w:rsidRPr="002B55E9">
        <w:rPr>
          <w:i/>
          <w:iCs/>
        </w:rPr>
        <w:t>L</w:t>
      </w:r>
      <w:r w:rsidRPr="002B55E9">
        <w:rPr>
          <w:i/>
          <w:iCs/>
          <w:sz w:val="14"/>
          <w:szCs w:val="14"/>
        </w:rPr>
        <w:t xml:space="preserve"> P </w:t>
      </w:r>
      <w:r w:rsidRPr="002B55E9">
        <w:rPr>
          <w:sz w:val="14"/>
          <w:szCs w:val="14"/>
        </w:rPr>
        <w:t>2</w:t>
      </w:r>
      <w:r w:rsidRPr="002B55E9">
        <w:rPr>
          <w:i/>
          <w:iCs/>
          <w:sz w:val="14"/>
          <w:szCs w:val="14"/>
        </w:rPr>
        <w:t>i</w:t>
      </w:r>
      <w:r w:rsidRPr="002B55E9">
        <w:t>(</w:t>
      </w:r>
      <w:r w:rsidRPr="002B55E9">
        <w:rPr>
          <w:i/>
          <w:iCs/>
        </w:rPr>
        <w:t>T</w:t>
      </w:r>
      <w:r w:rsidRPr="002B55E9">
        <w:t>)</w:t>
      </w:r>
      <w:r w:rsidRPr="002B55E9">
        <w:rPr>
          <w:i/>
          <w:iCs/>
        </w:rPr>
        <w:t xml:space="preserve"> </w:t>
      </w:r>
      <w:r w:rsidRPr="002B55E9">
        <w:t>—</w:t>
      </w:r>
      <w:r w:rsidRPr="002B55E9">
        <w:rPr>
          <w:szCs w:val="21"/>
        </w:rPr>
        <w:t>靠近围护结构处室外</w:t>
      </w:r>
      <w:r w:rsidRPr="002B55E9">
        <w:rPr>
          <w:szCs w:val="21"/>
        </w:rPr>
        <w:t>N</w:t>
      </w:r>
      <w:r w:rsidRPr="002B55E9">
        <w:rPr>
          <w:szCs w:val="21"/>
        </w:rPr>
        <w:t>个声源</w:t>
      </w:r>
      <w:r w:rsidRPr="002B55E9">
        <w:rPr>
          <w:i/>
          <w:iCs/>
          <w:sz w:val="23"/>
          <w:szCs w:val="23"/>
        </w:rPr>
        <w:t>i</w:t>
      </w:r>
      <w:r w:rsidRPr="002B55E9">
        <w:rPr>
          <w:szCs w:val="21"/>
        </w:rPr>
        <w:t>倍频带的叠加声压级，</w:t>
      </w:r>
      <w:r w:rsidRPr="002B55E9">
        <w:rPr>
          <w:szCs w:val="21"/>
        </w:rPr>
        <w:t>dB</w:t>
      </w:r>
      <w:r w:rsidRPr="002B55E9">
        <w:rPr>
          <w:szCs w:val="21"/>
        </w:rPr>
        <w:t>；</w:t>
      </w:r>
    </w:p>
    <w:p w14:paraId="0212EE08" w14:textId="77777777" w:rsidR="00D170E5" w:rsidRPr="002B55E9" w:rsidRDefault="00EF27AD">
      <w:pPr>
        <w:pStyle w:val="affff7"/>
        <w:rPr>
          <w:szCs w:val="21"/>
        </w:rPr>
      </w:pPr>
      <w:r w:rsidRPr="002B55E9">
        <w:rPr>
          <w:i/>
          <w:iCs/>
        </w:rPr>
        <w:t>TL</w:t>
      </w:r>
      <w:r w:rsidRPr="002B55E9">
        <w:rPr>
          <w:i/>
          <w:iCs/>
          <w:sz w:val="14"/>
          <w:szCs w:val="14"/>
        </w:rPr>
        <w:t xml:space="preserve"> i</w:t>
      </w:r>
      <w:r w:rsidRPr="002B55E9">
        <w:rPr>
          <w:i/>
          <w:iCs/>
        </w:rPr>
        <w:t xml:space="preserve"> </w:t>
      </w:r>
      <w:r w:rsidRPr="002B55E9">
        <w:rPr>
          <w:szCs w:val="21"/>
        </w:rPr>
        <w:t>—</w:t>
      </w:r>
      <w:r w:rsidRPr="002B55E9">
        <w:rPr>
          <w:szCs w:val="21"/>
        </w:rPr>
        <w:t>围护结构</w:t>
      </w:r>
      <w:r w:rsidRPr="002B55E9">
        <w:rPr>
          <w:i/>
          <w:iCs/>
          <w:sz w:val="23"/>
          <w:szCs w:val="23"/>
        </w:rPr>
        <w:t xml:space="preserve">i </w:t>
      </w:r>
      <w:r w:rsidRPr="002B55E9">
        <w:rPr>
          <w:szCs w:val="21"/>
        </w:rPr>
        <w:t>倍频带的隔声量，</w:t>
      </w:r>
      <w:r w:rsidRPr="002B55E9">
        <w:rPr>
          <w:szCs w:val="21"/>
        </w:rPr>
        <w:t>dB</w:t>
      </w:r>
      <w:r w:rsidRPr="002B55E9">
        <w:rPr>
          <w:szCs w:val="21"/>
        </w:rPr>
        <w:t>。</w:t>
      </w:r>
    </w:p>
    <w:p w14:paraId="2B424754" w14:textId="77777777" w:rsidR="00D170E5" w:rsidRPr="002B55E9" w:rsidRDefault="00EF27AD">
      <w:pPr>
        <w:pStyle w:val="aa"/>
      </w:pPr>
      <w:r w:rsidRPr="002B55E9">
        <w:rPr>
          <w:szCs w:val="21"/>
        </w:rPr>
        <w:t>然后按下列公式将室外声源的声压级和透过面积换算成等效的室外声源，计算出中心位置位于透声面积（</w:t>
      </w:r>
      <w:r w:rsidRPr="002B55E9">
        <w:t>S</w:t>
      </w:r>
      <w:r w:rsidRPr="002B55E9">
        <w:rPr>
          <w:szCs w:val="21"/>
        </w:rPr>
        <w:t>）处的等效声源的倍频带声功率级。</w:t>
      </w:r>
    </w:p>
    <w:p w14:paraId="28B7319E" w14:textId="77777777" w:rsidR="00D170E5" w:rsidRPr="002B55E9" w:rsidRDefault="00EF27AD">
      <w:pPr>
        <w:pStyle w:val="aa"/>
        <w:jc w:val="center"/>
      </w:pPr>
      <w:r w:rsidRPr="002B55E9">
        <w:rPr>
          <w:noProof/>
          <w:szCs w:val="21"/>
        </w:rPr>
        <w:drawing>
          <wp:inline distT="0" distB="0" distL="0" distR="0" wp14:anchorId="7E682CAF" wp14:editId="7D871FD2">
            <wp:extent cx="1437640" cy="240665"/>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437640" cy="240665"/>
                    </a:xfrm>
                    <a:prstGeom prst="rect">
                      <a:avLst/>
                    </a:prstGeom>
                    <a:noFill/>
                    <a:ln>
                      <a:noFill/>
                    </a:ln>
                  </pic:spPr>
                </pic:pic>
              </a:graphicData>
            </a:graphic>
          </wp:inline>
        </w:drawing>
      </w:r>
    </w:p>
    <w:p w14:paraId="16F74B8C" w14:textId="77777777" w:rsidR="00D170E5" w:rsidRPr="002B55E9" w:rsidRDefault="00EF27AD">
      <w:pPr>
        <w:pStyle w:val="aa"/>
      </w:pPr>
      <w:r w:rsidRPr="002B55E9">
        <w:t>然后按室外声源预测方法计算预测点处的</w:t>
      </w:r>
      <w:r w:rsidRPr="002B55E9">
        <w:t xml:space="preserve">A </w:t>
      </w:r>
      <w:r w:rsidRPr="002B55E9">
        <w:t>声级。</w:t>
      </w:r>
    </w:p>
    <w:p w14:paraId="281A08D6" w14:textId="77777777" w:rsidR="00D170E5" w:rsidRPr="002B55E9" w:rsidRDefault="00EF27AD">
      <w:pPr>
        <w:pStyle w:val="aa"/>
        <w:jc w:val="center"/>
      </w:pPr>
      <w:r w:rsidRPr="002B55E9">
        <w:rPr>
          <w:noProof/>
        </w:rPr>
        <w:drawing>
          <wp:inline distT="0" distB="0" distL="0" distR="0" wp14:anchorId="43DCAB02" wp14:editId="03993EFA">
            <wp:extent cx="3074035" cy="1648460"/>
            <wp:effectExtent l="0" t="0" r="0"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074035" cy="1648460"/>
                    </a:xfrm>
                    <a:prstGeom prst="rect">
                      <a:avLst/>
                    </a:prstGeom>
                    <a:noFill/>
                    <a:ln>
                      <a:noFill/>
                    </a:ln>
                  </pic:spPr>
                </pic:pic>
              </a:graphicData>
            </a:graphic>
          </wp:inline>
        </w:drawing>
      </w:r>
    </w:p>
    <w:p w14:paraId="09D1BE74" w14:textId="77777777" w:rsidR="00D170E5" w:rsidRPr="002B55E9" w:rsidRDefault="00EF27AD">
      <w:pPr>
        <w:pStyle w:val="1f3"/>
        <w:spacing w:before="120"/>
        <w:rPr>
          <w:rStyle w:val="copyright1"/>
          <w:color w:val="auto"/>
        </w:rPr>
      </w:pPr>
      <w:r w:rsidRPr="002B55E9">
        <w:rPr>
          <w:rStyle w:val="copyright1"/>
          <w:rFonts w:hint="eastAsia"/>
          <w:color w:val="auto"/>
        </w:rPr>
        <w:t>图</w:t>
      </w:r>
      <w:r w:rsidRPr="002B55E9">
        <w:rPr>
          <w:rStyle w:val="copyright1"/>
          <w:rFonts w:hint="eastAsia"/>
          <w:color w:val="auto"/>
        </w:rPr>
        <w:t xml:space="preserve">5-4-1  </w:t>
      </w:r>
      <w:r w:rsidRPr="002B55E9">
        <w:rPr>
          <w:rStyle w:val="copyright1"/>
          <w:rFonts w:hint="eastAsia"/>
          <w:color w:val="auto"/>
        </w:rPr>
        <w:t>室内声源等效为室外声源图例</w:t>
      </w:r>
    </w:p>
    <w:p w14:paraId="4E843145" w14:textId="77777777" w:rsidR="00D170E5" w:rsidRPr="002B55E9" w:rsidRDefault="00EF27AD">
      <w:pPr>
        <w:pStyle w:val="5"/>
      </w:pPr>
      <w:r w:rsidRPr="002B55E9">
        <w:rPr>
          <w:rFonts w:hint="eastAsia"/>
        </w:rPr>
        <w:t>噪声户外传播衰减的计算</w:t>
      </w:r>
    </w:p>
    <w:p w14:paraId="406308B2" w14:textId="77777777" w:rsidR="00D170E5" w:rsidRPr="002B55E9" w:rsidRDefault="00EF27AD">
      <w:pPr>
        <w:pStyle w:val="aa"/>
      </w:pPr>
      <w:r w:rsidRPr="002B55E9">
        <w:t>A</w:t>
      </w:r>
      <w:r w:rsidRPr="002B55E9">
        <w:t>声级的计算公式为：</w:t>
      </w:r>
    </w:p>
    <w:p w14:paraId="32516C55" w14:textId="77777777" w:rsidR="00D170E5" w:rsidRPr="002B55E9" w:rsidRDefault="00EF27AD">
      <w:pPr>
        <w:pStyle w:val="aa"/>
        <w:rPr>
          <w:sz w:val="21"/>
          <w:szCs w:val="21"/>
        </w:rPr>
      </w:pPr>
      <w:r w:rsidRPr="002B55E9">
        <w:rPr>
          <w:sz w:val="21"/>
          <w:szCs w:val="21"/>
        </w:rPr>
        <w:t>L</w:t>
      </w:r>
      <w:r w:rsidRPr="002B55E9">
        <w:rPr>
          <w:sz w:val="21"/>
          <w:szCs w:val="21"/>
          <w:vertAlign w:val="subscript"/>
        </w:rPr>
        <w:t>p</w:t>
      </w:r>
      <w:r w:rsidRPr="002B55E9">
        <w:rPr>
          <w:sz w:val="21"/>
          <w:szCs w:val="21"/>
        </w:rPr>
        <w:t>（</w:t>
      </w:r>
      <w:r w:rsidRPr="002B55E9">
        <w:rPr>
          <w:sz w:val="21"/>
          <w:szCs w:val="21"/>
        </w:rPr>
        <w:t>r</w:t>
      </w:r>
      <w:r w:rsidRPr="002B55E9">
        <w:rPr>
          <w:sz w:val="21"/>
          <w:szCs w:val="21"/>
        </w:rPr>
        <w:t>）</w:t>
      </w:r>
      <w:r w:rsidRPr="002B55E9">
        <w:rPr>
          <w:sz w:val="21"/>
          <w:szCs w:val="21"/>
        </w:rPr>
        <w:t>= L</w:t>
      </w:r>
      <w:r w:rsidRPr="002B55E9">
        <w:rPr>
          <w:sz w:val="21"/>
          <w:szCs w:val="21"/>
          <w:vertAlign w:val="subscript"/>
        </w:rPr>
        <w:t>p</w:t>
      </w:r>
      <w:r w:rsidRPr="002B55E9">
        <w:rPr>
          <w:sz w:val="21"/>
          <w:szCs w:val="21"/>
        </w:rPr>
        <w:t>（</w:t>
      </w:r>
      <w:r w:rsidRPr="002B55E9">
        <w:rPr>
          <w:sz w:val="21"/>
          <w:szCs w:val="21"/>
        </w:rPr>
        <w:t>r</w:t>
      </w:r>
      <w:r w:rsidRPr="002B55E9">
        <w:rPr>
          <w:sz w:val="21"/>
          <w:szCs w:val="21"/>
          <w:vertAlign w:val="subscript"/>
        </w:rPr>
        <w:t>0</w:t>
      </w:r>
      <w:r w:rsidRPr="002B55E9">
        <w:rPr>
          <w:sz w:val="21"/>
          <w:szCs w:val="21"/>
        </w:rPr>
        <w:t>）</w:t>
      </w:r>
      <w:r w:rsidRPr="002B55E9">
        <w:rPr>
          <w:sz w:val="21"/>
          <w:szCs w:val="21"/>
        </w:rPr>
        <w:t>—</w:t>
      </w:r>
      <w:r w:rsidRPr="002B55E9">
        <w:rPr>
          <w:sz w:val="21"/>
          <w:szCs w:val="21"/>
        </w:rPr>
        <w:t>（</w:t>
      </w:r>
      <w:r w:rsidRPr="002B55E9">
        <w:rPr>
          <w:sz w:val="21"/>
          <w:szCs w:val="21"/>
        </w:rPr>
        <w:t>A</w:t>
      </w:r>
      <w:r w:rsidRPr="002B55E9">
        <w:rPr>
          <w:sz w:val="21"/>
          <w:szCs w:val="21"/>
          <w:vertAlign w:val="subscript"/>
        </w:rPr>
        <w:t>diV</w:t>
      </w:r>
      <w:r w:rsidRPr="002B55E9">
        <w:rPr>
          <w:sz w:val="21"/>
          <w:szCs w:val="21"/>
        </w:rPr>
        <w:t>+A</w:t>
      </w:r>
      <w:r w:rsidRPr="002B55E9">
        <w:rPr>
          <w:sz w:val="21"/>
          <w:szCs w:val="21"/>
          <w:vertAlign w:val="subscript"/>
        </w:rPr>
        <w:t>bar</w:t>
      </w:r>
      <w:r w:rsidRPr="002B55E9">
        <w:rPr>
          <w:sz w:val="21"/>
          <w:szCs w:val="21"/>
        </w:rPr>
        <w:t>+A</w:t>
      </w:r>
      <w:r w:rsidRPr="002B55E9">
        <w:rPr>
          <w:sz w:val="21"/>
          <w:szCs w:val="21"/>
          <w:vertAlign w:val="subscript"/>
        </w:rPr>
        <w:t>atm</w:t>
      </w:r>
      <w:r w:rsidRPr="002B55E9">
        <w:rPr>
          <w:sz w:val="21"/>
          <w:szCs w:val="21"/>
        </w:rPr>
        <w:t>+A</w:t>
      </w:r>
      <w:r w:rsidRPr="002B55E9">
        <w:rPr>
          <w:sz w:val="21"/>
          <w:szCs w:val="21"/>
          <w:vertAlign w:val="subscript"/>
        </w:rPr>
        <w:t>exc</w:t>
      </w:r>
      <w:r w:rsidRPr="002B55E9">
        <w:rPr>
          <w:i/>
          <w:iCs/>
        </w:rPr>
        <w:t>+A</w:t>
      </w:r>
      <w:r w:rsidRPr="002B55E9">
        <w:rPr>
          <w:i/>
          <w:iCs/>
          <w:sz w:val="14"/>
          <w:szCs w:val="14"/>
        </w:rPr>
        <w:t>misc</w:t>
      </w:r>
      <w:r w:rsidRPr="002B55E9">
        <w:rPr>
          <w:sz w:val="21"/>
          <w:szCs w:val="21"/>
        </w:rPr>
        <w:t>）</w:t>
      </w:r>
    </w:p>
    <w:p w14:paraId="78B5C048" w14:textId="77777777" w:rsidR="00D170E5" w:rsidRPr="002B55E9" w:rsidRDefault="00EF27AD">
      <w:pPr>
        <w:pStyle w:val="affff7"/>
        <w:ind w:firstLine="420"/>
      </w:pPr>
      <w:r w:rsidRPr="002B55E9">
        <w:rPr>
          <w:sz w:val="21"/>
          <w:szCs w:val="21"/>
        </w:rPr>
        <w:t>L</w:t>
      </w:r>
      <w:r w:rsidRPr="002B55E9">
        <w:rPr>
          <w:sz w:val="21"/>
          <w:szCs w:val="21"/>
          <w:vertAlign w:val="subscript"/>
        </w:rPr>
        <w:t>p</w:t>
      </w:r>
      <w:r w:rsidRPr="002B55E9">
        <w:rPr>
          <w:sz w:val="21"/>
          <w:szCs w:val="21"/>
        </w:rPr>
        <w:t>（</w:t>
      </w:r>
      <w:r w:rsidRPr="002B55E9">
        <w:rPr>
          <w:sz w:val="21"/>
          <w:szCs w:val="21"/>
        </w:rPr>
        <w:t>r</w:t>
      </w:r>
      <w:r w:rsidRPr="002B55E9">
        <w:rPr>
          <w:sz w:val="21"/>
          <w:szCs w:val="21"/>
        </w:rPr>
        <w:t>）</w:t>
      </w:r>
      <w:r w:rsidRPr="002B55E9">
        <w:t>----</w:t>
      </w:r>
      <w:r w:rsidRPr="002B55E9">
        <w:t>距声源</w:t>
      </w:r>
      <w:r w:rsidRPr="002B55E9">
        <w:t>r</w:t>
      </w:r>
      <w:r w:rsidRPr="002B55E9">
        <w:t>处的</w:t>
      </w:r>
      <w:r w:rsidRPr="002B55E9">
        <w:t>A</w:t>
      </w:r>
      <w:r w:rsidRPr="002B55E9">
        <w:t>声级，</w:t>
      </w:r>
      <w:r w:rsidRPr="002B55E9">
        <w:t>dB</w:t>
      </w:r>
      <w:r w:rsidRPr="002B55E9">
        <w:t>；</w:t>
      </w:r>
    </w:p>
    <w:p w14:paraId="6F9E8E54" w14:textId="77777777" w:rsidR="00D170E5" w:rsidRPr="002B55E9" w:rsidRDefault="00EF27AD">
      <w:pPr>
        <w:pStyle w:val="affff7"/>
        <w:ind w:firstLine="420"/>
      </w:pPr>
      <w:r w:rsidRPr="002B55E9">
        <w:rPr>
          <w:sz w:val="21"/>
          <w:szCs w:val="21"/>
        </w:rPr>
        <w:t>L</w:t>
      </w:r>
      <w:r w:rsidRPr="002B55E9">
        <w:rPr>
          <w:sz w:val="21"/>
          <w:szCs w:val="21"/>
          <w:vertAlign w:val="subscript"/>
        </w:rPr>
        <w:t>p</w:t>
      </w:r>
      <w:r w:rsidRPr="002B55E9">
        <w:rPr>
          <w:sz w:val="21"/>
          <w:szCs w:val="21"/>
        </w:rPr>
        <w:t>（</w:t>
      </w:r>
      <w:r w:rsidRPr="002B55E9">
        <w:rPr>
          <w:sz w:val="21"/>
          <w:szCs w:val="21"/>
        </w:rPr>
        <w:t>r</w:t>
      </w:r>
      <w:r w:rsidRPr="002B55E9">
        <w:rPr>
          <w:sz w:val="21"/>
          <w:szCs w:val="21"/>
          <w:vertAlign w:val="subscript"/>
        </w:rPr>
        <w:t>0</w:t>
      </w:r>
      <w:r w:rsidRPr="002B55E9">
        <w:rPr>
          <w:sz w:val="21"/>
          <w:szCs w:val="21"/>
        </w:rPr>
        <w:t>）</w:t>
      </w:r>
      <w:r w:rsidRPr="002B55E9">
        <w:t>--</w:t>
      </w:r>
      <w:r w:rsidRPr="002B55E9">
        <w:t>参考位置</w:t>
      </w:r>
      <w:r w:rsidRPr="002B55E9">
        <w:t>r</w:t>
      </w:r>
      <w:r w:rsidRPr="002B55E9">
        <w:rPr>
          <w:vertAlign w:val="subscript"/>
        </w:rPr>
        <w:t>o</w:t>
      </w:r>
      <w:r w:rsidRPr="002B55E9">
        <w:t>处的</w:t>
      </w:r>
      <w:r w:rsidRPr="002B55E9">
        <w:t>A</w:t>
      </w:r>
      <w:r w:rsidRPr="002B55E9">
        <w:t>声级，</w:t>
      </w:r>
      <w:r w:rsidRPr="002B55E9">
        <w:t>dB</w:t>
      </w:r>
      <w:r w:rsidRPr="002B55E9">
        <w:t>；</w:t>
      </w:r>
    </w:p>
    <w:p w14:paraId="30C7163E" w14:textId="77777777" w:rsidR="00D170E5" w:rsidRPr="002B55E9" w:rsidRDefault="00EF27AD">
      <w:pPr>
        <w:pStyle w:val="affff7"/>
        <w:ind w:firstLine="420"/>
      </w:pPr>
      <w:r w:rsidRPr="002B55E9">
        <w:rPr>
          <w:sz w:val="21"/>
          <w:szCs w:val="21"/>
        </w:rPr>
        <w:t>A</w:t>
      </w:r>
      <w:r w:rsidRPr="002B55E9">
        <w:rPr>
          <w:sz w:val="21"/>
          <w:szCs w:val="21"/>
          <w:vertAlign w:val="subscript"/>
        </w:rPr>
        <w:t>diV</w:t>
      </w:r>
      <w:r w:rsidRPr="002B55E9">
        <w:t>-------</w:t>
      </w:r>
      <w:r w:rsidRPr="002B55E9">
        <w:t>声波几何发散引起的</w:t>
      </w:r>
      <w:r w:rsidRPr="002B55E9">
        <w:t>A</w:t>
      </w:r>
      <w:r w:rsidRPr="002B55E9">
        <w:t>声级衰减量，</w:t>
      </w:r>
      <w:r w:rsidRPr="002B55E9">
        <w:t>dB</w:t>
      </w:r>
      <w:r w:rsidRPr="002B55E9">
        <w:t>；</w:t>
      </w:r>
    </w:p>
    <w:p w14:paraId="60AD0763" w14:textId="77777777" w:rsidR="00D170E5" w:rsidRPr="002B55E9" w:rsidRDefault="00EF27AD">
      <w:pPr>
        <w:pStyle w:val="affff7"/>
        <w:ind w:firstLine="420"/>
      </w:pPr>
      <w:r w:rsidRPr="002B55E9">
        <w:rPr>
          <w:sz w:val="21"/>
          <w:szCs w:val="21"/>
        </w:rPr>
        <w:t>A</w:t>
      </w:r>
      <w:r w:rsidRPr="002B55E9">
        <w:rPr>
          <w:sz w:val="21"/>
          <w:szCs w:val="21"/>
          <w:vertAlign w:val="subscript"/>
        </w:rPr>
        <w:t>bar</w:t>
      </w:r>
      <w:r w:rsidRPr="002B55E9">
        <w:t>-------</w:t>
      </w:r>
      <w:r w:rsidRPr="002B55E9">
        <w:t>遮挡物引起的</w:t>
      </w:r>
      <w:r w:rsidRPr="002B55E9">
        <w:t>A</w:t>
      </w:r>
      <w:r w:rsidRPr="002B55E9">
        <w:t>声级衰减量，</w:t>
      </w:r>
      <w:r w:rsidRPr="002B55E9">
        <w:t>dB</w:t>
      </w:r>
      <w:r w:rsidRPr="002B55E9">
        <w:t>；</w:t>
      </w:r>
    </w:p>
    <w:p w14:paraId="69014A03" w14:textId="77777777" w:rsidR="00D170E5" w:rsidRPr="002B55E9" w:rsidRDefault="00EF27AD">
      <w:pPr>
        <w:pStyle w:val="affff7"/>
        <w:ind w:firstLine="420"/>
      </w:pPr>
      <w:r w:rsidRPr="002B55E9">
        <w:rPr>
          <w:sz w:val="21"/>
          <w:szCs w:val="21"/>
        </w:rPr>
        <w:t>A</w:t>
      </w:r>
      <w:r w:rsidRPr="002B55E9">
        <w:rPr>
          <w:sz w:val="21"/>
          <w:szCs w:val="21"/>
          <w:vertAlign w:val="subscript"/>
        </w:rPr>
        <w:t>atm</w:t>
      </w:r>
      <w:r w:rsidRPr="002B55E9">
        <w:t>-------</w:t>
      </w:r>
      <w:r w:rsidRPr="002B55E9">
        <w:t>空气吸收引起的</w:t>
      </w:r>
      <w:r w:rsidRPr="002B55E9">
        <w:t>A</w:t>
      </w:r>
      <w:r w:rsidRPr="002B55E9">
        <w:t>声级衰减量，</w:t>
      </w:r>
      <w:r w:rsidRPr="002B55E9">
        <w:t>dB</w:t>
      </w:r>
      <w:r w:rsidRPr="002B55E9">
        <w:t>；</w:t>
      </w:r>
    </w:p>
    <w:p w14:paraId="71814840" w14:textId="77777777" w:rsidR="00D170E5" w:rsidRPr="002B55E9" w:rsidRDefault="00EF27AD">
      <w:pPr>
        <w:pStyle w:val="affff7"/>
        <w:ind w:firstLine="420"/>
      </w:pPr>
      <w:r w:rsidRPr="002B55E9">
        <w:rPr>
          <w:sz w:val="21"/>
          <w:szCs w:val="21"/>
        </w:rPr>
        <w:t>A</w:t>
      </w:r>
      <w:r w:rsidRPr="002B55E9">
        <w:rPr>
          <w:sz w:val="21"/>
          <w:szCs w:val="21"/>
          <w:vertAlign w:val="subscript"/>
        </w:rPr>
        <w:t>exc</w:t>
      </w:r>
      <w:r w:rsidRPr="002B55E9">
        <w:t>-------</w:t>
      </w:r>
      <w:r w:rsidRPr="002B55E9">
        <w:t>附加</w:t>
      </w:r>
      <w:r w:rsidRPr="002B55E9">
        <w:t>A</w:t>
      </w:r>
      <w:r w:rsidRPr="002B55E9">
        <w:t>声级衰减量，</w:t>
      </w:r>
      <w:r w:rsidRPr="002B55E9">
        <w:t>dB</w:t>
      </w:r>
      <w:r w:rsidRPr="002B55E9">
        <w:t>；</w:t>
      </w:r>
    </w:p>
    <w:p w14:paraId="07BDC66D" w14:textId="77777777" w:rsidR="00D170E5" w:rsidRPr="002B55E9" w:rsidRDefault="00EF27AD">
      <w:pPr>
        <w:autoSpaceDE w:val="0"/>
        <w:autoSpaceDN w:val="0"/>
        <w:adjustRightInd w:val="0"/>
        <w:spacing w:line="360" w:lineRule="auto"/>
        <w:ind w:firstLineChars="200" w:firstLine="480"/>
        <w:jc w:val="left"/>
        <w:rPr>
          <w:sz w:val="24"/>
        </w:rPr>
      </w:pPr>
      <w:r w:rsidRPr="002B55E9">
        <w:rPr>
          <w:i/>
          <w:iCs/>
          <w:sz w:val="24"/>
        </w:rPr>
        <w:t>Amisc</w:t>
      </w:r>
      <w:r w:rsidRPr="002B55E9">
        <w:rPr>
          <w:sz w:val="24"/>
        </w:rPr>
        <w:t>-------</w:t>
      </w:r>
      <w:r w:rsidRPr="002B55E9">
        <w:rPr>
          <w:sz w:val="24"/>
        </w:rPr>
        <w:t>其他多方面效应，</w:t>
      </w:r>
      <w:r w:rsidRPr="002B55E9">
        <w:rPr>
          <w:sz w:val="24"/>
        </w:rPr>
        <w:t>dB</w:t>
      </w:r>
      <w:r w:rsidRPr="002B55E9">
        <w:rPr>
          <w:sz w:val="24"/>
        </w:rPr>
        <w:t>；</w:t>
      </w:r>
    </w:p>
    <w:p w14:paraId="1671EACA" w14:textId="77777777" w:rsidR="00D170E5" w:rsidRPr="002B55E9" w:rsidRDefault="00EF27AD">
      <w:pPr>
        <w:autoSpaceDE w:val="0"/>
        <w:autoSpaceDN w:val="0"/>
        <w:adjustRightInd w:val="0"/>
        <w:snapToGrid w:val="0"/>
        <w:spacing w:line="360" w:lineRule="auto"/>
        <w:ind w:firstLineChars="200" w:firstLine="480"/>
        <w:jc w:val="left"/>
        <w:rPr>
          <w:sz w:val="32"/>
        </w:rPr>
      </w:pPr>
      <w:r w:rsidRPr="002B55E9">
        <w:rPr>
          <w:sz w:val="24"/>
        </w:rPr>
        <w:t>根据现场调查，项目所在地地势较为平坦，预测点主要集中在厂界外</w:t>
      </w:r>
      <w:r w:rsidRPr="002B55E9">
        <w:rPr>
          <w:sz w:val="24"/>
        </w:rPr>
        <w:t>1m</w:t>
      </w:r>
      <w:r w:rsidRPr="002B55E9">
        <w:rPr>
          <w:sz w:val="24"/>
        </w:rPr>
        <w:t>处，故本次评价不考虑</w:t>
      </w:r>
      <w:r w:rsidRPr="002B55E9">
        <w:rPr>
          <w:sz w:val="24"/>
        </w:rPr>
        <w:t>A</w:t>
      </w:r>
      <w:r w:rsidRPr="002B55E9">
        <w:rPr>
          <w:sz w:val="24"/>
          <w:vertAlign w:val="subscript"/>
        </w:rPr>
        <w:t>gy</w:t>
      </w:r>
      <w:r w:rsidRPr="002B55E9">
        <w:rPr>
          <w:sz w:val="24"/>
        </w:rPr>
        <w:t>、</w:t>
      </w:r>
      <w:r w:rsidRPr="002B55E9">
        <w:rPr>
          <w:sz w:val="24"/>
        </w:rPr>
        <w:t>A</w:t>
      </w:r>
      <w:r w:rsidRPr="002B55E9">
        <w:rPr>
          <w:sz w:val="24"/>
          <w:vertAlign w:val="subscript"/>
        </w:rPr>
        <w:t>atm</w:t>
      </w:r>
      <w:r w:rsidRPr="002B55E9">
        <w:rPr>
          <w:sz w:val="24"/>
        </w:rPr>
        <w:t>、</w:t>
      </w:r>
      <w:r w:rsidRPr="002B55E9">
        <w:rPr>
          <w:sz w:val="24"/>
        </w:rPr>
        <w:t>A</w:t>
      </w:r>
      <w:r w:rsidRPr="002B55E9">
        <w:rPr>
          <w:sz w:val="24"/>
          <w:vertAlign w:val="subscript"/>
        </w:rPr>
        <w:t>misc</w:t>
      </w:r>
      <w:r w:rsidRPr="002B55E9">
        <w:rPr>
          <w:sz w:val="24"/>
        </w:rPr>
        <w:t>。</w:t>
      </w:r>
    </w:p>
    <w:p w14:paraId="2B48FAC9" w14:textId="77777777" w:rsidR="00D170E5" w:rsidRPr="002B55E9" w:rsidRDefault="00EF27AD">
      <w:pPr>
        <w:pStyle w:val="5"/>
      </w:pPr>
      <w:r w:rsidRPr="002B55E9">
        <w:t>室外点源</w:t>
      </w:r>
      <w:r w:rsidRPr="002B55E9">
        <w:rPr>
          <w:rFonts w:hint="eastAsia"/>
        </w:rPr>
        <w:t>的</w:t>
      </w:r>
      <w:r w:rsidRPr="002B55E9">
        <w:t>几何发散衰减</w:t>
      </w:r>
    </w:p>
    <w:p w14:paraId="29C9BBBA" w14:textId="77777777" w:rsidR="00D170E5" w:rsidRPr="002B55E9" w:rsidRDefault="00EF27AD">
      <w:pPr>
        <w:spacing w:after="60" w:line="360" w:lineRule="auto"/>
        <w:ind w:firstLineChars="200" w:firstLine="480"/>
        <w:rPr>
          <w:sz w:val="24"/>
        </w:rPr>
      </w:pPr>
      <w:r w:rsidRPr="002B55E9">
        <w:rPr>
          <w:rFonts w:hint="eastAsia"/>
          <w:sz w:val="24"/>
        </w:rPr>
        <w:t>点声源的几何发散衰减</w:t>
      </w:r>
    </w:p>
    <w:p w14:paraId="3B3385B8" w14:textId="77777777" w:rsidR="00D170E5" w:rsidRPr="002B55E9" w:rsidRDefault="00EF27AD">
      <w:pPr>
        <w:spacing w:after="60" w:line="360" w:lineRule="auto"/>
        <w:jc w:val="center"/>
        <w:rPr>
          <w:sz w:val="24"/>
        </w:rPr>
      </w:pPr>
      <w:r w:rsidRPr="002B55E9">
        <w:rPr>
          <w:noProof/>
        </w:rPr>
        <w:lastRenderedPageBreak/>
        <w:drawing>
          <wp:inline distT="0" distB="0" distL="0" distR="0" wp14:anchorId="2911A8BB" wp14:editId="2582D258">
            <wp:extent cx="1846580" cy="264795"/>
            <wp:effectExtent l="0" t="0" r="0" b="0"/>
            <wp:docPr id="45" name="图片 2" descr="1654052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165405248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846580" cy="264795"/>
                    </a:xfrm>
                    <a:prstGeom prst="rect">
                      <a:avLst/>
                    </a:prstGeom>
                    <a:noFill/>
                    <a:ln>
                      <a:noFill/>
                    </a:ln>
                  </pic:spPr>
                </pic:pic>
              </a:graphicData>
            </a:graphic>
          </wp:inline>
        </w:drawing>
      </w:r>
    </w:p>
    <w:p w14:paraId="429DB1B2" w14:textId="77777777" w:rsidR="00D170E5" w:rsidRPr="002B55E9" w:rsidRDefault="00EF27AD">
      <w:pPr>
        <w:spacing w:after="60" w:line="360" w:lineRule="auto"/>
        <w:ind w:firstLineChars="200" w:firstLine="480"/>
        <w:rPr>
          <w:sz w:val="24"/>
        </w:rPr>
      </w:pPr>
      <w:r w:rsidRPr="002B55E9">
        <w:rPr>
          <w:sz w:val="24"/>
        </w:rPr>
        <w:t>式中：</w:t>
      </w:r>
      <w:r w:rsidRPr="002B55E9">
        <w:rPr>
          <w:i/>
          <w:sz w:val="24"/>
        </w:rPr>
        <w:t>L</w:t>
      </w:r>
      <w:r w:rsidRPr="002B55E9">
        <w:rPr>
          <w:i/>
          <w:sz w:val="24"/>
          <w:vertAlign w:val="subscript"/>
        </w:rPr>
        <w:t>p</w:t>
      </w:r>
      <w:r w:rsidRPr="002B55E9">
        <w:rPr>
          <w:sz w:val="24"/>
        </w:rPr>
        <w:t>(</w:t>
      </w:r>
      <w:r w:rsidRPr="002B55E9">
        <w:rPr>
          <w:i/>
          <w:sz w:val="24"/>
        </w:rPr>
        <w:t>r</w:t>
      </w:r>
      <w:r w:rsidRPr="002B55E9">
        <w:rPr>
          <w:sz w:val="24"/>
        </w:rPr>
        <w:t>) ——</w:t>
      </w:r>
      <w:r w:rsidRPr="002B55E9">
        <w:rPr>
          <w:sz w:val="24"/>
        </w:rPr>
        <w:t>预测点处声压级，</w:t>
      </w:r>
      <w:r w:rsidRPr="002B55E9">
        <w:rPr>
          <w:sz w:val="24"/>
        </w:rPr>
        <w:t>dB</w:t>
      </w:r>
      <w:r w:rsidRPr="002B55E9">
        <w:rPr>
          <w:sz w:val="24"/>
        </w:rPr>
        <w:t>；</w:t>
      </w:r>
    </w:p>
    <w:p w14:paraId="36B6C8F0" w14:textId="77777777" w:rsidR="00D170E5" w:rsidRPr="002B55E9" w:rsidRDefault="00EF27AD">
      <w:pPr>
        <w:spacing w:after="60" w:line="360" w:lineRule="auto"/>
        <w:ind w:firstLineChars="200" w:firstLine="480"/>
        <w:rPr>
          <w:sz w:val="24"/>
        </w:rPr>
      </w:pPr>
      <w:r w:rsidRPr="002B55E9">
        <w:rPr>
          <w:i/>
          <w:sz w:val="24"/>
        </w:rPr>
        <w:t>L</w:t>
      </w:r>
      <w:r w:rsidRPr="002B55E9">
        <w:rPr>
          <w:i/>
          <w:sz w:val="24"/>
          <w:vertAlign w:val="subscript"/>
        </w:rPr>
        <w:t>p</w:t>
      </w:r>
      <w:r w:rsidRPr="002B55E9">
        <w:rPr>
          <w:sz w:val="24"/>
        </w:rPr>
        <w:t>(</w:t>
      </w:r>
      <w:r w:rsidRPr="002B55E9">
        <w:rPr>
          <w:i/>
          <w:sz w:val="24"/>
        </w:rPr>
        <w:t>r</w:t>
      </w:r>
      <w:r w:rsidRPr="002B55E9">
        <w:rPr>
          <w:sz w:val="24"/>
          <w:vertAlign w:val="subscript"/>
        </w:rPr>
        <w:t>0</w:t>
      </w:r>
      <w:r w:rsidRPr="002B55E9">
        <w:rPr>
          <w:sz w:val="24"/>
        </w:rPr>
        <w:t>) ——</w:t>
      </w:r>
      <w:r w:rsidRPr="002B55E9">
        <w:rPr>
          <w:sz w:val="24"/>
        </w:rPr>
        <w:t>参考位置</w:t>
      </w:r>
      <w:r w:rsidRPr="002B55E9">
        <w:rPr>
          <w:i/>
          <w:sz w:val="24"/>
        </w:rPr>
        <w:t>r</w:t>
      </w:r>
      <w:r w:rsidRPr="002B55E9">
        <w:rPr>
          <w:sz w:val="24"/>
          <w:vertAlign w:val="subscript"/>
        </w:rPr>
        <w:t>0</w:t>
      </w:r>
      <w:r w:rsidRPr="002B55E9">
        <w:rPr>
          <w:sz w:val="24"/>
        </w:rPr>
        <w:t>处的声压级，</w:t>
      </w:r>
      <w:r w:rsidRPr="002B55E9">
        <w:rPr>
          <w:sz w:val="24"/>
        </w:rPr>
        <w:t>dB</w:t>
      </w:r>
      <w:r w:rsidRPr="002B55E9">
        <w:rPr>
          <w:sz w:val="24"/>
        </w:rPr>
        <w:t>；</w:t>
      </w:r>
    </w:p>
    <w:p w14:paraId="1D477FC6" w14:textId="77777777" w:rsidR="00D170E5" w:rsidRPr="002B55E9" w:rsidRDefault="00EF27AD">
      <w:pPr>
        <w:spacing w:after="60" w:line="360" w:lineRule="auto"/>
        <w:ind w:firstLineChars="200" w:firstLine="480"/>
        <w:rPr>
          <w:sz w:val="24"/>
        </w:rPr>
      </w:pPr>
      <w:r w:rsidRPr="002B55E9">
        <w:rPr>
          <w:i/>
          <w:sz w:val="24"/>
        </w:rPr>
        <w:t xml:space="preserve">r </w:t>
      </w:r>
      <w:r w:rsidRPr="002B55E9">
        <w:rPr>
          <w:sz w:val="24"/>
        </w:rPr>
        <w:t>——</w:t>
      </w:r>
      <w:r w:rsidRPr="002B55E9">
        <w:rPr>
          <w:sz w:val="24"/>
        </w:rPr>
        <w:t>预测点距声源的距离；</w:t>
      </w:r>
    </w:p>
    <w:p w14:paraId="5AFD8793" w14:textId="77777777" w:rsidR="00D170E5" w:rsidRPr="002B55E9" w:rsidRDefault="00EF27AD">
      <w:pPr>
        <w:pStyle w:val="5"/>
      </w:pPr>
      <w:r w:rsidRPr="002B55E9">
        <w:rPr>
          <w:rFonts w:hint="eastAsia"/>
        </w:rPr>
        <w:t>面声源的几何发散衰减</w:t>
      </w:r>
    </w:p>
    <w:p w14:paraId="4B46F887" w14:textId="77777777" w:rsidR="00D170E5" w:rsidRPr="002B55E9" w:rsidRDefault="00EF27AD">
      <w:pPr>
        <w:pStyle w:val="affff7"/>
      </w:pPr>
      <w:r w:rsidRPr="002B55E9">
        <w:t>一个大型机器设备的振动表面，车间透声的墙壁，均可以认为是面声源。如果已知面声源单位面积的声功率为</w:t>
      </w:r>
      <w:r w:rsidRPr="002B55E9">
        <w:t>W</w:t>
      </w:r>
      <w:r w:rsidRPr="002B55E9">
        <w:t>，各面积元噪声的位相是随机的，面声源可看作由无数点声源连续分布组合而成，其合成声级可按能量叠加法求出。</w:t>
      </w:r>
    </w:p>
    <w:p w14:paraId="7CB942FC" w14:textId="77777777" w:rsidR="00D170E5" w:rsidRPr="002B55E9" w:rsidRDefault="00EF27AD">
      <w:pPr>
        <w:pStyle w:val="affff7"/>
        <w:snapToGrid w:val="0"/>
        <w:jc w:val="center"/>
        <w:rPr>
          <w:bCs w:val="0"/>
        </w:rPr>
      </w:pPr>
      <w:r w:rsidRPr="002B55E9">
        <w:rPr>
          <w:noProof/>
          <w:snapToGrid/>
        </w:rPr>
        <w:drawing>
          <wp:inline distT="0" distB="0" distL="0" distR="0" wp14:anchorId="26CC4D97" wp14:editId="06C9689C">
            <wp:extent cx="2755265" cy="2003425"/>
            <wp:effectExtent l="0" t="0" r="0" b="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55265" cy="2003425"/>
                    </a:xfrm>
                    <a:prstGeom prst="rect">
                      <a:avLst/>
                    </a:prstGeom>
                    <a:noFill/>
                    <a:ln>
                      <a:noFill/>
                    </a:ln>
                  </pic:spPr>
                </pic:pic>
              </a:graphicData>
            </a:graphic>
          </wp:inline>
        </w:drawing>
      </w:r>
    </w:p>
    <w:p w14:paraId="6A4BA59F" w14:textId="77777777" w:rsidR="00D170E5" w:rsidRPr="002B55E9" w:rsidRDefault="00EF27AD">
      <w:pPr>
        <w:pStyle w:val="1f3"/>
        <w:spacing w:before="120"/>
      </w:pPr>
      <w:r w:rsidRPr="002B55E9">
        <w:t>图</w:t>
      </w:r>
      <w:r w:rsidRPr="002B55E9">
        <w:rPr>
          <w:rFonts w:hint="eastAsia"/>
        </w:rPr>
        <w:t>5-4-</w:t>
      </w:r>
      <w:r w:rsidRPr="002B55E9">
        <w:t xml:space="preserve">2   </w:t>
      </w:r>
      <w:r w:rsidRPr="002B55E9">
        <w:t>长方形面声源中心轴线上的衰减特性</w:t>
      </w:r>
    </w:p>
    <w:p w14:paraId="731DAA23" w14:textId="77777777" w:rsidR="00D170E5" w:rsidRPr="002B55E9" w:rsidRDefault="00EF27AD">
      <w:pPr>
        <w:pStyle w:val="affff7"/>
        <w:snapToGrid w:val="0"/>
        <w:spacing w:beforeLines="50" w:before="120"/>
        <w:rPr>
          <w:szCs w:val="21"/>
        </w:rPr>
      </w:pPr>
      <w:r w:rsidRPr="002B55E9">
        <w:t>上图给出了长方形面声源中心轴线上的声衰减曲线。当预测点和面声源中心距离</w:t>
      </w:r>
      <w:r w:rsidRPr="002B55E9">
        <w:t xml:space="preserve">r </w:t>
      </w:r>
      <w:r w:rsidRPr="002B55E9">
        <w:t>处于以下条件时，可按下述方法近似计算：</w:t>
      </w:r>
      <w:r w:rsidRPr="002B55E9">
        <w:t>r&lt;a/π</w:t>
      </w:r>
      <w:r w:rsidRPr="002B55E9">
        <w:t>时，几乎不衰减（</w:t>
      </w:r>
      <w:r w:rsidRPr="002B55E9">
        <w:t>A</w:t>
      </w:r>
      <w:r w:rsidRPr="002B55E9">
        <w:rPr>
          <w:vertAlign w:val="subscript"/>
        </w:rPr>
        <w:t>div</w:t>
      </w:r>
      <w:r w:rsidRPr="002B55E9">
        <w:t>≈0</w:t>
      </w:r>
      <w:r w:rsidRPr="002B55E9">
        <w:t>）；当</w:t>
      </w:r>
      <w:r w:rsidRPr="002B55E9">
        <w:t>a/π&lt;r&lt;b/π</w:t>
      </w:r>
      <w:r w:rsidRPr="002B55E9">
        <w:t>，距离加倍衰减</w:t>
      </w:r>
      <w:r w:rsidRPr="002B55E9">
        <w:t xml:space="preserve">3dB </w:t>
      </w:r>
      <w:r w:rsidRPr="002B55E9">
        <w:t>左右，类似线声源衰减特性（</w:t>
      </w:r>
      <w:r w:rsidRPr="002B55E9">
        <w:t>Adiv≈10 lg</w:t>
      </w:r>
      <w:r w:rsidRPr="002B55E9">
        <w:t>（</w:t>
      </w:r>
      <w:r w:rsidRPr="002B55E9">
        <w:t>r/r</w:t>
      </w:r>
      <w:r w:rsidRPr="002B55E9">
        <w:rPr>
          <w:vertAlign w:val="subscript"/>
        </w:rPr>
        <w:t>0</w:t>
      </w:r>
      <w:r w:rsidRPr="002B55E9">
        <w:t>））；当</w:t>
      </w:r>
      <w:r w:rsidRPr="002B55E9">
        <w:t xml:space="preserve">r&gt;b/π </w:t>
      </w:r>
      <w:r w:rsidRPr="002B55E9">
        <w:t>时，距离加倍衰减趋近于</w:t>
      </w:r>
      <w:r w:rsidRPr="002B55E9">
        <w:t>6dB</w:t>
      </w:r>
      <w:r w:rsidRPr="002B55E9">
        <w:t>，类似点声源衰减特性（</w:t>
      </w:r>
      <w:r w:rsidRPr="002B55E9">
        <w:t>Adiv≈20 lg</w:t>
      </w:r>
      <w:r w:rsidRPr="002B55E9">
        <w:t>（</w:t>
      </w:r>
      <w:r w:rsidRPr="002B55E9">
        <w:t>r/r</w:t>
      </w:r>
      <w:r w:rsidRPr="002B55E9">
        <w:rPr>
          <w:vertAlign w:val="subscript"/>
        </w:rPr>
        <w:t>0</w:t>
      </w:r>
      <w:r w:rsidRPr="002B55E9">
        <w:t>））。其中面声源的</w:t>
      </w:r>
      <w:r w:rsidRPr="002B55E9">
        <w:t>b&gt;a</w:t>
      </w:r>
      <w:r w:rsidRPr="002B55E9">
        <w:t>。图中虚线为实际衰减量</w:t>
      </w:r>
      <w:r w:rsidRPr="002B55E9">
        <w:rPr>
          <w:szCs w:val="21"/>
        </w:rPr>
        <w:t>。</w:t>
      </w:r>
    </w:p>
    <w:p w14:paraId="5414F7B3" w14:textId="77777777" w:rsidR="00D170E5" w:rsidRPr="002B55E9" w:rsidRDefault="00EF27AD">
      <w:pPr>
        <w:pStyle w:val="5"/>
      </w:pPr>
      <w:r w:rsidRPr="002B55E9">
        <w:rPr>
          <w:rFonts w:hint="eastAsia"/>
        </w:rPr>
        <w:t>屏障引起的衰减（</w:t>
      </w:r>
      <w:r w:rsidRPr="002B55E9">
        <w:rPr>
          <w:rFonts w:hint="eastAsia"/>
        </w:rPr>
        <w:t>Abar</w:t>
      </w:r>
      <w:r w:rsidRPr="002B55E9">
        <w:rPr>
          <w:rFonts w:hint="eastAsia"/>
        </w:rPr>
        <w:t>）</w:t>
      </w:r>
    </w:p>
    <w:p w14:paraId="436F78F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主要考虑厂房衰减的计算，采用双绕射计算。</w:t>
      </w:r>
    </w:p>
    <w:p w14:paraId="267FE3D6"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对于下图所示的双绕射情景，可由公式（</w:t>
      </w:r>
      <w:r w:rsidRPr="002B55E9">
        <w:rPr>
          <w:rFonts w:hint="eastAsia"/>
          <w:bCs/>
          <w:snapToGrid w:val="0"/>
          <w:sz w:val="24"/>
        </w:rPr>
        <w:t>26</w:t>
      </w:r>
      <w:r w:rsidRPr="002B55E9">
        <w:rPr>
          <w:rFonts w:hint="eastAsia"/>
          <w:bCs/>
          <w:snapToGrid w:val="0"/>
          <w:sz w:val="24"/>
        </w:rPr>
        <w:t>）计算绕射声与直达声之间的声程差δ</w:t>
      </w:r>
      <w:r w:rsidRPr="002B55E9">
        <w:rPr>
          <w:bCs/>
          <w:snapToGrid w:val="0"/>
          <w:sz w:val="24"/>
        </w:rPr>
        <w:t>：</w:t>
      </w:r>
    </w:p>
    <w:p w14:paraId="13544F41" w14:textId="77777777" w:rsidR="00D170E5" w:rsidRPr="002B55E9" w:rsidRDefault="00EF27AD">
      <w:pPr>
        <w:pStyle w:val="afd"/>
        <w:ind w:firstLineChars="0" w:firstLine="0"/>
        <w:jc w:val="center"/>
      </w:pPr>
      <w:r w:rsidRPr="002B55E9">
        <w:rPr>
          <w:noProof/>
        </w:rPr>
        <w:drawing>
          <wp:inline distT="0" distB="0" distL="0" distR="0" wp14:anchorId="77BED879" wp14:editId="6F8395D0">
            <wp:extent cx="2454275" cy="288925"/>
            <wp:effectExtent l="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54275" cy="288925"/>
                    </a:xfrm>
                    <a:prstGeom prst="rect">
                      <a:avLst/>
                    </a:prstGeom>
                    <a:noFill/>
                    <a:ln>
                      <a:noFill/>
                    </a:ln>
                  </pic:spPr>
                </pic:pic>
              </a:graphicData>
            </a:graphic>
          </wp:inline>
        </w:drawing>
      </w:r>
    </w:p>
    <w:p w14:paraId="2471212B" w14:textId="77777777" w:rsidR="00D170E5" w:rsidRPr="002B55E9" w:rsidRDefault="00EF27AD">
      <w:pPr>
        <w:spacing w:line="360" w:lineRule="auto"/>
        <w:rPr>
          <w:rFonts w:ascii="Times" w:hAnsi="Times"/>
          <w:kern w:val="24"/>
          <w:sz w:val="24"/>
        </w:rPr>
      </w:pPr>
      <w:r w:rsidRPr="002B55E9">
        <w:rPr>
          <w:rFonts w:ascii="Times" w:hAnsi="Times"/>
          <w:kern w:val="24"/>
          <w:sz w:val="24"/>
        </w:rPr>
        <w:t>式中：</w:t>
      </w:r>
      <w:r w:rsidRPr="002B55E9">
        <w:rPr>
          <w:rFonts w:eastAsia="Times New Roman"/>
          <w:i/>
          <w:kern w:val="24"/>
          <w:sz w:val="24"/>
        </w:rPr>
        <w:t>δ</w:t>
      </w:r>
      <w:r w:rsidRPr="002B55E9">
        <w:rPr>
          <w:rFonts w:eastAsia="Times New Roman"/>
          <w:kern w:val="24"/>
          <w:sz w:val="24"/>
        </w:rPr>
        <w:t>——</w:t>
      </w:r>
      <w:r w:rsidRPr="002B55E9">
        <w:rPr>
          <w:rFonts w:ascii="Times" w:hAnsi="Times"/>
          <w:kern w:val="24"/>
          <w:sz w:val="24"/>
        </w:rPr>
        <w:t>声程差，</w:t>
      </w:r>
      <w:r w:rsidRPr="002B55E9">
        <w:rPr>
          <w:rFonts w:eastAsia="Times New Roman"/>
          <w:kern w:val="24"/>
          <w:sz w:val="24"/>
        </w:rPr>
        <w:t>m</w:t>
      </w:r>
      <w:r w:rsidRPr="002B55E9">
        <w:rPr>
          <w:rFonts w:ascii="Times" w:hAnsi="Times"/>
          <w:kern w:val="24"/>
          <w:sz w:val="24"/>
        </w:rPr>
        <w:t>；</w:t>
      </w:r>
    </w:p>
    <w:p w14:paraId="23123D13" w14:textId="77777777" w:rsidR="00D170E5" w:rsidRPr="002B55E9" w:rsidRDefault="00EF27AD">
      <w:pPr>
        <w:spacing w:after="60" w:line="360" w:lineRule="auto"/>
        <w:ind w:firstLineChars="200" w:firstLine="480"/>
        <w:rPr>
          <w:bCs/>
          <w:snapToGrid w:val="0"/>
          <w:sz w:val="24"/>
        </w:rPr>
      </w:pPr>
      <w:r w:rsidRPr="002B55E9">
        <w:rPr>
          <w:bCs/>
          <w:snapToGrid w:val="0"/>
          <w:sz w:val="24"/>
        </w:rPr>
        <w:t>a—</w:t>
      </w:r>
      <w:r w:rsidRPr="002B55E9">
        <w:rPr>
          <w:bCs/>
          <w:snapToGrid w:val="0"/>
          <w:sz w:val="24"/>
        </w:rPr>
        <w:t>声源和接收点之间的距离在平行于屏障上边界的投影长度，</w:t>
      </w:r>
      <w:r w:rsidRPr="002B55E9">
        <w:rPr>
          <w:bCs/>
          <w:snapToGrid w:val="0"/>
          <w:sz w:val="24"/>
        </w:rPr>
        <w:t>m</w:t>
      </w:r>
      <w:r w:rsidRPr="002B55E9">
        <w:rPr>
          <w:bCs/>
          <w:snapToGrid w:val="0"/>
          <w:sz w:val="24"/>
        </w:rPr>
        <w:t>；</w:t>
      </w:r>
    </w:p>
    <w:p w14:paraId="0DBDBC33" w14:textId="77777777" w:rsidR="00D170E5" w:rsidRPr="002B55E9" w:rsidRDefault="00EF27AD">
      <w:pPr>
        <w:spacing w:after="60" w:line="360" w:lineRule="auto"/>
        <w:ind w:firstLineChars="200" w:firstLine="480"/>
        <w:rPr>
          <w:bCs/>
          <w:snapToGrid w:val="0"/>
          <w:sz w:val="24"/>
        </w:rPr>
      </w:pPr>
      <w:r w:rsidRPr="002B55E9">
        <w:rPr>
          <w:bCs/>
          <w:snapToGrid w:val="0"/>
          <w:sz w:val="24"/>
        </w:rPr>
        <w:t>dss —</w:t>
      </w:r>
      <w:r w:rsidRPr="002B55E9">
        <w:rPr>
          <w:bCs/>
          <w:snapToGrid w:val="0"/>
          <w:sz w:val="24"/>
        </w:rPr>
        <w:t>声源到第一绕射边的距离，</w:t>
      </w:r>
      <w:r w:rsidRPr="002B55E9">
        <w:rPr>
          <w:bCs/>
          <w:snapToGrid w:val="0"/>
          <w:sz w:val="24"/>
        </w:rPr>
        <w:t>m</w:t>
      </w:r>
      <w:r w:rsidRPr="002B55E9">
        <w:rPr>
          <w:bCs/>
          <w:snapToGrid w:val="0"/>
          <w:sz w:val="24"/>
        </w:rPr>
        <w:t>；</w:t>
      </w:r>
    </w:p>
    <w:p w14:paraId="42E9B024" w14:textId="77777777" w:rsidR="00D170E5" w:rsidRPr="002B55E9" w:rsidRDefault="00EF27AD">
      <w:pPr>
        <w:spacing w:after="60" w:line="360" w:lineRule="auto"/>
        <w:ind w:firstLineChars="200" w:firstLine="480"/>
        <w:rPr>
          <w:bCs/>
          <w:snapToGrid w:val="0"/>
          <w:sz w:val="24"/>
        </w:rPr>
      </w:pPr>
      <w:r w:rsidRPr="002B55E9">
        <w:rPr>
          <w:bCs/>
          <w:snapToGrid w:val="0"/>
          <w:sz w:val="24"/>
        </w:rPr>
        <w:t>dsr —</w:t>
      </w:r>
      <w:r w:rsidRPr="002B55E9">
        <w:rPr>
          <w:bCs/>
          <w:snapToGrid w:val="0"/>
          <w:sz w:val="24"/>
        </w:rPr>
        <w:t>第二绕射边到接收点的距离，</w:t>
      </w:r>
      <w:r w:rsidRPr="002B55E9">
        <w:rPr>
          <w:bCs/>
          <w:snapToGrid w:val="0"/>
          <w:sz w:val="24"/>
        </w:rPr>
        <w:t>m</w:t>
      </w:r>
      <w:r w:rsidRPr="002B55E9">
        <w:rPr>
          <w:bCs/>
          <w:snapToGrid w:val="0"/>
          <w:sz w:val="24"/>
        </w:rPr>
        <w:t>；</w:t>
      </w:r>
    </w:p>
    <w:p w14:paraId="1A173716" w14:textId="77777777" w:rsidR="00D170E5" w:rsidRPr="002B55E9" w:rsidRDefault="00EF27AD">
      <w:pPr>
        <w:spacing w:after="60" w:line="360" w:lineRule="auto"/>
        <w:ind w:firstLineChars="200" w:firstLine="480"/>
        <w:rPr>
          <w:bCs/>
          <w:snapToGrid w:val="0"/>
          <w:sz w:val="24"/>
        </w:rPr>
      </w:pPr>
      <w:r w:rsidRPr="002B55E9">
        <w:rPr>
          <w:bCs/>
          <w:snapToGrid w:val="0"/>
          <w:sz w:val="24"/>
        </w:rPr>
        <w:lastRenderedPageBreak/>
        <w:t>e —</w:t>
      </w:r>
      <w:r w:rsidRPr="002B55E9">
        <w:rPr>
          <w:bCs/>
          <w:snapToGrid w:val="0"/>
          <w:sz w:val="24"/>
        </w:rPr>
        <w:t>在双绕射情况下两个绕射边界之间的距离，</w:t>
      </w:r>
      <w:r w:rsidRPr="002B55E9">
        <w:rPr>
          <w:bCs/>
          <w:snapToGrid w:val="0"/>
          <w:sz w:val="24"/>
        </w:rPr>
        <w:t>m</w:t>
      </w:r>
      <w:r w:rsidRPr="002B55E9">
        <w:rPr>
          <w:bCs/>
          <w:snapToGrid w:val="0"/>
          <w:sz w:val="24"/>
        </w:rPr>
        <w:t>；</w:t>
      </w:r>
    </w:p>
    <w:p w14:paraId="07A910F3" w14:textId="77777777" w:rsidR="00D170E5" w:rsidRPr="002B55E9" w:rsidRDefault="00EF27AD">
      <w:pPr>
        <w:spacing w:after="60" w:line="360" w:lineRule="auto"/>
        <w:ind w:firstLineChars="200" w:firstLine="480"/>
        <w:rPr>
          <w:bCs/>
          <w:snapToGrid w:val="0"/>
          <w:sz w:val="24"/>
        </w:rPr>
      </w:pPr>
      <w:r w:rsidRPr="002B55E9">
        <w:rPr>
          <w:bCs/>
          <w:snapToGrid w:val="0"/>
          <w:sz w:val="24"/>
        </w:rPr>
        <w:t>d——</w:t>
      </w:r>
      <w:r w:rsidRPr="002B55E9">
        <w:rPr>
          <w:bCs/>
          <w:snapToGrid w:val="0"/>
          <w:sz w:val="24"/>
        </w:rPr>
        <w:t>声源到接收点的直线距离，</w:t>
      </w:r>
      <w:r w:rsidRPr="002B55E9">
        <w:rPr>
          <w:bCs/>
          <w:snapToGrid w:val="0"/>
          <w:sz w:val="24"/>
        </w:rPr>
        <w:t>m</w:t>
      </w:r>
      <w:r w:rsidRPr="002B55E9">
        <w:rPr>
          <w:bCs/>
          <w:snapToGrid w:val="0"/>
          <w:sz w:val="24"/>
        </w:rPr>
        <w:t>。</w:t>
      </w:r>
    </w:p>
    <w:p w14:paraId="7BFBF877" w14:textId="77777777" w:rsidR="00D170E5" w:rsidRPr="002B55E9" w:rsidRDefault="00EF27AD">
      <w:pPr>
        <w:spacing w:after="60" w:line="360" w:lineRule="auto"/>
        <w:jc w:val="center"/>
        <w:rPr>
          <w:bCs/>
          <w:snapToGrid w:val="0"/>
          <w:sz w:val="24"/>
        </w:rPr>
      </w:pPr>
      <w:r w:rsidRPr="002B55E9">
        <w:rPr>
          <w:noProof/>
        </w:rPr>
        <w:drawing>
          <wp:inline distT="0" distB="0" distL="0" distR="0" wp14:anchorId="26173025" wp14:editId="629EBE5A">
            <wp:extent cx="3856355" cy="3916045"/>
            <wp:effectExtent l="0" t="0" r="0" b="0"/>
            <wp:docPr id="48"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856355" cy="3916045"/>
                    </a:xfrm>
                    <a:prstGeom prst="rect">
                      <a:avLst/>
                    </a:prstGeom>
                    <a:noFill/>
                    <a:ln>
                      <a:noFill/>
                    </a:ln>
                  </pic:spPr>
                </pic:pic>
              </a:graphicData>
            </a:graphic>
          </wp:inline>
        </w:drawing>
      </w:r>
    </w:p>
    <w:p w14:paraId="0C77E44C" w14:textId="77777777" w:rsidR="00D170E5" w:rsidRPr="002B55E9" w:rsidRDefault="00EF27AD">
      <w:pPr>
        <w:spacing w:after="60"/>
        <w:jc w:val="center"/>
        <w:rPr>
          <w:rFonts w:eastAsia="黑体"/>
          <w:b/>
          <w:bCs/>
          <w:snapToGrid w:val="0"/>
          <w:sz w:val="24"/>
        </w:rPr>
      </w:pPr>
      <w:r w:rsidRPr="002B55E9">
        <w:rPr>
          <w:rFonts w:eastAsia="黑体"/>
          <w:b/>
          <w:bCs/>
          <w:snapToGrid w:val="0"/>
          <w:sz w:val="24"/>
        </w:rPr>
        <w:t>图</w:t>
      </w:r>
      <w:r w:rsidRPr="002B55E9">
        <w:rPr>
          <w:rFonts w:eastAsia="黑体"/>
          <w:b/>
          <w:bCs/>
          <w:snapToGrid w:val="0"/>
          <w:sz w:val="24"/>
        </w:rPr>
        <w:t>5</w:t>
      </w:r>
      <w:r w:rsidRPr="002B55E9">
        <w:rPr>
          <w:rFonts w:eastAsia="黑体" w:hint="eastAsia"/>
          <w:b/>
          <w:bCs/>
          <w:snapToGrid w:val="0"/>
          <w:sz w:val="24"/>
        </w:rPr>
        <w:t>-</w:t>
      </w:r>
      <w:r w:rsidRPr="002B55E9">
        <w:rPr>
          <w:rFonts w:eastAsia="黑体"/>
          <w:b/>
          <w:bCs/>
          <w:snapToGrid w:val="0"/>
          <w:sz w:val="24"/>
        </w:rPr>
        <w:t xml:space="preserve">4-3  </w:t>
      </w:r>
      <w:r w:rsidRPr="002B55E9">
        <w:rPr>
          <w:rFonts w:eastAsia="黑体" w:hint="eastAsia"/>
          <w:b/>
          <w:bCs/>
          <w:snapToGrid w:val="0"/>
          <w:sz w:val="24"/>
        </w:rPr>
        <w:t>利用建筑物、土堤作为</w:t>
      </w:r>
      <w:r w:rsidRPr="002B55E9">
        <w:rPr>
          <w:rFonts w:eastAsia="黑体"/>
          <w:b/>
          <w:bCs/>
          <w:snapToGrid w:val="0"/>
          <w:sz w:val="24"/>
        </w:rPr>
        <w:t>厚屏障</w:t>
      </w:r>
    </w:p>
    <w:p w14:paraId="6E7DDCD9" w14:textId="77777777" w:rsidR="00D170E5" w:rsidRPr="002B55E9" w:rsidRDefault="00EF27AD">
      <w:pPr>
        <w:pStyle w:val="affff7"/>
      </w:pPr>
      <w:r w:rsidRPr="002B55E9">
        <w:rPr>
          <w:bCs w:val="0"/>
        </w:rPr>
        <w:t>屏障衰减</w:t>
      </w:r>
      <w:r w:rsidRPr="002B55E9">
        <w:rPr>
          <w:bCs w:val="0"/>
          <w:i/>
        </w:rPr>
        <w:t>A</w:t>
      </w:r>
      <w:r w:rsidRPr="002B55E9">
        <w:rPr>
          <w:bCs w:val="0"/>
          <w:i/>
          <w:vertAlign w:val="subscript"/>
        </w:rPr>
        <w:t>bar</w:t>
      </w:r>
      <w:r w:rsidRPr="002B55E9">
        <w:rPr>
          <w:bCs w:val="0"/>
        </w:rPr>
        <w:t>在双绕射（即厚屏障）情况，衰减最大取</w:t>
      </w:r>
      <w:r w:rsidRPr="002B55E9">
        <w:rPr>
          <w:bCs w:val="0"/>
        </w:rPr>
        <w:t>25dB</w:t>
      </w:r>
      <w:r w:rsidRPr="002B55E9">
        <w:t>。</w:t>
      </w:r>
    </w:p>
    <w:p w14:paraId="6D8E553C" w14:textId="77777777" w:rsidR="00D170E5" w:rsidRPr="002B55E9" w:rsidRDefault="00EF27AD">
      <w:pPr>
        <w:pStyle w:val="5"/>
      </w:pPr>
      <w:r w:rsidRPr="002B55E9">
        <w:rPr>
          <w:rFonts w:hint="eastAsia"/>
        </w:rPr>
        <w:t>工业</w:t>
      </w:r>
      <w:r w:rsidRPr="002B55E9">
        <w:t>企业噪声计算</w:t>
      </w:r>
    </w:p>
    <w:p w14:paraId="0868C7ED" w14:textId="77777777" w:rsidR="00D170E5" w:rsidRPr="002B55E9" w:rsidRDefault="00EF27AD">
      <w:pPr>
        <w:spacing w:after="60" w:line="360" w:lineRule="auto"/>
        <w:ind w:firstLine="482"/>
        <w:rPr>
          <w:sz w:val="24"/>
        </w:rPr>
      </w:pPr>
      <w:r w:rsidRPr="002B55E9">
        <w:rPr>
          <w:sz w:val="24"/>
        </w:rPr>
        <w:t>设第</w:t>
      </w:r>
      <w:r w:rsidRPr="002B55E9">
        <w:rPr>
          <w:i/>
          <w:sz w:val="24"/>
        </w:rPr>
        <w:t>i</w:t>
      </w:r>
      <w:r w:rsidRPr="002B55E9">
        <w:rPr>
          <w:sz w:val="24"/>
        </w:rPr>
        <w:t>个室外声源在预测点产生的</w:t>
      </w:r>
      <w:r w:rsidRPr="002B55E9">
        <w:rPr>
          <w:sz w:val="24"/>
        </w:rPr>
        <w:t>A</w:t>
      </w:r>
      <w:r w:rsidRPr="002B55E9">
        <w:rPr>
          <w:sz w:val="24"/>
        </w:rPr>
        <w:t>声级为</w:t>
      </w:r>
      <w:r w:rsidRPr="002B55E9">
        <w:rPr>
          <w:i/>
          <w:sz w:val="24"/>
        </w:rPr>
        <w:t>L</w:t>
      </w:r>
      <w:r w:rsidRPr="002B55E9">
        <w:rPr>
          <w:sz w:val="24"/>
          <w:vertAlign w:val="subscript"/>
        </w:rPr>
        <w:t>A</w:t>
      </w:r>
      <w:r w:rsidRPr="002B55E9">
        <w:rPr>
          <w:i/>
          <w:sz w:val="24"/>
          <w:vertAlign w:val="subscript"/>
        </w:rPr>
        <w:t>i</w:t>
      </w:r>
      <w:r w:rsidRPr="002B55E9">
        <w:rPr>
          <w:sz w:val="24"/>
        </w:rPr>
        <w:t>，在</w:t>
      </w:r>
      <w:r w:rsidRPr="002B55E9">
        <w:rPr>
          <w:i/>
          <w:sz w:val="24"/>
        </w:rPr>
        <w:t>T</w:t>
      </w:r>
      <w:r w:rsidRPr="002B55E9">
        <w:rPr>
          <w:sz w:val="24"/>
        </w:rPr>
        <w:t>时间内该声源工作时间为</w:t>
      </w:r>
      <w:r w:rsidRPr="002B55E9">
        <w:rPr>
          <w:i/>
          <w:sz w:val="24"/>
        </w:rPr>
        <w:t>ti</w:t>
      </w:r>
      <w:r w:rsidRPr="002B55E9">
        <w:rPr>
          <w:sz w:val="24"/>
        </w:rPr>
        <w:t>；第</w:t>
      </w:r>
      <w:r w:rsidRPr="002B55E9">
        <w:rPr>
          <w:i/>
          <w:sz w:val="24"/>
        </w:rPr>
        <w:t>j</w:t>
      </w:r>
      <w:r w:rsidRPr="002B55E9">
        <w:rPr>
          <w:sz w:val="24"/>
        </w:rPr>
        <w:t>个等效室外声源在预测点产生的</w:t>
      </w:r>
      <w:r w:rsidRPr="002B55E9">
        <w:rPr>
          <w:sz w:val="24"/>
        </w:rPr>
        <w:t>A</w:t>
      </w:r>
      <w:r w:rsidRPr="002B55E9">
        <w:rPr>
          <w:sz w:val="24"/>
        </w:rPr>
        <w:t>声级为</w:t>
      </w:r>
      <w:r w:rsidRPr="002B55E9">
        <w:rPr>
          <w:i/>
          <w:sz w:val="24"/>
        </w:rPr>
        <w:t>L</w:t>
      </w:r>
      <w:r w:rsidRPr="002B55E9">
        <w:rPr>
          <w:sz w:val="24"/>
        </w:rPr>
        <w:t>A</w:t>
      </w:r>
      <w:r w:rsidRPr="002B55E9">
        <w:rPr>
          <w:i/>
          <w:sz w:val="24"/>
        </w:rPr>
        <w:t xml:space="preserve">j </w:t>
      </w:r>
      <w:r w:rsidRPr="002B55E9">
        <w:rPr>
          <w:sz w:val="24"/>
        </w:rPr>
        <w:t>，在</w:t>
      </w:r>
      <w:r w:rsidRPr="002B55E9">
        <w:rPr>
          <w:i/>
          <w:sz w:val="24"/>
        </w:rPr>
        <w:t>T</w:t>
      </w:r>
      <w:r w:rsidRPr="002B55E9">
        <w:rPr>
          <w:sz w:val="24"/>
        </w:rPr>
        <w:t>时间内该声源工作时间为</w:t>
      </w:r>
      <w:r w:rsidRPr="002B55E9">
        <w:rPr>
          <w:i/>
          <w:sz w:val="24"/>
        </w:rPr>
        <w:t>t</w:t>
      </w:r>
      <w:r w:rsidRPr="002B55E9">
        <w:rPr>
          <w:i/>
          <w:sz w:val="24"/>
          <w:vertAlign w:val="subscript"/>
        </w:rPr>
        <w:t>j</w:t>
      </w:r>
      <w:r w:rsidRPr="002B55E9">
        <w:rPr>
          <w:sz w:val="24"/>
        </w:rPr>
        <w:t>，则拟建工程声源对预测点产生的贡献值（</w:t>
      </w:r>
      <w:r w:rsidRPr="002B55E9">
        <w:rPr>
          <w:i/>
          <w:sz w:val="24"/>
        </w:rPr>
        <w:t>L</w:t>
      </w:r>
      <w:r w:rsidRPr="002B55E9">
        <w:rPr>
          <w:sz w:val="24"/>
          <w:vertAlign w:val="subscript"/>
        </w:rPr>
        <w:t>eqg</w:t>
      </w:r>
      <w:r w:rsidRPr="002B55E9">
        <w:rPr>
          <w:sz w:val="24"/>
        </w:rPr>
        <w:t>）为：</w:t>
      </w:r>
    </w:p>
    <w:p w14:paraId="36CA7C94" w14:textId="77777777" w:rsidR="00D170E5" w:rsidRPr="002B55E9" w:rsidRDefault="00EF27AD">
      <w:pPr>
        <w:spacing w:after="60" w:line="360" w:lineRule="auto"/>
        <w:jc w:val="center"/>
      </w:pPr>
      <w:r w:rsidRPr="002B55E9">
        <w:rPr>
          <w:noProof/>
        </w:rPr>
        <w:drawing>
          <wp:inline distT="0" distB="0" distL="0" distR="0" wp14:anchorId="7EF96466" wp14:editId="408D97DD">
            <wp:extent cx="3086100" cy="583565"/>
            <wp:effectExtent l="0" t="0" r="0" b="0"/>
            <wp:docPr id="49"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86100" cy="583565"/>
                    </a:xfrm>
                    <a:prstGeom prst="rect">
                      <a:avLst/>
                    </a:prstGeom>
                    <a:noFill/>
                    <a:ln>
                      <a:noFill/>
                    </a:ln>
                  </pic:spPr>
                </pic:pic>
              </a:graphicData>
            </a:graphic>
          </wp:inline>
        </w:drawing>
      </w:r>
    </w:p>
    <w:p w14:paraId="111A1D6C" w14:textId="77777777" w:rsidR="00D170E5" w:rsidRPr="002B55E9" w:rsidRDefault="00EF27AD">
      <w:pPr>
        <w:spacing w:line="360" w:lineRule="auto"/>
        <w:ind w:firstLineChars="200" w:firstLine="480"/>
        <w:rPr>
          <w:kern w:val="24"/>
          <w:sz w:val="24"/>
        </w:rPr>
      </w:pPr>
      <w:r w:rsidRPr="002B55E9">
        <w:rPr>
          <w:kern w:val="24"/>
          <w:sz w:val="24"/>
        </w:rPr>
        <w:t>式中：</w:t>
      </w:r>
      <w:r w:rsidRPr="002B55E9">
        <w:rPr>
          <w:i/>
          <w:kern w:val="24"/>
          <w:sz w:val="24"/>
        </w:rPr>
        <w:t>L</w:t>
      </w:r>
      <w:r w:rsidRPr="002B55E9">
        <w:rPr>
          <w:kern w:val="24"/>
          <w:sz w:val="24"/>
          <w:vertAlign w:val="subscript"/>
        </w:rPr>
        <w:t>eqg</w:t>
      </w:r>
      <w:r w:rsidRPr="002B55E9">
        <w:rPr>
          <w:kern w:val="24"/>
          <w:sz w:val="24"/>
        </w:rPr>
        <w:t>—</w:t>
      </w:r>
      <w:r w:rsidRPr="002B55E9">
        <w:rPr>
          <w:kern w:val="24"/>
          <w:sz w:val="24"/>
        </w:rPr>
        <w:t>建设项目声源在预测点产生的噪声贡献值，</w:t>
      </w:r>
      <w:r w:rsidRPr="002B55E9">
        <w:rPr>
          <w:kern w:val="24"/>
          <w:sz w:val="24"/>
        </w:rPr>
        <w:t>dB</w:t>
      </w:r>
      <w:r w:rsidRPr="002B55E9">
        <w:rPr>
          <w:kern w:val="24"/>
          <w:sz w:val="24"/>
        </w:rPr>
        <w:t>；</w:t>
      </w:r>
    </w:p>
    <w:p w14:paraId="31E7820A" w14:textId="77777777" w:rsidR="00D170E5" w:rsidRPr="002B55E9" w:rsidRDefault="00EF27AD">
      <w:pPr>
        <w:spacing w:line="360" w:lineRule="auto"/>
        <w:ind w:firstLineChars="200" w:firstLine="480"/>
        <w:rPr>
          <w:kern w:val="24"/>
          <w:sz w:val="24"/>
        </w:rPr>
      </w:pPr>
      <w:r w:rsidRPr="002B55E9">
        <w:rPr>
          <w:i/>
          <w:kern w:val="24"/>
          <w:sz w:val="24"/>
        </w:rPr>
        <w:t xml:space="preserve">T </w:t>
      </w:r>
      <w:r w:rsidRPr="002B55E9">
        <w:rPr>
          <w:kern w:val="24"/>
          <w:sz w:val="24"/>
        </w:rPr>
        <w:t>—</w:t>
      </w:r>
      <w:r w:rsidRPr="002B55E9">
        <w:rPr>
          <w:kern w:val="24"/>
          <w:sz w:val="24"/>
        </w:rPr>
        <w:t>用于计算等效声级的时间，</w:t>
      </w:r>
      <w:r w:rsidRPr="002B55E9">
        <w:rPr>
          <w:kern w:val="24"/>
          <w:sz w:val="24"/>
        </w:rPr>
        <w:t>s</w:t>
      </w:r>
      <w:r w:rsidRPr="002B55E9">
        <w:rPr>
          <w:kern w:val="24"/>
          <w:sz w:val="24"/>
        </w:rPr>
        <w:t>；</w:t>
      </w:r>
    </w:p>
    <w:p w14:paraId="19749041" w14:textId="77777777" w:rsidR="00D170E5" w:rsidRPr="002B55E9" w:rsidRDefault="00EF27AD">
      <w:pPr>
        <w:spacing w:line="360" w:lineRule="auto"/>
        <w:ind w:firstLineChars="200" w:firstLine="480"/>
        <w:rPr>
          <w:kern w:val="24"/>
          <w:sz w:val="24"/>
        </w:rPr>
      </w:pPr>
      <w:r w:rsidRPr="002B55E9">
        <w:rPr>
          <w:i/>
          <w:kern w:val="24"/>
          <w:position w:val="1"/>
          <w:sz w:val="24"/>
        </w:rPr>
        <w:t xml:space="preserve">N </w:t>
      </w:r>
      <w:r w:rsidRPr="002B55E9">
        <w:rPr>
          <w:kern w:val="24"/>
          <w:sz w:val="24"/>
        </w:rPr>
        <w:t>—</w:t>
      </w:r>
      <w:r w:rsidRPr="002B55E9">
        <w:rPr>
          <w:kern w:val="24"/>
          <w:sz w:val="24"/>
        </w:rPr>
        <w:t>室外声源个数；</w:t>
      </w:r>
    </w:p>
    <w:p w14:paraId="27CEC031" w14:textId="77777777" w:rsidR="00D170E5" w:rsidRPr="002B55E9" w:rsidRDefault="00EF27AD">
      <w:pPr>
        <w:spacing w:line="360" w:lineRule="auto"/>
        <w:ind w:firstLineChars="200" w:firstLine="480"/>
        <w:rPr>
          <w:sz w:val="24"/>
        </w:rPr>
      </w:pPr>
      <w:r w:rsidRPr="002B55E9">
        <w:rPr>
          <w:i/>
          <w:sz w:val="24"/>
        </w:rPr>
        <w:t>t</w:t>
      </w:r>
      <w:r w:rsidRPr="002B55E9">
        <w:rPr>
          <w:i/>
          <w:position w:val="-4"/>
          <w:sz w:val="24"/>
        </w:rPr>
        <w:t xml:space="preserve">i </w:t>
      </w:r>
      <w:r w:rsidRPr="002B55E9">
        <w:rPr>
          <w:position w:val="1"/>
          <w:sz w:val="24"/>
        </w:rPr>
        <w:t>—</w:t>
      </w:r>
      <w:r w:rsidRPr="002B55E9">
        <w:rPr>
          <w:position w:val="1"/>
          <w:sz w:val="24"/>
        </w:rPr>
        <w:t>在</w:t>
      </w:r>
      <w:r w:rsidRPr="002B55E9">
        <w:rPr>
          <w:position w:val="1"/>
          <w:sz w:val="24"/>
        </w:rPr>
        <w:t xml:space="preserve"> </w:t>
      </w:r>
      <w:r w:rsidRPr="002B55E9">
        <w:rPr>
          <w:i/>
          <w:position w:val="1"/>
          <w:sz w:val="24"/>
        </w:rPr>
        <w:t xml:space="preserve">T </w:t>
      </w:r>
      <w:r w:rsidRPr="002B55E9">
        <w:rPr>
          <w:position w:val="1"/>
          <w:sz w:val="24"/>
        </w:rPr>
        <w:t>时间内</w:t>
      </w:r>
      <w:r w:rsidRPr="002B55E9">
        <w:rPr>
          <w:position w:val="1"/>
          <w:sz w:val="24"/>
        </w:rPr>
        <w:t xml:space="preserve"> </w:t>
      </w:r>
      <w:r w:rsidRPr="002B55E9">
        <w:rPr>
          <w:i/>
          <w:position w:val="1"/>
          <w:sz w:val="24"/>
        </w:rPr>
        <w:t xml:space="preserve">i </w:t>
      </w:r>
      <w:r w:rsidRPr="002B55E9">
        <w:rPr>
          <w:position w:val="1"/>
          <w:sz w:val="24"/>
        </w:rPr>
        <w:t>声源工作时间，</w:t>
      </w:r>
      <w:r w:rsidRPr="002B55E9">
        <w:rPr>
          <w:position w:val="1"/>
          <w:sz w:val="24"/>
        </w:rPr>
        <w:t>s</w:t>
      </w:r>
      <w:r w:rsidRPr="002B55E9">
        <w:rPr>
          <w:position w:val="1"/>
          <w:sz w:val="24"/>
        </w:rPr>
        <w:t>；</w:t>
      </w:r>
    </w:p>
    <w:p w14:paraId="41AFE294" w14:textId="77777777" w:rsidR="00D170E5" w:rsidRPr="002B55E9" w:rsidRDefault="00EF27AD">
      <w:pPr>
        <w:spacing w:line="360" w:lineRule="auto"/>
        <w:ind w:firstLineChars="200" w:firstLine="480"/>
        <w:rPr>
          <w:kern w:val="24"/>
          <w:sz w:val="24"/>
        </w:rPr>
      </w:pPr>
      <w:r w:rsidRPr="002B55E9">
        <w:rPr>
          <w:i/>
          <w:kern w:val="24"/>
          <w:sz w:val="24"/>
        </w:rPr>
        <w:t xml:space="preserve">M </w:t>
      </w:r>
      <w:r w:rsidRPr="002B55E9">
        <w:rPr>
          <w:kern w:val="24"/>
          <w:sz w:val="24"/>
        </w:rPr>
        <w:t>—</w:t>
      </w:r>
      <w:r w:rsidRPr="002B55E9">
        <w:rPr>
          <w:kern w:val="24"/>
          <w:sz w:val="24"/>
        </w:rPr>
        <w:t>等效室外声源个数；</w:t>
      </w:r>
    </w:p>
    <w:p w14:paraId="13942C3F" w14:textId="77777777" w:rsidR="00D170E5" w:rsidRPr="002B55E9" w:rsidRDefault="00EF27AD">
      <w:pPr>
        <w:spacing w:after="60" w:line="360" w:lineRule="auto"/>
        <w:ind w:firstLineChars="200" w:firstLine="454"/>
        <w:rPr>
          <w:sz w:val="24"/>
        </w:rPr>
      </w:pPr>
      <w:r w:rsidRPr="002B55E9">
        <w:rPr>
          <w:i/>
          <w:w w:val="95"/>
          <w:position w:val="1"/>
          <w:sz w:val="24"/>
        </w:rPr>
        <w:t xml:space="preserve">t </w:t>
      </w:r>
      <w:r w:rsidRPr="002B55E9">
        <w:rPr>
          <w:i/>
          <w:w w:val="95"/>
          <w:position w:val="1"/>
          <w:sz w:val="24"/>
          <w:vertAlign w:val="subscript"/>
        </w:rPr>
        <w:t>j</w:t>
      </w:r>
      <w:r w:rsidRPr="002B55E9">
        <w:rPr>
          <w:i/>
          <w:w w:val="95"/>
          <w:position w:val="1"/>
          <w:sz w:val="24"/>
        </w:rPr>
        <w:t xml:space="preserve"> </w:t>
      </w:r>
      <w:r w:rsidRPr="002B55E9">
        <w:rPr>
          <w:sz w:val="24"/>
        </w:rPr>
        <w:t>—</w:t>
      </w:r>
      <w:r w:rsidRPr="002B55E9">
        <w:rPr>
          <w:sz w:val="24"/>
        </w:rPr>
        <w:t>在</w:t>
      </w:r>
      <w:r w:rsidRPr="002B55E9">
        <w:rPr>
          <w:sz w:val="24"/>
        </w:rPr>
        <w:t xml:space="preserve"> </w:t>
      </w:r>
      <w:r w:rsidRPr="002B55E9">
        <w:rPr>
          <w:i/>
          <w:sz w:val="24"/>
        </w:rPr>
        <w:t xml:space="preserve">T </w:t>
      </w:r>
      <w:r w:rsidRPr="002B55E9">
        <w:rPr>
          <w:sz w:val="24"/>
        </w:rPr>
        <w:t>时间内</w:t>
      </w:r>
      <w:r w:rsidRPr="002B55E9">
        <w:rPr>
          <w:sz w:val="24"/>
        </w:rPr>
        <w:t xml:space="preserve"> </w:t>
      </w:r>
      <w:r w:rsidRPr="002B55E9">
        <w:rPr>
          <w:i/>
          <w:sz w:val="24"/>
        </w:rPr>
        <w:t xml:space="preserve">j </w:t>
      </w:r>
      <w:r w:rsidRPr="002B55E9">
        <w:rPr>
          <w:sz w:val="24"/>
        </w:rPr>
        <w:t>声源工作时间，</w:t>
      </w:r>
      <w:r w:rsidRPr="002B55E9">
        <w:rPr>
          <w:sz w:val="24"/>
        </w:rPr>
        <w:t>s</w:t>
      </w:r>
      <w:r w:rsidRPr="002B55E9">
        <w:rPr>
          <w:sz w:val="24"/>
        </w:rPr>
        <w:t>。</w:t>
      </w:r>
    </w:p>
    <w:p w14:paraId="3672369E" w14:textId="77777777" w:rsidR="00D170E5" w:rsidRPr="002B55E9" w:rsidRDefault="00EF27AD">
      <w:pPr>
        <w:pStyle w:val="5"/>
      </w:pPr>
      <w:r w:rsidRPr="002B55E9">
        <w:rPr>
          <w:rFonts w:hint="eastAsia"/>
        </w:rPr>
        <w:lastRenderedPageBreak/>
        <w:t>预测值计算</w:t>
      </w:r>
    </w:p>
    <w:p w14:paraId="56A61B0C" w14:textId="77777777" w:rsidR="00D170E5" w:rsidRPr="002B55E9" w:rsidRDefault="00EF27AD">
      <w:pPr>
        <w:spacing w:after="60" w:line="360" w:lineRule="auto"/>
        <w:ind w:firstLine="482"/>
        <w:rPr>
          <w:sz w:val="24"/>
        </w:rPr>
      </w:pPr>
      <w:r w:rsidRPr="002B55E9">
        <w:rPr>
          <w:sz w:val="24"/>
        </w:rPr>
        <w:t>各声源在受声敏感点的总声压级，其计算公式如下：</w:t>
      </w:r>
    </w:p>
    <w:p w14:paraId="3D68786C" w14:textId="77777777" w:rsidR="00D170E5" w:rsidRPr="002B55E9" w:rsidRDefault="00EF27AD">
      <w:pPr>
        <w:spacing w:after="60" w:line="360" w:lineRule="auto"/>
        <w:jc w:val="center"/>
        <w:rPr>
          <w:sz w:val="24"/>
        </w:rPr>
      </w:pPr>
      <w:r w:rsidRPr="002B55E9">
        <w:rPr>
          <w:position w:val="-30"/>
          <w:sz w:val="24"/>
        </w:rPr>
        <w:object w:dxaOrig="2955" w:dyaOrig="714" w14:anchorId="1307C80A">
          <v:shape id="_x0000_i1031" type="#_x0000_t75" style="width:149pt;height:34.35pt" o:ole="">
            <v:imagedata r:id="rId75" o:title=""/>
          </v:shape>
          <o:OLEObject Type="Embed" ProgID="Equation.3" ShapeID="_x0000_i1031" DrawAspect="Content" ObjectID="_1732338926" r:id="rId76"/>
        </w:object>
      </w:r>
    </w:p>
    <w:p w14:paraId="6BE091A3" w14:textId="77777777" w:rsidR="00D170E5" w:rsidRPr="002B55E9" w:rsidRDefault="00EF27AD">
      <w:pPr>
        <w:spacing w:after="60" w:line="360" w:lineRule="auto"/>
        <w:ind w:firstLine="482"/>
        <w:rPr>
          <w:sz w:val="24"/>
        </w:rPr>
      </w:pPr>
      <w:r w:rsidRPr="002B55E9">
        <w:rPr>
          <w:sz w:val="24"/>
        </w:rPr>
        <w:t>式中：</w:t>
      </w:r>
      <w:r w:rsidRPr="002B55E9">
        <w:rPr>
          <w:sz w:val="24"/>
        </w:rPr>
        <w:t>L——</w:t>
      </w:r>
      <w:r w:rsidRPr="002B55E9">
        <w:rPr>
          <w:sz w:val="24"/>
        </w:rPr>
        <w:t>受声点的总声压级</w:t>
      </w:r>
      <w:r w:rsidRPr="002B55E9">
        <w:rPr>
          <w:sz w:val="24"/>
        </w:rPr>
        <w:tab/>
        <w:t>dB(A)</w:t>
      </w:r>
      <w:r w:rsidRPr="002B55E9">
        <w:rPr>
          <w:sz w:val="24"/>
        </w:rPr>
        <w:t>；</w:t>
      </w:r>
    </w:p>
    <w:p w14:paraId="21400238" w14:textId="77777777" w:rsidR="00D170E5" w:rsidRPr="002B55E9" w:rsidRDefault="00EF27AD">
      <w:pPr>
        <w:spacing w:after="60" w:line="360" w:lineRule="auto"/>
        <w:ind w:firstLine="482"/>
        <w:rPr>
          <w:sz w:val="24"/>
        </w:rPr>
      </w:pPr>
      <w:r w:rsidRPr="002B55E9">
        <w:rPr>
          <w:sz w:val="24"/>
        </w:rPr>
        <w:t xml:space="preserve">      L</w:t>
      </w:r>
      <w:r w:rsidRPr="002B55E9">
        <w:rPr>
          <w:sz w:val="24"/>
          <w:vertAlign w:val="subscript"/>
        </w:rPr>
        <w:t>0</w:t>
      </w:r>
      <w:r w:rsidRPr="002B55E9">
        <w:rPr>
          <w:sz w:val="24"/>
        </w:rPr>
        <w:t>——</w:t>
      </w:r>
      <w:r w:rsidRPr="002B55E9">
        <w:rPr>
          <w:sz w:val="24"/>
        </w:rPr>
        <w:t>受声点背景噪声值</w:t>
      </w:r>
      <w:r w:rsidRPr="002B55E9">
        <w:rPr>
          <w:sz w:val="24"/>
        </w:rPr>
        <w:tab/>
      </w:r>
      <w:r w:rsidRPr="002B55E9">
        <w:rPr>
          <w:sz w:val="24"/>
        </w:rPr>
        <w:tab/>
      </w:r>
      <w:r w:rsidRPr="002B55E9">
        <w:rPr>
          <w:sz w:val="24"/>
        </w:rPr>
        <w:tab/>
        <w:t>dB(A)</w:t>
      </w:r>
      <w:r w:rsidRPr="002B55E9">
        <w:rPr>
          <w:sz w:val="24"/>
        </w:rPr>
        <w:t>；</w:t>
      </w:r>
    </w:p>
    <w:p w14:paraId="2FA1D651" w14:textId="77777777" w:rsidR="00D170E5" w:rsidRPr="002B55E9" w:rsidRDefault="00EF27AD">
      <w:pPr>
        <w:spacing w:after="60" w:line="360" w:lineRule="auto"/>
        <w:ind w:firstLine="482"/>
        <w:rPr>
          <w:sz w:val="24"/>
        </w:rPr>
      </w:pPr>
      <w:r w:rsidRPr="002B55E9">
        <w:rPr>
          <w:sz w:val="24"/>
        </w:rPr>
        <w:t xml:space="preserve">      L</w:t>
      </w:r>
      <w:r w:rsidRPr="002B55E9">
        <w:rPr>
          <w:sz w:val="24"/>
          <w:vertAlign w:val="subscript"/>
        </w:rPr>
        <w:t>pi</w:t>
      </w:r>
      <w:r w:rsidRPr="002B55E9">
        <w:rPr>
          <w:sz w:val="24"/>
        </w:rPr>
        <w:t>——</w:t>
      </w:r>
      <w:r w:rsidRPr="002B55E9">
        <w:rPr>
          <w:sz w:val="24"/>
        </w:rPr>
        <w:t>各个声源在受声点的声压级</w:t>
      </w:r>
      <w:r w:rsidRPr="002B55E9">
        <w:rPr>
          <w:sz w:val="24"/>
        </w:rPr>
        <w:tab/>
        <w:t>dB(A)</w:t>
      </w:r>
      <w:r w:rsidRPr="002B55E9">
        <w:rPr>
          <w:sz w:val="24"/>
        </w:rPr>
        <w:t>；</w:t>
      </w:r>
    </w:p>
    <w:p w14:paraId="6EA7AF33" w14:textId="77777777" w:rsidR="00D170E5" w:rsidRPr="002B55E9" w:rsidRDefault="00EF27AD">
      <w:pPr>
        <w:pStyle w:val="affff7"/>
      </w:pPr>
      <w:r w:rsidRPr="002B55E9">
        <w:t xml:space="preserve">      n——</w:t>
      </w:r>
      <w:r w:rsidRPr="002B55E9">
        <w:t>声源个数。</w:t>
      </w:r>
    </w:p>
    <w:p w14:paraId="31F92633" w14:textId="77777777" w:rsidR="00D170E5" w:rsidRPr="002B55E9" w:rsidRDefault="00EF27AD">
      <w:pPr>
        <w:pStyle w:val="4"/>
        <w:rPr>
          <w:color w:val="auto"/>
        </w:rPr>
      </w:pPr>
      <w:r w:rsidRPr="002B55E9">
        <w:rPr>
          <w:rFonts w:hint="eastAsia"/>
          <w:color w:val="auto"/>
        </w:rPr>
        <w:t>参数确定</w:t>
      </w:r>
    </w:p>
    <w:p w14:paraId="3E3B30F1" w14:textId="77777777" w:rsidR="00D170E5" w:rsidRPr="002B55E9" w:rsidRDefault="00EF27AD">
      <w:pPr>
        <w:pStyle w:val="5"/>
      </w:pPr>
      <w:r w:rsidRPr="002B55E9">
        <w:rPr>
          <w:rFonts w:hint="eastAsia"/>
        </w:rPr>
        <w:t>预测点的选择</w:t>
      </w:r>
    </w:p>
    <w:p w14:paraId="7FD17326" w14:textId="77777777" w:rsidR="00D170E5" w:rsidRPr="002B55E9" w:rsidRDefault="00EF27AD">
      <w:pPr>
        <w:pStyle w:val="affff7"/>
      </w:pPr>
      <w:r w:rsidRPr="002B55E9">
        <w:rPr>
          <w:rFonts w:hint="eastAsia"/>
          <w:lang w:val="pt-BR"/>
        </w:rPr>
        <w:t>根据现状实地调查，本次评价主要预测厂界外</w:t>
      </w:r>
      <w:r w:rsidRPr="002B55E9">
        <w:rPr>
          <w:rFonts w:hint="eastAsia"/>
          <w:lang w:val="pt-BR"/>
        </w:rPr>
        <w:t>1m</w:t>
      </w:r>
      <w:r w:rsidRPr="002B55E9">
        <w:rPr>
          <w:rFonts w:hint="eastAsia"/>
          <w:lang w:val="pt-BR"/>
        </w:rPr>
        <w:t>处噪声值，预测时段为昼间、</w:t>
      </w:r>
      <w:r w:rsidRPr="002B55E9">
        <w:rPr>
          <w:lang w:val="pt-BR"/>
        </w:rPr>
        <w:t>夜间</w:t>
      </w:r>
      <w:r w:rsidRPr="002B55E9">
        <w:rPr>
          <w:rFonts w:hint="eastAsia"/>
        </w:rPr>
        <w:t>。</w:t>
      </w:r>
    </w:p>
    <w:p w14:paraId="213B84B3" w14:textId="77777777" w:rsidR="00D170E5" w:rsidRPr="002B55E9" w:rsidRDefault="00EF27AD">
      <w:pPr>
        <w:pStyle w:val="5"/>
      </w:pPr>
      <w:r w:rsidRPr="002B55E9">
        <w:rPr>
          <w:rFonts w:hint="eastAsia"/>
        </w:rPr>
        <w:t>噪声源与预测点距离</w:t>
      </w:r>
    </w:p>
    <w:p w14:paraId="035E7F4D" w14:textId="69CCED58" w:rsidR="00D170E5" w:rsidRPr="002B55E9" w:rsidRDefault="00EF27AD">
      <w:pPr>
        <w:pStyle w:val="affff7"/>
        <w:snapToGrid w:val="0"/>
        <w:spacing w:after="0"/>
      </w:pPr>
      <w:r w:rsidRPr="002B55E9">
        <w:t>各噪声源与</w:t>
      </w:r>
      <w:r w:rsidR="003D488E" w:rsidRPr="002B55E9">
        <w:rPr>
          <w:rFonts w:hint="eastAsia"/>
        </w:rPr>
        <w:t>厂界</w:t>
      </w:r>
      <w:r w:rsidRPr="002B55E9">
        <w:t>距离见</w:t>
      </w:r>
      <w:r w:rsidRPr="002B55E9">
        <w:rPr>
          <w:rFonts w:hint="eastAsia"/>
        </w:rPr>
        <w:t>下</w:t>
      </w:r>
      <w:r w:rsidRPr="002B55E9">
        <w:t>表</w:t>
      </w:r>
      <w:r w:rsidRPr="002B55E9">
        <w:rPr>
          <w:rFonts w:hint="eastAsia"/>
        </w:rPr>
        <w:t>。</w:t>
      </w:r>
    </w:p>
    <w:p w14:paraId="5B467042" w14:textId="77777777" w:rsidR="00D170E5" w:rsidRPr="002B55E9" w:rsidRDefault="00EF27AD">
      <w:pPr>
        <w:pStyle w:val="1f3"/>
        <w:spacing w:beforeLines="0" w:before="0"/>
      </w:pPr>
      <w:r w:rsidRPr="002B55E9">
        <w:rPr>
          <w:rFonts w:hint="eastAsia"/>
        </w:rPr>
        <w:t>表</w:t>
      </w:r>
      <w:r w:rsidRPr="002B55E9">
        <w:rPr>
          <w:rFonts w:hint="eastAsia"/>
        </w:rPr>
        <w:t xml:space="preserve">5-4-2  </w:t>
      </w:r>
      <w:r w:rsidRPr="002B55E9">
        <w:rPr>
          <w:rFonts w:hint="eastAsia"/>
        </w:rPr>
        <w:t>各噪声源与预测点位一览表</w:t>
      </w:r>
      <w:r w:rsidRPr="002B55E9">
        <w:rPr>
          <w:rFonts w:hint="eastAsia"/>
        </w:rPr>
        <w:t xml:space="preserve">      </w:t>
      </w:r>
      <w:r w:rsidRPr="002B55E9">
        <w:rPr>
          <w:rFonts w:hint="eastAsia"/>
        </w:rPr>
        <w:t>单位：</w:t>
      </w:r>
      <w:r w:rsidRPr="002B55E9">
        <w:rPr>
          <w:rFonts w:hint="eastAsia"/>
        </w:rPr>
        <w:t>m</w:t>
      </w:r>
    </w:p>
    <w:tbl>
      <w:tblPr>
        <w:tblW w:w="96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2"/>
        <w:gridCol w:w="1689"/>
        <w:gridCol w:w="1897"/>
        <w:gridCol w:w="1661"/>
        <w:gridCol w:w="1893"/>
        <w:gridCol w:w="1415"/>
      </w:tblGrid>
      <w:tr w:rsidR="002B55E9" w:rsidRPr="002B55E9" w14:paraId="10E7FA90" w14:textId="77777777">
        <w:trPr>
          <w:trHeight w:val="284"/>
        </w:trPr>
        <w:tc>
          <w:tcPr>
            <w:tcW w:w="2771" w:type="dxa"/>
            <w:gridSpan w:val="2"/>
            <w:vMerge w:val="restart"/>
            <w:tcBorders>
              <w:top w:val="single" w:sz="12" w:space="0" w:color="auto"/>
              <w:tl2br w:val="single" w:sz="4" w:space="0" w:color="auto"/>
            </w:tcBorders>
            <w:vAlign w:val="center"/>
          </w:tcPr>
          <w:p w14:paraId="384D722A" w14:textId="77777777" w:rsidR="00D170E5" w:rsidRPr="002B55E9" w:rsidRDefault="00EF27AD">
            <w:pPr>
              <w:jc w:val="center"/>
              <w:rPr>
                <w:sz w:val="18"/>
                <w:szCs w:val="18"/>
              </w:rPr>
            </w:pPr>
            <w:r w:rsidRPr="002B55E9">
              <w:rPr>
                <w:rFonts w:hint="eastAsia"/>
                <w:sz w:val="18"/>
                <w:szCs w:val="18"/>
              </w:rPr>
              <w:t xml:space="preserve">      </w:t>
            </w:r>
            <w:r w:rsidRPr="002B55E9">
              <w:rPr>
                <w:sz w:val="18"/>
                <w:szCs w:val="18"/>
              </w:rPr>
              <w:t>预测点位</w:t>
            </w:r>
            <w:r w:rsidRPr="002B55E9">
              <w:rPr>
                <w:rFonts w:hint="eastAsia"/>
                <w:sz w:val="18"/>
                <w:szCs w:val="18"/>
              </w:rPr>
              <w:t xml:space="preserve">                        </w:t>
            </w:r>
            <w:r w:rsidRPr="002B55E9">
              <w:rPr>
                <w:sz w:val="18"/>
                <w:szCs w:val="18"/>
              </w:rPr>
              <w:t xml:space="preserve">      </w:t>
            </w:r>
          </w:p>
          <w:p w14:paraId="0E21751A" w14:textId="77777777" w:rsidR="00D170E5" w:rsidRPr="002B55E9" w:rsidRDefault="00EF27AD">
            <w:pPr>
              <w:rPr>
                <w:sz w:val="18"/>
                <w:szCs w:val="18"/>
              </w:rPr>
            </w:pPr>
            <w:r w:rsidRPr="002B55E9">
              <w:rPr>
                <w:sz w:val="18"/>
                <w:szCs w:val="18"/>
              </w:rPr>
              <w:t>单元名称</w:t>
            </w:r>
          </w:p>
        </w:tc>
        <w:tc>
          <w:tcPr>
            <w:tcW w:w="1897" w:type="dxa"/>
            <w:tcBorders>
              <w:top w:val="single" w:sz="12" w:space="0" w:color="auto"/>
              <w:bottom w:val="single" w:sz="4" w:space="0" w:color="auto"/>
            </w:tcBorders>
            <w:vAlign w:val="center"/>
          </w:tcPr>
          <w:p w14:paraId="349610A2" w14:textId="77777777" w:rsidR="00D170E5" w:rsidRPr="002B55E9" w:rsidRDefault="00EF27AD">
            <w:pPr>
              <w:jc w:val="center"/>
              <w:rPr>
                <w:sz w:val="18"/>
                <w:szCs w:val="18"/>
              </w:rPr>
            </w:pPr>
            <w:r w:rsidRPr="002B55E9">
              <w:rPr>
                <w:rFonts w:hint="eastAsia"/>
                <w:sz w:val="18"/>
                <w:szCs w:val="18"/>
              </w:rPr>
              <w:t>东侧</w:t>
            </w:r>
          </w:p>
        </w:tc>
        <w:tc>
          <w:tcPr>
            <w:tcW w:w="1661" w:type="dxa"/>
            <w:tcBorders>
              <w:top w:val="single" w:sz="12" w:space="0" w:color="auto"/>
              <w:bottom w:val="single" w:sz="4" w:space="0" w:color="auto"/>
            </w:tcBorders>
            <w:vAlign w:val="center"/>
          </w:tcPr>
          <w:p w14:paraId="7C08D470" w14:textId="77777777" w:rsidR="00D170E5" w:rsidRPr="002B55E9" w:rsidRDefault="00EF27AD">
            <w:pPr>
              <w:jc w:val="center"/>
              <w:rPr>
                <w:sz w:val="18"/>
                <w:szCs w:val="18"/>
              </w:rPr>
            </w:pPr>
            <w:r w:rsidRPr="002B55E9">
              <w:rPr>
                <w:rFonts w:hint="eastAsia"/>
                <w:sz w:val="18"/>
                <w:szCs w:val="18"/>
              </w:rPr>
              <w:t>南侧</w:t>
            </w:r>
          </w:p>
        </w:tc>
        <w:tc>
          <w:tcPr>
            <w:tcW w:w="1893" w:type="dxa"/>
            <w:tcBorders>
              <w:top w:val="single" w:sz="12" w:space="0" w:color="auto"/>
              <w:bottom w:val="single" w:sz="4" w:space="0" w:color="auto"/>
            </w:tcBorders>
            <w:vAlign w:val="center"/>
          </w:tcPr>
          <w:p w14:paraId="79CAD8BA" w14:textId="77777777" w:rsidR="00D170E5" w:rsidRPr="002B55E9" w:rsidRDefault="00EF27AD">
            <w:pPr>
              <w:jc w:val="center"/>
              <w:rPr>
                <w:sz w:val="18"/>
                <w:szCs w:val="18"/>
              </w:rPr>
            </w:pPr>
            <w:r w:rsidRPr="002B55E9">
              <w:rPr>
                <w:rFonts w:hint="eastAsia"/>
                <w:sz w:val="18"/>
                <w:szCs w:val="18"/>
              </w:rPr>
              <w:t>西侧</w:t>
            </w:r>
          </w:p>
        </w:tc>
        <w:tc>
          <w:tcPr>
            <w:tcW w:w="1415" w:type="dxa"/>
            <w:tcBorders>
              <w:top w:val="single" w:sz="12" w:space="0" w:color="auto"/>
              <w:bottom w:val="single" w:sz="4" w:space="0" w:color="auto"/>
            </w:tcBorders>
            <w:vAlign w:val="center"/>
          </w:tcPr>
          <w:p w14:paraId="75E94423" w14:textId="77777777" w:rsidR="00D170E5" w:rsidRPr="002B55E9" w:rsidRDefault="00EF27AD">
            <w:pPr>
              <w:jc w:val="center"/>
              <w:rPr>
                <w:sz w:val="18"/>
                <w:szCs w:val="18"/>
              </w:rPr>
            </w:pPr>
            <w:r w:rsidRPr="002B55E9">
              <w:rPr>
                <w:rFonts w:hint="eastAsia"/>
                <w:sz w:val="18"/>
                <w:szCs w:val="18"/>
              </w:rPr>
              <w:t>北侧</w:t>
            </w:r>
          </w:p>
        </w:tc>
      </w:tr>
      <w:tr w:rsidR="002B55E9" w:rsidRPr="002B55E9" w14:paraId="129A83DC" w14:textId="77777777">
        <w:trPr>
          <w:trHeight w:val="284"/>
        </w:trPr>
        <w:tc>
          <w:tcPr>
            <w:tcW w:w="2771" w:type="dxa"/>
            <w:gridSpan w:val="2"/>
            <w:vMerge/>
            <w:tcBorders>
              <w:bottom w:val="single" w:sz="12" w:space="0" w:color="auto"/>
              <w:tl2br w:val="single" w:sz="4" w:space="0" w:color="auto"/>
            </w:tcBorders>
            <w:vAlign w:val="center"/>
          </w:tcPr>
          <w:p w14:paraId="2E8425EE" w14:textId="77777777" w:rsidR="00D170E5" w:rsidRPr="002B55E9" w:rsidRDefault="00D170E5">
            <w:pPr>
              <w:jc w:val="center"/>
              <w:rPr>
                <w:sz w:val="18"/>
                <w:szCs w:val="18"/>
              </w:rPr>
            </w:pPr>
          </w:p>
        </w:tc>
        <w:tc>
          <w:tcPr>
            <w:tcW w:w="1897" w:type="dxa"/>
            <w:tcBorders>
              <w:top w:val="single" w:sz="4" w:space="0" w:color="auto"/>
              <w:bottom w:val="single" w:sz="12" w:space="0" w:color="auto"/>
            </w:tcBorders>
            <w:vAlign w:val="center"/>
          </w:tcPr>
          <w:p w14:paraId="1EAFD71B" w14:textId="77777777" w:rsidR="00D170E5" w:rsidRPr="002B55E9" w:rsidRDefault="00EF27AD">
            <w:pPr>
              <w:jc w:val="center"/>
              <w:rPr>
                <w:sz w:val="18"/>
                <w:szCs w:val="18"/>
              </w:rPr>
            </w:pPr>
            <w:r w:rsidRPr="002B55E9">
              <w:rPr>
                <w:rFonts w:hint="eastAsia"/>
                <w:sz w:val="18"/>
                <w:szCs w:val="18"/>
              </w:rPr>
              <w:t>1#</w:t>
            </w:r>
          </w:p>
        </w:tc>
        <w:tc>
          <w:tcPr>
            <w:tcW w:w="1661" w:type="dxa"/>
            <w:tcBorders>
              <w:top w:val="single" w:sz="4" w:space="0" w:color="auto"/>
              <w:bottom w:val="single" w:sz="12" w:space="0" w:color="auto"/>
            </w:tcBorders>
            <w:vAlign w:val="center"/>
          </w:tcPr>
          <w:p w14:paraId="5ADBF0C3" w14:textId="77777777" w:rsidR="00D170E5" w:rsidRPr="002B55E9" w:rsidRDefault="00EF27AD">
            <w:pPr>
              <w:jc w:val="center"/>
              <w:rPr>
                <w:sz w:val="18"/>
                <w:szCs w:val="18"/>
              </w:rPr>
            </w:pPr>
            <w:r w:rsidRPr="002B55E9">
              <w:rPr>
                <w:rFonts w:hint="eastAsia"/>
                <w:sz w:val="18"/>
                <w:szCs w:val="18"/>
              </w:rPr>
              <w:t>2#</w:t>
            </w:r>
          </w:p>
        </w:tc>
        <w:tc>
          <w:tcPr>
            <w:tcW w:w="1893" w:type="dxa"/>
            <w:tcBorders>
              <w:top w:val="single" w:sz="4" w:space="0" w:color="auto"/>
              <w:bottom w:val="single" w:sz="12" w:space="0" w:color="auto"/>
            </w:tcBorders>
            <w:vAlign w:val="center"/>
          </w:tcPr>
          <w:p w14:paraId="42B04D65" w14:textId="77777777" w:rsidR="00D170E5" w:rsidRPr="002B55E9" w:rsidRDefault="00EF27AD">
            <w:pPr>
              <w:jc w:val="center"/>
              <w:rPr>
                <w:sz w:val="18"/>
                <w:szCs w:val="18"/>
              </w:rPr>
            </w:pPr>
            <w:r w:rsidRPr="002B55E9">
              <w:rPr>
                <w:rFonts w:hint="eastAsia"/>
                <w:sz w:val="18"/>
                <w:szCs w:val="18"/>
              </w:rPr>
              <w:t>3#</w:t>
            </w:r>
          </w:p>
        </w:tc>
        <w:tc>
          <w:tcPr>
            <w:tcW w:w="1415" w:type="dxa"/>
            <w:tcBorders>
              <w:top w:val="single" w:sz="4" w:space="0" w:color="auto"/>
              <w:bottom w:val="single" w:sz="12" w:space="0" w:color="auto"/>
            </w:tcBorders>
            <w:vAlign w:val="center"/>
          </w:tcPr>
          <w:p w14:paraId="0095EC65" w14:textId="77777777" w:rsidR="00D170E5" w:rsidRPr="002B55E9" w:rsidRDefault="00EF27AD">
            <w:pPr>
              <w:jc w:val="center"/>
              <w:rPr>
                <w:sz w:val="18"/>
                <w:szCs w:val="18"/>
              </w:rPr>
            </w:pPr>
            <w:r w:rsidRPr="002B55E9">
              <w:rPr>
                <w:rFonts w:hint="eastAsia"/>
                <w:sz w:val="18"/>
                <w:szCs w:val="18"/>
              </w:rPr>
              <w:t>4#</w:t>
            </w:r>
          </w:p>
        </w:tc>
      </w:tr>
      <w:tr w:rsidR="002B55E9" w:rsidRPr="002B55E9" w14:paraId="2B57BBDB" w14:textId="77777777" w:rsidTr="003D488E">
        <w:trPr>
          <w:trHeight w:val="284"/>
        </w:trPr>
        <w:tc>
          <w:tcPr>
            <w:tcW w:w="1082" w:type="dxa"/>
            <w:vMerge w:val="restart"/>
            <w:shd w:val="clear" w:color="auto" w:fill="auto"/>
            <w:vAlign w:val="center"/>
          </w:tcPr>
          <w:p w14:paraId="4CC145FF" w14:textId="2E696E8C" w:rsidR="003D488E" w:rsidRPr="002B55E9" w:rsidRDefault="003D488E" w:rsidP="003D488E">
            <w:pPr>
              <w:pStyle w:val="affff6"/>
              <w:rPr>
                <w:szCs w:val="18"/>
              </w:rPr>
            </w:pPr>
            <w:r w:rsidRPr="002B55E9">
              <w:rPr>
                <w:rFonts w:hint="eastAsia"/>
                <w:szCs w:val="18"/>
              </w:rPr>
              <w:t>十三车间</w:t>
            </w:r>
          </w:p>
        </w:tc>
        <w:tc>
          <w:tcPr>
            <w:tcW w:w="1689" w:type="dxa"/>
            <w:shd w:val="clear" w:color="auto" w:fill="auto"/>
            <w:vAlign w:val="center"/>
          </w:tcPr>
          <w:p w14:paraId="12DF3E6F" w14:textId="77777777" w:rsidR="003D488E" w:rsidRPr="002B55E9" w:rsidRDefault="003D488E" w:rsidP="003D488E">
            <w:pPr>
              <w:pStyle w:val="affff6"/>
              <w:rPr>
                <w:szCs w:val="18"/>
              </w:rPr>
            </w:pPr>
            <w:r w:rsidRPr="002B55E9">
              <w:rPr>
                <w:rFonts w:hint="eastAsia"/>
              </w:rPr>
              <w:t>风机</w:t>
            </w:r>
          </w:p>
        </w:tc>
        <w:tc>
          <w:tcPr>
            <w:tcW w:w="1897" w:type="dxa"/>
            <w:tcBorders>
              <w:top w:val="single" w:sz="12" w:space="0" w:color="auto"/>
              <w:bottom w:val="single" w:sz="4" w:space="0" w:color="auto"/>
            </w:tcBorders>
            <w:vAlign w:val="center"/>
          </w:tcPr>
          <w:p w14:paraId="2DA71A06" w14:textId="641ED87E" w:rsidR="003D488E" w:rsidRPr="002B55E9" w:rsidRDefault="00060396" w:rsidP="00AE5254">
            <w:pPr>
              <w:pStyle w:val="affff6"/>
              <w:rPr>
                <w:szCs w:val="18"/>
              </w:rPr>
            </w:pPr>
            <w:r w:rsidRPr="002B55E9">
              <w:rPr>
                <w:rFonts w:hint="eastAsia"/>
                <w:szCs w:val="18"/>
              </w:rPr>
              <w:t>2</w:t>
            </w:r>
            <w:r w:rsidRPr="002B55E9">
              <w:rPr>
                <w:szCs w:val="18"/>
              </w:rPr>
              <w:t>50</w:t>
            </w:r>
          </w:p>
        </w:tc>
        <w:tc>
          <w:tcPr>
            <w:tcW w:w="1661" w:type="dxa"/>
            <w:tcBorders>
              <w:top w:val="single" w:sz="12" w:space="0" w:color="auto"/>
              <w:bottom w:val="single" w:sz="4" w:space="0" w:color="auto"/>
            </w:tcBorders>
            <w:vAlign w:val="center"/>
          </w:tcPr>
          <w:p w14:paraId="7E9E13D2" w14:textId="61CF80B4" w:rsidR="003D488E" w:rsidRPr="002B55E9" w:rsidRDefault="00060396" w:rsidP="003D488E">
            <w:pPr>
              <w:widowControl/>
              <w:jc w:val="center"/>
              <w:rPr>
                <w:sz w:val="18"/>
                <w:szCs w:val="18"/>
              </w:rPr>
            </w:pPr>
            <w:r w:rsidRPr="002B55E9">
              <w:rPr>
                <w:rFonts w:hint="eastAsia"/>
                <w:sz w:val="18"/>
                <w:szCs w:val="18"/>
              </w:rPr>
              <w:t>1</w:t>
            </w:r>
            <w:r w:rsidRPr="002B55E9">
              <w:rPr>
                <w:sz w:val="18"/>
                <w:szCs w:val="18"/>
              </w:rPr>
              <w:t>22</w:t>
            </w:r>
          </w:p>
        </w:tc>
        <w:tc>
          <w:tcPr>
            <w:tcW w:w="1893" w:type="dxa"/>
            <w:tcBorders>
              <w:top w:val="single" w:sz="12" w:space="0" w:color="auto"/>
              <w:bottom w:val="single" w:sz="4" w:space="0" w:color="auto"/>
            </w:tcBorders>
            <w:vAlign w:val="center"/>
          </w:tcPr>
          <w:p w14:paraId="116B4F9C" w14:textId="6FF7BF88" w:rsidR="003D488E" w:rsidRPr="002B55E9" w:rsidRDefault="00060396" w:rsidP="003D488E">
            <w:pPr>
              <w:widowControl/>
              <w:jc w:val="center"/>
              <w:rPr>
                <w:sz w:val="18"/>
                <w:szCs w:val="18"/>
              </w:rPr>
            </w:pPr>
            <w:r w:rsidRPr="002B55E9">
              <w:rPr>
                <w:rFonts w:hint="eastAsia"/>
                <w:sz w:val="18"/>
                <w:szCs w:val="18"/>
              </w:rPr>
              <w:t>1</w:t>
            </w:r>
            <w:r w:rsidRPr="002B55E9">
              <w:rPr>
                <w:sz w:val="18"/>
                <w:szCs w:val="18"/>
              </w:rPr>
              <w:t>80</w:t>
            </w:r>
          </w:p>
        </w:tc>
        <w:tc>
          <w:tcPr>
            <w:tcW w:w="1415" w:type="dxa"/>
            <w:tcBorders>
              <w:top w:val="single" w:sz="12" w:space="0" w:color="auto"/>
              <w:bottom w:val="single" w:sz="4" w:space="0" w:color="auto"/>
            </w:tcBorders>
            <w:vAlign w:val="center"/>
          </w:tcPr>
          <w:p w14:paraId="5CD9D1F0" w14:textId="4D6AF264" w:rsidR="003D488E" w:rsidRPr="002B55E9" w:rsidRDefault="00060396" w:rsidP="003D488E">
            <w:pPr>
              <w:widowControl/>
              <w:jc w:val="center"/>
              <w:rPr>
                <w:sz w:val="18"/>
                <w:szCs w:val="18"/>
              </w:rPr>
            </w:pPr>
            <w:r w:rsidRPr="002B55E9">
              <w:rPr>
                <w:sz w:val="18"/>
                <w:szCs w:val="18"/>
              </w:rPr>
              <w:t>120</w:t>
            </w:r>
          </w:p>
        </w:tc>
      </w:tr>
      <w:tr w:rsidR="002B55E9" w:rsidRPr="002B55E9" w14:paraId="0E138287" w14:textId="77777777" w:rsidTr="003D488E">
        <w:trPr>
          <w:trHeight w:val="284"/>
        </w:trPr>
        <w:tc>
          <w:tcPr>
            <w:tcW w:w="1082" w:type="dxa"/>
            <w:vMerge/>
            <w:shd w:val="clear" w:color="auto" w:fill="auto"/>
            <w:vAlign w:val="center"/>
          </w:tcPr>
          <w:p w14:paraId="5FCE87F7" w14:textId="0665A534" w:rsidR="00060396" w:rsidRPr="002B55E9" w:rsidRDefault="00060396" w:rsidP="00060396">
            <w:pPr>
              <w:pStyle w:val="affff6"/>
              <w:rPr>
                <w:szCs w:val="18"/>
              </w:rPr>
            </w:pPr>
          </w:p>
        </w:tc>
        <w:tc>
          <w:tcPr>
            <w:tcW w:w="1689" w:type="dxa"/>
            <w:shd w:val="clear" w:color="auto" w:fill="auto"/>
            <w:vAlign w:val="center"/>
          </w:tcPr>
          <w:p w14:paraId="612292C6" w14:textId="77777777" w:rsidR="00060396" w:rsidRPr="002B55E9" w:rsidRDefault="00060396" w:rsidP="00060396">
            <w:pPr>
              <w:pStyle w:val="affff6"/>
              <w:rPr>
                <w:szCs w:val="18"/>
              </w:rPr>
            </w:pPr>
            <w:r w:rsidRPr="002B55E9">
              <w:rPr>
                <w:rFonts w:hint="eastAsia"/>
              </w:rPr>
              <w:t>水泵</w:t>
            </w:r>
          </w:p>
        </w:tc>
        <w:tc>
          <w:tcPr>
            <w:tcW w:w="1897" w:type="dxa"/>
            <w:tcBorders>
              <w:top w:val="single" w:sz="4" w:space="0" w:color="auto"/>
            </w:tcBorders>
            <w:vAlign w:val="center"/>
          </w:tcPr>
          <w:p w14:paraId="1142EC8B" w14:textId="1AB7AB2F" w:rsidR="00060396" w:rsidRPr="002B55E9" w:rsidRDefault="00060396" w:rsidP="00060396">
            <w:pPr>
              <w:pStyle w:val="affff6"/>
              <w:rPr>
                <w:szCs w:val="18"/>
              </w:rPr>
            </w:pPr>
            <w:r w:rsidRPr="002B55E9">
              <w:rPr>
                <w:rFonts w:hint="eastAsia"/>
                <w:szCs w:val="18"/>
              </w:rPr>
              <w:t>2</w:t>
            </w:r>
            <w:r w:rsidRPr="002B55E9">
              <w:rPr>
                <w:szCs w:val="18"/>
              </w:rPr>
              <w:t>40</w:t>
            </w:r>
          </w:p>
        </w:tc>
        <w:tc>
          <w:tcPr>
            <w:tcW w:w="1661" w:type="dxa"/>
            <w:tcBorders>
              <w:top w:val="single" w:sz="4" w:space="0" w:color="auto"/>
            </w:tcBorders>
            <w:vAlign w:val="center"/>
          </w:tcPr>
          <w:p w14:paraId="4F7953DB" w14:textId="46108B2F"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22</w:t>
            </w:r>
          </w:p>
        </w:tc>
        <w:tc>
          <w:tcPr>
            <w:tcW w:w="1893" w:type="dxa"/>
            <w:tcBorders>
              <w:top w:val="single" w:sz="4" w:space="0" w:color="auto"/>
            </w:tcBorders>
            <w:vAlign w:val="center"/>
          </w:tcPr>
          <w:p w14:paraId="7C92DDB5" w14:textId="4F3EEFAD"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90</w:t>
            </w:r>
          </w:p>
        </w:tc>
        <w:tc>
          <w:tcPr>
            <w:tcW w:w="1415" w:type="dxa"/>
            <w:tcBorders>
              <w:top w:val="single" w:sz="4" w:space="0" w:color="auto"/>
            </w:tcBorders>
            <w:vAlign w:val="center"/>
          </w:tcPr>
          <w:p w14:paraId="29507133" w14:textId="32DAB97D"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20</w:t>
            </w:r>
          </w:p>
        </w:tc>
      </w:tr>
      <w:tr w:rsidR="002B55E9" w:rsidRPr="002B55E9" w14:paraId="58B3441F" w14:textId="77777777" w:rsidTr="003D488E">
        <w:trPr>
          <w:trHeight w:val="284"/>
        </w:trPr>
        <w:tc>
          <w:tcPr>
            <w:tcW w:w="1082" w:type="dxa"/>
            <w:vMerge w:val="restart"/>
            <w:shd w:val="clear" w:color="auto" w:fill="auto"/>
            <w:vAlign w:val="center"/>
          </w:tcPr>
          <w:p w14:paraId="4E275824" w14:textId="1DC2B3C6" w:rsidR="00060396" w:rsidRPr="002B55E9" w:rsidRDefault="00060396" w:rsidP="00060396">
            <w:pPr>
              <w:pStyle w:val="affff6"/>
              <w:rPr>
                <w:szCs w:val="18"/>
              </w:rPr>
            </w:pPr>
            <w:r w:rsidRPr="002B55E9">
              <w:rPr>
                <w:rFonts w:hint="eastAsia"/>
                <w:szCs w:val="18"/>
              </w:rPr>
              <w:t>十一车间</w:t>
            </w:r>
          </w:p>
        </w:tc>
        <w:tc>
          <w:tcPr>
            <w:tcW w:w="1689" w:type="dxa"/>
            <w:shd w:val="clear" w:color="auto" w:fill="auto"/>
            <w:vAlign w:val="center"/>
          </w:tcPr>
          <w:p w14:paraId="02A5F3A7" w14:textId="77777777" w:rsidR="00060396" w:rsidRPr="002B55E9" w:rsidRDefault="00060396" w:rsidP="00060396">
            <w:pPr>
              <w:pStyle w:val="affff6"/>
              <w:rPr>
                <w:szCs w:val="18"/>
              </w:rPr>
            </w:pPr>
            <w:r w:rsidRPr="002B55E9">
              <w:rPr>
                <w:rFonts w:hint="eastAsia"/>
              </w:rPr>
              <w:t>冷却塔</w:t>
            </w:r>
          </w:p>
        </w:tc>
        <w:tc>
          <w:tcPr>
            <w:tcW w:w="1897" w:type="dxa"/>
            <w:tcBorders>
              <w:top w:val="single" w:sz="4" w:space="0" w:color="auto"/>
            </w:tcBorders>
            <w:vAlign w:val="center"/>
          </w:tcPr>
          <w:p w14:paraId="566D3C50" w14:textId="7205E5D4" w:rsidR="00060396" w:rsidRPr="002B55E9" w:rsidRDefault="00060396" w:rsidP="00060396">
            <w:pPr>
              <w:pStyle w:val="affff6"/>
              <w:rPr>
                <w:szCs w:val="18"/>
              </w:rPr>
            </w:pPr>
            <w:r w:rsidRPr="002B55E9">
              <w:rPr>
                <w:rFonts w:hint="eastAsia"/>
                <w:szCs w:val="18"/>
              </w:rPr>
              <w:t>2</w:t>
            </w:r>
            <w:r w:rsidRPr="002B55E9">
              <w:rPr>
                <w:szCs w:val="18"/>
              </w:rPr>
              <w:t>38</w:t>
            </w:r>
          </w:p>
        </w:tc>
        <w:tc>
          <w:tcPr>
            <w:tcW w:w="1661" w:type="dxa"/>
            <w:tcBorders>
              <w:top w:val="single" w:sz="4" w:space="0" w:color="auto"/>
            </w:tcBorders>
            <w:vAlign w:val="center"/>
          </w:tcPr>
          <w:p w14:paraId="37AF9DBB" w14:textId="674EE8F4" w:rsidR="00060396" w:rsidRPr="002B55E9" w:rsidRDefault="00060396" w:rsidP="00060396">
            <w:pPr>
              <w:widowControl/>
              <w:jc w:val="center"/>
              <w:rPr>
                <w:sz w:val="18"/>
                <w:szCs w:val="18"/>
              </w:rPr>
            </w:pPr>
            <w:r w:rsidRPr="002B55E9">
              <w:rPr>
                <w:sz w:val="18"/>
                <w:szCs w:val="18"/>
              </w:rPr>
              <w:t>54</w:t>
            </w:r>
          </w:p>
        </w:tc>
        <w:tc>
          <w:tcPr>
            <w:tcW w:w="1893" w:type="dxa"/>
            <w:tcBorders>
              <w:top w:val="single" w:sz="4" w:space="0" w:color="auto"/>
            </w:tcBorders>
            <w:vAlign w:val="center"/>
          </w:tcPr>
          <w:p w14:paraId="6742F283" w14:textId="594BCB0E"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93</w:t>
            </w:r>
          </w:p>
        </w:tc>
        <w:tc>
          <w:tcPr>
            <w:tcW w:w="1415" w:type="dxa"/>
            <w:tcBorders>
              <w:top w:val="single" w:sz="4" w:space="0" w:color="auto"/>
            </w:tcBorders>
            <w:vAlign w:val="center"/>
          </w:tcPr>
          <w:p w14:paraId="0E5E74CB" w14:textId="4BB9BFF0"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88</w:t>
            </w:r>
          </w:p>
        </w:tc>
      </w:tr>
      <w:tr w:rsidR="002B55E9" w:rsidRPr="002B55E9" w14:paraId="483E6CDB" w14:textId="77777777" w:rsidTr="003D488E">
        <w:trPr>
          <w:trHeight w:val="284"/>
        </w:trPr>
        <w:tc>
          <w:tcPr>
            <w:tcW w:w="1082" w:type="dxa"/>
            <w:vMerge/>
            <w:shd w:val="clear" w:color="auto" w:fill="auto"/>
            <w:vAlign w:val="center"/>
          </w:tcPr>
          <w:p w14:paraId="0B3CFBAD" w14:textId="0756BB62" w:rsidR="00060396" w:rsidRPr="002B55E9" w:rsidRDefault="00060396" w:rsidP="00060396">
            <w:pPr>
              <w:pStyle w:val="affff6"/>
              <w:rPr>
                <w:szCs w:val="18"/>
              </w:rPr>
            </w:pPr>
          </w:p>
        </w:tc>
        <w:tc>
          <w:tcPr>
            <w:tcW w:w="1689" w:type="dxa"/>
            <w:shd w:val="clear" w:color="auto" w:fill="auto"/>
            <w:vAlign w:val="center"/>
          </w:tcPr>
          <w:p w14:paraId="6140A069" w14:textId="77777777" w:rsidR="00060396" w:rsidRPr="002B55E9" w:rsidRDefault="00060396" w:rsidP="00060396">
            <w:pPr>
              <w:pStyle w:val="affff6"/>
              <w:rPr>
                <w:szCs w:val="18"/>
              </w:rPr>
            </w:pPr>
            <w:r w:rsidRPr="002B55E9">
              <w:rPr>
                <w:rFonts w:hint="eastAsia"/>
              </w:rPr>
              <w:t>风机</w:t>
            </w:r>
          </w:p>
        </w:tc>
        <w:tc>
          <w:tcPr>
            <w:tcW w:w="1897" w:type="dxa"/>
            <w:tcBorders>
              <w:top w:val="single" w:sz="4" w:space="0" w:color="auto"/>
            </w:tcBorders>
            <w:vAlign w:val="center"/>
          </w:tcPr>
          <w:p w14:paraId="3D8FD9F7" w14:textId="30052A96" w:rsidR="00060396" w:rsidRPr="002B55E9" w:rsidRDefault="00060396" w:rsidP="00060396">
            <w:pPr>
              <w:pStyle w:val="affff6"/>
              <w:rPr>
                <w:szCs w:val="18"/>
              </w:rPr>
            </w:pPr>
            <w:r w:rsidRPr="002B55E9">
              <w:rPr>
                <w:rFonts w:hint="eastAsia"/>
                <w:szCs w:val="18"/>
              </w:rPr>
              <w:t>2</w:t>
            </w:r>
            <w:r w:rsidRPr="002B55E9">
              <w:rPr>
                <w:szCs w:val="18"/>
              </w:rPr>
              <w:t>33</w:t>
            </w:r>
          </w:p>
        </w:tc>
        <w:tc>
          <w:tcPr>
            <w:tcW w:w="1661" w:type="dxa"/>
            <w:tcBorders>
              <w:top w:val="single" w:sz="4" w:space="0" w:color="auto"/>
            </w:tcBorders>
            <w:vAlign w:val="center"/>
          </w:tcPr>
          <w:p w14:paraId="52A9A276" w14:textId="513F9282" w:rsidR="00060396" w:rsidRPr="002B55E9" w:rsidRDefault="00060396" w:rsidP="00060396">
            <w:pPr>
              <w:widowControl/>
              <w:jc w:val="center"/>
              <w:rPr>
                <w:sz w:val="18"/>
                <w:szCs w:val="18"/>
              </w:rPr>
            </w:pPr>
            <w:r w:rsidRPr="002B55E9">
              <w:rPr>
                <w:sz w:val="18"/>
                <w:szCs w:val="18"/>
              </w:rPr>
              <w:t>50</w:t>
            </w:r>
          </w:p>
        </w:tc>
        <w:tc>
          <w:tcPr>
            <w:tcW w:w="1893" w:type="dxa"/>
            <w:tcBorders>
              <w:top w:val="single" w:sz="4" w:space="0" w:color="auto"/>
            </w:tcBorders>
            <w:vAlign w:val="center"/>
          </w:tcPr>
          <w:p w14:paraId="50CA5884" w14:textId="0EE47326"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98</w:t>
            </w:r>
          </w:p>
        </w:tc>
        <w:tc>
          <w:tcPr>
            <w:tcW w:w="1415" w:type="dxa"/>
            <w:tcBorders>
              <w:top w:val="single" w:sz="4" w:space="0" w:color="auto"/>
            </w:tcBorders>
            <w:vAlign w:val="center"/>
          </w:tcPr>
          <w:p w14:paraId="7DB29D03" w14:textId="6D223E30"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92</w:t>
            </w:r>
          </w:p>
        </w:tc>
      </w:tr>
      <w:tr w:rsidR="002B55E9" w:rsidRPr="002B55E9" w14:paraId="670614D6" w14:textId="77777777">
        <w:trPr>
          <w:trHeight w:val="284"/>
        </w:trPr>
        <w:tc>
          <w:tcPr>
            <w:tcW w:w="2771" w:type="dxa"/>
            <w:gridSpan w:val="2"/>
            <w:tcBorders>
              <w:top w:val="single" w:sz="4" w:space="0" w:color="auto"/>
            </w:tcBorders>
            <w:vAlign w:val="center"/>
          </w:tcPr>
          <w:p w14:paraId="1394BEA9" w14:textId="3D889AB4" w:rsidR="00060396" w:rsidRPr="002B55E9" w:rsidRDefault="00060396" w:rsidP="00060396">
            <w:pPr>
              <w:pStyle w:val="affff6"/>
              <w:rPr>
                <w:szCs w:val="18"/>
              </w:rPr>
            </w:pPr>
            <w:r w:rsidRPr="002B55E9">
              <w:rPr>
                <w:rFonts w:hint="eastAsia"/>
                <w:szCs w:val="18"/>
              </w:rPr>
              <w:t>十三</w:t>
            </w:r>
            <w:r w:rsidRPr="002B55E9">
              <w:rPr>
                <w:szCs w:val="18"/>
              </w:rPr>
              <w:t>车间</w:t>
            </w:r>
          </w:p>
        </w:tc>
        <w:tc>
          <w:tcPr>
            <w:tcW w:w="1897" w:type="dxa"/>
            <w:tcBorders>
              <w:top w:val="single" w:sz="4" w:space="0" w:color="auto"/>
            </w:tcBorders>
            <w:vAlign w:val="center"/>
          </w:tcPr>
          <w:p w14:paraId="4C631E8E" w14:textId="3CA3B6D8" w:rsidR="00060396" w:rsidRPr="002B55E9" w:rsidRDefault="00060396" w:rsidP="00060396">
            <w:pPr>
              <w:widowControl/>
              <w:jc w:val="center"/>
              <w:rPr>
                <w:sz w:val="18"/>
                <w:szCs w:val="18"/>
              </w:rPr>
            </w:pPr>
            <w:r w:rsidRPr="002B55E9">
              <w:rPr>
                <w:rFonts w:hint="eastAsia"/>
                <w:sz w:val="18"/>
                <w:szCs w:val="18"/>
              </w:rPr>
              <w:t>158</w:t>
            </w:r>
          </w:p>
        </w:tc>
        <w:tc>
          <w:tcPr>
            <w:tcW w:w="1661" w:type="dxa"/>
            <w:tcBorders>
              <w:top w:val="single" w:sz="4" w:space="0" w:color="auto"/>
            </w:tcBorders>
            <w:vAlign w:val="center"/>
          </w:tcPr>
          <w:p w14:paraId="1197FA2A" w14:textId="6FAA52EF" w:rsidR="00060396" w:rsidRPr="002B55E9" w:rsidRDefault="00060396" w:rsidP="00060396">
            <w:pPr>
              <w:widowControl/>
              <w:jc w:val="center"/>
              <w:rPr>
                <w:sz w:val="18"/>
                <w:szCs w:val="18"/>
              </w:rPr>
            </w:pPr>
            <w:r w:rsidRPr="002B55E9">
              <w:rPr>
                <w:rFonts w:hint="eastAsia"/>
                <w:sz w:val="18"/>
                <w:szCs w:val="18"/>
              </w:rPr>
              <w:t>105</w:t>
            </w:r>
          </w:p>
        </w:tc>
        <w:tc>
          <w:tcPr>
            <w:tcW w:w="1893" w:type="dxa"/>
            <w:tcBorders>
              <w:top w:val="single" w:sz="4" w:space="0" w:color="auto"/>
            </w:tcBorders>
            <w:vAlign w:val="center"/>
          </w:tcPr>
          <w:p w14:paraId="0E64E92A" w14:textId="743C8C30" w:rsidR="00060396" w:rsidRPr="002B55E9" w:rsidRDefault="00060396" w:rsidP="00060396">
            <w:pPr>
              <w:widowControl/>
              <w:jc w:val="center"/>
              <w:rPr>
                <w:sz w:val="18"/>
                <w:szCs w:val="18"/>
              </w:rPr>
            </w:pPr>
            <w:r w:rsidRPr="002B55E9">
              <w:rPr>
                <w:rFonts w:hint="eastAsia"/>
                <w:sz w:val="18"/>
                <w:szCs w:val="18"/>
              </w:rPr>
              <w:t>10</w:t>
            </w:r>
            <w:r w:rsidRPr="002B55E9">
              <w:rPr>
                <w:sz w:val="18"/>
                <w:szCs w:val="18"/>
              </w:rPr>
              <w:t>6</w:t>
            </w:r>
          </w:p>
        </w:tc>
        <w:tc>
          <w:tcPr>
            <w:tcW w:w="1415" w:type="dxa"/>
            <w:tcBorders>
              <w:top w:val="single" w:sz="4" w:space="0" w:color="auto"/>
            </w:tcBorders>
            <w:vAlign w:val="center"/>
          </w:tcPr>
          <w:p w14:paraId="5051A3CF" w14:textId="51DB06E5" w:rsidR="00060396" w:rsidRPr="002B55E9" w:rsidRDefault="00060396" w:rsidP="00060396">
            <w:pPr>
              <w:widowControl/>
              <w:jc w:val="center"/>
              <w:rPr>
                <w:sz w:val="18"/>
                <w:szCs w:val="18"/>
              </w:rPr>
            </w:pPr>
            <w:r w:rsidRPr="002B55E9">
              <w:rPr>
                <w:rFonts w:hint="eastAsia"/>
                <w:sz w:val="18"/>
                <w:szCs w:val="18"/>
              </w:rPr>
              <w:t>9</w:t>
            </w:r>
            <w:r w:rsidRPr="002B55E9">
              <w:rPr>
                <w:sz w:val="18"/>
                <w:szCs w:val="18"/>
              </w:rPr>
              <w:t>5</w:t>
            </w:r>
          </w:p>
        </w:tc>
      </w:tr>
      <w:tr w:rsidR="002B55E9" w:rsidRPr="002B55E9" w14:paraId="5A259E70" w14:textId="77777777">
        <w:trPr>
          <w:trHeight w:val="284"/>
        </w:trPr>
        <w:tc>
          <w:tcPr>
            <w:tcW w:w="2771" w:type="dxa"/>
            <w:gridSpan w:val="2"/>
            <w:tcBorders>
              <w:top w:val="single" w:sz="4" w:space="0" w:color="auto"/>
            </w:tcBorders>
            <w:vAlign w:val="center"/>
          </w:tcPr>
          <w:p w14:paraId="58CC06D8" w14:textId="5AA469F7" w:rsidR="00060396" w:rsidRPr="002B55E9" w:rsidRDefault="00060396" w:rsidP="00060396">
            <w:pPr>
              <w:pStyle w:val="affff6"/>
              <w:rPr>
                <w:szCs w:val="18"/>
              </w:rPr>
            </w:pPr>
            <w:r w:rsidRPr="002B55E9">
              <w:rPr>
                <w:rFonts w:hint="eastAsia"/>
                <w:szCs w:val="18"/>
              </w:rPr>
              <w:t>十一</w:t>
            </w:r>
            <w:r w:rsidRPr="002B55E9">
              <w:rPr>
                <w:szCs w:val="18"/>
              </w:rPr>
              <w:t>车间</w:t>
            </w:r>
          </w:p>
        </w:tc>
        <w:tc>
          <w:tcPr>
            <w:tcW w:w="1897" w:type="dxa"/>
            <w:tcBorders>
              <w:top w:val="single" w:sz="4" w:space="0" w:color="auto"/>
            </w:tcBorders>
            <w:vAlign w:val="center"/>
          </w:tcPr>
          <w:p w14:paraId="262F6B08" w14:textId="7081FC59" w:rsidR="00060396" w:rsidRPr="002B55E9" w:rsidRDefault="00060396" w:rsidP="00060396">
            <w:pPr>
              <w:widowControl/>
              <w:jc w:val="center"/>
              <w:rPr>
                <w:sz w:val="18"/>
                <w:szCs w:val="18"/>
              </w:rPr>
            </w:pPr>
            <w:r w:rsidRPr="002B55E9">
              <w:rPr>
                <w:rFonts w:hint="eastAsia"/>
                <w:sz w:val="18"/>
                <w:szCs w:val="18"/>
              </w:rPr>
              <w:t>158</w:t>
            </w:r>
          </w:p>
        </w:tc>
        <w:tc>
          <w:tcPr>
            <w:tcW w:w="1661" w:type="dxa"/>
            <w:tcBorders>
              <w:top w:val="single" w:sz="4" w:space="0" w:color="auto"/>
            </w:tcBorders>
            <w:vAlign w:val="center"/>
          </w:tcPr>
          <w:p w14:paraId="0429CE3A" w14:textId="45BAD772" w:rsidR="00060396" w:rsidRPr="002B55E9" w:rsidRDefault="00060396" w:rsidP="00060396">
            <w:pPr>
              <w:widowControl/>
              <w:jc w:val="center"/>
              <w:rPr>
                <w:sz w:val="18"/>
                <w:szCs w:val="18"/>
              </w:rPr>
            </w:pPr>
            <w:r w:rsidRPr="002B55E9">
              <w:rPr>
                <w:rFonts w:hint="eastAsia"/>
                <w:sz w:val="18"/>
                <w:szCs w:val="18"/>
              </w:rPr>
              <w:t>6</w:t>
            </w:r>
          </w:p>
        </w:tc>
        <w:tc>
          <w:tcPr>
            <w:tcW w:w="1893" w:type="dxa"/>
            <w:tcBorders>
              <w:top w:val="single" w:sz="4" w:space="0" w:color="auto"/>
            </w:tcBorders>
            <w:vAlign w:val="center"/>
          </w:tcPr>
          <w:p w14:paraId="52D94303" w14:textId="2BE806A8" w:rsidR="00060396" w:rsidRPr="002B55E9" w:rsidRDefault="00060396" w:rsidP="00060396">
            <w:pPr>
              <w:widowControl/>
              <w:jc w:val="center"/>
              <w:rPr>
                <w:sz w:val="18"/>
                <w:szCs w:val="18"/>
              </w:rPr>
            </w:pPr>
            <w:r w:rsidRPr="002B55E9">
              <w:rPr>
                <w:sz w:val="18"/>
                <w:szCs w:val="18"/>
              </w:rPr>
              <w:t>110</w:t>
            </w:r>
          </w:p>
        </w:tc>
        <w:tc>
          <w:tcPr>
            <w:tcW w:w="1415" w:type="dxa"/>
            <w:tcBorders>
              <w:top w:val="single" w:sz="4" w:space="0" w:color="auto"/>
            </w:tcBorders>
            <w:vAlign w:val="center"/>
          </w:tcPr>
          <w:p w14:paraId="73ECAFEA" w14:textId="7F54377D" w:rsidR="00060396" w:rsidRPr="002B55E9" w:rsidRDefault="00060396" w:rsidP="00060396">
            <w:pPr>
              <w:widowControl/>
              <w:jc w:val="center"/>
              <w:rPr>
                <w:sz w:val="18"/>
                <w:szCs w:val="18"/>
              </w:rPr>
            </w:pPr>
            <w:r w:rsidRPr="002B55E9">
              <w:rPr>
                <w:rFonts w:hint="eastAsia"/>
                <w:sz w:val="18"/>
                <w:szCs w:val="18"/>
              </w:rPr>
              <w:t>145</w:t>
            </w:r>
          </w:p>
        </w:tc>
      </w:tr>
      <w:tr w:rsidR="002B55E9" w:rsidRPr="002B55E9" w14:paraId="013D7234" w14:textId="77777777">
        <w:trPr>
          <w:trHeight w:val="284"/>
        </w:trPr>
        <w:tc>
          <w:tcPr>
            <w:tcW w:w="2771" w:type="dxa"/>
            <w:gridSpan w:val="2"/>
            <w:vAlign w:val="center"/>
          </w:tcPr>
          <w:p w14:paraId="1D833615" w14:textId="77777777" w:rsidR="00060396" w:rsidRPr="002B55E9" w:rsidRDefault="00060396" w:rsidP="00060396">
            <w:pPr>
              <w:pStyle w:val="affff6"/>
              <w:rPr>
                <w:szCs w:val="18"/>
              </w:rPr>
            </w:pPr>
            <w:r w:rsidRPr="002B55E9">
              <w:rPr>
                <w:rFonts w:hint="eastAsia"/>
                <w:szCs w:val="18"/>
              </w:rPr>
              <w:t>罐区三泵房</w:t>
            </w:r>
          </w:p>
        </w:tc>
        <w:tc>
          <w:tcPr>
            <w:tcW w:w="1897" w:type="dxa"/>
            <w:vAlign w:val="center"/>
          </w:tcPr>
          <w:p w14:paraId="4DBE9094" w14:textId="77777777" w:rsidR="00060396" w:rsidRPr="002B55E9" w:rsidRDefault="00060396" w:rsidP="00060396">
            <w:pPr>
              <w:widowControl/>
              <w:jc w:val="center"/>
              <w:rPr>
                <w:sz w:val="18"/>
                <w:szCs w:val="18"/>
              </w:rPr>
            </w:pPr>
            <w:r w:rsidRPr="002B55E9">
              <w:rPr>
                <w:sz w:val="18"/>
                <w:szCs w:val="18"/>
              </w:rPr>
              <w:t>404</w:t>
            </w:r>
          </w:p>
        </w:tc>
        <w:tc>
          <w:tcPr>
            <w:tcW w:w="1661" w:type="dxa"/>
            <w:vAlign w:val="center"/>
          </w:tcPr>
          <w:p w14:paraId="22BD6C83" w14:textId="77777777" w:rsidR="00060396" w:rsidRPr="002B55E9" w:rsidRDefault="00060396" w:rsidP="00060396">
            <w:pPr>
              <w:widowControl/>
              <w:jc w:val="center"/>
              <w:rPr>
                <w:sz w:val="18"/>
                <w:szCs w:val="18"/>
              </w:rPr>
            </w:pPr>
            <w:r w:rsidRPr="002B55E9">
              <w:rPr>
                <w:rFonts w:hint="eastAsia"/>
                <w:sz w:val="18"/>
                <w:szCs w:val="18"/>
              </w:rPr>
              <w:t>156</w:t>
            </w:r>
          </w:p>
        </w:tc>
        <w:tc>
          <w:tcPr>
            <w:tcW w:w="1893" w:type="dxa"/>
            <w:vAlign w:val="center"/>
          </w:tcPr>
          <w:p w14:paraId="57F8A2E6" w14:textId="77777777" w:rsidR="00060396" w:rsidRPr="002B55E9" w:rsidRDefault="00060396" w:rsidP="00060396">
            <w:pPr>
              <w:widowControl/>
              <w:jc w:val="center"/>
              <w:rPr>
                <w:sz w:val="18"/>
                <w:szCs w:val="18"/>
              </w:rPr>
            </w:pPr>
            <w:r w:rsidRPr="002B55E9">
              <w:rPr>
                <w:rFonts w:hint="eastAsia"/>
                <w:sz w:val="18"/>
                <w:szCs w:val="18"/>
              </w:rPr>
              <w:t>1</w:t>
            </w:r>
            <w:r w:rsidRPr="002B55E9">
              <w:rPr>
                <w:sz w:val="18"/>
                <w:szCs w:val="18"/>
              </w:rPr>
              <w:t>5</w:t>
            </w:r>
          </w:p>
        </w:tc>
        <w:tc>
          <w:tcPr>
            <w:tcW w:w="1415" w:type="dxa"/>
            <w:vAlign w:val="center"/>
          </w:tcPr>
          <w:p w14:paraId="788E2C11" w14:textId="77777777" w:rsidR="00060396" w:rsidRPr="002B55E9" w:rsidRDefault="00060396" w:rsidP="00060396">
            <w:pPr>
              <w:widowControl/>
              <w:jc w:val="center"/>
              <w:rPr>
                <w:sz w:val="18"/>
                <w:szCs w:val="18"/>
              </w:rPr>
            </w:pPr>
            <w:r w:rsidRPr="002B55E9">
              <w:rPr>
                <w:rFonts w:hint="eastAsia"/>
                <w:sz w:val="18"/>
                <w:szCs w:val="18"/>
              </w:rPr>
              <w:t>80</w:t>
            </w:r>
          </w:p>
        </w:tc>
      </w:tr>
      <w:tr w:rsidR="002B55E9" w:rsidRPr="002B55E9" w14:paraId="59D6967A" w14:textId="77777777">
        <w:trPr>
          <w:trHeight w:val="284"/>
        </w:trPr>
        <w:tc>
          <w:tcPr>
            <w:tcW w:w="2771" w:type="dxa"/>
            <w:gridSpan w:val="2"/>
            <w:vAlign w:val="center"/>
          </w:tcPr>
          <w:p w14:paraId="2D52E944" w14:textId="77777777" w:rsidR="00060396" w:rsidRPr="002B55E9" w:rsidRDefault="00060396" w:rsidP="00060396">
            <w:pPr>
              <w:pStyle w:val="affff6"/>
              <w:rPr>
                <w:szCs w:val="18"/>
              </w:rPr>
            </w:pPr>
            <w:r w:rsidRPr="002B55E9">
              <w:rPr>
                <w:rFonts w:hint="eastAsia"/>
                <w:szCs w:val="18"/>
              </w:rPr>
              <w:t>酒精</w:t>
            </w:r>
            <w:r w:rsidRPr="002B55E9">
              <w:rPr>
                <w:szCs w:val="18"/>
              </w:rPr>
              <w:t>罐区泵房</w:t>
            </w:r>
          </w:p>
        </w:tc>
        <w:tc>
          <w:tcPr>
            <w:tcW w:w="1897" w:type="dxa"/>
            <w:vAlign w:val="center"/>
          </w:tcPr>
          <w:p w14:paraId="60CBAE45" w14:textId="77777777" w:rsidR="00060396" w:rsidRPr="002B55E9" w:rsidRDefault="00060396" w:rsidP="00060396">
            <w:pPr>
              <w:widowControl/>
              <w:jc w:val="center"/>
              <w:rPr>
                <w:sz w:val="18"/>
                <w:szCs w:val="18"/>
              </w:rPr>
            </w:pPr>
            <w:r w:rsidRPr="002B55E9">
              <w:rPr>
                <w:rFonts w:hint="eastAsia"/>
                <w:sz w:val="18"/>
                <w:szCs w:val="18"/>
              </w:rPr>
              <w:t>401</w:t>
            </w:r>
          </w:p>
        </w:tc>
        <w:tc>
          <w:tcPr>
            <w:tcW w:w="1661" w:type="dxa"/>
            <w:vAlign w:val="center"/>
          </w:tcPr>
          <w:p w14:paraId="00E966DF" w14:textId="77777777" w:rsidR="00060396" w:rsidRPr="002B55E9" w:rsidRDefault="00060396" w:rsidP="00060396">
            <w:pPr>
              <w:widowControl/>
              <w:jc w:val="center"/>
              <w:rPr>
                <w:sz w:val="18"/>
                <w:szCs w:val="18"/>
              </w:rPr>
            </w:pPr>
            <w:r w:rsidRPr="002B55E9">
              <w:rPr>
                <w:rFonts w:hint="eastAsia"/>
                <w:sz w:val="18"/>
                <w:szCs w:val="18"/>
              </w:rPr>
              <w:t>196</w:t>
            </w:r>
          </w:p>
        </w:tc>
        <w:tc>
          <w:tcPr>
            <w:tcW w:w="1893" w:type="dxa"/>
            <w:vAlign w:val="center"/>
          </w:tcPr>
          <w:p w14:paraId="151C340F" w14:textId="77777777" w:rsidR="00060396" w:rsidRPr="002B55E9" w:rsidRDefault="00060396" w:rsidP="00060396">
            <w:pPr>
              <w:widowControl/>
              <w:jc w:val="center"/>
              <w:rPr>
                <w:sz w:val="18"/>
                <w:szCs w:val="18"/>
              </w:rPr>
            </w:pPr>
            <w:r w:rsidRPr="002B55E9">
              <w:rPr>
                <w:rFonts w:hint="eastAsia"/>
                <w:sz w:val="18"/>
                <w:szCs w:val="18"/>
              </w:rPr>
              <w:t>26</w:t>
            </w:r>
          </w:p>
        </w:tc>
        <w:tc>
          <w:tcPr>
            <w:tcW w:w="1415" w:type="dxa"/>
            <w:vAlign w:val="center"/>
          </w:tcPr>
          <w:p w14:paraId="7605DC05" w14:textId="77777777" w:rsidR="00060396" w:rsidRPr="002B55E9" w:rsidRDefault="00060396" w:rsidP="00060396">
            <w:pPr>
              <w:widowControl/>
              <w:jc w:val="center"/>
              <w:rPr>
                <w:sz w:val="18"/>
                <w:szCs w:val="18"/>
              </w:rPr>
            </w:pPr>
            <w:r w:rsidRPr="002B55E9">
              <w:rPr>
                <w:rFonts w:hint="eastAsia"/>
                <w:sz w:val="18"/>
                <w:szCs w:val="18"/>
              </w:rPr>
              <w:t>54</w:t>
            </w:r>
          </w:p>
        </w:tc>
      </w:tr>
    </w:tbl>
    <w:p w14:paraId="1857A2B6" w14:textId="77777777" w:rsidR="00D170E5" w:rsidRPr="002B55E9" w:rsidRDefault="00EF27AD">
      <w:pPr>
        <w:pStyle w:val="4"/>
        <w:rPr>
          <w:color w:val="auto"/>
        </w:rPr>
      </w:pPr>
      <w:r w:rsidRPr="002B55E9">
        <w:rPr>
          <w:rFonts w:hint="eastAsia"/>
          <w:color w:val="auto"/>
        </w:rPr>
        <w:t>预测结果及评价</w:t>
      </w:r>
    </w:p>
    <w:p w14:paraId="7509D22B" w14:textId="77777777" w:rsidR="00D170E5" w:rsidRPr="002B55E9" w:rsidRDefault="00EF27AD">
      <w:pPr>
        <w:spacing w:after="60" w:line="360" w:lineRule="auto"/>
        <w:ind w:firstLineChars="200" w:firstLine="480"/>
        <w:rPr>
          <w:sz w:val="24"/>
        </w:rPr>
      </w:pPr>
      <w:r w:rsidRPr="002B55E9">
        <w:rPr>
          <w:rFonts w:hint="eastAsia"/>
          <w:sz w:val="24"/>
        </w:rPr>
        <w:t>拟建项目主要通过选用低噪声设备和厂房隔声降低噪声对周边环境的影响，厂房隔声效果以</w:t>
      </w:r>
      <w:r w:rsidRPr="002B55E9">
        <w:rPr>
          <w:rFonts w:hint="eastAsia"/>
          <w:sz w:val="24"/>
        </w:rPr>
        <w:t>20dB</w:t>
      </w:r>
      <w:r w:rsidRPr="002B55E9">
        <w:rPr>
          <w:rFonts w:hint="eastAsia"/>
          <w:sz w:val="24"/>
        </w:rPr>
        <w:t>（</w:t>
      </w:r>
      <w:r w:rsidRPr="002B55E9">
        <w:rPr>
          <w:rFonts w:hint="eastAsia"/>
          <w:sz w:val="24"/>
        </w:rPr>
        <w:t>A</w:t>
      </w:r>
      <w:r w:rsidRPr="002B55E9">
        <w:rPr>
          <w:rFonts w:hint="eastAsia"/>
          <w:sz w:val="24"/>
        </w:rPr>
        <w:t>）计，噪声影响预测结果见下表。</w:t>
      </w:r>
    </w:p>
    <w:p w14:paraId="14D0A25A"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5-4-3</w:t>
      </w:r>
      <w:r w:rsidRPr="002B55E9">
        <w:rPr>
          <w:rFonts w:eastAsia="黑体"/>
          <w:b/>
          <w:sz w:val="24"/>
        </w:rPr>
        <w:t>采取减噪措施情况下厂界噪声预测结果一览表</w:t>
      </w:r>
      <w:r w:rsidRPr="002B55E9">
        <w:rPr>
          <w:rFonts w:eastAsia="黑体"/>
          <w:b/>
          <w:sz w:val="24"/>
        </w:rPr>
        <w:t xml:space="preserve">   </w:t>
      </w:r>
      <w:r w:rsidRPr="002B55E9">
        <w:rPr>
          <w:rFonts w:eastAsia="黑体"/>
          <w:b/>
          <w:sz w:val="24"/>
        </w:rPr>
        <w:t>单位</w:t>
      </w:r>
      <w:r w:rsidRPr="002B55E9">
        <w:rPr>
          <w:rFonts w:eastAsia="黑体"/>
          <w:b/>
          <w:sz w:val="24"/>
        </w:rPr>
        <w:t>dB(A)</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2223"/>
        <w:gridCol w:w="1144"/>
        <w:gridCol w:w="1145"/>
        <w:gridCol w:w="1145"/>
        <w:gridCol w:w="1145"/>
      </w:tblGrid>
      <w:tr w:rsidR="002B55E9" w:rsidRPr="002B55E9" w14:paraId="5B1ACFAD" w14:textId="77777777">
        <w:trPr>
          <w:cantSplit/>
          <w:trHeight w:val="284"/>
          <w:jc w:val="center"/>
        </w:trPr>
        <w:tc>
          <w:tcPr>
            <w:tcW w:w="2835" w:type="dxa"/>
            <w:tcBorders>
              <w:top w:val="single" w:sz="12" w:space="0" w:color="auto"/>
              <w:bottom w:val="single" w:sz="12" w:space="0" w:color="auto"/>
              <w:tl2br w:val="single" w:sz="4" w:space="0" w:color="auto"/>
            </w:tcBorders>
            <w:vAlign w:val="center"/>
          </w:tcPr>
          <w:p w14:paraId="22F10B5F" w14:textId="77777777" w:rsidR="00D170E5" w:rsidRPr="002B55E9" w:rsidRDefault="00EF27AD">
            <w:pPr>
              <w:snapToGrid w:val="0"/>
              <w:jc w:val="right"/>
              <w:rPr>
                <w:sz w:val="18"/>
                <w:szCs w:val="18"/>
              </w:rPr>
            </w:pPr>
            <w:r w:rsidRPr="002B55E9">
              <w:rPr>
                <w:rFonts w:hAnsi="宋体"/>
                <w:sz w:val="18"/>
                <w:szCs w:val="18"/>
              </w:rPr>
              <w:t>预测点</w:t>
            </w:r>
          </w:p>
          <w:p w14:paraId="144E0997" w14:textId="77777777" w:rsidR="00D170E5" w:rsidRPr="002B55E9" w:rsidRDefault="00EF27AD">
            <w:pPr>
              <w:snapToGrid w:val="0"/>
              <w:jc w:val="left"/>
              <w:rPr>
                <w:sz w:val="18"/>
                <w:szCs w:val="18"/>
              </w:rPr>
            </w:pPr>
            <w:r w:rsidRPr="002B55E9">
              <w:rPr>
                <w:rFonts w:hint="eastAsia"/>
                <w:sz w:val="18"/>
                <w:szCs w:val="18"/>
              </w:rPr>
              <w:t>噪声源</w:t>
            </w:r>
          </w:p>
        </w:tc>
        <w:tc>
          <w:tcPr>
            <w:tcW w:w="2223" w:type="dxa"/>
            <w:tcBorders>
              <w:top w:val="single" w:sz="12" w:space="0" w:color="auto"/>
              <w:bottom w:val="single" w:sz="12" w:space="0" w:color="auto"/>
            </w:tcBorders>
            <w:vAlign w:val="center"/>
          </w:tcPr>
          <w:p w14:paraId="10D2A3AD" w14:textId="77777777" w:rsidR="00D170E5" w:rsidRPr="002B55E9" w:rsidRDefault="00EF27AD">
            <w:pPr>
              <w:snapToGrid w:val="0"/>
              <w:jc w:val="center"/>
              <w:rPr>
                <w:sz w:val="18"/>
                <w:szCs w:val="18"/>
              </w:rPr>
            </w:pPr>
            <w:r w:rsidRPr="002B55E9">
              <w:rPr>
                <w:rFonts w:hint="eastAsia"/>
                <w:sz w:val="18"/>
                <w:szCs w:val="18"/>
              </w:rPr>
              <w:t>预测参数</w:t>
            </w:r>
          </w:p>
        </w:tc>
        <w:tc>
          <w:tcPr>
            <w:tcW w:w="1144" w:type="dxa"/>
            <w:tcBorders>
              <w:top w:val="single" w:sz="12" w:space="0" w:color="auto"/>
              <w:bottom w:val="single" w:sz="12" w:space="0" w:color="auto"/>
            </w:tcBorders>
            <w:vAlign w:val="center"/>
          </w:tcPr>
          <w:p w14:paraId="7BDDD1B3" w14:textId="77777777" w:rsidR="00D170E5" w:rsidRPr="002B55E9" w:rsidRDefault="00EF27AD">
            <w:pPr>
              <w:snapToGrid w:val="0"/>
              <w:jc w:val="center"/>
              <w:rPr>
                <w:sz w:val="18"/>
                <w:szCs w:val="18"/>
              </w:rPr>
            </w:pPr>
            <w:r w:rsidRPr="002B55E9">
              <w:rPr>
                <w:rFonts w:hint="eastAsia"/>
                <w:sz w:val="18"/>
                <w:szCs w:val="18"/>
              </w:rPr>
              <w:t>东侧厂界</w:t>
            </w:r>
            <w:r w:rsidRPr="002B55E9">
              <w:rPr>
                <w:rFonts w:hint="eastAsia"/>
                <w:sz w:val="18"/>
                <w:szCs w:val="18"/>
              </w:rPr>
              <w:t>1#</w:t>
            </w:r>
          </w:p>
        </w:tc>
        <w:tc>
          <w:tcPr>
            <w:tcW w:w="1145" w:type="dxa"/>
            <w:tcBorders>
              <w:top w:val="single" w:sz="12" w:space="0" w:color="auto"/>
              <w:bottom w:val="single" w:sz="12" w:space="0" w:color="auto"/>
            </w:tcBorders>
            <w:vAlign w:val="center"/>
          </w:tcPr>
          <w:p w14:paraId="07C2C687" w14:textId="77777777" w:rsidR="00D170E5" w:rsidRPr="002B55E9" w:rsidRDefault="00EF27AD">
            <w:pPr>
              <w:snapToGrid w:val="0"/>
              <w:jc w:val="center"/>
              <w:rPr>
                <w:sz w:val="18"/>
                <w:szCs w:val="18"/>
              </w:rPr>
            </w:pPr>
            <w:r w:rsidRPr="002B55E9">
              <w:rPr>
                <w:rFonts w:hint="eastAsia"/>
                <w:sz w:val="18"/>
                <w:szCs w:val="18"/>
              </w:rPr>
              <w:t>南侧</w:t>
            </w:r>
            <w:r w:rsidRPr="002B55E9">
              <w:rPr>
                <w:sz w:val="18"/>
                <w:szCs w:val="18"/>
              </w:rPr>
              <w:t>厂界</w:t>
            </w:r>
            <w:r w:rsidRPr="002B55E9">
              <w:rPr>
                <w:rFonts w:hint="eastAsia"/>
                <w:sz w:val="18"/>
                <w:szCs w:val="18"/>
              </w:rPr>
              <w:t>2#</w:t>
            </w:r>
          </w:p>
        </w:tc>
        <w:tc>
          <w:tcPr>
            <w:tcW w:w="1145" w:type="dxa"/>
            <w:tcBorders>
              <w:top w:val="single" w:sz="12" w:space="0" w:color="auto"/>
              <w:bottom w:val="single" w:sz="12" w:space="0" w:color="auto"/>
            </w:tcBorders>
            <w:vAlign w:val="center"/>
          </w:tcPr>
          <w:p w14:paraId="5646DE51" w14:textId="77777777" w:rsidR="00D170E5" w:rsidRPr="002B55E9" w:rsidRDefault="00EF27AD">
            <w:pPr>
              <w:snapToGrid w:val="0"/>
              <w:jc w:val="center"/>
              <w:rPr>
                <w:sz w:val="18"/>
                <w:szCs w:val="18"/>
              </w:rPr>
            </w:pPr>
            <w:r w:rsidRPr="002B55E9">
              <w:rPr>
                <w:rFonts w:hint="eastAsia"/>
                <w:sz w:val="18"/>
                <w:szCs w:val="18"/>
              </w:rPr>
              <w:t>西侧</w:t>
            </w:r>
            <w:r w:rsidRPr="002B55E9">
              <w:rPr>
                <w:sz w:val="18"/>
                <w:szCs w:val="18"/>
              </w:rPr>
              <w:t>厂界</w:t>
            </w:r>
            <w:r w:rsidRPr="002B55E9">
              <w:rPr>
                <w:rFonts w:hint="eastAsia"/>
                <w:sz w:val="18"/>
                <w:szCs w:val="18"/>
              </w:rPr>
              <w:t>3#</w:t>
            </w:r>
          </w:p>
        </w:tc>
        <w:tc>
          <w:tcPr>
            <w:tcW w:w="1145" w:type="dxa"/>
            <w:tcBorders>
              <w:top w:val="single" w:sz="12" w:space="0" w:color="auto"/>
              <w:bottom w:val="single" w:sz="12" w:space="0" w:color="auto"/>
            </w:tcBorders>
            <w:vAlign w:val="center"/>
          </w:tcPr>
          <w:p w14:paraId="77CBA8E2" w14:textId="77777777" w:rsidR="00D170E5" w:rsidRPr="002B55E9" w:rsidRDefault="00EF27AD">
            <w:pPr>
              <w:snapToGrid w:val="0"/>
              <w:jc w:val="center"/>
              <w:rPr>
                <w:sz w:val="18"/>
                <w:szCs w:val="18"/>
              </w:rPr>
            </w:pPr>
            <w:r w:rsidRPr="002B55E9">
              <w:rPr>
                <w:rFonts w:hint="eastAsia"/>
                <w:sz w:val="18"/>
                <w:szCs w:val="18"/>
              </w:rPr>
              <w:t>北侧</w:t>
            </w:r>
            <w:r w:rsidRPr="002B55E9">
              <w:rPr>
                <w:sz w:val="18"/>
                <w:szCs w:val="18"/>
              </w:rPr>
              <w:t>厂界</w:t>
            </w:r>
            <w:r w:rsidRPr="002B55E9">
              <w:rPr>
                <w:rFonts w:hint="eastAsia"/>
                <w:sz w:val="18"/>
                <w:szCs w:val="18"/>
              </w:rPr>
              <w:t>4#</w:t>
            </w:r>
          </w:p>
        </w:tc>
      </w:tr>
      <w:tr w:rsidR="002B55E9" w:rsidRPr="002B55E9" w14:paraId="371A3576" w14:textId="77777777">
        <w:trPr>
          <w:cantSplit/>
          <w:trHeight w:val="284"/>
          <w:jc w:val="center"/>
        </w:trPr>
        <w:tc>
          <w:tcPr>
            <w:tcW w:w="2835" w:type="dxa"/>
            <w:tcBorders>
              <w:top w:val="single" w:sz="12" w:space="0" w:color="auto"/>
              <w:bottom w:val="single" w:sz="4" w:space="0" w:color="auto"/>
            </w:tcBorders>
            <w:vAlign w:val="center"/>
          </w:tcPr>
          <w:p w14:paraId="2E9DF724" w14:textId="77777777" w:rsidR="00D170E5" w:rsidRPr="002B55E9" w:rsidRDefault="00EF27AD">
            <w:pPr>
              <w:snapToGrid w:val="0"/>
              <w:spacing w:line="0" w:lineRule="atLeast"/>
              <w:jc w:val="center"/>
              <w:rPr>
                <w:sz w:val="18"/>
                <w:szCs w:val="18"/>
              </w:rPr>
            </w:pPr>
            <w:r w:rsidRPr="002B55E9">
              <w:rPr>
                <w:rFonts w:hint="eastAsia"/>
                <w:sz w:val="18"/>
                <w:szCs w:val="18"/>
              </w:rPr>
              <w:t>厂界贡献值</w:t>
            </w:r>
          </w:p>
        </w:tc>
        <w:tc>
          <w:tcPr>
            <w:tcW w:w="2223" w:type="dxa"/>
            <w:tcBorders>
              <w:top w:val="single" w:sz="4" w:space="0" w:color="auto"/>
              <w:bottom w:val="single" w:sz="4" w:space="0" w:color="auto"/>
            </w:tcBorders>
            <w:vAlign w:val="center"/>
          </w:tcPr>
          <w:p w14:paraId="7D1EEB01" w14:textId="77777777" w:rsidR="00D170E5" w:rsidRPr="002B55E9" w:rsidRDefault="00EF27AD">
            <w:pPr>
              <w:jc w:val="center"/>
              <w:rPr>
                <w:sz w:val="18"/>
                <w:szCs w:val="18"/>
              </w:rPr>
            </w:pPr>
            <w:r w:rsidRPr="002B55E9">
              <w:rPr>
                <w:rFonts w:hint="eastAsia"/>
                <w:sz w:val="18"/>
                <w:szCs w:val="18"/>
              </w:rPr>
              <w:t>贡献值</w:t>
            </w:r>
            <w:r w:rsidRPr="002B55E9">
              <w:rPr>
                <w:rFonts w:hint="eastAsia"/>
                <w:sz w:val="18"/>
                <w:szCs w:val="18"/>
              </w:rPr>
              <w:t>dB</w:t>
            </w:r>
            <w:r w:rsidRPr="002B55E9">
              <w:rPr>
                <w:rFonts w:hint="eastAsia"/>
                <w:sz w:val="18"/>
                <w:szCs w:val="18"/>
              </w:rPr>
              <w:t>（</w:t>
            </w:r>
            <w:r w:rsidRPr="002B55E9">
              <w:rPr>
                <w:rFonts w:hint="eastAsia"/>
                <w:sz w:val="18"/>
                <w:szCs w:val="18"/>
              </w:rPr>
              <w:t>A</w:t>
            </w:r>
            <w:r w:rsidRPr="002B55E9">
              <w:rPr>
                <w:rFonts w:hint="eastAsia"/>
                <w:sz w:val="18"/>
                <w:szCs w:val="18"/>
              </w:rPr>
              <w:t>）</w:t>
            </w:r>
          </w:p>
        </w:tc>
        <w:tc>
          <w:tcPr>
            <w:tcW w:w="1144" w:type="dxa"/>
            <w:tcBorders>
              <w:top w:val="single" w:sz="12" w:space="0" w:color="auto"/>
              <w:left w:val="nil"/>
              <w:bottom w:val="nil"/>
              <w:right w:val="single" w:sz="4" w:space="0" w:color="auto"/>
            </w:tcBorders>
            <w:shd w:val="clear" w:color="auto" w:fill="auto"/>
            <w:vAlign w:val="center"/>
          </w:tcPr>
          <w:p w14:paraId="262A77C8" w14:textId="148063B9" w:rsidR="00D170E5" w:rsidRPr="002B55E9" w:rsidRDefault="00EF27AD">
            <w:pPr>
              <w:jc w:val="center"/>
              <w:rPr>
                <w:sz w:val="18"/>
                <w:szCs w:val="18"/>
              </w:rPr>
            </w:pPr>
            <w:r w:rsidRPr="002B55E9">
              <w:rPr>
                <w:rFonts w:eastAsia="等线"/>
              </w:rPr>
              <w:t>1</w:t>
            </w:r>
            <w:r w:rsidR="00060396" w:rsidRPr="002B55E9">
              <w:rPr>
                <w:rFonts w:eastAsia="等线"/>
              </w:rPr>
              <w:t>8.1</w:t>
            </w:r>
          </w:p>
        </w:tc>
        <w:tc>
          <w:tcPr>
            <w:tcW w:w="1145" w:type="dxa"/>
            <w:tcBorders>
              <w:top w:val="single" w:sz="12" w:space="0" w:color="auto"/>
              <w:left w:val="single" w:sz="4" w:space="0" w:color="auto"/>
              <w:bottom w:val="nil"/>
              <w:right w:val="single" w:sz="4" w:space="0" w:color="auto"/>
            </w:tcBorders>
            <w:shd w:val="clear" w:color="auto" w:fill="auto"/>
            <w:vAlign w:val="center"/>
          </w:tcPr>
          <w:p w14:paraId="4641F538" w14:textId="367E30DC" w:rsidR="00D170E5" w:rsidRPr="002B55E9" w:rsidRDefault="00EF27AD">
            <w:pPr>
              <w:jc w:val="center"/>
              <w:rPr>
                <w:sz w:val="18"/>
                <w:szCs w:val="18"/>
              </w:rPr>
            </w:pPr>
            <w:r w:rsidRPr="002B55E9">
              <w:rPr>
                <w:rFonts w:eastAsia="等线"/>
              </w:rPr>
              <w:t>17.</w:t>
            </w:r>
            <w:r w:rsidR="00060396" w:rsidRPr="002B55E9">
              <w:rPr>
                <w:rFonts w:eastAsia="等线"/>
              </w:rPr>
              <w:t>3</w:t>
            </w:r>
            <w:r w:rsidRPr="002B55E9">
              <w:rPr>
                <w:rFonts w:eastAsia="等线"/>
              </w:rPr>
              <w:t xml:space="preserve"> </w:t>
            </w:r>
          </w:p>
        </w:tc>
        <w:tc>
          <w:tcPr>
            <w:tcW w:w="1145" w:type="dxa"/>
            <w:tcBorders>
              <w:top w:val="single" w:sz="12" w:space="0" w:color="auto"/>
              <w:left w:val="single" w:sz="4" w:space="0" w:color="auto"/>
              <w:bottom w:val="nil"/>
              <w:right w:val="single" w:sz="4" w:space="0" w:color="auto"/>
            </w:tcBorders>
            <w:shd w:val="clear" w:color="auto" w:fill="auto"/>
            <w:vAlign w:val="center"/>
          </w:tcPr>
          <w:p w14:paraId="6B693CB5" w14:textId="4A613997" w:rsidR="00D170E5" w:rsidRPr="002B55E9" w:rsidRDefault="00EF27AD">
            <w:pPr>
              <w:jc w:val="center"/>
              <w:rPr>
                <w:sz w:val="18"/>
                <w:szCs w:val="18"/>
              </w:rPr>
            </w:pPr>
            <w:r w:rsidRPr="002B55E9">
              <w:rPr>
                <w:rFonts w:eastAsia="等线"/>
              </w:rPr>
              <w:t>2</w:t>
            </w:r>
            <w:r w:rsidR="00060396" w:rsidRPr="002B55E9">
              <w:rPr>
                <w:rFonts w:eastAsia="等线"/>
              </w:rPr>
              <w:t>1.2</w:t>
            </w:r>
          </w:p>
        </w:tc>
        <w:tc>
          <w:tcPr>
            <w:tcW w:w="1145" w:type="dxa"/>
            <w:tcBorders>
              <w:top w:val="single" w:sz="12" w:space="0" w:color="auto"/>
              <w:left w:val="single" w:sz="4" w:space="0" w:color="auto"/>
              <w:bottom w:val="nil"/>
              <w:right w:val="nil"/>
            </w:tcBorders>
            <w:shd w:val="clear" w:color="auto" w:fill="auto"/>
            <w:vAlign w:val="center"/>
          </w:tcPr>
          <w:p w14:paraId="3F4AE404" w14:textId="6DA60773" w:rsidR="00D170E5" w:rsidRPr="002B55E9" w:rsidRDefault="00EF27AD">
            <w:pPr>
              <w:jc w:val="center"/>
              <w:rPr>
                <w:sz w:val="18"/>
                <w:szCs w:val="18"/>
              </w:rPr>
            </w:pPr>
            <w:r w:rsidRPr="002B55E9">
              <w:rPr>
                <w:rFonts w:eastAsia="等线"/>
              </w:rPr>
              <w:t>2</w:t>
            </w:r>
            <w:r w:rsidR="00060396" w:rsidRPr="002B55E9">
              <w:rPr>
                <w:rFonts w:eastAsia="等线"/>
              </w:rPr>
              <w:t>1</w:t>
            </w:r>
            <w:r w:rsidRPr="002B55E9">
              <w:rPr>
                <w:rFonts w:eastAsia="等线"/>
              </w:rPr>
              <w:t xml:space="preserve">.0 </w:t>
            </w:r>
          </w:p>
        </w:tc>
      </w:tr>
      <w:tr w:rsidR="002B55E9" w:rsidRPr="002B55E9" w14:paraId="5DF2D5B4" w14:textId="77777777">
        <w:trPr>
          <w:cantSplit/>
          <w:trHeight w:val="284"/>
          <w:jc w:val="center"/>
        </w:trPr>
        <w:tc>
          <w:tcPr>
            <w:tcW w:w="2835" w:type="dxa"/>
            <w:vMerge w:val="restart"/>
            <w:tcBorders>
              <w:top w:val="single" w:sz="4" w:space="0" w:color="auto"/>
            </w:tcBorders>
            <w:vAlign w:val="center"/>
          </w:tcPr>
          <w:p w14:paraId="0381B8B4" w14:textId="77777777" w:rsidR="00D170E5" w:rsidRPr="002B55E9" w:rsidRDefault="00EF27AD">
            <w:pPr>
              <w:jc w:val="center"/>
              <w:rPr>
                <w:sz w:val="18"/>
                <w:szCs w:val="18"/>
              </w:rPr>
            </w:pPr>
            <w:r w:rsidRPr="002B55E9">
              <w:rPr>
                <w:rFonts w:hAnsi="宋体"/>
                <w:sz w:val="18"/>
                <w:szCs w:val="18"/>
              </w:rPr>
              <w:t>标准值</w:t>
            </w:r>
          </w:p>
        </w:tc>
        <w:tc>
          <w:tcPr>
            <w:tcW w:w="2223" w:type="dxa"/>
            <w:tcBorders>
              <w:top w:val="single" w:sz="4" w:space="0" w:color="auto"/>
              <w:bottom w:val="single" w:sz="4" w:space="0" w:color="auto"/>
            </w:tcBorders>
            <w:vAlign w:val="center"/>
          </w:tcPr>
          <w:p w14:paraId="229773C9" w14:textId="77777777" w:rsidR="00D170E5" w:rsidRPr="002B55E9" w:rsidRDefault="00EF27AD">
            <w:pPr>
              <w:jc w:val="center"/>
              <w:rPr>
                <w:sz w:val="18"/>
                <w:szCs w:val="18"/>
              </w:rPr>
            </w:pPr>
            <w:r w:rsidRPr="002B55E9">
              <w:rPr>
                <w:rFonts w:hint="eastAsia"/>
                <w:sz w:val="18"/>
                <w:szCs w:val="18"/>
              </w:rPr>
              <w:t>昼间</w:t>
            </w:r>
            <w:r w:rsidRPr="002B55E9">
              <w:rPr>
                <w:rFonts w:hint="eastAsia"/>
                <w:sz w:val="18"/>
                <w:szCs w:val="18"/>
              </w:rPr>
              <w:t>dB</w:t>
            </w:r>
            <w:r w:rsidRPr="002B55E9">
              <w:rPr>
                <w:rFonts w:hint="eastAsia"/>
                <w:sz w:val="18"/>
                <w:szCs w:val="18"/>
              </w:rPr>
              <w:t>（</w:t>
            </w:r>
            <w:r w:rsidRPr="002B55E9">
              <w:rPr>
                <w:rFonts w:hint="eastAsia"/>
                <w:sz w:val="18"/>
                <w:szCs w:val="18"/>
              </w:rPr>
              <w:t>A</w:t>
            </w:r>
            <w:r w:rsidRPr="002B55E9">
              <w:rPr>
                <w:rFonts w:hint="eastAsia"/>
                <w:sz w:val="18"/>
                <w:szCs w:val="18"/>
              </w:rPr>
              <w:t>）</w:t>
            </w:r>
          </w:p>
        </w:tc>
        <w:tc>
          <w:tcPr>
            <w:tcW w:w="1144" w:type="dxa"/>
            <w:tcBorders>
              <w:top w:val="single" w:sz="4" w:space="0" w:color="auto"/>
              <w:bottom w:val="single" w:sz="4" w:space="0" w:color="auto"/>
            </w:tcBorders>
            <w:vAlign w:val="center"/>
          </w:tcPr>
          <w:p w14:paraId="2741A7CF" w14:textId="77777777" w:rsidR="00D170E5" w:rsidRPr="002B55E9" w:rsidRDefault="00EF27AD">
            <w:pPr>
              <w:jc w:val="center"/>
              <w:rPr>
                <w:sz w:val="18"/>
                <w:szCs w:val="18"/>
              </w:rPr>
            </w:pPr>
            <w:r w:rsidRPr="002B55E9">
              <w:rPr>
                <w:sz w:val="18"/>
                <w:szCs w:val="18"/>
              </w:rPr>
              <w:t>70</w:t>
            </w:r>
          </w:p>
        </w:tc>
        <w:tc>
          <w:tcPr>
            <w:tcW w:w="3435" w:type="dxa"/>
            <w:gridSpan w:val="3"/>
            <w:tcBorders>
              <w:top w:val="single" w:sz="4" w:space="0" w:color="auto"/>
              <w:bottom w:val="single" w:sz="4" w:space="0" w:color="auto"/>
            </w:tcBorders>
            <w:vAlign w:val="center"/>
          </w:tcPr>
          <w:p w14:paraId="1CCF761C" w14:textId="77777777" w:rsidR="00D170E5" w:rsidRPr="002B55E9" w:rsidRDefault="00EF27AD">
            <w:pPr>
              <w:jc w:val="center"/>
              <w:rPr>
                <w:sz w:val="18"/>
                <w:szCs w:val="18"/>
              </w:rPr>
            </w:pPr>
            <w:r w:rsidRPr="002B55E9">
              <w:rPr>
                <w:rFonts w:hint="eastAsia"/>
                <w:sz w:val="18"/>
                <w:szCs w:val="18"/>
              </w:rPr>
              <w:t>60</w:t>
            </w:r>
          </w:p>
        </w:tc>
      </w:tr>
      <w:tr w:rsidR="002B55E9" w:rsidRPr="002B55E9" w14:paraId="67E1FA22" w14:textId="77777777">
        <w:trPr>
          <w:cantSplit/>
          <w:trHeight w:val="284"/>
          <w:jc w:val="center"/>
        </w:trPr>
        <w:tc>
          <w:tcPr>
            <w:tcW w:w="2835" w:type="dxa"/>
            <w:vMerge/>
            <w:vAlign w:val="center"/>
          </w:tcPr>
          <w:p w14:paraId="47FD49CF" w14:textId="77777777" w:rsidR="00D170E5" w:rsidRPr="002B55E9" w:rsidRDefault="00D170E5">
            <w:pPr>
              <w:jc w:val="center"/>
              <w:rPr>
                <w:rFonts w:hAnsi="宋体"/>
                <w:sz w:val="18"/>
                <w:szCs w:val="18"/>
              </w:rPr>
            </w:pPr>
          </w:p>
        </w:tc>
        <w:tc>
          <w:tcPr>
            <w:tcW w:w="2223" w:type="dxa"/>
            <w:tcBorders>
              <w:top w:val="single" w:sz="4" w:space="0" w:color="auto"/>
              <w:bottom w:val="single" w:sz="4" w:space="0" w:color="auto"/>
            </w:tcBorders>
            <w:vAlign w:val="center"/>
          </w:tcPr>
          <w:p w14:paraId="5B0567DC" w14:textId="77777777" w:rsidR="00D170E5" w:rsidRPr="002B55E9" w:rsidRDefault="00EF27AD">
            <w:pPr>
              <w:jc w:val="center"/>
              <w:rPr>
                <w:sz w:val="18"/>
                <w:szCs w:val="18"/>
              </w:rPr>
            </w:pPr>
            <w:r w:rsidRPr="002B55E9">
              <w:rPr>
                <w:rFonts w:hint="eastAsia"/>
                <w:sz w:val="18"/>
                <w:szCs w:val="18"/>
              </w:rPr>
              <w:t>夜间</w:t>
            </w:r>
            <w:r w:rsidRPr="002B55E9">
              <w:rPr>
                <w:rFonts w:hint="eastAsia"/>
                <w:sz w:val="18"/>
                <w:szCs w:val="18"/>
              </w:rPr>
              <w:t>dB</w:t>
            </w:r>
            <w:r w:rsidRPr="002B55E9">
              <w:rPr>
                <w:rFonts w:hint="eastAsia"/>
                <w:sz w:val="18"/>
                <w:szCs w:val="18"/>
              </w:rPr>
              <w:t>（</w:t>
            </w:r>
            <w:r w:rsidRPr="002B55E9">
              <w:rPr>
                <w:rFonts w:hint="eastAsia"/>
                <w:sz w:val="18"/>
                <w:szCs w:val="18"/>
              </w:rPr>
              <w:t>A</w:t>
            </w:r>
            <w:r w:rsidRPr="002B55E9">
              <w:rPr>
                <w:rFonts w:hint="eastAsia"/>
                <w:sz w:val="18"/>
                <w:szCs w:val="18"/>
              </w:rPr>
              <w:t>）</w:t>
            </w:r>
          </w:p>
        </w:tc>
        <w:tc>
          <w:tcPr>
            <w:tcW w:w="1144" w:type="dxa"/>
            <w:tcBorders>
              <w:top w:val="single" w:sz="4" w:space="0" w:color="auto"/>
              <w:bottom w:val="single" w:sz="4" w:space="0" w:color="auto"/>
            </w:tcBorders>
            <w:vAlign w:val="center"/>
          </w:tcPr>
          <w:p w14:paraId="796E3EB5" w14:textId="77777777" w:rsidR="00D170E5" w:rsidRPr="002B55E9" w:rsidRDefault="00EF27AD">
            <w:pPr>
              <w:jc w:val="center"/>
              <w:rPr>
                <w:sz w:val="18"/>
                <w:szCs w:val="18"/>
              </w:rPr>
            </w:pPr>
            <w:r w:rsidRPr="002B55E9">
              <w:rPr>
                <w:rFonts w:hint="eastAsia"/>
                <w:sz w:val="18"/>
                <w:szCs w:val="18"/>
              </w:rPr>
              <w:t>55</w:t>
            </w:r>
          </w:p>
        </w:tc>
        <w:tc>
          <w:tcPr>
            <w:tcW w:w="3435" w:type="dxa"/>
            <w:gridSpan w:val="3"/>
            <w:tcBorders>
              <w:top w:val="single" w:sz="4" w:space="0" w:color="auto"/>
              <w:bottom w:val="single" w:sz="4" w:space="0" w:color="auto"/>
            </w:tcBorders>
            <w:vAlign w:val="center"/>
          </w:tcPr>
          <w:p w14:paraId="15689327" w14:textId="77777777" w:rsidR="00D170E5" w:rsidRPr="002B55E9" w:rsidRDefault="00EF27AD">
            <w:pPr>
              <w:jc w:val="center"/>
              <w:rPr>
                <w:sz w:val="18"/>
                <w:szCs w:val="18"/>
              </w:rPr>
            </w:pPr>
            <w:r w:rsidRPr="002B55E9">
              <w:rPr>
                <w:rFonts w:hint="eastAsia"/>
                <w:sz w:val="18"/>
                <w:szCs w:val="18"/>
              </w:rPr>
              <w:t>50</w:t>
            </w:r>
          </w:p>
        </w:tc>
      </w:tr>
      <w:tr w:rsidR="002B55E9" w:rsidRPr="002B55E9" w14:paraId="66F63519" w14:textId="77777777">
        <w:trPr>
          <w:cantSplit/>
          <w:trHeight w:val="284"/>
          <w:jc w:val="center"/>
        </w:trPr>
        <w:tc>
          <w:tcPr>
            <w:tcW w:w="2835" w:type="dxa"/>
            <w:tcBorders>
              <w:top w:val="single" w:sz="4" w:space="0" w:color="auto"/>
              <w:bottom w:val="single" w:sz="12" w:space="0" w:color="auto"/>
            </w:tcBorders>
            <w:vAlign w:val="center"/>
          </w:tcPr>
          <w:p w14:paraId="6345E8AE" w14:textId="77777777" w:rsidR="00D170E5" w:rsidRPr="002B55E9" w:rsidRDefault="00EF27AD">
            <w:pPr>
              <w:jc w:val="center"/>
              <w:rPr>
                <w:rFonts w:hAnsi="宋体"/>
                <w:sz w:val="18"/>
                <w:szCs w:val="18"/>
              </w:rPr>
            </w:pPr>
            <w:r w:rsidRPr="002B55E9">
              <w:rPr>
                <w:rFonts w:hAnsi="宋体" w:hint="eastAsia"/>
                <w:sz w:val="18"/>
                <w:szCs w:val="18"/>
              </w:rPr>
              <w:t>达标情况</w:t>
            </w:r>
          </w:p>
        </w:tc>
        <w:tc>
          <w:tcPr>
            <w:tcW w:w="6802" w:type="dxa"/>
            <w:gridSpan w:val="5"/>
            <w:tcBorders>
              <w:top w:val="single" w:sz="4" w:space="0" w:color="auto"/>
              <w:bottom w:val="single" w:sz="12" w:space="0" w:color="auto"/>
            </w:tcBorders>
            <w:vAlign w:val="center"/>
          </w:tcPr>
          <w:p w14:paraId="0BFC3E7F" w14:textId="77777777" w:rsidR="00D170E5" w:rsidRPr="002B55E9" w:rsidRDefault="00EF27AD">
            <w:pPr>
              <w:jc w:val="center"/>
              <w:rPr>
                <w:sz w:val="18"/>
                <w:szCs w:val="18"/>
              </w:rPr>
            </w:pPr>
            <w:r w:rsidRPr="002B55E9">
              <w:rPr>
                <w:rFonts w:hint="eastAsia"/>
                <w:sz w:val="18"/>
                <w:szCs w:val="18"/>
              </w:rPr>
              <w:t>达标</w:t>
            </w:r>
          </w:p>
        </w:tc>
      </w:tr>
    </w:tbl>
    <w:p w14:paraId="2AF98C41" w14:textId="22A026DD" w:rsidR="00DA7812" w:rsidRPr="002B55E9" w:rsidRDefault="00EF27AD">
      <w:pPr>
        <w:spacing w:after="60" w:line="360" w:lineRule="auto"/>
        <w:ind w:firstLineChars="200" w:firstLine="480"/>
        <w:jc w:val="left"/>
        <w:rPr>
          <w:sz w:val="24"/>
          <w:lang w:val="pt-BR"/>
        </w:rPr>
      </w:pPr>
      <w:r w:rsidRPr="002B55E9">
        <w:rPr>
          <w:sz w:val="24"/>
          <w:lang w:val="pt-BR"/>
        </w:rPr>
        <w:t>由</w:t>
      </w:r>
      <w:r w:rsidRPr="002B55E9">
        <w:rPr>
          <w:rFonts w:hint="eastAsia"/>
          <w:sz w:val="24"/>
          <w:lang w:val="pt-BR"/>
        </w:rPr>
        <w:t>上表</w:t>
      </w:r>
      <w:r w:rsidRPr="002B55E9">
        <w:rPr>
          <w:sz w:val="24"/>
          <w:lang w:val="pt-BR"/>
        </w:rPr>
        <w:t>可知，在</w:t>
      </w:r>
      <w:r w:rsidRPr="002B55E9">
        <w:rPr>
          <w:rFonts w:hint="eastAsia"/>
          <w:sz w:val="24"/>
        </w:rPr>
        <w:t>通过选用低噪声设备和厂房隔声</w:t>
      </w:r>
      <w:r w:rsidRPr="002B55E9">
        <w:rPr>
          <w:sz w:val="24"/>
          <w:lang w:val="pt-BR"/>
        </w:rPr>
        <w:t>的情况下，</w:t>
      </w:r>
      <w:r w:rsidRPr="002B55E9">
        <w:rPr>
          <w:rFonts w:hint="eastAsia"/>
          <w:sz w:val="24"/>
          <w:lang w:val="pt-BR"/>
        </w:rPr>
        <w:t>南侧</w:t>
      </w:r>
      <w:r w:rsidRPr="002B55E9">
        <w:rPr>
          <w:sz w:val="24"/>
          <w:lang w:val="pt-BR"/>
        </w:rPr>
        <w:t>、西侧、</w:t>
      </w:r>
      <w:r w:rsidRPr="002B55E9">
        <w:rPr>
          <w:rFonts w:hint="eastAsia"/>
          <w:sz w:val="24"/>
          <w:lang w:val="pt-BR"/>
        </w:rPr>
        <w:t>北侧</w:t>
      </w:r>
      <w:r w:rsidRPr="002B55E9">
        <w:rPr>
          <w:sz w:val="24"/>
          <w:lang w:val="pt-BR"/>
        </w:rPr>
        <w:t>厂界昼间噪声</w:t>
      </w:r>
      <w:r w:rsidRPr="002B55E9">
        <w:rPr>
          <w:rFonts w:hint="eastAsia"/>
          <w:sz w:val="24"/>
        </w:rPr>
        <w:t>贡献值</w:t>
      </w:r>
      <w:r w:rsidRPr="002B55E9">
        <w:rPr>
          <w:sz w:val="24"/>
          <w:lang w:val="pt-BR"/>
        </w:rPr>
        <w:t>可以满足《工业企业厂界环境噪声排放标准》（</w:t>
      </w:r>
      <w:r w:rsidRPr="002B55E9">
        <w:rPr>
          <w:sz w:val="24"/>
          <w:lang w:val="pt-BR"/>
        </w:rPr>
        <w:t>GB12348-2008</w:t>
      </w:r>
      <w:r w:rsidRPr="002B55E9">
        <w:rPr>
          <w:sz w:val="24"/>
          <w:lang w:val="pt-BR"/>
        </w:rPr>
        <w:t>）</w:t>
      </w:r>
      <w:r w:rsidRPr="002B55E9">
        <w:rPr>
          <w:rFonts w:hint="eastAsia"/>
          <w:sz w:val="24"/>
        </w:rPr>
        <w:t>2</w:t>
      </w:r>
      <w:r w:rsidRPr="002B55E9">
        <w:rPr>
          <w:sz w:val="24"/>
          <w:lang w:val="pt-BR"/>
        </w:rPr>
        <w:t>类标准限值要</w:t>
      </w:r>
      <w:r w:rsidRPr="002B55E9">
        <w:rPr>
          <w:sz w:val="24"/>
          <w:lang w:val="pt-BR"/>
        </w:rPr>
        <w:lastRenderedPageBreak/>
        <w:t>求</w:t>
      </w:r>
      <w:r w:rsidRPr="002B55E9">
        <w:rPr>
          <w:rFonts w:hint="eastAsia"/>
          <w:sz w:val="24"/>
          <w:lang w:val="pt-BR"/>
        </w:rPr>
        <w:t>，</w:t>
      </w:r>
      <w:r w:rsidRPr="002B55E9">
        <w:rPr>
          <w:sz w:val="24"/>
          <w:lang w:val="pt-BR"/>
        </w:rPr>
        <w:t>东侧厂界可以满足《工业企业厂界环境噪声排放标准》（</w:t>
      </w:r>
      <w:r w:rsidRPr="002B55E9">
        <w:rPr>
          <w:sz w:val="24"/>
          <w:lang w:val="pt-BR"/>
        </w:rPr>
        <w:t>GB12348-2008</w:t>
      </w:r>
      <w:r w:rsidRPr="002B55E9">
        <w:rPr>
          <w:sz w:val="24"/>
          <w:lang w:val="pt-BR"/>
        </w:rPr>
        <w:t>）</w:t>
      </w:r>
      <w:r w:rsidRPr="002B55E9">
        <w:rPr>
          <w:sz w:val="24"/>
        </w:rPr>
        <w:t>4</w:t>
      </w:r>
      <w:r w:rsidRPr="002B55E9">
        <w:rPr>
          <w:sz w:val="24"/>
          <w:lang w:val="pt-BR"/>
        </w:rPr>
        <w:t>类标准限值要求</w:t>
      </w:r>
      <w:r w:rsidRPr="002B55E9">
        <w:rPr>
          <w:rFonts w:hint="eastAsia"/>
          <w:sz w:val="24"/>
          <w:lang w:val="pt-BR"/>
        </w:rPr>
        <w:t>。</w:t>
      </w:r>
    </w:p>
    <w:p w14:paraId="428659FA" w14:textId="77777777" w:rsidR="00D170E5" w:rsidRPr="002B55E9" w:rsidRDefault="00EF27AD">
      <w:pPr>
        <w:pStyle w:val="3"/>
      </w:pPr>
      <w:bookmarkStart w:id="234" w:name="_Toc119308997"/>
      <w:r w:rsidRPr="002B55E9">
        <w:rPr>
          <w:rFonts w:hint="eastAsia"/>
        </w:rPr>
        <w:t>运营期固体废物环境影响分析</w:t>
      </w:r>
      <w:bookmarkEnd w:id="234"/>
    </w:p>
    <w:p w14:paraId="3736A6C9" w14:textId="77777777" w:rsidR="00D170E5" w:rsidRPr="002B55E9" w:rsidRDefault="00EF27AD">
      <w:pPr>
        <w:pStyle w:val="4"/>
        <w:rPr>
          <w:color w:val="auto"/>
        </w:rPr>
      </w:pPr>
      <w:r w:rsidRPr="002B55E9">
        <w:rPr>
          <w:rFonts w:hint="eastAsia"/>
          <w:color w:val="auto"/>
        </w:rPr>
        <w:t>固体废物产生情况</w:t>
      </w:r>
    </w:p>
    <w:p w14:paraId="46A93420" w14:textId="77777777" w:rsidR="00D170E5" w:rsidRPr="002B55E9" w:rsidRDefault="00EF27AD">
      <w:pPr>
        <w:pStyle w:val="affff7"/>
        <w:snapToGrid w:val="0"/>
        <w:spacing w:after="0"/>
      </w:pPr>
      <w:r w:rsidRPr="002B55E9">
        <w:t>本项目产生的固体废物种类较多，按照资源化、减量化和无害化处置原则进行分类收集，厂内能够利用的厂内利用，不可利用的委托相关单位进行回收或处置；危险废物交由有相应资质的单位处理。</w:t>
      </w:r>
    </w:p>
    <w:p w14:paraId="644197EC" w14:textId="7E6E7D10" w:rsidR="00D170E5" w:rsidRPr="002B55E9" w:rsidRDefault="00EF27AD">
      <w:pPr>
        <w:pStyle w:val="aa"/>
        <w:rPr>
          <w:szCs w:val="24"/>
        </w:rPr>
      </w:pPr>
      <w:r w:rsidRPr="002B55E9">
        <w:rPr>
          <w:rFonts w:hint="eastAsia"/>
        </w:rPr>
        <w:t>拟建项目固废总产生量</w:t>
      </w:r>
      <w:r w:rsidR="007F5FA9" w:rsidRPr="002B55E9">
        <w:t>1161.97</w:t>
      </w:r>
      <w:r w:rsidRPr="002B55E9">
        <w:rPr>
          <w:rFonts w:hint="eastAsia"/>
        </w:rPr>
        <w:t>t/a</w:t>
      </w:r>
      <w:r w:rsidRPr="002B55E9">
        <w:rPr>
          <w:rFonts w:hint="eastAsia"/>
        </w:rPr>
        <w:t>，其中危险废物产生量约</w:t>
      </w:r>
      <w:r w:rsidRPr="002B55E9">
        <w:t>3.12</w:t>
      </w:r>
      <w:r w:rsidRPr="002B55E9">
        <w:rPr>
          <w:rFonts w:hint="eastAsia"/>
        </w:rPr>
        <w:t>t/a</w:t>
      </w:r>
      <w:r w:rsidRPr="002B55E9">
        <w:rPr>
          <w:rFonts w:hint="eastAsia"/>
        </w:rPr>
        <w:t>，一般工业固废产生量约为</w:t>
      </w:r>
      <w:r w:rsidR="007F5FA9" w:rsidRPr="002B55E9">
        <w:t>1113.97</w:t>
      </w:r>
      <w:r w:rsidRPr="002B55E9">
        <w:rPr>
          <w:rFonts w:hint="eastAsia"/>
        </w:rPr>
        <w:t>t/a</w:t>
      </w:r>
      <w:r w:rsidRPr="002B55E9">
        <w:rPr>
          <w:rFonts w:hint="eastAsia"/>
        </w:rPr>
        <w:t>，生活垃圾为</w:t>
      </w:r>
      <w:r w:rsidRPr="002B55E9">
        <w:t>44.88</w:t>
      </w:r>
      <w:r w:rsidRPr="002B55E9">
        <w:rPr>
          <w:rFonts w:hint="eastAsia"/>
        </w:rPr>
        <w:t>t/a</w:t>
      </w:r>
      <w:r w:rsidRPr="002B55E9">
        <w:rPr>
          <w:rFonts w:hint="eastAsia"/>
        </w:rPr>
        <w:t>。</w:t>
      </w:r>
      <w:r w:rsidRPr="002B55E9">
        <w:rPr>
          <w:szCs w:val="24"/>
        </w:rPr>
        <w:t>各类固废均委托相关单位进行综合利用或处置，全厂各项固废得到了资源化、减量化和无害化处置。</w:t>
      </w:r>
    </w:p>
    <w:p w14:paraId="7B95EA9C" w14:textId="3A38DBDB" w:rsidR="00362261" w:rsidRPr="002B55E9" w:rsidRDefault="00362261" w:rsidP="00362261">
      <w:pPr>
        <w:pStyle w:val="1f3"/>
        <w:spacing w:beforeLines="0" w:before="0"/>
        <w:rPr>
          <w:lang w:val="zh-CN"/>
        </w:rPr>
      </w:pPr>
      <w:r w:rsidRPr="002B55E9">
        <w:rPr>
          <w:lang w:val="zh-CN"/>
        </w:rPr>
        <w:t>表</w:t>
      </w:r>
      <w:r w:rsidRPr="002B55E9">
        <w:rPr>
          <w:rFonts w:hint="eastAsia"/>
          <w:lang w:val="zh-CN"/>
        </w:rPr>
        <w:t>5-</w:t>
      </w:r>
      <w:r w:rsidRPr="002B55E9">
        <w:rPr>
          <w:lang w:val="zh-CN"/>
        </w:rPr>
        <w:t>5</w:t>
      </w:r>
      <w:r w:rsidRPr="002B55E9">
        <w:rPr>
          <w:rFonts w:hint="eastAsia"/>
          <w:lang w:val="zh-CN"/>
        </w:rPr>
        <w:t>-</w:t>
      </w:r>
      <w:r w:rsidRPr="002B55E9">
        <w:rPr>
          <w:lang w:val="zh-CN"/>
        </w:rPr>
        <w:t xml:space="preserve">1  </w:t>
      </w:r>
      <w:r w:rsidRPr="002B55E9">
        <w:rPr>
          <w:lang w:val="zh-CN"/>
        </w:rPr>
        <w:t>拟建项目固体废物产生及</w:t>
      </w:r>
      <w:r w:rsidRPr="002B55E9">
        <w:rPr>
          <w:rFonts w:hint="eastAsia"/>
          <w:lang w:val="zh-CN"/>
        </w:rPr>
        <w:t>处置</w:t>
      </w:r>
      <w:r w:rsidRPr="002B55E9">
        <w:rPr>
          <w:lang w:val="zh-CN"/>
        </w:rPr>
        <w:t>情况一览表</w:t>
      </w:r>
    </w:p>
    <w:tbl>
      <w:tblPr>
        <w:tblStyle w:val="lgy2"/>
        <w:tblW w:w="5000" w:type="pct"/>
        <w:tblLayout w:type="fixed"/>
        <w:tblCellMar>
          <w:left w:w="28" w:type="dxa"/>
          <w:right w:w="28" w:type="dxa"/>
        </w:tblCellMar>
        <w:tblLook w:val="04A0" w:firstRow="1" w:lastRow="0" w:firstColumn="1" w:lastColumn="0" w:noHBand="0" w:noVBand="1"/>
      </w:tblPr>
      <w:tblGrid>
        <w:gridCol w:w="597"/>
        <w:gridCol w:w="2280"/>
        <w:gridCol w:w="838"/>
        <w:gridCol w:w="1373"/>
        <w:gridCol w:w="1043"/>
        <w:gridCol w:w="1654"/>
        <w:gridCol w:w="1908"/>
      </w:tblGrid>
      <w:tr w:rsidR="002B55E9" w:rsidRPr="002B55E9" w14:paraId="19BD025D" w14:textId="77777777" w:rsidTr="00523135">
        <w:trPr>
          <w:cnfStyle w:val="100000000000" w:firstRow="1" w:lastRow="0" w:firstColumn="0" w:lastColumn="0" w:oddVBand="0" w:evenVBand="0" w:oddHBand="0" w:evenHBand="0" w:firstRowFirstColumn="0" w:firstRowLastColumn="0" w:lastRowFirstColumn="0" w:lastRowLastColumn="0"/>
          <w:trHeight w:val="283"/>
        </w:trPr>
        <w:tc>
          <w:tcPr>
            <w:tcW w:w="594" w:type="dxa"/>
          </w:tcPr>
          <w:p w14:paraId="4156504B" w14:textId="77777777" w:rsidR="00362261" w:rsidRPr="002B55E9" w:rsidRDefault="00362261" w:rsidP="00ED50AB">
            <w:pPr>
              <w:pStyle w:val="lgy-"/>
              <w:rPr>
                <w:rFonts w:eastAsia="宋体"/>
              </w:rPr>
            </w:pPr>
            <w:r w:rsidRPr="002B55E9">
              <w:rPr>
                <w:rFonts w:eastAsia="宋体"/>
              </w:rPr>
              <w:t>序号</w:t>
            </w:r>
          </w:p>
        </w:tc>
        <w:tc>
          <w:tcPr>
            <w:tcW w:w="2267" w:type="dxa"/>
          </w:tcPr>
          <w:p w14:paraId="27531D32" w14:textId="77777777" w:rsidR="00362261" w:rsidRPr="002B55E9" w:rsidRDefault="00362261" w:rsidP="00ED50AB">
            <w:pPr>
              <w:pStyle w:val="lgy-"/>
              <w:rPr>
                <w:rFonts w:eastAsia="宋体"/>
              </w:rPr>
            </w:pPr>
            <w:r w:rsidRPr="002B55E9">
              <w:rPr>
                <w:rFonts w:eastAsia="宋体"/>
              </w:rPr>
              <w:t>危险废物名称</w:t>
            </w:r>
          </w:p>
        </w:tc>
        <w:tc>
          <w:tcPr>
            <w:tcW w:w="833" w:type="dxa"/>
          </w:tcPr>
          <w:p w14:paraId="3A93D9BC" w14:textId="77777777" w:rsidR="00362261" w:rsidRPr="002B55E9" w:rsidRDefault="00362261" w:rsidP="00ED50AB">
            <w:pPr>
              <w:pStyle w:val="lgy-"/>
              <w:rPr>
                <w:rFonts w:eastAsia="宋体"/>
              </w:rPr>
            </w:pPr>
            <w:r w:rsidRPr="002B55E9">
              <w:rPr>
                <w:rFonts w:eastAsia="宋体"/>
              </w:rPr>
              <w:t>废物类别</w:t>
            </w:r>
          </w:p>
        </w:tc>
        <w:tc>
          <w:tcPr>
            <w:tcW w:w="1365" w:type="dxa"/>
          </w:tcPr>
          <w:p w14:paraId="5514E194" w14:textId="77777777" w:rsidR="00362261" w:rsidRPr="002B55E9" w:rsidRDefault="00362261" w:rsidP="00ED50AB">
            <w:pPr>
              <w:pStyle w:val="lgy-"/>
              <w:rPr>
                <w:rFonts w:eastAsia="宋体"/>
              </w:rPr>
            </w:pPr>
            <w:r w:rsidRPr="002B55E9">
              <w:rPr>
                <w:rFonts w:eastAsia="宋体"/>
              </w:rPr>
              <w:t>废物代码</w:t>
            </w:r>
          </w:p>
        </w:tc>
        <w:tc>
          <w:tcPr>
            <w:tcW w:w="1037" w:type="dxa"/>
          </w:tcPr>
          <w:p w14:paraId="1D1ED444" w14:textId="77777777" w:rsidR="00362261" w:rsidRPr="002B55E9" w:rsidRDefault="00362261" w:rsidP="00ED50AB">
            <w:pPr>
              <w:pStyle w:val="lgy-"/>
              <w:rPr>
                <w:rFonts w:eastAsia="宋体"/>
              </w:rPr>
            </w:pPr>
            <w:r w:rsidRPr="002B55E9">
              <w:rPr>
                <w:rFonts w:eastAsia="宋体"/>
              </w:rPr>
              <w:t>产生量</w:t>
            </w:r>
          </w:p>
          <w:p w14:paraId="42C204F4" w14:textId="77777777" w:rsidR="00362261" w:rsidRPr="002B55E9" w:rsidRDefault="00362261" w:rsidP="00ED50AB">
            <w:pPr>
              <w:pStyle w:val="lgy-"/>
              <w:rPr>
                <w:rFonts w:eastAsia="宋体"/>
              </w:rPr>
            </w:pPr>
            <w:r w:rsidRPr="002B55E9">
              <w:rPr>
                <w:rFonts w:eastAsia="宋体"/>
              </w:rPr>
              <w:t>（</w:t>
            </w:r>
            <w:r w:rsidRPr="002B55E9">
              <w:rPr>
                <w:rFonts w:eastAsia="宋体"/>
              </w:rPr>
              <w:t>t/a</w:t>
            </w:r>
            <w:r w:rsidRPr="002B55E9">
              <w:rPr>
                <w:rFonts w:eastAsia="宋体"/>
              </w:rPr>
              <w:t>）</w:t>
            </w:r>
          </w:p>
        </w:tc>
        <w:tc>
          <w:tcPr>
            <w:tcW w:w="1644" w:type="dxa"/>
          </w:tcPr>
          <w:p w14:paraId="2844CCB9" w14:textId="77777777" w:rsidR="00362261" w:rsidRPr="002B55E9" w:rsidRDefault="00362261" w:rsidP="00ED50AB">
            <w:pPr>
              <w:pStyle w:val="lgy-"/>
              <w:rPr>
                <w:rFonts w:eastAsia="宋体"/>
              </w:rPr>
            </w:pPr>
            <w:r w:rsidRPr="002B55E9">
              <w:rPr>
                <w:rFonts w:eastAsia="宋体"/>
              </w:rPr>
              <w:t>产生工序及装置</w:t>
            </w:r>
          </w:p>
        </w:tc>
        <w:tc>
          <w:tcPr>
            <w:tcW w:w="1897" w:type="dxa"/>
          </w:tcPr>
          <w:p w14:paraId="726EA501" w14:textId="77777777" w:rsidR="00362261" w:rsidRPr="002B55E9" w:rsidRDefault="00362261" w:rsidP="00ED50AB">
            <w:pPr>
              <w:pStyle w:val="lgy-"/>
              <w:rPr>
                <w:rFonts w:eastAsia="宋体"/>
              </w:rPr>
            </w:pPr>
            <w:r w:rsidRPr="002B55E9">
              <w:rPr>
                <w:rFonts w:eastAsia="宋体"/>
              </w:rPr>
              <w:t>污染防治措施</w:t>
            </w:r>
          </w:p>
        </w:tc>
      </w:tr>
      <w:tr w:rsidR="002B55E9" w:rsidRPr="002B55E9" w14:paraId="6E722C1C" w14:textId="77777777" w:rsidTr="00523135">
        <w:trPr>
          <w:trHeight w:val="283"/>
        </w:trPr>
        <w:tc>
          <w:tcPr>
            <w:tcW w:w="594" w:type="dxa"/>
          </w:tcPr>
          <w:p w14:paraId="03106BF3" w14:textId="77777777" w:rsidR="00362261" w:rsidRPr="002B55E9" w:rsidRDefault="00362261" w:rsidP="00ED50AB">
            <w:pPr>
              <w:pStyle w:val="lgy-"/>
              <w:rPr>
                <w:rFonts w:eastAsia="宋体"/>
              </w:rPr>
            </w:pPr>
            <w:r w:rsidRPr="002B55E9">
              <w:rPr>
                <w:rFonts w:eastAsia="宋体"/>
              </w:rPr>
              <w:t>1</w:t>
            </w:r>
          </w:p>
        </w:tc>
        <w:tc>
          <w:tcPr>
            <w:tcW w:w="2267" w:type="dxa"/>
          </w:tcPr>
          <w:p w14:paraId="280A0BAA" w14:textId="77777777" w:rsidR="00362261" w:rsidRPr="002B55E9" w:rsidRDefault="00362261" w:rsidP="00ED50AB">
            <w:pPr>
              <w:pStyle w:val="lgy-"/>
              <w:rPr>
                <w:rFonts w:eastAsia="宋体"/>
              </w:rPr>
            </w:pPr>
            <w:r w:rsidRPr="002B55E9">
              <w:rPr>
                <w:rFonts w:eastAsia="宋体"/>
              </w:rPr>
              <w:t>生活垃圾</w:t>
            </w:r>
          </w:p>
        </w:tc>
        <w:tc>
          <w:tcPr>
            <w:tcW w:w="833" w:type="dxa"/>
          </w:tcPr>
          <w:p w14:paraId="246E500E"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3701E4A8"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5EADC404" w14:textId="77777777" w:rsidR="00362261" w:rsidRPr="002B55E9" w:rsidRDefault="00362261" w:rsidP="00ED50AB">
            <w:pPr>
              <w:pStyle w:val="lgy-"/>
              <w:rPr>
                <w:rFonts w:eastAsia="宋体"/>
              </w:rPr>
            </w:pPr>
            <w:r w:rsidRPr="002B55E9">
              <w:rPr>
                <w:rFonts w:eastAsia="宋体"/>
              </w:rPr>
              <w:t>44.88</w:t>
            </w:r>
          </w:p>
        </w:tc>
        <w:tc>
          <w:tcPr>
            <w:tcW w:w="1644" w:type="dxa"/>
          </w:tcPr>
          <w:p w14:paraId="4B45B621" w14:textId="77777777" w:rsidR="00362261" w:rsidRPr="002B55E9" w:rsidRDefault="00362261" w:rsidP="00ED50AB">
            <w:pPr>
              <w:pStyle w:val="lgy-"/>
              <w:rPr>
                <w:rFonts w:eastAsia="宋体"/>
              </w:rPr>
            </w:pPr>
            <w:r w:rsidRPr="002B55E9">
              <w:rPr>
                <w:rFonts w:eastAsia="宋体"/>
              </w:rPr>
              <w:t>办公生活</w:t>
            </w:r>
          </w:p>
        </w:tc>
        <w:tc>
          <w:tcPr>
            <w:tcW w:w="1897" w:type="dxa"/>
          </w:tcPr>
          <w:p w14:paraId="4C68E050" w14:textId="77777777" w:rsidR="00362261" w:rsidRPr="002B55E9" w:rsidRDefault="00362261" w:rsidP="00ED50AB">
            <w:pPr>
              <w:pStyle w:val="lgy-"/>
              <w:rPr>
                <w:rFonts w:eastAsia="宋体"/>
              </w:rPr>
            </w:pPr>
            <w:r w:rsidRPr="002B55E9">
              <w:rPr>
                <w:rFonts w:eastAsia="宋体"/>
              </w:rPr>
              <w:t>由环卫部门清运处置</w:t>
            </w:r>
          </w:p>
        </w:tc>
      </w:tr>
      <w:tr w:rsidR="002B55E9" w:rsidRPr="002B55E9" w14:paraId="16B5C154" w14:textId="77777777" w:rsidTr="00523135">
        <w:trPr>
          <w:trHeight w:val="283"/>
        </w:trPr>
        <w:tc>
          <w:tcPr>
            <w:tcW w:w="594" w:type="dxa"/>
          </w:tcPr>
          <w:p w14:paraId="2D132037" w14:textId="77777777" w:rsidR="00362261" w:rsidRPr="002B55E9" w:rsidRDefault="00362261" w:rsidP="00ED50AB">
            <w:pPr>
              <w:pStyle w:val="lgy-"/>
              <w:rPr>
                <w:rFonts w:eastAsia="宋体"/>
              </w:rPr>
            </w:pPr>
            <w:r w:rsidRPr="002B55E9">
              <w:rPr>
                <w:rFonts w:eastAsia="宋体"/>
              </w:rPr>
              <w:t>2</w:t>
            </w:r>
          </w:p>
        </w:tc>
        <w:tc>
          <w:tcPr>
            <w:tcW w:w="2267" w:type="dxa"/>
          </w:tcPr>
          <w:p w14:paraId="51C7A323" w14:textId="77777777" w:rsidR="00362261" w:rsidRPr="002B55E9" w:rsidRDefault="00362261" w:rsidP="00ED50AB">
            <w:pPr>
              <w:pStyle w:val="lgy-"/>
              <w:rPr>
                <w:rFonts w:eastAsia="宋体"/>
              </w:rPr>
            </w:pPr>
            <w:r w:rsidRPr="002B55E9">
              <w:rPr>
                <w:rFonts w:eastAsia="宋体"/>
              </w:rPr>
              <w:t>过滤残渣</w:t>
            </w:r>
          </w:p>
        </w:tc>
        <w:tc>
          <w:tcPr>
            <w:tcW w:w="833" w:type="dxa"/>
          </w:tcPr>
          <w:p w14:paraId="72CA68A7"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5A1DC0EF"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427F6AD0" w14:textId="77777777" w:rsidR="00362261" w:rsidRPr="002B55E9" w:rsidRDefault="00362261" w:rsidP="00ED50AB">
            <w:pPr>
              <w:pStyle w:val="lgy-"/>
              <w:rPr>
                <w:rFonts w:eastAsia="宋体"/>
              </w:rPr>
            </w:pPr>
            <w:r w:rsidRPr="002B55E9">
              <w:rPr>
                <w:rFonts w:eastAsia="宋体"/>
              </w:rPr>
              <w:t>559.5</w:t>
            </w:r>
          </w:p>
        </w:tc>
        <w:tc>
          <w:tcPr>
            <w:tcW w:w="1644" w:type="dxa"/>
          </w:tcPr>
          <w:p w14:paraId="2D318D2C" w14:textId="77777777" w:rsidR="00362261" w:rsidRPr="002B55E9" w:rsidRDefault="00362261" w:rsidP="00ED50AB">
            <w:pPr>
              <w:pStyle w:val="lgy-"/>
              <w:rPr>
                <w:rFonts w:eastAsia="宋体"/>
              </w:rPr>
            </w:pPr>
            <w:r w:rsidRPr="002B55E9">
              <w:rPr>
                <w:rFonts w:eastAsia="宋体"/>
              </w:rPr>
              <w:t>过滤</w:t>
            </w:r>
          </w:p>
        </w:tc>
        <w:tc>
          <w:tcPr>
            <w:tcW w:w="1897" w:type="dxa"/>
          </w:tcPr>
          <w:p w14:paraId="6101A221" w14:textId="77777777" w:rsidR="00362261" w:rsidRPr="002B55E9" w:rsidRDefault="00362261" w:rsidP="00ED50AB">
            <w:pPr>
              <w:pStyle w:val="lgy-"/>
              <w:rPr>
                <w:rFonts w:eastAsia="宋体"/>
              </w:rPr>
            </w:pPr>
            <w:r w:rsidRPr="002B55E9">
              <w:rPr>
                <w:rFonts w:eastAsia="宋体"/>
              </w:rPr>
              <w:t>有机肥生产企业回收利用</w:t>
            </w:r>
          </w:p>
        </w:tc>
      </w:tr>
      <w:tr w:rsidR="002B55E9" w:rsidRPr="002B55E9" w14:paraId="3A145E8E" w14:textId="77777777" w:rsidTr="00523135">
        <w:trPr>
          <w:trHeight w:val="283"/>
        </w:trPr>
        <w:tc>
          <w:tcPr>
            <w:tcW w:w="594" w:type="dxa"/>
          </w:tcPr>
          <w:p w14:paraId="55C67839" w14:textId="77777777" w:rsidR="00362261" w:rsidRPr="002B55E9" w:rsidRDefault="00362261" w:rsidP="00ED50AB">
            <w:pPr>
              <w:pStyle w:val="lgy-"/>
              <w:rPr>
                <w:rFonts w:eastAsia="宋体"/>
              </w:rPr>
            </w:pPr>
            <w:r w:rsidRPr="002B55E9">
              <w:rPr>
                <w:rFonts w:eastAsia="宋体"/>
              </w:rPr>
              <w:t>3</w:t>
            </w:r>
          </w:p>
        </w:tc>
        <w:tc>
          <w:tcPr>
            <w:tcW w:w="2267" w:type="dxa"/>
          </w:tcPr>
          <w:p w14:paraId="39FF1233" w14:textId="77777777" w:rsidR="00362261" w:rsidRPr="002B55E9" w:rsidRDefault="00362261" w:rsidP="00ED50AB">
            <w:pPr>
              <w:pStyle w:val="lgy-"/>
              <w:rPr>
                <w:rFonts w:eastAsia="宋体"/>
              </w:rPr>
            </w:pPr>
            <w:r w:rsidRPr="002B55E9">
              <w:rPr>
                <w:rFonts w:eastAsia="宋体" w:hint="eastAsia"/>
              </w:rPr>
              <w:t>成品过滤残渣</w:t>
            </w:r>
          </w:p>
        </w:tc>
        <w:tc>
          <w:tcPr>
            <w:tcW w:w="833" w:type="dxa"/>
          </w:tcPr>
          <w:p w14:paraId="096A1329" w14:textId="77777777" w:rsidR="00362261" w:rsidRPr="002B55E9" w:rsidRDefault="00362261" w:rsidP="00ED50AB">
            <w:pPr>
              <w:pStyle w:val="lgy-"/>
              <w:rPr>
                <w:rFonts w:eastAsia="宋体"/>
              </w:rPr>
            </w:pPr>
          </w:p>
        </w:tc>
        <w:tc>
          <w:tcPr>
            <w:tcW w:w="1365" w:type="dxa"/>
          </w:tcPr>
          <w:p w14:paraId="456DBD33" w14:textId="77777777" w:rsidR="00362261" w:rsidRPr="002B55E9" w:rsidRDefault="00362261" w:rsidP="00ED50AB">
            <w:pPr>
              <w:pStyle w:val="lgy-"/>
              <w:rPr>
                <w:rFonts w:eastAsia="宋体"/>
              </w:rPr>
            </w:pPr>
          </w:p>
        </w:tc>
        <w:tc>
          <w:tcPr>
            <w:tcW w:w="1037" w:type="dxa"/>
          </w:tcPr>
          <w:p w14:paraId="1E0014F0" w14:textId="77777777" w:rsidR="00362261" w:rsidRPr="002B55E9" w:rsidRDefault="00362261" w:rsidP="00ED50AB">
            <w:pPr>
              <w:pStyle w:val="lgy-"/>
              <w:rPr>
                <w:rFonts w:eastAsia="宋体"/>
              </w:rPr>
            </w:pPr>
            <w:r w:rsidRPr="002B55E9">
              <w:rPr>
                <w:rFonts w:eastAsia="宋体" w:hint="eastAsia"/>
              </w:rPr>
              <w:t>3</w:t>
            </w:r>
            <w:r w:rsidRPr="002B55E9">
              <w:rPr>
                <w:rFonts w:eastAsia="宋体"/>
              </w:rPr>
              <w:t>.38</w:t>
            </w:r>
          </w:p>
        </w:tc>
        <w:tc>
          <w:tcPr>
            <w:tcW w:w="1644" w:type="dxa"/>
          </w:tcPr>
          <w:p w14:paraId="042FF2A3" w14:textId="77777777" w:rsidR="00362261" w:rsidRPr="002B55E9" w:rsidRDefault="00362261" w:rsidP="00ED50AB">
            <w:pPr>
              <w:pStyle w:val="lgy-"/>
              <w:rPr>
                <w:rFonts w:eastAsia="宋体"/>
              </w:rPr>
            </w:pPr>
            <w:r w:rsidRPr="002B55E9">
              <w:rPr>
                <w:rFonts w:eastAsia="宋体" w:hint="eastAsia"/>
              </w:rPr>
              <w:t>成品过滤</w:t>
            </w:r>
          </w:p>
        </w:tc>
        <w:tc>
          <w:tcPr>
            <w:tcW w:w="1897" w:type="dxa"/>
            <w:vMerge w:val="restart"/>
          </w:tcPr>
          <w:p w14:paraId="3E7C1A93" w14:textId="77777777" w:rsidR="00362261" w:rsidRPr="002B55E9" w:rsidRDefault="00362261" w:rsidP="00ED50AB">
            <w:pPr>
              <w:pStyle w:val="lgy-"/>
              <w:rPr>
                <w:rFonts w:eastAsia="宋体"/>
              </w:rPr>
            </w:pPr>
            <w:r w:rsidRPr="002B55E9">
              <w:rPr>
                <w:rFonts w:eastAsia="宋体"/>
              </w:rPr>
              <w:t>物资回收公司综合利用</w:t>
            </w:r>
          </w:p>
        </w:tc>
      </w:tr>
      <w:tr w:rsidR="002B55E9" w:rsidRPr="002B55E9" w14:paraId="5AAF63C7" w14:textId="77777777" w:rsidTr="00523135">
        <w:trPr>
          <w:trHeight w:val="283"/>
        </w:trPr>
        <w:tc>
          <w:tcPr>
            <w:tcW w:w="594" w:type="dxa"/>
          </w:tcPr>
          <w:p w14:paraId="3A7C4FAB" w14:textId="77777777" w:rsidR="00362261" w:rsidRPr="002B55E9" w:rsidRDefault="00362261" w:rsidP="00ED50AB">
            <w:pPr>
              <w:pStyle w:val="lgy-"/>
              <w:rPr>
                <w:rFonts w:eastAsia="宋体"/>
              </w:rPr>
            </w:pPr>
            <w:r w:rsidRPr="002B55E9">
              <w:rPr>
                <w:rFonts w:eastAsia="宋体" w:hint="eastAsia"/>
              </w:rPr>
              <w:t>4</w:t>
            </w:r>
          </w:p>
        </w:tc>
        <w:tc>
          <w:tcPr>
            <w:tcW w:w="2267" w:type="dxa"/>
          </w:tcPr>
          <w:p w14:paraId="4E09240B" w14:textId="77777777" w:rsidR="00362261" w:rsidRPr="002B55E9" w:rsidRDefault="00362261" w:rsidP="00ED50AB">
            <w:pPr>
              <w:pStyle w:val="lgy-"/>
              <w:rPr>
                <w:rFonts w:eastAsia="宋体"/>
              </w:rPr>
            </w:pPr>
            <w:r w:rsidRPr="002B55E9">
              <w:rPr>
                <w:rFonts w:eastAsia="宋体"/>
              </w:rPr>
              <w:t>除尘器粉尘</w:t>
            </w:r>
          </w:p>
        </w:tc>
        <w:tc>
          <w:tcPr>
            <w:tcW w:w="833" w:type="dxa"/>
          </w:tcPr>
          <w:p w14:paraId="4FB89A6E"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78093F08"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15C40447" w14:textId="77777777" w:rsidR="00362261" w:rsidRPr="002B55E9" w:rsidRDefault="00362261" w:rsidP="00ED50AB">
            <w:pPr>
              <w:pStyle w:val="lgy-"/>
              <w:rPr>
                <w:rFonts w:eastAsia="宋体"/>
              </w:rPr>
            </w:pPr>
            <w:r w:rsidRPr="002B55E9">
              <w:rPr>
                <w:rFonts w:eastAsia="宋体"/>
              </w:rPr>
              <w:t>0.08</w:t>
            </w:r>
          </w:p>
        </w:tc>
        <w:tc>
          <w:tcPr>
            <w:tcW w:w="1644" w:type="dxa"/>
          </w:tcPr>
          <w:p w14:paraId="1BE4E0B3" w14:textId="77777777" w:rsidR="00362261" w:rsidRPr="002B55E9" w:rsidRDefault="00362261" w:rsidP="00ED50AB">
            <w:pPr>
              <w:pStyle w:val="lgy-"/>
              <w:rPr>
                <w:rFonts w:eastAsia="宋体"/>
              </w:rPr>
            </w:pPr>
            <w:r w:rsidRPr="002B55E9">
              <w:rPr>
                <w:rFonts w:eastAsia="宋体"/>
              </w:rPr>
              <w:t>破碎</w:t>
            </w:r>
          </w:p>
        </w:tc>
        <w:tc>
          <w:tcPr>
            <w:tcW w:w="1897" w:type="dxa"/>
            <w:vMerge/>
          </w:tcPr>
          <w:p w14:paraId="368D02C0" w14:textId="77777777" w:rsidR="00362261" w:rsidRPr="002B55E9" w:rsidRDefault="00362261" w:rsidP="00ED50AB">
            <w:pPr>
              <w:pStyle w:val="lgy-"/>
              <w:rPr>
                <w:rFonts w:eastAsia="宋体"/>
              </w:rPr>
            </w:pPr>
          </w:p>
        </w:tc>
      </w:tr>
      <w:tr w:rsidR="002B55E9" w:rsidRPr="002B55E9" w14:paraId="49C298E5" w14:textId="77777777" w:rsidTr="00523135">
        <w:trPr>
          <w:trHeight w:val="283"/>
        </w:trPr>
        <w:tc>
          <w:tcPr>
            <w:tcW w:w="594" w:type="dxa"/>
          </w:tcPr>
          <w:p w14:paraId="1593B5F1" w14:textId="77777777" w:rsidR="00362261" w:rsidRPr="002B55E9" w:rsidRDefault="00362261" w:rsidP="00ED50AB">
            <w:pPr>
              <w:pStyle w:val="lgy-"/>
              <w:rPr>
                <w:rFonts w:eastAsia="宋体"/>
              </w:rPr>
            </w:pPr>
            <w:r w:rsidRPr="002B55E9">
              <w:rPr>
                <w:rFonts w:eastAsia="宋体" w:hint="eastAsia"/>
              </w:rPr>
              <w:t>5</w:t>
            </w:r>
          </w:p>
        </w:tc>
        <w:tc>
          <w:tcPr>
            <w:tcW w:w="2267" w:type="dxa"/>
          </w:tcPr>
          <w:p w14:paraId="5EB7A090" w14:textId="77777777" w:rsidR="00362261" w:rsidRPr="002B55E9" w:rsidRDefault="00362261" w:rsidP="00ED50AB">
            <w:pPr>
              <w:pStyle w:val="lgy-"/>
              <w:rPr>
                <w:rFonts w:eastAsia="宋体"/>
              </w:rPr>
            </w:pPr>
            <w:r w:rsidRPr="002B55E9">
              <w:rPr>
                <w:rFonts w:eastAsia="宋体"/>
              </w:rPr>
              <w:t>废包装材料</w:t>
            </w:r>
          </w:p>
        </w:tc>
        <w:tc>
          <w:tcPr>
            <w:tcW w:w="833" w:type="dxa"/>
          </w:tcPr>
          <w:p w14:paraId="45978F20"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625A9E28"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49725513" w14:textId="77777777" w:rsidR="00362261" w:rsidRPr="002B55E9" w:rsidRDefault="00362261" w:rsidP="00ED50AB">
            <w:pPr>
              <w:pStyle w:val="lgy-"/>
              <w:rPr>
                <w:rFonts w:eastAsia="宋体"/>
              </w:rPr>
            </w:pPr>
            <w:r w:rsidRPr="002B55E9">
              <w:rPr>
                <w:rFonts w:eastAsia="宋体"/>
              </w:rPr>
              <w:t>12</w:t>
            </w:r>
          </w:p>
        </w:tc>
        <w:tc>
          <w:tcPr>
            <w:tcW w:w="1644" w:type="dxa"/>
          </w:tcPr>
          <w:p w14:paraId="42368CFF" w14:textId="77777777" w:rsidR="00362261" w:rsidRPr="002B55E9" w:rsidRDefault="00362261" w:rsidP="00ED50AB">
            <w:pPr>
              <w:pStyle w:val="lgy-"/>
              <w:rPr>
                <w:rFonts w:eastAsia="宋体"/>
              </w:rPr>
            </w:pPr>
            <w:r w:rsidRPr="002B55E9">
              <w:rPr>
                <w:rFonts w:eastAsia="宋体"/>
              </w:rPr>
              <w:t>拆包</w:t>
            </w:r>
          </w:p>
        </w:tc>
        <w:tc>
          <w:tcPr>
            <w:tcW w:w="1897" w:type="dxa"/>
            <w:vMerge/>
          </w:tcPr>
          <w:p w14:paraId="41CBFD56" w14:textId="77777777" w:rsidR="00362261" w:rsidRPr="002B55E9" w:rsidRDefault="00362261" w:rsidP="00ED50AB">
            <w:pPr>
              <w:pStyle w:val="lgy-"/>
              <w:rPr>
                <w:rFonts w:eastAsia="宋体"/>
              </w:rPr>
            </w:pPr>
          </w:p>
        </w:tc>
      </w:tr>
      <w:tr w:rsidR="002B55E9" w:rsidRPr="002B55E9" w14:paraId="1952437E" w14:textId="77777777" w:rsidTr="00523135">
        <w:trPr>
          <w:trHeight w:val="283"/>
        </w:trPr>
        <w:tc>
          <w:tcPr>
            <w:tcW w:w="594" w:type="dxa"/>
          </w:tcPr>
          <w:p w14:paraId="49705C10" w14:textId="77777777" w:rsidR="00362261" w:rsidRPr="002B55E9" w:rsidRDefault="00362261" w:rsidP="00ED50AB">
            <w:pPr>
              <w:pStyle w:val="lgy-"/>
              <w:rPr>
                <w:rFonts w:eastAsia="宋体"/>
              </w:rPr>
            </w:pPr>
            <w:r w:rsidRPr="002B55E9">
              <w:rPr>
                <w:rFonts w:eastAsia="宋体" w:hint="eastAsia"/>
              </w:rPr>
              <w:t>6</w:t>
            </w:r>
          </w:p>
        </w:tc>
        <w:tc>
          <w:tcPr>
            <w:tcW w:w="2267" w:type="dxa"/>
          </w:tcPr>
          <w:p w14:paraId="7688A79A" w14:textId="77777777" w:rsidR="00362261" w:rsidRPr="002B55E9" w:rsidRDefault="00362261" w:rsidP="00ED50AB">
            <w:pPr>
              <w:pStyle w:val="lgy-"/>
              <w:rPr>
                <w:rFonts w:eastAsia="宋体"/>
              </w:rPr>
            </w:pPr>
            <w:r w:rsidRPr="002B55E9">
              <w:rPr>
                <w:rFonts w:eastAsia="宋体"/>
              </w:rPr>
              <w:t>纯水制备</w:t>
            </w:r>
            <w:r w:rsidRPr="002B55E9">
              <w:rPr>
                <w:rFonts w:eastAsia="宋体"/>
              </w:rPr>
              <w:t>RO</w:t>
            </w:r>
            <w:r w:rsidRPr="002B55E9">
              <w:rPr>
                <w:rFonts w:eastAsia="宋体"/>
              </w:rPr>
              <w:t>膜</w:t>
            </w:r>
          </w:p>
        </w:tc>
        <w:tc>
          <w:tcPr>
            <w:tcW w:w="833" w:type="dxa"/>
          </w:tcPr>
          <w:p w14:paraId="7392BE52"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5F9C47E6"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097F22FE" w14:textId="77777777" w:rsidR="00362261" w:rsidRPr="002B55E9" w:rsidRDefault="00362261" w:rsidP="00ED50AB">
            <w:pPr>
              <w:pStyle w:val="lgy-"/>
              <w:rPr>
                <w:rFonts w:eastAsia="宋体"/>
              </w:rPr>
            </w:pPr>
            <w:r w:rsidRPr="002B55E9">
              <w:rPr>
                <w:rFonts w:eastAsia="宋体"/>
              </w:rPr>
              <w:t>0.01</w:t>
            </w:r>
          </w:p>
        </w:tc>
        <w:tc>
          <w:tcPr>
            <w:tcW w:w="1644" w:type="dxa"/>
          </w:tcPr>
          <w:p w14:paraId="6D6E14FB" w14:textId="77777777" w:rsidR="00362261" w:rsidRPr="002B55E9" w:rsidRDefault="00362261" w:rsidP="00ED50AB">
            <w:pPr>
              <w:pStyle w:val="lgy-"/>
              <w:rPr>
                <w:rFonts w:eastAsia="宋体"/>
              </w:rPr>
            </w:pPr>
            <w:r w:rsidRPr="002B55E9">
              <w:rPr>
                <w:rFonts w:eastAsia="宋体"/>
              </w:rPr>
              <w:t>纯水制备</w:t>
            </w:r>
          </w:p>
        </w:tc>
        <w:tc>
          <w:tcPr>
            <w:tcW w:w="1897" w:type="dxa"/>
            <w:vMerge/>
          </w:tcPr>
          <w:p w14:paraId="3327CF8E" w14:textId="77777777" w:rsidR="00362261" w:rsidRPr="002B55E9" w:rsidRDefault="00362261" w:rsidP="00ED50AB">
            <w:pPr>
              <w:pStyle w:val="lgy-"/>
              <w:rPr>
                <w:rFonts w:eastAsia="宋体"/>
              </w:rPr>
            </w:pPr>
          </w:p>
        </w:tc>
      </w:tr>
      <w:tr w:rsidR="002B55E9" w:rsidRPr="002B55E9" w14:paraId="603C46DE" w14:textId="77777777" w:rsidTr="00523135">
        <w:trPr>
          <w:trHeight w:val="283"/>
        </w:trPr>
        <w:tc>
          <w:tcPr>
            <w:tcW w:w="594" w:type="dxa"/>
          </w:tcPr>
          <w:p w14:paraId="03F40880" w14:textId="77777777" w:rsidR="00362261" w:rsidRPr="002B55E9" w:rsidRDefault="00362261" w:rsidP="00ED50AB">
            <w:pPr>
              <w:pStyle w:val="lgy-"/>
              <w:rPr>
                <w:rFonts w:eastAsia="宋体"/>
              </w:rPr>
            </w:pPr>
            <w:r w:rsidRPr="002B55E9">
              <w:rPr>
                <w:rFonts w:eastAsia="宋体" w:hint="eastAsia"/>
              </w:rPr>
              <w:t>7</w:t>
            </w:r>
          </w:p>
        </w:tc>
        <w:tc>
          <w:tcPr>
            <w:tcW w:w="2267" w:type="dxa"/>
          </w:tcPr>
          <w:p w14:paraId="43F6D42B" w14:textId="77777777" w:rsidR="00362261" w:rsidRPr="002B55E9" w:rsidRDefault="00362261" w:rsidP="00ED50AB">
            <w:pPr>
              <w:pStyle w:val="lgy-"/>
              <w:rPr>
                <w:rFonts w:eastAsia="宋体"/>
              </w:rPr>
            </w:pPr>
            <w:r w:rsidRPr="002B55E9">
              <w:rPr>
                <w:rFonts w:eastAsia="宋体"/>
              </w:rPr>
              <w:t>废活性炭滤芯、废石英砂滤芯</w:t>
            </w:r>
          </w:p>
        </w:tc>
        <w:tc>
          <w:tcPr>
            <w:tcW w:w="833" w:type="dxa"/>
          </w:tcPr>
          <w:p w14:paraId="6F363BE7" w14:textId="77777777" w:rsidR="00362261" w:rsidRPr="002B55E9" w:rsidRDefault="00362261" w:rsidP="00ED50AB">
            <w:pPr>
              <w:pStyle w:val="lgy-"/>
              <w:rPr>
                <w:rFonts w:eastAsia="宋体"/>
              </w:rPr>
            </w:pPr>
            <w:r w:rsidRPr="002B55E9">
              <w:rPr>
                <w:rFonts w:eastAsia="宋体" w:hint="eastAsia"/>
              </w:rPr>
              <w:t>/</w:t>
            </w:r>
          </w:p>
        </w:tc>
        <w:tc>
          <w:tcPr>
            <w:tcW w:w="1365" w:type="dxa"/>
          </w:tcPr>
          <w:p w14:paraId="0EA4F54C" w14:textId="77777777" w:rsidR="00362261" w:rsidRPr="002B55E9" w:rsidRDefault="00362261" w:rsidP="00ED50AB">
            <w:pPr>
              <w:pStyle w:val="lgy-"/>
              <w:rPr>
                <w:rFonts w:eastAsia="宋体"/>
              </w:rPr>
            </w:pPr>
            <w:r w:rsidRPr="002B55E9">
              <w:rPr>
                <w:rFonts w:eastAsia="宋体" w:hint="eastAsia"/>
              </w:rPr>
              <w:t>/</w:t>
            </w:r>
          </w:p>
        </w:tc>
        <w:tc>
          <w:tcPr>
            <w:tcW w:w="1037" w:type="dxa"/>
          </w:tcPr>
          <w:p w14:paraId="69631922" w14:textId="77777777" w:rsidR="00362261" w:rsidRPr="002B55E9" w:rsidRDefault="00362261" w:rsidP="00ED50AB">
            <w:pPr>
              <w:pStyle w:val="lgy-"/>
              <w:rPr>
                <w:rFonts w:eastAsia="宋体"/>
              </w:rPr>
            </w:pPr>
            <w:r w:rsidRPr="002B55E9">
              <w:rPr>
                <w:rFonts w:eastAsia="宋体"/>
              </w:rPr>
              <w:t>1</w:t>
            </w:r>
          </w:p>
        </w:tc>
        <w:tc>
          <w:tcPr>
            <w:tcW w:w="1644" w:type="dxa"/>
          </w:tcPr>
          <w:p w14:paraId="19C813DB" w14:textId="77777777" w:rsidR="00362261" w:rsidRPr="002B55E9" w:rsidRDefault="00362261" w:rsidP="00ED50AB">
            <w:pPr>
              <w:pStyle w:val="lgy-"/>
              <w:rPr>
                <w:rFonts w:eastAsia="宋体"/>
              </w:rPr>
            </w:pPr>
            <w:r w:rsidRPr="002B55E9">
              <w:rPr>
                <w:rFonts w:eastAsia="宋体"/>
              </w:rPr>
              <w:t>工艺水制备</w:t>
            </w:r>
          </w:p>
        </w:tc>
        <w:tc>
          <w:tcPr>
            <w:tcW w:w="1897" w:type="dxa"/>
            <w:vMerge/>
          </w:tcPr>
          <w:p w14:paraId="2BAE7E9E" w14:textId="77777777" w:rsidR="00362261" w:rsidRPr="002B55E9" w:rsidRDefault="00362261" w:rsidP="00ED50AB">
            <w:pPr>
              <w:pStyle w:val="lgy-"/>
              <w:rPr>
                <w:rFonts w:eastAsia="宋体"/>
              </w:rPr>
            </w:pPr>
          </w:p>
        </w:tc>
      </w:tr>
      <w:tr w:rsidR="002B55E9" w:rsidRPr="002B55E9" w14:paraId="1365AA3F" w14:textId="77777777" w:rsidTr="00523135">
        <w:trPr>
          <w:trHeight w:val="283"/>
        </w:trPr>
        <w:tc>
          <w:tcPr>
            <w:tcW w:w="594" w:type="dxa"/>
          </w:tcPr>
          <w:p w14:paraId="6D473FE4" w14:textId="489047E5" w:rsidR="00523135" w:rsidRPr="002B55E9" w:rsidRDefault="00523135" w:rsidP="00523135">
            <w:pPr>
              <w:pStyle w:val="lgy-"/>
            </w:pPr>
            <w:r w:rsidRPr="002B55E9">
              <w:rPr>
                <w:rFonts w:eastAsia="宋体" w:hint="eastAsia"/>
              </w:rPr>
              <w:t>8</w:t>
            </w:r>
          </w:p>
        </w:tc>
        <w:tc>
          <w:tcPr>
            <w:tcW w:w="2267" w:type="dxa"/>
          </w:tcPr>
          <w:p w14:paraId="616B0E2E" w14:textId="33CFB2FF" w:rsidR="00523135" w:rsidRPr="002B55E9" w:rsidRDefault="00523135" w:rsidP="00523135">
            <w:pPr>
              <w:pStyle w:val="lgy-"/>
            </w:pPr>
            <w:r w:rsidRPr="002B55E9">
              <w:rPr>
                <w:rFonts w:eastAsia="宋体" w:hint="eastAsia"/>
              </w:rPr>
              <w:t>污水</w:t>
            </w:r>
            <w:r w:rsidRPr="002B55E9">
              <w:rPr>
                <w:rFonts w:eastAsia="宋体"/>
              </w:rPr>
              <w:t>处理站污泥</w:t>
            </w:r>
          </w:p>
        </w:tc>
        <w:tc>
          <w:tcPr>
            <w:tcW w:w="833" w:type="dxa"/>
          </w:tcPr>
          <w:p w14:paraId="630BDA64" w14:textId="4212A6EB" w:rsidR="00523135" w:rsidRPr="002B55E9" w:rsidRDefault="00523135" w:rsidP="00523135">
            <w:pPr>
              <w:pStyle w:val="lgy-"/>
            </w:pPr>
            <w:r w:rsidRPr="002B55E9">
              <w:rPr>
                <w:rFonts w:eastAsia="宋体" w:hint="eastAsia"/>
              </w:rPr>
              <w:t>/</w:t>
            </w:r>
          </w:p>
        </w:tc>
        <w:tc>
          <w:tcPr>
            <w:tcW w:w="1365" w:type="dxa"/>
          </w:tcPr>
          <w:p w14:paraId="58C62CCE" w14:textId="609A6DBF" w:rsidR="00523135" w:rsidRPr="002B55E9" w:rsidRDefault="00523135" w:rsidP="00523135">
            <w:pPr>
              <w:pStyle w:val="lgy-"/>
            </w:pPr>
            <w:r w:rsidRPr="002B55E9">
              <w:rPr>
                <w:rFonts w:eastAsia="宋体" w:hint="eastAsia"/>
              </w:rPr>
              <w:t>/</w:t>
            </w:r>
          </w:p>
        </w:tc>
        <w:tc>
          <w:tcPr>
            <w:tcW w:w="1037" w:type="dxa"/>
          </w:tcPr>
          <w:p w14:paraId="45B1CC0D" w14:textId="1F711334" w:rsidR="00523135" w:rsidRPr="002B55E9" w:rsidRDefault="00523135" w:rsidP="00523135">
            <w:pPr>
              <w:pStyle w:val="lgy-"/>
            </w:pPr>
            <w:r w:rsidRPr="002B55E9">
              <w:rPr>
                <w:rFonts w:eastAsia="宋体" w:hint="eastAsia"/>
              </w:rPr>
              <w:t>538</w:t>
            </w:r>
          </w:p>
        </w:tc>
        <w:tc>
          <w:tcPr>
            <w:tcW w:w="1644" w:type="dxa"/>
          </w:tcPr>
          <w:p w14:paraId="50EDFA2B" w14:textId="4FFA6B0F" w:rsidR="00523135" w:rsidRPr="002B55E9" w:rsidRDefault="00523135" w:rsidP="00523135">
            <w:pPr>
              <w:pStyle w:val="lgy-"/>
            </w:pPr>
            <w:r w:rsidRPr="002B55E9">
              <w:rPr>
                <w:rFonts w:eastAsia="宋体" w:hint="eastAsia"/>
              </w:rPr>
              <w:t>污水处理</w:t>
            </w:r>
          </w:p>
        </w:tc>
        <w:tc>
          <w:tcPr>
            <w:tcW w:w="1897" w:type="dxa"/>
          </w:tcPr>
          <w:p w14:paraId="54A32F98" w14:textId="54EA0EFE" w:rsidR="00523135" w:rsidRPr="002B55E9" w:rsidRDefault="00523135" w:rsidP="00523135">
            <w:pPr>
              <w:pStyle w:val="lgy-"/>
            </w:pPr>
            <w:r w:rsidRPr="002B55E9">
              <w:rPr>
                <w:rFonts w:eastAsia="宋体" w:hint="eastAsia"/>
              </w:rPr>
              <w:t>专业</w:t>
            </w:r>
            <w:r w:rsidRPr="002B55E9">
              <w:rPr>
                <w:rFonts w:eastAsia="宋体"/>
              </w:rPr>
              <w:t>公司清运处理</w:t>
            </w:r>
          </w:p>
        </w:tc>
      </w:tr>
      <w:tr w:rsidR="002B55E9" w:rsidRPr="002B55E9" w14:paraId="7B7F830B" w14:textId="77777777" w:rsidTr="00523135">
        <w:trPr>
          <w:trHeight w:val="283"/>
        </w:trPr>
        <w:tc>
          <w:tcPr>
            <w:tcW w:w="594" w:type="dxa"/>
          </w:tcPr>
          <w:p w14:paraId="037799D4" w14:textId="62230637" w:rsidR="00523135" w:rsidRPr="002B55E9" w:rsidRDefault="00523135" w:rsidP="00523135">
            <w:pPr>
              <w:pStyle w:val="lgy-"/>
              <w:rPr>
                <w:rFonts w:eastAsia="宋体"/>
              </w:rPr>
            </w:pPr>
            <w:r w:rsidRPr="002B55E9">
              <w:rPr>
                <w:rFonts w:eastAsia="宋体" w:hint="eastAsia"/>
              </w:rPr>
              <w:t>9</w:t>
            </w:r>
          </w:p>
        </w:tc>
        <w:tc>
          <w:tcPr>
            <w:tcW w:w="2267" w:type="dxa"/>
          </w:tcPr>
          <w:p w14:paraId="1E551210" w14:textId="77777777" w:rsidR="00523135" w:rsidRPr="002B55E9" w:rsidRDefault="00523135" w:rsidP="00523135">
            <w:pPr>
              <w:pStyle w:val="lgy-"/>
              <w:rPr>
                <w:rFonts w:eastAsia="宋体"/>
              </w:rPr>
            </w:pPr>
            <w:r w:rsidRPr="002B55E9">
              <w:rPr>
                <w:rFonts w:eastAsia="宋体" w:hint="eastAsia"/>
              </w:rPr>
              <w:t>废油墨桶、废墨盒、废胶粘剂桶等</w:t>
            </w:r>
          </w:p>
        </w:tc>
        <w:tc>
          <w:tcPr>
            <w:tcW w:w="833" w:type="dxa"/>
          </w:tcPr>
          <w:p w14:paraId="40A2C48F"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3F5B6622"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00-041-49</w:t>
            </w:r>
          </w:p>
        </w:tc>
        <w:tc>
          <w:tcPr>
            <w:tcW w:w="1037" w:type="dxa"/>
          </w:tcPr>
          <w:p w14:paraId="306A0B6E" w14:textId="77777777" w:rsidR="00523135" w:rsidRPr="002B55E9" w:rsidRDefault="00523135" w:rsidP="00523135">
            <w:pPr>
              <w:pStyle w:val="lgy-"/>
              <w:rPr>
                <w:rFonts w:eastAsia="宋体"/>
              </w:rPr>
            </w:pPr>
            <w:r w:rsidRPr="002B55E9">
              <w:rPr>
                <w:rFonts w:eastAsia="宋体"/>
              </w:rPr>
              <w:t>0.51</w:t>
            </w:r>
          </w:p>
        </w:tc>
        <w:tc>
          <w:tcPr>
            <w:tcW w:w="1644" w:type="dxa"/>
          </w:tcPr>
          <w:p w14:paraId="6F455612" w14:textId="77777777" w:rsidR="00523135" w:rsidRPr="002B55E9" w:rsidRDefault="00523135" w:rsidP="00523135">
            <w:pPr>
              <w:pStyle w:val="lgy-"/>
              <w:rPr>
                <w:rFonts w:eastAsia="宋体"/>
              </w:rPr>
            </w:pPr>
            <w:r w:rsidRPr="002B55E9">
              <w:rPr>
                <w:rFonts w:eastAsia="宋体" w:hint="eastAsia"/>
              </w:rPr>
              <w:t>包装</w:t>
            </w:r>
          </w:p>
        </w:tc>
        <w:tc>
          <w:tcPr>
            <w:tcW w:w="1897" w:type="dxa"/>
            <w:vMerge w:val="restart"/>
          </w:tcPr>
          <w:p w14:paraId="5203EBF2" w14:textId="77777777" w:rsidR="00523135" w:rsidRPr="002B55E9" w:rsidRDefault="00523135" w:rsidP="00523135">
            <w:pPr>
              <w:pStyle w:val="lgy-"/>
              <w:rPr>
                <w:rFonts w:eastAsia="宋体"/>
              </w:rPr>
            </w:pPr>
            <w:r w:rsidRPr="002B55E9">
              <w:rPr>
                <w:rFonts w:eastAsia="宋体"/>
              </w:rPr>
              <w:t>于危险废物暂存间内分类暂存，定期交有资质的单位进行妥善处置</w:t>
            </w:r>
          </w:p>
        </w:tc>
      </w:tr>
      <w:tr w:rsidR="002B55E9" w:rsidRPr="002B55E9" w14:paraId="6A7AA7DE" w14:textId="77777777" w:rsidTr="00523135">
        <w:trPr>
          <w:trHeight w:val="283"/>
        </w:trPr>
        <w:tc>
          <w:tcPr>
            <w:tcW w:w="594" w:type="dxa"/>
          </w:tcPr>
          <w:p w14:paraId="65D33EEB" w14:textId="74B246A4" w:rsidR="00523135" w:rsidRPr="002B55E9" w:rsidRDefault="00523135" w:rsidP="00523135">
            <w:pPr>
              <w:pStyle w:val="lgy-"/>
              <w:rPr>
                <w:rFonts w:eastAsia="宋体"/>
              </w:rPr>
            </w:pPr>
            <w:r w:rsidRPr="002B55E9">
              <w:rPr>
                <w:rFonts w:eastAsia="宋体" w:hint="eastAsia"/>
              </w:rPr>
              <w:t>1</w:t>
            </w:r>
            <w:r w:rsidRPr="002B55E9">
              <w:rPr>
                <w:rFonts w:eastAsia="宋体"/>
              </w:rPr>
              <w:t>0</w:t>
            </w:r>
          </w:p>
        </w:tc>
        <w:tc>
          <w:tcPr>
            <w:tcW w:w="2267" w:type="dxa"/>
          </w:tcPr>
          <w:p w14:paraId="7421BC5F" w14:textId="77777777" w:rsidR="00523135" w:rsidRPr="002B55E9" w:rsidRDefault="00523135" w:rsidP="00523135">
            <w:pPr>
              <w:pStyle w:val="lgy-"/>
              <w:rPr>
                <w:rFonts w:eastAsia="宋体"/>
              </w:rPr>
            </w:pPr>
            <w:r w:rsidRPr="002B55E9">
              <w:rPr>
                <w:rFonts w:eastAsia="宋体" w:hint="eastAsia"/>
              </w:rPr>
              <w:t>实验废液</w:t>
            </w:r>
          </w:p>
        </w:tc>
        <w:tc>
          <w:tcPr>
            <w:tcW w:w="833" w:type="dxa"/>
          </w:tcPr>
          <w:p w14:paraId="4D448425"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588E4E31"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00-047-49</w:t>
            </w:r>
          </w:p>
        </w:tc>
        <w:tc>
          <w:tcPr>
            <w:tcW w:w="1037" w:type="dxa"/>
          </w:tcPr>
          <w:p w14:paraId="665A83F7" w14:textId="77777777" w:rsidR="00523135" w:rsidRPr="002B55E9" w:rsidRDefault="00523135" w:rsidP="00523135">
            <w:pPr>
              <w:pStyle w:val="lgy-"/>
              <w:rPr>
                <w:rFonts w:eastAsia="宋体"/>
              </w:rPr>
            </w:pPr>
            <w:r w:rsidRPr="002B55E9">
              <w:rPr>
                <w:rFonts w:eastAsia="宋体"/>
              </w:rPr>
              <w:t>1.5</w:t>
            </w:r>
          </w:p>
        </w:tc>
        <w:tc>
          <w:tcPr>
            <w:tcW w:w="1644" w:type="dxa"/>
          </w:tcPr>
          <w:p w14:paraId="39859696" w14:textId="77777777" w:rsidR="00523135" w:rsidRPr="002B55E9" w:rsidRDefault="00523135" w:rsidP="00523135">
            <w:pPr>
              <w:pStyle w:val="lgy-"/>
              <w:rPr>
                <w:rFonts w:eastAsia="宋体"/>
              </w:rPr>
            </w:pPr>
            <w:r w:rsidRPr="002B55E9">
              <w:rPr>
                <w:rFonts w:eastAsia="宋体" w:hint="eastAsia"/>
              </w:rPr>
              <w:t>检测</w:t>
            </w:r>
          </w:p>
        </w:tc>
        <w:tc>
          <w:tcPr>
            <w:tcW w:w="1897" w:type="dxa"/>
            <w:vMerge/>
          </w:tcPr>
          <w:p w14:paraId="54EEDBFF" w14:textId="77777777" w:rsidR="00523135" w:rsidRPr="002B55E9" w:rsidRDefault="00523135" w:rsidP="00523135">
            <w:pPr>
              <w:pStyle w:val="lgy-"/>
              <w:rPr>
                <w:rFonts w:eastAsia="宋体"/>
              </w:rPr>
            </w:pPr>
          </w:p>
        </w:tc>
      </w:tr>
      <w:tr w:rsidR="002B55E9" w:rsidRPr="002B55E9" w14:paraId="04328C29" w14:textId="77777777" w:rsidTr="00523135">
        <w:trPr>
          <w:trHeight w:val="283"/>
        </w:trPr>
        <w:tc>
          <w:tcPr>
            <w:tcW w:w="594" w:type="dxa"/>
          </w:tcPr>
          <w:p w14:paraId="7E86CE81" w14:textId="764CF989" w:rsidR="00523135" w:rsidRPr="002B55E9" w:rsidRDefault="00523135" w:rsidP="00523135">
            <w:pPr>
              <w:pStyle w:val="lgy-"/>
              <w:rPr>
                <w:rFonts w:eastAsia="宋体"/>
              </w:rPr>
            </w:pPr>
            <w:r w:rsidRPr="002B55E9">
              <w:rPr>
                <w:rFonts w:eastAsia="宋体" w:hint="eastAsia"/>
              </w:rPr>
              <w:t>1</w:t>
            </w:r>
            <w:r w:rsidRPr="002B55E9">
              <w:rPr>
                <w:rFonts w:eastAsia="宋体"/>
              </w:rPr>
              <w:t>1</w:t>
            </w:r>
          </w:p>
        </w:tc>
        <w:tc>
          <w:tcPr>
            <w:tcW w:w="2267" w:type="dxa"/>
          </w:tcPr>
          <w:p w14:paraId="14AD296C" w14:textId="77777777" w:rsidR="00523135" w:rsidRPr="002B55E9" w:rsidRDefault="00523135" w:rsidP="00523135">
            <w:pPr>
              <w:pStyle w:val="lgy-"/>
              <w:rPr>
                <w:rFonts w:eastAsia="宋体"/>
              </w:rPr>
            </w:pPr>
            <w:r w:rsidRPr="002B55E9">
              <w:rPr>
                <w:rFonts w:eastAsia="宋体" w:hint="eastAsia"/>
              </w:rPr>
              <w:t>化验室</w:t>
            </w:r>
            <w:r w:rsidRPr="002B55E9">
              <w:rPr>
                <w:rFonts w:eastAsia="宋体"/>
              </w:rPr>
              <w:t>废耗材</w:t>
            </w:r>
          </w:p>
        </w:tc>
        <w:tc>
          <w:tcPr>
            <w:tcW w:w="833" w:type="dxa"/>
          </w:tcPr>
          <w:p w14:paraId="521ABFC4"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673BB07F"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00-047-49</w:t>
            </w:r>
          </w:p>
        </w:tc>
        <w:tc>
          <w:tcPr>
            <w:tcW w:w="1037" w:type="dxa"/>
          </w:tcPr>
          <w:p w14:paraId="77EEE05C" w14:textId="77777777" w:rsidR="00523135" w:rsidRPr="002B55E9" w:rsidRDefault="00523135" w:rsidP="00523135">
            <w:pPr>
              <w:pStyle w:val="lgy-"/>
              <w:rPr>
                <w:rFonts w:eastAsia="宋体"/>
              </w:rPr>
            </w:pPr>
            <w:r w:rsidRPr="002B55E9">
              <w:rPr>
                <w:rFonts w:eastAsia="宋体" w:hint="eastAsia"/>
              </w:rPr>
              <w:t>0.5</w:t>
            </w:r>
          </w:p>
        </w:tc>
        <w:tc>
          <w:tcPr>
            <w:tcW w:w="1644" w:type="dxa"/>
          </w:tcPr>
          <w:p w14:paraId="22221CAA" w14:textId="77777777" w:rsidR="00523135" w:rsidRPr="002B55E9" w:rsidRDefault="00523135" w:rsidP="00523135">
            <w:pPr>
              <w:pStyle w:val="lgy-"/>
              <w:rPr>
                <w:rFonts w:eastAsia="宋体"/>
              </w:rPr>
            </w:pPr>
            <w:r w:rsidRPr="002B55E9">
              <w:rPr>
                <w:rFonts w:eastAsia="宋体" w:hint="eastAsia"/>
              </w:rPr>
              <w:t>检测</w:t>
            </w:r>
          </w:p>
        </w:tc>
        <w:tc>
          <w:tcPr>
            <w:tcW w:w="1897" w:type="dxa"/>
            <w:vMerge/>
          </w:tcPr>
          <w:p w14:paraId="11B26753" w14:textId="77777777" w:rsidR="00523135" w:rsidRPr="002B55E9" w:rsidRDefault="00523135" w:rsidP="00523135">
            <w:pPr>
              <w:pStyle w:val="lgy-"/>
              <w:rPr>
                <w:rFonts w:eastAsia="宋体"/>
              </w:rPr>
            </w:pPr>
          </w:p>
        </w:tc>
      </w:tr>
      <w:tr w:rsidR="002B55E9" w:rsidRPr="002B55E9" w14:paraId="2B2DB05A" w14:textId="77777777" w:rsidTr="00523135">
        <w:trPr>
          <w:trHeight w:val="283"/>
        </w:trPr>
        <w:tc>
          <w:tcPr>
            <w:tcW w:w="594" w:type="dxa"/>
          </w:tcPr>
          <w:p w14:paraId="2237AC6E" w14:textId="020DF5A2" w:rsidR="00523135" w:rsidRPr="002B55E9" w:rsidRDefault="00523135" w:rsidP="00523135">
            <w:pPr>
              <w:pStyle w:val="lgy-"/>
              <w:rPr>
                <w:rFonts w:eastAsia="宋体"/>
              </w:rPr>
            </w:pPr>
            <w:r w:rsidRPr="002B55E9">
              <w:rPr>
                <w:rFonts w:eastAsia="宋体" w:hint="eastAsia"/>
              </w:rPr>
              <w:t>1</w:t>
            </w:r>
            <w:r w:rsidRPr="002B55E9">
              <w:rPr>
                <w:rFonts w:eastAsia="宋体"/>
              </w:rPr>
              <w:t>2</w:t>
            </w:r>
          </w:p>
        </w:tc>
        <w:tc>
          <w:tcPr>
            <w:tcW w:w="2267" w:type="dxa"/>
          </w:tcPr>
          <w:p w14:paraId="4CDEBFE4" w14:textId="77777777" w:rsidR="00523135" w:rsidRPr="002B55E9" w:rsidRDefault="00523135" w:rsidP="00523135">
            <w:pPr>
              <w:pStyle w:val="lgy-"/>
              <w:rPr>
                <w:rFonts w:eastAsia="宋体"/>
              </w:rPr>
            </w:pPr>
            <w:r w:rsidRPr="002B55E9">
              <w:rPr>
                <w:rFonts w:eastAsia="宋体" w:hint="eastAsia"/>
              </w:rPr>
              <w:t>废活性炭</w:t>
            </w:r>
          </w:p>
        </w:tc>
        <w:tc>
          <w:tcPr>
            <w:tcW w:w="833" w:type="dxa"/>
          </w:tcPr>
          <w:p w14:paraId="1874760E" w14:textId="77777777" w:rsidR="00523135" w:rsidRPr="002B55E9" w:rsidRDefault="00523135" w:rsidP="00523135">
            <w:pPr>
              <w:pStyle w:val="lgy-"/>
              <w:rPr>
                <w:rFonts w:eastAsia="宋体"/>
              </w:rPr>
            </w:pPr>
            <w:r w:rsidRPr="002B55E9">
              <w:rPr>
                <w:rFonts w:eastAsia="宋体" w:hint="eastAsia"/>
              </w:rPr>
              <w:t>HW49</w:t>
            </w:r>
          </w:p>
        </w:tc>
        <w:tc>
          <w:tcPr>
            <w:tcW w:w="1365" w:type="dxa"/>
          </w:tcPr>
          <w:p w14:paraId="46E1C3F6" w14:textId="77777777" w:rsidR="00523135" w:rsidRPr="002B55E9" w:rsidRDefault="00523135" w:rsidP="00523135">
            <w:pPr>
              <w:pStyle w:val="lgy-"/>
              <w:rPr>
                <w:rFonts w:eastAsia="宋体"/>
              </w:rPr>
            </w:pPr>
            <w:r w:rsidRPr="002B55E9">
              <w:rPr>
                <w:rFonts w:eastAsia="宋体" w:hint="eastAsia"/>
              </w:rPr>
              <w:t>900-039-49</w:t>
            </w:r>
          </w:p>
        </w:tc>
        <w:tc>
          <w:tcPr>
            <w:tcW w:w="1037" w:type="dxa"/>
          </w:tcPr>
          <w:p w14:paraId="5E279C24" w14:textId="77777777" w:rsidR="00523135" w:rsidRPr="002B55E9" w:rsidRDefault="00523135" w:rsidP="00523135">
            <w:pPr>
              <w:pStyle w:val="lgy-"/>
              <w:rPr>
                <w:rFonts w:eastAsia="宋体"/>
              </w:rPr>
            </w:pPr>
            <w:r w:rsidRPr="002B55E9">
              <w:rPr>
                <w:rFonts w:eastAsia="宋体" w:hint="eastAsia"/>
              </w:rPr>
              <w:t>0.1</w:t>
            </w:r>
          </w:p>
        </w:tc>
        <w:tc>
          <w:tcPr>
            <w:tcW w:w="1644" w:type="dxa"/>
          </w:tcPr>
          <w:p w14:paraId="309E00DF" w14:textId="77777777" w:rsidR="00523135" w:rsidRPr="002B55E9" w:rsidRDefault="00523135" w:rsidP="00523135">
            <w:pPr>
              <w:pStyle w:val="lgy-"/>
              <w:rPr>
                <w:rFonts w:eastAsia="宋体"/>
              </w:rPr>
            </w:pPr>
            <w:r w:rsidRPr="002B55E9">
              <w:rPr>
                <w:rFonts w:eastAsia="宋体" w:hint="eastAsia"/>
              </w:rPr>
              <w:t>废气</w:t>
            </w:r>
            <w:r w:rsidRPr="002B55E9">
              <w:rPr>
                <w:rFonts w:eastAsia="宋体"/>
              </w:rPr>
              <w:t>处理</w:t>
            </w:r>
          </w:p>
        </w:tc>
        <w:tc>
          <w:tcPr>
            <w:tcW w:w="1897" w:type="dxa"/>
            <w:vMerge/>
          </w:tcPr>
          <w:p w14:paraId="38944527" w14:textId="77777777" w:rsidR="00523135" w:rsidRPr="002B55E9" w:rsidRDefault="00523135" w:rsidP="00523135">
            <w:pPr>
              <w:pStyle w:val="lgy-"/>
              <w:rPr>
                <w:rFonts w:eastAsia="宋体"/>
              </w:rPr>
            </w:pPr>
          </w:p>
        </w:tc>
      </w:tr>
      <w:tr w:rsidR="002B55E9" w:rsidRPr="002B55E9" w14:paraId="09B29507" w14:textId="77777777" w:rsidTr="00523135">
        <w:trPr>
          <w:trHeight w:val="283"/>
        </w:trPr>
        <w:tc>
          <w:tcPr>
            <w:tcW w:w="594" w:type="dxa"/>
          </w:tcPr>
          <w:p w14:paraId="12D3359B" w14:textId="6C94FAE0" w:rsidR="00523135" w:rsidRPr="002B55E9" w:rsidRDefault="00523135" w:rsidP="00523135">
            <w:pPr>
              <w:pStyle w:val="lgy-"/>
              <w:rPr>
                <w:rFonts w:eastAsia="宋体"/>
              </w:rPr>
            </w:pPr>
            <w:r w:rsidRPr="002B55E9">
              <w:rPr>
                <w:rFonts w:eastAsia="宋体" w:hint="eastAsia"/>
              </w:rPr>
              <w:t>1</w:t>
            </w:r>
            <w:r w:rsidRPr="002B55E9">
              <w:rPr>
                <w:rFonts w:eastAsia="宋体"/>
              </w:rPr>
              <w:t>3</w:t>
            </w:r>
          </w:p>
        </w:tc>
        <w:tc>
          <w:tcPr>
            <w:tcW w:w="2267" w:type="dxa"/>
          </w:tcPr>
          <w:p w14:paraId="4BBC24AB" w14:textId="77777777" w:rsidR="00523135" w:rsidRPr="002B55E9" w:rsidRDefault="00523135" w:rsidP="00523135">
            <w:pPr>
              <w:pStyle w:val="lgy-"/>
              <w:rPr>
                <w:rFonts w:eastAsia="宋体"/>
              </w:rPr>
            </w:pPr>
            <w:r w:rsidRPr="002B55E9">
              <w:rPr>
                <w:rFonts w:eastAsia="宋体" w:hint="eastAsia"/>
              </w:rPr>
              <w:t>废机油</w:t>
            </w:r>
          </w:p>
        </w:tc>
        <w:tc>
          <w:tcPr>
            <w:tcW w:w="833" w:type="dxa"/>
          </w:tcPr>
          <w:p w14:paraId="0BD79827"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W08</w:t>
            </w:r>
          </w:p>
        </w:tc>
        <w:tc>
          <w:tcPr>
            <w:tcW w:w="1365" w:type="dxa"/>
          </w:tcPr>
          <w:p w14:paraId="68F4D673"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00-214-08</w:t>
            </w:r>
          </w:p>
        </w:tc>
        <w:tc>
          <w:tcPr>
            <w:tcW w:w="1037" w:type="dxa"/>
          </w:tcPr>
          <w:p w14:paraId="13D3E228" w14:textId="77777777" w:rsidR="00523135" w:rsidRPr="002B55E9" w:rsidRDefault="00523135" w:rsidP="00523135">
            <w:pPr>
              <w:pStyle w:val="lgy-"/>
              <w:rPr>
                <w:rFonts w:eastAsia="宋体"/>
              </w:rPr>
            </w:pPr>
            <w:r w:rsidRPr="002B55E9">
              <w:rPr>
                <w:rFonts w:eastAsia="宋体" w:hint="eastAsia"/>
              </w:rPr>
              <w:t>0</w:t>
            </w:r>
            <w:r w:rsidRPr="002B55E9">
              <w:rPr>
                <w:rFonts w:eastAsia="宋体"/>
              </w:rPr>
              <w:t>.5</w:t>
            </w:r>
          </w:p>
        </w:tc>
        <w:tc>
          <w:tcPr>
            <w:tcW w:w="1644" w:type="dxa"/>
          </w:tcPr>
          <w:p w14:paraId="4297CCFB" w14:textId="77777777" w:rsidR="00523135" w:rsidRPr="002B55E9" w:rsidRDefault="00523135" w:rsidP="00523135">
            <w:pPr>
              <w:pStyle w:val="lgy-"/>
              <w:rPr>
                <w:rFonts w:eastAsia="宋体"/>
              </w:rPr>
            </w:pPr>
            <w:r w:rsidRPr="002B55E9">
              <w:rPr>
                <w:rFonts w:eastAsia="宋体" w:hint="eastAsia"/>
              </w:rPr>
              <w:t>设备检修</w:t>
            </w:r>
          </w:p>
        </w:tc>
        <w:tc>
          <w:tcPr>
            <w:tcW w:w="1897" w:type="dxa"/>
            <w:vMerge/>
          </w:tcPr>
          <w:p w14:paraId="549F98B7" w14:textId="77777777" w:rsidR="00523135" w:rsidRPr="002B55E9" w:rsidRDefault="00523135" w:rsidP="00523135">
            <w:pPr>
              <w:pStyle w:val="lgy-"/>
              <w:rPr>
                <w:rFonts w:eastAsia="宋体"/>
              </w:rPr>
            </w:pPr>
          </w:p>
        </w:tc>
      </w:tr>
      <w:tr w:rsidR="002B55E9" w:rsidRPr="002B55E9" w14:paraId="505762BC" w14:textId="77777777" w:rsidTr="00523135">
        <w:trPr>
          <w:trHeight w:val="283"/>
        </w:trPr>
        <w:tc>
          <w:tcPr>
            <w:tcW w:w="594" w:type="dxa"/>
          </w:tcPr>
          <w:p w14:paraId="230BDA47" w14:textId="636661CE" w:rsidR="00523135" w:rsidRPr="002B55E9" w:rsidRDefault="00523135" w:rsidP="00523135">
            <w:pPr>
              <w:pStyle w:val="lgy-"/>
              <w:rPr>
                <w:rFonts w:eastAsia="宋体"/>
              </w:rPr>
            </w:pPr>
            <w:r w:rsidRPr="002B55E9">
              <w:rPr>
                <w:rFonts w:eastAsia="宋体" w:hint="eastAsia"/>
              </w:rPr>
              <w:t>14</w:t>
            </w:r>
          </w:p>
        </w:tc>
        <w:tc>
          <w:tcPr>
            <w:tcW w:w="2267" w:type="dxa"/>
          </w:tcPr>
          <w:p w14:paraId="18C19A21" w14:textId="77777777" w:rsidR="00523135" w:rsidRPr="002B55E9" w:rsidRDefault="00523135" w:rsidP="00523135">
            <w:pPr>
              <w:pStyle w:val="lgy-"/>
              <w:rPr>
                <w:rFonts w:eastAsia="宋体"/>
              </w:rPr>
            </w:pPr>
            <w:r w:rsidRPr="002B55E9">
              <w:rPr>
                <w:rFonts w:eastAsia="宋体" w:hint="eastAsia"/>
              </w:rPr>
              <w:t>废含油抹布</w:t>
            </w:r>
          </w:p>
        </w:tc>
        <w:tc>
          <w:tcPr>
            <w:tcW w:w="833" w:type="dxa"/>
          </w:tcPr>
          <w:p w14:paraId="5642B0A4"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577F5673"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00-041-49</w:t>
            </w:r>
          </w:p>
        </w:tc>
        <w:tc>
          <w:tcPr>
            <w:tcW w:w="1037" w:type="dxa"/>
          </w:tcPr>
          <w:p w14:paraId="4B244F92" w14:textId="77777777" w:rsidR="00523135" w:rsidRPr="002B55E9" w:rsidRDefault="00523135" w:rsidP="00523135">
            <w:pPr>
              <w:pStyle w:val="lgy-"/>
              <w:rPr>
                <w:rFonts w:eastAsia="宋体"/>
              </w:rPr>
            </w:pPr>
            <w:r w:rsidRPr="002B55E9">
              <w:rPr>
                <w:rFonts w:eastAsia="宋体" w:hint="eastAsia"/>
              </w:rPr>
              <w:t>0</w:t>
            </w:r>
            <w:r w:rsidRPr="002B55E9">
              <w:rPr>
                <w:rFonts w:eastAsia="宋体"/>
              </w:rPr>
              <w:t>.01</w:t>
            </w:r>
          </w:p>
        </w:tc>
        <w:tc>
          <w:tcPr>
            <w:tcW w:w="1644" w:type="dxa"/>
          </w:tcPr>
          <w:p w14:paraId="4B0D6D0E" w14:textId="77777777" w:rsidR="00523135" w:rsidRPr="002B55E9" w:rsidRDefault="00523135" w:rsidP="00523135">
            <w:pPr>
              <w:pStyle w:val="lgy-"/>
              <w:rPr>
                <w:rFonts w:eastAsia="宋体"/>
              </w:rPr>
            </w:pPr>
            <w:r w:rsidRPr="002B55E9">
              <w:rPr>
                <w:rFonts w:eastAsia="宋体" w:hint="eastAsia"/>
              </w:rPr>
              <w:t>设备检修</w:t>
            </w:r>
          </w:p>
        </w:tc>
        <w:tc>
          <w:tcPr>
            <w:tcW w:w="1897" w:type="dxa"/>
            <w:vMerge/>
          </w:tcPr>
          <w:p w14:paraId="5D1D83D5" w14:textId="77777777" w:rsidR="00523135" w:rsidRPr="002B55E9" w:rsidRDefault="00523135" w:rsidP="00523135">
            <w:pPr>
              <w:pStyle w:val="lgy-"/>
              <w:rPr>
                <w:rFonts w:eastAsia="宋体"/>
              </w:rPr>
            </w:pPr>
          </w:p>
        </w:tc>
      </w:tr>
      <w:tr w:rsidR="002B55E9" w:rsidRPr="002B55E9" w14:paraId="66C631B5" w14:textId="77777777" w:rsidTr="00523135">
        <w:trPr>
          <w:trHeight w:val="283"/>
        </w:trPr>
        <w:tc>
          <w:tcPr>
            <w:tcW w:w="5059" w:type="dxa"/>
            <w:gridSpan w:val="4"/>
          </w:tcPr>
          <w:p w14:paraId="4373B6C4" w14:textId="77777777" w:rsidR="00523135" w:rsidRPr="002B55E9" w:rsidRDefault="00523135" w:rsidP="00523135">
            <w:pPr>
              <w:pStyle w:val="lgy-"/>
              <w:rPr>
                <w:rFonts w:eastAsia="宋体"/>
              </w:rPr>
            </w:pPr>
            <w:r w:rsidRPr="002B55E9">
              <w:rPr>
                <w:rFonts w:eastAsia="宋体"/>
              </w:rPr>
              <w:t>合计</w:t>
            </w:r>
          </w:p>
        </w:tc>
        <w:tc>
          <w:tcPr>
            <w:tcW w:w="1037" w:type="dxa"/>
          </w:tcPr>
          <w:p w14:paraId="49374954" w14:textId="023DC9F1" w:rsidR="00523135" w:rsidRPr="002B55E9" w:rsidRDefault="00523135" w:rsidP="00523135">
            <w:pPr>
              <w:pStyle w:val="lgy-"/>
              <w:rPr>
                <w:rFonts w:eastAsia="宋体"/>
              </w:rPr>
            </w:pPr>
            <w:r w:rsidRPr="002B55E9">
              <w:fldChar w:fldCharType="begin"/>
            </w:r>
            <w:r w:rsidRPr="002B55E9">
              <w:rPr>
                <w:rFonts w:eastAsia="宋体"/>
              </w:rPr>
              <w:instrText xml:space="preserve"> =SUM(ABOVE) </w:instrText>
            </w:r>
            <w:r w:rsidRPr="002B55E9">
              <w:fldChar w:fldCharType="separate"/>
            </w:r>
            <w:r w:rsidRPr="002B55E9">
              <w:rPr>
                <w:rFonts w:eastAsia="宋体"/>
                <w:noProof/>
              </w:rPr>
              <w:t>1161.97</w:t>
            </w:r>
            <w:r w:rsidRPr="002B55E9">
              <w:fldChar w:fldCharType="end"/>
            </w:r>
          </w:p>
        </w:tc>
        <w:tc>
          <w:tcPr>
            <w:tcW w:w="1644" w:type="dxa"/>
          </w:tcPr>
          <w:p w14:paraId="69050A55" w14:textId="77777777" w:rsidR="00523135" w:rsidRPr="002B55E9" w:rsidRDefault="00523135" w:rsidP="00523135">
            <w:pPr>
              <w:pStyle w:val="lgy-"/>
              <w:rPr>
                <w:rFonts w:eastAsia="宋体"/>
              </w:rPr>
            </w:pPr>
            <w:r w:rsidRPr="002B55E9">
              <w:rPr>
                <w:rFonts w:eastAsia="宋体"/>
              </w:rPr>
              <w:t>/</w:t>
            </w:r>
          </w:p>
        </w:tc>
        <w:tc>
          <w:tcPr>
            <w:tcW w:w="1897" w:type="dxa"/>
          </w:tcPr>
          <w:p w14:paraId="016A5186" w14:textId="77777777" w:rsidR="00523135" w:rsidRPr="002B55E9" w:rsidRDefault="00523135" w:rsidP="00523135">
            <w:pPr>
              <w:pStyle w:val="lgy-"/>
              <w:rPr>
                <w:rFonts w:eastAsia="宋体"/>
              </w:rPr>
            </w:pPr>
            <w:r w:rsidRPr="002B55E9">
              <w:rPr>
                <w:rFonts w:eastAsia="宋体"/>
              </w:rPr>
              <w:t>/</w:t>
            </w:r>
          </w:p>
        </w:tc>
      </w:tr>
    </w:tbl>
    <w:p w14:paraId="436E32F1" w14:textId="77777777" w:rsidR="00D170E5" w:rsidRPr="002B55E9" w:rsidRDefault="00EF27AD">
      <w:pPr>
        <w:pStyle w:val="4"/>
        <w:rPr>
          <w:color w:val="auto"/>
        </w:rPr>
      </w:pPr>
      <w:r w:rsidRPr="002B55E9">
        <w:rPr>
          <w:rFonts w:hint="eastAsia"/>
          <w:color w:val="auto"/>
        </w:rPr>
        <w:t>固废处置</w:t>
      </w:r>
      <w:r w:rsidRPr="002B55E9">
        <w:rPr>
          <w:color w:val="auto"/>
        </w:rPr>
        <w:t>原则</w:t>
      </w:r>
    </w:p>
    <w:p w14:paraId="75A52B3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拟建项目产生的工业固废废物按照《中华人民共和国固体废物污染环境防治法》（</w:t>
      </w:r>
      <w:r w:rsidRPr="002B55E9">
        <w:rPr>
          <w:rFonts w:hint="eastAsia"/>
          <w:kern w:val="2"/>
          <w:sz w:val="24"/>
          <w:szCs w:val="22"/>
        </w:rPr>
        <w:t>2020</w:t>
      </w:r>
      <w:r w:rsidRPr="002B55E9">
        <w:rPr>
          <w:rFonts w:hint="eastAsia"/>
          <w:kern w:val="2"/>
          <w:sz w:val="24"/>
          <w:szCs w:val="22"/>
        </w:rPr>
        <w:t>年修订）的相关要求进行设置和管理。相关要求如下：</w:t>
      </w:r>
    </w:p>
    <w:p w14:paraId="5C775A0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1</w:t>
      </w:r>
      <w:r w:rsidRPr="002B55E9">
        <w:rPr>
          <w:rFonts w:hint="eastAsia"/>
          <w:kern w:val="2"/>
          <w:sz w:val="24"/>
          <w:szCs w:val="22"/>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69C6C82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禁止向生活垃圾收集设施中投放工业固体废物。</w:t>
      </w:r>
    </w:p>
    <w:p w14:paraId="09F8ECF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lastRenderedPageBreak/>
        <w:t>（</w:t>
      </w:r>
      <w:r w:rsidRPr="002B55E9">
        <w:rPr>
          <w:rFonts w:hint="eastAsia"/>
          <w:kern w:val="2"/>
          <w:sz w:val="24"/>
          <w:szCs w:val="22"/>
        </w:rPr>
        <w:t>2</w:t>
      </w:r>
      <w:r w:rsidRPr="002B55E9">
        <w:rPr>
          <w:rFonts w:hint="eastAsia"/>
          <w:kern w:val="2"/>
          <w:sz w:val="24"/>
          <w:szCs w:val="22"/>
        </w:rPr>
        <w:t>）产生工业固体废物的单位委托他人运输、利用、处置工业固体废物的，应当对受托方的主体资格和技术能力进行核实，依法签订书面合同，在合同中约定污染防治要求。</w:t>
      </w:r>
    </w:p>
    <w:p w14:paraId="2DA86C9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受托方运输、利用、处置工业固体废物，应当依照有关法律法规的规定和合同约定履行污染防治要求，并将运输、利用、处置情况告知产生工业固体废物的单位。</w:t>
      </w:r>
    </w:p>
    <w:p w14:paraId="3159DB8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产生工业固体废物的单位违反本条第一款规定的，除依照有关法律法规的规定予以处罚外，还应当与造成环境污染和生态破坏的受托方承担连带责任。</w:t>
      </w:r>
    </w:p>
    <w:p w14:paraId="5F47B69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3</w:t>
      </w:r>
      <w:r w:rsidRPr="002B55E9">
        <w:rPr>
          <w:rFonts w:hint="eastAsia"/>
          <w:kern w:val="2"/>
          <w:sz w:val="24"/>
          <w:szCs w:val="22"/>
        </w:rPr>
        <w:t>）产生工业固体废物的单位应当依法实施清洁生产审核，合理选择和利用原材料、能源和其他资源，采用先进的生产工艺和设备，减少工业固体废物的产生量，降低工业固体废物的危害性。</w:t>
      </w:r>
    </w:p>
    <w:p w14:paraId="5D358671"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4</w:t>
      </w:r>
      <w:r w:rsidRPr="002B55E9">
        <w:rPr>
          <w:rFonts w:hint="eastAsia"/>
          <w:kern w:val="2"/>
          <w:sz w:val="24"/>
          <w:szCs w:val="22"/>
        </w:rPr>
        <w:t>）产生工业固体废物的单位应当取得排污许可证。排污许可的具体办法和实施步骤由国务院规定。</w:t>
      </w:r>
    </w:p>
    <w:p w14:paraId="69737BF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0E6851B6"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5</w:t>
      </w:r>
      <w:r w:rsidRPr="002B55E9">
        <w:rPr>
          <w:rFonts w:hint="eastAsia"/>
          <w:kern w:val="2"/>
          <w:sz w:val="24"/>
          <w:szCs w:val="22"/>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53135A7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建设工业固体废物贮存、处置的设施、场所，应当符合国家环境保护标准。</w:t>
      </w:r>
    </w:p>
    <w:p w14:paraId="2881FBD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6</w:t>
      </w:r>
      <w:r w:rsidRPr="002B55E9">
        <w:rPr>
          <w:rFonts w:hint="eastAsia"/>
          <w:kern w:val="2"/>
          <w:sz w:val="24"/>
          <w:szCs w:val="22"/>
        </w:rPr>
        <w:t>）产生工业固体废物的单位终止的，应当在终止前对工业固体废物的贮存、处置的设施、场所采取污染防治措施，并对未处置的工业固体废物作出妥善处置，防止污染环境。</w:t>
      </w:r>
    </w:p>
    <w:p w14:paraId="1DA74FE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w:t>
      </w:r>
    </w:p>
    <w:p w14:paraId="36B23BB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防治责任另有约定的，从其约定；但是，不得免除当事人的污染防治义务。</w:t>
      </w:r>
    </w:p>
    <w:p w14:paraId="6EA9EF03"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7</w:t>
      </w:r>
      <w:r w:rsidRPr="002B55E9">
        <w:rPr>
          <w:rFonts w:hint="eastAsia"/>
          <w:kern w:val="2"/>
          <w:sz w:val="24"/>
          <w:szCs w:val="22"/>
        </w:rPr>
        <w:t>）建立检查维护制度：定期检查维护导流渠等设施，发现有损坏可能或异常，应及时采取必要措施，以保障正常运行。</w:t>
      </w:r>
    </w:p>
    <w:p w14:paraId="084338E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8</w:t>
      </w:r>
      <w:r w:rsidRPr="002B55E9">
        <w:rPr>
          <w:rFonts w:hint="eastAsia"/>
          <w:kern w:val="2"/>
          <w:sz w:val="24"/>
          <w:szCs w:val="22"/>
        </w:rPr>
        <w:t>）建立档案制度：应将入场的一般工业固体废物的种类和数量以及检查维护资料，详细记录在案，台账长期保存，供随时查阅。</w:t>
      </w:r>
    </w:p>
    <w:p w14:paraId="15E9F41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lastRenderedPageBreak/>
        <w:t>（</w:t>
      </w:r>
      <w:r w:rsidRPr="002B55E9">
        <w:rPr>
          <w:rFonts w:hint="eastAsia"/>
          <w:kern w:val="2"/>
          <w:sz w:val="24"/>
          <w:szCs w:val="22"/>
        </w:rPr>
        <w:t>9</w:t>
      </w:r>
      <w:r w:rsidRPr="002B55E9">
        <w:rPr>
          <w:rFonts w:hint="eastAsia"/>
          <w:kern w:val="2"/>
          <w:sz w:val="24"/>
          <w:szCs w:val="22"/>
        </w:rPr>
        <w:t>）境保护图形标志维护：应按</w:t>
      </w:r>
      <w:r w:rsidRPr="002B55E9">
        <w:rPr>
          <w:rFonts w:hint="eastAsia"/>
          <w:kern w:val="2"/>
          <w:sz w:val="24"/>
          <w:szCs w:val="22"/>
        </w:rPr>
        <w:t>GB15562.2</w:t>
      </w:r>
      <w:r w:rsidRPr="002B55E9">
        <w:rPr>
          <w:rFonts w:hint="eastAsia"/>
          <w:kern w:val="2"/>
          <w:sz w:val="24"/>
          <w:szCs w:val="22"/>
        </w:rPr>
        <w:t>规定进行检查和维护。</w:t>
      </w:r>
    </w:p>
    <w:p w14:paraId="4B451255" w14:textId="77777777" w:rsidR="00D170E5" w:rsidRPr="002B55E9" w:rsidRDefault="00EF27AD">
      <w:pPr>
        <w:pStyle w:val="4"/>
        <w:rPr>
          <w:color w:val="auto"/>
        </w:rPr>
      </w:pPr>
      <w:r w:rsidRPr="002B55E9">
        <w:rPr>
          <w:rFonts w:hint="eastAsia"/>
          <w:color w:val="auto"/>
        </w:rPr>
        <w:t>一般</w:t>
      </w:r>
      <w:r w:rsidRPr="002B55E9">
        <w:rPr>
          <w:color w:val="auto"/>
        </w:rPr>
        <w:t>固体废物污染</w:t>
      </w:r>
      <w:r w:rsidRPr="002B55E9">
        <w:rPr>
          <w:rFonts w:hint="eastAsia"/>
          <w:color w:val="auto"/>
        </w:rPr>
        <w:t>环境影响分析</w:t>
      </w:r>
    </w:p>
    <w:p w14:paraId="33DD1EC5" w14:textId="77777777" w:rsidR="00D170E5" w:rsidRPr="002B55E9" w:rsidRDefault="00EF27AD">
      <w:pPr>
        <w:pStyle w:val="aa"/>
      </w:pPr>
      <w:r w:rsidRPr="002B55E9">
        <w:rPr>
          <w:rFonts w:hint="eastAsia"/>
        </w:rPr>
        <w:t>根据《中华人民共和国固体废物污染环境防治法》第三十八条：产生工业固体废物的单位应当依法实施清洁生产审核，合理选择和利用原材料、能源和其他资源，采用先进的生产工艺和设备，减少工业固体废物的产生量，降低工业固体废物的危害性。拟建项目通过落实固废储存、转移要求及台账管理制度等，不会对周围环境造成影响。</w:t>
      </w:r>
    </w:p>
    <w:p w14:paraId="44F247E1" w14:textId="4B7C764A" w:rsidR="00D170E5" w:rsidRPr="002B55E9" w:rsidRDefault="00EF27AD">
      <w:pPr>
        <w:pStyle w:val="aa"/>
      </w:pPr>
      <w:r w:rsidRPr="002B55E9">
        <w:rPr>
          <w:rFonts w:hint="eastAsia"/>
        </w:rPr>
        <w:t>本项目</w:t>
      </w:r>
      <w:r w:rsidRPr="002B55E9">
        <w:t>于十</w:t>
      </w:r>
      <w:r w:rsidRPr="002B55E9">
        <w:rPr>
          <w:rFonts w:hint="eastAsia"/>
        </w:rPr>
        <w:t>三</w:t>
      </w:r>
      <w:r w:rsidRPr="002B55E9">
        <w:t>车间内设置</w:t>
      </w:r>
      <w:r w:rsidRPr="002B55E9">
        <w:rPr>
          <w:rFonts w:hint="eastAsia"/>
        </w:rPr>
        <w:t>面积</w:t>
      </w:r>
      <w:r w:rsidRPr="002B55E9">
        <w:t>为</w:t>
      </w:r>
      <w:r w:rsidRPr="002B55E9">
        <w:rPr>
          <w:rFonts w:hint="eastAsia"/>
        </w:rPr>
        <w:t>280</w:t>
      </w:r>
      <w:r w:rsidRPr="002B55E9">
        <w:t>m</w:t>
      </w:r>
      <w:r w:rsidRPr="002B55E9">
        <w:rPr>
          <w:vertAlign w:val="superscript"/>
        </w:rPr>
        <w:t>2</w:t>
      </w:r>
      <w:r w:rsidRPr="002B55E9">
        <w:rPr>
          <w:rFonts w:hint="eastAsia"/>
        </w:rPr>
        <w:t>的滤渣暂存间用于</w:t>
      </w:r>
      <w:r w:rsidRPr="002B55E9">
        <w:t>存放过滤残渣</w:t>
      </w:r>
      <w:r w:rsidRPr="002B55E9">
        <w:rPr>
          <w:rFonts w:hint="eastAsia"/>
        </w:rPr>
        <w:t>以及</w:t>
      </w:r>
      <w:r w:rsidRPr="002B55E9">
        <w:t>其他一般固体废物，定期委托</w:t>
      </w:r>
      <w:r w:rsidRPr="002B55E9">
        <w:rPr>
          <w:rFonts w:hint="eastAsia"/>
        </w:rPr>
        <w:t>合作</w:t>
      </w:r>
      <w:r w:rsidRPr="002B55E9">
        <w:t>单位清运，</w:t>
      </w:r>
      <w:r w:rsidRPr="002B55E9">
        <w:rPr>
          <w:rFonts w:hint="eastAsia"/>
        </w:rPr>
        <w:t>在合理</w:t>
      </w:r>
      <w:r w:rsidRPr="002B55E9">
        <w:t>安排转运频次的前提下</w:t>
      </w:r>
      <w:r w:rsidRPr="002B55E9">
        <w:rPr>
          <w:rFonts w:hint="eastAsia"/>
        </w:rPr>
        <w:t>项目</w:t>
      </w:r>
      <w:r w:rsidRPr="002B55E9">
        <w:t>一般固废</w:t>
      </w:r>
      <w:r w:rsidRPr="002B55E9">
        <w:rPr>
          <w:rFonts w:hint="eastAsia"/>
        </w:rPr>
        <w:t>贮存</w:t>
      </w:r>
      <w:r w:rsidRPr="002B55E9">
        <w:t>能力能够满足需求。</w:t>
      </w:r>
    </w:p>
    <w:p w14:paraId="1DBC5430" w14:textId="77777777" w:rsidR="00D170E5" w:rsidRPr="002B55E9" w:rsidRDefault="00EF27AD">
      <w:pPr>
        <w:pStyle w:val="4"/>
        <w:rPr>
          <w:color w:val="auto"/>
        </w:rPr>
      </w:pPr>
      <w:r w:rsidRPr="002B55E9">
        <w:rPr>
          <w:rFonts w:hint="eastAsia"/>
          <w:color w:val="auto"/>
        </w:rPr>
        <w:t>危险废物环境影响分析</w:t>
      </w:r>
    </w:p>
    <w:p w14:paraId="5CF679EC" w14:textId="77777777" w:rsidR="00D170E5" w:rsidRPr="002B55E9" w:rsidRDefault="00EF27AD">
      <w:pPr>
        <w:pStyle w:val="5"/>
      </w:pPr>
      <w:r w:rsidRPr="002B55E9">
        <w:rPr>
          <w:rFonts w:hint="eastAsia"/>
        </w:rPr>
        <w:t>危险废物</w:t>
      </w:r>
      <w:r w:rsidRPr="002B55E9">
        <w:t>产生情况</w:t>
      </w:r>
    </w:p>
    <w:p w14:paraId="76B02D52" w14:textId="5C4197EB" w:rsidR="00D170E5" w:rsidRPr="002B55E9" w:rsidRDefault="00EF27AD">
      <w:pPr>
        <w:pStyle w:val="affff7"/>
        <w:snapToGrid w:val="0"/>
        <w:spacing w:after="0"/>
      </w:pPr>
      <w:r w:rsidRPr="002B55E9">
        <w:rPr>
          <w:rFonts w:hint="eastAsia"/>
        </w:rPr>
        <w:t>拟建项目危险废物暂存及回收利用环境影响要素见</w:t>
      </w:r>
      <w:r w:rsidR="00362261" w:rsidRPr="002B55E9">
        <w:rPr>
          <w:rFonts w:hint="eastAsia"/>
        </w:rPr>
        <w:t>下</w:t>
      </w:r>
      <w:r w:rsidRPr="002B55E9">
        <w:rPr>
          <w:rFonts w:hint="eastAsia"/>
        </w:rPr>
        <w:t>表。</w:t>
      </w:r>
      <w:r w:rsidRPr="002B55E9">
        <w:rPr>
          <w:rFonts w:hint="eastAsia"/>
        </w:rPr>
        <w:t xml:space="preserve"> </w:t>
      </w:r>
    </w:p>
    <w:p w14:paraId="4E404166" w14:textId="550C87E2" w:rsidR="00D170E5" w:rsidRPr="002B55E9" w:rsidRDefault="00EF27AD">
      <w:pPr>
        <w:pStyle w:val="1f3"/>
        <w:spacing w:beforeLines="0" w:before="0"/>
      </w:pPr>
      <w:r w:rsidRPr="002B55E9">
        <w:rPr>
          <w:rFonts w:hint="eastAsia"/>
        </w:rPr>
        <w:t>表</w:t>
      </w:r>
      <w:r w:rsidRPr="002B55E9">
        <w:rPr>
          <w:rFonts w:hint="eastAsia"/>
        </w:rPr>
        <w:t>5-5-</w:t>
      </w:r>
      <w:r w:rsidR="00362261" w:rsidRPr="002B55E9">
        <w:t>2</w:t>
      </w:r>
      <w:r w:rsidRPr="002B55E9">
        <w:rPr>
          <w:rFonts w:hint="eastAsia"/>
        </w:rPr>
        <w:t xml:space="preserve">  </w:t>
      </w:r>
      <w:r w:rsidRPr="002B55E9">
        <w:rPr>
          <w:rFonts w:hint="eastAsia"/>
        </w:rPr>
        <w:t>拟建项目危险废物暂存及利用环境影响因素识别一览表</w:t>
      </w:r>
    </w:p>
    <w:tbl>
      <w:tblPr>
        <w:tblStyle w:val="lgy2"/>
        <w:tblW w:w="5000" w:type="pct"/>
        <w:tblLayout w:type="fixed"/>
        <w:tblCellMar>
          <w:left w:w="28" w:type="dxa"/>
          <w:right w:w="28" w:type="dxa"/>
        </w:tblCellMar>
        <w:tblLook w:val="04A0" w:firstRow="1" w:lastRow="0" w:firstColumn="1" w:lastColumn="0" w:noHBand="0" w:noVBand="1"/>
      </w:tblPr>
      <w:tblGrid>
        <w:gridCol w:w="463"/>
        <w:gridCol w:w="1231"/>
        <w:gridCol w:w="729"/>
        <w:gridCol w:w="857"/>
        <w:gridCol w:w="713"/>
        <w:gridCol w:w="1064"/>
        <w:gridCol w:w="514"/>
        <w:gridCol w:w="1131"/>
        <w:gridCol w:w="855"/>
        <w:gridCol w:w="855"/>
        <w:gridCol w:w="1281"/>
      </w:tblGrid>
      <w:tr w:rsidR="002B55E9" w:rsidRPr="002B55E9" w14:paraId="47240255"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460" w:type="dxa"/>
            <w:vMerge w:val="restart"/>
          </w:tcPr>
          <w:p w14:paraId="1219CA29" w14:textId="77777777" w:rsidR="00D170E5" w:rsidRPr="002B55E9" w:rsidRDefault="00EF27AD">
            <w:pPr>
              <w:pStyle w:val="lgy-"/>
            </w:pPr>
            <w:r w:rsidRPr="002B55E9">
              <w:rPr>
                <w:rFonts w:eastAsia="宋体" w:hint="eastAsia"/>
              </w:rPr>
              <w:t>编号</w:t>
            </w:r>
          </w:p>
        </w:tc>
        <w:tc>
          <w:tcPr>
            <w:tcW w:w="1224" w:type="dxa"/>
            <w:vMerge w:val="restart"/>
          </w:tcPr>
          <w:p w14:paraId="026D5426" w14:textId="77777777" w:rsidR="00D170E5" w:rsidRPr="002B55E9" w:rsidRDefault="00EF27AD" w:rsidP="00EF27AD">
            <w:pPr>
              <w:pStyle w:val="lgy-"/>
            </w:pPr>
            <w:r w:rsidRPr="002B55E9">
              <w:rPr>
                <w:rFonts w:eastAsia="宋体" w:hint="eastAsia"/>
              </w:rPr>
              <w:t>危险废物名称</w:t>
            </w:r>
          </w:p>
        </w:tc>
        <w:tc>
          <w:tcPr>
            <w:tcW w:w="725" w:type="dxa"/>
            <w:vMerge w:val="restart"/>
          </w:tcPr>
          <w:p w14:paraId="3741F3B2" w14:textId="77777777" w:rsidR="00D170E5" w:rsidRPr="002B55E9" w:rsidRDefault="00EF27AD">
            <w:pPr>
              <w:pStyle w:val="lgy-"/>
            </w:pPr>
            <w:r w:rsidRPr="002B55E9">
              <w:rPr>
                <w:rFonts w:eastAsia="宋体" w:hint="eastAsia"/>
              </w:rPr>
              <w:t>危险废物类别</w:t>
            </w:r>
          </w:p>
        </w:tc>
        <w:tc>
          <w:tcPr>
            <w:tcW w:w="852" w:type="dxa"/>
            <w:vMerge w:val="restart"/>
          </w:tcPr>
          <w:p w14:paraId="782ECEDA" w14:textId="77777777" w:rsidR="00D170E5" w:rsidRPr="002B55E9" w:rsidRDefault="00EF27AD">
            <w:pPr>
              <w:pStyle w:val="lgy-"/>
            </w:pPr>
            <w:r w:rsidRPr="002B55E9">
              <w:rPr>
                <w:rFonts w:eastAsia="宋体" w:hint="eastAsia"/>
              </w:rPr>
              <w:t>危险废物代码</w:t>
            </w:r>
          </w:p>
        </w:tc>
        <w:tc>
          <w:tcPr>
            <w:tcW w:w="709" w:type="dxa"/>
            <w:vMerge w:val="restart"/>
          </w:tcPr>
          <w:p w14:paraId="36C27436" w14:textId="77777777" w:rsidR="00D170E5" w:rsidRPr="002B55E9" w:rsidRDefault="00EF27AD">
            <w:pPr>
              <w:pStyle w:val="lgy-"/>
              <w:rPr>
                <w:rFonts w:eastAsia="宋体"/>
              </w:rPr>
            </w:pPr>
            <w:r w:rsidRPr="002B55E9">
              <w:rPr>
                <w:rFonts w:eastAsia="宋体"/>
              </w:rPr>
              <w:t>产生量</w:t>
            </w:r>
          </w:p>
          <w:p w14:paraId="5CF10E90" w14:textId="77777777" w:rsidR="00D170E5" w:rsidRPr="002B55E9" w:rsidRDefault="00EF27AD">
            <w:pPr>
              <w:pStyle w:val="lgy-"/>
            </w:pPr>
            <w:r w:rsidRPr="002B55E9">
              <w:rPr>
                <w:rFonts w:eastAsia="宋体"/>
              </w:rPr>
              <w:t>（</w:t>
            </w:r>
            <w:r w:rsidRPr="002B55E9">
              <w:rPr>
                <w:rFonts w:eastAsia="宋体"/>
              </w:rPr>
              <w:t>t/a</w:t>
            </w:r>
            <w:r w:rsidRPr="002B55E9">
              <w:rPr>
                <w:rFonts w:eastAsia="宋体"/>
              </w:rPr>
              <w:t>）</w:t>
            </w:r>
          </w:p>
        </w:tc>
        <w:tc>
          <w:tcPr>
            <w:tcW w:w="1058" w:type="dxa"/>
            <w:vMerge w:val="restart"/>
          </w:tcPr>
          <w:p w14:paraId="26C88713" w14:textId="77777777" w:rsidR="00D170E5" w:rsidRPr="002B55E9" w:rsidRDefault="00EF27AD">
            <w:pPr>
              <w:pStyle w:val="lgy-"/>
            </w:pPr>
            <w:r w:rsidRPr="002B55E9">
              <w:rPr>
                <w:rFonts w:eastAsia="宋体" w:hint="eastAsia"/>
              </w:rPr>
              <w:t>产生工序及位置</w:t>
            </w:r>
          </w:p>
        </w:tc>
        <w:tc>
          <w:tcPr>
            <w:tcW w:w="511" w:type="dxa"/>
            <w:vMerge w:val="restart"/>
          </w:tcPr>
          <w:p w14:paraId="75F2B8CB" w14:textId="77777777" w:rsidR="00D170E5" w:rsidRPr="002B55E9" w:rsidRDefault="00EF27AD">
            <w:pPr>
              <w:pStyle w:val="lgy-"/>
            </w:pPr>
            <w:r w:rsidRPr="002B55E9">
              <w:rPr>
                <w:rFonts w:eastAsia="宋体" w:hint="eastAsia"/>
              </w:rPr>
              <w:t>形态</w:t>
            </w:r>
          </w:p>
        </w:tc>
        <w:tc>
          <w:tcPr>
            <w:tcW w:w="1124" w:type="dxa"/>
            <w:vMerge w:val="restart"/>
          </w:tcPr>
          <w:p w14:paraId="7BA83C3A" w14:textId="77777777" w:rsidR="00D170E5" w:rsidRPr="002B55E9" w:rsidRDefault="00EF27AD">
            <w:pPr>
              <w:pStyle w:val="lgy-"/>
            </w:pPr>
            <w:r w:rsidRPr="002B55E9">
              <w:rPr>
                <w:rFonts w:eastAsia="宋体" w:hint="eastAsia"/>
              </w:rPr>
              <w:t>有害成分</w:t>
            </w:r>
          </w:p>
        </w:tc>
        <w:tc>
          <w:tcPr>
            <w:tcW w:w="850" w:type="dxa"/>
            <w:vMerge w:val="restart"/>
          </w:tcPr>
          <w:p w14:paraId="001B8046" w14:textId="77777777" w:rsidR="00D170E5" w:rsidRPr="002B55E9" w:rsidRDefault="00EF27AD">
            <w:pPr>
              <w:pStyle w:val="lgy-"/>
            </w:pPr>
            <w:r w:rsidRPr="002B55E9">
              <w:rPr>
                <w:rFonts w:eastAsia="宋体" w:hint="eastAsia"/>
              </w:rPr>
              <w:t>产废周期</w:t>
            </w:r>
          </w:p>
        </w:tc>
        <w:tc>
          <w:tcPr>
            <w:tcW w:w="2124" w:type="dxa"/>
            <w:gridSpan w:val="2"/>
          </w:tcPr>
          <w:p w14:paraId="3A14B301" w14:textId="77777777" w:rsidR="00D170E5" w:rsidRPr="002B55E9" w:rsidRDefault="00EF27AD">
            <w:pPr>
              <w:pStyle w:val="lgy-"/>
              <w:rPr>
                <w:rFonts w:eastAsia="宋体"/>
              </w:rPr>
            </w:pPr>
            <w:r w:rsidRPr="002B55E9">
              <w:rPr>
                <w:rFonts w:eastAsia="宋体" w:hint="eastAsia"/>
              </w:rPr>
              <w:t>环境影响因素识别</w:t>
            </w:r>
          </w:p>
        </w:tc>
      </w:tr>
      <w:tr w:rsidR="002B55E9" w:rsidRPr="002B55E9" w14:paraId="416EFFFC" w14:textId="77777777" w:rsidTr="00EF27AD">
        <w:trPr>
          <w:trHeight w:val="283"/>
        </w:trPr>
        <w:tc>
          <w:tcPr>
            <w:tcW w:w="460" w:type="dxa"/>
            <w:vMerge/>
          </w:tcPr>
          <w:p w14:paraId="4B7A5E5B" w14:textId="77777777" w:rsidR="00D170E5" w:rsidRPr="002B55E9" w:rsidRDefault="00D170E5">
            <w:pPr>
              <w:pStyle w:val="lgy-"/>
            </w:pPr>
          </w:p>
        </w:tc>
        <w:tc>
          <w:tcPr>
            <w:tcW w:w="1224" w:type="dxa"/>
            <w:vMerge/>
          </w:tcPr>
          <w:p w14:paraId="30829CFB" w14:textId="77777777" w:rsidR="00D170E5" w:rsidRPr="002B55E9" w:rsidRDefault="00D170E5">
            <w:pPr>
              <w:pStyle w:val="lgy-"/>
            </w:pPr>
          </w:p>
        </w:tc>
        <w:tc>
          <w:tcPr>
            <w:tcW w:w="725" w:type="dxa"/>
            <w:vMerge/>
          </w:tcPr>
          <w:p w14:paraId="1DCD0D72" w14:textId="77777777" w:rsidR="00D170E5" w:rsidRPr="002B55E9" w:rsidRDefault="00D170E5">
            <w:pPr>
              <w:pStyle w:val="lgy-"/>
            </w:pPr>
          </w:p>
        </w:tc>
        <w:tc>
          <w:tcPr>
            <w:tcW w:w="852" w:type="dxa"/>
            <w:vMerge/>
          </w:tcPr>
          <w:p w14:paraId="5E899419" w14:textId="77777777" w:rsidR="00D170E5" w:rsidRPr="002B55E9" w:rsidRDefault="00D170E5">
            <w:pPr>
              <w:pStyle w:val="lgy-"/>
            </w:pPr>
          </w:p>
        </w:tc>
        <w:tc>
          <w:tcPr>
            <w:tcW w:w="709" w:type="dxa"/>
            <w:vMerge/>
          </w:tcPr>
          <w:p w14:paraId="5F035A12" w14:textId="77777777" w:rsidR="00D170E5" w:rsidRPr="002B55E9" w:rsidRDefault="00D170E5">
            <w:pPr>
              <w:pStyle w:val="lgy-"/>
            </w:pPr>
          </w:p>
        </w:tc>
        <w:tc>
          <w:tcPr>
            <w:tcW w:w="1058" w:type="dxa"/>
            <w:vMerge/>
          </w:tcPr>
          <w:p w14:paraId="1EA36053" w14:textId="77777777" w:rsidR="00D170E5" w:rsidRPr="002B55E9" w:rsidRDefault="00D170E5">
            <w:pPr>
              <w:pStyle w:val="lgy-"/>
            </w:pPr>
          </w:p>
        </w:tc>
        <w:tc>
          <w:tcPr>
            <w:tcW w:w="511" w:type="dxa"/>
            <w:vMerge/>
          </w:tcPr>
          <w:p w14:paraId="7CB30652" w14:textId="77777777" w:rsidR="00D170E5" w:rsidRPr="002B55E9" w:rsidRDefault="00D170E5">
            <w:pPr>
              <w:pStyle w:val="lgy-"/>
            </w:pPr>
          </w:p>
        </w:tc>
        <w:tc>
          <w:tcPr>
            <w:tcW w:w="1124" w:type="dxa"/>
            <w:vMerge/>
          </w:tcPr>
          <w:p w14:paraId="7B068480" w14:textId="77777777" w:rsidR="00D170E5" w:rsidRPr="002B55E9" w:rsidRDefault="00D170E5">
            <w:pPr>
              <w:pStyle w:val="lgy-"/>
            </w:pPr>
          </w:p>
        </w:tc>
        <w:tc>
          <w:tcPr>
            <w:tcW w:w="850" w:type="dxa"/>
            <w:vMerge/>
          </w:tcPr>
          <w:p w14:paraId="4416277F" w14:textId="77777777" w:rsidR="00D170E5" w:rsidRPr="002B55E9" w:rsidRDefault="00D170E5">
            <w:pPr>
              <w:pStyle w:val="lgy-"/>
            </w:pPr>
          </w:p>
        </w:tc>
        <w:tc>
          <w:tcPr>
            <w:tcW w:w="850" w:type="dxa"/>
          </w:tcPr>
          <w:p w14:paraId="20F61CDD" w14:textId="77777777" w:rsidR="00D170E5" w:rsidRPr="002B55E9" w:rsidRDefault="00EF27AD">
            <w:pPr>
              <w:pStyle w:val="lgy-"/>
            </w:pPr>
            <w:r w:rsidRPr="002B55E9">
              <w:rPr>
                <w:rFonts w:eastAsia="宋体" w:hint="eastAsia"/>
              </w:rPr>
              <w:t>正常工况</w:t>
            </w:r>
          </w:p>
        </w:tc>
        <w:tc>
          <w:tcPr>
            <w:tcW w:w="1274" w:type="dxa"/>
          </w:tcPr>
          <w:p w14:paraId="1CBE0914" w14:textId="77777777" w:rsidR="00D170E5" w:rsidRPr="002B55E9" w:rsidRDefault="00EF27AD">
            <w:pPr>
              <w:pStyle w:val="lgy-"/>
              <w:rPr>
                <w:rFonts w:eastAsia="宋体"/>
              </w:rPr>
            </w:pPr>
            <w:r w:rsidRPr="002B55E9">
              <w:rPr>
                <w:rFonts w:eastAsia="宋体" w:hint="eastAsia"/>
              </w:rPr>
              <w:t>潜在风险</w:t>
            </w:r>
          </w:p>
        </w:tc>
      </w:tr>
      <w:tr w:rsidR="002B55E9" w:rsidRPr="002B55E9" w14:paraId="38D7BDE8" w14:textId="77777777" w:rsidTr="00EF27AD">
        <w:trPr>
          <w:trHeight w:val="283"/>
        </w:trPr>
        <w:tc>
          <w:tcPr>
            <w:tcW w:w="460" w:type="dxa"/>
          </w:tcPr>
          <w:p w14:paraId="5A5F3778" w14:textId="77777777" w:rsidR="00D170E5" w:rsidRPr="002B55E9" w:rsidRDefault="00EF27AD">
            <w:pPr>
              <w:pStyle w:val="lgy-"/>
            </w:pPr>
            <w:r w:rsidRPr="002B55E9">
              <w:rPr>
                <w:rFonts w:eastAsia="宋体"/>
              </w:rPr>
              <w:t>1</w:t>
            </w:r>
          </w:p>
        </w:tc>
        <w:tc>
          <w:tcPr>
            <w:tcW w:w="1224" w:type="dxa"/>
          </w:tcPr>
          <w:p w14:paraId="11DFD708" w14:textId="77777777" w:rsidR="00D170E5" w:rsidRPr="002B55E9" w:rsidRDefault="00EF27AD">
            <w:pPr>
              <w:pStyle w:val="lgy-"/>
            </w:pPr>
            <w:r w:rsidRPr="002B55E9">
              <w:rPr>
                <w:rFonts w:eastAsia="宋体" w:hint="eastAsia"/>
              </w:rPr>
              <w:t>废油墨桶、废墨盒、废胶粘剂桶等</w:t>
            </w:r>
          </w:p>
        </w:tc>
        <w:tc>
          <w:tcPr>
            <w:tcW w:w="725" w:type="dxa"/>
          </w:tcPr>
          <w:p w14:paraId="5348F89D" w14:textId="77777777" w:rsidR="00D170E5" w:rsidRPr="002B55E9" w:rsidRDefault="00EF27AD">
            <w:pPr>
              <w:pStyle w:val="lgy-"/>
            </w:pPr>
            <w:r w:rsidRPr="002B55E9">
              <w:rPr>
                <w:rFonts w:eastAsia="宋体" w:hint="eastAsia"/>
              </w:rPr>
              <w:t>H</w:t>
            </w:r>
            <w:r w:rsidRPr="002B55E9">
              <w:rPr>
                <w:rFonts w:eastAsia="宋体"/>
              </w:rPr>
              <w:t>W49</w:t>
            </w:r>
          </w:p>
        </w:tc>
        <w:tc>
          <w:tcPr>
            <w:tcW w:w="852" w:type="dxa"/>
          </w:tcPr>
          <w:p w14:paraId="31768D68" w14:textId="77777777" w:rsidR="00D170E5" w:rsidRPr="002B55E9" w:rsidRDefault="00EF27AD">
            <w:pPr>
              <w:pStyle w:val="lgy-"/>
            </w:pPr>
            <w:r w:rsidRPr="002B55E9">
              <w:rPr>
                <w:rFonts w:eastAsia="宋体" w:hint="eastAsia"/>
              </w:rPr>
              <w:t>9</w:t>
            </w:r>
            <w:r w:rsidRPr="002B55E9">
              <w:rPr>
                <w:rFonts w:eastAsia="宋体"/>
              </w:rPr>
              <w:t>00-041-49</w:t>
            </w:r>
          </w:p>
        </w:tc>
        <w:tc>
          <w:tcPr>
            <w:tcW w:w="709" w:type="dxa"/>
          </w:tcPr>
          <w:p w14:paraId="2C1B979D" w14:textId="77777777" w:rsidR="00D170E5" w:rsidRPr="002B55E9" w:rsidRDefault="00EF27AD">
            <w:pPr>
              <w:pStyle w:val="lgy-"/>
            </w:pPr>
            <w:r w:rsidRPr="002B55E9">
              <w:rPr>
                <w:rFonts w:eastAsia="宋体"/>
              </w:rPr>
              <w:t>0.51</w:t>
            </w:r>
          </w:p>
        </w:tc>
        <w:tc>
          <w:tcPr>
            <w:tcW w:w="1058" w:type="dxa"/>
          </w:tcPr>
          <w:p w14:paraId="39942ACB" w14:textId="77777777" w:rsidR="00D170E5" w:rsidRPr="002B55E9" w:rsidRDefault="00EF27AD">
            <w:pPr>
              <w:pStyle w:val="lgy-"/>
            </w:pPr>
            <w:r w:rsidRPr="002B55E9">
              <w:rPr>
                <w:rFonts w:eastAsia="宋体" w:hint="eastAsia"/>
              </w:rPr>
              <w:t>包装</w:t>
            </w:r>
          </w:p>
        </w:tc>
        <w:tc>
          <w:tcPr>
            <w:tcW w:w="511" w:type="dxa"/>
          </w:tcPr>
          <w:p w14:paraId="043A6F8A" w14:textId="77777777" w:rsidR="00D170E5" w:rsidRPr="002B55E9" w:rsidRDefault="00EF27AD">
            <w:pPr>
              <w:pStyle w:val="lgy-"/>
            </w:pPr>
            <w:r w:rsidRPr="002B55E9">
              <w:rPr>
                <w:rFonts w:eastAsia="宋体" w:hint="eastAsia"/>
              </w:rPr>
              <w:t>固</w:t>
            </w:r>
          </w:p>
        </w:tc>
        <w:tc>
          <w:tcPr>
            <w:tcW w:w="1124" w:type="dxa"/>
          </w:tcPr>
          <w:p w14:paraId="50D5A0AD" w14:textId="77777777" w:rsidR="00D170E5" w:rsidRPr="002B55E9" w:rsidRDefault="00EF27AD">
            <w:pPr>
              <w:pStyle w:val="lgy-"/>
            </w:pPr>
            <w:r w:rsidRPr="002B55E9">
              <w:rPr>
                <w:rFonts w:eastAsia="宋体" w:hint="eastAsia"/>
              </w:rPr>
              <w:t>油墨、</w:t>
            </w:r>
            <w:r w:rsidRPr="002B55E9">
              <w:rPr>
                <w:rFonts w:eastAsia="宋体"/>
              </w:rPr>
              <w:t>胶粘剂等</w:t>
            </w:r>
          </w:p>
        </w:tc>
        <w:tc>
          <w:tcPr>
            <w:tcW w:w="850" w:type="dxa"/>
          </w:tcPr>
          <w:p w14:paraId="2E81F8BF" w14:textId="77777777" w:rsidR="00D170E5" w:rsidRPr="002B55E9" w:rsidRDefault="00EF27AD">
            <w:pPr>
              <w:pStyle w:val="lgy-"/>
            </w:pPr>
            <w:r w:rsidRPr="002B55E9">
              <w:rPr>
                <w:rFonts w:eastAsia="宋体" w:hint="eastAsia"/>
              </w:rPr>
              <w:t>日</w:t>
            </w:r>
          </w:p>
        </w:tc>
        <w:tc>
          <w:tcPr>
            <w:tcW w:w="850" w:type="dxa"/>
            <w:vMerge w:val="restart"/>
          </w:tcPr>
          <w:p w14:paraId="4B308071" w14:textId="77777777" w:rsidR="00D170E5" w:rsidRPr="002B55E9" w:rsidRDefault="00EF27AD">
            <w:pPr>
              <w:pStyle w:val="lgy-"/>
            </w:pPr>
            <w:r w:rsidRPr="002B55E9">
              <w:rPr>
                <w:rFonts w:eastAsia="宋体" w:hint="eastAsia"/>
              </w:rPr>
              <w:t>环境空气影响</w:t>
            </w:r>
          </w:p>
        </w:tc>
        <w:tc>
          <w:tcPr>
            <w:tcW w:w="1274" w:type="dxa"/>
            <w:vMerge w:val="restart"/>
          </w:tcPr>
          <w:p w14:paraId="1EBC4CB7" w14:textId="77777777" w:rsidR="00D170E5" w:rsidRPr="002B55E9" w:rsidRDefault="00EF27AD">
            <w:pPr>
              <w:pStyle w:val="lgy-"/>
              <w:rPr>
                <w:rFonts w:eastAsia="宋体"/>
              </w:rPr>
            </w:pPr>
            <w:r w:rsidRPr="002B55E9">
              <w:rPr>
                <w:rFonts w:eastAsia="宋体" w:hint="eastAsia"/>
              </w:rPr>
              <w:t>环境空气影响、地表水影响、地下水影响、土壤环境影响</w:t>
            </w:r>
          </w:p>
        </w:tc>
      </w:tr>
      <w:tr w:rsidR="002B55E9" w:rsidRPr="002B55E9" w14:paraId="1B8B994F" w14:textId="77777777" w:rsidTr="00EF27AD">
        <w:trPr>
          <w:trHeight w:val="283"/>
        </w:trPr>
        <w:tc>
          <w:tcPr>
            <w:tcW w:w="460" w:type="dxa"/>
          </w:tcPr>
          <w:p w14:paraId="479D3450" w14:textId="77777777" w:rsidR="00D170E5" w:rsidRPr="002B55E9" w:rsidRDefault="00EF27AD">
            <w:pPr>
              <w:pStyle w:val="lgy-"/>
            </w:pPr>
            <w:r w:rsidRPr="002B55E9">
              <w:rPr>
                <w:rFonts w:eastAsia="宋体" w:hint="eastAsia"/>
              </w:rPr>
              <w:t>2</w:t>
            </w:r>
          </w:p>
        </w:tc>
        <w:tc>
          <w:tcPr>
            <w:tcW w:w="1224" w:type="dxa"/>
          </w:tcPr>
          <w:p w14:paraId="74ECC264" w14:textId="77777777" w:rsidR="00D170E5" w:rsidRPr="002B55E9" w:rsidRDefault="00EF27AD">
            <w:pPr>
              <w:pStyle w:val="lgy-"/>
            </w:pPr>
            <w:r w:rsidRPr="002B55E9">
              <w:rPr>
                <w:rFonts w:eastAsia="宋体" w:hint="eastAsia"/>
              </w:rPr>
              <w:t>实验废液</w:t>
            </w:r>
          </w:p>
        </w:tc>
        <w:tc>
          <w:tcPr>
            <w:tcW w:w="725" w:type="dxa"/>
          </w:tcPr>
          <w:p w14:paraId="39EA74A8" w14:textId="77777777" w:rsidR="00D170E5" w:rsidRPr="002B55E9" w:rsidRDefault="00EF27AD">
            <w:pPr>
              <w:pStyle w:val="lgy-"/>
            </w:pPr>
            <w:r w:rsidRPr="002B55E9">
              <w:rPr>
                <w:rFonts w:eastAsia="宋体" w:hint="eastAsia"/>
              </w:rPr>
              <w:t>H</w:t>
            </w:r>
            <w:r w:rsidRPr="002B55E9">
              <w:rPr>
                <w:rFonts w:eastAsia="宋体"/>
              </w:rPr>
              <w:t>W49</w:t>
            </w:r>
          </w:p>
        </w:tc>
        <w:tc>
          <w:tcPr>
            <w:tcW w:w="852" w:type="dxa"/>
          </w:tcPr>
          <w:p w14:paraId="728A3475" w14:textId="77777777" w:rsidR="00D170E5" w:rsidRPr="002B55E9" w:rsidRDefault="00EF27AD">
            <w:pPr>
              <w:pStyle w:val="lgy-"/>
            </w:pPr>
            <w:r w:rsidRPr="002B55E9">
              <w:rPr>
                <w:rFonts w:eastAsia="宋体" w:hint="eastAsia"/>
              </w:rPr>
              <w:t>9</w:t>
            </w:r>
            <w:r w:rsidRPr="002B55E9">
              <w:rPr>
                <w:rFonts w:eastAsia="宋体"/>
              </w:rPr>
              <w:t>00-047-49</w:t>
            </w:r>
          </w:p>
        </w:tc>
        <w:tc>
          <w:tcPr>
            <w:tcW w:w="709" w:type="dxa"/>
          </w:tcPr>
          <w:p w14:paraId="3B0B6E21" w14:textId="77777777" w:rsidR="00D170E5" w:rsidRPr="002B55E9" w:rsidRDefault="00EF27AD">
            <w:pPr>
              <w:pStyle w:val="lgy-"/>
            </w:pPr>
            <w:r w:rsidRPr="002B55E9">
              <w:rPr>
                <w:rFonts w:eastAsia="宋体"/>
              </w:rPr>
              <w:t>1.5</w:t>
            </w:r>
          </w:p>
        </w:tc>
        <w:tc>
          <w:tcPr>
            <w:tcW w:w="1058" w:type="dxa"/>
          </w:tcPr>
          <w:p w14:paraId="408CCB1E" w14:textId="77777777" w:rsidR="00D170E5" w:rsidRPr="002B55E9" w:rsidRDefault="00EF27AD">
            <w:pPr>
              <w:pStyle w:val="lgy-"/>
            </w:pPr>
            <w:r w:rsidRPr="002B55E9">
              <w:rPr>
                <w:rFonts w:eastAsia="宋体" w:hint="eastAsia"/>
              </w:rPr>
              <w:t>检测</w:t>
            </w:r>
          </w:p>
        </w:tc>
        <w:tc>
          <w:tcPr>
            <w:tcW w:w="511" w:type="dxa"/>
          </w:tcPr>
          <w:p w14:paraId="745923A6" w14:textId="77777777" w:rsidR="00D170E5" w:rsidRPr="002B55E9" w:rsidRDefault="00EF27AD">
            <w:pPr>
              <w:pStyle w:val="lgy-"/>
            </w:pPr>
            <w:r w:rsidRPr="002B55E9">
              <w:rPr>
                <w:rFonts w:eastAsia="宋体" w:hint="eastAsia"/>
              </w:rPr>
              <w:t>液</w:t>
            </w:r>
          </w:p>
        </w:tc>
        <w:tc>
          <w:tcPr>
            <w:tcW w:w="1124" w:type="dxa"/>
          </w:tcPr>
          <w:p w14:paraId="1AB98AC6" w14:textId="77777777" w:rsidR="00D170E5" w:rsidRPr="002B55E9" w:rsidRDefault="00EF27AD">
            <w:pPr>
              <w:pStyle w:val="lgy-"/>
            </w:pPr>
            <w:r w:rsidRPr="002B55E9">
              <w:rPr>
                <w:rFonts w:eastAsia="宋体" w:hint="eastAsia"/>
              </w:rPr>
              <w:t>废</w:t>
            </w:r>
            <w:r w:rsidRPr="002B55E9">
              <w:rPr>
                <w:rFonts w:eastAsia="宋体"/>
              </w:rPr>
              <w:t>化学试剂</w:t>
            </w:r>
          </w:p>
        </w:tc>
        <w:tc>
          <w:tcPr>
            <w:tcW w:w="850" w:type="dxa"/>
          </w:tcPr>
          <w:p w14:paraId="5B0D7DF5" w14:textId="77777777" w:rsidR="00D170E5" w:rsidRPr="002B55E9" w:rsidRDefault="00EF27AD">
            <w:pPr>
              <w:pStyle w:val="lgy-"/>
            </w:pPr>
            <w:r w:rsidRPr="002B55E9">
              <w:rPr>
                <w:rFonts w:eastAsia="宋体" w:hint="eastAsia"/>
              </w:rPr>
              <w:t>日</w:t>
            </w:r>
          </w:p>
        </w:tc>
        <w:tc>
          <w:tcPr>
            <w:tcW w:w="850" w:type="dxa"/>
            <w:vMerge/>
          </w:tcPr>
          <w:p w14:paraId="2FA60A67" w14:textId="77777777" w:rsidR="00D170E5" w:rsidRPr="002B55E9" w:rsidRDefault="00D170E5">
            <w:pPr>
              <w:pStyle w:val="lgy-"/>
            </w:pPr>
          </w:p>
        </w:tc>
        <w:tc>
          <w:tcPr>
            <w:tcW w:w="1274" w:type="dxa"/>
            <w:vMerge/>
          </w:tcPr>
          <w:p w14:paraId="0FE9E890" w14:textId="77777777" w:rsidR="00D170E5" w:rsidRPr="002B55E9" w:rsidRDefault="00D170E5">
            <w:pPr>
              <w:pStyle w:val="lgy-"/>
              <w:rPr>
                <w:rFonts w:eastAsia="宋体"/>
              </w:rPr>
            </w:pPr>
          </w:p>
        </w:tc>
      </w:tr>
      <w:tr w:rsidR="002B55E9" w:rsidRPr="002B55E9" w14:paraId="46B0C02D" w14:textId="77777777" w:rsidTr="00EF27AD">
        <w:trPr>
          <w:trHeight w:val="283"/>
        </w:trPr>
        <w:tc>
          <w:tcPr>
            <w:tcW w:w="460" w:type="dxa"/>
          </w:tcPr>
          <w:p w14:paraId="558519A1" w14:textId="77777777" w:rsidR="00D170E5" w:rsidRPr="002B55E9" w:rsidRDefault="00EF27AD">
            <w:pPr>
              <w:pStyle w:val="lgy-"/>
            </w:pPr>
            <w:r w:rsidRPr="002B55E9">
              <w:rPr>
                <w:rFonts w:eastAsia="宋体" w:hint="eastAsia"/>
              </w:rPr>
              <w:t>3</w:t>
            </w:r>
          </w:p>
        </w:tc>
        <w:tc>
          <w:tcPr>
            <w:tcW w:w="1224" w:type="dxa"/>
          </w:tcPr>
          <w:p w14:paraId="6E351C96" w14:textId="77777777" w:rsidR="00D170E5" w:rsidRPr="002B55E9" w:rsidRDefault="00EF27AD">
            <w:pPr>
              <w:pStyle w:val="lgy-"/>
            </w:pPr>
            <w:r w:rsidRPr="002B55E9">
              <w:rPr>
                <w:rFonts w:eastAsia="宋体" w:hint="eastAsia"/>
              </w:rPr>
              <w:t>化验室</w:t>
            </w:r>
            <w:r w:rsidRPr="002B55E9">
              <w:rPr>
                <w:rFonts w:eastAsia="宋体"/>
              </w:rPr>
              <w:t>废耗材</w:t>
            </w:r>
          </w:p>
        </w:tc>
        <w:tc>
          <w:tcPr>
            <w:tcW w:w="725" w:type="dxa"/>
          </w:tcPr>
          <w:p w14:paraId="0696A44D" w14:textId="77777777" w:rsidR="00D170E5" w:rsidRPr="002B55E9" w:rsidRDefault="00EF27AD">
            <w:pPr>
              <w:pStyle w:val="lgy-"/>
            </w:pPr>
            <w:r w:rsidRPr="002B55E9">
              <w:rPr>
                <w:rFonts w:eastAsia="宋体" w:hint="eastAsia"/>
              </w:rPr>
              <w:t>H</w:t>
            </w:r>
            <w:r w:rsidRPr="002B55E9">
              <w:rPr>
                <w:rFonts w:eastAsia="宋体"/>
              </w:rPr>
              <w:t>W49</w:t>
            </w:r>
          </w:p>
        </w:tc>
        <w:tc>
          <w:tcPr>
            <w:tcW w:w="852" w:type="dxa"/>
          </w:tcPr>
          <w:p w14:paraId="5C29D08C" w14:textId="77777777" w:rsidR="00D170E5" w:rsidRPr="002B55E9" w:rsidRDefault="00EF27AD">
            <w:pPr>
              <w:pStyle w:val="lgy-"/>
            </w:pPr>
            <w:r w:rsidRPr="002B55E9">
              <w:rPr>
                <w:rFonts w:eastAsia="宋体" w:hint="eastAsia"/>
              </w:rPr>
              <w:t>9</w:t>
            </w:r>
            <w:r w:rsidRPr="002B55E9">
              <w:rPr>
                <w:rFonts w:eastAsia="宋体"/>
              </w:rPr>
              <w:t>00-047-49</w:t>
            </w:r>
          </w:p>
        </w:tc>
        <w:tc>
          <w:tcPr>
            <w:tcW w:w="709" w:type="dxa"/>
          </w:tcPr>
          <w:p w14:paraId="4B327C00" w14:textId="77777777" w:rsidR="00D170E5" w:rsidRPr="002B55E9" w:rsidRDefault="00EF27AD">
            <w:pPr>
              <w:pStyle w:val="lgy-"/>
            </w:pPr>
            <w:r w:rsidRPr="002B55E9">
              <w:rPr>
                <w:rFonts w:eastAsia="宋体" w:hint="eastAsia"/>
              </w:rPr>
              <w:t>0.5</w:t>
            </w:r>
          </w:p>
        </w:tc>
        <w:tc>
          <w:tcPr>
            <w:tcW w:w="1058" w:type="dxa"/>
          </w:tcPr>
          <w:p w14:paraId="6ACBF07A" w14:textId="77777777" w:rsidR="00D170E5" w:rsidRPr="002B55E9" w:rsidRDefault="00EF27AD">
            <w:pPr>
              <w:pStyle w:val="lgy-"/>
            </w:pPr>
            <w:r w:rsidRPr="002B55E9">
              <w:rPr>
                <w:rFonts w:eastAsia="宋体" w:hint="eastAsia"/>
              </w:rPr>
              <w:t>检测</w:t>
            </w:r>
          </w:p>
        </w:tc>
        <w:tc>
          <w:tcPr>
            <w:tcW w:w="511" w:type="dxa"/>
          </w:tcPr>
          <w:p w14:paraId="2CD5686A" w14:textId="77777777" w:rsidR="00D170E5" w:rsidRPr="002B55E9" w:rsidRDefault="00EF27AD">
            <w:pPr>
              <w:pStyle w:val="lgy-"/>
            </w:pPr>
            <w:r w:rsidRPr="002B55E9">
              <w:rPr>
                <w:rFonts w:eastAsia="宋体" w:hint="eastAsia"/>
              </w:rPr>
              <w:t>固</w:t>
            </w:r>
          </w:p>
        </w:tc>
        <w:tc>
          <w:tcPr>
            <w:tcW w:w="1124" w:type="dxa"/>
          </w:tcPr>
          <w:p w14:paraId="12137A29" w14:textId="77777777" w:rsidR="00D170E5" w:rsidRPr="002B55E9" w:rsidRDefault="00EF27AD">
            <w:pPr>
              <w:pStyle w:val="lgy-"/>
            </w:pPr>
            <w:r w:rsidRPr="002B55E9">
              <w:rPr>
                <w:rFonts w:eastAsia="宋体" w:hint="eastAsia"/>
              </w:rPr>
              <w:t>沾染试剂</w:t>
            </w:r>
          </w:p>
        </w:tc>
        <w:tc>
          <w:tcPr>
            <w:tcW w:w="850" w:type="dxa"/>
          </w:tcPr>
          <w:p w14:paraId="10422D98" w14:textId="77777777" w:rsidR="00D170E5" w:rsidRPr="002B55E9" w:rsidRDefault="00EF27AD">
            <w:pPr>
              <w:pStyle w:val="lgy-"/>
            </w:pPr>
            <w:r w:rsidRPr="002B55E9">
              <w:rPr>
                <w:rFonts w:eastAsia="宋体" w:hint="eastAsia"/>
              </w:rPr>
              <w:t>日</w:t>
            </w:r>
          </w:p>
        </w:tc>
        <w:tc>
          <w:tcPr>
            <w:tcW w:w="850" w:type="dxa"/>
            <w:vMerge/>
          </w:tcPr>
          <w:p w14:paraId="55DBEA9F" w14:textId="77777777" w:rsidR="00D170E5" w:rsidRPr="002B55E9" w:rsidRDefault="00D170E5">
            <w:pPr>
              <w:pStyle w:val="lgy-"/>
            </w:pPr>
          </w:p>
        </w:tc>
        <w:tc>
          <w:tcPr>
            <w:tcW w:w="1274" w:type="dxa"/>
            <w:vMerge/>
          </w:tcPr>
          <w:p w14:paraId="70C4BDC2" w14:textId="77777777" w:rsidR="00D170E5" w:rsidRPr="002B55E9" w:rsidRDefault="00D170E5">
            <w:pPr>
              <w:pStyle w:val="lgy-"/>
              <w:rPr>
                <w:rFonts w:eastAsia="宋体"/>
              </w:rPr>
            </w:pPr>
          </w:p>
        </w:tc>
      </w:tr>
      <w:tr w:rsidR="002B55E9" w:rsidRPr="002B55E9" w14:paraId="226F7719" w14:textId="77777777" w:rsidTr="00EF27AD">
        <w:trPr>
          <w:trHeight w:val="283"/>
        </w:trPr>
        <w:tc>
          <w:tcPr>
            <w:tcW w:w="460" w:type="dxa"/>
          </w:tcPr>
          <w:p w14:paraId="05C94C34" w14:textId="77777777" w:rsidR="00D170E5" w:rsidRPr="002B55E9" w:rsidRDefault="00EF27AD">
            <w:pPr>
              <w:pStyle w:val="lgy-"/>
            </w:pPr>
            <w:r w:rsidRPr="002B55E9">
              <w:rPr>
                <w:rFonts w:eastAsia="宋体" w:hint="eastAsia"/>
              </w:rPr>
              <w:t>4</w:t>
            </w:r>
          </w:p>
        </w:tc>
        <w:tc>
          <w:tcPr>
            <w:tcW w:w="1224" w:type="dxa"/>
          </w:tcPr>
          <w:p w14:paraId="167D0FCE" w14:textId="77777777" w:rsidR="00D170E5" w:rsidRPr="002B55E9" w:rsidRDefault="00EF27AD">
            <w:pPr>
              <w:pStyle w:val="lgy-"/>
            </w:pPr>
            <w:r w:rsidRPr="002B55E9">
              <w:rPr>
                <w:rFonts w:eastAsia="宋体" w:hint="eastAsia"/>
              </w:rPr>
              <w:t>废活性炭</w:t>
            </w:r>
          </w:p>
        </w:tc>
        <w:tc>
          <w:tcPr>
            <w:tcW w:w="725" w:type="dxa"/>
          </w:tcPr>
          <w:p w14:paraId="56D40C0E" w14:textId="77777777" w:rsidR="00D170E5" w:rsidRPr="002B55E9" w:rsidRDefault="00EF27AD">
            <w:pPr>
              <w:pStyle w:val="lgy-"/>
            </w:pPr>
            <w:r w:rsidRPr="002B55E9">
              <w:rPr>
                <w:rFonts w:eastAsia="宋体" w:hint="eastAsia"/>
              </w:rPr>
              <w:t>HW49</w:t>
            </w:r>
          </w:p>
        </w:tc>
        <w:tc>
          <w:tcPr>
            <w:tcW w:w="852" w:type="dxa"/>
          </w:tcPr>
          <w:p w14:paraId="1FDF5419" w14:textId="77777777" w:rsidR="00D170E5" w:rsidRPr="002B55E9" w:rsidRDefault="00EF27AD">
            <w:pPr>
              <w:pStyle w:val="lgy-"/>
            </w:pPr>
            <w:r w:rsidRPr="002B55E9">
              <w:rPr>
                <w:rFonts w:eastAsia="宋体" w:hint="eastAsia"/>
              </w:rPr>
              <w:t>900-039-49</w:t>
            </w:r>
          </w:p>
        </w:tc>
        <w:tc>
          <w:tcPr>
            <w:tcW w:w="709" w:type="dxa"/>
          </w:tcPr>
          <w:p w14:paraId="55AA02D8" w14:textId="77777777" w:rsidR="00D170E5" w:rsidRPr="002B55E9" w:rsidRDefault="00EF27AD">
            <w:pPr>
              <w:pStyle w:val="lgy-"/>
            </w:pPr>
            <w:r w:rsidRPr="002B55E9">
              <w:rPr>
                <w:rFonts w:eastAsia="宋体" w:hint="eastAsia"/>
              </w:rPr>
              <w:t>0.1</w:t>
            </w:r>
          </w:p>
        </w:tc>
        <w:tc>
          <w:tcPr>
            <w:tcW w:w="1058" w:type="dxa"/>
          </w:tcPr>
          <w:p w14:paraId="763C0869" w14:textId="77777777" w:rsidR="00D170E5" w:rsidRPr="002B55E9" w:rsidRDefault="00EF27AD">
            <w:pPr>
              <w:pStyle w:val="lgy-"/>
            </w:pPr>
            <w:r w:rsidRPr="002B55E9">
              <w:rPr>
                <w:rFonts w:eastAsia="宋体" w:hint="eastAsia"/>
              </w:rPr>
              <w:t>废气</w:t>
            </w:r>
            <w:r w:rsidRPr="002B55E9">
              <w:rPr>
                <w:rFonts w:eastAsia="宋体"/>
              </w:rPr>
              <w:t>处理</w:t>
            </w:r>
          </w:p>
        </w:tc>
        <w:tc>
          <w:tcPr>
            <w:tcW w:w="511" w:type="dxa"/>
          </w:tcPr>
          <w:p w14:paraId="781B8C38" w14:textId="77777777" w:rsidR="00D170E5" w:rsidRPr="002B55E9" w:rsidRDefault="00EF27AD">
            <w:pPr>
              <w:pStyle w:val="lgy-"/>
            </w:pPr>
            <w:r w:rsidRPr="002B55E9">
              <w:rPr>
                <w:rFonts w:eastAsia="宋体" w:hint="eastAsia"/>
              </w:rPr>
              <w:t>固</w:t>
            </w:r>
          </w:p>
        </w:tc>
        <w:tc>
          <w:tcPr>
            <w:tcW w:w="1124" w:type="dxa"/>
          </w:tcPr>
          <w:p w14:paraId="53DF25B9" w14:textId="05351910" w:rsidR="00D170E5" w:rsidRPr="002B55E9" w:rsidRDefault="00EF27AD" w:rsidP="00924AFA">
            <w:pPr>
              <w:pStyle w:val="lgy-"/>
            </w:pPr>
            <w:r w:rsidRPr="002B55E9">
              <w:rPr>
                <w:rFonts w:eastAsia="宋体" w:hint="eastAsia"/>
              </w:rPr>
              <w:t>吸附</w:t>
            </w:r>
            <w:r w:rsidR="00924AFA" w:rsidRPr="002B55E9">
              <w:rPr>
                <w:rFonts w:eastAsia="宋体" w:hint="eastAsia"/>
              </w:rPr>
              <w:t>挥发性</w:t>
            </w:r>
            <w:r w:rsidR="00924AFA" w:rsidRPr="002B55E9">
              <w:rPr>
                <w:rFonts w:eastAsia="宋体"/>
              </w:rPr>
              <w:t>有机废气</w:t>
            </w:r>
            <w:r w:rsidRPr="002B55E9">
              <w:rPr>
                <w:rFonts w:eastAsia="宋体"/>
              </w:rPr>
              <w:t>的活性炭</w:t>
            </w:r>
          </w:p>
        </w:tc>
        <w:tc>
          <w:tcPr>
            <w:tcW w:w="850" w:type="dxa"/>
          </w:tcPr>
          <w:p w14:paraId="32B6FAE8" w14:textId="77777777" w:rsidR="00D170E5" w:rsidRPr="002B55E9" w:rsidRDefault="00EF27AD">
            <w:pPr>
              <w:pStyle w:val="lgy-"/>
            </w:pPr>
            <w:r w:rsidRPr="002B55E9">
              <w:rPr>
                <w:rFonts w:eastAsia="宋体" w:hint="eastAsia"/>
              </w:rPr>
              <w:t>月</w:t>
            </w:r>
          </w:p>
        </w:tc>
        <w:tc>
          <w:tcPr>
            <w:tcW w:w="850" w:type="dxa"/>
            <w:vMerge/>
          </w:tcPr>
          <w:p w14:paraId="30C461CF" w14:textId="77777777" w:rsidR="00D170E5" w:rsidRPr="002B55E9" w:rsidRDefault="00D170E5">
            <w:pPr>
              <w:pStyle w:val="lgy-"/>
            </w:pPr>
          </w:p>
        </w:tc>
        <w:tc>
          <w:tcPr>
            <w:tcW w:w="1274" w:type="dxa"/>
            <w:vMerge/>
          </w:tcPr>
          <w:p w14:paraId="78E91FA2" w14:textId="77777777" w:rsidR="00D170E5" w:rsidRPr="002B55E9" w:rsidRDefault="00D170E5">
            <w:pPr>
              <w:pStyle w:val="lgy-"/>
              <w:rPr>
                <w:rFonts w:eastAsia="宋体"/>
              </w:rPr>
            </w:pPr>
          </w:p>
        </w:tc>
      </w:tr>
      <w:tr w:rsidR="002B55E9" w:rsidRPr="002B55E9" w14:paraId="0C5E0035" w14:textId="77777777" w:rsidTr="00EF27AD">
        <w:trPr>
          <w:trHeight w:val="283"/>
        </w:trPr>
        <w:tc>
          <w:tcPr>
            <w:tcW w:w="460" w:type="dxa"/>
          </w:tcPr>
          <w:p w14:paraId="2938CDA1" w14:textId="77777777" w:rsidR="00D170E5" w:rsidRPr="002B55E9" w:rsidRDefault="00EF27AD">
            <w:pPr>
              <w:pStyle w:val="lgy-"/>
            </w:pPr>
            <w:r w:rsidRPr="002B55E9">
              <w:rPr>
                <w:rFonts w:eastAsia="宋体" w:hint="eastAsia"/>
              </w:rPr>
              <w:t>5</w:t>
            </w:r>
          </w:p>
        </w:tc>
        <w:tc>
          <w:tcPr>
            <w:tcW w:w="1224" w:type="dxa"/>
          </w:tcPr>
          <w:p w14:paraId="03356146" w14:textId="77777777" w:rsidR="00D170E5" w:rsidRPr="002B55E9" w:rsidRDefault="00EF27AD">
            <w:pPr>
              <w:pStyle w:val="lgy-"/>
            </w:pPr>
            <w:r w:rsidRPr="002B55E9">
              <w:rPr>
                <w:rFonts w:eastAsia="宋体" w:hint="eastAsia"/>
              </w:rPr>
              <w:t>废机油</w:t>
            </w:r>
          </w:p>
        </w:tc>
        <w:tc>
          <w:tcPr>
            <w:tcW w:w="725" w:type="dxa"/>
          </w:tcPr>
          <w:p w14:paraId="31E16E5B" w14:textId="77777777" w:rsidR="00D170E5" w:rsidRPr="002B55E9" w:rsidRDefault="00EF27AD">
            <w:pPr>
              <w:pStyle w:val="lgy-"/>
            </w:pPr>
            <w:r w:rsidRPr="002B55E9">
              <w:rPr>
                <w:rFonts w:eastAsia="宋体" w:hint="eastAsia"/>
              </w:rPr>
              <w:t>H</w:t>
            </w:r>
            <w:r w:rsidRPr="002B55E9">
              <w:rPr>
                <w:rFonts w:eastAsia="宋体"/>
              </w:rPr>
              <w:t>W08</w:t>
            </w:r>
          </w:p>
        </w:tc>
        <w:tc>
          <w:tcPr>
            <w:tcW w:w="852" w:type="dxa"/>
          </w:tcPr>
          <w:p w14:paraId="30536E2E" w14:textId="77777777" w:rsidR="00D170E5" w:rsidRPr="002B55E9" w:rsidRDefault="00EF27AD">
            <w:pPr>
              <w:pStyle w:val="lgy-"/>
            </w:pPr>
            <w:r w:rsidRPr="002B55E9">
              <w:rPr>
                <w:rFonts w:eastAsia="宋体" w:hint="eastAsia"/>
              </w:rPr>
              <w:t>9</w:t>
            </w:r>
            <w:r w:rsidRPr="002B55E9">
              <w:rPr>
                <w:rFonts w:eastAsia="宋体"/>
              </w:rPr>
              <w:t>00-214-08</w:t>
            </w:r>
          </w:p>
        </w:tc>
        <w:tc>
          <w:tcPr>
            <w:tcW w:w="709" w:type="dxa"/>
          </w:tcPr>
          <w:p w14:paraId="0BB6B261" w14:textId="77777777" w:rsidR="00D170E5" w:rsidRPr="002B55E9" w:rsidRDefault="00EF27AD">
            <w:pPr>
              <w:pStyle w:val="lgy-"/>
            </w:pPr>
            <w:r w:rsidRPr="002B55E9">
              <w:rPr>
                <w:rFonts w:eastAsia="宋体" w:hint="eastAsia"/>
              </w:rPr>
              <w:t>0</w:t>
            </w:r>
            <w:r w:rsidRPr="002B55E9">
              <w:rPr>
                <w:rFonts w:eastAsia="宋体"/>
              </w:rPr>
              <w:t>.5</w:t>
            </w:r>
          </w:p>
        </w:tc>
        <w:tc>
          <w:tcPr>
            <w:tcW w:w="1058" w:type="dxa"/>
          </w:tcPr>
          <w:p w14:paraId="7AE5FAA4" w14:textId="77777777" w:rsidR="00D170E5" w:rsidRPr="002B55E9" w:rsidRDefault="00EF27AD">
            <w:pPr>
              <w:pStyle w:val="lgy-"/>
            </w:pPr>
            <w:r w:rsidRPr="002B55E9">
              <w:rPr>
                <w:rFonts w:eastAsia="宋体" w:hint="eastAsia"/>
              </w:rPr>
              <w:t>设备检修</w:t>
            </w:r>
          </w:p>
        </w:tc>
        <w:tc>
          <w:tcPr>
            <w:tcW w:w="511" w:type="dxa"/>
          </w:tcPr>
          <w:p w14:paraId="63CD69C0" w14:textId="77777777" w:rsidR="00D170E5" w:rsidRPr="002B55E9" w:rsidRDefault="00EF27AD">
            <w:pPr>
              <w:pStyle w:val="lgy-"/>
            </w:pPr>
            <w:r w:rsidRPr="002B55E9">
              <w:rPr>
                <w:rFonts w:eastAsia="宋体" w:hint="eastAsia"/>
              </w:rPr>
              <w:t>液</w:t>
            </w:r>
          </w:p>
        </w:tc>
        <w:tc>
          <w:tcPr>
            <w:tcW w:w="1124" w:type="dxa"/>
          </w:tcPr>
          <w:p w14:paraId="5A5ED479" w14:textId="77777777" w:rsidR="00D170E5" w:rsidRPr="002B55E9" w:rsidRDefault="00EF27AD">
            <w:pPr>
              <w:pStyle w:val="lgy-"/>
            </w:pPr>
            <w:r w:rsidRPr="002B55E9">
              <w:rPr>
                <w:rFonts w:eastAsia="宋体" w:hint="eastAsia"/>
              </w:rPr>
              <w:t>废矿物油</w:t>
            </w:r>
          </w:p>
        </w:tc>
        <w:tc>
          <w:tcPr>
            <w:tcW w:w="850" w:type="dxa"/>
          </w:tcPr>
          <w:p w14:paraId="030A0B1D" w14:textId="77777777" w:rsidR="00D170E5" w:rsidRPr="002B55E9" w:rsidRDefault="00EF27AD">
            <w:pPr>
              <w:pStyle w:val="lgy-"/>
            </w:pPr>
            <w:r w:rsidRPr="002B55E9">
              <w:rPr>
                <w:rFonts w:eastAsia="宋体" w:hint="eastAsia"/>
              </w:rPr>
              <w:t>年</w:t>
            </w:r>
          </w:p>
        </w:tc>
        <w:tc>
          <w:tcPr>
            <w:tcW w:w="850" w:type="dxa"/>
            <w:vMerge/>
          </w:tcPr>
          <w:p w14:paraId="33591341" w14:textId="77777777" w:rsidR="00D170E5" w:rsidRPr="002B55E9" w:rsidRDefault="00D170E5">
            <w:pPr>
              <w:pStyle w:val="lgy-"/>
            </w:pPr>
          </w:p>
        </w:tc>
        <w:tc>
          <w:tcPr>
            <w:tcW w:w="1274" w:type="dxa"/>
            <w:vMerge/>
          </w:tcPr>
          <w:p w14:paraId="7B447589" w14:textId="77777777" w:rsidR="00D170E5" w:rsidRPr="002B55E9" w:rsidRDefault="00D170E5">
            <w:pPr>
              <w:pStyle w:val="lgy-"/>
              <w:rPr>
                <w:rFonts w:eastAsia="宋体"/>
              </w:rPr>
            </w:pPr>
          </w:p>
        </w:tc>
      </w:tr>
      <w:tr w:rsidR="002B55E9" w:rsidRPr="002B55E9" w14:paraId="6B7474FB" w14:textId="77777777" w:rsidTr="00EF27AD">
        <w:trPr>
          <w:trHeight w:val="283"/>
        </w:trPr>
        <w:tc>
          <w:tcPr>
            <w:tcW w:w="460" w:type="dxa"/>
          </w:tcPr>
          <w:p w14:paraId="0D3AB96A" w14:textId="77777777" w:rsidR="00D170E5" w:rsidRPr="002B55E9" w:rsidRDefault="00EF27AD">
            <w:pPr>
              <w:pStyle w:val="lgy-"/>
            </w:pPr>
            <w:r w:rsidRPr="002B55E9">
              <w:rPr>
                <w:rFonts w:eastAsia="宋体" w:hint="eastAsia"/>
              </w:rPr>
              <w:t>6</w:t>
            </w:r>
          </w:p>
        </w:tc>
        <w:tc>
          <w:tcPr>
            <w:tcW w:w="1224" w:type="dxa"/>
          </w:tcPr>
          <w:p w14:paraId="20E7C7EA" w14:textId="77777777" w:rsidR="00D170E5" w:rsidRPr="002B55E9" w:rsidRDefault="00EF27AD">
            <w:pPr>
              <w:pStyle w:val="lgy-"/>
            </w:pPr>
            <w:r w:rsidRPr="002B55E9">
              <w:rPr>
                <w:rFonts w:eastAsia="宋体" w:hint="eastAsia"/>
              </w:rPr>
              <w:t>废含油抹布</w:t>
            </w:r>
          </w:p>
        </w:tc>
        <w:tc>
          <w:tcPr>
            <w:tcW w:w="725" w:type="dxa"/>
          </w:tcPr>
          <w:p w14:paraId="76ED1C85" w14:textId="77777777" w:rsidR="00D170E5" w:rsidRPr="002B55E9" w:rsidRDefault="00EF27AD">
            <w:pPr>
              <w:pStyle w:val="lgy-"/>
            </w:pPr>
            <w:r w:rsidRPr="002B55E9">
              <w:rPr>
                <w:rFonts w:eastAsia="宋体" w:hint="eastAsia"/>
              </w:rPr>
              <w:t>H</w:t>
            </w:r>
            <w:r w:rsidRPr="002B55E9">
              <w:rPr>
                <w:rFonts w:eastAsia="宋体"/>
              </w:rPr>
              <w:t>W49</w:t>
            </w:r>
          </w:p>
        </w:tc>
        <w:tc>
          <w:tcPr>
            <w:tcW w:w="852" w:type="dxa"/>
          </w:tcPr>
          <w:p w14:paraId="016C0338" w14:textId="77777777" w:rsidR="00D170E5" w:rsidRPr="002B55E9" w:rsidRDefault="00EF27AD">
            <w:pPr>
              <w:pStyle w:val="lgy-"/>
            </w:pPr>
            <w:r w:rsidRPr="002B55E9">
              <w:rPr>
                <w:rFonts w:eastAsia="宋体" w:hint="eastAsia"/>
              </w:rPr>
              <w:t>9</w:t>
            </w:r>
            <w:r w:rsidRPr="002B55E9">
              <w:rPr>
                <w:rFonts w:eastAsia="宋体"/>
              </w:rPr>
              <w:t>00-041-49</w:t>
            </w:r>
          </w:p>
        </w:tc>
        <w:tc>
          <w:tcPr>
            <w:tcW w:w="709" w:type="dxa"/>
          </w:tcPr>
          <w:p w14:paraId="27C43A36" w14:textId="77777777" w:rsidR="00D170E5" w:rsidRPr="002B55E9" w:rsidRDefault="00EF27AD">
            <w:pPr>
              <w:pStyle w:val="lgy-"/>
            </w:pPr>
            <w:r w:rsidRPr="002B55E9">
              <w:rPr>
                <w:rFonts w:eastAsia="宋体" w:hint="eastAsia"/>
              </w:rPr>
              <w:t>0</w:t>
            </w:r>
            <w:r w:rsidRPr="002B55E9">
              <w:rPr>
                <w:rFonts w:eastAsia="宋体"/>
              </w:rPr>
              <w:t>.01</w:t>
            </w:r>
          </w:p>
        </w:tc>
        <w:tc>
          <w:tcPr>
            <w:tcW w:w="1058" w:type="dxa"/>
          </w:tcPr>
          <w:p w14:paraId="2DF9EC4E" w14:textId="77777777" w:rsidR="00D170E5" w:rsidRPr="002B55E9" w:rsidRDefault="00EF27AD">
            <w:pPr>
              <w:pStyle w:val="lgy-"/>
            </w:pPr>
            <w:r w:rsidRPr="002B55E9">
              <w:rPr>
                <w:rFonts w:eastAsia="宋体" w:hint="eastAsia"/>
              </w:rPr>
              <w:t>设备检修</w:t>
            </w:r>
          </w:p>
        </w:tc>
        <w:tc>
          <w:tcPr>
            <w:tcW w:w="511" w:type="dxa"/>
          </w:tcPr>
          <w:p w14:paraId="67EB44A3" w14:textId="77777777" w:rsidR="00D170E5" w:rsidRPr="002B55E9" w:rsidRDefault="00EF27AD">
            <w:pPr>
              <w:pStyle w:val="lgy-"/>
            </w:pPr>
            <w:r w:rsidRPr="002B55E9">
              <w:rPr>
                <w:rFonts w:eastAsia="宋体" w:hint="eastAsia"/>
              </w:rPr>
              <w:t>固</w:t>
            </w:r>
          </w:p>
        </w:tc>
        <w:tc>
          <w:tcPr>
            <w:tcW w:w="1124" w:type="dxa"/>
          </w:tcPr>
          <w:p w14:paraId="47B510AC" w14:textId="77777777" w:rsidR="00D170E5" w:rsidRPr="002B55E9" w:rsidRDefault="00EF27AD">
            <w:pPr>
              <w:pStyle w:val="lgy-"/>
            </w:pPr>
            <w:r w:rsidRPr="002B55E9">
              <w:rPr>
                <w:rFonts w:eastAsia="宋体" w:hint="eastAsia"/>
              </w:rPr>
              <w:t>沾染矿物油的废抹布</w:t>
            </w:r>
          </w:p>
        </w:tc>
        <w:tc>
          <w:tcPr>
            <w:tcW w:w="850" w:type="dxa"/>
          </w:tcPr>
          <w:p w14:paraId="084D646A" w14:textId="77777777" w:rsidR="00D170E5" w:rsidRPr="002B55E9" w:rsidRDefault="00EF27AD">
            <w:pPr>
              <w:pStyle w:val="lgy-"/>
            </w:pPr>
            <w:r w:rsidRPr="002B55E9">
              <w:rPr>
                <w:rFonts w:eastAsia="宋体" w:hint="eastAsia"/>
              </w:rPr>
              <w:t>日</w:t>
            </w:r>
          </w:p>
        </w:tc>
        <w:tc>
          <w:tcPr>
            <w:tcW w:w="850" w:type="dxa"/>
            <w:vMerge/>
          </w:tcPr>
          <w:p w14:paraId="1C11E664" w14:textId="77777777" w:rsidR="00D170E5" w:rsidRPr="002B55E9" w:rsidRDefault="00D170E5">
            <w:pPr>
              <w:pStyle w:val="lgy-"/>
            </w:pPr>
          </w:p>
        </w:tc>
        <w:tc>
          <w:tcPr>
            <w:tcW w:w="1274" w:type="dxa"/>
            <w:vMerge/>
          </w:tcPr>
          <w:p w14:paraId="75C0406C" w14:textId="77777777" w:rsidR="00D170E5" w:rsidRPr="002B55E9" w:rsidRDefault="00D170E5">
            <w:pPr>
              <w:pStyle w:val="lgy-"/>
              <w:rPr>
                <w:rFonts w:eastAsia="宋体"/>
              </w:rPr>
            </w:pPr>
          </w:p>
        </w:tc>
      </w:tr>
    </w:tbl>
    <w:p w14:paraId="6DB8A3DD" w14:textId="77777777" w:rsidR="00D170E5" w:rsidRPr="002B55E9" w:rsidRDefault="00EF27AD">
      <w:pPr>
        <w:pStyle w:val="5"/>
      </w:pPr>
      <w:r w:rsidRPr="002B55E9">
        <w:rPr>
          <w:rFonts w:hint="eastAsia"/>
        </w:rPr>
        <w:t>危险废物暂存场所环境影响分析</w:t>
      </w:r>
    </w:p>
    <w:p w14:paraId="5F7337AA" w14:textId="77777777" w:rsidR="00D170E5" w:rsidRPr="002B55E9" w:rsidRDefault="00EF27AD">
      <w:pPr>
        <w:pStyle w:val="affff7"/>
        <w:snapToGrid w:val="0"/>
        <w:spacing w:after="0"/>
      </w:pPr>
      <w:bookmarkStart w:id="235" w:name="_Hlk46679469"/>
      <w:r w:rsidRPr="002B55E9">
        <w:rPr>
          <w:rFonts w:hint="eastAsia"/>
        </w:rPr>
        <w:t>（</w:t>
      </w:r>
      <w:r w:rsidRPr="002B55E9">
        <w:rPr>
          <w:rFonts w:hint="eastAsia"/>
        </w:rPr>
        <w:t>1</w:t>
      </w:r>
      <w:r w:rsidRPr="002B55E9">
        <w:rPr>
          <w:rFonts w:hint="eastAsia"/>
        </w:rPr>
        <w:t>）选址合理性</w:t>
      </w:r>
    </w:p>
    <w:p w14:paraId="622B61A0" w14:textId="78A42D22" w:rsidR="00D170E5" w:rsidRPr="002B55E9" w:rsidRDefault="00EF27AD">
      <w:pPr>
        <w:pStyle w:val="affff7"/>
        <w:snapToGrid w:val="0"/>
        <w:spacing w:after="0"/>
      </w:pPr>
      <w:r w:rsidRPr="002B55E9">
        <w:rPr>
          <w:rFonts w:hint="eastAsia"/>
          <w:bCs w:val="0"/>
        </w:rPr>
        <w:t>本项目所在区域地质结构稳定，危险废物暂存间位于地面，满足设施底部必须高于地下水最高水位要求；项目危险废物暂存间拟按照</w:t>
      </w:r>
      <w:r w:rsidRPr="002B55E9">
        <w:rPr>
          <w:rFonts w:hint="eastAsia"/>
          <w:szCs w:val="24"/>
        </w:rPr>
        <w:t>《危险废物贮存污染控制标准》（</w:t>
      </w:r>
      <w:r w:rsidRPr="002B55E9">
        <w:rPr>
          <w:rFonts w:hint="eastAsia"/>
          <w:szCs w:val="24"/>
        </w:rPr>
        <w:t>GB18597-2001</w:t>
      </w:r>
      <w:r w:rsidRPr="002B55E9">
        <w:rPr>
          <w:rFonts w:hint="eastAsia"/>
          <w:szCs w:val="24"/>
        </w:rPr>
        <w:t>）</w:t>
      </w:r>
      <w:r w:rsidRPr="002B55E9">
        <w:rPr>
          <w:rFonts w:hint="eastAsia"/>
          <w:bCs w:val="0"/>
        </w:rPr>
        <w:t>及其修改单中</w:t>
      </w:r>
      <w:r w:rsidRPr="002B55E9">
        <w:rPr>
          <w:rFonts w:hint="eastAsia"/>
          <w:bCs w:val="0"/>
        </w:rPr>
        <w:t>6.3.1</w:t>
      </w:r>
      <w:r w:rsidRPr="002B55E9">
        <w:rPr>
          <w:rFonts w:hint="eastAsia"/>
          <w:bCs w:val="0"/>
        </w:rPr>
        <w:t>款要求，对暂存间地面基础进行防渗，渗透系数≤</w:t>
      </w:r>
      <w:r w:rsidRPr="002B55E9">
        <w:rPr>
          <w:rFonts w:hint="eastAsia"/>
          <w:bCs w:val="0"/>
        </w:rPr>
        <w:t>10</w:t>
      </w:r>
      <w:r w:rsidRPr="002B55E9">
        <w:rPr>
          <w:rFonts w:hint="eastAsia"/>
          <w:bCs w:val="0"/>
          <w:vertAlign w:val="superscript"/>
        </w:rPr>
        <w:t>-10</w:t>
      </w:r>
      <w:r w:rsidRPr="002B55E9">
        <w:rPr>
          <w:rFonts w:hint="eastAsia"/>
          <w:bCs w:val="0"/>
        </w:rPr>
        <w:t>cm/s</w:t>
      </w:r>
      <w:r w:rsidRPr="002B55E9">
        <w:rPr>
          <w:rFonts w:hint="eastAsia"/>
          <w:bCs w:val="0"/>
        </w:rPr>
        <w:t>，厚度不小于</w:t>
      </w:r>
      <w:r w:rsidRPr="002B55E9">
        <w:rPr>
          <w:rFonts w:hint="eastAsia"/>
          <w:bCs w:val="0"/>
        </w:rPr>
        <w:t>2mm</w:t>
      </w:r>
      <w:r w:rsidRPr="002B55E9">
        <w:rPr>
          <w:rFonts w:hint="eastAsia"/>
          <w:bCs w:val="0"/>
        </w:rPr>
        <w:t>；同时本项目危险废物暂存间位置远离人员活动区。综合分析可知，项目拟建设的危险废物暂存间符合《危险废物贮存污染控制标准》（</w:t>
      </w:r>
      <w:r w:rsidRPr="002B55E9">
        <w:rPr>
          <w:rFonts w:hint="eastAsia"/>
          <w:bCs w:val="0"/>
        </w:rPr>
        <w:t>GB18597-2001</w:t>
      </w:r>
      <w:r w:rsidRPr="002B55E9">
        <w:rPr>
          <w:rFonts w:hint="eastAsia"/>
          <w:bCs w:val="0"/>
        </w:rPr>
        <w:t>）及其修改单相关要求，选址可行</w:t>
      </w:r>
      <w:r w:rsidRPr="002B55E9">
        <w:rPr>
          <w:rFonts w:hint="eastAsia"/>
        </w:rPr>
        <w:t>。</w:t>
      </w:r>
    </w:p>
    <w:p w14:paraId="7C140900" w14:textId="27F6ACA5" w:rsidR="00275F35" w:rsidRPr="002B55E9" w:rsidRDefault="00275F35" w:rsidP="00275F35">
      <w:pPr>
        <w:pStyle w:val="affff7"/>
        <w:snapToGrid w:val="0"/>
        <w:spacing w:after="0" w:line="240" w:lineRule="auto"/>
        <w:ind w:firstLineChars="0" w:firstLine="0"/>
        <w:jc w:val="center"/>
        <w:rPr>
          <w:rFonts w:ascii="黑体" w:eastAsia="黑体" w:hAnsi="黑体"/>
          <w:szCs w:val="24"/>
        </w:rPr>
      </w:pPr>
      <w:r w:rsidRPr="002B55E9">
        <w:rPr>
          <w:rFonts w:ascii="黑体" w:eastAsia="黑体" w:hAnsi="黑体" w:hint="eastAsia"/>
          <w:b/>
        </w:rPr>
        <w:t>表</w:t>
      </w:r>
      <w:r w:rsidRPr="002B55E9">
        <w:rPr>
          <w:rFonts w:ascii="黑体" w:eastAsia="黑体" w:hAnsi="黑体"/>
          <w:b/>
        </w:rPr>
        <w:t>5-</w:t>
      </w:r>
      <w:r w:rsidRPr="002B55E9">
        <w:rPr>
          <w:rFonts w:ascii="黑体" w:eastAsia="黑体" w:hAnsi="黑体" w:hint="eastAsia"/>
          <w:b/>
        </w:rPr>
        <w:t>5</w:t>
      </w:r>
      <w:r w:rsidRPr="002B55E9">
        <w:rPr>
          <w:rFonts w:ascii="黑体" w:eastAsia="黑体" w:hAnsi="黑体"/>
          <w:b/>
        </w:rPr>
        <w:t>-</w:t>
      </w:r>
      <w:r w:rsidR="00362261" w:rsidRPr="002B55E9">
        <w:rPr>
          <w:rFonts w:ascii="黑体" w:eastAsia="黑体" w:hAnsi="黑体"/>
          <w:b/>
        </w:rPr>
        <w:t>3</w:t>
      </w:r>
      <w:r w:rsidRPr="002B55E9">
        <w:rPr>
          <w:rFonts w:ascii="黑体" w:eastAsia="黑体" w:hAnsi="黑体"/>
          <w:b/>
        </w:rPr>
        <w:t xml:space="preserve">  </w:t>
      </w:r>
      <w:r w:rsidRPr="002B55E9">
        <w:rPr>
          <w:rFonts w:ascii="黑体" w:eastAsia="黑体" w:hAnsi="黑体" w:hint="eastAsia"/>
          <w:szCs w:val="24"/>
        </w:rPr>
        <w:t>拟建项目危险废物贮存场所基本情况样表</w:t>
      </w:r>
    </w:p>
    <w:tbl>
      <w:tblPr>
        <w:tblStyle w:val="lgy2"/>
        <w:tblW w:w="5000" w:type="pct"/>
        <w:tblLayout w:type="fixed"/>
        <w:tblCellMar>
          <w:left w:w="28" w:type="dxa"/>
          <w:right w:w="28" w:type="dxa"/>
        </w:tblCellMar>
        <w:tblLook w:val="04A0" w:firstRow="1" w:lastRow="0" w:firstColumn="1" w:lastColumn="0" w:noHBand="0" w:noVBand="1"/>
      </w:tblPr>
      <w:tblGrid>
        <w:gridCol w:w="558"/>
        <w:gridCol w:w="1152"/>
        <w:gridCol w:w="1336"/>
        <w:gridCol w:w="797"/>
        <w:gridCol w:w="1005"/>
        <w:gridCol w:w="713"/>
        <w:gridCol w:w="1015"/>
        <w:gridCol w:w="1140"/>
        <w:gridCol w:w="911"/>
        <w:gridCol w:w="1066"/>
      </w:tblGrid>
      <w:tr w:rsidR="002B55E9" w:rsidRPr="002B55E9" w14:paraId="0E02AB91" w14:textId="77777777" w:rsidTr="00B622DC">
        <w:trPr>
          <w:cnfStyle w:val="100000000000" w:firstRow="1" w:lastRow="0" w:firstColumn="0" w:lastColumn="0" w:oddVBand="0" w:evenVBand="0" w:oddHBand="0" w:evenHBand="0" w:firstRowFirstColumn="0" w:firstRowLastColumn="0" w:lastRowFirstColumn="0" w:lastRowLastColumn="0"/>
          <w:trHeight w:val="283"/>
        </w:trPr>
        <w:tc>
          <w:tcPr>
            <w:tcW w:w="556" w:type="dxa"/>
          </w:tcPr>
          <w:p w14:paraId="27AA323F" w14:textId="77777777" w:rsidR="00275F35" w:rsidRPr="002B55E9" w:rsidRDefault="00275F35" w:rsidP="00B622DC">
            <w:pPr>
              <w:pStyle w:val="lgy-"/>
              <w:rPr>
                <w:rFonts w:eastAsia="宋体"/>
              </w:rPr>
            </w:pPr>
            <w:r w:rsidRPr="002B55E9">
              <w:rPr>
                <w:rFonts w:eastAsia="宋体" w:hint="eastAsia"/>
              </w:rPr>
              <w:t>序号</w:t>
            </w:r>
          </w:p>
        </w:tc>
        <w:tc>
          <w:tcPr>
            <w:tcW w:w="1145" w:type="dxa"/>
          </w:tcPr>
          <w:p w14:paraId="47566E6F" w14:textId="77777777" w:rsidR="00275F35" w:rsidRPr="002B55E9" w:rsidRDefault="00275F35" w:rsidP="00B622DC">
            <w:pPr>
              <w:pStyle w:val="lgy-"/>
              <w:rPr>
                <w:rFonts w:eastAsia="宋体"/>
              </w:rPr>
            </w:pPr>
            <w:r w:rsidRPr="002B55E9">
              <w:rPr>
                <w:rFonts w:eastAsia="宋体" w:hint="eastAsia"/>
              </w:rPr>
              <w:t>贮存场所（设</w:t>
            </w:r>
            <w:r w:rsidRPr="002B55E9">
              <w:rPr>
                <w:rFonts w:eastAsia="宋体" w:hint="eastAsia"/>
              </w:rPr>
              <w:lastRenderedPageBreak/>
              <w:t>施）名称</w:t>
            </w:r>
          </w:p>
        </w:tc>
        <w:tc>
          <w:tcPr>
            <w:tcW w:w="1328" w:type="dxa"/>
          </w:tcPr>
          <w:p w14:paraId="59D7601B" w14:textId="77777777" w:rsidR="00275F35" w:rsidRPr="002B55E9" w:rsidRDefault="00275F35" w:rsidP="00B622DC">
            <w:pPr>
              <w:pStyle w:val="lgy-"/>
              <w:rPr>
                <w:rFonts w:eastAsia="宋体"/>
              </w:rPr>
            </w:pPr>
            <w:r w:rsidRPr="002B55E9">
              <w:rPr>
                <w:rFonts w:eastAsia="宋体" w:hint="eastAsia"/>
              </w:rPr>
              <w:lastRenderedPageBreak/>
              <w:t>危险废物名称</w:t>
            </w:r>
          </w:p>
        </w:tc>
        <w:tc>
          <w:tcPr>
            <w:tcW w:w="792" w:type="dxa"/>
          </w:tcPr>
          <w:p w14:paraId="368EC619" w14:textId="77777777" w:rsidR="00275F35" w:rsidRPr="002B55E9" w:rsidRDefault="00275F35" w:rsidP="00B622DC">
            <w:pPr>
              <w:pStyle w:val="lgy-"/>
              <w:rPr>
                <w:rFonts w:eastAsia="宋体"/>
              </w:rPr>
            </w:pPr>
            <w:r w:rsidRPr="002B55E9">
              <w:rPr>
                <w:rFonts w:eastAsia="宋体" w:hint="eastAsia"/>
              </w:rPr>
              <w:t>危险废物</w:t>
            </w:r>
            <w:r w:rsidRPr="002B55E9">
              <w:rPr>
                <w:rFonts w:eastAsia="宋体" w:hint="eastAsia"/>
              </w:rPr>
              <w:lastRenderedPageBreak/>
              <w:t>类别</w:t>
            </w:r>
          </w:p>
        </w:tc>
        <w:tc>
          <w:tcPr>
            <w:tcW w:w="999" w:type="dxa"/>
          </w:tcPr>
          <w:p w14:paraId="1E528234" w14:textId="77777777" w:rsidR="00275F35" w:rsidRPr="002B55E9" w:rsidRDefault="00275F35" w:rsidP="00B622DC">
            <w:pPr>
              <w:pStyle w:val="lgy-"/>
              <w:rPr>
                <w:rFonts w:eastAsia="宋体"/>
              </w:rPr>
            </w:pPr>
            <w:r w:rsidRPr="002B55E9">
              <w:rPr>
                <w:rFonts w:eastAsia="宋体" w:hint="eastAsia"/>
              </w:rPr>
              <w:lastRenderedPageBreak/>
              <w:t>危险废物代</w:t>
            </w:r>
            <w:r w:rsidRPr="002B55E9">
              <w:rPr>
                <w:rFonts w:eastAsia="宋体" w:hint="eastAsia"/>
              </w:rPr>
              <w:lastRenderedPageBreak/>
              <w:t>码</w:t>
            </w:r>
          </w:p>
        </w:tc>
        <w:tc>
          <w:tcPr>
            <w:tcW w:w="709" w:type="dxa"/>
          </w:tcPr>
          <w:p w14:paraId="5E59C58D" w14:textId="77777777" w:rsidR="00275F35" w:rsidRPr="002B55E9" w:rsidRDefault="00275F35" w:rsidP="00B622DC">
            <w:pPr>
              <w:pStyle w:val="lgy-"/>
              <w:rPr>
                <w:rFonts w:eastAsia="宋体"/>
              </w:rPr>
            </w:pPr>
            <w:r w:rsidRPr="002B55E9">
              <w:rPr>
                <w:rFonts w:eastAsia="宋体" w:hint="eastAsia"/>
              </w:rPr>
              <w:lastRenderedPageBreak/>
              <w:t>位置</w:t>
            </w:r>
          </w:p>
        </w:tc>
        <w:tc>
          <w:tcPr>
            <w:tcW w:w="1009" w:type="dxa"/>
          </w:tcPr>
          <w:p w14:paraId="34FCA90F" w14:textId="77777777" w:rsidR="00275F35" w:rsidRPr="002B55E9" w:rsidRDefault="00275F35" w:rsidP="00B622DC">
            <w:pPr>
              <w:pStyle w:val="lgy-"/>
              <w:rPr>
                <w:rFonts w:eastAsia="宋体"/>
              </w:rPr>
            </w:pPr>
            <w:r w:rsidRPr="002B55E9">
              <w:rPr>
                <w:rFonts w:eastAsia="宋体" w:hint="eastAsia"/>
              </w:rPr>
              <w:t>占地面积</w:t>
            </w:r>
            <w:r w:rsidRPr="002B55E9">
              <w:rPr>
                <w:rFonts w:eastAsia="宋体" w:hint="eastAsia"/>
              </w:rPr>
              <w:lastRenderedPageBreak/>
              <w:t>（</w:t>
            </w:r>
            <w:r w:rsidRPr="002B55E9">
              <w:rPr>
                <w:rFonts w:eastAsia="宋体"/>
              </w:rPr>
              <w:t>m</w:t>
            </w:r>
            <w:r w:rsidRPr="002B55E9">
              <w:rPr>
                <w:rFonts w:eastAsia="宋体"/>
                <w:vertAlign w:val="superscript"/>
              </w:rPr>
              <w:t>2</w:t>
            </w:r>
            <w:r w:rsidRPr="002B55E9">
              <w:rPr>
                <w:rFonts w:eastAsia="宋体" w:hint="eastAsia"/>
              </w:rPr>
              <w:t>）</w:t>
            </w:r>
          </w:p>
        </w:tc>
        <w:tc>
          <w:tcPr>
            <w:tcW w:w="1133" w:type="dxa"/>
          </w:tcPr>
          <w:p w14:paraId="5BEE816F" w14:textId="77777777" w:rsidR="00275F35" w:rsidRPr="002B55E9" w:rsidRDefault="00275F35" w:rsidP="00B622DC">
            <w:pPr>
              <w:pStyle w:val="lgy-"/>
              <w:rPr>
                <w:rFonts w:eastAsia="宋体"/>
              </w:rPr>
            </w:pPr>
            <w:r w:rsidRPr="002B55E9">
              <w:rPr>
                <w:rFonts w:eastAsia="宋体" w:hint="eastAsia"/>
              </w:rPr>
              <w:lastRenderedPageBreak/>
              <w:t>贮存方式</w:t>
            </w:r>
          </w:p>
        </w:tc>
        <w:tc>
          <w:tcPr>
            <w:tcW w:w="906" w:type="dxa"/>
          </w:tcPr>
          <w:p w14:paraId="67E8691F" w14:textId="77777777" w:rsidR="00275F35" w:rsidRPr="002B55E9" w:rsidRDefault="00275F35" w:rsidP="00B622DC">
            <w:pPr>
              <w:pStyle w:val="lgy-"/>
              <w:rPr>
                <w:rFonts w:eastAsia="宋体"/>
              </w:rPr>
            </w:pPr>
            <w:r w:rsidRPr="002B55E9">
              <w:rPr>
                <w:rFonts w:eastAsia="宋体" w:hint="eastAsia"/>
              </w:rPr>
              <w:t>贮存能力</w:t>
            </w:r>
          </w:p>
        </w:tc>
        <w:tc>
          <w:tcPr>
            <w:tcW w:w="1060" w:type="dxa"/>
          </w:tcPr>
          <w:p w14:paraId="5A15B662" w14:textId="77777777" w:rsidR="00275F35" w:rsidRPr="002B55E9" w:rsidRDefault="00275F35" w:rsidP="00B622DC">
            <w:pPr>
              <w:pStyle w:val="lgy-"/>
              <w:rPr>
                <w:rFonts w:eastAsia="宋体"/>
              </w:rPr>
            </w:pPr>
            <w:r w:rsidRPr="002B55E9">
              <w:rPr>
                <w:rFonts w:eastAsia="宋体" w:hint="eastAsia"/>
              </w:rPr>
              <w:t>贮存周期</w:t>
            </w:r>
          </w:p>
        </w:tc>
      </w:tr>
      <w:tr w:rsidR="002B55E9" w:rsidRPr="002B55E9" w14:paraId="73FF9221" w14:textId="77777777" w:rsidTr="00B622DC">
        <w:trPr>
          <w:trHeight w:val="283"/>
        </w:trPr>
        <w:tc>
          <w:tcPr>
            <w:tcW w:w="556" w:type="dxa"/>
          </w:tcPr>
          <w:p w14:paraId="177C849D" w14:textId="77777777" w:rsidR="00275F35" w:rsidRPr="002B55E9" w:rsidRDefault="00275F35" w:rsidP="00B622DC">
            <w:pPr>
              <w:pStyle w:val="lgy-"/>
              <w:rPr>
                <w:rFonts w:eastAsia="宋体"/>
              </w:rPr>
            </w:pPr>
            <w:r w:rsidRPr="002B55E9">
              <w:rPr>
                <w:rFonts w:eastAsia="宋体"/>
              </w:rPr>
              <w:lastRenderedPageBreak/>
              <w:t>1</w:t>
            </w:r>
          </w:p>
        </w:tc>
        <w:tc>
          <w:tcPr>
            <w:tcW w:w="1145" w:type="dxa"/>
            <w:vMerge w:val="restart"/>
          </w:tcPr>
          <w:p w14:paraId="1EF83196" w14:textId="77777777" w:rsidR="00275F35" w:rsidRPr="002B55E9" w:rsidRDefault="00275F35" w:rsidP="00B622DC">
            <w:pPr>
              <w:pStyle w:val="lgy-"/>
              <w:rPr>
                <w:rFonts w:eastAsia="宋体"/>
              </w:rPr>
            </w:pPr>
            <w:r w:rsidRPr="002B55E9">
              <w:rPr>
                <w:rFonts w:eastAsia="宋体" w:hint="eastAsia"/>
              </w:rPr>
              <w:t>危废暂存间</w:t>
            </w:r>
          </w:p>
        </w:tc>
        <w:tc>
          <w:tcPr>
            <w:tcW w:w="1328" w:type="dxa"/>
          </w:tcPr>
          <w:p w14:paraId="329303F6" w14:textId="77777777" w:rsidR="00275F35" w:rsidRPr="002B55E9" w:rsidRDefault="00275F35" w:rsidP="00B622DC">
            <w:pPr>
              <w:pStyle w:val="lgy-"/>
              <w:rPr>
                <w:rFonts w:eastAsia="宋体"/>
              </w:rPr>
            </w:pPr>
            <w:r w:rsidRPr="002B55E9">
              <w:rPr>
                <w:rFonts w:eastAsia="宋体" w:hint="eastAsia"/>
              </w:rPr>
              <w:t>废油墨桶、废墨盒、废胶粘剂桶等</w:t>
            </w:r>
          </w:p>
        </w:tc>
        <w:tc>
          <w:tcPr>
            <w:tcW w:w="792" w:type="dxa"/>
          </w:tcPr>
          <w:p w14:paraId="4D0BBE3F" w14:textId="77777777" w:rsidR="00275F35" w:rsidRPr="002B55E9" w:rsidRDefault="00275F35" w:rsidP="00B622DC">
            <w:pPr>
              <w:pStyle w:val="lgy-"/>
              <w:rPr>
                <w:rFonts w:eastAsia="宋体"/>
              </w:rPr>
            </w:pPr>
            <w:r w:rsidRPr="002B55E9">
              <w:rPr>
                <w:rFonts w:eastAsia="宋体" w:hint="eastAsia"/>
              </w:rPr>
              <w:t>H</w:t>
            </w:r>
            <w:r w:rsidRPr="002B55E9">
              <w:rPr>
                <w:rFonts w:eastAsia="宋体"/>
              </w:rPr>
              <w:t>W49</w:t>
            </w:r>
          </w:p>
        </w:tc>
        <w:tc>
          <w:tcPr>
            <w:tcW w:w="999" w:type="dxa"/>
          </w:tcPr>
          <w:p w14:paraId="568E5479" w14:textId="77777777" w:rsidR="00275F35" w:rsidRPr="002B55E9" w:rsidRDefault="00275F35" w:rsidP="00B622DC">
            <w:pPr>
              <w:pStyle w:val="lgy-"/>
              <w:rPr>
                <w:rFonts w:eastAsia="宋体"/>
              </w:rPr>
            </w:pPr>
            <w:r w:rsidRPr="002B55E9">
              <w:rPr>
                <w:rFonts w:eastAsia="宋体" w:hint="eastAsia"/>
              </w:rPr>
              <w:t>9</w:t>
            </w:r>
            <w:r w:rsidRPr="002B55E9">
              <w:rPr>
                <w:rFonts w:eastAsia="宋体"/>
              </w:rPr>
              <w:t>00-041-49</w:t>
            </w:r>
          </w:p>
        </w:tc>
        <w:tc>
          <w:tcPr>
            <w:tcW w:w="709" w:type="dxa"/>
            <w:vMerge w:val="restart"/>
          </w:tcPr>
          <w:p w14:paraId="2D4B7AC7" w14:textId="5930BDCE" w:rsidR="00275F35" w:rsidRPr="002B55E9" w:rsidRDefault="00275F35" w:rsidP="00B622DC">
            <w:pPr>
              <w:pStyle w:val="lgy-"/>
              <w:rPr>
                <w:rFonts w:eastAsia="宋体"/>
              </w:rPr>
            </w:pPr>
            <w:r w:rsidRPr="002B55E9">
              <w:rPr>
                <w:rFonts w:eastAsia="宋体" w:hint="eastAsia"/>
              </w:rPr>
              <w:t>罐区三北侧</w:t>
            </w:r>
          </w:p>
        </w:tc>
        <w:tc>
          <w:tcPr>
            <w:tcW w:w="1009" w:type="dxa"/>
          </w:tcPr>
          <w:p w14:paraId="43B1EF72" w14:textId="77777777" w:rsidR="00275F35" w:rsidRPr="002B55E9" w:rsidRDefault="00275F35" w:rsidP="00B622DC">
            <w:pPr>
              <w:pStyle w:val="lgy-"/>
              <w:rPr>
                <w:rFonts w:eastAsia="宋体"/>
              </w:rPr>
            </w:pPr>
            <w:r w:rsidRPr="002B55E9">
              <w:rPr>
                <w:rFonts w:eastAsia="宋体"/>
              </w:rPr>
              <w:t>3</w:t>
            </w:r>
          </w:p>
        </w:tc>
        <w:tc>
          <w:tcPr>
            <w:tcW w:w="1133" w:type="dxa"/>
          </w:tcPr>
          <w:p w14:paraId="1C3BC960" w14:textId="77777777" w:rsidR="00275F35" w:rsidRPr="002B55E9" w:rsidRDefault="00275F35" w:rsidP="00B622DC">
            <w:pPr>
              <w:pStyle w:val="lgy-"/>
              <w:rPr>
                <w:rFonts w:eastAsia="宋体"/>
              </w:rPr>
            </w:pPr>
            <w:r w:rsidRPr="002B55E9">
              <w:rPr>
                <w:rFonts w:eastAsia="宋体" w:hint="eastAsia"/>
              </w:rPr>
              <w:t>/</w:t>
            </w:r>
          </w:p>
        </w:tc>
        <w:tc>
          <w:tcPr>
            <w:tcW w:w="906" w:type="dxa"/>
          </w:tcPr>
          <w:p w14:paraId="3CA91D00" w14:textId="30190BB9" w:rsidR="00275F35" w:rsidRPr="002B55E9" w:rsidRDefault="00275F35" w:rsidP="00B622DC">
            <w:pPr>
              <w:pStyle w:val="lgy-"/>
              <w:rPr>
                <w:rFonts w:eastAsia="宋体"/>
              </w:rPr>
            </w:pPr>
            <w:r w:rsidRPr="002B55E9">
              <w:rPr>
                <w:rFonts w:eastAsia="宋体"/>
              </w:rPr>
              <w:t>1.5</w:t>
            </w:r>
          </w:p>
        </w:tc>
        <w:tc>
          <w:tcPr>
            <w:tcW w:w="1060" w:type="dxa"/>
          </w:tcPr>
          <w:p w14:paraId="3ECA5A86" w14:textId="77777777" w:rsidR="00275F35" w:rsidRPr="002B55E9" w:rsidRDefault="00275F35" w:rsidP="00B622DC">
            <w:pPr>
              <w:pStyle w:val="lgy-"/>
              <w:rPr>
                <w:rFonts w:eastAsia="宋体"/>
              </w:rPr>
            </w:pPr>
            <w:r w:rsidRPr="002B55E9">
              <w:rPr>
                <w:rFonts w:eastAsia="宋体" w:hint="eastAsia"/>
              </w:rPr>
              <w:t>1</w:t>
            </w:r>
            <w:r w:rsidRPr="002B55E9">
              <w:rPr>
                <w:rFonts w:eastAsia="宋体" w:hint="eastAsia"/>
              </w:rPr>
              <w:t>个月</w:t>
            </w:r>
          </w:p>
        </w:tc>
      </w:tr>
      <w:tr w:rsidR="002B55E9" w:rsidRPr="002B55E9" w14:paraId="7E53319B" w14:textId="77777777" w:rsidTr="00B622DC">
        <w:trPr>
          <w:trHeight w:val="283"/>
        </w:trPr>
        <w:tc>
          <w:tcPr>
            <w:tcW w:w="556" w:type="dxa"/>
          </w:tcPr>
          <w:p w14:paraId="2E95F8D2" w14:textId="77777777" w:rsidR="00275F35" w:rsidRPr="002B55E9" w:rsidRDefault="00275F35" w:rsidP="00B622DC">
            <w:pPr>
              <w:pStyle w:val="lgy-"/>
            </w:pPr>
            <w:r w:rsidRPr="002B55E9">
              <w:rPr>
                <w:rFonts w:hint="eastAsia"/>
              </w:rPr>
              <w:t>2</w:t>
            </w:r>
          </w:p>
        </w:tc>
        <w:tc>
          <w:tcPr>
            <w:tcW w:w="1145" w:type="dxa"/>
            <w:vMerge/>
          </w:tcPr>
          <w:p w14:paraId="4A775B71" w14:textId="77777777" w:rsidR="00275F35" w:rsidRPr="002B55E9" w:rsidRDefault="00275F35" w:rsidP="00B622DC">
            <w:pPr>
              <w:pStyle w:val="lgy-"/>
            </w:pPr>
          </w:p>
        </w:tc>
        <w:tc>
          <w:tcPr>
            <w:tcW w:w="1328" w:type="dxa"/>
          </w:tcPr>
          <w:p w14:paraId="5FFBDF02" w14:textId="77777777" w:rsidR="00275F35" w:rsidRPr="002B55E9" w:rsidRDefault="00275F35" w:rsidP="00B622DC">
            <w:pPr>
              <w:pStyle w:val="lgy-"/>
            </w:pPr>
            <w:r w:rsidRPr="002B55E9">
              <w:rPr>
                <w:rFonts w:eastAsia="宋体" w:hint="eastAsia"/>
              </w:rPr>
              <w:t>实验废液</w:t>
            </w:r>
          </w:p>
        </w:tc>
        <w:tc>
          <w:tcPr>
            <w:tcW w:w="792" w:type="dxa"/>
          </w:tcPr>
          <w:p w14:paraId="5CA72B36" w14:textId="77777777" w:rsidR="00275F35" w:rsidRPr="002B55E9" w:rsidRDefault="00275F35" w:rsidP="00B622DC">
            <w:pPr>
              <w:pStyle w:val="lgy-"/>
            </w:pPr>
            <w:r w:rsidRPr="002B55E9">
              <w:rPr>
                <w:rFonts w:eastAsia="宋体" w:hint="eastAsia"/>
              </w:rPr>
              <w:t>H</w:t>
            </w:r>
            <w:r w:rsidRPr="002B55E9">
              <w:rPr>
                <w:rFonts w:eastAsia="宋体"/>
              </w:rPr>
              <w:t>W49</w:t>
            </w:r>
          </w:p>
        </w:tc>
        <w:tc>
          <w:tcPr>
            <w:tcW w:w="999" w:type="dxa"/>
          </w:tcPr>
          <w:p w14:paraId="1431AE81" w14:textId="77777777" w:rsidR="00275F35" w:rsidRPr="002B55E9" w:rsidRDefault="00275F35" w:rsidP="00B622DC">
            <w:pPr>
              <w:pStyle w:val="lgy-"/>
            </w:pPr>
            <w:r w:rsidRPr="002B55E9">
              <w:rPr>
                <w:rFonts w:eastAsia="宋体" w:hint="eastAsia"/>
              </w:rPr>
              <w:t>9</w:t>
            </w:r>
            <w:r w:rsidRPr="002B55E9">
              <w:rPr>
                <w:rFonts w:eastAsia="宋体"/>
              </w:rPr>
              <w:t>00-047-49</w:t>
            </w:r>
          </w:p>
        </w:tc>
        <w:tc>
          <w:tcPr>
            <w:tcW w:w="709" w:type="dxa"/>
            <w:vMerge/>
          </w:tcPr>
          <w:p w14:paraId="51005651" w14:textId="77777777" w:rsidR="00275F35" w:rsidRPr="002B55E9" w:rsidRDefault="00275F35" w:rsidP="00B622DC">
            <w:pPr>
              <w:pStyle w:val="lgy-"/>
            </w:pPr>
          </w:p>
        </w:tc>
        <w:tc>
          <w:tcPr>
            <w:tcW w:w="1009" w:type="dxa"/>
          </w:tcPr>
          <w:p w14:paraId="14FC37E5" w14:textId="77777777" w:rsidR="00275F35" w:rsidRPr="002B55E9" w:rsidRDefault="00275F35" w:rsidP="00B622DC">
            <w:pPr>
              <w:pStyle w:val="lgy-"/>
            </w:pPr>
            <w:r w:rsidRPr="002B55E9">
              <w:rPr>
                <w:rFonts w:hint="eastAsia"/>
              </w:rPr>
              <w:t>1</w:t>
            </w:r>
          </w:p>
        </w:tc>
        <w:tc>
          <w:tcPr>
            <w:tcW w:w="1133" w:type="dxa"/>
          </w:tcPr>
          <w:p w14:paraId="2AF91732" w14:textId="77777777" w:rsidR="00275F35" w:rsidRPr="002B55E9" w:rsidRDefault="00275F35" w:rsidP="00B622DC">
            <w:pPr>
              <w:pStyle w:val="lgy-"/>
            </w:pPr>
            <w:r w:rsidRPr="002B55E9">
              <w:rPr>
                <w:rFonts w:eastAsia="宋体" w:hint="eastAsia"/>
              </w:rPr>
              <w:t>桶装</w:t>
            </w:r>
          </w:p>
        </w:tc>
        <w:tc>
          <w:tcPr>
            <w:tcW w:w="906" w:type="dxa"/>
          </w:tcPr>
          <w:p w14:paraId="30FBAC30" w14:textId="6069C933" w:rsidR="00275F35" w:rsidRPr="002B55E9" w:rsidRDefault="00275F35" w:rsidP="00B622DC">
            <w:pPr>
              <w:pStyle w:val="lgy-"/>
            </w:pPr>
            <w:r w:rsidRPr="002B55E9">
              <w:rPr>
                <w:rFonts w:eastAsia="宋体"/>
              </w:rPr>
              <w:t>0.5</w:t>
            </w:r>
          </w:p>
        </w:tc>
        <w:tc>
          <w:tcPr>
            <w:tcW w:w="1060" w:type="dxa"/>
          </w:tcPr>
          <w:p w14:paraId="42096ACE" w14:textId="77777777" w:rsidR="00275F35" w:rsidRPr="002B55E9" w:rsidRDefault="00275F35" w:rsidP="00B622DC">
            <w:pPr>
              <w:pStyle w:val="lgy-"/>
            </w:pPr>
            <w:r w:rsidRPr="002B55E9">
              <w:rPr>
                <w:rFonts w:eastAsia="宋体" w:hint="eastAsia"/>
              </w:rPr>
              <w:t>1</w:t>
            </w:r>
            <w:r w:rsidRPr="002B55E9">
              <w:rPr>
                <w:rFonts w:eastAsia="宋体" w:hint="eastAsia"/>
              </w:rPr>
              <w:t>个月</w:t>
            </w:r>
          </w:p>
        </w:tc>
      </w:tr>
      <w:tr w:rsidR="002B55E9" w:rsidRPr="002B55E9" w14:paraId="03417FCE" w14:textId="77777777" w:rsidTr="00B622DC">
        <w:trPr>
          <w:trHeight w:val="283"/>
        </w:trPr>
        <w:tc>
          <w:tcPr>
            <w:tcW w:w="556" w:type="dxa"/>
          </w:tcPr>
          <w:p w14:paraId="58A3002B" w14:textId="77777777" w:rsidR="00275F35" w:rsidRPr="002B55E9" w:rsidRDefault="00275F35" w:rsidP="00B622DC">
            <w:pPr>
              <w:pStyle w:val="lgy-"/>
            </w:pPr>
            <w:r w:rsidRPr="002B55E9">
              <w:rPr>
                <w:rFonts w:hint="eastAsia"/>
              </w:rPr>
              <w:t>3</w:t>
            </w:r>
          </w:p>
        </w:tc>
        <w:tc>
          <w:tcPr>
            <w:tcW w:w="1145" w:type="dxa"/>
            <w:vMerge/>
          </w:tcPr>
          <w:p w14:paraId="004A4B04" w14:textId="77777777" w:rsidR="00275F35" w:rsidRPr="002B55E9" w:rsidRDefault="00275F35" w:rsidP="00B622DC">
            <w:pPr>
              <w:pStyle w:val="lgy-"/>
            </w:pPr>
          </w:p>
        </w:tc>
        <w:tc>
          <w:tcPr>
            <w:tcW w:w="1328" w:type="dxa"/>
          </w:tcPr>
          <w:p w14:paraId="3D2C8051" w14:textId="77777777" w:rsidR="00275F35" w:rsidRPr="002B55E9" w:rsidRDefault="00275F35" w:rsidP="00B622DC">
            <w:pPr>
              <w:pStyle w:val="lgy-"/>
            </w:pPr>
            <w:r w:rsidRPr="002B55E9">
              <w:rPr>
                <w:rFonts w:eastAsia="宋体" w:hint="eastAsia"/>
              </w:rPr>
              <w:t>化验室</w:t>
            </w:r>
            <w:r w:rsidRPr="002B55E9">
              <w:rPr>
                <w:rFonts w:eastAsia="宋体"/>
              </w:rPr>
              <w:t>废耗材</w:t>
            </w:r>
          </w:p>
        </w:tc>
        <w:tc>
          <w:tcPr>
            <w:tcW w:w="792" w:type="dxa"/>
          </w:tcPr>
          <w:p w14:paraId="6F436F2D" w14:textId="77777777" w:rsidR="00275F35" w:rsidRPr="002B55E9" w:rsidRDefault="00275F35" w:rsidP="00B622DC">
            <w:pPr>
              <w:pStyle w:val="lgy-"/>
            </w:pPr>
            <w:r w:rsidRPr="002B55E9">
              <w:rPr>
                <w:rFonts w:eastAsia="宋体" w:hint="eastAsia"/>
              </w:rPr>
              <w:t>H</w:t>
            </w:r>
            <w:r w:rsidRPr="002B55E9">
              <w:rPr>
                <w:rFonts w:eastAsia="宋体"/>
              </w:rPr>
              <w:t>W49</w:t>
            </w:r>
          </w:p>
        </w:tc>
        <w:tc>
          <w:tcPr>
            <w:tcW w:w="999" w:type="dxa"/>
          </w:tcPr>
          <w:p w14:paraId="090D1214" w14:textId="77777777" w:rsidR="00275F35" w:rsidRPr="002B55E9" w:rsidRDefault="00275F35" w:rsidP="00B622DC">
            <w:pPr>
              <w:pStyle w:val="lgy-"/>
            </w:pPr>
            <w:r w:rsidRPr="002B55E9">
              <w:rPr>
                <w:rFonts w:eastAsia="宋体" w:hint="eastAsia"/>
              </w:rPr>
              <w:t>9</w:t>
            </w:r>
            <w:r w:rsidRPr="002B55E9">
              <w:rPr>
                <w:rFonts w:eastAsia="宋体"/>
              </w:rPr>
              <w:t>00-047-49</w:t>
            </w:r>
          </w:p>
        </w:tc>
        <w:tc>
          <w:tcPr>
            <w:tcW w:w="709" w:type="dxa"/>
            <w:vMerge/>
          </w:tcPr>
          <w:p w14:paraId="557B3F23" w14:textId="77777777" w:rsidR="00275F35" w:rsidRPr="002B55E9" w:rsidRDefault="00275F35" w:rsidP="00B622DC">
            <w:pPr>
              <w:pStyle w:val="lgy-"/>
            </w:pPr>
          </w:p>
        </w:tc>
        <w:tc>
          <w:tcPr>
            <w:tcW w:w="1009" w:type="dxa"/>
          </w:tcPr>
          <w:p w14:paraId="7432128E" w14:textId="77777777" w:rsidR="00275F35" w:rsidRPr="002B55E9" w:rsidRDefault="00275F35" w:rsidP="00B622DC">
            <w:pPr>
              <w:pStyle w:val="lgy-"/>
            </w:pPr>
            <w:r w:rsidRPr="002B55E9">
              <w:rPr>
                <w:rFonts w:hint="eastAsia"/>
              </w:rPr>
              <w:t>1</w:t>
            </w:r>
          </w:p>
        </w:tc>
        <w:tc>
          <w:tcPr>
            <w:tcW w:w="1133" w:type="dxa"/>
          </w:tcPr>
          <w:p w14:paraId="3FFEC08E" w14:textId="77777777" w:rsidR="00275F35" w:rsidRPr="002B55E9" w:rsidRDefault="00275F35" w:rsidP="00B622DC">
            <w:pPr>
              <w:pStyle w:val="lgy-"/>
            </w:pPr>
            <w:r w:rsidRPr="002B55E9">
              <w:rPr>
                <w:rFonts w:eastAsia="宋体" w:hint="eastAsia"/>
              </w:rPr>
              <w:t>袋装</w:t>
            </w:r>
          </w:p>
        </w:tc>
        <w:tc>
          <w:tcPr>
            <w:tcW w:w="906" w:type="dxa"/>
          </w:tcPr>
          <w:p w14:paraId="2B2DE1E0" w14:textId="492863A7" w:rsidR="00275F35" w:rsidRPr="002B55E9" w:rsidRDefault="00275F35" w:rsidP="00B622DC">
            <w:pPr>
              <w:pStyle w:val="lgy-"/>
            </w:pPr>
            <w:r w:rsidRPr="002B55E9">
              <w:rPr>
                <w:rFonts w:eastAsia="宋体"/>
              </w:rPr>
              <w:t>0.5</w:t>
            </w:r>
          </w:p>
        </w:tc>
        <w:tc>
          <w:tcPr>
            <w:tcW w:w="1060" w:type="dxa"/>
          </w:tcPr>
          <w:p w14:paraId="1A3F237F" w14:textId="77777777" w:rsidR="00275F35" w:rsidRPr="002B55E9" w:rsidRDefault="00275F35" w:rsidP="00B622DC">
            <w:pPr>
              <w:pStyle w:val="lgy-"/>
            </w:pPr>
            <w:r w:rsidRPr="002B55E9">
              <w:rPr>
                <w:rFonts w:eastAsia="宋体" w:hint="eastAsia"/>
              </w:rPr>
              <w:t>1</w:t>
            </w:r>
            <w:r w:rsidRPr="002B55E9">
              <w:rPr>
                <w:rFonts w:eastAsia="宋体" w:hint="eastAsia"/>
              </w:rPr>
              <w:t>个月</w:t>
            </w:r>
          </w:p>
        </w:tc>
      </w:tr>
      <w:tr w:rsidR="002B55E9" w:rsidRPr="002B55E9" w14:paraId="45DA1D1D" w14:textId="77777777" w:rsidTr="00B622DC">
        <w:trPr>
          <w:trHeight w:val="283"/>
        </w:trPr>
        <w:tc>
          <w:tcPr>
            <w:tcW w:w="556" w:type="dxa"/>
          </w:tcPr>
          <w:p w14:paraId="02D0ABF3" w14:textId="77777777" w:rsidR="00275F35" w:rsidRPr="002B55E9" w:rsidRDefault="00275F35" w:rsidP="00B622DC">
            <w:pPr>
              <w:pStyle w:val="lgy-"/>
            </w:pPr>
            <w:r w:rsidRPr="002B55E9">
              <w:rPr>
                <w:rFonts w:hint="eastAsia"/>
              </w:rPr>
              <w:t>4</w:t>
            </w:r>
          </w:p>
        </w:tc>
        <w:tc>
          <w:tcPr>
            <w:tcW w:w="1145" w:type="dxa"/>
            <w:vMerge/>
          </w:tcPr>
          <w:p w14:paraId="1A613FE8" w14:textId="77777777" w:rsidR="00275F35" w:rsidRPr="002B55E9" w:rsidRDefault="00275F35" w:rsidP="00B622DC">
            <w:pPr>
              <w:pStyle w:val="lgy-"/>
            </w:pPr>
          </w:p>
        </w:tc>
        <w:tc>
          <w:tcPr>
            <w:tcW w:w="1328" w:type="dxa"/>
          </w:tcPr>
          <w:p w14:paraId="1FDD5B5B" w14:textId="77777777" w:rsidR="00275F35" w:rsidRPr="002B55E9" w:rsidRDefault="00275F35" w:rsidP="00B622DC">
            <w:pPr>
              <w:pStyle w:val="lgy-"/>
            </w:pPr>
            <w:r w:rsidRPr="002B55E9">
              <w:rPr>
                <w:rFonts w:eastAsia="宋体" w:hint="eastAsia"/>
              </w:rPr>
              <w:t>废活性炭</w:t>
            </w:r>
          </w:p>
        </w:tc>
        <w:tc>
          <w:tcPr>
            <w:tcW w:w="792" w:type="dxa"/>
          </w:tcPr>
          <w:p w14:paraId="0A066721" w14:textId="77777777" w:rsidR="00275F35" w:rsidRPr="002B55E9" w:rsidRDefault="00275F35" w:rsidP="00B622DC">
            <w:pPr>
              <w:pStyle w:val="lgy-"/>
            </w:pPr>
            <w:r w:rsidRPr="002B55E9">
              <w:rPr>
                <w:rFonts w:eastAsia="宋体" w:hint="eastAsia"/>
              </w:rPr>
              <w:t>HW49</w:t>
            </w:r>
          </w:p>
        </w:tc>
        <w:tc>
          <w:tcPr>
            <w:tcW w:w="999" w:type="dxa"/>
          </w:tcPr>
          <w:p w14:paraId="32AF1FAD" w14:textId="77777777" w:rsidR="00275F35" w:rsidRPr="002B55E9" w:rsidRDefault="00275F35" w:rsidP="00B622DC">
            <w:pPr>
              <w:pStyle w:val="lgy-"/>
            </w:pPr>
            <w:r w:rsidRPr="002B55E9">
              <w:rPr>
                <w:rFonts w:eastAsia="宋体" w:hint="eastAsia"/>
              </w:rPr>
              <w:t>900-039-49</w:t>
            </w:r>
          </w:p>
        </w:tc>
        <w:tc>
          <w:tcPr>
            <w:tcW w:w="709" w:type="dxa"/>
            <w:vMerge/>
          </w:tcPr>
          <w:p w14:paraId="035EFCA7" w14:textId="77777777" w:rsidR="00275F35" w:rsidRPr="002B55E9" w:rsidRDefault="00275F35" w:rsidP="00B622DC">
            <w:pPr>
              <w:pStyle w:val="lgy-"/>
            </w:pPr>
          </w:p>
        </w:tc>
        <w:tc>
          <w:tcPr>
            <w:tcW w:w="1009" w:type="dxa"/>
          </w:tcPr>
          <w:p w14:paraId="6E0F4D1C" w14:textId="77777777" w:rsidR="00275F35" w:rsidRPr="002B55E9" w:rsidRDefault="00275F35" w:rsidP="00B622DC">
            <w:pPr>
              <w:pStyle w:val="lgy-"/>
            </w:pPr>
            <w:r w:rsidRPr="002B55E9">
              <w:t>2</w:t>
            </w:r>
          </w:p>
        </w:tc>
        <w:tc>
          <w:tcPr>
            <w:tcW w:w="1133" w:type="dxa"/>
          </w:tcPr>
          <w:p w14:paraId="5C0E1F16" w14:textId="77777777" w:rsidR="00275F35" w:rsidRPr="002B55E9" w:rsidRDefault="00275F35" w:rsidP="00B622DC">
            <w:pPr>
              <w:pStyle w:val="lgy-"/>
            </w:pPr>
            <w:r w:rsidRPr="002B55E9">
              <w:rPr>
                <w:rFonts w:eastAsia="宋体" w:hint="eastAsia"/>
              </w:rPr>
              <w:t>袋装</w:t>
            </w:r>
          </w:p>
        </w:tc>
        <w:tc>
          <w:tcPr>
            <w:tcW w:w="906" w:type="dxa"/>
          </w:tcPr>
          <w:p w14:paraId="24CB68D5" w14:textId="5B5E7754" w:rsidR="00275F35" w:rsidRPr="002B55E9" w:rsidRDefault="00275F35" w:rsidP="00B622DC">
            <w:pPr>
              <w:pStyle w:val="lgy-"/>
            </w:pPr>
            <w:r w:rsidRPr="002B55E9">
              <w:rPr>
                <w:rFonts w:eastAsia="宋体"/>
              </w:rPr>
              <w:t>1</w:t>
            </w:r>
          </w:p>
        </w:tc>
        <w:tc>
          <w:tcPr>
            <w:tcW w:w="1060" w:type="dxa"/>
          </w:tcPr>
          <w:p w14:paraId="2A81850D" w14:textId="77777777" w:rsidR="00275F35" w:rsidRPr="002B55E9" w:rsidRDefault="00275F35" w:rsidP="00B622DC">
            <w:pPr>
              <w:pStyle w:val="lgy-"/>
            </w:pPr>
            <w:r w:rsidRPr="002B55E9">
              <w:rPr>
                <w:rFonts w:eastAsia="宋体" w:hint="eastAsia"/>
              </w:rPr>
              <w:t>1</w:t>
            </w:r>
            <w:r w:rsidRPr="002B55E9">
              <w:rPr>
                <w:rFonts w:eastAsia="宋体" w:hint="eastAsia"/>
              </w:rPr>
              <w:t>个月</w:t>
            </w:r>
          </w:p>
        </w:tc>
      </w:tr>
      <w:tr w:rsidR="002B55E9" w:rsidRPr="002B55E9" w14:paraId="7F8EEA4E" w14:textId="77777777" w:rsidTr="00B622DC">
        <w:trPr>
          <w:trHeight w:val="283"/>
        </w:trPr>
        <w:tc>
          <w:tcPr>
            <w:tcW w:w="556" w:type="dxa"/>
          </w:tcPr>
          <w:p w14:paraId="5B9BAFC2" w14:textId="77777777" w:rsidR="00275F35" w:rsidRPr="002B55E9" w:rsidRDefault="00275F35" w:rsidP="00B622DC">
            <w:pPr>
              <w:pStyle w:val="lgy-"/>
            </w:pPr>
            <w:r w:rsidRPr="002B55E9">
              <w:rPr>
                <w:rFonts w:hint="eastAsia"/>
              </w:rPr>
              <w:t>5</w:t>
            </w:r>
          </w:p>
        </w:tc>
        <w:tc>
          <w:tcPr>
            <w:tcW w:w="1145" w:type="dxa"/>
            <w:vMerge/>
          </w:tcPr>
          <w:p w14:paraId="7EB29797" w14:textId="77777777" w:rsidR="00275F35" w:rsidRPr="002B55E9" w:rsidRDefault="00275F35" w:rsidP="00B622DC">
            <w:pPr>
              <w:pStyle w:val="lgy-"/>
            </w:pPr>
          </w:p>
        </w:tc>
        <w:tc>
          <w:tcPr>
            <w:tcW w:w="1328" w:type="dxa"/>
          </w:tcPr>
          <w:p w14:paraId="246E6E33" w14:textId="77777777" w:rsidR="00275F35" w:rsidRPr="002B55E9" w:rsidRDefault="00275F35" w:rsidP="00B622DC">
            <w:pPr>
              <w:pStyle w:val="lgy-"/>
            </w:pPr>
            <w:r w:rsidRPr="002B55E9">
              <w:rPr>
                <w:rFonts w:eastAsia="宋体" w:hint="eastAsia"/>
              </w:rPr>
              <w:t>废机油</w:t>
            </w:r>
          </w:p>
        </w:tc>
        <w:tc>
          <w:tcPr>
            <w:tcW w:w="792" w:type="dxa"/>
          </w:tcPr>
          <w:p w14:paraId="3B865532" w14:textId="77777777" w:rsidR="00275F35" w:rsidRPr="002B55E9" w:rsidRDefault="00275F35" w:rsidP="00B622DC">
            <w:pPr>
              <w:pStyle w:val="lgy-"/>
            </w:pPr>
            <w:r w:rsidRPr="002B55E9">
              <w:rPr>
                <w:rFonts w:eastAsia="宋体" w:hint="eastAsia"/>
              </w:rPr>
              <w:t>H</w:t>
            </w:r>
            <w:r w:rsidRPr="002B55E9">
              <w:rPr>
                <w:rFonts w:eastAsia="宋体"/>
              </w:rPr>
              <w:t>W08</w:t>
            </w:r>
          </w:p>
        </w:tc>
        <w:tc>
          <w:tcPr>
            <w:tcW w:w="999" w:type="dxa"/>
          </w:tcPr>
          <w:p w14:paraId="2B7F419F" w14:textId="77777777" w:rsidR="00275F35" w:rsidRPr="002B55E9" w:rsidRDefault="00275F35" w:rsidP="00B622DC">
            <w:pPr>
              <w:pStyle w:val="lgy-"/>
            </w:pPr>
            <w:r w:rsidRPr="002B55E9">
              <w:rPr>
                <w:rFonts w:eastAsia="宋体" w:hint="eastAsia"/>
              </w:rPr>
              <w:t>9</w:t>
            </w:r>
            <w:r w:rsidRPr="002B55E9">
              <w:rPr>
                <w:rFonts w:eastAsia="宋体"/>
              </w:rPr>
              <w:t>00-214-08</w:t>
            </w:r>
          </w:p>
        </w:tc>
        <w:tc>
          <w:tcPr>
            <w:tcW w:w="709" w:type="dxa"/>
            <w:vMerge/>
          </w:tcPr>
          <w:p w14:paraId="4C053E2A" w14:textId="77777777" w:rsidR="00275F35" w:rsidRPr="002B55E9" w:rsidRDefault="00275F35" w:rsidP="00B622DC">
            <w:pPr>
              <w:pStyle w:val="lgy-"/>
            </w:pPr>
          </w:p>
        </w:tc>
        <w:tc>
          <w:tcPr>
            <w:tcW w:w="1009" w:type="dxa"/>
          </w:tcPr>
          <w:p w14:paraId="002E9D17" w14:textId="77777777" w:rsidR="00275F35" w:rsidRPr="002B55E9" w:rsidRDefault="00275F35" w:rsidP="00B622DC">
            <w:pPr>
              <w:pStyle w:val="lgy-"/>
            </w:pPr>
            <w:r w:rsidRPr="002B55E9">
              <w:rPr>
                <w:rFonts w:eastAsia="宋体" w:hint="eastAsia"/>
              </w:rPr>
              <w:t>3</w:t>
            </w:r>
          </w:p>
        </w:tc>
        <w:tc>
          <w:tcPr>
            <w:tcW w:w="1133" w:type="dxa"/>
          </w:tcPr>
          <w:p w14:paraId="174D27F1" w14:textId="77777777" w:rsidR="00275F35" w:rsidRPr="002B55E9" w:rsidRDefault="00275F35" w:rsidP="00B622DC">
            <w:pPr>
              <w:pStyle w:val="lgy-"/>
            </w:pPr>
            <w:r w:rsidRPr="002B55E9">
              <w:rPr>
                <w:rFonts w:eastAsia="宋体" w:hint="eastAsia"/>
              </w:rPr>
              <w:t>桶</w:t>
            </w:r>
            <w:r w:rsidRPr="002B55E9">
              <w:rPr>
                <w:rFonts w:eastAsia="宋体"/>
              </w:rPr>
              <w:t>装</w:t>
            </w:r>
          </w:p>
        </w:tc>
        <w:tc>
          <w:tcPr>
            <w:tcW w:w="906" w:type="dxa"/>
          </w:tcPr>
          <w:p w14:paraId="0601FEF4" w14:textId="6BEE0F25" w:rsidR="00275F35" w:rsidRPr="002B55E9" w:rsidRDefault="00275F35" w:rsidP="00B622DC">
            <w:pPr>
              <w:pStyle w:val="lgy-"/>
            </w:pPr>
            <w:r w:rsidRPr="002B55E9">
              <w:rPr>
                <w:rFonts w:eastAsia="宋体"/>
              </w:rPr>
              <w:t>1.5</w:t>
            </w:r>
          </w:p>
        </w:tc>
        <w:tc>
          <w:tcPr>
            <w:tcW w:w="1060" w:type="dxa"/>
          </w:tcPr>
          <w:p w14:paraId="159E938B" w14:textId="77777777" w:rsidR="00275F35" w:rsidRPr="002B55E9" w:rsidRDefault="00275F35" w:rsidP="00B622DC">
            <w:pPr>
              <w:pStyle w:val="lgy-"/>
            </w:pPr>
            <w:r w:rsidRPr="002B55E9">
              <w:rPr>
                <w:rFonts w:eastAsia="宋体" w:hint="eastAsia"/>
              </w:rPr>
              <w:t>1</w:t>
            </w:r>
            <w:r w:rsidRPr="002B55E9">
              <w:rPr>
                <w:rFonts w:eastAsia="宋体" w:hint="eastAsia"/>
              </w:rPr>
              <w:t>个月</w:t>
            </w:r>
          </w:p>
        </w:tc>
      </w:tr>
      <w:tr w:rsidR="002B55E9" w:rsidRPr="002B55E9" w14:paraId="1D71EF39" w14:textId="77777777" w:rsidTr="00B622DC">
        <w:trPr>
          <w:trHeight w:val="283"/>
        </w:trPr>
        <w:tc>
          <w:tcPr>
            <w:tcW w:w="556" w:type="dxa"/>
          </w:tcPr>
          <w:p w14:paraId="28BFA82E" w14:textId="77777777" w:rsidR="00275F35" w:rsidRPr="002B55E9" w:rsidRDefault="00275F35" w:rsidP="00B622DC">
            <w:pPr>
              <w:pStyle w:val="lgy-"/>
              <w:rPr>
                <w:rFonts w:eastAsia="宋体"/>
              </w:rPr>
            </w:pPr>
            <w:r w:rsidRPr="002B55E9">
              <w:rPr>
                <w:rFonts w:eastAsia="宋体"/>
              </w:rPr>
              <w:t>6</w:t>
            </w:r>
          </w:p>
        </w:tc>
        <w:tc>
          <w:tcPr>
            <w:tcW w:w="1145" w:type="dxa"/>
            <w:vMerge/>
          </w:tcPr>
          <w:p w14:paraId="5BA3C3B4" w14:textId="77777777" w:rsidR="00275F35" w:rsidRPr="002B55E9" w:rsidRDefault="00275F35" w:rsidP="00B622DC">
            <w:pPr>
              <w:pStyle w:val="lgy-"/>
              <w:rPr>
                <w:rFonts w:eastAsia="宋体"/>
              </w:rPr>
            </w:pPr>
          </w:p>
        </w:tc>
        <w:tc>
          <w:tcPr>
            <w:tcW w:w="1328" w:type="dxa"/>
          </w:tcPr>
          <w:p w14:paraId="3497A5CF" w14:textId="77777777" w:rsidR="00275F35" w:rsidRPr="002B55E9" w:rsidRDefault="00275F35" w:rsidP="00B622DC">
            <w:pPr>
              <w:pStyle w:val="lgy-"/>
              <w:rPr>
                <w:rFonts w:eastAsia="宋体"/>
              </w:rPr>
            </w:pPr>
            <w:r w:rsidRPr="002B55E9">
              <w:rPr>
                <w:rFonts w:eastAsia="宋体" w:hint="eastAsia"/>
              </w:rPr>
              <w:t>废含油抹布</w:t>
            </w:r>
          </w:p>
        </w:tc>
        <w:tc>
          <w:tcPr>
            <w:tcW w:w="792" w:type="dxa"/>
          </w:tcPr>
          <w:p w14:paraId="38C0D2BD" w14:textId="77777777" w:rsidR="00275F35" w:rsidRPr="002B55E9" w:rsidRDefault="00275F35" w:rsidP="00B622DC">
            <w:pPr>
              <w:pStyle w:val="lgy-"/>
              <w:rPr>
                <w:rFonts w:eastAsia="宋体"/>
              </w:rPr>
            </w:pPr>
            <w:r w:rsidRPr="002B55E9">
              <w:rPr>
                <w:rFonts w:eastAsia="宋体" w:hint="eastAsia"/>
              </w:rPr>
              <w:t>H</w:t>
            </w:r>
            <w:r w:rsidRPr="002B55E9">
              <w:rPr>
                <w:rFonts w:eastAsia="宋体"/>
              </w:rPr>
              <w:t>W49</w:t>
            </w:r>
          </w:p>
        </w:tc>
        <w:tc>
          <w:tcPr>
            <w:tcW w:w="999" w:type="dxa"/>
          </w:tcPr>
          <w:p w14:paraId="58615CA6" w14:textId="77777777" w:rsidR="00275F35" w:rsidRPr="002B55E9" w:rsidRDefault="00275F35" w:rsidP="00B622DC">
            <w:pPr>
              <w:pStyle w:val="lgy-"/>
              <w:rPr>
                <w:rFonts w:eastAsia="宋体"/>
              </w:rPr>
            </w:pPr>
            <w:r w:rsidRPr="002B55E9">
              <w:rPr>
                <w:rFonts w:eastAsia="宋体" w:hint="eastAsia"/>
              </w:rPr>
              <w:t>9</w:t>
            </w:r>
            <w:r w:rsidRPr="002B55E9">
              <w:rPr>
                <w:rFonts w:eastAsia="宋体"/>
              </w:rPr>
              <w:t>00-041-49</w:t>
            </w:r>
          </w:p>
        </w:tc>
        <w:tc>
          <w:tcPr>
            <w:tcW w:w="709" w:type="dxa"/>
            <w:vMerge/>
          </w:tcPr>
          <w:p w14:paraId="2A2C2ACA" w14:textId="77777777" w:rsidR="00275F35" w:rsidRPr="002B55E9" w:rsidRDefault="00275F35" w:rsidP="00B622DC">
            <w:pPr>
              <w:pStyle w:val="lgy-"/>
              <w:rPr>
                <w:rFonts w:eastAsia="宋体"/>
              </w:rPr>
            </w:pPr>
          </w:p>
        </w:tc>
        <w:tc>
          <w:tcPr>
            <w:tcW w:w="1009" w:type="dxa"/>
          </w:tcPr>
          <w:p w14:paraId="7B726317" w14:textId="77777777" w:rsidR="00275F35" w:rsidRPr="002B55E9" w:rsidRDefault="00275F35" w:rsidP="00B622DC">
            <w:pPr>
              <w:pStyle w:val="lgy-"/>
              <w:rPr>
                <w:rFonts w:eastAsia="宋体"/>
              </w:rPr>
            </w:pPr>
            <w:r w:rsidRPr="002B55E9">
              <w:rPr>
                <w:rFonts w:eastAsia="宋体" w:hint="eastAsia"/>
              </w:rPr>
              <w:t>1</w:t>
            </w:r>
          </w:p>
        </w:tc>
        <w:tc>
          <w:tcPr>
            <w:tcW w:w="1133" w:type="dxa"/>
          </w:tcPr>
          <w:p w14:paraId="6E507625" w14:textId="77777777" w:rsidR="00275F35" w:rsidRPr="002B55E9" w:rsidRDefault="00275F35" w:rsidP="00B622DC">
            <w:pPr>
              <w:pStyle w:val="lgy-"/>
              <w:rPr>
                <w:rFonts w:eastAsia="宋体"/>
              </w:rPr>
            </w:pPr>
            <w:r w:rsidRPr="002B55E9">
              <w:rPr>
                <w:rFonts w:eastAsia="宋体" w:hint="eastAsia"/>
              </w:rPr>
              <w:t>袋装</w:t>
            </w:r>
          </w:p>
        </w:tc>
        <w:tc>
          <w:tcPr>
            <w:tcW w:w="906" w:type="dxa"/>
          </w:tcPr>
          <w:p w14:paraId="1FD14EF9" w14:textId="796AAA1D" w:rsidR="00275F35" w:rsidRPr="002B55E9" w:rsidRDefault="00275F35" w:rsidP="00B622DC">
            <w:pPr>
              <w:pStyle w:val="lgy-"/>
              <w:rPr>
                <w:rFonts w:eastAsia="宋体"/>
              </w:rPr>
            </w:pPr>
            <w:r w:rsidRPr="002B55E9">
              <w:rPr>
                <w:rFonts w:eastAsia="宋体"/>
              </w:rPr>
              <w:t>0.5</w:t>
            </w:r>
          </w:p>
        </w:tc>
        <w:tc>
          <w:tcPr>
            <w:tcW w:w="1060" w:type="dxa"/>
          </w:tcPr>
          <w:p w14:paraId="3BCF5EBB" w14:textId="77777777" w:rsidR="00275F35" w:rsidRPr="002B55E9" w:rsidRDefault="00275F35" w:rsidP="00B622DC">
            <w:pPr>
              <w:pStyle w:val="lgy-"/>
              <w:rPr>
                <w:rFonts w:eastAsia="宋体"/>
              </w:rPr>
            </w:pPr>
            <w:r w:rsidRPr="002B55E9">
              <w:rPr>
                <w:rFonts w:eastAsia="宋体" w:hint="eastAsia"/>
              </w:rPr>
              <w:t>1</w:t>
            </w:r>
            <w:r w:rsidRPr="002B55E9">
              <w:rPr>
                <w:rFonts w:eastAsia="宋体" w:hint="eastAsia"/>
              </w:rPr>
              <w:t>个月</w:t>
            </w:r>
          </w:p>
        </w:tc>
      </w:tr>
      <w:tr w:rsidR="002B55E9" w:rsidRPr="002B55E9" w14:paraId="4BA74EBD" w14:textId="77777777" w:rsidTr="00B622DC">
        <w:trPr>
          <w:trHeight w:val="283"/>
        </w:trPr>
        <w:tc>
          <w:tcPr>
            <w:tcW w:w="556" w:type="dxa"/>
          </w:tcPr>
          <w:p w14:paraId="36F31588" w14:textId="77777777" w:rsidR="00275F35" w:rsidRPr="002B55E9" w:rsidRDefault="00275F35" w:rsidP="00B622DC">
            <w:pPr>
              <w:pStyle w:val="lgy-"/>
              <w:rPr>
                <w:rFonts w:eastAsia="宋体"/>
              </w:rPr>
            </w:pPr>
            <w:r w:rsidRPr="002B55E9">
              <w:rPr>
                <w:rFonts w:eastAsia="宋体" w:hint="eastAsia"/>
              </w:rPr>
              <w:t>7</w:t>
            </w:r>
          </w:p>
        </w:tc>
        <w:tc>
          <w:tcPr>
            <w:tcW w:w="4973" w:type="dxa"/>
            <w:gridSpan w:val="5"/>
          </w:tcPr>
          <w:p w14:paraId="268DC23F" w14:textId="77777777" w:rsidR="00275F35" w:rsidRPr="002B55E9" w:rsidRDefault="00275F35" w:rsidP="00B622DC">
            <w:pPr>
              <w:pStyle w:val="lgy-"/>
              <w:rPr>
                <w:rFonts w:eastAsia="宋体"/>
              </w:rPr>
            </w:pPr>
            <w:r w:rsidRPr="002B55E9">
              <w:rPr>
                <w:rFonts w:eastAsia="宋体" w:hint="eastAsia"/>
              </w:rPr>
              <w:t>合计</w:t>
            </w:r>
          </w:p>
        </w:tc>
        <w:tc>
          <w:tcPr>
            <w:tcW w:w="1009" w:type="dxa"/>
          </w:tcPr>
          <w:p w14:paraId="2761BB70" w14:textId="77777777" w:rsidR="00275F35" w:rsidRPr="002B55E9" w:rsidRDefault="00275F35" w:rsidP="00B622DC">
            <w:pPr>
              <w:pStyle w:val="lgy-"/>
              <w:rPr>
                <w:rFonts w:eastAsia="宋体"/>
              </w:rPr>
            </w:pPr>
            <w:r w:rsidRPr="002B55E9">
              <w:rPr>
                <w:rFonts w:eastAsia="宋体"/>
              </w:rPr>
              <w:t>1</w:t>
            </w:r>
          </w:p>
        </w:tc>
        <w:tc>
          <w:tcPr>
            <w:tcW w:w="1133" w:type="dxa"/>
          </w:tcPr>
          <w:p w14:paraId="6B607547" w14:textId="77777777" w:rsidR="00275F35" w:rsidRPr="002B55E9" w:rsidRDefault="00275F35" w:rsidP="00B622DC">
            <w:pPr>
              <w:pStyle w:val="lgy-"/>
              <w:rPr>
                <w:rFonts w:eastAsia="宋体"/>
              </w:rPr>
            </w:pPr>
            <w:r w:rsidRPr="002B55E9">
              <w:rPr>
                <w:rFonts w:eastAsia="宋体" w:hint="eastAsia"/>
              </w:rPr>
              <w:t>/</w:t>
            </w:r>
          </w:p>
        </w:tc>
        <w:tc>
          <w:tcPr>
            <w:tcW w:w="906" w:type="dxa"/>
          </w:tcPr>
          <w:p w14:paraId="6E800A78" w14:textId="03A0FF70" w:rsidR="00275F35" w:rsidRPr="002B55E9" w:rsidRDefault="00275F35" w:rsidP="00B622DC">
            <w:pPr>
              <w:pStyle w:val="lgy-"/>
              <w:rPr>
                <w:rFonts w:eastAsia="宋体"/>
              </w:rPr>
            </w:pPr>
            <w:r w:rsidRPr="002B55E9">
              <w:fldChar w:fldCharType="begin"/>
            </w:r>
            <w:r w:rsidRPr="002B55E9">
              <w:rPr>
                <w:rFonts w:eastAsia="宋体"/>
              </w:rPr>
              <w:instrText xml:space="preserve"> =SUM(ABOVE) </w:instrText>
            </w:r>
            <w:r w:rsidRPr="002B55E9">
              <w:fldChar w:fldCharType="separate"/>
            </w:r>
            <w:r w:rsidRPr="002B55E9">
              <w:rPr>
                <w:rFonts w:eastAsia="宋体"/>
                <w:noProof/>
              </w:rPr>
              <w:t>5.5</w:t>
            </w:r>
            <w:r w:rsidRPr="002B55E9">
              <w:fldChar w:fldCharType="end"/>
            </w:r>
          </w:p>
        </w:tc>
        <w:tc>
          <w:tcPr>
            <w:tcW w:w="1060" w:type="dxa"/>
          </w:tcPr>
          <w:p w14:paraId="411E8A2A" w14:textId="77777777" w:rsidR="00275F35" w:rsidRPr="002B55E9" w:rsidRDefault="00275F35" w:rsidP="00B622DC">
            <w:pPr>
              <w:pStyle w:val="lgy-"/>
              <w:rPr>
                <w:rFonts w:eastAsia="宋体"/>
              </w:rPr>
            </w:pPr>
            <w:r w:rsidRPr="002B55E9">
              <w:rPr>
                <w:rFonts w:eastAsia="宋体" w:hint="eastAsia"/>
              </w:rPr>
              <w:t>/</w:t>
            </w:r>
          </w:p>
        </w:tc>
      </w:tr>
    </w:tbl>
    <w:p w14:paraId="354D3468" w14:textId="77777777" w:rsidR="00D170E5" w:rsidRPr="002B55E9" w:rsidRDefault="00EF27AD">
      <w:pPr>
        <w:spacing w:after="60" w:line="360" w:lineRule="auto"/>
        <w:ind w:firstLineChars="200" w:firstLine="480"/>
        <w:rPr>
          <w:sz w:val="24"/>
        </w:rPr>
      </w:pPr>
      <w:r w:rsidRPr="002B55E9">
        <w:rPr>
          <w:rFonts w:hint="eastAsia"/>
          <w:sz w:val="24"/>
        </w:rPr>
        <w:t>（</w:t>
      </w:r>
      <w:r w:rsidRPr="002B55E9">
        <w:rPr>
          <w:sz w:val="24"/>
        </w:rPr>
        <w:t>2</w:t>
      </w:r>
      <w:r w:rsidRPr="002B55E9">
        <w:rPr>
          <w:rFonts w:hint="eastAsia"/>
          <w:sz w:val="24"/>
        </w:rPr>
        <w:t>）危险废物暂存间存放分析</w:t>
      </w:r>
    </w:p>
    <w:p w14:paraId="6DE0483B" w14:textId="77777777" w:rsidR="00D170E5" w:rsidRPr="002B55E9" w:rsidRDefault="00EF27AD">
      <w:pPr>
        <w:spacing w:after="60" w:line="360" w:lineRule="auto"/>
        <w:ind w:firstLine="480"/>
        <w:rPr>
          <w:sz w:val="24"/>
        </w:rPr>
      </w:pPr>
      <w:r w:rsidRPr="002B55E9">
        <w:rPr>
          <w:rFonts w:hint="eastAsia"/>
          <w:sz w:val="24"/>
          <w:szCs w:val="24"/>
        </w:rPr>
        <w:t>厂区危险废物暂存间设置于罐区三北侧，建筑面积合计约为</w:t>
      </w:r>
      <w:r w:rsidRPr="002B55E9">
        <w:rPr>
          <w:sz w:val="24"/>
          <w:szCs w:val="24"/>
        </w:rPr>
        <w:t>12</w:t>
      </w:r>
      <w:r w:rsidRPr="002B55E9">
        <w:rPr>
          <w:rFonts w:hint="eastAsia"/>
          <w:sz w:val="24"/>
          <w:szCs w:val="24"/>
        </w:rPr>
        <w:t>m</w:t>
      </w:r>
      <w:r w:rsidRPr="002B55E9">
        <w:rPr>
          <w:rFonts w:hint="eastAsia"/>
          <w:sz w:val="24"/>
          <w:szCs w:val="24"/>
          <w:vertAlign w:val="superscript"/>
        </w:rPr>
        <w:t>2</w:t>
      </w:r>
      <w:r w:rsidRPr="002B55E9">
        <w:rPr>
          <w:rFonts w:hint="eastAsia"/>
          <w:sz w:val="24"/>
          <w:szCs w:val="24"/>
        </w:rPr>
        <w:t>。各</w:t>
      </w:r>
      <w:r w:rsidRPr="002B55E9">
        <w:rPr>
          <w:rFonts w:hint="eastAsia"/>
          <w:sz w:val="24"/>
        </w:rPr>
        <w:t>类危险废物在暂存间内分区存放，各区域储存能力见下表。</w:t>
      </w:r>
    </w:p>
    <w:p w14:paraId="503FE017" w14:textId="5CF04177" w:rsidR="00D170E5" w:rsidRPr="002B55E9" w:rsidRDefault="00EF27AD">
      <w:pPr>
        <w:spacing w:beforeLines="50" w:before="120"/>
        <w:jc w:val="center"/>
        <w:rPr>
          <w:rFonts w:ascii="黑体" w:eastAsia="黑体" w:hAnsi="黑体"/>
          <w:b/>
          <w:sz w:val="24"/>
        </w:rPr>
      </w:pPr>
      <w:r w:rsidRPr="002B55E9">
        <w:rPr>
          <w:rFonts w:ascii="黑体" w:eastAsia="黑体" w:hAnsi="黑体" w:hint="eastAsia"/>
          <w:b/>
          <w:sz w:val="24"/>
        </w:rPr>
        <w:t>表</w:t>
      </w:r>
      <w:r w:rsidRPr="002B55E9">
        <w:rPr>
          <w:rFonts w:eastAsia="黑体"/>
          <w:b/>
          <w:sz w:val="24"/>
        </w:rPr>
        <w:t>5-</w:t>
      </w:r>
      <w:r w:rsidRPr="002B55E9">
        <w:rPr>
          <w:rFonts w:eastAsia="黑体" w:hint="eastAsia"/>
          <w:b/>
          <w:sz w:val="24"/>
        </w:rPr>
        <w:t>5</w:t>
      </w:r>
      <w:r w:rsidRPr="002B55E9">
        <w:rPr>
          <w:rFonts w:eastAsia="黑体"/>
          <w:b/>
          <w:sz w:val="24"/>
        </w:rPr>
        <w:t>-</w:t>
      </w:r>
      <w:r w:rsidR="00362261" w:rsidRPr="002B55E9">
        <w:rPr>
          <w:rFonts w:eastAsia="黑体"/>
          <w:b/>
          <w:sz w:val="24"/>
        </w:rPr>
        <w:t>4</w:t>
      </w:r>
      <w:r w:rsidRPr="002B55E9">
        <w:rPr>
          <w:rFonts w:ascii="黑体" w:eastAsia="黑体" w:hAnsi="黑体"/>
          <w:b/>
          <w:sz w:val="24"/>
        </w:rPr>
        <w:t xml:space="preserve">  </w:t>
      </w:r>
      <w:r w:rsidRPr="002B55E9">
        <w:rPr>
          <w:rFonts w:ascii="黑体" w:eastAsia="黑体" w:hAnsi="黑体" w:hint="eastAsia"/>
          <w:b/>
          <w:sz w:val="24"/>
        </w:rPr>
        <w:t>各类危险废物分区储存能力分析一览表</w:t>
      </w:r>
    </w:p>
    <w:tbl>
      <w:tblPr>
        <w:tblStyle w:val="lgy2"/>
        <w:tblW w:w="5000" w:type="pct"/>
        <w:tblLayout w:type="fixed"/>
        <w:tblCellMar>
          <w:left w:w="28" w:type="dxa"/>
          <w:right w:w="28" w:type="dxa"/>
        </w:tblCellMar>
        <w:tblLook w:val="04A0" w:firstRow="1" w:lastRow="0" w:firstColumn="1" w:lastColumn="0" w:noHBand="0" w:noVBand="1"/>
      </w:tblPr>
      <w:tblGrid>
        <w:gridCol w:w="682"/>
        <w:gridCol w:w="782"/>
        <w:gridCol w:w="928"/>
        <w:gridCol w:w="932"/>
        <w:gridCol w:w="630"/>
        <w:gridCol w:w="1775"/>
        <w:gridCol w:w="760"/>
        <w:gridCol w:w="878"/>
        <w:gridCol w:w="793"/>
        <w:gridCol w:w="690"/>
        <w:gridCol w:w="843"/>
      </w:tblGrid>
      <w:tr w:rsidR="002B55E9" w:rsidRPr="002B55E9" w14:paraId="6D030B54"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678" w:type="dxa"/>
          </w:tcPr>
          <w:p w14:paraId="3D84B87C" w14:textId="77777777" w:rsidR="00D170E5" w:rsidRPr="002B55E9" w:rsidRDefault="00EF27AD">
            <w:pPr>
              <w:pStyle w:val="lgy-"/>
              <w:rPr>
                <w:rFonts w:eastAsia="宋体"/>
              </w:rPr>
            </w:pPr>
            <w:r w:rsidRPr="002B55E9">
              <w:rPr>
                <w:rFonts w:eastAsia="宋体" w:hint="eastAsia"/>
              </w:rPr>
              <w:t>储存</w:t>
            </w:r>
          </w:p>
          <w:p w14:paraId="27A636A1" w14:textId="77777777" w:rsidR="00D170E5" w:rsidRPr="002B55E9" w:rsidRDefault="00EF27AD">
            <w:pPr>
              <w:pStyle w:val="lgy-"/>
            </w:pPr>
            <w:r w:rsidRPr="002B55E9">
              <w:rPr>
                <w:rFonts w:eastAsia="宋体" w:hint="eastAsia"/>
              </w:rPr>
              <w:t>场所</w:t>
            </w:r>
          </w:p>
        </w:tc>
        <w:tc>
          <w:tcPr>
            <w:tcW w:w="777" w:type="dxa"/>
          </w:tcPr>
          <w:p w14:paraId="2E8A8034" w14:textId="77777777" w:rsidR="00D170E5" w:rsidRPr="002B55E9" w:rsidRDefault="00EF27AD">
            <w:pPr>
              <w:pStyle w:val="lgy-"/>
            </w:pPr>
            <w:r w:rsidRPr="002B55E9">
              <w:rPr>
                <w:rFonts w:eastAsia="宋体" w:hint="eastAsia"/>
              </w:rPr>
              <w:t>分区名称</w:t>
            </w:r>
          </w:p>
        </w:tc>
        <w:tc>
          <w:tcPr>
            <w:tcW w:w="923" w:type="dxa"/>
          </w:tcPr>
          <w:p w14:paraId="126509D5" w14:textId="77777777" w:rsidR="00D170E5" w:rsidRPr="002B55E9" w:rsidRDefault="00EF27AD">
            <w:pPr>
              <w:pStyle w:val="lgy-"/>
            </w:pPr>
            <w:r w:rsidRPr="002B55E9">
              <w:rPr>
                <w:rFonts w:eastAsia="宋体" w:hint="eastAsia"/>
              </w:rPr>
              <w:t>区域面积（</w:t>
            </w:r>
            <w:r w:rsidRPr="002B55E9">
              <w:rPr>
                <w:rFonts w:eastAsia="宋体"/>
              </w:rPr>
              <w:t>m</w:t>
            </w:r>
            <w:r w:rsidRPr="002B55E9">
              <w:rPr>
                <w:rFonts w:eastAsia="宋体"/>
                <w:vertAlign w:val="superscript"/>
              </w:rPr>
              <w:t>2</w:t>
            </w:r>
            <w:r w:rsidRPr="002B55E9">
              <w:rPr>
                <w:rFonts w:eastAsia="宋体" w:hint="eastAsia"/>
              </w:rPr>
              <w:t>）</w:t>
            </w:r>
          </w:p>
        </w:tc>
        <w:tc>
          <w:tcPr>
            <w:tcW w:w="927" w:type="dxa"/>
          </w:tcPr>
          <w:p w14:paraId="4936FA08" w14:textId="77777777" w:rsidR="00D170E5" w:rsidRPr="002B55E9" w:rsidRDefault="00EF27AD">
            <w:pPr>
              <w:pStyle w:val="lgy-"/>
            </w:pPr>
            <w:r w:rsidRPr="002B55E9">
              <w:rPr>
                <w:rFonts w:eastAsia="宋体" w:hint="eastAsia"/>
              </w:rPr>
              <w:t>单位面积储存能力（</w:t>
            </w:r>
            <w:r w:rsidRPr="002B55E9">
              <w:rPr>
                <w:rFonts w:eastAsia="宋体"/>
              </w:rPr>
              <w:t>t/m</w:t>
            </w:r>
            <w:r w:rsidRPr="002B55E9">
              <w:rPr>
                <w:rFonts w:eastAsia="宋体"/>
                <w:vertAlign w:val="superscript"/>
              </w:rPr>
              <w:t>2</w:t>
            </w:r>
            <w:r w:rsidRPr="002B55E9">
              <w:rPr>
                <w:rFonts w:eastAsia="宋体" w:hint="eastAsia"/>
              </w:rPr>
              <w:t>）</w:t>
            </w:r>
            <w:r w:rsidRPr="002B55E9">
              <w:rPr>
                <w:rFonts w:eastAsia="宋体" w:hint="eastAsia"/>
              </w:rPr>
              <w:t>*</w:t>
            </w:r>
          </w:p>
        </w:tc>
        <w:tc>
          <w:tcPr>
            <w:tcW w:w="626" w:type="dxa"/>
          </w:tcPr>
          <w:p w14:paraId="5D22F3F3" w14:textId="77777777" w:rsidR="00D170E5" w:rsidRPr="002B55E9" w:rsidRDefault="00EF27AD">
            <w:pPr>
              <w:pStyle w:val="lgy-"/>
            </w:pPr>
            <w:r w:rsidRPr="002B55E9">
              <w:rPr>
                <w:rFonts w:eastAsia="宋体" w:hint="eastAsia"/>
              </w:rPr>
              <w:t>储存能力（</w:t>
            </w:r>
            <w:r w:rsidRPr="002B55E9">
              <w:rPr>
                <w:rFonts w:eastAsia="宋体"/>
              </w:rPr>
              <w:t>t</w:t>
            </w:r>
            <w:r w:rsidRPr="002B55E9">
              <w:rPr>
                <w:rFonts w:eastAsia="宋体" w:hint="eastAsia"/>
              </w:rPr>
              <w:t>）</w:t>
            </w:r>
          </w:p>
        </w:tc>
        <w:tc>
          <w:tcPr>
            <w:tcW w:w="1765" w:type="dxa"/>
          </w:tcPr>
          <w:p w14:paraId="20F59276" w14:textId="77777777" w:rsidR="00D170E5" w:rsidRPr="002B55E9" w:rsidRDefault="00EF27AD" w:rsidP="00EF27AD">
            <w:pPr>
              <w:pStyle w:val="lgy-"/>
            </w:pPr>
            <w:r w:rsidRPr="002B55E9">
              <w:rPr>
                <w:rFonts w:eastAsia="宋体" w:hint="eastAsia"/>
              </w:rPr>
              <w:t>拟建项目危险废物名称</w:t>
            </w:r>
          </w:p>
        </w:tc>
        <w:tc>
          <w:tcPr>
            <w:tcW w:w="756" w:type="dxa"/>
          </w:tcPr>
          <w:p w14:paraId="080082E6" w14:textId="77777777" w:rsidR="00D170E5" w:rsidRPr="002B55E9" w:rsidRDefault="00EF27AD">
            <w:pPr>
              <w:pStyle w:val="lgy-"/>
            </w:pPr>
            <w:r w:rsidRPr="002B55E9">
              <w:rPr>
                <w:rFonts w:eastAsia="宋体" w:hint="eastAsia"/>
              </w:rPr>
              <w:t>产生量（</w:t>
            </w:r>
            <w:r w:rsidRPr="002B55E9">
              <w:rPr>
                <w:rFonts w:eastAsia="宋体"/>
              </w:rPr>
              <w:t>t/a</w:t>
            </w:r>
            <w:r w:rsidRPr="002B55E9">
              <w:rPr>
                <w:rFonts w:eastAsia="宋体" w:hint="eastAsia"/>
              </w:rPr>
              <w:t>）</w:t>
            </w:r>
          </w:p>
        </w:tc>
        <w:tc>
          <w:tcPr>
            <w:tcW w:w="873" w:type="dxa"/>
          </w:tcPr>
          <w:p w14:paraId="16AA76B7" w14:textId="77777777" w:rsidR="00D170E5" w:rsidRPr="002B55E9" w:rsidRDefault="00EF27AD">
            <w:pPr>
              <w:pStyle w:val="lgy-"/>
              <w:rPr>
                <w:rFonts w:eastAsia="宋体"/>
              </w:rPr>
            </w:pPr>
            <w:r w:rsidRPr="002B55E9">
              <w:rPr>
                <w:rFonts w:eastAsia="宋体" w:hint="eastAsia"/>
              </w:rPr>
              <w:t>储存</w:t>
            </w:r>
          </w:p>
          <w:p w14:paraId="2499170F" w14:textId="77777777" w:rsidR="00D170E5" w:rsidRPr="002B55E9" w:rsidRDefault="00EF27AD">
            <w:pPr>
              <w:pStyle w:val="lgy-"/>
            </w:pPr>
            <w:r w:rsidRPr="002B55E9">
              <w:rPr>
                <w:rFonts w:eastAsia="宋体" w:hint="eastAsia"/>
              </w:rPr>
              <w:t>周期</w:t>
            </w:r>
          </w:p>
        </w:tc>
        <w:tc>
          <w:tcPr>
            <w:tcW w:w="788" w:type="dxa"/>
          </w:tcPr>
          <w:p w14:paraId="2016665B" w14:textId="77777777" w:rsidR="00D170E5" w:rsidRPr="002B55E9" w:rsidRDefault="00EF27AD">
            <w:pPr>
              <w:pStyle w:val="lgy-"/>
            </w:pPr>
            <w:r w:rsidRPr="002B55E9">
              <w:rPr>
                <w:rFonts w:eastAsia="宋体" w:hint="eastAsia"/>
              </w:rPr>
              <w:t>危废最大暂存量</w:t>
            </w:r>
            <w:r w:rsidRPr="002B55E9">
              <w:rPr>
                <w:rFonts w:eastAsia="宋体" w:hint="eastAsia"/>
              </w:rPr>
              <w:t>t</w:t>
            </w:r>
          </w:p>
        </w:tc>
        <w:tc>
          <w:tcPr>
            <w:tcW w:w="686" w:type="dxa"/>
          </w:tcPr>
          <w:p w14:paraId="1661649D" w14:textId="77777777" w:rsidR="00D170E5" w:rsidRPr="002B55E9" w:rsidRDefault="00EF27AD">
            <w:pPr>
              <w:pStyle w:val="lgy-"/>
            </w:pPr>
            <w:r w:rsidRPr="002B55E9">
              <w:rPr>
                <w:rFonts w:eastAsia="宋体" w:hint="eastAsia"/>
              </w:rPr>
              <w:t>储存方式</w:t>
            </w:r>
          </w:p>
        </w:tc>
        <w:tc>
          <w:tcPr>
            <w:tcW w:w="838" w:type="dxa"/>
          </w:tcPr>
          <w:p w14:paraId="315D8D50" w14:textId="77777777" w:rsidR="00D170E5" w:rsidRPr="002B55E9" w:rsidRDefault="00EF27AD">
            <w:pPr>
              <w:pStyle w:val="lgy-"/>
              <w:rPr>
                <w:rFonts w:eastAsia="宋体"/>
              </w:rPr>
            </w:pPr>
            <w:r w:rsidRPr="002B55E9">
              <w:rPr>
                <w:rFonts w:eastAsia="宋体" w:hint="eastAsia"/>
              </w:rPr>
              <w:t>储存能力是否满足需求</w:t>
            </w:r>
          </w:p>
        </w:tc>
      </w:tr>
      <w:tr w:rsidR="002B55E9" w:rsidRPr="002B55E9" w14:paraId="19BB8B8B" w14:textId="77777777" w:rsidTr="00EF27AD">
        <w:trPr>
          <w:trHeight w:val="283"/>
        </w:trPr>
        <w:tc>
          <w:tcPr>
            <w:tcW w:w="678" w:type="dxa"/>
            <w:vMerge w:val="restart"/>
          </w:tcPr>
          <w:p w14:paraId="28D68A7B" w14:textId="77777777" w:rsidR="00D170E5" w:rsidRPr="002B55E9" w:rsidRDefault="00EF27AD">
            <w:pPr>
              <w:pStyle w:val="lgy-"/>
            </w:pPr>
            <w:r w:rsidRPr="002B55E9">
              <w:rPr>
                <w:rFonts w:eastAsia="宋体" w:hint="eastAsia"/>
              </w:rPr>
              <w:t>危险废物暂存间</w:t>
            </w:r>
          </w:p>
        </w:tc>
        <w:tc>
          <w:tcPr>
            <w:tcW w:w="777" w:type="dxa"/>
          </w:tcPr>
          <w:p w14:paraId="498B58FD" w14:textId="77777777" w:rsidR="00D170E5" w:rsidRPr="002B55E9" w:rsidRDefault="00EF27AD">
            <w:pPr>
              <w:pStyle w:val="lgy-"/>
            </w:pPr>
            <w:r w:rsidRPr="002B55E9">
              <w:rPr>
                <w:rFonts w:eastAsia="宋体"/>
              </w:rPr>
              <w:t>HW08</w:t>
            </w:r>
          </w:p>
        </w:tc>
        <w:tc>
          <w:tcPr>
            <w:tcW w:w="923" w:type="dxa"/>
          </w:tcPr>
          <w:p w14:paraId="01E1C69E" w14:textId="77777777" w:rsidR="00D170E5" w:rsidRPr="002B55E9" w:rsidRDefault="00EF27AD">
            <w:pPr>
              <w:pStyle w:val="lgy-"/>
            </w:pPr>
            <w:r w:rsidRPr="002B55E9">
              <w:rPr>
                <w:rFonts w:eastAsia="宋体"/>
              </w:rPr>
              <w:t>3</w:t>
            </w:r>
          </w:p>
        </w:tc>
        <w:tc>
          <w:tcPr>
            <w:tcW w:w="927" w:type="dxa"/>
          </w:tcPr>
          <w:p w14:paraId="4D8D53AB" w14:textId="77777777" w:rsidR="00D170E5" w:rsidRPr="002B55E9" w:rsidRDefault="00EF27AD">
            <w:pPr>
              <w:pStyle w:val="lgy-"/>
            </w:pPr>
            <w:r w:rsidRPr="002B55E9">
              <w:rPr>
                <w:rFonts w:eastAsia="宋体"/>
              </w:rPr>
              <w:t>0.5</w:t>
            </w:r>
          </w:p>
        </w:tc>
        <w:tc>
          <w:tcPr>
            <w:tcW w:w="626" w:type="dxa"/>
          </w:tcPr>
          <w:p w14:paraId="41CFB0C6" w14:textId="77777777" w:rsidR="00D170E5" w:rsidRPr="002B55E9" w:rsidRDefault="00EF27AD">
            <w:pPr>
              <w:pStyle w:val="lgy-"/>
            </w:pPr>
            <w:r w:rsidRPr="002B55E9">
              <w:rPr>
                <w:rFonts w:eastAsia="宋体"/>
              </w:rPr>
              <w:t>1</w:t>
            </w:r>
            <w:r w:rsidRPr="002B55E9">
              <w:rPr>
                <w:rFonts w:eastAsia="宋体" w:hint="eastAsia"/>
              </w:rPr>
              <w:t>.5</w:t>
            </w:r>
          </w:p>
        </w:tc>
        <w:tc>
          <w:tcPr>
            <w:tcW w:w="1765" w:type="dxa"/>
          </w:tcPr>
          <w:p w14:paraId="57BD6AC1" w14:textId="77777777" w:rsidR="00D170E5" w:rsidRPr="002B55E9" w:rsidRDefault="00EF27AD">
            <w:pPr>
              <w:pStyle w:val="lgy-"/>
            </w:pPr>
            <w:r w:rsidRPr="002B55E9">
              <w:rPr>
                <w:rFonts w:eastAsia="宋体" w:hint="eastAsia"/>
              </w:rPr>
              <w:t>废机油</w:t>
            </w:r>
          </w:p>
        </w:tc>
        <w:tc>
          <w:tcPr>
            <w:tcW w:w="756" w:type="dxa"/>
          </w:tcPr>
          <w:p w14:paraId="18B54B40" w14:textId="77777777" w:rsidR="00D170E5" w:rsidRPr="002B55E9" w:rsidRDefault="00EF27AD">
            <w:pPr>
              <w:pStyle w:val="lgy-"/>
            </w:pPr>
            <w:r w:rsidRPr="002B55E9">
              <w:rPr>
                <w:rFonts w:eastAsia="宋体"/>
              </w:rPr>
              <w:t>0.5</w:t>
            </w:r>
          </w:p>
        </w:tc>
        <w:tc>
          <w:tcPr>
            <w:tcW w:w="873" w:type="dxa"/>
          </w:tcPr>
          <w:p w14:paraId="7E14A79E"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796F62A3" w14:textId="77777777" w:rsidR="00D170E5" w:rsidRPr="002B55E9" w:rsidRDefault="00EF27AD">
            <w:pPr>
              <w:pStyle w:val="lgy-"/>
            </w:pPr>
            <w:r w:rsidRPr="002B55E9">
              <w:rPr>
                <w:rFonts w:eastAsia="宋体"/>
              </w:rPr>
              <w:t>0.5</w:t>
            </w:r>
          </w:p>
        </w:tc>
        <w:tc>
          <w:tcPr>
            <w:tcW w:w="686" w:type="dxa"/>
          </w:tcPr>
          <w:p w14:paraId="41280C5D" w14:textId="77777777" w:rsidR="00D170E5" w:rsidRPr="002B55E9" w:rsidRDefault="00EF27AD">
            <w:pPr>
              <w:pStyle w:val="lgy-"/>
            </w:pPr>
            <w:r w:rsidRPr="002B55E9">
              <w:rPr>
                <w:rFonts w:eastAsia="宋体" w:hint="eastAsia"/>
              </w:rPr>
              <w:t>桶</w:t>
            </w:r>
            <w:r w:rsidRPr="002B55E9">
              <w:rPr>
                <w:rFonts w:eastAsia="宋体"/>
              </w:rPr>
              <w:t>装</w:t>
            </w:r>
          </w:p>
        </w:tc>
        <w:tc>
          <w:tcPr>
            <w:tcW w:w="838" w:type="dxa"/>
          </w:tcPr>
          <w:p w14:paraId="386F1D15" w14:textId="77777777" w:rsidR="00D170E5" w:rsidRPr="002B55E9" w:rsidRDefault="00EF27AD">
            <w:pPr>
              <w:pStyle w:val="lgy-"/>
              <w:rPr>
                <w:rFonts w:eastAsia="宋体"/>
              </w:rPr>
            </w:pPr>
            <w:r w:rsidRPr="002B55E9">
              <w:rPr>
                <w:rFonts w:eastAsia="宋体"/>
              </w:rPr>
              <w:t>满足</w:t>
            </w:r>
          </w:p>
        </w:tc>
      </w:tr>
      <w:tr w:rsidR="002B55E9" w:rsidRPr="002B55E9" w14:paraId="18A7DE6A" w14:textId="77777777" w:rsidTr="00EF27AD">
        <w:trPr>
          <w:trHeight w:val="283"/>
        </w:trPr>
        <w:tc>
          <w:tcPr>
            <w:tcW w:w="678" w:type="dxa"/>
            <w:vMerge/>
          </w:tcPr>
          <w:p w14:paraId="4AE50FF6" w14:textId="77777777" w:rsidR="00D170E5" w:rsidRPr="002B55E9" w:rsidRDefault="00D170E5">
            <w:pPr>
              <w:pStyle w:val="lgy-"/>
            </w:pPr>
          </w:p>
        </w:tc>
        <w:tc>
          <w:tcPr>
            <w:tcW w:w="777" w:type="dxa"/>
            <w:vMerge w:val="restart"/>
          </w:tcPr>
          <w:p w14:paraId="50A2409C" w14:textId="77777777" w:rsidR="00D170E5" w:rsidRPr="002B55E9" w:rsidRDefault="00EF27AD">
            <w:pPr>
              <w:pStyle w:val="lgy-"/>
            </w:pPr>
            <w:r w:rsidRPr="002B55E9">
              <w:rPr>
                <w:rFonts w:eastAsia="宋体"/>
              </w:rPr>
              <w:t>HW49</w:t>
            </w:r>
          </w:p>
        </w:tc>
        <w:tc>
          <w:tcPr>
            <w:tcW w:w="923" w:type="dxa"/>
            <w:vMerge w:val="restart"/>
          </w:tcPr>
          <w:p w14:paraId="7B957E41" w14:textId="3B50CA67" w:rsidR="00D170E5" w:rsidRPr="002B55E9" w:rsidRDefault="00275F35">
            <w:pPr>
              <w:pStyle w:val="lgy-"/>
            </w:pPr>
            <w:r w:rsidRPr="002B55E9">
              <w:rPr>
                <w:rFonts w:eastAsia="宋体"/>
              </w:rPr>
              <w:t>8</w:t>
            </w:r>
          </w:p>
        </w:tc>
        <w:tc>
          <w:tcPr>
            <w:tcW w:w="927" w:type="dxa"/>
            <w:vMerge w:val="restart"/>
          </w:tcPr>
          <w:p w14:paraId="31197ECC" w14:textId="77777777" w:rsidR="00D170E5" w:rsidRPr="002B55E9" w:rsidRDefault="00EF27AD">
            <w:pPr>
              <w:pStyle w:val="lgy-"/>
            </w:pPr>
            <w:r w:rsidRPr="002B55E9">
              <w:rPr>
                <w:rFonts w:eastAsia="宋体"/>
              </w:rPr>
              <w:t>0.5</w:t>
            </w:r>
          </w:p>
        </w:tc>
        <w:tc>
          <w:tcPr>
            <w:tcW w:w="626" w:type="dxa"/>
            <w:vMerge w:val="restart"/>
          </w:tcPr>
          <w:p w14:paraId="3A222343" w14:textId="6A6D4542" w:rsidR="00D170E5" w:rsidRPr="002B55E9" w:rsidRDefault="00EF27AD" w:rsidP="00275F35">
            <w:pPr>
              <w:pStyle w:val="lgy-"/>
            </w:pPr>
            <w:r w:rsidRPr="002B55E9">
              <w:rPr>
                <w:rFonts w:eastAsia="宋体"/>
              </w:rPr>
              <w:t>4</w:t>
            </w:r>
            <w:r w:rsidRPr="002B55E9">
              <w:rPr>
                <w:rFonts w:eastAsia="宋体" w:hint="eastAsia"/>
              </w:rPr>
              <w:t>.</w:t>
            </w:r>
            <w:r w:rsidR="00275F35" w:rsidRPr="002B55E9">
              <w:rPr>
                <w:rFonts w:eastAsia="宋体"/>
              </w:rPr>
              <w:t>0</w:t>
            </w:r>
          </w:p>
        </w:tc>
        <w:tc>
          <w:tcPr>
            <w:tcW w:w="1765" w:type="dxa"/>
          </w:tcPr>
          <w:p w14:paraId="4AAFA24C" w14:textId="77777777" w:rsidR="00D170E5" w:rsidRPr="002B55E9" w:rsidRDefault="00EF27AD">
            <w:pPr>
              <w:pStyle w:val="lgy-"/>
            </w:pPr>
            <w:r w:rsidRPr="002B55E9">
              <w:rPr>
                <w:rFonts w:eastAsia="宋体" w:hint="eastAsia"/>
              </w:rPr>
              <w:t>废油墨桶、废墨盒、废胶粘剂桶等</w:t>
            </w:r>
          </w:p>
        </w:tc>
        <w:tc>
          <w:tcPr>
            <w:tcW w:w="756" w:type="dxa"/>
          </w:tcPr>
          <w:p w14:paraId="4EF21919" w14:textId="77777777" w:rsidR="00D170E5" w:rsidRPr="002B55E9" w:rsidRDefault="00EF27AD">
            <w:pPr>
              <w:pStyle w:val="lgy-"/>
            </w:pPr>
            <w:r w:rsidRPr="002B55E9">
              <w:rPr>
                <w:rFonts w:eastAsia="宋体"/>
              </w:rPr>
              <w:t>0.51</w:t>
            </w:r>
          </w:p>
        </w:tc>
        <w:tc>
          <w:tcPr>
            <w:tcW w:w="873" w:type="dxa"/>
          </w:tcPr>
          <w:p w14:paraId="38B9A59B"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4512F6C3" w14:textId="77777777" w:rsidR="00D170E5" w:rsidRPr="002B55E9" w:rsidRDefault="00EF27AD">
            <w:pPr>
              <w:pStyle w:val="lgy-"/>
            </w:pPr>
            <w:r w:rsidRPr="002B55E9">
              <w:rPr>
                <w:rFonts w:eastAsia="宋体" w:hint="eastAsia"/>
              </w:rPr>
              <w:t>0</w:t>
            </w:r>
            <w:r w:rsidRPr="002B55E9">
              <w:rPr>
                <w:rFonts w:eastAsia="宋体"/>
              </w:rPr>
              <w:t>.1</w:t>
            </w:r>
          </w:p>
        </w:tc>
        <w:tc>
          <w:tcPr>
            <w:tcW w:w="686" w:type="dxa"/>
          </w:tcPr>
          <w:p w14:paraId="03916D50" w14:textId="77777777" w:rsidR="00D170E5" w:rsidRPr="002B55E9" w:rsidRDefault="00EF27AD">
            <w:pPr>
              <w:pStyle w:val="lgy-"/>
            </w:pPr>
            <w:r w:rsidRPr="002B55E9">
              <w:rPr>
                <w:rFonts w:eastAsia="宋体" w:hint="eastAsia"/>
              </w:rPr>
              <w:t>/</w:t>
            </w:r>
          </w:p>
        </w:tc>
        <w:tc>
          <w:tcPr>
            <w:tcW w:w="838" w:type="dxa"/>
          </w:tcPr>
          <w:p w14:paraId="7D1B3AB3" w14:textId="77777777" w:rsidR="00D170E5" w:rsidRPr="002B55E9" w:rsidRDefault="00EF27AD">
            <w:pPr>
              <w:pStyle w:val="lgy-"/>
              <w:rPr>
                <w:rFonts w:eastAsia="宋体"/>
              </w:rPr>
            </w:pPr>
            <w:r w:rsidRPr="002B55E9">
              <w:rPr>
                <w:rFonts w:eastAsia="宋体"/>
              </w:rPr>
              <w:t>满足</w:t>
            </w:r>
          </w:p>
        </w:tc>
      </w:tr>
      <w:tr w:rsidR="002B55E9" w:rsidRPr="002B55E9" w14:paraId="3421F99B" w14:textId="77777777" w:rsidTr="00EF27AD">
        <w:trPr>
          <w:trHeight w:val="283"/>
        </w:trPr>
        <w:tc>
          <w:tcPr>
            <w:tcW w:w="678" w:type="dxa"/>
            <w:vMerge/>
          </w:tcPr>
          <w:p w14:paraId="7B0C45DF" w14:textId="77777777" w:rsidR="00D170E5" w:rsidRPr="002B55E9" w:rsidRDefault="00D170E5">
            <w:pPr>
              <w:pStyle w:val="lgy-"/>
            </w:pPr>
          </w:p>
        </w:tc>
        <w:tc>
          <w:tcPr>
            <w:tcW w:w="777" w:type="dxa"/>
            <w:vMerge/>
          </w:tcPr>
          <w:p w14:paraId="20E17326" w14:textId="77777777" w:rsidR="00D170E5" w:rsidRPr="002B55E9" w:rsidRDefault="00D170E5">
            <w:pPr>
              <w:pStyle w:val="lgy-"/>
            </w:pPr>
          </w:p>
        </w:tc>
        <w:tc>
          <w:tcPr>
            <w:tcW w:w="923" w:type="dxa"/>
            <w:vMerge/>
          </w:tcPr>
          <w:p w14:paraId="040B4B74" w14:textId="77777777" w:rsidR="00D170E5" w:rsidRPr="002B55E9" w:rsidRDefault="00D170E5">
            <w:pPr>
              <w:pStyle w:val="lgy-"/>
            </w:pPr>
          </w:p>
        </w:tc>
        <w:tc>
          <w:tcPr>
            <w:tcW w:w="927" w:type="dxa"/>
            <w:vMerge/>
          </w:tcPr>
          <w:p w14:paraId="405A6207" w14:textId="77777777" w:rsidR="00D170E5" w:rsidRPr="002B55E9" w:rsidRDefault="00D170E5">
            <w:pPr>
              <w:pStyle w:val="lgy-"/>
            </w:pPr>
          </w:p>
        </w:tc>
        <w:tc>
          <w:tcPr>
            <w:tcW w:w="626" w:type="dxa"/>
            <w:vMerge/>
          </w:tcPr>
          <w:p w14:paraId="666F8BEB" w14:textId="77777777" w:rsidR="00D170E5" w:rsidRPr="002B55E9" w:rsidRDefault="00D170E5">
            <w:pPr>
              <w:pStyle w:val="lgy-"/>
            </w:pPr>
          </w:p>
        </w:tc>
        <w:tc>
          <w:tcPr>
            <w:tcW w:w="1765" w:type="dxa"/>
          </w:tcPr>
          <w:p w14:paraId="6057AD5B" w14:textId="77777777" w:rsidR="00D170E5" w:rsidRPr="002B55E9" w:rsidRDefault="00EF27AD">
            <w:pPr>
              <w:pStyle w:val="lgy-"/>
            </w:pPr>
            <w:r w:rsidRPr="002B55E9">
              <w:rPr>
                <w:rFonts w:eastAsia="宋体" w:hint="eastAsia"/>
              </w:rPr>
              <w:t>实验废液</w:t>
            </w:r>
          </w:p>
        </w:tc>
        <w:tc>
          <w:tcPr>
            <w:tcW w:w="756" w:type="dxa"/>
          </w:tcPr>
          <w:p w14:paraId="1EA266FC" w14:textId="77777777" w:rsidR="00D170E5" w:rsidRPr="002B55E9" w:rsidRDefault="00EF27AD">
            <w:pPr>
              <w:pStyle w:val="lgy-"/>
            </w:pPr>
            <w:r w:rsidRPr="002B55E9">
              <w:rPr>
                <w:rFonts w:eastAsia="宋体"/>
              </w:rPr>
              <w:t>1.5</w:t>
            </w:r>
          </w:p>
        </w:tc>
        <w:tc>
          <w:tcPr>
            <w:tcW w:w="873" w:type="dxa"/>
          </w:tcPr>
          <w:p w14:paraId="57558CBD"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08051B89" w14:textId="77777777" w:rsidR="00D170E5" w:rsidRPr="002B55E9" w:rsidRDefault="00EF27AD">
            <w:pPr>
              <w:pStyle w:val="lgy-"/>
            </w:pPr>
            <w:r w:rsidRPr="002B55E9">
              <w:rPr>
                <w:rFonts w:eastAsia="宋体"/>
              </w:rPr>
              <w:t>0.2</w:t>
            </w:r>
          </w:p>
        </w:tc>
        <w:tc>
          <w:tcPr>
            <w:tcW w:w="686" w:type="dxa"/>
          </w:tcPr>
          <w:p w14:paraId="46FE0753" w14:textId="77777777" w:rsidR="00D170E5" w:rsidRPr="002B55E9" w:rsidRDefault="00EF27AD">
            <w:pPr>
              <w:pStyle w:val="lgy-"/>
            </w:pPr>
            <w:r w:rsidRPr="002B55E9">
              <w:rPr>
                <w:rFonts w:eastAsia="宋体" w:hint="eastAsia"/>
              </w:rPr>
              <w:t>桶装</w:t>
            </w:r>
          </w:p>
        </w:tc>
        <w:tc>
          <w:tcPr>
            <w:tcW w:w="838" w:type="dxa"/>
          </w:tcPr>
          <w:p w14:paraId="1A6BC99B" w14:textId="77777777" w:rsidR="00D170E5" w:rsidRPr="002B55E9" w:rsidRDefault="00EF27AD">
            <w:pPr>
              <w:pStyle w:val="lgy-"/>
              <w:rPr>
                <w:rFonts w:eastAsia="宋体"/>
              </w:rPr>
            </w:pPr>
            <w:r w:rsidRPr="002B55E9">
              <w:rPr>
                <w:rFonts w:eastAsia="宋体"/>
              </w:rPr>
              <w:t>满足</w:t>
            </w:r>
          </w:p>
        </w:tc>
      </w:tr>
      <w:tr w:rsidR="002B55E9" w:rsidRPr="002B55E9" w14:paraId="1BFE6ACD" w14:textId="77777777" w:rsidTr="00EF27AD">
        <w:trPr>
          <w:trHeight w:val="283"/>
        </w:trPr>
        <w:tc>
          <w:tcPr>
            <w:tcW w:w="678" w:type="dxa"/>
            <w:vMerge/>
          </w:tcPr>
          <w:p w14:paraId="16716EED" w14:textId="77777777" w:rsidR="00D170E5" w:rsidRPr="002B55E9" w:rsidRDefault="00D170E5">
            <w:pPr>
              <w:pStyle w:val="lgy-"/>
            </w:pPr>
          </w:p>
        </w:tc>
        <w:tc>
          <w:tcPr>
            <w:tcW w:w="777" w:type="dxa"/>
            <w:vMerge/>
          </w:tcPr>
          <w:p w14:paraId="18B935BE" w14:textId="77777777" w:rsidR="00D170E5" w:rsidRPr="002B55E9" w:rsidRDefault="00D170E5">
            <w:pPr>
              <w:pStyle w:val="lgy-"/>
            </w:pPr>
          </w:p>
        </w:tc>
        <w:tc>
          <w:tcPr>
            <w:tcW w:w="923" w:type="dxa"/>
            <w:vMerge/>
          </w:tcPr>
          <w:p w14:paraId="144F83FB" w14:textId="77777777" w:rsidR="00D170E5" w:rsidRPr="002B55E9" w:rsidRDefault="00D170E5">
            <w:pPr>
              <w:pStyle w:val="lgy-"/>
            </w:pPr>
          </w:p>
        </w:tc>
        <w:tc>
          <w:tcPr>
            <w:tcW w:w="927" w:type="dxa"/>
            <w:vMerge/>
          </w:tcPr>
          <w:p w14:paraId="4986F260" w14:textId="77777777" w:rsidR="00D170E5" w:rsidRPr="002B55E9" w:rsidRDefault="00D170E5">
            <w:pPr>
              <w:pStyle w:val="lgy-"/>
            </w:pPr>
          </w:p>
        </w:tc>
        <w:tc>
          <w:tcPr>
            <w:tcW w:w="626" w:type="dxa"/>
            <w:vMerge/>
          </w:tcPr>
          <w:p w14:paraId="590D1D92" w14:textId="77777777" w:rsidR="00D170E5" w:rsidRPr="002B55E9" w:rsidRDefault="00D170E5">
            <w:pPr>
              <w:pStyle w:val="lgy-"/>
            </w:pPr>
          </w:p>
        </w:tc>
        <w:tc>
          <w:tcPr>
            <w:tcW w:w="1765" w:type="dxa"/>
          </w:tcPr>
          <w:p w14:paraId="67345BEE" w14:textId="77777777" w:rsidR="00D170E5" w:rsidRPr="002B55E9" w:rsidRDefault="00EF27AD">
            <w:pPr>
              <w:pStyle w:val="lgy-"/>
            </w:pPr>
            <w:r w:rsidRPr="002B55E9">
              <w:rPr>
                <w:rFonts w:eastAsia="宋体" w:hint="eastAsia"/>
              </w:rPr>
              <w:t>化验室</w:t>
            </w:r>
            <w:r w:rsidRPr="002B55E9">
              <w:rPr>
                <w:rFonts w:eastAsia="宋体"/>
              </w:rPr>
              <w:t>废耗材</w:t>
            </w:r>
          </w:p>
        </w:tc>
        <w:tc>
          <w:tcPr>
            <w:tcW w:w="756" w:type="dxa"/>
          </w:tcPr>
          <w:p w14:paraId="5EB796E5" w14:textId="77777777" w:rsidR="00D170E5" w:rsidRPr="002B55E9" w:rsidRDefault="00EF27AD">
            <w:pPr>
              <w:pStyle w:val="lgy-"/>
            </w:pPr>
            <w:r w:rsidRPr="002B55E9">
              <w:rPr>
                <w:rFonts w:eastAsia="宋体" w:hint="eastAsia"/>
              </w:rPr>
              <w:t>0.5</w:t>
            </w:r>
          </w:p>
        </w:tc>
        <w:tc>
          <w:tcPr>
            <w:tcW w:w="873" w:type="dxa"/>
          </w:tcPr>
          <w:p w14:paraId="4424BC70"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505DE815" w14:textId="77777777" w:rsidR="00D170E5" w:rsidRPr="002B55E9" w:rsidRDefault="00EF27AD">
            <w:pPr>
              <w:pStyle w:val="lgy-"/>
            </w:pPr>
            <w:r w:rsidRPr="002B55E9">
              <w:rPr>
                <w:rFonts w:eastAsia="宋体" w:hint="eastAsia"/>
              </w:rPr>
              <w:t>0.1</w:t>
            </w:r>
          </w:p>
        </w:tc>
        <w:tc>
          <w:tcPr>
            <w:tcW w:w="686" w:type="dxa"/>
          </w:tcPr>
          <w:p w14:paraId="3D9D4DD6" w14:textId="77777777" w:rsidR="00D170E5" w:rsidRPr="002B55E9" w:rsidRDefault="00EF27AD">
            <w:pPr>
              <w:pStyle w:val="lgy-"/>
            </w:pPr>
            <w:r w:rsidRPr="002B55E9">
              <w:rPr>
                <w:rFonts w:eastAsia="宋体" w:hint="eastAsia"/>
              </w:rPr>
              <w:t>袋装</w:t>
            </w:r>
          </w:p>
        </w:tc>
        <w:tc>
          <w:tcPr>
            <w:tcW w:w="838" w:type="dxa"/>
          </w:tcPr>
          <w:p w14:paraId="56BFED46" w14:textId="77777777" w:rsidR="00D170E5" w:rsidRPr="002B55E9" w:rsidRDefault="00EF27AD">
            <w:pPr>
              <w:pStyle w:val="lgy-"/>
              <w:rPr>
                <w:rFonts w:eastAsia="宋体"/>
              </w:rPr>
            </w:pPr>
            <w:r w:rsidRPr="002B55E9">
              <w:rPr>
                <w:rFonts w:eastAsia="宋体"/>
              </w:rPr>
              <w:t>满足</w:t>
            </w:r>
          </w:p>
        </w:tc>
      </w:tr>
      <w:tr w:rsidR="002B55E9" w:rsidRPr="002B55E9" w14:paraId="462AADFB" w14:textId="77777777" w:rsidTr="00EF27AD">
        <w:trPr>
          <w:trHeight w:val="283"/>
        </w:trPr>
        <w:tc>
          <w:tcPr>
            <w:tcW w:w="678" w:type="dxa"/>
            <w:vMerge/>
          </w:tcPr>
          <w:p w14:paraId="0A54022F" w14:textId="77777777" w:rsidR="00D170E5" w:rsidRPr="002B55E9" w:rsidRDefault="00D170E5">
            <w:pPr>
              <w:pStyle w:val="lgy-"/>
            </w:pPr>
          </w:p>
        </w:tc>
        <w:tc>
          <w:tcPr>
            <w:tcW w:w="777" w:type="dxa"/>
            <w:vMerge/>
          </w:tcPr>
          <w:p w14:paraId="53E47208" w14:textId="77777777" w:rsidR="00D170E5" w:rsidRPr="002B55E9" w:rsidRDefault="00D170E5">
            <w:pPr>
              <w:pStyle w:val="lgy-"/>
            </w:pPr>
          </w:p>
        </w:tc>
        <w:tc>
          <w:tcPr>
            <w:tcW w:w="923" w:type="dxa"/>
            <w:vMerge/>
          </w:tcPr>
          <w:p w14:paraId="7DF77624" w14:textId="77777777" w:rsidR="00D170E5" w:rsidRPr="002B55E9" w:rsidRDefault="00D170E5">
            <w:pPr>
              <w:pStyle w:val="lgy-"/>
            </w:pPr>
          </w:p>
        </w:tc>
        <w:tc>
          <w:tcPr>
            <w:tcW w:w="927" w:type="dxa"/>
            <w:vMerge/>
          </w:tcPr>
          <w:p w14:paraId="197C5019" w14:textId="77777777" w:rsidR="00D170E5" w:rsidRPr="002B55E9" w:rsidRDefault="00D170E5">
            <w:pPr>
              <w:pStyle w:val="lgy-"/>
            </w:pPr>
          </w:p>
        </w:tc>
        <w:tc>
          <w:tcPr>
            <w:tcW w:w="626" w:type="dxa"/>
            <w:vMerge/>
          </w:tcPr>
          <w:p w14:paraId="51197CDD" w14:textId="77777777" w:rsidR="00D170E5" w:rsidRPr="002B55E9" w:rsidRDefault="00D170E5">
            <w:pPr>
              <w:pStyle w:val="lgy-"/>
            </w:pPr>
          </w:p>
        </w:tc>
        <w:tc>
          <w:tcPr>
            <w:tcW w:w="1765" w:type="dxa"/>
          </w:tcPr>
          <w:p w14:paraId="59D80373" w14:textId="77777777" w:rsidR="00D170E5" w:rsidRPr="002B55E9" w:rsidRDefault="00EF27AD">
            <w:pPr>
              <w:pStyle w:val="lgy-"/>
            </w:pPr>
            <w:r w:rsidRPr="002B55E9">
              <w:rPr>
                <w:rFonts w:eastAsia="宋体" w:hint="eastAsia"/>
              </w:rPr>
              <w:t>废活性炭</w:t>
            </w:r>
          </w:p>
        </w:tc>
        <w:tc>
          <w:tcPr>
            <w:tcW w:w="756" w:type="dxa"/>
          </w:tcPr>
          <w:p w14:paraId="4F093276" w14:textId="77777777" w:rsidR="00D170E5" w:rsidRPr="002B55E9" w:rsidRDefault="00EF27AD">
            <w:pPr>
              <w:pStyle w:val="lgy-"/>
            </w:pPr>
            <w:r w:rsidRPr="002B55E9">
              <w:rPr>
                <w:rFonts w:eastAsia="宋体" w:hint="eastAsia"/>
              </w:rPr>
              <w:t>0.1</w:t>
            </w:r>
          </w:p>
        </w:tc>
        <w:tc>
          <w:tcPr>
            <w:tcW w:w="873" w:type="dxa"/>
          </w:tcPr>
          <w:p w14:paraId="2EE1B0FC"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234F7E67" w14:textId="77777777" w:rsidR="00D170E5" w:rsidRPr="002B55E9" w:rsidRDefault="00EF27AD">
            <w:pPr>
              <w:pStyle w:val="lgy-"/>
            </w:pPr>
            <w:r w:rsidRPr="002B55E9">
              <w:rPr>
                <w:rFonts w:eastAsia="宋体" w:hint="eastAsia"/>
              </w:rPr>
              <w:t>0</w:t>
            </w:r>
            <w:r w:rsidRPr="002B55E9">
              <w:rPr>
                <w:rFonts w:eastAsia="宋体"/>
              </w:rPr>
              <w:t>.1</w:t>
            </w:r>
          </w:p>
        </w:tc>
        <w:tc>
          <w:tcPr>
            <w:tcW w:w="686" w:type="dxa"/>
          </w:tcPr>
          <w:p w14:paraId="3BB0FA81" w14:textId="77777777" w:rsidR="00D170E5" w:rsidRPr="002B55E9" w:rsidRDefault="00EF27AD">
            <w:pPr>
              <w:pStyle w:val="lgy-"/>
            </w:pPr>
            <w:r w:rsidRPr="002B55E9">
              <w:rPr>
                <w:rFonts w:eastAsia="宋体" w:hint="eastAsia"/>
              </w:rPr>
              <w:t>袋装</w:t>
            </w:r>
          </w:p>
        </w:tc>
        <w:tc>
          <w:tcPr>
            <w:tcW w:w="838" w:type="dxa"/>
          </w:tcPr>
          <w:p w14:paraId="0F86EC7A" w14:textId="77777777" w:rsidR="00D170E5" w:rsidRPr="002B55E9" w:rsidRDefault="00EF27AD">
            <w:pPr>
              <w:pStyle w:val="lgy-"/>
              <w:rPr>
                <w:rFonts w:eastAsia="宋体"/>
              </w:rPr>
            </w:pPr>
            <w:r w:rsidRPr="002B55E9">
              <w:rPr>
                <w:rFonts w:eastAsia="宋体"/>
              </w:rPr>
              <w:t>满足</w:t>
            </w:r>
          </w:p>
        </w:tc>
      </w:tr>
      <w:tr w:rsidR="002B55E9" w:rsidRPr="002B55E9" w14:paraId="0A0823C0" w14:textId="77777777" w:rsidTr="00EF27AD">
        <w:trPr>
          <w:trHeight w:val="283"/>
        </w:trPr>
        <w:tc>
          <w:tcPr>
            <w:tcW w:w="678" w:type="dxa"/>
            <w:vMerge/>
          </w:tcPr>
          <w:p w14:paraId="6E614FB8" w14:textId="77777777" w:rsidR="00D170E5" w:rsidRPr="002B55E9" w:rsidRDefault="00D170E5">
            <w:pPr>
              <w:pStyle w:val="lgy-"/>
            </w:pPr>
          </w:p>
        </w:tc>
        <w:tc>
          <w:tcPr>
            <w:tcW w:w="777" w:type="dxa"/>
            <w:vMerge/>
          </w:tcPr>
          <w:p w14:paraId="263C485F" w14:textId="77777777" w:rsidR="00D170E5" w:rsidRPr="002B55E9" w:rsidRDefault="00D170E5">
            <w:pPr>
              <w:pStyle w:val="lgy-"/>
            </w:pPr>
          </w:p>
        </w:tc>
        <w:tc>
          <w:tcPr>
            <w:tcW w:w="923" w:type="dxa"/>
            <w:vMerge/>
          </w:tcPr>
          <w:p w14:paraId="71B1282B" w14:textId="77777777" w:rsidR="00D170E5" w:rsidRPr="002B55E9" w:rsidRDefault="00D170E5">
            <w:pPr>
              <w:pStyle w:val="lgy-"/>
            </w:pPr>
          </w:p>
        </w:tc>
        <w:tc>
          <w:tcPr>
            <w:tcW w:w="927" w:type="dxa"/>
            <w:vMerge/>
          </w:tcPr>
          <w:p w14:paraId="345EFAA6" w14:textId="77777777" w:rsidR="00D170E5" w:rsidRPr="002B55E9" w:rsidRDefault="00D170E5">
            <w:pPr>
              <w:pStyle w:val="lgy-"/>
            </w:pPr>
          </w:p>
        </w:tc>
        <w:tc>
          <w:tcPr>
            <w:tcW w:w="626" w:type="dxa"/>
            <w:vMerge/>
          </w:tcPr>
          <w:p w14:paraId="3AC2840D" w14:textId="77777777" w:rsidR="00D170E5" w:rsidRPr="002B55E9" w:rsidRDefault="00D170E5">
            <w:pPr>
              <w:pStyle w:val="lgy-"/>
            </w:pPr>
          </w:p>
        </w:tc>
        <w:tc>
          <w:tcPr>
            <w:tcW w:w="1765" w:type="dxa"/>
          </w:tcPr>
          <w:p w14:paraId="5350C714" w14:textId="77777777" w:rsidR="00D170E5" w:rsidRPr="002B55E9" w:rsidRDefault="00EF27AD">
            <w:pPr>
              <w:pStyle w:val="lgy-"/>
            </w:pPr>
            <w:r w:rsidRPr="002B55E9">
              <w:rPr>
                <w:rFonts w:eastAsia="宋体" w:hint="eastAsia"/>
              </w:rPr>
              <w:t>废含油抹布</w:t>
            </w:r>
          </w:p>
        </w:tc>
        <w:tc>
          <w:tcPr>
            <w:tcW w:w="756" w:type="dxa"/>
          </w:tcPr>
          <w:p w14:paraId="5CF23ABB" w14:textId="77777777" w:rsidR="00D170E5" w:rsidRPr="002B55E9" w:rsidRDefault="00EF27AD">
            <w:pPr>
              <w:pStyle w:val="lgy-"/>
            </w:pPr>
            <w:r w:rsidRPr="002B55E9">
              <w:rPr>
                <w:rFonts w:eastAsia="宋体" w:hint="eastAsia"/>
              </w:rPr>
              <w:t>0</w:t>
            </w:r>
            <w:r w:rsidRPr="002B55E9">
              <w:rPr>
                <w:rFonts w:eastAsia="宋体"/>
              </w:rPr>
              <w:t>.01</w:t>
            </w:r>
          </w:p>
        </w:tc>
        <w:tc>
          <w:tcPr>
            <w:tcW w:w="873" w:type="dxa"/>
          </w:tcPr>
          <w:p w14:paraId="53C40A6C" w14:textId="77777777" w:rsidR="00D170E5" w:rsidRPr="002B55E9" w:rsidRDefault="00EF27AD">
            <w:pPr>
              <w:pStyle w:val="lgy-"/>
            </w:pPr>
            <w:r w:rsidRPr="002B55E9">
              <w:rPr>
                <w:rFonts w:eastAsia="宋体" w:hint="eastAsia"/>
              </w:rPr>
              <w:t>1</w:t>
            </w:r>
            <w:r w:rsidRPr="002B55E9">
              <w:rPr>
                <w:rFonts w:eastAsia="宋体" w:hint="eastAsia"/>
              </w:rPr>
              <w:t>个月</w:t>
            </w:r>
          </w:p>
        </w:tc>
        <w:tc>
          <w:tcPr>
            <w:tcW w:w="788" w:type="dxa"/>
          </w:tcPr>
          <w:p w14:paraId="22D0C00E" w14:textId="77777777" w:rsidR="00D170E5" w:rsidRPr="002B55E9" w:rsidRDefault="00EF27AD">
            <w:pPr>
              <w:pStyle w:val="lgy-"/>
            </w:pPr>
            <w:r w:rsidRPr="002B55E9">
              <w:rPr>
                <w:rFonts w:eastAsia="宋体"/>
              </w:rPr>
              <w:t>0.01</w:t>
            </w:r>
          </w:p>
        </w:tc>
        <w:tc>
          <w:tcPr>
            <w:tcW w:w="686" w:type="dxa"/>
          </w:tcPr>
          <w:p w14:paraId="3D64A55D" w14:textId="77777777" w:rsidR="00D170E5" w:rsidRPr="002B55E9" w:rsidRDefault="00EF27AD">
            <w:pPr>
              <w:pStyle w:val="lgy-"/>
            </w:pPr>
            <w:r w:rsidRPr="002B55E9">
              <w:rPr>
                <w:rFonts w:eastAsia="宋体" w:hint="eastAsia"/>
              </w:rPr>
              <w:t>袋装</w:t>
            </w:r>
          </w:p>
        </w:tc>
        <w:tc>
          <w:tcPr>
            <w:tcW w:w="838" w:type="dxa"/>
          </w:tcPr>
          <w:p w14:paraId="5928B72D" w14:textId="77777777" w:rsidR="00D170E5" w:rsidRPr="002B55E9" w:rsidRDefault="00EF27AD">
            <w:pPr>
              <w:pStyle w:val="lgy-"/>
              <w:rPr>
                <w:rFonts w:eastAsia="宋体"/>
              </w:rPr>
            </w:pPr>
            <w:r w:rsidRPr="002B55E9">
              <w:rPr>
                <w:rFonts w:eastAsia="宋体"/>
              </w:rPr>
              <w:t>满足</w:t>
            </w:r>
          </w:p>
        </w:tc>
      </w:tr>
      <w:tr w:rsidR="002B55E9" w:rsidRPr="002B55E9" w14:paraId="5E3F6800" w14:textId="77777777" w:rsidTr="00EF27AD">
        <w:trPr>
          <w:trHeight w:val="283"/>
        </w:trPr>
        <w:tc>
          <w:tcPr>
            <w:tcW w:w="1455" w:type="dxa"/>
            <w:gridSpan w:val="2"/>
          </w:tcPr>
          <w:p w14:paraId="75502D87" w14:textId="77777777" w:rsidR="00D170E5" w:rsidRPr="002B55E9" w:rsidRDefault="00EF27AD">
            <w:pPr>
              <w:pStyle w:val="lgy-"/>
            </w:pPr>
            <w:r w:rsidRPr="002B55E9">
              <w:rPr>
                <w:rFonts w:eastAsia="宋体" w:hint="eastAsia"/>
              </w:rPr>
              <w:t>合计</w:t>
            </w:r>
          </w:p>
        </w:tc>
        <w:tc>
          <w:tcPr>
            <w:tcW w:w="923" w:type="dxa"/>
          </w:tcPr>
          <w:p w14:paraId="1FEF7766" w14:textId="46589A15" w:rsidR="00D170E5" w:rsidRPr="002B55E9" w:rsidRDefault="00275F35">
            <w:pPr>
              <w:pStyle w:val="lgy-"/>
            </w:pPr>
            <w:r w:rsidRPr="002B55E9">
              <w:rPr>
                <w:rFonts w:eastAsia="宋体"/>
              </w:rPr>
              <w:t>11</w:t>
            </w:r>
          </w:p>
        </w:tc>
        <w:tc>
          <w:tcPr>
            <w:tcW w:w="927" w:type="dxa"/>
          </w:tcPr>
          <w:p w14:paraId="40C45880" w14:textId="77777777" w:rsidR="00D170E5" w:rsidRPr="002B55E9" w:rsidRDefault="00EF27AD">
            <w:pPr>
              <w:pStyle w:val="lgy-"/>
            </w:pPr>
            <w:r w:rsidRPr="002B55E9">
              <w:rPr>
                <w:rFonts w:eastAsia="宋体" w:hint="eastAsia"/>
              </w:rPr>
              <w:t>/</w:t>
            </w:r>
          </w:p>
        </w:tc>
        <w:tc>
          <w:tcPr>
            <w:tcW w:w="626" w:type="dxa"/>
          </w:tcPr>
          <w:p w14:paraId="4783F52D" w14:textId="64596C8D" w:rsidR="00D170E5" w:rsidRPr="002B55E9" w:rsidRDefault="00275F35">
            <w:pPr>
              <w:pStyle w:val="lgy-"/>
            </w:pPr>
            <w:r w:rsidRPr="002B55E9">
              <w:rPr>
                <w:rFonts w:eastAsia="宋体"/>
              </w:rPr>
              <w:t>5.5</w:t>
            </w:r>
          </w:p>
        </w:tc>
        <w:tc>
          <w:tcPr>
            <w:tcW w:w="1765" w:type="dxa"/>
          </w:tcPr>
          <w:p w14:paraId="2C618E8C" w14:textId="77777777" w:rsidR="00D170E5" w:rsidRPr="002B55E9" w:rsidRDefault="00EF27AD">
            <w:pPr>
              <w:pStyle w:val="lgy-"/>
            </w:pPr>
            <w:r w:rsidRPr="002B55E9">
              <w:rPr>
                <w:rFonts w:eastAsia="宋体" w:hint="eastAsia"/>
              </w:rPr>
              <w:t>/</w:t>
            </w:r>
          </w:p>
        </w:tc>
        <w:tc>
          <w:tcPr>
            <w:tcW w:w="756" w:type="dxa"/>
          </w:tcPr>
          <w:p w14:paraId="35A66A79" w14:textId="77777777" w:rsidR="00D170E5" w:rsidRPr="002B55E9" w:rsidRDefault="00EF27AD">
            <w:pPr>
              <w:pStyle w:val="lgy-"/>
            </w:pPr>
            <w:r w:rsidRPr="002B55E9">
              <w:fldChar w:fldCharType="begin"/>
            </w:r>
            <w:r w:rsidRPr="002B55E9">
              <w:rPr>
                <w:rFonts w:eastAsia="宋体"/>
              </w:rPr>
              <w:instrText xml:space="preserve"> </w:instrText>
            </w:r>
            <w:r w:rsidRPr="002B55E9">
              <w:rPr>
                <w:rFonts w:eastAsia="宋体" w:hint="eastAsia"/>
              </w:rPr>
              <w:instrText>=SUM(ABOVE)</w:instrText>
            </w:r>
            <w:r w:rsidRPr="002B55E9">
              <w:rPr>
                <w:rFonts w:eastAsia="宋体"/>
              </w:rPr>
              <w:instrText xml:space="preserve"> </w:instrText>
            </w:r>
            <w:r w:rsidRPr="002B55E9">
              <w:fldChar w:fldCharType="separate"/>
            </w:r>
            <w:r w:rsidRPr="002B55E9">
              <w:rPr>
                <w:rFonts w:eastAsia="宋体"/>
              </w:rPr>
              <w:t>3.12</w:t>
            </w:r>
            <w:r w:rsidRPr="002B55E9">
              <w:fldChar w:fldCharType="end"/>
            </w:r>
          </w:p>
        </w:tc>
        <w:tc>
          <w:tcPr>
            <w:tcW w:w="873" w:type="dxa"/>
          </w:tcPr>
          <w:p w14:paraId="4C4F8716" w14:textId="77777777" w:rsidR="00D170E5" w:rsidRPr="002B55E9" w:rsidRDefault="00EF27AD">
            <w:pPr>
              <w:pStyle w:val="lgy-"/>
            </w:pPr>
            <w:r w:rsidRPr="002B55E9">
              <w:rPr>
                <w:rFonts w:eastAsia="宋体" w:hint="eastAsia"/>
              </w:rPr>
              <w:t>/</w:t>
            </w:r>
          </w:p>
        </w:tc>
        <w:tc>
          <w:tcPr>
            <w:tcW w:w="788" w:type="dxa"/>
          </w:tcPr>
          <w:p w14:paraId="21FE3CBF" w14:textId="77777777" w:rsidR="00D170E5" w:rsidRPr="002B55E9" w:rsidRDefault="00EF27AD">
            <w:pPr>
              <w:pStyle w:val="lgy-"/>
            </w:pPr>
            <w:r w:rsidRPr="002B55E9">
              <w:fldChar w:fldCharType="begin"/>
            </w:r>
            <w:r w:rsidRPr="002B55E9">
              <w:rPr>
                <w:rFonts w:eastAsia="宋体"/>
              </w:rPr>
              <w:instrText xml:space="preserve"> =SUM(ABOVE) </w:instrText>
            </w:r>
            <w:r w:rsidRPr="002B55E9">
              <w:fldChar w:fldCharType="separate"/>
            </w:r>
            <w:r w:rsidRPr="002B55E9">
              <w:rPr>
                <w:rFonts w:eastAsia="宋体"/>
              </w:rPr>
              <w:t>1.01</w:t>
            </w:r>
            <w:r w:rsidRPr="002B55E9">
              <w:fldChar w:fldCharType="end"/>
            </w:r>
          </w:p>
        </w:tc>
        <w:tc>
          <w:tcPr>
            <w:tcW w:w="686" w:type="dxa"/>
          </w:tcPr>
          <w:p w14:paraId="316D387D" w14:textId="77777777" w:rsidR="00D170E5" w:rsidRPr="002B55E9" w:rsidRDefault="00EF27AD">
            <w:pPr>
              <w:pStyle w:val="lgy-"/>
            </w:pPr>
            <w:r w:rsidRPr="002B55E9">
              <w:rPr>
                <w:rFonts w:eastAsia="宋体" w:hint="eastAsia"/>
              </w:rPr>
              <w:t>/</w:t>
            </w:r>
          </w:p>
        </w:tc>
        <w:tc>
          <w:tcPr>
            <w:tcW w:w="838" w:type="dxa"/>
          </w:tcPr>
          <w:p w14:paraId="461CE9BA" w14:textId="77777777" w:rsidR="00D170E5" w:rsidRPr="002B55E9" w:rsidRDefault="00EF27AD">
            <w:pPr>
              <w:pStyle w:val="lgy-"/>
              <w:rPr>
                <w:rFonts w:eastAsia="宋体"/>
              </w:rPr>
            </w:pPr>
            <w:r w:rsidRPr="002B55E9">
              <w:rPr>
                <w:rFonts w:eastAsia="宋体" w:hint="eastAsia"/>
              </w:rPr>
              <w:t>/</w:t>
            </w:r>
          </w:p>
        </w:tc>
      </w:tr>
    </w:tbl>
    <w:p w14:paraId="4185A343" w14:textId="77777777" w:rsidR="00D170E5" w:rsidRPr="002B55E9" w:rsidRDefault="00EF27AD">
      <w:pPr>
        <w:pStyle w:val="aa"/>
        <w:spacing w:after="60"/>
        <w:ind w:firstLine="0"/>
        <w:rPr>
          <w:bCs/>
          <w:sz w:val="18"/>
          <w:szCs w:val="18"/>
        </w:rPr>
      </w:pPr>
      <w:r w:rsidRPr="002B55E9">
        <w:rPr>
          <w:rFonts w:hint="eastAsia"/>
          <w:bCs/>
          <w:sz w:val="18"/>
          <w:szCs w:val="18"/>
        </w:rPr>
        <w:t>注：</w:t>
      </w:r>
      <w:r w:rsidRPr="002B55E9">
        <w:rPr>
          <w:rFonts w:hint="eastAsia"/>
          <w:bCs/>
          <w:sz w:val="18"/>
          <w:szCs w:val="18"/>
        </w:rPr>
        <w:t>*</w:t>
      </w:r>
      <w:r w:rsidRPr="002B55E9">
        <w:rPr>
          <w:rFonts w:hint="eastAsia"/>
          <w:bCs/>
          <w:sz w:val="18"/>
          <w:szCs w:val="18"/>
        </w:rPr>
        <w:t>参照《常用化学危险品贮存通则》（</w:t>
      </w:r>
      <w:r w:rsidRPr="002B55E9">
        <w:rPr>
          <w:rFonts w:hint="eastAsia"/>
          <w:bCs/>
          <w:sz w:val="18"/>
          <w:szCs w:val="18"/>
        </w:rPr>
        <w:t>GB15603-1995</w:t>
      </w:r>
      <w:r w:rsidRPr="002B55E9">
        <w:rPr>
          <w:rFonts w:hint="eastAsia"/>
          <w:bCs/>
          <w:sz w:val="18"/>
          <w:szCs w:val="18"/>
        </w:rPr>
        <w:t>）中“平均单位面积贮存量在</w:t>
      </w:r>
      <w:r w:rsidRPr="002B55E9">
        <w:rPr>
          <w:rFonts w:hint="eastAsia"/>
          <w:bCs/>
          <w:sz w:val="18"/>
          <w:szCs w:val="18"/>
        </w:rPr>
        <w:t>0.5~1.5</w:t>
      </w:r>
      <w:r w:rsidRPr="002B55E9">
        <w:rPr>
          <w:bCs/>
        </w:rPr>
        <w:t xml:space="preserve"> </w:t>
      </w:r>
      <w:r w:rsidRPr="002B55E9">
        <w:rPr>
          <w:bCs/>
          <w:sz w:val="18"/>
          <w:szCs w:val="18"/>
        </w:rPr>
        <w:t>t/m</w:t>
      </w:r>
      <w:r w:rsidRPr="002B55E9">
        <w:rPr>
          <w:bCs/>
          <w:sz w:val="18"/>
          <w:szCs w:val="18"/>
          <w:vertAlign w:val="superscript"/>
        </w:rPr>
        <w:t>2</w:t>
      </w:r>
      <w:r w:rsidRPr="002B55E9">
        <w:rPr>
          <w:rFonts w:hint="eastAsia"/>
          <w:bCs/>
          <w:sz w:val="18"/>
          <w:szCs w:val="18"/>
        </w:rPr>
        <w:t>”。</w:t>
      </w:r>
    </w:p>
    <w:p w14:paraId="3ED52452" w14:textId="5A5E2967" w:rsidR="00D170E5" w:rsidRPr="002B55E9" w:rsidRDefault="00EF27AD">
      <w:pPr>
        <w:pStyle w:val="affff7"/>
        <w:snapToGrid w:val="0"/>
        <w:spacing w:after="0"/>
      </w:pPr>
      <w:r w:rsidRPr="002B55E9">
        <w:rPr>
          <w:rFonts w:hint="eastAsia"/>
          <w:szCs w:val="24"/>
        </w:rPr>
        <w:t>由上表可知，各类危险废物在暂存间内的储存期限按相应储存周期考虑，单个区域完全能够满足暂存需求。因此，本项目危废暂存间面积能满足各类危险废物暂存的需求。</w:t>
      </w:r>
    </w:p>
    <w:p w14:paraId="11DF359C" w14:textId="77777777" w:rsidR="00D170E5" w:rsidRPr="002B55E9" w:rsidRDefault="00EF27AD">
      <w:pPr>
        <w:pStyle w:val="aa"/>
        <w:snapToGrid w:val="0"/>
        <w:ind w:firstLine="480"/>
      </w:pPr>
      <w:r w:rsidRPr="002B55E9">
        <w:rPr>
          <w:rFonts w:hint="eastAsia"/>
        </w:rPr>
        <w:t>（</w:t>
      </w:r>
      <w:r w:rsidRPr="002B55E9">
        <w:t>3</w:t>
      </w:r>
      <w:r w:rsidRPr="002B55E9">
        <w:rPr>
          <w:rFonts w:hint="eastAsia"/>
        </w:rPr>
        <w:t>）对环境空气的影响分析</w:t>
      </w:r>
    </w:p>
    <w:p w14:paraId="3B1850A7" w14:textId="77777777" w:rsidR="00D170E5" w:rsidRPr="002B55E9" w:rsidRDefault="00EF27AD">
      <w:pPr>
        <w:pStyle w:val="aa"/>
        <w:snapToGrid w:val="0"/>
        <w:ind w:firstLine="480"/>
        <w:rPr>
          <w:szCs w:val="24"/>
        </w:rPr>
      </w:pPr>
      <w:r w:rsidRPr="002B55E9">
        <w:rPr>
          <w:rFonts w:hint="eastAsia"/>
          <w:szCs w:val="24"/>
        </w:rPr>
        <w:t>危险废物暂存间内对环境空气的影响主要为废油墨桶、废墨盒、废胶粘剂桶、实验废液等有机物挥发对周边环境空气的影响。拟建项目废油墨桶、废墨盒、废胶粘剂桶等均要求建设但加盖密闭，实验废液暂存在密闭包装容器内</w:t>
      </w:r>
      <w:r w:rsidRPr="002B55E9">
        <w:rPr>
          <w:rFonts w:hint="eastAsia"/>
        </w:rPr>
        <w:t>，其在密封状态基本不会挥发，对周边环境空气的影响较小，环境影响可接受。</w:t>
      </w:r>
    </w:p>
    <w:p w14:paraId="2EDAEC3D" w14:textId="77777777" w:rsidR="00D170E5" w:rsidRPr="002B55E9" w:rsidRDefault="00EF27AD">
      <w:pPr>
        <w:pStyle w:val="aa"/>
        <w:snapToGrid w:val="0"/>
      </w:pPr>
      <w:r w:rsidRPr="002B55E9">
        <w:rPr>
          <w:rFonts w:hint="eastAsia"/>
        </w:rPr>
        <w:t>（</w:t>
      </w:r>
      <w:r w:rsidRPr="002B55E9">
        <w:t>4</w:t>
      </w:r>
      <w:r w:rsidRPr="002B55E9">
        <w:rPr>
          <w:rFonts w:hint="eastAsia"/>
        </w:rPr>
        <w:t>）对地表水的影响</w:t>
      </w:r>
    </w:p>
    <w:p w14:paraId="1FA5A446" w14:textId="77777777" w:rsidR="00D170E5" w:rsidRPr="002B55E9" w:rsidRDefault="00EF27AD">
      <w:pPr>
        <w:pStyle w:val="aa"/>
        <w:snapToGrid w:val="0"/>
      </w:pPr>
      <w:r w:rsidRPr="002B55E9">
        <w:rPr>
          <w:rFonts w:hint="eastAsia"/>
        </w:rPr>
        <w:t>拟建项目危险废物暂存对地表水的影响途径主要是事故状态下，危险废物暂存间内的物料泄漏外溢造成周边环境水体污染。建设单位应按危险废物暂存的相关管理要求在危险废物暂存间内设置导流沟和积液池，当发生危险废物暂存间物料泄漏时。危险废物暂存间内的导流沟能够将事故废液收集，并于积液池中暂存，可以避免对周边地表水体造成影响。</w:t>
      </w:r>
    </w:p>
    <w:p w14:paraId="309BC92D" w14:textId="77777777" w:rsidR="00D170E5" w:rsidRPr="002B55E9" w:rsidRDefault="00EF27AD">
      <w:pPr>
        <w:snapToGrid w:val="0"/>
        <w:spacing w:line="360" w:lineRule="auto"/>
        <w:ind w:firstLine="482"/>
        <w:rPr>
          <w:sz w:val="24"/>
        </w:rPr>
      </w:pPr>
      <w:r w:rsidRPr="002B55E9">
        <w:rPr>
          <w:rFonts w:hint="eastAsia"/>
          <w:sz w:val="24"/>
        </w:rPr>
        <w:t>（</w:t>
      </w:r>
      <w:r w:rsidRPr="002B55E9">
        <w:rPr>
          <w:sz w:val="24"/>
        </w:rPr>
        <w:t>5</w:t>
      </w:r>
      <w:r w:rsidRPr="002B55E9">
        <w:rPr>
          <w:rFonts w:hint="eastAsia"/>
          <w:sz w:val="24"/>
        </w:rPr>
        <w:t>）对地下水和土壤的影响</w:t>
      </w:r>
    </w:p>
    <w:p w14:paraId="6381A294" w14:textId="77777777" w:rsidR="00D170E5" w:rsidRPr="002B55E9" w:rsidRDefault="00EF27AD">
      <w:pPr>
        <w:pStyle w:val="aa"/>
        <w:snapToGrid w:val="0"/>
      </w:pPr>
      <w:r w:rsidRPr="002B55E9">
        <w:rPr>
          <w:rFonts w:hint="eastAsia"/>
        </w:rPr>
        <w:t>危险废物暂存对地下水及土壤的影响途径主要是事故状态下可能导致的环境影响。危废</w:t>
      </w:r>
      <w:r w:rsidRPr="002B55E9">
        <w:rPr>
          <w:rFonts w:hint="eastAsia"/>
        </w:rPr>
        <w:lastRenderedPageBreak/>
        <w:t>暂存间按照《危险废物贮存污染控制标准》（</w:t>
      </w:r>
      <w:r w:rsidRPr="002B55E9">
        <w:rPr>
          <w:rFonts w:hint="eastAsia"/>
        </w:rPr>
        <w:t>GB18597-2001</w:t>
      </w:r>
      <w:r w:rsidRPr="002B55E9">
        <w:rPr>
          <w:rFonts w:hint="eastAsia"/>
        </w:rPr>
        <w:t>）及其修改单要求设置严格的防渗措施，同时项目运营过程中加强危险废物管理，确保存储区地面防渗层完好，定期巡视液态危险废物存储设施，防止出现跑冒滴漏情况。</w:t>
      </w:r>
    </w:p>
    <w:p w14:paraId="7F4702CB" w14:textId="77777777" w:rsidR="00D170E5" w:rsidRPr="002B55E9" w:rsidRDefault="00EF27AD">
      <w:pPr>
        <w:snapToGrid w:val="0"/>
        <w:spacing w:line="360" w:lineRule="auto"/>
        <w:ind w:firstLine="482"/>
        <w:rPr>
          <w:sz w:val="24"/>
        </w:rPr>
      </w:pPr>
      <w:r w:rsidRPr="002B55E9">
        <w:rPr>
          <w:rFonts w:hint="eastAsia"/>
          <w:sz w:val="24"/>
        </w:rPr>
        <w:t>在实施严格的防渗措施及危废管理情况下，尽可能减少事故情况发生，危废暂存对地下水、土壤的环境影响可控。</w:t>
      </w:r>
    </w:p>
    <w:p w14:paraId="62432FB0" w14:textId="77777777" w:rsidR="00D170E5" w:rsidRPr="002B55E9" w:rsidRDefault="00EF27AD">
      <w:pPr>
        <w:snapToGrid w:val="0"/>
        <w:spacing w:line="360" w:lineRule="auto"/>
        <w:ind w:firstLineChars="200" w:firstLine="480"/>
        <w:rPr>
          <w:sz w:val="24"/>
        </w:rPr>
      </w:pPr>
      <w:r w:rsidRPr="002B55E9">
        <w:rPr>
          <w:rFonts w:hint="eastAsia"/>
          <w:sz w:val="24"/>
        </w:rPr>
        <w:t>（</w:t>
      </w:r>
      <w:r w:rsidRPr="002B55E9">
        <w:rPr>
          <w:sz w:val="24"/>
        </w:rPr>
        <w:t>6</w:t>
      </w:r>
      <w:r w:rsidRPr="002B55E9">
        <w:rPr>
          <w:rFonts w:hint="eastAsia"/>
          <w:sz w:val="24"/>
        </w:rPr>
        <w:t>）输运过程的环境影响分析</w:t>
      </w:r>
    </w:p>
    <w:p w14:paraId="46895C36" w14:textId="77777777" w:rsidR="00D170E5" w:rsidRPr="002B55E9" w:rsidRDefault="00EF27AD">
      <w:pPr>
        <w:pStyle w:val="aa"/>
        <w:snapToGrid w:val="0"/>
        <w:ind w:firstLineChars="200" w:firstLine="480"/>
      </w:pPr>
      <w:r w:rsidRPr="002B55E9">
        <w:rPr>
          <w:rFonts w:ascii="宋体" w:hAnsi="宋体" w:hint="eastAsia"/>
        </w:rPr>
        <w:t>①</w:t>
      </w:r>
      <w:r w:rsidRPr="002B55E9">
        <w:rPr>
          <w:rFonts w:hint="eastAsia"/>
        </w:rPr>
        <w:t>厂内转移</w:t>
      </w:r>
    </w:p>
    <w:p w14:paraId="1EA36553" w14:textId="77777777" w:rsidR="00D170E5" w:rsidRPr="002B55E9" w:rsidRDefault="00EF27AD">
      <w:pPr>
        <w:pStyle w:val="aa"/>
        <w:snapToGrid w:val="0"/>
        <w:ind w:firstLineChars="200" w:firstLine="480"/>
      </w:pPr>
      <w:r w:rsidRPr="002B55E9">
        <w:rPr>
          <w:rFonts w:hint="eastAsia"/>
        </w:rPr>
        <w:t>拟建项目液态类危险废物厂内转移主要通过密闭的储存桶或瓶，由于单次危险废物产生量少，采用人工搬运，泄漏事故一旦发生后，及时对泄漏物进行回收，对周边环境影响可控。</w:t>
      </w:r>
    </w:p>
    <w:p w14:paraId="7D72F598" w14:textId="77777777" w:rsidR="00D170E5" w:rsidRPr="002B55E9" w:rsidRDefault="00EF27AD">
      <w:pPr>
        <w:pStyle w:val="aa"/>
        <w:snapToGrid w:val="0"/>
        <w:ind w:firstLineChars="200" w:firstLine="480"/>
        <w:rPr>
          <w:rFonts w:ascii="宋体" w:hAnsi="宋体"/>
        </w:rPr>
      </w:pPr>
      <w:r w:rsidRPr="002B55E9">
        <w:rPr>
          <w:rFonts w:ascii="宋体" w:hAnsi="宋体" w:hint="eastAsia"/>
        </w:rPr>
        <w:t>②厂外转移</w:t>
      </w:r>
    </w:p>
    <w:p w14:paraId="3E44BD42" w14:textId="77777777" w:rsidR="00D170E5" w:rsidRPr="002B55E9" w:rsidRDefault="00EF27AD">
      <w:pPr>
        <w:pStyle w:val="aa"/>
        <w:snapToGrid w:val="0"/>
        <w:ind w:firstLineChars="200" w:firstLine="480"/>
        <w:rPr>
          <w:rFonts w:ascii="宋体" w:hAnsi="宋体"/>
        </w:rPr>
      </w:pPr>
      <w:r w:rsidRPr="002B55E9">
        <w:rPr>
          <w:rFonts w:ascii="宋体" w:hAnsi="宋体" w:hint="eastAsia"/>
        </w:rPr>
        <w:t>危险废物厂外转移是需要有具有资质的专用运输车辆负责，液态类以及易挥发内的化学品采用密闭设施的运输装置，由危废处置单位负责申报。</w:t>
      </w:r>
    </w:p>
    <w:p w14:paraId="6E1D5C53" w14:textId="77777777" w:rsidR="00D170E5" w:rsidRPr="002B55E9" w:rsidRDefault="00EF27AD">
      <w:pPr>
        <w:pStyle w:val="aa"/>
        <w:snapToGrid w:val="0"/>
        <w:ind w:firstLineChars="200" w:firstLine="480"/>
        <w:rPr>
          <w:rFonts w:ascii="宋体" w:hAnsi="宋体"/>
        </w:rPr>
      </w:pPr>
      <w:r w:rsidRPr="002B55E9">
        <w:rPr>
          <w:rFonts w:ascii="宋体" w:hAnsi="宋体" w:hint="eastAsia"/>
        </w:rPr>
        <w:t>外部委托的危险废物</w:t>
      </w:r>
      <w:r w:rsidRPr="002B55E9">
        <w:rPr>
          <w:rFonts w:ascii="宋体" w:hAnsi="宋体"/>
        </w:rPr>
        <w:t>运输人员必须掌握</w:t>
      </w:r>
      <w:r w:rsidRPr="002B55E9">
        <w:rPr>
          <w:rFonts w:ascii="宋体" w:hAnsi="宋体" w:hint="eastAsia"/>
        </w:rPr>
        <w:t>危险废物</w:t>
      </w:r>
      <w:r w:rsidRPr="002B55E9">
        <w:rPr>
          <w:rFonts w:ascii="宋体" w:hAnsi="宋体"/>
        </w:rPr>
        <w:t>运输的安全知识，了解所运载的</w:t>
      </w:r>
      <w:r w:rsidRPr="002B55E9">
        <w:rPr>
          <w:rFonts w:ascii="宋体" w:hAnsi="宋体" w:hint="eastAsia"/>
        </w:rPr>
        <w:t>危险废物</w:t>
      </w:r>
      <w:r w:rsidRPr="002B55E9">
        <w:rPr>
          <w:rFonts w:ascii="宋体" w:hAnsi="宋体"/>
        </w:rPr>
        <w:t>的性质、危害特性、包装容器的使用特性和发生意外时的应急措施。运输车辆必须具有车辆危险货物运输许可证。驾驶人员必须由取得驾驶执照的熟练人员担任。</w:t>
      </w:r>
    </w:p>
    <w:p w14:paraId="776BC3B3" w14:textId="77777777" w:rsidR="00D170E5" w:rsidRPr="002B55E9" w:rsidRDefault="00EF27AD">
      <w:pPr>
        <w:pStyle w:val="aa"/>
        <w:snapToGrid w:val="0"/>
        <w:ind w:firstLineChars="200" w:firstLine="480"/>
        <w:rPr>
          <w:rFonts w:ascii="宋体" w:hAnsi="宋体"/>
        </w:rPr>
      </w:pPr>
      <w:r w:rsidRPr="002B55E9">
        <w:rPr>
          <w:rFonts w:ascii="宋体" w:hAnsi="宋体"/>
        </w:rPr>
        <w:t>处置单位在运输危险废物时必须配备押运人员，并随时处于押运人员的监管之下，不得超装、超载，严格按照所在城市规定的行车时间和行车路线行驶，不得进入</w:t>
      </w:r>
      <w:r w:rsidRPr="002B55E9">
        <w:rPr>
          <w:rFonts w:ascii="宋体" w:hAnsi="宋体" w:hint="eastAsia"/>
        </w:rPr>
        <w:t>危险废物</w:t>
      </w:r>
      <w:r w:rsidRPr="002B55E9">
        <w:rPr>
          <w:rFonts w:ascii="宋体" w:hAnsi="宋体"/>
        </w:rPr>
        <w:t>运输车辆禁止通行的区域。</w:t>
      </w:r>
    </w:p>
    <w:p w14:paraId="7C3FAB6D" w14:textId="77777777" w:rsidR="00D170E5" w:rsidRPr="002B55E9" w:rsidRDefault="00EF27AD">
      <w:pPr>
        <w:pStyle w:val="aa"/>
        <w:snapToGrid w:val="0"/>
        <w:ind w:firstLineChars="200" w:firstLine="480"/>
        <w:rPr>
          <w:rFonts w:ascii="宋体" w:hAnsi="宋体"/>
        </w:rPr>
      </w:pPr>
      <w:r w:rsidRPr="002B55E9">
        <w:rPr>
          <w:rFonts w:ascii="宋体" w:hAnsi="宋体"/>
        </w:rPr>
        <w:t>危险废物在运输途中若发生被盗、丢失、流散、泄漏等情况时，公司及押运人员必须立即向当地公安部门报告，并采取一切可能的警示措施。</w:t>
      </w:r>
    </w:p>
    <w:p w14:paraId="31A0691D" w14:textId="77777777" w:rsidR="00D170E5" w:rsidRPr="002B55E9" w:rsidRDefault="00EF27AD">
      <w:pPr>
        <w:pStyle w:val="aa"/>
      </w:pPr>
      <w:r w:rsidRPr="002B55E9">
        <w:t>一旦发生废弃物泄漏事故，公司和</w:t>
      </w:r>
      <w:r w:rsidRPr="002B55E9">
        <w:rPr>
          <w:rFonts w:ascii="宋体" w:hAnsi="宋体" w:hint="eastAsia"/>
        </w:rPr>
        <w:t>危险废物</w:t>
      </w:r>
      <w:r w:rsidRPr="002B55E9">
        <w:t>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bookmarkEnd w:id="235"/>
      <w:r w:rsidRPr="002B55E9">
        <w:rPr>
          <w:rFonts w:hint="eastAsia"/>
        </w:rPr>
        <w:t>。</w:t>
      </w:r>
    </w:p>
    <w:p w14:paraId="71ED4264" w14:textId="77777777" w:rsidR="00D170E5" w:rsidRPr="002B55E9" w:rsidRDefault="00EF27AD">
      <w:pPr>
        <w:pStyle w:val="4"/>
        <w:rPr>
          <w:color w:val="auto"/>
        </w:rPr>
      </w:pPr>
      <w:r w:rsidRPr="002B55E9">
        <w:rPr>
          <w:rFonts w:hint="eastAsia"/>
          <w:color w:val="auto"/>
        </w:rPr>
        <w:t>固体</w:t>
      </w:r>
      <w:r w:rsidRPr="002B55E9">
        <w:rPr>
          <w:color w:val="auto"/>
        </w:rPr>
        <w:t>废物污染影响分析结论</w:t>
      </w:r>
    </w:p>
    <w:p w14:paraId="3618F3C2"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固体废物污染影响分析表明，本项目产生的固体废物（特别是危险废物）如不妥善处置，就会对生态环境和人体健康造成危害。因此必须按照国家对危险废物的特别规定，对本项目产生的危险废物进行全过程严格管理和安全处置。只要严格管理，并进行安全处置，本项目产生的固体废物将不会对生态环境和人体健康产生危害。</w:t>
      </w:r>
    </w:p>
    <w:p w14:paraId="764C3603"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要控制废物对环境造成污染危害，必须从各个环节进行全方位管理，采取有效措施防止固废在产生、收集、贮存、运输过程中的散失，并采用有效处置方案和技术，首先从有用物</w:t>
      </w:r>
      <w:r w:rsidRPr="002B55E9">
        <w:rPr>
          <w:rFonts w:hint="eastAsia"/>
          <w:bCs/>
          <w:snapToGrid w:val="0"/>
          <w:sz w:val="24"/>
        </w:rPr>
        <w:lastRenderedPageBreak/>
        <w:t>料回收再利用着手，这样既回收了一部分资源，又减轻处置负荷，对目前还不能回收利用的，应遵循“无害化”处置原则进行有效处置。</w:t>
      </w:r>
    </w:p>
    <w:p w14:paraId="64C0F771" w14:textId="77777777" w:rsidR="00D170E5" w:rsidRPr="002B55E9" w:rsidRDefault="00EF27AD">
      <w:pPr>
        <w:pStyle w:val="3"/>
      </w:pPr>
      <w:bookmarkStart w:id="236" w:name="_Toc119308998"/>
      <w:r w:rsidRPr="002B55E9">
        <w:rPr>
          <w:rFonts w:hint="eastAsia"/>
        </w:rPr>
        <w:t>地下水环境影响分析</w:t>
      </w:r>
      <w:bookmarkEnd w:id="236"/>
    </w:p>
    <w:p w14:paraId="59E188AF" w14:textId="77777777" w:rsidR="00D170E5" w:rsidRPr="002B55E9" w:rsidRDefault="00EF27AD">
      <w:pPr>
        <w:pStyle w:val="4"/>
        <w:rPr>
          <w:color w:val="auto"/>
        </w:rPr>
      </w:pPr>
      <w:r w:rsidRPr="002B55E9">
        <w:rPr>
          <w:rFonts w:hint="eastAsia"/>
          <w:color w:val="auto"/>
        </w:rPr>
        <w:t>区域地质构造</w:t>
      </w:r>
    </w:p>
    <w:p w14:paraId="3C458B39" w14:textId="77777777" w:rsidR="00D170E5" w:rsidRPr="002B55E9" w:rsidRDefault="00EF27AD">
      <w:pPr>
        <w:pStyle w:val="aa"/>
      </w:pPr>
      <w:r w:rsidRPr="002B55E9">
        <w:rPr>
          <w:rFonts w:hint="eastAsia"/>
        </w:rPr>
        <w:t>武汉位于淮阳山字型构造南孤西翼与新华夏构造体系的复合部位，属淮阳山字型前弧西翼葛店—汉阳褶皱带。区内大地构造跨及扬子准地台和秦岭褶皱系两个一级构造单元。以襄（樊）－广（济）深大断层为界，中南部隶属扬子准地台的四级构造单元武汉台褶束，北部为秦岭褶皱系之四级构造单元新洲凹陷之南缘。</w:t>
      </w:r>
    </w:p>
    <w:p w14:paraId="52FAE7E4" w14:textId="77777777" w:rsidR="00D170E5" w:rsidRPr="002B55E9" w:rsidRDefault="00EF27AD">
      <w:pPr>
        <w:pStyle w:val="aa"/>
      </w:pPr>
      <w:r w:rsidRPr="002B55E9">
        <w:rPr>
          <w:rFonts w:hint="eastAsia"/>
        </w:rPr>
        <w:t>由于区内经历了大别、扬子、加里东、华力西－印支、燕山－喜马拉雅等多次构造运动，使区内构造更趋复杂。新洲凹陷是在古老结晶基底上发展起来的中生代沉积盆地；武汉台褶束由古生界及早三叠系组成的一系列北西西向或近东西向复式褶皱组成，并伴有与轴线平行或近于平行的走向断层及北西向、北东向、北北东或近南北向的断层。</w:t>
      </w:r>
    </w:p>
    <w:p w14:paraId="7E9EFC07" w14:textId="77777777" w:rsidR="00D170E5" w:rsidRPr="002B55E9" w:rsidRDefault="00EF27AD">
      <w:pPr>
        <w:pStyle w:val="aa"/>
      </w:pPr>
      <w:r w:rsidRPr="002B55E9">
        <w:rPr>
          <w:rFonts w:hint="eastAsia"/>
        </w:rPr>
        <w:t>以北东向长江为界，西侧汉口段属江汉——洞庭断陷东北边缘部，东侧武昌段属下扬子陷降带边缘部分。地貌上，西侧汉口处于江汉——洞庭沉降区东北缘，东侧武昌段处于黄石——咸宁波状升降区。中更新世末以来，武昌、汉阳广泛发育Ⅱ～Ⅲ级河湖阶地；汉口东西湖地区则沦为埋藏阶地。</w:t>
      </w:r>
    </w:p>
    <w:p w14:paraId="34378F75" w14:textId="77777777" w:rsidR="00D170E5" w:rsidRPr="002B55E9" w:rsidRDefault="00EF27AD">
      <w:pPr>
        <w:pStyle w:val="aa"/>
      </w:pPr>
      <w:r w:rsidRPr="002B55E9">
        <w:rPr>
          <w:rFonts w:hint="eastAsia"/>
        </w:rPr>
        <w:t>（</w:t>
      </w:r>
      <w:r w:rsidRPr="002B55E9">
        <w:rPr>
          <w:rFonts w:hint="eastAsia"/>
        </w:rPr>
        <w:t>1</w:t>
      </w:r>
      <w:r w:rsidRPr="002B55E9">
        <w:rPr>
          <w:rFonts w:hint="eastAsia"/>
        </w:rPr>
        <w:t>）褶皱</w:t>
      </w:r>
    </w:p>
    <w:p w14:paraId="5287392B" w14:textId="77777777" w:rsidR="00D170E5" w:rsidRPr="002B55E9" w:rsidRDefault="00EF27AD">
      <w:pPr>
        <w:pStyle w:val="aa"/>
      </w:pPr>
      <w:r w:rsidRPr="002B55E9">
        <w:rPr>
          <w:rFonts w:hint="eastAsia"/>
        </w:rPr>
        <w:t>区内地壳由于受燕山运动南北向水平挤压应力作用，致使古生代及中生代早中三迭世地层形成一系列近东西向紧密线状褶皱。褶皱形态总的来讲呈两条带状，即市区南部的构造剥蚀丘陵区及东北部的青山镇一带，两组褶皱带在市区东部有渐趋重合之势。褶皱形态以紧密线状为主，背斜较宽阔，一般隐伏于地下，构成谷地，向斜狭窄，构成丘陵主要骨架，轴面大多向南倒转。背斜核部由志留系地层组成，向斜轴部由二迭系或三迭系地层组成。其特点为轴线呈北西西或近东西向，并略向南凸出的弧形，西端有向北偏转之势。</w:t>
      </w:r>
    </w:p>
    <w:p w14:paraId="28A91345" w14:textId="77777777" w:rsidR="00D170E5" w:rsidRPr="002B55E9" w:rsidRDefault="00EF27AD">
      <w:pPr>
        <w:pStyle w:val="aa"/>
      </w:pPr>
      <w:r w:rsidRPr="002B55E9">
        <w:rPr>
          <w:rFonts w:hint="eastAsia"/>
        </w:rPr>
        <w:t>（</w:t>
      </w:r>
      <w:r w:rsidRPr="002B55E9">
        <w:rPr>
          <w:rFonts w:hint="eastAsia"/>
        </w:rPr>
        <w:t>2</w:t>
      </w:r>
      <w:r w:rsidRPr="002B55E9">
        <w:rPr>
          <w:rFonts w:hint="eastAsia"/>
        </w:rPr>
        <w:t>）断裂</w:t>
      </w:r>
    </w:p>
    <w:p w14:paraId="79550013" w14:textId="77777777" w:rsidR="00D170E5" w:rsidRPr="002B55E9" w:rsidRDefault="00EF27AD">
      <w:pPr>
        <w:pStyle w:val="aa"/>
      </w:pPr>
      <w:r w:rsidRPr="002B55E9">
        <w:rPr>
          <w:rFonts w:hint="eastAsia"/>
        </w:rPr>
        <w:t>武汉市区内断层较为发育，但由于地表覆盖严重，出露不甚完整。主要见有四组不同方向（北西西或近东西、北西、北北东、北东向）及不同性质（主要为逆断、正断层、平推断层）和不同规模的断层。其中北西西向或近东西向、北西向断层较为发育，为区内主干断层，次为北北东、北东向断层</w:t>
      </w:r>
    </w:p>
    <w:p w14:paraId="4CF0DA14" w14:textId="77777777" w:rsidR="00D170E5" w:rsidRPr="002B55E9" w:rsidRDefault="00EF27AD">
      <w:pPr>
        <w:pStyle w:val="afffffffffffff3"/>
        <w:ind w:firstLine="482"/>
        <w:rPr>
          <w:rFonts w:eastAsia="黑体"/>
          <w:snapToGrid w:val="0"/>
          <w:sz w:val="24"/>
        </w:rPr>
      </w:pPr>
      <w:r w:rsidRPr="002B55E9">
        <w:rPr>
          <w:rFonts w:eastAsia="黑体" w:hint="eastAsia"/>
          <w:snapToGrid w:val="0"/>
          <w:sz w:val="24"/>
        </w:rPr>
        <w:t>表</w:t>
      </w:r>
      <w:r w:rsidRPr="002B55E9">
        <w:rPr>
          <w:rFonts w:eastAsia="黑体" w:hint="eastAsia"/>
          <w:snapToGrid w:val="0"/>
          <w:sz w:val="24"/>
        </w:rPr>
        <w:t>5</w:t>
      </w:r>
      <w:r w:rsidRPr="002B55E9">
        <w:rPr>
          <w:rFonts w:eastAsia="黑体"/>
          <w:snapToGrid w:val="0"/>
          <w:sz w:val="24"/>
        </w:rPr>
        <w:t xml:space="preserve">-6-1  </w:t>
      </w:r>
      <w:r w:rsidRPr="002B55E9">
        <w:rPr>
          <w:rFonts w:eastAsia="黑体" w:hint="eastAsia"/>
          <w:snapToGrid w:val="0"/>
          <w:sz w:val="24"/>
        </w:rPr>
        <w:t>断层主要特征一览表</w:t>
      </w:r>
    </w:p>
    <w:tbl>
      <w:tblPr>
        <w:tblW w:w="9637" w:type="dxa"/>
        <w:jc w:val="center"/>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91"/>
        <w:gridCol w:w="921"/>
        <w:gridCol w:w="7725"/>
      </w:tblGrid>
      <w:tr w:rsidR="002B55E9" w:rsidRPr="002B55E9" w14:paraId="675A5A89" w14:textId="77777777">
        <w:trPr>
          <w:trHeight w:val="284"/>
          <w:jc w:val="center"/>
        </w:trPr>
        <w:tc>
          <w:tcPr>
            <w:tcW w:w="991" w:type="dxa"/>
            <w:tcBorders>
              <w:top w:val="single" w:sz="12" w:space="0" w:color="000000"/>
              <w:bottom w:val="single" w:sz="12" w:space="0" w:color="000000"/>
            </w:tcBorders>
            <w:vAlign w:val="center"/>
          </w:tcPr>
          <w:p w14:paraId="4EEB10CC" w14:textId="77777777" w:rsidR="00D170E5" w:rsidRPr="002B55E9" w:rsidRDefault="00EF27AD">
            <w:pPr>
              <w:pStyle w:val="TableParagraph"/>
              <w:snapToGrid w:val="0"/>
              <w:spacing w:line="240" w:lineRule="auto"/>
              <w:jc w:val="center"/>
              <w:rPr>
                <w:spacing w:val="-5"/>
                <w:sz w:val="18"/>
                <w:szCs w:val="18"/>
              </w:rPr>
            </w:pPr>
            <w:r w:rsidRPr="002B55E9">
              <w:rPr>
                <w:rFonts w:hint="eastAsia"/>
                <w:spacing w:val="-5"/>
                <w:sz w:val="18"/>
                <w:szCs w:val="18"/>
              </w:rPr>
              <w:t>断层组</w:t>
            </w:r>
          </w:p>
        </w:tc>
        <w:tc>
          <w:tcPr>
            <w:tcW w:w="921" w:type="dxa"/>
            <w:tcBorders>
              <w:top w:val="single" w:sz="12" w:space="0" w:color="000000"/>
              <w:bottom w:val="single" w:sz="12" w:space="0" w:color="000000"/>
            </w:tcBorders>
            <w:vAlign w:val="center"/>
          </w:tcPr>
          <w:p w14:paraId="2AF052A7" w14:textId="77777777" w:rsidR="00D170E5" w:rsidRPr="002B55E9" w:rsidRDefault="00EF27AD">
            <w:pPr>
              <w:pStyle w:val="TableParagraph"/>
              <w:snapToGrid w:val="0"/>
              <w:spacing w:line="240" w:lineRule="auto"/>
              <w:jc w:val="center"/>
              <w:rPr>
                <w:spacing w:val="-5"/>
                <w:sz w:val="18"/>
                <w:szCs w:val="18"/>
              </w:rPr>
            </w:pPr>
            <w:r w:rsidRPr="002B55E9">
              <w:rPr>
                <w:rFonts w:hint="eastAsia"/>
                <w:spacing w:val="-5"/>
                <w:sz w:val="18"/>
                <w:szCs w:val="18"/>
              </w:rPr>
              <w:t>断层走向</w:t>
            </w:r>
          </w:p>
        </w:tc>
        <w:tc>
          <w:tcPr>
            <w:tcW w:w="7725" w:type="dxa"/>
            <w:tcBorders>
              <w:top w:val="single" w:sz="12" w:space="0" w:color="000000"/>
              <w:bottom w:val="single" w:sz="12" w:space="0" w:color="000000"/>
            </w:tcBorders>
            <w:vAlign w:val="center"/>
          </w:tcPr>
          <w:p w14:paraId="609FA3C3" w14:textId="77777777" w:rsidR="00D170E5" w:rsidRPr="002B55E9" w:rsidRDefault="00EF27AD">
            <w:pPr>
              <w:pStyle w:val="TableParagraph"/>
              <w:snapToGrid w:val="0"/>
              <w:spacing w:line="240" w:lineRule="auto"/>
              <w:jc w:val="center"/>
              <w:rPr>
                <w:spacing w:val="-5"/>
                <w:sz w:val="18"/>
                <w:szCs w:val="18"/>
              </w:rPr>
            </w:pPr>
            <w:r w:rsidRPr="002B55E9">
              <w:rPr>
                <w:rFonts w:hint="eastAsia"/>
                <w:spacing w:val="-5"/>
                <w:sz w:val="18"/>
                <w:szCs w:val="18"/>
              </w:rPr>
              <w:t>主要特征</w:t>
            </w:r>
          </w:p>
        </w:tc>
      </w:tr>
      <w:tr w:rsidR="002B55E9" w:rsidRPr="002B55E9" w14:paraId="04CCC1DB" w14:textId="77777777">
        <w:trPr>
          <w:trHeight w:val="284"/>
          <w:jc w:val="center"/>
        </w:trPr>
        <w:tc>
          <w:tcPr>
            <w:tcW w:w="991" w:type="dxa"/>
            <w:tcBorders>
              <w:top w:val="single" w:sz="12" w:space="0" w:color="000000"/>
            </w:tcBorders>
            <w:vAlign w:val="center"/>
          </w:tcPr>
          <w:p w14:paraId="10502CCA" w14:textId="77777777" w:rsidR="00D170E5" w:rsidRPr="002B55E9" w:rsidRDefault="00EF27AD">
            <w:pPr>
              <w:pStyle w:val="TableParagraph"/>
              <w:snapToGrid w:val="0"/>
              <w:spacing w:line="240" w:lineRule="auto"/>
              <w:jc w:val="center"/>
              <w:rPr>
                <w:sz w:val="18"/>
                <w:szCs w:val="18"/>
              </w:rPr>
            </w:pPr>
            <w:r w:rsidRPr="002B55E9">
              <w:rPr>
                <w:rFonts w:hint="eastAsia"/>
                <w:sz w:val="18"/>
                <w:szCs w:val="18"/>
              </w:rPr>
              <w:t>北西西</w:t>
            </w:r>
            <w:r w:rsidRPr="002B55E9">
              <w:rPr>
                <w:rFonts w:hint="eastAsia"/>
                <w:sz w:val="18"/>
                <w:szCs w:val="18"/>
              </w:rPr>
              <w:t>-</w:t>
            </w:r>
            <w:r w:rsidRPr="002B55E9">
              <w:rPr>
                <w:sz w:val="18"/>
                <w:szCs w:val="18"/>
              </w:rPr>
              <w:t xml:space="preserve"> </w:t>
            </w:r>
            <w:r w:rsidRPr="002B55E9">
              <w:rPr>
                <w:rFonts w:hint="eastAsia"/>
                <w:sz w:val="18"/>
                <w:szCs w:val="18"/>
              </w:rPr>
              <w:t>近东西向断层</w:t>
            </w:r>
          </w:p>
        </w:tc>
        <w:tc>
          <w:tcPr>
            <w:tcW w:w="921" w:type="dxa"/>
            <w:tcBorders>
              <w:top w:val="single" w:sz="12" w:space="0" w:color="000000"/>
            </w:tcBorders>
            <w:vAlign w:val="center"/>
          </w:tcPr>
          <w:p w14:paraId="6ED2EDE3" w14:textId="77777777" w:rsidR="00D170E5" w:rsidRPr="002B55E9" w:rsidRDefault="00EF27AD">
            <w:pPr>
              <w:pStyle w:val="TableParagraph"/>
              <w:snapToGrid w:val="0"/>
              <w:spacing w:line="240" w:lineRule="auto"/>
              <w:jc w:val="center"/>
              <w:rPr>
                <w:sz w:val="18"/>
                <w:szCs w:val="18"/>
              </w:rPr>
            </w:pPr>
            <w:r w:rsidRPr="002B55E9">
              <w:rPr>
                <w:sz w:val="18"/>
                <w:szCs w:val="18"/>
              </w:rPr>
              <w:t>270°~300°</w:t>
            </w:r>
          </w:p>
        </w:tc>
        <w:tc>
          <w:tcPr>
            <w:tcW w:w="7725" w:type="dxa"/>
            <w:tcBorders>
              <w:top w:val="single" w:sz="12" w:space="0" w:color="000000"/>
            </w:tcBorders>
            <w:vAlign w:val="center"/>
          </w:tcPr>
          <w:p w14:paraId="2CFD199F" w14:textId="77777777" w:rsidR="00D170E5" w:rsidRPr="002B55E9" w:rsidRDefault="00EF27AD">
            <w:pPr>
              <w:pStyle w:val="TableParagraph"/>
              <w:snapToGrid w:val="0"/>
              <w:spacing w:line="240" w:lineRule="auto"/>
              <w:rPr>
                <w:sz w:val="18"/>
                <w:szCs w:val="18"/>
              </w:rPr>
            </w:pPr>
            <w:r w:rsidRPr="002B55E9">
              <w:rPr>
                <w:rFonts w:hint="eastAsia"/>
                <w:spacing w:val="-5"/>
                <w:sz w:val="18"/>
                <w:szCs w:val="18"/>
              </w:rPr>
              <w:t>该组断层规模较大，为区内主干断层，共计</w:t>
            </w:r>
            <w:r w:rsidRPr="002B55E9">
              <w:rPr>
                <w:rFonts w:hint="eastAsia"/>
                <w:spacing w:val="-5"/>
                <w:sz w:val="18"/>
                <w:szCs w:val="18"/>
              </w:rPr>
              <w:t xml:space="preserve"> </w:t>
            </w:r>
            <w:r w:rsidRPr="002B55E9">
              <w:rPr>
                <w:sz w:val="18"/>
                <w:szCs w:val="18"/>
              </w:rPr>
              <w:t xml:space="preserve">26 </w:t>
            </w:r>
            <w:r w:rsidRPr="002B55E9">
              <w:rPr>
                <w:rFonts w:hint="eastAsia"/>
                <w:spacing w:val="-3"/>
                <w:sz w:val="18"/>
                <w:szCs w:val="18"/>
              </w:rPr>
              <w:t>条。发育于褶皱翼部，</w:t>
            </w:r>
            <w:r w:rsidRPr="002B55E9">
              <w:rPr>
                <w:rFonts w:hint="eastAsia"/>
                <w:spacing w:val="-2"/>
                <w:sz w:val="18"/>
                <w:szCs w:val="18"/>
              </w:rPr>
              <w:t>多倾向北，倾角大于</w:t>
            </w:r>
            <w:r w:rsidRPr="002B55E9">
              <w:rPr>
                <w:rFonts w:hint="eastAsia"/>
                <w:spacing w:val="-2"/>
                <w:sz w:val="18"/>
                <w:szCs w:val="18"/>
              </w:rPr>
              <w:t xml:space="preserve"> </w:t>
            </w:r>
            <w:r w:rsidRPr="002B55E9">
              <w:rPr>
                <w:sz w:val="18"/>
                <w:szCs w:val="18"/>
              </w:rPr>
              <w:t xml:space="preserve">40 </w:t>
            </w:r>
            <w:r w:rsidRPr="002B55E9">
              <w:rPr>
                <w:rFonts w:hint="eastAsia"/>
                <w:spacing w:val="-3"/>
                <w:sz w:val="18"/>
                <w:szCs w:val="18"/>
              </w:rPr>
              <w:t>度，主要表现为逆掩、逆冲断层，断层下盘柔性</w:t>
            </w:r>
            <w:r w:rsidRPr="002B55E9">
              <w:rPr>
                <w:rFonts w:hint="eastAsia"/>
                <w:spacing w:val="-5"/>
                <w:sz w:val="18"/>
                <w:szCs w:val="18"/>
              </w:rPr>
              <w:t>岩石经挤压，多形成小型褶曲，并发生褶皱倒转，新老</w:t>
            </w:r>
            <w:r w:rsidRPr="002B55E9">
              <w:rPr>
                <w:rFonts w:hint="eastAsia"/>
                <w:spacing w:val="-5"/>
                <w:sz w:val="18"/>
                <w:szCs w:val="18"/>
              </w:rPr>
              <w:lastRenderedPageBreak/>
              <w:t>地层倒置，且常造</w:t>
            </w:r>
            <w:r w:rsidRPr="002B55E9">
              <w:rPr>
                <w:rFonts w:hint="eastAsia"/>
                <w:spacing w:val="-4"/>
                <w:sz w:val="18"/>
                <w:szCs w:val="18"/>
              </w:rPr>
              <w:t>成地层缺失。规模较大的逆冲、逆掩断层，如：王家山断层，走向</w:t>
            </w:r>
            <w:r w:rsidRPr="002B55E9">
              <w:rPr>
                <w:rFonts w:hint="eastAsia"/>
                <w:spacing w:val="-4"/>
                <w:sz w:val="18"/>
                <w:szCs w:val="18"/>
              </w:rPr>
              <w:t xml:space="preserve"> </w:t>
            </w:r>
            <w:r w:rsidRPr="002B55E9">
              <w:rPr>
                <w:sz w:val="18"/>
                <w:szCs w:val="18"/>
              </w:rPr>
              <w:t>270</w:t>
            </w:r>
            <w:r w:rsidRPr="002B55E9">
              <w:rPr>
                <w:rFonts w:hint="eastAsia"/>
                <w:sz w:val="18"/>
                <w:szCs w:val="18"/>
              </w:rPr>
              <w:t>－</w:t>
            </w:r>
            <w:r w:rsidRPr="002B55E9">
              <w:rPr>
                <w:rFonts w:hint="eastAsia"/>
                <w:sz w:val="18"/>
                <w:szCs w:val="18"/>
              </w:rPr>
              <w:t xml:space="preserve"> </w:t>
            </w:r>
            <w:r w:rsidRPr="002B55E9">
              <w:rPr>
                <w:sz w:val="18"/>
                <w:szCs w:val="18"/>
              </w:rPr>
              <w:t xml:space="preserve">290 </w:t>
            </w:r>
            <w:r w:rsidRPr="002B55E9">
              <w:rPr>
                <w:rFonts w:hint="eastAsia"/>
                <w:spacing w:val="-15"/>
                <w:sz w:val="18"/>
                <w:szCs w:val="18"/>
              </w:rPr>
              <w:t>度，延伸</w:t>
            </w:r>
            <w:r w:rsidRPr="002B55E9">
              <w:rPr>
                <w:rFonts w:hint="eastAsia"/>
                <w:spacing w:val="-15"/>
                <w:sz w:val="18"/>
                <w:szCs w:val="18"/>
              </w:rPr>
              <w:t xml:space="preserve"> </w:t>
            </w:r>
            <w:r w:rsidRPr="002B55E9">
              <w:rPr>
                <w:sz w:val="18"/>
                <w:szCs w:val="18"/>
              </w:rPr>
              <w:t xml:space="preserve">30 </w:t>
            </w:r>
            <w:r w:rsidRPr="002B55E9">
              <w:rPr>
                <w:rFonts w:hint="eastAsia"/>
                <w:spacing w:val="-7"/>
                <w:sz w:val="18"/>
                <w:szCs w:val="18"/>
              </w:rPr>
              <w:t>余千米，断层位于大桥倒转向斜北翼，上盘泥盆系五通石</w:t>
            </w:r>
            <w:r w:rsidRPr="002B55E9">
              <w:rPr>
                <w:rFonts w:hint="eastAsia"/>
                <w:spacing w:val="-5"/>
                <w:sz w:val="18"/>
                <w:szCs w:val="18"/>
              </w:rPr>
              <w:t>英砂岩逆冲于二叠系孤峰硅质岩之上，断面倾北，倾角陡，下盘地层多处</w:t>
            </w:r>
            <w:r w:rsidRPr="002B55E9">
              <w:rPr>
                <w:rFonts w:hint="eastAsia"/>
                <w:spacing w:val="-8"/>
                <w:sz w:val="18"/>
                <w:szCs w:val="18"/>
              </w:rPr>
              <w:t>扭曲变形。再如梅家山逆断层走向</w:t>
            </w:r>
            <w:r w:rsidRPr="002B55E9">
              <w:rPr>
                <w:rFonts w:hint="eastAsia"/>
                <w:spacing w:val="-8"/>
                <w:sz w:val="18"/>
                <w:szCs w:val="18"/>
              </w:rPr>
              <w:t xml:space="preserve"> </w:t>
            </w:r>
            <w:r w:rsidRPr="002B55E9">
              <w:rPr>
                <w:sz w:val="18"/>
                <w:szCs w:val="18"/>
              </w:rPr>
              <w:t>270</w:t>
            </w:r>
            <w:r w:rsidRPr="002B55E9">
              <w:rPr>
                <w:rFonts w:hint="eastAsia"/>
                <w:sz w:val="18"/>
                <w:szCs w:val="18"/>
              </w:rPr>
              <w:t>－</w:t>
            </w:r>
            <w:r w:rsidRPr="002B55E9">
              <w:rPr>
                <w:sz w:val="18"/>
                <w:szCs w:val="18"/>
              </w:rPr>
              <w:t xml:space="preserve">285 </w:t>
            </w:r>
            <w:r w:rsidRPr="002B55E9">
              <w:rPr>
                <w:rFonts w:hint="eastAsia"/>
                <w:spacing w:val="-10"/>
                <w:sz w:val="18"/>
                <w:szCs w:val="18"/>
              </w:rPr>
              <w:t>度，延伸长约</w:t>
            </w:r>
            <w:r w:rsidRPr="002B55E9">
              <w:rPr>
                <w:rFonts w:hint="eastAsia"/>
                <w:spacing w:val="-10"/>
                <w:sz w:val="18"/>
                <w:szCs w:val="18"/>
              </w:rPr>
              <w:t xml:space="preserve"> </w:t>
            </w:r>
            <w:r w:rsidRPr="002B55E9">
              <w:rPr>
                <w:sz w:val="18"/>
                <w:szCs w:val="18"/>
              </w:rPr>
              <w:t xml:space="preserve">15 </w:t>
            </w:r>
            <w:r w:rsidRPr="002B55E9">
              <w:rPr>
                <w:rFonts w:hint="eastAsia"/>
                <w:spacing w:val="-3"/>
                <w:sz w:val="18"/>
                <w:szCs w:val="18"/>
              </w:rPr>
              <w:t>千米，沿断层走向泥盆系五通石英砂岩逆冲于二叠系栖霞灰岩之上，于武昌梅家山，</w:t>
            </w:r>
            <w:r w:rsidRPr="002B55E9">
              <w:rPr>
                <w:rFonts w:hint="eastAsia"/>
                <w:spacing w:val="-3"/>
                <w:sz w:val="18"/>
                <w:szCs w:val="18"/>
              </w:rPr>
              <w:t xml:space="preserve"> </w:t>
            </w:r>
            <w:r w:rsidRPr="002B55E9">
              <w:rPr>
                <w:rFonts w:hint="eastAsia"/>
                <w:spacing w:val="-3"/>
                <w:sz w:val="18"/>
                <w:szCs w:val="18"/>
              </w:rPr>
              <w:t>见五通组石英砂岩强烈挤压破碎，破碎带宽约</w:t>
            </w:r>
            <w:r w:rsidRPr="002B55E9">
              <w:rPr>
                <w:rFonts w:hint="eastAsia"/>
                <w:spacing w:val="-3"/>
                <w:sz w:val="18"/>
                <w:szCs w:val="18"/>
              </w:rPr>
              <w:t xml:space="preserve"> </w:t>
            </w:r>
            <w:r w:rsidRPr="002B55E9">
              <w:rPr>
                <w:sz w:val="18"/>
                <w:szCs w:val="18"/>
              </w:rPr>
              <w:t xml:space="preserve">10 </w:t>
            </w:r>
            <w:r w:rsidRPr="002B55E9">
              <w:rPr>
                <w:rFonts w:hint="eastAsia"/>
                <w:spacing w:val="-3"/>
                <w:sz w:val="18"/>
                <w:szCs w:val="18"/>
              </w:rPr>
              <w:t>米，劈理发育，被北西</w:t>
            </w:r>
            <w:r w:rsidRPr="002B55E9">
              <w:rPr>
                <w:rFonts w:hint="eastAsia"/>
                <w:spacing w:val="-4"/>
                <w:sz w:val="18"/>
                <w:szCs w:val="18"/>
              </w:rPr>
              <w:t>及北东向断层错断。顺层滑脱正断层仅见有汉钢断层、鸡笼山断层、八蝶</w:t>
            </w:r>
            <w:r w:rsidRPr="002B55E9">
              <w:rPr>
                <w:rFonts w:hint="eastAsia"/>
                <w:spacing w:val="-3"/>
                <w:sz w:val="18"/>
                <w:szCs w:val="18"/>
              </w:rPr>
              <w:t>山断层等。</w:t>
            </w:r>
          </w:p>
        </w:tc>
      </w:tr>
      <w:tr w:rsidR="002B55E9" w:rsidRPr="002B55E9" w14:paraId="3BC2BABC" w14:textId="77777777">
        <w:trPr>
          <w:trHeight w:val="284"/>
          <w:jc w:val="center"/>
        </w:trPr>
        <w:tc>
          <w:tcPr>
            <w:tcW w:w="991" w:type="dxa"/>
            <w:vAlign w:val="center"/>
          </w:tcPr>
          <w:p w14:paraId="3E35A0E9" w14:textId="77777777" w:rsidR="00D170E5" w:rsidRPr="002B55E9" w:rsidRDefault="00EF27AD">
            <w:pPr>
              <w:pStyle w:val="TableParagraph"/>
              <w:snapToGrid w:val="0"/>
              <w:spacing w:line="240" w:lineRule="auto"/>
              <w:jc w:val="center"/>
              <w:rPr>
                <w:sz w:val="18"/>
                <w:szCs w:val="18"/>
              </w:rPr>
            </w:pPr>
            <w:r w:rsidRPr="002B55E9">
              <w:rPr>
                <w:rFonts w:hint="eastAsia"/>
                <w:sz w:val="18"/>
                <w:szCs w:val="18"/>
              </w:rPr>
              <w:lastRenderedPageBreak/>
              <w:t>北西向断层</w:t>
            </w:r>
          </w:p>
        </w:tc>
        <w:tc>
          <w:tcPr>
            <w:tcW w:w="921" w:type="dxa"/>
            <w:vAlign w:val="center"/>
          </w:tcPr>
          <w:p w14:paraId="2A6AE6E2" w14:textId="77777777" w:rsidR="00D170E5" w:rsidRPr="002B55E9" w:rsidRDefault="00EF27AD">
            <w:pPr>
              <w:pStyle w:val="TableParagraph"/>
              <w:snapToGrid w:val="0"/>
              <w:spacing w:line="240" w:lineRule="auto"/>
              <w:jc w:val="center"/>
              <w:rPr>
                <w:sz w:val="18"/>
                <w:szCs w:val="18"/>
              </w:rPr>
            </w:pPr>
            <w:r w:rsidRPr="002B55E9">
              <w:rPr>
                <w:sz w:val="18"/>
                <w:szCs w:val="18"/>
              </w:rPr>
              <w:t>300°~350°</w:t>
            </w:r>
          </w:p>
        </w:tc>
        <w:tc>
          <w:tcPr>
            <w:tcW w:w="7725" w:type="dxa"/>
            <w:vAlign w:val="center"/>
          </w:tcPr>
          <w:p w14:paraId="62283694" w14:textId="77777777" w:rsidR="00D170E5" w:rsidRPr="002B55E9" w:rsidRDefault="00EF27AD">
            <w:pPr>
              <w:pStyle w:val="TableParagraph"/>
              <w:snapToGrid w:val="0"/>
              <w:spacing w:line="240" w:lineRule="auto"/>
              <w:rPr>
                <w:sz w:val="18"/>
                <w:szCs w:val="18"/>
              </w:rPr>
            </w:pPr>
            <w:r w:rsidRPr="002B55E9">
              <w:rPr>
                <w:rFonts w:hint="eastAsia"/>
                <w:spacing w:val="-12"/>
                <w:sz w:val="18"/>
                <w:szCs w:val="18"/>
              </w:rPr>
              <w:t>该组断层一般斜切褶皱，多为平推断层，呈顺时针方向扭动，错距</w:t>
            </w:r>
            <w:r w:rsidRPr="002B55E9">
              <w:rPr>
                <w:rFonts w:hint="eastAsia"/>
                <w:spacing w:val="-12"/>
                <w:sz w:val="18"/>
                <w:szCs w:val="18"/>
              </w:rPr>
              <w:t xml:space="preserve"> </w:t>
            </w:r>
            <w:r w:rsidRPr="002B55E9">
              <w:rPr>
                <w:sz w:val="18"/>
                <w:szCs w:val="18"/>
              </w:rPr>
              <w:t>100</w:t>
            </w:r>
            <w:r w:rsidRPr="002B55E9">
              <w:rPr>
                <w:rFonts w:hint="eastAsia"/>
                <w:sz w:val="18"/>
                <w:szCs w:val="18"/>
              </w:rPr>
              <w:t>－</w:t>
            </w:r>
            <w:r w:rsidRPr="002B55E9">
              <w:rPr>
                <w:sz w:val="18"/>
                <w:szCs w:val="18"/>
              </w:rPr>
              <w:t>1000</w:t>
            </w:r>
            <w:r w:rsidRPr="002B55E9">
              <w:rPr>
                <w:spacing w:val="23"/>
                <w:sz w:val="18"/>
                <w:szCs w:val="18"/>
              </w:rPr>
              <w:t xml:space="preserve"> </w:t>
            </w:r>
            <w:r w:rsidRPr="002B55E9">
              <w:rPr>
                <w:rFonts w:hint="eastAsia"/>
                <w:spacing w:val="-6"/>
                <w:sz w:val="18"/>
                <w:szCs w:val="18"/>
              </w:rPr>
              <w:t>米，倾北东，倾角大于</w:t>
            </w:r>
            <w:r w:rsidRPr="002B55E9">
              <w:rPr>
                <w:rFonts w:hint="eastAsia"/>
                <w:spacing w:val="-6"/>
                <w:sz w:val="18"/>
                <w:szCs w:val="18"/>
              </w:rPr>
              <w:t xml:space="preserve"> </w:t>
            </w:r>
            <w:r w:rsidRPr="002B55E9">
              <w:rPr>
                <w:sz w:val="18"/>
                <w:szCs w:val="18"/>
              </w:rPr>
              <w:t>60</w:t>
            </w:r>
            <w:r w:rsidRPr="002B55E9">
              <w:rPr>
                <w:spacing w:val="24"/>
                <w:sz w:val="18"/>
                <w:szCs w:val="18"/>
              </w:rPr>
              <w:t xml:space="preserve"> </w:t>
            </w:r>
            <w:r w:rsidRPr="002B55E9">
              <w:rPr>
                <w:rFonts w:hint="eastAsia"/>
                <w:spacing w:val="-3"/>
                <w:sz w:val="18"/>
                <w:szCs w:val="18"/>
              </w:rPr>
              <w:t>度，少数除具水平错移外，尚有上下滑动，如：阳逻断层、青山武丰闸断层、小刘村断层、山冈村断层为平推正</w:t>
            </w:r>
            <w:r w:rsidRPr="002B55E9">
              <w:rPr>
                <w:rFonts w:hint="eastAsia"/>
                <w:spacing w:val="-4"/>
                <w:sz w:val="18"/>
                <w:szCs w:val="18"/>
              </w:rPr>
              <w:t>断层。其它则以平移逆断层为主，如：曹家花园断层沿东湖风光村一线展</w:t>
            </w:r>
            <w:r w:rsidRPr="002B55E9">
              <w:rPr>
                <w:rFonts w:hint="eastAsia"/>
                <w:spacing w:val="-12"/>
                <w:sz w:val="18"/>
                <w:szCs w:val="18"/>
              </w:rPr>
              <w:t>布，走向</w:t>
            </w:r>
            <w:r w:rsidRPr="002B55E9">
              <w:rPr>
                <w:rFonts w:hint="eastAsia"/>
                <w:spacing w:val="-12"/>
                <w:sz w:val="18"/>
                <w:szCs w:val="18"/>
              </w:rPr>
              <w:t xml:space="preserve"> </w:t>
            </w:r>
            <w:r w:rsidRPr="002B55E9">
              <w:rPr>
                <w:sz w:val="18"/>
                <w:szCs w:val="18"/>
              </w:rPr>
              <w:t>340</w:t>
            </w:r>
            <w:r w:rsidRPr="002B55E9">
              <w:rPr>
                <w:spacing w:val="9"/>
                <w:sz w:val="18"/>
                <w:szCs w:val="18"/>
              </w:rPr>
              <w:t xml:space="preserve"> </w:t>
            </w:r>
            <w:r w:rsidRPr="002B55E9">
              <w:rPr>
                <w:rFonts w:hint="eastAsia"/>
                <w:spacing w:val="-6"/>
                <w:sz w:val="18"/>
                <w:szCs w:val="18"/>
              </w:rPr>
              <w:t>度。倾南东，倾角较陡，延长</w:t>
            </w:r>
            <w:r w:rsidRPr="002B55E9">
              <w:rPr>
                <w:rFonts w:hint="eastAsia"/>
                <w:spacing w:val="-6"/>
                <w:sz w:val="18"/>
                <w:szCs w:val="18"/>
              </w:rPr>
              <w:t xml:space="preserve"> </w:t>
            </w:r>
            <w:r w:rsidRPr="002B55E9">
              <w:rPr>
                <w:sz w:val="18"/>
                <w:szCs w:val="18"/>
              </w:rPr>
              <w:t>4</w:t>
            </w:r>
            <w:r w:rsidRPr="002B55E9">
              <w:rPr>
                <w:spacing w:val="6"/>
                <w:sz w:val="18"/>
                <w:szCs w:val="18"/>
              </w:rPr>
              <w:t xml:space="preserve"> </w:t>
            </w:r>
            <w:r w:rsidRPr="002B55E9">
              <w:rPr>
                <w:rFonts w:hint="eastAsia"/>
                <w:spacing w:val="-3"/>
                <w:sz w:val="18"/>
                <w:szCs w:val="18"/>
              </w:rPr>
              <w:t>千米，斜切大桥倒转向斜、</w:t>
            </w:r>
            <w:r w:rsidRPr="002B55E9">
              <w:rPr>
                <w:rFonts w:hint="eastAsia"/>
                <w:spacing w:val="-5"/>
                <w:sz w:val="18"/>
                <w:szCs w:val="18"/>
              </w:rPr>
              <w:t>王家店倒转背斜，两盘作顺时针扭动，错距</w:t>
            </w:r>
            <w:r w:rsidRPr="002B55E9">
              <w:rPr>
                <w:rFonts w:hint="eastAsia"/>
                <w:spacing w:val="-5"/>
                <w:sz w:val="18"/>
                <w:szCs w:val="18"/>
              </w:rPr>
              <w:t xml:space="preserve"> </w:t>
            </w:r>
            <w:r w:rsidRPr="002B55E9">
              <w:rPr>
                <w:sz w:val="18"/>
                <w:szCs w:val="18"/>
              </w:rPr>
              <w:t>1000</w:t>
            </w:r>
            <w:r w:rsidRPr="002B55E9">
              <w:rPr>
                <w:spacing w:val="23"/>
                <w:sz w:val="18"/>
                <w:szCs w:val="18"/>
              </w:rPr>
              <w:t xml:space="preserve"> </w:t>
            </w:r>
            <w:r w:rsidRPr="002B55E9">
              <w:rPr>
                <w:rFonts w:hint="eastAsia"/>
                <w:spacing w:val="-6"/>
                <w:sz w:val="18"/>
                <w:szCs w:val="18"/>
              </w:rPr>
              <w:t>米。该方向断层共计</w:t>
            </w:r>
            <w:r w:rsidRPr="002B55E9">
              <w:rPr>
                <w:rFonts w:hint="eastAsia"/>
                <w:spacing w:val="-6"/>
                <w:sz w:val="18"/>
                <w:szCs w:val="18"/>
              </w:rPr>
              <w:t xml:space="preserve"> </w:t>
            </w:r>
            <w:r w:rsidRPr="002B55E9">
              <w:rPr>
                <w:spacing w:val="-3"/>
                <w:sz w:val="18"/>
                <w:szCs w:val="18"/>
              </w:rPr>
              <w:t>27</w:t>
            </w:r>
            <w:r w:rsidRPr="002B55E9">
              <w:rPr>
                <w:rFonts w:hint="eastAsia"/>
                <w:sz w:val="18"/>
                <w:szCs w:val="18"/>
              </w:rPr>
              <w:t>条。</w:t>
            </w:r>
          </w:p>
        </w:tc>
      </w:tr>
      <w:tr w:rsidR="002B55E9" w:rsidRPr="002B55E9" w14:paraId="10EC1D4D" w14:textId="77777777">
        <w:trPr>
          <w:trHeight w:val="284"/>
          <w:jc w:val="center"/>
        </w:trPr>
        <w:tc>
          <w:tcPr>
            <w:tcW w:w="991" w:type="dxa"/>
            <w:vAlign w:val="center"/>
          </w:tcPr>
          <w:p w14:paraId="38829883" w14:textId="77777777" w:rsidR="00D170E5" w:rsidRPr="002B55E9" w:rsidRDefault="00EF27AD">
            <w:pPr>
              <w:pStyle w:val="TableParagraph"/>
              <w:snapToGrid w:val="0"/>
              <w:spacing w:line="240" w:lineRule="auto"/>
              <w:jc w:val="center"/>
              <w:rPr>
                <w:sz w:val="18"/>
                <w:szCs w:val="18"/>
              </w:rPr>
            </w:pPr>
            <w:r w:rsidRPr="002B55E9">
              <w:rPr>
                <w:rFonts w:hint="eastAsia"/>
                <w:sz w:val="18"/>
                <w:szCs w:val="18"/>
              </w:rPr>
              <w:t>北北东向断层</w:t>
            </w:r>
          </w:p>
        </w:tc>
        <w:tc>
          <w:tcPr>
            <w:tcW w:w="921" w:type="dxa"/>
            <w:vAlign w:val="center"/>
          </w:tcPr>
          <w:p w14:paraId="0521A7BE" w14:textId="77777777" w:rsidR="00D170E5" w:rsidRPr="002B55E9" w:rsidRDefault="00EF27AD">
            <w:pPr>
              <w:pStyle w:val="TableParagraph"/>
              <w:snapToGrid w:val="0"/>
              <w:spacing w:line="240" w:lineRule="auto"/>
              <w:jc w:val="center"/>
              <w:rPr>
                <w:sz w:val="18"/>
                <w:szCs w:val="18"/>
              </w:rPr>
            </w:pPr>
            <w:r w:rsidRPr="002B55E9">
              <w:rPr>
                <w:sz w:val="18"/>
                <w:szCs w:val="18"/>
              </w:rPr>
              <w:t>10°~25°</w:t>
            </w:r>
          </w:p>
        </w:tc>
        <w:tc>
          <w:tcPr>
            <w:tcW w:w="7725" w:type="dxa"/>
            <w:vAlign w:val="center"/>
          </w:tcPr>
          <w:p w14:paraId="772CE8CE" w14:textId="77777777" w:rsidR="00D170E5" w:rsidRPr="002B55E9" w:rsidRDefault="00EF27AD">
            <w:pPr>
              <w:pStyle w:val="TableParagraph"/>
              <w:snapToGrid w:val="0"/>
              <w:spacing w:line="240" w:lineRule="auto"/>
              <w:rPr>
                <w:sz w:val="18"/>
                <w:szCs w:val="18"/>
              </w:rPr>
            </w:pPr>
            <w:r w:rsidRPr="002B55E9">
              <w:rPr>
                <w:rFonts w:hint="eastAsia"/>
                <w:sz w:val="18"/>
                <w:szCs w:val="18"/>
              </w:rPr>
              <w:t>该组断层多被覆盖，据遥感、物探资料分析，为一组规模较大的区域</w:t>
            </w:r>
            <w:r w:rsidRPr="002B55E9">
              <w:rPr>
                <w:rFonts w:hint="eastAsia"/>
                <w:spacing w:val="-3"/>
                <w:sz w:val="18"/>
                <w:szCs w:val="18"/>
              </w:rPr>
              <w:t>性隐伏断层，沿走向呈逆时针方向扭动，断面近于直立，断层形成较晚、切割了北西、北北西向断层，如：长江断层，走向</w:t>
            </w:r>
            <w:r w:rsidRPr="002B55E9">
              <w:rPr>
                <w:rFonts w:hint="eastAsia"/>
                <w:spacing w:val="-3"/>
                <w:sz w:val="18"/>
                <w:szCs w:val="18"/>
              </w:rPr>
              <w:t xml:space="preserve"> </w:t>
            </w:r>
            <w:r w:rsidRPr="002B55E9">
              <w:rPr>
                <w:sz w:val="18"/>
                <w:szCs w:val="18"/>
              </w:rPr>
              <w:t>25</w:t>
            </w:r>
            <w:r w:rsidRPr="002B55E9">
              <w:rPr>
                <w:rFonts w:hint="eastAsia"/>
                <w:sz w:val="18"/>
                <w:szCs w:val="18"/>
              </w:rPr>
              <w:t>－</w:t>
            </w:r>
            <w:r w:rsidRPr="002B55E9">
              <w:rPr>
                <w:sz w:val="18"/>
                <w:szCs w:val="18"/>
              </w:rPr>
              <w:t xml:space="preserve">30 </w:t>
            </w:r>
            <w:r w:rsidRPr="002B55E9">
              <w:rPr>
                <w:rFonts w:hint="eastAsia"/>
                <w:spacing w:val="-3"/>
                <w:sz w:val="18"/>
                <w:szCs w:val="18"/>
              </w:rPr>
              <w:t>度，倾南东，</w:t>
            </w:r>
            <w:r w:rsidRPr="002B55E9">
              <w:rPr>
                <w:rFonts w:hint="eastAsia"/>
                <w:spacing w:val="-3"/>
                <w:sz w:val="18"/>
                <w:szCs w:val="18"/>
              </w:rPr>
              <w:t xml:space="preserve"> </w:t>
            </w:r>
            <w:r w:rsidRPr="002B55E9">
              <w:rPr>
                <w:rFonts w:hint="eastAsia"/>
                <w:spacing w:val="-18"/>
                <w:sz w:val="18"/>
                <w:szCs w:val="18"/>
              </w:rPr>
              <w:t>倾角</w:t>
            </w:r>
            <w:r w:rsidRPr="002B55E9">
              <w:rPr>
                <w:rFonts w:hint="eastAsia"/>
                <w:spacing w:val="-18"/>
                <w:sz w:val="18"/>
                <w:szCs w:val="18"/>
              </w:rPr>
              <w:t xml:space="preserve"> </w:t>
            </w:r>
            <w:r w:rsidRPr="002B55E9">
              <w:rPr>
                <w:sz w:val="18"/>
                <w:szCs w:val="18"/>
              </w:rPr>
              <w:t xml:space="preserve">80 </w:t>
            </w:r>
            <w:r w:rsidRPr="002B55E9">
              <w:rPr>
                <w:rFonts w:hint="eastAsia"/>
                <w:spacing w:val="-11"/>
                <w:sz w:val="18"/>
                <w:szCs w:val="18"/>
              </w:rPr>
              <w:t>度，延伸长</w:t>
            </w:r>
            <w:r w:rsidRPr="002B55E9">
              <w:rPr>
                <w:rFonts w:hint="eastAsia"/>
                <w:spacing w:val="-11"/>
                <w:sz w:val="18"/>
                <w:szCs w:val="18"/>
              </w:rPr>
              <w:t xml:space="preserve"> </w:t>
            </w:r>
            <w:r w:rsidRPr="002B55E9">
              <w:rPr>
                <w:sz w:val="18"/>
                <w:szCs w:val="18"/>
              </w:rPr>
              <w:t xml:space="preserve">15 </w:t>
            </w:r>
            <w:r w:rsidRPr="002B55E9">
              <w:rPr>
                <w:rFonts w:hint="eastAsia"/>
                <w:spacing w:val="-3"/>
                <w:sz w:val="18"/>
                <w:szCs w:val="18"/>
              </w:rPr>
              <w:t>千米，于汉阳晴川阁处地表所见为一垂直地层走向</w:t>
            </w:r>
            <w:r w:rsidRPr="002B55E9">
              <w:rPr>
                <w:rFonts w:hint="eastAsia"/>
                <w:spacing w:val="-4"/>
                <w:sz w:val="18"/>
                <w:szCs w:val="18"/>
              </w:rPr>
              <w:t>发育的一组劈理，劈理间石英砂岩挤压破碎，形成典型的断层角砾岩。本</w:t>
            </w:r>
            <w:r w:rsidRPr="002B55E9">
              <w:rPr>
                <w:rFonts w:hint="eastAsia"/>
                <w:sz w:val="18"/>
                <w:szCs w:val="18"/>
              </w:rPr>
              <w:t>组断层共计</w:t>
            </w:r>
            <w:r w:rsidRPr="002B55E9">
              <w:rPr>
                <w:rFonts w:hint="eastAsia"/>
                <w:sz w:val="18"/>
                <w:szCs w:val="18"/>
              </w:rPr>
              <w:t xml:space="preserve"> </w:t>
            </w:r>
            <w:r w:rsidRPr="002B55E9">
              <w:rPr>
                <w:sz w:val="18"/>
                <w:szCs w:val="18"/>
              </w:rPr>
              <w:t xml:space="preserve">18 </w:t>
            </w:r>
            <w:r w:rsidRPr="002B55E9">
              <w:rPr>
                <w:rFonts w:hint="eastAsia"/>
                <w:sz w:val="18"/>
                <w:szCs w:val="18"/>
              </w:rPr>
              <w:t>条，其中半边山断层和山口铺断层为平推正断层。</w:t>
            </w:r>
          </w:p>
        </w:tc>
      </w:tr>
      <w:tr w:rsidR="002B55E9" w:rsidRPr="002B55E9" w14:paraId="70B42618" w14:textId="77777777">
        <w:trPr>
          <w:trHeight w:val="284"/>
          <w:jc w:val="center"/>
        </w:trPr>
        <w:tc>
          <w:tcPr>
            <w:tcW w:w="991" w:type="dxa"/>
            <w:vAlign w:val="center"/>
          </w:tcPr>
          <w:p w14:paraId="4D2CCD31" w14:textId="77777777" w:rsidR="00D170E5" w:rsidRPr="002B55E9" w:rsidRDefault="00EF27AD">
            <w:pPr>
              <w:pStyle w:val="TableParagraph"/>
              <w:snapToGrid w:val="0"/>
              <w:spacing w:line="240" w:lineRule="auto"/>
              <w:jc w:val="center"/>
              <w:rPr>
                <w:sz w:val="18"/>
                <w:szCs w:val="18"/>
              </w:rPr>
            </w:pPr>
            <w:r w:rsidRPr="002B55E9">
              <w:rPr>
                <w:rFonts w:hint="eastAsia"/>
                <w:sz w:val="18"/>
                <w:szCs w:val="18"/>
              </w:rPr>
              <w:t>北东向断层</w:t>
            </w:r>
          </w:p>
        </w:tc>
        <w:tc>
          <w:tcPr>
            <w:tcW w:w="921" w:type="dxa"/>
            <w:vAlign w:val="center"/>
          </w:tcPr>
          <w:p w14:paraId="4AC8AFCF" w14:textId="77777777" w:rsidR="00D170E5" w:rsidRPr="002B55E9" w:rsidRDefault="00EF27AD">
            <w:pPr>
              <w:pStyle w:val="TableParagraph"/>
              <w:snapToGrid w:val="0"/>
              <w:spacing w:line="240" w:lineRule="auto"/>
              <w:jc w:val="center"/>
              <w:rPr>
                <w:sz w:val="18"/>
                <w:szCs w:val="18"/>
              </w:rPr>
            </w:pPr>
            <w:r w:rsidRPr="002B55E9">
              <w:rPr>
                <w:sz w:val="18"/>
                <w:szCs w:val="18"/>
              </w:rPr>
              <w:t>30°~60°</w:t>
            </w:r>
          </w:p>
        </w:tc>
        <w:tc>
          <w:tcPr>
            <w:tcW w:w="7725" w:type="dxa"/>
            <w:vAlign w:val="center"/>
          </w:tcPr>
          <w:p w14:paraId="100D7E54" w14:textId="77777777" w:rsidR="00D170E5" w:rsidRPr="002B55E9" w:rsidRDefault="00EF27AD">
            <w:pPr>
              <w:pStyle w:val="TableParagraph"/>
              <w:snapToGrid w:val="0"/>
              <w:spacing w:line="240" w:lineRule="auto"/>
              <w:rPr>
                <w:sz w:val="18"/>
                <w:szCs w:val="18"/>
              </w:rPr>
            </w:pPr>
            <w:r w:rsidRPr="002B55E9">
              <w:rPr>
                <w:rFonts w:hint="eastAsia"/>
                <w:spacing w:val="-8"/>
                <w:sz w:val="18"/>
                <w:szCs w:val="18"/>
              </w:rPr>
              <w:t>该组断层多出露于地表，规模较小，一般为平推断层，作逆时针扭动，</w:t>
            </w:r>
            <w:r w:rsidRPr="002B55E9">
              <w:rPr>
                <w:rFonts w:hint="eastAsia"/>
                <w:spacing w:val="-8"/>
                <w:sz w:val="18"/>
                <w:szCs w:val="18"/>
              </w:rPr>
              <w:t xml:space="preserve"> </w:t>
            </w:r>
            <w:r w:rsidRPr="002B55E9">
              <w:rPr>
                <w:rFonts w:hint="eastAsia"/>
                <w:spacing w:val="-10"/>
                <w:sz w:val="18"/>
                <w:szCs w:val="18"/>
              </w:rPr>
              <w:t>错距小于</w:t>
            </w:r>
            <w:r w:rsidRPr="002B55E9">
              <w:rPr>
                <w:rFonts w:hint="eastAsia"/>
                <w:spacing w:val="-10"/>
                <w:sz w:val="18"/>
                <w:szCs w:val="18"/>
              </w:rPr>
              <w:t xml:space="preserve"> </w:t>
            </w:r>
            <w:r w:rsidRPr="002B55E9">
              <w:rPr>
                <w:sz w:val="18"/>
                <w:szCs w:val="18"/>
              </w:rPr>
              <w:t>100</w:t>
            </w:r>
            <w:r w:rsidRPr="002B55E9">
              <w:rPr>
                <w:spacing w:val="26"/>
                <w:sz w:val="18"/>
                <w:szCs w:val="18"/>
              </w:rPr>
              <w:t xml:space="preserve"> </w:t>
            </w:r>
            <w:r w:rsidRPr="002B55E9">
              <w:rPr>
                <w:rFonts w:hint="eastAsia"/>
                <w:spacing w:val="-5"/>
                <w:sz w:val="18"/>
                <w:szCs w:val="18"/>
              </w:rPr>
              <w:t>米，断面近于直立，图内共计</w:t>
            </w:r>
            <w:r w:rsidRPr="002B55E9">
              <w:rPr>
                <w:rFonts w:hint="eastAsia"/>
                <w:spacing w:val="-5"/>
                <w:sz w:val="18"/>
                <w:szCs w:val="18"/>
              </w:rPr>
              <w:t xml:space="preserve"> </w:t>
            </w:r>
            <w:r w:rsidRPr="002B55E9">
              <w:rPr>
                <w:sz w:val="18"/>
                <w:szCs w:val="18"/>
              </w:rPr>
              <w:t>19</w:t>
            </w:r>
            <w:r w:rsidRPr="002B55E9">
              <w:rPr>
                <w:spacing w:val="30"/>
                <w:sz w:val="18"/>
                <w:szCs w:val="18"/>
              </w:rPr>
              <w:t xml:space="preserve"> </w:t>
            </w:r>
            <w:r w:rsidRPr="002B55E9">
              <w:rPr>
                <w:rFonts w:hint="eastAsia"/>
                <w:spacing w:val="-3"/>
                <w:sz w:val="18"/>
                <w:szCs w:val="18"/>
              </w:rPr>
              <w:t>条，主要有严西湖断层、</w:t>
            </w:r>
            <w:r w:rsidRPr="002B55E9">
              <w:rPr>
                <w:rFonts w:hint="eastAsia"/>
                <w:spacing w:val="-12"/>
                <w:sz w:val="18"/>
                <w:szCs w:val="18"/>
              </w:rPr>
              <w:t>阳逻水泥厂逆断层、大苏村平推断层、龟山头平推断层、青龙嘴平推断层、</w:t>
            </w:r>
            <w:r w:rsidRPr="002B55E9">
              <w:rPr>
                <w:rFonts w:hint="eastAsia"/>
                <w:spacing w:val="-6"/>
                <w:sz w:val="18"/>
                <w:szCs w:val="18"/>
              </w:rPr>
              <w:t>白浒山逆断层、龙口平推断层等。</w:t>
            </w:r>
          </w:p>
        </w:tc>
      </w:tr>
    </w:tbl>
    <w:p w14:paraId="3AA9A720" w14:textId="77777777" w:rsidR="00D170E5" w:rsidRPr="002B55E9" w:rsidRDefault="00EF27AD">
      <w:pPr>
        <w:pStyle w:val="4"/>
        <w:rPr>
          <w:color w:val="auto"/>
        </w:rPr>
      </w:pPr>
      <w:r w:rsidRPr="002B55E9">
        <w:rPr>
          <w:rFonts w:hint="eastAsia"/>
          <w:color w:val="auto"/>
        </w:rPr>
        <w:t>区域水文地质概况</w:t>
      </w:r>
    </w:p>
    <w:p w14:paraId="197D4740" w14:textId="77777777" w:rsidR="00D170E5" w:rsidRPr="002B55E9" w:rsidRDefault="00EF27AD">
      <w:pPr>
        <w:pStyle w:val="5"/>
      </w:pPr>
      <w:r w:rsidRPr="002B55E9">
        <w:rPr>
          <w:rFonts w:hint="eastAsia"/>
        </w:rPr>
        <w:t>各岩层地下水类型</w:t>
      </w:r>
    </w:p>
    <w:p w14:paraId="762326CE" w14:textId="77777777" w:rsidR="00D170E5" w:rsidRPr="002B55E9" w:rsidRDefault="00EF27AD">
      <w:pPr>
        <w:pStyle w:val="aa"/>
      </w:pPr>
      <w:r w:rsidRPr="002B55E9">
        <w:rPr>
          <w:rFonts w:hint="eastAsia"/>
        </w:rPr>
        <w:t>根据地下水赋存条件和地层岩性水力特征，区内可划分为三种地下水类型，</w:t>
      </w:r>
      <w:r w:rsidRPr="002B55E9">
        <w:rPr>
          <w:rFonts w:hint="eastAsia"/>
        </w:rPr>
        <w:t>7</w:t>
      </w:r>
      <w:r w:rsidRPr="002B55E9">
        <w:rPr>
          <w:rFonts w:hint="eastAsia"/>
        </w:rPr>
        <w:t>个含水岩组和</w:t>
      </w:r>
      <w:r w:rsidRPr="002B55E9">
        <w:rPr>
          <w:rFonts w:hint="eastAsia"/>
        </w:rPr>
        <w:t>3</w:t>
      </w:r>
      <w:r w:rsidRPr="002B55E9">
        <w:rPr>
          <w:rFonts w:hint="eastAsia"/>
        </w:rPr>
        <w:t>个非含水岩组（表</w:t>
      </w:r>
      <w:r w:rsidRPr="002B55E9">
        <w:rPr>
          <w:rFonts w:hint="eastAsia"/>
        </w:rPr>
        <w:t>5-</w:t>
      </w:r>
      <w:r w:rsidRPr="002B55E9">
        <w:t>6</w:t>
      </w:r>
      <w:r w:rsidRPr="002B55E9">
        <w:rPr>
          <w:rFonts w:hint="eastAsia"/>
        </w:rPr>
        <w:t>-</w:t>
      </w:r>
      <w:r w:rsidRPr="002B55E9">
        <w:t>2</w:t>
      </w:r>
      <w:r w:rsidRPr="002B55E9">
        <w:rPr>
          <w:rFonts w:hint="eastAsia"/>
        </w:rPr>
        <w:t>）。</w:t>
      </w:r>
    </w:p>
    <w:p w14:paraId="3D94B4C2" w14:textId="77777777" w:rsidR="00D170E5" w:rsidRPr="002B55E9" w:rsidRDefault="00EF27AD">
      <w:pPr>
        <w:pStyle w:val="afffffffffffff3"/>
        <w:ind w:firstLine="482"/>
        <w:rPr>
          <w:rFonts w:eastAsia="黑体"/>
          <w:sz w:val="24"/>
        </w:rPr>
      </w:pPr>
      <w:r w:rsidRPr="002B55E9">
        <w:rPr>
          <w:rFonts w:eastAsia="黑体"/>
          <w:sz w:val="24"/>
        </w:rPr>
        <w:t>表</w:t>
      </w:r>
      <w:r w:rsidRPr="002B55E9">
        <w:rPr>
          <w:rFonts w:eastAsia="黑体" w:hint="eastAsia"/>
          <w:sz w:val="24"/>
        </w:rPr>
        <w:t>5-</w:t>
      </w:r>
      <w:r w:rsidRPr="002B55E9">
        <w:rPr>
          <w:rFonts w:eastAsia="黑体"/>
          <w:sz w:val="24"/>
        </w:rPr>
        <w:t>6-2</w:t>
      </w:r>
      <w:r w:rsidRPr="002B55E9">
        <w:rPr>
          <w:rFonts w:eastAsia="黑体" w:hint="eastAsia"/>
          <w:sz w:val="24"/>
        </w:rPr>
        <w:t xml:space="preserve"> </w:t>
      </w:r>
      <w:r w:rsidRPr="002B55E9">
        <w:rPr>
          <w:rFonts w:eastAsia="黑体"/>
          <w:sz w:val="24"/>
        </w:rPr>
        <w:t xml:space="preserve"> </w:t>
      </w:r>
      <w:r w:rsidRPr="002B55E9">
        <w:rPr>
          <w:rFonts w:eastAsia="黑体"/>
          <w:sz w:val="24"/>
        </w:rPr>
        <w:t>地下水类型及含水岩组划分表</w:t>
      </w:r>
    </w:p>
    <w:tbl>
      <w:tblPr>
        <w:tblW w:w="9637" w:type="dxa"/>
        <w:jc w:val="center"/>
        <w:tblBorders>
          <w:top w:val="single" w:sz="12" w:space="0" w:color="auto"/>
          <w:bottom w:val="single" w:sz="12" w:space="0" w:color="auto"/>
          <w:insideH w:val="single" w:sz="4" w:space="0" w:color="auto"/>
          <w:insideV w:val="single" w:sz="8" w:space="0" w:color="auto"/>
        </w:tblBorders>
        <w:tblLayout w:type="fixed"/>
        <w:tblLook w:val="04A0" w:firstRow="1" w:lastRow="0" w:firstColumn="1" w:lastColumn="0" w:noHBand="0" w:noVBand="1"/>
      </w:tblPr>
      <w:tblGrid>
        <w:gridCol w:w="2560"/>
        <w:gridCol w:w="7077"/>
      </w:tblGrid>
      <w:tr w:rsidR="002B55E9" w:rsidRPr="002B55E9" w14:paraId="78C38575" w14:textId="77777777">
        <w:trPr>
          <w:trHeight w:val="288"/>
          <w:jc w:val="center"/>
        </w:trPr>
        <w:tc>
          <w:tcPr>
            <w:tcW w:w="2560" w:type="dxa"/>
            <w:tcBorders>
              <w:top w:val="single" w:sz="12" w:space="0" w:color="auto"/>
              <w:bottom w:val="single" w:sz="12" w:space="0" w:color="auto"/>
            </w:tcBorders>
            <w:vAlign w:val="center"/>
          </w:tcPr>
          <w:p w14:paraId="0CE73D23" w14:textId="77777777" w:rsidR="00D170E5" w:rsidRPr="002B55E9" w:rsidRDefault="00EF27AD">
            <w:pPr>
              <w:widowControl/>
              <w:jc w:val="center"/>
              <w:rPr>
                <w:sz w:val="18"/>
                <w:szCs w:val="18"/>
              </w:rPr>
            </w:pPr>
            <w:r w:rsidRPr="002B55E9">
              <w:rPr>
                <w:sz w:val="18"/>
                <w:szCs w:val="18"/>
              </w:rPr>
              <w:t>地下水类型</w:t>
            </w:r>
          </w:p>
        </w:tc>
        <w:tc>
          <w:tcPr>
            <w:tcW w:w="7077" w:type="dxa"/>
            <w:tcBorders>
              <w:top w:val="single" w:sz="12" w:space="0" w:color="auto"/>
              <w:bottom w:val="single" w:sz="12" w:space="0" w:color="auto"/>
            </w:tcBorders>
            <w:vAlign w:val="center"/>
          </w:tcPr>
          <w:p w14:paraId="1E212635" w14:textId="77777777" w:rsidR="00D170E5" w:rsidRPr="002B55E9" w:rsidRDefault="00EF27AD">
            <w:pPr>
              <w:widowControl/>
              <w:jc w:val="center"/>
              <w:rPr>
                <w:sz w:val="18"/>
                <w:szCs w:val="18"/>
              </w:rPr>
            </w:pPr>
            <w:r w:rsidRPr="002B55E9">
              <w:rPr>
                <w:sz w:val="18"/>
                <w:szCs w:val="18"/>
              </w:rPr>
              <w:t>含水岩组和非含水岩组</w:t>
            </w:r>
          </w:p>
        </w:tc>
      </w:tr>
      <w:tr w:rsidR="002B55E9" w:rsidRPr="002B55E9" w14:paraId="7047E404" w14:textId="77777777">
        <w:trPr>
          <w:trHeight w:val="288"/>
          <w:jc w:val="center"/>
        </w:trPr>
        <w:tc>
          <w:tcPr>
            <w:tcW w:w="2560" w:type="dxa"/>
            <w:tcBorders>
              <w:top w:val="single" w:sz="12" w:space="0" w:color="auto"/>
            </w:tcBorders>
            <w:vAlign w:val="center"/>
          </w:tcPr>
          <w:p w14:paraId="7FE3E145" w14:textId="77777777" w:rsidR="00D170E5" w:rsidRPr="002B55E9" w:rsidRDefault="00EF27AD">
            <w:pPr>
              <w:widowControl/>
              <w:jc w:val="center"/>
              <w:rPr>
                <w:sz w:val="18"/>
                <w:szCs w:val="18"/>
              </w:rPr>
            </w:pPr>
            <w:r w:rsidRPr="002B55E9">
              <w:rPr>
                <w:sz w:val="18"/>
                <w:szCs w:val="18"/>
              </w:rPr>
              <w:t>松散岩类孔隙水</w:t>
            </w:r>
          </w:p>
        </w:tc>
        <w:tc>
          <w:tcPr>
            <w:tcW w:w="7077" w:type="dxa"/>
            <w:tcBorders>
              <w:top w:val="single" w:sz="12" w:space="0" w:color="auto"/>
            </w:tcBorders>
            <w:vAlign w:val="center"/>
          </w:tcPr>
          <w:p w14:paraId="6446195D" w14:textId="77777777" w:rsidR="00D170E5" w:rsidRPr="002B55E9" w:rsidRDefault="00EF27AD">
            <w:pPr>
              <w:widowControl/>
              <w:jc w:val="center"/>
              <w:rPr>
                <w:sz w:val="18"/>
                <w:szCs w:val="18"/>
              </w:rPr>
            </w:pPr>
            <w:r w:rsidRPr="002B55E9">
              <w:rPr>
                <w:sz w:val="18"/>
                <w:szCs w:val="18"/>
              </w:rPr>
              <w:t>全新统砂、砾孔隙承压含水岩组（</w:t>
            </w:r>
            <w:r w:rsidRPr="002B55E9">
              <w:rPr>
                <w:sz w:val="18"/>
                <w:szCs w:val="18"/>
              </w:rPr>
              <w:t>Q4</w:t>
            </w:r>
            <w:r w:rsidRPr="002B55E9">
              <w:rPr>
                <w:sz w:val="18"/>
                <w:szCs w:val="18"/>
              </w:rPr>
              <w:t>）</w:t>
            </w:r>
          </w:p>
        </w:tc>
      </w:tr>
      <w:tr w:rsidR="002B55E9" w:rsidRPr="002B55E9" w14:paraId="18DDE312" w14:textId="77777777">
        <w:trPr>
          <w:trHeight w:val="288"/>
          <w:jc w:val="center"/>
        </w:trPr>
        <w:tc>
          <w:tcPr>
            <w:tcW w:w="2560" w:type="dxa"/>
            <w:vMerge w:val="restart"/>
            <w:vAlign w:val="center"/>
          </w:tcPr>
          <w:p w14:paraId="1103687D" w14:textId="77777777" w:rsidR="00D170E5" w:rsidRPr="002B55E9" w:rsidRDefault="00EF27AD">
            <w:pPr>
              <w:widowControl/>
              <w:jc w:val="center"/>
              <w:rPr>
                <w:sz w:val="18"/>
                <w:szCs w:val="18"/>
              </w:rPr>
            </w:pPr>
            <w:r w:rsidRPr="002B55E9">
              <w:rPr>
                <w:sz w:val="18"/>
                <w:szCs w:val="18"/>
              </w:rPr>
              <w:t>碎屑岩类裂隙水</w:t>
            </w:r>
          </w:p>
        </w:tc>
        <w:tc>
          <w:tcPr>
            <w:tcW w:w="7077" w:type="dxa"/>
            <w:vAlign w:val="center"/>
          </w:tcPr>
          <w:p w14:paraId="4ACC40C7" w14:textId="77777777" w:rsidR="00D170E5" w:rsidRPr="002B55E9" w:rsidRDefault="00EF27AD">
            <w:pPr>
              <w:widowControl/>
              <w:jc w:val="center"/>
              <w:rPr>
                <w:sz w:val="18"/>
                <w:szCs w:val="18"/>
              </w:rPr>
            </w:pPr>
            <w:r w:rsidRPr="002B55E9">
              <w:rPr>
                <w:sz w:val="18"/>
                <w:szCs w:val="18"/>
              </w:rPr>
              <w:t>侏罗系下统砂岩孔隙裂隙含水岩组</w:t>
            </w:r>
            <w:r w:rsidRPr="002B55E9">
              <w:rPr>
                <w:sz w:val="18"/>
                <w:szCs w:val="18"/>
              </w:rPr>
              <w:t>(J1wh)</w:t>
            </w:r>
          </w:p>
        </w:tc>
      </w:tr>
      <w:tr w:rsidR="002B55E9" w:rsidRPr="002B55E9" w14:paraId="5BF17FBA" w14:textId="77777777">
        <w:trPr>
          <w:trHeight w:val="288"/>
          <w:jc w:val="center"/>
        </w:trPr>
        <w:tc>
          <w:tcPr>
            <w:tcW w:w="2560" w:type="dxa"/>
            <w:vMerge/>
            <w:vAlign w:val="center"/>
          </w:tcPr>
          <w:p w14:paraId="135CD5AD" w14:textId="77777777" w:rsidR="00D170E5" w:rsidRPr="002B55E9" w:rsidRDefault="00D170E5">
            <w:pPr>
              <w:widowControl/>
              <w:jc w:val="center"/>
              <w:rPr>
                <w:sz w:val="18"/>
                <w:szCs w:val="18"/>
              </w:rPr>
            </w:pPr>
          </w:p>
        </w:tc>
        <w:tc>
          <w:tcPr>
            <w:tcW w:w="7077" w:type="dxa"/>
            <w:vAlign w:val="center"/>
          </w:tcPr>
          <w:p w14:paraId="6B7E00CC" w14:textId="77777777" w:rsidR="00D170E5" w:rsidRPr="002B55E9" w:rsidRDefault="00EF27AD">
            <w:pPr>
              <w:widowControl/>
              <w:jc w:val="center"/>
              <w:rPr>
                <w:sz w:val="18"/>
                <w:szCs w:val="18"/>
              </w:rPr>
            </w:pPr>
            <w:r w:rsidRPr="002B55E9">
              <w:rPr>
                <w:sz w:val="18"/>
                <w:szCs w:val="18"/>
              </w:rPr>
              <w:t>二叠系下统硅质岩裂隙含水岩组</w:t>
            </w:r>
            <w:r w:rsidRPr="002B55E9">
              <w:rPr>
                <w:sz w:val="18"/>
                <w:szCs w:val="18"/>
              </w:rPr>
              <w:t>(P1g)</w:t>
            </w:r>
          </w:p>
        </w:tc>
      </w:tr>
      <w:tr w:rsidR="002B55E9" w:rsidRPr="002B55E9" w14:paraId="707C4EC4" w14:textId="77777777">
        <w:trPr>
          <w:trHeight w:val="288"/>
          <w:jc w:val="center"/>
        </w:trPr>
        <w:tc>
          <w:tcPr>
            <w:tcW w:w="2560" w:type="dxa"/>
            <w:vMerge/>
            <w:vAlign w:val="center"/>
          </w:tcPr>
          <w:p w14:paraId="5ABDF8E1" w14:textId="77777777" w:rsidR="00D170E5" w:rsidRPr="002B55E9" w:rsidRDefault="00D170E5">
            <w:pPr>
              <w:widowControl/>
              <w:jc w:val="center"/>
              <w:rPr>
                <w:sz w:val="18"/>
                <w:szCs w:val="18"/>
              </w:rPr>
            </w:pPr>
          </w:p>
        </w:tc>
        <w:tc>
          <w:tcPr>
            <w:tcW w:w="7077" w:type="dxa"/>
            <w:vAlign w:val="center"/>
          </w:tcPr>
          <w:p w14:paraId="4501C8AC" w14:textId="77777777" w:rsidR="00D170E5" w:rsidRPr="002B55E9" w:rsidRDefault="00EF27AD">
            <w:pPr>
              <w:widowControl/>
              <w:jc w:val="center"/>
              <w:rPr>
                <w:sz w:val="18"/>
                <w:szCs w:val="18"/>
              </w:rPr>
            </w:pPr>
            <w:r w:rsidRPr="002B55E9">
              <w:rPr>
                <w:sz w:val="18"/>
                <w:szCs w:val="18"/>
              </w:rPr>
              <w:t>泥盆系上统石英砂岩裂隙岩溶含水岩组</w:t>
            </w:r>
            <w:r w:rsidRPr="002B55E9">
              <w:rPr>
                <w:sz w:val="18"/>
                <w:szCs w:val="18"/>
              </w:rPr>
              <w:t>(D3w)</w:t>
            </w:r>
          </w:p>
        </w:tc>
      </w:tr>
      <w:tr w:rsidR="002B55E9" w:rsidRPr="002B55E9" w14:paraId="3D276EBC" w14:textId="77777777">
        <w:trPr>
          <w:trHeight w:val="288"/>
          <w:jc w:val="center"/>
        </w:trPr>
        <w:tc>
          <w:tcPr>
            <w:tcW w:w="2560" w:type="dxa"/>
            <w:vMerge w:val="restart"/>
            <w:vAlign w:val="center"/>
          </w:tcPr>
          <w:p w14:paraId="6BE69EB3" w14:textId="77777777" w:rsidR="00D170E5" w:rsidRPr="002B55E9" w:rsidRDefault="00EF27AD">
            <w:pPr>
              <w:widowControl/>
              <w:jc w:val="center"/>
              <w:rPr>
                <w:sz w:val="18"/>
                <w:szCs w:val="18"/>
              </w:rPr>
            </w:pPr>
            <w:r w:rsidRPr="002B55E9">
              <w:rPr>
                <w:sz w:val="18"/>
                <w:szCs w:val="18"/>
              </w:rPr>
              <w:t>碳酸盐岩裂隙岩溶水</w:t>
            </w:r>
          </w:p>
        </w:tc>
        <w:tc>
          <w:tcPr>
            <w:tcW w:w="7077" w:type="dxa"/>
            <w:vAlign w:val="center"/>
          </w:tcPr>
          <w:p w14:paraId="09632FA4" w14:textId="77777777" w:rsidR="00D170E5" w:rsidRPr="002B55E9" w:rsidRDefault="00EF27AD">
            <w:pPr>
              <w:widowControl/>
              <w:jc w:val="center"/>
              <w:rPr>
                <w:sz w:val="18"/>
                <w:szCs w:val="18"/>
              </w:rPr>
            </w:pPr>
            <w:r w:rsidRPr="002B55E9">
              <w:rPr>
                <w:sz w:val="18"/>
                <w:szCs w:val="18"/>
              </w:rPr>
              <w:t>三叠系下中统灰岩裂隙岩溶含水岩组</w:t>
            </w:r>
            <w:r w:rsidRPr="002B55E9">
              <w:rPr>
                <w:sz w:val="18"/>
                <w:szCs w:val="18"/>
              </w:rPr>
              <w:t>(T1-T2)</w:t>
            </w:r>
          </w:p>
        </w:tc>
      </w:tr>
      <w:tr w:rsidR="002B55E9" w:rsidRPr="002B55E9" w14:paraId="361D65D7" w14:textId="77777777">
        <w:trPr>
          <w:trHeight w:val="288"/>
          <w:jc w:val="center"/>
        </w:trPr>
        <w:tc>
          <w:tcPr>
            <w:tcW w:w="2560" w:type="dxa"/>
            <w:vMerge/>
            <w:vAlign w:val="center"/>
          </w:tcPr>
          <w:p w14:paraId="2CCFF911" w14:textId="77777777" w:rsidR="00D170E5" w:rsidRPr="002B55E9" w:rsidRDefault="00D170E5">
            <w:pPr>
              <w:widowControl/>
              <w:jc w:val="center"/>
              <w:rPr>
                <w:sz w:val="18"/>
                <w:szCs w:val="18"/>
              </w:rPr>
            </w:pPr>
          </w:p>
        </w:tc>
        <w:tc>
          <w:tcPr>
            <w:tcW w:w="7077" w:type="dxa"/>
            <w:vAlign w:val="center"/>
          </w:tcPr>
          <w:p w14:paraId="4192C1B0" w14:textId="77777777" w:rsidR="00D170E5" w:rsidRPr="002B55E9" w:rsidRDefault="00EF27AD">
            <w:pPr>
              <w:widowControl/>
              <w:jc w:val="center"/>
              <w:rPr>
                <w:sz w:val="18"/>
                <w:szCs w:val="18"/>
              </w:rPr>
            </w:pPr>
            <w:r w:rsidRPr="002B55E9">
              <w:rPr>
                <w:sz w:val="18"/>
                <w:szCs w:val="18"/>
              </w:rPr>
              <w:t>二叠系下统灰岩裂隙岩溶含水岩组</w:t>
            </w:r>
            <w:r w:rsidRPr="002B55E9">
              <w:rPr>
                <w:sz w:val="18"/>
                <w:szCs w:val="18"/>
              </w:rPr>
              <w:t>(P1q)</w:t>
            </w:r>
          </w:p>
        </w:tc>
      </w:tr>
      <w:tr w:rsidR="002B55E9" w:rsidRPr="002B55E9" w14:paraId="417B5E3E" w14:textId="77777777">
        <w:trPr>
          <w:trHeight w:val="288"/>
          <w:jc w:val="center"/>
        </w:trPr>
        <w:tc>
          <w:tcPr>
            <w:tcW w:w="2560" w:type="dxa"/>
            <w:vMerge/>
            <w:vAlign w:val="center"/>
          </w:tcPr>
          <w:p w14:paraId="20D8A7F9" w14:textId="77777777" w:rsidR="00D170E5" w:rsidRPr="002B55E9" w:rsidRDefault="00D170E5">
            <w:pPr>
              <w:widowControl/>
              <w:jc w:val="center"/>
              <w:rPr>
                <w:sz w:val="18"/>
                <w:szCs w:val="18"/>
              </w:rPr>
            </w:pPr>
          </w:p>
        </w:tc>
        <w:tc>
          <w:tcPr>
            <w:tcW w:w="7077" w:type="dxa"/>
            <w:vAlign w:val="center"/>
          </w:tcPr>
          <w:p w14:paraId="32B0BE25" w14:textId="77777777" w:rsidR="00D170E5" w:rsidRPr="002B55E9" w:rsidRDefault="00EF27AD">
            <w:pPr>
              <w:widowControl/>
              <w:jc w:val="center"/>
              <w:rPr>
                <w:sz w:val="18"/>
                <w:szCs w:val="18"/>
              </w:rPr>
            </w:pPr>
            <w:r w:rsidRPr="002B55E9">
              <w:rPr>
                <w:sz w:val="18"/>
                <w:szCs w:val="18"/>
              </w:rPr>
              <w:t>石炭系上统灰岩裂隙岩溶含水岩组</w:t>
            </w:r>
            <w:r w:rsidRPr="002B55E9">
              <w:rPr>
                <w:sz w:val="18"/>
                <w:szCs w:val="18"/>
              </w:rPr>
              <w:t>(C2h)</w:t>
            </w:r>
          </w:p>
        </w:tc>
      </w:tr>
      <w:tr w:rsidR="002B55E9" w:rsidRPr="002B55E9" w14:paraId="17E010BA" w14:textId="77777777">
        <w:trPr>
          <w:trHeight w:val="288"/>
          <w:jc w:val="center"/>
        </w:trPr>
        <w:tc>
          <w:tcPr>
            <w:tcW w:w="2560" w:type="dxa"/>
            <w:vMerge w:val="restart"/>
            <w:vAlign w:val="center"/>
          </w:tcPr>
          <w:p w14:paraId="34DB5155" w14:textId="77777777" w:rsidR="00D170E5" w:rsidRPr="002B55E9" w:rsidRDefault="00EF27AD">
            <w:pPr>
              <w:widowControl/>
              <w:jc w:val="center"/>
              <w:rPr>
                <w:sz w:val="18"/>
                <w:szCs w:val="18"/>
              </w:rPr>
            </w:pPr>
            <w:r w:rsidRPr="002B55E9">
              <w:rPr>
                <w:sz w:val="18"/>
                <w:szCs w:val="18"/>
              </w:rPr>
              <w:t>非含水岩组</w:t>
            </w:r>
          </w:p>
        </w:tc>
        <w:tc>
          <w:tcPr>
            <w:tcW w:w="7077" w:type="dxa"/>
            <w:vAlign w:val="center"/>
          </w:tcPr>
          <w:p w14:paraId="5CCBF76E" w14:textId="77777777" w:rsidR="00D170E5" w:rsidRPr="002B55E9" w:rsidRDefault="00EF27AD">
            <w:pPr>
              <w:widowControl/>
              <w:jc w:val="center"/>
              <w:rPr>
                <w:sz w:val="18"/>
                <w:szCs w:val="18"/>
              </w:rPr>
            </w:pPr>
            <w:r w:rsidRPr="002B55E9">
              <w:rPr>
                <w:sz w:val="18"/>
                <w:szCs w:val="18"/>
              </w:rPr>
              <w:t>第四系中更新统粘土非含水岩组</w:t>
            </w:r>
            <w:r w:rsidRPr="002B55E9">
              <w:rPr>
                <w:sz w:val="18"/>
                <w:szCs w:val="18"/>
              </w:rPr>
              <w:t>(Q2)</w:t>
            </w:r>
          </w:p>
        </w:tc>
      </w:tr>
      <w:tr w:rsidR="002B55E9" w:rsidRPr="002B55E9" w14:paraId="4C586767" w14:textId="77777777">
        <w:trPr>
          <w:trHeight w:val="288"/>
          <w:jc w:val="center"/>
        </w:trPr>
        <w:tc>
          <w:tcPr>
            <w:tcW w:w="2560" w:type="dxa"/>
            <w:vMerge/>
            <w:vAlign w:val="center"/>
          </w:tcPr>
          <w:p w14:paraId="09EE7A47" w14:textId="77777777" w:rsidR="00D170E5" w:rsidRPr="002B55E9" w:rsidRDefault="00D170E5">
            <w:pPr>
              <w:widowControl/>
              <w:jc w:val="center"/>
              <w:rPr>
                <w:sz w:val="18"/>
                <w:szCs w:val="18"/>
              </w:rPr>
            </w:pPr>
          </w:p>
        </w:tc>
        <w:tc>
          <w:tcPr>
            <w:tcW w:w="7077" w:type="dxa"/>
            <w:vAlign w:val="center"/>
          </w:tcPr>
          <w:p w14:paraId="1CD5ACF1" w14:textId="77777777" w:rsidR="00D170E5" w:rsidRPr="002B55E9" w:rsidRDefault="00EF27AD">
            <w:pPr>
              <w:widowControl/>
              <w:jc w:val="center"/>
              <w:rPr>
                <w:sz w:val="18"/>
                <w:szCs w:val="18"/>
              </w:rPr>
            </w:pPr>
            <w:r w:rsidRPr="002B55E9">
              <w:rPr>
                <w:sz w:val="18"/>
                <w:szCs w:val="18"/>
              </w:rPr>
              <w:t>石炭系下统页岩、粘土岩非含水岩组</w:t>
            </w:r>
            <w:r w:rsidRPr="002B55E9">
              <w:rPr>
                <w:sz w:val="18"/>
                <w:szCs w:val="18"/>
              </w:rPr>
              <w:t>(C1g)</w:t>
            </w:r>
          </w:p>
        </w:tc>
      </w:tr>
      <w:tr w:rsidR="002B55E9" w:rsidRPr="002B55E9" w14:paraId="29C77C30" w14:textId="77777777">
        <w:trPr>
          <w:trHeight w:val="288"/>
          <w:jc w:val="center"/>
        </w:trPr>
        <w:tc>
          <w:tcPr>
            <w:tcW w:w="2560" w:type="dxa"/>
            <w:vMerge/>
            <w:vAlign w:val="center"/>
          </w:tcPr>
          <w:p w14:paraId="7683A9B0" w14:textId="77777777" w:rsidR="00D170E5" w:rsidRPr="002B55E9" w:rsidRDefault="00D170E5">
            <w:pPr>
              <w:widowControl/>
              <w:jc w:val="center"/>
              <w:rPr>
                <w:sz w:val="18"/>
                <w:szCs w:val="18"/>
              </w:rPr>
            </w:pPr>
          </w:p>
        </w:tc>
        <w:tc>
          <w:tcPr>
            <w:tcW w:w="7077" w:type="dxa"/>
            <w:vAlign w:val="center"/>
          </w:tcPr>
          <w:p w14:paraId="3411CBE2" w14:textId="77777777" w:rsidR="00D170E5" w:rsidRPr="002B55E9" w:rsidRDefault="00EF27AD">
            <w:pPr>
              <w:widowControl/>
              <w:jc w:val="center"/>
              <w:rPr>
                <w:sz w:val="18"/>
                <w:szCs w:val="18"/>
              </w:rPr>
            </w:pPr>
            <w:r w:rsidRPr="002B55E9">
              <w:rPr>
                <w:sz w:val="18"/>
                <w:szCs w:val="18"/>
              </w:rPr>
              <w:t>志留系中统砂页岩非含水岩组</w:t>
            </w:r>
            <w:r w:rsidRPr="002B55E9">
              <w:rPr>
                <w:sz w:val="18"/>
                <w:szCs w:val="18"/>
              </w:rPr>
              <w:t>(S2fn)</w:t>
            </w:r>
          </w:p>
        </w:tc>
      </w:tr>
    </w:tbl>
    <w:p w14:paraId="64F4042B" w14:textId="77777777" w:rsidR="00D170E5" w:rsidRPr="002B55E9" w:rsidRDefault="00EF27AD">
      <w:pPr>
        <w:spacing w:line="360" w:lineRule="auto"/>
        <w:ind w:firstLineChars="200" w:firstLine="480"/>
        <w:rPr>
          <w:sz w:val="24"/>
        </w:rPr>
      </w:pPr>
      <w:r w:rsidRPr="002B55E9">
        <w:rPr>
          <w:sz w:val="24"/>
        </w:rPr>
        <w:t>（</w:t>
      </w:r>
      <w:r w:rsidRPr="002B55E9">
        <w:rPr>
          <w:sz w:val="24"/>
        </w:rPr>
        <w:t>1</w:t>
      </w:r>
      <w:r w:rsidRPr="002B55E9">
        <w:rPr>
          <w:sz w:val="24"/>
        </w:rPr>
        <w:t>）松散岩类孔隙承压水及含水岩组特征</w:t>
      </w:r>
    </w:p>
    <w:p w14:paraId="0050D172" w14:textId="77777777" w:rsidR="00D170E5" w:rsidRPr="002B55E9" w:rsidRDefault="00EF27AD">
      <w:pPr>
        <w:spacing w:line="360" w:lineRule="auto"/>
        <w:ind w:firstLineChars="200" w:firstLine="480"/>
        <w:rPr>
          <w:sz w:val="24"/>
        </w:rPr>
      </w:pPr>
      <w:r w:rsidRPr="002B55E9">
        <w:rPr>
          <w:sz w:val="24"/>
        </w:rPr>
        <w:t>本项目地处长江三级阶地，含水岩组由冲积的粉砂、细砂、含砾中粗砂组成。含水岩组总厚度</w:t>
      </w:r>
      <w:r w:rsidRPr="002B55E9">
        <w:rPr>
          <w:sz w:val="24"/>
        </w:rPr>
        <w:t>7.72~29.8m</w:t>
      </w:r>
      <w:r w:rsidRPr="002B55E9">
        <w:rPr>
          <w:sz w:val="24"/>
        </w:rPr>
        <w:t>，上覆为相对隔水的淤泥质亚粘土、粘土等，厚</w:t>
      </w:r>
      <w:r w:rsidRPr="002B55E9">
        <w:rPr>
          <w:sz w:val="24"/>
        </w:rPr>
        <w:t>6.75~18.2m</w:t>
      </w:r>
      <w:r w:rsidRPr="002B55E9">
        <w:rPr>
          <w:sz w:val="24"/>
        </w:rPr>
        <w:t>。地下水具承压性，承压水头冬季距地表</w:t>
      </w:r>
      <w:r w:rsidRPr="002B55E9">
        <w:rPr>
          <w:sz w:val="24"/>
        </w:rPr>
        <w:t>2.61m</w:t>
      </w:r>
      <w:r w:rsidRPr="002B55E9">
        <w:rPr>
          <w:sz w:val="24"/>
        </w:rPr>
        <w:t>，夏季丰水期高出地表</w:t>
      </w:r>
      <w:r w:rsidRPr="002B55E9">
        <w:rPr>
          <w:sz w:val="24"/>
        </w:rPr>
        <w:t>0.07m</w:t>
      </w:r>
      <w:r w:rsidRPr="002B55E9">
        <w:rPr>
          <w:sz w:val="24"/>
        </w:rPr>
        <w:t>。单井用水量</w:t>
      </w:r>
      <w:r w:rsidRPr="002B55E9">
        <w:rPr>
          <w:sz w:val="24"/>
        </w:rPr>
        <w:t>207.01~1651.0m</w:t>
      </w:r>
      <w:r w:rsidRPr="002B55E9">
        <w:rPr>
          <w:sz w:val="24"/>
          <w:vertAlign w:val="superscript"/>
        </w:rPr>
        <w:t>2</w:t>
      </w:r>
      <w:r w:rsidRPr="002B55E9">
        <w:rPr>
          <w:sz w:val="24"/>
        </w:rPr>
        <w:t>/d</w:t>
      </w:r>
      <w:r w:rsidRPr="002B55E9">
        <w:rPr>
          <w:sz w:val="24"/>
        </w:rPr>
        <w:t>，为中等富水</w:t>
      </w:r>
      <w:r w:rsidRPr="002B55E9">
        <w:rPr>
          <w:sz w:val="24"/>
        </w:rPr>
        <w:t>—</w:t>
      </w:r>
      <w:r w:rsidRPr="002B55E9">
        <w:rPr>
          <w:sz w:val="24"/>
        </w:rPr>
        <w:t>富水。其中富水地段主要分布在阶地中、前缘。地下水化学类型属重碳酸钙或重碳酸钙、镁型；矿化度小于</w:t>
      </w:r>
      <w:r w:rsidRPr="002B55E9">
        <w:rPr>
          <w:sz w:val="24"/>
        </w:rPr>
        <w:t>0.8g/l</w:t>
      </w:r>
      <w:r w:rsidRPr="002B55E9">
        <w:rPr>
          <w:sz w:val="24"/>
        </w:rPr>
        <w:t>，</w:t>
      </w:r>
      <w:r w:rsidRPr="002B55E9">
        <w:rPr>
          <w:sz w:val="24"/>
        </w:rPr>
        <w:t>pH</w:t>
      </w:r>
      <w:r w:rsidRPr="002B55E9">
        <w:rPr>
          <w:sz w:val="24"/>
        </w:rPr>
        <w:t>为</w:t>
      </w:r>
      <w:r w:rsidRPr="002B55E9">
        <w:rPr>
          <w:sz w:val="24"/>
        </w:rPr>
        <w:t>6.8~8.8</w:t>
      </w:r>
      <w:r w:rsidRPr="002B55E9">
        <w:rPr>
          <w:sz w:val="24"/>
        </w:rPr>
        <w:t>，总硬度</w:t>
      </w:r>
      <w:r w:rsidRPr="002B55E9">
        <w:rPr>
          <w:sz w:val="24"/>
        </w:rPr>
        <w:t>262.06~740.52mg/l</w:t>
      </w:r>
      <w:r w:rsidRPr="002B55E9">
        <w:rPr>
          <w:sz w:val="24"/>
        </w:rPr>
        <w:t>，属低矿化暂时硬</w:t>
      </w:r>
      <w:r w:rsidRPr="002B55E9">
        <w:rPr>
          <w:sz w:val="24"/>
        </w:rPr>
        <w:t>—</w:t>
      </w:r>
      <w:r w:rsidRPr="002B55E9">
        <w:rPr>
          <w:sz w:val="24"/>
        </w:rPr>
        <w:t>极硬水，水中铁、锰含量均超出饮用水标准。</w:t>
      </w:r>
    </w:p>
    <w:p w14:paraId="377FC480" w14:textId="77777777" w:rsidR="00D170E5" w:rsidRPr="002B55E9" w:rsidRDefault="00EF27AD">
      <w:pPr>
        <w:spacing w:line="360" w:lineRule="auto"/>
        <w:ind w:firstLineChars="200" w:firstLine="480"/>
        <w:rPr>
          <w:sz w:val="24"/>
        </w:rPr>
      </w:pPr>
      <w:r w:rsidRPr="002B55E9">
        <w:rPr>
          <w:sz w:val="24"/>
        </w:rPr>
        <w:t>（</w:t>
      </w:r>
      <w:r w:rsidRPr="002B55E9">
        <w:rPr>
          <w:sz w:val="24"/>
        </w:rPr>
        <w:t>2</w:t>
      </w:r>
      <w:r w:rsidRPr="002B55E9">
        <w:rPr>
          <w:sz w:val="24"/>
        </w:rPr>
        <w:t>）碎屑岩类裂隙水及含水岩组特征</w:t>
      </w:r>
    </w:p>
    <w:p w14:paraId="3BA24449" w14:textId="77777777" w:rsidR="00D170E5" w:rsidRPr="002B55E9" w:rsidRDefault="00EF27AD">
      <w:pPr>
        <w:spacing w:line="360" w:lineRule="auto"/>
        <w:ind w:firstLineChars="200" w:firstLine="480"/>
        <w:rPr>
          <w:sz w:val="24"/>
        </w:rPr>
      </w:pPr>
      <w:r w:rsidRPr="002B55E9">
        <w:rPr>
          <w:sz w:val="24"/>
        </w:rPr>
        <w:t>主要分布于残丘地带。含水岩组主要由泥盆系五通组石英砂岩及二叠系孤峰组硅质岩组</w:t>
      </w:r>
      <w:r w:rsidRPr="002B55E9">
        <w:rPr>
          <w:sz w:val="24"/>
        </w:rPr>
        <w:lastRenderedPageBreak/>
        <w:t>成。富水性受控于岩石裂隙发育程度，分布不均一，单井用水量</w:t>
      </w:r>
      <w:r w:rsidRPr="002B55E9">
        <w:rPr>
          <w:sz w:val="24"/>
        </w:rPr>
        <w:t>10~100m</w:t>
      </w:r>
      <w:r w:rsidRPr="002B55E9">
        <w:rPr>
          <w:sz w:val="24"/>
          <w:vertAlign w:val="superscript"/>
        </w:rPr>
        <w:t>3</w:t>
      </w:r>
      <w:r w:rsidRPr="002B55E9">
        <w:rPr>
          <w:sz w:val="24"/>
        </w:rPr>
        <w:t>/d</w:t>
      </w:r>
      <w:r w:rsidRPr="002B55E9">
        <w:rPr>
          <w:sz w:val="24"/>
        </w:rPr>
        <w:t>，为弱富水。水化学类型为重碳酸钙、重碳酸钙钠型，矿化度、总硬度较低，属低矿化暂时软</w:t>
      </w:r>
      <w:r w:rsidRPr="002B55E9">
        <w:rPr>
          <w:sz w:val="24"/>
        </w:rPr>
        <w:t>—</w:t>
      </w:r>
      <w:r w:rsidRPr="002B55E9">
        <w:rPr>
          <w:sz w:val="24"/>
        </w:rPr>
        <w:t>微硬水。</w:t>
      </w:r>
    </w:p>
    <w:p w14:paraId="5B2267F4" w14:textId="77777777" w:rsidR="00D170E5" w:rsidRPr="002B55E9" w:rsidRDefault="00EF27AD">
      <w:pPr>
        <w:spacing w:line="360" w:lineRule="auto"/>
        <w:ind w:firstLineChars="200" w:firstLine="480"/>
        <w:rPr>
          <w:sz w:val="24"/>
        </w:rPr>
      </w:pPr>
      <w:r w:rsidRPr="002B55E9">
        <w:rPr>
          <w:sz w:val="24"/>
        </w:rPr>
        <w:t>（</w:t>
      </w:r>
      <w:r w:rsidRPr="002B55E9">
        <w:rPr>
          <w:sz w:val="24"/>
        </w:rPr>
        <w:t>3</w:t>
      </w:r>
      <w:r w:rsidRPr="002B55E9">
        <w:rPr>
          <w:sz w:val="24"/>
        </w:rPr>
        <w:t>）碳酸盐岩裂隙岩溶水及含水岩组特征</w:t>
      </w:r>
    </w:p>
    <w:p w14:paraId="51FAE7C3" w14:textId="77777777" w:rsidR="00D170E5" w:rsidRPr="002B55E9" w:rsidRDefault="00EF27AD">
      <w:pPr>
        <w:spacing w:line="360" w:lineRule="auto"/>
        <w:ind w:firstLineChars="200" w:firstLine="480"/>
        <w:rPr>
          <w:sz w:val="24"/>
        </w:rPr>
      </w:pPr>
      <w:r w:rsidRPr="002B55E9">
        <w:rPr>
          <w:sz w:val="24"/>
        </w:rPr>
        <w:t>分布于丘间谷地的向斜地带。含水岩组由石炭系、二叠系灰岩及含炭质灰岩组成，一般含水岩组上覆有较厚的中更新统粘土。</w:t>
      </w:r>
    </w:p>
    <w:p w14:paraId="219A01CD" w14:textId="77777777" w:rsidR="00D170E5" w:rsidRPr="002B55E9" w:rsidRDefault="00EF27AD">
      <w:pPr>
        <w:spacing w:line="360" w:lineRule="auto"/>
        <w:ind w:firstLineChars="200" w:firstLine="480"/>
        <w:rPr>
          <w:sz w:val="24"/>
        </w:rPr>
      </w:pPr>
      <w:r w:rsidRPr="002B55E9">
        <w:rPr>
          <w:sz w:val="24"/>
        </w:rPr>
        <w:t>岩溶发育具不均一性；二叠系栖霞组平均岩溶率</w:t>
      </w:r>
      <w:r w:rsidRPr="002B55E9">
        <w:rPr>
          <w:sz w:val="24"/>
        </w:rPr>
        <w:t>10.1%</w:t>
      </w:r>
      <w:r w:rsidRPr="002B55E9">
        <w:rPr>
          <w:sz w:val="24"/>
        </w:rPr>
        <w:t>；石炭系黄龙</w:t>
      </w:r>
      <w:r w:rsidRPr="002B55E9">
        <w:rPr>
          <w:sz w:val="24"/>
        </w:rPr>
        <w:t>—</w:t>
      </w:r>
      <w:r w:rsidRPr="002B55E9">
        <w:rPr>
          <w:sz w:val="24"/>
        </w:rPr>
        <w:t>船山组平均岩溶率</w:t>
      </w:r>
      <w:r w:rsidRPr="002B55E9">
        <w:rPr>
          <w:sz w:val="24"/>
        </w:rPr>
        <w:t>7.8%</w:t>
      </w:r>
      <w:r w:rsidRPr="002B55E9">
        <w:rPr>
          <w:sz w:val="24"/>
        </w:rPr>
        <w:t>。溶洞一般高</w:t>
      </w:r>
      <w:r w:rsidRPr="002B55E9">
        <w:rPr>
          <w:sz w:val="24"/>
        </w:rPr>
        <w:t>1.5~8m</w:t>
      </w:r>
      <w:r w:rsidRPr="002B55E9">
        <w:rPr>
          <w:sz w:val="24"/>
        </w:rPr>
        <w:t>，溶隙一般宽</w:t>
      </w:r>
      <w:r w:rsidRPr="002B55E9">
        <w:rPr>
          <w:sz w:val="24"/>
        </w:rPr>
        <w:t>0.001~0.002m</w:t>
      </w:r>
      <w:r w:rsidRPr="002B55E9">
        <w:rPr>
          <w:sz w:val="24"/>
        </w:rPr>
        <w:t>，溶孔直径一般</w:t>
      </w:r>
      <w:r w:rsidRPr="002B55E9">
        <w:rPr>
          <w:sz w:val="24"/>
        </w:rPr>
        <w:t>0.003~0.02m</w:t>
      </w:r>
      <w:r w:rsidRPr="002B55E9">
        <w:rPr>
          <w:sz w:val="24"/>
        </w:rPr>
        <w:t>。岩溶地质现象具多期性，至少有可分出三期活动迹象。随深度的增加，溶洞规模相应增大。本区岩溶水多数浑浊度较大。</w:t>
      </w:r>
    </w:p>
    <w:p w14:paraId="2C43E6C5" w14:textId="77777777" w:rsidR="00D170E5" w:rsidRPr="002B55E9" w:rsidRDefault="00EF27AD">
      <w:pPr>
        <w:spacing w:line="360" w:lineRule="auto"/>
        <w:ind w:firstLineChars="200" w:firstLine="480"/>
        <w:rPr>
          <w:sz w:val="24"/>
        </w:rPr>
      </w:pPr>
      <w:r w:rsidRPr="002B55E9">
        <w:rPr>
          <w:sz w:val="24"/>
        </w:rPr>
        <w:t>由于受构造断裂及岩溶发育程度制约，富水性极不均一，花山地区裂隙岩溶水一般在</w:t>
      </w:r>
      <w:r w:rsidRPr="002B55E9">
        <w:rPr>
          <w:sz w:val="24"/>
        </w:rPr>
        <w:t>200.45~809.9m</w:t>
      </w:r>
      <w:r w:rsidRPr="002B55E9">
        <w:rPr>
          <w:sz w:val="24"/>
          <w:vertAlign w:val="superscript"/>
        </w:rPr>
        <w:t>3</w:t>
      </w:r>
      <w:r w:rsidRPr="002B55E9">
        <w:rPr>
          <w:sz w:val="24"/>
        </w:rPr>
        <w:t>/d</w:t>
      </w:r>
      <w:r w:rsidRPr="002B55E9">
        <w:rPr>
          <w:sz w:val="24"/>
        </w:rPr>
        <w:t>，为弱</w:t>
      </w:r>
      <w:r w:rsidRPr="002B55E9">
        <w:rPr>
          <w:sz w:val="24"/>
        </w:rPr>
        <w:t>—</w:t>
      </w:r>
      <w:r w:rsidRPr="002B55E9">
        <w:rPr>
          <w:sz w:val="24"/>
        </w:rPr>
        <w:t>中等富水。水化学类型为重碳酸钙型，</w:t>
      </w:r>
      <w:r w:rsidRPr="002B55E9">
        <w:rPr>
          <w:sz w:val="24"/>
        </w:rPr>
        <w:t>pH</w:t>
      </w:r>
      <w:r w:rsidRPr="002B55E9">
        <w:rPr>
          <w:sz w:val="24"/>
        </w:rPr>
        <w:t>值</w:t>
      </w:r>
      <w:r w:rsidRPr="002B55E9">
        <w:rPr>
          <w:sz w:val="24"/>
        </w:rPr>
        <w:t>7.1~7.9</w:t>
      </w:r>
      <w:r w:rsidRPr="002B55E9">
        <w:rPr>
          <w:sz w:val="24"/>
        </w:rPr>
        <w:t>，矿化度</w:t>
      </w:r>
      <w:r w:rsidRPr="002B55E9">
        <w:rPr>
          <w:sz w:val="24"/>
        </w:rPr>
        <w:t>0.238~0.588g/l</w:t>
      </w:r>
      <w:r w:rsidRPr="002B55E9">
        <w:rPr>
          <w:sz w:val="24"/>
        </w:rPr>
        <w:t>，总硬度</w:t>
      </w:r>
      <w:r w:rsidRPr="002B55E9">
        <w:rPr>
          <w:sz w:val="24"/>
        </w:rPr>
        <w:t>199.96~376.80mg/l</w:t>
      </w:r>
      <w:r w:rsidRPr="002B55E9">
        <w:rPr>
          <w:sz w:val="24"/>
        </w:rPr>
        <w:t>，属低矿化、中性、暂时微硬</w:t>
      </w:r>
      <w:r w:rsidRPr="002B55E9">
        <w:rPr>
          <w:sz w:val="24"/>
        </w:rPr>
        <w:t>—</w:t>
      </w:r>
      <w:r w:rsidRPr="002B55E9">
        <w:rPr>
          <w:sz w:val="24"/>
        </w:rPr>
        <w:t>硬水。</w:t>
      </w:r>
    </w:p>
    <w:p w14:paraId="43F8F07A" w14:textId="77777777" w:rsidR="00D170E5" w:rsidRPr="002B55E9" w:rsidRDefault="00EF27AD">
      <w:pPr>
        <w:spacing w:line="360" w:lineRule="auto"/>
        <w:ind w:firstLineChars="200" w:firstLine="480"/>
        <w:rPr>
          <w:sz w:val="24"/>
        </w:rPr>
      </w:pPr>
      <w:r w:rsidRPr="002B55E9">
        <w:rPr>
          <w:sz w:val="24"/>
        </w:rPr>
        <w:t>（</w:t>
      </w:r>
      <w:r w:rsidRPr="002B55E9">
        <w:rPr>
          <w:sz w:val="24"/>
        </w:rPr>
        <w:t>4</w:t>
      </w:r>
      <w:r w:rsidRPr="002B55E9">
        <w:rPr>
          <w:sz w:val="24"/>
        </w:rPr>
        <w:t>）非含水岩组</w:t>
      </w:r>
    </w:p>
    <w:p w14:paraId="402E5B27" w14:textId="77777777" w:rsidR="00D170E5" w:rsidRPr="002B55E9" w:rsidRDefault="00EF27AD">
      <w:pPr>
        <w:pStyle w:val="aa"/>
      </w:pPr>
      <w:r w:rsidRPr="002B55E9">
        <w:t>由第四系更新统粘土、志留系粉细砂岩、页岩及石炭系页岩、粘土岩组成。中更新统粘土层后</w:t>
      </w:r>
      <w:r w:rsidRPr="002B55E9">
        <w:t>5.32~16.06m</w:t>
      </w:r>
      <w:r w:rsidRPr="002B55E9">
        <w:t>，分布广泛，透水性差，构成下伏含水岩组接受大气降水或地表水补给的相对隔水层。另外，残丘体坡积层，为含碎石红色粘土，透水性能较差，同样可视为相对隔水层。它们均是矿泉水水源地的天然防污层；志留系中统粉细砂、页岩，厚度大于</w:t>
      </w:r>
      <w:r w:rsidRPr="002B55E9">
        <w:t>117.9m</w:t>
      </w:r>
      <w:r w:rsidRPr="002B55E9">
        <w:t>，组份颗粒小，泥质含量高，裂隙不发育，且张开程度差，故一般均视为相对非含水岩组。</w:t>
      </w:r>
    </w:p>
    <w:p w14:paraId="4D6BB10C" w14:textId="77777777" w:rsidR="00D170E5" w:rsidRPr="002B55E9" w:rsidRDefault="00EF27AD">
      <w:pPr>
        <w:pStyle w:val="5"/>
      </w:pPr>
      <w:r w:rsidRPr="002B55E9">
        <w:rPr>
          <w:rFonts w:hint="eastAsia"/>
        </w:rPr>
        <w:t>地下水补径排条件</w:t>
      </w:r>
    </w:p>
    <w:p w14:paraId="3773F6F2" w14:textId="77777777" w:rsidR="00D170E5" w:rsidRPr="002B55E9" w:rsidRDefault="00EF27AD">
      <w:pPr>
        <w:pStyle w:val="aa"/>
      </w:pPr>
      <w:r w:rsidRPr="002B55E9">
        <w:rPr>
          <w:rFonts w:hint="eastAsia"/>
        </w:rPr>
        <w:t>场区</w:t>
      </w:r>
      <w:r w:rsidRPr="002B55E9">
        <w:t>地下水</w:t>
      </w:r>
      <w:r w:rsidRPr="002B55E9">
        <w:rPr>
          <w:rFonts w:hint="eastAsia"/>
        </w:rPr>
        <w:t>主要接受大气降水及人工排水的影响，地下水与地表水联系十分密切，补排交替较为频繁，地下水具承压性，承压水头冬季距地表</w:t>
      </w:r>
      <w:r w:rsidRPr="002B55E9">
        <w:rPr>
          <w:rFonts w:hint="eastAsia"/>
        </w:rPr>
        <w:t>2.61m</w:t>
      </w:r>
      <w:r w:rsidRPr="002B55E9">
        <w:rPr>
          <w:rFonts w:hint="eastAsia"/>
        </w:rPr>
        <w:t>，夏季丰水期高出地表</w:t>
      </w:r>
      <w:r w:rsidRPr="002B55E9">
        <w:rPr>
          <w:rFonts w:hint="eastAsia"/>
        </w:rPr>
        <w:t>0.07m</w:t>
      </w:r>
      <w:r w:rsidRPr="002B55E9">
        <w:rPr>
          <w:rFonts w:hint="eastAsia"/>
        </w:rPr>
        <w:t>，长江为场区地下水排泄基准面。</w:t>
      </w:r>
    </w:p>
    <w:p w14:paraId="76D576BB" w14:textId="77777777" w:rsidR="00D170E5" w:rsidRPr="002B55E9" w:rsidRDefault="00EF27AD">
      <w:pPr>
        <w:pStyle w:val="4"/>
        <w:rPr>
          <w:color w:val="auto"/>
        </w:rPr>
      </w:pPr>
      <w:r w:rsidRPr="002B55E9">
        <w:rPr>
          <w:rFonts w:hint="eastAsia"/>
          <w:color w:val="auto"/>
        </w:rPr>
        <w:t>项目所在区水文地质条件</w:t>
      </w:r>
    </w:p>
    <w:p w14:paraId="7638D572" w14:textId="77777777" w:rsidR="00D170E5" w:rsidRPr="002B55E9" w:rsidRDefault="00EF27AD">
      <w:pPr>
        <w:pStyle w:val="aa"/>
        <w:snapToGrid w:val="0"/>
        <w:rPr>
          <w:rFonts w:ascii="宋体" w:hAnsi="宋体"/>
        </w:rPr>
      </w:pPr>
      <w:r w:rsidRPr="002B55E9">
        <w:rPr>
          <w:rFonts w:ascii="宋体" w:hAnsi="宋体" w:hint="eastAsia"/>
        </w:rPr>
        <w:t>根据《海天</w:t>
      </w:r>
      <w:r w:rsidRPr="002B55E9">
        <w:rPr>
          <w:rFonts w:ascii="宋体" w:hAnsi="宋体"/>
        </w:rPr>
        <w:t>调味品建设项目（</w:t>
      </w:r>
      <w:r w:rsidRPr="002B55E9">
        <w:rPr>
          <w:rFonts w:ascii="宋体" w:hAnsi="宋体" w:hint="eastAsia"/>
        </w:rPr>
        <w:t>一期</w:t>
      </w:r>
      <w:r w:rsidRPr="002B55E9">
        <w:rPr>
          <w:rFonts w:ascii="宋体" w:hAnsi="宋体"/>
        </w:rPr>
        <w:t>）</w:t>
      </w:r>
      <w:r w:rsidRPr="002B55E9">
        <w:rPr>
          <w:rFonts w:ascii="宋体" w:hAnsi="宋体" w:hint="eastAsia"/>
        </w:rPr>
        <w:t>岩土</w:t>
      </w:r>
      <w:r w:rsidRPr="002B55E9">
        <w:rPr>
          <w:rFonts w:ascii="宋体" w:hAnsi="宋体"/>
        </w:rPr>
        <w:t>工程勘察报告</w:t>
      </w:r>
      <w:r w:rsidRPr="002B55E9">
        <w:rPr>
          <w:rFonts w:ascii="宋体" w:hAnsi="宋体" w:hint="eastAsia"/>
        </w:rPr>
        <w:t>》（中南</w:t>
      </w:r>
      <w:r w:rsidRPr="002B55E9">
        <w:rPr>
          <w:rFonts w:ascii="宋体" w:hAnsi="宋体"/>
        </w:rPr>
        <w:t>勘察基础工程有限公司</w:t>
      </w:r>
      <w:r w:rsidRPr="002B55E9">
        <w:rPr>
          <w:rFonts w:ascii="宋体" w:hAnsi="宋体" w:hint="eastAsia"/>
        </w:rPr>
        <w:t>），拟建工程场地岩土层自上而下主要由</w:t>
      </w:r>
      <w:r w:rsidRPr="002B55E9">
        <w:rPr>
          <w:rFonts w:hint="eastAsia"/>
        </w:rPr>
        <w:t>5</w:t>
      </w:r>
      <w:r w:rsidRPr="002B55E9">
        <w:rPr>
          <w:rFonts w:ascii="宋体" w:hAnsi="宋体" w:hint="eastAsia"/>
        </w:rPr>
        <w:t>个单元层组成，根据各岩土层力学性质上的差异，可将场区地基岩土进一步细划为若干亚层。具体的分布埋藏条件、野外鉴别特征列于下表：</w:t>
      </w:r>
    </w:p>
    <w:p w14:paraId="7D617DCE" w14:textId="77777777" w:rsidR="00D170E5" w:rsidRPr="002B55E9" w:rsidRDefault="00EF27AD">
      <w:pPr>
        <w:pStyle w:val="afffffffffffff3"/>
        <w:ind w:firstLineChars="0" w:firstLine="0"/>
        <w:rPr>
          <w:rFonts w:eastAsia="黑体"/>
          <w:sz w:val="24"/>
        </w:rPr>
      </w:pPr>
      <w:r w:rsidRPr="002B55E9">
        <w:rPr>
          <w:rFonts w:eastAsia="黑体" w:hint="eastAsia"/>
          <w:sz w:val="24"/>
        </w:rPr>
        <w:t>表</w:t>
      </w:r>
      <w:r w:rsidRPr="002B55E9">
        <w:rPr>
          <w:rFonts w:eastAsia="黑体" w:hint="eastAsia"/>
          <w:sz w:val="24"/>
        </w:rPr>
        <w:t>5</w:t>
      </w:r>
      <w:r w:rsidRPr="002B55E9">
        <w:rPr>
          <w:rFonts w:eastAsia="黑体"/>
          <w:sz w:val="24"/>
        </w:rPr>
        <w:t xml:space="preserve">-6-3  </w:t>
      </w:r>
      <w:r w:rsidRPr="002B55E9">
        <w:rPr>
          <w:rFonts w:eastAsia="黑体" w:hint="eastAsia"/>
          <w:sz w:val="24"/>
        </w:rPr>
        <w:t>场地地层分层描述表</w:t>
      </w:r>
    </w:p>
    <w:tbl>
      <w:tblPr>
        <w:tblStyle w:val="lgy2"/>
        <w:tblW w:w="5000" w:type="pct"/>
        <w:tblLayout w:type="fixed"/>
        <w:tblCellMar>
          <w:left w:w="28" w:type="dxa"/>
          <w:right w:w="28" w:type="dxa"/>
        </w:tblCellMar>
        <w:tblLook w:val="04A0" w:firstRow="1" w:lastRow="0" w:firstColumn="1" w:lastColumn="0" w:noHBand="0" w:noVBand="1"/>
      </w:tblPr>
      <w:tblGrid>
        <w:gridCol w:w="713"/>
        <w:gridCol w:w="911"/>
        <w:gridCol w:w="924"/>
        <w:gridCol w:w="993"/>
        <w:gridCol w:w="894"/>
        <w:gridCol w:w="654"/>
        <w:gridCol w:w="458"/>
        <w:gridCol w:w="847"/>
        <w:gridCol w:w="686"/>
        <w:gridCol w:w="2613"/>
      </w:tblGrid>
      <w:tr w:rsidR="002B55E9" w:rsidRPr="002B55E9" w14:paraId="0A19AE48"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709" w:type="dxa"/>
          </w:tcPr>
          <w:p w14:paraId="202450BB" w14:textId="77777777" w:rsidR="00D170E5" w:rsidRPr="002B55E9" w:rsidRDefault="00EF27AD">
            <w:pPr>
              <w:pStyle w:val="lgy-"/>
            </w:pPr>
            <w:r w:rsidRPr="002B55E9">
              <w:rPr>
                <w:rFonts w:eastAsia="宋体"/>
              </w:rPr>
              <w:t>地层编号</w:t>
            </w:r>
          </w:p>
        </w:tc>
        <w:tc>
          <w:tcPr>
            <w:tcW w:w="906" w:type="dxa"/>
          </w:tcPr>
          <w:p w14:paraId="2C39EA61" w14:textId="77777777" w:rsidR="00D170E5" w:rsidRPr="002B55E9" w:rsidRDefault="00EF27AD">
            <w:pPr>
              <w:pStyle w:val="lgy-"/>
            </w:pPr>
            <w:r w:rsidRPr="002B55E9">
              <w:rPr>
                <w:rFonts w:eastAsia="宋体"/>
              </w:rPr>
              <w:t>岩土名称</w:t>
            </w:r>
          </w:p>
        </w:tc>
        <w:tc>
          <w:tcPr>
            <w:tcW w:w="919" w:type="dxa"/>
          </w:tcPr>
          <w:p w14:paraId="44E159EA" w14:textId="77777777" w:rsidR="00D170E5" w:rsidRPr="002B55E9" w:rsidRDefault="00EF27AD">
            <w:pPr>
              <w:pStyle w:val="lgy-"/>
            </w:pPr>
            <w:r w:rsidRPr="002B55E9">
              <w:rPr>
                <w:rFonts w:eastAsia="宋体"/>
              </w:rPr>
              <w:t>年代成因</w:t>
            </w:r>
          </w:p>
        </w:tc>
        <w:tc>
          <w:tcPr>
            <w:tcW w:w="987" w:type="dxa"/>
          </w:tcPr>
          <w:p w14:paraId="14433536" w14:textId="77777777" w:rsidR="00D170E5" w:rsidRPr="002B55E9" w:rsidRDefault="00EF27AD">
            <w:pPr>
              <w:pStyle w:val="lgy-"/>
              <w:rPr>
                <w:rFonts w:eastAsia="宋体"/>
              </w:rPr>
            </w:pPr>
            <w:r w:rsidRPr="002B55E9">
              <w:rPr>
                <w:rFonts w:eastAsia="宋体"/>
              </w:rPr>
              <w:t>层顶埋深</w:t>
            </w:r>
          </w:p>
          <w:p w14:paraId="715D0BDE" w14:textId="77777777" w:rsidR="00D170E5" w:rsidRPr="002B55E9" w:rsidRDefault="00EF27AD">
            <w:pPr>
              <w:pStyle w:val="lgy-"/>
            </w:pPr>
            <w:r w:rsidRPr="002B55E9">
              <w:rPr>
                <w:rFonts w:eastAsia="宋体"/>
              </w:rPr>
              <w:t>(m)</w:t>
            </w:r>
          </w:p>
        </w:tc>
        <w:tc>
          <w:tcPr>
            <w:tcW w:w="889" w:type="dxa"/>
          </w:tcPr>
          <w:p w14:paraId="199D26C8" w14:textId="77777777" w:rsidR="00D170E5" w:rsidRPr="002B55E9" w:rsidRDefault="00EF27AD">
            <w:pPr>
              <w:pStyle w:val="lgy-"/>
              <w:rPr>
                <w:rFonts w:eastAsia="宋体"/>
              </w:rPr>
            </w:pPr>
            <w:r w:rsidRPr="002B55E9">
              <w:rPr>
                <w:rFonts w:eastAsia="宋体"/>
              </w:rPr>
              <w:t>层厚</w:t>
            </w:r>
          </w:p>
          <w:p w14:paraId="3CE5861F" w14:textId="77777777" w:rsidR="00D170E5" w:rsidRPr="002B55E9" w:rsidRDefault="00EF27AD">
            <w:pPr>
              <w:pStyle w:val="lgy-"/>
            </w:pPr>
            <w:r w:rsidRPr="002B55E9">
              <w:rPr>
                <w:rFonts w:eastAsia="宋体"/>
              </w:rPr>
              <w:t>(m)</w:t>
            </w:r>
          </w:p>
        </w:tc>
        <w:tc>
          <w:tcPr>
            <w:tcW w:w="650" w:type="dxa"/>
          </w:tcPr>
          <w:p w14:paraId="4C572755" w14:textId="77777777" w:rsidR="00D170E5" w:rsidRPr="002B55E9" w:rsidRDefault="00EF27AD">
            <w:pPr>
              <w:pStyle w:val="lgy-"/>
              <w:rPr>
                <w:b/>
              </w:rPr>
            </w:pPr>
            <w:r w:rsidRPr="002B55E9">
              <w:rPr>
                <w:rFonts w:eastAsia="宋体"/>
              </w:rPr>
              <w:t>颜色</w:t>
            </w:r>
          </w:p>
        </w:tc>
        <w:tc>
          <w:tcPr>
            <w:tcW w:w="455" w:type="dxa"/>
          </w:tcPr>
          <w:p w14:paraId="468CBA13" w14:textId="77777777" w:rsidR="00D170E5" w:rsidRPr="002B55E9" w:rsidRDefault="00EF27AD">
            <w:pPr>
              <w:pStyle w:val="lgy-"/>
            </w:pPr>
            <w:r w:rsidRPr="002B55E9">
              <w:rPr>
                <w:rFonts w:eastAsia="宋体"/>
              </w:rPr>
              <w:t>湿度</w:t>
            </w:r>
          </w:p>
        </w:tc>
        <w:tc>
          <w:tcPr>
            <w:tcW w:w="842" w:type="dxa"/>
          </w:tcPr>
          <w:p w14:paraId="1FCB4EB6" w14:textId="77777777" w:rsidR="00D170E5" w:rsidRPr="002B55E9" w:rsidRDefault="00EF27AD">
            <w:pPr>
              <w:pStyle w:val="lgy-"/>
            </w:pPr>
            <w:r w:rsidRPr="002B55E9">
              <w:rPr>
                <w:rFonts w:eastAsia="宋体"/>
              </w:rPr>
              <w:t>状态</w:t>
            </w:r>
          </w:p>
        </w:tc>
        <w:tc>
          <w:tcPr>
            <w:tcW w:w="682" w:type="dxa"/>
          </w:tcPr>
          <w:p w14:paraId="55974D7E" w14:textId="77777777" w:rsidR="00D170E5" w:rsidRPr="002B55E9" w:rsidRDefault="00EF27AD">
            <w:pPr>
              <w:pStyle w:val="lgy-"/>
            </w:pPr>
            <w:r w:rsidRPr="002B55E9">
              <w:rPr>
                <w:rFonts w:eastAsia="宋体"/>
              </w:rPr>
              <w:t>压缩性</w:t>
            </w:r>
          </w:p>
        </w:tc>
        <w:tc>
          <w:tcPr>
            <w:tcW w:w="2598" w:type="dxa"/>
          </w:tcPr>
          <w:p w14:paraId="2884CF83" w14:textId="77777777" w:rsidR="00D170E5" w:rsidRPr="002B55E9" w:rsidRDefault="00EF27AD">
            <w:pPr>
              <w:pStyle w:val="lgy-"/>
              <w:rPr>
                <w:rFonts w:eastAsia="宋体"/>
              </w:rPr>
            </w:pPr>
            <w:r w:rsidRPr="002B55E9">
              <w:rPr>
                <w:rFonts w:eastAsia="宋体"/>
              </w:rPr>
              <w:t>包含物及特征</w:t>
            </w:r>
          </w:p>
        </w:tc>
      </w:tr>
      <w:tr w:rsidR="002B55E9" w:rsidRPr="002B55E9" w14:paraId="6F190B0B" w14:textId="77777777" w:rsidTr="00EF27AD">
        <w:trPr>
          <w:trHeight w:val="283"/>
        </w:trPr>
        <w:tc>
          <w:tcPr>
            <w:tcW w:w="709" w:type="dxa"/>
          </w:tcPr>
          <w:p w14:paraId="163FC3E5" w14:textId="77777777" w:rsidR="00D170E5" w:rsidRPr="002B55E9" w:rsidRDefault="00EF27AD">
            <w:pPr>
              <w:pStyle w:val="lgy-"/>
            </w:pPr>
            <w:r w:rsidRPr="002B55E9">
              <w:rPr>
                <w:rFonts w:eastAsia="宋体"/>
              </w:rPr>
              <w:t>1</w:t>
            </w:r>
          </w:p>
        </w:tc>
        <w:tc>
          <w:tcPr>
            <w:tcW w:w="906" w:type="dxa"/>
          </w:tcPr>
          <w:p w14:paraId="274AE376" w14:textId="77777777" w:rsidR="00D170E5" w:rsidRPr="002B55E9" w:rsidRDefault="00EF27AD" w:rsidP="00EF27AD">
            <w:pPr>
              <w:pStyle w:val="lgy-"/>
            </w:pPr>
            <w:r w:rsidRPr="002B55E9">
              <w:rPr>
                <w:rFonts w:eastAsia="宋体"/>
              </w:rPr>
              <w:t>素填土</w:t>
            </w:r>
          </w:p>
        </w:tc>
        <w:tc>
          <w:tcPr>
            <w:tcW w:w="919" w:type="dxa"/>
          </w:tcPr>
          <w:p w14:paraId="7F04F357" w14:textId="77777777" w:rsidR="00D170E5" w:rsidRPr="002B55E9" w:rsidRDefault="00EF27AD">
            <w:pPr>
              <w:pStyle w:val="lgy-"/>
            </w:pPr>
            <w:r w:rsidRPr="002B55E9">
              <w:rPr>
                <w:rFonts w:eastAsia="宋体"/>
              </w:rPr>
              <w:t>Q</w:t>
            </w:r>
            <w:r w:rsidRPr="002B55E9">
              <w:rPr>
                <w:rFonts w:eastAsia="宋体"/>
                <w:vertAlign w:val="superscript"/>
              </w:rPr>
              <w:t>ml</w:t>
            </w:r>
          </w:p>
        </w:tc>
        <w:tc>
          <w:tcPr>
            <w:tcW w:w="987" w:type="dxa"/>
          </w:tcPr>
          <w:p w14:paraId="7BF849C3" w14:textId="77777777" w:rsidR="00D170E5" w:rsidRPr="002B55E9" w:rsidRDefault="00EF27AD">
            <w:pPr>
              <w:pStyle w:val="lgy-"/>
            </w:pPr>
            <w:r w:rsidRPr="002B55E9">
              <w:rPr>
                <w:rFonts w:eastAsia="宋体"/>
              </w:rPr>
              <w:t>0</w:t>
            </w:r>
          </w:p>
        </w:tc>
        <w:tc>
          <w:tcPr>
            <w:tcW w:w="889" w:type="dxa"/>
          </w:tcPr>
          <w:p w14:paraId="7F32B319" w14:textId="77777777" w:rsidR="00D170E5" w:rsidRPr="002B55E9" w:rsidRDefault="00EF27AD">
            <w:pPr>
              <w:pStyle w:val="lgy-"/>
            </w:pPr>
            <w:r w:rsidRPr="002B55E9">
              <w:rPr>
                <w:rFonts w:eastAsia="宋体"/>
              </w:rPr>
              <w:t>0.2</w:t>
            </w:r>
            <w:r w:rsidRPr="002B55E9">
              <w:rPr>
                <w:rFonts w:eastAsia="宋体"/>
              </w:rPr>
              <w:t>～</w:t>
            </w:r>
            <w:r w:rsidRPr="002B55E9">
              <w:rPr>
                <w:rFonts w:eastAsia="宋体"/>
              </w:rPr>
              <w:t>4.1</w:t>
            </w:r>
          </w:p>
        </w:tc>
        <w:tc>
          <w:tcPr>
            <w:tcW w:w="650" w:type="dxa"/>
          </w:tcPr>
          <w:p w14:paraId="570DD0A0" w14:textId="77777777" w:rsidR="00D170E5" w:rsidRPr="002B55E9" w:rsidRDefault="00EF27AD">
            <w:pPr>
              <w:pStyle w:val="lgy-"/>
            </w:pPr>
            <w:r w:rsidRPr="002B55E9">
              <w:rPr>
                <w:rFonts w:eastAsia="宋体" w:hint="eastAsia"/>
              </w:rPr>
              <w:t>褐黄</w:t>
            </w:r>
          </w:p>
        </w:tc>
        <w:tc>
          <w:tcPr>
            <w:tcW w:w="455" w:type="dxa"/>
          </w:tcPr>
          <w:p w14:paraId="48095E6B" w14:textId="77777777" w:rsidR="00D170E5" w:rsidRPr="002B55E9" w:rsidRDefault="00EF27AD">
            <w:pPr>
              <w:pStyle w:val="lgy-"/>
            </w:pPr>
            <w:r w:rsidRPr="002B55E9">
              <w:rPr>
                <w:rFonts w:eastAsia="宋体"/>
              </w:rPr>
              <w:t>湿</w:t>
            </w:r>
          </w:p>
        </w:tc>
        <w:tc>
          <w:tcPr>
            <w:tcW w:w="842" w:type="dxa"/>
          </w:tcPr>
          <w:p w14:paraId="2A7815F9" w14:textId="77777777" w:rsidR="00D170E5" w:rsidRPr="002B55E9" w:rsidRDefault="00EF27AD">
            <w:pPr>
              <w:pStyle w:val="lgy-"/>
            </w:pPr>
            <w:r w:rsidRPr="002B55E9">
              <w:rPr>
                <w:rFonts w:eastAsia="宋体"/>
              </w:rPr>
              <w:t>松散</w:t>
            </w:r>
          </w:p>
        </w:tc>
        <w:tc>
          <w:tcPr>
            <w:tcW w:w="682" w:type="dxa"/>
          </w:tcPr>
          <w:p w14:paraId="5BEFC8E6" w14:textId="77777777" w:rsidR="00D170E5" w:rsidRPr="002B55E9" w:rsidRDefault="00EF27AD">
            <w:pPr>
              <w:pStyle w:val="lgy-"/>
            </w:pPr>
            <w:r w:rsidRPr="002B55E9">
              <w:rPr>
                <w:rFonts w:eastAsia="宋体"/>
              </w:rPr>
              <w:t>高</w:t>
            </w:r>
          </w:p>
        </w:tc>
        <w:tc>
          <w:tcPr>
            <w:tcW w:w="2598" w:type="dxa"/>
          </w:tcPr>
          <w:p w14:paraId="18FAF86C" w14:textId="77777777" w:rsidR="00D170E5" w:rsidRPr="002B55E9" w:rsidRDefault="00EF27AD">
            <w:pPr>
              <w:pStyle w:val="lgy-"/>
              <w:rPr>
                <w:rFonts w:eastAsia="宋体"/>
              </w:rPr>
            </w:pPr>
            <w:r w:rsidRPr="002B55E9">
              <w:rPr>
                <w:rFonts w:eastAsia="宋体" w:hint="eastAsia"/>
              </w:rPr>
              <w:t>主要</w:t>
            </w:r>
            <w:r w:rsidRPr="002B55E9">
              <w:rPr>
                <w:rFonts w:eastAsia="宋体"/>
              </w:rPr>
              <w:t>成分为粘性土，</w:t>
            </w:r>
            <w:r w:rsidRPr="002B55E9">
              <w:rPr>
                <w:rFonts w:eastAsia="宋体" w:hint="eastAsia"/>
              </w:rPr>
              <w:t>含</w:t>
            </w:r>
            <w:r w:rsidRPr="002B55E9">
              <w:rPr>
                <w:rFonts w:eastAsia="宋体"/>
              </w:rPr>
              <w:t>少量</w:t>
            </w:r>
            <w:r w:rsidRPr="002B55E9">
              <w:rPr>
                <w:rFonts w:eastAsia="宋体" w:hint="eastAsia"/>
              </w:rPr>
              <w:t>植物</w:t>
            </w:r>
            <w:r w:rsidRPr="002B55E9">
              <w:rPr>
                <w:rFonts w:eastAsia="宋体"/>
              </w:rPr>
              <w:t>根系以及碎石。堆积</w:t>
            </w:r>
            <w:r w:rsidRPr="002B55E9">
              <w:rPr>
                <w:rFonts w:eastAsia="宋体" w:hint="eastAsia"/>
              </w:rPr>
              <w:t>时间</w:t>
            </w:r>
            <w:r w:rsidRPr="002B55E9">
              <w:rPr>
                <w:rFonts w:eastAsia="宋体"/>
              </w:rPr>
              <w:t>少于</w:t>
            </w:r>
            <w:r w:rsidRPr="002B55E9">
              <w:rPr>
                <w:rFonts w:eastAsia="宋体" w:hint="eastAsia"/>
              </w:rPr>
              <w:t>5</w:t>
            </w:r>
            <w:r w:rsidRPr="002B55E9">
              <w:rPr>
                <w:rFonts w:eastAsia="宋体" w:hint="eastAsia"/>
              </w:rPr>
              <w:lastRenderedPageBreak/>
              <w:t>年</w:t>
            </w:r>
            <w:r w:rsidRPr="002B55E9">
              <w:rPr>
                <w:rFonts w:eastAsia="宋体"/>
              </w:rPr>
              <w:t>，全</w:t>
            </w:r>
            <w:r w:rsidRPr="002B55E9">
              <w:rPr>
                <w:rFonts w:eastAsia="宋体" w:hint="eastAsia"/>
              </w:rPr>
              <w:t>场地</w:t>
            </w:r>
            <w:r w:rsidRPr="002B55E9">
              <w:rPr>
                <w:rFonts w:eastAsia="宋体"/>
              </w:rPr>
              <w:t>分布</w:t>
            </w:r>
          </w:p>
        </w:tc>
      </w:tr>
      <w:tr w:rsidR="002B55E9" w:rsidRPr="002B55E9" w14:paraId="095EED82" w14:textId="77777777" w:rsidTr="00EF27AD">
        <w:trPr>
          <w:trHeight w:val="283"/>
        </w:trPr>
        <w:tc>
          <w:tcPr>
            <w:tcW w:w="709" w:type="dxa"/>
          </w:tcPr>
          <w:p w14:paraId="2EC98D99" w14:textId="77777777" w:rsidR="00D170E5" w:rsidRPr="002B55E9" w:rsidRDefault="00EF27AD">
            <w:pPr>
              <w:pStyle w:val="lgy-"/>
            </w:pPr>
            <w:r w:rsidRPr="002B55E9">
              <w:rPr>
                <w:rFonts w:eastAsia="宋体"/>
              </w:rPr>
              <w:lastRenderedPageBreak/>
              <w:t>2</w:t>
            </w:r>
          </w:p>
        </w:tc>
        <w:tc>
          <w:tcPr>
            <w:tcW w:w="906" w:type="dxa"/>
          </w:tcPr>
          <w:p w14:paraId="0549EFF1" w14:textId="77777777" w:rsidR="00D170E5" w:rsidRPr="002B55E9" w:rsidRDefault="00EF27AD">
            <w:pPr>
              <w:pStyle w:val="lgy-"/>
            </w:pPr>
            <w:r w:rsidRPr="002B55E9">
              <w:rPr>
                <w:rFonts w:eastAsia="宋体"/>
              </w:rPr>
              <w:t>粉质黏土</w:t>
            </w:r>
          </w:p>
        </w:tc>
        <w:tc>
          <w:tcPr>
            <w:tcW w:w="919" w:type="dxa"/>
          </w:tcPr>
          <w:p w14:paraId="00869D5D"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w:t>
            </w:r>
          </w:p>
        </w:tc>
        <w:tc>
          <w:tcPr>
            <w:tcW w:w="987" w:type="dxa"/>
          </w:tcPr>
          <w:p w14:paraId="474F9DBA" w14:textId="77777777" w:rsidR="00D170E5" w:rsidRPr="002B55E9" w:rsidRDefault="00EF27AD">
            <w:pPr>
              <w:pStyle w:val="lgy-"/>
            </w:pPr>
            <w:r w:rsidRPr="002B55E9">
              <w:rPr>
                <w:rFonts w:eastAsia="宋体"/>
              </w:rPr>
              <w:t>0.2~2.7</w:t>
            </w:r>
          </w:p>
        </w:tc>
        <w:tc>
          <w:tcPr>
            <w:tcW w:w="889" w:type="dxa"/>
          </w:tcPr>
          <w:p w14:paraId="5462B11A" w14:textId="77777777" w:rsidR="00D170E5" w:rsidRPr="002B55E9" w:rsidRDefault="00EF27AD">
            <w:pPr>
              <w:pStyle w:val="lgy-"/>
            </w:pPr>
            <w:r w:rsidRPr="002B55E9">
              <w:rPr>
                <w:rFonts w:eastAsia="宋体"/>
              </w:rPr>
              <w:t>0.8~9.4</w:t>
            </w:r>
          </w:p>
        </w:tc>
        <w:tc>
          <w:tcPr>
            <w:tcW w:w="650" w:type="dxa"/>
          </w:tcPr>
          <w:p w14:paraId="69311127" w14:textId="77777777" w:rsidR="00D170E5" w:rsidRPr="002B55E9" w:rsidRDefault="00EF27AD">
            <w:pPr>
              <w:pStyle w:val="lgy-"/>
            </w:pPr>
            <w:r w:rsidRPr="002B55E9">
              <w:rPr>
                <w:rFonts w:eastAsia="宋体" w:hint="eastAsia"/>
              </w:rPr>
              <w:t>褐黄</w:t>
            </w:r>
          </w:p>
        </w:tc>
        <w:tc>
          <w:tcPr>
            <w:tcW w:w="455" w:type="dxa"/>
          </w:tcPr>
          <w:p w14:paraId="1A6BF5CA" w14:textId="77777777" w:rsidR="00D170E5" w:rsidRPr="002B55E9" w:rsidRDefault="00EF27AD">
            <w:pPr>
              <w:pStyle w:val="lgy-"/>
            </w:pPr>
            <w:r w:rsidRPr="002B55E9">
              <w:rPr>
                <w:rFonts w:eastAsia="宋体" w:hint="eastAsia"/>
              </w:rPr>
              <w:t>湿</w:t>
            </w:r>
          </w:p>
        </w:tc>
        <w:tc>
          <w:tcPr>
            <w:tcW w:w="842" w:type="dxa"/>
          </w:tcPr>
          <w:p w14:paraId="3AC0FA15" w14:textId="77777777" w:rsidR="00D170E5" w:rsidRPr="002B55E9" w:rsidRDefault="00EF27AD">
            <w:pPr>
              <w:pStyle w:val="lgy-"/>
            </w:pPr>
            <w:r w:rsidRPr="002B55E9">
              <w:rPr>
                <w:rFonts w:eastAsia="宋体"/>
              </w:rPr>
              <w:t>软塑</w:t>
            </w:r>
          </w:p>
        </w:tc>
        <w:tc>
          <w:tcPr>
            <w:tcW w:w="682" w:type="dxa"/>
          </w:tcPr>
          <w:p w14:paraId="1846DE35" w14:textId="77777777" w:rsidR="00D170E5" w:rsidRPr="002B55E9" w:rsidRDefault="00EF27AD">
            <w:pPr>
              <w:pStyle w:val="lgy-"/>
            </w:pPr>
            <w:r w:rsidRPr="002B55E9">
              <w:rPr>
                <w:rFonts w:eastAsia="宋体"/>
              </w:rPr>
              <w:t>高</w:t>
            </w:r>
          </w:p>
        </w:tc>
        <w:tc>
          <w:tcPr>
            <w:tcW w:w="2598" w:type="dxa"/>
          </w:tcPr>
          <w:p w14:paraId="71C76447" w14:textId="77777777" w:rsidR="00D170E5" w:rsidRPr="002B55E9" w:rsidRDefault="00EF27AD">
            <w:pPr>
              <w:pStyle w:val="lgy-"/>
              <w:rPr>
                <w:rFonts w:eastAsia="宋体"/>
              </w:rPr>
            </w:pPr>
            <w:r w:rsidRPr="002B55E9">
              <w:rPr>
                <w:rFonts w:eastAsia="宋体" w:hint="eastAsia"/>
              </w:rPr>
              <w:t>主要成分</w:t>
            </w:r>
            <w:r w:rsidRPr="002B55E9">
              <w:rPr>
                <w:rFonts w:eastAsia="宋体"/>
              </w:rPr>
              <w:t>为粘性土，含铁锰质结核，切面光滑，</w:t>
            </w:r>
            <w:r w:rsidRPr="002B55E9">
              <w:rPr>
                <w:rFonts w:eastAsia="宋体" w:hint="eastAsia"/>
              </w:rPr>
              <w:t>无</w:t>
            </w:r>
            <w:r w:rsidRPr="002B55E9">
              <w:rPr>
                <w:rFonts w:eastAsia="宋体"/>
              </w:rPr>
              <w:t>震摇</w:t>
            </w:r>
            <w:r w:rsidRPr="002B55E9">
              <w:rPr>
                <w:rFonts w:eastAsia="宋体" w:hint="eastAsia"/>
              </w:rPr>
              <w:t>反应</w:t>
            </w:r>
            <w:r w:rsidRPr="002B55E9">
              <w:rPr>
                <w:rFonts w:eastAsia="宋体"/>
              </w:rPr>
              <w:t>，局部夹有薄层状粉土等，</w:t>
            </w:r>
            <w:r w:rsidRPr="002B55E9">
              <w:rPr>
                <w:rFonts w:eastAsia="宋体" w:hint="eastAsia"/>
              </w:rPr>
              <w:t>全场地</w:t>
            </w:r>
            <w:r w:rsidRPr="002B55E9">
              <w:rPr>
                <w:rFonts w:eastAsia="宋体"/>
              </w:rPr>
              <w:t>大部分分布</w:t>
            </w:r>
          </w:p>
        </w:tc>
      </w:tr>
      <w:tr w:rsidR="002B55E9" w:rsidRPr="002B55E9" w14:paraId="669E41FA" w14:textId="77777777" w:rsidTr="00EF27AD">
        <w:trPr>
          <w:trHeight w:val="283"/>
        </w:trPr>
        <w:tc>
          <w:tcPr>
            <w:tcW w:w="709" w:type="dxa"/>
          </w:tcPr>
          <w:p w14:paraId="19CA557E" w14:textId="77777777" w:rsidR="00D170E5" w:rsidRPr="002B55E9" w:rsidRDefault="00EF27AD">
            <w:pPr>
              <w:pStyle w:val="lgy-"/>
            </w:pPr>
            <w:r w:rsidRPr="002B55E9">
              <w:rPr>
                <w:rFonts w:eastAsia="宋体"/>
              </w:rPr>
              <w:t>3</w:t>
            </w:r>
          </w:p>
        </w:tc>
        <w:tc>
          <w:tcPr>
            <w:tcW w:w="906" w:type="dxa"/>
          </w:tcPr>
          <w:p w14:paraId="023E7E45" w14:textId="77777777" w:rsidR="00D170E5" w:rsidRPr="002B55E9" w:rsidRDefault="00EF27AD">
            <w:pPr>
              <w:pStyle w:val="lgy-"/>
            </w:pPr>
            <w:r w:rsidRPr="002B55E9">
              <w:rPr>
                <w:rFonts w:eastAsia="宋体" w:hint="eastAsia"/>
              </w:rPr>
              <w:t>淤泥</w:t>
            </w:r>
            <w:r w:rsidRPr="002B55E9">
              <w:rPr>
                <w:rFonts w:eastAsia="宋体"/>
              </w:rPr>
              <w:t>质黏土</w:t>
            </w:r>
          </w:p>
        </w:tc>
        <w:tc>
          <w:tcPr>
            <w:tcW w:w="919" w:type="dxa"/>
          </w:tcPr>
          <w:p w14:paraId="327ED916"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w:t>
            </w:r>
          </w:p>
        </w:tc>
        <w:tc>
          <w:tcPr>
            <w:tcW w:w="987" w:type="dxa"/>
          </w:tcPr>
          <w:p w14:paraId="475AE76D" w14:textId="77777777" w:rsidR="00D170E5" w:rsidRPr="002B55E9" w:rsidRDefault="00EF27AD">
            <w:pPr>
              <w:pStyle w:val="lgy-"/>
            </w:pPr>
            <w:r w:rsidRPr="002B55E9">
              <w:rPr>
                <w:rFonts w:eastAsia="宋体" w:hint="eastAsia"/>
              </w:rPr>
              <w:t>0.6</w:t>
            </w:r>
            <w:r w:rsidRPr="002B55E9">
              <w:rPr>
                <w:rFonts w:eastAsia="宋体"/>
              </w:rPr>
              <w:t>~4.9</w:t>
            </w:r>
          </w:p>
        </w:tc>
        <w:tc>
          <w:tcPr>
            <w:tcW w:w="889" w:type="dxa"/>
          </w:tcPr>
          <w:p w14:paraId="056D278E" w14:textId="77777777" w:rsidR="00D170E5" w:rsidRPr="002B55E9" w:rsidRDefault="00EF27AD">
            <w:pPr>
              <w:pStyle w:val="lgy-"/>
            </w:pPr>
            <w:r w:rsidRPr="002B55E9">
              <w:rPr>
                <w:rFonts w:eastAsia="宋体" w:hint="eastAsia"/>
              </w:rPr>
              <w:t>0.3</w:t>
            </w:r>
            <w:r w:rsidRPr="002B55E9">
              <w:rPr>
                <w:rFonts w:eastAsia="宋体"/>
              </w:rPr>
              <w:t>~25.9</w:t>
            </w:r>
          </w:p>
        </w:tc>
        <w:tc>
          <w:tcPr>
            <w:tcW w:w="650" w:type="dxa"/>
          </w:tcPr>
          <w:p w14:paraId="479315BA" w14:textId="77777777" w:rsidR="00D170E5" w:rsidRPr="002B55E9" w:rsidRDefault="00EF27AD">
            <w:pPr>
              <w:pStyle w:val="lgy-"/>
            </w:pPr>
            <w:r w:rsidRPr="002B55E9">
              <w:rPr>
                <w:rFonts w:eastAsia="宋体" w:hint="eastAsia"/>
              </w:rPr>
              <w:t>灰褐</w:t>
            </w:r>
          </w:p>
        </w:tc>
        <w:tc>
          <w:tcPr>
            <w:tcW w:w="455" w:type="dxa"/>
          </w:tcPr>
          <w:p w14:paraId="70B561AD" w14:textId="77777777" w:rsidR="00D170E5" w:rsidRPr="002B55E9" w:rsidRDefault="00EF27AD">
            <w:pPr>
              <w:pStyle w:val="lgy-"/>
            </w:pPr>
            <w:r w:rsidRPr="002B55E9">
              <w:rPr>
                <w:rFonts w:eastAsia="宋体" w:hint="eastAsia"/>
              </w:rPr>
              <w:t>很湿</w:t>
            </w:r>
          </w:p>
        </w:tc>
        <w:tc>
          <w:tcPr>
            <w:tcW w:w="842" w:type="dxa"/>
          </w:tcPr>
          <w:p w14:paraId="79711345" w14:textId="77777777" w:rsidR="00D170E5" w:rsidRPr="002B55E9" w:rsidRDefault="00EF27AD">
            <w:pPr>
              <w:pStyle w:val="lgy-"/>
            </w:pPr>
            <w:r w:rsidRPr="002B55E9">
              <w:rPr>
                <w:rFonts w:eastAsia="宋体" w:hint="eastAsia"/>
              </w:rPr>
              <w:t>流</w:t>
            </w:r>
            <w:r w:rsidRPr="002B55E9">
              <w:rPr>
                <w:rFonts w:eastAsia="宋体"/>
              </w:rPr>
              <w:t>~</w:t>
            </w:r>
            <w:r w:rsidRPr="002B55E9">
              <w:rPr>
                <w:rFonts w:eastAsia="宋体"/>
              </w:rPr>
              <w:t>软塑</w:t>
            </w:r>
          </w:p>
        </w:tc>
        <w:tc>
          <w:tcPr>
            <w:tcW w:w="682" w:type="dxa"/>
          </w:tcPr>
          <w:p w14:paraId="01FD2DCA" w14:textId="77777777" w:rsidR="00D170E5" w:rsidRPr="002B55E9" w:rsidRDefault="00EF27AD">
            <w:pPr>
              <w:pStyle w:val="lgy-"/>
            </w:pPr>
            <w:r w:rsidRPr="002B55E9">
              <w:rPr>
                <w:rFonts w:eastAsia="宋体" w:hint="eastAsia"/>
              </w:rPr>
              <w:t>高</w:t>
            </w:r>
          </w:p>
        </w:tc>
        <w:tc>
          <w:tcPr>
            <w:tcW w:w="2598" w:type="dxa"/>
          </w:tcPr>
          <w:p w14:paraId="68D24B43" w14:textId="77777777" w:rsidR="00D170E5" w:rsidRPr="002B55E9" w:rsidRDefault="00EF27AD">
            <w:pPr>
              <w:pStyle w:val="lgy-"/>
              <w:rPr>
                <w:rFonts w:eastAsia="宋体"/>
              </w:rPr>
            </w:pPr>
            <w:r w:rsidRPr="002B55E9">
              <w:rPr>
                <w:rFonts w:eastAsia="宋体" w:hint="eastAsia"/>
              </w:rPr>
              <w:t>流</w:t>
            </w:r>
            <w:r w:rsidRPr="002B55E9">
              <w:rPr>
                <w:rFonts w:eastAsia="宋体"/>
              </w:rPr>
              <w:t>~</w:t>
            </w:r>
            <w:r w:rsidRPr="002B55E9">
              <w:rPr>
                <w:rFonts w:eastAsia="宋体"/>
              </w:rPr>
              <w:t>软塑状态，主要为粘性土，含少量</w:t>
            </w:r>
            <w:r w:rsidRPr="002B55E9">
              <w:rPr>
                <w:rFonts w:eastAsia="宋体" w:hint="eastAsia"/>
              </w:rPr>
              <w:t>贝壳</w:t>
            </w:r>
            <w:r w:rsidRPr="002B55E9">
              <w:rPr>
                <w:rFonts w:eastAsia="宋体"/>
              </w:rPr>
              <w:t>等浮游生物；土质均匀。</w:t>
            </w:r>
            <w:r w:rsidRPr="002B55E9">
              <w:rPr>
                <w:rFonts w:eastAsia="宋体" w:hint="eastAsia"/>
              </w:rPr>
              <w:t>全场地</w:t>
            </w:r>
            <w:r w:rsidRPr="002B55E9">
              <w:rPr>
                <w:rFonts w:eastAsia="宋体"/>
              </w:rPr>
              <w:t>大部分分布</w:t>
            </w:r>
          </w:p>
        </w:tc>
      </w:tr>
      <w:tr w:rsidR="002B55E9" w:rsidRPr="002B55E9" w14:paraId="13077D49" w14:textId="77777777" w:rsidTr="00EF27AD">
        <w:trPr>
          <w:trHeight w:val="283"/>
        </w:trPr>
        <w:tc>
          <w:tcPr>
            <w:tcW w:w="709" w:type="dxa"/>
          </w:tcPr>
          <w:p w14:paraId="6055EF3B" w14:textId="77777777" w:rsidR="00D170E5" w:rsidRPr="002B55E9" w:rsidRDefault="00EF27AD">
            <w:pPr>
              <w:pStyle w:val="lgy-"/>
            </w:pPr>
            <w:r w:rsidRPr="002B55E9">
              <w:rPr>
                <w:rFonts w:eastAsia="宋体" w:hint="eastAsia"/>
              </w:rPr>
              <w:t>4-1</w:t>
            </w:r>
          </w:p>
        </w:tc>
        <w:tc>
          <w:tcPr>
            <w:tcW w:w="906" w:type="dxa"/>
          </w:tcPr>
          <w:p w14:paraId="5BC79B59" w14:textId="77777777" w:rsidR="00D170E5" w:rsidRPr="002B55E9" w:rsidRDefault="00EF27AD">
            <w:pPr>
              <w:pStyle w:val="lgy-"/>
            </w:pPr>
            <w:r w:rsidRPr="002B55E9">
              <w:rPr>
                <w:rFonts w:eastAsia="宋体" w:hint="eastAsia"/>
              </w:rPr>
              <w:t>粉质</w:t>
            </w:r>
            <w:r w:rsidRPr="002B55E9">
              <w:rPr>
                <w:rFonts w:eastAsia="宋体"/>
              </w:rPr>
              <w:t>黏土夹粉砂</w:t>
            </w:r>
          </w:p>
        </w:tc>
        <w:tc>
          <w:tcPr>
            <w:tcW w:w="919" w:type="dxa"/>
          </w:tcPr>
          <w:p w14:paraId="139F9B46"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w:t>
            </w:r>
          </w:p>
        </w:tc>
        <w:tc>
          <w:tcPr>
            <w:tcW w:w="987" w:type="dxa"/>
          </w:tcPr>
          <w:p w14:paraId="6D147C28" w14:textId="77777777" w:rsidR="00D170E5" w:rsidRPr="002B55E9" w:rsidRDefault="00EF27AD">
            <w:pPr>
              <w:pStyle w:val="lgy-"/>
            </w:pPr>
            <w:r w:rsidRPr="002B55E9">
              <w:rPr>
                <w:rFonts w:eastAsia="宋体" w:hint="eastAsia"/>
              </w:rPr>
              <w:t>7.0</w:t>
            </w:r>
            <w:r w:rsidRPr="002B55E9">
              <w:rPr>
                <w:rFonts w:eastAsia="宋体"/>
              </w:rPr>
              <w:t>~22.2</w:t>
            </w:r>
          </w:p>
        </w:tc>
        <w:tc>
          <w:tcPr>
            <w:tcW w:w="889" w:type="dxa"/>
          </w:tcPr>
          <w:p w14:paraId="45EBFF6B" w14:textId="77777777" w:rsidR="00D170E5" w:rsidRPr="002B55E9" w:rsidRDefault="00EF27AD">
            <w:pPr>
              <w:pStyle w:val="lgy-"/>
            </w:pPr>
            <w:r w:rsidRPr="002B55E9">
              <w:rPr>
                <w:rFonts w:eastAsia="宋体" w:hint="eastAsia"/>
              </w:rPr>
              <w:t>1.1</w:t>
            </w:r>
            <w:r w:rsidRPr="002B55E9">
              <w:rPr>
                <w:rFonts w:eastAsia="宋体"/>
              </w:rPr>
              <w:t>~13.0</w:t>
            </w:r>
          </w:p>
        </w:tc>
        <w:tc>
          <w:tcPr>
            <w:tcW w:w="650" w:type="dxa"/>
          </w:tcPr>
          <w:p w14:paraId="09B29380" w14:textId="77777777" w:rsidR="00D170E5" w:rsidRPr="002B55E9" w:rsidRDefault="00EF27AD">
            <w:pPr>
              <w:pStyle w:val="lgy-"/>
            </w:pPr>
            <w:r w:rsidRPr="002B55E9">
              <w:rPr>
                <w:rFonts w:eastAsia="宋体" w:hint="eastAsia"/>
              </w:rPr>
              <w:t>黄褐</w:t>
            </w:r>
            <w:r w:rsidRPr="002B55E9">
              <w:rPr>
                <w:rFonts w:eastAsia="宋体"/>
              </w:rPr>
              <w:t>、灰褐</w:t>
            </w:r>
          </w:p>
        </w:tc>
        <w:tc>
          <w:tcPr>
            <w:tcW w:w="455" w:type="dxa"/>
          </w:tcPr>
          <w:p w14:paraId="22D150FF" w14:textId="77777777" w:rsidR="00D170E5" w:rsidRPr="002B55E9" w:rsidRDefault="00EF27AD">
            <w:pPr>
              <w:pStyle w:val="lgy-"/>
            </w:pPr>
            <w:r w:rsidRPr="002B55E9">
              <w:rPr>
                <w:rFonts w:eastAsia="宋体" w:hint="eastAsia"/>
              </w:rPr>
              <w:t>很湿</w:t>
            </w:r>
          </w:p>
        </w:tc>
        <w:tc>
          <w:tcPr>
            <w:tcW w:w="842" w:type="dxa"/>
          </w:tcPr>
          <w:p w14:paraId="531D02A7" w14:textId="77777777" w:rsidR="00D170E5" w:rsidRPr="002B55E9" w:rsidRDefault="00EF27AD">
            <w:pPr>
              <w:pStyle w:val="lgy-"/>
            </w:pPr>
            <w:r w:rsidRPr="002B55E9">
              <w:rPr>
                <w:rFonts w:eastAsia="宋体" w:hint="eastAsia"/>
              </w:rPr>
              <w:t>软塑</w:t>
            </w:r>
          </w:p>
        </w:tc>
        <w:tc>
          <w:tcPr>
            <w:tcW w:w="682" w:type="dxa"/>
          </w:tcPr>
          <w:p w14:paraId="1AFBAD77" w14:textId="77777777" w:rsidR="00D170E5" w:rsidRPr="002B55E9" w:rsidRDefault="00EF27AD">
            <w:pPr>
              <w:pStyle w:val="lgy-"/>
            </w:pPr>
            <w:r w:rsidRPr="002B55E9">
              <w:rPr>
                <w:rFonts w:eastAsia="宋体" w:hint="eastAsia"/>
              </w:rPr>
              <w:t>高</w:t>
            </w:r>
          </w:p>
        </w:tc>
        <w:tc>
          <w:tcPr>
            <w:tcW w:w="2598" w:type="dxa"/>
          </w:tcPr>
          <w:p w14:paraId="443A7E2E" w14:textId="77777777" w:rsidR="00D170E5" w:rsidRPr="002B55E9" w:rsidRDefault="00EF27AD">
            <w:pPr>
              <w:pStyle w:val="lgy-"/>
              <w:rPr>
                <w:rFonts w:eastAsia="宋体"/>
              </w:rPr>
            </w:pPr>
            <w:r w:rsidRPr="002B55E9">
              <w:rPr>
                <w:rFonts w:eastAsia="宋体" w:hint="eastAsia"/>
              </w:rPr>
              <w:t>粉质</w:t>
            </w:r>
            <w:r w:rsidRPr="002B55E9">
              <w:rPr>
                <w:rFonts w:eastAsia="宋体"/>
              </w:rPr>
              <w:t>黏土夹粉砂：以粉质黏土为主，焚烧呈松散</w:t>
            </w:r>
            <w:r w:rsidRPr="002B55E9">
              <w:rPr>
                <w:rFonts w:eastAsia="宋体" w:hint="eastAsia"/>
              </w:rPr>
              <w:t>状态</w:t>
            </w:r>
            <w:r w:rsidRPr="002B55E9">
              <w:rPr>
                <w:rFonts w:eastAsia="宋体"/>
              </w:rPr>
              <w:t>，见</w:t>
            </w:r>
            <w:r w:rsidRPr="002B55E9">
              <w:rPr>
                <w:rFonts w:eastAsia="宋体" w:hint="eastAsia"/>
              </w:rPr>
              <w:t>少量</w:t>
            </w:r>
            <w:r w:rsidRPr="002B55E9">
              <w:rPr>
                <w:rFonts w:eastAsia="宋体"/>
              </w:rPr>
              <w:t>韵母，刀切面粗糙，可见明显摇震反应，局部分布</w:t>
            </w:r>
          </w:p>
        </w:tc>
      </w:tr>
      <w:tr w:rsidR="002B55E9" w:rsidRPr="002B55E9" w14:paraId="7E3492F3" w14:textId="77777777" w:rsidTr="00EF27AD">
        <w:trPr>
          <w:trHeight w:val="283"/>
        </w:trPr>
        <w:tc>
          <w:tcPr>
            <w:tcW w:w="709" w:type="dxa"/>
          </w:tcPr>
          <w:p w14:paraId="215E1371" w14:textId="77777777" w:rsidR="00D170E5" w:rsidRPr="002B55E9" w:rsidRDefault="00EF27AD">
            <w:pPr>
              <w:pStyle w:val="lgy-"/>
            </w:pPr>
            <w:r w:rsidRPr="002B55E9">
              <w:rPr>
                <w:rFonts w:eastAsia="宋体"/>
              </w:rPr>
              <w:t>4-2</w:t>
            </w:r>
          </w:p>
        </w:tc>
        <w:tc>
          <w:tcPr>
            <w:tcW w:w="906" w:type="dxa"/>
          </w:tcPr>
          <w:p w14:paraId="311C9930" w14:textId="77777777" w:rsidR="00D170E5" w:rsidRPr="002B55E9" w:rsidRDefault="00EF27AD">
            <w:pPr>
              <w:pStyle w:val="lgy-"/>
            </w:pPr>
            <w:r w:rsidRPr="002B55E9">
              <w:rPr>
                <w:rFonts w:eastAsia="宋体" w:hint="eastAsia"/>
              </w:rPr>
              <w:t>粉砂</w:t>
            </w:r>
            <w:r w:rsidRPr="002B55E9">
              <w:rPr>
                <w:rFonts w:eastAsia="宋体"/>
              </w:rPr>
              <w:t>夹粉质</w:t>
            </w:r>
            <w:r w:rsidRPr="002B55E9">
              <w:rPr>
                <w:rFonts w:eastAsia="宋体" w:hint="eastAsia"/>
              </w:rPr>
              <w:t>黏土</w:t>
            </w:r>
          </w:p>
        </w:tc>
        <w:tc>
          <w:tcPr>
            <w:tcW w:w="919" w:type="dxa"/>
          </w:tcPr>
          <w:p w14:paraId="312D96B0"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al+pl</w:t>
            </w:r>
          </w:p>
        </w:tc>
        <w:tc>
          <w:tcPr>
            <w:tcW w:w="987" w:type="dxa"/>
          </w:tcPr>
          <w:p w14:paraId="3CFAA605" w14:textId="77777777" w:rsidR="00D170E5" w:rsidRPr="002B55E9" w:rsidRDefault="00EF27AD">
            <w:pPr>
              <w:pStyle w:val="lgy-"/>
            </w:pPr>
            <w:r w:rsidRPr="002B55E9">
              <w:rPr>
                <w:rFonts w:eastAsia="宋体" w:hint="eastAsia"/>
              </w:rPr>
              <w:t>1.7</w:t>
            </w:r>
            <w:r w:rsidRPr="002B55E9">
              <w:rPr>
                <w:rFonts w:eastAsia="宋体"/>
              </w:rPr>
              <w:t>~9.3</w:t>
            </w:r>
          </w:p>
        </w:tc>
        <w:tc>
          <w:tcPr>
            <w:tcW w:w="889" w:type="dxa"/>
          </w:tcPr>
          <w:p w14:paraId="76BFDD9D" w14:textId="77777777" w:rsidR="00D170E5" w:rsidRPr="002B55E9" w:rsidRDefault="00EF27AD">
            <w:pPr>
              <w:pStyle w:val="lgy-"/>
            </w:pPr>
            <w:r w:rsidRPr="002B55E9">
              <w:rPr>
                <w:rFonts w:eastAsia="宋体" w:hint="eastAsia"/>
              </w:rPr>
              <w:t>0.9</w:t>
            </w:r>
            <w:r w:rsidRPr="002B55E9">
              <w:rPr>
                <w:rFonts w:eastAsia="宋体"/>
              </w:rPr>
              <w:t>~14.0</w:t>
            </w:r>
          </w:p>
        </w:tc>
        <w:tc>
          <w:tcPr>
            <w:tcW w:w="650" w:type="dxa"/>
          </w:tcPr>
          <w:p w14:paraId="39A5BB09" w14:textId="77777777" w:rsidR="00D170E5" w:rsidRPr="002B55E9" w:rsidRDefault="00EF27AD">
            <w:pPr>
              <w:pStyle w:val="lgy-"/>
            </w:pPr>
            <w:r w:rsidRPr="002B55E9">
              <w:rPr>
                <w:rFonts w:eastAsia="宋体" w:hint="eastAsia"/>
              </w:rPr>
              <w:t>黄褐</w:t>
            </w:r>
            <w:r w:rsidRPr="002B55E9">
              <w:rPr>
                <w:rFonts w:eastAsia="宋体"/>
              </w:rPr>
              <w:t>、灰褐</w:t>
            </w:r>
          </w:p>
        </w:tc>
        <w:tc>
          <w:tcPr>
            <w:tcW w:w="455" w:type="dxa"/>
          </w:tcPr>
          <w:p w14:paraId="26050A6F" w14:textId="77777777" w:rsidR="00D170E5" w:rsidRPr="002B55E9" w:rsidRDefault="00EF27AD">
            <w:pPr>
              <w:pStyle w:val="lgy-"/>
            </w:pPr>
            <w:r w:rsidRPr="002B55E9">
              <w:rPr>
                <w:rFonts w:eastAsia="宋体" w:hint="eastAsia"/>
              </w:rPr>
              <w:t>饱和</w:t>
            </w:r>
          </w:p>
        </w:tc>
        <w:tc>
          <w:tcPr>
            <w:tcW w:w="842" w:type="dxa"/>
          </w:tcPr>
          <w:p w14:paraId="2A6E06B6" w14:textId="77777777" w:rsidR="00D170E5" w:rsidRPr="002B55E9" w:rsidRDefault="00EF27AD">
            <w:pPr>
              <w:pStyle w:val="lgy-"/>
            </w:pPr>
            <w:r w:rsidRPr="002B55E9">
              <w:rPr>
                <w:rFonts w:eastAsia="宋体" w:hint="eastAsia"/>
              </w:rPr>
              <w:t>松散</w:t>
            </w:r>
            <w:r w:rsidRPr="002B55E9">
              <w:rPr>
                <w:rFonts w:eastAsia="宋体"/>
              </w:rPr>
              <w:t>~</w:t>
            </w:r>
            <w:r w:rsidRPr="002B55E9">
              <w:rPr>
                <w:rFonts w:eastAsia="宋体"/>
              </w:rPr>
              <w:t>稍密</w:t>
            </w:r>
          </w:p>
        </w:tc>
        <w:tc>
          <w:tcPr>
            <w:tcW w:w="682" w:type="dxa"/>
          </w:tcPr>
          <w:p w14:paraId="5A044B68" w14:textId="77777777" w:rsidR="00D170E5" w:rsidRPr="002B55E9" w:rsidRDefault="00EF27AD">
            <w:pPr>
              <w:pStyle w:val="lgy-"/>
            </w:pPr>
            <w:r w:rsidRPr="002B55E9">
              <w:rPr>
                <w:rFonts w:eastAsia="宋体" w:hint="eastAsia"/>
              </w:rPr>
              <w:t>高</w:t>
            </w:r>
          </w:p>
        </w:tc>
        <w:tc>
          <w:tcPr>
            <w:tcW w:w="2598" w:type="dxa"/>
          </w:tcPr>
          <w:p w14:paraId="71CDC612" w14:textId="77777777" w:rsidR="00D170E5" w:rsidRPr="002B55E9" w:rsidRDefault="00EF27AD">
            <w:pPr>
              <w:pStyle w:val="lgy-"/>
              <w:rPr>
                <w:rFonts w:eastAsia="宋体"/>
              </w:rPr>
            </w:pPr>
            <w:r w:rsidRPr="002B55E9">
              <w:rPr>
                <w:rFonts w:eastAsia="宋体" w:hint="eastAsia"/>
              </w:rPr>
              <w:t>以</w:t>
            </w:r>
            <w:r w:rsidRPr="002B55E9">
              <w:rPr>
                <w:rFonts w:eastAsia="宋体"/>
              </w:rPr>
              <w:t>粉砂为主，粉砂呈松散</w:t>
            </w:r>
            <w:r w:rsidRPr="002B55E9">
              <w:rPr>
                <w:rFonts w:eastAsia="宋体"/>
              </w:rPr>
              <w:t>~</w:t>
            </w:r>
            <w:r w:rsidRPr="002B55E9">
              <w:rPr>
                <w:rFonts w:eastAsia="宋体"/>
              </w:rPr>
              <w:t>稍密</w:t>
            </w:r>
            <w:r w:rsidRPr="002B55E9">
              <w:rPr>
                <w:rFonts w:eastAsia="宋体" w:hint="eastAsia"/>
              </w:rPr>
              <w:t>状</w:t>
            </w:r>
            <w:r w:rsidRPr="002B55E9">
              <w:rPr>
                <w:rFonts w:eastAsia="宋体"/>
              </w:rPr>
              <w:t>，粉质黏土呈软塑状</w:t>
            </w:r>
            <w:r w:rsidRPr="002B55E9">
              <w:rPr>
                <w:rFonts w:eastAsia="宋体" w:hint="eastAsia"/>
              </w:rPr>
              <w:t>，</w:t>
            </w:r>
            <w:r w:rsidRPr="002B55E9">
              <w:rPr>
                <w:rFonts w:eastAsia="宋体"/>
              </w:rPr>
              <w:t>局部分布</w:t>
            </w:r>
          </w:p>
        </w:tc>
      </w:tr>
      <w:tr w:rsidR="002B55E9" w:rsidRPr="002B55E9" w14:paraId="5EE2FBFD" w14:textId="77777777" w:rsidTr="00EF27AD">
        <w:trPr>
          <w:trHeight w:val="283"/>
        </w:trPr>
        <w:tc>
          <w:tcPr>
            <w:tcW w:w="709" w:type="dxa"/>
          </w:tcPr>
          <w:p w14:paraId="41F68291" w14:textId="77777777" w:rsidR="00D170E5" w:rsidRPr="002B55E9" w:rsidRDefault="00EF27AD">
            <w:pPr>
              <w:pStyle w:val="lgy-"/>
            </w:pPr>
            <w:r w:rsidRPr="002B55E9">
              <w:rPr>
                <w:rFonts w:eastAsia="宋体" w:hint="eastAsia"/>
              </w:rPr>
              <w:t>4-3</w:t>
            </w:r>
          </w:p>
        </w:tc>
        <w:tc>
          <w:tcPr>
            <w:tcW w:w="906" w:type="dxa"/>
          </w:tcPr>
          <w:p w14:paraId="28FBCC1E" w14:textId="77777777" w:rsidR="00D170E5" w:rsidRPr="002B55E9" w:rsidRDefault="00EF27AD">
            <w:pPr>
              <w:pStyle w:val="lgy-"/>
            </w:pPr>
            <w:r w:rsidRPr="002B55E9">
              <w:rPr>
                <w:rFonts w:eastAsia="宋体" w:hint="eastAsia"/>
              </w:rPr>
              <w:t>中粗</w:t>
            </w:r>
            <w:r w:rsidRPr="002B55E9">
              <w:rPr>
                <w:rFonts w:eastAsia="宋体"/>
              </w:rPr>
              <w:t>砂夹砾石</w:t>
            </w:r>
          </w:p>
        </w:tc>
        <w:tc>
          <w:tcPr>
            <w:tcW w:w="919" w:type="dxa"/>
          </w:tcPr>
          <w:p w14:paraId="5ED273C3"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al+pl</w:t>
            </w:r>
          </w:p>
        </w:tc>
        <w:tc>
          <w:tcPr>
            <w:tcW w:w="987" w:type="dxa"/>
          </w:tcPr>
          <w:p w14:paraId="4AAFEA03" w14:textId="77777777" w:rsidR="00D170E5" w:rsidRPr="002B55E9" w:rsidRDefault="00EF27AD">
            <w:pPr>
              <w:pStyle w:val="lgy-"/>
            </w:pPr>
            <w:r w:rsidRPr="002B55E9">
              <w:rPr>
                <w:rFonts w:eastAsia="宋体" w:hint="eastAsia"/>
              </w:rPr>
              <w:t>9.0</w:t>
            </w:r>
            <w:r w:rsidRPr="002B55E9">
              <w:rPr>
                <w:rFonts w:eastAsia="宋体"/>
              </w:rPr>
              <w:t>~22.1</w:t>
            </w:r>
          </w:p>
        </w:tc>
        <w:tc>
          <w:tcPr>
            <w:tcW w:w="889" w:type="dxa"/>
          </w:tcPr>
          <w:p w14:paraId="59B15DB0" w14:textId="77777777" w:rsidR="00D170E5" w:rsidRPr="002B55E9" w:rsidRDefault="00EF27AD">
            <w:pPr>
              <w:pStyle w:val="lgy-"/>
            </w:pPr>
            <w:r w:rsidRPr="002B55E9">
              <w:rPr>
                <w:rFonts w:eastAsia="宋体" w:hint="eastAsia"/>
              </w:rPr>
              <w:t>1.3</w:t>
            </w:r>
            <w:r w:rsidRPr="002B55E9">
              <w:rPr>
                <w:rFonts w:eastAsia="宋体"/>
              </w:rPr>
              <w:t>~11.8</w:t>
            </w:r>
          </w:p>
        </w:tc>
        <w:tc>
          <w:tcPr>
            <w:tcW w:w="650" w:type="dxa"/>
          </w:tcPr>
          <w:p w14:paraId="046418A9" w14:textId="77777777" w:rsidR="00D170E5" w:rsidRPr="002B55E9" w:rsidRDefault="00EF27AD">
            <w:pPr>
              <w:pStyle w:val="lgy-"/>
            </w:pPr>
            <w:r w:rsidRPr="002B55E9">
              <w:rPr>
                <w:rFonts w:eastAsia="宋体" w:hint="eastAsia"/>
              </w:rPr>
              <w:t>黄褐色</w:t>
            </w:r>
            <w:r w:rsidRPr="002B55E9">
              <w:rPr>
                <w:rFonts w:eastAsia="宋体"/>
              </w:rPr>
              <w:t>、灰褐</w:t>
            </w:r>
          </w:p>
        </w:tc>
        <w:tc>
          <w:tcPr>
            <w:tcW w:w="455" w:type="dxa"/>
          </w:tcPr>
          <w:p w14:paraId="0F12B834" w14:textId="77777777" w:rsidR="00D170E5" w:rsidRPr="002B55E9" w:rsidRDefault="00EF27AD">
            <w:pPr>
              <w:pStyle w:val="lgy-"/>
            </w:pPr>
            <w:r w:rsidRPr="002B55E9">
              <w:rPr>
                <w:rFonts w:eastAsia="宋体" w:hint="eastAsia"/>
              </w:rPr>
              <w:t>饱和</w:t>
            </w:r>
          </w:p>
        </w:tc>
        <w:tc>
          <w:tcPr>
            <w:tcW w:w="842" w:type="dxa"/>
          </w:tcPr>
          <w:p w14:paraId="5C316E31" w14:textId="77777777" w:rsidR="00D170E5" w:rsidRPr="002B55E9" w:rsidRDefault="00EF27AD">
            <w:pPr>
              <w:pStyle w:val="lgy-"/>
            </w:pPr>
            <w:r w:rsidRPr="002B55E9">
              <w:rPr>
                <w:rFonts w:eastAsia="宋体" w:hint="eastAsia"/>
              </w:rPr>
              <w:t>松散</w:t>
            </w:r>
            <w:r w:rsidRPr="002B55E9">
              <w:rPr>
                <w:rFonts w:eastAsia="宋体"/>
              </w:rPr>
              <w:t>~</w:t>
            </w:r>
            <w:r w:rsidRPr="002B55E9">
              <w:rPr>
                <w:rFonts w:eastAsia="宋体"/>
              </w:rPr>
              <w:t>稍密</w:t>
            </w:r>
          </w:p>
        </w:tc>
        <w:tc>
          <w:tcPr>
            <w:tcW w:w="682" w:type="dxa"/>
          </w:tcPr>
          <w:p w14:paraId="6F5D3CB1" w14:textId="77777777" w:rsidR="00D170E5" w:rsidRPr="002B55E9" w:rsidRDefault="00EF27AD">
            <w:pPr>
              <w:pStyle w:val="lgy-"/>
            </w:pPr>
            <w:r w:rsidRPr="002B55E9">
              <w:rPr>
                <w:rFonts w:eastAsia="宋体" w:hint="eastAsia"/>
              </w:rPr>
              <w:t>中</w:t>
            </w:r>
          </w:p>
        </w:tc>
        <w:tc>
          <w:tcPr>
            <w:tcW w:w="2598" w:type="dxa"/>
          </w:tcPr>
          <w:p w14:paraId="66EE4BE8" w14:textId="77777777" w:rsidR="00D170E5" w:rsidRPr="002B55E9" w:rsidRDefault="00EF27AD">
            <w:pPr>
              <w:pStyle w:val="lgy-"/>
              <w:rPr>
                <w:rFonts w:eastAsia="宋体"/>
              </w:rPr>
            </w:pPr>
            <w:r w:rsidRPr="002B55E9">
              <w:rPr>
                <w:rFonts w:eastAsia="宋体" w:hint="eastAsia"/>
              </w:rPr>
              <w:t>主要</w:t>
            </w:r>
            <w:r w:rsidRPr="002B55E9">
              <w:rPr>
                <w:rFonts w:eastAsia="宋体"/>
              </w:rPr>
              <w:t>成分为中粗砂，局部</w:t>
            </w:r>
            <w:r w:rsidRPr="002B55E9">
              <w:rPr>
                <w:rFonts w:eastAsia="宋体" w:hint="eastAsia"/>
              </w:rPr>
              <w:t>夹有</w:t>
            </w:r>
            <w:r w:rsidRPr="002B55E9">
              <w:rPr>
                <w:rFonts w:eastAsia="宋体"/>
              </w:rPr>
              <w:t>砾石，砾石直径约</w:t>
            </w:r>
            <w:r w:rsidRPr="002B55E9">
              <w:rPr>
                <w:rFonts w:eastAsia="宋体" w:hint="eastAsia"/>
              </w:rPr>
              <w:t>0.2</w:t>
            </w:r>
            <w:r w:rsidRPr="002B55E9">
              <w:rPr>
                <w:rFonts w:eastAsia="宋体"/>
              </w:rPr>
              <w:t>~0.5cm</w:t>
            </w:r>
            <w:r w:rsidRPr="002B55E9">
              <w:rPr>
                <w:rFonts w:eastAsia="宋体"/>
              </w:rPr>
              <w:t>，级配一般，局部富集。局部</w:t>
            </w:r>
            <w:r w:rsidRPr="002B55E9">
              <w:rPr>
                <w:rFonts w:eastAsia="宋体" w:hint="eastAsia"/>
              </w:rPr>
              <w:t>分布</w:t>
            </w:r>
          </w:p>
        </w:tc>
      </w:tr>
      <w:tr w:rsidR="002B55E9" w:rsidRPr="002B55E9" w14:paraId="78A2C3A3" w14:textId="77777777" w:rsidTr="00EF27AD">
        <w:trPr>
          <w:trHeight w:val="283"/>
        </w:trPr>
        <w:tc>
          <w:tcPr>
            <w:tcW w:w="709" w:type="dxa"/>
          </w:tcPr>
          <w:p w14:paraId="44EA0AA7" w14:textId="77777777" w:rsidR="00D170E5" w:rsidRPr="002B55E9" w:rsidRDefault="00EF27AD">
            <w:pPr>
              <w:pStyle w:val="lgy-"/>
            </w:pPr>
            <w:r w:rsidRPr="002B55E9">
              <w:rPr>
                <w:rFonts w:eastAsia="宋体" w:hint="eastAsia"/>
              </w:rPr>
              <w:t>5-1</w:t>
            </w:r>
          </w:p>
        </w:tc>
        <w:tc>
          <w:tcPr>
            <w:tcW w:w="906" w:type="dxa"/>
          </w:tcPr>
          <w:p w14:paraId="61A7782A" w14:textId="77777777" w:rsidR="00D170E5" w:rsidRPr="002B55E9" w:rsidRDefault="00EF27AD">
            <w:pPr>
              <w:pStyle w:val="lgy-"/>
            </w:pPr>
            <w:r w:rsidRPr="002B55E9">
              <w:rPr>
                <w:rFonts w:eastAsia="宋体" w:hint="eastAsia"/>
              </w:rPr>
              <w:t>粉砂</w:t>
            </w:r>
          </w:p>
        </w:tc>
        <w:tc>
          <w:tcPr>
            <w:tcW w:w="919" w:type="dxa"/>
          </w:tcPr>
          <w:p w14:paraId="70B9D8BE"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al+pl</w:t>
            </w:r>
          </w:p>
        </w:tc>
        <w:tc>
          <w:tcPr>
            <w:tcW w:w="987" w:type="dxa"/>
          </w:tcPr>
          <w:p w14:paraId="24BCEA09" w14:textId="77777777" w:rsidR="00D170E5" w:rsidRPr="002B55E9" w:rsidRDefault="00EF27AD">
            <w:pPr>
              <w:pStyle w:val="lgy-"/>
            </w:pPr>
            <w:r w:rsidRPr="002B55E9">
              <w:rPr>
                <w:rFonts w:eastAsia="宋体" w:hint="eastAsia"/>
              </w:rPr>
              <w:t>11.0</w:t>
            </w:r>
            <w:r w:rsidRPr="002B55E9">
              <w:rPr>
                <w:rFonts w:eastAsia="宋体"/>
              </w:rPr>
              <w:t>~26.0</w:t>
            </w:r>
          </w:p>
        </w:tc>
        <w:tc>
          <w:tcPr>
            <w:tcW w:w="889" w:type="dxa"/>
          </w:tcPr>
          <w:p w14:paraId="7E6B1C3B" w14:textId="77777777" w:rsidR="00D170E5" w:rsidRPr="002B55E9" w:rsidRDefault="00EF27AD">
            <w:pPr>
              <w:pStyle w:val="lgy-"/>
            </w:pPr>
            <w:r w:rsidRPr="002B55E9">
              <w:rPr>
                <w:rFonts w:eastAsia="宋体" w:hint="eastAsia"/>
              </w:rPr>
              <w:t>1.5</w:t>
            </w:r>
            <w:r w:rsidRPr="002B55E9">
              <w:rPr>
                <w:rFonts w:eastAsia="宋体"/>
              </w:rPr>
              <w:t>~22.5</w:t>
            </w:r>
          </w:p>
        </w:tc>
        <w:tc>
          <w:tcPr>
            <w:tcW w:w="650" w:type="dxa"/>
          </w:tcPr>
          <w:p w14:paraId="6E26EFC7" w14:textId="77777777" w:rsidR="00D170E5" w:rsidRPr="002B55E9" w:rsidRDefault="00EF27AD">
            <w:pPr>
              <w:pStyle w:val="lgy-"/>
            </w:pPr>
            <w:r w:rsidRPr="002B55E9">
              <w:rPr>
                <w:rFonts w:eastAsia="宋体" w:hint="eastAsia"/>
              </w:rPr>
              <w:t>灰青</w:t>
            </w:r>
          </w:p>
        </w:tc>
        <w:tc>
          <w:tcPr>
            <w:tcW w:w="455" w:type="dxa"/>
          </w:tcPr>
          <w:p w14:paraId="66C9984E" w14:textId="77777777" w:rsidR="00D170E5" w:rsidRPr="002B55E9" w:rsidRDefault="00EF27AD">
            <w:pPr>
              <w:pStyle w:val="lgy-"/>
            </w:pPr>
            <w:r w:rsidRPr="002B55E9">
              <w:rPr>
                <w:rFonts w:eastAsia="宋体" w:hint="eastAsia"/>
              </w:rPr>
              <w:t>饱和</w:t>
            </w:r>
          </w:p>
        </w:tc>
        <w:tc>
          <w:tcPr>
            <w:tcW w:w="842" w:type="dxa"/>
          </w:tcPr>
          <w:p w14:paraId="5EE4E1A5" w14:textId="77777777" w:rsidR="00D170E5" w:rsidRPr="002B55E9" w:rsidRDefault="00EF27AD">
            <w:pPr>
              <w:pStyle w:val="lgy-"/>
            </w:pPr>
            <w:r w:rsidRPr="002B55E9">
              <w:rPr>
                <w:rFonts w:eastAsia="宋体" w:hint="eastAsia"/>
              </w:rPr>
              <w:t>稍密</w:t>
            </w:r>
          </w:p>
        </w:tc>
        <w:tc>
          <w:tcPr>
            <w:tcW w:w="682" w:type="dxa"/>
          </w:tcPr>
          <w:p w14:paraId="0DB153B5" w14:textId="77777777" w:rsidR="00D170E5" w:rsidRPr="002B55E9" w:rsidRDefault="00EF27AD">
            <w:pPr>
              <w:pStyle w:val="lgy-"/>
            </w:pPr>
            <w:r w:rsidRPr="002B55E9">
              <w:rPr>
                <w:rFonts w:eastAsia="宋体" w:hint="eastAsia"/>
              </w:rPr>
              <w:t>中</w:t>
            </w:r>
          </w:p>
        </w:tc>
        <w:tc>
          <w:tcPr>
            <w:tcW w:w="2598" w:type="dxa"/>
          </w:tcPr>
          <w:p w14:paraId="66E4F548" w14:textId="77777777" w:rsidR="00D170E5" w:rsidRPr="002B55E9" w:rsidRDefault="00EF27AD">
            <w:pPr>
              <w:pStyle w:val="lgy-"/>
              <w:rPr>
                <w:rFonts w:eastAsia="宋体"/>
              </w:rPr>
            </w:pPr>
            <w:r w:rsidRPr="002B55E9">
              <w:rPr>
                <w:rFonts w:eastAsia="宋体" w:hint="eastAsia"/>
              </w:rPr>
              <w:t>主要由</w:t>
            </w:r>
            <w:r w:rsidRPr="002B55E9">
              <w:rPr>
                <w:rFonts w:eastAsia="宋体"/>
              </w:rPr>
              <w:t>石英、</w:t>
            </w:r>
            <w:r w:rsidRPr="002B55E9">
              <w:rPr>
                <w:rFonts w:eastAsia="宋体" w:hint="eastAsia"/>
              </w:rPr>
              <w:t>长石</w:t>
            </w:r>
            <w:r w:rsidRPr="002B55E9">
              <w:rPr>
                <w:rFonts w:eastAsia="宋体"/>
              </w:rPr>
              <w:t>、云母等组成，少部分孔局部夹薄层粘性土，土质较均匀，大部分分布</w:t>
            </w:r>
          </w:p>
        </w:tc>
      </w:tr>
      <w:tr w:rsidR="002B55E9" w:rsidRPr="002B55E9" w14:paraId="2727609A" w14:textId="77777777" w:rsidTr="00EF27AD">
        <w:trPr>
          <w:trHeight w:val="283"/>
        </w:trPr>
        <w:tc>
          <w:tcPr>
            <w:tcW w:w="709" w:type="dxa"/>
          </w:tcPr>
          <w:p w14:paraId="1738476B" w14:textId="77777777" w:rsidR="00D170E5" w:rsidRPr="002B55E9" w:rsidRDefault="00EF27AD">
            <w:pPr>
              <w:pStyle w:val="lgy-"/>
            </w:pPr>
            <w:r w:rsidRPr="002B55E9">
              <w:rPr>
                <w:rFonts w:eastAsia="宋体"/>
              </w:rPr>
              <w:t>5-2</w:t>
            </w:r>
          </w:p>
        </w:tc>
        <w:tc>
          <w:tcPr>
            <w:tcW w:w="906" w:type="dxa"/>
          </w:tcPr>
          <w:p w14:paraId="65188971" w14:textId="77777777" w:rsidR="00D170E5" w:rsidRPr="002B55E9" w:rsidRDefault="00EF27AD">
            <w:pPr>
              <w:pStyle w:val="lgy-"/>
            </w:pPr>
            <w:r w:rsidRPr="002B55E9">
              <w:rPr>
                <w:rFonts w:eastAsia="宋体" w:hint="eastAsia"/>
              </w:rPr>
              <w:t>粉砂</w:t>
            </w:r>
          </w:p>
        </w:tc>
        <w:tc>
          <w:tcPr>
            <w:tcW w:w="919" w:type="dxa"/>
          </w:tcPr>
          <w:p w14:paraId="795DAF61" w14:textId="77777777" w:rsidR="00D170E5" w:rsidRPr="002B55E9" w:rsidRDefault="00EF27AD">
            <w:pPr>
              <w:pStyle w:val="lgy-"/>
            </w:pPr>
            <w:r w:rsidRPr="002B55E9">
              <w:rPr>
                <w:rFonts w:eastAsia="宋体"/>
              </w:rPr>
              <w:t>Q</w:t>
            </w:r>
            <w:r w:rsidRPr="002B55E9">
              <w:rPr>
                <w:rFonts w:eastAsia="宋体"/>
                <w:vertAlign w:val="subscript"/>
              </w:rPr>
              <w:t>4</w:t>
            </w:r>
            <w:r w:rsidRPr="002B55E9">
              <w:rPr>
                <w:rFonts w:eastAsia="宋体"/>
                <w:vertAlign w:val="superscript"/>
              </w:rPr>
              <w:t>al+pl</w:t>
            </w:r>
          </w:p>
        </w:tc>
        <w:tc>
          <w:tcPr>
            <w:tcW w:w="987" w:type="dxa"/>
          </w:tcPr>
          <w:p w14:paraId="1A1E1BB2" w14:textId="77777777" w:rsidR="00D170E5" w:rsidRPr="002B55E9" w:rsidRDefault="00EF27AD">
            <w:pPr>
              <w:pStyle w:val="lgy-"/>
            </w:pPr>
            <w:r w:rsidRPr="002B55E9">
              <w:rPr>
                <w:rFonts w:eastAsia="宋体" w:hint="eastAsia"/>
              </w:rPr>
              <w:t>14.5</w:t>
            </w:r>
            <w:r w:rsidRPr="002B55E9">
              <w:rPr>
                <w:rFonts w:eastAsia="宋体"/>
              </w:rPr>
              <w:t>~36.6</w:t>
            </w:r>
          </w:p>
        </w:tc>
        <w:tc>
          <w:tcPr>
            <w:tcW w:w="889" w:type="dxa"/>
          </w:tcPr>
          <w:p w14:paraId="10192E18" w14:textId="77777777" w:rsidR="00D170E5" w:rsidRPr="002B55E9" w:rsidRDefault="00EF27AD">
            <w:pPr>
              <w:pStyle w:val="lgy-"/>
            </w:pPr>
            <w:r w:rsidRPr="002B55E9">
              <w:rPr>
                <w:rFonts w:eastAsia="宋体" w:hint="eastAsia"/>
              </w:rPr>
              <w:t>最大</w:t>
            </w:r>
            <w:r w:rsidRPr="002B55E9">
              <w:rPr>
                <w:rFonts w:eastAsia="宋体"/>
              </w:rPr>
              <w:t>揭露深度</w:t>
            </w:r>
            <w:r w:rsidRPr="002B55E9">
              <w:rPr>
                <w:rFonts w:eastAsia="宋体" w:hint="eastAsia"/>
              </w:rPr>
              <w:t>25.5</w:t>
            </w:r>
            <w:r w:rsidRPr="002B55E9">
              <w:rPr>
                <w:rFonts w:eastAsia="宋体"/>
              </w:rPr>
              <w:t>m</w:t>
            </w:r>
          </w:p>
        </w:tc>
        <w:tc>
          <w:tcPr>
            <w:tcW w:w="650" w:type="dxa"/>
          </w:tcPr>
          <w:p w14:paraId="310A0B90" w14:textId="77777777" w:rsidR="00D170E5" w:rsidRPr="002B55E9" w:rsidRDefault="00EF27AD">
            <w:pPr>
              <w:pStyle w:val="lgy-"/>
            </w:pPr>
            <w:r w:rsidRPr="002B55E9">
              <w:rPr>
                <w:rFonts w:eastAsia="宋体" w:hint="eastAsia"/>
              </w:rPr>
              <w:t>灰青</w:t>
            </w:r>
          </w:p>
        </w:tc>
        <w:tc>
          <w:tcPr>
            <w:tcW w:w="455" w:type="dxa"/>
          </w:tcPr>
          <w:p w14:paraId="696A59AB" w14:textId="77777777" w:rsidR="00D170E5" w:rsidRPr="002B55E9" w:rsidRDefault="00EF27AD">
            <w:pPr>
              <w:pStyle w:val="lgy-"/>
            </w:pPr>
            <w:r w:rsidRPr="002B55E9">
              <w:rPr>
                <w:rFonts w:eastAsia="宋体" w:hint="eastAsia"/>
              </w:rPr>
              <w:t xml:space="preserve"> </w:t>
            </w:r>
            <w:r w:rsidRPr="002B55E9">
              <w:rPr>
                <w:rFonts w:eastAsia="宋体" w:hint="eastAsia"/>
              </w:rPr>
              <w:t>饱和</w:t>
            </w:r>
          </w:p>
        </w:tc>
        <w:tc>
          <w:tcPr>
            <w:tcW w:w="842" w:type="dxa"/>
          </w:tcPr>
          <w:p w14:paraId="2FFEE477" w14:textId="77777777" w:rsidR="00D170E5" w:rsidRPr="002B55E9" w:rsidRDefault="00EF27AD">
            <w:pPr>
              <w:pStyle w:val="lgy-"/>
            </w:pPr>
            <w:r w:rsidRPr="002B55E9">
              <w:rPr>
                <w:rFonts w:eastAsia="宋体" w:hint="eastAsia"/>
              </w:rPr>
              <w:t>中密</w:t>
            </w:r>
          </w:p>
        </w:tc>
        <w:tc>
          <w:tcPr>
            <w:tcW w:w="682" w:type="dxa"/>
          </w:tcPr>
          <w:p w14:paraId="608F7FEC" w14:textId="77777777" w:rsidR="00D170E5" w:rsidRPr="002B55E9" w:rsidRDefault="00EF27AD">
            <w:pPr>
              <w:pStyle w:val="lgy-"/>
            </w:pPr>
            <w:r w:rsidRPr="002B55E9">
              <w:rPr>
                <w:rFonts w:eastAsia="宋体" w:hint="eastAsia"/>
              </w:rPr>
              <w:t>中</w:t>
            </w:r>
            <w:r w:rsidRPr="002B55E9">
              <w:rPr>
                <w:rFonts w:eastAsia="宋体"/>
              </w:rPr>
              <w:t>偏低</w:t>
            </w:r>
          </w:p>
        </w:tc>
        <w:tc>
          <w:tcPr>
            <w:tcW w:w="2598" w:type="dxa"/>
          </w:tcPr>
          <w:p w14:paraId="7C2B60A4" w14:textId="77777777" w:rsidR="00D170E5" w:rsidRPr="002B55E9" w:rsidRDefault="00EF27AD">
            <w:pPr>
              <w:pStyle w:val="lgy-"/>
              <w:rPr>
                <w:rFonts w:eastAsia="宋体"/>
              </w:rPr>
            </w:pPr>
            <w:r w:rsidRPr="002B55E9">
              <w:rPr>
                <w:rFonts w:eastAsia="宋体" w:hint="eastAsia"/>
              </w:rPr>
              <w:t>主要</w:t>
            </w:r>
            <w:r w:rsidRPr="002B55E9">
              <w:rPr>
                <w:rFonts w:eastAsia="宋体"/>
              </w:rPr>
              <w:t>由石英、长石、云母等组成，土质均匀，</w:t>
            </w:r>
            <w:r w:rsidRPr="002B55E9">
              <w:rPr>
                <w:rFonts w:eastAsia="宋体" w:hint="eastAsia"/>
              </w:rPr>
              <w:t>全场地</w:t>
            </w:r>
            <w:r w:rsidRPr="002B55E9">
              <w:rPr>
                <w:rFonts w:eastAsia="宋体"/>
              </w:rPr>
              <w:t>分布。</w:t>
            </w:r>
          </w:p>
        </w:tc>
      </w:tr>
    </w:tbl>
    <w:p w14:paraId="2CB1B283" w14:textId="77777777" w:rsidR="00D170E5" w:rsidRPr="002B55E9" w:rsidRDefault="00EF27AD">
      <w:pPr>
        <w:pStyle w:val="4"/>
        <w:rPr>
          <w:color w:val="auto"/>
        </w:rPr>
      </w:pPr>
      <w:r w:rsidRPr="002B55E9">
        <w:rPr>
          <w:rFonts w:hint="eastAsia"/>
          <w:color w:val="auto"/>
        </w:rPr>
        <w:t>地下环境影响预测</w:t>
      </w:r>
    </w:p>
    <w:p w14:paraId="381A18C4" w14:textId="77777777" w:rsidR="00D170E5" w:rsidRPr="002B55E9" w:rsidRDefault="00EF27AD">
      <w:pPr>
        <w:pStyle w:val="aa"/>
      </w:pPr>
      <w:r w:rsidRPr="002B55E9">
        <w:rPr>
          <w:rFonts w:hint="eastAsia"/>
        </w:rPr>
        <w:t>对照《环境影响评价技术导则</w:t>
      </w:r>
      <w:r w:rsidRPr="002B55E9">
        <w:rPr>
          <w:rFonts w:hint="eastAsia"/>
        </w:rPr>
        <w:t xml:space="preserve"> </w:t>
      </w:r>
      <w:r w:rsidRPr="002B55E9">
        <w:rPr>
          <w:rFonts w:hint="eastAsia"/>
        </w:rPr>
        <w:t>地下水环境》</w:t>
      </w:r>
      <w:r w:rsidRPr="002B55E9">
        <w:rPr>
          <w:rFonts w:hint="eastAsia"/>
        </w:rPr>
        <w:t>(HJ610-2016)</w:t>
      </w:r>
      <w:r w:rsidRPr="002B55E9">
        <w:rPr>
          <w:rFonts w:hint="eastAsia"/>
        </w:rPr>
        <w:t>，本次地下水环境影响评价级别为三级，可采用解析法或类比分析法。</w:t>
      </w:r>
    </w:p>
    <w:p w14:paraId="5C34F47D" w14:textId="77777777" w:rsidR="00D170E5" w:rsidRPr="002B55E9" w:rsidRDefault="00EF27AD">
      <w:pPr>
        <w:pStyle w:val="5"/>
      </w:pPr>
      <w:r w:rsidRPr="002B55E9">
        <w:rPr>
          <w:rFonts w:hint="eastAsia"/>
        </w:rPr>
        <w:t>预测范围</w:t>
      </w:r>
    </w:p>
    <w:p w14:paraId="76943EB7" w14:textId="77777777" w:rsidR="00D170E5" w:rsidRPr="002B55E9" w:rsidRDefault="00EF27AD">
      <w:pPr>
        <w:pStyle w:val="aa"/>
        <w:rPr>
          <w:szCs w:val="32"/>
        </w:rPr>
      </w:pPr>
      <w:r w:rsidRPr="002B55E9">
        <w:rPr>
          <w:rFonts w:hint="eastAsia"/>
          <w:szCs w:val="32"/>
        </w:rPr>
        <w:t>拟建项目为三级评价项目，项目地下水评价范围</w:t>
      </w:r>
      <w:r w:rsidRPr="002B55E9">
        <w:rPr>
          <w:szCs w:val="32"/>
        </w:rPr>
        <w:t>根据《环境影响评价技术导则</w:t>
      </w:r>
      <w:r w:rsidRPr="002B55E9">
        <w:rPr>
          <w:szCs w:val="32"/>
        </w:rPr>
        <w:t xml:space="preserve">  </w:t>
      </w:r>
      <w:r w:rsidRPr="002B55E9">
        <w:rPr>
          <w:szCs w:val="32"/>
        </w:rPr>
        <w:t>地下水环境》（</w:t>
      </w:r>
      <w:r w:rsidRPr="002B55E9">
        <w:rPr>
          <w:szCs w:val="32"/>
        </w:rPr>
        <w:t>HJ 610-2016</w:t>
      </w:r>
      <w:r w:rsidRPr="002B55E9">
        <w:rPr>
          <w:szCs w:val="32"/>
        </w:rPr>
        <w:t>）</w:t>
      </w:r>
      <w:r w:rsidRPr="002B55E9">
        <w:rPr>
          <w:rFonts w:hint="eastAsia"/>
          <w:szCs w:val="32"/>
        </w:rPr>
        <w:t>查表法可得，本次设定评价范围为</w:t>
      </w:r>
      <w:r w:rsidRPr="002B55E9">
        <w:rPr>
          <w:rFonts w:hint="eastAsia"/>
          <w:szCs w:val="32"/>
        </w:rPr>
        <w:t>6km</w:t>
      </w:r>
      <w:r w:rsidRPr="002B55E9">
        <w:rPr>
          <w:szCs w:val="32"/>
          <w:vertAlign w:val="superscript"/>
        </w:rPr>
        <w:t>2</w:t>
      </w:r>
      <w:r w:rsidRPr="002B55E9">
        <w:rPr>
          <w:rFonts w:hint="eastAsia"/>
          <w:szCs w:val="32"/>
        </w:rPr>
        <w:t>。</w:t>
      </w:r>
    </w:p>
    <w:p w14:paraId="3036F47B" w14:textId="77777777" w:rsidR="00D170E5" w:rsidRPr="002B55E9" w:rsidRDefault="00EF27AD">
      <w:pPr>
        <w:pStyle w:val="5"/>
      </w:pPr>
      <w:r w:rsidRPr="002B55E9">
        <w:rPr>
          <w:rFonts w:hint="eastAsia"/>
        </w:rPr>
        <w:t>预测</w:t>
      </w:r>
      <w:r w:rsidRPr="002B55E9">
        <w:t>时段</w:t>
      </w:r>
    </w:p>
    <w:p w14:paraId="474DF238" w14:textId="77777777" w:rsidR="00D170E5" w:rsidRPr="002B55E9" w:rsidRDefault="00EF27AD">
      <w:pPr>
        <w:pStyle w:val="aa"/>
        <w:rPr>
          <w:szCs w:val="32"/>
        </w:rPr>
      </w:pPr>
      <w:r w:rsidRPr="002B55E9">
        <w:rPr>
          <w:rFonts w:hint="eastAsia"/>
        </w:rPr>
        <w:t>根据本项目工程特点，施工期及服务期满后对地下水环境影响极小，主要污染产生于运营期，根据《环境影响评价技术导则</w:t>
      </w:r>
      <w:r w:rsidRPr="002B55E9">
        <w:rPr>
          <w:rFonts w:hint="eastAsia"/>
        </w:rPr>
        <w:t xml:space="preserve">  </w:t>
      </w:r>
      <w:r w:rsidRPr="002B55E9">
        <w:rPr>
          <w:rFonts w:hint="eastAsia"/>
        </w:rPr>
        <w:t>地下水环境》（</w:t>
      </w:r>
      <w:r w:rsidRPr="002B55E9">
        <w:rPr>
          <w:rFonts w:hint="eastAsia"/>
        </w:rPr>
        <w:t>HJ610-2016</w:t>
      </w:r>
      <w:r w:rsidRPr="002B55E9">
        <w:rPr>
          <w:rFonts w:hint="eastAsia"/>
        </w:rPr>
        <w:t>）的相关要求，选取</w:t>
      </w:r>
      <w:r w:rsidRPr="002B55E9">
        <w:t>3</w:t>
      </w:r>
      <w:r w:rsidRPr="002B55E9">
        <w:rPr>
          <w:rFonts w:hint="eastAsia"/>
        </w:rPr>
        <w:t>0</w:t>
      </w:r>
      <w:r w:rsidRPr="002B55E9">
        <w:rPr>
          <w:rFonts w:hint="eastAsia"/>
        </w:rPr>
        <w:t>天、</w:t>
      </w:r>
      <w:r w:rsidRPr="002B55E9">
        <w:rPr>
          <w:rFonts w:hint="eastAsia"/>
        </w:rPr>
        <w:t>100</w:t>
      </w:r>
      <w:r w:rsidRPr="002B55E9">
        <w:rPr>
          <w:rFonts w:hint="eastAsia"/>
        </w:rPr>
        <w:t>天、</w:t>
      </w:r>
      <w:r w:rsidRPr="002B55E9">
        <w:rPr>
          <w:rFonts w:hint="eastAsia"/>
        </w:rPr>
        <w:t>1000</w:t>
      </w:r>
      <w:r w:rsidRPr="002B55E9">
        <w:rPr>
          <w:rFonts w:hint="eastAsia"/>
        </w:rPr>
        <w:t>天和</w:t>
      </w:r>
      <w:r w:rsidRPr="002B55E9">
        <w:t>10950</w:t>
      </w:r>
      <w:r w:rsidRPr="002B55E9">
        <w:rPr>
          <w:rFonts w:hint="eastAsia"/>
        </w:rPr>
        <w:t>天（</w:t>
      </w:r>
      <w:r w:rsidRPr="002B55E9">
        <w:rPr>
          <w:rFonts w:hint="eastAsia"/>
        </w:rPr>
        <w:t>30</w:t>
      </w:r>
      <w:r w:rsidRPr="002B55E9">
        <w:rPr>
          <w:rFonts w:hint="eastAsia"/>
        </w:rPr>
        <w:t>年）为时间节点，初步了解污染物在地下水中的迁移规律，在此基础规律上，分析选取其它能反应污染物迁移规律或特殊事件的特征时间节点，全面客观的解析地下水中特征污染物的“补径排”过程。</w:t>
      </w:r>
    </w:p>
    <w:p w14:paraId="14521887" w14:textId="77777777" w:rsidR="00D170E5" w:rsidRPr="002B55E9" w:rsidRDefault="00EF27AD">
      <w:pPr>
        <w:pStyle w:val="5"/>
      </w:pPr>
      <w:r w:rsidRPr="002B55E9">
        <w:rPr>
          <w:rFonts w:hint="eastAsia"/>
        </w:rPr>
        <w:t>情景</w:t>
      </w:r>
      <w:r w:rsidRPr="002B55E9">
        <w:t>设置</w:t>
      </w:r>
    </w:p>
    <w:p w14:paraId="2C839FC7" w14:textId="77777777" w:rsidR="00D170E5" w:rsidRPr="002B55E9" w:rsidRDefault="00EF27AD">
      <w:pPr>
        <w:pStyle w:val="affff7"/>
        <w:snapToGrid w:val="0"/>
        <w:spacing w:after="0"/>
        <w:rPr>
          <w:lang w:val="en-GB"/>
        </w:rPr>
      </w:pPr>
      <w:r w:rsidRPr="002B55E9">
        <w:rPr>
          <w:rFonts w:hint="eastAsia"/>
          <w:lang w:val="en-GB"/>
        </w:rPr>
        <w:t>本项目厂区</w:t>
      </w:r>
      <w:r w:rsidRPr="002B55E9">
        <w:rPr>
          <w:lang w:val="en-GB"/>
        </w:rPr>
        <w:t>内污水管道</w:t>
      </w:r>
      <w:r w:rsidRPr="002B55E9">
        <w:rPr>
          <w:rFonts w:hint="eastAsia"/>
          <w:lang w:val="en-GB"/>
        </w:rPr>
        <w:t>拟</w:t>
      </w:r>
      <w:r w:rsidRPr="002B55E9">
        <w:rPr>
          <w:lang w:val="en-GB"/>
        </w:rPr>
        <w:t>按相关要求</w:t>
      </w:r>
      <w:r w:rsidRPr="002B55E9">
        <w:rPr>
          <w:rFonts w:hint="eastAsia"/>
          <w:lang w:val="en-GB"/>
        </w:rPr>
        <w:t>采取</w:t>
      </w:r>
      <w:r w:rsidRPr="002B55E9">
        <w:rPr>
          <w:lang w:val="en-GB"/>
        </w:rPr>
        <w:t>防渗措施</w:t>
      </w:r>
      <w:r w:rsidRPr="002B55E9">
        <w:rPr>
          <w:rFonts w:hint="eastAsia"/>
        </w:rPr>
        <w:t>，</w:t>
      </w:r>
      <w:r w:rsidRPr="002B55E9">
        <w:rPr>
          <w:rFonts w:hint="eastAsia"/>
          <w:lang w:val="en-GB"/>
        </w:rPr>
        <w:t>根据《环境影响评价技术导则</w:t>
      </w:r>
      <w:r w:rsidRPr="002B55E9">
        <w:rPr>
          <w:rFonts w:hint="eastAsia"/>
          <w:lang w:val="en-GB"/>
        </w:rPr>
        <w:t xml:space="preserve"> </w:t>
      </w:r>
      <w:r w:rsidRPr="002B55E9">
        <w:rPr>
          <w:rFonts w:hint="eastAsia"/>
          <w:lang w:val="en-GB"/>
        </w:rPr>
        <w:t>地下水环境》（</w:t>
      </w:r>
      <w:r w:rsidRPr="002B55E9">
        <w:rPr>
          <w:rFonts w:hint="eastAsia"/>
          <w:lang w:val="en-GB"/>
        </w:rPr>
        <w:t>H</w:t>
      </w:r>
      <w:r w:rsidRPr="002B55E9">
        <w:rPr>
          <w:lang w:val="en-GB"/>
        </w:rPr>
        <w:t>J610-2016</w:t>
      </w:r>
      <w:r w:rsidRPr="002B55E9">
        <w:rPr>
          <w:rFonts w:hint="eastAsia"/>
          <w:lang w:val="en-GB"/>
        </w:rPr>
        <w:t>）</w:t>
      </w:r>
      <w:r w:rsidRPr="002B55E9">
        <w:rPr>
          <w:rFonts w:hint="eastAsia"/>
          <w:lang w:val="en-GB"/>
        </w:rPr>
        <w:t>9</w:t>
      </w:r>
      <w:r w:rsidRPr="002B55E9">
        <w:rPr>
          <w:lang w:val="en-GB"/>
        </w:rPr>
        <w:t>.4.2</w:t>
      </w:r>
      <w:r w:rsidRPr="002B55E9">
        <w:rPr>
          <w:rFonts w:hint="eastAsia"/>
          <w:lang w:val="en-GB"/>
        </w:rPr>
        <w:t>条，可不进行正常状况情景下的预测。因此本次</w:t>
      </w:r>
      <w:r w:rsidRPr="002B55E9">
        <w:rPr>
          <w:lang w:val="en-GB"/>
        </w:rPr>
        <w:t>以拟建项目污水管道</w:t>
      </w:r>
      <w:r w:rsidRPr="002B55E9">
        <w:rPr>
          <w:rFonts w:hint="eastAsia"/>
          <w:lang w:val="en-GB"/>
        </w:rPr>
        <w:t>破损</w:t>
      </w:r>
      <w:r w:rsidRPr="002B55E9">
        <w:rPr>
          <w:lang w:val="en-GB"/>
        </w:rPr>
        <w:t>的非正常情况下</w:t>
      </w:r>
      <w:r w:rsidRPr="002B55E9">
        <w:rPr>
          <w:rFonts w:hint="eastAsia"/>
        </w:rPr>
        <w:t>污水泄漏造成地下水污染。</w:t>
      </w:r>
    </w:p>
    <w:p w14:paraId="509559A0" w14:textId="77777777" w:rsidR="00D170E5" w:rsidRPr="002B55E9" w:rsidRDefault="00EF27AD">
      <w:pPr>
        <w:pStyle w:val="5"/>
      </w:pPr>
      <w:r w:rsidRPr="002B55E9">
        <w:rPr>
          <w:rFonts w:hint="eastAsia"/>
        </w:rPr>
        <w:lastRenderedPageBreak/>
        <w:t>预测因子</w:t>
      </w:r>
      <w:r w:rsidRPr="002B55E9">
        <w:t>及</w:t>
      </w:r>
      <w:r w:rsidRPr="002B55E9">
        <w:rPr>
          <w:rFonts w:hint="eastAsia"/>
        </w:rPr>
        <w:t>源强</w:t>
      </w:r>
    </w:p>
    <w:p w14:paraId="0C9C4225" w14:textId="77777777" w:rsidR="00D170E5" w:rsidRPr="002B55E9" w:rsidRDefault="00EF27AD">
      <w:pPr>
        <w:pStyle w:val="affff7"/>
        <w:snapToGrid w:val="0"/>
        <w:spacing w:after="0"/>
        <w:rPr>
          <w:szCs w:val="24"/>
        </w:rPr>
      </w:pPr>
      <w:r w:rsidRPr="002B55E9">
        <w:rPr>
          <w:rFonts w:hint="eastAsia"/>
        </w:rPr>
        <w:t>本次评价选取厂区</w:t>
      </w:r>
      <w:r w:rsidRPr="002B55E9">
        <w:t>内</w:t>
      </w:r>
      <w:r w:rsidRPr="002B55E9">
        <w:rPr>
          <w:rFonts w:hint="eastAsia"/>
        </w:rPr>
        <w:t>废水</w:t>
      </w:r>
      <w:r w:rsidRPr="002B55E9">
        <w:t>管道</w:t>
      </w:r>
      <w:r w:rsidRPr="002B55E9">
        <w:rPr>
          <w:rFonts w:hint="eastAsia"/>
        </w:rPr>
        <w:t>所造成的地下水污染情况进行预测，结合污染物的来源以及对各因子采用标准指数法进行排序，选取</w:t>
      </w:r>
      <w:r w:rsidRPr="002B55E9">
        <w:rPr>
          <w:rFonts w:hint="eastAsia"/>
        </w:rPr>
        <w:t>COD</w:t>
      </w:r>
      <w:r w:rsidRPr="002B55E9">
        <w:rPr>
          <w:rFonts w:hint="eastAsia"/>
        </w:rPr>
        <w:t>作为预测因子，虽然</w:t>
      </w:r>
      <w:r w:rsidRPr="002B55E9">
        <w:t>COD</w:t>
      </w:r>
      <w:r w:rsidRPr="002B55E9">
        <w:rPr>
          <w:rFonts w:hint="eastAsia"/>
        </w:rPr>
        <w:t>在地表含量较高，但实验数据显示进入地下水后含量极低，基本被沿途生物消耗掉，因此用高锰酸盐指数替代，其含量可以反映地下水中有机污染物的大小。项目设备</w:t>
      </w:r>
      <w:r w:rsidRPr="002B55E9">
        <w:t>清洗</w:t>
      </w:r>
      <w:r w:rsidRPr="002B55E9">
        <w:t>CODcr</w:t>
      </w:r>
      <w:r w:rsidRPr="002B55E9">
        <w:rPr>
          <w:rFonts w:hint="eastAsia"/>
        </w:rPr>
        <w:t>的浓度约为</w:t>
      </w:r>
      <w:r w:rsidRPr="002B55E9">
        <w:t>6</w:t>
      </w:r>
      <w:r w:rsidRPr="002B55E9">
        <w:rPr>
          <w:rFonts w:hint="eastAsia"/>
        </w:rPr>
        <w:t>000</w:t>
      </w:r>
      <w:r w:rsidRPr="002B55E9">
        <w:t>mg/L</w:t>
      </w:r>
      <w:r w:rsidRPr="002B55E9">
        <w:rPr>
          <w:rFonts w:hint="eastAsia"/>
        </w:rPr>
        <w:t>，</w:t>
      </w:r>
      <w:r w:rsidRPr="002B55E9">
        <w:rPr>
          <w:szCs w:val="24"/>
        </w:rPr>
        <w:t>根据上海市环境监测站《浅析地表水中</w:t>
      </w:r>
      <w:r w:rsidRPr="002B55E9">
        <w:rPr>
          <w:szCs w:val="24"/>
        </w:rPr>
        <w:t>COD</w:t>
      </w:r>
      <w:r w:rsidRPr="002B55E9">
        <w:rPr>
          <w:szCs w:val="24"/>
          <w:vertAlign w:val="subscript"/>
        </w:rPr>
        <w:t>Cr</w:t>
      </w:r>
      <w:r w:rsidRPr="002B55E9">
        <w:rPr>
          <w:szCs w:val="24"/>
        </w:rPr>
        <w:t>、</w:t>
      </w:r>
      <w:r w:rsidRPr="002B55E9">
        <w:rPr>
          <w:szCs w:val="24"/>
        </w:rPr>
        <w:t>COD</w:t>
      </w:r>
      <w:r w:rsidRPr="002B55E9">
        <w:rPr>
          <w:szCs w:val="24"/>
          <w:vertAlign w:val="subscript"/>
        </w:rPr>
        <w:t>Mn</w:t>
      </w:r>
      <w:r w:rsidRPr="002B55E9">
        <w:rPr>
          <w:szCs w:val="24"/>
        </w:rPr>
        <w:t>、</w:t>
      </w:r>
      <w:r w:rsidRPr="002B55E9">
        <w:rPr>
          <w:szCs w:val="24"/>
        </w:rPr>
        <w:t>BOD</w:t>
      </w:r>
      <w:r w:rsidRPr="002B55E9">
        <w:rPr>
          <w:szCs w:val="24"/>
          <w:vertAlign w:val="subscript"/>
        </w:rPr>
        <w:t>5</w:t>
      </w:r>
      <w:r w:rsidRPr="002B55E9">
        <w:rPr>
          <w:szCs w:val="24"/>
        </w:rPr>
        <w:t>的相关性》研究成果，换算成</w:t>
      </w:r>
      <w:r w:rsidRPr="002B55E9">
        <w:rPr>
          <w:szCs w:val="24"/>
        </w:rPr>
        <w:t>CODcr</w:t>
      </w:r>
      <w:r w:rsidRPr="002B55E9">
        <w:rPr>
          <w:szCs w:val="24"/>
        </w:rPr>
        <w:t>值按下式计算</w:t>
      </w:r>
      <w:r w:rsidRPr="002B55E9">
        <w:rPr>
          <w:szCs w:val="24"/>
        </w:rPr>
        <w:t>:Y=4.2407X</w:t>
      </w:r>
      <w:r w:rsidRPr="002B55E9">
        <w:rPr>
          <w:szCs w:val="24"/>
        </w:rPr>
        <w:t>－</w:t>
      </w:r>
      <w:r w:rsidRPr="002B55E9">
        <w:rPr>
          <w:szCs w:val="24"/>
        </w:rPr>
        <w:t>5.675</w:t>
      </w:r>
    </w:p>
    <w:p w14:paraId="61A231F2" w14:textId="77777777" w:rsidR="00D170E5" w:rsidRPr="002B55E9" w:rsidRDefault="00EF27AD">
      <w:pPr>
        <w:spacing w:line="360" w:lineRule="auto"/>
        <w:ind w:firstLineChars="200" w:firstLine="480"/>
        <w:rPr>
          <w:sz w:val="24"/>
        </w:rPr>
      </w:pPr>
      <w:r w:rsidRPr="002B55E9">
        <w:rPr>
          <w:sz w:val="24"/>
        </w:rPr>
        <w:t>其中：</w:t>
      </w:r>
      <w:r w:rsidRPr="002B55E9">
        <w:rPr>
          <w:sz w:val="24"/>
        </w:rPr>
        <w:t>Y-CODcr   X-CODmn</w:t>
      </w:r>
    </w:p>
    <w:p w14:paraId="26630D12" w14:textId="77777777" w:rsidR="00D170E5" w:rsidRPr="002B55E9" w:rsidRDefault="00EF27AD">
      <w:pPr>
        <w:pStyle w:val="affff7"/>
      </w:pPr>
      <w:r w:rsidRPr="002B55E9">
        <w:rPr>
          <w:szCs w:val="24"/>
        </w:rPr>
        <w:t>当</w:t>
      </w:r>
      <w:r w:rsidRPr="002B55E9">
        <w:rPr>
          <w:szCs w:val="24"/>
        </w:rPr>
        <w:t>COD</w:t>
      </w:r>
      <w:r w:rsidRPr="002B55E9">
        <w:rPr>
          <w:rFonts w:hint="eastAsia"/>
          <w:szCs w:val="24"/>
        </w:rPr>
        <w:t>cr</w:t>
      </w:r>
      <w:r w:rsidRPr="002B55E9">
        <w:rPr>
          <w:szCs w:val="24"/>
        </w:rPr>
        <w:t>=6000mg/l</w:t>
      </w:r>
      <w:r w:rsidRPr="002B55E9">
        <w:rPr>
          <w:szCs w:val="24"/>
        </w:rPr>
        <w:t>时，</w:t>
      </w:r>
      <w:r w:rsidRPr="002B55E9">
        <w:rPr>
          <w:szCs w:val="24"/>
        </w:rPr>
        <w:t>COD</w:t>
      </w:r>
      <w:r w:rsidRPr="002B55E9">
        <w:rPr>
          <w:rFonts w:hint="eastAsia"/>
          <w:szCs w:val="24"/>
        </w:rPr>
        <w:t>mn</w:t>
      </w:r>
      <w:r w:rsidRPr="002B55E9">
        <w:rPr>
          <w:szCs w:val="24"/>
        </w:rPr>
        <w:t>=1417.6mg/l</w:t>
      </w:r>
      <w:r w:rsidRPr="002B55E9">
        <w:rPr>
          <w:szCs w:val="24"/>
        </w:rPr>
        <w:t>。</w:t>
      </w:r>
    </w:p>
    <w:p w14:paraId="40F9448E" w14:textId="77777777" w:rsidR="00D170E5" w:rsidRPr="002B55E9" w:rsidRDefault="00EF27AD">
      <w:pPr>
        <w:pStyle w:val="affff7"/>
      </w:pPr>
      <w:r w:rsidRPr="002B55E9">
        <w:rPr>
          <w:rFonts w:hint="eastAsia"/>
        </w:rPr>
        <w:t>预测工况考虑最恶劣情况下，即在防渗措施已经无效的条件下，分别计算</w:t>
      </w:r>
      <w:r w:rsidRPr="002B55E9">
        <w:t>3</w:t>
      </w:r>
      <w:r w:rsidRPr="002B55E9">
        <w:rPr>
          <w:rFonts w:hint="eastAsia"/>
        </w:rPr>
        <w:t>0</w:t>
      </w:r>
      <w:r w:rsidRPr="002B55E9">
        <w:rPr>
          <w:rFonts w:hint="eastAsia"/>
        </w:rPr>
        <w:t>天、</w:t>
      </w:r>
      <w:r w:rsidRPr="002B55E9">
        <w:rPr>
          <w:rFonts w:hint="eastAsia"/>
        </w:rPr>
        <w:t>100</w:t>
      </w:r>
      <w:r w:rsidRPr="002B55E9">
        <w:rPr>
          <w:rFonts w:hint="eastAsia"/>
        </w:rPr>
        <w:t>天、</w:t>
      </w:r>
      <w:r w:rsidRPr="002B55E9">
        <w:rPr>
          <w:rFonts w:hint="eastAsia"/>
        </w:rPr>
        <w:t>1000</w:t>
      </w:r>
      <w:r w:rsidRPr="002B55E9">
        <w:rPr>
          <w:rFonts w:hint="eastAsia"/>
        </w:rPr>
        <w:t>天和</w:t>
      </w:r>
      <w:r w:rsidRPr="002B55E9">
        <w:t>10950</w:t>
      </w:r>
      <w:r w:rsidRPr="002B55E9">
        <w:rPr>
          <w:rFonts w:hint="eastAsia"/>
        </w:rPr>
        <w:t>天（</w:t>
      </w:r>
      <w:r w:rsidRPr="002B55E9">
        <w:rPr>
          <w:rFonts w:hint="eastAsia"/>
        </w:rPr>
        <w:t>30</w:t>
      </w:r>
      <w:r w:rsidRPr="002B55E9">
        <w:rPr>
          <w:rFonts w:hint="eastAsia"/>
        </w:rPr>
        <w:t>年）的污染物的超标距离与最大运移距离。</w:t>
      </w:r>
    </w:p>
    <w:p w14:paraId="35C7CD55" w14:textId="77777777" w:rsidR="00D170E5" w:rsidRPr="002B55E9" w:rsidRDefault="00EF27AD">
      <w:pPr>
        <w:pStyle w:val="5"/>
      </w:pPr>
      <w:r w:rsidRPr="002B55E9">
        <w:rPr>
          <w:rFonts w:hint="eastAsia"/>
        </w:rPr>
        <w:t>预测</w:t>
      </w:r>
      <w:r w:rsidRPr="002B55E9">
        <w:t>模式</w:t>
      </w:r>
    </w:p>
    <w:p w14:paraId="4D1D163C" w14:textId="77777777" w:rsidR="00D170E5" w:rsidRPr="002B55E9" w:rsidRDefault="00EF27AD">
      <w:pPr>
        <w:widowControl/>
        <w:spacing w:after="60" w:line="360" w:lineRule="auto"/>
        <w:ind w:firstLineChars="200" w:firstLine="480"/>
        <w:rPr>
          <w:bCs/>
          <w:snapToGrid w:val="0"/>
          <w:sz w:val="24"/>
        </w:rPr>
      </w:pPr>
      <w:r w:rsidRPr="002B55E9">
        <w:rPr>
          <w:rFonts w:cs="宋体" w:hint="eastAsia"/>
          <w:bCs/>
          <w:snapToGrid w:val="0"/>
          <w:sz w:val="24"/>
          <w:lang w:bidi="ar"/>
        </w:rPr>
        <w:t>对污染物的厂区潜水环境影响预测采用《环境影响评价技术导则</w:t>
      </w:r>
      <w:r w:rsidRPr="002B55E9">
        <w:rPr>
          <w:bCs/>
          <w:snapToGrid w:val="0"/>
          <w:sz w:val="24"/>
          <w:lang w:bidi="ar"/>
        </w:rPr>
        <w:t>-</w:t>
      </w:r>
      <w:r w:rsidRPr="002B55E9">
        <w:rPr>
          <w:rFonts w:cs="宋体" w:hint="eastAsia"/>
          <w:bCs/>
          <w:snapToGrid w:val="0"/>
          <w:sz w:val="24"/>
          <w:lang w:bidi="ar"/>
        </w:rPr>
        <w:t>地下水环境》（</w:t>
      </w:r>
      <w:r w:rsidRPr="002B55E9">
        <w:rPr>
          <w:bCs/>
          <w:snapToGrid w:val="0"/>
          <w:sz w:val="24"/>
          <w:lang w:bidi="ar"/>
        </w:rPr>
        <w:t>HJ610-2016</w:t>
      </w:r>
      <w:r w:rsidRPr="002B55E9">
        <w:rPr>
          <w:rFonts w:cs="宋体" w:hint="eastAsia"/>
          <w:bCs/>
          <w:snapToGrid w:val="0"/>
          <w:sz w:val="24"/>
          <w:lang w:bidi="ar"/>
        </w:rPr>
        <w:t>）推荐的一维稳定流动一维水动力弥散问题，概化条件为一维半无限长多孔介质柱体，一端为定浓度边界。其解析式为：</w:t>
      </w:r>
    </w:p>
    <w:p w14:paraId="6FEAEC43" w14:textId="77777777" w:rsidR="00D170E5" w:rsidRPr="002B55E9" w:rsidRDefault="00EF27AD">
      <w:pPr>
        <w:widowControl/>
        <w:spacing w:after="60" w:line="360" w:lineRule="auto"/>
        <w:jc w:val="center"/>
        <w:rPr>
          <w:bCs/>
          <w:snapToGrid w:val="0"/>
          <w:sz w:val="24"/>
        </w:rPr>
      </w:pPr>
      <w:r w:rsidRPr="002B55E9">
        <w:rPr>
          <w:noProof/>
          <w:sz w:val="24"/>
        </w:rPr>
        <w:drawing>
          <wp:inline distT="0" distB="0" distL="0" distR="0" wp14:anchorId="2C91D770" wp14:editId="7202B92E">
            <wp:extent cx="3567430" cy="854075"/>
            <wp:effectExtent l="0" t="0" r="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567430" cy="854075"/>
                    </a:xfrm>
                    <a:prstGeom prst="rect">
                      <a:avLst/>
                    </a:prstGeom>
                    <a:noFill/>
                    <a:ln>
                      <a:noFill/>
                    </a:ln>
                  </pic:spPr>
                </pic:pic>
              </a:graphicData>
            </a:graphic>
          </wp:inline>
        </w:drawing>
      </w:r>
    </w:p>
    <w:p w14:paraId="2276B8D5" w14:textId="77777777" w:rsidR="00D170E5" w:rsidRPr="002B55E9" w:rsidRDefault="00EF27AD">
      <w:pPr>
        <w:widowControl/>
        <w:spacing w:after="60" w:line="360" w:lineRule="auto"/>
        <w:ind w:firstLineChars="200" w:firstLine="480"/>
        <w:rPr>
          <w:bCs/>
          <w:snapToGrid w:val="0"/>
          <w:sz w:val="24"/>
        </w:rPr>
      </w:pPr>
      <w:r w:rsidRPr="002B55E9">
        <w:rPr>
          <w:rFonts w:cs="宋体" w:hint="eastAsia"/>
          <w:bCs/>
          <w:snapToGrid w:val="0"/>
          <w:sz w:val="24"/>
          <w:lang w:bidi="ar"/>
        </w:rPr>
        <w:t>式中，</w:t>
      </w:r>
      <w:r w:rsidRPr="002B55E9">
        <w:rPr>
          <w:bCs/>
          <w:snapToGrid w:val="0"/>
          <w:sz w:val="24"/>
          <w:lang w:bidi="ar"/>
        </w:rPr>
        <w:t>x</w:t>
      </w:r>
      <w:r w:rsidRPr="002B55E9">
        <w:rPr>
          <w:rFonts w:cs="宋体" w:hint="eastAsia"/>
          <w:bCs/>
          <w:snapToGrid w:val="0"/>
          <w:sz w:val="24"/>
          <w:lang w:bidi="ar"/>
        </w:rPr>
        <w:t>：距注入点的距离，</w:t>
      </w:r>
      <w:r w:rsidRPr="002B55E9">
        <w:rPr>
          <w:bCs/>
          <w:snapToGrid w:val="0"/>
          <w:sz w:val="24"/>
          <w:lang w:bidi="ar"/>
        </w:rPr>
        <w:t>m</w:t>
      </w:r>
      <w:r w:rsidRPr="002B55E9">
        <w:rPr>
          <w:rFonts w:cs="宋体" w:hint="eastAsia"/>
          <w:bCs/>
          <w:snapToGrid w:val="0"/>
          <w:sz w:val="24"/>
          <w:lang w:bidi="ar"/>
        </w:rPr>
        <w:t>；</w:t>
      </w:r>
    </w:p>
    <w:p w14:paraId="3F9D8BD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t</w:t>
      </w:r>
      <w:r w:rsidRPr="002B55E9">
        <w:rPr>
          <w:rFonts w:cs="宋体" w:hint="eastAsia"/>
          <w:bCs/>
          <w:snapToGrid w:val="0"/>
          <w:sz w:val="24"/>
          <w:lang w:bidi="ar"/>
        </w:rPr>
        <w:t>：时间，</w:t>
      </w:r>
      <w:r w:rsidRPr="002B55E9">
        <w:rPr>
          <w:bCs/>
          <w:snapToGrid w:val="0"/>
          <w:sz w:val="24"/>
          <w:lang w:bidi="ar"/>
        </w:rPr>
        <w:t>d</w:t>
      </w:r>
      <w:r w:rsidRPr="002B55E9">
        <w:rPr>
          <w:rFonts w:cs="宋体" w:hint="eastAsia"/>
          <w:bCs/>
          <w:snapToGrid w:val="0"/>
          <w:sz w:val="24"/>
          <w:lang w:bidi="ar"/>
        </w:rPr>
        <w:t>；</w:t>
      </w:r>
    </w:p>
    <w:p w14:paraId="1A0A5D0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C(x</w:t>
      </w:r>
      <w:r w:rsidRPr="002B55E9">
        <w:rPr>
          <w:rFonts w:cs="宋体" w:hint="eastAsia"/>
          <w:bCs/>
          <w:snapToGrid w:val="0"/>
          <w:sz w:val="24"/>
          <w:lang w:bidi="ar"/>
        </w:rPr>
        <w:t>，</w:t>
      </w:r>
      <w:r w:rsidRPr="002B55E9">
        <w:rPr>
          <w:bCs/>
          <w:snapToGrid w:val="0"/>
          <w:sz w:val="24"/>
          <w:lang w:bidi="ar"/>
        </w:rPr>
        <w:t>t)</w:t>
      </w:r>
      <w:r w:rsidRPr="002B55E9">
        <w:rPr>
          <w:rFonts w:cs="宋体" w:hint="eastAsia"/>
          <w:bCs/>
          <w:snapToGrid w:val="0"/>
          <w:sz w:val="24"/>
          <w:lang w:bidi="ar"/>
        </w:rPr>
        <w:t>：</w:t>
      </w:r>
      <w:r w:rsidRPr="002B55E9">
        <w:rPr>
          <w:bCs/>
          <w:snapToGrid w:val="0"/>
          <w:sz w:val="24"/>
          <w:lang w:bidi="ar"/>
        </w:rPr>
        <w:t>t</w:t>
      </w:r>
      <w:r w:rsidRPr="002B55E9">
        <w:rPr>
          <w:rFonts w:cs="宋体" w:hint="eastAsia"/>
          <w:bCs/>
          <w:snapToGrid w:val="0"/>
          <w:sz w:val="24"/>
          <w:lang w:bidi="ar"/>
        </w:rPr>
        <w:t>时刻</w:t>
      </w:r>
      <w:r w:rsidRPr="002B55E9">
        <w:rPr>
          <w:bCs/>
          <w:snapToGrid w:val="0"/>
          <w:sz w:val="24"/>
          <w:lang w:bidi="ar"/>
        </w:rPr>
        <w:t>x</w:t>
      </w:r>
      <w:r w:rsidRPr="002B55E9">
        <w:rPr>
          <w:rFonts w:cs="宋体" w:hint="eastAsia"/>
          <w:bCs/>
          <w:snapToGrid w:val="0"/>
          <w:sz w:val="24"/>
          <w:lang w:bidi="ar"/>
        </w:rPr>
        <w:t>处的示踪剂浓度，</w:t>
      </w:r>
      <w:r w:rsidRPr="002B55E9">
        <w:rPr>
          <w:bCs/>
          <w:snapToGrid w:val="0"/>
          <w:sz w:val="24"/>
          <w:lang w:bidi="ar"/>
        </w:rPr>
        <w:t>g/L</w:t>
      </w:r>
      <w:r w:rsidRPr="002B55E9">
        <w:rPr>
          <w:rFonts w:cs="宋体" w:hint="eastAsia"/>
          <w:bCs/>
          <w:snapToGrid w:val="0"/>
          <w:sz w:val="24"/>
          <w:lang w:bidi="ar"/>
        </w:rPr>
        <w:t>；</w:t>
      </w:r>
    </w:p>
    <w:p w14:paraId="1A9F5F3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C</w:t>
      </w:r>
      <w:r w:rsidRPr="002B55E9">
        <w:rPr>
          <w:bCs/>
          <w:snapToGrid w:val="0"/>
          <w:sz w:val="24"/>
          <w:vertAlign w:val="subscript"/>
          <w:lang w:bidi="ar"/>
        </w:rPr>
        <w:t>0</w:t>
      </w:r>
      <w:r w:rsidRPr="002B55E9">
        <w:rPr>
          <w:rFonts w:cs="宋体" w:hint="eastAsia"/>
          <w:bCs/>
          <w:snapToGrid w:val="0"/>
          <w:sz w:val="24"/>
          <w:lang w:bidi="ar"/>
        </w:rPr>
        <w:t>：注入的示踪剂浓度，</w:t>
      </w:r>
      <w:r w:rsidRPr="002B55E9">
        <w:rPr>
          <w:bCs/>
          <w:snapToGrid w:val="0"/>
          <w:sz w:val="24"/>
          <w:lang w:bidi="ar"/>
        </w:rPr>
        <w:t>g/L</w:t>
      </w:r>
      <w:r w:rsidRPr="002B55E9">
        <w:rPr>
          <w:rFonts w:cs="宋体" w:hint="eastAsia"/>
          <w:bCs/>
          <w:snapToGrid w:val="0"/>
          <w:sz w:val="24"/>
          <w:lang w:bidi="ar"/>
        </w:rPr>
        <w:t>；</w:t>
      </w:r>
    </w:p>
    <w:p w14:paraId="6F145EA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u</w:t>
      </w:r>
      <w:r w:rsidRPr="002B55E9">
        <w:rPr>
          <w:rFonts w:cs="宋体" w:hint="eastAsia"/>
          <w:bCs/>
          <w:snapToGrid w:val="0"/>
          <w:sz w:val="24"/>
          <w:lang w:bidi="ar"/>
        </w:rPr>
        <w:t>：水流速度，</w:t>
      </w:r>
      <w:r w:rsidRPr="002B55E9">
        <w:rPr>
          <w:bCs/>
          <w:snapToGrid w:val="0"/>
          <w:sz w:val="24"/>
          <w:lang w:bidi="ar"/>
        </w:rPr>
        <w:t>m/d</w:t>
      </w:r>
      <w:r w:rsidRPr="002B55E9">
        <w:rPr>
          <w:rFonts w:cs="宋体" w:hint="eastAsia"/>
          <w:bCs/>
          <w:snapToGrid w:val="0"/>
          <w:sz w:val="24"/>
          <w:lang w:bidi="ar"/>
        </w:rPr>
        <w:t>；</w:t>
      </w:r>
    </w:p>
    <w:p w14:paraId="7B8003CE"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D</w:t>
      </w:r>
      <w:r w:rsidRPr="002B55E9">
        <w:rPr>
          <w:bCs/>
          <w:snapToGrid w:val="0"/>
          <w:sz w:val="24"/>
          <w:vertAlign w:val="subscript"/>
          <w:lang w:bidi="ar"/>
        </w:rPr>
        <w:t>L</w:t>
      </w:r>
      <w:r w:rsidRPr="002B55E9">
        <w:rPr>
          <w:rFonts w:cs="宋体" w:hint="eastAsia"/>
          <w:bCs/>
          <w:snapToGrid w:val="0"/>
          <w:sz w:val="24"/>
          <w:lang w:bidi="ar"/>
        </w:rPr>
        <w:t>：纵向弥散系数，</w:t>
      </w:r>
      <w:r w:rsidRPr="002B55E9">
        <w:rPr>
          <w:bCs/>
          <w:snapToGrid w:val="0"/>
          <w:sz w:val="24"/>
          <w:lang w:bidi="ar"/>
        </w:rPr>
        <w:t>m</w:t>
      </w:r>
      <w:r w:rsidRPr="002B55E9">
        <w:rPr>
          <w:bCs/>
          <w:snapToGrid w:val="0"/>
          <w:sz w:val="24"/>
          <w:vertAlign w:val="superscript"/>
          <w:lang w:bidi="ar"/>
        </w:rPr>
        <w:t>2</w:t>
      </w:r>
      <w:r w:rsidRPr="002B55E9">
        <w:rPr>
          <w:bCs/>
          <w:snapToGrid w:val="0"/>
          <w:sz w:val="24"/>
          <w:lang w:bidi="ar"/>
        </w:rPr>
        <w:t>/d</w:t>
      </w:r>
      <w:r w:rsidRPr="002B55E9">
        <w:rPr>
          <w:rFonts w:cs="宋体" w:hint="eastAsia"/>
          <w:bCs/>
          <w:snapToGrid w:val="0"/>
          <w:sz w:val="24"/>
          <w:lang w:bidi="ar"/>
        </w:rPr>
        <w:t>；</w:t>
      </w:r>
    </w:p>
    <w:p w14:paraId="791EFFA0"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lang w:bidi="ar"/>
        </w:rPr>
        <w:t>erfc</w:t>
      </w:r>
      <w:r w:rsidRPr="002B55E9">
        <w:rPr>
          <w:rFonts w:cs="宋体" w:hint="eastAsia"/>
          <w:bCs/>
          <w:snapToGrid w:val="0"/>
          <w:sz w:val="24"/>
          <w:lang w:bidi="ar"/>
        </w:rPr>
        <w:t>：余误差函数。</w:t>
      </w:r>
    </w:p>
    <w:p w14:paraId="35419ED4" w14:textId="77777777" w:rsidR="00D170E5" w:rsidRPr="002B55E9" w:rsidRDefault="00EF27AD">
      <w:pPr>
        <w:pStyle w:val="5"/>
      </w:pPr>
      <w:r w:rsidRPr="002B55E9">
        <w:rPr>
          <w:rFonts w:hint="eastAsia"/>
        </w:rPr>
        <w:t>预测</w:t>
      </w:r>
      <w:r w:rsidRPr="002B55E9">
        <w:t>参数确定</w:t>
      </w:r>
    </w:p>
    <w:p w14:paraId="3176EEAD" w14:textId="77777777" w:rsidR="00D170E5" w:rsidRPr="002B55E9" w:rsidRDefault="00EF27AD">
      <w:pPr>
        <w:widowControl/>
        <w:spacing w:line="360" w:lineRule="auto"/>
        <w:ind w:firstLineChars="200" w:firstLine="480"/>
        <w:rPr>
          <w:bCs/>
          <w:snapToGrid w:val="0"/>
          <w:sz w:val="24"/>
        </w:rPr>
      </w:pPr>
      <w:r w:rsidRPr="002B55E9">
        <w:rPr>
          <w:rFonts w:hint="eastAsia"/>
          <w:bCs/>
          <w:snapToGrid w:val="0"/>
          <w:sz w:val="24"/>
          <w:lang w:bidi="ar"/>
        </w:rPr>
        <w:t>根据《海天调味品建设项目（一期）岩土工程勘察报告》（中南勘察基础工程有限公司）中岩土工程地质分层，本次地下水预测参数选择均以黏土（又称粘土）进行选取。</w:t>
      </w:r>
    </w:p>
    <w:p w14:paraId="3AAF3D83" w14:textId="77777777" w:rsidR="00D170E5" w:rsidRPr="002B55E9" w:rsidRDefault="00EF27AD">
      <w:pPr>
        <w:widowControl/>
        <w:spacing w:line="360" w:lineRule="auto"/>
        <w:ind w:firstLineChars="200" w:firstLine="480"/>
        <w:rPr>
          <w:bCs/>
          <w:snapToGrid w:val="0"/>
          <w:sz w:val="24"/>
        </w:rPr>
      </w:pPr>
      <w:r w:rsidRPr="002B55E9">
        <w:rPr>
          <w:rFonts w:hint="eastAsia"/>
          <w:bCs/>
          <w:snapToGrid w:val="0"/>
          <w:sz w:val="24"/>
          <w:lang w:bidi="ar"/>
        </w:rPr>
        <w:t>（</w:t>
      </w:r>
      <w:r w:rsidRPr="002B55E9">
        <w:rPr>
          <w:bCs/>
          <w:snapToGrid w:val="0"/>
          <w:sz w:val="24"/>
          <w:lang w:bidi="ar"/>
        </w:rPr>
        <w:t>1</w:t>
      </w:r>
      <w:r w:rsidRPr="002B55E9">
        <w:rPr>
          <w:rFonts w:hint="eastAsia"/>
          <w:bCs/>
          <w:snapToGrid w:val="0"/>
          <w:sz w:val="24"/>
          <w:lang w:bidi="ar"/>
        </w:rPr>
        <w:t>）渗透系数确定</w:t>
      </w:r>
    </w:p>
    <w:p w14:paraId="6FD79C2F" w14:textId="77777777" w:rsidR="00D170E5" w:rsidRPr="002B55E9" w:rsidRDefault="00EF27AD">
      <w:pPr>
        <w:widowControl/>
        <w:spacing w:line="360" w:lineRule="auto"/>
        <w:ind w:firstLineChars="200" w:firstLine="480"/>
        <w:rPr>
          <w:sz w:val="24"/>
          <w:szCs w:val="21"/>
          <w:lang w:bidi="ar"/>
        </w:rPr>
      </w:pPr>
      <w:r w:rsidRPr="002B55E9">
        <w:rPr>
          <w:rFonts w:hint="eastAsia"/>
          <w:sz w:val="24"/>
          <w:szCs w:val="21"/>
          <w:lang w:bidi="ar"/>
        </w:rPr>
        <w:lastRenderedPageBreak/>
        <w:t>通过收集的地质资料，对照《环境影响评价技术导则</w:t>
      </w:r>
      <w:r w:rsidRPr="002B55E9">
        <w:rPr>
          <w:rFonts w:hint="eastAsia"/>
          <w:sz w:val="24"/>
          <w:szCs w:val="21"/>
          <w:lang w:bidi="ar"/>
        </w:rPr>
        <w:t xml:space="preserve"> </w:t>
      </w:r>
      <w:r w:rsidRPr="002B55E9">
        <w:rPr>
          <w:rFonts w:hint="eastAsia"/>
          <w:sz w:val="24"/>
          <w:szCs w:val="21"/>
          <w:lang w:bidi="ar"/>
        </w:rPr>
        <w:t>地下水环境》</w:t>
      </w:r>
      <w:r w:rsidRPr="002B55E9">
        <w:rPr>
          <w:rFonts w:hint="eastAsia"/>
          <w:sz w:val="24"/>
          <w:szCs w:val="21"/>
          <w:lang w:bidi="ar"/>
        </w:rPr>
        <w:t>(HJ610-2016)</w:t>
      </w:r>
      <w:r w:rsidRPr="002B55E9">
        <w:rPr>
          <w:rFonts w:hint="eastAsia"/>
          <w:sz w:val="24"/>
          <w:szCs w:val="21"/>
          <w:lang w:bidi="ar"/>
        </w:rPr>
        <w:t>附录</w:t>
      </w:r>
      <w:r w:rsidRPr="002B55E9">
        <w:rPr>
          <w:rFonts w:hint="eastAsia"/>
          <w:sz w:val="24"/>
          <w:szCs w:val="21"/>
          <w:lang w:bidi="ar"/>
        </w:rPr>
        <w:t>B</w:t>
      </w:r>
      <w:r w:rsidRPr="002B55E9">
        <w:rPr>
          <w:rFonts w:hint="eastAsia"/>
          <w:sz w:val="24"/>
          <w:szCs w:val="21"/>
          <w:lang w:bidi="ar"/>
        </w:rPr>
        <w:t>表</w:t>
      </w:r>
      <w:r w:rsidRPr="002B55E9">
        <w:rPr>
          <w:rFonts w:hint="eastAsia"/>
          <w:sz w:val="24"/>
          <w:szCs w:val="21"/>
          <w:lang w:bidi="ar"/>
        </w:rPr>
        <w:t>B.1</w:t>
      </w:r>
      <w:r w:rsidRPr="002B55E9">
        <w:rPr>
          <w:rFonts w:hint="eastAsia"/>
          <w:sz w:val="24"/>
          <w:szCs w:val="21"/>
          <w:lang w:bidi="ar"/>
        </w:rPr>
        <w:t>，可知项目区域调查评价区含水层等效渗透系数为</w:t>
      </w:r>
      <w:r w:rsidRPr="002B55E9">
        <w:rPr>
          <w:rFonts w:hint="eastAsia"/>
          <w:sz w:val="24"/>
          <w:szCs w:val="21"/>
          <w:lang w:bidi="ar"/>
        </w:rPr>
        <w:t>5.79</w:t>
      </w:r>
      <w:r w:rsidRPr="002B55E9">
        <w:rPr>
          <w:rFonts w:hint="eastAsia"/>
          <w:sz w:val="24"/>
          <w:szCs w:val="21"/>
          <w:lang w:bidi="ar"/>
        </w:rPr>
        <w:t>×</w:t>
      </w:r>
      <w:r w:rsidRPr="002B55E9">
        <w:rPr>
          <w:rFonts w:hint="eastAsia"/>
          <w:sz w:val="24"/>
          <w:szCs w:val="21"/>
          <w:lang w:bidi="ar"/>
        </w:rPr>
        <w:t>10</w:t>
      </w:r>
      <w:r w:rsidRPr="002B55E9">
        <w:rPr>
          <w:rFonts w:hint="eastAsia"/>
          <w:sz w:val="24"/>
          <w:szCs w:val="21"/>
          <w:vertAlign w:val="superscript"/>
          <w:lang w:bidi="ar"/>
        </w:rPr>
        <w:t>-5</w:t>
      </w:r>
      <w:r w:rsidRPr="002B55E9">
        <w:rPr>
          <w:rFonts w:hint="eastAsia"/>
          <w:sz w:val="24"/>
          <w:szCs w:val="21"/>
          <w:lang w:bidi="ar"/>
        </w:rPr>
        <w:t>c</w:t>
      </w:r>
      <w:r w:rsidRPr="002B55E9">
        <w:rPr>
          <w:sz w:val="24"/>
          <w:szCs w:val="21"/>
          <w:lang w:bidi="ar"/>
        </w:rPr>
        <w:t>m/</w:t>
      </w:r>
      <w:r w:rsidRPr="002B55E9">
        <w:rPr>
          <w:rFonts w:hint="eastAsia"/>
          <w:sz w:val="24"/>
          <w:szCs w:val="21"/>
          <w:lang w:bidi="ar"/>
        </w:rPr>
        <w:t>s</w:t>
      </w:r>
      <w:r w:rsidRPr="002B55E9">
        <w:rPr>
          <w:rFonts w:hint="eastAsia"/>
          <w:sz w:val="24"/>
          <w:szCs w:val="21"/>
          <w:lang w:bidi="ar"/>
        </w:rPr>
        <w:t>～</w:t>
      </w:r>
      <w:r w:rsidRPr="002B55E9">
        <w:rPr>
          <w:rFonts w:hint="eastAsia"/>
          <w:sz w:val="24"/>
          <w:szCs w:val="21"/>
          <w:lang w:bidi="ar"/>
        </w:rPr>
        <w:t>1.16</w:t>
      </w:r>
      <w:r w:rsidRPr="002B55E9">
        <w:rPr>
          <w:rFonts w:hint="eastAsia"/>
          <w:sz w:val="24"/>
          <w:szCs w:val="21"/>
          <w:lang w:bidi="ar"/>
        </w:rPr>
        <w:t>×</w:t>
      </w:r>
      <w:r w:rsidRPr="002B55E9">
        <w:rPr>
          <w:rFonts w:hint="eastAsia"/>
          <w:sz w:val="24"/>
          <w:szCs w:val="21"/>
          <w:lang w:bidi="ar"/>
        </w:rPr>
        <w:t>10</w:t>
      </w:r>
      <w:r w:rsidRPr="002B55E9">
        <w:rPr>
          <w:rFonts w:hint="eastAsia"/>
          <w:sz w:val="24"/>
          <w:szCs w:val="21"/>
          <w:vertAlign w:val="superscript"/>
          <w:lang w:bidi="ar"/>
        </w:rPr>
        <w:t>-4</w:t>
      </w:r>
      <w:r w:rsidRPr="002B55E9">
        <w:rPr>
          <w:rFonts w:hint="eastAsia"/>
          <w:sz w:val="24"/>
          <w:szCs w:val="21"/>
          <w:lang w:bidi="ar"/>
        </w:rPr>
        <w:t>c</w:t>
      </w:r>
      <w:r w:rsidRPr="002B55E9">
        <w:rPr>
          <w:sz w:val="24"/>
          <w:szCs w:val="21"/>
          <w:lang w:bidi="ar"/>
        </w:rPr>
        <w:t>m/</w:t>
      </w:r>
      <w:r w:rsidRPr="002B55E9">
        <w:rPr>
          <w:rFonts w:hint="eastAsia"/>
          <w:sz w:val="24"/>
          <w:szCs w:val="21"/>
          <w:lang w:bidi="ar"/>
        </w:rPr>
        <w:t>s</w:t>
      </w:r>
      <w:r w:rsidRPr="002B55E9">
        <w:rPr>
          <w:rFonts w:hint="eastAsia"/>
          <w:sz w:val="24"/>
          <w:szCs w:val="21"/>
          <w:lang w:bidi="ar"/>
        </w:rPr>
        <w:t>（</w:t>
      </w:r>
      <w:r w:rsidRPr="002B55E9">
        <w:rPr>
          <w:rFonts w:hint="eastAsia"/>
          <w:sz w:val="24"/>
          <w:szCs w:val="21"/>
          <w:lang w:bidi="ar"/>
        </w:rPr>
        <w:t>0.05m/d</w:t>
      </w:r>
      <w:r w:rsidRPr="002B55E9">
        <w:rPr>
          <w:rFonts w:hint="eastAsia"/>
          <w:sz w:val="24"/>
          <w:szCs w:val="21"/>
          <w:lang w:bidi="ar"/>
        </w:rPr>
        <w:t>～</w:t>
      </w:r>
      <w:r w:rsidRPr="002B55E9">
        <w:rPr>
          <w:rFonts w:hint="eastAsia"/>
          <w:sz w:val="24"/>
          <w:szCs w:val="21"/>
          <w:lang w:bidi="ar"/>
        </w:rPr>
        <w:t>0.1m/d</w:t>
      </w:r>
      <w:r w:rsidRPr="002B55E9">
        <w:rPr>
          <w:rFonts w:hint="eastAsia"/>
          <w:sz w:val="24"/>
          <w:szCs w:val="21"/>
          <w:lang w:bidi="ar"/>
        </w:rPr>
        <w:t>），本次评价取渗透系数为</w:t>
      </w:r>
      <w:r w:rsidRPr="002B55E9">
        <w:rPr>
          <w:rFonts w:hint="eastAsia"/>
          <w:sz w:val="24"/>
          <w:szCs w:val="21"/>
          <w:lang w:bidi="ar"/>
        </w:rPr>
        <w:t>0.1m/d</w:t>
      </w:r>
      <w:r w:rsidRPr="002B55E9">
        <w:rPr>
          <w:rFonts w:hint="eastAsia"/>
          <w:sz w:val="24"/>
          <w:szCs w:val="21"/>
          <w:lang w:bidi="ar"/>
        </w:rPr>
        <w:t>进行预测，项目所在区域水力坡度</w:t>
      </w:r>
      <w:r w:rsidRPr="002B55E9">
        <w:rPr>
          <w:sz w:val="24"/>
          <w:szCs w:val="21"/>
          <w:lang w:bidi="ar"/>
        </w:rPr>
        <w:t>I</w:t>
      </w:r>
      <w:r w:rsidRPr="002B55E9">
        <w:rPr>
          <w:rFonts w:hint="eastAsia"/>
          <w:sz w:val="24"/>
          <w:szCs w:val="21"/>
          <w:lang w:bidi="ar"/>
        </w:rPr>
        <w:t>取值为</w:t>
      </w:r>
      <w:r w:rsidRPr="002B55E9">
        <w:rPr>
          <w:sz w:val="24"/>
          <w:szCs w:val="21"/>
          <w:lang w:bidi="ar"/>
        </w:rPr>
        <w:t>1.5</w:t>
      </w:r>
      <w:r w:rsidRPr="002B55E9">
        <w:rPr>
          <w:sz w:val="24"/>
          <w:szCs w:val="21"/>
          <w:lang w:bidi="ar"/>
        </w:rPr>
        <w:t>％</w:t>
      </w:r>
      <w:r w:rsidRPr="002B55E9">
        <w:rPr>
          <w:rFonts w:hint="eastAsia"/>
          <w:sz w:val="24"/>
          <w:szCs w:val="21"/>
          <w:lang w:bidi="ar"/>
        </w:rPr>
        <w:t>。</w:t>
      </w:r>
    </w:p>
    <w:p w14:paraId="3D8FAFDC"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lang w:bidi="ar"/>
        </w:rPr>
        <w:t>（</w:t>
      </w:r>
      <w:r w:rsidRPr="002B55E9">
        <w:rPr>
          <w:bCs/>
          <w:snapToGrid w:val="0"/>
          <w:sz w:val="24"/>
          <w:lang w:bidi="ar"/>
        </w:rPr>
        <w:t>2</w:t>
      </w:r>
      <w:r w:rsidRPr="002B55E9">
        <w:rPr>
          <w:rFonts w:hint="eastAsia"/>
          <w:bCs/>
          <w:snapToGrid w:val="0"/>
          <w:sz w:val="24"/>
          <w:lang w:bidi="ar"/>
        </w:rPr>
        <w:t>）孔隙度确定</w:t>
      </w:r>
    </w:p>
    <w:p w14:paraId="4C5A5D45" w14:textId="77777777" w:rsidR="00D170E5" w:rsidRPr="002B55E9" w:rsidRDefault="00EF27AD">
      <w:pPr>
        <w:widowControl/>
        <w:spacing w:after="60" w:line="360" w:lineRule="auto"/>
        <w:ind w:firstLineChars="200" w:firstLine="480"/>
        <w:rPr>
          <w:bCs/>
          <w:snapToGrid w:val="0"/>
          <w:sz w:val="24"/>
        </w:rPr>
      </w:pPr>
      <w:r w:rsidRPr="002B55E9">
        <w:rPr>
          <w:rFonts w:hint="eastAsia"/>
          <w:snapToGrid w:val="0"/>
          <w:sz w:val="24"/>
          <w:lang w:bidi="ar"/>
        </w:rPr>
        <w:t>岩石和土壤孔隙度的大小与颗粒的排列方式、颗粒大小、分选性、颗粒形状以及胶结程度有关，不同岩性</w:t>
      </w:r>
      <w:r w:rsidRPr="002B55E9">
        <w:rPr>
          <w:rFonts w:hint="eastAsia"/>
          <w:bCs/>
          <w:sz w:val="24"/>
          <w:lang w:bidi="ar"/>
        </w:rPr>
        <w:t>孔隙度大小见下表</w:t>
      </w:r>
      <w:r w:rsidRPr="002B55E9">
        <w:rPr>
          <w:rFonts w:hint="eastAsia"/>
          <w:bCs/>
          <w:snapToGrid w:val="0"/>
          <w:sz w:val="24"/>
          <w:lang w:bidi="ar"/>
        </w:rPr>
        <w:t>。研究区的岩性主要为粘土，参考粘土孔隙度参考值，孔隙度取值为</w:t>
      </w:r>
      <w:r w:rsidRPr="002B55E9">
        <w:rPr>
          <w:bCs/>
          <w:snapToGrid w:val="0"/>
          <w:sz w:val="24"/>
          <w:lang w:bidi="ar"/>
        </w:rPr>
        <w:t>0.4</w:t>
      </w:r>
      <w:r w:rsidRPr="002B55E9">
        <w:rPr>
          <w:rFonts w:hint="eastAsia"/>
          <w:bCs/>
          <w:snapToGrid w:val="0"/>
          <w:sz w:val="24"/>
          <w:lang w:bidi="ar"/>
        </w:rPr>
        <w:t>7</w:t>
      </w:r>
      <w:r w:rsidRPr="002B55E9">
        <w:rPr>
          <w:rFonts w:hint="eastAsia"/>
          <w:bCs/>
          <w:snapToGrid w:val="0"/>
          <w:sz w:val="24"/>
          <w:lang w:bidi="ar"/>
        </w:rPr>
        <w:t>。</w:t>
      </w:r>
    </w:p>
    <w:p w14:paraId="41B8EB72" w14:textId="77777777" w:rsidR="00D170E5" w:rsidRPr="002B55E9" w:rsidRDefault="00EF27AD">
      <w:pPr>
        <w:snapToGrid w:val="0"/>
        <w:jc w:val="center"/>
        <w:rPr>
          <w:rFonts w:eastAsia="黑体"/>
          <w:b/>
          <w:sz w:val="24"/>
          <w:szCs w:val="21"/>
        </w:rPr>
      </w:pPr>
      <w:r w:rsidRPr="002B55E9">
        <w:rPr>
          <w:rFonts w:eastAsia="黑体" w:hint="eastAsia"/>
          <w:b/>
          <w:sz w:val="24"/>
          <w:szCs w:val="21"/>
          <w:lang w:bidi="ar"/>
        </w:rPr>
        <w:t>表</w:t>
      </w:r>
      <w:r w:rsidRPr="002B55E9">
        <w:rPr>
          <w:rFonts w:eastAsia="黑体" w:hint="eastAsia"/>
          <w:b/>
          <w:sz w:val="24"/>
          <w:lang w:bidi="ar"/>
        </w:rPr>
        <w:t xml:space="preserve">5-6-4 </w:t>
      </w:r>
      <w:r w:rsidRPr="002B55E9">
        <w:rPr>
          <w:rFonts w:eastAsia="黑体"/>
          <w:b/>
          <w:sz w:val="24"/>
          <w:szCs w:val="21"/>
          <w:lang w:bidi="ar"/>
        </w:rPr>
        <w:t xml:space="preserve"> </w:t>
      </w:r>
      <w:r w:rsidRPr="002B55E9">
        <w:rPr>
          <w:rFonts w:eastAsia="黑体" w:hint="eastAsia"/>
          <w:b/>
          <w:sz w:val="24"/>
          <w:szCs w:val="21"/>
          <w:lang w:bidi="ar"/>
        </w:rPr>
        <w:t>松散岩石孔隙度参考值（据弗里泽，</w:t>
      </w:r>
      <w:r w:rsidRPr="002B55E9">
        <w:rPr>
          <w:rFonts w:eastAsia="黑体"/>
          <w:b/>
          <w:sz w:val="24"/>
          <w:szCs w:val="21"/>
          <w:lang w:bidi="ar"/>
        </w:rPr>
        <w:t>1987</w:t>
      </w:r>
      <w:r w:rsidRPr="002B55E9">
        <w:rPr>
          <w:rFonts w:eastAsia="黑体" w:hint="eastAsia"/>
          <w:b/>
          <w:sz w:val="24"/>
          <w:szCs w:val="21"/>
          <w:lang w:bidi="ar"/>
        </w:rPr>
        <w:t>）</w:t>
      </w:r>
    </w:p>
    <w:tbl>
      <w:tblPr>
        <w:tblW w:w="9854" w:type="dxa"/>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1383"/>
        <w:gridCol w:w="1902"/>
        <w:gridCol w:w="1102"/>
        <w:gridCol w:w="1902"/>
        <w:gridCol w:w="1665"/>
        <w:gridCol w:w="1900"/>
      </w:tblGrid>
      <w:tr w:rsidR="002B55E9" w:rsidRPr="002B55E9" w14:paraId="34F6BB0F" w14:textId="77777777">
        <w:trPr>
          <w:trHeight w:val="284"/>
          <w:jc w:val="center"/>
        </w:trPr>
        <w:tc>
          <w:tcPr>
            <w:tcW w:w="1383" w:type="dxa"/>
            <w:tcBorders>
              <w:top w:val="single" w:sz="12" w:space="0" w:color="auto"/>
              <w:left w:val="nil"/>
              <w:bottom w:val="single" w:sz="12" w:space="0" w:color="auto"/>
              <w:right w:val="single" w:sz="4" w:space="0" w:color="auto"/>
            </w:tcBorders>
            <w:vAlign w:val="center"/>
          </w:tcPr>
          <w:p w14:paraId="6E2D43E9" w14:textId="77777777" w:rsidR="00D170E5" w:rsidRPr="002B55E9" w:rsidRDefault="00EF27AD">
            <w:pPr>
              <w:spacing w:line="240" w:lineRule="atLeast"/>
              <w:jc w:val="center"/>
              <w:rPr>
                <w:sz w:val="18"/>
                <w:szCs w:val="21"/>
              </w:rPr>
            </w:pPr>
            <w:r w:rsidRPr="002B55E9">
              <w:rPr>
                <w:rFonts w:hint="eastAsia"/>
                <w:sz w:val="18"/>
                <w:szCs w:val="21"/>
                <w:lang w:bidi="ar"/>
              </w:rPr>
              <w:t>松散岩体</w:t>
            </w:r>
          </w:p>
        </w:tc>
        <w:tc>
          <w:tcPr>
            <w:tcW w:w="1902" w:type="dxa"/>
            <w:tcBorders>
              <w:top w:val="single" w:sz="12" w:space="0" w:color="auto"/>
              <w:left w:val="single" w:sz="4" w:space="0" w:color="auto"/>
              <w:bottom w:val="single" w:sz="12" w:space="0" w:color="auto"/>
              <w:right w:val="single" w:sz="4" w:space="0" w:color="auto"/>
            </w:tcBorders>
            <w:vAlign w:val="center"/>
          </w:tcPr>
          <w:p w14:paraId="59933721" w14:textId="77777777" w:rsidR="00D170E5" w:rsidRPr="002B55E9" w:rsidRDefault="00EF27AD">
            <w:pPr>
              <w:spacing w:line="240" w:lineRule="atLeast"/>
              <w:jc w:val="center"/>
              <w:rPr>
                <w:sz w:val="18"/>
                <w:szCs w:val="21"/>
              </w:rPr>
            </w:pPr>
            <w:r w:rsidRPr="002B55E9">
              <w:rPr>
                <w:rFonts w:hint="eastAsia"/>
                <w:sz w:val="18"/>
                <w:szCs w:val="21"/>
                <w:lang w:bidi="ar"/>
              </w:rPr>
              <w:t>孔隙度（</w:t>
            </w:r>
            <w:r w:rsidRPr="002B55E9">
              <w:rPr>
                <w:sz w:val="18"/>
                <w:szCs w:val="21"/>
                <w:lang w:bidi="ar"/>
              </w:rPr>
              <w:t>%</w:t>
            </w:r>
            <w:r w:rsidRPr="002B55E9">
              <w:rPr>
                <w:rFonts w:hint="eastAsia"/>
                <w:sz w:val="18"/>
                <w:szCs w:val="21"/>
                <w:lang w:bidi="ar"/>
              </w:rPr>
              <w:t>）</w:t>
            </w:r>
          </w:p>
        </w:tc>
        <w:tc>
          <w:tcPr>
            <w:tcW w:w="1102" w:type="dxa"/>
            <w:tcBorders>
              <w:top w:val="single" w:sz="12" w:space="0" w:color="auto"/>
              <w:left w:val="single" w:sz="4" w:space="0" w:color="auto"/>
              <w:bottom w:val="single" w:sz="12" w:space="0" w:color="auto"/>
              <w:right w:val="single" w:sz="4" w:space="0" w:color="auto"/>
            </w:tcBorders>
            <w:vAlign w:val="center"/>
          </w:tcPr>
          <w:p w14:paraId="7FB6E5FE" w14:textId="77777777" w:rsidR="00D170E5" w:rsidRPr="002B55E9" w:rsidRDefault="00EF27AD">
            <w:pPr>
              <w:spacing w:line="240" w:lineRule="atLeast"/>
              <w:jc w:val="center"/>
              <w:rPr>
                <w:sz w:val="18"/>
                <w:szCs w:val="21"/>
              </w:rPr>
            </w:pPr>
            <w:r w:rsidRPr="002B55E9">
              <w:rPr>
                <w:rFonts w:hint="eastAsia"/>
                <w:sz w:val="18"/>
                <w:szCs w:val="21"/>
                <w:lang w:bidi="ar"/>
              </w:rPr>
              <w:t>沉积岩</w:t>
            </w:r>
          </w:p>
        </w:tc>
        <w:tc>
          <w:tcPr>
            <w:tcW w:w="1902" w:type="dxa"/>
            <w:tcBorders>
              <w:top w:val="single" w:sz="12" w:space="0" w:color="auto"/>
              <w:left w:val="single" w:sz="4" w:space="0" w:color="auto"/>
              <w:bottom w:val="single" w:sz="12" w:space="0" w:color="auto"/>
              <w:right w:val="single" w:sz="4" w:space="0" w:color="auto"/>
            </w:tcBorders>
            <w:vAlign w:val="center"/>
          </w:tcPr>
          <w:p w14:paraId="26A24EE4" w14:textId="77777777" w:rsidR="00D170E5" w:rsidRPr="002B55E9" w:rsidRDefault="00EF27AD">
            <w:pPr>
              <w:spacing w:line="240" w:lineRule="atLeast"/>
              <w:jc w:val="center"/>
              <w:rPr>
                <w:sz w:val="18"/>
                <w:szCs w:val="21"/>
              </w:rPr>
            </w:pPr>
            <w:r w:rsidRPr="002B55E9">
              <w:rPr>
                <w:rFonts w:hint="eastAsia"/>
                <w:sz w:val="18"/>
                <w:szCs w:val="21"/>
                <w:lang w:bidi="ar"/>
              </w:rPr>
              <w:t>孔隙度（</w:t>
            </w:r>
            <w:r w:rsidRPr="002B55E9">
              <w:rPr>
                <w:sz w:val="18"/>
                <w:szCs w:val="21"/>
                <w:lang w:bidi="ar"/>
              </w:rPr>
              <w:t>%</w:t>
            </w:r>
            <w:r w:rsidRPr="002B55E9">
              <w:rPr>
                <w:rFonts w:hint="eastAsia"/>
                <w:sz w:val="18"/>
                <w:szCs w:val="21"/>
                <w:lang w:bidi="ar"/>
              </w:rPr>
              <w:t>）</w:t>
            </w:r>
          </w:p>
        </w:tc>
        <w:tc>
          <w:tcPr>
            <w:tcW w:w="1665" w:type="dxa"/>
            <w:tcBorders>
              <w:top w:val="single" w:sz="12" w:space="0" w:color="auto"/>
              <w:left w:val="single" w:sz="4" w:space="0" w:color="auto"/>
              <w:bottom w:val="single" w:sz="12" w:space="0" w:color="auto"/>
              <w:right w:val="single" w:sz="4" w:space="0" w:color="auto"/>
            </w:tcBorders>
            <w:vAlign w:val="center"/>
          </w:tcPr>
          <w:p w14:paraId="3BB93FFE" w14:textId="77777777" w:rsidR="00D170E5" w:rsidRPr="002B55E9" w:rsidRDefault="00EF27AD">
            <w:pPr>
              <w:spacing w:line="240" w:lineRule="atLeast"/>
              <w:jc w:val="center"/>
              <w:rPr>
                <w:sz w:val="18"/>
                <w:szCs w:val="21"/>
              </w:rPr>
            </w:pPr>
            <w:r w:rsidRPr="002B55E9">
              <w:rPr>
                <w:rFonts w:hint="eastAsia"/>
                <w:sz w:val="18"/>
                <w:szCs w:val="21"/>
                <w:lang w:bidi="ar"/>
              </w:rPr>
              <w:t>结晶岩</w:t>
            </w:r>
          </w:p>
        </w:tc>
        <w:tc>
          <w:tcPr>
            <w:tcW w:w="1900" w:type="dxa"/>
            <w:tcBorders>
              <w:top w:val="single" w:sz="12" w:space="0" w:color="auto"/>
              <w:left w:val="single" w:sz="4" w:space="0" w:color="auto"/>
              <w:bottom w:val="single" w:sz="12" w:space="0" w:color="auto"/>
              <w:right w:val="nil"/>
            </w:tcBorders>
            <w:vAlign w:val="center"/>
          </w:tcPr>
          <w:p w14:paraId="4CD8D1D5" w14:textId="77777777" w:rsidR="00D170E5" w:rsidRPr="002B55E9" w:rsidRDefault="00EF27AD">
            <w:pPr>
              <w:spacing w:line="240" w:lineRule="atLeast"/>
              <w:jc w:val="center"/>
              <w:rPr>
                <w:sz w:val="18"/>
                <w:szCs w:val="21"/>
              </w:rPr>
            </w:pPr>
            <w:r w:rsidRPr="002B55E9">
              <w:rPr>
                <w:rFonts w:hint="eastAsia"/>
                <w:sz w:val="18"/>
                <w:szCs w:val="21"/>
                <w:lang w:bidi="ar"/>
              </w:rPr>
              <w:t>孔隙度（</w:t>
            </w:r>
            <w:r w:rsidRPr="002B55E9">
              <w:rPr>
                <w:sz w:val="18"/>
                <w:szCs w:val="21"/>
                <w:lang w:bidi="ar"/>
              </w:rPr>
              <w:t>%</w:t>
            </w:r>
            <w:r w:rsidRPr="002B55E9">
              <w:rPr>
                <w:rFonts w:hint="eastAsia"/>
                <w:sz w:val="18"/>
                <w:szCs w:val="21"/>
                <w:lang w:bidi="ar"/>
              </w:rPr>
              <w:t>）</w:t>
            </w:r>
          </w:p>
        </w:tc>
      </w:tr>
      <w:tr w:rsidR="002B55E9" w:rsidRPr="002B55E9" w14:paraId="0A52F080" w14:textId="77777777">
        <w:trPr>
          <w:trHeight w:val="284"/>
          <w:jc w:val="center"/>
        </w:trPr>
        <w:tc>
          <w:tcPr>
            <w:tcW w:w="1383" w:type="dxa"/>
            <w:tcBorders>
              <w:top w:val="single" w:sz="12" w:space="0" w:color="auto"/>
              <w:left w:val="nil"/>
              <w:bottom w:val="single" w:sz="4" w:space="0" w:color="auto"/>
              <w:right w:val="single" w:sz="4" w:space="0" w:color="auto"/>
            </w:tcBorders>
            <w:vAlign w:val="center"/>
          </w:tcPr>
          <w:p w14:paraId="787310C1" w14:textId="77777777" w:rsidR="00D170E5" w:rsidRPr="002B55E9" w:rsidRDefault="00EF27AD">
            <w:pPr>
              <w:spacing w:line="240" w:lineRule="atLeast"/>
              <w:jc w:val="center"/>
              <w:rPr>
                <w:sz w:val="18"/>
                <w:szCs w:val="21"/>
              </w:rPr>
            </w:pPr>
            <w:r w:rsidRPr="002B55E9">
              <w:rPr>
                <w:rFonts w:hint="eastAsia"/>
                <w:sz w:val="18"/>
                <w:szCs w:val="21"/>
                <w:lang w:bidi="ar"/>
              </w:rPr>
              <w:t>粗砾</w:t>
            </w:r>
          </w:p>
        </w:tc>
        <w:tc>
          <w:tcPr>
            <w:tcW w:w="1902" w:type="dxa"/>
            <w:tcBorders>
              <w:top w:val="single" w:sz="12" w:space="0" w:color="auto"/>
              <w:left w:val="single" w:sz="4" w:space="0" w:color="auto"/>
              <w:bottom w:val="single" w:sz="4" w:space="0" w:color="auto"/>
              <w:right w:val="single" w:sz="4" w:space="0" w:color="auto"/>
            </w:tcBorders>
            <w:vAlign w:val="center"/>
          </w:tcPr>
          <w:p w14:paraId="7156A1F0" w14:textId="77777777" w:rsidR="00D170E5" w:rsidRPr="002B55E9" w:rsidRDefault="00EF27AD">
            <w:pPr>
              <w:spacing w:line="240" w:lineRule="atLeast"/>
              <w:jc w:val="center"/>
              <w:rPr>
                <w:sz w:val="18"/>
                <w:szCs w:val="21"/>
              </w:rPr>
            </w:pPr>
            <w:r w:rsidRPr="002B55E9">
              <w:rPr>
                <w:sz w:val="18"/>
                <w:szCs w:val="21"/>
                <w:lang w:bidi="ar"/>
              </w:rPr>
              <w:t>24-36</w:t>
            </w:r>
          </w:p>
        </w:tc>
        <w:tc>
          <w:tcPr>
            <w:tcW w:w="1102" w:type="dxa"/>
            <w:tcBorders>
              <w:top w:val="single" w:sz="12" w:space="0" w:color="auto"/>
              <w:left w:val="single" w:sz="4" w:space="0" w:color="auto"/>
              <w:bottom w:val="single" w:sz="4" w:space="0" w:color="auto"/>
              <w:right w:val="single" w:sz="4" w:space="0" w:color="auto"/>
            </w:tcBorders>
            <w:vAlign w:val="center"/>
          </w:tcPr>
          <w:p w14:paraId="238F6EB3" w14:textId="77777777" w:rsidR="00D170E5" w:rsidRPr="002B55E9" w:rsidRDefault="00EF27AD">
            <w:pPr>
              <w:spacing w:line="240" w:lineRule="atLeast"/>
              <w:jc w:val="center"/>
              <w:rPr>
                <w:sz w:val="18"/>
                <w:szCs w:val="21"/>
              </w:rPr>
            </w:pPr>
            <w:r w:rsidRPr="002B55E9">
              <w:rPr>
                <w:rFonts w:hint="eastAsia"/>
                <w:sz w:val="18"/>
                <w:szCs w:val="21"/>
                <w:lang w:bidi="ar"/>
              </w:rPr>
              <w:t>砂岩</w:t>
            </w:r>
          </w:p>
        </w:tc>
        <w:tc>
          <w:tcPr>
            <w:tcW w:w="1902" w:type="dxa"/>
            <w:tcBorders>
              <w:top w:val="single" w:sz="12" w:space="0" w:color="auto"/>
              <w:left w:val="single" w:sz="4" w:space="0" w:color="auto"/>
              <w:bottom w:val="single" w:sz="4" w:space="0" w:color="auto"/>
              <w:right w:val="single" w:sz="4" w:space="0" w:color="auto"/>
            </w:tcBorders>
            <w:vAlign w:val="center"/>
          </w:tcPr>
          <w:p w14:paraId="50967BE7" w14:textId="77777777" w:rsidR="00D170E5" w:rsidRPr="002B55E9" w:rsidRDefault="00EF27AD">
            <w:pPr>
              <w:spacing w:line="240" w:lineRule="atLeast"/>
              <w:jc w:val="center"/>
              <w:rPr>
                <w:sz w:val="18"/>
                <w:szCs w:val="21"/>
              </w:rPr>
            </w:pPr>
            <w:r w:rsidRPr="002B55E9">
              <w:rPr>
                <w:sz w:val="18"/>
                <w:szCs w:val="21"/>
                <w:lang w:bidi="ar"/>
              </w:rPr>
              <w:t>5-30</w:t>
            </w:r>
          </w:p>
        </w:tc>
        <w:tc>
          <w:tcPr>
            <w:tcW w:w="1665" w:type="dxa"/>
            <w:tcBorders>
              <w:top w:val="single" w:sz="12" w:space="0" w:color="auto"/>
              <w:left w:val="single" w:sz="4" w:space="0" w:color="auto"/>
              <w:bottom w:val="single" w:sz="4" w:space="0" w:color="auto"/>
              <w:right w:val="single" w:sz="4" w:space="0" w:color="auto"/>
            </w:tcBorders>
            <w:vAlign w:val="center"/>
          </w:tcPr>
          <w:p w14:paraId="381C3392" w14:textId="77777777" w:rsidR="00D170E5" w:rsidRPr="002B55E9" w:rsidRDefault="00EF27AD">
            <w:pPr>
              <w:spacing w:line="240" w:lineRule="atLeast"/>
              <w:jc w:val="center"/>
              <w:rPr>
                <w:sz w:val="18"/>
                <w:szCs w:val="21"/>
              </w:rPr>
            </w:pPr>
            <w:r w:rsidRPr="002B55E9">
              <w:rPr>
                <w:rFonts w:hint="eastAsia"/>
                <w:sz w:val="18"/>
                <w:szCs w:val="21"/>
                <w:lang w:bidi="ar"/>
              </w:rPr>
              <w:t>裂隙化结晶岩</w:t>
            </w:r>
          </w:p>
        </w:tc>
        <w:tc>
          <w:tcPr>
            <w:tcW w:w="1900" w:type="dxa"/>
            <w:tcBorders>
              <w:top w:val="single" w:sz="12" w:space="0" w:color="auto"/>
              <w:left w:val="single" w:sz="4" w:space="0" w:color="auto"/>
              <w:bottom w:val="single" w:sz="4" w:space="0" w:color="auto"/>
              <w:right w:val="nil"/>
            </w:tcBorders>
            <w:vAlign w:val="center"/>
          </w:tcPr>
          <w:p w14:paraId="2CF33C09" w14:textId="77777777" w:rsidR="00D170E5" w:rsidRPr="002B55E9" w:rsidRDefault="00EF27AD">
            <w:pPr>
              <w:spacing w:line="240" w:lineRule="atLeast"/>
              <w:jc w:val="center"/>
              <w:rPr>
                <w:sz w:val="18"/>
                <w:szCs w:val="21"/>
              </w:rPr>
            </w:pPr>
            <w:r w:rsidRPr="002B55E9">
              <w:rPr>
                <w:sz w:val="18"/>
                <w:szCs w:val="21"/>
                <w:lang w:bidi="ar"/>
              </w:rPr>
              <w:t>0-10</w:t>
            </w:r>
          </w:p>
        </w:tc>
      </w:tr>
      <w:tr w:rsidR="002B55E9" w:rsidRPr="002B55E9" w14:paraId="2C8AE692" w14:textId="77777777">
        <w:trPr>
          <w:trHeight w:val="284"/>
          <w:jc w:val="center"/>
        </w:trPr>
        <w:tc>
          <w:tcPr>
            <w:tcW w:w="1383" w:type="dxa"/>
            <w:tcBorders>
              <w:top w:val="single" w:sz="4" w:space="0" w:color="auto"/>
              <w:left w:val="nil"/>
              <w:bottom w:val="single" w:sz="4" w:space="0" w:color="auto"/>
              <w:right w:val="single" w:sz="4" w:space="0" w:color="auto"/>
            </w:tcBorders>
            <w:vAlign w:val="center"/>
          </w:tcPr>
          <w:p w14:paraId="2AE12010" w14:textId="77777777" w:rsidR="00D170E5" w:rsidRPr="002B55E9" w:rsidRDefault="00EF27AD">
            <w:pPr>
              <w:spacing w:line="240" w:lineRule="atLeast"/>
              <w:jc w:val="center"/>
              <w:rPr>
                <w:sz w:val="18"/>
                <w:szCs w:val="21"/>
              </w:rPr>
            </w:pPr>
            <w:r w:rsidRPr="002B55E9">
              <w:rPr>
                <w:rFonts w:hint="eastAsia"/>
                <w:sz w:val="18"/>
                <w:szCs w:val="21"/>
                <w:lang w:bidi="ar"/>
              </w:rPr>
              <w:t>细砾</w:t>
            </w:r>
          </w:p>
        </w:tc>
        <w:tc>
          <w:tcPr>
            <w:tcW w:w="1902" w:type="dxa"/>
            <w:tcBorders>
              <w:top w:val="single" w:sz="4" w:space="0" w:color="auto"/>
              <w:left w:val="single" w:sz="4" w:space="0" w:color="auto"/>
              <w:bottom w:val="single" w:sz="4" w:space="0" w:color="auto"/>
              <w:right w:val="single" w:sz="4" w:space="0" w:color="auto"/>
            </w:tcBorders>
            <w:vAlign w:val="center"/>
          </w:tcPr>
          <w:p w14:paraId="1997DD2E" w14:textId="77777777" w:rsidR="00D170E5" w:rsidRPr="002B55E9" w:rsidRDefault="00EF27AD">
            <w:pPr>
              <w:spacing w:line="240" w:lineRule="atLeast"/>
              <w:jc w:val="center"/>
              <w:rPr>
                <w:sz w:val="18"/>
                <w:szCs w:val="21"/>
              </w:rPr>
            </w:pPr>
            <w:r w:rsidRPr="002B55E9">
              <w:rPr>
                <w:sz w:val="18"/>
                <w:szCs w:val="21"/>
                <w:lang w:bidi="ar"/>
              </w:rPr>
              <w:t>25-38</w:t>
            </w:r>
          </w:p>
        </w:tc>
        <w:tc>
          <w:tcPr>
            <w:tcW w:w="1102" w:type="dxa"/>
            <w:tcBorders>
              <w:top w:val="single" w:sz="4" w:space="0" w:color="auto"/>
              <w:left w:val="single" w:sz="4" w:space="0" w:color="auto"/>
              <w:bottom w:val="single" w:sz="4" w:space="0" w:color="auto"/>
              <w:right w:val="single" w:sz="4" w:space="0" w:color="auto"/>
            </w:tcBorders>
            <w:vAlign w:val="center"/>
          </w:tcPr>
          <w:p w14:paraId="720CFF9B" w14:textId="77777777" w:rsidR="00D170E5" w:rsidRPr="002B55E9" w:rsidRDefault="00EF27AD">
            <w:pPr>
              <w:spacing w:line="240" w:lineRule="atLeast"/>
              <w:jc w:val="center"/>
              <w:rPr>
                <w:sz w:val="18"/>
                <w:szCs w:val="21"/>
              </w:rPr>
            </w:pPr>
            <w:r w:rsidRPr="002B55E9">
              <w:rPr>
                <w:rFonts w:hint="eastAsia"/>
                <w:sz w:val="18"/>
                <w:szCs w:val="21"/>
                <w:lang w:bidi="ar"/>
              </w:rPr>
              <w:t>粉砂岩</w:t>
            </w:r>
          </w:p>
        </w:tc>
        <w:tc>
          <w:tcPr>
            <w:tcW w:w="1902" w:type="dxa"/>
            <w:tcBorders>
              <w:top w:val="single" w:sz="4" w:space="0" w:color="auto"/>
              <w:left w:val="single" w:sz="4" w:space="0" w:color="auto"/>
              <w:bottom w:val="single" w:sz="4" w:space="0" w:color="auto"/>
              <w:right w:val="single" w:sz="4" w:space="0" w:color="auto"/>
            </w:tcBorders>
            <w:vAlign w:val="center"/>
          </w:tcPr>
          <w:p w14:paraId="77B6CB9A" w14:textId="77777777" w:rsidR="00D170E5" w:rsidRPr="002B55E9" w:rsidRDefault="00EF27AD">
            <w:pPr>
              <w:spacing w:line="240" w:lineRule="atLeast"/>
              <w:jc w:val="center"/>
              <w:rPr>
                <w:sz w:val="18"/>
                <w:szCs w:val="21"/>
              </w:rPr>
            </w:pPr>
            <w:r w:rsidRPr="002B55E9">
              <w:rPr>
                <w:sz w:val="18"/>
                <w:szCs w:val="21"/>
                <w:lang w:bidi="ar"/>
              </w:rPr>
              <w:t>21-41</w:t>
            </w:r>
          </w:p>
        </w:tc>
        <w:tc>
          <w:tcPr>
            <w:tcW w:w="1665" w:type="dxa"/>
            <w:tcBorders>
              <w:top w:val="single" w:sz="4" w:space="0" w:color="auto"/>
              <w:left w:val="single" w:sz="4" w:space="0" w:color="auto"/>
              <w:bottom w:val="single" w:sz="4" w:space="0" w:color="auto"/>
              <w:right w:val="single" w:sz="4" w:space="0" w:color="auto"/>
            </w:tcBorders>
            <w:vAlign w:val="center"/>
          </w:tcPr>
          <w:p w14:paraId="3AADBB2C" w14:textId="77777777" w:rsidR="00D170E5" w:rsidRPr="002B55E9" w:rsidRDefault="00EF27AD">
            <w:pPr>
              <w:spacing w:line="240" w:lineRule="atLeast"/>
              <w:jc w:val="center"/>
            </w:pPr>
            <w:r w:rsidRPr="002B55E9">
              <w:rPr>
                <w:rFonts w:hint="eastAsia"/>
                <w:sz w:val="18"/>
                <w:szCs w:val="21"/>
                <w:lang w:bidi="ar"/>
              </w:rPr>
              <w:t>致密结晶岩</w:t>
            </w:r>
          </w:p>
        </w:tc>
        <w:tc>
          <w:tcPr>
            <w:tcW w:w="1900" w:type="dxa"/>
            <w:tcBorders>
              <w:top w:val="single" w:sz="4" w:space="0" w:color="auto"/>
              <w:left w:val="single" w:sz="4" w:space="0" w:color="auto"/>
              <w:bottom w:val="single" w:sz="4" w:space="0" w:color="auto"/>
              <w:right w:val="nil"/>
            </w:tcBorders>
            <w:vAlign w:val="center"/>
          </w:tcPr>
          <w:p w14:paraId="35F253F0" w14:textId="77777777" w:rsidR="00D170E5" w:rsidRPr="002B55E9" w:rsidRDefault="00EF27AD">
            <w:pPr>
              <w:spacing w:line="240" w:lineRule="atLeast"/>
              <w:jc w:val="center"/>
            </w:pPr>
            <w:r w:rsidRPr="002B55E9">
              <w:rPr>
                <w:sz w:val="18"/>
                <w:szCs w:val="21"/>
                <w:lang w:bidi="ar"/>
              </w:rPr>
              <w:t>0-5</w:t>
            </w:r>
          </w:p>
        </w:tc>
      </w:tr>
      <w:tr w:rsidR="002B55E9" w:rsidRPr="002B55E9" w14:paraId="351C4BE6" w14:textId="77777777">
        <w:trPr>
          <w:trHeight w:val="284"/>
          <w:jc w:val="center"/>
        </w:trPr>
        <w:tc>
          <w:tcPr>
            <w:tcW w:w="1383" w:type="dxa"/>
            <w:tcBorders>
              <w:top w:val="single" w:sz="4" w:space="0" w:color="auto"/>
              <w:left w:val="nil"/>
              <w:bottom w:val="single" w:sz="4" w:space="0" w:color="auto"/>
              <w:right w:val="single" w:sz="4" w:space="0" w:color="auto"/>
            </w:tcBorders>
            <w:vAlign w:val="center"/>
          </w:tcPr>
          <w:p w14:paraId="67BC3458" w14:textId="77777777" w:rsidR="00D170E5" w:rsidRPr="002B55E9" w:rsidRDefault="00EF27AD">
            <w:pPr>
              <w:spacing w:line="240" w:lineRule="atLeast"/>
              <w:jc w:val="center"/>
              <w:rPr>
                <w:sz w:val="18"/>
                <w:szCs w:val="21"/>
              </w:rPr>
            </w:pPr>
            <w:r w:rsidRPr="002B55E9">
              <w:rPr>
                <w:rFonts w:hint="eastAsia"/>
                <w:sz w:val="18"/>
                <w:szCs w:val="21"/>
                <w:lang w:bidi="ar"/>
              </w:rPr>
              <w:t>粗砂</w:t>
            </w:r>
          </w:p>
        </w:tc>
        <w:tc>
          <w:tcPr>
            <w:tcW w:w="1902" w:type="dxa"/>
            <w:tcBorders>
              <w:top w:val="single" w:sz="4" w:space="0" w:color="auto"/>
              <w:left w:val="single" w:sz="4" w:space="0" w:color="auto"/>
              <w:bottom w:val="single" w:sz="4" w:space="0" w:color="auto"/>
              <w:right w:val="single" w:sz="4" w:space="0" w:color="auto"/>
            </w:tcBorders>
            <w:vAlign w:val="center"/>
          </w:tcPr>
          <w:p w14:paraId="3A3114D9" w14:textId="77777777" w:rsidR="00D170E5" w:rsidRPr="002B55E9" w:rsidRDefault="00EF27AD">
            <w:pPr>
              <w:spacing w:line="240" w:lineRule="atLeast"/>
              <w:jc w:val="center"/>
              <w:rPr>
                <w:sz w:val="18"/>
                <w:szCs w:val="21"/>
              </w:rPr>
            </w:pPr>
            <w:r w:rsidRPr="002B55E9">
              <w:rPr>
                <w:sz w:val="18"/>
                <w:szCs w:val="21"/>
                <w:lang w:bidi="ar"/>
              </w:rPr>
              <w:t>31-46</w:t>
            </w:r>
          </w:p>
        </w:tc>
        <w:tc>
          <w:tcPr>
            <w:tcW w:w="1102" w:type="dxa"/>
            <w:tcBorders>
              <w:top w:val="single" w:sz="4" w:space="0" w:color="auto"/>
              <w:left w:val="single" w:sz="4" w:space="0" w:color="auto"/>
              <w:bottom w:val="single" w:sz="4" w:space="0" w:color="auto"/>
              <w:right w:val="single" w:sz="4" w:space="0" w:color="auto"/>
            </w:tcBorders>
            <w:vAlign w:val="center"/>
          </w:tcPr>
          <w:p w14:paraId="07F98C7F" w14:textId="77777777" w:rsidR="00D170E5" w:rsidRPr="002B55E9" w:rsidRDefault="00EF27AD">
            <w:pPr>
              <w:spacing w:line="240" w:lineRule="atLeast"/>
              <w:jc w:val="center"/>
              <w:rPr>
                <w:sz w:val="18"/>
                <w:szCs w:val="21"/>
              </w:rPr>
            </w:pPr>
            <w:r w:rsidRPr="002B55E9">
              <w:rPr>
                <w:rFonts w:hint="eastAsia"/>
                <w:sz w:val="18"/>
                <w:szCs w:val="21"/>
                <w:lang w:bidi="ar"/>
              </w:rPr>
              <w:t>石灰岩</w:t>
            </w:r>
          </w:p>
        </w:tc>
        <w:tc>
          <w:tcPr>
            <w:tcW w:w="1902" w:type="dxa"/>
            <w:tcBorders>
              <w:top w:val="single" w:sz="4" w:space="0" w:color="auto"/>
              <w:left w:val="single" w:sz="4" w:space="0" w:color="auto"/>
              <w:bottom w:val="single" w:sz="4" w:space="0" w:color="auto"/>
              <w:right w:val="single" w:sz="4" w:space="0" w:color="auto"/>
            </w:tcBorders>
            <w:vAlign w:val="center"/>
          </w:tcPr>
          <w:p w14:paraId="0B8F9871" w14:textId="77777777" w:rsidR="00D170E5" w:rsidRPr="002B55E9" w:rsidRDefault="00EF27AD">
            <w:pPr>
              <w:spacing w:line="240" w:lineRule="atLeast"/>
              <w:jc w:val="center"/>
              <w:rPr>
                <w:sz w:val="18"/>
                <w:szCs w:val="21"/>
              </w:rPr>
            </w:pPr>
            <w:r w:rsidRPr="002B55E9">
              <w:rPr>
                <w:sz w:val="18"/>
                <w:szCs w:val="21"/>
                <w:lang w:bidi="ar"/>
              </w:rPr>
              <w:t>0-40</w:t>
            </w:r>
          </w:p>
        </w:tc>
        <w:tc>
          <w:tcPr>
            <w:tcW w:w="1665" w:type="dxa"/>
            <w:tcBorders>
              <w:top w:val="single" w:sz="4" w:space="0" w:color="auto"/>
              <w:left w:val="single" w:sz="4" w:space="0" w:color="auto"/>
              <w:bottom w:val="single" w:sz="4" w:space="0" w:color="auto"/>
              <w:right w:val="single" w:sz="4" w:space="0" w:color="auto"/>
            </w:tcBorders>
            <w:vAlign w:val="center"/>
          </w:tcPr>
          <w:p w14:paraId="1ED7D249" w14:textId="77777777" w:rsidR="00D170E5" w:rsidRPr="002B55E9" w:rsidRDefault="00EF27AD">
            <w:pPr>
              <w:spacing w:line="240" w:lineRule="atLeast"/>
              <w:jc w:val="center"/>
              <w:rPr>
                <w:sz w:val="18"/>
                <w:szCs w:val="21"/>
              </w:rPr>
            </w:pPr>
            <w:r w:rsidRPr="002B55E9">
              <w:rPr>
                <w:rFonts w:hint="eastAsia"/>
                <w:sz w:val="18"/>
                <w:szCs w:val="21"/>
                <w:lang w:bidi="ar"/>
              </w:rPr>
              <w:t>玄武岩</w:t>
            </w:r>
          </w:p>
        </w:tc>
        <w:tc>
          <w:tcPr>
            <w:tcW w:w="1900" w:type="dxa"/>
            <w:tcBorders>
              <w:top w:val="single" w:sz="4" w:space="0" w:color="auto"/>
              <w:left w:val="single" w:sz="4" w:space="0" w:color="auto"/>
              <w:bottom w:val="single" w:sz="4" w:space="0" w:color="auto"/>
              <w:right w:val="nil"/>
            </w:tcBorders>
            <w:vAlign w:val="center"/>
          </w:tcPr>
          <w:p w14:paraId="58AB0CF1" w14:textId="77777777" w:rsidR="00D170E5" w:rsidRPr="002B55E9" w:rsidRDefault="00EF27AD">
            <w:pPr>
              <w:spacing w:line="240" w:lineRule="atLeast"/>
              <w:jc w:val="center"/>
              <w:rPr>
                <w:sz w:val="18"/>
                <w:szCs w:val="21"/>
              </w:rPr>
            </w:pPr>
            <w:r w:rsidRPr="002B55E9">
              <w:rPr>
                <w:sz w:val="18"/>
                <w:szCs w:val="21"/>
                <w:lang w:bidi="ar"/>
              </w:rPr>
              <w:t>3-35</w:t>
            </w:r>
          </w:p>
        </w:tc>
      </w:tr>
      <w:tr w:rsidR="002B55E9" w:rsidRPr="002B55E9" w14:paraId="56DF544C" w14:textId="77777777">
        <w:trPr>
          <w:trHeight w:val="284"/>
          <w:jc w:val="center"/>
        </w:trPr>
        <w:tc>
          <w:tcPr>
            <w:tcW w:w="1383" w:type="dxa"/>
            <w:tcBorders>
              <w:top w:val="single" w:sz="4" w:space="0" w:color="auto"/>
              <w:left w:val="nil"/>
              <w:bottom w:val="single" w:sz="4" w:space="0" w:color="auto"/>
              <w:right w:val="single" w:sz="4" w:space="0" w:color="auto"/>
            </w:tcBorders>
            <w:vAlign w:val="center"/>
          </w:tcPr>
          <w:p w14:paraId="199881EF" w14:textId="77777777" w:rsidR="00D170E5" w:rsidRPr="002B55E9" w:rsidRDefault="00EF27AD">
            <w:pPr>
              <w:spacing w:line="240" w:lineRule="atLeast"/>
              <w:jc w:val="center"/>
              <w:rPr>
                <w:sz w:val="18"/>
                <w:szCs w:val="21"/>
              </w:rPr>
            </w:pPr>
            <w:r w:rsidRPr="002B55E9">
              <w:rPr>
                <w:rFonts w:hint="eastAsia"/>
                <w:sz w:val="18"/>
                <w:szCs w:val="21"/>
                <w:lang w:bidi="ar"/>
              </w:rPr>
              <w:t>细砂</w:t>
            </w:r>
          </w:p>
        </w:tc>
        <w:tc>
          <w:tcPr>
            <w:tcW w:w="1902" w:type="dxa"/>
            <w:tcBorders>
              <w:top w:val="single" w:sz="4" w:space="0" w:color="auto"/>
              <w:left w:val="single" w:sz="4" w:space="0" w:color="auto"/>
              <w:bottom w:val="single" w:sz="4" w:space="0" w:color="auto"/>
              <w:right w:val="single" w:sz="4" w:space="0" w:color="auto"/>
            </w:tcBorders>
            <w:vAlign w:val="center"/>
          </w:tcPr>
          <w:p w14:paraId="0ABD7D54" w14:textId="77777777" w:rsidR="00D170E5" w:rsidRPr="002B55E9" w:rsidRDefault="00EF27AD">
            <w:pPr>
              <w:spacing w:line="240" w:lineRule="atLeast"/>
              <w:jc w:val="center"/>
              <w:rPr>
                <w:sz w:val="18"/>
                <w:szCs w:val="21"/>
              </w:rPr>
            </w:pPr>
            <w:r w:rsidRPr="002B55E9">
              <w:rPr>
                <w:sz w:val="18"/>
                <w:szCs w:val="21"/>
                <w:lang w:bidi="ar"/>
              </w:rPr>
              <w:t>26-53</w:t>
            </w:r>
          </w:p>
        </w:tc>
        <w:tc>
          <w:tcPr>
            <w:tcW w:w="1102" w:type="dxa"/>
            <w:tcBorders>
              <w:top w:val="single" w:sz="4" w:space="0" w:color="auto"/>
              <w:left w:val="single" w:sz="4" w:space="0" w:color="auto"/>
              <w:bottom w:val="single" w:sz="4" w:space="0" w:color="auto"/>
              <w:right w:val="single" w:sz="4" w:space="0" w:color="auto"/>
            </w:tcBorders>
            <w:vAlign w:val="center"/>
          </w:tcPr>
          <w:p w14:paraId="227DA847" w14:textId="77777777" w:rsidR="00D170E5" w:rsidRPr="002B55E9" w:rsidRDefault="00EF27AD">
            <w:pPr>
              <w:spacing w:line="240" w:lineRule="atLeast"/>
              <w:jc w:val="center"/>
              <w:rPr>
                <w:sz w:val="18"/>
                <w:szCs w:val="21"/>
              </w:rPr>
            </w:pPr>
            <w:r w:rsidRPr="002B55E9">
              <w:rPr>
                <w:rFonts w:hint="eastAsia"/>
                <w:sz w:val="18"/>
                <w:szCs w:val="21"/>
                <w:lang w:bidi="ar"/>
              </w:rPr>
              <w:t>岩溶</w:t>
            </w:r>
          </w:p>
        </w:tc>
        <w:tc>
          <w:tcPr>
            <w:tcW w:w="1902" w:type="dxa"/>
            <w:tcBorders>
              <w:top w:val="single" w:sz="4" w:space="0" w:color="auto"/>
              <w:left w:val="single" w:sz="4" w:space="0" w:color="auto"/>
              <w:bottom w:val="single" w:sz="4" w:space="0" w:color="auto"/>
              <w:right w:val="single" w:sz="4" w:space="0" w:color="auto"/>
            </w:tcBorders>
            <w:vAlign w:val="center"/>
          </w:tcPr>
          <w:p w14:paraId="49AD7E70" w14:textId="77777777" w:rsidR="00D170E5" w:rsidRPr="002B55E9" w:rsidRDefault="00EF27AD">
            <w:pPr>
              <w:spacing w:line="240" w:lineRule="atLeast"/>
              <w:jc w:val="center"/>
              <w:rPr>
                <w:sz w:val="18"/>
                <w:szCs w:val="21"/>
              </w:rPr>
            </w:pPr>
            <w:r w:rsidRPr="002B55E9">
              <w:rPr>
                <w:sz w:val="18"/>
                <w:szCs w:val="21"/>
                <w:lang w:bidi="ar"/>
              </w:rPr>
              <w:t>0-40</w:t>
            </w:r>
          </w:p>
        </w:tc>
        <w:tc>
          <w:tcPr>
            <w:tcW w:w="1665" w:type="dxa"/>
            <w:tcBorders>
              <w:top w:val="single" w:sz="4" w:space="0" w:color="auto"/>
              <w:left w:val="single" w:sz="4" w:space="0" w:color="auto"/>
              <w:bottom w:val="single" w:sz="4" w:space="0" w:color="auto"/>
              <w:right w:val="single" w:sz="4" w:space="0" w:color="auto"/>
            </w:tcBorders>
            <w:vAlign w:val="center"/>
          </w:tcPr>
          <w:p w14:paraId="1FD875F1" w14:textId="77777777" w:rsidR="00D170E5" w:rsidRPr="002B55E9" w:rsidRDefault="00EF27AD">
            <w:pPr>
              <w:spacing w:line="240" w:lineRule="atLeast"/>
              <w:jc w:val="center"/>
              <w:rPr>
                <w:sz w:val="18"/>
                <w:szCs w:val="21"/>
              </w:rPr>
            </w:pPr>
            <w:r w:rsidRPr="002B55E9">
              <w:rPr>
                <w:rFonts w:hint="eastAsia"/>
                <w:sz w:val="18"/>
                <w:szCs w:val="21"/>
                <w:lang w:bidi="ar"/>
              </w:rPr>
              <w:t>风化花岗岩</w:t>
            </w:r>
          </w:p>
        </w:tc>
        <w:tc>
          <w:tcPr>
            <w:tcW w:w="1900" w:type="dxa"/>
            <w:tcBorders>
              <w:top w:val="single" w:sz="4" w:space="0" w:color="auto"/>
              <w:left w:val="single" w:sz="4" w:space="0" w:color="auto"/>
              <w:bottom w:val="single" w:sz="4" w:space="0" w:color="auto"/>
              <w:right w:val="nil"/>
            </w:tcBorders>
            <w:vAlign w:val="center"/>
          </w:tcPr>
          <w:p w14:paraId="4E315D91" w14:textId="77777777" w:rsidR="00D170E5" w:rsidRPr="002B55E9" w:rsidRDefault="00EF27AD">
            <w:pPr>
              <w:spacing w:line="240" w:lineRule="atLeast"/>
              <w:jc w:val="center"/>
              <w:rPr>
                <w:sz w:val="18"/>
                <w:szCs w:val="21"/>
              </w:rPr>
            </w:pPr>
            <w:r w:rsidRPr="002B55E9">
              <w:rPr>
                <w:sz w:val="18"/>
                <w:szCs w:val="21"/>
                <w:lang w:bidi="ar"/>
              </w:rPr>
              <w:t>34-57</w:t>
            </w:r>
          </w:p>
        </w:tc>
      </w:tr>
      <w:tr w:rsidR="002B55E9" w:rsidRPr="002B55E9" w14:paraId="3D967FB1" w14:textId="77777777">
        <w:trPr>
          <w:trHeight w:val="284"/>
          <w:jc w:val="center"/>
        </w:trPr>
        <w:tc>
          <w:tcPr>
            <w:tcW w:w="1383" w:type="dxa"/>
            <w:tcBorders>
              <w:top w:val="single" w:sz="4" w:space="0" w:color="auto"/>
              <w:left w:val="nil"/>
              <w:bottom w:val="single" w:sz="4" w:space="0" w:color="auto"/>
              <w:right w:val="single" w:sz="4" w:space="0" w:color="auto"/>
            </w:tcBorders>
            <w:vAlign w:val="center"/>
          </w:tcPr>
          <w:p w14:paraId="50B1D288" w14:textId="77777777" w:rsidR="00D170E5" w:rsidRPr="002B55E9" w:rsidRDefault="00EF27AD">
            <w:pPr>
              <w:spacing w:line="240" w:lineRule="atLeast"/>
              <w:jc w:val="center"/>
              <w:rPr>
                <w:sz w:val="18"/>
                <w:szCs w:val="21"/>
              </w:rPr>
            </w:pPr>
            <w:r w:rsidRPr="002B55E9">
              <w:rPr>
                <w:rFonts w:hint="eastAsia"/>
                <w:sz w:val="18"/>
                <w:szCs w:val="21"/>
                <w:lang w:bidi="ar"/>
              </w:rPr>
              <w:t>粉砂</w:t>
            </w:r>
          </w:p>
        </w:tc>
        <w:tc>
          <w:tcPr>
            <w:tcW w:w="1902" w:type="dxa"/>
            <w:tcBorders>
              <w:top w:val="single" w:sz="4" w:space="0" w:color="auto"/>
              <w:left w:val="single" w:sz="4" w:space="0" w:color="auto"/>
              <w:bottom w:val="single" w:sz="4" w:space="0" w:color="auto"/>
              <w:right w:val="single" w:sz="4" w:space="0" w:color="auto"/>
            </w:tcBorders>
            <w:vAlign w:val="center"/>
          </w:tcPr>
          <w:p w14:paraId="50E68CF6" w14:textId="77777777" w:rsidR="00D170E5" w:rsidRPr="002B55E9" w:rsidRDefault="00EF27AD">
            <w:pPr>
              <w:spacing w:line="240" w:lineRule="atLeast"/>
              <w:jc w:val="center"/>
              <w:rPr>
                <w:sz w:val="18"/>
                <w:szCs w:val="21"/>
              </w:rPr>
            </w:pPr>
            <w:r w:rsidRPr="002B55E9">
              <w:rPr>
                <w:sz w:val="18"/>
                <w:szCs w:val="21"/>
                <w:lang w:bidi="ar"/>
              </w:rPr>
              <w:t>34-61</w:t>
            </w:r>
          </w:p>
        </w:tc>
        <w:tc>
          <w:tcPr>
            <w:tcW w:w="1102" w:type="dxa"/>
            <w:tcBorders>
              <w:top w:val="single" w:sz="4" w:space="0" w:color="auto"/>
              <w:left w:val="single" w:sz="4" w:space="0" w:color="auto"/>
              <w:bottom w:val="single" w:sz="4" w:space="0" w:color="auto"/>
              <w:right w:val="single" w:sz="4" w:space="0" w:color="auto"/>
            </w:tcBorders>
            <w:vAlign w:val="center"/>
          </w:tcPr>
          <w:p w14:paraId="37BAA63D" w14:textId="77777777" w:rsidR="00D170E5" w:rsidRPr="002B55E9" w:rsidRDefault="00EF27AD">
            <w:pPr>
              <w:spacing w:line="240" w:lineRule="atLeast"/>
              <w:jc w:val="center"/>
              <w:rPr>
                <w:sz w:val="18"/>
                <w:szCs w:val="21"/>
              </w:rPr>
            </w:pPr>
            <w:r w:rsidRPr="002B55E9">
              <w:rPr>
                <w:rFonts w:hint="eastAsia"/>
                <w:sz w:val="18"/>
                <w:szCs w:val="21"/>
                <w:lang w:bidi="ar"/>
              </w:rPr>
              <w:t>页岩</w:t>
            </w:r>
          </w:p>
        </w:tc>
        <w:tc>
          <w:tcPr>
            <w:tcW w:w="1902" w:type="dxa"/>
            <w:tcBorders>
              <w:top w:val="single" w:sz="4" w:space="0" w:color="auto"/>
              <w:left w:val="single" w:sz="4" w:space="0" w:color="auto"/>
              <w:bottom w:val="single" w:sz="4" w:space="0" w:color="auto"/>
              <w:right w:val="single" w:sz="4" w:space="0" w:color="auto"/>
            </w:tcBorders>
            <w:vAlign w:val="center"/>
          </w:tcPr>
          <w:p w14:paraId="0E884915" w14:textId="77777777" w:rsidR="00D170E5" w:rsidRPr="002B55E9" w:rsidRDefault="00EF27AD">
            <w:pPr>
              <w:spacing w:line="240" w:lineRule="atLeast"/>
              <w:jc w:val="center"/>
              <w:rPr>
                <w:sz w:val="18"/>
                <w:szCs w:val="21"/>
              </w:rPr>
            </w:pPr>
            <w:r w:rsidRPr="002B55E9">
              <w:rPr>
                <w:sz w:val="18"/>
                <w:szCs w:val="21"/>
                <w:lang w:bidi="ar"/>
              </w:rPr>
              <w:t>0-10</w:t>
            </w:r>
          </w:p>
        </w:tc>
        <w:tc>
          <w:tcPr>
            <w:tcW w:w="1665" w:type="dxa"/>
            <w:tcBorders>
              <w:top w:val="single" w:sz="4" w:space="0" w:color="auto"/>
              <w:left w:val="single" w:sz="4" w:space="0" w:color="auto"/>
              <w:bottom w:val="single" w:sz="4" w:space="0" w:color="auto"/>
              <w:right w:val="single" w:sz="4" w:space="0" w:color="auto"/>
            </w:tcBorders>
            <w:vAlign w:val="center"/>
          </w:tcPr>
          <w:p w14:paraId="1D6852B8" w14:textId="77777777" w:rsidR="00D170E5" w:rsidRPr="002B55E9" w:rsidRDefault="00EF27AD">
            <w:pPr>
              <w:spacing w:line="240" w:lineRule="atLeast"/>
              <w:jc w:val="center"/>
              <w:rPr>
                <w:sz w:val="18"/>
                <w:szCs w:val="21"/>
              </w:rPr>
            </w:pPr>
            <w:r w:rsidRPr="002B55E9">
              <w:rPr>
                <w:rFonts w:hint="eastAsia"/>
                <w:sz w:val="18"/>
                <w:szCs w:val="21"/>
                <w:lang w:bidi="ar"/>
              </w:rPr>
              <w:t>风化辉长岩</w:t>
            </w:r>
          </w:p>
        </w:tc>
        <w:tc>
          <w:tcPr>
            <w:tcW w:w="1900" w:type="dxa"/>
            <w:tcBorders>
              <w:top w:val="single" w:sz="4" w:space="0" w:color="auto"/>
              <w:left w:val="single" w:sz="4" w:space="0" w:color="auto"/>
              <w:bottom w:val="single" w:sz="4" w:space="0" w:color="auto"/>
              <w:right w:val="nil"/>
            </w:tcBorders>
            <w:vAlign w:val="center"/>
          </w:tcPr>
          <w:p w14:paraId="463A1723" w14:textId="77777777" w:rsidR="00D170E5" w:rsidRPr="002B55E9" w:rsidRDefault="00EF27AD">
            <w:pPr>
              <w:spacing w:line="240" w:lineRule="atLeast"/>
              <w:jc w:val="center"/>
              <w:rPr>
                <w:sz w:val="18"/>
                <w:szCs w:val="21"/>
              </w:rPr>
            </w:pPr>
            <w:r w:rsidRPr="002B55E9">
              <w:rPr>
                <w:sz w:val="18"/>
                <w:szCs w:val="21"/>
                <w:lang w:bidi="ar"/>
              </w:rPr>
              <w:t>42-45</w:t>
            </w:r>
          </w:p>
        </w:tc>
      </w:tr>
      <w:tr w:rsidR="002B55E9" w:rsidRPr="002B55E9" w14:paraId="59DBE799" w14:textId="77777777">
        <w:trPr>
          <w:trHeight w:val="284"/>
          <w:jc w:val="center"/>
        </w:trPr>
        <w:tc>
          <w:tcPr>
            <w:tcW w:w="1383" w:type="dxa"/>
            <w:tcBorders>
              <w:top w:val="single" w:sz="4" w:space="0" w:color="auto"/>
              <w:left w:val="nil"/>
              <w:bottom w:val="single" w:sz="12" w:space="0" w:color="auto"/>
              <w:right w:val="single" w:sz="4" w:space="0" w:color="auto"/>
            </w:tcBorders>
            <w:vAlign w:val="center"/>
          </w:tcPr>
          <w:p w14:paraId="51AD8B4E" w14:textId="77777777" w:rsidR="00D170E5" w:rsidRPr="002B55E9" w:rsidRDefault="00EF27AD">
            <w:pPr>
              <w:spacing w:line="240" w:lineRule="atLeast"/>
              <w:jc w:val="center"/>
              <w:rPr>
                <w:sz w:val="18"/>
                <w:szCs w:val="21"/>
              </w:rPr>
            </w:pPr>
            <w:r w:rsidRPr="002B55E9">
              <w:rPr>
                <w:rFonts w:hint="eastAsia"/>
                <w:sz w:val="18"/>
                <w:szCs w:val="21"/>
                <w:lang w:bidi="ar"/>
              </w:rPr>
              <w:t>粘土</w:t>
            </w:r>
          </w:p>
        </w:tc>
        <w:tc>
          <w:tcPr>
            <w:tcW w:w="1902" w:type="dxa"/>
            <w:tcBorders>
              <w:top w:val="single" w:sz="4" w:space="0" w:color="auto"/>
              <w:left w:val="single" w:sz="4" w:space="0" w:color="auto"/>
              <w:bottom w:val="single" w:sz="12" w:space="0" w:color="auto"/>
              <w:right w:val="single" w:sz="4" w:space="0" w:color="auto"/>
            </w:tcBorders>
            <w:vAlign w:val="center"/>
          </w:tcPr>
          <w:p w14:paraId="09C61FA8" w14:textId="77777777" w:rsidR="00D170E5" w:rsidRPr="002B55E9" w:rsidRDefault="00EF27AD">
            <w:pPr>
              <w:spacing w:line="240" w:lineRule="atLeast"/>
              <w:jc w:val="center"/>
              <w:rPr>
                <w:sz w:val="18"/>
                <w:szCs w:val="21"/>
              </w:rPr>
            </w:pPr>
            <w:r w:rsidRPr="002B55E9">
              <w:rPr>
                <w:sz w:val="18"/>
                <w:szCs w:val="21"/>
                <w:lang w:bidi="ar"/>
              </w:rPr>
              <w:t>34-60</w:t>
            </w:r>
          </w:p>
        </w:tc>
        <w:tc>
          <w:tcPr>
            <w:tcW w:w="1102" w:type="dxa"/>
            <w:tcBorders>
              <w:top w:val="single" w:sz="4" w:space="0" w:color="auto"/>
              <w:left w:val="single" w:sz="4" w:space="0" w:color="auto"/>
              <w:bottom w:val="single" w:sz="12" w:space="0" w:color="auto"/>
              <w:right w:val="single" w:sz="4" w:space="0" w:color="auto"/>
            </w:tcBorders>
            <w:vAlign w:val="center"/>
          </w:tcPr>
          <w:p w14:paraId="10B92E3A" w14:textId="77777777" w:rsidR="00D170E5" w:rsidRPr="002B55E9" w:rsidRDefault="00D170E5">
            <w:pPr>
              <w:spacing w:line="240" w:lineRule="atLeast"/>
              <w:jc w:val="center"/>
              <w:rPr>
                <w:sz w:val="18"/>
                <w:szCs w:val="21"/>
              </w:rPr>
            </w:pPr>
          </w:p>
        </w:tc>
        <w:tc>
          <w:tcPr>
            <w:tcW w:w="1902" w:type="dxa"/>
            <w:tcBorders>
              <w:top w:val="single" w:sz="4" w:space="0" w:color="auto"/>
              <w:left w:val="single" w:sz="4" w:space="0" w:color="auto"/>
              <w:bottom w:val="single" w:sz="12" w:space="0" w:color="auto"/>
              <w:right w:val="single" w:sz="4" w:space="0" w:color="auto"/>
            </w:tcBorders>
            <w:vAlign w:val="center"/>
          </w:tcPr>
          <w:p w14:paraId="2B2F1168" w14:textId="77777777" w:rsidR="00D170E5" w:rsidRPr="002B55E9" w:rsidRDefault="00D170E5">
            <w:pPr>
              <w:spacing w:line="240" w:lineRule="atLeast"/>
              <w:jc w:val="center"/>
              <w:rPr>
                <w:sz w:val="18"/>
                <w:szCs w:val="21"/>
              </w:rPr>
            </w:pPr>
          </w:p>
        </w:tc>
        <w:tc>
          <w:tcPr>
            <w:tcW w:w="1665" w:type="dxa"/>
            <w:tcBorders>
              <w:top w:val="single" w:sz="4" w:space="0" w:color="auto"/>
              <w:left w:val="single" w:sz="4" w:space="0" w:color="auto"/>
              <w:bottom w:val="single" w:sz="12" w:space="0" w:color="auto"/>
              <w:right w:val="single" w:sz="4" w:space="0" w:color="auto"/>
            </w:tcBorders>
            <w:vAlign w:val="center"/>
          </w:tcPr>
          <w:p w14:paraId="47BB8E4F" w14:textId="77777777" w:rsidR="00D170E5" w:rsidRPr="002B55E9" w:rsidRDefault="00D170E5">
            <w:pPr>
              <w:spacing w:line="240" w:lineRule="atLeast"/>
              <w:jc w:val="center"/>
              <w:rPr>
                <w:sz w:val="18"/>
                <w:szCs w:val="21"/>
              </w:rPr>
            </w:pPr>
          </w:p>
        </w:tc>
        <w:tc>
          <w:tcPr>
            <w:tcW w:w="1900" w:type="dxa"/>
            <w:tcBorders>
              <w:top w:val="single" w:sz="4" w:space="0" w:color="auto"/>
              <w:left w:val="single" w:sz="4" w:space="0" w:color="auto"/>
              <w:bottom w:val="single" w:sz="12" w:space="0" w:color="auto"/>
              <w:right w:val="nil"/>
            </w:tcBorders>
            <w:vAlign w:val="center"/>
          </w:tcPr>
          <w:p w14:paraId="014F4A24" w14:textId="77777777" w:rsidR="00D170E5" w:rsidRPr="002B55E9" w:rsidRDefault="00D170E5">
            <w:pPr>
              <w:spacing w:line="240" w:lineRule="atLeast"/>
              <w:jc w:val="center"/>
              <w:rPr>
                <w:sz w:val="18"/>
                <w:szCs w:val="21"/>
              </w:rPr>
            </w:pPr>
          </w:p>
        </w:tc>
      </w:tr>
    </w:tbl>
    <w:p w14:paraId="6450ABFA" w14:textId="77777777" w:rsidR="00D170E5" w:rsidRPr="002B55E9" w:rsidRDefault="00EF27AD">
      <w:pPr>
        <w:widowControl/>
        <w:spacing w:after="60" w:line="360" w:lineRule="auto"/>
        <w:ind w:firstLineChars="200" w:firstLine="480"/>
        <w:rPr>
          <w:bCs/>
          <w:snapToGrid w:val="0"/>
          <w:sz w:val="24"/>
          <w:lang w:bidi="ar"/>
        </w:rPr>
      </w:pPr>
      <w:r w:rsidRPr="002B55E9">
        <w:rPr>
          <w:rFonts w:hint="eastAsia"/>
          <w:sz w:val="24"/>
          <w:szCs w:val="21"/>
          <w:lang w:bidi="ar"/>
        </w:rPr>
        <w:t>因此地下水的渗透流速</w:t>
      </w:r>
      <w:r w:rsidRPr="002B55E9">
        <w:rPr>
          <w:sz w:val="24"/>
          <w:szCs w:val="21"/>
          <w:lang w:bidi="ar"/>
        </w:rPr>
        <w:t>u=K×I/n=</w:t>
      </w:r>
      <w:r w:rsidRPr="002B55E9">
        <w:rPr>
          <w:rFonts w:hint="eastAsia"/>
          <w:sz w:val="24"/>
          <w:szCs w:val="21"/>
          <w:lang w:bidi="ar"/>
        </w:rPr>
        <w:t>0.1</w:t>
      </w:r>
      <w:r w:rsidRPr="002B55E9">
        <w:rPr>
          <w:sz w:val="24"/>
          <w:szCs w:val="21"/>
          <w:lang w:bidi="ar"/>
        </w:rPr>
        <w:t>m/d×1.5</w:t>
      </w:r>
      <w:r w:rsidRPr="002B55E9">
        <w:rPr>
          <w:sz w:val="24"/>
          <w:szCs w:val="21"/>
          <w:lang w:bidi="ar"/>
        </w:rPr>
        <w:t>％</w:t>
      </w:r>
      <w:r w:rsidRPr="002B55E9">
        <w:rPr>
          <w:sz w:val="24"/>
          <w:szCs w:val="21"/>
          <w:lang w:bidi="ar"/>
        </w:rPr>
        <w:t>/0.</w:t>
      </w:r>
      <w:r w:rsidRPr="002B55E9">
        <w:rPr>
          <w:rFonts w:hint="eastAsia"/>
          <w:sz w:val="24"/>
          <w:szCs w:val="21"/>
          <w:lang w:bidi="ar"/>
        </w:rPr>
        <w:t>47</w:t>
      </w:r>
      <w:r w:rsidRPr="002B55E9">
        <w:rPr>
          <w:sz w:val="24"/>
          <w:szCs w:val="21"/>
          <w:lang w:bidi="ar"/>
        </w:rPr>
        <w:t>=0.0</w:t>
      </w:r>
      <w:r w:rsidRPr="002B55E9">
        <w:rPr>
          <w:rFonts w:hint="eastAsia"/>
          <w:sz w:val="24"/>
          <w:szCs w:val="21"/>
          <w:lang w:bidi="ar"/>
        </w:rPr>
        <w:t>03</w:t>
      </w:r>
      <w:r w:rsidRPr="002B55E9">
        <w:rPr>
          <w:sz w:val="24"/>
          <w:szCs w:val="21"/>
          <w:lang w:bidi="ar"/>
        </w:rPr>
        <w:t>m/d</w:t>
      </w:r>
      <w:r w:rsidRPr="002B55E9">
        <w:rPr>
          <w:rFonts w:hint="eastAsia"/>
          <w:sz w:val="24"/>
          <w:szCs w:val="21"/>
          <w:lang w:bidi="ar"/>
        </w:rPr>
        <w:t>。</w:t>
      </w:r>
    </w:p>
    <w:p w14:paraId="05E2817F"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lang w:bidi="ar"/>
        </w:rPr>
        <w:t>（</w:t>
      </w:r>
      <w:r w:rsidRPr="002B55E9">
        <w:rPr>
          <w:rFonts w:hint="eastAsia"/>
          <w:bCs/>
          <w:snapToGrid w:val="0"/>
          <w:sz w:val="24"/>
          <w:lang w:bidi="ar"/>
        </w:rPr>
        <w:t>3</w:t>
      </w:r>
      <w:r w:rsidRPr="002B55E9">
        <w:rPr>
          <w:rFonts w:hint="eastAsia"/>
          <w:bCs/>
          <w:snapToGrid w:val="0"/>
          <w:sz w:val="24"/>
          <w:lang w:bidi="ar"/>
        </w:rPr>
        <w:t>）弥散系数确定</w:t>
      </w:r>
    </w:p>
    <w:p w14:paraId="5D8E9949" w14:textId="77777777" w:rsidR="00D170E5" w:rsidRPr="002B55E9" w:rsidRDefault="00EF27AD">
      <w:pPr>
        <w:widowControl/>
        <w:spacing w:after="60" w:line="360" w:lineRule="auto"/>
        <w:ind w:firstLineChars="200" w:firstLine="480"/>
        <w:rPr>
          <w:sz w:val="24"/>
          <w:szCs w:val="21"/>
          <w:lang w:bidi="ar"/>
        </w:rPr>
      </w:pPr>
      <w:r w:rsidRPr="002B55E9">
        <w:rPr>
          <w:rFonts w:hint="eastAsia"/>
          <w:sz w:val="24"/>
          <w:szCs w:val="21"/>
          <w:lang w:bidi="ar"/>
        </w:rPr>
        <w:t>含水层纵向弥散度</w:t>
      </w:r>
      <w:r w:rsidRPr="002B55E9">
        <w:rPr>
          <w:noProof/>
          <w:position w:val="-12"/>
          <w:sz w:val="24"/>
          <w:szCs w:val="21"/>
        </w:rPr>
        <w:drawing>
          <wp:inline distT="0" distB="0" distL="0" distR="0" wp14:anchorId="6D86FD37" wp14:editId="6EAD0935">
            <wp:extent cx="625475" cy="234315"/>
            <wp:effectExtent l="0" t="0" r="0" b="0"/>
            <wp:docPr id="5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5475" cy="234315"/>
                    </a:xfrm>
                    <a:prstGeom prst="rect">
                      <a:avLst/>
                    </a:prstGeom>
                    <a:noFill/>
                    <a:ln>
                      <a:noFill/>
                    </a:ln>
                  </pic:spPr>
                </pic:pic>
              </a:graphicData>
            </a:graphic>
          </wp:inline>
        </w:drawing>
      </w:r>
      <w:r w:rsidRPr="002B55E9">
        <w:rPr>
          <w:rFonts w:hint="eastAsia"/>
          <w:sz w:val="24"/>
          <w:szCs w:val="21"/>
          <w:lang w:bidi="ar"/>
        </w:rPr>
        <w:t>，由此计算项目含水层中的纵向弥散系数</w:t>
      </w:r>
      <w:r w:rsidRPr="002B55E9">
        <w:rPr>
          <w:noProof/>
          <w:position w:val="-12"/>
          <w:sz w:val="24"/>
          <w:szCs w:val="21"/>
        </w:rPr>
        <w:drawing>
          <wp:inline distT="0" distB="0" distL="0" distR="0" wp14:anchorId="7F473B8C" wp14:editId="6AC46F74">
            <wp:extent cx="775970" cy="234315"/>
            <wp:effectExtent l="0" t="0" r="0" b="0"/>
            <wp:docPr id="5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775970" cy="234315"/>
                    </a:xfrm>
                    <a:prstGeom prst="rect">
                      <a:avLst/>
                    </a:prstGeom>
                    <a:noFill/>
                    <a:ln>
                      <a:noFill/>
                    </a:ln>
                  </pic:spPr>
                </pic:pic>
              </a:graphicData>
            </a:graphic>
          </wp:inline>
        </w:drawing>
      </w:r>
      <w:r w:rsidRPr="002B55E9">
        <w:rPr>
          <w:sz w:val="24"/>
          <w:szCs w:val="21"/>
          <w:lang w:bidi="ar"/>
        </w:rPr>
        <w:t>=20m×0.0</w:t>
      </w:r>
      <w:r w:rsidRPr="002B55E9">
        <w:rPr>
          <w:rFonts w:hint="eastAsia"/>
          <w:sz w:val="24"/>
          <w:szCs w:val="21"/>
          <w:lang w:bidi="ar"/>
        </w:rPr>
        <w:t>03</w:t>
      </w:r>
      <w:r w:rsidRPr="002B55E9">
        <w:rPr>
          <w:sz w:val="24"/>
          <w:szCs w:val="21"/>
          <w:lang w:bidi="ar"/>
        </w:rPr>
        <w:t>m/d=</w:t>
      </w:r>
      <w:r w:rsidRPr="002B55E9">
        <w:rPr>
          <w:rFonts w:hint="eastAsia"/>
          <w:sz w:val="24"/>
          <w:szCs w:val="21"/>
          <w:lang w:bidi="ar"/>
        </w:rPr>
        <w:t>0.06</w:t>
      </w:r>
      <w:r w:rsidRPr="002B55E9">
        <w:rPr>
          <w:sz w:val="24"/>
          <w:szCs w:val="21"/>
          <w:lang w:bidi="ar"/>
        </w:rPr>
        <w:t>m</w:t>
      </w:r>
      <w:r w:rsidRPr="002B55E9">
        <w:rPr>
          <w:sz w:val="24"/>
          <w:szCs w:val="21"/>
          <w:vertAlign w:val="superscript"/>
          <w:lang w:bidi="ar"/>
        </w:rPr>
        <w:t>2</w:t>
      </w:r>
      <w:r w:rsidRPr="002B55E9">
        <w:rPr>
          <w:sz w:val="24"/>
          <w:szCs w:val="21"/>
          <w:lang w:bidi="ar"/>
        </w:rPr>
        <w:t>/d</w:t>
      </w:r>
      <w:r w:rsidRPr="002B55E9">
        <w:rPr>
          <w:rFonts w:hint="eastAsia"/>
          <w:sz w:val="24"/>
          <w:szCs w:val="21"/>
          <w:lang w:bidi="ar"/>
        </w:rPr>
        <w:t>。</w:t>
      </w:r>
    </w:p>
    <w:p w14:paraId="429B6F8B" w14:textId="77777777" w:rsidR="00D170E5" w:rsidRPr="002B55E9" w:rsidRDefault="00EF27AD">
      <w:pPr>
        <w:snapToGrid w:val="0"/>
        <w:jc w:val="center"/>
        <w:rPr>
          <w:rFonts w:eastAsia="黑体"/>
          <w:b/>
          <w:sz w:val="24"/>
          <w:szCs w:val="21"/>
        </w:rPr>
      </w:pPr>
      <w:r w:rsidRPr="002B55E9">
        <w:rPr>
          <w:rFonts w:eastAsia="黑体" w:hint="eastAsia"/>
          <w:b/>
          <w:sz w:val="24"/>
          <w:szCs w:val="21"/>
          <w:lang w:bidi="ar"/>
        </w:rPr>
        <w:t>表</w:t>
      </w:r>
      <w:r w:rsidRPr="002B55E9">
        <w:rPr>
          <w:rFonts w:eastAsia="黑体" w:hint="eastAsia"/>
          <w:b/>
          <w:sz w:val="24"/>
          <w:lang w:bidi="ar"/>
        </w:rPr>
        <w:t xml:space="preserve">5-6-5 </w:t>
      </w:r>
      <w:r w:rsidRPr="002B55E9">
        <w:rPr>
          <w:rFonts w:eastAsia="黑体"/>
          <w:b/>
          <w:sz w:val="24"/>
          <w:szCs w:val="21"/>
          <w:lang w:bidi="ar"/>
        </w:rPr>
        <w:t xml:space="preserve"> </w:t>
      </w:r>
      <w:r w:rsidRPr="002B55E9">
        <w:rPr>
          <w:rFonts w:eastAsia="黑体" w:hint="eastAsia"/>
          <w:b/>
          <w:sz w:val="24"/>
          <w:szCs w:val="21"/>
          <w:lang w:bidi="ar"/>
        </w:rPr>
        <w:t>溶质运移模型参数表</w:t>
      </w:r>
    </w:p>
    <w:tbl>
      <w:tblPr>
        <w:tblW w:w="963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75"/>
        <w:gridCol w:w="4763"/>
      </w:tblGrid>
      <w:tr w:rsidR="002B55E9" w:rsidRPr="002B55E9" w14:paraId="36EDA432" w14:textId="77777777">
        <w:trPr>
          <w:trHeight w:val="284"/>
        </w:trPr>
        <w:tc>
          <w:tcPr>
            <w:tcW w:w="4875" w:type="dxa"/>
            <w:tcBorders>
              <w:bottom w:val="single" w:sz="12" w:space="0" w:color="auto"/>
            </w:tcBorders>
            <w:vAlign w:val="center"/>
          </w:tcPr>
          <w:p w14:paraId="60130228" w14:textId="77777777" w:rsidR="00D170E5" w:rsidRPr="002B55E9" w:rsidRDefault="00EF27AD">
            <w:pPr>
              <w:jc w:val="center"/>
              <w:rPr>
                <w:sz w:val="18"/>
                <w:szCs w:val="18"/>
              </w:rPr>
            </w:pPr>
            <w:r w:rsidRPr="002B55E9">
              <w:rPr>
                <w:rFonts w:hint="eastAsia"/>
                <w:sz w:val="18"/>
                <w:szCs w:val="18"/>
                <w:lang w:bidi="ar"/>
              </w:rPr>
              <w:t>参数</w:t>
            </w:r>
          </w:p>
        </w:tc>
        <w:tc>
          <w:tcPr>
            <w:tcW w:w="4763" w:type="dxa"/>
            <w:tcBorders>
              <w:bottom w:val="single" w:sz="12" w:space="0" w:color="auto"/>
            </w:tcBorders>
            <w:vAlign w:val="center"/>
          </w:tcPr>
          <w:p w14:paraId="5446B07E" w14:textId="77777777" w:rsidR="00D170E5" w:rsidRPr="002B55E9" w:rsidRDefault="00EF27AD">
            <w:pPr>
              <w:jc w:val="center"/>
              <w:rPr>
                <w:sz w:val="18"/>
                <w:szCs w:val="18"/>
              </w:rPr>
            </w:pPr>
            <w:r w:rsidRPr="002B55E9">
              <w:rPr>
                <w:rFonts w:hint="eastAsia"/>
                <w:sz w:val="18"/>
                <w:szCs w:val="18"/>
              </w:rPr>
              <w:t>取值</w:t>
            </w:r>
          </w:p>
        </w:tc>
      </w:tr>
      <w:tr w:rsidR="002B55E9" w:rsidRPr="002B55E9" w14:paraId="1EC83998" w14:textId="77777777">
        <w:trPr>
          <w:trHeight w:val="284"/>
        </w:trPr>
        <w:tc>
          <w:tcPr>
            <w:tcW w:w="4875" w:type="dxa"/>
            <w:tcBorders>
              <w:top w:val="single" w:sz="12" w:space="0" w:color="auto"/>
            </w:tcBorders>
            <w:vAlign w:val="center"/>
          </w:tcPr>
          <w:p w14:paraId="55C0E482" w14:textId="77777777" w:rsidR="00D170E5" w:rsidRPr="002B55E9" w:rsidRDefault="00EF27AD">
            <w:pPr>
              <w:jc w:val="center"/>
              <w:rPr>
                <w:sz w:val="18"/>
                <w:szCs w:val="18"/>
              </w:rPr>
            </w:pPr>
            <w:r w:rsidRPr="002B55E9">
              <w:rPr>
                <w:rFonts w:hint="eastAsia"/>
                <w:sz w:val="18"/>
                <w:szCs w:val="18"/>
                <w:lang w:bidi="ar"/>
              </w:rPr>
              <w:t>纵向弥散系数</w:t>
            </w:r>
            <w:r w:rsidRPr="002B55E9">
              <w:rPr>
                <w:sz w:val="18"/>
                <w:szCs w:val="18"/>
                <w:lang w:bidi="ar"/>
              </w:rPr>
              <w:t>(m</w:t>
            </w:r>
            <w:r w:rsidRPr="002B55E9">
              <w:rPr>
                <w:sz w:val="18"/>
                <w:szCs w:val="18"/>
                <w:vertAlign w:val="superscript"/>
                <w:lang w:bidi="ar"/>
              </w:rPr>
              <w:t>2</w:t>
            </w:r>
            <w:r w:rsidRPr="002B55E9">
              <w:rPr>
                <w:sz w:val="18"/>
                <w:szCs w:val="18"/>
                <w:lang w:bidi="ar"/>
              </w:rPr>
              <w:t>/d)</w:t>
            </w:r>
          </w:p>
        </w:tc>
        <w:tc>
          <w:tcPr>
            <w:tcW w:w="4763" w:type="dxa"/>
            <w:tcBorders>
              <w:top w:val="single" w:sz="12" w:space="0" w:color="auto"/>
            </w:tcBorders>
            <w:vAlign w:val="center"/>
          </w:tcPr>
          <w:p w14:paraId="640B40F7" w14:textId="77777777" w:rsidR="00D170E5" w:rsidRPr="002B55E9" w:rsidRDefault="00EF27AD">
            <w:pPr>
              <w:jc w:val="center"/>
              <w:rPr>
                <w:sz w:val="18"/>
                <w:szCs w:val="18"/>
              </w:rPr>
            </w:pPr>
            <w:r w:rsidRPr="002B55E9">
              <w:rPr>
                <w:rFonts w:hint="eastAsia"/>
                <w:sz w:val="18"/>
                <w:szCs w:val="18"/>
                <w:lang w:bidi="ar"/>
              </w:rPr>
              <w:t>0.06</w:t>
            </w:r>
          </w:p>
        </w:tc>
      </w:tr>
      <w:tr w:rsidR="002B55E9" w:rsidRPr="002B55E9" w14:paraId="50030B4A" w14:textId="77777777">
        <w:trPr>
          <w:trHeight w:val="284"/>
        </w:trPr>
        <w:tc>
          <w:tcPr>
            <w:tcW w:w="4875" w:type="dxa"/>
            <w:vAlign w:val="center"/>
          </w:tcPr>
          <w:p w14:paraId="02564B59" w14:textId="77777777" w:rsidR="00D170E5" w:rsidRPr="002B55E9" w:rsidRDefault="00EF27AD">
            <w:pPr>
              <w:jc w:val="center"/>
              <w:rPr>
                <w:sz w:val="18"/>
                <w:szCs w:val="18"/>
              </w:rPr>
            </w:pPr>
            <w:r w:rsidRPr="002B55E9">
              <w:rPr>
                <w:rFonts w:hint="eastAsia"/>
                <w:sz w:val="18"/>
                <w:szCs w:val="18"/>
                <w:lang w:bidi="ar"/>
              </w:rPr>
              <w:t>有效孔隙度</w:t>
            </w:r>
          </w:p>
        </w:tc>
        <w:tc>
          <w:tcPr>
            <w:tcW w:w="4763" w:type="dxa"/>
            <w:vAlign w:val="center"/>
          </w:tcPr>
          <w:p w14:paraId="4395419D" w14:textId="77777777" w:rsidR="00D170E5" w:rsidRPr="002B55E9" w:rsidRDefault="00EF27AD">
            <w:pPr>
              <w:jc w:val="center"/>
              <w:rPr>
                <w:sz w:val="18"/>
                <w:szCs w:val="18"/>
              </w:rPr>
            </w:pPr>
            <w:r w:rsidRPr="002B55E9">
              <w:rPr>
                <w:sz w:val="18"/>
                <w:szCs w:val="18"/>
                <w:lang w:bidi="ar"/>
              </w:rPr>
              <w:t>0.4</w:t>
            </w:r>
            <w:r w:rsidRPr="002B55E9">
              <w:rPr>
                <w:rFonts w:hint="eastAsia"/>
                <w:sz w:val="18"/>
                <w:szCs w:val="18"/>
                <w:lang w:bidi="ar"/>
              </w:rPr>
              <w:t>7</w:t>
            </w:r>
          </w:p>
        </w:tc>
      </w:tr>
      <w:tr w:rsidR="002B55E9" w:rsidRPr="002B55E9" w14:paraId="090041B5" w14:textId="77777777">
        <w:trPr>
          <w:trHeight w:val="284"/>
        </w:trPr>
        <w:tc>
          <w:tcPr>
            <w:tcW w:w="4875" w:type="dxa"/>
            <w:vAlign w:val="center"/>
          </w:tcPr>
          <w:p w14:paraId="1FD4EBE7" w14:textId="77777777" w:rsidR="00D170E5" w:rsidRPr="002B55E9" w:rsidRDefault="00EF27AD">
            <w:pPr>
              <w:jc w:val="center"/>
              <w:rPr>
                <w:sz w:val="18"/>
                <w:szCs w:val="18"/>
              </w:rPr>
            </w:pPr>
            <w:r w:rsidRPr="002B55E9">
              <w:rPr>
                <w:rFonts w:hint="eastAsia"/>
                <w:sz w:val="18"/>
                <w:szCs w:val="18"/>
                <w:lang w:bidi="ar"/>
              </w:rPr>
              <w:t>地下水流速</w:t>
            </w:r>
            <w:r w:rsidRPr="002B55E9">
              <w:rPr>
                <w:sz w:val="18"/>
                <w:szCs w:val="18"/>
                <w:lang w:bidi="ar"/>
              </w:rPr>
              <w:t>(m/d)</w:t>
            </w:r>
          </w:p>
        </w:tc>
        <w:tc>
          <w:tcPr>
            <w:tcW w:w="4763" w:type="dxa"/>
            <w:vAlign w:val="center"/>
          </w:tcPr>
          <w:p w14:paraId="466AC479" w14:textId="77777777" w:rsidR="00D170E5" w:rsidRPr="002B55E9" w:rsidRDefault="00EF27AD">
            <w:pPr>
              <w:jc w:val="center"/>
              <w:rPr>
                <w:sz w:val="18"/>
                <w:szCs w:val="18"/>
              </w:rPr>
            </w:pPr>
            <w:r w:rsidRPr="002B55E9">
              <w:rPr>
                <w:sz w:val="18"/>
                <w:szCs w:val="18"/>
                <w:lang w:bidi="ar"/>
              </w:rPr>
              <w:t>0.0</w:t>
            </w:r>
            <w:r w:rsidRPr="002B55E9">
              <w:rPr>
                <w:rFonts w:hint="eastAsia"/>
                <w:sz w:val="18"/>
                <w:szCs w:val="18"/>
                <w:lang w:bidi="ar"/>
              </w:rPr>
              <w:t>03</w:t>
            </w:r>
          </w:p>
        </w:tc>
      </w:tr>
      <w:tr w:rsidR="002B55E9" w:rsidRPr="002B55E9" w14:paraId="31E86B0C" w14:textId="77777777">
        <w:trPr>
          <w:trHeight w:val="284"/>
        </w:trPr>
        <w:tc>
          <w:tcPr>
            <w:tcW w:w="4875" w:type="dxa"/>
            <w:vAlign w:val="center"/>
          </w:tcPr>
          <w:p w14:paraId="69E577DF" w14:textId="77777777" w:rsidR="00D170E5" w:rsidRPr="002B55E9" w:rsidRDefault="00EF27AD">
            <w:pPr>
              <w:jc w:val="center"/>
              <w:rPr>
                <w:sz w:val="18"/>
                <w:szCs w:val="18"/>
              </w:rPr>
            </w:pPr>
            <w:r w:rsidRPr="002B55E9">
              <w:rPr>
                <w:rFonts w:hint="eastAsia"/>
                <w:sz w:val="18"/>
                <w:szCs w:val="18"/>
                <w:lang w:bidi="ar"/>
              </w:rPr>
              <w:t>渗透系数（</w:t>
            </w:r>
            <w:r w:rsidRPr="002B55E9">
              <w:rPr>
                <w:sz w:val="18"/>
                <w:szCs w:val="18"/>
                <w:lang w:bidi="ar"/>
              </w:rPr>
              <w:t>m/d</w:t>
            </w:r>
            <w:r w:rsidRPr="002B55E9">
              <w:rPr>
                <w:rFonts w:hint="eastAsia"/>
                <w:sz w:val="18"/>
                <w:szCs w:val="18"/>
                <w:lang w:bidi="ar"/>
              </w:rPr>
              <w:t>）</w:t>
            </w:r>
          </w:p>
        </w:tc>
        <w:tc>
          <w:tcPr>
            <w:tcW w:w="4763" w:type="dxa"/>
            <w:vAlign w:val="center"/>
          </w:tcPr>
          <w:p w14:paraId="23348BEB" w14:textId="77777777" w:rsidR="00D170E5" w:rsidRPr="002B55E9" w:rsidRDefault="00EF27AD">
            <w:pPr>
              <w:jc w:val="center"/>
              <w:rPr>
                <w:sz w:val="18"/>
                <w:szCs w:val="18"/>
              </w:rPr>
            </w:pPr>
            <w:r w:rsidRPr="002B55E9">
              <w:rPr>
                <w:rFonts w:hint="eastAsia"/>
                <w:sz w:val="18"/>
                <w:szCs w:val="18"/>
                <w:lang w:bidi="ar"/>
              </w:rPr>
              <w:t>0.1</w:t>
            </w:r>
          </w:p>
        </w:tc>
      </w:tr>
    </w:tbl>
    <w:p w14:paraId="3C5F796F" w14:textId="77777777" w:rsidR="00D170E5" w:rsidRPr="002B55E9" w:rsidRDefault="00EF27AD">
      <w:pPr>
        <w:pStyle w:val="5"/>
      </w:pPr>
      <w:r w:rsidRPr="002B55E9">
        <w:rPr>
          <w:rFonts w:hint="eastAsia"/>
        </w:rPr>
        <w:t>预测</w:t>
      </w:r>
      <w:r w:rsidRPr="002B55E9">
        <w:t>结果</w:t>
      </w:r>
    </w:p>
    <w:p w14:paraId="35C27B81" w14:textId="77777777" w:rsidR="00D170E5" w:rsidRPr="002B55E9" w:rsidRDefault="00EF27AD">
      <w:pPr>
        <w:spacing w:after="60" w:line="360" w:lineRule="auto"/>
        <w:ind w:firstLineChars="200" w:firstLine="480"/>
        <w:rPr>
          <w:sz w:val="24"/>
          <w:szCs w:val="24"/>
        </w:rPr>
      </w:pPr>
      <w:r w:rsidRPr="002B55E9">
        <w:rPr>
          <w:sz w:val="24"/>
          <w:szCs w:val="24"/>
        </w:rPr>
        <w:t>事故发生后，</w:t>
      </w:r>
      <w:r w:rsidRPr="002B55E9">
        <w:rPr>
          <w:rFonts w:hint="eastAsia"/>
          <w:sz w:val="24"/>
          <w:szCs w:val="24"/>
        </w:rPr>
        <w:t>高锰酸盐指数</w:t>
      </w:r>
      <w:r w:rsidRPr="002B55E9">
        <w:rPr>
          <w:sz w:val="24"/>
          <w:szCs w:val="24"/>
        </w:rPr>
        <w:t>在</w:t>
      </w:r>
      <w:r w:rsidRPr="002B55E9">
        <w:rPr>
          <w:sz w:val="24"/>
          <w:szCs w:val="24"/>
        </w:rPr>
        <w:t>30</w:t>
      </w:r>
      <w:r w:rsidRPr="002B55E9">
        <w:rPr>
          <w:rFonts w:hint="eastAsia"/>
          <w:sz w:val="24"/>
          <w:szCs w:val="24"/>
        </w:rPr>
        <w:t>天、</w:t>
      </w:r>
      <w:r w:rsidRPr="002B55E9">
        <w:rPr>
          <w:rFonts w:hint="eastAsia"/>
          <w:sz w:val="24"/>
          <w:szCs w:val="24"/>
        </w:rPr>
        <w:t>1</w:t>
      </w:r>
      <w:r w:rsidRPr="002B55E9">
        <w:rPr>
          <w:sz w:val="24"/>
          <w:szCs w:val="24"/>
        </w:rPr>
        <w:t>00</w:t>
      </w:r>
      <w:r w:rsidRPr="002B55E9">
        <w:rPr>
          <w:rFonts w:hint="eastAsia"/>
          <w:sz w:val="24"/>
          <w:szCs w:val="24"/>
        </w:rPr>
        <w:t>天、</w:t>
      </w:r>
      <w:r w:rsidRPr="002B55E9">
        <w:rPr>
          <w:rFonts w:hint="eastAsia"/>
          <w:sz w:val="24"/>
          <w:szCs w:val="24"/>
        </w:rPr>
        <w:t>1000</w:t>
      </w:r>
      <w:r w:rsidRPr="002B55E9">
        <w:rPr>
          <w:rFonts w:hint="eastAsia"/>
          <w:sz w:val="24"/>
          <w:szCs w:val="24"/>
        </w:rPr>
        <w:t>天和</w:t>
      </w:r>
      <w:r w:rsidRPr="002B55E9">
        <w:rPr>
          <w:sz w:val="24"/>
          <w:szCs w:val="24"/>
        </w:rPr>
        <w:t>10950</w:t>
      </w:r>
      <w:r w:rsidRPr="002B55E9">
        <w:rPr>
          <w:rFonts w:hint="eastAsia"/>
          <w:sz w:val="24"/>
          <w:szCs w:val="24"/>
        </w:rPr>
        <w:t>天（</w:t>
      </w:r>
      <w:r w:rsidRPr="002B55E9">
        <w:rPr>
          <w:rFonts w:hint="eastAsia"/>
          <w:sz w:val="24"/>
          <w:szCs w:val="24"/>
        </w:rPr>
        <w:t>30</w:t>
      </w:r>
      <w:r w:rsidRPr="002B55E9">
        <w:rPr>
          <w:rFonts w:hint="eastAsia"/>
          <w:sz w:val="24"/>
          <w:szCs w:val="24"/>
        </w:rPr>
        <w:t>年）</w:t>
      </w:r>
      <w:r w:rsidRPr="002B55E9">
        <w:rPr>
          <w:sz w:val="24"/>
          <w:szCs w:val="24"/>
        </w:rPr>
        <w:t>在水平方向上的分布特征如图</w:t>
      </w:r>
      <w:r w:rsidRPr="002B55E9">
        <w:rPr>
          <w:rFonts w:hint="eastAsia"/>
          <w:sz w:val="24"/>
          <w:szCs w:val="24"/>
        </w:rPr>
        <w:t>5</w:t>
      </w:r>
      <w:r w:rsidRPr="002B55E9">
        <w:rPr>
          <w:sz w:val="24"/>
          <w:szCs w:val="24"/>
        </w:rPr>
        <w:t>-6-1</w:t>
      </w:r>
      <w:r w:rsidRPr="002B55E9">
        <w:rPr>
          <w:sz w:val="24"/>
          <w:szCs w:val="24"/>
        </w:rPr>
        <w:t>至</w:t>
      </w:r>
      <w:r w:rsidRPr="002B55E9">
        <w:rPr>
          <w:rFonts w:hint="eastAsia"/>
          <w:sz w:val="24"/>
          <w:szCs w:val="24"/>
        </w:rPr>
        <w:t>5</w:t>
      </w:r>
      <w:r w:rsidRPr="002B55E9">
        <w:rPr>
          <w:sz w:val="24"/>
          <w:szCs w:val="24"/>
        </w:rPr>
        <w:t>-6-4</w:t>
      </w:r>
      <w:r w:rsidRPr="002B55E9">
        <w:rPr>
          <w:sz w:val="24"/>
          <w:szCs w:val="24"/>
        </w:rPr>
        <w:t>所示。</w:t>
      </w:r>
      <w:r w:rsidRPr="002B55E9">
        <w:rPr>
          <w:rFonts w:hint="eastAsia"/>
          <w:sz w:val="24"/>
          <w:szCs w:val="24"/>
        </w:rPr>
        <w:t>高锰酸盐指数（参照耗氧量标准）</w:t>
      </w:r>
      <w:r w:rsidRPr="002B55E9">
        <w:rPr>
          <w:rFonts w:ascii="宋体" w:hAnsi="宋体" w:cs="宋体" w:hint="eastAsia"/>
          <w:sz w:val="24"/>
          <w:szCs w:val="24"/>
        </w:rPr>
        <w:t>Ⅳ</w:t>
      </w:r>
      <w:r w:rsidRPr="002B55E9">
        <w:rPr>
          <w:sz w:val="24"/>
          <w:szCs w:val="24"/>
        </w:rPr>
        <w:t>类标准值为</w:t>
      </w:r>
      <w:r w:rsidRPr="002B55E9">
        <w:rPr>
          <w:sz w:val="24"/>
          <w:szCs w:val="24"/>
        </w:rPr>
        <w:t>10mg/L</w:t>
      </w:r>
      <w:r w:rsidRPr="002B55E9">
        <w:rPr>
          <w:sz w:val="24"/>
          <w:szCs w:val="24"/>
        </w:rPr>
        <w:t>。</w:t>
      </w:r>
    </w:p>
    <w:p w14:paraId="0108D816" w14:textId="77777777" w:rsidR="00D170E5" w:rsidRPr="002B55E9" w:rsidRDefault="00EF27AD">
      <w:pPr>
        <w:pStyle w:val="aa"/>
        <w:rPr>
          <w:szCs w:val="32"/>
        </w:rPr>
      </w:pPr>
      <w:r w:rsidRPr="002B55E9">
        <w:rPr>
          <w:rFonts w:hint="eastAsia"/>
          <w:szCs w:val="32"/>
        </w:rPr>
        <w:t>预测</w:t>
      </w:r>
      <w:r w:rsidRPr="002B55E9">
        <w:rPr>
          <w:szCs w:val="32"/>
        </w:rPr>
        <w:t>结果如下：</w:t>
      </w:r>
    </w:p>
    <w:p w14:paraId="4B567DC3" w14:textId="77777777" w:rsidR="00D170E5" w:rsidRPr="002B55E9" w:rsidRDefault="00EF27AD">
      <w:pPr>
        <w:pStyle w:val="lgy-"/>
        <w:rPr>
          <w:szCs w:val="32"/>
        </w:rPr>
      </w:pPr>
      <w:r w:rsidRPr="002B55E9">
        <w:rPr>
          <w:noProof/>
        </w:rPr>
        <w:lastRenderedPageBreak/>
        <w:drawing>
          <wp:inline distT="0" distB="0" distL="0" distR="0" wp14:anchorId="0CF4B040" wp14:editId="221A4B83">
            <wp:extent cx="5279390" cy="2727325"/>
            <wp:effectExtent l="0" t="0" r="0" b="0"/>
            <wp:docPr id="109" name="图片 109" descr="D:\我的文档\Documents\WXWork\1688851714865832\Cache\Image\2022-11\企业微信截图_16684927099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D:\我的文档\Documents\WXWork\1688851714865832\Cache\Image\2022-11\企业微信截图_1668492709968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9390" cy="2727325"/>
                    </a:xfrm>
                    <a:prstGeom prst="rect">
                      <a:avLst/>
                    </a:prstGeom>
                    <a:noFill/>
                    <a:ln>
                      <a:noFill/>
                    </a:ln>
                  </pic:spPr>
                </pic:pic>
              </a:graphicData>
            </a:graphic>
          </wp:inline>
        </w:drawing>
      </w:r>
    </w:p>
    <w:p w14:paraId="50237D67" w14:textId="77777777" w:rsidR="00D170E5" w:rsidRPr="002B55E9" w:rsidRDefault="00EF27AD">
      <w:pPr>
        <w:pStyle w:val="aa"/>
        <w:ind w:firstLine="0"/>
        <w:jc w:val="center"/>
        <w:rPr>
          <w:b/>
          <w:szCs w:val="32"/>
        </w:rPr>
      </w:pPr>
      <w:r w:rsidRPr="002B55E9">
        <w:rPr>
          <w:rFonts w:hint="eastAsia"/>
          <w:b/>
          <w:szCs w:val="32"/>
        </w:rPr>
        <w:t>图</w:t>
      </w:r>
      <w:r w:rsidRPr="002B55E9">
        <w:rPr>
          <w:rFonts w:hint="eastAsia"/>
          <w:b/>
          <w:szCs w:val="32"/>
        </w:rPr>
        <w:t xml:space="preserve">5-6-1  </w:t>
      </w:r>
      <w:r w:rsidRPr="002B55E9">
        <w:rPr>
          <w:rFonts w:hint="eastAsia"/>
          <w:b/>
          <w:szCs w:val="32"/>
        </w:rPr>
        <w:t>第</w:t>
      </w:r>
      <w:r w:rsidRPr="002B55E9">
        <w:rPr>
          <w:rFonts w:hint="eastAsia"/>
          <w:b/>
          <w:szCs w:val="32"/>
        </w:rPr>
        <w:t>30</w:t>
      </w:r>
      <w:r w:rsidRPr="002B55E9">
        <w:rPr>
          <w:rFonts w:hint="eastAsia"/>
          <w:b/>
          <w:szCs w:val="32"/>
        </w:rPr>
        <w:t>天</w:t>
      </w:r>
      <w:r w:rsidRPr="002B55E9">
        <w:rPr>
          <w:b/>
          <w:szCs w:val="32"/>
        </w:rPr>
        <w:t>高锰酸盐指数</w:t>
      </w:r>
      <w:r w:rsidRPr="002B55E9">
        <w:rPr>
          <w:rFonts w:hint="eastAsia"/>
          <w:b/>
          <w:szCs w:val="32"/>
        </w:rPr>
        <w:t>污染</w:t>
      </w:r>
      <w:r w:rsidRPr="002B55E9">
        <w:rPr>
          <w:b/>
          <w:szCs w:val="32"/>
        </w:rPr>
        <w:t>晕迁移距离曲线</w:t>
      </w:r>
    </w:p>
    <w:p w14:paraId="7C8EBC5E" w14:textId="77777777" w:rsidR="00D170E5" w:rsidRPr="002B55E9" w:rsidRDefault="00EF27AD">
      <w:pPr>
        <w:pStyle w:val="aa"/>
        <w:ind w:firstLine="0"/>
        <w:jc w:val="center"/>
        <w:rPr>
          <w:szCs w:val="32"/>
        </w:rPr>
      </w:pPr>
      <w:r w:rsidRPr="002B55E9">
        <w:rPr>
          <w:noProof/>
        </w:rPr>
        <w:drawing>
          <wp:inline distT="0" distB="0" distL="0" distR="0" wp14:anchorId="65CFA645" wp14:editId="6A2AA26B">
            <wp:extent cx="5275580" cy="2733040"/>
            <wp:effectExtent l="0" t="0" r="127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1"/>
                    <a:stretch>
                      <a:fillRect/>
                    </a:stretch>
                  </pic:blipFill>
                  <pic:spPr>
                    <a:xfrm>
                      <a:off x="0" y="0"/>
                      <a:ext cx="5276190" cy="2733333"/>
                    </a:xfrm>
                    <a:prstGeom prst="rect">
                      <a:avLst/>
                    </a:prstGeom>
                  </pic:spPr>
                </pic:pic>
              </a:graphicData>
            </a:graphic>
          </wp:inline>
        </w:drawing>
      </w:r>
    </w:p>
    <w:p w14:paraId="0ADD6E31" w14:textId="77777777" w:rsidR="00D170E5" w:rsidRPr="002B55E9" w:rsidRDefault="00EF27AD">
      <w:pPr>
        <w:pStyle w:val="aa"/>
        <w:ind w:firstLine="0"/>
        <w:jc w:val="center"/>
        <w:rPr>
          <w:b/>
          <w:szCs w:val="32"/>
        </w:rPr>
      </w:pPr>
      <w:r w:rsidRPr="002B55E9">
        <w:rPr>
          <w:rFonts w:hint="eastAsia"/>
          <w:b/>
          <w:szCs w:val="32"/>
        </w:rPr>
        <w:t>图</w:t>
      </w:r>
      <w:r w:rsidRPr="002B55E9">
        <w:rPr>
          <w:rFonts w:hint="eastAsia"/>
          <w:b/>
          <w:szCs w:val="32"/>
        </w:rPr>
        <w:t xml:space="preserve">5-6-2  </w:t>
      </w:r>
      <w:r w:rsidRPr="002B55E9">
        <w:rPr>
          <w:rFonts w:hint="eastAsia"/>
          <w:b/>
          <w:szCs w:val="32"/>
        </w:rPr>
        <w:t>第</w:t>
      </w:r>
      <w:r w:rsidRPr="002B55E9">
        <w:rPr>
          <w:rFonts w:hint="eastAsia"/>
          <w:b/>
          <w:szCs w:val="32"/>
        </w:rPr>
        <w:t>100</w:t>
      </w:r>
      <w:r w:rsidRPr="002B55E9">
        <w:rPr>
          <w:rFonts w:hint="eastAsia"/>
          <w:b/>
          <w:szCs w:val="32"/>
        </w:rPr>
        <w:t>天</w:t>
      </w:r>
      <w:r w:rsidRPr="002B55E9">
        <w:rPr>
          <w:b/>
          <w:szCs w:val="32"/>
        </w:rPr>
        <w:t>高锰酸盐指数</w:t>
      </w:r>
      <w:r w:rsidRPr="002B55E9">
        <w:rPr>
          <w:rFonts w:hint="eastAsia"/>
          <w:b/>
          <w:szCs w:val="32"/>
        </w:rPr>
        <w:t>污染</w:t>
      </w:r>
      <w:r w:rsidRPr="002B55E9">
        <w:rPr>
          <w:b/>
          <w:szCs w:val="32"/>
        </w:rPr>
        <w:t>晕迁移距离曲线</w:t>
      </w:r>
    </w:p>
    <w:p w14:paraId="6BD91402" w14:textId="77777777" w:rsidR="00D170E5" w:rsidRPr="002B55E9" w:rsidRDefault="00EF27AD">
      <w:pPr>
        <w:pStyle w:val="aa"/>
        <w:ind w:firstLine="0"/>
        <w:jc w:val="center"/>
        <w:rPr>
          <w:szCs w:val="32"/>
        </w:rPr>
      </w:pPr>
      <w:r w:rsidRPr="002B55E9">
        <w:rPr>
          <w:noProof/>
        </w:rPr>
        <w:drawing>
          <wp:inline distT="0" distB="0" distL="0" distR="0" wp14:anchorId="00A5DEA8" wp14:editId="765B8934">
            <wp:extent cx="5275580" cy="2723515"/>
            <wp:effectExtent l="0" t="0" r="127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82"/>
                    <a:stretch>
                      <a:fillRect/>
                    </a:stretch>
                  </pic:blipFill>
                  <pic:spPr>
                    <a:xfrm>
                      <a:off x="0" y="0"/>
                      <a:ext cx="5276190" cy="2723809"/>
                    </a:xfrm>
                    <a:prstGeom prst="rect">
                      <a:avLst/>
                    </a:prstGeom>
                  </pic:spPr>
                </pic:pic>
              </a:graphicData>
            </a:graphic>
          </wp:inline>
        </w:drawing>
      </w:r>
    </w:p>
    <w:p w14:paraId="01E17223" w14:textId="77777777" w:rsidR="00D170E5" w:rsidRPr="002B55E9" w:rsidRDefault="00EF27AD">
      <w:pPr>
        <w:pStyle w:val="aa"/>
        <w:ind w:firstLine="0"/>
        <w:jc w:val="center"/>
        <w:rPr>
          <w:b/>
          <w:szCs w:val="32"/>
        </w:rPr>
      </w:pPr>
      <w:r w:rsidRPr="002B55E9">
        <w:rPr>
          <w:rFonts w:hint="eastAsia"/>
          <w:b/>
          <w:szCs w:val="32"/>
        </w:rPr>
        <w:t>图</w:t>
      </w:r>
      <w:r w:rsidRPr="002B55E9">
        <w:rPr>
          <w:rFonts w:hint="eastAsia"/>
          <w:b/>
          <w:szCs w:val="32"/>
        </w:rPr>
        <w:t xml:space="preserve">5-6-3  </w:t>
      </w:r>
      <w:r w:rsidRPr="002B55E9">
        <w:rPr>
          <w:rFonts w:hint="eastAsia"/>
          <w:b/>
          <w:szCs w:val="32"/>
        </w:rPr>
        <w:t>第</w:t>
      </w:r>
      <w:r w:rsidRPr="002B55E9">
        <w:rPr>
          <w:rFonts w:hint="eastAsia"/>
          <w:b/>
          <w:szCs w:val="32"/>
        </w:rPr>
        <w:t>1000</w:t>
      </w:r>
      <w:r w:rsidRPr="002B55E9">
        <w:rPr>
          <w:rFonts w:hint="eastAsia"/>
          <w:b/>
          <w:szCs w:val="32"/>
        </w:rPr>
        <w:t>天</w:t>
      </w:r>
      <w:r w:rsidRPr="002B55E9">
        <w:rPr>
          <w:b/>
          <w:szCs w:val="32"/>
        </w:rPr>
        <w:t>高锰酸盐指数</w:t>
      </w:r>
      <w:r w:rsidRPr="002B55E9">
        <w:rPr>
          <w:rFonts w:hint="eastAsia"/>
          <w:b/>
          <w:szCs w:val="32"/>
        </w:rPr>
        <w:t>污染</w:t>
      </w:r>
      <w:r w:rsidRPr="002B55E9">
        <w:rPr>
          <w:b/>
          <w:szCs w:val="32"/>
        </w:rPr>
        <w:t>晕迁移距离曲线</w:t>
      </w:r>
    </w:p>
    <w:p w14:paraId="40E46149" w14:textId="77777777" w:rsidR="00D170E5" w:rsidRPr="002B55E9" w:rsidRDefault="00EF27AD">
      <w:pPr>
        <w:pStyle w:val="aa"/>
        <w:ind w:firstLine="0"/>
        <w:jc w:val="center"/>
        <w:rPr>
          <w:szCs w:val="32"/>
        </w:rPr>
      </w:pPr>
      <w:r w:rsidRPr="002B55E9">
        <w:rPr>
          <w:noProof/>
        </w:rPr>
        <w:lastRenderedPageBreak/>
        <w:drawing>
          <wp:inline distT="0" distB="0" distL="0" distR="0" wp14:anchorId="30AB763F" wp14:editId="3CE4128C">
            <wp:extent cx="5275580" cy="2723515"/>
            <wp:effectExtent l="0" t="0" r="127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3"/>
                    <a:stretch>
                      <a:fillRect/>
                    </a:stretch>
                  </pic:blipFill>
                  <pic:spPr>
                    <a:xfrm>
                      <a:off x="0" y="0"/>
                      <a:ext cx="5276190" cy="2723809"/>
                    </a:xfrm>
                    <a:prstGeom prst="rect">
                      <a:avLst/>
                    </a:prstGeom>
                  </pic:spPr>
                </pic:pic>
              </a:graphicData>
            </a:graphic>
          </wp:inline>
        </w:drawing>
      </w:r>
    </w:p>
    <w:p w14:paraId="14750CAF" w14:textId="77777777" w:rsidR="00D170E5" w:rsidRPr="002B55E9" w:rsidRDefault="00EF27AD">
      <w:pPr>
        <w:spacing w:line="360" w:lineRule="auto"/>
        <w:jc w:val="center"/>
        <w:rPr>
          <w:b/>
          <w:kern w:val="2"/>
          <w:sz w:val="24"/>
          <w:szCs w:val="32"/>
        </w:rPr>
      </w:pPr>
      <w:r w:rsidRPr="002B55E9">
        <w:rPr>
          <w:rFonts w:hint="eastAsia"/>
          <w:b/>
          <w:kern w:val="2"/>
          <w:sz w:val="24"/>
          <w:szCs w:val="32"/>
        </w:rPr>
        <w:t>图</w:t>
      </w:r>
      <w:r w:rsidRPr="002B55E9">
        <w:rPr>
          <w:rFonts w:hint="eastAsia"/>
          <w:b/>
          <w:kern w:val="2"/>
          <w:sz w:val="24"/>
          <w:szCs w:val="32"/>
        </w:rPr>
        <w:t xml:space="preserve">5-6-4  </w:t>
      </w:r>
      <w:r w:rsidRPr="002B55E9">
        <w:rPr>
          <w:rFonts w:hint="eastAsia"/>
          <w:b/>
          <w:kern w:val="2"/>
          <w:sz w:val="24"/>
          <w:szCs w:val="32"/>
        </w:rPr>
        <w:t>第</w:t>
      </w:r>
      <w:r w:rsidRPr="002B55E9">
        <w:rPr>
          <w:rFonts w:hint="eastAsia"/>
          <w:b/>
          <w:kern w:val="2"/>
          <w:sz w:val="24"/>
          <w:szCs w:val="32"/>
        </w:rPr>
        <w:t>1</w:t>
      </w:r>
      <w:r w:rsidRPr="002B55E9">
        <w:rPr>
          <w:b/>
          <w:kern w:val="2"/>
          <w:sz w:val="24"/>
          <w:szCs w:val="32"/>
        </w:rPr>
        <w:t>0950</w:t>
      </w:r>
      <w:r w:rsidRPr="002B55E9">
        <w:rPr>
          <w:rFonts w:hint="eastAsia"/>
          <w:b/>
          <w:kern w:val="2"/>
          <w:sz w:val="24"/>
          <w:szCs w:val="32"/>
        </w:rPr>
        <w:t>天</w:t>
      </w:r>
      <w:r w:rsidRPr="002B55E9">
        <w:rPr>
          <w:b/>
          <w:kern w:val="2"/>
          <w:sz w:val="24"/>
          <w:szCs w:val="32"/>
        </w:rPr>
        <w:t>高锰酸盐指数</w:t>
      </w:r>
      <w:r w:rsidRPr="002B55E9">
        <w:rPr>
          <w:rFonts w:hint="eastAsia"/>
          <w:b/>
          <w:kern w:val="2"/>
          <w:sz w:val="24"/>
          <w:szCs w:val="32"/>
        </w:rPr>
        <w:t>污染</w:t>
      </w:r>
      <w:r w:rsidRPr="002B55E9">
        <w:rPr>
          <w:b/>
          <w:kern w:val="2"/>
          <w:sz w:val="24"/>
          <w:szCs w:val="32"/>
        </w:rPr>
        <w:t>晕迁移距离曲线</w:t>
      </w:r>
    </w:p>
    <w:p w14:paraId="697453EA" w14:textId="77777777" w:rsidR="00D170E5" w:rsidRPr="002B55E9" w:rsidRDefault="00EF27AD">
      <w:pPr>
        <w:pStyle w:val="aa"/>
        <w:rPr>
          <w:szCs w:val="32"/>
        </w:rPr>
      </w:pPr>
      <w:r w:rsidRPr="002B55E9">
        <w:rPr>
          <w:rFonts w:hint="eastAsia"/>
          <w:szCs w:val="32"/>
        </w:rPr>
        <w:t>在事故</w:t>
      </w:r>
      <w:r w:rsidRPr="002B55E9">
        <w:rPr>
          <w:szCs w:val="32"/>
        </w:rPr>
        <w:t>发生后第</w:t>
      </w:r>
      <w:r w:rsidRPr="002B55E9">
        <w:rPr>
          <w:rFonts w:hint="eastAsia"/>
          <w:szCs w:val="32"/>
        </w:rPr>
        <w:t>30</w:t>
      </w:r>
      <w:r w:rsidRPr="002B55E9">
        <w:rPr>
          <w:rFonts w:hint="eastAsia"/>
          <w:szCs w:val="32"/>
        </w:rPr>
        <w:t>天</w:t>
      </w:r>
      <w:r w:rsidRPr="002B55E9">
        <w:rPr>
          <w:szCs w:val="32"/>
        </w:rPr>
        <w:t>时在距离污染源</w:t>
      </w:r>
      <w:r w:rsidRPr="002B55E9">
        <w:rPr>
          <w:szCs w:val="32"/>
        </w:rPr>
        <w:t>5m</w:t>
      </w:r>
      <w:r w:rsidRPr="002B55E9">
        <w:rPr>
          <w:rFonts w:hint="eastAsia"/>
          <w:szCs w:val="32"/>
        </w:rPr>
        <w:t>范围内地下水耗氧量超过四类标准限值</w:t>
      </w:r>
      <w:r w:rsidRPr="002B55E9">
        <w:rPr>
          <w:szCs w:val="32"/>
        </w:rPr>
        <w:t>，</w:t>
      </w:r>
      <w:r w:rsidRPr="002B55E9">
        <w:rPr>
          <w:rFonts w:hint="eastAsia"/>
          <w:szCs w:val="32"/>
        </w:rPr>
        <w:t>第</w:t>
      </w:r>
      <w:r w:rsidRPr="002B55E9">
        <w:rPr>
          <w:rFonts w:hint="eastAsia"/>
          <w:szCs w:val="32"/>
        </w:rPr>
        <w:t>100</w:t>
      </w:r>
      <w:r w:rsidRPr="002B55E9">
        <w:rPr>
          <w:rFonts w:hint="eastAsia"/>
          <w:szCs w:val="32"/>
        </w:rPr>
        <w:t>天在</w:t>
      </w:r>
      <w:r w:rsidRPr="002B55E9">
        <w:rPr>
          <w:szCs w:val="32"/>
        </w:rPr>
        <w:t>距离污染源</w:t>
      </w:r>
      <w:r w:rsidRPr="002B55E9">
        <w:rPr>
          <w:szCs w:val="32"/>
        </w:rPr>
        <w:t>9m</w:t>
      </w:r>
      <w:r w:rsidRPr="002B55E9">
        <w:rPr>
          <w:rFonts w:hint="eastAsia"/>
          <w:szCs w:val="32"/>
        </w:rPr>
        <w:t>范围</w:t>
      </w:r>
      <w:r w:rsidRPr="002B55E9">
        <w:rPr>
          <w:szCs w:val="32"/>
        </w:rPr>
        <w:t>内</w:t>
      </w:r>
      <w:r w:rsidRPr="002B55E9">
        <w:rPr>
          <w:rFonts w:hint="eastAsia"/>
          <w:szCs w:val="32"/>
        </w:rPr>
        <w:t>地下水耗氧量超过四类标准限值</w:t>
      </w:r>
      <w:r w:rsidRPr="002B55E9">
        <w:rPr>
          <w:szCs w:val="32"/>
        </w:rPr>
        <w:t>，第</w:t>
      </w:r>
      <w:r w:rsidRPr="002B55E9">
        <w:rPr>
          <w:rFonts w:hint="eastAsia"/>
          <w:szCs w:val="32"/>
        </w:rPr>
        <w:t>1000</w:t>
      </w:r>
      <w:r w:rsidRPr="002B55E9">
        <w:rPr>
          <w:rFonts w:hint="eastAsia"/>
          <w:szCs w:val="32"/>
        </w:rPr>
        <w:t>天在</w:t>
      </w:r>
      <w:r w:rsidRPr="002B55E9">
        <w:rPr>
          <w:szCs w:val="32"/>
        </w:rPr>
        <w:t>距离污染源</w:t>
      </w:r>
      <w:r w:rsidRPr="002B55E9">
        <w:rPr>
          <w:szCs w:val="32"/>
        </w:rPr>
        <w:t>32m</w:t>
      </w:r>
      <w:r w:rsidRPr="002B55E9">
        <w:rPr>
          <w:szCs w:val="32"/>
        </w:rPr>
        <w:t>范围</w:t>
      </w:r>
      <w:r w:rsidRPr="002B55E9">
        <w:rPr>
          <w:rFonts w:hint="eastAsia"/>
          <w:szCs w:val="32"/>
        </w:rPr>
        <w:t>内</w:t>
      </w:r>
      <w:r w:rsidRPr="002B55E9">
        <w:rPr>
          <w:szCs w:val="32"/>
        </w:rPr>
        <w:t>地下水</w:t>
      </w:r>
      <w:r w:rsidRPr="002B55E9">
        <w:rPr>
          <w:rFonts w:hint="eastAsia"/>
          <w:szCs w:val="32"/>
        </w:rPr>
        <w:t>耗氧量超过四类标准限值</w:t>
      </w:r>
      <w:r w:rsidRPr="002B55E9">
        <w:rPr>
          <w:szCs w:val="32"/>
        </w:rPr>
        <w:t>，</w:t>
      </w:r>
      <w:r w:rsidRPr="002B55E9">
        <w:rPr>
          <w:rFonts w:hint="eastAsia"/>
          <w:szCs w:val="32"/>
        </w:rPr>
        <w:t>第</w:t>
      </w:r>
      <w:r w:rsidRPr="002B55E9">
        <w:rPr>
          <w:rFonts w:hint="eastAsia"/>
          <w:szCs w:val="32"/>
        </w:rPr>
        <w:t>10950</w:t>
      </w:r>
      <w:r w:rsidRPr="002B55E9">
        <w:rPr>
          <w:rFonts w:hint="eastAsia"/>
          <w:szCs w:val="32"/>
        </w:rPr>
        <w:t>天在距离</w:t>
      </w:r>
      <w:r w:rsidRPr="002B55E9">
        <w:rPr>
          <w:szCs w:val="32"/>
        </w:rPr>
        <w:t>污染源</w:t>
      </w:r>
      <w:r w:rsidRPr="002B55E9">
        <w:rPr>
          <w:rFonts w:hint="eastAsia"/>
          <w:szCs w:val="32"/>
        </w:rPr>
        <w:t>1</w:t>
      </w:r>
      <w:r w:rsidRPr="002B55E9">
        <w:rPr>
          <w:szCs w:val="32"/>
        </w:rPr>
        <w:t>28m</w:t>
      </w:r>
      <w:r w:rsidRPr="002B55E9">
        <w:rPr>
          <w:szCs w:val="32"/>
        </w:rPr>
        <w:t>范围内地下水</w:t>
      </w:r>
      <w:r w:rsidRPr="002B55E9">
        <w:rPr>
          <w:rFonts w:hint="eastAsia"/>
          <w:szCs w:val="32"/>
        </w:rPr>
        <w:t>耗氧量超过四类标准限值。</w:t>
      </w:r>
    </w:p>
    <w:p w14:paraId="2EC416A5" w14:textId="77777777" w:rsidR="00D170E5" w:rsidRPr="002B55E9" w:rsidRDefault="00EF27AD">
      <w:pPr>
        <w:pStyle w:val="affff7"/>
      </w:pPr>
      <w:r w:rsidRPr="002B55E9">
        <w:rPr>
          <w:rFonts w:hint="eastAsia"/>
        </w:rPr>
        <w:t>综上，在非正常情况下，污水管道发生破损</w:t>
      </w:r>
      <w:r w:rsidRPr="002B55E9">
        <w:t>导致</w:t>
      </w:r>
      <w:r w:rsidRPr="002B55E9">
        <w:rPr>
          <w:rFonts w:hint="eastAsia"/>
        </w:rPr>
        <w:t>泄漏将会对地下水造成污染。企业应加强管理与监控措施，防止泄漏等非正常排放的发生，降低地下水污染的风险。</w:t>
      </w:r>
    </w:p>
    <w:p w14:paraId="33A57B3A" w14:textId="77777777" w:rsidR="00D170E5" w:rsidRPr="002B55E9" w:rsidRDefault="00EF27AD">
      <w:pPr>
        <w:pStyle w:val="4"/>
        <w:rPr>
          <w:color w:val="auto"/>
        </w:rPr>
      </w:pPr>
      <w:r w:rsidRPr="002B55E9">
        <w:rPr>
          <w:rFonts w:hint="eastAsia"/>
          <w:color w:val="auto"/>
        </w:rPr>
        <w:t>地下水影响分析结论</w:t>
      </w:r>
    </w:p>
    <w:p w14:paraId="6E753E41" w14:textId="77777777" w:rsidR="00D170E5" w:rsidRPr="002B55E9" w:rsidRDefault="00EF27AD">
      <w:pPr>
        <w:snapToGrid w:val="0"/>
        <w:spacing w:line="360" w:lineRule="auto"/>
        <w:ind w:firstLineChars="200" w:firstLine="480"/>
        <w:rPr>
          <w:sz w:val="24"/>
        </w:rPr>
      </w:pPr>
      <w:r w:rsidRPr="002B55E9">
        <w:rPr>
          <w:rFonts w:hint="eastAsia"/>
          <w:sz w:val="24"/>
        </w:rPr>
        <w:t>本次预测评价采用解析法，事故情景下，污染物浓度随时间增加而减小，超标污染晕影响范围及迁移距离随时间增加而增加，污水管道</w:t>
      </w:r>
      <w:r w:rsidRPr="002B55E9">
        <w:rPr>
          <w:sz w:val="24"/>
        </w:rPr>
        <w:t>破损</w:t>
      </w:r>
      <w:r w:rsidRPr="002B55E9">
        <w:rPr>
          <w:rFonts w:hint="eastAsia"/>
          <w:sz w:val="24"/>
        </w:rPr>
        <w:t>发生泄漏将会对地下水造成污染。企业应加强管理与监控措施，防止泄漏等非正常排放的发生，降低地下水污染的风险。</w:t>
      </w:r>
    </w:p>
    <w:p w14:paraId="22E229D1" w14:textId="77777777" w:rsidR="00D170E5" w:rsidRPr="002B55E9" w:rsidRDefault="00EF27AD">
      <w:pPr>
        <w:pStyle w:val="3"/>
      </w:pPr>
      <w:bookmarkStart w:id="237" w:name="_Toc119308999"/>
      <w:r w:rsidRPr="002B55E9">
        <w:rPr>
          <w:rFonts w:hint="eastAsia"/>
        </w:rPr>
        <w:t>土壤环境影响分析</w:t>
      </w:r>
      <w:bookmarkEnd w:id="237"/>
    </w:p>
    <w:p w14:paraId="596B0779" w14:textId="77777777" w:rsidR="00D170E5" w:rsidRPr="002B55E9" w:rsidRDefault="00EF27AD">
      <w:pPr>
        <w:pStyle w:val="affff7"/>
      </w:pPr>
      <w:r w:rsidRPr="002B55E9">
        <w:rPr>
          <w:rFonts w:hint="eastAsia"/>
        </w:rPr>
        <w:t>根据《环境影响评价技术导则</w:t>
      </w:r>
      <w:r w:rsidRPr="002B55E9">
        <w:rPr>
          <w:rFonts w:hint="eastAsia"/>
        </w:rPr>
        <w:t xml:space="preserve"> </w:t>
      </w:r>
      <w:r w:rsidRPr="002B55E9">
        <w:rPr>
          <w:rFonts w:hint="eastAsia"/>
        </w:rPr>
        <w:t>土壤环境（试行）》（</w:t>
      </w:r>
      <w:r w:rsidRPr="002B55E9">
        <w:rPr>
          <w:rFonts w:hint="eastAsia"/>
        </w:rPr>
        <w:t>HJ964-2018</w:t>
      </w:r>
      <w:r w:rsidRPr="002B55E9">
        <w:rPr>
          <w:rFonts w:hint="eastAsia"/>
        </w:rPr>
        <w:t>）附录</w:t>
      </w:r>
      <w:r w:rsidRPr="002B55E9">
        <w:rPr>
          <w:rFonts w:hint="eastAsia"/>
        </w:rPr>
        <w:t>A</w:t>
      </w:r>
      <w:r w:rsidRPr="002B55E9">
        <w:rPr>
          <w:rFonts w:hint="eastAsia"/>
        </w:rPr>
        <w:t>，拟建</w:t>
      </w:r>
      <w:r w:rsidRPr="002B55E9">
        <w:t>项目</w:t>
      </w:r>
      <w:r w:rsidRPr="002B55E9">
        <w:rPr>
          <w:rFonts w:hint="eastAsia"/>
        </w:rPr>
        <w:t>为</w:t>
      </w:r>
      <w:r w:rsidRPr="002B55E9">
        <w:rPr>
          <w:rFonts w:ascii="宋体" w:hAnsi="宋体" w:hint="eastAsia"/>
        </w:rPr>
        <w:t>Ⅳ</w:t>
      </w:r>
      <w:r w:rsidRPr="002B55E9">
        <w:t>类建设项目</w:t>
      </w:r>
      <w:r w:rsidRPr="002B55E9">
        <w:rPr>
          <w:rFonts w:hint="eastAsia"/>
        </w:rPr>
        <w:t>，可不开展土壤环境影响评价</w:t>
      </w:r>
      <w:r w:rsidRPr="002B55E9">
        <w:t>。</w:t>
      </w:r>
    </w:p>
    <w:p w14:paraId="7A0A90E8" w14:textId="77777777" w:rsidR="00D170E5" w:rsidRPr="002B55E9" w:rsidRDefault="00D170E5">
      <w:pPr>
        <w:pStyle w:val="affff7"/>
        <w:sectPr w:rsidR="00D170E5" w:rsidRPr="002B55E9">
          <w:headerReference w:type="default" r:id="rId84"/>
          <w:pgSz w:w="11905" w:h="16838"/>
          <w:pgMar w:top="1134" w:right="1134" w:bottom="1134" w:left="1134" w:header="737" w:footer="624" w:gutter="0"/>
          <w:cols w:space="720"/>
          <w:docGrid w:linePitch="312"/>
        </w:sectPr>
      </w:pPr>
    </w:p>
    <w:p w14:paraId="02662054" w14:textId="77777777" w:rsidR="00D170E5" w:rsidRPr="002B55E9" w:rsidRDefault="00EF27AD">
      <w:pPr>
        <w:pStyle w:val="2"/>
      </w:pPr>
      <w:bookmarkStart w:id="238" w:name="_Toc119309000"/>
      <w:bookmarkStart w:id="239" w:name="_Toc239766894"/>
      <w:r w:rsidRPr="002B55E9">
        <w:rPr>
          <w:rFonts w:hint="eastAsia"/>
        </w:rPr>
        <w:lastRenderedPageBreak/>
        <w:t>环境风险评价</w:t>
      </w:r>
      <w:bookmarkEnd w:id="238"/>
      <w:bookmarkEnd w:id="239"/>
    </w:p>
    <w:p w14:paraId="22F2D65D" w14:textId="77777777" w:rsidR="00D170E5" w:rsidRPr="002B55E9" w:rsidRDefault="00EF27AD">
      <w:pPr>
        <w:pStyle w:val="affff7"/>
      </w:pPr>
      <w:bookmarkStart w:id="240" w:name="_Toc124238122"/>
      <w:r w:rsidRPr="002B55E9">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591668D4" w14:textId="77777777" w:rsidR="00D170E5" w:rsidRPr="002B55E9" w:rsidRDefault="00EF27AD">
      <w:pPr>
        <w:pStyle w:val="3"/>
      </w:pPr>
      <w:bookmarkStart w:id="241" w:name="_Toc119309001"/>
      <w:r w:rsidRPr="002B55E9">
        <w:rPr>
          <w:rFonts w:hint="eastAsia"/>
        </w:rPr>
        <w:t>风险调查</w:t>
      </w:r>
      <w:bookmarkEnd w:id="241"/>
    </w:p>
    <w:p w14:paraId="4BC082F4" w14:textId="77777777" w:rsidR="00D170E5" w:rsidRPr="002B55E9" w:rsidRDefault="00EF27AD">
      <w:pPr>
        <w:pStyle w:val="4"/>
        <w:rPr>
          <w:color w:val="auto"/>
        </w:rPr>
      </w:pPr>
      <w:r w:rsidRPr="002B55E9">
        <w:rPr>
          <w:rFonts w:hint="eastAsia"/>
          <w:color w:val="auto"/>
        </w:rPr>
        <w:t>项目风险源调查</w:t>
      </w:r>
    </w:p>
    <w:p w14:paraId="336CA0BC" w14:textId="77777777" w:rsidR="00D170E5" w:rsidRPr="002B55E9" w:rsidRDefault="00EF27AD">
      <w:pPr>
        <w:pStyle w:val="5"/>
      </w:pPr>
      <w:r w:rsidRPr="002B55E9">
        <w:rPr>
          <w:rFonts w:hint="eastAsia"/>
        </w:rPr>
        <w:t>危险物质调查</w:t>
      </w:r>
    </w:p>
    <w:p w14:paraId="695F1AD2" w14:textId="77777777" w:rsidR="00D170E5" w:rsidRPr="002B55E9" w:rsidRDefault="00EF27AD">
      <w:pPr>
        <w:pStyle w:val="affff7"/>
        <w:snapToGrid w:val="0"/>
        <w:spacing w:after="0"/>
      </w:pPr>
      <w:r w:rsidRPr="002B55E9">
        <w:rPr>
          <w:rFonts w:hint="eastAsia"/>
        </w:rPr>
        <w:t>根据《建设项目环境风险评价技术导则》（</w:t>
      </w:r>
      <w:r w:rsidRPr="002B55E9">
        <w:rPr>
          <w:rFonts w:hint="eastAsia"/>
        </w:rPr>
        <w:t>H</w:t>
      </w:r>
      <w:r w:rsidRPr="002B55E9">
        <w:t>J169-2018</w:t>
      </w:r>
      <w:r w:rsidRPr="002B55E9">
        <w:rPr>
          <w:rFonts w:hint="eastAsia"/>
        </w:rPr>
        <w:t>）中附录</w:t>
      </w:r>
      <w:r w:rsidRPr="002B55E9">
        <w:rPr>
          <w:rFonts w:hint="eastAsia"/>
        </w:rPr>
        <w:t>B</w:t>
      </w:r>
      <w:r w:rsidRPr="002B55E9">
        <w:rPr>
          <w:rFonts w:hint="eastAsia"/>
        </w:rPr>
        <w:t>表</w:t>
      </w:r>
      <w:r w:rsidRPr="002B55E9">
        <w:rPr>
          <w:rFonts w:hint="eastAsia"/>
        </w:rPr>
        <w:t>B</w:t>
      </w:r>
      <w:r w:rsidRPr="002B55E9">
        <w:t>.1</w:t>
      </w:r>
      <w:r w:rsidRPr="002B55E9">
        <w:rPr>
          <w:rFonts w:hint="eastAsia"/>
        </w:rPr>
        <w:t>突发环境事件风险物质及临界量表，本次从主要原辅料、燃料、中间产品、副产品、最终产品、污染物、火灾和爆炸伴生</w:t>
      </w:r>
      <w:r w:rsidRPr="002B55E9">
        <w:rPr>
          <w:rFonts w:hint="eastAsia"/>
        </w:rPr>
        <w:t>/</w:t>
      </w:r>
      <w:r w:rsidRPr="002B55E9">
        <w:rPr>
          <w:rFonts w:hint="eastAsia"/>
        </w:rPr>
        <w:t>次生物等物质中，筛选拟建项目主要涉及的危险物质。</w:t>
      </w:r>
    </w:p>
    <w:p w14:paraId="0094D1EB" w14:textId="77777777" w:rsidR="00D170E5" w:rsidRPr="002B55E9" w:rsidRDefault="00EF27AD">
      <w:pPr>
        <w:pStyle w:val="affff7"/>
        <w:snapToGrid w:val="0"/>
        <w:spacing w:after="0"/>
      </w:pPr>
      <w:r w:rsidRPr="002B55E9">
        <w:rPr>
          <w:rFonts w:hint="eastAsia"/>
        </w:rPr>
        <w:t>对照《建设项目环境风险评价技术导则》（</w:t>
      </w:r>
      <w:r w:rsidRPr="002B55E9">
        <w:rPr>
          <w:rFonts w:hint="eastAsia"/>
        </w:rPr>
        <w:t>H</w:t>
      </w:r>
      <w:r w:rsidRPr="002B55E9">
        <w:t>J169-2018</w:t>
      </w:r>
      <w:r w:rsidRPr="002B55E9">
        <w:rPr>
          <w:rFonts w:hint="eastAsia"/>
        </w:rPr>
        <w:t>）中附录</w:t>
      </w:r>
      <w:r w:rsidRPr="002B55E9">
        <w:rPr>
          <w:rFonts w:hint="eastAsia"/>
        </w:rPr>
        <w:t>B</w:t>
      </w:r>
      <w:r w:rsidRPr="002B55E9">
        <w:rPr>
          <w:rFonts w:hint="eastAsia"/>
        </w:rPr>
        <w:t>表</w:t>
      </w:r>
      <w:r w:rsidRPr="002B55E9">
        <w:rPr>
          <w:rFonts w:hint="eastAsia"/>
        </w:rPr>
        <w:t>B</w:t>
      </w:r>
      <w:r w:rsidRPr="002B55E9">
        <w:t>.1</w:t>
      </w:r>
      <w:r w:rsidRPr="002B55E9">
        <w:rPr>
          <w:rFonts w:hint="eastAsia"/>
        </w:rPr>
        <w:t>突发环境事件风险物质及临界量表，</w:t>
      </w:r>
      <w:r w:rsidRPr="002B55E9">
        <w:t>属于重点关注危险物质的物料</w:t>
      </w:r>
      <w:r w:rsidRPr="002B55E9">
        <w:rPr>
          <w:rFonts w:hint="eastAsia"/>
        </w:rPr>
        <w:t>有乙酸、过氧乙酸、二氧化氯、硫酸、甲醛、盐酸、乙醚等物质。</w:t>
      </w:r>
    </w:p>
    <w:p w14:paraId="6845DFDD" w14:textId="77777777" w:rsidR="00D170E5" w:rsidRPr="002B55E9" w:rsidRDefault="00EF27AD">
      <w:pPr>
        <w:pStyle w:val="affff7"/>
        <w:snapToGrid w:val="0"/>
        <w:spacing w:after="0"/>
      </w:pPr>
      <w:r w:rsidRPr="002B55E9">
        <w:rPr>
          <w:rFonts w:hint="eastAsia"/>
        </w:rPr>
        <w:t>（</w:t>
      </w:r>
      <w:r w:rsidRPr="002B55E9">
        <w:rPr>
          <w:rFonts w:hint="eastAsia"/>
        </w:rPr>
        <w:t>1</w:t>
      </w:r>
      <w:r w:rsidRPr="002B55E9">
        <w:rPr>
          <w:rFonts w:hint="eastAsia"/>
        </w:rPr>
        <w:t>）本项目危险物质理化性质</w:t>
      </w:r>
    </w:p>
    <w:p w14:paraId="5BAA03AA" w14:textId="77777777" w:rsidR="00D170E5" w:rsidRPr="002B55E9" w:rsidRDefault="00EF27AD">
      <w:pPr>
        <w:pStyle w:val="affff7"/>
        <w:snapToGrid w:val="0"/>
        <w:spacing w:after="0"/>
      </w:pPr>
      <w:r w:rsidRPr="002B55E9">
        <w:rPr>
          <w:rFonts w:hint="eastAsia"/>
        </w:rPr>
        <w:t>经调查，建设项目生产过程中涉及的主要危险物质及其理化性质如下。</w:t>
      </w:r>
    </w:p>
    <w:p w14:paraId="245B8905" w14:textId="77777777" w:rsidR="00D170E5" w:rsidRPr="002B55E9" w:rsidRDefault="00EF27AD">
      <w:pPr>
        <w:pStyle w:val="affff7"/>
      </w:pPr>
      <w:r w:rsidRPr="002B55E9">
        <w:rPr>
          <w:rFonts w:ascii="宋体" w:hAnsi="宋体" w:cs="宋体" w:hint="eastAsia"/>
          <w:lang w:eastAsia="ja-JP"/>
        </w:rPr>
        <w:t>①</w:t>
      </w:r>
      <w:r w:rsidRPr="002B55E9">
        <w:rPr>
          <w:rFonts w:hint="eastAsia"/>
        </w:rPr>
        <w:t>乙酸（醋酸）</w:t>
      </w:r>
    </w:p>
    <w:p w14:paraId="66A44CBF" w14:textId="77777777" w:rsidR="00D170E5" w:rsidRPr="002B55E9" w:rsidRDefault="00EF27AD">
      <w:pPr>
        <w:pStyle w:val="1f3"/>
        <w:spacing w:beforeLines="0" w:before="0"/>
      </w:pPr>
      <w:r w:rsidRPr="002B55E9">
        <w:rPr>
          <w:rFonts w:hint="eastAsia"/>
        </w:rPr>
        <w:t>表</w:t>
      </w:r>
      <w:r w:rsidRPr="002B55E9">
        <w:t xml:space="preserve">6-1-1  </w:t>
      </w:r>
      <w:r w:rsidRPr="002B55E9">
        <w:rPr>
          <w:rFonts w:hint="eastAsia"/>
        </w:rPr>
        <w:t>乙酸（醋酸）主要理化性质一览表</w:t>
      </w:r>
    </w:p>
    <w:tbl>
      <w:tblPr>
        <w:tblW w:w="96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1"/>
        <w:gridCol w:w="3380"/>
        <w:gridCol w:w="1357"/>
        <w:gridCol w:w="3596"/>
      </w:tblGrid>
      <w:tr w:rsidR="002B55E9" w:rsidRPr="002B55E9" w14:paraId="7FC27FE5" w14:textId="77777777">
        <w:trPr>
          <w:trHeight w:val="284"/>
          <w:jc w:val="center"/>
        </w:trPr>
        <w:tc>
          <w:tcPr>
            <w:tcW w:w="1291" w:type="dxa"/>
            <w:vAlign w:val="center"/>
          </w:tcPr>
          <w:p w14:paraId="4821239D" w14:textId="77777777" w:rsidR="00D170E5" w:rsidRPr="002B55E9" w:rsidRDefault="00EF27AD">
            <w:pPr>
              <w:pStyle w:val="affff6"/>
              <w:snapToGrid w:val="0"/>
              <w:rPr>
                <w:szCs w:val="18"/>
              </w:rPr>
            </w:pPr>
            <w:r w:rsidRPr="002B55E9">
              <w:rPr>
                <w:rFonts w:hint="eastAsia"/>
                <w:szCs w:val="18"/>
              </w:rPr>
              <w:t>中文名称</w:t>
            </w:r>
          </w:p>
        </w:tc>
        <w:tc>
          <w:tcPr>
            <w:tcW w:w="3380" w:type="dxa"/>
            <w:vAlign w:val="center"/>
          </w:tcPr>
          <w:p w14:paraId="3A600AEA" w14:textId="77777777" w:rsidR="00D170E5" w:rsidRPr="002B55E9" w:rsidRDefault="00EF27AD">
            <w:pPr>
              <w:pStyle w:val="affff6"/>
              <w:snapToGrid w:val="0"/>
              <w:rPr>
                <w:szCs w:val="18"/>
              </w:rPr>
            </w:pPr>
            <w:r w:rsidRPr="002B55E9">
              <w:rPr>
                <w:rFonts w:hint="eastAsia"/>
                <w:szCs w:val="18"/>
              </w:rPr>
              <w:t>乙酸</w:t>
            </w:r>
          </w:p>
        </w:tc>
        <w:tc>
          <w:tcPr>
            <w:tcW w:w="1357" w:type="dxa"/>
            <w:vAlign w:val="center"/>
          </w:tcPr>
          <w:p w14:paraId="118F746C" w14:textId="77777777" w:rsidR="00D170E5" w:rsidRPr="002B55E9" w:rsidRDefault="00EF27AD">
            <w:pPr>
              <w:pStyle w:val="affff6"/>
              <w:snapToGrid w:val="0"/>
              <w:rPr>
                <w:szCs w:val="18"/>
              </w:rPr>
            </w:pPr>
            <w:r w:rsidRPr="002B55E9">
              <w:rPr>
                <w:szCs w:val="18"/>
              </w:rPr>
              <w:t>CAS</w:t>
            </w:r>
            <w:r w:rsidRPr="002B55E9">
              <w:rPr>
                <w:szCs w:val="18"/>
              </w:rPr>
              <w:t>号</w:t>
            </w:r>
          </w:p>
        </w:tc>
        <w:tc>
          <w:tcPr>
            <w:tcW w:w="3596" w:type="dxa"/>
            <w:vAlign w:val="center"/>
          </w:tcPr>
          <w:p w14:paraId="47721CAA" w14:textId="77777777" w:rsidR="00D170E5" w:rsidRPr="002B55E9" w:rsidRDefault="00EF27AD">
            <w:pPr>
              <w:pStyle w:val="affff6"/>
              <w:snapToGrid w:val="0"/>
              <w:rPr>
                <w:szCs w:val="18"/>
              </w:rPr>
            </w:pPr>
            <w:r w:rsidRPr="002B55E9">
              <w:rPr>
                <w:rFonts w:hint="eastAsia"/>
              </w:rPr>
              <w:t>6</w:t>
            </w:r>
            <w:r w:rsidRPr="002B55E9">
              <w:t>4-19-7</w:t>
            </w:r>
          </w:p>
        </w:tc>
      </w:tr>
      <w:tr w:rsidR="002B55E9" w:rsidRPr="002B55E9" w14:paraId="35501DAE" w14:textId="77777777">
        <w:trPr>
          <w:trHeight w:val="284"/>
          <w:jc w:val="center"/>
        </w:trPr>
        <w:tc>
          <w:tcPr>
            <w:tcW w:w="1291" w:type="dxa"/>
            <w:vAlign w:val="center"/>
          </w:tcPr>
          <w:p w14:paraId="63B161BC" w14:textId="77777777" w:rsidR="00D170E5" w:rsidRPr="002B55E9" w:rsidRDefault="00EF27AD">
            <w:pPr>
              <w:pStyle w:val="affff6"/>
              <w:snapToGrid w:val="0"/>
              <w:rPr>
                <w:szCs w:val="18"/>
              </w:rPr>
            </w:pPr>
            <w:r w:rsidRPr="002B55E9">
              <w:rPr>
                <w:szCs w:val="18"/>
              </w:rPr>
              <w:t>分子式</w:t>
            </w:r>
          </w:p>
        </w:tc>
        <w:tc>
          <w:tcPr>
            <w:tcW w:w="3380" w:type="dxa"/>
            <w:vAlign w:val="center"/>
          </w:tcPr>
          <w:p w14:paraId="26FF58B8" w14:textId="77777777" w:rsidR="00D170E5" w:rsidRPr="002B55E9" w:rsidRDefault="00EF27AD">
            <w:pPr>
              <w:pStyle w:val="affff6"/>
              <w:snapToGrid w:val="0"/>
              <w:rPr>
                <w:szCs w:val="18"/>
              </w:rPr>
            </w:pPr>
            <w:r w:rsidRPr="002B55E9">
              <w:t>C</w:t>
            </w:r>
            <w:r w:rsidRPr="002B55E9">
              <w:rPr>
                <w:vertAlign w:val="subscript"/>
              </w:rPr>
              <w:t>2</w:t>
            </w:r>
            <w:r w:rsidRPr="002B55E9">
              <w:t>H</w:t>
            </w:r>
            <w:r w:rsidRPr="002B55E9">
              <w:rPr>
                <w:vertAlign w:val="subscript"/>
              </w:rPr>
              <w:t>4</w:t>
            </w:r>
            <w:r w:rsidRPr="002B55E9">
              <w:t>O</w:t>
            </w:r>
            <w:r w:rsidRPr="002B55E9">
              <w:rPr>
                <w:vertAlign w:val="subscript"/>
              </w:rPr>
              <w:t>2</w:t>
            </w:r>
          </w:p>
        </w:tc>
        <w:tc>
          <w:tcPr>
            <w:tcW w:w="1357" w:type="dxa"/>
            <w:vAlign w:val="center"/>
          </w:tcPr>
          <w:p w14:paraId="2CFB4224" w14:textId="77777777" w:rsidR="00D170E5" w:rsidRPr="002B55E9" w:rsidRDefault="00EF27AD">
            <w:pPr>
              <w:pStyle w:val="affff6"/>
              <w:snapToGrid w:val="0"/>
              <w:rPr>
                <w:szCs w:val="18"/>
              </w:rPr>
            </w:pPr>
            <w:r w:rsidRPr="002B55E9">
              <w:rPr>
                <w:szCs w:val="18"/>
              </w:rPr>
              <w:t>外观与性状</w:t>
            </w:r>
          </w:p>
        </w:tc>
        <w:tc>
          <w:tcPr>
            <w:tcW w:w="3596" w:type="dxa"/>
            <w:vAlign w:val="center"/>
          </w:tcPr>
          <w:p w14:paraId="3E253ADE" w14:textId="77777777" w:rsidR="00D170E5" w:rsidRPr="002B55E9" w:rsidRDefault="00EF27AD">
            <w:pPr>
              <w:pStyle w:val="affff6"/>
              <w:snapToGrid w:val="0"/>
              <w:rPr>
                <w:szCs w:val="18"/>
              </w:rPr>
            </w:pPr>
            <w:r w:rsidRPr="002B55E9">
              <w:rPr>
                <w:rFonts w:hint="eastAsia"/>
                <w:szCs w:val="18"/>
              </w:rPr>
              <w:t>无色透明液体，具有刺激性酸臭</w:t>
            </w:r>
          </w:p>
        </w:tc>
      </w:tr>
      <w:tr w:rsidR="002B55E9" w:rsidRPr="002B55E9" w14:paraId="51E70B36" w14:textId="77777777">
        <w:trPr>
          <w:trHeight w:val="284"/>
          <w:jc w:val="center"/>
        </w:trPr>
        <w:tc>
          <w:tcPr>
            <w:tcW w:w="1291" w:type="dxa"/>
            <w:vAlign w:val="center"/>
          </w:tcPr>
          <w:p w14:paraId="5D8F7D8B" w14:textId="77777777" w:rsidR="00D170E5" w:rsidRPr="002B55E9" w:rsidRDefault="00EF27AD">
            <w:pPr>
              <w:pStyle w:val="affff6"/>
              <w:snapToGrid w:val="0"/>
              <w:rPr>
                <w:szCs w:val="18"/>
              </w:rPr>
            </w:pPr>
            <w:r w:rsidRPr="002B55E9">
              <w:rPr>
                <w:szCs w:val="18"/>
              </w:rPr>
              <w:t>分子量</w:t>
            </w:r>
          </w:p>
        </w:tc>
        <w:tc>
          <w:tcPr>
            <w:tcW w:w="3380" w:type="dxa"/>
            <w:vAlign w:val="center"/>
          </w:tcPr>
          <w:p w14:paraId="64D01576" w14:textId="77777777" w:rsidR="00D170E5" w:rsidRPr="002B55E9" w:rsidRDefault="00EF27AD">
            <w:pPr>
              <w:pStyle w:val="affff6"/>
              <w:snapToGrid w:val="0"/>
              <w:rPr>
                <w:szCs w:val="18"/>
              </w:rPr>
            </w:pPr>
            <w:r w:rsidRPr="002B55E9">
              <w:t>60.05</w:t>
            </w:r>
          </w:p>
        </w:tc>
        <w:tc>
          <w:tcPr>
            <w:tcW w:w="1357" w:type="dxa"/>
            <w:vAlign w:val="center"/>
          </w:tcPr>
          <w:p w14:paraId="1DD43326" w14:textId="77777777" w:rsidR="00D170E5" w:rsidRPr="002B55E9" w:rsidRDefault="00EF27AD">
            <w:pPr>
              <w:pStyle w:val="affff6"/>
              <w:snapToGrid w:val="0"/>
              <w:rPr>
                <w:szCs w:val="18"/>
              </w:rPr>
            </w:pPr>
            <w:r w:rsidRPr="002B55E9">
              <w:rPr>
                <w:szCs w:val="18"/>
              </w:rPr>
              <w:t>闪点</w:t>
            </w:r>
          </w:p>
        </w:tc>
        <w:tc>
          <w:tcPr>
            <w:tcW w:w="3596" w:type="dxa"/>
            <w:vAlign w:val="center"/>
          </w:tcPr>
          <w:p w14:paraId="70BB0621" w14:textId="77777777" w:rsidR="00D170E5" w:rsidRPr="002B55E9" w:rsidRDefault="00EF27AD">
            <w:pPr>
              <w:pStyle w:val="affff6"/>
              <w:snapToGrid w:val="0"/>
              <w:rPr>
                <w:szCs w:val="18"/>
              </w:rPr>
            </w:pPr>
            <w:r w:rsidRPr="002B55E9">
              <w:rPr>
                <w:rFonts w:hint="eastAsia"/>
                <w:szCs w:val="18"/>
              </w:rPr>
              <w:t>3</w:t>
            </w:r>
            <w:r w:rsidRPr="002B55E9">
              <w:rPr>
                <w:szCs w:val="18"/>
              </w:rPr>
              <w:t>9</w:t>
            </w:r>
            <w:r w:rsidRPr="002B55E9">
              <w:rPr>
                <w:rFonts w:hint="eastAsia"/>
                <w:szCs w:val="18"/>
              </w:rPr>
              <w:t>℃</w:t>
            </w:r>
          </w:p>
        </w:tc>
      </w:tr>
      <w:tr w:rsidR="002B55E9" w:rsidRPr="002B55E9" w14:paraId="150E67F0" w14:textId="77777777">
        <w:trPr>
          <w:trHeight w:val="284"/>
          <w:jc w:val="center"/>
        </w:trPr>
        <w:tc>
          <w:tcPr>
            <w:tcW w:w="1291" w:type="dxa"/>
            <w:vAlign w:val="center"/>
          </w:tcPr>
          <w:p w14:paraId="27A5EDC3" w14:textId="77777777" w:rsidR="00D170E5" w:rsidRPr="002B55E9" w:rsidRDefault="00EF27AD">
            <w:pPr>
              <w:pStyle w:val="affff6"/>
              <w:snapToGrid w:val="0"/>
              <w:rPr>
                <w:szCs w:val="18"/>
              </w:rPr>
            </w:pPr>
            <w:r w:rsidRPr="002B55E9">
              <w:rPr>
                <w:szCs w:val="18"/>
              </w:rPr>
              <w:t>熔</w:t>
            </w:r>
            <w:r w:rsidRPr="002B55E9">
              <w:rPr>
                <w:szCs w:val="18"/>
              </w:rPr>
              <w:t xml:space="preserve">  </w:t>
            </w:r>
            <w:r w:rsidRPr="002B55E9">
              <w:rPr>
                <w:szCs w:val="18"/>
              </w:rPr>
              <w:t>点</w:t>
            </w:r>
          </w:p>
        </w:tc>
        <w:tc>
          <w:tcPr>
            <w:tcW w:w="3380" w:type="dxa"/>
            <w:vAlign w:val="center"/>
          </w:tcPr>
          <w:p w14:paraId="239F0ED5" w14:textId="77777777" w:rsidR="00D170E5" w:rsidRPr="002B55E9" w:rsidRDefault="00EF27AD">
            <w:pPr>
              <w:pStyle w:val="affff6"/>
              <w:snapToGrid w:val="0"/>
              <w:rPr>
                <w:szCs w:val="18"/>
              </w:rPr>
            </w:pPr>
            <w:r w:rsidRPr="002B55E9">
              <w:rPr>
                <w:spacing w:val="8"/>
                <w:szCs w:val="18"/>
              </w:rPr>
              <w:t>16.7</w:t>
            </w:r>
            <w:r w:rsidRPr="002B55E9">
              <w:rPr>
                <w:rFonts w:hAnsi="宋体"/>
                <w:spacing w:val="8"/>
                <w:szCs w:val="18"/>
              </w:rPr>
              <w:t>℃</w:t>
            </w:r>
          </w:p>
        </w:tc>
        <w:tc>
          <w:tcPr>
            <w:tcW w:w="1357" w:type="dxa"/>
            <w:vAlign w:val="center"/>
          </w:tcPr>
          <w:p w14:paraId="2808D5AD" w14:textId="77777777" w:rsidR="00D170E5" w:rsidRPr="002B55E9" w:rsidRDefault="00EF27AD">
            <w:pPr>
              <w:pStyle w:val="affff6"/>
              <w:snapToGrid w:val="0"/>
              <w:rPr>
                <w:szCs w:val="18"/>
              </w:rPr>
            </w:pPr>
            <w:r w:rsidRPr="002B55E9">
              <w:rPr>
                <w:rFonts w:hAnsi="Arial"/>
                <w:spacing w:val="8"/>
                <w:szCs w:val="18"/>
              </w:rPr>
              <w:t>沸点</w:t>
            </w:r>
          </w:p>
        </w:tc>
        <w:tc>
          <w:tcPr>
            <w:tcW w:w="3596" w:type="dxa"/>
            <w:vAlign w:val="center"/>
          </w:tcPr>
          <w:p w14:paraId="75FA0E95" w14:textId="77777777" w:rsidR="00D170E5" w:rsidRPr="002B55E9" w:rsidRDefault="00EF27AD">
            <w:pPr>
              <w:pStyle w:val="affff6"/>
              <w:snapToGrid w:val="0"/>
              <w:rPr>
                <w:szCs w:val="18"/>
              </w:rPr>
            </w:pPr>
            <w:r w:rsidRPr="002B55E9">
              <w:rPr>
                <w:spacing w:val="8"/>
                <w:szCs w:val="18"/>
              </w:rPr>
              <w:t>118</w:t>
            </w:r>
            <w:r w:rsidRPr="002B55E9">
              <w:rPr>
                <w:rFonts w:hAnsi="宋体"/>
                <w:spacing w:val="8"/>
                <w:szCs w:val="18"/>
              </w:rPr>
              <w:t>.</w:t>
            </w:r>
            <w:r w:rsidRPr="002B55E9">
              <w:rPr>
                <w:spacing w:val="8"/>
                <w:szCs w:val="18"/>
              </w:rPr>
              <w:t>1</w:t>
            </w:r>
            <w:r w:rsidRPr="002B55E9">
              <w:rPr>
                <w:rFonts w:hAnsi="宋体"/>
                <w:spacing w:val="8"/>
                <w:szCs w:val="18"/>
              </w:rPr>
              <w:t>℃</w:t>
            </w:r>
          </w:p>
        </w:tc>
      </w:tr>
      <w:tr w:rsidR="002B55E9" w:rsidRPr="002B55E9" w14:paraId="46694C0F" w14:textId="77777777">
        <w:trPr>
          <w:trHeight w:val="284"/>
          <w:jc w:val="center"/>
        </w:trPr>
        <w:tc>
          <w:tcPr>
            <w:tcW w:w="1291" w:type="dxa"/>
            <w:vAlign w:val="center"/>
          </w:tcPr>
          <w:p w14:paraId="64B614C3" w14:textId="77777777" w:rsidR="00D170E5" w:rsidRPr="002B55E9" w:rsidRDefault="00EF27AD">
            <w:pPr>
              <w:pStyle w:val="affff6"/>
              <w:snapToGrid w:val="0"/>
              <w:rPr>
                <w:szCs w:val="18"/>
              </w:rPr>
            </w:pPr>
            <w:r w:rsidRPr="002B55E9">
              <w:rPr>
                <w:szCs w:val="18"/>
              </w:rPr>
              <w:t>密</w:t>
            </w:r>
            <w:r w:rsidRPr="002B55E9">
              <w:rPr>
                <w:szCs w:val="18"/>
              </w:rPr>
              <w:t xml:space="preserve">  </w:t>
            </w:r>
            <w:r w:rsidRPr="002B55E9">
              <w:rPr>
                <w:szCs w:val="18"/>
              </w:rPr>
              <w:t>度</w:t>
            </w:r>
          </w:p>
        </w:tc>
        <w:tc>
          <w:tcPr>
            <w:tcW w:w="3380" w:type="dxa"/>
            <w:vAlign w:val="center"/>
          </w:tcPr>
          <w:p w14:paraId="38476DFB" w14:textId="77777777" w:rsidR="00D170E5" w:rsidRPr="002B55E9" w:rsidRDefault="00EF27AD">
            <w:pPr>
              <w:pStyle w:val="affff6"/>
              <w:snapToGrid w:val="0"/>
              <w:rPr>
                <w:szCs w:val="18"/>
              </w:rPr>
            </w:pPr>
            <w:r w:rsidRPr="002B55E9">
              <w:rPr>
                <w:szCs w:val="18"/>
              </w:rPr>
              <w:t>1.05</w:t>
            </w:r>
            <w:r w:rsidRPr="002B55E9">
              <w:rPr>
                <w:szCs w:val="18"/>
              </w:rPr>
              <w:t>（相对于水）</w:t>
            </w:r>
          </w:p>
        </w:tc>
        <w:tc>
          <w:tcPr>
            <w:tcW w:w="1357" w:type="dxa"/>
            <w:vAlign w:val="center"/>
          </w:tcPr>
          <w:p w14:paraId="27531AAA" w14:textId="77777777" w:rsidR="00D170E5" w:rsidRPr="002B55E9" w:rsidRDefault="00EF27AD">
            <w:pPr>
              <w:pStyle w:val="affff6"/>
              <w:snapToGrid w:val="0"/>
              <w:rPr>
                <w:szCs w:val="18"/>
              </w:rPr>
            </w:pPr>
            <w:r w:rsidRPr="002B55E9">
              <w:rPr>
                <w:szCs w:val="18"/>
              </w:rPr>
              <w:t>溶解性</w:t>
            </w:r>
          </w:p>
        </w:tc>
        <w:tc>
          <w:tcPr>
            <w:tcW w:w="3596" w:type="dxa"/>
            <w:vAlign w:val="center"/>
          </w:tcPr>
          <w:p w14:paraId="3A32B57D" w14:textId="77777777" w:rsidR="00D170E5" w:rsidRPr="002B55E9" w:rsidRDefault="00EF27AD">
            <w:pPr>
              <w:pStyle w:val="affff6"/>
              <w:snapToGrid w:val="0"/>
              <w:rPr>
                <w:szCs w:val="18"/>
              </w:rPr>
            </w:pPr>
            <w:r w:rsidRPr="002B55E9">
              <w:rPr>
                <w:rFonts w:hint="eastAsia"/>
                <w:szCs w:val="18"/>
              </w:rPr>
              <w:t>溶于水、醚、甘油，不溶于二硫化碳</w:t>
            </w:r>
          </w:p>
        </w:tc>
      </w:tr>
      <w:tr w:rsidR="002B55E9" w:rsidRPr="002B55E9" w14:paraId="516442FA" w14:textId="77777777">
        <w:trPr>
          <w:trHeight w:val="284"/>
          <w:jc w:val="center"/>
        </w:trPr>
        <w:tc>
          <w:tcPr>
            <w:tcW w:w="1291" w:type="dxa"/>
            <w:vAlign w:val="center"/>
          </w:tcPr>
          <w:p w14:paraId="5097B882" w14:textId="77777777" w:rsidR="00D170E5" w:rsidRPr="002B55E9" w:rsidRDefault="00EF27AD">
            <w:pPr>
              <w:pStyle w:val="affff6"/>
              <w:snapToGrid w:val="0"/>
              <w:rPr>
                <w:szCs w:val="18"/>
              </w:rPr>
            </w:pPr>
            <w:r w:rsidRPr="002B55E9">
              <w:rPr>
                <w:rFonts w:hint="eastAsia"/>
                <w:szCs w:val="18"/>
              </w:rPr>
              <w:t>饱和蒸汽压</w:t>
            </w:r>
          </w:p>
        </w:tc>
        <w:tc>
          <w:tcPr>
            <w:tcW w:w="3380" w:type="dxa"/>
            <w:vAlign w:val="center"/>
          </w:tcPr>
          <w:p w14:paraId="678E43FE" w14:textId="77777777" w:rsidR="00D170E5" w:rsidRPr="002B55E9" w:rsidRDefault="00EF27AD">
            <w:pPr>
              <w:pStyle w:val="affff6"/>
              <w:snapToGrid w:val="0"/>
              <w:rPr>
                <w:szCs w:val="18"/>
              </w:rPr>
            </w:pPr>
            <w:r w:rsidRPr="002B55E9">
              <w:rPr>
                <w:szCs w:val="18"/>
              </w:rPr>
              <w:t>1.52</w:t>
            </w:r>
            <w:r w:rsidRPr="002B55E9">
              <w:rPr>
                <w:rFonts w:hint="eastAsia"/>
                <w:szCs w:val="18"/>
              </w:rPr>
              <w:t>k</w:t>
            </w:r>
            <w:r w:rsidRPr="002B55E9">
              <w:rPr>
                <w:szCs w:val="18"/>
              </w:rPr>
              <w:t>P</w:t>
            </w:r>
            <w:r w:rsidRPr="002B55E9">
              <w:rPr>
                <w:rFonts w:hint="eastAsia"/>
                <w:szCs w:val="18"/>
              </w:rPr>
              <w:t>a</w:t>
            </w:r>
            <w:r w:rsidRPr="002B55E9">
              <w:rPr>
                <w:rFonts w:hint="eastAsia"/>
                <w:szCs w:val="18"/>
              </w:rPr>
              <w:t>（</w:t>
            </w:r>
            <w:r w:rsidRPr="002B55E9">
              <w:rPr>
                <w:rFonts w:hint="eastAsia"/>
                <w:szCs w:val="18"/>
              </w:rPr>
              <w:t>2</w:t>
            </w:r>
            <w:r w:rsidRPr="002B55E9">
              <w:rPr>
                <w:szCs w:val="18"/>
              </w:rPr>
              <w:t>0</w:t>
            </w:r>
            <w:r w:rsidRPr="002B55E9">
              <w:rPr>
                <w:rFonts w:hint="eastAsia"/>
                <w:szCs w:val="18"/>
              </w:rPr>
              <w:t>℃）</w:t>
            </w:r>
          </w:p>
        </w:tc>
        <w:tc>
          <w:tcPr>
            <w:tcW w:w="1357" w:type="dxa"/>
            <w:vAlign w:val="center"/>
          </w:tcPr>
          <w:p w14:paraId="57D34F46" w14:textId="77777777" w:rsidR="00D170E5" w:rsidRPr="002B55E9" w:rsidRDefault="00EF27AD">
            <w:pPr>
              <w:pStyle w:val="affff6"/>
              <w:snapToGrid w:val="0"/>
              <w:rPr>
                <w:szCs w:val="18"/>
              </w:rPr>
            </w:pPr>
            <w:r w:rsidRPr="002B55E9">
              <w:rPr>
                <w:rFonts w:hint="eastAsia"/>
                <w:szCs w:val="18"/>
              </w:rPr>
              <w:t>燃点</w:t>
            </w:r>
          </w:p>
        </w:tc>
        <w:tc>
          <w:tcPr>
            <w:tcW w:w="3596" w:type="dxa"/>
            <w:vAlign w:val="center"/>
          </w:tcPr>
          <w:p w14:paraId="60950EC3" w14:textId="77777777" w:rsidR="00D170E5" w:rsidRPr="002B55E9" w:rsidRDefault="00EF27AD">
            <w:pPr>
              <w:pStyle w:val="affff6"/>
              <w:snapToGrid w:val="0"/>
              <w:rPr>
                <w:szCs w:val="18"/>
              </w:rPr>
            </w:pPr>
            <w:r w:rsidRPr="002B55E9">
              <w:rPr>
                <w:szCs w:val="18"/>
              </w:rPr>
              <w:t>463</w:t>
            </w:r>
            <w:r w:rsidRPr="002B55E9">
              <w:rPr>
                <w:rFonts w:hint="eastAsia"/>
                <w:szCs w:val="18"/>
              </w:rPr>
              <w:t>℃</w:t>
            </w:r>
          </w:p>
        </w:tc>
      </w:tr>
      <w:tr w:rsidR="002B55E9" w:rsidRPr="002B55E9" w14:paraId="61F5EE2B" w14:textId="77777777">
        <w:trPr>
          <w:trHeight w:val="284"/>
          <w:jc w:val="center"/>
        </w:trPr>
        <w:tc>
          <w:tcPr>
            <w:tcW w:w="1291" w:type="dxa"/>
            <w:vAlign w:val="center"/>
          </w:tcPr>
          <w:p w14:paraId="0E6A5F7E" w14:textId="77777777" w:rsidR="00D170E5" w:rsidRPr="002B55E9" w:rsidRDefault="00EF27AD">
            <w:pPr>
              <w:pStyle w:val="affff6"/>
              <w:snapToGrid w:val="0"/>
              <w:rPr>
                <w:szCs w:val="18"/>
              </w:rPr>
            </w:pPr>
            <w:r w:rsidRPr="002B55E9">
              <w:rPr>
                <w:szCs w:val="18"/>
              </w:rPr>
              <w:t>健康危害</w:t>
            </w:r>
          </w:p>
        </w:tc>
        <w:tc>
          <w:tcPr>
            <w:tcW w:w="8333" w:type="dxa"/>
            <w:gridSpan w:val="3"/>
            <w:vAlign w:val="center"/>
          </w:tcPr>
          <w:p w14:paraId="21DE231E" w14:textId="77777777" w:rsidR="00D170E5" w:rsidRPr="002B55E9" w:rsidRDefault="00EF27AD">
            <w:pPr>
              <w:pStyle w:val="affff6"/>
              <w:jc w:val="both"/>
              <w:rPr>
                <w:szCs w:val="18"/>
              </w:rPr>
            </w:pPr>
            <w:r w:rsidRPr="002B55E9">
              <w:rPr>
                <w:rFonts w:hint="eastAsia"/>
                <w:szCs w:val="18"/>
              </w:rPr>
              <w:t>吸入本品蒸汽对鼻、喉和呼吸道有刺激性。对眼有强烈刺激作用。批复接触，轻者出现红斑，重者引起化学灼伤，误服浓乙酸，口腔和消化道可产生糜烂，重者可因休克而致死。慢性影响：眼睑水肿、结膜充血、慢性咽炎和支气管炎。长期反复接触，可致皮肤干燥、脱脂和皮炎。</w:t>
            </w:r>
          </w:p>
        </w:tc>
      </w:tr>
      <w:tr w:rsidR="00D170E5" w:rsidRPr="002B55E9" w14:paraId="0B81D775" w14:textId="77777777">
        <w:trPr>
          <w:trHeight w:val="284"/>
          <w:jc w:val="center"/>
        </w:trPr>
        <w:tc>
          <w:tcPr>
            <w:tcW w:w="1291" w:type="dxa"/>
            <w:vAlign w:val="center"/>
          </w:tcPr>
          <w:p w14:paraId="32BED145" w14:textId="77777777" w:rsidR="00D170E5" w:rsidRPr="002B55E9" w:rsidRDefault="00EF27AD">
            <w:pPr>
              <w:pStyle w:val="affff6"/>
              <w:snapToGrid w:val="0"/>
              <w:rPr>
                <w:szCs w:val="18"/>
              </w:rPr>
            </w:pPr>
            <w:r w:rsidRPr="002B55E9">
              <w:rPr>
                <w:szCs w:val="18"/>
              </w:rPr>
              <w:t>毒理学资料</w:t>
            </w:r>
          </w:p>
        </w:tc>
        <w:tc>
          <w:tcPr>
            <w:tcW w:w="8333" w:type="dxa"/>
            <w:gridSpan w:val="3"/>
            <w:vAlign w:val="center"/>
          </w:tcPr>
          <w:p w14:paraId="5D6F2240" w14:textId="77777777" w:rsidR="00D170E5" w:rsidRPr="002B55E9" w:rsidRDefault="00EF27AD">
            <w:pPr>
              <w:pStyle w:val="affff6"/>
              <w:snapToGrid w:val="0"/>
              <w:jc w:val="both"/>
              <w:rPr>
                <w:szCs w:val="18"/>
              </w:rPr>
            </w:pPr>
            <w:r w:rsidRPr="002B55E9">
              <w:rPr>
                <w:rFonts w:hint="eastAsia"/>
                <w:szCs w:val="18"/>
              </w:rPr>
              <w:t>急性毒性：</w:t>
            </w:r>
            <w:r w:rsidRPr="002B55E9">
              <w:rPr>
                <w:rFonts w:hint="eastAsia"/>
                <w:szCs w:val="18"/>
              </w:rPr>
              <w:t>L</w:t>
            </w:r>
            <w:r w:rsidRPr="002B55E9">
              <w:rPr>
                <w:szCs w:val="18"/>
              </w:rPr>
              <w:t>D50</w:t>
            </w:r>
            <w:r w:rsidRPr="002B55E9">
              <w:rPr>
                <w:rFonts w:hint="eastAsia"/>
                <w:szCs w:val="18"/>
              </w:rPr>
              <w:t>：</w:t>
            </w:r>
            <w:r w:rsidRPr="002B55E9">
              <w:rPr>
                <w:szCs w:val="18"/>
              </w:rPr>
              <w:t>3530</w:t>
            </w:r>
            <w:r w:rsidRPr="002B55E9">
              <w:rPr>
                <w:rFonts w:hint="eastAsia"/>
                <w:szCs w:val="18"/>
              </w:rPr>
              <w:t>mg</w:t>
            </w:r>
            <w:r w:rsidRPr="002B55E9">
              <w:rPr>
                <w:szCs w:val="18"/>
              </w:rPr>
              <w:t>/</w:t>
            </w:r>
            <w:r w:rsidRPr="002B55E9">
              <w:rPr>
                <w:rFonts w:hint="eastAsia"/>
                <w:szCs w:val="18"/>
              </w:rPr>
              <w:t>kg</w:t>
            </w:r>
            <w:r w:rsidRPr="002B55E9">
              <w:rPr>
                <w:rFonts w:hint="eastAsia"/>
                <w:szCs w:val="18"/>
              </w:rPr>
              <w:t>（大鼠经口），</w:t>
            </w:r>
            <w:r w:rsidRPr="002B55E9">
              <w:rPr>
                <w:rFonts w:hint="eastAsia"/>
                <w:szCs w:val="18"/>
              </w:rPr>
              <w:t>1</w:t>
            </w:r>
            <w:r w:rsidRPr="002B55E9">
              <w:rPr>
                <w:szCs w:val="18"/>
              </w:rPr>
              <w:t>060</w:t>
            </w:r>
            <w:r w:rsidRPr="002B55E9">
              <w:rPr>
                <w:rFonts w:hint="eastAsia"/>
                <w:szCs w:val="18"/>
              </w:rPr>
              <w:t>mg</w:t>
            </w:r>
            <w:r w:rsidRPr="002B55E9">
              <w:rPr>
                <w:szCs w:val="18"/>
              </w:rPr>
              <w:t>/</w:t>
            </w:r>
            <w:r w:rsidRPr="002B55E9">
              <w:rPr>
                <w:rFonts w:hint="eastAsia"/>
                <w:szCs w:val="18"/>
              </w:rPr>
              <w:t>kg</w:t>
            </w:r>
            <w:r w:rsidRPr="002B55E9">
              <w:rPr>
                <w:rFonts w:hint="eastAsia"/>
                <w:szCs w:val="18"/>
              </w:rPr>
              <w:t>（兔经皮）；</w:t>
            </w:r>
            <w:r w:rsidRPr="002B55E9">
              <w:rPr>
                <w:rFonts w:hint="eastAsia"/>
                <w:szCs w:val="18"/>
              </w:rPr>
              <w:t>L</w:t>
            </w:r>
            <w:r w:rsidRPr="002B55E9">
              <w:rPr>
                <w:szCs w:val="18"/>
              </w:rPr>
              <w:t>C50</w:t>
            </w:r>
            <w:r w:rsidRPr="002B55E9">
              <w:rPr>
                <w:rFonts w:hint="eastAsia"/>
                <w:szCs w:val="18"/>
              </w:rPr>
              <w:t>:</w:t>
            </w:r>
            <w:r w:rsidRPr="002B55E9">
              <w:rPr>
                <w:szCs w:val="18"/>
              </w:rPr>
              <w:t>13791</w:t>
            </w:r>
            <w:r w:rsidRPr="002B55E9">
              <w:rPr>
                <w:rFonts w:hint="eastAsia"/>
                <w:szCs w:val="18"/>
              </w:rPr>
              <w:t>mg</w:t>
            </w:r>
            <w:r w:rsidRPr="002B55E9">
              <w:rPr>
                <w:szCs w:val="18"/>
              </w:rPr>
              <w:t>/</w:t>
            </w:r>
            <w:r w:rsidRPr="002B55E9">
              <w:rPr>
                <w:rFonts w:hint="eastAsia"/>
                <w:szCs w:val="18"/>
              </w:rPr>
              <w:t>m</w:t>
            </w:r>
            <w:r w:rsidRPr="002B55E9">
              <w:rPr>
                <w:szCs w:val="18"/>
                <w:vertAlign w:val="superscript"/>
              </w:rPr>
              <w:t>3</w:t>
            </w:r>
            <w:r w:rsidRPr="002B55E9">
              <w:rPr>
                <w:rFonts w:hint="eastAsia"/>
                <w:szCs w:val="18"/>
              </w:rPr>
              <w:t>，</w:t>
            </w:r>
            <w:r w:rsidRPr="002B55E9">
              <w:rPr>
                <w:rFonts w:hint="eastAsia"/>
                <w:szCs w:val="18"/>
              </w:rPr>
              <w:t>1</w:t>
            </w:r>
            <w:r w:rsidRPr="002B55E9">
              <w:rPr>
                <w:rFonts w:hint="eastAsia"/>
                <w:szCs w:val="18"/>
              </w:rPr>
              <w:t>小时（小鼠吸入）</w:t>
            </w:r>
          </w:p>
        </w:tc>
      </w:tr>
    </w:tbl>
    <w:p w14:paraId="0F334DB1" w14:textId="77777777" w:rsidR="00D170E5" w:rsidRPr="002B55E9" w:rsidRDefault="00D170E5">
      <w:pPr>
        <w:pStyle w:val="affff7"/>
      </w:pPr>
    </w:p>
    <w:p w14:paraId="3E383CE4" w14:textId="77777777" w:rsidR="00D170E5" w:rsidRPr="002B55E9" w:rsidRDefault="00D170E5">
      <w:pPr>
        <w:pStyle w:val="affff7"/>
      </w:pPr>
    </w:p>
    <w:p w14:paraId="0E84DC82" w14:textId="77777777" w:rsidR="00D170E5" w:rsidRPr="002B55E9" w:rsidRDefault="00EF27AD">
      <w:pPr>
        <w:pStyle w:val="affff7"/>
      </w:pPr>
      <w:r w:rsidRPr="002B55E9">
        <w:rPr>
          <w:rFonts w:hint="eastAsia"/>
        </w:rPr>
        <w:lastRenderedPageBreak/>
        <w:t>②盐酸</w:t>
      </w:r>
    </w:p>
    <w:p w14:paraId="1A0C2D5D" w14:textId="77777777" w:rsidR="00D170E5" w:rsidRPr="002B55E9" w:rsidRDefault="00EF27AD">
      <w:pPr>
        <w:pStyle w:val="1f3"/>
        <w:spacing w:beforeLines="0" w:before="0"/>
      </w:pPr>
      <w:r w:rsidRPr="002B55E9">
        <w:rPr>
          <w:rFonts w:hint="eastAsia"/>
        </w:rPr>
        <w:t>表</w:t>
      </w:r>
      <w:r w:rsidRPr="002B55E9">
        <w:t xml:space="preserve">6-1-2  </w:t>
      </w:r>
      <w:r w:rsidRPr="002B55E9">
        <w:rPr>
          <w:rFonts w:hint="eastAsia"/>
        </w:rPr>
        <w:t>盐酸主要理化性质一览表</w:t>
      </w:r>
    </w:p>
    <w:tbl>
      <w:tblPr>
        <w:tblW w:w="96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1"/>
        <w:gridCol w:w="3380"/>
        <w:gridCol w:w="1357"/>
        <w:gridCol w:w="3596"/>
      </w:tblGrid>
      <w:tr w:rsidR="002B55E9" w:rsidRPr="002B55E9" w14:paraId="23FED14C" w14:textId="77777777">
        <w:trPr>
          <w:trHeight w:val="284"/>
          <w:jc w:val="center"/>
        </w:trPr>
        <w:tc>
          <w:tcPr>
            <w:tcW w:w="1291" w:type="dxa"/>
            <w:vAlign w:val="center"/>
          </w:tcPr>
          <w:p w14:paraId="6034FCDC" w14:textId="77777777" w:rsidR="00D170E5" w:rsidRPr="002B55E9" w:rsidRDefault="00EF27AD">
            <w:pPr>
              <w:pStyle w:val="affff6"/>
              <w:snapToGrid w:val="0"/>
              <w:rPr>
                <w:szCs w:val="18"/>
              </w:rPr>
            </w:pPr>
            <w:r w:rsidRPr="002B55E9">
              <w:rPr>
                <w:rFonts w:hint="eastAsia"/>
                <w:szCs w:val="18"/>
              </w:rPr>
              <w:t>中文名称</w:t>
            </w:r>
          </w:p>
        </w:tc>
        <w:tc>
          <w:tcPr>
            <w:tcW w:w="3380" w:type="dxa"/>
            <w:vAlign w:val="center"/>
          </w:tcPr>
          <w:p w14:paraId="6BD566FA" w14:textId="77777777" w:rsidR="00D170E5" w:rsidRPr="002B55E9" w:rsidRDefault="00EF27AD">
            <w:pPr>
              <w:pStyle w:val="affff6"/>
              <w:snapToGrid w:val="0"/>
              <w:rPr>
                <w:szCs w:val="18"/>
              </w:rPr>
            </w:pPr>
            <w:r w:rsidRPr="002B55E9">
              <w:rPr>
                <w:rFonts w:hint="eastAsia"/>
                <w:szCs w:val="18"/>
              </w:rPr>
              <w:t>盐酸</w:t>
            </w:r>
          </w:p>
        </w:tc>
        <w:tc>
          <w:tcPr>
            <w:tcW w:w="1357" w:type="dxa"/>
            <w:vAlign w:val="center"/>
          </w:tcPr>
          <w:p w14:paraId="74DC639A" w14:textId="77777777" w:rsidR="00D170E5" w:rsidRPr="002B55E9" w:rsidRDefault="00EF27AD">
            <w:pPr>
              <w:pStyle w:val="affff6"/>
              <w:snapToGrid w:val="0"/>
              <w:rPr>
                <w:szCs w:val="18"/>
              </w:rPr>
            </w:pPr>
            <w:r w:rsidRPr="002B55E9">
              <w:rPr>
                <w:szCs w:val="18"/>
              </w:rPr>
              <w:t>CAS</w:t>
            </w:r>
            <w:r w:rsidRPr="002B55E9">
              <w:rPr>
                <w:szCs w:val="18"/>
              </w:rPr>
              <w:t>号</w:t>
            </w:r>
          </w:p>
        </w:tc>
        <w:tc>
          <w:tcPr>
            <w:tcW w:w="3596" w:type="dxa"/>
            <w:vAlign w:val="center"/>
          </w:tcPr>
          <w:p w14:paraId="45E6029B" w14:textId="77777777" w:rsidR="00D170E5" w:rsidRPr="002B55E9" w:rsidRDefault="00EF27AD">
            <w:pPr>
              <w:pStyle w:val="affff6"/>
              <w:snapToGrid w:val="0"/>
              <w:rPr>
                <w:szCs w:val="18"/>
              </w:rPr>
            </w:pPr>
            <w:r w:rsidRPr="002B55E9">
              <w:t>7647-01-0</w:t>
            </w:r>
          </w:p>
        </w:tc>
      </w:tr>
      <w:tr w:rsidR="002B55E9" w:rsidRPr="002B55E9" w14:paraId="77B2288C" w14:textId="77777777">
        <w:trPr>
          <w:trHeight w:val="284"/>
          <w:jc w:val="center"/>
        </w:trPr>
        <w:tc>
          <w:tcPr>
            <w:tcW w:w="1291" w:type="dxa"/>
            <w:vAlign w:val="center"/>
          </w:tcPr>
          <w:p w14:paraId="01B0140D" w14:textId="77777777" w:rsidR="00D170E5" w:rsidRPr="002B55E9" w:rsidRDefault="00EF27AD">
            <w:pPr>
              <w:pStyle w:val="affff6"/>
              <w:snapToGrid w:val="0"/>
              <w:rPr>
                <w:szCs w:val="18"/>
              </w:rPr>
            </w:pPr>
            <w:r w:rsidRPr="002B55E9">
              <w:rPr>
                <w:szCs w:val="18"/>
              </w:rPr>
              <w:t>分子式</w:t>
            </w:r>
          </w:p>
        </w:tc>
        <w:tc>
          <w:tcPr>
            <w:tcW w:w="3380" w:type="dxa"/>
            <w:vAlign w:val="center"/>
          </w:tcPr>
          <w:p w14:paraId="5AFDD61E" w14:textId="77777777" w:rsidR="00D170E5" w:rsidRPr="002B55E9" w:rsidRDefault="00EF27AD">
            <w:pPr>
              <w:pStyle w:val="affff6"/>
              <w:snapToGrid w:val="0"/>
              <w:rPr>
                <w:szCs w:val="18"/>
              </w:rPr>
            </w:pPr>
            <w:r w:rsidRPr="002B55E9">
              <w:t>HC</w:t>
            </w:r>
            <w:r w:rsidRPr="002B55E9">
              <w:rPr>
                <w:rFonts w:hint="eastAsia"/>
              </w:rPr>
              <w:t>l</w:t>
            </w:r>
          </w:p>
        </w:tc>
        <w:tc>
          <w:tcPr>
            <w:tcW w:w="1357" w:type="dxa"/>
            <w:vAlign w:val="center"/>
          </w:tcPr>
          <w:p w14:paraId="570C1ADC" w14:textId="77777777" w:rsidR="00D170E5" w:rsidRPr="002B55E9" w:rsidRDefault="00EF27AD">
            <w:pPr>
              <w:pStyle w:val="affff6"/>
              <w:snapToGrid w:val="0"/>
              <w:rPr>
                <w:szCs w:val="18"/>
              </w:rPr>
            </w:pPr>
            <w:r w:rsidRPr="002B55E9">
              <w:rPr>
                <w:szCs w:val="18"/>
              </w:rPr>
              <w:t>外观与性状</w:t>
            </w:r>
          </w:p>
        </w:tc>
        <w:tc>
          <w:tcPr>
            <w:tcW w:w="3596" w:type="dxa"/>
            <w:vAlign w:val="center"/>
          </w:tcPr>
          <w:p w14:paraId="066F523A" w14:textId="77777777" w:rsidR="00D170E5" w:rsidRPr="002B55E9" w:rsidRDefault="00EF27AD">
            <w:pPr>
              <w:pStyle w:val="affff6"/>
              <w:snapToGrid w:val="0"/>
              <w:rPr>
                <w:szCs w:val="18"/>
              </w:rPr>
            </w:pPr>
            <w:r w:rsidRPr="002B55E9">
              <w:rPr>
                <w:rFonts w:hAnsi="Arial" w:hint="eastAsia"/>
                <w:spacing w:val="8"/>
                <w:szCs w:val="18"/>
              </w:rPr>
              <w:t>稍有粘性的棕色液体</w:t>
            </w:r>
            <w:r w:rsidRPr="002B55E9">
              <w:rPr>
                <w:rFonts w:hAnsi="Arial"/>
                <w:spacing w:val="8"/>
                <w:szCs w:val="18"/>
              </w:rPr>
              <w:t>。</w:t>
            </w:r>
          </w:p>
        </w:tc>
      </w:tr>
      <w:tr w:rsidR="002B55E9" w:rsidRPr="002B55E9" w14:paraId="1D4B9482" w14:textId="77777777">
        <w:trPr>
          <w:trHeight w:val="284"/>
          <w:jc w:val="center"/>
        </w:trPr>
        <w:tc>
          <w:tcPr>
            <w:tcW w:w="1291" w:type="dxa"/>
            <w:vAlign w:val="center"/>
          </w:tcPr>
          <w:p w14:paraId="08CA8CE2" w14:textId="77777777" w:rsidR="00D170E5" w:rsidRPr="002B55E9" w:rsidRDefault="00EF27AD">
            <w:pPr>
              <w:pStyle w:val="affff6"/>
              <w:snapToGrid w:val="0"/>
              <w:rPr>
                <w:szCs w:val="18"/>
              </w:rPr>
            </w:pPr>
            <w:r w:rsidRPr="002B55E9">
              <w:rPr>
                <w:szCs w:val="18"/>
              </w:rPr>
              <w:t>分子量</w:t>
            </w:r>
          </w:p>
        </w:tc>
        <w:tc>
          <w:tcPr>
            <w:tcW w:w="3380" w:type="dxa"/>
            <w:vAlign w:val="center"/>
          </w:tcPr>
          <w:p w14:paraId="5D8B5DB1" w14:textId="77777777" w:rsidR="00D170E5" w:rsidRPr="002B55E9" w:rsidRDefault="00EF27AD">
            <w:pPr>
              <w:pStyle w:val="affff6"/>
              <w:snapToGrid w:val="0"/>
              <w:rPr>
                <w:szCs w:val="18"/>
              </w:rPr>
            </w:pPr>
            <w:r w:rsidRPr="002B55E9">
              <w:t>36.46</w:t>
            </w:r>
          </w:p>
        </w:tc>
        <w:tc>
          <w:tcPr>
            <w:tcW w:w="1357" w:type="dxa"/>
            <w:vAlign w:val="center"/>
          </w:tcPr>
          <w:p w14:paraId="469633DB" w14:textId="77777777" w:rsidR="00D170E5" w:rsidRPr="002B55E9" w:rsidRDefault="00EF27AD">
            <w:pPr>
              <w:pStyle w:val="affff6"/>
              <w:snapToGrid w:val="0"/>
              <w:rPr>
                <w:szCs w:val="18"/>
              </w:rPr>
            </w:pPr>
            <w:r w:rsidRPr="002B55E9">
              <w:rPr>
                <w:szCs w:val="18"/>
              </w:rPr>
              <w:t>闪点</w:t>
            </w:r>
          </w:p>
        </w:tc>
        <w:tc>
          <w:tcPr>
            <w:tcW w:w="3596" w:type="dxa"/>
            <w:vAlign w:val="center"/>
          </w:tcPr>
          <w:p w14:paraId="0B502943" w14:textId="77777777" w:rsidR="00D170E5" w:rsidRPr="002B55E9" w:rsidRDefault="00EF27AD">
            <w:pPr>
              <w:pStyle w:val="affff6"/>
              <w:snapToGrid w:val="0"/>
              <w:rPr>
                <w:szCs w:val="18"/>
              </w:rPr>
            </w:pPr>
            <w:r w:rsidRPr="002B55E9">
              <w:rPr>
                <w:szCs w:val="18"/>
              </w:rPr>
              <w:t>/</w:t>
            </w:r>
          </w:p>
        </w:tc>
      </w:tr>
      <w:tr w:rsidR="002B55E9" w:rsidRPr="002B55E9" w14:paraId="1B44F504" w14:textId="77777777">
        <w:trPr>
          <w:trHeight w:val="284"/>
          <w:jc w:val="center"/>
        </w:trPr>
        <w:tc>
          <w:tcPr>
            <w:tcW w:w="1291" w:type="dxa"/>
            <w:vAlign w:val="center"/>
          </w:tcPr>
          <w:p w14:paraId="778CF64C" w14:textId="77777777" w:rsidR="00D170E5" w:rsidRPr="002B55E9" w:rsidRDefault="00EF27AD">
            <w:pPr>
              <w:pStyle w:val="affff6"/>
              <w:snapToGrid w:val="0"/>
              <w:rPr>
                <w:szCs w:val="18"/>
              </w:rPr>
            </w:pPr>
            <w:r w:rsidRPr="002B55E9">
              <w:rPr>
                <w:szCs w:val="18"/>
              </w:rPr>
              <w:t>熔</w:t>
            </w:r>
            <w:r w:rsidRPr="002B55E9">
              <w:rPr>
                <w:szCs w:val="18"/>
              </w:rPr>
              <w:t xml:space="preserve">  </w:t>
            </w:r>
            <w:r w:rsidRPr="002B55E9">
              <w:rPr>
                <w:szCs w:val="18"/>
              </w:rPr>
              <w:t>点</w:t>
            </w:r>
          </w:p>
        </w:tc>
        <w:tc>
          <w:tcPr>
            <w:tcW w:w="3380" w:type="dxa"/>
            <w:vAlign w:val="center"/>
          </w:tcPr>
          <w:p w14:paraId="75D1AEDA" w14:textId="77777777" w:rsidR="00D170E5" w:rsidRPr="002B55E9" w:rsidRDefault="00EF27AD">
            <w:pPr>
              <w:pStyle w:val="affff6"/>
              <w:snapToGrid w:val="0"/>
              <w:rPr>
                <w:szCs w:val="18"/>
              </w:rPr>
            </w:pPr>
            <w:r w:rsidRPr="002B55E9">
              <w:rPr>
                <w:spacing w:val="8"/>
                <w:szCs w:val="18"/>
              </w:rPr>
              <w:t>-114.8</w:t>
            </w:r>
            <w:r w:rsidRPr="002B55E9">
              <w:rPr>
                <w:rFonts w:hAnsi="宋体"/>
                <w:spacing w:val="8"/>
                <w:szCs w:val="18"/>
              </w:rPr>
              <w:t>℃</w:t>
            </w:r>
          </w:p>
        </w:tc>
        <w:tc>
          <w:tcPr>
            <w:tcW w:w="1357" w:type="dxa"/>
            <w:vAlign w:val="center"/>
          </w:tcPr>
          <w:p w14:paraId="082DDB1B" w14:textId="77777777" w:rsidR="00D170E5" w:rsidRPr="002B55E9" w:rsidRDefault="00EF27AD">
            <w:pPr>
              <w:pStyle w:val="affff6"/>
              <w:snapToGrid w:val="0"/>
              <w:rPr>
                <w:szCs w:val="18"/>
              </w:rPr>
            </w:pPr>
            <w:r w:rsidRPr="002B55E9">
              <w:rPr>
                <w:rFonts w:hAnsi="Arial"/>
                <w:spacing w:val="8"/>
                <w:szCs w:val="18"/>
              </w:rPr>
              <w:t>沸点</w:t>
            </w:r>
          </w:p>
        </w:tc>
        <w:tc>
          <w:tcPr>
            <w:tcW w:w="3596" w:type="dxa"/>
            <w:vAlign w:val="center"/>
          </w:tcPr>
          <w:p w14:paraId="623B62AA" w14:textId="77777777" w:rsidR="00D170E5" w:rsidRPr="002B55E9" w:rsidRDefault="00EF27AD">
            <w:pPr>
              <w:pStyle w:val="affff6"/>
              <w:snapToGrid w:val="0"/>
              <w:rPr>
                <w:szCs w:val="18"/>
              </w:rPr>
            </w:pPr>
            <w:r w:rsidRPr="002B55E9">
              <w:rPr>
                <w:szCs w:val="18"/>
              </w:rPr>
              <w:t>108.6</w:t>
            </w:r>
            <w:r w:rsidRPr="002B55E9">
              <w:rPr>
                <w:rFonts w:hAnsi="宋体"/>
                <w:spacing w:val="8"/>
                <w:szCs w:val="18"/>
              </w:rPr>
              <w:t>℃</w:t>
            </w:r>
          </w:p>
        </w:tc>
      </w:tr>
      <w:tr w:rsidR="002B55E9" w:rsidRPr="002B55E9" w14:paraId="1132278A" w14:textId="77777777">
        <w:trPr>
          <w:trHeight w:val="284"/>
          <w:jc w:val="center"/>
        </w:trPr>
        <w:tc>
          <w:tcPr>
            <w:tcW w:w="1291" w:type="dxa"/>
            <w:vAlign w:val="center"/>
          </w:tcPr>
          <w:p w14:paraId="3F786B73" w14:textId="77777777" w:rsidR="00D170E5" w:rsidRPr="002B55E9" w:rsidRDefault="00EF27AD">
            <w:pPr>
              <w:pStyle w:val="affff6"/>
              <w:snapToGrid w:val="0"/>
              <w:rPr>
                <w:szCs w:val="18"/>
              </w:rPr>
            </w:pPr>
            <w:r w:rsidRPr="002B55E9">
              <w:rPr>
                <w:szCs w:val="18"/>
              </w:rPr>
              <w:t>密</w:t>
            </w:r>
            <w:r w:rsidRPr="002B55E9">
              <w:rPr>
                <w:szCs w:val="18"/>
              </w:rPr>
              <w:t xml:space="preserve">  </w:t>
            </w:r>
            <w:r w:rsidRPr="002B55E9">
              <w:rPr>
                <w:szCs w:val="18"/>
              </w:rPr>
              <w:t>度</w:t>
            </w:r>
          </w:p>
        </w:tc>
        <w:tc>
          <w:tcPr>
            <w:tcW w:w="3380" w:type="dxa"/>
            <w:vAlign w:val="center"/>
          </w:tcPr>
          <w:p w14:paraId="09BF022F" w14:textId="77777777" w:rsidR="00D170E5" w:rsidRPr="002B55E9" w:rsidRDefault="00EF27AD">
            <w:pPr>
              <w:pStyle w:val="affff6"/>
              <w:snapToGrid w:val="0"/>
              <w:rPr>
                <w:szCs w:val="18"/>
              </w:rPr>
            </w:pPr>
            <w:r w:rsidRPr="002B55E9">
              <w:rPr>
                <w:szCs w:val="18"/>
              </w:rPr>
              <w:t>1.26</w:t>
            </w:r>
            <w:r w:rsidRPr="002B55E9">
              <w:rPr>
                <w:szCs w:val="18"/>
              </w:rPr>
              <w:t>（相对于水）</w:t>
            </w:r>
          </w:p>
        </w:tc>
        <w:tc>
          <w:tcPr>
            <w:tcW w:w="1357" w:type="dxa"/>
            <w:vAlign w:val="center"/>
          </w:tcPr>
          <w:p w14:paraId="7FC36BA9" w14:textId="77777777" w:rsidR="00D170E5" w:rsidRPr="002B55E9" w:rsidRDefault="00EF27AD">
            <w:pPr>
              <w:pStyle w:val="affff6"/>
              <w:snapToGrid w:val="0"/>
              <w:rPr>
                <w:szCs w:val="18"/>
              </w:rPr>
            </w:pPr>
            <w:r w:rsidRPr="002B55E9">
              <w:rPr>
                <w:szCs w:val="18"/>
              </w:rPr>
              <w:t>溶解性</w:t>
            </w:r>
          </w:p>
        </w:tc>
        <w:tc>
          <w:tcPr>
            <w:tcW w:w="3596" w:type="dxa"/>
            <w:vAlign w:val="center"/>
          </w:tcPr>
          <w:p w14:paraId="07062124" w14:textId="77777777" w:rsidR="00D170E5" w:rsidRPr="002B55E9" w:rsidRDefault="00EF27AD">
            <w:pPr>
              <w:pStyle w:val="affff6"/>
              <w:snapToGrid w:val="0"/>
              <w:rPr>
                <w:szCs w:val="18"/>
              </w:rPr>
            </w:pPr>
            <w:r w:rsidRPr="002B55E9">
              <w:rPr>
                <w:rFonts w:hint="eastAsia"/>
                <w:szCs w:val="18"/>
              </w:rPr>
              <w:t>与水互溶，溶于碱液</w:t>
            </w:r>
          </w:p>
        </w:tc>
      </w:tr>
      <w:tr w:rsidR="002B55E9" w:rsidRPr="002B55E9" w14:paraId="24F0EB03" w14:textId="77777777">
        <w:trPr>
          <w:trHeight w:val="284"/>
          <w:jc w:val="center"/>
        </w:trPr>
        <w:tc>
          <w:tcPr>
            <w:tcW w:w="1291" w:type="dxa"/>
            <w:vAlign w:val="center"/>
          </w:tcPr>
          <w:p w14:paraId="4C239B38" w14:textId="77777777" w:rsidR="00D170E5" w:rsidRPr="002B55E9" w:rsidRDefault="00EF27AD">
            <w:pPr>
              <w:pStyle w:val="affff6"/>
              <w:snapToGrid w:val="0"/>
              <w:rPr>
                <w:szCs w:val="18"/>
              </w:rPr>
            </w:pPr>
            <w:r w:rsidRPr="002B55E9">
              <w:rPr>
                <w:rFonts w:hint="eastAsia"/>
                <w:szCs w:val="18"/>
              </w:rPr>
              <w:t>饱和蒸汽压</w:t>
            </w:r>
          </w:p>
        </w:tc>
        <w:tc>
          <w:tcPr>
            <w:tcW w:w="3380" w:type="dxa"/>
            <w:vAlign w:val="center"/>
          </w:tcPr>
          <w:p w14:paraId="0D069521" w14:textId="77777777" w:rsidR="00D170E5" w:rsidRPr="002B55E9" w:rsidRDefault="00EF27AD">
            <w:pPr>
              <w:pStyle w:val="affff6"/>
              <w:snapToGrid w:val="0"/>
              <w:rPr>
                <w:szCs w:val="18"/>
              </w:rPr>
            </w:pPr>
            <w:r w:rsidRPr="002B55E9">
              <w:rPr>
                <w:szCs w:val="18"/>
              </w:rPr>
              <w:t>30.66</w:t>
            </w:r>
            <w:r w:rsidRPr="002B55E9">
              <w:rPr>
                <w:rFonts w:hint="eastAsia"/>
                <w:szCs w:val="18"/>
              </w:rPr>
              <w:t>k</w:t>
            </w:r>
            <w:r w:rsidRPr="002B55E9">
              <w:rPr>
                <w:szCs w:val="18"/>
              </w:rPr>
              <w:t>P</w:t>
            </w:r>
            <w:r w:rsidRPr="002B55E9">
              <w:rPr>
                <w:rFonts w:hint="eastAsia"/>
                <w:szCs w:val="18"/>
              </w:rPr>
              <w:t>a</w:t>
            </w:r>
            <w:r w:rsidRPr="002B55E9">
              <w:rPr>
                <w:rFonts w:hint="eastAsia"/>
                <w:szCs w:val="18"/>
              </w:rPr>
              <w:t>（</w:t>
            </w:r>
            <w:r w:rsidRPr="002B55E9">
              <w:rPr>
                <w:rFonts w:hint="eastAsia"/>
                <w:szCs w:val="18"/>
              </w:rPr>
              <w:t>2</w:t>
            </w:r>
            <w:r w:rsidRPr="002B55E9">
              <w:rPr>
                <w:szCs w:val="18"/>
              </w:rPr>
              <w:t>1</w:t>
            </w:r>
            <w:r w:rsidRPr="002B55E9">
              <w:rPr>
                <w:rFonts w:hint="eastAsia"/>
                <w:szCs w:val="18"/>
              </w:rPr>
              <w:t>℃）</w:t>
            </w:r>
          </w:p>
        </w:tc>
        <w:tc>
          <w:tcPr>
            <w:tcW w:w="1357" w:type="dxa"/>
            <w:vAlign w:val="center"/>
          </w:tcPr>
          <w:p w14:paraId="5093C809" w14:textId="77777777" w:rsidR="00D170E5" w:rsidRPr="002B55E9" w:rsidRDefault="00EF27AD">
            <w:pPr>
              <w:pStyle w:val="affff6"/>
              <w:snapToGrid w:val="0"/>
              <w:rPr>
                <w:szCs w:val="18"/>
              </w:rPr>
            </w:pPr>
            <w:r w:rsidRPr="002B55E9">
              <w:rPr>
                <w:rFonts w:hint="eastAsia"/>
                <w:szCs w:val="18"/>
              </w:rPr>
              <w:t>燃点</w:t>
            </w:r>
          </w:p>
        </w:tc>
        <w:tc>
          <w:tcPr>
            <w:tcW w:w="3596" w:type="dxa"/>
            <w:vAlign w:val="center"/>
          </w:tcPr>
          <w:p w14:paraId="506DF230" w14:textId="77777777" w:rsidR="00D170E5" w:rsidRPr="002B55E9" w:rsidRDefault="00EF27AD">
            <w:pPr>
              <w:pStyle w:val="affff6"/>
              <w:snapToGrid w:val="0"/>
              <w:rPr>
                <w:szCs w:val="18"/>
              </w:rPr>
            </w:pPr>
            <w:r w:rsidRPr="002B55E9">
              <w:rPr>
                <w:rFonts w:hint="eastAsia"/>
                <w:szCs w:val="18"/>
              </w:rPr>
              <w:t>无意义</w:t>
            </w:r>
          </w:p>
        </w:tc>
      </w:tr>
      <w:tr w:rsidR="002B55E9" w:rsidRPr="002B55E9" w14:paraId="082F9236" w14:textId="77777777">
        <w:trPr>
          <w:trHeight w:val="284"/>
          <w:jc w:val="center"/>
        </w:trPr>
        <w:tc>
          <w:tcPr>
            <w:tcW w:w="1291" w:type="dxa"/>
            <w:vAlign w:val="center"/>
          </w:tcPr>
          <w:p w14:paraId="4974A82F" w14:textId="77777777" w:rsidR="00D170E5" w:rsidRPr="002B55E9" w:rsidRDefault="00EF27AD">
            <w:pPr>
              <w:pStyle w:val="affff6"/>
              <w:snapToGrid w:val="0"/>
              <w:rPr>
                <w:szCs w:val="18"/>
              </w:rPr>
            </w:pPr>
            <w:r w:rsidRPr="002B55E9">
              <w:rPr>
                <w:szCs w:val="18"/>
              </w:rPr>
              <w:t>健康危害</w:t>
            </w:r>
          </w:p>
        </w:tc>
        <w:tc>
          <w:tcPr>
            <w:tcW w:w="8333" w:type="dxa"/>
            <w:gridSpan w:val="3"/>
            <w:vAlign w:val="center"/>
          </w:tcPr>
          <w:p w14:paraId="1B64E19A" w14:textId="77777777" w:rsidR="00D170E5" w:rsidRPr="002B55E9" w:rsidRDefault="00EF27AD">
            <w:pPr>
              <w:pStyle w:val="affff6"/>
              <w:jc w:val="both"/>
              <w:rPr>
                <w:szCs w:val="18"/>
              </w:rPr>
            </w:pPr>
            <w:r w:rsidRPr="002B55E9">
              <w:rPr>
                <w:rFonts w:hint="eastAsia"/>
                <w:szCs w:val="18"/>
              </w:rPr>
              <w:t>接触器蒸汽或延误，可引起急性中毒，出现眼结膜炎，鼻及口腔粘膜有灼烧感，鼻衄，齿龈出血，气管炎。误服可引起消化道灼伤、溃疡形成，有可能引起胃穿孔、腹膜炎等。眼和皮肤基础可致灼伤。</w:t>
            </w:r>
          </w:p>
        </w:tc>
      </w:tr>
      <w:tr w:rsidR="002B55E9" w:rsidRPr="002B55E9" w14:paraId="1481AAC5" w14:textId="77777777">
        <w:trPr>
          <w:trHeight w:val="284"/>
          <w:jc w:val="center"/>
        </w:trPr>
        <w:tc>
          <w:tcPr>
            <w:tcW w:w="1291" w:type="dxa"/>
            <w:vAlign w:val="center"/>
          </w:tcPr>
          <w:p w14:paraId="2408DD1D" w14:textId="77777777" w:rsidR="00D170E5" w:rsidRPr="002B55E9" w:rsidRDefault="00EF27AD">
            <w:pPr>
              <w:pStyle w:val="affff6"/>
              <w:snapToGrid w:val="0"/>
              <w:rPr>
                <w:szCs w:val="18"/>
              </w:rPr>
            </w:pPr>
            <w:r w:rsidRPr="002B55E9">
              <w:rPr>
                <w:szCs w:val="18"/>
              </w:rPr>
              <w:t>毒理学资料</w:t>
            </w:r>
          </w:p>
        </w:tc>
        <w:tc>
          <w:tcPr>
            <w:tcW w:w="8333" w:type="dxa"/>
            <w:gridSpan w:val="3"/>
            <w:vAlign w:val="center"/>
          </w:tcPr>
          <w:p w14:paraId="03175D8F" w14:textId="77777777" w:rsidR="00D170E5" w:rsidRPr="002B55E9" w:rsidRDefault="00EF27AD">
            <w:pPr>
              <w:pStyle w:val="affff6"/>
              <w:snapToGrid w:val="0"/>
              <w:jc w:val="both"/>
              <w:rPr>
                <w:szCs w:val="18"/>
              </w:rPr>
            </w:pPr>
            <w:r w:rsidRPr="002B55E9">
              <w:rPr>
                <w:rFonts w:hint="eastAsia"/>
                <w:szCs w:val="18"/>
              </w:rPr>
              <w:t>L</w:t>
            </w:r>
            <w:r w:rsidRPr="002B55E9">
              <w:rPr>
                <w:szCs w:val="18"/>
              </w:rPr>
              <w:t>C50</w:t>
            </w:r>
            <w:r w:rsidRPr="002B55E9">
              <w:rPr>
                <w:rFonts w:hint="eastAsia"/>
                <w:szCs w:val="18"/>
              </w:rPr>
              <w:t>：</w:t>
            </w:r>
            <w:r w:rsidRPr="002B55E9">
              <w:rPr>
                <w:rFonts w:hint="eastAsia"/>
                <w:szCs w:val="18"/>
              </w:rPr>
              <w:t>3</w:t>
            </w:r>
            <w:r w:rsidRPr="002B55E9">
              <w:rPr>
                <w:szCs w:val="18"/>
              </w:rPr>
              <w:t>124</w:t>
            </w:r>
            <w:r w:rsidRPr="002B55E9">
              <w:rPr>
                <w:rFonts w:hint="eastAsia"/>
                <w:szCs w:val="18"/>
              </w:rPr>
              <w:t>ppm</w:t>
            </w:r>
            <w:r w:rsidRPr="002B55E9">
              <w:rPr>
                <w:rFonts w:hint="eastAsia"/>
                <w:szCs w:val="18"/>
              </w:rPr>
              <w:t>（</w:t>
            </w:r>
            <w:r w:rsidRPr="002B55E9">
              <w:rPr>
                <w:rFonts w:hint="eastAsia"/>
                <w:szCs w:val="18"/>
              </w:rPr>
              <w:t>V</w:t>
            </w:r>
            <w:r w:rsidRPr="002B55E9">
              <w:rPr>
                <w:rFonts w:hint="eastAsia"/>
                <w:szCs w:val="18"/>
              </w:rPr>
              <w:t>）</w:t>
            </w:r>
            <w:r w:rsidRPr="002B55E9">
              <w:rPr>
                <w:rFonts w:hint="eastAsia"/>
                <w:szCs w:val="18"/>
              </w:rPr>
              <w:t>/</w:t>
            </w:r>
            <w:r w:rsidRPr="002B55E9">
              <w:rPr>
                <w:szCs w:val="18"/>
              </w:rPr>
              <w:t>1</w:t>
            </w:r>
            <w:r w:rsidRPr="002B55E9">
              <w:rPr>
                <w:rFonts w:hint="eastAsia"/>
                <w:szCs w:val="18"/>
              </w:rPr>
              <w:t>h</w:t>
            </w:r>
            <w:r w:rsidRPr="002B55E9">
              <w:rPr>
                <w:rFonts w:hint="eastAsia"/>
                <w:szCs w:val="18"/>
              </w:rPr>
              <w:t>（大鼠经皮）（根据纯物质计算）；</w:t>
            </w:r>
          </w:p>
          <w:p w14:paraId="326CD705" w14:textId="77777777" w:rsidR="00D170E5" w:rsidRPr="002B55E9" w:rsidRDefault="00EF27AD">
            <w:pPr>
              <w:pStyle w:val="affff6"/>
              <w:snapToGrid w:val="0"/>
              <w:jc w:val="both"/>
              <w:rPr>
                <w:szCs w:val="18"/>
              </w:rPr>
            </w:pPr>
            <w:r w:rsidRPr="002B55E9">
              <w:rPr>
                <w:rFonts w:hint="eastAsia"/>
                <w:szCs w:val="18"/>
              </w:rPr>
              <w:t>L</w:t>
            </w:r>
            <w:r w:rsidRPr="002B55E9">
              <w:rPr>
                <w:szCs w:val="18"/>
              </w:rPr>
              <w:t>C50</w:t>
            </w:r>
            <w:r w:rsidRPr="002B55E9">
              <w:rPr>
                <w:rFonts w:hint="eastAsia"/>
                <w:szCs w:val="18"/>
              </w:rPr>
              <w:t>:</w:t>
            </w:r>
            <w:r w:rsidRPr="002B55E9">
              <w:rPr>
                <w:szCs w:val="18"/>
              </w:rPr>
              <w:t>3124ppm/1h</w:t>
            </w:r>
            <w:r w:rsidRPr="002B55E9">
              <w:rPr>
                <w:rFonts w:hint="eastAsia"/>
                <w:szCs w:val="18"/>
              </w:rPr>
              <w:t>（大鼠吸入）；</w:t>
            </w:r>
          </w:p>
        </w:tc>
      </w:tr>
    </w:tbl>
    <w:p w14:paraId="4D810AC7" w14:textId="77777777" w:rsidR="00D170E5" w:rsidRPr="002B55E9" w:rsidRDefault="00EF27AD">
      <w:pPr>
        <w:pStyle w:val="affff7"/>
      </w:pPr>
      <w:r w:rsidRPr="002B55E9">
        <w:rPr>
          <w:rFonts w:hint="eastAsia"/>
        </w:rPr>
        <w:t>③硫酸</w:t>
      </w:r>
    </w:p>
    <w:p w14:paraId="6A874B82" w14:textId="77777777" w:rsidR="00D170E5" w:rsidRPr="002B55E9" w:rsidRDefault="00EF27AD">
      <w:pPr>
        <w:pStyle w:val="1f3"/>
        <w:spacing w:beforeLines="0" w:before="0"/>
      </w:pPr>
      <w:r w:rsidRPr="002B55E9">
        <w:rPr>
          <w:rFonts w:hint="eastAsia"/>
        </w:rPr>
        <w:t>表</w:t>
      </w:r>
      <w:r w:rsidRPr="002B55E9">
        <w:t xml:space="preserve">6-1-3  </w:t>
      </w:r>
      <w:r w:rsidRPr="002B55E9">
        <w:rPr>
          <w:rFonts w:hint="eastAsia"/>
        </w:rPr>
        <w:t>硫酸主要理化性质一览表</w:t>
      </w:r>
    </w:p>
    <w:tbl>
      <w:tblPr>
        <w:tblW w:w="96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1"/>
        <w:gridCol w:w="3380"/>
        <w:gridCol w:w="1357"/>
        <w:gridCol w:w="3596"/>
      </w:tblGrid>
      <w:tr w:rsidR="002B55E9" w:rsidRPr="002B55E9" w14:paraId="31211CC2" w14:textId="77777777">
        <w:trPr>
          <w:trHeight w:val="284"/>
          <w:jc w:val="center"/>
        </w:trPr>
        <w:tc>
          <w:tcPr>
            <w:tcW w:w="1291" w:type="dxa"/>
            <w:vAlign w:val="center"/>
          </w:tcPr>
          <w:p w14:paraId="6368A48C" w14:textId="77777777" w:rsidR="00D170E5" w:rsidRPr="002B55E9" w:rsidRDefault="00EF27AD">
            <w:pPr>
              <w:pStyle w:val="affff6"/>
              <w:snapToGrid w:val="0"/>
              <w:rPr>
                <w:szCs w:val="18"/>
              </w:rPr>
            </w:pPr>
            <w:r w:rsidRPr="002B55E9">
              <w:rPr>
                <w:rFonts w:hint="eastAsia"/>
                <w:szCs w:val="18"/>
              </w:rPr>
              <w:t>中文名称</w:t>
            </w:r>
          </w:p>
        </w:tc>
        <w:tc>
          <w:tcPr>
            <w:tcW w:w="3380" w:type="dxa"/>
            <w:vAlign w:val="center"/>
          </w:tcPr>
          <w:p w14:paraId="407D8565" w14:textId="77777777" w:rsidR="00D170E5" w:rsidRPr="002B55E9" w:rsidRDefault="00EF27AD">
            <w:pPr>
              <w:pStyle w:val="affff6"/>
              <w:snapToGrid w:val="0"/>
              <w:rPr>
                <w:szCs w:val="18"/>
              </w:rPr>
            </w:pPr>
            <w:r w:rsidRPr="002B55E9">
              <w:rPr>
                <w:rFonts w:hint="eastAsia"/>
                <w:szCs w:val="18"/>
              </w:rPr>
              <w:t>硫酸</w:t>
            </w:r>
          </w:p>
        </w:tc>
        <w:tc>
          <w:tcPr>
            <w:tcW w:w="1357" w:type="dxa"/>
            <w:vAlign w:val="center"/>
          </w:tcPr>
          <w:p w14:paraId="2A735B2B" w14:textId="77777777" w:rsidR="00D170E5" w:rsidRPr="002B55E9" w:rsidRDefault="00EF27AD">
            <w:pPr>
              <w:pStyle w:val="affff6"/>
              <w:snapToGrid w:val="0"/>
              <w:rPr>
                <w:szCs w:val="18"/>
              </w:rPr>
            </w:pPr>
            <w:r w:rsidRPr="002B55E9">
              <w:rPr>
                <w:szCs w:val="18"/>
              </w:rPr>
              <w:t>CAS</w:t>
            </w:r>
            <w:r w:rsidRPr="002B55E9">
              <w:rPr>
                <w:szCs w:val="18"/>
              </w:rPr>
              <w:t>号</w:t>
            </w:r>
          </w:p>
        </w:tc>
        <w:tc>
          <w:tcPr>
            <w:tcW w:w="3596" w:type="dxa"/>
            <w:vAlign w:val="center"/>
          </w:tcPr>
          <w:p w14:paraId="267D548B" w14:textId="77777777" w:rsidR="00D170E5" w:rsidRPr="002B55E9" w:rsidRDefault="00EF27AD">
            <w:pPr>
              <w:pStyle w:val="affff6"/>
              <w:snapToGrid w:val="0"/>
              <w:rPr>
                <w:szCs w:val="18"/>
              </w:rPr>
            </w:pPr>
            <w:r w:rsidRPr="002B55E9">
              <w:t>7664-93-9</w:t>
            </w:r>
          </w:p>
        </w:tc>
      </w:tr>
      <w:tr w:rsidR="002B55E9" w:rsidRPr="002B55E9" w14:paraId="53777191" w14:textId="77777777">
        <w:trPr>
          <w:trHeight w:val="284"/>
          <w:jc w:val="center"/>
        </w:trPr>
        <w:tc>
          <w:tcPr>
            <w:tcW w:w="1291" w:type="dxa"/>
            <w:vAlign w:val="center"/>
          </w:tcPr>
          <w:p w14:paraId="5E590429" w14:textId="77777777" w:rsidR="00D170E5" w:rsidRPr="002B55E9" w:rsidRDefault="00EF27AD">
            <w:pPr>
              <w:pStyle w:val="affff6"/>
              <w:snapToGrid w:val="0"/>
              <w:rPr>
                <w:szCs w:val="18"/>
              </w:rPr>
            </w:pPr>
            <w:r w:rsidRPr="002B55E9">
              <w:rPr>
                <w:szCs w:val="18"/>
              </w:rPr>
              <w:t>分子式</w:t>
            </w:r>
          </w:p>
        </w:tc>
        <w:tc>
          <w:tcPr>
            <w:tcW w:w="3380" w:type="dxa"/>
            <w:vAlign w:val="center"/>
          </w:tcPr>
          <w:p w14:paraId="18016FE4" w14:textId="77777777" w:rsidR="00D170E5" w:rsidRPr="002B55E9" w:rsidRDefault="00EF27AD">
            <w:pPr>
              <w:pStyle w:val="affff6"/>
              <w:snapToGrid w:val="0"/>
              <w:rPr>
                <w:szCs w:val="18"/>
              </w:rPr>
            </w:pPr>
            <w:r w:rsidRPr="002B55E9">
              <w:rPr>
                <w:szCs w:val="18"/>
              </w:rPr>
              <w:t>NHO</w:t>
            </w:r>
            <w:r w:rsidRPr="002B55E9">
              <w:rPr>
                <w:szCs w:val="18"/>
                <w:vertAlign w:val="subscript"/>
              </w:rPr>
              <w:t>4</w:t>
            </w:r>
          </w:p>
        </w:tc>
        <w:tc>
          <w:tcPr>
            <w:tcW w:w="1357" w:type="dxa"/>
            <w:vAlign w:val="center"/>
          </w:tcPr>
          <w:p w14:paraId="0A2E2CE3" w14:textId="77777777" w:rsidR="00D170E5" w:rsidRPr="002B55E9" w:rsidRDefault="00EF27AD">
            <w:pPr>
              <w:pStyle w:val="affff6"/>
              <w:snapToGrid w:val="0"/>
              <w:rPr>
                <w:szCs w:val="18"/>
              </w:rPr>
            </w:pPr>
            <w:r w:rsidRPr="002B55E9">
              <w:rPr>
                <w:szCs w:val="18"/>
              </w:rPr>
              <w:t>外观与性状</w:t>
            </w:r>
          </w:p>
        </w:tc>
        <w:tc>
          <w:tcPr>
            <w:tcW w:w="3596" w:type="dxa"/>
            <w:vAlign w:val="center"/>
          </w:tcPr>
          <w:p w14:paraId="287CB6A4" w14:textId="77777777" w:rsidR="00D170E5" w:rsidRPr="002B55E9" w:rsidRDefault="00EF27AD">
            <w:pPr>
              <w:pStyle w:val="affff6"/>
              <w:snapToGrid w:val="0"/>
              <w:rPr>
                <w:szCs w:val="18"/>
              </w:rPr>
            </w:pPr>
            <w:r w:rsidRPr="002B55E9">
              <w:rPr>
                <w:rFonts w:hint="eastAsia"/>
                <w:szCs w:val="18"/>
              </w:rPr>
              <w:t>纯品为无色透明油装液体，无臭</w:t>
            </w:r>
          </w:p>
        </w:tc>
      </w:tr>
      <w:tr w:rsidR="002B55E9" w:rsidRPr="002B55E9" w14:paraId="49547057" w14:textId="77777777">
        <w:trPr>
          <w:trHeight w:val="284"/>
          <w:jc w:val="center"/>
        </w:trPr>
        <w:tc>
          <w:tcPr>
            <w:tcW w:w="1291" w:type="dxa"/>
            <w:vAlign w:val="center"/>
          </w:tcPr>
          <w:p w14:paraId="284CA62A" w14:textId="77777777" w:rsidR="00D170E5" w:rsidRPr="002B55E9" w:rsidRDefault="00EF27AD">
            <w:pPr>
              <w:pStyle w:val="affff6"/>
              <w:snapToGrid w:val="0"/>
              <w:rPr>
                <w:szCs w:val="18"/>
              </w:rPr>
            </w:pPr>
            <w:r w:rsidRPr="002B55E9">
              <w:rPr>
                <w:szCs w:val="18"/>
              </w:rPr>
              <w:t>分子量</w:t>
            </w:r>
          </w:p>
        </w:tc>
        <w:tc>
          <w:tcPr>
            <w:tcW w:w="3380" w:type="dxa"/>
            <w:vAlign w:val="center"/>
          </w:tcPr>
          <w:p w14:paraId="1F8F4E9C" w14:textId="77777777" w:rsidR="00D170E5" w:rsidRPr="002B55E9" w:rsidRDefault="00EF27AD">
            <w:pPr>
              <w:pStyle w:val="affff6"/>
              <w:snapToGrid w:val="0"/>
              <w:rPr>
                <w:szCs w:val="18"/>
              </w:rPr>
            </w:pPr>
            <w:r w:rsidRPr="002B55E9">
              <w:t>98.08</w:t>
            </w:r>
          </w:p>
        </w:tc>
        <w:tc>
          <w:tcPr>
            <w:tcW w:w="1357" w:type="dxa"/>
            <w:vAlign w:val="center"/>
          </w:tcPr>
          <w:p w14:paraId="57C776BC" w14:textId="77777777" w:rsidR="00D170E5" w:rsidRPr="002B55E9" w:rsidRDefault="00EF27AD">
            <w:pPr>
              <w:pStyle w:val="affff6"/>
              <w:snapToGrid w:val="0"/>
              <w:rPr>
                <w:szCs w:val="18"/>
              </w:rPr>
            </w:pPr>
            <w:r w:rsidRPr="002B55E9">
              <w:rPr>
                <w:szCs w:val="18"/>
              </w:rPr>
              <w:t>闪点</w:t>
            </w:r>
          </w:p>
        </w:tc>
        <w:tc>
          <w:tcPr>
            <w:tcW w:w="3596" w:type="dxa"/>
            <w:vAlign w:val="center"/>
          </w:tcPr>
          <w:p w14:paraId="1A22EFC1" w14:textId="77777777" w:rsidR="00D170E5" w:rsidRPr="002B55E9" w:rsidRDefault="00EF27AD">
            <w:pPr>
              <w:pStyle w:val="affff6"/>
              <w:snapToGrid w:val="0"/>
              <w:rPr>
                <w:szCs w:val="18"/>
              </w:rPr>
            </w:pPr>
            <w:r w:rsidRPr="002B55E9">
              <w:rPr>
                <w:szCs w:val="18"/>
              </w:rPr>
              <w:t>/</w:t>
            </w:r>
          </w:p>
        </w:tc>
      </w:tr>
      <w:tr w:rsidR="002B55E9" w:rsidRPr="002B55E9" w14:paraId="0257179C" w14:textId="77777777">
        <w:trPr>
          <w:trHeight w:val="284"/>
          <w:jc w:val="center"/>
        </w:trPr>
        <w:tc>
          <w:tcPr>
            <w:tcW w:w="1291" w:type="dxa"/>
            <w:vAlign w:val="center"/>
          </w:tcPr>
          <w:p w14:paraId="4766A068" w14:textId="77777777" w:rsidR="00D170E5" w:rsidRPr="002B55E9" w:rsidRDefault="00EF27AD">
            <w:pPr>
              <w:pStyle w:val="affff6"/>
              <w:snapToGrid w:val="0"/>
              <w:rPr>
                <w:szCs w:val="18"/>
              </w:rPr>
            </w:pPr>
            <w:r w:rsidRPr="002B55E9">
              <w:rPr>
                <w:szCs w:val="18"/>
              </w:rPr>
              <w:t>熔</w:t>
            </w:r>
            <w:r w:rsidRPr="002B55E9">
              <w:rPr>
                <w:szCs w:val="18"/>
              </w:rPr>
              <w:t xml:space="preserve">  </w:t>
            </w:r>
            <w:r w:rsidRPr="002B55E9">
              <w:rPr>
                <w:szCs w:val="18"/>
              </w:rPr>
              <w:t>点</w:t>
            </w:r>
          </w:p>
        </w:tc>
        <w:tc>
          <w:tcPr>
            <w:tcW w:w="3380" w:type="dxa"/>
            <w:vAlign w:val="center"/>
          </w:tcPr>
          <w:p w14:paraId="472497B6" w14:textId="77777777" w:rsidR="00D170E5" w:rsidRPr="002B55E9" w:rsidRDefault="00EF27AD">
            <w:pPr>
              <w:pStyle w:val="affff6"/>
              <w:snapToGrid w:val="0"/>
              <w:rPr>
                <w:szCs w:val="18"/>
              </w:rPr>
            </w:pPr>
            <w:r w:rsidRPr="002B55E9">
              <w:rPr>
                <w:spacing w:val="8"/>
                <w:szCs w:val="18"/>
              </w:rPr>
              <w:t>10.5</w:t>
            </w:r>
            <w:r w:rsidRPr="002B55E9">
              <w:rPr>
                <w:rFonts w:hAnsi="宋体"/>
                <w:spacing w:val="8"/>
                <w:szCs w:val="18"/>
              </w:rPr>
              <w:t>℃</w:t>
            </w:r>
          </w:p>
        </w:tc>
        <w:tc>
          <w:tcPr>
            <w:tcW w:w="1357" w:type="dxa"/>
            <w:vAlign w:val="center"/>
          </w:tcPr>
          <w:p w14:paraId="61DD0A77" w14:textId="77777777" w:rsidR="00D170E5" w:rsidRPr="002B55E9" w:rsidRDefault="00EF27AD">
            <w:pPr>
              <w:pStyle w:val="affff6"/>
              <w:snapToGrid w:val="0"/>
              <w:rPr>
                <w:szCs w:val="18"/>
              </w:rPr>
            </w:pPr>
            <w:r w:rsidRPr="002B55E9">
              <w:rPr>
                <w:rFonts w:hAnsi="Arial"/>
                <w:spacing w:val="8"/>
                <w:szCs w:val="18"/>
              </w:rPr>
              <w:t>沸点</w:t>
            </w:r>
          </w:p>
        </w:tc>
        <w:tc>
          <w:tcPr>
            <w:tcW w:w="3596" w:type="dxa"/>
            <w:vAlign w:val="center"/>
          </w:tcPr>
          <w:p w14:paraId="77E75FE7" w14:textId="77777777" w:rsidR="00D170E5" w:rsidRPr="002B55E9" w:rsidRDefault="00EF27AD">
            <w:pPr>
              <w:pStyle w:val="affff6"/>
              <w:snapToGrid w:val="0"/>
              <w:rPr>
                <w:szCs w:val="18"/>
              </w:rPr>
            </w:pPr>
            <w:r w:rsidRPr="002B55E9">
              <w:rPr>
                <w:spacing w:val="8"/>
                <w:szCs w:val="18"/>
              </w:rPr>
              <w:t>330</w:t>
            </w:r>
            <w:r w:rsidRPr="002B55E9">
              <w:rPr>
                <w:rFonts w:hAnsi="宋体" w:hint="eastAsia"/>
                <w:spacing w:val="8"/>
                <w:szCs w:val="18"/>
              </w:rPr>
              <w:t>℃</w:t>
            </w:r>
          </w:p>
        </w:tc>
      </w:tr>
      <w:tr w:rsidR="002B55E9" w:rsidRPr="002B55E9" w14:paraId="3A202E05" w14:textId="77777777">
        <w:trPr>
          <w:trHeight w:val="284"/>
          <w:jc w:val="center"/>
        </w:trPr>
        <w:tc>
          <w:tcPr>
            <w:tcW w:w="1291" w:type="dxa"/>
            <w:vAlign w:val="center"/>
          </w:tcPr>
          <w:p w14:paraId="6231645B" w14:textId="77777777" w:rsidR="00D170E5" w:rsidRPr="002B55E9" w:rsidRDefault="00EF27AD">
            <w:pPr>
              <w:pStyle w:val="affff6"/>
              <w:snapToGrid w:val="0"/>
              <w:rPr>
                <w:szCs w:val="18"/>
              </w:rPr>
            </w:pPr>
            <w:r w:rsidRPr="002B55E9">
              <w:rPr>
                <w:szCs w:val="18"/>
              </w:rPr>
              <w:t>密</w:t>
            </w:r>
            <w:r w:rsidRPr="002B55E9">
              <w:rPr>
                <w:szCs w:val="18"/>
              </w:rPr>
              <w:t xml:space="preserve">  </w:t>
            </w:r>
            <w:r w:rsidRPr="002B55E9">
              <w:rPr>
                <w:szCs w:val="18"/>
              </w:rPr>
              <w:t>度</w:t>
            </w:r>
          </w:p>
        </w:tc>
        <w:tc>
          <w:tcPr>
            <w:tcW w:w="3380" w:type="dxa"/>
            <w:vAlign w:val="center"/>
          </w:tcPr>
          <w:p w14:paraId="1BE3E91B" w14:textId="77777777" w:rsidR="00D170E5" w:rsidRPr="002B55E9" w:rsidRDefault="00EF27AD">
            <w:pPr>
              <w:pStyle w:val="affff6"/>
              <w:snapToGrid w:val="0"/>
              <w:rPr>
                <w:szCs w:val="18"/>
              </w:rPr>
            </w:pPr>
            <w:r w:rsidRPr="002B55E9">
              <w:rPr>
                <w:szCs w:val="18"/>
              </w:rPr>
              <w:t>1.83</w:t>
            </w:r>
            <w:r w:rsidRPr="002B55E9">
              <w:rPr>
                <w:szCs w:val="18"/>
              </w:rPr>
              <w:t>（相对于水）</w:t>
            </w:r>
          </w:p>
        </w:tc>
        <w:tc>
          <w:tcPr>
            <w:tcW w:w="1357" w:type="dxa"/>
            <w:vAlign w:val="center"/>
          </w:tcPr>
          <w:p w14:paraId="11726676" w14:textId="77777777" w:rsidR="00D170E5" w:rsidRPr="002B55E9" w:rsidRDefault="00EF27AD">
            <w:pPr>
              <w:pStyle w:val="affff6"/>
              <w:snapToGrid w:val="0"/>
              <w:rPr>
                <w:szCs w:val="18"/>
              </w:rPr>
            </w:pPr>
            <w:r w:rsidRPr="002B55E9">
              <w:rPr>
                <w:szCs w:val="18"/>
              </w:rPr>
              <w:t>溶解性</w:t>
            </w:r>
          </w:p>
        </w:tc>
        <w:tc>
          <w:tcPr>
            <w:tcW w:w="3596" w:type="dxa"/>
            <w:vAlign w:val="center"/>
          </w:tcPr>
          <w:p w14:paraId="6CD17270" w14:textId="77777777" w:rsidR="00D170E5" w:rsidRPr="002B55E9" w:rsidRDefault="00EF27AD">
            <w:pPr>
              <w:pStyle w:val="affff6"/>
              <w:snapToGrid w:val="0"/>
              <w:rPr>
                <w:szCs w:val="18"/>
              </w:rPr>
            </w:pPr>
            <w:r w:rsidRPr="002B55E9">
              <w:rPr>
                <w:rFonts w:hint="eastAsia"/>
                <w:szCs w:val="18"/>
              </w:rPr>
              <w:t>与水混溶</w:t>
            </w:r>
          </w:p>
        </w:tc>
      </w:tr>
      <w:tr w:rsidR="002B55E9" w:rsidRPr="002B55E9" w14:paraId="555A07AF" w14:textId="77777777">
        <w:trPr>
          <w:trHeight w:val="284"/>
          <w:jc w:val="center"/>
        </w:trPr>
        <w:tc>
          <w:tcPr>
            <w:tcW w:w="1291" w:type="dxa"/>
            <w:vAlign w:val="center"/>
          </w:tcPr>
          <w:p w14:paraId="7F924F0D" w14:textId="77777777" w:rsidR="00D170E5" w:rsidRPr="002B55E9" w:rsidRDefault="00EF27AD">
            <w:pPr>
              <w:pStyle w:val="affff6"/>
              <w:snapToGrid w:val="0"/>
              <w:rPr>
                <w:szCs w:val="18"/>
              </w:rPr>
            </w:pPr>
            <w:r w:rsidRPr="002B55E9">
              <w:rPr>
                <w:rFonts w:hint="eastAsia"/>
                <w:szCs w:val="18"/>
              </w:rPr>
              <w:t>饱和蒸汽压</w:t>
            </w:r>
          </w:p>
        </w:tc>
        <w:tc>
          <w:tcPr>
            <w:tcW w:w="3380" w:type="dxa"/>
            <w:vAlign w:val="center"/>
          </w:tcPr>
          <w:p w14:paraId="2AEFB2BD" w14:textId="77777777" w:rsidR="00D170E5" w:rsidRPr="002B55E9" w:rsidRDefault="00EF27AD">
            <w:pPr>
              <w:pStyle w:val="affff6"/>
              <w:snapToGrid w:val="0"/>
              <w:rPr>
                <w:szCs w:val="18"/>
              </w:rPr>
            </w:pPr>
            <w:r w:rsidRPr="002B55E9">
              <w:rPr>
                <w:szCs w:val="18"/>
              </w:rPr>
              <w:t>3.4</w:t>
            </w:r>
          </w:p>
        </w:tc>
        <w:tc>
          <w:tcPr>
            <w:tcW w:w="1357" w:type="dxa"/>
            <w:vAlign w:val="center"/>
          </w:tcPr>
          <w:p w14:paraId="48A8D0CE" w14:textId="77777777" w:rsidR="00D170E5" w:rsidRPr="002B55E9" w:rsidRDefault="00EF27AD">
            <w:pPr>
              <w:pStyle w:val="affff6"/>
              <w:snapToGrid w:val="0"/>
              <w:rPr>
                <w:szCs w:val="18"/>
              </w:rPr>
            </w:pPr>
            <w:r w:rsidRPr="002B55E9">
              <w:rPr>
                <w:rFonts w:hint="eastAsia"/>
                <w:szCs w:val="18"/>
              </w:rPr>
              <w:t>燃点</w:t>
            </w:r>
          </w:p>
        </w:tc>
        <w:tc>
          <w:tcPr>
            <w:tcW w:w="3596" w:type="dxa"/>
            <w:vAlign w:val="center"/>
          </w:tcPr>
          <w:p w14:paraId="0F5F4801" w14:textId="77777777" w:rsidR="00D170E5" w:rsidRPr="002B55E9" w:rsidRDefault="00EF27AD">
            <w:pPr>
              <w:pStyle w:val="affff6"/>
              <w:snapToGrid w:val="0"/>
              <w:rPr>
                <w:szCs w:val="18"/>
              </w:rPr>
            </w:pPr>
            <w:r w:rsidRPr="002B55E9">
              <w:rPr>
                <w:rFonts w:hint="eastAsia"/>
                <w:szCs w:val="18"/>
              </w:rPr>
              <w:t>/</w:t>
            </w:r>
          </w:p>
        </w:tc>
      </w:tr>
      <w:tr w:rsidR="002B55E9" w:rsidRPr="002B55E9" w14:paraId="6BD4ACB0" w14:textId="77777777">
        <w:trPr>
          <w:trHeight w:val="284"/>
          <w:jc w:val="center"/>
        </w:trPr>
        <w:tc>
          <w:tcPr>
            <w:tcW w:w="1291" w:type="dxa"/>
            <w:vAlign w:val="center"/>
          </w:tcPr>
          <w:p w14:paraId="79E59CB0" w14:textId="77777777" w:rsidR="00D170E5" w:rsidRPr="002B55E9" w:rsidRDefault="00EF27AD">
            <w:pPr>
              <w:pStyle w:val="affff6"/>
              <w:snapToGrid w:val="0"/>
              <w:rPr>
                <w:szCs w:val="18"/>
              </w:rPr>
            </w:pPr>
            <w:r w:rsidRPr="002B55E9">
              <w:rPr>
                <w:szCs w:val="18"/>
              </w:rPr>
              <w:t>健康危害</w:t>
            </w:r>
          </w:p>
        </w:tc>
        <w:tc>
          <w:tcPr>
            <w:tcW w:w="8333" w:type="dxa"/>
            <w:gridSpan w:val="3"/>
            <w:vAlign w:val="center"/>
          </w:tcPr>
          <w:p w14:paraId="78B8FD27" w14:textId="77777777" w:rsidR="00D170E5" w:rsidRPr="002B55E9" w:rsidRDefault="00EF27AD">
            <w:pPr>
              <w:pStyle w:val="affff6"/>
              <w:jc w:val="both"/>
              <w:rPr>
                <w:szCs w:val="18"/>
              </w:rPr>
            </w:pPr>
            <w:r w:rsidRPr="002B55E9">
              <w:rPr>
                <w:rFonts w:hint="eastAsia"/>
                <w:szCs w:val="18"/>
              </w:rPr>
              <w:t>对皮肤、粘膜等组织有强烈的刺激和腐蚀作用，蒸汽或雾可引起结膜炎、结膜水肿、角膜混浊、以致失明；引起呼吸道刺激，重者发生呼吸困难和肺水肿；高浓度引起喉痉挛货声门水肿而窒息死亡。口服后引起消化道烧伤以致溃疡形成；严重者可能有胃穿孔、腹膜炎、肾损害、休克等。皮肤灼伤轻者出现红斑、重者形成溃疡，愈后瘢痕收缩影响功能。溅入眼内可造成灼伤，甚至角膜穿孔、全眼炎以致失明。慢性影响：牙齿酸腐蚀症、慢性支气管炎、肺气肿和肺硬化。</w:t>
            </w:r>
          </w:p>
        </w:tc>
      </w:tr>
      <w:tr w:rsidR="002B55E9" w:rsidRPr="002B55E9" w14:paraId="525DEE82" w14:textId="77777777">
        <w:trPr>
          <w:trHeight w:val="284"/>
          <w:jc w:val="center"/>
        </w:trPr>
        <w:tc>
          <w:tcPr>
            <w:tcW w:w="1291" w:type="dxa"/>
            <w:vAlign w:val="center"/>
          </w:tcPr>
          <w:p w14:paraId="58F1CEF4" w14:textId="77777777" w:rsidR="00D170E5" w:rsidRPr="002B55E9" w:rsidRDefault="00EF27AD">
            <w:pPr>
              <w:pStyle w:val="affff6"/>
              <w:snapToGrid w:val="0"/>
              <w:rPr>
                <w:szCs w:val="18"/>
              </w:rPr>
            </w:pPr>
            <w:r w:rsidRPr="002B55E9">
              <w:rPr>
                <w:szCs w:val="18"/>
              </w:rPr>
              <w:t>毒理学资料</w:t>
            </w:r>
          </w:p>
        </w:tc>
        <w:tc>
          <w:tcPr>
            <w:tcW w:w="8333" w:type="dxa"/>
            <w:gridSpan w:val="3"/>
            <w:vAlign w:val="center"/>
          </w:tcPr>
          <w:p w14:paraId="4F9D3996" w14:textId="77777777" w:rsidR="00D170E5" w:rsidRPr="002B55E9" w:rsidRDefault="00EF27AD">
            <w:pPr>
              <w:pStyle w:val="affff6"/>
              <w:snapToGrid w:val="0"/>
              <w:jc w:val="both"/>
              <w:rPr>
                <w:szCs w:val="18"/>
              </w:rPr>
            </w:pPr>
            <w:r w:rsidRPr="002B55E9">
              <w:rPr>
                <w:rFonts w:hint="eastAsia"/>
                <w:szCs w:val="18"/>
              </w:rPr>
              <w:t>L</w:t>
            </w:r>
            <w:r w:rsidRPr="002B55E9">
              <w:rPr>
                <w:szCs w:val="18"/>
              </w:rPr>
              <w:t>D50</w:t>
            </w:r>
            <w:r w:rsidRPr="002B55E9">
              <w:rPr>
                <w:rFonts w:hint="eastAsia"/>
                <w:szCs w:val="18"/>
              </w:rPr>
              <w:t>：</w:t>
            </w:r>
            <w:r w:rsidRPr="002B55E9">
              <w:rPr>
                <w:rFonts w:hint="eastAsia"/>
                <w:szCs w:val="18"/>
              </w:rPr>
              <w:t>2</w:t>
            </w:r>
            <w:r w:rsidRPr="002B55E9">
              <w:rPr>
                <w:szCs w:val="18"/>
              </w:rPr>
              <w:t>140</w:t>
            </w:r>
            <w:r w:rsidRPr="002B55E9">
              <w:rPr>
                <w:rFonts w:hint="eastAsia"/>
                <w:szCs w:val="18"/>
              </w:rPr>
              <w:t>mg</w:t>
            </w:r>
            <w:r w:rsidRPr="002B55E9">
              <w:rPr>
                <w:szCs w:val="18"/>
              </w:rPr>
              <w:t>/</w:t>
            </w:r>
            <w:r w:rsidRPr="002B55E9">
              <w:rPr>
                <w:rFonts w:hint="eastAsia"/>
                <w:szCs w:val="18"/>
              </w:rPr>
              <w:t>kg</w:t>
            </w:r>
            <w:r w:rsidRPr="002B55E9">
              <w:rPr>
                <w:rFonts w:hint="eastAsia"/>
                <w:szCs w:val="18"/>
              </w:rPr>
              <w:t>（大鼠经口）；</w:t>
            </w:r>
          </w:p>
          <w:p w14:paraId="5DB70C40" w14:textId="77777777" w:rsidR="00D170E5" w:rsidRPr="002B55E9" w:rsidRDefault="00EF27AD">
            <w:pPr>
              <w:pStyle w:val="affff6"/>
              <w:snapToGrid w:val="0"/>
              <w:jc w:val="both"/>
              <w:rPr>
                <w:szCs w:val="18"/>
              </w:rPr>
            </w:pPr>
            <w:r w:rsidRPr="002B55E9">
              <w:rPr>
                <w:rFonts w:hint="eastAsia"/>
                <w:szCs w:val="18"/>
              </w:rPr>
              <w:t>L</w:t>
            </w:r>
            <w:r w:rsidRPr="002B55E9">
              <w:rPr>
                <w:szCs w:val="18"/>
              </w:rPr>
              <w:t>C50</w:t>
            </w:r>
            <w:r w:rsidRPr="002B55E9">
              <w:rPr>
                <w:rFonts w:hint="eastAsia"/>
                <w:szCs w:val="18"/>
              </w:rPr>
              <w:t>：</w:t>
            </w:r>
            <w:r w:rsidRPr="002B55E9">
              <w:rPr>
                <w:rFonts w:hint="eastAsia"/>
                <w:szCs w:val="18"/>
              </w:rPr>
              <w:t>5</w:t>
            </w:r>
            <w:r w:rsidRPr="002B55E9">
              <w:rPr>
                <w:szCs w:val="18"/>
              </w:rPr>
              <w:t>10</w:t>
            </w:r>
            <w:r w:rsidRPr="002B55E9">
              <w:rPr>
                <w:rFonts w:hint="eastAsia"/>
                <w:szCs w:val="18"/>
              </w:rPr>
              <w:t>mg</w:t>
            </w:r>
            <w:r w:rsidRPr="002B55E9">
              <w:rPr>
                <w:szCs w:val="18"/>
              </w:rPr>
              <w:t>/</w:t>
            </w:r>
            <w:r w:rsidRPr="002B55E9">
              <w:rPr>
                <w:rFonts w:hint="eastAsia"/>
                <w:szCs w:val="18"/>
              </w:rPr>
              <w:t>m</w:t>
            </w:r>
            <w:r w:rsidRPr="002B55E9">
              <w:rPr>
                <w:szCs w:val="18"/>
                <w:vertAlign w:val="superscript"/>
              </w:rPr>
              <w:t>3</w:t>
            </w:r>
            <w:r w:rsidRPr="002B55E9">
              <w:rPr>
                <w:rFonts w:hint="eastAsia"/>
                <w:szCs w:val="18"/>
              </w:rPr>
              <w:t>，</w:t>
            </w:r>
            <w:r w:rsidRPr="002B55E9">
              <w:rPr>
                <w:rFonts w:hint="eastAsia"/>
                <w:szCs w:val="18"/>
              </w:rPr>
              <w:t>2</w:t>
            </w:r>
            <w:r w:rsidRPr="002B55E9">
              <w:rPr>
                <w:rFonts w:hint="eastAsia"/>
                <w:szCs w:val="18"/>
              </w:rPr>
              <w:t>小时（大鼠吸入）；</w:t>
            </w:r>
            <w:r w:rsidRPr="002B55E9">
              <w:rPr>
                <w:rFonts w:hint="eastAsia"/>
                <w:szCs w:val="18"/>
              </w:rPr>
              <w:t>3</w:t>
            </w:r>
            <w:r w:rsidRPr="002B55E9">
              <w:rPr>
                <w:szCs w:val="18"/>
              </w:rPr>
              <w:t>20</w:t>
            </w:r>
            <w:r w:rsidRPr="002B55E9">
              <w:rPr>
                <w:rFonts w:hint="eastAsia"/>
                <w:szCs w:val="18"/>
              </w:rPr>
              <w:t>mg</w:t>
            </w:r>
            <w:r w:rsidRPr="002B55E9">
              <w:rPr>
                <w:szCs w:val="18"/>
              </w:rPr>
              <w:t>/</w:t>
            </w:r>
            <w:r w:rsidRPr="002B55E9">
              <w:rPr>
                <w:rFonts w:hint="eastAsia"/>
                <w:szCs w:val="18"/>
              </w:rPr>
              <w:t>m</w:t>
            </w:r>
            <w:r w:rsidRPr="002B55E9">
              <w:rPr>
                <w:szCs w:val="18"/>
                <w:vertAlign w:val="superscript"/>
              </w:rPr>
              <w:t>3</w:t>
            </w:r>
            <w:r w:rsidRPr="002B55E9">
              <w:rPr>
                <w:rFonts w:hint="eastAsia"/>
                <w:szCs w:val="18"/>
              </w:rPr>
              <w:t>，</w:t>
            </w:r>
            <w:r w:rsidRPr="002B55E9">
              <w:rPr>
                <w:rFonts w:hint="eastAsia"/>
                <w:szCs w:val="18"/>
              </w:rPr>
              <w:t>2</w:t>
            </w:r>
            <w:r w:rsidRPr="002B55E9">
              <w:rPr>
                <w:rFonts w:hint="eastAsia"/>
                <w:szCs w:val="18"/>
              </w:rPr>
              <w:t>小时（小鼠吸入）</w:t>
            </w:r>
          </w:p>
        </w:tc>
      </w:tr>
    </w:tbl>
    <w:p w14:paraId="7893C358" w14:textId="77777777" w:rsidR="00D170E5" w:rsidRPr="002B55E9" w:rsidRDefault="00EF27AD">
      <w:pPr>
        <w:pStyle w:val="affff7"/>
      </w:pPr>
      <w:r w:rsidRPr="002B55E9">
        <w:rPr>
          <w:rFonts w:hint="eastAsia"/>
        </w:rPr>
        <w:t>③硝酸</w:t>
      </w:r>
    </w:p>
    <w:p w14:paraId="57BA0A2B" w14:textId="77777777" w:rsidR="00D170E5" w:rsidRPr="002B55E9" w:rsidRDefault="00EF27AD">
      <w:pPr>
        <w:pStyle w:val="1f3"/>
        <w:spacing w:beforeLines="0" w:before="0"/>
      </w:pPr>
      <w:r w:rsidRPr="002B55E9">
        <w:rPr>
          <w:rFonts w:hint="eastAsia"/>
        </w:rPr>
        <w:t>表</w:t>
      </w:r>
      <w:r w:rsidRPr="002B55E9">
        <w:t xml:space="preserve">6-1-4  </w:t>
      </w:r>
      <w:r w:rsidRPr="002B55E9">
        <w:rPr>
          <w:rFonts w:hint="eastAsia"/>
        </w:rPr>
        <w:t>硝酸主要理化性质一览表</w:t>
      </w:r>
    </w:p>
    <w:tbl>
      <w:tblPr>
        <w:tblW w:w="962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1"/>
        <w:gridCol w:w="3380"/>
        <w:gridCol w:w="1357"/>
        <w:gridCol w:w="3596"/>
      </w:tblGrid>
      <w:tr w:rsidR="002B55E9" w:rsidRPr="002B55E9" w14:paraId="145F143D" w14:textId="77777777">
        <w:trPr>
          <w:trHeight w:val="284"/>
          <w:jc w:val="center"/>
        </w:trPr>
        <w:tc>
          <w:tcPr>
            <w:tcW w:w="1291" w:type="dxa"/>
            <w:vAlign w:val="center"/>
          </w:tcPr>
          <w:p w14:paraId="1724EF90" w14:textId="77777777" w:rsidR="00D170E5" w:rsidRPr="002B55E9" w:rsidRDefault="00EF27AD">
            <w:pPr>
              <w:pStyle w:val="affff6"/>
              <w:snapToGrid w:val="0"/>
              <w:rPr>
                <w:szCs w:val="18"/>
              </w:rPr>
            </w:pPr>
            <w:r w:rsidRPr="002B55E9">
              <w:rPr>
                <w:rFonts w:hint="eastAsia"/>
                <w:szCs w:val="18"/>
              </w:rPr>
              <w:t>中文名称</w:t>
            </w:r>
          </w:p>
        </w:tc>
        <w:tc>
          <w:tcPr>
            <w:tcW w:w="3380" w:type="dxa"/>
            <w:vAlign w:val="center"/>
          </w:tcPr>
          <w:p w14:paraId="7F0715EA" w14:textId="77777777" w:rsidR="00D170E5" w:rsidRPr="002B55E9" w:rsidRDefault="00EF27AD">
            <w:pPr>
              <w:pStyle w:val="affff6"/>
              <w:snapToGrid w:val="0"/>
              <w:rPr>
                <w:szCs w:val="18"/>
              </w:rPr>
            </w:pPr>
            <w:r w:rsidRPr="002B55E9">
              <w:rPr>
                <w:rFonts w:hint="eastAsia"/>
                <w:szCs w:val="18"/>
              </w:rPr>
              <w:t>硝酸</w:t>
            </w:r>
          </w:p>
        </w:tc>
        <w:tc>
          <w:tcPr>
            <w:tcW w:w="1357" w:type="dxa"/>
            <w:vAlign w:val="center"/>
          </w:tcPr>
          <w:p w14:paraId="4DE0B176" w14:textId="77777777" w:rsidR="00D170E5" w:rsidRPr="002B55E9" w:rsidRDefault="00EF27AD">
            <w:pPr>
              <w:pStyle w:val="affff6"/>
              <w:snapToGrid w:val="0"/>
              <w:rPr>
                <w:szCs w:val="18"/>
              </w:rPr>
            </w:pPr>
            <w:r w:rsidRPr="002B55E9">
              <w:rPr>
                <w:szCs w:val="18"/>
              </w:rPr>
              <w:t>CAS</w:t>
            </w:r>
            <w:r w:rsidRPr="002B55E9">
              <w:rPr>
                <w:szCs w:val="18"/>
              </w:rPr>
              <w:t>号</w:t>
            </w:r>
          </w:p>
        </w:tc>
        <w:tc>
          <w:tcPr>
            <w:tcW w:w="3596" w:type="dxa"/>
            <w:vAlign w:val="center"/>
          </w:tcPr>
          <w:p w14:paraId="4004D4A8" w14:textId="77777777" w:rsidR="00D170E5" w:rsidRPr="002B55E9" w:rsidRDefault="00EF27AD">
            <w:pPr>
              <w:pStyle w:val="affff6"/>
              <w:snapToGrid w:val="0"/>
              <w:rPr>
                <w:szCs w:val="18"/>
              </w:rPr>
            </w:pPr>
            <w:r w:rsidRPr="002B55E9">
              <w:rPr>
                <w:rFonts w:hint="eastAsia"/>
                <w:szCs w:val="18"/>
              </w:rPr>
              <w:t>7697-37-2</w:t>
            </w:r>
          </w:p>
        </w:tc>
      </w:tr>
      <w:tr w:rsidR="002B55E9" w:rsidRPr="002B55E9" w14:paraId="61D574C2" w14:textId="77777777">
        <w:trPr>
          <w:trHeight w:val="284"/>
          <w:jc w:val="center"/>
        </w:trPr>
        <w:tc>
          <w:tcPr>
            <w:tcW w:w="1291" w:type="dxa"/>
            <w:vAlign w:val="center"/>
          </w:tcPr>
          <w:p w14:paraId="1E982E85" w14:textId="77777777" w:rsidR="00D170E5" w:rsidRPr="002B55E9" w:rsidRDefault="00EF27AD">
            <w:pPr>
              <w:pStyle w:val="affff6"/>
              <w:snapToGrid w:val="0"/>
              <w:rPr>
                <w:szCs w:val="18"/>
              </w:rPr>
            </w:pPr>
            <w:r w:rsidRPr="002B55E9">
              <w:rPr>
                <w:szCs w:val="18"/>
              </w:rPr>
              <w:t>分子式</w:t>
            </w:r>
          </w:p>
        </w:tc>
        <w:tc>
          <w:tcPr>
            <w:tcW w:w="3380" w:type="dxa"/>
            <w:vAlign w:val="center"/>
          </w:tcPr>
          <w:p w14:paraId="4F3D6D4C" w14:textId="77777777" w:rsidR="00D170E5" w:rsidRPr="002B55E9" w:rsidRDefault="00EF27AD">
            <w:pPr>
              <w:pStyle w:val="affff6"/>
              <w:snapToGrid w:val="0"/>
              <w:rPr>
                <w:szCs w:val="18"/>
              </w:rPr>
            </w:pPr>
            <w:r w:rsidRPr="002B55E9">
              <w:rPr>
                <w:rFonts w:hint="eastAsia"/>
                <w:szCs w:val="18"/>
              </w:rPr>
              <w:t>HNO</w:t>
            </w:r>
            <w:r w:rsidRPr="002B55E9">
              <w:rPr>
                <w:szCs w:val="18"/>
                <w:vertAlign w:val="subscript"/>
              </w:rPr>
              <w:t>3</w:t>
            </w:r>
          </w:p>
        </w:tc>
        <w:tc>
          <w:tcPr>
            <w:tcW w:w="1357" w:type="dxa"/>
            <w:vAlign w:val="center"/>
          </w:tcPr>
          <w:p w14:paraId="0296D34E" w14:textId="77777777" w:rsidR="00D170E5" w:rsidRPr="002B55E9" w:rsidRDefault="00EF27AD">
            <w:pPr>
              <w:pStyle w:val="affff6"/>
              <w:snapToGrid w:val="0"/>
              <w:rPr>
                <w:szCs w:val="18"/>
              </w:rPr>
            </w:pPr>
            <w:r w:rsidRPr="002B55E9">
              <w:rPr>
                <w:szCs w:val="18"/>
              </w:rPr>
              <w:t>外观与性状</w:t>
            </w:r>
          </w:p>
        </w:tc>
        <w:tc>
          <w:tcPr>
            <w:tcW w:w="3596" w:type="dxa"/>
            <w:vAlign w:val="center"/>
          </w:tcPr>
          <w:p w14:paraId="6F3510E1" w14:textId="77777777" w:rsidR="00D170E5" w:rsidRPr="002B55E9" w:rsidRDefault="00EF27AD">
            <w:pPr>
              <w:pStyle w:val="affff6"/>
              <w:snapToGrid w:val="0"/>
              <w:rPr>
                <w:szCs w:val="18"/>
              </w:rPr>
            </w:pPr>
            <w:r w:rsidRPr="002B55E9">
              <w:rPr>
                <w:rFonts w:hint="eastAsia"/>
                <w:szCs w:val="18"/>
              </w:rPr>
              <w:t>无色</w:t>
            </w:r>
            <w:r w:rsidRPr="002B55E9">
              <w:rPr>
                <w:szCs w:val="18"/>
              </w:rPr>
              <w:t>液体</w:t>
            </w:r>
          </w:p>
        </w:tc>
      </w:tr>
      <w:tr w:rsidR="002B55E9" w:rsidRPr="002B55E9" w14:paraId="634D2959" w14:textId="77777777">
        <w:trPr>
          <w:trHeight w:val="284"/>
          <w:jc w:val="center"/>
        </w:trPr>
        <w:tc>
          <w:tcPr>
            <w:tcW w:w="1291" w:type="dxa"/>
            <w:vAlign w:val="center"/>
          </w:tcPr>
          <w:p w14:paraId="54ED3255" w14:textId="77777777" w:rsidR="00D170E5" w:rsidRPr="002B55E9" w:rsidRDefault="00EF27AD">
            <w:pPr>
              <w:pStyle w:val="affff6"/>
              <w:snapToGrid w:val="0"/>
              <w:rPr>
                <w:szCs w:val="18"/>
              </w:rPr>
            </w:pPr>
            <w:r w:rsidRPr="002B55E9">
              <w:rPr>
                <w:szCs w:val="18"/>
              </w:rPr>
              <w:t>分子量</w:t>
            </w:r>
          </w:p>
        </w:tc>
        <w:tc>
          <w:tcPr>
            <w:tcW w:w="3380" w:type="dxa"/>
            <w:vAlign w:val="center"/>
          </w:tcPr>
          <w:p w14:paraId="2AB0CA63" w14:textId="77777777" w:rsidR="00D170E5" w:rsidRPr="002B55E9" w:rsidRDefault="00EF27AD">
            <w:pPr>
              <w:pStyle w:val="affff6"/>
              <w:snapToGrid w:val="0"/>
              <w:rPr>
                <w:szCs w:val="18"/>
              </w:rPr>
            </w:pPr>
            <w:r w:rsidRPr="002B55E9">
              <w:rPr>
                <w:rFonts w:hint="eastAsia"/>
                <w:szCs w:val="18"/>
              </w:rPr>
              <w:t>63</w:t>
            </w:r>
          </w:p>
        </w:tc>
        <w:tc>
          <w:tcPr>
            <w:tcW w:w="1357" w:type="dxa"/>
            <w:vAlign w:val="center"/>
          </w:tcPr>
          <w:p w14:paraId="5B50F3D5" w14:textId="77777777" w:rsidR="00D170E5" w:rsidRPr="002B55E9" w:rsidRDefault="00EF27AD">
            <w:pPr>
              <w:pStyle w:val="affff6"/>
              <w:snapToGrid w:val="0"/>
              <w:rPr>
                <w:szCs w:val="18"/>
              </w:rPr>
            </w:pPr>
            <w:r w:rsidRPr="002B55E9">
              <w:rPr>
                <w:szCs w:val="18"/>
              </w:rPr>
              <w:t>闪点</w:t>
            </w:r>
          </w:p>
        </w:tc>
        <w:tc>
          <w:tcPr>
            <w:tcW w:w="3596" w:type="dxa"/>
            <w:vAlign w:val="center"/>
          </w:tcPr>
          <w:p w14:paraId="4BA7113D" w14:textId="77777777" w:rsidR="00D170E5" w:rsidRPr="002B55E9" w:rsidRDefault="00EF27AD">
            <w:pPr>
              <w:pStyle w:val="affff6"/>
              <w:snapToGrid w:val="0"/>
              <w:rPr>
                <w:szCs w:val="18"/>
              </w:rPr>
            </w:pPr>
            <w:r w:rsidRPr="002B55E9">
              <w:rPr>
                <w:szCs w:val="18"/>
              </w:rPr>
              <w:t>/</w:t>
            </w:r>
          </w:p>
        </w:tc>
      </w:tr>
      <w:tr w:rsidR="002B55E9" w:rsidRPr="002B55E9" w14:paraId="7897040F" w14:textId="77777777">
        <w:trPr>
          <w:trHeight w:val="284"/>
          <w:jc w:val="center"/>
        </w:trPr>
        <w:tc>
          <w:tcPr>
            <w:tcW w:w="1291" w:type="dxa"/>
            <w:vAlign w:val="center"/>
          </w:tcPr>
          <w:p w14:paraId="22383385" w14:textId="77777777" w:rsidR="00D170E5" w:rsidRPr="002B55E9" w:rsidRDefault="00EF27AD">
            <w:pPr>
              <w:pStyle w:val="affff6"/>
              <w:snapToGrid w:val="0"/>
              <w:rPr>
                <w:szCs w:val="18"/>
              </w:rPr>
            </w:pPr>
            <w:r w:rsidRPr="002B55E9">
              <w:rPr>
                <w:szCs w:val="18"/>
              </w:rPr>
              <w:t>熔</w:t>
            </w:r>
            <w:r w:rsidRPr="002B55E9">
              <w:rPr>
                <w:szCs w:val="18"/>
              </w:rPr>
              <w:t xml:space="preserve">  </w:t>
            </w:r>
            <w:r w:rsidRPr="002B55E9">
              <w:rPr>
                <w:szCs w:val="18"/>
              </w:rPr>
              <w:t>点</w:t>
            </w:r>
          </w:p>
        </w:tc>
        <w:tc>
          <w:tcPr>
            <w:tcW w:w="3380" w:type="dxa"/>
            <w:vAlign w:val="center"/>
          </w:tcPr>
          <w:p w14:paraId="611D3647" w14:textId="77777777" w:rsidR="00D170E5" w:rsidRPr="002B55E9" w:rsidRDefault="00EF27AD">
            <w:pPr>
              <w:pStyle w:val="affff6"/>
              <w:snapToGrid w:val="0"/>
              <w:rPr>
                <w:szCs w:val="18"/>
              </w:rPr>
            </w:pPr>
            <w:r w:rsidRPr="002B55E9">
              <w:rPr>
                <w:rFonts w:hint="eastAsia"/>
                <w:szCs w:val="18"/>
              </w:rPr>
              <w:t>-42</w:t>
            </w:r>
            <w:r w:rsidRPr="002B55E9">
              <w:rPr>
                <w:rFonts w:hint="eastAsia"/>
                <w:szCs w:val="18"/>
              </w:rPr>
              <w:t>℃</w:t>
            </w:r>
          </w:p>
        </w:tc>
        <w:tc>
          <w:tcPr>
            <w:tcW w:w="1357" w:type="dxa"/>
            <w:vAlign w:val="center"/>
          </w:tcPr>
          <w:p w14:paraId="38B82E24" w14:textId="77777777" w:rsidR="00D170E5" w:rsidRPr="002B55E9" w:rsidRDefault="00EF27AD">
            <w:pPr>
              <w:pStyle w:val="affff6"/>
              <w:snapToGrid w:val="0"/>
              <w:rPr>
                <w:szCs w:val="18"/>
              </w:rPr>
            </w:pPr>
            <w:r w:rsidRPr="002B55E9">
              <w:rPr>
                <w:rFonts w:hAnsi="Arial"/>
                <w:spacing w:val="8"/>
                <w:szCs w:val="18"/>
              </w:rPr>
              <w:t>沸点</w:t>
            </w:r>
          </w:p>
        </w:tc>
        <w:tc>
          <w:tcPr>
            <w:tcW w:w="3596" w:type="dxa"/>
            <w:vAlign w:val="center"/>
          </w:tcPr>
          <w:p w14:paraId="0CCEE795" w14:textId="77777777" w:rsidR="00D170E5" w:rsidRPr="002B55E9" w:rsidRDefault="00EF27AD">
            <w:pPr>
              <w:pStyle w:val="affff6"/>
              <w:snapToGrid w:val="0"/>
              <w:rPr>
                <w:szCs w:val="18"/>
              </w:rPr>
            </w:pPr>
            <w:r w:rsidRPr="002B55E9">
              <w:rPr>
                <w:szCs w:val="18"/>
              </w:rPr>
              <w:t>86</w:t>
            </w:r>
            <w:r w:rsidRPr="002B55E9">
              <w:rPr>
                <w:rFonts w:hint="eastAsia"/>
                <w:szCs w:val="18"/>
              </w:rPr>
              <w:t>℃</w:t>
            </w:r>
          </w:p>
        </w:tc>
      </w:tr>
      <w:tr w:rsidR="002B55E9" w:rsidRPr="002B55E9" w14:paraId="03FD97E8" w14:textId="77777777">
        <w:trPr>
          <w:trHeight w:val="284"/>
          <w:jc w:val="center"/>
        </w:trPr>
        <w:tc>
          <w:tcPr>
            <w:tcW w:w="1291" w:type="dxa"/>
            <w:vAlign w:val="center"/>
          </w:tcPr>
          <w:p w14:paraId="5483B7D9" w14:textId="77777777" w:rsidR="00D170E5" w:rsidRPr="002B55E9" w:rsidRDefault="00EF27AD">
            <w:pPr>
              <w:pStyle w:val="affff6"/>
              <w:snapToGrid w:val="0"/>
              <w:rPr>
                <w:szCs w:val="18"/>
              </w:rPr>
            </w:pPr>
            <w:r w:rsidRPr="002B55E9">
              <w:rPr>
                <w:szCs w:val="18"/>
              </w:rPr>
              <w:t>密</w:t>
            </w:r>
            <w:r w:rsidRPr="002B55E9">
              <w:rPr>
                <w:szCs w:val="18"/>
              </w:rPr>
              <w:t xml:space="preserve">  </w:t>
            </w:r>
            <w:r w:rsidRPr="002B55E9">
              <w:rPr>
                <w:szCs w:val="18"/>
              </w:rPr>
              <w:t>度</w:t>
            </w:r>
          </w:p>
        </w:tc>
        <w:tc>
          <w:tcPr>
            <w:tcW w:w="3380" w:type="dxa"/>
            <w:vAlign w:val="center"/>
          </w:tcPr>
          <w:p w14:paraId="5C30D82C" w14:textId="77777777" w:rsidR="00D170E5" w:rsidRPr="002B55E9" w:rsidRDefault="00EF27AD">
            <w:pPr>
              <w:pStyle w:val="affff6"/>
              <w:snapToGrid w:val="0"/>
              <w:rPr>
                <w:szCs w:val="18"/>
              </w:rPr>
            </w:pPr>
            <w:r w:rsidRPr="002B55E9">
              <w:rPr>
                <w:rFonts w:hint="eastAsia"/>
                <w:szCs w:val="18"/>
              </w:rPr>
              <w:t>1.422</w:t>
            </w:r>
            <w:r w:rsidRPr="002B55E9">
              <w:rPr>
                <w:szCs w:val="18"/>
              </w:rPr>
              <w:t>（相对于水）</w:t>
            </w:r>
          </w:p>
        </w:tc>
        <w:tc>
          <w:tcPr>
            <w:tcW w:w="1357" w:type="dxa"/>
            <w:vAlign w:val="center"/>
          </w:tcPr>
          <w:p w14:paraId="58E1EFBE" w14:textId="77777777" w:rsidR="00D170E5" w:rsidRPr="002B55E9" w:rsidRDefault="00EF27AD">
            <w:pPr>
              <w:pStyle w:val="affff6"/>
              <w:snapToGrid w:val="0"/>
              <w:rPr>
                <w:szCs w:val="18"/>
              </w:rPr>
            </w:pPr>
            <w:r w:rsidRPr="002B55E9">
              <w:rPr>
                <w:szCs w:val="18"/>
              </w:rPr>
              <w:t>溶解性</w:t>
            </w:r>
          </w:p>
        </w:tc>
        <w:tc>
          <w:tcPr>
            <w:tcW w:w="3596" w:type="dxa"/>
            <w:vAlign w:val="center"/>
          </w:tcPr>
          <w:p w14:paraId="6EB72B1B" w14:textId="77777777" w:rsidR="00D170E5" w:rsidRPr="002B55E9" w:rsidRDefault="00EF27AD">
            <w:pPr>
              <w:pStyle w:val="affff6"/>
              <w:snapToGrid w:val="0"/>
              <w:rPr>
                <w:szCs w:val="18"/>
              </w:rPr>
            </w:pPr>
            <w:r w:rsidRPr="002B55E9">
              <w:rPr>
                <w:rFonts w:hint="eastAsia"/>
                <w:szCs w:val="18"/>
              </w:rPr>
              <w:t>与水混溶</w:t>
            </w:r>
          </w:p>
        </w:tc>
      </w:tr>
      <w:tr w:rsidR="002B55E9" w:rsidRPr="002B55E9" w14:paraId="39F6D5A4" w14:textId="77777777">
        <w:trPr>
          <w:trHeight w:val="284"/>
          <w:jc w:val="center"/>
        </w:trPr>
        <w:tc>
          <w:tcPr>
            <w:tcW w:w="1291" w:type="dxa"/>
            <w:vAlign w:val="center"/>
          </w:tcPr>
          <w:p w14:paraId="32B964BE" w14:textId="77777777" w:rsidR="00D170E5" w:rsidRPr="002B55E9" w:rsidRDefault="00EF27AD">
            <w:pPr>
              <w:pStyle w:val="affff6"/>
              <w:snapToGrid w:val="0"/>
              <w:rPr>
                <w:szCs w:val="18"/>
              </w:rPr>
            </w:pPr>
            <w:r w:rsidRPr="002B55E9">
              <w:rPr>
                <w:rFonts w:hint="eastAsia"/>
                <w:szCs w:val="18"/>
              </w:rPr>
              <w:t>饱和蒸汽压</w:t>
            </w:r>
          </w:p>
        </w:tc>
        <w:tc>
          <w:tcPr>
            <w:tcW w:w="3380" w:type="dxa"/>
            <w:vAlign w:val="center"/>
          </w:tcPr>
          <w:p w14:paraId="0D5A8F1D" w14:textId="77777777" w:rsidR="00D170E5" w:rsidRPr="002B55E9" w:rsidRDefault="00D170E5">
            <w:pPr>
              <w:pStyle w:val="affff6"/>
              <w:snapToGrid w:val="0"/>
              <w:rPr>
                <w:szCs w:val="18"/>
              </w:rPr>
            </w:pPr>
          </w:p>
        </w:tc>
        <w:tc>
          <w:tcPr>
            <w:tcW w:w="1357" w:type="dxa"/>
            <w:vAlign w:val="center"/>
          </w:tcPr>
          <w:p w14:paraId="663106F4" w14:textId="77777777" w:rsidR="00D170E5" w:rsidRPr="002B55E9" w:rsidRDefault="00EF27AD">
            <w:pPr>
              <w:pStyle w:val="affff6"/>
              <w:snapToGrid w:val="0"/>
              <w:rPr>
                <w:szCs w:val="18"/>
              </w:rPr>
            </w:pPr>
            <w:r w:rsidRPr="002B55E9">
              <w:rPr>
                <w:rFonts w:hint="eastAsia"/>
                <w:szCs w:val="18"/>
              </w:rPr>
              <w:t>燃点</w:t>
            </w:r>
          </w:p>
        </w:tc>
        <w:tc>
          <w:tcPr>
            <w:tcW w:w="3596" w:type="dxa"/>
            <w:vAlign w:val="center"/>
          </w:tcPr>
          <w:p w14:paraId="01E49A0F" w14:textId="77777777" w:rsidR="00D170E5" w:rsidRPr="002B55E9" w:rsidRDefault="00EF27AD">
            <w:pPr>
              <w:pStyle w:val="affff6"/>
              <w:snapToGrid w:val="0"/>
              <w:rPr>
                <w:szCs w:val="18"/>
              </w:rPr>
            </w:pPr>
            <w:r w:rsidRPr="002B55E9">
              <w:rPr>
                <w:rFonts w:hint="eastAsia"/>
                <w:szCs w:val="18"/>
              </w:rPr>
              <w:t>/</w:t>
            </w:r>
          </w:p>
        </w:tc>
      </w:tr>
      <w:tr w:rsidR="002B55E9" w:rsidRPr="002B55E9" w14:paraId="08D26B2A" w14:textId="77777777">
        <w:trPr>
          <w:trHeight w:val="284"/>
          <w:jc w:val="center"/>
        </w:trPr>
        <w:tc>
          <w:tcPr>
            <w:tcW w:w="1291" w:type="dxa"/>
            <w:vAlign w:val="center"/>
          </w:tcPr>
          <w:p w14:paraId="4D6EC427" w14:textId="77777777" w:rsidR="00D170E5" w:rsidRPr="002B55E9" w:rsidRDefault="00EF27AD">
            <w:pPr>
              <w:pStyle w:val="affff6"/>
              <w:snapToGrid w:val="0"/>
              <w:rPr>
                <w:szCs w:val="18"/>
              </w:rPr>
            </w:pPr>
            <w:r w:rsidRPr="002B55E9">
              <w:rPr>
                <w:szCs w:val="18"/>
              </w:rPr>
              <w:t>健康危害</w:t>
            </w:r>
          </w:p>
        </w:tc>
        <w:tc>
          <w:tcPr>
            <w:tcW w:w="8333" w:type="dxa"/>
            <w:gridSpan w:val="3"/>
            <w:vAlign w:val="center"/>
          </w:tcPr>
          <w:p w14:paraId="2D67F944" w14:textId="77777777" w:rsidR="00D170E5" w:rsidRPr="002B55E9" w:rsidRDefault="00EF27AD">
            <w:pPr>
              <w:pStyle w:val="affff6"/>
              <w:jc w:val="both"/>
              <w:rPr>
                <w:szCs w:val="18"/>
              </w:rPr>
            </w:pPr>
            <w:r w:rsidRPr="002B55E9">
              <w:rPr>
                <w:rFonts w:hint="eastAsia"/>
                <w:szCs w:val="18"/>
              </w:rPr>
              <w:t>对皮肤、粘膜等组织有强烈的刺激和腐蚀作用，蒸汽或雾可引起结膜炎、结膜水肿、角膜混浊、以致失明；引起呼吸道刺激，重者发生呼吸困难和肺水肿；高浓度引起喉痉挛货声门水肿而窒息死亡。口服后引起消化道烧伤以致溃疡形成；严重者可能有胃穿孔、腹膜炎、肾损害、休克等。皮肤灼伤轻者出现红斑、重者形成溃疡，愈后瘢痕收缩影响功能。溅入眼内可造成灼伤，甚至角膜穿孔、全眼炎以致失明。慢性影响：牙齿酸腐蚀症、慢性支气管炎、肺气肿和肺硬化。</w:t>
            </w:r>
          </w:p>
        </w:tc>
      </w:tr>
      <w:tr w:rsidR="002B55E9" w:rsidRPr="002B55E9" w14:paraId="186A1A2A" w14:textId="77777777">
        <w:trPr>
          <w:trHeight w:val="284"/>
          <w:jc w:val="center"/>
        </w:trPr>
        <w:tc>
          <w:tcPr>
            <w:tcW w:w="1291" w:type="dxa"/>
            <w:vAlign w:val="center"/>
          </w:tcPr>
          <w:p w14:paraId="0B65EC59" w14:textId="77777777" w:rsidR="00D170E5" w:rsidRPr="002B55E9" w:rsidRDefault="00EF27AD">
            <w:pPr>
              <w:pStyle w:val="affff6"/>
              <w:snapToGrid w:val="0"/>
              <w:rPr>
                <w:szCs w:val="18"/>
              </w:rPr>
            </w:pPr>
            <w:r w:rsidRPr="002B55E9">
              <w:rPr>
                <w:szCs w:val="18"/>
              </w:rPr>
              <w:t>毒理学资料</w:t>
            </w:r>
          </w:p>
        </w:tc>
        <w:tc>
          <w:tcPr>
            <w:tcW w:w="8333" w:type="dxa"/>
            <w:gridSpan w:val="3"/>
            <w:vAlign w:val="center"/>
          </w:tcPr>
          <w:p w14:paraId="6028CDC0" w14:textId="77777777" w:rsidR="00D170E5" w:rsidRPr="002B55E9" w:rsidRDefault="00EF27AD">
            <w:pPr>
              <w:pStyle w:val="affff6"/>
              <w:snapToGrid w:val="0"/>
              <w:jc w:val="both"/>
              <w:rPr>
                <w:szCs w:val="18"/>
              </w:rPr>
            </w:pPr>
            <w:r w:rsidRPr="002B55E9">
              <w:rPr>
                <w:rFonts w:hint="eastAsia"/>
                <w:szCs w:val="18"/>
              </w:rPr>
              <w:t>L</w:t>
            </w:r>
            <w:r w:rsidRPr="002B55E9">
              <w:rPr>
                <w:szCs w:val="18"/>
              </w:rPr>
              <w:t>C50</w:t>
            </w:r>
            <w:r w:rsidRPr="002B55E9">
              <w:rPr>
                <w:rFonts w:hint="eastAsia"/>
                <w:szCs w:val="18"/>
              </w:rPr>
              <w:t>：</w:t>
            </w:r>
            <w:r w:rsidRPr="002B55E9">
              <w:rPr>
                <w:rFonts w:hint="eastAsia"/>
                <w:szCs w:val="18"/>
              </w:rPr>
              <w:t>65</w:t>
            </w:r>
            <w:r w:rsidRPr="002B55E9">
              <w:rPr>
                <w:szCs w:val="18"/>
              </w:rPr>
              <w:t>ppm/4h</w:t>
            </w:r>
            <w:r w:rsidRPr="002B55E9">
              <w:rPr>
                <w:rFonts w:hint="eastAsia"/>
                <w:szCs w:val="18"/>
              </w:rPr>
              <w:t>mg</w:t>
            </w:r>
            <w:r w:rsidRPr="002B55E9">
              <w:rPr>
                <w:szCs w:val="18"/>
              </w:rPr>
              <w:t>/</w:t>
            </w:r>
            <w:r w:rsidRPr="002B55E9">
              <w:rPr>
                <w:rFonts w:hint="eastAsia"/>
                <w:szCs w:val="18"/>
              </w:rPr>
              <w:t>m</w:t>
            </w:r>
            <w:r w:rsidRPr="002B55E9">
              <w:rPr>
                <w:szCs w:val="18"/>
                <w:vertAlign w:val="superscript"/>
              </w:rPr>
              <w:t>3</w:t>
            </w:r>
            <w:r w:rsidRPr="002B55E9">
              <w:rPr>
                <w:rFonts w:hint="eastAsia"/>
                <w:szCs w:val="18"/>
              </w:rPr>
              <w:t>（大鼠吸入）；</w:t>
            </w:r>
          </w:p>
        </w:tc>
      </w:tr>
    </w:tbl>
    <w:p w14:paraId="397A87D0" w14:textId="77777777" w:rsidR="00D170E5" w:rsidRPr="002B55E9" w:rsidRDefault="00EF27AD">
      <w:pPr>
        <w:pStyle w:val="T"/>
        <w:ind w:firstLine="480"/>
        <w:rPr>
          <w:rFonts w:ascii="宋体" w:eastAsia="宋体" w:hAnsi="宋体"/>
          <w:sz w:val="24"/>
          <w:szCs w:val="24"/>
        </w:rPr>
      </w:pPr>
      <w:r w:rsidRPr="002B55E9">
        <w:rPr>
          <w:rFonts w:ascii="宋体" w:eastAsia="宋体" w:hAnsi="宋体" w:hint="eastAsia"/>
          <w:sz w:val="24"/>
          <w:szCs w:val="24"/>
        </w:rPr>
        <w:t>（</w:t>
      </w:r>
      <w:r w:rsidRPr="002B55E9">
        <w:rPr>
          <w:rFonts w:eastAsia="宋体" w:hint="eastAsia"/>
          <w:sz w:val="24"/>
          <w:szCs w:val="24"/>
        </w:rPr>
        <w:t>2</w:t>
      </w:r>
      <w:r w:rsidRPr="002B55E9">
        <w:rPr>
          <w:rFonts w:ascii="宋体" w:eastAsia="宋体" w:hAnsi="宋体" w:hint="eastAsia"/>
          <w:sz w:val="24"/>
          <w:szCs w:val="24"/>
        </w:rPr>
        <w:t>）本项目危险物质暂存及分布情况</w:t>
      </w:r>
    </w:p>
    <w:p w14:paraId="2CB9062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根据《建设项目环境风险评价技术导则》（</w:t>
      </w:r>
      <w:r w:rsidRPr="002B55E9">
        <w:rPr>
          <w:rFonts w:hint="eastAsia"/>
          <w:bCs/>
          <w:snapToGrid w:val="0"/>
          <w:sz w:val="24"/>
        </w:rPr>
        <w:t>HJ169-2018</w:t>
      </w:r>
      <w:r w:rsidRPr="002B55E9">
        <w:rPr>
          <w:rFonts w:hint="eastAsia"/>
          <w:bCs/>
          <w:snapToGrid w:val="0"/>
          <w:sz w:val="24"/>
        </w:rPr>
        <w:t>）附录</w:t>
      </w:r>
      <w:r w:rsidRPr="002B55E9">
        <w:rPr>
          <w:rFonts w:hint="eastAsia"/>
          <w:bCs/>
          <w:snapToGrid w:val="0"/>
          <w:sz w:val="24"/>
        </w:rPr>
        <w:t>B</w:t>
      </w:r>
      <w:r w:rsidRPr="002B55E9">
        <w:rPr>
          <w:rFonts w:hint="eastAsia"/>
          <w:bCs/>
          <w:snapToGrid w:val="0"/>
          <w:sz w:val="24"/>
        </w:rPr>
        <w:t>表</w:t>
      </w:r>
      <w:r w:rsidRPr="002B55E9">
        <w:rPr>
          <w:rFonts w:hint="eastAsia"/>
          <w:bCs/>
          <w:snapToGrid w:val="0"/>
          <w:sz w:val="24"/>
        </w:rPr>
        <w:t>1</w:t>
      </w:r>
      <w:r w:rsidRPr="002B55E9">
        <w:rPr>
          <w:rFonts w:hint="eastAsia"/>
          <w:bCs/>
          <w:snapToGrid w:val="0"/>
          <w:sz w:val="24"/>
        </w:rPr>
        <w:t>、《化学品分类和标签规范第</w:t>
      </w:r>
      <w:r w:rsidRPr="002B55E9">
        <w:rPr>
          <w:rFonts w:hint="eastAsia"/>
          <w:bCs/>
          <w:snapToGrid w:val="0"/>
          <w:sz w:val="24"/>
        </w:rPr>
        <w:t>18</w:t>
      </w:r>
      <w:r w:rsidRPr="002B55E9">
        <w:rPr>
          <w:rFonts w:hint="eastAsia"/>
          <w:bCs/>
          <w:snapToGrid w:val="0"/>
          <w:sz w:val="24"/>
        </w:rPr>
        <w:t>部分：急性毒性》（</w:t>
      </w:r>
      <w:r w:rsidRPr="002B55E9">
        <w:rPr>
          <w:rFonts w:hint="eastAsia"/>
          <w:bCs/>
          <w:snapToGrid w:val="0"/>
          <w:sz w:val="24"/>
        </w:rPr>
        <w:t>GB30000.18-2013</w:t>
      </w:r>
      <w:r w:rsidRPr="002B55E9">
        <w:rPr>
          <w:rFonts w:hint="eastAsia"/>
          <w:bCs/>
          <w:snapToGrid w:val="0"/>
          <w:sz w:val="24"/>
        </w:rPr>
        <w:t>）和《化学品分类和标签规范第</w:t>
      </w:r>
      <w:r w:rsidRPr="002B55E9">
        <w:rPr>
          <w:rFonts w:hint="eastAsia"/>
          <w:bCs/>
          <w:snapToGrid w:val="0"/>
          <w:sz w:val="24"/>
        </w:rPr>
        <w:t>28</w:t>
      </w:r>
      <w:r w:rsidRPr="002B55E9">
        <w:rPr>
          <w:rFonts w:hint="eastAsia"/>
          <w:bCs/>
          <w:snapToGrid w:val="0"/>
          <w:sz w:val="24"/>
        </w:rPr>
        <w:t>部分：对水生环境的危害》（</w:t>
      </w:r>
      <w:r w:rsidRPr="002B55E9">
        <w:rPr>
          <w:rFonts w:hint="eastAsia"/>
          <w:bCs/>
          <w:snapToGrid w:val="0"/>
          <w:sz w:val="24"/>
        </w:rPr>
        <w:t>GB30000.28-2013</w:t>
      </w:r>
      <w:r w:rsidRPr="002B55E9">
        <w:rPr>
          <w:rFonts w:hint="eastAsia"/>
          <w:bCs/>
          <w:snapToGrid w:val="0"/>
          <w:sz w:val="24"/>
        </w:rPr>
        <w:t>），结合建设项目生产过程中涉及的主要化学品理化性质，识别出本项目涉及的危险物质见下表。</w:t>
      </w:r>
    </w:p>
    <w:p w14:paraId="512D42CF"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lastRenderedPageBreak/>
        <w:t>表</w:t>
      </w:r>
      <w:r w:rsidRPr="002B55E9">
        <w:rPr>
          <w:rFonts w:eastAsia="黑体" w:hint="eastAsia"/>
          <w:b/>
          <w:sz w:val="24"/>
          <w:szCs w:val="28"/>
        </w:rPr>
        <w:t xml:space="preserve">6-1-5  </w:t>
      </w:r>
      <w:r w:rsidRPr="002B55E9">
        <w:rPr>
          <w:rFonts w:eastAsia="黑体" w:hint="eastAsia"/>
          <w:b/>
          <w:sz w:val="24"/>
          <w:szCs w:val="28"/>
        </w:rPr>
        <w:t>本项目</w:t>
      </w:r>
      <w:r w:rsidRPr="002B55E9">
        <w:rPr>
          <w:rFonts w:eastAsia="黑体"/>
          <w:b/>
          <w:sz w:val="24"/>
          <w:szCs w:val="28"/>
        </w:rPr>
        <w:t>危险物质</w:t>
      </w:r>
      <w:r w:rsidRPr="002B55E9">
        <w:rPr>
          <w:rFonts w:eastAsia="黑体" w:hint="eastAsia"/>
          <w:b/>
          <w:sz w:val="24"/>
          <w:szCs w:val="28"/>
        </w:rPr>
        <w:t>储存</w:t>
      </w:r>
      <w:r w:rsidRPr="002B55E9">
        <w:rPr>
          <w:rFonts w:eastAsia="黑体"/>
          <w:b/>
          <w:sz w:val="24"/>
          <w:szCs w:val="28"/>
        </w:rPr>
        <w:t>情况</w:t>
      </w:r>
      <w:r w:rsidRPr="002B55E9">
        <w:rPr>
          <w:rFonts w:eastAsia="黑体" w:hint="eastAsia"/>
          <w:b/>
          <w:sz w:val="24"/>
          <w:szCs w:val="28"/>
        </w:rPr>
        <w:t>一览表（储罐储存）</w:t>
      </w:r>
    </w:p>
    <w:tbl>
      <w:tblPr>
        <w:tblStyle w:val="lgy2"/>
        <w:tblW w:w="5000" w:type="pct"/>
        <w:tblLayout w:type="fixed"/>
        <w:tblCellMar>
          <w:left w:w="28" w:type="dxa"/>
          <w:right w:w="28" w:type="dxa"/>
        </w:tblCellMar>
        <w:tblLook w:val="04A0" w:firstRow="1" w:lastRow="0" w:firstColumn="1" w:lastColumn="0" w:noHBand="0" w:noVBand="1"/>
      </w:tblPr>
      <w:tblGrid>
        <w:gridCol w:w="728"/>
        <w:gridCol w:w="1504"/>
        <w:gridCol w:w="1533"/>
        <w:gridCol w:w="885"/>
        <w:gridCol w:w="1194"/>
        <w:gridCol w:w="1327"/>
        <w:gridCol w:w="1327"/>
        <w:gridCol w:w="1195"/>
      </w:tblGrid>
      <w:tr w:rsidR="002B55E9" w:rsidRPr="002B55E9" w14:paraId="496AFF9C" w14:textId="77777777" w:rsidTr="00EF27AD">
        <w:trPr>
          <w:cnfStyle w:val="100000000000" w:firstRow="1" w:lastRow="0" w:firstColumn="0" w:lastColumn="0" w:oddVBand="0" w:evenVBand="0" w:oddHBand="0" w:evenHBand="0" w:firstRowFirstColumn="0" w:firstRowLastColumn="0" w:lastRowFirstColumn="0" w:lastRowLastColumn="0"/>
          <w:trHeight w:val="283"/>
        </w:trPr>
        <w:tc>
          <w:tcPr>
            <w:tcW w:w="725" w:type="dxa"/>
          </w:tcPr>
          <w:p w14:paraId="5068CDB9" w14:textId="77777777" w:rsidR="00D170E5" w:rsidRPr="002B55E9" w:rsidRDefault="00EF27AD">
            <w:pPr>
              <w:pStyle w:val="lgy-"/>
            </w:pPr>
            <w:r w:rsidRPr="002B55E9">
              <w:rPr>
                <w:rFonts w:eastAsia="宋体" w:hint="eastAsia"/>
              </w:rPr>
              <w:t>序号</w:t>
            </w:r>
          </w:p>
        </w:tc>
        <w:tc>
          <w:tcPr>
            <w:tcW w:w="1495" w:type="dxa"/>
          </w:tcPr>
          <w:p w14:paraId="5FA919D5" w14:textId="77777777" w:rsidR="00D170E5" w:rsidRPr="002B55E9" w:rsidRDefault="00EF27AD">
            <w:pPr>
              <w:pStyle w:val="lgy-"/>
            </w:pPr>
            <w:r w:rsidRPr="002B55E9">
              <w:rPr>
                <w:rFonts w:eastAsia="宋体" w:hint="eastAsia"/>
              </w:rPr>
              <w:t>储存</w:t>
            </w:r>
            <w:r w:rsidRPr="002B55E9">
              <w:rPr>
                <w:rFonts w:eastAsia="宋体"/>
              </w:rPr>
              <w:t>区域</w:t>
            </w:r>
          </w:p>
        </w:tc>
        <w:tc>
          <w:tcPr>
            <w:tcW w:w="1524" w:type="dxa"/>
          </w:tcPr>
          <w:p w14:paraId="7550E23B" w14:textId="77777777" w:rsidR="00D170E5" w:rsidRPr="002B55E9" w:rsidRDefault="00EF27AD" w:rsidP="00EF27AD">
            <w:pPr>
              <w:pStyle w:val="lgy-"/>
            </w:pPr>
            <w:r w:rsidRPr="002B55E9">
              <w:rPr>
                <w:rFonts w:eastAsia="宋体" w:hint="eastAsia"/>
              </w:rPr>
              <w:t>储存</w:t>
            </w:r>
            <w:r w:rsidRPr="002B55E9">
              <w:rPr>
                <w:rFonts w:eastAsia="宋体"/>
              </w:rPr>
              <w:t>物质</w:t>
            </w:r>
          </w:p>
        </w:tc>
        <w:tc>
          <w:tcPr>
            <w:tcW w:w="880" w:type="dxa"/>
          </w:tcPr>
          <w:p w14:paraId="3B03FA2E" w14:textId="77777777" w:rsidR="00D170E5" w:rsidRPr="002B55E9" w:rsidRDefault="00EF27AD">
            <w:pPr>
              <w:pStyle w:val="lgy-"/>
            </w:pPr>
            <w:r w:rsidRPr="002B55E9">
              <w:rPr>
                <w:rFonts w:eastAsia="宋体" w:hint="eastAsia"/>
              </w:rPr>
              <w:t>储罐</w:t>
            </w:r>
            <w:r w:rsidRPr="002B55E9">
              <w:rPr>
                <w:rFonts w:eastAsia="宋体"/>
              </w:rPr>
              <w:t>数量</w:t>
            </w:r>
          </w:p>
        </w:tc>
        <w:tc>
          <w:tcPr>
            <w:tcW w:w="1187" w:type="dxa"/>
          </w:tcPr>
          <w:p w14:paraId="22A17D38" w14:textId="77777777" w:rsidR="00D170E5" w:rsidRPr="002B55E9" w:rsidRDefault="00EF27AD">
            <w:pPr>
              <w:pStyle w:val="lgy-"/>
            </w:pPr>
            <w:r w:rsidRPr="002B55E9">
              <w:rPr>
                <w:rFonts w:eastAsia="宋体" w:hint="eastAsia"/>
              </w:rPr>
              <w:t>储罐</w:t>
            </w:r>
            <w:r w:rsidRPr="002B55E9">
              <w:rPr>
                <w:rFonts w:eastAsia="宋体"/>
              </w:rPr>
              <w:t>容积</w:t>
            </w:r>
          </w:p>
        </w:tc>
        <w:tc>
          <w:tcPr>
            <w:tcW w:w="1319" w:type="dxa"/>
          </w:tcPr>
          <w:p w14:paraId="284DA443" w14:textId="77777777" w:rsidR="00D170E5" w:rsidRPr="002B55E9" w:rsidRDefault="00EF27AD">
            <w:pPr>
              <w:pStyle w:val="lgy-"/>
            </w:pPr>
            <w:r w:rsidRPr="002B55E9">
              <w:rPr>
                <w:rFonts w:eastAsia="宋体" w:hint="eastAsia"/>
              </w:rPr>
              <w:t>储存量</w:t>
            </w:r>
            <w:r w:rsidRPr="002B55E9">
              <w:rPr>
                <w:rFonts w:eastAsia="宋体" w:hint="eastAsia"/>
              </w:rPr>
              <w:t>t</w:t>
            </w:r>
          </w:p>
        </w:tc>
        <w:tc>
          <w:tcPr>
            <w:tcW w:w="1319" w:type="dxa"/>
          </w:tcPr>
          <w:p w14:paraId="45A36CCA" w14:textId="77777777" w:rsidR="00D170E5" w:rsidRPr="002B55E9" w:rsidRDefault="00EF27AD">
            <w:pPr>
              <w:pStyle w:val="lgy-"/>
            </w:pPr>
            <w:r w:rsidRPr="002B55E9">
              <w:rPr>
                <w:rFonts w:eastAsia="宋体" w:hint="eastAsia"/>
              </w:rPr>
              <w:t>成分</w:t>
            </w:r>
          </w:p>
        </w:tc>
        <w:tc>
          <w:tcPr>
            <w:tcW w:w="1188" w:type="dxa"/>
          </w:tcPr>
          <w:p w14:paraId="2991620B" w14:textId="77777777" w:rsidR="00D170E5" w:rsidRPr="002B55E9" w:rsidRDefault="00EF27AD">
            <w:pPr>
              <w:pStyle w:val="lgy-"/>
              <w:rPr>
                <w:rFonts w:eastAsia="宋体"/>
              </w:rPr>
            </w:pPr>
            <w:r w:rsidRPr="002B55E9">
              <w:rPr>
                <w:rFonts w:eastAsia="宋体" w:hint="eastAsia"/>
              </w:rPr>
              <w:t>风险</w:t>
            </w:r>
            <w:r w:rsidRPr="002B55E9">
              <w:rPr>
                <w:rFonts w:eastAsia="宋体"/>
              </w:rPr>
              <w:t>物质最大</w:t>
            </w:r>
            <w:r w:rsidRPr="002B55E9">
              <w:rPr>
                <w:rFonts w:eastAsia="宋体" w:hint="eastAsia"/>
              </w:rPr>
              <w:t>储量</w:t>
            </w:r>
            <w:r w:rsidRPr="002B55E9">
              <w:rPr>
                <w:rFonts w:eastAsia="宋体" w:hint="eastAsia"/>
              </w:rPr>
              <w:t>t</w:t>
            </w:r>
          </w:p>
        </w:tc>
      </w:tr>
      <w:tr w:rsidR="002B55E9" w:rsidRPr="002B55E9" w14:paraId="3AF173DA" w14:textId="77777777" w:rsidTr="00EF27AD">
        <w:trPr>
          <w:trHeight w:val="283"/>
        </w:trPr>
        <w:tc>
          <w:tcPr>
            <w:tcW w:w="725" w:type="dxa"/>
            <w:noWrap/>
          </w:tcPr>
          <w:p w14:paraId="28DCE5AE" w14:textId="77777777" w:rsidR="00D170E5" w:rsidRPr="002B55E9" w:rsidRDefault="00EF27AD">
            <w:pPr>
              <w:pStyle w:val="lgy-"/>
              <w:rPr>
                <w:szCs w:val="20"/>
              </w:rPr>
            </w:pPr>
            <w:r w:rsidRPr="002B55E9">
              <w:rPr>
                <w:rFonts w:eastAsia="宋体" w:hint="eastAsia"/>
                <w:szCs w:val="20"/>
              </w:rPr>
              <w:t>1</w:t>
            </w:r>
          </w:p>
        </w:tc>
        <w:tc>
          <w:tcPr>
            <w:tcW w:w="1495" w:type="dxa"/>
            <w:vMerge w:val="restart"/>
            <w:noWrap/>
          </w:tcPr>
          <w:p w14:paraId="3D640E2A" w14:textId="77777777" w:rsidR="00D170E5" w:rsidRPr="002B55E9" w:rsidRDefault="00EF27AD">
            <w:pPr>
              <w:pStyle w:val="lgy-"/>
            </w:pPr>
            <w:r w:rsidRPr="002B55E9">
              <w:rPr>
                <w:rFonts w:eastAsia="宋体" w:hint="eastAsia"/>
              </w:rPr>
              <w:t>罐区三</w:t>
            </w:r>
          </w:p>
        </w:tc>
        <w:tc>
          <w:tcPr>
            <w:tcW w:w="1524" w:type="dxa"/>
          </w:tcPr>
          <w:p w14:paraId="428045D0" w14:textId="77777777" w:rsidR="00D170E5" w:rsidRPr="002B55E9" w:rsidRDefault="00EF27AD">
            <w:pPr>
              <w:pStyle w:val="lgy-"/>
            </w:pPr>
            <w:r w:rsidRPr="002B55E9">
              <w:rPr>
                <w:rFonts w:eastAsia="宋体" w:hint="eastAsia"/>
              </w:rPr>
              <w:t>白米醋胚</w:t>
            </w:r>
          </w:p>
        </w:tc>
        <w:tc>
          <w:tcPr>
            <w:tcW w:w="880" w:type="dxa"/>
            <w:noWrap/>
          </w:tcPr>
          <w:p w14:paraId="4E030D42" w14:textId="77777777" w:rsidR="00D170E5" w:rsidRPr="002B55E9" w:rsidRDefault="00EF27AD">
            <w:pPr>
              <w:pStyle w:val="lgy-"/>
            </w:pPr>
            <w:r w:rsidRPr="002B55E9">
              <w:rPr>
                <w:rFonts w:eastAsia="宋体" w:hint="eastAsia"/>
              </w:rPr>
              <w:t>5</w:t>
            </w:r>
          </w:p>
        </w:tc>
        <w:tc>
          <w:tcPr>
            <w:tcW w:w="1187" w:type="dxa"/>
            <w:noWrap/>
          </w:tcPr>
          <w:p w14:paraId="66208EDE" w14:textId="77777777" w:rsidR="00D170E5" w:rsidRPr="002B55E9" w:rsidRDefault="00EF27AD">
            <w:pPr>
              <w:pStyle w:val="lgy-"/>
            </w:pPr>
            <w:r w:rsidRPr="002B55E9">
              <w:rPr>
                <w:rFonts w:eastAsia="宋体" w:hint="eastAsia"/>
              </w:rPr>
              <w:t>600</w:t>
            </w:r>
            <w:r w:rsidRPr="002B55E9">
              <w:rPr>
                <w:rFonts w:eastAsia="宋体"/>
              </w:rPr>
              <w:t xml:space="preserve"> m</w:t>
            </w:r>
            <w:r w:rsidRPr="002B55E9">
              <w:rPr>
                <w:rFonts w:eastAsia="宋体"/>
                <w:vertAlign w:val="superscript"/>
              </w:rPr>
              <w:t>3</w:t>
            </w:r>
          </w:p>
        </w:tc>
        <w:tc>
          <w:tcPr>
            <w:tcW w:w="1319" w:type="dxa"/>
          </w:tcPr>
          <w:p w14:paraId="0A15B816" w14:textId="77777777" w:rsidR="00D170E5" w:rsidRPr="002B55E9" w:rsidRDefault="00EF27AD">
            <w:pPr>
              <w:pStyle w:val="lgy-"/>
            </w:pPr>
            <w:r w:rsidRPr="002B55E9">
              <w:rPr>
                <w:rFonts w:eastAsia="宋体" w:hint="eastAsia"/>
              </w:rPr>
              <w:t>2</w:t>
            </w:r>
            <w:r w:rsidRPr="002B55E9">
              <w:rPr>
                <w:rFonts w:eastAsia="宋体"/>
              </w:rPr>
              <w:t>1</w:t>
            </w:r>
            <w:r w:rsidRPr="002B55E9">
              <w:rPr>
                <w:rFonts w:eastAsia="宋体" w:hint="eastAsia"/>
              </w:rPr>
              <w:t>00</w:t>
            </w:r>
          </w:p>
        </w:tc>
        <w:tc>
          <w:tcPr>
            <w:tcW w:w="1319" w:type="dxa"/>
            <w:noWrap/>
          </w:tcPr>
          <w:p w14:paraId="7E43EADF" w14:textId="4EF0C775" w:rsidR="00D170E5" w:rsidRPr="002B55E9" w:rsidRDefault="00EF27AD" w:rsidP="00F77D5F">
            <w:pPr>
              <w:pStyle w:val="lgy-"/>
            </w:pPr>
            <w:r w:rsidRPr="002B55E9">
              <w:rPr>
                <w:rFonts w:eastAsia="宋体" w:hint="eastAsia"/>
              </w:rPr>
              <w:t>乙酸</w:t>
            </w:r>
          </w:p>
        </w:tc>
        <w:tc>
          <w:tcPr>
            <w:tcW w:w="1188" w:type="dxa"/>
            <w:noWrap/>
          </w:tcPr>
          <w:p w14:paraId="0E9666C6" w14:textId="77777777" w:rsidR="00D170E5" w:rsidRPr="002B55E9" w:rsidRDefault="00EF27AD">
            <w:pPr>
              <w:pStyle w:val="lgy-"/>
              <w:rPr>
                <w:rFonts w:eastAsia="宋体"/>
              </w:rPr>
            </w:pPr>
            <w:r w:rsidRPr="002B55E9">
              <w:rPr>
                <w:rFonts w:eastAsia="宋体"/>
              </w:rPr>
              <w:t>233.1</w:t>
            </w:r>
          </w:p>
        </w:tc>
      </w:tr>
      <w:tr w:rsidR="002B55E9" w:rsidRPr="002B55E9" w14:paraId="44453158" w14:textId="77777777" w:rsidTr="00EF27AD">
        <w:trPr>
          <w:trHeight w:val="283"/>
        </w:trPr>
        <w:tc>
          <w:tcPr>
            <w:tcW w:w="725" w:type="dxa"/>
            <w:noWrap/>
          </w:tcPr>
          <w:p w14:paraId="5BF63554" w14:textId="77777777" w:rsidR="00D170E5" w:rsidRPr="002B55E9" w:rsidRDefault="00D170E5">
            <w:pPr>
              <w:pStyle w:val="lgy-"/>
              <w:rPr>
                <w:szCs w:val="20"/>
              </w:rPr>
            </w:pPr>
          </w:p>
        </w:tc>
        <w:tc>
          <w:tcPr>
            <w:tcW w:w="1495" w:type="dxa"/>
            <w:vMerge/>
            <w:noWrap/>
          </w:tcPr>
          <w:p w14:paraId="0F68CE21" w14:textId="77777777" w:rsidR="00D170E5" w:rsidRPr="002B55E9" w:rsidRDefault="00D170E5">
            <w:pPr>
              <w:pStyle w:val="lgy-"/>
            </w:pPr>
          </w:p>
        </w:tc>
        <w:tc>
          <w:tcPr>
            <w:tcW w:w="1524" w:type="dxa"/>
          </w:tcPr>
          <w:p w14:paraId="42B89012" w14:textId="77777777" w:rsidR="00D170E5" w:rsidRPr="002B55E9" w:rsidRDefault="00EF27AD">
            <w:pPr>
              <w:pStyle w:val="lgy-"/>
            </w:pPr>
            <w:r w:rsidRPr="002B55E9">
              <w:rPr>
                <w:rFonts w:eastAsia="宋体" w:hint="eastAsia"/>
              </w:rPr>
              <w:t>白米醋胚</w:t>
            </w:r>
          </w:p>
        </w:tc>
        <w:tc>
          <w:tcPr>
            <w:tcW w:w="880" w:type="dxa"/>
            <w:noWrap/>
          </w:tcPr>
          <w:p w14:paraId="3D7BD257" w14:textId="77777777" w:rsidR="00D170E5" w:rsidRPr="002B55E9" w:rsidRDefault="00EF27AD">
            <w:pPr>
              <w:pStyle w:val="lgy-"/>
            </w:pPr>
            <w:r w:rsidRPr="002B55E9">
              <w:rPr>
                <w:rFonts w:eastAsia="宋体"/>
              </w:rPr>
              <w:t>2</w:t>
            </w:r>
          </w:p>
        </w:tc>
        <w:tc>
          <w:tcPr>
            <w:tcW w:w="1187" w:type="dxa"/>
            <w:noWrap/>
          </w:tcPr>
          <w:p w14:paraId="5241183D" w14:textId="77777777" w:rsidR="00D170E5" w:rsidRPr="002B55E9" w:rsidRDefault="00EF27AD">
            <w:pPr>
              <w:pStyle w:val="lgy-"/>
            </w:pPr>
            <w:r w:rsidRPr="002B55E9">
              <w:rPr>
                <w:rFonts w:eastAsia="宋体"/>
              </w:rPr>
              <w:t>2</w:t>
            </w:r>
            <w:r w:rsidRPr="002B55E9">
              <w:rPr>
                <w:rFonts w:eastAsia="宋体" w:hint="eastAsia"/>
              </w:rPr>
              <w:t>00</w:t>
            </w:r>
            <w:r w:rsidRPr="002B55E9">
              <w:rPr>
                <w:rFonts w:eastAsia="宋体"/>
              </w:rPr>
              <w:t xml:space="preserve"> m</w:t>
            </w:r>
            <w:r w:rsidRPr="002B55E9">
              <w:rPr>
                <w:rFonts w:eastAsia="宋体"/>
                <w:vertAlign w:val="superscript"/>
              </w:rPr>
              <w:t>3</w:t>
            </w:r>
          </w:p>
        </w:tc>
        <w:tc>
          <w:tcPr>
            <w:tcW w:w="1319" w:type="dxa"/>
          </w:tcPr>
          <w:p w14:paraId="264BC4B0" w14:textId="77777777" w:rsidR="00D170E5" w:rsidRPr="002B55E9" w:rsidRDefault="00EF27AD">
            <w:pPr>
              <w:pStyle w:val="lgy-"/>
            </w:pPr>
            <w:r w:rsidRPr="002B55E9">
              <w:rPr>
                <w:rFonts w:eastAsia="宋体" w:hint="eastAsia"/>
              </w:rPr>
              <w:t>2</w:t>
            </w:r>
            <w:r w:rsidRPr="002B55E9">
              <w:rPr>
                <w:rFonts w:eastAsia="宋体"/>
              </w:rPr>
              <w:t>80</w:t>
            </w:r>
          </w:p>
        </w:tc>
        <w:tc>
          <w:tcPr>
            <w:tcW w:w="1319" w:type="dxa"/>
            <w:noWrap/>
          </w:tcPr>
          <w:p w14:paraId="43C55653" w14:textId="0620B703" w:rsidR="00D170E5" w:rsidRPr="002B55E9" w:rsidRDefault="00EF27AD" w:rsidP="00F77D5F">
            <w:pPr>
              <w:pStyle w:val="lgy-"/>
            </w:pPr>
            <w:r w:rsidRPr="002B55E9">
              <w:rPr>
                <w:rFonts w:eastAsia="宋体" w:hint="eastAsia"/>
              </w:rPr>
              <w:t>乙酸</w:t>
            </w:r>
          </w:p>
        </w:tc>
        <w:tc>
          <w:tcPr>
            <w:tcW w:w="1188" w:type="dxa"/>
            <w:noWrap/>
          </w:tcPr>
          <w:p w14:paraId="048D8573" w14:textId="77777777" w:rsidR="00D170E5" w:rsidRPr="002B55E9" w:rsidRDefault="00EF27AD">
            <w:pPr>
              <w:pStyle w:val="lgy-"/>
              <w:rPr>
                <w:rFonts w:eastAsia="宋体"/>
              </w:rPr>
            </w:pPr>
            <w:r w:rsidRPr="002B55E9">
              <w:rPr>
                <w:rFonts w:eastAsia="宋体"/>
              </w:rPr>
              <w:t>31.08</w:t>
            </w:r>
          </w:p>
        </w:tc>
      </w:tr>
      <w:tr w:rsidR="002B55E9" w:rsidRPr="002B55E9" w14:paraId="2EC459D0" w14:textId="77777777" w:rsidTr="00EF27AD">
        <w:trPr>
          <w:trHeight w:val="283"/>
        </w:trPr>
        <w:tc>
          <w:tcPr>
            <w:tcW w:w="725" w:type="dxa"/>
            <w:noWrap/>
          </w:tcPr>
          <w:p w14:paraId="2D82C906" w14:textId="77777777" w:rsidR="00D170E5" w:rsidRPr="002B55E9" w:rsidRDefault="00EF27AD">
            <w:pPr>
              <w:pStyle w:val="lgy-"/>
              <w:rPr>
                <w:szCs w:val="20"/>
              </w:rPr>
            </w:pPr>
            <w:r w:rsidRPr="002B55E9">
              <w:rPr>
                <w:rFonts w:eastAsia="宋体" w:hint="eastAsia"/>
                <w:szCs w:val="20"/>
              </w:rPr>
              <w:t>5</w:t>
            </w:r>
          </w:p>
        </w:tc>
        <w:tc>
          <w:tcPr>
            <w:tcW w:w="1495" w:type="dxa"/>
            <w:vMerge/>
            <w:noWrap/>
          </w:tcPr>
          <w:p w14:paraId="0D66ACAC" w14:textId="77777777" w:rsidR="00D170E5" w:rsidRPr="002B55E9" w:rsidRDefault="00D170E5">
            <w:pPr>
              <w:pStyle w:val="lgy-"/>
            </w:pPr>
          </w:p>
        </w:tc>
        <w:tc>
          <w:tcPr>
            <w:tcW w:w="1524" w:type="dxa"/>
          </w:tcPr>
          <w:p w14:paraId="36FAEC85" w14:textId="77777777" w:rsidR="00D170E5" w:rsidRPr="002B55E9" w:rsidRDefault="00EF27AD">
            <w:pPr>
              <w:pStyle w:val="lgy-"/>
            </w:pPr>
            <w:r w:rsidRPr="002B55E9">
              <w:rPr>
                <w:rFonts w:eastAsia="宋体" w:hint="eastAsia"/>
              </w:rPr>
              <w:t>陈醋胚</w:t>
            </w:r>
          </w:p>
        </w:tc>
        <w:tc>
          <w:tcPr>
            <w:tcW w:w="880" w:type="dxa"/>
            <w:noWrap/>
          </w:tcPr>
          <w:p w14:paraId="53508055" w14:textId="77777777" w:rsidR="00D170E5" w:rsidRPr="002B55E9" w:rsidRDefault="00EF27AD">
            <w:pPr>
              <w:pStyle w:val="lgy-"/>
            </w:pPr>
            <w:r w:rsidRPr="002B55E9">
              <w:rPr>
                <w:rFonts w:eastAsia="宋体"/>
              </w:rPr>
              <w:t>6</w:t>
            </w:r>
          </w:p>
        </w:tc>
        <w:tc>
          <w:tcPr>
            <w:tcW w:w="1187" w:type="dxa"/>
            <w:noWrap/>
          </w:tcPr>
          <w:p w14:paraId="52582ACC" w14:textId="77777777" w:rsidR="00D170E5" w:rsidRPr="002B55E9" w:rsidRDefault="00EF27AD">
            <w:pPr>
              <w:pStyle w:val="lgy-"/>
            </w:pPr>
            <w:r w:rsidRPr="002B55E9">
              <w:rPr>
                <w:rFonts w:eastAsia="宋体" w:hint="eastAsia"/>
              </w:rPr>
              <w:t>200</w:t>
            </w:r>
            <w:r w:rsidRPr="002B55E9">
              <w:rPr>
                <w:rFonts w:eastAsia="宋体"/>
              </w:rPr>
              <w:t xml:space="preserve"> m</w:t>
            </w:r>
            <w:r w:rsidRPr="002B55E9">
              <w:rPr>
                <w:rFonts w:eastAsia="宋体"/>
                <w:vertAlign w:val="superscript"/>
              </w:rPr>
              <w:t>3</w:t>
            </w:r>
          </w:p>
        </w:tc>
        <w:tc>
          <w:tcPr>
            <w:tcW w:w="1319" w:type="dxa"/>
          </w:tcPr>
          <w:p w14:paraId="1B6EBFDC" w14:textId="77777777" w:rsidR="00D170E5" w:rsidRPr="002B55E9" w:rsidRDefault="00EF27AD">
            <w:pPr>
              <w:pStyle w:val="lgy-"/>
            </w:pPr>
            <w:r w:rsidRPr="002B55E9">
              <w:rPr>
                <w:rFonts w:eastAsia="宋体" w:hint="eastAsia"/>
              </w:rPr>
              <w:t>960</w:t>
            </w:r>
          </w:p>
        </w:tc>
        <w:tc>
          <w:tcPr>
            <w:tcW w:w="1319" w:type="dxa"/>
            <w:noWrap/>
          </w:tcPr>
          <w:p w14:paraId="02C3160B" w14:textId="6399FADC" w:rsidR="00D170E5" w:rsidRPr="002B55E9" w:rsidRDefault="00EF27AD" w:rsidP="00F77D5F">
            <w:pPr>
              <w:pStyle w:val="lgy-"/>
            </w:pPr>
            <w:r w:rsidRPr="002B55E9">
              <w:rPr>
                <w:rFonts w:eastAsia="宋体" w:hint="eastAsia"/>
              </w:rPr>
              <w:t>乙酸</w:t>
            </w:r>
          </w:p>
        </w:tc>
        <w:tc>
          <w:tcPr>
            <w:tcW w:w="1188" w:type="dxa"/>
            <w:noWrap/>
          </w:tcPr>
          <w:p w14:paraId="1131638A" w14:textId="77777777" w:rsidR="00D170E5" w:rsidRPr="002B55E9" w:rsidRDefault="00EF27AD">
            <w:pPr>
              <w:pStyle w:val="lgy-"/>
              <w:rPr>
                <w:rFonts w:eastAsia="宋体"/>
              </w:rPr>
            </w:pPr>
            <w:r w:rsidRPr="002B55E9">
              <w:rPr>
                <w:rFonts w:eastAsia="宋体"/>
              </w:rPr>
              <w:t>46.2</w:t>
            </w:r>
          </w:p>
        </w:tc>
      </w:tr>
      <w:tr w:rsidR="002B55E9" w:rsidRPr="002B55E9" w14:paraId="1AB44321" w14:textId="77777777" w:rsidTr="00EF27AD">
        <w:trPr>
          <w:trHeight w:val="283"/>
        </w:trPr>
        <w:tc>
          <w:tcPr>
            <w:tcW w:w="725" w:type="dxa"/>
            <w:noWrap/>
          </w:tcPr>
          <w:p w14:paraId="3DB63F47" w14:textId="77777777" w:rsidR="00D170E5" w:rsidRPr="002B55E9" w:rsidRDefault="00EF27AD">
            <w:pPr>
              <w:pStyle w:val="lgy-"/>
              <w:rPr>
                <w:szCs w:val="20"/>
              </w:rPr>
            </w:pPr>
            <w:r w:rsidRPr="002B55E9">
              <w:rPr>
                <w:rFonts w:eastAsia="宋体" w:hint="eastAsia"/>
                <w:szCs w:val="20"/>
              </w:rPr>
              <w:t>6</w:t>
            </w:r>
          </w:p>
        </w:tc>
        <w:tc>
          <w:tcPr>
            <w:tcW w:w="1495" w:type="dxa"/>
            <w:vMerge/>
            <w:noWrap/>
          </w:tcPr>
          <w:p w14:paraId="13A661E9" w14:textId="77777777" w:rsidR="00D170E5" w:rsidRPr="002B55E9" w:rsidRDefault="00D170E5">
            <w:pPr>
              <w:pStyle w:val="lgy-"/>
            </w:pPr>
          </w:p>
        </w:tc>
        <w:tc>
          <w:tcPr>
            <w:tcW w:w="1524" w:type="dxa"/>
          </w:tcPr>
          <w:p w14:paraId="7106D652" w14:textId="77777777" w:rsidR="00D170E5" w:rsidRPr="002B55E9" w:rsidRDefault="00EF27AD">
            <w:pPr>
              <w:pStyle w:val="lgy-"/>
            </w:pPr>
            <w:r w:rsidRPr="002B55E9">
              <w:rPr>
                <w:rFonts w:eastAsia="宋体" w:hint="eastAsia"/>
              </w:rPr>
              <w:t>香醋</w:t>
            </w:r>
            <w:r w:rsidRPr="002B55E9">
              <w:rPr>
                <w:rFonts w:eastAsia="宋体"/>
              </w:rPr>
              <w:t>胚</w:t>
            </w:r>
          </w:p>
        </w:tc>
        <w:tc>
          <w:tcPr>
            <w:tcW w:w="880" w:type="dxa"/>
            <w:noWrap/>
          </w:tcPr>
          <w:p w14:paraId="2E590E36" w14:textId="77777777" w:rsidR="00D170E5" w:rsidRPr="002B55E9" w:rsidRDefault="00EF27AD">
            <w:pPr>
              <w:pStyle w:val="lgy-"/>
            </w:pPr>
            <w:r w:rsidRPr="002B55E9">
              <w:rPr>
                <w:rFonts w:eastAsia="宋体"/>
              </w:rPr>
              <w:t>9</w:t>
            </w:r>
          </w:p>
        </w:tc>
        <w:tc>
          <w:tcPr>
            <w:tcW w:w="1187" w:type="dxa"/>
            <w:noWrap/>
          </w:tcPr>
          <w:p w14:paraId="2983025D" w14:textId="77777777" w:rsidR="00D170E5" w:rsidRPr="002B55E9" w:rsidRDefault="00EF27AD">
            <w:pPr>
              <w:pStyle w:val="lgy-"/>
            </w:pPr>
            <w:r w:rsidRPr="002B55E9">
              <w:rPr>
                <w:rFonts w:eastAsia="宋体" w:hint="eastAsia"/>
              </w:rPr>
              <w:t>200</w:t>
            </w:r>
            <w:r w:rsidRPr="002B55E9">
              <w:rPr>
                <w:rFonts w:eastAsia="宋体"/>
              </w:rPr>
              <w:t xml:space="preserve"> m</w:t>
            </w:r>
            <w:r w:rsidRPr="002B55E9">
              <w:rPr>
                <w:rFonts w:eastAsia="宋体"/>
                <w:vertAlign w:val="superscript"/>
              </w:rPr>
              <w:t>3</w:t>
            </w:r>
          </w:p>
        </w:tc>
        <w:tc>
          <w:tcPr>
            <w:tcW w:w="1319" w:type="dxa"/>
          </w:tcPr>
          <w:p w14:paraId="21FE6DF9" w14:textId="77777777" w:rsidR="00D170E5" w:rsidRPr="002B55E9" w:rsidRDefault="00EF27AD">
            <w:pPr>
              <w:pStyle w:val="lgy-"/>
            </w:pPr>
            <w:r w:rsidRPr="002B55E9">
              <w:rPr>
                <w:rFonts w:eastAsia="宋体" w:hint="eastAsia"/>
              </w:rPr>
              <w:t>1440</w:t>
            </w:r>
          </w:p>
        </w:tc>
        <w:tc>
          <w:tcPr>
            <w:tcW w:w="1319" w:type="dxa"/>
            <w:noWrap/>
          </w:tcPr>
          <w:p w14:paraId="38CDA82C" w14:textId="34CCC225" w:rsidR="00D170E5" w:rsidRPr="002B55E9" w:rsidRDefault="00EF27AD" w:rsidP="00F77D5F">
            <w:pPr>
              <w:pStyle w:val="lgy-"/>
            </w:pPr>
            <w:r w:rsidRPr="002B55E9">
              <w:rPr>
                <w:rFonts w:eastAsia="宋体" w:hint="eastAsia"/>
              </w:rPr>
              <w:t>乙酸</w:t>
            </w:r>
          </w:p>
        </w:tc>
        <w:tc>
          <w:tcPr>
            <w:tcW w:w="1188" w:type="dxa"/>
            <w:noWrap/>
          </w:tcPr>
          <w:p w14:paraId="44B97B19" w14:textId="77777777" w:rsidR="00D170E5" w:rsidRPr="002B55E9" w:rsidRDefault="00EF27AD">
            <w:pPr>
              <w:pStyle w:val="lgy-"/>
              <w:rPr>
                <w:rFonts w:eastAsia="宋体"/>
              </w:rPr>
            </w:pPr>
            <w:r w:rsidRPr="002B55E9">
              <w:rPr>
                <w:rFonts w:eastAsia="宋体"/>
              </w:rPr>
              <w:t>69.3</w:t>
            </w:r>
          </w:p>
        </w:tc>
      </w:tr>
      <w:tr w:rsidR="002B55E9" w:rsidRPr="002B55E9" w14:paraId="600A747B" w14:textId="77777777" w:rsidTr="00EF27AD">
        <w:trPr>
          <w:trHeight w:val="283"/>
        </w:trPr>
        <w:tc>
          <w:tcPr>
            <w:tcW w:w="725" w:type="dxa"/>
            <w:noWrap/>
          </w:tcPr>
          <w:p w14:paraId="108002B0" w14:textId="77777777" w:rsidR="00D170E5" w:rsidRPr="002B55E9" w:rsidRDefault="00EF27AD">
            <w:pPr>
              <w:pStyle w:val="lgy-"/>
              <w:rPr>
                <w:szCs w:val="20"/>
              </w:rPr>
            </w:pPr>
            <w:r w:rsidRPr="002B55E9">
              <w:rPr>
                <w:rFonts w:eastAsia="宋体" w:hint="eastAsia"/>
                <w:szCs w:val="20"/>
              </w:rPr>
              <w:t>8</w:t>
            </w:r>
          </w:p>
        </w:tc>
        <w:tc>
          <w:tcPr>
            <w:tcW w:w="1495" w:type="dxa"/>
            <w:vMerge/>
            <w:noWrap/>
          </w:tcPr>
          <w:p w14:paraId="19F3C82C" w14:textId="77777777" w:rsidR="00D170E5" w:rsidRPr="002B55E9" w:rsidRDefault="00D170E5">
            <w:pPr>
              <w:pStyle w:val="lgy-"/>
            </w:pPr>
          </w:p>
        </w:tc>
        <w:tc>
          <w:tcPr>
            <w:tcW w:w="1524" w:type="dxa"/>
            <w:vMerge w:val="restart"/>
          </w:tcPr>
          <w:p w14:paraId="3852F63C" w14:textId="77777777" w:rsidR="00D170E5" w:rsidRPr="002B55E9" w:rsidRDefault="00EF27AD">
            <w:pPr>
              <w:pStyle w:val="lgy-"/>
            </w:pPr>
            <w:r w:rsidRPr="002B55E9">
              <w:rPr>
                <w:rFonts w:eastAsia="宋体" w:hint="eastAsia"/>
              </w:rPr>
              <w:t>陈香醋</w:t>
            </w:r>
            <w:r w:rsidRPr="002B55E9">
              <w:rPr>
                <w:rFonts w:eastAsia="宋体"/>
              </w:rPr>
              <w:t>半成品</w:t>
            </w:r>
          </w:p>
        </w:tc>
        <w:tc>
          <w:tcPr>
            <w:tcW w:w="880" w:type="dxa"/>
            <w:noWrap/>
          </w:tcPr>
          <w:p w14:paraId="61BD22C1" w14:textId="77777777" w:rsidR="00D170E5" w:rsidRPr="002B55E9" w:rsidRDefault="00EF27AD">
            <w:pPr>
              <w:pStyle w:val="lgy-"/>
            </w:pPr>
            <w:r w:rsidRPr="002B55E9">
              <w:rPr>
                <w:rFonts w:eastAsia="宋体"/>
              </w:rPr>
              <w:t>3</w:t>
            </w:r>
          </w:p>
        </w:tc>
        <w:tc>
          <w:tcPr>
            <w:tcW w:w="1187" w:type="dxa"/>
            <w:noWrap/>
          </w:tcPr>
          <w:p w14:paraId="2FEB207A" w14:textId="77777777" w:rsidR="00D170E5" w:rsidRPr="002B55E9" w:rsidRDefault="00EF27AD">
            <w:pPr>
              <w:pStyle w:val="lgy-"/>
            </w:pPr>
            <w:r w:rsidRPr="002B55E9">
              <w:rPr>
                <w:rFonts w:eastAsia="宋体" w:hint="eastAsia"/>
              </w:rPr>
              <w:t>200</w:t>
            </w:r>
            <w:r w:rsidRPr="002B55E9">
              <w:rPr>
                <w:rFonts w:eastAsia="宋体"/>
              </w:rPr>
              <w:t xml:space="preserve"> m</w:t>
            </w:r>
            <w:r w:rsidRPr="002B55E9">
              <w:rPr>
                <w:rFonts w:eastAsia="宋体"/>
                <w:vertAlign w:val="superscript"/>
              </w:rPr>
              <w:t>3</w:t>
            </w:r>
          </w:p>
        </w:tc>
        <w:tc>
          <w:tcPr>
            <w:tcW w:w="1319" w:type="dxa"/>
          </w:tcPr>
          <w:p w14:paraId="6A49C468" w14:textId="77777777" w:rsidR="00D170E5" w:rsidRPr="002B55E9" w:rsidRDefault="00EF27AD">
            <w:pPr>
              <w:pStyle w:val="lgy-"/>
            </w:pPr>
            <w:r w:rsidRPr="002B55E9">
              <w:rPr>
                <w:rFonts w:eastAsia="宋体" w:hint="eastAsia"/>
              </w:rPr>
              <w:t>320</w:t>
            </w:r>
          </w:p>
        </w:tc>
        <w:tc>
          <w:tcPr>
            <w:tcW w:w="1319" w:type="dxa"/>
            <w:noWrap/>
          </w:tcPr>
          <w:p w14:paraId="2B00ACB0" w14:textId="2E40C668" w:rsidR="00D170E5" w:rsidRPr="002B55E9" w:rsidRDefault="00EF27AD" w:rsidP="00F77D5F">
            <w:pPr>
              <w:pStyle w:val="lgy-"/>
            </w:pPr>
            <w:r w:rsidRPr="002B55E9">
              <w:rPr>
                <w:rFonts w:eastAsia="宋体" w:hint="eastAsia"/>
              </w:rPr>
              <w:t>乙酸</w:t>
            </w:r>
          </w:p>
        </w:tc>
        <w:tc>
          <w:tcPr>
            <w:tcW w:w="1188" w:type="dxa"/>
            <w:noWrap/>
          </w:tcPr>
          <w:p w14:paraId="53EDACC9" w14:textId="77777777" w:rsidR="00D170E5" w:rsidRPr="002B55E9" w:rsidRDefault="00EF27AD">
            <w:pPr>
              <w:pStyle w:val="lgy-"/>
              <w:rPr>
                <w:rFonts w:eastAsia="宋体"/>
              </w:rPr>
            </w:pPr>
            <w:r w:rsidRPr="002B55E9">
              <w:rPr>
                <w:rFonts w:eastAsia="宋体"/>
              </w:rPr>
              <w:t>21</w:t>
            </w:r>
          </w:p>
        </w:tc>
      </w:tr>
      <w:tr w:rsidR="002B55E9" w:rsidRPr="002B55E9" w14:paraId="4906B475" w14:textId="77777777" w:rsidTr="00EF27AD">
        <w:trPr>
          <w:trHeight w:val="283"/>
        </w:trPr>
        <w:tc>
          <w:tcPr>
            <w:tcW w:w="725" w:type="dxa"/>
            <w:noWrap/>
          </w:tcPr>
          <w:p w14:paraId="0C238E3E" w14:textId="77777777" w:rsidR="00D170E5" w:rsidRPr="002B55E9" w:rsidRDefault="00EF27AD">
            <w:pPr>
              <w:pStyle w:val="lgy-"/>
              <w:rPr>
                <w:szCs w:val="20"/>
              </w:rPr>
            </w:pPr>
            <w:r w:rsidRPr="002B55E9">
              <w:rPr>
                <w:rFonts w:eastAsia="宋体" w:hint="eastAsia"/>
                <w:szCs w:val="20"/>
              </w:rPr>
              <w:t>9</w:t>
            </w:r>
          </w:p>
        </w:tc>
        <w:tc>
          <w:tcPr>
            <w:tcW w:w="1495" w:type="dxa"/>
            <w:vMerge/>
            <w:noWrap/>
          </w:tcPr>
          <w:p w14:paraId="4B14A828" w14:textId="77777777" w:rsidR="00D170E5" w:rsidRPr="002B55E9" w:rsidRDefault="00D170E5">
            <w:pPr>
              <w:pStyle w:val="lgy-"/>
            </w:pPr>
          </w:p>
        </w:tc>
        <w:tc>
          <w:tcPr>
            <w:tcW w:w="1524" w:type="dxa"/>
            <w:vMerge/>
          </w:tcPr>
          <w:p w14:paraId="7283D2E1" w14:textId="77777777" w:rsidR="00D170E5" w:rsidRPr="002B55E9" w:rsidRDefault="00D170E5">
            <w:pPr>
              <w:pStyle w:val="lgy-"/>
            </w:pPr>
          </w:p>
        </w:tc>
        <w:tc>
          <w:tcPr>
            <w:tcW w:w="880" w:type="dxa"/>
            <w:noWrap/>
          </w:tcPr>
          <w:p w14:paraId="463E0576" w14:textId="77777777" w:rsidR="00D170E5" w:rsidRPr="002B55E9" w:rsidRDefault="00EF27AD">
            <w:pPr>
              <w:pStyle w:val="lgy-"/>
            </w:pPr>
            <w:r w:rsidRPr="002B55E9">
              <w:rPr>
                <w:rFonts w:eastAsia="宋体" w:hint="eastAsia"/>
              </w:rPr>
              <w:t>1</w:t>
            </w:r>
          </w:p>
        </w:tc>
        <w:tc>
          <w:tcPr>
            <w:tcW w:w="1187" w:type="dxa"/>
            <w:noWrap/>
          </w:tcPr>
          <w:p w14:paraId="5464664B" w14:textId="77777777" w:rsidR="00D170E5" w:rsidRPr="002B55E9" w:rsidRDefault="00EF27AD">
            <w:pPr>
              <w:pStyle w:val="lgy-"/>
            </w:pPr>
            <w:r w:rsidRPr="002B55E9">
              <w:rPr>
                <w:rFonts w:eastAsia="宋体" w:hint="eastAsia"/>
              </w:rPr>
              <w:t>100</w:t>
            </w:r>
            <w:r w:rsidRPr="002B55E9">
              <w:rPr>
                <w:rFonts w:eastAsia="宋体"/>
              </w:rPr>
              <w:t xml:space="preserve"> m</w:t>
            </w:r>
            <w:r w:rsidRPr="002B55E9">
              <w:rPr>
                <w:rFonts w:eastAsia="宋体"/>
                <w:vertAlign w:val="superscript"/>
              </w:rPr>
              <w:t>3</w:t>
            </w:r>
          </w:p>
        </w:tc>
        <w:tc>
          <w:tcPr>
            <w:tcW w:w="1319" w:type="dxa"/>
          </w:tcPr>
          <w:p w14:paraId="2AB530B3" w14:textId="77777777" w:rsidR="00D170E5" w:rsidRPr="002B55E9" w:rsidRDefault="00EF27AD">
            <w:pPr>
              <w:pStyle w:val="lgy-"/>
            </w:pPr>
            <w:r w:rsidRPr="002B55E9">
              <w:rPr>
                <w:rFonts w:eastAsia="宋体" w:hint="eastAsia"/>
              </w:rPr>
              <w:t>80</w:t>
            </w:r>
          </w:p>
        </w:tc>
        <w:tc>
          <w:tcPr>
            <w:tcW w:w="1319" w:type="dxa"/>
            <w:noWrap/>
          </w:tcPr>
          <w:p w14:paraId="041A1A9F" w14:textId="060849C5" w:rsidR="00D170E5" w:rsidRPr="002B55E9" w:rsidRDefault="00EF27AD" w:rsidP="00F77D5F">
            <w:pPr>
              <w:pStyle w:val="lgy-"/>
            </w:pPr>
            <w:r w:rsidRPr="002B55E9">
              <w:rPr>
                <w:rFonts w:eastAsia="宋体" w:hint="eastAsia"/>
              </w:rPr>
              <w:t>乙酸</w:t>
            </w:r>
          </w:p>
        </w:tc>
        <w:tc>
          <w:tcPr>
            <w:tcW w:w="1188" w:type="dxa"/>
            <w:noWrap/>
          </w:tcPr>
          <w:p w14:paraId="787C0632" w14:textId="77777777" w:rsidR="00D170E5" w:rsidRPr="002B55E9" w:rsidRDefault="00EF27AD">
            <w:pPr>
              <w:pStyle w:val="lgy-"/>
              <w:rPr>
                <w:rFonts w:eastAsia="宋体"/>
              </w:rPr>
            </w:pPr>
            <w:r w:rsidRPr="002B55E9">
              <w:rPr>
                <w:rFonts w:eastAsia="宋体"/>
              </w:rPr>
              <w:t>3.5</w:t>
            </w:r>
          </w:p>
        </w:tc>
      </w:tr>
      <w:tr w:rsidR="002B55E9" w:rsidRPr="002B55E9" w14:paraId="7EE64B7F" w14:textId="77777777" w:rsidTr="00EF27AD">
        <w:trPr>
          <w:trHeight w:val="283"/>
        </w:trPr>
        <w:tc>
          <w:tcPr>
            <w:tcW w:w="725" w:type="dxa"/>
            <w:noWrap/>
          </w:tcPr>
          <w:p w14:paraId="2145D5EE" w14:textId="77777777" w:rsidR="00D170E5" w:rsidRPr="002B55E9" w:rsidRDefault="00EF27AD">
            <w:pPr>
              <w:pStyle w:val="lgy-"/>
              <w:rPr>
                <w:szCs w:val="20"/>
              </w:rPr>
            </w:pPr>
            <w:r w:rsidRPr="002B55E9">
              <w:rPr>
                <w:rFonts w:eastAsia="宋体" w:hint="eastAsia"/>
                <w:szCs w:val="20"/>
              </w:rPr>
              <w:t>10</w:t>
            </w:r>
          </w:p>
        </w:tc>
        <w:tc>
          <w:tcPr>
            <w:tcW w:w="1495" w:type="dxa"/>
            <w:vMerge/>
            <w:noWrap/>
          </w:tcPr>
          <w:p w14:paraId="0F2CD4BE" w14:textId="77777777" w:rsidR="00D170E5" w:rsidRPr="002B55E9" w:rsidRDefault="00D170E5">
            <w:pPr>
              <w:pStyle w:val="lgy-"/>
            </w:pPr>
          </w:p>
        </w:tc>
        <w:tc>
          <w:tcPr>
            <w:tcW w:w="1524" w:type="dxa"/>
            <w:vMerge w:val="restart"/>
          </w:tcPr>
          <w:p w14:paraId="45EA493A" w14:textId="77777777" w:rsidR="00D170E5" w:rsidRPr="002B55E9" w:rsidRDefault="00EF27AD">
            <w:pPr>
              <w:pStyle w:val="lgy-"/>
            </w:pPr>
            <w:r w:rsidRPr="002B55E9">
              <w:rPr>
                <w:rFonts w:eastAsia="宋体" w:hint="eastAsia"/>
              </w:rPr>
              <w:t>超立克</w:t>
            </w:r>
          </w:p>
        </w:tc>
        <w:tc>
          <w:tcPr>
            <w:tcW w:w="880" w:type="dxa"/>
            <w:vMerge w:val="restart"/>
            <w:noWrap/>
          </w:tcPr>
          <w:p w14:paraId="4808057E" w14:textId="77777777" w:rsidR="00D170E5" w:rsidRPr="002B55E9" w:rsidRDefault="00EF27AD">
            <w:pPr>
              <w:pStyle w:val="lgy-"/>
            </w:pPr>
            <w:r w:rsidRPr="002B55E9">
              <w:rPr>
                <w:rFonts w:eastAsia="宋体" w:hint="eastAsia"/>
              </w:rPr>
              <w:t>1</w:t>
            </w:r>
          </w:p>
        </w:tc>
        <w:tc>
          <w:tcPr>
            <w:tcW w:w="1187" w:type="dxa"/>
            <w:vMerge w:val="restart"/>
            <w:noWrap/>
          </w:tcPr>
          <w:p w14:paraId="76C7A14A" w14:textId="77777777" w:rsidR="00D170E5" w:rsidRPr="002B55E9" w:rsidRDefault="00EF27AD">
            <w:pPr>
              <w:pStyle w:val="lgy-"/>
            </w:pPr>
            <w:r w:rsidRPr="002B55E9">
              <w:rPr>
                <w:rFonts w:eastAsia="宋体"/>
              </w:rPr>
              <w:t>5m</w:t>
            </w:r>
            <w:r w:rsidRPr="002B55E9">
              <w:rPr>
                <w:rFonts w:eastAsia="宋体"/>
                <w:vertAlign w:val="superscript"/>
              </w:rPr>
              <w:t>3</w:t>
            </w:r>
          </w:p>
        </w:tc>
        <w:tc>
          <w:tcPr>
            <w:tcW w:w="1319" w:type="dxa"/>
            <w:vMerge w:val="restart"/>
          </w:tcPr>
          <w:p w14:paraId="63839103" w14:textId="77777777" w:rsidR="00D170E5" w:rsidRPr="002B55E9" w:rsidRDefault="00EF27AD">
            <w:pPr>
              <w:pStyle w:val="lgy-"/>
            </w:pPr>
            <w:r w:rsidRPr="002B55E9">
              <w:rPr>
                <w:rFonts w:eastAsia="宋体"/>
              </w:rPr>
              <w:t>3.5</w:t>
            </w:r>
          </w:p>
        </w:tc>
        <w:tc>
          <w:tcPr>
            <w:tcW w:w="1319" w:type="dxa"/>
            <w:noWrap/>
          </w:tcPr>
          <w:p w14:paraId="495F071E" w14:textId="0D41D4B1" w:rsidR="00D170E5" w:rsidRPr="002B55E9" w:rsidRDefault="00EF27AD" w:rsidP="00F77D5F">
            <w:pPr>
              <w:pStyle w:val="lgy-"/>
            </w:pPr>
            <w:r w:rsidRPr="002B55E9">
              <w:rPr>
                <w:rFonts w:eastAsia="宋体" w:hint="eastAsia"/>
              </w:rPr>
              <w:t>磷酸</w:t>
            </w:r>
          </w:p>
        </w:tc>
        <w:tc>
          <w:tcPr>
            <w:tcW w:w="1188" w:type="dxa"/>
            <w:noWrap/>
          </w:tcPr>
          <w:p w14:paraId="5DA0DA5F" w14:textId="77777777" w:rsidR="00D170E5" w:rsidRPr="002B55E9" w:rsidRDefault="00EF27AD">
            <w:pPr>
              <w:pStyle w:val="lgy-"/>
              <w:rPr>
                <w:rFonts w:eastAsia="宋体"/>
              </w:rPr>
            </w:pPr>
            <w:r w:rsidRPr="002B55E9">
              <w:rPr>
                <w:rFonts w:eastAsia="宋体"/>
              </w:rPr>
              <w:t>1.05</w:t>
            </w:r>
          </w:p>
        </w:tc>
      </w:tr>
      <w:tr w:rsidR="002B55E9" w:rsidRPr="002B55E9" w14:paraId="2AF2A497" w14:textId="77777777" w:rsidTr="00EF27AD">
        <w:trPr>
          <w:trHeight w:val="283"/>
        </w:trPr>
        <w:tc>
          <w:tcPr>
            <w:tcW w:w="725" w:type="dxa"/>
            <w:noWrap/>
          </w:tcPr>
          <w:p w14:paraId="63EB30EF" w14:textId="77777777" w:rsidR="00D170E5" w:rsidRPr="002B55E9" w:rsidRDefault="00EF27AD">
            <w:pPr>
              <w:pStyle w:val="lgy-"/>
              <w:rPr>
                <w:szCs w:val="20"/>
              </w:rPr>
            </w:pPr>
            <w:r w:rsidRPr="002B55E9">
              <w:rPr>
                <w:rFonts w:eastAsia="宋体" w:hint="eastAsia"/>
                <w:szCs w:val="20"/>
              </w:rPr>
              <w:t>11</w:t>
            </w:r>
          </w:p>
        </w:tc>
        <w:tc>
          <w:tcPr>
            <w:tcW w:w="1495" w:type="dxa"/>
            <w:vMerge/>
            <w:noWrap/>
          </w:tcPr>
          <w:p w14:paraId="50C12CF2" w14:textId="77777777" w:rsidR="00D170E5" w:rsidRPr="002B55E9" w:rsidRDefault="00D170E5">
            <w:pPr>
              <w:pStyle w:val="lgy-"/>
            </w:pPr>
          </w:p>
        </w:tc>
        <w:tc>
          <w:tcPr>
            <w:tcW w:w="1524" w:type="dxa"/>
            <w:vMerge/>
          </w:tcPr>
          <w:p w14:paraId="1DE61DE0" w14:textId="77777777" w:rsidR="00D170E5" w:rsidRPr="002B55E9" w:rsidRDefault="00D170E5">
            <w:pPr>
              <w:pStyle w:val="lgy-"/>
            </w:pPr>
          </w:p>
        </w:tc>
        <w:tc>
          <w:tcPr>
            <w:tcW w:w="880" w:type="dxa"/>
            <w:vMerge/>
            <w:noWrap/>
          </w:tcPr>
          <w:p w14:paraId="2014EBAD" w14:textId="77777777" w:rsidR="00D170E5" w:rsidRPr="002B55E9" w:rsidRDefault="00D170E5">
            <w:pPr>
              <w:pStyle w:val="lgy-"/>
            </w:pPr>
          </w:p>
        </w:tc>
        <w:tc>
          <w:tcPr>
            <w:tcW w:w="1187" w:type="dxa"/>
            <w:vMerge/>
            <w:noWrap/>
          </w:tcPr>
          <w:p w14:paraId="5DA20265" w14:textId="77777777" w:rsidR="00D170E5" w:rsidRPr="002B55E9" w:rsidRDefault="00D170E5">
            <w:pPr>
              <w:pStyle w:val="lgy-"/>
            </w:pPr>
          </w:p>
        </w:tc>
        <w:tc>
          <w:tcPr>
            <w:tcW w:w="1319" w:type="dxa"/>
            <w:vMerge/>
          </w:tcPr>
          <w:p w14:paraId="2B42BF86" w14:textId="77777777" w:rsidR="00D170E5" w:rsidRPr="002B55E9" w:rsidRDefault="00D170E5">
            <w:pPr>
              <w:pStyle w:val="lgy-"/>
            </w:pPr>
          </w:p>
        </w:tc>
        <w:tc>
          <w:tcPr>
            <w:tcW w:w="1319" w:type="dxa"/>
            <w:noWrap/>
          </w:tcPr>
          <w:p w14:paraId="3ABA418F" w14:textId="79B4C5B8" w:rsidR="00D170E5" w:rsidRPr="002B55E9" w:rsidRDefault="00EF27AD" w:rsidP="00F77D5F">
            <w:pPr>
              <w:pStyle w:val="lgy-"/>
            </w:pPr>
            <w:r w:rsidRPr="002B55E9">
              <w:rPr>
                <w:rFonts w:eastAsia="宋体" w:hint="eastAsia"/>
              </w:rPr>
              <w:t>硝酸</w:t>
            </w:r>
          </w:p>
        </w:tc>
        <w:tc>
          <w:tcPr>
            <w:tcW w:w="1188" w:type="dxa"/>
            <w:noWrap/>
          </w:tcPr>
          <w:p w14:paraId="1671E88A" w14:textId="77777777" w:rsidR="00D170E5" w:rsidRPr="002B55E9" w:rsidRDefault="00EF27AD">
            <w:pPr>
              <w:pStyle w:val="lgy-"/>
              <w:rPr>
                <w:rFonts w:eastAsia="宋体"/>
              </w:rPr>
            </w:pPr>
            <w:r w:rsidRPr="002B55E9">
              <w:rPr>
                <w:rFonts w:eastAsia="宋体"/>
              </w:rPr>
              <w:t>0.525</w:t>
            </w:r>
          </w:p>
        </w:tc>
      </w:tr>
      <w:tr w:rsidR="002B55E9" w:rsidRPr="002B55E9" w14:paraId="342489E2" w14:textId="77777777" w:rsidTr="00EF27AD">
        <w:trPr>
          <w:trHeight w:val="283"/>
        </w:trPr>
        <w:tc>
          <w:tcPr>
            <w:tcW w:w="725" w:type="dxa"/>
            <w:noWrap/>
          </w:tcPr>
          <w:p w14:paraId="39A10002" w14:textId="77777777" w:rsidR="00D170E5" w:rsidRPr="002B55E9" w:rsidRDefault="00EF27AD">
            <w:pPr>
              <w:pStyle w:val="lgy-"/>
              <w:rPr>
                <w:szCs w:val="20"/>
              </w:rPr>
            </w:pPr>
            <w:r w:rsidRPr="002B55E9">
              <w:rPr>
                <w:rFonts w:eastAsia="宋体" w:hint="eastAsia"/>
                <w:szCs w:val="20"/>
              </w:rPr>
              <w:t>12</w:t>
            </w:r>
          </w:p>
        </w:tc>
        <w:tc>
          <w:tcPr>
            <w:tcW w:w="1495" w:type="dxa"/>
            <w:vMerge w:val="restart"/>
            <w:noWrap/>
          </w:tcPr>
          <w:p w14:paraId="708A2DAE" w14:textId="77777777" w:rsidR="00D170E5" w:rsidRPr="002B55E9" w:rsidRDefault="00EF27AD">
            <w:pPr>
              <w:pStyle w:val="lgy-"/>
            </w:pPr>
            <w:r w:rsidRPr="002B55E9">
              <w:rPr>
                <w:rFonts w:eastAsia="宋体" w:hint="eastAsia"/>
              </w:rPr>
              <w:t>十三</w:t>
            </w:r>
            <w:r w:rsidRPr="002B55E9">
              <w:rPr>
                <w:rFonts w:eastAsia="宋体"/>
              </w:rPr>
              <w:t>车间</w:t>
            </w:r>
            <w:r w:rsidRPr="002B55E9">
              <w:rPr>
                <w:rFonts w:eastAsia="宋体" w:hint="eastAsia"/>
              </w:rPr>
              <w:t>白米醋产线</w:t>
            </w:r>
          </w:p>
        </w:tc>
        <w:tc>
          <w:tcPr>
            <w:tcW w:w="1524" w:type="dxa"/>
            <w:vMerge w:val="restart"/>
          </w:tcPr>
          <w:p w14:paraId="00076E11" w14:textId="77777777" w:rsidR="00D170E5" w:rsidRPr="002B55E9" w:rsidRDefault="00EF27AD">
            <w:pPr>
              <w:pStyle w:val="lgy-"/>
            </w:pPr>
            <w:r w:rsidRPr="002B55E9">
              <w:rPr>
                <w:rFonts w:eastAsia="宋体" w:hint="eastAsia"/>
              </w:rPr>
              <w:t>白米醋胚</w:t>
            </w:r>
          </w:p>
        </w:tc>
        <w:tc>
          <w:tcPr>
            <w:tcW w:w="880" w:type="dxa"/>
            <w:noWrap/>
          </w:tcPr>
          <w:p w14:paraId="38162D69" w14:textId="77777777" w:rsidR="00D170E5" w:rsidRPr="002B55E9" w:rsidRDefault="00EF27AD">
            <w:pPr>
              <w:pStyle w:val="lgy-"/>
            </w:pPr>
            <w:r w:rsidRPr="002B55E9">
              <w:rPr>
                <w:rFonts w:eastAsia="宋体"/>
              </w:rPr>
              <w:t>3</w:t>
            </w:r>
          </w:p>
        </w:tc>
        <w:tc>
          <w:tcPr>
            <w:tcW w:w="1187" w:type="dxa"/>
            <w:noWrap/>
          </w:tcPr>
          <w:p w14:paraId="45D8E791" w14:textId="77777777" w:rsidR="00D170E5" w:rsidRPr="002B55E9" w:rsidRDefault="00EF27AD">
            <w:pPr>
              <w:pStyle w:val="lgy-"/>
            </w:pPr>
            <w:r w:rsidRPr="002B55E9">
              <w:rPr>
                <w:rFonts w:eastAsia="宋体" w:hint="eastAsia"/>
              </w:rPr>
              <w:t>10m</w:t>
            </w:r>
            <w:r w:rsidRPr="002B55E9">
              <w:rPr>
                <w:rFonts w:eastAsia="宋体"/>
              </w:rPr>
              <w:t>³</w:t>
            </w:r>
          </w:p>
        </w:tc>
        <w:tc>
          <w:tcPr>
            <w:tcW w:w="1319" w:type="dxa"/>
          </w:tcPr>
          <w:p w14:paraId="2D3885A9" w14:textId="77777777" w:rsidR="00D170E5" w:rsidRPr="002B55E9" w:rsidRDefault="00EF27AD">
            <w:pPr>
              <w:pStyle w:val="lgy-"/>
            </w:pPr>
            <w:r w:rsidRPr="002B55E9">
              <w:rPr>
                <w:rFonts w:eastAsia="宋体"/>
              </w:rPr>
              <w:t>21</w:t>
            </w:r>
          </w:p>
        </w:tc>
        <w:tc>
          <w:tcPr>
            <w:tcW w:w="1319" w:type="dxa"/>
            <w:noWrap/>
          </w:tcPr>
          <w:p w14:paraId="6C6C7205" w14:textId="27122300" w:rsidR="00D170E5" w:rsidRPr="002B55E9" w:rsidRDefault="00EF27AD" w:rsidP="00F77D5F">
            <w:pPr>
              <w:pStyle w:val="lgy-"/>
            </w:pPr>
            <w:r w:rsidRPr="002B55E9">
              <w:rPr>
                <w:rFonts w:eastAsia="宋体" w:hint="eastAsia"/>
              </w:rPr>
              <w:t>乙酸</w:t>
            </w:r>
          </w:p>
        </w:tc>
        <w:tc>
          <w:tcPr>
            <w:tcW w:w="1188" w:type="dxa"/>
            <w:noWrap/>
          </w:tcPr>
          <w:p w14:paraId="175F0A8D" w14:textId="77777777" w:rsidR="00D170E5" w:rsidRPr="002B55E9" w:rsidRDefault="00EF27AD">
            <w:pPr>
              <w:pStyle w:val="lgy-"/>
              <w:rPr>
                <w:rFonts w:eastAsia="宋体"/>
              </w:rPr>
            </w:pPr>
            <w:r w:rsidRPr="002B55E9">
              <w:rPr>
                <w:rFonts w:eastAsia="宋体"/>
              </w:rPr>
              <w:t>2.331</w:t>
            </w:r>
          </w:p>
        </w:tc>
      </w:tr>
      <w:tr w:rsidR="002B55E9" w:rsidRPr="002B55E9" w14:paraId="1F851C38" w14:textId="77777777" w:rsidTr="00EF27AD">
        <w:trPr>
          <w:trHeight w:val="283"/>
        </w:trPr>
        <w:tc>
          <w:tcPr>
            <w:tcW w:w="725" w:type="dxa"/>
            <w:noWrap/>
          </w:tcPr>
          <w:p w14:paraId="78CA6197" w14:textId="77777777" w:rsidR="00D170E5" w:rsidRPr="002B55E9" w:rsidRDefault="00EF27AD">
            <w:pPr>
              <w:pStyle w:val="lgy-"/>
              <w:rPr>
                <w:szCs w:val="20"/>
              </w:rPr>
            </w:pPr>
            <w:r w:rsidRPr="002B55E9">
              <w:rPr>
                <w:rFonts w:eastAsia="宋体" w:hint="eastAsia"/>
                <w:szCs w:val="20"/>
              </w:rPr>
              <w:t>13</w:t>
            </w:r>
          </w:p>
        </w:tc>
        <w:tc>
          <w:tcPr>
            <w:tcW w:w="1495" w:type="dxa"/>
            <w:vMerge/>
            <w:noWrap/>
          </w:tcPr>
          <w:p w14:paraId="070ECA6E" w14:textId="77777777" w:rsidR="00D170E5" w:rsidRPr="002B55E9" w:rsidRDefault="00D170E5">
            <w:pPr>
              <w:pStyle w:val="lgy-"/>
            </w:pPr>
          </w:p>
        </w:tc>
        <w:tc>
          <w:tcPr>
            <w:tcW w:w="1524" w:type="dxa"/>
            <w:vMerge/>
          </w:tcPr>
          <w:p w14:paraId="5D789914" w14:textId="77777777" w:rsidR="00D170E5" w:rsidRPr="002B55E9" w:rsidRDefault="00D170E5">
            <w:pPr>
              <w:pStyle w:val="lgy-"/>
            </w:pPr>
          </w:p>
        </w:tc>
        <w:tc>
          <w:tcPr>
            <w:tcW w:w="880" w:type="dxa"/>
            <w:noWrap/>
          </w:tcPr>
          <w:p w14:paraId="76957A2A" w14:textId="77777777" w:rsidR="00D170E5" w:rsidRPr="002B55E9" w:rsidRDefault="00EF27AD">
            <w:pPr>
              <w:pStyle w:val="lgy-"/>
            </w:pPr>
            <w:r w:rsidRPr="002B55E9">
              <w:rPr>
                <w:rFonts w:eastAsia="宋体" w:hint="eastAsia"/>
              </w:rPr>
              <w:t>1</w:t>
            </w:r>
          </w:p>
        </w:tc>
        <w:tc>
          <w:tcPr>
            <w:tcW w:w="1187" w:type="dxa"/>
            <w:noWrap/>
          </w:tcPr>
          <w:p w14:paraId="5F7C9EA8" w14:textId="77777777" w:rsidR="00D170E5" w:rsidRPr="002B55E9" w:rsidRDefault="00EF27AD">
            <w:pPr>
              <w:pStyle w:val="lgy-"/>
            </w:pPr>
            <w:r w:rsidRPr="002B55E9">
              <w:rPr>
                <w:rFonts w:eastAsia="宋体" w:hint="eastAsia"/>
              </w:rPr>
              <w:t>5m</w:t>
            </w:r>
            <w:r w:rsidRPr="002B55E9">
              <w:rPr>
                <w:rFonts w:eastAsia="宋体"/>
              </w:rPr>
              <w:t>³</w:t>
            </w:r>
          </w:p>
        </w:tc>
        <w:tc>
          <w:tcPr>
            <w:tcW w:w="1319" w:type="dxa"/>
          </w:tcPr>
          <w:p w14:paraId="4ADF878B" w14:textId="77777777" w:rsidR="00D170E5" w:rsidRPr="002B55E9" w:rsidRDefault="00EF27AD">
            <w:pPr>
              <w:pStyle w:val="lgy-"/>
            </w:pPr>
            <w:r w:rsidRPr="002B55E9">
              <w:rPr>
                <w:rFonts w:eastAsia="宋体"/>
              </w:rPr>
              <w:t>3.5</w:t>
            </w:r>
          </w:p>
        </w:tc>
        <w:tc>
          <w:tcPr>
            <w:tcW w:w="1319" w:type="dxa"/>
            <w:noWrap/>
          </w:tcPr>
          <w:p w14:paraId="7C5FCAA4" w14:textId="7DD573EA" w:rsidR="00D170E5" w:rsidRPr="002B55E9" w:rsidRDefault="00EF27AD" w:rsidP="00F77D5F">
            <w:pPr>
              <w:pStyle w:val="lgy-"/>
            </w:pPr>
            <w:r w:rsidRPr="002B55E9">
              <w:rPr>
                <w:rFonts w:eastAsia="宋体" w:hint="eastAsia"/>
              </w:rPr>
              <w:t>乙酸</w:t>
            </w:r>
          </w:p>
        </w:tc>
        <w:tc>
          <w:tcPr>
            <w:tcW w:w="1188" w:type="dxa"/>
            <w:noWrap/>
          </w:tcPr>
          <w:p w14:paraId="01EDEC0B" w14:textId="77777777" w:rsidR="00D170E5" w:rsidRPr="002B55E9" w:rsidRDefault="00EF27AD">
            <w:pPr>
              <w:pStyle w:val="lgy-"/>
              <w:rPr>
                <w:rFonts w:eastAsia="宋体"/>
              </w:rPr>
            </w:pPr>
            <w:r w:rsidRPr="002B55E9">
              <w:rPr>
                <w:rFonts w:eastAsia="宋体"/>
              </w:rPr>
              <w:t>0.3885</w:t>
            </w:r>
          </w:p>
        </w:tc>
      </w:tr>
      <w:tr w:rsidR="002B55E9" w:rsidRPr="002B55E9" w14:paraId="7E9F4152" w14:textId="77777777" w:rsidTr="00EF27AD">
        <w:trPr>
          <w:trHeight w:val="283"/>
        </w:trPr>
        <w:tc>
          <w:tcPr>
            <w:tcW w:w="725" w:type="dxa"/>
            <w:noWrap/>
          </w:tcPr>
          <w:p w14:paraId="509848FE" w14:textId="77777777" w:rsidR="00D170E5" w:rsidRPr="002B55E9" w:rsidRDefault="00D170E5">
            <w:pPr>
              <w:pStyle w:val="lgy-"/>
              <w:rPr>
                <w:szCs w:val="20"/>
              </w:rPr>
            </w:pPr>
          </w:p>
        </w:tc>
        <w:tc>
          <w:tcPr>
            <w:tcW w:w="1495" w:type="dxa"/>
            <w:vMerge/>
            <w:noWrap/>
          </w:tcPr>
          <w:p w14:paraId="7D350F09" w14:textId="77777777" w:rsidR="00D170E5" w:rsidRPr="002B55E9" w:rsidRDefault="00D170E5">
            <w:pPr>
              <w:pStyle w:val="lgy-"/>
            </w:pPr>
          </w:p>
        </w:tc>
        <w:tc>
          <w:tcPr>
            <w:tcW w:w="1524" w:type="dxa"/>
            <w:vMerge/>
          </w:tcPr>
          <w:p w14:paraId="778ED982" w14:textId="77777777" w:rsidR="00D170E5" w:rsidRPr="002B55E9" w:rsidRDefault="00D170E5">
            <w:pPr>
              <w:pStyle w:val="lgy-"/>
            </w:pPr>
          </w:p>
        </w:tc>
        <w:tc>
          <w:tcPr>
            <w:tcW w:w="880" w:type="dxa"/>
            <w:noWrap/>
          </w:tcPr>
          <w:p w14:paraId="3E3B3934" w14:textId="77777777" w:rsidR="00D170E5" w:rsidRPr="002B55E9" w:rsidRDefault="00EF27AD">
            <w:pPr>
              <w:pStyle w:val="lgy-"/>
            </w:pPr>
            <w:r w:rsidRPr="002B55E9">
              <w:rPr>
                <w:rFonts w:eastAsia="宋体" w:hint="eastAsia"/>
              </w:rPr>
              <w:t>1</w:t>
            </w:r>
          </w:p>
        </w:tc>
        <w:tc>
          <w:tcPr>
            <w:tcW w:w="1187" w:type="dxa"/>
            <w:noWrap/>
          </w:tcPr>
          <w:p w14:paraId="010E45CE" w14:textId="77777777" w:rsidR="00D170E5" w:rsidRPr="002B55E9" w:rsidRDefault="00EF27AD">
            <w:pPr>
              <w:pStyle w:val="lgy-"/>
            </w:pPr>
            <w:r w:rsidRPr="002B55E9">
              <w:rPr>
                <w:rFonts w:eastAsia="宋体" w:hint="eastAsia"/>
              </w:rPr>
              <w:t>1</w:t>
            </w:r>
            <w:r w:rsidRPr="002B55E9">
              <w:rPr>
                <w:rFonts w:eastAsia="宋体"/>
              </w:rPr>
              <w:t>00</w:t>
            </w:r>
            <w:r w:rsidRPr="002B55E9">
              <w:rPr>
                <w:rFonts w:eastAsia="宋体" w:hint="eastAsia"/>
              </w:rPr>
              <w:t>m</w:t>
            </w:r>
            <w:r w:rsidRPr="002B55E9">
              <w:rPr>
                <w:rFonts w:eastAsia="宋体"/>
              </w:rPr>
              <w:t>³</w:t>
            </w:r>
          </w:p>
        </w:tc>
        <w:tc>
          <w:tcPr>
            <w:tcW w:w="1319" w:type="dxa"/>
          </w:tcPr>
          <w:p w14:paraId="1B988F02" w14:textId="77777777" w:rsidR="00D170E5" w:rsidRPr="002B55E9" w:rsidRDefault="00EF27AD">
            <w:pPr>
              <w:pStyle w:val="lgy-"/>
            </w:pPr>
            <w:r w:rsidRPr="002B55E9">
              <w:rPr>
                <w:rFonts w:eastAsia="宋体" w:hint="eastAsia"/>
              </w:rPr>
              <w:t>7</w:t>
            </w:r>
            <w:r w:rsidRPr="002B55E9">
              <w:rPr>
                <w:rFonts w:eastAsia="宋体"/>
              </w:rPr>
              <w:t>0</w:t>
            </w:r>
          </w:p>
        </w:tc>
        <w:tc>
          <w:tcPr>
            <w:tcW w:w="1319" w:type="dxa"/>
            <w:noWrap/>
          </w:tcPr>
          <w:p w14:paraId="46B308C8" w14:textId="00CCCBB4" w:rsidR="00D170E5" w:rsidRPr="002B55E9" w:rsidRDefault="00EF27AD" w:rsidP="00F77D5F">
            <w:pPr>
              <w:pStyle w:val="lgy-"/>
            </w:pPr>
            <w:r w:rsidRPr="002B55E9">
              <w:rPr>
                <w:rFonts w:eastAsia="宋体" w:hint="eastAsia"/>
              </w:rPr>
              <w:t>乙酸</w:t>
            </w:r>
          </w:p>
        </w:tc>
        <w:tc>
          <w:tcPr>
            <w:tcW w:w="1188" w:type="dxa"/>
            <w:noWrap/>
          </w:tcPr>
          <w:p w14:paraId="5D64C9D1" w14:textId="77777777" w:rsidR="00D170E5" w:rsidRPr="002B55E9" w:rsidRDefault="00EF27AD">
            <w:pPr>
              <w:pStyle w:val="lgy-"/>
              <w:rPr>
                <w:rFonts w:eastAsia="宋体"/>
              </w:rPr>
            </w:pPr>
            <w:r w:rsidRPr="002B55E9">
              <w:rPr>
                <w:rFonts w:eastAsia="宋体"/>
              </w:rPr>
              <w:t>7.77</w:t>
            </w:r>
          </w:p>
        </w:tc>
      </w:tr>
      <w:tr w:rsidR="002B55E9" w:rsidRPr="002B55E9" w14:paraId="044F2043" w14:textId="77777777" w:rsidTr="00EF27AD">
        <w:trPr>
          <w:trHeight w:val="283"/>
        </w:trPr>
        <w:tc>
          <w:tcPr>
            <w:tcW w:w="725" w:type="dxa"/>
            <w:noWrap/>
          </w:tcPr>
          <w:p w14:paraId="3E99E44B" w14:textId="77777777" w:rsidR="00D170E5" w:rsidRPr="002B55E9" w:rsidRDefault="00EF27AD">
            <w:pPr>
              <w:pStyle w:val="lgy-"/>
              <w:rPr>
                <w:szCs w:val="20"/>
              </w:rPr>
            </w:pPr>
            <w:r w:rsidRPr="002B55E9">
              <w:rPr>
                <w:rFonts w:eastAsia="宋体" w:hint="eastAsia"/>
                <w:szCs w:val="20"/>
              </w:rPr>
              <w:t>14</w:t>
            </w:r>
          </w:p>
        </w:tc>
        <w:tc>
          <w:tcPr>
            <w:tcW w:w="1495" w:type="dxa"/>
            <w:vMerge/>
            <w:noWrap/>
          </w:tcPr>
          <w:p w14:paraId="30D7F4AD" w14:textId="77777777" w:rsidR="00D170E5" w:rsidRPr="002B55E9" w:rsidRDefault="00D170E5">
            <w:pPr>
              <w:pStyle w:val="lgy-"/>
            </w:pPr>
          </w:p>
        </w:tc>
        <w:tc>
          <w:tcPr>
            <w:tcW w:w="1524" w:type="dxa"/>
            <w:vMerge/>
          </w:tcPr>
          <w:p w14:paraId="67D26C1C" w14:textId="77777777" w:rsidR="00D170E5" w:rsidRPr="002B55E9" w:rsidRDefault="00D170E5">
            <w:pPr>
              <w:pStyle w:val="lgy-"/>
            </w:pPr>
          </w:p>
        </w:tc>
        <w:tc>
          <w:tcPr>
            <w:tcW w:w="880" w:type="dxa"/>
            <w:noWrap/>
          </w:tcPr>
          <w:p w14:paraId="0E8A5128" w14:textId="77777777" w:rsidR="00D170E5" w:rsidRPr="002B55E9" w:rsidRDefault="00EF27AD">
            <w:pPr>
              <w:pStyle w:val="lgy-"/>
            </w:pPr>
            <w:r w:rsidRPr="002B55E9">
              <w:rPr>
                <w:rFonts w:eastAsia="宋体"/>
              </w:rPr>
              <w:t>4</w:t>
            </w:r>
          </w:p>
        </w:tc>
        <w:tc>
          <w:tcPr>
            <w:tcW w:w="1187" w:type="dxa"/>
            <w:noWrap/>
          </w:tcPr>
          <w:p w14:paraId="6B581CFB" w14:textId="77777777" w:rsidR="00D170E5" w:rsidRPr="002B55E9" w:rsidRDefault="00EF27AD">
            <w:pPr>
              <w:pStyle w:val="lgy-"/>
            </w:pPr>
            <w:r w:rsidRPr="002B55E9">
              <w:rPr>
                <w:rFonts w:eastAsia="宋体" w:hint="eastAsia"/>
              </w:rPr>
              <w:t>50m</w:t>
            </w:r>
            <w:r w:rsidRPr="002B55E9">
              <w:rPr>
                <w:rFonts w:eastAsia="宋体"/>
              </w:rPr>
              <w:t>³</w:t>
            </w:r>
          </w:p>
        </w:tc>
        <w:tc>
          <w:tcPr>
            <w:tcW w:w="1319" w:type="dxa"/>
          </w:tcPr>
          <w:p w14:paraId="2E5CC4E4" w14:textId="77777777" w:rsidR="00D170E5" w:rsidRPr="002B55E9" w:rsidRDefault="00EF27AD">
            <w:pPr>
              <w:pStyle w:val="lgy-"/>
            </w:pPr>
            <w:r w:rsidRPr="002B55E9">
              <w:rPr>
                <w:rFonts w:eastAsia="宋体"/>
              </w:rPr>
              <w:t>140</w:t>
            </w:r>
          </w:p>
        </w:tc>
        <w:tc>
          <w:tcPr>
            <w:tcW w:w="1319" w:type="dxa"/>
            <w:noWrap/>
          </w:tcPr>
          <w:p w14:paraId="37FA3479" w14:textId="4BAF56E3" w:rsidR="00D170E5" w:rsidRPr="002B55E9" w:rsidRDefault="00EF27AD" w:rsidP="00F77D5F">
            <w:pPr>
              <w:pStyle w:val="lgy-"/>
            </w:pPr>
            <w:r w:rsidRPr="002B55E9">
              <w:rPr>
                <w:rFonts w:eastAsia="宋体" w:hint="eastAsia"/>
              </w:rPr>
              <w:t>乙酸</w:t>
            </w:r>
          </w:p>
        </w:tc>
        <w:tc>
          <w:tcPr>
            <w:tcW w:w="1188" w:type="dxa"/>
            <w:noWrap/>
          </w:tcPr>
          <w:p w14:paraId="14BBD10A" w14:textId="77777777" w:rsidR="00D170E5" w:rsidRPr="002B55E9" w:rsidRDefault="00EF27AD">
            <w:pPr>
              <w:pStyle w:val="lgy-"/>
              <w:rPr>
                <w:rFonts w:eastAsia="宋体"/>
              </w:rPr>
            </w:pPr>
            <w:r w:rsidRPr="002B55E9">
              <w:rPr>
                <w:rFonts w:eastAsia="宋体"/>
              </w:rPr>
              <w:t>15.54</w:t>
            </w:r>
          </w:p>
        </w:tc>
      </w:tr>
      <w:tr w:rsidR="002B55E9" w:rsidRPr="002B55E9" w14:paraId="5294730A" w14:textId="77777777" w:rsidTr="00EF27AD">
        <w:trPr>
          <w:trHeight w:val="283"/>
        </w:trPr>
        <w:tc>
          <w:tcPr>
            <w:tcW w:w="725" w:type="dxa"/>
            <w:noWrap/>
          </w:tcPr>
          <w:p w14:paraId="6A956395" w14:textId="77777777" w:rsidR="00D170E5" w:rsidRPr="002B55E9" w:rsidRDefault="00EF27AD">
            <w:pPr>
              <w:pStyle w:val="lgy-"/>
              <w:rPr>
                <w:szCs w:val="20"/>
              </w:rPr>
            </w:pPr>
            <w:r w:rsidRPr="002B55E9">
              <w:rPr>
                <w:rFonts w:eastAsia="宋体" w:hint="eastAsia"/>
                <w:szCs w:val="20"/>
              </w:rPr>
              <w:t>15</w:t>
            </w:r>
          </w:p>
        </w:tc>
        <w:tc>
          <w:tcPr>
            <w:tcW w:w="1495" w:type="dxa"/>
            <w:noWrap/>
          </w:tcPr>
          <w:p w14:paraId="001A42A5" w14:textId="77777777" w:rsidR="00D170E5" w:rsidRPr="002B55E9" w:rsidRDefault="00EF27AD">
            <w:pPr>
              <w:pStyle w:val="lgy-"/>
            </w:pPr>
            <w:r w:rsidRPr="002B55E9">
              <w:rPr>
                <w:rFonts w:eastAsia="宋体" w:hint="eastAsia"/>
              </w:rPr>
              <w:t>十三车间白米醋</w:t>
            </w:r>
            <w:r w:rsidRPr="002B55E9">
              <w:rPr>
                <w:rFonts w:eastAsia="宋体"/>
              </w:rPr>
              <w:t>、陈香醋</w:t>
            </w:r>
            <w:r w:rsidRPr="002B55E9">
              <w:rPr>
                <w:rFonts w:eastAsia="宋体" w:hint="eastAsia"/>
              </w:rPr>
              <w:t>共用</w:t>
            </w:r>
          </w:p>
        </w:tc>
        <w:tc>
          <w:tcPr>
            <w:tcW w:w="1524" w:type="dxa"/>
          </w:tcPr>
          <w:p w14:paraId="0A7B5C8E" w14:textId="77777777" w:rsidR="00D170E5" w:rsidRPr="002B55E9" w:rsidRDefault="00EF27AD">
            <w:pPr>
              <w:pStyle w:val="lgy-"/>
            </w:pPr>
            <w:r w:rsidRPr="002B55E9">
              <w:rPr>
                <w:rFonts w:eastAsia="宋体" w:hint="eastAsia"/>
              </w:rPr>
              <w:t>白米醋</w:t>
            </w:r>
          </w:p>
        </w:tc>
        <w:tc>
          <w:tcPr>
            <w:tcW w:w="880" w:type="dxa"/>
            <w:noWrap/>
          </w:tcPr>
          <w:p w14:paraId="399A784C" w14:textId="77777777" w:rsidR="00D170E5" w:rsidRPr="002B55E9" w:rsidRDefault="00EF27AD">
            <w:pPr>
              <w:pStyle w:val="lgy-"/>
            </w:pPr>
            <w:r w:rsidRPr="002B55E9">
              <w:rPr>
                <w:rFonts w:eastAsia="宋体" w:hint="eastAsia"/>
              </w:rPr>
              <w:t>6</w:t>
            </w:r>
          </w:p>
        </w:tc>
        <w:tc>
          <w:tcPr>
            <w:tcW w:w="1187" w:type="dxa"/>
            <w:noWrap/>
          </w:tcPr>
          <w:p w14:paraId="7605D31D" w14:textId="77777777" w:rsidR="00D170E5" w:rsidRPr="002B55E9" w:rsidRDefault="00EF27AD">
            <w:pPr>
              <w:pStyle w:val="lgy-"/>
            </w:pPr>
            <w:r w:rsidRPr="002B55E9">
              <w:rPr>
                <w:rFonts w:eastAsia="宋体" w:hint="eastAsia"/>
              </w:rPr>
              <w:t>80</w:t>
            </w:r>
            <w:r w:rsidRPr="002B55E9">
              <w:rPr>
                <w:rFonts w:eastAsia="宋体"/>
              </w:rPr>
              <w:t xml:space="preserve"> m</w:t>
            </w:r>
            <w:r w:rsidRPr="002B55E9">
              <w:rPr>
                <w:rFonts w:eastAsia="宋体"/>
                <w:vertAlign w:val="superscript"/>
              </w:rPr>
              <w:t>3</w:t>
            </w:r>
          </w:p>
        </w:tc>
        <w:tc>
          <w:tcPr>
            <w:tcW w:w="1319" w:type="dxa"/>
          </w:tcPr>
          <w:p w14:paraId="5880F672" w14:textId="77777777" w:rsidR="00D170E5" w:rsidRPr="002B55E9" w:rsidRDefault="00EF27AD">
            <w:pPr>
              <w:pStyle w:val="lgy-"/>
            </w:pPr>
            <w:r w:rsidRPr="002B55E9">
              <w:rPr>
                <w:rFonts w:eastAsia="宋体"/>
              </w:rPr>
              <w:t>336</w:t>
            </w:r>
          </w:p>
        </w:tc>
        <w:tc>
          <w:tcPr>
            <w:tcW w:w="1319" w:type="dxa"/>
            <w:noWrap/>
          </w:tcPr>
          <w:p w14:paraId="667B5771" w14:textId="78D15E41" w:rsidR="00D170E5" w:rsidRPr="002B55E9" w:rsidRDefault="00EF27AD" w:rsidP="00F77D5F">
            <w:pPr>
              <w:pStyle w:val="lgy-"/>
            </w:pPr>
            <w:r w:rsidRPr="002B55E9">
              <w:rPr>
                <w:rFonts w:eastAsia="宋体" w:hint="eastAsia"/>
              </w:rPr>
              <w:t>乙酸</w:t>
            </w:r>
          </w:p>
        </w:tc>
        <w:tc>
          <w:tcPr>
            <w:tcW w:w="1188" w:type="dxa"/>
            <w:noWrap/>
          </w:tcPr>
          <w:p w14:paraId="24D676B3" w14:textId="77777777" w:rsidR="00D170E5" w:rsidRPr="002B55E9" w:rsidRDefault="00EF27AD">
            <w:pPr>
              <w:pStyle w:val="lgy-"/>
              <w:rPr>
                <w:rFonts w:eastAsia="宋体"/>
              </w:rPr>
            </w:pPr>
            <w:r w:rsidRPr="002B55E9">
              <w:rPr>
                <w:rFonts w:eastAsia="宋体"/>
              </w:rPr>
              <w:t>18.48</w:t>
            </w:r>
          </w:p>
        </w:tc>
      </w:tr>
    </w:tbl>
    <w:p w14:paraId="43BFC175"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t>表</w:t>
      </w:r>
      <w:r w:rsidRPr="002B55E9">
        <w:rPr>
          <w:rFonts w:eastAsia="黑体" w:hint="eastAsia"/>
          <w:b/>
          <w:sz w:val="24"/>
          <w:szCs w:val="28"/>
        </w:rPr>
        <w:t xml:space="preserve">6-1-6  </w:t>
      </w:r>
      <w:r w:rsidRPr="002B55E9">
        <w:rPr>
          <w:rFonts w:eastAsia="黑体" w:hint="eastAsia"/>
          <w:b/>
          <w:sz w:val="24"/>
          <w:szCs w:val="28"/>
        </w:rPr>
        <w:t>本项目其他</w:t>
      </w:r>
      <w:r w:rsidRPr="002B55E9">
        <w:rPr>
          <w:rFonts w:eastAsia="黑体"/>
          <w:b/>
          <w:sz w:val="24"/>
          <w:szCs w:val="28"/>
        </w:rPr>
        <w:t>危险物质</w:t>
      </w:r>
      <w:r w:rsidRPr="002B55E9">
        <w:rPr>
          <w:rFonts w:eastAsia="黑体" w:hint="eastAsia"/>
          <w:b/>
          <w:sz w:val="24"/>
          <w:szCs w:val="28"/>
        </w:rPr>
        <w:t>储存</w:t>
      </w:r>
      <w:r w:rsidRPr="002B55E9">
        <w:rPr>
          <w:rFonts w:eastAsia="黑体"/>
          <w:b/>
          <w:sz w:val="24"/>
          <w:szCs w:val="28"/>
        </w:rPr>
        <w:t>情况</w:t>
      </w:r>
      <w:r w:rsidRPr="002B55E9">
        <w:rPr>
          <w:rFonts w:eastAsia="黑体" w:hint="eastAsia"/>
          <w:b/>
          <w:sz w:val="24"/>
          <w:szCs w:val="28"/>
        </w:rPr>
        <w:t>一览表</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91"/>
        <w:gridCol w:w="2017"/>
        <w:gridCol w:w="3413"/>
        <w:gridCol w:w="2616"/>
      </w:tblGrid>
      <w:tr w:rsidR="002B55E9" w:rsidRPr="002B55E9" w14:paraId="1869F656" w14:textId="77777777">
        <w:trPr>
          <w:trHeight w:val="284"/>
        </w:trPr>
        <w:tc>
          <w:tcPr>
            <w:tcW w:w="1591" w:type="dxa"/>
            <w:shd w:val="clear" w:color="auto" w:fill="auto"/>
            <w:vAlign w:val="center"/>
          </w:tcPr>
          <w:p w14:paraId="2E6D789A" w14:textId="77777777" w:rsidR="00D170E5" w:rsidRPr="002B55E9" w:rsidRDefault="00EF27AD">
            <w:pPr>
              <w:pStyle w:val="affffffffffffffffff6"/>
              <w:widowControl w:val="0"/>
              <w:ind w:left="-40" w:right="-40"/>
            </w:pPr>
            <w:r w:rsidRPr="002B55E9">
              <w:rPr>
                <w:rFonts w:hint="eastAsia"/>
              </w:rPr>
              <w:t>序号</w:t>
            </w:r>
          </w:p>
        </w:tc>
        <w:tc>
          <w:tcPr>
            <w:tcW w:w="2017" w:type="dxa"/>
            <w:shd w:val="clear" w:color="auto" w:fill="auto"/>
            <w:vAlign w:val="center"/>
          </w:tcPr>
          <w:p w14:paraId="38B87048" w14:textId="77777777" w:rsidR="00D170E5" w:rsidRPr="002B55E9" w:rsidRDefault="00EF27AD">
            <w:pPr>
              <w:pStyle w:val="affffffffffffffffff6"/>
              <w:widowControl w:val="0"/>
              <w:ind w:left="-40" w:right="-40"/>
            </w:pPr>
            <w:r w:rsidRPr="002B55E9">
              <w:rPr>
                <w:rFonts w:hint="eastAsia"/>
              </w:rPr>
              <w:t>储存</w:t>
            </w:r>
            <w:r w:rsidRPr="002B55E9">
              <w:t>区域</w:t>
            </w:r>
          </w:p>
        </w:tc>
        <w:tc>
          <w:tcPr>
            <w:tcW w:w="3413" w:type="dxa"/>
            <w:shd w:val="clear" w:color="auto" w:fill="auto"/>
            <w:vAlign w:val="center"/>
          </w:tcPr>
          <w:p w14:paraId="16B846D0" w14:textId="77777777" w:rsidR="00D170E5" w:rsidRPr="002B55E9" w:rsidRDefault="00EF27AD">
            <w:pPr>
              <w:pStyle w:val="affffffffffffffffff6"/>
              <w:widowControl w:val="0"/>
              <w:ind w:left="-40" w:right="-40"/>
              <w:rPr>
                <w:rFonts w:ascii="宋体" w:hAnsi="宋体"/>
              </w:rPr>
            </w:pPr>
            <w:r w:rsidRPr="002B55E9">
              <w:rPr>
                <w:rFonts w:ascii="宋体" w:hAnsi="宋体" w:hint="eastAsia"/>
              </w:rPr>
              <w:t>储存</w:t>
            </w:r>
            <w:r w:rsidRPr="002B55E9">
              <w:rPr>
                <w:rFonts w:ascii="宋体" w:hAnsi="宋体"/>
              </w:rPr>
              <w:t>物质</w:t>
            </w:r>
          </w:p>
        </w:tc>
        <w:tc>
          <w:tcPr>
            <w:tcW w:w="2616" w:type="dxa"/>
            <w:shd w:val="clear" w:color="auto" w:fill="auto"/>
            <w:vAlign w:val="center"/>
          </w:tcPr>
          <w:p w14:paraId="36814612" w14:textId="77777777" w:rsidR="00D170E5" w:rsidRPr="002B55E9" w:rsidRDefault="00EF27AD">
            <w:pPr>
              <w:pStyle w:val="affffffffffffffffff6"/>
              <w:widowControl w:val="0"/>
              <w:ind w:left="-40" w:right="-40"/>
            </w:pPr>
            <w:r w:rsidRPr="002B55E9">
              <w:rPr>
                <w:rFonts w:hint="eastAsia"/>
              </w:rPr>
              <w:t>风险</w:t>
            </w:r>
            <w:r w:rsidRPr="002B55E9">
              <w:t>物质最大</w:t>
            </w:r>
            <w:r w:rsidRPr="002B55E9">
              <w:rPr>
                <w:rFonts w:hint="eastAsia"/>
              </w:rPr>
              <w:t>储量</w:t>
            </w:r>
            <w:r w:rsidRPr="002B55E9">
              <w:rPr>
                <w:rFonts w:hint="eastAsia"/>
              </w:rPr>
              <w:t>t</w:t>
            </w:r>
          </w:p>
        </w:tc>
      </w:tr>
      <w:tr w:rsidR="002B55E9" w:rsidRPr="002B55E9" w14:paraId="54B3DFDB" w14:textId="77777777">
        <w:trPr>
          <w:trHeight w:val="284"/>
        </w:trPr>
        <w:tc>
          <w:tcPr>
            <w:tcW w:w="1591" w:type="dxa"/>
            <w:shd w:val="clear" w:color="auto" w:fill="auto"/>
            <w:noWrap/>
            <w:vAlign w:val="center"/>
          </w:tcPr>
          <w:p w14:paraId="341BF3E5" w14:textId="77777777" w:rsidR="00D170E5" w:rsidRPr="002B55E9" w:rsidRDefault="00EF27AD">
            <w:pPr>
              <w:pStyle w:val="affffffffffffffffff6"/>
              <w:widowControl w:val="0"/>
              <w:ind w:left="-40" w:right="-40"/>
              <w:rPr>
                <w:sz w:val="20"/>
                <w:szCs w:val="20"/>
              </w:rPr>
            </w:pPr>
            <w:r w:rsidRPr="002B55E9">
              <w:rPr>
                <w:rFonts w:hint="eastAsia"/>
                <w:sz w:val="20"/>
                <w:szCs w:val="20"/>
              </w:rPr>
              <w:t>1</w:t>
            </w:r>
          </w:p>
        </w:tc>
        <w:tc>
          <w:tcPr>
            <w:tcW w:w="2017" w:type="dxa"/>
            <w:vMerge w:val="restart"/>
            <w:shd w:val="clear" w:color="auto" w:fill="auto"/>
            <w:noWrap/>
            <w:vAlign w:val="center"/>
          </w:tcPr>
          <w:p w14:paraId="2F6869F1" w14:textId="77777777" w:rsidR="00D170E5" w:rsidRPr="002B55E9" w:rsidRDefault="00EF27AD">
            <w:pPr>
              <w:jc w:val="center"/>
              <w:rPr>
                <w:sz w:val="18"/>
                <w:szCs w:val="18"/>
              </w:rPr>
            </w:pPr>
            <w:r w:rsidRPr="002B55E9">
              <w:rPr>
                <w:rFonts w:hint="eastAsia"/>
                <w:sz w:val="18"/>
                <w:szCs w:val="18"/>
              </w:rPr>
              <w:t>十三</w:t>
            </w:r>
            <w:r w:rsidRPr="002B55E9">
              <w:rPr>
                <w:sz w:val="18"/>
                <w:szCs w:val="18"/>
              </w:rPr>
              <w:t>车间</w:t>
            </w:r>
          </w:p>
        </w:tc>
        <w:tc>
          <w:tcPr>
            <w:tcW w:w="3413" w:type="dxa"/>
            <w:shd w:val="clear" w:color="auto" w:fill="auto"/>
            <w:vAlign w:val="center"/>
          </w:tcPr>
          <w:p w14:paraId="53B4FC8B" w14:textId="77777777" w:rsidR="00D170E5" w:rsidRPr="002B55E9" w:rsidRDefault="00EF27AD">
            <w:pPr>
              <w:jc w:val="center"/>
              <w:rPr>
                <w:rFonts w:ascii="宋体" w:hAnsi="宋体"/>
                <w:sz w:val="18"/>
                <w:szCs w:val="18"/>
              </w:rPr>
            </w:pPr>
            <w:r w:rsidRPr="002B55E9">
              <w:rPr>
                <w:rFonts w:ascii="宋体" w:hAnsi="宋体" w:hint="eastAsia"/>
                <w:sz w:val="18"/>
                <w:szCs w:val="18"/>
              </w:rPr>
              <w:t>过氧</w:t>
            </w:r>
            <w:r w:rsidRPr="002B55E9">
              <w:rPr>
                <w:rFonts w:ascii="宋体" w:hAnsi="宋体"/>
                <w:sz w:val="18"/>
                <w:szCs w:val="18"/>
              </w:rPr>
              <w:t>乙酸</w:t>
            </w:r>
            <w:r w:rsidRPr="002B55E9">
              <w:rPr>
                <w:rFonts w:hint="eastAsia"/>
                <w:sz w:val="18"/>
                <w:szCs w:val="18"/>
              </w:rPr>
              <w:t>20</w:t>
            </w:r>
            <w:r w:rsidRPr="002B55E9">
              <w:rPr>
                <w:rFonts w:ascii="宋体" w:hAnsi="宋体"/>
                <w:sz w:val="18"/>
                <w:szCs w:val="18"/>
              </w:rPr>
              <w:t>%</w:t>
            </w:r>
          </w:p>
        </w:tc>
        <w:tc>
          <w:tcPr>
            <w:tcW w:w="2616" w:type="dxa"/>
            <w:shd w:val="clear" w:color="auto" w:fill="auto"/>
            <w:noWrap/>
            <w:vAlign w:val="center"/>
          </w:tcPr>
          <w:p w14:paraId="614950F6" w14:textId="77777777" w:rsidR="00D170E5" w:rsidRPr="002B55E9" w:rsidRDefault="00EF27AD">
            <w:pPr>
              <w:jc w:val="center"/>
              <w:rPr>
                <w:rFonts w:eastAsia="等线"/>
                <w:sz w:val="18"/>
                <w:szCs w:val="18"/>
              </w:rPr>
            </w:pPr>
            <w:r w:rsidRPr="002B55E9">
              <w:rPr>
                <w:rFonts w:eastAsia="等线" w:hint="eastAsia"/>
                <w:sz w:val="18"/>
                <w:szCs w:val="18"/>
              </w:rPr>
              <w:t>0.1</w:t>
            </w:r>
          </w:p>
        </w:tc>
      </w:tr>
      <w:tr w:rsidR="002B55E9" w:rsidRPr="002B55E9" w14:paraId="348B2929" w14:textId="77777777">
        <w:trPr>
          <w:trHeight w:val="284"/>
        </w:trPr>
        <w:tc>
          <w:tcPr>
            <w:tcW w:w="1591" w:type="dxa"/>
            <w:shd w:val="clear" w:color="auto" w:fill="auto"/>
            <w:noWrap/>
            <w:vAlign w:val="center"/>
          </w:tcPr>
          <w:p w14:paraId="139FC361" w14:textId="77777777" w:rsidR="00D170E5" w:rsidRPr="002B55E9" w:rsidRDefault="00EF27AD">
            <w:pPr>
              <w:pStyle w:val="affffffffffffffffff6"/>
              <w:widowControl w:val="0"/>
              <w:ind w:left="-40" w:right="-40"/>
              <w:rPr>
                <w:sz w:val="20"/>
                <w:szCs w:val="20"/>
              </w:rPr>
            </w:pPr>
            <w:r w:rsidRPr="002B55E9">
              <w:rPr>
                <w:rFonts w:hint="eastAsia"/>
                <w:sz w:val="20"/>
                <w:szCs w:val="20"/>
              </w:rPr>
              <w:t>2</w:t>
            </w:r>
          </w:p>
        </w:tc>
        <w:tc>
          <w:tcPr>
            <w:tcW w:w="2017" w:type="dxa"/>
            <w:vMerge/>
            <w:shd w:val="clear" w:color="auto" w:fill="auto"/>
            <w:noWrap/>
            <w:vAlign w:val="center"/>
          </w:tcPr>
          <w:p w14:paraId="73172C83" w14:textId="77777777" w:rsidR="00D170E5" w:rsidRPr="002B55E9" w:rsidRDefault="00D170E5">
            <w:pPr>
              <w:jc w:val="center"/>
              <w:rPr>
                <w:sz w:val="18"/>
                <w:szCs w:val="18"/>
              </w:rPr>
            </w:pPr>
          </w:p>
        </w:tc>
        <w:tc>
          <w:tcPr>
            <w:tcW w:w="3413" w:type="dxa"/>
            <w:shd w:val="clear" w:color="auto" w:fill="auto"/>
            <w:vAlign w:val="center"/>
          </w:tcPr>
          <w:p w14:paraId="5B139A58" w14:textId="77777777" w:rsidR="00D170E5" w:rsidRPr="002B55E9" w:rsidRDefault="00EF27AD">
            <w:pPr>
              <w:jc w:val="center"/>
              <w:rPr>
                <w:rFonts w:ascii="宋体" w:hAnsi="宋体"/>
                <w:sz w:val="18"/>
                <w:szCs w:val="18"/>
              </w:rPr>
            </w:pPr>
            <w:r w:rsidRPr="002B55E9">
              <w:rPr>
                <w:rFonts w:ascii="宋体" w:hAnsi="宋体" w:hint="eastAsia"/>
                <w:sz w:val="18"/>
                <w:szCs w:val="18"/>
              </w:rPr>
              <w:t>二氧化氯</w:t>
            </w:r>
            <w:r w:rsidRPr="002B55E9">
              <w:rPr>
                <w:rFonts w:hint="eastAsia"/>
                <w:sz w:val="18"/>
                <w:szCs w:val="18"/>
              </w:rPr>
              <w:t>15</w:t>
            </w:r>
            <w:r w:rsidRPr="002B55E9">
              <w:rPr>
                <w:rFonts w:ascii="宋体" w:hAnsi="宋体"/>
                <w:sz w:val="18"/>
                <w:szCs w:val="18"/>
              </w:rPr>
              <w:t>%</w:t>
            </w:r>
          </w:p>
        </w:tc>
        <w:tc>
          <w:tcPr>
            <w:tcW w:w="2616" w:type="dxa"/>
            <w:shd w:val="clear" w:color="auto" w:fill="auto"/>
            <w:noWrap/>
            <w:vAlign w:val="center"/>
          </w:tcPr>
          <w:p w14:paraId="1A150C72" w14:textId="77777777" w:rsidR="00D170E5" w:rsidRPr="002B55E9" w:rsidRDefault="00EF27AD">
            <w:pPr>
              <w:jc w:val="center"/>
              <w:rPr>
                <w:rFonts w:eastAsia="等线"/>
                <w:sz w:val="18"/>
                <w:szCs w:val="18"/>
              </w:rPr>
            </w:pPr>
            <w:r w:rsidRPr="002B55E9">
              <w:rPr>
                <w:rFonts w:eastAsia="等线" w:hint="eastAsia"/>
                <w:sz w:val="18"/>
                <w:szCs w:val="18"/>
              </w:rPr>
              <w:t>0.6</w:t>
            </w:r>
          </w:p>
        </w:tc>
      </w:tr>
      <w:tr w:rsidR="002B55E9" w:rsidRPr="002B55E9" w14:paraId="470171C0" w14:textId="77777777">
        <w:trPr>
          <w:trHeight w:val="284"/>
        </w:trPr>
        <w:tc>
          <w:tcPr>
            <w:tcW w:w="1591" w:type="dxa"/>
            <w:shd w:val="clear" w:color="auto" w:fill="auto"/>
            <w:noWrap/>
            <w:vAlign w:val="center"/>
          </w:tcPr>
          <w:p w14:paraId="59B6E921" w14:textId="77777777" w:rsidR="00D170E5" w:rsidRPr="002B55E9" w:rsidRDefault="00EF27AD">
            <w:pPr>
              <w:pStyle w:val="affffffffffffffffff6"/>
              <w:widowControl w:val="0"/>
              <w:ind w:left="-40" w:right="-40"/>
              <w:rPr>
                <w:sz w:val="20"/>
                <w:szCs w:val="20"/>
              </w:rPr>
            </w:pPr>
            <w:r w:rsidRPr="002B55E9">
              <w:rPr>
                <w:rFonts w:hint="eastAsia"/>
                <w:sz w:val="20"/>
                <w:szCs w:val="20"/>
              </w:rPr>
              <w:t>3</w:t>
            </w:r>
          </w:p>
        </w:tc>
        <w:tc>
          <w:tcPr>
            <w:tcW w:w="2017" w:type="dxa"/>
            <w:vMerge w:val="restart"/>
            <w:shd w:val="clear" w:color="auto" w:fill="auto"/>
            <w:noWrap/>
            <w:vAlign w:val="center"/>
          </w:tcPr>
          <w:p w14:paraId="591A6BA8" w14:textId="77777777" w:rsidR="00D170E5" w:rsidRPr="002B55E9" w:rsidRDefault="00EF27AD">
            <w:pPr>
              <w:jc w:val="center"/>
              <w:rPr>
                <w:sz w:val="18"/>
                <w:szCs w:val="18"/>
              </w:rPr>
            </w:pPr>
            <w:r w:rsidRPr="002B55E9">
              <w:rPr>
                <w:rFonts w:hint="eastAsia"/>
                <w:sz w:val="18"/>
                <w:szCs w:val="18"/>
              </w:rPr>
              <w:t>十一</w:t>
            </w:r>
            <w:r w:rsidRPr="002B55E9">
              <w:rPr>
                <w:sz w:val="18"/>
                <w:szCs w:val="18"/>
              </w:rPr>
              <w:t>车间</w:t>
            </w:r>
            <w:r w:rsidRPr="002B55E9">
              <w:rPr>
                <w:rFonts w:hint="eastAsia"/>
                <w:sz w:val="18"/>
                <w:szCs w:val="18"/>
              </w:rPr>
              <w:t>化验室</w:t>
            </w:r>
          </w:p>
        </w:tc>
        <w:tc>
          <w:tcPr>
            <w:tcW w:w="3413" w:type="dxa"/>
            <w:shd w:val="clear" w:color="auto" w:fill="auto"/>
            <w:vAlign w:val="center"/>
          </w:tcPr>
          <w:p w14:paraId="65A0EF9C" w14:textId="77777777" w:rsidR="00D170E5" w:rsidRPr="002B55E9" w:rsidRDefault="00EF27AD">
            <w:pPr>
              <w:jc w:val="center"/>
              <w:rPr>
                <w:rFonts w:ascii="宋体" w:hAnsi="宋体"/>
                <w:sz w:val="18"/>
                <w:szCs w:val="18"/>
              </w:rPr>
            </w:pPr>
            <w:r w:rsidRPr="002B55E9">
              <w:rPr>
                <w:rFonts w:ascii="宋体" w:hAnsi="宋体" w:hint="eastAsia"/>
                <w:sz w:val="18"/>
                <w:szCs w:val="18"/>
              </w:rPr>
              <w:t>硫酸</w:t>
            </w:r>
          </w:p>
        </w:tc>
        <w:tc>
          <w:tcPr>
            <w:tcW w:w="2616" w:type="dxa"/>
            <w:shd w:val="clear" w:color="auto" w:fill="auto"/>
            <w:noWrap/>
            <w:vAlign w:val="center"/>
          </w:tcPr>
          <w:p w14:paraId="6A151CDE" w14:textId="77777777" w:rsidR="00D170E5" w:rsidRPr="002B55E9" w:rsidRDefault="00EF27AD">
            <w:pPr>
              <w:jc w:val="center"/>
              <w:rPr>
                <w:rFonts w:eastAsia="等线"/>
                <w:sz w:val="18"/>
                <w:szCs w:val="18"/>
              </w:rPr>
            </w:pPr>
            <w:r w:rsidRPr="002B55E9">
              <w:rPr>
                <w:rFonts w:eastAsia="等线" w:hint="eastAsia"/>
                <w:sz w:val="18"/>
                <w:szCs w:val="18"/>
              </w:rPr>
              <w:t>0.0137</w:t>
            </w:r>
          </w:p>
        </w:tc>
      </w:tr>
      <w:tr w:rsidR="002B55E9" w:rsidRPr="002B55E9" w14:paraId="1B88A9B4" w14:textId="77777777">
        <w:trPr>
          <w:trHeight w:val="284"/>
        </w:trPr>
        <w:tc>
          <w:tcPr>
            <w:tcW w:w="1591" w:type="dxa"/>
            <w:shd w:val="clear" w:color="auto" w:fill="auto"/>
            <w:noWrap/>
            <w:vAlign w:val="center"/>
          </w:tcPr>
          <w:p w14:paraId="1D75AB51" w14:textId="77777777" w:rsidR="00D170E5" w:rsidRPr="002B55E9" w:rsidRDefault="00EF27AD">
            <w:pPr>
              <w:pStyle w:val="affffffffffffffffff6"/>
              <w:widowControl w:val="0"/>
              <w:ind w:left="-40" w:right="-40"/>
              <w:rPr>
                <w:sz w:val="20"/>
                <w:szCs w:val="20"/>
              </w:rPr>
            </w:pPr>
            <w:r w:rsidRPr="002B55E9">
              <w:rPr>
                <w:rFonts w:hint="eastAsia"/>
                <w:sz w:val="20"/>
                <w:szCs w:val="20"/>
              </w:rPr>
              <w:t>4</w:t>
            </w:r>
          </w:p>
        </w:tc>
        <w:tc>
          <w:tcPr>
            <w:tcW w:w="2017" w:type="dxa"/>
            <w:vMerge/>
            <w:shd w:val="clear" w:color="auto" w:fill="auto"/>
            <w:noWrap/>
            <w:vAlign w:val="center"/>
          </w:tcPr>
          <w:p w14:paraId="463A10BA" w14:textId="77777777" w:rsidR="00D170E5" w:rsidRPr="002B55E9" w:rsidRDefault="00D170E5">
            <w:pPr>
              <w:jc w:val="center"/>
              <w:rPr>
                <w:sz w:val="18"/>
                <w:szCs w:val="18"/>
              </w:rPr>
            </w:pPr>
          </w:p>
        </w:tc>
        <w:tc>
          <w:tcPr>
            <w:tcW w:w="3413" w:type="dxa"/>
            <w:shd w:val="clear" w:color="auto" w:fill="auto"/>
            <w:vAlign w:val="center"/>
          </w:tcPr>
          <w:p w14:paraId="3CA0824B" w14:textId="77777777" w:rsidR="00D170E5" w:rsidRPr="002B55E9" w:rsidRDefault="00EF27AD">
            <w:pPr>
              <w:jc w:val="center"/>
              <w:rPr>
                <w:rFonts w:ascii="宋体" w:hAnsi="宋体"/>
                <w:sz w:val="18"/>
                <w:szCs w:val="18"/>
              </w:rPr>
            </w:pPr>
            <w:r w:rsidRPr="002B55E9">
              <w:rPr>
                <w:rFonts w:ascii="宋体" w:hAnsi="宋体" w:hint="eastAsia"/>
                <w:sz w:val="18"/>
                <w:szCs w:val="18"/>
              </w:rPr>
              <w:t>甲醛</w:t>
            </w:r>
          </w:p>
        </w:tc>
        <w:tc>
          <w:tcPr>
            <w:tcW w:w="2616" w:type="dxa"/>
            <w:shd w:val="clear" w:color="auto" w:fill="auto"/>
            <w:noWrap/>
            <w:vAlign w:val="center"/>
          </w:tcPr>
          <w:p w14:paraId="74B33F19" w14:textId="77777777" w:rsidR="00D170E5" w:rsidRPr="002B55E9" w:rsidRDefault="00EF27AD">
            <w:pPr>
              <w:jc w:val="center"/>
              <w:rPr>
                <w:rFonts w:eastAsia="等线"/>
                <w:sz w:val="18"/>
                <w:szCs w:val="18"/>
              </w:rPr>
            </w:pPr>
            <w:r w:rsidRPr="002B55E9">
              <w:rPr>
                <w:rFonts w:eastAsia="等线" w:hint="eastAsia"/>
                <w:sz w:val="18"/>
                <w:szCs w:val="18"/>
              </w:rPr>
              <w:t>0.005</w:t>
            </w:r>
          </w:p>
        </w:tc>
      </w:tr>
      <w:tr w:rsidR="002B55E9" w:rsidRPr="002B55E9" w14:paraId="15763D03" w14:textId="77777777">
        <w:trPr>
          <w:trHeight w:val="284"/>
        </w:trPr>
        <w:tc>
          <w:tcPr>
            <w:tcW w:w="1591" w:type="dxa"/>
            <w:shd w:val="clear" w:color="auto" w:fill="auto"/>
            <w:noWrap/>
            <w:vAlign w:val="center"/>
          </w:tcPr>
          <w:p w14:paraId="64E32F89" w14:textId="77777777" w:rsidR="00D170E5" w:rsidRPr="002B55E9" w:rsidRDefault="00EF27AD">
            <w:pPr>
              <w:pStyle w:val="affffffffffffffffff6"/>
              <w:widowControl w:val="0"/>
              <w:ind w:left="-40" w:right="-40"/>
              <w:rPr>
                <w:sz w:val="20"/>
                <w:szCs w:val="20"/>
              </w:rPr>
            </w:pPr>
            <w:r w:rsidRPr="002B55E9">
              <w:rPr>
                <w:rFonts w:hint="eastAsia"/>
                <w:sz w:val="20"/>
                <w:szCs w:val="20"/>
              </w:rPr>
              <w:t>5</w:t>
            </w:r>
          </w:p>
        </w:tc>
        <w:tc>
          <w:tcPr>
            <w:tcW w:w="2017" w:type="dxa"/>
            <w:vMerge/>
            <w:shd w:val="clear" w:color="auto" w:fill="auto"/>
            <w:noWrap/>
            <w:vAlign w:val="center"/>
          </w:tcPr>
          <w:p w14:paraId="7AA3901B" w14:textId="77777777" w:rsidR="00D170E5" w:rsidRPr="002B55E9" w:rsidRDefault="00D170E5">
            <w:pPr>
              <w:jc w:val="center"/>
              <w:rPr>
                <w:sz w:val="18"/>
                <w:szCs w:val="18"/>
              </w:rPr>
            </w:pPr>
          </w:p>
        </w:tc>
        <w:tc>
          <w:tcPr>
            <w:tcW w:w="3413" w:type="dxa"/>
            <w:shd w:val="clear" w:color="auto" w:fill="auto"/>
            <w:vAlign w:val="center"/>
          </w:tcPr>
          <w:p w14:paraId="6FDC46E1" w14:textId="77777777" w:rsidR="00D170E5" w:rsidRPr="002B55E9" w:rsidRDefault="00EF27AD">
            <w:pPr>
              <w:jc w:val="center"/>
              <w:rPr>
                <w:rFonts w:ascii="宋体" w:hAnsi="宋体"/>
                <w:sz w:val="18"/>
                <w:szCs w:val="18"/>
              </w:rPr>
            </w:pPr>
            <w:r w:rsidRPr="002B55E9">
              <w:rPr>
                <w:rFonts w:ascii="宋体" w:hAnsi="宋体" w:hint="eastAsia"/>
                <w:sz w:val="18"/>
                <w:szCs w:val="18"/>
              </w:rPr>
              <w:t>盐酸</w:t>
            </w:r>
          </w:p>
        </w:tc>
        <w:tc>
          <w:tcPr>
            <w:tcW w:w="2616" w:type="dxa"/>
            <w:shd w:val="clear" w:color="auto" w:fill="auto"/>
            <w:noWrap/>
            <w:vAlign w:val="center"/>
          </w:tcPr>
          <w:p w14:paraId="7098154E" w14:textId="77777777" w:rsidR="00D170E5" w:rsidRPr="002B55E9" w:rsidRDefault="00EF27AD">
            <w:pPr>
              <w:jc w:val="center"/>
              <w:rPr>
                <w:rFonts w:eastAsia="等线"/>
                <w:sz w:val="18"/>
                <w:szCs w:val="18"/>
              </w:rPr>
            </w:pPr>
            <w:r w:rsidRPr="002B55E9">
              <w:rPr>
                <w:rFonts w:eastAsia="等线" w:hint="eastAsia"/>
                <w:sz w:val="18"/>
                <w:szCs w:val="18"/>
              </w:rPr>
              <w:t>0.00059</w:t>
            </w:r>
          </w:p>
        </w:tc>
      </w:tr>
      <w:tr w:rsidR="002B55E9" w:rsidRPr="002B55E9" w14:paraId="1EC004C5" w14:textId="77777777">
        <w:trPr>
          <w:trHeight w:val="284"/>
        </w:trPr>
        <w:tc>
          <w:tcPr>
            <w:tcW w:w="1591" w:type="dxa"/>
            <w:shd w:val="clear" w:color="auto" w:fill="auto"/>
            <w:noWrap/>
            <w:vAlign w:val="center"/>
          </w:tcPr>
          <w:p w14:paraId="740F5050" w14:textId="77777777" w:rsidR="00D170E5" w:rsidRPr="002B55E9" w:rsidRDefault="00EF27AD">
            <w:pPr>
              <w:pStyle w:val="affffffffffffffffff6"/>
              <w:widowControl w:val="0"/>
              <w:ind w:left="-40" w:right="-40"/>
              <w:rPr>
                <w:sz w:val="20"/>
                <w:szCs w:val="20"/>
              </w:rPr>
            </w:pPr>
            <w:r w:rsidRPr="002B55E9">
              <w:rPr>
                <w:rFonts w:hint="eastAsia"/>
                <w:sz w:val="20"/>
                <w:szCs w:val="20"/>
              </w:rPr>
              <w:t>6</w:t>
            </w:r>
          </w:p>
        </w:tc>
        <w:tc>
          <w:tcPr>
            <w:tcW w:w="2017" w:type="dxa"/>
            <w:vMerge/>
            <w:shd w:val="clear" w:color="auto" w:fill="auto"/>
            <w:noWrap/>
            <w:vAlign w:val="center"/>
          </w:tcPr>
          <w:p w14:paraId="0A88FE0F" w14:textId="77777777" w:rsidR="00D170E5" w:rsidRPr="002B55E9" w:rsidRDefault="00D170E5">
            <w:pPr>
              <w:jc w:val="center"/>
              <w:rPr>
                <w:sz w:val="18"/>
                <w:szCs w:val="18"/>
              </w:rPr>
            </w:pPr>
          </w:p>
        </w:tc>
        <w:tc>
          <w:tcPr>
            <w:tcW w:w="3413" w:type="dxa"/>
            <w:shd w:val="clear" w:color="auto" w:fill="auto"/>
            <w:vAlign w:val="center"/>
          </w:tcPr>
          <w:p w14:paraId="448735A1" w14:textId="77777777" w:rsidR="00D170E5" w:rsidRPr="002B55E9" w:rsidRDefault="00EF27AD">
            <w:pPr>
              <w:jc w:val="center"/>
              <w:rPr>
                <w:rFonts w:ascii="宋体" w:hAnsi="宋体"/>
                <w:sz w:val="18"/>
                <w:szCs w:val="18"/>
              </w:rPr>
            </w:pPr>
            <w:r w:rsidRPr="002B55E9">
              <w:rPr>
                <w:rFonts w:ascii="宋体" w:hAnsi="宋体" w:hint="eastAsia"/>
                <w:sz w:val="18"/>
                <w:szCs w:val="18"/>
              </w:rPr>
              <w:t>乙醚</w:t>
            </w:r>
          </w:p>
        </w:tc>
        <w:tc>
          <w:tcPr>
            <w:tcW w:w="2616" w:type="dxa"/>
            <w:shd w:val="clear" w:color="auto" w:fill="auto"/>
            <w:noWrap/>
            <w:vAlign w:val="center"/>
          </w:tcPr>
          <w:p w14:paraId="12213377" w14:textId="77777777" w:rsidR="00D170E5" w:rsidRPr="002B55E9" w:rsidRDefault="00EF27AD">
            <w:pPr>
              <w:jc w:val="center"/>
              <w:rPr>
                <w:rFonts w:eastAsia="等线"/>
                <w:sz w:val="18"/>
                <w:szCs w:val="18"/>
              </w:rPr>
            </w:pPr>
            <w:r w:rsidRPr="002B55E9">
              <w:rPr>
                <w:rFonts w:eastAsia="等线" w:hint="eastAsia"/>
                <w:sz w:val="18"/>
                <w:szCs w:val="18"/>
              </w:rPr>
              <w:t>0.000357</w:t>
            </w:r>
          </w:p>
        </w:tc>
      </w:tr>
      <w:tr w:rsidR="002B55E9" w:rsidRPr="002B55E9" w14:paraId="3867433B" w14:textId="77777777">
        <w:trPr>
          <w:trHeight w:val="284"/>
        </w:trPr>
        <w:tc>
          <w:tcPr>
            <w:tcW w:w="1591" w:type="dxa"/>
            <w:shd w:val="clear" w:color="auto" w:fill="auto"/>
            <w:noWrap/>
            <w:vAlign w:val="center"/>
          </w:tcPr>
          <w:p w14:paraId="4783B74F" w14:textId="77777777" w:rsidR="00D170E5" w:rsidRPr="002B55E9" w:rsidRDefault="00EF27AD">
            <w:pPr>
              <w:pStyle w:val="affffffffffffffffff6"/>
              <w:widowControl w:val="0"/>
              <w:ind w:left="-40" w:right="-40"/>
              <w:rPr>
                <w:sz w:val="20"/>
                <w:szCs w:val="20"/>
              </w:rPr>
            </w:pPr>
            <w:r w:rsidRPr="002B55E9">
              <w:rPr>
                <w:rFonts w:hint="eastAsia"/>
                <w:sz w:val="20"/>
                <w:szCs w:val="20"/>
              </w:rPr>
              <w:t>7</w:t>
            </w:r>
          </w:p>
        </w:tc>
        <w:tc>
          <w:tcPr>
            <w:tcW w:w="2017" w:type="dxa"/>
            <w:vMerge/>
            <w:shd w:val="clear" w:color="auto" w:fill="auto"/>
            <w:noWrap/>
            <w:vAlign w:val="center"/>
          </w:tcPr>
          <w:p w14:paraId="231C1EF4" w14:textId="77777777" w:rsidR="00D170E5" w:rsidRPr="002B55E9" w:rsidRDefault="00D170E5">
            <w:pPr>
              <w:jc w:val="center"/>
              <w:rPr>
                <w:sz w:val="18"/>
                <w:szCs w:val="18"/>
              </w:rPr>
            </w:pPr>
          </w:p>
        </w:tc>
        <w:tc>
          <w:tcPr>
            <w:tcW w:w="3413" w:type="dxa"/>
            <w:shd w:val="clear" w:color="auto" w:fill="auto"/>
            <w:vAlign w:val="center"/>
          </w:tcPr>
          <w:p w14:paraId="08DC3489" w14:textId="77777777" w:rsidR="00D170E5" w:rsidRPr="002B55E9" w:rsidRDefault="00EF27AD">
            <w:pPr>
              <w:jc w:val="center"/>
              <w:rPr>
                <w:rFonts w:ascii="宋体" w:hAnsi="宋体"/>
                <w:sz w:val="18"/>
                <w:szCs w:val="18"/>
              </w:rPr>
            </w:pPr>
            <w:r w:rsidRPr="002B55E9">
              <w:rPr>
                <w:rFonts w:ascii="宋体" w:hAnsi="宋体" w:hint="eastAsia"/>
                <w:sz w:val="18"/>
                <w:szCs w:val="18"/>
              </w:rPr>
              <w:t>乙酸</w:t>
            </w:r>
          </w:p>
        </w:tc>
        <w:tc>
          <w:tcPr>
            <w:tcW w:w="2616" w:type="dxa"/>
            <w:shd w:val="clear" w:color="auto" w:fill="auto"/>
            <w:noWrap/>
            <w:vAlign w:val="center"/>
          </w:tcPr>
          <w:p w14:paraId="02D82099" w14:textId="77777777" w:rsidR="00D170E5" w:rsidRPr="002B55E9" w:rsidRDefault="00EF27AD">
            <w:pPr>
              <w:jc w:val="center"/>
              <w:rPr>
                <w:rFonts w:eastAsia="等线"/>
                <w:sz w:val="18"/>
                <w:szCs w:val="18"/>
              </w:rPr>
            </w:pPr>
            <w:r w:rsidRPr="002B55E9">
              <w:rPr>
                <w:rFonts w:eastAsia="等线" w:hint="eastAsia"/>
                <w:sz w:val="18"/>
                <w:szCs w:val="18"/>
              </w:rPr>
              <w:t>0.0026</w:t>
            </w:r>
          </w:p>
        </w:tc>
      </w:tr>
      <w:tr w:rsidR="002B55E9" w:rsidRPr="002B55E9" w14:paraId="409FCBE0" w14:textId="77777777">
        <w:trPr>
          <w:trHeight w:val="284"/>
        </w:trPr>
        <w:tc>
          <w:tcPr>
            <w:tcW w:w="1591" w:type="dxa"/>
            <w:shd w:val="clear" w:color="auto" w:fill="auto"/>
            <w:noWrap/>
            <w:vAlign w:val="center"/>
          </w:tcPr>
          <w:p w14:paraId="05310DD7" w14:textId="4D5D2079" w:rsidR="00362261" w:rsidRPr="002B55E9" w:rsidRDefault="00362261">
            <w:pPr>
              <w:pStyle w:val="affffffffffffffffff6"/>
              <w:widowControl w:val="0"/>
              <w:ind w:left="-40" w:right="-40"/>
              <w:rPr>
                <w:sz w:val="20"/>
                <w:szCs w:val="20"/>
              </w:rPr>
            </w:pPr>
            <w:r w:rsidRPr="002B55E9">
              <w:rPr>
                <w:rFonts w:hint="eastAsia"/>
                <w:sz w:val="20"/>
                <w:szCs w:val="20"/>
              </w:rPr>
              <w:t>8</w:t>
            </w:r>
          </w:p>
        </w:tc>
        <w:tc>
          <w:tcPr>
            <w:tcW w:w="2017" w:type="dxa"/>
            <w:shd w:val="clear" w:color="auto" w:fill="auto"/>
            <w:noWrap/>
            <w:vAlign w:val="center"/>
          </w:tcPr>
          <w:p w14:paraId="45EC9359" w14:textId="08B3A278" w:rsidR="00362261" w:rsidRPr="002B55E9" w:rsidRDefault="00362261">
            <w:pPr>
              <w:jc w:val="center"/>
              <w:rPr>
                <w:sz w:val="18"/>
                <w:szCs w:val="18"/>
              </w:rPr>
            </w:pPr>
            <w:r w:rsidRPr="002B55E9">
              <w:rPr>
                <w:rFonts w:hint="eastAsia"/>
                <w:sz w:val="18"/>
                <w:szCs w:val="18"/>
              </w:rPr>
              <w:t>危废暂存间</w:t>
            </w:r>
          </w:p>
        </w:tc>
        <w:tc>
          <w:tcPr>
            <w:tcW w:w="3413" w:type="dxa"/>
            <w:shd w:val="clear" w:color="auto" w:fill="auto"/>
            <w:vAlign w:val="center"/>
          </w:tcPr>
          <w:p w14:paraId="1FDD978C" w14:textId="6E6C8745" w:rsidR="00362261" w:rsidRPr="002B55E9" w:rsidRDefault="00362261">
            <w:pPr>
              <w:jc w:val="center"/>
              <w:rPr>
                <w:rFonts w:ascii="宋体" w:hAnsi="宋体"/>
                <w:sz w:val="18"/>
                <w:szCs w:val="18"/>
              </w:rPr>
            </w:pPr>
            <w:r w:rsidRPr="002B55E9">
              <w:rPr>
                <w:rFonts w:ascii="宋体" w:hAnsi="宋体" w:hint="eastAsia"/>
                <w:sz w:val="18"/>
                <w:szCs w:val="18"/>
              </w:rPr>
              <w:t>废机油</w:t>
            </w:r>
          </w:p>
        </w:tc>
        <w:tc>
          <w:tcPr>
            <w:tcW w:w="2616" w:type="dxa"/>
            <w:shd w:val="clear" w:color="auto" w:fill="auto"/>
            <w:noWrap/>
            <w:vAlign w:val="center"/>
          </w:tcPr>
          <w:p w14:paraId="130BA403" w14:textId="21F8B0D4" w:rsidR="00362261" w:rsidRPr="002B55E9" w:rsidRDefault="00362261">
            <w:pPr>
              <w:jc w:val="center"/>
              <w:rPr>
                <w:rFonts w:eastAsia="等线"/>
                <w:sz w:val="18"/>
                <w:szCs w:val="18"/>
              </w:rPr>
            </w:pPr>
            <w:r w:rsidRPr="002B55E9">
              <w:rPr>
                <w:rFonts w:eastAsia="等线" w:hint="eastAsia"/>
                <w:sz w:val="18"/>
                <w:szCs w:val="18"/>
              </w:rPr>
              <w:t>0</w:t>
            </w:r>
            <w:r w:rsidRPr="002B55E9">
              <w:rPr>
                <w:rFonts w:eastAsia="等线"/>
                <w:sz w:val="18"/>
                <w:szCs w:val="18"/>
              </w:rPr>
              <w:t>.5</w:t>
            </w:r>
          </w:p>
        </w:tc>
      </w:tr>
    </w:tbl>
    <w:p w14:paraId="6C8B0A5F"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t>表</w:t>
      </w:r>
      <w:r w:rsidRPr="002B55E9">
        <w:rPr>
          <w:rFonts w:eastAsia="黑体" w:hint="eastAsia"/>
          <w:b/>
          <w:sz w:val="24"/>
          <w:szCs w:val="28"/>
        </w:rPr>
        <w:t xml:space="preserve">6-1-7  </w:t>
      </w:r>
      <w:r w:rsidRPr="002B55E9">
        <w:rPr>
          <w:rFonts w:eastAsia="黑体" w:hint="eastAsia"/>
          <w:b/>
          <w:sz w:val="24"/>
          <w:szCs w:val="28"/>
        </w:rPr>
        <w:t>本项目危险物质一览表</w:t>
      </w:r>
    </w:p>
    <w:tbl>
      <w:tblPr>
        <w:tblStyle w:val="lgy2"/>
        <w:tblW w:w="5000" w:type="pct"/>
        <w:tblLayout w:type="fixed"/>
        <w:tblCellMar>
          <w:left w:w="28" w:type="dxa"/>
          <w:right w:w="28" w:type="dxa"/>
        </w:tblCellMar>
        <w:tblLook w:val="04A0" w:firstRow="1" w:lastRow="0" w:firstColumn="1" w:lastColumn="0" w:noHBand="0" w:noVBand="1"/>
      </w:tblPr>
      <w:tblGrid>
        <w:gridCol w:w="887"/>
        <w:gridCol w:w="1592"/>
        <w:gridCol w:w="1450"/>
        <w:gridCol w:w="1773"/>
        <w:gridCol w:w="1464"/>
        <w:gridCol w:w="1466"/>
        <w:gridCol w:w="1061"/>
      </w:tblGrid>
      <w:tr w:rsidR="002B55E9" w:rsidRPr="002B55E9" w14:paraId="03D64A57" w14:textId="77777777" w:rsidTr="00362261">
        <w:trPr>
          <w:cnfStyle w:val="100000000000" w:firstRow="1" w:lastRow="0" w:firstColumn="0" w:lastColumn="0" w:oddVBand="0" w:evenVBand="0" w:oddHBand="0" w:evenHBand="0" w:firstRowFirstColumn="0" w:firstRowLastColumn="0" w:lastRowFirstColumn="0" w:lastRowLastColumn="0"/>
          <w:trHeight w:val="283"/>
        </w:trPr>
        <w:tc>
          <w:tcPr>
            <w:tcW w:w="881" w:type="dxa"/>
          </w:tcPr>
          <w:p w14:paraId="2D19CA7C" w14:textId="77777777" w:rsidR="00D170E5" w:rsidRPr="002B55E9" w:rsidRDefault="00EF27AD" w:rsidP="00362261">
            <w:pPr>
              <w:pStyle w:val="lgy-"/>
              <w:rPr>
                <w:rFonts w:eastAsia="宋体"/>
              </w:rPr>
            </w:pPr>
            <w:r w:rsidRPr="002B55E9">
              <w:rPr>
                <w:rFonts w:eastAsia="宋体" w:hint="eastAsia"/>
              </w:rPr>
              <w:t>序号</w:t>
            </w:r>
          </w:p>
        </w:tc>
        <w:tc>
          <w:tcPr>
            <w:tcW w:w="1582" w:type="dxa"/>
          </w:tcPr>
          <w:p w14:paraId="5179C725" w14:textId="77777777" w:rsidR="00D170E5" w:rsidRPr="002B55E9" w:rsidRDefault="00EF27AD" w:rsidP="00362261">
            <w:pPr>
              <w:pStyle w:val="lgy-"/>
              <w:rPr>
                <w:rFonts w:eastAsia="宋体"/>
              </w:rPr>
            </w:pPr>
            <w:r w:rsidRPr="002B55E9">
              <w:rPr>
                <w:rFonts w:eastAsia="宋体" w:hint="eastAsia"/>
              </w:rPr>
              <w:t>危险物质名称</w:t>
            </w:r>
          </w:p>
        </w:tc>
        <w:tc>
          <w:tcPr>
            <w:tcW w:w="1442" w:type="dxa"/>
          </w:tcPr>
          <w:p w14:paraId="47D9B6F3" w14:textId="77777777" w:rsidR="00D170E5" w:rsidRPr="002B55E9" w:rsidRDefault="00EF27AD" w:rsidP="00362261">
            <w:pPr>
              <w:pStyle w:val="lgy-"/>
              <w:rPr>
                <w:rFonts w:eastAsia="宋体"/>
              </w:rPr>
            </w:pPr>
            <w:r w:rsidRPr="002B55E9">
              <w:rPr>
                <w:rFonts w:eastAsia="宋体" w:hint="eastAsia"/>
              </w:rPr>
              <w:t>C</w:t>
            </w:r>
            <w:r w:rsidRPr="002B55E9">
              <w:rPr>
                <w:rFonts w:eastAsia="宋体"/>
              </w:rPr>
              <w:t>AS</w:t>
            </w:r>
            <w:r w:rsidRPr="002B55E9">
              <w:rPr>
                <w:rFonts w:eastAsia="宋体" w:hint="eastAsia"/>
              </w:rPr>
              <w:t>号</w:t>
            </w:r>
          </w:p>
        </w:tc>
        <w:tc>
          <w:tcPr>
            <w:tcW w:w="1763" w:type="dxa"/>
          </w:tcPr>
          <w:p w14:paraId="064C6052" w14:textId="77777777" w:rsidR="00D170E5" w:rsidRPr="002B55E9" w:rsidRDefault="00EF27AD" w:rsidP="00362261">
            <w:pPr>
              <w:pStyle w:val="lgy-"/>
              <w:rPr>
                <w:rFonts w:eastAsia="宋体"/>
              </w:rPr>
            </w:pPr>
            <w:r w:rsidRPr="002B55E9">
              <w:rPr>
                <w:rFonts w:eastAsia="宋体" w:hint="eastAsia"/>
              </w:rPr>
              <w:t>最大暂存量，</w:t>
            </w:r>
            <w:r w:rsidRPr="002B55E9">
              <w:rPr>
                <w:rFonts w:eastAsia="宋体"/>
              </w:rPr>
              <w:t>t</w:t>
            </w:r>
          </w:p>
        </w:tc>
        <w:tc>
          <w:tcPr>
            <w:tcW w:w="1456" w:type="dxa"/>
          </w:tcPr>
          <w:p w14:paraId="3B17EDAD" w14:textId="77777777" w:rsidR="00D170E5" w:rsidRPr="002B55E9" w:rsidRDefault="00EF27AD" w:rsidP="00362261">
            <w:pPr>
              <w:pStyle w:val="lgy-"/>
              <w:rPr>
                <w:rFonts w:eastAsia="宋体"/>
              </w:rPr>
            </w:pPr>
            <w:r w:rsidRPr="002B55E9">
              <w:rPr>
                <w:rFonts w:eastAsia="宋体" w:hint="eastAsia"/>
              </w:rPr>
              <w:t>储存方式</w:t>
            </w:r>
          </w:p>
        </w:tc>
        <w:tc>
          <w:tcPr>
            <w:tcW w:w="1458" w:type="dxa"/>
          </w:tcPr>
          <w:p w14:paraId="2005CF0E" w14:textId="77777777" w:rsidR="00D170E5" w:rsidRPr="002B55E9" w:rsidRDefault="00EF27AD" w:rsidP="00362261">
            <w:pPr>
              <w:pStyle w:val="lgy-"/>
              <w:rPr>
                <w:rFonts w:eastAsia="宋体"/>
              </w:rPr>
            </w:pPr>
            <w:r w:rsidRPr="002B55E9">
              <w:rPr>
                <w:rFonts w:eastAsia="宋体" w:hint="eastAsia"/>
              </w:rPr>
              <w:t>临界量，</w:t>
            </w:r>
            <w:r w:rsidRPr="002B55E9">
              <w:rPr>
                <w:rFonts w:eastAsia="宋体"/>
              </w:rPr>
              <w:t>t</w:t>
            </w:r>
          </w:p>
        </w:tc>
        <w:tc>
          <w:tcPr>
            <w:tcW w:w="1055" w:type="dxa"/>
          </w:tcPr>
          <w:p w14:paraId="19E51153" w14:textId="77777777" w:rsidR="00D170E5" w:rsidRPr="002B55E9" w:rsidRDefault="00EF27AD" w:rsidP="00362261">
            <w:pPr>
              <w:pStyle w:val="lgy-"/>
              <w:rPr>
                <w:rFonts w:eastAsia="宋体"/>
              </w:rPr>
            </w:pPr>
            <w:r w:rsidRPr="002B55E9">
              <w:rPr>
                <w:rFonts w:eastAsia="宋体"/>
              </w:rPr>
              <w:t>Q</w:t>
            </w:r>
            <w:r w:rsidRPr="002B55E9">
              <w:rPr>
                <w:rFonts w:eastAsia="宋体" w:hint="eastAsia"/>
              </w:rPr>
              <w:t>值</w:t>
            </w:r>
          </w:p>
        </w:tc>
      </w:tr>
      <w:tr w:rsidR="002B55E9" w:rsidRPr="002B55E9" w14:paraId="3458EAA9" w14:textId="77777777" w:rsidTr="00362261">
        <w:trPr>
          <w:trHeight w:val="283"/>
        </w:trPr>
        <w:tc>
          <w:tcPr>
            <w:tcW w:w="881" w:type="dxa"/>
            <w:noWrap/>
          </w:tcPr>
          <w:p w14:paraId="4EEE8D06" w14:textId="77777777" w:rsidR="00D170E5" w:rsidRPr="002B55E9" w:rsidRDefault="00EF27AD" w:rsidP="00362261">
            <w:pPr>
              <w:pStyle w:val="lgy-"/>
              <w:rPr>
                <w:rFonts w:eastAsia="宋体"/>
                <w:szCs w:val="20"/>
              </w:rPr>
            </w:pPr>
            <w:r w:rsidRPr="002B55E9">
              <w:rPr>
                <w:rFonts w:eastAsia="宋体" w:hint="eastAsia"/>
                <w:szCs w:val="20"/>
              </w:rPr>
              <w:t>1</w:t>
            </w:r>
          </w:p>
        </w:tc>
        <w:tc>
          <w:tcPr>
            <w:tcW w:w="1582" w:type="dxa"/>
            <w:noWrap/>
          </w:tcPr>
          <w:p w14:paraId="30A4F978" w14:textId="77777777" w:rsidR="00D170E5" w:rsidRPr="002B55E9" w:rsidRDefault="00EF27AD" w:rsidP="00362261">
            <w:pPr>
              <w:pStyle w:val="lgy-"/>
              <w:rPr>
                <w:rFonts w:eastAsia="宋体"/>
              </w:rPr>
            </w:pPr>
            <w:r w:rsidRPr="002B55E9">
              <w:rPr>
                <w:rFonts w:eastAsia="宋体" w:hint="eastAsia"/>
              </w:rPr>
              <w:t>乙酸</w:t>
            </w:r>
          </w:p>
        </w:tc>
        <w:tc>
          <w:tcPr>
            <w:tcW w:w="1442" w:type="dxa"/>
          </w:tcPr>
          <w:p w14:paraId="440345B6" w14:textId="77777777" w:rsidR="00D170E5" w:rsidRPr="002B55E9" w:rsidRDefault="00EF27AD" w:rsidP="00362261">
            <w:pPr>
              <w:pStyle w:val="lgy-"/>
              <w:rPr>
                <w:rFonts w:eastAsia="宋体"/>
              </w:rPr>
            </w:pPr>
            <w:r w:rsidRPr="002B55E9">
              <w:rPr>
                <w:rFonts w:eastAsia="宋体" w:hint="eastAsia"/>
              </w:rPr>
              <w:t>6</w:t>
            </w:r>
            <w:r w:rsidRPr="002B55E9">
              <w:rPr>
                <w:rFonts w:eastAsia="宋体"/>
              </w:rPr>
              <w:t>4-19-7</w:t>
            </w:r>
          </w:p>
        </w:tc>
        <w:tc>
          <w:tcPr>
            <w:tcW w:w="1763" w:type="dxa"/>
            <w:noWrap/>
          </w:tcPr>
          <w:p w14:paraId="4C963E25" w14:textId="77777777" w:rsidR="00D170E5" w:rsidRPr="002B55E9" w:rsidRDefault="00EF27AD" w:rsidP="00362261">
            <w:pPr>
              <w:pStyle w:val="lgy-"/>
              <w:rPr>
                <w:rFonts w:eastAsia="宋体"/>
              </w:rPr>
            </w:pPr>
            <w:r w:rsidRPr="002B55E9">
              <w:rPr>
                <w:rFonts w:eastAsia="宋体"/>
              </w:rPr>
              <w:t>448.69</w:t>
            </w:r>
          </w:p>
        </w:tc>
        <w:tc>
          <w:tcPr>
            <w:tcW w:w="1456" w:type="dxa"/>
            <w:noWrap/>
          </w:tcPr>
          <w:p w14:paraId="3ADAE1EA" w14:textId="77777777" w:rsidR="00D170E5" w:rsidRPr="002B55E9" w:rsidRDefault="00EF27AD" w:rsidP="00362261">
            <w:pPr>
              <w:pStyle w:val="lgy-"/>
              <w:rPr>
                <w:rFonts w:eastAsia="宋体"/>
              </w:rPr>
            </w:pPr>
            <w:r w:rsidRPr="002B55E9">
              <w:rPr>
                <w:rFonts w:eastAsia="宋体" w:hint="eastAsia"/>
              </w:rPr>
              <w:t>储罐</w:t>
            </w:r>
          </w:p>
        </w:tc>
        <w:tc>
          <w:tcPr>
            <w:tcW w:w="1458" w:type="dxa"/>
            <w:noWrap/>
          </w:tcPr>
          <w:p w14:paraId="7A19AAFE" w14:textId="77777777" w:rsidR="00D170E5" w:rsidRPr="002B55E9" w:rsidRDefault="00EF27AD" w:rsidP="00362261">
            <w:pPr>
              <w:pStyle w:val="lgy-"/>
              <w:rPr>
                <w:rFonts w:eastAsia="宋体"/>
              </w:rPr>
            </w:pPr>
            <w:r w:rsidRPr="002B55E9">
              <w:rPr>
                <w:rFonts w:eastAsia="宋体" w:hint="eastAsia"/>
              </w:rPr>
              <w:t>1</w:t>
            </w:r>
            <w:r w:rsidRPr="002B55E9">
              <w:rPr>
                <w:rFonts w:eastAsia="宋体"/>
              </w:rPr>
              <w:t>0</w:t>
            </w:r>
          </w:p>
        </w:tc>
        <w:tc>
          <w:tcPr>
            <w:tcW w:w="1055" w:type="dxa"/>
            <w:noWrap/>
          </w:tcPr>
          <w:p w14:paraId="45C1BC12" w14:textId="77777777" w:rsidR="00D170E5" w:rsidRPr="002B55E9" w:rsidRDefault="00EF27AD" w:rsidP="00362261">
            <w:pPr>
              <w:pStyle w:val="lgy-"/>
              <w:rPr>
                <w:rFonts w:eastAsia="宋体"/>
                <w:szCs w:val="20"/>
              </w:rPr>
            </w:pPr>
            <w:r w:rsidRPr="002B55E9">
              <w:rPr>
                <w:rFonts w:eastAsia="宋体"/>
                <w:szCs w:val="20"/>
              </w:rPr>
              <w:t xml:space="preserve">44.87 </w:t>
            </w:r>
          </w:p>
        </w:tc>
      </w:tr>
      <w:tr w:rsidR="002B55E9" w:rsidRPr="002B55E9" w14:paraId="01C0B81A" w14:textId="77777777" w:rsidTr="00362261">
        <w:trPr>
          <w:trHeight w:val="283"/>
        </w:trPr>
        <w:tc>
          <w:tcPr>
            <w:tcW w:w="881" w:type="dxa"/>
            <w:noWrap/>
          </w:tcPr>
          <w:p w14:paraId="522F335B" w14:textId="77777777" w:rsidR="00D170E5" w:rsidRPr="002B55E9" w:rsidRDefault="00EF27AD" w:rsidP="00362261">
            <w:pPr>
              <w:pStyle w:val="lgy-"/>
              <w:rPr>
                <w:rFonts w:eastAsia="宋体"/>
                <w:szCs w:val="20"/>
              </w:rPr>
            </w:pPr>
            <w:r w:rsidRPr="002B55E9">
              <w:rPr>
                <w:rFonts w:eastAsia="宋体" w:hint="eastAsia"/>
                <w:szCs w:val="20"/>
              </w:rPr>
              <w:t>2</w:t>
            </w:r>
          </w:p>
        </w:tc>
        <w:tc>
          <w:tcPr>
            <w:tcW w:w="1582" w:type="dxa"/>
            <w:noWrap/>
          </w:tcPr>
          <w:p w14:paraId="77D1FB5A" w14:textId="77777777" w:rsidR="00D170E5" w:rsidRPr="002B55E9" w:rsidRDefault="00EF27AD" w:rsidP="00362261">
            <w:pPr>
              <w:pStyle w:val="lgy-"/>
              <w:rPr>
                <w:rFonts w:eastAsia="宋体"/>
              </w:rPr>
            </w:pPr>
            <w:r w:rsidRPr="002B55E9">
              <w:rPr>
                <w:rFonts w:eastAsia="宋体" w:hint="eastAsia"/>
              </w:rPr>
              <w:t>过氧乙酸</w:t>
            </w:r>
          </w:p>
        </w:tc>
        <w:tc>
          <w:tcPr>
            <w:tcW w:w="1442" w:type="dxa"/>
          </w:tcPr>
          <w:p w14:paraId="4DA4AEF8"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9-21-0</w:t>
            </w:r>
          </w:p>
        </w:tc>
        <w:tc>
          <w:tcPr>
            <w:tcW w:w="1763" w:type="dxa"/>
            <w:noWrap/>
          </w:tcPr>
          <w:p w14:paraId="41D942ED" w14:textId="77777777" w:rsidR="00D170E5" w:rsidRPr="002B55E9" w:rsidRDefault="00EF27AD" w:rsidP="00362261">
            <w:pPr>
              <w:pStyle w:val="lgy-"/>
              <w:rPr>
                <w:rFonts w:eastAsia="宋体"/>
              </w:rPr>
            </w:pPr>
            <w:r w:rsidRPr="002B55E9">
              <w:rPr>
                <w:rFonts w:eastAsia="宋体" w:hint="eastAsia"/>
              </w:rPr>
              <w:t>0.1</w:t>
            </w:r>
          </w:p>
        </w:tc>
        <w:tc>
          <w:tcPr>
            <w:tcW w:w="1456" w:type="dxa"/>
            <w:noWrap/>
          </w:tcPr>
          <w:p w14:paraId="46E947FA"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7E7B1F67" w14:textId="77777777" w:rsidR="00D170E5" w:rsidRPr="002B55E9" w:rsidRDefault="00EF27AD" w:rsidP="00362261">
            <w:pPr>
              <w:pStyle w:val="lgy-"/>
              <w:rPr>
                <w:rFonts w:eastAsia="宋体"/>
              </w:rPr>
            </w:pPr>
            <w:r w:rsidRPr="002B55E9">
              <w:rPr>
                <w:rFonts w:eastAsia="宋体" w:hint="eastAsia"/>
              </w:rPr>
              <w:t>5</w:t>
            </w:r>
          </w:p>
        </w:tc>
        <w:tc>
          <w:tcPr>
            <w:tcW w:w="1055" w:type="dxa"/>
            <w:noWrap/>
          </w:tcPr>
          <w:p w14:paraId="5470AD99" w14:textId="77777777" w:rsidR="00D170E5" w:rsidRPr="002B55E9" w:rsidRDefault="00EF27AD" w:rsidP="00362261">
            <w:pPr>
              <w:pStyle w:val="lgy-"/>
              <w:rPr>
                <w:rFonts w:eastAsia="宋体"/>
                <w:szCs w:val="20"/>
              </w:rPr>
            </w:pPr>
            <w:r w:rsidRPr="002B55E9">
              <w:rPr>
                <w:rFonts w:eastAsia="宋体"/>
                <w:szCs w:val="20"/>
              </w:rPr>
              <w:t xml:space="preserve">0.02 </w:t>
            </w:r>
          </w:p>
        </w:tc>
      </w:tr>
      <w:tr w:rsidR="002B55E9" w:rsidRPr="002B55E9" w14:paraId="4E64ACBD" w14:textId="77777777" w:rsidTr="00362261">
        <w:trPr>
          <w:trHeight w:val="283"/>
        </w:trPr>
        <w:tc>
          <w:tcPr>
            <w:tcW w:w="881" w:type="dxa"/>
            <w:noWrap/>
          </w:tcPr>
          <w:p w14:paraId="5963780A" w14:textId="77777777" w:rsidR="00D170E5" w:rsidRPr="002B55E9" w:rsidRDefault="00EF27AD" w:rsidP="00362261">
            <w:pPr>
              <w:pStyle w:val="lgy-"/>
              <w:rPr>
                <w:rFonts w:eastAsia="宋体"/>
                <w:szCs w:val="20"/>
              </w:rPr>
            </w:pPr>
            <w:r w:rsidRPr="002B55E9">
              <w:rPr>
                <w:rFonts w:eastAsia="宋体" w:hint="eastAsia"/>
                <w:szCs w:val="20"/>
              </w:rPr>
              <w:t>3</w:t>
            </w:r>
          </w:p>
        </w:tc>
        <w:tc>
          <w:tcPr>
            <w:tcW w:w="1582" w:type="dxa"/>
            <w:noWrap/>
          </w:tcPr>
          <w:p w14:paraId="5800F31F" w14:textId="77777777" w:rsidR="00D170E5" w:rsidRPr="002B55E9" w:rsidRDefault="00EF27AD" w:rsidP="00362261">
            <w:pPr>
              <w:pStyle w:val="lgy-"/>
              <w:rPr>
                <w:rFonts w:eastAsia="宋体"/>
              </w:rPr>
            </w:pPr>
            <w:r w:rsidRPr="002B55E9">
              <w:rPr>
                <w:rFonts w:eastAsia="宋体" w:hint="eastAsia"/>
              </w:rPr>
              <w:t>二氧化氯</w:t>
            </w:r>
          </w:p>
        </w:tc>
        <w:tc>
          <w:tcPr>
            <w:tcW w:w="1442" w:type="dxa"/>
          </w:tcPr>
          <w:p w14:paraId="377BD4CA" w14:textId="77777777" w:rsidR="00D170E5" w:rsidRPr="002B55E9" w:rsidRDefault="00EF27AD" w:rsidP="00362261">
            <w:pPr>
              <w:pStyle w:val="lgy-"/>
              <w:rPr>
                <w:rFonts w:eastAsia="宋体"/>
              </w:rPr>
            </w:pPr>
            <w:r w:rsidRPr="002B55E9">
              <w:rPr>
                <w:rFonts w:eastAsia="宋体" w:hint="eastAsia"/>
              </w:rPr>
              <w:t>1</w:t>
            </w:r>
            <w:r w:rsidRPr="002B55E9">
              <w:rPr>
                <w:rFonts w:eastAsia="宋体"/>
              </w:rPr>
              <w:t>0049-04-4</w:t>
            </w:r>
          </w:p>
        </w:tc>
        <w:tc>
          <w:tcPr>
            <w:tcW w:w="1763" w:type="dxa"/>
            <w:noWrap/>
          </w:tcPr>
          <w:p w14:paraId="249F0BC5" w14:textId="77777777" w:rsidR="00D170E5" w:rsidRPr="002B55E9" w:rsidRDefault="00EF27AD" w:rsidP="00362261">
            <w:pPr>
              <w:pStyle w:val="lgy-"/>
              <w:rPr>
                <w:rFonts w:eastAsia="宋体"/>
              </w:rPr>
            </w:pPr>
            <w:r w:rsidRPr="002B55E9">
              <w:rPr>
                <w:rFonts w:eastAsia="宋体" w:hint="eastAsia"/>
              </w:rPr>
              <w:t>0.6</w:t>
            </w:r>
          </w:p>
        </w:tc>
        <w:tc>
          <w:tcPr>
            <w:tcW w:w="1456" w:type="dxa"/>
            <w:noWrap/>
          </w:tcPr>
          <w:p w14:paraId="04935BDD"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2437D1DA" w14:textId="77777777" w:rsidR="00D170E5" w:rsidRPr="002B55E9" w:rsidRDefault="00EF27AD" w:rsidP="00362261">
            <w:pPr>
              <w:pStyle w:val="lgy-"/>
              <w:rPr>
                <w:rFonts w:eastAsia="宋体"/>
              </w:rPr>
            </w:pPr>
            <w:r w:rsidRPr="002B55E9">
              <w:rPr>
                <w:rFonts w:eastAsia="宋体" w:hint="eastAsia"/>
              </w:rPr>
              <w:t>0</w:t>
            </w:r>
            <w:r w:rsidRPr="002B55E9">
              <w:rPr>
                <w:rFonts w:eastAsia="宋体"/>
              </w:rPr>
              <w:t>.5</w:t>
            </w:r>
          </w:p>
        </w:tc>
        <w:tc>
          <w:tcPr>
            <w:tcW w:w="1055" w:type="dxa"/>
            <w:noWrap/>
          </w:tcPr>
          <w:p w14:paraId="0C7A6440" w14:textId="77777777" w:rsidR="00D170E5" w:rsidRPr="002B55E9" w:rsidRDefault="00EF27AD" w:rsidP="00362261">
            <w:pPr>
              <w:pStyle w:val="lgy-"/>
              <w:rPr>
                <w:rFonts w:eastAsia="宋体"/>
                <w:szCs w:val="20"/>
              </w:rPr>
            </w:pPr>
            <w:r w:rsidRPr="002B55E9">
              <w:rPr>
                <w:rFonts w:eastAsia="宋体"/>
                <w:szCs w:val="20"/>
              </w:rPr>
              <w:t xml:space="preserve">1.20 </w:t>
            </w:r>
          </w:p>
        </w:tc>
      </w:tr>
      <w:tr w:rsidR="002B55E9" w:rsidRPr="002B55E9" w14:paraId="285E0401" w14:textId="77777777" w:rsidTr="00362261">
        <w:trPr>
          <w:trHeight w:val="283"/>
        </w:trPr>
        <w:tc>
          <w:tcPr>
            <w:tcW w:w="881" w:type="dxa"/>
            <w:noWrap/>
          </w:tcPr>
          <w:p w14:paraId="07439F10" w14:textId="77777777" w:rsidR="00D170E5" w:rsidRPr="002B55E9" w:rsidRDefault="00EF27AD" w:rsidP="00362261">
            <w:pPr>
              <w:pStyle w:val="lgy-"/>
              <w:rPr>
                <w:rFonts w:eastAsia="宋体"/>
                <w:szCs w:val="20"/>
              </w:rPr>
            </w:pPr>
            <w:r w:rsidRPr="002B55E9">
              <w:rPr>
                <w:rFonts w:eastAsia="宋体" w:hint="eastAsia"/>
                <w:szCs w:val="20"/>
              </w:rPr>
              <w:t>4</w:t>
            </w:r>
          </w:p>
        </w:tc>
        <w:tc>
          <w:tcPr>
            <w:tcW w:w="1582" w:type="dxa"/>
            <w:noWrap/>
          </w:tcPr>
          <w:p w14:paraId="4839D877" w14:textId="77777777" w:rsidR="00D170E5" w:rsidRPr="002B55E9" w:rsidRDefault="00EF27AD" w:rsidP="00362261">
            <w:pPr>
              <w:pStyle w:val="lgy-"/>
              <w:rPr>
                <w:rFonts w:eastAsia="宋体"/>
              </w:rPr>
            </w:pPr>
            <w:r w:rsidRPr="002B55E9">
              <w:rPr>
                <w:rFonts w:eastAsia="宋体" w:hint="eastAsia"/>
              </w:rPr>
              <w:t>硫酸</w:t>
            </w:r>
          </w:p>
        </w:tc>
        <w:tc>
          <w:tcPr>
            <w:tcW w:w="1442" w:type="dxa"/>
          </w:tcPr>
          <w:p w14:paraId="6E323B26"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664-93-9</w:t>
            </w:r>
          </w:p>
        </w:tc>
        <w:tc>
          <w:tcPr>
            <w:tcW w:w="1763" w:type="dxa"/>
            <w:noWrap/>
          </w:tcPr>
          <w:p w14:paraId="18140C8E" w14:textId="77777777" w:rsidR="00D170E5" w:rsidRPr="002B55E9" w:rsidRDefault="00EF27AD" w:rsidP="00362261">
            <w:pPr>
              <w:pStyle w:val="lgy-"/>
              <w:rPr>
                <w:rFonts w:eastAsia="宋体"/>
              </w:rPr>
            </w:pPr>
            <w:r w:rsidRPr="002B55E9">
              <w:rPr>
                <w:rFonts w:eastAsia="宋体" w:hint="eastAsia"/>
              </w:rPr>
              <w:t>0.0137</w:t>
            </w:r>
          </w:p>
        </w:tc>
        <w:tc>
          <w:tcPr>
            <w:tcW w:w="1456" w:type="dxa"/>
            <w:noWrap/>
          </w:tcPr>
          <w:p w14:paraId="54325EDA"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2B6DC509" w14:textId="77777777" w:rsidR="00D170E5" w:rsidRPr="002B55E9" w:rsidRDefault="00EF27AD" w:rsidP="00362261">
            <w:pPr>
              <w:pStyle w:val="lgy-"/>
              <w:rPr>
                <w:rFonts w:eastAsia="宋体"/>
              </w:rPr>
            </w:pPr>
            <w:r w:rsidRPr="002B55E9">
              <w:rPr>
                <w:rFonts w:eastAsia="宋体" w:hint="eastAsia"/>
              </w:rPr>
              <w:t>1</w:t>
            </w:r>
            <w:r w:rsidRPr="002B55E9">
              <w:rPr>
                <w:rFonts w:eastAsia="宋体"/>
              </w:rPr>
              <w:t>0</w:t>
            </w:r>
          </w:p>
        </w:tc>
        <w:tc>
          <w:tcPr>
            <w:tcW w:w="1055" w:type="dxa"/>
            <w:noWrap/>
          </w:tcPr>
          <w:p w14:paraId="2D2CBD11" w14:textId="77777777" w:rsidR="00D170E5" w:rsidRPr="002B55E9" w:rsidRDefault="00EF27AD" w:rsidP="00362261">
            <w:pPr>
              <w:pStyle w:val="lgy-"/>
              <w:rPr>
                <w:rFonts w:eastAsia="宋体"/>
                <w:szCs w:val="20"/>
              </w:rPr>
            </w:pPr>
            <w:r w:rsidRPr="002B55E9">
              <w:rPr>
                <w:rFonts w:eastAsia="宋体"/>
                <w:szCs w:val="20"/>
              </w:rPr>
              <w:t>1.37E-03</w:t>
            </w:r>
          </w:p>
        </w:tc>
      </w:tr>
      <w:tr w:rsidR="002B55E9" w:rsidRPr="002B55E9" w14:paraId="6B8D58E5" w14:textId="77777777" w:rsidTr="00362261">
        <w:trPr>
          <w:trHeight w:val="283"/>
        </w:trPr>
        <w:tc>
          <w:tcPr>
            <w:tcW w:w="881" w:type="dxa"/>
            <w:noWrap/>
          </w:tcPr>
          <w:p w14:paraId="39CC5123" w14:textId="77777777" w:rsidR="00D170E5" w:rsidRPr="002B55E9" w:rsidRDefault="00EF27AD" w:rsidP="00362261">
            <w:pPr>
              <w:pStyle w:val="lgy-"/>
              <w:rPr>
                <w:rFonts w:eastAsia="宋体"/>
                <w:szCs w:val="20"/>
              </w:rPr>
            </w:pPr>
            <w:r w:rsidRPr="002B55E9">
              <w:rPr>
                <w:rFonts w:eastAsia="宋体" w:hint="eastAsia"/>
                <w:szCs w:val="20"/>
              </w:rPr>
              <w:t>5</w:t>
            </w:r>
          </w:p>
        </w:tc>
        <w:tc>
          <w:tcPr>
            <w:tcW w:w="1582" w:type="dxa"/>
            <w:noWrap/>
          </w:tcPr>
          <w:p w14:paraId="6E517D16" w14:textId="77777777" w:rsidR="00D170E5" w:rsidRPr="002B55E9" w:rsidRDefault="00EF27AD" w:rsidP="00362261">
            <w:pPr>
              <w:pStyle w:val="lgy-"/>
              <w:rPr>
                <w:rFonts w:eastAsia="宋体"/>
              </w:rPr>
            </w:pPr>
            <w:r w:rsidRPr="002B55E9">
              <w:rPr>
                <w:rFonts w:eastAsia="宋体" w:hint="eastAsia"/>
              </w:rPr>
              <w:t>甲醛</w:t>
            </w:r>
          </w:p>
        </w:tc>
        <w:tc>
          <w:tcPr>
            <w:tcW w:w="1442" w:type="dxa"/>
          </w:tcPr>
          <w:p w14:paraId="473898DF" w14:textId="77777777" w:rsidR="00D170E5" w:rsidRPr="002B55E9" w:rsidRDefault="00EF27AD" w:rsidP="00362261">
            <w:pPr>
              <w:pStyle w:val="lgy-"/>
              <w:rPr>
                <w:rFonts w:eastAsia="宋体"/>
              </w:rPr>
            </w:pPr>
            <w:r w:rsidRPr="002B55E9">
              <w:rPr>
                <w:rFonts w:eastAsia="宋体" w:hint="eastAsia"/>
              </w:rPr>
              <w:t>5</w:t>
            </w:r>
            <w:r w:rsidRPr="002B55E9">
              <w:rPr>
                <w:rFonts w:eastAsia="宋体"/>
              </w:rPr>
              <w:t>0-00-0</w:t>
            </w:r>
          </w:p>
        </w:tc>
        <w:tc>
          <w:tcPr>
            <w:tcW w:w="1763" w:type="dxa"/>
            <w:noWrap/>
          </w:tcPr>
          <w:p w14:paraId="614D81CB" w14:textId="77777777" w:rsidR="00D170E5" w:rsidRPr="002B55E9" w:rsidRDefault="00EF27AD" w:rsidP="00362261">
            <w:pPr>
              <w:pStyle w:val="lgy-"/>
              <w:rPr>
                <w:rFonts w:eastAsia="宋体"/>
              </w:rPr>
            </w:pPr>
            <w:r w:rsidRPr="002B55E9">
              <w:rPr>
                <w:rFonts w:eastAsia="宋体" w:hint="eastAsia"/>
              </w:rPr>
              <w:t>0.005</w:t>
            </w:r>
          </w:p>
        </w:tc>
        <w:tc>
          <w:tcPr>
            <w:tcW w:w="1456" w:type="dxa"/>
            <w:noWrap/>
          </w:tcPr>
          <w:p w14:paraId="75794054"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47A5D2D2" w14:textId="77777777" w:rsidR="00D170E5" w:rsidRPr="002B55E9" w:rsidRDefault="00EF27AD" w:rsidP="00362261">
            <w:pPr>
              <w:pStyle w:val="lgy-"/>
              <w:rPr>
                <w:rFonts w:eastAsia="宋体"/>
              </w:rPr>
            </w:pPr>
            <w:r w:rsidRPr="002B55E9">
              <w:rPr>
                <w:rFonts w:eastAsia="宋体" w:hint="eastAsia"/>
              </w:rPr>
              <w:t>0</w:t>
            </w:r>
            <w:r w:rsidRPr="002B55E9">
              <w:rPr>
                <w:rFonts w:eastAsia="宋体"/>
              </w:rPr>
              <w:t>.5</w:t>
            </w:r>
          </w:p>
        </w:tc>
        <w:tc>
          <w:tcPr>
            <w:tcW w:w="1055" w:type="dxa"/>
            <w:noWrap/>
          </w:tcPr>
          <w:p w14:paraId="3F95A951" w14:textId="77777777" w:rsidR="00D170E5" w:rsidRPr="002B55E9" w:rsidRDefault="00EF27AD" w:rsidP="00362261">
            <w:pPr>
              <w:pStyle w:val="lgy-"/>
              <w:rPr>
                <w:rFonts w:eastAsia="宋体"/>
                <w:szCs w:val="20"/>
              </w:rPr>
            </w:pPr>
            <w:r w:rsidRPr="002B55E9">
              <w:rPr>
                <w:rFonts w:eastAsia="宋体"/>
                <w:szCs w:val="20"/>
              </w:rPr>
              <w:t xml:space="preserve">0.01 </w:t>
            </w:r>
          </w:p>
        </w:tc>
      </w:tr>
      <w:tr w:rsidR="002B55E9" w:rsidRPr="002B55E9" w14:paraId="5B8D8C8F" w14:textId="77777777" w:rsidTr="00362261">
        <w:trPr>
          <w:trHeight w:val="283"/>
        </w:trPr>
        <w:tc>
          <w:tcPr>
            <w:tcW w:w="881" w:type="dxa"/>
            <w:noWrap/>
          </w:tcPr>
          <w:p w14:paraId="28984C8B" w14:textId="77777777" w:rsidR="00D170E5" w:rsidRPr="002B55E9" w:rsidRDefault="00EF27AD" w:rsidP="00362261">
            <w:pPr>
              <w:pStyle w:val="lgy-"/>
              <w:rPr>
                <w:rFonts w:eastAsia="宋体"/>
                <w:szCs w:val="20"/>
              </w:rPr>
            </w:pPr>
            <w:r w:rsidRPr="002B55E9">
              <w:rPr>
                <w:rFonts w:eastAsia="宋体" w:hint="eastAsia"/>
                <w:szCs w:val="20"/>
              </w:rPr>
              <w:t>6</w:t>
            </w:r>
          </w:p>
        </w:tc>
        <w:tc>
          <w:tcPr>
            <w:tcW w:w="1582" w:type="dxa"/>
            <w:noWrap/>
          </w:tcPr>
          <w:p w14:paraId="75BD3401" w14:textId="77777777" w:rsidR="00D170E5" w:rsidRPr="002B55E9" w:rsidRDefault="00EF27AD" w:rsidP="00362261">
            <w:pPr>
              <w:pStyle w:val="lgy-"/>
              <w:rPr>
                <w:rFonts w:eastAsia="宋体"/>
              </w:rPr>
            </w:pPr>
            <w:r w:rsidRPr="002B55E9">
              <w:rPr>
                <w:rFonts w:eastAsia="宋体" w:hint="eastAsia"/>
              </w:rPr>
              <w:t>盐酸</w:t>
            </w:r>
          </w:p>
        </w:tc>
        <w:tc>
          <w:tcPr>
            <w:tcW w:w="1442" w:type="dxa"/>
          </w:tcPr>
          <w:p w14:paraId="7680FD73"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647-01-0</w:t>
            </w:r>
          </w:p>
        </w:tc>
        <w:tc>
          <w:tcPr>
            <w:tcW w:w="1763" w:type="dxa"/>
            <w:noWrap/>
          </w:tcPr>
          <w:p w14:paraId="4D8824FB" w14:textId="77777777" w:rsidR="00D170E5" w:rsidRPr="002B55E9" w:rsidRDefault="00EF27AD" w:rsidP="00362261">
            <w:pPr>
              <w:pStyle w:val="lgy-"/>
              <w:rPr>
                <w:rFonts w:eastAsia="宋体"/>
              </w:rPr>
            </w:pPr>
            <w:r w:rsidRPr="002B55E9">
              <w:rPr>
                <w:rFonts w:eastAsia="宋体" w:hint="eastAsia"/>
              </w:rPr>
              <w:t>0.00059</w:t>
            </w:r>
          </w:p>
        </w:tc>
        <w:tc>
          <w:tcPr>
            <w:tcW w:w="1456" w:type="dxa"/>
            <w:noWrap/>
          </w:tcPr>
          <w:p w14:paraId="7AFF82ED"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374EC4D2"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.5</w:t>
            </w:r>
          </w:p>
        </w:tc>
        <w:tc>
          <w:tcPr>
            <w:tcW w:w="1055" w:type="dxa"/>
            <w:noWrap/>
          </w:tcPr>
          <w:p w14:paraId="63E1768B" w14:textId="77777777" w:rsidR="00D170E5" w:rsidRPr="002B55E9" w:rsidRDefault="00EF27AD" w:rsidP="00362261">
            <w:pPr>
              <w:pStyle w:val="lgy-"/>
              <w:rPr>
                <w:rFonts w:eastAsia="宋体"/>
                <w:szCs w:val="20"/>
              </w:rPr>
            </w:pPr>
            <w:r w:rsidRPr="002B55E9">
              <w:rPr>
                <w:rFonts w:eastAsia="宋体"/>
                <w:szCs w:val="20"/>
              </w:rPr>
              <w:t>7.87E-05</w:t>
            </w:r>
          </w:p>
        </w:tc>
      </w:tr>
      <w:tr w:rsidR="002B55E9" w:rsidRPr="002B55E9" w14:paraId="740DE84F" w14:textId="77777777" w:rsidTr="00362261">
        <w:trPr>
          <w:trHeight w:val="283"/>
        </w:trPr>
        <w:tc>
          <w:tcPr>
            <w:tcW w:w="881" w:type="dxa"/>
            <w:noWrap/>
          </w:tcPr>
          <w:p w14:paraId="60563086" w14:textId="77777777" w:rsidR="00D170E5" w:rsidRPr="002B55E9" w:rsidRDefault="00EF27AD" w:rsidP="00362261">
            <w:pPr>
              <w:pStyle w:val="lgy-"/>
              <w:rPr>
                <w:rFonts w:eastAsia="宋体"/>
                <w:szCs w:val="20"/>
              </w:rPr>
            </w:pPr>
            <w:r w:rsidRPr="002B55E9">
              <w:rPr>
                <w:rFonts w:eastAsia="宋体" w:hint="eastAsia"/>
                <w:szCs w:val="20"/>
              </w:rPr>
              <w:t>7</w:t>
            </w:r>
          </w:p>
        </w:tc>
        <w:tc>
          <w:tcPr>
            <w:tcW w:w="1582" w:type="dxa"/>
            <w:noWrap/>
          </w:tcPr>
          <w:p w14:paraId="65907811" w14:textId="77777777" w:rsidR="00D170E5" w:rsidRPr="002B55E9" w:rsidRDefault="00EF27AD" w:rsidP="00362261">
            <w:pPr>
              <w:pStyle w:val="lgy-"/>
              <w:rPr>
                <w:rFonts w:eastAsia="宋体"/>
              </w:rPr>
            </w:pPr>
            <w:r w:rsidRPr="002B55E9">
              <w:rPr>
                <w:rFonts w:eastAsia="宋体" w:hint="eastAsia"/>
              </w:rPr>
              <w:t>乙醚</w:t>
            </w:r>
          </w:p>
        </w:tc>
        <w:tc>
          <w:tcPr>
            <w:tcW w:w="1442" w:type="dxa"/>
          </w:tcPr>
          <w:p w14:paraId="725B19E3" w14:textId="77777777" w:rsidR="00D170E5" w:rsidRPr="002B55E9" w:rsidRDefault="00EF27AD" w:rsidP="00362261">
            <w:pPr>
              <w:pStyle w:val="lgy-"/>
              <w:rPr>
                <w:rFonts w:eastAsia="宋体"/>
              </w:rPr>
            </w:pPr>
            <w:r w:rsidRPr="002B55E9">
              <w:rPr>
                <w:rFonts w:eastAsia="宋体" w:hint="eastAsia"/>
              </w:rPr>
              <w:t>6</w:t>
            </w:r>
            <w:r w:rsidRPr="002B55E9">
              <w:rPr>
                <w:rFonts w:eastAsia="宋体"/>
              </w:rPr>
              <w:t>0-29-7</w:t>
            </w:r>
          </w:p>
        </w:tc>
        <w:tc>
          <w:tcPr>
            <w:tcW w:w="1763" w:type="dxa"/>
            <w:noWrap/>
          </w:tcPr>
          <w:p w14:paraId="2BFD0104" w14:textId="77777777" w:rsidR="00D170E5" w:rsidRPr="002B55E9" w:rsidRDefault="00EF27AD" w:rsidP="00362261">
            <w:pPr>
              <w:pStyle w:val="lgy-"/>
              <w:rPr>
                <w:rFonts w:eastAsia="宋体"/>
              </w:rPr>
            </w:pPr>
            <w:r w:rsidRPr="002B55E9">
              <w:rPr>
                <w:rFonts w:eastAsia="宋体" w:hint="eastAsia"/>
              </w:rPr>
              <w:t>0.000357</w:t>
            </w:r>
          </w:p>
        </w:tc>
        <w:tc>
          <w:tcPr>
            <w:tcW w:w="1456" w:type="dxa"/>
            <w:noWrap/>
          </w:tcPr>
          <w:p w14:paraId="241CD17E" w14:textId="77777777" w:rsidR="00D170E5" w:rsidRPr="002B55E9" w:rsidRDefault="00EF27AD" w:rsidP="00362261">
            <w:pPr>
              <w:pStyle w:val="lgy-"/>
              <w:rPr>
                <w:rFonts w:eastAsia="宋体"/>
              </w:rPr>
            </w:pPr>
            <w:r w:rsidRPr="002B55E9">
              <w:rPr>
                <w:rFonts w:eastAsia="宋体" w:hint="eastAsia"/>
              </w:rPr>
              <w:t>瓶装</w:t>
            </w:r>
          </w:p>
        </w:tc>
        <w:tc>
          <w:tcPr>
            <w:tcW w:w="1458" w:type="dxa"/>
            <w:noWrap/>
          </w:tcPr>
          <w:p w14:paraId="009D9CDA" w14:textId="77777777" w:rsidR="00D170E5" w:rsidRPr="002B55E9" w:rsidRDefault="00EF27AD" w:rsidP="00362261">
            <w:pPr>
              <w:pStyle w:val="lgy-"/>
              <w:rPr>
                <w:rFonts w:eastAsia="宋体"/>
              </w:rPr>
            </w:pPr>
            <w:r w:rsidRPr="002B55E9">
              <w:rPr>
                <w:rFonts w:eastAsia="宋体" w:hint="eastAsia"/>
              </w:rPr>
              <w:t>1</w:t>
            </w:r>
            <w:r w:rsidRPr="002B55E9">
              <w:rPr>
                <w:rFonts w:eastAsia="宋体"/>
              </w:rPr>
              <w:t>0</w:t>
            </w:r>
          </w:p>
        </w:tc>
        <w:tc>
          <w:tcPr>
            <w:tcW w:w="1055" w:type="dxa"/>
            <w:noWrap/>
          </w:tcPr>
          <w:p w14:paraId="39971503" w14:textId="77777777" w:rsidR="00D170E5" w:rsidRPr="002B55E9" w:rsidRDefault="00EF27AD" w:rsidP="00362261">
            <w:pPr>
              <w:pStyle w:val="lgy-"/>
              <w:rPr>
                <w:rFonts w:eastAsia="宋体"/>
              </w:rPr>
            </w:pPr>
            <w:r w:rsidRPr="002B55E9">
              <w:rPr>
                <w:rFonts w:eastAsia="宋体"/>
                <w:szCs w:val="20"/>
              </w:rPr>
              <w:t>3.57E-05</w:t>
            </w:r>
          </w:p>
        </w:tc>
      </w:tr>
      <w:tr w:rsidR="002B55E9" w:rsidRPr="002B55E9" w14:paraId="6E761D5F" w14:textId="77777777" w:rsidTr="00362261">
        <w:trPr>
          <w:trHeight w:val="283"/>
        </w:trPr>
        <w:tc>
          <w:tcPr>
            <w:tcW w:w="881" w:type="dxa"/>
            <w:noWrap/>
          </w:tcPr>
          <w:p w14:paraId="54960A4C" w14:textId="77777777" w:rsidR="00D170E5" w:rsidRPr="002B55E9" w:rsidRDefault="00EF27AD" w:rsidP="00362261">
            <w:pPr>
              <w:pStyle w:val="lgy-"/>
              <w:rPr>
                <w:rFonts w:eastAsia="宋体"/>
                <w:szCs w:val="20"/>
              </w:rPr>
            </w:pPr>
            <w:r w:rsidRPr="002B55E9">
              <w:rPr>
                <w:rFonts w:eastAsia="宋体" w:hint="eastAsia"/>
                <w:szCs w:val="20"/>
              </w:rPr>
              <w:t>8</w:t>
            </w:r>
          </w:p>
        </w:tc>
        <w:tc>
          <w:tcPr>
            <w:tcW w:w="1582" w:type="dxa"/>
            <w:noWrap/>
          </w:tcPr>
          <w:p w14:paraId="1B15D928" w14:textId="77777777" w:rsidR="00D170E5" w:rsidRPr="002B55E9" w:rsidRDefault="00EF27AD" w:rsidP="00362261">
            <w:pPr>
              <w:pStyle w:val="lgy-"/>
              <w:rPr>
                <w:rFonts w:eastAsia="宋体"/>
              </w:rPr>
            </w:pPr>
            <w:r w:rsidRPr="002B55E9">
              <w:rPr>
                <w:rFonts w:eastAsia="宋体" w:hint="eastAsia"/>
              </w:rPr>
              <w:t>磷酸</w:t>
            </w:r>
          </w:p>
        </w:tc>
        <w:tc>
          <w:tcPr>
            <w:tcW w:w="1442" w:type="dxa"/>
          </w:tcPr>
          <w:p w14:paraId="30389B50" w14:textId="77777777" w:rsidR="00D170E5" w:rsidRPr="002B55E9" w:rsidRDefault="00EF27AD" w:rsidP="00362261">
            <w:pPr>
              <w:pStyle w:val="lgy-"/>
              <w:rPr>
                <w:rFonts w:eastAsia="宋体"/>
              </w:rPr>
            </w:pPr>
            <w:r w:rsidRPr="002B55E9">
              <w:rPr>
                <w:rFonts w:eastAsia="宋体" w:hint="eastAsia"/>
              </w:rPr>
              <w:t>7664-38-2</w:t>
            </w:r>
          </w:p>
        </w:tc>
        <w:tc>
          <w:tcPr>
            <w:tcW w:w="1763" w:type="dxa"/>
            <w:noWrap/>
          </w:tcPr>
          <w:p w14:paraId="06AB265B" w14:textId="77777777" w:rsidR="00D170E5" w:rsidRPr="002B55E9" w:rsidRDefault="00EF27AD" w:rsidP="00362261">
            <w:pPr>
              <w:pStyle w:val="lgy-"/>
              <w:rPr>
                <w:rFonts w:eastAsia="宋体"/>
              </w:rPr>
            </w:pPr>
            <w:r w:rsidRPr="002B55E9">
              <w:rPr>
                <w:rFonts w:eastAsia="宋体"/>
              </w:rPr>
              <w:t>0.45</w:t>
            </w:r>
          </w:p>
        </w:tc>
        <w:tc>
          <w:tcPr>
            <w:tcW w:w="1456" w:type="dxa"/>
            <w:noWrap/>
          </w:tcPr>
          <w:p w14:paraId="6EEB1FD0" w14:textId="77777777" w:rsidR="00D170E5" w:rsidRPr="002B55E9" w:rsidRDefault="00EF27AD" w:rsidP="00362261">
            <w:pPr>
              <w:pStyle w:val="lgy-"/>
              <w:rPr>
                <w:rFonts w:eastAsia="宋体"/>
              </w:rPr>
            </w:pPr>
            <w:r w:rsidRPr="002B55E9">
              <w:rPr>
                <w:rFonts w:eastAsia="宋体" w:hint="eastAsia"/>
              </w:rPr>
              <w:t>储罐</w:t>
            </w:r>
          </w:p>
        </w:tc>
        <w:tc>
          <w:tcPr>
            <w:tcW w:w="1458" w:type="dxa"/>
            <w:noWrap/>
          </w:tcPr>
          <w:p w14:paraId="4D305597" w14:textId="77777777" w:rsidR="00D170E5" w:rsidRPr="002B55E9" w:rsidRDefault="00EF27AD" w:rsidP="00362261">
            <w:pPr>
              <w:pStyle w:val="lgy-"/>
              <w:rPr>
                <w:rFonts w:eastAsia="宋体"/>
                <w:szCs w:val="20"/>
              </w:rPr>
            </w:pPr>
            <w:r w:rsidRPr="002B55E9">
              <w:rPr>
                <w:rFonts w:eastAsia="宋体" w:hint="eastAsia"/>
                <w:szCs w:val="20"/>
              </w:rPr>
              <w:t>10</w:t>
            </w:r>
          </w:p>
        </w:tc>
        <w:tc>
          <w:tcPr>
            <w:tcW w:w="1055" w:type="dxa"/>
            <w:noWrap/>
          </w:tcPr>
          <w:p w14:paraId="52505267" w14:textId="77777777" w:rsidR="00D170E5" w:rsidRPr="002B55E9" w:rsidRDefault="00EF27AD" w:rsidP="00362261">
            <w:pPr>
              <w:pStyle w:val="lgy-"/>
              <w:rPr>
                <w:rFonts w:eastAsia="宋体"/>
                <w:szCs w:val="20"/>
              </w:rPr>
            </w:pPr>
            <w:r w:rsidRPr="002B55E9">
              <w:rPr>
                <w:rFonts w:eastAsia="宋体"/>
                <w:szCs w:val="20"/>
              </w:rPr>
              <w:t xml:space="preserve">0.11 </w:t>
            </w:r>
          </w:p>
        </w:tc>
      </w:tr>
      <w:tr w:rsidR="002B55E9" w:rsidRPr="002B55E9" w14:paraId="7C233A09" w14:textId="77777777" w:rsidTr="00362261">
        <w:trPr>
          <w:trHeight w:val="283"/>
        </w:trPr>
        <w:tc>
          <w:tcPr>
            <w:tcW w:w="881" w:type="dxa"/>
            <w:noWrap/>
          </w:tcPr>
          <w:p w14:paraId="4451AB31" w14:textId="77777777" w:rsidR="00D170E5" w:rsidRPr="002B55E9" w:rsidRDefault="00EF27AD" w:rsidP="00362261">
            <w:pPr>
              <w:pStyle w:val="lgy-"/>
              <w:rPr>
                <w:rFonts w:eastAsia="宋体"/>
                <w:szCs w:val="20"/>
              </w:rPr>
            </w:pPr>
            <w:r w:rsidRPr="002B55E9">
              <w:rPr>
                <w:rFonts w:eastAsia="宋体" w:hint="eastAsia"/>
                <w:szCs w:val="20"/>
              </w:rPr>
              <w:t>9</w:t>
            </w:r>
          </w:p>
        </w:tc>
        <w:tc>
          <w:tcPr>
            <w:tcW w:w="1582" w:type="dxa"/>
            <w:noWrap/>
          </w:tcPr>
          <w:p w14:paraId="0C213D03" w14:textId="77777777" w:rsidR="00D170E5" w:rsidRPr="002B55E9" w:rsidRDefault="00EF27AD" w:rsidP="00362261">
            <w:pPr>
              <w:pStyle w:val="lgy-"/>
              <w:rPr>
                <w:rFonts w:eastAsia="宋体"/>
              </w:rPr>
            </w:pPr>
            <w:r w:rsidRPr="002B55E9">
              <w:rPr>
                <w:rFonts w:eastAsia="宋体" w:hint="eastAsia"/>
              </w:rPr>
              <w:t>硝酸</w:t>
            </w:r>
          </w:p>
        </w:tc>
        <w:tc>
          <w:tcPr>
            <w:tcW w:w="1442" w:type="dxa"/>
          </w:tcPr>
          <w:p w14:paraId="722E5721" w14:textId="77777777" w:rsidR="00D170E5" w:rsidRPr="002B55E9" w:rsidRDefault="00EF27AD" w:rsidP="00362261">
            <w:pPr>
              <w:pStyle w:val="lgy-"/>
              <w:rPr>
                <w:rFonts w:eastAsia="宋体"/>
              </w:rPr>
            </w:pPr>
            <w:r w:rsidRPr="002B55E9">
              <w:rPr>
                <w:rFonts w:eastAsia="宋体" w:hint="eastAsia"/>
              </w:rPr>
              <w:t>7697-37-2</w:t>
            </w:r>
          </w:p>
        </w:tc>
        <w:tc>
          <w:tcPr>
            <w:tcW w:w="1763" w:type="dxa"/>
            <w:noWrap/>
          </w:tcPr>
          <w:p w14:paraId="76D19248" w14:textId="77777777" w:rsidR="00D170E5" w:rsidRPr="002B55E9" w:rsidRDefault="00EF27AD" w:rsidP="00362261">
            <w:pPr>
              <w:pStyle w:val="lgy-"/>
              <w:rPr>
                <w:rFonts w:eastAsia="宋体"/>
              </w:rPr>
            </w:pPr>
            <w:r w:rsidRPr="002B55E9">
              <w:rPr>
                <w:rFonts w:eastAsia="宋体"/>
              </w:rPr>
              <w:t>0.225</w:t>
            </w:r>
          </w:p>
        </w:tc>
        <w:tc>
          <w:tcPr>
            <w:tcW w:w="1456" w:type="dxa"/>
            <w:noWrap/>
          </w:tcPr>
          <w:p w14:paraId="60E5D9C0" w14:textId="77777777" w:rsidR="00D170E5" w:rsidRPr="002B55E9" w:rsidRDefault="00EF27AD" w:rsidP="00362261">
            <w:pPr>
              <w:pStyle w:val="lgy-"/>
              <w:rPr>
                <w:rFonts w:eastAsia="宋体"/>
              </w:rPr>
            </w:pPr>
            <w:r w:rsidRPr="002B55E9">
              <w:rPr>
                <w:rFonts w:eastAsia="宋体" w:hint="eastAsia"/>
              </w:rPr>
              <w:t>储罐</w:t>
            </w:r>
          </w:p>
        </w:tc>
        <w:tc>
          <w:tcPr>
            <w:tcW w:w="1458" w:type="dxa"/>
            <w:noWrap/>
          </w:tcPr>
          <w:p w14:paraId="6CDF95DB" w14:textId="77777777" w:rsidR="00D170E5" w:rsidRPr="002B55E9" w:rsidRDefault="00EF27AD" w:rsidP="00362261">
            <w:pPr>
              <w:pStyle w:val="lgy-"/>
              <w:rPr>
                <w:rFonts w:eastAsia="宋体"/>
                <w:szCs w:val="20"/>
              </w:rPr>
            </w:pPr>
            <w:r w:rsidRPr="002B55E9">
              <w:rPr>
                <w:rFonts w:eastAsia="宋体" w:hint="eastAsia"/>
                <w:szCs w:val="20"/>
              </w:rPr>
              <w:t>7.5</w:t>
            </w:r>
          </w:p>
        </w:tc>
        <w:tc>
          <w:tcPr>
            <w:tcW w:w="1055" w:type="dxa"/>
            <w:noWrap/>
          </w:tcPr>
          <w:p w14:paraId="5884DD1B" w14:textId="77777777" w:rsidR="00D170E5" w:rsidRPr="002B55E9" w:rsidRDefault="00EF27AD" w:rsidP="00362261">
            <w:pPr>
              <w:pStyle w:val="lgy-"/>
              <w:rPr>
                <w:rFonts w:eastAsia="宋体"/>
                <w:szCs w:val="20"/>
              </w:rPr>
            </w:pPr>
            <w:r w:rsidRPr="002B55E9">
              <w:rPr>
                <w:rFonts w:eastAsia="宋体"/>
                <w:szCs w:val="20"/>
              </w:rPr>
              <w:t xml:space="preserve">0.07 </w:t>
            </w:r>
          </w:p>
        </w:tc>
      </w:tr>
      <w:tr w:rsidR="002B55E9" w:rsidRPr="002B55E9" w14:paraId="30BDA979" w14:textId="77777777" w:rsidTr="00362261">
        <w:trPr>
          <w:trHeight w:val="283"/>
        </w:trPr>
        <w:tc>
          <w:tcPr>
            <w:tcW w:w="881" w:type="dxa"/>
            <w:noWrap/>
          </w:tcPr>
          <w:p w14:paraId="35BC31C1" w14:textId="6BCE3849" w:rsidR="00362261" w:rsidRPr="002B55E9" w:rsidRDefault="00362261" w:rsidP="00362261">
            <w:pPr>
              <w:pStyle w:val="lgy-"/>
              <w:rPr>
                <w:rFonts w:eastAsia="宋体"/>
                <w:szCs w:val="20"/>
              </w:rPr>
            </w:pPr>
            <w:r w:rsidRPr="002B55E9">
              <w:rPr>
                <w:rFonts w:eastAsia="宋体" w:hint="eastAsia"/>
                <w:szCs w:val="20"/>
              </w:rPr>
              <w:t>1</w:t>
            </w:r>
            <w:r w:rsidRPr="002B55E9">
              <w:rPr>
                <w:rFonts w:eastAsia="宋体"/>
                <w:szCs w:val="20"/>
              </w:rPr>
              <w:t>0</w:t>
            </w:r>
          </w:p>
        </w:tc>
        <w:tc>
          <w:tcPr>
            <w:tcW w:w="1582" w:type="dxa"/>
            <w:noWrap/>
          </w:tcPr>
          <w:p w14:paraId="0FCD8E50" w14:textId="6152396F" w:rsidR="00362261" w:rsidRPr="002B55E9" w:rsidRDefault="00362261" w:rsidP="00362261">
            <w:pPr>
              <w:pStyle w:val="lgy-"/>
              <w:rPr>
                <w:rFonts w:eastAsia="宋体"/>
              </w:rPr>
            </w:pPr>
            <w:r w:rsidRPr="002B55E9">
              <w:rPr>
                <w:rFonts w:eastAsia="宋体" w:hint="eastAsia"/>
              </w:rPr>
              <w:t>废机油</w:t>
            </w:r>
          </w:p>
        </w:tc>
        <w:tc>
          <w:tcPr>
            <w:tcW w:w="1442" w:type="dxa"/>
          </w:tcPr>
          <w:p w14:paraId="5BD941F7" w14:textId="2A724D57" w:rsidR="00362261" w:rsidRPr="002B55E9" w:rsidRDefault="00362261" w:rsidP="00362261">
            <w:pPr>
              <w:pStyle w:val="lgy-"/>
              <w:rPr>
                <w:rFonts w:eastAsia="宋体"/>
              </w:rPr>
            </w:pPr>
            <w:r w:rsidRPr="002B55E9">
              <w:rPr>
                <w:rFonts w:eastAsia="宋体" w:hint="eastAsia"/>
              </w:rPr>
              <w:t>/</w:t>
            </w:r>
          </w:p>
        </w:tc>
        <w:tc>
          <w:tcPr>
            <w:tcW w:w="1763" w:type="dxa"/>
            <w:noWrap/>
          </w:tcPr>
          <w:p w14:paraId="38C495B2" w14:textId="3684CDBD" w:rsidR="00362261" w:rsidRPr="002B55E9" w:rsidRDefault="00362261" w:rsidP="00362261">
            <w:pPr>
              <w:pStyle w:val="lgy-"/>
              <w:rPr>
                <w:rFonts w:eastAsia="宋体"/>
              </w:rPr>
            </w:pPr>
            <w:r w:rsidRPr="002B55E9">
              <w:rPr>
                <w:rFonts w:eastAsia="宋体" w:hint="eastAsia"/>
              </w:rPr>
              <w:t>0</w:t>
            </w:r>
            <w:r w:rsidRPr="002B55E9">
              <w:rPr>
                <w:rFonts w:eastAsia="宋体"/>
              </w:rPr>
              <w:t>.5</w:t>
            </w:r>
          </w:p>
        </w:tc>
        <w:tc>
          <w:tcPr>
            <w:tcW w:w="1456" w:type="dxa"/>
            <w:noWrap/>
          </w:tcPr>
          <w:p w14:paraId="68AF95E5" w14:textId="1FD58AAD" w:rsidR="00362261" w:rsidRPr="002B55E9" w:rsidRDefault="00362261" w:rsidP="00362261">
            <w:pPr>
              <w:pStyle w:val="lgy-"/>
              <w:rPr>
                <w:rFonts w:eastAsia="宋体"/>
              </w:rPr>
            </w:pPr>
            <w:r w:rsidRPr="002B55E9">
              <w:rPr>
                <w:rFonts w:eastAsia="宋体" w:hint="eastAsia"/>
              </w:rPr>
              <w:t>桶装</w:t>
            </w:r>
          </w:p>
        </w:tc>
        <w:tc>
          <w:tcPr>
            <w:tcW w:w="1458" w:type="dxa"/>
            <w:noWrap/>
          </w:tcPr>
          <w:p w14:paraId="33164FEE" w14:textId="1960F528" w:rsidR="00362261" w:rsidRPr="002B55E9" w:rsidRDefault="00362261" w:rsidP="00362261">
            <w:pPr>
              <w:pStyle w:val="lgy-"/>
              <w:rPr>
                <w:rFonts w:eastAsia="宋体"/>
                <w:szCs w:val="20"/>
              </w:rPr>
            </w:pPr>
            <w:r w:rsidRPr="002B55E9">
              <w:rPr>
                <w:rFonts w:eastAsia="宋体"/>
                <w:szCs w:val="20"/>
              </w:rPr>
              <w:t>2</w:t>
            </w:r>
            <w:r w:rsidRPr="002B55E9">
              <w:rPr>
                <w:rFonts w:eastAsia="宋体" w:hint="eastAsia"/>
                <w:szCs w:val="20"/>
              </w:rPr>
              <w:t>5</w:t>
            </w:r>
            <w:r w:rsidRPr="002B55E9">
              <w:rPr>
                <w:rFonts w:eastAsia="宋体"/>
                <w:szCs w:val="20"/>
              </w:rPr>
              <w:t>00</w:t>
            </w:r>
          </w:p>
        </w:tc>
        <w:tc>
          <w:tcPr>
            <w:tcW w:w="1055" w:type="dxa"/>
            <w:noWrap/>
          </w:tcPr>
          <w:p w14:paraId="7A0519DA" w14:textId="38155DDC" w:rsidR="00362261" w:rsidRPr="002B55E9" w:rsidRDefault="00362261" w:rsidP="00362261">
            <w:pPr>
              <w:pStyle w:val="lgy-"/>
              <w:rPr>
                <w:rFonts w:eastAsia="宋体"/>
                <w:szCs w:val="20"/>
              </w:rPr>
            </w:pPr>
            <w:r w:rsidRPr="002B55E9">
              <w:rPr>
                <w:rFonts w:eastAsia="宋体" w:hint="eastAsia"/>
                <w:szCs w:val="20"/>
              </w:rPr>
              <w:t>0</w:t>
            </w:r>
            <w:r w:rsidRPr="002B55E9">
              <w:rPr>
                <w:rFonts w:eastAsia="宋体"/>
                <w:szCs w:val="20"/>
              </w:rPr>
              <w:t>.0002</w:t>
            </w:r>
          </w:p>
        </w:tc>
      </w:tr>
      <w:tr w:rsidR="002B55E9" w:rsidRPr="002B55E9" w14:paraId="6F76337A" w14:textId="77777777" w:rsidTr="00362261">
        <w:trPr>
          <w:trHeight w:val="283"/>
        </w:trPr>
        <w:tc>
          <w:tcPr>
            <w:tcW w:w="8582" w:type="dxa"/>
            <w:gridSpan w:val="6"/>
            <w:noWrap/>
          </w:tcPr>
          <w:p w14:paraId="6E765451" w14:textId="77777777" w:rsidR="00D170E5" w:rsidRPr="002B55E9" w:rsidRDefault="00EF27AD" w:rsidP="00362261">
            <w:pPr>
              <w:pStyle w:val="lgy-"/>
              <w:rPr>
                <w:rFonts w:eastAsia="宋体"/>
                <w:szCs w:val="20"/>
              </w:rPr>
            </w:pPr>
            <w:r w:rsidRPr="002B55E9">
              <w:rPr>
                <w:rFonts w:eastAsia="宋体" w:hint="eastAsia"/>
                <w:szCs w:val="20"/>
              </w:rPr>
              <w:t>合计</w:t>
            </w:r>
          </w:p>
        </w:tc>
        <w:tc>
          <w:tcPr>
            <w:tcW w:w="1055" w:type="dxa"/>
            <w:noWrap/>
          </w:tcPr>
          <w:p w14:paraId="4C8D9ABD" w14:textId="77777777" w:rsidR="00D170E5" w:rsidRPr="002B55E9" w:rsidRDefault="00EF27AD" w:rsidP="00362261">
            <w:pPr>
              <w:pStyle w:val="lgy-"/>
              <w:rPr>
                <w:rFonts w:eastAsia="宋体"/>
                <w:szCs w:val="20"/>
              </w:rPr>
            </w:pPr>
            <w:r w:rsidRPr="002B55E9">
              <w:rPr>
                <w:rFonts w:eastAsia="宋体" w:hint="eastAsia"/>
                <w:szCs w:val="20"/>
              </w:rPr>
              <w:t>4</w:t>
            </w:r>
            <w:r w:rsidRPr="002B55E9">
              <w:rPr>
                <w:rFonts w:eastAsia="宋体"/>
                <w:szCs w:val="20"/>
              </w:rPr>
              <w:t>6.28</w:t>
            </w:r>
          </w:p>
        </w:tc>
      </w:tr>
    </w:tbl>
    <w:p w14:paraId="24A1C1F6" w14:textId="77777777" w:rsidR="00D170E5" w:rsidRPr="002B55E9" w:rsidRDefault="00EF27AD">
      <w:pPr>
        <w:spacing w:after="60" w:line="360" w:lineRule="auto"/>
        <w:ind w:firstLineChars="200" w:firstLine="480"/>
        <w:rPr>
          <w:bCs/>
          <w:snapToGrid w:val="0"/>
          <w:sz w:val="24"/>
        </w:rPr>
      </w:pPr>
      <w:r w:rsidRPr="002B55E9">
        <w:rPr>
          <w:bCs/>
          <w:snapToGrid w:val="0"/>
          <w:sz w:val="24"/>
        </w:rPr>
        <w:t>根据《建设项目环境风险评价技术导则》（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附录</w:t>
      </w:r>
      <w:r w:rsidRPr="002B55E9">
        <w:rPr>
          <w:bCs/>
          <w:snapToGrid w:val="0"/>
          <w:sz w:val="24"/>
        </w:rPr>
        <w:t>C.1.1</w:t>
      </w:r>
      <w:r w:rsidRPr="002B55E9">
        <w:rPr>
          <w:rFonts w:hint="eastAsia"/>
          <w:bCs/>
          <w:snapToGrid w:val="0"/>
          <w:sz w:val="24"/>
        </w:rPr>
        <w:t>：</w:t>
      </w:r>
    </w:p>
    <w:p w14:paraId="6C9AD0E8"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当存在</w:t>
      </w:r>
      <w:r w:rsidRPr="002B55E9">
        <w:rPr>
          <w:bCs/>
          <w:snapToGrid w:val="0"/>
          <w:sz w:val="24"/>
        </w:rPr>
        <w:t>多种危险物质时，则按</w:t>
      </w:r>
      <w:r w:rsidRPr="002B55E9">
        <w:rPr>
          <w:rFonts w:hint="eastAsia"/>
          <w:bCs/>
          <w:snapToGrid w:val="0"/>
          <w:sz w:val="24"/>
        </w:rPr>
        <w:t>以下公式</w:t>
      </w:r>
      <w:r w:rsidRPr="002B55E9">
        <w:rPr>
          <w:bCs/>
          <w:snapToGrid w:val="0"/>
          <w:sz w:val="24"/>
        </w:rPr>
        <w:t>计算</w:t>
      </w:r>
      <w:r w:rsidRPr="002B55E9">
        <w:rPr>
          <w:rFonts w:hint="eastAsia"/>
          <w:bCs/>
          <w:snapToGrid w:val="0"/>
          <w:sz w:val="24"/>
        </w:rPr>
        <w:t>物质总量</w:t>
      </w:r>
      <w:r w:rsidRPr="002B55E9">
        <w:rPr>
          <w:bCs/>
          <w:snapToGrid w:val="0"/>
          <w:sz w:val="24"/>
        </w:rPr>
        <w:t>与其临界值比值（</w:t>
      </w:r>
      <w:r w:rsidRPr="002B55E9">
        <w:rPr>
          <w:rFonts w:hint="eastAsia"/>
          <w:bCs/>
          <w:snapToGrid w:val="0"/>
          <w:sz w:val="24"/>
        </w:rPr>
        <w:t>Q</w:t>
      </w:r>
      <w:r w:rsidRPr="002B55E9">
        <w:rPr>
          <w:bCs/>
          <w:snapToGrid w:val="0"/>
          <w:sz w:val="24"/>
        </w:rPr>
        <w:t>）</w:t>
      </w:r>
      <w:r w:rsidRPr="002B55E9">
        <w:rPr>
          <w:rFonts w:hint="eastAsia"/>
          <w:bCs/>
          <w:snapToGrid w:val="0"/>
          <w:sz w:val="24"/>
        </w:rPr>
        <w:t>：</w:t>
      </w:r>
    </w:p>
    <w:p w14:paraId="0A4D4C9F" w14:textId="77777777" w:rsidR="00D170E5" w:rsidRPr="002B55E9" w:rsidRDefault="00EF27AD">
      <w:pPr>
        <w:spacing w:after="60" w:line="360" w:lineRule="auto"/>
        <w:ind w:firstLineChars="200" w:firstLine="480"/>
        <w:rPr>
          <w:bCs/>
          <w:snapToGrid w:val="0"/>
          <w:sz w:val="24"/>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52811872" w14:textId="77777777" w:rsidR="00D170E5" w:rsidRPr="002B55E9" w:rsidRDefault="00EF27AD">
      <w:pPr>
        <w:spacing w:after="60" w:line="360" w:lineRule="auto"/>
        <w:ind w:firstLineChars="200" w:firstLine="480"/>
        <w:rPr>
          <w:bCs/>
          <w:snapToGrid w:val="0"/>
          <w:sz w:val="24"/>
        </w:rPr>
      </w:pPr>
      <w:r w:rsidRPr="002B55E9">
        <w:rPr>
          <w:bCs/>
          <w:snapToGrid w:val="0"/>
          <w:sz w:val="24"/>
        </w:rPr>
        <w:t>其中：</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Pr="002B55E9">
        <w:rPr>
          <w:rFonts w:hint="eastAsia"/>
          <w:bCs/>
          <w:snapToGrid w:val="0"/>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oMath>
      <w:r w:rsidRPr="002B55E9">
        <w:rPr>
          <w:rFonts w:hint="eastAsia"/>
          <w:bCs/>
          <w:snapToGrid w:val="0"/>
          <w:sz w:val="24"/>
        </w:rPr>
        <w:t>，</w:t>
      </w:r>
      <w:r w:rsidRPr="002B55E9">
        <w:rPr>
          <w:bCs/>
          <w:snapToGrid w:val="0"/>
          <w:sz w:val="24"/>
        </w:rPr>
        <w:t>…</w:t>
      </w:r>
      <w:r w:rsidRPr="002B55E9">
        <w:rPr>
          <w:rFonts w:hint="eastAsia"/>
          <w:bCs/>
          <w:snapToGrid w:val="0"/>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oMath>
      <w:r w:rsidRPr="002B55E9">
        <w:rPr>
          <w:rFonts w:hint="eastAsia"/>
          <w:bCs/>
          <w:snapToGrid w:val="0"/>
          <w:sz w:val="24"/>
        </w:rPr>
        <w:t>-</w:t>
      </w:r>
      <w:r w:rsidRPr="002B55E9">
        <w:rPr>
          <w:bCs/>
          <w:snapToGrid w:val="0"/>
          <w:sz w:val="24"/>
        </w:rPr>
        <w:t>-</w:t>
      </w:r>
      <w:r w:rsidRPr="002B55E9">
        <w:rPr>
          <w:bCs/>
          <w:snapToGrid w:val="0"/>
          <w:sz w:val="24"/>
        </w:rPr>
        <w:t>每种危险物质</w:t>
      </w:r>
      <w:r w:rsidRPr="002B55E9">
        <w:rPr>
          <w:rFonts w:hint="eastAsia"/>
          <w:bCs/>
          <w:snapToGrid w:val="0"/>
          <w:sz w:val="24"/>
        </w:rPr>
        <w:t>的最大</w:t>
      </w:r>
      <w:r w:rsidRPr="002B55E9">
        <w:rPr>
          <w:bCs/>
          <w:snapToGrid w:val="0"/>
          <w:sz w:val="24"/>
        </w:rPr>
        <w:t>存在总量，</w:t>
      </w:r>
      <w:r w:rsidRPr="002B55E9">
        <w:rPr>
          <w:bCs/>
          <w:snapToGrid w:val="0"/>
          <w:sz w:val="24"/>
        </w:rPr>
        <w:t>t</w:t>
      </w:r>
      <w:r w:rsidRPr="002B55E9">
        <w:rPr>
          <w:bCs/>
          <w:snapToGrid w:val="0"/>
          <w:sz w:val="24"/>
        </w:rPr>
        <w:t>；</w:t>
      </w:r>
    </w:p>
    <w:p w14:paraId="3D93BF75"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1</w:t>
      </w:r>
      <w:r w:rsidRPr="002B55E9">
        <w:rPr>
          <w:bCs/>
          <w:snapToGrid w:val="0"/>
          <w:sz w:val="24"/>
        </w:rPr>
        <w:t>、</w:t>
      </w:r>
      <w:r w:rsidRPr="002B55E9">
        <w:rPr>
          <w:bCs/>
          <w:snapToGrid w:val="0"/>
          <w:sz w:val="24"/>
        </w:rPr>
        <w:t>Q</w:t>
      </w:r>
      <w:r w:rsidRPr="002B55E9">
        <w:rPr>
          <w:bCs/>
          <w:snapToGrid w:val="0"/>
          <w:sz w:val="24"/>
          <w:vertAlign w:val="subscript"/>
        </w:rPr>
        <w:t>2</w:t>
      </w:r>
      <w:r w:rsidRPr="002B55E9">
        <w:rPr>
          <w:bCs/>
          <w:snapToGrid w:val="0"/>
          <w:sz w:val="24"/>
        </w:rPr>
        <w:t>……Q</w:t>
      </w:r>
      <w:r w:rsidRPr="002B55E9">
        <w:rPr>
          <w:bCs/>
          <w:snapToGrid w:val="0"/>
          <w:sz w:val="24"/>
          <w:vertAlign w:val="subscript"/>
        </w:rPr>
        <w:t>n</w:t>
      </w:r>
      <w:r w:rsidRPr="002B55E9">
        <w:rPr>
          <w:bCs/>
          <w:snapToGrid w:val="0"/>
          <w:sz w:val="24"/>
        </w:rPr>
        <w:t>—</w:t>
      </w:r>
      <w:r w:rsidRPr="002B55E9">
        <w:rPr>
          <w:rFonts w:hint="eastAsia"/>
          <w:bCs/>
          <w:snapToGrid w:val="0"/>
          <w:sz w:val="24"/>
        </w:rPr>
        <w:t>每种危险物质</w:t>
      </w:r>
      <w:r w:rsidRPr="002B55E9">
        <w:rPr>
          <w:bCs/>
          <w:snapToGrid w:val="0"/>
          <w:sz w:val="24"/>
        </w:rPr>
        <w:t>的临界量，</w:t>
      </w:r>
      <w:r w:rsidRPr="002B55E9">
        <w:rPr>
          <w:bCs/>
          <w:snapToGrid w:val="0"/>
          <w:sz w:val="24"/>
        </w:rPr>
        <w:t>t</w:t>
      </w:r>
      <w:r w:rsidRPr="002B55E9">
        <w:rPr>
          <w:rFonts w:hint="eastAsia"/>
          <w:bCs/>
          <w:snapToGrid w:val="0"/>
          <w:sz w:val="24"/>
        </w:rPr>
        <w:t>。</w:t>
      </w:r>
    </w:p>
    <w:p w14:paraId="6824B08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lastRenderedPageBreak/>
        <w:t>当</w:t>
      </w:r>
      <w:r w:rsidRPr="002B55E9">
        <w:rPr>
          <w:rFonts w:hint="eastAsia"/>
          <w:bCs/>
          <w:snapToGrid w:val="0"/>
          <w:sz w:val="24"/>
        </w:rPr>
        <w:t>Q</w:t>
      </w:r>
      <w:r w:rsidRPr="002B55E9">
        <w:rPr>
          <w:rFonts w:hint="eastAsia"/>
          <w:bCs/>
          <w:snapToGrid w:val="0"/>
          <w:sz w:val="24"/>
        </w:rPr>
        <w:t>＜</w:t>
      </w:r>
      <w:r w:rsidRPr="002B55E9">
        <w:rPr>
          <w:rFonts w:hint="eastAsia"/>
          <w:bCs/>
          <w:snapToGrid w:val="0"/>
          <w:sz w:val="24"/>
        </w:rPr>
        <w:t>1</w:t>
      </w:r>
      <w:r w:rsidRPr="002B55E9">
        <w:rPr>
          <w:rFonts w:hint="eastAsia"/>
          <w:bCs/>
          <w:snapToGrid w:val="0"/>
          <w:sz w:val="24"/>
        </w:rPr>
        <w:t>时</w:t>
      </w:r>
      <w:r w:rsidRPr="002B55E9">
        <w:rPr>
          <w:bCs/>
          <w:snapToGrid w:val="0"/>
          <w:sz w:val="24"/>
        </w:rPr>
        <w:t>，该项目</w:t>
      </w:r>
      <w:r w:rsidRPr="002B55E9">
        <w:rPr>
          <w:rFonts w:hint="eastAsia"/>
          <w:bCs/>
          <w:snapToGrid w:val="0"/>
          <w:sz w:val="24"/>
        </w:rPr>
        <w:t>环境</w:t>
      </w:r>
      <w:r w:rsidRPr="002B55E9">
        <w:rPr>
          <w:bCs/>
          <w:snapToGrid w:val="0"/>
          <w:sz w:val="24"/>
        </w:rPr>
        <w:t>风险潜势为</w:t>
      </w:r>
      <w:r w:rsidRPr="002B55E9">
        <w:rPr>
          <w:rFonts w:hint="eastAsia"/>
          <w:bCs/>
          <w:snapToGrid w:val="0"/>
          <w:sz w:val="24"/>
        </w:rPr>
        <w:t>1</w:t>
      </w:r>
      <w:r w:rsidRPr="002B55E9">
        <w:rPr>
          <w:rFonts w:hint="eastAsia"/>
          <w:bCs/>
          <w:snapToGrid w:val="0"/>
          <w:sz w:val="24"/>
        </w:rPr>
        <w:t>；</w:t>
      </w:r>
    </w:p>
    <w:p w14:paraId="6294769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当</w:t>
      </w:r>
      <w:r w:rsidRPr="002B55E9">
        <w:rPr>
          <w:rFonts w:hint="eastAsia"/>
          <w:bCs/>
          <w:snapToGrid w:val="0"/>
          <w:sz w:val="24"/>
        </w:rPr>
        <w:t>Q</w:t>
      </w:r>
      <w:r w:rsidRPr="002B55E9">
        <w:rPr>
          <w:rFonts w:hint="eastAsia"/>
          <w:bCs/>
          <w:snapToGrid w:val="0"/>
          <w:sz w:val="24"/>
        </w:rPr>
        <w:t>≥</w:t>
      </w:r>
      <w:r w:rsidRPr="002B55E9">
        <w:rPr>
          <w:rFonts w:hint="eastAsia"/>
          <w:bCs/>
          <w:snapToGrid w:val="0"/>
          <w:sz w:val="24"/>
        </w:rPr>
        <w:t>1</w:t>
      </w:r>
      <w:r w:rsidRPr="002B55E9">
        <w:rPr>
          <w:rFonts w:hint="eastAsia"/>
          <w:bCs/>
          <w:snapToGrid w:val="0"/>
          <w:sz w:val="24"/>
        </w:rPr>
        <w:t>时</w:t>
      </w:r>
      <w:r w:rsidRPr="002B55E9">
        <w:rPr>
          <w:bCs/>
          <w:snapToGrid w:val="0"/>
          <w:sz w:val="24"/>
        </w:rPr>
        <w:t>，将</w:t>
      </w:r>
      <w:r w:rsidRPr="002B55E9">
        <w:rPr>
          <w:rFonts w:hint="eastAsia"/>
          <w:bCs/>
          <w:snapToGrid w:val="0"/>
          <w:sz w:val="24"/>
        </w:rPr>
        <w:t>Q</w:t>
      </w:r>
      <w:r w:rsidRPr="002B55E9">
        <w:rPr>
          <w:rFonts w:hint="eastAsia"/>
          <w:bCs/>
          <w:snapToGrid w:val="0"/>
          <w:sz w:val="24"/>
        </w:rPr>
        <w:t>值</w:t>
      </w:r>
      <w:r w:rsidRPr="002B55E9">
        <w:rPr>
          <w:bCs/>
          <w:snapToGrid w:val="0"/>
          <w:sz w:val="24"/>
        </w:rPr>
        <w:t>划分为：</w:t>
      </w:r>
      <w:r w:rsidRPr="002B55E9">
        <w:rPr>
          <w:rFonts w:hint="eastAsia"/>
          <w:bCs/>
          <w:snapToGrid w:val="0"/>
          <w:sz w:val="24"/>
        </w:rPr>
        <w:t>（</w:t>
      </w:r>
      <w:r w:rsidRPr="002B55E9">
        <w:rPr>
          <w:rFonts w:hint="eastAsia"/>
          <w:bCs/>
          <w:snapToGrid w:val="0"/>
          <w:sz w:val="24"/>
        </w:rPr>
        <w:t>1</w:t>
      </w:r>
      <w:r w:rsidRPr="002B55E9">
        <w:rPr>
          <w:rFonts w:hint="eastAsia"/>
          <w:bCs/>
          <w:snapToGrid w:val="0"/>
          <w:sz w:val="24"/>
        </w:rPr>
        <w:t>）</w:t>
      </w:r>
      <w:r w:rsidRPr="002B55E9">
        <w:rPr>
          <w:rFonts w:hint="eastAsia"/>
          <w:bCs/>
          <w:snapToGrid w:val="0"/>
          <w:sz w:val="24"/>
        </w:rPr>
        <w:t>1</w:t>
      </w:r>
      <w:r w:rsidRPr="002B55E9">
        <w:rPr>
          <w:rFonts w:ascii="宋体" w:hAnsi="宋体" w:hint="eastAsia"/>
          <w:bCs/>
          <w:snapToGrid w:val="0"/>
          <w:sz w:val="24"/>
        </w:rPr>
        <w:t>≤</w:t>
      </w:r>
      <w:r w:rsidRPr="002B55E9">
        <w:rPr>
          <w:rFonts w:hint="eastAsia"/>
          <w:bCs/>
          <w:snapToGrid w:val="0"/>
          <w:sz w:val="24"/>
        </w:rPr>
        <w:t>Q</w:t>
      </w:r>
      <w:r w:rsidRPr="002B55E9">
        <w:rPr>
          <w:rFonts w:hint="eastAsia"/>
          <w:bCs/>
          <w:snapToGrid w:val="0"/>
          <w:sz w:val="24"/>
        </w:rPr>
        <w:t>＜</w:t>
      </w:r>
      <w:r w:rsidRPr="002B55E9">
        <w:rPr>
          <w:rFonts w:hint="eastAsia"/>
          <w:bCs/>
          <w:snapToGrid w:val="0"/>
          <w:sz w:val="24"/>
        </w:rPr>
        <w:t>10</w:t>
      </w:r>
      <w:r w:rsidRPr="002B55E9">
        <w:rPr>
          <w:rFonts w:hint="eastAsia"/>
          <w:bCs/>
          <w:snapToGrid w:val="0"/>
          <w:sz w:val="24"/>
        </w:rPr>
        <w:t>；（</w:t>
      </w:r>
      <w:r w:rsidRPr="002B55E9">
        <w:rPr>
          <w:bCs/>
          <w:snapToGrid w:val="0"/>
          <w:sz w:val="24"/>
        </w:rPr>
        <w:t>2</w:t>
      </w:r>
      <w:r w:rsidRPr="002B55E9">
        <w:rPr>
          <w:rFonts w:hint="eastAsia"/>
          <w:bCs/>
          <w:snapToGrid w:val="0"/>
          <w:sz w:val="24"/>
        </w:rPr>
        <w:t>）</w:t>
      </w:r>
      <w:r w:rsidRPr="002B55E9">
        <w:rPr>
          <w:rFonts w:hint="eastAsia"/>
          <w:bCs/>
          <w:snapToGrid w:val="0"/>
          <w:sz w:val="24"/>
        </w:rPr>
        <w:t>1</w:t>
      </w:r>
      <w:r w:rsidRPr="002B55E9">
        <w:rPr>
          <w:bCs/>
          <w:snapToGrid w:val="0"/>
          <w:sz w:val="24"/>
        </w:rPr>
        <w:t>0</w:t>
      </w:r>
      <w:r w:rsidRPr="002B55E9">
        <w:rPr>
          <w:rFonts w:ascii="宋体" w:hAnsi="宋体" w:hint="eastAsia"/>
          <w:bCs/>
          <w:snapToGrid w:val="0"/>
          <w:sz w:val="24"/>
        </w:rPr>
        <w:t>≤</w:t>
      </w:r>
      <w:r w:rsidRPr="002B55E9">
        <w:rPr>
          <w:rFonts w:hint="eastAsia"/>
          <w:bCs/>
          <w:snapToGrid w:val="0"/>
          <w:sz w:val="24"/>
        </w:rPr>
        <w:t>Q</w:t>
      </w:r>
      <w:r w:rsidRPr="002B55E9">
        <w:rPr>
          <w:rFonts w:hint="eastAsia"/>
          <w:bCs/>
          <w:snapToGrid w:val="0"/>
          <w:sz w:val="24"/>
        </w:rPr>
        <w:t>＜</w:t>
      </w:r>
      <w:r w:rsidRPr="002B55E9">
        <w:rPr>
          <w:rFonts w:hint="eastAsia"/>
          <w:bCs/>
          <w:snapToGrid w:val="0"/>
          <w:sz w:val="24"/>
        </w:rPr>
        <w:t>10</w:t>
      </w:r>
      <w:r w:rsidRPr="002B55E9">
        <w:rPr>
          <w:bCs/>
          <w:snapToGrid w:val="0"/>
          <w:sz w:val="24"/>
        </w:rPr>
        <w:t>0</w:t>
      </w:r>
      <w:r w:rsidRPr="002B55E9">
        <w:rPr>
          <w:rFonts w:hint="eastAsia"/>
          <w:bCs/>
          <w:snapToGrid w:val="0"/>
          <w:sz w:val="24"/>
        </w:rPr>
        <w:t>；（</w:t>
      </w:r>
      <w:r w:rsidRPr="002B55E9">
        <w:rPr>
          <w:bCs/>
          <w:snapToGrid w:val="0"/>
          <w:sz w:val="24"/>
        </w:rPr>
        <w:t>3</w:t>
      </w:r>
      <w:r w:rsidRPr="002B55E9">
        <w:rPr>
          <w:rFonts w:hint="eastAsia"/>
          <w:bCs/>
          <w:snapToGrid w:val="0"/>
          <w:sz w:val="24"/>
        </w:rPr>
        <w:t>）</w:t>
      </w:r>
      <w:r w:rsidRPr="002B55E9">
        <w:rPr>
          <w:rFonts w:hint="eastAsia"/>
          <w:bCs/>
          <w:snapToGrid w:val="0"/>
          <w:sz w:val="24"/>
        </w:rPr>
        <w:t>Q</w:t>
      </w:r>
      <w:r w:rsidRPr="002B55E9">
        <w:rPr>
          <w:rFonts w:hint="eastAsia"/>
          <w:bCs/>
          <w:snapToGrid w:val="0"/>
          <w:sz w:val="24"/>
        </w:rPr>
        <w:t>≥</w:t>
      </w:r>
      <w:r w:rsidRPr="002B55E9">
        <w:rPr>
          <w:rFonts w:hint="eastAsia"/>
          <w:bCs/>
          <w:snapToGrid w:val="0"/>
          <w:sz w:val="24"/>
        </w:rPr>
        <w:t>10</w:t>
      </w:r>
      <w:r w:rsidRPr="002B55E9">
        <w:rPr>
          <w:bCs/>
          <w:snapToGrid w:val="0"/>
          <w:sz w:val="24"/>
        </w:rPr>
        <w:t>0</w:t>
      </w:r>
      <w:r w:rsidRPr="002B55E9">
        <w:rPr>
          <w:rFonts w:hint="eastAsia"/>
          <w:bCs/>
          <w:snapToGrid w:val="0"/>
          <w:sz w:val="24"/>
        </w:rPr>
        <w:t>。</w:t>
      </w:r>
    </w:p>
    <w:p w14:paraId="7496795C" w14:textId="77777777" w:rsidR="00D170E5" w:rsidRPr="002B55E9" w:rsidRDefault="00EF27AD">
      <w:pPr>
        <w:spacing w:after="60" w:line="360" w:lineRule="auto"/>
        <w:ind w:firstLineChars="200" w:firstLine="480"/>
        <w:rPr>
          <w:bCs/>
          <w:snapToGrid w:val="0"/>
          <w:sz w:val="24"/>
        </w:rPr>
      </w:pPr>
      <w:r w:rsidRPr="002B55E9">
        <w:rPr>
          <w:bCs/>
          <w:snapToGrid w:val="0"/>
          <w:sz w:val="24"/>
        </w:rPr>
        <w:t>根据计算公式得出：</w:t>
      </w:r>
      <w:r w:rsidRPr="002B55E9">
        <w:rPr>
          <w:rFonts w:hint="eastAsia"/>
          <w:bCs/>
          <w:snapToGrid w:val="0"/>
          <w:sz w:val="24"/>
        </w:rPr>
        <w:t>Q</w:t>
      </w:r>
      <w:r w:rsidRPr="002B55E9">
        <w:rPr>
          <w:bCs/>
          <w:snapToGrid w:val="0"/>
          <w:sz w:val="24"/>
        </w:rPr>
        <w:t>=</w:t>
      </w:r>
      <w:r w:rsidRPr="002B55E9">
        <w:rPr>
          <w:bCs/>
          <w:snapToGrid w:val="0"/>
          <w:position w:val="-30"/>
          <w:sz w:val="24"/>
        </w:rPr>
        <w:object w:dxaOrig="614" w:dyaOrig="726" w14:anchorId="14A85F87">
          <v:shape id="_x0000_i1032" type="#_x0000_t75" style="width:30.15pt;height:37.65pt" o:ole="">
            <v:imagedata r:id="rId85" o:title=""/>
          </v:shape>
          <o:OLEObject Type="Embed" ProgID="Equation.3" ShapeID="_x0000_i1032" DrawAspect="Content" ObjectID="_1732338927" r:id="rId86"/>
        </w:object>
      </w:r>
      <w:r w:rsidRPr="002B55E9">
        <w:rPr>
          <w:bCs/>
          <w:snapToGrid w:val="0"/>
          <w:sz w:val="24"/>
        </w:rPr>
        <w:t>＝</w:t>
      </w:r>
      <w:r w:rsidRPr="002B55E9">
        <w:rPr>
          <w:bCs/>
          <w:snapToGrid w:val="0"/>
          <w:sz w:val="24"/>
        </w:rPr>
        <w:t>46.28</w:t>
      </w:r>
      <w:r w:rsidRPr="002B55E9">
        <w:rPr>
          <w:bCs/>
          <w:snapToGrid w:val="0"/>
          <w:sz w:val="24"/>
        </w:rPr>
        <w:t>。</w:t>
      </w:r>
    </w:p>
    <w:p w14:paraId="4BBABDF3" w14:textId="77777777" w:rsidR="00D170E5" w:rsidRPr="002B55E9" w:rsidRDefault="00EF27AD">
      <w:pPr>
        <w:pStyle w:val="5"/>
      </w:pPr>
      <w:r w:rsidRPr="002B55E9">
        <w:rPr>
          <w:rFonts w:hint="eastAsia"/>
        </w:rPr>
        <w:t>危险生产工艺调查</w:t>
      </w:r>
    </w:p>
    <w:p w14:paraId="5615F31C" w14:textId="77777777" w:rsidR="00D170E5" w:rsidRPr="002B55E9" w:rsidRDefault="00EF27AD">
      <w:pPr>
        <w:spacing w:after="60" w:line="360" w:lineRule="auto"/>
        <w:ind w:firstLineChars="200" w:firstLine="480"/>
        <w:rPr>
          <w:bCs/>
          <w:snapToGrid w:val="0"/>
          <w:sz w:val="24"/>
        </w:rPr>
      </w:pPr>
      <w:r w:rsidRPr="002B55E9">
        <w:rPr>
          <w:bCs/>
          <w:snapToGrid w:val="0"/>
          <w:sz w:val="24"/>
        </w:rPr>
        <w:t>根据《建设项目环境风险评价技术导则》（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附录</w:t>
      </w:r>
      <w:r w:rsidRPr="002B55E9">
        <w:rPr>
          <w:bCs/>
          <w:snapToGrid w:val="0"/>
          <w:sz w:val="24"/>
        </w:rPr>
        <w:t>C.1.2</w:t>
      </w:r>
      <w:r w:rsidRPr="002B55E9">
        <w:rPr>
          <w:rFonts w:hint="eastAsia"/>
          <w:bCs/>
          <w:snapToGrid w:val="0"/>
          <w:sz w:val="24"/>
        </w:rPr>
        <w:t>中</w:t>
      </w:r>
      <w:r w:rsidRPr="002B55E9">
        <w:rPr>
          <w:bCs/>
          <w:snapToGrid w:val="0"/>
          <w:sz w:val="24"/>
        </w:rPr>
        <w:t>表</w:t>
      </w:r>
      <w:r w:rsidRPr="002B55E9">
        <w:rPr>
          <w:rFonts w:hint="eastAsia"/>
          <w:bCs/>
          <w:snapToGrid w:val="0"/>
          <w:sz w:val="24"/>
        </w:rPr>
        <w:t>C.1</w:t>
      </w:r>
      <w:r w:rsidRPr="002B55E9">
        <w:rPr>
          <w:rFonts w:hint="eastAsia"/>
          <w:bCs/>
          <w:snapToGrid w:val="0"/>
          <w:sz w:val="24"/>
        </w:rPr>
        <w:t>，分析项目所属行业及生产工艺特点，按照下表评估生产工艺情况。具有多套工艺单元的项目，对每套生产工艺分别评分并求和。具体见</w:t>
      </w:r>
      <w:r w:rsidRPr="002B55E9">
        <w:rPr>
          <w:bCs/>
          <w:snapToGrid w:val="0"/>
          <w:sz w:val="24"/>
        </w:rPr>
        <w:t>下表</w:t>
      </w:r>
      <w:r w:rsidRPr="002B55E9">
        <w:rPr>
          <w:rFonts w:hint="eastAsia"/>
          <w:bCs/>
          <w:snapToGrid w:val="0"/>
          <w:sz w:val="24"/>
        </w:rPr>
        <w:t>：</w:t>
      </w:r>
    </w:p>
    <w:p w14:paraId="231C5F3A"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-1-8  </w:t>
      </w:r>
      <w:r w:rsidRPr="002B55E9">
        <w:rPr>
          <w:rFonts w:eastAsia="黑体" w:hint="eastAsia"/>
          <w:b/>
          <w:sz w:val="24"/>
          <w:szCs w:val="28"/>
        </w:rPr>
        <w:t>行业及</w:t>
      </w:r>
      <w:r w:rsidRPr="002B55E9">
        <w:rPr>
          <w:rFonts w:eastAsia="黑体"/>
          <w:b/>
          <w:sz w:val="24"/>
          <w:szCs w:val="28"/>
        </w:rPr>
        <w:t>生产工艺评估表</w:t>
      </w:r>
    </w:p>
    <w:tbl>
      <w:tblPr>
        <w:tblW w:w="963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6252"/>
        <w:gridCol w:w="1257"/>
      </w:tblGrid>
      <w:tr w:rsidR="002B55E9" w:rsidRPr="002B55E9" w14:paraId="12236A4C" w14:textId="77777777">
        <w:trPr>
          <w:trHeight w:val="284"/>
          <w:tblHeader/>
          <w:jc w:val="center"/>
        </w:trPr>
        <w:tc>
          <w:tcPr>
            <w:tcW w:w="2130" w:type="dxa"/>
            <w:tcBorders>
              <w:top w:val="single" w:sz="12" w:space="0" w:color="auto"/>
              <w:bottom w:val="single" w:sz="12" w:space="0" w:color="auto"/>
            </w:tcBorders>
            <w:vAlign w:val="center"/>
          </w:tcPr>
          <w:p w14:paraId="127DF6A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行业</w:t>
            </w:r>
          </w:p>
        </w:tc>
        <w:tc>
          <w:tcPr>
            <w:tcW w:w="6252" w:type="dxa"/>
            <w:tcBorders>
              <w:top w:val="single" w:sz="12" w:space="0" w:color="auto"/>
              <w:bottom w:val="single" w:sz="12" w:space="0" w:color="auto"/>
            </w:tcBorders>
            <w:vAlign w:val="center"/>
          </w:tcPr>
          <w:p w14:paraId="056D5D69"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评估依据</w:t>
            </w:r>
          </w:p>
        </w:tc>
        <w:tc>
          <w:tcPr>
            <w:tcW w:w="1257" w:type="dxa"/>
            <w:tcBorders>
              <w:top w:val="single" w:sz="12" w:space="0" w:color="auto"/>
              <w:bottom w:val="single" w:sz="12" w:space="0" w:color="auto"/>
            </w:tcBorders>
            <w:vAlign w:val="center"/>
          </w:tcPr>
          <w:p w14:paraId="4FA543B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分值</w:t>
            </w:r>
          </w:p>
        </w:tc>
      </w:tr>
      <w:tr w:rsidR="002B55E9" w:rsidRPr="002B55E9" w14:paraId="2516D26F" w14:textId="77777777">
        <w:trPr>
          <w:trHeight w:val="284"/>
          <w:jc w:val="center"/>
        </w:trPr>
        <w:tc>
          <w:tcPr>
            <w:tcW w:w="2130" w:type="dxa"/>
            <w:vMerge w:val="restart"/>
            <w:tcBorders>
              <w:top w:val="single" w:sz="12" w:space="0" w:color="auto"/>
            </w:tcBorders>
            <w:vAlign w:val="center"/>
          </w:tcPr>
          <w:p w14:paraId="73B19C87"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石化</w:t>
            </w:r>
            <w:r w:rsidRPr="002B55E9">
              <w:rPr>
                <w:rFonts w:cs="宋体"/>
                <w:sz w:val="18"/>
                <w:szCs w:val="18"/>
                <w:lang w:bidi="ne-NP"/>
              </w:rPr>
              <w:t>、化工、医药、轻</w:t>
            </w:r>
            <w:r w:rsidRPr="002B55E9">
              <w:rPr>
                <w:rFonts w:cs="宋体" w:hint="eastAsia"/>
                <w:sz w:val="18"/>
                <w:szCs w:val="18"/>
                <w:lang w:bidi="ne-NP"/>
              </w:rPr>
              <w:t>工</w:t>
            </w:r>
            <w:r w:rsidRPr="002B55E9">
              <w:rPr>
                <w:rFonts w:cs="宋体"/>
                <w:sz w:val="18"/>
                <w:szCs w:val="18"/>
                <w:lang w:bidi="ne-NP"/>
              </w:rPr>
              <w:t>、化纤、有色冶炼等</w:t>
            </w:r>
          </w:p>
        </w:tc>
        <w:tc>
          <w:tcPr>
            <w:tcW w:w="6252" w:type="dxa"/>
            <w:tcBorders>
              <w:top w:val="single" w:sz="12" w:space="0" w:color="auto"/>
            </w:tcBorders>
            <w:vAlign w:val="center"/>
          </w:tcPr>
          <w:p w14:paraId="7FCEECB6"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sz w:val="18"/>
                <w:szCs w:val="18"/>
                <w:lang w:bidi="ne-NP"/>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57" w:type="dxa"/>
            <w:tcBorders>
              <w:top w:val="single" w:sz="12" w:space="0" w:color="auto"/>
            </w:tcBorders>
            <w:vAlign w:val="center"/>
          </w:tcPr>
          <w:p w14:paraId="405C041E"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10/</w:t>
            </w:r>
            <w:r w:rsidRPr="002B55E9">
              <w:rPr>
                <w:rFonts w:cs="宋体"/>
                <w:sz w:val="18"/>
                <w:szCs w:val="18"/>
                <w:lang w:bidi="ne-NP"/>
              </w:rPr>
              <w:t>套</w:t>
            </w:r>
          </w:p>
        </w:tc>
      </w:tr>
      <w:tr w:rsidR="002B55E9" w:rsidRPr="002B55E9" w14:paraId="3A344FFD" w14:textId="77777777">
        <w:trPr>
          <w:trHeight w:val="284"/>
          <w:jc w:val="center"/>
        </w:trPr>
        <w:tc>
          <w:tcPr>
            <w:tcW w:w="2130" w:type="dxa"/>
            <w:vMerge/>
            <w:vAlign w:val="center"/>
          </w:tcPr>
          <w:p w14:paraId="7793B680" w14:textId="77777777" w:rsidR="00D170E5" w:rsidRPr="002B55E9" w:rsidRDefault="00D170E5">
            <w:pPr>
              <w:widowControl/>
              <w:autoSpaceDE w:val="0"/>
              <w:autoSpaceDN w:val="0"/>
              <w:adjustRightInd w:val="0"/>
              <w:snapToGrid w:val="0"/>
              <w:jc w:val="center"/>
              <w:rPr>
                <w:rFonts w:cs="宋体"/>
                <w:sz w:val="18"/>
                <w:szCs w:val="18"/>
                <w:lang w:bidi="ne-NP"/>
              </w:rPr>
            </w:pPr>
          </w:p>
        </w:tc>
        <w:tc>
          <w:tcPr>
            <w:tcW w:w="6252" w:type="dxa"/>
            <w:vAlign w:val="center"/>
          </w:tcPr>
          <w:p w14:paraId="78CD45F5"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无机酸</w:t>
            </w:r>
            <w:r w:rsidRPr="002B55E9">
              <w:rPr>
                <w:rFonts w:cs="宋体"/>
                <w:sz w:val="18"/>
                <w:szCs w:val="18"/>
                <w:lang w:bidi="ne-NP"/>
              </w:rPr>
              <w:t>制酸工艺、焦化工艺</w:t>
            </w:r>
          </w:p>
        </w:tc>
        <w:tc>
          <w:tcPr>
            <w:tcW w:w="1257" w:type="dxa"/>
            <w:vAlign w:val="center"/>
          </w:tcPr>
          <w:p w14:paraId="7601B2C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5/</w:t>
            </w:r>
            <w:r w:rsidRPr="002B55E9">
              <w:rPr>
                <w:rFonts w:cs="宋体"/>
                <w:sz w:val="18"/>
                <w:szCs w:val="18"/>
                <w:lang w:bidi="ne-NP"/>
              </w:rPr>
              <w:t>套</w:t>
            </w:r>
          </w:p>
        </w:tc>
      </w:tr>
      <w:tr w:rsidR="002B55E9" w:rsidRPr="002B55E9" w14:paraId="1CBDA267" w14:textId="77777777">
        <w:trPr>
          <w:trHeight w:val="284"/>
          <w:jc w:val="center"/>
        </w:trPr>
        <w:tc>
          <w:tcPr>
            <w:tcW w:w="2130" w:type="dxa"/>
            <w:vMerge/>
            <w:vAlign w:val="center"/>
          </w:tcPr>
          <w:p w14:paraId="03ED72B5" w14:textId="77777777" w:rsidR="00D170E5" w:rsidRPr="002B55E9" w:rsidRDefault="00D170E5">
            <w:pPr>
              <w:widowControl/>
              <w:autoSpaceDE w:val="0"/>
              <w:autoSpaceDN w:val="0"/>
              <w:adjustRightInd w:val="0"/>
              <w:snapToGrid w:val="0"/>
              <w:jc w:val="center"/>
              <w:rPr>
                <w:rFonts w:cs="宋体"/>
                <w:sz w:val="18"/>
                <w:szCs w:val="18"/>
                <w:lang w:bidi="ne-NP"/>
              </w:rPr>
            </w:pPr>
          </w:p>
        </w:tc>
        <w:tc>
          <w:tcPr>
            <w:tcW w:w="6252" w:type="dxa"/>
            <w:vAlign w:val="center"/>
          </w:tcPr>
          <w:p w14:paraId="47563C68"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sz w:val="18"/>
                <w:szCs w:val="18"/>
                <w:lang w:bidi="ne-NP"/>
              </w:rPr>
              <w:t>其他高温或高压</w:t>
            </w:r>
            <w:r w:rsidRPr="002B55E9">
              <w:rPr>
                <w:rFonts w:cs="宋体" w:hint="eastAsia"/>
                <w:sz w:val="18"/>
                <w:szCs w:val="18"/>
                <w:lang w:bidi="ne-NP"/>
              </w:rPr>
              <w:t>，且</w:t>
            </w:r>
            <w:r w:rsidRPr="002B55E9">
              <w:rPr>
                <w:rFonts w:cs="宋体"/>
                <w:sz w:val="18"/>
                <w:szCs w:val="18"/>
                <w:lang w:bidi="ne-NP"/>
              </w:rPr>
              <w:t>涉及</w:t>
            </w:r>
            <w:r w:rsidRPr="002B55E9">
              <w:rPr>
                <w:rFonts w:cs="宋体" w:hint="eastAsia"/>
                <w:sz w:val="18"/>
                <w:szCs w:val="18"/>
                <w:lang w:bidi="ne-NP"/>
              </w:rPr>
              <w:t>危险物质</w:t>
            </w:r>
            <w:r w:rsidRPr="002B55E9">
              <w:rPr>
                <w:rFonts w:cs="宋体"/>
                <w:sz w:val="18"/>
                <w:szCs w:val="18"/>
                <w:lang w:bidi="ne-NP"/>
              </w:rPr>
              <w:t>的工艺过程</w:t>
            </w:r>
            <w:r w:rsidRPr="002B55E9">
              <w:rPr>
                <w:rFonts w:cs="宋体"/>
                <w:sz w:val="18"/>
                <w:szCs w:val="18"/>
                <w:vertAlign w:val="superscript"/>
                <w:lang w:bidi="ne-NP"/>
              </w:rPr>
              <w:t>a</w:t>
            </w:r>
            <w:r w:rsidRPr="002B55E9">
              <w:rPr>
                <w:rFonts w:cs="宋体"/>
                <w:sz w:val="18"/>
                <w:szCs w:val="18"/>
                <w:lang w:bidi="ne-NP"/>
              </w:rPr>
              <w:t>、</w:t>
            </w:r>
            <w:r w:rsidRPr="002B55E9">
              <w:rPr>
                <w:rFonts w:cs="宋体" w:hint="eastAsia"/>
                <w:sz w:val="18"/>
                <w:szCs w:val="18"/>
                <w:lang w:bidi="ne-NP"/>
              </w:rPr>
              <w:t>危险物质贮存罐区</w:t>
            </w:r>
          </w:p>
        </w:tc>
        <w:tc>
          <w:tcPr>
            <w:tcW w:w="1257" w:type="dxa"/>
            <w:vAlign w:val="center"/>
          </w:tcPr>
          <w:p w14:paraId="52583387"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5/</w:t>
            </w:r>
            <w:r w:rsidRPr="002B55E9">
              <w:rPr>
                <w:rFonts w:cs="宋体"/>
                <w:sz w:val="18"/>
                <w:szCs w:val="18"/>
                <w:lang w:bidi="ne-NP"/>
              </w:rPr>
              <w:t>套</w:t>
            </w:r>
            <w:r w:rsidRPr="002B55E9">
              <w:rPr>
                <w:rFonts w:cs="宋体" w:hint="eastAsia"/>
                <w:sz w:val="18"/>
                <w:szCs w:val="18"/>
                <w:lang w:bidi="ne-NP"/>
              </w:rPr>
              <w:t>（罐区）</w:t>
            </w:r>
          </w:p>
        </w:tc>
      </w:tr>
      <w:tr w:rsidR="002B55E9" w:rsidRPr="002B55E9" w14:paraId="3EC1B14F" w14:textId="77777777">
        <w:trPr>
          <w:trHeight w:val="284"/>
          <w:jc w:val="center"/>
        </w:trPr>
        <w:tc>
          <w:tcPr>
            <w:tcW w:w="2130" w:type="dxa"/>
            <w:vAlign w:val="center"/>
          </w:tcPr>
          <w:p w14:paraId="320C138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管道</w:t>
            </w:r>
            <w:r w:rsidRPr="002B55E9">
              <w:rPr>
                <w:rFonts w:cs="宋体"/>
                <w:sz w:val="18"/>
                <w:szCs w:val="18"/>
                <w:lang w:bidi="ne-NP"/>
              </w:rPr>
              <w:t>、港口</w:t>
            </w:r>
            <w:r w:rsidRPr="002B55E9">
              <w:rPr>
                <w:rFonts w:cs="宋体" w:hint="eastAsia"/>
                <w:sz w:val="18"/>
                <w:szCs w:val="18"/>
                <w:lang w:bidi="ne-NP"/>
              </w:rPr>
              <w:t>/</w:t>
            </w:r>
            <w:r w:rsidRPr="002B55E9">
              <w:rPr>
                <w:rFonts w:cs="宋体" w:hint="eastAsia"/>
                <w:sz w:val="18"/>
                <w:szCs w:val="18"/>
                <w:lang w:bidi="ne-NP"/>
              </w:rPr>
              <w:t>码头</w:t>
            </w:r>
            <w:r w:rsidRPr="002B55E9">
              <w:rPr>
                <w:rFonts w:cs="宋体"/>
                <w:sz w:val="18"/>
                <w:szCs w:val="18"/>
                <w:lang w:bidi="ne-NP"/>
              </w:rPr>
              <w:t>等</w:t>
            </w:r>
          </w:p>
        </w:tc>
        <w:tc>
          <w:tcPr>
            <w:tcW w:w="6252" w:type="dxa"/>
            <w:vAlign w:val="center"/>
          </w:tcPr>
          <w:p w14:paraId="1455C7CF"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sz w:val="18"/>
                <w:szCs w:val="18"/>
                <w:lang w:bidi="ne-NP"/>
              </w:rPr>
              <w:t>涉及</w:t>
            </w:r>
            <w:r w:rsidRPr="002B55E9">
              <w:rPr>
                <w:rFonts w:cs="宋体" w:hint="eastAsia"/>
                <w:sz w:val="18"/>
                <w:szCs w:val="18"/>
                <w:lang w:bidi="ne-NP"/>
              </w:rPr>
              <w:t>危险物质管道运输</w:t>
            </w:r>
            <w:r w:rsidRPr="002B55E9">
              <w:rPr>
                <w:rFonts w:cs="宋体"/>
                <w:sz w:val="18"/>
                <w:szCs w:val="18"/>
                <w:lang w:bidi="ne-NP"/>
              </w:rPr>
              <w:t>项目、港口</w:t>
            </w:r>
            <w:r w:rsidRPr="002B55E9">
              <w:rPr>
                <w:rFonts w:cs="宋体" w:hint="eastAsia"/>
                <w:sz w:val="18"/>
                <w:szCs w:val="18"/>
                <w:lang w:bidi="ne-NP"/>
              </w:rPr>
              <w:t>/</w:t>
            </w:r>
            <w:r w:rsidRPr="002B55E9">
              <w:rPr>
                <w:rFonts w:cs="宋体" w:hint="eastAsia"/>
                <w:sz w:val="18"/>
                <w:szCs w:val="18"/>
                <w:lang w:bidi="ne-NP"/>
              </w:rPr>
              <w:t>码头</w:t>
            </w:r>
            <w:r w:rsidRPr="002B55E9">
              <w:rPr>
                <w:rFonts w:cs="宋体"/>
                <w:sz w:val="18"/>
                <w:szCs w:val="18"/>
                <w:lang w:bidi="ne-NP"/>
              </w:rPr>
              <w:t>等</w:t>
            </w:r>
          </w:p>
        </w:tc>
        <w:tc>
          <w:tcPr>
            <w:tcW w:w="1257" w:type="dxa"/>
            <w:vAlign w:val="center"/>
          </w:tcPr>
          <w:p w14:paraId="39DF18A8"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10</w:t>
            </w:r>
          </w:p>
        </w:tc>
      </w:tr>
      <w:tr w:rsidR="002B55E9" w:rsidRPr="002B55E9" w14:paraId="53F4960B" w14:textId="77777777">
        <w:trPr>
          <w:trHeight w:val="284"/>
          <w:jc w:val="center"/>
        </w:trPr>
        <w:tc>
          <w:tcPr>
            <w:tcW w:w="2130" w:type="dxa"/>
            <w:vAlign w:val="center"/>
          </w:tcPr>
          <w:p w14:paraId="27BBFA18"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石油天然气</w:t>
            </w:r>
          </w:p>
        </w:tc>
        <w:tc>
          <w:tcPr>
            <w:tcW w:w="6252" w:type="dxa"/>
            <w:vAlign w:val="center"/>
          </w:tcPr>
          <w:p w14:paraId="71762EC0"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石油、</w:t>
            </w:r>
            <w:r w:rsidRPr="002B55E9">
              <w:rPr>
                <w:rFonts w:cs="宋体"/>
                <w:sz w:val="18"/>
                <w:szCs w:val="18"/>
                <w:lang w:bidi="ne-NP"/>
              </w:rPr>
              <w:t>天然气、页岩气</w:t>
            </w:r>
            <w:r w:rsidRPr="002B55E9">
              <w:rPr>
                <w:rFonts w:cs="宋体" w:hint="eastAsia"/>
                <w:sz w:val="18"/>
                <w:szCs w:val="18"/>
                <w:lang w:bidi="ne-NP"/>
              </w:rPr>
              <w:t>开采</w:t>
            </w:r>
            <w:r w:rsidRPr="002B55E9">
              <w:rPr>
                <w:rFonts w:cs="宋体"/>
                <w:sz w:val="18"/>
                <w:szCs w:val="18"/>
                <w:lang w:bidi="ne-NP"/>
              </w:rPr>
              <w:t>（</w:t>
            </w:r>
            <w:r w:rsidRPr="002B55E9">
              <w:rPr>
                <w:rFonts w:cs="宋体" w:hint="eastAsia"/>
                <w:sz w:val="18"/>
                <w:szCs w:val="18"/>
                <w:lang w:bidi="ne-NP"/>
              </w:rPr>
              <w:t>含净化</w:t>
            </w:r>
            <w:r w:rsidRPr="002B55E9">
              <w:rPr>
                <w:rFonts w:cs="宋体"/>
                <w:sz w:val="18"/>
                <w:szCs w:val="18"/>
                <w:lang w:bidi="ne-NP"/>
              </w:rPr>
              <w:t>）</w:t>
            </w:r>
            <w:r w:rsidRPr="002B55E9">
              <w:rPr>
                <w:rFonts w:cs="宋体" w:hint="eastAsia"/>
                <w:sz w:val="18"/>
                <w:szCs w:val="18"/>
                <w:lang w:bidi="ne-NP"/>
              </w:rPr>
              <w:t>，</w:t>
            </w:r>
            <w:r w:rsidRPr="002B55E9">
              <w:rPr>
                <w:rFonts w:cs="宋体"/>
                <w:sz w:val="18"/>
                <w:szCs w:val="18"/>
                <w:lang w:bidi="ne-NP"/>
              </w:rPr>
              <w:t>气库（</w:t>
            </w:r>
            <w:r w:rsidRPr="002B55E9">
              <w:rPr>
                <w:rFonts w:cs="宋体" w:hint="eastAsia"/>
                <w:sz w:val="18"/>
                <w:szCs w:val="18"/>
                <w:lang w:bidi="ne-NP"/>
              </w:rPr>
              <w:t>不含</w:t>
            </w:r>
            <w:r w:rsidRPr="002B55E9">
              <w:rPr>
                <w:rFonts w:cs="宋体"/>
                <w:sz w:val="18"/>
                <w:szCs w:val="18"/>
                <w:lang w:bidi="ne-NP"/>
              </w:rPr>
              <w:t>加气站的气库）</w:t>
            </w:r>
            <w:r w:rsidRPr="002B55E9">
              <w:rPr>
                <w:rFonts w:cs="宋体" w:hint="eastAsia"/>
                <w:sz w:val="18"/>
                <w:szCs w:val="18"/>
                <w:lang w:bidi="ne-NP"/>
              </w:rPr>
              <w:t>，</w:t>
            </w:r>
            <w:r w:rsidRPr="002B55E9">
              <w:rPr>
                <w:rFonts w:cs="宋体"/>
                <w:sz w:val="18"/>
                <w:szCs w:val="18"/>
                <w:lang w:bidi="ne-NP"/>
              </w:rPr>
              <w:t>油库（</w:t>
            </w:r>
            <w:r w:rsidRPr="002B55E9">
              <w:rPr>
                <w:rFonts w:cs="宋体" w:hint="eastAsia"/>
                <w:sz w:val="18"/>
                <w:szCs w:val="18"/>
                <w:lang w:bidi="ne-NP"/>
              </w:rPr>
              <w:t>不含</w:t>
            </w:r>
            <w:r w:rsidRPr="002B55E9">
              <w:rPr>
                <w:rFonts w:cs="宋体"/>
                <w:sz w:val="18"/>
                <w:szCs w:val="18"/>
                <w:lang w:bidi="ne-NP"/>
              </w:rPr>
              <w:t>加气站的油库）</w:t>
            </w:r>
            <w:r w:rsidRPr="002B55E9">
              <w:rPr>
                <w:rFonts w:cs="宋体" w:hint="eastAsia"/>
                <w:sz w:val="18"/>
                <w:szCs w:val="18"/>
                <w:lang w:bidi="ne-NP"/>
              </w:rPr>
              <w:t>、</w:t>
            </w:r>
            <w:r w:rsidRPr="002B55E9">
              <w:rPr>
                <w:rFonts w:cs="宋体"/>
                <w:sz w:val="18"/>
                <w:szCs w:val="18"/>
                <w:lang w:bidi="ne-NP"/>
              </w:rPr>
              <w:t>油气管线</w:t>
            </w:r>
            <w:r w:rsidRPr="002B55E9">
              <w:rPr>
                <w:rFonts w:cs="宋体"/>
                <w:sz w:val="18"/>
                <w:szCs w:val="18"/>
                <w:vertAlign w:val="superscript"/>
                <w:lang w:bidi="ne-NP"/>
              </w:rPr>
              <w:t>b</w:t>
            </w:r>
            <w:r w:rsidRPr="002B55E9">
              <w:rPr>
                <w:rFonts w:cs="宋体"/>
                <w:sz w:val="18"/>
                <w:szCs w:val="18"/>
                <w:lang w:bidi="ne-NP"/>
              </w:rPr>
              <w:t>（</w:t>
            </w:r>
            <w:r w:rsidRPr="002B55E9">
              <w:rPr>
                <w:rFonts w:cs="宋体" w:hint="eastAsia"/>
                <w:sz w:val="18"/>
                <w:szCs w:val="18"/>
                <w:lang w:bidi="ne-NP"/>
              </w:rPr>
              <w:t>不含</w:t>
            </w:r>
            <w:r w:rsidRPr="002B55E9">
              <w:rPr>
                <w:rFonts w:cs="宋体"/>
                <w:sz w:val="18"/>
                <w:szCs w:val="18"/>
                <w:lang w:bidi="ne-NP"/>
              </w:rPr>
              <w:t>城镇燃气管线）</w:t>
            </w:r>
          </w:p>
        </w:tc>
        <w:tc>
          <w:tcPr>
            <w:tcW w:w="1257" w:type="dxa"/>
            <w:vAlign w:val="center"/>
          </w:tcPr>
          <w:p w14:paraId="5DEC794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10</w:t>
            </w:r>
          </w:p>
        </w:tc>
      </w:tr>
      <w:tr w:rsidR="002B55E9" w:rsidRPr="002B55E9" w14:paraId="086954A3" w14:textId="77777777">
        <w:trPr>
          <w:trHeight w:val="284"/>
          <w:jc w:val="center"/>
        </w:trPr>
        <w:tc>
          <w:tcPr>
            <w:tcW w:w="2130" w:type="dxa"/>
            <w:vAlign w:val="center"/>
          </w:tcPr>
          <w:p w14:paraId="692CFF42"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其他</w:t>
            </w:r>
          </w:p>
        </w:tc>
        <w:tc>
          <w:tcPr>
            <w:tcW w:w="6252" w:type="dxa"/>
            <w:vAlign w:val="center"/>
          </w:tcPr>
          <w:p w14:paraId="7E4969F4"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涉及</w:t>
            </w:r>
            <w:r w:rsidRPr="002B55E9">
              <w:rPr>
                <w:rFonts w:cs="宋体"/>
                <w:sz w:val="18"/>
                <w:szCs w:val="18"/>
                <w:lang w:bidi="ne-NP"/>
              </w:rPr>
              <w:t>危险物质</w:t>
            </w:r>
            <w:r w:rsidRPr="002B55E9">
              <w:rPr>
                <w:rFonts w:cs="宋体" w:hint="eastAsia"/>
                <w:sz w:val="18"/>
                <w:szCs w:val="18"/>
                <w:lang w:bidi="ne-NP"/>
              </w:rPr>
              <w:t>使用</w:t>
            </w:r>
            <w:r w:rsidRPr="002B55E9">
              <w:rPr>
                <w:rFonts w:cs="宋体"/>
                <w:sz w:val="18"/>
                <w:szCs w:val="18"/>
                <w:lang w:bidi="ne-NP"/>
              </w:rPr>
              <w:t>、贮存的项目</w:t>
            </w:r>
          </w:p>
        </w:tc>
        <w:tc>
          <w:tcPr>
            <w:tcW w:w="1257" w:type="dxa"/>
            <w:vAlign w:val="center"/>
          </w:tcPr>
          <w:p w14:paraId="6172B3D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5</w:t>
            </w:r>
          </w:p>
        </w:tc>
      </w:tr>
      <w:tr w:rsidR="002B55E9" w:rsidRPr="002B55E9" w14:paraId="0A2DF515" w14:textId="77777777">
        <w:trPr>
          <w:trHeight w:val="418"/>
          <w:jc w:val="center"/>
        </w:trPr>
        <w:tc>
          <w:tcPr>
            <w:tcW w:w="9639" w:type="dxa"/>
            <w:gridSpan w:val="3"/>
            <w:vAlign w:val="center"/>
          </w:tcPr>
          <w:p w14:paraId="4BE0A06B"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a</w:t>
            </w:r>
            <w:r w:rsidRPr="002B55E9">
              <w:rPr>
                <w:rFonts w:cs="宋体"/>
                <w:sz w:val="18"/>
                <w:szCs w:val="18"/>
                <w:lang w:bidi="ne-NP"/>
              </w:rPr>
              <w:t>高温指工艺温度</w:t>
            </w:r>
            <w:r w:rsidRPr="002B55E9">
              <w:rPr>
                <w:rFonts w:cs="宋体"/>
                <w:sz w:val="18"/>
                <w:szCs w:val="18"/>
                <w:lang w:bidi="ne-NP"/>
              </w:rPr>
              <w:t>≥300</w:t>
            </w:r>
            <w:r w:rsidRPr="002B55E9">
              <w:rPr>
                <w:rFonts w:cs="宋体" w:hint="eastAsia"/>
                <w:sz w:val="18"/>
                <w:szCs w:val="18"/>
                <w:lang w:bidi="ne-NP"/>
              </w:rPr>
              <w:t>℃</w:t>
            </w:r>
            <w:r w:rsidRPr="002B55E9">
              <w:rPr>
                <w:rFonts w:cs="宋体"/>
                <w:sz w:val="18"/>
                <w:szCs w:val="18"/>
                <w:lang w:bidi="ne-NP"/>
              </w:rPr>
              <w:t>，高压指压力容器的设计压力（</w:t>
            </w:r>
            <w:r w:rsidRPr="002B55E9">
              <w:rPr>
                <w:rFonts w:cs="宋体"/>
                <w:sz w:val="18"/>
                <w:szCs w:val="18"/>
                <w:lang w:bidi="ne-NP"/>
              </w:rPr>
              <w:t>p</w:t>
            </w:r>
            <w:r w:rsidRPr="002B55E9">
              <w:rPr>
                <w:rFonts w:cs="宋体"/>
                <w:sz w:val="18"/>
                <w:szCs w:val="18"/>
                <w:lang w:bidi="ne-NP"/>
              </w:rPr>
              <w:t>）</w:t>
            </w:r>
            <w:r w:rsidRPr="002B55E9">
              <w:rPr>
                <w:rFonts w:cs="宋体"/>
                <w:sz w:val="18"/>
                <w:szCs w:val="18"/>
                <w:lang w:bidi="ne-NP"/>
              </w:rPr>
              <w:t>≥10.0MPa</w:t>
            </w:r>
            <w:r w:rsidRPr="002B55E9">
              <w:rPr>
                <w:rFonts w:cs="宋体" w:hint="eastAsia"/>
                <w:sz w:val="18"/>
                <w:szCs w:val="18"/>
                <w:lang w:bidi="ne-NP"/>
              </w:rPr>
              <w:t>；</w:t>
            </w:r>
          </w:p>
          <w:p w14:paraId="03771359"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sz w:val="18"/>
                <w:szCs w:val="18"/>
                <w:lang w:bidi="ne-NP"/>
              </w:rPr>
              <w:t>b</w:t>
            </w:r>
            <w:r w:rsidRPr="002B55E9">
              <w:rPr>
                <w:rFonts w:cs="宋体" w:hint="eastAsia"/>
                <w:sz w:val="18"/>
                <w:szCs w:val="18"/>
                <w:lang w:bidi="ne-NP"/>
              </w:rPr>
              <w:t>长输管线</w:t>
            </w:r>
            <w:r w:rsidRPr="002B55E9">
              <w:rPr>
                <w:rFonts w:cs="宋体"/>
                <w:sz w:val="18"/>
                <w:szCs w:val="18"/>
                <w:lang w:bidi="ne-NP"/>
              </w:rPr>
              <w:t>运输项目应按</w:t>
            </w:r>
            <w:r w:rsidRPr="002B55E9">
              <w:rPr>
                <w:rFonts w:cs="宋体" w:hint="eastAsia"/>
                <w:sz w:val="18"/>
                <w:szCs w:val="18"/>
                <w:lang w:bidi="ne-NP"/>
              </w:rPr>
              <w:t>站场</w:t>
            </w:r>
            <w:r w:rsidRPr="002B55E9">
              <w:rPr>
                <w:rFonts w:cs="宋体"/>
                <w:sz w:val="18"/>
                <w:szCs w:val="18"/>
                <w:lang w:bidi="ne-NP"/>
              </w:rPr>
              <w:t>、管线分段进行评价。</w:t>
            </w:r>
          </w:p>
        </w:tc>
      </w:tr>
    </w:tbl>
    <w:p w14:paraId="201FDF80" w14:textId="77777777" w:rsidR="00D170E5" w:rsidRPr="002B55E9" w:rsidRDefault="00EF27AD">
      <w:pPr>
        <w:pStyle w:val="T"/>
        <w:ind w:firstLine="480"/>
        <w:rPr>
          <w:rFonts w:ascii="宋体" w:eastAsia="宋体" w:hAnsi="宋体"/>
          <w:sz w:val="24"/>
          <w:szCs w:val="24"/>
        </w:rPr>
      </w:pPr>
      <w:r w:rsidRPr="002B55E9">
        <w:rPr>
          <w:rFonts w:ascii="宋体" w:eastAsia="宋体" w:hAnsi="宋体" w:hint="eastAsia"/>
          <w:sz w:val="24"/>
          <w:szCs w:val="24"/>
        </w:rPr>
        <w:t>根据调查，本项目属于“石化、化工、医药、轻工、化纤、有色冶炼等”行业，不涉及光气化工艺、电解工艺、焦化等工艺，生产过程中不涉及高温高压，罐区三涉及乙酸、磷酸、硝酸</w:t>
      </w:r>
      <w:r w:rsidRPr="002B55E9">
        <w:rPr>
          <w:rFonts w:ascii="宋体" w:eastAsia="宋体" w:hAnsi="宋体"/>
          <w:sz w:val="24"/>
          <w:szCs w:val="24"/>
        </w:rPr>
        <w:t>的储存，</w:t>
      </w:r>
      <w:r w:rsidRPr="002B55E9">
        <w:rPr>
          <w:rFonts w:ascii="宋体" w:eastAsia="宋体" w:hAnsi="宋体" w:hint="eastAsia"/>
          <w:sz w:val="24"/>
          <w:szCs w:val="24"/>
        </w:rPr>
        <w:t>因此本项目最终生产工艺得分为5分，以</w:t>
      </w:r>
      <w:r w:rsidRPr="002B55E9">
        <w:rPr>
          <w:rFonts w:eastAsia="宋体" w:hint="eastAsia"/>
          <w:sz w:val="24"/>
          <w:szCs w:val="24"/>
        </w:rPr>
        <w:t>M</w:t>
      </w:r>
      <w:r w:rsidRPr="002B55E9">
        <w:rPr>
          <w:rFonts w:eastAsia="宋体"/>
          <w:sz w:val="24"/>
          <w:szCs w:val="24"/>
        </w:rPr>
        <w:t>4</w:t>
      </w:r>
      <w:r w:rsidRPr="002B55E9">
        <w:rPr>
          <w:rFonts w:eastAsia="宋体" w:hint="eastAsia"/>
          <w:sz w:val="24"/>
          <w:szCs w:val="24"/>
        </w:rPr>
        <w:t>表示</w:t>
      </w:r>
      <w:r w:rsidRPr="002B55E9">
        <w:rPr>
          <w:rFonts w:ascii="宋体" w:eastAsia="宋体" w:hAnsi="宋体" w:hint="eastAsia"/>
          <w:sz w:val="24"/>
          <w:szCs w:val="24"/>
        </w:rPr>
        <w:t>（</w:t>
      </w:r>
      <w:r w:rsidRPr="002B55E9">
        <w:rPr>
          <w:rFonts w:eastAsia="宋体" w:hint="eastAsia"/>
          <w:sz w:val="24"/>
          <w:szCs w:val="24"/>
        </w:rPr>
        <w:t>M</w:t>
      </w:r>
      <w:r w:rsidRPr="002B55E9">
        <w:rPr>
          <w:rFonts w:ascii="宋体" w:eastAsia="宋体" w:hAnsi="宋体"/>
          <w:sz w:val="24"/>
          <w:szCs w:val="24"/>
        </w:rPr>
        <w:t>=5</w:t>
      </w:r>
      <w:r w:rsidRPr="002B55E9">
        <w:rPr>
          <w:rFonts w:ascii="宋体" w:eastAsia="宋体" w:hAnsi="宋体" w:hint="eastAsia"/>
          <w:sz w:val="24"/>
          <w:szCs w:val="24"/>
        </w:rPr>
        <w:t>）。</w:t>
      </w:r>
    </w:p>
    <w:p w14:paraId="01CE062C" w14:textId="77777777" w:rsidR="00D170E5" w:rsidRPr="002B55E9" w:rsidRDefault="00EF27AD">
      <w:pPr>
        <w:pStyle w:val="5"/>
      </w:pPr>
      <w:r w:rsidRPr="002B55E9">
        <w:rPr>
          <w:rFonts w:hint="eastAsia"/>
        </w:rPr>
        <w:t>危险物质及工艺系统危险性（</w:t>
      </w:r>
      <w:r w:rsidRPr="002B55E9">
        <w:rPr>
          <w:rFonts w:hint="eastAsia"/>
        </w:rPr>
        <w:t>P</w:t>
      </w:r>
      <w:r w:rsidRPr="002B55E9">
        <w:rPr>
          <w:rFonts w:hint="eastAsia"/>
        </w:rPr>
        <w:t>）分级</w:t>
      </w:r>
    </w:p>
    <w:p w14:paraId="57CF833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lang w:val="zh-CN"/>
        </w:rPr>
        <w:t>根据</w:t>
      </w:r>
      <w:r w:rsidRPr="002B55E9">
        <w:rPr>
          <w:bCs/>
          <w:snapToGrid w:val="0"/>
          <w:sz w:val="24"/>
        </w:rPr>
        <w:t>危险物质</w:t>
      </w:r>
      <w:r w:rsidRPr="002B55E9">
        <w:rPr>
          <w:rFonts w:hint="eastAsia"/>
          <w:bCs/>
          <w:snapToGrid w:val="0"/>
          <w:sz w:val="24"/>
        </w:rPr>
        <w:t>数量</w:t>
      </w:r>
      <w:r w:rsidRPr="002B55E9">
        <w:rPr>
          <w:bCs/>
          <w:snapToGrid w:val="0"/>
          <w:sz w:val="24"/>
        </w:rPr>
        <w:t>与临界</w:t>
      </w:r>
      <w:r w:rsidRPr="002B55E9">
        <w:rPr>
          <w:rFonts w:hint="eastAsia"/>
          <w:bCs/>
          <w:snapToGrid w:val="0"/>
          <w:sz w:val="24"/>
        </w:rPr>
        <w:t>量比值</w:t>
      </w:r>
      <w:r w:rsidRPr="002B55E9">
        <w:rPr>
          <w:bCs/>
          <w:snapToGrid w:val="0"/>
          <w:sz w:val="24"/>
        </w:rPr>
        <w:t>（</w:t>
      </w:r>
      <w:r w:rsidRPr="002B55E9">
        <w:rPr>
          <w:rFonts w:hint="eastAsia"/>
          <w:bCs/>
          <w:snapToGrid w:val="0"/>
          <w:sz w:val="24"/>
        </w:rPr>
        <w:t>Q</w:t>
      </w:r>
      <w:r w:rsidRPr="002B55E9">
        <w:rPr>
          <w:bCs/>
          <w:snapToGrid w:val="0"/>
          <w:sz w:val="24"/>
        </w:rPr>
        <w:t>）</w:t>
      </w:r>
      <w:r w:rsidRPr="002B55E9">
        <w:rPr>
          <w:rFonts w:hint="eastAsia"/>
          <w:bCs/>
          <w:snapToGrid w:val="0"/>
          <w:sz w:val="24"/>
        </w:rPr>
        <w:t>和</w:t>
      </w:r>
      <w:r w:rsidRPr="002B55E9">
        <w:rPr>
          <w:bCs/>
          <w:snapToGrid w:val="0"/>
          <w:sz w:val="24"/>
        </w:rPr>
        <w:t>行业及生产工艺（</w:t>
      </w:r>
      <w:r w:rsidRPr="002B55E9">
        <w:rPr>
          <w:rFonts w:hint="eastAsia"/>
          <w:bCs/>
          <w:snapToGrid w:val="0"/>
          <w:sz w:val="24"/>
        </w:rPr>
        <w:t>M</w:t>
      </w:r>
      <w:r w:rsidRPr="002B55E9">
        <w:rPr>
          <w:bCs/>
          <w:snapToGrid w:val="0"/>
          <w:sz w:val="24"/>
        </w:rPr>
        <w:t>）</w:t>
      </w:r>
      <w:r w:rsidRPr="002B55E9">
        <w:rPr>
          <w:rFonts w:hint="eastAsia"/>
          <w:bCs/>
          <w:snapToGrid w:val="0"/>
          <w:sz w:val="24"/>
        </w:rPr>
        <w:t>，</w:t>
      </w:r>
      <w:r w:rsidRPr="002B55E9">
        <w:rPr>
          <w:bCs/>
          <w:snapToGrid w:val="0"/>
          <w:sz w:val="24"/>
        </w:rPr>
        <w:t>按照《建设项目环境风险评价技术导则》（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表</w:t>
      </w:r>
      <w:r w:rsidRPr="002B55E9">
        <w:rPr>
          <w:bCs/>
          <w:snapToGrid w:val="0"/>
          <w:sz w:val="24"/>
        </w:rPr>
        <w:t>C.2</w:t>
      </w:r>
      <w:r w:rsidRPr="002B55E9">
        <w:rPr>
          <w:rFonts w:hint="eastAsia"/>
          <w:bCs/>
          <w:snapToGrid w:val="0"/>
          <w:sz w:val="24"/>
        </w:rPr>
        <w:t>，确定本</w:t>
      </w:r>
      <w:r w:rsidRPr="002B55E9">
        <w:rPr>
          <w:bCs/>
          <w:snapToGrid w:val="0"/>
          <w:sz w:val="24"/>
        </w:rPr>
        <w:t>项目危险物质及工艺系统危险性等级（</w:t>
      </w:r>
      <w:r w:rsidRPr="002B55E9">
        <w:rPr>
          <w:rFonts w:hint="eastAsia"/>
          <w:bCs/>
          <w:snapToGrid w:val="0"/>
          <w:sz w:val="24"/>
        </w:rPr>
        <w:t>P</w:t>
      </w:r>
      <w:r w:rsidRPr="002B55E9">
        <w:rPr>
          <w:bCs/>
          <w:snapToGrid w:val="0"/>
          <w:sz w:val="24"/>
        </w:rPr>
        <w:t>）</w:t>
      </w:r>
      <w:r w:rsidRPr="002B55E9">
        <w:rPr>
          <w:rFonts w:hint="eastAsia"/>
          <w:bCs/>
          <w:snapToGrid w:val="0"/>
          <w:sz w:val="24"/>
        </w:rPr>
        <w:t>。等级判断</w:t>
      </w:r>
      <w:r w:rsidRPr="002B55E9">
        <w:rPr>
          <w:bCs/>
          <w:snapToGrid w:val="0"/>
          <w:sz w:val="24"/>
        </w:rPr>
        <w:t>依据见下表</w:t>
      </w:r>
      <w:r w:rsidRPr="002B55E9">
        <w:rPr>
          <w:rFonts w:hint="eastAsia"/>
          <w:bCs/>
          <w:snapToGrid w:val="0"/>
          <w:sz w:val="24"/>
        </w:rPr>
        <w:t>所示。</w:t>
      </w:r>
    </w:p>
    <w:p w14:paraId="4EE924BA"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-1-9  </w:t>
      </w:r>
      <w:r w:rsidRPr="002B55E9">
        <w:rPr>
          <w:rFonts w:eastAsia="黑体"/>
          <w:b/>
          <w:sz w:val="24"/>
          <w:szCs w:val="28"/>
        </w:rPr>
        <w:t>危险物质及工艺系统危险性等级</w:t>
      </w:r>
      <w:r w:rsidRPr="002B55E9">
        <w:rPr>
          <w:rFonts w:eastAsia="黑体" w:hint="eastAsia"/>
          <w:b/>
          <w:sz w:val="24"/>
          <w:szCs w:val="28"/>
        </w:rPr>
        <w:t>判断</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27"/>
        <w:gridCol w:w="1928"/>
        <w:gridCol w:w="1928"/>
        <w:gridCol w:w="1928"/>
        <w:gridCol w:w="1928"/>
      </w:tblGrid>
      <w:tr w:rsidR="002B55E9" w:rsidRPr="002B55E9" w14:paraId="60734C6F" w14:textId="77777777">
        <w:trPr>
          <w:trHeight w:val="284"/>
        </w:trPr>
        <w:tc>
          <w:tcPr>
            <w:tcW w:w="1927" w:type="dxa"/>
            <w:vMerge w:val="restart"/>
            <w:tcBorders>
              <w:top w:val="single" w:sz="12" w:space="0" w:color="auto"/>
              <w:bottom w:val="single" w:sz="4" w:space="0" w:color="auto"/>
            </w:tcBorders>
            <w:vAlign w:val="center"/>
          </w:tcPr>
          <w:p w14:paraId="6132E54F" w14:textId="77777777" w:rsidR="00D170E5" w:rsidRPr="002B55E9" w:rsidRDefault="00EF27AD">
            <w:pPr>
              <w:pStyle w:val="affffffffffffffffff6"/>
              <w:ind w:left="-40" w:right="-40"/>
            </w:pPr>
            <w:r w:rsidRPr="002B55E9">
              <w:rPr>
                <w:rFonts w:hint="eastAsia"/>
              </w:rPr>
              <w:t>危险物质</w:t>
            </w:r>
            <w:r w:rsidRPr="002B55E9">
              <w:t>数量与临界量比值（</w:t>
            </w:r>
            <w:r w:rsidRPr="002B55E9">
              <w:rPr>
                <w:rFonts w:hint="eastAsia"/>
              </w:rPr>
              <w:t>Q</w:t>
            </w:r>
            <w:r w:rsidRPr="002B55E9">
              <w:t>）</w:t>
            </w:r>
          </w:p>
        </w:tc>
        <w:tc>
          <w:tcPr>
            <w:tcW w:w="7712" w:type="dxa"/>
            <w:gridSpan w:val="4"/>
            <w:tcBorders>
              <w:top w:val="single" w:sz="12" w:space="0" w:color="auto"/>
              <w:bottom w:val="single" w:sz="4" w:space="0" w:color="auto"/>
            </w:tcBorders>
            <w:vAlign w:val="center"/>
          </w:tcPr>
          <w:p w14:paraId="7893FD8F" w14:textId="77777777" w:rsidR="00D170E5" w:rsidRPr="002B55E9" w:rsidRDefault="00EF27AD">
            <w:pPr>
              <w:pStyle w:val="affffffffffffffffff6"/>
              <w:ind w:left="-40" w:right="-40"/>
            </w:pPr>
            <w:r w:rsidRPr="002B55E9">
              <w:rPr>
                <w:rFonts w:hint="eastAsia"/>
              </w:rPr>
              <w:t>行业及</w:t>
            </w:r>
            <w:r w:rsidRPr="002B55E9">
              <w:t>生产工艺</w:t>
            </w:r>
            <w:r w:rsidRPr="002B55E9">
              <w:rPr>
                <w:rFonts w:hint="eastAsia"/>
              </w:rPr>
              <w:t>（</w:t>
            </w:r>
            <w:r w:rsidRPr="002B55E9">
              <w:rPr>
                <w:rFonts w:hint="eastAsia"/>
              </w:rPr>
              <w:t>M</w:t>
            </w:r>
            <w:r w:rsidRPr="002B55E9">
              <w:rPr>
                <w:rFonts w:hint="eastAsia"/>
              </w:rPr>
              <w:t>）</w:t>
            </w:r>
          </w:p>
        </w:tc>
      </w:tr>
      <w:tr w:rsidR="002B55E9" w:rsidRPr="002B55E9" w14:paraId="6891E4F7" w14:textId="77777777">
        <w:trPr>
          <w:trHeight w:val="284"/>
        </w:trPr>
        <w:tc>
          <w:tcPr>
            <w:tcW w:w="1927" w:type="dxa"/>
            <w:vMerge/>
            <w:tcBorders>
              <w:top w:val="single" w:sz="4" w:space="0" w:color="auto"/>
              <w:bottom w:val="single" w:sz="12" w:space="0" w:color="auto"/>
            </w:tcBorders>
            <w:vAlign w:val="center"/>
          </w:tcPr>
          <w:p w14:paraId="42483755" w14:textId="77777777" w:rsidR="00D170E5" w:rsidRPr="002B55E9" w:rsidRDefault="00D170E5">
            <w:pPr>
              <w:pStyle w:val="affffffffffffffffff6"/>
              <w:ind w:left="-40" w:right="-40"/>
            </w:pPr>
          </w:p>
        </w:tc>
        <w:tc>
          <w:tcPr>
            <w:tcW w:w="1928" w:type="dxa"/>
            <w:tcBorders>
              <w:top w:val="single" w:sz="4" w:space="0" w:color="auto"/>
              <w:bottom w:val="single" w:sz="12" w:space="0" w:color="auto"/>
            </w:tcBorders>
            <w:vAlign w:val="center"/>
          </w:tcPr>
          <w:p w14:paraId="677F9F21" w14:textId="77777777" w:rsidR="00D170E5" w:rsidRPr="002B55E9" w:rsidRDefault="00EF27AD">
            <w:pPr>
              <w:pStyle w:val="affffffffffffffffff6"/>
              <w:ind w:left="-40" w:right="-40"/>
            </w:pPr>
            <w:r w:rsidRPr="002B55E9">
              <w:t>M1</w:t>
            </w:r>
          </w:p>
        </w:tc>
        <w:tc>
          <w:tcPr>
            <w:tcW w:w="1928" w:type="dxa"/>
            <w:tcBorders>
              <w:top w:val="single" w:sz="4" w:space="0" w:color="auto"/>
              <w:bottom w:val="single" w:sz="12" w:space="0" w:color="auto"/>
            </w:tcBorders>
            <w:vAlign w:val="center"/>
          </w:tcPr>
          <w:p w14:paraId="26089A5E" w14:textId="77777777" w:rsidR="00D170E5" w:rsidRPr="002B55E9" w:rsidRDefault="00EF27AD">
            <w:pPr>
              <w:pStyle w:val="affffffffffffffffff6"/>
              <w:ind w:left="-40" w:right="-40"/>
            </w:pPr>
            <w:r w:rsidRPr="002B55E9">
              <w:rPr>
                <w:rFonts w:hint="eastAsia"/>
              </w:rPr>
              <w:t>M2</w:t>
            </w:r>
          </w:p>
        </w:tc>
        <w:tc>
          <w:tcPr>
            <w:tcW w:w="1928" w:type="dxa"/>
            <w:tcBorders>
              <w:top w:val="single" w:sz="4" w:space="0" w:color="auto"/>
              <w:bottom w:val="single" w:sz="12" w:space="0" w:color="auto"/>
            </w:tcBorders>
            <w:vAlign w:val="center"/>
          </w:tcPr>
          <w:p w14:paraId="3316D8C6" w14:textId="77777777" w:rsidR="00D170E5" w:rsidRPr="002B55E9" w:rsidRDefault="00EF27AD">
            <w:pPr>
              <w:pStyle w:val="affffffffffffffffff6"/>
              <w:ind w:left="-40" w:right="-40"/>
            </w:pPr>
            <w:r w:rsidRPr="002B55E9">
              <w:rPr>
                <w:rFonts w:hint="eastAsia"/>
              </w:rPr>
              <w:t>M3</w:t>
            </w:r>
          </w:p>
        </w:tc>
        <w:tc>
          <w:tcPr>
            <w:tcW w:w="1928" w:type="dxa"/>
            <w:tcBorders>
              <w:top w:val="single" w:sz="4" w:space="0" w:color="auto"/>
              <w:bottom w:val="single" w:sz="12" w:space="0" w:color="auto"/>
            </w:tcBorders>
            <w:vAlign w:val="center"/>
          </w:tcPr>
          <w:p w14:paraId="0E86E87E" w14:textId="77777777" w:rsidR="00D170E5" w:rsidRPr="002B55E9" w:rsidRDefault="00EF27AD">
            <w:pPr>
              <w:pStyle w:val="affffffffffffffffff6"/>
              <w:ind w:left="-40" w:right="-40"/>
            </w:pPr>
            <w:r w:rsidRPr="002B55E9">
              <w:rPr>
                <w:rFonts w:hint="eastAsia"/>
              </w:rPr>
              <w:t>M4</w:t>
            </w:r>
          </w:p>
        </w:tc>
      </w:tr>
      <w:tr w:rsidR="002B55E9" w:rsidRPr="002B55E9" w14:paraId="5D6EF367" w14:textId="77777777">
        <w:trPr>
          <w:trHeight w:val="284"/>
        </w:trPr>
        <w:tc>
          <w:tcPr>
            <w:tcW w:w="1927" w:type="dxa"/>
            <w:tcBorders>
              <w:top w:val="single" w:sz="12" w:space="0" w:color="auto"/>
            </w:tcBorders>
            <w:vAlign w:val="center"/>
          </w:tcPr>
          <w:p w14:paraId="4009C49A" w14:textId="77777777" w:rsidR="00D170E5" w:rsidRPr="002B55E9" w:rsidRDefault="00EF27AD">
            <w:pPr>
              <w:pStyle w:val="affffffffffffffffff6"/>
              <w:ind w:left="-40" w:right="-40"/>
            </w:pPr>
            <w:r w:rsidRPr="002B55E9">
              <w:rPr>
                <w:rFonts w:hint="eastAsia"/>
              </w:rPr>
              <w:t>Q</w:t>
            </w:r>
            <w:r w:rsidRPr="002B55E9">
              <w:rPr>
                <w:rFonts w:hint="eastAsia"/>
              </w:rPr>
              <w:t>≥</w:t>
            </w:r>
            <w:r w:rsidRPr="002B55E9">
              <w:rPr>
                <w:rFonts w:hint="eastAsia"/>
              </w:rPr>
              <w:t>10</w:t>
            </w:r>
            <w:r w:rsidRPr="002B55E9">
              <w:t>0</w:t>
            </w:r>
          </w:p>
        </w:tc>
        <w:tc>
          <w:tcPr>
            <w:tcW w:w="1928" w:type="dxa"/>
            <w:tcBorders>
              <w:top w:val="single" w:sz="12" w:space="0" w:color="auto"/>
            </w:tcBorders>
            <w:vAlign w:val="center"/>
          </w:tcPr>
          <w:p w14:paraId="51C81EDD" w14:textId="77777777" w:rsidR="00D170E5" w:rsidRPr="002B55E9" w:rsidRDefault="00EF27AD">
            <w:pPr>
              <w:pStyle w:val="affffffffffffffffff6"/>
              <w:ind w:left="-40" w:right="-40"/>
            </w:pPr>
            <w:r w:rsidRPr="002B55E9">
              <w:rPr>
                <w:rFonts w:hint="eastAsia"/>
              </w:rPr>
              <w:t>P1</w:t>
            </w:r>
          </w:p>
        </w:tc>
        <w:tc>
          <w:tcPr>
            <w:tcW w:w="1928" w:type="dxa"/>
            <w:tcBorders>
              <w:top w:val="single" w:sz="12" w:space="0" w:color="auto"/>
            </w:tcBorders>
            <w:vAlign w:val="center"/>
          </w:tcPr>
          <w:p w14:paraId="0554D2BD" w14:textId="77777777" w:rsidR="00D170E5" w:rsidRPr="002B55E9" w:rsidRDefault="00EF27AD">
            <w:pPr>
              <w:pStyle w:val="affffffffffffffffff6"/>
              <w:ind w:left="-40" w:right="-40"/>
            </w:pPr>
            <w:r w:rsidRPr="002B55E9">
              <w:rPr>
                <w:rFonts w:hint="eastAsia"/>
              </w:rPr>
              <w:t>P</w:t>
            </w:r>
            <w:r w:rsidRPr="002B55E9">
              <w:t>1</w:t>
            </w:r>
          </w:p>
        </w:tc>
        <w:tc>
          <w:tcPr>
            <w:tcW w:w="1928" w:type="dxa"/>
            <w:tcBorders>
              <w:top w:val="single" w:sz="12" w:space="0" w:color="auto"/>
            </w:tcBorders>
            <w:vAlign w:val="center"/>
          </w:tcPr>
          <w:p w14:paraId="222556F5" w14:textId="77777777" w:rsidR="00D170E5" w:rsidRPr="002B55E9" w:rsidRDefault="00EF27AD">
            <w:pPr>
              <w:pStyle w:val="affffffffffffffffff6"/>
              <w:ind w:left="-40" w:right="-40"/>
            </w:pPr>
            <w:r w:rsidRPr="002B55E9">
              <w:rPr>
                <w:rFonts w:hint="eastAsia"/>
              </w:rPr>
              <w:t>P</w:t>
            </w:r>
            <w:r w:rsidRPr="002B55E9">
              <w:t>2</w:t>
            </w:r>
          </w:p>
        </w:tc>
        <w:tc>
          <w:tcPr>
            <w:tcW w:w="1928" w:type="dxa"/>
            <w:tcBorders>
              <w:top w:val="single" w:sz="12" w:space="0" w:color="auto"/>
            </w:tcBorders>
            <w:vAlign w:val="center"/>
          </w:tcPr>
          <w:p w14:paraId="0D85B49F" w14:textId="77777777" w:rsidR="00D170E5" w:rsidRPr="002B55E9" w:rsidRDefault="00EF27AD">
            <w:pPr>
              <w:pStyle w:val="affffffffffffffffff6"/>
              <w:ind w:left="-40" w:right="-40"/>
            </w:pPr>
            <w:r w:rsidRPr="002B55E9">
              <w:rPr>
                <w:rFonts w:hint="eastAsia"/>
              </w:rPr>
              <w:t>P</w:t>
            </w:r>
            <w:r w:rsidRPr="002B55E9">
              <w:t>3</w:t>
            </w:r>
          </w:p>
        </w:tc>
      </w:tr>
      <w:tr w:rsidR="002B55E9" w:rsidRPr="002B55E9" w14:paraId="2550620A" w14:textId="77777777">
        <w:trPr>
          <w:trHeight w:val="284"/>
        </w:trPr>
        <w:tc>
          <w:tcPr>
            <w:tcW w:w="1927" w:type="dxa"/>
            <w:vAlign w:val="center"/>
          </w:tcPr>
          <w:p w14:paraId="047CA6BD" w14:textId="77777777" w:rsidR="00D170E5" w:rsidRPr="002B55E9" w:rsidRDefault="00EF27AD">
            <w:pPr>
              <w:pStyle w:val="affffffffffffffffff6"/>
              <w:ind w:left="-40" w:right="-40"/>
            </w:pPr>
            <w:r w:rsidRPr="002B55E9">
              <w:rPr>
                <w:rFonts w:hint="eastAsia"/>
              </w:rPr>
              <w:t>1</w:t>
            </w:r>
            <w:r w:rsidRPr="002B55E9">
              <w:t>0</w:t>
            </w:r>
            <w:r w:rsidRPr="002B55E9">
              <w:rPr>
                <w:rFonts w:hint="eastAsia"/>
              </w:rPr>
              <w:t>≤</w:t>
            </w:r>
            <w:r w:rsidRPr="002B55E9">
              <w:rPr>
                <w:rFonts w:hint="eastAsia"/>
              </w:rPr>
              <w:t>Q</w:t>
            </w:r>
            <w:r w:rsidRPr="002B55E9">
              <w:rPr>
                <w:rFonts w:hint="eastAsia"/>
              </w:rPr>
              <w:t>＜</w:t>
            </w:r>
            <w:r w:rsidRPr="002B55E9">
              <w:rPr>
                <w:rFonts w:hint="eastAsia"/>
              </w:rPr>
              <w:t>10</w:t>
            </w:r>
            <w:r w:rsidRPr="002B55E9">
              <w:t>0</w:t>
            </w:r>
          </w:p>
        </w:tc>
        <w:tc>
          <w:tcPr>
            <w:tcW w:w="1928" w:type="dxa"/>
            <w:vAlign w:val="center"/>
          </w:tcPr>
          <w:p w14:paraId="3D155EDA" w14:textId="77777777" w:rsidR="00D170E5" w:rsidRPr="002B55E9" w:rsidRDefault="00EF27AD">
            <w:pPr>
              <w:pStyle w:val="affffffffffffffffff6"/>
              <w:ind w:left="-40" w:right="-40"/>
            </w:pPr>
            <w:r w:rsidRPr="002B55E9">
              <w:rPr>
                <w:rFonts w:hint="eastAsia"/>
              </w:rPr>
              <w:t>P</w:t>
            </w:r>
            <w:r w:rsidRPr="002B55E9">
              <w:t>1</w:t>
            </w:r>
          </w:p>
        </w:tc>
        <w:tc>
          <w:tcPr>
            <w:tcW w:w="1928" w:type="dxa"/>
            <w:vAlign w:val="center"/>
          </w:tcPr>
          <w:p w14:paraId="77E4A1E4" w14:textId="77777777" w:rsidR="00D170E5" w:rsidRPr="002B55E9" w:rsidRDefault="00EF27AD">
            <w:pPr>
              <w:pStyle w:val="affffffffffffffffff6"/>
              <w:ind w:left="-40" w:right="-40"/>
            </w:pPr>
            <w:r w:rsidRPr="002B55E9">
              <w:rPr>
                <w:rFonts w:hint="eastAsia"/>
              </w:rPr>
              <w:t>P</w:t>
            </w:r>
            <w:r w:rsidRPr="002B55E9">
              <w:t>2</w:t>
            </w:r>
          </w:p>
        </w:tc>
        <w:tc>
          <w:tcPr>
            <w:tcW w:w="1928" w:type="dxa"/>
            <w:vAlign w:val="center"/>
          </w:tcPr>
          <w:p w14:paraId="192399B9" w14:textId="77777777" w:rsidR="00D170E5" w:rsidRPr="002B55E9" w:rsidRDefault="00EF27AD">
            <w:pPr>
              <w:pStyle w:val="affffffffffffffffff6"/>
              <w:ind w:left="-40" w:right="-40"/>
            </w:pPr>
            <w:r w:rsidRPr="002B55E9">
              <w:rPr>
                <w:rFonts w:hint="eastAsia"/>
              </w:rPr>
              <w:t>P</w:t>
            </w:r>
            <w:r w:rsidRPr="002B55E9">
              <w:t>3</w:t>
            </w:r>
          </w:p>
        </w:tc>
        <w:tc>
          <w:tcPr>
            <w:tcW w:w="1928" w:type="dxa"/>
            <w:vAlign w:val="center"/>
          </w:tcPr>
          <w:p w14:paraId="05CD0549" w14:textId="77777777" w:rsidR="00D170E5" w:rsidRPr="002B55E9" w:rsidRDefault="00EF27AD">
            <w:pPr>
              <w:pStyle w:val="affffffffffffffffff6"/>
              <w:ind w:left="-40" w:right="-40"/>
            </w:pPr>
            <w:r w:rsidRPr="002B55E9">
              <w:rPr>
                <w:rFonts w:hint="eastAsia"/>
              </w:rPr>
              <w:t>P</w:t>
            </w:r>
            <w:r w:rsidRPr="002B55E9">
              <w:t>4</w:t>
            </w:r>
          </w:p>
        </w:tc>
      </w:tr>
      <w:tr w:rsidR="002B55E9" w:rsidRPr="002B55E9" w14:paraId="08B6BE26" w14:textId="77777777">
        <w:trPr>
          <w:trHeight w:val="284"/>
        </w:trPr>
        <w:tc>
          <w:tcPr>
            <w:tcW w:w="1927" w:type="dxa"/>
            <w:vAlign w:val="center"/>
          </w:tcPr>
          <w:p w14:paraId="17CDED08" w14:textId="77777777" w:rsidR="00D170E5" w:rsidRPr="002B55E9" w:rsidRDefault="00EF27AD">
            <w:pPr>
              <w:pStyle w:val="affffffffffffffffff6"/>
              <w:ind w:left="-40" w:right="-40"/>
            </w:pPr>
            <w:r w:rsidRPr="002B55E9">
              <w:rPr>
                <w:rFonts w:hint="eastAsia"/>
              </w:rPr>
              <w:t>1</w:t>
            </w:r>
            <w:r w:rsidRPr="002B55E9">
              <w:rPr>
                <w:rFonts w:hint="eastAsia"/>
              </w:rPr>
              <w:t>≤</w:t>
            </w:r>
            <w:r w:rsidRPr="002B55E9">
              <w:rPr>
                <w:rFonts w:hint="eastAsia"/>
              </w:rPr>
              <w:t>Q</w:t>
            </w:r>
            <w:r w:rsidRPr="002B55E9">
              <w:rPr>
                <w:rFonts w:hint="eastAsia"/>
              </w:rPr>
              <w:t>＜</w:t>
            </w:r>
            <w:r w:rsidRPr="002B55E9">
              <w:rPr>
                <w:rFonts w:hint="eastAsia"/>
              </w:rPr>
              <w:t>10</w:t>
            </w:r>
          </w:p>
        </w:tc>
        <w:tc>
          <w:tcPr>
            <w:tcW w:w="1928" w:type="dxa"/>
            <w:vAlign w:val="center"/>
          </w:tcPr>
          <w:p w14:paraId="520B05C0" w14:textId="77777777" w:rsidR="00D170E5" w:rsidRPr="002B55E9" w:rsidRDefault="00EF27AD">
            <w:pPr>
              <w:pStyle w:val="affffffffffffffffff6"/>
              <w:ind w:left="-40" w:right="-40"/>
            </w:pPr>
            <w:r w:rsidRPr="002B55E9">
              <w:rPr>
                <w:rFonts w:hint="eastAsia"/>
              </w:rPr>
              <w:t>P</w:t>
            </w:r>
            <w:r w:rsidRPr="002B55E9">
              <w:t>2</w:t>
            </w:r>
          </w:p>
        </w:tc>
        <w:tc>
          <w:tcPr>
            <w:tcW w:w="1928" w:type="dxa"/>
            <w:vAlign w:val="center"/>
          </w:tcPr>
          <w:p w14:paraId="0BE87949" w14:textId="77777777" w:rsidR="00D170E5" w:rsidRPr="002B55E9" w:rsidRDefault="00EF27AD">
            <w:pPr>
              <w:pStyle w:val="affffffffffffffffff6"/>
              <w:ind w:left="-40" w:right="-40"/>
            </w:pPr>
            <w:r w:rsidRPr="002B55E9">
              <w:rPr>
                <w:rFonts w:hint="eastAsia"/>
              </w:rPr>
              <w:t>P</w:t>
            </w:r>
            <w:r w:rsidRPr="002B55E9">
              <w:t>3</w:t>
            </w:r>
          </w:p>
        </w:tc>
        <w:tc>
          <w:tcPr>
            <w:tcW w:w="1928" w:type="dxa"/>
            <w:vAlign w:val="center"/>
          </w:tcPr>
          <w:p w14:paraId="70819386" w14:textId="77777777" w:rsidR="00D170E5" w:rsidRPr="002B55E9" w:rsidRDefault="00EF27AD">
            <w:pPr>
              <w:pStyle w:val="affffffffffffffffff6"/>
              <w:ind w:left="-40" w:right="-40"/>
            </w:pPr>
            <w:r w:rsidRPr="002B55E9">
              <w:rPr>
                <w:rFonts w:hint="eastAsia"/>
              </w:rPr>
              <w:t>P</w:t>
            </w:r>
            <w:r w:rsidRPr="002B55E9">
              <w:t>4</w:t>
            </w:r>
          </w:p>
        </w:tc>
        <w:tc>
          <w:tcPr>
            <w:tcW w:w="1928" w:type="dxa"/>
            <w:vAlign w:val="center"/>
          </w:tcPr>
          <w:p w14:paraId="360569C0" w14:textId="77777777" w:rsidR="00D170E5" w:rsidRPr="002B55E9" w:rsidRDefault="00EF27AD">
            <w:pPr>
              <w:pStyle w:val="affffffffffffffffff6"/>
              <w:ind w:left="-40" w:right="-40"/>
            </w:pPr>
            <w:r w:rsidRPr="002B55E9">
              <w:rPr>
                <w:rFonts w:hint="eastAsia"/>
              </w:rPr>
              <w:t>P</w:t>
            </w:r>
            <w:r w:rsidRPr="002B55E9">
              <w:t>4</w:t>
            </w:r>
          </w:p>
        </w:tc>
      </w:tr>
    </w:tbl>
    <w:p w14:paraId="65A971A6" w14:textId="77777777" w:rsidR="00D170E5" w:rsidRPr="002B55E9" w:rsidRDefault="00EF27AD">
      <w:pPr>
        <w:pStyle w:val="aa"/>
      </w:pPr>
      <w:r w:rsidRPr="002B55E9">
        <w:rPr>
          <w:rFonts w:hint="eastAsia"/>
        </w:rPr>
        <w:t>本项目</w:t>
      </w:r>
      <w:r w:rsidRPr="002B55E9">
        <w:rPr>
          <w:rFonts w:hint="eastAsia"/>
        </w:rPr>
        <w:t>Q=</w:t>
      </w:r>
      <w:r w:rsidRPr="002B55E9">
        <w:t>46.28</w:t>
      </w:r>
      <w:r w:rsidRPr="002B55E9">
        <w:rPr>
          <w:rFonts w:hint="eastAsia"/>
        </w:rPr>
        <w:t>，生产工艺得分为</w:t>
      </w:r>
      <w:r w:rsidRPr="002B55E9">
        <w:t>5</w:t>
      </w:r>
      <w:r w:rsidRPr="002B55E9">
        <w:rPr>
          <w:rFonts w:hint="eastAsia"/>
        </w:rPr>
        <w:t>分，以</w:t>
      </w:r>
      <w:r w:rsidRPr="002B55E9">
        <w:rPr>
          <w:rFonts w:hint="eastAsia"/>
        </w:rPr>
        <w:t>M</w:t>
      </w:r>
      <w:r w:rsidRPr="002B55E9">
        <w:t>4</w:t>
      </w:r>
      <w:r w:rsidRPr="002B55E9">
        <w:rPr>
          <w:rFonts w:hint="eastAsia"/>
        </w:rPr>
        <w:t>表示，由上表可知，本项目危险物质及工艺系统危险性等级为</w:t>
      </w:r>
      <w:r w:rsidRPr="002B55E9">
        <w:rPr>
          <w:rFonts w:hint="eastAsia"/>
        </w:rPr>
        <w:t>P</w:t>
      </w:r>
      <w:r w:rsidRPr="002B55E9">
        <w:t>4</w:t>
      </w:r>
      <w:r w:rsidRPr="002B55E9">
        <w:rPr>
          <w:rFonts w:hint="eastAsia"/>
        </w:rPr>
        <w:t>。</w:t>
      </w:r>
    </w:p>
    <w:p w14:paraId="3079CFD6" w14:textId="77777777" w:rsidR="00D170E5" w:rsidRPr="002B55E9" w:rsidRDefault="00EF27AD">
      <w:pPr>
        <w:pStyle w:val="4"/>
        <w:rPr>
          <w:color w:val="auto"/>
        </w:rPr>
      </w:pPr>
      <w:r w:rsidRPr="002B55E9">
        <w:rPr>
          <w:rFonts w:hint="eastAsia"/>
          <w:color w:val="auto"/>
        </w:rPr>
        <w:t>环境敏感目标调查</w:t>
      </w:r>
    </w:p>
    <w:p w14:paraId="4C27191C" w14:textId="77777777" w:rsidR="00D170E5" w:rsidRPr="002B55E9" w:rsidRDefault="00EF27AD">
      <w:pPr>
        <w:pStyle w:val="5"/>
      </w:pPr>
      <w:r w:rsidRPr="002B55E9">
        <w:rPr>
          <w:rFonts w:hint="eastAsia"/>
        </w:rPr>
        <w:lastRenderedPageBreak/>
        <w:t>环境空气敏感目标调查</w:t>
      </w:r>
    </w:p>
    <w:p w14:paraId="12FB353F" w14:textId="77777777" w:rsidR="00D170E5" w:rsidRPr="002B55E9" w:rsidRDefault="00EF27AD">
      <w:pPr>
        <w:pStyle w:val="affff7"/>
        <w:adjustRightInd w:val="0"/>
        <w:snapToGrid w:val="0"/>
        <w:spacing w:after="0"/>
        <w:rPr>
          <w:szCs w:val="24"/>
        </w:rPr>
      </w:pPr>
      <w:r w:rsidRPr="002B55E9">
        <w:rPr>
          <w:rFonts w:hint="eastAsia"/>
          <w:szCs w:val="24"/>
        </w:rPr>
        <w:t>拟建项目位于武汉市东西湖区革新大道以西、兴工六路以南，项目周边</w:t>
      </w:r>
      <w:r w:rsidRPr="002B55E9">
        <w:rPr>
          <w:rFonts w:hint="eastAsia"/>
          <w:szCs w:val="24"/>
        </w:rPr>
        <w:t>5</w:t>
      </w:r>
      <w:r w:rsidRPr="002B55E9">
        <w:rPr>
          <w:szCs w:val="24"/>
        </w:rPr>
        <w:t>km</w:t>
      </w:r>
      <w:r w:rsidRPr="002B55E9">
        <w:rPr>
          <w:szCs w:val="24"/>
        </w:rPr>
        <w:t>范围内的</w:t>
      </w:r>
      <w:r w:rsidRPr="002B55E9">
        <w:rPr>
          <w:rFonts w:hint="eastAsia"/>
          <w:szCs w:val="24"/>
        </w:rPr>
        <w:t>环境敏感目标详见下表。</w:t>
      </w:r>
    </w:p>
    <w:p w14:paraId="4A365ED8" w14:textId="77777777" w:rsidR="00D170E5" w:rsidRPr="002B55E9" w:rsidRDefault="00EF27AD">
      <w:pPr>
        <w:pStyle w:val="1f3"/>
        <w:snapToGrid w:val="0"/>
        <w:spacing w:beforeLines="0" w:before="0"/>
      </w:pPr>
      <w:r w:rsidRPr="002B55E9">
        <w:rPr>
          <w:rFonts w:hint="eastAsia"/>
        </w:rPr>
        <w:t>表</w:t>
      </w:r>
      <w:r w:rsidRPr="002B55E9">
        <w:rPr>
          <w:rFonts w:hint="eastAsia"/>
        </w:rPr>
        <w:t>6-1-</w:t>
      </w:r>
      <w:r w:rsidRPr="002B55E9">
        <w:t>10</w:t>
      </w:r>
      <w:r w:rsidRPr="002B55E9">
        <w:rPr>
          <w:rFonts w:hint="eastAsia"/>
        </w:rPr>
        <w:t xml:space="preserve">  </w:t>
      </w:r>
      <w:r w:rsidRPr="002B55E9">
        <w:rPr>
          <w:rFonts w:hint="eastAsia"/>
        </w:rPr>
        <w:t>项目周边主要环境敏感目标分布情况</w:t>
      </w:r>
    </w:p>
    <w:tbl>
      <w:tblPr>
        <w:tblW w:w="963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1461"/>
        <w:gridCol w:w="1338"/>
        <w:gridCol w:w="2197"/>
        <w:gridCol w:w="1166"/>
        <w:gridCol w:w="1166"/>
        <w:gridCol w:w="1638"/>
      </w:tblGrid>
      <w:tr w:rsidR="002B55E9" w:rsidRPr="002B55E9" w14:paraId="26D32D44" w14:textId="77777777">
        <w:trPr>
          <w:trHeight w:val="284"/>
          <w:tblHeader/>
        </w:trPr>
        <w:tc>
          <w:tcPr>
            <w:tcW w:w="671" w:type="dxa"/>
            <w:vMerge w:val="restart"/>
            <w:tcBorders>
              <w:top w:val="single" w:sz="12" w:space="0" w:color="auto"/>
              <w:left w:val="nil"/>
              <w:bottom w:val="single" w:sz="4" w:space="0" w:color="auto"/>
              <w:right w:val="single" w:sz="6" w:space="0" w:color="auto"/>
            </w:tcBorders>
            <w:vAlign w:val="center"/>
          </w:tcPr>
          <w:p w14:paraId="22E15DB6" w14:textId="77777777" w:rsidR="00D170E5" w:rsidRPr="002B55E9" w:rsidRDefault="00EF27AD">
            <w:pPr>
              <w:pStyle w:val="affff6"/>
              <w:snapToGrid w:val="0"/>
              <w:rPr>
                <w:szCs w:val="18"/>
              </w:rPr>
            </w:pPr>
            <w:r w:rsidRPr="002B55E9">
              <w:rPr>
                <w:rFonts w:hint="eastAsia"/>
                <w:szCs w:val="18"/>
              </w:rPr>
              <w:t>序号</w:t>
            </w:r>
          </w:p>
        </w:tc>
        <w:tc>
          <w:tcPr>
            <w:tcW w:w="2799" w:type="dxa"/>
            <w:gridSpan w:val="2"/>
            <w:tcBorders>
              <w:top w:val="single" w:sz="12" w:space="0" w:color="auto"/>
              <w:left w:val="single" w:sz="6" w:space="0" w:color="auto"/>
              <w:bottom w:val="single" w:sz="4" w:space="0" w:color="auto"/>
              <w:right w:val="single" w:sz="6" w:space="0" w:color="auto"/>
            </w:tcBorders>
            <w:vAlign w:val="center"/>
          </w:tcPr>
          <w:p w14:paraId="3AD4CF68" w14:textId="77777777" w:rsidR="00D170E5" w:rsidRPr="002B55E9" w:rsidRDefault="00EF27AD">
            <w:pPr>
              <w:pStyle w:val="affff6"/>
              <w:snapToGrid w:val="0"/>
              <w:rPr>
                <w:szCs w:val="18"/>
              </w:rPr>
            </w:pPr>
            <w:r w:rsidRPr="002B55E9">
              <w:rPr>
                <w:szCs w:val="18"/>
              </w:rPr>
              <w:t>敏感点</w:t>
            </w:r>
            <w:r w:rsidRPr="002B55E9">
              <w:rPr>
                <w:rFonts w:hint="eastAsia"/>
                <w:szCs w:val="18"/>
              </w:rPr>
              <w:t>中心</w:t>
            </w:r>
            <w:r w:rsidRPr="002B55E9">
              <w:rPr>
                <w:szCs w:val="18"/>
              </w:rPr>
              <w:t>经纬度坐标</w:t>
            </w:r>
            <w:r w:rsidRPr="002B55E9">
              <w:rPr>
                <w:szCs w:val="18"/>
              </w:rPr>
              <w:t>/º</w:t>
            </w:r>
          </w:p>
        </w:tc>
        <w:tc>
          <w:tcPr>
            <w:tcW w:w="2197" w:type="dxa"/>
            <w:vMerge w:val="restart"/>
            <w:tcBorders>
              <w:top w:val="single" w:sz="12" w:space="0" w:color="auto"/>
              <w:left w:val="single" w:sz="6" w:space="0" w:color="auto"/>
              <w:bottom w:val="single" w:sz="12" w:space="0" w:color="auto"/>
              <w:right w:val="single" w:sz="6" w:space="0" w:color="auto"/>
            </w:tcBorders>
            <w:vAlign w:val="center"/>
          </w:tcPr>
          <w:p w14:paraId="11259CC7" w14:textId="77777777" w:rsidR="00D170E5" w:rsidRPr="002B55E9" w:rsidRDefault="00EF27AD">
            <w:pPr>
              <w:pStyle w:val="affff6"/>
              <w:snapToGrid w:val="0"/>
              <w:rPr>
                <w:szCs w:val="18"/>
                <w:vertAlign w:val="superscript"/>
              </w:rPr>
            </w:pPr>
            <w:r w:rsidRPr="002B55E9">
              <w:rPr>
                <w:szCs w:val="18"/>
              </w:rPr>
              <w:t>保护对象</w:t>
            </w:r>
          </w:p>
        </w:tc>
        <w:tc>
          <w:tcPr>
            <w:tcW w:w="1166" w:type="dxa"/>
            <w:vMerge w:val="restart"/>
            <w:tcBorders>
              <w:top w:val="single" w:sz="12" w:space="0" w:color="auto"/>
              <w:left w:val="single" w:sz="6" w:space="0" w:color="auto"/>
              <w:bottom w:val="single" w:sz="12" w:space="0" w:color="auto"/>
              <w:right w:val="single" w:sz="6" w:space="0" w:color="auto"/>
            </w:tcBorders>
            <w:vAlign w:val="center"/>
          </w:tcPr>
          <w:p w14:paraId="6AFC4985" w14:textId="77777777" w:rsidR="00D170E5" w:rsidRPr="002B55E9" w:rsidRDefault="00EF27AD">
            <w:pPr>
              <w:pStyle w:val="affff6"/>
              <w:snapToGrid w:val="0"/>
              <w:rPr>
                <w:szCs w:val="18"/>
              </w:rPr>
            </w:pPr>
            <w:r w:rsidRPr="002B55E9">
              <w:rPr>
                <w:szCs w:val="18"/>
              </w:rPr>
              <w:t>保护内容</w:t>
            </w:r>
          </w:p>
          <w:p w14:paraId="6B9D5B3D" w14:textId="77777777" w:rsidR="00D170E5" w:rsidRPr="002B55E9" w:rsidRDefault="00EF27AD">
            <w:pPr>
              <w:pStyle w:val="affff6"/>
              <w:snapToGrid w:val="0"/>
              <w:rPr>
                <w:szCs w:val="18"/>
              </w:rPr>
            </w:pPr>
            <w:r w:rsidRPr="002B55E9">
              <w:rPr>
                <w:szCs w:val="18"/>
              </w:rPr>
              <w:t>(</w:t>
            </w:r>
            <w:r w:rsidRPr="002B55E9">
              <w:rPr>
                <w:szCs w:val="18"/>
              </w:rPr>
              <w:t>人</w:t>
            </w:r>
            <w:r w:rsidRPr="002B55E9">
              <w:rPr>
                <w:szCs w:val="18"/>
              </w:rPr>
              <w:t>)</w:t>
            </w:r>
          </w:p>
        </w:tc>
        <w:tc>
          <w:tcPr>
            <w:tcW w:w="1166" w:type="dxa"/>
            <w:vMerge w:val="restart"/>
            <w:tcBorders>
              <w:top w:val="single" w:sz="12" w:space="0" w:color="auto"/>
              <w:left w:val="single" w:sz="6" w:space="0" w:color="auto"/>
              <w:bottom w:val="single" w:sz="12" w:space="0" w:color="auto"/>
              <w:right w:val="single" w:sz="6" w:space="0" w:color="auto"/>
            </w:tcBorders>
            <w:vAlign w:val="center"/>
          </w:tcPr>
          <w:p w14:paraId="0EC230F8" w14:textId="77777777" w:rsidR="00D170E5" w:rsidRPr="002B55E9" w:rsidRDefault="00EF27AD">
            <w:pPr>
              <w:pStyle w:val="affff6"/>
              <w:snapToGrid w:val="0"/>
              <w:rPr>
                <w:szCs w:val="18"/>
              </w:rPr>
            </w:pPr>
            <w:r w:rsidRPr="002B55E9">
              <w:rPr>
                <w:szCs w:val="18"/>
              </w:rPr>
              <w:t>相对厂址方位</w:t>
            </w:r>
          </w:p>
        </w:tc>
        <w:tc>
          <w:tcPr>
            <w:tcW w:w="1638" w:type="dxa"/>
            <w:vMerge w:val="restart"/>
            <w:tcBorders>
              <w:top w:val="single" w:sz="12" w:space="0" w:color="auto"/>
              <w:left w:val="single" w:sz="6" w:space="0" w:color="auto"/>
              <w:bottom w:val="single" w:sz="12" w:space="0" w:color="auto"/>
              <w:right w:val="nil"/>
            </w:tcBorders>
            <w:vAlign w:val="center"/>
          </w:tcPr>
          <w:p w14:paraId="4ADD4CAC" w14:textId="77777777" w:rsidR="00D170E5" w:rsidRPr="002B55E9" w:rsidRDefault="00EF27AD">
            <w:pPr>
              <w:pStyle w:val="affff6"/>
              <w:snapToGrid w:val="0"/>
              <w:rPr>
                <w:szCs w:val="18"/>
              </w:rPr>
            </w:pPr>
            <w:r w:rsidRPr="002B55E9">
              <w:rPr>
                <w:szCs w:val="18"/>
              </w:rPr>
              <w:t>相对厂址最近距离</w:t>
            </w:r>
            <w:r w:rsidRPr="002B55E9">
              <w:rPr>
                <w:szCs w:val="18"/>
              </w:rPr>
              <w:t>/m</w:t>
            </w:r>
          </w:p>
        </w:tc>
      </w:tr>
      <w:tr w:rsidR="002B55E9" w:rsidRPr="002B55E9" w14:paraId="78B44F55" w14:textId="77777777">
        <w:trPr>
          <w:trHeight w:val="284"/>
          <w:tblHeader/>
        </w:trPr>
        <w:tc>
          <w:tcPr>
            <w:tcW w:w="671" w:type="dxa"/>
            <w:vMerge/>
            <w:tcBorders>
              <w:top w:val="single" w:sz="4" w:space="0" w:color="auto"/>
              <w:left w:val="nil"/>
              <w:bottom w:val="single" w:sz="12" w:space="0" w:color="auto"/>
              <w:right w:val="single" w:sz="6" w:space="0" w:color="auto"/>
            </w:tcBorders>
            <w:vAlign w:val="center"/>
          </w:tcPr>
          <w:p w14:paraId="0E7C47D2" w14:textId="77777777" w:rsidR="00D170E5" w:rsidRPr="002B55E9" w:rsidRDefault="00D170E5">
            <w:pPr>
              <w:snapToGrid w:val="0"/>
              <w:jc w:val="center"/>
              <w:rPr>
                <w:sz w:val="18"/>
                <w:szCs w:val="18"/>
              </w:rPr>
            </w:pPr>
          </w:p>
        </w:tc>
        <w:tc>
          <w:tcPr>
            <w:tcW w:w="1461" w:type="dxa"/>
            <w:tcBorders>
              <w:top w:val="single" w:sz="4" w:space="0" w:color="auto"/>
              <w:left w:val="single" w:sz="6" w:space="0" w:color="auto"/>
              <w:bottom w:val="single" w:sz="12" w:space="0" w:color="auto"/>
              <w:right w:val="single" w:sz="6" w:space="0" w:color="auto"/>
            </w:tcBorders>
            <w:vAlign w:val="center"/>
          </w:tcPr>
          <w:p w14:paraId="50DC0D05" w14:textId="77777777" w:rsidR="00D170E5" w:rsidRPr="002B55E9" w:rsidRDefault="00EF27AD">
            <w:pPr>
              <w:pStyle w:val="affff6"/>
              <w:snapToGrid w:val="0"/>
              <w:rPr>
                <w:szCs w:val="18"/>
              </w:rPr>
            </w:pPr>
            <w:r w:rsidRPr="002B55E9">
              <w:rPr>
                <w:szCs w:val="18"/>
              </w:rPr>
              <w:t>经度</w:t>
            </w:r>
            <w:r w:rsidRPr="002B55E9">
              <w:rPr>
                <w:rFonts w:hint="eastAsia"/>
                <w:szCs w:val="18"/>
              </w:rPr>
              <w:t>/E</w:t>
            </w:r>
          </w:p>
        </w:tc>
        <w:tc>
          <w:tcPr>
            <w:tcW w:w="1338" w:type="dxa"/>
            <w:tcBorders>
              <w:top w:val="single" w:sz="4" w:space="0" w:color="auto"/>
              <w:left w:val="single" w:sz="6" w:space="0" w:color="auto"/>
              <w:bottom w:val="single" w:sz="12" w:space="0" w:color="auto"/>
              <w:right w:val="single" w:sz="6" w:space="0" w:color="auto"/>
            </w:tcBorders>
            <w:vAlign w:val="center"/>
          </w:tcPr>
          <w:p w14:paraId="24EC4878" w14:textId="77777777" w:rsidR="00D170E5" w:rsidRPr="002B55E9" w:rsidRDefault="00EF27AD">
            <w:pPr>
              <w:pStyle w:val="affff6"/>
              <w:snapToGrid w:val="0"/>
              <w:rPr>
                <w:szCs w:val="18"/>
              </w:rPr>
            </w:pPr>
            <w:r w:rsidRPr="002B55E9">
              <w:rPr>
                <w:szCs w:val="18"/>
              </w:rPr>
              <w:t>纬度</w:t>
            </w:r>
            <w:r w:rsidRPr="002B55E9">
              <w:rPr>
                <w:rFonts w:hint="eastAsia"/>
                <w:szCs w:val="18"/>
              </w:rPr>
              <w:t>/N</w:t>
            </w:r>
          </w:p>
        </w:tc>
        <w:tc>
          <w:tcPr>
            <w:tcW w:w="2197" w:type="dxa"/>
            <w:vMerge/>
            <w:tcBorders>
              <w:top w:val="single" w:sz="4" w:space="0" w:color="auto"/>
              <w:left w:val="single" w:sz="6" w:space="0" w:color="auto"/>
              <w:bottom w:val="single" w:sz="12" w:space="0" w:color="auto"/>
              <w:right w:val="single" w:sz="6" w:space="0" w:color="auto"/>
            </w:tcBorders>
            <w:vAlign w:val="center"/>
          </w:tcPr>
          <w:p w14:paraId="17A4DA4B" w14:textId="77777777" w:rsidR="00D170E5" w:rsidRPr="002B55E9" w:rsidRDefault="00D170E5">
            <w:pPr>
              <w:snapToGrid w:val="0"/>
              <w:jc w:val="center"/>
              <w:rPr>
                <w:sz w:val="18"/>
                <w:szCs w:val="18"/>
              </w:rPr>
            </w:pPr>
          </w:p>
        </w:tc>
        <w:tc>
          <w:tcPr>
            <w:tcW w:w="1166" w:type="dxa"/>
            <w:vMerge/>
            <w:tcBorders>
              <w:top w:val="single" w:sz="4" w:space="0" w:color="auto"/>
              <w:left w:val="single" w:sz="6" w:space="0" w:color="auto"/>
              <w:bottom w:val="single" w:sz="12" w:space="0" w:color="auto"/>
              <w:right w:val="single" w:sz="6" w:space="0" w:color="auto"/>
            </w:tcBorders>
            <w:vAlign w:val="center"/>
          </w:tcPr>
          <w:p w14:paraId="2A5739A7" w14:textId="77777777" w:rsidR="00D170E5" w:rsidRPr="002B55E9" w:rsidRDefault="00D170E5">
            <w:pPr>
              <w:snapToGrid w:val="0"/>
              <w:jc w:val="center"/>
              <w:rPr>
                <w:sz w:val="18"/>
                <w:szCs w:val="18"/>
              </w:rPr>
            </w:pPr>
          </w:p>
        </w:tc>
        <w:tc>
          <w:tcPr>
            <w:tcW w:w="1166" w:type="dxa"/>
            <w:vMerge/>
            <w:tcBorders>
              <w:top w:val="single" w:sz="4" w:space="0" w:color="auto"/>
              <w:left w:val="single" w:sz="6" w:space="0" w:color="auto"/>
              <w:bottom w:val="single" w:sz="12" w:space="0" w:color="auto"/>
              <w:right w:val="single" w:sz="6" w:space="0" w:color="auto"/>
            </w:tcBorders>
            <w:vAlign w:val="center"/>
          </w:tcPr>
          <w:p w14:paraId="6F4B7D4D" w14:textId="77777777" w:rsidR="00D170E5" w:rsidRPr="002B55E9" w:rsidRDefault="00D170E5">
            <w:pPr>
              <w:snapToGrid w:val="0"/>
              <w:jc w:val="center"/>
              <w:rPr>
                <w:sz w:val="18"/>
                <w:szCs w:val="18"/>
              </w:rPr>
            </w:pPr>
          </w:p>
        </w:tc>
        <w:tc>
          <w:tcPr>
            <w:tcW w:w="1638" w:type="dxa"/>
            <w:vMerge/>
            <w:tcBorders>
              <w:top w:val="single" w:sz="4" w:space="0" w:color="auto"/>
              <w:left w:val="single" w:sz="6" w:space="0" w:color="auto"/>
              <w:bottom w:val="single" w:sz="12" w:space="0" w:color="auto"/>
              <w:right w:val="nil"/>
            </w:tcBorders>
            <w:vAlign w:val="center"/>
          </w:tcPr>
          <w:p w14:paraId="3E12F7AC" w14:textId="77777777" w:rsidR="00D170E5" w:rsidRPr="002B55E9" w:rsidRDefault="00D170E5">
            <w:pPr>
              <w:snapToGrid w:val="0"/>
              <w:jc w:val="center"/>
              <w:rPr>
                <w:sz w:val="18"/>
                <w:szCs w:val="18"/>
              </w:rPr>
            </w:pPr>
          </w:p>
        </w:tc>
      </w:tr>
      <w:tr w:rsidR="002B55E9" w:rsidRPr="002B55E9" w14:paraId="0D7DFC27" w14:textId="77777777">
        <w:trPr>
          <w:trHeight w:val="284"/>
        </w:trPr>
        <w:tc>
          <w:tcPr>
            <w:tcW w:w="671" w:type="dxa"/>
            <w:tcBorders>
              <w:top w:val="single" w:sz="12" w:space="0" w:color="auto"/>
              <w:left w:val="nil"/>
              <w:bottom w:val="single" w:sz="4" w:space="0" w:color="auto"/>
              <w:right w:val="single" w:sz="6" w:space="0" w:color="auto"/>
            </w:tcBorders>
            <w:vAlign w:val="center"/>
          </w:tcPr>
          <w:p w14:paraId="38546584" w14:textId="77777777" w:rsidR="00D170E5" w:rsidRPr="002B55E9" w:rsidRDefault="00EF27AD">
            <w:pPr>
              <w:pStyle w:val="affff6"/>
              <w:snapToGrid w:val="0"/>
              <w:rPr>
                <w:szCs w:val="18"/>
              </w:rPr>
            </w:pPr>
            <w:r w:rsidRPr="002B55E9">
              <w:rPr>
                <w:szCs w:val="18"/>
              </w:rPr>
              <w:t>1</w:t>
            </w:r>
          </w:p>
        </w:tc>
        <w:tc>
          <w:tcPr>
            <w:tcW w:w="1461" w:type="dxa"/>
            <w:tcBorders>
              <w:top w:val="single" w:sz="12" w:space="0" w:color="auto"/>
              <w:left w:val="single" w:sz="6" w:space="0" w:color="auto"/>
              <w:bottom w:val="single" w:sz="4" w:space="0" w:color="auto"/>
              <w:right w:val="single" w:sz="6" w:space="0" w:color="auto"/>
            </w:tcBorders>
            <w:vAlign w:val="center"/>
          </w:tcPr>
          <w:p w14:paraId="18C759B0" w14:textId="77777777" w:rsidR="00D170E5" w:rsidRPr="002B55E9" w:rsidRDefault="00EF27AD">
            <w:pPr>
              <w:snapToGrid w:val="0"/>
              <w:jc w:val="center"/>
              <w:rPr>
                <w:sz w:val="18"/>
                <w:szCs w:val="18"/>
              </w:rPr>
            </w:pPr>
            <w:r w:rsidRPr="002B55E9">
              <w:rPr>
                <w:sz w:val="18"/>
                <w:szCs w:val="18"/>
              </w:rPr>
              <w:t>113.98389896</w:t>
            </w:r>
          </w:p>
        </w:tc>
        <w:tc>
          <w:tcPr>
            <w:tcW w:w="1338" w:type="dxa"/>
            <w:tcBorders>
              <w:top w:val="single" w:sz="12" w:space="0" w:color="auto"/>
              <w:left w:val="single" w:sz="6" w:space="0" w:color="auto"/>
              <w:bottom w:val="single" w:sz="4" w:space="0" w:color="auto"/>
              <w:right w:val="single" w:sz="6" w:space="0" w:color="auto"/>
            </w:tcBorders>
            <w:vAlign w:val="center"/>
          </w:tcPr>
          <w:p w14:paraId="32C87B85" w14:textId="77777777" w:rsidR="00D170E5" w:rsidRPr="002B55E9" w:rsidRDefault="00EF27AD">
            <w:pPr>
              <w:snapToGrid w:val="0"/>
              <w:jc w:val="center"/>
              <w:rPr>
                <w:sz w:val="18"/>
                <w:szCs w:val="18"/>
              </w:rPr>
            </w:pPr>
            <w:r w:rsidRPr="002B55E9">
              <w:rPr>
                <w:sz w:val="18"/>
                <w:szCs w:val="18"/>
              </w:rPr>
              <w:t>30.68400177</w:t>
            </w:r>
          </w:p>
        </w:tc>
        <w:tc>
          <w:tcPr>
            <w:tcW w:w="2197" w:type="dxa"/>
            <w:tcBorders>
              <w:top w:val="single" w:sz="12" w:space="0" w:color="auto"/>
              <w:left w:val="single" w:sz="6" w:space="0" w:color="auto"/>
              <w:bottom w:val="single" w:sz="4" w:space="0" w:color="auto"/>
              <w:right w:val="single" w:sz="6" w:space="0" w:color="auto"/>
            </w:tcBorders>
            <w:vAlign w:val="center"/>
          </w:tcPr>
          <w:p w14:paraId="50377B33" w14:textId="77777777" w:rsidR="00D170E5" w:rsidRPr="002B55E9" w:rsidRDefault="00EF27AD">
            <w:pPr>
              <w:pStyle w:val="affff6"/>
              <w:snapToGrid w:val="0"/>
              <w:ind w:left="-105" w:right="-105"/>
              <w:rPr>
                <w:szCs w:val="18"/>
              </w:rPr>
            </w:pPr>
            <w:r w:rsidRPr="002B55E9">
              <w:rPr>
                <w:rFonts w:hint="eastAsia"/>
                <w:szCs w:val="18"/>
              </w:rPr>
              <w:t>燕岭社区</w:t>
            </w:r>
          </w:p>
        </w:tc>
        <w:tc>
          <w:tcPr>
            <w:tcW w:w="1166" w:type="dxa"/>
            <w:tcBorders>
              <w:top w:val="single" w:sz="12" w:space="0" w:color="auto"/>
              <w:left w:val="single" w:sz="6" w:space="0" w:color="auto"/>
              <w:bottom w:val="single" w:sz="4" w:space="0" w:color="auto"/>
              <w:right w:val="single" w:sz="6" w:space="0" w:color="auto"/>
            </w:tcBorders>
            <w:vAlign w:val="center"/>
          </w:tcPr>
          <w:p w14:paraId="7B7E4437" w14:textId="77777777" w:rsidR="00D170E5" w:rsidRPr="002B55E9" w:rsidRDefault="00EF27AD">
            <w:pPr>
              <w:snapToGrid w:val="0"/>
              <w:jc w:val="center"/>
              <w:rPr>
                <w:sz w:val="18"/>
                <w:szCs w:val="18"/>
              </w:rPr>
            </w:pPr>
            <w:r w:rsidRPr="002B55E9">
              <w:rPr>
                <w:rFonts w:hint="eastAsia"/>
                <w:sz w:val="18"/>
                <w:szCs w:val="18"/>
              </w:rPr>
              <w:t>3000</w:t>
            </w:r>
          </w:p>
        </w:tc>
        <w:tc>
          <w:tcPr>
            <w:tcW w:w="1166" w:type="dxa"/>
            <w:tcBorders>
              <w:top w:val="single" w:sz="12" w:space="0" w:color="auto"/>
              <w:left w:val="single" w:sz="6" w:space="0" w:color="auto"/>
              <w:bottom w:val="single" w:sz="4" w:space="0" w:color="auto"/>
              <w:right w:val="single" w:sz="6" w:space="0" w:color="auto"/>
            </w:tcBorders>
            <w:vAlign w:val="center"/>
          </w:tcPr>
          <w:p w14:paraId="360BF960"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12" w:space="0" w:color="auto"/>
              <w:left w:val="single" w:sz="6" w:space="0" w:color="auto"/>
              <w:bottom w:val="single" w:sz="4" w:space="0" w:color="auto"/>
              <w:right w:val="nil"/>
            </w:tcBorders>
            <w:vAlign w:val="center"/>
          </w:tcPr>
          <w:p w14:paraId="046ABA69" w14:textId="77777777" w:rsidR="00D170E5" w:rsidRPr="002B55E9" w:rsidRDefault="00EF27AD">
            <w:pPr>
              <w:adjustRightInd w:val="0"/>
              <w:snapToGrid w:val="0"/>
              <w:ind w:leftChars="-50" w:left="-100" w:rightChars="-50" w:right="-100"/>
              <w:jc w:val="center"/>
              <w:rPr>
                <w:sz w:val="18"/>
                <w:szCs w:val="18"/>
              </w:rPr>
            </w:pPr>
            <w:r w:rsidRPr="002B55E9">
              <w:rPr>
                <w:sz w:val="18"/>
                <w:szCs w:val="18"/>
              </w:rPr>
              <w:t>800</w:t>
            </w:r>
          </w:p>
        </w:tc>
      </w:tr>
      <w:tr w:rsidR="002B55E9" w:rsidRPr="002B55E9" w14:paraId="1A716A2E" w14:textId="77777777">
        <w:trPr>
          <w:trHeight w:val="284"/>
        </w:trPr>
        <w:tc>
          <w:tcPr>
            <w:tcW w:w="671" w:type="dxa"/>
            <w:tcBorders>
              <w:top w:val="single" w:sz="4" w:space="0" w:color="auto"/>
              <w:left w:val="nil"/>
              <w:bottom w:val="single" w:sz="4" w:space="0" w:color="auto"/>
              <w:right w:val="single" w:sz="6" w:space="0" w:color="auto"/>
            </w:tcBorders>
            <w:vAlign w:val="center"/>
          </w:tcPr>
          <w:p w14:paraId="353F2BE0" w14:textId="77777777" w:rsidR="00D170E5" w:rsidRPr="002B55E9" w:rsidRDefault="00EF27AD">
            <w:pPr>
              <w:pStyle w:val="affff6"/>
              <w:snapToGrid w:val="0"/>
              <w:rPr>
                <w:szCs w:val="18"/>
              </w:rPr>
            </w:pPr>
            <w:r w:rsidRPr="002B55E9">
              <w:rPr>
                <w:szCs w:val="18"/>
              </w:rPr>
              <w:t>2</w:t>
            </w:r>
          </w:p>
        </w:tc>
        <w:tc>
          <w:tcPr>
            <w:tcW w:w="1461" w:type="dxa"/>
            <w:tcBorders>
              <w:top w:val="single" w:sz="4" w:space="0" w:color="auto"/>
              <w:left w:val="single" w:sz="6" w:space="0" w:color="auto"/>
              <w:bottom w:val="single" w:sz="4" w:space="0" w:color="auto"/>
              <w:right w:val="single" w:sz="6" w:space="0" w:color="auto"/>
            </w:tcBorders>
            <w:vAlign w:val="center"/>
          </w:tcPr>
          <w:p w14:paraId="538303B2" w14:textId="77777777" w:rsidR="00D170E5" w:rsidRPr="002B55E9" w:rsidRDefault="00EF27AD">
            <w:pPr>
              <w:snapToGrid w:val="0"/>
              <w:jc w:val="center"/>
              <w:rPr>
                <w:sz w:val="18"/>
                <w:szCs w:val="18"/>
              </w:rPr>
            </w:pPr>
            <w:r w:rsidRPr="002B55E9">
              <w:rPr>
                <w:sz w:val="18"/>
                <w:szCs w:val="18"/>
              </w:rPr>
              <w:t>114.01169653</w:t>
            </w:r>
          </w:p>
        </w:tc>
        <w:tc>
          <w:tcPr>
            <w:tcW w:w="1338" w:type="dxa"/>
            <w:tcBorders>
              <w:top w:val="single" w:sz="4" w:space="0" w:color="auto"/>
              <w:left w:val="single" w:sz="6" w:space="0" w:color="auto"/>
              <w:bottom w:val="single" w:sz="4" w:space="0" w:color="auto"/>
              <w:right w:val="single" w:sz="6" w:space="0" w:color="auto"/>
            </w:tcBorders>
            <w:vAlign w:val="center"/>
          </w:tcPr>
          <w:p w14:paraId="64319CE7" w14:textId="77777777" w:rsidR="00D170E5" w:rsidRPr="002B55E9" w:rsidRDefault="00EF27AD">
            <w:pPr>
              <w:snapToGrid w:val="0"/>
              <w:jc w:val="center"/>
              <w:rPr>
                <w:rFonts w:eastAsia="等线"/>
                <w:sz w:val="18"/>
                <w:szCs w:val="18"/>
              </w:rPr>
            </w:pPr>
            <w:r w:rsidRPr="002B55E9">
              <w:rPr>
                <w:rFonts w:eastAsia="等线"/>
                <w:sz w:val="18"/>
                <w:szCs w:val="18"/>
              </w:rPr>
              <w:t>30.68689067</w:t>
            </w:r>
          </w:p>
        </w:tc>
        <w:tc>
          <w:tcPr>
            <w:tcW w:w="2197" w:type="dxa"/>
            <w:tcBorders>
              <w:top w:val="single" w:sz="4" w:space="0" w:color="auto"/>
              <w:left w:val="single" w:sz="6" w:space="0" w:color="auto"/>
              <w:bottom w:val="single" w:sz="4" w:space="0" w:color="auto"/>
              <w:right w:val="single" w:sz="6" w:space="0" w:color="auto"/>
            </w:tcBorders>
            <w:vAlign w:val="center"/>
          </w:tcPr>
          <w:p w14:paraId="5E5D3091" w14:textId="75658492" w:rsidR="00D170E5" w:rsidRPr="002B55E9" w:rsidRDefault="0054398B">
            <w:pPr>
              <w:snapToGrid w:val="0"/>
              <w:jc w:val="center"/>
              <w:rPr>
                <w:sz w:val="18"/>
                <w:szCs w:val="18"/>
              </w:rPr>
            </w:pPr>
            <w:r w:rsidRPr="002B55E9">
              <w:rPr>
                <w:rFonts w:hint="eastAsia"/>
                <w:sz w:val="18"/>
                <w:szCs w:val="18"/>
              </w:rPr>
              <w:t>莲港村</w:t>
            </w:r>
          </w:p>
        </w:tc>
        <w:tc>
          <w:tcPr>
            <w:tcW w:w="1166" w:type="dxa"/>
            <w:tcBorders>
              <w:top w:val="single" w:sz="4" w:space="0" w:color="auto"/>
              <w:left w:val="single" w:sz="6" w:space="0" w:color="auto"/>
              <w:bottom w:val="single" w:sz="4" w:space="0" w:color="auto"/>
              <w:right w:val="single" w:sz="6" w:space="0" w:color="auto"/>
            </w:tcBorders>
            <w:vAlign w:val="center"/>
          </w:tcPr>
          <w:p w14:paraId="381D2509" w14:textId="77777777" w:rsidR="00D170E5" w:rsidRPr="002B55E9" w:rsidRDefault="00EF27AD">
            <w:pPr>
              <w:snapToGrid w:val="0"/>
              <w:jc w:val="center"/>
              <w:rPr>
                <w:sz w:val="18"/>
                <w:szCs w:val="18"/>
              </w:rPr>
            </w:pPr>
            <w:r w:rsidRPr="002B55E9">
              <w:rPr>
                <w:rFonts w:hint="eastAsia"/>
                <w:sz w:val="18"/>
                <w:szCs w:val="18"/>
              </w:rPr>
              <w:t>400</w:t>
            </w:r>
          </w:p>
        </w:tc>
        <w:tc>
          <w:tcPr>
            <w:tcW w:w="1166" w:type="dxa"/>
            <w:tcBorders>
              <w:top w:val="single" w:sz="4" w:space="0" w:color="auto"/>
              <w:left w:val="single" w:sz="6" w:space="0" w:color="auto"/>
              <w:bottom w:val="single" w:sz="4" w:space="0" w:color="auto"/>
              <w:right w:val="single" w:sz="6" w:space="0" w:color="auto"/>
            </w:tcBorders>
            <w:vAlign w:val="center"/>
          </w:tcPr>
          <w:p w14:paraId="5122957F" w14:textId="77777777" w:rsidR="00D170E5" w:rsidRPr="002B55E9" w:rsidRDefault="00EF27AD">
            <w:pPr>
              <w:snapToGrid w:val="0"/>
              <w:jc w:val="center"/>
              <w:rPr>
                <w:sz w:val="18"/>
                <w:szCs w:val="18"/>
              </w:rPr>
            </w:pPr>
            <w:r w:rsidRPr="002B55E9">
              <w:rPr>
                <w:rFonts w:hint="eastAsia"/>
                <w:sz w:val="18"/>
                <w:szCs w:val="18"/>
              </w:rPr>
              <w:t>东北</w:t>
            </w:r>
          </w:p>
        </w:tc>
        <w:tc>
          <w:tcPr>
            <w:tcW w:w="1638" w:type="dxa"/>
            <w:tcBorders>
              <w:top w:val="single" w:sz="4" w:space="0" w:color="auto"/>
              <w:left w:val="single" w:sz="6" w:space="0" w:color="auto"/>
              <w:bottom w:val="single" w:sz="4" w:space="0" w:color="auto"/>
              <w:right w:val="nil"/>
            </w:tcBorders>
            <w:vAlign w:val="center"/>
          </w:tcPr>
          <w:p w14:paraId="36CE111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w:t>
            </w:r>
            <w:r w:rsidRPr="002B55E9">
              <w:rPr>
                <w:sz w:val="18"/>
                <w:szCs w:val="18"/>
              </w:rPr>
              <w:t>800</w:t>
            </w:r>
          </w:p>
        </w:tc>
      </w:tr>
      <w:tr w:rsidR="002B55E9" w:rsidRPr="002B55E9" w14:paraId="280F89B3" w14:textId="77777777">
        <w:trPr>
          <w:trHeight w:val="284"/>
        </w:trPr>
        <w:tc>
          <w:tcPr>
            <w:tcW w:w="671" w:type="dxa"/>
            <w:tcBorders>
              <w:top w:val="single" w:sz="4" w:space="0" w:color="auto"/>
              <w:left w:val="nil"/>
              <w:bottom w:val="single" w:sz="4" w:space="0" w:color="auto"/>
              <w:right w:val="single" w:sz="6" w:space="0" w:color="auto"/>
            </w:tcBorders>
            <w:vAlign w:val="center"/>
          </w:tcPr>
          <w:p w14:paraId="0C03389C" w14:textId="77777777" w:rsidR="00D170E5" w:rsidRPr="002B55E9" w:rsidRDefault="00EF27AD">
            <w:pPr>
              <w:pStyle w:val="affff6"/>
              <w:snapToGrid w:val="0"/>
              <w:rPr>
                <w:szCs w:val="18"/>
              </w:rPr>
            </w:pPr>
            <w:r w:rsidRPr="002B55E9">
              <w:rPr>
                <w:szCs w:val="18"/>
              </w:rPr>
              <w:t>3</w:t>
            </w:r>
          </w:p>
        </w:tc>
        <w:tc>
          <w:tcPr>
            <w:tcW w:w="1461" w:type="dxa"/>
            <w:tcBorders>
              <w:top w:val="single" w:sz="4" w:space="0" w:color="auto"/>
              <w:left w:val="single" w:sz="6" w:space="0" w:color="auto"/>
              <w:bottom w:val="single" w:sz="4" w:space="0" w:color="auto"/>
              <w:right w:val="single" w:sz="6" w:space="0" w:color="auto"/>
            </w:tcBorders>
            <w:vAlign w:val="center"/>
          </w:tcPr>
          <w:p w14:paraId="729F809A" w14:textId="77777777" w:rsidR="00D170E5" w:rsidRPr="002B55E9" w:rsidRDefault="00EF27AD">
            <w:pPr>
              <w:snapToGrid w:val="0"/>
              <w:jc w:val="center"/>
              <w:rPr>
                <w:sz w:val="18"/>
                <w:szCs w:val="18"/>
              </w:rPr>
            </w:pPr>
            <w:r w:rsidRPr="002B55E9">
              <w:rPr>
                <w:sz w:val="18"/>
                <w:szCs w:val="18"/>
              </w:rPr>
              <w:t>114.01350296</w:t>
            </w:r>
          </w:p>
        </w:tc>
        <w:tc>
          <w:tcPr>
            <w:tcW w:w="1338" w:type="dxa"/>
            <w:tcBorders>
              <w:top w:val="single" w:sz="4" w:space="0" w:color="auto"/>
              <w:left w:val="single" w:sz="6" w:space="0" w:color="auto"/>
              <w:bottom w:val="single" w:sz="4" w:space="0" w:color="auto"/>
              <w:right w:val="single" w:sz="6" w:space="0" w:color="auto"/>
            </w:tcBorders>
            <w:vAlign w:val="center"/>
          </w:tcPr>
          <w:p w14:paraId="6C157C2B" w14:textId="77777777" w:rsidR="00D170E5" w:rsidRPr="002B55E9" w:rsidRDefault="00EF27AD">
            <w:pPr>
              <w:snapToGrid w:val="0"/>
              <w:jc w:val="center"/>
              <w:rPr>
                <w:sz w:val="18"/>
                <w:szCs w:val="18"/>
              </w:rPr>
            </w:pPr>
            <w:r w:rsidRPr="002B55E9">
              <w:rPr>
                <w:sz w:val="18"/>
                <w:szCs w:val="18"/>
              </w:rPr>
              <w:t>30.67677889</w:t>
            </w:r>
          </w:p>
        </w:tc>
        <w:tc>
          <w:tcPr>
            <w:tcW w:w="2197" w:type="dxa"/>
            <w:tcBorders>
              <w:top w:val="single" w:sz="4" w:space="0" w:color="auto"/>
              <w:left w:val="single" w:sz="6" w:space="0" w:color="auto"/>
              <w:bottom w:val="single" w:sz="4" w:space="0" w:color="auto"/>
              <w:right w:val="single" w:sz="6" w:space="0" w:color="auto"/>
            </w:tcBorders>
            <w:vAlign w:val="center"/>
          </w:tcPr>
          <w:p w14:paraId="0F4970F0" w14:textId="77777777" w:rsidR="00D170E5" w:rsidRPr="002B55E9" w:rsidRDefault="00EF27AD">
            <w:pPr>
              <w:snapToGrid w:val="0"/>
              <w:jc w:val="center"/>
              <w:rPr>
                <w:sz w:val="18"/>
                <w:szCs w:val="18"/>
              </w:rPr>
            </w:pPr>
            <w:r w:rsidRPr="002B55E9">
              <w:rPr>
                <w:rFonts w:hint="eastAsia"/>
                <w:sz w:val="18"/>
                <w:szCs w:val="18"/>
              </w:rPr>
              <w:t>新池村</w:t>
            </w:r>
          </w:p>
        </w:tc>
        <w:tc>
          <w:tcPr>
            <w:tcW w:w="1166" w:type="dxa"/>
            <w:tcBorders>
              <w:top w:val="single" w:sz="4" w:space="0" w:color="auto"/>
              <w:left w:val="single" w:sz="6" w:space="0" w:color="auto"/>
              <w:bottom w:val="single" w:sz="4" w:space="0" w:color="auto"/>
              <w:right w:val="single" w:sz="6" w:space="0" w:color="auto"/>
            </w:tcBorders>
            <w:vAlign w:val="center"/>
          </w:tcPr>
          <w:p w14:paraId="0F7E6FA5" w14:textId="77777777" w:rsidR="00D170E5" w:rsidRPr="002B55E9" w:rsidRDefault="00EF27AD">
            <w:pPr>
              <w:snapToGrid w:val="0"/>
              <w:jc w:val="center"/>
              <w:rPr>
                <w:sz w:val="18"/>
                <w:szCs w:val="18"/>
              </w:rPr>
            </w:pPr>
            <w:r w:rsidRPr="002B55E9">
              <w:rPr>
                <w:rFonts w:hint="eastAsia"/>
                <w:sz w:val="18"/>
                <w:szCs w:val="18"/>
              </w:rPr>
              <w:t>200</w:t>
            </w:r>
          </w:p>
        </w:tc>
        <w:tc>
          <w:tcPr>
            <w:tcW w:w="1166" w:type="dxa"/>
            <w:tcBorders>
              <w:top w:val="single" w:sz="4" w:space="0" w:color="auto"/>
              <w:left w:val="single" w:sz="6" w:space="0" w:color="auto"/>
              <w:bottom w:val="single" w:sz="4" w:space="0" w:color="auto"/>
              <w:right w:val="single" w:sz="6" w:space="0" w:color="auto"/>
            </w:tcBorders>
            <w:vAlign w:val="center"/>
          </w:tcPr>
          <w:p w14:paraId="008DD939" w14:textId="77777777" w:rsidR="00D170E5" w:rsidRPr="002B55E9" w:rsidRDefault="00EF27AD">
            <w:pPr>
              <w:snapToGrid w:val="0"/>
              <w:jc w:val="center"/>
              <w:rPr>
                <w:sz w:val="18"/>
                <w:szCs w:val="18"/>
              </w:rPr>
            </w:pPr>
            <w:r w:rsidRPr="002B55E9">
              <w:rPr>
                <w:rFonts w:hint="eastAsia"/>
                <w:sz w:val="18"/>
                <w:szCs w:val="18"/>
              </w:rPr>
              <w:t>东</w:t>
            </w:r>
          </w:p>
        </w:tc>
        <w:tc>
          <w:tcPr>
            <w:tcW w:w="1638" w:type="dxa"/>
            <w:tcBorders>
              <w:top w:val="single" w:sz="4" w:space="0" w:color="auto"/>
              <w:left w:val="single" w:sz="6" w:space="0" w:color="auto"/>
              <w:bottom w:val="single" w:sz="4" w:space="0" w:color="auto"/>
              <w:right w:val="nil"/>
            </w:tcBorders>
            <w:vAlign w:val="center"/>
          </w:tcPr>
          <w:p w14:paraId="5CD30FBC"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w:t>
            </w:r>
            <w:r w:rsidRPr="002B55E9">
              <w:rPr>
                <w:sz w:val="18"/>
                <w:szCs w:val="18"/>
              </w:rPr>
              <w:t>700</w:t>
            </w:r>
          </w:p>
        </w:tc>
      </w:tr>
      <w:tr w:rsidR="002B55E9" w:rsidRPr="002B55E9" w14:paraId="3F106049" w14:textId="77777777">
        <w:trPr>
          <w:trHeight w:val="284"/>
        </w:trPr>
        <w:tc>
          <w:tcPr>
            <w:tcW w:w="671" w:type="dxa"/>
            <w:tcBorders>
              <w:top w:val="single" w:sz="4" w:space="0" w:color="auto"/>
              <w:left w:val="nil"/>
              <w:bottom w:val="single" w:sz="4" w:space="0" w:color="auto"/>
              <w:right w:val="single" w:sz="6" w:space="0" w:color="auto"/>
            </w:tcBorders>
            <w:vAlign w:val="center"/>
          </w:tcPr>
          <w:p w14:paraId="77225444" w14:textId="77777777" w:rsidR="00D170E5" w:rsidRPr="002B55E9" w:rsidRDefault="00EF27AD">
            <w:pPr>
              <w:pStyle w:val="affff6"/>
              <w:snapToGrid w:val="0"/>
              <w:rPr>
                <w:szCs w:val="18"/>
              </w:rPr>
            </w:pPr>
            <w:r w:rsidRPr="002B55E9">
              <w:rPr>
                <w:szCs w:val="18"/>
              </w:rPr>
              <w:t>4</w:t>
            </w:r>
          </w:p>
        </w:tc>
        <w:tc>
          <w:tcPr>
            <w:tcW w:w="1461" w:type="dxa"/>
            <w:tcBorders>
              <w:top w:val="single" w:sz="4" w:space="0" w:color="auto"/>
              <w:left w:val="single" w:sz="6" w:space="0" w:color="auto"/>
              <w:bottom w:val="single" w:sz="4" w:space="0" w:color="auto"/>
              <w:right w:val="single" w:sz="6" w:space="0" w:color="auto"/>
            </w:tcBorders>
            <w:vAlign w:val="center"/>
          </w:tcPr>
          <w:p w14:paraId="7B07B667" w14:textId="77777777" w:rsidR="00D170E5" w:rsidRPr="002B55E9" w:rsidRDefault="00EF27AD">
            <w:pPr>
              <w:snapToGrid w:val="0"/>
              <w:jc w:val="center"/>
              <w:rPr>
                <w:sz w:val="18"/>
                <w:szCs w:val="18"/>
              </w:rPr>
            </w:pPr>
            <w:r w:rsidRPr="002B55E9">
              <w:rPr>
                <w:sz w:val="18"/>
                <w:szCs w:val="18"/>
              </w:rPr>
              <w:t>114.01737431</w:t>
            </w:r>
          </w:p>
        </w:tc>
        <w:tc>
          <w:tcPr>
            <w:tcW w:w="1338" w:type="dxa"/>
            <w:tcBorders>
              <w:top w:val="single" w:sz="4" w:space="0" w:color="auto"/>
              <w:left w:val="single" w:sz="6" w:space="0" w:color="auto"/>
              <w:bottom w:val="single" w:sz="4" w:space="0" w:color="auto"/>
              <w:right w:val="single" w:sz="6" w:space="0" w:color="auto"/>
            </w:tcBorders>
            <w:vAlign w:val="center"/>
          </w:tcPr>
          <w:p w14:paraId="71ED7770" w14:textId="77777777" w:rsidR="00D170E5" w:rsidRPr="002B55E9" w:rsidRDefault="00EF27AD">
            <w:pPr>
              <w:snapToGrid w:val="0"/>
              <w:jc w:val="center"/>
              <w:rPr>
                <w:rFonts w:eastAsia="等线"/>
                <w:sz w:val="18"/>
                <w:szCs w:val="18"/>
              </w:rPr>
            </w:pPr>
            <w:r w:rsidRPr="002B55E9">
              <w:rPr>
                <w:rFonts w:eastAsia="等线"/>
                <w:sz w:val="18"/>
                <w:szCs w:val="18"/>
              </w:rPr>
              <w:t>30.66105885</w:t>
            </w:r>
          </w:p>
        </w:tc>
        <w:tc>
          <w:tcPr>
            <w:tcW w:w="2197" w:type="dxa"/>
            <w:tcBorders>
              <w:top w:val="single" w:sz="4" w:space="0" w:color="auto"/>
              <w:left w:val="single" w:sz="6" w:space="0" w:color="auto"/>
              <w:bottom w:val="single" w:sz="4" w:space="0" w:color="auto"/>
              <w:right w:val="single" w:sz="6" w:space="0" w:color="auto"/>
            </w:tcBorders>
            <w:vAlign w:val="center"/>
          </w:tcPr>
          <w:p w14:paraId="3E0C04CA" w14:textId="77777777" w:rsidR="00D170E5" w:rsidRPr="002B55E9" w:rsidRDefault="00EF27AD">
            <w:pPr>
              <w:snapToGrid w:val="0"/>
              <w:jc w:val="center"/>
              <w:rPr>
                <w:sz w:val="18"/>
                <w:szCs w:val="18"/>
              </w:rPr>
            </w:pPr>
            <w:r w:rsidRPr="002B55E9">
              <w:rPr>
                <w:rFonts w:hint="eastAsia"/>
                <w:sz w:val="18"/>
                <w:szCs w:val="18"/>
              </w:rPr>
              <w:t>汉湖村</w:t>
            </w:r>
          </w:p>
        </w:tc>
        <w:tc>
          <w:tcPr>
            <w:tcW w:w="1166" w:type="dxa"/>
            <w:tcBorders>
              <w:top w:val="single" w:sz="4" w:space="0" w:color="auto"/>
              <w:left w:val="single" w:sz="6" w:space="0" w:color="auto"/>
              <w:bottom w:val="single" w:sz="4" w:space="0" w:color="auto"/>
              <w:right w:val="single" w:sz="6" w:space="0" w:color="auto"/>
            </w:tcBorders>
            <w:vAlign w:val="center"/>
          </w:tcPr>
          <w:p w14:paraId="6E209205" w14:textId="77777777" w:rsidR="00D170E5" w:rsidRPr="002B55E9" w:rsidRDefault="00EF27AD">
            <w:pPr>
              <w:snapToGrid w:val="0"/>
              <w:jc w:val="center"/>
              <w:rPr>
                <w:sz w:val="18"/>
                <w:szCs w:val="18"/>
              </w:rPr>
            </w:pPr>
            <w:r w:rsidRPr="002B55E9">
              <w:rPr>
                <w:rFonts w:hint="eastAsia"/>
                <w:sz w:val="18"/>
                <w:szCs w:val="18"/>
              </w:rPr>
              <w:t>60</w:t>
            </w:r>
          </w:p>
        </w:tc>
        <w:tc>
          <w:tcPr>
            <w:tcW w:w="1166" w:type="dxa"/>
            <w:tcBorders>
              <w:top w:val="single" w:sz="4" w:space="0" w:color="auto"/>
              <w:left w:val="single" w:sz="6" w:space="0" w:color="auto"/>
              <w:bottom w:val="single" w:sz="4" w:space="0" w:color="auto"/>
              <w:right w:val="single" w:sz="6" w:space="0" w:color="auto"/>
            </w:tcBorders>
            <w:vAlign w:val="center"/>
          </w:tcPr>
          <w:p w14:paraId="728EC572" w14:textId="77777777" w:rsidR="00D170E5" w:rsidRPr="002B55E9" w:rsidRDefault="00EF27AD">
            <w:pPr>
              <w:snapToGrid w:val="0"/>
              <w:jc w:val="center"/>
              <w:rPr>
                <w:sz w:val="18"/>
                <w:szCs w:val="18"/>
              </w:rP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6A399B86" w14:textId="5D25613E" w:rsidR="00D170E5" w:rsidRPr="002B55E9" w:rsidRDefault="0054398B">
            <w:pPr>
              <w:adjustRightInd w:val="0"/>
              <w:snapToGrid w:val="0"/>
              <w:ind w:leftChars="-50" w:left="-100" w:rightChars="-50" w:right="-100"/>
              <w:jc w:val="center"/>
              <w:rPr>
                <w:sz w:val="18"/>
                <w:szCs w:val="18"/>
              </w:rPr>
            </w:pPr>
            <w:r w:rsidRPr="002B55E9">
              <w:rPr>
                <w:sz w:val="18"/>
                <w:szCs w:val="18"/>
              </w:rPr>
              <w:t>2460</w:t>
            </w:r>
          </w:p>
        </w:tc>
      </w:tr>
      <w:tr w:rsidR="002B55E9" w:rsidRPr="002B55E9" w14:paraId="3A2D722B" w14:textId="77777777">
        <w:trPr>
          <w:trHeight w:val="284"/>
        </w:trPr>
        <w:tc>
          <w:tcPr>
            <w:tcW w:w="671" w:type="dxa"/>
            <w:tcBorders>
              <w:top w:val="single" w:sz="4" w:space="0" w:color="auto"/>
              <w:left w:val="nil"/>
              <w:bottom w:val="single" w:sz="4" w:space="0" w:color="auto"/>
              <w:right w:val="single" w:sz="6" w:space="0" w:color="auto"/>
            </w:tcBorders>
            <w:vAlign w:val="center"/>
          </w:tcPr>
          <w:p w14:paraId="724AACFA" w14:textId="77777777" w:rsidR="00D170E5" w:rsidRPr="002B55E9" w:rsidRDefault="00EF27AD">
            <w:pPr>
              <w:pStyle w:val="affff6"/>
              <w:snapToGrid w:val="0"/>
              <w:rPr>
                <w:szCs w:val="18"/>
              </w:rPr>
            </w:pPr>
            <w:r w:rsidRPr="002B55E9">
              <w:rPr>
                <w:szCs w:val="18"/>
              </w:rPr>
              <w:t>5</w:t>
            </w:r>
          </w:p>
        </w:tc>
        <w:tc>
          <w:tcPr>
            <w:tcW w:w="1461" w:type="dxa"/>
            <w:tcBorders>
              <w:top w:val="single" w:sz="4" w:space="0" w:color="auto"/>
              <w:left w:val="single" w:sz="6" w:space="0" w:color="auto"/>
              <w:bottom w:val="single" w:sz="4" w:space="0" w:color="auto"/>
              <w:right w:val="single" w:sz="6" w:space="0" w:color="auto"/>
            </w:tcBorders>
            <w:vAlign w:val="center"/>
          </w:tcPr>
          <w:p w14:paraId="35DAF891" w14:textId="77777777" w:rsidR="00D170E5" w:rsidRPr="002B55E9" w:rsidRDefault="00EF27AD">
            <w:pPr>
              <w:snapToGrid w:val="0"/>
              <w:jc w:val="center"/>
              <w:rPr>
                <w:sz w:val="18"/>
                <w:szCs w:val="18"/>
              </w:rPr>
            </w:pPr>
            <w:r w:rsidRPr="002B55E9">
              <w:rPr>
                <w:sz w:val="18"/>
                <w:szCs w:val="18"/>
              </w:rPr>
              <w:t>113.97735758</w:t>
            </w:r>
          </w:p>
        </w:tc>
        <w:tc>
          <w:tcPr>
            <w:tcW w:w="1338" w:type="dxa"/>
            <w:tcBorders>
              <w:top w:val="single" w:sz="4" w:space="0" w:color="auto"/>
              <w:left w:val="single" w:sz="6" w:space="0" w:color="auto"/>
              <w:bottom w:val="single" w:sz="4" w:space="0" w:color="auto"/>
              <w:right w:val="single" w:sz="6" w:space="0" w:color="auto"/>
            </w:tcBorders>
            <w:vAlign w:val="center"/>
          </w:tcPr>
          <w:p w14:paraId="2C7EB55C" w14:textId="77777777" w:rsidR="00D170E5" w:rsidRPr="002B55E9" w:rsidRDefault="00EF27AD">
            <w:pPr>
              <w:snapToGrid w:val="0"/>
              <w:jc w:val="center"/>
              <w:rPr>
                <w:sz w:val="18"/>
                <w:szCs w:val="18"/>
              </w:rPr>
            </w:pPr>
            <w:r w:rsidRPr="002B55E9">
              <w:rPr>
                <w:sz w:val="18"/>
                <w:szCs w:val="18"/>
              </w:rPr>
              <w:t>30.65702613</w:t>
            </w:r>
          </w:p>
        </w:tc>
        <w:tc>
          <w:tcPr>
            <w:tcW w:w="2197" w:type="dxa"/>
            <w:tcBorders>
              <w:top w:val="single" w:sz="4" w:space="0" w:color="auto"/>
              <w:left w:val="single" w:sz="6" w:space="0" w:color="auto"/>
              <w:bottom w:val="single" w:sz="4" w:space="0" w:color="auto"/>
              <w:right w:val="single" w:sz="6" w:space="0" w:color="auto"/>
            </w:tcBorders>
            <w:vAlign w:val="center"/>
          </w:tcPr>
          <w:p w14:paraId="1400465E" w14:textId="77777777" w:rsidR="00D170E5" w:rsidRPr="002B55E9" w:rsidRDefault="00EF27AD">
            <w:pPr>
              <w:snapToGrid w:val="0"/>
              <w:jc w:val="center"/>
              <w:rPr>
                <w:sz w:val="18"/>
                <w:szCs w:val="18"/>
              </w:rPr>
            </w:pPr>
            <w:r w:rsidRPr="002B55E9">
              <w:rPr>
                <w:rFonts w:hint="eastAsia"/>
                <w:sz w:val="18"/>
                <w:szCs w:val="18"/>
              </w:rPr>
              <w:t>汉江湖畔小区</w:t>
            </w:r>
          </w:p>
        </w:tc>
        <w:tc>
          <w:tcPr>
            <w:tcW w:w="1166" w:type="dxa"/>
            <w:tcBorders>
              <w:top w:val="single" w:sz="4" w:space="0" w:color="auto"/>
              <w:left w:val="single" w:sz="6" w:space="0" w:color="auto"/>
              <w:bottom w:val="single" w:sz="4" w:space="0" w:color="auto"/>
              <w:right w:val="single" w:sz="6" w:space="0" w:color="auto"/>
            </w:tcBorders>
            <w:vAlign w:val="center"/>
          </w:tcPr>
          <w:p w14:paraId="6998439C" w14:textId="77777777" w:rsidR="00D170E5" w:rsidRPr="002B55E9" w:rsidRDefault="00EF27AD">
            <w:pPr>
              <w:snapToGrid w:val="0"/>
              <w:jc w:val="center"/>
              <w:rPr>
                <w:sz w:val="18"/>
                <w:szCs w:val="18"/>
              </w:rPr>
            </w:pPr>
            <w:r w:rsidRPr="002B55E9">
              <w:rPr>
                <w:rFonts w:hint="eastAsia"/>
                <w:sz w:val="18"/>
                <w:szCs w:val="18"/>
              </w:rPr>
              <w:t>3000</w:t>
            </w:r>
          </w:p>
        </w:tc>
        <w:tc>
          <w:tcPr>
            <w:tcW w:w="1166" w:type="dxa"/>
            <w:tcBorders>
              <w:top w:val="single" w:sz="4" w:space="0" w:color="auto"/>
              <w:left w:val="single" w:sz="6" w:space="0" w:color="auto"/>
              <w:bottom w:val="single" w:sz="4" w:space="0" w:color="auto"/>
              <w:right w:val="single" w:sz="6" w:space="0" w:color="auto"/>
            </w:tcBorders>
            <w:vAlign w:val="center"/>
          </w:tcPr>
          <w:p w14:paraId="1166B21C" w14:textId="77777777" w:rsidR="00D170E5" w:rsidRPr="002B55E9" w:rsidRDefault="00EF27AD">
            <w:pPr>
              <w:snapToGrid w:val="0"/>
              <w:jc w:val="center"/>
              <w:rPr>
                <w:sz w:val="18"/>
                <w:szCs w:val="18"/>
              </w:rP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2BCB8802" w14:textId="41D4F922" w:rsidR="00D170E5" w:rsidRPr="002B55E9" w:rsidRDefault="0054398B">
            <w:pPr>
              <w:adjustRightInd w:val="0"/>
              <w:snapToGrid w:val="0"/>
              <w:ind w:leftChars="-50" w:left="-100" w:rightChars="-50" w:right="-100"/>
              <w:jc w:val="center"/>
              <w:rPr>
                <w:sz w:val="18"/>
                <w:szCs w:val="18"/>
              </w:rPr>
            </w:pPr>
            <w:r w:rsidRPr="002B55E9">
              <w:rPr>
                <w:sz w:val="18"/>
                <w:szCs w:val="18"/>
              </w:rPr>
              <w:t>2200</w:t>
            </w:r>
          </w:p>
        </w:tc>
      </w:tr>
      <w:tr w:rsidR="002B55E9" w:rsidRPr="002B55E9" w14:paraId="1A41B676" w14:textId="77777777">
        <w:trPr>
          <w:trHeight w:val="284"/>
        </w:trPr>
        <w:tc>
          <w:tcPr>
            <w:tcW w:w="671" w:type="dxa"/>
            <w:tcBorders>
              <w:top w:val="single" w:sz="4" w:space="0" w:color="auto"/>
              <w:left w:val="nil"/>
              <w:bottom w:val="single" w:sz="4" w:space="0" w:color="auto"/>
              <w:right w:val="single" w:sz="6" w:space="0" w:color="auto"/>
            </w:tcBorders>
            <w:vAlign w:val="center"/>
          </w:tcPr>
          <w:p w14:paraId="7C81B35C" w14:textId="77777777" w:rsidR="00D170E5" w:rsidRPr="002B55E9" w:rsidRDefault="00EF27AD">
            <w:pPr>
              <w:pStyle w:val="affff6"/>
              <w:snapToGrid w:val="0"/>
              <w:rPr>
                <w:szCs w:val="18"/>
              </w:rPr>
            </w:pPr>
            <w:r w:rsidRPr="002B55E9">
              <w:rPr>
                <w:szCs w:val="18"/>
              </w:rPr>
              <w:t>6</w:t>
            </w:r>
          </w:p>
        </w:tc>
        <w:tc>
          <w:tcPr>
            <w:tcW w:w="1461" w:type="dxa"/>
            <w:tcBorders>
              <w:top w:val="single" w:sz="4" w:space="0" w:color="auto"/>
              <w:left w:val="single" w:sz="6" w:space="0" w:color="auto"/>
              <w:bottom w:val="single" w:sz="4" w:space="0" w:color="auto"/>
              <w:right w:val="single" w:sz="6" w:space="0" w:color="auto"/>
            </w:tcBorders>
            <w:vAlign w:val="center"/>
          </w:tcPr>
          <w:p w14:paraId="16CAC52A" w14:textId="77777777" w:rsidR="00D170E5" w:rsidRPr="002B55E9" w:rsidRDefault="00EF27AD">
            <w:pPr>
              <w:snapToGrid w:val="0"/>
              <w:jc w:val="center"/>
              <w:rPr>
                <w:sz w:val="18"/>
                <w:szCs w:val="18"/>
              </w:rPr>
            </w:pPr>
            <w:r w:rsidRPr="002B55E9">
              <w:rPr>
                <w:sz w:val="18"/>
                <w:szCs w:val="18"/>
              </w:rPr>
              <w:t>113.97107950</w:t>
            </w:r>
          </w:p>
        </w:tc>
        <w:tc>
          <w:tcPr>
            <w:tcW w:w="1338" w:type="dxa"/>
            <w:tcBorders>
              <w:top w:val="single" w:sz="4" w:space="0" w:color="auto"/>
              <w:left w:val="single" w:sz="6" w:space="0" w:color="auto"/>
              <w:bottom w:val="single" w:sz="4" w:space="0" w:color="auto"/>
              <w:right w:val="single" w:sz="6" w:space="0" w:color="auto"/>
            </w:tcBorders>
            <w:vAlign w:val="center"/>
          </w:tcPr>
          <w:p w14:paraId="7BFA8FBB" w14:textId="77777777" w:rsidR="00D170E5" w:rsidRPr="002B55E9" w:rsidRDefault="00EF27AD">
            <w:pPr>
              <w:snapToGrid w:val="0"/>
              <w:jc w:val="center"/>
              <w:rPr>
                <w:sz w:val="18"/>
                <w:szCs w:val="18"/>
              </w:rPr>
            </w:pPr>
            <w:r w:rsidRPr="002B55E9">
              <w:rPr>
                <w:sz w:val="18"/>
                <w:szCs w:val="18"/>
              </w:rPr>
              <w:t>30.67746839</w:t>
            </w:r>
          </w:p>
        </w:tc>
        <w:tc>
          <w:tcPr>
            <w:tcW w:w="2197" w:type="dxa"/>
            <w:tcBorders>
              <w:top w:val="single" w:sz="4" w:space="0" w:color="auto"/>
              <w:left w:val="single" w:sz="6" w:space="0" w:color="auto"/>
              <w:bottom w:val="single" w:sz="4" w:space="0" w:color="auto"/>
              <w:right w:val="single" w:sz="6" w:space="0" w:color="auto"/>
            </w:tcBorders>
            <w:vAlign w:val="center"/>
          </w:tcPr>
          <w:p w14:paraId="5668F0F8" w14:textId="77777777" w:rsidR="00D170E5" w:rsidRPr="002B55E9" w:rsidRDefault="00EF27AD">
            <w:pPr>
              <w:snapToGrid w:val="0"/>
              <w:jc w:val="center"/>
              <w:rPr>
                <w:sz w:val="18"/>
                <w:szCs w:val="18"/>
              </w:rPr>
            </w:pPr>
            <w:r w:rsidRPr="002B55E9">
              <w:rPr>
                <w:rFonts w:hint="eastAsia"/>
                <w:sz w:val="18"/>
                <w:szCs w:val="18"/>
              </w:rPr>
              <w:t>张彭家台村</w:t>
            </w:r>
          </w:p>
        </w:tc>
        <w:tc>
          <w:tcPr>
            <w:tcW w:w="1166" w:type="dxa"/>
            <w:tcBorders>
              <w:top w:val="single" w:sz="4" w:space="0" w:color="auto"/>
              <w:left w:val="single" w:sz="6" w:space="0" w:color="auto"/>
              <w:bottom w:val="single" w:sz="4" w:space="0" w:color="auto"/>
              <w:right w:val="single" w:sz="6" w:space="0" w:color="auto"/>
            </w:tcBorders>
            <w:vAlign w:val="center"/>
          </w:tcPr>
          <w:p w14:paraId="12F133A3" w14:textId="77777777" w:rsidR="00D170E5" w:rsidRPr="002B55E9" w:rsidRDefault="00EF27AD">
            <w:pPr>
              <w:snapToGrid w:val="0"/>
              <w:jc w:val="center"/>
              <w:rPr>
                <w:sz w:val="18"/>
                <w:szCs w:val="18"/>
              </w:rPr>
            </w:pPr>
            <w:r w:rsidRPr="002B55E9">
              <w:rPr>
                <w:rFonts w:hint="eastAsia"/>
                <w:sz w:val="18"/>
                <w:szCs w:val="18"/>
              </w:rPr>
              <w:t>200</w:t>
            </w:r>
          </w:p>
        </w:tc>
        <w:tc>
          <w:tcPr>
            <w:tcW w:w="1166" w:type="dxa"/>
            <w:tcBorders>
              <w:top w:val="single" w:sz="4" w:space="0" w:color="auto"/>
              <w:left w:val="single" w:sz="6" w:space="0" w:color="auto"/>
              <w:bottom w:val="single" w:sz="4" w:space="0" w:color="auto"/>
              <w:right w:val="single" w:sz="6" w:space="0" w:color="auto"/>
            </w:tcBorders>
            <w:vAlign w:val="center"/>
          </w:tcPr>
          <w:p w14:paraId="4A56AA03"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79C51EF6"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w:t>
            </w:r>
            <w:r w:rsidRPr="002B55E9">
              <w:rPr>
                <w:sz w:val="18"/>
                <w:szCs w:val="18"/>
              </w:rPr>
              <w:t>900</w:t>
            </w:r>
          </w:p>
        </w:tc>
      </w:tr>
      <w:tr w:rsidR="002B55E9" w:rsidRPr="002B55E9" w14:paraId="311EB901" w14:textId="77777777">
        <w:trPr>
          <w:trHeight w:val="284"/>
        </w:trPr>
        <w:tc>
          <w:tcPr>
            <w:tcW w:w="671" w:type="dxa"/>
            <w:tcBorders>
              <w:top w:val="single" w:sz="4" w:space="0" w:color="auto"/>
              <w:left w:val="nil"/>
              <w:bottom w:val="single" w:sz="4" w:space="0" w:color="auto"/>
              <w:right w:val="single" w:sz="6" w:space="0" w:color="auto"/>
            </w:tcBorders>
            <w:vAlign w:val="center"/>
          </w:tcPr>
          <w:p w14:paraId="66018057" w14:textId="77777777" w:rsidR="00D170E5" w:rsidRPr="002B55E9" w:rsidRDefault="00EF27AD">
            <w:pPr>
              <w:pStyle w:val="affff6"/>
              <w:snapToGrid w:val="0"/>
              <w:rPr>
                <w:szCs w:val="18"/>
              </w:rPr>
            </w:pPr>
            <w:r w:rsidRPr="002B55E9">
              <w:rPr>
                <w:szCs w:val="18"/>
              </w:rPr>
              <w:t>7</w:t>
            </w:r>
          </w:p>
        </w:tc>
        <w:tc>
          <w:tcPr>
            <w:tcW w:w="1461" w:type="dxa"/>
            <w:tcBorders>
              <w:top w:val="single" w:sz="4" w:space="0" w:color="auto"/>
              <w:left w:val="single" w:sz="6" w:space="0" w:color="auto"/>
              <w:bottom w:val="single" w:sz="4" w:space="0" w:color="auto"/>
              <w:right w:val="single" w:sz="6" w:space="0" w:color="auto"/>
            </w:tcBorders>
            <w:vAlign w:val="center"/>
          </w:tcPr>
          <w:p w14:paraId="62A581A4" w14:textId="77777777" w:rsidR="00D170E5" w:rsidRPr="002B55E9" w:rsidRDefault="00EF27AD">
            <w:pPr>
              <w:snapToGrid w:val="0"/>
              <w:jc w:val="center"/>
              <w:rPr>
                <w:sz w:val="18"/>
                <w:szCs w:val="18"/>
              </w:rPr>
            </w:pPr>
            <w:r w:rsidRPr="002B55E9">
              <w:rPr>
                <w:sz w:val="18"/>
                <w:szCs w:val="18"/>
              </w:rPr>
              <w:t>113.97340268</w:t>
            </w:r>
          </w:p>
        </w:tc>
        <w:tc>
          <w:tcPr>
            <w:tcW w:w="1338" w:type="dxa"/>
            <w:tcBorders>
              <w:top w:val="single" w:sz="4" w:space="0" w:color="auto"/>
              <w:left w:val="single" w:sz="6" w:space="0" w:color="auto"/>
              <w:bottom w:val="single" w:sz="4" w:space="0" w:color="auto"/>
              <w:right w:val="single" w:sz="6" w:space="0" w:color="auto"/>
            </w:tcBorders>
            <w:vAlign w:val="center"/>
          </w:tcPr>
          <w:p w14:paraId="026B49F9" w14:textId="77777777" w:rsidR="00D170E5" w:rsidRPr="002B55E9" w:rsidRDefault="00EF27AD">
            <w:pPr>
              <w:snapToGrid w:val="0"/>
              <w:jc w:val="center"/>
              <w:rPr>
                <w:sz w:val="18"/>
                <w:szCs w:val="18"/>
              </w:rPr>
            </w:pPr>
            <w:r w:rsidRPr="002B55E9">
              <w:rPr>
                <w:sz w:val="18"/>
                <w:szCs w:val="18"/>
              </w:rPr>
              <w:t>30.68463771</w:t>
            </w:r>
          </w:p>
        </w:tc>
        <w:tc>
          <w:tcPr>
            <w:tcW w:w="2197" w:type="dxa"/>
            <w:tcBorders>
              <w:top w:val="single" w:sz="4" w:space="0" w:color="auto"/>
              <w:left w:val="single" w:sz="6" w:space="0" w:color="auto"/>
              <w:bottom w:val="single" w:sz="4" w:space="0" w:color="auto"/>
              <w:right w:val="single" w:sz="6" w:space="0" w:color="auto"/>
            </w:tcBorders>
            <w:vAlign w:val="center"/>
          </w:tcPr>
          <w:p w14:paraId="69017D51" w14:textId="77777777" w:rsidR="00D170E5" w:rsidRPr="002B55E9" w:rsidRDefault="00EF27AD">
            <w:pPr>
              <w:snapToGrid w:val="0"/>
              <w:jc w:val="center"/>
              <w:rPr>
                <w:sz w:val="18"/>
                <w:szCs w:val="18"/>
              </w:rPr>
            </w:pPr>
            <w:r w:rsidRPr="002B55E9">
              <w:rPr>
                <w:rFonts w:hint="eastAsia"/>
                <w:sz w:val="18"/>
                <w:szCs w:val="18"/>
              </w:rPr>
              <w:t>新沟村</w:t>
            </w:r>
          </w:p>
        </w:tc>
        <w:tc>
          <w:tcPr>
            <w:tcW w:w="1166" w:type="dxa"/>
            <w:tcBorders>
              <w:top w:val="single" w:sz="4" w:space="0" w:color="auto"/>
              <w:left w:val="single" w:sz="6" w:space="0" w:color="auto"/>
              <w:bottom w:val="single" w:sz="4" w:space="0" w:color="auto"/>
              <w:right w:val="single" w:sz="6" w:space="0" w:color="auto"/>
            </w:tcBorders>
            <w:vAlign w:val="center"/>
          </w:tcPr>
          <w:p w14:paraId="79317E8A" w14:textId="77777777" w:rsidR="00D170E5" w:rsidRPr="002B55E9" w:rsidRDefault="00EF27AD">
            <w:pPr>
              <w:snapToGrid w:val="0"/>
              <w:jc w:val="center"/>
              <w:rPr>
                <w:sz w:val="18"/>
                <w:szCs w:val="18"/>
              </w:rPr>
            </w:pPr>
            <w:r w:rsidRPr="002B55E9">
              <w:rPr>
                <w:rFonts w:hint="eastAsia"/>
                <w:sz w:val="18"/>
                <w:szCs w:val="18"/>
              </w:rPr>
              <w:t>100</w:t>
            </w:r>
          </w:p>
        </w:tc>
        <w:tc>
          <w:tcPr>
            <w:tcW w:w="1166" w:type="dxa"/>
            <w:tcBorders>
              <w:top w:val="single" w:sz="4" w:space="0" w:color="auto"/>
              <w:left w:val="single" w:sz="6" w:space="0" w:color="auto"/>
              <w:bottom w:val="single" w:sz="4" w:space="0" w:color="auto"/>
              <w:right w:val="single" w:sz="6" w:space="0" w:color="auto"/>
            </w:tcBorders>
            <w:vAlign w:val="center"/>
          </w:tcPr>
          <w:p w14:paraId="7AD07D79"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2B6A8936"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w:t>
            </w:r>
            <w:r w:rsidRPr="002B55E9">
              <w:rPr>
                <w:sz w:val="18"/>
                <w:szCs w:val="18"/>
              </w:rPr>
              <w:t>900</w:t>
            </w:r>
          </w:p>
        </w:tc>
      </w:tr>
      <w:tr w:rsidR="002B55E9" w:rsidRPr="002B55E9" w14:paraId="737A714D" w14:textId="77777777">
        <w:trPr>
          <w:trHeight w:val="284"/>
        </w:trPr>
        <w:tc>
          <w:tcPr>
            <w:tcW w:w="671" w:type="dxa"/>
            <w:tcBorders>
              <w:top w:val="single" w:sz="4" w:space="0" w:color="auto"/>
              <w:left w:val="nil"/>
              <w:bottom w:val="single" w:sz="4" w:space="0" w:color="auto"/>
              <w:right w:val="single" w:sz="6" w:space="0" w:color="auto"/>
            </w:tcBorders>
            <w:vAlign w:val="center"/>
          </w:tcPr>
          <w:p w14:paraId="02AC33C8" w14:textId="77777777" w:rsidR="00D170E5" w:rsidRPr="002B55E9" w:rsidRDefault="00EF27AD">
            <w:pPr>
              <w:pStyle w:val="affff6"/>
              <w:snapToGrid w:val="0"/>
              <w:rPr>
                <w:szCs w:val="18"/>
              </w:rPr>
            </w:pPr>
            <w:r w:rsidRPr="002B55E9">
              <w:rPr>
                <w:szCs w:val="18"/>
              </w:rPr>
              <w:t>8</w:t>
            </w:r>
          </w:p>
        </w:tc>
        <w:tc>
          <w:tcPr>
            <w:tcW w:w="1461" w:type="dxa"/>
            <w:tcBorders>
              <w:top w:val="single" w:sz="4" w:space="0" w:color="auto"/>
              <w:left w:val="single" w:sz="6" w:space="0" w:color="auto"/>
              <w:bottom w:val="single" w:sz="4" w:space="0" w:color="auto"/>
              <w:right w:val="single" w:sz="6" w:space="0" w:color="auto"/>
            </w:tcBorders>
            <w:vAlign w:val="center"/>
          </w:tcPr>
          <w:p w14:paraId="234B4006" w14:textId="77777777" w:rsidR="00D170E5" w:rsidRPr="002B55E9" w:rsidRDefault="00EF27AD">
            <w:pPr>
              <w:snapToGrid w:val="0"/>
              <w:jc w:val="center"/>
              <w:rPr>
                <w:sz w:val="18"/>
                <w:szCs w:val="18"/>
              </w:rPr>
            </w:pPr>
            <w:r w:rsidRPr="002B55E9">
              <w:rPr>
                <w:sz w:val="18"/>
                <w:szCs w:val="18"/>
              </w:rPr>
              <w:t>113.98338358</w:t>
            </w:r>
          </w:p>
        </w:tc>
        <w:tc>
          <w:tcPr>
            <w:tcW w:w="1338" w:type="dxa"/>
            <w:tcBorders>
              <w:top w:val="single" w:sz="4" w:space="0" w:color="auto"/>
              <w:left w:val="single" w:sz="6" w:space="0" w:color="auto"/>
              <w:bottom w:val="single" w:sz="4" w:space="0" w:color="auto"/>
              <w:right w:val="single" w:sz="6" w:space="0" w:color="auto"/>
            </w:tcBorders>
            <w:vAlign w:val="center"/>
          </w:tcPr>
          <w:p w14:paraId="18E3DAC9" w14:textId="77777777" w:rsidR="00D170E5" w:rsidRPr="002B55E9" w:rsidRDefault="00EF27AD">
            <w:pPr>
              <w:snapToGrid w:val="0"/>
              <w:jc w:val="center"/>
              <w:rPr>
                <w:sz w:val="18"/>
                <w:szCs w:val="18"/>
              </w:rPr>
            </w:pPr>
            <w:r w:rsidRPr="002B55E9">
              <w:rPr>
                <w:sz w:val="18"/>
                <w:szCs w:val="18"/>
              </w:rPr>
              <w:t>30.69426449</w:t>
            </w:r>
          </w:p>
        </w:tc>
        <w:tc>
          <w:tcPr>
            <w:tcW w:w="2197" w:type="dxa"/>
            <w:tcBorders>
              <w:top w:val="single" w:sz="4" w:space="0" w:color="auto"/>
              <w:left w:val="single" w:sz="6" w:space="0" w:color="auto"/>
              <w:bottom w:val="single" w:sz="4" w:space="0" w:color="auto"/>
              <w:right w:val="single" w:sz="6" w:space="0" w:color="auto"/>
            </w:tcBorders>
            <w:vAlign w:val="center"/>
          </w:tcPr>
          <w:p w14:paraId="784D08C3" w14:textId="77777777" w:rsidR="00D170E5" w:rsidRPr="002B55E9" w:rsidRDefault="00EF27AD">
            <w:pPr>
              <w:snapToGrid w:val="0"/>
              <w:jc w:val="center"/>
              <w:rPr>
                <w:sz w:val="18"/>
                <w:szCs w:val="18"/>
              </w:rPr>
            </w:pPr>
            <w:r w:rsidRPr="002B55E9">
              <w:rPr>
                <w:rFonts w:hint="eastAsia"/>
                <w:sz w:val="18"/>
                <w:szCs w:val="18"/>
              </w:rPr>
              <w:t>荷花苑</w:t>
            </w:r>
          </w:p>
        </w:tc>
        <w:tc>
          <w:tcPr>
            <w:tcW w:w="1166" w:type="dxa"/>
            <w:tcBorders>
              <w:top w:val="single" w:sz="4" w:space="0" w:color="auto"/>
              <w:left w:val="single" w:sz="6" w:space="0" w:color="auto"/>
              <w:bottom w:val="single" w:sz="4" w:space="0" w:color="auto"/>
              <w:right w:val="single" w:sz="6" w:space="0" w:color="auto"/>
            </w:tcBorders>
            <w:vAlign w:val="center"/>
          </w:tcPr>
          <w:p w14:paraId="3E562670" w14:textId="77777777" w:rsidR="00D170E5" w:rsidRPr="002B55E9" w:rsidRDefault="00EF27AD">
            <w:pPr>
              <w:snapToGrid w:val="0"/>
              <w:jc w:val="center"/>
              <w:rPr>
                <w:sz w:val="18"/>
                <w:szCs w:val="18"/>
              </w:rPr>
            </w:pPr>
            <w:r w:rsidRPr="002B55E9">
              <w:rPr>
                <w:rFonts w:hint="eastAsia"/>
                <w:sz w:val="18"/>
                <w:szCs w:val="18"/>
              </w:rPr>
              <w:t>3000</w:t>
            </w:r>
          </w:p>
        </w:tc>
        <w:tc>
          <w:tcPr>
            <w:tcW w:w="1166" w:type="dxa"/>
            <w:tcBorders>
              <w:top w:val="single" w:sz="4" w:space="0" w:color="auto"/>
              <w:left w:val="single" w:sz="6" w:space="0" w:color="auto"/>
              <w:bottom w:val="single" w:sz="4" w:space="0" w:color="auto"/>
              <w:right w:val="single" w:sz="6" w:space="0" w:color="auto"/>
            </w:tcBorders>
            <w:vAlign w:val="center"/>
          </w:tcPr>
          <w:p w14:paraId="0A0D6B6F"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3FDF458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w:t>
            </w:r>
            <w:r w:rsidRPr="002B55E9">
              <w:rPr>
                <w:sz w:val="18"/>
                <w:szCs w:val="18"/>
              </w:rPr>
              <w:t>850</w:t>
            </w:r>
          </w:p>
        </w:tc>
      </w:tr>
      <w:tr w:rsidR="002B55E9" w:rsidRPr="002B55E9" w14:paraId="0F497576" w14:textId="77777777">
        <w:trPr>
          <w:trHeight w:val="284"/>
        </w:trPr>
        <w:tc>
          <w:tcPr>
            <w:tcW w:w="671" w:type="dxa"/>
            <w:tcBorders>
              <w:top w:val="single" w:sz="4" w:space="0" w:color="auto"/>
              <w:left w:val="nil"/>
              <w:bottom w:val="single" w:sz="4" w:space="0" w:color="auto"/>
              <w:right w:val="single" w:sz="6" w:space="0" w:color="auto"/>
            </w:tcBorders>
            <w:vAlign w:val="center"/>
          </w:tcPr>
          <w:p w14:paraId="3B599873" w14:textId="77777777" w:rsidR="00D170E5" w:rsidRPr="002B55E9" w:rsidRDefault="00EF27AD">
            <w:pPr>
              <w:pStyle w:val="affff6"/>
              <w:snapToGrid w:val="0"/>
              <w:rPr>
                <w:szCs w:val="18"/>
              </w:rPr>
            </w:pPr>
            <w:r w:rsidRPr="002B55E9">
              <w:rPr>
                <w:szCs w:val="18"/>
              </w:rPr>
              <w:t>9</w:t>
            </w:r>
          </w:p>
        </w:tc>
        <w:tc>
          <w:tcPr>
            <w:tcW w:w="1461" w:type="dxa"/>
            <w:tcBorders>
              <w:top w:val="single" w:sz="4" w:space="0" w:color="auto"/>
              <w:left w:val="single" w:sz="6" w:space="0" w:color="auto"/>
              <w:bottom w:val="single" w:sz="4" w:space="0" w:color="auto"/>
              <w:right w:val="single" w:sz="6" w:space="0" w:color="auto"/>
            </w:tcBorders>
            <w:vAlign w:val="center"/>
          </w:tcPr>
          <w:p w14:paraId="773A48D1" w14:textId="77777777" w:rsidR="00D170E5" w:rsidRPr="002B55E9" w:rsidRDefault="00EF27AD">
            <w:pPr>
              <w:snapToGrid w:val="0"/>
              <w:jc w:val="center"/>
              <w:rPr>
                <w:sz w:val="18"/>
                <w:szCs w:val="18"/>
              </w:rPr>
            </w:pPr>
            <w:r w:rsidRPr="002B55E9">
              <w:rPr>
                <w:sz w:val="18"/>
                <w:szCs w:val="18"/>
              </w:rPr>
              <w:t>113.99534483</w:t>
            </w:r>
          </w:p>
        </w:tc>
        <w:tc>
          <w:tcPr>
            <w:tcW w:w="1338" w:type="dxa"/>
            <w:tcBorders>
              <w:top w:val="single" w:sz="4" w:space="0" w:color="auto"/>
              <w:left w:val="single" w:sz="6" w:space="0" w:color="auto"/>
              <w:bottom w:val="single" w:sz="4" w:space="0" w:color="auto"/>
              <w:right w:val="single" w:sz="6" w:space="0" w:color="auto"/>
            </w:tcBorders>
            <w:vAlign w:val="center"/>
          </w:tcPr>
          <w:p w14:paraId="1208805A" w14:textId="77777777" w:rsidR="00D170E5" w:rsidRPr="002B55E9" w:rsidRDefault="00EF27AD">
            <w:pPr>
              <w:snapToGrid w:val="0"/>
              <w:jc w:val="center"/>
              <w:rPr>
                <w:sz w:val="18"/>
                <w:szCs w:val="18"/>
              </w:rPr>
            </w:pPr>
            <w:r w:rsidRPr="002B55E9">
              <w:rPr>
                <w:sz w:val="18"/>
                <w:szCs w:val="18"/>
              </w:rPr>
              <w:t>30.69171495</w:t>
            </w:r>
          </w:p>
        </w:tc>
        <w:tc>
          <w:tcPr>
            <w:tcW w:w="2197" w:type="dxa"/>
            <w:tcBorders>
              <w:top w:val="single" w:sz="4" w:space="0" w:color="auto"/>
              <w:left w:val="single" w:sz="6" w:space="0" w:color="auto"/>
              <w:bottom w:val="single" w:sz="4" w:space="0" w:color="auto"/>
              <w:right w:val="single" w:sz="6" w:space="0" w:color="auto"/>
            </w:tcBorders>
            <w:vAlign w:val="center"/>
          </w:tcPr>
          <w:p w14:paraId="6B30AB13" w14:textId="77777777" w:rsidR="00D170E5" w:rsidRPr="002B55E9" w:rsidRDefault="00EF27AD">
            <w:pPr>
              <w:snapToGrid w:val="0"/>
              <w:jc w:val="center"/>
              <w:rPr>
                <w:sz w:val="18"/>
                <w:szCs w:val="18"/>
              </w:rPr>
            </w:pPr>
            <w:r w:rsidRPr="002B55E9">
              <w:rPr>
                <w:rFonts w:hint="eastAsia"/>
                <w:sz w:val="18"/>
                <w:szCs w:val="18"/>
              </w:rPr>
              <w:t>智明职业培训学校</w:t>
            </w:r>
          </w:p>
        </w:tc>
        <w:tc>
          <w:tcPr>
            <w:tcW w:w="1166" w:type="dxa"/>
            <w:tcBorders>
              <w:top w:val="single" w:sz="4" w:space="0" w:color="auto"/>
              <w:left w:val="single" w:sz="6" w:space="0" w:color="auto"/>
              <w:bottom w:val="single" w:sz="4" w:space="0" w:color="auto"/>
              <w:right w:val="single" w:sz="6" w:space="0" w:color="auto"/>
            </w:tcBorders>
            <w:vAlign w:val="center"/>
          </w:tcPr>
          <w:p w14:paraId="451FE273" w14:textId="77777777" w:rsidR="00D170E5" w:rsidRPr="002B55E9" w:rsidRDefault="00EF27AD">
            <w:pPr>
              <w:snapToGrid w:val="0"/>
              <w:jc w:val="center"/>
              <w:rPr>
                <w:sz w:val="18"/>
                <w:szCs w:val="18"/>
              </w:rPr>
            </w:pPr>
            <w:r w:rsidRPr="002B55E9">
              <w:rPr>
                <w:rFonts w:hint="eastAsia"/>
                <w:sz w:val="18"/>
                <w:szCs w:val="18"/>
              </w:rPr>
              <w:t>100</w:t>
            </w:r>
          </w:p>
        </w:tc>
        <w:tc>
          <w:tcPr>
            <w:tcW w:w="1166" w:type="dxa"/>
            <w:tcBorders>
              <w:top w:val="single" w:sz="4" w:space="0" w:color="auto"/>
              <w:left w:val="single" w:sz="6" w:space="0" w:color="auto"/>
              <w:bottom w:val="single" w:sz="4" w:space="0" w:color="auto"/>
              <w:right w:val="single" w:sz="6" w:space="0" w:color="auto"/>
            </w:tcBorders>
            <w:vAlign w:val="center"/>
          </w:tcPr>
          <w:p w14:paraId="733F3B01"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5BC77E69"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9</w:t>
            </w:r>
            <w:r w:rsidRPr="002B55E9">
              <w:rPr>
                <w:sz w:val="18"/>
                <w:szCs w:val="18"/>
              </w:rPr>
              <w:t>40</w:t>
            </w:r>
          </w:p>
        </w:tc>
      </w:tr>
      <w:tr w:rsidR="002B55E9" w:rsidRPr="002B55E9" w14:paraId="3F4B9F6C" w14:textId="77777777">
        <w:trPr>
          <w:trHeight w:val="284"/>
        </w:trPr>
        <w:tc>
          <w:tcPr>
            <w:tcW w:w="671" w:type="dxa"/>
            <w:tcBorders>
              <w:top w:val="single" w:sz="4" w:space="0" w:color="auto"/>
              <w:left w:val="nil"/>
              <w:bottom w:val="single" w:sz="4" w:space="0" w:color="auto"/>
              <w:right w:val="single" w:sz="6" w:space="0" w:color="auto"/>
            </w:tcBorders>
            <w:vAlign w:val="center"/>
          </w:tcPr>
          <w:p w14:paraId="102BF840" w14:textId="77777777" w:rsidR="00D170E5" w:rsidRPr="002B55E9" w:rsidRDefault="00EF27AD">
            <w:pPr>
              <w:pStyle w:val="affff6"/>
              <w:snapToGrid w:val="0"/>
              <w:rPr>
                <w:szCs w:val="18"/>
              </w:rPr>
            </w:pPr>
            <w:r w:rsidRPr="002B55E9">
              <w:rPr>
                <w:szCs w:val="18"/>
              </w:rPr>
              <w:t>10</w:t>
            </w:r>
          </w:p>
        </w:tc>
        <w:tc>
          <w:tcPr>
            <w:tcW w:w="1461" w:type="dxa"/>
            <w:tcBorders>
              <w:top w:val="single" w:sz="4" w:space="0" w:color="auto"/>
              <w:left w:val="single" w:sz="6" w:space="0" w:color="auto"/>
              <w:bottom w:val="single" w:sz="4" w:space="0" w:color="auto"/>
              <w:right w:val="single" w:sz="6" w:space="0" w:color="auto"/>
            </w:tcBorders>
            <w:vAlign w:val="center"/>
          </w:tcPr>
          <w:p w14:paraId="01DF7490" w14:textId="77777777" w:rsidR="00D170E5" w:rsidRPr="002B55E9" w:rsidRDefault="00EF27AD">
            <w:pPr>
              <w:snapToGrid w:val="0"/>
              <w:jc w:val="center"/>
              <w:rPr>
                <w:sz w:val="18"/>
                <w:szCs w:val="18"/>
              </w:rPr>
            </w:pPr>
            <w:r w:rsidRPr="002B55E9">
              <w:rPr>
                <w:sz w:val="18"/>
                <w:szCs w:val="18"/>
              </w:rPr>
              <w:t>113.98389896</w:t>
            </w:r>
          </w:p>
        </w:tc>
        <w:tc>
          <w:tcPr>
            <w:tcW w:w="1338" w:type="dxa"/>
            <w:tcBorders>
              <w:top w:val="single" w:sz="4" w:space="0" w:color="auto"/>
              <w:left w:val="single" w:sz="6" w:space="0" w:color="auto"/>
              <w:bottom w:val="single" w:sz="4" w:space="0" w:color="auto"/>
              <w:right w:val="single" w:sz="6" w:space="0" w:color="auto"/>
            </w:tcBorders>
            <w:vAlign w:val="center"/>
          </w:tcPr>
          <w:p w14:paraId="74876C76" w14:textId="77777777" w:rsidR="00D170E5" w:rsidRPr="002B55E9" w:rsidRDefault="00EF27AD">
            <w:pPr>
              <w:snapToGrid w:val="0"/>
              <w:jc w:val="center"/>
              <w:rPr>
                <w:sz w:val="18"/>
                <w:szCs w:val="18"/>
              </w:rPr>
            </w:pPr>
            <w:r w:rsidRPr="002B55E9">
              <w:rPr>
                <w:sz w:val="18"/>
                <w:szCs w:val="18"/>
              </w:rPr>
              <w:t>30.68400177</w:t>
            </w:r>
          </w:p>
        </w:tc>
        <w:tc>
          <w:tcPr>
            <w:tcW w:w="2197" w:type="dxa"/>
            <w:tcBorders>
              <w:top w:val="single" w:sz="4" w:space="0" w:color="auto"/>
              <w:left w:val="single" w:sz="6" w:space="0" w:color="auto"/>
              <w:bottom w:val="single" w:sz="4" w:space="0" w:color="auto"/>
              <w:right w:val="single" w:sz="6" w:space="0" w:color="auto"/>
            </w:tcBorders>
            <w:vAlign w:val="center"/>
          </w:tcPr>
          <w:p w14:paraId="0A58D4E6" w14:textId="77777777" w:rsidR="00D170E5" w:rsidRPr="002B55E9" w:rsidRDefault="00EF27AD">
            <w:pPr>
              <w:snapToGrid w:val="0"/>
              <w:jc w:val="center"/>
              <w:rPr>
                <w:sz w:val="18"/>
                <w:szCs w:val="18"/>
              </w:rPr>
            </w:pPr>
            <w:r w:rsidRPr="002B55E9">
              <w:rPr>
                <w:sz w:val="18"/>
                <w:szCs w:val="18"/>
              </w:rPr>
              <w:t>飞利浦希望小学</w:t>
            </w:r>
          </w:p>
        </w:tc>
        <w:tc>
          <w:tcPr>
            <w:tcW w:w="1166" w:type="dxa"/>
            <w:tcBorders>
              <w:top w:val="single" w:sz="4" w:space="0" w:color="auto"/>
              <w:left w:val="single" w:sz="6" w:space="0" w:color="auto"/>
              <w:bottom w:val="single" w:sz="4" w:space="0" w:color="auto"/>
              <w:right w:val="single" w:sz="6" w:space="0" w:color="auto"/>
            </w:tcBorders>
            <w:vAlign w:val="center"/>
          </w:tcPr>
          <w:p w14:paraId="0CEC207F" w14:textId="77777777" w:rsidR="00D170E5" w:rsidRPr="002B55E9" w:rsidRDefault="00EF27AD">
            <w:pPr>
              <w:snapToGrid w:val="0"/>
              <w:jc w:val="center"/>
              <w:rPr>
                <w:sz w:val="18"/>
                <w:szCs w:val="18"/>
              </w:rPr>
            </w:pPr>
            <w:r w:rsidRPr="002B55E9">
              <w:rPr>
                <w:rFonts w:hint="eastAsia"/>
                <w:sz w:val="18"/>
                <w:szCs w:val="18"/>
              </w:rPr>
              <w:t>100</w:t>
            </w:r>
          </w:p>
        </w:tc>
        <w:tc>
          <w:tcPr>
            <w:tcW w:w="1166" w:type="dxa"/>
            <w:tcBorders>
              <w:top w:val="single" w:sz="4" w:space="0" w:color="auto"/>
              <w:left w:val="single" w:sz="6" w:space="0" w:color="auto"/>
              <w:bottom w:val="single" w:sz="4" w:space="0" w:color="auto"/>
              <w:right w:val="single" w:sz="6" w:space="0" w:color="auto"/>
            </w:tcBorders>
            <w:vAlign w:val="center"/>
          </w:tcPr>
          <w:p w14:paraId="59A770AB" w14:textId="77777777" w:rsidR="00D170E5" w:rsidRPr="002B55E9" w:rsidRDefault="00EF27AD">
            <w:pPr>
              <w:snapToGrid w:val="0"/>
              <w:jc w:val="center"/>
              <w:rPr>
                <w:sz w:val="18"/>
                <w:szCs w:val="18"/>
              </w:rPr>
            </w:pPr>
            <w:r w:rsidRPr="002B55E9">
              <w:rPr>
                <w:rFonts w:hint="eastAsia"/>
                <w:sz w:val="18"/>
                <w:szCs w:val="18"/>
              </w:rPr>
              <w:t>东</w:t>
            </w:r>
          </w:p>
        </w:tc>
        <w:tc>
          <w:tcPr>
            <w:tcW w:w="1638" w:type="dxa"/>
            <w:tcBorders>
              <w:top w:val="single" w:sz="4" w:space="0" w:color="auto"/>
              <w:left w:val="single" w:sz="6" w:space="0" w:color="auto"/>
              <w:bottom w:val="single" w:sz="4" w:space="0" w:color="auto"/>
              <w:right w:val="nil"/>
            </w:tcBorders>
            <w:vAlign w:val="center"/>
          </w:tcPr>
          <w:p w14:paraId="079A235F"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7</w:t>
            </w:r>
            <w:r w:rsidRPr="002B55E9">
              <w:rPr>
                <w:sz w:val="18"/>
                <w:szCs w:val="18"/>
              </w:rPr>
              <w:t>70</w:t>
            </w:r>
          </w:p>
        </w:tc>
      </w:tr>
      <w:tr w:rsidR="002B55E9" w:rsidRPr="002B55E9" w14:paraId="25D297F5" w14:textId="77777777">
        <w:trPr>
          <w:trHeight w:val="284"/>
        </w:trPr>
        <w:tc>
          <w:tcPr>
            <w:tcW w:w="671" w:type="dxa"/>
            <w:tcBorders>
              <w:top w:val="single" w:sz="4" w:space="0" w:color="auto"/>
              <w:left w:val="nil"/>
              <w:bottom w:val="single" w:sz="4" w:space="0" w:color="auto"/>
              <w:right w:val="single" w:sz="6" w:space="0" w:color="auto"/>
            </w:tcBorders>
            <w:vAlign w:val="center"/>
          </w:tcPr>
          <w:p w14:paraId="532FB6A5" w14:textId="77777777" w:rsidR="00D170E5" w:rsidRPr="002B55E9" w:rsidRDefault="00EF27AD">
            <w:pPr>
              <w:pStyle w:val="affff6"/>
              <w:snapToGrid w:val="0"/>
              <w:rPr>
                <w:szCs w:val="18"/>
              </w:rPr>
            </w:pPr>
            <w:r w:rsidRPr="002B55E9">
              <w:rPr>
                <w:szCs w:val="18"/>
              </w:rPr>
              <w:t>11</w:t>
            </w:r>
          </w:p>
        </w:tc>
        <w:tc>
          <w:tcPr>
            <w:tcW w:w="1461" w:type="dxa"/>
            <w:tcBorders>
              <w:top w:val="single" w:sz="4" w:space="0" w:color="auto"/>
              <w:left w:val="single" w:sz="6" w:space="0" w:color="auto"/>
              <w:bottom w:val="single" w:sz="4" w:space="0" w:color="auto"/>
              <w:right w:val="single" w:sz="6" w:space="0" w:color="auto"/>
            </w:tcBorders>
            <w:vAlign w:val="center"/>
          </w:tcPr>
          <w:p w14:paraId="687EAB8F" w14:textId="77777777" w:rsidR="00D170E5" w:rsidRPr="002B55E9" w:rsidRDefault="00EF27AD">
            <w:pPr>
              <w:snapToGrid w:val="0"/>
              <w:jc w:val="center"/>
              <w:rPr>
                <w:sz w:val="18"/>
                <w:szCs w:val="18"/>
              </w:rPr>
            </w:pPr>
            <w:r w:rsidRPr="002B55E9">
              <w:rPr>
                <w:sz w:val="18"/>
                <w:szCs w:val="18"/>
              </w:rPr>
              <w:t>113.98811344</w:t>
            </w:r>
          </w:p>
        </w:tc>
        <w:tc>
          <w:tcPr>
            <w:tcW w:w="1338" w:type="dxa"/>
            <w:tcBorders>
              <w:top w:val="single" w:sz="4" w:space="0" w:color="auto"/>
              <w:left w:val="single" w:sz="6" w:space="0" w:color="auto"/>
              <w:bottom w:val="single" w:sz="4" w:space="0" w:color="auto"/>
              <w:right w:val="single" w:sz="6" w:space="0" w:color="auto"/>
            </w:tcBorders>
            <w:vAlign w:val="center"/>
          </w:tcPr>
          <w:p w14:paraId="5E888210" w14:textId="77777777" w:rsidR="00D170E5" w:rsidRPr="002B55E9" w:rsidRDefault="00EF27AD">
            <w:pPr>
              <w:snapToGrid w:val="0"/>
              <w:jc w:val="center"/>
              <w:rPr>
                <w:sz w:val="18"/>
                <w:szCs w:val="18"/>
              </w:rPr>
            </w:pPr>
            <w:r w:rsidRPr="002B55E9">
              <w:rPr>
                <w:sz w:val="18"/>
                <w:szCs w:val="18"/>
              </w:rPr>
              <w:t>30.66185754</w:t>
            </w:r>
          </w:p>
        </w:tc>
        <w:tc>
          <w:tcPr>
            <w:tcW w:w="2197" w:type="dxa"/>
            <w:tcBorders>
              <w:top w:val="single" w:sz="4" w:space="0" w:color="auto"/>
              <w:left w:val="single" w:sz="6" w:space="0" w:color="auto"/>
              <w:bottom w:val="single" w:sz="4" w:space="0" w:color="auto"/>
              <w:right w:val="single" w:sz="6" w:space="0" w:color="auto"/>
            </w:tcBorders>
            <w:vAlign w:val="center"/>
          </w:tcPr>
          <w:p w14:paraId="35F275FB" w14:textId="77777777" w:rsidR="00D170E5" w:rsidRPr="002B55E9" w:rsidRDefault="00EF27AD">
            <w:pPr>
              <w:snapToGrid w:val="0"/>
              <w:jc w:val="center"/>
              <w:rPr>
                <w:sz w:val="18"/>
                <w:szCs w:val="18"/>
              </w:rPr>
            </w:pPr>
            <w:r w:rsidRPr="002B55E9">
              <w:rPr>
                <w:rFonts w:hint="eastAsia"/>
                <w:sz w:val="18"/>
                <w:szCs w:val="18"/>
              </w:rPr>
              <w:t>孙家湾大队村</w:t>
            </w:r>
          </w:p>
        </w:tc>
        <w:tc>
          <w:tcPr>
            <w:tcW w:w="1166" w:type="dxa"/>
            <w:tcBorders>
              <w:top w:val="single" w:sz="4" w:space="0" w:color="auto"/>
              <w:left w:val="single" w:sz="6" w:space="0" w:color="auto"/>
              <w:bottom w:val="single" w:sz="4" w:space="0" w:color="auto"/>
              <w:right w:val="single" w:sz="6" w:space="0" w:color="auto"/>
            </w:tcBorders>
            <w:vAlign w:val="center"/>
          </w:tcPr>
          <w:p w14:paraId="31A4F3AE" w14:textId="77777777" w:rsidR="00D170E5" w:rsidRPr="002B55E9" w:rsidRDefault="00EF27AD">
            <w:pPr>
              <w:snapToGrid w:val="0"/>
              <w:jc w:val="center"/>
              <w:rPr>
                <w:sz w:val="18"/>
                <w:szCs w:val="18"/>
              </w:rPr>
            </w:pPr>
            <w:r w:rsidRPr="002B55E9">
              <w:rPr>
                <w:rFonts w:hint="eastAsia"/>
                <w:sz w:val="18"/>
                <w:szCs w:val="18"/>
              </w:rPr>
              <w:t>900</w:t>
            </w:r>
          </w:p>
        </w:tc>
        <w:tc>
          <w:tcPr>
            <w:tcW w:w="1166" w:type="dxa"/>
            <w:tcBorders>
              <w:top w:val="single" w:sz="4" w:space="0" w:color="auto"/>
              <w:left w:val="single" w:sz="6" w:space="0" w:color="auto"/>
              <w:bottom w:val="single" w:sz="4" w:space="0" w:color="auto"/>
              <w:right w:val="single" w:sz="6" w:space="0" w:color="auto"/>
            </w:tcBorders>
            <w:vAlign w:val="center"/>
          </w:tcPr>
          <w:p w14:paraId="2025175B" w14:textId="77777777" w:rsidR="00D170E5" w:rsidRPr="002B55E9" w:rsidRDefault="00EF27AD">
            <w:pPr>
              <w:snapToGrid w:val="0"/>
              <w:jc w:val="center"/>
              <w:rPr>
                <w:sz w:val="18"/>
                <w:szCs w:val="18"/>
              </w:rP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49FDB9ED"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1500</w:t>
            </w:r>
          </w:p>
        </w:tc>
      </w:tr>
      <w:tr w:rsidR="002B55E9" w:rsidRPr="002B55E9" w14:paraId="6933D1D0" w14:textId="77777777">
        <w:trPr>
          <w:trHeight w:val="284"/>
        </w:trPr>
        <w:tc>
          <w:tcPr>
            <w:tcW w:w="671" w:type="dxa"/>
            <w:tcBorders>
              <w:top w:val="single" w:sz="4" w:space="0" w:color="auto"/>
              <w:left w:val="nil"/>
              <w:bottom w:val="single" w:sz="4" w:space="0" w:color="auto"/>
              <w:right w:val="single" w:sz="6" w:space="0" w:color="auto"/>
            </w:tcBorders>
            <w:vAlign w:val="center"/>
          </w:tcPr>
          <w:p w14:paraId="1B1C6A32" w14:textId="77777777" w:rsidR="00D170E5" w:rsidRPr="002B55E9" w:rsidRDefault="00EF27AD">
            <w:pPr>
              <w:pStyle w:val="affff6"/>
              <w:snapToGrid w:val="0"/>
              <w:rPr>
                <w:szCs w:val="18"/>
              </w:rPr>
            </w:pPr>
            <w:r w:rsidRPr="002B55E9">
              <w:rPr>
                <w:rFonts w:hint="eastAsia"/>
                <w:szCs w:val="18"/>
              </w:rPr>
              <w:t>1</w:t>
            </w:r>
            <w:r w:rsidRPr="002B55E9">
              <w:rPr>
                <w:szCs w:val="18"/>
              </w:rPr>
              <w:t>2</w:t>
            </w:r>
          </w:p>
        </w:tc>
        <w:tc>
          <w:tcPr>
            <w:tcW w:w="1461" w:type="dxa"/>
            <w:tcBorders>
              <w:top w:val="single" w:sz="4" w:space="0" w:color="auto"/>
              <w:left w:val="single" w:sz="6" w:space="0" w:color="auto"/>
              <w:bottom w:val="single" w:sz="4" w:space="0" w:color="auto"/>
              <w:right w:val="single" w:sz="6" w:space="0" w:color="auto"/>
            </w:tcBorders>
            <w:vAlign w:val="center"/>
          </w:tcPr>
          <w:p w14:paraId="2C22D1FD" w14:textId="77777777" w:rsidR="00D170E5" w:rsidRPr="002B55E9" w:rsidRDefault="00EF27AD">
            <w:pPr>
              <w:snapToGrid w:val="0"/>
              <w:jc w:val="center"/>
              <w:rPr>
                <w:sz w:val="18"/>
                <w:szCs w:val="18"/>
              </w:rPr>
            </w:pPr>
            <w:r w:rsidRPr="002B55E9">
              <w:rPr>
                <w:sz w:val="18"/>
                <w:szCs w:val="18"/>
              </w:rPr>
              <w:t>113.98572922</w:t>
            </w:r>
          </w:p>
        </w:tc>
        <w:tc>
          <w:tcPr>
            <w:tcW w:w="1338" w:type="dxa"/>
            <w:tcBorders>
              <w:top w:val="single" w:sz="4" w:space="0" w:color="auto"/>
              <w:left w:val="single" w:sz="6" w:space="0" w:color="auto"/>
              <w:bottom w:val="single" w:sz="4" w:space="0" w:color="auto"/>
              <w:right w:val="single" w:sz="6" w:space="0" w:color="auto"/>
            </w:tcBorders>
            <w:vAlign w:val="center"/>
          </w:tcPr>
          <w:p w14:paraId="4EDE97DF" w14:textId="77777777" w:rsidR="00D170E5" w:rsidRPr="002B55E9" w:rsidRDefault="00EF27AD">
            <w:pPr>
              <w:snapToGrid w:val="0"/>
              <w:jc w:val="center"/>
              <w:rPr>
                <w:sz w:val="18"/>
                <w:szCs w:val="18"/>
              </w:rPr>
            </w:pPr>
            <w:r w:rsidRPr="002B55E9">
              <w:rPr>
                <w:sz w:val="18"/>
                <w:szCs w:val="18"/>
              </w:rPr>
              <w:t>30.64537051</w:t>
            </w:r>
          </w:p>
        </w:tc>
        <w:tc>
          <w:tcPr>
            <w:tcW w:w="2197" w:type="dxa"/>
            <w:tcBorders>
              <w:top w:val="single" w:sz="4" w:space="0" w:color="auto"/>
              <w:left w:val="single" w:sz="6" w:space="0" w:color="auto"/>
              <w:bottom w:val="single" w:sz="4" w:space="0" w:color="auto"/>
              <w:right w:val="single" w:sz="6" w:space="0" w:color="auto"/>
            </w:tcBorders>
            <w:vAlign w:val="center"/>
          </w:tcPr>
          <w:p w14:paraId="4C75325C" w14:textId="77777777" w:rsidR="00D170E5" w:rsidRPr="002B55E9" w:rsidRDefault="00EF27AD">
            <w:pPr>
              <w:snapToGrid w:val="0"/>
              <w:jc w:val="center"/>
              <w:rPr>
                <w:sz w:val="18"/>
                <w:szCs w:val="18"/>
              </w:rPr>
            </w:pPr>
            <w:r w:rsidRPr="002B55E9">
              <w:rPr>
                <w:rFonts w:hint="eastAsia"/>
                <w:sz w:val="18"/>
                <w:szCs w:val="18"/>
              </w:rPr>
              <w:t>王家台村</w:t>
            </w:r>
          </w:p>
        </w:tc>
        <w:tc>
          <w:tcPr>
            <w:tcW w:w="1166" w:type="dxa"/>
            <w:tcBorders>
              <w:top w:val="single" w:sz="4" w:space="0" w:color="auto"/>
              <w:left w:val="single" w:sz="6" w:space="0" w:color="auto"/>
              <w:bottom w:val="single" w:sz="4" w:space="0" w:color="auto"/>
              <w:right w:val="single" w:sz="6" w:space="0" w:color="auto"/>
            </w:tcBorders>
            <w:vAlign w:val="center"/>
          </w:tcPr>
          <w:p w14:paraId="4719BFEC" w14:textId="77777777" w:rsidR="00D170E5" w:rsidRPr="002B55E9" w:rsidRDefault="00EF27AD">
            <w:pPr>
              <w:snapToGrid w:val="0"/>
              <w:jc w:val="center"/>
              <w:rPr>
                <w:sz w:val="18"/>
                <w:szCs w:val="18"/>
              </w:rPr>
            </w:pPr>
            <w:r w:rsidRPr="002B55E9">
              <w:rPr>
                <w:rFonts w:hint="eastAsia"/>
                <w:sz w:val="18"/>
                <w:szCs w:val="18"/>
              </w:rPr>
              <w:t>240</w:t>
            </w:r>
          </w:p>
        </w:tc>
        <w:tc>
          <w:tcPr>
            <w:tcW w:w="1166" w:type="dxa"/>
            <w:tcBorders>
              <w:top w:val="single" w:sz="4" w:space="0" w:color="auto"/>
              <w:left w:val="single" w:sz="6" w:space="0" w:color="auto"/>
              <w:bottom w:val="single" w:sz="4" w:space="0" w:color="auto"/>
              <w:right w:val="single" w:sz="6" w:space="0" w:color="auto"/>
            </w:tcBorders>
            <w:vAlign w:val="center"/>
          </w:tcPr>
          <w:p w14:paraId="41E4AC08"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7CA88CF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3070</w:t>
            </w:r>
          </w:p>
        </w:tc>
      </w:tr>
      <w:tr w:rsidR="002B55E9" w:rsidRPr="002B55E9" w14:paraId="0243A1EA" w14:textId="77777777">
        <w:trPr>
          <w:trHeight w:val="284"/>
        </w:trPr>
        <w:tc>
          <w:tcPr>
            <w:tcW w:w="671" w:type="dxa"/>
            <w:tcBorders>
              <w:top w:val="single" w:sz="4" w:space="0" w:color="auto"/>
              <w:left w:val="nil"/>
              <w:bottom w:val="single" w:sz="4" w:space="0" w:color="auto"/>
              <w:right w:val="single" w:sz="6" w:space="0" w:color="auto"/>
            </w:tcBorders>
            <w:vAlign w:val="center"/>
          </w:tcPr>
          <w:p w14:paraId="040517DF" w14:textId="77777777" w:rsidR="00D170E5" w:rsidRPr="002B55E9" w:rsidRDefault="00EF27AD">
            <w:pPr>
              <w:pStyle w:val="affff6"/>
              <w:snapToGrid w:val="0"/>
              <w:rPr>
                <w:szCs w:val="18"/>
              </w:rPr>
            </w:pPr>
            <w:r w:rsidRPr="002B55E9">
              <w:rPr>
                <w:rFonts w:hint="eastAsia"/>
                <w:szCs w:val="18"/>
              </w:rPr>
              <w:t>1</w:t>
            </w:r>
            <w:r w:rsidRPr="002B55E9">
              <w:rPr>
                <w:szCs w:val="18"/>
              </w:rPr>
              <w:t>3</w:t>
            </w:r>
          </w:p>
        </w:tc>
        <w:tc>
          <w:tcPr>
            <w:tcW w:w="1461" w:type="dxa"/>
            <w:tcBorders>
              <w:top w:val="single" w:sz="4" w:space="0" w:color="auto"/>
              <w:left w:val="single" w:sz="6" w:space="0" w:color="auto"/>
              <w:bottom w:val="single" w:sz="4" w:space="0" w:color="auto"/>
              <w:right w:val="single" w:sz="6" w:space="0" w:color="auto"/>
            </w:tcBorders>
            <w:vAlign w:val="center"/>
          </w:tcPr>
          <w:p w14:paraId="52716A6D" w14:textId="77777777" w:rsidR="00D170E5" w:rsidRPr="002B55E9" w:rsidRDefault="00EF27AD">
            <w:pPr>
              <w:snapToGrid w:val="0"/>
              <w:jc w:val="center"/>
              <w:rPr>
                <w:sz w:val="18"/>
                <w:szCs w:val="18"/>
              </w:rPr>
            </w:pPr>
            <w:r w:rsidRPr="002B55E9">
              <w:rPr>
                <w:sz w:val="18"/>
                <w:szCs w:val="18"/>
              </w:rPr>
              <w:t>113.98980618</w:t>
            </w:r>
          </w:p>
        </w:tc>
        <w:tc>
          <w:tcPr>
            <w:tcW w:w="1338" w:type="dxa"/>
            <w:tcBorders>
              <w:top w:val="single" w:sz="4" w:space="0" w:color="auto"/>
              <w:left w:val="single" w:sz="6" w:space="0" w:color="auto"/>
              <w:bottom w:val="single" w:sz="4" w:space="0" w:color="auto"/>
              <w:right w:val="single" w:sz="6" w:space="0" w:color="auto"/>
            </w:tcBorders>
            <w:vAlign w:val="center"/>
          </w:tcPr>
          <w:p w14:paraId="640CBC13" w14:textId="77777777" w:rsidR="00D170E5" w:rsidRPr="002B55E9" w:rsidRDefault="00EF27AD">
            <w:pPr>
              <w:snapToGrid w:val="0"/>
              <w:jc w:val="center"/>
              <w:rPr>
                <w:sz w:val="18"/>
                <w:szCs w:val="18"/>
              </w:rPr>
            </w:pPr>
            <w:r w:rsidRPr="002B55E9">
              <w:rPr>
                <w:sz w:val="18"/>
                <w:szCs w:val="18"/>
              </w:rPr>
              <w:t>30.63558575</w:t>
            </w:r>
          </w:p>
        </w:tc>
        <w:tc>
          <w:tcPr>
            <w:tcW w:w="2197" w:type="dxa"/>
            <w:tcBorders>
              <w:top w:val="single" w:sz="4" w:space="0" w:color="auto"/>
              <w:left w:val="single" w:sz="6" w:space="0" w:color="auto"/>
              <w:bottom w:val="single" w:sz="4" w:space="0" w:color="auto"/>
              <w:right w:val="single" w:sz="6" w:space="0" w:color="auto"/>
            </w:tcBorders>
            <w:vAlign w:val="center"/>
          </w:tcPr>
          <w:p w14:paraId="579814FE" w14:textId="77777777" w:rsidR="00D170E5" w:rsidRPr="002B55E9" w:rsidRDefault="00EF27AD">
            <w:pPr>
              <w:snapToGrid w:val="0"/>
              <w:jc w:val="center"/>
              <w:rPr>
                <w:sz w:val="18"/>
                <w:szCs w:val="18"/>
              </w:rPr>
            </w:pPr>
            <w:r w:rsidRPr="002B55E9">
              <w:rPr>
                <w:rFonts w:hint="eastAsia"/>
                <w:sz w:val="18"/>
                <w:szCs w:val="18"/>
              </w:rPr>
              <w:t>新华集社区</w:t>
            </w:r>
          </w:p>
        </w:tc>
        <w:tc>
          <w:tcPr>
            <w:tcW w:w="1166" w:type="dxa"/>
            <w:tcBorders>
              <w:top w:val="single" w:sz="4" w:space="0" w:color="auto"/>
              <w:left w:val="single" w:sz="6" w:space="0" w:color="auto"/>
              <w:bottom w:val="single" w:sz="4" w:space="0" w:color="auto"/>
              <w:right w:val="single" w:sz="6" w:space="0" w:color="auto"/>
            </w:tcBorders>
            <w:vAlign w:val="center"/>
          </w:tcPr>
          <w:p w14:paraId="006A4A4A" w14:textId="77777777" w:rsidR="00D170E5" w:rsidRPr="002B55E9" w:rsidRDefault="00EF27AD">
            <w:pPr>
              <w:snapToGrid w:val="0"/>
              <w:jc w:val="center"/>
              <w:rPr>
                <w:sz w:val="18"/>
                <w:szCs w:val="18"/>
              </w:rPr>
            </w:pPr>
            <w:r w:rsidRPr="002B55E9">
              <w:rPr>
                <w:rFonts w:hint="eastAsia"/>
                <w:sz w:val="18"/>
                <w:szCs w:val="18"/>
              </w:rPr>
              <w:t>400</w:t>
            </w:r>
          </w:p>
        </w:tc>
        <w:tc>
          <w:tcPr>
            <w:tcW w:w="1166" w:type="dxa"/>
            <w:tcBorders>
              <w:top w:val="single" w:sz="4" w:space="0" w:color="auto"/>
              <w:left w:val="single" w:sz="6" w:space="0" w:color="auto"/>
              <w:bottom w:val="single" w:sz="4" w:space="0" w:color="auto"/>
              <w:right w:val="single" w:sz="6" w:space="0" w:color="auto"/>
            </w:tcBorders>
            <w:vAlign w:val="center"/>
          </w:tcPr>
          <w:p w14:paraId="08B0AF96"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7D4CB188"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3900</w:t>
            </w:r>
          </w:p>
        </w:tc>
      </w:tr>
      <w:tr w:rsidR="002B55E9" w:rsidRPr="002B55E9" w14:paraId="6D396372" w14:textId="77777777">
        <w:trPr>
          <w:trHeight w:val="284"/>
        </w:trPr>
        <w:tc>
          <w:tcPr>
            <w:tcW w:w="671" w:type="dxa"/>
            <w:tcBorders>
              <w:top w:val="single" w:sz="4" w:space="0" w:color="auto"/>
              <w:left w:val="nil"/>
              <w:bottom w:val="single" w:sz="4" w:space="0" w:color="auto"/>
              <w:right w:val="single" w:sz="6" w:space="0" w:color="auto"/>
            </w:tcBorders>
            <w:vAlign w:val="center"/>
          </w:tcPr>
          <w:p w14:paraId="77A72E4D" w14:textId="77777777" w:rsidR="00D170E5" w:rsidRPr="002B55E9" w:rsidRDefault="00EF27AD">
            <w:pPr>
              <w:pStyle w:val="affff6"/>
              <w:snapToGrid w:val="0"/>
              <w:rPr>
                <w:szCs w:val="18"/>
              </w:rPr>
            </w:pPr>
            <w:r w:rsidRPr="002B55E9">
              <w:rPr>
                <w:rFonts w:hint="eastAsia"/>
                <w:szCs w:val="18"/>
              </w:rPr>
              <w:t>1</w:t>
            </w:r>
            <w:r w:rsidRPr="002B55E9">
              <w:rPr>
                <w:szCs w:val="18"/>
              </w:rPr>
              <w:t>4</w:t>
            </w:r>
          </w:p>
        </w:tc>
        <w:tc>
          <w:tcPr>
            <w:tcW w:w="1461" w:type="dxa"/>
            <w:tcBorders>
              <w:top w:val="single" w:sz="4" w:space="0" w:color="auto"/>
              <w:left w:val="single" w:sz="6" w:space="0" w:color="auto"/>
              <w:bottom w:val="single" w:sz="4" w:space="0" w:color="auto"/>
              <w:right w:val="single" w:sz="6" w:space="0" w:color="auto"/>
            </w:tcBorders>
            <w:vAlign w:val="center"/>
          </w:tcPr>
          <w:p w14:paraId="63A824D4" w14:textId="77777777" w:rsidR="00D170E5" w:rsidRPr="002B55E9" w:rsidRDefault="00EF27AD">
            <w:pPr>
              <w:snapToGrid w:val="0"/>
              <w:jc w:val="center"/>
              <w:rPr>
                <w:sz w:val="18"/>
                <w:szCs w:val="18"/>
              </w:rPr>
            </w:pPr>
            <w:r w:rsidRPr="002B55E9">
              <w:rPr>
                <w:sz w:val="18"/>
                <w:szCs w:val="18"/>
              </w:rPr>
              <w:t>113.99478436</w:t>
            </w:r>
          </w:p>
        </w:tc>
        <w:tc>
          <w:tcPr>
            <w:tcW w:w="1338" w:type="dxa"/>
            <w:tcBorders>
              <w:top w:val="single" w:sz="4" w:space="0" w:color="auto"/>
              <w:left w:val="single" w:sz="6" w:space="0" w:color="auto"/>
              <w:bottom w:val="single" w:sz="4" w:space="0" w:color="auto"/>
              <w:right w:val="single" w:sz="6" w:space="0" w:color="auto"/>
            </w:tcBorders>
            <w:vAlign w:val="center"/>
          </w:tcPr>
          <w:p w14:paraId="4499B64D" w14:textId="77777777" w:rsidR="00D170E5" w:rsidRPr="002B55E9" w:rsidRDefault="00EF27AD">
            <w:pPr>
              <w:snapToGrid w:val="0"/>
              <w:jc w:val="center"/>
              <w:rPr>
                <w:sz w:val="18"/>
                <w:szCs w:val="18"/>
              </w:rPr>
            </w:pPr>
            <w:r w:rsidRPr="002B55E9">
              <w:rPr>
                <w:sz w:val="18"/>
                <w:szCs w:val="18"/>
              </w:rPr>
              <w:t>30.63661966</w:t>
            </w:r>
          </w:p>
        </w:tc>
        <w:tc>
          <w:tcPr>
            <w:tcW w:w="2197" w:type="dxa"/>
            <w:tcBorders>
              <w:top w:val="single" w:sz="4" w:space="0" w:color="auto"/>
              <w:left w:val="single" w:sz="6" w:space="0" w:color="auto"/>
              <w:bottom w:val="single" w:sz="4" w:space="0" w:color="auto"/>
              <w:right w:val="single" w:sz="6" w:space="0" w:color="auto"/>
            </w:tcBorders>
            <w:vAlign w:val="center"/>
          </w:tcPr>
          <w:p w14:paraId="57F38748" w14:textId="77777777" w:rsidR="00D170E5" w:rsidRPr="002B55E9" w:rsidRDefault="00EF27AD">
            <w:pPr>
              <w:snapToGrid w:val="0"/>
              <w:jc w:val="center"/>
              <w:rPr>
                <w:sz w:val="18"/>
                <w:szCs w:val="18"/>
              </w:rPr>
            </w:pPr>
            <w:r w:rsidRPr="002B55E9">
              <w:rPr>
                <w:rFonts w:hint="eastAsia"/>
                <w:sz w:val="18"/>
                <w:szCs w:val="18"/>
              </w:rPr>
              <w:t>东西湖区东方红小学</w:t>
            </w:r>
          </w:p>
        </w:tc>
        <w:tc>
          <w:tcPr>
            <w:tcW w:w="1166" w:type="dxa"/>
            <w:tcBorders>
              <w:top w:val="single" w:sz="4" w:space="0" w:color="auto"/>
              <w:left w:val="single" w:sz="6" w:space="0" w:color="auto"/>
              <w:bottom w:val="single" w:sz="4" w:space="0" w:color="auto"/>
              <w:right w:val="single" w:sz="6" w:space="0" w:color="auto"/>
            </w:tcBorders>
            <w:vAlign w:val="center"/>
          </w:tcPr>
          <w:p w14:paraId="3499B0CB"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000</w:t>
            </w:r>
          </w:p>
        </w:tc>
        <w:tc>
          <w:tcPr>
            <w:tcW w:w="1166" w:type="dxa"/>
            <w:tcBorders>
              <w:top w:val="single" w:sz="4" w:space="0" w:color="auto"/>
              <w:left w:val="single" w:sz="6" w:space="0" w:color="auto"/>
              <w:bottom w:val="single" w:sz="4" w:space="0" w:color="auto"/>
              <w:right w:val="single" w:sz="6" w:space="0" w:color="auto"/>
            </w:tcBorders>
            <w:vAlign w:val="center"/>
          </w:tcPr>
          <w:p w14:paraId="07203B35"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7A8C2376"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4300</w:t>
            </w:r>
          </w:p>
        </w:tc>
      </w:tr>
      <w:tr w:rsidR="002B55E9" w:rsidRPr="002B55E9" w14:paraId="5DE67AF9" w14:textId="77777777">
        <w:trPr>
          <w:trHeight w:val="284"/>
        </w:trPr>
        <w:tc>
          <w:tcPr>
            <w:tcW w:w="671" w:type="dxa"/>
            <w:tcBorders>
              <w:top w:val="single" w:sz="4" w:space="0" w:color="auto"/>
              <w:left w:val="nil"/>
              <w:bottom w:val="single" w:sz="4" w:space="0" w:color="auto"/>
              <w:right w:val="single" w:sz="6" w:space="0" w:color="auto"/>
            </w:tcBorders>
            <w:vAlign w:val="center"/>
          </w:tcPr>
          <w:p w14:paraId="4DA8F6BD" w14:textId="77777777" w:rsidR="00D170E5" w:rsidRPr="002B55E9" w:rsidRDefault="00EF27AD">
            <w:pPr>
              <w:pStyle w:val="affff6"/>
              <w:snapToGrid w:val="0"/>
              <w:rPr>
                <w:szCs w:val="18"/>
              </w:rPr>
            </w:pPr>
            <w:r w:rsidRPr="002B55E9">
              <w:rPr>
                <w:rFonts w:hint="eastAsia"/>
                <w:szCs w:val="18"/>
              </w:rPr>
              <w:t>1</w:t>
            </w:r>
            <w:r w:rsidRPr="002B55E9">
              <w:rPr>
                <w:szCs w:val="18"/>
              </w:rPr>
              <w:t>5</w:t>
            </w:r>
          </w:p>
        </w:tc>
        <w:tc>
          <w:tcPr>
            <w:tcW w:w="1461" w:type="dxa"/>
            <w:tcBorders>
              <w:top w:val="single" w:sz="4" w:space="0" w:color="auto"/>
              <w:left w:val="single" w:sz="6" w:space="0" w:color="auto"/>
              <w:bottom w:val="single" w:sz="4" w:space="0" w:color="auto"/>
              <w:right w:val="single" w:sz="6" w:space="0" w:color="auto"/>
            </w:tcBorders>
            <w:vAlign w:val="center"/>
          </w:tcPr>
          <w:p w14:paraId="660E80E8" w14:textId="77777777" w:rsidR="00D170E5" w:rsidRPr="002B55E9" w:rsidRDefault="00EF27AD">
            <w:pPr>
              <w:snapToGrid w:val="0"/>
              <w:jc w:val="center"/>
              <w:rPr>
                <w:sz w:val="18"/>
                <w:szCs w:val="18"/>
              </w:rPr>
            </w:pPr>
            <w:r w:rsidRPr="002B55E9">
              <w:rPr>
                <w:sz w:val="18"/>
                <w:szCs w:val="18"/>
              </w:rPr>
              <w:t>113.99697304</w:t>
            </w:r>
          </w:p>
        </w:tc>
        <w:tc>
          <w:tcPr>
            <w:tcW w:w="1338" w:type="dxa"/>
            <w:tcBorders>
              <w:top w:val="single" w:sz="4" w:space="0" w:color="auto"/>
              <w:left w:val="single" w:sz="6" w:space="0" w:color="auto"/>
              <w:bottom w:val="single" w:sz="4" w:space="0" w:color="auto"/>
              <w:right w:val="single" w:sz="6" w:space="0" w:color="auto"/>
            </w:tcBorders>
            <w:vAlign w:val="center"/>
          </w:tcPr>
          <w:p w14:paraId="557432B9" w14:textId="77777777" w:rsidR="00D170E5" w:rsidRPr="002B55E9" w:rsidRDefault="00EF27AD">
            <w:pPr>
              <w:snapToGrid w:val="0"/>
              <w:jc w:val="center"/>
              <w:rPr>
                <w:sz w:val="18"/>
                <w:szCs w:val="18"/>
              </w:rPr>
            </w:pPr>
            <w:r w:rsidRPr="002B55E9">
              <w:rPr>
                <w:sz w:val="18"/>
                <w:szCs w:val="18"/>
              </w:rPr>
              <w:t>30.63853974</w:t>
            </w:r>
          </w:p>
        </w:tc>
        <w:tc>
          <w:tcPr>
            <w:tcW w:w="2197" w:type="dxa"/>
            <w:tcBorders>
              <w:top w:val="single" w:sz="4" w:space="0" w:color="auto"/>
              <w:left w:val="single" w:sz="6" w:space="0" w:color="auto"/>
              <w:bottom w:val="single" w:sz="4" w:space="0" w:color="auto"/>
              <w:right w:val="single" w:sz="6" w:space="0" w:color="auto"/>
            </w:tcBorders>
            <w:vAlign w:val="center"/>
          </w:tcPr>
          <w:p w14:paraId="65CAD95E" w14:textId="77777777" w:rsidR="00D170E5" w:rsidRPr="002B55E9" w:rsidRDefault="00EF27AD">
            <w:pPr>
              <w:snapToGrid w:val="0"/>
              <w:jc w:val="center"/>
              <w:rPr>
                <w:sz w:val="18"/>
                <w:szCs w:val="18"/>
              </w:rPr>
            </w:pPr>
            <w:r w:rsidRPr="002B55E9">
              <w:rPr>
                <w:rFonts w:hint="eastAsia"/>
                <w:sz w:val="18"/>
                <w:szCs w:val="18"/>
              </w:rPr>
              <w:t>乐佳小区</w:t>
            </w:r>
          </w:p>
        </w:tc>
        <w:tc>
          <w:tcPr>
            <w:tcW w:w="1166" w:type="dxa"/>
            <w:tcBorders>
              <w:top w:val="single" w:sz="4" w:space="0" w:color="auto"/>
              <w:left w:val="single" w:sz="6" w:space="0" w:color="auto"/>
              <w:bottom w:val="single" w:sz="4" w:space="0" w:color="auto"/>
              <w:right w:val="single" w:sz="6" w:space="0" w:color="auto"/>
            </w:tcBorders>
            <w:vAlign w:val="center"/>
          </w:tcPr>
          <w:p w14:paraId="3201D626" w14:textId="77777777" w:rsidR="00D170E5" w:rsidRPr="002B55E9" w:rsidRDefault="00EF27AD">
            <w:pPr>
              <w:snapToGrid w:val="0"/>
              <w:jc w:val="center"/>
              <w:rPr>
                <w:sz w:val="18"/>
                <w:szCs w:val="18"/>
              </w:rPr>
            </w:pPr>
            <w:r w:rsidRPr="002B55E9">
              <w:rPr>
                <w:rFonts w:hint="eastAsia"/>
                <w:sz w:val="18"/>
                <w:szCs w:val="18"/>
              </w:rPr>
              <w:t>1500</w:t>
            </w:r>
          </w:p>
        </w:tc>
        <w:tc>
          <w:tcPr>
            <w:tcW w:w="1166" w:type="dxa"/>
            <w:tcBorders>
              <w:top w:val="single" w:sz="4" w:space="0" w:color="auto"/>
              <w:left w:val="single" w:sz="6" w:space="0" w:color="auto"/>
              <w:bottom w:val="single" w:sz="4" w:space="0" w:color="auto"/>
              <w:right w:val="single" w:sz="6" w:space="0" w:color="auto"/>
            </w:tcBorders>
            <w:vAlign w:val="center"/>
          </w:tcPr>
          <w:p w14:paraId="0B8131F8"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7666B97A"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3870</w:t>
            </w:r>
          </w:p>
        </w:tc>
      </w:tr>
      <w:tr w:rsidR="002B55E9" w:rsidRPr="002B55E9" w14:paraId="68D08DE6" w14:textId="77777777">
        <w:trPr>
          <w:trHeight w:val="284"/>
        </w:trPr>
        <w:tc>
          <w:tcPr>
            <w:tcW w:w="671" w:type="dxa"/>
            <w:tcBorders>
              <w:top w:val="single" w:sz="4" w:space="0" w:color="auto"/>
              <w:left w:val="nil"/>
              <w:bottom w:val="single" w:sz="4" w:space="0" w:color="auto"/>
              <w:right w:val="single" w:sz="6" w:space="0" w:color="auto"/>
            </w:tcBorders>
            <w:vAlign w:val="center"/>
          </w:tcPr>
          <w:p w14:paraId="6E0893D2" w14:textId="77777777" w:rsidR="00D170E5" w:rsidRPr="002B55E9" w:rsidRDefault="00EF27AD">
            <w:pPr>
              <w:pStyle w:val="affff6"/>
              <w:snapToGrid w:val="0"/>
              <w:rPr>
                <w:szCs w:val="18"/>
              </w:rPr>
            </w:pPr>
            <w:r w:rsidRPr="002B55E9">
              <w:rPr>
                <w:rFonts w:hint="eastAsia"/>
                <w:szCs w:val="18"/>
              </w:rPr>
              <w:t>1</w:t>
            </w:r>
            <w:r w:rsidRPr="002B55E9">
              <w:rPr>
                <w:szCs w:val="18"/>
              </w:rPr>
              <w:t>6</w:t>
            </w:r>
          </w:p>
        </w:tc>
        <w:tc>
          <w:tcPr>
            <w:tcW w:w="1461" w:type="dxa"/>
            <w:tcBorders>
              <w:top w:val="single" w:sz="4" w:space="0" w:color="auto"/>
              <w:left w:val="single" w:sz="6" w:space="0" w:color="auto"/>
              <w:bottom w:val="single" w:sz="4" w:space="0" w:color="auto"/>
              <w:right w:val="single" w:sz="6" w:space="0" w:color="auto"/>
            </w:tcBorders>
            <w:vAlign w:val="center"/>
          </w:tcPr>
          <w:p w14:paraId="5A1BD8AC" w14:textId="77777777" w:rsidR="00D170E5" w:rsidRPr="002B55E9" w:rsidRDefault="00EF27AD">
            <w:pPr>
              <w:snapToGrid w:val="0"/>
              <w:jc w:val="center"/>
              <w:rPr>
                <w:sz w:val="18"/>
                <w:szCs w:val="18"/>
              </w:rPr>
            </w:pPr>
            <w:r w:rsidRPr="002B55E9">
              <w:rPr>
                <w:sz w:val="18"/>
                <w:szCs w:val="18"/>
              </w:rPr>
              <w:t>113.99873257</w:t>
            </w:r>
          </w:p>
        </w:tc>
        <w:tc>
          <w:tcPr>
            <w:tcW w:w="1338" w:type="dxa"/>
            <w:tcBorders>
              <w:top w:val="single" w:sz="4" w:space="0" w:color="auto"/>
              <w:left w:val="single" w:sz="6" w:space="0" w:color="auto"/>
              <w:bottom w:val="single" w:sz="4" w:space="0" w:color="auto"/>
              <w:right w:val="single" w:sz="6" w:space="0" w:color="auto"/>
            </w:tcBorders>
            <w:vAlign w:val="center"/>
          </w:tcPr>
          <w:p w14:paraId="79542236" w14:textId="77777777" w:rsidR="00D170E5" w:rsidRPr="002B55E9" w:rsidRDefault="00EF27AD">
            <w:pPr>
              <w:snapToGrid w:val="0"/>
              <w:jc w:val="center"/>
              <w:rPr>
                <w:sz w:val="18"/>
                <w:szCs w:val="18"/>
              </w:rPr>
            </w:pPr>
            <w:r w:rsidRPr="002B55E9">
              <w:rPr>
                <w:sz w:val="18"/>
                <w:szCs w:val="18"/>
              </w:rPr>
              <w:t>30.64285980</w:t>
            </w:r>
          </w:p>
        </w:tc>
        <w:tc>
          <w:tcPr>
            <w:tcW w:w="2197" w:type="dxa"/>
            <w:tcBorders>
              <w:top w:val="single" w:sz="4" w:space="0" w:color="auto"/>
              <w:left w:val="single" w:sz="6" w:space="0" w:color="auto"/>
              <w:bottom w:val="single" w:sz="4" w:space="0" w:color="auto"/>
              <w:right w:val="single" w:sz="6" w:space="0" w:color="auto"/>
            </w:tcBorders>
            <w:vAlign w:val="center"/>
          </w:tcPr>
          <w:p w14:paraId="2BB168C1" w14:textId="77777777" w:rsidR="00D170E5" w:rsidRPr="002B55E9" w:rsidRDefault="00EF27AD">
            <w:pPr>
              <w:snapToGrid w:val="0"/>
              <w:jc w:val="center"/>
              <w:rPr>
                <w:sz w:val="18"/>
                <w:szCs w:val="18"/>
              </w:rPr>
            </w:pPr>
            <w:r w:rsidRPr="002B55E9">
              <w:rPr>
                <w:rFonts w:hint="eastAsia"/>
                <w:sz w:val="18"/>
                <w:szCs w:val="18"/>
              </w:rPr>
              <w:t>新华苑</w:t>
            </w:r>
          </w:p>
        </w:tc>
        <w:tc>
          <w:tcPr>
            <w:tcW w:w="1166" w:type="dxa"/>
            <w:tcBorders>
              <w:top w:val="single" w:sz="4" w:space="0" w:color="auto"/>
              <w:left w:val="single" w:sz="6" w:space="0" w:color="auto"/>
              <w:bottom w:val="single" w:sz="4" w:space="0" w:color="auto"/>
              <w:right w:val="single" w:sz="6" w:space="0" w:color="auto"/>
            </w:tcBorders>
            <w:vAlign w:val="center"/>
          </w:tcPr>
          <w:p w14:paraId="500C86C2" w14:textId="77777777" w:rsidR="00D170E5" w:rsidRPr="002B55E9" w:rsidRDefault="00EF27AD">
            <w:pPr>
              <w:snapToGrid w:val="0"/>
              <w:jc w:val="center"/>
              <w:rPr>
                <w:sz w:val="18"/>
                <w:szCs w:val="18"/>
              </w:rPr>
            </w:pPr>
            <w:r w:rsidRPr="002B55E9">
              <w:rPr>
                <w:rFonts w:hint="eastAsia"/>
                <w:sz w:val="18"/>
                <w:szCs w:val="18"/>
              </w:rPr>
              <w:t>800</w:t>
            </w:r>
          </w:p>
        </w:tc>
        <w:tc>
          <w:tcPr>
            <w:tcW w:w="1166" w:type="dxa"/>
            <w:tcBorders>
              <w:top w:val="single" w:sz="4" w:space="0" w:color="auto"/>
              <w:left w:val="single" w:sz="6" w:space="0" w:color="auto"/>
              <w:bottom w:val="single" w:sz="4" w:space="0" w:color="auto"/>
              <w:right w:val="single" w:sz="6" w:space="0" w:color="auto"/>
            </w:tcBorders>
            <w:vAlign w:val="center"/>
          </w:tcPr>
          <w:p w14:paraId="0B9AA7BB"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47216FF3"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3560</w:t>
            </w:r>
          </w:p>
        </w:tc>
      </w:tr>
      <w:tr w:rsidR="002B55E9" w:rsidRPr="002B55E9" w14:paraId="56278C87" w14:textId="77777777">
        <w:trPr>
          <w:trHeight w:val="284"/>
        </w:trPr>
        <w:tc>
          <w:tcPr>
            <w:tcW w:w="671" w:type="dxa"/>
            <w:tcBorders>
              <w:top w:val="single" w:sz="4" w:space="0" w:color="auto"/>
              <w:left w:val="nil"/>
              <w:bottom w:val="single" w:sz="4" w:space="0" w:color="auto"/>
              <w:right w:val="single" w:sz="6" w:space="0" w:color="auto"/>
            </w:tcBorders>
            <w:vAlign w:val="center"/>
          </w:tcPr>
          <w:p w14:paraId="23E09B7B" w14:textId="77777777" w:rsidR="00D170E5" w:rsidRPr="002B55E9" w:rsidRDefault="00EF27AD">
            <w:pPr>
              <w:pStyle w:val="affff6"/>
              <w:snapToGrid w:val="0"/>
              <w:rPr>
                <w:szCs w:val="18"/>
              </w:rPr>
            </w:pPr>
            <w:r w:rsidRPr="002B55E9">
              <w:rPr>
                <w:rFonts w:hint="eastAsia"/>
                <w:szCs w:val="18"/>
              </w:rPr>
              <w:t>1</w:t>
            </w:r>
            <w:r w:rsidRPr="002B55E9">
              <w:rPr>
                <w:szCs w:val="18"/>
              </w:rPr>
              <w:t>7</w:t>
            </w:r>
          </w:p>
        </w:tc>
        <w:tc>
          <w:tcPr>
            <w:tcW w:w="1461" w:type="dxa"/>
            <w:tcBorders>
              <w:top w:val="single" w:sz="4" w:space="0" w:color="auto"/>
              <w:left w:val="single" w:sz="6" w:space="0" w:color="auto"/>
              <w:bottom w:val="single" w:sz="4" w:space="0" w:color="auto"/>
              <w:right w:val="single" w:sz="6" w:space="0" w:color="auto"/>
            </w:tcBorders>
            <w:vAlign w:val="center"/>
          </w:tcPr>
          <w:p w14:paraId="7AB978E0" w14:textId="77777777" w:rsidR="00D170E5" w:rsidRPr="002B55E9" w:rsidRDefault="00EF27AD">
            <w:pPr>
              <w:snapToGrid w:val="0"/>
              <w:jc w:val="center"/>
              <w:rPr>
                <w:sz w:val="18"/>
                <w:szCs w:val="18"/>
              </w:rPr>
            </w:pPr>
            <w:r w:rsidRPr="002B55E9">
              <w:rPr>
                <w:sz w:val="18"/>
                <w:szCs w:val="18"/>
              </w:rPr>
              <w:t>114.01087761</w:t>
            </w:r>
          </w:p>
        </w:tc>
        <w:tc>
          <w:tcPr>
            <w:tcW w:w="1338" w:type="dxa"/>
            <w:tcBorders>
              <w:top w:val="single" w:sz="4" w:space="0" w:color="auto"/>
              <w:left w:val="single" w:sz="6" w:space="0" w:color="auto"/>
              <w:bottom w:val="single" w:sz="4" w:space="0" w:color="auto"/>
              <w:right w:val="single" w:sz="6" w:space="0" w:color="auto"/>
            </w:tcBorders>
            <w:vAlign w:val="center"/>
          </w:tcPr>
          <w:p w14:paraId="385F163F" w14:textId="77777777" w:rsidR="00D170E5" w:rsidRPr="002B55E9" w:rsidRDefault="00EF27AD">
            <w:pPr>
              <w:snapToGrid w:val="0"/>
              <w:jc w:val="center"/>
              <w:rPr>
                <w:sz w:val="18"/>
                <w:szCs w:val="18"/>
              </w:rPr>
            </w:pPr>
            <w:r w:rsidRPr="002B55E9">
              <w:rPr>
                <w:sz w:val="18"/>
                <w:szCs w:val="18"/>
              </w:rPr>
              <w:t>30.64396747</w:t>
            </w:r>
          </w:p>
        </w:tc>
        <w:tc>
          <w:tcPr>
            <w:tcW w:w="2197" w:type="dxa"/>
            <w:tcBorders>
              <w:top w:val="single" w:sz="4" w:space="0" w:color="auto"/>
              <w:left w:val="single" w:sz="6" w:space="0" w:color="auto"/>
              <w:bottom w:val="single" w:sz="4" w:space="0" w:color="auto"/>
              <w:right w:val="single" w:sz="6" w:space="0" w:color="auto"/>
            </w:tcBorders>
            <w:vAlign w:val="center"/>
          </w:tcPr>
          <w:p w14:paraId="32E545E1" w14:textId="77777777" w:rsidR="00D170E5" w:rsidRPr="002B55E9" w:rsidRDefault="00EF27AD">
            <w:pPr>
              <w:snapToGrid w:val="0"/>
              <w:jc w:val="center"/>
              <w:rPr>
                <w:sz w:val="18"/>
                <w:szCs w:val="18"/>
              </w:rPr>
            </w:pPr>
            <w:r w:rsidRPr="002B55E9">
              <w:rPr>
                <w:rFonts w:hint="eastAsia"/>
                <w:sz w:val="18"/>
                <w:szCs w:val="18"/>
              </w:rPr>
              <w:t>聚安路小区</w:t>
            </w:r>
          </w:p>
        </w:tc>
        <w:tc>
          <w:tcPr>
            <w:tcW w:w="1166" w:type="dxa"/>
            <w:tcBorders>
              <w:top w:val="single" w:sz="4" w:space="0" w:color="auto"/>
              <w:left w:val="single" w:sz="6" w:space="0" w:color="auto"/>
              <w:bottom w:val="single" w:sz="4" w:space="0" w:color="auto"/>
              <w:right w:val="single" w:sz="6" w:space="0" w:color="auto"/>
            </w:tcBorders>
            <w:vAlign w:val="center"/>
          </w:tcPr>
          <w:p w14:paraId="20B69E29" w14:textId="77777777" w:rsidR="00D170E5" w:rsidRPr="002B55E9" w:rsidRDefault="00EF27AD">
            <w:pPr>
              <w:snapToGrid w:val="0"/>
              <w:jc w:val="center"/>
              <w:rPr>
                <w:sz w:val="18"/>
                <w:szCs w:val="18"/>
              </w:rPr>
            </w:pPr>
            <w:r w:rsidRPr="002B55E9">
              <w:rPr>
                <w:rFonts w:hint="eastAsia"/>
                <w:sz w:val="18"/>
                <w:szCs w:val="18"/>
              </w:rPr>
              <w:t>90</w:t>
            </w:r>
          </w:p>
        </w:tc>
        <w:tc>
          <w:tcPr>
            <w:tcW w:w="1166" w:type="dxa"/>
            <w:tcBorders>
              <w:top w:val="single" w:sz="4" w:space="0" w:color="auto"/>
              <w:left w:val="single" w:sz="6" w:space="0" w:color="auto"/>
              <w:bottom w:val="single" w:sz="4" w:space="0" w:color="auto"/>
              <w:right w:val="single" w:sz="6" w:space="0" w:color="auto"/>
            </w:tcBorders>
            <w:vAlign w:val="center"/>
          </w:tcPr>
          <w:p w14:paraId="18DE4112"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21730F88"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3790</w:t>
            </w:r>
          </w:p>
        </w:tc>
      </w:tr>
      <w:tr w:rsidR="002B55E9" w:rsidRPr="002B55E9" w14:paraId="79A270E4" w14:textId="77777777">
        <w:trPr>
          <w:trHeight w:val="284"/>
        </w:trPr>
        <w:tc>
          <w:tcPr>
            <w:tcW w:w="671" w:type="dxa"/>
            <w:tcBorders>
              <w:top w:val="single" w:sz="4" w:space="0" w:color="auto"/>
              <w:left w:val="nil"/>
              <w:bottom w:val="single" w:sz="4" w:space="0" w:color="auto"/>
              <w:right w:val="single" w:sz="6" w:space="0" w:color="auto"/>
            </w:tcBorders>
            <w:vAlign w:val="center"/>
          </w:tcPr>
          <w:p w14:paraId="4646F2C1" w14:textId="77777777" w:rsidR="00D170E5" w:rsidRPr="002B55E9" w:rsidRDefault="00EF27AD">
            <w:pPr>
              <w:pStyle w:val="affff6"/>
              <w:snapToGrid w:val="0"/>
              <w:rPr>
                <w:szCs w:val="18"/>
              </w:rPr>
            </w:pPr>
            <w:r w:rsidRPr="002B55E9">
              <w:rPr>
                <w:rFonts w:hint="eastAsia"/>
                <w:szCs w:val="18"/>
              </w:rPr>
              <w:t>1</w:t>
            </w:r>
            <w:r w:rsidRPr="002B55E9">
              <w:rPr>
                <w:szCs w:val="18"/>
              </w:rPr>
              <w:t>8</w:t>
            </w:r>
          </w:p>
        </w:tc>
        <w:tc>
          <w:tcPr>
            <w:tcW w:w="1461" w:type="dxa"/>
            <w:tcBorders>
              <w:top w:val="single" w:sz="4" w:space="0" w:color="auto"/>
              <w:left w:val="single" w:sz="6" w:space="0" w:color="auto"/>
              <w:bottom w:val="single" w:sz="4" w:space="0" w:color="auto"/>
              <w:right w:val="single" w:sz="6" w:space="0" w:color="auto"/>
            </w:tcBorders>
            <w:vAlign w:val="center"/>
          </w:tcPr>
          <w:p w14:paraId="2ADBBC8B" w14:textId="77777777" w:rsidR="00D170E5" w:rsidRPr="002B55E9" w:rsidRDefault="00EF27AD">
            <w:pPr>
              <w:snapToGrid w:val="0"/>
              <w:jc w:val="center"/>
              <w:rPr>
                <w:sz w:val="18"/>
                <w:szCs w:val="18"/>
              </w:rPr>
            </w:pPr>
            <w:r w:rsidRPr="002B55E9">
              <w:rPr>
                <w:sz w:val="18"/>
                <w:szCs w:val="18"/>
              </w:rPr>
              <w:t>114.01714325</w:t>
            </w:r>
          </w:p>
        </w:tc>
        <w:tc>
          <w:tcPr>
            <w:tcW w:w="1338" w:type="dxa"/>
            <w:tcBorders>
              <w:top w:val="single" w:sz="4" w:space="0" w:color="auto"/>
              <w:left w:val="single" w:sz="6" w:space="0" w:color="auto"/>
              <w:bottom w:val="single" w:sz="4" w:space="0" w:color="auto"/>
              <w:right w:val="single" w:sz="6" w:space="0" w:color="auto"/>
            </w:tcBorders>
            <w:vAlign w:val="center"/>
          </w:tcPr>
          <w:p w14:paraId="4ADCDF96" w14:textId="77777777" w:rsidR="00D170E5" w:rsidRPr="002B55E9" w:rsidRDefault="00EF27AD">
            <w:pPr>
              <w:snapToGrid w:val="0"/>
              <w:jc w:val="center"/>
              <w:rPr>
                <w:sz w:val="18"/>
                <w:szCs w:val="18"/>
              </w:rPr>
            </w:pPr>
            <w:r w:rsidRPr="002B55E9">
              <w:rPr>
                <w:sz w:val="18"/>
                <w:szCs w:val="18"/>
              </w:rPr>
              <w:t>30.64348748</w:t>
            </w:r>
          </w:p>
        </w:tc>
        <w:tc>
          <w:tcPr>
            <w:tcW w:w="2197" w:type="dxa"/>
            <w:tcBorders>
              <w:top w:val="single" w:sz="4" w:space="0" w:color="auto"/>
              <w:left w:val="single" w:sz="6" w:space="0" w:color="auto"/>
              <w:bottom w:val="single" w:sz="4" w:space="0" w:color="auto"/>
              <w:right w:val="single" w:sz="6" w:space="0" w:color="auto"/>
            </w:tcBorders>
            <w:vAlign w:val="center"/>
          </w:tcPr>
          <w:p w14:paraId="167A5516" w14:textId="77777777" w:rsidR="00D170E5" w:rsidRPr="002B55E9" w:rsidRDefault="00EF27AD">
            <w:pPr>
              <w:snapToGrid w:val="0"/>
              <w:jc w:val="center"/>
              <w:rPr>
                <w:sz w:val="18"/>
                <w:szCs w:val="18"/>
              </w:rPr>
            </w:pPr>
            <w:r w:rsidRPr="002B55E9">
              <w:rPr>
                <w:rFonts w:hint="eastAsia"/>
                <w:sz w:val="18"/>
                <w:szCs w:val="18"/>
              </w:rPr>
              <w:t>同心花苑二期</w:t>
            </w:r>
          </w:p>
        </w:tc>
        <w:tc>
          <w:tcPr>
            <w:tcW w:w="1166" w:type="dxa"/>
            <w:tcBorders>
              <w:top w:val="single" w:sz="4" w:space="0" w:color="auto"/>
              <w:left w:val="single" w:sz="6" w:space="0" w:color="auto"/>
              <w:bottom w:val="single" w:sz="4" w:space="0" w:color="auto"/>
              <w:right w:val="single" w:sz="6" w:space="0" w:color="auto"/>
            </w:tcBorders>
            <w:vAlign w:val="center"/>
          </w:tcPr>
          <w:p w14:paraId="6E1EED6E" w14:textId="77777777" w:rsidR="00D170E5" w:rsidRPr="002B55E9" w:rsidRDefault="00EF27AD">
            <w:pPr>
              <w:snapToGrid w:val="0"/>
              <w:jc w:val="center"/>
              <w:rPr>
                <w:sz w:val="18"/>
                <w:szCs w:val="18"/>
              </w:rPr>
            </w:pPr>
            <w:r w:rsidRPr="002B55E9">
              <w:rPr>
                <w:rFonts w:hint="eastAsia"/>
                <w:sz w:val="18"/>
                <w:szCs w:val="18"/>
              </w:rPr>
              <w:t>1280</w:t>
            </w:r>
          </w:p>
        </w:tc>
        <w:tc>
          <w:tcPr>
            <w:tcW w:w="1166" w:type="dxa"/>
            <w:tcBorders>
              <w:top w:val="single" w:sz="4" w:space="0" w:color="auto"/>
              <w:left w:val="single" w:sz="6" w:space="0" w:color="auto"/>
              <w:bottom w:val="single" w:sz="4" w:space="0" w:color="auto"/>
              <w:right w:val="single" w:sz="6" w:space="0" w:color="auto"/>
            </w:tcBorders>
            <w:vAlign w:val="center"/>
          </w:tcPr>
          <w:p w14:paraId="338776E5"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6EE8F24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4130</w:t>
            </w:r>
          </w:p>
        </w:tc>
      </w:tr>
      <w:tr w:rsidR="002B55E9" w:rsidRPr="002B55E9" w14:paraId="2E0F75CC" w14:textId="77777777">
        <w:trPr>
          <w:trHeight w:val="284"/>
        </w:trPr>
        <w:tc>
          <w:tcPr>
            <w:tcW w:w="671" w:type="dxa"/>
            <w:tcBorders>
              <w:top w:val="single" w:sz="4" w:space="0" w:color="auto"/>
              <w:left w:val="nil"/>
              <w:bottom w:val="single" w:sz="4" w:space="0" w:color="auto"/>
              <w:right w:val="single" w:sz="6" w:space="0" w:color="auto"/>
            </w:tcBorders>
            <w:vAlign w:val="center"/>
          </w:tcPr>
          <w:p w14:paraId="67D1CD8B" w14:textId="77777777" w:rsidR="00D170E5" w:rsidRPr="002B55E9" w:rsidRDefault="00EF27AD">
            <w:pPr>
              <w:pStyle w:val="affff6"/>
              <w:snapToGrid w:val="0"/>
              <w:rPr>
                <w:szCs w:val="18"/>
              </w:rPr>
            </w:pPr>
            <w:r w:rsidRPr="002B55E9">
              <w:rPr>
                <w:rFonts w:hint="eastAsia"/>
                <w:szCs w:val="18"/>
              </w:rPr>
              <w:t>1</w:t>
            </w:r>
            <w:r w:rsidRPr="002B55E9">
              <w:rPr>
                <w:szCs w:val="18"/>
              </w:rPr>
              <w:t>9</w:t>
            </w:r>
          </w:p>
        </w:tc>
        <w:tc>
          <w:tcPr>
            <w:tcW w:w="1461" w:type="dxa"/>
            <w:tcBorders>
              <w:top w:val="single" w:sz="4" w:space="0" w:color="auto"/>
              <w:left w:val="single" w:sz="6" w:space="0" w:color="auto"/>
              <w:bottom w:val="single" w:sz="4" w:space="0" w:color="auto"/>
              <w:right w:val="single" w:sz="6" w:space="0" w:color="auto"/>
            </w:tcBorders>
            <w:vAlign w:val="center"/>
          </w:tcPr>
          <w:p w14:paraId="76C72AEE" w14:textId="77777777" w:rsidR="00D170E5" w:rsidRPr="002B55E9" w:rsidRDefault="00EF27AD">
            <w:pPr>
              <w:snapToGrid w:val="0"/>
              <w:jc w:val="center"/>
              <w:rPr>
                <w:sz w:val="18"/>
                <w:szCs w:val="18"/>
              </w:rPr>
            </w:pPr>
            <w:r w:rsidRPr="002B55E9">
              <w:rPr>
                <w:sz w:val="18"/>
                <w:szCs w:val="18"/>
              </w:rPr>
              <w:t>114.01928902</w:t>
            </w:r>
          </w:p>
        </w:tc>
        <w:tc>
          <w:tcPr>
            <w:tcW w:w="1338" w:type="dxa"/>
            <w:tcBorders>
              <w:top w:val="single" w:sz="4" w:space="0" w:color="auto"/>
              <w:left w:val="single" w:sz="6" w:space="0" w:color="auto"/>
              <w:bottom w:val="single" w:sz="4" w:space="0" w:color="auto"/>
              <w:right w:val="single" w:sz="6" w:space="0" w:color="auto"/>
            </w:tcBorders>
            <w:vAlign w:val="center"/>
          </w:tcPr>
          <w:p w14:paraId="51C6D9B5" w14:textId="77777777" w:rsidR="00D170E5" w:rsidRPr="002B55E9" w:rsidRDefault="00EF27AD">
            <w:pPr>
              <w:snapToGrid w:val="0"/>
              <w:jc w:val="center"/>
              <w:rPr>
                <w:sz w:val="18"/>
                <w:szCs w:val="18"/>
              </w:rPr>
            </w:pPr>
            <w:r w:rsidRPr="002B55E9">
              <w:rPr>
                <w:sz w:val="18"/>
                <w:szCs w:val="18"/>
              </w:rPr>
              <w:t>30.64463207</w:t>
            </w:r>
          </w:p>
        </w:tc>
        <w:tc>
          <w:tcPr>
            <w:tcW w:w="2197" w:type="dxa"/>
            <w:tcBorders>
              <w:top w:val="single" w:sz="4" w:space="0" w:color="auto"/>
              <w:left w:val="single" w:sz="6" w:space="0" w:color="auto"/>
              <w:bottom w:val="single" w:sz="4" w:space="0" w:color="auto"/>
              <w:right w:val="single" w:sz="6" w:space="0" w:color="auto"/>
            </w:tcBorders>
            <w:vAlign w:val="center"/>
          </w:tcPr>
          <w:p w14:paraId="549AC84C" w14:textId="77777777" w:rsidR="00D170E5" w:rsidRPr="002B55E9" w:rsidRDefault="00EF27AD">
            <w:pPr>
              <w:snapToGrid w:val="0"/>
              <w:jc w:val="center"/>
              <w:rPr>
                <w:sz w:val="18"/>
                <w:szCs w:val="18"/>
              </w:rPr>
            </w:pPr>
            <w:r w:rsidRPr="002B55E9">
              <w:rPr>
                <w:rFonts w:hint="eastAsia"/>
                <w:sz w:val="18"/>
                <w:szCs w:val="18"/>
              </w:rPr>
              <w:t>同心花苑</w:t>
            </w:r>
            <w:r w:rsidRPr="002B55E9">
              <w:rPr>
                <w:rFonts w:hint="eastAsia"/>
                <w:sz w:val="18"/>
                <w:szCs w:val="18"/>
              </w:rPr>
              <w:t>A</w:t>
            </w:r>
            <w:r w:rsidRPr="002B55E9">
              <w:rPr>
                <w:rFonts w:hint="eastAsia"/>
                <w:sz w:val="18"/>
                <w:szCs w:val="18"/>
              </w:rPr>
              <w:t>区</w:t>
            </w:r>
          </w:p>
        </w:tc>
        <w:tc>
          <w:tcPr>
            <w:tcW w:w="1166" w:type="dxa"/>
            <w:tcBorders>
              <w:top w:val="single" w:sz="4" w:space="0" w:color="auto"/>
              <w:left w:val="single" w:sz="6" w:space="0" w:color="auto"/>
              <w:bottom w:val="single" w:sz="4" w:space="0" w:color="auto"/>
              <w:right w:val="single" w:sz="6" w:space="0" w:color="auto"/>
            </w:tcBorders>
            <w:vAlign w:val="center"/>
          </w:tcPr>
          <w:p w14:paraId="5102F9C1" w14:textId="77777777" w:rsidR="00D170E5" w:rsidRPr="002B55E9" w:rsidRDefault="00EF27AD">
            <w:pPr>
              <w:snapToGrid w:val="0"/>
              <w:jc w:val="center"/>
              <w:rPr>
                <w:sz w:val="18"/>
                <w:szCs w:val="18"/>
              </w:rPr>
            </w:pPr>
            <w:r w:rsidRPr="002B55E9">
              <w:rPr>
                <w:sz w:val="18"/>
                <w:szCs w:val="18"/>
              </w:rPr>
              <w:t>400</w:t>
            </w:r>
          </w:p>
        </w:tc>
        <w:tc>
          <w:tcPr>
            <w:tcW w:w="1166" w:type="dxa"/>
            <w:tcBorders>
              <w:top w:val="single" w:sz="4" w:space="0" w:color="auto"/>
              <w:left w:val="single" w:sz="6" w:space="0" w:color="auto"/>
              <w:bottom w:val="single" w:sz="4" w:space="0" w:color="auto"/>
              <w:right w:val="single" w:sz="6" w:space="0" w:color="auto"/>
            </w:tcBorders>
            <w:vAlign w:val="center"/>
          </w:tcPr>
          <w:p w14:paraId="7A343B66"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40D7B389"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4180</w:t>
            </w:r>
          </w:p>
        </w:tc>
      </w:tr>
      <w:tr w:rsidR="002B55E9" w:rsidRPr="002B55E9" w14:paraId="44A5FEE2" w14:textId="77777777">
        <w:trPr>
          <w:trHeight w:val="284"/>
        </w:trPr>
        <w:tc>
          <w:tcPr>
            <w:tcW w:w="671" w:type="dxa"/>
            <w:tcBorders>
              <w:top w:val="single" w:sz="4" w:space="0" w:color="auto"/>
              <w:left w:val="nil"/>
              <w:bottom w:val="single" w:sz="4" w:space="0" w:color="auto"/>
              <w:right w:val="single" w:sz="6" w:space="0" w:color="auto"/>
            </w:tcBorders>
            <w:vAlign w:val="center"/>
          </w:tcPr>
          <w:p w14:paraId="2226E396" w14:textId="77777777" w:rsidR="00D170E5" w:rsidRPr="002B55E9" w:rsidRDefault="00EF27AD">
            <w:pPr>
              <w:pStyle w:val="affff6"/>
              <w:snapToGrid w:val="0"/>
              <w:rPr>
                <w:szCs w:val="18"/>
              </w:rPr>
            </w:pPr>
            <w:r w:rsidRPr="002B55E9">
              <w:rPr>
                <w:rFonts w:hint="eastAsia"/>
                <w:szCs w:val="18"/>
              </w:rPr>
              <w:t>2</w:t>
            </w:r>
            <w:r w:rsidRPr="002B55E9">
              <w:rPr>
                <w:szCs w:val="18"/>
              </w:rPr>
              <w:t>0</w:t>
            </w:r>
          </w:p>
        </w:tc>
        <w:tc>
          <w:tcPr>
            <w:tcW w:w="1461" w:type="dxa"/>
            <w:tcBorders>
              <w:top w:val="single" w:sz="4" w:space="0" w:color="auto"/>
              <w:left w:val="single" w:sz="6" w:space="0" w:color="auto"/>
              <w:bottom w:val="single" w:sz="4" w:space="0" w:color="auto"/>
              <w:right w:val="single" w:sz="6" w:space="0" w:color="auto"/>
            </w:tcBorders>
            <w:vAlign w:val="center"/>
          </w:tcPr>
          <w:p w14:paraId="48F5A81D" w14:textId="77777777" w:rsidR="00D170E5" w:rsidRPr="002B55E9" w:rsidRDefault="00EF27AD">
            <w:pPr>
              <w:snapToGrid w:val="0"/>
              <w:jc w:val="center"/>
              <w:rPr>
                <w:sz w:val="18"/>
                <w:szCs w:val="18"/>
              </w:rPr>
            </w:pPr>
            <w:r w:rsidRPr="002B55E9">
              <w:rPr>
                <w:sz w:val="18"/>
                <w:szCs w:val="18"/>
              </w:rPr>
              <w:t>114.02375221</w:t>
            </w:r>
          </w:p>
        </w:tc>
        <w:tc>
          <w:tcPr>
            <w:tcW w:w="1338" w:type="dxa"/>
            <w:tcBorders>
              <w:top w:val="single" w:sz="4" w:space="0" w:color="auto"/>
              <w:left w:val="single" w:sz="6" w:space="0" w:color="auto"/>
              <w:bottom w:val="single" w:sz="4" w:space="0" w:color="auto"/>
              <w:right w:val="single" w:sz="6" w:space="0" w:color="auto"/>
            </w:tcBorders>
            <w:vAlign w:val="center"/>
          </w:tcPr>
          <w:p w14:paraId="133F4A56" w14:textId="77777777" w:rsidR="00D170E5" w:rsidRPr="002B55E9" w:rsidRDefault="00EF27AD">
            <w:pPr>
              <w:snapToGrid w:val="0"/>
              <w:jc w:val="center"/>
              <w:rPr>
                <w:sz w:val="18"/>
                <w:szCs w:val="18"/>
              </w:rPr>
            </w:pPr>
            <w:r w:rsidRPr="002B55E9">
              <w:rPr>
                <w:sz w:val="18"/>
                <w:szCs w:val="18"/>
              </w:rPr>
              <w:t>30.64212134</w:t>
            </w:r>
          </w:p>
        </w:tc>
        <w:tc>
          <w:tcPr>
            <w:tcW w:w="2197" w:type="dxa"/>
            <w:tcBorders>
              <w:top w:val="single" w:sz="4" w:space="0" w:color="auto"/>
              <w:left w:val="single" w:sz="6" w:space="0" w:color="auto"/>
              <w:bottom w:val="single" w:sz="4" w:space="0" w:color="auto"/>
              <w:right w:val="single" w:sz="6" w:space="0" w:color="auto"/>
            </w:tcBorders>
            <w:vAlign w:val="center"/>
          </w:tcPr>
          <w:p w14:paraId="7E138AFF" w14:textId="77777777" w:rsidR="00D170E5" w:rsidRPr="002B55E9" w:rsidRDefault="00EF27AD">
            <w:pPr>
              <w:snapToGrid w:val="0"/>
              <w:jc w:val="center"/>
              <w:rPr>
                <w:sz w:val="18"/>
                <w:szCs w:val="18"/>
              </w:rPr>
            </w:pPr>
            <w:r w:rsidRPr="002B55E9">
              <w:rPr>
                <w:rFonts w:hint="eastAsia"/>
                <w:sz w:val="18"/>
                <w:szCs w:val="18"/>
              </w:rPr>
              <w:t>同心花苑还建小区</w:t>
            </w:r>
          </w:p>
        </w:tc>
        <w:tc>
          <w:tcPr>
            <w:tcW w:w="1166" w:type="dxa"/>
            <w:tcBorders>
              <w:top w:val="single" w:sz="4" w:space="0" w:color="auto"/>
              <w:left w:val="single" w:sz="6" w:space="0" w:color="auto"/>
              <w:bottom w:val="single" w:sz="4" w:space="0" w:color="auto"/>
              <w:right w:val="single" w:sz="6" w:space="0" w:color="auto"/>
            </w:tcBorders>
            <w:vAlign w:val="center"/>
          </w:tcPr>
          <w:p w14:paraId="4EC85CF6" w14:textId="77777777" w:rsidR="00D170E5" w:rsidRPr="002B55E9" w:rsidRDefault="00EF27AD">
            <w:pPr>
              <w:snapToGrid w:val="0"/>
              <w:jc w:val="center"/>
              <w:rPr>
                <w:sz w:val="18"/>
                <w:szCs w:val="18"/>
              </w:rPr>
            </w:pPr>
            <w:r w:rsidRPr="002B55E9">
              <w:rPr>
                <w:rFonts w:hint="eastAsia"/>
                <w:sz w:val="18"/>
                <w:szCs w:val="18"/>
              </w:rPr>
              <w:t>500</w:t>
            </w:r>
          </w:p>
        </w:tc>
        <w:tc>
          <w:tcPr>
            <w:tcW w:w="1166" w:type="dxa"/>
            <w:tcBorders>
              <w:top w:val="single" w:sz="4" w:space="0" w:color="auto"/>
              <w:left w:val="single" w:sz="6" w:space="0" w:color="auto"/>
              <w:bottom w:val="single" w:sz="4" w:space="0" w:color="auto"/>
              <w:right w:val="single" w:sz="6" w:space="0" w:color="auto"/>
            </w:tcBorders>
            <w:vAlign w:val="center"/>
          </w:tcPr>
          <w:p w14:paraId="77A31AD0"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47488869"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4600</w:t>
            </w:r>
          </w:p>
        </w:tc>
      </w:tr>
      <w:tr w:rsidR="002B55E9" w:rsidRPr="002B55E9" w14:paraId="1DB2E57C" w14:textId="77777777">
        <w:trPr>
          <w:trHeight w:val="284"/>
        </w:trPr>
        <w:tc>
          <w:tcPr>
            <w:tcW w:w="671" w:type="dxa"/>
            <w:tcBorders>
              <w:top w:val="single" w:sz="4" w:space="0" w:color="auto"/>
              <w:left w:val="nil"/>
              <w:bottom w:val="single" w:sz="4" w:space="0" w:color="auto"/>
              <w:right w:val="single" w:sz="6" w:space="0" w:color="auto"/>
            </w:tcBorders>
            <w:vAlign w:val="center"/>
          </w:tcPr>
          <w:p w14:paraId="2F2FFCAB" w14:textId="77777777" w:rsidR="00D170E5" w:rsidRPr="002B55E9" w:rsidRDefault="00EF27AD">
            <w:pPr>
              <w:pStyle w:val="affff6"/>
              <w:snapToGrid w:val="0"/>
              <w:rPr>
                <w:szCs w:val="18"/>
              </w:rPr>
            </w:pPr>
            <w:r w:rsidRPr="002B55E9">
              <w:rPr>
                <w:rFonts w:hint="eastAsia"/>
                <w:szCs w:val="18"/>
              </w:rPr>
              <w:t>2</w:t>
            </w:r>
            <w:r w:rsidRPr="002B55E9">
              <w:rPr>
                <w:szCs w:val="18"/>
              </w:rPr>
              <w:t>1</w:t>
            </w:r>
          </w:p>
        </w:tc>
        <w:tc>
          <w:tcPr>
            <w:tcW w:w="1461" w:type="dxa"/>
            <w:tcBorders>
              <w:top w:val="single" w:sz="4" w:space="0" w:color="auto"/>
              <w:left w:val="single" w:sz="6" w:space="0" w:color="auto"/>
              <w:bottom w:val="single" w:sz="4" w:space="0" w:color="auto"/>
              <w:right w:val="single" w:sz="6" w:space="0" w:color="auto"/>
            </w:tcBorders>
            <w:vAlign w:val="center"/>
          </w:tcPr>
          <w:p w14:paraId="5EFCFA6B" w14:textId="77777777" w:rsidR="00D170E5" w:rsidRPr="002B55E9" w:rsidRDefault="00EF27AD">
            <w:pPr>
              <w:snapToGrid w:val="0"/>
              <w:jc w:val="center"/>
              <w:rPr>
                <w:sz w:val="18"/>
                <w:szCs w:val="18"/>
              </w:rPr>
            </w:pPr>
            <w:r w:rsidRPr="002B55E9">
              <w:rPr>
                <w:sz w:val="18"/>
                <w:szCs w:val="18"/>
              </w:rPr>
              <w:t>114.01662827</w:t>
            </w:r>
          </w:p>
        </w:tc>
        <w:tc>
          <w:tcPr>
            <w:tcW w:w="1338" w:type="dxa"/>
            <w:tcBorders>
              <w:top w:val="single" w:sz="4" w:space="0" w:color="auto"/>
              <w:left w:val="single" w:sz="6" w:space="0" w:color="auto"/>
              <w:bottom w:val="single" w:sz="4" w:space="0" w:color="auto"/>
              <w:right w:val="single" w:sz="6" w:space="0" w:color="auto"/>
            </w:tcBorders>
            <w:vAlign w:val="center"/>
          </w:tcPr>
          <w:p w14:paraId="2A1FD3F5" w14:textId="77777777" w:rsidR="00D170E5" w:rsidRPr="002B55E9" w:rsidRDefault="00EF27AD">
            <w:pPr>
              <w:snapToGrid w:val="0"/>
              <w:jc w:val="center"/>
              <w:rPr>
                <w:sz w:val="18"/>
                <w:szCs w:val="18"/>
              </w:rPr>
            </w:pPr>
            <w:r w:rsidRPr="002B55E9">
              <w:rPr>
                <w:sz w:val="18"/>
                <w:szCs w:val="18"/>
              </w:rPr>
              <w:t>30.64902569</w:t>
            </w:r>
          </w:p>
        </w:tc>
        <w:tc>
          <w:tcPr>
            <w:tcW w:w="2197" w:type="dxa"/>
            <w:tcBorders>
              <w:top w:val="single" w:sz="4" w:space="0" w:color="auto"/>
              <w:left w:val="single" w:sz="6" w:space="0" w:color="auto"/>
              <w:bottom w:val="single" w:sz="4" w:space="0" w:color="auto"/>
              <w:right w:val="single" w:sz="6" w:space="0" w:color="auto"/>
            </w:tcBorders>
            <w:vAlign w:val="center"/>
          </w:tcPr>
          <w:p w14:paraId="221325DD" w14:textId="77777777" w:rsidR="00D170E5" w:rsidRPr="002B55E9" w:rsidRDefault="00EF27AD">
            <w:pPr>
              <w:snapToGrid w:val="0"/>
              <w:jc w:val="center"/>
              <w:rPr>
                <w:sz w:val="18"/>
                <w:szCs w:val="18"/>
              </w:rPr>
            </w:pPr>
            <w:r w:rsidRPr="002B55E9">
              <w:rPr>
                <w:rFonts w:hint="eastAsia"/>
                <w:sz w:val="18"/>
                <w:szCs w:val="18"/>
              </w:rPr>
              <w:t>航发天虹城（在建）</w:t>
            </w:r>
          </w:p>
        </w:tc>
        <w:tc>
          <w:tcPr>
            <w:tcW w:w="1166" w:type="dxa"/>
            <w:tcBorders>
              <w:top w:val="single" w:sz="4" w:space="0" w:color="auto"/>
              <w:left w:val="single" w:sz="6" w:space="0" w:color="auto"/>
              <w:bottom w:val="single" w:sz="4" w:space="0" w:color="auto"/>
              <w:right w:val="single" w:sz="6" w:space="0" w:color="auto"/>
            </w:tcBorders>
            <w:vAlign w:val="center"/>
          </w:tcPr>
          <w:p w14:paraId="53A04A2E" w14:textId="77777777" w:rsidR="00D170E5" w:rsidRPr="002B55E9" w:rsidRDefault="00EF27AD">
            <w:pPr>
              <w:snapToGrid w:val="0"/>
              <w:jc w:val="center"/>
              <w:rPr>
                <w:sz w:val="18"/>
                <w:szCs w:val="18"/>
              </w:rPr>
            </w:pPr>
            <w:r w:rsidRPr="002B55E9">
              <w:rPr>
                <w:rFonts w:hint="eastAsia"/>
                <w:sz w:val="18"/>
                <w:szCs w:val="18"/>
              </w:rPr>
              <w:t>7000</w:t>
            </w:r>
          </w:p>
        </w:tc>
        <w:tc>
          <w:tcPr>
            <w:tcW w:w="1166" w:type="dxa"/>
            <w:tcBorders>
              <w:top w:val="single" w:sz="4" w:space="0" w:color="auto"/>
              <w:left w:val="single" w:sz="6" w:space="0" w:color="auto"/>
              <w:bottom w:val="single" w:sz="4" w:space="0" w:color="auto"/>
              <w:right w:val="single" w:sz="6" w:space="0" w:color="auto"/>
            </w:tcBorders>
            <w:vAlign w:val="center"/>
          </w:tcPr>
          <w:p w14:paraId="474A97B5"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13AAE228"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3530</w:t>
            </w:r>
          </w:p>
        </w:tc>
      </w:tr>
      <w:tr w:rsidR="002B55E9" w:rsidRPr="002B55E9" w14:paraId="461DF797" w14:textId="77777777">
        <w:trPr>
          <w:trHeight w:val="284"/>
        </w:trPr>
        <w:tc>
          <w:tcPr>
            <w:tcW w:w="671" w:type="dxa"/>
            <w:tcBorders>
              <w:top w:val="single" w:sz="4" w:space="0" w:color="auto"/>
              <w:left w:val="nil"/>
              <w:bottom w:val="single" w:sz="4" w:space="0" w:color="auto"/>
              <w:right w:val="single" w:sz="6" w:space="0" w:color="auto"/>
            </w:tcBorders>
            <w:vAlign w:val="center"/>
          </w:tcPr>
          <w:p w14:paraId="731A8E6D" w14:textId="77777777" w:rsidR="00D170E5" w:rsidRPr="002B55E9" w:rsidRDefault="00EF27AD">
            <w:pPr>
              <w:pStyle w:val="affff6"/>
              <w:snapToGrid w:val="0"/>
              <w:rPr>
                <w:szCs w:val="18"/>
              </w:rPr>
            </w:pPr>
            <w:r w:rsidRPr="002B55E9">
              <w:rPr>
                <w:rFonts w:hint="eastAsia"/>
                <w:szCs w:val="18"/>
              </w:rPr>
              <w:t>2</w:t>
            </w:r>
            <w:r w:rsidRPr="002B55E9">
              <w:rPr>
                <w:szCs w:val="18"/>
              </w:rPr>
              <w:t>2</w:t>
            </w:r>
          </w:p>
        </w:tc>
        <w:tc>
          <w:tcPr>
            <w:tcW w:w="1461" w:type="dxa"/>
            <w:tcBorders>
              <w:top w:val="single" w:sz="4" w:space="0" w:color="auto"/>
              <w:left w:val="single" w:sz="6" w:space="0" w:color="auto"/>
              <w:bottom w:val="single" w:sz="4" w:space="0" w:color="auto"/>
              <w:right w:val="single" w:sz="6" w:space="0" w:color="auto"/>
            </w:tcBorders>
            <w:vAlign w:val="center"/>
          </w:tcPr>
          <w:p w14:paraId="5CD6D745" w14:textId="77777777" w:rsidR="00D170E5" w:rsidRPr="002B55E9" w:rsidRDefault="00EF27AD">
            <w:pPr>
              <w:snapToGrid w:val="0"/>
              <w:jc w:val="center"/>
              <w:rPr>
                <w:sz w:val="18"/>
                <w:szCs w:val="18"/>
              </w:rPr>
            </w:pPr>
            <w:r w:rsidRPr="002B55E9">
              <w:rPr>
                <w:sz w:val="18"/>
                <w:szCs w:val="18"/>
              </w:rPr>
              <w:t>114.01516914</w:t>
            </w:r>
          </w:p>
        </w:tc>
        <w:tc>
          <w:tcPr>
            <w:tcW w:w="1338" w:type="dxa"/>
            <w:tcBorders>
              <w:top w:val="single" w:sz="4" w:space="0" w:color="auto"/>
              <w:left w:val="single" w:sz="6" w:space="0" w:color="auto"/>
              <w:bottom w:val="single" w:sz="4" w:space="0" w:color="auto"/>
              <w:right w:val="single" w:sz="6" w:space="0" w:color="auto"/>
            </w:tcBorders>
            <w:vAlign w:val="center"/>
          </w:tcPr>
          <w:p w14:paraId="390D4CA8" w14:textId="77777777" w:rsidR="00D170E5" w:rsidRPr="002B55E9" w:rsidRDefault="00EF27AD">
            <w:pPr>
              <w:snapToGrid w:val="0"/>
              <w:jc w:val="center"/>
              <w:rPr>
                <w:sz w:val="18"/>
                <w:szCs w:val="18"/>
              </w:rPr>
            </w:pPr>
            <w:r w:rsidRPr="002B55E9">
              <w:rPr>
                <w:sz w:val="18"/>
                <w:szCs w:val="18"/>
              </w:rPr>
              <w:t>30.65116704</w:t>
            </w:r>
          </w:p>
        </w:tc>
        <w:tc>
          <w:tcPr>
            <w:tcW w:w="2197" w:type="dxa"/>
            <w:tcBorders>
              <w:top w:val="single" w:sz="4" w:space="0" w:color="auto"/>
              <w:left w:val="single" w:sz="6" w:space="0" w:color="auto"/>
              <w:bottom w:val="single" w:sz="4" w:space="0" w:color="auto"/>
              <w:right w:val="single" w:sz="6" w:space="0" w:color="auto"/>
            </w:tcBorders>
            <w:vAlign w:val="center"/>
          </w:tcPr>
          <w:p w14:paraId="4E4293A9" w14:textId="77777777" w:rsidR="00D170E5" w:rsidRPr="002B55E9" w:rsidRDefault="00EF27AD">
            <w:pPr>
              <w:snapToGrid w:val="0"/>
              <w:jc w:val="center"/>
              <w:rPr>
                <w:sz w:val="18"/>
                <w:szCs w:val="18"/>
              </w:rPr>
            </w:pPr>
            <w:r w:rsidRPr="002B55E9">
              <w:rPr>
                <w:rFonts w:hint="eastAsia"/>
                <w:sz w:val="18"/>
                <w:szCs w:val="18"/>
              </w:rPr>
              <w:t>海伦堡汉江府（在建）</w:t>
            </w:r>
          </w:p>
        </w:tc>
        <w:tc>
          <w:tcPr>
            <w:tcW w:w="1166" w:type="dxa"/>
            <w:tcBorders>
              <w:top w:val="single" w:sz="4" w:space="0" w:color="auto"/>
              <w:left w:val="single" w:sz="6" w:space="0" w:color="auto"/>
              <w:bottom w:val="single" w:sz="4" w:space="0" w:color="auto"/>
              <w:right w:val="single" w:sz="6" w:space="0" w:color="auto"/>
            </w:tcBorders>
            <w:vAlign w:val="center"/>
          </w:tcPr>
          <w:p w14:paraId="6B2790EF"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500</w:t>
            </w:r>
          </w:p>
        </w:tc>
        <w:tc>
          <w:tcPr>
            <w:tcW w:w="1166" w:type="dxa"/>
            <w:tcBorders>
              <w:top w:val="single" w:sz="4" w:space="0" w:color="auto"/>
              <w:left w:val="single" w:sz="6" w:space="0" w:color="auto"/>
              <w:bottom w:val="single" w:sz="4" w:space="0" w:color="auto"/>
              <w:right w:val="single" w:sz="6" w:space="0" w:color="auto"/>
            </w:tcBorders>
            <w:vAlign w:val="center"/>
          </w:tcPr>
          <w:p w14:paraId="67F01928" w14:textId="77777777" w:rsidR="00D170E5" w:rsidRPr="002B55E9" w:rsidRDefault="00EF27AD">
            <w:pPr>
              <w:snapToGrid w:val="0"/>
              <w:jc w:val="center"/>
              <w:rPr>
                <w:sz w:val="18"/>
                <w:szCs w:val="18"/>
              </w:rPr>
            </w:pPr>
            <w:r w:rsidRPr="002B55E9">
              <w:rPr>
                <w:rFonts w:hint="eastAsia"/>
                <w:sz w:val="18"/>
                <w:szCs w:val="18"/>
              </w:rPr>
              <w:t>南</w:t>
            </w:r>
          </w:p>
        </w:tc>
        <w:tc>
          <w:tcPr>
            <w:tcW w:w="1638" w:type="dxa"/>
            <w:tcBorders>
              <w:top w:val="single" w:sz="4" w:space="0" w:color="auto"/>
              <w:left w:val="single" w:sz="6" w:space="0" w:color="auto"/>
              <w:bottom w:val="single" w:sz="4" w:space="0" w:color="auto"/>
              <w:right w:val="nil"/>
            </w:tcBorders>
            <w:vAlign w:val="center"/>
          </w:tcPr>
          <w:p w14:paraId="010208F3"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3230</w:t>
            </w:r>
          </w:p>
        </w:tc>
      </w:tr>
      <w:tr w:rsidR="002B55E9" w:rsidRPr="002B55E9" w14:paraId="4DB16AA5" w14:textId="77777777">
        <w:trPr>
          <w:trHeight w:val="284"/>
        </w:trPr>
        <w:tc>
          <w:tcPr>
            <w:tcW w:w="671" w:type="dxa"/>
            <w:tcBorders>
              <w:top w:val="single" w:sz="4" w:space="0" w:color="auto"/>
              <w:left w:val="nil"/>
              <w:bottom w:val="single" w:sz="4" w:space="0" w:color="auto"/>
              <w:right w:val="single" w:sz="6" w:space="0" w:color="auto"/>
            </w:tcBorders>
            <w:vAlign w:val="center"/>
          </w:tcPr>
          <w:p w14:paraId="06B0473C" w14:textId="77777777" w:rsidR="00D170E5" w:rsidRPr="002B55E9" w:rsidRDefault="00EF27AD">
            <w:pPr>
              <w:pStyle w:val="affff6"/>
              <w:snapToGrid w:val="0"/>
              <w:rPr>
                <w:szCs w:val="18"/>
              </w:rPr>
            </w:pPr>
            <w:r w:rsidRPr="002B55E9">
              <w:rPr>
                <w:rFonts w:hint="eastAsia"/>
                <w:szCs w:val="18"/>
              </w:rPr>
              <w:t>2</w:t>
            </w:r>
            <w:r w:rsidRPr="002B55E9">
              <w:rPr>
                <w:szCs w:val="18"/>
              </w:rPr>
              <w:t>3</w:t>
            </w:r>
          </w:p>
        </w:tc>
        <w:tc>
          <w:tcPr>
            <w:tcW w:w="1461" w:type="dxa"/>
            <w:tcBorders>
              <w:top w:val="single" w:sz="4" w:space="0" w:color="auto"/>
              <w:left w:val="single" w:sz="6" w:space="0" w:color="auto"/>
              <w:bottom w:val="single" w:sz="4" w:space="0" w:color="auto"/>
              <w:right w:val="single" w:sz="6" w:space="0" w:color="auto"/>
            </w:tcBorders>
            <w:vAlign w:val="center"/>
          </w:tcPr>
          <w:p w14:paraId="33A96C8A" w14:textId="77777777" w:rsidR="00D170E5" w:rsidRPr="002B55E9" w:rsidRDefault="00EF27AD">
            <w:pPr>
              <w:snapToGrid w:val="0"/>
              <w:jc w:val="center"/>
              <w:rPr>
                <w:sz w:val="18"/>
                <w:szCs w:val="18"/>
              </w:rPr>
            </w:pPr>
            <w:r w:rsidRPr="002B55E9">
              <w:rPr>
                <w:sz w:val="18"/>
                <w:szCs w:val="18"/>
              </w:rPr>
              <w:t>114.02164936</w:t>
            </w:r>
          </w:p>
        </w:tc>
        <w:tc>
          <w:tcPr>
            <w:tcW w:w="1338" w:type="dxa"/>
            <w:tcBorders>
              <w:top w:val="single" w:sz="4" w:space="0" w:color="auto"/>
              <w:left w:val="single" w:sz="6" w:space="0" w:color="auto"/>
              <w:bottom w:val="single" w:sz="4" w:space="0" w:color="auto"/>
              <w:right w:val="single" w:sz="6" w:space="0" w:color="auto"/>
            </w:tcBorders>
            <w:vAlign w:val="center"/>
          </w:tcPr>
          <w:p w14:paraId="05B5B644" w14:textId="77777777" w:rsidR="00D170E5" w:rsidRPr="002B55E9" w:rsidRDefault="00EF27AD">
            <w:pPr>
              <w:snapToGrid w:val="0"/>
              <w:jc w:val="center"/>
              <w:rPr>
                <w:sz w:val="18"/>
                <w:szCs w:val="18"/>
              </w:rPr>
            </w:pPr>
            <w:r w:rsidRPr="002B55E9">
              <w:rPr>
                <w:sz w:val="18"/>
                <w:szCs w:val="18"/>
              </w:rPr>
              <w:t>30.65031789</w:t>
            </w:r>
          </w:p>
        </w:tc>
        <w:tc>
          <w:tcPr>
            <w:tcW w:w="2197" w:type="dxa"/>
            <w:tcBorders>
              <w:top w:val="single" w:sz="4" w:space="0" w:color="auto"/>
              <w:left w:val="single" w:sz="6" w:space="0" w:color="auto"/>
              <w:bottom w:val="single" w:sz="4" w:space="0" w:color="auto"/>
              <w:right w:val="single" w:sz="6" w:space="0" w:color="auto"/>
            </w:tcBorders>
            <w:vAlign w:val="center"/>
          </w:tcPr>
          <w:p w14:paraId="271DF0CC" w14:textId="77777777" w:rsidR="00D170E5" w:rsidRPr="002B55E9" w:rsidRDefault="00EF27AD">
            <w:pPr>
              <w:snapToGrid w:val="0"/>
              <w:jc w:val="center"/>
              <w:rPr>
                <w:sz w:val="18"/>
                <w:szCs w:val="18"/>
              </w:rPr>
            </w:pPr>
            <w:r w:rsidRPr="002B55E9">
              <w:rPr>
                <w:rFonts w:hint="eastAsia"/>
                <w:sz w:val="18"/>
                <w:szCs w:val="18"/>
              </w:rPr>
              <w:t>走马岭园林小区</w:t>
            </w:r>
          </w:p>
        </w:tc>
        <w:tc>
          <w:tcPr>
            <w:tcW w:w="1166" w:type="dxa"/>
            <w:tcBorders>
              <w:top w:val="single" w:sz="4" w:space="0" w:color="auto"/>
              <w:left w:val="single" w:sz="6" w:space="0" w:color="auto"/>
              <w:bottom w:val="single" w:sz="4" w:space="0" w:color="auto"/>
              <w:right w:val="single" w:sz="6" w:space="0" w:color="auto"/>
            </w:tcBorders>
            <w:vAlign w:val="center"/>
          </w:tcPr>
          <w:p w14:paraId="42AB8E63" w14:textId="77777777" w:rsidR="00D170E5" w:rsidRPr="002B55E9" w:rsidRDefault="00EF27AD">
            <w:pPr>
              <w:snapToGrid w:val="0"/>
              <w:jc w:val="center"/>
              <w:rPr>
                <w:sz w:val="18"/>
                <w:szCs w:val="18"/>
              </w:rPr>
            </w:pPr>
            <w:r w:rsidRPr="002B55E9">
              <w:rPr>
                <w:rFonts w:hint="eastAsia"/>
                <w:sz w:val="18"/>
                <w:szCs w:val="18"/>
              </w:rPr>
              <w:t>800</w:t>
            </w:r>
          </w:p>
        </w:tc>
        <w:tc>
          <w:tcPr>
            <w:tcW w:w="1166" w:type="dxa"/>
            <w:tcBorders>
              <w:top w:val="single" w:sz="4" w:space="0" w:color="auto"/>
              <w:left w:val="single" w:sz="6" w:space="0" w:color="auto"/>
              <w:bottom w:val="single" w:sz="4" w:space="0" w:color="auto"/>
              <w:right w:val="single" w:sz="6" w:space="0" w:color="auto"/>
            </w:tcBorders>
            <w:vAlign w:val="center"/>
          </w:tcPr>
          <w:p w14:paraId="4A82425B" w14:textId="77777777" w:rsidR="00D170E5" w:rsidRPr="002B55E9" w:rsidRDefault="00EF27AD">
            <w:pPr>
              <w:snapToGrid w:val="0"/>
              <w:jc w:val="center"/>
              <w:rPr>
                <w:sz w:val="18"/>
                <w:szCs w:val="18"/>
              </w:rP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02388776"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3770</w:t>
            </w:r>
          </w:p>
        </w:tc>
      </w:tr>
      <w:tr w:rsidR="002B55E9" w:rsidRPr="002B55E9" w14:paraId="574CE78A" w14:textId="77777777">
        <w:trPr>
          <w:trHeight w:val="284"/>
        </w:trPr>
        <w:tc>
          <w:tcPr>
            <w:tcW w:w="671" w:type="dxa"/>
            <w:tcBorders>
              <w:top w:val="single" w:sz="4" w:space="0" w:color="auto"/>
              <w:left w:val="nil"/>
              <w:bottom w:val="single" w:sz="4" w:space="0" w:color="auto"/>
              <w:right w:val="single" w:sz="6" w:space="0" w:color="auto"/>
            </w:tcBorders>
            <w:vAlign w:val="center"/>
          </w:tcPr>
          <w:p w14:paraId="2A551F4D" w14:textId="77777777" w:rsidR="00D170E5" w:rsidRPr="002B55E9" w:rsidRDefault="00EF27AD">
            <w:pPr>
              <w:pStyle w:val="affff6"/>
              <w:snapToGrid w:val="0"/>
              <w:rPr>
                <w:szCs w:val="18"/>
              </w:rPr>
            </w:pPr>
            <w:r w:rsidRPr="002B55E9">
              <w:rPr>
                <w:rFonts w:hint="eastAsia"/>
                <w:szCs w:val="18"/>
              </w:rPr>
              <w:t>2</w:t>
            </w:r>
            <w:r w:rsidRPr="002B55E9">
              <w:rPr>
                <w:szCs w:val="18"/>
              </w:rPr>
              <w:t>4</w:t>
            </w:r>
          </w:p>
        </w:tc>
        <w:tc>
          <w:tcPr>
            <w:tcW w:w="1461" w:type="dxa"/>
            <w:tcBorders>
              <w:top w:val="single" w:sz="4" w:space="0" w:color="auto"/>
              <w:left w:val="single" w:sz="6" w:space="0" w:color="auto"/>
              <w:bottom w:val="single" w:sz="4" w:space="0" w:color="auto"/>
              <w:right w:val="single" w:sz="6" w:space="0" w:color="auto"/>
            </w:tcBorders>
            <w:vAlign w:val="center"/>
          </w:tcPr>
          <w:p w14:paraId="1E9E91E9" w14:textId="77777777" w:rsidR="00D170E5" w:rsidRPr="002B55E9" w:rsidRDefault="00EF27AD">
            <w:pPr>
              <w:snapToGrid w:val="0"/>
              <w:jc w:val="center"/>
              <w:rPr>
                <w:sz w:val="18"/>
                <w:szCs w:val="18"/>
              </w:rPr>
            </w:pPr>
            <w:r w:rsidRPr="002B55E9">
              <w:rPr>
                <w:sz w:val="18"/>
                <w:szCs w:val="18"/>
              </w:rPr>
              <w:t>114.02349472</w:t>
            </w:r>
          </w:p>
        </w:tc>
        <w:tc>
          <w:tcPr>
            <w:tcW w:w="1338" w:type="dxa"/>
            <w:tcBorders>
              <w:top w:val="single" w:sz="4" w:space="0" w:color="auto"/>
              <w:left w:val="single" w:sz="6" w:space="0" w:color="auto"/>
              <w:bottom w:val="single" w:sz="4" w:space="0" w:color="auto"/>
              <w:right w:val="single" w:sz="6" w:space="0" w:color="auto"/>
            </w:tcBorders>
            <w:vAlign w:val="center"/>
          </w:tcPr>
          <w:p w14:paraId="44504F51" w14:textId="77777777" w:rsidR="00D170E5" w:rsidRPr="002B55E9" w:rsidRDefault="00EF27AD">
            <w:pPr>
              <w:snapToGrid w:val="0"/>
              <w:jc w:val="center"/>
              <w:rPr>
                <w:sz w:val="18"/>
                <w:szCs w:val="18"/>
              </w:rPr>
            </w:pPr>
            <w:r w:rsidRPr="002B55E9">
              <w:rPr>
                <w:sz w:val="18"/>
                <w:szCs w:val="18"/>
              </w:rPr>
              <w:t>30.65109320</w:t>
            </w:r>
          </w:p>
        </w:tc>
        <w:tc>
          <w:tcPr>
            <w:tcW w:w="2197" w:type="dxa"/>
            <w:tcBorders>
              <w:top w:val="single" w:sz="4" w:space="0" w:color="auto"/>
              <w:left w:val="single" w:sz="6" w:space="0" w:color="auto"/>
              <w:bottom w:val="single" w:sz="4" w:space="0" w:color="auto"/>
              <w:right w:val="single" w:sz="6" w:space="0" w:color="auto"/>
            </w:tcBorders>
            <w:vAlign w:val="center"/>
          </w:tcPr>
          <w:p w14:paraId="57FFAEB1" w14:textId="77777777" w:rsidR="00D170E5" w:rsidRPr="002B55E9" w:rsidRDefault="00EF27AD">
            <w:pPr>
              <w:snapToGrid w:val="0"/>
              <w:jc w:val="center"/>
              <w:rPr>
                <w:sz w:val="18"/>
                <w:szCs w:val="18"/>
              </w:rPr>
            </w:pPr>
            <w:r w:rsidRPr="002B55E9">
              <w:rPr>
                <w:rFonts w:hint="eastAsia"/>
                <w:sz w:val="18"/>
                <w:szCs w:val="18"/>
              </w:rPr>
              <w:t>东西湖区走马岭小学</w:t>
            </w:r>
          </w:p>
        </w:tc>
        <w:tc>
          <w:tcPr>
            <w:tcW w:w="1166" w:type="dxa"/>
            <w:tcBorders>
              <w:top w:val="single" w:sz="4" w:space="0" w:color="auto"/>
              <w:left w:val="single" w:sz="6" w:space="0" w:color="auto"/>
              <w:bottom w:val="single" w:sz="4" w:space="0" w:color="auto"/>
              <w:right w:val="single" w:sz="6" w:space="0" w:color="auto"/>
            </w:tcBorders>
            <w:vAlign w:val="center"/>
          </w:tcPr>
          <w:p w14:paraId="06DD9518" w14:textId="77777777" w:rsidR="00D170E5" w:rsidRPr="002B55E9" w:rsidRDefault="00EF27AD">
            <w:pPr>
              <w:snapToGrid w:val="0"/>
              <w:jc w:val="center"/>
              <w:rPr>
                <w:sz w:val="18"/>
                <w:szCs w:val="18"/>
              </w:rPr>
            </w:pPr>
            <w:r w:rsidRPr="002B55E9">
              <w:rPr>
                <w:rFonts w:hint="eastAsia"/>
                <w:sz w:val="18"/>
                <w:szCs w:val="18"/>
              </w:rPr>
              <w:t>6</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7DAD768F" w14:textId="77777777" w:rsidR="00D170E5" w:rsidRPr="002B55E9" w:rsidRDefault="00EF27AD">
            <w:pPr>
              <w:snapToGrid w:val="0"/>
              <w:jc w:val="center"/>
              <w:rPr>
                <w:sz w:val="18"/>
                <w:szCs w:val="18"/>
              </w:rPr>
            </w:pPr>
            <w:r w:rsidRPr="002B55E9">
              <w:rPr>
                <w:rFonts w:hint="eastAsia"/>
                <w:sz w:val="18"/>
                <w:szCs w:val="18"/>
              </w:rPr>
              <w:t>仙女</w:t>
            </w:r>
          </w:p>
        </w:tc>
        <w:tc>
          <w:tcPr>
            <w:tcW w:w="1638" w:type="dxa"/>
            <w:tcBorders>
              <w:top w:val="single" w:sz="4" w:space="0" w:color="auto"/>
              <w:left w:val="single" w:sz="6" w:space="0" w:color="auto"/>
              <w:bottom w:val="single" w:sz="4" w:space="0" w:color="auto"/>
              <w:right w:val="nil"/>
            </w:tcBorders>
            <w:vAlign w:val="center"/>
          </w:tcPr>
          <w:p w14:paraId="02AA38AD"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3900</w:t>
            </w:r>
          </w:p>
        </w:tc>
      </w:tr>
      <w:tr w:rsidR="002B55E9" w:rsidRPr="002B55E9" w14:paraId="716D5553" w14:textId="77777777">
        <w:trPr>
          <w:trHeight w:val="284"/>
        </w:trPr>
        <w:tc>
          <w:tcPr>
            <w:tcW w:w="671" w:type="dxa"/>
            <w:tcBorders>
              <w:top w:val="single" w:sz="4" w:space="0" w:color="auto"/>
              <w:left w:val="nil"/>
              <w:bottom w:val="single" w:sz="4" w:space="0" w:color="auto"/>
              <w:right w:val="single" w:sz="6" w:space="0" w:color="auto"/>
            </w:tcBorders>
            <w:vAlign w:val="center"/>
          </w:tcPr>
          <w:p w14:paraId="3C5B76CC" w14:textId="77777777" w:rsidR="00D170E5" w:rsidRPr="002B55E9" w:rsidRDefault="00EF27AD">
            <w:pPr>
              <w:pStyle w:val="affff6"/>
              <w:snapToGrid w:val="0"/>
              <w:rPr>
                <w:szCs w:val="18"/>
              </w:rPr>
            </w:pPr>
            <w:r w:rsidRPr="002B55E9">
              <w:rPr>
                <w:rFonts w:hint="eastAsia"/>
                <w:szCs w:val="18"/>
              </w:rPr>
              <w:t>2</w:t>
            </w:r>
            <w:r w:rsidRPr="002B55E9">
              <w:rPr>
                <w:szCs w:val="18"/>
              </w:rPr>
              <w:t>5</w:t>
            </w:r>
          </w:p>
        </w:tc>
        <w:tc>
          <w:tcPr>
            <w:tcW w:w="1461" w:type="dxa"/>
            <w:tcBorders>
              <w:top w:val="single" w:sz="4" w:space="0" w:color="auto"/>
              <w:left w:val="single" w:sz="6" w:space="0" w:color="auto"/>
              <w:bottom w:val="single" w:sz="4" w:space="0" w:color="auto"/>
              <w:right w:val="single" w:sz="6" w:space="0" w:color="auto"/>
            </w:tcBorders>
            <w:vAlign w:val="center"/>
          </w:tcPr>
          <w:p w14:paraId="1BE93C8A" w14:textId="77777777" w:rsidR="00D170E5" w:rsidRPr="002B55E9" w:rsidRDefault="00EF27AD">
            <w:pPr>
              <w:snapToGrid w:val="0"/>
              <w:jc w:val="center"/>
              <w:rPr>
                <w:sz w:val="18"/>
                <w:szCs w:val="18"/>
              </w:rPr>
            </w:pPr>
            <w:r w:rsidRPr="002B55E9">
              <w:rPr>
                <w:sz w:val="18"/>
                <w:szCs w:val="18"/>
              </w:rPr>
              <w:t>114.02692795</w:t>
            </w:r>
          </w:p>
        </w:tc>
        <w:tc>
          <w:tcPr>
            <w:tcW w:w="1338" w:type="dxa"/>
            <w:tcBorders>
              <w:top w:val="single" w:sz="4" w:space="0" w:color="auto"/>
              <w:left w:val="single" w:sz="6" w:space="0" w:color="auto"/>
              <w:bottom w:val="single" w:sz="4" w:space="0" w:color="auto"/>
              <w:right w:val="single" w:sz="6" w:space="0" w:color="auto"/>
            </w:tcBorders>
            <w:vAlign w:val="center"/>
          </w:tcPr>
          <w:p w14:paraId="5DC43819" w14:textId="77777777" w:rsidR="00D170E5" w:rsidRPr="002B55E9" w:rsidRDefault="00EF27AD">
            <w:pPr>
              <w:snapToGrid w:val="0"/>
              <w:jc w:val="center"/>
              <w:rPr>
                <w:sz w:val="18"/>
                <w:szCs w:val="18"/>
              </w:rPr>
            </w:pPr>
            <w:r w:rsidRPr="002B55E9">
              <w:rPr>
                <w:sz w:val="18"/>
                <w:szCs w:val="18"/>
              </w:rPr>
              <w:t>30.65157316</w:t>
            </w:r>
          </w:p>
        </w:tc>
        <w:tc>
          <w:tcPr>
            <w:tcW w:w="2197" w:type="dxa"/>
            <w:tcBorders>
              <w:top w:val="single" w:sz="4" w:space="0" w:color="auto"/>
              <w:left w:val="single" w:sz="6" w:space="0" w:color="auto"/>
              <w:bottom w:val="single" w:sz="4" w:space="0" w:color="auto"/>
              <w:right w:val="single" w:sz="6" w:space="0" w:color="auto"/>
            </w:tcBorders>
            <w:vAlign w:val="center"/>
          </w:tcPr>
          <w:p w14:paraId="4BA8F93D" w14:textId="77777777" w:rsidR="00D170E5" w:rsidRPr="002B55E9" w:rsidRDefault="00EF27AD">
            <w:pPr>
              <w:snapToGrid w:val="0"/>
              <w:jc w:val="center"/>
              <w:rPr>
                <w:sz w:val="18"/>
                <w:szCs w:val="18"/>
              </w:rPr>
            </w:pPr>
            <w:r w:rsidRPr="002B55E9">
              <w:rPr>
                <w:rFonts w:hint="eastAsia"/>
                <w:sz w:val="18"/>
                <w:szCs w:val="18"/>
              </w:rPr>
              <w:t>武汉市农业学校</w:t>
            </w:r>
          </w:p>
        </w:tc>
        <w:tc>
          <w:tcPr>
            <w:tcW w:w="1166" w:type="dxa"/>
            <w:tcBorders>
              <w:top w:val="single" w:sz="4" w:space="0" w:color="auto"/>
              <w:left w:val="single" w:sz="6" w:space="0" w:color="auto"/>
              <w:bottom w:val="single" w:sz="4" w:space="0" w:color="auto"/>
              <w:right w:val="single" w:sz="6" w:space="0" w:color="auto"/>
            </w:tcBorders>
            <w:vAlign w:val="center"/>
          </w:tcPr>
          <w:p w14:paraId="2C6E710D"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23F3DC09" w14:textId="77777777" w:rsidR="00D170E5" w:rsidRPr="002B55E9" w:rsidRDefault="00EF27AD">
            <w:pPr>
              <w:snapToGrid w:val="0"/>
              <w:jc w:val="center"/>
              <w:rPr>
                <w:sz w:val="18"/>
                <w:szCs w:val="18"/>
              </w:rP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5D4D16B7"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3970</w:t>
            </w:r>
          </w:p>
        </w:tc>
      </w:tr>
      <w:tr w:rsidR="002B55E9" w:rsidRPr="002B55E9" w14:paraId="3CAAC076" w14:textId="77777777">
        <w:trPr>
          <w:trHeight w:val="284"/>
        </w:trPr>
        <w:tc>
          <w:tcPr>
            <w:tcW w:w="671" w:type="dxa"/>
            <w:tcBorders>
              <w:top w:val="single" w:sz="4" w:space="0" w:color="auto"/>
              <w:left w:val="nil"/>
              <w:bottom w:val="single" w:sz="4" w:space="0" w:color="auto"/>
              <w:right w:val="single" w:sz="6" w:space="0" w:color="auto"/>
            </w:tcBorders>
            <w:vAlign w:val="center"/>
          </w:tcPr>
          <w:p w14:paraId="0A6F521C" w14:textId="77777777" w:rsidR="00D170E5" w:rsidRPr="002B55E9" w:rsidRDefault="00EF27AD">
            <w:pPr>
              <w:pStyle w:val="affff6"/>
              <w:snapToGrid w:val="0"/>
              <w:rPr>
                <w:szCs w:val="18"/>
              </w:rPr>
            </w:pPr>
            <w:r w:rsidRPr="002B55E9">
              <w:rPr>
                <w:rFonts w:hint="eastAsia"/>
                <w:szCs w:val="18"/>
              </w:rPr>
              <w:t>2</w:t>
            </w:r>
            <w:r w:rsidRPr="002B55E9">
              <w:rPr>
                <w:szCs w:val="18"/>
              </w:rPr>
              <w:t>6</w:t>
            </w:r>
          </w:p>
        </w:tc>
        <w:tc>
          <w:tcPr>
            <w:tcW w:w="1461" w:type="dxa"/>
            <w:tcBorders>
              <w:top w:val="single" w:sz="4" w:space="0" w:color="auto"/>
              <w:left w:val="single" w:sz="6" w:space="0" w:color="auto"/>
              <w:bottom w:val="single" w:sz="4" w:space="0" w:color="auto"/>
              <w:right w:val="single" w:sz="6" w:space="0" w:color="auto"/>
            </w:tcBorders>
            <w:vAlign w:val="center"/>
          </w:tcPr>
          <w:p w14:paraId="6BADA082" w14:textId="77777777" w:rsidR="00D170E5" w:rsidRPr="002B55E9" w:rsidRDefault="00EF27AD">
            <w:pPr>
              <w:snapToGrid w:val="0"/>
              <w:jc w:val="center"/>
              <w:rPr>
                <w:sz w:val="18"/>
                <w:szCs w:val="18"/>
              </w:rPr>
            </w:pPr>
            <w:r w:rsidRPr="002B55E9">
              <w:rPr>
                <w:sz w:val="18"/>
                <w:szCs w:val="18"/>
              </w:rPr>
              <w:t>114.02645588</w:t>
            </w:r>
          </w:p>
        </w:tc>
        <w:tc>
          <w:tcPr>
            <w:tcW w:w="1338" w:type="dxa"/>
            <w:tcBorders>
              <w:top w:val="single" w:sz="4" w:space="0" w:color="auto"/>
              <w:left w:val="single" w:sz="6" w:space="0" w:color="auto"/>
              <w:bottom w:val="single" w:sz="4" w:space="0" w:color="auto"/>
              <w:right w:val="single" w:sz="6" w:space="0" w:color="auto"/>
            </w:tcBorders>
            <w:vAlign w:val="center"/>
          </w:tcPr>
          <w:p w14:paraId="7EF39F19" w14:textId="77777777" w:rsidR="00D170E5" w:rsidRPr="002B55E9" w:rsidRDefault="00EF27AD">
            <w:pPr>
              <w:snapToGrid w:val="0"/>
              <w:jc w:val="center"/>
              <w:rPr>
                <w:sz w:val="18"/>
                <w:szCs w:val="18"/>
              </w:rPr>
            </w:pPr>
            <w:r w:rsidRPr="002B55E9">
              <w:rPr>
                <w:sz w:val="18"/>
                <w:szCs w:val="18"/>
              </w:rPr>
              <w:t>30.64865648</w:t>
            </w:r>
          </w:p>
        </w:tc>
        <w:tc>
          <w:tcPr>
            <w:tcW w:w="2197" w:type="dxa"/>
            <w:tcBorders>
              <w:top w:val="single" w:sz="4" w:space="0" w:color="auto"/>
              <w:left w:val="single" w:sz="6" w:space="0" w:color="auto"/>
              <w:bottom w:val="single" w:sz="4" w:space="0" w:color="auto"/>
              <w:right w:val="single" w:sz="6" w:space="0" w:color="auto"/>
            </w:tcBorders>
            <w:vAlign w:val="center"/>
          </w:tcPr>
          <w:p w14:paraId="632B764B" w14:textId="77777777" w:rsidR="00D170E5" w:rsidRPr="002B55E9" w:rsidRDefault="00EF27AD">
            <w:pPr>
              <w:snapToGrid w:val="0"/>
              <w:jc w:val="center"/>
              <w:rPr>
                <w:sz w:val="18"/>
                <w:szCs w:val="18"/>
              </w:rPr>
            </w:pPr>
            <w:r w:rsidRPr="002B55E9">
              <w:rPr>
                <w:rFonts w:hint="eastAsia"/>
                <w:sz w:val="18"/>
                <w:szCs w:val="18"/>
              </w:rPr>
              <w:t>走马岭集镇社区</w:t>
            </w:r>
          </w:p>
        </w:tc>
        <w:tc>
          <w:tcPr>
            <w:tcW w:w="1166" w:type="dxa"/>
            <w:tcBorders>
              <w:top w:val="single" w:sz="4" w:space="0" w:color="auto"/>
              <w:left w:val="single" w:sz="6" w:space="0" w:color="auto"/>
              <w:bottom w:val="single" w:sz="4" w:space="0" w:color="auto"/>
              <w:right w:val="single" w:sz="6" w:space="0" w:color="auto"/>
            </w:tcBorders>
            <w:vAlign w:val="center"/>
          </w:tcPr>
          <w:p w14:paraId="156610F6" w14:textId="77777777" w:rsidR="00D170E5" w:rsidRPr="002B55E9" w:rsidRDefault="00EF27AD">
            <w:pPr>
              <w:snapToGrid w:val="0"/>
              <w:jc w:val="center"/>
              <w:rPr>
                <w:sz w:val="18"/>
                <w:szCs w:val="18"/>
              </w:rPr>
            </w:pPr>
            <w:r w:rsidRPr="002B55E9">
              <w:rPr>
                <w:rFonts w:hint="eastAsia"/>
                <w:sz w:val="18"/>
                <w:szCs w:val="18"/>
              </w:rPr>
              <w:t>5000</w:t>
            </w:r>
          </w:p>
        </w:tc>
        <w:tc>
          <w:tcPr>
            <w:tcW w:w="1166" w:type="dxa"/>
            <w:tcBorders>
              <w:top w:val="single" w:sz="4" w:space="0" w:color="auto"/>
              <w:left w:val="single" w:sz="6" w:space="0" w:color="auto"/>
              <w:bottom w:val="single" w:sz="4" w:space="0" w:color="auto"/>
              <w:right w:val="single" w:sz="6" w:space="0" w:color="auto"/>
            </w:tcBorders>
          </w:tcPr>
          <w:p w14:paraId="07A56E8F" w14:textId="77777777" w:rsidR="00D170E5" w:rsidRPr="002B55E9" w:rsidRDefault="00EF27AD">
            <w:pPr>
              <w:jc w:val="cente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708F1879"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3530</w:t>
            </w:r>
          </w:p>
        </w:tc>
      </w:tr>
      <w:tr w:rsidR="002B55E9" w:rsidRPr="002B55E9" w14:paraId="7FC708BC" w14:textId="77777777">
        <w:trPr>
          <w:trHeight w:val="284"/>
        </w:trPr>
        <w:tc>
          <w:tcPr>
            <w:tcW w:w="671" w:type="dxa"/>
            <w:tcBorders>
              <w:top w:val="single" w:sz="4" w:space="0" w:color="auto"/>
              <w:left w:val="nil"/>
              <w:bottom w:val="single" w:sz="4" w:space="0" w:color="auto"/>
              <w:right w:val="single" w:sz="6" w:space="0" w:color="auto"/>
            </w:tcBorders>
            <w:vAlign w:val="center"/>
          </w:tcPr>
          <w:p w14:paraId="7DA634EC" w14:textId="77777777" w:rsidR="00D170E5" w:rsidRPr="002B55E9" w:rsidRDefault="00EF27AD">
            <w:pPr>
              <w:pStyle w:val="affff6"/>
              <w:snapToGrid w:val="0"/>
              <w:rPr>
                <w:szCs w:val="18"/>
              </w:rPr>
            </w:pPr>
            <w:r w:rsidRPr="002B55E9">
              <w:rPr>
                <w:rFonts w:hint="eastAsia"/>
                <w:szCs w:val="18"/>
              </w:rPr>
              <w:t>2</w:t>
            </w:r>
            <w:r w:rsidRPr="002B55E9">
              <w:rPr>
                <w:szCs w:val="18"/>
              </w:rPr>
              <w:t>7</w:t>
            </w:r>
          </w:p>
        </w:tc>
        <w:tc>
          <w:tcPr>
            <w:tcW w:w="1461" w:type="dxa"/>
            <w:tcBorders>
              <w:top w:val="single" w:sz="4" w:space="0" w:color="auto"/>
              <w:left w:val="single" w:sz="6" w:space="0" w:color="auto"/>
              <w:bottom w:val="single" w:sz="4" w:space="0" w:color="auto"/>
              <w:right w:val="single" w:sz="6" w:space="0" w:color="auto"/>
            </w:tcBorders>
            <w:vAlign w:val="center"/>
          </w:tcPr>
          <w:p w14:paraId="6C493B91" w14:textId="77777777" w:rsidR="00D170E5" w:rsidRPr="002B55E9" w:rsidRDefault="00EF27AD">
            <w:pPr>
              <w:snapToGrid w:val="0"/>
              <w:jc w:val="center"/>
              <w:rPr>
                <w:sz w:val="18"/>
                <w:szCs w:val="18"/>
              </w:rPr>
            </w:pPr>
            <w:r w:rsidRPr="002B55E9">
              <w:rPr>
                <w:sz w:val="18"/>
                <w:szCs w:val="18"/>
              </w:rPr>
              <w:t>114.03048992</w:t>
            </w:r>
          </w:p>
        </w:tc>
        <w:tc>
          <w:tcPr>
            <w:tcW w:w="1338" w:type="dxa"/>
            <w:tcBorders>
              <w:top w:val="single" w:sz="4" w:space="0" w:color="auto"/>
              <w:left w:val="single" w:sz="6" w:space="0" w:color="auto"/>
              <w:bottom w:val="single" w:sz="4" w:space="0" w:color="auto"/>
              <w:right w:val="single" w:sz="6" w:space="0" w:color="auto"/>
            </w:tcBorders>
            <w:vAlign w:val="center"/>
          </w:tcPr>
          <w:p w14:paraId="507F1100" w14:textId="77777777" w:rsidR="00D170E5" w:rsidRPr="002B55E9" w:rsidRDefault="00EF27AD">
            <w:pPr>
              <w:snapToGrid w:val="0"/>
              <w:jc w:val="center"/>
              <w:rPr>
                <w:sz w:val="18"/>
                <w:szCs w:val="18"/>
              </w:rPr>
            </w:pPr>
            <w:r w:rsidRPr="002B55E9">
              <w:rPr>
                <w:sz w:val="18"/>
                <w:szCs w:val="18"/>
              </w:rPr>
              <w:t>30.65175775</w:t>
            </w:r>
          </w:p>
        </w:tc>
        <w:tc>
          <w:tcPr>
            <w:tcW w:w="2197" w:type="dxa"/>
            <w:tcBorders>
              <w:top w:val="single" w:sz="4" w:space="0" w:color="auto"/>
              <w:left w:val="single" w:sz="6" w:space="0" w:color="auto"/>
              <w:bottom w:val="single" w:sz="4" w:space="0" w:color="auto"/>
              <w:right w:val="single" w:sz="6" w:space="0" w:color="auto"/>
            </w:tcBorders>
            <w:vAlign w:val="center"/>
          </w:tcPr>
          <w:p w14:paraId="35BC196C" w14:textId="77777777" w:rsidR="00D170E5" w:rsidRPr="002B55E9" w:rsidRDefault="00EF27AD">
            <w:pPr>
              <w:snapToGrid w:val="0"/>
              <w:jc w:val="center"/>
              <w:rPr>
                <w:sz w:val="18"/>
                <w:szCs w:val="18"/>
              </w:rPr>
            </w:pPr>
            <w:r w:rsidRPr="002B55E9">
              <w:rPr>
                <w:rFonts w:hint="eastAsia"/>
                <w:sz w:val="18"/>
                <w:szCs w:val="18"/>
              </w:rPr>
              <w:t>东西湖区走马岭中学</w:t>
            </w:r>
          </w:p>
        </w:tc>
        <w:tc>
          <w:tcPr>
            <w:tcW w:w="1166" w:type="dxa"/>
            <w:tcBorders>
              <w:top w:val="single" w:sz="4" w:space="0" w:color="auto"/>
              <w:left w:val="single" w:sz="6" w:space="0" w:color="auto"/>
              <w:bottom w:val="single" w:sz="4" w:space="0" w:color="auto"/>
              <w:right w:val="single" w:sz="6" w:space="0" w:color="auto"/>
            </w:tcBorders>
            <w:vAlign w:val="center"/>
          </w:tcPr>
          <w:p w14:paraId="0C2817B5"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79223B90" w14:textId="77777777" w:rsidR="00D170E5" w:rsidRPr="002B55E9" w:rsidRDefault="00EF27AD">
            <w:pPr>
              <w:jc w:val="cente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31540816"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4430</w:t>
            </w:r>
          </w:p>
        </w:tc>
      </w:tr>
      <w:tr w:rsidR="002B55E9" w:rsidRPr="002B55E9" w14:paraId="556FA570" w14:textId="77777777">
        <w:trPr>
          <w:trHeight w:val="284"/>
        </w:trPr>
        <w:tc>
          <w:tcPr>
            <w:tcW w:w="671" w:type="dxa"/>
            <w:tcBorders>
              <w:top w:val="single" w:sz="4" w:space="0" w:color="auto"/>
              <w:left w:val="nil"/>
              <w:bottom w:val="single" w:sz="4" w:space="0" w:color="auto"/>
              <w:right w:val="single" w:sz="6" w:space="0" w:color="auto"/>
            </w:tcBorders>
            <w:vAlign w:val="center"/>
          </w:tcPr>
          <w:p w14:paraId="11A6FED9" w14:textId="77777777" w:rsidR="00D170E5" w:rsidRPr="002B55E9" w:rsidRDefault="00EF27AD">
            <w:pPr>
              <w:pStyle w:val="affff6"/>
              <w:snapToGrid w:val="0"/>
              <w:rPr>
                <w:szCs w:val="18"/>
              </w:rPr>
            </w:pPr>
            <w:r w:rsidRPr="002B55E9">
              <w:rPr>
                <w:rFonts w:hint="eastAsia"/>
                <w:szCs w:val="18"/>
              </w:rPr>
              <w:t>2</w:t>
            </w:r>
            <w:r w:rsidRPr="002B55E9">
              <w:rPr>
                <w:szCs w:val="18"/>
              </w:rPr>
              <w:t>8</w:t>
            </w:r>
          </w:p>
        </w:tc>
        <w:tc>
          <w:tcPr>
            <w:tcW w:w="1461" w:type="dxa"/>
            <w:tcBorders>
              <w:top w:val="single" w:sz="4" w:space="0" w:color="auto"/>
              <w:left w:val="single" w:sz="6" w:space="0" w:color="auto"/>
              <w:bottom w:val="single" w:sz="4" w:space="0" w:color="auto"/>
              <w:right w:val="single" w:sz="6" w:space="0" w:color="auto"/>
            </w:tcBorders>
            <w:vAlign w:val="center"/>
          </w:tcPr>
          <w:p w14:paraId="4E8B89B2" w14:textId="77777777" w:rsidR="00D170E5" w:rsidRPr="002B55E9" w:rsidRDefault="00EF27AD">
            <w:pPr>
              <w:snapToGrid w:val="0"/>
              <w:jc w:val="center"/>
              <w:rPr>
                <w:sz w:val="18"/>
                <w:szCs w:val="18"/>
              </w:rPr>
            </w:pPr>
            <w:r w:rsidRPr="002B55E9">
              <w:rPr>
                <w:sz w:val="18"/>
                <w:szCs w:val="18"/>
              </w:rPr>
              <w:t>114.04066086</w:t>
            </w:r>
          </w:p>
        </w:tc>
        <w:tc>
          <w:tcPr>
            <w:tcW w:w="1338" w:type="dxa"/>
            <w:tcBorders>
              <w:top w:val="single" w:sz="4" w:space="0" w:color="auto"/>
              <w:left w:val="single" w:sz="6" w:space="0" w:color="auto"/>
              <w:bottom w:val="single" w:sz="4" w:space="0" w:color="auto"/>
              <w:right w:val="single" w:sz="6" w:space="0" w:color="auto"/>
            </w:tcBorders>
            <w:vAlign w:val="center"/>
          </w:tcPr>
          <w:p w14:paraId="5A2E5AB6" w14:textId="77777777" w:rsidR="00D170E5" w:rsidRPr="002B55E9" w:rsidRDefault="00EF27AD">
            <w:pPr>
              <w:snapToGrid w:val="0"/>
              <w:jc w:val="center"/>
              <w:rPr>
                <w:sz w:val="18"/>
                <w:szCs w:val="18"/>
              </w:rPr>
            </w:pPr>
            <w:r w:rsidRPr="002B55E9">
              <w:rPr>
                <w:sz w:val="18"/>
                <w:szCs w:val="18"/>
              </w:rPr>
              <w:t>30.66205769</w:t>
            </w:r>
          </w:p>
        </w:tc>
        <w:tc>
          <w:tcPr>
            <w:tcW w:w="2197" w:type="dxa"/>
            <w:tcBorders>
              <w:top w:val="single" w:sz="4" w:space="0" w:color="auto"/>
              <w:left w:val="single" w:sz="6" w:space="0" w:color="auto"/>
              <w:bottom w:val="single" w:sz="4" w:space="0" w:color="auto"/>
              <w:right w:val="single" w:sz="6" w:space="0" w:color="auto"/>
            </w:tcBorders>
            <w:vAlign w:val="center"/>
          </w:tcPr>
          <w:p w14:paraId="3F5AEB48" w14:textId="77777777" w:rsidR="00D170E5" w:rsidRPr="002B55E9" w:rsidRDefault="00EF27AD">
            <w:pPr>
              <w:snapToGrid w:val="0"/>
              <w:jc w:val="center"/>
              <w:rPr>
                <w:sz w:val="18"/>
                <w:szCs w:val="18"/>
              </w:rPr>
            </w:pPr>
            <w:r w:rsidRPr="002B55E9">
              <w:rPr>
                <w:rFonts w:hint="eastAsia"/>
                <w:sz w:val="18"/>
                <w:szCs w:val="18"/>
              </w:rPr>
              <w:t>走马岭荷塘小镇</w:t>
            </w:r>
          </w:p>
        </w:tc>
        <w:tc>
          <w:tcPr>
            <w:tcW w:w="1166" w:type="dxa"/>
            <w:tcBorders>
              <w:top w:val="single" w:sz="4" w:space="0" w:color="auto"/>
              <w:left w:val="single" w:sz="6" w:space="0" w:color="auto"/>
              <w:bottom w:val="single" w:sz="4" w:space="0" w:color="auto"/>
              <w:right w:val="single" w:sz="6" w:space="0" w:color="auto"/>
            </w:tcBorders>
            <w:vAlign w:val="center"/>
          </w:tcPr>
          <w:p w14:paraId="1E0109F7" w14:textId="77777777" w:rsidR="00D170E5" w:rsidRPr="002B55E9" w:rsidRDefault="00EF27AD">
            <w:pPr>
              <w:snapToGrid w:val="0"/>
              <w:jc w:val="center"/>
              <w:rPr>
                <w:sz w:val="18"/>
                <w:szCs w:val="18"/>
              </w:rPr>
            </w:pPr>
            <w:r w:rsidRPr="002B55E9">
              <w:rPr>
                <w:rFonts w:hint="eastAsia"/>
                <w:sz w:val="18"/>
                <w:szCs w:val="18"/>
              </w:rPr>
              <w:t>1300</w:t>
            </w:r>
          </w:p>
        </w:tc>
        <w:tc>
          <w:tcPr>
            <w:tcW w:w="1166" w:type="dxa"/>
            <w:tcBorders>
              <w:top w:val="single" w:sz="4" w:space="0" w:color="auto"/>
              <w:left w:val="single" w:sz="6" w:space="0" w:color="auto"/>
              <w:bottom w:val="single" w:sz="4" w:space="0" w:color="auto"/>
              <w:right w:val="single" w:sz="6" w:space="0" w:color="auto"/>
            </w:tcBorders>
          </w:tcPr>
          <w:p w14:paraId="28E81648" w14:textId="77777777" w:rsidR="00D170E5" w:rsidRPr="002B55E9" w:rsidRDefault="00EF27AD">
            <w:pPr>
              <w:jc w:val="cente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6AABA1EB"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4550</w:t>
            </w:r>
          </w:p>
        </w:tc>
      </w:tr>
      <w:tr w:rsidR="002B55E9" w:rsidRPr="002B55E9" w14:paraId="51B99865" w14:textId="77777777">
        <w:trPr>
          <w:trHeight w:val="284"/>
        </w:trPr>
        <w:tc>
          <w:tcPr>
            <w:tcW w:w="671" w:type="dxa"/>
            <w:tcBorders>
              <w:top w:val="single" w:sz="4" w:space="0" w:color="auto"/>
              <w:left w:val="nil"/>
              <w:bottom w:val="single" w:sz="4" w:space="0" w:color="auto"/>
              <w:right w:val="single" w:sz="6" w:space="0" w:color="auto"/>
            </w:tcBorders>
            <w:vAlign w:val="center"/>
          </w:tcPr>
          <w:p w14:paraId="372A9733" w14:textId="77777777" w:rsidR="00D170E5" w:rsidRPr="002B55E9" w:rsidRDefault="00EF27AD">
            <w:pPr>
              <w:pStyle w:val="affff6"/>
              <w:snapToGrid w:val="0"/>
              <w:rPr>
                <w:szCs w:val="18"/>
              </w:rPr>
            </w:pPr>
            <w:r w:rsidRPr="002B55E9">
              <w:rPr>
                <w:rFonts w:hint="eastAsia"/>
                <w:szCs w:val="18"/>
              </w:rPr>
              <w:t>2</w:t>
            </w:r>
            <w:r w:rsidRPr="002B55E9">
              <w:rPr>
                <w:szCs w:val="18"/>
              </w:rPr>
              <w:t>9</w:t>
            </w:r>
          </w:p>
        </w:tc>
        <w:tc>
          <w:tcPr>
            <w:tcW w:w="1461" w:type="dxa"/>
            <w:tcBorders>
              <w:top w:val="single" w:sz="4" w:space="0" w:color="auto"/>
              <w:left w:val="single" w:sz="6" w:space="0" w:color="auto"/>
              <w:bottom w:val="single" w:sz="4" w:space="0" w:color="auto"/>
              <w:right w:val="single" w:sz="6" w:space="0" w:color="auto"/>
            </w:tcBorders>
            <w:vAlign w:val="center"/>
          </w:tcPr>
          <w:p w14:paraId="77F74D60" w14:textId="77777777" w:rsidR="00D170E5" w:rsidRPr="002B55E9" w:rsidRDefault="00EF27AD">
            <w:pPr>
              <w:snapToGrid w:val="0"/>
              <w:jc w:val="center"/>
              <w:rPr>
                <w:sz w:val="18"/>
                <w:szCs w:val="18"/>
              </w:rPr>
            </w:pPr>
            <w:r w:rsidRPr="002B55E9">
              <w:rPr>
                <w:sz w:val="18"/>
                <w:szCs w:val="18"/>
              </w:rPr>
              <w:t>114.03885841</w:t>
            </w:r>
          </w:p>
        </w:tc>
        <w:tc>
          <w:tcPr>
            <w:tcW w:w="1338" w:type="dxa"/>
            <w:tcBorders>
              <w:top w:val="single" w:sz="4" w:space="0" w:color="auto"/>
              <w:left w:val="single" w:sz="6" w:space="0" w:color="auto"/>
              <w:bottom w:val="single" w:sz="4" w:space="0" w:color="auto"/>
              <w:right w:val="single" w:sz="6" w:space="0" w:color="auto"/>
            </w:tcBorders>
            <w:vAlign w:val="center"/>
          </w:tcPr>
          <w:p w14:paraId="65605183" w14:textId="77777777" w:rsidR="00D170E5" w:rsidRPr="002B55E9" w:rsidRDefault="00EF27AD">
            <w:pPr>
              <w:snapToGrid w:val="0"/>
              <w:jc w:val="center"/>
              <w:rPr>
                <w:sz w:val="18"/>
                <w:szCs w:val="18"/>
              </w:rPr>
            </w:pPr>
            <w:r w:rsidRPr="002B55E9">
              <w:rPr>
                <w:sz w:val="18"/>
                <w:szCs w:val="18"/>
              </w:rPr>
              <w:t>30.66478939</w:t>
            </w:r>
          </w:p>
        </w:tc>
        <w:tc>
          <w:tcPr>
            <w:tcW w:w="2197" w:type="dxa"/>
            <w:tcBorders>
              <w:top w:val="single" w:sz="4" w:space="0" w:color="auto"/>
              <w:left w:val="single" w:sz="6" w:space="0" w:color="auto"/>
              <w:bottom w:val="single" w:sz="4" w:space="0" w:color="auto"/>
              <w:right w:val="single" w:sz="6" w:space="0" w:color="auto"/>
            </w:tcBorders>
            <w:vAlign w:val="center"/>
          </w:tcPr>
          <w:p w14:paraId="3B23EF53" w14:textId="77777777" w:rsidR="00D170E5" w:rsidRPr="002B55E9" w:rsidRDefault="00EF27AD">
            <w:pPr>
              <w:snapToGrid w:val="0"/>
              <w:jc w:val="center"/>
              <w:rPr>
                <w:sz w:val="18"/>
                <w:szCs w:val="18"/>
              </w:rPr>
            </w:pPr>
            <w:r w:rsidRPr="002B55E9">
              <w:rPr>
                <w:rFonts w:hint="eastAsia"/>
                <w:sz w:val="18"/>
                <w:szCs w:val="18"/>
              </w:rPr>
              <w:t>青松村</w:t>
            </w:r>
          </w:p>
        </w:tc>
        <w:tc>
          <w:tcPr>
            <w:tcW w:w="1166" w:type="dxa"/>
            <w:tcBorders>
              <w:top w:val="single" w:sz="4" w:space="0" w:color="auto"/>
              <w:left w:val="single" w:sz="6" w:space="0" w:color="auto"/>
              <w:bottom w:val="single" w:sz="4" w:space="0" w:color="auto"/>
              <w:right w:val="single" w:sz="6" w:space="0" w:color="auto"/>
            </w:tcBorders>
            <w:vAlign w:val="center"/>
          </w:tcPr>
          <w:p w14:paraId="6CA109BB" w14:textId="77777777" w:rsidR="00D170E5" w:rsidRPr="002B55E9" w:rsidRDefault="00EF27AD">
            <w:pPr>
              <w:snapToGrid w:val="0"/>
              <w:jc w:val="center"/>
              <w:rPr>
                <w:sz w:val="18"/>
                <w:szCs w:val="18"/>
              </w:rPr>
            </w:pPr>
            <w:r w:rsidRPr="002B55E9">
              <w:rPr>
                <w:rFonts w:hint="eastAsia"/>
                <w:sz w:val="18"/>
                <w:szCs w:val="18"/>
              </w:rPr>
              <w:t>200</w:t>
            </w:r>
          </w:p>
        </w:tc>
        <w:tc>
          <w:tcPr>
            <w:tcW w:w="1166" w:type="dxa"/>
            <w:tcBorders>
              <w:top w:val="single" w:sz="4" w:space="0" w:color="auto"/>
              <w:left w:val="single" w:sz="6" w:space="0" w:color="auto"/>
              <w:bottom w:val="single" w:sz="4" w:space="0" w:color="auto"/>
              <w:right w:val="single" w:sz="6" w:space="0" w:color="auto"/>
            </w:tcBorders>
          </w:tcPr>
          <w:p w14:paraId="78FF4F2E" w14:textId="77777777" w:rsidR="00D170E5" w:rsidRPr="002B55E9" w:rsidRDefault="00EF27AD">
            <w:pPr>
              <w:jc w:val="center"/>
            </w:pPr>
            <w:r w:rsidRPr="002B55E9">
              <w:rPr>
                <w:rFonts w:hint="eastAsia"/>
                <w:sz w:val="18"/>
                <w:szCs w:val="18"/>
              </w:rPr>
              <w:t>东南</w:t>
            </w:r>
          </w:p>
        </w:tc>
        <w:tc>
          <w:tcPr>
            <w:tcW w:w="1638" w:type="dxa"/>
            <w:tcBorders>
              <w:top w:val="single" w:sz="4" w:space="0" w:color="auto"/>
              <w:left w:val="single" w:sz="6" w:space="0" w:color="auto"/>
              <w:bottom w:val="single" w:sz="4" w:space="0" w:color="auto"/>
              <w:right w:val="nil"/>
            </w:tcBorders>
            <w:vAlign w:val="center"/>
          </w:tcPr>
          <w:p w14:paraId="758D887A"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4290</w:t>
            </w:r>
          </w:p>
        </w:tc>
      </w:tr>
      <w:tr w:rsidR="002B55E9" w:rsidRPr="002B55E9" w14:paraId="3F907ACC" w14:textId="77777777">
        <w:trPr>
          <w:trHeight w:val="284"/>
        </w:trPr>
        <w:tc>
          <w:tcPr>
            <w:tcW w:w="671" w:type="dxa"/>
            <w:tcBorders>
              <w:top w:val="single" w:sz="4" w:space="0" w:color="auto"/>
              <w:left w:val="nil"/>
              <w:bottom w:val="single" w:sz="4" w:space="0" w:color="auto"/>
              <w:right w:val="single" w:sz="6" w:space="0" w:color="auto"/>
            </w:tcBorders>
            <w:vAlign w:val="center"/>
          </w:tcPr>
          <w:p w14:paraId="58184011" w14:textId="77777777" w:rsidR="00D170E5" w:rsidRPr="002B55E9" w:rsidRDefault="00EF27AD">
            <w:pPr>
              <w:pStyle w:val="affff6"/>
              <w:snapToGrid w:val="0"/>
              <w:rPr>
                <w:szCs w:val="18"/>
              </w:rPr>
            </w:pPr>
            <w:r w:rsidRPr="002B55E9">
              <w:rPr>
                <w:rFonts w:hint="eastAsia"/>
                <w:szCs w:val="18"/>
              </w:rPr>
              <w:t>3</w:t>
            </w:r>
            <w:r w:rsidRPr="002B55E9">
              <w:rPr>
                <w:szCs w:val="18"/>
              </w:rPr>
              <w:t>0</w:t>
            </w:r>
          </w:p>
        </w:tc>
        <w:tc>
          <w:tcPr>
            <w:tcW w:w="1461" w:type="dxa"/>
            <w:tcBorders>
              <w:top w:val="single" w:sz="4" w:space="0" w:color="auto"/>
              <w:left w:val="single" w:sz="6" w:space="0" w:color="auto"/>
              <w:bottom w:val="single" w:sz="4" w:space="0" w:color="auto"/>
              <w:right w:val="single" w:sz="6" w:space="0" w:color="auto"/>
            </w:tcBorders>
            <w:vAlign w:val="center"/>
          </w:tcPr>
          <w:p w14:paraId="355EC32A" w14:textId="77777777" w:rsidR="00D170E5" w:rsidRPr="002B55E9" w:rsidRDefault="00EF27AD">
            <w:pPr>
              <w:snapToGrid w:val="0"/>
              <w:jc w:val="center"/>
              <w:rPr>
                <w:sz w:val="18"/>
                <w:szCs w:val="18"/>
              </w:rPr>
            </w:pPr>
            <w:r w:rsidRPr="002B55E9">
              <w:rPr>
                <w:sz w:val="18"/>
                <w:szCs w:val="18"/>
              </w:rPr>
              <w:t>114.03456688</w:t>
            </w:r>
          </w:p>
        </w:tc>
        <w:tc>
          <w:tcPr>
            <w:tcW w:w="1338" w:type="dxa"/>
            <w:tcBorders>
              <w:top w:val="single" w:sz="4" w:space="0" w:color="auto"/>
              <w:left w:val="single" w:sz="6" w:space="0" w:color="auto"/>
              <w:bottom w:val="single" w:sz="4" w:space="0" w:color="auto"/>
              <w:right w:val="single" w:sz="6" w:space="0" w:color="auto"/>
            </w:tcBorders>
            <w:vAlign w:val="center"/>
          </w:tcPr>
          <w:p w14:paraId="0F71E6D2" w14:textId="77777777" w:rsidR="00D170E5" w:rsidRPr="002B55E9" w:rsidRDefault="00EF27AD">
            <w:pPr>
              <w:snapToGrid w:val="0"/>
              <w:jc w:val="center"/>
              <w:rPr>
                <w:sz w:val="18"/>
                <w:szCs w:val="18"/>
              </w:rPr>
            </w:pPr>
            <w:r w:rsidRPr="002B55E9">
              <w:rPr>
                <w:sz w:val="18"/>
                <w:szCs w:val="18"/>
              </w:rPr>
              <w:t>30.67099079</w:t>
            </w:r>
          </w:p>
        </w:tc>
        <w:tc>
          <w:tcPr>
            <w:tcW w:w="2197" w:type="dxa"/>
            <w:tcBorders>
              <w:top w:val="single" w:sz="4" w:space="0" w:color="auto"/>
              <w:left w:val="single" w:sz="6" w:space="0" w:color="auto"/>
              <w:bottom w:val="single" w:sz="4" w:space="0" w:color="auto"/>
              <w:right w:val="single" w:sz="6" w:space="0" w:color="auto"/>
            </w:tcBorders>
            <w:vAlign w:val="center"/>
          </w:tcPr>
          <w:p w14:paraId="1FB0C17C" w14:textId="77777777" w:rsidR="00D170E5" w:rsidRPr="002B55E9" w:rsidRDefault="00EF27AD">
            <w:pPr>
              <w:snapToGrid w:val="0"/>
              <w:jc w:val="center"/>
              <w:rPr>
                <w:sz w:val="18"/>
                <w:szCs w:val="18"/>
              </w:rPr>
            </w:pPr>
            <w:r w:rsidRPr="002B55E9">
              <w:rPr>
                <w:rFonts w:hint="eastAsia"/>
                <w:sz w:val="18"/>
                <w:szCs w:val="18"/>
              </w:rPr>
              <w:t>金松村</w:t>
            </w:r>
          </w:p>
        </w:tc>
        <w:tc>
          <w:tcPr>
            <w:tcW w:w="1166" w:type="dxa"/>
            <w:tcBorders>
              <w:top w:val="single" w:sz="4" w:space="0" w:color="auto"/>
              <w:left w:val="single" w:sz="6" w:space="0" w:color="auto"/>
              <w:bottom w:val="single" w:sz="4" w:space="0" w:color="auto"/>
              <w:right w:val="single" w:sz="6" w:space="0" w:color="auto"/>
            </w:tcBorders>
            <w:vAlign w:val="center"/>
          </w:tcPr>
          <w:p w14:paraId="5AFB788E" w14:textId="77777777" w:rsidR="00D170E5" w:rsidRPr="002B55E9" w:rsidRDefault="00EF27AD">
            <w:pPr>
              <w:snapToGrid w:val="0"/>
              <w:jc w:val="center"/>
              <w:rPr>
                <w:sz w:val="18"/>
                <w:szCs w:val="18"/>
              </w:rPr>
            </w:pPr>
            <w:r w:rsidRPr="002B55E9">
              <w:rPr>
                <w:sz w:val="18"/>
                <w:szCs w:val="18"/>
              </w:rPr>
              <w:t>150</w:t>
            </w:r>
          </w:p>
        </w:tc>
        <w:tc>
          <w:tcPr>
            <w:tcW w:w="1166" w:type="dxa"/>
            <w:tcBorders>
              <w:top w:val="single" w:sz="4" w:space="0" w:color="auto"/>
              <w:left w:val="single" w:sz="6" w:space="0" w:color="auto"/>
              <w:bottom w:val="single" w:sz="4" w:space="0" w:color="auto"/>
              <w:right w:val="single" w:sz="6" w:space="0" w:color="auto"/>
            </w:tcBorders>
          </w:tcPr>
          <w:p w14:paraId="7C4CB680" w14:textId="77777777" w:rsidR="00D170E5" w:rsidRPr="002B55E9" w:rsidRDefault="00EF27AD">
            <w:pPr>
              <w:jc w:val="center"/>
            </w:pPr>
            <w:r w:rsidRPr="002B55E9">
              <w:rPr>
                <w:rFonts w:hint="eastAsia"/>
                <w:sz w:val="18"/>
                <w:szCs w:val="18"/>
              </w:rPr>
              <w:t>东</w:t>
            </w:r>
          </w:p>
        </w:tc>
        <w:tc>
          <w:tcPr>
            <w:tcW w:w="1638" w:type="dxa"/>
            <w:tcBorders>
              <w:top w:val="single" w:sz="4" w:space="0" w:color="auto"/>
              <w:left w:val="single" w:sz="6" w:space="0" w:color="auto"/>
              <w:bottom w:val="single" w:sz="4" w:space="0" w:color="auto"/>
              <w:right w:val="nil"/>
            </w:tcBorders>
            <w:vAlign w:val="center"/>
          </w:tcPr>
          <w:p w14:paraId="26024151"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3820</w:t>
            </w:r>
          </w:p>
        </w:tc>
      </w:tr>
      <w:tr w:rsidR="002B55E9" w:rsidRPr="002B55E9" w14:paraId="4E94B588" w14:textId="77777777">
        <w:trPr>
          <w:trHeight w:val="284"/>
        </w:trPr>
        <w:tc>
          <w:tcPr>
            <w:tcW w:w="671" w:type="dxa"/>
            <w:tcBorders>
              <w:top w:val="single" w:sz="4" w:space="0" w:color="auto"/>
              <w:left w:val="nil"/>
              <w:bottom w:val="single" w:sz="4" w:space="0" w:color="auto"/>
              <w:right w:val="single" w:sz="6" w:space="0" w:color="auto"/>
            </w:tcBorders>
            <w:vAlign w:val="center"/>
          </w:tcPr>
          <w:p w14:paraId="24C3AAB2" w14:textId="77777777" w:rsidR="00D170E5" w:rsidRPr="002B55E9" w:rsidRDefault="00EF27AD">
            <w:pPr>
              <w:pStyle w:val="affff6"/>
              <w:snapToGrid w:val="0"/>
              <w:rPr>
                <w:szCs w:val="18"/>
              </w:rPr>
            </w:pPr>
            <w:r w:rsidRPr="002B55E9">
              <w:rPr>
                <w:rFonts w:hint="eastAsia"/>
                <w:szCs w:val="18"/>
              </w:rPr>
              <w:t>3</w:t>
            </w:r>
            <w:r w:rsidRPr="002B55E9">
              <w:rPr>
                <w:szCs w:val="18"/>
              </w:rPr>
              <w:t>1</w:t>
            </w:r>
          </w:p>
        </w:tc>
        <w:tc>
          <w:tcPr>
            <w:tcW w:w="1461" w:type="dxa"/>
            <w:tcBorders>
              <w:top w:val="single" w:sz="4" w:space="0" w:color="auto"/>
              <w:left w:val="single" w:sz="6" w:space="0" w:color="auto"/>
              <w:bottom w:val="single" w:sz="4" w:space="0" w:color="auto"/>
              <w:right w:val="single" w:sz="6" w:space="0" w:color="auto"/>
            </w:tcBorders>
            <w:vAlign w:val="center"/>
          </w:tcPr>
          <w:p w14:paraId="01782631" w14:textId="77777777" w:rsidR="00D170E5" w:rsidRPr="002B55E9" w:rsidRDefault="00EF27AD">
            <w:pPr>
              <w:snapToGrid w:val="0"/>
              <w:jc w:val="center"/>
              <w:rPr>
                <w:sz w:val="18"/>
                <w:szCs w:val="18"/>
              </w:rPr>
            </w:pPr>
            <w:r w:rsidRPr="002B55E9">
              <w:rPr>
                <w:sz w:val="18"/>
                <w:szCs w:val="18"/>
              </w:rPr>
              <w:t>114.02559757</w:t>
            </w:r>
          </w:p>
        </w:tc>
        <w:tc>
          <w:tcPr>
            <w:tcW w:w="1338" w:type="dxa"/>
            <w:tcBorders>
              <w:top w:val="single" w:sz="4" w:space="0" w:color="auto"/>
              <w:left w:val="single" w:sz="6" w:space="0" w:color="auto"/>
              <w:bottom w:val="single" w:sz="4" w:space="0" w:color="auto"/>
              <w:right w:val="single" w:sz="6" w:space="0" w:color="auto"/>
            </w:tcBorders>
            <w:vAlign w:val="center"/>
          </w:tcPr>
          <w:p w14:paraId="795DC9C3" w14:textId="77777777" w:rsidR="00D170E5" w:rsidRPr="002B55E9" w:rsidRDefault="00EF27AD">
            <w:pPr>
              <w:snapToGrid w:val="0"/>
              <w:jc w:val="center"/>
              <w:rPr>
                <w:sz w:val="18"/>
                <w:szCs w:val="18"/>
              </w:rPr>
            </w:pPr>
            <w:r w:rsidRPr="002B55E9">
              <w:rPr>
                <w:sz w:val="18"/>
                <w:szCs w:val="18"/>
              </w:rPr>
              <w:t>30.68206374</w:t>
            </w:r>
          </w:p>
        </w:tc>
        <w:tc>
          <w:tcPr>
            <w:tcW w:w="2197" w:type="dxa"/>
            <w:tcBorders>
              <w:top w:val="single" w:sz="4" w:space="0" w:color="auto"/>
              <w:left w:val="single" w:sz="6" w:space="0" w:color="auto"/>
              <w:bottom w:val="single" w:sz="4" w:space="0" w:color="auto"/>
              <w:right w:val="single" w:sz="6" w:space="0" w:color="auto"/>
            </w:tcBorders>
            <w:vAlign w:val="center"/>
          </w:tcPr>
          <w:p w14:paraId="1E12453D" w14:textId="77777777" w:rsidR="00D170E5" w:rsidRPr="002B55E9" w:rsidRDefault="00EF27AD">
            <w:pPr>
              <w:snapToGrid w:val="0"/>
              <w:jc w:val="center"/>
              <w:rPr>
                <w:sz w:val="18"/>
                <w:szCs w:val="18"/>
              </w:rPr>
            </w:pPr>
            <w:r w:rsidRPr="002B55E9">
              <w:rPr>
                <w:rFonts w:hint="eastAsia"/>
                <w:sz w:val="18"/>
                <w:szCs w:val="18"/>
              </w:rPr>
              <w:t>五大队村</w:t>
            </w:r>
          </w:p>
        </w:tc>
        <w:tc>
          <w:tcPr>
            <w:tcW w:w="1166" w:type="dxa"/>
            <w:tcBorders>
              <w:top w:val="single" w:sz="4" w:space="0" w:color="auto"/>
              <w:left w:val="single" w:sz="6" w:space="0" w:color="auto"/>
              <w:bottom w:val="single" w:sz="4" w:space="0" w:color="auto"/>
              <w:right w:val="single" w:sz="6" w:space="0" w:color="auto"/>
            </w:tcBorders>
            <w:vAlign w:val="center"/>
          </w:tcPr>
          <w:p w14:paraId="3DF6FCDE" w14:textId="77777777" w:rsidR="00D170E5" w:rsidRPr="002B55E9" w:rsidRDefault="00EF27AD">
            <w:pPr>
              <w:snapToGrid w:val="0"/>
              <w:jc w:val="center"/>
              <w:rPr>
                <w:sz w:val="18"/>
                <w:szCs w:val="18"/>
              </w:rPr>
            </w:pPr>
            <w:r w:rsidRPr="002B55E9">
              <w:rPr>
                <w:rFonts w:hint="eastAsia"/>
                <w:sz w:val="18"/>
                <w:szCs w:val="18"/>
              </w:rPr>
              <w:t>4</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474FA3F8" w14:textId="77777777" w:rsidR="00D170E5" w:rsidRPr="002B55E9" w:rsidRDefault="00EF27AD">
            <w:pPr>
              <w:snapToGrid w:val="0"/>
              <w:jc w:val="center"/>
              <w:rPr>
                <w:sz w:val="18"/>
                <w:szCs w:val="18"/>
              </w:rPr>
            </w:pPr>
            <w:r w:rsidRPr="002B55E9">
              <w:rPr>
                <w:rFonts w:hint="eastAsia"/>
                <w:sz w:val="18"/>
                <w:szCs w:val="18"/>
              </w:rPr>
              <w:t>东</w:t>
            </w:r>
          </w:p>
        </w:tc>
        <w:tc>
          <w:tcPr>
            <w:tcW w:w="1638" w:type="dxa"/>
            <w:tcBorders>
              <w:top w:val="single" w:sz="4" w:space="0" w:color="auto"/>
              <w:left w:val="single" w:sz="6" w:space="0" w:color="auto"/>
              <w:bottom w:val="single" w:sz="4" w:space="0" w:color="auto"/>
              <w:right w:val="nil"/>
            </w:tcBorders>
            <w:vAlign w:val="center"/>
          </w:tcPr>
          <w:p w14:paraId="55523A55"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3990</w:t>
            </w:r>
          </w:p>
        </w:tc>
      </w:tr>
      <w:tr w:rsidR="002B55E9" w:rsidRPr="002B55E9" w14:paraId="048A76F2" w14:textId="77777777">
        <w:trPr>
          <w:trHeight w:val="284"/>
        </w:trPr>
        <w:tc>
          <w:tcPr>
            <w:tcW w:w="671" w:type="dxa"/>
            <w:tcBorders>
              <w:top w:val="single" w:sz="4" w:space="0" w:color="auto"/>
              <w:left w:val="nil"/>
              <w:bottom w:val="single" w:sz="4" w:space="0" w:color="auto"/>
              <w:right w:val="single" w:sz="6" w:space="0" w:color="auto"/>
            </w:tcBorders>
            <w:vAlign w:val="center"/>
          </w:tcPr>
          <w:p w14:paraId="3A04F667" w14:textId="77777777" w:rsidR="00D170E5" w:rsidRPr="002B55E9" w:rsidRDefault="00EF27AD">
            <w:pPr>
              <w:pStyle w:val="affff6"/>
              <w:snapToGrid w:val="0"/>
              <w:rPr>
                <w:szCs w:val="18"/>
              </w:rPr>
            </w:pPr>
            <w:r w:rsidRPr="002B55E9">
              <w:rPr>
                <w:rFonts w:hint="eastAsia"/>
                <w:szCs w:val="18"/>
              </w:rPr>
              <w:t>3</w:t>
            </w:r>
            <w:r w:rsidRPr="002B55E9">
              <w:rPr>
                <w:szCs w:val="18"/>
              </w:rPr>
              <w:t>2</w:t>
            </w:r>
          </w:p>
        </w:tc>
        <w:tc>
          <w:tcPr>
            <w:tcW w:w="1461" w:type="dxa"/>
            <w:tcBorders>
              <w:top w:val="single" w:sz="4" w:space="0" w:color="auto"/>
              <w:left w:val="single" w:sz="6" w:space="0" w:color="auto"/>
              <w:bottom w:val="single" w:sz="4" w:space="0" w:color="auto"/>
              <w:right w:val="single" w:sz="6" w:space="0" w:color="auto"/>
            </w:tcBorders>
            <w:vAlign w:val="center"/>
          </w:tcPr>
          <w:p w14:paraId="6B6D98A5" w14:textId="77777777" w:rsidR="00D170E5" w:rsidRPr="002B55E9" w:rsidRDefault="00EF27AD">
            <w:pPr>
              <w:snapToGrid w:val="0"/>
              <w:jc w:val="center"/>
              <w:rPr>
                <w:sz w:val="18"/>
                <w:szCs w:val="18"/>
              </w:rPr>
            </w:pPr>
            <w:r w:rsidRPr="002B55E9">
              <w:rPr>
                <w:sz w:val="18"/>
                <w:szCs w:val="18"/>
              </w:rPr>
              <w:t>114.03636932</w:t>
            </w:r>
          </w:p>
        </w:tc>
        <w:tc>
          <w:tcPr>
            <w:tcW w:w="1338" w:type="dxa"/>
            <w:tcBorders>
              <w:top w:val="single" w:sz="4" w:space="0" w:color="auto"/>
              <w:left w:val="single" w:sz="6" w:space="0" w:color="auto"/>
              <w:bottom w:val="single" w:sz="4" w:space="0" w:color="auto"/>
              <w:right w:val="single" w:sz="6" w:space="0" w:color="auto"/>
            </w:tcBorders>
            <w:vAlign w:val="center"/>
          </w:tcPr>
          <w:p w14:paraId="6685D9DD" w14:textId="77777777" w:rsidR="00D170E5" w:rsidRPr="002B55E9" w:rsidRDefault="00EF27AD">
            <w:pPr>
              <w:snapToGrid w:val="0"/>
              <w:jc w:val="center"/>
              <w:rPr>
                <w:sz w:val="18"/>
                <w:szCs w:val="18"/>
              </w:rPr>
            </w:pPr>
            <w:r w:rsidRPr="002B55E9">
              <w:rPr>
                <w:sz w:val="18"/>
                <w:szCs w:val="18"/>
              </w:rPr>
              <w:t>30.68671400</w:t>
            </w:r>
          </w:p>
        </w:tc>
        <w:tc>
          <w:tcPr>
            <w:tcW w:w="2197" w:type="dxa"/>
            <w:tcBorders>
              <w:top w:val="single" w:sz="4" w:space="0" w:color="auto"/>
              <w:left w:val="single" w:sz="6" w:space="0" w:color="auto"/>
              <w:bottom w:val="single" w:sz="4" w:space="0" w:color="auto"/>
              <w:right w:val="single" w:sz="6" w:space="0" w:color="auto"/>
            </w:tcBorders>
            <w:vAlign w:val="center"/>
          </w:tcPr>
          <w:p w14:paraId="3803F117" w14:textId="77777777" w:rsidR="00D170E5" w:rsidRPr="002B55E9" w:rsidRDefault="00EF27AD">
            <w:pPr>
              <w:snapToGrid w:val="0"/>
              <w:jc w:val="center"/>
              <w:rPr>
                <w:sz w:val="18"/>
                <w:szCs w:val="18"/>
              </w:rPr>
            </w:pPr>
            <w:r w:rsidRPr="002B55E9">
              <w:rPr>
                <w:rFonts w:hint="eastAsia"/>
                <w:sz w:val="18"/>
                <w:szCs w:val="18"/>
              </w:rPr>
              <w:t>大扇湖村</w:t>
            </w:r>
          </w:p>
        </w:tc>
        <w:tc>
          <w:tcPr>
            <w:tcW w:w="1166" w:type="dxa"/>
            <w:tcBorders>
              <w:top w:val="single" w:sz="4" w:space="0" w:color="auto"/>
              <w:left w:val="single" w:sz="6" w:space="0" w:color="auto"/>
              <w:bottom w:val="single" w:sz="4" w:space="0" w:color="auto"/>
              <w:right w:val="single" w:sz="6" w:space="0" w:color="auto"/>
            </w:tcBorders>
            <w:vAlign w:val="center"/>
          </w:tcPr>
          <w:p w14:paraId="0A44D839" w14:textId="77777777" w:rsidR="00D170E5" w:rsidRPr="002B55E9" w:rsidRDefault="00EF27AD">
            <w:pPr>
              <w:snapToGrid w:val="0"/>
              <w:jc w:val="center"/>
              <w:rPr>
                <w:sz w:val="18"/>
                <w:szCs w:val="18"/>
              </w:rPr>
            </w:pPr>
            <w:r w:rsidRPr="002B55E9">
              <w:rPr>
                <w:rFonts w:hint="eastAsia"/>
                <w:sz w:val="18"/>
                <w:szCs w:val="18"/>
              </w:rPr>
              <w:t>8</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0E27C685" w14:textId="77777777" w:rsidR="00D170E5" w:rsidRPr="002B55E9" w:rsidRDefault="00EF27AD">
            <w:pPr>
              <w:snapToGrid w:val="0"/>
              <w:jc w:val="center"/>
              <w:rPr>
                <w:sz w:val="18"/>
                <w:szCs w:val="18"/>
              </w:rPr>
            </w:pPr>
            <w:r w:rsidRPr="002B55E9">
              <w:rPr>
                <w:rFonts w:hint="eastAsia"/>
                <w:sz w:val="18"/>
                <w:szCs w:val="18"/>
              </w:rPr>
              <w:t>东</w:t>
            </w:r>
          </w:p>
        </w:tc>
        <w:tc>
          <w:tcPr>
            <w:tcW w:w="1638" w:type="dxa"/>
            <w:tcBorders>
              <w:top w:val="single" w:sz="4" w:space="0" w:color="auto"/>
              <w:left w:val="single" w:sz="6" w:space="0" w:color="auto"/>
              <w:bottom w:val="single" w:sz="4" w:space="0" w:color="auto"/>
              <w:right w:val="nil"/>
            </w:tcBorders>
            <w:vAlign w:val="center"/>
          </w:tcPr>
          <w:p w14:paraId="26F79E8E"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4120</w:t>
            </w:r>
          </w:p>
        </w:tc>
      </w:tr>
      <w:tr w:rsidR="002B55E9" w:rsidRPr="002B55E9" w14:paraId="037D6C75" w14:textId="77777777">
        <w:trPr>
          <w:trHeight w:val="284"/>
        </w:trPr>
        <w:tc>
          <w:tcPr>
            <w:tcW w:w="671" w:type="dxa"/>
            <w:tcBorders>
              <w:top w:val="single" w:sz="4" w:space="0" w:color="auto"/>
              <w:left w:val="nil"/>
              <w:bottom w:val="single" w:sz="4" w:space="0" w:color="auto"/>
              <w:right w:val="single" w:sz="6" w:space="0" w:color="auto"/>
            </w:tcBorders>
            <w:vAlign w:val="center"/>
          </w:tcPr>
          <w:p w14:paraId="4F01CEB8" w14:textId="77777777" w:rsidR="00D170E5" w:rsidRPr="002B55E9" w:rsidRDefault="00EF27AD">
            <w:pPr>
              <w:pStyle w:val="affff6"/>
              <w:snapToGrid w:val="0"/>
              <w:rPr>
                <w:szCs w:val="18"/>
              </w:rPr>
            </w:pPr>
            <w:r w:rsidRPr="002B55E9">
              <w:rPr>
                <w:rFonts w:hint="eastAsia"/>
                <w:szCs w:val="18"/>
              </w:rPr>
              <w:t>3</w:t>
            </w:r>
            <w:r w:rsidRPr="002B55E9">
              <w:rPr>
                <w:szCs w:val="18"/>
              </w:rPr>
              <w:t>3</w:t>
            </w:r>
          </w:p>
        </w:tc>
        <w:tc>
          <w:tcPr>
            <w:tcW w:w="1461" w:type="dxa"/>
            <w:tcBorders>
              <w:top w:val="single" w:sz="4" w:space="0" w:color="auto"/>
              <w:left w:val="single" w:sz="6" w:space="0" w:color="auto"/>
              <w:bottom w:val="single" w:sz="4" w:space="0" w:color="auto"/>
              <w:right w:val="single" w:sz="6" w:space="0" w:color="auto"/>
            </w:tcBorders>
            <w:vAlign w:val="center"/>
          </w:tcPr>
          <w:p w14:paraId="13645A83" w14:textId="77777777" w:rsidR="00D170E5" w:rsidRPr="002B55E9" w:rsidRDefault="00EF27AD">
            <w:pPr>
              <w:snapToGrid w:val="0"/>
              <w:jc w:val="center"/>
              <w:rPr>
                <w:sz w:val="18"/>
                <w:szCs w:val="18"/>
              </w:rPr>
            </w:pPr>
            <w:r w:rsidRPr="002B55E9">
              <w:rPr>
                <w:sz w:val="18"/>
                <w:szCs w:val="18"/>
              </w:rPr>
              <w:t>114.03499603</w:t>
            </w:r>
          </w:p>
        </w:tc>
        <w:tc>
          <w:tcPr>
            <w:tcW w:w="1338" w:type="dxa"/>
            <w:tcBorders>
              <w:top w:val="single" w:sz="4" w:space="0" w:color="auto"/>
              <w:left w:val="single" w:sz="6" w:space="0" w:color="auto"/>
              <w:bottom w:val="single" w:sz="4" w:space="0" w:color="auto"/>
              <w:right w:val="single" w:sz="6" w:space="0" w:color="auto"/>
            </w:tcBorders>
            <w:vAlign w:val="center"/>
          </w:tcPr>
          <w:p w14:paraId="0BF11C20" w14:textId="77777777" w:rsidR="00D170E5" w:rsidRPr="002B55E9" w:rsidRDefault="00EF27AD">
            <w:pPr>
              <w:snapToGrid w:val="0"/>
              <w:jc w:val="center"/>
              <w:rPr>
                <w:sz w:val="18"/>
                <w:szCs w:val="18"/>
              </w:rPr>
            </w:pPr>
            <w:r w:rsidRPr="002B55E9">
              <w:rPr>
                <w:sz w:val="18"/>
                <w:szCs w:val="18"/>
              </w:rPr>
              <w:t>30.69512819</w:t>
            </w:r>
          </w:p>
        </w:tc>
        <w:tc>
          <w:tcPr>
            <w:tcW w:w="2197" w:type="dxa"/>
            <w:tcBorders>
              <w:top w:val="single" w:sz="4" w:space="0" w:color="auto"/>
              <w:left w:val="single" w:sz="6" w:space="0" w:color="auto"/>
              <w:bottom w:val="single" w:sz="4" w:space="0" w:color="auto"/>
              <w:right w:val="single" w:sz="6" w:space="0" w:color="auto"/>
            </w:tcBorders>
            <w:vAlign w:val="center"/>
          </w:tcPr>
          <w:p w14:paraId="3BD0A482" w14:textId="77777777" w:rsidR="00D170E5" w:rsidRPr="002B55E9" w:rsidRDefault="00EF27AD">
            <w:pPr>
              <w:snapToGrid w:val="0"/>
              <w:jc w:val="center"/>
              <w:rPr>
                <w:sz w:val="18"/>
                <w:szCs w:val="18"/>
              </w:rPr>
            </w:pPr>
            <w:r w:rsidRPr="002B55E9">
              <w:rPr>
                <w:rFonts w:hint="eastAsia"/>
                <w:sz w:val="18"/>
                <w:szCs w:val="18"/>
              </w:rPr>
              <w:t>四大队村</w:t>
            </w:r>
          </w:p>
        </w:tc>
        <w:tc>
          <w:tcPr>
            <w:tcW w:w="1166" w:type="dxa"/>
            <w:tcBorders>
              <w:top w:val="single" w:sz="4" w:space="0" w:color="auto"/>
              <w:left w:val="single" w:sz="6" w:space="0" w:color="auto"/>
              <w:bottom w:val="single" w:sz="4" w:space="0" w:color="auto"/>
              <w:right w:val="single" w:sz="6" w:space="0" w:color="auto"/>
            </w:tcBorders>
            <w:vAlign w:val="center"/>
          </w:tcPr>
          <w:p w14:paraId="4E43E17F" w14:textId="77777777" w:rsidR="00D170E5" w:rsidRPr="002B55E9" w:rsidRDefault="00EF27AD">
            <w:pPr>
              <w:snapToGrid w:val="0"/>
              <w:jc w:val="center"/>
              <w:rPr>
                <w:sz w:val="18"/>
                <w:szCs w:val="18"/>
              </w:rPr>
            </w:pPr>
            <w:r w:rsidRPr="002B55E9">
              <w:rPr>
                <w:rFonts w:hint="eastAsia"/>
                <w:sz w:val="18"/>
                <w:szCs w:val="18"/>
              </w:rPr>
              <w:t>6</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1D2EAFE9" w14:textId="77777777" w:rsidR="00D170E5" w:rsidRPr="002B55E9" w:rsidRDefault="00EF27AD">
            <w:pPr>
              <w:snapToGrid w:val="0"/>
              <w:jc w:val="center"/>
              <w:rPr>
                <w:sz w:val="18"/>
                <w:szCs w:val="18"/>
              </w:rPr>
            </w:pPr>
            <w:r w:rsidRPr="002B55E9">
              <w:rPr>
                <w:rFonts w:hint="eastAsia"/>
                <w:sz w:val="18"/>
                <w:szCs w:val="18"/>
              </w:rPr>
              <w:t>东北</w:t>
            </w:r>
          </w:p>
        </w:tc>
        <w:tc>
          <w:tcPr>
            <w:tcW w:w="1638" w:type="dxa"/>
            <w:tcBorders>
              <w:top w:val="single" w:sz="4" w:space="0" w:color="auto"/>
              <w:left w:val="single" w:sz="6" w:space="0" w:color="auto"/>
              <w:bottom w:val="single" w:sz="4" w:space="0" w:color="auto"/>
              <w:right w:val="nil"/>
            </w:tcBorders>
            <w:vAlign w:val="center"/>
          </w:tcPr>
          <w:p w14:paraId="231F5144"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4390</w:t>
            </w:r>
          </w:p>
        </w:tc>
      </w:tr>
      <w:tr w:rsidR="002B55E9" w:rsidRPr="002B55E9" w14:paraId="13D4A3AC" w14:textId="77777777">
        <w:trPr>
          <w:trHeight w:val="284"/>
        </w:trPr>
        <w:tc>
          <w:tcPr>
            <w:tcW w:w="671" w:type="dxa"/>
            <w:tcBorders>
              <w:top w:val="single" w:sz="4" w:space="0" w:color="auto"/>
              <w:left w:val="nil"/>
              <w:bottom w:val="single" w:sz="4" w:space="0" w:color="auto"/>
              <w:right w:val="single" w:sz="6" w:space="0" w:color="auto"/>
            </w:tcBorders>
            <w:vAlign w:val="center"/>
          </w:tcPr>
          <w:p w14:paraId="7DB6744E" w14:textId="77777777" w:rsidR="00D170E5" w:rsidRPr="002B55E9" w:rsidRDefault="00EF27AD">
            <w:pPr>
              <w:pStyle w:val="affff6"/>
              <w:snapToGrid w:val="0"/>
              <w:rPr>
                <w:szCs w:val="18"/>
              </w:rPr>
            </w:pPr>
            <w:r w:rsidRPr="002B55E9">
              <w:rPr>
                <w:rFonts w:hint="eastAsia"/>
                <w:szCs w:val="18"/>
              </w:rPr>
              <w:t>3</w:t>
            </w:r>
            <w:r w:rsidRPr="002B55E9">
              <w:rPr>
                <w:szCs w:val="18"/>
              </w:rPr>
              <w:t>4</w:t>
            </w:r>
          </w:p>
        </w:tc>
        <w:tc>
          <w:tcPr>
            <w:tcW w:w="1461" w:type="dxa"/>
            <w:tcBorders>
              <w:top w:val="single" w:sz="4" w:space="0" w:color="auto"/>
              <w:left w:val="single" w:sz="6" w:space="0" w:color="auto"/>
              <w:bottom w:val="single" w:sz="4" w:space="0" w:color="auto"/>
              <w:right w:val="single" w:sz="6" w:space="0" w:color="auto"/>
            </w:tcBorders>
            <w:vAlign w:val="center"/>
          </w:tcPr>
          <w:p w14:paraId="5B98D031" w14:textId="77777777" w:rsidR="00D170E5" w:rsidRPr="002B55E9" w:rsidRDefault="00EF27AD">
            <w:pPr>
              <w:snapToGrid w:val="0"/>
              <w:jc w:val="center"/>
              <w:rPr>
                <w:sz w:val="18"/>
                <w:szCs w:val="18"/>
              </w:rPr>
            </w:pPr>
            <w:r w:rsidRPr="002B55E9">
              <w:rPr>
                <w:sz w:val="18"/>
                <w:szCs w:val="18"/>
              </w:rPr>
              <w:t>114.01585579</w:t>
            </w:r>
          </w:p>
        </w:tc>
        <w:tc>
          <w:tcPr>
            <w:tcW w:w="1338" w:type="dxa"/>
            <w:tcBorders>
              <w:top w:val="single" w:sz="4" w:space="0" w:color="auto"/>
              <w:left w:val="single" w:sz="6" w:space="0" w:color="auto"/>
              <w:bottom w:val="single" w:sz="4" w:space="0" w:color="auto"/>
              <w:right w:val="single" w:sz="6" w:space="0" w:color="auto"/>
            </w:tcBorders>
            <w:vAlign w:val="center"/>
          </w:tcPr>
          <w:p w14:paraId="1077CB62" w14:textId="77777777" w:rsidR="00D170E5" w:rsidRPr="002B55E9" w:rsidRDefault="00EF27AD">
            <w:pPr>
              <w:snapToGrid w:val="0"/>
              <w:jc w:val="center"/>
              <w:rPr>
                <w:sz w:val="18"/>
                <w:szCs w:val="18"/>
              </w:rPr>
            </w:pPr>
            <w:r w:rsidRPr="002B55E9">
              <w:rPr>
                <w:sz w:val="18"/>
                <w:szCs w:val="18"/>
              </w:rPr>
              <w:t>30.70317264</w:t>
            </w:r>
          </w:p>
        </w:tc>
        <w:tc>
          <w:tcPr>
            <w:tcW w:w="2197" w:type="dxa"/>
            <w:tcBorders>
              <w:top w:val="single" w:sz="4" w:space="0" w:color="auto"/>
              <w:left w:val="single" w:sz="6" w:space="0" w:color="auto"/>
              <w:bottom w:val="single" w:sz="4" w:space="0" w:color="auto"/>
              <w:right w:val="single" w:sz="6" w:space="0" w:color="auto"/>
            </w:tcBorders>
            <w:vAlign w:val="center"/>
          </w:tcPr>
          <w:p w14:paraId="5EC23170" w14:textId="77777777" w:rsidR="00D170E5" w:rsidRPr="002B55E9" w:rsidRDefault="00EF27AD">
            <w:pPr>
              <w:snapToGrid w:val="0"/>
              <w:jc w:val="center"/>
              <w:rPr>
                <w:sz w:val="18"/>
                <w:szCs w:val="18"/>
              </w:rPr>
            </w:pPr>
            <w:r w:rsidRPr="002B55E9">
              <w:rPr>
                <w:rFonts w:hint="eastAsia"/>
                <w:sz w:val="18"/>
                <w:szCs w:val="18"/>
              </w:rPr>
              <w:t>长湖村</w:t>
            </w:r>
          </w:p>
        </w:tc>
        <w:tc>
          <w:tcPr>
            <w:tcW w:w="1166" w:type="dxa"/>
            <w:tcBorders>
              <w:top w:val="single" w:sz="4" w:space="0" w:color="auto"/>
              <w:left w:val="single" w:sz="6" w:space="0" w:color="auto"/>
              <w:bottom w:val="single" w:sz="4" w:space="0" w:color="auto"/>
              <w:right w:val="single" w:sz="6" w:space="0" w:color="auto"/>
            </w:tcBorders>
            <w:vAlign w:val="center"/>
          </w:tcPr>
          <w:p w14:paraId="5AEF706D"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2EB8DE2A" w14:textId="77777777" w:rsidR="00D170E5" w:rsidRPr="002B55E9" w:rsidRDefault="00EF27AD">
            <w:pPr>
              <w:snapToGrid w:val="0"/>
              <w:jc w:val="center"/>
              <w:rPr>
                <w:sz w:val="18"/>
                <w:szCs w:val="18"/>
              </w:rPr>
            </w:pPr>
            <w:r w:rsidRPr="002B55E9">
              <w:rPr>
                <w:rFonts w:hint="eastAsia"/>
                <w:sz w:val="18"/>
                <w:szCs w:val="18"/>
              </w:rPr>
              <w:t>东北</w:t>
            </w:r>
          </w:p>
        </w:tc>
        <w:tc>
          <w:tcPr>
            <w:tcW w:w="1638" w:type="dxa"/>
            <w:tcBorders>
              <w:top w:val="single" w:sz="4" w:space="0" w:color="auto"/>
              <w:left w:val="single" w:sz="6" w:space="0" w:color="auto"/>
              <w:bottom w:val="single" w:sz="4" w:space="0" w:color="auto"/>
              <w:right w:val="nil"/>
            </w:tcBorders>
            <w:vAlign w:val="center"/>
          </w:tcPr>
          <w:p w14:paraId="052FBF9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3560</w:t>
            </w:r>
          </w:p>
        </w:tc>
      </w:tr>
      <w:tr w:rsidR="002B55E9" w:rsidRPr="002B55E9" w14:paraId="22A556BF" w14:textId="77777777">
        <w:trPr>
          <w:trHeight w:val="284"/>
        </w:trPr>
        <w:tc>
          <w:tcPr>
            <w:tcW w:w="671" w:type="dxa"/>
            <w:tcBorders>
              <w:top w:val="single" w:sz="4" w:space="0" w:color="auto"/>
              <w:left w:val="nil"/>
              <w:bottom w:val="single" w:sz="4" w:space="0" w:color="auto"/>
              <w:right w:val="single" w:sz="6" w:space="0" w:color="auto"/>
            </w:tcBorders>
            <w:vAlign w:val="center"/>
          </w:tcPr>
          <w:p w14:paraId="5F97C557" w14:textId="77777777" w:rsidR="00D170E5" w:rsidRPr="002B55E9" w:rsidRDefault="00EF27AD">
            <w:pPr>
              <w:pStyle w:val="affff6"/>
              <w:snapToGrid w:val="0"/>
              <w:rPr>
                <w:szCs w:val="18"/>
              </w:rPr>
            </w:pPr>
            <w:r w:rsidRPr="002B55E9">
              <w:rPr>
                <w:rFonts w:hint="eastAsia"/>
                <w:szCs w:val="18"/>
              </w:rPr>
              <w:t>3</w:t>
            </w:r>
            <w:r w:rsidRPr="002B55E9">
              <w:rPr>
                <w:szCs w:val="18"/>
              </w:rPr>
              <w:t>5</w:t>
            </w:r>
          </w:p>
        </w:tc>
        <w:tc>
          <w:tcPr>
            <w:tcW w:w="1461" w:type="dxa"/>
            <w:tcBorders>
              <w:top w:val="single" w:sz="4" w:space="0" w:color="auto"/>
              <w:left w:val="single" w:sz="6" w:space="0" w:color="auto"/>
              <w:bottom w:val="single" w:sz="4" w:space="0" w:color="auto"/>
              <w:right w:val="single" w:sz="6" w:space="0" w:color="auto"/>
            </w:tcBorders>
            <w:vAlign w:val="center"/>
          </w:tcPr>
          <w:p w14:paraId="5C7A7BDC" w14:textId="77777777" w:rsidR="00D170E5" w:rsidRPr="002B55E9" w:rsidRDefault="00EF27AD">
            <w:pPr>
              <w:snapToGrid w:val="0"/>
              <w:jc w:val="center"/>
              <w:rPr>
                <w:sz w:val="18"/>
                <w:szCs w:val="18"/>
              </w:rPr>
            </w:pPr>
            <w:r w:rsidRPr="002B55E9">
              <w:rPr>
                <w:sz w:val="18"/>
                <w:szCs w:val="18"/>
              </w:rPr>
              <w:t>114.01542664</w:t>
            </w:r>
          </w:p>
        </w:tc>
        <w:tc>
          <w:tcPr>
            <w:tcW w:w="1338" w:type="dxa"/>
            <w:tcBorders>
              <w:top w:val="single" w:sz="4" w:space="0" w:color="auto"/>
              <w:left w:val="single" w:sz="6" w:space="0" w:color="auto"/>
              <w:bottom w:val="single" w:sz="4" w:space="0" w:color="auto"/>
              <w:right w:val="single" w:sz="6" w:space="0" w:color="auto"/>
            </w:tcBorders>
            <w:vAlign w:val="center"/>
          </w:tcPr>
          <w:p w14:paraId="61EE9E48" w14:textId="77777777" w:rsidR="00D170E5" w:rsidRPr="002B55E9" w:rsidRDefault="00EF27AD">
            <w:pPr>
              <w:snapToGrid w:val="0"/>
              <w:jc w:val="center"/>
              <w:rPr>
                <w:sz w:val="18"/>
                <w:szCs w:val="18"/>
              </w:rPr>
            </w:pPr>
            <w:r w:rsidRPr="002B55E9">
              <w:rPr>
                <w:sz w:val="18"/>
                <w:szCs w:val="18"/>
              </w:rPr>
              <w:t>30.71110574</w:t>
            </w:r>
          </w:p>
        </w:tc>
        <w:tc>
          <w:tcPr>
            <w:tcW w:w="2197" w:type="dxa"/>
            <w:tcBorders>
              <w:top w:val="single" w:sz="4" w:space="0" w:color="auto"/>
              <w:left w:val="single" w:sz="6" w:space="0" w:color="auto"/>
              <w:bottom w:val="single" w:sz="4" w:space="0" w:color="auto"/>
              <w:right w:val="single" w:sz="6" w:space="0" w:color="auto"/>
            </w:tcBorders>
            <w:vAlign w:val="center"/>
          </w:tcPr>
          <w:p w14:paraId="1A3B178F" w14:textId="77777777" w:rsidR="00D170E5" w:rsidRPr="002B55E9" w:rsidRDefault="00EF27AD">
            <w:pPr>
              <w:snapToGrid w:val="0"/>
              <w:jc w:val="center"/>
              <w:rPr>
                <w:sz w:val="18"/>
                <w:szCs w:val="18"/>
              </w:rPr>
            </w:pPr>
            <w:r w:rsidRPr="002B55E9">
              <w:rPr>
                <w:rFonts w:hint="eastAsia"/>
                <w:sz w:val="18"/>
                <w:szCs w:val="18"/>
              </w:rPr>
              <w:t>芦港村</w:t>
            </w:r>
          </w:p>
        </w:tc>
        <w:tc>
          <w:tcPr>
            <w:tcW w:w="1166" w:type="dxa"/>
            <w:tcBorders>
              <w:top w:val="single" w:sz="4" w:space="0" w:color="auto"/>
              <w:left w:val="single" w:sz="6" w:space="0" w:color="auto"/>
              <w:bottom w:val="single" w:sz="4" w:space="0" w:color="auto"/>
              <w:right w:val="single" w:sz="6" w:space="0" w:color="auto"/>
            </w:tcBorders>
            <w:vAlign w:val="center"/>
          </w:tcPr>
          <w:p w14:paraId="680395E6"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6C9A874C" w14:textId="77777777" w:rsidR="00D170E5" w:rsidRPr="002B55E9" w:rsidRDefault="00EF27AD">
            <w:pPr>
              <w:snapToGrid w:val="0"/>
              <w:jc w:val="center"/>
              <w:rPr>
                <w:sz w:val="18"/>
                <w:szCs w:val="18"/>
              </w:rPr>
            </w:pPr>
            <w:r w:rsidRPr="002B55E9">
              <w:rPr>
                <w:rFonts w:hint="eastAsia"/>
                <w:sz w:val="18"/>
                <w:szCs w:val="18"/>
              </w:rPr>
              <w:t>东北</w:t>
            </w:r>
          </w:p>
        </w:tc>
        <w:tc>
          <w:tcPr>
            <w:tcW w:w="1638" w:type="dxa"/>
            <w:tcBorders>
              <w:top w:val="single" w:sz="4" w:space="0" w:color="auto"/>
              <w:left w:val="single" w:sz="6" w:space="0" w:color="auto"/>
              <w:bottom w:val="single" w:sz="4" w:space="0" w:color="auto"/>
              <w:right w:val="nil"/>
            </w:tcBorders>
            <w:vAlign w:val="center"/>
          </w:tcPr>
          <w:p w14:paraId="7F455A47"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4400</w:t>
            </w:r>
          </w:p>
        </w:tc>
      </w:tr>
      <w:tr w:rsidR="002B55E9" w:rsidRPr="002B55E9" w14:paraId="3DECA8B2" w14:textId="77777777">
        <w:trPr>
          <w:trHeight w:val="284"/>
        </w:trPr>
        <w:tc>
          <w:tcPr>
            <w:tcW w:w="671" w:type="dxa"/>
            <w:tcBorders>
              <w:top w:val="single" w:sz="4" w:space="0" w:color="auto"/>
              <w:left w:val="nil"/>
              <w:bottom w:val="single" w:sz="4" w:space="0" w:color="auto"/>
              <w:right w:val="single" w:sz="6" w:space="0" w:color="auto"/>
            </w:tcBorders>
            <w:vAlign w:val="center"/>
          </w:tcPr>
          <w:p w14:paraId="3BFDA817" w14:textId="77777777" w:rsidR="00D170E5" w:rsidRPr="002B55E9" w:rsidRDefault="00EF27AD">
            <w:pPr>
              <w:pStyle w:val="affff6"/>
              <w:snapToGrid w:val="0"/>
              <w:rPr>
                <w:szCs w:val="18"/>
              </w:rPr>
            </w:pPr>
            <w:r w:rsidRPr="002B55E9">
              <w:rPr>
                <w:rFonts w:hint="eastAsia"/>
                <w:szCs w:val="18"/>
              </w:rPr>
              <w:t>3</w:t>
            </w:r>
            <w:r w:rsidRPr="002B55E9">
              <w:rPr>
                <w:szCs w:val="18"/>
              </w:rPr>
              <w:t>6</w:t>
            </w:r>
          </w:p>
        </w:tc>
        <w:tc>
          <w:tcPr>
            <w:tcW w:w="1461" w:type="dxa"/>
            <w:tcBorders>
              <w:top w:val="single" w:sz="4" w:space="0" w:color="auto"/>
              <w:left w:val="single" w:sz="6" w:space="0" w:color="auto"/>
              <w:bottom w:val="single" w:sz="4" w:space="0" w:color="auto"/>
              <w:right w:val="single" w:sz="6" w:space="0" w:color="auto"/>
            </w:tcBorders>
            <w:vAlign w:val="center"/>
          </w:tcPr>
          <w:p w14:paraId="0D2657DF" w14:textId="77777777" w:rsidR="00D170E5" w:rsidRPr="002B55E9" w:rsidRDefault="00EF27AD">
            <w:pPr>
              <w:snapToGrid w:val="0"/>
              <w:jc w:val="center"/>
              <w:rPr>
                <w:sz w:val="18"/>
                <w:szCs w:val="18"/>
              </w:rPr>
            </w:pPr>
            <w:r w:rsidRPr="002B55E9">
              <w:rPr>
                <w:sz w:val="18"/>
                <w:szCs w:val="18"/>
              </w:rPr>
              <w:t>113.99439838</w:t>
            </w:r>
          </w:p>
        </w:tc>
        <w:tc>
          <w:tcPr>
            <w:tcW w:w="1338" w:type="dxa"/>
            <w:tcBorders>
              <w:top w:val="single" w:sz="4" w:space="0" w:color="auto"/>
              <w:left w:val="single" w:sz="6" w:space="0" w:color="auto"/>
              <w:bottom w:val="single" w:sz="4" w:space="0" w:color="auto"/>
              <w:right w:val="single" w:sz="6" w:space="0" w:color="auto"/>
            </w:tcBorders>
            <w:vAlign w:val="center"/>
          </w:tcPr>
          <w:p w14:paraId="1305AD81" w14:textId="77777777" w:rsidR="00D170E5" w:rsidRPr="002B55E9" w:rsidRDefault="00EF27AD">
            <w:pPr>
              <w:snapToGrid w:val="0"/>
              <w:jc w:val="center"/>
              <w:rPr>
                <w:sz w:val="18"/>
                <w:szCs w:val="18"/>
              </w:rPr>
            </w:pPr>
            <w:r w:rsidRPr="002B55E9">
              <w:rPr>
                <w:sz w:val="18"/>
                <w:szCs w:val="18"/>
              </w:rPr>
              <w:t>30.69414886</w:t>
            </w:r>
          </w:p>
        </w:tc>
        <w:tc>
          <w:tcPr>
            <w:tcW w:w="2197" w:type="dxa"/>
            <w:tcBorders>
              <w:top w:val="single" w:sz="4" w:space="0" w:color="auto"/>
              <w:left w:val="single" w:sz="6" w:space="0" w:color="auto"/>
              <w:bottom w:val="single" w:sz="4" w:space="0" w:color="auto"/>
              <w:right w:val="single" w:sz="6" w:space="0" w:color="auto"/>
            </w:tcBorders>
            <w:vAlign w:val="center"/>
          </w:tcPr>
          <w:p w14:paraId="5BDDD6C6" w14:textId="77777777" w:rsidR="00D170E5" w:rsidRPr="002B55E9" w:rsidRDefault="00EF27AD">
            <w:pPr>
              <w:snapToGrid w:val="0"/>
              <w:jc w:val="center"/>
              <w:rPr>
                <w:sz w:val="18"/>
                <w:szCs w:val="18"/>
              </w:rPr>
            </w:pPr>
            <w:r w:rsidRPr="002B55E9">
              <w:rPr>
                <w:rFonts w:hint="eastAsia"/>
                <w:sz w:val="18"/>
                <w:szCs w:val="18"/>
              </w:rPr>
              <w:t>六大队</w:t>
            </w:r>
          </w:p>
        </w:tc>
        <w:tc>
          <w:tcPr>
            <w:tcW w:w="1166" w:type="dxa"/>
            <w:tcBorders>
              <w:top w:val="single" w:sz="4" w:space="0" w:color="auto"/>
              <w:left w:val="single" w:sz="6" w:space="0" w:color="auto"/>
              <w:bottom w:val="single" w:sz="4" w:space="0" w:color="auto"/>
              <w:right w:val="single" w:sz="6" w:space="0" w:color="auto"/>
            </w:tcBorders>
            <w:vAlign w:val="center"/>
          </w:tcPr>
          <w:p w14:paraId="68854A83" w14:textId="77777777" w:rsidR="00D170E5" w:rsidRPr="002B55E9" w:rsidRDefault="00EF27AD">
            <w:pPr>
              <w:snapToGrid w:val="0"/>
              <w:jc w:val="center"/>
              <w:rPr>
                <w:sz w:val="18"/>
                <w:szCs w:val="18"/>
              </w:rPr>
            </w:pPr>
            <w:r w:rsidRPr="002B55E9">
              <w:rPr>
                <w:sz w:val="18"/>
                <w:szCs w:val="18"/>
              </w:rPr>
              <w:t>90</w:t>
            </w:r>
          </w:p>
        </w:tc>
        <w:tc>
          <w:tcPr>
            <w:tcW w:w="1166" w:type="dxa"/>
            <w:tcBorders>
              <w:top w:val="single" w:sz="4" w:space="0" w:color="auto"/>
              <w:left w:val="single" w:sz="6" w:space="0" w:color="auto"/>
              <w:bottom w:val="single" w:sz="4" w:space="0" w:color="auto"/>
              <w:right w:val="single" w:sz="6" w:space="0" w:color="auto"/>
            </w:tcBorders>
            <w:vAlign w:val="center"/>
          </w:tcPr>
          <w:p w14:paraId="5C886299"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773B6DB5"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1800</w:t>
            </w:r>
          </w:p>
        </w:tc>
      </w:tr>
      <w:tr w:rsidR="002B55E9" w:rsidRPr="002B55E9" w14:paraId="03875E3A" w14:textId="77777777">
        <w:trPr>
          <w:trHeight w:val="284"/>
        </w:trPr>
        <w:tc>
          <w:tcPr>
            <w:tcW w:w="671" w:type="dxa"/>
            <w:tcBorders>
              <w:top w:val="single" w:sz="4" w:space="0" w:color="auto"/>
              <w:left w:val="nil"/>
              <w:bottom w:val="single" w:sz="4" w:space="0" w:color="auto"/>
              <w:right w:val="single" w:sz="6" w:space="0" w:color="auto"/>
            </w:tcBorders>
            <w:vAlign w:val="center"/>
          </w:tcPr>
          <w:p w14:paraId="3B109CE4" w14:textId="77777777" w:rsidR="00D170E5" w:rsidRPr="002B55E9" w:rsidRDefault="00EF27AD">
            <w:pPr>
              <w:pStyle w:val="affff6"/>
              <w:snapToGrid w:val="0"/>
              <w:rPr>
                <w:szCs w:val="18"/>
              </w:rPr>
            </w:pPr>
            <w:r w:rsidRPr="002B55E9">
              <w:rPr>
                <w:rFonts w:hint="eastAsia"/>
                <w:szCs w:val="18"/>
              </w:rPr>
              <w:t>3</w:t>
            </w:r>
            <w:r w:rsidRPr="002B55E9">
              <w:rPr>
                <w:szCs w:val="18"/>
              </w:rPr>
              <w:t>7</w:t>
            </w:r>
          </w:p>
        </w:tc>
        <w:tc>
          <w:tcPr>
            <w:tcW w:w="1461" w:type="dxa"/>
            <w:tcBorders>
              <w:top w:val="single" w:sz="4" w:space="0" w:color="auto"/>
              <w:left w:val="single" w:sz="6" w:space="0" w:color="auto"/>
              <w:bottom w:val="single" w:sz="4" w:space="0" w:color="auto"/>
              <w:right w:val="single" w:sz="6" w:space="0" w:color="auto"/>
            </w:tcBorders>
            <w:vAlign w:val="center"/>
          </w:tcPr>
          <w:p w14:paraId="075FA3B5" w14:textId="77777777" w:rsidR="00D170E5" w:rsidRPr="002B55E9" w:rsidRDefault="00EF27AD">
            <w:pPr>
              <w:snapToGrid w:val="0"/>
              <w:jc w:val="center"/>
              <w:rPr>
                <w:sz w:val="18"/>
                <w:szCs w:val="18"/>
              </w:rPr>
            </w:pPr>
            <w:r w:rsidRPr="002B55E9">
              <w:rPr>
                <w:sz w:val="18"/>
                <w:szCs w:val="18"/>
              </w:rPr>
              <w:t>113.99165154</w:t>
            </w:r>
          </w:p>
        </w:tc>
        <w:tc>
          <w:tcPr>
            <w:tcW w:w="1338" w:type="dxa"/>
            <w:tcBorders>
              <w:top w:val="single" w:sz="4" w:space="0" w:color="auto"/>
              <w:left w:val="single" w:sz="6" w:space="0" w:color="auto"/>
              <w:bottom w:val="single" w:sz="4" w:space="0" w:color="auto"/>
              <w:right w:val="single" w:sz="6" w:space="0" w:color="auto"/>
            </w:tcBorders>
            <w:vAlign w:val="center"/>
          </w:tcPr>
          <w:p w14:paraId="7B18182A" w14:textId="77777777" w:rsidR="00D170E5" w:rsidRPr="002B55E9" w:rsidRDefault="00EF27AD">
            <w:pPr>
              <w:snapToGrid w:val="0"/>
              <w:jc w:val="center"/>
              <w:rPr>
                <w:sz w:val="18"/>
                <w:szCs w:val="18"/>
              </w:rPr>
            </w:pPr>
            <w:r w:rsidRPr="002B55E9">
              <w:rPr>
                <w:sz w:val="18"/>
                <w:szCs w:val="18"/>
              </w:rPr>
              <w:t>30.70158595</w:t>
            </w:r>
          </w:p>
        </w:tc>
        <w:tc>
          <w:tcPr>
            <w:tcW w:w="2197" w:type="dxa"/>
            <w:tcBorders>
              <w:top w:val="single" w:sz="4" w:space="0" w:color="auto"/>
              <w:left w:val="single" w:sz="6" w:space="0" w:color="auto"/>
              <w:bottom w:val="single" w:sz="4" w:space="0" w:color="auto"/>
              <w:right w:val="single" w:sz="6" w:space="0" w:color="auto"/>
            </w:tcBorders>
            <w:vAlign w:val="center"/>
          </w:tcPr>
          <w:p w14:paraId="6663F30C" w14:textId="77777777" w:rsidR="00D170E5" w:rsidRPr="002B55E9" w:rsidRDefault="00EF27AD">
            <w:pPr>
              <w:snapToGrid w:val="0"/>
              <w:jc w:val="center"/>
              <w:rPr>
                <w:sz w:val="18"/>
                <w:szCs w:val="18"/>
              </w:rPr>
            </w:pPr>
            <w:r w:rsidRPr="002B55E9">
              <w:rPr>
                <w:rFonts w:hint="eastAsia"/>
                <w:sz w:val="18"/>
                <w:szCs w:val="18"/>
              </w:rPr>
              <w:t>三大队</w:t>
            </w:r>
          </w:p>
        </w:tc>
        <w:tc>
          <w:tcPr>
            <w:tcW w:w="1166" w:type="dxa"/>
            <w:tcBorders>
              <w:top w:val="single" w:sz="4" w:space="0" w:color="auto"/>
              <w:left w:val="single" w:sz="6" w:space="0" w:color="auto"/>
              <w:bottom w:val="single" w:sz="4" w:space="0" w:color="auto"/>
              <w:right w:val="single" w:sz="6" w:space="0" w:color="auto"/>
            </w:tcBorders>
            <w:vAlign w:val="center"/>
          </w:tcPr>
          <w:p w14:paraId="237013DD"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20</w:t>
            </w:r>
          </w:p>
        </w:tc>
        <w:tc>
          <w:tcPr>
            <w:tcW w:w="1166" w:type="dxa"/>
            <w:tcBorders>
              <w:top w:val="single" w:sz="4" w:space="0" w:color="auto"/>
              <w:left w:val="single" w:sz="6" w:space="0" w:color="auto"/>
              <w:bottom w:val="single" w:sz="4" w:space="0" w:color="auto"/>
              <w:right w:val="single" w:sz="6" w:space="0" w:color="auto"/>
            </w:tcBorders>
            <w:vAlign w:val="center"/>
          </w:tcPr>
          <w:p w14:paraId="1DB6CC78"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08CEE081"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2600</w:t>
            </w:r>
          </w:p>
        </w:tc>
      </w:tr>
      <w:tr w:rsidR="002B55E9" w:rsidRPr="002B55E9" w14:paraId="73EBF99C" w14:textId="77777777">
        <w:trPr>
          <w:trHeight w:val="284"/>
        </w:trPr>
        <w:tc>
          <w:tcPr>
            <w:tcW w:w="671" w:type="dxa"/>
            <w:tcBorders>
              <w:top w:val="single" w:sz="4" w:space="0" w:color="auto"/>
              <w:left w:val="nil"/>
              <w:bottom w:val="single" w:sz="4" w:space="0" w:color="auto"/>
              <w:right w:val="single" w:sz="6" w:space="0" w:color="auto"/>
            </w:tcBorders>
            <w:vAlign w:val="center"/>
          </w:tcPr>
          <w:p w14:paraId="7B3694BC" w14:textId="77777777" w:rsidR="00D170E5" w:rsidRPr="002B55E9" w:rsidRDefault="00EF27AD">
            <w:pPr>
              <w:pStyle w:val="affff6"/>
              <w:snapToGrid w:val="0"/>
              <w:rPr>
                <w:szCs w:val="18"/>
              </w:rPr>
            </w:pPr>
            <w:r w:rsidRPr="002B55E9">
              <w:rPr>
                <w:rFonts w:hint="eastAsia"/>
                <w:szCs w:val="18"/>
              </w:rPr>
              <w:t>3</w:t>
            </w:r>
            <w:r w:rsidRPr="002B55E9">
              <w:rPr>
                <w:szCs w:val="18"/>
              </w:rPr>
              <w:t>8</w:t>
            </w:r>
          </w:p>
        </w:tc>
        <w:tc>
          <w:tcPr>
            <w:tcW w:w="1461" w:type="dxa"/>
            <w:tcBorders>
              <w:top w:val="single" w:sz="4" w:space="0" w:color="auto"/>
              <w:left w:val="single" w:sz="6" w:space="0" w:color="auto"/>
              <w:bottom w:val="single" w:sz="4" w:space="0" w:color="auto"/>
              <w:right w:val="single" w:sz="6" w:space="0" w:color="auto"/>
            </w:tcBorders>
            <w:vAlign w:val="center"/>
          </w:tcPr>
          <w:p w14:paraId="77F4DCF1" w14:textId="77777777" w:rsidR="00D170E5" w:rsidRPr="002B55E9" w:rsidRDefault="00EF27AD">
            <w:pPr>
              <w:snapToGrid w:val="0"/>
              <w:jc w:val="center"/>
              <w:rPr>
                <w:sz w:val="18"/>
                <w:szCs w:val="18"/>
              </w:rPr>
            </w:pPr>
            <w:r w:rsidRPr="002B55E9">
              <w:rPr>
                <w:sz w:val="18"/>
                <w:szCs w:val="18"/>
              </w:rPr>
              <w:t>113.98019314</w:t>
            </w:r>
          </w:p>
        </w:tc>
        <w:tc>
          <w:tcPr>
            <w:tcW w:w="1338" w:type="dxa"/>
            <w:tcBorders>
              <w:top w:val="single" w:sz="4" w:space="0" w:color="auto"/>
              <w:left w:val="single" w:sz="6" w:space="0" w:color="auto"/>
              <w:bottom w:val="single" w:sz="4" w:space="0" w:color="auto"/>
              <w:right w:val="single" w:sz="6" w:space="0" w:color="auto"/>
            </w:tcBorders>
            <w:vAlign w:val="center"/>
          </w:tcPr>
          <w:p w14:paraId="07CCF214" w14:textId="77777777" w:rsidR="00D170E5" w:rsidRPr="002B55E9" w:rsidRDefault="00EF27AD">
            <w:pPr>
              <w:snapToGrid w:val="0"/>
              <w:jc w:val="center"/>
              <w:rPr>
                <w:sz w:val="18"/>
                <w:szCs w:val="18"/>
              </w:rPr>
            </w:pPr>
            <w:r w:rsidRPr="002B55E9">
              <w:rPr>
                <w:sz w:val="18"/>
                <w:szCs w:val="18"/>
              </w:rPr>
              <w:t>30.71339330</w:t>
            </w:r>
          </w:p>
        </w:tc>
        <w:tc>
          <w:tcPr>
            <w:tcW w:w="2197" w:type="dxa"/>
            <w:tcBorders>
              <w:top w:val="single" w:sz="4" w:space="0" w:color="auto"/>
              <w:left w:val="single" w:sz="6" w:space="0" w:color="auto"/>
              <w:bottom w:val="single" w:sz="4" w:space="0" w:color="auto"/>
              <w:right w:val="single" w:sz="6" w:space="0" w:color="auto"/>
            </w:tcBorders>
            <w:vAlign w:val="center"/>
          </w:tcPr>
          <w:p w14:paraId="5C6FABBA" w14:textId="77777777" w:rsidR="00D170E5" w:rsidRPr="002B55E9" w:rsidRDefault="00EF27AD">
            <w:pPr>
              <w:snapToGrid w:val="0"/>
              <w:jc w:val="center"/>
              <w:rPr>
                <w:sz w:val="18"/>
                <w:szCs w:val="18"/>
              </w:rPr>
            </w:pPr>
            <w:r w:rsidRPr="002B55E9">
              <w:rPr>
                <w:rFonts w:hint="eastAsia"/>
                <w:sz w:val="18"/>
                <w:szCs w:val="18"/>
              </w:rPr>
              <w:t>波天湖村</w:t>
            </w:r>
          </w:p>
        </w:tc>
        <w:tc>
          <w:tcPr>
            <w:tcW w:w="1166" w:type="dxa"/>
            <w:tcBorders>
              <w:top w:val="single" w:sz="4" w:space="0" w:color="auto"/>
              <w:left w:val="single" w:sz="6" w:space="0" w:color="auto"/>
              <w:bottom w:val="single" w:sz="4" w:space="0" w:color="auto"/>
              <w:right w:val="single" w:sz="6" w:space="0" w:color="auto"/>
            </w:tcBorders>
            <w:vAlign w:val="center"/>
          </w:tcPr>
          <w:p w14:paraId="431BDCD5"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1EF39E30"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030863DE"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4330</w:t>
            </w:r>
          </w:p>
        </w:tc>
      </w:tr>
      <w:tr w:rsidR="002B55E9" w:rsidRPr="002B55E9" w14:paraId="2DA0D69A" w14:textId="77777777">
        <w:trPr>
          <w:trHeight w:val="284"/>
        </w:trPr>
        <w:tc>
          <w:tcPr>
            <w:tcW w:w="671" w:type="dxa"/>
            <w:tcBorders>
              <w:top w:val="single" w:sz="4" w:space="0" w:color="auto"/>
              <w:left w:val="nil"/>
              <w:bottom w:val="single" w:sz="4" w:space="0" w:color="auto"/>
              <w:right w:val="single" w:sz="6" w:space="0" w:color="auto"/>
            </w:tcBorders>
            <w:vAlign w:val="center"/>
          </w:tcPr>
          <w:p w14:paraId="3ED3DE32" w14:textId="77777777" w:rsidR="00D170E5" w:rsidRPr="002B55E9" w:rsidRDefault="00EF27AD">
            <w:pPr>
              <w:pStyle w:val="affff6"/>
              <w:snapToGrid w:val="0"/>
              <w:rPr>
                <w:szCs w:val="18"/>
              </w:rPr>
            </w:pPr>
            <w:r w:rsidRPr="002B55E9">
              <w:rPr>
                <w:rFonts w:hint="eastAsia"/>
                <w:szCs w:val="18"/>
              </w:rPr>
              <w:t>3</w:t>
            </w:r>
            <w:r w:rsidRPr="002B55E9">
              <w:rPr>
                <w:szCs w:val="18"/>
              </w:rPr>
              <w:t>9</w:t>
            </w:r>
          </w:p>
        </w:tc>
        <w:tc>
          <w:tcPr>
            <w:tcW w:w="1461" w:type="dxa"/>
            <w:tcBorders>
              <w:top w:val="single" w:sz="4" w:space="0" w:color="auto"/>
              <w:left w:val="single" w:sz="6" w:space="0" w:color="auto"/>
              <w:bottom w:val="single" w:sz="4" w:space="0" w:color="auto"/>
              <w:right w:val="single" w:sz="6" w:space="0" w:color="auto"/>
            </w:tcBorders>
            <w:vAlign w:val="center"/>
          </w:tcPr>
          <w:p w14:paraId="60FFECC5" w14:textId="77777777" w:rsidR="00D170E5" w:rsidRPr="002B55E9" w:rsidRDefault="00EF27AD">
            <w:pPr>
              <w:snapToGrid w:val="0"/>
              <w:jc w:val="center"/>
              <w:rPr>
                <w:sz w:val="18"/>
                <w:szCs w:val="18"/>
              </w:rPr>
            </w:pPr>
            <w:r w:rsidRPr="002B55E9">
              <w:rPr>
                <w:sz w:val="18"/>
                <w:szCs w:val="18"/>
              </w:rPr>
              <w:t>113.97100925</w:t>
            </w:r>
          </w:p>
        </w:tc>
        <w:tc>
          <w:tcPr>
            <w:tcW w:w="1338" w:type="dxa"/>
            <w:tcBorders>
              <w:top w:val="single" w:sz="4" w:space="0" w:color="auto"/>
              <w:left w:val="single" w:sz="6" w:space="0" w:color="auto"/>
              <w:bottom w:val="single" w:sz="4" w:space="0" w:color="auto"/>
              <w:right w:val="single" w:sz="6" w:space="0" w:color="auto"/>
            </w:tcBorders>
            <w:vAlign w:val="center"/>
          </w:tcPr>
          <w:p w14:paraId="552B1BC7" w14:textId="77777777" w:rsidR="00D170E5" w:rsidRPr="002B55E9" w:rsidRDefault="00EF27AD">
            <w:pPr>
              <w:snapToGrid w:val="0"/>
              <w:jc w:val="center"/>
              <w:rPr>
                <w:sz w:val="18"/>
                <w:szCs w:val="18"/>
              </w:rPr>
            </w:pPr>
            <w:r w:rsidRPr="002B55E9">
              <w:rPr>
                <w:sz w:val="18"/>
                <w:szCs w:val="18"/>
              </w:rPr>
              <w:t>30.70918710</w:t>
            </w:r>
          </w:p>
        </w:tc>
        <w:tc>
          <w:tcPr>
            <w:tcW w:w="2197" w:type="dxa"/>
            <w:tcBorders>
              <w:top w:val="single" w:sz="4" w:space="0" w:color="auto"/>
              <w:left w:val="single" w:sz="6" w:space="0" w:color="auto"/>
              <w:bottom w:val="single" w:sz="4" w:space="0" w:color="auto"/>
              <w:right w:val="single" w:sz="6" w:space="0" w:color="auto"/>
            </w:tcBorders>
            <w:vAlign w:val="center"/>
          </w:tcPr>
          <w:p w14:paraId="71D595CE" w14:textId="77777777" w:rsidR="00D170E5" w:rsidRPr="002B55E9" w:rsidRDefault="00EF27AD">
            <w:pPr>
              <w:snapToGrid w:val="0"/>
              <w:jc w:val="center"/>
              <w:rPr>
                <w:sz w:val="18"/>
                <w:szCs w:val="18"/>
              </w:rPr>
            </w:pPr>
            <w:r w:rsidRPr="002B55E9">
              <w:rPr>
                <w:rFonts w:hint="eastAsia"/>
                <w:sz w:val="18"/>
                <w:szCs w:val="18"/>
              </w:rPr>
              <w:t>草场村</w:t>
            </w:r>
          </w:p>
        </w:tc>
        <w:tc>
          <w:tcPr>
            <w:tcW w:w="1166" w:type="dxa"/>
            <w:tcBorders>
              <w:top w:val="single" w:sz="4" w:space="0" w:color="auto"/>
              <w:left w:val="single" w:sz="6" w:space="0" w:color="auto"/>
              <w:bottom w:val="single" w:sz="4" w:space="0" w:color="auto"/>
              <w:right w:val="single" w:sz="6" w:space="0" w:color="auto"/>
            </w:tcBorders>
            <w:vAlign w:val="center"/>
          </w:tcPr>
          <w:p w14:paraId="29E0EAFC" w14:textId="77777777" w:rsidR="00D170E5" w:rsidRPr="002B55E9" w:rsidRDefault="00EF27AD">
            <w:pPr>
              <w:snapToGrid w:val="0"/>
              <w:jc w:val="center"/>
              <w:rPr>
                <w:sz w:val="18"/>
                <w:szCs w:val="18"/>
              </w:rPr>
            </w:pPr>
            <w:r w:rsidRPr="002B55E9">
              <w:rPr>
                <w:sz w:val="18"/>
                <w:szCs w:val="18"/>
              </w:rPr>
              <w:t>150</w:t>
            </w:r>
          </w:p>
        </w:tc>
        <w:tc>
          <w:tcPr>
            <w:tcW w:w="1166" w:type="dxa"/>
            <w:tcBorders>
              <w:top w:val="single" w:sz="4" w:space="0" w:color="auto"/>
              <w:left w:val="single" w:sz="6" w:space="0" w:color="auto"/>
              <w:bottom w:val="single" w:sz="4" w:space="0" w:color="auto"/>
              <w:right w:val="single" w:sz="6" w:space="0" w:color="auto"/>
            </w:tcBorders>
            <w:vAlign w:val="center"/>
          </w:tcPr>
          <w:p w14:paraId="34A395CC"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02B67B3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4150</w:t>
            </w:r>
          </w:p>
        </w:tc>
      </w:tr>
      <w:tr w:rsidR="002B55E9" w:rsidRPr="002B55E9" w14:paraId="2C089213" w14:textId="77777777">
        <w:trPr>
          <w:trHeight w:val="284"/>
        </w:trPr>
        <w:tc>
          <w:tcPr>
            <w:tcW w:w="671" w:type="dxa"/>
            <w:tcBorders>
              <w:top w:val="single" w:sz="4" w:space="0" w:color="auto"/>
              <w:left w:val="nil"/>
              <w:bottom w:val="single" w:sz="4" w:space="0" w:color="auto"/>
              <w:right w:val="single" w:sz="6" w:space="0" w:color="auto"/>
            </w:tcBorders>
            <w:vAlign w:val="center"/>
          </w:tcPr>
          <w:p w14:paraId="0E559696" w14:textId="77777777" w:rsidR="00D170E5" w:rsidRPr="002B55E9" w:rsidRDefault="00EF27AD">
            <w:pPr>
              <w:pStyle w:val="affff6"/>
              <w:snapToGrid w:val="0"/>
              <w:rPr>
                <w:szCs w:val="18"/>
              </w:rPr>
            </w:pPr>
            <w:r w:rsidRPr="002B55E9">
              <w:rPr>
                <w:rFonts w:hint="eastAsia"/>
                <w:szCs w:val="18"/>
              </w:rPr>
              <w:t>4</w:t>
            </w:r>
            <w:r w:rsidRPr="002B55E9">
              <w:rPr>
                <w:szCs w:val="18"/>
              </w:rPr>
              <w:t>0</w:t>
            </w:r>
          </w:p>
        </w:tc>
        <w:tc>
          <w:tcPr>
            <w:tcW w:w="1461" w:type="dxa"/>
            <w:tcBorders>
              <w:top w:val="single" w:sz="4" w:space="0" w:color="auto"/>
              <w:left w:val="single" w:sz="6" w:space="0" w:color="auto"/>
              <w:bottom w:val="single" w:sz="4" w:space="0" w:color="auto"/>
              <w:right w:val="single" w:sz="6" w:space="0" w:color="auto"/>
            </w:tcBorders>
            <w:vAlign w:val="center"/>
          </w:tcPr>
          <w:p w14:paraId="047EAB4C" w14:textId="77777777" w:rsidR="00D170E5" w:rsidRPr="002B55E9" w:rsidRDefault="00EF27AD">
            <w:pPr>
              <w:snapToGrid w:val="0"/>
              <w:jc w:val="center"/>
              <w:rPr>
                <w:sz w:val="18"/>
                <w:szCs w:val="18"/>
              </w:rPr>
            </w:pPr>
            <w:r w:rsidRPr="002B55E9">
              <w:rPr>
                <w:sz w:val="18"/>
                <w:szCs w:val="18"/>
              </w:rPr>
              <w:t>113.96354198</w:t>
            </w:r>
          </w:p>
        </w:tc>
        <w:tc>
          <w:tcPr>
            <w:tcW w:w="1338" w:type="dxa"/>
            <w:tcBorders>
              <w:top w:val="single" w:sz="4" w:space="0" w:color="auto"/>
              <w:left w:val="single" w:sz="6" w:space="0" w:color="auto"/>
              <w:bottom w:val="single" w:sz="4" w:space="0" w:color="auto"/>
              <w:right w:val="single" w:sz="6" w:space="0" w:color="auto"/>
            </w:tcBorders>
            <w:vAlign w:val="center"/>
          </w:tcPr>
          <w:p w14:paraId="0A7E3BEF" w14:textId="77777777" w:rsidR="00D170E5" w:rsidRPr="002B55E9" w:rsidRDefault="00EF27AD">
            <w:pPr>
              <w:snapToGrid w:val="0"/>
              <w:jc w:val="center"/>
              <w:rPr>
                <w:sz w:val="18"/>
                <w:szCs w:val="18"/>
              </w:rPr>
            </w:pPr>
            <w:r w:rsidRPr="002B55E9">
              <w:rPr>
                <w:sz w:val="18"/>
                <w:szCs w:val="18"/>
              </w:rPr>
              <w:t>30.70785878</w:t>
            </w:r>
          </w:p>
        </w:tc>
        <w:tc>
          <w:tcPr>
            <w:tcW w:w="2197" w:type="dxa"/>
            <w:tcBorders>
              <w:top w:val="single" w:sz="4" w:space="0" w:color="auto"/>
              <w:left w:val="single" w:sz="6" w:space="0" w:color="auto"/>
              <w:bottom w:val="single" w:sz="4" w:space="0" w:color="auto"/>
              <w:right w:val="single" w:sz="6" w:space="0" w:color="auto"/>
            </w:tcBorders>
            <w:vAlign w:val="center"/>
          </w:tcPr>
          <w:p w14:paraId="27CDF194" w14:textId="77777777" w:rsidR="00D170E5" w:rsidRPr="002B55E9" w:rsidRDefault="00EF27AD">
            <w:pPr>
              <w:snapToGrid w:val="0"/>
              <w:jc w:val="center"/>
              <w:rPr>
                <w:sz w:val="18"/>
                <w:szCs w:val="18"/>
              </w:rPr>
            </w:pPr>
            <w:r w:rsidRPr="002B55E9">
              <w:rPr>
                <w:rFonts w:hint="eastAsia"/>
                <w:sz w:val="18"/>
                <w:szCs w:val="18"/>
              </w:rPr>
              <w:t>前港村</w:t>
            </w:r>
          </w:p>
        </w:tc>
        <w:tc>
          <w:tcPr>
            <w:tcW w:w="1166" w:type="dxa"/>
            <w:tcBorders>
              <w:top w:val="single" w:sz="4" w:space="0" w:color="auto"/>
              <w:left w:val="single" w:sz="6" w:space="0" w:color="auto"/>
              <w:bottom w:val="single" w:sz="4" w:space="0" w:color="auto"/>
              <w:right w:val="single" w:sz="6" w:space="0" w:color="auto"/>
            </w:tcBorders>
            <w:vAlign w:val="center"/>
          </w:tcPr>
          <w:p w14:paraId="22B9859F"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4247E9D9" w14:textId="77777777" w:rsidR="00D170E5" w:rsidRPr="002B55E9" w:rsidRDefault="00EF27AD">
            <w:pPr>
              <w:snapToGrid w:val="0"/>
              <w:jc w:val="center"/>
              <w:rPr>
                <w:sz w:val="18"/>
                <w:szCs w:val="18"/>
              </w:rPr>
            </w:pPr>
            <w:r w:rsidRPr="002B55E9">
              <w:rPr>
                <w:rFonts w:hint="eastAsia"/>
                <w:sz w:val="18"/>
                <w:szCs w:val="18"/>
              </w:rPr>
              <w:t>北</w:t>
            </w:r>
          </w:p>
        </w:tc>
        <w:tc>
          <w:tcPr>
            <w:tcW w:w="1638" w:type="dxa"/>
            <w:tcBorders>
              <w:top w:val="single" w:sz="4" w:space="0" w:color="auto"/>
              <w:left w:val="single" w:sz="6" w:space="0" w:color="auto"/>
              <w:bottom w:val="single" w:sz="4" w:space="0" w:color="auto"/>
              <w:right w:val="nil"/>
            </w:tcBorders>
            <w:vAlign w:val="center"/>
          </w:tcPr>
          <w:p w14:paraId="5BE2EF7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4540</w:t>
            </w:r>
          </w:p>
        </w:tc>
      </w:tr>
      <w:tr w:rsidR="00C60999" w:rsidRPr="002B55E9" w14:paraId="27FE0131" w14:textId="77777777">
        <w:trPr>
          <w:trHeight w:val="284"/>
        </w:trPr>
        <w:tc>
          <w:tcPr>
            <w:tcW w:w="671" w:type="dxa"/>
            <w:tcBorders>
              <w:top w:val="single" w:sz="4" w:space="0" w:color="auto"/>
              <w:left w:val="nil"/>
              <w:bottom w:val="single" w:sz="4" w:space="0" w:color="auto"/>
              <w:right w:val="single" w:sz="6" w:space="0" w:color="auto"/>
            </w:tcBorders>
            <w:vAlign w:val="center"/>
          </w:tcPr>
          <w:p w14:paraId="5FD8BC71" w14:textId="77777777" w:rsidR="00D170E5" w:rsidRPr="002B55E9" w:rsidRDefault="00EF27AD">
            <w:pPr>
              <w:pStyle w:val="affff6"/>
              <w:snapToGrid w:val="0"/>
              <w:rPr>
                <w:szCs w:val="18"/>
              </w:rPr>
            </w:pPr>
            <w:r w:rsidRPr="002B55E9">
              <w:rPr>
                <w:rFonts w:hint="eastAsia"/>
                <w:szCs w:val="18"/>
              </w:rPr>
              <w:t>4</w:t>
            </w:r>
            <w:r w:rsidRPr="002B55E9">
              <w:rPr>
                <w:szCs w:val="18"/>
              </w:rPr>
              <w:t>1</w:t>
            </w:r>
          </w:p>
        </w:tc>
        <w:tc>
          <w:tcPr>
            <w:tcW w:w="1461" w:type="dxa"/>
            <w:tcBorders>
              <w:top w:val="single" w:sz="4" w:space="0" w:color="auto"/>
              <w:left w:val="single" w:sz="6" w:space="0" w:color="auto"/>
              <w:bottom w:val="single" w:sz="4" w:space="0" w:color="auto"/>
              <w:right w:val="single" w:sz="6" w:space="0" w:color="auto"/>
            </w:tcBorders>
            <w:vAlign w:val="center"/>
          </w:tcPr>
          <w:p w14:paraId="18C21737" w14:textId="77777777" w:rsidR="00D170E5" w:rsidRPr="002B55E9" w:rsidRDefault="00EF27AD">
            <w:pPr>
              <w:snapToGrid w:val="0"/>
              <w:jc w:val="center"/>
              <w:rPr>
                <w:sz w:val="18"/>
                <w:szCs w:val="18"/>
              </w:rPr>
            </w:pPr>
            <w:r w:rsidRPr="002B55E9">
              <w:rPr>
                <w:sz w:val="18"/>
                <w:szCs w:val="18"/>
              </w:rPr>
              <w:t>113.97976398</w:t>
            </w:r>
          </w:p>
        </w:tc>
        <w:tc>
          <w:tcPr>
            <w:tcW w:w="1338" w:type="dxa"/>
            <w:tcBorders>
              <w:top w:val="single" w:sz="4" w:space="0" w:color="auto"/>
              <w:left w:val="single" w:sz="6" w:space="0" w:color="auto"/>
              <w:bottom w:val="single" w:sz="4" w:space="0" w:color="auto"/>
              <w:right w:val="single" w:sz="6" w:space="0" w:color="auto"/>
            </w:tcBorders>
            <w:vAlign w:val="center"/>
          </w:tcPr>
          <w:p w14:paraId="69015C7D" w14:textId="77777777" w:rsidR="00D170E5" w:rsidRPr="002B55E9" w:rsidRDefault="00EF27AD">
            <w:pPr>
              <w:snapToGrid w:val="0"/>
              <w:jc w:val="center"/>
              <w:rPr>
                <w:sz w:val="18"/>
                <w:szCs w:val="18"/>
              </w:rPr>
            </w:pPr>
            <w:r w:rsidRPr="002B55E9">
              <w:rPr>
                <w:sz w:val="18"/>
                <w:szCs w:val="18"/>
              </w:rPr>
              <w:t>30.69974092</w:t>
            </w:r>
          </w:p>
        </w:tc>
        <w:tc>
          <w:tcPr>
            <w:tcW w:w="2197" w:type="dxa"/>
            <w:tcBorders>
              <w:top w:val="single" w:sz="4" w:space="0" w:color="auto"/>
              <w:left w:val="single" w:sz="6" w:space="0" w:color="auto"/>
              <w:bottom w:val="single" w:sz="4" w:space="0" w:color="auto"/>
              <w:right w:val="single" w:sz="6" w:space="0" w:color="auto"/>
            </w:tcBorders>
            <w:vAlign w:val="center"/>
          </w:tcPr>
          <w:p w14:paraId="74461A7F" w14:textId="77777777" w:rsidR="00D170E5" w:rsidRPr="002B55E9" w:rsidRDefault="00EF27AD">
            <w:pPr>
              <w:snapToGrid w:val="0"/>
              <w:jc w:val="center"/>
              <w:rPr>
                <w:sz w:val="18"/>
                <w:szCs w:val="18"/>
              </w:rPr>
            </w:pPr>
            <w:r w:rsidRPr="002B55E9">
              <w:rPr>
                <w:rFonts w:hint="eastAsia"/>
                <w:sz w:val="18"/>
                <w:szCs w:val="18"/>
              </w:rPr>
              <w:t>荷花街</w:t>
            </w:r>
            <w:r w:rsidRPr="002B55E9">
              <w:rPr>
                <w:sz w:val="18"/>
                <w:szCs w:val="18"/>
              </w:rPr>
              <w:t>村</w:t>
            </w:r>
          </w:p>
        </w:tc>
        <w:tc>
          <w:tcPr>
            <w:tcW w:w="1166" w:type="dxa"/>
            <w:tcBorders>
              <w:top w:val="single" w:sz="4" w:space="0" w:color="auto"/>
              <w:left w:val="single" w:sz="6" w:space="0" w:color="auto"/>
              <w:bottom w:val="single" w:sz="4" w:space="0" w:color="auto"/>
              <w:right w:val="single" w:sz="6" w:space="0" w:color="auto"/>
            </w:tcBorders>
            <w:vAlign w:val="center"/>
          </w:tcPr>
          <w:p w14:paraId="40737A57"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29292D5B"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4" w:space="0" w:color="auto"/>
              <w:left w:val="single" w:sz="6" w:space="0" w:color="auto"/>
              <w:bottom w:val="single" w:sz="4" w:space="0" w:color="auto"/>
              <w:right w:val="nil"/>
            </w:tcBorders>
            <w:vAlign w:val="center"/>
          </w:tcPr>
          <w:p w14:paraId="2BBDB60E" w14:textId="63246311" w:rsidR="00D170E5" w:rsidRPr="002B55E9" w:rsidRDefault="0054398B">
            <w:pPr>
              <w:adjustRightInd w:val="0"/>
              <w:snapToGrid w:val="0"/>
              <w:ind w:leftChars="-50" w:left="-100" w:rightChars="-50" w:right="-100"/>
              <w:jc w:val="center"/>
              <w:rPr>
                <w:sz w:val="18"/>
                <w:szCs w:val="18"/>
              </w:rPr>
            </w:pPr>
            <w:r w:rsidRPr="002B55E9">
              <w:rPr>
                <w:sz w:val="18"/>
                <w:szCs w:val="18"/>
              </w:rPr>
              <w:t>2560</w:t>
            </w:r>
          </w:p>
        </w:tc>
      </w:tr>
      <w:tr w:rsidR="00C60999" w:rsidRPr="002B55E9" w14:paraId="0F983023" w14:textId="77777777">
        <w:trPr>
          <w:trHeight w:val="284"/>
        </w:trPr>
        <w:tc>
          <w:tcPr>
            <w:tcW w:w="671" w:type="dxa"/>
            <w:tcBorders>
              <w:top w:val="single" w:sz="4" w:space="0" w:color="auto"/>
              <w:left w:val="nil"/>
              <w:bottom w:val="single" w:sz="4" w:space="0" w:color="auto"/>
              <w:right w:val="single" w:sz="6" w:space="0" w:color="auto"/>
            </w:tcBorders>
            <w:vAlign w:val="center"/>
          </w:tcPr>
          <w:p w14:paraId="568080ED" w14:textId="77777777" w:rsidR="00D170E5" w:rsidRPr="002B55E9" w:rsidRDefault="00EF27AD">
            <w:pPr>
              <w:pStyle w:val="affff6"/>
              <w:snapToGrid w:val="0"/>
              <w:rPr>
                <w:szCs w:val="18"/>
              </w:rPr>
            </w:pPr>
            <w:r w:rsidRPr="002B55E9">
              <w:rPr>
                <w:rFonts w:hint="eastAsia"/>
                <w:szCs w:val="18"/>
              </w:rPr>
              <w:lastRenderedPageBreak/>
              <w:t>4</w:t>
            </w:r>
            <w:r w:rsidRPr="002B55E9">
              <w:rPr>
                <w:szCs w:val="18"/>
              </w:rPr>
              <w:t>2</w:t>
            </w:r>
          </w:p>
        </w:tc>
        <w:tc>
          <w:tcPr>
            <w:tcW w:w="1461" w:type="dxa"/>
            <w:tcBorders>
              <w:top w:val="single" w:sz="4" w:space="0" w:color="auto"/>
              <w:left w:val="single" w:sz="6" w:space="0" w:color="auto"/>
              <w:bottom w:val="single" w:sz="4" w:space="0" w:color="auto"/>
              <w:right w:val="single" w:sz="6" w:space="0" w:color="auto"/>
            </w:tcBorders>
            <w:vAlign w:val="center"/>
          </w:tcPr>
          <w:p w14:paraId="1ADEF2EB" w14:textId="77777777" w:rsidR="00D170E5" w:rsidRPr="002B55E9" w:rsidRDefault="00EF27AD">
            <w:pPr>
              <w:snapToGrid w:val="0"/>
              <w:jc w:val="center"/>
              <w:rPr>
                <w:sz w:val="18"/>
                <w:szCs w:val="18"/>
              </w:rPr>
            </w:pPr>
            <w:r w:rsidRPr="002B55E9">
              <w:rPr>
                <w:sz w:val="18"/>
                <w:szCs w:val="18"/>
              </w:rPr>
              <w:t>113.94942284</w:t>
            </w:r>
          </w:p>
        </w:tc>
        <w:tc>
          <w:tcPr>
            <w:tcW w:w="1338" w:type="dxa"/>
            <w:tcBorders>
              <w:top w:val="single" w:sz="4" w:space="0" w:color="auto"/>
              <w:left w:val="single" w:sz="6" w:space="0" w:color="auto"/>
              <w:bottom w:val="single" w:sz="4" w:space="0" w:color="auto"/>
              <w:right w:val="single" w:sz="6" w:space="0" w:color="auto"/>
            </w:tcBorders>
            <w:vAlign w:val="center"/>
          </w:tcPr>
          <w:p w14:paraId="7619EDA5" w14:textId="77777777" w:rsidR="00D170E5" w:rsidRPr="002B55E9" w:rsidRDefault="00EF27AD">
            <w:pPr>
              <w:snapToGrid w:val="0"/>
              <w:jc w:val="center"/>
              <w:rPr>
                <w:sz w:val="18"/>
                <w:szCs w:val="18"/>
              </w:rPr>
            </w:pPr>
            <w:r w:rsidRPr="002B55E9">
              <w:rPr>
                <w:sz w:val="18"/>
                <w:szCs w:val="18"/>
              </w:rPr>
              <w:t>30.69486987</w:t>
            </w:r>
          </w:p>
        </w:tc>
        <w:tc>
          <w:tcPr>
            <w:tcW w:w="2197" w:type="dxa"/>
            <w:tcBorders>
              <w:top w:val="single" w:sz="4" w:space="0" w:color="auto"/>
              <w:left w:val="single" w:sz="6" w:space="0" w:color="auto"/>
              <w:bottom w:val="single" w:sz="4" w:space="0" w:color="auto"/>
              <w:right w:val="single" w:sz="6" w:space="0" w:color="auto"/>
            </w:tcBorders>
            <w:vAlign w:val="center"/>
          </w:tcPr>
          <w:p w14:paraId="5BBECFB2" w14:textId="77777777" w:rsidR="00D170E5" w:rsidRPr="002B55E9" w:rsidRDefault="00EF27AD">
            <w:pPr>
              <w:snapToGrid w:val="0"/>
              <w:jc w:val="center"/>
              <w:rPr>
                <w:sz w:val="18"/>
                <w:szCs w:val="18"/>
              </w:rPr>
            </w:pPr>
            <w:r w:rsidRPr="002B55E9">
              <w:rPr>
                <w:rFonts w:hint="eastAsia"/>
                <w:sz w:val="18"/>
                <w:szCs w:val="18"/>
              </w:rPr>
              <w:t>新沟镇</w:t>
            </w:r>
            <w:r w:rsidRPr="002B55E9">
              <w:rPr>
                <w:sz w:val="18"/>
                <w:szCs w:val="18"/>
              </w:rPr>
              <w:t>街</w:t>
            </w:r>
          </w:p>
        </w:tc>
        <w:tc>
          <w:tcPr>
            <w:tcW w:w="1166" w:type="dxa"/>
            <w:tcBorders>
              <w:top w:val="single" w:sz="4" w:space="0" w:color="auto"/>
              <w:left w:val="single" w:sz="6" w:space="0" w:color="auto"/>
              <w:bottom w:val="single" w:sz="4" w:space="0" w:color="auto"/>
              <w:right w:val="single" w:sz="6" w:space="0" w:color="auto"/>
            </w:tcBorders>
            <w:vAlign w:val="center"/>
          </w:tcPr>
          <w:p w14:paraId="4232CA23"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000</w:t>
            </w:r>
          </w:p>
        </w:tc>
        <w:tc>
          <w:tcPr>
            <w:tcW w:w="1166" w:type="dxa"/>
            <w:tcBorders>
              <w:top w:val="single" w:sz="4" w:space="0" w:color="auto"/>
              <w:left w:val="single" w:sz="6" w:space="0" w:color="auto"/>
              <w:bottom w:val="single" w:sz="4" w:space="0" w:color="auto"/>
              <w:right w:val="single" w:sz="6" w:space="0" w:color="auto"/>
            </w:tcBorders>
            <w:vAlign w:val="center"/>
          </w:tcPr>
          <w:p w14:paraId="31817ED3"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4" w:space="0" w:color="auto"/>
              <w:left w:val="single" w:sz="6" w:space="0" w:color="auto"/>
              <w:bottom w:val="single" w:sz="4" w:space="0" w:color="auto"/>
              <w:right w:val="nil"/>
            </w:tcBorders>
            <w:vAlign w:val="center"/>
          </w:tcPr>
          <w:p w14:paraId="4FEB43E3"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4130</w:t>
            </w:r>
          </w:p>
        </w:tc>
      </w:tr>
      <w:tr w:rsidR="00C60999" w:rsidRPr="002B55E9" w14:paraId="01189453" w14:textId="77777777">
        <w:trPr>
          <w:trHeight w:val="284"/>
        </w:trPr>
        <w:tc>
          <w:tcPr>
            <w:tcW w:w="671" w:type="dxa"/>
            <w:tcBorders>
              <w:top w:val="single" w:sz="4" w:space="0" w:color="auto"/>
              <w:left w:val="nil"/>
              <w:bottom w:val="single" w:sz="4" w:space="0" w:color="auto"/>
              <w:right w:val="single" w:sz="6" w:space="0" w:color="auto"/>
            </w:tcBorders>
            <w:vAlign w:val="center"/>
          </w:tcPr>
          <w:p w14:paraId="5C7B6BEE" w14:textId="77777777" w:rsidR="00D170E5" w:rsidRPr="002B55E9" w:rsidRDefault="00EF27AD">
            <w:pPr>
              <w:pStyle w:val="affff6"/>
              <w:snapToGrid w:val="0"/>
              <w:rPr>
                <w:szCs w:val="18"/>
              </w:rPr>
            </w:pPr>
            <w:r w:rsidRPr="002B55E9">
              <w:rPr>
                <w:rFonts w:hint="eastAsia"/>
                <w:szCs w:val="18"/>
              </w:rPr>
              <w:t>4</w:t>
            </w:r>
            <w:r w:rsidRPr="002B55E9">
              <w:rPr>
                <w:szCs w:val="18"/>
              </w:rPr>
              <w:t>3</w:t>
            </w:r>
          </w:p>
        </w:tc>
        <w:tc>
          <w:tcPr>
            <w:tcW w:w="1461" w:type="dxa"/>
            <w:tcBorders>
              <w:top w:val="single" w:sz="4" w:space="0" w:color="auto"/>
              <w:left w:val="single" w:sz="6" w:space="0" w:color="auto"/>
              <w:bottom w:val="single" w:sz="4" w:space="0" w:color="auto"/>
              <w:right w:val="single" w:sz="6" w:space="0" w:color="auto"/>
            </w:tcBorders>
            <w:vAlign w:val="center"/>
          </w:tcPr>
          <w:p w14:paraId="05E872AA" w14:textId="77777777" w:rsidR="00D170E5" w:rsidRPr="002B55E9" w:rsidRDefault="00EF27AD">
            <w:pPr>
              <w:snapToGrid w:val="0"/>
              <w:jc w:val="center"/>
              <w:rPr>
                <w:sz w:val="18"/>
                <w:szCs w:val="18"/>
              </w:rPr>
            </w:pPr>
            <w:r w:rsidRPr="002B55E9">
              <w:rPr>
                <w:sz w:val="18"/>
                <w:szCs w:val="18"/>
              </w:rPr>
              <w:t>113.95199776</w:t>
            </w:r>
          </w:p>
        </w:tc>
        <w:tc>
          <w:tcPr>
            <w:tcW w:w="1338" w:type="dxa"/>
            <w:tcBorders>
              <w:top w:val="single" w:sz="4" w:space="0" w:color="auto"/>
              <w:left w:val="single" w:sz="6" w:space="0" w:color="auto"/>
              <w:bottom w:val="single" w:sz="4" w:space="0" w:color="auto"/>
              <w:right w:val="single" w:sz="6" w:space="0" w:color="auto"/>
            </w:tcBorders>
            <w:vAlign w:val="center"/>
          </w:tcPr>
          <w:p w14:paraId="41839822" w14:textId="77777777" w:rsidR="00D170E5" w:rsidRPr="002B55E9" w:rsidRDefault="00EF27AD">
            <w:pPr>
              <w:snapToGrid w:val="0"/>
              <w:jc w:val="center"/>
              <w:rPr>
                <w:sz w:val="18"/>
                <w:szCs w:val="18"/>
              </w:rPr>
            </w:pPr>
            <w:r w:rsidRPr="002B55E9">
              <w:rPr>
                <w:sz w:val="18"/>
                <w:szCs w:val="18"/>
              </w:rPr>
              <w:t>30.69575553</w:t>
            </w:r>
          </w:p>
        </w:tc>
        <w:tc>
          <w:tcPr>
            <w:tcW w:w="2197" w:type="dxa"/>
            <w:tcBorders>
              <w:top w:val="single" w:sz="4" w:space="0" w:color="auto"/>
              <w:left w:val="single" w:sz="6" w:space="0" w:color="auto"/>
              <w:bottom w:val="single" w:sz="4" w:space="0" w:color="auto"/>
              <w:right w:val="single" w:sz="6" w:space="0" w:color="auto"/>
            </w:tcBorders>
            <w:vAlign w:val="center"/>
          </w:tcPr>
          <w:p w14:paraId="707028EA" w14:textId="77777777" w:rsidR="00D170E5" w:rsidRPr="002B55E9" w:rsidRDefault="00EF27AD">
            <w:pPr>
              <w:snapToGrid w:val="0"/>
              <w:jc w:val="center"/>
              <w:rPr>
                <w:sz w:val="18"/>
                <w:szCs w:val="18"/>
              </w:rPr>
            </w:pPr>
            <w:r w:rsidRPr="002B55E9">
              <w:rPr>
                <w:rFonts w:hint="eastAsia"/>
                <w:sz w:val="18"/>
                <w:szCs w:val="18"/>
              </w:rPr>
              <w:t>新沟镇</w:t>
            </w:r>
            <w:r w:rsidRPr="002B55E9">
              <w:rPr>
                <w:sz w:val="18"/>
                <w:szCs w:val="18"/>
              </w:rPr>
              <w:t>小学</w:t>
            </w:r>
          </w:p>
        </w:tc>
        <w:tc>
          <w:tcPr>
            <w:tcW w:w="1166" w:type="dxa"/>
            <w:tcBorders>
              <w:top w:val="single" w:sz="4" w:space="0" w:color="auto"/>
              <w:left w:val="single" w:sz="6" w:space="0" w:color="auto"/>
              <w:bottom w:val="single" w:sz="4" w:space="0" w:color="auto"/>
              <w:right w:val="single" w:sz="6" w:space="0" w:color="auto"/>
            </w:tcBorders>
            <w:vAlign w:val="center"/>
          </w:tcPr>
          <w:p w14:paraId="19DE8DAC" w14:textId="77777777" w:rsidR="00D170E5" w:rsidRPr="002B55E9" w:rsidRDefault="00EF27AD">
            <w:pPr>
              <w:snapToGrid w:val="0"/>
              <w:jc w:val="center"/>
              <w:rPr>
                <w:sz w:val="18"/>
                <w:szCs w:val="18"/>
              </w:rPr>
            </w:pPr>
            <w:r w:rsidRPr="002B55E9">
              <w:rPr>
                <w:sz w:val="18"/>
                <w:szCs w:val="18"/>
              </w:rPr>
              <w:t>300</w:t>
            </w:r>
          </w:p>
        </w:tc>
        <w:tc>
          <w:tcPr>
            <w:tcW w:w="1166" w:type="dxa"/>
            <w:tcBorders>
              <w:top w:val="single" w:sz="4" w:space="0" w:color="auto"/>
              <w:left w:val="single" w:sz="6" w:space="0" w:color="auto"/>
              <w:bottom w:val="single" w:sz="4" w:space="0" w:color="auto"/>
              <w:right w:val="single" w:sz="6" w:space="0" w:color="auto"/>
            </w:tcBorders>
            <w:vAlign w:val="center"/>
          </w:tcPr>
          <w:p w14:paraId="09EDD249"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4" w:space="0" w:color="auto"/>
              <w:left w:val="single" w:sz="6" w:space="0" w:color="auto"/>
              <w:bottom w:val="single" w:sz="4" w:space="0" w:color="auto"/>
              <w:right w:val="nil"/>
            </w:tcBorders>
            <w:vAlign w:val="center"/>
          </w:tcPr>
          <w:p w14:paraId="03A8E2FC"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4500</w:t>
            </w:r>
          </w:p>
        </w:tc>
      </w:tr>
      <w:tr w:rsidR="00C60999" w:rsidRPr="002B55E9" w14:paraId="5C2C1EBE" w14:textId="77777777">
        <w:trPr>
          <w:trHeight w:val="284"/>
        </w:trPr>
        <w:tc>
          <w:tcPr>
            <w:tcW w:w="671" w:type="dxa"/>
            <w:tcBorders>
              <w:top w:val="single" w:sz="4" w:space="0" w:color="auto"/>
              <w:left w:val="nil"/>
              <w:bottom w:val="single" w:sz="4" w:space="0" w:color="auto"/>
              <w:right w:val="single" w:sz="6" w:space="0" w:color="auto"/>
            </w:tcBorders>
            <w:vAlign w:val="center"/>
          </w:tcPr>
          <w:p w14:paraId="26FEDF2A" w14:textId="77777777" w:rsidR="00D170E5" w:rsidRPr="002B55E9" w:rsidRDefault="00EF27AD">
            <w:pPr>
              <w:pStyle w:val="affff6"/>
              <w:snapToGrid w:val="0"/>
              <w:rPr>
                <w:szCs w:val="18"/>
              </w:rPr>
            </w:pPr>
            <w:r w:rsidRPr="002B55E9">
              <w:rPr>
                <w:rFonts w:hint="eastAsia"/>
                <w:szCs w:val="18"/>
              </w:rPr>
              <w:t>4</w:t>
            </w:r>
            <w:r w:rsidRPr="002B55E9">
              <w:rPr>
                <w:szCs w:val="18"/>
              </w:rPr>
              <w:t>4</w:t>
            </w:r>
          </w:p>
        </w:tc>
        <w:tc>
          <w:tcPr>
            <w:tcW w:w="1461" w:type="dxa"/>
            <w:tcBorders>
              <w:top w:val="single" w:sz="4" w:space="0" w:color="auto"/>
              <w:left w:val="single" w:sz="6" w:space="0" w:color="auto"/>
              <w:bottom w:val="single" w:sz="4" w:space="0" w:color="auto"/>
              <w:right w:val="single" w:sz="6" w:space="0" w:color="auto"/>
            </w:tcBorders>
            <w:vAlign w:val="center"/>
          </w:tcPr>
          <w:p w14:paraId="1AC40BC7" w14:textId="77777777" w:rsidR="00D170E5" w:rsidRPr="002B55E9" w:rsidRDefault="00EF27AD">
            <w:pPr>
              <w:snapToGrid w:val="0"/>
              <w:jc w:val="center"/>
              <w:rPr>
                <w:sz w:val="18"/>
                <w:szCs w:val="18"/>
              </w:rPr>
            </w:pPr>
            <w:r w:rsidRPr="002B55E9">
              <w:rPr>
                <w:sz w:val="18"/>
                <w:szCs w:val="18"/>
              </w:rPr>
              <w:t>113.95946503</w:t>
            </w:r>
          </w:p>
        </w:tc>
        <w:tc>
          <w:tcPr>
            <w:tcW w:w="1338" w:type="dxa"/>
            <w:tcBorders>
              <w:top w:val="single" w:sz="4" w:space="0" w:color="auto"/>
              <w:left w:val="single" w:sz="6" w:space="0" w:color="auto"/>
              <w:bottom w:val="single" w:sz="4" w:space="0" w:color="auto"/>
              <w:right w:val="single" w:sz="6" w:space="0" w:color="auto"/>
            </w:tcBorders>
            <w:vAlign w:val="center"/>
          </w:tcPr>
          <w:p w14:paraId="6E049523" w14:textId="77777777" w:rsidR="00D170E5" w:rsidRPr="002B55E9" w:rsidRDefault="00EF27AD">
            <w:pPr>
              <w:snapToGrid w:val="0"/>
              <w:jc w:val="center"/>
              <w:rPr>
                <w:sz w:val="18"/>
                <w:szCs w:val="18"/>
              </w:rPr>
            </w:pPr>
            <w:r w:rsidRPr="002B55E9">
              <w:rPr>
                <w:sz w:val="18"/>
                <w:szCs w:val="18"/>
              </w:rPr>
              <w:t>30.68981405</w:t>
            </w:r>
          </w:p>
        </w:tc>
        <w:tc>
          <w:tcPr>
            <w:tcW w:w="2197" w:type="dxa"/>
            <w:tcBorders>
              <w:top w:val="single" w:sz="4" w:space="0" w:color="auto"/>
              <w:left w:val="single" w:sz="6" w:space="0" w:color="auto"/>
              <w:bottom w:val="single" w:sz="4" w:space="0" w:color="auto"/>
              <w:right w:val="single" w:sz="6" w:space="0" w:color="auto"/>
            </w:tcBorders>
            <w:vAlign w:val="center"/>
          </w:tcPr>
          <w:p w14:paraId="40DA5EFB" w14:textId="77777777" w:rsidR="00D170E5" w:rsidRPr="002B55E9" w:rsidRDefault="00EF27AD">
            <w:pPr>
              <w:snapToGrid w:val="0"/>
              <w:jc w:val="center"/>
              <w:rPr>
                <w:sz w:val="18"/>
                <w:szCs w:val="18"/>
              </w:rPr>
            </w:pPr>
            <w:r w:rsidRPr="002B55E9">
              <w:rPr>
                <w:rFonts w:hint="eastAsia"/>
                <w:sz w:val="18"/>
                <w:szCs w:val="18"/>
              </w:rPr>
              <w:t>水口</w:t>
            </w:r>
            <w:r w:rsidRPr="002B55E9">
              <w:rPr>
                <w:sz w:val="18"/>
                <w:szCs w:val="18"/>
              </w:rPr>
              <w:t>大队</w:t>
            </w:r>
          </w:p>
        </w:tc>
        <w:tc>
          <w:tcPr>
            <w:tcW w:w="1166" w:type="dxa"/>
            <w:tcBorders>
              <w:top w:val="single" w:sz="4" w:space="0" w:color="auto"/>
              <w:left w:val="single" w:sz="6" w:space="0" w:color="auto"/>
              <w:bottom w:val="single" w:sz="4" w:space="0" w:color="auto"/>
              <w:right w:val="single" w:sz="6" w:space="0" w:color="auto"/>
            </w:tcBorders>
            <w:vAlign w:val="center"/>
          </w:tcPr>
          <w:p w14:paraId="147A9DC6" w14:textId="77777777" w:rsidR="00D170E5" w:rsidRPr="002B55E9" w:rsidRDefault="00EF27AD">
            <w:pPr>
              <w:snapToGrid w:val="0"/>
              <w:jc w:val="center"/>
              <w:rPr>
                <w:sz w:val="18"/>
                <w:szCs w:val="18"/>
              </w:rPr>
            </w:pPr>
            <w:r w:rsidRPr="002B55E9">
              <w:rPr>
                <w:rFonts w:hint="eastAsia"/>
                <w:sz w:val="18"/>
                <w:szCs w:val="18"/>
              </w:rPr>
              <w:t>4</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3F037F8F"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4" w:space="0" w:color="auto"/>
              <w:left w:val="single" w:sz="6" w:space="0" w:color="auto"/>
              <w:bottom w:val="single" w:sz="4" w:space="0" w:color="auto"/>
              <w:right w:val="nil"/>
            </w:tcBorders>
            <w:vAlign w:val="center"/>
          </w:tcPr>
          <w:p w14:paraId="0441677F"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3170</w:t>
            </w:r>
          </w:p>
        </w:tc>
      </w:tr>
      <w:tr w:rsidR="00C60999" w:rsidRPr="002B55E9" w14:paraId="21CB6BF7" w14:textId="77777777">
        <w:trPr>
          <w:trHeight w:val="284"/>
        </w:trPr>
        <w:tc>
          <w:tcPr>
            <w:tcW w:w="671" w:type="dxa"/>
            <w:tcBorders>
              <w:top w:val="single" w:sz="4" w:space="0" w:color="auto"/>
              <w:left w:val="nil"/>
              <w:bottom w:val="single" w:sz="4" w:space="0" w:color="auto"/>
              <w:right w:val="single" w:sz="6" w:space="0" w:color="auto"/>
            </w:tcBorders>
            <w:vAlign w:val="center"/>
          </w:tcPr>
          <w:p w14:paraId="23A4544A" w14:textId="77777777" w:rsidR="00D170E5" w:rsidRPr="002B55E9" w:rsidRDefault="00EF27AD">
            <w:pPr>
              <w:pStyle w:val="affff6"/>
              <w:snapToGrid w:val="0"/>
              <w:rPr>
                <w:szCs w:val="18"/>
              </w:rPr>
            </w:pPr>
            <w:r w:rsidRPr="002B55E9">
              <w:rPr>
                <w:rFonts w:hint="eastAsia"/>
                <w:szCs w:val="18"/>
              </w:rPr>
              <w:t>45</w:t>
            </w:r>
          </w:p>
        </w:tc>
        <w:tc>
          <w:tcPr>
            <w:tcW w:w="1461" w:type="dxa"/>
            <w:tcBorders>
              <w:top w:val="single" w:sz="4" w:space="0" w:color="auto"/>
              <w:left w:val="single" w:sz="6" w:space="0" w:color="auto"/>
              <w:bottom w:val="single" w:sz="4" w:space="0" w:color="auto"/>
              <w:right w:val="single" w:sz="6" w:space="0" w:color="auto"/>
            </w:tcBorders>
            <w:vAlign w:val="center"/>
          </w:tcPr>
          <w:p w14:paraId="7242589F" w14:textId="77777777" w:rsidR="00D170E5" w:rsidRPr="002B55E9" w:rsidRDefault="00EF27AD">
            <w:pPr>
              <w:snapToGrid w:val="0"/>
              <w:jc w:val="center"/>
              <w:rPr>
                <w:sz w:val="18"/>
                <w:szCs w:val="18"/>
              </w:rPr>
            </w:pPr>
            <w:r w:rsidRPr="002B55E9">
              <w:rPr>
                <w:sz w:val="18"/>
                <w:szCs w:val="18"/>
              </w:rPr>
              <w:t>113.94633293</w:t>
            </w:r>
          </w:p>
        </w:tc>
        <w:tc>
          <w:tcPr>
            <w:tcW w:w="1338" w:type="dxa"/>
            <w:tcBorders>
              <w:top w:val="single" w:sz="4" w:space="0" w:color="auto"/>
              <w:left w:val="single" w:sz="6" w:space="0" w:color="auto"/>
              <w:bottom w:val="single" w:sz="4" w:space="0" w:color="auto"/>
              <w:right w:val="single" w:sz="6" w:space="0" w:color="auto"/>
            </w:tcBorders>
            <w:vAlign w:val="center"/>
          </w:tcPr>
          <w:p w14:paraId="764EBF60" w14:textId="77777777" w:rsidR="00D170E5" w:rsidRPr="002B55E9" w:rsidRDefault="00EF27AD">
            <w:pPr>
              <w:snapToGrid w:val="0"/>
              <w:jc w:val="center"/>
              <w:rPr>
                <w:sz w:val="18"/>
                <w:szCs w:val="18"/>
              </w:rPr>
            </w:pPr>
            <w:r w:rsidRPr="002B55E9">
              <w:rPr>
                <w:sz w:val="18"/>
                <w:szCs w:val="18"/>
              </w:rPr>
              <w:t>30.68472106</w:t>
            </w:r>
          </w:p>
        </w:tc>
        <w:tc>
          <w:tcPr>
            <w:tcW w:w="2197" w:type="dxa"/>
            <w:tcBorders>
              <w:top w:val="single" w:sz="4" w:space="0" w:color="auto"/>
              <w:left w:val="single" w:sz="6" w:space="0" w:color="auto"/>
              <w:bottom w:val="single" w:sz="4" w:space="0" w:color="auto"/>
              <w:right w:val="single" w:sz="6" w:space="0" w:color="auto"/>
            </w:tcBorders>
            <w:vAlign w:val="center"/>
          </w:tcPr>
          <w:p w14:paraId="4610AA34" w14:textId="77777777" w:rsidR="00D170E5" w:rsidRPr="002B55E9" w:rsidRDefault="00EF27AD">
            <w:pPr>
              <w:snapToGrid w:val="0"/>
              <w:jc w:val="center"/>
              <w:rPr>
                <w:sz w:val="18"/>
                <w:szCs w:val="18"/>
              </w:rPr>
            </w:pPr>
            <w:r w:rsidRPr="002B55E9">
              <w:rPr>
                <w:rFonts w:hint="eastAsia"/>
                <w:sz w:val="18"/>
                <w:szCs w:val="18"/>
              </w:rPr>
              <w:t>康家村</w:t>
            </w:r>
          </w:p>
        </w:tc>
        <w:tc>
          <w:tcPr>
            <w:tcW w:w="1166" w:type="dxa"/>
            <w:tcBorders>
              <w:top w:val="single" w:sz="4" w:space="0" w:color="auto"/>
              <w:left w:val="single" w:sz="6" w:space="0" w:color="auto"/>
              <w:bottom w:val="single" w:sz="4" w:space="0" w:color="auto"/>
              <w:right w:val="single" w:sz="6" w:space="0" w:color="auto"/>
            </w:tcBorders>
            <w:vAlign w:val="center"/>
          </w:tcPr>
          <w:p w14:paraId="085E6F20"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29D9D71F" w14:textId="77777777" w:rsidR="00D170E5" w:rsidRPr="002B55E9" w:rsidRDefault="00EF27AD">
            <w:pPr>
              <w:snapToGrid w:val="0"/>
              <w:jc w:val="center"/>
              <w:rPr>
                <w:sz w:val="18"/>
                <w:szCs w:val="18"/>
              </w:rPr>
            </w:pPr>
            <w:r w:rsidRPr="002B55E9">
              <w:rPr>
                <w:rFonts w:hint="eastAsia"/>
                <w:sz w:val="18"/>
                <w:szCs w:val="18"/>
              </w:rPr>
              <w:t>西北</w:t>
            </w:r>
          </w:p>
        </w:tc>
        <w:tc>
          <w:tcPr>
            <w:tcW w:w="1638" w:type="dxa"/>
            <w:tcBorders>
              <w:top w:val="single" w:sz="4" w:space="0" w:color="auto"/>
              <w:left w:val="single" w:sz="6" w:space="0" w:color="auto"/>
              <w:bottom w:val="single" w:sz="4" w:space="0" w:color="auto"/>
              <w:right w:val="nil"/>
            </w:tcBorders>
            <w:vAlign w:val="center"/>
          </w:tcPr>
          <w:p w14:paraId="251E9874"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4270</w:t>
            </w:r>
          </w:p>
        </w:tc>
      </w:tr>
      <w:tr w:rsidR="00C60999" w:rsidRPr="002B55E9" w14:paraId="6B36987B" w14:textId="77777777">
        <w:trPr>
          <w:trHeight w:val="284"/>
        </w:trPr>
        <w:tc>
          <w:tcPr>
            <w:tcW w:w="671" w:type="dxa"/>
            <w:tcBorders>
              <w:top w:val="single" w:sz="4" w:space="0" w:color="auto"/>
              <w:left w:val="nil"/>
              <w:bottom w:val="single" w:sz="4" w:space="0" w:color="auto"/>
              <w:right w:val="single" w:sz="6" w:space="0" w:color="auto"/>
            </w:tcBorders>
            <w:vAlign w:val="center"/>
          </w:tcPr>
          <w:p w14:paraId="13F9A3B2" w14:textId="77777777" w:rsidR="00D170E5" w:rsidRPr="002B55E9" w:rsidRDefault="00EF27AD">
            <w:pPr>
              <w:pStyle w:val="affff6"/>
              <w:snapToGrid w:val="0"/>
              <w:rPr>
                <w:szCs w:val="18"/>
              </w:rPr>
            </w:pPr>
            <w:r w:rsidRPr="002B55E9">
              <w:rPr>
                <w:rFonts w:hint="eastAsia"/>
                <w:szCs w:val="18"/>
              </w:rPr>
              <w:t>46</w:t>
            </w:r>
          </w:p>
        </w:tc>
        <w:tc>
          <w:tcPr>
            <w:tcW w:w="1461" w:type="dxa"/>
            <w:tcBorders>
              <w:top w:val="single" w:sz="4" w:space="0" w:color="auto"/>
              <w:left w:val="single" w:sz="6" w:space="0" w:color="auto"/>
              <w:bottom w:val="single" w:sz="4" w:space="0" w:color="auto"/>
              <w:right w:val="single" w:sz="6" w:space="0" w:color="auto"/>
            </w:tcBorders>
            <w:vAlign w:val="center"/>
          </w:tcPr>
          <w:p w14:paraId="6B09A9A5" w14:textId="77777777" w:rsidR="00D170E5" w:rsidRPr="002B55E9" w:rsidRDefault="00EF27AD">
            <w:pPr>
              <w:snapToGrid w:val="0"/>
              <w:jc w:val="center"/>
              <w:rPr>
                <w:sz w:val="18"/>
                <w:szCs w:val="18"/>
              </w:rPr>
            </w:pPr>
            <w:r w:rsidRPr="002B55E9">
              <w:rPr>
                <w:sz w:val="18"/>
                <w:szCs w:val="18"/>
              </w:rPr>
              <w:t>113.94744873</w:t>
            </w:r>
          </w:p>
        </w:tc>
        <w:tc>
          <w:tcPr>
            <w:tcW w:w="1338" w:type="dxa"/>
            <w:tcBorders>
              <w:top w:val="single" w:sz="4" w:space="0" w:color="auto"/>
              <w:left w:val="single" w:sz="6" w:space="0" w:color="auto"/>
              <w:bottom w:val="single" w:sz="4" w:space="0" w:color="auto"/>
              <w:right w:val="single" w:sz="6" w:space="0" w:color="auto"/>
            </w:tcBorders>
            <w:vAlign w:val="center"/>
          </w:tcPr>
          <w:p w14:paraId="6CBE11CE" w14:textId="77777777" w:rsidR="00D170E5" w:rsidRPr="002B55E9" w:rsidRDefault="00EF27AD">
            <w:pPr>
              <w:snapToGrid w:val="0"/>
              <w:jc w:val="center"/>
              <w:rPr>
                <w:sz w:val="18"/>
                <w:szCs w:val="18"/>
              </w:rPr>
            </w:pPr>
            <w:r w:rsidRPr="002B55E9">
              <w:rPr>
                <w:sz w:val="18"/>
                <w:szCs w:val="18"/>
              </w:rPr>
              <w:t>30.67955398</w:t>
            </w:r>
          </w:p>
        </w:tc>
        <w:tc>
          <w:tcPr>
            <w:tcW w:w="2197" w:type="dxa"/>
            <w:tcBorders>
              <w:top w:val="single" w:sz="4" w:space="0" w:color="auto"/>
              <w:left w:val="single" w:sz="6" w:space="0" w:color="auto"/>
              <w:bottom w:val="single" w:sz="4" w:space="0" w:color="auto"/>
              <w:right w:val="single" w:sz="6" w:space="0" w:color="auto"/>
            </w:tcBorders>
            <w:vAlign w:val="center"/>
          </w:tcPr>
          <w:p w14:paraId="52BDF735" w14:textId="77777777" w:rsidR="00D170E5" w:rsidRPr="002B55E9" w:rsidRDefault="00EF27AD">
            <w:pPr>
              <w:snapToGrid w:val="0"/>
              <w:jc w:val="center"/>
              <w:rPr>
                <w:sz w:val="18"/>
                <w:szCs w:val="18"/>
              </w:rPr>
            </w:pPr>
            <w:r w:rsidRPr="002B55E9">
              <w:rPr>
                <w:rFonts w:hint="eastAsia"/>
                <w:sz w:val="18"/>
                <w:szCs w:val="18"/>
              </w:rPr>
              <w:t>小河村</w:t>
            </w:r>
          </w:p>
        </w:tc>
        <w:tc>
          <w:tcPr>
            <w:tcW w:w="1166" w:type="dxa"/>
            <w:tcBorders>
              <w:top w:val="single" w:sz="4" w:space="0" w:color="auto"/>
              <w:left w:val="single" w:sz="6" w:space="0" w:color="auto"/>
              <w:bottom w:val="single" w:sz="4" w:space="0" w:color="auto"/>
              <w:right w:val="single" w:sz="6" w:space="0" w:color="auto"/>
            </w:tcBorders>
            <w:vAlign w:val="center"/>
          </w:tcPr>
          <w:p w14:paraId="5CC19155"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08F144FF"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2AF0995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4320</w:t>
            </w:r>
          </w:p>
        </w:tc>
      </w:tr>
      <w:tr w:rsidR="00C60999" w:rsidRPr="002B55E9" w14:paraId="4067FAB4" w14:textId="77777777">
        <w:trPr>
          <w:trHeight w:val="284"/>
        </w:trPr>
        <w:tc>
          <w:tcPr>
            <w:tcW w:w="671" w:type="dxa"/>
            <w:tcBorders>
              <w:top w:val="single" w:sz="4" w:space="0" w:color="auto"/>
              <w:left w:val="nil"/>
              <w:bottom w:val="single" w:sz="4" w:space="0" w:color="auto"/>
              <w:right w:val="single" w:sz="6" w:space="0" w:color="auto"/>
            </w:tcBorders>
            <w:vAlign w:val="center"/>
          </w:tcPr>
          <w:p w14:paraId="2884A1A5" w14:textId="77777777" w:rsidR="00D170E5" w:rsidRPr="002B55E9" w:rsidRDefault="00EF27AD">
            <w:pPr>
              <w:pStyle w:val="affff6"/>
              <w:snapToGrid w:val="0"/>
              <w:rPr>
                <w:szCs w:val="18"/>
              </w:rPr>
            </w:pPr>
            <w:r w:rsidRPr="002B55E9">
              <w:rPr>
                <w:rFonts w:hint="eastAsia"/>
                <w:szCs w:val="18"/>
              </w:rPr>
              <w:t>47</w:t>
            </w:r>
          </w:p>
        </w:tc>
        <w:tc>
          <w:tcPr>
            <w:tcW w:w="1461" w:type="dxa"/>
            <w:tcBorders>
              <w:top w:val="single" w:sz="4" w:space="0" w:color="auto"/>
              <w:left w:val="single" w:sz="6" w:space="0" w:color="auto"/>
              <w:bottom w:val="single" w:sz="4" w:space="0" w:color="auto"/>
              <w:right w:val="single" w:sz="6" w:space="0" w:color="auto"/>
            </w:tcBorders>
            <w:vAlign w:val="center"/>
          </w:tcPr>
          <w:p w14:paraId="0339ED45" w14:textId="77777777" w:rsidR="00D170E5" w:rsidRPr="002B55E9" w:rsidRDefault="00EF27AD">
            <w:pPr>
              <w:snapToGrid w:val="0"/>
              <w:jc w:val="center"/>
              <w:rPr>
                <w:sz w:val="18"/>
                <w:szCs w:val="18"/>
              </w:rPr>
            </w:pPr>
            <w:r w:rsidRPr="002B55E9">
              <w:rPr>
                <w:sz w:val="18"/>
                <w:szCs w:val="18"/>
              </w:rPr>
              <w:t>113.94483089</w:t>
            </w:r>
          </w:p>
        </w:tc>
        <w:tc>
          <w:tcPr>
            <w:tcW w:w="1338" w:type="dxa"/>
            <w:tcBorders>
              <w:top w:val="single" w:sz="4" w:space="0" w:color="auto"/>
              <w:left w:val="single" w:sz="6" w:space="0" w:color="auto"/>
              <w:bottom w:val="single" w:sz="4" w:space="0" w:color="auto"/>
              <w:right w:val="single" w:sz="6" w:space="0" w:color="auto"/>
            </w:tcBorders>
            <w:vAlign w:val="center"/>
          </w:tcPr>
          <w:p w14:paraId="605017A0" w14:textId="77777777" w:rsidR="00D170E5" w:rsidRPr="002B55E9" w:rsidRDefault="00EF27AD">
            <w:pPr>
              <w:snapToGrid w:val="0"/>
              <w:jc w:val="center"/>
              <w:rPr>
                <w:sz w:val="18"/>
                <w:szCs w:val="18"/>
              </w:rPr>
            </w:pPr>
            <w:r w:rsidRPr="002B55E9">
              <w:rPr>
                <w:sz w:val="18"/>
                <w:szCs w:val="18"/>
              </w:rPr>
              <w:t>30.67305784</w:t>
            </w:r>
          </w:p>
        </w:tc>
        <w:tc>
          <w:tcPr>
            <w:tcW w:w="2197" w:type="dxa"/>
            <w:tcBorders>
              <w:top w:val="single" w:sz="4" w:space="0" w:color="auto"/>
              <w:left w:val="single" w:sz="6" w:space="0" w:color="auto"/>
              <w:bottom w:val="single" w:sz="4" w:space="0" w:color="auto"/>
              <w:right w:val="single" w:sz="6" w:space="0" w:color="auto"/>
            </w:tcBorders>
            <w:vAlign w:val="center"/>
          </w:tcPr>
          <w:p w14:paraId="7BA751BB" w14:textId="77777777" w:rsidR="00D170E5" w:rsidRPr="002B55E9" w:rsidRDefault="00EF27AD">
            <w:pPr>
              <w:snapToGrid w:val="0"/>
              <w:jc w:val="center"/>
              <w:rPr>
                <w:sz w:val="18"/>
                <w:szCs w:val="18"/>
              </w:rPr>
            </w:pPr>
            <w:r w:rsidRPr="002B55E9">
              <w:rPr>
                <w:rFonts w:hint="eastAsia"/>
                <w:sz w:val="18"/>
                <w:szCs w:val="18"/>
              </w:rPr>
              <w:t>胡家</w:t>
            </w:r>
            <w:r w:rsidRPr="002B55E9">
              <w:rPr>
                <w:sz w:val="18"/>
                <w:szCs w:val="18"/>
              </w:rPr>
              <w:t>老台</w:t>
            </w:r>
          </w:p>
        </w:tc>
        <w:tc>
          <w:tcPr>
            <w:tcW w:w="1166" w:type="dxa"/>
            <w:tcBorders>
              <w:top w:val="single" w:sz="4" w:space="0" w:color="auto"/>
              <w:left w:val="single" w:sz="6" w:space="0" w:color="auto"/>
              <w:bottom w:val="single" w:sz="4" w:space="0" w:color="auto"/>
              <w:right w:val="single" w:sz="6" w:space="0" w:color="auto"/>
            </w:tcBorders>
            <w:vAlign w:val="center"/>
          </w:tcPr>
          <w:p w14:paraId="5CF76666"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1A202D73"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5F7C58D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4440</w:t>
            </w:r>
          </w:p>
        </w:tc>
      </w:tr>
      <w:tr w:rsidR="00C60999" w:rsidRPr="002B55E9" w14:paraId="1A6ABC21" w14:textId="77777777">
        <w:trPr>
          <w:trHeight w:val="284"/>
        </w:trPr>
        <w:tc>
          <w:tcPr>
            <w:tcW w:w="671" w:type="dxa"/>
            <w:tcBorders>
              <w:top w:val="single" w:sz="4" w:space="0" w:color="auto"/>
              <w:left w:val="nil"/>
              <w:bottom w:val="single" w:sz="4" w:space="0" w:color="auto"/>
              <w:right w:val="single" w:sz="6" w:space="0" w:color="auto"/>
            </w:tcBorders>
            <w:vAlign w:val="center"/>
          </w:tcPr>
          <w:p w14:paraId="7009AEBE" w14:textId="77777777" w:rsidR="00D170E5" w:rsidRPr="002B55E9" w:rsidRDefault="00EF27AD">
            <w:pPr>
              <w:pStyle w:val="affff6"/>
              <w:snapToGrid w:val="0"/>
              <w:rPr>
                <w:szCs w:val="18"/>
              </w:rPr>
            </w:pPr>
            <w:r w:rsidRPr="002B55E9">
              <w:rPr>
                <w:rFonts w:hint="eastAsia"/>
                <w:szCs w:val="18"/>
              </w:rPr>
              <w:t>48</w:t>
            </w:r>
          </w:p>
        </w:tc>
        <w:tc>
          <w:tcPr>
            <w:tcW w:w="1461" w:type="dxa"/>
            <w:tcBorders>
              <w:top w:val="single" w:sz="4" w:space="0" w:color="auto"/>
              <w:left w:val="single" w:sz="6" w:space="0" w:color="auto"/>
              <w:bottom w:val="single" w:sz="4" w:space="0" w:color="auto"/>
              <w:right w:val="single" w:sz="6" w:space="0" w:color="auto"/>
            </w:tcBorders>
            <w:vAlign w:val="center"/>
          </w:tcPr>
          <w:p w14:paraId="3E81A9AE" w14:textId="77777777" w:rsidR="00D170E5" w:rsidRPr="002B55E9" w:rsidRDefault="00EF27AD">
            <w:pPr>
              <w:snapToGrid w:val="0"/>
              <w:jc w:val="center"/>
              <w:rPr>
                <w:sz w:val="18"/>
                <w:szCs w:val="18"/>
              </w:rPr>
            </w:pPr>
            <w:r w:rsidRPr="002B55E9">
              <w:rPr>
                <w:sz w:val="18"/>
                <w:szCs w:val="18"/>
              </w:rPr>
              <w:t>113.94740582</w:t>
            </w:r>
          </w:p>
        </w:tc>
        <w:tc>
          <w:tcPr>
            <w:tcW w:w="1338" w:type="dxa"/>
            <w:tcBorders>
              <w:top w:val="single" w:sz="4" w:space="0" w:color="auto"/>
              <w:left w:val="single" w:sz="6" w:space="0" w:color="auto"/>
              <w:bottom w:val="single" w:sz="4" w:space="0" w:color="auto"/>
              <w:right w:val="single" w:sz="6" w:space="0" w:color="auto"/>
            </w:tcBorders>
            <w:vAlign w:val="center"/>
          </w:tcPr>
          <w:p w14:paraId="0F575F64" w14:textId="77777777" w:rsidR="00D170E5" w:rsidRPr="002B55E9" w:rsidRDefault="00EF27AD">
            <w:pPr>
              <w:snapToGrid w:val="0"/>
              <w:jc w:val="center"/>
              <w:rPr>
                <w:sz w:val="18"/>
                <w:szCs w:val="18"/>
              </w:rPr>
            </w:pPr>
            <w:r w:rsidRPr="002B55E9">
              <w:rPr>
                <w:sz w:val="18"/>
                <w:szCs w:val="18"/>
              </w:rPr>
              <w:t>30.66368195</w:t>
            </w:r>
          </w:p>
        </w:tc>
        <w:tc>
          <w:tcPr>
            <w:tcW w:w="2197" w:type="dxa"/>
            <w:tcBorders>
              <w:top w:val="single" w:sz="4" w:space="0" w:color="auto"/>
              <w:left w:val="single" w:sz="6" w:space="0" w:color="auto"/>
              <w:bottom w:val="single" w:sz="4" w:space="0" w:color="auto"/>
              <w:right w:val="single" w:sz="6" w:space="0" w:color="auto"/>
            </w:tcBorders>
            <w:vAlign w:val="center"/>
          </w:tcPr>
          <w:p w14:paraId="25F33760" w14:textId="77777777" w:rsidR="00D170E5" w:rsidRPr="002B55E9" w:rsidRDefault="00EF27AD">
            <w:pPr>
              <w:snapToGrid w:val="0"/>
              <w:jc w:val="center"/>
              <w:rPr>
                <w:sz w:val="18"/>
                <w:szCs w:val="18"/>
              </w:rPr>
            </w:pPr>
            <w:r w:rsidRPr="002B55E9">
              <w:rPr>
                <w:rFonts w:hint="eastAsia"/>
                <w:sz w:val="18"/>
                <w:szCs w:val="18"/>
              </w:rPr>
              <w:t>上游</w:t>
            </w:r>
            <w:r w:rsidRPr="002B55E9">
              <w:rPr>
                <w:sz w:val="18"/>
                <w:szCs w:val="18"/>
              </w:rPr>
              <w:t>村</w:t>
            </w:r>
          </w:p>
        </w:tc>
        <w:tc>
          <w:tcPr>
            <w:tcW w:w="1166" w:type="dxa"/>
            <w:tcBorders>
              <w:top w:val="single" w:sz="4" w:space="0" w:color="auto"/>
              <w:left w:val="single" w:sz="6" w:space="0" w:color="auto"/>
              <w:bottom w:val="single" w:sz="4" w:space="0" w:color="auto"/>
              <w:right w:val="single" w:sz="6" w:space="0" w:color="auto"/>
            </w:tcBorders>
            <w:vAlign w:val="center"/>
          </w:tcPr>
          <w:p w14:paraId="7EA0329E"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50</w:t>
            </w:r>
          </w:p>
        </w:tc>
        <w:tc>
          <w:tcPr>
            <w:tcW w:w="1166" w:type="dxa"/>
            <w:tcBorders>
              <w:top w:val="single" w:sz="4" w:space="0" w:color="auto"/>
              <w:left w:val="single" w:sz="6" w:space="0" w:color="auto"/>
              <w:bottom w:val="single" w:sz="4" w:space="0" w:color="auto"/>
              <w:right w:val="single" w:sz="6" w:space="0" w:color="auto"/>
            </w:tcBorders>
            <w:vAlign w:val="center"/>
          </w:tcPr>
          <w:p w14:paraId="62C2C1F2"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64974624"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4260</w:t>
            </w:r>
          </w:p>
        </w:tc>
      </w:tr>
      <w:tr w:rsidR="00C60999" w:rsidRPr="002B55E9" w14:paraId="5FAB6F11" w14:textId="77777777">
        <w:trPr>
          <w:trHeight w:val="284"/>
        </w:trPr>
        <w:tc>
          <w:tcPr>
            <w:tcW w:w="671" w:type="dxa"/>
            <w:tcBorders>
              <w:top w:val="single" w:sz="4" w:space="0" w:color="auto"/>
              <w:left w:val="nil"/>
              <w:bottom w:val="single" w:sz="4" w:space="0" w:color="auto"/>
              <w:right w:val="single" w:sz="6" w:space="0" w:color="auto"/>
            </w:tcBorders>
            <w:vAlign w:val="center"/>
          </w:tcPr>
          <w:p w14:paraId="0BC00ACB" w14:textId="77777777" w:rsidR="00D170E5" w:rsidRPr="002B55E9" w:rsidRDefault="00EF27AD">
            <w:pPr>
              <w:pStyle w:val="affff6"/>
              <w:snapToGrid w:val="0"/>
              <w:rPr>
                <w:szCs w:val="18"/>
              </w:rPr>
            </w:pPr>
            <w:r w:rsidRPr="002B55E9">
              <w:rPr>
                <w:rFonts w:hint="eastAsia"/>
                <w:szCs w:val="18"/>
              </w:rPr>
              <w:t>49</w:t>
            </w:r>
          </w:p>
        </w:tc>
        <w:tc>
          <w:tcPr>
            <w:tcW w:w="1461" w:type="dxa"/>
            <w:tcBorders>
              <w:top w:val="single" w:sz="4" w:space="0" w:color="auto"/>
              <w:left w:val="single" w:sz="6" w:space="0" w:color="auto"/>
              <w:bottom w:val="single" w:sz="4" w:space="0" w:color="auto"/>
              <w:right w:val="single" w:sz="6" w:space="0" w:color="auto"/>
            </w:tcBorders>
            <w:vAlign w:val="center"/>
          </w:tcPr>
          <w:p w14:paraId="616AC830" w14:textId="77777777" w:rsidR="00D170E5" w:rsidRPr="002B55E9" w:rsidRDefault="00EF27AD">
            <w:pPr>
              <w:snapToGrid w:val="0"/>
              <w:jc w:val="center"/>
              <w:rPr>
                <w:sz w:val="18"/>
                <w:szCs w:val="18"/>
              </w:rPr>
            </w:pPr>
            <w:r w:rsidRPr="002B55E9">
              <w:rPr>
                <w:sz w:val="18"/>
                <w:szCs w:val="18"/>
              </w:rPr>
              <w:t>113.95380020</w:t>
            </w:r>
          </w:p>
        </w:tc>
        <w:tc>
          <w:tcPr>
            <w:tcW w:w="1338" w:type="dxa"/>
            <w:tcBorders>
              <w:top w:val="single" w:sz="4" w:space="0" w:color="auto"/>
              <w:left w:val="single" w:sz="6" w:space="0" w:color="auto"/>
              <w:bottom w:val="single" w:sz="4" w:space="0" w:color="auto"/>
              <w:right w:val="single" w:sz="6" w:space="0" w:color="auto"/>
            </w:tcBorders>
            <w:vAlign w:val="center"/>
          </w:tcPr>
          <w:p w14:paraId="588ECD5A" w14:textId="77777777" w:rsidR="00D170E5" w:rsidRPr="002B55E9" w:rsidRDefault="00EF27AD">
            <w:pPr>
              <w:snapToGrid w:val="0"/>
              <w:jc w:val="center"/>
              <w:rPr>
                <w:sz w:val="18"/>
                <w:szCs w:val="18"/>
              </w:rPr>
            </w:pPr>
            <w:r w:rsidRPr="002B55E9">
              <w:rPr>
                <w:sz w:val="18"/>
                <w:szCs w:val="18"/>
              </w:rPr>
              <w:t>30.67268873</w:t>
            </w:r>
          </w:p>
        </w:tc>
        <w:tc>
          <w:tcPr>
            <w:tcW w:w="2197" w:type="dxa"/>
            <w:tcBorders>
              <w:top w:val="single" w:sz="4" w:space="0" w:color="auto"/>
              <w:left w:val="single" w:sz="6" w:space="0" w:color="auto"/>
              <w:bottom w:val="single" w:sz="4" w:space="0" w:color="auto"/>
              <w:right w:val="single" w:sz="6" w:space="0" w:color="auto"/>
            </w:tcBorders>
            <w:vAlign w:val="center"/>
          </w:tcPr>
          <w:p w14:paraId="7968CF75" w14:textId="77777777" w:rsidR="00D170E5" w:rsidRPr="002B55E9" w:rsidRDefault="00EF27AD">
            <w:pPr>
              <w:snapToGrid w:val="0"/>
              <w:jc w:val="center"/>
              <w:rPr>
                <w:sz w:val="18"/>
                <w:szCs w:val="18"/>
              </w:rPr>
            </w:pPr>
            <w:r w:rsidRPr="002B55E9">
              <w:rPr>
                <w:rFonts w:hint="eastAsia"/>
                <w:sz w:val="18"/>
                <w:szCs w:val="18"/>
              </w:rPr>
              <w:t>余</w:t>
            </w:r>
            <w:r w:rsidRPr="002B55E9">
              <w:rPr>
                <w:sz w:val="18"/>
                <w:szCs w:val="18"/>
              </w:rPr>
              <w:t>家台村</w:t>
            </w:r>
          </w:p>
        </w:tc>
        <w:tc>
          <w:tcPr>
            <w:tcW w:w="1166" w:type="dxa"/>
            <w:tcBorders>
              <w:top w:val="single" w:sz="4" w:space="0" w:color="auto"/>
              <w:left w:val="single" w:sz="6" w:space="0" w:color="auto"/>
              <w:bottom w:val="single" w:sz="4" w:space="0" w:color="auto"/>
              <w:right w:val="single" w:sz="6" w:space="0" w:color="auto"/>
            </w:tcBorders>
            <w:vAlign w:val="center"/>
          </w:tcPr>
          <w:p w14:paraId="44EBAC92" w14:textId="77777777" w:rsidR="00D170E5" w:rsidRPr="002B55E9" w:rsidRDefault="00EF27AD">
            <w:pPr>
              <w:snapToGrid w:val="0"/>
              <w:jc w:val="center"/>
              <w:rPr>
                <w:sz w:val="18"/>
                <w:szCs w:val="18"/>
              </w:rPr>
            </w:pPr>
            <w:r w:rsidRPr="002B55E9">
              <w:rPr>
                <w:rFonts w:hint="eastAsia"/>
                <w:sz w:val="18"/>
                <w:szCs w:val="18"/>
              </w:rPr>
              <w:t>3</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20483AA0"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0DFDE0F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3450</w:t>
            </w:r>
          </w:p>
        </w:tc>
      </w:tr>
      <w:tr w:rsidR="00C60999" w:rsidRPr="002B55E9" w14:paraId="3AFBA24D" w14:textId="77777777">
        <w:trPr>
          <w:trHeight w:val="284"/>
        </w:trPr>
        <w:tc>
          <w:tcPr>
            <w:tcW w:w="671" w:type="dxa"/>
            <w:tcBorders>
              <w:top w:val="single" w:sz="4" w:space="0" w:color="auto"/>
              <w:left w:val="nil"/>
              <w:bottom w:val="single" w:sz="4" w:space="0" w:color="auto"/>
              <w:right w:val="single" w:sz="6" w:space="0" w:color="auto"/>
            </w:tcBorders>
            <w:vAlign w:val="center"/>
          </w:tcPr>
          <w:p w14:paraId="4ED0C022" w14:textId="77777777" w:rsidR="00D170E5" w:rsidRPr="002B55E9" w:rsidRDefault="00EF27AD">
            <w:pPr>
              <w:pStyle w:val="affff6"/>
              <w:snapToGrid w:val="0"/>
              <w:rPr>
                <w:szCs w:val="18"/>
              </w:rPr>
            </w:pPr>
            <w:r w:rsidRPr="002B55E9">
              <w:rPr>
                <w:rFonts w:hint="eastAsia"/>
                <w:szCs w:val="18"/>
              </w:rPr>
              <w:t>50</w:t>
            </w:r>
          </w:p>
        </w:tc>
        <w:tc>
          <w:tcPr>
            <w:tcW w:w="1461" w:type="dxa"/>
            <w:tcBorders>
              <w:top w:val="single" w:sz="4" w:space="0" w:color="auto"/>
              <w:left w:val="single" w:sz="6" w:space="0" w:color="auto"/>
              <w:bottom w:val="single" w:sz="4" w:space="0" w:color="auto"/>
              <w:right w:val="single" w:sz="6" w:space="0" w:color="auto"/>
            </w:tcBorders>
            <w:vAlign w:val="center"/>
          </w:tcPr>
          <w:p w14:paraId="3967B3D7" w14:textId="77777777" w:rsidR="00D170E5" w:rsidRPr="002B55E9" w:rsidRDefault="00EF27AD">
            <w:pPr>
              <w:snapToGrid w:val="0"/>
              <w:jc w:val="center"/>
              <w:rPr>
                <w:sz w:val="18"/>
                <w:szCs w:val="18"/>
              </w:rPr>
            </w:pPr>
            <w:r w:rsidRPr="002B55E9">
              <w:rPr>
                <w:sz w:val="18"/>
                <w:szCs w:val="18"/>
              </w:rPr>
              <w:t>113.96088123</w:t>
            </w:r>
          </w:p>
        </w:tc>
        <w:tc>
          <w:tcPr>
            <w:tcW w:w="1338" w:type="dxa"/>
            <w:tcBorders>
              <w:top w:val="single" w:sz="4" w:space="0" w:color="auto"/>
              <w:left w:val="single" w:sz="6" w:space="0" w:color="auto"/>
              <w:bottom w:val="single" w:sz="4" w:space="0" w:color="auto"/>
              <w:right w:val="single" w:sz="6" w:space="0" w:color="auto"/>
            </w:tcBorders>
            <w:vAlign w:val="center"/>
          </w:tcPr>
          <w:p w14:paraId="5A6B10A0" w14:textId="77777777" w:rsidR="00D170E5" w:rsidRPr="002B55E9" w:rsidRDefault="00EF27AD">
            <w:pPr>
              <w:snapToGrid w:val="0"/>
              <w:jc w:val="center"/>
              <w:rPr>
                <w:sz w:val="18"/>
                <w:szCs w:val="18"/>
              </w:rPr>
            </w:pPr>
            <w:r w:rsidRPr="002B55E9">
              <w:rPr>
                <w:sz w:val="18"/>
                <w:szCs w:val="18"/>
              </w:rPr>
              <w:t>30.67944326</w:t>
            </w:r>
          </w:p>
        </w:tc>
        <w:tc>
          <w:tcPr>
            <w:tcW w:w="2197" w:type="dxa"/>
            <w:tcBorders>
              <w:top w:val="single" w:sz="4" w:space="0" w:color="auto"/>
              <w:left w:val="single" w:sz="6" w:space="0" w:color="auto"/>
              <w:bottom w:val="single" w:sz="4" w:space="0" w:color="auto"/>
              <w:right w:val="single" w:sz="6" w:space="0" w:color="auto"/>
            </w:tcBorders>
            <w:vAlign w:val="center"/>
          </w:tcPr>
          <w:p w14:paraId="5869BBF1" w14:textId="77777777" w:rsidR="00D170E5" w:rsidRPr="002B55E9" w:rsidRDefault="00EF27AD">
            <w:pPr>
              <w:snapToGrid w:val="0"/>
              <w:jc w:val="center"/>
              <w:rPr>
                <w:sz w:val="18"/>
                <w:szCs w:val="18"/>
              </w:rPr>
            </w:pPr>
            <w:r w:rsidRPr="002B55E9">
              <w:rPr>
                <w:rFonts w:hint="eastAsia"/>
                <w:sz w:val="18"/>
                <w:szCs w:val="18"/>
              </w:rPr>
              <w:t>大郭家台</w:t>
            </w:r>
          </w:p>
        </w:tc>
        <w:tc>
          <w:tcPr>
            <w:tcW w:w="1166" w:type="dxa"/>
            <w:tcBorders>
              <w:top w:val="single" w:sz="4" w:space="0" w:color="auto"/>
              <w:left w:val="single" w:sz="6" w:space="0" w:color="auto"/>
              <w:bottom w:val="single" w:sz="4" w:space="0" w:color="auto"/>
              <w:right w:val="single" w:sz="6" w:space="0" w:color="auto"/>
            </w:tcBorders>
            <w:vAlign w:val="center"/>
          </w:tcPr>
          <w:p w14:paraId="6B5BE304" w14:textId="77777777" w:rsidR="00D170E5" w:rsidRPr="002B55E9" w:rsidRDefault="00EF27AD">
            <w:pPr>
              <w:snapToGrid w:val="0"/>
              <w:jc w:val="center"/>
              <w:rPr>
                <w:sz w:val="18"/>
                <w:szCs w:val="18"/>
              </w:rPr>
            </w:pPr>
            <w:r w:rsidRPr="002B55E9">
              <w:rPr>
                <w:rFonts w:hint="eastAsia"/>
                <w:sz w:val="18"/>
                <w:szCs w:val="18"/>
              </w:rPr>
              <w:t>6</w:t>
            </w:r>
            <w:r w:rsidRPr="002B55E9">
              <w:rPr>
                <w:sz w:val="18"/>
                <w:szCs w:val="18"/>
              </w:rPr>
              <w:t>0</w:t>
            </w:r>
          </w:p>
        </w:tc>
        <w:tc>
          <w:tcPr>
            <w:tcW w:w="1166" w:type="dxa"/>
            <w:tcBorders>
              <w:top w:val="single" w:sz="4" w:space="0" w:color="auto"/>
              <w:left w:val="single" w:sz="6" w:space="0" w:color="auto"/>
              <w:bottom w:val="single" w:sz="4" w:space="0" w:color="auto"/>
              <w:right w:val="single" w:sz="6" w:space="0" w:color="auto"/>
            </w:tcBorders>
            <w:vAlign w:val="center"/>
          </w:tcPr>
          <w:p w14:paraId="3F2101D2"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704FA86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3070</w:t>
            </w:r>
          </w:p>
        </w:tc>
      </w:tr>
      <w:tr w:rsidR="00C60999" w:rsidRPr="002B55E9" w14:paraId="71E78D00" w14:textId="77777777">
        <w:trPr>
          <w:trHeight w:val="284"/>
        </w:trPr>
        <w:tc>
          <w:tcPr>
            <w:tcW w:w="671" w:type="dxa"/>
            <w:tcBorders>
              <w:top w:val="single" w:sz="4" w:space="0" w:color="auto"/>
              <w:left w:val="nil"/>
              <w:bottom w:val="single" w:sz="4" w:space="0" w:color="auto"/>
              <w:right w:val="single" w:sz="6" w:space="0" w:color="auto"/>
            </w:tcBorders>
            <w:vAlign w:val="center"/>
          </w:tcPr>
          <w:p w14:paraId="628E309F" w14:textId="77777777" w:rsidR="00D170E5" w:rsidRPr="002B55E9" w:rsidRDefault="00EF27AD">
            <w:pPr>
              <w:pStyle w:val="affff6"/>
              <w:snapToGrid w:val="0"/>
              <w:rPr>
                <w:szCs w:val="18"/>
              </w:rPr>
            </w:pPr>
            <w:r w:rsidRPr="002B55E9">
              <w:rPr>
                <w:rFonts w:hint="eastAsia"/>
                <w:szCs w:val="18"/>
              </w:rPr>
              <w:t>51</w:t>
            </w:r>
          </w:p>
        </w:tc>
        <w:tc>
          <w:tcPr>
            <w:tcW w:w="1461" w:type="dxa"/>
            <w:tcBorders>
              <w:top w:val="single" w:sz="4" w:space="0" w:color="auto"/>
              <w:left w:val="single" w:sz="6" w:space="0" w:color="auto"/>
              <w:bottom w:val="single" w:sz="4" w:space="0" w:color="auto"/>
              <w:right w:val="single" w:sz="6" w:space="0" w:color="auto"/>
            </w:tcBorders>
            <w:vAlign w:val="center"/>
          </w:tcPr>
          <w:p w14:paraId="03EC3D00" w14:textId="77777777" w:rsidR="00D170E5" w:rsidRPr="002B55E9" w:rsidRDefault="00EF27AD">
            <w:pPr>
              <w:snapToGrid w:val="0"/>
              <w:jc w:val="center"/>
              <w:rPr>
                <w:sz w:val="18"/>
                <w:szCs w:val="18"/>
              </w:rPr>
            </w:pPr>
            <w:r w:rsidRPr="002B55E9">
              <w:rPr>
                <w:sz w:val="18"/>
                <w:szCs w:val="18"/>
              </w:rPr>
              <w:t>113.96457195</w:t>
            </w:r>
          </w:p>
        </w:tc>
        <w:tc>
          <w:tcPr>
            <w:tcW w:w="1338" w:type="dxa"/>
            <w:tcBorders>
              <w:top w:val="single" w:sz="4" w:space="0" w:color="auto"/>
              <w:left w:val="single" w:sz="6" w:space="0" w:color="auto"/>
              <w:bottom w:val="single" w:sz="4" w:space="0" w:color="auto"/>
              <w:right w:val="single" w:sz="6" w:space="0" w:color="auto"/>
            </w:tcBorders>
            <w:vAlign w:val="center"/>
          </w:tcPr>
          <w:p w14:paraId="18ECD86F" w14:textId="77777777" w:rsidR="00D170E5" w:rsidRPr="002B55E9" w:rsidRDefault="00EF27AD">
            <w:pPr>
              <w:snapToGrid w:val="0"/>
              <w:jc w:val="center"/>
              <w:rPr>
                <w:sz w:val="18"/>
                <w:szCs w:val="18"/>
              </w:rPr>
            </w:pPr>
            <w:r w:rsidRPr="002B55E9">
              <w:rPr>
                <w:sz w:val="18"/>
                <w:szCs w:val="18"/>
              </w:rPr>
              <w:t>30.67556776</w:t>
            </w:r>
          </w:p>
        </w:tc>
        <w:tc>
          <w:tcPr>
            <w:tcW w:w="2197" w:type="dxa"/>
            <w:tcBorders>
              <w:top w:val="single" w:sz="4" w:space="0" w:color="auto"/>
              <w:left w:val="single" w:sz="6" w:space="0" w:color="auto"/>
              <w:bottom w:val="single" w:sz="4" w:space="0" w:color="auto"/>
              <w:right w:val="single" w:sz="6" w:space="0" w:color="auto"/>
            </w:tcBorders>
            <w:vAlign w:val="center"/>
          </w:tcPr>
          <w:p w14:paraId="5137CCFA" w14:textId="77777777" w:rsidR="00D170E5" w:rsidRPr="002B55E9" w:rsidRDefault="00EF27AD">
            <w:pPr>
              <w:snapToGrid w:val="0"/>
              <w:jc w:val="center"/>
              <w:rPr>
                <w:sz w:val="18"/>
                <w:szCs w:val="18"/>
              </w:rPr>
            </w:pPr>
            <w:r w:rsidRPr="002B55E9">
              <w:rPr>
                <w:rFonts w:hint="eastAsia"/>
                <w:sz w:val="18"/>
                <w:szCs w:val="18"/>
              </w:rPr>
              <w:t>小郭</w:t>
            </w:r>
            <w:r w:rsidRPr="002B55E9">
              <w:rPr>
                <w:sz w:val="18"/>
                <w:szCs w:val="18"/>
              </w:rPr>
              <w:t>家台</w:t>
            </w:r>
          </w:p>
        </w:tc>
        <w:tc>
          <w:tcPr>
            <w:tcW w:w="1166" w:type="dxa"/>
            <w:tcBorders>
              <w:top w:val="single" w:sz="4" w:space="0" w:color="auto"/>
              <w:left w:val="single" w:sz="6" w:space="0" w:color="auto"/>
              <w:bottom w:val="single" w:sz="4" w:space="0" w:color="auto"/>
              <w:right w:val="single" w:sz="6" w:space="0" w:color="auto"/>
            </w:tcBorders>
            <w:vAlign w:val="center"/>
          </w:tcPr>
          <w:p w14:paraId="64BF6491"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50</w:t>
            </w:r>
          </w:p>
        </w:tc>
        <w:tc>
          <w:tcPr>
            <w:tcW w:w="1166" w:type="dxa"/>
            <w:tcBorders>
              <w:top w:val="single" w:sz="4" w:space="0" w:color="auto"/>
              <w:left w:val="single" w:sz="6" w:space="0" w:color="auto"/>
              <w:bottom w:val="single" w:sz="4" w:space="0" w:color="auto"/>
              <w:right w:val="single" w:sz="6" w:space="0" w:color="auto"/>
            </w:tcBorders>
            <w:vAlign w:val="center"/>
          </w:tcPr>
          <w:p w14:paraId="1D81EF09"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1CBBF660"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2670</w:t>
            </w:r>
          </w:p>
        </w:tc>
      </w:tr>
      <w:tr w:rsidR="00C60999" w:rsidRPr="002B55E9" w14:paraId="0BCAA368" w14:textId="77777777">
        <w:trPr>
          <w:trHeight w:val="284"/>
        </w:trPr>
        <w:tc>
          <w:tcPr>
            <w:tcW w:w="671" w:type="dxa"/>
            <w:tcBorders>
              <w:top w:val="single" w:sz="4" w:space="0" w:color="auto"/>
              <w:left w:val="nil"/>
              <w:bottom w:val="single" w:sz="4" w:space="0" w:color="auto"/>
              <w:right w:val="single" w:sz="6" w:space="0" w:color="auto"/>
            </w:tcBorders>
            <w:vAlign w:val="center"/>
          </w:tcPr>
          <w:p w14:paraId="5B1927D1" w14:textId="77777777" w:rsidR="00D170E5" w:rsidRPr="002B55E9" w:rsidRDefault="00EF27AD">
            <w:pPr>
              <w:pStyle w:val="affff6"/>
              <w:snapToGrid w:val="0"/>
              <w:rPr>
                <w:szCs w:val="18"/>
              </w:rPr>
            </w:pPr>
            <w:r w:rsidRPr="002B55E9">
              <w:rPr>
                <w:rFonts w:hint="eastAsia"/>
                <w:szCs w:val="18"/>
              </w:rPr>
              <w:t>52</w:t>
            </w:r>
          </w:p>
        </w:tc>
        <w:tc>
          <w:tcPr>
            <w:tcW w:w="1461" w:type="dxa"/>
            <w:tcBorders>
              <w:top w:val="single" w:sz="4" w:space="0" w:color="auto"/>
              <w:left w:val="single" w:sz="6" w:space="0" w:color="auto"/>
              <w:bottom w:val="single" w:sz="4" w:space="0" w:color="auto"/>
              <w:right w:val="single" w:sz="6" w:space="0" w:color="auto"/>
            </w:tcBorders>
            <w:vAlign w:val="center"/>
          </w:tcPr>
          <w:p w14:paraId="6F196FA3" w14:textId="77777777" w:rsidR="00D170E5" w:rsidRPr="002B55E9" w:rsidRDefault="00EF27AD">
            <w:pPr>
              <w:snapToGrid w:val="0"/>
              <w:jc w:val="center"/>
              <w:rPr>
                <w:sz w:val="18"/>
                <w:szCs w:val="18"/>
              </w:rPr>
            </w:pPr>
            <w:r w:rsidRPr="002B55E9">
              <w:rPr>
                <w:sz w:val="18"/>
                <w:szCs w:val="18"/>
              </w:rPr>
              <w:t>113.96508694</w:t>
            </w:r>
          </w:p>
        </w:tc>
        <w:tc>
          <w:tcPr>
            <w:tcW w:w="1338" w:type="dxa"/>
            <w:tcBorders>
              <w:top w:val="single" w:sz="4" w:space="0" w:color="auto"/>
              <w:left w:val="single" w:sz="6" w:space="0" w:color="auto"/>
              <w:bottom w:val="single" w:sz="4" w:space="0" w:color="auto"/>
              <w:right w:val="single" w:sz="6" w:space="0" w:color="auto"/>
            </w:tcBorders>
            <w:vAlign w:val="center"/>
          </w:tcPr>
          <w:p w14:paraId="3DDCC3F0" w14:textId="77777777" w:rsidR="00D170E5" w:rsidRPr="002B55E9" w:rsidRDefault="00EF27AD">
            <w:pPr>
              <w:snapToGrid w:val="0"/>
              <w:jc w:val="center"/>
              <w:rPr>
                <w:sz w:val="18"/>
                <w:szCs w:val="18"/>
              </w:rPr>
            </w:pPr>
            <w:r w:rsidRPr="002B55E9">
              <w:rPr>
                <w:sz w:val="18"/>
                <w:szCs w:val="18"/>
              </w:rPr>
              <w:t>30.67150756</w:t>
            </w:r>
          </w:p>
        </w:tc>
        <w:tc>
          <w:tcPr>
            <w:tcW w:w="2197" w:type="dxa"/>
            <w:tcBorders>
              <w:top w:val="single" w:sz="4" w:space="0" w:color="auto"/>
              <w:left w:val="single" w:sz="6" w:space="0" w:color="auto"/>
              <w:bottom w:val="single" w:sz="4" w:space="0" w:color="auto"/>
              <w:right w:val="single" w:sz="6" w:space="0" w:color="auto"/>
            </w:tcBorders>
            <w:vAlign w:val="center"/>
          </w:tcPr>
          <w:p w14:paraId="5955B49D" w14:textId="77777777" w:rsidR="00D170E5" w:rsidRPr="002B55E9" w:rsidRDefault="00EF27AD">
            <w:pPr>
              <w:snapToGrid w:val="0"/>
              <w:jc w:val="center"/>
              <w:rPr>
                <w:sz w:val="18"/>
                <w:szCs w:val="18"/>
              </w:rPr>
            </w:pPr>
            <w:r w:rsidRPr="002B55E9">
              <w:rPr>
                <w:rFonts w:hint="eastAsia"/>
                <w:sz w:val="18"/>
                <w:szCs w:val="18"/>
              </w:rPr>
              <w:t>新河</w:t>
            </w:r>
            <w:r w:rsidRPr="002B55E9">
              <w:rPr>
                <w:sz w:val="18"/>
                <w:szCs w:val="18"/>
              </w:rPr>
              <w:t>村</w:t>
            </w:r>
          </w:p>
        </w:tc>
        <w:tc>
          <w:tcPr>
            <w:tcW w:w="1166" w:type="dxa"/>
            <w:tcBorders>
              <w:top w:val="single" w:sz="4" w:space="0" w:color="auto"/>
              <w:left w:val="single" w:sz="6" w:space="0" w:color="auto"/>
              <w:bottom w:val="single" w:sz="4" w:space="0" w:color="auto"/>
              <w:right w:val="single" w:sz="6" w:space="0" w:color="auto"/>
            </w:tcBorders>
            <w:vAlign w:val="center"/>
          </w:tcPr>
          <w:p w14:paraId="47FED07D" w14:textId="77777777" w:rsidR="00D170E5" w:rsidRPr="002B55E9" w:rsidRDefault="00EF27AD">
            <w:pPr>
              <w:snapToGrid w:val="0"/>
              <w:jc w:val="center"/>
              <w:rPr>
                <w:sz w:val="18"/>
                <w:szCs w:val="18"/>
              </w:rPr>
            </w:pPr>
            <w:r w:rsidRPr="002B55E9">
              <w:rPr>
                <w:sz w:val="18"/>
                <w:szCs w:val="18"/>
              </w:rPr>
              <w:t>60</w:t>
            </w:r>
          </w:p>
        </w:tc>
        <w:tc>
          <w:tcPr>
            <w:tcW w:w="1166" w:type="dxa"/>
            <w:tcBorders>
              <w:top w:val="single" w:sz="4" w:space="0" w:color="auto"/>
              <w:left w:val="single" w:sz="6" w:space="0" w:color="auto"/>
              <w:bottom w:val="single" w:sz="4" w:space="0" w:color="auto"/>
              <w:right w:val="single" w:sz="6" w:space="0" w:color="auto"/>
            </w:tcBorders>
            <w:vAlign w:val="center"/>
          </w:tcPr>
          <w:p w14:paraId="15912301" w14:textId="77777777" w:rsidR="00D170E5" w:rsidRPr="002B55E9" w:rsidRDefault="00EF27AD">
            <w:pPr>
              <w:snapToGrid w:val="0"/>
              <w:jc w:val="center"/>
              <w:rPr>
                <w:sz w:val="18"/>
                <w:szCs w:val="18"/>
              </w:rPr>
            </w:pPr>
            <w:r w:rsidRPr="002B55E9">
              <w:rPr>
                <w:rFonts w:hint="eastAsia"/>
                <w:sz w:val="18"/>
                <w:szCs w:val="18"/>
              </w:rPr>
              <w:t>西</w:t>
            </w:r>
          </w:p>
        </w:tc>
        <w:tc>
          <w:tcPr>
            <w:tcW w:w="1638" w:type="dxa"/>
            <w:tcBorders>
              <w:top w:val="single" w:sz="4" w:space="0" w:color="auto"/>
              <w:left w:val="single" w:sz="6" w:space="0" w:color="auto"/>
              <w:bottom w:val="single" w:sz="4" w:space="0" w:color="auto"/>
              <w:right w:val="nil"/>
            </w:tcBorders>
            <w:vAlign w:val="center"/>
          </w:tcPr>
          <w:p w14:paraId="7BF89DCC"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2670</w:t>
            </w:r>
          </w:p>
        </w:tc>
      </w:tr>
      <w:tr w:rsidR="00C60999" w:rsidRPr="002B55E9" w14:paraId="23F7B70C" w14:textId="77777777">
        <w:trPr>
          <w:trHeight w:val="284"/>
        </w:trPr>
        <w:tc>
          <w:tcPr>
            <w:tcW w:w="671" w:type="dxa"/>
            <w:tcBorders>
              <w:top w:val="single" w:sz="4" w:space="0" w:color="auto"/>
              <w:left w:val="nil"/>
              <w:bottom w:val="single" w:sz="4" w:space="0" w:color="auto"/>
              <w:right w:val="single" w:sz="6" w:space="0" w:color="auto"/>
            </w:tcBorders>
            <w:vAlign w:val="center"/>
          </w:tcPr>
          <w:p w14:paraId="77EB8FD7" w14:textId="77777777" w:rsidR="00D170E5" w:rsidRPr="002B55E9" w:rsidRDefault="00EF27AD">
            <w:pPr>
              <w:pStyle w:val="affff6"/>
              <w:snapToGrid w:val="0"/>
              <w:rPr>
                <w:szCs w:val="18"/>
              </w:rPr>
            </w:pPr>
            <w:r w:rsidRPr="002B55E9">
              <w:rPr>
                <w:rFonts w:hint="eastAsia"/>
                <w:szCs w:val="18"/>
              </w:rPr>
              <w:t>53</w:t>
            </w:r>
          </w:p>
        </w:tc>
        <w:tc>
          <w:tcPr>
            <w:tcW w:w="1461" w:type="dxa"/>
            <w:tcBorders>
              <w:top w:val="single" w:sz="4" w:space="0" w:color="auto"/>
              <w:left w:val="single" w:sz="6" w:space="0" w:color="auto"/>
              <w:bottom w:val="single" w:sz="4" w:space="0" w:color="auto"/>
              <w:right w:val="single" w:sz="6" w:space="0" w:color="auto"/>
            </w:tcBorders>
            <w:vAlign w:val="center"/>
          </w:tcPr>
          <w:p w14:paraId="22FA1AC0" w14:textId="77777777" w:rsidR="00D170E5" w:rsidRPr="002B55E9" w:rsidRDefault="00EF27AD">
            <w:pPr>
              <w:snapToGrid w:val="0"/>
              <w:jc w:val="center"/>
              <w:rPr>
                <w:sz w:val="18"/>
                <w:szCs w:val="18"/>
              </w:rPr>
            </w:pPr>
            <w:r w:rsidRPr="002B55E9">
              <w:rPr>
                <w:sz w:val="18"/>
                <w:szCs w:val="18"/>
              </w:rPr>
              <w:t>113.96815386</w:t>
            </w:r>
          </w:p>
        </w:tc>
        <w:tc>
          <w:tcPr>
            <w:tcW w:w="1338" w:type="dxa"/>
            <w:tcBorders>
              <w:top w:val="single" w:sz="4" w:space="0" w:color="auto"/>
              <w:left w:val="single" w:sz="6" w:space="0" w:color="auto"/>
              <w:bottom w:val="single" w:sz="4" w:space="0" w:color="auto"/>
              <w:right w:val="single" w:sz="6" w:space="0" w:color="auto"/>
            </w:tcBorders>
            <w:vAlign w:val="center"/>
          </w:tcPr>
          <w:p w14:paraId="6FE10419" w14:textId="77777777" w:rsidR="00D170E5" w:rsidRPr="002B55E9" w:rsidRDefault="00EF27AD">
            <w:pPr>
              <w:snapToGrid w:val="0"/>
              <w:jc w:val="center"/>
              <w:rPr>
                <w:sz w:val="18"/>
                <w:szCs w:val="18"/>
              </w:rPr>
            </w:pPr>
            <w:r w:rsidRPr="002B55E9">
              <w:rPr>
                <w:sz w:val="18"/>
                <w:szCs w:val="18"/>
              </w:rPr>
              <w:t>30.66401926</w:t>
            </w:r>
          </w:p>
        </w:tc>
        <w:tc>
          <w:tcPr>
            <w:tcW w:w="2197" w:type="dxa"/>
            <w:tcBorders>
              <w:top w:val="single" w:sz="4" w:space="0" w:color="auto"/>
              <w:left w:val="single" w:sz="6" w:space="0" w:color="auto"/>
              <w:bottom w:val="single" w:sz="4" w:space="0" w:color="auto"/>
              <w:right w:val="single" w:sz="6" w:space="0" w:color="auto"/>
            </w:tcBorders>
            <w:vAlign w:val="center"/>
          </w:tcPr>
          <w:p w14:paraId="266736CF" w14:textId="77777777" w:rsidR="00D170E5" w:rsidRPr="002B55E9" w:rsidRDefault="00EF27AD">
            <w:pPr>
              <w:snapToGrid w:val="0"/>
              <w:jc w:val="center"/>
              <w:rPr>
                <w:sz w:val="18"/>
                <w:szCs w:val="18"/>
              </w:rPr>
            </w:pPr>
            <w:r w:rsidRPr="002B55E9">
              <w:rPr>
                <w:rFonts w:hint="eastAsia"/>
                <w:sz w:val="18"/>
                <w:szCs w:val="18"/>
              </w:rPr>
              <w:t>后河岭</w:t>
            </w:r>
          </w:p>
        </w:tc>
        <w:tc>
          <w:tcPr>
            <w:tcW w:w="1166" w:type="dxa"/>
            <w:tcBorders>
              <w:top w:val="single" w:sz="4" w:space="0" w:color="auto"/>
              <w:left w:val="single" w:sz="6" w:space="0" w:color="auto"/>
              <w:bottom w:val="single" w:sz="4" w:space="0" w:color="auto"/>
              <w:right w:val="single" w:sz="6" w:space="0" w:color="auto"/>
            </w:tcBorders>
            <w:vAlign w:val="center"/>
          </w:tcPr>
          <w:p w14:paraId="60AE6343"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80</w:t>
            </w:r>
          </w:p>
        </w:tc>
        <w:tc>
          <w:tcPr>
            <w:tcW w:w="1166" w:type="dxa"/>
            <w:tcBorders>
              <w:top w:val="single" w:sz="4" w:space="0" w:color="auto"/>
              <w:left w:val="single" w:sz="6" w:space="0" w:color="auto"/>
              <w:bottom w:val="single" w:sz="4" w:space="0" w:color="auto"/>
              <w:right w:val="single" w:sz="6" w:space="0" w:color="auto"/>
            </w:tcBorders>
            <w:vAlign w:val="center"/>
          </w:tcPr>
          <w:p w14:paraId="1D22E6CC" w14:textId="77777777" w:rsidR="00D170E5" w:rsidRPr="002B55E9" w:rsidRDefault="00EF27AD">
            <w:pPr>
              <w:snapToGrid w:val="0"/>
              <w:jc w:val="center"/>
              <w:rPr>
                <w:sz w:val="18"/>
                <w:szCs w:val="18"/>
              </w:rP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5EFCD156" w14:textId="2EFD2AA0" w:rsidR="00D170E5" w:rsidRPr="002B55E9" w:rsidRDefault="003F6AD7">
            <w:pPr>
              <w:adjustRightInd w:val="0"/>
              <w:snapToGrid w:val="0"/>
              <w:ind w:leftChars="-50" w:left="-100" w:rightChars="-50" w:right="-100"/>
              <w:jc w:val="center"/>
              <w:rPr>
                <w:sz w:val="18"/>
                <w:szCs w:val="18"/>
              </w:rPr>
            </w:pPr>
            <w:r w:rsidRPr="002B55E9">
              <w:rPr>
                <w:sz w:val="18"/>
                <w:szCs w:val="18"/>
              </w:rPr>
              <w:t>2480</w:t>
            </w:r>
          </w:p>
        </w:tc>
      </w:tr>
      <w:tr w:rsidR="00C60999" w:rsidRPr="002B55E9" w14:paraId="3EC7E4E0" w14:textId="77777777">
        <w:trPr>
          <w:trHeight w:val="284"/>
        </w:trPr>
        <w:tc>
          <w:tcPr>
            <w:tcW w:w="671" w:type="dxa"/>
            <w:tcBorders>
              <w:top w:val="single" w:sz="4" w:space="0" w:color="auto"/>
              <w:left w:val="nil"/>
              <w:bottom w:val="single" w:sz="4" w:space="0" w:color="auto"/>
              <w:right w:val="single" w:sz="6" w:space="0" w:color="auto"/>
            </w:tcBorders>
            <w:vAlign w:val="center"/>
          </w:tcPr>
          <w:p w14:paraId="713602ED" w14:textId="77777777" w:rsidR="00D170E5" w:rsidRPr="002B55E9" w:rsidRDefault="00EF27AD">
            <w:pPr>
              <w:pStyle w:val="affff6"/>
              <w:snapToGrid w:val="0"/>
              <w:rPr>
                <w:szCs w:val="18"/>
              </w:rPr>
            </w:pPr>
            <w:r w:rsidRPr="002B55E9">
              <w:rPr>
                <w:rFonts w:hint="eastAsia"/>
                <w:szCs w:val="18"/>
              </w:rPr>
              <w:t>54</w:t>
            </w:r>
          </w:p>
        </w:tc>
        <w:tc>
          <w:tcPr>
            <w:tcW w:w="1461" w:type="dxa"/>
            <w:tcBorders>
              <w:top w:val="single" w:sz="4" w:space="0" w:color="auto"/>
              <w:left w:val="single" w:sz="6" w:space="0" w:color="auto"/>
              <w:bottom w:val="single" w:sz="4" w:space="0" w:color="auto"/>
              <w:right w:val="single" w:sz="6" w:space="0" w:color="auto"/>
            </w:tcBorders>
            <w:vAlign w:val="center"/>
          </w:tcPr>
          <w:p w14:paraId="401B2772" w14:textId="77777777" w:rsidR="00D170E5" w:rsidRPr="002B55E9" w:rsidRDefault="00EF27AD">
            <w:pPr>
              <w:snapToGrid w:val="0"/>
              <w:jc w:val="center"/>
              <w:rPr>
                <w:sz w:val="18"/>
                <w:szCs w:val="18"/>
              </w:rPr>
            </w:pPr>
            <w:r w:rsidRPr="002B55E9">
              <w:rPr>
                <w:sz w:val="18"/>
                <w:szCs w:val="18"/>
              </w:rPr>
              <w:t>113.96152496</w:t>
            </w:r>
          </w:p>
        </w:tc>
        <w:tc>
          <w:tcPr>
            <w:tcW w:w="1338" w:type="dxa"/>
            <w:tcBorders>
              <w:top w:val="single" w:sz="4" w:space="0" w:color="auto"/>
              <w:left w:val="single" w:sz="6" w:space="0" w:color="auto"/>
              <w:bottom w:val="single" w:sz="4" w:space="0" w:color="auto"/>
              <w:right w:val="single" w:sz="6" w:space="0" w:color="auto"/>
            </w:tcBorders>
            <w:vAlign w:val="center"/>
          </w:tcPr>
          <w:p w14:paraId="6CC5293D" w14:textId="77777777" w:rsidR="00D170E5" w:rsidRPr="002B55E9" w:rsidRDefault="00EF27AD">
            <w:pPr>
              <w:snapToGrid w:val="0"/>
              <w:jc w:val="center"/>
              <w:rPr>
                <w:sz w:val="18"/>
                <w:szCs w:val="18"/>
              </w:rPr>
            </w:pPr>
            <w:r w:rsidRPr="002B55E9">
              <w:rPr>
                <w:sz w:val="18"/>
                <w:szCs w:val="18"/>
              </w:rPr>
              <w:t>30.65958433</w:t>
            </w:r>
          </w:p>
        </w:tc>
        <w:tc>
          <w:tcPr>
            <w:tcW w:w="2197" w:type="dxa"/>
            <w:tcBorders>
              <w:top w:val="single" w:sz="4" w:space="0" w:color="auto"/>
              <w:left w:val="single" w:sz="6" w:space="0" w:color="auto"/>
              <w:bottom w:val="single" w:sz="4" w:space="0" w:color="auto"/>
              <w:right w:val="single" w:sz="6" w:space="0" w:color="auto"/>
            </w:tcBorders>
            <w:vAlign w:val="center"/>
          </w:tcPr>
          <w:p w14:paraId="62CBE76B" w14:textId="77777777" w:rsidR="00D170E5" w:rsidRPr="002B55E9" w:rsidRDefault="00EF27AD">
            <w:pPr>
              <w:snapToGrid w:val="0"/>
              <w:jc w:val="center"/>
              <w:rPr>
                <w:sz w:val="18"/>
                <w:szCs w:val="18"/>
              </w:rPr>
            </w:pPr>
            <w:r w:rsidRPr="002B55E9">
              <w:rPr>
                <w:rFonts w:hint="eastAsia"/>
                <w:sz w:val="18"/>
                <w:szCs w:val="18"/>
              </w:rPr>
              <w:t>陈</w:t>
            </w:r>
            <w:r w:rsidRPr="002B55E9">
              <w:rPr>
                <w:sz w:val="18"/>
                <w:szCs w:val="18"/>
              </w:rPr>
              <w:t>家台</w:t>
            </w:r>
          </w:p>
        </w:tc>
        <w:tc>
          <w:tcPr>
            <w:tcW w:w="1166" w:type="dxa"/>
            <w:tcBorders>
              <w:top w:val="single" w:sz="4" w:space="0" w:color="auto"/>
              <w:left w:val="single" w:sz="6" w:space="0" w:color="auto"/>
              <w:bottom w:val="single" w:sz="4" w:space="0" w:color="auto"/>
              <w:right w:val="single" w:sz="6" w:space="0" w:color="auto"/>
            </w:tcBorders>
            <w:vAlign w:val="center"/>
          </w:tcPr>
          <w:p w14:paraId="4379E131"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vAlign w:val="center"/>
          </w:tcPr>
          <w:p w14:paraId="35C0EF2A" w14:textId="77777777" w:rsidR="00D170E5" w:rsidRPr="002B55E9" w:rsidRDefault="00EF27AD">
            <w:pPr>
              <w:snapToGrid w:val="0"/>
              <w:jc w:val="center"/>
              <w:rPr>
                <w:sz w:val="18"/>
                <w:szCs w:val="18"/>
              </w:rP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45A3FA58"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3360</w:t>
            </w:r>
          </w:p>
        </w:tc>
      </w:tr>
      <w:tr w:rsidR="00C60999" w:rsidRPr="002B55E9" w14:paraId="0B1806E4" w14:textId="77777777">
        <w:trPr>
          <w:trHeight w:val="284"/>
        </w:trPr>
        <w:tc>
          <w:tcPr>
            <w:tcW w:w="671" w:type="dxa"/>
            <w:tcBorders>
              <w:top w:val="single" w:sz="4" w:space="0" w:color="auto"/>
              <w:left w:val="nil"/>
              <w:bottom w:val="single" w:sz="4" w:space="0" w:color="auto"/>
              <w:right w:val="single" w:sz="6" w:space="0" w:color="auto"/>
            </w:tcBorders>
            <w:vAlign w:val="center"/>
          </w:tcPr>
          <w:p w14:paraId="15A4363A" w14:textId="77777777" w:rsidR="00D170E5" w:rsidRPr="002B55E9" w:rsidRDefault="00EF27AD">
            <w:pPr>
              <w:pStyle w:val="affff6"/>
              <w:snapToGrid w:val="0"/>
              <w:rPr>
                <w:szCs w:val="18"/>
              </w:rPr>
            </w:pPr>
            <w:r w:rsidRPr="002B55E9">
              <w:rPr>
                <w:rFonts w:hint="eastAsia"/>
                <w:szCs w:val="18"/>
              </w:rPr>
              <w:t>55</w:t>
            </w:r>
          </w:p>
        </w:tc>
        <w:tc>
          <w:tcPr>
            <w:tcW w:w="1461" w:type="dxa"/>
            <w:tcBorders>
              <w:top w:val="single" w:sz="4" w:space="0" w:color="auto"/>
              <w:left w:val="single" w:sz="6" w:space="0" w:color="auto"/>
              <w:bottom w:val="single" w:sz="4" w:space="0" w:color="auto"/>
              <w:right w:val="single" w:sz="6" w:space="0" w:color="auto"/>
            </w:tcBorders>
            <w:vAlign w:val="center"/>
          </w:tcPr>
          <w:p w14:paraId="57C1022C" w14:textId="77777777" w:rsidR="00D170E5" w:rsidRPr="002B55E9" w:rsidRDefault="00EF27AD">
            <w:pPr>
              <w:snapToGrid w:val="0"/>
              <w:jc w:val="center"/>
              <w:rPr>
                <w:sz w:val="18"/>
                <w:szCs w:val="18"/>
              </w:rPr>
            </w:pPr>
            <w:r w:rsidRPr="002B55E9">
              <w:rPr>
                <w:sz w:val="18"/>
                <w:szCs w:val="18"/>
              </w:rPr>
              <w:t>113.96594524</w:t>
            </w:r>
          </w:p>
        </w:tc>
        <w:tc>
          <w:tcPr>
            <w:tcW w:w="1338" w:type="dxa"/>
            <w:tcBorders>
              <w:top w:val="single" w:sz="4" w:space="0" w:color="auto"/>
              <w:left w:val="single" w:sz="6" w:space="0" w:color="auto"/>
              <w:bottom w:val="single" w:sz="4" w:space="0" w:color="auto"/>
              <w:right w:val="single" w:sz="6" w:space="0" w:color="auto"/>
            </w:tcBorders>
            <w:vAlign w:val="center"/>
          </w:tcPr>
          <w:p w14:paraId="227D272E" w14:textId="77777777" w:rsidR="00D170E5" w:rsidRPr="002B55E9" w:rsidRDefault="00EF27AD">
            <w:pPr>
              <w:snapToGrid w:val="0"/>
              <w:jc w:val="center"/>
              <w:rPr>
                <w:sz w:val="18"/>
                <w:szCs w:val="18"/>
              </w:rPr>
            </w:pPr>
            <w:r w:rsidRPr="002B55E9">
              <w:rPr>
                <w:sz w:val="18"/>
                <w:szCs w:val="18"/>
              </w:rPr>
              <w:t>30.65729549</w:t>
            </w:r>
          </w:p>
        </w:tc>
        <w:tc>
          <w:tcPr>
            <w:tcW w:w="2197" w:type="dxa"/>
            <w:tcBorders>
              <w:top w:val="single" w:sz="4" w:space="0" w:color="auto"/>
              <w:left w:val="single" w:sz="6" w:space="0" w:color="auto"/>
              <w:bottom w:val="single" w:sz="4" w:space="0" w:color="auto"/>
              <w:right w:val="single" w:sz="6" w:space="0" w:color="auto"/>
            </w:tcBorders>
            <w:vAlign w:val="center"/>
          </w:tcPr>
          <w:p w14:paraId="3654D758" w14:textId="77777777" w:rsidR="00D170E5" w:rsidRPr="002B55E9" w:rsidRDefault="00EF27AD">
            <w:pPr>
              <w:snapToGrid w:val="0"/>
              <w:jc w:val="center"/>
              <w:rPr>
                <w:sz w:val="18"/>
                <w:szCs w:val="18"/>
              </w:rPr>
            </w:pPr>
            <w:r w:rsidRPr="002B55E9">
              <w:rPr>
                <w:rFonts w:hint="eastAsia"/>
                <w:sz w:val="18"/>
                <w:szCs w:val="18"/>
              </w:rPr>
              <w:t>复原</w:t>
            </w:r>
            <w:r w:rsidRPr="002B55E9">
              <w:rPr>
                <w:sz w:val="18"/>
                <w:szCs w:val="18"/>
              </w:rPr>
              <w:t>村</w:t>
            </w:r>
          </w:p>
        </w:tc>
        <w:tc>
          <w:tcPr>
            <w:tcW w:w="1166" w:type="dxa"/>
            <w:tcBorders>
              <w:top w:val="single" w:sz="4" w:space="0" w:color="auto"/>
              <w:left w:val="single" w:sz="6" w:space="0" w:color="auto"/>
              <w:bottom w:val="single" w:sz="4" w:space="0" w:color="auto"/>
              <w:right w:val="single" w:sz="6" w:space="0" w:color="auto"/>
            </w:tcBorders>
            <w:vAlign w:val="center"/>
          </w:tcPr>
          <w:p w14:paraId="6FD61751"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50</w:t>
            </w:r>
          </w:p>
        </w:tc>
        <w:tc>
          <w:tcPr>
            <w:tcW w:w="1166" w:type="dxa"/>
            <w:tcBorders>
              <w:top w:val="single" w:sz="4" w:space="0" w:color="auto"/>
              <w:left w:val="single" w:sz="6" w:space="0" w:color="auto"/>
              <w:bottom w:val="single" w:sz="4" w:space="0" w:color="auto"/>
              <w:right w:val="single" w:sz="6" w:space="0" w:color="auto"/>
            </w:tcBorders>
          </w:tcPr>
          <w:p w14:paraId="03498227"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3612D23C" w14:textId="365A434B" w:rsidR="00D170E5" w:rsidRPr="002B55E9" w:rsidRDefault="003F6AD7">
            <w:pPr>
              <w:adjustRightInd w:val="0"/>
              <w:snapToGrid w:val="0"/>
              <w:ind w:leftChars="-50" w:left="-100" w:rightChars="-50" w:right="-100"/>
              <w:jc w:val="center"/>
              <w:rPr>
                <w:sz w:val="18"/>
                <w:szCs w:val="18"/>
              </w:rPr>
            </w:pPr>
            <w:r w:rsidRPr="002B55E9">
              <w:rPr>
                <w:sz w:val="18"/>
                <w:szCs w:val="18"/>
              </w:rPr>
              <w:t>2960</w:t>
            </w:r>
          </w:p>
        </w:tc>
      </w:tr>
      <w:tr w:rsidR="00C60999" w:rsidRPr="002B55E9" w14:paraId="3D845D81" w14:textId="77777777">
        <w:trPr>
          <w:trHeight w:val="284"/>
        </w:trPr>
        <w:tc>
          <w:tcPr>
            <w:tcW w:w="671" w:type="dxa"/>
            <w:tcBorders>
              <w:top w:val="single" w:sz="4" w:space="0" w:color="auto"/>
              <w:left w:val="nil"/>
              <w:bottom w:val="single" w:sz="4" w:space="0" w:color="auto"/>
              <w:right w:val="single" w:sz="6" w:space="0" w:color="auto"/>
            </w:tcBorders>
            <w:vAlign w:val="center"/>
          </w:tcPr>
          <w:p w14:paraId="33CD210F" w14:textId="77777777" w:rsidR="00D170E5" w:rsidRPr="002B55E9" w:rsidRDefault="00EF27AD">
            <w:pPr>
              <w:pStyle w:val="affff6"/>
              <w:snapToGrid w:val="0"/>
              <w:rPr>
                <w:szCs w:val="18"/>
              </w:rPr>
            </w:pPr>
            <w:r w:rsidRPr="002B55E9">
              <w:rPr>
                <w:rFonts w:hint="eastAsia"/>
                <w:szCs w:val="18"/>
              </w:rPr>
              <w:t>56</w:t>
            </w:r>
          </w:p>
        </w:tc>
        <w:tc>
          <w:tcPr>
            <w:tcW w:w="1461" w:type="dxa"/>
            <w:tcBorders>
              <w:top w:val="single" w:sz="4" w:space="0" w:color="auto"/>
              <w:left w:val="single" w:sz="6" w:space="0" w:color="auto"/>
              <w:bottom w:val="single" w:sz="4" w:space="0" w:color="auto"/>
              <w:right w:val="single" w:sz="6" w:space="0" w:color="auto"/>
            </w:tcBorders>
            <w:vAlign w:val="center"/>
          </w:tcPr>
          <w:p w14:paraId="5F7A1A2F" w14:textId="77777777" w:rsidR="00D170E5" w:rsidRPr="002B55E9" w:rsidRDefault="00EF27AD">
            <w:pPr>
              <w:snapToGrid w:val="0"/>
              <w:jc w:val="center"/>
              <w:rPr>
                <w:sz w:val="18"/>
                <w:szCs w:val="18"/>
              </w:rPr>
            </w:pPr>
            <w:r w:rsidRPr="002B55E9">
              <w:rPr>
                <w:sz w:val="18"/>
                <w:szCs w:val="18"/>
              </w:rPr>
              <w:t>113.95963669</w:t>
            </w:r>
          </w:p>
        </w:tc>
        <w:tc>
          <w:tcPr>
            <w:tcW w:w="1338" w:type="dxa"/>
            <w:tcBorders>
              <w:top w:val="single" w:sz="4" w:space="0" w:color="auto"/>
              <w:left w:val="single" w:sz="6" w:space="0" w:color="auto"/>
              <w:bottom w:val="single" w:sz="4" w:space="0" w:color="auto"/>
              <w:right w:val="single" w:sz="6" w:space="0" w:color="auto"/>
            </w:tcBorders>
            <w:vAlign w:val="center"/>
          </w:tcPr>
          <w:p w14:paraId="6A4B5FD4" w14:textId="77777777" w:rsidR="00D170E5" w:rsidRPr="002B55E9" w:rsidRDefault="00EF27AD">
            <w:pPr>
              <w:snapToGrid w:val="0"/>
              <w:jc w:val="center"/>
              <w:rPr>
                <w:sz w:val="18"/>
                <w:szCs w:val="18"/>
              </w:rPr>
            </w:pPr>
            <w:r w:rsidRPr="002B55E9">
              <w:rPr>
                <w:sz w:val="18"/>
                <w:szCs w:val="18"/>
              </w:rPr>
              <w:t>30.65496968</w:t>
            </w:r>
          </w:p>
        </w:tc>
        <w:tc>
          <w:tcPr>
            <w:tcW w:w="2197" w:type="dxa"/>
            <w:tcBorders>
              <w:top w:val="single" w:sz="4" w:space="0" w:color="auto"/>
              <w:left w:val="single" w:sz="6" w:space="0" w:color="auto"/>
              <w:bottom w:val="single" w:sz="4" w:space="0" w:color="auto"/>
              <w:right w:val="single" w:sz="6" w:space="0" w:color="auto"/>
            </w:tcBorders>
            <w:vAlign w:val="center"/>
          </w:tcPr>
          <w:p w14:paraId="68A8314A" w14:textId="77777777" w:rsidR="00D170E5" w:rsidRPr="002B55E9" w:rsidRDefault="00EF27AD">
            <w:pPr>
              <w:snapToGrid w:val="0"/>
              <w:jc w:val="center"/>
              <w:rPr>
                <w:sz w:val="18"/>
                <w:szCs w:val="18"/>
              </w:rPr>
            </w:pPr>
            <w:r w:rsidRPr="002B55E9">
              <w:rPr>
                <w:rFonts w:hint="eastAsia"/>
                <w:sz w:val="18"/>
                <w:szCs w:val="18"/>
              </w:rPr>
              <w:t>彭家店</w:t>
            </w:r>
          </w:p>
        </w:tc>
        <w:tc>
          <w:tcPr>
            <w:tcW w:w="1166" w:type="dxa"/>
            <w:tcBorders>
              <w:top w:val="single" w:sz="4" w:space="0" w:color="auto"/>
              <w:left w:val="single" w:sz="6" w:space="0" w:color="auto"/>
              <w:bottom w:val="single" w:sz="4" w:space="0" w:color="auto"/>
              <w:right w:val="single" w:sz="6" w:space="0" w:color="auto"/>
            </w:tcBorders>
            <w:vAlign w:val="center"/>
          </w:tcPr>
          <w:p w14:paraId="1777C598"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50</w:t>
            </w:r>
          </w:p>
        </w:tc>
        <w:tc>
          <w:tcPr>
            <w:tcW w:w="1166" w:type="dxa"/>
            <w:tcBorders>
              <w:top w:val="single" w:sz="4" w:space="0" w:color="auto"/>
              <w:left w:val="single" w:sz="6" w:space="0" w:color="auto"/>
              <w:bottom w:val="single" w:sz="4" w:space="0" w:color="auto"/>
              <w:right w:val="single" w:sz="6" w:space="0" w:color="auto"/>
            </w:tcBorders>
          </w:tcPr>
          <w:p w14:paraId="68E4064C"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0ED286A7"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3880</w:t>
            </w:r>
          </w:p>
        </w:tc>
      </w:tr>
      <w:tr w:rsidR="00C60999" w:rsidRPr="002B55E9" w14:paraId="043E408E" w14:textId="77777777">
        <w:trPr>
          <w:trHeight w:val="284"/>
        </w:trPr>
        <w:tc>
          <w:tcPr>
            <w:tcW w:w="671" w:type="dxa"/>
            <w:tcBorders>
              <w:top w:val="single" w:sz="4" w:space="0" w:color="auto"/>
              <w:left w:val="nil"/>
              <w:bottom w:val="single" w:sz="4" w:space="0" w:color="auto"/>
              <w:right w:val="single" w:sz="6" w:space="0" w:color="auto"/>
            </w:tcBorders>
            <w:vAlign w:val="center"/>
          </w:tcPr>
          <w:p w14:paraId="1A03F77B" w14:textId="77777777" w:rsidR="00D170E5" w:rsidRPr="002B55E9" w:rsidRDefault="00EF27AD">
            <w:pPr>
              <w:pStyle w:val="affff6"/>
              <w:snapToGrid w:val="0"/>
              <w:rPr>
                <w:szCs w:val="18"/>
              </w:rPr>
            </w:pPr>
            <w:r w:rsidRPr="002B55E9">
              <w:rPr>
                <w:rFonts w:hint="eastAsia"/>
                <w:szCs w:val="18"/>
              </w:rPr>
              <w:t>57</w:t>
            </w:r>
          </w:p>
        </w:tc>
        <w:tc>
          <w:tcPr>
            <w:tcW w:w="1461" w:type="dxa"/>
            <w:tcBorders>
              <w:top w:val="single" w:sz="4" w:space="0" w:color="auto"/>
              <w:left w:val="single" w:sz="6" w:space="0" w:color="auto"/>
              <w:bottom w:val="single" w:sz="4" w:space="0" w:color="auto"/>
              <w:right w:val="single" w:sz="6" w:space="0" w:color="auto"/>
            </w:tcBorders>
            <w:vAlign w:val="center"/>
          </w:tcPr>
          <w:p w14:paraId="2539E674" w14:textId="77777777" w:rsidR="00D170E5" w:rsidRPr="002B55E9" w:rsidRDefault="00EF27AD">
            <w:pPr>
              <w:snapToGrid w:val="0"/>
              <w:jc w:val="center"/>
              <w:rPr>
                <w:sz w:val="18"/>
                <w:szCs w:val="18"/>
              </w:rPr>
            </w:pPr>
            <w:r w:rsidRPr="002B55E9">
              <w:rPr>
                <w:sz w:val="18"/>
                <w:szCs w:val="18"/>
              </w:rPr>
              <w:t>113.95590305</w:t>
            </w:r>
          </w:p>
        </w:tc>
        <w:tc>
          <w:tcPr>
            <w:tcW w:w="1338" w:type="dxa"/>
            <w:tcBorders>
              <w:top w:val="single" w:sz="4" w:space="0" w:color="auto"/>
              <w:left w:val="single" w:sz="6" w:space="0" w:color="auto"/>
              <w:bottom w:val="single" w:sz="4" w:space="0" w:color="auto"/>
              <w:right w:val="single" w:sz="6" w:space="0" w:color="auto"/>
            </w:tcBorders>
            <w:vAlign w:val="center"/>
          </w:tcPr>
          <w:p w14:paraId="394AAF88" w14:textId="77777777" w:rsidR="00D170E5" w:rsidRPr="002B55E9" w:rsidRDefault="00EF27AD">
            <w:pPr>
              <w:snapToGrid w:val="0"/>
              <w:jc w:val="center"/>
              <w:rPr>
                <w:sz w:val="18"/>
                <w:szCs w:val="18"/>
              </w:rPr>
            </w:pPr>
            <w:r w:rsidRPr="002B55E9">
              <w:rPr>
                <w:sz w:val="18"/>
                <w:szCs w:val="18"/>
              </w:rPr>
              <w:t>30.65578187</w:t>
            </w:r>
          </w:p>
        </w:tc>
        <w:tc>
          <w:tcPr>
            <w:tcW w:w="2197" w:type="dxa"/>
            <w:tcBorders>
              <w:top w:val="single" w:sz="4" w:space="0" w:color="auto"/>
              <w:left w:val="single" w:sz="6" w:space="0" w:color="auto"/>
              <w:bottom w:val="single" w:sz="4" w:space="0" w:color="auto"/>
              <w:right w:val="single" w:sz="6" w:space="0" w:color="auto"/>
            </w:tcBorders>
            <w:vAlign w:val="center"/>
          </w:tcPr>
          <w:p w14:paraId="013CC183" w14:textId="77777777" w:rsidR="00D170E5" w:rsidRPr="002B55E9" w:rsidRDefault="00EF27AD">
            <w:pPr>
              <w:snapToGrid w:val="0"/>
              <w:jc w:val="center"/>
              <w:rPr>
                <w:sz w:val="18"/>
                <w:szCs w:val="18"/>
              </w:rPr>
            </w:pPr>
            <w:r w:rsidRPr="002B55E9">
              <w:rPr>
                <w:rFonts w:hint="eastAsia"/>
                <w:sz w:val="18"/>
                <w:szCs w:val="18"/>
              </w:rPr>
              <w:t>尹</w:t>
            </w:r>
            <w:r w:rsidRPr="002B55E9">
              <w:rPr>
                <w:sz w:val="18"/>
                <w:szCs w:val="18"/>
              </w:rPr>
              <w:t>家台</w:t>
            </w:r>
          </w:p>
        </w:tc>
        <w:tc>
          <w:tcPr>
            <w:tcW w:w="1166" w:type="dxa"/>
            <w:tcBorders>
              <w:top w:val="single" w:sz="4" w:space="0" w:color="auto"/>
              <w:left w:val="single" w:sz="6" w:space="0" w:color="auto"/>
              <w:bottom w:val="single" w:sz="4" w:space="0" w:color="auto"/>
              <w:right w:val="single" w:sz="6" w:space="0" w:color="auto"/>
            </w:tcBorders>
            <w:vAlign w:val="center"/>
          </w:tcPr>
          <w:p w14:paraId="12D86E8C"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30</w:t>
            </w:r>
          </w:p>
        </w:tc>
        <w:tc>
          <w:tcPr>
            <w:tcW w:w="1166" w:type="dxa"/>
            <w:tcBorders>
              <w:top w:val="single" w:sz="4" w:space="0" w:color="auto"/>
              <w:left w:val="single" w:sz="6" w:space="0" w:color="auto"/>
              <w:bottom w:val="single" w:sz="4" w:space="0" w:color="auto"/>
              <w:right w:val="single" w:sz="6" w:space="0" w:color="auto"/>
            </w:tcBorders>
          </w:tcPr>
          <w:p w14:paraId="1415ADEE"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1EBE43DD"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4110</w:t>
            </w:r>
          </w:p>
        </w:tc>
      </w:tr>
      <w:tr w:rsidR="00C60999" w:rsidRPr="002B55E9" w14:paraId="2FBC1153" w14:textId="77777777">
        <w:trPr>
          <w:trHeight w:val="284"/>
        </w:trPr>
        <w:tc>
          <w:tcPr>
            <w:tcW w:w="671" w:type="dxa"/>
            <w:tcBorders>
              <w:top w:val="single" w:sz="4" w:space="0" w:color="auto"/>
              <w:left w:val="nil"/>
              <w:bottom w:val="single" w:sz="4" w:space="0" w:color="auto"/>
              <w:right w:val="single" w:sz="6" w:space="0" w:color="auto"/>
            </w:tcBorders>
            <w:vAlign w:val="center"/>
          </w:tcPr>
          <w:p w14:paraId="633F3973" w14:textId="77777777" w:rsidR="00D170E5" w:rsidRPr="002B55E9" w:rsidRDefault="00EF27AD">
            <w:pPr>
              <w:pStyle w:val="affff6"/>
              <w:snapToGrid w:val="0"/>
              <w:rPr>
                <w:szCs w:val="18"/>
              </w:rPr>
            </w:pPr>
            <w:r w:rsidRPr="002B55E9">
              <w:rPr>
                <w:rFonts w:hint="eastAsia"/>
                <w:szCs w:val="18"/>
              </w:rPr>
              <w:t>58</w:t>
            </w:r>
          </w:p>
        </w:tc>
        <w:tc>
          <w:tcPr>
            <w:tcW w:w="1461" w:type="dxa"/>
            <w:tcBorders>
              <w:top w:val="single" w:sz="4" w:space="0" w:color="auto"/>
              <w:left w:val="single" w:sz="6" w:space="0" w:color="auto"/>
              <w:bottom w:val="single" w:sz="4" w:space="0" w:color="auto"/>
              <w:right w:val="single" w:sz="6" w:space="0" w:color="auto"/>
            </w:tcBorders>
            <w:vAlign w:val="center"/>
          </w:tcPr>
          <w:p w14:paraId="0B8BD945" w14:textId="77777777" w:rsidR="00D170E5" w:rsidRPr="002B55E9" w:rsidRDefault="00EF27AD">
            <w:pPr>
              <w:snapToGrid w:val="0"/>
              <w:jc w:val="center"/>
              <w:rPr>
                <w:sz w:val="18"/>
                <w:szCs w:val="18"/>
              </w:rPr>
            </w:pPr>
            <w:r w:rsidRPr="002B55E9">
              <w:rPr>
                <w:sz w:val="18"/>
                <w:szCs w:val="18"/>
              </w:rPr>
              <w:t>113.96143913</w:t>
            </w:r>
          </w:p>
        </w:tc>
        <w:tc>
          <w:tcPr>
            <w:tcW w:w="1338" w:type="dxa"/>
            <w:tcBorders>
              <w:top w:val="single" w:sz="4" w:space="0" w:color="auto"/>
              <w:left w:val="single" w:sz="6" w:space="0" w:color="auto"/>
              <w:bottom w:val="single" w:sz="4" w:space="0" w:color="auto"/>
              <w:right w:val="single" w:sz="6" w:space="0" w:color="auto"/>
            </w:tcBorders>
            <w:vAlign w:val="center"/>
          </w:tcPr>
          <w:p w14:paraId="0F1AD7D4" w14:textId="77777777" w:rsidR="00D170E5" w:rsidRPr="002B55E9" w:rsidRDefault="00EF27AD">
            <w:pPr>
              <w:snapToGrid w:val="0"/>
              <w:jc w:val="center"/>
              <w:rPr>
                <w:sz w:val="18"/>
                <w:szCs w:val="18"/>
              </w:rPr>
            </w:pPr>
            <w:r w:rsidRPr="002B55E9">
              <w:rPr>
                <w:sz w:val="18"/>
                <w:szCs w:val="18"/>
              </w:rPr>
              <w:t>30.64810267</w:t>
            </w:r>
          </w:p>
        </w:tc>
        <w:tc>
          <w:tcPr>
            <w:tcW w:w="2197" w:type="dxa"/>
            <w:tcBorders>
              <w:top w:val="single" w:sz="4" w:space="0" w:color="auto"/>
              <w:left w:val="single" w:sz="6" w:space="0" w:color="auto"/>
              <w:bottom w:val="single" w:sz="4" w:space="0" w:color="auto"/>
              <w:right w:val="single" w:sz="6" w:space="0" w:color="auto"/>
            </w:tcBorders>
            <w:vAlign w:val="center"/>
          </w:tcPr>
          <w:p w14:paraId="13D6967E" w14:textId="77777777" w:rsidR="00D170E5" w:rsidRPr="002B55E9" w:rsidRDefault="00EF27AD">
            <w:pPr>
              <w:snapToGrid w:val="0"/>
              <w:jc w:val="center"/>
              <w:rPr>
                <w:sz w:val="18"/>
                <w:szCs w:val="18"/>
              </w:rPr>
            </w:pPr>
            <w:r w:rsidRPr="002B55E9">
              <w:rPr>
                <w:rFonts w:hint="eastAsia"/>
                <w:sz w:val="18"/>
                <w:szCs w:val="18"/>
              </w:rPr>
              <w:t>黄</w:t>
            </w:r>
            <w:r w:rsidRPr="002B55E9">
              <w:rPr>
                <w:sz w:val="18"/>
                <w:szCs w:val="18"/>
              </w:rPr>
              <w:t>家台</w:t>
            </w:r>
          </w:p>
        </w:tc>
        <w:tc>
          <w:tcPr>
            <w:tcW w:w="1166" w:type="dxa"/>
            <w:tcBorders>
              <w:top w:val="single" w:sz="4" w:space="0" w:color="auto"/>
              <w:left w:val="single" w:sz="6" w:space="0" w:color="auto"/>
              <w:bottom w:val="single" w:sz="4" w:space="0" w:color="auto"/>
              <w:right w:val="single" w:sz="6" w:space="0" w:color="auto"/>
            </w:tcBorders>
            <w:vAlign w:val="center"/>
          </w:tcPr>
          <w:p w14:paraId="2A581546" w14:textId="77777777" w:rsidR="00D170E5" w:rsidRPr="002B55E9" w:rsidRDefault="00EF27AD">
            <w:pPr>
              <w:snapToGrid w:val="0"/>
              <w:jc w:val="center"/>
              <w:rPr>
                <w:sz w:val="18"/>
                <w:szCs w:val="18"/>
              </w:rPr>
            </w:pPr>
            <w:r w:rsidRPr="002B55E9">
              <w:rPr>
                <w:rFonts w:hint="eastAsia"/>
                <w:sz w:val="18"/>
                <w:szCs w:val="18"/>
              </w:rPr>
              <w:t>1</w:t>
            </w:r>
            <w:r w:rsidRPr="002B55E9">
              <w:rPr>
                <w:sz w:val="18"/>
                <w:szCs w:val="18"/>
              </w:rPr>
              <w:t>50</w:t>
            </w:r>
          </w:p>
        </w:tc>
        <w:tc>
          <w:tcPr>
            <w:tcW w:w="1166" w:type="dxa"/>
            <w:tcBorders>
              <w:top w:val="single" w:sz="4" w:space="0" w:color="auto"/>
              <w:left w:val="single" w:sz="6" w:space="0" w:color="auto"/>
              <w:bottom w:val="single" w:sz="4" w:space="0" w:color="auto"/>
              <w:right w:val="single" w:sz="6" w:space="0" w:color="auto"/>
            </w:tcBorders>
          </w:tcPr>
          <w:p w14:paraId="1034EC6F"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595F152C"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4180</w:t>
            </w:r>
          </w:p>
        </w:tc>
      </w:tr>
      <w:tr w:rsidR="00C60999" w:rsidRPr="002B55E9" w14:paraId="544DAF2B" w14:textId="77777777">
        <w:trPr>
          <w:trHeight w:val="284"/>
        </w:trPr>
        <w:tc>
          <w:tcPr>
            <w:tcW w:w="671" w:type="dxa"/>
            <w:tcBorders>
              <w:top w:val="single" w:sz="4" w:space="0" w:color="auto"/>
              <w:left w:val="nil"/>
              <w:bottom w:val="single" w:sz="4" w:space="0" w:color="auto"/>
              <w:right w:val="single" w:sz="6" w:space="0" w:color="auto"/>
            </w:tcBorders>
            <w:vAlign w:val="center"/>
          </w:tcPr>
          <w:p w14:paraId="5CF17CE9" w14:textId="77777777" w:rsidR="00D170E5" w:rsidRPr="002B55E9" w:rsidRDefault="00EF27AD">
            <w:pPr>
              <w:pStyle w:val="affff6"/>
              <w:snapToGrid w:val="0"/>
              <w:rPr>
                <w:szCs w:val="18"/>
              </w:rPr>
            </w:pPr>
            <w:r w:rsidRPr="002B55E9">
              <w:rPr>
                <w:rFonts w:hint="eastAsia"/>
                <w:szCs w:val="18"/>
              </w:rPr>
              <w:t>59</w:t>
            </w:r>
          </w:p>
        </w:tc>
        <w:tc>
          <w:tcPr>
            <w:tcW w:w="1461" w:type="dxa"/>
            <w:tcBorders>
              <w:top w:val="single" w:sz="4" w:space="0" w:color="auto"/>
              <w:left w:val="single" w:sz="6" w:space="0" w:color="auto"/>
              <w:bottom w:val="single" w:sz="4" w:space="0" w:color="auto"/>
              <w:right w:val="single" w:sz="6" w:space="0" w:color="auto"/>
            </w:tcBorders>
            <w:vAlign w:val="center"/>
          </w:tcPr>
          <w:p w14:paraId="3751D5BB" w14:textId="77777777" w:rsidR="00D170E5" w:rsidRPr="002B55E9" w:rsidRDefault="00EF27AD">
            <w:pPr>
              <w:snapToGrid w:val="0"/>
              <w:jc w:val="center"/>
              <w:rPr>
                <w:sz w:val="18"/>
                <w:szCs w:val="18"/>
              </w:rPr>
            </w:pPr>
            <w:r w:rsidRPr="002B55E9">
              <w:rPr>
                <w:sz w:val="18"/>
                <w:szCs w:val="18"/>
              </w:rPr>
              <w:t>113.96955013</w:t>
            </w:r>
          </w:p>
        </w:tc>
        <w:tc>
          <w:tcPr>
            <w:tcW w:w="1338" w:type="dxa"/>
            <w:tcBorders>
              <w:top w:val="single" w:sz="4" w:space="0" w:color="auto"/>
              <w:left w:val="single" w:sz="6" w:space="0" w:color="auto"/>
              <w:bottom w:val="single" w:sz="4" w:space="0" w:color="auto"/>
              <w:right w:val="single" w:sz="6" w:space="0" w:color="auto"/>
            </w:tcBorders>
            <w:vAlign w:val="center"/>
          </w:tcPr>
          <w:p w14:paraId="59812DAA" w14:textId="77777777" w:rsidR="00D170E5" w:rsidRPr="002B55E9" w:rsidRDefault="00EF27AD">
            <w:pPr>
              <w:snapToGrid w:val="0"/>
              <w:jc w:val="center"/>
              <w:rPr>
                <w:sz w:val="18"/>
                <w:szCs w:val="18"/>
              </w:rPr>
            </w:pPr>
            <w:r w:rsidRPr="002B55E9">
              <w:rPr>
                <w:sz w:val="18"/>
                <w:szCs w:val="18"/>
              </w:rPr>
              <w:t>30.64869340</w:t>
            </w:r>
          </w:p>
        </w:tc>
        <w:tc>
          <w:tcPr>
            <w:tcW w:w="2197" w:type="dxa"/>
            <w:tcBorders>
              <w:top w:val="single" w:sz="4" w:space="0" w:color="auto"/>
              <w:left w:val="single" w:sz="6" w:space="0" w:color="auto"/>
              <w:bottom w:val="single" w:sz="4" w:space="0" w:color="auto"/>
              <w:right w:val="single" w:sz="6" w:space="0" w:color="auto"/>
            </w:tcBorders>
            <w:vAlign w:val="center"/>
          </w:tcPr>
          <w:p w14:paraId="4BC1BE94" w14:textId="77777777" w:rsidR="00D170E5" w:rsidRPr="002B55E9" w:rsidRDefault="00EF27AD">
            <w:pPr>
              <w:snapToGrid w:val="0"/>
              <w:jc w:val="center"/>
              <w:rPr>
                <w:sz w:val="18"/>
                <w:szCs w:val="18"/>
              </w:rPr>
            </w:pPr>
            <w:r w:rsidRPr="002B55E9">
              <w:rPr>
                <w:rFonts w:hint="eastAsia"/>
                <w:sz w:val="18"/>
                <w:szCs w:val="18"/>
              </w:rPr>
              <w:t>张湾</w:t>
            </w:r>
            <w:r w:rsidRPr="002B55E9">
              <w:rPr>
                <w:sz w:val="18"/>
                <w:szCs w:val="18"/>
              </w:rPr>
              <w:t>村</w:t>
            </w:r>
          </w:p>
        </w:tc>
        <w:tc>
          <w:tcPr>
            <w:tcW w:w="1166" w:type="dxa"/>
            <w:tcBorders>
              <w:top w:val="single" w:sz="4" w:space="0" w:color="auto"/>
              <w:left w:val="single" w:sz="6" w:space="0" w:color="auto"/>
              <w:bottom w:val="single" w:sz="4" w:space="0" w:color="auto"/>
              <w:right w:val="single" w:sz="6" w:space="0" w:color="auto"/>
            </w:tcBorders>
            <w:vAlign w:val="center"/>
          </w:tcPr>
          <w:p w14:paraId="62B91C37" w14:textId="77777777" w:rsidR="00D170E5" w:rsidRPr="002B55E9" w:rsidRDefault="00EF27AD">
            <w:pPr>
              <w:snapToGrid w:val="0"/>
              <w:jc w:val="center"/>
              <w:rPr>
                <w:sz w:val="18"/>
                <w:szCs w:val="18"/>
              </w:rPr>
            </w:pPr>
            <w:r w:rsidRPr="002B55E9">
              <w:rPr>
                <w:rFonts w:hint="eastAsia"/>
                <w:sz w:val="18"/>
                <w:szCs w:val="18"/>
              </w:rPr>
              <w:t>9</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727C4BC2"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25735341"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3460</w:t>
            </w:r>
          </w:p>
        </w:tc>
      </w:tr>
      <w:tr w:rsidR="00C60999" w:rsidRPr="002B55E9" w14:paraId="4C0395E4" w14:textId="77777777">
        <w:trPr>
          <w:trHeight w:val="284"/>
        </w:trPr>
        <w:tc>
          <w:tcPr>
            <w:tcW w:w="671" w:type="dxa"/>
            <w:tcBorders>
              <w:top w:val="single" w:sz="4" w:space="0" w:color="auto"/>
              <w:left w:val="nil"/>
              <w:bottom w:val="single" w:sz="4" w:space="0" w:color="auto"/>
              <w:right w:val="single" w:sz="6" w:space="0" w:color="auto"/>
            </w:tcBorders>
            <w:vAlign w:val="center"/>
          </w:tcPr>
          <w:p w14:paraId="4345D432" w14:textId="77777777" w:rsidR="00D170E5" w:rsidRPr="002B55E9" w:rsidRDefault="00EF27AD">
            <w:pPr>
              <w:pStyle w:val="affff6"/>
              <w:snapToGrid w:val="0"/>
              <w:rPr>
                <w:szCs w:val="18"/>
              </w:rPr>
            </w:pPr>
            <w:r w:rsidRPr="002B55E9">
              <w:rPr>
                <w:rFonts w:hint="eastAsia"/>
                <w:szCs w:val="18"/>
              </w:rPr>
              <w:t>60</w:t>
            </w:r>
          </w:p>
        </w:tc>
        <w:tc>
          <w:tcPr>
            <w:tcW w:w="1461" w:type="dxa"/>
            <w:tcBorders>
              <w:top w:val="single" w:sz="4" w:space="0" w:color="auto"/>
              <w:left w:val="single" w:sz="6" w:space="0" w:color="auto"/>
              <w:bottom w:val="single" w:sz="4" w:space="0" w:color="auto"/>
              <w:right w:val="single" w:sz="6" w:space="0" w:color="auto"/>
            </w:tcBorders>
            <w:vAlign w:val="center"/>
          </w:tcPr>
          <w:p w14:paraId="68EA5841" w14:textId="77777777" w:rsidR="00D170E5" w:rsidRPr="002B55E9" w:rsidRDefault="00EF27AD">
            <w:pPr>
              <w:snapToGrid w:val="0"/>
              <w:jc w:val="center"/>
              <w:rPr>
                <w:sz w:val="18"/>
                <w:szCs w:val="18"/>
              </w:rPr>
            </w:pPr>
            <w:r w:rsidRPr="002B55E9">
              <w:rPr>
                <w:sz w:val="18"/>
                <w:szCs w:val="18"/>
              </w:rPr>
              <w:t>113.96577358</w:t>
            </w:r>
          </w:p>
        </w:tc>
        <w:tc>
          <w:tcPr>
            <w:tcW w:w="1338" w:type="dxa"/>
            <w:tcBorders>
              <w:top w:val="single" w:sz="4" w:space="0" w:color="auto"/>
              <w:left w:val="single" w:sz="6" w:space="0" w:color="auto"/>
              <w:bottom w:val="single" w:sz="4" w:space="0" w:color="auto"/>
              <w:right w:val="single" w:sz="6" w:space="0" w:color="auto"/>
            </w:tcBorders>
            <w:vAlign w:val="center"/>
          </w:tcPr>
          <w:p w14:paraId="0148AA81" w14:textId="77777777" w:rsidR="00D170E5" w:rsidRPr="002B55E9" w:rsidRDefault="00EF27AD">
            <w:pPr>
              <w:snapToGrid w:val="0"/>
              <w:jc w:val="center"/>
              <w:rPr>
                <w:sz w:val="18"/>
                <w:szCs w:val="18"/>
              </w:rPr>
            </w:pPr>
            <w:r w:rsidRPr="002B55E9">
              <w:rPr>
                <w:sz w:val="18"/>
                <w:szCs w:val="18"/>
              </w:rPr>
              <w:t>30.65149932</w:t>
            </w:r>
          </w:p>
        </w:tc>
        <w:tc>
          <w:tcPr>
            <w:tcW w:w="2197" w:type="dxa"/>
            <w:tcBorders>
              <w:top w:val="single" w:sz="4" w:space="0" w:color="auto"/>
              <w:left w:val="single" w:sz="6" w:space="0" w:color="auto"/>
              <w:bottom w:val="single" w:sz="4" w:space="0" w:color="auto"/>
              <w:right w:val="single" w:sz="6" w:space="0" w:color="auto"/>
            </w:tcBorders>
            <w:vAlign w:val="center"/>
          </w:tcPr>
          <w:p w14:paraId="5BC1D820" w14:textId="77777777" w:rsidR="00D170E5" w:rsidRPr="002B55E9" w:rsidRDefault="00EF27AD">
            <w:pPr>
              <w:snapToGrid w:val="0"/>
              <w:jc w:val="center"/>
              <w:rPr>
                <w:sz w:val="18"/>
                <w:szCs w:val="18"/>
              </w:rPr>
            </w:pPr>
            <w:r w:rsidRPr="002B55E9">
              <w:rPr>
                <w:rFonts w:hint="eastAsia"/>
                <w:sz w:val="18"/>
                <w:szCs w:val="18"/>
              </w:rPr>
              <w:t>张湾</w:t>
            </w:r>
            <w:r w:rsidRPr="002B55E9">
              <w:rPr>
                <w:sz w:val="18"/>
                <w:szCs w:val="18"/>
              </w:rPr>
              <w:t>中心小学</w:t>
            </w:r>
          </w:p>
        </w:tc>
        <w:tc>
          <w:tcPr>
            <w:tcW w:w="1166" w:type="dxa"/>
            <w:tcBorders>
              <w:top w:val="single" w:sz="4" w:space="0" w:color="auto"/>
              <w:left w:val="single" w:sz="6" w:space="0" w:color="auto"/>
              <w:bottom w:val="single" w:sz="4" w:space="0" w:color="auto"/>
              <w:right w:val="single" w:sz="6" w:space="0" w:color="auto"/>
            </w:tcBorders>
            <w:vAlign w:val="center"/>
          </w:tcPr>
          <w:p w14:paraId="368D257C" w14:textId="77777777" w:rsidR="00D170E5" w:rsidRPr="002B55E9" w:rsidRDefault="00EF27AD">
            <w:pPr>
              <w:snapToGrid w:val="0"/>
              <w:jc w:val="center"/>
              <w:rPr>
                <w:sz w:val="18"/>
                <w:szCs w:val="18"/>
              </w:rPr>
            </w:pPr>
            <w:r w:rsidRPr="002B55E9">
              <w:rPr>
                <w:rFonts w:hint="eastAsia"/>
                <w:sz w:val="18"/>
                <w:szCs w:val="18"/>
              </w:rPr>
              <w:t>4</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5FE3CD87"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415098D2"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3700</w:t>
            </w:r>
          </w:p>
        </w:tc>
      </w:tr>
      <w:tr w:rsidR="00C60999" w:rsidRPr="002B55E9" w14:paraId="541BCD72" w14:textId="77777777">
        <w:trPr>
          <w:trHeight w:val="284"/>
        </w:trPr>
        <w:tc>
          <w:tcPr>
            <w:tcW w:w="671" w:type="dxa"/>
            <w:tcBorders>
              <w:top w:val="single" w:sz="4" w:space="0" w:color="auto"/>
              <w:left w:val="nil"/>
              <w:bottom w:val="single" w:sz="4" w:space="0" w:color="auto"/>
              <w:right w:val="single" w:sz="6" w:space="0" w:color="auto"/>
            </w:tcBorders>
            <w:vAlign w:val="center"/>
          </w:tcPr>
          <w:p w14:paraId="409A315B" w14:textId="77777777" w:rsidR="00D170E5" w:rsidRPr="002B55E9" w:rsidRDefault="00EF27AD">
            <w:pPr>
              <w:pStyle w:val="affff6"/>
              <w:snapToGrid w:val="0"/>
              <w:rPr>
                <w:szCs w:val="18"/>
              </w:rPr>
            </w:pPr>
            <w:r w:rsidRPr="002B55E9">
              <w:rPr>
                <w:rFonts w:hint="eastAsia"/>
                <w:szCs w:val="18"/>
              </w:rPr>
              <w:t>61</w:t>
            </w:r>
          </w:p>
        </w:tc>
        <w:tc>
          <w:tcPr>
            <w:tcW w:w="1461" w:type="dxa"/>
            <w:tcBorders>
              <w:top w:val="single" w:sz="4" w:space="0" w:color="auto"/>
              <w:left w:val="single" w:sz="6" w:space="0" w:color="auto"/>
              <w:bottom w:val="single" w:sz="4" w:space="0" w:color="auto"/>
              <w:right w:val="single" w:sz="6" w:space="0" w:color="auto"/>
            </w:tcBorders>
            <w:vAlign w:val="center"/>
          </w:tcPr>
          <w:p w14:paraId="76644E9D" w14:textId="77777777" w:rsidR="00D170E5" w:rsidRPr="002B55E9" w:rsidRDefault="00EF27AD">
            <w:pPr>
              <w:snapToGrid w:val="0"/>
              <w:jc w:val="center"/>
              <w:rPr>
                <w:sz w:val="18"/>
                <w:szCs w:val="18"/>
              </w:rPr>
            </w:pPr>
            <w:r w:rsidRPr="002B55E9">
              <w:rPr>
                <w:sz w:val="18"/>
                <w:szCs w:val="18"/>
              </w:rPr>
              <w:t>113.97397041</w:t>
            </w:r>
          </w:p>
        </w:tc>
        <w:tc>
          <w:tcPr>
            <w:tcW w:w="1338" w:type="dxa"/>
            <w:tcBorders>
              <w:top w:val="single" w:sz="4" w:space="0" w:color="auto"/>
              <w:left w:val="single" w:sz="6" w:space="0" w:color="auto"/>
              <w:bottom w:val="single" w:sz="4" w:space="0" w:color="auto"/>
              <w:right w:val="single" w:sz="6" w:space="0" w:color="auto"/>
            </w:tcBorders>
            <w:vAlign w:val="center"/>
          </w:tcPr>
          <w:p w14:paraId="0128E615" w14:textId="77777777" w:rsidR="00D170E5" w:rsidRPr="002B55E9" w:rsidRDefault="00EF27AD">
            <w:pPr>
              <w:snapToGrid w:val="0"/>
              <w:jc w:val="center"/>
              <w:rPr>
                <w:sz w:val="18"/>
                <w:szCs w:val="18"/>
              </w:rPr>
            </w:pPr>
            <w:r w:rsidRPr="002B55E9">
              <w:rPr>
                <w:sz w:val="18"/>
                <w:szCs w:val="18"/>
              </w:rPr>
              <w:t>30.64633047</w:t>
            </w:r>
          </w:p>
        </w:tc>
        <w:tc>
          <w:tcPr>
            <w:tcW w:w="2197" w:type="dxa"/>
            <w:tcBorders>
              <w:top w:val="single" w:sz="4" w:space="0" w:color="auto"/>
              <w:left w:val="single" w:sz="6" w:space="0" w:color="auto"/>
              <w:bottom w:val="single" w:sz="4" w:space="0" w:color="auto"/>
              <w:right w:val="single" w:sz="6" w:space="0" w:color="auto"/>
            </w:tcBorders>
            <w:vAlign w:val="center"/>
          </w:tcPr>
          <w:p w14:paraId="190F6FA6" w14:textId="77777777" w:rsidR="00D170E5" w:rsidRPr="002B55E9" w:rsidRDefault="00EF27AD">
            <w:pPr>
              <w:snapToGrid w:val="0"/>
              <w:jc w:val="center"/>
              <w:rPr>
                <w:sz w:val="18"/>
                <w:szCs w:val="18"/>
              </w:rPr>
            </w:pPr>
            <w:r w:rsidRPr="002B55E9">
              <w:rPr>
                <w:rFonts w:hint="eastAsia"/>
                <w:sz w:val="18"/>
                <w:szCs w:val="18"/>
              </w:rPr>
              <w:t>张家</w:t>
            </w:r>
            <w:r w:rsidRPr="002B55E9">
              <w:rPr>
                <w:sz w:val="18"/>
                <w:szCs w:val="18"/>
              </w:rPr>
              <w:t>台</w:t>
            </w:r>
          </w:p>
        </w:tc>
        <w:tc>
          <w:tcPr>
            <w:tcW w:w="1166" w:type="dxa"/>
            <w:tcBorders>
              <w:top w:val="single" w:sz="4" w:space="0" w:color="auto"/>
              <w:left w:val="single" w:sz="6" w:space="0" w:color="auto"/>
              <w:bottom w:val="single" w:sz="4" w:space="0" w:color="auto"/>
              <w:right w:val="single" w:sz="6" w:space="0" w:color="auto"/>
            </w:tcBorders>
            <w:vAlign w:val="center"/>
          </w:tcPr>
          <w:p w14:paraId="003AF9BE"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718BA31C"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14FD4A65"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3580</w:t>
            </w:r>
          </w:p>
        </w:tc>
      </w:tr>
      <w:tr w:rsidR="00C60999" w:rsidRPr="002B55E9" w14:paraId="566F81B4" w14:textId="77777777">
        <w:trPr>
          <w:trHeight w:val="284"/>
        </w:trPr>
        <w:tc>
          <w:tcPr>
            <w:tcW w:w="671" w:type="dxa"/>
            <w:tcBorders>
              <w:top w:val="single" w:sz="4" w:space="0" w:color="auto"/>
              <w:left w:val="nil"/>
              <w:bottom w:val="single" w:sz="4" w:space="0" w:color="auto"/>
              <w:right w:val="single" w:sz="6" w:space="0" w:color="auto"/>
            </w:tcBorders>
            <w:vAlign w:val="center"/>
          </w:tcPr>
          <w:p w14:paraId="49A57690" w14:textId="77777777" w:rsidR="00D170E5" w:rsidRPr="002B55E9" w:rsidRDefault="00EF27AD">
            <w:pPr>
              <w:pStyle w:val="affff6"/>
              <w:snapToGrid w:val="0"/>
              <w:rPr>
                <w:szCs w:val="18"/>
              </w:rPr>
            </w:pPr>
            <w:r w:rsidRPr="002B55E9">
              <w:rPr>
                <w:rFonts w:hint="eastAsia"/>
                <w:szCs w:val="18"/>
              </w:rPr>
              <w:t>62</w:t>
            </w:r>
          </w:p>
        </w:tc>
        <w:tc>
          <w:tcPr>
            <w:tcW w:w="1461" w:type="dxa"/>
            <w:tcBorders>
              <w:top w:val="single" w:sz="4" w:space="0" w:color="auto"/>
              <w:left w:val="single" w:sz="6" w:space="0" w:color="auto"/>
              <w:bottom w:val="single" w:sz="4" w:space="0" w:color="auto"/>
              <w:right w:val="single" w:sz="6" w:space="0" w:color="auto"/>
            </w:tcBorders>
            <w:vAlign w:val="center"/>
          </w:tcPr>
          <w:p w14:paraId="6BC25E95" w14:textId="77777777" w:rsidR="00D170E5" w:rsidRPr="002B55E9" w:rsidRDefault="00EF27AD">
            <w:pPr>
              <w:snapToGrid w:val="0"/>
              <w:jc w:val="center"/>
              <w:rPr>
                <w:sz w:val="18"/>
                <w:szCs w:val="18"/>
              </w:rPr>
            </w:pPr>
            <w:r w:rsidRPr="002B55E9">
              <w:rPr>
                <w:sz w:val="18"/>
                <w:szCs w:val="18"/>
              </w:rPr>
              <w:t>113.97894859</w:t>
            </w:r>
          </w:p>
        </w:tc>
        <w:tc>
          <w:tcPr>
            <w:tcW w:w="1338" w:type="dxa"/>
            <w:tcBorders>
              <w:top w:val="single" w:sz="4" w:space="0" w:color="auto"/>
              <w:left w:val="single" w:sz="6" w:space="0" w:color="auto"/>
              <w:bottom w:val="single" w:sz="4" w:space="0" w:color="auto"/>
              <w:right w:val="single" w:sz="6" w:space="0" w:color="auto"/>
            </w:tcBorders>
            <w:vAlign w:val="center"/>
          </w:tcPr>
          <w:p w14:paraId="1AB36607" w14:textId="77777777" w:rsidR="00D170E5" w:rsidRPr="002B55E9" w:rsidRDefault="00EF27AD">
            <w:pPr>
              <w:snapToGrid w:val="0"/>
              <w:jc w:val="center"/>
              <w:rPr>
                <w:sz w:val="18"/>
                <w:szCs w:val="18"/>
              </w:rPr>
            </w:pPr>
            <w:r w:rsidRPr="002B55E9">
              <w:rPr>
                <w:sz w:val="18"/>
                <w:szCs w:val="18"/>
              </w:rPr>
              <w:t>30.63872437</w:t>
            </w:r>
          </w:p>
        </w:tc>
        <w:tc>
          <w:tcPr>
            <w:tcW w:w="2197" w:type="dxa"/>
            <w:tcBorders>
              <w:top w:val="single" w:sz="4" w:space="0" w:color="auto"/>
              <w:left w:val="single" w:sz="6" w:space="0" w:color="auto"/>
              <w:bottom w:val="single" w:sz="4" w:space="0" w:color="auto"/>
              <w:right w:val="single" w:sz="6" w:space="0" w:color="auto"/>
            </w:tcBorders>
            <w:vAlign w:val="center"/>
          </w:tcPr>
          <w:p w14:paraId="6F5DE398" w14:textId="77777777" w:rsidR="00D170E5" w:rsidRPr="002B55E9" w:rsidRDefault="00EF27AD">
            <w:pPr>
              <w:snapToGrid w:val="0"/>
              <w:jc w:val="center"/>
              <w:rPr>
                <w:sz w:val="18"/>
                <w:szCs w:val="18"/>
              </w:rPr>
            </w:pPr>
            <w:r w:rsidRPr="002B55E9">
              <w:rPr>
                <w:rFonts w:hint="eastAsia"/>
                <w:sz w:val="18"/>
                <w:szCs w:val="18"/>
              </w:rPr>
              <w:t>江</w:t>
            </w:r>
            <w:r w:rsidRPr="002B55E9">
              <w:rPr>
                <w:sz w:val="18"/>
                <w:szCs w:val="18"/>
              </w:rPr>
              <w:t>花</w:t>
            </w:r>
            <w:r w:rsidRPr="002B55E9">
              <w:rPr>
                <w:rFonts w:hint="eastAsia"/>
                <w:sz w:val="18"/>
                <w:szCs w:val="18"/>
              </w:rPr>
              <w:t>社区</w:t>
            </w:r>
          </w:p>
        </w:tc>
        <w:tc>
          <w:tcPr>
            <w:tcW w:w="1166" w:type="dxa"/>
            <w:tcBorders>
              <w:top w:val="single" w:sz="4" w:space="0" w:color="auto"/>
              <w:left w:val="single" w:sz="6" w:space="0" w:color="auto"/>
              <w:bottom w:val="single" w:sz="4" w:space="0" w:color="auto"/>
              <w:right w:val="single" w:sz="6" w:space="0" w:color="auto"/>
            </w:tcBorders>
            <w:vAlign w:val="center"/>
          </w:tcPr>
          <w:p w14:paraId="7FF1423D" w14:textId="77777777" w:rsidR="00D170E5" w:rsidRPr="002B55E9" w:rsidRDefault="00EF27AD">
            <w:pPr>
              <w:snapToGrid w:val="0"/>
              <w:jc w:val="center"/>
              <w:rPr>
                <w:sz w:val="18"/>
                <w:szCs w:val="18"/>
              </w:rPr>
            </w:pPr>
            <w:r w:rsidRPr="002B55E9">
              <w:rPr>
                <w:rFonts w:hint="eastAsia"/>
                <w:sz w:val="18"/>
                <w:szCs w:val="18"/>
              </w:rPr>
              <w:t>2</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65872075"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0BF523EA"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4250</w:t>
            </w:r>
          </w:p>
        </w:tc>
      </w:tr>
      <w:tr w:rsidR="00C60999" w:rsidRPr="002B55E9" w14:paraId="20D8F885" w14:textId="77777777">
        <w:trPr>
          <w:trHeight w:val="284"/>
        </w:trPr>
        <w:tc>
          <w:tcPr>
            <w:tcW w:w="671" w:type="dxa"/>
            <w:tcBorders>
              <w:top w:val="single" w:sz="4" w:space="0" w:color="auto"/>
              <w:left w:val="nil"/>
              <w:bottom w:val="single" w:sz="4" w:space="0" w:color="auto"/>
              <w:right w:val="single" w:sz="6" w:space="0" w:color="auto"/>
            </w:tcBorders>
            <w:vAlign w:val="center"/>
          </w:tcPr>
          <w:p w14:paraId="0ECFAAFD" w14:textId="77777777" w:rsidR="00D170E5" w:rsidRPr="002B55E9" w:rsidRDefault="00EF27AD">
            <w:pPr>
              <w:pStyle w:val="affff6"/>
              <w:snapToGrid w:val="0"/>
              <w:rPr>
                <w:szCs w:val="18"/>
              </w:rPr>
            </w:pPr>
            <w:r w:rsidRPr="002B55E9">
              <w:rPr>
                <w:rFonts w:hint="eastAsia"/>
                <w:szCs w:val="18"/>
              </w:rPr>
              <w:t>63</w:t>
            </w:r>
          </w:p>
        </w:tc>
        <w:tc>
          <w:tcPr>
            <w:tcW w:w="1461" w:type="dxa"/>
            <w:tcBorders>
              <w:top w:val="single" w:sz="4" w:space="0" w:color="auto"/>
              <w:left w:val="single" w:sz="6" w:space="0" w:color="auto"/>
              <w:bottom w:val="single" w:sz="4" w:space="0" w:color="auto"/>
              <w:right w:val="single" w:sz="6" w:space="0" w:color="auto"/>
            </w:tcBorders>
            <w:vAlign w:val="center"/>
          </w:tcPr>
          <w:p w14:paraId="4FDF6228" w14:textId="77777777" w:rsidR="00D170E5" w:rsidRPr="002B55E9" w:rsidRDefault="00EF27AD">
            <w:pPr>
              <w:snapToGrid w:val="0"/>
              <w:jc w:val="center"/>
              <w:rPr>
                <w:sz w:val="18"/>
                <w:szCs w:val="18"/>
              </w:rPr>
            </w:pPr>
            <w:r w:rsidRPr="002B55E9">
              <w:rPr>
                <w:sz w:val="18"/>
                <w:szCs w:val="18"/>
              </w:rPr>
              <w:t>113.96607399</w:t>
            </w:r>
          </w:p>
        </w:tc>
        <w:tc>
          <w:tcPr>
            <w:tcW w:w="1338" w:type="dxa"/>
            <w:tcBorders>
              <w:top w:val="single" w:sz="4" w:space="0" w:color="auto"/>
              <w:left w:val="single" w:sz="6" w:space="0" w:color="auto"/>
              <w:bottom w:val="single" w:sz="4" w:space="0" w:color="auto"/>
              <w:right w:val="single" w:sz="6" w:space="0" w:color="auto"/>
            </w:tcBorders>
            <w:vAlign w:val="center"/>
          </w:tcPr>
          <w:p w14:paraId="47C585DA" w14:textId="77777777" w:rsidR="00D170E5" w:rsidRPr="002B55E9" w:rsidRDefault="00EF27AD">
            <w:pPr>
              <w:snapToGrid w:val="0"/>
              <w:jc w:val="center"/>
              <w:rPr>
                <w:sz w:val="18"/>
                <w:szCs w:val="18"/>
              </w:rPr>
            </w:pPr>
            <w:r w:rsidRPr="002B55E9">
              <w:rPr>
                <w:sz w:val="18"/>
                <w:szCs w:val="18"/>
              </w:rPr>
              <w:t>30.64045979</w:t>
            </w:r>
          </w:p>
        </w:tc>
        <w:tc>
          <w:tcPr>
            <w:tcW w:w="2197" w:type="dxa"/>
            <w:tcBorders>
              <w:top w:val="single" w:sz="4" w:space="0" w:color="auto"/>
              <w:left w:val="single" w:sz="6" w:space="0" w:color="auto"/>
              <w:bottom w:val="single" w:sz="4" w:space="0" w:color="auto"/>
              <w:right w:val="single" w:sz="6" w:space="0" w:color="auto"/>
            </w:tcBorders>
            <w:vAlign w:val="center"/>
          </w:tcPr>
          <w:p w14:paraId="7FACD68E" w14:textId="77777777" w:rsidR="00D170E5" w:rsidRPr="002B55E9" w:rsidRDefault="00EF27AD">
            <w:pPr>
              <w:snapToGrid w:val="0"/>
              <w:jc w:val="center"/>
              <w:rPr>
                <w:sz w:val="18"/>
                <w:szCs w:val="18"/>
              </w:rPr>
            </w:pPr>
            <w:r w:rsidRPr="002B55E9">
              <w:rPr>
                <w:rFonts w:hint="eastAsia"/>
                <w:sz w:val="18"/>
                <w:szCs w:val="18"/>
              </w:rPr>
              <w:t>张湾</w:t>
            </w:r>
            <w:r w:rsidRPr="002B55E9">
              <w:rPr>
                <w:sz w:val="18"/>
                <w:szCs w:val="18"/>
              </w:rPr>
              <w:t>中学</w:t>
            </w:r>
          </w:p>
        </w:tc>
        <w:tc>
          <w:tcPr>
            <w:tcW w:w="1166" w:type="dxa"/>
            <w:tcBorders>
              <w:top w:val="single" w:sz="4" w:space="0" w:color="auto"/>
              <w:left w:val="single" w:sz="6" w:space="0" w:color="auto"/>
              <w:bottom w:val="single" w:sz="4" w:space="0" w:color="auto"/>
              <w:right w:val="single" w:sz="6" w:space="0" w:color="auto"/>
            </w:tcBorders>
            <w:vAlign w:val="center"/>
          </w:tcPr>
          <w:p w14:paraId="24B0080A" w14:textId="77777777" w:rsidR="00D170E5" w:rsidRPr="002B55E9" w:rsidRDefault="00EF27AD">
            <w:pPr>
              <w:snapToGrid w:val="0"/>
              <w:jc w:val="center"/>
              <w:rPr>
                <w:sz w:val="18"/>
                <w:szCs w:val="18"/>
              </w:rPr>
            </w:pPr>
            <w:r w:rsidRPr="002B55E9">
              <w:rPr>
                <w:rFonts w:hint="eastAsia"/>
                <w:sz w:val="18"/>
                <w:szCs w:val="18"/>
              </w:rPr>
              <w:t>5</w:t>
            </w:r>
            <w:r w:rsidRPr="002B55E9">
              <w:rPr>
                <w:sz w:val="18"/>
                <w:szCs w:val="18"/>
              </w:rPr>
              <w:t>00</w:t>
            </w:r>
          </w:p>
        </w:tc>
        <w:tc>
          <w:tcPr>
            <w:tcW w:w="1166" w:type="dxa"/>
            <w:tcBorders>
              <w:top w:val="single" w:sz="4" w:space="0" w:color="auto"/>
              <w:left w:val="single" w:sz="6" w:space="0" w:color="auto"/>
              <w:bottom w:val="single" w:sz="4" w:space="0" w:color="auto"/>
              <w:right w:val="single" w:sz="6" w:space="0" w:color="auto"/>
            </w:tcBorders>
          </w:tcPr>
          <w:p w14:paraId="10312441" w14:textId="77777777" w:rsidR="00D170E5" w:rsidRPr="002B55E9" w:rsidRDefault="00EF27AD">
            <w:pPr>
              <w:jc w:val="center"/>
            </w:pPr>
            <w:r w:rsidRPr="002B55E9">
              <w:rPr>
                <w:rFonts w:hint="eastAsia"/>
                <w:sz w:val="18"/>
                <w:szCs w:val="18"/>
              </w:rPr>
              <w:t>西南</w:t>
            </w:r>
          </w:p>
        </w:tc>
        <w:tc>
          <w:tcPr>
            <w:tcW w:w="1638" w:type="dxa"/>
            <w:tcBorders>
              <w:top w:val="single" w:sz="4" w:space="0" w:color="auto"/>
              <w:left w:val="single" w:sz="6" w:space="0" w:color="auto"/>
              <w:bottom w:val="single" w:sz="4" w:space="0" w:color="auto"/>
              <w:right w:val="nil"/>
            </w:tcBorders>
            <w:vAlign w:val="center"/>
          </w:tcPr>
          <w:p w14:paraId="48488311" w14:textId="77777777" w:rsidR="00D170E5" w:rsidRPr="002B55E9" w:rsidRDefault="00EF27AD">
            <w:pPr>
              <w:adjustRightInd w:val="0"/>
              <w:snapToGrid w:val="0"/>
              <w:ind w:leftChars="-50" w:left="-100" w:rightChars="-50" w:right="-100"/>
              <w:jc w:val="center"/>
              <w:rPr>
                <w:sz w:val="18"/>
                <w:szCs w:val="18"/>
              </w:rPr>
            </w:pPr>
            <w:r w:rsidRPr="002B55E9">
              <w:rPr>
                <w:rFonts w:hint="eastAsia"/>
                <w:sz w:val="18"/>
                <w:szCs w:val="18"/>
              </w:rPr>
              <w:t>4580</w:t>
            </w:r>
          </w:p>
        </w:tc>
      </w:tr>
    </w:tbl>
    <w:p w14:paraId="3EC2DBE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根据《建设项目环境风险评价技术导则》（</w:t>
      </w:r>
      <w:r w:rsidRPr="002B55E9">
        <w:rPr>
          <w:bCs/>
          <w:snapToGrid w:val="0"/>
          <w:sz w:val="24"/>
        </w:rPr>
        <w:t>HJ169-2018</w:t>
      </w:r>
      <w:r w:rsidRPr="002B55E9">
        <w:rPr>
          <w:bCs/>
          <w:snapToGrid w:val="0"/>
          <w:sz w:val="24"/>
        </w:rPr>
        <w:t>）附录</w:t>
      </w:r>
      <w:r w:rsidRPr="002B55E9">
        <w:rPr>
          <w:bCs/>
          <w:snapToGrid w:val="0"/>
          <w:sz w:val="24"/>
        </w:rPr>
        <w:t>D</w:t>
      </w:r>
      <w:r w:rsidRPr="002B55E9">
        <w:rPr>
          <w:rFonts w:hint="eastAsia"/>
          <w:bCs/>
          <w:snapToGrid w:val="0"/>
          <w:sz w:val="24"/>
        </w:rPr>
        <w:t>表</w:t>
      </w:r>
      <w:r w:rsidRPr="002B55E9">
        <w:rPr>
          <w:rFonts w:hint="eastAsia"/>
          <w:bCs/>
          <w:snapToGrid w:val="0"/>
          <w:sz w:val="24"/>
        </w:rPr>
        <w:t>D.1</w:t>
      </w:r>
      <w:r w:rsidRPr="002B55E9">
        <w:rPr>
          <w:bCs/>
          <w:snapToGrid w:val="0"/>
          <w:sz w:val="24"/>
        </w:rPr>
        <w:t>，大气环境风险受体的敏感性依据环境敏感目标环境敏感性及人口密度划分，共分为</w:t>
      </w:r>
      <w:r w:rsidRPr="002B55E9">
        <w:rPr>
          <w:bCs/>
          <w:snapToGrid w:val="0"/>
          <w:sz w:val="24"/>
        </w:rPr>
        <w:t xml:space="preserve"> 3 </w:t>
      </w:r>
      <w:r w:rsidRPr="002B55E9">
        <w:rPr>
          <w:bCs/>
          <w:snapToGrid w:val="0"/>
          <w:sz w:val="24"/>
        </w:rPr>
        <w:t>三种类型，分别以</w:t>
      </w:r>
      <w:r w:rsidRPr="002B55E9">
        <w:rPr>
          <w:bCs/>
          <w:snapToGrid w:val="0"/>
          <w:sz w:val="24"/>
        </w:rPr>
        <w:t xml:space="preserve"> E1</w:t>
      </w:r>
      <w:r w:rsidRPr="002B55E9">
        <w:rPr>
          <w:bCs/>
          <w:snapToGrid w:val="0"/>
          <w:sz w:val="24"/>
        </w:rPr>
        <w:t>、</w:t>
      </w:r>
      <w:r w:rsidRPr="002B55E9">
        <w:rPr>
          <w:bCs/>
          <w:snapToGrid w:val="0"/>
          <w:sz w:val="24"/>
        </w:rPr>
        <w:t xml:space="preserve">E2 </w:t>
      </w:r>
      <w:r w:rsidRPr="002B55E9">
        <w:rPr>
          <w:bCs/>
          <w:snapToGrid w:val="0"/>
          <w:sz w:val="24"/>
        </w:rPr>
        <w:t>和</w:t>
      </w:r>
      <w:r w:rsidRPr="002B55E9">
        <w:rPr>
          <w:bCs/>
          <w:snapToGrid w:val="0"/>
          <w:sz w:val="24"/>
        </w:rPr>
        <w:t xml:space="preserve"> E3 </w:t>
      </w:r>
      <w:r w:rsidRPr="002B55E9">
        <w:rPr>
          <w:bCs/>
          <w:snapToGrid w:val="0"/>
          <w:sz w:val="24"/>
        </w:rPr>
        <w:t>表示。企业大气环境敏感程度类型划分见</w:t>
      </w:r>
      <w:r w:rsidRPr="002B55E9">
        <w:rPr>
          <w:rFonts w:hint="eastAsia"/>
          <w:bCs/>
          <w:snapToGrid w:val="0"/>
          <w:sz w:val="24"/>
        </w:rPr>
        <w:t>下</w:t>
      </w:r>
      <w:r w:rsidRPr="002B55E9">
        <w:rPr>
          <w:bCs/>
          <w:snapToGrid w:val="0"/>
          <w:sz w:val="24"/>
        </w:rPr>
        <w:t>表。</w:t>
      </w:r>
    </w:p>
    <w:p w14:paraId="547A5793"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hint="eastAsia"/>
          <w:b/>
          <w:sz w:val="24"/>
          <w:szCs w:val="28"/>
        </w:rPr>
        <w:t xml:space="preserve">6-1-11  </w:t>
      </w:r>
      <w:r w:rsidRPr="002B55E9">
        <w:rPr>
          <w:rFonts w:eastAsia="黑体" w:hint="eastAsia"/>
          <w:b/>
          <w:sz w:val="24"/>
          <w:szCs w:val="28"/>
        </w:rPr>
        <w:t>大气环境敏感程度</w:t>
      </w:r>
      <w:r w:rsidRPr="002B55E9">
        <w:rPr>
          <w:rFonts w:eastAsia="黑体"/>
          <w:b/>
          <w:sz w:val="24"/>
          <w:szCs w:val="28"/>
        </w:rPr>
        <w:t>类型</w:t>
      </w:r>
      <w:r w:rsidRPr="002B55E9">
        <w:rPr>
          <w:rFonts w:eastAsia="黑体" w:hint="eastAsia"/>
          <w:b/>
          <w:sz w:val="24"/>
          <w:szCs w:val="28"/>
        </w:rPr>
        <w:t>划分</w:t>
      </w:r>
      <w:r w:rsidRPr="002B55E9">
        <w:rPr>
          <w:rFonts w:eastAsia="黑体"/>
          <w:b/>
          <w:sz w:val="24"/>
          <w:szCs w:val="28"/>
        </w:rPr>
        <w:t>一览表</w:t>
      </w:r>
    </w:p>
    <w:tbl>
      <w:tblPr>
        <w:tblW w:w="9855"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7904"/>
      </w:tblGrid>
      <w:tr w:rsidR="00C60999" w:rsidRPr="002B55E9" w14:paraId="24CD7366" w14:textId="77777777">
        <w:trPr>
          <w:trHeight w:val="284"/>
          <w:tblHeader/>
        </w:trPr>
        <w:tc>
          <w:tcPr>
            <w:tcW w:w="1951" w:type="dxa"/>
            <w:tcBorders>
              <w:top w:val="single" w:sz="12" w:space="0" w:color="auto"/>
              <w:bottom w:val="single" w:sz="12" w:space="0" w:color="auto"/>
            </w:tcBorders>
            <w:vAlign w:val="center"/>
          </w:tcPr>
          <w:p w14:paraId="747E8082"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分级</w:t>
            </w:r>
          </w:p>
        </w:tc>
        <w:tc>
          <w:tcPr>
            <w:tcW w:w="7904" w:type="dxa"/>
            <w:tcBorders>
              <w:top w:val="single" w:sz="12" w:space="0" w:color="auto"/>
              <w:bottom w:val="single" w:sz="12" w:space="0" w:color="auto"/>
            </w:tcBorders>
            <w:vAlign w:val="center"/>
          </w:tcPr>
          <w:p w14:paraId="341500D3"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大气环境敏感性</w:t>
            </w:r>
            <w:r w:rsidRPr="002B55E9">
              <w:rPr>
                <w:rFonts w:cs="宋体"/>
                <w:sz w:val="18"/>
                <w:szCs w:val="18"/>
                <w:lang w:bidi="ne-NP"/>
              </w:rPr>
              <w:t>体</w:t>
            </w:r>
          </w:p>
        </w:tc>
      </w:tr>
      <w:tr w:rsidR="00C60999" w:rsidRPr="002B55E9" w14:paraId="6BE7B858" w14:textId="77777777">
        <w:trPr>
          <w:trHeight w:val="749"/>
        </w:trPr>
        <w:tc>
          <w:tcPr>
            <w:tcW w:w="1951" w:type="dxa"/>
            <w:tcBorders>
              <w:top w:val="single" w:sz="12" w:space="0" w:color="auto"/>
            </w:tcBorders>
            <w:vAlign w:val="center"/>
          </w:tcPr>
          <w:p w14:paraId="78D0D43C"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sz w:val="18"/>
                <w:szCs w:val="18"/>
                <w:lang w:bidi="ne-NP"/>
              </w:rPr>
              <w:t>E1</w:t>
            </w:r>
          </w:p>
        </w:tc>
        <w:tc>
          <w:tcPr>
            <w:tcW w:w="7904" w:type="dxa"/>
            <w:tcBorders>
              <w:top w:val="single" w:sz="12" w:space="0" w:color="auto"/>
            </w:tcBorders>
            <w:vAlign w:val="center"/>
          </w:tcPr>
          <w:p w14:paraId="7E6B0D3C"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周边</w:t>
            </w:r>
            <w:r w:rsidRPr="002B55E9">
              <w:rPr>
                <w:rFonts w:cs="宋体"/>
                <w:sz w:val="18"/>
                <w:szCs w:val="18"/>
                <w:lang w:bidi="ne-NP"/>
              </w:rPr>
              <w:t>5</w:t>
            </w:r>
            <w:r w:rsidRPr="002B55E9">
              <w:rPr>
                <w:rFonts w:cs="宋体"/>
                <w:sz w:val="18"/>
                <w:szCs w:val="18"/>
                <w:lang w:bidi="ne-NP"/>
              </w:rPr>
              <w:t>公里范围内居住区、医疗卫生、文化教育、科研、行政</w:t>
            </w:r>
            <w:r w:rsidRPr="002B55E9">
              <w:rPr>
                <w:rFonts w:cs="宋体" w:hint="eastAsia"/>
                <w:sz w:val="18"/>
                <w:szCs w:val="18"/>
                <w:lang w:bidi="ne-NP"/>
              </w:rPr>
              <w:t>办公等</w:t>
            </w:r>
            <w:r w:rsidRPr="002B55E9">
              <w:rPr>
                <w:rFonts w:cs="宋体"/>
                <w:sz w:val="18"/>
                <w:szCs w:val="18"/>
                <w:lang w:bidi="ne-NP"/>
              </w:rPr>
              <w:t>机构人口总数</w:t>
            </w:r>
            <w:r w:rsidRPr="002B55E9">
              <w:rPr>
                <w:rFonts w:cs="宋体" w:hint="eastAsia"/>
                <w:sz w:val="18"/>
                <w:szCs w:val="18"/>
                <w:lang w:bidi="ne-NP"/>
              </w:rPr>
              <w:t>大于</w:t>
            </w:r>
            <w:r w:rsidRPr="002B55E9">
              <w:rPr>
                <w:rFonts w:cs="宋体"/>
                <w:sz w:val="18"/>
                <w:szCs w:val="18"/>
                <w:lang w:bidi="ne-NP"/>
              </w:rPr>
              <w:t>5</w:t>
            </w:r>
            <w:r w:rsidRPr="002B55E9">
              <w:rPr>
                <w:rFonts w:cs="宋体"/>
                <w:sz w:val="18"/>
                <w:szCs w:val="18"/>
                <w:lang w:bidi="ne-NP"/>
              </w:rPr>
              <w:t>万人</w:t>
            </w:r>
            <w:r w:rsidRPr="002B55E9">
              <w:rPr>
                <w:rFonts w:cs="宋体" w:hint="eastAsia"/>
                <w:sz w:val="18"/>
                <w:szCs w:val="18"/>
                <w:lang w:bidi="ne-NP"/>
              </w:rPr>
              <w:t>，</w:t>
            </w:r>
            <w:r w:rsidRPr="002B55E9">
              <w:rPr>
                <w:rFonts w:cs="宋体"/>
                <w:sz w:val="18"/>
                <w:szCs w:val="18"/>
                <w:lang w:bidi="ne-NP"/>
              </w:rPr>
              <w:t>或</w:t>
            </w:r>
            <w:r w:rsidRPr="002B55E9">
              <w:rPr>
                <w:rFonts w:cs="宋体" w:hint="eastAsia"/>
                <w:sz w:val="18"/>
                <w:szCs w:val="18"/>
                <w:lang w:bidi="ne-NP"/>
              </w:rPr>
              <w:t>其他</w:t>
            </w:r>
            <w:r w:rsidRPr="002B55E9">
              <w:rPr>
                <w:rFonts w:cs="宋体"/>
                <w:sz w:val="18"/>
                <w:szCs w:val="18"/>
                <w:lang w:bidi="ne-NP"/>
              </w:rPr>
              <w:t>需要特殊保护区域；或周边</w:t>
            </w:r>
            <w:r w:rsidRPr="002B55E9">
              <w:rPr>
                <w:rFonts w:cs="宋体"/>
                <w:sz w:val="18"/>
                <w:szCs w:val="18"/>
                <w:lang w:bidi="ne-NP"/>
              </w:rPr>
              <w:t>500</w:t>
            </w:r>
            <w:r w:rsidRPr="002B55E9">
              <w:rPr>
                <w:rFonts w:cs="宋体"/>
                <w:sz w:val="18"/>
                <w:szCs w:val="18"/>
                <w:lang w:bidi="ne-NP"/>
              </w:rPr>
              <w:t>米范围内人口总数</w:t>
            </w:r>
            <w:r w:rsidRPr="002B55E9">
              <w:rPr>
                <w:rFonts w:cs="宋体" w:hint="eastAsia"/>
                <w:sz w:val="18"/>
                <w:szCs w:val="18"/>
                <w:lang w:bidi="ne-NP"/>
              </w:rPr>
              <w:t>大于</w:t>
            </w:r>
            <w:r w:rsidRPr="002B55E9">
              <w:rPr>
                <w:rFonts w:cs="宋体"/>
                <w:sz w:val="18"/>
                <w:szCs w:val="18"/>
                <w:lang w:bidi="ne-NP"/>
              </w:rPr>
              <w:t>1000</w:t>
            </w:r>
            <w:r w:rsidRPr="002B55E9">
              <w:rPr>
                <w:rFonts w:cs="宋体"/>
                <w:sz w:val="18"/>
                <w:szCs w:val="18"/>
                <w:lang w:bidi="ne-NP"/>
              </w:rPr>
              <w:t>人</w:t>
            </w:r>
            <w:r w:rsidRPr="002B55E9">
              <w:rPr>
                <w:rFonts w:cs="宋体" w:hint="eastAsia"/>
                <w:sz w:val="18"/>
                <w:szCs w:val="18"/>
                <w:lang w:bidi="ne-NP"/>
              </w:rPr>
              <w:t>；油气、</w:t>
            </w:r>
            <w:r w:rsidRPr="002B55E9">
              <w:rPr>
                <w:rFonts w:cs="宋体"/>
                <w:sz w:val="18"/>
                <w:szCs w:val="18"/>
                <w:lang w:bidi="ne-NP"/>
              </w:rPr>
              <w:t>化学品输送</w:t>
            </w:r>
            <w:r w:rsidRPr="002B55E9">
              <w:rPr>
                <w:rFonts w:cs="宋体" w:hint="eastAsia"/>
                <w:sz w:val="18"/>
                <w:szCs w:val="18"/>
                <w:lang w:bidi="ne-NP"/>
              </w:rPr>
              <w:t>管线</w:t>
            </w:r>
            <w:r w:rsidRPr="002B55E9">
              <w:rPr>
                <w:rFonts w:cs="宋体"/>
                <w:sz w:val="18"/>
                <w:szCs w:val="18"/>
                <w:lang w:bidi="ne-NP"/>
              </w:rPr>
              <w:t>管段周边</w:t>
            </w:r>
            <w:r w:rsidRPr="002B55E9">
              <w:rPr>
                <w:rFonts w:cs="宋体" w:hint="eastAsia"/>
                <w:sz w:val="18"/>
                <w:szCs w:val="18"/>
                <w:lang w:bidi="ne-NP"/>
              </w:rPr>
              <w:t>200</w:t>
            </w:r>
            <w:r w:rsidRPr="002B55E9">
              <w:rPr>
                <w:rFonts w:cs="宋体"/>
                <w:sz w:val="18"/>
                <w:szCs w:val="18"/>
                <w:lang w:bidi="ne-NP"/>
              </w:rPr>
              <w:t>m</w:t>
            </w:r>
            <w:r w:rsidRPr="002B55E9">
              <w:rPr>
                <w:rFonts w:cs="宋体"/>
                <w:sz w:val="18"/>
                <w:szCs w:val="18"/>
                <w:lang w:bidi="ne-NP"/>
              </w:rPr>
              <w:t>范围内，每千米管段人口数大于</w:t>
            </w:r>
            <w:r w:rsidRPr="002B55E9">
              <w:rPr>
                <w:rFonts w:cs="宋体" w:hint="eastAsia"/>
                <w:sz w:val="18"/>
                <w:szCs w:val="18"/>
                <w:lang w:bidi="ne-NP"/>
              </w:rPr>
              <w:t>200</w:t>
            </w:r>
            <w:r w:rsidRPr="002B55E9">
              <w:rPr>
                <w:rFonts w:cs="宋体" w:hint="eastAsia"/>
                <w:sz w:val="18"/>
                <w:szCs w:val="18"/>
                <w:lang w:bidi="ne-NP"/>
              </w:rPr>
              <w:t>人</w:t>
            </w:r>
          </w:p>
        </w:tc>
      </w:tr>
      <w:tr w:rsidR="00C60999" w:rsidRPr="002B55E9" w14:paraId="7752BC02" w14:textId="77777777">
        <w:trPr>
          <w:trHeight w:val="725"/>
        </w:trPr>
        <w:tc>
          <w:tcPr>
            <w:tcW w:w="1951" w:type="dxa"/>
            <w:vAlign w:val="center"/>
          </w:tcPr>
          <w:p w14:paraId="33980A6C"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sz w:val="18"/>
                <w:szCs w:val="18"/>
                <w:lang w:bidi="ne-NP"/>
              </w:rPr>
              <w:t>E2</w:t>
            </w:r>
          </w:p>
        </w:tc>
        <w:tc>
          <w:tcPr>
            <w:tcW w:w="7904" w:type="dxa"/>
            <w:vAlign w:val="center"/>
          </w:tcPr>
          <w:p w14:paraId="6AD48DD9"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周边</w:t>
            </w:r>
            <w:r w:rsidRPr="002B55E9">
              <w:rPr>
                <w:rFonts w:cs="宋体"/>
                <w:sz w:val="18"/>
                <w:szCs w:val="18"/>
                <w:lang w:bidi="ne-NP"/>
              </w:rPr>
              <w:t>5</w:t>
            </w:r>
            <w:r w:rsidRPr="002B55E9">
              <w:rPr>
                <w:rFonts w:cs="宋体"/>
                <w:sz w:val="18"/>
                <w:szCs w:val="18"/>
                <w:lang w:bidi="ne-NP"/>
              </w:rPr>
              <w:t>公里范围内居住区、医疗卫生、文化教育、科研、行政</w:t>
            </w:r>
            <w:r w:rsidRPr="002B55E9">
              <w:rPr>
                <w:rFonts w:cs="宋体" w:hint="eastAsia"/>
                <w:sz w:val="18"/>
                <w:szCs w:val="18"/>
                <w:lang w:bidi="ne-NP"/>
              </w:rPr>
              <w:t>办公等</w:t>
            </w:r>
            <w:r w:rsidRPr="002B55E9">
              <w:rPr>
                <w:rFonts w:cs="宋体"/>
                <w:sz w:val="18"/>
                <w:szCs w:val="18"/>
                <w:lang w:bidi="ne-NP"/>
              </w:rPr>
              <w:t>机构人口总数</w:t>
            </w:r>
            <w:r w:rsidRPr="002B55E9">
              <w:rPr>
                <w:rFonts w:cs="宋体" w:hint="eastAsia"/>
                <w:sz w:val="18"/>
                <w:szCs w:val="18"/>
                <w:lang w:bidi="ne-NP"/>
              </w:rPr>
              <w:t>大于</w:t>
            </w:r>
            <w:r w:rsidRPr="002B55E9">
              <w:rPr>
                <w:rFonts w:cs="宋体"/>
                <w:sz w:val="18"/>
                <w:szCs w:val="18"/>
                <w:lang w:bidi="ne-NP"/>
              </w:rPr>
              <w:t>1</w:t>
            </w:r>
            <w:r w:rsidRPr="002B55E9">
              <w:rPr>
                <w:rFonts w:cs="宋体"/>
                <w:sz w:val="18"/>
                <w:szCs w:val="18"/>
                <w:lang w:bidi="ne-NP"/>
              </w:rPr>
              <w:t>万人</w:t>
            </w:r>
            <w:r w:rsidRPr="002B55E9">
              <w:rPr>
                <w:rFonts w:cs="宋体" w:hint="eastAsia"/>
                <w:sz w:val="18"/>
                <w:szCs w:val="18"/>
                <w:lang w:bidi="ne-NP"/>
              </w:rPr>
              <w:t>，小于</w:t>
            </w:r>
            <w:r w:rsidRPr="002B55E9">
              <w:rPr>
                <w:rFonts w:cs="宋体" w:hint="eastAsia"/>
                <w:sz w:val="18"/>
                <w:szCs w:val="18"/>
                <w:lang w:bidi="ne-NP"/>
              </w:rPr>
              <w:t>5</w:t>
            </w:r>
            <w:r w:rsidRPr="002B55E9">
              <w:rPr>
                <w:rFonts w:cs="宋体" w:hint="eastAsia"/>
                <w:sz w:val="18"/>
                <w:szCs w:val="18"/>
                <w:lang w:bidi="ne-NP"/>
              </w:rPr>
              <w:t>万人；</w:t>
            </w:r>
            <w:r w:rsidRPr="002B55E9">
              <w:rPr>
                <w:rFonts w:cs="宋体"/>
                <w:sz w:val="18"/>
                <w:szCs w:val="18"/>
                <w:lang w:bidi="ne-NP"/>
              </w:rPr>
              <w:t>或周边</w:t>
            </w:r>
            <w:r w:rsidRPr="002B55E9">
              <w:rPr>
                <w:rFonts w:cs="宋体"/>
                <w:sz w:val="18"/>
                <w:szCs w:val="18"/>
                <w:lang w:bidi="ne-NP"/>
              </w:rPr>
              <w:t>500</w:t>
            </w:r>
            <w:r w:rsidRPr="002B55E9">
              <w:rPr>
                <w:rFonts w:cs="宋体"/>
                <w:sz w:val="18"/>
                <w:szCs w:val="18"/>
                <w:lang w:bidi="ne-NP"/>
              </w:rPr>
              <w:t>米范围内人口总数</w:t>
            </w:r>
            <w:r w:rsidRPr="002B55E9">
              <w:rPr>
                <w:rFonts w:cs="宋体" w:hint="eastAsia"/>
                <w:sz w:val="18"/>
                <w:szCs w:val="18"/>
                <w:lang w:bidi="ne-NP"/>
              </w:rPr>
              <w:t>大于</w:t>
            </w:r>
            <w:r w:rsidRPr="002B55E9">
              <w:rPr>
                <w:rFonts w:cs="宋体"/>
                <w:sz w:val="18"/>
                <w:szCs w:val="18"/>
                <w:lang w:bidi="ne-NP"/>
              </w:rPr>
              <w:t>500</w:t>
            </w:r>
            <w:r w:rsidRPr="002B55E9">
              <w:rPr>
                <w:rFonts w:cs="宋体"/>
                <w:sz w:val="18"/>
                <w:szCs w:val="18"/>
                <w:lang w:bidi="ne-NP"/>
              </w:rPr>
              <w:t>人</w:t>
            </w:r>
            <w:r w:rsidRPr="002B55E9">
              <w:rPr>
                <w:rFonts w:cs="宋体" w:hint="eastAsia"/>
                <w:sz w:val="18"/>
                <w:szCs w:val="18"/>
                <w:lang w:bidi="ne-NP"/>
              </w:rPr>
              <w:t>，</w:t>
            </w:r>
            <w:r w:rsidRPr="002B55E9">
              <w:rPr>
                <w:rFonts w:cs="宋体"/>
                <w:sz w:val="18"/>
                <w:szCs w:val="18"/>
                <w:lang w:bidi="ne-NP"/>
              </w:rPr>
              <w:t>小于</w:t>
            </w:r>
            <w:r w:rsidRPr="002B55E9">
              <w:rPr>
                <w:rFonts w:cs="宋体" w:hint="eastAsia"/>
                <w:sz w:val="18"/>
                <w:szCs w:val="18"/>
                <w:lang w:bidi="ne-NP"/>
              </w:rPr>
              <w:t>1000</w:t>
            </w:r>
            <w:r w:rsidRPr="002B55E9">
              <w:rPr>
                <w:rFonts w:cs="宋体" w:hint="eastAsia"/>
                <w:sz w:val="18"/>
                <w:szCs w:val="18"/>
                <w:lang w:bidi="ne-NP"/>
              </w:rPr>
              <w:t>人；油气、</w:t>
            </w:r>
            <w:r w:rsidRPr="002B55E9">
              <w:rPr>
                <w:rFonts w:cs="宋体"/>
                <w:sz w:val="18"/>
                <w:szCs w:val="18"/>
                <w:lang w:bidi="ne-NP"/>
              </w:rPr>
              <w:t>化学品输送</w:t>
            </w:r>
            <w:r w:rsidRPr="002B55E9">
              <w:rPr>
                <w:rFonts w:cs="宋体" w:hint="eastAsia"/>
                <w:sz w:val="18"/>
                <w:szCs w:val="18"/>
                <w:lang w:bidi="ne-NP"/>
              </w:rPr>
              <w:t>管线</w:t>
            </w:r>
            <w:r w:rsidRPr="002B55E9">
              <w:rPr>
                <w:rFonts w:cs="宋体"/>
                <w:sz w:val="18"/>
                <w:szCs w:val="18"/>
                <w:lang w:bidi="ne-NP"/>
              </w:rPr>
              <w:t>管段周边</w:t>
            </w:r>
            <w:r w:rsidRPr="002B55E9">
              <w:rPr>
                <w:rFonts w:cs="宋体" w:hint="eastAsia"/>
                <w:sz w:val="18"/>
                <w:szCs w:val="18"/>
                <w:lang w:bidi="ne-NP"/>
              </w:rPr>
              <w:t>200</w:t>
            </w:r>
            <w:r w:rsidRPr="002B55E9">
              <w:rPr>
                <w:rFonts w:cs="宋体"/>
                <w:sz w:val="18"/>
                <w:szCs w:val="18"/>
                <w:lang w:bidi="ne-NP"/>
              </w:rPr>
              <w:t>m</w:t>
            </w:r>
            <w:r w:rsidRPr="002B55E9">
              <w:rPr>
                <w:rFonts w:cs="宋体"/>
                <w:sz w:val="18"/>
                <w:szCs w:val="18"/>
                <w:lang w:bidi="ne-NP"/>
              </w:rPr>
              <w:t>范围内，每千米管段人口数大于</w:t>
            </w:r>
            <w:r w:rsidRPr="002B55E9">
              <w:rPr>
                <w:rFonts w:cs="宋体"/>
                <w:sz w:val="18"/>
                <w:szCs w:val="18"/>
                <w:lang w:bidi="ne-NP"/>
              </w:rPr>
              <w:t>1</w:t>
            </w:r>
            <w:r w:rsidRPr="002B55E9">
              <w:rPr>
                <w:rFonts w:cs="宋体" w:hint="eastAsia"/>
                <w:sz w:val="18"/>
                <w:szCs w:val="18"/>
                <w:lang w:bidi="ne-NP"/>
              </w:rPr>
              <w:t>00</w:t>
            </w:r>
            <w:r w:rsidRPr="002B55E9">
              <w:rPr>
                <w:rFonts w:cs="宋体" w:hint="eastAsia"/>
                <w:sz w:val="18"/>
                <w:szCs w:val="18"/>
                <w:lang w:bidi="ne-NP"/>
              </w:rPr>
              <w:t>人，</w:t>
            </w:r>
            <w:r w:rsidRPr="002B55E9">
              <w:rPr>
                <w:rFonts w:cs="宋体"/>
                <w:sz w:val="18"/>
                <w:szCs w:val="18"/>
                <w:lang w:bidi="ne-NP"/>
              </w:rPr>
              <w:t>小于</w:t>
            </w:r>
            <w:r w:rsidRPr="002B55E9">
              <w:rPr>
                <w:rFonts w:cs="宋体" w:hint="eastAsia"/>
                <w:sz w:val="18"/>
                <w:szCs w:val="18"/>
                <w:lang w:bidi="ne-NP"/>
              </w:rPr>
              <w:t>200</w:t>
            </w:r>
            <w:r w:rsidRPr="002B55E9">
              <w:rPr>
                <w:rFonts w:cs="宋体" w:hint="eastAsia"/>
                <w:sz w:val="18"/>
                <w:szCs w:val="18"/>
                <w:lang w:bidi="ne-NP"/>
              </w:rPr>
              <w:t>人</w:t>
            </w:r>
          </w:p>
        </w:tc>
      </w:tr>
      <w:tr w:rsidR="00C60999" w:rsidRPr="002B55E9" w14:paraId="03A3642D" w14:textId="77777777">
        <w:trPr>
          <w:trHeight w:val="535"/>
        </w:trPr>
        <w:tc>
          <w:tcPr>
            <w:tcW w:w="1951" w:type="dxa"/>
            <w:vAlign w:val="center"/>
          </w:tcPr>
          <w:p w14:paraId="3C03946F"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sz w:val="18"/>
                <w:szCs w:val="18"/>
                <w:lang w:bidi="ne-NP"/>
              </w:rPr>
              <w:t>E3</w:t>
            </w:r>
          </w:p>
        </w:tc>
        <w:tc>
          <w:tcPr>
            <w:tcW w:w="7904" w:type="dxa"/>
            <w:vAlign w:val="center"/>
          </w:tcPr>
          <w:p w14:paraId="70623BF7"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周边</w:t>
            </w:r>
            <w:r w:rsidRPr="002B55E9">
              <w:rPr>
                <w:rFonts w:cs="宋体"/>
                <w:sz w:val="18"/>
                <w:szCs w:val="18"/>
                <w:lang w:bidi="ne-NP"/>
              </w:rPr>
              <w:t>5</w:t>
            </w:r>
            <w:r w:rsidRPr="002B55E9">
              <w:rPr>
                <w:rFonts w:cs="宋体"/>
                <w:sz w:val="18"/>
                <w:szCs w:val="18"/>
                <w:lang w:bidi="ne-NP"/>
              </w:rPr>
              <w:t>公里范围内居住区、医疗卫生、文化教育、科研、行政</w:t>
            </w:r>
            <w:r w:rsidRPr="002B55E9">
              <w:rPr>
                <w:rFonts w:cs="宋体" w:hint="eastAsia"/>
                <w:sz w:val="18"/>
                <w:szCs w:val="18"/>
                <w:lang w:bidi="ne-NP"/>
              </w:rPr>
              <w:t>办公等</w:t>
            </w:r>
            <w:r w:rsidRPr="002B55E9">
              <w:rPr>
                <w:rFonts w:cs="宋体"/>
                <w:sz w:val="18"/>
                <w:szCs w:val="18"/>
                <w:lang w:bidi="ne-NP"/>
              </w:rPr>
              <w:t>机构人口总数</w:t>
            </w:r>
            <w:r w:rsidRPr="002B55E9">
              <w:rPr>
                <w:rFonts w:cs="宋体" w:hint="eastAsia"/>
                <w:sz w:val="18"/>
                <w:szCs w:val="18"/>
                <w:lang w:bidi="ne-NP"/>
              </w:rPr>
              <w:t>小于</w:t>
            </w:r>
            <w:r w:rsidRPr="002B55E9">
              <w:rPr>
                <w:rFonts w:cs="宋体" w:hint="eastAsia"/>
                <w:sz w:val="18"/>
                <w:szCs w:val="18"/>
                <w:lang w:bidi="ne-NP"/>
              </w:rPr>
              <w:t>1</w:t>
            </w:r>
            <w:r w:rsidRPr="002B55E9">
              <w:rPr>
                <w:rFonts w:cs="宋体"/>
                <w:sz w:val="18"/>
                <w:szCs w:val="18"/>
                <w:lang w:bidi="ne-NP"/>
              </w:rPr>
              <w:t>万人</w:t>
            </w:r>
            <w:r w:rsidRPr="002B55E9">
              <w:rPr>
                <w:rFonts w:cs="宋体" w:hint="eastAsia"/>
                <w:sz w:val="18"/>
                <w:szCs w:val="18"/>
                <w:lang w:bidi="ne-NP"/>
              </w:rPr>
              <w:t>；</w:t>
            </w:r>
            <w:r w:rsidRPr="002B55E9">
              <w:rPr>
                <w:rFonts w:cs="宋体"/>
                <w:sz w:val="18"/>
                <w:szCs w:val="18"/>
                <w:lang w:bidi="ne-NP"/>
              </w:rPr>
              <w:t>或周边</w:t>
            </w:r>
            <w:r w:rsidRPr="002B55E9">
              <w:rPr>
                <w:rFonts w:cs="宋体"/>
                <w:sz w:val="18"/>
                <w:szCs w:val="18"/>
                <w:lang w:bidi="ne-NP"/>
              </w:rPr>
              <w:t>500</w:t>
            </w:r>
            <w:r w:rsidRPr="002B55E9">
              <w:rPr>
                <w:rFonts w:cs="宋体"/>
                <w:sz w:val="18"/>
                <w:szCs w:val="18"/>
                <w:lang w:bidi="ne-NP"/>
              </w:rPr>
              <w:t>米范围内人口总数</w:t>
            </w:r>
            <w:r w:rsidRPr="002B55E9">
              <w:rPr>
                <w:rFonts w:cs="宋体" w:hint="eastAsia"/>
                <w:sz w:val="18"/>
                <w:szCs w:val="18"/>
                <w:lang w:bidi="ne-NP"/>
              </w:rPr>
              <w:t>小于</w:t>
            </w:r>
            <w:r w:rsidRPr="002B55E9">
              <w:rPr>
                <w:rFonts w:cs="宋体" w:hint="eastAsia"/>
                <w:sz w:val="18"/>
                <w:szCs w:val="18"/>
                <w:lang w:bidi="ne-NP"/>
              </w:rPr>
              <w:t>500</w:t>
            </w:r>
            <w:r w:rsidRPr="002B55E9">
              <w:rPr>
                <w:rFonts w:cs="宋体"/>
                <w:sz w:val="18"/>
                <w:szCs w:val="18"/>
                <w:lang w:bidi="ne-NP"/>
              </w:rPr>
              <w:t>人</w:t>
            </w:r>
            <w:r w:rsidRPr="002B55E9">
              <w:rPr>
                <w:rFonts w:cs="宋体" w:hint="eastAsia"/>
                <w:sz w:val="18"/>
                <w:szCs w:val="18"/>
                <w:lang w:bidi="ne-NP"/>
              </w:rPr>
              <w:t>；油气、</w:t>
            </w:r>
            <w:r w:rsidRPr="002B55E9">
              <w:rPr>
                <w:rFonts w:cs="宋体"/>
                <w:sz w:val="18"/>
                <w:szCs w:val="18"/>
                <w:lang w:bidi="ne-NP"/>
              </w:rPr>
              <w:t>化学品输送</w:t>
            </w:r>
            <w:r w:rsidRPr="002B55E9">
              <w:rPr>
                <w:rFonts w:cs="宋体" w:hint="eastAsia"/>
                <w:sz w:val="18"/>
                <w:szCs w:val="18"/>
                <w:lang w:bidi="ne-NP"/>
              </w:rPr>
              <w:t>管线</w:t>
            </w:r>
            <w:r w:rsidRPr="002B55E9">
              <w:rPr>
                <w:rFonts w:cs="宋体"/>
                <w:sz w:val="18"/>
                <w:szCs w:val="18"/>
                <w:lang w:bidi="ne-NP"/>
              </w:rPr>
              <w:t>管段周边</w:t>
            </w:r>
            <w:r w:rsidRPr="002B55E9">
              <w:rPr>
                <w:rFonts w:cs="宋体" w:hint="eastAsia"/>
                <w:sz w:val="18"/>
                <w:szCs w:val="18"/>
                <w:lang w:bidi="ne-NP"/>
              </w:rPr>
              <w:t>200</w:t>
            </w:r>
            <w:r w:rsidRPr="002B55E9">
              <w:rPr>
                <w:rFonts w:cs="宋体"/>
                <w:sz w:val="18"/>
                <w:szCs w:val="18"/>
                <w:lang w:bidi="ne-NP"/>
              </w:rPr>
              <w:t>m</w:t>
            </w:r>
            <w:r w:rsidRPr="002B55E9">
              <w:rPr>
                <w:rFonts w:cs="宋体"/>
                <w:sz w:val="18"/>
                <w:szCs w:val="18"/>
                <w:lang w:bidi="ne-NP"/>
              </w:rPr>
              <w:t>范围内，每千米管段人口数</w:t>
            </w:r>
            <w:r w:rsidRPr="002B55E9">
              <w:rPr>
                <w:rFonts w:cs="宋体" w:hint="eastAsia"/>
                <w:sz w:val="18"/>
                <w:szCs w:val="18"/>
                <w:lang w:bidi="ne-NP"/>
              </w:rPr>
              <w:t>小于</w:t>
            </w:r>
            <w:r w:rsidRPr="002B55E9">
              <w:rPr>
                <w:rFonts w:cs="宋体" w:hint="eastAsia"/>
                <w:sz w:val="18"/>
                <w:szCs w:val="18"/>
                <w:lang w:bidi="ne-NP"/>
              </w:rPr>
              <w:t>100</w:t>
            </w:r>
            <w:r w:rsidRPr="002B55E9">
              <w:rPr>
                <w:rFonts w:cs="宋体" w:hint="eastAsia"/>
                <w:sz w:val="18"/>
                <w:szCs w:val="18"/>
                <w:lang w:bidi="ne-NP"/>
              </w:rPr>
              <w:t>人</w:t>
            </w:r>
          </w:p>
        </w:tc>
      </w:tr>
    </w:tbl>
    <w:p w14:paraId="2E46C620"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本项目为生产类建设项目，原料和产品均通过汽车转运，不涉及油气、化学品输送等长输管线建设。因此根据《建设项目环境风险评价技术导则》（</w:t>
      </w:r>
      <w:r w:rsidRPr="002B55E9">
        <w:rPr>
          <w:bCs/>
          <w:snapToGrid w:val="0"/>
          <w:sz w:val="24"/>
          <w:lang w:val="zh-CN"/>
        </w:rPr>
        <w:t>HJ169-2018</w:t>
      </w:r>
      <w:r w:rsidRPr="002B55E9">
        <w:rPr>
          <w:bCs/>
          <w:snapToGrid w:val="0"/>
          <w:sz w:val="24"/>
          <w:lang w:val="zh-CN"/>
        </w:rPr>
        <w:t>）附录</w:t>
      </w:r>
      <w:r w:rsidRPr="002B55E9">
        <w:rPr>
          <w:rFonts w:hint="eastAsia"/>
          <w:bCs/>
          <w:snapToGrid w:val="0"/>
          <w:sz w:val="24"/>
          <w:lang w:val="zh-CN"/>
        </w:rPr>
        <w:t>D</w:t>
      </w:r>
      <w:r w:rsidRPr="002B55E9">
        <w:rPr>
          <w:rFonts w:hint="eastAsia"/>
          <w:bCs/>
          <w:snapToGrid w:val="0"/>
          <w:sz w:val="24"/>
          <w:lang w:val="zh-CN"/>
        </w:rPr>
        <w:t>表</w:t>
      </w:r>
      <w:r w:rsidRPr="002B55E9">
        <w:rPr>
          <w:rFonts w:hint="eastAsia"/>
          <w:bCs/>
          <w:snapToGrid w:val="0"/>
          <w:sz w:val="24"/>
          <w:lang w:val="zh-CN"/>
        </w:rPr>
        <w:t>D.1</w:t>
      </w:r>
      <w:r w:rsidRPr="002B55E9">
        <w:rPr>
          <w:rFonts w:hint="eastAsia"/>
          <w:bCs/>
          <w:snapToGrid w:val="0"/>
          <w:sz w:val="24"/>
          <w:lang w:val="zh-CN"/>
        </w:rPr>
        <w:t>，本次评价主要对厂址周边</w:t>
      </w:r>
      <w:r w:rsidRPr="002B55E9">
        <w:rPr>
          <w:rFonts w:hint="eastAsia"/>
          <w:bCs/>
          <w:snapToGrid w:val="0"/>
          <w:sz w:val="24"/>
          <w:lang w:val="zh-CN"/>
        </w:rPr>
        <w:t>5km</w:t>
      </w:r>
      <w:r w:rsidRPr="002B55E9">
        <w:rPr>
          <w:rFonts w:hint="eastAsia"/>
          <w:bCs/>
          <w:snapToGrid w:val="0"/>
          <w:sz w:val="24"/>
          <w:lang w:val="zh-CN"/>
        </w:rPr>
        <w:t>范围内居住区、医疗卫生、文化教育、科研、行政办公等环境空气敏感目标进行了调查，具体调查结果见上表。</w:t>
      </w:r>
    </w:p>
    <w:p w14:paraId="6C2B80CE" w14:textId="77777777" w:rsidR="00D170E5" w:rsidRPr="002B55E9" w:rsidRDefault="00EF27AD">
      <w:pPr>
        <w:pStyle w:val="1f3"/>
        <w:snapToGrid w:val="0"/>
        <w:spacing w:beforeLines="0" w:before="0" w:line="360" w:lineRule="auto"/>
        <w:ind w:firstLineChars="200" w:firstLine="480"/>
        <w:jc w:val="both"/>
        <w:rPr>
          <w:rFonts w:ascii="宋体" w:eastAsia="宋体" w:hAnsi="宋体"/>
          <w:b w:val="0"/>
        </w:rPr>
      </w:pPr>
      <w:r w:rsidRPr="002B55E9">
        <w:rPr>
          <w:rFonts w:ascii="宋体" w:eastAsia="宋体" w:hAnsi="宋体" w:hint="eastAsia"/>
          <w:b w:val="0"/>
          <w:snapToGrid w:val="0"/>
          <w:lang w:val="zh-CN"/>
        </w:rPr>
        <w:t>根据调查，</w:t>
      </w:r>
      <w:r w:rsidRPr="002B55E9">
        <w:rPr>
          <w:rFonts w:ascii="宋体" w:eastAsia="宋体" w:hAnsi="宋体"/>
          <w:b w:val="0"/>
          <w:snapToGrid w:val="0"/>
        </w:rPr>
        <w:t>项目周边</w:t>
      </w:r>
      <w:r w:rsidRPr="002B55E9">
        <w:rPr>
          <w:rFonts w:eastAsia="宋体"/>
          <w:b w:val="0"/>
          <w:snapToGrid w:val="0"/>
        </w:rPr>
        <w:t>5</w:t>
      </w:r>
      <w:r w:rsidRPr="002B55E9">
        <w:rPr>
          <w:rFonts w:ascii="宋体" w:eastAsia="宋体" w:hAnsi="宋体"/>
          <w:b w:val="0"/>
          <w:snapToGrid w:val="0"/>
        </w:rPr>
        <w:t>.</w:t>
      </w:r>
      <w:r w:rsidRPr="002B55E9">
        <w:rPr>
          <w:rFonts w:eastAsia="宋体"/>
          <w:b w:val="0"/>
          <w:snapToGrid w:val="0"/>
        </w:rPr>
        <w:t>0km</w:t>
      </w:r>
      <w:r w:rsidRPr="002B55E9">
        <w:rPr>
          <w:rFonts w:ascii="宋体" w:eastAsia="宋体" w:hAnsi="宋体"/>
          <w:b w:val="0"/>
          <w:snapToGrid w:val="0"/>
        </w:rPr>
        <w:t>范围内敏感点总人数约为</w:t>
      </w:r>
      <w:r w:rsidRPr="002B55E9">
        <w:rPr>
          <w:rFonts w:eastAsia="宋体"/>
          <w:b w:val="0"/>
          <w:snapToGrid w:val="0"/>
        </w:rPr>
        <w:t>5</w:t>
      </w:r>
      <w:r w:rsidRPr="002B55E9">
        <w:rPr>
          <w:rFonts w:ascii="宋体" w:eastAsia="宋体" w:hAnsi="宋体"/>
          <w:b w:val="0"/>
          <w:snapToGrid w:val="0"/>
        </w:rPr>
        <w:t>.</w:t>
      </w:r>
      <w:r w:rsidRPr="002B55E9">
        <w:rPr>
          <w:rFonts w:eastAsia="宋体"/>
          <w:b w:val="0"/>
          <w:snapToGrid w:val="0"/>
        </w:rPr>
        <w:t>135</w:t>
      </w:r>
      <w:r w:rsidRPr="002B55E9">
        <w:rPr>
          <w:rFonts w:ascii="宋体" w:eastAsia="宋体" w:hAnsi="宋体" w:hint="eastAsia"/>
          <w:b w:val="0"/>
          <w:snapToGrid w:val="0"/>
        </w:rPr>
        <w:t>万</w:t>
      </w:r>
      <w:r w:rsidRPr="002B55E9">
        <w:rPr>
          <w:rFonts w:ascii="宋体" w:eastAsia="宋体" w:hAnsi="宋体"/>
          <w:b w:val="0"/>
          <w:snapToGrid w:val="0"/>
        </w:rPr>
        <w:t>人</w:t>
      </w:r>
      <w:r w:rsidRPr="002B55E9">
        <w:rPr>
          <w:rFonts w:ascii="宋体" w:eastAsia="宋体" w:hAnsi="宋体" w:hint="eastAsia"/>
          <w:b w:val="0"/>
          <w:snapToGrid w:val="0"/>
        </w:rPr>
        <w:t>，大于</w:t>
      </w:r>
      <w:r w:rsidRPr="002B55E9">
        <w:rPr>
          <w:rFonts w:eastAsia="宋体" w:hint="eastAsia"/>
          <w:b w:val="0"/>
          <w:snapToGrid w:val="0"/>
        </w:rPr>
        <w:t>5</w:t>
      </w:r>
      <w:r w:rsidRPr="002B55E9">
        <w:rPr>
          <w:rFonts w:ascii="宋体" w:eastAsia="宋体" w:hAnsi="宋体" w:hint="eastAsia"/>
          <w:b w:val="0"/>
          <w:snapToGrid w:val="0"/>
        </w:rPr>
        <w:t>万人；</w:t>
      </w:r>
      <w:r w:rsidRPr="002B55E9">
        <w:rPr>
          <w:rFonts w:ascii="宋体" w:eastAsia="宋体" w:hAnsi="宋体"/>
          <w:b w:val="0"/>
          <w:snapToGrid w:val="0"/>
        </w:rPr>
        <w:t>周边</w:t>
      </w:r>
      <w:r w:rsidRPr="002B55E9">
        <w:rPr>
          <w:rFonts w:eastAsia="宋体"/>
          <w:b w:val="0"/>
          <w:snapToGrid w:val="0"/>
        </w:rPr>
        <w:t>500m</w:t>
      </w:r>
      <w:r w:rsidRPr="002B55E9">
        <w:rPr>
          <w:rFonts w:ascii="宋体" w:eastAsia="宋体" w:hAnsi="宋体"/>
          <w:b w:val="0"/>
          <w:snapToGrid w:val="0"/>
        </w:rPr>
        <w:t>范围内人口（含周边工业企业员工）总数约为300人</w:t>
      </w:r>
      <w:r w:rsidRPr="002B55E9">
        <w:rPr>
          <w:rFonts w:ascii="宋体" w:eastAsia="宋体" w:hAnsi="宋体" w:hint="eastAsia"/>
          <w:b w:val="0"/>
          <w:snapToGrid w:val="0"/>
        </w:rPr>
        <w:t>，小于</w:t>
      </w:r>
      <w:r w:rsidRPr="002B55E9">
        <w:rPr>
          <w:rFonts w:eastAsia="宋体" w:hint="eastAsia"/>
          <w:b w:val="0"/>
          <w:snapToGrid w:val="0"/>
        </w:rPr>
        <w:t>1000</w:t>
      </w:r>
      <w:r w:rsidRPr="002B55E9">
        <w:rPr>
          <w:rFonts w:ascii="宋体" w:eastAsia="宋体" w:hAnsi="宋体" w:hint="eastAsia"/>
          <w:b w:val="0"/>
          <w:snapToGrid w:val="0"/>
        </w:rPr>
        <w:t>人；</w:t>
      </w:r>
      <w:r w:rsidRPr="002B55E9">
        <w:rPr>
          <w:rFonts w:ascii="宋体" w:eastAsia="宋体" w:hAnsi="宋体"/>
          <w:b w:val="0"/>
          <w:snapToGrid w:val="0"/>
        </w:rPr>
        <w:t>本企业大气环境</w:t>
      </w:r>
      <w:r w:rsidRPr="002B55E9">
        <w:rPr>
          <w:rFonts w:ascii="宋体" w:eastAsia="宋体" w:hAnsi="宋体"/>
          <w:b w:val="0"/>
          <w:snapToGrid w:val="0"/>
        </w:rPr>
        <w:lastRenderedPageBreak/>
        <w:t>风险受体敏感程度类型为</w:t>
      </w:r>
      <w:r w:rsidRPr="002B55E9">
        <w:rPr>
          <w:rFonts w:eastAsia="宋体"/>
          <w:b w:val="0"/>
          <w:snapToGrid w:val="0"/>
        </w:rPr>
        <w:t>E1</w:t>
      </w:r>
      <w:r w:rsidRPr="002B55E9">
        <w:rPr>
          <w:rFonts w:eastAsia="宋体" w:hint="eastAsia"/>
          <w:b w:val="0"/>
          <w:snapToGrid w:val="0"/>
        </w:rPr>
        <w:t>。</w:t>
      </w:r>
    </w:p>
    <w:p w14:paraId="5BF94E1A" w14:textId="77777777" w:rsidR="00D170E5" w:rsidRPr="002B55E9" w:rsidRDefault="00EF27AD">
      <w:pPr>
        <w:pStyle w:val="5"/>
      </w:pPr>
      <w:r w:rsidRPr="002B55E9">
        <w:rPr>
          <w:rFonts w:hint="eastAsia"/>
        </w:rPr>
        <w:t>地表水敏感目标调查</w:t>
      </w:r>
    </w:p>
    <w:p w14:paraId="0636319C"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w:t>
      </w:r>
      <w:r w:rsidRPr="002B55E9">
        <w:rPr>
          <w:bCs/>
          <w:snapToGrid w:val="0"/>
          <w:sz w:val="24"/>
        </w:rPr>
        <w:t>《建设项目环境风险评价技术导则》（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附录</w:t>
      </w:r>
      <w:r w:rsidRPr="002B55E9">
        <w:rPr>
          <w:rFonts w:hint="eastAsia"/>
          <w:bCs/>
          <w:snapToGrid w:val="0"/>
          <w:sz w:val="24"/>
        </w:rPr>
        <w:t>D</w:t>
      </w:r>
      <w:r w:rsidRPr="002B55E9">
        <w:rPr>
          <w:rFonts w:hint="eastAsia"/>
          <w:bCs/>
          <w:snapToGrid w:val="0"/>
          <w:sz w:val="24"/>
        </w:rPr>
        <w:t>，地表水环境</w:t>
      </w:r>
      <w:r w:rsidRPr="002B55E9">
        <w:rPr>
          <w:bCs/>
          <w:snapToGrid w:val="0"/>
          <w:sz w:val="24"/>
        </w:rPr>
        <w:t>敏感</w:t>
      </w:r>
      <w:r w:rsidRPr="002B55E9">
        <w:rPr>
          <w:rFonts w:hint="eastAsia"/>
          <w:bCs/>
          <w:snapToGrid w:val="0"/>
          <w:sz w:val="24"/>
        </w:rPr>
        <w:t>程度依据事故情况下</w:t>
      </w:r>
      <w:r w:rsidRPr="002B55E9">
        <w:rPr>
          <w:bCs/>
          <w:snapToGrid w:val="0"/>
          <w:sz w:val="24"/>
        </w:rPr>
        <w:t>危险物质泄漏到水体的排放点受纳地表水体</w:t>
      </w:r>
      <w:r w:rsidRPr="002B55E9">
        <w:rPr>
          <w:rFonts w:hint="eastAsia"/>
          <w:bCs/>
          <w:snapToGrid w:val="0"/>
          <w:sz w:val="24"/>
        </w:rPr>
        <w:t>功能</w:t>
      </w:r>
      <w:r w:rsidRPr="002B55E9">
        <w:rPr>
          <w:bCs/>
          <w:snapToGrid w:val="0"/>
          <w:sz w:val="24"/>
        </w:rPr>
        <w:t>敏感性与下游环境敏感目标情况共分为三类：</w:t>
      </w:r>
      <w:r w:rsidRPr="002B55E9">
        <w:rPr>
          <w:rFonts w:hint="eastAsia"/>
          <w:bCs/>
          <w:snapToGrid w:val="0"/>
          <w:sz w:val="24"/>
        </w:rPr>
        <w:t xml:space="preserve"> E1</w:t>
      </w:r>
      <w:r w:rsidRPr="002B55E9">
        <w:rPr>
          <w:rFonts w:hint="eastAsia"/>
          <w:bCs/>
          <w:snapToGrid w:val="0"/>
          <w:sz w:val="24"/>
        </w:rPr>
        <w:t>环境高度敏感区</w:t>
      </w:r>
      <w:r w:rsidRPr="002B55E9">
        <w:rPr>
          <w:bCs/>
          <w:snapToGrid w:val="0"/>
          <w:sz w:val="24"/>
        </w:rPr>
        <w:t>，</w:t>
      </w:r>
      <w:r w:rsidRPr="002B55E9">
        <w:rPr>
          <w:rFonts w:hint="eastAsia"/>
          <w:bCs/>
          <w:snapToGrid w:val="0"/>
          <w:sz w:val="24"/>
        </w:rPr>
        <w:t xml:space="preserve">E2 </w:t>
      </w:r>
      <w:r w:rsidRPr="002B55E9">
        <w:rPr>
          <w:rFonts w:hint="eastAsia"/>
          <w:bCs/>
          <w:snapToGrid w:val="0"/>
          <w:sz w:val="24"/>
        </w:rPr>
        <w:t>环境中度敏感区</w:t>
      </w:r>
      <w:r w:rsidRPr="002B55E9">
        <w:rPr>
          <w:bCs/>
          <w:snapToGrid w:val="0"/>
          <w:sz w:val="24"/>
        </w:rPr>
        <w:t>，</w:t>
      </w:r>
      <w:r w:rsidRPr="002B55E9">
        <w:rPr>
          <w:rFonts w:hint="eastAsia"/>
          <w:bCs/>
          <w:snapToGrid w:val="0"/>
          <w:sz w:val="24"/>
        </w:rPr>
        <w:t xml:space="preserve"> E3 </w:t>
      </w:r>
      <w:r w:rsidRPr="002B55E9">
        <w:rPr>
          <w:rFonts w:hint="eastAsia"/>
          <w:bCs/>
          <w:snapToGrid w:val="0"/>
          <w:sz w:val="24"/>
        </w:rPr>
        <w:t>环境低度</w:t>
      </w:r>
      <w:r w:rsidRPr="002B55E9">
        <w:rPr>
          <w:bCs/>
          <w:snapToGrid w:val="0"/>
          <w:sz w:val="24"/>
        </w:rPr>
        <w:t>敏感区</w:t>
      </w:r>
      <w:r w:rsidRPr="002B55E9">
        <w:rPr>
          <w:rFonts w:hint="eastAsia"/>
          <w:bCs/>
          <w:snapToGrid w:val="0"/>
          <w:sz w:val="24"/>
        </w:rPr>
        <w:t>。地表水</w:t>
      </w:r>
      <w:r w:rsidRPr="002B55E9">
        <w:rPr>
          <w:bCs/>
          <w:snapToGrid w:val="0"/>
          <w:sz w:val="24"/>
        </w:rPr>
        <w:t>功能敏感性分区和环境敏感目标分级分别见</w:t>
      </w:r>
      <w:r w:rsidRPr="002B55E9">
        <w:rPr>
          <w:rFonts w:hint="eastAsia"/>
          <w:bCs/>
          <w:snapToGrid w:val="0"/>
          <w:sz w:val="24"/>
        </w:rPr>
        <w:t>下</w:t>
      </w:r>
      <w:r w:rsidRPr="002B55E9">
        <w:rPr>
          <w:bCs/>
          <w:snapToGrid w:val="0"/>
          <w:sz w:val="24"/>
        </w:rPr>
        <w:t>表</w:t>
      </w:r>
      <w:r w:rsidRPr="002B55E9">
        <w:rPr>
          <w:rFonts w:hint="eastAsia"/>
          <w:bCs/>
          <w:snapToGrid w:val="0"/>
          <w:sz w:val="24"/>
        </w:rPr>
        <w:t>。</w:t>
      </w:r>
    </w:p>
    <w:p w14:paraId="6819F24E"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-1-12  </w:t>
      </w:r>
      <w:r w:rsidRPr="002B55E9">
        <w:rPr>
          <w:rFonts w:eastAsia="黑体" w:hint="eastAsia"/>
          <w:b/>
          <w:sz w:val="24"/>
          <w:szCs w:val="28"/>
        </w:rPr>
        <w:t>地表水环境敏感程度</w:t>
      </w:r>
      <w:r w:rsidRPr="002B55E9">
        <w:rPr>
          <w:rFonts w:eastAsia="黑体"/>
          <w:b/>
          <w:sz w:val="24"/>
          <w:szCs w:val="28"/>
        </w:rPr>
        <w:t>类型</w:t>
      </w:r>
      <w:r w:rsidRPr="002B55E9">
        <w:rPr>
          <w:rFonts w:eastAsia="黑体" w:hint="eastAsia"/>
          <w:b/>
          <w:sz w:val="24"/>
          <w:szCs w:val="28"/>
        </w:rPr>
        <w:t>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29"/>
        <w:gridCol w:w="1804"/>
        <w:gridCol w:w="1804"/>
        <w:gridCol w:w="1802"/>
      </w:tblGrid>
      <w:tr w:rsidR="00C60999" w:rsidRPr="002B55E9" w14:paraId="642A0FC6" w14:textId="77777777">
        <w:trPr>
          <w:trHeight w:val="284"/>
        </w:trPr>
        <w:tc>
          <w:tcPr>
            <w:tcW w:w="4229" w:type="dxa"/>
            <w:vMerge w:val="restart"/>
            <w:tcBorders>
              <w:top w:val="single" w:sz="12" w:space="0" w:color="auto"/>
              <w:bottom w:val="single" w:sz="4" w:space="0" w:color="auto"/>
            </w:tcBorders>
            <w:vAlign w:val="center"/>
          </w:tcPr>
          <w:p w14:paraId="467182DC" w14:textId="77777777" w:rsidR="00D170E5" w:rsidRPr="002B55E9" w:rsidRDefault="00EF27AD">
            <w:pPr>
              <w:pStyle w:val="affffffffffffffffff6"/>
              <w:ind w:left="-40" w:right="-40"/>
              <w:rPr>
                <w:lang w:bidi="ne-NP"/>
              </w:rPr>
            </w:pPr>
            <w:r w:rsidRPr="002B55E9">
              <w:rPr>
                <w:rFonts w:hint="eastAsia"/>
                <w:lang w:bidi="ne-NP"/>
              </w:rPr>
              <w:t>环境敏感目标</w:t>
            </w:r>
          </w:p>
        </w:tc>
        <w:tc>
          <w:tcPr>
            <w:tcW w:w="5410" w:type="dxa"/>
            <w:gridSpan w:val="3"/>
            <w:tcBorders>
              <w:top w:val="single" w:sz="12" w:space="0" w:color="auto"/>
              <w:bottom w:val="single" w:sz="4" w:space="0" w:color="auto"/>
            </w:tcBorders>
            <w:vAlign w:val="center"/>
          </w:tcPr>
          <w:p w14:paraId="0BB61AAD" w14:textId="77777777" w:rsidR="00D170E5" w:rsidRPr="002B55E9" w:rsidRDefault="00EF27AD">
            <w:pPr>
              <w:pStyle w:val="affffffffffffffffff6"/>
              <w:ind w:left="-40" w:right="-40"/>
              <w:rPr>
                <w:lang w:bidi="ne-NP"/>
              </w:rPr>
            </w:pPr>
            <w:r w:rsidRPr="002B55E9">
              <w:rPr>
                <w:rFonts w:hint="eastAsia"/>
                <w:lang w:bidi="ne-NP"/>
              </w:rPr>
              <w:t>地表水功能敏感性</w:t>
            </w:r>
          </w:p>
        </w:tc>
      </w:tr>
      <w:tr w:rsidR="00C60999" w:rsidRPr="002B55E9" w14:paraId="6798FD06" w14:textId="77777777">
        <w:trPr>
          <w:trHeight w:val="284"/>
        </w:trPr>
        <w:tc>
          <w:tcPr>
            <w:tcW w:w="4229" w:type="dxa"/>
            <w:vMerge/>
            <w:tcBorders>
              <w:top w:val="single" w:sz="4" w:space="0" w:color="auto"/>
              <w:bottom w:val="single" w:sz="12" w:space="0" w:color="auto"/>
            </w:tcBorders>
            <w:vAlign w:val="center"/>
          </w:tcPr>
          <w:p w14:paraId="3CAC1039" w14:textId="77777777" w:rsidR="00D170E5" w:rsidRPr="002B55E9" w:rsidRDefault="00D170E5">
            <w:pPr>
              <w:pStyle w:val="affffffffffffffffff6"/>
              <w:ind w:left="-40" w:right="-40"/>
              <w:rPr>
                <w:lang w:bidi="ne-NP"/>
              </w:rPr>
            </w:pPr>
          </w:p>
        </w:tc>
        <w:tc>
          <w:tcPr>
            <w:tcW w:w="1804" w:type="dxa"/>
            <w:tcBorders>
              <w:top w:val="single" w:sz="4" w:space="0" w:color="auto"/>
              <w:bottom w:val="single" w:sz="12" w:space="0" w:color="auto"/>
            </w:tcBorders>
            <w:vAlign w:val="center"/>
          </w:tcPr>
          <w:p w14:paraId="2FF726C3" w14:textId="77777777" w:rsidR="00D170E5" w:rsidRPr="002B55E9" w:rsidRDefault="00EF27AD">
            <w:pPr>
              <w:pStyle w:val="affffffffffffffffff6"/>
              <w:ind w:left="-40" w:right="-40"/>
              <w:rPr>
                <w:lang w:bidi="ne-NP"/>
              </w:rPr>
            </w:pPr>
            <w:r w:rsidRPr="002B55E9">
              <w:rPr>
                <w:lang w:bidi="ne-NP"/>
              </w:rPr>
              <w:t>F1</w:t>
            </w:r>
          </w:p>
        </w:tc>
        <w:tc>
          <w:tcPr>
            <w:tcW w:w="1804" w:type="dxa"/>
            <w:tcBorders>
              <w:top w:val="single" w:sz="4" w:space="0" w:color="auto"/>
              <w:bottom w:val="single" w:sz="12" w:space="0" w:color="auto"/>
            </w:tcBorders>
            <w:vAlign w:val="center"/>
          </w:tcPr>
          <w:p w14:paraId="3796C854" w14:textId="77777777" w:rsidR="00D170E5" w:rsidRPr="002B55E9" w:rsidRDefault="00EF27AD">
            <w:pPr>
              <w:pStyle w:val="affffffffffffffffff6"/>
              <w:ind w:left="-40" w:right="-40"/>
              <w:rPr>
                <w:lang w:bidi="ne-NP"/>
              </w:rPr>
            </w:pPr>
            <w:r w:rsidRPr="002B55E9">
              <w:rPr>
                <w:lang w:bidi="ne-NP"/>
              </w:rPr>
              <w:t>F</w:t>
            </w:r>
            <w:r w:rsidRPr="002B55E9">
              <w:rPr>
                <w:rFonts w:hint="eastAsia"/>
                <w:lang w:bidi="ne-NP"/>
              </w:rPr>
              <w:t>2</w:t>
            </w:r>
          </w:p>
        </w:tc>
        <w:tc>
          <w:tcPr>
            <w:tcW w:w="1802" w:type="dxa"/>
            <w:tcBorders>
              <w:top w:val="single" w:sz="4" w:space="0" w:color="auto"/>
              <w:bottom w:val="single" w:sz="12" w:space="0" w:color="auto"/>
            </w:tcBorders>
            <w:vAlign w:val="center"/>
          </w:tcPr>
          <w:p w14:paraId="2E900EEA" w14:textId="77777777" w:rsidR="00D170E5" w:rsidRPr="002B55E9" w:rsidRDefault="00EF27AD">
            <w:pPr>
              <w:pStyle w:val="affffffffffffffffff6"/>
              <w:ind w:left="-40" w:right="-40"/>
              <w:rPr>
                <w:lang w:bidi="ne-NP"/>
              </w:rPr>
            </w:pPr>
            <w:r w:rsidRPr="002B55E9">
              <w:rPr>
                <w:lang w:bidi="ne-NP"/>
              </w:rPr>
              <w:t>F</w:t>
            </w:r>
            <w:r w:rsidRPr="002B55E9">
              <w:rPr>
                <w:rFonts w:hint="eastAsia"/>
                <w:lang w:bidi="ne-NP"/>
              </w:rPr>
              <w:t>3</w:t>
            </w:r>
          </w:p>
        </w:tc>
      </w:tr>
      <w:tr w:rsidR="00C60999" w:rsidRPr="002B55E9" w14:paraId="3F4C9974" w14:textId="77777777">
        <w:trPr>
          <w:trHeight w:val="284"/>
        </w:trPr>
        <w:tc>
          <w:tcPr>
            <w:tcW w:w="4229" w:type="dxa"/>
            <w:tcBorders>
              <w:top w:val="single" w:sz="12" w:space="0" w:color="auto"/>
            </w:tcBorders>
            <w:vAlign w:val="center"/>
          </w:tcPr>
          <w:p w14:paraId="732FBD19" w14:textId="77777777" w:rsidR="00D170E5" w:rsidRPr="002B55E9" w:rsidRDefault="00EF27AD">
            <w:pPr>
              <w:pStyle w:val="affffffffffffffffff6"/>
              <w:ind w:left="-40" w:right="-40"/>
              <w:rPr>
                <w:lang w:bidi="ne-NP"/>
              </w:rPr>
            </w:pPr>
            <w:r w:rsidRPr="002B55E9">
              <w:rPr>
                <w:rFonts w:hint="eastAsia"/>
                <w:lang w:bidi="ne-NP"/>
              </w:rPr>
              <w:t>S1</w:t>
            </w:r>
          </w:p>
        </w:tc>
        <w:tc>
          <w:tcPr>
            <w:tcW w:w="1804" w:type="dxa"/>
            <w:tcBorders>
              <w:top w:val="single" w:sz="12" w:space="0" w:color="auto"/>
            </w:tcBorders>
            <w:vAlign w:val="center"/>
          </w:tcPr>
          <w:p w14:paraId="097653D5" w14:textId="77777777" w:rsidR="00D170E5" w:rsidRPr="002B55E9" w:rsidRDefault="00EF27AD">
            <w:pPr>
              <w:pStyle w:val="affffffffffffffffff6"/>
              <w:ind w:left="-40" w:right="-40"/>
              <w:rPr>
                <w:lang w:bidi="ne-NP"/>
              </w:rPr>
            </w:pPr>
            <w:r w:rsidRPr="002B55E9">
              <w:rPr>
                <w:lang w:bidi="ne-NP"/>
              </w:rPr>
              <w:t>E1</w:t>
            </w:r>
          </w:p>
        </w:tc>
        <w:tc>
          <w:tcPr>
            <w:tcW w:w="1804" w:type="dxa"/>
            <w:tcBorders>
              <w:top w:val="single" w:sz="12" w:space="0" w:color="auto"/>
            </w:tcBorders>
            <w:vAlign w:val="center"/>
          </w:tcPr>
          <w:p w14:paraId="1B7ACDA6" w14:textId="77777777" w:rsidR="00D170E5" w:rsidRPr="002B55E9" w:rsidRDefault="00EF27AD">
            <w:pPr>
              <w:pStyle w:val="affffffffffffffffff6"/>
              <w:ind w:left="-40" w:right="-40"/>
              <w:rPr>
                <w:lang w:bidi="ne-NP"/>
              </w:rPr>
            </w:pPr>
            <w:r w:rsidRPr="002B55E9">
              <w:rPr>
                <w:lang w:bidi="ne-NP"/>
              </w:rPr>
              <w:t>E1</w:t>
            </w:r>
          </w:p>
        </w:tc>
        <w:tc>
          <w:tcPr>
            <w:tcW w:w="1802" w:type="dxa"/>
            <w:tcBorders>
              <w:top w:val="single" w:sz="12" w:space="0" w:color="auto"/>
            </w:tcBorders>
            <w:vAlign w:val="center"/>
          </w:tcPr>
          <w:p w14:paraId="513026C8" w14:textId="77777777" w:rsidR="00D170E5" w:rsidRPr="002B55E9" w:rsidRDefault="00EF27AD">
            <w:pPr>
              <w:pStyle w:val="affffffffffffffffff6"/>
              <w:ind w:left="-40" w:right="-40"/>
              <w:rPr>
                <w:lang w:bidi="ne-NP"/>
              </w:rPr>
            </w:pPr>
            <w:r w:rsidRPr="002B55E9">
              <w:rPr>
                <w:lang w:bidi="ne-NP"/>
              </w:rPr>
              <w:t>E2</w:t>
            </w:r>
          </w:p>
        </w:tc>
      </w:tr>
      <w:tr w:rsidR="00C60999" w:rsidRPr="002B55E9" w14:paraId="6B35A769" w14:textId="77777777">
        <w:trPr>
          <w:trHeight w:val="284"/>
        </w:trPr>
        <w:tc>
          <w:tcPr>
            <w:tcW w:w="4229" w:type="dxa"/>
            <w:vAlign w:val="center"/>
          </w:tcPr>
          <w:p w14:paraId="78A7C5F6" w14:textId="77777777" w:rsidR="00D170E5" w:rsidRPr="002B55E9" w:rsidRDefault="00EF27AD">
            <w:pPr>
              <w:pStyle w:val="affffffffffffffffff6"/>
              <w:ind w:left="-40" w:right="-40"/>
              <w:rPr>
                <w:lang w:bidi="ne-NP"/>
              </w:rPr>
            </w:pPr>
            <w:r w:rsidRPr="002B55E9">
              <w:rPr>
                <w:rFonts w:hint="eastAsia"/>
                <w:lang w:bidi="ne-NP"/>
              </w:rPr>
              <w:t>S2</w:t>
            </w:r>
          </w:p>
        </w:tc>
        <w:tc>
          <w:tcPr>
            <w:tcW w:w="1804" w:type="dxa"/>
            <w:vAlign w:val="center"/>
          </w:tcPr>
          <w:p w14:paraId="576271DE" w14:textId="77777777" w:rsidR="00D170E5" w:rsidRPr="002B55E9" w:rsidRDefault="00EF27AD">
            <w:pPr>
              <w:pStyle w:val="affffffffffffffffff6"/>
              <w:ind w:left="-40" w:right="-40"/>
              <w:rPr>
                <w:lang w:bidi="ne-NP"/>
              </w:rPr>
            </w:pPr>
            <w:r w:rsidRPr="002B55E9">
              <w:rPr>
                <w:lang w:bidi="ne-NP"/>
              </w:rPr>
              <w:t>E1</w:t>
            </w:r>
          </w:p>
        </w:tc>
        <w:tc>
          <w:tcPr>
            <w:tcW w:w="1804" w:type="dxa"/>
            <w:vAlign w:val="center"/>
          </w:tcPr>
          <w:p w14:paraId="76B72318" w14:textId="77777777" w:rsidR="00D170E5" w:rsidRPr="002B55E9" w:rsidRDefault="00EF27AD">
            <w:pPr>
              <w:pStyle w:val="affffffffffffffffff6"/>
              <w:ind w:left="-40" w:right="-40"/>
              <w:rPr>
                <w:lang w:bidi="ne-NP"/>
              </w:rPr>
            </w:pPr>
            <w:r w:rsidRPr="002B55E9">
              <w:rPr>
                <w:lang w:bidi="ne-NP"/>
              </w:rPr>
              <w:t>E</w:t>
            </w:r>
            <w:r w:rsidRPr="002B55E9">
              <w:rPr>
                <w:rFonts w:hint="eastAsia"/>
                <w:lang w:bidi="ne-NP"/>
              </w:rPr>
              <w:t>2</w:t>
            </w:r>
          </w:p>
        </w:tc>
        <w:tc>
          <w:tcPr>
            <w:tcW w:w="1802" w:type="dxa"/>
            <w:vAlign w:val="center"/>
          </w:tcPr>
          <w:p w14:paraId="6ACA3A90" w14:textId="77777777" w:rsidR="00D170E5" w:rsidRPr="002B55E9" w:rsidRDefault="00EF27AD">
            <w:pPr>
              <w:pStyle w:val="affffffffffffffffff6"/>
              <w:ind w:left="-40" w:right="-40"/>
              <w:rPr>
                <w:lang w:bidi="ne-NP"/>
              </w:rPr>
            </w:pPr>
            <w:r w:rsidRPr="002B55E9">
              <w:rPr>
                <w:lang w:bidi="ne-NP"/>
              </w:rPr>
              <w:t>E</w:t>
            </w:r>
            <w:r w:rsidRPr="002B55E9">
              <w:rPr>
                <w:rFonts w:hint="eastAsia"/>
                <w:lang w:bidi="ne-NP"/>
              </w:rPr>
              <w:t>3</w:t>
            </w:r>
          </w:p>
        </w:tc>
      </w:tr>
      <w:tr w:rsidR="00C60999" w:rsidRPr="002B55E9" w14:paraId="24C057A9" w14:textId="77777777">
        <w:trPr>
          <w:trHeight w:val="284"/>
        </w:trPr>
        <w:tc>
          <w:tcPr>
            <w:tcW w:w="4229" w:type="dxa"/>
            <w:vAlign w:val="center"/>
          </w:tcPr>
          <w:p w14:paraId="04646627" w14:textId="77777777" w:rsidR="00D170E5" w:rsidRPr="002B55E9" w:rsidRDefault="00EF27AD">
            <w:pPr>
              <w:pStyle w:val="affffffffffffffffff6"/>
              <w:ind w:left="-40" w:right="-40"/>
              <w:rPr>
                <w:lang w:bidi="ne-NP"/>
              </w:rPr>
            </w:pPr>
            <w:r w:rsidRPr="002B55E9">
              <w:rPr>
                <w:rFonts w:hint="eastAsia"/>
                <w:lang w:bidi="ne-NP"/>
              </w:rPr>
              <w:t>S3</w:t>
            </w:r>
          </w:p>
        </w:tc>
        <w:tc>
          <w:tcPr>
            <w:tcW w:w="1804" w:type="dxa"/>
            <w:vAlign w:val="center"/>
          </w:tcPr>
          <w:p w14:paraId="1AAF9527" w14:textId="77777777" w:rsidR="00D170E5" w:rsidRPr="002B55E9" w:rsidRDefault="00EF27AD">
            <w:pPr>
              <w:pStyle w:val="affffffffffffffffff6"/>
              <w:ind w:left="-40" w:right="-40"/>
              <w:rPr>
                <w:lang w:bidi="ne-NP"/>
              </w:rPr>
            </w:pPr>
            <w:r w:rsidRPr="002B55E9">
              <w:rPr>
                <w:lang w:bidi="ne-NP"/>
              </w:rPr>
              <w:t>E1</w:t>
            </w:r>
          </w:p>
        </w:tc>
        <w:tc>
          <w:tcPr>
            <w:tcW w:w="1804" w:type="dxa"/>
            <w:vAlign w:val="center"/>
          </w:tcPr>
          <w:p w14:paraId="5CF9A85F" w14:textId="77777777" w:rsidR="00D170E5" w:rsidRPr="002B55E9" w:rsidRDefault="00EF27AD">
            <w:pPr>
              <w:pStyle w:val="affffffffffffffffff6"/>
              <w:ind w:left="-40" w:right="-40"/>
              <w:rPr>
                <w:lang w:bidi="ne-NP"/>
              </w:rPr>
            </w:pPr>
            <w:r w:rsidRPr="002B55E9">
              <w:rPr>
                <w:lang w:bidi="ne-NP"/>
              </w:rPr>
              <w:t>E</w:t>
            </w:r>
            <w:r w:rsidRPr="002B55E9">
              <w:rPr>
                <w:rFonts w:hint="eastAsia"/>
                <w:lang w:bidi="ne-NP"/>
              </w:rPr>
              <w:t>2</w:t>
            </w:r>
          </w:p>
        </w:tc>
        <w:tc>
          <w:tcPr>
            <w:tcW w:w="1802" w:type="dxa"/>
            <w:vAlign w:val="center"/>
          </w:tcPr>
          <w:p w14:paraId="70BD2EFB" w14:textId="77777777" w:rsidR="00D170E5" w:rsidRPr="002B55E9" w:rsidRDefault="00EF27AD">
            <w:pPr>
              <w:pStyle w:val="affffffffffffffffff6"/>
              <w:ind w:left="-40" w:right="-40"/>
              <w:rPr>
                <w:lang w:bidi="ne-NP"/>
              </w:rPr>
            </w:pPr>
            <w:r w:rsidRPr="002B55E9">
              <w:rPr>
                <w:lang w:bidi="ne-NP"/>
              </w:rPr>
              <w:t>E</w:t>
            </w:r>
            <w:r w:rsidRPr="002B55E9">
              <w:rPr>
                <w:rFonts w:hint="eastAsia"/>
                <w:lang w:bidi="ne-NP"/>
              </w:rPr>
              <w:t>3</w:t>
            </w:r>
          </w:p>
        </w:tc>
      </w:tr>
    </w:tbl>
    <w:p w14:paraId="01EFA745"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-1-13  </w:t>
      </w:r>
      <w:r w:rsidRPr="002B55E9">
        <w:rPr>
          <w:rFonts w:eastAsia="黑体" w:hint="eastAsia"/>
          <w:b/>
          <w:sz w:val="24"/>
          <w:szCs w:val="28"/>
        </w:rPr>
        <w:t>地表水功能敏感性划分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12"/>
        <w:gridCol w:w="7727"/>
      </w:tblGrid>
      <w:tr w:rsidR="00C60999" w:rsidRPr="002B55E9" w14:paraId="6295428E" w14:textId="77777777">
        <w:trPr>
          <w:trHeight w:val="284"/>
          <w:tblHeader/>
        </w:trPr>
        <w:tc>
          <w:tcPr>
            <w:tcW w:w="1912" w:type="dxa"/>
            <w:tcBorders>
              <w:top w:val="single" w:sz="12" w:space="0" w:color="auto"/>
              <w:bottom w:val="single" w:sz="12" w:space="0" w:color="auto"/>
            </w:tcBorders>
            <w:vAlign w:val="center"/>
          </w:tcPr>
          <w:p w14:paraId="61F0B05F"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敏感性</w:t>
            </w:r>
          </w:p>
        </w:tc>
        <w:tc>
          <w:tcPr>
            <w:tcW w:w="7727" w:type="dxa"/>
            <w:tcBorders>
              <w:top w:val="single" w:sz="12" w:space="0" w:color="auto"/>
              <w:bottom w:val="single" w:sz="12" w:space="0" w:color="auto"/>
            </w:tcBorders>
            <w:vAlign w:val="center"/>
          </w:tcPr>
          <w:p w14:paraId="69AB1017"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地表水环境</w:t>
            </w:r>
            <w:r w:rsidRPr="002B55E9">
              <w:rPr>
                <w:rFonts w:cs="宋体"/>
                <w:sz w:val="18"/>
                <w:szCs w:val="18"/>
                <w:lang w:bidi="ne-NP"/>
              </w:rPr>
              <w:t>敏感特征</w:t>
            </w:r>
          </w:p>
        </w:tc>
      </w:tr>
      <w:tr w:rsidR="00C60999" w:rsidRPr="002B55E9" w14:paraId="2B572E72" w14:textId="77777777">
        <w:trPr>
          <w:trHeight w:val="284"/>
        </w:trPr>
        <w:tc>
          <w:tcPr>
            <w:tcW w:w="1912" w:type="dxa"/>
            <w:tcBorders>
              <w:top w:val="single" w:sz="12" w:space="0" w:color="auto"/>
            </w:tcBorders>
            <w:vAlign w:val="center"/>
          </w:tcPr>
          <w:p w14:paraId="132739A0"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敏感</w:t>
            </w:r>
            <w:r w:rsidRPr="002B55E9">
              <w:rPr>
                <w:rFonts w:cs="宋体" w:hint="eastAsia"/>
                <w:sz w:val="18"/>
                <w:szCs w:val="18"/>
                <w:lang w:bidi="ne-NP"/>
              </w:rPr>
              <w:t>F</w:t>
            </w:r>
            <w:r w:rsidRPr="002B55E9">
              <w:rPr>
                <w:rFonts w:cs="宋体"/>
                <w:sz w:val="18"/>
                <w:szCs w:val="18"/>
                <w:lang w:bidi="ne-NP"/>
              </w:rPr>
              <w:t>1</w:t>
            </w:r>
          </w:p>
        </w:tc>
        <w:tc>
          <w:tcPr>
            <w:tcW w:w="7727" w:type="dxa"/>
            <w:tcBorders>
              <w:top w:val="single" w:sz="12" w:space="0" w:color="auto"/>
            </w:tcBorders>
            <w:vAlign w:val="center"/>
          </w:tcPr>
          <w:p w14:paraId="62DA6226"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排放点</w:t>
            </w:r>
            <w:r w:rsidRPr="002B55E9">
              <w:rPr>
                <w:rFonts w:cs="宋体"/>
                <w:sz w:val="18"/>
                <w:szCs w:val="18"/>
                <w:lang w:bidi="ne-NP"/>
              </w:rPr>
              <w:t>进入地表水水域环境功能为</w:t>
            </w:r>
            <w:r w:rsidRPr="002B55E9">
              <w:rPr>
                <w:rFonts w:cs="宋体" w:hint="eastAsia"/>
                <w:sz w:val="18"/>
                <w:szCs w:val="18"/>
                <w:lang w:bidi="ne-NP"/>
              </w:rPr>
              <w:t>Ⅱ类</w:t>
            </w:r>
            <w:r w:rsidRPr="002B55E9">
              <w:rPr>
                <w:rFonts w:cs="宋体"/>
                <w:sz w:val="18"/>
                <w:szCs w:val="18"/>
                <w:lang w:bidi="ne-NP"/>
              </w:rPr>
              <w:t>及以上，或</w:t>
            </w:r>
            <w:r w:rsidRPr="002B55E9">
              <w:rPr>
                <w:rFonts w:cs="宋体" w:hint="eastAsia"/>
                <w:sz w:val="18"/>
                <w:szCs w:val="18"/>
                <w:lang w:bidi="ne-NP"/>
              </w:rPr>
              <w:t>海水水质</w:t>
            </w:r>
            <w:r w:rsidRPr="002B55E9">
              <w:rPr>
                <w:rFonts w:cs="宋体"/>
                <w:sz w:val="18"/>
                <w:szCs w:val="18"/>
                <w:lang w:bidi="ne-NP"/>
              </w:rPr>
              <w:t>分类第一类；</w:t>
            </w:r>
          </w:p>
          <w:p w14:paraId="6EF44064"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或以</w:t>
            </w:r>
            <w:r w:rsidRPr="002B55E9">
              <w:rPr>
                <w:rFonts w:cs="宋体"/>
                <w:sz w:val="18"/>
                <w:szCs w:val="18"/>
                <w:lang w:bidi="ne-NP"/>
              </w:rPr>
              <w:t>发生事故时，危险物质泄漏</w:t>
            </w:r>
            <w:r w:rsidRPr="002B55E9">
              <w:rPr>
                <w:rFonts w:cs="宋体" w:hint="eastAsia"/>
                <w:sz w:val="18"/>
                <w:szCs w:val="18"/>
                <w:lang w:bidi="ne-NP"/>
              </w:rPr>
              <w:t>到水体</w:t>
            </w:r>
            <w:r w:rsidRPr="002B55E9">
              <w:rPr>
                <w:rFonts w:cs="宋体"/>
                <w:sz w:val="18"/>
                <w:szCs w:val="18"/>
                <w:lang w:bidi="ne-NP"/>
              </w:rPr>
              <w:t>的排放点</w:t>
            </w:r>
            <w:r w:rsidRPr="002B55E9">
              <w:rPr>
                <w:rFonts w:cs="宋体" w:hint="eastAsia"/>
                <w:sz w:val="18"/>
                <w:szCs w:val="18"/>
                <w:lang w:bidi="ne-NP"/>
              </w:rPr>
              <w:t>算起</w:t>
            </w:r>
            <w:r w:rsidRPr="002B55E9">
              <w:rPr>
                <w:rFonts w:cs="宋体"/>
                <w:sz w:val="18"/>
                <w:szCs w:val="18"/>
                <w:lang w:bidi="ne-NP"/>
              </w:rPr>
              <w:t>，排放进入受纳河流最大流速时，</w:t>
            </w:r>
            <w:r w:rsidRPr="002B55E9">
              <w:rPr>
                <w:rFonts w:cs="宋体" w:hint="eastAsia"/>
                <w:sz w:val="18"/>
                <w:szCs w:val="18"/>
                <w:lang w:bidi="ne-NP"/>
              </w:rPr>
              <w:t>24</w:t>
            </w:r>
            <w:r w:rsidRPr="002B55E9">
              <w:rPr>
                <w:rFonts w:cs="宋体"/>
                <w:sz w:val="18"/>
                <w:szCs w:val="18"/>
                <w:lang w:bidi="ne-NP"/>
              </w:rPr>
              <w:t>h</w:t>
            </w:r>
            <w:r w:rsidRPr="002B55E9">
              <w:rPr>
                <w:rFonts w:cs="宋体"/>
                <w:sz w:val="18"/>
                <w:szCs w:val="18"/>
                <w:lang w:bidi="ne-NP"/>
              </w:rPr>
              <w:t>流经范围内涉</w:t>
            </w:r>
            <w:r w:rsidRPr="002B55E9">
              <w:rPr>
                <w:rFonts w:cs="宋体" w:hint="eastAsia"/>
                <w:sz w:val="18"/>
                <w:szCs w:val="18"/>
                <w:lang w:bidi="ne-NP"/>
              </w:rPr>
              <w:t>跨国界</w:t>
            </w:r>
            <w:r w:rsidRPr="002B55E9">
              <w:rPr>
                <w:rFonts w:cs="宋体"/>
                <w:sz w:val="18"/>
                <w:szCs w:val="18"/>
                <w:lang w:bidi="ne-NP"/>
              </w:rPr>
              <w:t>的</w:t>
            </w:r>
          </w:p>
        </w:tc>
      </w:tr>
      <w:tr w:rsidR="00C60999" w:rsidRPr="002B55E9" w14:paraId="5615988F" w14:textId="77777777">
        <w:trPr>
          <w:trHeight w:val="284"/>
        </w:trPr>
        <w:tc>
          <w:tcPr>
            <w:tcW w:w="1912" w:type="dxa"/>
            <w:vAlign w:val="center"/>
          </w:tcPr>
          <w:p w14:paraId="4A9D9777"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较敏感</w:t>
            </w:r>
            <w:r w:rsidRPr="002B55E9">
              <w:rPr>
                <w:rFonts w:cs="宋体" w:hint="eastAsia"/>
                <w:sz w:val="18"/>
                <w:szCs w:val="18"/>
                <w:lang w:bidi="ne-NP"/>
              </w:rPr>
              <w:t>F</w:t>
            </w:r>
            <w:r w:rsidRPr="002B55E9">
              <w:rPr>
                <w:rFonts w:cs="宋体"/>
                <w:sz w:val="18"/>
                <w:szCs w:val="18"/>
                <w:lang w:bidi="ne-NP"/>
              </w:rPr>
              <w:t>2</w:t>
            </w:r>
          </w:p>
        </w:tc>
        <w:tc>
          <w:tcPr>
            <w:tcW w:w="7727" w:type="dxa"/>
            <w:vAlign w:val="center"/>
          </w:tcPr>
          <w:p w14:paraId="1AC89815"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排放点</w:t>
            </w:r>
            <w:r w:rsidRPr="002B55E9">
              <w:rPr>
                <w:rFonts w:cs="宋体"/>
                <w:sz w:val="18"/>
                <w:szCs w:val="18"/>
                <w:lang w:bidi="ne-NP"/>
              </w:rPr>
              <w:t>进入地表水水域环境功能为</w:t>
            </w:r>
            <w:r w:rsidRPr="002B55E9">
              <w:rPr>
                <w:rFonts w:cs="宋体" w:hint="eastAsia"/>
                <w:sz w:val="18"/>
                <w:szCs w:val="18"/>
                <w:lang w:bidi="ne-NP"/>
              </w:rPr>
              <w:t>Ⅲ类</w:t>
            </w:r>
            <w:r w:rsidRPr="002B55E9">
              <w:rPr>
                <w:rFonts w:cs="宋体"/>
                <w:sz w:val="18"/>
                <w:szCs w:val="18"/>
                <w:lang w:bidi="ne-NP"/>
              </w:rPr>
              <w:t>，或</w:t>
            </w:r>
            <w:r w:rsidRPr="002B55E9">
              <w:rPr>
                <w:rFonts w:cs="宋体" w:hint="eastAsia"/>
                <w:sz w:val="18"/>
                <w:szCs w:val="18"/>
                <w:lang w:bidi="ne-NP"/>
              </w:rPr>
              <w:t>海水水质</w:t>
            </w:r>
            <w:r w:rsidRPr="002B55E9">
              <w:rPr>
                <w:rFonts w:cs="宋体"/>
                <w:sz w:val="18"/>
                <w:szCs w:val="18"/>
                <w:lang w:bidi="ne-NP"/>
              </w:rPr>
              <w:t>分类第</w:t>
            </w:r>
            <w:r w:rsidRPr="002B55E9">
              <w:rPr>
                <w:rFonts w:cs="宋体" w:hint="eastAsia"/>
                <w:sz w:val="18"/>
                <w:szCs w:val="18"/>
                <w:lang w:bidi="ne-NP"/>
              </w:rPr>
              <w:t>二</w:t>
            </w:r>
            <w:r w:rsidRPr="002B55E9">
              <w:rPr>
                <w:rFonts w:cs="宋体"/>
                <w:sz w:val="18"/>
                <w:szCs w:val="18"/>
                <w:lang w:bidi="ne-NP"/>
              </w:rPr>
              <w:t>类；</w:t>
            </w:r>
          </w:p>
          <w:p w14:paraId="1C7F2E08"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或以</w:t>
            </w:r>
            <w:r w:rsidRPr="002B55E9">
              <w:rPr>
                <w:rFonts w:cs="宋体"/>
                <w:sz w:val="18"/>
                <w:szCs w:val="18"/>
                <w:lang w:bidi="ne-NP"/>
              </w:rPr>
              <w:t>发生事故时，危险物质泄漏</w:t>
            </w:r>
            <w:r w:rsidRPr="002B55E9">
              <w:rPr>
                <w:rFonts w:cs="宋体" w:hint="eastAsia"/>
                <w:sz w:val="18"/>
                <w:szCs w:val="18"/>
                <w:lang w:bidi="ne-NP"/>
              </w:rPr>
              <w:t>到水体</w:t>
            </w:r>
            <w:r w:rsidRPr="002B55E9">
              <w:rPr>
                <w:rFonts w:cs="宋体"/>
                <w:sz w:val="18"/>
                <w:szCs w:val="18"/>
                <w:lang w:bidi="ne-NP"/>
              </w:rPr>
              <w:t>的排放点</w:t>
            </w:r>
            <w:r w:rsidRPr="002B55E9">
              <w:rPr>
                <w:rFonts w:cs="宋体" w:hint="eastAsia"/>
                <w:sz w:val="18"/>
                <w:szCs w:val="18"/>
                <w:lang w:bidi="ne-NP"/>
              </w:rPr>
              <w:t>算起</w:t>
            </w:r>
            <w:r w:rsidRPr="002B55E9">
              <w:rPr>
                <w:rFonts w:cs="宋体"/>
                <w:sz w:val="18"/>
                <w:szCs w:val="18"/>
                <w:lang w:bidi="ne-NP"/>
              </w:rPr>
              <w:t>，排放进入受纳河流最大流速时，</w:t>
            </w:r>
            <w:r w:rsidRPr="002B55E9">
              <w:rPr>
                <w:rFonts w:cs="宋体" w:hint="eastAsia"/>
                <w:sz w:val="18"/>
                <w:szCs w:val="18"/>
                <w:lang w:bidi="ne-NP"/>
              </w:rPr>
              <w:t>24</w:t>
            </w:r>
            <w:r w:rsidRPr="002B55E9">
              <w:rPr>
                <w:rFonts w:cs="宋体"/>
                <w:sz w:val="18"/>
                <w:szCs w:val="18"/>
                <w:lang w:bidi="ne-NP"/>
              </w:rPr>
              <w:t>h</w:t>
            </w:r>
            <w:r w:rsidRPr="002B55E9">
              <w:rPr>
                <w:rFonts w:cs="宋体"/>
                <w:sz w:val="18"/>
                <w:szCs w:val="18"/>
                <w:lang w:bidi="ne-NP"/>
              </w:rPr>
              <w:t>流经范围内涉</w:t>
            </w:r>
            <w:r w:rsidRPr="002B55E9">
              <w:rPr>
                <w:rFonts w:cs="宋体" w:hint="eastAsia"/>
                <w:sz w:val="18"/>
                <w:szCs w:val="18"/>
                <w:lang w:bidi="ne-NP"/>
              </w:rPr>
              <w:t>跨省界</w:t>
            </w:r>
            <w:r w:rsidRPr="002B55E9">
              <w:rPr>
                <w:rFonts w:cs="宋体"/>
                <w:sz w:val="18"/>
                <w:szCs w:val="18"/>
                <w:lang w:bidi="ne-NP"/>
              </w:rPr>
              <w:t>的</w:t>
            </w:r>
          </w:p>
        </w:tc>
      </w:tr>
      <w:tr w:rsidR="00C60999" w:rsidRPr="002B55E9" w14:paraId="3B57DF2C" w14:textId="77777777">
        <w:trPr>
          <w:trHeight w:val="284"/>
        </w:trPr>
        <w:tc>
          <w:tcPr>
            <w:tcW w:w="1912" w:type="dxa"/>
            <w:vAlign w:val="center"/>
          </w:tcPr>
          <w:p w14:paraId="158A93DF"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低敏感</w:t>
            </w:r>
            <w:r w:rsidRPr="002B55E9">
              <w:rPr>
                <w:rFonts w:cs="宋体" w:hint="eastAsia"/>
                <w:sz w:val="18"/>
                <w:szCs w:val="18"/>
                <w:lang w:bidi="ne-NP"/>
              </w:rPr>
              <w:t>F</w:t>
            </w:r>
            <w:r w:rsidRPr="002B55E9">
              <w:rPr>
                <w:rFonts w:cs="宋体"/>
                <w:sz w:val="18"/>
                <w:szCs w:val="18"/>
                <w:lang w:bidi="ne-NP"/>
              </w:rPr>
              <w:t>3</w:t>
            </w:r>
          </w:p>
        </w:tc>
        <w:tc>
          <w:tcPr>
            <w:tcW w:w="7727" w:type="dxa"/>
            <w:vAlign w:val="center"/>
          </w:tcPr>
          <w:p w14:paraId="00579766"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上述地区</w:t>
            </w:r>
            <w:r w:rsidRPr="002B55E9">
              <w:rPr>
                <w:rFonts w:cs="宋体"/>
                <w:sz w:val="18"/>
                <w:szCs w:val="18"/>
                <w:lang w:bidi="ne-NP"/>
              </w:rPr>
              <w:t>以外的其他地区</w:t>
            </w:r>
          </w:p>
        </w:tc>
      </w:tr>
    </w:tbl>
    <w:p w14:paraId="351980E4"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-1-14  </w:t>
      </w:r>
      <w:r w:rsidRPr="002B55E9">
        <w:rPr>
          <w:rFonts w:eastAsia="黑体" w:hint="eastAsia"/>
          <w:b/>
          <w:sz w:val="24"/>
          <w:szCs w:val="28"/>
        </w:rPr>
        <w:t>环境敏感目标分级</w:t>
      </w:r>
      <w:r w:rsidRPr="002B55E9">
        <w:rPr>
          <w:rFonts w:eastAsia="黑体"/>
          <w:b/>
          <w:sz w:val="24"/>
          <w:szCs w:val="28"/>
        </w:rPr>
        <w:t>一览表</w:t>
      </w:r>
    </w:p>
    <w:tbl>
      <w:tblPr>
        <w:tblW w:w="9855"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7904"/>
      </w:tblGrid>
      <w:tr w:rsidR="00C60999" w:rsidRPr="002B55E9" w14:paraId="38A83760" w14:textId="77777777">
        <w:trPr>
          <w:trHeight w:val="284"/>
          <w:tblHeader/>
        </w:trPr>
        <w:tc>
          <w:tcPr>
            <w:tcW w:w="1951" w:type="dxa"/>
            <w:tcBorders>
              <w:top w:val="single" w:sz="12" w:space="0" w:color="auto"/>
              <w:bottom w:val="single" w:sz="12" w:space="0" w:color="auto"/>
            </w:tcBorders>
            <w:vAlign w:val="center"/>
          </w:tcPr>
          <w:p w14:paraId="2E726DE4"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分级</w:t>
            </w:r>
          </w:p>
        </w:tc>
        <w:tc>
          <w:tcPr>
            <w:tcW w:w="7904" w:type="dxa"/>
            <w:tcBorders>
              <w:top w:val="single" w:sz="12" w:space="0" w:color="auto"/>
              <w:bottom w:val="single" w:sz="12" w:space="0" w:color="auto"/>
            </w:tcBorders>
            <w:vAlign w:val="center"/>
          </w:tcPr>
          <w:p w14:paraId="76EE8D1B"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环境</w:t>
            </w:r>
            <w:r w:rsidRPr="002B55E9">
              <w:rPr>
                <w:rFonts w:cs="宋体"/>
                <w:sz w:val="18"/>
                <w:szCs w:val="18"/>
                <w:lang w:bidi="ne-NP"/>
              </w:rPr>
              <w:t>敏感</w:t>
            </w:r>
            <w:r w:rsidRPr="002B55E9">
              <w:rPr>
                <w:rFonts w:cs="宋体" w:hint="eastAsia"/>
                <w:sz w:val="18"/>
                <w:szCs w:val="18"/>
                <w:lang w:bidi="ne-NP"/>
              </w:rPr>
              <w:t>目标</w:t>
            </w:r>
          </w:p>
        </w:tc>
      </w:tr>
      <w:tr w:rsidR="00C60999" w:rsidRPr="002B55E9" w14:paraId="02DF51A6" w14:textId="77777777">
        <w:trPr>
          <w:trHeight w:val="749"/>
        </w:trPr>
        <w:tc>
          <w:tcPr>
            <w:tcW w:w="1951" w:type="dxa"/>
            <w:tcBorders>
              <w:top w:val="single" w:sz="12" w:space="0" w:color="auto"/>
            </w:tcBorders>
            <w:vAlign w:val="center"/>
          </w:tcPr>
          <w:p w14:paraId="28612D60"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S</w:t>
            </w:r>
            <w:r w:rsidRPr="002B55E9">
              <w:rPr>
                <w:rFonts w:cs="宋体"/>
                <w:sz w:val="18"/>
                <w:szCs w:val="18"/>
                <w:lang w:bidi="ne-NP"/>
              </w:rPr>
              <w:t>1</w:t>
            </w:r>
          </w:p>
        </w:tc>
        <w:tc>
          <w:tcPr>
            <w:tcW w:w="7904" w:type="dxa"/>
            <w:tcBorders>
              <w:top w:val="single" w:sz="12" w:space="0" w:color="auto"/>
            </w:tcBorders>
            <w:vAlign w:val="center"/>
          </w:tcPr>
          <w:p w14:paraId="33168B00"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发生事故时，危险物质泄漏</w:t>
            </w:r>
            <w:r w:rsidRPr="002B55E9">
              <w:rPr>
                <w:rFonts w:cs="宋体" w:hint="eastAsia"/>
                <w:sz w:val="18"/>
                <w:szCs w:val="18"/>
                <w:lang w:bidi="ne-NP"/>
              </w:rPr>
              <w:t>到内陆水体</w:t>
            </w:r>
            <w:r w:rsidRPr="002B55E9">
              <w:rPr>
                <w:rFonts w:cs="宋体"/>
                <w:sz w:val="18"/>
                <w:szCs w:val="18"/>
                <w:lang w:bidi="ne-NP"/>
              </w:rPr>
              <w:t>的排放点</w:t>
            </w:r>
            <w:r w:rsidRPr="002B55E9">
              <w:rPr>
                <w:rFonts w:cs="宋体" w:hint="eastAsia"/>
                <w:sz w:val="18"/>
                <w:szCs w:val="18"/>
                <w:lang w:bidi="ne-NP"/>
              </w:rPr>
              <w:t>下游</w:t>
            </w:r>
            <w:r w:rsidRPr="002B55E9">
              <w:rPr>
                <w:rFonts w:cs="宋体"/>
                <w:sz w:val="18"/>
                <w:szCs w:val="18"/>
                <w:lang w:bidi="ne-NP"/>
              </w:rPr>
              <w:t>（</w:t>
            </w:r>
            <w:r w:rsidRPr="002B55E9">
              <w:rPr>
                <w:rFonts w:cs="宋体" w:hint="eastAsia"/>
                <w:sz w:val="18"/>
                <w:szCs w:val="18"/>
                <w:lang w:bidi="ne-NP"/>
              </w:rPr>
              <w:t>顺水流向</w:t>
            </w:r>
            <w:r w:rsidRPr="002B55E9">
              <w:rPr>
                <w:rFonts w:cs="宋体"/>
                <w:sz w:val="18"/>
                <w:szCs w:val="18"/>
                <w:lang w:bidi="ne-NP"/>
              </w:rPr>
              <w:t>）</w:t>
            </w:r>
            <w:r w:rsidRPr="002B55E9">
              <w:rPr>
                <w:rFonts w:cs="宋体" w:hint="eastAsia"/>
                <w:sz w:val="18"/>
                <w:szCs w:val="18"/>
                <w:lang w:bidi="ne-NP"/>
              </w:rPr>
              <w:t>10</w:t>
            </w:r>
            <w:r w:rsidRPr="002B55E9">
              <w:rPr>
                <w:rFonts w:cs="宋体"/>
                <w:sz w:val="18"/>
                <w:szCs w:val="18"/>
                <w:lang w:bidi="ne-NP"/>
              </w:rPr>
              <w:t>km</w:t>
            </w:r>
            <w:r w:rsidRPr="002B55E9">
              <w:rPr>
                <w:rFonts w:cs="宋体"/>
                <w:sz w:val="18"/>
                <w:szCs w:val="18"/>
                <w:lang w:bidi="ne-NP"/>
              </w:rPr>
              <w:t>范围内、近岸海域一个</w:t>
            </w:r>
            <w:r w:rsidRPr="002B55E9">
              <w:rPr>
                <w:rFonts w:cs="宋体" w:hint="eastAsia"/>
                <w:sz w:val="18"/>
                <w:szCs w:val="18"/>
                <w:lang w:bidi="ne-NP"/>
              </w:rPr>
              <w:t>潮</w:t>
            </w:r>
            <w:r w:rsidRPr="002B55E9">
              <w:rPr>
                <w:rFonts w:cs="宋体"/>
                <w:sz w:val="18"/>
                <w:szCs w:val="18"/>
                <w:lang w:bidi="ne-NP"/>
              </w:rPr>
              <w:t>周期</w:t>
            </w:r>
            <w:r w:rsidRPr="002B55E9">
              <w:rPr>
                <w:rFonts w:cs="宋体" w:hint="eastAsia"/>
                <w:sz w:val="18"/>
                <w:szCs w:val="18"/>
                <w:lang w:bidi="ne-NP"/>
              </w:rPr>
              <w:t>水质点</w:t>
            </w:r>
            <w:r w:rsidRPr="002B55E9">
              <w:rPr>
                <w:rFonts w:cs="宋体"/>
                <w:sz w:val="18"/>
                <w:szCs w:val="18"/>
                <w:lang w:bidi="ne-NP"/>
              </w:rPr>
              <w:t>可能达到的最大水平距离的两倍范围内，有如下一类或多类环境风险受体：集中式地表水饮用水水源</w:t>
            </w:r>
            <w:r w:rsidRPr="002B55E9">
              <w:rPr>
                <w:rFonts w:cs="宋体" w:hint="eastAsia"/>
                <w:sz w:val="18"/>
                <w:szCs w:val="18"/>
                <w:lang w:bidi="ne-NP"/>
              </w:rPr>
              <w:t>保护区（包括</w:t>
            </w:r>
            <w:r w:rsidRPr="002B55E9">
              <w:rPr>
                <w:rFonts w:cs="宋体"/>
                <w:sz w:val="18"/>
                <w:szCs w:val="18"/>
                <w:lang w:bidi="ne-NP"/>
              </w:rPr>
              <w:t>一级保护区、二级保护区</w:t>
            </w:r>
            <w:r w:rsidRPr="002B55E9">
              <w:rPr>
                <w:rFonts w:cs="宋体" w:hint="eastAsia"/>
                <w:sz w:val="18"/>
                <w:szCs w:val="18"/>
                <w:lang w:bidi="ne-NP"/>
              </w:rPr>
              <w:t>及</w:t>
            </w:r>
            <w:r w:rsidRPr="002B55E9">
              <w:rPr>
                <w:rFonts w:cs="宋体"/>
                <w:sz w:val="18"/>
                <w:szCs w:val="18"/>
                <w:lang w:bidi="ne-NP"/>
              </w:rPr>
              <w:t>准保护区</w:t>
            </w:r>
            <w:r w:rsidRPr="002B55E9">
              <w:rPr>
                <w:rFonts w:cs="宋体" w:hint="eastAsia"/>
                <w:sz w:val="18"/>
                <w:szCs w:val="18"/>
                <w:lang w:bidi="ne-NP"/>
              </w:rPr>
              <w:t>）；农村</w:t>
            </w:r>
            <w:r w:rsidRPr="002B55E9">
              <w:rPr>
                <w:rFonts w:cs="宋体"/>
                <w:sz w:val="18"/>
                <w:szCs w:val="18"/>
                <w:lang w:bidi="ne-NP"/>
              </w:rPr>
              <w:t>及分散式饮用水水源保护</w:t>
            </w:r>
            <w:r w:rsidRPr="002B55E9">
              <w:rPr>
                <w:rFonts w:cs="宋体" w:hint="eastAsia"/>
                <w:sz w:val="18"/>
                <w:szCs w:val="18"/>
                <w:lang w:bidi="ne-NP"/>
              </w:rPr>
              <w:t>区</w:t>
            </w:r>
            <w:r w:rsidRPr="002B55E9">
              <w:rPr>
                <w:rFonts w:cs="宋体"/>
                <w:sz w:val="18"/>
                <w:szCs w:val="18"/>
                <w:lang w:bidi="ne-NP"/>
              </w:rPr>
              <w:t>；</w:t>
            </w:r>
            <w:r w:rsidRPr="002B55E9">
              <w:rPr>
                <w:rFonts w:cs="宋体" w:hint="eastAsia"/>
                <w:sz w:val="18"/>
                <w:szCs w:val="18"/>
                <w:lang w:bidi="ne-NP"/>
              </w:rPr>
              <w:t>自然保护区</w:t>
            </w:r>
            <w:r w:rsidRPr="002B55E9">
              <w:rPr>
                <w:rFonts w:cs="宋体"/>
                <w:sz w:val="18"/>
                <w:szCs w:val="18"/>
                <w:lang w:bidi="ne-NP"/>
              </w:rPr>
              <w:t>；重要湿地；珍稀濒危</w:t>
            </w:r>
            <w:r w:rsidRPr="002B55E9">
              <w:rPr>
                <w:rFonts w:cs="宋体" w:hint="eastAsia"/>
                <w:sz w:val="18"/>
                <w:szCs w:val="18"/>
                <w:lang w:bidi="ne-NP"/>
              </w:rPr>
              <w:t>野生动植物</w:t>
            </w:r>
            <w:r w:rsidRPr="002B55E9">
              <w:rPr>
                <w:rFonts w:cs="宋体"/>
                <w:sz w:val="18"/>
                <w:szCs w:val="18"/>
                <w:lang w:bidi="ne-NP"/>
              </w:rPr>
              <w:t>天然集中分布区；</w:t>
            </w:r>
            <w:r w:rsidRPr="002B55E9">
              <w:rPr>
                <w:rFonts w:cs="宋体" w:hint="eastAsia"/>
                <w:sz w:val="18"/>
                <w:szCs w:val="18"/>
                <w:lang w:bidi="ne-NP"/>
              </w:rPr>
              <w:t>重要水生生物</w:t>
            </w:r>
            <w:r w:rsidRPr="002B55E9">
              <w:rPr>
                <w:rFonts w:cs="宋体"/>
                <w:sz w:val="18"/>
                <w:szCs w:val="18"/>
                <w:lang w:bidi="ne-NP"/>
              </w:rPr>
              <w:t>的自然产卵及索饵场、越冬场</w:t>
            </w:r>
            <w:r w:rsidRPr="002B55E9">
              <w:rPr>
                <w:rFonts w:cs="宋体" w:hint="eastAsia"/>
                <w:sz w:val="18"/>
                <w:szCs w:val="18"/>
                <w:lang w:bidi="ne-NP"/>
              </w:rPr>
              <w:t>及</w:t>
            </w:r>
            <w:r w:rsidRPr="002B55E9">
              <w:rPr>
                <w:rFonts w:cs="宋体"/>
                <w:sz w:val="18"/>
                <w:szCs w:val="18"/>
                <w:lang w:bidi="ne-NP"/>
              </w:rPr>
              <w:t>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C60999" w:rsidRPr="002B55E9" w14:paraId="7288F356" w14:textId="77777777">
        <w:trPr>
          <w:trHeight w:val="725"/>
        </w:trPr>
        <w:tc>
          <w:tcPr>
            <w:tcW w:w="1951" w:type="dxa"/>
            <w:vAlign w:val="center"/>
          </w:tcPr>
          <w:p w14:paraId="4C4C0E31"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S</w:t>
            </w:r>
            <w:r w:rsidRPr="002B55E9">
              <w:rPr>
                <w:rFonts w:cs="宋体"/>
                <w:sz w:val="18"/>
                <w:szCs w:val="18"/>
                <w:lang w:bidi="ne-NP"/>
              </w:rPr>
              <w:t>2</w:t>
            </w:r>
          </w:p>
        </w:tc>
        <w:tc>
          <w:tcPr>
            <w:tcW w:w="7904" w:type="dxa"/>
            <w:vAlign w:val="center"/>
          </w:tcPr>
          <w:p w14:paraId="1CC9532F"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发生事故时，危险物质泄漏</w:t>
            </w:r>
            <w:r w:rsidRPr="002B55E9">
              <w:rPr>
                <w:rFonts w:cs="宋体" w:hint="eastAsia"/>
                <w:sz w:val="18"/>
                <w:szCs w:val="18"/>
                <w:lang w:bidi="ne-NP"/>
              </w:rPr>
              <w:t>到内陆水体</w:t>
            </w:r>
            <w:r w:rsidRPr="002B55E9">
              <w:rPr>
                <w:rFonts w:cs="宋体"/>
                <w:sz w:val="18"/>
                <w:szCs w:val="18"/>
                <w:lang w:bidi="ne-NP"/>
              </w:rPr>
              <w:t>的排放点</w:t>
            </w:r>
            <w:r w:rsidRPr="002B55E9">
              <w:rPr>
                <w:rFonts w:cs="宋体" w:hint="eastAsia"/>
                <w:sz w:val="18"/>
                <w:szCs w:val="18"/>
                <w:lang w:bidi="ne-NP"/>
              </w:rPr>
              <w:t>下游</w:t>
            </w:r>
            <w:r w:rsidRPr="002B55E9">
              <w:rPr>
                <w:rFonts w:cs="宋体"/>
                <w:sz w:val="18"/>
                <w:szCs w:val="18"/>
                <w:lang w:bidi="ne-NP"/>
              </w:rPr>
              <w:t>（</w:t>
            </w:r>
            <w:r w:rsidRPr="002B55E9">
              <w:rPr>
                <w:rFonts w:cs="宋体" w:hint="eastAsia"/>
                <w:sz w:val="18"/>
                <w:szCs w:val="18"/>
                <w:lang w:bidi="ne-NP"/>
              </w:rPr>
              <w:t>顺水流向</w:t>
            </w:r>
            <w:r w:rsidRPr="002B55E9">
              <w:rPr>
                <w:rFonts w:cs="宋体"/>
                <w:sz w:val="18"/>
                <w:szCs w:val="18"/>
                <w:lang w:bidi="ne-NP"/>
              </w:rPr>
              <w:t>）</w:t>
            </w:r>
            <w:r w:rsidRPr="002B55E9">
              <w:rPr>
                <w:rFonts w:cs="宋体" w:hint="eastAsia"/>
                <w:sz w:val="18"/>
                <w:szCs w:val="18"/>
                <w:lang w:bidi="ne-NP"/>
              </w:rPr>
              <w:t>10</w:t>
            </w:r>
            <w:r w:rsidRPr="002B55E9">
              <w:rPr>
                <w:rFonts w:cs="宋体"/>
                <w:sz w:val="18"/>
                <w:szCs w:val="18"/>
                <w:lang w:bidi="ne-NP"/>
              </w:rPr>
              <w:t>km</w:t>
            </w:r>
            <w:r w:rsidRPr="002B55E9">
              <w:rPr>
                <w:rFonts w:cs="宋体"/>
                <w:sz w:val="18"/>
                <w:szCs w:val="18"/>
                <w:lang w:bidi="ne-NP"/>
              </w:rPr>
              <w:t>范围内、近岸海域一个</w:t>
            </w:r>
            <w:r w:rsidRPr="002B55E9">
              <w:rPr>
                <w:rFonts w:cs="宋体" w:hint="eastAsia"/>
                <w:sz w:val="18"/>
                <w:szCs w:val="18"/>
                <w:lang w:bidi="ne-NP"/>
              </w:rPr>
              <w:t>潮</w:t>
            </w:r>
            <w:r w:rsidRPr="002B55E9">
              <w:rPr>
                <w:rFonts w:cs="宋体"/>
                <w:sz w:val="18"/>
                <w:szCs w:val="18"/>
                <w:lang w:bidi="ne-NP"/>
              </w:rPr>
              <w:t>周期</w:t>
            </w:r>
            <w:r w:rsidRPr="002B55E9">
              <w:rPr>
                <w:rFonts w:cs="宋体" w:hint="eastAsia"/>
                <w:sz w:val="18"/>
                <w:szCs w:val="18"/>
                <w:lang w:bidi="ne-NP"/>
              </w:rPr>
              <w:t>水质点</w:t>
            </w:r>
            <w:r w:rsidRPr="002B55E9">
              <w:rPr>
                <w:rFonts w:cs="宋体"/>
                <w:sz w:val="18"/>
                <w:szCs w:val="18"/>
                <w:lang w:bidi="ne-NP"/>
              </w:rPr>
              <w:t>可能达到的最大水平距离的两倍范围内，有如下一类或多类环境风险受体：水产养殖区；天然渔场；森林公园；地质公园；海滨风景游览区；具有重要经济价值的海洋生物生存区域</w:t>
            </w:r>
          </w:p>
        </w:tc>
      </w:tr>
      <w:tr w:rsidR="00C60999" w:rsidRPr="002B55E9" w14:paraId="34464468" w14:textId="77777777">
        <w:trPr>
          <w:trHeight w:val="535"/>
        </w:trPr>
        <w:tc>
          <w:tcPr>
            <w:tcW w:w="1951" w:type="dxa"/>
            <w:vAlign w:val="center"/>
          </w:tcPr>
          <w:p w14:paraId="0AEC0C1A"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S3</w:t>
            </w:r>
          </w:p>
        </w:tc>
        <w:tc>
          <w:tcPr>
            <w:tcW w:w="7904" w:type="dxa"/>
            <w:vAlign w:val="center"/>
          </w:tcPr>
          <w:p w14:paraId="1C98FD9D"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排放点</w:t>
            </w:r>
            <w:r w:rsidRPr="002B55E9">
              <w:rPr>
                <w:rFonts w:cs="宋体" w:hint="eastAsia"/>
                <w:sz w:val="18"/>
                <w:szCs w:val="18"/>
                <w:lang w:bidi="ne-NP"/>
              </w:rPr>
              <w:t>下游</w:t>
            </w:r>
            <w:r w:rsidRPr="002B55E9">
              <w:rPr>
                <w:rFonts w:cs="宋体"/>
                <w:sz w:val="18"/>
                <w:szCs w:val="18"/>
                <w:lang w:bidi="ne-NP"/>
              </w:rPr>
              <w:t>（</w:t>
            </w:r>
            <w:r w:rsidRPr="002B55E9">
              <w:rPr>
                <w:rFonts w:cs="宋体" w:hint="eastAsia"/>
                <w:sz w:val="18"/>
                <w:szCs w:val="18"/>
                <w:lang w:bidi="ne-NP"/>
              </w:rPr>
              <w:t>顺水流向</w:t>
            </w:r>
            <w:r w:rsidRPr="002B55E9">
              <w:rPr>
                <w:rFonts w:cs="宋体"/>
                <w:sz w:val="18"/>
                <w:szCs w:val="18"/>
                <w:lang w:bidi="ne-NP"/>
              </w:rPr>
              <w:t>）</w:t>
            </w:r>
            <w:r w:rsidRPr="002B55E9">
              <w:rPr>
                <w:rFonts w:cs="宋体" w:hint="eastAsia"/>
                <w:sz w:val="18"/>
                <w:szCs w:val="18"/>
                <w:lang w:bidi="ne-NP"/>
              </w:rPr>
              <w:t>10</w:t>
            </w:r>
            <w:r w:rsidRPr="002B55E9">
              <w:rPr>
                <w:rFonts w:cs="宋体"/>
                <w:sz w:val="18"/>
                <w:szCs w:val="18"/>
                <w:lang w:bidi="ne-NP"/>
              </w:rPr>
              <w:t>km</w:t>
            </w:r>
            <w:r w:rsidRPr="002B55E9">
              <w:rPr>
                <w:rFonts w:cs="宋体"/>
                <w:sz w:val="18"/>
                <w:szCs w:val="18"/>
                <w:lang w:bidi="ne-NP"/>
              </w:rPr>
              <w:t>范围内、近岸海域一个</w:t>
            </w:r>
            <w:r w:rsidRPr="002B55E9">
              <w:rPr>
                <w:rFonts w:cs="宋体" w:hint="eastAsia"/>
                <w:sz w:val="18"/>
                <w:szCs w:val="18"/>
                <w:lang w:bidi="ne-NP"/>
              </w:rPr>
              <w:t>潮</w:t>
            </w:r>
            <w:r w:rsidRPr="002B55E9">
              <w:rPr>
                <w:rFonts w:cs="宋体"/>
                <w:sz w:val="18"/>
                <w:szCs w:val="18"/>
                <w:lang w:bidi="ne-NP"/>
              </w:rPr>
              <w:t>周期</w:t>
            </w:r>
            <w:r w:rsidRPr="002B55E9">
              <w:rPr>
                <w:rFonts w:cs="宋体" w:hint="eastAsia"/>
                <w:sz w:val="18"/>
                <w:szCs w:val="18"/>
                <w:lang w:bidi="ne-NP"/>
              </w:rPr>
              <w:t>水质点</w:t>
            </w:r>
            <w:r w:rsidRPr="002B55E9">
              <w:rPr>
                <w:rFonts w:cs="宋体"/>
                <w:sz w:val="18"/>
                <w:szCs w:val="18"/>
                <w:lang w:bidi="ne-NP"/>
              </w:rPr>
              <w:t>可能达到的最大水平距离的两倍范围内无上述类型</w:t>
            </w:r>
            <w:r w:rsidRPr="002B55E9">
              <w:rPr>
                <w:rFonts w:cs="宋体" w:hint="eastAsia"/>
                <w:sz w:val="18"/>
                <w:szCs w:val="18"/>
                <w:lang w:bidi="ne-NP"/>
              </w:rPr>
              <w:t>1</w:t>
            </w:r>
            <w:r w:rsidRPr="002B55E9">
              <w:rPr>
                <w:rFonts w:cs="宋体"/>
                <w:sz w:val="18"/>
                <w:szCs w:val="18"/>
                <w:lang w:bidi="ne-NP"/>
              </w:rPr>
              <w:t>和类型</w:t>
            </w:r>
            <w:r w:rsidRPr="002B55E9">
              <w:rPr>
                <w:rFonts w:cs="宋体" w:hint="eastAsia"/>
                <w:sz w:val="18"/>
                <w:szCs w:val="18"/>
                <w:lang w:bidi="ne-NP"/>
              </w:rPr>
              <w:t>2</w:t>
            </w:r>
            <w:r w:rsidRPr="002B55E9">
              <w:rPr>
                <w:rFonts w:cs="宋体"/>
                <w:sz w:val="18"/>
                <w:szCs w:val="18"/>
                <w:lang w:bidi="ne-NP"/>
              </w:rPr>
              <w:t>包括的敏感保护目标</w:t>
            </w:r>
          </w:p>
        </w:tc>
      </w:tr>
    </w:tbl>
    <w:p w14:paraId="06BB117E"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根据《东西湖</w:t>
      </w:r>
      <w:r w:rsidRPr="002B55E9">
        <w:rPr>
          <w:bCs/>
          <w:snapToGrid w:val="0"/>
          <w:sz w:val="24"/>
          <w:lang w:val="zh-CN"/>
        </w:rPr>
        <w:t>区吴家山经济技术开发区工业倍增</w:t>
      </w:r>
      <w:r w:rsidRPr="002B55E9">
        <w:rPr>
          <w:rFonts w:hint="eastAsia"/>
          <w:bCs/>
          <w:snapToGrid w:val="0"/>
          <w:sz w:val="24"/>
          <w:lang w:val="zh-CN"/>
        </w:rPr>
        <w:t>示范区雨水</w:t>
      </w:r>
      <w:r w:rsidRPr="002B55E9">
        <w:rPr>
          <w:bCs/>
          <w:snapToGrid w:val="0"/>
          <w:sz w:val="24"/>
          <w:lang w:val="zh-CN"/>
        </w:rPr>
        <w:t>排放专项规划</w:t>
      </w:r>
      <w:r w:rsidRPr="002B55E9">
        <w:rPr>
          <w:rFonts w:hint="eastAsia"/>
          <w:bCs/>
          <w:snapToGrid w:val="0"/>
          <w:sz w:val="24"/>
          <w:lang w:val="zh-CN"/>
        </w:rPr>
        <w:t>—规划自排</w:t>
      </w:r>
      <w:r w:rsidRPr="002B55E9">
        <w:rPr>
          <w:bCs/>
          <w:snapToGrid w:val="0"/>
          <w:sz w:val="24"/>
          <w:lang w:val="zh-CN"/>
        </w:rPr>
        <w:t>区域分布图</w:t>
      </w:r>
      <w:r w:rsidRPr="002B55E9">
        <w:rPr>
          <w:rFonts w:hint="eastAsia"/>
          <w:bCs/>
          <w:snapToGrid w:val="0"/>
          <w:sz w:val="24"/>
          <w:lang w:val="zh-CN"/>
        </w:rPr>
        <w:t>》，本项目雨水经厂区雨水管道收集后排入南六支沟，后向北进入</w:t>
      </w:r>
      <w:r w:rsidRPr="002B55E9">
        <w:rPr>
          <w:rFonts w:hint="eastAsia"/>
          <w:bCs/>
          <w:snapToGrid w:val="0"/>
          <w:sz w:val="24"/>
          <w:lang w:val="zh-CN"/>
        </w:rPr>
        <w:t>1</w:t>
      </w:r>
      <w:r w:rsidRPr="002B55E9">
        <w:rPr>
          <w:bCs/>
          <w:snapToGrid w:val="0"/>
          <w:sz w:val="24"/>
          <w:lang w:val="zh-CN"/>
        </w:rPr>
        <w:t>07</w:t>
      </w:r>
      <w:r w:rsidRPr="002B55E9">
        <w:rPr>
          <w:rFonts w:hint="eastAsia"/>
          <w:bCs/>
          <w:snapToGrid w:val="0"/>
          <w:sz w:val="24"/>
          <w:lang w:val="zh-CN"/>
        </w:rPr>
        <w:t>国道等高截流渠，最终排入府河，雨水受纳水体</w:t>
      </w:r>
      <w:r w:rsidRPr="002B55E9">
        <w:rPr>
          <w:bCs/>
          <w:snapToGrid w:val="0"/>
          <w:sz w:val="24"/>
          <w:lang w:val="zh-CN"/>
        </w:rPr>
        <w:t>为</w:t>
      </w:r>
      <w:r w:rsidRPr="002B55E9">
        <w:rPr>
          <w:rFonts w:hint="eastAsia"/>
          <w:bCs/>
          <w:snapToGrid w:val="0"/>
          <w:sz w:val="24"/>
          <w:lang w:val="zh-CN"/>
        </w:rPr>
        <w:t>府河，根据鄂政办函</w:t>
      </w:r>
      <w:r w:rsidRPr="002B55E9">
        <w:rPr>
          <w:rFonts w:hint="eastAsia"/>
          <w:bCs/>
          <w:snapToGrid w:val="0"/>
          <w:sz w:val="24"/>
          <w:lang w:val="zh-CN"/>
        </w:rPr>
        <w:t>[2000]74</w:t>
      </w:r>
      <w:r w:rsidRPr="002B55E9">
        <w:rPr>
          <w:rFonts w:hint="eastAsia"/>
          <w:bCs/>
          <w:snapToGrid w:val="0"/>
          <w:sz w:val="24"/>
          <w:lang w:val="zh-CN"/>
        </w:rPr>
        <w:t>号《省人民政府办公厅关于武汉市地表水环境功能类别和集中式地表水饮用水水源保护区级别规定有关问题的批复》，府河功能类别为</w:t>
      </w:r>
      <w:r w:rsidRPr="002B55E9">
        <w:rPr>
          <w:rFonts w:ascii="宋体" w:hAnsi="宋体" w:hint="eastAsia"/>
          <w:bCs/>
          <w:snapToGrid w:val="0"/>
          <w:sz w:val="24"/>
          <w:lang w:val="zh-CN"/>
        </w:rPr>
        <w:t>Ⅴ</w:t>
      </w:r>
      <w:r w:rsidRPr="002B55E9">
        <w:rPr>
          <w:rFonts w:hint="eastAsia"/>
          <w:bCs/>
          <w:snapToGrid w:val="0"/>
          <w:sz w:val="24"/>
          <w:lang w:val="zh-CN"/>
        </w:rPr>
        <w:t>类。若发生事故时有事故废水排放到厂外环境，</w:t>
      </w:r>
      <w:r w:rsidRPr="002B55E9">
        <w:rPr>
          <w:rFonts w:hint="eastAsia"/>
          <w:bCs/>
          <w:snapToGrid w:val="0"/>
          <w:sz w:val="24"/>
          <w:lang w:val="zh-CN"/>
        </w:rPr>
        <w:t xml:space="preserve">24 </w:t>
      </w:r>
      <w:r w:rsidRPr="002B55E9">
        <w:rPr>
          <w:rFonts w:hint="eastAsia"/>
          <w:bCs/>
          <w:snapToGrid w:val="0"/>
          <w:sz w:val="24"/>
          <w:lang w:val="zh-CN"/>
        </w:rPr>
        <w:t>时内不涉及跨越省</w:t>
      </w:r>
      <w:r w:rsidRPr="002B55E9">
        <w:rPr>
          <w:rFonts w:hint="eastAsia"/>
          <w:bCs/>
          <w:snapToGrid w:val="0"/>
          <w:sz w:val="24"/>
          <w:lang w:val="zh-CN"/>
        </w:rPr>
        <w:t>/</w:t>
      </w:r>
      <w:r w:rsidRPr="002B55E9">
        <w:rPr>
          <w:rFonts w:hint="eastAsia"/>
          <w:bCs/>
          <w:snapToGrid w:val="0"/>
          <w:sz w:val="24"/>
          <w:lang w:val="zh-CN"/>
        </w:rPr>
        <w:t>国界，故本项目地表水功能敏感性为敏感</w:t>
      </w:r>
      <w:r w:rsidRPr="002B55E9">
        <w:rPr>
          <w:rFonts w:hint="eastAsia"/>
          <w:bCs/>
          <w:snapToGrid w:val="0"/>
          <w:sz w:val="24"/>
          <w:lang w:val="zh-CN"/>
        </w:rPr>
        <w:t>F</w:t>
      </w:r>
      <w:r w:rsidRPr="002B55E9">
        <w:rPr>
          <w:bCs/>
          <w:snapToGrid w:val="0"/>
          <w:sz w:val="24"/>
          <w:lang w:val="zh-CN"/>
        </w:rPr>
        <w:t>3</w:t>
      </w:r>
      <w:r w:rsidRPr="002B55E9">
        <w:rPr>
          <w:rFonts w:hint="eastAsia"/>
          <w:bCs/>
          <w:snapToGrid w:val="0"/>
          <w:sz w:val="24"/>
          <w:lang w:val="zh-CN"/>
        </w:rPr>
        <w:t>。</w:t>
      </w:r>
    </w:p>
    <w:p w14:paraId="519ABBBB"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发生事故时，泄漏物可能通过园区雨水管网最终汇入府河，汇入点下游</w:t>
      </w:r>
      <w:r w:rsidRPr="002B55E9">
        <w:rPr>
          <w:rFonts w:hint="eastAsia"/>
          <w:bCs/>
          <w:snapToGrid w:val="0"/>
          <w:sz w:val="24"/>
          <w:lang w:val="zh-CN"/>
        </w:rPr>
        <w:t>10km</w:t>
      </w:r>
      <w:r w:rsidRPr="002B55E9">
        <w:rPr>
          <w:rFonts w:hint="eastAsia"/>
          <w:bCs/>
          <w:snapToGrid w:val="0"/>
          <w:sz w:val="24"/>
          <w:lang w:val="zh-CN"/>
        </w:rPr>
        <w:t>范围无上表中所述环境风险受体，根据附录</w:t>
      </w:r>
      <w:r w:rsidRPr="002B55E9">
        <w:rPr>
          <w:rFonts w:hint="eastAsia"/>
          <w:bCs/>
          <w:snapToGrid w:val="0"/>
          <w:sz w:val="24"/>
          <w:lang w:val="zh-CN"/>
        </w:rPr>
        <w:t>D.4</w:t>
      </w:r>
      <w:r w:rsidRPr="002B55E9">
        <w:rPr>
          <w:rFonts w:hint="eastAsia"/>
          <w:bCs/>
          <w:snapToGrid w:val="0"/>
          <w:sz w:val="24"/>
          <w:lang w:val="zh-CN"/>
        </w:rPr>
        <w:t>，故环境敏感目标为</w:t>
      </w:r>
      <w:r w:rsidRPr="002B55E9">
        <w:rPr>
          <w:rFonts w:hint="eastAsia"/>
          <w:bCs/>
          <w:snapToGrid w:val="0"/>
          <w:sz w:val="24"/>
          <w:lang w:val="zh-CN"/>
        </w:rPr>
        <w:t>S3</w:t>
      </w:r>
      <w:r w:rsidRPr="002B55E9">
        <w:rPr>
          <w:rFonts w:hint="eastAsia"/>
          <w:bCs/>
          <w:snapToGrid w:val="0"/>
          <w:sz w:val="24"/>
          <w:lang w:val="zh-CN"/>
        </w:rPr>
        <w:t>，根据上表，可知本项目地表</w:t>
      </w:r>
      <w:r w:rsidRPr="002B55E9">
        <w:rPr>
          <w:rFonts w:hint="eastAsia"/>
          <w:bCs/>
          <w:snapToGrid w:val="0"/>
          <w:sz w:val="24"/>
          <w:lang w:val="zh-CN"/>
        </w:rPr>
        <w:lastRenderedPageBreak/>
        <w:t>水环境属于环境低度敏感</w:t>
      </w:r>
      <w:r w:rsidRPr="002B55E9">
        <w:rPr>
          <w:rFonts w:hint="eastAsia"/>
          <w:bCs/>
          <w:snapToGrid w:val="0"/>
          <w:sz w:val="24"/>
          <w:lang w:val="zh-CN"/>
        </w:rPr>
        <w:t>E</w:t>
      </w:r>
      <w:r w:rsidRPr="002B55E9">
        <w:rPr>
          <w:bCs/>
          <w:snapToGrid w:val="0"/>
          <w:sz w:val="24"/>
          <w:lang w:val="zh-CN"/>
        </w:rPr>
        <w:t>3</w:t>
      </w:r>
      <w:r w:rsidRPr="002B55E9">
        <w:rPr>
          <w:rFonts w:hint="eastAsia"/>
          <w:bCs/>
          <w:snapToGrid w:val="0"/>
          <w:sz w:val="24"/>
          <w:lang w:val="zh-CN"/>
        </w:rPr>
        <w:t>。</w:t>
      </w:r>
    </w:p>
    <w:p w14:paraId="3820CE2D" w14:textId="77777777" w:rsidR="00D170E5" w:rsidRPr="002B55E9" w:rsidRDefault="00EF27AD">
      <w:pPr>
        <w:pStyle w:val="1f3"/>
        <w:snapToGrid w:val="0"/>
        <w:spacing w:beforeLines="0" w:before="0" w:line="360" w:lineRule="auto"/>
        <w:ind w:firstLineChars="200" w:firstLine="480"/>
        <w:jc w:val="both"/>
        <w:rPr>
          <w:rFonts w:ascii="宋体" w:eastAsia="宋体" w:hAnsi="宋体"/>
          <w:b w:val="0"/>
        </w:rPr>
      </w:pPr>
      <w:r w:rsidRPr="002B55E9">
        <w:rPr>
          <w:rFonts w:ascii="宋体" w:eastAsia="宋体" w:hAnsi="宋体" w:hint="eastAsia"/>
          <w:b w:val="0"/>
          <w:bCs/>
          <w:snapToGrid w:val="0"/>
          <w:lang w:val="zh-CN"/>
        </w:rPr>
        <w:t>综上，本项目地表水环境敏感程度为E</w:t>
      </w:r>
      <w:r w:rsidRPr="002B55E9">
        <w:rPr>
          <w:rFonts w:ascii="宋体" w:eastAsia="宋体" w:hAnsi="宋体"/>
          <w:b w:val="0"/>
          <w:bCs/>
          <w:snapToGrid w:val="0"/>
          <w:lang w:val="zh-CN"/>
        </w:rPr>
        <w:t>3</w:t>
      </w:r>
      <w:r w:rsidRPr="002B55E9">
        <w:rPr>
          <w:rFonts w:ascii="宋体" w:eastAsia="宋体" w:hAnsi="宋体" w:hint="eastAsia"/>
          <w:b w:val="0"/>
          <w:bCs/>
          <w:snapToGrid w:val="0"/>
          <w:lang w:val="zh-CN"/>
        </w:rPr>
        <w:t>环境低度敏感。</w:t>
      </w:r>
    </w:p>
    <w:p w14:paraId="5D9254A2" w14:textId="77777777" w:rsidR="00D170E5" w:rsidRPr="002B55E9" w:rsidRDefault="00EF27AD">
      <w:pPr>
        <w:pStyle w:val="5"/>
      </w:pPr>
      <w:r w:rsidRPr="002B55E9">
        <w:rPr>
          <w:rFonts w:hint="eastAsia"/>
        </w:rPr>
        <w:t>地下水敏感目标调查</w:t>
      </w:r>
    </w:p>
    <w:p w14:paraId="51C5C53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w:t>
      </w:r>
      <w:r w:rsidRPr="002B55E9">
        <w:rPr>
          <w:bCs/>
          <w:snapToGrid w:val="0"/>
          <w:sz w:val="24"/>
        </w:rPr>
        <w:t>《建设项目环境风险评价技术导则》（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附录</w:t>
      </w:r>
      <w:r w:rsidRPr="002B55E9">
        <w:rPr>
          <w:rFonts w:hint="eastAsia"/>
          <w:bCs/>
          <w:snapToGrid w:val="0"/>
          <w:sz w:val="24"/>
        </w:rPr>
        <w:t>D</w:t>
      </w:r>
      <w:r w:rsidRPr="002B55E9">
        <w:rPr>
          <w:rFonts w:hint="eastAsia"/>
          <w:bCs/>
          <w:snapToGrid w:val="0"/>
          <w:sz w:val="24"/>
        </w:rPr>
        <w:t>，地下水环境</w:t>
      </w:r>
      <w:r w:rsidRPr="002B55E9">
        <w:rPr>
          <w:bCs/>
          <w:snapToGrid w:val="0"/>
          <w:sz w:val="24"/>
        </w:rPr>
        <w:t>敏感</w:t>
      </w:r>
      <w:r w:rsidRPr="002B55E9">
        <w:rPr>
          <w:rFonts w:hint="eastAsia"/>
          <w:bCs/>
          <w:snapToGrid w:val="0"/>
          <w:sz w:val="24"/>
        </w:rPr>
        <w:t>程度依据地下水功能敏感性</w:t>
      </w:r>
      <w:r w:rsidRPr="002B55E9">
        <w:rPr>
          <w:bCs/>
          <w:snapToGrid w:val="0"/>
          <w:sz w:val="24"/>
        </w:rPr>
        <w:t>与包气带防污性能共分为三类：</w:t>
      </w:r>
      <w:r w:rsidRPr="002B55E9">
        <w:rPr>
          <w:rFonts w:hint="eastAsia"/>
          <w:bCs/>
          <w:snapToGrid w:val="0"/>
          <w:sz w:val="24"/>
        </w:rPr>
        <w:t>E1</w:t>
      </w:r>
      <w:r w:rsidRPr="002B55E9">
        <w:rPr>
          <w:rFonts w:hint="eastAsia"/>
          <w:bCs/>
          <w:snapToGrid w:val="0"/>
          <w:sz w:val="24"/>
        </w:rPr>
        <w:t>环境高度敏感区</w:t>
      </w:r>
      <w:r w:rsidRPr="002B55E9">
        <w:rPr>
          <w:bCs/>
          <w:snapToGrid w:val="0"/>
          <w:sz w:val="24"/>
        </w:rPr>
        <w:t>，</w:t>
      </w:r>
      <w:r w:rsidRPr="002B55E9">
        <w:rPr>
          <w:rFonts w:hint="eastAsia"/>
          <w:bCs/>
          <w:snapToGrid w:val="0"/>
          <w:sz w:val="24"/>
        </w:rPr>
        <w:t xml:space="preserve">E2 </w:t>
      </w:r>
      <w:r w:rsidRPr="002B55E9">
        <w:rPr>
          <w:rFonts w:hint="eastAsia"/>
          <w:bCs/>
          <w:snapToGrid w:val="0"/>
          <w:sz w:val="24"/>
        </w:rPr>
        <w:t>环境中度敏感区</w:t>
      </w:r>
      <w:r w:rsidRPr="002B55E9">
        <w:rPr>
          <w:bCs/>
          <w:snapToGrid w:val="0"/>
          <w:sz w:val="24"/>
        </w:rPr>
        <w:t>，</w:t>
      </w:r>
      <w:r w:rsidRPr="002B55E9">
        <w:rPr>
          <w:rFonts w:hint="eastAsia"/>
          <w:bCs/>
          <w:snapToGrid w:val="0"/>
          <w:sz w:val="24"/>
        </w:rPr>
        <w:t xml:space="preserve">E3 </w:t>
      </w:r>
      <w:r w:rsidRPr="002B55E9">
        <w:rPr>
          <w:rFonts w:hint="eastAsia"/>
          <w:bCs/>
          <w:snapToGrid w:val="0"/>
          <w:sz w:val="24"/>
        </w:rPr>
        <w:t>环境低度</w:t>
      </w:r>
      <w:r w:rsidRPr="002B55E9">
        <w:rPr>
          <w:bCs/>
          <w:snapToGrid w:val="0"/>
          <w:sz w:val="24"/>
        </w:rPr>
        <w:t>敏感区</w:t>
      </w:r>
      <w:r w:rsidRPr="002B55E9">
        <w:rPr>
          <w:rFonts w:hint="eastAsia"/>
          <w:bCs/>
          <w:snapToGrid w:val="0"/>
          <w:sz w:val="24"/>
        </w:rPr>
        <w:t>。地下水</w:t>
      </w:r>
      <w:r w:rsidRPr="002B55E9">
        <w:rPr>
          <w:bCs/>
          <w:snapToGrid w:val="0"/>
          <w:sz w:val="24"/>
        </w:rPr>
        <w:t>功能敏感性分区和环境敏感目标分级分别见</w:t>
      </w:r>
      <w:r w:rsidRPr="002B55E9">
        <w:rPr>
          <w:rFonts w:hint="eastAsia"/>
          <w:bCs/>
          <w:snapToGrid w:val="0"/>
          <w:sz w:val="24"/>
        </w:rPr>
        <w:t>下</w:t>
      </w:r>
      <w:r w:rsidRPr="002B55E9">
        <w:rPr>
          <w:bCs/>
          <w:snapToGrid w:val="0"/>
          <w:sz w:val="24"/>
        </w:rPr>
        <w:t>表</w:t>
      </w:r>
      <w:r w:rsidRPr="002B55E9">
        <w:rPr>
          <w:rFonts w:hint="eastAsia"/>
          <w:bCs/>
          <w:snapToGrid w:val="0"/>
          <w:sz w:val="24"/>
        </w:rPr>
        <w:t>。</w:t>
      </w:r>
    </w:p>
    <w:p w14:paraId="2B2B73D9"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-1-15  </w:t>
      </w:r>
      <w:r w:rsidRPr="002B55E9">
        <w:rPr>
          <w:rFonts w:eastAsia="黑体" w:hint="eastAsia"/>
          <w:b/>
          <w:sz w:val="24"/>
          <w:szCs w:val="28"/>
        </w:rPr>
        <w:t>地下水环境敏感程度</w:t>
      </w:r>
      <w:r w:rsidRPr="002B55E9">
        <w:rPr>
          <w:rFonts w:eastAsia="黑体"/>
          <w:b/>
          <w:sz w:val="24"/>
          <w:szCs w:val="28"/>
        </w:rPr>
        <w:t>类型</w:t>
      </w:r>
      <w:r w:rsidRPr="002B55E9">
        <w:rPr>
          <w:rFonts w:eastAsia="黑体" w:hint="eastAsia"/>
          <w:b/>
          <w:sz w:val="24"/>
          <w:szCs w:val="28"/>
        </w:rPr>
        <w:t>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29"/>
        <w:gridCol w:w="1804"/>
        <w:gridCol w:w="1804"/>
        <w:gridCol w:w="1802"/>
      </w:tblGrid>
      <w:tr w:rsidR="00C60999" w:rsidRPr="002B55E9" w14:paraId="2B401859" w14:textId="77777777">
        <w:trPr>
          <w:trHeight w:val="284"/>
        </w:trPr>
        <w:tc>
          <w:tcPr>
            <w:tcW w:w="4229" w:type="dxa"/>
            <w:vMerge w:val="restart"/>
            <w:tcBorders>
              <w:top w:val="single" w:sz="12" w:space="0" w:color="auto"/>
              <w:bottom w:val="single" w:sz="4" w:space="0" w:color="auto"/>
            </w:tcBorders>
            <w:vAlign w:val="center"/>
          </w:tcPr>
          <w:p w14:paraId="3D080D6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包气带防污性能</w:t>
            </w:r>
          </w:p>
        </w:tc>
        <w:tc>
          <w:tcPr>
            <w:tcW w:w="5410" w:type="dxa"/>
            <w:gridSpan w:val="3"/>
            <w:tcBorders>
              <w:top w:val="single" w:sz="12" w:space="0" w:color="auto"/>
              <w:bottom w:val="single" w:sz="4" w:space="0" w:color="auto"/>
            </w:tcBorders>
            <w:vAlign w:val="center"/>
          </w:tcPr>
          <w:p w14:paraId="78F6B30E"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地下水功能敏感性</w:t>
            </w:r>
          </w:p>
        </w:tc>
      </w:tr>
      <w:tr w:rsidR="00C60999" w:rsidRPr="002B55E9" w14:paraId="48056BE0" w14:textId="77777777">
        <w:trPr>
          <w:trHeight w:val="284"/>
        </w:trPr>
        <w:tc>
          <w:tcPr>
            <w:tcW w:w="4229" w:type="dxa"/>
            <w:vMerge/>
            <w:tcBorders>
              <w:top w:val="single" w:sz="4" w:space="0" w:color="auto"/>
              <w:bottom w:val="single" w:sz="12" w:space="0" w:color="auto"/>
            </w:tcBorders>
            <w:vAlign w:val="center"/>
          </w:tcPr>
          <w:p w14:paraId="54F2D656" w14:textId="77777777" w:rsidR="00D170E5" w:rsidRPr="002B55E9" w:rsidRDefault="00D170E5">
            <w:pPr>
              <w:widowControl/>
              <w:autoSpaceDE w:val="0"/>
              <w:autoSpaceDN w:val="0"/>
              <w:adjustRightInd w:val="0"/>
              <w:snapToGrid w:val="0"/>
              <w:jc w:val="center"/>
              <w:rPr>
                <w:rFonts w:cs="宋体"/>
                <w:sz w:val="18"/>
                <w:szCs w:val="18"/>
                <w:lang w:bidi="ne-NP"/>
              </w:rPr>
            </w:pPr>
          </w:p>
        </w:tc>
        <w:tc>
          <w:tcPr>
            <w:tcW w:w="1804" w:type="dxa"/>
            <w:tcBorders>
              <w:top w:val="single" w:sz="4" w:space="0" w:color="auto"/>
              <w:bottom w:val="single" w:sz="12" w:space="0" w:color="auto"/>
            </w:tcBorders>
            <w:vAlign w:val="center"/>
          </w:tcPr>
          <w:p w14:paraId="0315907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G1</w:t>
            </w:r>
          </w:p>
        </w:tc>
        <w:tc>
          <w:tcPr>
            <w:tcW w:w="1804" w:type="dxa"/>
            <w:tcBorders>
              <w:top w:val="single" w:sz="4" w:space="0" w:color="auto"/>
              <w:bottom w:val="single" w:sz="12" w:space="0" w:color="auto"/>
            </w:tcBorders>
            <w:vAlign w:val="center"/>
          </w:tcPr>
          <w:p w14:paraId="6D52E17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G</w:t>
            </w:r>
            <w:r w:rsidRPr="002B55E9">
              <w:rPr>
                <w:rFonts w:cs="宋体" w:hint="eastAsia"/>
                <w:sz w:val="18"/>
                <w:szCs w:val="18"/>
                <w:lang w:bidi="ne-NP"/>
              </w:rPr>
              <w:t>2</w:t>
            </w:r>
          </w:p>
        </w:tc>
        <w:tc>
          <w:tcPr>
            <w:tcW w:w="1802" w:type="dxa"/>
            <w:tcBorders>
              <w:top w:val="single" w:sz="4" w:space="0" w:color="auto"/>
              <w:bottom w:val="single" w:sz="12" w:space="0" w:color="auto"/>
            </w:tcBorders>
            <w:vAlign w:val="center"/>
          </w:tcPr>
          <w:p w14:paraId="1F9F943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G</w:t>
            </w:r>
            <w:r w:rsidRPr="002B55E9">
              <w:rPr>
                <w:rFonts w:cs="宋体" w:hint="eastAsia"/>
                <w:sz w:val="18"/>
                <w:szCs w:val="18"/>
                <w:lang w:bidi="ne-NP"/>
              </w:rPr>
              <w:t>3</w:t>
            </w:r>
          </w:p>
        </w:tc>
      </w:tr>
      <w:tr w:rsidR="00C60999" w:rsidRPr="002B55E9" w14:paraId="0E283833" w14:textId="77777777">
        <w:trPr>
          <w:trHeight w:val="284"/>
        </w:trPr>
        <w:tc>
          <w:tcPr>
            <w:tcW w:w="4229" w:type="dxa"/>
            <w:tcBorders>
              <w:top w:val="single" w:sz="12" w:space="0" w:color="auto"/>
            </w:tcBorders>
            <w:vAlign w:val="center"/>
          </w:tcPr>
          <w:p w14:paraId="13085A2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D</w:t>
            </w:r>
            <w:r w:rsidRPr="002B55E9">
              <w:rPr>
                <w:rFonts w:cs="宋体" w:hint="eastAsia"/>
                <w:sz w:val="18"/>
                <w:szCs w:val="18"/>
                <w:lang w:bidi="ne-NP"/>
              </w:rPr>
              <w:t>1</w:t>
            </w:r>
          </w:p>
        </w:tc>
        <w:tc>
          <w:tcPr>
            <w:tcW w:w="1804" w:type="dxa"/>
            <w:tcBorders>
              <w:top w:val="single" w:sz="12" w:space="0" w:color="auto"/>
            </w:tcBorders>
            <w:vAlign w:val="center"/>
          </w:tcPr>
          <w:p w14:paraId="4278361B"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E1</w:t>
            </w:r>
          </w:p>
        </w:tc>
        <w:tc>
          <w:tcPr>
            <w:tcW w:w="1804" w:type="dxa"/>
            <w:tcBorders>
              <w:top w:val="single" w:sz="12" w:space="0" w:color="auto"/>
            </w:tcBorders>
            <w:vAlign w:val="center"/>
          </w:tcPr>
          <w:p w14:paraId="18C087C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E1</w:t>
            </w:r>
          </w:p>
        </w:tc>
        <w:tc>
          <w:tcPr>
            <w:tcW w:w="1802" w:type="dxa"/>
            <w:tcBorders>
              <w:top w:val="single" w:sz="12" w:space="0" w:color="auto"/>
            </w:tcBorders>
            <w:vAlign w:val="center"/>
          </w:tcPr>
          <w:p w14:paraId="2D2561D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E2</w:t>
            </w:r>
          </w:p>
        </w:tc>
      </w:tr>
      <w:tr w:rsidR="00C60999" w:rsidRPr="002B55E9" w14:paraId="53B95ACB" w14:textId="77777777">
        <w:trPr>
          <w:trHeight w:val="284"/>
        </w:trPr>
        <w:tc>
          <w:tcPr>
            <w:tcW w:w="4229" w:type="dxa"/>
            <w:vAlign w:val="center"/>
          </w:tcPr>
          <w:p w14:paraId="3800B8F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D</w:t>
            </w:r>
            <w:r w:rsidRPr="002B55E9">
              <w:rPr>
                <w:rFonts w:cs="宋体" w:hint="eastAsia"/>
                <w:sz w:val="18"/>
                <w:szCs w:val="18"/>
                <w:lang w:bidi="ne-NP"/>
              </w:rPr>
              <w:t>2</w:t>
            </w:r>
          </w:p>
        </w:tc>
        <w:tc>
          <w:tcPr>
            <w:tcW w:w="1804" w:type="dxa"/>
            <w:vAlign w:val="center"/>
          </w:tcPr>
          <w:p w14:paraId="0EC5D88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E1</w:t>
            </w:r>
          </w:p>
        </w:tc>
        <w:tc>
          <w:tcPr>
            <w:tcW w:w="1804" w:type="dxa"/>
            <w:vAlign w:val="center"/>
          </w:tcPr>
          <w:p w14:paraId="57101D8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w:t>
            </w:r>
            <w:r w:rsidRPr="002B55E9">
              <w:rPr>
                <w:rFonts w:cs="宋体" w:hint="eastAsia"/>
                <w:sz w:val="18"/>
                <w:szCs w:val="18"/>
                <w:lang w:bidi="ne-NP"/>
              </w:rPr>
              <w:t>2</w:t>
            </w:r>
          </w:p>
        </w:tc>
        <w:tc>
          <w:tcPr>
            <w:tcW w:w="1802" w:type="dxa"/>
            <w:vAlign w:val="center"/>
          </w:tcPr>
          <w:p w14:paraId="204A0BF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w:t>
            </w:r>
            <w:r w:rsidRPr="002B55E9">
              <w:rPr>
                <w:rFonts w:cs="宋体" w:hint="eastAsia"/>
                <w:sz w:val="18"/>
                <w:szCs w:val="18"/>
                <w:lang w:bidi="ne-NP"/>
              </w:rPr>
              <w:t>3</w:t>
            </w:r>
          </w:p>
        </w:tc>
      </w:tr>
      <w:tr w:rsidR="00C60999" w:rsidRPr="002B55E9" w14:paraId="07C7B638" w14:textId="77777777">
        <w:trPr>
          <w:trHeight w:val="284"/>
        </w:trPr>
        <w:tc>
          <w:tcPr>
            <w:tcW w:w="4229" w:type="dxa"/>
            <w:vAlign w:val="center"/>
          </w:tcPr>
          <w:p w14:paraId="08DCFEB5"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D</w:t>
            </w:r>
            <w:r w:rsidRPr="002B55E9">
              <w:rPr>
                <w:rFonts w:cs="宋体" w:hint="eastAsia"/>
                <w:sz w:val="18"/>
                <w:szCs w:val="18"/>
                <w:lang w:bidi="ne-NP"/>
              </w:rPr>
              <w:t>3</w:t>
            </w:r>
          </w:p>
        </w:tc>
        <w:tc>
          <w:tcPr>
            <w:tcW w:w="1804" w:type="dxa"/>
            <w:vAlign w:val="center"/>
          </w:tcPr>
          <w:p w14:paraId="21241AE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E2</w:t>
            </w:r>
          </w:p>
        </w:tc>
        <w:tc>
          <w:tcPr>
            <w:tcW w:w="1804" w:type="dxa"/>
            <w:vAlign w:val="center"/>
          </w:tcPr>
          <w:p w14:paraId="0127FB44"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E3</w:t>
            </w:r>
          </w:p>
        </w:tc>
        <w:tc>
          <w:tcPr>
            <w:tcW w:w="1802" w:type="dxa"/>
            <w:vAlign w:val="center"/>
          </w:tcPr>
          <w:p w14:paraId="75DF04C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sz w:val="18"/>
                <w:szCs w:val="18"/>
                <w:lang w:bidi="ne-NP"/>
              </w:rPr>
              <w:t>E</w:t>
            </w:r>
            <w:r w:rsidRPr="002B55E9">
              <w:rPr>
                <w:rFonts w:cs="宋体" w:hint="eastAsia"/>
                <w:sz w:val="18"/>
                <w:szCs w:val="18"/>
                <w:lang w:bidi="ne-NP"/>
              </w:rPr>
              <w:t>3</w:t>
            </w:r>
          </w:p>
        </w:tc>
      </w:tr>
    </w:tbl>
    <w:p w14:paraId="13A63287"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w:t>
      </w:r>
      <w:r w:rsidRPr="002B55E9">
        <w:rPr>
          <w:rFonts w:eastAsia="黑体"/>
          <w:b/>
          <w:sz w:val="24"/>
          <w:szCs w:val="28"/>
        </w:rPr>
        <w:t>1</w:t>
      </w:r>
      <w:r w:rsidRPr="002B55E9">
        <w:rPr>
          <w:rFonts w:eastAsia="黑体" w:hint="eastAsia"/>
          <w:b/>
          <w:sz w:val="24"/>
          <w:szCs w:val="28"/>
        </w:rPr>
        <w:t xml:space="preserve">-16  </w:t>
      </w:r>
      <w:r w:rsidRPr="002B55E9">
        <w:rPr>
          <w:rFonts w:eastAsia="黑体" w:hint="eastAsia"/>
          <w:b/>
          <w:sz w:val="24"/>
          <w:szCs w:val="28"/>
        </w:rPr>
        <w:t>地下水功能敏感性划分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12"/>
        <w:gridCol w:w="7727"/>
      </w:tblGrid>
      <w:tr w:rsidR="00C60999" w:rsidRPr="002B55E9" w14:paraId="35708FC8" w14:textId="77777777">
        <w:trPr>
          <w:trHeight w:val="284"/>
          <w:tblHeader/>
        </w:trPr>
        <w:tc>
          <w:tcPr>
            <w:tcW w:w="1912" w:type="dxa"/>
            <w:tcBorders>
              <w:top w:val="single" w:sz="12" w:space="0" w:color="auto"/>
              <w:bottom w:val="single" w:sz="12" w:space="0" w:color="auto"/>
            </w:tcBorders>
            <w:vAlign w:val="center"/>
          </w:tcPr>
          <w:p w14:paraId="69ED10A6"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敏感性</w:t>
            </w:r>
          </w:p>
        </w:tc>
        <w:tc>
          <w:tcPr>
            <w:tcW w:w="7727" w:type="dxa"/>
            <w:tcBorders>
              <w:top w:val="single" w:sz="12" w:space="0" w:color="auto"/>
              <w:bottom w:val="single" w:sz="12" w:space="0" w:color="auto"/>
            </w:tcBorders>
            <w:vAlign w:val="center"/>
          </w:tcPr>
          <w:p w14:paraId="46A4A591"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地表水环境</w:t>
            </w:r>
            <w:r w:rsidRPr="002B55E9">
              <w:rPr>
                <w:rFonts w:cs="宋体"/>
                <w:sz w:val="18"/>
                <w:szCs w:val="18"/>
                <w:lang w:bidi="ne-NP"/>
              </w:rPr>
              <w:t>敏感特征</w:t>
            </w:r>
          </w:p>
        </w:tc>
      </w:tr>
      <w:tr w:rsidR="00C60999" w:rsidRPr="002B55E9" w14:paraId="4951E2F5" w14:textId="77777777">
        <w:trPr>
          <w:trHeight w:val="284"/>
        </w:trPr>
        <w:tc>
          <w:tcPr>
            <w:tcW w:w="1912" w:type="dxa"/>
            <w:tcBorders>
              <w:top w:val="single" w:sz="12" w:space="0" w:color="auto"/>
            </w:tcBorders>
            <w:vAlign w:val="center"/>
          </w:tcPr>
          <w:p w14:paraId="3A48B8E8"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敏感</w:t>
            </w:r>
            <w:r w:rsidRPr="002B55E9">
              <w:rPr>
                <w:rFonts w:cs="宋体"/>
                <w:sz w:val="18"/>
                <w:szCs w:val="18"/>
                <w:lang w:bidi="ne-NP"/>
              </w:rPr>
              <w:t>G1</w:t>
            </w:r>
          </w:p>
        </w:tc>
        <w:tc>
          <w:tcPr>
            <w:tcW w:w="7727" w:type="dxa"/>
            <w:tcBorders>
              <w:top w:val="single" w:sz="12" w:space="0" w:color="auto"/>
            </w:tcBorders>
            <w:vAlign w:val="center"/>
          </w:tcPr>
          <w:p w14:paraId="12EA808A"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集中式饮用水水源（包括</w:t>
            </w:r>
            <w:r w:rsidRPr="002B55E9">
              <w:rPr>
                <w:rFonts w:cs="宋体"/>
                <w:sz w:val="18"/>
                <w:szCs w:val="18"/>
                <w:lang w:bidi="ne-NP"/>
              </w:rPr>
              <w:t>已建成的在用、备用、应急水源，在建和规划的饮用水水源</w:t>
            </w:r>
            <w:r w:rsidRPr="002B55E9">
              <w:rPr>
                <w:rFonts w:cs="宋体" w:hint="eastAsia"/>
                <w:sz w:val="18"/>
                <w:szCs w:val="18"/>
                <w:lang w:bidi="ne-NP"/>
              </w:rPr>
              <w:t>）准保护区</w:t>
            </w:r>
            <w:r w:rsidRPr="002B55E9">
              <w:rPr>
                <w:rFonts w:cs="宋体"/>
                <w:sz w:val="18"/>
                <w:szCs w:val="18"/>
                <w:lang w:bidi="ne-NP"/>
              </w:rPr>
              <w:t>；除</w:t>
            </w:r>
            <w:r w:rsidRPr="002B55E9">
              <w:rPr>
                <w:rFonts w:cs="宋体" w:hint="eastAsia"/>
                <w:sz w:val="18"/>
                <w:szCs w:val="18"/>
                <w:lang w:bidi="ne-NP"/>
              </w:rPr>
              <w:t>集中式饮用水水源以外</w:t>
            </w:r>
            <w:r w:rsidRPr="002B55E9">
              <w:rPr>
                <w:rFonts w:cs="宋体"/>
                <w:sz w:val="18"/>
                <w:szCs w:val="18"/>
                <w:lang w:bidi="ne-NP"/>
              </w:rPr>
              <w:t>的国家或地方政府设定的</w:t>
            </w:r>
            <w:r w:rsidRPr="002B55E9">
              <w:rPr>
                <w:rFonts w:cs="宋体" w:hint="eastAsia"/>
                <w:sz w:val="18"/>
                <w:szCs w:val="18"/>
                <w:lang w:bidi="ne-NP"/>
              </w:rPr>
              <w:t>与</w:t>
            </w:r>
            <w:r w:rsidRPr="002B55E9">
              <w:rPr>
                <w:rFonts w:cs="宋体"/>
                <w:sz w:val="18"/>
                <w:szCs w:val="18"/>
                <w:lang w:bidi="ne-NP"/>
              </w:rPr>
              <w:t>地下水环境相关的其它保护区，如热水、矿泉水、温泉等特殊地下水资源保护区</w:t>
            </w:r>
          </w:p>
        </w:tc>
      </w:tr>
      <w:tr w:rsidR="00C60999" w:rsidRPr="002B55E9" w14:paraId="3BFA274C" w14:textId="77777777">
        <w:trPr>
          <w:trHeight w:val="284"/>
        </w:trPr>
        <w:tc>
          <w:tcPr>
            <w:tcW w:w="1912" w:type="dxa"/>
            <w:vAlign w:val="center"/>
          </w:tcPr>
          <w:p w14:paraId="657CAD04"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较敏感</w:t>
            </w:r>
            <w:r w:rsidRPr="002B55E9">
              <w:rPr>
                <w:rFonts w:cs="宋体"/>
                <w:sz w:val="18"/>
                <w:szCs w:val="18"/>
                <w:lang w:bidi="ne-NP"/>
              </w:rPr>
              <w:t>G2</w:t>
            </w:r>
          </w:p>
        </w:tc>
        <w:tc>
          <w:tcPr>
            <w:tcW w:w="7727" w:type="dxa"/>
            <w:vAlign w:val="center"/>
          </w:tcPr>
          <w:p w14:paraId="7B064E63"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集中式饮用水水源（包括</w:t>
            </w:r>
            <w:r w:rsidRPr="002B55E9">
              <w:rPr>
                <w:rFonts w:cs="宋体"/>
                <w:sz w:val="18"/>
                <w:szCs w:val="18"/>
                <w:lang w:bidi="ne-NP"/>
              </w:rPr>
              <w:t>已建成的在用、备用、应急水源，在建和规划的饮用水水源</w:t>
            </w:r>
            <w:r w:rsidRPr="002B55E9">
              <w:rPr>
                <w:rFonts w:cs="宋体" w:hint="eastAsia"/>
                <w:sz w:val="18"/>
                <w:szCs w:val="18"/>
                <w:lang w:bidi="ne-NP"/>
              </w:rPr>
              <w:t>）准保护区以外</w:t>
            </w:r>
            <w:r w:rsidRPr="002B55E9">
              <w:rPr>
                <w:rFonts w:cs="宋体"/>
                <w:sz w:val="18"/>
                <w:szCs w:val="18"/>
                <w:lang w:bidi="ne-NP"/>
              </w:rPr>
              <w:t>的补给径流区；</w:t>
            </w:r>
            <w:r w:rsidRPr="002B55E9">
              <w:rPr>
                <w:rFonts w:cs="宋体" w:hint="eastAsia"/>
                <w:sz w:val="18"/>
                <w:szCs w:val="18"/>
                <w:lang w:bidi="ne-NP"/>
              </w:rPr>
              <w:t>未划定准保护区</w:t>
            </w:r>
            <w:r w:rsidRPr="002B55E9">
              <w:rPr>
                <w:rFonts w:cs="宋体"/>
                <w:sz w:val="18"/>
                <w:szCs w:val="18"/>
                <w:lang w:bidi="ne-NP"/>
              </w:rPr>
              <w:t>的集中式饮用水水源</w:t>
            </w:r>
            <w:r w:rsidRPr="002B55E9">
              <w:rPr>
                <w:rFonts w:cs="宋体" w:hint="eastAsia"/>
                <w:sz w:val="18"/>
                <w:szCs w:val="18"/>
                <w:lang w:bidi="ne-NP"/>
              </w:rPr>
              <w:t>，</w:t>
            </w:r>
            <w:r w:rsidRPr="002B55E9">
              <w:rPr>
                <w:rFonts w:cs="宋体"/>
                <w:sz w:val="18"/>
                <w:szCs w:val="18"/>
                <w:lang w:bidi="ne-NP"/>
              </w:rPr>
              <w:t>其保护区以外的补给径流区；分散式饮用水水源地；特殊地下水资源</w:t>
            </w:r>
            <w:r w:rsidRPr="002B55E9">
              <w:rPr>
                <w:rFonts w:cs="宋体" w:hint="eastAsia"/>
                <w:sz w:val="18"/>
                <w:szCs w:val="18"/>
                <w:lang w:bidi="ne-NP"/>
              </w:rPr>
              <w:t>（</w:t>
            </w:r>
            <w:r w:rsidRPr="002B55E9">
              <w:rPr>
                <w:rFonts w:cs="宋体"/>
                <w:sz w:val="18"/>
                <w:szCs w:val="18"/>
                <w:lang w:bidi="ne-NP"/>
              </w:rPr>
              <w:t>如热水、矿泉水、温泉等</w:t>
            </w:r>
            <w:r w:rsidRPr="002B55E9">
              <w:rPr>
                <w:rFonts w:cs="宋体" w:hint="eastAsia"/>
                <w:sz w:val="18"/>
                <w:szCs w:val="18"/>
                <w:lang w:bidi="ne-NP"/>
              </w:rPr>
              <w:t>）</w:t>
            </w:r>
            <w:r w:rsidRPr="002B55E9">
              <w:rPr>
                <w:rFonts w:cs="宋体"/>
                <w:sz w:val="18"/>
                <w:szCs w:val="18"/>
                <w:lang w:bidi="ne-NP"/>
              </w:rPr>
              <w:t>保护区</w:t>
            </w:r>
            <w:r w:rsidRPr="002B55E9">
              <w:rPr>
                <w:rFonts w:cs="宋体" w:hint="eastAsia"/>
                <w:sz w:val="18"/>
                <w:szCs w:val="18"/>
                <w:lang w:bidi="ne-NP"/>
              </w:rPr>
              <w:t>以外</w:t>
            </w:r>
            <w:r w:rsidRPr="002B55E9">
              <w:rPr>
                <w:rFonts w:cs="宋体"/>
                <w:sz w:val="18"/>
                <w:szCs w:val="18"/>
                <w:lang w:bidi="ne-NP"/>
              </w:rPr>
              <w:t>的分布区等其他未列入上述敏感分级的环境敏感区</w:t>
            </w:r>
            <w:r w:rsidRPr="002B55E9">
              <w:rPr>
                <w:rFonts w:cs="宋体" w:hint="eastAsia"/>
                <w:sz w:val="18"/>
                <w:szCs w:val="18"/>
                <w:vertAlign w:val="superscript"/>
                <w:lang w:bidi="ne-NP"/>
              </w:rPr>
              <w:t>a</w:t>
            </w:r>
          </w:p>
        </w:tc>
      </w:tr>
      <w:tr w:rsidR="00C60999" w:rsidRPr="002B55E9" w14:paraId="662F270A" w14:textId="77777777">
        <w:trPr>
          <w:trHeight w:val="284"/>
        </w:trPr>
        <w:tc>
          <w:tcPr>
            <w:tcW w:w="1912" w:type="dxa"/>
            <w:vAlign w:val="center"/>
          </w:tcPr>
          <w:p w14:paraId="06C267DA"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不敏感</w:t>
            </w:r>
            <w:r w:rsidRPr="002B55E9">
              <w:rPr>
                <w:rFonts w:cs="宋体"/>
                <w:sz w:val="18"/>
                <w:szCs w:val="18"/>
                <w:lang w:bidi="ne-NP"/>
              </w:rPr>
              <w:t>G3</w:t>
            </w:r>
          </w:p>
        </w:tc>
        <w:tc>
          <w:tcPr>
            <w:tcW w:w="7727" w:type="dxa"/>
            <w:vAlign w:val="center"/>
          </w:tcPr>
          <w:p w14:paraId="6B16D67B" w14:textId="77777777" w:rsidR="00D170E5" w:rsidRPr="002B55E9" w:rsidRDefault="00EF27AD">
            <w:pPr>
              <w:autoSpaceDE w:val="0"/>
              <w:autoSpaceDN w:val="0"/>
              <w:adjustRightInd w:val="0"/>
              <w:snapToGrid w:val="0"/>
              <w:rPr>
                <w:rFonts w:cs="宋体"/>
                <w:sz w:val="18"/>
                <w:szCs w:val="18"/>
                <w:lang w:bidi="ne-NP"/>
              </w:rPr>
            </w:pPr>
            <w:r w:rsidRPr="002B55E9">
              <w:rPr>
                <w:rFonts w:cs="宋体" w:hint="eastAsia"/>
                <w:sz w:val="18"/>
                <w:szCs w:val="18"/>
                <w:lang w:bidi="ne-NP"/>
              </w:rPr>
              <w:t>上述地区</w:t>
            </w:r>
            <w:r w:rsidRPr="002B55E9">
              <w:rPr>
                <w:rFonts w:cs="宋体"/>
                <w:sz w:val="18"/>
                <w:szCs w:val="18"/>
                <w:lang w:bidi="ne-NP"/>
              </w:rPr>
              <w:t>以外的其他地区</w:t>
            </w:r>
          </w:p>
        </w:tc>
      </w:tr>
      <w:tr w:rsidR="00C60999" w:rsidRPr="002B55E9" w14:paraId="37EDFE81" w14:textId="77777777">
        <w:trPr>
          <w:trHeight w:val="284"/>
        </w:trPr>
        <w:tc>
          <w:tcPr>
            <w:tcW w:w="9639" w:type="dxa"/>
            <w:gridSpan w:val="2"/>
            <w:vAlign w:val="center"/>
          </w:tcPr>
          <w:p w14:paraId="39F99C4D"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a“</w:t>
            </w:r>
            <w:r w:rsidRPr="002B55E9">
              <w:rPr>
                <w:rFonts w:cs="宋体" w:hint="eastAsia"/>
                <w:sz w:val="18"/>
                <w:szCs w:val="18"/>
                <w:lang w:bidi="ne-NP"/>
              </w:rPr>
              <w:t>环境</w:t>
            </w:r>
            <w:r w:rsidRPr="002B55E9">
              <w:rPr>
                <w:rFonts w:cs="宋体"/>
                <w:sz w:val="18"/>
                <w:szCs w:val="18"/>
                <w:lang w:bidi="ne-NP"/>
              </w:rPr>
              <w:t>敏感区</w:t>
            </w:r>
            <w:r w:rsidRPr="002B55E9">
              <w:rPr>
                <w:rFonts w:cs="宋体"/>
                <w:sz w:val="18"/>
                <w:szCs w:val="18"/>
                <w:lang w:bidi="ne-NP"/>
              </w:rPr>
              <w:t>”</w:t>
            </w:r>
            <w:r w:rsidRPr="002B55E9">
              <w:rPr>
                <w:rFonts w:cs="宋体" w:hint="eastAsia"/>
                <w:sz w:val="18"/>
                <w:szCs w:val="18"/>
                <w:lang w:bidi="ne-NP"/>
              </w:rPr>
              <w:t>是</w:t>
            </w:r>
            <w:r w:rsidRPr="002B55E9">
              <w:rPr>
                <w:rFonts w:cs="宋体"/>
                <w:sz w:val="18"/>
                <w:szCs w:val="18"/>
                <w:lang w:bidi="ne-NP"/>
              </w:rPr>
              <w:t>指《</w:t>
            </w:r>
            <w:r w:rsidRPr="002B55E9">
              <w:rPr>
                <w:rFonts w:cs="宋体" w:hint="eastAsia"/>
                <w:sz w:val="18"/>
                <w:szCs w:val="18"/>
                <w:lang w:bidi="ne-NP"/>
              </w:rPr>
              <w:t>建设项目</w:t>
            </w:r>
            <w:r w:rsidRPr="002B55E9">
              <w:rPr>
                <w:rFonts w:cs="宋体"/>
                <w:sz w:val="18"/>
                <w:szCs w:val="18"/>
                <w:lang w:bidi="ne-NP"/>
              </w:rPr>
              <w:t>环境影响评价分类管理名录》</w:t>
            </w:r>
            <w:r w:rsidRPr="002B55E9">
              <w:rPr>
                <w:rFonts w:cs="宋体" w:hint="eastAsia"/>
                <w:sz w:val="18"/>
                <w:szCs w:val="18"/>
                <w:lang w:bidi="ne-NP"/>
              </w:rPr>
              <w:t>中</w:t>
            </w:r>
            <w:r w:rsidRPr="002B55E9">
              <w:rPr>
                <w:rFonts w:cs="宋体"/>
                <w:sz w:val="18"/>
                <w:szCs w:val="18"/>
                <w:lang w:bidi="ne-NP"/>
              </w:rPr>
              <w:t>所界定的</w:t>
            </w:r>
            <w:r w:rsidRPr="002B55E9">
              <w:rPr>
                <w:rFonts w:cs="宋体" w:hint="eastAsia"/>
                <w:sz w:val="18"/>
                <w:szCs w:val="18"/>
                <w:lang w:bidi="ne-NP"/>
              </w:rPr>
              <w:t>涉及</w:t>
            </w:r>
            <w:r w:rsidRPr="002B55E9">
              <w:rPr>
                <w:rFonts w:cs="宋体"/>
                <w:sz w:val="18"/>
                <w:szCs w:val="18"/>
                <w:lang w:bidi="ne-NP"/>
              </w:rPr>
              <w:t>地下水的环境敏感区</w:t>
            </w:r>
          </w:p>
        </w:tc>
      </w:tr>
    </w:tbl>
    <w:p w14:paraId="40496E1C"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-1-17  </w:t>
      </w:r>
      <w:r w:rsidRPr="002B55E9">
        <w:rPr>
          <w:rFonts w:eastAsia="黑体" w:hint="eastAsia"/>
          <w:b/>
          <w:sz w:val="24"/>
          <w:szCs w:val="28"/>
        </w:rPr>
        <w:t>包气带防污性</w:t>
      </w:r>
      <w:r w:rsidRPr="002B55E9">
        <w:rPr>
          <w:rFonts w:eastAsia="黑体"/>
          <w:b/>
          <w:sz w:val="24"/>
          <w:szCs w:val="28"/>
        </w:rPr>
        <w:t>能分级一览表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12"/>
        <w:gridCol w:w="7727"/>
      </w:tblGrid>
      <w:tr w:rsidR="00C60999" w:rsidRPr="002B55E9" w14:paraId="78E99145" w14:textId="77777777">
        <w:trPr>
          <w:trHeight w:val="284"/>
          <w:tblHeader/>
        </w:trPr>
        <w:tc>
          <w:tcPr>
            <w:tcW w:w="1912" w:type="dxa"/>
            <w:tcBorders>
              <w:top w:val="single" w:sz="12" w:space="0" w:color="auto"/>
              <w:bottom w:val="single" w:sz="12" w:space="0" w:color="auto"/>
            </w:tcBorders>
            <w:vAlign w:val="center"/>
          </w:tcPr>
          <w:p w14:paraId="5C11FA71"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分级</w:t>
            </w:r>
          </w:p>
        </w:tc>
        <w:tc>
          <w:tcPr>
            <w:tcW w:w="7727" w:type="dxa"/>
            <w:tcBorders>
              <w:top w:val="single" w:sz="12" w:space="0" w:color="auto"/>
              <w:bottom w:val="single" w:sz="12" w:space="0" w:color="auto"/>
            </w:tcBorders>
            <w:vAlign w:val="center"/>
          </w:tcPr>
          <w:p w14:paraId="38C1ABD3"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包气带</w:t>
            </w:r>
            <w:r w:rsidRPr="002B55E9">
              <w:rPr>
                <w:rFonts w:cs="宋体"/>
                <w:sz w:val="18"/>
                <w:szCs w:val="18"/>
                <w:lang w:bidi="ne-NP"/>
              </w:rPr>
              <w:t>岩土的渗透性能</w:t>
            </w:r>
          </w:p>
        </w:tc>
      </w:tr>
      <w:tr w:rsidR="00C60999" w:rsidRPr="002B55E9" w14:paraId="6436801A" w14:textId="77777777">
        <w:trPr>
          <w:trHeight w:val="284"/>
        </w:trPr>
        <w:tc>
          <w:tcPr>
            <w:tcW w:w="1912" w:type="dxa"/>
            <w:tcBorders>
              <w:top w:val="single" w:sz="12" w:space="0" w:color="auto"/>
            </w:tcBorders>
            <w:vAlign w:val="center"/>
          </w:tcPr>
          <w:p w14:paraId="3376F92E"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D3</w:t>
            </w:r>
          </w:p>
        </w:tc>
        <w:tc>
          <w:tcPr>
            <w:tcW w:w="7727" w:type="dxa"/>
            <w:tcBorders>
              <w:top w:val="single" w:sz="12" w:space="0" w:color="auto"/>
            </w:tcBorders>
            <w:vAlign w:val="center"/>
          </w:tcPr>
          <w:p w14:paraId="76422FF3"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M</w:t>
            </w:r>
            <w:r w:rsidRPr="002B55E9">
              <w:rPr>
                <w:rFonts w:cs="宋体"/>
                <w:sz w:val="18"/>
                <w:szCs w:val="18"/>
                <w:lang w:bidi="ne-NP"/>
              </w:rPr>
              <w:t>b≥1.0m</w:t>
            </w:r>
            <w:r w:rsidRPr="002B55E9">
              <w:rPr>
                <w:rFonts w:cs="宋体"/>
                <w:sz w:val="18"/>
                <w:szCs w:val="18"/>
                <w:lang w:bidi="ne-NP"/>
              </w:rPr>
              <w:t>，</w:t>
            </w:r>
            <w:r w:rsidRPr="002B55E9">
              <w:rPr>
                <w:rFonts w:cs="宋体" w:hint="eastAsia"/>
                <w:sz w:val="18"/>
                <w:szCs w:val="18"/>
                <w:lang w:bidi="ne-NP"/>
              </w:rPr>
              <w:t>K</w:t>
            </w:r>
            <w:r w:rsidRPr="002B55E9">
              <w:rPr>
                <w:rFonts w:cs="宋体" w:hint="eastAsia"/>
                <w:sz w:val="18"/>
                <w:szCs w:val="18"/>
                <w:lang w:bidi="ne-NP"/>
              </w:rPr>
              <w:t>≤</w:t>
            </w:r>
            <w:r w:rsidRPr="002B55E9">
              <w:rPr>
                <w:rFonts w:cs="宋体" w:hint="eastAsia"/>
                <w:sz w:val="18"/>
                <w:szCs w:val="18"/>
                <w:lang w:bidi="ne-NP"/>
              </w:rPr>
              <w:t>1.0</w:t>
            </w:r>
            <w:r w:rsidRPr="002B55E9">
              <w:rPr>
                <w:rFonts w:cs="宋体"/>
                <w:sz w:val="18"/>
                <w:szCs w:val="18"/>
                <w:lang w:bidi="ne-NP"/>
              </w:rPr>
              <w:t>×10</w:t>
            </w:r>
            <w:r w:rsidRPr="002B55E9">
              <w:rPr>
                <w:rFonts w:cs="宋体"/>
                <w:sz w:val="18"/>
                <w:szCs w:val="18"/>
                <w:vertAlign w:val="superscript"/>
                <w:lang w:bidi="ne-NP"/>
              </w:rPr>
              <w:t>-6</w:t>
            </w:r>
            <w:r w:rsidRPr="002B55E9">
              <w:rPr>
                <w:rFonts w:cs="宋体"/>
                <w:sz w:val="18"/>
                <w:szCs w:val="18"/>
                <w:lang w:bidi="ne-NP"/>
              </w:rPr>
              <w:t>cm/s</w:t>
            </w:r>
            <w:r w:rsidRPr="002B55E9">
              <w:rPr>
                <w:rFonts w:cs="宋体"/>
                <w:sz w:val="18"/>
                <w:szCs w:val="18"/>
                <w:lang w:bidi="ne-NP"/>
              </w:rPr>
              <w:t>，且分布连续、稳定</w:t>
            </w:r>
          </w:p>
        </w:tc>
      </w:tr>
      <w:tr w:rsidR="00C60999" w:rsidRPr="002B55E9" w14:paraId="40C34F70" w14:textId="77777777">
        <w:trPr>
          <w:trHeight w:val="284"/>
        </w:trPr>
        <w:tc>
          <w:tcPr>
            <w:tcW w:w="1912" w:type="dxa"/>
            <w:vAlign w:val="center"/>
          </w:tcPr>
          <w:p w14:paraId="19DD44FB"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D</w:t>
            </w:r>
            <w:r w:rsidRPr="002B55E9">
              <w:rPr>
                <w:rFonts w:cs="宋体"/>
                <w:sz w:val="18"/>
                <w:szCs w:val="18"/>
                <w:lang w:bidi="ne-NP"/>
              </w:rPr>
              <w:t>2</w:t>
            </w:r>
          </w:p>
        </w:tc>
        <w:tc>
          <w:tcPr>
            <w:tcW w:w="7727" w:type="dxa"/>
          </w:tcPr>
          <w:p w14:paraId="58AC1B5D"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0.5</w:t>
            </w:r>
            <w:r w:rsidRPr="002B55E9">
              <w:rPr>
                <w:rFonts w:cs="宋体"/>
                <w:sz w:val="18"/>
                <w:szCs w:val="18"/>
                <w:lang w:bidi="ne-NP"/>
              </w:rPr>
              <w:t>m</w:t>
            </w:r>
            <w:r w:rsidRPr="002B55E9">
              <w:rPr>
                <w:rFonts w:cs="宋体" w:hint="eastAsia"/>
                <w:sz w:val="18"/>
                <w:szCs w:val="18"/>
                <w:lang w:bidi="ne-NP"/>
              </w:rPr>
              <w:t>≤</w:t>
            </w:r>
            <w:r w:rsidRPr="002B55E9">
              <w:rPr>
                <w:rFonts w:cs="宋体" w:hint="eastAsia"/>
                <w:sz w:val="18"/>
                <w:szCs w:val="18"/>
                <w:lang w:bidi="ne-NP"/>
              </w:rPr>
              <w:t>M</w:t>
            </w:r>
            <w:r w:rsidRPr="002B55E9">
              <w:rPr>
                <w:rFonts w:cs="宋体"/>
                <w:sz w:val="18"/>
                <w:szCs w:val="18"/>
                <w:lang w:bidi="ne-NP"/>
              </w:rPr>
              <w:t>b</w:t>
            </w:r>
            <w:r w:rsidRPr="002B55E9">
              <w:rPr>
                <w:rFonts w:cs="宋体" w:hint="eastAsia"/>
                <w:sz w:val="18"/>
                <w:szCs w:val="18"/>
                <w:lang w:bidi="ne-NP"/>
              </w:rPr>
              <w:t>＜</w:t>
            </w:r>
            <w:r w:rsidRPr="002B55E9">
              <w:rPr>
                <w:rFonts w:cs="宋体"/>
                <w:sz w:val="18"/>
                <w:szCs w:val="18"/>
                <w:lang w:bidi="ne-NP"/>
              </w:rPr>
              <w:t>1.0m</w:t>
            </w:r>
            <w:r w:rsidRPr="002B55E9">
              <w:rPr>
                <w:rFonts w:cs="宋体"/>
                <w:sz w:val="18"/>
                <w:szCs w:val="18"/>
                <w:lang w:bidi="ne-NP"/>
              </w:rPr>
              <w:t>，</w:t>
            </w:r>
            <w:r w:rsidRPr="002B55E9">
              <w:rPr>
                <w:rFonts w:cs="宋体" w:hint="eastAsia"/>
                <w:sz w:val="18"/>
                <w:szCs w:val="18"/>
                <w:lang w:bidi="ne-NP"/>
              </w:rPr>
              <w:t>K</w:t>
            </w:r>
            <w:r w:rsidRPr="002B55E9">
              <w:rPr>
                <w:rFonts w:cs="宋体" w:hint="eastAsia"/>
                <w:sz w:val="18"/>
                <w:szCs w:val="18"/>
                <w:lang w:bidi="ne-NP"/>
              </w:rPr>
              <w:t>≤</w:t>
            </w:r>
            <w:r w:rsidRPr="002B55E9">
              <w:rPr>
                <w:rFonts w:cs="宋体" w:hint="eastAsia"/>
                <w:sz w:val="18"/>
                <w:szCs w:val="18"/>
                <w:lang w:bidi="ne-NP"/>
              </w:rPr>
              <w:t>1.0</w:t>
            </w:r>
            <w:r w:rsidRPr="002B55E9">
              <w:rPr>
                <w:rFonts w:cs="宋体"/>
                <w:sz w:val="18"/>
                <w:szCs w:val="18"/>
                <w:lang w:bidi="ne-NP"/>
              </w:rPr>
              <w:t>×10</w:t>
            </w:r>
            <w:r w:rsidRPr="002B55E9">
              <w:rPr>
                <w:rFonts w:cs="宋体"/>
                <w:sz w:val="18"/>
                <w:szCs w:val="18"/>
                <w:vertAlign w:val="superscript"/>
                <w:lang w:bidi="ne-NP"/>
              </w:rPr>
              <w:t>-6</w:t>
            </w:r>
            <w:r w:rsidRPr="002B55E9">
              <w:rPr>
                <w:rFonts w:cs="宋体"/>
                <w:sz w:val="18"/>
                <w:szCs w:val="18"/>
                <w:lang w:bidi="ne-NP"/>
              </w:rPr>
              <w:t>cm/s</w:t>
            </w:r>
            <w:r w:rsidRPr="002B55E9">
              <w:rPr>
                <w:rFonts w:cs="宋体"/>
                <w:sz w:val="18"/>
                <w:szCs w:val="18"/>
                <w:lang w:bidi="ne-NP"/>
              </w:rPr>
              <w:t>，且分布连续、稳定</w:t>
            </w:r>
          </w:p>
          <w:p w14:paraId="5DA291E1"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M</w:t>
            </w:r>
            <w:r w:rsidRPr="002B55E9">
              <w:rPr>
                <w:rFonts w:cs="宋体"/>
                <w:sz w:val="18"/>
                <w:szCs w:val="18"/>
                <w:lang w:bidi="ne-NP"/>
              </w:rPr>
              <w:t>b≥1.0m</w:t>
            </w:r>
            <w:r w:rsidRPr="002B55E9">
              <w:rPr>
                <w:rFonts w:cs="宋体"/>
                <w:sz w:val="18"/>
                <w:szCs w:val="18"/>
                <w:lang w:bidi="ne-NP"/>
              </w:rPr>
              <w:t>，</w:t>
            </w:r>
            <w:r w:rsidRPr="002B55E9">
              <w:rPr>
                <w:rFonts w:cs="宋体" w:hint="eastAsia"/>
                <w:sz w:val="18"/>
                <w:szCs w:val="18"/>
                <w:lang w:bidi="ne-NP"/>
              </w:rPr>
              <w:t>1.0</w:t>
            </w:r>
            <w:r w:rsidRPr="002B55E9">
              <w:rPr>
                <w:rFonts w:cs="宋体"/>
                <w:sz w:val="18"/>
                <w:szCs w:val="18"/>
                <w:lang w:bidi="ne-NP"/>
              </w:rPr>
              <w:t>×10</w:t>
            </w:r>
            <w:r w:rsidRPr="002B55E9">
              <w:rPr>
                <w:rFonts w:cs="宋体"/>
                <w:sz w:val="18"/>
                <w:szCs w:val="18"/>
                <w:vertAlign w:val="superscript"/>
                <w:lang w:bidi="ne-NP"/>
              </w:rPr>
              <w:t>-6</w:t>
            </w:r>
            <w:r w:rsidRPr="002B55E9">
              <w:rPr>
                <w:rFonts w:cs="宋体"/>
                <w:sz w:val="18"/>
                <w:szCs w:val="18"/>
                <w:lang w:bidi="ne-NP"/>
              </w:rPr>
              <w:t>cm/s</w:t>
            </w:r>
            <w:r w:rsidRPr="002B55E9">
              <w:rPr>
                <w:rFonts w:cs="宋体" w:hint="eastAsia"/>
                <w:sz w:val="24"/>
                <w:lang w:bidi="ne-NP"/>
              </w:rPr>
              <w:t>＜</w:t>
            </w:r>
            <w:r w:rsidRPr="002B55E9">
              <w:rPr>
                <w:rFonts w:cs="宋体" w:hint="eastAsia"/>
                <w:sz w:val="18"/>
                <w:szCs w:val="18"/>
                <w:lang w:bidi="ne-NP"/>
              </w:rPr>
              <w:t>K</w:t>
            </w:r>
            <w:r w:rsidRPr="002B55E9">
              <w:rPr>
                <w:rFonts w:cs="宋体" w:hint="eastAsia"/>
                <w:sz w:val="18"/>
                <w:szCs w:val="18"/>
                <w:lang w:bidi="ne-NP"/>
              </w:rPr>
              <w:t>≤</w:t>
            </w:r>
            <w:r w:rsidRPr="002B55E9">
              <w:rPr>
                <w:rFonts w:cs="宋体" w:hint="eastAsia"/>
                <w:sz w:val="18"/>
                <w:szCs w:val="18"/>
                <w:lang w:bidi="ne-NP"/>
              </w:rPr>
              <w:t>1.0</w:t>
            </w:r>
            <w:r w:rsidRPr="002B55E9">
              <w:rPr>
                <w:rFonts w:cs="宋体"/>
                <w:sz w:val="18"/>
                <w:szCs w:val="18"/>
                <w:lang w:bidi="ne-NP"/>
              </w:rPr>
              <w:t>×10</w:t>
            </w:r>
            <w:r w:rsidRPr="002B55E9">
              <w:rPr>
                <w:rFonts w:cs="宋体"/>
                <w:sz w:val="18"/>
                <w:szCs w:val="18"/>
                <w:vertAlign w:val="superscript"/>
                <w:lang w:bidi="ne-NP"/>
              </w:rPr>
              <w:t>-4</w:t>
            </w:r>
            <w:r w:rsidRPr="002B55E9">
              <w:rPr>
                <w:rFonts w:cs="宋体"/>
                <w:sz w:val="18"/>
                <w:szCs w:val="18"/>
                <w:lang w:bidi="ne-NP"/>
              </w:rPr>
              <w:t>cm/s</w:t>
            </w:r>
            <w:r w:rsidRPr="002B55E9">
              <w:rPr>
                <w:rFonts w:cs="宋体" w:hint="eastAsia"/>
                <w:sz w:val="18"/>
                <w:szCs w:val="18"/>
                <w:lang w:bidi="ne-NP"/>
              </w:rPr>
              <w:t>，</w:t>
            </w:r>
            <w:r w:rsidRPr="002B55E9">
              <w:rPr>
                <w:rFonts w:cs="宋体"/>
                <w:sz w:val="18"/>
                <w:szCs w:val="18"/>
                <w:lang w:bidi="ne-NP"/>
              </w:rPr>
              <w:t>且分布连续、稳定</w:t>
            </w:r>
          </w:p>
        </w:tc>
      </w:tr>
      <w:tr w:rsidR="00C60999" w:rsidRPr="002B55E9" w14:paraId="0CEF921E" w14:textId="77777777">
        <w:trPr>
          <w:trHeight w:val="284"/>
        </w:trPr>
        <w:tc>
          <w:tcPr>
            <w:tcW w:w="1912" w:type="dxa"/>
            <w:vAlign w:val="center"/>
          </w:tcPr>
          <w:p w14:paraId="1FCB4857"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D1</w:t>
            </w:r>
          </w:p>
        </w:tc>
        <w:tc>
          <w:tcPr>
            <w:tcW w:w="7727" w:type="dxa"/>
          </w:tcPr>
          <w:p w14:paraId="54A3047A" w14:textId="77777777" w:rsidR="00D170E5" w:rsidRPr="002B55E9" w:rsidRDefault="00EF27AD">
            <w:pPr>
              <w:autoSpaceDE w:val="0"/>
              <w:autoSpaceDN w:val="0"/>
              <w:adjustRightInd w:val="0"/>
              <w:snapToGrid w:val="0"/>
              <w:jc w:val="center"/>
              <w:rPr>
                <w:rFonts w:cs="宋体"/>
                <w:sz w:val="18"/>
                <w:szCs w:val="18"/>
                <w:lang w:bidi="ne-NP"/>
              </w:rPr>
            </w:pPr>
            <w:r w:rsidRPr="002B55E9">
              <w:rPr>
                <w:rFonts w:cs="宋体" w:hint="eastAsia"/>
                <w:sz w:val="18"/>
                <w:szCs w:val="18"/>
                <w:lang w:bidi="ne-NP"/>
              </w:rPr>
              <w:t>岩（土）层不满足</w:t>
            </w:r>
            <w:r w:rsidRPr="002B55E9">
              <w:rPr>
                <w:rFonts w:cs="宋体"/>
                <w:sz w:val="18"/>
                <w:szCs w:val="18"/>
                <w:lang w:bidi="ne-NP"/>
              </w:rPr>
              <w:t>上述</w:t>
            </w:r>
            <w:r w:rsidRPr="002B55E9">
              <w:rPr>
                <w:rFonts w:cs="宋体"/>
                <w:sz w:val="18"/>
                <w:szCs w:val="18"/>
                <w:lang w:bidi="ne-NP"/>
              </w:rPr>
              <w:t>“D2”</w:t>
            </w:r>
            <w:r w:rsidRPr="002B55E9">
              <w:rPr>
                <w:rFonts w:cs="宋体" w:hint="eastAsia"/>
                <w:sz w:val="18"/>
                <w:szCs w:val="18"/>
                <w:lang w:bidi="ne-NP"/>
              </w:rPr>
              <w:t>和</w:t>
            </w:r>
            <w:r w:rsidRPr="002B55E9">
              <w:rPr>
                <w:rFonts w:cs="宋体"/>
                <w:sz w:val="18"/>
                <w:szCs w:val="18"/>
                <w:lang w:bidi="ne-NP"/>
              </w:rPr>
              <w:t>“D3”</w:t>
            </w:r>
            <w:r w:rsidRPr="002B55E9">
              <w:rPr>
                <w:rFonts w:cs="宋体" w:hint="eastAsia"/>
                <w:sz w:val="18"/>
                <w:szCs w:val="18"/>
                <w:lang w:bidi="ne-NP"/>
              </w:rPr>
              <w:t>条件</w:t>
            </w:r>
          </w:p>
        </w:tc>
      </w:tr>
      <w:tr w:rsidR="00C60999" w:rsidRPr="002B55E9" w14:paraId="728A61F7" w14:textId="77777777">
        <w:trPr>
          <w:trHeight w:val="284"/>
        </w:trPr>
        <w:tc>
          <w:tcPr>
            <w:tcW w:w="9639" w:type="dxa"/>
            <w:gridSpan w:val="2"/>
            <w:vAlign w:val="center"/>
          </w:tcPr>
          <w:p w14:paraId="5DC53B8C" w14:textId="77777777" w:rsidR="00D170E5" w:rsidRPr="002B55E9" w:rsidRDefault="00EF27AD">
            <w:pPr>
              <w:autoSpaceDE w:val="0"/>
              <w:autoSpaceDN w:val="0"/>
              <w:adjustRightInd w:val="0"/>
              <w:snapToGrid w:val="0"/>
              <w:rPr>
                <w:rFonts w:cs="宋体"/>
                <w:sz w:val="18"/>
                <w:szCs w:val="18"/>
                <w:lang w:bidi="ne-NP"/>
              </w:rPr>
            </w:pPr>
            <w:r w:rsidRPr="002B55E9">
              <w:rPr>
                <w:rFonts w:cs="宋体"/>
                <w:sz w:val="18"/>
                <w:szCs w:val="18"/>
                <w:lang w:bidi="ne-NP"/>
              </w:rPr>
              <w:t>Mb</w:t>
            </w:r>
            <w:r w:rsidRPr="002B55E9">
              <w:rPr>
                <w:rFonts w:cs="宋体"/>
                <w:sz w:val="18"/>
                <w:szCs w:val="18"/>
                <w:lang w:bidi="ne-NP"/>
              </w:rPr>
              <w:t>：岩土层单层厚度；</w:t>
            </w:r>
            <w:r w:rsidRPr="002B55E9">
              <w:rPr>
                <w:rFonts w:cs="宋体"/>
                <w:sz w:val="18"/>
                <w:szCs w:val="18"/>
                <w:lang w:bidi="ne-NP"/>
              </w:rPr>
              <w:t>K</w:t>
            </w:r>
            <w:r w:rsidRPr="002B55E9">
              <w:rPr>
                <w:rFonts w:cs="宋体" w:hint="eastAsia"/>
                <w:sz w:val="18"/>
                <w:szCs w:val="18"/>
                <w:lang w:bidi="ne-NP"/>
              </w:rPr>
              <w:t>：</w:t>
            </w:r>
            <w:r w:rsidRPr="002B55E9">
              <w:rPr>
                <w:rFonts w:cs="宋体"/>
                <w:sz w:val="18"/>
                <w:szCs w:val="18"/>
                <w:lang w:bidi="ne-NP"/>
              </w:rPr>
              <w:t>渗透系数。</w:t>
            </w:r>
          </w:p>
        </w:tc>
      </w:tr>
    </w:tbl>
    <w:p w14:paraId="41DD4774"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由项目所在地水文地质资料可知，建设项目地下水环境敏感程度为“不敏感”</w:t>
      </w:r>
      <w:r w:rsidRPr="002B55E9">
        <w:rPr>
          <w:rFonts w:hint="eastAsia"/>
          <w:bCs/>
          <w:snapToGrid w:val="0"/>
          <w:sz w:val="24"/>
          <w:lang w:val="zh-CN"/>
        </w:rPr>
        <w:t>G3</w:t>
      </w:r>
      <w:r w:rsidRPr="002B55E9">
        <w:rPr>
          <w:rFonts w:hint="eastAsia"/>
          <w:bCs/>
          <w:snapToGrid w:val="0"/>
          <w:sz w:val="24"/>
          <w:lang w:val="zh-CN"/>
        </w:rPr>
        <w:t>，项目园区包气带防污性能属于</w:t>
      </w:r>
      <w:r w:rsidRPr="002B55E9">
        <w:rPr>
          <w:rFonts w:hint="eastAsia"/>
          <w:bCs/>
          <w:snapToGrid w:val="0"/>
          <w:sz w:val="24"/>
          <w:lang w:val="zh-CN"/>
        </w:rPr>
        <w:t>Mb</w:t>
      </w:r>
      <w:r w:rsidRPr="002B55E9">
        <w:rPr>
          <w:rFonts w:hint="eastAsia"/>
          <w:bCs/>
          <w:snapToGrid w:val="0"/>
          <w:sz w:val="24"/>
          <w:lang w:val="zh-CN"/>
        </w:rPr>
        <w:t>≥</w:t>
      </w:r>
      <w:r w:rsidRPr="002B55E9">
        <w:rPr>
          <w:rFonts w:hint="eastAsia"/>
          <w:bCs/>
          <w:snapToGrid w:val="0"/>
          <w:sz w:val="24"/>
          <w:lang w:val="zh-CN"/>
        </w:rPr>
        <w:t>1.0m</w:t>
      </w:r>
      <w:r w:rsidRPr="002B55E9">
        <w:rPr>
          <w:rFonts w:hint="eastAsia"/>
          <w:bCs/>
          <w:snapToGrid w:val="0"/>
          <w:sz w:val="24"/>
          <w:lang w:val="zh-CN"/>
        </w:rPr>
        <w:t>，</w:t>
      </w:r>
      <w:r w:rsidRPr="002B55E9">
        <w:rPr>
          <w:rFonts w:hint="eastAsia"/>
          <w:bCs/>
          <w:snapToGrid w:val="0"/>
          <w:sz w:val="24"/>
          <w:lang w:val="zh-CN"/>
        </w:rPr>
        <w:t>10</w:t>
      </w:r>
      <w:r w:rsidRPr="002B55E9">
        <w:rPr>
          <w:rFonts w:hint="eastAsia"/>
          <w:bCs/>
          <w:snapToGrid w:val="0"/>
          <w:sz w:val="24"/>
          <w:vertAlign w:val="superscript"/>
          <w:lang w:val="zh-CN"/>
        </w:rPr>
        <w:t>-6</w:t>
      </w:r>
      <w:r w:rsidRPr="002B55E9">
        <w:rPr>
          <w:rFonts w:hint="eastAsia"/>
          <w:bCs/>
          <w:snapToGrid w:val="0"/>
          <w:sz w:val="24"/>
          <w:lang w:val="zh-CN"/>
        </w:rPr>
        <w:t>cm/s&lt;K</w:t>
      </w:r>
      <w:r w:rsidRPr="002B55E9">
        <w:rPr>
          <w:rFonts w:hint="eastAsia"/>
          <w:bCs/>
          <w:snapToGrid w:val="0"/>
          <w:sz w:val="24"/>
          <w:lang w:val="zh-CN"/>
        </w:rPr>
        <w:t>≤</w:t>
      </w:r>
      <w:r w:rsidRPr="002B55E9">
        <w:rPr>
          <w:rFonts w:hint="eastAsia"/>
          <w:bCs/>
          <w:snapToGrid w:val="0"/>
          <w:sz w:val="24"/>
          <w:lang w:val="zh-CN"/>
        </w:rPr>
        <w:t>10</w:t>
      </w:r>
      <w:r w:rsidRPr="002B55E9">
        <w:rPr>
          <w:rFonts w:hint="eastAsia"/>
          <w:bCs/>
          <w:snapToGrid w:val="0"/>
          <w:sz w:val="24"/>
          <w:vertAlign w:val="superscript"/>
          <w:lang w:val="zh-CN"/>
        </w:rPr>
        <w:t>-4</w:t>
      </w:r>
      <w:r w:rsidRPr="002B55E9">
        <w:rPr>
          <w:rFonts w:hint="eastAsia"/>
          <w:bCs/>
          <w:snapToGrid w:val="0"/>
          <w:sz w:val="24"/>
          <w:lang w:val="zh-CN"/>
        </w:rPr>
        <w:t>cm/s</w:t>
      </w:r>
      <w:r w:rsidRPr="002B55E9">
        <w:rPr>
          <w:rFonts w:hint="eastAsia"/>
          <w:bCs/>
          <w:snapToGrid w:val="0"/>
          <w:sz w:val="24"/>
          <w:lang w:val="zh-CN"/>
        </w:rPr>
        <w:t>，且分布连续、稳定。故根据附录</w:t>
      </w:r>
      <w:r w:rsidRPr="002B55E9">
        <w:rPr>
          <w:rFonts w:hint="eastAsia"/>
          <w:bCs/>
          <w:snapToGrid w:val="0"/>
          <w:sz w:val="24"/>
          <w:lang w:val="zh-CN"/>
        </w:rPr>
        <w:t xml:space="preserve">D </w:t>
      </w:r>
      <w:r w:rsidRPr="002B55E9">
        <w:rPr>
          <w:rFonts w:hint="eastAsia"/>
          <w:bCs/>
          <w:snapToGrid w:val="0"/>
          <w:sz w:val="24"/>
          <w:lang w:val="zh-CN"/>
        </w:rPr>
        <w:t>中表</w:t>
      </w:r>
      <w:r w:rsidRPr="002B55E9">
        <w:rPr>
          <w:rFonts w:hint="eastAsia"/>
          <w:bCs/>
          <w:snapToGrid w:val="0"/>
          <w:sz w:val="24"/>
          <w:lang w:val="zh-CN"/>
        </w:rPr>
        <w:t xml:space="preserve">D.7 </w:t>
      </w:r>
      <w:r w:rsidRPr="002B55E9">
        <w:rPr>
          <w:rFonts w:hint="eastAsia"/>
          <w:bCs/>
          <w:snapToGrid w:val="0"/>
          <w:sz w:val="24"/>
          <w:lang w:val="zh-CN"/>
        </w:rPr>
        <w:t>可知，包气带防污性能分级为</w:t>
      </w:r>
      <w:r w:rsidRPr="002B55E9">
        <w:rPr>
          <w:rFonts w:hint="eastAsia"/>
          <w:bCs/>
          <w:snapToGrid w:val="0"/>
          <w:sz w:val="24"/>
          <w:lang w:val="zh-CN"/>
        </w:rPr>
        <w:t xml:space="preserve"> D</w:t>
      </w:r>
      <w:r w:rsidRPr="002B55E9">
        <w:rPr>
          <w:bCs/>
          <w:snapToGrid w:val="0"/>
          <w:sz w:val="24"/>
          <w:lang w:val="zh-CN"/>
        </w:rPr>
        <w:t>3</w:t>
      </w:r>
      <w:r w:rsidRPr="002B55E9">
        <w:rPr>
          <w:rFonts w:hint="eastAsia"/>
          <w:bCs/>
          <w:snapToGrid w:val="0"/>
          <w:sz w:val="24"/>
          <w:lang w:val="zh-CN"/>
        </w:rPr>
        <w:t>。根据上表，本项目地下水环境属于环境低度敏感区</w:t>
      </w:r>
      <w:r w:rsidRPr="002B55E9">
        <w:rPr>
          <w:rFonts w:hint="eastAsia"/>
          <w:bCs/>
          <w:snapToGrid w:val="0"/>
          <w:sz w:val="24"/>
          <w:lang w:val="zh-CN"/>
        </w:rPr>
        <w:t>E</w:t>
      </w:r>
      <w:r w:rsidRPr="002B55E9">
        <w:rPr>
          <w:bCs/>
          <w:snapToGrid w:val="0"/>
          <w:sz w:val="24"/>
          <w:lang w:val="zh-CN"/>
        </w:rPr>
        <w:t>3</w:t>
      </w:r>
      <w:r w:rsidRPr="002B55E9">
        <w:rPr>
          <w:rFonts w:hint="eastAsia"/>
          <w:bCs/>
          <w:snapToGrid w:val="0"/>
          <w:sz w:val="24"/>
          <w:lang w:val="zh-CN"/>
        </w:rPr>
        <w:t>。</w:t>
      </w:r>
    </w:p>
    <w:p w14:paraId="610AF765"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综上，本项目地下水环境敏感程度为</w:t>
      </w:r>
      <w:r w:rsidRPr="002B55E9">
        <w:rPr>
          <w:rFonts w:hint="eastAsia"/>
          <w:bCs/>
          <w:snapToGrid w:val="0"/>
          <w:sz w:val="24"/>
          <w:lang w:val="zh-CN"/>
        </w:rPr>
        <w:t>E</w:t>
      </w:r>
      <w:r w:rsidRPr="002B55E9">
        <w:rPr>
          <w:bCs/>
          <w:snapToGrid w:val="0"/>
          <w:sz w:val="24"/>
          <w:lang w:val="zh-CN"/>
        </w:rPr>
        <w:t>3</w:t>
      </w:r>
      <w:r w:rsidRPr="002B55E9">
        <w:rPr>
          <w:rFonts w:hint="eastAsia"/>
          <w:bCs/>
          <w:snapToGrid w:val="0"/>
          <w:sz w:val="24"/>
          <w:lang w:val="zh-CN"/>
        </w:rPr>
        <w:t>环境低度敏感区。</w:t>
      </w:r>
    </w:p>
    <w:p w14:paraId="7CC1B7C0" w14:textId="77777777" w:rsidR="00D170E5" w:rsidRPr="002B55E9" w:rsidRDefault="00EF27AD">
      <w:pPr>
        <w:pStyle w:val="5"/>
      </w:pPr>
      <w:r w:rsidRPr="002B55E9">
        <w:rPr>
          <w:rFonts w:hint="eastAsia"/>
        </w:rPr>
        <w:t>环境敏感特征</w:t>
      </w:r>
    </w:p>
    <w:p w14:paraId="2EB34DB1"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根据以上分析，本项目环境敏感特征见下表。</w:t>
      </w:r>
    </w:p>
    <w:p w14:paraId="2FB84C67" w14:textId="77777777" w:rsidR="00DA7812" w:rsidRPr="002B55E9" w:rsidRDefault="00DA7812">
      <w:pPr>
        <w:spacing w:after="60" w:line="360" w:lineRule="auto"/>
        <w:ind w:firstLineChars="200" w:firstLine="480"/>
        <w:rPr>
          <w:bCs/>
          <w:snapToGrid w:val="0"/>
          <w:sz w:val="24"/>
          <w:lang w:val="zh-CN"/>
        </w:rPr>
      </w:pPr>
    </w:p>
    <w:p w14:paraId="4C57E1BC" w14:textId="77777777" w:rsidR="00DA7812" w:rsidRPr="002B55E9" w:rsidRDefault="00DA7812">
      <w:pPr>
        <w:spacing w:after="60" w:line="360" w:lineRule="auto"/>
        <w:ind w:firstLineChars="200" w:firstLine="480"/>
        <w:rPr>
          <w:bCs/>
          <w:snapToGrid w:val="0"/>
          <w:sz w:val="24"/>
          <w:lang w:val="zh-CN"/>
        </w:rPr>
      </w:pPr>
    </w:p>
    <w:p w14:paraId="627BCCBA" w14:textId="77777777" w:rsidR="00D170E5" w:rsidRPr="002B55E9" w:rsidRDefault="00EF27AD">
      <w:pPr>
        <w:spacing w:before="120"/>
        <w:jc w:val="center"/>
        <w:rPr>
          <w:rFonts w:eastAsia="黑体"/>
          <w:b/>
          <w:sz w:val="24"/>
        </w:rPr>
      </w:pPr>
      <w:r w:rsidRPr="002B55E9">
        <w:rPr>
          <w:rFonts w:eastAsia="黑体" w:hint="eastAsia"/>
          <w:b/>
          <w:sz w:val="24"/>
        </w:rPr>
        <w:lastRenderedPageBreak/>
        <w:t>表</w:t>
      </w:r>
      <w:r w:rsidRPr="002B55E9">
        <w:rPr>
          <w:rFonts w:eastAsia="黑体" w:hint="eastAsia"/>
          <w:b/>
          <w:sz w:val="24"/>
        </w:rPr>
        <w:t xml:space="preserve">6-1-18  </w:t>
      </w:r>
      <w:r w:rsidRPr="002B55E9">
        <w:rPr>
          <w:rFonts w:eastAsia="黑体" w:hint="eastAsia"/>
          <w:b/>
          <w:sz w:val="24"/>
        </w:rPr>
        <w:t>建设项目环境敏感特征表</w:t>
      </w:r>
    </w:p>
    <w:tbl>
      <w:tblPr>
        <w:tblW w:w="9854" w:type="dxa"/>
        <w:tblInd w:w="108"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06"/>
        <w:gridCol w:w="1288"/>
        <w:gridCol w:w="1559"/>
        <w:gridCol w:w="1377"/>
        <w:gridCol w:w="1221"/>
        <w:gridCol w:w="990"/>
        <w:gridCol w:w="2013"/>
      </w:tblGrid>
      <w:tr w:rsidR="00C60999" w:rsidRPr="002B55E9" w14:paraId="130C7D3E" w14:textId="77777777">
        <w:trPr>
          <w:trHeight w:val="283"/>
        </w:trPr>
        <w:tc>
          <w:tcPr>
            <w:tcW w:w="1406" w:type="dxa"/>
            <w:tcBorders>
              <w:top w:val="single" w:sz="12" w:space="0" w:color="000000"/>
              <w:bottom w:val="single" w:sz="12" w:space="0" w:color="000000"/>
            </w:tcBorders>
            <w:vAlign w:val="center"/>
          </w:tcPr>
          <w:p w14:paraId="4269D6D5" w14:textId="77777777" w:rsidR="00D170E5" w:rsidRPr="002B55E9" w:rsidRDefault="00EF27AD">
            <w:pPr>
              <w:jc w:val="center"/>
              <w:rPr>
                <w:sz w:val="18"/>
                <w:szCs w:val="18"/>
                <w:lang w:val="zh-CN"/>
              </w:rPr>
            </w:pPr>
            <w:r w:rsidRPr="002B55E9">
              <w:rPr>
                <w:sz w:val="18"/>
                <w:szCs w:val="18"/>
                <w:lang w:val="zh-CN"/>
              </w:rPr>
              <w:t>类别</w:t>
            </w:r>
          </w:p>
        </w:tc>
        <w:tc>
          <w:tcPr>
            <w:tcW w:w="8448" w:type="dxa"/>
            <w:gridSpan w:val="6"/>
            <w:tcBorders>
              <w:top w:val="single" w:sz="12" w:space="0" w:color="000000"/>
              <w:bottom w:val="single" w:sz="12" w:space="0" w:color="000000"/>
            </w:tcBorders>
            <w:vAlign w:val="center"/>
          </w:tcPr>
          <w:p w14:paraId="71638C5B" w14:textId="77777777" w:rsidR="00D170E5" w:rsidRPr="002B55E9" w:rsidRDefault="00EF27AD">
            <w:pPr>
              <w:jc w:val="center"/>
              <w:rPr>
                <w:sz w:val="18"/>
                <w:szCs w:val="18"/>
                <w:lang w:val="zh-CN"/>
              </w:rPr>
            </w:pPr>
            <w:r w:rsidRPr="002B55E9">
              <w:rPr>
                <w:sz w:val="18"/>
                <w:szCs w:val="18"/>
                <w:lang w:val="zh-CN"/>
              </w:rPr>
              <w:t>环境敏感特征</w:t>
            </w:r>
          </w:p>
        </w:tc>
      </w:tr>
      <w:tr w:rsidR="00C60999" w:rsidRPr="002B55E9" w14:paraId="28049A70" w14:textId="77777777">
        <w:trPr>
          <w:trHeight w:val="283"/>
        </w:trPr>
        <w:tc>
          <w:tcPr>
            <w:tcW w:w="1406" w:type="dxa"/>
            <w:vMerge w:val="restart"/>
            <w:tcBorders>
              <w:top w:val="single" w:sz="12" w:space="0" w:color="000000"/>
            </w:tcBorders>
            <w:vAlign w:val="center"/>
          </w:tcPr>
          <w:p w14:paraId="612D6280" w14:textId="77777777" w:rsidR="00D170E5" w:rsidRPr="002B55E9" w:rsidRDefault="00EF27AD">
            <w:pPr>
              <w:jc w:val="center"/>
              <w:rPr>
                <w:sz w:val="18"/>
                <w:szCs w:val="18"/>
                <w:lang w:val="zh-CN"/>
              </w:rPr>
            </w:pPr>
            <w:r w:rsidRPr="002B55E9">
              <w:rPr>
                <w:sz w:val="18"/>
                <w:szCs w:val="18"/>
                <w:lang w:val="zh-CN"/>
              </w:rPr>
              <w:t>环境空气</w:t>
            </w:r>
          </w:p>
        </w:tc>
        <w:tc>
          <w:tcPr>
            <w:tcW w:w="8448" w:type="dxa"/>
            <w:gridSpan w:val="6"/>
            <w:tcBorders>
              <w:top w:val="single" w:sz="12" w:space="0" w:color="000000"/>
            </w:tcBorders>
            <w:vAlign w:val="center"/>
          </w:tcPr>
          <w:p w14:paraId="2528C46F" w14:textId="77777777" w:rsidR="00D170E5" w:rsidRPr="002B55E9" w:rsidRDefault="00EF27AD">
            <w:pPr>
              <w:jc w:val="center"/>
              <w:rPr>
                <w:sz w:val="18"/>
                <w:szCs w:val="18"/>
                <w:lang w:val="zh-CN"/>
              </w:rPr>
            </w:pPr>
            <w:r w:rsidRPr="002B55E9">
              <w:rPr>
                <w:sz w:val="18"/>
                <w:szCs w:val="18"/>
                <w:lang w:val="zh-CN"/>
              </w:rPr>
              <w:t>厂址周边</w:t>
            </w:r>
            <w:r w:rsidRPr="002B55E9">
              <w:rPr>
                <w:sz w:val="18"/>
                <w:szCs w:val="18"/>
                <w:lang w:val="zh-CN"/>
              </w:rPr>
              <w:t>5km</w:t>
            </w:r>
            <w:r w:rsidRPr="002B55E9">
              <w:rPr>
                <w:sz w:val="18"/>
                <w:szCs w:val="18"/>
                <w:lang w:val="zh-CN"/>
              </w:rPr>
              <w:t>范围内</w:t>
            </w:r>
          </w:p>
        </w:tc>
      </w:tr>
      <w:tr w:rsidR="00C60999" w:rsidRPr="002B55E9" w14:paraId="48FEAD9E" w14:textId="77777777">
        <w:trPr>
          <w:trHeight w:val="283"/>
        </w:trPr>
        <w:tc>
          <w:tcPr>
            <w:tcW w:w="1406" w:type="dxa"/>
            <w:vMerge/>
            <w:vAlign w:val="center"/>
          </w:tcPr>
          <w:p w14:paraId="53A5726F" w14:textId="77777777" w:rsidR="00D170E5" w:rsidRPr="002B55E9" w:rsidRDefault="00D170E5">
            <w:pPr>
              <w:jc w:val="center"/>
              <w:rPr>
                <w:sz w:val="18"/>
                <w:szCs w:val="18"/>
                <w:lang w:val="zh-CN"/>
              </w:rPr>
            </w:pPr>
          </w:p>
        </w:tc>
        <w:tc>
          <w:tcPr>
            <w:tcW w:w="1288" w:type="dxa"/>
            <w:vAlign w:val="center"/>
          </w:tcPr>
          <w:p w14:paraId="0D23EB90" w14:textId="77777777" w:rsidR="00D170E5" w:rsidRPr="002B55E9" w:rsidRDefault="00EF27AD">
            <w:pPr>
              <w:jc w:val="center"/>
              <w:rPr>
                <w:sz w:val="18"/>
                <w:szCs w:val="18"/>
                <w:lang w:val="zh-CN"/>
              </w:rPr>
            </w:pPr>
            <w:r w:rsidRPr="002B55E9">
              <w:rPr>
                <w:sz w:val="18"/>
                <w:szCs w:val="18"/>
                <w:lang w:val="zh-CN"/>
              </w:rPr>
              <w:t>序号</w:t>
            </w:r>
          </w:p>
        </w:tc>
        <w:tc>
          <w:tcPr>
            <w:tcW w:w="1559" w:type="dxa"/>
            <w:vAlign w:val="center"/>
          </w:tcPr>
          <w:p w14:paraId="3610A19E" w14:textId="77777777" w:rsidR="00D170E5" w:rsidRPr="002B55E9" w:rsidRDefault="00EF27AD">
            <w:pPr>
              <w:jc w:val="center"/>
              <w:rPr>
                <w:sz w:val="18"/>
                <w:szCs w:val="18"/>
                <w:lang w:val="zh-CN"/>
              </w:rPr>
            </w:pPr>
            <w:r w:rsidRPr="002B55E9">
              <w:rPr>
                <w:sz w:val="18"/>
                <w:szCs w:val="18"/>
                <w:lang w:val="zh-CN"/>
              </w:rPr>
              <w:t>敏感目标名称</w:t>
            </w:r>
          </w:p>
        </w:tc>
        <w:tc>
          <w:tcPr>
            <w:tcW w:w="1377" w:type="dxa"/>
            <w:vAlign w:val="center"/>
          </w:tcPr>
          <w:p w14:paraId="37150DFB" w14:textId="77777777" w:rsidR="00D170E5" w:rsidRPr="002B55E9" w:rsidRDefault="00EF27AD">
            <w:pPr>
              <w:jc w:val="center"/>
              <w:rPr>
                <w:sz w:val="18"/>
                <w:szCs w:val="18"/>
                <w:lang w:val="zh-CN"/>
              </w:rPr>
            </w:pPr>
            <w:r w:rsidRPr="002B55E9">
              <w:rPr>
                <w:sz w:val="18"/>
                <w:szCs w:val="18"/>
                <w:lang w:val="zh-CN"/>
              </w:rPr>
              <w:t>相对方位</w:t>
            </w:r>
          </w:p>
        </w:tc>
        <w:tc>
          <w:tcPr>
            <w:tcW w:w="1221" w:type="dxa"/>
            <w:vAlign w:val="center"/>
          </w:tcPr>
          <w:p w14:paraId="3DC61905" w14:textId="77777777" w:rsidR="00D170E5" w:rsidRPr="002B55E9" w:rsidRDefault="00EF27AD">
            <w:pPr>
              <w:jc w:val="center"/>
              <w:rPr>
                <w:sz w:val="18"/>
                <w:szCs w:val="18"/>
                <w:lang w:val="zh-CN"/>
              </w:rPr>
            </w:pPr>
            <w:r w:rsidRPr="002B55E9">
              <w:rPr>
                <w:sz w:val="18"/>
                <w:szCs w:val="18"/>
                <w:lang w:val="zh-CN"/>
              </w:rPr>
              <w:t>距离</w:t>
            </w:r>
            <w:r w:rsidRPr="002B55E9">
              <w:rPr>
                <w:sz w:val="18"/>
                <w:szCs w:val="18"/>
                <w:lang w:val="zh-CN"/>
              </w:rPr>
              <w:t>/m</w:t>
            </w:r>
          </w:p>
        </w:tc>
        <w:tc>
          <w:tcPr>
            <w:tcW w:w="990" w:type="dxa"/>
            <w:vAlign w:val="center"/>
          </w:tcPr>
          <w:p w14:paraId="73BAAF8D" w14:textId="77777777" w:rsidR="00D170E5" w:rsidRPr="002B55E9" w:rsidRDefault="00EF27AD">
            <w:pPr>
              <w:jc w:val="center"/>
              <w:rPr>
                <w:sz w:val="18"/>
                <w:szCs w:val="18"/>
                <w:lang w:val="zh-CN"/>
              </w:rPr>
            </w:pPr>
            <w:r w:rsidRPr="002B55E9">
              <w:rPr>
                <w:sz w:val="18"/>
                <w:szCs w:val="18"/>
                <w:lang w:val="zh-CN"/>
              </w:rPr>
              <w:t>属性</w:t>
            </w:r>
          </w:p>
        </w:tc>
        <w:tc>
          <w:tcPr>
            <w:tcW w:w="2013" w:type="dxa"/>
            <w:vAlign w:val="center"/>
          </w:tcPr>
          <w:p w14:paraId="5BEDB326" w14:textId="77777777" w:rsidR="00D170E5" w:rsidRPr="002B55E9" w:rsidRDefault="00EF27AD">
            <w:pPr>
              <w:jc w:val="center"/>
              <w:rPr>
                <w:sz w:val="18"/>
                <w:szCs w:val="18"/>
                <w:lang w:val="zh-CN"/>
              </w:rPr>
            </w:pPr>
            <w:r w:rsidRPr="002B55E9">
              <w:rPr>
                <w:sz w:val="18"/>
                <w:szCs w:val="18"/>
                <w:lang w:val="zh-CN"/>
              </w:rPr>
              <w:t>人口数</w:t>
            </w:r>
          </w:p>
        </w:tc>
      </w:tr>
      <w:tr w:rsidR="00C60999" w:rsidRPr="002B55E9" w14:paraId="6306C9E4" w14:textId="77777777">
        <w:trPr>
          <w:trHeight w:val="283"/>
        </w:trPr>
        <w:tc>
          <w:tcPr>
            <w:tcW w:w="1406" w:type="dxa"/>
            <w:vMerge/>
            <w:vAlign w:val="center"/>
          </w:tcPr>
          <w:p w14:paraId="6D57670E" w14:textId="77777777" w:rsidR="00D170E5" w:rsidRPr="002B55E9" w:rsidRDefault="00D170E5">
            <w:pPr>
              <w:jc w:val="center"/>
              <w:rPr>
                <w:sz w:val="18"/>
                <w:szCs w:val="18"/>
                <w:lang w:val="zh-CN"/>
              </w:rPr>
            </w:pPr>
          </w:p>
        </w:tc>
        <w:tc>
          <w:tcPr>
            <w:tcW w:w="8448" w:type="dxa"/>
            <w:gridSpan w:val="6"/>
            <w:vAlign w:val="center"/>
          </w:tcPr>
          <w:p w14:paraId="4D196A10" w14:textId="77777777" w:rsidR="00D170E5" w:rsidRPr="002B55E9" w:rsidRDefault="00EF27AD">
            <w:pPr>
              <w:jc w:val="center"/>
              <w:rPr>
                <w:sz w:val="18"/>
                <w:szCs w:val="18"/>
                <w:lang w:val="zh-CN"/>
              </w:rPr>
            </w:pPr>
            <w:r w:rsidRPr="002B55E9">
              <w:rPr>
                <w:sz w:val="18"/>
                <w:szCs w:val="18"/>
                <w:lang w:val="zh-CN"/>
              </w:rPr>
              <w:t>详见表</w:t>
            </w:r>
            <w:r w:rsidRPr="002B55E9">
              <w:rPr>
                <w:sz w:val="18"/>
                <w:szCs w:val="18"/>
                <w:lang w:val="zh-CN"/>
              </w:rPr>
              <w:t>6-1-10</w:t>
            </w:r>
          </w:p>
        </w:tc>
      </w:tr>
      <w:tr w:rsidR="00C60999" w:rsidRPr="002B55E9" w14:paraId="3A3F23A1" w14:textId="77777777">
        <w:trPr>
          <w:trHeight w:val="283"/>
        </w:trPr>
        <w:tc>
          <w:tcPr>
            <w:tcW w:w="1406" w:type="dxa"/>
            <w:vMerge/>
            <w:vAlign w:val="center"/>
          </w:tcPr>
          <w:p w14:paraId="167C271E" w14:textId="77777777" w:rsidR="00D170E5" w:rsidRPr="002B55E9" w:rsidRDefault="00D170E5">
            <w:pPr>
              <w:jc w:val="center"/>
              <w:rPr>
                <w:sz w:val="18"/>
                <w:szCs w:val="18"/>
                <w:lang w:val="zh-CN"/>
              </w:rPr>
            </w:pPr>
          </w:p>
        </w:tc>
        <w:tc>
          <w:tcPr>
            <w:tcW w:w="6435" w:type="dxa"/>
            <w:gridSpan w:val="5"/>
            <w:vAlign w:val="center"/>
          </w:tcPr>
          <w:p w14:paraId="33F563F8" w14:textId="77777777" w:rsidR="00D170E5" w:rsidRPr="002B55E9" w:rsidRDefault="00EF27AD">
            <w:pPr>
              <w:jc w:val="center"/>
              <w:rPr>
                <w:sz w:val="18"/>
                <w:szCs w:val="18"/>
                <w:lang w:val="zh-CN"/>
              </w:rPr>
            </w:pPr>
            <w:r w:rsidRPr="002B55E9">
              <w:rPr>
                <w:sz w:val="18"/>
                <w:szCs w:val="18"/>
                <w:lang w:val="zh-CN"/>
              </w:rPr>
              <w:t>厂址周边</w:t>
            </w:r>
            <w:r w:rsidRPr="002B55E9">
              <w:rPr>
                <w:sz w:val="18"/>
                <w:szCs w:val="18"/>
                <w:lang w:val="zh-CN"/>
              </w:rPr>
              <w:t>500m</w:t>
            </w:r>
            <w:r w:rsidRPr="002B55E9">
              <w:rPr>
                <w:sz w:val="18"/>
                <w:szCs w:val="18"/>
                <w:lang w:val="zh-CN"/>
              </w:rPr>
              <w:t>范围内人口数小计</w:t>
            </w:r>
          </w:p>
        </w:tc>
        <w:tc>
          <w:tcPr>
            <w:tcW w:w="2013" w:type="dxa"/>
            <w:vAlign w:val="center"/>
          </w:tcPr>
          <w:p w14:paraId="6808F22A" w14:textId="77777777" w:rsidR="00D170E5" w:rsidRPr="002B55E9" w:rsidRDefault="00EF27AD">
            <w:pPr>
              <w:jc w:val="center"/>
              <w:rPr>
                <w:sz w:val="18"/>
                <w:szCs w:val="18"/>
                <w:lang w:val="zh-CN"/>
              </w:rPr>
            </w:pPr>
            <w:r w:rsidRPr="002B55E9">
              <w:rPr>
                <w:rFonts w:hint="eastAsia"/>
                <w:sz w:val="18"/>
                <w:szCs w:val="18"/>
                <w:lang w:val="zh-CN"/>
              </w:rPr>
              <w:t>3</w:t>
            </w:r>
            <w:r w:rsidRPr="002B55E9">
              <w:rPr>
                <w:sz w:val="18"/>
                <w:szCs w:val="18"/>
                <w:lang w:val="zh-CN"/>
              </w:rPr>
              <w:t>00</w:t>
            </w:r>
          </w:p>
        </w:tc>
      </w:tr>
      <w:tr w:rsidR="00C60999" w:rsidRPr="002B55E9" w14:paraId="6CA93436" w14:textId="77777777">
        <w:trPr>
          <w:trHeight w:val="283"/>
        </w:trPr>
        <w:tc>
          <w:tcPr>
            <w:tcW w:w="1406" w:type="dxa"/>
            <w:vMerge/>
            <w:vAlign w:val="center"/>
          </w:tcPr>
          <w:p w14:paraId="2346A052" w14:textId="77777777" w:rsidR="00D170E5" w:rsidRPr="002B55E9" w:rsidRDefault="00D170E5">
            <w:pPr>
              <w:jc w:val="center"/>
              <w:rPr>
                <w:sz w:val="18"/>
                <w:szCs w:val="18"/>
                <w:lang w:val="zh-CN"/>
              </w:rPr>
            </w:pPr>
          </w:p>
        </w:tc>
        <w:tc>
          <w:tcPr>
            <w:tcW w:w="6435" w:type="dxa"/>
            <w:gridSpan w:val="5"/>
            <w:vAlign w:val="center"/>
          </w:tcPr>
          <w:p w14:paraId="6781328B" w14:textId="77777777" w:rsidR="00D170E5" w:rsidRPr="002B55E9" w:rsidRDefault="00EF27AD">
            <w:pPr>
              <w:jc w:val="center"/>
              <w:rPr>
                <w:sz w:val="18"/>
                <w:szCs w:val="18"/>
                <w:lang w:val="zh-CN"/>
              </w:rPr>
            </w:pPr>
            <w:r w:rsidRPr="002B55E9">
              <w:rPr>
                <w:sz w:val="18"/>
                <w:szCs w:val="18"/>
                <w:lang w:val="zh-CN"/>
              </w:rPr>
              <w:t>厂址周边</w:t>
            </w:r>
            <w:r w:rsidRPr="002B55E9">
              <w:rPr>
                <w:sz w:val="18"/>
                <w:szCs w:val="18"/>
                <w:lang w:val="zh-CN"/>
              </w:rPr>
              <w:t xml:space="preserve">5 km </w:t>
            </w:r>
            <w:r w:rsidRPr="002B55E9">
              <w:rPr>
                <w:sz w:val="18"/>
                <w:szCs w:val="18"/>
                <w:lang w:val="zh-CN"/>
              </w:rPr>
              <w:t>范围内人口数小计</w:t>
            </w:r>
          </w:p>
        </w:tc>
        <w:tc>
          <w:tcPr>
            <w:tcW w:w="2013" w:type="dxa"/>
            <w:vAlign w:val="center"/>
          </w:tcPr>
          <w:p w14:paraId="627CE6A5" w14:textId="77777777" w:rsidR="00D170E5" w:rsidRPr="002B55E9" w:rsidRDefault="00EF27AD">
            <w:pPr>
              <w:jc w:val="center"/>
              <w:rPr>
                <w:sz w:val="18"/>
                <w:szCs w:val="18"/>
                <w:lang w:val="zh-CN"/>
              </w:rPr>
            </w:pPr>
            <w:r w:rsidRPr="002B55E9">
              <w:rPr>
                <w:rStyle w:val="afff8"/>
                <w:sz w:val="18"/>
                <w:szCs w:val="18"/>
              </w:rPr>
              <w:t>5.135</w:t>
            </w:r>
            <w:r w:rsidRPr="002B55E9">
              <w:rPr>
                <w:rStyle w:val="afff8"/>
                <w:rFonts w:hint="eastAsia"/>
                <w:sz w:val="18"/>
                <w:szCs w:val="18"/>
              </w:rPr>
              <w:t>万</w:t>
            </w:r>
          </w:p>
        </w:tc>
      </w:tr>
      <w:tr w:rsidR="00C60999" w:rsidRPr="002B55E9" w14:paraId="1E8F4FC1" w14:textId="77777777">
        <w:trPr>
          <w:trHeight w:val="283"/>
        </w:trPr>
        <w:tc>
          <w:tcPr>
            <w:tcW w:w="1406" w:type="dxa"/>
            <w:vMerge/>
            <w:vAlign w:val="center"/>
          </w:tcPr>
          <w:p w14:paraId="3244E784" w14:textId="77777777" w:rsidR="00D170E5" w:rsidRPr="002B55E9" w:rsidRDefault="00D170E5">
            <w:pPr>
              <w:jc w:val="center"/>
              <w:rPr>
                <w:sz w:val="18"/>
                <w:szCs w:val="18"/>
                <w:lang w:val="zh-CN"/>
              </w:rPr>
            </w:pPr>
          </w:p>
        </w:tc>
        <w:tc>
          <w:tcPr>
            <w:tcW w:w="6435" w:type="dxa"/>
            <w:gridSpan w:val="5"/>
            <w:vAlign w:val="center"/>
          </w:tcPr>
          <w:p w14:paraId="18727C03" w14:textId="77777777" w:rsidR="00D170E5" w:rsidRPr="002B55E9" w:rsidRDefault="00EF27AD">
            <w:pPr>
              <w:jc w:val="center"/>
              <w:rPr>
                <w:sz w:val="18"/>
                <w:szCs w:val="18"/>
                <w:lang w:val="zh-CN"/>
              </w:rPr>
            </w:pPr>
            <w:r w:rsidRPr="002B55E9">
              <w:rPr>
                <w:sz w:val="18"/>
                <w:szCs w:val="18"/>
                <w:lang w:val="zh-CN"/>
              </w:rPr>
              <w:t>大气环境敏感程度</w:t>
            </w:r>
            <w:r w:rsidRPr="002B55E9">
              <w:rPr>
                <w:sz w:val="18"/>
                <w:szCs w:val="18"/>
                <w:lang w:val="zh-CN"/>
              </w:rPr>
              <w:t>E</w:t>
            </w:r>
            <w:r w:rsidRPr="002B55E9">
              <w:rPr>
                <w:sz w:val="18"/>
                <w:szCs w:val="18"/>
                <w:lang w:val="zh-CN"/>
              </w:rPr>
              <w:t>值</w:t>
            </w:r>
          </w:p>
        </w:tc>
        <w:tc>
          <w:tcPr>
            <w:tcW w:w="2013" w:type="dxa"/>
            <w:vAlign w:val="center"/>
          </w:tcPr>
          <w:p w14:paraId="7B0C3662" w14:textId="77777777" w:rsidR="00D170E5" w:rsidRPr="002B55E9" w:rsidRDefault="00EF27AD">
            <w:pPr>
              <w:jc w:val="center"/>
              <w:rPr>
                <w:sz w:val="18"/>
                <w:szCs w:val="18"/>
                <w:lang w:val="zh-CN"/>
              </w:rPr>
            </w:pPr>
            <w:r w:rsidRPr="002B55E9">
              <w:rPr>
                <w:sz w:val="18"/>
                <w:szCs w:val="18"/>
                <w:lang w:val="zh-CN"/>
              </w:rPr>
              <w:t>E</w:t>
            </w:r>
            <w:r w:rsidRPr="002B55E9">
              <w:rPr>
                <w:sz w:val="18"/>
                <w:szCs w:val="18"/>
              </w:rPr>
              <w:t>1</w:t>
            </w:r>
          </w:p>
        </w:tc>
      </w:tr>
      <w:tr w:rsidR="00C60999" w:rsidRPr="002B55E9" w14:paraId="70933FC9" w14:textId="77777777">
        <w:trPr>
          <w:trHeight w:val="283"/>
        </w:trPr>
        <w:tc>
          <w:tcPr>
            <w:tcW w:w="1406" w:type="dxa"/>
            <w:vMerge w:val="restart"/>
            <w:vAlign w:val="center"/>
          </w:tcPr>
          <w:p w14:paraId="7AF36638" w14:textId="77777777" w:rsidR="00D170E5" w:rsidRPr="002B55E9" w:rsidRDefault="00EF27AD">
            <w:pPr>
              <w:jc w:val="center"/>
              <w:rPr>
                <w:sz w:val="18"/>
                <w:szCs w:val="18"/>
                <w:lang w:val="zh-CN"/>
              </w:rPr>
            </w:pPr>
            <w:r w:rsidRPr="002B55E9">
              <w:rPr>
                <w:sz w:val="18"/>
                <w:szCs w:val="18"/>
                <w:lang w:val="zh-CN"/>
              </w:rPr>
              <w:t>地表水</w:t>
            </w:r>
          </w:p>
        </w:tc>
        <w:tc>
          <w:tcPr>
            <w:tcW w:w="8448" w:type="dxa"/>
            <w:gridSpan w:val="6"/>
            <w:vAlign w:val="center"/>
          </w:tcPr>
          <w:p w14:paraId="66A55AA4" w14:textId="77777777" w:rsidR="00D170E5" w:rsidRPr="002B55E9" w:rsidRDefault="00EF27AD">
            <w:pPr>
              <w:jc w:val="center"/>
              <w:rPr>
                <w:sz w:val="18"/>
                <w:szCs w:val="18"/>
                <w:lang w:val="zh-CN"/>
              </w:rPr>
            </w:pPr>
            <w:r w:rsidRPr="002B55E9">
              <w:rPr>
                <w:sz w:val="18"/>
                <w:szCs w:val="18"/>
                <w:lang w:val="zh-CN"/>
              </w:rPr>
              <w:t>受纳水体</w:t>
            </w:r>
          </w:p>
        </w:tc>
      </w:tr>
      <w:tr w:rsidR="00C60999" w:rsidRPr="002B55E9" w14:paraId="6724AEE2" w14:textId="77777777">
        <w:trPr>
          <w:trHeight w:val="283"/>
        </w:trPr>
        <w:tc>
          <w:tcPr>
            <w:tcW w:w="1406" w:type="dxa"/>
            <w:vMerge/>
            <w:vAlign w:val="center"/>
          </w:tcPr>
          <w:p w14:paraId="5C02E5AC" w14:textId="77777777" w:rsidR="00D170E5" w:rsidRPr="002B55E9" w:rsidRDefault="00D170E5">
            <w:pPr>
              <w:jc w:val="center"/>
              <w:rPr>
                <w:sz w:val="18"/>
                <w:szCs w:val="18"/>
                <w:lang w:val="zh-CN"/>
              </w:rPr>
            </w:pPr>
          </w:p>
        </w:tc>
        <w:tc>
          <w:tcPr>
            <w:tcW w:w="1288" w:type="dxa"/>
            <w:vAlign w:val="center"/>
          </w:tcPr>
          <w:p w14:paraId="7631E7CD" w14:textId="77777777" w:rsidR="00D170E5" w:rsidRPr="002B55E9" w:rsidRDefault="00EF27AD">
            <w:pPr>
              <w:jc w:val="center"/>
              <w:rPr>
                <w:sz w:val="18"/>
                <w:szCs w:val="18"/>
                <w:lang w:val="zh-CN"/>
              </w:rPr>
            </w:pPr>
            <w:r w:rsidRPr="002B55E9">
              <w:rPr>
                <w:sz w:val="18"/>
                <w:szCs w:val="18"/>
                <w:lang w:val="zh-CN"/>
              </w:rPr>
              <w:t>序号</w:t>
            </w:r>
          </w:p>
        </w:tc>
        <w:tc>
          <w:tcPr>
            <w:tcW w:w="1559" w:type="dxa"/>
            <w:vAlign w:val="center"/>
          </w:tcPr>
          <w:p w14:paraId="73968806" w14:textId="77777777" w:rsidR="00D170E5" w:rsidRPr="002B55E9" w:rsidRDefault="00EF27AD">
            <w:pPr>
              <w:jc w:val="center"/>
              <w:rPr>
                <w:sz w:val="18"/>
                <w:szCs w:val="18"/>
                <w:lang w:val="zh-CN"/>
              </w:rPr>
            </w:pPr>
            <w:r w:rsidRPr="002B55E9">
              <w:rPr>
                <w:sz w:val="18"/>
                <w:szCs w:val="18"/>
                <w:lang w:val="zh-CN"/>
              </w:rPr>
              <w:t>受纳水体名称</w:t>
            </w:r>
          </w:p>
        </w:tc>
        <w:tc>
          <w:tcPr>
            <w:tcW w:w="2598" w:type="dxa"/>
            <w:gridSpan w:val="2"/>
            <w:vAlign w:val="center"/>
          </w:tcPr>
          <w:p w14:paraId="70ED4563" w14:textId="77777777" w:rsidR="00D170E5" w:rsidRPr="002B55E9" w:rsidRDefault="00EF27AD">
            <w:pPr>
              <w:jc w:val="center"/>
              <w:rPr>
                <w:sz w:val="18"/>
                <w:szCs w:val="18"/>
                <w:lang w:val="zh-CN"/>
              </w:rPr>
            </w:pPr>
            <w:r w:rsidRPr="002B55E9">
              <w:rPr>
                <w:sz w:val="18"/>
                <w:szCs w:val="18"/>
                <w:lang w:val="zh-CN"/>
              </w:rPr>
              <w:t>排放点水域环境功能</w:t>
            </w:r>
          </w:p>
        </w:tc>
        <w:tc>
          <w:tcPr>
            <w:tcW w:w="3003" w:type="dxa"/>
            <w:gridSpan w:val="2"/>
            <w:vAlign w:val="center"/>
          </w:tcPr>
          <w:p w14:paraId="598BE6DE" w14:textId="77777777" w:rsidR="00D170E5" w:rsidRPr="002B55E9" w:rsidRDefault="00EF27AD">
            <w:pPr>
              <w:jc w:val="center"/>
              <w:rPr>
                <w:sz w:val="18"/>
                <w:szCs w:val="18"/>
                <w:lang w:val="zh-CN"/>
              </w:rPr>
            </w:pPr>
            <w:r w:rsidRPr="002B55E9">
              <w:rPr>
                <w:sz w:val="18"/>
                <w:szCs w:val="18"/>
                <w:lang w:val="zh-CN"/>
              </w:rPr>
              <w:t>24</w:t>
            </w:r>
            <w:r w:rsidRPr="002B55E9">
              <w:rPr>
                <w:sz w:val="18"/>
                <w:szCs w:val="18"/>
                <w:lang w:val="zh-CN"/>
              </w:rPr>
              <w:t>小时内流经范围</w:t>
            </w:r>
          </w:p>
        </w:tc>
      </w:tr>
      <w:tr w:rsidR="00C60999" w:rsidRPr="002B55E9" w14:paraId="26195558" w14:textId="77777777">
        <w:trPr>
          <w:trHeight w:val="283"/>
        </w:trPr>
        <w:tc>
          <w:tcPr>
            <w:tcW w:w="1406" w:type="dxa"/>
            <w:vMerge/>
            <w:vAlign w:val="center"/>
          </w:tcPr>
          <w:p w14:paraId="055604F3" w14:textId="77777777" w:rsidR="00D170E5" w:rsidRPr="002B55E9" w:rsidRDefault="00D170E5">
            <w:pPr>
              <w:jc w:val="center"/>
              <w:rPr>
                <w:sz w:val="18"/>
                <w:szCs w:val="18"/>
                <w:lang w:val="zh-CN"/>
              </w:rPr>
            </w:pPr>
          </w:p>
        </w:tc>
        <w:tc>
          <w:tcPr>
            <w:tcW w:w="1288" w:type="dxa"/>
            <w:vAlign w:val="center"/>
          </w:tcPr>
          <w:p w14:paraId="50088085" w14:textId="77777777" w:rsidR="00D170E5" w:rsidRPr="002B55E9" w:rsidRDefault="00EF27AD">
            <w:pPr>
              <w:jc w:val="center"/>
              <w:rPr>
                <w:sz w:val="18"/>
                <w:szCs w:val="18"/>
                <w:lang w:val="zh-CN"/>
              </w:rPr>
            </w:pPr>
            <w:r w:rsidRPr="002B55E9">
              <w:rPr>
                <w:sz w:val="18"/>
                <w:szCs w:val="18"/>
                <w:lang w:val="zh-CN"/>
              </w:rPr>
              <w:t>1</w:t>
            </w:r>
          </w:p>
        </w:tc>
        <w:tc>
          <w:tcPr>
            <w:tcW w:w="1559" w:type="dxa"/>
            <w:vAlign w:val="center"/>
          </w:tcPr>
          <w:p w14:paraId="71374887" w14:textId="77777777" w:rsidR="00D170E5" w:rsidRPr="002B55E9" w:rsidRDefault="00EF27AD">
            <w:pPr>
              <w:jc w:val="center"/>
              <w:rPr>
                <w:sz w:val="18"/>
                <w:szCs w:val="18"/>
                <w:lang w:val="zh-CN"/>
              </w:rPr>
            </w:pPr>
            <w:r w:rsidRPr="002B55E9">
              <w:rPr>
                <w:rFonts w:hint="eastAsia"/>
                <w:sz w:val="18"/>
                <w:szCs w:val="18"/>
                <w:lang w:val="zh-CN"/>
              </w:rPr>
              <w:t>府河</w:t>
            </w:r>
          </w:p>
        </w:tc>
        <w:tc>
          <w:tcPr>
            <w:tcW w:w="2598" w:type="dxa"/>
            <w:gridSpan w:val="2"/>
            <w:vAlign w:val="center"/>
          </w:tcPr>
          <w:p w14:paraId="70E6578E" w14:textId="77777777" w:rsidR="00D170E5" w:rsidRPr="002B55E9" w:rsidRDefault="00EF27AD">
            <w:pPr>
              <w:jc w:val="center"/>
              <w:rPr>
                <w:sz w:val="18"/>
                <w:szCs w:val="18"/>
                <w:lang w:val="zh-CN"/>
              </w:rPr>
            </w:pPr>
            <w:r w:rsidRPr="002B55E9">
              <w:rPr>
                <w:rFonts w:ascii="宋体" w:hAnsi="宋体" w:cs="宋体" w:hint="eastAsia"/>
                <w:sz w:val="18"/>
              </w:rPr>
              <w:t>Ⅴ</w:t>
            </w:r>
            <w:r w:rsidRPr="002B55E9">
              <w:rPr>
                <w:sz w:val="18"/>
              </w:rPr>
              <w:t>类</w:t>
            </w:r>
          </w:p>
        </w:tc>
        <w:tc>
          <w:tcPr>
            <w:tcW w:w="3003" w:type="dxa"/>
            <w:gridSpan w:val="2"/>
            <w:vAlign w:val="center"/>
          </w:tcPr>
          <w:p w14:paraId="4FB9CDCF" w14:textId="77777777" w:rsidR="00D170E5" w:rsidRPr="002B55E9" w:rsidRDefault="00EF27AD">
            <w:pPr>
              <w:jc w:val="center"/>
              <w:rPr>
                <w:sz w:val="18"/>
                <w:szCs w:val="18"/>
                <w:lang w:val="zh-CN"/>
              </w:rPr>
            </w:pPr>
            <w:r w:rsidRPr="002B55E9">
              <w:rPr>
                <w:sz w:val="18"/>
                <w:szCs w:val="18"/>
                <w:lang w:val="zh-CN"/>
              </w:rPr>
              <w:t>不跨越省</w:t>
            </w:r>
            <w:r w:rsidRPr="002B55E9">
              <w:rPr>
                <w:sz w:val="18"/>
                <w:szCs w:val="18"/>
                <w:lang w:val="zh-CN"/>
              </w:rPr>
              <w:t>/</w:t>
            </w:r>
            <w:r w:rsidRPr="002B55E9">
              <w:rPr>
                <w:sz w:val="18"/>
                <w:szCs w:val="18"/>
                <w:lang w:val="zh-CN"/>
              </w:rPr>
              <w:t>国界</w:t>
            </w:r>
          </w:p>
        </w:tc>
      </w:tr>
      <w:tr w:rsidR="00C60999" w:rsidRPr="002B55E9" w14:paraId="72F67C7E" w14:textId="77777777">
        <w:trPr>
          <w:trHeight w:val="283"/>
        </w:trPr>
        <w:tc>
          <w:tcPr>
            <w:tcW w:w="1406" w:type="dxa"/>
            <w:vMerge/>
            <w:vAlign w:val="center"/>
          </w:tcPr>
          <w:p w14:paraId="34EBCDF6" w14:textId="77777777" w:rsidR="00D170E5" w:rsidRPr="002B55E9" w:rsidRDefault="00D170E5">
            <w:pPr>
              <w:jc w:val="center"/>
              <w:rPr>
                <w:sz w:val="18"/>
                <w:szCs w:val="18"/>
                <w:lang w:val="zh-CN"/>
              </w:rPr>
            </w:pPr>
          </w:p>
        </w:tc>
        <w:tc>
          <w:tcPr>
            <w:tcW w:w="8448" w:type="dxa"/>
            <w:gridSpan w:val="6"/>
            <w:vAlign w:val="center"/>
          </w:tcPr>
          <w:p w14:paraId="55492AA9" w14:textId="77777777" w:rsidR="00D170E5" w:rsidRPr="002B55E9" w:rsidRDefault="00EF27AD">
            <w:pPr>
              <w:jc w:val="center"/>
              <w:rPr>
                <w:sz w:val="18"/>
                <w:szCs w:val="18"/>
                <w:lang w:val="zh-CN"/>
              </w:rPr>
            </w:pPr>
            <w:r w:rsidRPr="002B55E9">
              <w:rPr>
                <w:sz w:val="18"/>
                <w:szCs w:val="18"/>
                <w:lang w:val="zh-CN"/>
              </w:rPr>
              <w:t>内陆水体排放点下游</w:t>
            </w:r>
            <w:r w:rsidRPr="002B55E9">
              <w:rPr>
                <w:sz w:val="18"/>
                <w:szCs w:val="18"/>
                <w:lang w:val="zh-CN"/>
              </w:rPr>
              <w:t>10 km</w:t>
            </w:r>
            <w:r w:rsidRPr="002B55E9">
              <w:rPr>
                <w:sz w:val="18"/>
                <w:szCs w:val="18"/>
                <w:lang w:val="zh-CN"/>
              </w:rPr>
              <w:t>（近岸海域一个潮周期最大水平距离两倍）范围内敏感目标</w:t>
            </w:r>
          </w:p>
        </w:tc>
      </w:tr>
      <w:tr w:rsidR="00C60999" w:rsidRPr="002B55E9" w14:paraId="46A4CB32" w14:textId="77777777">
        <w:trPr>
          <w:trHeight w:val="283"/>
        </w:trPr>
        <w:tc>
          <w:tcPr>
            <w:tcW w:w="1406" w:type="dxa"/>
            <w:vMerge/>
            <w:vAlign w:val="center"/>
          </w:tcPr>
          <w:p w14:paraId="7512EB93" w14:textId="77777777" w:rsidR="00D170E5" w:rsidRPr="002B55E9" w:rsidRDefault="00D170E5">
            <w:pPr>
              <w:jc w:val="center"/>
              <w:rPr>
                <w:sz w:val="18"/>
                <w:szCs w:val="18"/>
                <w:lang w:val="zh-CN"/>
              </w:rPr>
            </w:pPr>
          </w:p>
        </w:tc>
        <w:tc>
          <w:tcPr>
            <w:tcW w:w="1288" w:type="dxa"/>
            <w:vAlign w:val="center"/>
          </w:tcPr>
          <w:p w14:paraId="71E465B4" w14:textId="77777777" w:rsidR="00D170E5" w:rsidRPr="002B55E9" w:rsidRDefault="00EF27AD">
            <w:pPr>
              <w:jc w:val="center"/>
              <w:rPr>
                <w:sz w:val="18"/>
                <w:szCs w:val="18"/>
                <w:lang w:val="zh-CN"/>
              </w:rPr>
            </w:pPr>
            <w:r w:rsidRPr="002B55E9">
              <w:rPr>
                <w:sz w:val="18"/>
                <w:szCs w:val="18"/>
                <w:lang w:val="zh-CN"/>
              </w:rPr>
              <w:t>序号</w:t>
            </w:r>
          </w:p>
        </w:tc>
        <w:tc>
          <w:tcPr>
            <w:tcW w:w="1559" w:type="dxa"/>
            <w:vAlign w:val="center"/>
          </w:tcPr>
          <w:p w14:paraId="621E9B9B" w14:textId="77777777" w:rsidR="00D170E5" w:rsidRPr="002B55E9" w:rsidRDefault="00EF27AD">
            <w:pPr>
              <w:jc w:val="center"/>
              <w:rPr>
                <w:sz w:val="18"/>
                <w:szCs w:val="18"/>
                <w:lang w:val="zh-CN"/>
              </w:rPr>
            </w:pPr>
            <w:r w:rsidRPr="002B55E9">
              <w:rPr>
                <w:sz w:val="18"/>
                <w:szCs w:val="18"/>
                <w:lang w:val="zh-CN"/>
              </w:rPr>
              <w:t>敏感目标名称</w:t>
            </w:r>
          </w:p>
        </w:tc>
        <w:tc>
          <w:tcPr>
            <w:tcW w:w="1377" w:type="dxa"/>
            <w:vAlign w:val="center"/>
          </w:tcPr>
          <w:p w14:paraId="4B4474D5" w14:textId="77777777" w:rsidR="00D170E5" w:rsidRPr="002B55E9" w:rsidRDefault="00EF27AD">
            <w:pPr>
              <w:jc w:val="center"/>
              <w:rPr>
                <w:sz w:val="18"/>
                <w:szCs w:val="18"/>
                <w:lang w:val="zh-CN"/>
              </w:rPr>
            </w:pPr>
            <w:r w:rsidRPr="002B55E9">
              <w:rPr>
                <w:sz w:val="18"/>
                <w:szCs w:val="18"/>
                <w:lang w:val="zh-CN"/>
              </w:rPr>
              <w:t>环境敏感特征</w:t>
            </w:r>
          </w:p>
        </w:tc>
        <w:tc>
          <w:tcPr>
            <w:tcW w:w="1221" w:type="dxa"/>
            <w:vAlign w:val="center"/>
          </w:tcPr>
          <w:p w14:paraId="1C42DBF5" w14:textId="77777777" w:rsidR="00D170E5" w:rsidRPr="002B55E9" w:rsidRDefault="00EF27AD">
            <w:pPr>
              <w:jc w:val="center"/>
              <w:rPr>
                <w:sz w:val="18"/>
                <w:szCs w:val="18"/>
                <w:lang w:val="zh-CN"/>
              </w:rPr>
            </w:pPr>
            <w:r w:rsidRPr="002B55E9">
              <w:rPr>
                <w:sz w:val="18"/>
                <w:szCs w:val="18"/>
                <w:lang w:val="zh-CN"/>
              </w:rPr>
              <w:t>水质目标</w:t>
            </w:r>
          </w:p>
        </w:tc>
        <w:tc>
          <w:tcPr>
            <w:tcW w:w="3003" w:type="dxa"/>
            <w:gridSpan w:val="2"/>
            <w:vAlign w:val="center"/>
          </w:tcPr>
          <w:p w14:paraId="4BFD11E8" w14:textId="77777777" w:rsidR="00D170E5" w:rsidRPr="002B55E9" w:rsidRDefault="00EF27AD">
            <w:pPr>
              <w:jc w:val="center"/>
              <w:rPr>
                <w:sz w:val="18"/>
                <w:szCs w:val="18"/>
                <w:lang w:val="zh-CN"/>
              </w:rPr>
            </w:pPr>
            <w:r w:rsidRPr="002B55E9">
              <w:rPr>
                <w:sz w:val="18"/>
                <w:szCs w:val="18"/>
                <w:lang w:val="zh-CN"/>
              </w:rPr>
              <w:t>与排放点距离</w:t>
            </w:r>
            <w:r w:rsidRPr="002B55E9">
              <w:rPr>
                <w:sz w:val="18"/>
                <w:szCs w:val="18"/>
                <w:lang w:val="zh-CN"/>
              </w:rPr>
              <w:t>/m</w:t>
            </w:r>
          </w:p>
        </w:tc>
      </w:tr>
      <w:tr w:rsidR="00C60999" w:rsidRPr="002B55E9" w14:paraId="51B5F4D1" w14:textId="77777777">
        <w:trPr>
          <w:trHeight w:val="283"/>
        </w:trPr>
        <w:tc>
          <w:tcPr>
            <w:tcW w:w="1406" w:type="dxa"/>
            <w:vMerge/>
            <w:vAlign w:val="center"/>
          </w:tcPr>
          <w:p w14:paraId="3B1415CE" w14:textId="77777777" w:rsidR="00D170E5" w:rsidRPr="002B55E9" w:rsidRDefault="00D170E5">
            <w:pPr>
              <w:jc w:val="center"/>
              <w:rPr>
                <w:sz w:val="18"/>
                <w:szCs w:val="18"/>
                <w:lang w:val="zh-CN"/>
              </w:rPr>
            </w:pPr>
          </w:p>
        </w:tc>
        <w:tc>
          <w:tcPr>
            <w:tcW w:w="1288" w:type="dxa"/>
            <w:vAlign w:val="center"/>
          </w:tcPr>
          <w:p w14:paraId="0C95551C" w14:textId="77777777" w:rsidR="00D170E5" w:rsidRPr="002B55E9" w:rsidRDefault="00EF27AD">
            <w:pPr>
              <w:jc w:val="center"/>
              <w:rPr>
                <w:sz w:val="18"/>
                <w:szCs w:val="18"/>
                <w:lang w:val="zh-CN"/>
              </w:rPr>
            </w:pPr>
            <w:r w:rsidRPr="002B55E9">
              <w:rPr>
                <w:sz w:val="18"/>
                <w:szCs w:val="18"/>
                <w:lang w:val="zh-CN"/>
              </w:rPr>
              <w:t>1</w:t>
            </w:r>
          </w:p>
        </w:tc>
        <w:tc>
          <w:tcPr>
            <w:tcW w:w="1559" w:type="dxa"/>
            <w:vAlign w:val="center"/>
          </w:tcPr>
          <w:p w14:paraId="57EEBB68" w14:textId="77777777" w:rsidR="00D170E5" w:rsidRPr="002B55E9" w:rsidRDefault="00EF27AD">
            <w:pPr>
              <w:jc w:val="center"/>
              <w:rPr>
                <w:sz w:val="18"/>
                <w:szCs w:val="18"/>
                <w:lang w:val="zh-CN"/>
              </w:rPr>
            </w:pPr>
            <w:r w:rsidRPr="002B55E9">
              <w:rPr>
                <w:sz w:val="18"/>
                <w:szCs w:val="18"/>
                <w:lang w:val="zh-CN"/>
              </w:rPr>
              <w:t>/</w:t>
            </w:r>
          </w:p>
        </w:tc>
        <w:tc>
          <w:tcPr>
            <w:tcW w:w="1377" w:type="dxa"/>
            <w:vAlign w:val="center"/>
          </w:tcPr>
          <w:p w14:paraId="7C98735F" w14:textId="77777777" w:rsidR="00D170E5" w:rsidRPr="002B55E9" w:rsidRDefault="00EF27AD">
            <w:pPr>
              <w:jc w:val="center"/>
              <w:rPr>
                <w:sz w:val="18"/>
                <w:szCs w:val="18"/>
                <w:lang w:val="zh-CN"/>
              </w:rPr>
            </w:pPr>
            <w:r w:rsidRPr="002B55E9">
              <w:rPr>
                <w:sz w:val="18"/>
                <w:szCs w:val="18"/>
                <w:lang w:val="zh-CN"/>
              </w:rPr>
              <w:t>/</w:t>
            </w:r>
          </w:p>
        </w:tc>
        <w:tc>
          <w:tcPr>
            <w:tcW w:w="1221" w:type="dxa"/>
            <w:vAlign w:val="center"/>
          </w:tcPr>
          <w:p w14:paraId="7F8F079B" w14:textId="77777777" w:rsidR="00D170E5" w:rsidRPr="002B55E9" w:rsidRDefault="00EF27AD">
            <w:pPr>
              <w:jc w:val="center"/>
              <w:rPr>
                <w:sz w:val="18"/>
                <w:szCs w:val="18"/>
                <w:lang w:val="zh-CN"/>
              </w:rPr>
            </w:pPr>
            <w:r w:rsidRPr="002B55E9">
              <w:rPr>
                <w:sz w:val="18"/>
                <w:szCs w:val="18"/>
                <w:lang w:val="zh-CN"/>
              </w:rPr>
              <w:t>/</w:t>
            </w:r>
          </w:p>
        </w:tc>
        <w:tc>
          <w:tcPr>
            <w:tcW w:w="3003" w:type="dxa"/>
            <w:gridSpan w:val="2"/>
            <w:vAlign w:val="center"/>
          </w:tcPr>
          <w:p w14:paraId="2D23CE81" w14:textId="77777777" w:rsidR="00D170E5" w:rsidRPr="002B55E9" w:rsidRDefault="00EF27AD">
            <w:pPr>
              <w:jc w:val="center"/>
              <w:rPr>
                <w:sz w:val="18"/>
                <w:szCs w:val="18"/>
                <w:lang w:val="zh-CN"/>
              </w:rPr>
            </w:pPr>
            <w:r w:rsidRPr="002B55E9">
              <w:rPr>
                <w:sz w:val="18"/>
                <w:szCs w:val="18"/>
                <w:lang w:val="zh-CN"/>
              </w:rPr>
              <w:t>/</w:t>
            </w:r>
          </w:p>
        </w:tc>
      </w:tr>
      <w:tr w:rsidR="00C60999" w:rsidRPr="002B55E9" w14:paraId="6520376C" w14:textId="77777777">
        <w:trPr>
          <w:trHeight w:val="283"/>
        </w:trPr>
        <w:tc>
          <w:tcPr>
            <w:tcW w:w="1406" w:type="dxa"/>
            <w:vMerge/>
            <w:vAlign w:val="center"/>
          </w:tcPr>
          <w:p w14:paraId="4C7DDA7B" w14:textId="77777777" w:rsidR="00D170E5" w:rsidRPr="002B55E9" w:rsidRDefault="00D170E5">
            <w:pPr>
              <w:jc w:val="center"/>
              <w:rPr>
                <w:sz w:val="18"/>
                <w:szCs w:val="18"/>
                <w:lang w:val="zh-CN"/>
              </w:rPr>
            </w:pPr>
          </w:p>
        </w:tc>
        <w:tc>
          <w:tcPr>
            <w:tcW w:w="6435" w:type="dxa"/>
            <w:gridSpan w:val="5"/>
            <w:vAlign w:val="center"/>
          </w:tcPr>
          <w:p w14:paraId="13337162" w14:textId="77777777" w:rsidR="00D170E5" w:rsidRPr="002B55E9" w:rsidRDefault="00EF27AD">
            <w:pPr>
              <w:jc w:val="center"/>
              <w:rPr>
                <w:sz w:val="18"/>
                <w:szCs w:val="18"/>
                <w:lang w:val="zh-CN"/>
              </w:rPr>
            </w:pPr>
            <w:r w:rsidRPr="002B55E9">
              <w:rPr>
                <w:sz w:val="18"/>
                <w:szCs w:val="18"/>
                <w:lang w:val="zh-CN"/>
              </w:rPr>
              <w:t>地表水环境敏感程度</w:t>
            </w:r>
            <w:r w:rsidRPr="002B55E9">
              <w:rPr>
                <w:sz w:val="18"/>
                <w:szCs w:val="18"/>
                <w:lang w:val="zh-CN"/>
              </w:rPr>
              <w:t>E</w:t>
            </w:r>
            <w:r w:rsidRPr="002B55E9">
              <w:rPr>
                <w:sz w:val="18"/>
                <w:szCs w:val="18"/>
                <w:lang w:val="zh-CN"/>
              </w:rPr>
              <w:t>值</w:t>
            </w:r>
          </w:p>
        </w:tc>
        <w:tc>
          <w:tcPr>
            <w:tcW w:w="2013" w:type="dxa"/>
            <w:vAlign w:val="center"/>
          </w:tcPr>
          <w:p w14:paraId="37918821" w14:textId="77777777" w:rsidR="00D170E5" w:rsidRPr="002B55E9" w:rsidRDefault="00EF27AD">
            <w:pPr>
              <w:jc w:val="center"/>
              <w:rPr>
                <w:sz w:val="18"/>
                <w:szCs w:val="18"/>
                <w:lang w:val="zh-CN"/>
              </w:rPr>
            </w:pPr>
            <w:r w:rsidRPr="002B55E9">
              <w:rPr>
                <w:sz w:val="18"/>
                <w:szCs w:val="18"/>
                <w:lang w:val="zh-CN"/>
              </w:rPr>
              <w:t>E3</w:t>
            </w:r>
          </w:p>
        </w:tc>
      </w:tr>
      <w:tr w:rsidR="00C60999" w:rsidRPr="002B55E9" w14:paraId="33EFDA03" w14:textId="77777777">
        <w:trPr>
          <w:trHeight w:val="283"/>
        </w:trPr>
        <w:tc>
          <w:tcPr>
            <w:tcW w:w="1406" w:type="dxa"/>
            <w:vMerge w:val="restart"/>
            <w:vAlign w:val="center"/>
          </w:tcPr>
          <w:p w14:paraId="1FFB177B" w14:textId="77777777" w:rsidR="00D170E5" w:rsidRPr="002B55E9" w:rsidRDefault="00EF27AD">
            <w:pPr>
              <w:jc w:val="center"/>
              <w:rPr>
                <w:sz w:val="18"/>
                <w:szCs w:val="18"/>
                <w:lang w:val="zh-CN"/>
              </w:rPr>
            </w:pPr>
            <w:r w:rsidRPr="002B55E9">
              <w:rPr>
                <w:sz w:val="18"/>
                <w:szCs w:val="18"/>
                <w:lang w:val="zh-CN"/>
              </w:rPr>
              <w:t>地下水</w:t>
            </w:r>
          </w:p>
        </w:tc>
        <w:tc>
          <w:tcPr>
            <w:tcW w:w="1288" w:type="dxa"/>
            <w:vAlign w:val="center"/>
          </w:tcPr>
          <w:p w14:paraId="7EC09D13" w14:textId="77777777" w:rsidR="00D170E5" w:rsidRPr="002B55E9" w:rsidRDefault="00EF27AD">
            <w:pPr>
              <w:jc w:val="center"/>
              <w:rPr>
                <w:sz w:val="18"/>
                <w:szCs w:val="18"/>
                <w:lang w:val="zh-CN"/>
              </w:rPr>
            </w:pPr>
            <w:r w:rsidRPr="002B55E9">
              <w:rPr>
                <w:sz w:val="18"/>
                <w:szCs w:val="18"/>
                <w:lang w:val="zh-CN"/>
              </w:rPr>
              <w:t>序号</w:t>
            </w:r>
          </w:p>
        </w:tc>
        <w:tc>
          <w:tcPr>
            <w:tcW w:w="1559" w:type="dxa"/>
            <w:vAlign w:val="center"/>
          </w:tcPr>
          <w:p w14:paraId="3E56E879" w14:textId="77777777" w:rsidR="00D170E5" w:rsidRPr="002B55E9" w:rsidRDefault="00EF27AD">
            <w:pPr>
              <w:jc w:val="center"/>
              <w:rPr>
                <w:sz w:val="18"/>
                <w:szCs w:val="18"/>
                <w:lang w:val="zh-CN"/>
              </w:rPr>
            </w:pPr>
            <w:r w:rsidRPr="002B55E9">
              <w:rPr>
                <w:sz w:val="18"/>
                <w:szCs w:val="18"/>
                <w:lang w:val="zh-CN"/>
              </w:rPr>
              <w:t>环境敏感区名称</w:t>
            </w:r>
          </w:p>
        </w:tc>
        <w:tc>
          <w:tcPr>
            <w:tcW w:w="1377" w:type="dxa"/>
            <w:vAlign w:val="center"/>
          </w:tcPr>
          <w:p w14:paraId="27214C7D" w14:textId="77777777" w:rsidR="00D170E5" w:rsidRPr="002B55E9" w:rsidRDefault="00EF27AD">
            <w:pPr>
              <w:jc w:val="center"/>
              <w:rPr>
                <w:sz w:val="18"/>
                <w:szCs w:val="18"/>
                <w:lang w:val="zh-CN"/>
              </w:rPr>
            </w:pPr>
            <w:r w:rsidRPr="002B55E9">
              <w:rPr>
                <w:sz w:val="18"/>
                <w:szCs w:val="18"/>
                <w:lang w:val="zh-CN"/>
              </w:rPr>
              <w:t>环境敏感特征</w:t>
            </w:r>
          </w:p>
        </w:tc>
        <w:tc>
          <w:tcPr>
            <w:tcW w:w="1221" w:type="dxa"/>
            <w:vAlign w:val="center"/>
          </w:tcPr>
          <w:p w14:paraId="43802BC8" w14:textId="77777777" w:rsidR="00D170E5" w:rsidRPr="002B55E9" w:rsidRDefault="00EF27AD">
            <w:pPr>
              <w:jc w:val="center"/>
              <w:rPr>
                <w:sz w:val="18"/>
                <w:szCs w:val="18"/>
                <w:lang w:val="zh-CN"/>
              </w:rPr>
            </w:pPr>
            <w:r w:rsidRPr="002B55E9">
              <w:rPr>
                <w:sz w:val="18"/>
                <w:szCs w:val="18"/>
                <w:lang w:val="zh-CN"/>
              </w:rPr>
              <w:t>水质目标</w:t>
            </w:r>
          </w:p>
        </w:tc>
        <w:tc>
          <w:tcPr>
            <w:tcW w:w="990" w:type="dxa"/>
            <w:vAlign w:val="center"/>
          </w:tcPr>
          <w:p w14:paraId="271C5F5D" w14:textId="77777777" w:rsidR="00D170E5" w:rsidRPr="002B55E9" w:rsidRDefault="00EF27AD">
            <w:pPr>
              <w:jc w:val="center"/>
              <w:rPr>
                <w:sz w:val="18"/>
                <w:szCs w:val="18"/>
                <w:lang w:val="zh-CN"/>
              </w:rPr>
            </w:pPr>
            <w:r w:rsidRPr="002B55E9">
              <w:rPr>
                <w:sz w:val="18"/>
                <w:szCs w:val="18"/>
                <w:lang w:val="zh-CN"/>
              </w:rPr>
              <w:t>包气带防污性能</w:t>
            </w:r>
          </w:p>
        </w:tc>
        <w:tc>
          <w:tcPr>
            <w:tcW w:w="2013" w:type="dxa"/>
            <w:vAlign w:val="center"/>
          </w:tcPr>
          <w:p w14:paraId="0683461C" w14:textId="77777777" w:rsidR="00D170E5" w:rsidRPr="002B55E9" w:rsidRDefault="00EF27AD">
            <w:pPr>
              <w:jc w:val="center"/>
              <w:rPr>
                <w:sz w:val="18"/>
                <w:szCs w:val="18"/>
                <w:lang w:val="zh-CN"/>
              </w:rPr>
            </w:pPr>
            <w:r w:rsidRPr="002B55E9">
              <w:rPr>
                <w:sz w:val="18"/>
                <w:szCs w:val="18"/>
                <w:lang w:val="zh-CN"/>
              </w:rPr>
              <w:t>与下游厂界距离</w:t>
            </w:r>
          </w:p>
          <w:p w14:paraId="7525530C" w14:textId="77777777" w:rsidR="00D170E5" w:rsidRPr="002B55E9" w:rsidRDefault="00EF27AD">
            <w:pPr>
              <w:jc w:val="center"/>
              <w:rPr>
                <w:sz w:val="18"/>
                <w:szCs w:val="18"/>
                <w:lang w:val="zh-CN"/>
              </w:rPr>
            </w:pPr>
            <w:r w:rsidRPr="002B55E9">
              <w:rPr>
                <w:sz w:val="18"/>
                <w:szCs w:val="18"/>
                <w:lang w:val="zh-CN"/>
              </w:rPr>
              <w:t>/m</w:t>
            </w:r>
          </w:p>
        </w:tc>
      </w:tr>
      <w:tr w:rsidR="00C60999" w:rsidRPr="002B55E9" w14:paraId="3B2C1CAA" w14:textId="77777777">
        <w:trPr>
          <w:trHeight w:val="283"/>
        </w:trPr>
        <w:tc>
          <w:tcPr>
            <w:tcW w:w="1406" w:type="dxa"/>
            <w:vMerge/>
            <w:vAlign w:val="center"/>
          </w:tcPr>
          <w:p w14:paraId="138B793D" w14:textId="77777777" w:rsidR="00D170E5" w:rsidRPr="002B55E9" w:rsidRDefault="00D170E5">
            <w:pPr>
              <w:rPr>
                <w:sz w:val="18"/>
                <w:szCs w:val="18"/>
                <w:lang w:val="zh-CN"/>
              </w:rPr>
            </w:pPr>
          </w:p>
        </w:tc>
        <w:tc>
          <w:tcPr>
            <w:tcW w:w="1288" w:type="dxa"/>
            <w:vAlign w:val="center"/>
          </w:tcPr>
          <w:p w14:paraId="68B6CBF6" w14:textId="77777777" w:rsidR="00D170E5" w:rsidRPr="002B55E9" w:rsidRDefault="00EF27AD">
            <w:pPr>
              <w:jc w:val="center"/>
              <w:rPr>
                <w:sz w:val="18"/>
                <w:szCs w:val="18"/>
                <w:lang w:val="zh-CN"/>
              </w:rPr>
            </w:pPr>
            <w:r w:rsidRPr="002B55E9">
              <w:rPr>
                <w:sz w:val="18"/>
                <w:szCs w:val="18"/>
                <w:lang w:val="zh-CN"/>
              </w:rPr>
              <w:t>1</w:t>
            </w:r>
          </w:p>
        </w:tc>
        <w:tc>
          <w:tcPr>
            <w:tcW w:w="1559" w:type="dxa"/>
            <w:vAlign w:val="center"/>
          </w:tcPr>
          <w:p w14:paraId="47BB7C0D" w14:textId="77777777" w:rsidR="00D170E5" w:rsidRPr="002B55E9" w:rsidRDefault="00EF27AD">
            <w:pPr>
              <w:jc w:val="center"/>
              <w:rPr>
                <w:sz w:val="18"/>
                <w:szCs w:val="18"/>
                <w:lang w:val="zh-CN"/>
              </w:rPr>
            </w:pPr>
            <w:r w:rsidRPr="002B55E9">
              <w:rPr>
                <w:sz w:val="18"/>
                <w:szCs w:val="18"/>
                <w:lang w:val="zh-CN"/>
              </w:rPr>
              <w:t>/</w:t>
            </w:r>
          </w:p>
        </w:tc>
        <w:tc>
          <w:tcPr>
            <w:tcW w:w="1377" w:type="dxa"/>
            <w:vAlign w:val="center"/>
          </w:tcPr>
          <w:p w14:paraId="7E92D6D6" w14:textId="77777777" w:rsidR="00D170E5" w:rsidRPr="002B55E9" w:rsidRDefault="00EF27AD">
            <w:pPr>
              <w:jc w:val="center"/>
              <w:rPr>
                <w:sz w:val="18"/>
                <w:szCs w:val="18"/>
                <w:lang w:val="zh-CN"/>
              </w:rPr>
            </w:pPr>
            <w:r w:rsidRPr="002B55E9">
              <w:rPr>
                <w:sz w:val="18"/>
                <w:szCs w:val="18"/>
                <w:lang w:val="zh-CN"/>
              </w:rPr>
              <w:t>/</w:t>
            </w:r>
          </w:p>
        </w:tc>
        <w:tc>
          <w:tcPr>
            <w:tcW w:w="1221" w:type="dxa"/>
            <w:vAlign w:val="center"/>
          </w:tcPr>
          <w:p w14:paraId="6248C0F5" w14:textId="77777777" w:rsidR="00D170E5" w:rsidRPr="002B55E9" w:rsidRDefault="00EF27AD">
            <w:pPr>
              <w:jc w:val="center"/>
              <w:rPr>
                <w:sz w:val="18"/>
                <w:szCs w:val="18"/>
                <w:lang w:val="zh-CN"/>
              </w:rPr>
            </w:pPr>
            <w:r w:rsidRPr="002B55E9">
              <w:rPr>
                <w:sz w:val="18"/>
                <w:szCs w:val="18"/>
                <w:lang w:val="zh-CN"/>
              </w:rPr>
              <w:t>III</w:t>
            </w:r>
            <w:r w:rsidRPr="002B55E9">
              <w:rPr>
                <w:sz w:val="18"/>
                <w:szCs w:val="18"/>
                <w:lang w:val="zh-CN"/>
              </w:rPr>
              <w:t>类</w:t>
            </w:r>
          </w:p>
        </w:tc>
        <w:tc>
          <w:tcPr>
            <w:tcW w:w="990" w:type="dxa"/>
            <w:vAlign w:val="center"/>
          </w:tcPr>
          <w:p w14:paraId="1C1F6287" w14:textId="77777777" w:rsidR="00D170E5" w:rsidRPr="002B55E9" w:rsidRDefault="00EF27AD">
            <w:pPr>
              <w:jc w:val="center"/>
              <w:rPr>
                <w:sz w:val="18"/>
                <w:szCs w:val="18"/>
                <w:lang w:val="zh-CN"/>
              </w:rPr>
            </w:pPr>
            <w:r w:rsidRPr="002B55E9">
              <w:rPr>
                <w:sz w:val="18"/>
                <w:szCs w:val="18"/>
                <w:lang w:val="zh-CN"/>
              </w:rPr>
              <w:t>D3</w:t>
            </w:r>
          </w:p>
        </w:tc>
        <w:tc>
          <w:tcPr>
            <w:tcW w:w="2013" w:type="dxa"/>
            <w:vAlign w:val="center"/>
          </w:tcPr>
          <w:p w14:paraId="7B13A19E" w14:textId="77777777" w:rsidR="00D170E5" w:rsidRPr="002B55E9" w:rsidRDefault="00D170E5">
            <w:pPr>
              <w:jc w:val="center"/>
              <w:rPr>
                <w:sz w:val="18"/>
                <w:szCs w:val="18"/>
                <w:lang w:val="zh-CN"/>
              </w:rPr>
            </w:pPr>
          </w:p>
        </w:tc>
      </w:tr>
      <w:tr w:rsidR="00C60999" w:rsidRPr="002B55E9" w14:paraId="7736E1FE" w14:textId="77777777">
        <w:trPr>
          <w:trHeight w:val="283"/>
        </w:trPr>
        <w:tc>
          <w:tcPr>
            <w:tcW w:w="1406" w:type="dxa"/>
            <w:vMerge/>
            <w:vAlign w:val="center"/>
          </w:tcPr>
          <w:p w14:paraId="26547FC0" w14:textId="77777777" w:rsidR="00D170E5" w:rsidRPr="002B55E9" w:rsidRDefault="00D170E5">
            <w:pPr>
              <w:rPr>
                <w:sz w:val="18"/>
                <w:szCs w:val="18"/>
                <w:lang w:val="zh-CN"/>
              </w:rPr>
            </w:pPr>
          </w:p>
        </w:tc>
        <w:tc>
          <w:tcPr>
            <w:tcW w:w="6435" w:type="dxa"/>
            <w:gridSpan w:val="5"/>
            <w:vAlign w:val="center"/>
          </w:tcPr>
          <w:p w14:paraId="12B5A200" w14:textId="77777777" w:rsidR="00D170E5" w:rsidRPr="002B55E9" w:rsidRDefault="00EF27AD">
            <w:pPr>
              <w:jc w:val="center"/>
              <w:rPr>
                <w:sz w:val="18"/>
                <w:szCs w:val="18"/>
                <w:lang w:val="zh-CN"/>
              </w:rPr>
            </w:pPr>
            <w:r w:rsidRPr="002B55E9">
              <w:rPr>
                <w:sz w:val="18"/>
                <w:szCs w:val="18"/>
                <w:lang w:val="zh-CN"/>
              </w:rPr>
              <w:t>地下水环境敏感程度</w:t>
            </w:r>
            <w:r w:rsidRPr="002B55E9">
              <w:rPr>
                <w:sz w:val="18"/>
                <w:szCs w:val="18"/>
                <w:lang w:val="zh-CN"/>
              </w:rPr>
              <w:t>E</w:t>
            </w:r>
            <w:r w:rsidRPr="002B55E9">
              <w:rPr>
                <w:sz w:val="18"/>
                <w:szCs w:val="18"/>
                <w:lang w:val="zh-CN"/>
              </w:rPr>
              <w:t>值</w:t>
            </w:r>
          </w:p>
        </w:tc>
        <w:tc>
          <w:tcPr>
            <w:tcW w:w="2013" w:type="dxa"/>
            <w:vAlign w:val="center"/>
          </w:tcPr>
          <w:p w14:paraId="5D1484C8" w14:textId="77777777" w:rsidR="00D170E5" w:rsidRPr="002B55E9" w:rsidRDefault="00EF27AD">
            <w:pPr>
              <w:jc w:val="center"/>
              <w:rPr>
                <w:sz w:val="18"/>
                <w:szCs w:val="18"/>
                <w:lang w:val="zh-CN"/>
              </w:rPr>
            </w:pPr>
            <w:r w:rsidRPr="002B55E9">
              <w:rPr>
                <w:sz w:val="18"/>
                <w:szCs w:val="18"/>
                <w:lang w:val="zh-CN"/>
              </w:rPr>
              <w:t>E3</w:t>
            </w:r>
          </w:p>
        </w:tc>
      </w:tr>
    </w:tbl>
    <w:p w14:paraId="0F88B859" w14:textId="77777777" w:rsidR="00D170E5" w:rsidRPr="002B55E9" w:rsidRDefault="00EF27AD">
      <w:pPr>
        <w:pStyle w:val="3"/>
      </w:pPr>
      <w:bookmarkStart w:id="242" w:name="_Toc119309002"/>
      <w:r w:rsidRPr="002B55E9">
        <w:rPr>
          <w:rFonts w:hint="eastAsia"/>
        </w:rPr>
        <w:t>环境风险潜势初判</w:t>
      </w:r>
      <w:bookmarkEnd w:id="242"/>
    </w:p>
    <w:p w14:paraId="0B14F78A"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根据</w:t>
      </w:r>
      <w:r w:rsidRPr="002B55E9">
        <w:rPr>
          <w:bCs/>
          <w:snapToGrid w:val="0"/>
          <w:sz w:val="24"/>
          <w:lang w:val="zh-CN"/>
        </w:rPr>
        <w:t>建设项目</w:t>
      </w:r>
      <w:r w:rsidRPr="002B55E9">
        <w:rPr>
          <w:rFonts w:hint="eastAsia"/>
          <w:bCs/>
          <w:snapToGrid w:val="0"/>
          <w:sz w:val="24"/>
          <w:lang w:val="zh-CN"/>
        </w:rPr>
        <w:t>涉及</w:t>
      </w:r>
      <w:r w:rsidRPr="002B55E9">
        <w:rPr>
          <w:bCs/>
          <w:snapToGrid w:val="0"/>
          <w:sz w:val="24"/>
          <w:lang w:val="zh-CN"/>
        </w:rPr>
        <w:t>的物质和工艺系统的危险性及其所在环境敏感程度，结合事故情形下环境影响</w:t>
      </w:r>
      <w:r w:rsidRPr="002B55E9">
        <w:rPr>
          <w:rFonts w:hint="eastAsia"/>
          <w:bCs/>
          <w:snapToGrid w:val="0"/>
          <w:sz w:val="24"/>
          <w:lang w:val="zh-CN"/>
        </w:rPr>
        <w:t>途径</w:t>
      </w:r>
      <w:r w:rsidRPr="002B55E9">
        <w:rPr>
          <w:bCs/>
          <w:snapToGrid w:val="0"/>
          <w:sz w:val="24"/>
          <w:lang w:val="zh-CN"/>
        </w:rPr>
        <w:t>，对</w:t>
      </w:r>
      <w:r w:rsidRPr="002B55E9">
        <w:rPr>
          <w:rFonts w:hint="eastAsia"/>
          <w:bCs/>
          <w:snapToGrid w:val="0"/>
          <w:sz w:val="24"/>
          <w:lang w:val="zh-CN"/>
        </w:rPr>
        <w:t>建设项目潜在环境危害</w:t>
      </w:r>
      <w:r w:rsidRPr="002B55E9">
        <w:rPr>
          <w:bCs/>
          <w:snapToGrid w:val="0"/>
          <w:sz w:val="24"/>
          <w:lang w:val="zh-CN"/>
        </w:rPr>
        <w:t>程度进行概化分析。建设项目</w:t>
      </w:r>
      <w:r w:rsidRPr="002B55E9">
        <w:rPr>
          <w:rFonts w:hint="eastAsia"/>
          <w:bCs/>
          <w:snapToGrid w:val="0"/>
          <w:sz w:val="24"/>
          <w:lang w:val="zh-CN"/>
        </w:rPr>
        <w:t>环境</w:t>
      </w:r>
      <w:r w:rsidRPr="002B55E9">
        <w:rPr>
          <w:bCs/>
          <w:snapToGrid w:val="0"/>
          <w:sz w:val="24"/>
          <w:lang w:val="zh-CN"/>
        </w:rPr>
        <w:t>风险潜势划分见</w:t>
      </w:r>
      <w:r w:rsidRPr="002B55E9">
        <w:rPr>
          <w:rFonts w:hint="eastAsia"/>
          <w:bCs/>
          <w:snapToGrid w:val="0"/>
          <w:sz w:val="24"/>
          <w:lang w:val="zh-CN"/>
        </w:rPr>
        <w:t>下</w:t>
      </w:r>
      <w:r w:rsidRPr="002B55E9">
        <w:rPr>
          <w:bCs/>
          <w:snapToGrid w:val="0"/>
          <w:sz w:val="24"/>
          <w:lang w:val="zh-CN"/>
        </w:rPr>
        <w:t>表</w:t>
      </w:r>
      <w:r w:rsidRPr="002B55E9">
        <w:rPr>
          <w:rFonts w:hint="eastAsia"/>
          <w:bCs/>
          <w:snapToGrid w:val="0"/>
          <w:sz w:val="24"/>
          <w:lang w:val="zh-CN"/>
        </w:rPr>
        <w:t>。</w:t>
      </w:r>
    </w:p>
    <w:p w14:paraId="3E692E5E" w14:textId="77777777" w:rsidR="00D170E5" w:rsidRPr="002B55E9" w:rsidRDefault="00EF27AD">
      <w:pPr>
        <w:autoSpaceDE w:val="0"/>
        <w:autoSpaceDN w:val="0"/>
        <w:adjustRightInd w:val="0"/>
        <w:jc w:val="center"/>
        <w:rPr>
          <w:rFonts w:eastAsia="黑体"/>
          <w:b/>
          <w:sz w:val="24"/>
          <w:szCs w:val="28"/>
        </w:rPr>
      </w:pPr>
      <w:r w:rsidRPr="002B55E9">
        <w:rPr>
          <w:rFonts w:eastAsia="黑体"/>
          <w:b/>
          <w:sz w:val="24"/>
          <w:szCs w:val="28"/>
        </w:rPr>
        <w:t>表</w:t>
      </w:r>
      <w:r w:rsidRPr="002B55E9">
        <w:rPr>
          <w:rFonts w:eastAsia="黑体"/>
          <w:b/>
          <w:sz w:val="24"/>
          <w:szCs w:val="28"/>
        </w:rPr>
        <w:t>6</w:t>
      </w:r>
      <w:r w:rsidRPr="002B55E9">
        <w:rPr>
          <w:rFonts w:eastAsia="黑体" w:hint="eastAsia"/>
          <w:b/>
          <w:sz w:val="24"/>
          <w:szCs w:val="28"/>
        </w:rPr>
        <w:t xml:space="preserve">-2-1  </w:t>
      </w:r>
      <w:r w:rsidRPr="002B55E9">
        <w:rPr>
          <w:rFonts w:eastAsia="黑体" w:hint="eastAsia"/>
          <w:b/>
          <w:sz w:val="24"/>
          <w:szCs w:val="28"/>
        </w:rPr>
        <w:t>建设项目环境</w:t>
      </w:r>
      <w:r w:rsidRPr="002B55E9">
        <w:rPr>
          <w:rFonts w:eastAsia="黑体"/>
          <w:b/>
          <w:sz w:val="24"/>
          <w:szCs w:val="28"/>
        </w:rPr>
        <w:t>风险潜势</w:t>
      </w:r>
      <w:r w:rsidRPr="002B55E9">
        <w:rPr>
          <w:rFonts w:eastAsia="黑体" w:hint="eastAsia"/>
          <w:b/>
          <w:sz w:val="24"/>
          <w:szCs w:val="28"/>
        </w:rPr>
        <w:t>划分</w:t>
      </w:r>
      <w:r w:rsidRPr="002B55E9">
        <w:rPr>
          <w:rFonts w:eastAsia="黑体"/>
          <w:b/>
          <w:sz w:val="24"/>
          <w:szCs w:val="28"/>
        </w:rPr>
        <w:t>一览表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57"/>
        <w:gridCol w:w="1795"/>
        <w:gridCol w:w="1795"/>
        <w:gridCol w:w="1795"/>
        <w:gridCol w:w="1797"/>
      </w:tblGrid>
      <w:tr w:rsidR="00C60999" w:rsidRPr="002B55E9" w14:paraId="1ECEEAB4" w14:textId="77777777">
        <w:trPr>
          <w:trHeight w:val="284"/>
        </w:trPr>
        <w:tc>
          <w:tcPr>
            <w:tcW w:w="2457" w:type="dxa"/>
            <w:vMerge w:val="restart"/>
            <w:tcBorders>
              <w:top w:val="single" w:sz="12" w:space="0" w:color="auto"/>
              <w:bottom w:val="single" w:sz="4" w:space="0" w:color="auto"/>
            </w:tcBorders>
            <w:vAlign w:val="center"/>
          </w:tcPr>
          <w:p w14:paraId="64249FB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环境敏感程度</w:t>
            </w:r>
            <w:r w:rsidRPr="002B55E9">
              <w:rPr>
                <w:rFonts w:cs="宋体"/>
                <w:sz w:val="18"/>
                <w:szCs w:val="18"/>
                <w:lang w:bidi="ne-NP"/>
              </w:rPr>
              <w:t>（</w:t>
            </w:r>
            <w:r w:rsidRPr="002B55E9">
              <w:rPr>
                <w:rFonts w:cs="宋体" w:hint="eastAsia"/>
                <w:sz w:val="18"/>
                <w:szCs w:val="18"/>
                <w:lang w:bidi="ne-NP"/>
              </w:rPr>
              <w:t>E</w:t>
            </w:r>
            <w:r w:rsidRPr="002B55E9">
              <w:rPr>
                <w:rFonts w:cs="宋体"/>
                <w:sz w:val="18"/>
                <w:szCs w:val="18"/>
                <w:lang w:bidi="ne-NP"/>
              </w:rPr>
              <w:t>）</w:t>
            </w:r>
          </w:p>
        </w:tc>
        <w:tc>
          <w:tcPr>
            <w:tcW w:w="7182" w:type="dxa"/>
            <w:gridSpan w:val="4"/>
            <w:tcBorders>
              <w:top w:val="single" w:sz="12" w:space="0" w:color="auto"/>
              <w:bottom w:val="single" w:sz="4" w:space="0" w:color="auto"/>
            </w:tcBorders>
            <w:vAlign w:val="center"/>
          </w:tcPr>
          <w:p w14:paraId="6C0F377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危险物质及</w:t>
            </w:r>
            <w:r w:rsidRPr="002B55E9">
              <w:rPr>
                <w:rFonts w:cs="宋体"/>
                <w:sz w:val="18"/>
                <w:szCs w:val="18"/>
                <w:lang w:bidi="ne-NP"/>
              </w:rPr>
              <w:t>工艺系统危险性（</w:t>
            </w:r>
            <w:r w:rsidRPr="002B55E9">
              <w:rPr>
                <w:rFonts w:cs="宋体" w:hint="eastAsia"/>
                <w:sz w:val="18"/>
                <w:szCs w:val="18"/>
                <w:lang w:bidi="ne-NP"/>
              </w:rPr>
              <w:t>P</w:t>
            </w:r>
            <w:r w:rsidRPr="002B55E9">
              <w:rPr>
                <w:rFonts w:cs="宋体"/>
                <w:sz w:val="18"/>
                <w:szCs w:val="18"/>
                <w:lang w:bidi="ne-NP"/>
              </w:rPr>
              <w:t>）</w:t>
            </w:r>
          </w:p>
        </w:tc>
      </w:tr>
      <w:tr w:rsidR="00C60999" w:rsidRPr="002B55E9" w14:paraId="357578DC" w14:textId="77777777">
        <w:trPr>
          <w:trHeight w:val="284"/>
        </w:trPr>
        <w:tc>
          <w:tcPr>
            <w:tcW w:w="2457" w:type="dxa"/>
            <w:vMerge/>
            <w:tcBorders>
              <w:top w:val="single" w:sz="4" w:space="0" w:color="auto"/>
              <w:bottom w:val="single" w:sz="12" w:space="0" w:color="auto"/>
            </w:tcBorders>
            <w:vAlign w:val="center"/>
          </w:tcPr>
          <w:p w14:paraId="030ED097" w14:textId="77777777" w:rsidR="00D170E5" w:rsidRPr="002B55E9" w:rsidRDefault="00D170E5">
            <w:pPr>
              <w:widowControl/>
              <w:autoSpaceDE w:val="0"/>
              <w:autoSpaceDN w:val="0"/>
              <w:adjustRightInd w:val="0"/>
              <w:snapToGrid w:val="0"/>
              <w:jc w:val="center"/>
              <w:rPr>
                <w:rFonts w:cs="宋体"/>
                <w:sz w:val="18"/>
                <w:szCs w:val="18"/>
                <w:lang w:bidi="ne-NP"/>
              </w:rPr>
            </w:pPr>
          </w:p>
        </w:tc>
        <w:tc>
          <w:tcPr>
            <w:tcW w:w="1795" w:type="dxa"/>
            <w:tcBorders>
              <w:top w:val="single" w:sz="4" w:space="0" w:color="auto"/>
              <w:bottom w:val="single" w:sz="12" w:space="0" w:color="auto"/>
            </w:tcBorders>
            <w:vAlign w:val="center"/>
          </w:tcPr>
          <w:p w14:paraId="6A64D21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极高危险（</w:t>
            </w:r>
            <w:r w:rsidRPr="002B55E9">
              <w:rPr>
                <w:rFonts w:cs="宋体" w:hint="eastAsia"/>
                <w:sz w:val="18"/>
                <w:szCs w:val="18"/>
                <w:lang w:bidi="ne-NP"/>
              </w:rPr>
              <w:t>P1</w:t>
            </w:r>
            <w:r w:rsidRPr="002B55E9">
              <w:rPr>
                <w:rFonts w:cs="宋体" w:hint="eastAsia"/>
                <w:sz w:val="18"/>
                <w:szCs w:val="18"/>
                <w:lang w:bidi="ne-NP"/>
              </w:rPr>
              <w:t>）</w:t>
            </w:r>
          </w:p>
        </w:tc>
        <w:tc>
          <w:tcPr>
            <w:tcW w:w="1795" w:type="dxa"/>
            <w:tcBorders>
              <w:top w:val="single" w:sz="4" w:space="0" w:color="auto"/>
              <w:bottom w:val="single" w:sz="12" w:space="0" w:color="auto"/>
            </w:tcBorders>
            <w:vAlign w:val="center"/>
          </w:tcPr>
          <w:p w14:paraId="38DDE1FB"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高度危险（</w:t>
            </w:r>
            <w:r w:rsidRPr="002B55E9">
              <w:rPr>
                <w:rFonts w:cs="宋体" w:hint="eastAsia"/>
                <w:sz w:val="18"/>
                <w:szCs w:val="18"/>
                <w:lang w:bidi="ne-NP"/>
              </w:rPr>
              <w:t>P</w:t>
            </w:r>
            <w:r w:rsidRPr="002B55E9">
              <w:rPr>
                <w:rFonts w:cs="宋体"/>
                <w:sz w:val="18"/>
                <w:szCs w:val="18"/>
                <w:lang w:bidi="ne-NP"/>
              </w:rPr>
              <w:t>2</w:t>
            </w:r>
            <w:r w:rsidRPr="002B55E9">
              <w:rPr>
                <w:rFonts w:cs="宋体" w:hint="eastAsia"/>
                <w:sz w:val="18"/>
                <w:szCs w:val="18"/>
                <w:lang w:bidi="ne-NP"/>
              </w:rPr>
              <w:t>）</w:t>
            </w:r>
          </w:p>
        </w:tc>
        <w:tc>
          <w:tcPr>
            <w:tcW w:w="1795" w:type="dxa"/>
            <w:tcBorders>
              <w:top w:val="single" w:sz="4" w:space="0" w:color="auto"/>
              <w:bottom w:val="single" w:sz="12" w:space="0" w:color="auto"/>
            </w:tcBorders>
            <w:vAlign w:val="center"/>
          </w:tcPr>
          <w:p w14:paraId="3333282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中度危险（</w:t>
            </w:r>
            <w:r w:rsidRPr="002B55E9">
              <w:rPr>
                <w:rFonts w:cs="宋体" w:hint="eastAsia"/>
                <w:sz w:val="18"/>
                <w:szCs w:val="18"/>
                <w:lang w:bidi="ne-NP"/>
              </w:rPr>
              <w:t>P3</w:t>
            </w:r>
            <w:r w:rsidRPr="002B55E9">
              <w:rPr>
                <w:rFonts w:cs="宋体" w:hint="eastAsia"/>
                <w:sz w:val="18"/>
                <w:szCs w:val="18"/>
                <w:lang w:bidi="ne-NP"/>
              </w:rPr>
              <w:t>）</w:t>
            </w:r>
          </w:p>
        </w:tc>
        <w:tc>
          <w:tcPr>
            <w:tcW w:w="1797" w:type="dxa"/>
            <w:tcBorders>
              <w:top w:val="single" w:sz="4" w:space="0" w:color="auto"/>
              <w:bottom w:val="single" w:sz="12" w:space="0" w:color="auto"/>
            </w:tcBorders>
            <w:vAlign w:val="center"/>
          </w:tcPr>
          <w:p w14:paraId="4C997049"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轻度危险（</w:t>
            </w:r>
            <w:r w:rsidRPr="002B55E9">
              <w:rPr>
                <w:rFonts w:cs="宋体" w:hint="eastAsia"/>
                <w:sz w:val="18"/>
                <w:szCs w:val="18"/>
                <w:lang w:bidi="ne-NP"/>
              </w:rPr>
              <w:t>P4</w:t>
            </w:r>
            <w:r w:rsidRPr="002B55E9">
              <w:rPr>
                <w:rFonts w:cs="宋体" w:hint="eastAsia"/>
                <w:sz w:val="18"/>
                <w:szCs w:val="18"/>
                <w:lang w:bidi="ne-NP"/>
              </w:rPr>
              <w:t>）</w:t>
            </w:r>
          </w:p>
        </w:tc>
      </w:tr>
      <w:tr w:rsidR="00C60999" w:rsidRPr="002B55E9" w14:paraId="1F300859" w14:textId="77777777">
        <w:trPr>
          <w:trHeight w:val="284"/>
        </w:trPr>
        <w:tc>
          <w:tcPr>
            <w:tcW w:w="2457" w:type="dxa"/>
            <w:tcBorders>
              <w:top w:val="single" w:sz="12" w:space="0" w:color="auto"/>
            </w:tcBorders>
            <w:vAlign w:val="center"/>
          </w:tcPr>
          <w:p w14:paraId="76AA6FA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环境高度</w:t>
            </w:r>
            <w:r w:rsidRPr="002B55E9">
              <w:rPr>
                <w:rFonts w:cs="宋体"/>
                <w:sz w:val="18"/>
                <w:szCs w:val="18"/>
                <w:lang w:bidi="ne-NP"/>
              </w:rPr>
              <w:t>敏感区（</w:t>
            </w:r>
            <w:r w:rsidRPr="002B55E9">
              <w:rPr>
                <w:rFonts w:cs="宋体" w:hint="eastAsia"/>
                <w:sz w:val="18"/>
                <w:szCs w:val="18"/>
                <w:lang w:bidi="ne-NP"/>
              </w:rPr>
              <w:t>E1</w:t>
            </w:r>
            <w:r w:rsidRPr="002B55E9">
              <w:rPr>
                <w:rFonts w:cs="宋体"/>
                <w:sz w:val="18"/>
                <w:szCs w:val="18"/>
                <w:lang w:bidi="ne-NP"/>
              </w:rPr>
              <w:t>）</w:t>
            </w:r>
          </w:p>
        </w:tc>
        <w:tc>
          <w:tcPr>
            <w:tcW w:w="1795" w:type="dxa"/>
            <w:tcBorders>
              <w:top w:val="single" w:sz="12" w:space="0" w:color="auto"/>
            </w:tcBorders>
            <w:vAlign w:val="center"/>
          </w:tcPr>
          <w:p w14:paraId="038B454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r w:rsidRPr="002B55E9">
              <w:rPr>
                <w:rFonts w:cs="宋体" w:hint="eastAsia"/>
                <w:sz w:val="18"/>
                <w:szCs w:val="18"/>
                <w:vertAlign w:val="superscript"/>
                <w:lang w:bidi="ne-NP"/>
              </w:rPr>
              <w:t>+</w:t>
            </w:r>
          </w:p>
        </w:tc>
        <w:tc>
          <w:tcPr>
            <w:tcW w:w="1795" w:type="dxa"/>
            <w:tcBorders>
              <w:top w:val="single" w:sz="12" w:space="0" w:color="auto"/>
            </w:tcBorders>
            <w:vAlign w:val="center"/>
          </w:tcPr>
          <w:p w14:paraId="10EE3B6B"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p>
        </w:tc>
        <w:tc>
          <w:tcPr>
            <w:tcW w:w="1795" w:type="dxa"/>
            <w:tcBorders>
              <w:top w:val="single" w:sz="12" w:space="0" w:color="auto"/>
            </w:tcBorders>
            <w:vAlign w:val="center"/>
          </w:tcPr>
          <w:p w14:paraId="1E6A444D"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7" w:type="dxa"/>
            <w:tcBorders>
              <w:top w:val="single" w:sz="12" w:space="0" w:color="auto"/>
            </w:tcBorders>
            <w:vAlign w:val="center"/>
          </w:tcPr>
          <w:p w14:paraId="6DCAFBF0"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r>
      <w:tr w:rsidR="00C60999" w:rsidRPr="002B55E9" w14:paraId="3DF78FF6" w14:textId="77777777">
        <w:trPr>
          <w:trHeight w:val="284"/>
        </w:trPr>
        <w:tc>
          <w:tcPr>
            <w:tcW w:w="2457" w:type="dxa"/>
            <w:vAlign w:val="center"/>
          </w:tcPr>
          <w:p w14:paraId="10BCF00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环境中度</w:t>
            </w:r>
            <w:r w:rsidRPr="002B55E9">
              <w:rPr>
                <w:rFonts w:cs="宋体"/>
                <w:sz w:val="18"/>
                <w:szCs w:val="18"/>
                <w:lang w:bidi="ne-NP"/>
              </w:rPr>
              <w:t>敏感区（</w:t>
            </w:r>
            <w:r w:rsidRPr="002B55E9">
              <w:rPr>
                <w:rFonts w:cs="宋体" w:hint="eastAsia"/>
                <w:sz w:val="18"/>
                <w:szCs w:val="18"/>
                <w:lang w:bidi="ne-NP"/>
              </w:rPr>
              <w:t>E</w:t>
            </w:r>
            <w:r w:rsidRPr="002B55E9">
              <w:rPr>
                <w:rFonts w:cs="宋体"/>
                <w:sz w:val="18"/>
                <w:szCs w:val="18"/>
                <w:lang w:bidi="ne-NP"/>
              </w:rPr>
              <w:t>2</w:t>
            </w:r>
            <w:r w:rsidRPr="002B55E9">
              <w:rPr>
                <w:rFonts w:cs="宋体"/>
                <w:sz w:val="18"/>
                <w:szCs w:val="18"/>
                <w:lang w:bidi="ne-NP"/>
              </w:rPr>
              <w:t>）</w:t>
            </w:r>
          </w:p>
        </w:tc>
        <w:tc>
          <w:tcPr>
            <w:tcW w:w="1795" w:type="dxa"/>
            <w:vAlign w:val="center"/>
          </w:tcPr>
          <w:p w14:paraId="3B5066F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w:t>
            </w:r>
          </w:p>
        </w:tc>
        <w:tc>
          <w:tcPr>
            <w:tcW w:w="1795" w:type="dxa"/>
            <w:vAlign w:val="center"/>
          </w:tcPr>
          <w:p w14:paraId="168B4E07"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793D27C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7" w:type="dxa"/>
            <w:vAlign w:val="center"/>
          </w:tcPr>
          <w:p w14:paraId="3A2BD0D7"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Ⅱ</w:t>
            </w:r>
          </w:p>
        </w:tc>
      </w:tr>
      <w:tr w:rsidR="00C60999" w:rsidRPr="002B55E9" w14:paraId="03DC53D0" w14:textId="77777777">
        <w:trPr>
          <w:trHeight w:val="284"/>
        </w:trPr>
        <w:tc>
          <w:tcPr>
            <w:tcW w:w="2457" w:type="dxa"/>
            <w:vAlign w:val="center"/>
          </w:tcPr>
          <w:p w14:paraId="5D5AB19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环境低度</w:t>
            </w:r>
            <w:r w:rsidRPr="002B55E9">
              <w:rPr>
                <w:rFonts w:cs="宋体"/>
                <w:sz w:val="18"/>
                <w:szCs w:val="18"/>
                <w:lang w:bidi="ne-NP"/>
              </w:rPr>
              <w:t>敏感区（</w:t>
            </w:r>
            <w:r w:rsidRPr="002B55E9">
              <w:rPr>
                <w:rFonts w:cs="宋体" w:hint="eastAsia"/>
                <w:sz w:val="18"/>
                <w:szCs w:val="18"/>
                <w:lang w:bidi="ne-NP"/>
              </w:rPr>
              <w:t>E</w:t>
            </w:r>
            <w:r w:rsidRPr="002B55E9">
              <w:rPr>
                <w:rFonts w:cs="宋体"/>
                <w:sz w:val="18"/>
                <w:szCs w:val="18"/>
                <w:lang w:bidi="ne-NP"/>
              </w:rPr>
              <w:t>3</w:t>
            </w:r>
            <w:r w:rsidRPr="002B55E9">
              <w:rPr>
                <w:rFonts w:cs="宋体"/>
                <w:sz w:val="18"/>
                <w:szCs w:val="18"/>
                <w:lang w:bidi="ne-NP"/>
              </w:rPr>
              <w:t>）</w:t>
            </w:r>
          </w:p>
        </w:tc>
        <w:tc>
          <w:tcPr>
            <w:tcW w:w="1795" w:type="dxa"/>
            <w:vAlign w:val="center"/>
          </w:tcPr>
          <w:p w14:paraId="7B5D181F"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3D7344AA"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vAlign w:val="center"/>
          </w:tcPr>
          <w:p w14:paraId="0A1DFAB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Ⅱ</w:t>
            </w:r>
          </w:p>
        </w:tc>
        <w:tc>
          <w:tcPr>
            <w:tcW w:w="1797" w:type="dxa"/>
            <w:vAlign w:val="center"/>
          </w:tcPr>
          <w:p w14:paraId="3B27E080"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Ⅰ</w:t>
            </w:r>
          </w:p>
        </w:tc>
      </w:tr>
      <w:tr w:rsidR="00C60999" w:rsidRPr="002B55E9" w14:paraId="1B765E25" w14:textId="77777777">
        <w:trPr>
          <w:trHeight w:val="284"/>
        </w:trPr>
        <w:tc>
          <w:tcPr>
            <w:tcW w:w="9639" w:type="dxa"/>
            <w:gridSpan w:val="5"/>
            <w:vAlign w:val="center"/>
          </w:tcPr>
          <w:p w14:paraId="368806B7"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注</w:t>
            </w:r>
            <w:r w:rsidRPr="002B55E9">
              <w:rPr>
                <w:rFonts w:cs="宋体"/>
                <w:sz w:val="18"/>
                <w:szCs w:val="18"/>
                <w:lang w:bidi="ne-NP"/>
              </w:rPr>
              <w:t>：</w:t>
            </w:r>
            <w:r w:rsidRPr="002B55E9">
              <w:rPr>
                <w:rFonts w:cs="宋体" w:hint="eastAsia"/>
                <w:sz w:val="18"/>
                <w:szCs w:val="18"/>
                <w:lang w:bidi="ne-NP"/>
              </w:rPr>
              <w:t>Ⅳ</w:t>
            </w:r>
            <w:r w:rsidRPr="002B55E9">
              <w:rPr>
                <w:rFonts w:cs="宋体" w:hint="eastAsia"/>
                <w:sz w:val="18"/>
                <w:szCs w:val="18"/>
                <w:vertAlign w:val="superscript"/>
                <w:lang w:bidi="ne-NP"/>
              </w:rPr>
              <w:t>+</w:t>
            </w:r>
            <w:r w:rsidRPr="002B55E9">
              <w:rPr>
                <w:rFonts w:cs="宋体" w:hint="eastAsia"/>
                <w:sz w:val="18"/>
                <w:szCs w:val="18"/>
                <w:lang w:bidi="ne-NP"/>
              </w:rPr>
              <w:t>为</w:t>
            </w:r>
            <w:r w:rsidRPr="002B55E9">
              <w:rPr>
                <w:rFonts w:cs="宋体"/>
                <w:sz w:val="18"/>
                <w:szCs w:val="18"/>
                <w:lang w:bidi="ne-NP"/>
              </w:rPr>
              <w:t>极高环境风险</w:t>
            </w:r>
            <w:r w:rsidRPr="002B55E9">
              <w:rPr>
                <w:rFonts w:cs="宋体" w:hint="eastAsia"/>
                <w:sz w:val="18"/>
                <w:szCs w:val="18"/>
                <w:lang w:bidi="ne-NP"/>
              </w:rPr>
              <w:t>。</w:t>
            </w:r>
          </w:p>
        </w:tc>
      </w:tr>
    </w:tbl>
    <w:p w14:paraId="270665BE" w14:textId="77777777" w:rsidR="00D170E5" w:rsidRPr="002B55E9" w:rsidRDefault="00EF27AD">
      <w:pPr>
        <w:pStyle w:val="4"/>
        <w:rPr>
          <w:color w:val="auto"/>
        </w:rPr>
      </w:pPr>
      <w:r w:rsidRPr="002B55E9">
        <w:rPr>
          <w:rFonts w:hint="eastAsia"/>
          <w:color w:val="auto"/>
        </w:rPr>
        <w:t>大气环境风险潜势初判</w:t>
      </w:r>
    </w:p>
    <w:p w14:paraId="3B79FB9F" w14:textId="77777777" w:rsidR="00D170E5" w:rsidRPr="002B55E9" w:rsidRDefault="00EF27AD">
      <w:pPr>
        <w:pStyle w:val="affff7"/>
      </w:pPr>
      <w:r w:rsidRPr="002B55E9">
        <w:rPr>
          <w:rFonts w:hint="eastAsia"/>
          <w:lang w:val="zh-CN"/>
        </w:rPr>
        <w:t>根据环境风险调查结果，本项目大气环境敏感程度为环境高度敏感区（</w:t>
      </w:r>
      <w:r w:rsidRPr="002B55E9">
        <w:rPr>
          <w:rFonts w:hint="eastAsia"/>
          <w:lang w:val="zh-CN"/>
        </w:rPr>
        <w:t>E</w:t>
      </w:r>
      <w:r w:rsidRPr="002B55E9">
        <w:rPr>
          <w:lang w:val="zh-CN"/>
        </w:rPr>
        <w:t>1</w:t>
      </w:r>
      <w:r w:rsidRPr="002B55E9">
        <w:rPr>
          <w:rFonts w:hint="eastAsia"/>
          <w:lang w:val="zh-CN"/>
        </w:rPr>
        <w:t>），危险物质及工艺系统危险性（</w:t>
      </w:r>
      <w:r w:rsidRPr="002B55E9">
        <w:rPr>
          <w:lang w:val="zh-CN"/>
        </w:rPr>
        <w:t>P</w:t>
      </w:r>
      <w:r w:rsidRPr="002B55E9">
        <w:rPr>
          <w:lang w:val="zh-CN"/>
        </w:rPr>
        <w:t>）</w:t>
      </w:r>
      <w:r w:rsidRPr="002B55E9">
        <w:rPr>
          <w:rFonts w:hint="eastAsia"/>
          <w:lang w:val="zh-CN"/>
        </w:rPr>
        <w:t>为中度危险</w:t>
      </w:r>
      <w:r w:rsidRPr="002B55E9">
        <w:rPr>
          <w:rFonts w:hint="eastAsia"/>
          <w:lang w:val="zh-CN"/>
        </w:rPr>
        <w:t>P</w:t>
      </w:r>
      <w:r w:rsidRPr="002B55E9">
        <w:rPr>
          <w:lang w:val="zh-CN"/>
        </w:rPr>
        <w:t>4</w:t>
      </w:r>
      <w:r w:rsidRPr="002B55E9">
        <w:rPr>
          <w:rFonts w:hint="eastAsia"/>
          <w:lang w:val="zh-CN"/>
        </w:rPr>
        <w:t>，则根据</w:t>
      </w:r>
      <w:r w:rsidRPr="002B55E9">
        <w:rPr>
          <w:rFonts w:hint="eastAsia"/>
        </w:rPr>
        <w:t>建设项目环境</w:t>
      </w:r>
      <w:r w:rsidRPr="002B55E9">
        <w:t>风险潜势</w:t>
      </w:r>
      <w:r w:rsidRPr="002B55E9">
        <w:rPr>
          <w:rFonts w:hint="eastAsia"/>
        </w:rPr>
        <w:t>划分</w:t>
      </w:r>
      <w:r w:rsidRPr="002B55E9">
        <w:t>一览表</w:t>
      </w:r>
      <w:r w:rsidRPr="002B55E9">
        <w:rPr>
          <w:rFonts w:hint="eastAsia"/>
        </w:rPr>
        <w:t>本项目大气环境风险潜势判判定为</w:t>
      </w:r>
      <w:r w:rsidRPr="002B55E9">
        <w:rPr>
          <w:rFonts w:ascii="宋体" w:hAnsi="宋体" w:hint="eastAsia"/>
        </w:rPr>
        <w:t>Ⅲ</w:t>
      </w:r>
      <w:r w:rsidRPr="002B55E9">
        <w:rPr>
          <w:rFonts w:hint="eastAsia"/>
        </w:rPr>
        <w:t>级。</w:t>
      </w:r>
    </w:p>
    <w:p w14:paraId="51B6D52F" w14:textId="77777777" w:rsidR="00D170E5" w:rsidRPr="002B55E9" w:rsidRDefault="00EF27AD">
      <w:pPr>
        <w:pStyle w:val="4"/>
        <w:rPr>
          <w:color w:val="auto"/>
        </w:rPr>
      </w:pPr>
      <w:r w:rsidRPr="002B55E9">
        <w:rPr>
          <w:rFonts w:hint="eastAsia"/>
          <w:color w:val="auto"/>
        </w:rPr>
        <w:t>地表水环境风险潜势初判</w:t>
      </w:r>
    </w:p>
    <w:p w14:paraId="6E1D3E6B"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根据环境风险调查结果，本项目地表水环境敏感程度为环境低度敏感区（</w:t>
      </w:r>
      <w:r w:rsidRPr="002B55E9">
        <w:rPr>
          <w:rFonts w:hint="eastAsia"/>
          <w:bCs/>
          <w:snapToGrid w:val="0"/>
          <w:sz w:val="24"/>
          <w:lang w:val="zh-CN"/>
        </w:rPr>
        <w:t>E</w:t>
      </w:r>
      <w:r w:rsidRPr="002B55E9">
        <w:rPr>
          <w:bCs/>
          <w:snapToGrid w:val="0"/>
          <w:sz w:val="24"/>
          <w:lang w:val="zh-CN"/>
        </w:rPr>
        <w:t>3</w:t>
      </w:r>
      <w:r w:rsidRPr="002B55E9">
        <w:rPr>
          <w:rFonts w:hint="eastAsia"/>
          <w:bCs/>
          <w:snapToGrid w:val="0"/>
          <w:sz w:val="24"/>
          <w:lang w:val="zh-CN"/>
        </w:rPr>
        <w:t>），危险物质及工艺系统危险性（</w:t>
      </w:r>
      <w:r w:rsidRPr="002B55E9">
        <w:rPr>
          <w:bCs/>
          <w:snapToGrid w:val="0"/>
          <w:sz w:val="24"/>
          <w:lang w:val="zh-CN"/>
        </w:rPr>
        <w:t>P</w:t>
      </w:r>
      <w:r w:rsidRPr="002B55E9">
        <w:rPr>
          <w:bCs/>
          <w:snapToGrid w:val="0"/>
          <w:sz w:val="24"/>
          <w:lang w:val="zh-CN"/>
        </w:rPr>
        <w:t>）</w:t>
      </w:r>
      <w:r w:rsidRPr="002B55E9">
        <w:rPr>
          <w:rFonts w:hint="eastAsia"/>
          <w:bCs/>
          <w:snapToGrid w:val="0"/>
          <w:sz w:val="24"/>
          <w:lang w:val="zh-CN"/>
        </w:rPr>
        <w:t>为中度危险</w:t>
      </w:r>
      <w:r w:rsidRPr="002B55E9">
        <w:rPr>
          <w:rFonts w:hint="eastAsia"/>
          <w:bCs/>
          <w:snapToGrid w:val="0"/>
          <w:sz w:val="24"/>
          <w:lang w:val="zh-CN"/>
        </w:rPr>
        <w:t>P</w:t>
      </w:r>
      <w:r w:rsidRPr="002B55E9">
        <w:rPr>
          <w:bCs/>
          <w:snapToGrid w:val="0"/>
          <w:sz w:val="24"/>
          <w:lang w:val="zh-CN"/>
        </w:rPr>
        <w:t>4</w:t>
      </w:r>
      <w:r w:rsidRPr="002B55E9">
        <w:rPr>
          <w:rFonts w:hint="eastAsia"/>
          <w:bCs/>
          <w:snapToGrid w:val="0"/>
          <w:sz w:val="24"/>
          <w:lang w:val="zh-CN"/>
        </w:rPr>
        <w:t>，则根据</w:t>
      </w:r>
      <w:r w:rsidRPr="002B55E9">
        <w:rPr>
          <w:rFonts w:hint="eastAsia"/>
          <w:bCs/>
          <w:snapToGrid w:val="0"/>
          <w:sz w:val="24"/>
        </w:rPr>
        <w:t>建设项目环境</w:t>
      </w:r>
      <w:r w:rsidRPr="002B55E9">
        <w:rPr>
          <w:bCs/>
          <w:snapToGrid w:val="0"/>
          <w:sz w:val="24"/>
        </w:rPr>
        <w:t>风险潜势</w:t>
      </w:r>
      <w:r w:rsidRPr="002B55E9">
        <w:rPr>
          <w:rFonts w:hint="eastAsia"/>
          <w:bCs/>
          <w:snapToGrid w:val="0"/>
          <w:sz w:val="24"/>
        </w:rPr>
        <w:t>划分</w:t>
      </w:r>
      <w:r w:rsidRPr="002B55E9">
        <w:rPr>
          <w:bCs/>
          <w:snapToGrid w:val="0"/>
          <w:sz w:val="24"/>
        </w:rPr>
        <w:t>一览表</w:t>
      </w:r>
      <w:r w:rsidRPr="002B55E9">
        <w:rPr>
          <w:rFonts w:hint="eastAsia"/>
          <w:bCs/>
          <w:snapToGrid w:val="0"/>
          <w:sz w:val="24"/>
        </w:rPr>
        <w:t>本项目地表水环境风险潜势判定为</w:t>
      </w:r>
      <w:r w:rsidRPr="002B55E9">
        <w:rPr>
          <w:rFonts w:ascii="宋体" w:hAnsi="宋体" w:hint="eastAsia"/>
          <w:bCs/>
          <w:snapToGrid w:val="0"/>
          <w:sz w:val="24"/>
        </w:rPr>
        <w:t>Ⅰ</w:t>
      </w:r>
      <w:r w:rsidRPr="002B55E9">
        <w:rPr>
          <w:rFonts w:hint="eastAsia"/>
          <w:bCs/>
          <w:snapToGrid w:val="0"/>
          <w:sz w:val="24"/>
        </w:rPr>
        <w:t>级。</w:t>
      </w:r>
    </w:p>
    <w:p w14:paraId="72F0809C" w14:textId="77777777" w:rsidR="00D170E5" w:rsidRPr="002B55E9" w:rsidRDefault="00EF27AD">
      <w:pPr>
        <w:pStyle w:val="4"/>
        <w:rPr>
          <w:color w:val="auto"/>
        </w:rPr>
      </w:pPr>
      <w:r w:rsidRPr="002B55E9">
        <w:rPr>
          <w:rFonts w:hint="eastAsia"/>
          <w:color w:val="auto"/>
        </w:rPr>
        <w:t>地下水环境风险潜势初判</w:t>
      </w:r>
    </w:p>
    <w:p w14:paraId="0F82D6B0" w14:textId="77777777" w:rsidR="00D170E5" w:rsidRPr="002B55E9" w:rsidRDefault="00EF27AD">
      <w:pPr>
        <w:pStyle w:val="affff7"/>
      </w:pPr>
      <w:r w:rsidRPr="002B55E9">
        <w:rPr>
          <w:rFonts w:hint="eastAsia"/>
          <w:lang w:val="zh-CN"/>
        </w:rPr>
        <w:lastRenderedPageBreak/>
        <w:t>根据环境风险调查结果，本项目地下水环境敏感程度为环境低度敏感区（</w:t>
      </w:r>
      <w:r w:rsidRPr="002B55E9">
        <w:rPr>
          <w:rFonts w:hint="eastAsia"/>
          <w:lang w:val="zh-CN"/>
        </w:rPr>
        <w:t>E</w:t>
      </w:r>
      <w:r w:rsidRPr="002B55E9">
        <w:rPr>
          <w:lang w:val="zh-CN"/>
        </w:rPr>
        <w:t>3</w:t>
      </w:r>
      <w:r w:rsidRPr="002B55E9">
        <w:rPr>
          <w:rFonts w:hint="eastAsia"/>
          <w:lang w:val="zh-CN"/>
        </w:rPr>
        <w:t>），危险物质及工艺系统危险性（</w:t>
      </w:r>
      <w:r w:rsidRPr="002B55E9">
        <w:rPr>
          <w:lang w:val="zh-CN"/>
        </w:rPr>
        <w:t>P</w:t>
      </w:r>
      <w:r w:rsidRPr="002B55E9">
        <w:rPr>
          <w:lang w:val="zh-CN"/>
        </w:rPr>
        <w:t>）</w:t>
      </w:r>
      <w:r w:rsidRPr="002B55E9">
        <w:rPr>
          <w:rFonts w:hint="eastAsia"/>
          <w:lang w:val="zh-CN"/>
        </w:rPr>
        <w:t>为中度危险</w:t>
      </w:r>
      <w:r w:rsidRPr="002B55E9">
        <w:rPr>
          <w:rFonts w:hint="eastAsia"/>
          <w:lang w:val="zh-CN"/>
        </w:rPr>
        <w:t>P</w:t>
      </w:r>
      <w:r w:rsidRPr="002B55E9">
        <w:rPr>
          <w:lang w:val="zh-CN"/>
        </w:rPr>
        <w:t>4</w:t>
      </w:r>
      <w:r w:rsidRPr="002B55E9">
        <w:rPr>
          <w:rFonts w:hint="eastAsia"/>
          <w:lang w:val="zh-CN"/>
        </w:rPr>
        <w:t>，则根据</w:t>
      </w:r>
      <w:r w:rsidRPr="002B55E9">
        <w:rPr>
          <w:rFonts w:hint="eastAsia"/>
        </w:rPr>
        <w:t>建设项目环境</w:t>
      </w:r>
      <w:r w:rsidRPr="002B55E9">
        <w:t>风险潜势</w:t>
      </w:r>
      <w:r w:rsidRPr="002B55E9">
        <w:rPr>
          <w:rFonts w:hint="eastAsia"/>
        </w:rPr>
        <w:t>划分</w:t>
      </w:r>
      <w:r w:rsidRPr="002B55E9">
        <w:t>一览表</w:t>
      </w:r>
      <w:r w:rsidRPr="002B55E9">
        <w:rPr>
          <w:rFonts w:hint="eastAsia"/>
        </w:rPr>
        <w:t>本项目地下水环境风险潜势判定为</w:t>
      </w:r>
      <w:r w:rsidRPr="002B55E9">
        <w:rPr>
          <w:rFonts w:ascii="宋体" w:hAnsi="宋体" w:hint="eastAsia"/>
          <w:bCs w:val="0"/>
        </w:rPr>
        <w:t>Ⅰ</w:t>
      </w:r>
      <w:r w:rsidRPr="002B55E9">
        <w:rPr>
          <w:rFonts w:hint="eastAsia"/>
        </w:rPr>
        <w:t>级。</w:t>
      </w:r>
    </w:p>
    <w:p w14:paraId="2972D4B6" w14:textId="77777777" w:rsidR="00D170E5" w:rsidRPr="002B55E9" w:rsidRDefault="00EF27AD">
      <w:pPr>
        <w:pStyle w:val="4"/>
        <w:rPr>
          <w:color w:val="auto"/>
        </w:rPr>
      </w:pPr>
      <w:r w:rsidRPr="002B55E9">
        <w:rPr>
          <w:rFonts w:hint="eastAsia"/>
          <w:color w:val="auto"/>
        </w:rPr>
        <w:t>建设项目环境风险潜势判断</w:t>
      </w:r>
    </w:p>
    <w:p w14:paraId="35571B7E"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综上所述，本项目环境风险潜势的综合等级判定为</w:t>
      </w:r>
      <w:r w:rsidRPr="002B55E9">
        <w:rPr>
          <w:rFonts w:ascii="宋体" w:hAnsi="宋体" w:hint="eastAsia"/>
          <w:bCs/>
          <w:snapToGrid w:val="0"/>
          <w:sz w:val="24"/>
        </w:rPr>
        <w:t>Ⅲ</w:t>
      </w:r>
      <w:r w:rsidRPr="002B55E9">
        <w:rPr>
          <w:rFonts w:hint="eastAsia"/>
          <w:bCs/>
          <w:snapToGrid w:val="0"/>
          <w:sz w:val="24"/>
          <w:lang w:val="zh-CN"/>
        </w:rPr>
        <w:t>级。</w:t>
      </w:r>
    </w:p>
    <w:p w14:paraId="69C66E4A" w14:textId="77777777" w:rsidR="00D170E5" w:rsidRPr="002B55E9" w:rsidRDefault="00EF27AD">
      <w:pPr>
        <w:pStyle w:val="3"/>
      </w:pPr>
      <w:bookmarkStart w:id="243" w:name="_Toc119309003"/>
      <w:r w:rsidRPr="002B55E9">
        <w:rPr>
          <w:rFonts w:hint="eastAsia"/>
        </w:rPr>
        <w:t>评价工作等级和评价范围</w:t>
      </w:r>
      <w:bookmarkEnd w:id="243"/>
    </w:p>
    <w:p w14:paraId="7C81EB9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按照《建设项目环境风险评价技术导则》（</w:t>
      </w:r>
      <w:r w:rsidRPr="002B55E9">
        <w:rPr>
          <w:rFonts w:hint="eastAsia"/>
          <w:bCs/>
          <w:snapToGrid w:val="0"/>
          <w:sz w:val="24"/>
        </w:rPr>
        <w:t>HJ169-2018</w:t>
      </w:r>
      <w:r w:rsidRPr="002B55E9">
        <w:rPr>
          <w:rFonts w:hint="eastAsia"/>
          <w:bCs/>
          <w:snapToGrid w:val="0"/>
          <w:sz w:val="24"/>
        </w:rPr>
        <w:t>），环境风险评价工作等级划分为一级、二级、三级。根据建设项目涉及的物质及工艺系统危险性和所在地的环境敏感性确定环境风险潜势，由表</w:t>
      </w:r>
      <w:r w:rsidRPr="002B55E9">
        <w:rPr>
          <w:rFonts w:hint="eastAsia"/>
          <w:bCs/>
          <w:snapToGrid w:val="0"/>
          <w:sz w:val="24"/>
        </w:rPr>
        <w:t>6-</w:t>
      </w:r>
      <w:r w:rsidRPr="002B55E9">
        <w:rPr>
          <w:bCs/>
          <w:snapToGrid w:val="0"/>
          <w:sz w:val="24"/>
        </w:rPr>
        <w:t>3</w:t>
      </w:r>
      <w:r w:rsidRPr="002B55E9">
        <w:rPr>
          <w:rFonts w:hint="eastAsia"/>
          <w:bCs/>
          <w:snapToGrid w:val="0"/>
          <w:sz w:val="24"/>
        </w:rPr>
        <w:t>-</w:t>
      </w:r>
      <w:r w:rsidRPr="002B55E9">
        <w:rPr>
          <w:bCs/>
          <w:snapToGrid w:val="0"/>
          <w:sz w:val="24"/>
        </w:rPr>
        <w:t>1</w:t>
      </w:r>
      <w:r w:rsidRPr="002B55E9">
        <w:rPr>
          <w:rFonts w:hint="eastAsia"/>
          <w:bCs/>
          <w:snapToGrid w:val="0"/>
          <w:sz w:val="24"/>
        </w:rPr>
        <w:t>确定评价工作等级。风险潜势为Ⅳ及以上，进行一级评价；风险潜势为Ⅲ，进行二级评价；风险潜势为Ⅱ，进行三级评价；风险潜势为Ⅰ，可开展简单分析。</w:t>
      </w:r>
    </w:p>
    <w:p w14:paraId="1F37F07A" w14:textId="77777777" w:rsidR="00D170E5" w:rsidRPr="002B55E9" w:rsidRDefault="00EF27AD">
      <w:pPr>
        <w:spacing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w:t>
      </w:r>
      <w:r w:rsidRPr="002B55E9">
        <w:rPr>
          <w:rFonts w:eastAsia="黑体"/>
          <w:b/>
          <w:sz w:val="24"/>
        </w:rPr>
        <w:t>3-1</w:t>
      </w:r>
      <w:r w:rsidRPr="002B55E9">
        <w:rPr>
          <w:rFonts w:eastAsia="黑体" w:hint="eastAsia"/>
          <w:b/>
          <w:sz w:val="24"/>
        </w:rPr>
        <w:t xml:space="preserve">  </w:t>
      </w:r>
      <w:r w:rsidRPr="002B55E9">
        <w:rPr>
          <w:rFonts w:eastAsia="黑体" w:hint="eastAsia"/>
          <w:b/>
          <w:sz w:val="24"/>
        </w:rPr>
        <w:t>建设项目环境</w:t>
      </w:r>
      <w:r w:rsidRPr="002B55E9">
        <w:rPr>
          <w:rFonts w:eastAsia="黑体"/>
          <w:b/>
          <w:sz w:val="24"/>
        </w:rPr>
        <w:t>风险</w:t>
      </w:r>
      <w:r w:rsidRPr="002B55E9">
        <w:rPr>
          <w:rFonts w:eastAsia="黑体" w:hint="eastAsia"/>
          <w:b/>
          <w:sz w:val="24"/>
        </w:rPr>
        <w:t>评价工作等级</w:t>
      </w:r>
      <w:r w:rsidRPr="002B55E9">
        <w:rPr>
          <w:rFonts w:eastAsia="黑体"/>
          <w:b/>
          <w:sz w:val="24"/>
        </w:rPr>
        <w:t>划分表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57"/>
        <w:gridCol w:w="1795"/>
        <w:gridCol w:w="1795"/>
        <w:gridCol w:w="1795"/>
        <w:gridCol w:w="1797"/>
      </w:tblGrid>
      <w:tr w:rsidR="00C60999" w:rsidRPr="002B55E9" w14:paraId="69F2C661" w14:textId="77777777">
        <w:trPr>
          <w:trHeight w:val="284"/>
        </w:trPr>
        <w:tc>
          <w:tcPr>
            <w:tcW w:w="2457" w:type="dxa"/>
            <w:tcBorders>
              <w:top w:val="single" w:sz="12" w:space="0" w:color="auto"/>
              <w:bottom w:val="single" w:sz="12" w:space="0" w:color="auto"/>
            </w:tcBorders>
            <w:vAlign w:val="center"/>
          </w:tcPr>
          <w:p w14:paraId="40112C19"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环境风险</w:t>
            </w:r>
            <w:r w:rsidRPr="002B55E9">
              <w:rPr>
                <w:rFonts w:cs="宋体"/>
                <w:sz w:val="18"/>
                <w:szCs w:val="18"/>
                <w:lang w:bidi="ne-NP"/>
              </w:rPr>
              <w:t>潜势</w:t>
            </w:r>
          </w:p>
        </w:tc>
        <w:tc>
          <w:tcPr>
            <w:tcW w:w="1795" w:type="dxa"/>
            <w:tcBorders>
              <w:top w:val="single" w:sz="12" w:space="0" w:color="auto"/>
              <w:bottom w:val="single" w:sz="12" w:space="0" w:color="auto"/>
            </w:tcBorders>
            <w:vAlign w:val="center"/>
          </w:tcPr>
          <w:p w14:paraId="6DD5824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Ⅳ、Ⅳ</w:t>
            </w:r>
            <w:r w:rsidRPr="002B55E9">
              <w:rPr>
                <w:rFonts w:cs="宋体" w:hint="eastAsia"/>
                <w:sz w:val="18"/>
                <w:szCs w:val="18"/>
                <w:vertAlign w:val="superscript"/>
                <w:lang w:bidi="ne-NP"/>
              </w:rPr>
              <w:t>+</w:t>
            </w:r>
          </w:p>
        </w:tc>
        <w:tc>
          <w:tcPr>
            <w:tcW w:w="1795" w:type="dxa"/>
            <w:tcBorders>
              <w:top w:val="single" w:sz="12" w:space="0" w:color="auto"/>
              <w:bottom w:val="single" w:sz="12" w:space="0" w:color="auto"/>
            </w:tcBorders>
            <w:vAlign w:val="center"/>
          </w:tcPr>
          <w:p w14:paraId="32F3339C"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Ⅲ</w:t>
            </w:r>
          </w:p>
        </w:tc>
        <w:tc>
          <w:tcPr>
            <w:tcW w:w="1795" w:type="dxa"/>
            <w:tcBorders>
              <w:top w:val="single" w:sz="12" w:space="0" w:color="auto"/>
              <w:bottom w:val="single" w:sz="12" w:space="0" w:color="auto"/>
            </w:tcBorders>
            <w:vAlign w:val="center"/>
          </w:tcPr>
          <w:p w14:paraId="370FB779"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Ⅱ</w:t>
            </w:r>
          </w:p>
        </w:tc>
        <w:tc>
          <w:tcPr>
            <w:tcW w:w="1797" w:type="dxa"/>
            <w:tcBorders>
              <w:top w:val="single" w:sz="12" w:space="0" w:color="auto"/>
              <w:bottom w:val="single" w:sz="12" w:space="0" w:color="auto"/>
            </w:tcBorders>
            <w:vAlign w:val="center"/>
          </w:tcPr>
          <w:p w14:paraId="70FE6197"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Ⅰ</w:t>
            </w:r>
          </w:p>
        </w:tc>
      </w:tr>
      <w:tr w:rsidR="00C60999" w:rsidRPr="002B55E9" w14:paraId="058AF9D0" w14:textId="77777777">
        <w:trPr>
          <w:trHeight w:val="284"/>
        </w:trPr>
        <w:tc>
          <w:tcPr>
            <w:tcW w:w="2457" w:type="dxa"/>
            <w:tcBorders>
              <w:top w:val="single" w:sz="12" w:space="0" w:color="auto"/>
            </w:tcBorders>
            <w:vAlign w:val="center"/>
          </w:tcPr>
          <w:p w14:paraId="21B16011"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评价</w:t>
            </w:r>
            <w:r w:rsidRPr="002B55E9">
              <w:rPr>
                <w:rFonts w:cs="宋体"/>
                <w:sz w:val="18"/>
                <w:szCs w:val="18"/>
                <w:lang w:bidi="ne-NP"/>
              </w:rPr>
              <w:t>工作等级</w:t>
            </w:r>
          </w:p>
        </w:tc>
        <w:tc>
          <w:tcPr>
            <w:tcW w:w="1795" w:type="dxa"/>
            <w:tcBorders>
              <w:top w:val="single" w:sz="12" w:space="0" w:color="auto"/>
            </w:tcBorders>
            <w:vAlign w:val="center"/>
          </w:tcPr>
          <w:p w14:paraId="2CBF241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一</w:t>
            </w:r>
          </w:p>
        </w:tc>
        <w:tc>
          <w:tcPr>
            <w:tcW w:w="1795" w:type="dxa"/>
            <w:tcBorders>
              <w:top w:val="single" w:sz="12" w:space="0" w:color="auto"/>
            </w:tcBorders>
            <w:vAlign w:val="center"/>
          </w:tcPr>
          <w:p w14:paraId="3BD7B3B6"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二</w:t>
            </w:r>
          </w:p>
        </w:tc>
        <w:tc>
          <w:tcPr>
            <w:tcW w:w="1795" w:type="dxa"/>
            <w:tcBorders>
              <w:top w:val="single" w:sz="12" w:space="0" w:color="auto"/>
            </w:tcBorders>
            <w:vAlign w:val="center"/>
          </w:tcPr>
          <w:p w14:paraId="5D16198B"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三</w:t>
            </w:r>
          </w:p>
        </w:tc>
        <w:tc>
          <w:tcPr>
            <w:tcW w:w="1797" w:type="dxa"/>
            <w:tcBorders>
              <w:top w:val="single" w:sz="12" w:space="0" w:color="auto"/>
            </w:tcBorders>
            <w:vAlign w:val="center"/>
          </w:tcPr>
          <w:p w14:paraId="33DECDD3" w14:textId="77777777" w:rsidR="00D170E5" w:rsidRPr="002B55E9" w:rsidRDefault="00EF27AD">
            <w:pPr>
              <w:widowControl/>
              <w:autoSpaceDE w:val="0"/>
              <w:autoSpaceDN w:val="0"/>
              <w:adjustRightInd w:val="0"/>
              <w:snapToGrid w:val="0"/>
              <w:jc w:val="center"/>
              <w:rPr>
                <w:rFonts w:cs="宋体"/>
                <w:sz w:val="18"/>
                <w:szCs w:val="18"/>
                <w:lang w:bidi="ne-NP"/>
              </w:rPr>
            </w:pPr>
            <w:r w:rsidRPr="002B55E9">
              <w:rPr>
                <w:rFonts w:cs="宋体" w:hint="eastAsia"/>
                <w:sz w:val="18"/>
                <w:szCs w:val="18"/>
                <w:lang w:bidi="ne-NP"/>
              </w:rPr>
              <w:t>简单分析</w:t>
            </w:r>
            <w:r w:rsidRPr="002B55E9">
              <w:rPr>
                <w:rFonts w:cs="宋体"/>
                <w:sz w:val="18"/>
                <w:szCs w:val="18"/>
                <w:vertAlign w:val="superscript"/>
                <w:lang w:bidi="ne-NP"/>
              </w:rPr>
              <w:t>a</w:t>
            </w:r>
          </w:p>
        </w:tc>
      </w:tr>
      <w:tr w:rsidR="00C60999" w:rsidRPr="002B55E9" w14:paraId="37C018AB" w14:textId="77777777">
        <w:trPr>
          <w:trHeight w:val="284"/>
        </w:trPr>
        <w:tc>
          <w:tcPr>
            <w:tcW w:w="9639" w:type="dxa"/>
            <w:gridSpan w:val="5"/>
            <w:vAlign w:val="center"/>
          </w:tcPr>
          <w:p w14:paraId="3F9E5217" w14:textId="77777777" w:rsidR="00D170E5" w:rsidRPr="002B55E9" w:rsidRDefault="00EF27AD">
            <w:pPr>
              <w:widowControl/>
              <w:autoSpaceDE w:val="0"/>
              <w:autoSpaceDN w:val="0"/>
              <w:adjustRightInd w:val="0"/>
              <w:snapToGrid w:val="0"/>
              <w:rPr>
                <w:rFonts w:cs="宋体"/>
                <w:sz w:val="18"/>
                <w:szCs w:val="18"/>
                <w:lang w:bidi="ne-NP"/>
              </w:rPr>
            </w:pPr>
            <w:r w:rsidRPr="002B55E9">
              <w:rPr>
                <w:rFonts w:cs="宋体" w:hint="eastAsia"/>
                <w:sz w:val="18"/>
                <w:szCs w:val="18"/>
                <w:lang w:bidi="ne-NP"/>
              </w:rPr>
              <w:t>注</w:t>
            </w:r>
            <w:r w:rsidRPr="002B55E9">
              <w:rPr>
                <w:rFonts w:cs="宋体"/>
                <w:sz w:val="18"/>
                <w:szCs w:val="18"/>
                <w:lang w:bidi="ne-NP"/>
              </w:rPr>
              <w:t>：</w:t>
            </w:r>
            <w:r w:rsidRPr="002B55E9">
              <w:rPr>
                <w:rFonts w:cs="宋体" w:hint="eastAsia"/>
                <w:sz w:val="18"/>
                <w:szCs w:val="18"/>
                <w:lang w:bidi="ne-NP"/>
              </w:rPr>
              <w:t>a</w:t>
            </w:r>
            <w:r w:rsidRPr="002B55E9">
              <w:rPr>
                <w:rFonts w:cs="宋体" w:hint="eastAsia"/>
                <w:sz w:val="18"/>
                <w:szCs w:val="18"/>
                <w:lang w:bidi="ne-NP"/>
              </w:rPr>
              <w:t>是</w:t>
            </w:r>
            <w:r w:rsidRPr="002B55E9">
              <w:rPr>
                <w:rFonts w:cs="宋体"/>
                <w:sz w:val="18"/>
                <w:szCs w:val="18"/>
                <w:lang w:bidi="ne-NP"/>
              </w:rPr>
              <w:t>相对于详细评价工作内容而言，在描述危险物质、环境影响</w:t>
            </w:r>
            <w:r w:rsidRPr="002B55E9">
              <w:rPr>
                <w:rFonts w:cs="宋体" w:hint="eastAsia"/>
                <w:sz w:val="18"/>
                <w:szCs w:val="18"/>
                <w:lang w:bidi="ne-NP"/>
              </w:rPr>
              <w:t>途径</w:t>
            </w:r>
            <w:r w:rsidRPr="002B55E9">
              <w:rPr>
                <w:rFonts w:cs="宋体"/>
                <w:sz w:val="18"/>
                <w:szCs w:val="18"/>
                <w:lang w:bidi="ne-NP"/>
              </w:rPr>
              <w:t>、环境危害后果、风险防范措施等方面给出定性</w:t>
            </w:r>
            <w:r w:rsidRPr="002B55E9">
              <w:rPr>
                <w:rFonts w:cs="宋体" w:hint="eastAsia"/>
                <w:sz w:val="18"/>
                <w:szCs w:val="18"/>
                <w:lang w:bidi="ne-NP"/>
              </w:rPr>
              <w:t>的</w:t>
            </w:r>
            <w:r w:rsidRPr="002B55E9">
              <w:rPr>
                <w:rFonts w:cs="宋体"/>
                <w:sz w:val="18"/>
                <w:szCs w:val="18"/>
                <w:lang w:bidi="ne-NP"/>
              </w:rPr>
              <w:t>说明</w:t>
            </w:r>
            <w:r w:rsidRPr="002B55E9">
              <w:rPr>
                <w:rFonts w:cs="宋体" w:hint="eastAsia"/>
                <w:sz w:val="18"/>
                <w:szCs w:val="18"/>
                <w:lang w:bidi="ne-NP"/>
              </w:rPr>
              <w:t>。</w:t>
            </w:r>
          </w:p>
        </w:tc>
      </w:tr>
    </w:tbl>
    <w:p w14:paraId="5F7F2991"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综上所述，项目大气环境风险潜势为</w:t>
      </w:r>
      <w:r w:rsidRPr="002B55E9">
        <w:rPr>
          <w:rFonts w:ascii="宋体" w:hAnsi="宋体" w:hint="eastAsia"/>
          <w:bCs/>
          <w:snapToGrid w:val="0"/>
          <w:sz w:val="24"/>
        </w:rPr>
        <w:t>Ⅲ</w:t>
      </w:r>
      <w:r w:rsidRPr="002B55E9">
        <w:rPr>
          <w:rFonts w:hint="eastAsia"/>
          <w:bCs/>
          <w:snapToGrid w:val="0"/>
          <w:sz w:val="24"/>
        </w:rPr>
        <w:t>级，对应评价工作等级为二级，地表水和地下水环境风险潜势为</w:t>
      </w:r>
      <w:r w:rsidRPr="002B55E9">
        <w:rPr>
          <w:rFonts w:ascii="宋体" w:hAnsi="宋体" w:hint="eastAsia"/>
          <w:bCs/>
          <w:snapToGrid w:val="0"/>
          <w:sz w:val="24"/>
        </w:rPr>
        <w:t>Ⅰ</w:t>
      </w:r>
      <w:r w:rsidRPr="002B55E9">
        <w:rPr>
          <w:rFonts w:hint="eastAsia"/>
          <w:bCs/>
          <w:snapToGrid w:val="0"/>
          <w:sz w:val="24"/>
        </w:rPr>
        <w:t>级，对应评价工作等级为简单分析。本项目风险潜势最大为</w:t>
      </w:r>
      <w:r w:rsidRPr="002B55E9">
        <w:rPr>
          <w:rFonts w:ascii="宋体" w:hAnsi="宋体" w:hint="eastAsia"/>
          <w:bCs/>
          <w:snapToGrid w:val="0"/>
          <w:sz w:val="24"/>
        </w:rPr>
        <w:t>Ⅲ</w:t>
      </w:r>
      <w:r w:rsidRPr="002B55E9">
        <w:rPr>
          <w:rFonts w:hint="eastAsia"/>
          <w:bCs/>
          <w:snapToGrid w:val="0"/>
          <w:sz w:val="24"/>
        </w:rPr>
        <w:t>级，因此环境风险评价工作等级为二级。本项目环境风险评价范围如下表。</w:t>
      </w:r>
    </w:p>
    <w:p w14:paraId="2C6A8A86" w14:textId="77777777" w:rsidR="00D170E5" w:rsidRPr="002B55E9" w:rsidRDefault="00EF27AD">
      <w:pPr>
        <w:spacing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w:t>
      </w:r>
      <w:r w:rsidRPr="002B55E9">
        <w:rPr>
          <w:rFonts w:eastAsia="黑体"/>
          <w:b/>
          <w:sz w:val="24"/>
        </w:rPr>
        <w:t>3</w:t>
      </w:r>
      <w:r w:rsidRPr="002B55E9">
        <w:rPr>
          <w:rFonts w:eastAsia="黑体" w:hint="eastAsia"/>
          <w:b/>
          <w:sz w:val="24"/>
        </w:rPr>
        <w:t>-</w:t>
      </w:r>
      <w:r w:rsidRPr="002B55E9">
        <w:rPr>
          <w:rFonts w:eastAsia="黑体"/>
          <w:b/>
          <w:sz w:val="24"/>
        </w:rPr>
        <w:t>2</w:t>
      </w:r>
      <w:r w:rsidRPr="002B55E9">
        <w:rPr>
          <w:rFonts w:eastAsia="黑体" w:hint="eastAsia"/>
          <w:b/>
          <w:sz w:val="24"/>
        </w:rPr>
        <w:t xml:space="preserve">  </w:t>
      </w:r>
      <w:r w:rsidRPr="002B55E9">
        <w:rPr>
          <w:rFonts w:eastAsia="黑体" w:hint="eastAsia"/>
          <w:b/>
          <w:sz w:val="24"/>
        </w:rPr>
        <w:t>建设项目环境</w:t>
      </w:r>
      <w:r w:rsidRPr="002B55E9">
        <w:rPr>
          <w:rFonts w:eastAsia="黑体"/>
          <w:b/>
          <w:sz w:val="24"/>
        </w:rPr>
        <w:t>风险</w:t>
      </w:r>
      <w:r w:rsidRPr="002B55E9">
        <w:rPr>
          <w:rFonts w:eastAsia="黑体" w:hint="eastAsia"/>
          <w:b/>
          <w:sz w:val="24"/>
        </w:rPr>
        <w:t>评价范围</w:t>
      </w:r>
      <w:r w:rsidRPr="002B55E9">
        <w:rPr>
          <w:rFonts w:eastAsia="黑体"/>
          <w:b/>
          <w:sz w:val="24"/>
        </w:rPr>
        <w:t>划分表</w:t>
      </w:r>
    </w:p>
    <w:tbl>
      <w:tblPr>
        <w:tblStyle w:val="lgy2"/>
        <w:tblW w:w="5000" w:type="pct"/>
        <w:tblLayout w:type="fixed"/>
        <w:tblCellMar>
          <w:left w:w="28" w:type="dxa"/>
          <w:right w:w="28" w:type="dxa"/>
        </w:tblCellMar>
        <w:tblLook w:val="04A0" w:firstRow="1" w:lastRow="0" w:firstColumn="1" w:lastColumn="0" w:noHBand="0" w:noVBand="1"/>
      </w:tblPr>
      <w:tblGrid>
        <w:gridCol w:w="2567"/>
        <w:gridCol w:w="2281"/>
        <w:gridCol w:w="4845"/>
      </w:tblGrid>
      <w:tr w:rsidR="00C60999" w:rsidRPr="002B55E9" w14:paraId="6D449839"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2552" w:type="dxa"/>
          </w:tcPr>
          <w:p w14:paraId="0E511145" w14:textId="77777777" w:rsidR="00D170E5" w:rsidRPr="002B55E9" w:rsidRDefault="00EF27AD" w:rsidP="00712630">
            <w:pPr>
              <w:pStyle w:val="lgy-"/>
              <w:rPr>
                <w:lang w:bidi="ne-NP"/>
              </w:rPr>
            </w:pPr>
            <w:r w:rsidRPr="002B55E9">
              <w:rPr>
                <w:rFonts w:eastAsia="宋体" w:hint="eastAsia"/>
                <w:lang w:bidi="ne-NP"/>
              </w:rPr>
              <w:t>环境要素</w:t>
            </w:r>
          </w:p>
        </w:tc>
        <w:tc>
          <w:tcPr>
            <w:tcW w:w="2268" w:type="dxa"/>
          </w:tcPr>
          <w:p w14:paraId="57104EB2" w14:textId="77777777" w:rsidR="00D170E5" w:rsidRPr="002B55E9" w:rsidRDefault="00EF27AD">
            <w:pPr>
              <w:pStyle w:val="lgy-"/>
              <w:rPr>
                <w:lang w:bidi="ne-NP"/>
              </w:rPr>
            </w:pPr>
            <w:r w:rsidRPr="002B55E9">
              <w:rPr>
                <w:rFonts w:eastAsia="宋体" w:hint="eastAsia"/>
                <w:lang w:bidi="ne-NP"/>
              </w:rPr>
              <w:t>评价依据</w:t>
            </w:r>
          </w:p>
        </w:tc>
        <w:tc>
          <w:tcPr>
            <w:tcW w:w="4817" w:type="dxa"/>
          </w:tcPr>
          <w:p w14:paraId="27A7D935" w14:textId="77777777" w:rsidR="00D170E5" w:rsidRPr="002B55E9" w:rsidRDefault="00EF27AD">
            <w:pPr>
              <w:pStyle w:val="lgy-"/>
              <w:rPr>
                <w:rFonts w:eastAsia="宋体"/>
                <w:lang w:bidi="ne-NP"/>
              </w:rPr>
            </w:pPr>
            <w:r w:rsidRPr="002B55E9">
              <w:rPr>
                <w:rFonts w:eastAsia="宋体" w:hint="eastAsia"/>
                <w:lang w:bidi="ne-NP"/>
              </w:rPr>
              <w:t>评价范围</w:t>
            </w:r>
          </w:p>
        </w:tc>
      </w:tr>
      <w:tr w:rsidR="00C60999" w:rsidRPr="002B55E9" w14:paraId="77159E61" w14:textId="77777777" w:rsidTr="00712630">
        <w:trPr>
          <w:trHeight w:val="283"/>
        </w:trPr>
        <w:tc>
          <w:tcPr>
            <w:tcW w:w="2552" w:type="dxa"/>
          </w:tcPr>
          <w:p w14:paraId="7B90B7F7" w14:textId="77777777" w:rsidR="00D170E5" w:rsidRPr="002B55E9" w:rsidRDefault="00EF27AD">
            <w:pPr>
              <w:pStyle w:val="lgy-"/>
              <w:rPr>
                <w:lang w:bidi="ne-NP"/>
              </w:rPr>
            </w:pPr>
            <w:r w:rsidRPr="002B55E9">
              <w:rPr>
                <w:rFonts w:eastAsia="宋体" w:hint="eastAsia"/>
                <w:lang w:bidi="ne-NP"/>
              </w:rPr>
              <w:t>大气环境风险</w:t>
            </w:r>
            <w:r w:rsidRPr="002B55E9">
              <w:rPr>
                <w:rFonts w:eastAsia="宋体" w:hint="eastAsia"/>
                <w:lang w:bidi="ne-NP"/>
              </w:rPr>
              <w:t xml:space="preserve"> </w:t>
            </w:r>
          </w:p>
        </w:tc>
        <w:tc>
          <w:tcPr>
            <w:tcW w:w="2268" w:type="dxa"/>
          </w:tcPr>
          <w:p w14:paraId="79EE8945" w14:textId="77777777" w:rsidR="00D170E5" w:rsidRPr="002B55E9" w:rsidRDefault="00EF27AD">
            <w:pPr>
              <w:pStyle w:val="lgy-"/>
              <w:rPr>
                <w:lang w:bidi="ne-NP"/>
              </w:rPr>
            </w:pPr>
            <w:r w:rsidRPr="002B55E9">
              <w:rPr>
                <w:rFonts w:eastAsia="宋体"/>
                <w:lang w:bidi="ne-NP"/>
              </w:rPr>
              <w:t>HJ169-2018</w:t>
            </w:r>
          </w:p>
        </w:tc>
        <w:tc>
          <w:tcPr>
            <w:tcW w:w="4817" w:type="dxa"/>
          </w:tcPr>
          <w:p w14:paraId="4F1516B9" w14:textId="77777777" w:rsidR="00D170E5" w:rsidRPr="002B55E9" w:rsidRDefault="00EF27AD">
            <w:pPr>
              <w:pStyle w:val="lgy-"/>
              <w:rPr>
                <w:rFonts w:eastAsia="宋体"/>
                <w:lang w:bidi="ne-NP"/>
              </w:rPr>
            </w:pPr>
            <w:r w:rsidRPr="002B55E9">
              <w:rPr>
                <w:rFonts w:eastAsia="宋体" w:hint="eastAsia"/>
                <w:lang w:bidi="ne-NP"/>
              </w:rPr>
              <w:t>距本项目边界</w:t>
            </w:r>
            <w:r w:rsidRPr="002B55E9">
              <w:rPr>
                <w:rFonts w:eastAsia="宋体"/>
                <w:lang w:bidi="ne-NP"/>
              </w:rPr>
              <w:t>5km</w:t>
            </w:r>
            <w:r w:rsidRPr="002B55E9">
              <w:rPr>
                <w:rFonts w:eastAsia="宋体" w:hint="eastAsia"/>
                <w:lang w:bidi="ne-NP"/>
              </w:rPr>
              <w:t>范围</w:t>
            </w:r>
          </w:p>
        </w:tc>
      </w:tr>
      <w:tr w:rsidR="00C60999" w:rsidRPr="002B55E9" w14:paraId="69A14D2C" w14:textId="77777777" w:rsidTr="00712630">
        <w:trPr>
          <w:trHeight w:val="283"/>
        </w:trPr>
        <w:tc>
          <w:tcPr>
            <w:tcW w:w="2552" w:type="dxa"/>
          </w:tcPr>
          <w:p w14:paraId="1369F404" w14:textId="77777777" w:rsidR="00D170E5" w:rsidRPr="002B55E9" w:rsidRDefault="00EF27AD">
            <w:pPr>
              <w:pStyle w:val="lgy-"/>
              <w:rPr>
                <w:lang w:bidi="ne-NP"/>
              </w:rPr>
            </w:pPr>
            <w:r w:rsidRPr="002B55E9">
              <w:rPr>
                <w:rFonts w:eastAsia="宋体" w:hint="eastAsia"/>
                <w:lang w:bidi="ne-NP"/>
              </w:rPr>
              <w:t>地表水环境风险</w:t>
            </w:r>
          </w:p>
        </w:tc>
        <w:tc>
          <w:tcPr>
            <w:tcW w:w="2268" w:type="dxa"/>
          </w:tcPr>
          <w:p w14:paraId="62C2EBD5" w14:textId="77777777" w:rsidR="00D170E5" w:rsidRPr="002B55E9" w:rsidRDefault="00EF27AD">
            <w:pPr>
              <w:pStyle w:val="lgy-"/>
              <w:rPr>
                <w:lang w:bidi="ne-NP"/>
              </w:rPr>
            </w:pPr>
            <w:r w:rsidRPr="002B55E9">
              <w:rPr>
                <w:rFonts w:eastAsia="宋体"/>
                <w:lang w:bidi="ne-NP"/>
              </w:rPr>
              <w:t>HJ2.3-2018</w:t>
            </w:r>
          </w:p>
        </w:tc>
        <w:tc>
          <w:tcPr>
            <w:tcW w:w="4817" w:type="dxa"/>
          </w:tcPr>
          <w:p w14:paraId="6ADE34ED" w14:textId="77777777" w:rsidR="00D170E5" w:rsidRPr="002B55E9" w:rsidRDefault="00EF27AD">
            <w:pPr>
              <w:pStyle w:val="lgy-"/>
              <w:rPr>
                <w:rFonts w:eastAsia="宋体"/>
                <w:lang w:bidi="ne-NP"/>
              </w:rPr>
            </w:pPr>
            <w:r w:rsidRPr="002B55E9">
              <w:rPr>
                <w:rFonts w:eastAsia="宋体" w:hint="eastAsia"/>
              </w:rPr>
              <w:t>/</w:t>
            </w:r>
          </w:p>
        </w:tc>
      </w:tr>
      <w:tr w:rsidR="00C60999" w:rsidRPr="002B55E9" w14:paraId="5A0D3530" w14:textId="77777777" w:rsidTr="00712630">
        <w:trPr>
          <w:trHeight w:val="283"/>
        </w:trPr>
        <w:tc>
          <w:tcPr>
            <w:tcW w:w="2552" w:type="dxa"/>
          </w:tcPr>
          <w:p w14:paraId="6C1A9288" w14:textId="77777777" w:rsidR="00D170E5" w:rsidRPr="002B55E9" w:rsidRDefault="00EF27AD">
            <w:pPr>
              <w:pStyle w:val="lgy-"/>
              <w:rPr>
                <w:lang w:bidi="ne-NP"/>
              </w:rPr>
            </w:pPr>
            <w:r w:rsidRPr="002B55E9">
              <w:rPr>
                <w:rFonts w:eastAsia="宋体" w:hint="eastAsia"/>
                <w:lang w:bidi="ne-NP"/>
              </w:rPr>
              <w:t>地下水环境风险</w:t>
            </w:r>
          </w:p>
        </w:tc>
        <w:tc>
          <w:tcPr>
            <w:tcW w:w="2268" w:type="dxa"/>
          </w:tcPr>
          <w:p w14:paraId="52746DC8" w14:textId="77777777" w:rsidR="00D170E5" w:rsidRPr="002B55E9" w:rsidRDefault="00EF27AD">
            <w:pPr>
              <w:pStyle w:val="lgy-"/>
              <w:rPr>
                <w:lang w:bidi="ne-NP"/>
              </w:rPr>
            </w:pPr>
            <w:r w:rsidRPr="002B55E9">
              <w:rPr>
                <w:rFonts w:eastAsia="宋体"/>
                <w:lang w:bidi="ne-NP"/>
              </w:rPr>
              <w:t>HJ610-2016</w:t>
            </w:r>
          </w:p>
        </w:tc>
        <w:tc>
          <w:tcPr>
            <w:tcW w:w="4817" w:type="dxa"/>
          </w:tcPr>
          <w:p w14:paraId="57A46D98" w14:textId="77777777" w:rsidR="00D170E5" w:rsidRPr="002B55E9" w:rsidRDefault="00EF27AD">
            <w:pPr>
              <w:pStyle w:val="lgy-"/>
              <w:rPr>
                <w:rFonts w:eastAsia="宋体"/>
                <w:vertAlign w:val="superscript"/>
                <w:lang w:bidi="ne-NP"/>
              </w:rPr>
            </w:pPr>
            <w:r w:rsidRPr="002B55E9">
              <w:rPr>
                <w:rFonts w:eastAsia="宋体" w:hint="eastAsia"/>
                <w:lang w:bidi="ne-NP"/>
              </w:rPr>
              <w:t>/</w:t>
            </w:r>
          </w:p>
        </w:tc>
      </w:tr>
      <w:tr w:rsidR="00C60999" w:rsidRPr="002B55E9" w14:paraId="6A6452C1" w14:textId="77777777" w:rsidTr="00712630">
        <w:trPr>
          <w:trHeight w:val="283"/>
        </w:trPr>
        <w:tc>
          <w:tcPr>
            <w:tcW w:w="9637" w:type="dxa"/>
            <w:gridSpan w:val="3"/>
          </w:tcPr>
          <w:p w14:paraId="47BE4B87" w14:textId="77777777" w:rsidR="00D170E5" w:rsidRPr="002B55E9" w:rsidRDefault="00EF27AD">
            <w:pPr>
              <w:pStyle w:val="lgy-"/>
              <w:jc w:val="left"/>
              <w:rPr>
                <w:rFonts w:eastAsia="宋体"/>
                <w:lang w:bidi="ne-NP"/>
              </w:rPr>
            </w:pPr>
            <w:r w:rsidRPr="002B55E9">
              <w:rPr>
                <w:rFonts w:eastAsia="宋体"/>
                <w:lang w:bidi="ne-NP"/>
              </w:rPr>
              <w:t>注：</w:t>
            </w:r>
            <w:r w:rsidRPr="002B55E9">
              <w:rPr>
                <w:rFonts w:eastAsia="宋体"/>
                <w:lang w:bidi="ne-NP"/>
              </w:rPr>
              <w:t xml:space="preserve">a </w:t>
            </w:r>
            <w:r w:rsidRPr="002B55E9">
              <w:rPr>
                <w:rFonts w:eastAsia="宋体"/>
                <w:lang w:bidi="ne-NP"/>
              </w:rPr>
              <w:t>环境风险评价范围应根据环境敏感目标分布情况、事故后果预测可能对环境产生危害的范围等综合确定。项目周边所在区域，评价范围外存在需要特别关注的环境敏感目标，评价范围需延伸至所关心的目标。</w:t>
            </w:r>
            <w:r w:rsidRPr="002B55E9">
              <w:rPr>
                <w:rFonts w:eastAsia="宋体"/>
                <w:lang w:bidi="ne-NP"/>
              </w:rPr>
              <w:t xml:space="preserve">b </w:t>
            </w:r>
            <w:r w:rsidRPr="002B55E9">
              <w:rPr>
                <w:rFonts w:eastAsia="宋体"/>
                <w:lang w:bidi="ne-NP"/>
              </w:rPr>
              <w:t>当大气毒性终点浓度预测到达距离超出评价范围时，应根据预测到达距离进一步调整评价范围。</w:t>
            </w:r>
          </w:p>
        </w:tc>
      </w:tr>
    </w:tbl>
    <w:p w14:paraId="25C7B8B7" w14:textId="77777777" w:rsidR="00D170E5" w:rsidRPr="002B55E9" w:rsidRDefault="00EF27AD">
      <w:pPr>
        <w:pStyle w:val="3"/>
      </w:pPr>
      <w:bookmarkStart w:id="244" w:name="_Toc119309004"/>
      <w:r w:rsidRPr="002B55E9">
        <w:rPr>
          <w:rFonts w:hint="eastAsia"/>
        </w:rPr>
        <w:t>风险识别</w:t>
      </w:r>
      <w:bookmarkEnd w:id="244"/>
    </w:p>
    <w:p w14:paraId="7A060EF5" w14:textId="77777777" w:rsidR="00D170E5" w:rsidRPr="002B55E9" w:rsidRDefault="00EF27AD">
      <w:pPr>
        <w:pStyle w:val="4"/>
        <w:rPr>
          <w:color w:val="auto"/>
        </w:rPr>
      </w:pPr>
      <w:r w:rsidRPr="002B55E9">
        <w:rPr>
          <w:rFonts w:hint="eastAsia"/>
          <w:color w:val="auto"/>
        </w:rPr>
        <w:t>物质危险性识别</w:t>
      </w:r>
    </w:p>
    <w:p w14:paraId="5578BBF9" w14:textId="77777777" w:rsidR="00D170E5" w:rsidRPr="002B55E9" w:rsidRDefault="00EF27AD">
      <w:pPr>
        <w:pStyle w:val="affff7"/>
        <w:snapToGrid w:val="0"/>
        <w:spacing w:after="0"/>
      </w:pPr>
      <w:r w:rsidRPr="002B55E9">
        <w:rPr>
          <w:rFonts w:hint="eastAsia"/>
          <w:lang w:val="zh-CN"/>
        </w:rPr>
        <w:t>根据环境风险调查识别出的环境风险物质，对照《危险化学品目录》（</w:t>
      </w:r>
      <w:r w:rsidRPr="002B55E9">
        <w:rPr>
          <w:rFonts w:hint="eastAsia"/>
          <w:lang w:val="zh-CN"/>
        </w:rPr>
        <w:t>2015</w:t>
      </w:r>
      <w:r w:rsidRPr="002B55E9">
        <w:rPr>
          <w:rFonts w:hint="eastAsia"/>
          <w:lang w:val="zh-CN"/>
        </w:rPr>
        <w:t>版）和《危险货物品名表》（</w:t>
      </w:r>
      <w:r w:rsidRPr="002B55E9">
        <w:rPr>
          <w:rFonts w:hint="eastAsia"/>
          <w:lang w:val="zh-CN"/>
        </w:rPr>
        <w:t>GB12268-2012</w:t>
      </w:r>
      <w:r w:rsidRPr="002B55E9">
        <w:rPr>
          <w:rFonts w:hint="eastAsia"/>
          <w:lang w:val="zh-CN"/>
        </w:rPr>
        <w:t>），各危险物质的危险性识别如下</w:t>
      </w:r>
      <w:r w:rsidRPr="002B55E9">
        <w:rPr>
          <w:rFonts w:hint="eastAsia"/>
        </w:rPr>
        <w:t>。</w:t>
      </w:r>
    </w:p>
    <w:p w14:paraId="13D019C0" w14:textId="77777777" w:rsidR="00DA7812" w:rsidRPr="002B55E9" w:rsidRDefault="00DA7812">
      <w:pPr>
        <w:pStyle w:val="affff7"/>
        <w:snapToGrid w:val="0"/>
        <w:spacing w:after="0"/>
      </w:pPr>
    </w:p>
    <w:p w14:paraId="31788982" w14:textId="77777777" w:rsidR="00DA7812" w:rsidRPr="002B55E9" w:rsidRDefault="00DA7812">
      <w:pPr>
        <w:pStyle w:val="affff7"/>
        <w:snapToGrid w:val="0"/>
        <w:spacing w:after="0"/>
      </w:pPr>
    </w:p>
    <w:p w14:paraId="784000E3" w14:textId="77777777" w:rsidR="00DA7812" w:rsidRPr="002B55E9" w:rsidRDefault="00DA7812">
      <w:pPr>
        <w:pStyle w:val="affff7"/>
        <w:snapToGrid w:val="0"/>
        <w:spacing w:after="0"/>
      </w:pPr>
    </w:p>
    <w:p w14:paraId="4A6EFB4D" w14:textId="77777777" w:rsidR="00DA7812" w:rsidRPr="002B55E9" w:rsidRDefault="00DA7812">
      <w:pPr>
        <w:pStyle w:val="affff7"/>
        <w:snapToGrid w:val="0"/>
        <w:spacing w:after="0"/>
      </w:pPr>
    </w:p>
    <w:p w14:paraId="1EAB961C" w14:textId="77777777" w:rsidR="00DA7812" w:rsidRPr="002B55E9" w:rsidRDefault="00DA7812">
      <w:pPr>
        <w:pStyle w:val="affff7"/>
        <w:snapToGrid w:val="0"/>
        <w:spacing w:after="0"/>
      </w:pPr>
    </w:p>
    <w:p w14:paraId="37AA818B"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lastRenderedPageBreak/>
        <w:t>表</w:t>
      </w:r>
      <w:r w:rsidRPr="002B55E9">
        <w:rPr>
          <w:rFonts w:eastAsia="黑体" w:hint="eastAsia"/>
          <w:b/>
          <w:sz w:val="24"/>
          <w:szCs w:val="28"/>
        </w:rPr>
        <w:t xml:space="preserve">6-4-1  </w:t>
      </w:r>
      <w:r w:rsidRPr="002B55E9">
        <w:rPr>
          <w:rFonts w:eastAsia="黑体" w:hint="eastAsia"/>
          <w:b/>
          <w:sz w:val="24"/>
          <w:szCs w:val="28"/>
        </w:rPr>
        <w:t>本项目危险物质危险性一览表</w:t>
      </w:r>
    </w:p>
    <w:tbl>
      <w:tblPr>
        <w:tblStyle w:val="lgy2"/>
        <w:tblW w:w="5000" w:type="pct"/>
        <w:tblLayout w:type="fixed"/>
        <w:tblCellMar>
          <w:left w:w="28" w:type="dxa"/>
          <w:right w:w="28" w:type="dxa"/>
        </w:tblCellMar>
        <w:tblLook w:val="04A0" w:firstRow="1" w:lastRow="0" w:firstColumn="1" w:lastColumn="0" w:noHBand="0" w:noVBand="1"/>
      </w:tblPr>
      <w:tblGrid>
        <w:gridCol w:w="449"/>
        <w:gridCol w:w="1277"/>
        <w:gridCol w:w="933"/>
        <w:gridCol w:w="700"/>
        <w:gridCol w:w="838"/>
        <w:gridCol w:w="899"/>
        <w:gridCol w:w="675"/>
        <w:gridCol w:w="1120"/>
        <w:gridCol w:w="1034"/>
        <w:gridCol w:w="876"/>
        <w:gridCol w:w="892"/>
      </w:tblGrid>
      <w:tr w:rsidR="00C60999" w:rsidRPr="002B55E9" w14:paraId="653CB471" w14:textId="77777777" w:rsidTr="00362261">
        <w:trPr>
          <w:cnfStyle w:val="100000000000" w:firstRow="1" w:lastRow="0" w:firstColumn="0" w:lastColumn="0" w:oddVBand="0" w:evenVBand="0" w:oddHBand="0" w:evenHBand="0" w:firstRowFirstColumn="0" w:firstRowLastColumn="0" w:lastRowFirstColumn="0" w:lastRowLastColumn="0"/>
          <w:trHeight w:val="283"/>
        </w:trPr>
        <w:tc>
          <w:tcPr>
            <w:tcW w:w="445" w:type="dxa"/>
          </w:tcPr>
          <w:p w14:paraId="23389561" w14:textId="77777777" w:rsidR="00D170E5" w:rsidRPr="002B55E9" w:rsidRDefault="00EF27AD" w:rsidP="00362261">
            <w:pPr>
              <w:pStyle w:val="lgy-"/>
              <w:rPr>
                <w:rFonts w:eastAsia="宋体"/>
              </w:rPr>
            </w:pPr>
            <w:r w:rsidRPr="002B55E9">
              <w:rPr>
                <w:rFonts w:eastAsia="宋体"/>
                <w:lang w:bidi="ar"/>
              </w:rPr>
              <w:t>序号</w:t>
            </w:r>
          </w:p>
        </w:tc>
        <w:tc>
          <w:tcPr>
            <w:tcW w:w="1270" w:type="dxa"/>
          </w:tcPr>
          <w:p w14:paraId="4CC76295" w14:textId="77777777" w:rsidR="00D170E5" w:rsidRPr="002B55E9" w:rsidRDefault="00EF27AD" w:rsidP="00362261">
            <w:pPr>
              <w:pStyle w:val="lgy-"/>
              <w:rPr>
                <w:rFonts w:eastAsia="宋体"/>
              </w:rPr>
            </w:pPr>
            <w:r w:rsidRPr="002B55E9">
              <w:rPr>
                <w:rFonts w:eastAsia="宋体"/>
                <w:lang w:bidi="ar"/>
              </w:rPr>
              <w:t>危险物质名称</w:t>
            </w:r>
          </w:p>
        </w:tc>
        <w:tc>
          <w:tcPr>
            <w:tcW w:w="928" w:type="dxa"/>
          </w:tcPr>
          <w:p w14:paraId="181DDEC0" w14:textId="77777777" w:rsidR="00D170E5" w:rsidRPr="002B55E9" w:rsidRDefault="00EF27AD" w:rsidP="00362261">
            <w:pPr>
              <w:pStyle w:val="lgy-"/>
              <w:rPr>
                <w:rFonts w:eastAsia="宋体"/>
              </w:rPr>
            </w:pPr>
            <w:r w:rsidRPr="002B55E9">
              <w:rPr>
                <w:rFonts w:eastAsia="宋体"/>
                <w:lang w:bidi="ar"/>
              </w:rPr>
              <w:t>CAS</w:t>
            </w:r>
            <w:r w:rsidRPr="002B55E9">
              <w:rPr>
                <w:rFonts w:eastAsia="宋体"/>
                <w:lang w:bidi="ar"/>
              </w:rPr>
              <w:t>号</w:t>
            </w:r>
          </w:p>
        </w:tc>
        <w:tc>
          <w:tcPr>
            <w:tcW w:w="696" w:type="dxa"/>
          </w:tcPr>
          <w:p w14:paraId="4CF71F73" w14:textId="77777777" w:rsidR="00D170E5" w:rsidRPr="002B55E9" w:rsidRDefault="00EF27AD" w:rsidP="00362261">
            <w:pPr>
              <w:pStyle w:val="lgy-"/>
              <w:rPr>
                <w:rFonts w:eastAsia="宋体"/>
              </w:rPr>
            </w:pPr>
            <w:r w:rsidRPr="002B55E9">
              <w:rPr>
                <w:rFonts w:eastAsia="宋体"/>
                <w:lang w:bidi="ar"/>
              </w:rPr>
              <w:t>UN</w:t>
            </w:r>
            <w:r w:rsidRPr="002B55E9">
              <w:rPr>
                <w:rFonts w:eastAsia="宋体"/>
                <w:lang w:bidi="ar"/>
              </w:rPr>
              <w:t>号</w:t>
            </w:r>
          </w:p>
        </w:tc>
        <w:tc>
          <w:tcPr>
            <w:tcW w:w="833" w:type="dxa"/>
          </w:tcPr>
          <w:p w14:paraId="3F7E655B" w14:textId="77777777" w:rsidR="00D170E5" w:rsidRPr="002B55E9" w:rsidRDefault="00EF27AD" w:rsidP="00362261">
            <w:pPr>
              <w:pStyle w:val="lgy-"/>
              <w:rPr>
                <w:rFonts w:eastAsia="宋体"/>
              </w:rPr>
            </w:pPr>
            <w:r w:rsidRPr="002B55E9">
              <w:rPr>
                <w:rFonts w:eastAsia="宋体"/>
                <w:lang w:bidi="ar"/>
              </w:rPr>
              <w:t>主要危险性类别</w:t>
            </w:r>
          </w:p>
        </w:tc>
        <w:tc>
          <w:tcPr>
            <w:tcW w:w="894" w:type="dxa"/>
          </w:tcPr>
          <w:p w14:paraId="6F032115" w14:textId="77777777" w:rsidR="00D170E5" w:rsidRPr="002B55E9" w:rsidRDefault="00EF27AD" w:rsidP="00362261">
            <w:pPr>
              <w:pStyle w:val="lgy-"/>
              <w:rPr>
                <w:rFonts w:eastAsia="宋体"/>
              </w:rPr>
            </w:pPr>
            <w:r w:rsidRPr="002B55E9">
              <w:rPr>
                <w:rFonts w:eastAsia="宋体"/>
                <w:lang w:bidi="ar"/>
              </w:rPr>
              <w:t>次要危险性类别</w:t>
            </w:r>
          </w:p>
        </w:tc>
        <w:tc>
          <w:tcPr>
            <w:tcW w:w="671" w:type="dxa"/>
          </w:tcPr>
          <w:p w14:paraId="66191857" w14:textId="77777777" w:rsidR="00D170E5" w:rsidRPr="002B55E9" w:rsidRDefault="00EF27AD" w:rsidP="00362261">
            <w:pPr>
              <w:pStyle w:val="lgy-"/>
              <w:rPr>
                <w:rFonts w:eastAsia="宋体"/>
              </w:rPr>
            </w:pPr>
            <w:r w:rsidRPr="002B55E9">
              <w:rPr>
                <w:rFonts w:eastAsia="宋体"/>
                <w:lang w:bidi="ar"/>
              </w:rPr>
              <w:t>包装类别</w:t>
            </w:r>
          </w:p>
        </w:tc>
        <w:tc>
          <w:tcPr>
            <w:tcW w:w="1114" w:type="dxa"/>
          </w:tcPr>
          <w:p w14:paraId="6BC7A93B" w14:textId="77777777" w:rsidR="00D170E5" w:rsidRPr="002B55E9" w:rsidRDefault="00EF27AD" w:rsidP="00362261">
            <w:pPr>
              <w:pStyle w:val="lgy-"/>
              <w:rPr>
                <w:rFonts w:eastAsia="宋体"/>
              </w:rPr>
            </w:pPr>
            <w:r w:rsidRPr="002B55E9">
              <w:rPr>
                <w:rFonts w:eastAsia="宋体"/>
                <w:lang w:bidi="ar"/>
              </w:rPr>
              <w:t>主要危险性</w:t>
            </w:r>
          </w:p>
        </w:tc>
        <w:tc>
          <w:tcPr>
            <w:tcW w:w="1028" w:type="dxa"/>
          </w:tcPr>
          <w:p w14:paraId="65B41E4A" w14:textId="77777777" w:rsidR="00D170E5" w:rsidRPr="002B55E9" w:rsidRDefault="00EF27AD" w:rsidP="00362261">
            <w:pPr>
              <w:pStyle w:val="lgy-"/>
              <w:rPr>
                <w:rFonts w:eastAsia="宋体"/>
              </w:rPr>
            </w:pPr>
            <w:r w:rsidRPr="002B55E9">
              <w:rPr>
                <w:rFonts w:eastAsia="宋体"/>
                <w:lang w:bidi="ar"/>
              </w:rPr>
              <w:t>次要危险性</w:t>
            </w:r>
          </w:p>
        </w:tc>
        <w:tc>
          <w:tcPr>
            <w:tcW w:w="871" w:type="dxa"/>
          </w:tcPr>
          <w:p w14:paraId="49FADF6A" w14:textId="77777777" w:rsidR="00D170E5" w:rsidRPr="002B55E9" w:rsidRDefault="00EF27AD" w:rsidP="00362261">
            <w:pPr>
              <w:pStyle w:val="lgy-"/>
              <w:rPr>
                <w:rFonts w:eastAsia="宋体"/>
              </w:rPr>
            </w:pPr>
            <w:r w:rsidRPr="002B55E9">
              <w:rPr>
                <w:rFonts w:eastAsia="宋体"/>
                <w:lang w:bidi="ar"/>
              </w:rPr>
              <w:t>毒性终点浓度</w:t>
            </w:r>
            <w:r w:rsidRPr="002B55E9">
              <w:rPr>
                <w:rFonts w:eastAsia="宋体"/>
                <w:lang w:bidi="ar"/>
              </w:rPr>
              <w:t>-1/</w:t>
            </w:r>
            <w:r w:rsidRPr="002B55E9">
              <w:rPr>
                <w:rFonts w:eastAsia="宋体" w:hint="eastAsia"/>
                <w:lang w:bidi="ar"/>
              </w:rPr>
              <w:t>(</w:t>
            </w:r>
            <w:r w:rsidRPr="002B55E9">
              <w:rPr>
                <w:rFonts w:eastAsia="宋体"/>
                <w:lang w:bidi="ar"/>
              </w:rPr>
              <w:t>mg/m</w:t>
            </w:r>
            <w:r w:rsidRPr="002B55E9">
              <w:rPr>
                <w:rFonts w:eastAsia="宋体"/>
                <w:vertAlign w:val="superscript"/>
                <w:lang w:bidi="ar"/>
              </w:rPr>
              <w:t>3</w:t>
            </w:r>
            <w:r w:rsidRPr="002B55E9">
              <w:rPr>
                <w:rFonts w:eastAsia="宋体" w:hint="eastAsia"/>
                <w:lang w:bidi="ar"/>
              </w:rPr>
              <w:t>)</w:t>
            </w:r>
          </w:p>
        </w:tc>
        <w:tc>
          <w:tcPr>
            <w:tcW w:w="887" w:type="dxa"/>
          </w:tcPr>
          <w:p w14:paraId="3859B9E1" w14:textId="77777777" w:rsidR="00D170E5" w:rsidRPr="002B55E9" w:rsidRDefault="00EF27AD" w:rsidP="00362261">
            <w:pPr>
              <w:pStyle w:val="lgy-"/>
              <w:rPr>
                <w:rFonts w:eastAsia="宋体"/>
              </w:rPr>
            </w:pPr>
            <w:r w:rsidRPr="002B55E9">
              <w:rPr>
                <w:rFonts w:eastAsia="宋体"/>
                <w:lang w:bidi="ar"/>
              </w:rPr>
              <w:t>毒性终点浓度</w:t>
            </w:r>
            <w:r w:rsidRPr="002B55E9">
              <w:rPr>
                <w:rFonts w:eastAsia="宋体"/>
                <w:lang w:bidi="ar"/>
              </w:rPr>
              <w:t>-2/</w:t>
            </w:r>
            <w:r w:rsidRPr="002B55E9">
              <w:rPr>
                <w:rFonts w:eastAsia="宋体" w:hint="eastAsia"/>
                <w:lang w:bidi="ar"/>
              </w:rPr>
              <w:t>(</w:t>
            </w:r>
            <w:r w:rsidRPr="002B55E9">
              <w:rPr>
                <w:rFonts w:eastAsia="宋体"/>
                <w:lang w:bidi="ar"/>
              </w:rPr>
              <w:t>mg/m</w:t>
            </w:r>
            <w:r w:rsidRPr="002B55E9">
              <w:rPr>
                <w:rFonts w:eastAsia="宋体"/>
                <w:vertAlign w:val="superscript"/>
                <w:lang w:bidi="ar"/>
              </w:rPr>
              <w:t>3</w:t>
            </w:r>
            <w:r w:rsidRPr="002B55E9">
              <w:rPr>
                <w:rFonts w:eastAsia="宋体" w:hint="eastAsia"/>
                <w:lang w:bidi="ar"/>
              </w:rPr>
              <w:t>)</w:t>
            </w:r>
          </w:p>
        </w:tc>
      </w:tr>
      <w:tr w:rsidR="00C60999" w:rsidRPr="002B55E9" w14:paraId="2264D841" w14:textId="77777777" w:rsidTr="00362261">
        <w:trPr>
          <w:trHeight w:val="283"/>
        </w:trPr>
        <w:tc>
          <w:tcPr>
            <w:tcW w:w="445" w:type="dxa"/>
            <w:noWrap/>
          </w:tcPr>
          <w:p w14:paraId="64E34CBB" w14:textId="77777777" w:rsidR="00D170E5" w:rsidRPr="002B55E9" w:rsidRDefault="00EF27AD" w:rsidP="00362261">
            <w:pPr>
              <w:pStyle w:val="lgy-"/>
              <w:rPr>
                <w:rFonts w:eastAsia="宋体"/>
              </w:rPr>
            </w:pPr>
            <w:r w:rsidRPr="002B55E9">
              <w:rPr>
                <w:rFonts w:eastAsia="宋体"/>
                <w:lang w:bidi="ar"/>
              </w:rPr>
              <w:t>1</w:t>
            </w:r>
          </w:p>
        </w:tc>
        <w:tc>
          <w:tcPr>
            <w:tcW w:w="1270" w:type="dxa"/>
            <w:noWrap/>
          </w:tcPr>
          <w:p w14:paraId="7F03A188" w14:textId="77777777" w:rsidR="00D170E5" w:rsidRPr="002B55E9" w:rsidRDefault="00EF27AD" w:rsidP="00362261">
            <w:pPr>
              <w:pStyle w:val="lgy-"/>
              <w:rPr>
                <w:rFonts w:eastAsia="宋体"/>
              </w:rPr>
            </w:pPr>
            <w:r w:rsidRPr="002B55E9">
              <w:rPr>
                <w:rFonts w:eastAsia="宋体" w:hint="eastAsia"/>
              </w:rPr>
              <w:t>乙酸</w:t>
            </w:r>
          </w:p>
        </w:tc>
        <w:tc>
          <w:tcPr>
            <w:tcW w:w="928" w:type="dxa"/>
            <w:noWrap/>
          </w:tcPr>
          <w:p w14:paraId="4958EB6C" w14:textId="77777777" w:rsidR="00D170E5" w:rsidRPr="002B55E9" w:rsidRDefault="00EF27AD" w:rsidP="00362261">
            <w:pPr>
              <w:pStyle w:val="lgy-"/>
              <w:rPr>
                <w:rFonts w:eastAsia="宋体"/>
              </w:rPr>
            </w:pPr>
            <w:r w:rsidRPr="002B55E9">
              <w:rPr>
                <w:rFonts w:eastAsia="宋体" w:hint="eastAsia"/>
              </w:rPr>
              <w:t>6</w:t>
            </w:r>
            <w:r w:rsidRPr="002B55E9">
              <w:rPr>
                <w:rFonts w:eastAsia="宋体"/>
              </w:rPr>
              <w:t>4-19-7</w:t>
            </w:r>
          </w:p>
        </w:tc>
        <w:tc>
          <w:tcPr>
            <w:tcW w:w="696" w:type="dxa"/>
            <w:noWrap/>
          </w:tcPr>
          <w:p w14:paraId="734C6260" w14:textId="77777777" w:rsidR="00D170E5" w:rsidRPr="002B55E9" w:rsidRDefault="00EF27AD" w:rsidP="00362261">
            <w:pPr>
              <w:pStyle w:val="lgy-"/>
              <w:rPr>
                <w:rFonts w:eastAsia="宋体"/>
              </w:rPr>
            </w:pPr>
            <w:r w:rsidRPr="002B55E9">
              <w:rPr>
                <w:rFonts w:eastAsia="宋体"/>
                <w:lang w:bidi="ar"/>
              </w:rPr>
              <w:t>2789</w:t>
            </w:r>
          </w:p>
        </w:tc>
        <w:tc>
          <w:tcPr>
            <w:tcW w:w="833" w:type="dxa"/>
            <w:noWrap/>
          </w:tcPr>
          <w:p w14:paraId="5466FC67" w14:textId="77777777" w:rsidR="00D170E5" w:rsidRPr="002B55E9" w:rsidRDefault="00EF27AD" w:rsidP="00362261">
            <w:pPr>
              <w:pStyle w:val="lgy-"/>
              <w:rPr>
                <w:rFonts w:eastAsia="宋体"/>
              </w:rPr>
            </w:pPr>
            <w:r w:rsidRPr="002B55E9">
              <w:rPr>
                <w:rFonts w:eastAsia="宋体"/>
                <w:lang w:bidi="ar"/>
              </w:rPr>
              <w:t>8</w:t>
            </w:r>
          </w:p>
        </w:tc>
        <w:tc>
          <w:tcPr>
            <w:tcW w:w="894" w:type="dxa"/>
            <w:noWrap/>
          </w:tcPr>
          <w:p w14:paraId="0DEDDB41" w14:textId="77777777" w:rsidR="00D170E5" w:rsidRPr="002B55E9" w:rsidRDefault="00EF27AD" w:rsidP="00362261">
            <w:pPr>
              <w:pStyle w:val="lgy-"/>
              <w:rPr>
                <w:rFonts w:eastAsia="宋体"/>
              </w:rPr>
            </w:pPr>
            <w:r w:rsidRPr="002B55E9">
              <w:rPr>
                <w:rFonts w:eastAsia="宋体"/>
                <w:lang w:bidi="ar"/>
              </w:rPr>
              <w:t>3</w:t>
            </w:r>
          </w:p>
        </w:tc>
        <w:tc>
          <w:tcPr>
            <w:tcW w:w="671" w:type="dxa"/>
            <w:noWrap/>
          </w:tcPr>
          <w:p w14:paraId="79010C4D"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3841CEF3" w14:textId="77777777" w:rsidR="00D170E5" w:rsidRPr="002B55E9" w:rsidRDefault="00EF27AD" w:rsidP="00362261">
            <w:pPr>
              <w:pStyle w:val="lgy-"/>
              <w:rPr>
                <w:rFonts w:eastAsia="宋体"/>
              </w:rPr>
            </w:pPr>
            <w:r w:rsidRPr="002B55E9">
              <w:rPr>
                <w:rFonts w:eastAsia="宋体"/>
                <w:lang w:bidi="ar"/>
              </w:rPr>
              <w:t>腐蚀性物质</w:t>
            </w:r>
          </w:p>
        </w:tc>
        <w:tc>
          <w:tcPr>
            <w:tcW w:w="1028" w:type="dxa"/>
            <w:noWrap/>
          </w:tcPr>
          <w:p w14:paraId="4FAD062F" w14:textId="77777777" w:rsidR="00D170E5" w:rsidRPr="002B55E9" w:rsidRDefault="00EF27AD" w:rsidP="00362261">
            <w:pPr>
              <w:pStyle w:val="lgy-"/>
              <w:rPr>
                <w:rFonts w:eastAsia="宋体"/>
              </w:rPr>
            </w:pPr>
            <w:r w:rsidRPr="002B55E9">
              <w:rPr>
                <w:rFonts w:eastAsia="宋体"/>
                <w:lang w:bidi="ar"/>
              </w:rPr>
              <w:t>易燃液体</w:t>
            </w:r>
          </w:p>
        </w:tc>
        <w:tc>
          <w:tcPr>
            <w:tcW w:w="871" w:type="dxa"/>
            <w:noWrap/>
          </w:tcPr>
          <w:p w14:paraId="3BD324F9" w14:textId="77777777" w:rsidR="00D170E5" w:rsidRPr="002B55E9" w:rsidRDefault="00EF27AD" w:rsidP="00362261">
            <w:pPr>
              <w:pStyle w:val="lgy-"/>
              <w:rPr>
                <w:rFonts w:eastAsia="宋体"/>
              </w:rPr>
            </w:pPr>
            <w:r w:rsidRPr="002B55E9">
              <w:rPr>
                <w:rFonts w:eastAsia="宋体" w:hint="eastAsia"/>
              </w:rPr>
              <w:t>610</w:t>
            </w:r>
          </w:p>
        </w:tc>
        <w:tc>
          <w:tcPr>
            <w:tcW w:w="887" w:type="dxa"/>
            <w:noWrap/>
          </w:tcPr>
          <w:p w14:paraId="2E3E2D83" w14:textId="77777777" w:rsidR="00D170E5" w:rsidRPr="002B55E9" w:rsidRDefault="00EF27AD" w:rsidP="00362261">
            <w:pPr>
              <w:pStyle w:val="lgy-"/>
              <w:rPr>
                <w:rFonts w:eastAsia="宋体"/>
              </w:rPr>
            </w:pPr>
            <w:r w:rsidRPr="002B55E9">
              <w:rPr>
                <w:rFonts w:eastAsia="宋体" w:hint="eastAsia"/>
              </w:rPr>
              <w:t>86</w:t>
            </w:r>
          </w:p>
        </w:tc>
      </w:tr>
      <w:tr w:rsidR="00C60999" w:rsidRPr="002B55E9" w14:paraId="1D62422A" w14:textId="77777777" w:rsidTr="00362261">
        <w:trPr>
          <w:trHeight w:val="283"/>
        </w:trPr>
        <w:tc>
          <w:tcPr>
            <w:tcW w:w="445" w:type="dxa"/>
            <w:noWrap/>
          </w:tcPr>
          <w:p w14:paraId="11C8EB0A" w14:textId="77777777" w:rsidR="00D170E5" w:rsidRPr="002B55E9" w:rsidRDefault="00EF27AD" w:rsidP="00362261">
            <w:pPr>
              <w:pStyle w:val="lgy-"/>
              <w:rPr>
                <w:rFonts w:eastAsia="宋体"/>
              </w:rPr>
            </w:pPr>
            <w:r w:rsidRPr="002B55E9">
              <w:rPr>
                <w:rFonts w:eastAsia="宋体"/>
                <w:lang w:bidi="ar"/>
              </w:rPr>
              <w:t>2</w:t>
            </w:r>
          </w:p>
        </w:tc>
        <w:tc>
          <w:tcPr>
            <w:tcW w:w="1270" w:type="dxa"/>
            <w:noWrap/>
          </w:tcPr>
          <w:p w14:paraId="63EDA5AA" w14:textId="77777777" w:rsidR="00D170E5" w:rsidRPr="002B55E9" w:rsidRDefault="00EF27AD" w:rsidP="00362261">
            <w:pPr>
              <w:pStyle w:val="lgy-"/>
              <w:rPr>
                <w:rFonts w:eastAsia="宋体"/>
              </w:rPr>
            </w:pPr>
            <w:r w:rsidRPr="002B55E9">
              <w:rPr>
                <w:rFonts w:eastAsia="宋体" w:hint="eastAsia"/>
              </w:rPr>
              <w:t>过氧乙酸</w:t>
            </w:r>
          </w:p>
        </w:tc>
        <w:tc>
          <w:tcPr>
            <w:tcW w:w="928" w:type="dxa"/>
            <w:noWrap/>
          </w:tcPr>
          <w:p w14:paraId="2EF94C17"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9-21-0</w:t>
            </w:r>
          </w:p>
        </w:tc>
        <w:tc>
          <w:tcPr>
            <w:tcW w:w="696" w:type="dxa"/>
            <w:noWrap/>
          </w:tcPr>
          <w:p w14:paraId="2CE8E653" w14:textId="77777777" w:rsidR="00D170E5" w:rsidRPr="002B55E9" w:rsidRDefault="00EF27AD" w:rsidP="00362261">
            <w:pPr>
              <w:pStyle w:val="lgy-"/>
              <w:rPr>
                <w:rFonts w:eastAsia="宋体"/>
              </w:rPr>
            </w:pPr>
            <w:r w:rsidRPr="002B55E9">
              <w:rPr>
                <w:rFonts w:eastAsia="宋体" w:hint="eastAsia"/>
              </w:rPr>
              <w:t>/</w:t>
            </w:r>
          </w:p>
        </w:tc>
        <w:tc>
          <w:tcPr>
            <w:tcW w:w="833" w:type="dxa"/>
            <w:noWrap/>
          </w:tcPr>
          <w:p w14:paraId="7DD8BB11" w14:textId="77777777" w:rsidR="00D170E5" w:rsidRPr="002B55E9" w:rsidRDefault="00EF27AD" w:rsidP="00362261">
            <w:pPr>
              <w:pStyle w:val="lgy-"/>
              <w:rPr>
                <w:rFonts w:eastAsia="宋体"/>
              </w:rPr>
            </w:pPr>
            <w:r w:rsidRPr="002B55E9">
              <w:rPr>
                <w:rFonts w:eastAsia="宋体" w:hint="eastAsia"/>
              </w:rPr>
              <w:t>2.3</w:t>
            </w:r>
          </w:p>
        </w:tc>
        <w:tc>
          <w:tcPr>
            <w:tcW w:w="894" w:type="dxa"/>
            <w:noWrap/>
          </w:tcPr>
          <w:p w14:paraId="7E8D6EDD" w14:textId="77777777" w:rsidR="00D170E5" w:rsidRPr="002B55E9" w:rsidRDefault="00EF27AD" w:rsidP="00362261">
            <w:pPr>
              <w:pStyle w:val="lgy-"/>
              <w:rPr>
                <w:rFonts w:eastAsia="宋体"/>
              </w:rPr>
            </w:pPr>
            <w:r w:rsidRPr="002B55E9">
              <w:rPr>
                <w:rFonts w:eastAsia="宋体" w:hint="eastAsia"/>
              </w:rPr>
              <w:t>/</w:t>
            </w:r>
          </w:p>
        </w:tc>
        <w:tc>
          <w:tcPr>
            <w:tcW w:w="671" w:type="dxa"/>
            <w:noWrap/>
          </w:tcPr>
          <w:p w14:paraId="12E2FF83"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2970F55F" w14:textId="77777777" w:rsidR="00D170E5" w:rsidRPr="002B55E9" w:rsidRDefault="00EF27AD" w:rsidP="00362261">
            <w:pPr>
              <w:pStyle w:val="lgy-"/>
              <w:rPr>
                <w:rFonts w:eastAsia="宋体"/>
              </w:rPr>
            </w:pPr>
            <w:r w:rsidRPr="002B55E9">
              <w:rPr>
                <w:rFonts w:eastAsia="宋体" w:hint="eastAsia"/>
              </w:rPr>
              <w:t>毒性</w:t>
            </w:r>
            <w:r w:rsidRPr="002B55E9">
              <w:rPr>
                <w:rFonts w:eastAsia="宋体"/>
              </w:rPr>
              <w:t>液体</w:t>
            </w:r>
          </w:p>
        </w:tc>
        <w:tc>
          <w:tcPr>
            <w:tcW w:w="1028" w:type="dxa"/>
            <w:noWrap/>
          </w:tcPr>
          <w:p w14:paraId="6D81FA80" w14:textId="77777777" w:rsidR="00D170E5" w:rsidRPr="002B55E9" w:rsidRDefault="00EF27AD" w:rsidP="00362261">
            <w:pPr>
              <w:pStyle w:val="lgy-"/>
              <w:rPr>
                <w:rFonts w:eastAsia="宋体"/>
              </w:rPr>
            </w:pPr>
            <w:r w:rsidRPr="002B55E9">
              <w:rPr>
                <w:rFonts w:eastAsia="宋体" w:hint="eastAsia"/>
              </w:rPr>
              <w:t>易爆</w:t>
            </w:r>
            <w:r w:rsidRPr="002B55E9">
              <w:rPr>
                <w:rFonts w:eastAsia="宋体"/>
              </w:rPr>
              <w:t>液体</w:t>
            </w:r>
          </w:p>
        </w:tc>
        <w:tc>
          <w:tcPr>
            <w:tcW w:w="871" w:type="dxa"/>
            <w:noWrap/>
          </w:tcPr>
          <w:p w14:paraId="2E73FB29" w14:textId="77777777" w:rsidR="00D170E5" w:rsidRPr="002B55E9" w:rsidRDefault="00EF27AD" w:rsidP="00362261">
            <w:pPr>
              <w:pStyle w:val="lgy-"/>
              <w:rPr>
                <w:rFonts w:eastAsia="宋体"/>
              </w:rPr>
            </w:pPr>
            <w:r w:rsidRPr="002B55E9">
              <w:rPr>
                <w:rFonts w:eastAsia="宋体" w:hint="eastAsia"/>
              </w:rPr>
              <w:t>15</w:t>
            </w:r>
          </w:p>
        </w:tc>
        <w:tc>
          <w:tcPr>
            <w:tcW w:w="887" w:type="dxa"/>
            <w:noWrap/>
          </w:tcPr>
          <w:p w14:paraId="327714B5" w14:textId="77777777" w:rsidR="00D170E5" w:rsidRPr="002B55E9" w:rsidRDefault="00EF27AD" w:rsidP="00362261">
            <w:pPr>
              <w:pStyle w:val="lgy-"/>
              <w:rPr>
                <w:rFonts w:eastAsia="宋体"/>
              </w:rPr>
            </w:pPr>
            <w:r w:rsidRPr="002B55E9">
              <w:rPr>
                <w:rFonts w:eastAsia="宋体" w:hint="eastAsia"/>
              </w:rPr>
              <w:t>1.6</w:t>
            </w:r>
          </w:p>
        </w:tc>
      </w:tr>
      <w:tr w:rsidR="00C60999" w:rsidRPr="002B55E9" w14:paraId="66D40673" w14:textId="77777777" w:rsidTr="00362261">
        <w:trPr>
          <w:trHeight w:val="283"/>
        </w:trPr>
        <w:tc>
          <w:tcPr>
            <w:tcW w:w="445" w:type="dxa"/>
            <w:noWrap/>
          </w:tcPr>
          <w:p w14:paraId="5D911A00" w14:textId="77777777" w:rsidR="00D170E5" w:rsidRPr="002B55E9" w:rsidRDefault="00EF27AD" w:rsidP="00362261">
            <w:pPr>
              <w:pStyle w:val="lgy-"/>
              <w:rPr>
                <w:rFonts w:eastAsia="宋体"/>
              </w:rPr>
            </w:pPr>
            <w:r w:rsidRPr="002B55E9">
              <w:rPr>
                <w:rFonts w:eastAsia="宋体"/>
                <w:lang w:bidi="ar"/>
              </w:rPr>
              <w:t>3</w:t>
            </w:r>
          </w:p>
        </w:tc>
        <w:tc>
          <w:tcPr>
            <w:tcW w:w="1270" w:type="dxa"/>
            <w:noWrap/>
          </w:tcPr>
          <w:p w14:paraId="229F5C8D" w14:textId="77777777" w:rsidR="00D170E5" w:rsidRPr="002B55E9" w:rsidRDefault="00EF27AD" w:rsidP="00362261">
            <w:pPr>
              <w:pStyle w:val="lgy-"/>
              <w:rPr>
                <w:rFonts w:eastAsia="宋体"/>
              </w:rPr>
            </w:pPr>
            <w:r w:rsidRPr="002B55E9">
              <w:rPr>
                <w:rFonts w:eastAsia="宋体" w:hint="eastAsia"/>
              </w:rPr>
              <w:t>二氧化氯</w:t>
            </w:r>
          </w:p>
        </w:tc>
        <w:tc>
          <w:tcPr>
            <w:tcW w:w="928" w:type="dxa"/>
            <w:noWrap/>
          </w:tcPr>
          <w:p w14:paraId="56AE4BF0" w14:textId="77777777" w:rsidR="00D170E5" w:rsidRPr="002B55E9" w:rsidRDefault="00EF27AD" w:rsidP="00362261">
            <w:pPr>
              <w:pStyle w:val="lgy-"/>
              <w:rPr>
                <w:rFonts w:eastAsia="宋体"/>
              </w:rPr>
            </w:pPr>
            <w:r w:rsidRPr="002B55E9">
              <w:rPr>
                <w:rFonts w:eastAsia="宋体" w:hint="eastAsia"/>
              </w:rPr>
              <w:t>1</w:t>
            </w:r>
            <w:r w:rsidRPr="002B55E9">
              <w:rPr>
                <w:rFonts w:eastAsia="宋体"/>
              </w:rPr>
              <w:t>0049-04-4</w:t>
            </w:r>
          </w:p>
        </w:tc>
        <w:tc>
          <w:tcPr>
            <w:tcW w:w="696" w:type="dxa"/>
            <w:noWrap/>
          </w:tcPr>
          <w:p w14:paraId="77A4114C" w14:textId="77777777" w:rsidR="00D170E5" w:rsidRPr="002B55E9" w:rsidRDefault="00EF27AD" w:rsidP="00362261">
            <w:pPr>
              <w:pStyle w:val="lgy-"/>
              <w:rPr>
                <w:rFonts w:eastAsia="宋体"/>
              </w:rPr>
            </w:pPr>
            <w:r w:rsidRPr="002B55E9">
              <w:rPr>
                <w:rFonts w:eastAsia="宋体" w:hint="eastAsia"/>
              </w:rPr>
              <w:t>9191</w:t>
            </w:r>
          </w:p>
        </w:tc>
        <w:tc>
          <w:tcPr>
            <w:tcW w:w="833" w:type="dxa"/>
            <w:noWrap/>
          </w:tcPr>
          <w:p w14:paraId="6C388C04" w14:textId="77777777" w:rsidR="00D170E5" w:rsidRPr="002B55E9" w:rsidRDefault="00EF27AD" w:rsidP="00362261">
            <w:pPr>
              <w:pStyle w:val="lgy-"/>
              <w:rPr>
                <w:rFonts w:eastAsia="宋体"/>
              </w:rPr>
            </w:pPr>
            <w:r w:rsidRPr="002B55E9">
              <w:rPr>
                <w:rFonts w:eastAsia="宋体" w:hint="eastAsia"/>
              </w:rPr>
              <w:t>2.1</w:t>
            </w:r>
          </w:p>
        </w:tc>
        <w:tc>
          <w:tcPr>
            <w:tcW w:w="894" w:type="dxa"/>
            <w:noWrap/>
          </w:tcPr>
          <w:p w14:paraId="50605596" w14:textId="77777777" w:rsidR="00D170E5" w:rsidRPr="002B55E9" w:rsidRDefault="00EF27AD" w:rsidP="00362261">
            <w:pPr>
              <w:pStyle w:val="lgy-"/>
              <w:rPr>
                <w:rFonts w:eastAsia="宋体"/>
              </w:rPr>
            </w:pPr>
            <w:r w:rsidRPr="002B55E9">
              <w:rPr>
                <w:rFonts w:eastAsia="宋体" w:hint="eastAsia"/>
              </w:rPr>
              <w:t>/</w:t>
            </w:r>
          </w:p>
        </w:tc>
        <w:tc>
          <w:tcPr>
            <w:tcW w:w="671" w:type="dxa"/>
            <w:noWrap/>
          </w:tcPr>
          <w:p w14:paraId="1AC03722"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5B0FCC72" w14:textId="77777777" w:rsidR="00D170E5" w:rsidRPr="002B55E9" w:rsidRDefault="00EF27AD" w:rsidP="00362261">
            <w:pPr>
              <w:pStyle w:val="lgy-"/>
              <w:rPr>
                <w:rFonts w:eastAsia="宋体"/>
              </w:rPr>
            </w:pPr>
            <w:r w:rsidRPr="002B55E9">
              <w:rPr>
                <w:rFonts w:eastAsia="宋体" w:hint="eastAsia"/>
              </w:rPr>
              <w:t>有毒</w:t>
            </w:r>
            <w:r w:rsidRPr="002B55E9">
              <w:rPr>
                <w:rFonts w:eastAsia="宋体"/>
              </w:rPr>
              <w:t>气体</w:t>
            </w:r>
          </w:p>
        </w:tc>
        <w:tc>
          <w:tcPr>
            <w:tcW w:w="1028" w:type="dxa"/>
            <w:noWrap/>
          </w:tcPr>
          <w:p w14:paraId="08231AFE" w14:textId="77777777" w:rsidR="00D170E5" w:rsidRPr="002B55E9" w:rsidRDefault="00EF27AD" w:rsidP="00362261">
            <w:pPr>
              <w:pStyle w:val="lgy-"/>
              <w:rPr>
                <w:rFonts w:eastAsia="宋体"/>
              </w:rPr>
            </w:pPr>
            <w:r w:rsidRPr="002B55E9">
              <w:rPr>
                <w:rFonts w:eastAsia="宋体" w:hint="eastAsia"/>
              </w:rPr>
              <w:t>氧化性</w:t>
            </w:r>
            <w:r w:rsidRPr="002B55E9">
              <w:rPr>
                <w:rFonts w:eastAsia="宋体"/>
              </w:rPr>
              <w:t>液体</w:t>
            </w:r>
          </w:p>
        </w:tc>
        <w:tc>
          <w:tcPr>
            <w:tcW w:w="871" w:type="dxa"/>
            <w:noWrap/>
          </w:tcPr>
          <w:p w14:paraId="45CF3320" w14:textId="77777777" w:rsidR="00D170E5" w:rsidRPr="002B55E9" w:rsidRDefault="00EF27AD" w:rsidP="00362261">
            <w:pPr>
              <w:pStyle w:val="lgy-"/>
              <w:rPr>
                <w:rFonts w:eastAsia="宋体"/>
              </w:rPr>
            </w:pPr>
            <w:r w:rsidRPr="002B55E9">
              <w:rPr>
                <w:rFonts w:eastAsia="宋体" w:hint="eastAsia"/>
              </w:rPr>
              <w:t>6.6</w:t>
            </w:r>
          </w:p>
        </w:tc>
        <w:tc>
          <w:tcPr>
            <w:tcW w:w="887" w:type="dxa"/>
            <w:noWrap/>
          </w:tcPr>
          <w:p w14:paraId="38E93CF3" w14:textId="77777777" w:rsidR="00D170E5" w:rsidRPr="002B55E9" w:rsidRDefault="00EF27AD" w:rsidP="00362261">
            <w:pPr>
              <w:pStyle w:val="lgy-"/>
              <w:rPr>
                <w:rFonts w:eastAsia="宋体"/>
              </w:rPr>
            </w:pPr>
            <w:r w:rsidRPr="002B55E9">
              <w:rPr>
                <w:rFonts w:eastAsia="宋体" w:hint="eastAsia"/>
              </w:rPr>
              <w:t>3</w:t>
            </w:r>
          </w:p>
        </w:tc>
      </w:tr>
      <w:tr w:rsidR="00C60999" w:rsidRPr="002B55E9" w14:paraId="797A56DD" w14:textId="77777777" w:rsidTr="00362261">
        <w:trPr>
          <w:trHeight w:val="283"/>
        </w:trPr>
        <w:tc>
          <w:tcPr>
            <w:tcW w:w="445" w:type="dxa"/>
            <w:noWrap/>
          </w:tcPr>
          <w:p w14:paraId="6F085140" w14:textId="77777777" w:rsidR="00D170E5" w:rsidRPr="002B55E9" w:rsidRDefault="00EF27AD" w:rsidP="00362261">
            <w:pPr>
              <w:pStyle w:val="lgy-"/>
              <w:rPr>
                <w:rFonts w:eastAsia="宋体"/>
              </w:rPr>
            </w:pPr>
            <w:r w:rsidRPr="002B55E9">
              <w:rPr>
                <w:rFonts w:eastAsia="宋体"/>
                <w:lang w:bidi="ar"/>
              </w:rPr>
              <w:t>4</w:t>
            </w:r>
          </w:p>
        </w:tc>
        <w:tc>
          <w:tcPr>
            <w:tcW w:w="1270" w:type="dxa"/>
            <w:noWrap/>
          </w:tcPr>
          <w:p w14:paraId="2D21FE89" w14:textId="77777777" w:rsidR="00D170E5" w:rsidRPr="002B55E9" w:rsidRDefault="00EF27AD" w:rsidP="00362261">
            <w:pPr>
              <w:pStyle w:val="lgy-"/>
              <w:rPr>
                <w:rFonts w:eastAsia="宋体"/>
              </w:rPr>
            </w:pPr>
            <w:r w:rsidRPr="002B55E9">
              <w:rPr>
                <w:rFonts w:eastAsia="宋体" w:hint="eastAsia"/>
              </w:rPr>
              <w:t>硫酸</w:t>
            </w:r>
          </w:p>
        </w:tc>
        <w:tc>
          <w:tcPr>
            <w:tcW w:w="928" w:type="dxa"/>
            <w:noWrap/>
          </w:tcPr>
          <w:p w14:paraId="0C2E9208"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664-93-9</w:t>
            </w:r>
          </w:p>
        </w:tc>
        <w:tc>
          <w:tcPr>
            <w:tcW w:w="696" w:type="dxa"/>
            <w:noWrap/>
          </w:tcPr>
          <w:p w14:paraId="71A50296" w14:textId="77777777" w:rsidR="00D170E5" w:rsidRPr="002B55E9" w:rsidRDefault="00EF27AD" w:rsidP="00362261">
            <w:pPr>
              <w:pStyle w:val="lgy-"/>
              <w:rPr>
                <w:rFonts w:eastAsia="宋体"/>
              </w:rPr>
            </w:pPr>
            <w:r w:rsidRPr="002B55E9">
              <w:rPr>
                <w:rFonts w:eastAsia="宋体"/>
                <w:lang w:bidi="ar"/>
              </w:rPr>
              <w:t>2796</w:t>
            </w:r>
          </w:p>
        </w:tc>
        <w:tc>
          <w:tcPr>
            <w:tcW w:w="833" w:type="dxa"/>
            <w:noWrap/>
          </w:tcPr>
          <w:p w14:paraId="626131D8" w14:textId="77777777" w:rsidR="00D170E5" w:rsidRPr="002B55E9" w:rsidRDefault="00EF27AD" w:rsidP="00362261">
            <w:pPr>
              <w:pStyle w:val="lgy-"/>
              <w:rPr>
                <w:rFonts w:eastAsia="宋体"/>
              </w:rPr>
            </w:pPr>
            <w:r w:rsidRPr="002B55E9">
              <w:rPr>
                <w:rFonts w:eastAsia="宋体"/>
                <w:lang w:bidi="ar"/>
              </w:rPr>
              <w:t>8</w:t>
            </w:r>
          </w:p>
        </w:tc>
        <w:tc>
          <w:tcPr>
            <w:tcW w:w="894" w:type="dxa"/>
            <w:noWrap/>
          </w:tcPr>
          <w:p w14:paraId="45C22753" w14:textId="77777777" w:rsidR="00D170E5" w:rsidRPr="002B55E9" w:rsidRDefault="00EF27AD" w:rsidP="00362261">
            <w:pPr>
              <w:pStyle w:val="lgy-"/>
              <w:rPr>
                <w:rFonts w:eastAsia="宋体"/>
              </w:rPr>
            </w:pPr>
            <w:r w:rsidRPr="002B55E9">
              <w:rPr>
                <w:rFonts w:eastAsia="宋体"/>
                <w:lang w:bidi="ar"/>
              </w:rPr>
              <w:t>/</w:t>
            </w:r>
          </w:p>
        </w:tc>
        <w:tc>
          <w:tcPr>
            <w:tcW w:w="671" w:type="dxa"/>
            <w:noWrap/>
          </w:tcPr>
          <w:p w14:paraId="446B7EA8" w14:textId="77777777" w:rsidR="00D170E5" w:rsidRPr="002B55E9" w:rsidRDefault="00EF27AD" w:rsidP="00362261">
            <w:pPr>
              <w:pStyle w:val="lgy-"/>
              <w:rPr>
                <w:rFonts w:eastAsia="宋体"/>
              </w:rPr>
            </w:pPr>
            <w:r w:rsidRPr="002B55E9">
              <w:rPr>
                <w:rFonts w:eastAsia="宋体"/>
                <w:lang w:bidi="ar"/>
              </w:rPr>
              <w:t>II</w:t>
            </w:r>
          </w:p>
        </w:tc>
        <w:tc>
          <w:tcPr>
            <w:tcW w:w="1114" w:type="dxa"/>
            <w:noWrap/>
          </w:tcPr>
          <w:p w14:paraId="6AE6D543" w14:textId="77777777" w:rsidR="00D170E5" w:rsidRPr="002B55E9" w:rsidRDefault="00EF27AD" w:rsidP="00362261">
            <w:pPr>
              <w:pStyle w:val="lgy-"/>
              <w:rPr>
                <w:rFonts w:eastAsia="宋体"/>
              </w:rPr>
            </w:pPr>
            <w:r w:rsidRPr="002B55E9">
              <w:rPr>
                <w:rFonts w:eastAsia="宋体"/>
                <w:lang w:bidi="ar"/>
              </w:rPr>
              <w:t>腐蚀性物质</w:t>
            </w:r>
          </w:p>
        </w:tc>
        <w:tc>
          <w:tcPr>
            <w:tcW w:w="1028" w:type="dxa"/>
            <w:noWrap/>
          </w:tcPr>
          <w:p w14:paraId="34904A33" w14:textId="77777777" w:rsidR="00D170E5" w:rsidRPr="002B55E9" w:rsidRDefault="00EF27AD" w:rsidP="00362261">
            <w:pPr>
              <w:pStyle w:val="lgy-"/>
              <w:rPr>
                <w:rFonts w:eastAsia="宋体"/>
              </w:rPr>
            </w:pPr>
            <w:r w:rsidRPr="002B55E9">
              <w:rPr>
                <w:rFonts w:eastAsia="宋体"/>
                <w:lang w:bidi="ar"/>
              </w:rPr>
              <w:t>/</w:t>
            </w:r>
          </w:p>
        </w:tc>
        <w:tc>
          <w:tcPr>
            <w:tcW w:w="871" w:type="dxa"/>
            <w:noWrap/>
          </w:tcPr>
          <w:p w14:paraId="1E7B5EDF" w14:textId="77777777" w:rsidR="00D170E5" w:rsidRPr="002B55E9" w:rsidRDefault="00EF27AD" w:rsidP="00362261">
            <w:pPr>
              <w:pStyle w:val="lgy-"/>
              <w:rPr>
                <w:rFonts w:eastAsia="宋体"/>
              </w:rPr>
            </w:pPr>
            <w:r w:rsidRPr="002B55E9">
              <w:rPr>
                <w:rFonts w:eastAsia="宋体" w:hint="eastAsia"/>
              </w:rPr>
              <w:t>160</w:t>
            </w:r>
          </w:p>
        </w:tc>
        <w:tc>
          <w:tcPr>
            <w:tcW w:w="887" w:type="dxa"/>
            <w:noWrap/>
          </w:tcPr>
          <w:p w14:paraId="7DF34A67" w14:textId="77777777" w:rsidR="00D170E5" w:rsidRPr="002B55E9" w:rsidRDefault="00EF27AD" w:rsidP="00362261">
            <w:pPr>
              <w:pStyle w:val="lgy-"/>
              <w:rPr>
                <w:rFonts w:eastAsia="宋体"/>
              </w:rPr>
            </w:pPr>
            <w:r w:rsidRPr="002B55E9">
              <w:rPr>
                <w:rFonts w:eastAsia="宋体" w:hint="eastAsia"/>
              </w:rPr>
              <w:t>8.7</w:t>
            </w:r>
          </w:p>
        </w:tc>
      </w:tr>
      <w:tr w:rsidR="00C60999" w:rsidRPr="002B55E9" w14:paraId="7136B2B4" w14:textId="77777777" w:rsidTr="00362261">
        <w:trPr>
          <w:trHeight w:val="283"/>
        </w:trPr>
        <w:tc>
          <w:tcPr>
            <w:tcW w:w="445" w:type="dxa"/>
            <w:noWrap/>
          </w:tcPr>
          <w:p w14:paraId="65634974" w14:textId="77777777" w:rsidR="00D170E5" w:rsidRPr="002B55E9" w:rsidRDefault="00EF27AD" w:rsidP="00362261">
            <w:pPr>
              <w:pStyle w:val="lgy-"/>
              <w:rPr>
                <w:rFonts w:eastAsia="宋体"/>
              </w:rPr>
            </w:pPr>
            <w:r w:rsidRPr="002B55E9">
              <w:rPr>
                <w:rFonts w:eastAsia="宋体"/>
                <w:lang w:bidi="ar"/>
              </w:rPr>
              <w:t>5</w:t>
            </w:r>
          </w:p>
        </w:tc>
        <w:tc>
          <w:tcPr>
            <w:tcW w:w="1270" w:type="dxa"/>
            <w:noWrap/>
          </w:tcPr>
          <w:p w14:paraId="2D05DA02" w14:textId="77777777" w:rsidR="00D170E5" w:rsidRPr="002B55E9" w:rsidRDefault="00EF27AD" w:rsidP="00362261">
            <w:pPr>
              <w:pStyle w:val="lgy-"/>
              <w:rPr>
                <w:rFonts w:eastAsia="宋体"/>
              </w:rPr>
            </w:pPr>
            <w:r w:rsidRPr="002B55E9">
              <w:rPr>
                <w:rFonts w:eastAsia="宋体" w:hint="eastAsia"/>
              </w:rPr>
              <w:t>甲醛</w:t>
            </w:r>
          </w:p>
        </w:tc>
        <w:tc>
          <w:tcPr>
            <w:tcW w:w="928" w:type="dxa"/>
            <w:noWrap/>
          </w:tcPr>
          <w:p w14:paraId="548943A9" w14:textId="77777777" w:rsidR="00D170E5" w:rsidRPr="002B55E9" w:rsidRDefault="00EF27AD" w:rsidP="00362261">
            <w:pPr>
              <w:pStyle w:val="lgy-"/>
              <w:rPr>
                <w:rFonts w:eastAsia="宋体"/>
              </w:rPr>
            </w:pPr>
            <w:r w:rsidRPr="002B55E9">
              <w:rPr>
                <w:rFonts w:eastAsia="宋体" w:hint="eastAsia"/>
              </w:rPr>
              <w:t>5</w:t>
            </w:r>
            <w:r w:rsidRPr="002B55E9">
              <w:rPr>
                <w:rFonts w:eastAsia="宋体"/>
              </w:rPr>
              <w:t>0-00-0</w:t>
            </w:r>
          </w:p>
        </w:tc>
        <w:tc>
          <w:tcPr>
            <w:tcW w:w="696" w:type="dxa"/>
            <w:noWrap/>
          </w:tcPr>
          <w:p w14:paraId="30F5886E" w14:textId="77777777" w:rsidR="00D170E5" w:rsidRPr="002B55E9" w:rsidRDefault="00EF27AD" w:rsidP="00362261">
            <w:pPr>
              <w:pStyle w:val="lgy-"/>
              <w:rPr>
                <w:rFonts w:eastAsia="宋体"/>
              </w:rPr>
            </w:pPr>
            <w:r w:rsidRPr="002B55E9">
              <w:rPr>
                <w:rFonts w:eastAsia="宋体" w:hint="eastAsia"/>
              </w:rPr>
              <w:t>1198</w:t>
            </w:r>
          </w:p>
        </w:tc>
        <w:tc>
          <w:tcPr>
            <w:tcW w:w="833" w:type="dxa"/>
            <w:noWrap/>
          </w:tcPr>
          <w:p w14:paraId="567FBC3A" w14:textId="77777777" w:rsidR="00D170E5" w:rsidRPr="002B55E9" w:rsidRDefault="00EF27AD" w:rsidP="00362261">
            <w:pPr>
              <w:pStyle w:val="lgy-"/>
              <w:rPr>
                <w:rFonts w:eastAsia="宋体"/>
              </w:rPr>
            </w:pPr>
            <w:r w:rsidRPr="002B55E9">
              <w:rPr>
                <w:rFonts w:eastAsia="宋体" w:hint="eastAsia"/>
              </w:rPr>
              <w:t>2.3</w:t>
            </w:r>
          </w:p>
        </w:tc>
        <w:tc>
          <w:tcPr>
            <w:tcW w:w="894" w:type="dxa"/>
            <w:noWrap/>
          </w:tcPr>
          <w:p w14:paraId="7D64D5DB" w14:textId="77777777" w:rsidR="00D170E5" w:rsidRPr="002B55E9" w:rsidRDefault="00EF27AD" w:rsidP="00362261">
            <w:pPr>
              <w:pStyle w:val="lgy-"/>
              <w:rPr>
                <w:rFonts w:eastAsia="宋体"/>
              </w:rPr>
            </w:pPr>
            <w:r w:rsidRPr="002B55E9">
              <w:rPr>
                <w:rFonts w:eastAsia="宋体" w:hint="eastAsia"/>
              </w:rPr>
              <w:t>/</w:t>
            </w:r>
          </w:p>
        </w:tc>
        <w:tc>
          <w:tcPr>
            <w:tcW w:w="671" w:type="dxa"/>
            <w:noWrap/>
          </w:tcPr>
          <w:p w14:paraId="206D3C21"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19A88459" w14:textId="77777777" w:rsidR="00D170E5" w:rsidRPr="002B55E9" w:rsidRDefault="00EF27AD" w:rsidP="00362261">
            <w:pPr>
              <w:pStyle w:val="lgy-"/>
              <w:rPr>
                <w:rFonts w:eastAsia="宋体"/>
              </w:rPr>
            </w:pPr>
            <w:r w:rsidRPr="002B55E9">
              <w:rPr>
                <w:rFonts w:eastAsia="宋体" w:hint="eastAsia"/>
              </w:rPr>
              <w:t>有毒</w:t>
            </w:r>
            <w:r w:rsidRPr="002B55E9">
              <w:rPr>
                <w:rFonts w:eastAsia="宋体"/>
              </w:rPr>
              <w:t>气体</w:t>
            </w:r>
          </w:p>
        </w:tc>
        <w:tc>
          <w:tcPr>
            <w:tcW w:w="1028" w:type="dxa"/>
            <w:noWrap/>
          </w:tcPr>
          <w:p w14:paraId="70EA134F" w14:textId="77777777" w:rsidR="00D170E5" w:rsidRPr="002B55E9" w:rsidRDefault="00EF27AD" w:rsidP="00362261">
            <w:pPr>
              <w:pStyle w:val="lgy-"/>
              <w:rPr>
                <w:rFonts w:eastAsia="宋体"/>
              </w:rPr>
            </w:pPr>
            <w:r w:rsidRPr="002B55E9">
              <w:rPr>
                <w:rFonts w:eastAsia="宋体"/>
                <w:lang w:bidi="ar"/>
              </w:rPr>
              <w:t>易燃液体</w:t>
            </w:r>
          </w:p>
        </w:tc>
        <w:tc>
          <w:tcPr>
            <w:tcW w:w="871" w:type="dxa"/>
            <w:noWrap/>
          </w:tcPr>
          <w:p w14:paraId="5EF3BAC1" w14:textId="77777777" w:rsidR="00D170E5" w:rsidRPr="002B55E9" w:rsidRDefault="00EF27AD" w:rsidP="00362261">
            <w:pPr>
              <w:pStyle w:val="lgy-"/>
              <w:rPr>
                <w:rFonts w:eastAsia="宋体"/>
              </w:rPr>
            </w:pPr>
            <w:r w:rsidRPr="002B55E9">
              <w:rPr>
                <w:rFonts w:eastAsia="宋体" w:hint="eastAsia"/>
              </w:rPr>
              <w:t>69</w:t>
            </w:r>
          </w:p>
        </w:tc>
        <w:tc>
          <w:tcPr>
            <w:tcW w:w="887" w:type="dxa"/>
            <w:noWrap/>
          </w:tcPr>
          <w:p w14:paraId="47505E19" w14:textId="77777777" w:rsidR="00D170E5" w:rsidRPr="002B55E9" w:rsidRDefault="00EF27AD" w:rsidP="00362261">
            <w:pPr>
              <w:pStyle w:val="lgy-"/>
              <w:rPr>
                <w:rFonts w:eastAsia="宋体"/>
              </w:rPr>
            </w:pPr>
            <w:r w:rsidRPr="002B55E9">
              <w:rPr>
                <w:rFonts w:eastAsia="宋体" w:hint="eastAsia"/>
              </w:rPr>
              <w:t>17</w:t>
            </w:r>
          </w:p>
        </w:tc>
      </w:tr>
      <w:tr w:rsidR="00C60999" w:rsidRPr="002B55E9" w14:paraId="403BB863" w14:textId="77777777" w:rsidTr="00362261">
        <w:trPr>
          <w:trHeight w:val="283"/>
        </w:trPr>
        <w:tc>
          <w:tcPr>
            <w:tcW w:w="445" w:type="dxa"/>
            <w:noWrap/>
          </w:tcPr>
          <w:p w14:paraId="5A72AA7C" w14:textId="77777777" w:rsidR="00D170E5" w:rsidRPr="002B55E9" w:rsidRDefault="00EF27AD" w:rsidP="00362261">
            <w:pPr>
              <w:pStyle w:val="lgy-"/>
              <w:rPr>
                <w:rFonts w:eastAsia="宋体"/>
              </w:rPr>
            </w:pPr>
            <w:r w:rsidRPr="002B55E9">
              <w:rPr>
                <w:rFonts w:eastAsia="宋体"/>
                <w:lang w:bidi="ar"/>
              </w:rPr>
              <w:t>6</w:t>
            </w:r>
          </w:p>
        </w:tc>
        <w:tc>
          <w:tcPr>
            <w:tcW w:w="1270" w:type="dxa"/>
            <w:noWrap/>
          </w:tcPr>
          <w:p w14:paraId="7C034410" w14:textId="77777777" w:rsidR="00D170E5" w:rsidRPr="002B55E9" w:rsidRDefault="00EF27AD" w:rsidP="00362261">
            <w:pPr>
              <w:pStyle w:val="lgy-"/>
              <w:rPr>
                <w:rFonts w:eastAsia="宋体"/>
              </w:rPr>
            </w:pPr>
            <w:r w:rsidRPr="002B55E9">
              <w:rPr>
                <w:rFonts w:eastAsia="宋体" w:hint="eastAsia"/>
              </w:rPr>
              <w:t>盐酸</w:t>
            </w:r>
          </w:p>
        </w:tc>
        <w:tc>
          <w:tcPr>
            <w:tcW w:w="928" w:type="dxa"/>
            <w:noWrap/>
          </w:tcPr>
          <w:p w14:paraId="24572508" w14:textId="77777777" w:rsidR="00D170E5" w:rsidRPr="002B55E9" w:rsidRDefault="00EF27AD" w:rsidP="00362261">
            <w:pPr>
              <w:pStyle w:val="lgy-"/>
              <w:rPr>
                <w:rFonts w:eastAsia="宋体"/>
              </w:rPr>
            </w:pPr>
            <w:r w:rsidRPr="002B55E9">
              <w:rPr>
                <w:rFonts w:eastAsia="宋体" w:hint="eastAsia"/>
              </w:rPr>
              <w:t>7</w:t>
            </w:r>
            <w:r w:rsidRPr="002B55E9">
              <w:rPr>
                <w:rFonts w:eastAsia="宋体"/>
              </w:rPr>
              <w:t>647-01-0</w:t>
            </w:r>
          </w:p>
        </w:tc>
        <w:tc>
          <w:tcPr>
            <w:tcW w:w="696" w:type="dxa"/>
            <w:noWrap/>
          </w:tcPr>
          <w:p w14:paraId="3E346A44" w14:textId="77777777" w:rsidR="00D170E5" w:rsidRPr="002B55E9" w:rsidRDefault="00EF27AD" w:rsidP="00362261">
            <w:pPr>
              <w:pStyle w:val="lgy-"/>
              <w:rPr>
                <w:rFonts w:eastAsia="宋体"/>
              </w:rPr>
            </w:pPr>
            <w:r w:rsidRPr="002B55E9">
              <w:rPr>
                <w:rFonts w:eastAsia="宋体"/>
                <w:lang w:bidi="ar"/>
              </w:rPr>
              <w:t>2186</w:t>
            </w:r>
          </w:p>
        </w:tc>
        <w:tc>
          <w:tcPr>
            <w:tcW w:w="833" w:type="dxa"/>
            <w:noWrap/>
          </w:tcPr>
          <w:p w14:paraId="7BDD7BAE" w14:textId="77777777" w:rsidR="00D170E5" w:rsidRPr="002B55E9" w:rsidRDefault="00EF27AD" w:rsidP="00362261">
            <w:pPr>
              <w:pStyle w:val="lgy-"/>
              <w:rPr>
                <w:rFonts w:eastAsia="宋体"/>
              </w:rPr>
            </w:pPr>
            <w:r w:rsidRPr="002B55E9">
              <w:rPr>
                <w:rFonts w:eastAsia="宋体"/>
                <w:lang w:bidi="ar"/>
              </w:rPr>
              <w:t>2.3</w:t>
            </w:r>
          </w:p>
        </w:tc>
        <w:tc>
          <w:tcPr>
            <w:tcW w:w="894" w:type="dxa"/>
            <w:noWrap/>
          </w:tcPr>
          <w:p w14:paraId="7ADEBF43" w14:textId="77777777" w:rsidR="00D170E5" w:rsidRPr="002B55E9" w:rsidRDefault="00EF27AD" w:rsidP="00362261">
            <w:pPr>
              <w:pStyle w:val="lgy-"/>
              <w:rPr>
                <w:rFonts w:eastAsia="宋体"/>
              </w:rPr>
            </w:pPr>
            <w:r w:rsidRPr="002B55E9">
              <w:rPr>
                <w:rFonts w:eastAsia="宋体"/>
                <w:lang w:bidi="ar"/>
              </w:rPr>
              <w:t>8</w:t>
            </w:r>
          </w:p>
        </w:tc>
        <w:tc>
          <w:tcPr>
            <w:tcW w:w="671" w:type="dxa"/>
            <w:noWrap/>
          </w:tcPr>
          <w:p w14:paraId="4E5C73B0"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4BCEF4A3" w14:textId="77777777" w:rsidR="00D170E5" w:rsidRPr="002B55E9" w:rsidRDefault="00EF27AD" w:rsidP="00362261">
            <w:pPr>
              <w:pStyle w:val="lgy-"/>
              <w:rPr>
                <w:rFonts w:eastAsia="宋体"/>
              </w:rPr>
            </w:pPr>
            <w:r w:rsidRPr="002B55E9">
              <w:rPr>
                <w:rFonts w:eastAsia="宋体"/>
              </w:rPr>
              <w:t>毒性气体</w:t>
            </w:r>
          </w:p>
        </w:tc>
        <w:tc>
          <w:tcPr>
            <w:tcW w:w="1028" w:type="dxa"/>
            <w:noWrap/>
          </w:tcPr>
          <w:p w14:paraId="5D8BF8EA" w14:textId="77777777" w:rsidR="00D170E5" w:rsidRPr="002B55E9" w:rsidRDefault="00EF27AD" w:rsidP="00362261">
            <w:pPr>
              <w:pStyle w:val="lgy-"/>
              <w:rPr>
                <w:rFonts w:eastAsia="宋体"/>
              </w:rPr>
            </w:pPr>
            <w:r w:rsidRPr="002B55E9">
              <w:rPr>
                <w:rFonts w:eastAsia="宋体"/>
                <w:lang w:bidi="ar"/>
              </w:rPr>
              <w:t>腐蚀性物质</w:t>
            </w:r>
          </w:p>
        </w:tc>
        <w:tc>
          <w:tcPr>
            <w:tcW w:w="871" w:type="dxa"/>
            <w:noWrap/>
          </w:tcPr>
          <w:p w14:paraId="5DD911D5" w14:textId="77777777" w:rsidR="00D170E5" w:rsidRPr="002B55E9" w:rsidRDefault="00EF27AD" w:rsidP="00362261">
            <w:pPr>
              <w:pStyle w:val="lgy-"/>
              <w:rPr>
                <w:rFonts w:eastAsia="宋体"/>
              </w:rPr>
            </w:pPr>
            <w:r w:rsidRPr="002B55E9">
              <w:rPr>
                <w:rFonts w:eastAsia="宋体" w:hint="eastAsia"/>
              </w:rPr>
              <w:t>150</w:t>
            </w:r>
          </w:p>
        </w:tc>
        <w:tc>
          <w:tcPr>
            <w:tcW w:w="887" w:type="dxa"/>
            <w:noWrap/>
          </w:tcPr>
          <w:p w14:paraId="6B8DF6A3" w14:textId="77777777" w:rsidR="00D170E5" w:rsidRPr="002B55E9" w:rsidRDefault="00EF27AD" w:rsidP="00362261">
            <w:pPr>
              <w:pStyle w:val="lgy-"/>
              <w:rPr>
                <w:rFonts w:eastAsia="宋体"/>
              </w:rPr>
            </w:pPr>
            <w:r w:rsidRPr="002B55E9">
              <w:rPr>
                <w:rFonts w:eastAsia="宋体" w:hint="eastAsia"/>
              </w:rPr>
              <w:t>33</w:t>
            </w:r>
          </w:p>
        </w:tc>
      </w:tr>
      <w:tr w:rsidR="00C60999" w:rsidRPr="002B55E9" w14:paraId="181C7422" w14:textId="77777777" w:rsidTr="00362261">
        <w:trPr>
          <w:trHeight w:val="283"/>
        </w:trPr>
        <w:tc>
          <w:tcPr>
            <w:tcW w:w="445" w:type="dxa"/>
            <w:noWrap/>
          </w:tcPr>
          <w:p w14:paraId="4E1D7A77" w14:textId="77777777" w:rsidR="00D170E5" w:rsidRPr="002B55E9" w:rsidRDefault="00EF27AD" w:rsidP="00362261">
            <w:pPr>
              <w:pStyle w:val="lgy-"/>
              <w:rPr>
                <w:rFonts w:eastAsia="宋体"/>
              </w:rPr>
            </w:pPr>
            <w:r w:rsidRPr="002B55E9">
              <w:rPr>
                <w:rFonts w:eastAsia="宋体"/>
                <w:lang w:bidi="ar"/>
              </w:rPr>
              <w:t>7</w:t>
            </w:r>
          </w:p>
        </w:tc>
        <w:tc>
          <w:tcPr>
            <w:tcW w:w="1270" w:type="dxa"/>
            <w:noWrap/>
          </w:tcPr>
          <w:p w14:paraId="5BF01287" w14:textId="77777777" w:rsidR="00D170E5" w:rsidRPr="002B55E9" w:rsidRDefault="00EF27AD" w:rsidP="00362261">
            <w:pPr>
              <w:pStyle w:val="lgy-"/>
              <w:rPr>
                <w:rFonts w:eastAsia="宋体"/>
              </w:rPr>
            </w:pPr>
            <w:r w:rsidRPr="002B55E9">
              <w:rPr>
                <w:rFonts w:eastAsia="宋体" w:hint="eastAsia"/>
              </w:rPr>
              <w:t>乙醚</w:t>
            </w:r>
          </w:p>
        </w:tc>
        <w:tc>
          <w:tcPr>
            <w:tcW w:w="928" w:type="dxa"/>
            <w:noWrap/>
          </w:tcPr>
          <w:p w14:paraId="2403A314" w14:textId="77777777" w:rsidR="00D170E5" w:rsidRPr="002B55E9" w:rsidRDefault="00EF27AD" w:rsidP="00362261">
            <w:pPr>
              <w:pStyle w:val="lgy-"/>
              <w:rPr>
                <w:rFonts w:eastAsia="宋体"/>
              </w:rPr>
            </w:pPr>
            <w:r w:rsidRPr="002B55E9">
              <w:rPr>
                <w:rFonts w:eastAsia="宋体" w:hint="eastAsia"/>
              </w:rPr>
              <w:t>6</w:t>
            </w:r>
            <w:r w:rsidRPr="002B55E9">
              <w:rPr>
                <w:rFonts w:eastAsia="宋体"/>
              </w:rPr>
              <w:t>0-29-7</w:t>
            </w:r>
          </w:p>
        </w:tc>
        <w:tc>
          <w:tcPr>
            <w:tcW w:w="696" w:type="dxa"/>
            <w:noWrap/>
          </w:tcPr>
          <w:p w14:paraId="3A940E88" w14:textId="77777777" w:rsidR="00D170E5" w:rsidRPr="002B55E9" w:rsidRDefault="00EF27AD" w:rsidP="00362261">
            <w:pPr>
              <w:pStyle w:val="lgy-"/>
              <w:rPr>
                <w:rFonts w:eastAsia="宋体"/>
              </w:rPr>
            </w:pPr>
            <w:r w:rsidRPr="002B55E9">
              <w:rPr>
                <w:rFonts w:eastAsia="宋体" w:hint="eastAsia"/>
              </w:rPr>
              <w:t>1155</w:t>
            </w:r>
          </w:p>
        </w:tc>
        <w:tc>
          <w:tcPr>
            <w:tcW w:w="833" w:type="dxa"/>
            <w:noWrap/>
          </w:tcPr>
          <w:p w14:paraId="5CFE5032" w14:textId="77777777" w:rsidR="00D170E5" w:rsidRPr="002B55E9" w:rsidRDefault="00EF27AD" w:rsidP="00362261">
            <w:pPr>
              <w:pStyle w:val="lgy-"/>
              <w:rPr>
                <w:rFonts w:eastAsia="宋体"/>
              </w:rPr>
            </w:pPr>
            <w:r w:rsidRPr="002B55E9">
              <w:rPr>
                <w:rFonts w:eastAsia="宋体" w:hint="eastAsia"/>
              </w:rPr>
              <w:t>2.1</w:t>
            </w:r>
          </w:p>
        </w:tc>
        <w:tc>
          <w:tcPr>
            <w:tcW w:w="894" w:type="dxa"/>
            <w:noWrap/>
          </w:tcPr>
          <w:p w14:paraId="2357715F" w14:textId="77777777" w:rsidR="00D170E5" w:rsidRPr="002B55E9" w:rsidRDefault="00EF27AD" w:rsidP="00362261">
            <w:pPr>
              <w:pStyle w:val="lgy-"/>
              <w:rPr>
                <w:rFonts w:eastAsia="宋体"/>
              </w:rPr>
            </w:pPr>
            <w:r w:rsidRPr="002B55E9">
              <w:rPr>
                <w:rFonts w:eastAsia="宋体" w:hint="eastAsia"/>
              </w:rPr>
              <w:t>/</w:t>
            </w:r>
          </w:p>
        </w:tc>
        <w:tc>
          <w:tcPr>
            <w:tcW w:w="671" w:type="dxa"/>
            <w:noWrap/>
          </w:tcPr>
          <w:p w14:paraId="6CA50FDE"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135EA6FF" w14:textId="77777777" w:rsidR="00D170E5" w:rsidRPr="002B55E9" w:rsidRDefault="00EF27AD" w:rsidP="00362261">
            <w:pPr>
              <w:pStyle w:val="lgy-"/>
              <w:rPr>
                <w:rFonts w:eastAsia="宋体"/>
              </w:rPr>
            </w:pPr>
            <w:r w:rsidRPr="002B55E9">
              <w:rPr>
                <w:rFonts w:eastAsia="宋体" w:hint="eastAsia"/>
              </w:rPr>
              <w:t>易燃</w:t>
            </w:r>
            <w:r w:rsidRPr="002B55E9">
              <w:rPr>
                <w:rFonts w:eastAsia="宋体"/>
              </w:rPr>
              <w:t>液体</w:t>
            </w:r>
          </w:p>
        </w:tc>
        <w:tc>
          <w:tcPr>
            <w:tcW w:w="1028" w:type="dxa"/>
            <w:noWrap/>
          </w:tcPr>
          <w:p w14:paraId="3139351E" w14:textId="77777777" w:rsidR="00D170E5" w:rsidRPr="002B55E9" w:rsidRDefault="00EF27AD" w:rsidP="00362261">
            <w:pPr>
              <w:pStyle w:val="lgy-"/>
              <w:rPr>
                <w:rFonts w:eastAsia="宋体"/>
              </w:rPr>
            </w:pPr>
            <w:r w:rsidRPr="002B55E9">
              <w:rPr>
                <w:rFonts w:eastAsia="宋体"/>
                <w:lang w:bidi="ar"/>
              </w:rPr>
              <w:t>易燃液体</w:t>
            </w:r>
          </w:p>
        </w:tc>
        <w:tc>
          <w:tcPr>
            <w:tcW w:w="871" w:type="dxa"/>
            <w:noWrap/>
          </w:tcPr>
          <w:p w14:paraId="7AB78760" w14:textId="77777777" w:rsidR="00D170E5" w:rsidRPr="002B55E9" w:rsidRDefault="00EF27AD" w:rsidP="00362261">
            <w:pPr>
              <w:pStyle w:val="lgy-"/>
              <w:rPr>
                <w:rFonts w:eastAsia="宋体"/>
              </w:rPr>
            </w:pPr>
            <w:r w:rsidRPr="002B55E9">
              <w:rPr>
                <w:rFonts w:eastAsia="宋体" w:hint="eastAsia"/>
              </w:rPr>
              <w:t>58000</w:t>
            </w:r>
          </w:p>
        </w:tc>
        <w:tc>
          <w:tcPr>
            <w:tcW w:w="887" w:type="dxa"/>
            <w:noWrap/>
          </w:tcPr>
          <w:p w14:paraId="6DD17904" w14:textId="77777777" w:rsidR="00D170E5" w:rsidRPr="002B55E9" w:rsidRDefault="00EF27AD" w:rsidP="00362261">
            <w:pPr>
              <w:pStyle w:val="lgy-"/>
              <w:rPr>
                <w:rFonts w:eastAsia="宋体"/>
              </w:rPr>
            </w:pPr>
            <w:r w:rsidRPr="002B55E9">
              <w:rPr>
                <w:rFonts w:eastAsia="宋体" w:hint="eastAsia"/>
              </w:rPr>
              <w:t>9700</w:t>
            </w:r>
          </w:p>
        </w:tc>
      </w:tr>
      <w:tr w:rsidR="00C60999" w:rsidRPr="002B55E9" w14:paraId="2454FBE6" w14:textId="77777777" w:rsidTr="00362261">
        <w:trPr>
          <w:trHeight w:val="283"/>
        </w:trPr>
        <w:tc>
          <w:tcPr>
            <w:tcW w:w="445" w:type="dxa"/>
            <w:noWrap/>
          </w:tcPr>
          <w:p w14:paraId="16A00290" w14:textId="77777777" w:rsidR="00D170E5" w:rsidRPr="002B55E9" w:rsidRDefault="00EF27AD" w:rsidP="00362261">
            <w:pPr>
              <w:pStyle w:val="lgy-"/>
              <w:rPr>
                <w:rFonts w:eastAsia="宋体"/>
              </w:rPr>
            </w:pPr>
            <w:r w:rsidRPr="002B55E9">
              <w:rPr>
                <w:rFonts w:eastAsia="宋体"/>
                <w:lang w:bidi="ar"/>
              </w:rPr>
              <w:t>8</w:t>
            </w:r>
          </w:p>
        </w:tc>
        <w:tc>
          <w:tcPr>
            <w:tcW w:w="1270" w:type="dxa"/>
            <w:noWrap/>
          </w:tcPr>
          <w:p w14:paraId="138F095C" w14:textId="77777777" w:rsidR="00D170E5" w:rsidRPr="002B55E9" w:rsidRDefault="00EF27AD" w:rsidP="00362261">
            <w:pPr>
              <w:pStyle w:val="lgy-"/>
              <w:rPr>
                <w:rFonts w:eastAsia="宋体"/>
              </w:rPr>
            </w:pPr>
            <w:r w:rsidRPr="002B55E9">
              <w:rPr>
                <w:rFonts w:eastAsia="宋体" w:hint="eastAsia"/>
              </w:rPr>
              <w:t>磷酸</w:t>
            </w:r>
          </w:p>
        </w:tc>
        <w:tc>
          <w:tcPr>
            <w:tcW w:w="928" w:type="dxa"/>
            <w:noWrap/>
          </w:tcPr>
          <w:p w14:paraId="7166C6FD" w14:textId="77777777" w:rsidR="00D170E5" w:rsidRPr="002B55E9" w:rsidRDefault="00EF27AD" w:rsidP="00362261">
            <w:pPr>
              <w:pStyle w:val="lgy-"/>
              <w:rPr>
                <w:rFonts w:eastAsia="宋体"/>
              </w:rPr>
            </w:pPr>
            <w:r w:rsidRPr="002B55E9">
              <w:rPr>
                <w:rFonts w:eastAsia="宋体" w:hint="eastAsia"/>
              </w:rPr>
              <w:t>7664-38-2</w:t>
            </w:r>
          </w:p>
        </w:tc>
        <w:tc>
          <w:tcPr>
            <w:tcW w:w="696" w:type="dxa"/>
            <w:noWrap/>
          </w:tcPr>
          <w:p w14:paraId="0EECDD70" w14:textId="77777777" w:rsidR="00D170E5" w:rsidRPr="002B55E9" w:rsidRDefault="00EF27AD" w:rsidP="00362261">
            <w:pPr>
              <w:pStyle w:val="lgy-"/>
              <w:rPr>
                <w:rFonts w:eastAsia="宋体"/>
              </w:rPr>
            </w:pPr>
            <w:r w:rsidRPr="002B55E9">
              <w:rPr>
                <w:rFonts w:eastAsia="宋体" w:hint="eastAsia"/>
              </w:rPr>
              <w:t>1805</w:t>
            </w:r>
          </w:p>
        </w:tc>
        <w:tc>
          <w:tcPr>
            <w:tcW w:w="833" w:type="dxa"/>
            <w:noWrap/>
          </w:tcPr>
          <w:p w14:paraId="2FF7B92D" w14:textId="77777777" w:rsidR="00D170E5" w:rsidRPr="002B55E9" w:rsidRDefault="00EF27AD" w:rsidP="00362261">
            <w:pPr>
              <w:pStyle w:val="lgy-"/>
              <w:rPr>
                <w:rFonts w:eastAsia="宋体"/>
              </w:rPr>
            </w:pPr>
            <w:r w:rsidRPr="002B55E9">
              <w:rPr>
                <w:rFonts w:eastAsia="宋体" w:hint="eastAsia"/>
              </w:rPr>
              <w:t>8</w:t>
            </w:r>
          </w:p>
        </w:tc>
        <w:tc>
          <w:tcPr>
            <w:tcW w:w="894" w:type="dxa"/>
            <w:noWrap/>
          </w:tcPr>
          <w:p w14:paraId="4D87C29F" w14:textId="77777777" w:rsidR="00D170E5" w:rsidRPr="002B55E9" w:rsidRDefault="00EF27AD" w:rsidP="00362261">
            <w:pPr>
              <w:pStyle w:val="lgy-"/>
              <w:rPr>
                <w:rFonts w:eastAsia="宋体"/>
              </w:rPr>
            </w:pPr>
            <w:r w:rsidRPr="002B55E9">
              <w:rPr>
                <w:rFonts w:eastAsia="宋体" w:hint="eastAsia"/>
              </w:rPr>
              <w:t>/</w:t>
            </w:r>
          </w:p>
        </w:tc>
        <w:tc>
          <w:tcPr>
            <w:tcW w:w="671" w:type="dxa"/>
            <w:noWrap/>
          </w:tcPr>
          <w:p w14:paraId="6C422E58"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41F8C4FA" w14:textId="77777777" w:rsidR="00D170E5" w:rsidRPr="002B55E9" w:rsidRDefault="00EF27AD" w:rsidP="00362261">
            <w:pPr>
              <w:pStyle w:val="lgy-"/>
              <w:rPr>
                <w:rFonts w:eastAsia="宋体"/>
              </w:rPr>
            </w:pPr>
            <w:r w:rsidRPr="002B55E9">
              <w:rPr>
                <w:rFonts w:eastAsia="宋体" w:hint="eastAsia"/>
              </w:rPr>
              <w:t>有毒</w:t>
            </w:r>
            <w:r w:rsidRPr="002B55E9">
              <w:rPr>
                <w:rFonts w:eastAsia="宋体"/>
              </w:rPr>
              <w:t>液体</w:t>
            </w:r>
          </w:p>
        </w:tc>
        <w:tc>
          <w:tcPr>
            <w:tcW w:w="1028" w:type="dxa"/>
            <w:noWrap/>
          </w:tcPr>
          <w:p w14:paraId="7FA990F2" w14:textId="77777777" w:rsidR="00D170E5" w:rsidRPr="002B55E9" w:rsidRDefault="00EF27AD" w:rsidP="00362261">
            <w:pPr>
              <w:pStyle w:val="lgy-"/>
              <w:rPr>
                <w:rFonts w:eastAsia="宋体"/>
              </w:rPr>
            </w:pPr>
            <w:r w:rsidRPr="002B55E9">
              <w:rPr>
                <w:rFonts w:eastAsia="宋体"/>
                <w:lang w:bidi="ar"/>
              </w:rPr>
              <w:t>腐蚀性物质</w:t>
            </w:r>
          </w:p>
        </w:tc>
        <w:tc>
          <w:tcPr>
            <w:tcW w:w="871" w:type="dxa"/>
            <w:noWrap/>
          </w:tcPr>
          <w:p w14:paraId="272A83DC" w14:textId="77777777" w:rsidR="00D170E5" w:rsidRPr="002B55E9" w:rsidRDefault="00EF27AD" w:rsidP="00362261">
            <w:pPr>
              <w:pStyle w:val="lgy-"/>
              <w:rPr>
                <w:rFonts w:eastAsia="宋体"/>
              </w:rPr>
            </w:pPr>
            <w:r w:rsidRPr="002B55E9">
              <w:rPr>
                <w:rFonts w:eastAsia="宋体" w:hint="eastAsia"/>
              </w:rPr>
              <w:t>150</w:t>
            </w:r>
          </w:p>
        </w:tc>
        <w:tc>
          <w:tcPr>
            <w:tcW w:w="887" w:type="dxa"/>
            <w:noWrap/>
          </w:tcPr>
          <w:p w14:paraId="251150C9" w14:textId="77777777" w:rsidR="00D170E5" w:rsidRPr="002B55E9" w:rsidRDefault="00EF27AD" w:rsidP="00362261">
            <w:pPr>
              <w:pStyle w:val="lgy-"/>
              <w:rPr>
                <w:rFonts w:eastAsia="宋体"/>
              </w:rPr>
            </w:pPr>
            <w:r w:rsidRPr="002B55E9">
              <w:rPr>
                <w:rFonts w:eastAsia="宋体" w:hint="eastAsia"/>
              </w:rPr>
              <w:t>30</w:t>
            </w:r>
          </w:p>
        </w:tc>
      </w:tr>
      <w:tr w:rsidR="00C60999" w:rsidRPr="002B55E9" w14:paraId="74227FF3" w14:textId="77777777" w:rsidTr="00362261">
        <w:trPr>
          <w:trHeight w:val="283"/>
        </w:trPr>
        <w:tc>
          <w:tcPr>
            <w:tcW w:w="445" w:type="dxa"/>
            <w:noWrap/>
          </w:tcPr>
          <w:p w14:paraId="6B5067F7" w14:textId="77777777" w:rsidR="00D170E5" w:rsidRPr="002B55E9" w:rsidRDefault="00EF27AD" w:rsidP="00362261">
            <w:pPr>
              <w:pStyle w:val="lgy-"/>
              <w:rPr>
                <w:rFonts w:eastAsia="宋体"/>
              </w:rPr>
            </w:pPr>
            <w:r w:rsidRPr="002B55E9">
              <w:rPr>
                <w:rFonts w:eastAsia="宋体"/>
                <w:lang w:bidi="ar"/>
              </w:rPr>
              <w:t>9</w:t>
            </w:r>
          </w:p>
        </w:tc>
        <w:tc>
          <w:tcPr>
            <w:tcW w:w="1270" w:type="dxa"/>
            <w:noWrap/>
          </w:tcPr>
          <w:p w14:paraId="06B15E87" w14:textId="77777777" w:rsidR="00D170E5" w:rsidRPr="002B55E9" w:rsidRDefault="00EF27AD" w:rsidP="00362261">
            <w:pPr>
              <w:pStyle w:val="lgy-"/>
              <w:rPr>
                <w:rFonts w:eastAsia="宋体"/>
              </w:rPr>
            </w:pPr>
            <w:r w:rsidRPr="002B55E9">
              <w:rPr>
                <w:rFonts w:eastAsia="宋体" w:hint="eastAsia"/>
              </w:rPr>
              <w:t>硝酸</w:t>
            </w:r>
          </w:p>
        </w:tc>
        <w:tc>
          <w:tcPr>
            <w:tcW w:w="928" w:type="dxa"/>
            <w:noWrap/>
          </w:tcPr>
          <w:p w14:paraId="5D8414D1" w14:textId="77777777" w:rsidR="00D170E5" w:rsidRPr="002B55E9" w:rsidRDefault="00EF27AD" w:rsidP="00362261">
            <w:pPr>
              <w:pStyle w:val="lgy-"/>
              <w:rPr>
                <w:rFonts w:eastAsia="宋体"/>
              </w:rPr>
            </w:pPr>
            <w:r w:rsidRPr="002B55E9">
              <w:rPr>
                <w:rFonts w:eastAsia="宋体" w:hint="eastAsia"/>
              </w:rPr>
              <w:t>7697-37-2</w:t>
            </w:r>
          </w:p>
        </w:tc>
        <w:tc>
          <w:tcPr>
            <w:tcW w:w="696" w:type="dxa"/>
            <w:noWrap/>
          </w:tcPr>
          <w:p w14:paraId="2F1F8379" w14:textId="77777777" w:rsidR="00D170E5" w:rsidRPr="002B55E9" w:rsidRDefault="00EF27AD" w:rsidP="00362261">
            <w:pPr>
              <w:pStyle w:val="lgy-"/>
              <w:rPr>
                <w:rFonts w:eastAsia="宋体"/>
              </w:rPr>
            </w:pPr>
            <w:r w:rsidRPr="002B55E9">
              <w:rPr>
                <w:rFonts w:eastAsia="宋体" w:hint="eastAsia"/>
              </w:rPr>
              <w:t>2031</w:t>
            </w:r>
          </w:p>
        </w:tc>
        <w:tc>
          <w:tcPr>
            <w:tcW w:w="833" w:type="dxa"/>
            <w:noWrap/>
          </w:tcPr>
          <w:p w14:paraId="670381DC" w14:textId="77777777" w:rsidR="00D170E5" w:rsidRPr="002B55E9" w:rsidRDefault="00EF27AD" w:rsidP="00362261">
            <w:pPr>
              <w:pStyle w:val="lgy-"/>
              <w:rPr>
                <w:rFonts w:eastAsia="宋体"/>
              </w:rPr>
            </w:pPr>
            <w:r w:rsidRPr="002B55E9">
              <w:rPr>
                <w:rFonts w:eastAsia="宋体" w:hint="eastAsia"/>
              </w:rPr>
              <w:t>8</w:t>
            </w:r>
          </w:p>
        </w:tc>
        <w:tc>
          <w:tcPr>
            <w:tcW w:w="894" w:type="dxa"/>
            <w:noWrap/>
          </w:tcPr>
          <w:p w14:paraId="0C99CB03" w14:textId="77777777" w:rsidR="00D170E5" w:rsidRPr="002B55E9" w:rsidRDefault="00EF27AD" w:rsidP="00362261">
            <w:pPr>
              <w:pStyle w:val="lgy-"/>
              <w:rPr>
                <w:rFonts w:eastAsia="宋体"/>
              </w:rPr>
            </w:pPr>
            <w:r w:rsidRPr="002B55E9">
              <w:rPr>
                <w:rFonts w:eastAsia="宋体"/>
              </w:rPr>
              <w:t>/</w:t>
            </w:r>
          </w:p>
        </w:tc>
        <w:tc>
          <w:tcPr>
            <w:tcW w:w="671" w:type="dxa"/>
            <w:noWrap/>
          </w:tcPr>
          <w:p w14:paraId="030DEFC3" w14:textId="77777777" w:rsidR="00D170E5" w:rsidRPr="002B55E9" w:rsidRDefault="00EF27AD" w:rsidP="00362261">
            <w:pPr>
              <w:pStyle w:val="lgy-"/>
              <w:rPr>
                <w:rFonts w:eastAsia="宋体"/>
              </w:rPr>
            </w:pPr>
            <w:r w:rsidRPr="002B55E9">
              <w:rPr>
                <w:rFonts w:eastAsia="宋体" w:hint="eastAsia"/>
                <w:lang w:bidi="ar"/>
              </w:rPr>
              <w:t>Ⅱ</w:t>
            </w:r>
          </w:p>
        </w:tc>
        <w:tc>
          <w:tcPr>
            <w:tcW w:w="1114" w:type="dxa"/>
            <w:noWrap/>
          </w:tcPr>
          <w:p w14:paraId="48B3ABC2" w14:textId="77777777" w:rsidR="00D170E5" w:rsidRPr="002B55E9" w:rsidRDefault="00EF27AD" w:rsidP="00362261">
            <w:pPr>
              <w:pStyle w:val="lgy-"/>
              <w:rPr>
                <w:rFonts w:eastAsia="宋体"/>
              </w:rPr>
            </w:pPr>
            <w:r w:rsidRPr="002B55E9">
              <w:rPr>
                <w:rFonts w:eastAsia="宋体" w:hint="eastAsia"/>
              </w:rPr>
              <w:t>有毒</w:t>
            </w:r>
            <w:r w:rsidRPr="002B55E9">
              <w:rPr>
                <w:rFonts w:eastAsia="宋体"/>
              </w:rPr>
              <w:t>液体</w:t>
            </w:r>
          </w:p>
        </w:tc>
        <w:tc>
          <w:tcPr>
            <w:tcW w:w="1028" w:type="dxa"/>
            <w:noWrap/>
          </w:tcPr>
          <w:p w14:paraId="2FD119DB" w14:textId="77777777" w:rsidR="00D170E5" w:rsidRPr="002B55E9" w:rsidRDefault="00EF27AD" w:rsidP="00362261">
            <w:pPr>
              <w:pStyle w:val="lgy-"/>
              <w:rPr>
                <w:rFonts w:eastAsia="宋体"/>
              </w:rPr>
            </w:pPr>
            <w:r w:rsidRPr="002B55E9">
              <w:rPr>
                <w:rFonts w:eastAsia="宋体"/>
                <w:lang w:bidi="ar"/>
              </w:rPr>
              <w:t>腐蚀性物质</w:t>
            </w:r>
          </w:p>
        </w:tc>
        <w:tc>
          <w:tcPr>
            <w:tcW w:w="871" w:type="dxa"/>
            <w:noWrap/>
          </w:tcPr>
          <w:p w14:paraId="03D9B204" w14:textId="77777777" w:rsidR="00D170E5" w:rsidRPr="002B55E9" w:rsidRDefault="00EF27AD" w:rsidP="00362261">
            <w:pPr>
              <w:pStyle w:val="lgy-"/>
              <w:rPr>
                <w:rFonts w:eastAsia="宋体"/>
              </w:rPr>
            </w:pPr>
            <w:r w:rsidRPr="002B55E9">
              <w:rPr>
                <w:rFonts w:eastAsia="宋体" w:hint="eastAsia"/>
              </w:rPr>
              <w:t>240</w:t>
            </w:r>
          </w:p>
        </w:tc>
        <w:tc>
          <w:tcPr>
            <w:tcW w:w="887" w:type="dxa"/>
            <w:noWrap/>
          </w:tcPr>
          <w:p w14:paraId="518EF38E" w14:textId="77777777" w:rsidR="00D170E5" w:rsidRPr="002B55E9" w:rsidRDefault="00EF27AD" w:rsidP="00362261">
            <w:pPr>
              <w:pStyle w:val="lgy-"/>
              <w:rPr>
                <w:rFonts w:eastAsia="宋体"/>
              </w:rPr>
            </w:pPr>
            <w:r w:rsidRPr="002B55E9">
              <w:rPr>
                <w:rFonts w:eastAsia="宋体" w:hint="eastAsia"/>
              </w:rPr>
              <w:t>62</w:t>
            </w:r>
          </w:p>
        </w:tc>
      </w:tr>
      <w:tr w:rsidR="00C60999" w:rsidRPr="002B55E9" w14:paraId="7F0CDB75" w14:textId="77777777" w:rsidTr="00362261">
        <w:trPr>
          <w:trHeight w:val="283"/>
        </w:trPr>
        <w:tc>
          <w:tcPr>
            <w:tcW w:w="445" w:type="dxa"/>
            <w:noWrap/>
          </w:tcPr>
          <w:p w14:paraId="3255676F" w14:textId="2335F57C" w:rsidR="00362261" w:rsidRPr="002B55E9" w:rsidRDefault="00362261" w:rsidP="00362261">
            <w:pPr>
              <w:pStyle w:val="lgy-"/>
              <w:rPr>
                <w:rFonts w:eastAsia="宋体"/>
                <w:lang w:bidi="ar"/>
              </w:rPr>
            </w:pPr>
            <w:r w:rsidRPr="002B55E9">
              <w:rPr>
                <w:rFonts w:eastAsia="宋体" w:hint="eastAsia"/>
                <w:lang w:bidi="ar"/>
              </w:rPr>
              <w:t>1</w:t>
            </w:r>
            <w:r w:rsidRPr="002B55E9">
              <w:rPr>
                <w:rFonts w:eastAsia="宋体"/>
                <w:lang w:bidi="ar"/>
              </w:rPr>
              <w:t>0</w:t>
            </w:r>
          </w:p>
        </w:tc>
        <w:tc>
          <w:tcPr>
            <w:tcW w:w="1270" w:type="dxa"/>
            <w:noWrap/>
          </w:tcPr>
          <w:p w14:paraId="116DC9B8" w14:textId="68174B65" w:rsidR="00362261" w:rsidRPr="002B55E9" w:rsidRDefault="00362261" w:rsidP="00362261">
            <w:pPr>
              <w:pStyle w:val="lgy-"/>
              <w:rPr>
                <w:rFonts w:eastAsia="宋体"/>
              </w:rPr>
            </w:pPr>
            <w:r w:rsidRPr="002B55E9">
              <w:rPr>
                <w:rFonts w:eastAsia="宋体" w:hint="eastAsia"/>
              </w:rPr>
              <w:t>废机油</w:t>
            </w:r>
          </w:p>
        </w:tc>
        <w:tc>
          <w:tcPr>
            <w:tcW w:w="928" w:type="dxa"/>
            <w:noWrap/>
          </w:tcPr>
          <w:p w14:paraId="3BE05AC1" w14:textId="60B4481E" w:rsidR="00362261" w:rsidRPr="002B55E9" w:rsidRDefault="00362261" w:rsidP="00362261">
            <w:pPr>
              <w:pStyle w:val="lgy-"/>
              <w:rPr>
                <w:rFonts w:eastAsia="宋体"/>
              </w:rPr>
            </w:pPr>
            <w:r w:rsidRPr="002B55E9">
              <w:rPr>
                <w:rFonts w:eastAsia="宋体" w:hint="eastAsia"/>
              </w:rPr>
              <w:t>/</w:t>
            </w:r>
          </w:p>
        </w:tc>
        <w:tc>
          <w:tcPr>
            <w:tcW w:w="696" w:type="dxa"/>
            <w:noWrap/>
          </w:tcPr>
          <w:p w14:paraId="29067FD2" w14:textId="7F3F8C59" w:rsidR="00362261" w:rsidRPr="002B55E9" w:rsidRDefault="00362261" w:rsidP="00362261">
            <w:pPr>
              <w:pStyle w:val="lgy-"/>
              <w:rPr>
                <w:rFonts w:eastAsia="宋体"/>
              </w:rPr>
            </w:pPr>
            <w:r w:rsidRPr="002B55E9">
              <w:rPr>
                <w:rFonts w:eastAsia="宋体" w:hint="eastAsia"/>
              </w:rPr>
              <w:t>/</w:t>
            </w:r>
          </w:p>
        </w:tc>
        <w:tc>
          <w:tcPr>
            <w:tcW w:w="833" w:type="dxa"/>
            <w:noWrap/>
          </w:tcPr>
          <w:p w14:paraId="79626FBB" w14:textId="43F83049" w:rsidR="00362261" w:rsidRPr="002B55E9" w:rsidRDefault="00362261" w:rsidP="00362261">
            <w:pPr>
              <w:pStyle w:val="lgy-"/>
              <w:rPr>
                <w:rFonts w:eastAsia="宋体"/>
              </w:rPr>
            </w:pPr>
            <w:r w:rsidRPr="002B55E9">
              <w:rPr>
                <w:rFonts w:eastAsia="宋体" w:hint="eastAsia"/>
              </w:rPr>
              <w:t>/</w:t>
            </w:r>
          </w:p>
        </w:tc>
        <w:tc>
          <w:tcPr>
            <w:tcW w:w="894" w:type="dxa"/>
            <w:noWrap/>
          </w:tcPr>
          <w:p w14:paraId="50654DF9" w14:textId="23614766" w:rsidR="00362261" w:rsidRPr="002B55E9" w:rsidRDefault="00362261" w:rsidP="00362261">
            <w:pPr>
              <w:pStyle w:val="lgy-"/>
              <w:rPr>
                <w:rFonts w:eastAsia="宋体"/>
              </w:rPr>
            </w:pPr>
            <w:r w:rsidRPr="002B55E9">
              <w:rPr>
                <w:rFonts w:eastAsia="宋体" w:hint="eastAsia"/>
              </w:rPr>
              <w:t>/</w:t>
            </w:r>
          </w:p>
        </w:tc>
        <w:tc>
          <w:tcPr>
            <w:tcW w:w="671" w:type="dxa"/>
            <w:noWrap/>
          </w:tcPr>
          <w:p w14:paraId="596D18CE" w14:textId="65FCD697" w:rsidR="00362261" w:rsidRPr="002B55E9" w:rsidRDefault="00362261" w:rsidP="00362261">
            <w:pPr>
              <w:pStyle w:val="lgy-"/>
              <w:rPr>
                <w:rFonts w:eastAsia="宋体"/>
                <w:lang w:bidi="ar"/>
              </w:rPr>
            </w:pPr>
            <w:r w:rsidRPr="002B55E9">
              <w:rPr>
                <w:rFonts w:eastAsia="宋体" w:hint="eastAsia"/>
                <w:lang w:bidi="ar"/>
              </w:rPr>
              <w:t>/</w:t>
            </w:r>
          </w:p>
        </w:tc>
        <w:tc>
          <w:tcPr>
            <w:tcW w:w="1114" w:type="dxa"/>
            <w:noWrap/>
          </w:tcPr>
          <w:p w14:paraId="495D7E63" w14:textId="245DC2AE" w:rsidR="00362261" w:rsidRPr="002B55E9" w:rsidRDefault="00362261" w:rsidP="00362261">
            <w:pPr>
              <w:pStyle w:val="lgy-"/>
              <w:rPr>
                <w:rFonts w:eastAsia="宋体"/>
              </w:rPr>
            </w:pPr>
            <w:r w:rsidRPr="002B55E9">
              <w:rPr>
                <w:rFonts w:eastAsia="宋体" w:hint="eastAsia"/>
              </w:rPr>
              <w:t>可燃液体</w:t>
            </w:r>
          </w:p>
        </w:tc>
        <w:tc>
          <w:tcPr>
            <w:tcW w:w="1028" w:type="dxa"/>
            <w:noWrap/>
          </w:tcPr>
          <w:p w14:paraId="22C676DB" w14:textId="3C025A03" w:rsidR="00362261" w:rsidRPr="002B55E9" w:rsidRDefault="00362261" w:rsidP="00362261">
            <w:pPr>
              <w:pStyle w:val="lgy-"/>
              <w:rPr>
                <w:rFonts w:eastAsia="宋体"/>
                <w:lang w:bidi="ar"/>
              </w:rPr>
            </w:pPr>
            <w:r w:rsidRPr="002B55E9">
              <w:rPr>
                <w:rFonts w:eastAsia="宋体" w:hint="eastAsia"/>
                <w:lang w:bidi="ar"/>
              </w:rPr>
              <w:t>/</w:t>
            </w:r>
          </w:p>
        </w:tc>
        <w:tc>
          <w:tcPr>
            <w:tcW w:w="871" w:type="dxa"/>
            <w:noWrap/>
          </w:tcPr>
          <w:p w14:paraId="32CA6FB3" w14:textId="414405E6" w:rsidR="00362261" w:rsidRPr="002B55E9" w:rsidRDefault="00362261" w:rsidP="00362261">
            <w:pPr>
              <w:pStyle w:val="lgy-"/>
              <w:rPr>
                <w:rFonts w:eastAsia="宋体"/>
              </w:rPr>
            </w:pPr>
            <w:r w:rsidRPr="002B55E9">
              <w:rPr>
                <w:rFonts w:eastAsia="宋体" w:hint="eastAsia"/>
              </w:rPr>
              <w:t>/</w:t>
            </w:r>
          </w:p>
        </w:tc>
        <w:tc>
          <w:tcPr>
            <w:tcW w:w="887" w:type="dxa"/>
            <w:noWrap/>
          </w:tcPr>
          <w:p w14:paraId="1B2BEC16" w14:textId="69A3161A" w:rsidR="00362261" w:rsidRPr="002B55E9" w:rsidRDefault="00362261" w:rsidP="00362261">
            <w:pPr>
              <w:pStyle w:val="lgy-"/>
              <w:rPr>
                <w:rFonts w:eastAsia="宋体"/>
              </w:rPr>
            </w:pPr>
            <w:r w:rsidRPr="002B55E9">
              <w:rPr>
                <w:rFonts w:eastAsia="宋体" w:hint="eastAsia"/>
              </w:rPr>
              <w:t>/</w:t>
            </w:r>
          </w:p>
        </w:tc>
      </w:tr>
    </w:tbl>
    <w:p w14:paraId="6A9386A9" w14:textId="77777777" w:rsidR="00D170E5" w:rsidRPr="002B55E9" w:rsidRDefault="00EF27AD">
      <w:pPr>
        <w:pStyle w:val="4"/>
        <w:rPr>
          <w:color w:val="auto"/>
        </w:rPr>
      </w:pPr>
      <w:r w:rsidRPr="002B55E9">
        <w:rPr>
          <w:rFonts w:hint="eastAsia"/>
          <w:color w:val="auto"/>
        </w:rPr>
        <w:t>生产系统危险性识别</w:t>
      </w:r>
    </w:p>
    <w:p w14:paraId="38A1E520"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t>表</w:t>
      </w:r>
      <w:r w:rsidRPr="002B55E9">
        <w:rPr>
          <w:rFonts w:eastAsia="黑体" w:hint="eastAsia"/>
          <w:b/>
          <w:sz w:val="24"/>
          <w:szCs w:val="28"/>
        </w:rPr>
        <w:t xml:space="preserve">6-4-2  </w:t>
      </w:r>
      <w:r w:rsidRPr="002B55E9">
        <w:rPr>
          <w:rFonts w:eastAsia="黑体" w:hint="eastAsia"/>
          <w:b/>
          <w:sz w:val="24"/>
          <w:szCs w:val="28"/>
        </w:rPr>
        <w:t>本项目危险单元划分及危险物质分布情况一览表</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1"/>
        <w:gridCol w:w="1042"/>
        <w:gridCol w:w="1079"/>
        <w:gridCol w:w="1386"/>
        <w:gridCol w:w="1385"/>
        <w:gridCol w:w="1110"/>
        <w:gridCol w:w="696"/>
        <w:gridCol w:w="2178"/>
      </w:tblGrid>
      <w:tr w:rsidR="00C60999" w:rsidRPr="002B55E9" w14:paraId="213B6FBB" w14:textId="77777777">
        <w:trPr>
          <w:trHeight w:val="284"/>
          <w:tblHeader/>
          <w:jc w:val="center"/>
        </w:trPr>
        <w:tc>
          <w:tcPr>
            <w:tcW w:w="761" w:type="dxa"/>
            <w:shd w:val="clear" w:color="auto" w:fill="auto"/>
            <w:vAlign w:val="center"/>
          </w:tcPr>
          <w:p w14:paraId="35DFCD66" w14:textId="77777777" w:rsidR="00D170E5" w:rsidRPr="002B55E9" w:rsidRDefault="00EF27AD">
            <w:pPr>
              <w:pStyle w:val="affffffffffffffffff6"/>
              <w:ind w:left="-40" w:right="-40"/>
              <w:rPr>
                <w:szCs w:val="18"/>
              </w:rPr>
            </w:pPr>
            <w:r w:rsidRPr="002B55E9">
              <w:rPr>
                <w:szCs w:val="18"/>
              </w:rPr>
              <w:t>序号</w:t>
            </w:r>
          </w:p>
        </w:tc>
        <w:tc>
          <w:tcPr>
            <w:tcW w:w="1042" w:type="dxa"/>
            <w:shd w:val="clear" w:color="auto" w:fill="auto"/>
            <w:vAlign w:val="center"/>
          </w:tcPr>
          <w:p w14:paraId="65D7948C" w14:textId="77777777" w:rsidR="00D170E5" w:rsidRPr="002B55E9" w:rsidRDefault="00EF27AD">
            <w:pPr>
              <w:pStyle w:val="affffffffffffffffff6"/>
              <w:ind w:left="-40" w:right="-40"/>
              <w:rPr>
                <w:szCs w:val="18"/>
              </w:rPr>
            </w:pPr>
            <w:r w:rsidRPr="002B55E9">
              <w:rPr>
                <w:szCs w:val="18"/>
              </w:rPr>
              <w:t>危险单元名称</w:t>
            </w:r>
          </w:p>
        </w:tc>
        <w:tc>
          <w:tcPr>
            <w:tcW w:w="1079" w:type="dxa"/>
            <w:shd w:val="clear" w:color="auto" w:fill="auto"/>
            <w:vAlign w:val="center"/>
          </w:tcPr>
          <w:p w14:paraId="1A6ABE8A" w14:textId="77777777" w:rsidR="00D170E5" w:rsidRPr="002B55E9" w:rsidRDefault="00EF27AD">
            <w:pPr>
              <w:pStyle w:val="affffffffffffffffff6"/>
              <w:ind w:left="-40" w:right="-40"/>
              <w:rPr>
                <w:szCs w:val="18"/>
              </w:rPr>
            </w:pPr>
            <w:r w:rsidRPr="002B55E9">
              <w:rPr>
                <w:szCs w:val="18"/>
              </w:rPr>
              <w:t>危险物质</w:t>
            </w:r>
          </w:p>
        </w:tc>
        <w:tc>
          <w:tcPr>
            <w:tcW w:w="1386" w:type="dxa"/>
            <w:shd w:val="clear" w:color="auto" w:fill="auto"/>
            <w:vAlign w:val="center"/>
          </w:tcPr>
          <w:p w14:paraId="0C1C7B65" w14:textId="77777777" w:rsidR="00D170E5" w:rsidRPr="002B55E9" w:rsidRDefault="00EF27AD">
            <w:pPr>
              <w:pStyle w:val="affffffffffffffffff6"/>
              <w:ind w:left="-40" w:right="-40"/>
              <w:rPr>
                <w:szCs w:val="18"/>
              </w:rPr>
            </w:pPr>
            <w:r w:rsidRPr="002B55E9">
              <w:rPr>
                <w:szCs w:val="18"/>
              </w:rPr>
              <w:t>包装方式</w:t>
            </w:r>
          </w:p>
        </w:tc>
        <w:tc>
          <w:tcPr>
            <w:tcW w:w="1385" w:type="dxa"/>
            <w:shd w:val="clear" w:color="auto" w:fill="auto"/>
            <w:vAlign w:val="center"/>
          </w:tcPr>
          <w:p w14:paraId="3BB67B34" w14:textId="77777777" w:rsidR="00D170E5" w:rsidRPr="002B55E9" w:rsidRDefault="00EF27AD">
            <w:pPr>
              <w:pStyle w:val="affffffffffffffffff6"/>
              <w:ind w:left="-40" w:right="-40"/>
              <w:rPr>
                <w:szCs w:val="18"/>
              </w:rPr>
            </w:pPr>
            <w:r w:rsidRPr="002B55E9">
              <w:rPr>
                <w:szCs w:val="18"/>
              </w:rPr>
              <w:t>最大存储量（</w:t>
            </w:r>
            <w:r w:rsidRPr="002B55E9">
              <w:rPr>
                <w:szCs w:val="18"/>
              </w:rPr>
              <w:t>t</w:t>
            </w:r>
            <w:r w:rsidRPr="002B55E9">
              <w:rPr>
                <w:szCs w:val="18"/>
              </w:rPr>
              <w:t>）</w:t>
            </w:r>
          </w:p>
        </w:tc>
        <w:tc>
          <w:tcPr>
            <w:tcW w:w="1110" w:type="dxa"/>
            <w:shd w:val="clear" w:color="auto" w:fill="auto"/>
            <w:vAlign w:val="center"/>
          </w:tcPr>
          <w:p w14:paraId="62A1457E" w14:textId="77777777" w:rsidR="00D170E5" w:rsidRPr="002B55E9" w:rsidRDefault="00EF27AD">
            <w:pPr>
              <w:pStyle w:val="affffffffffffffffff6"/>
              <w:ind w:left="-40" w:right="-40"/>
              <w:rPr>
                <w:szCs w:val="18"/>
              </w:rPr>
            </w:pPr>
            <w:r w:rsidRPr="002B55E9">
              <w:rPr>
                <w:szCs w:val="18"/>
              </w:rPr>
              <w:t>潜在风险源</w:t>
            </w:r>
          </w:p>
        </w:tc>
        <w:tc>
          <w:tcPr>
            <w:tcW w:w="696" w:type="dxa"/>
            <w:shd w:val="clear" w:color="auto" w:fill="auto"/>
            <w:vAlign w:val="center"/>
          </w:tcPr>
          <w:p w14:paraId="5FF3D72D" w14:textId="77777777" w:rsidR="00D170E5" w:rsidRPr="002B55E9" w:rsidRDefault="00EF27AD">
            <w:pPr>
              <w:pStyle w:val="affffffffffffffffff6"/>
              <w:ind w:left="-40" w:right="-40"/>
              <w:rPr>
                <w:szCs w:val="18"/>
              </w:rPr>
            </w:pPr>
            <w:r w:rsidRPr="002B55E9">
              <w:rPr>
                <w:szCs w:val="18"/>
              </w:rPr>
              <w:t>危险性</w:t>
            </w:r>
          </w:p>
        </w:tc>
        <w:tc>
          <w:tcPr>
            <w:tcW w:w="2178" w:type="dxa"/>
            <w:shd w:val="clear" w:color="auto" w:fill="auto"/>
            <w:vAlign w:val="center"/>
          </w:tcPr>
          <w:p w14:paraId="2892C279" w14:textId="77777777" w:rsidR="00D170E5" w:rsidRPr="002B55E9" w:rsidRDefault="00EF27AD">
            <w:pPr>
              <w:pStyle w:val="affffffffffffffffff6"/>
              <w:ind w:left="-40" w:right="-40"/>
              <w:rPr>
                <w:szCs w:val="18"/>
              </w:rPr>
            </w:pPr>
            <w:r w:rsidRPr="002B55E9">
              <w:rPr>
                <w:szCs w:val="18"/>
              </w:rPr>
              <w:t>存在条件、触发因素</w:t>
            </w:r>
          </w:p>
        </w:tc>
      </w:tr>
      <w:tr w:rsidR="00C60999" w:rsidRPr="002B55E9" w14:paraId="7F0274CF" w14:textId="77777777">
        <w:trPr>
          <w:trHeight w:val="284"/>
          <w:jc w:val="center"/>
        </w:trPr>
        <w:tc>
          <w:tcPr>
            <w:tcW w:w="761" w:type="dxa"/>
            <w:shd w:val="clear" w:color="auto" w:fill="auto"/>
            <w:vAlign w:val="center"/>
          </w:tcPr>
          <w:p w14:paraId="003A0F43" w14:textId="77777777" w:rsidR="00D170E5" w:rsidRPr="002B55E9" w:rsidRDefault="00EF27AD">
            <w:pPr>
              <w:pStyle w:val="affffffffffffffffff6"/>
              <w:ind w:left="-40" w:right="-40"/>
              <w:rPr>
                <w:szCs w:val="18"/>
              </w:rPr>
            </w:pPr>
            <w:r w:rsidRPr="002B55E9">
              <w:rPr>
                <w:rFonts w:hint="eastAsia"/>
                <w:szCs w:val="18"/>
              </w:rPr>
              <w:t>1</w:t>
            </w:r>
          </w:p>
        </w:tc>
        <w:tc>
          <w:tcPr>
            <w:tcW w:w="1042" w:type="dxa"/>
            <w:vMerge w:val="restart"/>
            <w:shd w:val="clear" w:color="auto" w:fill="auto"/>
            <w:vAlign w:val="center"/>
          </w:tcPr>
          <w:p w14:paraId="4E6824E7" w14:textId="77777777" w:rsidR="00D170E5" w:rsidRPr="002B55E9" w:rsidRDefault="00EF27AD">
            <w:pPr>
              <w:pStyle w:val="affffffffffffffffff6"/>
              <w:ind w:left="-40" w:right="-40"/>
              <w:rPr>
                <w:szCs w:val="18"/>
              </w:rPr>
            </w:pPr>
            <w:r w:rsidRPr="002B55E9">
              <w:rPr>
                <w:rFonts w:hint="eastAsia"/>
                <w:szCs w:val="18"/>
              </w:rPr>
              <w:t>罐区三</w:t>
            </w:r>
          </w:p>
        </w:tc>
        <w:tc>
          <w:tcPr>
            <w:tcW w:w="1079" w:type="dxa"/>
            <w:shd w:val="clear" w:color="auto" w:fill="auto"/>
            <w:vAlign w:val="center"/>
          </w:tcPr>
          <w:p w14:paraId="0C5C882A" w14:textId="77777777" w:rsidR="00D170E5" w:rsidRPr="002B55E9" w:rsidRDefault="00EF27AD">
            <w:pPr>
              <w:pStyle w:val="affffffffffffffffff6"/>
              <w:ind w:left="-40" w:right="-40"/>
              <w:rPr>
                <w:szCs w:val="18"/>
              </w:rPr>
            </w:pPr>
            <w:r w:rsidRPr="002B55E9">
              <w:rPr>
                <w:rFonts w:hint="eastAsia"/>
                <w:szCs w:val="18"/>
              </w:rPr>
              <w:t>乙酸</w:t>
            </w:r>
            <w:r w:rsidRPr="002B55E9">
              <w:rPr>
                <w:rFonts w:hint="eastAsia"/>
                <w:szCs w:val="18"/>
              </w:rPr>
              <w:t>*</w:t>
            </w:r>
          </w:p>
        </w:tc>
        <w:tc>
          <w:tcPr>
            <w:tcW w:w="1386" w:type="dxa"/>
            <w:shd w:val="clear" w:color="auto" w:fill="auto"/>
            <w:vAlign w:val="center"/>
          </w:tcPr>
          <w:p w14:paraId="54E077BE" w14:textId="77777777" w:rsidR="00D170E5" w:rsidRPr="002B55E9" w:rsidRDefault="00EF27AD">
            <w:pPr>
              <w:pStyle w:val="affffffffffffffffff6"/>
              <w:ind w:left="-40" w:right="-40"/>
              <w:rPr>
                <w:szCs w:val="18"/>
              </w:rPr>
            </w:pPr>
            <w:r w:rsidRPr="002B55E9">
              <w:rPr>
                <w:rFonts w:hint="eastAsia"/>
                <w:szCs w:val="18"/>
              </w:rPr>
              <w:t>储罐</w:t>
            </w:r>
          </w:p>
        </w:tc>
        <w:tc>
          <w:tcPr>
            <w:tcW w:w="1385" w:type="dxa"/>
            <w:shd w:val="clear" w:color="auto" w:fill="auto"/>
            <w:vAlign w:val="center"/>
          </w:tcPr>
          <w:p w14:paraId="425E8E9D" w14:textId="77777777" w:rsidR="00D170E5" w:rsidRPr="002B55E9" w:rsidRDefault="00EF27AD">
            <w:pPr>
              <w:pStyle w:val="affffffffffffffffff6"/>
              <w:ind w:left="-40" w:right="-40"/>
              <w:rPr>
                <w:szCs w:val="18"/>
              </w:rPr>
            </w:pPr>
            <w:r w:rsidRPr="002B55E9">
              <w:rPr>
                <w:szCs w:val="18"/>
              </w:rPr>
              <w:t>428.78</w:t>
            </w:r>
          </w:p>
        </w:tc>
        <w:tc>
          <w:tcPr>
            <w:tcW w:w="1110" w:type="dxa"/>
            <w:vMerge w:val="restart"/>
            <w:shd w:val="clear" w:color="auto" w:fill="auto"/>
            <w:vAlign w:val="center"/>
          </w:tcPr>
          <w:p w14:paraId="4091E7AA" w14:textId="77777777" w:rsidR="00D170E5" w:rsidRPr="002B55E9" w:rsidRDefault="00EF27AD">
            <w:pPr>
              <w:pStyle w:val="affffffffffffffffff6"/>
              <w:ind w:left="-40" w:right="-40"/>
              <w:rPr>
                <w:szCs w:val="18"/>
              </w:rPr>
            </w:pPr>
            <w:r w:rsidRPr="002B55E9">
              <w:rPr>
                <w:rFonts w:hint="eastAsia"/>
                <w:szCs w:val="18"/>
              </w:rPr>
              <w:t>储罐</w:t>
            </w:r>
            <w:r w:rsidRPr="002B55E9">
              <w:rPr>
                <w:szCs w:val="18"/>
              </w:rPr>
              <w:t>破裂导致泄漏</w:t>
            </w:r>
          </w:p>
        </w:tc>
        <w:tc>
          <w:tcPr>
            <w:tcW w:w="696" w:type="dxa"/>
            <w:vMerge w:val="restart"/>
            <w:shd w:val="clear" w:color="auto" w:fill="auto"/>
            <w:vAlign w:val="center"/>
          </w:tcPr>
          <w:p w14:paraId="38713B4D" w14:textId="77777777" w:rsidR="00D170E5" w:rsidRPr="002B55E9" w:rsidRDefault="00EF27AD">
            <w:pPr>
              <w:pStyle w:val="affffffffffffffffff6"/>
              <w:ind w:left="-40" w:right="-40"/>
              <w:rPr>
                <w:szCs w:val="18"/>
              </w:rPr>
            </w:pPr>
            <w:r w:rsidRPr="002B55E9">
              <w:rPr>
                <w:rFonts w:hint="eastAsia"/>
                <w:szCs w:val="18"/>
              </w:rPr>
              <w:t>泄露</w:t>
            </w:r>
          </w:p>
        </w:tc>
        <w:tc>
          <w:tcPr>
            <w:tcW w:w="2178" w:type="dxa"/>
            <w:vMerge w:val="restart"/>
            <w:shd w:val="clear" w:color="auto" w:fill="auto"/>
            <w:vAlign w:val="center"/>
          </w:tcPr>
          <w:p w14:paraId="6AFCCAF1" w14:textId="77777777" w:rsidR="00D170E5" w:rsidRPr="002B55E9" w:rsidRDefault="00EF27AD">
            <w:pPr>
              <w:pStyle w:val="affffffffffffffffff6"/>
              <w:ind w:left="-40" w:right="-40"/>
              <w:rPr>
                <w:szCs w:val="18"/>
              </w:rPr>
            </w:pPr>
            <w:r w:rsidRPr="002B55E9">
              <w:rPr>
                <w:rFonts w:hint="eastAsia"/>
                <w:szCs w:val="18"/>
              </w:rPr>
              <w:t>储罐</w:t>
            </w:r>
            <w:r w:rsidRPr="002B55E9">
              <w:rPr>
                <w:szCs w:val="18"/>
              </w:rPr>
              <w:t>出口部位断裂、阀破损导致物料泄漏</w:t>
            </w:r>
          </w:p>
        </w:tc>
      </w:tr>
      <w:tr w:rsidR="00C60999" w:rsidRPr="002B55E9" w14:paraId="6BE6E3A1" w14:textId="77777777">
        <w:trPr>
          <w:trHeight w:val="284"/>
          <w:jc w:val="center"/>
        </w:trPr>
        <w:tc>
          <w:tcPr>
            <w:tcW w:w="761" w:type="dxa"/>
            <w:shd w:val="clear" w:color="auto" w:fill="auto"/>
            <w:vAlign w:val="center"/>
          </w:tcPr>
          <w:p w14:paraId="1C4833BE" w14:textId="77777777" w:rsidR="00D170E5" w:rsidRPr="002B55E9" w:rsidRDefault="00EF27AD">
            <w:pPr>
              <w:pStyle w:val="affffffffffffffffff6"/>
              <w:ind w:left="-40" w:right="-40"/>
              <w:rPr>
                <w:szCs w:val="18"/>
              </w:rPr>
            </w:pPr>
            <w:r w:rsidRPr="002B55E9">
              <w:rPr>
                <w:rFonts w:hint="eastAsia"/>
                <w:szCs w:val="18"/>
              </w:rPr>
              <w:t>2</w:t>
            </w:r>
          </w:p>
        </w:tc>
        <w:tc>
          <w:tcPr>
            <w:tcW w:w="1042" w:type="dxa"/>
            <w:vMerge/>
            <w:shd w:val="clear" w:color="auto" w:fill="auto"/>
            <w:vAlign w:val="center"/>
          </w:tcPr>
          <w:p w14:paraId="18F5D452" w14:textId="77777777" w:rsidR="00D170E5" w:rsidRPr="002B55E9" w:rsidRDefault="00D170E5">
            <w:pPr>
              <w:pStyle w:val="affffffffffffffffff6"/>
              <w:ind w:left="-40" w:right="-40"/>
              <w:rPr>
                <w:szCs w:val="18"/>
              </w:rPr>
            </w:pPr>
          </w:p>
        </w:tc>
        <w:tc>
          <w:tcPr>
            <w:tcW w:w="1079" w:type="dxa"/>
            <w:shd w:val="clear" w:color="auto" w:fill="auto"/>
            <w:vAlign w:val="center"/>
          </w:tcPr>
          <w:p w14:paraId="29DF0E87" w14:textId="77777777" w:rsidR="00D170E5" w:rsidRPr="002B55E9" w:rsidRDefault="00EF27AD">
            <w:pPr>
              <w:pStyle w:val="affffffffffffffffff6"/>
              <w:ind w:left="-40" w:right="-40"/>
              <w:rPr>
                <w:szCs w:val="18"/>
              </w:rPr>
            </w:pPr>
            <w:r w:rsidRPr="002B55E9">
              <w:rPr>
                <w:rFonts w:hint="eastAsia"/>
                <w:szCs w:val="18"/>
              </w:rPr>
              <w:t>磷酸</w:t>
            </w:r>
          </w:p>
        </w:tc>
        <w:tc>
          <w:tcPr>
            <w:tcW w:w="1386" w:type="dxa"/>
            <w:shd w:val="clear" w:color="auto" w:fill="auto"/>
            <w:vAlign w:val="center"/>
          </w:tcPr>
          <w:p w14:paraId="6D3D287B" w14:textId="77777777" w:rsidR="00D170E5" w:rsidRPr="002B55E9" w:rsidRDefault="00EF27AD">
            <w:pPr>
              <w:pStyle w:val="affffffffffffffffff6"/>
              <w:ind w:left="-40" w:right="-40"/>
              <w:rPr>
                <w:szCs w:val="18"/>
              </w:rPr>
            </w:pPr>
            <w:r w:rsidRPr="002B55E9">
              <w:rPr>
                <w:rFonts w:hint="eastAsia"/>
                <w:szCs w:val="18"/>
              </w:rPr>
              <w:t>储罐</w:t>
            </w:r>
          </w:p>
        </w:tc>
        <w:tc>
          <w:tcPr>
            <w:tcW w:w="1385" w:type="dxa"/>
            <w:shd w:val="clear" w:color="auto" w:fill="auto"/>
            <w:vAlign w:val="center"/>
          </w:tcPr>
          <w:p w14:paraId="5E46F5E9" w14:textId="77777777" w:rsidR="00D170E5" w:rsidRPr="002B55E9" w:rsidRDefault="00EF27AD">
            <w:pPr>
              <w:pStyle w:val="affffffffffffffffff6"/>
              <w:ind w:left="-40" w:right="-40"/>
              <w:rPr>
                <w:szCs w:val="18"/>
              </w:rPr>
            </w:pPr>
            <w:r w:rsidRPr="002B55E9">
              <w:rPr>
                <w:rFonts w:hint="eastAsia"/>
                <w:szCs w:val="18"/>
              </w:rPr>
              <w:t>0.45</w:t>
            </w:r>
          </w:p>
        </w:tc>
        <w:tc>
          <w:tcPr>
            <w:tcW w:w="1110" w:type="dxa"/>
            <w:vMerge/>
            <w:shd w:val="clear" w:color="auto" w:fill="auto"/>
            <w:vAlign w:val="center"/>
          </w:tcPr>
          <w:p w14:paraId="6354D5F7" w14:textId="77777777" w:rsidR="00D170E5" w:rsidRPr="002B55E9" w:rsidRDefault="00D170E5">
            <w:pPr>
              <w:pStyle w:val="affffffffffffffffff6"/>
              <w:ind w:left="-40" w:right="-40"/>
              <w:rPr>
                <w:szCs w:val="18"/>
              </w:rPr>
            </w:pPr>
          </w:p>
        </w:tc>
        <w:tc>
          <w:tcPr>
            <w:tcW w:w="696" w:type="dxa"/>
            <w:vMerge/>
            <w:shd w:val="clear" w:color="auto" w:fill="auto"/>
            <w:vAlign w:val="center"/>
          </w:tcPr>
          <w:p w14:paraId="48A15B44"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7137272D" w14:textId="77777777" w:rsidR="00D170E5" w:rsidRPr="002B55E9" w:rsidRDefault="00D170E5">
            <w:pPr>
              <w:pStyle w:val="affffffffffffffffff6"/>
              <w:ind w:left="-40" w:right="-40"/>
              <w:rPr>
                <w:szCs w:val="18"/>
              </w:rPr>
            </w:pPr>
          </w:p>
        </w:tc>
      </w:tr>
      <w:tr w:rsidR="00C60999" w:rsidRPr="002B55E9" w14:paraId="3D76F02C" w14:textId="77777777">
        <w:trPr>
          <w:trHeight w:val="284"/>
          <w:jc w:val="center"/>
        </w:trPr>
        <w:tc>
          <w:tcPr>
            <w:tcW w:w="761" w:type="dxa"/>
            <w:shd w:val="clear" w:color="auto" w:fill="auto"/>
            <w:vAlign w:val="center"/>
          </w:tcPr>
          <w:p w14:paraId="13B7821D" w14:textId="77777777" w:rsidR="00D170E5" w:rsidRPr="002B55E9" w:rsidRDefault="00EF27AD">
            <w:pPr>
              <w:pStyle w:val="affffffffffffffffff6"/>
              <w:ind w:left="-40" w:right="-40"/>
              <w:rPr>
                <w:szCs w:val="18"/>
              </w:rPr>
            </w:pPr>
            <w:r w:rsidRPr="002B55E9">
              <w:rPr>
                <w:rFonts w:hint="eastAsia"/>
                <w:szCs w:val="18"/>
              </w:rPr>
              <w:t>3</w:t>
            </w:r>
          </w:p>
        </w:tc>
        <w:tc>
          <w:tcPr>
            <w:tcW w:w="1042" w:type="dxa"/>
            <w:vMerge/>
            <w:shd w:val="clear" w:color="auto" w:fill="auto"/>
            <w:vAlign w:val="center"/>
          </w:tcPr>
          <w:p w14:paraId="0207584C" w14:textId="77777777" w:rsidR="00D170E5" w:rsidRPr="002B55E9" w:rsidRDefault="00D170E5">
            <w:pPr>
              <w:pStyle w:val="affffffffffffffffff6"/>
              <w:ind w:left="-40" w:right="-40"/>
              <w:rPr>
                <w:szCs w:val="18"/>
              </w:rPr>
            </w:pPr>
          </w:p>
        </w:tc>
        <w:tc>
          <w:tcPr>
            <w:tcW w:w="1079" w:type="dxa"/>
            <w:shd w:val="clear" w:color="auto" w:fill="auto"/>
            <w:vAlign w:val="center"/>
          </w:tcPr>
          <w:p w14:paraId="6ED31334" w14:textId="77777777" w:rsidR="00D170E5" w:rsidRPr="002B55E9" w:rsidRDefault="00EF27AD">
            <w:pPr>
              <w:pStyle w:val="affffffffffffffffff6"/>
              <w:ind w:left="-40" w:right="-40"/>
              <w:rPr>
                <w:szCs w:val="18"/>
              </w:rPr>
            </w:pPr>
            <w:r w:rsidRPr="002B55E9">
              <w:rPr>
                <w:rFonts w:hint="eastAsia"/>
                <w:szCs w:val="18"/>
              </w:rPr>
              <w:t>硝酸</w:t>
            </w:r>
          </w:p>
        </w:tc>
        <w:tc>
          <w:tcPr>
            <w:tcW w:w="1386" w:type="dxa"/>
            <w:shd w:val="clear" w:color="auto" w:fill="auto"/>
            <w:vAlign w:val="center"/>
          </w:tcPr>
          <w:p w14:paraId="3294A98E" w14:textId="77777777" w:rsidR="00D170E5" w:rsidRPr="002B55E9" w:rsidRDefault="00EF27AD">
            <w:pPr>
              <w:pStyle w:val="affffffffffffffffff6"/>
              <w:ind w:left="-40" w:right="-40"/>
              <w:rPr>
                <w:szCs w:val="18"/>
              </w:rPr>
            </w:pPr>
            <w:r w:rsidRPr="002B55E9">
              <w:rPr>
                <w:rFonts w:hint="eastAsia"/>
                <w:szCs w:val="18"/>
              </w:rPr>
              <w:t>储罐</w:t>
            </w:r>
          </w:p>
        </w:tc>
        <w:tc>
          <w:tcPr>
            <w:tcW w:w="1385" w:type="dxa"/>
            <w:shd w:val="clear" w:color="auto" w:fill="auto"/>
            <w:vAlign w:val="center"/>
          </w:tcPr>
          <w:p w14:paraId="0C397A24" w14:textId="77777777" w:rsidR="00D170E5" w:rsidRPr="002B55E9" w:rsidRDefault="00EF27AD">
            <w:pPr>
              <w:pStyle w:val="affffffffffffffffff6"/>
              <w:ind w:left="-40" w:right="-40"/>
              <w:rPr>
                <w:szCs w:val="18"/>
              </w:rPr>
            </w:pPr>
            <w:r w:rsidRPr="002B55E9">
              <w:rPr>
                <w:rFonts w:hint="eastAsia"/>
                <w:szCs w:val="18"/>
              </w:rPr>
              <w:t>0.225</w:t>
            </w:r>
          </w:p>
        </w:tc>
        <w:tc>
          <w:tcPr>
            <w:tcW w:w="1110" w:type="dxa"/>
            <w:vMerge/>
            <w:shd w:val="clear" w:color="auto" w:fill="auto"/>
            <w:vAlign w:val="center"/>
          </w:tcPr>
          <w:p w14:paraId="140F6A7B" w14:textId="77777777" w:rsidR="00D170E5" w:rsidRPr="002B55E9" w:rsidRDefault="00D170E5">
            <w:pPr>
              <w:pStyle w:val="affffffffffffffffff6"/>
              <w:ind w:left="-40" w:right="-40"/>
              <w:rPr>
                <w:szCs w:val="18"/>
              </w:rPr>
            </w:pPr>
          </w:p>
        </w:tc>
        <w:tc>
          <w:tcPr>
            <w:tcW w:w="696" w:type="dxa"/>
            <w:vMerge/>
            <w:shd w:val="clear" w:color="auto" w:fill="auto"/>
            <w:vAlign w:val="center"/>
          </w:tcPr>
          <w:p w14:paraId="2E74BB63"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4F45A27A" w14:textId="77777777" w:rsidR="00D170E5" w:rsidRPr="002B55E9" w:rsidRDefault="00D170E5">
            <w:pPr>
              <w:pStyle w:val="affffffffffffffffff6"/>
              <w:ind w:left="-40" w:right="-40"/>
              <w:rPr>
                <w:szCs w:val="18"/>
              </w:rPr>
            </w:pPr>
          </w:p>
        </w:tc>
      </w:tr>
      <w:tr w:rsidR="00C60999" w:rsidRPr="002B55E9" w14:paraId="184DB069" w14:textId="77777777">
        <w:trPr>
          <w:trHeight w:val="284"/>
          <w:jc w:val="center"/>
        </w:trPr>
        <w:tc>
          <w:tcPr>
            <w:tcW w:w="761" w:type="dxa"/>
            <w:shd w:val="clear" w:color="auto" w:fill="auto"/>
            <w:vAlign w:val="center"/>
          </w:tcPr>
          <w:p w14:paraId="16E89743" w14:textId="77777777" w:rsidR="00D170E5" w:rsidRPr="002B55E9" w:rsidRDefault="00EF27AD">
            <w:pPr>
              <w:pStyle w:val="affffffffffffffffff6"/>
              <w:ind w:left="-40" w:right="-40"/>
              <w:rPr>
                <w:szCs w:val="18"/>
              </w:rPr>
            </w:pPr>
            <w:r w:rsidRPr="002B55E9">
              <w:rPr>
                <w:rFonts w:hint="eastAsia"/>
                <w:szCs w:val="18"/>
              </w:rPr>
              <w:t>4</w:t>
            </w:r>
          </w:p>
        </w:tc>
        <w:tc>
          <w:tcPr>
            <w:tcW w:w="1042" w:type="dxa"/>
            <w:shd w:val="clear" w:color="auto" w:fill="auto"/>
            <w:vAlign w:val="center"/>
          </w:tcPr>
          <w:p w14:paraId="73FF9F8E" w14:textId="77777777" w:rsidR="00D170E5" w:rsidRPr="002B55E9" w:rsidRDefault="00EF27AD">
            <w:pPr>
              <w:pStyle w:val="affffffffffffffffff6"/>
              <w:ind w:left="-40" w:right="-40"/>
              <w:rPr>
                <w:szCs w:val="18"/>
              </w:rPr>
            </w:pPr>
            <w:r w:rsidRPr="002B55E9">
              <w:rPr>
                <w:rFonts w:hint="eastAsia"/>
                <w:szCs w:val="18"/>
              </w:rPr>
              <w:t>十三车间</w:t>
            </w:r>
          </w:p>
          <w:p w14:paraId="30990FF6" w14:textId="77777777" w:rsidR="00D170E5" w:rsidRPr="002B55E9" w:rsidRDefault="00EF27AD">
            <w:pPr>
              <w:pStyle w:val="affffffffffffffffff6"/>
              <w:ind w:left="-40" w:right="-40"/>
              <w:rPr>
                <w:szCs w:val="18"/>
              </w:rPr>
            </w:pPr>
            <w:r w:rsidRPr="002B55E9">
              <w:rPr>
                <w:szCs w:val="18"/>
              </w:rPr>
              <w:t>生产线</w:t>
            </w:r>
          </w:p>
        </w:tc>
        <w:tc>
          <w:tcPr>
            <w:tcW w:w="1079" w:type="dxa"/>
            <w:shd w:val="clear" w:color="auto" w:fill="auto"/>
            <w:vAlign w:val="center"/>
          </w:tcPr>
          <w:p w14:paraId="7B061021" w14:textId="77777777" w:rsidR="00D170E5" w:rsidRPr="002B55E9" w:rsidRDefault="00EF27AD">
            <w:pPr>
              <w:pStyle w:val="affffffffffffffffff6"/>
              <w:ind w:left="-40" w:right="-40"/>
              <w:rPr>
                <w:szCs w:val="18"/>
              </w:rPr>
            </w:pPr>
            <w:r w:rsidRPr="002B55E9">
              <w:rPr>
                <w:rFonts w:hint="eastAsia"/>
                <w:szCs w:val="18"/>
              </w:rPr>
              <w:t>乙酸</w:t>
            </w:r>
          </w:p>
        </w:tc>
        <w:tc>
          <w:tcPr>
            <w:tcW w:w="1386" w:type="dxa"/>
            <w:shd w:val="clear" w:color="auto" w:fill="auto"/>
            <w:vAlign w:val="center"/>
          </w:tcPr>
          <w:p w14:paraId="32A5B1EF" w14:textId="77777777" w:rsidR="00D170E5" w:rsidRPr="002B55E9" w:rsidRDefault="00EF27AD">
            <w:pPr>
              <w:pStyle w:val="affffffffffffffffff6"/>
              <w:ind w:left="-40" w:right="-40"/>
              <w:rPr>
                <w:szCs w:val="18"/>
              </w:rPr>
            </w:pPr>
            <w:r w:rsidRPr="002B55E9">
              <w:rPr>
                <w:rFonts w:hint="eastAsia"/>
                <w:szCs w:val="18"/>
              </w:rPr>
              <w:t>储罐</w:t>
            </w:r>
          </w:p>
        </w:tc>
        <w:tc>
          <w:tcPr>
            <w:tcW w:w="1385" w:type="dxa"/>
            <w:shd w:val="clear" w:color="auto" w:fill="auto"/>
            <w:vAlign w:val="center"/>
          </w:tcPr>
          <w:p w14:paraId="19A7DFB0" w14:textId="77777777" w:rsidR="00D170E5" w:rsidRPr="002B55E9" w:rsidRDefault="00EF27AD">
            <w:pPr>
              <w:pStyle w:val="affffffffffffffffff6"/>
              <w:ind w:left="-40" w:right="-40"/>
              <w:rPr>
                <w:szCs w:val="18"/>
              </w:rPr>
            </w:pPr>
            <w:r w:rsidRPr="002B55E9">
              <w:rPr>
                <w:szCs w:val="18"/>
              </w:rPr>
              <w:t>7.45</w:t>
            </w:r>
          </w:p>
        </w:tc>
        <w:tc>
          <w:tcPr>
            <w:tcW w:w="1110" w:type="dxa"/>
            <w:shd w:val="clear" w:color="auto" w:fill="auto"/>
            <w:vAlign w:val="center"/>
          </w:tcPr>
          <w:p w14:paraId="583D2FD0" w14:textId="77777777" w:rsidR="00D170E5" w:rsidRPr="002B55E9" w:rsidRDefault="00EF27AD">
            <w:pPr>
              <w:pStyle w:val="affffffffffffffffff6"/>
              <w:ind w:left="-40" w:right="-40"/>
              <w:rPr>
                <w:szCs w:val="18"/>
              </w:rPr>
            </w:pPr>
            <w:r w:rsidRPr="002B55E9">
              <w:rPr>
                <w:rFonts w:hint="eastAsia"/>
                <w:szCs w:val="18"/>
              </w:rPr>
              <w:t>储罐</w:t>
            </w:r>
            <w:r w:rsidRPr="002B55E9">
              <w:rPr>
                <w:szCs w:val="18"/>
              </w:rPr>
              <w:t>破裂导致泄漏</w:t>
            </w:r>
          </w:p>
        </w:tc>
        <w:tc>
          <w:tcPr>
            <w:tcW w:w="696" w:type="dxa"/>
            <w:shd w:val="clear" w:color="auto" w:fill="auto"/>
            <w:vAlign w:val="center"/>
          </w:tcPr>
          <w:p w14:paraId="3E602657" w14:textId="77777777" w:rsidR="00D170E5" w:rsidRPr="002B55E9" w:rsidRDefault="00EF27AD">
            <w:pPr>
              <w:pStyle w:val="affffffffffffffffff6"/>
              <w:ind w:left="-40" w:right="-40"/>
              <w:rPr>
                <w:szCs w:val="18"/>
              </w:rPr>
            </w:pPr>
            <w:r w:rsidRPr="002B55E9">
              <w:rPr>
                <w:rFonts w:hint="eastAsia"/>
                <w:szCs w:val="18"/>
              </w:rPr>
              <w:t>泄露</w:t>
            </w:r>
          </w:p>
        </w:tc>
        <w:tc>
          <w:tcPr>
            <w:tcW w:w="2178" w:type="dxa"/>
            <w:shd w:val="clear" w:color="auto" w:fill="auto"/>
            <w:vAlign w:val="center"/>
          </w:tcPr>
          <w:p w14:paraId="09ABA10A" w14:textId="77777777" w:rsidR="00D170E5" w:rsidRPr="002B55E9" w:rsidRDefault="00EF27AD">
            <w:pPr>
              <w:pStyle w:val="affffffffffffffffff6"/>
              <w:ind w:left="-40" w:right="-40"/>
              <w:rPr>
                <w:szCs w:val="18"/>
              </w:rPr>
            </w:pPr>
            <w:r w:rsidRPr="002B55E9">
              <w:rPr>
                <w:rFonts w:hint="eastAsia"/>
                <w:szCs w:val="18"/>
              </w:rPr>
              <w:t>储罐</w:t>
            </w:r>
            <w:r w:rsidRPr="002B55E9">
              <w:rPr>
                <w:szCs w:val="18"/>
              </w:rPr>
              <w:t>出口部位断裂、阀破损导致物料泄漏</w:t>
            </w:r>
          </w:p>
        </w:tc>
      </w:tr>
      <w:tr w:rsidR="00C60999" w:rsidRPr="002B55E9" w14:paraId="61BC274F" w14:textId="77777777">
        <w:trPr>
          <w:trHeight w:val="284"/>
          <w:jc w:val="center"/>
        </w:trPr>
        <w:tc>
          <w:tcPr>
            <w:tcW w:w="761" w:type="dxa"/>
            <w:shd w:val="clear" w:color="auto" w:fill="auto"/>
            <w:vAlign w:val="center"/>
          </w:tcPr>
          <w:p w14:paraId="77757353" w14:textId="77777777" w:rsidR="00D170E5" w:rsidRPr="002B55E9" w:rsidRDefault="00EF27AD">
            <w:pPr>
              <w:pStyle w:val="affffffffffffffffff6"/>
              <w:ind w:left="-40" w:right="-40"/>
              <w:rPr>
                <w:szCs w:val="18"/>
              </w:rPr>
            </w:pPr>
            <w:r w:rsidRPr="002B55E9">
              <w:rPr>
                <w:rFonts w:hint="eastAsia"/>
                <w:szCs w:val="18"/>
              </w:rPr>
              <w:t>5</w:t>
            </w:r>
          </w:p>
        </w:tc>
        <w:tc>
          <w:tcPr>
            <w:tcW w:w="1042" w:type="dxa"/>
            <w:vMerge w:val="restart"/>
            <w:shd w:val="clear" w:color="auto" w:fill="auto"/>
            <w:vAlign w:val="center"/>
          </w:tcPr>
          <w:p w14:paraId="6FD6266B" w14:textId="77777777" w:rsidR="00D170E5" w:rsidRPr="002B55E9" w:rsidRDefault="00EF27AD">
            <w:pPr>
              <w:pStyle w:val="affffffffffffffffff6"/>
              <w:ind w:left="-40" w:right="-40"/>
              <w:rPr>
                <w:szCs w:val="18"/>
              </w:rPr>
            </w:pPr>
            <w:r w:rsidRPr="002B55E9">
              <w:rPr>
                <w:rFonts w:hint="eastAsia"/>
                <w:szCs w:val="18"/>
              </w:rPr>
              <w:t>十三</w:t>
            </w:r>
            <w:r w:rsidRPr="002B55E9">
              <w:rPr>
                <w:szCs w:val="18"/>
              </w:rPr>
              <w:t>车间</w:t>
            </w:r>
            <w:r w:rsidRPr="002B55E9">
              <w:rPr>
                <w:rFonts w:hint="eastAsia"/>
                <w:szCs w:val="18"/>
              </w:rPr>
              <w:t>CIP</w:t>
            </w:r>
            <w:r w:rsidRPr="002B55E9">
              <w:rPr>
                <w:rFonts w:hint="eastAsia"/>
                <w:szCs w:val="18"/>
              </w:rPr>
              <w:t>清洗</w:t>
            </w:r>
            <w:r w:rsidRPr="002B55E9">
              <w:rPr>
                <w:szCs w:val="18"/>
              </w:rPr>
              <w:t>间</w:t>
            </w:r>
          </w:p>
        </w:tc>
        <w:tc>
          <w:tcPr>
            <w:tcW w:w="1079" w:type="dxa"/>
            <w:shd w:val="clear" w:color="auto" w:fill="auto"/>
            <w:vAlign w:val="center"/>
          </w:tcPr>
          <w:p w14:paraId="058CCD09" w14:textId="77777777" w:rsidR="00D170E5" w:rsidRPr="002B55E9" w:rsidRDefault="00EF27AD">
            <w:pPr>
              <w:pStyle w:val="affffffffffffffffff6"/>
              <w:ind w:left="-40" w:right="-40"/>
              <w:rPr>
                <w:szCs w:val="18"/>
              </w:rPr>
            </w:pPr>
            <w:r w:rsidRPr="002B55E9">
              <w:rPr>
                <w:rFonts w:hint="eastAsia"/>
                <w:szCs w:val="18"/>
              </w:rPr>
              <w:t>过氧</w:t>
            </w:r>
            <w:r w:rsidRPr="002B55E9">
              <w:rPr>
                <w:szCs w:val="18"/>
              </w:rPr>
              <w:t>乙酸</w:t>
            </w:r>
            <w:r w:rsidRPr="002B55E9">
              <w:rPr>
                <w:rFonts w:hint="eastAsia"/>
                <w:szCs w:val="18"/>
              </w:rPr>
              <w:t>*</w:t>
            </w:r>
          </w:p>
        </w:tc>
        <w:tc>
          <w:tcPr>
            <w:tcW w:w="1386" w:type="dxa"/>
            <w:shd w:val="clear" w:color="auto" w:fill="auto"/>
            <w:vAlign w:val="center"/>
          </w:tcPr>
          <w:p w14:paraId="05A296FC" w14:textId="77777777" w:rsidR="00D170E5" w:rsidRPr="002B55E9" w:rsidRDefault="00EF27AD">
            <w:pPr>
              <w:pStyle w:val="affffffffffffffffff6"/>
              <w:ind w:left="-40" w:right="-40"/>
              <w:rPr>
                <w:szCs w:val="18"/>
              </w:rPr>
            </w:pPr>
            <w:r w:rsidRPr="002B55E9">
              <w:rPr>
                <w:rFonts w:hint="eastAsia"/>
                <w:szCs w:val="18"/>
              </w:rPr>
              <w:t>250</w:t>
            </w:r>
            <w:r w:rsidRPr="002B55E9">
              <w:rPr>
                <w:szCs w:val="18"/>
              </w:rPr>
              <w:t>kg/</w:t>
            </w:r>
            <w:r w:rsidRPr="002B55E9">
              <w:rPr>
                <w:rFonts w:hint="eastAsia"/>
                <w:szCs w:val="18"/>
              </w:rPr>
              <w:t>桶</w:t>
            </w:r>
          </w:p>
        </w:tc>
        <w:tc>
          <w:tcPr>
            <w:tcW w:w="1385" w:type="dxa"/>
            <w:shd w:val="clear" w:color="auto" w:fill="auto"/>
            <w:vAlign w:val="center"/>
          </w:tcPr>
          <w:p w14:paraId="4986E450" w14:textId="77777777" w:rsidR="00D170E5" w:rsidRPr="002B55E9" w:rsidRDefault="00EF27AD">
            <w:pPr>
              <w:pStyle w:val="affffffffffffffffff6"/>
              <w:ind w:left="-40" w:right="-40"/>
              <w:rPr>
                <w:szCs w:val="18"/>
              </w:rPr>
            </w:pPr>
            <w:r w:rsidRPr="002B55E9">
              <w:rPr>
                <w:rFonts w:hint="eastAsia"/>
                <w:szCs w:val="18"/>
              </w:rPr>
              <w:t>0.1</w:t>
            </w:r>
          </w:p>
        </w:tc>
        <w:tc>
          <w:tcPr>
            <w:tcW w:w="1110" w:type="dxa"/>
            <w:vMerge w:val="restart"/>
            <w:shd w:val="clear" w:color="auto" w:fill="auto"/>
            <w:vAlign w:val="center"/>
          </w:tcPr>
          <w:p w14:paraId="56F1B5B1" w14:textId="77777777" w:rsidR="00D170E5" w:rsidRPr="002B55E9" w:rsidRDefault="00EF27AD">
            <w:pPr>
              <w:pStyle w:val="affffffffffffffffff6"/>
              <w:ind w:left="-40" w:right="-40"/>
              <w:rPr>
                <w:szCs w:val="18"/>
              </w:rPr>
            </w:pPr>
            <w:r w:rsidRPr="002B55E9">
              <w:rPr>
                <w:rFonts w:hint="eastAsia"/>
                <w:szCs w:val="18"/>
              </w:rPr>
              <w:t>容器</w:t>
            </w:r>
            <w:r w:rsidRPr="002B55E9">
              <w:rPr>
                <w:szCs w:val="18"/>
              </w:rPr>
              <w:t>破裂导致泄漏</w:t>
            </w:r>
          </w:p>
        </w:tc>
        <w:tc>
          <w:tcPr>
            <w:tcW w:w="696" w:type="dxa"/>
            <w:vMerge w:val="restart"/>
            <w:shd w:val="clear" w:color="auto" w:fill="auto"/>
            <w:vAlign w:val="center"/>
          </w:tcPr>
          <w:p w14:paraId="11D41EF8" w14:textId="77777777" w:rsidR="00D170E5" w:rsidRPr="002B55E9" w:rsidRDefault="00EF27AD">
            <w:pPr>
              <w:pStyle w:val="affffffffffffffffff6"/>
              <w:ind w:left="-40" w:right="-40"/>
              <w:rPr>
                <w:szCs w:val="18"/>
              </w:rPr>
            </w:pPr>
            <w:r w:rsidRPr="002B55E9">
              <w:rPr>
                <w:rFonts w:hint="eastAsia"/>
                <w:szCs w:val="18"/>
              </w:rPr>
              <w:t>泄露、</w:t>
            </w:r>
            <w:r w:rsidRPr="002B55E9">
              <w:rPr>
                <w:szCs w:val="18"/>
              </w:rPr>
              <w:t>火灾、爆炸</w:t>
            </w:r>
          </w:p>
        </w:tc>
        <w:tc>
          <w:tcPr>
            <w:tcW w:w="2178" w:type="dxa"/>
            <w:vMerge w:val="restart"/>
            <w:shd w:val="clear" w:color="auto" w:fill="auto"/>
            <w:vAlign w:val="center"/>
          </w:tcPr>
          <w:p w14:paraId="11B4D781" w14:textId="77777777" w:rsidR="00D170E5" w:rsidRPr="002B55E9" w:rsidRDefault="00EF27AD">
            <w:pPr>
              <w:pStyle w:val="affffffffffffffffff6"/>
              <w:ind w:left="-40" w:right="-40"/>
              <w:rPr>
                <w:szCs w:val="18"/>
              </w:rPr>
            </w:pPr>
            <w:r w:rsidRPr="002B55E9">
              <w:rPr>
                <w:szCs w:val="18"/>
              </w:rPr>
              <w:t>由包装物破裂导致物料泄漏引起中毒，</w:t>
            </w:r>
            <w:r w:rsidRPr="002B55E9">
              <w:rPr>
                <w:rFonts w:hint="eastAsia"/>
                <w:szCs w:val="18"/>
              </w:rPr>
              <w:t>过氧乙酸</w:t>
            </w:r>
            <w:r w:rsidRPr="002B55E9">
              <w:rPr>
                <w:szCs w:val="18"/>
              </w:rPr>
              <w:t>蒸汽遇静电放电、电火、花火、电弧导致的火苗造成火灾爆炸</w:t>
            </w:r>
          </w:p>
        </w:tc>
      </w:tr>
      <w:tr w:rsidR="00C60999" w:rsidRPr="002B55E9" w14:paraId="6D75935A" w14:textId="77777777">
        <w:trPr>
          <w:trHeight w:val="284"/>
          <w:jc w:val="center"/>
        </w:trPr>
        <w:tc>
          <w:tcPr>
            <w:tcW w:w="761" w:type="dxa"/>
            <w:shd w:val="clear" w:color="auto" w:fill="auto"/>
            <w:vAlign w:val="center"/>
          </w:tcPr>
          <w:p w14:paraId="0A3CEB6D" w14:textId="77777777" w:rsidR="00D170E5" w:rsidRPr="002B55E9" w:rsidRDefault="00EF27AD">
            <w:pPr>
              <w:pStyle w:val="affffffffffffffffff6"/>
              <w:ind w:left="-40" w:right="-40"/>
              <w:rPr>
                <w:szCs w:val="18"/>
              </w:rPr>
            </w:pPr>
            <w:r w:rsidRPr="002B55E9">
              <w:rPr>
                <w:rFonts w:hint="eastAsia"/>
                <w:szCs w:val="18"/>
              </w:rPr>
              <w:t>6</w:t>
            </w:r>
          </w:p>
        </w:tc>
        <w:tc>
          <w:tcPr>
            <w:tcW w:w="1042" w:type="dxa"/>
            <w:vMerge/>
            <w:shd w:val="clear" w:color="auto" w:fill="auto"/>
            <w:vAlign w:val="center"/>
          </w:tcPr>
          <w:p w14:paraId="5E207363" w14:textId="77777777" w:rsidR="00D170E5" w:rsidRPr="002B55E9" w:rsidRDefault="00D170E5">
            <w:pPr>
              <w:pStyle w:val="affffffffffffffffff6"/>
              <w:ind w:left="-40" w:right="-40"/>
              <w:rPr>
                <w:szCs w:val="18"/>
              </w:rPr>
            </w:pPr>
          </w:p>
        </w:tc>
        <w:tc>
          <w:tcPr>
            <w:tcW w:w="1079" w:type="dxa"/>
            <w:shd w:val="clear" w:color="auto" w:fill="auto"/>
            <w:vAlign w:val="center"/>
          </w:tcPr>
          <w:p w14:paraId="1DF77F0C" w14:textId="77777777" w:rsidR="00D170E5" w:rsidRPr="002B55E9" w:rsidRDefault="00EF27AD">
            <w:pPr>
              <w:pStyle w:val="affffffffffffffffff6"/>
              <w:ind w:left="-40" w:right="-40"/>
              <w:rPr>
                <w:szCs w:val="18"/>
              </w:rPr>
            </w:pPr>
            <w:r w:rsidRPr="002B55E9">
              <w:rPr>
                <w:rFonts w:hint="eastAsia"/>
                <w:szCs w:val="18"/>
              </w:rPr>
              <w:t>二氧化氯</w:t>
            </w:r>
            <w:r w:rsidRPr="002B55E9">
              <w:rPr>
                <w:rFonts w:hint="eastAsia"/>
                <w:szCs w:val="18"/>
              </w:rPr>
              <w:t>*</w:t>
            </w:r>
          </w:p>
        </w:tc>
        <w:tc>
          <w:tcPr>
            <w:tcW w:w="1386" w:type="dxa"/>
            <w:shd w:val="clear" w:color="auto" w:fill="auto"/>
            <w:vAlign w:val="center"/>
          </w:tcPr>
          <w:p w14:paraId="3AD1C048" w14:textId="77777777" w:rsidR="00D170E5" w:rsidRPr="002B55E9" w:rsidRDefault="00EF27AD">
            <w:pPr>
              <w:pStyle w:val="affffffffffffffffff6"/>
              <w:ind w:left="-40" w:right="-40"/>
              <w:rPr>
                <w:szCs w:val="18"/>
              </w:rPr>
            </w:pPr>
            <w:r w:rsidRPr="002B55E9">
              <w:rPr>
                <w:rFonts w:hint="eastAsia"/>
                <w:szCs w:val="18"/>
              </w:rPr>
              <w:t>25</w:t>
            </w:r>
            <w:r w:rsidRPr="002B55E9">
              <w:rPr>
                <w:szCs w:val="18"/>
              </w:rPr>
              <w:t>kg/</w:t>
            </w:r>
            <w:r w:rsidRPr="002B55E9">
              <w:rPr>
                <w:rFonts w:hint="eastAsia"/>
                <w:szCs w:val="18"/>
              </w:rPr>
              <w:t>桶</w:t>
            </w:r>
          </w:p>
        </w:tc>
        <w:tc>
          <w:tcPr>
            <w:tcW w:w="1385" w:type="dxa"/>
            <w:shd w:val="clear" w:color="auto" w:fill="auto"/>
            <w:vAlign w:val="center"/>
          </w:tcPr>
          <w:p w14:paraId="1BCA6A97" w14:textId="77777777" w:rsidR="00D170E5" w:rsidRPr="002B55E9" w:rsidRDefault="00EF27AD">
            <w:pPr>
              <w:pStyle w:val="affffffffffffffffff6"/>
              <w:ind w:left="-40" w:right="-40"/>
              <w:rPr>
                <w:szCs w:val="18"/>
              </w:rPr>
            </w:pPr>
            <w:r w:rsidRPr="002B55E9">
              <w:rPr>
                <w:rFonts w:hint="eastAsia"/>
                <w:szCs w:val="18"/>
              </w:rPr>
              <w:t>0.6</w:t>
            </w:r>
          </w:p>
        </w:tc>
        <w:tc>
          <w:tcPr>
            <w:tcW w:w="1110" w:type="dxa"/>
            <w:vMerge/>
            <w:shd w:val="clear" w:color="auto" w:fill="auto"/>
            <w:vAlign w:val="center"/>
          </w:tcPr>
          <w:p w14:paraId="3F67F3EE" w14:textId="77777777" w:rsidR="00D170E5" w:rsidRPr="002B55E9" w:rsidRDefault="00D170E5">
            <w:pPr>
              <w:pStyle w:val="affffffffffffffffff6"/>
              <w:ind w:left="-40" w:right="-40"/>
              <w:rPr>
                <w:szCs w:val="18"/>
              </w:rPr>
            </w:pPr>
          </w:p>
        </w:tc>
        <w:tc>
          <w:tcPr>
            <w:tcW w:w="696" w:type="dxa"/>
            <w:vMerge/>
            <w:shd w:val="clear" w:color="auto" w:fill="auto"/>
            <w:vAlign w:val="center"/>
          </w:tcPr>
          <w:p w14:paraId="1205B978"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00A8F96E" w14:textId="77777777" w:rsidR="00D170E5" w:rsidRPr="002B55E9" w:rsidRDefault="00D170E5">
            <w:pPr>
              <w:pStyle w:val="affffffffffffffffff6"/>
              <w:ind w:left="-40" w:right="-40"/>
              <w:rPr>
                <w:szCs w:val="18"/>
              </w:rPr>
            </w:pPr>
          </w:p>
        </w:tc>
      </w:tr>
      <w:tr w:rsidR="00C60999" w:rsidRPr="002B55E9" w14:paraId="3A30B7E4" w14:textId="77777777">
        <w:trPr>
          <w:trHeight w:val="284"/>
          <w:jc w:val="center"/>
        </w:trPr>
        <w:tc>
          <w:tcPr>
            <w:tcW w:w="761" w:type="dxa"/>
            <w:shd w:val="clear" w:color="auto" w:fill="auto"/>
            <w:vAlign w:val="center"/>
          </w:tcPr>
          <w:p w14:paraId="52A2CBD9" w14:textId="77777777" w:rsidR="00D170E5" w:rsidRPr="002B55E9" w:rsidRDefault="00EF27AD">
            <w:pPr>
              <w:pStyle w:val="affffffffffffffffff6"/>
              <w:ind w:left="-40" w:right="-40"/>
              <w:rPr>
                <w:szCs w:val="18"/>
              </w:rPr>
            </w:pPr>
            <w:r w:rsidRPr="002B55E9">
              <w:rPr>
                <w:rFonts w:hint="eastAsia"/>
                <w:szCs w:val="18"/>
              </w:rPr>
              <w:t>7</w:t>
            </w:r>
          </w:p>
        </w:tc>
        <w:tc>
          <w:tcPr>
            <w:tcW w:w="1042" w:type="dxa"/>
            <w:vMerge w:val="restart"/>
            <w:shd w:val="clear" w:color="auto" w:fill="auto"/>
            <w:vAlign w:val="center"/>
          </w:tcPr>
          <w:p w14:paraId="4A731547" w14:textId="77777777" w:rsidR="00D170E5" w:rsidRPr="002B55E9" w:rsidRDefault="00EF27AD">
            <w:pPr>
              <w:pStyle w:val="affffffffffffffffff6"/>
              <w:ind w:left="-40" w:right="-40"/>
              <w:rPr>
                <w:szCs w:val="18"/>
              </w:rPr>
            </w:pPr>
            <w:r w:rsidRPr="002B55E9">
              <w:rPr>
                <w:rFonts w:hint="eastAsia"/>
                <w:szCs w:val="18"/>
              </w:rPr>
              <w:t>十一车间</w:t>
            </w:r>
          </w:p>
          <w:p w14:paraId="3C042FA4" w14:textId="77777777" w:rsidR="00D170E5" w:rsidRPr="002B55E9" w:rsidRDefault="00EF27AD">
            <w:pPr>
              <w:pStyle w:val="affffffffffffffffff6"/>
              <w:ind w:left="-40" w:right="-40"/>
              <w:rPr>
                <w:szCs w:val="18"/>
              </w:rPr>
            </w:pPr>
            <w:r w:rsidRPr="002B55E9">
              <w:rPr>
                <w:szCs w:val="18"/>
              </w:rPr>
              <w:t>化验室</w:t>
            </w:r>
          </w:p>
        </w:tc>
        <w:tc>
          <w:tcPr>
            <w:tcW w:w="1079" w:type="dxa"/>
            <w:shd w:val="clear" w:color="auto" w:fill="auto"/>
            <w:vAlign w:val="center"/>
          </w:tcPr>
          <w:p w14:paraId="07A4812C" w14:textId="77777777" w:rsidR="00D170E5" w:rsidRPr="002B55E9" w:rsidRDefault="00EF27AD">
            <w:pPr>
              <w:jc w:val="center"/>
              <w:rPr>
                <w:rFonts w:ascii="宋体" w:hAnsi="宋体"/>
                <w:sz w:val="18"/>
                <w:szCs w:val="18"/>
              </w:rPr>
            </w:pPr>
            <w:r w:rsidRPr="002B55E9">
              <w:rPr>
                <w:rFonts w:ascii="宋体" w:hAnsi="宋体" w:hint="eastAsia"/>
                <w:sz w:val="18"/>
                <w:szCs w:val="18"/>
              </w:rPr>
              <w:t>硫酸</w:t>
            </w:r>
          </w:p>
        </w:tc>
        <w:tc>
          <w:tcPr>
            <w:tcW w:w="1386" w:type="dxa"/>
            <w:shd w:val="clear" w:color="auto" w:fill="auto"/>
            <w:vAlign w:val="center"/>
          </w:tcPr>
          <w:p w14:paraId="4CFC1940" w14:textId="77777777" w:rsidR="00D170E5" w:rsidRPr="002B55E9" w:rsidRDefault="00EF27AD">
            <w:pPr>
              <w:pStyle w:val="affffffffffffffffff6"/>
              <w:ind w:left="-40" w:right="-40"/>
              <w:rPr>
                <w:szCs w:val="18"/>
              </w:rPr>
            </w:pPr>
            <w:r w:rsidRPr="002B55E9">
              <w:rPr>
                <w:rFonts w:hint="eastAsia"/>
                <w:szCs w:val="18"/>
              </w:rPr>
              <w:t>500</w:t>
            </w:r>
            <w:r w:rsidRPr="002B55E9">
              <w:rPr>
                <w:szCs w:val="18"/>
              </w:rPr>
              <w:t>ml/</w:t>
            </w:r>
            <w:r w:rsidRPr="002B55E9">
              <w:rPr>
                <w:szCs w:val="18"/>
              </w:rPr>
              <w:t>瓶</w:t>
            </w:r>
          </w:p>
        </w:tc>
        <w:tc>
          <w:tcPr>
            <w:tcW w:w="1385" w:type="dxa"/>
            <w:shd w:val="clear" w:color="auto" w:fill="auto"/>
            <w:vAlign w:val="center"/>
          </w:tcPr>
          <w:p w14:paraId="7E6182CA" w14:textId="77777777" w:rsidR="00D170E5" w:rsidRPr="002B55E9" w:rsidRDefault="00EF27AD">
            <w:pPr>
              <w:jc w:val="center"/>
              <w:rPr>
                <w:rFonts w:eastAsia="等线"/>
                <w:sz w:val="18"/>
                <w:szCs w:val="18"/>
              </w:rPr>
            </w:pPr>
            <w:r w:rsidRPr="002B55E9">
              <w:rPr>
                <w:rFonts w:eastAsia="等线" w:hint="eastAsia"/>
                <w:sz w:val="18"/>
                <w:szCs w:val="18"/>
              </w:rPr>
              <w:t>0.0137</w:t>
            </w:r>
          </w:p>
        </w:tc>
        <w:tc>
          <w:tcPr>
            <w:tcW w:w="1110" w:type="dxa"/>
            <w:vMerge w:val="restart"/>
            <w:shd w:val="clear" w:color="auto" w:fill="auto"/>
            <w:vAlign w:val="center"/>
          </w:tcPr>
          <w:p w14:paraId="7DE377B7" w14:textId="77777777" w:rsidR="00D170E5" w:rsidRPr="002B55E9" w:rsidRDefault="00EF27AD">
            <w:pPr>
              <w:pStyle w:val="affffffffffffffffff6"/>
              <w:ind w:left="-40" w:right="-40"/>
              <w:rPr>
                <w:szCs w:val="18"/>
              </w:rPr>
            </w:pPr>
            <w:r w:rsidRPr="002B55E9">
              <w:rPr>
                <w:rFonts w:hint="eastAsia"/>
                <w:szCs w:val="18"/>
              </w:rPr>
              <w:t>容器</w:t>
            </w:r>
            <w:r w:rsidRPr="002B55E9">
              <w:rPr>
                <w:szCs w:val="18"/>
              </w:rPr>
              <w:t>破裂导致泄漏</w:t>
            </w:r>
          </w:p>
        </w:tc>
        <w:tc>
          <w:tcPr>
            <w:tcW w:w="696" w:type="dxa"/>
            <w:vMerge w:val="restart"/>
            <w:shd w:val="clear" w:color="auto" w:fill="auto"/>
            <w:vAlign w:val="center"/>
          </w:tcPr>
          <w:p w14:paraId="1A749CE5" w14:textId="77777777" w:rsidR="00D170E5" w:rsidRPr="002B55E9" w:rsidRDefault="00EF27AD">
            <w:pPr>
              <w:pStyle w:val="affffffffffffffffff6"/>
              <w:ind w:left="-40" w:right="-40"/>
              <w:rPr>
                <w:szCs w:val="18"/>
              </w:rPr>
            </w:pPr>
            <w:r w:rsidRPr="002B55E9">
              <w:rPr>
                <w:rFonts w:hint="eastAsia"/>
                <w:szCs w:val="18"/>
              </w:rPr>
              <w:t>泄露</w:t>
            </w:r>
          </w:p>
        </w:tc>
        <w:tc>
          <w:tcPr>
            <w:tcW w:w="2178" w:type="dxa"/>
            <w:vMerge w:val="restart"/>
            <w:shd w:val="clear" w:color="auto" w:fill="auto"/>
            <w:vAlign w:val="center"/>
          </w:tcPr>
          <w:p w14:paraId="06B3C8F3" w14:textId="77777777" w:rsidR="00D170E5" w:rsidRPr="002B55E9" w:rsidRDefault="00EF27AD">
            <w:pPr>
              <w:pStyle w:val="affffffffffffffffff6"/>
              <w:ind w:left="-40" w:right="-40"/>
              <w:rPr>
                <w:szCs w:val="18"/>
              </w:rPr>
            </w:pPr>
            <w:r w:rsidRPr="002B55E9">
              <w:rPr>
                <w:szCs w:val="18"/>
              </w:rPr>
              <w:t>由包装物破裂导致物料泄漏</w:t>
            </w:r>
          </w:p>
        </w:tc>
      </w:tr>
      <w:tr w:rsidR="00C60999" w:rsidRPr="002B55E9" w14:paraId="6C8DB7F6" w14:textId="77777777">
        <w:trPr>
          <w:trHeight w:val="284"/>
          <w:jc w:val="center"/>
        </w:trPr>
        <w:tc>
          <w:tcPr>
            <w:tcW w:w="761" w:type="dxa"/>
            <w:shd w:val="clear" w:color="auto" w:fill="auto"/>
            <w:vAlign w:val="center"/>
          </w:tcPr>
          <w:p w14:paraId="7A0B86B5" w14:textId="77777777" w:rsidR="00D170E5" w:rsidRPr="002B55E9" w:rsidRDefault="00EF27AD">
            <w:pPr>
              <w:pStyle w:val="affffffffffffffffff6"/>
              <w:ind w:left="-40" w:right="-40"/>
              <w:rPr>
                <w:szCs w:val="18"/>
              </w:rPr>
            </w:pPr>
            <w:r w:rsidRPr="002B55E9">
              <w:rPr>
                <w:rFonts w:hint="eastAsia"/>
                <w:szCs w:val="18"/>
              </w:rPr>
              <w:t>8</w:t>
            </w:r>
          </w:p>
        </w:tc>
        <w:tc>
          <w:tcPr>
            <w:tcW w:w="1042" w:type="dxa"/>
            <w:vMerge/>
            <w:shd w:val="clear" w:color="auto" w:fill="auto"/>
            <w:vAlign w:val="center"/>
          </w:tcPr>
          <w:p w14:paraId="273BC8A3" w14:textId="77777777" w:rsidR="00D170E5" w:rsidRPr="002B55E9" w:rsidRDefault="00D170E5">
            <w:pPr>
              <w:pStyle w:val="affffffffffffffffff6"/>
              <w:ind w:left="-40" w:right="-40"/>
              <w:rPr>
                <w:szCs w:val="18"/>
              </w:rPr>
            </w:pPr>
          </w:p>
        </w:tc>
        <w:tc>
          <w:tcPr>
            <w:tcW w:w="1079" w:type="dxa"/>
            <w:shd w:val="clear" w:color="auto" w:fill="auto"/>
            <w:vAlign w:val="center"/>
          </w:tcPr>
          <w:p w14:paraId="3B8CEADC" w14:textId="77777777" w:rsidR="00D170E5" w:rsidRPr="002B55E9" w:rsidRDefault="00EF27AD">
            <w:pPr>
              <w:jc w:val="center"/>
              <w:rPr>
                <w:rFonts w:ascii="宋体" w:hAnsi="宋体"/>
                <w:sz w:val="18"/>
                <w:szCs w:val="18"/>
              </w:rPr>
            </w:pPr>
            <w:r w:rsidRPr="002B55E9">
              <w:rPr>
                <w:rFonts w:ascii="宋体" w:hAnsi="宋体" w:hint="eastAsia"/>
                <w:sz w:val="18"/>
                <w:szCs w:val="18"/>
              </w:rPr>
              <w:t>甲醛</w:t>
            </w:r>
          </w:p>
        </w:tc>
        <w:tc>
          <w:tcPr>
            <w:tcW w:w="1386" w:type="dxa"/>
            <w:shd w:val="clear" w:color="auto" w:fill="auto"/>
            <w:vAlign w:val="center"/>
          </w:tcPr>
          <w:p w14:paraId="281AC500" w14:textId="77777777" w:rsidR="00D170E5" w:rsidRPr="002B55E9" w:rsidRDefault="00EF27AD">
            <w:pPr>
              <w:pStyle w:val="affffffffffffffffff6"/>
              <w:ind w:left="-40" w:right="-40"/>
              <w:rPr>
                <w:szCs w:val="18"/>
              </w:rPr>
            </w:pPr>
            <w:r w:rsidRPr="002B55E9">
              <w:rPr>
                <w:rFonts w:hint="eastAsia"/>
                <w:szCs w:val="18"/>
              </w:rPr>
              <w:t>500</w:t>
            </w:r>
            <w:r w:rsidRPr="002B55E9">
              <w:rPr>
                <w:szCs w:val="18"/>
              </w:rPr>
              <w:t>ml/</w:t>
            </w:r>
            <w:r w:rsidRPr="002B55E9">
              <w:rPr>
                <w:szCs w:val="18"/>
              </w:rPr>
              <w:t>瓶</w:t>
            </w:r>
          </w:p>
        </w:tc>
        <w:tc>
          <w:tcPr>
            <w:tcW w:w="1385" w:type="dxa"/>
            <w:shd w:val="clear" w:color="auto" w:fill="auto"/>
            <w:vAlign w:val="center"/>
          </w:tcPr>
          <w:p w14:paraId="26046AFE" w14:textId="77777777" w:rsidR="00D170E5" w:rsidRPr="002B55E9" w:rsidRDefault="00EF27AD">
            <w:pPr>
              <w:jc w:val="center"/>
              <w:rPr>
                <w:rFonts w:eastAsia="等线"/>
                <w:sz w:val="18"/>
                <w:szCs w:val="18"/>
              </w:rPr>
            </w:pPr>
            <w:r w:rsidRPr="002B55E9">
              <w:rPr>
                <w:rFonts w:eastAsia="等线" w:hint="eastAsia"/>
                <w:sz w:val="18"/>
                <w:szCs w:val="18"/>
              </w:rPr>
              <w:t>0.005</w:t>
            </w:r>
          </w:p>
        </w:tc>
        <w:tc>
          <w:tcPr>
            <w:tcW w:w="1110" w:type="dxa"/>
            <w:vMerge/>
            <w:shd w:val="clear" w:color="auto" w:fill="auto"/>
            <w:vAlign w:val="center"/>
          </w:tcPr>
          <w:p w14:paraId="12894B86" w14:textId="77777777" w:rsidR="00D170E5" w:rsidRPr="002B55E9" w:rsidRDefault="00D170E5">
            <w:pPr>
              <w:pStyle w:val="affffffffffffffffff6"/>
              <w:ind w:left="-40" w:right="-40"/>
              <w:rPr>
                <w:szCs w:val="18"/>
              </w:rPr>
            </w:pPr>
          </w:p>
        </w:tc>
        <w:tc>
          <w:tcPr>
            <w:tcW w:w="696" w:type="dxa"/>
            <w:vMerge/>
            <w:shd w:val="clear" w:color="auto" w:fill="auto"/>
            <w:vAlign w:val="center"/>
          </w:tcPr>
          <w:p w14:paraId="3822FE77"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3188EA35" w14:textId="77777777" w:rsidR="00D170E5" w:rsidRPr="002B55E9" w:rsidRDefault="00D170E5">
            <w:pPr>
              <w:pStyle w:val="affffffffffffffffff6"/>
              <w:ind w:left="-40" w:right="-40"/>
              <w:rPr>
                <w:szCs w:val="18"/>
              </w:rPr>
            </w:pPr>
          </w:p>
        </w:tc>
      </w:tr>
      <w:tr w:rsidR="00C60999" w:rsidRPr="002B55E9" w14:paraId="5B0A7B54" w14:textId="77777777">
        <w:trPr>
          <w:trHeight w:val="284"/>
          <w:jc w:val="center"/>
        </w:trPr>
        <w:tc>
          <w:tcPr>
            <w:tcW w:w="761" w:type="dxa"/>
            <w:shd w:val="clear" w:color="auto" w:fill="auto"/>
            <w:vAlign w:val="center"/>
          </w:tcPr>
          <w:p w14:paraId="13D747DD" w14:textId="77777777" w:rsidR="00D170E5" w:rsidRPr="002B55E9" w:rsidRDefault="00EF27AD">
            <w:pPr>
              <w:pStyle w:val="affffffffffffffffff6"/>
              <w:ind w:left="-40" w:right="-40"/>
              <w:rPr>
                <w:szCs w:val="18"/>
              </w:rPr>
            </w:pPr>
            <w:r w:rsidRPr="002B55E9">
              <w:rPr>
                <w:rFonts w:hint="eastAsia"/>
                <w:szCs w:val="18"/>
              </w:rPr>
              <w:t>9</w:t>
            </w:r>
          </w:p>
        </w:tc>
        <w:tc>
          <w:tcPr>
            <w:tcW w:w="1042" w:type="dxa"/>
            <w:vMerge/>
            <w:shd w:val="clear" w:color="auto" w:fill="auto"/>
            <w:vAlign w:val="center"/>
          </w:tcPr>
          <w:p w14:paraId="44ECA78D" w14:textId="77777777" w:rsidR="00D170E5" w:rsidRPr="002B55E9" w:rsidRDefault="00D170E5">
            <w:pPr>
              <w:pStyle w:val="affffffffffffffffff6"/>
              <w:ind w:left="-40" w:right="-40"/>
              <w:rPr>
                <w:szCs w:val="18"/>
              </w:rPr>
            </w:pPr>
          </w:p>
        </w:tc>
        <w:tc>
          <w:tcPr>
            <w:tcW w:w="1079" w:type="dxa"/>
            <w:shd w:val="clear" w:color="auto" w:fill="auto"/>
            <w:vAlign w:val="center"/>
          </w:tcPr>
          <w:p w14:paraId="45E4A3E4" w14:textId="77777777" w:rsidR="00D170E5" w:rsidRPr="002B55E9" w:rsidRDefault="00EF27AD">
            <w:pPr>
              <w:jc w:val="center"/>
              <w:rPr>
                <w:rFonts w:ascii="宋体" w:hAnsi="宋体"/>
                <w:sz w:val="18"/>
                <w:szCs w:val="18"/>
              </w:rPr>
            </w:pPr>
            <w:r w:rsidRPr="002B55E9">
              <w:rPr>
                <w:rFonts w:ascii="宋体" w:hAnsi="宋体" w:hint="eastAsia"/>
                <w:sz w:val="18"/>
                <w:szCs w:val="18"/>
              </w:rPr>
              <w:t>盐酸</w:t>
            </w:r>
          </w:p>
        </w:tc>
        <w:tc>
          <w:tcPr>
            <w:tcW w:w="1386" w:type="dxa"/>
            <w:shd w:val="clear" w:color="auto" w:fill="auto"/>
            <w:vAlign w:val="center"/>
          </w:tcPr>
          <w:p w14:paraId="6F70293B" w14:textId="77777777" w:rsidR="00D170E5" w:rsidRPr="002B55E9" w:rsidRDefault="00EF27AD">
            <w:pPr>
              <w:pStyle w:val="affffffffffffffffff6"/>
              <w:ind w:left="-40" w:right="-40"/>
              <w:rPr>
                <w:szCs w:val="18"/>
              </w:rPr>
            </w:pPr>
            <w:r w:rsidRPr="002B55E9">
              <w:rPr>
                <w:rFonts w:hint="eastAsia"/>
                <w:szCs w:val="18"/>
              </w:rPr>
              <w:t>500</w:t>
            </w:r>
            <w:r w:rsidRPr="002B55E9">
              <w:rPr>
                <w:szCs w:val="18"/>
              </w:rPr>
              <w:t>ml/</w:t>
            </w:r>
            <w:r w:rsidRPr="002B55E9">
              <w:rPr>
                <w:szCs w:val="18"/>
              </w:rPr>
              <w:t>瓶</w:t>
            </w:r>
          </w:p>
        </w:tc>
        <w:tc>
          <w:tcPr>
            <w:tcW w:w="1385" w:type="dxa"/>
            <w:shd w:val="clear" w:color="auto" w:fill="auto"/>
            <w:vAlign w:val="center"/>
          </w:tcPr>
          <w:p w14:paraId="3CEAC09C" w14:textId="77777777" w:rsidR="00D170E5" w:rsidRPr="002B55E9" w:rsidRDefault="00EF27AD">
            <w:pPr>
              <w:jc w:val="center"/>
              <w:rPr>
                <w:rFonts w:eastAsia="等线"/>
                <w:sz w:val="18"/>
                <w:szCs w:val="18"/>
              </w:rPr>
            </w:pPr>
            <w:r w:rsidRPr="002B55E9">
              <w:rPr>
                <w:rFonts w:eastAsia="等线" w:hint="eastAsia"/>
                <w:sz w:val="18"/>
                <w:szCs w:val="18"/>
              </w:rPr>
              <w:t>0.00059</w:t>
            </w:r>
          </w:p>
        </w:tc>
        <w:tc>
          <w:tcPr>
            <w:tcW w:w="1110" w:type="dxa"/>
            <w:vMerge/>
            <w:shd w:val="clear" w:color="auto" w:fill="auto"/>
            <w:vAlign w:val="center"/>
          </w:tcPr>
          <w:p w14:paraId="14EBE409" w14:textId="77777777" w:rsidR="00D170E5" w:rsidRPr="002B55E9" w:rsidRDefault="00D170E5">
            <w:pPr>
              <w:pStyle w:val="affffffffffffffffff6"/>
              <w:ind w:left="-40" w:right="-40"/>
              <w:rPr>
                <w:szCs w:val="18"/>
              </w:rPr>
            </w:pPr>
          </w:p>
        </w:tc>
        <w:tc>
          <w:tcPr>
            <w:tcW w:w="696" w:type="dxa"/>
            <w:vMerge/>
            <w:shd w:val="clear" w:color="auto" w:fill="auto"/>
            <w:vAlign w:val="center"/>
          </w:tcPr>
          <w:p w14:paraId="3897EC0F"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3747DD88" w14:textId="77777777" w:rsidR="00D170E5" w:rsidRPr="002B55E9" w:rsidRDefault="00D170E5">
            <w:pPr>
              <w:pStyle w:val="affffffffffffffffff6"/>
              <w:ind w:left="-40" w:right="-40"/>
              <w:rPr>
                <w:szCs w:val="18"/>
              </w:rPr>
            </w:pPr>
          </w:p>
        </w:tc>
      </w:tr>
      <w:tr w:rsidR="00C60999" w:rsidRPr="002B55E9" w14:paraId="1A8F42DE" w14:textId="77777777">
        <w:trPr>
          <w:trHeight w:val="284"/>
          <w:jc w:val="center"/>
        </w:trPr>
        <w:tc>
          <w:tcPr>
            <w:tcW w:w="761" w:type="dxa"/>
            <w:shd w:val="clear" w:color="auto" w:fill="auto"/>
            <w:vAlign w:val="center"/>
          </w:tcPr>
          <w:p w14:paraId="3C2A25F3" w14:textId="77777777" w:rsidR="00D170E5" w:rsidRPr="002B55E9" w:rsidRDefault="00EF27AD">
            <w:pPr>
              <w:pStyle w:val="affffffffffffffffff6"/>
              <w:ind w:left="-40" w:right="-40"/>
              <w:rPr>
                <w:szCs w:val="18"/>
              </w:rPr>
            </w:pPr>
            <w:r w:rsidRPr="002B55E9">
              <w:rPr>
                <w:rFonts w:hint="eastAsia"/>
                <w:szCs w:val="18"/>
              </w:rPr>
              <w:t>10</w:t>
            </w:r>
          </w:p>
        </w:tc>
        <w:tc>
          <w:tcPr>
            <w:tcW w:w="1042" w:type="dxa"/>
            <w:vMerge/>
            <w:shd w:val="clear" w:color="auto" w:fill="auto"/>
            <w:vAlign w:val="center"/>
          </w:tcPr>
          <w:p w14:paraId="37FEAC5A" w14:textId="77777777" w:rsidR="00D170E5" w:rsidRPr="002B55E9" w:rsidRDefault="00D170E5">
            <w:pPr>
              <w:pStyle w:val="affffffffffffffffff6"/>
              <w:ind w:left="-40" w:right="-40"/>
              <w:rPr>
                <w:szCs w:val="18"/>
              </w:rPr>
            </w:pPr>
          </w:p>
        </w:tc>
        <w:tc>
          <w:tcPr>
            <w:tcW w:w="1079" w:type="dxa"/>
            <w:shd w:val="clear" w:color="auto" w:fill="auto"/>
            <w:vAlign w:val="center"/>
          </w:tcPr>
          <w:p w14:paraId="4026C0B4" w14:textId="77777777" w:rsidR="00D170E5" w:rsidRPr="002B55E9" w:rsidRDefault="00EF27AD">
            <w:pPr>
              <w:jc w:val="center"/>
              <w:rPr>
                <w:rFonts w:ascii="宋体" w:hAnsi="宋体"/>
                <w:sz w:val="18"/>
                <w:szCs w:val="18"/>
              </w:rPr>
            </w:pPr>
            <w:r w:rsidRPr="002B55E9">
              <w:rPr>
                <w:rFonts w:ascii="宋体" w:hAnsi="宋体" w:hint="eastAsia"/>
                <w:sz w:val="18"/>
                <w:szCs w:val="18"/>
              </w:rPr>
              <w:t>乙醚</w:t>
            </w:r>
          </w:p>
        </w:tc>
        <w:tc>
          <w:tcPr>
            <w:tcW w:w="1386" w:type="dxa"/>
            <w:shd w:val="clear" w:color="auto" w:fill="auto"/>
            <w:vAlign w:val="center"/>
          </w:tcPr>
          <w:p w14:paraId="29BB8239" w14:textId="77777777" w:rsidR="00D170E5" w:rsidRPr="002B55E9" w:rsidRDefault="00EF27AD">
            <w:pPr>
              <w:pStyle w:val="affffffffffffffffff6"/>
              <w:ind w:left="-40" w:right="-40"/>
              <w:rPr>
                <w:szCs w:val="18"/>
              </w:rPr>
            </w:pPr>
            <w:r w:rsidRPr="002B55E9">
              <w:rPr>
                <w:rFonts w:hint="eastAsia"/>
                <w:szCs w:val="18"/>
              </w:rPr>
              <w:t>500</w:t>
            </w:r>
            <w:r w:rsidRPr="002B55E9">
              <w:rPr>
                <w:szCs w:val="18"/>
              </w:rPr>
              <w:t>ml/</w:t>
            </w:r>
            <w:r w:rsidRPr="002B55E9">
              <w:rPr>
                <w:szCs w:val="18"/>
              </w:rPr>
              <w:t>瓶</w:t>
            </w:r>
          </w:p>
        </w:tc>
        <w:tc>
          <w:tcPr>
            <w:tcW w:w="1385" w:type="dxa"/>
            <w:shd w:val="clear" w:color="auto" w:fill="auto"/>
            <w:vAlign w:val="center"/>
          </w:tcPr>
          <w:p w14:paraId="197F8D77" w14:textId="77777777" w:rsidR="00D170E5" w:rsidRPr="002B55E9" w:rsidRDefault="00EF27AD">
            <w:pPr>
              <w:jc w:val="center"/>
              <w:rPr>
                <w:rFonts w:eastAsia="等线"/>
                <w:sz w:val="18"/>
                <w:szCs w:val="18"/>
              </w:rPr>
            </w:pPr>
            <w:r w:rsidRPr="002B55E9">
              <w:rPr>
                <w:rFonts w:eastAsia="等线" w:hint="eastAsia"/>
                <w:sz w:val="18"/>
                <w:szCs w:val="18"/>
              </w:rPr>
              <w:t>0.000357</w:t>
            </w:r>
          </w:p>
        </w:tc>
        <w:tc>
          <w:tcPr>
            <w:tcW w:w="1110" w:type="dxa"/>
            <w:vMerge/>
            <w:shd w:val="clear" w:color="auto" w:fill="auto"/>
            <w:vAlign w:val="center"/>
          </w:tcPr>
          <w:p w14:paraId="4D62D004" w14:textId="77777777" w:rsidR="00D170E5" w:rsidRPr="002B55E9" w:rsidRDefault="00D170E5">
            <w:pPr>
              <w:pStyle w:val="affffffffffffffffff6"/>
              <w:ind w:left="-40" w:right="-40"/>
              <w:rPr>
                <w:szCs w:val="18"/>
              </w:rPr>
            </w:pPr>
          </w:p>
        </w:tc>
        <w:tc>
          <w:tcPr>
            <w:tcW w:w="696" w:type="dxa"/>
            <w:vMerge/>
            <w:shd w:val="clear" w:color="auto" w:fill="auto"/>
            <w:vAlign w:val="center"/>
          </w:tcPr>
          <w:p w14:paraId="62D315B9" w14:textId="77777777" w:rsidR="00D170E5" w:rsidRPr="002B55E9" w:rsidRDefault="00D170E5">
            <w:pPr>
              <w:pStyle w:val="affffffffffffffffff6"/>
              <w:ind w:left="-40" w:right="-40"/>
              <w:rPr>
                <w:szCs w:val="18"/>
              </w:rPr>
            </w:pPr>
          </w:p>
        </w:tc>
        <w:tc>
          <w:tcPr>
            <w:tcW w:w="2178" w:type="dxa"/>
            <w:vMerge/>
            <w:shd w:val="clear" w:color="auto" w:fill="auto"/>
            <w:vAlign w:val="center"/>
          </w:tcPr>
          <w:p w14:paraId="56F5461A" w14:textId="77777777" w:rsidR="00D170E5" w:rsidRPr="002B55E9" w:rsidRDefault="00D170E5">
            <w:pPr>
              <w:pStyle w:val="affffffffffffffffff6"/>
              <w:ind w:left="-40" w:right="-40"/>
              <w:rPr>
                <w:szCs w:val="18"/>
              </w:rPr>
            </w:pPr>
          </w:p>
        </w:tc>
      </w:tr>
      <w:tr w:rsidR="00C60999" w:rsidRPr="002B55E9" w14:paraId="5BC328CD" w14:textId="77777777">
        <w:trPr>
          <w:trHeight w:val="284"/>
          <w:jc w:val="center"/>
        </w:trPr>
        <w:tc>
          <w:tcPr>
            <w:tcW w:w="761" w:type="dxa"/>
            <w:shd w:val="clear" w:color="auto" w:fill="auto"/>
            <w:vAlign w:val="center"/>
          </w:tcPr>
          <w:p w14:paraId="4AA0D588" w14:textId="6BC29091" w:rsidR="00362261" w:rsidRPr="002B55E9" w:rsidRDefault="00362261" w:rsidP="00362261">
            <w:pPr>
              <w:pStyle w:val="affffffffffffffffff6"/>
              <w:ind w:left="-40" w:right="-40"/>
              <w:rPr>
                <w:szCs w:val="18"/>
              </w:rPr>
            </w:pPr>
            <w:r w:rsidRPr="002B55E9">
              <w:rPr>
                <w:rFonts w:hint="eastAsia"/>
                <w:szCs w:val="18"/>
              </w:rPr>
              <w:t>1</w:t>
            </w:r>
            <w:r w:rsidRPr="002B55E9">
              <w:rPr>
                <w:szCs w:val="18"/>
              </w:rPr>
              <w:t>1</w:t>
            </w:r>
          </w:p>
        </w:tc>
        <w:tc>
          <w:tcPr>
            <w:tcW w:w="1042" w:type="dxa"/>
            <w:shd w:val="clear" w:color="auto" w:fill="auto"/>
            <w:vAlign w:val="center"/>
          </w:tcPr>
          <w:p w14:paraId="172C943B" w14:textId="2230FA05" w:rsidR="00362261" w:rsidRPr="002B55E9" w:rsidRDefault="00362261" w:rsidP="00362261">
            <w:pPr>
              <w:pStyle w:val="affffffffffffffffff6"/>
              <w:ind w:left="-40" w:right="-40"/>
              <w:rPr>
                <w:szCs w:val="18"/>
              </w:rPr>
            </w:pPr>
            <w:r w:rsidRPr="002B55E9">
              <w:rPr>
                <w:rFonts w:hint="eastAsia"/>
                <w:szCs w:val="18"/>
              </w:rPr>
              <w:t>危废暂存间</w:t>
            </w:r>
          </w:p>
        </w:tc>
        <w:tc>
          <w:tcPr>
            <w:tcW w:w="1079" w:type="dxa"/>
            <w:shd w:val="clear" w:color="auto" w:fill="auto"/>
            <w:vAlign w:val="center"/>
          </w:tcPr>
          <w:p w14:paraId="243F5C66" w14:textId="4BF468A8" w:rsidR="00362261" w:rsidRPr="002B55E9" w:rsidRDefault="00362261" w:rsidP="00362261">
            <w:pPr>
              <w:jc w:val="center"/>
              <w:rPr>
                <w:rFonts w:ascii="宋体" w:hAnsi="宋体"/>
                <w:sz w:val="18"/>
                <w:szCs w:val="18"/>
              </w:rPr>
            </w:pPr>
            <w:r w:rsidRPr="002B55E9">
              <w:rPr>
                <w:rFonts w:ascii="宋体" w:hAnsi="宋体" w:hint="eastAsia"/>
                <w:sz w:val="18"/>
                <w:szCs w:val="18"/>
              </w:rPr>
              <w:t>废机油</w:t>
            </w:r>
          </w:p>
        </w:tc>
        <w:tc>
          <w:tcPr>
            <w:tcW w:w="1386" w:type="dxa"/>
            <w:shd w:val="clear" w:color="auto" w:fill="auto"/>
            <w:vAlign w:val="center"/>
          </w:tcPr>
          <w:p w14:paraId="2DC87B0A" w14:textId="448055C0" w:rsidR="00362261" w:rsidRPr="002B55E9" w:rsidRDefault="00362261" w:rsidP="00362261">
            <w:pPr>
              <w:pStyle w:val="affffffffffffffffff6"/>
              <w:ind w:left="-40" w:right="-40"/>
              <w:rPr>
                <w:szCs w:val="18"/>
              </w:rPr>
            </w:pPr>
            <w:r w:rsidRPr="002B55E9">
              <w:rPr>
                <w:rFonts w:hint="eastAsia"/>
                <w:szCs w:val="18"/>
              </w:rPr>
              <w:t>2</w:t>
            </w:r>
            <w:r w:rsidRPr="002B55E9">
              <w:rPr>
                <w:szCs w:val="18"/>
              </w:rPr>
              <w:t>00L/</w:t>
            </w:r>
            <w:r w:rsidRPr="002B55E9">
              <w:rPr>
                <w:rFonts w:hint="eastAsia"/>
                <w:szCs w:val="18"/>
              </w:rPr>
              <w:t>桶</w:t>
            </w:r>
          </w:p>
        </w:tc>
        <w:tc>
          <w:tcPr>
            <w:tcW w:w="1385" w:type="dxa"/>
            <w:shd w:val="clear" w:color="auto" w:fill="auto"/>
            <w:vAlign w:val="center"/>
          </w:tcPr>
          <w:p w14:paraId="7F24FB22" w14:textId="0EA3C30D" w:rsidR="00362261" w:rsidRPr="002B55E9" w:rsidRDefault="00362261" w:rsidP="00362261">
            <w:pPr>
              <w:jc w:val="center"/>
              <w:rPr>
                <w:rFonts w:eastAsia="等线"/>
                <w:sz w:val="18"/>
                <w:szCs w:val="18"/>
              </w:rPr>
            </w:pPr>
            <w:r w:rsidRPr="002B55E9">
              <w:rPr>
                <w:rFonts w:eastAsia="等线" w:hint="eastAsia"/>
                <w:sz w:val="18"/>
                <w:szCs w:val="18"/>
              </w:rPr>
              <w:t>0</w:t>
            </w:r>
            <w:r w:rsidRPr="002B55E9">
              <w:rPr>
                <w:rFonts w:eastAsia="等线"/>
                <w:sz w:val="18"/>
                <w:szCs w:val="18"/>
              </w:rPr>
              <w:t>.5</w:t>
            </w:r>
          </w:p>
        </w:tc>
        <w:tc>
          <w:tcPr>
            <w:tcW w:w="1110" w:type="dxa"/>
            <w:shd w:val="clear" w:color="auto" w:fill="auto"/>
            <w:vAlign w:val="center"/>
          </w:tcPr>
          <w:p w14:paraId="48C332A6" w14:textId="1BE8AE6F" w:rsidR="00362261" w:rsidRPr="002B55E9" w:rsidRDefault="00362261" w:rsidP="00362261">
            <w:pPr>
              <w:pStyle w:val="affffffffffffffffff6"/>
              <w:ind w:left="-40" w:right="-40"/>
              <w:rPr>
                <w:szCs w:val="18"/>
              </w:rPr>
            </w:pPr>
            <w:r w:rsidRPr="002B55E9">
              <w:rPr>
                <w:rFonts w:hint="eastAsia"/>
                <w:szCs w:val="18"/>
              </w:rPr>
              <w:t>容器</w:t>
            </w:r>
            <w:r w:rsidRPr="002B55E9">
              <w:rPr>
                <w:szCs w:val="18"/>
              </w:rPr>
              <w:t>破裂导致泄漏</w:t>
            </w:r>
          </w:p>
        </w:tc>
        <w:tc>
          <w:tcPr>
            <w:tcW w:w="696" w:type="dxa"/>
            <w:shd w:val="clear" w:color="auto" w:fill="auto"/>
            <w:vAlign w:val="center"/>
          </w:tcPr>
          <w:p w14:paraId="037AE858" w14:textId="4878A8F2" w:rsidR="00362261" w:rsidRPr="002B55E9" w:rsidRDefault="00362261" w:rsidP="00362261">
            <w:pPr>
              <w:pStyle w:val="affffffffffffffffff6"/>
              <w:ind w:left="-40" w:right="-40"/>
              <w:rPr>
                <w:szCs w:val="18"/>
              </w:rPr>
            </w:pPr>
            <w:r w:rsidRPr="002B55E9">
              <w:rPr>
                <w:rFonts w:hint="eastAsia"/>
                <w:szCs w:val="18"/>
              </w:rPr>
              <w:t>泄露</w:t>
            </w:r>
          </w:p>
        </w:tc>
        <w:tc>
          <w:tcPr>
            <w:tcW w:w="2178" w:type="dxa"/>
            <w:shd w:val="clear" w:color="auto" w:fill="auto"/>
            <w:vAlign w:val="center"/>
          </w:tcPr>
          <w:p w14:paraId="1D3029E0" w14:textId="1BA2914D" w:rsidR="00362261" w:rsidRPr="002B55E9" w:rsidRDefault="00362261" w:rsidP="00362261">
            <w:pPr>
              <w:pStyle w:val="affffffffffffffffff6"/>
              <w:ind w:left="-40" w:right="-40"/>
              <w:rPr>
                <w:szCs w:val="18"/>
              </w:rPr>
            </w:pPr>
            <w:r w:rsidRPr="002B55E9">
              <w:rPr>
                <w:szCs w:val="18"/>
              </w:rPr>
              <w:t>由包装物破裂导致物料泄漏</w:t>
            </w:r>
          </w:p>
        </w:tc>
      </w:tr>
      <w:tr w:rsidR="00C60999" w:rsidRPr="002B55E9" w14:paraId="0502F092" w14:textId="77777777">
        <w:trPr>
          <w:trHeight w:val="284"/>
          <w:jc w:val="center"/>
        </w:trPr>
        <w:tc>
          <w:tcPr>
            <w:tcW w:w="9637" w:type="dxa"/>
            <w:gridSpan w:val="8"/>
            <w:shd w:val="clear" w:color="auto" w:fill="auto"/>
            <w:vAlign w:val="center"/>
          </w:tcPr>
          <w:p w14:paraId="0504F5F3" w14:textId="77777777" w:rsidR="00D170E5" w:rsidRPr="002B55E9" w:rsidRDefault="00EF27AD">
            <w:pPr>
              <w:pStyle w:val="affffffffffffffffff6"/>
              <w:ind w:left="-40" w:right="-40"/>
              <w:jc w:val="left"/>
              <w:rPr>
                <w:szCs w:val="18"/>
              </w:rPr>
            </w:pPr>
            <w:r w:rsidRPr="002B55E9">
              <w:rPr>
                <w:rFonts w:hint="eastAsia"/>
                <w:szCs w:val="18"/>
              </w:rPr>
              <w:t>注</w:t>
            </w:r>
            <w:r w:rsidRPr="002B55E9">
              <w:rPr>
                <w:rFonts w:hint="eastAsia"/>
                <w:szCs w:val="18"/>
              </w:rPr>
              <w:t>1</w:t>
            </w:r>
            <w:r w:rsidRPr="002B55E9">
              <w:rPr>
                <w:szCs w:val="18"/>
              </w:rPr>
              <w:t>：由于</w:t>
            </w:r>
            <w:r w:rsidRPr="002B55E9">
              <w:rPr>
                <w:rFonts w:hint="eastAsia"/>
                <w:szCs w:val="18"/>
              </w:rPr>
              <w:t>罐区</w:t>
            </w:r>
            <w:r w:rsidRPr="002B55E9">
              <w:rPr>
                <w:szCs w:val="18"/>
              </w:rPr>
              <w:t>及生产车间</w:t>
            </w:r>
            <w:r w:rsidRPr="002B55E9">
              <w:rPr>
                <w:rFonts w:hint="eastAsia"/>
                <w:szCs w:val="18"/>
              </w:rPr>
              <w:t>储存</w:t>
            </w:r>
            <w:r w:rsidRPr="002B55E9">
              <w:rPr>
                <w:szCs w:val="18"/>
              </w:rPr>
              <w:t>的乙酸</w:t>
            </w:r>
            <w:r w:rsidRPr="002B55E9">
              <w:rPr>
                <w:rFonts w:hint="eastAsia"/>
                <w:szCs w:val="18"/>
              </w:rPr>
              <w:t>均来自于</w:t>
            </w:r>
            <w:r w:rsidRPr="002B55E9">
              <w:rPr>
                <w:szCs w:val="18"/>
              </w:rPr>
              <w:t>生产原料中的</w:t>
            </w:r>
            <w:r w:rsidRPr="002B55E9">
              <w:rPr>
                <w:rFonts w:hint="eastAsia"/>
                <w:szCs w:val="18"/>
              </w:rPr>
              <w:t>醋胚及陈香醋半成品</w:t>
            </w:r>
            <w:r w:rsidRPr="002B55E9">
              <w:rPr>
                <w:szCs w:val="18"/>
              </w:rPr>
              <w:t>，</w:t>
            </w:r>
            <w:r w:rsidRPr="002B55E9">
              <w:rPr>
                <w:rFonts w:hint="eastAsia"/>
                <w:szCs w:val="18"/>
              </w:rPr>
              <w:t>其</w:t>
            </w:r>
            <w:r w:rsidRPr="002B55E9">
              <w:rPr>
                <w:szCs w:val="18"/>
              </w:rPr>
              <w:t>乙酸含量最高约</w:t>
            </w:r>
            <w:r w:rsidRPr="002B55E9">
              <w:rPr>
                <w:rFonts w:hint="eastAsia"/>
                <w:szCs w:val="18"/>
              </w:rPr>
              <w:t>1</w:t>
            </w:r>
            <w:r w:rsidRPr="002B55E9">
              <w:rPr>
                <w:szCs w:val="18"/>
              </w:rPr>
              <w:t>1.1%</w:t>
            </w:r>
            <w:r w:rsidRPr="002B55E9">
              <w:rPr>
                <w:szCs w:val="18"/>
              </w:rPr>
              <w:t>，不</w:t>
            </w:r>
            <w:r w:rsidRPr="002B55E9">
              <w:rPr>
                <w:rFonts w:hint="eastAsia"/>
                <w:szCs w:val="18"/>
              </w:rPr>
              <w:t>具</w:t>
            </w:r>
            <w:r w:rsidRPr="002B55E9">
              <w:rPr>
                <w:szCs w:val="18"/>
              </w:rPr>
              <w:t>可燃性，</w:t>
            </w:r>
            <w:r w:rsidRPr="002B55E9">
              <w:rPr>
                <w:rFonts w:hint="eastAsia"/>
                <w:szCs w:val="18"/>
              </w:rPr>
              <w:t>故不</w:t>
            </w:r>
            <w:r w:rsidRPr="002B55E9">
              <w:rPr>
                <w:szCs w:val="18"/>
              </w:rPr>
              <w:t>考虑乙酸导致的火灾及爆炸</w:t>
            </w:r>
            <w:r w:rsidRPr="002B55E9">
              <w:rPr>
                <w:rFonts w:hint="eastAsia"/>
                <w:szCs w:val="18"/>
              </w:rPr>
              <w:t>；</w:t>
            </w:r>
          </w:p>
          <w:p w14:paraId="2A5C20B4" w14:textId="77777777" w:rsidR="00D170E5" w:rsidRPr="002B55E9" w:rsidRDefault="00EF27AD">
            <w:pPr>
              <w:pStyle w:val="affffffffffffffffff6"/>
              <w:ind w:left="-40" w:right="-40"/>
              <w:jc w:val="left"/>
              <w:rPr>
                <w:szCs w:val="18"/>
              </w:rPr>
            </w:pPr>
            <w:r w:rsidRPr="002B55E9">
              <w:rPr>
                <w:rFonts w:hint="eastAsia"/>
                <w:szCs w:val="18"/>
              </w:rPr>
              <w:t>注</w:t>
            </w:r>
            <w:r w:rsidRPr="002B55E9">
              <w:rPr>
                <w:rFonts w:hint="eastAsia"/>
                <w:szCs w:val="18"/>
              </w:rPr>
              <w:t>2</w:t>
            </w:r>
            <w:r w:rsidRPr="002B55E9">
              <w:rPr>
                <w:rFonts w:hint="eastAsia"/>
                <w:szCs w:val="18"/>
              </w:rPr>
              <w:t>：</w:t>
            </w:r>
            <w:r w:rsidRPr="002B55E9">
              <w:rPr>
                <w:szCs w:val="18"/>
              </w:rPr>
              <w:t>过氧乙酸溶液浓度</w:t>
            </w:r>
            <w:r w:rsidRPr="002B55E9">
              <w:rPr>
                <w:rFonts w:hint="eastAsia"/>
                <w:szCs w:val="18"/>
              </w:rPr>
              <w:t>大于</w:t>
            </w:r>
            <w:r w:rsidRPr="002B55E9">
              <w:rPr>
                <w:rFonts w:hint="eastAsia"/>
                <w:szCs w:val="18"/>
              </w:rPr>
              <w:t>4</w:t>
            </w:r>
            <w:r w:rsidRPr="002B55E9">
              <w:rPr>
                <w:szCs w:val="18"/>
              </w:rPr>
              <w:t>5%</w:t>
            </w:r>
            <w:r w:rsidRPr="002B55E9">
              <w:rPr>
                <w:szCs w:val="18"/>
              </w:rPr>
              <w:t>即具有爆炸性，本项目使用的</w:t>
            </w:r>
            <w:r w:rsidRPr="002B55E9">
              <w:rPr>
                <w:rFonts w:hint="eastAsia"/>
                <w:szCs w:val="18"/>
              </w:rPr>
              <w:t>过氧乙酸</w:t>
            </w:r>
            <w:r w:rsidRPr="002B55E9">
              <w:rPr>
                <w:szCs w:val="18"/>
              </w:rPr>
              <w:t>水溶液为</w:t>
            </w:r>
            <w:r w:rsidRPr="002B55E9">
              <w:rPr>
                <w:rFonts w:hint="eastAsia"/>
                <w:szCs w:val="18"/>
              </w:rPr>
              <w:t>20</w:t>
            </w:r>
            <w:r w:rsidRPr="002B55E9">
              <w:rPr>
                <w:szCs w:val="18"/>
              </w:rPr>
              <w:t>%</w:t>
            </w:r>
            <w:r w:rsidRPr="002B55E9">
              <w:rPr>
                <w:szCs w:val="18"/>
              </w:rPr>
              <w:t>浓度，不具爆炸性</w:t>
            </w:r>
            <w:r w:rsidRPr="002B55E9">
              <w:rPr>
                <w:rFonts w:hint="eastAsia"/>
                <w:szCs w:val="18"/>
              </w:rPr>
              <w:t>，但</w:t>
            </w:r>
            <w:r w:rsidRPr="002B55E9">
              <w:rPr>
                <w:szCs w:val="18"/>
              </w:rPr>
              <w:t>其</w:t>
            </w:r>
            <w:r w:rsidRPr="002B55E9">
              <w:rPr>
                <w:rFonts w:hint="eastAsia"/>
                <w:szCs w:val="18"/>
              </w:rPr>
              <w:t>蒸汽</w:t>
            </w:r>
            <w:r w:rsidRPr="002B55E9">
              <w:rPr>
                <w:szCs w:val="18"/>
              </w:rPr>
              <w:t>仍</w:t>
            </w:r>
            <w:r w:rsidRPr="002B55E9">
              <w:rPr>
                <w:rFonts w:hint="eastAsia"/>
                <w:szCs w:val="18"/>
              </w:rPr>
              <w:t>易燃易爆；</w:t>
            </w:r>
          </w:p>
          <w:p w14:paraId="2B5F606D" w14:textId="77777777" w:rsidR="00D170E5" w:rsidRPr="002B55E9" w:rsidRDefault="00EF27AD">
            <w:pPr>
              <w:pStyle w:val="affffffffffffffffff6"/>
              <w:ind w:left="-40" w:right="-40"/>
              <w:jc w:val="left"/>
              <w:rPr>
                <w:szCs w:val="18"/>
              </w:rPr>
            </w:pPr>
            <w:r w:rsidRPr="002B55E9">
              <w:rPr>
                <w:rFonts w:hint="eastAsia"/>
                <w:szCs w:val="18"/>
              </w:rPr>
              <w:t>注</w:t>
            </w:r>
            <w:r w:rsidRPr="002B55E9">
              <w:rPr>
                <w:rFonts w:hint="eastAsia"/>
                <w:szCs w:val="18"/>
              </w:rPr>
              <w:t>3</w:t>
            </w:r>
            <w:r w:rsidRPr="002B55E9">
              <w:rPr>
                <w:rFonts w:hint="eastAsia"/>
                <w:szCs w:val="18"/>
              </w:rPr>
              <w:t>：</w:t>
            </w:r>
            <w:r w:rsidRPr="002B55E9">
              <w:rPr>
                <w:szCs w:val="18"/>
              </w:rPr>
              <w:t>二氧化氯在冷水中比较稳定其水溶液</w:t>
            </w:r>
            <w:r w:rsidRPr="002B55E9">
              <w:rPr>
                <w:rFonts w:hint="eastAsia"/>
                <w:szCs w:val="18"/>
              </w:rPr>
              <w:t>浓度</w:t>
            </w:r>
            <w:r w:rsidRPr="002B55E9">
              <w:rPr>
                <w:szCs w:val="18"/>
              </w:rPr>
              <w:t>大</w:t>
            </w:r>
            <w:r w:rsidRPr="002B55E9">
              <w:rPr>
                <w:rFonts w:hint="eastAsia"/>
                <w:szCs w:val="18"/>
              </w:rPr>
              <w:t>超过</w:t>
            </w:r>
            <w:r w:rsidRPr="002B55E9">
              <w:rPr>
                <w:rFonts w:hint="eastAsia"/>
                <w:szCs w:val="18"/>
              </w:rPr>
              <w:t>30</w:t>
            </w:r>
            <w:r w:rsidRPr="002B55E9">
              <w:rPr>
                <w:szCs w:val="18"/>
              </w:rPr>
              <w:t>%</w:t>
            </w:r>
            <w:r w:rsidRPr="002B55E9">
              <w:rPr>
                <w:szCs w:val="18"/>
              </w:rPr>
              <w:t>易爆炸，本项目使用的二氧化</w:t>
            </w:r>
            <w:r w:rsidRPr="002B55E9">
              <w:rPr>
                <w:rFonts w:hint="eastAsia"/>
                <w:szCs w:val="18"/>
              </w:rPr>
              <w:t>氯</w:t>
            </w:r>
            <w:r w:rsidRPr="002B55E9">
              <w:rPr>
                <w:szCs w:val="18"/>
              </w:rPr>
              <w:t>消毒剂浓度为</w:t>
            </w:r>
            <w:r w:rsidRPr="002B55E9">
              <w:rPr>
                <w:rFonts w:hint="eastAsia"/>
                <w:szCs w:val="18"/>
              </w:rPr>
              <w:t>15</w:t>
            </w:r>
            <w:r w:rsidRPr="002B55E9">
              <w:rPr>
                <w:szCs w:val="18"/>
              </w:rPr>
              <w:t>%</w:t>
            </w:r>
            <w:r w:rsidRPr="002B55E9">
              <w:rPr>
                <w:szCs w:val="18"/>
              </w:rPr>
              <w:t>，</w:t>
            </w:r>
            <w:r w:rsidRPr="002B55E9">
              <w:rPr>
                <w:rFonts w:hint="eastAsia"/>
                <w:szCs w:val="18"/>
              </w:rPr>
              <w:t>常温</w:t>
            </w:r>
            <w:r w:rsidRPr="002B55E9">
              <w:rPr>
                <w:szCs w:val="18"/>
              </w:rPr>
              <w:t>避光</w:t>
            </w:r>
            <w:r w:rsidRPr="002B55E9">
              <w:rPr>
                <w:rFonts w:hint="eastAsia"/>
                <w:szCs w:val="18"/>
              </w:rPr>
              <w:t>储存</w:t>
            </w:r>
            <w:r w:rsidRPr="002B55E9">
              <w:rPr>
                <w:szCs w:val="18"/>
              </w:rPr>
              <w:t>，冷水稀释后再使用；</w:t>
            </w:r>
          </w:p>
        </w:tc>
      </w:tr>
    </w:tbl>
    <w:p w14:paraId="5CD3C2A4" w14:textId="3F475B0C" w:rsidR="00D170E5" w:rsidRPr="002B55E9" w:rsidRDefault="00EF27AD">
      <w:pPr>
        <w:pStyle w:val="4"/>
        <w:rPr>
          <w:color w:val="auto"/>
        </w:rPr>
      </w:pPr>
      <w:r w:rsidRPr="002B55E9">
        <w:rPr>
          <w:rFonts w:hint="eastAsia"/>
          <w:color w:val="auto"/>
        </w:rPr>
        <w:t>环境风险类型及危害分析</w:t>
      </w:r>
    </w:p>
    <w:p w14:paraId="42DEF0DC"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t>表</w:t>
      </w:r>
      <w:r w:rsidRPr="002B55E9">
        <w:rPr>
          <w:rFonts w:eastAsia="黑体" w:hint="eastAsia"/>
          <w:b/>
          <w:sz w:val="24"/>
          <w:szCs w:val="28"/>
        </w:rPr>
        <w:t xml:space="preserve">6-4-3  </w:t>
      </w:r>
      <w:r w:rsidRPr="002B55E9">
        <w:rPr>
          <w:rFonts w:eastAsia="黑体" w:hint="eastAsia"/>
          <w:b/>
          <w:sz w:val="24"/>
          <w:szCs w:val="28"/>
        </w:rPr>
        <w:t>本项目环境风险识别表</w:t>
      </w:r>
    </w:p>
    <w:tbl>
      <w:tblPr>
        <w:tblW w:w="9637"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732"/>
        <w:gridCol w:w="549"/>
        <w:gridCol w:w="951"/>
        <w:gridCol w:w="1268"/>
        <w:gridCol w:w="2678"/>
        <w:gridCol w:w="1853"/>
        <w:gridCol w:w="1160"/>
      </w:tblGrid>
      <w:tr w:rsidR="00C60999" w:rsidRPr="002B55E9" w14:paraId="5B25ECC6" w14:textId="77777777">
        <w:trPr>
          <w:trHeight w:val="283"/>
        </w:trPr>
        <w:tc>
          <w:tcPr>
            <w:tcW w:w="446" w:type="dxa"/>
            <w:tcBorders>
              <w:top w:val="single" w:sz="12" w:space="0" w:color="auto"/>
              <w:bottom w:val="single" w:sz="12" w:space="0" w:color="auto"/>
            </w:tcBorders>
            <w:vAlign w:val="center"/>
          </w:tcPr>
          <w:p w14:paraId="7DCAF53F" w14:textId="77777777" w:rsidR="00D170E5" w:rsidRPr="002B55E9" w:rsidRDefault="00EF27AD">
            <w:pPr>
              <w:jc w:val="center"/>
              <w:rPr>
                <w:bCs/>
                <w:snapToGrid w:val="0"/>
                <w:sz w:val="18"/>
              </w:rPr>
            </w:pPr>
            <w:r w:rsidRPr="002B55E9">
              <w:rPr>
                <w:bCs/>
                <w:snapToGrid w:val="0"/>
                <w:sz w:val="18"/>
              </w:rPr>
              <w:t>序号</w:t>
            </w:r>
          </w:p>
        </w:tc>
        <w:tc>
          <w:tcPr>
            <w:tcW w:w="732" w:type="dxa"/>
            <w:tcBorders>
              <w:top w:val="single" w:sz="12" w:space="0" w:color="auto"/>
              <w:bottom w:val="single" w:sz="12" w:space="0" w:color="auto"/>
            </w:tcBorders>
            <w:vAlign w:val="center"/>
          </w:tcPr>
          <w:p w14:paraId="6E2F5D1B" w14:textId="77777777" w:rsidR="00D170E5" w:rsidRPr="002B55E9" w:rsidRDefault="00EF27AD">
            <w:pPr>
              <w:jc w:val="center"/>
              <w:rPr>
                <w:bCs/>
                <w:snapToGrid w:val="0"/>
                <w:sz w:val="18"/>
              </w:rPr>
            </w:pPr>
            <w:r w:rsidRPr="002B55E9">
              <w:rPr>
                <w:bCs/>
                <w:snapToGrid w:val="0"/>
                <w:sz w:val="18"/>
              </w:rPr>
              <w:t>危险单元名称</w:t>
            </w:r>
          </w:p>
        </w:tc>
        <w:tc>
          <w:tcPr>
            <w:tcW w:w="549" w:type="dxa"/>
            <w:tcBorders>
              <w:top w:val="single" w:sz="12" w:space="0" w:color="auto"/>
              <w:bottom w:val="single" w:sz="12" w:space="0" w:color="auto"/>
            </w:tcBorders>
            <w:vAlign w:val="center"/>
          </w:tcPr>
          <w:p w14:paraId="2A13D251" w14:textId="77777777" w:rsidR="00D170E5" w:rsidRPr="002B55E9" w:rsidRDefault="00EF27AD">
            <w:pPr>
              <w:jc w:val="center"/>
              <w:rPr>
                <w:bCs/>
                <w:snapToGrid w:val="0"/>
                <w:sz w:val="18"/>
              </w:rPr>
            </w:pPr>
            <w:r w:rsidRPr="002B55E9">
              <w:rPr>
                <w:bCs/>
                <w:snapToGrid w:val="0"/>
                <w:sz w:val="18"/>
              </w:rPr>
              <w:t>风险源</w:t>
            </w:r>
          </w:p>
        </w:tc>
        <w:tc>
          <w:tcPr>
            <w:tcW w:w="951" w:type="dxa"/>
            <w:tcBorders>
              <w:top w:val="single" w:sz="12" w:space="0" w:color="auto"/>
              <w:bottom w:val="single" w:sz="12" w:space="0" w:color="auto"/>
            </w:tcBorders>
            <w:vAlign w:val="center"/>
          </w:tcPr>
          <w:p w14:paraId="55782A7E" w14:textId="77777777" w:rsidR="00D170E5" w:rsidRPr="002B55E9" w:rsidRDefault="00EF27AD">
            <w:pPr>
              <w:jc w:val="center"/>
              <w:rPr>
                <w:bCs/>
                <w:snapToGrid w:val="0"/>
                <w:sz w:val="18"/>
              </w:rPr>
            </w:pPr>
            <w:r w:rsidRPr="002B55E9">
              <w:rPr>
                <w:bCs/>
                <w:snapToGrid w:val="0"/>
                <w:sz w:val="18"/>
              </w:rPr>
              <w:t>主要危险物质</w:t>
            </w:r>
          </w:p>
        </w:tc>
        <w:tc>
          <w:tcPr>
            <w:tcW w:w="1268" w:type="dxa"/>
            <w:tcBorders>
              <w:top w:val="single" w:sz="12" w:space="0" w:color="auto"/>
              <w:bottom w:val="single" w:sz="12" w:space="0" w:color="auto"/>
            </w:tcBorders>
            <w:vAlign w:val="center"/>
          </w:tcPr>
          <w:p w14:paraId="7E02FF08" w14:textId="77777777" w:rsidR="00D170E5" w:rsidRPr="002B55E9" w:rsidRDefault="00EF27AD">
            <w:pPr>
              <w:jc w:val="center"/>
              <w:rPr>
                <w:bCs/>
                <w:snapToGrid w:val="0"/>
                <w:sz w:val="18"/>
              </w:rPr>
            </w:pPr>
            <w:r w:rsidRPr="002B55E9">
              <w:rPr>
                <w:bCs/>
                <w:snapToGrid w:val="0"/>
                <w:sz w:val="18"/>
              </w:rPr>
              <w:t>环境风险类型</w:t>
            </w:r>
          </w:p>
        </w:tc>
        <w:tc>
          <w:tcPr>
            <w:tcW w:w="2678" w:type="dxa"/>
            <w:tcBorders>
              <w:top w:val="single" w:sz="12" w:space="0" w:color="auto"/>
              <w:bottom w:val="single" w:sz="12" w:space="0" w:color="auto"/>
            </w:tcBorders>
            <w:vAlign w:val="center"/>
          </w:tcPr>
          <w:p w14:paraId="53FEDF40" w14:textId="77777777" w:rsidR="00D170E5" w:rsidRPr="002B55E9" w:rsidRDefault="00EF27AD">
            <w:pPr>
              <w:jc w:val="center"/>
              <w:rPr>
                <w:bCs/>
                <w:snapToGrid w:val="0"/>
                <w:sz w:val="18"/>
              </w:rPr>
            </w:pPr>
            <w:r w:rsidRPr="002B55E9">
              <w:rPr>
                <w:bCs/>
                <w:snapToGrid w:val="0"/>
                <w:sz w:val="18"/>
              </w:rPr>
              <w:t>环境影响途径</w:t>
            </w:r>
          </w:p>
        </w:tc>
        <w:tc>
          <w:tcPr>
            <w:tcW w:w="1853" w:type="dxa"/>
            <w:tcBorders>
              <w:top w:val="single" w:sz="12" w:space="0" w:color="auto"/>
              <w:bottom w:val="single" w:sz="12" w:space="0" w:color="auto"/>
            </w:tcBorders>
            <w:vAlign w:val="center"/>
          </w:tcPr>
          <w:p w14:paraId="73C77223" w14:textId="77777777" w:rsidR="00D170E5" w:rsidRPr="002B55E9" w:rsidRDefault="00EF27AD">
            <w:pPr>
              <w:jc w:val="center"/>
              <w:rPr>
                <w:bCs/>
                <w:snapToGrid w:val="0"/>
                <w:sz w:val="18"/>
              </w:rPr>
            </w:pPr>
            <w:r w:rsidRPr="002B55E9">
              <w:rPr>
                <w:bCs/>
                <w:snapToGrid w:val="0"/>
                <w:sz w:val="18"/>
              </w:rPr>
              <w:t>可能受影响的环境敏感目标</w:t>
            </w:r>
          </w:p>
        </w:tc>
        <w:tc>
          <w:tcPr>
            <w:tcW w:w="1160" w:type="dxa"/>
            <w:tcBorders>
              <w:top w:val="single" w:sz="12" w:space="0" w:color="auto"/>
              <w:bottom w:val="single" w:sz="12" w:space="0" w:color="auto"/>
            </w:tcBorders>
            <w:vAlign w:val="center"/>
          </w:tcPr>
          <w:p w14:paraId="4572AB64" w14:textId="77777777" w:rsidR="00D170E5" w:rsidRPr="002B55E9" w:rsidRDefault="00EF27AD">
            <w:pPr>
              <w:jc w:val="center"/>
              <w:rPr>
                <w:bCs/>
                <w:snapToGrid w:val="0"/>
                <w:sz w:val="18"/>
              </w:rPr>
            </w:pPr>
            <w:r w:rsidRPr="002B55E9">
              <w:rPr>
                <w:bCs/>
                <w:snapToGrid w:val="0"/>
                <w:sz w:val="18"/>
              </w:rPr>
              <w:t>备注</w:t>
            </w:r>
          </w:p>
        </w:tc>
      </w:tr>
      <w:tr w:rsidR="00C60999" w:rsidRPr="002B55E9" w14:paraId="5229A1FC" w14:textId="77777777">
        <w:trPr>
          <w:trHeight w:val="283"/>
        </w:trPr>
        <w:tc>
          <w:tcPr>
            <w:tcW w:w="446" w:type="dxa"/>
            <w:tcBorders>
              <w:top w:val="single" w:sz="12" w:space="0" w:color="auto"/>
            </w:tcBorders>
            <w:vAlign w:val="center"/>
          </w:tcPr>
          <w:p w14:paraId="58F952C7" w14:textId="77777777" w:rsidR="00D170E5" w:rsidRPr="002B55E9" w:rsidRDefault="00EF27AD">
            <w:pPr>
              <w:jc w:val="center"/>
              <w:rPr>
                <w:bCs/>
                <w:snapToGrid w:val="0"/>
                <w:sz w:val="18"/>
              </w:rPr>
            </w:pPr>
            <w:r w:rsidRPr="002B55E9">
              <w:rPr>
                <w:rFonts w:hint="eastAsia"/>
                <w:bCs/>
                <w:snapToGrid w:val="0"/>
                <w:sz w:val="18"/>
              </w:rPr>
              <w:t>1</w:t>
            </w:r>
          </w:p>
        </w:tc>
        <w:tc>
          <w:tcPr>
            <w:tcW w:w="732" w:type="dxa"/>
            <w:tcBorders>
              <w:top w:val="single" w:sz="12" w:space="0" w:color="auto"/>
            </w:tcBorders>
            <w:vAlign w:val="center"/>
          </w:tcPr>
          <w:p w14:paraId="6FE976E1" w14:textId="77777777" w:rsidR="00D170E5" w:rsidRPr="002B55E9" w:rsidRDefault="00EF27AD">
            <w:pPr>
              <w:jc w:val="center"/>
              <w:rPr>
                <w:bCs/>
                <w:snapToGrid w:val="0"/>
                <w:sz w:val="18"/>
              </w:rPr>
            </w:pPr>
            <w:r w:rsidRPr="002B55E9">
              <w:rPr>
                <w:rFonts w:hint="eastAsia"/>
                <w:bCs/>
                <w:snapToGrid w:val="0"/>
                <w:sz w:val="18"/>
              </w:rPr>
              <w:t>罐区三</w:t>
            </w:r>
          </w:p>
        </w:tc>
        <w:tc>
          <w:tcPr>
            <w:tcW w:w="549" w:type="dxa"/>
            <w:tcBorders>
              <w:top w:val="single" w:sz="12" w:space="0" w:color="auto"/>
            </w:tcBorders>
            <w:vAlign w:val="center"/>
          </w:tcPr>
          <w:p w14:paraId="6A8286BA" w14:textId="77777777" w:rsidR="00D170E5" w:rsidRPr="002B55E9" w:rsidRDefault="00EF27AD">
            <w:pPr>
              <w:jc w:val="center"/>
              <w:rPr>
                <w:bCs/>
                <w:snapToGrid w:val="0"/>
                <w:sz w:val="18"/>
              </w:rPr>
            </w:pPr>
            <w:r w:rsidRPr="002B55E9">
              <w:rPr>
                <w:rFonts w:hint="eastAsia"/>
                <w:bCs/>
                <w:snapToGrid w:val="0"/>
                <w:sz w:val="18"/>
              </w:rPr>
              <w:t>储罐</w:t>
            </w:r>
          </w:p>
        </w:tc>
        <w:tc>
          <w:tcPr>
            <w:tcW w:w="951" w:type="dxa"/>
            <w:tcBorders>
              <w:top w:val="single" w:sz="12" w:space="0" w:color="auto"/>
            </w:tcBorders>
            <w:vAlign w:val="center"/>
          </w:tcPr>
          <w:p w14:paraId="2C778A7A" w14:textId="77777777" w:rsidR="00D170E5" w:rsidRPr="002B55E9" w:rsidRDefault="00EF27AD">
            <w:pPr>
              <w:jc w:val="center"/>
              <w:rPr>
                <w:bCs/>
                <w:snapToGrid w:val="0"/>
                <w:sz w:val="18"/>
              </w:rPr>
            </w:pPr>
            <w:r w:rsidRPr="002B55E9">
              <w:rPr>
                <w:rFonts w:hint="eastAsia"/>
                <w:bCs/>
                <w:snapToGrid w:val="0"/>
                <w:sz w:val="18"/>
              </w:rPr>
              <w:t>乙酸</w:t>
            </w:r>
          </w:p>
        </w:tc>
        <w:tc>
          <w:tcPr>
            <w:tcW w:w="1268" w:type="dxa"/>
            <w:tcBorders>
              <w:top w:val="single" w:sz="12" w:space="0" w:color="auto"/>
              <w:bottom w:val="single" w:sz="4" w:space="0" w:color="auto"/>
            </w:tcBorders>
            <w:vAlign w:val="center"/>
          </w:tcPr>
          <w:p w14:paraId="01083C4C" w14:textId="77777777" w:rsidR="00D170E5" w:rsidRPr="002B55E9" w:rsidRDefault="00EF27AD">
            <w:pPr>
              <w:jc w:val="center"/>
              <w:rPr>
                <w:bCs/>
                <w:snapToGrid w:val="0"/>
                <w:sz w:val="18"/>
              </w:rPr>
            </w:pPr>
            <w:r w:rsidRPr="002B55E9">
              <w:rPr>
                <w:rFonts w:hint="eastAsia"/>
                <w:bCs/>
                <w:snapToGrid w:val="0"/>
                <w:sz w:val="18"/>
              </w:rPr>
              <w:t>危险</w:t>
            </w:r>
            <w:r w:rsidRPr="002B55E9">
              <w:rPr>
                <w:bCs/>
                <w:snapToGrid w:val="0"/>
                <w:sz w:val="18"/>
              </w:rPr>
              <w:t>物质泄漏</w:t>
            </w:r>
          </w:p>
        </w:tc>
        <w:tc>
          <w:tcPr>
            <w:tcW w:w="2678" w:type="dxa"/>
            <w:tcBorders>
              <w:top w:val="single" w:sz="12" w:space="0" w:color="auto"/>
              <w:bottom w:val="single" w:sz="4" w:space="0" w:color="auto"/>
            </w:tcBorders>
            <w:vAlign w:val="center"/>
          </w:tcPr>
          <w:p w14:paraId="33FDD826" w14:textId="77777777" w:rsidR="00D170E5" w:rsidRPr="002B55E9" w:rsidRDefault="00EF27AD">
            <w:pPr>
              <w:jc w:val="left"/>
              <w:rPr>
                <w:bCs/>
                <w:snapToGrid w:val="0"/>
                <w:sz w:val="18"/>
              </w:rPr>
            </w:pPr>
            <w:r w:rsidRPr="002B55E9">
              <w:rPr>
                <w:snapToGrid w:val="0"/>
                <w:sz w:val="18"/>
              </w:rPr>
              <w:t>（</w:t>
            </w:r>
            <w:r w:rsidRPr="002B55E9">
              <w:rPr>
                <w:snapToGrid w:val="0"/>
                <w:sz w:val="18"/>
              </w:rPr>
              <w:t>1</w:t>
            </w:r>
            <w:r w:rsidRPr="002B55E9">
              <w:rPr>
                <w:bCs/>
                <w:snapToGrid w:val="0"/>
                <w:sz w:val="18"/>
              </w:rPr>
              <w:t>）危险物质泄漏后，挥发到大气中形成污染物，对周边环境空气造成影响；</w:t>
            </w:r>
          </w:p>
          <w:p w14:paraId="2C59E78C"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）危险物质泄漏后，由于防渗层破裂导致危险物质下渗，</w:t>
            </w:r>
            <w:r w:rsidRPr="002B55E9">
              <w:rPr>
                <w:rFonts w:hint="eastAsia"/>
                <w:bCs/>
                <w:snapToGrid w:val="0"/>
                <w:sz w:val="18"/>
              </w:rPr>
              <w:t>形成</w:t>
            </w:r>
            <w:r w:rsidRPr="002B55E9">
              <w:rPr>
                <w:bCs/>
                <w:snapToGrid w:val="0"/>
                <w:sz w:val="18"/>
              </w:rPr>
              <w:t>水体以及土壤环境污染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12" w:space="0" w:color="auto"/>
              <w:bottom w:val="single" w:sz="4" w:space="0" w:color="auto"/>
            </w:tcBorders>
            <w:vAlign w:val="center"/>
          </w:tcPr>
          <w:p w14:paraId="1014BE9D"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w:t>
            </w:r>
            <w:r w:rsidRPr="002B55E9">
              <w:rPr>
                <w:rFonts w:hint="eastAsia"/>
                <w:bCs/>
                <w:snapToGrid w:val="0"/>
                <w:sz w:val="18"/>
              </w:rPr>
              <w:t>大气：</w:t>
            </w:r>
            <w:r w:rsidRPr="002B55E9">
              <w:rPr>
                <w:bCs/>
                <w:snapToGrid w:val="0"/>
                <w:sz w:val="18"/>
              </w:rPr>
              <w:t>周边环境空气敏感目标；</w:t>
            </w:r>
          </w:p>
          <w:p w14:paraId="06E15994" w14:textId="77777777" w:rsidR="00D170E5" w:rsidRPr="002B55E9" w:rsidRDefault="00EF27AD">
            <w:pPr>
              <w:jc w:val="left"/>
              <w:rPr>
                <w:rFonts w:ascii="Calibri" w:hAnsi="Calibri"/>
              </w:rPr>
            </w:pPr>
            <w:r w:rsidRPr="002B55E9">
              <w:rPr>
                <w:rFonts w:hint="eastAsia"/>
                <w:bCs/>
                <w:snapToGrid w:val="0"/>
                <w:sz w:val="18"/>
              </w:rPr>
              <w:t>（</w:t>
            </w:r>
            <w:r w:rsidRPr="002B55E9">
              <w:rPr>
                <w:rFonts w:hint="eastAsia"/>
                <w:bCs/>
                <w:snapToGrid w:val="0"/>
                <w:sz w:val="18"/>
              </w:rPr>
              <w:t>2</w:t>
            </w:r>
            <w:r w:rsidRPr="002B55E9">
              <w:rPr>
                <w:rFonts w:hint="eastAsia"/>
                <w:bCs/>
                <w:snapToGrid w:val="0"/>
                <w:sz w:val="18"/>
              </w:rPr>
              <w:t>）地表水：府河；</w:t>
            </w:r>
          </w:p>
          <w:p w14:paraId="0E363801" w14:textId="77777777" w:rsidR="00D170E5" w:rsidRPr="002B55E9" w:rsidRDefault="00EF27AD">
            <w:pPr>
              <w:jc w:val="left"/>
              <w:rPr>
                <w:bCs/>
                <w:snapToGrid w:val="0"/>
                <w:sz w:val="18"/>
              </w:rPr>
            </w:pPr>
            <w:r w:rsidRPr="002B55E9">
              <w:rPr>
                <w:bCs/>
                <w:snapToGrid w:val="0"/>
                <w:sz w:val="18"/>
              </w:rPr>
              <w:t>（</w:t>
            </w:r>
            <w:r w:rsidRPr="002B55E9">
              <w:rPr>
                <w:rFonts w:hint="eastAsia"/>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restart"/>
            <w:tcBorders>
              <w:top w:val="single" w:sz="12" w:space="0" w:color="auto"/>
            </w:tcBorders>
            <w:vAlign w:val="center"/>
          </w:tcPr>
          <w:p w14:paraId="510F4728" w14:textId="77777777" w:rsidR="00D170E5" w:rsidRPr="002B55E9" w:rsidRDefault="00EF27AD">
            <w:pPr>
              <w:jc w:val="center"/>
              <w:rPr>
                <w:sz w:val="18"/>
                <w:szCs w:val="18"/>
              </w:rPr>
            </w:pPr>
            <w:r w:rsidRPr="002B55E9">
              <w:rPr>
                <w:sz w:val="18"/>
                <w:szCs w:val="18"/>
              </w:rPr>
              <w:t>罐区外围</w:t>
            </w:r>
            <w:r w:rsidRPr="002B55E9">
              <w:rPr>
                <w:rFonts w:hint="eastAsia"/>
                <w:sz w:val="18"/>
                <w:szCs w:val="18"/>
              </w:rPr>
              <w:t>设置围堰，</w:t>
            </w:r>
            <w:r w:rsidRPr="002B55E9">
              <w:rPr>
                <w:sz w:val="18"/>
                <w:szCs w:val="18"/>
              </w:rPr>
              <w:t>泄漏物料和围堰内消防</w:t>
            </w:r>
            <w:r w:rsidRPr="002B55E9">
              <w:rPr>
                <w:rFonts w:hint="eastAsia"/>
                <w:sz w:val="18"/>
                <w:szCs w:val="18"/>
              </w:rPr>
              <w:t>水</w:t>
            </w:r>
            <w:r w:rsidRPr="002B55E9">
              <w:rPr>
                <w:sz w:val="18"/>
                <w:szCs w:val="18"/>
              </w:rPr>
              <w:t>、雨水</w:t>
            </w:r>
            <w:r w:rsidRPr="002B55E9">
              <w:rPr>
                <w:rFonts w:hint="eastAsia"/>
                <w:sz w:val="18"/>
                <w:szCs w:val="18"/>
              </w:rPr>
              <w:t>可通过</w:t>
            </w:r>
            <w:r w:rsidRPr="002B55E9">
              <w:rPr>
                <w:sz w:val="18"/>
                <w:szCs w:val="18"/>
              </w:rPr>
              <w:t>管道</w:t>
            </w:r>
            <w:r w:rsidRPr="002B55E9">
              <w:rPr>
                <w:rFonts w:hint="eastAsia"/>
                <w:sz w:val="18"/>
                <w:szCs w:val="18"/>
              </w:rPr>
              <w:t>输送</w:t>
            </w:r>
            <w:r w:rsidRPr="002B55E9">
              <w:rPr>
                <w:sz w:val="18"/>
                <w:szCs w:val="18"/>
              </w:rPr>
              <w:t>至应急事故池</w:t>
            </w:r>
            <w:r w:rsidRPr="002B55E9">
              <w:rPr>
                <w:rFonts w:hint="eastAsia"/>
                <w:sz w:val="18"/>
                <w:szCs w:val="18"/>
              </w:rPr>
              <w:t>；</w:t>
            </w:r>
          </w:p>
        </w:tc>
      </w:tr>
      <w:tr w:rsidR="00C60999" w:rsidRPr="002B55E9" w14:paraId="411C0EE7" w14:textId="77777777">
        <w:trPr>
          <w:trHeight w:val="283"/>
        </w:trPr>
        <w:tc>
          <w:tcPr>
            <w:tcW w:w="446" w:type="dxa"/>
            <w:vMerge w:val="restart"/>
            <w:tcBorders>
              <w:top w:val="single" w:sz="4" w:space="0" w:color="auto"/>
            </w:tcBorders>
            <w:vAlign w:val="center"/>
          </w:tcPr>
          <w:p w14:paraId="2238179E" w14:textId="77777777" w:rsidR="00D170E5" w:rsidRPr="002B55E9" w:rsidRDefault="00EF27AD">
            <w:pPr>
              <w:jc w:val="center"/>
              <w:rPr>
                <w:bCs/>
                <w:snapToGrid w:val="0"/>
                <w:sz w:val="18"/>
              </w:rPr>
            </w:pPr>
            <w:r w:rsidRPr="002B55E9">
              <w:rPr>
                <w:rFonts w:hint="eastAsia"/>
                <w:bCs/>
                <w:snapToGrid w:val="0"/>
                <w:sz w:val="18"/>
              </w:rPr>
              <w:t>2</w:t>
            </w:r>
          </w:p>
        </w:tc>
        <w:tc>
          <w:tcPr>
            <w:tcW w:w="732" w:type="dxa"/>
            <w:vMerge w:val="restart"/>
            <w:tcBorders>
              <w:top w:val="single" w:sz="4" w:space="0" w:color="auto"/>
            </w:tcBorders>
            <w:vAlign w:val="center"/>
          </w:tcPr>
          <w:p w14:paraId="5CEEBE6C" w14:textId="77777777" w:rsidR="00D170E5" w:rsidRPr="002B55E9" w:rsidRDefault="00EF27AD">
            <w:pPr>
              <w:jc w:val="center"/>
              <w:rPr>
                <w:bCs/>
                <w:snapToGrid w:val="0"/>
                <w:sz w:val="18"/>
              </w:rPr>
            </w:pPr>
            <w:r w:rsidRPr="002B55E9">
              <w:rPr>
                <w:rFonts w:hint="eastAsia"/>
                <w:bCs/>
                <w:snapToGrid w:val="0"/>
                <w:sz w:val="18"/>
              </w:rPr>
              <w:t>十三</w:t>
            </w:r>
            <w:r w:rsidRPr="002B55E9">
              <w:rPr>
                <w:bCs/>
                <w:snapToGrid w:val="0"/>
                <w:sz w:val="18"/>
              </w:rPr>
              <w:t>车间</w:t>
            </w:r>
          </w:p>
        </w:tc>
        <w:tc>
          <w:tcPr>
            <w:tcW w:w="549" w:type="dxa"/>
            <w:vMerge w:val="restart"/>
            <w:tcBorders>
              <w:top w:val="single" w:sz="4" w:space="0" w:color="auto"/>
            </w:tcBorders>
            <w:vAlign w:val="center"/>
          </w:tcPr>
          <w:p w14:paraId="4E0C0DA6" w14:textId="77777777" w:rsidR="00D170E5" w:rsidRPr="002B55E9" w:rsidRDefault="00EF27AD">
            <w:pPr>
              <w:jc w:val="center"/>
              <w:rPr>
                <w:bCs/>
                <w:snapToGrid w:val="0"/>
                <w:sz w:val="18"/>
              </w:rPr>
            </w:pPr>
            <w:r w:rsidRPr="002B55E9">
              <w:rPr>
                <w:rFonts w:hint="eastAsia"/>
                <w:bCs/>
                <w:snapToGrid w:val="0"/>
                <w:sz w:val="18"/>
              </w:rPr>
              <w:t>储罐</w:t>
            </w:r>
          </w:p>
        </w:tc>
        <w:tc>
          <w:tcPr>
            <w:tcW w:w="951" w:type="dxa"/>
            <w:vMerge w:val="restart"/>
            <w:tcBorders>
              <w:top w:val="single" w:sz="4" w:space="0" w:color="auto"/>
            </w:tcBorders>
            <w:vAlign w:val="center"/>
          </w:tcPr>
          <w:p w14:paraId="3F748008" w14:textId="77777777" w:rsidR="00D170E5" w:rsidRPr="002B55E9" w:rsidRDefault="00EF27AD">
            <w:pPr>
              <w:jc w:val="center"/>
              <w:rPr>
                <w:bCs/>
                <w:snapToGrid w:val="0"/>
                <w:sz w:val="18"/>
              </w:rPr>
            </w:pPr>
            <w:r w:rsidRPr="002B55E9">
              <w:rPr>
                <w:rFonts w:hint="eastAsia"/>
                <w:bCs/>
                <w:snapToGrid w:val="0"/>
                <w:sz w:val="18"/>
              </w:rPr>
              <w:t>乙酸、过氧</w:t>
            </w:r>
            <w:r w:rsidRPr="002B55E9">
              <w:rPr>
                <w:bCs/>
                <w:snapToGrid w:val="0"/>
                <w:sz w:val="18"/>
              </w:rPr>
              <w:t>乙酸、</w:t>
            </w:r>
            <w:r w:rsidRPr="002B55E9">
              <w:rPr>
                <w:bCs/>
                <w:snapToGrid w:val="0"/>
                <w:sz w:val="18"/>
              </w:rPr>
              <w:lastRenderedPageBreak/>
              <w:t>二氧化氯</w:t>
            </w:r>
          </w:p>
        </w:tc>
        <w:tc>
          <w:tcPr>
            <w:tcW w:w="1268" w:type="dxa"/>
            <w:tcBorders>
              <w:top w:val="single" w:sz="4" w:space="0" w:color="auto"/>
              <w:bottom w:val="single" w:sz="4" w:space="0" w:color="auto"/>
            </w:tcBorders>
            <w:vAlign w:val="center"/>
          </w:tcPr>
          <w:p w14:paraId="73608DDE" w14:textId="77777777" w:rsidR="00D170E5" w:rsidRPr="002B55E9" w:rsidRDefault="00EF27AD">
            <w:pPr>
              <w:jc w:val="center"/>
              <w:rPr>
                <w:bCs/>
                <w:snapToGrid w:val="0"/>
                <w:sz w:val="18"/>
              </w:rPr>
            </w:pPr>
            <w:r w:rsidRPr="002B55E9">
              <w:rPr>
                <w:bCs/>
                <w:snapToGrid w:val="0"/>
                <w:sz w:val="18"/>
              </w:rPr>
              <w:lastRenderedPageBreak/>
              <w:t>危险物质泄漏</w:t>
            </w:r>
          </w:p>
        </w:tc>
        <w:tc>
          <w:tcPr>
            <w:tcW w:w="2678" w:type="dxa"/>
            <w:tcBorders>
              <w:top w:val="single" w:sz="4" w:space="0" w:color="auto"/>
              <w:bottom w:val="single" w:sz="4" w:space="0" w:color="auto"/>
            </w:tcBorders>
            <w:vAlign w:val="center"/>
          </w:tcPr>
          <w:p w14:paraId="5A2F6B1E" w14:textId="77777777" w:rsidR="00D170E5" w:rsidRPr="002B55E9" w:rsidRDefault="00EF27AD">
            <w:pPr>
              <w:jc w:val="left"/>
              <w:rPr>
                <w:bCs/>
                <w:snapToGrid w:val="0"/>
                <w:sz w:val="18"/>
              </w:rPr>
            </w:pPr>
            <w:r w:rsidRPr="002B55E9">
              <w:rPr>
                <w:snapToGrid w:val="0"/>
                <w:sz w:val="18"/>
              </w:rPr>
              <w:t>（</w:t>
            </w:r>
            <w:r w:rsidRPr="002B55E9">
              <w:rPr>
                <w:snapToGrid w:val="0"/>
                <w:sz w:val="18"/>
              </w:rPr>
              <w:t>1</w:t>
            </w:r>
            <w:r w:rsidRPr="002B55E9">
              <w:rPr>
                <w:bCs/>
                <w:snapToGrid w:val="0"/>
                <w:sz w:val="18"/>
              </w:rPr>
              <w:t>）危险物质泄漏后，挥发到大气中形成污染物，对周边环境空</w:t>
            </w:r>
            <w:r w:rsidRPr="002B55E9">
              <w:rPr>
                <w:bCs/>
                <w:snapToGrid w:val="0"/>
                <w:sz w:val="18"/>
              </w:rPr>
              <w:lastRenderedPageBreak/>
              <w:t>气造成影响；</w:t>
            </w:r>
          </w:p>
          <w:p w14:paraId="682D4645"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）危险物质泄漏后，由于防渗层破裂导致危险物质下渗，形成水体及土壤环境污染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2BEDC63F" w14:textId="77777777" w:rsidR="00D170E5" w:rsidRPr="002B55E9" w:rsidRDefault="00EF27AD">
            <w:pPr>
              <w:jc w:val="left"/>
              <w:rPr>
                <w:bCs/>
                <w:snapToGrid w:val="0"/>
                <w:sz w:val="18"/>
              </w:rPr>
            </w:pPr>
            <w:r w:rsidRPr="002B55E9">
              <w:rPr>
                <w:bCs/>
                <w:snapToGrid w:val="0"/>
                <w:sz w:val="18"/>
              </w:rPr>
              <w:lastRenderedPageBreak/>
              <w:t>（</w:t>
            </w:r>
            <w:r w:rsidRPr="002B55E9">
              <w:rPr>
                <w:bCs/>
                <w:snapToGrid w:val="0"/>
                <w:sz w:val="18"/>
              </w:rPr>
              <w:t>1</w:t>
            </w:r>
            <w:r w:rsidRPr="002B55E9">
              <w:rPr>
                <w:bCs/>
                <w:snapToGrid w:val="0"/>
                <w:sz w:val="18"/>
              </w:rPr>
              <w:t>）大气：周边环境空气敏感目标；</w:t>
            </w:r>
          </w:p>
          <w:p w14:paraId="5BDB180E" w14:textId="77777777" w:rsidR="00D170E5" w:rsidRPr="002B55E9" w:rsidRDefault="00EF27AD">
            <w:pPr>
              <w:jc w:val="left"/>
              <w:rPr>
                <w:bCs/>
                <w:snapToGrid w:val="0"/>
                <w:sz w:val="18"/>
              </w:rPr>
            </w:pPr>
            <w:r w:rsidRPr="002B55E9">
              <w:rPr>
                <w:bCs/>
                <w:snapToGrid w:val="0"/>
                <w:sz w:val="18"/>
              </w:rPr>
              <w:lastRenderedPageBreak/>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7F36C1A0" w14:textId="77777777" w:rsidR="00D170E5" w:rsidRPr="002B55E9" w:rsidRDefault="00EF27AD">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72AF1095" w14:textId="77777777" w:rsidR="00D170E5" w:rsidRPr="002B55E9" w:rsidRDefault="00D170E5">
            <w:pPr>
              <w:jc w:val="center"/>
              <w:rPr>
                <w:bCs/>
                <w:snapToGrid w:val="0"/>
                <w:sz w:val="18"/>
              </w:rPr>
            </w:pPr>
          </w:p>
        </w:tc>
      </w:tr>
      <w:tr w:rsidR="00C60999" w:rsidRPr="002B55E9" w14:paraId="27E80A73" w14:textId="77777777">
        <w:trPr>
          <w:trHeight w:val="283"/>
        </w:trPr>
        <w:tc>
          <w:tcPr>
            <w:tcW w:w="446" w:type="dxa"/>
            <w:vMerge/>
            <w:vAlign w:val="center"/>
          </w:tcPr>
          <w:p w14:paraId="6C74879C" w14:textId="77777777" w:rsidR="00D170E5" w:rsidRPr="002B55E9" w:rsidRDefault="00D170E5">
            <w:pPr>
              <w:jc w:val="center"/>
              <w:rPr>
                <w:bCs/>
                <w:snapToGrid w:val="0"/>
                <w:sz w:val="18"/>
              </w:rPr>
            </w:pPr>
          </w:p>
        </w:tc>
        <w:tc>
          <w:tcPr>
            <w:tcW w:w="732" w:type="dxa"/>
            <w:vMerge/>
            <w:vAlign w:val="center"/>
          </w:tcPr>
          <w:p w14:paraId="4D8367C1" w14:textId="77777777" w:rsidR="00D170E5" w:rsidRPr="002B55E9" w:rsidRDefault="00D170E5">
            <w:pPr>
              <w:jc w:val="center"/>
              <w:rPr>
                <w:bCs/>
                <w:snapToGrid w:val="0"/>
                <w:sz w:val="18"/>
              </w:rPr>
            </w:pPr>
          </w:p>
        </w:tc>
        <w:tc>
          <w:tcPr>
            <w:tcW w:w="549" w:type="dxa"/>
            <w:vMerge/>
            <w:vAlign w:val="center"/>
          </w:tcPr>
          <w:p w14:paraId="45302929" w14:textId="77777777" w:rsidR="00D170E5" w:rsidRPr="002B55E9" w:rsidRDefault="00D170E5">
            <w:pPr>
              <w:jc w:val="center"/>
              <w:rPr>
                <w:bCs/>
                <w:snapToGrid w:val="0"/>
                <w:sz w:val="18"/>
              </w:rPr>
            </w:pPr>
          </w:p>
        </w:tc>
        <w:tc>
          <w:tcPr>
            <w:tcW w:w="951" w:type="dxa"/>
            <w:vMerge/>
            <w:vAlign w:val="center"/>
          </w:tcPr>
          <w:p w14:paraId="63A7DFC3" w14:textId="77777777" w:rsidR="00D170E5" w:rsidRPr="002B55E9" w:rsidRDefault="00D170E5">
            <w:pPr>
              <w:jc w:val="center"/>
              <w:rPr>
                <w:bCs/>
                <w:snapToGrid w:val="0"/>
                <w:sz w:val="18"/>
              </w:rPr>
            </w:pPr>
          </w:p>
        </w:tc>
        <w:tc>
          <w:tcPr>
            <w:tcW w:w="1268" w:type="dxa"/>
            <w:tcBorders>
              <w:top w:val="single" w:sz="4" w:space="0" w:color="auto"/>
              <w:bottom w:val="single" w:sz="4" w:space="0" w:color="auto"/>
            </w:tcBorders>
            <w:vAlign w:val="center"/>
          </w:tcPr>
          <w:p w14:paraId="3A401BD3" w14:textId="77777777" w:rsidR="00D170E5" w:rsidRPr="002B55E9" w:rsidRDefault="00EF27AD">
            <w:pPr>
              <w:jc w:val="center"/>
              <w:rPr>
                <w:bCs/>
                <w:snapToGrid w:val="0"/>
                <w:sz w:val="18"/>
              </w:rPr>
            </w:pPr>
            <w:r w:rsidRPr="002B55E9">
              <w:rPr>
                <w:bCs/>
                <w:snapToGrid w:val="0"/>
                <w:sz w:val="18"/>
              </w:rPr>
              <w:t>火灾爆炸</w:t>
            </w:r>
          </w:p>
        </w:tc>
        <w:tc>
          <w:tcPr>
            <w:tcW w:w="2678" w:type="dxa"/>
            <w:tcBorders>
              <w:top w:val="single" w:sz="4" w:space="0" w:color="auto"/>
              <w:bottom w:val="single" w:sz="4" w:space="0" w:color="auto"/>
            </w:tcBorders>
            <w:vAlign w:val="center"/>
          </w:tcPr>
          <w:p w14:paraId="48783B47"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）火灾爆炸时危险物质不完全燃烧产生的污染物扩散到环境，对周边环境空气造成影响；</w:t>
            </w:r>
          </w:p>
          <w:p w14:paraId="4786F386"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）火灾爆炸时泄漏的物料、消防冷却废水、受污染的雨水等进入到厂区内裸露地表后下渗，形成</w:t>
            </w:r>
            <w:r w:rsidRPr="002B55E9">
              <w:rPr>
                <w:rFonts w:hint="eastAsia"/>
                <w:bCs/>
                <w:snapToGrid w:val="0"/>
                <w:sz w:val="18"/>
              </w:rPr>
              <w:t>地下</w:t>
            </w:r>
            <w:r w:rsidRPr="002B55E9">
              <w:rPr>
                <w:bCs/>
                <w:snapToGrid w:val="0"/>
                <w:sz w:val="18"/>
              </w:rPr>
              <w:t>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1F3948A1"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p>
          <w:p w14:paraId="73A40002"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75A13D6A" w14:textId="77777777" w:rsidR="00D170E5" w:rsidRPr="002B55E9" w:rsidRDefault="00EF27AD">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45BE12E7" w14:textId="77777777" w:rsidR="00D170E5" w:rsidRPr="002B55E9" w:rsidRDefault="00D170E5">
            <w:pPr>
              <w:jc w:val="center"/>
              <w:rPr>
                <w:bCs/>
                <w:snapToGrid w:val="0"/>
                <w:sz w:val="18"/>
              </w:rPr>
            </w:pPr>
          </w:p>
        </w:tc>
      </w:tr>
      <w:tr w:rsidR="00C60999" w:rsidRPr="002B55E9" w14:paraId="442F73F9" w14:textId="77777777">
        <w:trPr>
          <w:trHeight w:val="283"/>
        </w:trPr>
        <w:tc>
          <w:tcPr>
            <w:tcW w:w="446" w:type="dxa"/>
            <w:vMerge w:val="restart"/>
            <w:vAlign w:val="center"/>
          </w:tcPr>
          <w:p w14:paraId="0BE5B226" w14:textId="77777777" w:rsidR="00D170E5" w:rsidRPr="002B55E9" w:rsidRDefault="00EF27AD">
            <w:pPr>
              <w:jc w:val="center"/>
              <w:rPr>
                <w:bCs/>
                <w:snapToGrid w:val="0"/>
                <w:sz w:val="18"/>
              </w:rPr>
            </w:pPr>
            <w:r w:rsidRPr="002B55E9">
              <w:rPr>
                <w:rFonts w:hint="eastAsia"/>
                <w:bCs/>
                <w:snapToGrid w:val="0"/>
                <w:sz w:val="18"/>
              </w:rPr>
              <w:t>3</w:t>
            </w:r>
          </w:p>
        </w:tc>
        <w:tc>
          <w:tcPr>
            <w:tcW w:w="732" w:type="dxa"/>
            <w:vMerge w:val="restart"/>
            <w:vAlign w:val="center"/>
          </w:tcPr>
          <w:p w14:paraId="05F02384" w14:textId="77777777" w:rsidR="00D170E5" w:rsidRPr="002B55E9" w:rsidRDefault="00EF27AD">
            <w:pPr>
              <w:jc w:val="center"/>
              <w:rPr>
                <w:bCs/>
                <w:snapToGrid w:val="0"/>
                <w:sz w:val="18"/>
              </w:rPr>
            </w:pPr>
            <w:r w:rsidRPr="002B55E9">
              <w:rPr>
                <w:rFonts w:hint="eastAsia"/>
                <w:bCs/>
                <w:snapToGrid w:val="0"/>
                <w:sz w:val="18"/>
              </w:rPr>
              <w:t>十一车间</w:t>
            </w:r>
          </w:p>
        </w:tc>
        <w:tc>
          <w:tcPr>
            <w:tcW w:w="549" w:type="dxa"/>
            <w:vMerge w:val="restart"/>
            <w:vAlign w:val="center"/>
          </w:tcPr>
          <w:p w14:paraId="688F2BE8" w14:textId="77777777" w:rsidR="00D170E5" w:rsidRPr="002B55E9" w:rsidRDefault="00EF27AD">
            <w:pPr>
              <w:jc w:val="center"/>
              <w:rPr>
                <w:bCs/>
                <w:snapToGrid w:val="0"/>
                <w:sz w:val="18"/>
              </w:rPr>
            </w:pPr>
            <w:r w:rsidRPr="002B55E9">
              <w:rPr>
                <w:bCs/>
                <w:snapToGrid w:val="0"/>
                <w:sz w:val="18"/>
              </w:rPr>
              <w:t>试剂瓶</w:t>
            </w:r>
          </w:p>
        </w:tc>
        <w:tc>
          <w:tcPr>
            <w:tcW w:w="951" w:type="dxa"/>
            <w:vMerge w:val="restart"/>
            <w:vAlign w:val="center"/>
          </w:tcPr>
          <w:p w14:paraId="579462E2" w14:textId="77777777" w:rsidR="00D170E5" w:rsidRPr="002B55E9" w:rsidRDefault="00EF27AD">
            <w:pPr>
              <w:jc w:val="center"/>
              <w:rPr>
                <w:bCs/>
                <w:snapToGrid w:val="0"/>
                <w:sz w:val="18"/>
              </w:rPr>
            </w:pPr>
            <w:r w:rsidRPr="002B55E9">
              <w:rPr>
                <w:rFonts w:hint="eastAsia"/>
                <w:bCs/>
                <w:snapToGrid w:val="0"/>
                <w:sz w:val="18"/>
              </w:rPr>
              <w:t>乙酸</w:t>
            </w:r>
            <w:r w:rsidRPr="002B55E9">
              <w:rPr>
                <w:bCs/>
                <w:snapToGrid w:val="0"/>
                <w:sz w:val="18"/>
              </w:rPr>
              <w:t>、硫酸、甲醛、盐酸、乙醚</w:t>
            </w:r>
            <w:r w:rsidRPr="002B55E9">
              <w:rPr>
                <w:rFonts w:hint="eastAsia"/>
                <w:bCs/>
                <w:snapToGrid w:val="0"/>
                <w:sz w:val="18"/>
              </w:rPr>
              <w:t>等</w:t>
            </w:r>
          </w:p>
        </w:tc>
        <w:tc>
          <w:tcPr>
            <w:tcW w:w="1268" w:type="dxa"/>
            <w:tcBorders>
              <w:top w:val="single" w:sz="4" w:space="0" w:color="auto"/>
              <w:bottom w:val="single" w:sz="4" w:space="0" w:color="auto"/>
            </w:tcBorders>
            <w:vAlign w:val="center"/>
          </w:tcPr>
          <w:p w14:paraId="72A25EC0" w14:textId="77777777" w:rsidR="00D170E5" w:rsidRPr="002B55E9" w:rsidRDefault="00EF27AD">
            <w:pPr>
              <w:jc w:val="center"/>
              <w:rPr>
                <w:bCs/>
                <w:snapToGrid w:val="0"/>
                <w:sz w:val="18"/>
              </w:rPr>
            </w:pPr>
            <w:r w:rsidRPr="002B55E9">
              <w:rPr>
                <w:bCs/>
                <w:snapToGrid w:val="0"/>
                <w:sz w:val="18"/>
              </w:rPr>
              <w:t>危险物质泄漏</w:t>
            </w:r>
          </w:p>
        </w:tc>
        <w:tc>
          <w:tcPr>
            <w:tcW w:w="2678" w:type="dxa"/>
            <w:tcBorders>
              <w:top w:val="single" w:sz="4" w:space="0" w:color="auto"/>
              <w:bottom w:val="single" w:sz="4" w:space="0" w:color="auto"/>
            </w:tcBorders>
            <w:vAlign w:val="center"/>
          </w:tcPr>
          <w:p w14:paraId="5A19E61B" w14:textId="77777777" w:rsidR="00D170E5" w:rsidRPr="002B55E9" w:rsidRDefault="00EF27AD">
            <w:pPr>
              <w:jc w:val="left"/>
              <w:rPr>
                <w:bCs/>
                <w:snapToGrid w:val="0"/>
                <w:sz w:val="18"/>
              </w:rPr>
            </w:pPr>
            <w:r w:rsidRPr="002B55E9">
              <w:rPr>
                <w:snapToGrid w:val="0"/>
                <w:sz w:val="18"/>
              </w:rPr>
              <w:t>（</w:t>
            </w:r>
            <w:r w:rsidRPr="002B55E9">
              <w:rPr>
                <w:snapToGrid w:val="0"/>
                <w:sz w:val="18"/>
              </w:rPr>
              <w:t>1</w:t>
            </w:r>
            <w:r w:rsidRPr="002B55E9">
              <w:rPr>
                <w:bCs/>
                <w:snapToGrid w:val="0"/>
                <w:sz w:val="18"/>
              </w:rPr>
              <w:t>）危险物质泄漏后，挥发到大气中形成污染物，对周边环境空气造成影响；</w:t>
            </w:r>
          </w:p>
          <w:p w14:paraId="2E9D8B7A"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）危险物质泄漏后，由于防渗层破裂导致危险物质下渗，形成水体及土壤环境污染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6CFC8FD9"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p>
          <w:p w14:paraId="30277171"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7437CE65" w14:textId="77777777" w:rsidR="00D170E5" w:rsidRPr="002B55E9" w:rsidRDefault="00EF27AD">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1BF5EA6F" w14:textId="77777777" w:rsidR="00D170E5" w:rsidRPr="002B55E9" w:rsidRDefault="00D170E5">
            <w:pPr>
              <w:jc w:val="center"/>
              <w:rPr>
                <w:bCs/>
                <w:snapToGrid w:val="0"/>
                <w:sz w:val="18"/>
              </w:rPr>
            </w:pPr>
          </w:p>
        </w:tc>
      </w:tr>
      <w:tr w:rsidR="00C60999" w:rsidRPr="002B55E9" w14:paraId="57E28C31" w14:textId="77777777">
        <w:trPr>
          <w:trHeight w:val="283"/>
        </w:trPr>
        <w:tc>
          <w:tcPr>
            <w:tcW w:w="446" w:type="dxa"/>
            <w:vMerge/>
            <w:vAlign w:val="center"/>
          </w:tcPr>
          <w:p w14:paraId="6B80F484" w14:textId="77777777" w:rsidR="00D170E5" w:rsidRPr="002B55E9" w:rsidRDefault="00D170E5">
            <w:pPr>
              <w:jc w:val="center"/>
              <w:rPr>
                <w:bCs/>
                <w:snapToGrid w:val="0"/>
                <w:sz w:val="18"/>
              </w:rPr>
            </w:pPr>
          </w:p>
        </w:tc>
        <w:tc>
          <w:tcPr>
            <w:tcW w:w="732" w:type="dxa"/>
            <w:vMerge/>
            <w:vAlign w:val="center"/>
          </w:tcPr>
          <w:p w14:paraId="4D315CB8" w14:textId="77777777" w:rsidR="00D170E5" w:rsidRPr="002B55E9" w:rsidRDefault="00D170E5">
            <w:pPr>
              <w:jc w:val="center"/>
              <w:rPr>
                <w:bCs/>
                <w:snapToGrid w:val="0"/>
                <w:sz w:val="18"/>
              </w:rPr>
            </w:pPr>
          </w:p>
        </w:tc>
        <w:tc>
          <w:tcPr>
            <w:tcW w:w="549" w:type="dxa"/>
            <w:vMerge/>
            <w:vAlign w:val="center"/>
          </w:tcPr>
          <w:p w14:paraId="79BEE6EA" w14:textId="77777777" w:rsidR="00D170E5" w:rsidRPr="002B55E9" w:rsidRDefault="00D170E5">
            <w:pPr>
              <w:jc w:val="center"/>
              <w:rPr>
                <w:bCs/>
                <w:snapToGrid w:val="0"/>
                <w:sz w:val="18"/>
              </w:rPr>
            </w:pPr>
          </w:p>
        </w:tc>
        <w:tc>
          <w:tcPr>
            <w:tcW w:w="951" w:type="dxa"/>
            <w:vMerge/>
            <w:vAlign w:val="center"/>
          </w:tcPr>
          <w:p w14:paraId="2BADAAAD" w14:textId="77777777" w:rsidR="00D170E5" w:rsidRPr="002B55E9" w:rsidRDefault="00D170E5">
            <w:pPr>
              <w:jc w:val="center"/>
              <w:rPr>
                <w:bCs/>
                <w:snapToGrid w:val="0"/>
                <w:sz w:val="18"/>
              </w:rPr>
            </w:pPr>
          </w:p>
        </w:tc>
        <w:tc>
          <w:tcPr>
            <w:tcW w:w="1268" w:type="dxa"/>
            <w:tcBorders>
              <w:top w:val="single" w:sz="4" w:space="0" w:color="auto"/>
              <w:bottom w:val="single" w:sz="4" w:space="0" w:color="auto"/>
            </w:tcBorders>
            <w:vAlign w:val="center"/>
          </w:tcPr>
          <w:p w14:paraId="40797881" w14:textId="77777777" w:rsidR="00D170E5" w:rsidRPr="002B55E9" w:rsidRDefault="00EF27AD">
            <w:pPr>
              <w:jc w:val="center"/>
              <w:rPr>
                <w:bCs/>
                <w:snapToGrid w:val="0"/>
                <w:sz w:val="18"/>
              </w:rPr>
            </w:pPr>
            <w:r w:rsidRPr="002B55E9">
              <w:rPr>
                <w:bCs/>
                <w:snapToGrid w:val="0"/>
                <w:sz w:val="18"/>
              </w:rPr>
              <w:t>火灾爆炸</w:t>
            </w:r>
          </w:p>
        </w:tc>
        <w:tc>
          <w:tcPr>
            <w:tcW w:w="2678" w:type="dxa"/>
            <w:tcBorders>
              <w:top w:val="single" w:sz="4" w:space="0" w:color="auto"/>
              <w:bottom w:val="single" w:sz="4" w:space="0" w:color="auto"/>
            </w:tcBorders>
            <w:vAlign w:val="center"/>
          </w:tcPr>
          <w:p w14:paraId="0F10B58C"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）火灾爆炸时危险物质不完全燃烧产生的污染物扩散到环境，对周边环境空气造成影响；</w:t>
            </w:r>
          </w:p>
          <w:p w14:paraId="0F1176AE"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）火灾爆炸时泄漏的物料、消防冷却废水、受污染的雨水等进入到厂区内裸露地表后下渗，形成</w:t>
            </w:r>
            <w:r w:rsidRPr="002B55E9">
              <w:rPr>
                <w:rFonts w:hint="eastAsia"/>
                <w:bCs/>
                <w:snapToGrid w:val="0"/>
                <w:sz w:val="18"/>
              </w:rPr>
              <w:t>地下</w:t>
            </w:r>
            <w:r w:rsidRPr="002B55E9">
              <w:rPr>
                <w:bCs/>
                <w:snapToGrid w:val="0"/>
                <w:sz w:val="18"/>
              </w:rPr>
              <w:t>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2C02BB3E" w14:textId="77777777" w:rsidR="00D170E5" w:rsidRPr="002B55E9" w:rsidRDefault="00EF27AD">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p>
          <w:p w14:paraId="7FD5FEAE" w14:textId="77777777" w:rsidR="00D170E5" w:rsidRPr="002B55E9" w:rsidRDefault="00EF27AD">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4F984C26" w14:textId="77777777" w:rsidR="00D170E5" w:rsidRPr="002B55E9" w:rsidRDefault="00EF27AD">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20AE4039" w14:textId="77777777" w:rsidR="00D170E5" w:rsidRPr="002B55E9" w:rsidRDefault="00D170E5">
            <w:pPr>
              <w:jc w:val="center"/>
              <w:rPr>
                <w:bCs/>
                <w:snapToGrid w:val="0"/>
                <w:sz w:val="18"/>
              </w:rPr>
            </w:pPr>
          </w:p>
        </w:tc>
      </w:tr>
      <w:tr w:rsidR="00C60999" w:rsidRPr="002B55E9" w14:paraId="281706F0" w14:textId="77777777">
        <w:trPr>
          <w:trHeight w:val="283"/>
        </w:trPr>
        <w:tc>
          <w:tcPr>
            <w:tcW w:w="446" w:type="dxa"/>
            <w:vMerge w:val="restart"/>
            <w:vAlign w:val="center"/>
          </w:tcPr>
          <w:p w14:paraId="2A28824E" w14:textId="1671FA29" w:rsidR="00AC0B60" w:rsidRPr="002B55E9" w:rsidRDefault="00AC0B60" w:rsidP="00AC0B60">
            <w:pPr>
              <w:jc w:val="center"/>
              <w:rPr>
                <w:bCs/>
                <w:snapToGrid w:val="0"/>
                <w:sz w:val="18"/>
              </w:rPr>
            </w:pPr>
            <w:r w:rsidRPr="002B55E9">
              <w:rPr>
                <w:rFonts w:hint="eastAsia"/>
                <w:bCs/>
                <w:snapToGrid w:val="0"/>
                <w:sz w:val="18"/>
              </w:rPr>
              <w:t>4</w:t>
            </w:r>
          </w:p>
        </w:tc>
        <w:tc>
          <w:tcPr>
            <w:tcW w:w="732" w:type="dxa"/>
            <w:vMerge w:val="restart"/>
            <w:vAlign w:val="center"/>
          </w:tcPr>
          <w:p w14:paraId="6F1BB7BC" w14:textId="06095190" w:rsidR="00AC0B60" w:rsidRPr="002B55E9" w:rsidRDefault="00AC0B60" w:rsidP="00AC0B60">
            <w:pPr>
              <w:jc w:val="center"/>
              <w:rPr>
                <w:bCs/>
                <w:snapToGrid w:val="0"/>
                <w:sz w:val="18"/>
              </w:rPr>
            </w:pPr>
            <w:r w:rsidRPr="002B55E9">
              <w:rPr>
                <w:rFonts w:hint="eastAsia"/>
                <w:bCs/>
                <w:snapToGrid w:val="0"/>
                <w:sz w:val="18"/>
              </w:rPr>
              <w:t>危废暂存间</w:t>
            </w:r>
          </w:p>
        </w:tc>
        <w:tc>
          <w:tcPr>
            <w:tcW w:w="549" w:type="dxa"/>
            <w:vMerge w:val="restart"/>
            <w:vAlign w:val="center"/>
          </w:tcPr>
          <w:p w14:paraId="1564997E" w14:textId="728259FA" w:rsidR="00AC0B60" w:rsidRPr="002B55E9" w:rsidRDefault="00AC0B60" w:rsidP="00AC0B60">
            <w:pPr>
              <w:jc w:val="center"/>
              <w:rPr>
                <w:bCs/>
                <w:snapToGrid w:val="0"/>
                <w:sz w:val="18"/>
              </w:rPr>
            </w:pPr>
            <w:r w:rsidRPr="002B55E9">
              <w:rPr>
                <w:rFonts w:hint="eastAsia"/>
                <w:bCs/>
                <w:snapToGrid w:val="0"/>
                <w:sz w:val="18"/>
              </w:rPr>
              <w:t>废机油</w:t>
            </w:r>
          </w:p>
        </w:tc>
        <w:tc>
          <w:tcPr>
            <w:tcW w:w="951" w:type="dxa"/>
            <w:vMerge w:val="restart"/>
            <w:vAlign w:val="center"/>
          </w:tcPr>
          <w:p w14:paraId="4F61235B" w14:textId="0DC2B6F9" w:rsidR="00AC0B60" w:rsidRPr="002B55E9" w:rsidRDefault="00AC0B60" w:rsidP="00AC0B60">
            <w:pPr>
              <w:jc w:val="center"/>
              <w:rPr>
                <w:bCs/>
                <w:snapToGrid w:val="0"/>
                <w:sz w:val="18"/>
              </w:rPr>
            </w:pPr>
            <w:r w:rsidRPr="002B55E9">
              <w:rPr>
                <w:rFonts w:hint="eastAsia"/>
                <w:bCs/>
                <w:snapToGrid w:val="0"/>
                <w:sz w:val="18"/>
              </w:rPr>
              <w:t>废机油</w:t>
            </w:r>
          </w:p>
        </w:tc>
        <w:tc>
          <w:tcPr>
            <w:tcW w:w="1268" w:type="dxa"/>
            <w:tcBorders>
              <w:top w:val="single" w:sz="4" w:space="0" w:color="auto"/>
              <w:bottom w:val="single" w:sz="4" w:space="0" w:color="auto"/>
            </w:tcBorders>
            <w:vAlign w:val="center"/>
          </w:tcPr>
          <w:p w14:paraId="5C9636D2" w14:textId="2952C8DD" w:rsidR="00AC0B60" w:rsidRPr="002B55E9" w:rsidRDefault="00AC0B60" w:rsidP="00AC0B60">
            <w:pPr>
              <w:jc w:val="center"/>
              <w:rPr>
                <w:bCs/>
                <w:snapToGrid w:val="0"/>
                <w:sz w:val="18"/>
              </w:rPr>
            </w:pPr>
            <w:r w:rsidRPr="002B55E9">
              <w:rPr>
                <w:bCs/>
                <w:snapToGrid w:val="0"/>
                <w:sz w:val="18"/>
              </w:rPr>
              <w:t>危险物质泄漏</w:t>
            </w:r>
          </w:p>
        </w:tc>
        <w:tc>
          <w:tcPr>
            <w:tcW w:w="2678" w:type="dxa"/>
            <w:tcBorders>
              <w:top w:val="single" w:sz="4" w:space="0" w:color="auto"/>
              <w:bottom w:val="single" w:sz="4" w:space="0" w:color="auto"/>
            </w:tcBorders>
            <w:vAlign w:val="center"/>
          </w:tcPr>
          <w:p w14:paraId="3687FFAC" w14:textId="77777777" w:rsidR="00AC0B60" w:rsidRPr="002B55E9" w:rsidRDefault="00AC0B60" w:rsidP="00AC0B60">
            <w:pPr>
              <w:jc w:val="left"/>
              <w:rPr>
                <w:bCs/>
                <w:snapToGrid w:val="0"/>
                <w:sz w:val="18"/>
              </w:rPr>
            </w:pPr>
            <w:r w:rsidRPr="002B55E9">
              <w:rPr>
                <w:snapToGrid w:val="0"/>
                <w:sz w:val="18"/>
              </w:rPr>
              <w:t>（</w:t>
            </w:r>
            <w:r w:rsidRPr="002B55E9">
              <w:rPr>
                <w:snapToGrid w:val="0"/>
                <w:sz w:val="18"/>
              </w:rPr>
              <w:t>1</w:t>
            </w:r>
            <w:r w:rsidRPr="002B55E9">
              <w:rPr>
                <w:bCs/>
                <w:snapToGrid w:val="0"/>
                <w:sz w:val="18"/>
              </w:rPr>
              <w:t>）危险物质泄漏后，挥发到大气中形成污染物，对周边环境空气造成影响；</w:t>
            </w:r>
          </w:p>
          <w:p w14:paraId="09C1EB30" w14:textId="1A68291A" w:rsidR="00AC0B60" w:rsidRPr="002B55E9" w:rsidRDefault="00AC0B60" w:rsidP="00AC0B60">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）危险物质泄漏后，由于防渗层破裂导致危险物质下渗，形成水体及土壤环境污染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28FD8617"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p>
          <w:p w14:paraId="210DEA50"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6F683C31" w14:textId="2DE2BD41" w:rsidR="00AC0B60" w:rsidRPr="002B55E9" w:rsidRDefault="00AC0B60" w:rsidP="00AC0B60">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0CDA2701" w14:textId="77777777" w:rsidR="00AC0B60" w:rsidRPr="002B55E9" w:rsidRDefault="00AC0B60" w:rsidP="00AC0B60">
            <w:pPr>
              <w:jc w:val="center"/>
              <w:rPr>
                <w:bCs/>
                <w:snapToGrid w:val="0"/>
                <w:sz w:val="18"/>
              </w:rPr>
            </w:pPr>
          </w:p>
        </w:tc>
      </w:tr>
      <w:tr w:rsidR="00C60999" w:rsidRPr="002B55E9" w14:paraId="660FF420" w14:textId="77777777">
        <w:trPr>
          <w:trHeight w:val="283"/>
        </w:trPr>
        <w:tc>
          <w:tcPr>
            <w:tcW w:w="446" w:type="dxa"/>
            <w:vMerge/>
            <w:vAlign w:val="center"/>
          </w:tcPr>
          <w:p w14:paraId="6D566B8E" w14:textId="77777777" w:rsidR="00AC0B60" w:rsidRPr="002B55E9" w:rsidRDefault="00AC0B60" w:rsidP="00AC0B60">
            <w:pPr>
              <w:jc w:val="center"/>
              <w:rPr>
                <w:bCs/>
                <w:snapToGrid w:val="0"/>
                <w:sz w:val="18"/>
              </w:rPr>
            </w:pPr>
          </w:p>
        </w:tc>
        <w:tc>
          <w:tcPr>
            <w:tcW w:w="732" w:type="dxa"/>
            <w:vMerge/>
            <w:vAlign w:val="center"/>
          </w:tcPr>
          <w:p w14:paraId="27691C3A" w14:textId="77777777" w:rsidR="00AC0B60" w:rsidRPr="002B55E9" w:rsidRDefault="00AC0B60" w:rsidP="00AC0B60">
            <w:pPr>
              <w:jc w:val="center"/>
              <w:rPr>
                <w:bCs/>
                <w:snapToGrid w:val="0"/>
                <w:sz w:val="18"/>
              </w:rPr>
            </w:pPr>
          </w:p>
        </w:tc>
        <w:tc>
          <w:tcPr>
            <w:tcW w:w="549" w:type="dxa"/>
            <w:vMerge/>
            <w:vAlign w:val="center"/>
          </w:tcPr>
          <w:p w14:paraId="066C9771" w14:textId="77777777" w:rsidR="00AC0B60" w:rsidRPr="002B55E9" w:rsidRDefault="00AC0B60" w:rsidP="00AC0B60">
            <w:pPr>
              <w:jc w:val="center"/>
              <w:rPr>
                <w:bCs/>
                <w:snapToGrid w:val="0"/>
                <w:sz w:val="18"/>
              </w:rPr>
            </w:pPr>
          </w:p>
        </w:tc>
        <w:tc>
          <w:tcPr>
            <w:tcW w:w="951" w:type="dxa"/>
            <w:vMerge/>
            <w:vAlign w:val="center"/>
          </w:tcPr>
          <w:p w14:paraId="0EFA90A3" w14:textId="77777777" w:rsidR="00AC0B60" w:rsidRPr="002B55E9" w:rsidRDefault="00AC0B60" w:rsidP="00AC0B60">
            <w:pPr>
              <w:jc w:val="center"/>
              <w:rPr>
                <w:bCs/>
                <w:snapToGrid w:val="0"/>
                <w:sz w:val="18"/>
              </w:rPr>
            </w:pPr>
          </w:p>
        </w:tc>
        <w:tc>
          <w:tcPr>
            <w:tcW w:w="1268" w:type="dxa"/>
            <w:tcBorders>
              <w:top w:val="single" w:sz="4" w:space="0" w:color="auto"/>
              <w:bottom w:val="single" w:sz="4" w:space="0" w:color="auto"/>
            </w:tcBorders>
            <w:vAlign w:val="center"/>
          </w:tcPr>
          <w:p w14:paraId="3D8B74BD" w14:textId="67F08692" w:rsidR="00AC0B60" w:rsidRPr="002B55E9" w:rsidRDefault="00AC0B60" w:rsidP="00AC0B60">
            <w:pPr>
              <w:jc w:val="center"/>
              <w:rPr>
                <w:bCs/>
                <w:snapToGrid w:val="0"/>
                <w:sz w:val="18"/>
              </w:rPr>
            </w:pPr>
            <w:r w:rsidRPr="002B55E9">
              <w:rPr>
                <w:bCs/>
                <w:snapToGrid w:val="0"/>
                <w:sz w:val="18"/>
              </w:rPr>
              <w:t>火灾爆炸</w:t>
            </w:r>
          </w:p>
        </w:tc>
        <w:tc>
          <w:tcPr>
            <w:tcW w:w="2678" w:type="dxa"/>
            <w:tcBorders>
              <w:top w:val="single" w:sz="4" w:space="0" w:color="auto"/>
              <w:bottom w:val="single" w:sz="4" w:space="0" w:color="auto"/>
            </w:tcBorders>
            <w:vAlign w:val="center"/>
          </w:tcPr>
          <w:p w14:paraId="6E83374F"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1</w:t>
            </w:r>
            <w:r w:rsidRPr="002B55E9">
              <w:rPr>
                <w:bCs/>
                <w:snapToGrid w:val="0"/>
                <w:sz w:val="18"/>
              </w:rPr>
              <w:t>）火灾爆炸时危险物质不完全燃烧产生的污染物扩散到环境，对周边环境空气造成影响；</w:t>
            </w:r>
          </w:p>
          <w:p w14:paraId="2A0A40FE" w14:textId="3AEDC397" w:rsidR="00AC0B60" w:rsidRPr="002B55E9" w:rsidRDefault="00AC0B60" w:rsidP="00AC0B60">
            <w:pPr>
              <w:jc w:val="left"/>
              <w:rPr>
                <w:bCs/>
                <w:snapToGrid w:val="0"/>
                <w:sz w:val="18"/>
              </w:rPr>
            </w:pPr>
            <w:r w:rsidRPr="002B55E9">
              <w:rPr>
                <w:bCs/>
                <w:snapToGrid w:val="0"/>
                <w:sz w:val="18"/>
              </w:rPr>
              <w:t>（</w:t>
            </w:r>
            <w:r w:rsidRPr="002B55E9">
              <w:rPr>
                <w:bCs/>
                <w:snapToGrid w:val="0"/>
                <w:sz w:val="18"/>
              </w:rPr>
              <w:t>2</w:t>
            </w:r>
            <w:r w:rsidRPr="002B55E9">
              <w:rPr>
                <w:bCs/>
                <w:snapToGrid w:val="0"/>
                <w:sz w:val="18"/>
              </w:rPr>
              <w:t>）火灾爆炸时泄漏的物料、消防冷却废水、受污染的雨水等进入到厂区内裸露地表后下渗，形成</w:t>
            </w:r>
            <w:r w:rsidRPr="002B55E9">
              <w:rPr>
                <w:rFonts w:hint="eastAsia"/>
                <w:bCs/>
                <w:snapToGrid w:val="0"/>
                <w:sz w:val="18"/>
              </w:rPr>
              <w:t>地下</w:t>
            </w:r>
            <w:r w:rsidRPr="002B55E9">
              <w:rPr>
                <w:bCs/>
                <w:snapToGrid w:val="0"/>
                <w:sz w:val="18"/>
              </w:rPr>
              <w:t>水体及土壤环境污染</w:t>
            </w:r>
            <w:r w:rsidRPr="002B55E9">
              <w:rPr>
                <w:rFonts w:hint="eastAsia"/>
                <w:bCs/>
                <w:snapToGrid w:val="0"/>
                <w:sz w:val="18"/>
              </w:rPr>
              <w:t>，排出厂外形成地表水污染</w:t>
            </w:r>
            <w:r w:rsidRPr="002B55E9">
              <w:rPr>
                <w:bCs/>
                <w:snapToGrid w:val="0"/>
                <w:sz w:val="18"/>
              </w:rPr>
              <w:t>。</w:t>
            </w:r>
          </w:p>
        </w:tc>
        <w:tc>
          <w:tcPr>
            <w:tcW w:w="1853" w:type="dxa"/>
            <w:tcBorders>
              <w:top w:val="single" w:sz="4" w:space="0" w:color="auto"/>
              <w:bottom w:val="single" w:sz="4" w:space="0" w:color="auto"/>
            </w:tcBorders>
            <w:vAlign w:val="center"/>
          </w:tcPr>
          <w:p w14:paraId="4E75554A"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p>
          <w:p w14:paraId="0655E522"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2</w:t>
            </w:r>
            <w:r w:rsidRPr="002B55E9">
              <w:rPr>
                <w:bCs/>
                <w:snapToGrid w:val="0"/>
                <w:sz w:val="18"/>
              </w:rPr>
              <w:t>）地表水：</w:t>
            </w:r>
            <w:r w:rsidRPr="002B55E9">
              <w:rPr>
                <w:rFonts w:hint="eastAsia"/>
                <w:bCs/>
                <w:snapToGrid w:val="0"/>
                <w:sz w:val="18"/>
              </w:rPr>
              <w:t>府河</w:t>
            </w:r>
            <w:r w:rsidRPr="002B55E9">
              <w:rPr>
                <w:bCs/>
                <w:snapToGrid w:val="0"/>
                <w:sz w:val="18"/>
              </w:rPr>
              <w:t>；</w:t>
            </w:r>
          </w:p>
          <w:p w14:paraId="666C0AF1" w14:textId="2843F663" w:rsidR="00AC0B60" w:rsidRPr="002B55E9" w:rsidRDefault="00AC0B60" w:rsidP="00AC0B60">
            <w:pPr>
              <w:jc w:val="left"/>
              <w:rPr>
                <w:bCs/>
                <w:snapToGrid w:val="0"/>
                <w:sz w:val="18"/>
              </w:rPr>
            </w:pPr>
            <w:r w:rsidRPr="002B55E9">
              <w:rPr>
                <w:bCs/>
                <w:snapToGrid w:val="0"/>
                <w:sz w:val="18"/>
              </w:rPr>
              <w:t>（</w:t>
            </w:r>
            <w:r w:rsidRPr="002B55E9">
              <w:rPr>
                <w:bCs/>
                <w:snapToGrid w:val="0"/>
                <w:sz w:val="18"/>
              </w:rPr>
              <w:t>3</w:t>
            </w:r>
            <w:r w:rsidRPr="002B55E9">
              <w:rPr>
                <w:bCs/>
                <w:snapToGrid w:val="0"/>
                <w:sz w:val="18"/>
              </w:rPr>
              <w:t>）厂址所在水文地质单元的地下水</w:t>
            </w:r>
            <w:r w:rsidRPr="002B55E9">
              <w:rPr>
                <w:rFonts w:hint="eastAsia"/>
                <w:bCs/>
                <w:snapToGrid w:val="0"/>
                <w:sz w:val="18"/>
              </w:rPr>
              <w:t>及</w:t>
            </w:r>
            <w:r w:rsidRPr="002B55E9">
              <w:rPr>
                <w:bCs/>
                <w:snapToGrid w:val="0"/>
                <w:sz w:val="18"/>
              </w:rPr>
              <w:t>土壤。</w:t>
            </w:r>
          </w:p>
        </w:tc>
        <w:tc>
          <w:tcPr>
            <w:tcW w:w="1160" w:type="dxa"/>
            <w:vMerge/>
            <w:vAlign w:val="center"/>
          </w:tcPr>
          <w:p w14:paraId="59ECA201" w14:textId="77777777" w:rsidR="00AC0B60" w:rsidRPr="002B55E9" w:rsidRDefault="00AC0B60" w:rsidP="00AC0B60">
            <w:pPr>
              <w:jc w:val="center"/>
              <w:rPr>
                <w:bCs/>
                <w:snapToGrid w:val="0"/>
                <w:sz w:val="18"/>
              </w:rPr>
            </w:pPr>
          </w:p>
        </w:tc>
      </w:tr>
      <w:tr w:rsidR="00C60999" w:rsidRPr="002B55E9" w14:paraId="4A753687" w14:textId="77777777">
        <w:trPr>
          <w:trHeight w:val="283"/>
        </w:trPr>
        <w:tc>
          <w:tcPr>
            <w:tcW w:w="446" w:type="dxa"/>
            <w:tcBorders>
              <w:bottom w:val="single" w:sz="12" w:space="0" w:color="auto"/>
            </w:tcBorders>
            <w:vAlign w:val="center"/>
          </w:tcPr>
          <w:p w14:paraId="29292A90" w14:textId="07F6117B" w:rsidR="00AC0B60" w:rsidRPr="002B55E9" w:rsidRDefault="00AC0B60" w:rsidP="00AC0B60">
            <w:pPr>
              <w:jc w:val="center"/>
              <w:rPr>
                <w:bCs/>
                <w:snapToGrid w:val="0"/>
                <w:sz w:val="18"/>
              </w:rPr>
            </w:pPr>
            <w:r w:rsidRPr="002B55E9">
              <w:rPr>
                <w:bCs/>
                <w:snapToGrid w:val="0"/>
                <w:sz w:val="18"/>
              </w:rPr>
              <w:t>5</w:t>
            </w:r>
          </w:p>
        </w:tc>
        <w:tc>
          <w:tcPr>
            <w:tcW w:w="732" w:type="dxa"/>
            <w:tcBorders>
              <w:bottom w:val="single" w:sz="12" w:space="0" w:color="auto"/>
            </w:tcBorders>
            <w:vAlign w:val="center"/>
          </w:tcPr>
          <w:p w14:paraId="2B52AC55" w14:textId="77777777" w:rsidR="00AC0B60" w:rsidRPr="002B55E9" w:rsidRDefault="00AC0B60" w:rsidP="00AC0B60">
            <w:pPr>
              <w:jc w:val="center"/>
              <w:rPr>
                <w:bCs/>
                <w:snapToGrid w:val="0"/>
                <w:sz w:val="18"/>
              </w:rPr>
            </w:pPr>
            <w:r w:rsidRPr="002B55E9">
              <w:rPr>
                <w:rFonts w:hint="eastAsia"/>
                <w:bCs/>
                <w:snapToGrid w:val="0"/>
                <w:sz w:val="18"/>
              </w:rPr>
              <w:t>次生污染物</w:t>
            </w:r>
          </w:p>
        </w:tc>
        <w:tc>
          <w:tcPr>
            <w:tcW w:w="549" w:type="dxa"/>
            <w:tcBorders>
              <w:bottom w:val="single" w:sz="12" w:space="0" w:color="auto"/>
            </w:tcBorders>
            <w:vAlign w:val="center"/>
          </w:tcPr>
          <w:p w14:paraId="1DAA0070" w14:textId="77777777" w:rsidR="00AC0B60" w:rsidRPr="002B55E9" w:rsidRDefault="00AC0B60" w:rsidP="00AC0B60">
            <w:pPr>
              <w:jc w:val="center"/>
              <w:rPr>
                <w:bCs/>
                <w:snapToGrid w:val="0"/>
                <w:sz w:val="18"/>
              </w:rPr>
            </w:pPr>
            <w:r w:rsidRPr="002B55E9">
              <w:rPr>
                <w:rFonts w:hint="eastAsia"/>
                <w:bCs/>
                <w:snapToGrid w:val="0"/>
                <w:sz w:val="18"/>
              </w:rPr>
              <w:t>/</w:t>
            </w:r>
          </w:p>
        </w:tc>
        <w:tc>
          <w:tcPr>
            <w:tcW w:w="951" w:type="dxa"/>
            <w:tcBorders>
              <w:bottom w:val="single" w:sz="12" w:space="0" w:color="auto"/>
            </w:tcBorders>
            <w:vAlign w:val="center"/>
          </w:tcPr>
          <w:p w14:paraId="1DDF8E13" w14:textId="77777777" w:rsidR="00AC0B60" w:rsidRPr="002B55E9" w:rsidRDefault="00AC0B60" w:rsidP="00AC0B60">
            <w:pPr>
              <w:jc w:val="center"/>
              <w:rPr>
                <w:bCs/>
                <w:snapToGrid w:val="0"/>
                <w:sz w:val="18"/>
              </w:rPr>
            </w:pPr>
            <w:r w:rsidRPr="002B55E9">
              <w:rPr>
                <w:rFonts w:hint="eastAsia"/>
                <w:bCs/>
                <w:snapToGrid w:val="0"/>
                <w:sz w:val="18"/>
              </w:rPr>
              <w:t>CO</w:t>
            </w:r>
            <w:r w:rsidRPr="002B55E9">
              <w:rPr>
                <w:rFonts w:hint="eastAsia"/>
                <w:bCs/>
                <w:snapToGrid w:val="0"/>
                <w:sz w:val="18"/>
              </w:rPr>
              <w:t>等</w:t>
            </w:r>
          </w:p>
        </w:tc>
        <w:tc>
          <w:tcPr>
            <w:tcW w:w="1268" w:type="dxa"/>
            <w:tcBorders>
              <w:top w:val="single" w:sz="4" w:space="0" w:color="auto"/>
              <w:bottom w:val="single" w:sz="12" w:space="0" w:color="auto"/>
            </w:tcBorders>
            <w:vAlign w:val="center"/>
          </w:tcPr>
          <w:p w14:paraId="245A2A06" w14:textId="77777777" w:rsidR="00AC0B60" w:rsidRPr="002B55E9" w:rsidRDefault="00AC0B60" w:rsidP="00AC0B60">
            <w:pPr>
              <w:jc w:val="center"/>
              <w:rPr>
                <w:bCs/>
                <w:snapToGrid w:val="0"/>
                <w:sz w:val="18"/>
              </w:rPr>
            </w:pPr>
            <w:r w:rsidRPr="002B55E9">
              <w:rPr>
                <w:bCs/>
                <w:snapToGrid w:val="0"/>
                <w:sz w:val="18"/>
              </w:rPr>
              <w:t>次生污染物排放</w:t>
            </w:r>
          </w:p>
        </w:tc>
        <w:tc>
          <w:tcPr>
            <w:tcW w:w="2678" w:type="dxa"/>
            <w:tcBorders>
              <w:top w:val="single" w:sz="4" w:space="0" w:color="auto"/>
              <w:bottom w:val="single" w:sz="12" w:space="0" w:color="auto"/>
            </w:tcBorders>
            <w:vAlign w:val="center"/>
          </w:tcPr>
          <w:p w14:paraId="320AE7B8"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1</w:t>
            </w:r>
            <w:r w:rsidRPr="002B55E9">
              <w:rPr>
                <w:bCs/>
                <w:snapToGrid w:val="0"/>
                <w:sz w:val="18"/>
              </w:rPr>
              <w:t>）</w:t>
            </w:r>
            <w:r w:rsidRPr="002B55E9">
              <w:rPr>
                <w:rFonts w:hint="eastAsia"/>
                <w:bCs/>
                <w:snapToGrid w:val="0"/>
                <w:sz w:val="18"/>
              </w:rPr>
              <w:t>次生污染物</w:t>
            </w:r>
            <w:r w:rsidRPr="002B55E9">
              <w:rPr>
                <w:rFonts w:hint="eastAsia"/>
                <w:bCs/>
                <w:snapToGrid w:val="0"/>
                <w:sz w:val="18"/>
              </w:rPr>
              <w:t>CO</w:t>
            </w:r>
            <w:r w:rsidRPr="002B55E9">
              <w:rPr>
                <w:rFonts w:hint="eastAsia"/>
                <w:bCs/>
                <w:snapToGrid w:val="0"/>
                <w:sz w:val="18"/>
              </w:rPr>
              <w:t>排入</w:t>
            </w:r>
            <w:r w:rsidRPr="002B55E9">
              <w:rPr>
                <w:bCs/>
                <w:snapToGrid w:val="0"/>
                <w:sz w:val="18"/>
              </w:rPr>
              <w:t>大气中形成污染物，对周边环境空气造成影响</w:t>
            </w:r>
            <w:r w:rsidRPr="002B55E9">
              <w:rPr>
                <w:rFonts w:hint="eastAsia"/>
                <w:bCs/>
                <w:snapToGrid w:val="0"/>
                <w:sz w:val="18"/>
              </w:rPr>
              <w:t>。</w:t>
            </w:r>
          </w:p>
        </w:tc>
        <w:tc>
          <w:tcPr>
            <w:tcW w:w="1853" w:type="dxa"/>
            <w:tcBorders>
              <w:top w:val="single" w:sz="4" w:space="0" w:color="auto"/>
              <w:bottom w:val="single" w:sz="12" w:space="0" w:color="auto"/>
            </w:tcBorders>
            <w:vAlign w:val="center"/>
          </w:tcPr>
          <w:p w14:paraId="676858E1" w14:textId="77777777" w:rsidR="00AC0B60" w:rsidRPr="002B55E9" w:rsidRDefault="00AC0B60" w:rsidP="00AC0B60">
            <w:pPr>
              <w:jc w:val="left"/>
              <w:rPr>
                <w:bCs/>
                <w:snapToGrid w:val="0"/>
                <w:sz w:val="18"/>
              </w:rPr>
            </w:pPr>
            <w:r w:rsidRPr="002B55E9">
              <w:rPr>
                <w:bCs/>
                <w:snapToGrid w:val="0"/>
                <w:sz w:val="18"/>
              </w:rPr>
              <w:t>（</w:t>
            </w:r>
            <w:r w:rsidRPr="002B55E9">
              <w:rPr>
                <w:bCs/>
                <w:snapToGrid w:val="0"/>
                <w:sz w:val="18"/>
              </w:rPr>
              <w:t>1</w:t>
            </w:r>
            <w:r w:rsidRPr="002B55E9">
              <w:rPr>
                <w:bCs/>
                <w:snapToGrid w:val="0"/>
                <w:sz w:val="18"/>
              </w:rPr>
              <w:t>）大气：周边环境空气敏感目标</w:t>
            </w:r>
            <w:r w:rsidRPr="002B55E9">
              <w:rPr>
                <w:rFonts w:hint="eastAsia"/>
                <w:bCs/>
                <w:snapToGrid w:val="0"/>
                <w:sz w:val="18"/>
              </w:rPr>
              <w:t>。</w:t>
            </w:r>
          </w:p>
        </w:tc>
        <w:tc>
          <w:tcPr>
            <w:tcW w:w="1160" w:type="dxa"/>
            <w:vMerge/>
            <w:vAlign w:val="center"/>
          </w:tcPr>
          <w:p w14:paraId="2926A42E" w14:textId="77777777" w:rsidR="00AC0B60" w:rsidRPr="002B55E9" w:rsidRDefault="00AC0B60" w:rsidP="00AC0B60">
            <w:pPr>
              <w:jc w:val="center"/>
              <w:rPr>
                <w:bCs/>
                <w:snapToGrid w:val="0"/>
                <w:sz w:val="18"/>
              </w:rPr>
            </w:pPr>
          </w:p>
        </w:tc>
      </w:tr>
    </w:tbl>
    <w:p w14:paraId="0DB9AD44" w14:textId="77777777" w:rsidR="00D170E5" w:rsidRPr="002B55E9" w:rsidRDefault="00EF27AD">
      <w:pPr>
        <w:pStyle w:val="3"/>
      </w:pPr>
      <w:bookmarkStart w:id="245" w:name="_Toc119309005"/>
      <w:r w:rsidRPr="002B55E9">
        <w:rPr>
          <w:rFonts w:hint="eastAsia"/>
        </w:rPr>
        <w:t>风险预测与评价</w:t>
      </w:r>
      <w:bookmarkEnd w:id="245"/>
    </w:p>
    <w:p w14:paraId="2738C37A" w14:textId="77777777" w:rsidR="00D170E5" w:rsidRPr="002B55E9" w:rsidRDefault="00EF27AD">
      <w:pPr>
        <w:pStyle w:val="4"/>
        <w:numPr>
          <w:ilvl w:val="3"/>
          <w:numId w:val="28"/>
        </w:numPr>
        <w:rPr>
          <w:color w:val="auto"/>
        </w:rPr>
      </w:pPr>
      <w:r w:rsidRPr="002B55E9">
        <w:rPr>
          <w:rFonts w:hint="eastAsia"/>
          <w:color w:val="auto"/>
        </w:rPr>
        <w:t>风险事故</w:t>
      </w:r>
      <w:r w:rsidRPr="002B55E9">
        <w:rPr>
          <w:color w:val="auto"/>
        </w:rPr>
        <w:t>情形设定</w:t>
      </w:r>
    </w:p>
    <w:p w14:paraId="47AFD485" w14:textId="77777777" w:rsidR="00D170E5" w:rsidRPr="002B55E9" w:rsidRDefault="00EF27AD">
      <w:pPr>
        <w:spacing w:line="360" w:lineRule="auto"/>
        <w:ind w:firstLineChars="200" w:firstLine="480"/>
        <w:rPr>
          <w:sz w:val="24"/>
        </w:rPr>
      </w:pPr>
      <w:r w:rsidRPr="002B55E9">
        <w:rPr>
          <w:rFonts w:hint="eastAsia"/>
          <w:sz w:val="24"/>
        </w:rPr>
        <w:t>本次环评事故风险评价主要考虑有代表性危险单元和危险物质设定其环境风险事故情形。假想的事故应当是可能对厂区外敏感点和周围环境造成较大影响的可信事故。</w:t>
      </w:r>
    </w:p>
    <w:p w14:paraId="3F78CACF" w14:textId="77777777" w:rsidR="00D170E5" w:rsidRPr="002B55E9" w:rsidRDefault="00EF27AD">
      <w:pPr>
        <w:spacing w:line="360" w:lineRule="auto"/>
        <w:ind w:firstLineChars="200" w:firstLine="480"/>
        <w:jc w:val="left"/>
        <w:rPr>
          <w:rFonts w:ascii="Calibri" w:hAnsi="Calibri"/>
          <w:sz w:val="24"/>
          <w:szCs w:val="22"/>
        </w:rPr>
      </w:pPr>
      <w:r w:rsidRPr="002B55E9">
        <w:rPr>
          <w:rFonts w:ascii="Calibri" w:hAnsi="Calibri" w:hint="eastAsia"/>
          <w:sz w:val="24"/>
          <w:szCs w:val="22"/>
        </w:rPr>
        <w:t>最大可信事故：在所有预测的概率不为零的事故中，对环境或健康危害最严重的事故。根据事故类型，主要分为火灾爆炸事故和毒物泄漏事故两类。</w:t>
      </w:r>
    </w:p>
    <w:p w14:paraId="18092E89" w14:textId="77777777" w:rsidR="00D170E5" w:rsidRPr="002B55E9" w:rsidRDefault="00EF27AD">
      <w:pPr>
        <w:spacing w:line="360" w:lineRule="auto"/>
        <w:ind w:firstLineChars="200" w:firstLine="480"/>
        <w:jc w:val="left"/>
        <w:rPr>
          <w:rFonts w:ascii="Calibri" w:hAnsi="Calibri"/>
          <w:sz w:val="24"/>
          <w:szCs w:val="22"/>
        </w:rPr>
      </w:pPr>
      <w:r w:rsidRPr="002B55E9">
        <w:rPr>
          <w:rFonts w:hint="eastAsia"/>
          <w:sz w:val="24"/>
          <w:szCs w:val="22"/>
        </w:rPr>
        <w:t>1</w:t>
      </w:r>
      <w:r w:rsidRPr="002B55E9">
        <w:rPr>
          <w:rFonts w:ascii="Calibri" w:hAnsi="Calibri" w:hint="eastAsia"/>
          <w:sz w:val="24"/>
          <w:szCs w:val="22"/>
        </w:rPr>
        <w:t>、火灾爆炸风险</w:t>
      </w:r>
    </w:p>
    <w:p w14:paraId="334AEE40" w14:textId="77777777" w:rsidR="00D170E5" w:rsidRPr="002B55E9" w:rsidRDefault="00EF27AD">
      <w:pPr>
        <w:spacing w:line="360" w:lineRule="auto"/>
        <w:ind w:firstLineChars="200" w:firstLine="480"/>
        <w:jc w:val="left"/>
        <w:rPr>
          <w:rFonts w:ascii="Calibri" w:hAnsi="Calibri"/>
          <w:sz w:val="24"/>
          <w:szCs w:val="22"/>
        </w:rPr>
      </w:pPr>
      <w:r w:rsidRPr="002B55E9">
        <w:rPr>
          <w:rFonts w:ascii="Calibri" w:hAnsi="Calibri" w:hint="eastAsia"/>
          <w:sz w:val="24"/>
          <w:szCs w:val="22"/>
        </w:rPr>
        <w:t>根据分析，本项目所涉及的物料中易燃易爆物质主要</w:t>
      </w:r>
      <w:r w:rsidRPr="002B55E9">
        <w:rPr>
          <w:rFonts w:ascii="Calibri" w:hAnsi="Calibri"/>
          <w:sz w:val="24"/>
          <w:szCs w:val="22"/>
        </w:rPr>
        <w:t>为十</w:t>
      </w:r>
      <w:r w:rsidRPr="002B55E9">
        <w:rPr>
          <w:rFonts w:ascii="Calibri" w:hAnsi="Calibri" w:hint="eastAsia"/>
          <w:sz w:val="24"/>
          <w:szCs w:val="22"/>
        </w:rPr>
        <w:t>三</w:t>
      </w:r>
      <w:r w:rsidRPr="002B55E9">
        <w:rPr>
          <w:rFonts w:ascii="Calibri" w:hAnsi="Calibri"/>
          <w:sz w:val="24"/>
          <w:szCs w:val="22"/>
        </w:rPr>
        <w:t>车间内</w:t>
      </w:r>
      <w:r w:rsidRPr="002B55E9">
        <w:rPr>
          <w:rFonts w:ascii="Calibri" w:hAnsi="Calibri" w:hint="eastAsia"/>
          <w:sz w:val="24"/>
          <w:szCs w:val="22"/>
        </w:rPr>
        <w:t>过氧乙酸</w:t>
      </w:r>
      <w:r w:rsidRPr="002B55E9">
        <w:rPr>
          <w:rFonts w:ascii="Calibri" w:hAnsi="Calibri"/>
          <w:sz w:val="24"/>
          <w:szCs w:val="22"/>
        </w:rPr>
        <w:t>等</w:t>
      </w:r>
      <w:r w:rsidRPr="002B55E9">
        <w:rPr>
          <w:rFonts w:ascii="Calibri" w:hAnsi="Calibri" w:hint="eastAsia"/>
          <w:sz w:val="24"/>
          <w:szCs w:val="22"/>
        </w:rPr>
        <w:t>风险</w:t>
      </w:r>
      <w:r w:rsidRPr="002B55E9">
        <w:rPr>
          <w:rFonts w:ascii="Calibri" w:hAnsi="Calibri"/>
          <w:sz w:val="24"/>
          <w:szCs w:val="22"/>
        </w:rPr>
        <w:t>物质</w:t>
      </w:r>
      <w:r w:rsidRPr="002B55E9">
        <w:rPr>
          <w:rFonts w:ascii="Calibri" w:hAnsi="Calibri" w:hint="eastAsia"/>
          <w:sz w:val="24"/>
          <w:szCs w:val="22"/>
        </w:rPr>
        <w:t>，</w:t>
      </w:r>
      <w:r w:rsidRPr="002B55E9">
        <w:rPr>
          <w:rFonts w:ascii="Calibri" w:hAnsi="Calibri" w:hint="eastAsia"/>
          <w:sz w:val="24"/>
          <w:szCs w:val="22"/>
        </w:rPr>
        <w:lastRenderedPageBreak/>
        <w:t>存在火灾爆炸风险。根据《建设项目环境影响风险评价技术导则》</w:t>
      </w:r>
      <w:r w:rsidRPr="002B55E9">
        <w:rPr>
          <w:sz w:val="24"/>
          <w:szCs w:val="22"/>
        </w:rPr>
        <w:t>（</w:t>
      </w:r>
      <w:r w:rsidRPr="002B55E9">
        <w:rPr>
          <w:sz w:val="24"/>
          <w:szCs w:val="22"/>
        </w:rPr>
        <w:t>HJ169-2018</w:t>
      </w:r>
      <w:r w:rsidRPr="002B55E9">
        <w:rPr>
          <w:sz w:val="24"/>
          <w:szCs w:val="22"/>
        </w:rPr>
        <w:t>）</w:t>
      </w:r>
      <w:r w:rsidRPr="002B55E9">
        <w:rPr>
          <w:rFonts w:ascii="Calibri" w:hAnsi="Calibri" w:hint="eastAsia"/>
          <w:sz w:val="24"/>
          <w:szCs w:val="22"/>
        </w:rPr>
        <w:t>，本次评价对仅火灾爆炸事故中未完全燃烧的危险物质在高温下迅速挥发释放至大气中产生的伴生</w:t>
      </w:r>
      <w:r w:rsidRPr="002B55E9">
        <w:rPr>
          <w:rFonts w:ascii="Calibri" w:hAnsi="Calibri" w:hint="eastAsia"/>
          <w:sz w:val="24"/>
          <w:szCs w:val="22"/>
        </w:rPr>
        <w:t>/</w:t>
      </w:r>
      <w:r w:rsidRPr="002B55E9">
        <w:rPr>
          <w:rFonts w:ascii="Calibri" w:hAnsi="Calibri" w:hint="eastAsia"/>
          <w:sz w:val="24"/>
          <w:szCs w:val="22"/>
        </w:rPr>
        <w:t>次生污染物对环境的影响作为事故情形设定的内容。</w:t>
      </w:r>
    </w:p>
    <w:p w14:paraId="5CA2D4BB" w14:textId="77777777" w:rsidR="00D170E5" w:rsidRPr="002B55E9" w:rsidRDefault="00EF27AD">
      <w:pPr>
        <w:spacing w:line="360" w:lineRule="auto"/>
        <w:ind w:firstLineChars="200" w:firstLine="480"/>
        <w:jc w:val="left"/>
        <w:rPr>
          <w:rFonts w:ascii="Calibri" w:hAnsi="Calibri"/>
          <w:sz w:val="24"/>
          <w:szCs w:val="22"/>
        </w:rPr>
      </w:pPr>
      <w:r w:rsidRPr="002B55E9">
        <w:rPr>
          <w:rFonts w:hint="eastAsia"/>
          <w:sz w:val="24"/>
          <w:szCs w:val="22"/>
        </w:rPr>
        <w:t>2</w:t>
      </w:r>
      <w:r w:rsidRPr="002B55E9">
        <w:rPr>
          <w:rFonts w:ascii="Calibri" w:hAnsi="Calibri" w:hint="eastAsia"/>
          <w:sz w:val="24"/>
          <w:szCs w:val="22"/>
        </w:rPr>
        <w:t>、泄漏事故风险</w:t>
      </w:r>
    </w:p>
    <w:p w14:paraId="6DC7EEB6" w14:textId="77777777" w:rsidR="00D170E5" w:rsidRPr="002B55E9" w:rsidRDefault="00EF27AD">
      <w:pPr>
        <w:spacing w:line="360" w:lineRule="auto"/>
        <w:ind w:firstLineChars="200" w:firstLine="480"/>
        <w:jc w:val="left"/>
        <w:rPr>
          <w:rFonts w:ascii="Calibri" w:hAnsi="Calibri"/>
          <w:sz w:val="24"/>
          <w:szCs w:val="22"/>
        </w:rPr>
      </w:pPr>
      <w:r w:rsidRPr="002B55E9">
        <w:rPr>
          <w:rFonts w:ascii="Calibri" w:hAnsi="Calibri" w:hint="eastAsia"/>
          <w:sz w:val="24"/>
          <w:szCs w:val="22"/>
        </w:rPr>
        <w:t>根据本工程所用物料情况及采用设备的性能分析，可能造成风险</w:t>
      </w:r>
      <w:r w:rsidRPr="002B55E9">
        <w:rPr>
          <w:rFonts w:ascii="Calibri" w:hAnsi="Calibri"/>
          <w:sz w:val="24"/>
          <w:szCs w:val="22"/>
        </w:rPr>
        <w:t>物质</w:t>
      </w:r>
      <w:r w:rsidRPr="002B55E9">
        <w:rPr>
          <w:rFonts w:ascii="Calibri" w:hAnsi="Calibri" w:hint="eastAsia"/>
          <w:sz w:val="24"/>
          <w:szCs w:val="22"/>
        </w:rPr>
        <w:t>泄漏的主要部位来自贮罐与管道的阀门及连接处。</w:t>
      </w:r>
    </w:p>
    <w:p w14:paraId="2A1DA1B9" w14:textId="77777777" w:rsidR="00D170E5" w:rsidRPr="002B55E9" w:rsidRDefault="00EF27AD">
      <w:pPr>
        <w:spacing w:line="360" w:lineRule="auto"/>
        <w:ind w:firstLineChars="200" w:firstLine="480"/>
        <w:jc w:val="left"/>
        <w:rPr>
          <w:rFonts w:ascii="Calibri" w:hAnsi="Calibri"/>
          <w:sz w:val="24"/>
          <w:szCs w:val="22"/>
        </w:rPr>
      </w:pPr>
      <w:r w:rsidRPr="002B55E9">
        <w:rPr>
          <w:rFonts w:ascii="Calibri" w:hAnsi="Calibri" w:hint="eastAsia"/>
          <w:sz w:val="24"/>
          <w:szCs w:val="22"/>
        </w:rPr>
        <w:t>结合风险事故的特征及其对环境的影响，根据对同类行业的调研、本项目生产过程分析，针对已识别出的危险因素和风险类型，确定最大可信事故及其概率。</w:t>
      </w:r>
    </w:p>
    <w:p w14:paraId="4DD1F55F"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w:t>
      </w:r>
      <w:r w:rsidRPr="002B55E9">
        <w:rPr>
          <w:rFonts w:hint="eastAsia"/>
          <w:bCs/>
          <w:snapToGrid w:val="0"/>
          <w:sz w:val="24"/>
          <w:lang w:val="zh-CN"/>
        </w:rPr>
        <w:t>1</w:t>
      </w:r>
      <w:r w:rsidRPr="002B55E9">
        <w:rPr>
          <w:rFonts w:hint="eastAsia"/>
          <w:bCs/>
          <w:snapToGrid w:val="0"/>
          <w:sz w:val="24"/>
          <w:lang w:val="zh-CN"/>
        </w:rPr>
        <w:t>）典型物料</w:t>
      </w:r>
    </w:p>
    <w:p w14:paraId="0ABF1C13"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从区域环境风险而言，对外事故类型主要为风险物质泄漏。就本项目而言，综合考虑危险物质的毒性、易燃易爆性、挥发性、</w:t>
      </w:r>
      <w:r w:rsidRPr="002B55E9">
        <w:rPr>
          <w:rFonts w:hint="eastAsia"/>
          <w:bCs/>
          <w:snapToGrid w:val="0"/>
          <w:sz w:val="24"/>
          <w:lang w:val="zh-CN"/>
        </w:rPr>
        <w:t>Q</w:t>
      </w:r>
      <w:r w:rsidRPr="002B55E9">
        <w:rPr>
          <w:rFonts w:hint="eastAsia"/>
          <w:bCs/>
          <w:snapToGrid w:val="0"/>
          <w:sz w:val="24"/>
          <w:lang w:val="zh-CN"/>
        </w:rPr>
        <w:t>值以及毒性终点浓度等特点，本次评价选取储罐区乙酸、</w:t>
      </w:r>
      <w:r w:rsidRPr="002B55E9">
        <w:rPr>
          <w:bCs/>
          <w:snapToGrid w:val="0"/>
          <w:sz w:val="24"/>
          <w:lang w:val="zh-CN"/>
        </w:rPr>
        <w:t>超立克</w:t>
      </w:r>
      <w:r w:rsidRPr="002B55E9">
        <w:rPr>
          <w:rFonts w:hint="eastAsia"/>
          <w:bCs/>
          <w:snapToGrid w:val="0"/>
          <w:sz w:val="24"/>
          <w:lang w:val="zh-CN"/>
        </w:rPr>
        <w:t>及十三车间内过氧乙酸泄露作为对环境空气影响的最大可信事故。</w:t>
      </w:r>
    </w:p>
    <w:p w14:paraId="60A4C138"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w:t>
      </w:r>
      <w:r w:rsidRPr="002B55E9">
        <w:rPr>
          <w:rFonts w:hint="eastAsia"/>
          <w:bCs/>
          <w:snapToGrid w:val="0"/>
          <w:sz w:val="24"/>
          <w:lang w:val="zh-CN"/>
        </w:rPr>
        <w:t>2</w:t>
      </w:r>
      <w:r w:rsidRPr="002B55E9">
        <w:rPr>
          <w:rFonts w:hint="eastAsia"/>
          <w:bCs/>
          <w:snapToGrid w:val="0"/>
          <w:sz w:val="24"/>
          <w:lang w:val="zh-CN"/>
        </w:rPr>
        <w:t>）泄漏源：醋胚储罐、超立克</w:t>
      </w:r>
      <w:r w:rsidRPr="002B55E9">
        <w:rPr>
          <w:bCs/>
          <w:snapToGrid w:val="0"/>
          <w:sz w:val="24"/>
          <w:lang w:val="zh-CN"/>
        </w:rPr>
        <w:t>储罐</w:t>
      </w:r>
      <w:r w:rsidRPr="002B55E9">
        <w:rPr>
          <w:rFonts w:hint="eastAsia"/>
          <w:bCs/>
          <w:snapToGrid w:val="0"/>
          <w:sz w:val="24"/>
          <w:lang w:val="zh-CN"/>
        </w:rPr>
        <w:t>、过氧乙酸包装</w:t>
      </w:r>
      <w:r w:rsidRPr="002B55E9">
        <w:rPr>
          <w:bCs/>
          <w:snapToGrid w:val="0"/>
          <w:sz w:val="24"/>
          <w:lang w:val="zh-CN"/>
        </w:rPr>
        <w:t>桶</w:t>
      </w:r>
      <w:r w:rsidRPr="002B55E9">
        <w:rPr>
          <w:rFonts w:hint="eastAsia"/>
          <w:bCs/>
          <w:snapToGrid w:val="0"/>
          <w:sz w:val="24"/>
          <w:lang w:val="zh-CN"/>
        </w:rPr>
        <w:t>。</w:t>
      </w:r>
    </w:p>
    <w:p w14:paraId="2B9563A7"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泄漏方式：假定为连续性泄漏。</w:t>
      </w:r>
    </w:p>
    <w:p w14:paraId="1D1CBD22"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w:t>
      </w:r>
      <w:r w:rsidRPr="002B55E9">
        <w:rPr>
          <w:rFonts w:hint="eastAsia"/>
          <w:bCs/>
          <w:snapToGrid w:val="0"/>
          <w:sz w:val="24"/>
          <w:lang w:val="zh-CN"/>
        </w:rPr>
        <w:t>3</w:t>
      </w:r>
      <w:r w:rsidRPr="002B55E9">
        <w:rPr>
          <w:rFonts w:hint="eastAsia"/>
          <w:bCs/>
          <w:snapToGrid w:val="0"/>
          <w:sz w:val="24"/>
          <w:lang w:val="zh-CN"/>
        </w:rPr>
        <w:t>）泄漏持续时间的选取</w:t>
      </w:r>
    </w:p>
    <w:p w14:paraId="7290956B"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在实际生产过程中，由于作业现场有人巡视、且储罐采取了压力、流量检测与控制、设置围堰、</w:t>
      </w:r>
      <w:r w:rsidRPr="002B55E9">
        <w:rPr>
          <w:bCs/>
          <w:snapToGrid w:val="0"/>
          <w:sz w:val="24"/>
          <w:lang w:val="zh-CN"/>
        </w:rPr>
        <w:t>围堰</w:t>
      </w:r>
      <w:r w:rsidRPr="002B55E9">
        <w:rPr>
          <w:rFonts w:hint="eastAsia"/>
          <w:bCs/>
          <w:snapToGrid w:val="0"/>
          <w:sz w:val="24"/>
          <w:lang w:val="zh-CN"/>
        </w:rPr>
        <w:t>等措施，因此泄漏持续时间一般不超过</w:t>
      </w:r>
      <w:r w:rsidRPr="002B55E9">
        <w:rPr>
          <w:rFonts w:hint="eastAsia"/>
          <w:bCs/>
          <w:snapToGrid w:val="0"/>
          <w:sz w:val="24"/>
          <w:lang w:val="zh-CN"/>
        </w:rPr>
        <w:t>10min</w:t>
      </w:r>
      <w:r w:rsidRPr="002B55E9">
        <w:rPr>
          <w:rFonts w:hint="eastAsia"/>
          <w:bCs/>
          <w:snapToGrid w:val="0"/>
          <w:sz w:val="24"/>
          <w:lang w:val="zh-CN"/>
        </w:rPr>
        <w:t>。在计算泄漏量时，根据《建设项目环境风险评价技术导则》</w:t>
      </w:r>
      <w:r w:rsidRPr="002B55E9">
        <w:rPr>
          <w:rFonts w:hint="eastAsia"/>
          <w:bCs/>
          <w:snapToGrid w:val="0"/>
          <w:sz w:val="24"/>
          <w:lang w:val="zh-CN"/>
        </w:rPr>
        <w:t>(HJ169-2018)</w:t>
      </w:r>
      <w:r w:rsidRPr="002B55E9">
        <w:rPr>
          <w:rFonts w:hint="eastAsia"/>
          <w:bCs/>
          <w:snapToGrid w:val="0"/>
          <w:sz w:val="24"/>
          <w:lang w:val="zh-CN"/>
        </w:rPr>
        <w:t>，设置</w:t>
      </w:r>
      <w:r w:rsidRPr="002B55E9">
        <w:rPr>
          <w:bCs/>
          <w:snapToGrid w:val="0"/>
          <w:sz w:val="24"/>
          <w:lang w:val="zh-CN"/>
        </w:rPr>
        <w:t>紧急隔离系统的单元，</w:t>
      </w:r>
      <w:r w:rsidRPr="002B55E9">
        <w:rPr>
          <w:rFonts w:hint="eastAsia"/>
          <w:bCs/>
          <w:snapToGrid w:val="0"/>
          <w:sz w:val="24"/>
          <w:lang w:val="zh-CN"/>
        </w:rPr>
        <w:t>泄露时间按</w:t>
      </w:r>
      <w:r w:rsidRPr="002B55E9">
        <w:rPr>
          <w:rFonts w:hint="eastAsia"/>
          <w:bCs/>
          <w:snapToGrid w:val="0"/>
          <w:sz w:val="24"/>
          <w:lang w:val="zh-CN"/>
        </w:rPr>
        <w:t>10min</w:t>
      </w:r>
      <w:r w:rsidRPr="002B55E9">
        <w:rPr>
          <w:rFonts w:hint="eastAsia"/>
          <w:bCs/>
          <w:snapToGrid w:val="0"/>
          <w:sz w:val="24"/>
          <w:lang w:val="zh-CN"/>
        </w:rPr>
        <w:t>考虑。</w:t>
      </w:r>
    </w:p>
    <w:p w14:paraId="2FC1226F" w14:textId="77777777" w:rsidR="00D170E5" w:rsidRPr="002B55E9" w:rsidRDefault="00EF27AD">
      <w:pPr>
        <w:widowControl/>
        <w:spacing w:after="60" w:line="360" w:lineRule="auto"/>
        <w:ind w:firstLineChars="200" w:firstLine="480"/>
        <w:rPr>
          <w:bCs/>
          <w:snapToGrid w:val="0"/>
          <w:sz w:val="24"/>
          <w:lang w:val="zh-CN"/>
        </w:rPr>
      </w:pPr>
      <w:r w:rsidRPr="002B55E9">
        <w:rPr>
          <w:rFonts w:hint="eastAsia"/>
          <w:bCs/>
          <w:snapToGrid w:val="0"/>
          <w:sz w:val="24"/>
          <w:lang w:val="zh-CN"/>
        </w:rPr>
        <w:t>项目的醋胚储罐为工业储罐，根据《建设项目环境风险评价技术导则》（</w:t>
      </w:r>
      <w:r w:rsidRPr="002B55E9">
        <w:rPr>
          <w:rFonts w:hint="eastAsia"/>
          <w:bCs/>
          <w:snapToGrid w:val="0"/>
          <w:sz w:val="24"/>
          <w:lang w:val="zh-CN"/>
        </w:rPr>
        <w:t>HJ169-2018</w:t>
      </w:r>
      <w:r w:rsidRPr="002B55E9">
        <w:rPr>
          <w:rFonts w:hint="eastAsia"/>
          <w:bCs/>
          <w:snapToGrid w:val="0"/>
          <w:sz w:val="24"/>
          <w:lang w:val="zh-CN"/>
        </w:rPr>
        <w:t>）附录</w:t>
      </w:r>
      <w:r w:rsidRPr="002B55E9">
        <w:rPr>
          <w:rFonts w:hint="eastAsia"/>
          <w:bCs/>
          <w:snapToGrid w:val="0"/>
          <w:sz w:val="24"/>
          <w:lang w:val="zh-CN"/>
        </w:rPr>
        <w:t>E</w:t>
      </w:r>
      <w:r w:rsidRPr="002B55E9">
        <w:rPr>
          <w:rFonts w:hint="eastAsia"/>
          <w:bCs/>
          <w:snapToGrid w:val="0"/>
          <w:sz w:val="24"/>
          <w:lang w:val="zh-CN"/>
        </w:rPr>
        <w:t>可知，泄露事故发生频率较大的情况为储罐发生</w:t>
      </w:r>
      <w:r w:rsidRPr="002B55E9">
        <w:rPr>
          <w:rFonts w:hint="eastAsia"/>
          <w:bCs/>
          <w:snapToGrid w:val="0"/>
          <w:sz w:val="24"/>
          <w:lang w:val="zh-CN"/>
        </w:rPr>
        <w:t>10mm</w:t>
      </w:r>
      <w:r w:rsidRPr="002B55E9">
        <w:rPr>
          <w:rFonts w:hint="eastAsia"/>
          <w:bCs/>
          <w:snapToGrid w:val="0"/>
          <w:sz w:val="24"/>
          <w:lang w:val="zh-CN"/>
        </w:rPr>
        <w:t>孔径泄漏，事故</w:t>
      </w:r>
      <w:r w:rsidRPr="002B55E9">
        <w:rPr>
          <w:bCs/>
          <w:snapToGrid w:val="0"/>
          <w:sz w:val="24"/>
          <w:lang w:val="zh-CN"/>
        </w:rPr>
        <w:t>概率</w:t>
      </w:r>
      <w:r w:rsidRPr="002B55E9">
        <w:rPr>
          <w:rFonts w:hint="eastAsia"/>
          <w:bCs/>
          <w:snapToGrid w:val="0"/>
          <w:sz w:val="24"/>
          <w:lang w:val="zh-CN"/>
        </w:rPr>
        <w:t>为</w:t>
      </w:r>
      <w:r w:rsidRPr="002B55E9">
        <w:rPr>
          <w:rFonts w:hint="eastAsia"/>
          <w:bCs/>
          <w:snapToGrid w:val="0"/>
          <w:sz w:val="24"/>
          <w:lang w:val="zh-CN"/>
        </w:rPr>
        <w:t>1.00</w:t>
      </w:r>
      <w:r w:rsidRPr="002B55E9">
        <w:rPr>
          <w:rFonts w:hint="eastAsia"/>
          <w:bCs/>
          <w:snapToGrid w:val="0"/>
          <w:sz w:val="24"/>
          <w:lang w:val="zh-CN"/>
        </w:rPr>
        <w:t>×</w:t>
      </w:r>
      <w:r w:rsidRPr="002B55E9">
        <w:rPr>
          <w:rFonts w:hint="eastAsia"/>
          <w:bCs/>
          <w:snapToGrid w:val="0"/>
          <w:sz w:val="24"/>
          <w:lang w:val="zh-CN"/>
        </w:rPr>
        <w:t>10</w:t>
      </w:r>
      <w:r w:rsidRPr="002B55E9">
        <w:rPr>
          <w:rFonts w:hint="eastAsia"/>
          <w:bCs/>
          <w:snapToGrid w:val="0"/>
          <w:sz w:val="24"/>
          <w:vertAlign w:val="superscript"/>
          <w:lang w:val="zh-CN"/>
        </w:rPr>
        <w:t>-4</w:t>
      </w:r>
      <w:r w:rsidRPr="002B55E9">
        <w:rPr>
          <w:rFonts w:hint="eastAsia"/>
          <w:bCs/>
          <w:snapToGrid w:val="0"/>
          <w:sz w:val="24"/>
          <w:lang w:val="zh-CN"/>
        </w:rPr>
        <w:t>/a</w:t>
      </w:r>
      <w:r w:rsidRPr="002B55E9">
        <w:rPr>
          <w:rFonts w:hint="eastAsia"/>
          <w:bCs/>
          <w:snapToGrid w:val="0"/>
          <w:sz w:val="24"/>
          <w:lang w:val="zh-CN"/>
        </w:rPr>
        <w:t>。根据识别结果，乙酸泄漏后，为空气扩散，或者进入地下水。</w:t>
      </w:r>
    </w:p>
    <w:p w14:paraId="1F52B9D8" w14:textId="77777777" w:rsidR="00D170E5" w:rsidRPr="002B55E9" w:rsidRDefault="00EF27AD">
      <w:pPr>
        <w:widowControl/>
        <w:spacing w:after="60" w:line="360" w:lineRule="auto"/>
        <w:ind w:firstLineChars="200" w:firstLine="480"/>
        <w:rPr>
          <w:lang w:val="zh-CN"/>
        </w:rPr>
      </w:pPr>
      <w:r w:rsidRPr="002B55E9">
        <w:rPr>
          <w:rFonts w:hint="eastAsia"/>
          <w:bCs/>
          <w:snapToGrid w:val="0"/>
          <w:sz w:val="24"/>
          <w:lang w:val="zh-CN"/>
        </w:rPr>
        <w:t>本项目风险事故情形设定如下：</w:t>
      </w:r>
    </w:p>
    <w:p w14:paraId="43B04BD1" w14:textId="77777777" w:rsidR="00D170E5" w:rsidRPr="002B55E9" w:rsidRDefault="00EF27AD">
      <w:pPr>
        <w:ind w:firstLine="482"/>
        <w:jc w:val="center"/>
        <w:rPr>
          <w:rFonts w:eastAsia="黑体"/>
          <w:b/>
          <w:sz w:val="24"/>
        </w:rPr>
      </w:pPr>
      <w:r w:rsidRPr="002B55E9">
        <w:rPr>
          <w:rFonts w:eastAsia="黑体" w:hint="eastAsia"/>
          <w:b/>
          <w:sz w:val="24"/>
        </w:rPr>
        <w:t>表</w:t>
      </w:r>
      <w:r w:rsidRPr="002B55E9">
        <w:rPr>
          <w:rFonts w:eastAsia="黑体" w:hint="eastAsia"/>
          <w:b/>
          <w:sz w:val="24"/>
        </w:rPr>
        <w:t xml:space="preserve">6-4-4  </w:t>
      </w:r>
      <w:r w:rsidRPr="002B55E9">
        <w:rPr>
          <w:rFonts w:eastAsia="黑体" w:hint="eastAsia"/>
          <w:b/>
          <w:sz w:val="24"/>
        </w:rPr>
        <w:t>本项目风险事故情形设定情况</w:t>
      </w:r>
    </w:p>
    <w:tbl>
      <w:tblPr>
        <w:tblW w:w="9638"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850"/>
        <w:gridCol w:w="567"/>
        <w:gridCol w:w="851"/>
        <w:gridCol w:w="850"/>
        <w:gridCol w:w="5246"/>
        <w:gridCol w:w="848"/>
      </w:tblGrid>
      <w:tr w:rsidR="00C60999" w:rsidRPr="002B55E9" w14:paraId="637BEB8D" w14:textId="77777777">
        <w:trPr>
          <w:trHeight w:val="397"/>
        </w:trPr>
        <w:tc>
          <w:tcPr>
            <w:tcW w:w="426" w:type="dxa"/>
            <w:tcBorders>
              <w:top w:val="single" w:sz="12" w:space="0" w:color="auto"/>
              <w:bottom w:val="single" w:sz="12" w:space="0" w:color="auto"/>
            </w:tcBorders>
            <w:vAlign w:val="center"/>
          </w:tcPr>
          <w:p w14:paraId="5D595B2E" w14:textId="77777777" w:rsidR="00D170E5" w:rsidRPr="002B55E9" w:rsidRDefault="00EF27AD">
            <w:pPr>
              <w:pStyle w:val="affffffffffffffffff6"/>
              <w:ind w:left="-40" w:right="-40"/>
            </w:pPr>
            <w:r w:rsidRPr="002B55E9">
              <w:t>序号</w:t>
            </w:r>
          </w:p>
        </w:tc>
        <w:tc>
          <w:tcPr>
            <w:tcW w:w="850" w:type="dxa"/>
            <w:tcBorders>
              <w:top w:val="single" w:sz="12" w:space="0" w:color="auto"/>
              <w:bottom w:val="single" w:sz="12" w:space="0" w:color="auto"/>
            </w:tcBorders>
            <w:vAlign w:val="center"/>
          </w:tcPr>
          <w:p w14:paraId="480BCDC6" w14:textId="77777777" w:rsidR="00D170E5" w:rsidRPr="002B55E9" w:rsidRDefault="00EF27AD">
            <w:pPr>
              <w:pStyle w:val="affffffffffffffffff6"/>
              <w:ind w:left="-40" w:right="-40"/>
            </w:pPr>
            <w:r w:rsidRPr="002B55E9">
              <w:t>危险单元</w:t>
            </w:r>
          </w:p>
        </w:tc>
        <w:tc>
          <w:tcPr>
            <w:tcW w:w="567" w:type="dxa"/>
            <w:tcBorders>
              <w:top w:val="single" w:sz="12" w:space="0" w:color="auto"/>
              <w:bottom w:val="single" w:sz="12" w:space="0" w:color="auto"/>
            </w:tcBorders>
            <w:vAlign w:val="center"/>
          </w:tcPr>
          <w:p w14:paraId="07E20B83" w14:textId="77777777" w:rsidR="00D170E5" w:rsidRPr="002B55E9" w:rsidRDefault="00EF27AD">
            <w:pPr>
              <w:pStyle w:val="affffffffffffffffff6"/>
              <w:ind w:left="-40" w:right="-40"/>
            </w:pPr>
            <w:r w:rsidRPr="002B55E9">
              <w:t>风险源</w:t>
            </w:r>
          </w:p>
        </w:tc>
        <w:tc>
          <w:tcPr>
            <w:tcW w:w="851" w:type="dxa"/>
            <w:tcBorders>
              <w:top w:val="single" w:sz="12" w:space="0" w:color="auto"/>
              <w:bottom w:val="single" w:sz="12" w:space="0" w:color="auto"/>
            </w:tcBorders>
            <w:vAlign w:val="center"/>
          </w:tcPr>
          <w:p w14:paraId="05E04742" w14:textId="77777777" w:rsidR="00D170E5" w:rsidRPr="002B55E9" w:rsidRDefault="00EF27AD">
            <w:pPr>
              <w:pStyle w:val="affffffffffffffffff6"/>
              <w:ind w:left="-40" w:right="-40"/>
            </w:pPr>
            <w:r w:rsidRPr="002B55E9">
              <w:t>危险物质</w:t>
            </w:r>
          </w:p>
        </w:tc>
        <w:tc>
          <w:tcPr>
            <w:tcW w:w="850" w:type="dxa"/>
            <w:tcBorders>
              <w:top w:val="single" w:sz="12" w:space="0" w:color="auto"/>
              <w:bottom w:val="single" w:sz="12" w:space="0" w:color="auto"/>
            </w:tcBorders>
            <w:vAlign w:val="center"/>
          </w:tcPr>
          <w:p w14:paraId="081A57F7" w14:textId="77777777" w:rsidR="00D170E5" w:rsidRPr="002B55E9" w:rsidRDefault="00EF27AD">
            <w:pPr>
              <w:pStyle w:val="affffffffffffffffff6"/>
              <w:ind w:left="-40" w:right="-40"/>
            </w:pPr>
            <w:r w:rsidRPr="002B55E9">
              <w:t>事故类型</w:t>
            </w:r>
          </w:p>
        </w:tc>
        <w:tc>
          <w:tcPr>
            <w:tcW w:w="5246" w:type="dxa"/>
            <w:tcBorders>
              <w:top w:val="single" w:sz="12" w:space="0" w:color="auto"/>
              <w:bottom w:val="single" w:sz="12" w:space="0" w:color="auto"/>
            </w:tcBorders>
            <w:vAlign w:val="center"/>
          </w:tcPr>
          <w:p w14:paraId="75AD5FEA" w14:textId="77777777" w:rsidR="00D170E5" w:rsidRPr="002B55E9" w:rsidRDefault="00EF27AD">
            <w:pPr>
              <w:pStyle w:val="affffffffffffffffff6"/>
              <w:ind w:left="-40" w:right="-40"/>
            </w:pPr>
            <w:r w:rsidRPr="002B55E9">
              <w:t>风险事故情形描述</w:t>
            </w:r>
          </w:p>
        </w:tc>
        <w:tc>
          <w:tcPr>
            <w:tcW w:w="848" w:type="dxa"/>
            <w:tcBorders>
              <w:top w:val="single" w:sz="12" w:space="0" w:color="auto"/>
              <w:bottom w:val="single" w:sz="12" w:space="0" w:color="auto"/>
            </w:tcBorders>
            <w:vAlign w:val="center"/>
          </w:tcPr>
          <w:p w14:paraId="17459543" w14:textId="77777777" w:rsidR="00D170E5" w:rsidRPr="002B55E9" w:rsidRDefault="00EF27AD">
            <w:pPr>
              <w:pStyle w:val="affffffffffffffffff6"/>
              <w:ind w:left="-40" w:right="-40"/>
            </w:pPr>
            <w:r w:rsidRPr="002B55E9">
              <w:t>发生概率</w:t>
            </w:r>
          </w:p>
        </w:tc>
      </w:tr>
      <w:tr w:rsidR="00C60999" w:rsidRPr="002B55E9" w14:paraId="6E01E794" w14:textId="77777777">
        <w:trPr>
          <w:trHeight w:val="397"/>
        </w:trPr>
        <w:tc>
          <w:tcPr>
            <w:tcW w:w="426" w:type="dxa"/>
            <w:vMerge w:val="restart"/>
            <w:vAlign w:val="center"/>
          </w:tcPr>
          <w:p w14:paraId="2408739D" w14:textId="77777777" w:rsidR="00D170E5" w:rsidRPr="002B55E9" w:rsidRDefault="00EF27AD">
            <w:pPr>
              <w:pStyle w:val="affffffffffffffffff6"/>
              <w:ind w:left="-40" w:right="-40"/>
            </w:pPr>
            <w:r w:rsidRPr="002B55E9">
              <w:rPr>
                <w:rFonts w:hint="eastAsia"/>
              </w:rPr>
              <w:t>1</w:t>
            </w:r>
          </w:p>
        </w:tc>
        <w:tc>
          <w:tcPr>
            <w:tcW w:w="850" w:type="dxa"/>
            <w:vMerge w:val="restart"/>
            <w:vAlign w:val="center"/>
          </w:tcPr>
          <w:p w14:paraId="73481D62" w14:textId="77777777" w:rsidR="00D170E5" w:rsidRPr="002B55E9" w:rsidRDefault="00EF27AD">
            <w:pPr>
              <w:pStyle w:val="affffffffffffffffff6"/>
              <w:ind w:left="-40" w:right="-40"/>
            </w:pPr>
            <w:r w:rsidRPr="002B55E9">
              <w:rPr>
                <w:rFonts w:hint="eastAsia"/>
              </w:rPr>
              <w:t>罐区</w:t>
            </w:r>
          </w:p>
        </w:tc>
        <w:tc>
          <w:tcPr>
            <w:tcW w:w="567" w:type="dxa"/>
            <w:vMerge w:val="restart"/>
            <w:vAlign w:val="center"/>
          </w:tcPr>
          <w:p w14:paraId="309C2027" w14:textId="77777777" w:rsidR="00D170E5" w:rsidRPr="002B55E9" w:rsidRDefault="00EF27AD">
            <w:pPr>
              <w:pStyle w:val="affffffffffffffffff6"/>
              <w:ind w:left="-40" w:right="-40"/>
            </w:pPr>
            <w:r w:rsidRPr="002B55E9">
              <w:rPr>
                <w:rFonts w:hint="eastAsia"/>
              </w:rPr>
              <w:t>储罐</w:t>
            </w:r>
          </w:p>
        </w:tc>
        <w:tc>
          <w:tcPr>
            <w:tcW w:w="851" w:type="dxa"/>
            <w:vAlign w:val="center"/>
          </w:tcPr>
          <w:p w14:paraId="708A5334" w14:textId="77777777" w:rsidR="00D170E5" w:rsidRPr="002B55E9" w:rsidRDefault="00EF27AD">
            <w:pPr>
              <w:pStyle w:val="affffffffffffffffff6"/>
              <w:ind w:left="-40" w:right="-40"/>
            </w:pPr>
            <w:r w:rsidRPr="002B55E9">
              <w:rPr>
                <w:rFonts w:hint="eastAsia"/>
              </w:rPr>
              <w:t>乙酸</w:t>
            </w:r>
          </w:p>
        </w:tc>
        <w:tc>
          <w:tcPr>
            <w:tcW w:w="850" w:type="dxa"/>
            <w:vMerge w:val="restart"/>
            <w:tcBorders>
              <w:top w:val="single" w:sz="4" w:space="0" w:color="auto"/>
            </w:tcBorders>
            <w:vAlign w:val="center"/>
          </w:tcPr>
          <w:p w14:paraId="05A6E655" w14:textId="77777777" w:rsidR="00D170E5" w:rsidRPr="002B55E9" w:rsidRDefault="00EF27AD">
            <w:pPr>
              <w:pStyle w:val="affffffffffffffffff6"/>
              <w:ind w:left="-40" w:right="-40"/>
            </w:pPr>
            <w:r w:rsidRPr="002B55E9">
              <w:rPr>
                <w:rFonts w:hint="eastAsia"/>
              </w:rPr>
              <w:t>危险物质泄漏</w:t>
            </w:r>
          </w:p>
        </w:tc>
        <w:tc>
          <w:tcPr>
            <w:tcW w:w="5246" w:type="dxa"/>
            <w:vMerge w:val="restart"/>
            <w:tcBorders>
              <w:top w:val="single" w:sz="4" w:space="0" w:color="auto"/>
            </w:tcBorders>
            <w:vAlign w:val="center"/>
          </w:tcPr>
          <w:p w14:paraId="6EDF08D8" w14:textId="77777777" w:rsidR="00D170E5" w:rsidRPr="002B55E9" w:rsidRDefault="00EF27AD">
            <w:pPr>
              <w:pStyle w:val="affffffffffffffffff6"/>
              <w:ind w:left="-40" w:right="-40"/>
              <w:jc w:val="both"/>
              <w:rPr>
                <w:szCs w:val="18"/>
              </w:rPr>
            </w:pPr>
            <w:r w:rsidRPr="002B55E9">
              <w:rPr>
                <w:rFonts w:hint="eastAsia"/>
                <w:szCs w:val="18"/>
              </w:rPr>
              <w:t>情景</w:t>
            </w:r>
            <w:r w:rsidRPr="002B55E9">
              <w:rPr>
                <w:rFonts w:hint="eastAsia"/>
                <w:szCs w:val="18"/>
              </w:rPr>
              <w:t>1</w:t>
            </w:r>
            <w:r w:rsidRPr="002B55E9">
              <w:rPr>
                <w:rFonts w:hint="eastAsia"/>
                <w:szCs w:val="18"/>
              </w:rPr>
              <w:t>：储存物料的储罐因为阀门或输运管道发生破裂，致使储罐发生</w:t>
            </w:r>
            <w:r w:rsidRPr="002B55E9">
              <w:rPr>
                <w:rFonts w:hint="eastAsia"/>
                <w:szCs w:val="18"/>
              </w:rPr>
              <w:t>10mm</w:t>
            </w:r>
            <w:r w:rsidRPr="002B55E9">
              <w:rPr>
                <w:rFonts w:hint="eastAsia"/>
                <w:szCs w:val="18"/>
              </w:rPr>
              <w:t>孔径的物料泄漏，并挥发到空气中，逸散到厂界外。</w:t>
            </w:r>
          </w:p>
          <w:p w14:paraId="7D63289F" w14:textId="77777777" w:rsidR="00D170E5" w:rsidRPr="002B55E9" w:rsidRDefault="00EF27AD">
            <w:pPr>
              <w:pStyle w:val="af0"/>
              <w:spacing w:after="0" w:line="240" w:lineRule="auto"/>
              <w:ind w:firstLineChars="0" w:firstLine="0"/>
              <w:rPr>
                <w:sz w:val="18"/>
                <w:szCs w:val="18"/>
              </w:rPr>
            </w:pPr>
            <w:r w:rsidRPr="002B55E9">
              <w:rPr>
                <w:sz w:val="18"/>
                <w:szCs w:val="18"/>
              </w:rPr>
              <w:t>情形</w:t>
            </w:r>
            <w:r w:rsidRPr="002B55E9">
              <w:rPr>
                <w:sz w:val="18"/>
                <w:szCs w:val="18"/>
              </w:rPr>
              <w:t>2</w:t>
            </w:r>
            <w:r w:rsidRPr="002B55E9">
              <w:rPr>
                <w:sz w:val="18"/>
                <w:szCs w:val="18"/>
              </w:rPr>
              <w:t>：</w:t>
            </w:r>
            <w:r w:rsidRPr="002B55E9">
              <w:rPr>
                <w:rFonts w:hint="eastAsia"/>
                <w:sz w:val="18"/>
                <w:szCs w:val="18"/>
              </w:rPr>
              <w:t>储存物料的储罐因为阀门或输运管道发生破裂，致使储罐发生</w:t>
            </w:r>
            <w:r w:rsidRPr="002B55E9">
              <w:rPr>
                <w:rFonts w:hint="eastAsia"/>
                <w:sz w:val="18"/>
                <w:szCs w:val="18"/>
              </w:rPr>
              <w:t>10mm</w:t>
            </w:r>
            <w:r w:rsidRPr="002B55E9">
              <w:rPr>
                <w:rFonts w:hint="eastAsia"/>
                <w:sz w:val="18"/>
                <w:szCs w:val="18"/>
              </w:rPr>
              <w:t>孔径的物料泄漏</w:t>
            </w:r>
            <w:r w:rsidRPr="002B55E9">
              <w:rPr>
                <w:sz w:val="18"/>
                <w:szCs w:val="18"/>
              </w:rPr>
              <w:t>，</w:t>
            </w:r>
            <w:r w:rsidRPr="002B55E9">
              <w:rPr>
                <w:rFonts w:hint="eastAsia"/>
                <w:sz w:val="18"/>
                <w:szCs w:val="18"/>
              </w:rPr>
              <w:t>漫流</w:t>
            </w:r>
            <w:r w:rsidRPr="002B55E9">
              <w:rPr>
                <w:sz w:val="18"/>
                <w:szCs w:val="18"/>
              </w:rPr>
              <w:t>到</w:t>
            </w:r>
            <w:r w:rsidRPr="002B55E9">
              <w:rPr>
                <w:rFonts w:hint="eastAsia"/>
                <w:sz w:val="18"/>
                <w:szCs w:val="18"/>
              </w:rPr>
              <w:t>地面并深入地下水，对地下水环境造成污染。</w:t>
            </w:r>
          </w:p>
        </w:tc>
        <w:tc>
          <w:tcPr>
            <w:tcW w:w="848" w:type="dxa"/>
            <w:vMerge w:val="restart"/>
            <w:tcBorders>
              <w:top w:val="single" w:sz="4" w:space="0" w:color="auto"/>
            </w:tcBorders>
            <w:vAlign w:val="center"/>
          </w:tcPr>
          <w:p w14:paraId="601A5A2A" w14:textId="77777777" w:rsidR="00D170E5" w:rsidRPr="002B55E9" w:rsidRDefault="00EF27AD">
            <w:pPr>
              <w:pStyle w:val="affffffffffffffffff6"/>
              <w:ind w:left="-40" w:right="-40"/>
            </w:pPr>
            <w:r w:rsidRPr="002B55E9">
              <w:rPr>
                <w:rFonts w:hint="eastAsia"/>
              </w:rPr>
              <w:t>1</w:t>
            </w:r>
            <w:r w:rsidRPr="002B55E9">
              <w:t>.00×10</w:t>
            </w:r>
            <w:r w:rsidRPr="002B55E9">
              <w:rPr>
                <w:vertAlign w:val="superscript"/>
              </w:rPr>
              <w:t>-</w:t>
            </w:r>
            <w:r w:rsidRPr="002B55E9">
              <w:rPr>
                <w:rFonts w:hint="eastAsia"/>
                <w:vertAlign w:val="superscript"/>
              </w:rPr>
              <w:t>4</w:t>
            </w:r>
            <w:r w:rsidRPr="002B55E9">
              <w:t>/a</w:t>
            </w:r>
          </w:p>
        </w:tc>
      </w:tr>
      <w:tr w:rsidR="00C60999" w:rsidRPr="002B55E9" w14:paraId="5F601EFA" w14:textId="77777777">
        <w:trPr>
          <w:trHeight w:val="397"/>
        </w:trPr>
        <w:tc>
          <w:tcPr>
            <w:tcW w:w="426" w:type="dxa"/>
            <w:vMerge/>
            <w:vAlign w:val="center"/>
          </w:tcPr>
          <w:p w14:paraId="5A1E0F4D" w14:textId="77777777" w:rsidR="00D170E5" w:rsidRPr="002B55E9" w:rsidRDefault="00D170E5">
            <w:pPr>
              <w:pStyle w:val="affffffffffffffffff6"/>
              <w:ind w:left="-40" w:right="-40"/>
            </w:pPr>
          </w:p>
        </w:tc>
        <w:tc>
          <w:tcPr>
            <w:tcW w:w="850" w:type="dxa"/>
            <w:vMerge/>
            <w:vAlign w:val="center"/>
          </w:tcPr>
          <w:p w14:paraId="4E3DE499" w14:textId="77777777" w:rsidR="00D170E5" w:rsidRPr="002B55E9" w:rsidRDefault="00D170E5">
            <w:pPr>
              <w:pStyle w:val="affffffffffffffffff6"/>
              <w:ind w:left="-40" w:right="-40"/>
            </w:pPr>
          </w:p>
        </w:tc>
        <w:tc>
          <w:tcPr>
            <w:tcW w:w="567" w:type="dxa"/>
            <w:vMerge/>
            <w:vAlign w:val="center"/>
          </w:tcPr>
          <w:p w14:paraId="3777A370" w14:textId="77777777" w:rsidR="00D170E5" w:rsidRPr="002B55E9" w:rsidRDefault="00D170E5">
            <w:pPr>
              <w:pStyle w:val="affffffffffffffffff6"/>
              <w:ind w:left="-40" w:right="-40"/>
            </w:pPr>
          </w:p>
        </w:tc>
        <w:tc>
          <w:tcPr>
            <w:tcW w:w="851" w:type="dxa"/>
            <w:vAlign w:val="center"/>
          </w:tcPr>
          <w:p w14:paraId="03C5E213" w14:textId="77777777" w:rsidR="00D170E5" w:rsidRPr="002B55E9" w:rsidRDefault="00EF27AD">
            <w:pPr>
              <w:pStyle w:val="affffffffffffffffff6"/>
              <w:ind w:left="-40" w:right="-40"/>
            </w:pPr>
            <w:r w:rsidRPr="002B55E9">
              <w:rPr>
                <w:rFonts w:hint="eastAsia"/>
              </w:rPr>
              <w:t>超立克</w:t>
            </w:r>
          </w:p>
        </w:tc>
        <w:tc>
          <w:tcPr>
            <w:tcW w:w="850" w:type="dxa"/>
            <w:vMerge/>
            <w:tcBorders>
              <w:bottom w:val="single" w:sz="4" w:space="0" w:color="auto"/>
            </w:tcBorders>
            <w:vAlign w:val="center"/>
          </w:tcPr>
          <w:p w14:paraId="597E92F8" w14:textId="77777777" w:rsidR="00D170E5" w:rsidRPr="002B55E9" w:rsidRDefault="00D170E5">
            <w:pPr>
              <w:pStyle w:val="affffffffffffffffff6"/>
              <w:ind w:left="-40" w:right="-40"/>
            </w:pPr>
          </w:p>
        </w:tc>
        <w:tc>
          <w:tcPr>
            <w:tcW w:w="5246" w:type="dxa"/>
            <w:vMerge/>
            <w:tcBorders>
              <w:bottom w:val="single" w:sz="4" w:space="0" w:color="auto"/>
            </w:tcBorders>
            <w:vAlign w:val="center"/>
          </w:tcPr>
          <w:p w14:paraId="67D92A67" w14:textId="77777777" w:rsidR="00D170E5" w:rsidRPr="002B55E9" w:rsidRDefault="00D170E5">
            <w:pPr>
              <w:pStyle w:val="affffffffffffffffff6"/>
              <w:ind w:left="-40" w:right="-40"/>
              <w:jc w:val="both"/>
              <w:rPr>
                <w:szCs w:val="18"/>
              </w:rPr>
            </w:pPr>
          </w:p>
        </w:tc>
        <w:tc>
          <w:tcPr>
            <w:tcW w:w="848" w:type="dxa"/>
            <w:vMerge/>
            <w:tcBorders>
              <w:bottom w:val="single" w:sz="4" w:space="0" w:color="auto"/>
            </w:tcBorders>
            <w:vAlign w:val="center"/>
          </w:tcPr>
          <w:p w14:paraId="113CAA5B" w14:textId="77777777" w:rsidR="00D170E5" w:rsidRPr="002B55E9" w:rsidRDefault="00D170E5">
            <w:pPr>
              <w:pStyle w:val="affffffffffffffffff6"/>
              <w:ind w:left="-40" w:right="-40"/>
            </w:pPr>
          </w:p>
        </w:tc>
      </w:tr>
      <w:tr w:rsidR="00C60999" w:rsidRPr="002B55E9" w14:paraId="4C03FD33" w14:textId="77777777">
        <w:trPr>
          <w:trHeight w:val="397"/>
        </w:trPr>
        <w:tc>
          <w:tcPr>
            <w:tcW w:w="426" w:type="dxa"/>
            <w:vMerge w:val="restart"/>
            <w:vAlign w:val="center"/>
          </w:tcPr>
          <w:p w14:paraId="05914653" w14:textId="77777777" w:rsidR="00D170E5" w:rsidRPr="002B55E9" w:rsidRDefault="00EF27AD">
            <w:pPr>
              <w:pStyle w:val="affffffffffffffffff6"/>
              <w:ind w:left="-40" w:right="-40"/>
            </w:pPr>
            <w:r w:rsidRPr="002B55E9">
              <w:rPr>
                <w:rFonts w:hint="eastAsia"/>
              </w:rPr>
              <w:t>2</w:t>
            </w:r>
          </w:p>
        </w:tc>
        <w:tc>
          <w:tcPr>
            <w:tcW w:w="850" w:type="dxa"/>
            <w:vMerge w:val="restart"/>
            <w:vAlign w:val="center"/>
          </w:tcPr>
          <w:p w14:paraId="3143880A" w14:textId="77777777" w:rsidR="00D170E5" w:rsidRPr="002B55E9" w:rsidRDefault="00EF27AD">
            <w:pPr>
              <w:pStyle w:val="affffffffffffffffff6"/>
              <w:ind w:left="-40" w:right="-40"/>
            </w:pPr>
            <w:r w:rsidRPr="002B55E9">
              <w:rPr>
                <w:rFonts w:hint="eastAsia"/>
              </w:rPr>
              <w:t>十三车间</w:t>
            </w:r>
          </w:p>
        </w:tc>
        <w:tc>
          <w:tcPr>
            <w:tcW w:w="567" w:type="dxa"/>
            <w:vMerge w:val="restart"/>
            <w:vAlign w:val="center"/>
          </w:tcPr>
          <w:p w14:paraId="06C6AFB8" w14:textId="77777777" w:rsidR="00D170E5" w:rsidRPr="002B55E9" w:rsidRDefault="00EF27AD">
            <w:pPr>
              <w:pStyle w:val="affffffffffffffffff6"/>
              <w:ind w:left="-40" w:right="-40"/>
            </w:pPr>
            <w:r w:rsidRPr="002B55E9">
              <w:rPr>
                <w:rFonts w:hint="eastAsia"/>
              </w:rPr>
              <w:t>包装桶</w:t>
            </w:r>
          </w:p>
        </w:tc>
        <w:tc>
          <w:tcPr>
            <w:tcW w:w="851" w:type="dxa"/>
            <w:vMerge w:val="restart"/>
            <w:vAlign w:val="center"/>
          </w:tcPr>
          <w:p w14:paraId="0F4FCF48" w14:textId="77777777" w:rsidR="00D170E5" w:rsidRPr="002B55E9" w:rsidRDefault="00EF27AD">
            <w:pPr>
              <w:pStyle w:val="affffffffffffffffff6"/>
              <w:ind w:left="-40" w:right="-40"/>
            </w:pPr>
            <w:r w:rsidRPr="002B55E9">
              <w:rPr>
                <w:rFonts w:hint="eastAsia"/>
              </w:rPr>
              <w:t>过氧乙酸</w:t>
            </w:r>
          </w:p>
        </w:tc>
        <w:tc>
          <w:tcPr>
            <w:tcW w:w="850" w:type="dxa"/>
            <w:tcBorders>
              <w:top w:val="single" w:sz="4" w:space="0" w:color="auto"/>
              <w:bottom w:val="single" w:sz="4" w:space="0" w:color="auto"/>
            </w:tcBorders>
            <w:vAlign w:val="center"/>
          </w:tcPr>
          <w:p w14:paraId="03CFC1CB" w14:textId="77777777" w:rsidR="00D170E5" w:rsidRPr="002B55E9" w:rsidRDefault="00EF27AD">
            <w:pPr>
              <w:pStyle w:val="affffffffffffffffff6"/>
              <w:ind w:left="-40" w:right="-40"/>
            </w:pPr>
            <w:r w:rsidRPr="002B55E9">
              <w:rPr>
                <w:rFonts w:hint="eastAsia"/>
              </w:rPr>
              <w:t>危险物质泄漏</w:t>
            </w:r>
          </w:p>
        </w:tc>
        <w:tc>
          <w:tcPr>
            <w:tcW w:w="5246" w:type="dxa"/>
            <w:tcBorders>
              <w:top w:val="single" w:sz="4" w:space="0" w:color="auto"/>
              <w:bottom w:val="single" w:sz="4" w:space="0" w:color="auto"/>
            </w:tcBorders>
            <w:vAlign w:val="center"/>
          </w:tcPr>
          <w:p w14:paraId="544A4AE8" w14:textId="77777777" w:rsidR="00D170E5" w:rsidRPr="002B55E9" w:rsidRDefault="00EF27AD">
            <w:pPr>
              <w:pStyle w:val="affffffffffffffffff6"/>
              <w:ind w:left="-40" w:right="-40"/>
              <w:jc w:val="both"/>
              <w:rPr>
                <w:szCs w:val="18"/>
              </w:rPr>
            </w:pPr>
            <w:r w:rsidRPr="002B55E9">
              <w:rPr>
                <w:rFonts w:hint="eastAsia"/>
                <w:szCs w:val="18"/>
              </w:rPr>
              <w:t>情景</w:t>
            </w:r>
            <w:r w:rsidRPr="002B55E9">
              <w:rPr>
                <w:szCs w:val="18"/>
              </w:rPr>
              <w:t>3</w:t>
            </w:r>
            <w:r w:rsidRPr="002B55E9">
              <w:rPr>
                <w:rFonts w:hint="eastAsia"/>
                <w:szCs w:val="18"/>
              </w:rPr>
              <w:t>：储存物料的包装桶发生破裂，致使包装容器发生</w:t>
            </w:r>
            <w:r w:rsidRPr="002B55E9">
              <w:rPr>
                <w:rFonts w:hint="eastAsia"/>
                <w:szCs w:val="18"/>
              </w:rPr>
              <w:t>10mm</w:t>
            </w:r>
            <w:r w:rsidRPr="002B55E9">
              <w:rPr>
                <w:rFonts w:hint="eastAsia"/>
                <w:szCs w:val="18"/>
              </w:rPr>
              <w:t>孔径的物料泄漏，并挥发到空气中，逸散到厂界外。</w:t>
            </w:r>
          </w:p>
        </w:tc>
        <w:tc>
          <w:tcPr>
            <w:tcW w:w="848" w:type="dxa"/>
            <w:tcBorders>
              <w:top w:val="single" w:sz="4" w:space="0" w:color="auto"/>
              <w:bottom w:val="single" w:sz="4" w:space="0" w:color="auto"/>
            </w:tcBorders>
            <w:vAlign w:val="center"/>
          </w:tcPr>
          <w:p w14:paraId="41288F08" w14:textId="77777777" w:rsidR="00D170E5" w:rsidRPr="002B55E9" w:rsidRDefault="00EF27AD">
            <w:pPr>
              <w:pStyle w:val="affffffffffffffffff6"/>
              <w:ind w:left="-40" w:right="-40"/>
            </w:pPr>
            <w:r w:rsidRPr="002B55E9">
              <w:rPr>
                <w:rFonts w:hint="eastAsia"/>
              </w:rPr>
              <w:t>/</w:t>
            </w:r>
          </w:p>
        </w:tc>
      </w:tr>
      <w:tr w:rsidR="00C60999" w:rsidRPr="002B55E9" w14:paraId="6A683E6B" w14:textId="77777777">
        <w:trPr>
          <w:trHeight w:val="397"/>
        </w:trPr>
        <w:tc>
          <w:tcPr>
            <w:tcW w:w="426" w:type="dxa"/>
            <w:vMerge/>
            <w:vAlign w:val="center"/>
          </w:tcPr>
          <w:p w14:paraId="50155874" w14:textId="77777777" w:rsidR="00D170E5" w:rsidRPr="002B55E9" w:rsidRDefault="00D170E5">
            <w:pPr>
              <w:pStyle w:val="affffffffffffffffff6"/>
              <w:ind w:left="-40" w:right="-40"/>
            </w:pPr>
          </w:p>
        </w:tc>
        <w:tc>
          <w:tcPr>
            <w:tcW w:w="850" w:type="dxa"/>
            <w:vMerge/>
            <w:vAlign w:val="center"/>
          </w:tcPr>
          <w:p w14:paraId="5DEF4C8E" w14:textId="77777777" w:rsidR="00D170E5" w:rsidRPr="002B55E9" w:rsidRDefault="00D170E5">
            <w:pPr>
              <w:pStyle w:val="affffffffffffffffff6"/>
              <w:ind w:left="-40" w:right="-40"/>
            </w:pPr>
          </w:p>
        </w:tc>
        <w:tc>
          <w:tcPr>
            <w:tcW w:w="567" w:type="dxa"/>
            <w:vMerge/>
            <w:vAlign w:val="center"/>
          </w:tcPr>
          <w:p w14:paraId="4058CB70" w14:textId="77777777" w:rsidR="00D170E5" w:rsidRPr="002B55E9" w:rsidRDefault="00D170E5">
            <w:pPr>
              <w:pStyle w:val="affffffffffffffffff6"/>
              <w:ind w:left="-40" w:right="-40"/>
            </w:pPr>
          </w:p>
        </w:tc>
        <w:tc>
          <w:tcPr>
            <w:tcW w:w="851" w:type="dxa"/>
            <w:vMerge/>
            <w:vAlign w:val="center"/>
          </w:tcPr>
          <w:p w14:paraId="29815816" w14:textId="77777777" w:rsidR="00D170E5" w:rsidRPr="002B55E9" w:rsidRDefault="00D170E5">
            <w:pPr>
              <w:pStyle w:val="affffffffffffffffff6"/>
              <w:ind w:left="-40" w:right="-40"/>
            </w:pPr>
          </w:p>
        </w:tc>
        <w:tc>
          <w:tcPr>
            <w:tcW w:w="850" w:type="dxa"/>
            <w:tcBorders>
              <w:top w:val="single" w:sz="4" w:space="0" w:color="auto"/>
              <w:bottom w:val="single" w:sz="12" w:space="0" w:color="auto"/>
            </w:tcBorders>
            <w:vAlign w:val="center"/>
          </w:tcPr>
          <w:p w14:paraId="621D1A02" w14:textId="77777777" w:rsidR="00D170E5" w:rsidRPr="002B55E9" w:rsidRDefault="00EF27AD">
            <w:pPr>
              <w:pStyle w:val="affffffffffffffffff6"/>
              <w:ind w:left="-40" w:right="-40"/>
            </w:pPr>
            <w:r w:rsidRPr="002B55E9">
              <w:t>火灾爆炸导致伴生</w:t>
            </w:r>
            <w:r w:rsidRPr="002B55E9">
              <w:t>/</w:t>
            </w:r>
            <w:r w:rsidRPr="002B55E9">
              <w:t>次生污染</w:t>
            </w:r>
            <w:r w:rsidRPr="002B55E9">
              <w:lastRenderedPageBreak/>
              <w:t>物排放</w:t>
            </w:r>
          </w:p>
        </w:tc>
        <w:tc>
          <w:tcPr>
            <w:tcW w:w="5246" w:type="dxa"/>
            <w:tcBorders>
              <w:top w:val="single" w:sz="4" w:space="0" w:color="auto"/>
              <w:bottom w:val="single" w:sz="12" w:space="0" w:color="auto"/>
            </w:tcBorders>
            <w:vAlign w:val="center"/>
          </w:tcPr>
          <w:p w14:paraId="117BACA6" w14:textId="77777777" w:rsidR="00D170E5" w:rsidRPr="002B55E9" w:rsidRDefault="00EF27AD">
            <w:pPr>
              <w:pStyle w:val="affffffffffffffffff6"/>
              <w:ind w:left="-40" w:right="-40"/>
              <w:jc w:val="both"/>
              <w:rPr>
                <w:szCs w:val="18"/>
              </w:rPr>
            </w:pPr>
            <w:r w:rsidRPr="002B55E9">
              <w:lastRenderedPageBreak/>
              <w:t>情形</w:t>
            </w:r>
            <w:r w:rsidRPr="002B55E9">
              <w:rPr>
                <w:rFonts w:hint="eastAsia"/>
              </w:rPr>
              <w:t>4</w:t>
            </w:r>
            <w:r w:rsidRPr="002B55E9">
              <w:t>：</w:t>
            </w:r>
            <w:r w:rsidRPr="002B55E9">
              <w:rPr>
                <w:rFonts w:hint="eastAsia"/>
              </w:rPr>
              <w:t>储存物料的容器发生破裂，</w:t>
            </w:r>
            <w:r w:rsidRPr="002B55E9">
              <w:t>发生</w:t>
            </w:r>
            <w:r w:rsidRPr="002B55E9">
              <w:t>10mm</w:t>
            </w:r>
            <w:r w:rsidRPr="002B55E9">
              <w:t>孔径的泄漏，由于巡检不及时，未及时进行处理，导致挥发的物料蒸汽逸散到室内，达到爆炸极限并遇明火，致使发生闪爆并引燃其他化学品，致使</w:t>
            </w:r>
            <w:r w:rsidRPr="002B55E9">
              <w:rPr>
                <w:rFonts w:hint="eastAsia"/>
              </w:rPr>
              <w:t>其</w:t>
            </w:r>
            <w:r w:rsidRPr="002B55E9">
              <w:rPr>
                <w:rFonts w:hint="eastAsia"/>
              </w:rPr>
              <w:lastRenderedPageBreak/>
              <w:t>他</w:t>
            </w:r>
            <w:r w:rsidRPr="002B55E9">
              <w:t>危险物质着火，其不完全燃烧的污染物进入到空气中，逸散到厂界外。</w:t>
            </w:r>
          </w:p>
        </w:tc>
        <w:tc>
          <w:tcPr>
            <w:tcW w:w="848" w:type="dxa"/>
            <w:tcBorders>
              <w:top w:val="single" w:sz="4" w:space="0" w:color="auto"/>
              <w:bottom w:val="single" w:sz="12" w:space="0" w:color="auto"/>
            </w:tcBorders>
            <w:vAlign w:val="center"/>
          </w:tcPr>
          <w:p w14:paraId="509B21B0" w14:textId="77777777" w:rsidR="00D170E5" w:rsidRPr="002B55E9" w:rsidRDefault="00EF27AD">
            <w:pPr>
              <w:pStyle w:val="affffffffffffffffff6"/>
              <w:ind w:left="-40" w:right="-40"/>
            </w:pPr>
            <w:r w:rsidRPr="002B55E9">
              <w:rPr>
                <w:rFonts w:hint="eastAsia"/>
              </w:rPr>
              <w:lastRenderedPageBreak/>
              <w:t>/</w:t>
            </w:r>
          </w:p>
        </w:tc>
      </w:tr>
    </w:tbl>
    <w:p w14:paraId="3C2F74C6" w14:textId="77777777" w:rsidR="00D170E5" w:rsidRPr="002B55E9" w:rsidRDefault="00EF27AD">
      <w:pPr>
        <w:pStyle w:val="4"/>
        <w:numPr>
          <w:ilvl w:val="3"/>
          <w:numId w:val="28"/>
        </w:numPr>
        <w:rPr>
          <w:color w:val="auto"/>
        </w:rPr>
      </w:pPr>
      <w:r w:rsidRPr="002B55E9">
        <w:rPr>
          <w:rFonts w:hint="eastAsia"/>
          <w:color w:val="auto"/>
        </w:rPr>
        <w:lastRenderedPageBreak/>
        <w:t>源</w:t>
      </w:r>
      <w:r w:rsidRPr="002B55E9">
        <w:rPr>
          <w:color w:val="auto"/>
        </w:rPr>
        <w:t>项分析</w:t>
      </w:r>
    </w:p>
    <w:p w14:paraId="039FAAF9" w14:textId="77777777" w:rsidR="00D170E5" w:rsidRPr="002B55E9" w:rsidRDefault="00EF27AD">
      <w:pPr>
        <w:pStyle w:val="5"/>
      </w:pPr>
      <w:r w:rsidRPr="002B55E9">
        <w:rPr>
          <w:rFonts w:hint="eastAsia"/>
        </w:rPr>
        <w:t>物质泄漏量分析</w:t>
      </w:r>
    </w:p>
    <w:p w14:paraId="1F6EBA2C" w14:textId="77777777" w:rsidR="00D170E5" w:rsidRPr="002B55E9" w:rsidRDefault="00EF27AD">
      <w:pPr>
        <w:pStyle w:val="affff7"/>
        <w:snapToGrid w:val="0"/>
        <w:spacing w:after="0"/>
        <w:rPr>
          <w:szCs w:val="24"/>
        </w:rPr>
      </w:pPr>
      <w:r w:rsidRPr="002B55E9">
        <w:rPr>
          <w:rFonts w:hint="eastAsia"/>
          <w:szCs w:val="24"/>
        </w:rPr>
        <w:t>（</w:t>
      </w:r>
      <w:r w:rsidRPr="002B55E9">
        <w:rPr>
          <w:rFonts w:hint="eastAsia"/>
          <w:szCs w:val="24"/>
        </w:rPr>
        <w:t>1</w:t>
      </w:r>
      <w:r w:rsidRPr="002B55E9">
        <w:rPr>
          <w:rFonts w:hint="eastAsia"/>
          <w:szCs w:val="24"/>
        </w:rPr>
        <w:t>）液体泄漏</w:t>
      </w:r>
    </w:p>
    <w:p w14:paraId="75E8E7CC"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液体泄漏</w:t>
      </w:r>
      <w:r w:rsidRPr="002B55E9">
        <w:rPr>
          <w:rFonts w:hint="eastAsia"/>
          <w:bCs/>
          <w:snapToGrid w:val="0"/>
          <w:sz w:val="24"/>
        </w:rPr>
        <w:t>速率</w:t>
      </w:r>
      <w:r w:rsidRPr="002B55E9">
        <w:rPr>
          <w:bCs/>
          <w:snapToGrid w:val="0"/>
          <w:sz w:val="24"/>
        </w:rPr>
        <w:t>Q</w:t>
      </w:r>
      <w:r w:rsidRPr="002B55E9">
        <w:rPr>
          <w:bCs/>
          <w:snapToGrid w:val="0"/>
          <w:sz w:val="24"/>
          <w:vertAlign w:val="subscript"/>
        </w:rPr>
        <w:t>L</w:t>
      </w:r>
      <w:r w:rsidRPr="002B55E9">
        <w:rPr>
          <w:bCs/>
          <w:snapToGrid w:val="0"/>
          <w:sz w:val="24"/>
        </w:rPr>
        <w:t>用柏努利方程计算：</w:t>
      </w:r>
    </w:p>
    <w:p w14:paraId="031177B2" w14:textId="77777777" w:rsidR="00D170E5" w:rsidRPr="002B55E9" w:rsidRDefault="00EF27AD">
      <w:pPr>
        <w:widowControl/>
        <w:spacing w:after="60" w:line="360" w:lineRule="auto"/>
        <w:jc w:val="center"/>
        <w:rPr>
          <w:bCs/>
          <w:snapToGrid w:val="0"/>
          <w:sz w:val="24"/>
        </w:rPr>
      </w:pPr>
      <w:r w:rsidRPr="002B55E9">
        <w:rPr>
          <w:noProof/>
          <w:sz w:val="24"/>
        </w:rPr>
        <w:drawing>
          <wp:inline distT="0" distB="0" distL="0" distR="0" wp14:anchorId="1A656947" wp14:editId="3F849B37">
            <wp:extent cx="1546225" cy="372745"/>
            <wp:effectExtent l="0" t="0" r="0" b="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546225" cy="372745"/>
                    </a:xfrm>
                    <a:prstGeom prst="rect">
                      <a:avLst/>
                    </a:prstGeom>
                    <a:noFill/>
                    <a:ln>
                      <a:noFill/>
                    </a:ln>
                  </pic:spPr>
                </pic:pic>
              </a:graphicData>
            </a:graphic>
          </wp:inline>
        </w:drawing>
      </w:r>
    </w:p>
    <w:p w14:paraId="5029A16F"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式中：</w:t>
      </w:r>
      <w:r w:rsidRPr="002B55E9">
        <w:rPr>
          <w:bCs/>
          <w:snapToGrid w:val="0"/>
          <w:sz w:val="24"/>
        </w:rPr>
        <w:t>Q</w:t>
      </w:r>
      <w:r w:rsidRPr="002B55E9">
        <w:rPr>
          <w:bCs/>
          <w:snapToGrid w:val="0"/>
          <w:sz w:val="24"/>
          <w:vertAlign w:val="subscript"/>
        </w:rPr>
        <w:t>L</w:t>
      </w:r>
      <w:r w:rsidRPr="002B55E9">
        <w:rPr>
          <w:bCs/>
          <w:snapToGrid w:val="0"/>
          <w:sz w:val="24"/>
        </w:rPr>
        <w:t>——</w:t>
      </w:r>
      <w:r w:rsidRPr="002B55E9">
        <w:rPr>
          <w:bCs/>
          <w:snapToGrid w:val="0"/>
          <w:sz w:val="24"/>
        </w:rPr>
        <w:t>液体泄漏</w:t>
      </w:r>
      <w:r w:rsidRPr="002B55E9">
        <w:rPr>
          <w:rFonts w:hint="eastAsia"/>
          <w:bCs/>
          <w:snapToGrid w:val="0"/>
          <w:sz w:val="24"/>
        </w:rPr>
        <w:t>速率</w:t>
      </w:r>
      <w:r w:rsidRPr="002B55E9">
        <w:rPr>
          <w:bCs/>
          <w:snapToGrid w:val="0"/>
          <w:sz w:val="24"/>
        </w:rPr>
        <w:t>，</w:t>
      </w:r>
      <w:r w:rsidRPr="002B55E9">
        <w:rPr>
          <w:bCs/>
          <w:snapToGrid w:val="0"/>
          <w:sz w:val="24"/>
        </w:rPr>
        <w:t>kg/s</w:t>
      </w:r>
      <w:r w:rsidRPr="002B55E9">
        <w:rPr>
          <w:bCs/>
          <w:snapToGrid w:val="0"/>
          <w:sz w:val="24"/>
        </w:rPr>
        <w:t>；</w:t>
      </w:r>
    </w:p>
    <w:p w14:paraId="6822FAE3"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P——</w:t>
      </w:r>
      <w:r w:rsidRPr="002B55E9">
        <w:rPr>
          <w:bCs/>
          <w:snapToGrid w:val="0"/>
          <w:sz w:val="24"/>
        </w:rPr>
        <w:t>容器内介质压力，</w:t>
      </w:r>
      <w:r w:rsidRPr="002B55E9">
        <w:rPr>
          <w:bCs/>
          <w:snapToGrid w:val="0"/>
          <w:sz w:val="24"/>
        </w:rPr>
        <w:t>Pa</w:t>
      </w:r>
      <w:r w:rsidRPr="002B55E9">
        <w:rPr>
          <w:bCs/>
          <w:snapToGrid w:val="0"/>
          <w:sz w:val="24"/>
        </w:rPr>
        <w:t>；</w:t>
      </w:r>
    </w:p>
    <w:p w14:paraId="20FFC5F6"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P</w:t>
      </w:r>
      <w:r w:rsidRPr="002B55E9">
        <w:rPr>
          <w:bCs/>
          <w:snapToGrid w:val="0"/>
          <w:sz w:val="24"/>
          <w:vertAlign w:val="subscript"/>
        </w:rPr>
        <w:t>0</w:t>
      </w:r>
      <w:r w:rsidRPr="002B55E9">
        <w:rPr>
          <w:bCs/>
          <w:snapToGrid w:val="0"/>
          <w:sz w:val="24"/>
        </w:rPr>
        <w:t>——</w:t>
      </w:r>
      <w:r w:rsidRPr="002B55E9">
        <w:rPr>
          <w:bCs/>
          <w:snapToGrid w:val="0"/>
          <w:sz w:val="24"/>
        </w:rPr>
        <w:t>环境压力，</w:t>
      </w:r>
      <w:r w:rsidRPr="002B55E9">
        <w:rPr>
          <w:bCs/>
          <w:snapToGrid w:val="0"/>
          <w:sz w:val="24"/>
        </w:rPr>
        <w:t>Pa</w:t>
      </w:r>
      <w:r w:rsidRPr="002B55E9">
        <w:rPr>
          <w:bCs/>
          <w:snapToGrid w:val="0"/>
          <w:sz w:val="24"/>
        </w:rPr>
        <w:t>；</w:t>
      </w:r>
    </w:p>
    <w:p w14:paraId="0F5A2CA3" w14:textId="77777777" w:rsidR="00D170E5" w:rsidRPr="002B55E9" w:rsidRDefault="00EF27AD">
      <w:pPr>
        <w:widowControl/>
        <w:spacing w:line="360" w:lineRule="auto"/>
        <w:ind w:firstLineChars="200" w:firstLine="480"/>
        <w:jc w:val="left"/>
        <w:rPr>
          <w:bCs/>
          <w:snapToGrid w:val="0"/>
          <w:sz w:val="24"/>
        </w:rPr>
      </w:pPr>
      <w:r w:rsidRPr="002B55E9">
        <w:rPr>
          <w:rFonts w:hint="eastAsia"/>
          <w:bCs/>
          <w:snapToGrid w:val="0"/>
          <w:sz w:val="24"/>
        </w:rPr>
        <w:t>ρ</w:t>
      </w:r>
      <w:r w:rsidRPr="002B55E9">
        <w:rPr>
          <w:bCs/>
          <w:snapToGrid w:val="0"/>
          <w:sz w:val="24"/>
        </w:rPr>
        <w:t>——</w:t>
      </w:r>
      <w:r w:rsidRPr="002B55E9">
        <w:rPr>
          <w:rFonts w:hint="eastAsia"/>
          <w:bCs/>
          <w:snapToGrid w:val="0"/>
          <w:sz w:val="24"/>
        </w:rPr>
        <w:t>泄漏液体密度，</w:t>
      </w:r>
      <w:r w:rsidRPr="002B55E9">
        <w:rPr>
          <w:bCs/>
          <w:snapToGrid w:val="0"/>
          <w:sz w:val="24"/>
        </w:rPr>
        <w:t>kg/m</w:t>
      </w:r>
      <w:r w:rsidRPr="002B55E9">
        <w:rPr>
          <w:bCs/>
          <w:snapToGrid w:val="0"/>
          <w:sz w:val="24"/>
          <w:vertAlign w:val="superscript"/>
        </w:rPr>
        <w:t>3</w:t>
      </w:r>
      <w:r w:rsidRPr="002B55E9">
        <w:rPr>
          <w:rFonts w:hint="eastAsia"/>
          <w:bCs/>
          <w:snapToGrid w:val="0"/>
          <w:sz w:val="24"/>
        </w:rPr>
        <w:t>；</w:t>
      </w:r>
    </w:p>
    <w:p w14:paraId="116F1A85"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g ——</w:t>
      </w:r>
      <w:r w:rsidRPr="002B55E9">
        <w:rPr>
          <w:bCs/>
          <w:snapToGrid w:val="0"/>
          <w:sz w:val="24"/>
        </w:rPr>
        <w:t>重力加速度</w:t>
      </w:r>
      <w:r w:rsidRPr="002B55E9">
        <w:rPr>
          <w:rFonts w:hint="eastAsia"/>
          <w:bCs/>
          <w:snapToGrid w:val="0"/>
          <w:sz w:val="24"/>
        </w:rPr>
        <w:t>，</w:t>
      </w:r>
      <w:r w:rsidRPr="002B55E9">
        <w:rPr>
          <w:rFonts w:hint="eastAsia"/>
          <w:bCs/>
          <w:snapToGrid w:val="0"/>
          <w:sz w:val="24"/>
        </w:rPr>
        <w:t>9.81</w:t>
      </w:r>
      <w:r w:rsidRPr="002B55E9">
        <w:rPr>
          <w:bCs/>
          <w:snapToGrid w:val="0"/>
          <w:sz w:val="24"/>
        </w:rPr>
        <w:t>m/s</w:t>
      </w:r>
      <w:r w:rsidRPr="002B55E9">
        <w:rPr>
          <w:bCs/>
          <w:snapToGrid w:val="0"/>
          <w:sz w:val="24"/>
          <w:vertAlign w:val="superscript"/>
        </w:rPr>
        <w:t>2</w:t>
      </w:r>
      <w:r w:rsidRPr="002B55E9">
        <w:rPr>
          <w:rFonts w:hint="eastAsia"/>
          <w:bCs/>
          <w:snapToGrid w:val="0"/>
          <w:sz w:val="24"/>
        </w:rPr>
        <w:t>；</w:t>
      </w:r>
    </w:p>
    <w:p w14:paraId="6E5927B8"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h ——</w:t>
      </w:r>
      <w:r w:rsidRPr="002B55E9">
        <w:rPr>
          <w:bCs/>
          <w:snapToGrid w:val="0"/>
          <w:sz w:val="24"/>
        </w:rPr>
        <w:t>裂口之上液位高度，</w:t>
      </w:r>
      <w:r w:rsidRPr="002B55E9">
        <w:rPr>
          <w:bCs/>
          <w:snapToGrid w:val="0"/>
          <w:sz w:val="24"/>
        </w:rPr>
        <w:t>m</w:t>
      </w:r>
      <w:r w:rsidRPr="002B55E9">
        <w:rPr>
          <w:rFonts w:hint="eastAsia"/>
          <w:bCs/>
          <w:snapToGrid w:val="0"/>
          <w:sz w:val="24"/>
        </w:rPr>
        <w:t>；</w:t>
      </w:r>
    </w:p>
    <w:p w14:paraId="6D55C204"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C</w:t>
      </w:r>
      <w:r w:rsidRPr="002B55E9">
        <w:rPr>
          <w:bCs/>
          <w:snapToGrid w:val="0"/>
          <w:sz w:val="24"/>
          <w:vertAlign w:val="subscript"/>
        </w:rPr>
        <w:t>d</w:t>
      </w:r>
      <w:r w:rsidRPr="002B55E9">
        <w:rPr>
          <w:bCs/>
          <w:snapToGrid w:val="0"/>
          <w:sz w:val="24"/>
        </w:rPr>
        <w:t>——</w:t>
      </w:r>
      <w:r w:rsidRPr="002B55E9">
        <w:rPr>
          <w:bCs/>
          <w:snapToGrid w:val="0"/>
          <w:sz w:val="24"/>
        </w:rPr>
        <w:t>液体泄漏系数，</w:t>
      </w:r>
      <w:r w:rsidRPr="002B55E9">
        <w:rPr>
          <w:rFonts w:hint="eastAsia"/>
          <w:bCs/>
          <w:snapToGrid w:val="0"/>
          <w:sz w:val="24"/>
        </w:rPr>
        <w:t>取值参考下表</w:t>
      </w:r>
      <w:r w:rsidRPr="002B55E9">
        <w:rPr>
          <w:rFonts w:hint="eastAsia"/>
          <w:bCs/>
          <w:snapToGrid w:val="0"/>
          <w:sz w:val="24"/>
        </w:rPr>
        <w:t>14</w:t>
      </w:r>
      <w:r w:rsidRPr="002B55E9">
        <w:rPr>
          <w:bCs/>
          <w:snapToGrid w:val="0"/>
          <w:sz w:val="24"/>
        </w:rPr>
        <w:t>；</w:t>
      </w:r>
    </w:p>
    <w:p w14:paraId="0E00FD2E" w14:textId="77777777" w:rsidR="00D170E5" w:rsidRPr="002B55E9" w:rsidRDefault="00EF27AD">
      <w:pPr>
        <w:widowControl/>
        <w:spacing w:line="360" w:lineRule="auto"/>
        <w:ind w:firstLineChars="200" w:firstLine="480"/>
        <w:jc w:val="left"/>
        <w:rPr>
          <w:bCs/>
          <w:snapToGrid w:val="0"/>
          <w:sz w:val="24"/>
        </w:rPr>
      </w:pPr>
      <w:r w:rsidRPr="002B55E9">
        <w:rPr>
          <w:bCs/>
          <w:snapToGrid w:val="0"/>
          <w:sz w:val="24"/>
        </w:rPr>
        <w:t>A——</w:t>
      </w:r>
      <w:r w:rsidRPr="002B55E9">
        <w:rPr>
          <w:bCs/>
          <w:snapToGrid w:val="0"/>
          <w:sz w:val="24"/>
        </w:rPr>
        <w:t>裂口面积，</w:t>
      </w:r>
      <w:r w:rsidRPr="002B55E9">
        <w:rPr>
          <w:bCs/>
          <w:snapToGrid w:val="0"/>
          <w:sz w:val="24"/>
        </w:rPr>
        <w:t>m</w:t>
      </w:r>
      <w:r w:rsidRPr="002B55E9">
        <w:rPr>
          <w:bCs/>
          <w:snapToGrid w:val="0"/>
          <w:sz w:val="24"/>
          <w:vertAlign w:val="superscript"/>
        </w:rPr>
        <w:t>2</w:t>
      </w:r>
      <w:r w:rsidRPr="002B55E9">
        <w:rPr>
          <w:rFonts w:hint="eastAsia"/>
          <w:bCs/>
          <w:snapToGrid w:val="0"/>
          <w:sz w:val="24"/>
        </w:rPr>
        <w:t>。</w:t>
      </w:r>
    </w:p>
    <w:p w14:paraId="56FD8C93" w14:textId="77777777" w:rsidR="00D170E5" w:rsidRPr="002B55E9" w:rsidRDefault="00EF27AD">
      <w:pPr>
        <w:ind w:firstLine="482"/>
        <w:jc w:val="center"/>
        <w:rPr>
          <w:rFonts w:eastAsia="黑体"/>
          <w:b/>
          <w:sz w:val="24"/>
        </w:rPr>
      </w:pPr>
      <w:r w:rsidRPr="002B55E9">
        <w:rPr>
          <w:rFonts w:eastAsia="黑体" w:hint="eastAsia"/>
          <w:b/>
          <w:sz w:val="24"/>
        </w:rPr>
        <w:t>表</w:t>
      </w:r>
      <w:r w:rsidRPr="002B55E9">
        <w:rPr>
          <w:rFonts w:eastAsia="黑体" w:hint="eastAsia"/>
          <w:b/>
          <w:sz w:val="24"/>
        </w:rPr>
        <w:t>6-5-</w:t>
      </w:r>
      <w:r w:rsidRPr="002B55E9">
        <w:rPr>
          <w:rFonts w:eastAsia="黑体"/>
          <w:b/>
          <w:sz w:val="24"/>
        </w:rPr>
        <w:t>1</w:t>
      </w:r>
      <w:r w:rsidRPr="002B55E9">
        <w:rPr>
          <w:rFonts w:eastAsia="黑体" w:hint="eastAsia"/>
          <w:b/>
          <w:sz w:val="24"/>
        </w:rPr>
        <w:t xml:space="preserve">  </w:t>
      </w:r>
      <w:r w:rsidRPr="002B55E9">
        <w:rPr>
          <w:rFonts w:eastAsia="黑体" w:hint="eastAsia"/>
          <w:b/>
          <w:sz w:val="24"/>
        </w:rPr>
        <w:t>液体泄漏系数</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18"/>
        <w:gridCol w:w="3563"/>
        <w:gridCol w:w="1829"/>
        <w:gridCol w:w="1827"/>
      </w:tblGrid>
      <w:tr w:rsidR="00C60999" w:rsidRPr="002B55E9" w14:paraId="45EDE05C" w14:textId="77777777">
        <w:trPr>
          <w:trHeight w:val="284"/>
        </w:trPr>
        <w:tc>
          <w:tcPr>
            <w:tcW w:w="2418" w:type="dxa"/>
            <w:vMerge w:val="restart"/>
            <w:tcBorders>
              <w:top w:val="single" w:sz="12" w:space="0" w:color="auto"/>
              <w:bottom w:val="single" w:sz="4" w:space="0" w:color="auto"/>
            </w:tcBorders>
            <w:vAlign w:val="center"/>
          </w:tcPr>
          <w:p w14:paraId="5806CC73" w14:textId="77777777" w:rsidR="00D170E5" w:rsidRPr="002B55E9" w:rsidRDefault="00EF27AD">
            <w:pPr>
              <w:pStyle w:val="affffffffffffffffff6"/>
            </w:pPr>
            <w:r w:rsidRPr="002B55E9">
              <w:rPr>
                <w:rFonts w:hint="eastAsia"/>
              </w:rPr>
              <w:t>雷诺数</w:t>
            </w:r>
            <w:r w:rsidRPr="002B55E9">
              <w:rPr>
                <w:rFonts w:hint="eastAsia"/>
              </w:rPr>
              <w:t>R</w:t>
            </w:r>
            <w:r w:rsidRPr="002B55E9">
              <w:t>e</w:t>
            </w:r>
          </w:p>
        </w:tc>
        <w:tc>
          <w:tcPr>
            <w:tcW w:w="7219" w:type="dxa"/>
            <w:gridSpan w:val="3"/>
            <w:tcBorders>
              <w:top w:val="single" w:sz="12" w:space="0" w:color="auto"/>
              <w:bottom w:val="single" w:sz="4" w:space="0" w:color="auto"/>
            </w:tcBorders>
            <w:vAlign w:val="center"/>
          </w:tcPr>
          <w:p w14:paraId="17DE4AF2" w14:textId="77777777" w:rsidR="00D170E5" w:rsidRPr="002B55E9" w:rsidRDefault="00EF27AD">
            <w:pPr>
              <w:pStyle w:val="affffffffffffffffff6"/>
            </w:pPr>
            <w:r w:rsidRPr="002B55E9">
              <w:rPr>
                <w:rFonts w:hint="eastAsia"/>
              </w:rPr>
              <w:t>裂口形状</w:t>
            </w:r>
          </w:p>
        </w:tc>
      </w:tr>
      <w:tr w:rsidR="00C60999" w:rsidRPr="002B55E9" w14:paraId="3951F4E2" w14:textId="77777777">
        <w:trPr>
          <w:trHeight w:val="284"/>
        </w:trPr>
        <w:tc>
          <w:tcPr>
            <w:tcW w:w="2418" w:type="dxa"/>
            <w:vMerge/>
            <w:tcBorders>
              <w:top w:val="single" w:sz="4" w:space="0" w:color="auto"/>
              <w:bottom w:val="single" w:sz="12" w:space="0" w:color="auto"/>
            </w:tcBorders>
            <w:vAlign w:val="center"/>
          </w:tcPr>
          <w:p w14:paraId="51C4F6F9" w14:textId="77777777" w:rsidR="00D170E5" w:rsidRPr="002B55E9" w:rsidRDefault="00D170E5">
            <w:pPr>
              <w:pStyle w:val="affffffffffffffffff6"/>
            </w:pPr>
          </w:p>
        </w:tc>
        <w:tc>
          <w:tcPr>
            <w:tcW w:w="3563" w:type="dxa"/>
            <w:tcBorders>
              <w:top w:val="single" w:sz="4" w:space="0" w:color="auto"/>
              <w:bottom w:val="single" w:sz="12" w:space="0" w:color="auto"/>
            </w:tcBorders>
            <w:vAlign w:val="center"/>
          </w:tcPr>
          <w:p w14:paraId="0C438839" w14:textId="77777777" w:rsidR="00D170E5" w:rsidRPr="002B55E9" w:rsidRDefault="00EF27AD">
            <w:pPr>
              <w:pStyle w:val="affffffffffffffffff6"/>
            </w:pPr>
            <w:r w:rsidRPr="002B55E9">
              <w:rPr>
                <w:rFonts w:hint="eastAsia"/>
              </w:rPr>
              <w:t>圆形</w:t>
            </w:r>
            <w:r w:rsidRPr="002B55E9">
              <w:t>（</w:t>
            </w:r>
            <w:r w:rsidRPr="002B55E9">
              <w:rPr>
                <w:rFonts w:hint="eastAsia"/>
              </w:rPr>
              <w:t>多边形</w:t>
            </w:r>
            <w:r w:rsidRPr="002B55E9">
              <w:t>）</w:t>
            </w:r>
          </w:p>
        </w:tc>
        <w:tc>
          <w:tcPr>
            <w:tcW w:w="1829" w:type="dxa"/>
            <w:tcBorders>
              <w:top w:val="single" w:sz="4" w:space="0" w:color="auto"/>
              <w:bottom w:val="single" w:sz="12" w:space="0" w:color="auto"/>
            </w:tcBorders>
            <w:vAlign w:val="center"/>
          </w:tcPr>
          <w:p w14:paraId="15CDBD6A" w14:textId="77777777" w:rsidR="00D170E5" w:rsidRPr="002B55E9" w:rsidRDefault="00EF27AD">
            <w:pPr>
              <w:pStyle w:val="affffffffffffffffff6"/>
            </w:pPr>
            <w:r w:rsidRPr="002B55E9">
              <w:rPr>
                <w:rFonts w:hint="eastAsia"/>
              </w:rPr>
              <w:t>三角形</w:t>
            </w:r>
          </w:p>
        </w:tc>
        <w:tc>
          <w:tcPr>
            <w:tcW w:w="1827" w:type="dxa"/>
            <w:tcBorders>
              <w:top w:val="single" w:sz="4" w:space="0" w:color="auto"/>
              <w:bottom w:val="single" w:sz="12" w:space="0" w:color="auto"/>
            </w:tcBorders>
            <w:vAlign w:val="center"/>
          </w:tcPr>
          <w:p w14:paraId="10E842A9" w14:textId="77777777" w:rsidR="00D170E5" w:rsidRPr="002B55E9" w:rsidRDefault="00EF27AD">
            <w:pPr>
              <w:pStyle w:val="affffffffffffffffff6"/>
            </w:pPr>
            <w:r w:rsidRPr="002B55E9">
              <w:rPr>
                <w:rFonts w:hint="eastAsia"/>
              </w:rPr>
              <w:t>长方形</w:t>
            </w:r>
          </w:p>
        </w:tc>
      </w:tr>
      <w:tr w:rsidR="00C60999" w:rsidRPr="002B55E9" w14:paraId="1D92B66D" w14:textId="77777777">
        <w:trPr>
          <w:trHeight w:val="284"/>
        </w:trPr>
        <w:tc>
          <w:tcPr>
            <w:tcW w:w="2418" w:type="dxa"/>
            <w:tcBorders>
              <w:top w:val="single" w:sz="12" w:space="0" w:color="auto"/>
            </w:tcBorders>
            <w:vAlign w:val="center"/>
          </w:tcPr>
          <w:p w14:paraId="182C5161" w14:textId="77777777" w:rsidR="00D170E5" w:rsidRPr="002B55E9" w:rsidRDefault="00EF27AD">
            <w:pPr>
              <w:pStyle w:val="affffffffffffffffff6"/>
            </w:pPr>
            <w:r w:rsidRPr="002B55E9">
              <w:rPr>
                <w:rFonts w:hint="eastAsia"/>
              </w:rPr>
              <w:t>＞</w:t>
            </w:r>
            <w:r w:rsidRPr="002B55E9">
              <w:rPr>
                <w:rFonts w:hint="eastAsia"/>
              </w:rPr>
              <w:t>100</w:t>
            </w:r>
          </w:p>
        </w:tc>
        <w:tc>
          <w:tcPr>
            <w:tcW w:w="3563" w:type="dxa"/>
            <w:tcBorders>
              <w:top w:val="single" w:sz="12" w:space="0" w:color="auto"/>
            </w:tcBorders>
            <w:vAlign w:val="center"/>
          </w:tcPr>
          <w:p w14:paraId="773AB074" w14:textId="77777777" w:rsidR="00D170E5" w:rsidRPr="002B55E9" w:rsidRDefault="00EF27AD">
            <w:pPr>
              <w:pStyle w:val="affffffffffffffffff6"/>
            </w:pPr>
            <w:r w:rsidRPr="002B55E9">
              <w:rPr>
                <w:rFonts w:hint="eastAsia"/>
              </w:rPr>
              <w:t>0.65</w:t>
            </w:r>
          </w:p>
        </w:tc>
        <w:tc>
          <w:tcPr>
            <w:tcW w:w="1829" w:type="dxa"/>
            <w:tcBorders>
              <w:top w:val="single" w:sz="12" w:space="0" w:color="auto"/>
            </w:tcBorders>
            <w:vAlign w:val="center"/>
          </w:tcPr>
          <w:p w14:paraId="21905784" w14:textId="77777777" w:rsidR="00D170E5" w:rsidRPr="002B55E9" w:rsidRDefault="00EF27AD">
            <w:pPr>
              <w:pStyle w:val="affffffffffffffffff6"/>
            </w:pPr>
            <w:r w:rsidRPr="002B55E9">
              <w:rPr>
                <w:rFonts w:hint="eastAsia"/>
              </w:rPr>
              <w:t>0.60</w:t>
            </w:r>
          </w:p>
        </w:tc>
        <w:tc>
          <w:tcPr>
            <w:tcW w:w="1827" w:type="dxa"/>
            <w:tcBorders>
              <w:top w:val="single" w:sz="12" w:space="0" w:color="auto"/>
            </w:tcBorders>
            <w:vAlign w:val="center"/>
          </w:tcPr>
          <w:p w14:paraId="397A22B8" w14:textId="77777777" w:rsidR="00D170E5" w:rsidRPr="002B55E9" w:rsidRDefault="00EF27AD">
            <w:pPr>
              <w:pStyle w:val="affffffffffffffffff6"/>
            </w:pPr>
            <w:r w:rsidRPr="002B55E9">
              <w:rPr>
                <w:rFonts w:hint="eastAsia"/>
              </w:rPr>
              <w:t>0.55</w:t>
            </w:r>
          </w:p>
        </w:tc>
      </w:tr>
      <w:tr w:rsidR="00C60999" w:rsidRPr="002B55E9" w14:paraId="2369B252" w14:textId="77777777">
        <w:trPr>
          <w:trHeight w:val="284"/>
        </w:trPr>
        <w:tc>
          <w:tcPr>
            <w:tcW w:w="2418" w:type="dxa"/>
            <w:vAlign w:val="center"/>
          </w:tcPr>
          <w:p w14:paraId="206D3550" w14:textId="77777777" w:rsidR="00D170E5" w:rsidRPr="002B55E9" w:rsidRDefault="00EF27AD">
            <w:pPr>
              <w:pStyle w:val="affffffffffffffffff6"/>
            </w:pPr>
            <w:r w:rsidRPr="002B55E9">
              <w:rPr>
                <w:rFonts w:hint="eastAsia"/>
              </w:rPr>
              <w:t>≤</w:t>
            </w:r>
            <w:r w:rsidRPr="002B55E9">
              <w:rPr>
                <w:rFonts w:hint="eastAsia"/>
              </w:rPr>
              <w:t>100</w:t>
            </w:r>
          </w:p>
        </w:tc>
        <w:tc>
          <w:tcPr>
            <w:tcW w:w="3563" w:type="dxa"/>
            <w:vAlign w:val="center"/>
          </w:tcPr>
          <w:p w14:paraId="18A2FD01" w14:textId="77777777" w:rsidR="00D170E5" w:rsidRPr="002B55E9" w:rsidRDefault="00EF27AD">
            <w:pPr>
              <w:pStyle w:val="affffffffffffffffff6"/>
            </w:pPr>
            <w:r w:rsidRPr="002B55E9">
              <w:rPr>
                <w:rFonts w:hint="eastAsia"/>
              </w:rPr>
              <w:t>0.50</w:t>
            </w:r>
          </w:p>
        </w:tc>
        <w:tc>
          <w:tcPr>
            <w:tcW w:w="1829" w:type="dxa"/>
            <w:vAlign w:val="center"/>
          </w:tcPr>
          <w:p w14:paraId="3FD0D905" w14:textId="77777777" w:rsidR="00D170E5" w:rsidRPr="002B55E9" w:rsidRDefault="00EF27AD">
            <w:pPr>
              <w:pStyle w:val="affffffffffffffffff6"/>
            </w:pPr>
            <w:r w:rsidRPr="002B55E9">
              <w:rPr>
                <w:rFonts w:hint="eastAsia"/>
              </w:rPr>
              <w:t>0.45</w:t>
            </w:r>
          </w:p>
        </w:tc>
        <w:tc>
          <w:tcPr>
            <w:tcW w:w="1827" w:type="dxa"/>
            <w:vAlign w:val="center"/>
          </w:tcPr>
          <w:p w14:paraId="4A225D7F" w14:textId="77777777" w:rsidR="00D170E5" w:rsidRPr="002B55E9" w:rsidRDefault="00EF27AD">
            <w:pPr>
              <w:pStyle w:val="affffffffffffffffff6"/>
            </w:pPr>
            <w:r w:rsidRPr="002B55E9">
              <w:rPr>
                <w:rFonts w:hint="eastAsia"/>
              </w:rPr>
              <w:t>0.40</w:t>
            </w:r>
          </w:p>
        </w:tc>
      </w:tr>
      <w:tr w:rsidR="00C60999" w:rsidRPr="002B55E9" w14:paraId="5080E672" w14:textId="77777777">
        <w:trPr>
          <w:trHeight w:val="284"/>
        </w:trPr>
        <w:tc>
          <w:tcPr>
            <w:tcW w:w="9637" w:type="dxa"/>
            <w:gridSpan w:val="4"/>
            <w:vAlign w:val="center"/>
          </w:tcPr>
          <w:p w14:paraId="28EABDD2" w14:textId="77777777" w:rsidR="00D170E5" w:rsidRPr="002B55E9" w:rsidRDefault="00EF27AD">
            <w:pPr>
              <w:pStyle w:val="affffffffffffffffff6"/>
            </w:pPr>
            <w:r w:rsidRPr="002B55E9">
              <w:rPr>
                <w:rFonts w:hint="eastAsia"/>
              </w:rPr>
              <w:t>注</w:t>
            </w:r>
            <w:r w:rsidRPr="002B55E9">
              <w:t>：来源于《建设项目环境风险评价技术导则》（</w:t>
            </w:r>
            <w:r w:rsidRPr="002B55E9">
              <w:t>HJ 169-2018</w:t>
            </w:r>
            <w:r w:rsidRPr="002B55E9">
              <w:t>）</w:t>
            </w:r>
            <w:r w:rsidRPr="002B55E9">
              <w:rPr>
                <w:rFonts w:hint="eastAsia"/>
              </w:rPr>
              <w:t>附录</w:t>
            </w:r>
            <w:r w:rsidRPr="002B55E9">
              <w:rPr>
                <w:rFonts w:hint="eastAsia"/>
              </w:rPr>
              <w:t>F</w:t>
            </w:r>
            <w:r w:rsidRPr="002B55E9">
              <w:rPr>
                <w:rFonts w:hint="eastAsia"/>
              </w:rPr>
              <w:t>。</w:t>
            </w:r>
          </w:p>
        </w:tc>
      </w:tr>
    </w:tbl>
    <w:p w14:paraId="7C15965A" w14:textId="77777777" w:rsidR="00D170E5" w:rsidRPr="002B55E9" w:rsidRDefault="00EF27AD">
      <w:pPr>
        <w:pStyle w:val="affff7"/>
        <w:snapToGrid w:val="0"/>
        <w:spacing w:after="0"/>
        <w:rPr>
          <w:szCs w:val="24"/>
        </w:rPr>
      </w:pPr>
      <w:r w:rsidRPr="002B55E9">
        <w:rPr>
          <w:rFonts w:hint="eastAsia"/>
          <w:szCs w:val="24"/>
        </w:rPr>
        <w:t>（</w:t>
      </w:r>
      <w:r w:rsidRPr="002B55E9">
        <w:rPr>
          <w:rFonts w:hint="eastAsia"/>
          <w:szCs w:val="24"/>
        </w:rPr>
        <w:t>2</w:t>
      </w:r>
      <w:r w:rsidRPr="002B55E9">
        <w:rPr>
          <w:rFonts w:hint="eastAsia"/>
          <w:szCs w:val="24"/>
        </w:rPr>
        <w:t>）液相泄漏液体蒸发量</w:t>
      </w:r>
    </w:p>
    <w:p w14:paraId="6335ECF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泄漏液体的蒸发分为闪蒸蒸发、热量蒸发和质量蒸发三种，其蒸发总量为这三种蒸发之和。</w:t>
      </w:r>
    </w:p>
    <w:p w14:paraId="26D0735C" w14:textId="77777777" w:rsidR="00D170E5" w:rsidRPr="002B55E9" w:rsidRDefault="00EF27AD">
      <w:pPr>
        <w:widowControl/>
        <w:spacing w:after="60" w:line="360" w:lineRule="auto"/>
        <w:ind w:firstLineChars="200" w:firstLine="480"/>
        <w:rPr>
          <w:bCs/>
          <w:snapToGrid w:val="0"/>
          <w:sz w:val="24"/>
        </w:rPr>
      </w:pPr>
      <w:r w:rsidRPr="002B55E9">
        <w:rPr>
          <w:rFonts w:ascii="宋体" w:hAnsi="宋体" w:cs="宋体" w:hint="eastAsia"/>
          <w:bCs/>
          <w:snapToGrid w:val="0"/>
          <w:sz w:val="24"/>
        </w:rPr>
        <w:t>①</w:t>
      </w:r>
      <w:r w:rsidRPr="002B55E9">
        <w:rPr>
          <w:bCs/>
          <w:snapToGrid w:val="0"/>
          <w:sz w:val="24"/>
        </w:rPr>
        <w:t>闪蒸</w:t>
      </w:r>
      <w:r w:rsidRPr="002B55E9">
        <w:rPr>
          <w:rFonts w:hint="eastAsia"/>
          <w:bCs/>
          <w:snapToGrid w:val="0"/>
          <w:sz w:val="24"/>
        </w:rPr>
        <w:t>蒸发</w:t>
      </w:r>
      <w:r w:rsidRPr="002B55E9">
        <w:rPr>
          <w:bCs/>
          <w:snapToGrid w:val="0"/>
          <w:sz w:val="24"/>
        </w:rPr>
        <w:t>估算</w:t>
      </w:r>
    </w:p>
    <w:p w14:paraId="25E649AB"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过热液体闪蒸</w:t>
      </w:r>
      <w:r w:rsidRPr="002B55E9">
        <w:rPr>
          <w:rFonts w:hint="eastAsia"/>
          <w:bCs/>
          <w:snapToGrid w:val="0"/>
          <w:sz w:val="24"/>
        </w:rPr>
        <w:t>蒸发速率</w:t>
      </w:r>
      <w:r w:rsidRPr="002B55E9">
        <w:rPr>
          <w:bCs/>
          <w:snapToGrid w:val="0"/>
          <w:sz w:val="24"/>
        </w:rPr>
        <w:t>可按下式估算</w:t>
      </w:r>
    </w:p>
    <w:p w14:paraId="0EA4F646" w14:textId="77777777" w:rsidR="00D170E5" w:rsidRPr="002B55E9" w:rsidRDefault="00EF27AD">
      <w:pPr>
        <w:widowControl/>
        <w:spacing w:after="60" w:line="360" w:lineRule="auto"/>
        <w:ind w:firstLineChars="200" w:firstLine="480"/>
        <w:jc w:val="center"/>
        <w:rPr>
          <w:bCs/>
          <w:snapToGrid w:val="0"/>
          <w:sz w:val="24"/>
          <w:vertAlign w:val="subscript"/>
        </w:rPr>
      </w:pPr>
      <w:r w:rsidRPr="002B55E9">
        <w:rPr>
          <w:bCs/>
          <w:snapToGrid w:val="0"/>
          <w:sz w:val="24"/>
        </w:rPr>
        <w:t>Q</w:t>
      </w:r>
      <w:r w:rsidRPr="002B55E9">
        <w:rPr>
          <w:bCs/>
          <w:snapToGrid w:val="0"/>
          <w:sz w:val="24"/>
          <w:vertAlign w:val="subscript"/>
        </w:rPr>
        <w:t>1</w:t>
      </w:r>
      <w:r w:rsidRPr="002B55E9">
        <w:rPr>
          <w:bCs/>
          <w:snapToGrid w:val="0"/>
          <w:sz w:val="24"/>
        </w:rPr>
        <w:t>=F</w:t>
      </w:r>
      <w:r w:rsidRPr="002B55E9">
        <w:rPr>
          <w:bCs/>
          <w:snapToGrid w:val="0"/>
          <w:sz w:val="24"/>
          <w:vertAlign w:val="subscript"/>
        </w:rPr>
        <w:t>v</w:t>
      </w:r>
      <w:r w:rsidRPr="002B55E9">
        <w:rPr>
          <w:bCs/>
          <w:snapToGrid w:val="0"/>
          <w:sz w:val="24"/>
        </w:rPr>
        <w:t>•Q</w:t>
      </w:r>
      <w:r w:rsidRPr="002B55E9">
        <w:rPr>
          <w:bCs/>
          <w:snapToGrid w:val="0"/>
          <w:sz w:val="24"/>
          <w:vertAlign w:val="subscript"/>
        </w:rPr>
        <w:t>L</w:t>
      </w:r>
    </w:p>
    <w:p w14:paraId="6988840A"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液体中</w:t>
      </w:r>
      <w:r w:rsidRPr="002B55E9">
        <w:rPr>
          <w:bCs/>
          <w:snapToGrid w:val="0"/>
          <w:sz w:val="24"/>
        </w:rPr>
        <w:t>闪蒸部分：</w:t>
      </w:r>
    </w:p>
    <w:p w14:paraId="353E5EB5" w14:textId="77777777" w:rsidR="00D170E5" w:rsidRPr="002B55E9" w:rsidRDefault="00EF27AD">
      <w:pPr>
        <w:widowControl/>
        <w:spacing w:after="60" w:line="360" w:lineRule="auto"/>
        <w:ind w:firstLineChars="200" w:firstLine="480"/>
        <w:jc w:val="center"/>
        <w:rPr>
          <w:bCs/>
          <w:snapToGrid w:val="0"/>
          <w:sz w:val="24"/>
        </w:rPr>
      </w:pPr>
      <w:r w:rsidRPr="002B55E9">
        <w:rPr>
          <w:bCs/>
          <w:snapToGrid w:val="0"/>
          <w:sz w:val="24"/>
        </w:rPr>
        <w:t>F</w:t>
      </w:r>
      <w:r w:rsidRPr="002B55E9">
        <w:rPr>
          <w:bCs/>
          <w:snapToGrid w:val="0"/>
          <w:sz w:val="24"/>
          <w:vertAlign w:val="subscript"/>
        </w:rPr>
        <w:t>v</w:t>
      </w:r>
      <w:r w:rsidRPr="002B55E9">
        <w:rPr>
          <w:bCs/>
          <w:snapToGrid w:val="0"/>
          <w:sz w:val="24"/>
        </w:rPr>
        <w:t xml:space="preserve"> =C</w:t>
      </w:r>
      <w:r w:rsidRPr="002B55E9">
        <w:rPr>
          <w:bCs/>
          <w:snapToGrid w:val="0"/>
          <w:sz w:val="24"/>
          <w:vertAlign w:val="subscript"/>
        </w:rPr>
        <w:t>p</w:t>
      </w:r>
      <w:r w:rsidRPr="002B55E9">
        <w:rPr>
          <w:bCs/>
          <w:snapToGrid w:val="0"/>
          <w:sz w:val="24"/>
        </w:rPr>
        <w:t>(T</w:t>
      </w:r>
      <w:r w:rsidRPr="002B55E9">
        <w:rPr>
          <w:bCs/>
          <w:snapToGrid w:val="0"/>
          <w:sz w:val="24"/>
          <w:vertAlign w:val="subscript"/>
        </w:rPr>
        <w:t>T</w:t>
      </w:r>
      <w:r w:rsidRPr="002B55E9">
        <w:rPr>
          <w:bCs/>
          <w:snapToGrid w:val="0"/>
          <w:sz w:val="24"/>
        </w:rPr>
        <w:t>-T</w:t>
      </w:r>
      <w:r w:rsidRPr="002B55E9">
        <w:rPr>
          <w:bCs/>
          <w:snapToGrid w:val="0"/>
          <w:sz w:val="24"/>
          <w:vertAlign w:val="subscript"/>
        </w:rPr>
        <w:t>b</w:t>
      </w:r>
      <w:r w:rsidRPr="002B55E9">
        <w:rPr>
          <w:bCs/>
          <w:snapToGrid w:val="0"/>
          <w:sz w:val="24"/>
        </w:rPr>
        <w:t>)/H</w:t>
      </w:r>
      <w:r w:rsidRPr="002B55E9">
        <w:rPr>
          <w:bCs/>
          <w:snapToGrid w:val="0"/>
          <w:sz w:val="24"/>
          <w:vertAlign w:val="subscript"/>
        </w:rPr>
        <w:t>v</w:t>
      </w:r>
    </w:p>
    <w:p w14:paraId="34C40EE3"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式中：</w:t>
      </w:r>
      <w:r w:rsidRPr="002B55E9">
        <w:rPr>
          <w:bCs/>
          <w:snapToGrid w:val="0"/>
          <w:sz w:val="24"/>
        </w:rPr>
        <w:t>F</w:t>
      </w:r>
      <w:r w:rsidRPr="002B55E9">
        <w:rPr>
          <w:bCs/>
          <w:snapToGrid w:val="0"/>
          <w:sz w:val="24"/>
          <w:vertAlign w:val="subscript"/>
        </w:rPr>
        <w:t>v</w:t>
      </w:r>
      <w:r w:rsidRPr="002B55E9">
        <w:rPr>
          <w:bCs/>
          <w:snapToGrid w:val="0"/>
          <w:sz w:val="24"/>
        </w:rPr>
        <w:t xml:space="preserve"> ——</w:t>
      </w:r>
      <w:r w:rsidRPr="002B55E9">
        <w:rPr>
          <w:bCs/>
          <w:snapToGrid w:val="0"/>
          <w:sz w:val="24"/>
        </w:rPr>
        <w:t>蒸发的液体占液体总量的比例；</w:t>
      </w:r>
    </w:p>
    <w:p w14:paraId="607BD8BB"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T</w:t>
      </w:r>
      <w:r w:rsidRPr="002B55E9">
        <w:rPr>
          <w:bCs/>
          <w:snapToGrid w:val="0"/>
          <w:sz w:val="24"/>
        </w:rPr>
        <w:t>——</w:t>
      </w:r>
      <w:r w:rsidRPr="002B55E9">
        <w:rPr>
          <w:rFonts w:hint="eastAsia"/>
          <w:bCs/>
          <w:snapToGrid w:val="0"/>
          <w:sz w:val="24"/>
        </w:rPr>
        <w:t>储存温度</w:t>
      </w:r>
      <w:r w:rsidRPr="002B55E9">
        <w:rPr>
          <w:bCs/>
          <w:snapToGrid w:val="0"/>
          <w:sz w:val="24"/>
        </w:rPr>
        <w:t>，</w:t>
      </w:r>
      <w:r w:rsidRPr="002B55E9">
        <w:rPr>
          <w:bCs/>
          <w:snapToGrid w:val="0"/>
          <w:sz w:val="24"/>
        </w:rPr>
        <w:t>K</w:t>
      </w:r>
      <w:r w:rsidRPr="002B55E9">
        <w:rPr>
          <w:bCs/>
          <w:snapToGrid w:val="0"/>
          <w:sz w:val="24"/>
        </w:rPr>
        <w:t>；</w:t>
      </w:r>
    </w:p>
    <w:p w14:paraId="0A36559A"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b</w:t>
      </w:r>
      <w:r w:rsidRPr="002B55E9">
        <w:rPr>
          <w:bCs/>
          <w:snapToGrid w:val="0"/>
          <w:sz w:val="24"/>
        </w:rPr>
        <w:t>——</w:t>
      </w:r>
      <w:r w:rsidRPr="002B55E9">
        <w:rPr>
          <w:bCs/>
          <w:snapToGrid w:val="0"/>
          <w:sz w:val="24"/>
        </w:rPr>
        <w:t>液体在常压下的沸点，</w:t>
      </w:r>
      <w:r w:rsidRPr="002B55E9">
        <w:rPr>
          <w:bCs/>
          <w:snapToGrid w:val="0"/>
          <w:sz w:val="24"/>
        </w:rPr>
        <w:t>K</w:t>
      </w:r>
      <w:r w:rsidRPr="002B55E9">
        <w:rPr>
          <w:bCs/>
          <w:snapToGrid w:val="0"/>
          <w:sz w:val="24"/>
        </w:rPr>
        <w:t>；</w:t>
      </w:r>
    </w:p>
    <w:p w14:paraId="617EBC5A"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lastRenderedPageBreak/>
        <w:t>H</w:t>
      </w:r>
      <w:r w:rsidRPr="002B55E9">
        <w:rPr>
          <w:bCs/>
          <w:snapToGrid w:val="0"/>
          <w:sz w:val="24"/>
          <w:vertAlign w:val="subscript"/>
        </w:rPr>
        <w:t>v</w:t>
      </w:r>
      <w:r w:rsidRPr="002B55E9">
        <w:rPr>
          <w:bCs/>
          <w:snapToGrid w:val="0"/>
          <w:sz w:val="24"/>
        </w:rPr>
        <w:t xml:space="preserve"> ——</w:t>
      </w:r>
      <w:r w:rsidRPr="002B55E9">
        <w:rPr>
          <w:rFonts w:hint="eastAsia"/>
          <w:bCs/>
          <w:snapToGrid w:val="0"/>
          <w:sz w:val="24"/>
        </w:rPr>
        <w:t>泄漏</w:t>
      </w:r>
      <w:r w:rsidRPr="002B55E9">
        <w:rPr>
          <w:bCs/>
          <w:snapToGrid w:val="0"/>
          <w:sz w:val="24"/>
        </w:rPr>
        <w:t>液体的</w:t>
      </w:r>
      <w:r w:rsidRPr="002B55E9">
        <w:rPr>
          <w:rFonts w:hint="eastAsia"/>
          <w:bCs/>
          <w:snapToGrid w:val="0"/>
          <w:sz w:val="24"/>
        </w:rPr>
        <w:t>蒸发热</w:t>
      </w:r>
      <w:r w:rsidRPr="002B55E9">
        <w:rPr>
          <w:bCs/>
          <w:snapToGrid w:val="0"/>
          <w:sz w:val="24"/>
        </w:rPr>
        <w:t>，</w:t>
      </w:r>
      <w:r w:rsidRPr="002B55E9">
        <w:rPr>
          <w:bCs/>
          <w:snapToGrid w:val="0"/>
          <w:sz w:val="24"/>
        </w:rPr>
        <w:t>J/kg</w:t>
      </w:r>
      <w:r w:rsidRPr="002B55E9">
        <w:rPr>
          <w:bCs/>
          <w:snapToGrid w:val="0"/>
          <w:sz w:val="24"/>
        </w:rPr>
        <w:t>；</w:t>
      </w:r>
    </w:p>
    <w:p w14:paraId="560CA681"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C</w:t>
      </w:r>
      <w:r w:rsidRPr="002B55E9">
        <w:rPr>
          <w:bCs/>
          <w:snapToGrid w:val="0"/>
          <w:sz w:val="24"/>
          <w:vertAlign w:val="subscript"/>
        </w:rPr>
        <w:t>p</w:t>
      </w:r>
      <w:r w:rsidRPr="002B55E9">
        <w:rPr>
          <w:bCs/>
          <w:snapToGrid w:val="0"/>
          <w:sz w:val="24"/>
        </w:rPr>
        <w:t>——</w:t>
      </w:r>
      <w:r w:rsidRPr="002B55E9">
        <w:rPr>
          <w:rFonts w:hint="eastAsia"/>
          <w:bCs/>
          <w:snapToGrid w:val="0"/>
          <w:sz w:val="24"/>
        </w:rPr>
        <w:t>泄漏</w:t>
      </w:r>
      <w:r w:rsidRPr="002B55E9">
        <w:rPr>
          <w:bCs/>
          <w:snapToGrid w:val="0"/>
          <w:sz w:val="24"/>
        </w:rPr>
        <w:t>液体的定压比热</w:t>
      </w:r>
      <w:r w:rsidRPr="002B55E9">
        <w:rPr>
          <w:rFonts w:hint="eastAsia"/>
          <w:bCs/>
          <w:snapToGrid w:val="0"/>
          <w:sz w:val="24"/>
        </w:rPr>
        <w:t>容</w:t>
      </w:r>
      <w:r w:rsidRPr="002B55E9">
        <w:rPr>
          <w:bCs/>
          <w:snapToGrid w:val="0"/>
          <w:sz w:val="24"/>
        </w:rPr>
        <w:t>，</w:t>
      </w:r>
      <w:r w:rsidRPr="002B55E9">
        <w:rPr>
          <w:bCs/>
          <w:snapToGrid w:val="0"/>
          <w:sz w:val="24"/>
        </w:rPr>
        <w:t>J/(kg•K)</w:t>
      </w:r>
      <w:r w:rsidRPr="002B55E9">
        <w:rPr>
          <w:bCs/>
          <w:snapToGrid w:val="0"/>
          <w:sz w:val="24"/>
        </w:rPr>
        <w:t>；</w:t>
      </w:r>
    </w:p>
    <w:p w14:paraId="3E5C8C9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Q1——</w:t>
      </w:r>
      <w:r w:rsidRPr="002B55E9">
        <w:rPr>
          <w:bCs/>
          <w:snapToGrid w:val="0"/>
          <w:sz w:val="24"/>
        </w:rPr>
        <w:t>过热液体闪蒸</w:t>
      </w:r>
      <w:r w:rsidRPr="002B55E9">
        <w:rPr>
          <w:rFonts w:hint="eastAsia"/>
          <w:bCs/>
          <w:snapToGrid w:val="0"/>
          <w:sz w:val="24"/>
        </w:rPr>
        <w:t>蒸发速率</w:t>
      </w:r>
      <w:r w:rsidRPr="002B55E9">
        <w:rPr>
          <w:bCs/>
          <w:snapToGrid w:val="0"/>
          <w:sz w:val="24"/>
        </w:rPr>
        <w:t>，</w:t>
      </w:r>
      <w:r w:rsidRPr="002B55E9">
        <w:rPr>
          <w:bCs/>
          <w:snapToGrid w:val="0"/>
          <w:sz w:val="24"/>
        </w:rPr>
        <w:t>kg/s</w:t>
      </w:r>
      <w:r w:rsidRPr="002B55E9">
        <w:rPr>
          <w:bCs/>
          <w:snapToGrid w:val="0"/>
          <w:sz w:val="24"/>
        </w:rPr>
        <w:t>；</w:t>
      </w:r>
    </w:p>
    <w:p w14:paraId="7F8A3BA4"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L</w:t>
      </w:r>
      <w:r w:rsidRPr="002B55E9">
        <w:rPr>
          <w:bCs/>
          <w:snapToGrid w:val="0"/>
          <w:sz w:val="24"/>
        </w:rPr>
        <w:t>——</w:t>
      </w:r>
      <w:r w:rsidRPr="002B55E9">
        <w:rPr>
          <w:rFonts w:hint="eastAsia"/>
          <w:bCs/>
          <w:snapToGrid w:val="0"/>
          <w:sz w:val="24"/>
        </w:rPr>
        <w:t>物质泄漏速率</w:t>
      </w:r>
      <w:r w:rsidRPr="002B55E9">
        <w:rPr>
          <w:bCs/>
          <w:snapToGrid w:val="0"/>
          <w:sz w:val="24"/>
        </w:rPr>
        <w:t>，</w:t>
      </w:r>
      <w:r w:rsidRPr="002B55E9">
        <w:rPr>
          <w:bCs/>
          <w:snapToGrid w:val="0"/>
          <w:sz w:val="24"/>
        </w:rPr>
        <w:t>kg/s</w:t>
      </w:r>
      <w:r w:rsidRPr="002B55E9">
        <w:rPr>
          <w:rFonts w:hint="eastAsia"/>
          <w:bCs/>
          <w:snapToGrid w:val="0"/>
          <w:sz w:val="24"/>
        </w:rPr>
        <w:t>。</w:t>
      </w:r>
    </w:p>
    <w:p w14:paraId="751F0B05" w14:textId="77777777" w:rsidR="00D170E5" w:rsidRPr="002B55E9" w:rsidRDefault="00EF27AD">
      <w:pPr>
        <w:widowControl/>
        <w:spacing w:after="60" w:line="360" w:lineRule="auto"/>
        <w:ind w:firstLineChars="200" w:firstLine="480"/>
        <w:rPr>
          <w:bCs/>
          <w:snapToGrid w:val="0"/>
          <w:sz w:val="24"/>
        </w:rPr>
      </w:pPr>
      <w:r w:rsidRPr="002B55E9">
        <w:rPr>
          <w:rFonts w:ascii="宋体" w:hAnsi="宋体" w:cs="宋体" w:hint="eastAsia"/>
          <w:bCs/>
          <w:snapToGrid w:val="0"/>
          <w:sz w:val="24"/>
        </w:rPr>
        <w:t>②</w:t>
      </w:r>
      <w:r w:rsidRPr="002B55E9">
        <w:rPr>
          <w:bCs/>
          <w:snapToGrid w:val="0"/>
          <w:sz w:val="24"/>
        </w:rPr>
        <w:t>热量蒸发估算</w:t>
      </w:r>
    </w:p>
    <w:p w14:paraId="42F6B62D"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当液体闪蒸不完全，有一部分液体在地面形成液池，并吸收地面热量而</w:t>
      </w:r>
      <w:r w:rsidRPr="002B55E9">
        <w:rPr>
          <w:rFonts w:hint="eastAsia"/>
          <w:bCs/>
          <w:snapToGrid w:val="0"/>
          <w:sz w:val="24"/>
        </w:rPr>
        <w:t>汽化</w:t>
      </w:r>
      <w:r w:rsidRPr="002B55E9">
        <w:rPr>
          <w:bCs/>
          <w:snapToGrid w:val="0"/>
          <w:sz w:val="24"/>
        </w:rPr>
        <w:t>称为热量蒸发。热量蒸发的蒸发速度</w:t>
      </w:r>
      <w:r w:rsidRPr="002B55E9">
        <w:rPr>
          <w:bCs/>
          <w:snapToGrid w:val="0"/>
          <w:sz w:val="24"/>
        </w:rPr>
        <w:t>Q</w:t>
      </w:r>
      <w:r w:rsidRPr="002B55E9">
        <w:rPr>
          <w:bCs/>
          <w:snapToGrid w:val="0"/>
          <w:sz w:val="24"/>
          <w:vertAlign w:val="subscript"/>
        </w:rPr>
        <w:t>2</w:t>
      </w:r>
      <w:r w:rsidRPr="002B55E9">
        <w:rPr>
          <w:bCs/>
          <w:snapToGrid w:val="0"/>
          <w:sz w:val="24"/>
        </w:rPr>
        <w:t>按下式计算：</w:t>
      </w:r>
    </w:p>
    <w:p w14:paraId="0DB7C3D4" w14:textId="77777777" w:rsidR="00D170E5" w:rsidRPr="002B55E9" w:rsidRDefault="00EF27AD">
      <w:pPr>
        <w:widowControl/>
        <w:spacing w:after="60" w:line="360" w:lineRule="auto"/>
        <w:ind w:firstLineChars="200" w:firstLine="480"/>
        <w:jc w:val="center"/>
        <w:rPr>
          <w:bCs/>
          <w:snapToGrid w:val="0"/>
          <w:sz w:val="24"/>
        </w:rPr>
      </w:pPr>
      <w:r w:rsidRPr="002B55E9">
        <w:rPr>
          <w:bCs/>
          <w:snapToGrid w:val="0"/>
          <w:sz w:val="24"/>
        </w:rPr>
        <w:object w:dxaOrig="2191" w:dyaOrig="764" w14:anchorId="5D435F53">
          <v:shape id="_x0000_i1033" type="#_x0000_t75" style="width:109.65pt;height:38.5pt" o:ole="">
            <v:imagedata r:id="rId88" o:title=""/>
          </v:shape>
          <o:OLEObject Type="Embed" ProgID="Equation.3" ShapeID="_x0000_i1033" DrawAspect="Content" ObjectID="_1732338928" r:id="rId89"/>
        </w:object>
      </w:r>
    </w:p>
    <w:p w14:paraId="5DE04992"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式中：</w:t>
      </w:r>
      <w:r w:rsidRPr="002B55E9">
        <w:rPr>
          <w:bCs/>
          <w:snapToGrid w:val="0"/>
          <w:sz w:val="24"/>
        </w:rPr>
        <w:t>Q</w:t>
      </w:r>
      <w:r w:rsidRPr="002B55E9">
        <w:rPr>
          <w:bCs/>
          <w:snapToGrid w:val="0"/>
          <w:sz w:val="24"/>
          <w:vertAlign w:val="subscript"/>
        </w:rPr>
        <w:t>2</w:t>
      </w:r>
      <w:r w:rsidRPr="002B55E9">
        <w:rPr>
          <w:bCs/>
          <w:snapToGrid w:val="0"/>
          <w:sz w:val="24"/>
        </w:rPr>
        <w:t>——</w:t>
      </w:r>
      <w:r w:rsidRPr="002B55E9">
        <w:rPr>
          <w:bCs/>
          <w:snapToGrid w:val="0"/>
          <w:sz w:val="24"/>
        </w:rPr>
        <w:t>热量蒸发速度，</w:t>
      </w:r>
      <w:r w:rsidRPr="002B55E9">
        <w:rPr>
          <w:bCs/>
          <w:snapToGrid w:val="0"/>
          <w:sz w:val="24"/>
        </w:rPr>
        <w:t>kg/s</w:t>
      </w:r>
      <w:r w:rsidRPr="002B55E9">
        <w:rPr>
          <w:bCs/>
          <w:snapToGrid w:val="0"/>
          <w:sz w:val="24"/>
        </w:rPr>
        <w:t>；</w:t>
      </w:r>
    </w:p>
    <w:p w14:paraId="007350AB"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0</w:t>
      </w:r>
      <w:r w:rsidRPr="002B55E9">
        <w:rPr>
          <w:bCs/>
          <w:snapToGrid w:val="0"/>
          <w:sz w:val="24"/>
        </w:rPr>
        <w:t>——</w:t>
      </w:r>
      <w:r w:rsidRPr="002B55E9">
        <w:rPr>
          <w:bCs/>
          <w:snapToGrid w:val="0"/>
          <w:sz w:val="24"/>
        </w:rPr>
        <w:t>环境温度，</w:t>
      </w:r>
      <w:r w:rsidRPr="002B55E9">
        <w:rPr>
          <w:bCs/>
          <w:snapToGrid w:val="0"/>
          <w:sz w:val="24"/>
        </w:rPr>
        <w:t>K</w:t>
      </w:r>
      <w:r w:rsidRPr="002B55E9">
        <w:rPr>
          <w:bCs/>
          <w:snapToGrid w:val="0"/>
          <w:sz w:val="24"/>
        </w:rPr>
        <w:t>；</w:t>
      </w:r>
    </w:p>
    <w:p w14:paraId="62EA4F70"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b</w:t>
      </w:r>
      <w:r w:rsidRPr="002B55E9">
        <w:rPr>
          <w:bCs/>
          <w:snapToGrid w:val="0"/>
          <w:sz w:val="24"/>
        </w:rPr>
        <w:t>——</w:t>
      </w:r>
      <w:r w:rsidRPr="002B55E9">
        <w:rPr>
          <w:rFonts w:hint="eastAsia"/>
          <w:bCs/>
          <w:snapToGrid w:val="0"/>
          <w:sz w:val="24"/>
        </w:rPr>
        <w:t>泄漏液体</w:t>
      </w:r>
      <w:r w:rsidRPr="002B55E9">
        <w:rPr>
          <w:bCs/>
          <w:snapToGrid w:val="0"/>
          <w:sz w:val="24"/>
        </w:rPr>
        <w:t>沸点；</w:t>
      </w:r>
      <w:r w:rsidRPr="002B55E9">
        <w:rPr>
          <w:bCs/>
          <w:snapToGrid w:val="0"/>
          <w:sz w:val="24"/>
        </w:rPr>
        <w:t>K</w:t>
      </w:r>
      <w:r w:rsidRPr="002B55E9">
        <w:rPr>
          <w:bCs/>
          <w:snapToGrid w:val="0"/>
          <w:sz w:val="24"/>
        </w:rPr>
        <w:t>；</w:t>
      </w:r>
    </w:p>
    <w:p w14:paraId="51F6790B"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S ——</w:t>
      </w:r>
      <w:r w:rsidRPr="002B55E9">
        <w:rPr>
          <w:bCs/>
          <w:snapToGrid w:val="0"/>
          <w:sz w:val="24"/>
        </w:rPr>
        <w:t>液池面积，</w:t>
      </w:r>
      <w:r w:rsidRPr="002B55E9">
        <w:rPr>
          <w:bCs/>
          <w:snapToGrid w:val="0"/>
          <w:sz w:val="24"/>
        </w:rPr>
        <w:t>m</w:t>
      </w:r>
      <w:r w:rsidRPr="002B55E9">
        <w:rPr>
          <w:bCs/>
          <w:snapToGrid w:val="0"/>
          <w:sz w:val="24"/>
          <w:vertAlign w:val="superscript"/>
        </w:rPr>
        <w:t>2</w:t>
      </w:r>
      <w:r w:rsidRPr="002B55E9">
        <w:rPr>
          <w:bCs/>
          <w:snapToGrid w:val="0"/>
          <w:sz w:val="24"/>
        </w:rPr>
        <w:t>；</w:t>
      </w:r>
    </w:p>
    <w:p w14:paraId="778E7BE0"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H——</w:t>
      </w:r>
      <w:r w:rsidRPr="002B55E9">
        <w:rPr>
          <w:bCs/>
          <w:snapToGrid w:val="0"/>
          <w:sz w:val="24"/>
        </w:rPr>
        <w:t>液体</w:t>
      </w:r>
      <w:r w:rsidRPr="002B55E9">
        <w:rPr>
          <w:rFonts w:hint="eastAsia"/>
          <w:bCs/>
          <w:snapToGrid w:val="0"/>
          <w:sz w:val="24"/>
        </w:rPr>
        <w:t>汽</w:t>
      </w:r>
      <w:r w:rsidRPr="002B55E9">
        <w:rPr>
          <w:bCs/>
          <w:snapToGrid w:val="0"/>
          <w:sz w:val="24"/>
        </w:rPr>
        <w:t>化热，</w:t>
      </w:r>
      <w:r w:rsidRPr="002B55E9">
        <w:rPr>
          <w:bCs/>
          <w:snapToGrid w:val="0"/>
          <w:sz w:val="24"/>
        </w:rPr>
        <w:t>J/kg</w:t>
      </w:r>
      <w:r w:rsidRPr="002B55E9">
        <w:rPr>
          <w:bCs/>
          <w:snapToGrid w:val="0"/>
          <w:sz w:val="24"/>
        </w:rPr>
        <w:t>；</w:t>
      </w:r>
    </w:p>
    <w:p w14:paraId="30333B42"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λ——</w:t>
      </w:r>
      <w:r w:rsidRPr="002B55E9">
        <w:rPr>
          <w:bCs/>
          <w:snapToGrid w:val="0"/>
          <w:sz w:val="24"/>
        </w:rPr>
        <w:t>表面热导系数，</w:t>
      </w:r>
      <w:r w:rsidRPr="002B55E9">
        <w:rPr>
          <w:bCs/>
          <w:snapToGrid w:val="0"/>
          <w:sz w:val="24"/>
        </w:rPr>
        <w:t>W/m•K</w:t>
      </w:r>
      <w:r w:rsidRPr="002B55E9">
        <w:rPr>
          <w:bCs/>
          <w:snapToGrid w:val="0"/>
          <w:sz w:val="24"/>
        </w:rPr>
        <w:t>；</w:t>
      </w:r>
    </w:p>
    <w:p w14:paraId="3875289F"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α——</w:t>
      </w:r>
      <w:r w:rsidRPr="002B55E9">
        <w:rPr>
          <w:bCs/>
          <w:snapToGrid w:val="0"/>
          <w:sz w:val="24"/>
        </w:rPr>
        <w:t>表面热扩散系数，</w:t>
      </w:r>
      <w:r w:rsidRPr="002B55E9">
        <w:rPr>
          <w:bCs/>
          <w:snapToGrid w:val="0"/>
          <w:sz w:val="24"/>
        </w:rPr>
        <w:t>m</w:t>
      </w:r>
      <w:r w:rsidRPr="002B55E9">
        <w:rPr>
          <w:bCs/>
          <w:snapToGrid w:val="0"/>
          <w:sz w:val="24"/>
          <w:vertAlign w:val="superscript"/>
        </w:rPr>
        <w:t>2</w:t>
      </w:r>
      <w:r w:rsidRPr="002B55E9">
        <w:rPr>
          <w:bCs/>
          <w:snapToGrid w:val="0"/>
          <w:sz w:val="24"/>
        </w:rPr>
        <w:t>/s</w:t>
      </w:r>
      <w:r w:rsidRPr="002B55E9">
        <w:rPr>
          <w:bCs/>
          <w:snapToGrid w:val="0"/>
          <w:sz w:val="24"/>
        </w:rPr>
        <w:t>；</w:t>
      </w:r>
    </w:p>
    <w:p w14:paraId="01A426D8"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rPr>
        <w:t>蒸发时间，</w:t>
      </w:r>
      <w:r w:rsidRPr="002B55E9">
        <w:rPr>
          <w:bCs/>
          <w:snapToGrid w:val="0"/>
          <w:sz w:val="24"/>
        </w:rPr>
        <w:t>s</w:t>
      </w:r>
      <w:r w:rsidRPr="002B55E9">
        <w:rPr>
          <w:bCs/>
          <w:snapToGrid w:val="0"/>
          <w:sz w:val="24"/>
        </w:rPr>
        <w:t>。</w:t>
      </w:r>
    </w:p>
    <w:p w14:paraId="1172E019" w14:textId="77777777" w:rsidR="00D170E5" w:rsidRPr="002B55E9" w:rsidRDefault="00EF27AD">
      <w:pPr>
        <w:ind w:firstLine="482"/>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w:t>
      </w:r>
      <w:r w:rsidRPr="002B55E9">
        <w:rPr>
          <w:rFonts w:eastAsia="黑体"/>
          <w:b/>
          <w:sz w:val="24"/>
        </w:rPr>
        <w:t>5</w:t>
      </w:r>
      <w:r w:rsidRPr="002B55E9">
        <w:rPr>
          <w:rFonts w:eastAsia="黑体" w:hint="eastAsia"/>
          <w:b/>
          <w:sz w:val="24"/>
        </w:rPr>
        <w:t>-</w:t>
      </w:r>
      <w:r w:rsidRPr="002B55E9">
        <w:rPr>
          <w:rFonts w:eastAsia="黑体"/>
          <w:b/>
          <w:sz w:val="24"/>
        </w:rPr>
        <w:t>2</w:t>
      </w:r>
      <w:r w:rsidRPr="002B55E9">
        <w:rPr>
          <w:rFonts w:eastAsia="黑体" w:hint="eastAsia"/>
          <w:b/>
          <w:sz w:val="24"/>
        </w:rPr>
        <w:t>某些地面的</w:t>
      </w:r>
      <w:r w:rsidRPr="002B55E9">
        <w:rPr>
          <w:rFonts w:eastAsia="黑体"/>
          <w:b/>
          <w:sz w:val="24"/>
        </w:rPr>
        <w:t>热传递</w:t>
      </w:r>
      <w:r w:rsidRPr="002B55E9">
        <w:rPr>
          <w:rFonts w:eastAsia="黑体" w:hint="eastAsia"/>
          <w:b/>
          <w:sz w:val="24"/>
        </w:rPr>
        <w:t>性质</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086"/>
        <w:gridCol w:w="2861"/>
        <w:gridCol w:w="2690"/>
      </w:tblGrid>
      <w:tr w:rsidR="00C60999" w:rsidRPr="002B55E9" w14:paraId="6AF5FE07" w14:textId="77777777">
        <w:trPr>
          <w:trHeight w:val="284"/>
        </w:trPr>
        <w:tc>
          <w:tcPr>
            <w:tcW w:w="4086" w:type="dxa"/>
            <w:tcBorders>
              <w:top w:val="single" w:sz="12" w:space="0" w:color="auto"/>
              <w:bottom w:val="single" w:sz="12" w:space="0" w:color="auto"/>
            </w:tcBorders>
            <w:vAlign w:val="center"/>
          </w:tcPr>
          <w:p w14:paraId="7F0BD853" w14:textId="77777777" w:rsidR="00D170E5" w:rsidRPr="002B55E9" w:rsidRDefault="00EF27AD">
            <w:pPr>
              <w:pStyle w:val="affffffffffffffffff6"/>
              <w:ind w:left="-40" w:right="-40"/>
            </w:pPr>
            <w:r w:rsidRPr="002B55E9">
              <w:rPr>
                <w:rFonts w:hint="eastAsia"/>
              </w:rPr>
              <w:t>地面情况</w:t>
            </w:r>
          </w:p>
        </w:tc>
        <w:tc>
          <w:tcPr>
            <w:tcW w:w="2861" w:type="dxa"/>
            <w:tcBorders>
              <w:top w:val="single" w:sz="12" w:space="0" w:color="auto"/>
              <w:bottom w:val="single" w:sz="12" w:space="0" w:color="auto"/>
            </w:tcBorders>
            <w:vAlign w:val="center"/>
          </w:tcPr>
          <w:p w14:paraId="0476EB2B" w14:textId="77777777" w:rsidR="00D170E5" w:rsidRPr="002B55E9" w:rsidRDefault="00EF27AD">
            <w:pPr>
              <w:pStyle w:val="affffffffffffffffff6"/>
              <w:ind w:left="-40" w:right="-40"/>
            </w:pPr>
            <w:r w:rsidRPr="002B55E9">
              <w:t>λ/</w:t>
            </w:r>
            <w:r w:rsidRPr="002B55E9">
              <w:rPr>
                <w:rFonts w:hint="eastAsia"/>
              </w:rPr>
              <w:t>[</w:t>
            </w:r>
            <w:r w:rsidRPr="002B55E9">
              <w:t>W/(m•k</w:t>
            </w:r>
            <w:r w:rsidRPr="002B55E9">
              <w:rPr>
                <w:rFonts w:hint="eastAsia"/>
              </w:rPr>
              <w:t>)]</w:t>
            </w:r>
          </w:p>
        </w:tc>
        <w:tc>
          <w:tcPr>
            <w:tcW w:w="2690" w:type="dxa"/>
            <w:tcBorders>
              <w:top w:val="single" w:sz="12" w:space="0" w:color="auto"/>
              <w:bottom w:val="single" w:sz="12" w:space="0" w:color="auto"/>
            </w:tcBorders>
            <w:vAlign w:val="center"/>
          </w:tcPr>
          <w:p w14:paraId="612887FE" w14:textId="77777777" w:rsidR="00D170E5" w:rsidRPr="002B55E9" w:rsidRDefault="00EF27AD">
            <w:pPr>
              <w:pStyle w:val="affffffffffffffffff6"/>
              <w:ind w:left="-40" w:right="-40"/>
            </w:pPr>
            <w:r w:rsidRPr="002B55E9">
              <w:t>α/</w:t>
            </w:r>
            <w:r w:rsidRPr="002B55E9">
              <w:rPr>
                <w:rFonts w:hint="eastAsia"/>
              </w:rPr>
              <w:t>（</w:t>
            </w:r>
            <w:r w:rsidRPr="002B55E9">
              <w:t>m2/s</w:t>
            </w:r>
            <w:r w:rsidRPr="002B55E9">
              <w:rPr>
                <w:rFonts w:hint="eastAsia"/>
              </w:rPr>
              <w:t>）</w:t>
            </w:r>
          </w:p>
        </w:tc>
      </w:tr>
      <w:tr w:rsidR="00C60999" w:rsidRPr="002B55E9" w14:paraId="55ED7D0B" w14:textId="77777777">
        <w:trPr>
          <w:trHeight w:val="284"/>
        </w:trPr>
        <w:tc>
          <w:tcPr>
            <w:tcW w:w="4086" w:type="dxa"/>
            <w:tcBorders>
              <w:top w:val="single" w:sz="12" w:space="0" w:color="auto"/>
            </w:tcBorders>
            <w:vAlign w:val="center"/>
          </w:tcPr>
          <w:p w14:paraId="7A1F3BD0" w14:textId="77777777" w:rsidR="00D170E5" w:rsidRPr="002B55E9" w:rsidRDefault="00EF27AD">
            <w:pPr>
              <w:pStyle w:val="affffffffffffffffff6"/>
              <w:ind w:left="-40" w:right="-40"/>
            </w:pPr>
            <w:r w:rsidRPr="002B55E9">
              <w:rPr>
                <w:rFonts w:hint="eastAsia"/>
              </w:rPr>
              <w:t>水泥</w:t>
            </w:r>
          </w:p>
        </w:tc>
        <w:tc>
          <w:tcPr>
            <w:tcW w:w="2861" w:type="dxa"/>
            <w:tcBorders>
              <w:top w:val="single" w:sz="12" w:space="0" w:color="auto"/>
            </w:tcBorders>
            <w:vAlign w:val="center"/>
          </w:tcPr>
          <w:p w14:paraId="1B46A2B6" w14:textId="77777777" w:rsidR="00D170E5" w:rsidRPr="002B55E9" w:rsidRDefault="00EF27AD">
            <w:pPr>
              <w:pStyle w:val="affffffffffffffffff6"/>
              <w:ind w:left="-40" w:right="-40"/>
            </w:pPr>
            <w:r w:rsidRPr="002B55E9">
              <w:rPr>
                <w:rFonts w:hint="eastAsia"/>
              </w:rPr>
              <w:t>1.1</w:t>
            </w:r>
          </w:p>
        </w:tc>
        <w:tc>
          <w:tcPr>
            <w:tcW w:w="2690" w:type="dxa"/>
            <w:tcBorders>
              <w:top w:val="single" w:sz="12" w:space="0" w:color="auto"/>
            </w:tcBorders>
            <w:vAlign w:val="center"/>
          </w:tcPr>
          <w:p w14:paraId="7FDCD53D" w14:textId="77777777" w:rsidR="00D170E5" w:rsidRPr="002B55E9" w:rsidRDefault="00EF27AD">
            <w:pPr>
              <w:pStyle w:val="affffffffffffffffff6"/>
              <w:ind w:left="-40" w:right="-40"/>
            </w:pPr>
            <w:r w:rsidRPr="002B55E9">
              <w:t>1.29×10-7</w:t>
            </w:r>
          </w:p>
        </w:tc>
      </w:tr>
      <w:tr w:rsidR="00C60999" w:rsidRPr="002B55E9" w14:paraId="0A4938AB" w14:textId="77777777">
        <w:trPr>
          <w:trHeight w:val="284"/>
        </w:trPr>
        <w:tc>
          <w:tcPr>
            <w:tcW w:w="4086" w:type="dxa"/>
            <w:vAlign w:val="center"/>
          </w:tcPr>
          <w:p w14:paraId="12E300D1" w14:textId="77777777" w:rsidR="00D170E5" w:rsidRPr="002B55E9" w:rsidRDefault="00EF27AD">
            <w:pPr>
              <w:pStyle w:val="affffffffffffffffff6"/>
              <w:ind w:left="-40" w:right="-40"/>
            </w:pPr>
            <w:r w:rsidRPr="002B55E9">
              <w:rPr>
                <w:rFonts w:hint="eastAsia"/>
              </w:rPr>
              <w:t>土地</w:t>
            </w:r>
            <w:r w:rsidRPr="002B55E9">
              <w:t>（</w:t>
            </w:r>
            <w:r w:rsidRPr="002B55E9">
              <w:rPr>
                <w:rFonts w:hint="eastAsia"/>
              </w:rPr>
              <w:t>含水</w:t>
            </w:r>
            <w:r w:rsidRPr="002B55E9">
              <w:rPr>
                <w:rFonts w:hint="eastAsia"/>
              </w:rPr>
              <w:t>8</w:t>
            </w:r>
            <w:r w:rsidRPr="002B55E9">
              <w:t>%</w:t>
            </w:r>
            <w:r w:rsidRPr="002B55E9">
              <w:t>）</w:t>
            </w:r>
          </w:p>
        </w:tc>
        <w:tc>
          <w:tcPr>
            <w:tcW w:w="2861" w:type="dxa"/>
            <w:vAlign w:val="center"/>
          </w:tcPr>
          <w:p w14:paraId="29A30208" w14:textId="77777777" w:rsidR="00D170E5" w:rsidRPr="002B55E9" w:rsidRDefault="00EF27AD">
            <w:pPr>
              <w:pStyle w:val="affffffffffffffffff6"/>
              <w:ind w:left="-40" w:right="-40"/>
            </w:pPr>
            <w:r w:rsidRPr="002B55E9">
              <w:rPr>
                <w:rFonts w:hint="eastAsia"/>
              </w:rPr>
              <w:t>0.9</w:t>
            </w:r>
          </w:p>
        </w:tc>
        <w:tc>
          <w:tcPr>
            <w:tcW w:w="2690" w:type="dxa"/>
          </w:tcPr>
          <w:p w14:paraId="6D91B7E8" w14:textId="77777777" w:rsidR="00D170E5" w:rsidRPr="002B55E9" w:rsidRDefault="00EF27AD">
            <w:pPr>
              <w:pStyle w:val="affffffffffffffffff6"/>
              <w:ind w:left="-40" w:right="-40"/>
            </w:pPr>
            <w:r w:rsidRPr="002B55E9">
              <w:t>4.3×10-7</w:t>
            </w:r>
          </w:p>
        </w:tc>
      </w:tr>
      <w:tr w:rsidR="00C60999" w:rsidRPr="002B55E9" w14:paraId="70FF785A" w14:textId="77777777">
        <w:trPr>
          <w:trHeight w:val="284"/>
        </w:trPr>
        <w:tc>
          <w:tcPr>
            <w:tcW w:w="4086" w:type="dxa"/>
            <w:vAlign w:val="center"/>
          </w:tcPr>
          <w:p w14:paraId="360FB57D" w14:textId="77777777" w:rsidR="00D170E5" w:rsidRPr="002B55E9" w:rsidRDefault="00EF27AD">
            <w:pPr>
              <w:pStyle w:val="affffffffffffffffff6"/>
              <w:ind w:left="-40" w:right="-40"/>
            </w:pPr>
            <w:r w:rsidRPr="002B55E9">
              <w:rPr>
                <w:rFonts w:hint="eastAsia"/>
              </w:rPr>
              <w:t>干涸土地</w:t>
            </w:r>
          </w:p>
        </w:tc>
        <w:tc>
          <w:tcPr>
            <w:tcW w:w="2861" w:type="dxa"/>
            <w:vAlign w:val="center"/>
          </w:tcPr>
          <w:p w14:paraId="13B24D30" w14:textId="77777777" w:rsidR="00D170E5" w:rsidRPr="002B55E9" w:rsidRDefault="00EF27AD">
            <w:pPr>
              <w:pStyle w:val="affffffffffffffffff6"/>
              <w:ind w:left="-40" w:right="-40"/>
            </w:pPr>
            <w:r w:rsidRPr="002B55E9">
              <w:rPr>
                <w:rFonts w:hint="eastAsia"/>
              </w:rPr>
              <w:t>0.3</w:t>
            </w:r>
          </w:p>
        </w:tc>
        <w:tc>
          <w:tcPr>
            <w:tcW w:w="2690" w:type="dxa"/>
          </w:tcPr>
          <w:p w14:paraId="3A47D692" w14:textId="77777777" w:rsidR="00D170E5" w:rsidRPr="002B55E9" w:rsidRDefault="00EF27AD">
            <w:pPr>
              <w:pStyle w:val="affffffffffffffffff6"/>
              <w:ind w:left="-40" w:right="-40"/>
            </w:pPr>
            <w:r w:rsidRPr="002B55E9">
              <w:t>2.3×10-7</w:t>
            </w:r>
          </w:p>
        </w:tc>
      </w:tr>
      <w:tr w:rsidR="00C60999" w:rsidRPr="002B55E9" w14:paraId="0F090BB3" w14:textId="77777777">
        <w:trPr>
          <w:trHeight w:val="284"/>
        </w:trPr>
        <w:tc>
          <w:tcPr>
            <w:tcW w:w="4086" w:type="dxa"/>
            <w:vAlign w:val="center"/>
          </w:tcPr>
          <w:p w14:paraId="13B90252" w14:textId="77777777" w:rsidR="00D170E5" w:rsidRPr="002B55E9" w:rsidRDefault="00EF27AD">
            <w:pPr>
              <w:pStyle w:val="affffffffffffffffff6"/>
              <w:ind w:left="-40" w:right="-40"/>
            </w:pPr>
            <w:r w:rsidRPr="002B55E9">
              <w:rPr>
                <w:rFonts w:hint="eastAsia"/>
              </w:rPr>
              <w:t>湿地</w:t>
            </w:r>
          </w:p>
        </w:tc>
        <w:tc>
          <w:tcPr>
            <w:tcW w:w="2861" w:type="dxa"/>
            <w:vAlign w:val="center"/>
          </w:tcPr>
          <w:p w14:paraId="3B9AAD60" w14:textId="77777777" w:rsidR="00D170E5" w:rsidRPr="002B55E9" w:rsidRDefault="00EF27AD">
            <w:pPr>
              <w:pStyle w:val="affffffffffffffffff6"/>
              <w:ind w:left="-40" w:right="-40"/>
            </w:pPr>
            <w:r w:rsidRPr="002B55E9">
              <w:rPr>
                <w:rFonts w:hint="eastAsia"/>
              </w:rPr>
              <w:t>0.6</w:t>
            </w:r>
          </w:p>
        </w:tc>
        <w:tc>
          <w:tcPr>
            <w:tcW w:w="2690" w:type="dxa"/>
          </w:tcPr>
          <w:p w14:paraId="37FA0E72" w14:textId="77777777" w:rsidR="00D170E5" w:rsidRPr="002B55E9" w:rsidRDefault="00EF27AD">
            <w:pPr>
              <w:pStyle w:val="affffffffffffffffff6"/>
              <w:ind w:left="-40" w:right="-40"/>
            </w:pPr>
            <w:r w:rsidRPr="002B55E9">
              <w:t>3.3×10-7</w:t>
            </w:r>
          </w:p>
        </w:tc>
      </w:tr>
      <w:tr w:rsidR="00C60999" w:rsidRPr="002B55E9" w14:paraId="22771980" w14:textId="77777777">
        <w:trPr>
          <w:trHeight w:val="284"/>
        </w:trPr>
        <w:tc>
          <w:tcPr>
            <w:tcW w:w="4086" w:type="dxa"/>
            <w:vAlign w:val="center"/>
          </w:tcPr>
          <w:p w14:paraId="69129529" w14:textId="77777777" w:rsidR="00D170E5" w:rsidRPr="002B55E9" w:rsidRDefault="00EF27AD">
            <w:pPr>
              <w:pStyle w:val="affffffffffffffffff6"/>
              <w:ind w:left="-40" w:right="-40"/>
            </w:pPr>
            <w:r w:rsidRPr="002B55E9">
              <w:rPr>
                <w:rFonts w:hint="eastAsia"/>
              </w:rPr>
              <w:t>砂砾</w:t>
            </w:r>
            <w:r w:rsidRPr="002B55E9">
              <w:t>地</w:t>
            </w:r>
          </w:p>
        </w:tc>
        <w:tc>
          <w:tcPr>
            <w:tcW w:w="2861" w:type="dxa"/>
            <w:vAlign w:val="center"/>
          </w:tcPr>
          <w:p w14:paraId="08F13C82" w14:textId="77777777" w:rsidR="00D170E5" w:rsidRPr="002B55E9" w:rsidRDefault="00EF27AD">
            <w:pPr>
              <w:pStyle w:val="affffffffffffffffff6"/>
              <w:ind w:left="-40" w:right="-40"/>
            </w:pPr>
            <w:r w:rsidRPr="002B55E9">
              <w:rPr>
                <w:rFonts w:hint="eastAsia"/>
              </w:rPr>
              <w:t>2.5</w:t>
            </w:r>
          </w:p>
        </w:tc>
        <w:tc>
          <w:tcPr>
            <w:tcW w:w="2690" w:type="dxa"/>
            <w:vAlign w:val="center"/>
          </w:tcPr>
          <w:p w14:paraId="29AB0F4F" w14:textId="77777777" w:rsidR="00D170E5" w:rsidRPr="002B55E9" w:rsidRDefault="00EF27AD">
            <w:pPr>
              <w:pStyle w:val="affffffffffffffffff6"/>
              <w:ind w:left="-40" w:right="-40"/>
            </w:pPr>
            <w:r w:rsidRPr="002B55E9">
              <w:t>11.0×10-7</w:t>
            </w:r>
          </w:p>
        </w:tc>
      </w:tr>
      <w:tr w:rsidR="00C60999" w:rsidRPr="002B55E9" w14:paraId="57B6E8E0" w14:textId="77777777">
        <w:trPr>
          <w:trHeight w:val="284"/>
        </w:trPr>
        <w:tc>
          <w:tcPr>
            <w:tcW w:w="9637" w:type="dxa"/>
            <w:gridSpan w:val="3"/>
            <w:vAlign w:val="center"/>
          </w:tcPr>
          <w:p w14:paraId="4E1A0822" w14:textId="77777777" w:rsidR="00D170E5" w:rsidRPr="002B55E9" w:rsidRDefault="00EF27AD">
            <w:pPr>
              <w:pStyle w:val="affffffffffffffffff6"/>
              <w:ind w:left="-40" w:right="-40"/>
              <w:jc w:val="left"/>
            </w:pPr>
            <w:r w:rsidRPr="002B55E9">
              <w:rPr>
                <w:rFonts w:hint="eastAsia"/>
              </w:rPr>
              <w:t>注</w:t>
            </w:r>
            <w:r w:rsidRPr="002B55E9">
              <w:t>：来源于《建设项目环境风险评价技术导则》（</w:t>
            </w:r>
            <w:r w:rsidRPr="002B55E9">
              <w:t>HJ 169-2018</w:t>
            </w:r>
            <w:r w:rsidRPr="002B55E9">
              <w:t>）</w:t>
            </w:r>
            <w:r w:rsidRPr="002B55E9">
              <w:rPr>
                <w:rFonts w:hint="eastAsia"/>
              </w:rPr>
              <w:t>附录</w:t>
            </w:r>
            <w:r w:rsidRPr="002B55E9">
              <w:rPr>
                <w:rFonts w:hint="eastAsia"/>
              </w:rPr>
              <w:t>F</w:t>
            </w:r>
            <w:r w:rsidRPr="002B55E9">
              <w:rPr>
                <w:rFonts w:hint="eastAsia"/>
              </w:rPr>
              <w:t>。</w:t>
            </w:r>
          </w:p>
        </w:tc>
      </w:tr>
    </w:tbl>
    <w:p w14:paraId="1F10C221" w14:textId="77777777" w:rsidR="00D170E5" w:rsidRPr="002B55E9" w:rsidRDefault="00EF27AD">
      <w:pPr>
        <w:widowControl/>
        <w:spacing w:after="60" w:line="360" w:lineRule="auto"/>
        <w:ind w:firstLineChars="200" w:firstLine="480"/>
        <w:rPr>
          <w:bCs/>
          <w:snapToGrid w:val="0"/>
          <w:sz w:val="24"/>
        </w:rPr>
      </w:pPr>
      <w:r w:rsidRPr="002B55E9">
        <w:rPr>
          <w:rFonts w:ascii="宋体" w:hAnsi="宋体" w:cs="宋体" w:hint="eastAsia"/>
          <w:bCs/>
          <w:snapToGrid w:val="0"/>
          <w:sz w:val="24"/>
        </w:rPr>
        <w:t>③</w:t>
      </w:r>
      <w:r w:rsidRPr="002B55E9">
        <w:rPr>
          <w:bCs/>
          <w:snapToGrid w:val="0"/>
          <w:sz w:val="24"/>
        </w:rPr>
        <w:t>质量蒸发估算</w:t>
      </w:r>
    </w:p>
    <w:p w14:paraId="60F41CEA"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当热量蒸发结束，转由液池表面气流运动使液体蒸发，称之为质量蒸发。质量蒸发速度</w:t>
      </w:r>
      <w:r w:rsidRPr="002B55E9">
        <w:rPr>
          <w:bCs/>
          <w:snapToGrid w:val="0"/>
          <w:sz w:val="24"/>
        </w:rPr>
        <w:t>Q</w:t>
      </w:r>
      <w:r w:rsidRPr="002B55E9">
        <w:rPr>
          <w:bCs/>
          <w:snapToGrid w:val="0"/>
          <w:sz w:val="24"/>
          <w:vertAlign w:val="subscript"/>
        </w:rPr>
        <w:t>3</w:t>
      </w:r>
      <w:r w:rsidRPr="002B55E9">
        <w:rPr>
          <w:bCs/>
          <w:snapToGrid w:val="0"/>
          <w:sz w:val="24"/>
        </w:rPr>
        <w:t>按下式计算：</w:t>
      </w:r>
    </w:p>
    <w:p w14:paraId="10062E4D" w14:textId="77777777" w:rsidR="00D170E5" w:rsidRPr="002B55E9" w:rsidRDefault="00EF27AD">
      <w:pPr>
        <w:widowControl/>
        <w:spacing w:after="60" w:line="360" w:lineRule="auto"/>
        <w:ind w:firstLineChars="200" w:firstLine="480"/>
        <w:jc w:val="center"/>
        <w:rPr>
          <w:bCs/>
          <w:snapToGrid w:val="0"/>
          <w:sz w:val="24"/>
        </w:rPr>
      </w:pPr>
      <w:r w:rsidRPr="002B55E9">
        <w:rPr>
          <w:bCs/>
          <w:snapToGrid w:val="0"/>
          <w:sz w:val="24"/>
        </w:rPr>
        <w:object w:dxaOrig="4595" w:dyaOrig="451" w14:anchorId="7CACE4E4">
          <v:shape id="_x0000_i1034" type="#_x0000_t75" style="width:230.25pt;height:22.6pt" o:ole="">
            <v:imagedata r:id="rId90" o:title=""/>
          </v:shape>
          <o:OLEObject Type="Embed" ProgID="Equation.3" ShapeID="_x0000_i1034" DrawAspect="Content" ObjectID="_1732338929" r:id="rId91"/>
        </w:object>
      </w:r>
    </w:p>
    <w:p w14:paraId="582B0C06"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式中：</w:t>
      </w:r>
    </w:p>
    <w:p w14:paraId="06792A09"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3</w:t>
      </w:r>
      <w:r w:rsidRPr="002B55E9">
        <w:rPr>
          <w:bCs/>
          <w:snapToGrid w:val="0"/>
          <w:sz w:val="24"/>
        </w:rPr>
        <w:t>——</w:t>
      </w:r>
      <w:r w:rsidRPr="002B55E9">
        <w:rPr>
          <w:bCs/>
          <w:snapToGrid w:val="0"/>
          <w:sz w:val="24"/>
        </w:rPr>
        <w:t>质量蒸发速度，</w:t>
      </w:r>
      <w:r w:rsidRPr="002B55E9">
        <w:rPr>
          <w:bCs/>
          <w:snapToGrid w:val="0"/>
          <w:sz w:val="24"/>
        </w:rPr>
        <w:t>kg/s</w:t>
      </w:r>
      <w:r w:rsidRPr="002B55E9">
        <w:rPr>
          <w:bCs/>
          <w:snapToGrid w:val="0"/>
          <w:sz w:val="24"/>
        </w:rPr>
        <w:t>；</w:t>
      </w:r>
    </w:p>
    <w:p w14:paraId="714E454D"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lastRenderedPageBreak/>
        <w:t>a,n——</w:t>
      </w:r>
      <w:r w:rsidRPr="002B55E9">
        <w:rPr>
          <w:bCs/>
          <w:snapToGrid w:val="0"/>
          <w:sz w:val="24"/>
        </w:rPr>
        <w:t>大气稳定度系数；</w:t>
      </w:r>
    </w:p>
    <w:p w14:paraId="62C5975A" w14:textId="77777777" w:rsidR="00D170E5" w:rsidRPr="002B55E9" w:rsidRDefault="00EF27AD">
      <w:pPr>
        <w:widowControl/>
        <w:spacing w:after="60"/>
        <w:ind w:firstLineChars="200" w:firstLine="480"/>
        <w:rPr>
          <w:bCs/>
          <w:snapToGrid w:val="0"/>
          <w:sz w:val="24"/>
        </w:rPr>
      </w:pPr>
      <w:r w:rsidRPr="002B55E9">
        <w:rPr>
          <w:bCs/>
          <w:snapToGrid w:val="0"/>
          <w:sz w:val="24"/>
        </w:rPr>
        <w:t>p——</w:t>
      </w:r>
      <w:r w:rsidRPr="002B55E9">
        <w:rPr>
          <w:bCs/>
          <w:snapToGrid w:val="0"/>
          <w:sz w:val="24"/>
        </w:rPr>
        <w:t>液体表面蒸气压</w:t>
      </w:r>
      <w:r w:rsidRPr="002B55E9">
        <w:rPr>
          <w:rFonts w:hint="eastAsia"/>
          <w:bCs/>
          <w:snapToGrid w:val="0"/>
          <w:sz w:val="24"/>
        </w:rPr>
        <w:t>，</w:t>
      </w:r>
      <w:r w:rsidRPr="002B55E9">
        <w:rPr>
          <w:rFonts w:hint="eastAsia"/>
          <w:bCs/>
          <w:snapToGrid w:val="0"/>
          <w:sz w:val="24"/>
        </w:rPr>
        <w:t>P</w:t>
      </w:r>
      <w:r w:rsidRPr="002B55E9">
        <w:rPr>
          <w:bCs/>
          <w:snapToGrid w:val="0"/>
          <w:sz w:val="24"/>
        </w:rPr>
        <w:t>a</w:t>
      </w:r>
      <w:r w:rsidRPr="002B55E9">
        <w:rPr>
          <w:bCs/>
          <w:snapToGrid w:val="0"/>
          <w:sz w:val="24"/>
        </w:rPr>
        <w:t>；</w:t>
      </w:r>
    </w:p>
    <w:p w14:paraId="514C459D"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R——</w:t>
      </w:r>
      <w:r w:rsidRPr="002B55E9">
        <w:rPr>
          <w:bCs/>
          <w:snapToGrid w:val="0"/>
          <w:sz w:val="24"/>
        </w:rPr>
        <w:t>气体常数；</w:t>
      </w:r>
      <w:r w:rsidRPr="002B55E9">
        <w:rPr>
          <w:bCs/>
          <w:snapToGrid w:val="0"/>
          <w:sz w:val="24"/>
        </w:rPr>
        <w:t>J/mol•K</w:t>
      </w:r>
      <w:r w:rsidRPr="002B55E9">
        <w:rPr>
          <w:bCs/>
          <w:snapToGrid w:val="0"/>
          <w:sz w:val="24"/>
        </w:rPr>
        <w:t>；</w:t>
      </w:r>
    </w:p>
    <w:p w14:paraId="761783C7"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0</w:t>
      </w:r>
      <w:r w:rsidRPr="002B55E9">
        <w:rPr>
          <w:bCs/>
          <w:snapToGrid w:val="0"/>
          <w:sz w:val="24"/>
        </w:rPr>
        <w:t>——</w:t>
      </w:r>
      <w:r w:rsidRPr="002B55E9">
        <w:rPr>
          <w:bCs/>
          <w:snapToGrid w:val="0"/>
          <w:sz w:val="24"/>
        </w:rPr>
        <w:t>环境温度，</w:t>
      </w:r>
      <w:r w:rsidRPr="002B55E9">
        <w:rPr>
          <w:bCs/>
          <w:snapToGrid w:val="0"/>
          <w:sz w:val="24"/>
        </w:rPr>
        <w:t>K</w:t>
      </w:r>
      <w:r w:rsidRPr="002B55E9">
        <w:rPr>
          <w:bCs/>
          <w:snapToGrid w:val="0"/>
          <w:sz w:val="24"/>
        </w:rPr>
        <w:t>；</w:t>
      </w:r>
    </w:p>
    <w:p w14:paraId="7F277122"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u——</w:t>
      </w:r>
      <w:r w:rsidRPr="002B55E9">
        <w:rPr>
          <w:bCs/>
          <w:snapToGrid w:val="0"/>
          <w:sz w:val="24"/>
        </w:rPr>
        <w:t>风速，</w:t>
      </w:r>
      <w:r w:rsidRPr="002B55E9">
        <w:rPr>
          <w:bCs/>
          <w:snapToGrid w:val="0"/>
          <w:sz w:val="24"/>
        </w:rPr>
        <w:t>m/s</w:t>
      </w:r>
      <w:r w:rsidRPr="002B55E9">
        <w:rPr>
          <w:bCs/>
          <w:snapToGrid w:val="0"/>
          <w:sz w:val="24"/>
        </w:rPr>
        <w:t>；</w:t>
      </w:r>
    </w:p>
    <w:p w14:paraId="272C31B2"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r——</w:t>
      </w:r>
      <w:r w:rsidRPr="002B55E9">
        <w:rPr>
          <w:bCs/>
          <w:snapToGrid w:val="0"/>
          <w:sz w:val="24"/>
        </w:rPr>
        <w:t>液池半径，</w:t>
      </w:r>
      <w:r w:rsidRPr="002B55E9">
        <w:rPr>
          <w:bCs/>
          <w:snapToGrid w:val="0"/>
          <w:sz w:val="24"/>
        </w:rPr>
        <w:t>m</w:t>
      </w:r>
      <w:r w:rsidRPr="002B55E9">
        <w:rPr>
          <w:bCs/>
          <w:snapToGrid w:val="0"/>
          <w:sz w:val="24"/>
        </w:rPr>
        <w:t>。</w:t>
      </w:r>
    </w:p>
    <w:p w14:paraId="657B3561"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液池最大直径取决于泄漏点附近的地域构型、泄漏的连续性或瞬时性。有围堰时，以围堰最大等效半径为液池半径；无围堰时，设定液体瞬间扩散到最小厚度时，推算液池等效半径。</w:t>
      </w:r>
    </w:p>
    <w:p w14:paraId="42BBC186" w14:textId="77777777" w:rsidR="00D170E5" w:rsidRPr="002B55E9" w:rsidRDefault="00EF27AD">
      <w:pPr>
        <w:ind w:firstLine="482"/>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3</w:t>
      </w:r>
      <w:r w:rsidRPr="002B55E9">
        <w:rPr>
          <w:rFonts w:eastAsia="黑体"/>
          <w:b/>
          <w:sz w:val="24"/>
        </w:rPr>
        <w:t>液池蒸发模式参数</w:t>
      </w:r>
    </w:p>
    <w:tbl>
      <w:tblPr>
        <w:tblW w:w="9638"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212"/>
        <w:gridCol w:w="3212"/>
        <w:gridCol w:w="3214"/>
      </w:tblGrid>
      <w:tr w:rsidR="00C60999" w:rsidRPr="002B55E9" w14:paraId="33F3EF0B" w14:textId="77777777">
        <w:trPr>
          <w:trHeight w:val="284"/>
        </w:trPr>
        <w:tc>
          <w:tcPr>
            <w:tcW w:w="3212" w:type="dxa"/>
            <w:tcBorders>
              <w:top w:val="single" w:sz="12" w:space="0" w:color="auto"/>
              <w:bottom w:val="single" w:sz="12" w:space="0" w:color="auto"/>
            </w:tcBorders>
            <w:vAlign w:val="center"/>
          </w:tcPr>
          <w:p w14:paraId="37FC121D" w14:textId="77777777" w:rsidR="00D170E5" w:rsidRPr="002B55E9" w:rsidRDefault="00EF27AD">
            <w:pPr>
              <w:pStyle w:val="affffffffffffffffff6"/>
              <w:ind w:left="-40" w:right="-40"/>
            </w:pPr>
            <w:r w:rsidRPr="002B55E9">
              <w:t>稳定度条件</w:t>
            </w:r>
          </w:p>
        </w:tc>
        <w:tc>
          <w:tcPr>
            <w:tcW w:w="3212" w:type="dxa"/>
            <w:tcBorders>
              <w:top w:val="single" w:sz="12" w:space="0" w:color="auto"/>
              <w:bottom w:val="single" w:sz="12" w:space="0" w:color="auto"/>
            </w:tcBorders>
            <w:vAlign w:val="center"/>
          </w:tcPr>
          <w:p w14:paraId="5C4FB39B" w14:textId="77777777" w:rsidR="00D170E5" w:rsidRPr="002B55E9" w:rsidRDefault="00EF27AD">
            <w:pPr>
              <w:pStyle w:val="affffffffffffffffff6"/>
              <w:ind w:left="-40" w:right="-40"/>
            </w:pPr>
            <w:r w:rsidRPr="002B55E9">
              <w:t>n</w:t>
            </w:r>
          </w:p>
        </w:tc>
        <w:tc>
          <w:tcPr>
            <w:tcW w:w="3214" w:type="dxa"/>
            <w:tcBorders>
              <w:top w:val="single" w:sz="12" w:space="0" w:color="auto"/>
              <w:bottom w:val="single" w:sz="12" w:space="0" w:color="auto"/>
            </w:tcBorders>
            <w:vAlign w:val="center"/>
          </w:tcPr>
          <w:p w14:paraId="78AA2FAD" w14:textId="77777777" w:rsidR="00D170E5" w:rsidRPr="002B55E9" w:rsidRDefault="00EF27AD">
            <w:pPr>
              <w:pStyle w:val="affffffffffffffffff6"/>
              <w:ind w:left="-40" w:right="-40"/>
            </w:pPr>
            <w:r w:rsidRPr="002B55E9">
              <w:t>α</w:t>
            </w:r>
          </w:p>
        </w:tc>
      </w:tr>
      <w:tr w:rsidR="00C60999" w:rsidRPr="002B55E9" w14:paraId="160E9B8D" w14:textId="77777777">
        <w:trPr>
          <w:trHeight w:val="284"/>
        </w:trPr>
        <w:tc>
          <w:tcPr>
            <w:tcW w:w="3212" w:type="dxa"/>
            <w:tcBorders>
              <w:top w:val="single" w:sz="12" w:space="0" w:color="auto"/>
            </w:tcBorders>
            <w:vAlign w:val="center"/>
          </w:tcPr>
          <w:p w14:paraId="302641C1" w14:textId="77777777" w:rsidR="00D170E5" w:rsidRPr="002B55E9" w:rsidRDefault="00EF27AD">
            <w:pPr>
              <w:pStyle w:val="affffffffffffffffff6"/>
              <w:ind w:left="-40" w:right="-40"/>
            </w:pPr>
            <w:r w:rsidRPr="002B55E9">
              <w:t>不稳定</w:t>
            </w:r>
            <w:r w:rsidRPr="002B55E9">
              <w:t>(A,B)</w:t>
            </w:r>
          </w:p>
        </w:tc>
        <w:tc>
          <w:tcPr>
            <w:tcW w:w="3212" w:type="dxa"/>
            <w:tcBorders>
              <w:top w:val="single" w:sz="12" w:space="0" w:color="auto"/>
            </w:tcBorders>
            <w:vAlign w:val="center"/>
          </w:tcPr>
          <w:p w14:paraId="46B54AE6" w14:textId="77777777" w:rsidR="00D170E5" w:rsidRPr="002B55E9" w:rsidRDefault="00EF27AD">
            <w:pPr>
              <w:pStyle w:val="affffffffffffffffff6"/>
              <w:ind w:left="-40" w:right="-40"/>
            </w:pPr>
            <w:r w:rsidRPr="002B55E9">
              <w:t>0.2</w:t>
            </w:r>
          </w:p>
        </w:tc>
        <w:tc>
          <w:tcPr>
            <w:tcW w:w="3214" w:type="dxa"/>
            <w:tcBorders>
              <w:top w:val="single" w:sz="12" w:space="0" w:color="auto"/>
            </w:tcBorders>
            <w:vAlign w:val="center"/>
          </w:tcPr>
          <w:p w14:paraId="340745D4" w14:textId="77777777" w:rsidR="00D170E5" w:rsidRPr="002B55E9" w:rsidRDefault="00EF27AD">
            <w:pPr>
              <w:pStyle w:val="affffffffffffffffff6"/>
              <w:ind w:left="-40" w:right="-40"/>
            </w:pPr>
            <w:r w:rsidRPr="002B55E9">
              <w:t>3.846×10-3</w:t>
            </w:r>
          </w:p>
        </w:tc>
      </w:tr>
      <w:tr w:rsidR="00C60999" w:rsidRPr="002B55E9" w14:paraId="77AF007D" w14:textId="77777777">
        <w:trPr>
          <w:trHeight w:val="284"/>
        </w:trPr>
        <w:tc>
          <w:tcPr>
            <w:tcW w:w="3212" w:type="dxa"/>
            <w:vAlign w:val="center"/>
          </w:tcPr>
          <w:p w14:paraId="49723947" w14:textId="77777777" w:rsidR="00D170E5" w:rsidRPr="002B55E9" w:rsidRDefault="00EF27AD">
            <w:pPr>
              <w:pStyle w:val="affffffffffffffffff6"/>
              <w:ind w:left="-40" w:right="-40"/>
            </w:pPr>
            <w:r w:rsidRPr="002B55E9">
              <w:t>中性</w:t>
            </w:r>
            <w:r w:rsidRPr="002B55E9">
              <w:t>(D)</w:t>
            </w:r>
          </w:p>
        </w:tc>
        <w:tc>
          <w:tcPr>
            <w:tcW w:w="3212" w:type="dxa"/>
            <w:vAlign w:val="center"/>
          </w:tcPr>
          <w:p w14:paraId="3E0C3674" w14:textId="77777777" w:rsidR="00D170E5" w:rsidRPr="002B55E9" w:rsidRDefault="00EF27AD">
            <w:pPr>
              <w:pStyle w:val="affffffffffffffffff6"/>
              <w:ind w:left="-40" w:right="-40"/>
            </w:pPr>
            <w:r w:rsidRPr="002B55E9">
              <w:t>0.25</w:t>
            </w:r>
          </w:p>
        </w:tc>
        <w:tc>
          <w:tcPr>
            <w:tcW w:w="3214" w:type="dxa"/>
            <w:vAlign w:val="center"/>
          </w:tcPr>
          <w:p w14:paraId="7591DBED" w14:textId="77777777" w:rsidR="00D170E5" w:rsidRPr="002B55E9" w:rsidRDefault="00EF27AD">
            <w:pPr>
              <w:pStyle w:val="affffffffffffffffff6"/>
              <w:ind w:left="-40" w:right="-40"/>
            </w:pPr>
            <w:r w:rsidRPr="002B55E9">
              <w:t>4.685×10-3</w:t>
            </w:r>
          </w:p>
        </w:tc>
      </w:tr>
      <w:tr w:rsidR="00C60999" w:rsidRPr="002B55E9" w14:paraId="7DBA4BD5" w14:textId="77777777">
        <w:trPr>
          <w:trHeight w:val="284"/>
        </w:trPr>
        <w:tc>
          <w:tcPr>
            <w:tcW w:w="3212" w:type="dxa"/>
            <w:vAlign w:val="center"/>
          </w:tcPr>
          <w:p w14:paraId="0FB2C31C" w14:textId="77777777" w:rsidR="00D170E5" w:rsidRPr="002B55E9" w:rsidRDefault="00EF27AD">
            <w:pPr>
              <w:pStyle w:val="affffffffffffffffff6"/>
              <w:ind w:left="-40" w:right="-40"/>
            </w:pPr>
            <w:r w:rsidRPr="002B55E9">
              <w:t>稳定</w:t>
            </w:r>
            <w:r w:rsidRPr="002B55E9">
              <w:t>(E,F)</w:t>
            </w:r>
          </w:p>
        </w:tc>
        <w:tc>
          <w:tcPr>
            <w:tcW w:w="3212" w:type="dxa"/>
            <w:vAlign w:val="center"/>
          </w:tcPr>
          <w:p w14:paraId="57F3BAD9" w14:textId="77777777" w:rsidR="00D170E5" w:rsidRPr="002B55E9" w:rsidRDefault="00EF27AD">
            <w:pPr>
              <w:pStyle w:val="affffffffffffffffff6"/>
              <w:ind w:left="-40" w:right="-40"/>
            </w:pPr>
            <w:r w:rsidRPr="002B55E9">
              <w:t>0.3</w:t>
            </w:r>
          </w:p>
        </w:tc>
        <w:tc>
          <w:tcPr>
            <w:tcW w:w="3214" w:type="dxa"/>
            <w:vAlign w:val="center"/>
          </w:tcPr>
          <w:p w14:paraId="3C540115" w14:textId="77777777" w:rsidR="00D170E5" w:rsidRPr="002B55E9" w:rsidRDefault="00EF27AD">
            <w:pPr>
              <w:pStyle w:val="affffffffffffffffff6"/>
              <w:ind w:left="-40" w:right="-40"/>
            </w:pPr>
            <w:r w:rsidRPr="002B55E9">
              <w:t>5.285×10-3</w:t>
            </w:r>
          </w:p>
        </w:tc>
      </w:tr>
      <w:tr w:rsidR="00C60999" w:rsidRPr="002B55E9" w14:paraId="57E3EB5D" w14:textId="77777777">
        <w:trPr>
          <w:trHeight w:val="284"/>
        </w:trPr>
        <w:tc>
          <w:tcPr>
            <w:tcW w:w="9638" w:type="dxa"/>
            <w:gridSpan w:val="3"/>
            <w:vAlign w:val="center"/>
          </w:tcPr>
          <w:p w14:paraId="6EFC15F9" w14:textId="77777777" w:rsidR="00D170E5" w:rsidRPr="002B55E9" w:rsidRDefault="00EF27AD">
            <w:pPr>
              <w:pStyle w:val="affffffffffffffffff6"/>
              <w:ind w:left="-40" w:right="-40"/>
              <w:jc w:val="left"/>
            </w:pPr>
            <w:r w:rsidRPr="002B55E9">
              <w:rPr>
                <w:rFonts w:hint="eastAsia"/>
              </w:rPr>
              <w:t>注</w:t>
            </w:r>
            <w:r w:rsidRPr="002B55E9">
              <w:t>：来源于《建设项目环境风险评价技术导则》（</w:t>
            </w:r>
            <w:r w:rsidRPr="002B55E9">
              <w:t>HJ 169-2018</w:t>
            </w:r>
            <w:r w:rsidRPr="002B55E9">
              <w:t>）</w:t>
            </w:r>
            <w:r w:rsidRPr="002B55E9">
              <w:rPr>
                <w:rFonts w:hint="eastAsia"/>
              </w:rPr>
              <w:t>附录</w:t>
            </w:r>
            <w:r w:rsidRPr="002B55E9">
              <w:rPr>
                <w:rFonts w:hint="eastAsia"/>
              </w:rPr>
              <w:t>F</w:t>
            </w:r>
            <w:r w:rsidRPr="002B55E9">
              <w:rPr>
                <w:rFonts w:hint="eastAsia"/>
              </w:rPr>
              <w:t>。</w:t>
            </w:r>
          </w:p>
        </w:tc>
      </w:tr>
    </w:tbl>
    <w:p w14:paraId="5DC93D01" w14:textId="77777777" w:rsidR="00D170E5" w:rsidRPr="002B55E9" w:rsidRDefault="00EF27AD">
      <w:pPr>
        <w:widowControl/>
        <w:spacing w:after="60" w:line="360" w:lineRule="auto"/>
        <w:ind w:firstLineChars="200" w:firstLine="480"/>
        <w:rPr>
          <w:bCs/>
          <w:snapToGrid w:val="0"/>
          <w:sz w:val="24"/>
        </w:rPr>
      </w:pPr>
      <w:r w:rsidRPr="002B55E9">
        <w:rPr>
          <w:rFonts w:ascii="宋体" w:hAnsi="宋体" w:cs="宋体" w:hint="eastAsia"/>
          <w:bCs/>
          <w:snapToGrid w:val="0"/>
          <w:sz w:val="24"/>
        </w:rPr>
        <w:t>④</w:t>
      </w:r>
      <w:r w:rsidRPr="002B55E9">
        <w:rPr>
          <w:bCs/>
          <w:snapToGrid w:val="0"/>
          <w:sz w:val="24"/>
        </w:rPr>
        <w:t>液体蒸发总量的计算</w:t>
      </w:r>
    </w:p>
    <w:p w14:paraId="0C3630A0" w14:textId="77777777" w:rsidR="00D170E5" w:rsidRPr="002B55E9" w:rsidRDefault="00EF27AD">
      <w:pPr>
        <w:widowControl/>
        <w:spacing w:after="60" w:line="360" w:lineRule="auto"/>
        <w:ind w:firstLineChars="200" w:firstLine="480"/>
        <w:jc w:val="center"/>
        <w:rPr>
          <w:bCs/>
          <w:snapToGrid w:val="0"/>
          <w:sz w:val="24"/>
        </w:rPr>
      </w:pPr>
      <w:r w:rsidRPr="002B55E9">
        <w:rPr>
          <w:bCs/>
          <w:snapToGrid w:val="0"/>
          <w:sz w:val="24"/>
        </w:rPr>
        <w:object w:dxaOrig="3030" w:dyaOrig="451" w14:anchorId="0FD5F4B2">
          <v:shape id="_x0000_i1035" type="#_x0000_t75" style="width:151.55pt;height:22.6pt" o:ole="">
            <v:imagedata r:id="rId92" o:title=""/>
          </v:shape>
          <o:OLEObject Type="Embed" ProgID="Equation.3" ShapeID="_x0000_i1035" DrawAspect="Content" ObjectID="_1732338930" r:id="rId93"/>
        </w:object>
      </w:r>
    </w:p>
    <w:p w14:paraId="15F414C3"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式中：</w:t>
      </w:r>
      <w:r w:rsidRPr="002B55E9">
        <w:rPr>
          <w:bCs/>
          <w:snapToGrid w:val="0"/>
          <w:sz w:val="24"/>
        </w:rPr>
        <w:t>W</w:t>
      </w:r>
      <w:r w:rsidRPr="002B55E9">
        <w:rPr>
          <w:bCs/>
          <w:snapToGrid w:val="0"/>
          <w:sz w:val="24"/>
          <w:vertAlign w:val="subscript"/>
        </w:rPr>
        <w:t>p</w:t>
      </w:r>
      <w:r w:rsidRPr="002B55E9">
        <w:rPr>
          <w:bCs/>
          <w:snapToGrid w:val="0"/>
          <w:sz w:val="24"/>
        </w:rPr>
        <w:t>——</w:t>
      </w:r>
      <w:r w:rsidRPr="002B55E9">
        <w:rPr>
          <w:bCs/>
          <w:snapToGrid w:val="0"/>
          <w:sz w:val="24"/>
        </w:rPr>
        <w:t>液体蒸发总量，</w:t>
      </w:r>
      <w:r w:rsidRPr="002B55E9">
        <w:rPr>
          <w:bCs/>
          <w:snapToGrid w:val="0"/>
          <w:sz w:val="24"/>
        </w:rPr>
        <w:t>kg</w:t>
      </w:r>
      <w:r w:rsidRPr="002B55E9">
        <w:rPr>
          <w:bCs/>
          <w:snapToGrid w:val="0"/>
          <w:sz w:val="24"/>
        </w:rPr>
        <w:t>；</w:t>
      </w:r>
    </w:p>
    <w:p w14:paraId="4FCD3DE1"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1</w:t>
      </w:r>
      <w:r w:rsidRPr="002B55E9">
        <w:rPr>
          <w:bCs/>
          <w:snapToGrid w:val="0"/>
          <w:sz w:val="24"/>
        </w:rPr>
        <w:t>——</w:t>
      </w:r>
      <w:r w:rsidRPr="002B55E9">
        <w:rPr>
          <w:bCs/>
          <w:snapToGrid w:val="0"/>
          <w:sz w:val="24"/>
        </w:rPr>
        <w:t>闪蒸</w:t>
      </w:r>
      <w:r w:rsidRPr="002B55E9">
        <w:rPr>
          <w:rFonts w:hint="eastAsia"/>
          <w:bCs/>
          <w:snapToGrid w:val="0"/>
          <w:sz w:val="24"/>
        </w:rPr>
        <w:t>液体蒸发速率</w:t>
      </w:r>
      <w:r w:rsidRPr="002B55E9">
        <w:rPr>
          <w:bCs/>
          <w:snapToGrid w:val="0"/>
          <w:sz w:val="24"/>
        </w:rPr>
        <w:t>，</w:t>
      </w:r>
      <w:r w:rsidRPr="002B55E9">
        <w:rPr>
          <w:bCs/>
          <w:snapToGrid w:val="0"/>
          <w:sz w:val="24"/>
        </w:rPr>
        <w:t>kg/s</w:t>
      </w:r>
      <w:r w:rsidRPr="002B55E9">
        <w:rPr>
          <w:bCs/>
          <w:snapToGrid w:val="0"/>
          <w:sz w:val="24"/>
        </w:rPr>
        <w:t>；</w:t>
      </w:r>
    </w:p>
    <w:p w14:paraId="0FCBADB1"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2</w:t>
      </w:r>
      <w:r w:rsidRPr="002B55E9">
        <w:rPr>
          <w:bCs/>
          <w:snapToGrid w:val="0"/>
          <w:sz w:val="24"/>
        </w:rPr>
        <w:t>——</w:t>
      </w:r>
      <w:r w:rsidRPr="002B55E9">
        <w:rPr>
          <w:bCs/>
          <w:snapToGrid w:val="0"/>
          <w:sz w:val="24"/>
        </w:rPr>
        <w:t>热量蒸发速率，</w:t>
      </w:r>
      <w:r w:rsidRPr="002B55E9">
        <w:rPr>
          <w:bCs/>
          <w:snapToGrid w:val="0"/>
          <w:sz w:val="24"/>
        </w:rPr>
        <w:t>kg/s</w:t>
      </w:r>
      <w:r w:rsidRPr="002B55E9">
        <w:rPr>
          <w:bCs/>
          <w:snapToGrid w:val="0"/>
          <w:sz w:val="24"/>
        </w:rPr>
        <w:t>；</w:t>
      </w:r>
    </w:p>
    <w:p w14:paraId="13D327AF"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3</w:t>
      </w:r>
      <w:r w:rsidRPr="002B55E9">
        <w:rPr>
          <w:bCs/>
          <w:snapToGrid w:val="0"/>
          <w:sz w:val="24"/>
        </w:rPr>
        <w:t>——</w:t>
      </w:r>
      <w:r w:rsidRPr="002B55E9">
        <w:rPr>
          <w:bCs/>
          <w:snapToGrid w:val="0"/>
          <w:sz w:val="24"/>
        </w:rPr>
        <w:t>质量蒸发速率，</w:t>
      </w:r>
      <w:r w:rsidRPr="002B55E9">
        <w:rPr>
          <w:bCs/>
          <w:snapToGrid w:val="0"/>
          <w:sz w:val="24"/>
        </w:rPr>
        <w:t>kg/s</w:t>
      </w:r>
      <w:r w:rsidRPr="002B55E9">
        <w:rPr>
          <w:bCs/>
          <w:snapToGrid w:val="0"/>
          <w:sz w:val="24"/>
        </w:rPr>
        <w:t>；</w:t>
      </w:r>
    </w:p>
    <w:p w14:paraId="26A629E2"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1</w:t>
      </w:r>
      <w:r w:rsidRPr="002B55E9">
        <w:rPr>
          <w:bCs/>
          <w:snapToGrid w:val="0"/>
          <w:sz w:val="24"/>
        </w:rPr>
        <w:t>——</w:t>
      </w:r>
      <w:r w:rsidRPr="002B55E9">
        <w:rPr>
          <w:bCs/>
          <w:snapToGrid w:val="0"/>
          <w:sz w:val="24"/>
        </w:rPr>
        <w:t>闪蒸蒸发时间，</w:t>
      </w:r>
      <w:r w:rsidRPr="002B55E9">
        <w:rPr>
          <w:bCs/>
          <w:snapToGrid w:val="0"/>
          <w:sz w:val="24"/>
        </w:rPr>
        <w:t>s</w:t>
      </w:r>
      <w:r w:rsidRPr="002B55E9">
        <w:rPr>
          <w:bCs/>
          <w:snapToGrid w:val="0"/>
          <w:sz w:val="24"/>
        </w:rPr>
        <w:t>；</w:t>
      </w:r>
    </w:p>
    <w:p w14:paraId="4FA19D9D"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2</w:t>
      </w:r>
      <w:r w:rsidRPr="002B55E9">
        <w:rPr>
          <w:bCs/>
          <w:snapToGrid w:val="0"/>
          <w:sz w:val="24"/>
        </w:rPr>
        <w:t>——</w:t>
      </w:r>
      <w:r w:rsidRPr="002B55E9">
        <w:rPr>
          <w:bCs/>
          <w:snapToGrid w:val="0"/>
          <w:sz w:val="24"/>
        </w:rPr>
        <w:t>热量蒸发时间，</w:t>
      </w:r>
      <w:r w:rsidRPr="002B55E9">
        <w:rPr>
          <w:bCs/>
          <w:snapToGrid w:val="0"/>
          <w:sz w:val="24"/>
        </w:rPr>
        <w:t>s</w:t>
      </w:r>
      <w:r w:rsidRPr="002B55E9">
        <w:rPr>
          <w:bCs/>
          <w:snapToGrid w:val="0"/>
          <w:sz w:val="24"/>
        </w:rPr>
        <w:t>；</w:t>
      </w:r>
    </w:p>
    <w:p w14:paraId="06287A10" w14:textId="77777777" w:rsidR="00D170E5" w:rsidRPr="002B55E9" w:rsidRDefault="00EF27AD">
      <w:pPr>
        <w:spacing w:line="360" w:lineRule="auto"/>
        <w:ind w:firstLine="482"/>
        <w:rPr>
          <w:sz w:val="24"/>
        </w:rPr>
      </w:pPr>
      <w:r w:rsidRPr="002B55E9">
        <w:rPr>
          <w:sz w:val="24"/>
        </w:rPr>
        <w:t>t</w:t>
      </w:r>
      <w:r w:rsidRPr="002B55E9">
        <w:rPr>
          <w:sz w:val="24"/>
          <w:vertAlign w:val="subscript"/>
        </w:rPr>
        <w:t>3</w:t>
      </w:r>
      <w:r w:rsidRPr="002B55E9">
        <w:rPr>
          <w:sz w:val="24"/>
        </w:rPr>
        <w:t>—</w:t>
      </w:r>
      <w:r w:rsidRPr="002B55E9">
        <w:rPr>
          <w:sz w:val="24"/>
        </w:rPr>
        <w:t>从液体泄漏到全部</w:t>
      </w:r>
      <w:r w:rsidRPr="002B55E9">
        <w:rPr>
          <w:rFonts w:hint="eastAsia"/>
          <w:sz w:val="24"/>
        </w:rPr>
        <w:t>清理</w:t>
      </w:r>
      <w:r w:rsidRPr="002B55E9">
        <w:rPr>
          <w:sz w:val="24"/>
        </w:rPr>
        <w:t>完毕的时间，</w:t>
      </w:r>
      <w:r w:rsidRPr="002B55E9">
        <w:rPr>
          <w:sz w:val="24"/>
        </w:rPr>
        <w:t>s</w:t>
      </w:r>
      <w:r w:rsidRPr="002B55E9">
        <w:rPr>
          <w:sz w:val="24"/>
        </w:rPr>
        <w:t>。</w:t>
      </w:r>
    </w:p>
    <w:p w14:paraId="59DF6C1C" w14:textId="77777777" w:rsidR="00D170E5" w:rsidRPr="002B55E9" w:rsidRDefault="00EF27AD">
      <w:pPr>
        <w:pStyle w:val="5"/>
      </w:pPr>
      <w:r w:rsidRPr="002B55E9">
        <w:rPr>
          <w:rFonts w:hint="eastAsia"/>
        </w:rPr>
        <w:t>火灾</w:t>
      </w:r>
      <w:r w:rsidRPr="002B55E9">
        <w:t>爆炸事故有毒有害物质稀释</w:t>
      </w:r>
      <w:r w:rsidRPr="002B55E9">
        <w:rPr>
          <w:rFonts w:hint="eastAsia"/>
        </w:rPr>
        <w:t>比例</w:t>
      </w:r>
    </w:p>
    <w:p w14:paraId="6B436621" w14:textId="77777777" w:rsidR="00D170E5" w:rsidRPr="002B55E9" w:rsidRDefault="00EF27AD">
      <w:pPr>
        <w:widowControl/>
        <w:spacing w:after="60"/>
        <w:ind w:firstLineChars="200" w:firstLine="480"/>
        <w:rPr>
          <w:bCs/>
          <w:snapToGrid w:val="0"/>
          <w:sz w:val="24"/>
        </w:rPr>
      </w:pPr>
      <w:r w:rsidRPr="002B55E9">
        <w:rPr>
          <w:rFonts w:hint="eastAsia"/>
          <w:bCs/>
          <w:snapToGrid w:val="0"/>
          <w:sz w:val="24"/>
        </w:rPr>
        <w:t>火灾爆炸</w:t>
      </w:r>
      <w:r w:rsidRPr="002B55E9">
        <w:rPr>
          <w:bCs/>
          <w:snapToGrid w:val="0"/>
          <w:sz w:val="24"/>
        </w:rPr>
        <w:t>事故中</w:t>
      </w:r>
      <w:r w:rsidRPr="002B55E9">
        <w:rPr>
          <w:rFonts w:hint="eastAsia"/>
          <w:bCs/>
          <w:snapToGrid w:val="0"/>
          <w:sz w:val="24"/>
        </w:rPr>
        <w:t>未参与</w:t>
      </w:r>
      <w:r w:rsidRPr="002B55E9">
        <w:rPr>
          <w:bCs/>
          <w:snapToGrid w:val="0"/>
          <w:sz w:val="24"/>
        </w:rPr>
        <w:t>燃烧有毒有害物质的释放比例取值见</w:t>
      </w:r>
      <w:r w:rsidRPr="002B55E9">
        <w:rPr>
          <w:rFonts w:hint="eastAsia"/>
          <w:bCs/>
          <w:snapToGrid w:val="0"/>
          <w:sz w:val="24"/>
        </w:rPr>
        <w:t>下</w:t>
      </w:r>
      <w:r w:rsidRPr="002B55E9">
        <w:rPr>
          <w:bCs/>
          <w:snapToGrid w:val="0"/>
          <w:sz w:val="24"/>
        </w:rPr>
        <w:t>表</w:t>
      </w:r>
      <w:r w:rsidRPr="002B55E9">
        <w:rPr>
          <w:rFonts w:hint="eastAsia"/>
          <w:bCs/>
          <w:snapToGrid w:val="0"/>
          <w:sz w:val="24"/>
        </w:rPr>
        <w:t>。</w:t>
      </w:r>
    </w:p>
    <w:p w14:paraId="13B1F8C7"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4</w:t>
      </w:r>
      <w:r w:rsidRPr="002B55E9">
        <w:rPr>
          <w:rFonts w:eastAsia="黑体" w:hint="eastAsia"/>
          <w:b/>
          <w:sz w:val="24"/>
        </w:rPr>
        <w:t xml:space="preserve"> </w:t>
      </w:r>
      <w:r w:rsidRPr="002B55E9">
        <w:rPr>
          <w:rFonts w:eastAsia="黑体" w:hint="eastAsia"/>
          <w:b/>
          <w:sz w:val="24"/>
        </w:rPr>
        <w:t>火灾爆炸事故</w:t>
      </w:r>
      <w:r w:rsidRPr="002B55E9">
        <w:rPr>
          <w:rFonts w:eastAsia="黑体"/>
          <w:b/>
          <w:sz w:val="24"/>
        </w:rPr>
        <w:t>有毒有害物质释放比例</w:t>
      </w:r>
      <w:r w:rsidRPr="002B55E9">
        <w:rPr>
          <w:rFonts w:eastAsia="黑体" w:hint="eastAsia"/>
          <w:b/>
          <w:sz w:val="24"/>
        </w:rPr>
        <w:t>单位</w:t>
      </w:r>
      <w:r w:rsidRPr="002B55E9">
        <w:rPr>
          <w:rFonts w:eastAsia="黑体"/>
          <w:b/>
          <w:sz w:val="24"/>
        </w:rPr>
        <w:t>：</w:t>
      </w:r>
      <w:r w:rsidRPr="002B55E9">
        <w:rPr>
          <w:rFonts w:eastAsia="黑体"/>
          <w:b/>
          <w:sz w:val="24"/>
        </w:rPr>
        <w:t>%</w:t>
      </w:r>
    </w:p>
    <w:tbl>
      <w:tblPr>
        <w:tblW w:w="9638"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32"/>
        <w:gridCol w:w="697"/>
        <w:gridCol w:w="1441"/>
        <w:gridCol w:w="1536"/>
        <w:gridCol w:w="1627"/>
        <w:gridCol w:w="1722"/>
        <w:gridCol w:w="883"/>
      </w:tblGrid>
      <w:tr w:rsidR="00C60999" w:rsidRPr="002B55E9" w14:paraId="76AD807B" w14:textId="77777777">
        <w:trPr>
          <w:trHeight w:val="284"/>
        </w:trPr>
        <w:tc>
          <w:tcPr>
            <w:tcW w:w="1732" w:type="dxa"/>
            <w:vMerge w:val="restart"/>
            <w:tcBorders>
              <w:top w:val="single" w:sz="12" w:space="0" w:color="auto"/>
              <w:bottom w:val="single" w:sz="4" w:space="0" w:color="auto"/>
            </w:tcBorders>
            <w:vAlign w:val="center"/>
          </w:tcPr>
          <w:p w14:paraId="2DA19647" w14:textId="77777777" w:rsidR="00D170E5" w:rsidRPr="002B55E9" w:rsidRDefault="00EF27AD">
            <w:pPr>
              <w:pStyle w:val="affffffffffffffffff6"/>
              <w:ind w:left="-40" w:right="-40"/>
            </w:pPr>
            <w:r w:rsidRPr="002B55E9">
              <w:rPr>
                <w:rFonts w:hint="eastAsia"/>
              </w:rPr>
              <w:t>Q</w:t>
            </w:r>
          </w:p>
        </w:tc>
        <w:tc>
          <w:tcPr>
            <w:tcW w:w="7906" w:type="dxa"/>
            <w:gridSpan w:val="6"/>
            <w:tcBorders>
              <w:top w:val="single" w:sz="12" w:space="0" w:color="auto"/>
              <w:bottom w:val="single" w:sz="4" w:space="0" w:color="auto"/>
            </w:tcBorders>
            <w:vAlign w:val="center"/>
          </w:tcPr>
          <w:p w14:paraId="2B0EED2C" w14:textId="77777777" w:rsidR="00D170E5" w:rsidRPr="002B55E9" w:rsidRDefault="00EF27AD">
            <w:pPr>
              <w:pStyle w:val="affffffffffffffffff6"/>
              <w:ind w:left="-40" w:right="-40"/>
            </w:pPr>
            <w:r w:rsidRPr="002B55E9">
              <w:rPr>
                <w:rFonts w:hint="eastAsia"/>
              </w:rPr>
              <w:t>LC</w:t>
            </w:r>
            <w:r w:rsidRPr="002B55E9">
              <w:rPr>
                <w:rFonts w:hint="eastAsia"/>
                <w:vertAlign w:val="subscript"/>
              </w:rPr>
              <w:t>50</w:t>
            </w:r>
          </w:p>
        </w:tc>
      </w:tr>
      <w:tr w:rsidR="00C60999" w:rsidRPr="002B55E9" w14:paraId="74FE7DED" w14:textId="77777777">
        <w:trPr>
          <w:trHeight w:val="284"/>
        </w:trPr>
        <w:tc>
          <w:tcPr>
            <w:tcW w:w="1732" w:type="dxa"/>
            <w:vMerge/>
            <w:tcBorders>
              <w:top w:val="single" w:sz="4" w:space="0" w:color="auto"/>
              <w:bottom w:val="single" w:sz="12" w:space="0" w:color="auto"/>
            </w:tcBorders>
            <w:vAlign w:val="center"/>
          </w:tcPr>
          <w:p w14:paraId="7926E42B" w14:textId="77777777" w:rsidR="00D170E5" w:rsidRPr="002B55E9" w:rsidRDefault="00D170E5">
            <w:pPr>
              <w:pStyle w:val="affffffffffffffffff6"/>
              <w:ind w:left="-40" w:right="-40"/>
            </w:pPr>
          </w:p>
        </w:tc>
        <w:tc>
          <w:tcPr>
            <w:tcW w:w="697" w:type="dxa"/>
            <w:tcBorders>
              <w:top w:val="single" w:sz="4" w:space="0" w:color="auto"/>
              <w:bottom w:val="single" w:sz="12" w:space="0" w:color="auto"/>
            </w:tcBorders>
            <w:vAlign w:val="center"/>
          </w:tcPr>
          <w:p w14:paraId="640C3EA1" w14:textId="77777777" w:rsidR="00D170E5" w:rsidRPr="002B55E9" w:rsidRDefault="00EF27AD">
            <w:pPr>
              <w:pStyle w:val="affffffffffffffffff6"/>
              <w:ind w:left="-40" w:right="-40"/>
            </w:pPr>
            <w:r w:rsidRPr="002B55E9">
              <w:rPr>
                <w:rFonts w:hint="eastAsia"/>
              </w:rPr>
              <w:t>＜</w:t>
            </w:r>
            <w:r w:rsidRPr="002B55E9">
              <w:rPr>
                <w:rFonts w:hint="eastAsia"/>
              </w:rPr>
              <w:t>200</w:t>
            </w:r>
          </w:p>
        </w:tc>
        <w:tc>
          <w:tcPr>
            <w:tcW w:w="1441" w:type="dxa"/>
            <w:tcBorders>
              <w:top w:val="single" w:sz="4" w:space="0" w:color="auto"/>
              <w:bottom w:val="single" w:sz="12" w:space="0" w:color="auto"/>
            </w:tcBorders>
            <w:vAlign w:val="center"/>
          </w:tcPr>
          <w:p w14:paraId="44CB8DD0" w14:textId="77777777" w:rsidR="00D170E5" w:rsidRPr="002B55E9" w:rsidRDefault="00EF27AD">
            <w:pPr>
              <w:pStyle w:val="affffffffffffffffff6"/>
              <w:ind w:left="-40" w:right="-40"/>
            </w:pPr>
            <w:r w:rsidRPr="002B55E9">
              <w:rPr>
                <w:rFonts w:hint="eastAsia"/>
              </w:rPr>
              <w:t>≥</w:t>
            </w:r>
            <w:r w:rsidRPr="002B55E9">
              <w:rPr>
                <w:rFonts w:hint="eastAsia"/>
              </w:rPr>
              <w:t>200</w:t>
            </w:r>
            <w:r w:rsidRPr="002B55E9">
              <w:rPr>
                <w:rFonts w:hint="eastAsia"/>
              </w:rPr>
              <w:t>，</w:t>
            </w:r>
            <w:r w:rsidRPr="002B55E9">
              <w:t>＜</w:t>
            </w:r>
            <w:r w:rsidRPr="002B55E9">
              <w:rPr>
                <w:rFonts w:hint="eastAsia"/>
              </w:rPr>
              <w:t>1000</w:t>
            </w:r>
          </w:p>
        </w:tc>
        <w:tc>
          <w:tcPr>
            <w:tcW w:w="1536" w:type="dxa"/>
            <w:tcBorders>
              <w:top w:val="single" w:sz="4" w:space="0" w:color="auto"/>
              <w:bottom w:val="single" w:sz="12" w:space="0" w:color="auto"/>
            </w:tcBorders>
            <w:vAlign w:val="center"/>
          </w:tcPr>
          <w:p w14:paraId="500C50E8" w14:textId="77777777" w:rsidR="00D170E5" w:rsidRPr="002B55E9" w:rsidRDefault="00EF27AD">
            <w:pPr>
              <w:pStyle w:val="affffffffffffffffff6"/>
              <w:ind w:left="-40" w:right="-40"/>
            </w:pPr>
            <w:r w:rsidRPr="002B55E9">
              <w:rPr>
                <w:rFonts w:hint="eastAsia"/>
              </w:rPr>
              <w:t>≥</w:t>
            </w:r>
            <w:r w:rsidRPr="002B55E9">
              <w:t>10</w:t>
            </w:r>
            <w:r w:rsidRPr="002B55E9">
              <w:rPr>
                <w:rFonts w:hint="eastAsia"/>
              </w:rPr>
              <w:t>00</w:t>
            </w:r>
            <w:r w:rsidRPr="002B55E9">
              <w:rPr>
                <w:rFonts w:hint="eastAsia"/>
              </w:rPr>
              <w:t>，</w:t>
            </w:r>
            <w:r w:rsidRPr="002B55E9">
              <w:t>＜</w:t>
            </w:r>
            <w:r w:rsidRPr="002B55E9">
              <w:t>2</w:t>
            </w:r>
            <w:r w:rsidRPr="002B55E9">
              <w:rPr>
                <w:rFonts w:hint="eastAsia"/>
              </w:rPr>
              <w:t>000</w:t>
            </w:r>
          </w:p>
        </w:tc>
        <w:tc>
          <w:tcPr>
            <w:tcW w:w="1627" w:type="dxa"/>
            <w:tcBorders>
              <w:top w:val="single" w:sz="4" w:space="0" w:color="auto"/>
              <w:bottom w:val="single" w:sz="12" w:space="0" w:color="auto"/>
            </w:tcBorders>
            <w:vAlign w:val="center"/>
          </w:tcPr>
          <w:p w14:paraId="0388C726" w14:textId="77777777" w:rsidR="00D170E5" w:rsidRPr="002B55E9" w:rsidRDefault="00EF27AD">
            <w:pPr>
              <w:pStyle w:val="affffffffffffffffff6"/>
              <w:ind w:left="-40" w:right="-40"/>
            </w:pPr>
            <w:r w:rsidRPr="002B55E9">
              <w:rPr>
                <w:rFonts w:hint="eastAsia"/>
              </w:rPr>
              <w:t>≥</w:t>
            </w:r>
            <w:r w:rsidRPr="002B55E9">
              <w:rPr>
                <w:rFonts w:hint="eastAsia"/>
              </w:rPr>
              <w:t>200</w:t>
            </w:r>
            <w:r w:rsidRPr="002B55E9">
              <w:t>0</w:t>
            </w:r>
            <w:r w:rsidRPr="002B55E9">
              <w:rPr>
                <w:rFonts w:hint="eastAsia"/>
              </w:rPr>
              <w:t>，</w:t>
            </w:r>
            <w:r w:rsidRPr="002B55E9">
              <w:t>＜</w:t>
            </w:r>
            <w:r w:rsidRPr="002B55E9">
              <w:rPr>
                <w:rFonts w:hint="eastAsia"/>
              </w:rPr>
              <w:t>1000</w:t>
            </w:r>
            <w:r w:rsidRPr="002B55E9">
              <w:t>0</w:t>
            </w:r>
          </w:p>
        </w:tc>
        <w:tc>
          <w:tcPr>
            <w:tcW w:w="1722" w:type="dxa"/>
            <w:tcBorders>
              <w:top w:val="single" w:sz="4" w:space="0" w:color="auto"/>
              <w:bottom w:val="single" w:sz="12" w:space="0" w:color="auto"/>
            </w:tcBorders>
            <w:vAlign w:val="center"/>
          </w:tcPr>
          <w:p w14:paraId="314CC1BD" w14:textId="77777777" w:rsidR="00D170E5" w:rsidRPr="002B55E9" w:rsidRDefault="00EF27AD">
            <w:pPr>
              <w:pStyle w:val="affffffffffffffffff6"/>
              <w:ind w:left="-40" w:right="-40"/>
            </w:pPr>
            <w:r w:rsidRPr="002B55E9">
              <w:rPr>
                <w:rFonts w:hint="eastAsia"/>
              </w:rPr>
              <w:t>≥</w:t>
            </w:r>
            <w:r w:rsidRPr="002B55E9">
              <w:t>10000</w:t>
            </w:r>
            <w:r w:rsidRPr="002B55E9">
              <w:rPr>
                <w:rFonts w:hint="eastAsia"/>
              </w:rPr>
              <w:t>，</w:t>
            </w:r>
            <w:r w:rsidRPr="002B55E9">
              <w:t>＜</w:t>
            </w:r>
            <w:r w:rsidRPr="002B55E9">
              <w:t>20</w:t>
            </w:r>
            <w:r w:rsidRPr="002B55E9">
              <w:rPr>
                <w:rFonts w:hint="eastAsia"/>
              </w:rPr>
              <w:t>000</w:t>
            </w:r>
          </w:p>
        </w:tc>
        <w:tc>
          <w:tcPr>
            <w:tcW w:w="883" w:type="dxa"/>
            <w:tcBorders>
              <w:top w:val="single" w:sz="4" w:space="0" w:color="auto"/>
              <w:bottom w:val="single" w:sz="12" w:space="0" w:color="auto"/>
            </w:tcBorders>
            <w:vAlign w:val="center"/>
          </w:tcPr>
          <w:p w14:paraId="68B14DB1" w14:textId="77777777" w:rsidR="00D170E5" w:rsidRPr="002B55E9" w:rsidRDefault="00EF27AD">
            <w:pPr>
              <w:pStyle w:val="affffffffffffffffff6"/>
              <w:ind w:left="-40" w:right="-40"/>
            </w:pPr>
            <w:r w:rsidRPr="002B55E9">
              <w:rPr>
                <w:rFonts w:hint="eastAsia"/>
              </w:rPr>
              <w:t>≥</w:t>
            </w:r>
            <w:r w:rsidRPr="002B55E9">
              <w:rPr>
                <w:rFonts w:hint="eastAsia"/>
              </w:rPr>
              <w:t>20000</w:t>
            </w:r>
          </w:p>
        </w:tc>
      </w:tr>
      <w:tr w:rsidR="00C60999" w:rsidRPr="002B55E9" w14:paraId="2BFCB2F4" w14:textId="77777777">
        <w:trPr>
          <w:trHeight w:val="284"/>
        </w:trPr>
        <w:tc>
          <w:tcPr>
            <w:tcW w:w="1732" w:type="dxa"/>
            <w:tcBorders>
              <w:top w:val="single" w:sz="12" w:space="0" w:color="auto"/>
            </w:tcBorders>
            <w:vAlign w:val="center"/>
          </w:tcPr>
          <w:p w14:paraId="6231EC40" w14:textId="77777777" w:rsidR="00D170E5" w:rsidRPr="002B55E9" w:rsidRDefault="00EF27AD">
            <w:pPr>
              <w:pStyle w:val="affffffffffffffffff6"/>
              <w:ind w:left="-40" w:right="-40"/>
            </w:pPr>
            <w:r w:rsidRPr="002B55E9">
              <w:rPr>
                <w:rFonts w:hint="eastAsia"/>
              </w:rPr>
              <w:t>≤</w:t>
            </w:r>
            <w:r w:rsidRPr="002B55E9">
              <w:rPr>
                <w:rFonts w:hint="eastAsia"/>
              </w:rPr>
              <w:t>100</w:t>
            </w:r>
          </w:p>
        </w:tc>
        <w:tc>
          <w:tcPr>
            <w:tcW w:w="697" w:type="dxa"/>
            <w:tcBorders>
              <w:top w:val="single" w:sz="12" w:space="0" w:color="auto"/>
            </w:tcBorders>
            <w:vAlign w:val="center"/>
          </w:tcPr>
          <w:p w14:paraId="30413688" w14:textId="77777777" w:rsidR="00D170E5" w:rsidRPr="002B55E9" w:rsidRDefault="00EF27AD">
            <w:pPr>
              <w:pStyle w:val="affffffffffffffffff6"/>
              <w:ind w:left="-40" w:right="-40"/>
            </w:pPr>
            <w:r w:rsidRPr="002B55E9">
              <w:rPr>
                <w:rFonts w:hint="eastAsia"/>
              </w:rPr>
              <w:t>5</w:t>
            </w:r>
          </w:p>
        </w:tc>
        <w:tc>
          <w:tcPr>
            <w:tcW w:w="1441" w:type="dxa"/>
            <w:tcBorders>
              <w:top w:val="single" w:sz="12" w:space="0" w:color="auto"/>
            </w:tcBorders>
            <w:vAlign w:val="center"/>
          </w:tcPr>
          <w:p w14:paraId="50D5CCBB" w14:textId="77777777" w:rsidR="00D170E5" w:rsidRPr="002B55E9" w:rsidRDefault="00EF27AD">
            <w:pPr>
              <w:pStyle w:val="affffffffffffffffff6"/>
              <w:ind w:left="-40" w:right="-40"/>
            </w:pPr>
            <w:r w:rsidRPr="002B55E9">
              <w:rPr>
                <w:rFonts w:hint="eastAsia"/>
              </w:rPr>
              <w:t>10</w:t>
            </w:r>
          </w:p>
        </w:tc>
        <w:tc>
          <w:tcPr>
            <w:tcW w:w="1536" w:type="dxa"/>
            <w:tcBorders>
              <w:top w:val="single" w:sz="12" w:space="0" w:color="auto"/>
            </w:tcBorders>
            <w:vAlign w:val="center"/>
          </w:tcPr>
          <w:p w14:paraId="351C0D28" w14:textId="77777777" w:rsidR="00D170E5" w:rsidRPr="002B55E9" w:rsidRDefault="00D170E5">
            <w:pPr>
              <w:pStyle w:val="affffffffffffffffff6"/>
              <w:ind w:left="-40" w:right="-40"/>
            </w:pPr>
          </w:p>
        </w:tc>
        <w:tc>
          <w:tcPr>
            <w:tcW w:w="1627" w:type="dxa"/>
            <w:tcBorders>
              <w:top w:val="single" w:sz="12" w:space="0" w:color="auto"/>
            </w:tcBorders>
            <w:vAlign w:val="center"/>
          </w:tcPr>
          <w:p w14:paraId="10318E9A" w14:textId="77777777" w:rsidR="00D170E5" w:rsidRPr="002B55E9" w:rsidRDefault="00D170E5">
            <w:pPr>
              <w:pStyle w:val="affffffffffffffffff6"/>
              <w:ind w:left="-40" w:right="-40"/>
            </w:pPr>
          </w:p>
        </w:tc>
        <w:tc>
          <w:tcPr>
            <w:tcW w:w="1722" w:type="dxa"/>
            <w:tcBorders>
              <w:top w:val="single" w:sz="12" w:space="0" w:color="auto"/>
            </w:tcBorders>
            <w:vAlign w:val="center"/>
          </w:tcPr>
          <w:p w14:paraId="58385FF8" w14:textId="77777777" w:rsidR="00D170E5" w:rsidRPr="002B55E9" w:rsidRDefault="00D170E5">
            <w:pPr>
              <w:pStyle w:val="affffffffffffffffff6"/>
              <w:ind w:left="-40" w:right="-40"/>
            </w:pPr>
          </w:p>
        </w:tc>
        <w:tc>
          <w:tcPr>
            <w:tcW w:w="883" w:type="dxa"/>
            <w:tcBorders>
              <w:top w:val="single" w:sz="12" w:space="0" w:color="auto"/>
            </w:tcBorders>
            <w:vAlign w:val="center"/>
          </w:tcPr>
          <w:p w14:paraId="05C68583" w14:textId="77777777" w:rsidR="00D170E5" w:rsidRPr="002B55E9" w:rsidRDefault="00D170E5">
            <w:pPr>
              <w:pStyle w:val="affffffffffffffffff6"/>
              <w:ind w:left="-40" w:right="-40"/>
            </w:pPr>
          </w:p>
        </w:tc>
      </w:tr>
      <w:tr w:rsidR="00C60999" w:rsidRPr="002B55E9" w14:paraId="70B30249" w14:textId="77777777">
        <w:trPr>
          <w:trHeight w:val="284"/>
        </w:trPr>
        <w:tc>
          <w:tcPr>
            <w:tcW w:w="1732" w:type="dxa"/>
            <w:vAlign w:val="center"/>
          </w:tcPr>
          <w:p w14:paraId="186A159B" w14:textId="77777777" w:rsidR="00D170E5" w:rsidRPr="002B55E9" w:rsidRDefault="00EF27AD">
            <w:pPr>
              <w:pStyle w:val="affffffffffffffffff6"/>
              <w:ind w:left="-40" w:right="-40"/>
            </w:pPr>
            <w:r w:rsidRPr="002B55E9">
              <w:rPr>
                <w:rFonts w:hint="eastAsia"/>
              </w:rPr>
              <w:t>＞</w:t>
            </w:r>
            <w:r w:rsidRPr="002B55E9">
              <w:rPr>
                <w:rFonts w:hint="eastAsia"/>
              </w:rPr>
              <w:t>100</w:t>
            </w:r>
            <w:r w:rsidRPr="002B55E9">
              <w:rPr>
                <w:rFonts w:hint="eastAsia"/>
              </w:rPr>
              <w:t>，</w:t>
            </w:r>
            <w:r w:rsidRPr="002B55E9">
              <w:t>≤500</w:t>
            </w:r>
          </w:p>
        </w:tc>
        <w:tc>
          <w:tcPr>
            <w:tcW w:w="697" w:type="dxa"/>
            <w:vAlign w:val="center"/>
          </w:tcPr>
          <w:p w14:paraId="38CBA26B" w14:textId="77777777" w:rsidR="00D170E5" w:rsidRPr="002B55E9" w:rsidRDefault="00EF27AD">
            <w:pPr>
              <w:pStyle w:val="affffffffffffffffff6"/>
              <w:ind w:left="-40" w:right="-40"/>
            </w:pPr>
            <w:r w:rsidRPr="002B55E9">
              <w:rPr>
                <w:rFonts w:hint="eastAsia"/>
              </w:rPr>
              <w:t>1.5</w:t>
            </w:r>
          </w:p>
        </w:tc>
        <w:tc>
          <w:tcPr>
            <w:tcW w:w="1441" w:type="dxa"/>
            <w:vAlign w:val="center"/>
          </w:tcPr>
          <w:p w14:paraId="7722A4CE" w14:textId="77777777" w:rsidR="00D170E5" w:rsidRPr="002B55E9" w:rsidRDefault="00EF27AD">
            <w:pPr>
              <w:pStyle w:val="affffffffffffffffff6"/>
              <w:ind w:left="-40" w:right="-40"/>
            </w:pPr>
            <w:r w:rsidRPr="002B55E9">
              <w:rPr>
                <w:rFonts w:hint="eastAsia"/>
              </w:rPr>
              <w:t>3</w:t>
            </w:r>
          </w:p>
        </w:tc>
        <w:tc>
          <w:tcPr>
            <w:tcW w:w="1536" w:type="dxa"/>
            <w:vAlign w:val="center"/>
          </w:tcPr>
          <w:p w14:paraId="07196D0C" w14:textId="77777777" w:rsidR="00D170E5" w:rsidRPr="002B55E9" w:rsidRDefault="00EF27AD">
            <w:pPr>
              <w:pStyle w:val="affffffffffffffffff6"/>
              <w:ind w:left="-40" w:right="-40"/>
            </w:pPr>
            <w:r w:rsidRPr="002B55E9">
              <w:rPr>
                <w:rFonts w:hint="eastAsia"/>
              </w:rPr>
              <w:t>6</w:t>
            </w:r>
          </w:p>
        </w:tc>
        <w:tc>
          <w:tcPr>
            <w:tcW w:w="1627" w:type="dxa"/>
            <w:vAlign w:val="center"/>
          </w:tcPr>
          <w:p w14:paraId="757922B9" w14:textId="77777777" w:rsidR="00D170E5" w:rsidRPr="002B55E9" w:rsidRDefault="00D170E5">
            <w:pPr>
              <w:pStyle w:val="affffffffffffffffff6"/>
              <w:ind w:left="-40" w:right="-40"/>
            </w:pPr>
          </w:p>
        </w:tc>
        <w:tc>
          <w:tcPr>
            <w:tcW w:w="1722" w:type="dxa"/>
            <w:vAlign w:val="center"/>
          </w:tcPr>
          <w:p w14:paraId="43360A58" w14:textId="77777777" w:rsidR="00D170E5" w:rsidRPr="002B55E9" w:rsidRDefault="00D170E5">
            <w:pPr>
              <w:pStyle w:val="affffffffffffffffff6"/>
              <w:ind w:left="-40" w:right="-40"/>
            </w:pPr>
          </w:p>
        </w:tc>
        <w:tc>
          <w:tcPr>
            <w:tcW w:w="883" w:type="dxa"/>
            <w:vAlign w:val="center"/>
          </w:tcPr>
          <w:p w14:paraId="0B37A49E" w14:textId="77777777" w:rsidR="00D170E5" w:rsidRPr="002B55E9" w:rsidRDefault="00D170E5">
            <w:pPr>
              <w:pStyle w:val="affffffffffffffffff6"/>
              <w:ind w:left="-40" w:right="-40"/>
            </w:pPr>
          </w:p>
        </w:tc>
      </w:tr>
      <w:tr w:rsidR="00C60999" w:rsidRPr="002B55E9" w14:paraId="16698379" w14:textId="77777777">
        <w:trPr>
          <w:trHeight w:val="284"/>
        </w:trPr>
        <w:tc>
          <w:tcPr>
            <w:tcW w:w="1732" w:type="dxa"/>
            <w:vAlign w:val="center"/>
          </w:tcPr>
          <w:p w14:paraId="1E6B8FE6" w14:textId="77777777" w:rsidR="00D170E5" w:rsidRPr="002B55E9" w:rsidRDefault="00EF27AD">
            <w:pPr>
              <w:pStyle w:val="affffffffffffffffff6"/>
              <w:ind w:left="-40" w:right="-40"/>
            </w:pPr>
            <w:r w:rsidRPr="002B55E9">
              <w:rPr>
                <w:rFonts w:hint="eastAsia"/>
              </w:rPr>
              <w:t>＞</w:t>
            </w:r>
            <w:r w:rsidRPr="002B55E9">
              <w:t>5</w:t>
            </w:r>
            <w:r w:rsidRPr="002B55E9">
              <w:rPr>
                <w:rFonts w:hint="eastAsia"/>
              </w:rPr>
              <w:t>00</w:t>
            </w:r>
            <w:r w:rsidRPr="002B55E9">
              <w:rPr>
                <w:rFonts w:hint="eastAsia"/>
              </w:rPr>
              <w:t>，</w:t>
            </w:r>
            <w:r w:rsidRPr="002B55E9">
              <w:t>≤1000</w:t>
            </w:r>
          </w:p>
        </w:tc>
        <w:tc>
          <w:tcPr>
            <w:tcW w:w="697" w:type="dxa"/>
            <w:vAlign w:val="center"/>
          </w:tcPr>
          <w:p w14:paraId="1F7C3B41" w14:textId="77777777" w:rsidR="00D170E5" w:rsidRPr="002B55E9" w:rsidRDefault="00EF27AD">
            <w:pPr>
              <w:pStyle w:val="affffffffffffffffff6"/>
              <w:ind w:left="-40" w:right="-40"/>
            </w:pPr>
            <w:r w:rsidRPr="002B55E9">
              <w:rPr>
                <w:rFonts w:hint="eastAsia"/>
              </w:rPr>
              <w:t>1</w:t>
            </w:r>
          </w:p>
        </w:tc>
        <w:tc>
          <w:tcPr>
            <w:tcW w:w="1441" w:type="dxa"/>
            <w:vAlign w:val="center"/>
          </w:tcPr>
          <w:p w14:paraId="7BF9F823" w14:textId="77777777" w:rsidR="00D170E5" w:rsidRPr="002B55E9" w:rsidRDefault="00EF27AD">
            <w:pPr>
              <w:pStyle w:val="affffffffffffffffff6"/>
              <w:ind w:left="-40" w:right="-40"/>
            </w:pPr>
            <w:r w:rsidRPr="002B55E9">
              <w:rPr>
                <w:rFonts w:hint="eastAsia"/>
              </w:rPr>
              <w:t>2</w:t>
            </w:r>
          </w:p>
        </w:tc>
        <w:tc>
          <w:tcPr>
            <w:tcW w:w="1536" w:type="dxa"/>
            <w:vAlign w:val="center"/>
          </w:tcPr>
          <w:p w14:paraId="3FB15A84" w14:textId="77777777" w:rsidR="00D170E5" w:rsidRPr="002B55E9" w:rsidRDefault="00EF27AD">
            <w:pPr>
              <w:pStyle w:val="affffffffffffffffff6"/>
              <w:ind w:left="-40" w:right="-40"/>
            </w:pPr>
            <w:r w:rsidRPr="002B55E9">
              <w:rPr>
                <w:rFonts w:hint="eastAsia"/>
              </w:rPr>
              <w:t>4</w:t>
            </w:r>
          </w:p>
        </w:tc>
        <w:tc>
          <w:tcPr>
            <w:tcW w:w="1627" w:type="dxa"/>
            <w:vAlign w:val="center"/>
          </w:tcPr>
          <w:p w14:paraId="11EA40EA" w14:textId="77777777" w:rsidR="00D170E5" w:rsidRPr="002B55E9" w:rsidRDefault="00EF27AD">
            <w:pPr>
              <w:pStyle w:val="affffffffffffffffff6"/>
              <w:ind w:left="-40" w:right="-40"/>
            </w:pPr>
            <w:r w:rsidRPr="002B55E9">
              <w:rPr>
                <w:rFonts w:hint="eastAsia"/>
              </w:rPr>
              <w:t>5</w:t>
            </w:r>
          </w:p>
        </w:tc>
        <w:tc>
          <w:tcPr>
            <w:tcW w:w="1722" w:type="dxa"/>
            <w:vAlign w:val="center"/>
          </w:tcPr>
          <w:p w14:paraId="62C90502" w14:textId="77777777" w:rsidR="00D170E5" w:rsidRPr="002B55E9" w:rsidRDefault="00EF27AD">
            <w:pPr>
              <w:pStyle w:val="affffffffffffffffff6"/>
              <w:ind w:left="-40" w:right="-40"/>
            </w:pPr>
            <w:r w:rsidRPr="002B55E9">
              <w:rPr>
                <w:rFonts w:hint="eastAsia"/>
              </w:rPr>
              <w:t>8</w:t>
            </w:r>
          </w:p>
        </w:tc>
        <w:tc>
          <w:tcPr>
            <w:tcW w:w="883" w:type="dxa"/>
            <w:vAlign w:val="center"/>
          </w:tcPr>
          <w:p w14:paraId="54D1F9D0" w14:textId="77777777" w:rsidR="00D170E5" w:rsidRPr="002B55E9" w:rsidRDefault="00D170E5">
            <w:pPr>
              <w:pStyle w:val="affffffffffffffffff6"/>
              <w:ind w:left="-40" w:right="-40"/>
            </w:pPr>
          </w:p>
        </w:tc>
      </w:tr>
      <w:tr w:rsidR="00C60999" w:rsidRPr="002B55E9" w14:paraId="105F44BE" w14:textId="77777777">
        <w:trPr>
          <w:trHeight w:val="284"/>
        </w:trPr>
        <w:tc>
          <w:tcPr>
            <w:tcW w:w="1732" w:type="dxa"/>
            <w:vAlign w:val="center"/>
          </w:tcPr>
          <w:p w14:paraId="68E56370" w14:textId="77777777" w:rsidR="00D170E5" w:rsidRPr="002B55E9" w:rsidRDefault="00EF27AD">
            <w:pPr>
              <w:pStyle w:val="affffffffffffffffff6"/>
              <w:ind w:left="-40" w:right="-40"/>
            </w:pPr>
            <w:r w:rsidRPr="002B55E9">
              <w:rPr>
                <w:rFonts w:hint="eastAsia"/>
              </w:rPr>
              <w:t>＞</w:t>
            </w:r>
            <w:r w:rsidRPr="002B55E9">
              <w:rPr>
                <w:rFonts w:hint="eastAsia"/>
              </w:rPr>
              <w:t>100</w:t>
            </w:r>
            <w:r w:rsidRPr="002B55E9">
              <w:t>0</w:t>
            </w:r>
            <w:r w:rsidRPr="002B55E9">
              <w:rPr>
                <w:rFonts w:hint="eastAsia"/>
              </w:rPr>
              <w:t>，</w:t>
            </w:r>
            <w:r w:rsidRPr="002B55E9">
              <w:t>≤5000</w:t>
            </w:r>
          </w:p>
        </w:tc>
        <w:tc>
          <w:tcPr>
            <w:tcW w:w="697" w:type="dxa"/>
            <w:vAlign w:val="center"/>
          </w:tcPr>
          <w:p w14:paraId="4324BF84" w14:textId="77777777" w:rsidR="00D170E5" w:rsidRPr="002B55E9" w:rsidRDefault="00D170E5">
            <w:pPr>
              <w:pStyle w:val="affffffffffffffffff6"/>
              <w:ind w:left="-40" w:right="-40"/>
            </w:pPr>
          </w:p>
        </w:tc>
        <w:tc>
          <w:tcPr>
            <w:tcW w:w="1441" w:type="dxa"/>
            <w:vAlign w:val="center"/>
          </w:tcPr>
          <w:p w14:paraId="73D40025" w14:textId="77777777" w:rsidR="00D170E5" w:rsidRPr="002B55E9" w:rsidRDefault="00EF27AD">
            <w:pPr>
              <w:pStyle w:val="affffffffffffffffff6"/>
              <w:ind w:left="-40" w:right="-40"/>
            </w:pPr>
            <w:r w:rsidRPr="002B55E9">
              <w:rPr>
                <w:rFonts w:hint="eastAsia"/>
              </w:rPr>
              <w:t>0.5</w:t>
            </w:r>
          </w:p>
        </w:tc>
        <w:tc>
          <w:tcPr>
            <w:tcW w:w="1536" w:type="dxa"/>
            <w:vAlign w:val="center"/>
          </w:tcPr>
          <w:p w14:paraId="27167970" w14:textId="77777777" w:rsidR="00D170E5" w:rsidRPr="002B55E9" w:rsidRDefault="00EF27AD">
            <w:pPr>
              <w:pStyle w:val="affffffffffffffffff6"/>
              <w:ind w:left="-40" w:right="-40"/>
            </w:pPr>
            <w:r w:rsidRPr="002B55E9">
              <w:rPr>
                <w:rFonts w:hint="eastAsia"/>
              </w:rPr>
              <w:t>1</w:t>
            </w:r>
          </w:p>
        </w:tc>
        <w:tc>
          <w:tcPr>
            <w:tcW w:w="1627" w:type="dxa"/>
            <w:vAlign w:val="center"/>
          </w:tcPr>
          <w:p w14:paraId="243D8A0B" w14:textId="77777777" w:rsidR="00D170E5" w:rsidRPr="002B55E9" w:rsidRDefault="00EF27AD">
            <w:pPr>
              <w:pStyle w:val="affffffffffffffffff6"/>
              <w:ind w:left="-40" w:right="-40"/>
            </w:pPr>
            <w:r w:rsidRPr="002B55E9">
              <w:rPr>
                <w:rFonts w:hint="eastAsia"/>
              </w:rPr>
              <w:t>1.5</w:t>
            </w:r>
          </w:p>
        </w:tc>
        <w:tc>
          <w:tcPr>
            <w:tcW w:w="1722" w:type="dxa"/>
            <w:vAlign w:val="center"/>
          </w:tcPr>
          <w:p w14:paraId="67E57EFE" w14:textId="77777777" w:rsidR="00D170E5" w:rsidRPr="002B55E9" w:rsidRDefault="00EF27AD">
            <w:pPr>
              <w:pStyle w:val="affffffffffffffffff6"/>
              <w:ind w:left="-40" w:right="-40"/>
            </w:pPr>
            <w:r w:rsidRPr="002B55E9">
              <w:rPr>
                <w:rFonts w:hint="eastAsia"/>
              </w:rPr>
              <w:t>2</w:t>
            </w:r>
          </w:p>
        </w:tc>
        <w:tc>
          <w:tcPr>
            <w:tcW w:w="883" w:type="dxa"/>
            <w:vAlign w:val="center"/>
          </w:tcPr>
          <w:p w14:paraId="6A45BC8C" w14:textId="77777777" w:rsidR="00D170E5" w:rsidRPr="002B55E9" w:rsidRDefault="00EF27AD">
            <w:pPr>
              <w:pStyle w:val="affffffffffffffffff6"/>
              <w:ind w:left="-40" w:right="-40"/>
            </w:pPr>
            <w:r w:rsidRPr="002B55E9">
              <w:rPr>
                <w:rFonts w:hint="eastAsia"/>
              </w:rPr>
              <w:t>3</w:t>
            </w:r>
          </w:p>
        </w:tc>
      </w:tr>
      <w:tr w:rsidR="00C60999" w:rsidRPr="002B55E9" w14:paraId="26893234" w14:textId="77777777">
        <w:trPr>
          <w:trHeight w:val="284"/>
        </w:trPr>
        <w:tc>
          <w:tcPr>
            <w:tcW w:w="1732" w:type="dxa"/>
            <w:vAlign w:val="center"/>
          </w:tcPr>
          <w:p w14:paraId="31DCE67F" w14:textId="77777777" w:rsidR="00D170E5" w:rsidRPr="002B55E9" w:rsidRDefault="00EF27AD">
            <w:pPr>
              <w:pStyle w:val="affffffffffffffffff6"/>
              <w:ind w:left="-40" w:right="-40"/>
            </w:pPr>
            <w:r w:rsidRPr="002B55E9">
              <w:rPr>
                <w:rFonts w:hint="eastAsia"/>
              </w:rPr>
              <w:t>＞</w:t>
            </w:r>
            <w:r w:rsidRPr="002B55E9">
              <w:t>50</w:t>
            </w:r>
            <w:r w:rsidRPr="002B55E9">
              <w:rPr>
                <w:rFonts w:hint="eastAsia"/>
              </w:rPr>
              <w:t>00</w:t>
            </w:r>
            <w:r w:rsidRPr="002B55E9">
              <w:rPr>
                <w:rFonts w:hint="eastAsia"/>
              </w:rPr>
              <w:t>，</w:t>
            </w:r>
            <w:r w:rsidRPr="002B55E9">
              <w:t>≤10000</w:t>
            </w:r>
          </w:p>
        </w:tc>
        <w:tc>
          <w:tcPr>
            <w:tcW w:w="697" w:type="dxa"/>
            <w:vAlign w:val="center"/>
          </w:tcPr>
          <w:p w14:paraId="028355D4" w14:textId="77777777" w:rsidR="00D170E5" w:rsidRPr="002B55E9" w:rsidRDefault="00D170E5">
            <w:pPr>
              <w:pStyle w:val="affffffffffffffffff6"/>
              <w:ind w:left="-40" w:right="-40"/>
            </w:pPr>
          </w:p>
        </w:tc>
        <w:tc>
          <w:tcPr>
            <w:tcW w:w="1441" w:type="dxa"/>
            <w:vAlign w:val="center"/>
          </w:tcPr>
          <w:p w14:paraId="038068A2" w14:textId="77777777" w:rsidR="00D170E5" w:rsidRPr="002B55E9" w:rsidRDefault="00D170E5">
            <w:pPr>
              <w:pStyle w:val="affffffffffffffffff6"/>
              <w:ind w:left="-40" w:right="-40"/>
            </w:pPr>
          </w:p>
        </w:tc>
        <w:tc>
          <w:tcPr>
            <w:tcW w:w="1536" w:type="dxa"/>
            <w:vAlign w:val="center"/>
          </w:tcPr>
          <w:p w14:paraId="703AAE52" w14:textId="77777777" w:rsidR="00D170E5" w:rsidRPr="002B55E9" w:rsidRDefault="00EF27AD">
            <w:pPr>
              <w:pStyle w:val="affffffffffffffffff6"/>
              <w:ind w:left="-40" w:right="-40"/>
            </w:pPr>
            <w:r w:rsidRPr="002B55E9">
              <w:rPr>
                <w:rFonts w:hint="eastAsia"/>
              </w:rPr>
              <w:t>0.5</w:t>
            </w:r>
          </w:p>
        </w:tc>
        <w:tc>
          <w:tcPr>
            <w:tcW w:w="1627" w:type="dxa"/>
            <w:vAlign w:val="center"/>
          </w:tcPr>
          <w:p w14:paraId="163E7BB7" w14:textId="77777777" w:rsidR="00D170E5" w:rsidRPr="002B55E9" w:rsidRDefault="00EF27AD">
            <w:pPr>
              <w:pStyle w:val="affffffffffffffffff6"/>
              <w:ind w:left="-40" w:right="-40"/>
            </w:pPr>
            <w:r w:rsidRPr="002B55E9">
              <w:rPr>
                <w:rFonts w:hint="eastAsia"/>
              </w:rPr>
              <w:t>1</w:t>
            </w:r>
          </w:p>
        </w:tc>
        <w:tc>
          <w:tcPr>
            <w:tcW w:w="1722" w:type="dxa"/>
            <w:vAlign w:val="center"/>
          </w:tcPr>
          <w:p w14:paraId="761CD074" w14:textId="77777777" w:rsidR="00D170E5" w:rsidRPr="002B55E9" w:rsidRDefault="00EF27AD">
            <w:pPr>
              <w:pStyle w:val="affffffffffffffffff6"/>
              <w:ind w:left="-40" w:right="-40"/>
            </w:pPr>
            <w:r w:rsidRPr="002B55E9">
              <w:rPr>
                <w:rFonts w:hint="eastAsia"/>
              </w:rPr>
              <w:t>1</w:t>
            </w:r>
          </w:p>
        </w:tc>
        <w:tc>
          <w:tcPr>
            <w:tcW w:w="883" w:type="dxa"/>
            <w:vAlign w:val="center"/>
          </w:tcPr>
          <w:p w14:paraId="4A75DC17" w14:textId="77777777" w:rsidR="00D170E5" w:rsidRPr="002B55E9" w:rsidRDefault="00EF27AD">
            <w:pPr>
              <w:pStyle w:val="affffffffffffffffff6"/>
              <w:ind w:left="-40" w:right="-40"/>
            </w:pPr>
            <w:r w:rsidRPr="002B55E9">
              <w:rPr>
                <w:rFonts w:hint="eastAsia"/>
              </w:rPr>
              <w:t>2</w:t>
            </w:r>
          </w:p>
        </w:tc>
      </w:tr>
      <w:tr w:rsidR="00C60999" w:rsidRPr="002B55E9" w14:paraId="3481D5F2" w14:textId="77777777">
        <w:trPr>
          <w:trHeight w:val="284"/>
        </w:trPr>
        <w:tc>
          <w:tcPr>
            <w:tcW w:w="1732" w:type="dxa"/>
            <w:vAlign w:val="center"/>
          </w:tcPr>
          <w:p w14:paraId="7857B22E" w14:textId="77777777" w:rsidR="00D170E5" w:rsidRPr="002B55E9" w:rsidRDefault="00EF27AD">
            <w:pPr>
              <w:pStyle w:val="affffffffffffffffff6"/>
              <w:ind w:left="-40" w:right="-40"/>
            </w:pPr>
            <w:r w:rsidRPr="002B55E9">
              <w:rPr>
                <w:rFonts w:hint="eastAsia"/>
              </w:rPr>
              <w:lastRenderedPageBreak/>
              <w:t>＞</w:t>
            </w:r>
            <w:r w:rsidRPr="002B55E9">
              <w:rPr>
                <w:rFonts w:hint="eastAsia"/>
              </w:rPr>
              <w:t>100</w:t>
            </w:r>
            <w:r w:rsidRPr="002B55E9">
              <w:t>00</w:t>
            </w:r>
            <w:r w:rsidRPr="002B55E9">
              <w:rPr>
                <w:rFonts w:hint="eastAsia"/>
              </w:rPr>
              <w:t>，</w:t>
            </w:r>
            <w:r w:rsidRPr="002B55E9">
              <w:t>≤20000</w:t>
            </w:r>
          </w:p>
        </w:tc>
        <w:tc>
          <w:tcPr>
            <w:tcW w:w="697" w:type="dxa"/>
            <w:vAlign w:val="center"/>
          </w:tcPr>
          <w:p w14:paraId="575B7EE1" w14:textId="77777777" w:rsidR="00D170E5" w:rsidRPr="002B55E9" w:rsidRDefault="00D170E5">
            <w:pPr>
              <w:pStyle w:val="affffffffffffffffff6"/>
              <w:ind w:left="-40" w:right="-40"/>
            </w:pPr>
          </w:p>
        </w:tc>
        <w:tc>
          <w:tcPr>
            <w:tcW w:w="1441" w:type="dxa"/>
            <w:vAlign w:val="center"/>
          </w:tcPr>
          <w:p w14:paraId="6C1F546E" w14:textId="77777777" w:rsidR="00D170E5" w:rsidRPr="002B55E9" w:rsidRDefault="00D170E5">
            <w:pPr>
              <w:pStyle w:val="affffffffffffffffff6"/>
              <w:ind w:left="-40" w:right="-40"/>
            </w:pPr>
          </w:p>
        </w:tc>
        <w:tc>
          <w:tcPr>
            <w:tcW w:w="1536" w:type="dxa"/>
            <w:vAlign w:val="center"/>
          </w:tcPr>
          <w:p w14:paraId="08F6DFDF" w14:textId="77777777" w:rsidR="00D170E5" w:rsidRPr="002B55E9" w:rsidRDefault="00D170E5">
            <w:pPr>
              <w:pStyle w:val="affffffffffffffffff6"/>
              <w:ind w:left="-40" w:right="-40"/>
            </w:pPr>
          </w:p>
        </w:tc>
        <w:tc>
          <w:tcPr>
            <w:tcW w:w="1627" w:type="dxa"/>
            <w:vAlign w:val="center"/>
          </w:tcPr>
          <w:p w14:paraId="01F734AC" w14:textId="77777777" w:rsidR="00D170E5" w:rsidRPr="002B55E9" w:rsidRDefault="00EF27AD">
            <w:pPr>
              <w:pStyle w:val="affffffffffffffffff6"/>
              <w:ind w:left="-40" w:right="-40"/>
            </w:pPr>
            <w:r w:rsidRPr="002B55E9">
              <w:rPr>
                <w:rFonts w:hint="eastAsia"/>
              </w:rPr>
              <w:t>0.5</w:t>
            </w:r>
          </w:p>
        </w:tc>
        <w:tc>
          <w:tcPr>
            <w:tcW w:w="1722" w:type="dxa"/>
            <w:vAlign w:val="center"/>
          </w:tcPr>
          <w:p w14:paraId="03AC68FB" w14:textId="77777777" w:rsidR="00D170E5" w:rsidRPr="002B55E9" w:rsidRDefault="00EF27AD">
            <w:pPr>
              <w:pStyle w:val="affffffffffffffffff6"/>
              <w:ind w:left="-40" w:right="-40"/>
            </w:pPr>
            <w:r w:rsidRPr="002B55E9">
              <w:rPr>
                <w:rFonts w:hint="eastAsia"/>
              </w:rPr>
              <w:t>1</w:t>
            </w:r>
          </w:p>
        </w:tc>
        <w:tc>
          <w:tcPr>
            <w:tcW w:w="883" w:type="dxa"/>
            <w:vAlign w:val="center"/>
          </w:tcPr>
          <w:p w14:paraId="08440509" w14:textId="77777777" w:rsidR="00D170E5" w:rsidRPr="002B55E9" w:rsidRDefault="00EF27AD">
            <w:pPr>
              <w:pStyle w:val="affffffffffffffffff6"/>
              <w:ind w:left="-40" w:right="-40"/>
            </w:pPr>
            <w:r w:rsidRPr="002B55E9">
              <w:rPr>
                <w:rFonts w:hint="eastAsia"/>
              </w:rPr>
              <w:t>1</w:t>
            </w:r>
          </w:p>
        </w:tc>
      </w:tr>
      <w:tr w:rsidR="00C60999" w:rsidRPr="002B55E9" w14:paraId="05D101DF" w14:textId="77777777">
        <w:trPr>
          <w:trHeight w:val="284"/>
        </w:trPr>
        <w:tc>
          <w:tcPr>
            <w:tcW w:w="1732" w:type="dxa"/>
            <w:vAlign w:val="center"/>
          </w:tcPr>
          <w:p w14:paraId="73F96B86" w14:textId="77777777" w:rsidR="00D170E5" w:rsidRPr="002B55E9" w:rsidRDefault="00EF27AD">
            <w:pPr>
              <w:pStyle w:val="affffffffffffffffff6"/>
              <w:ind w:left="-40" w:right="-40"/>
            </w:pPr>
            <w:r w:rsidRPr="002B55E9">
              <w:rPr>
                <w:rFonts w:hint="eastAsia"/>
              </w:rPr>
              <w:t>＞</w:t>
            </w:r>
            <w:r w:rsidRPr="002B55E9">
              <w:t>200</w:t>
            </w:r>
            <w:r w:rsidRPr="002B55E9">
              <w:rPr>
                <w:rFonts w:hint="eastAsia"/>
              </w:rPr>
              <w:t>00</w:t>
            </w:r>
            <w:r w:rsidRPr="002B55E9">
              <w:rPr>
                <w:rFonts w:hint="eastAsia"/>
              </w:rPr>
              <w:t>，</w:t>
            </w:r>
            <w:r w:rsidRPr="002B55E9">
              <w:t>≤50000</w:t>
            </w:r>
          </w:p>
        </w:tc>
        <w:tc>
          <w:tcPr>
            <w:tcW w:w="697" w:type="dxa"/>
            <w:vAlign w:val="center"/>
          </w:tcPr>
          <w:p w14:paraId="429ED8FC" w14:textId="77777777" w:rsidR="00D170E5" w:rsidRPr="002B55E9" w:rsidRDefault="00D170E5">
            <w:pPr>
              <w:pStyle w:val="affffffffffffffffff6"/>
              <w:ind w:left="-40" w:right="-40"/>
            </w:pPr>
          </w:p>
        </w:tc>
        <w:tc>
          <w:tcPr>
            <w:tcW w:w="1441" w:type="dxa"/>
            <w:vAlign w:val="center"/>
          </w:tcPr>
          <w:p w14:paraId="62F70533" w14:textId="77777777" w:rsidR="00D170E5" w:rsidRPr="002B55E9" w:rsidRDefault="00D170E5">
            <w:pPr>
              <w:pStyle w:val="affffffffffffffffff6"/>
              <w:ind w:left="-40" w:right="-40"/>
            </w:pPr>
          </w:p>
        </w:tc>
        <w:tc>
          <w:tcPr>
            <w:tcW w:w="1536" w:type="dxa"/>
            <w:vAlign w:val="center"/>
          </w:tcPr>
          <w:p w14:paraId="398F6492" w14:textId="77777777" w:rsidR="00D170E5" w:rsidRPr="002B55E9" w:rsidRDefault="00D170E5">
            <w:pPr>
              <w:pStyle w:val="affffffffffffffffff6"/>
              <w:ind w:left="-40" w:right="-40"/>
            </w:pPr>
          </w:p>
        </w:tc>
        <w:tc>
          <w:tcPr>
            <w:tcW w:w="1627" w:type="dxa"/>
            <w:vAlign w:val="center"/>
          </w:tcPr>
          <w:p w14:paraId="4D121638" w14:textId="77777777" w:rsidR="00D170E5" w:rsidRPr="002B55E9" w:rsidRDefault="00D170E5">
            <w:pPr>
              <w:pStyle w:val="affffffffffffffffff6"/>
              <w:ind w:left="-40" w:right="-40"/>
            </w:pPr>
          </w:p>
        </w:tc>
        <w:tc>
          <w:tcPr>
            <w:tcW w:w="1722" w:type="dxa"/>
            <w:vAlign w:val="center"/>
          </w:tcPr>
          <w:p w14:paraId="49EB52BC" w14:textId="77777777" w:rsidR="00D170E5" w:rsidRPr="002B55E9" w:rsidRDefault="00EF27AD">
            <w:pPr>
              <w:pStyle w:val="affffffffffffffffff6"/>
              <w:ind w:left="-40" w:right="-40"/>
            </w:pPr>
            <w:r w:rsidRPr="002B55E9">
              <w:rPr>
                <w:rFonts w:hint="eastAsia"/>
              </w:rPr>
              <w:t>0.5</w:t>
            </w:r>
          </w:p>
        </w:tc>
        <w:tc>
          <w:tcPr>
            <w:tcW w:w="883" w:type="dxa"/>
            <w:vAlign w:val="center"/>
          </w:tcPr>
          <w:p w14:paraId="63D1E1D1" w14:textId="77777777" w:rsidR="00D170E5" w:rsidRPr="002B55E9" w:rsidRDefault="00EF27AD">
            <w:pPr>
              <w:pStyle w:val="affffffffffffffffff6"/>
              <w:ind w:left="-40" w:right="-40"/>
            </w:pPr>
            <w:r w:rsidRPr="002B55E9">
              <w:rPr>
                <w:rFonts w:hint="eastAsia"/>
              </w:rPr>
              <w:t>0.5</w:t>
            </w:r>
          </w:p>
        </w:tc>
      </w:tr>
      <w:tr w:rsidR="00C60999" w:rsidRPr="002B55E9" w14:paraId="47B4E91D" w14:textId="77777777">
        <w:trPr>
          <w:trHeight w:val="284"/>
        </w:trPr>
        <w:tc>
          <w:tcPr>
            <w:tcW w:w="1732" w:type="dxa"/>
            <w:vAlign w:val="center"/>
          </w:tcPr>
          <w:p w14:paraId="3E416D8D" w14:textId="77777777" w:rsidR="00D170E5" w:rsidRPr="002B55E9" w:rsidRDefault="00EF27AD">
            <w:pPr>
              <w:pStyle w:val="affffffffffffffffff6"/>
              <w:ind w:left="-40" w:right="-40"/>
            </w:pPr>
            <w:r w:rsidRPr="002B55E9">
              <w:rPr>
                <w:rFonts w:hint="eastAsia"/>
              </w:rPr>
              <w:t>＞</w:t>
            </w:r>
            <w:r w:rsidRPr="002B55E9">
              <w:t>500</w:t>
            </w:r>
            <w:r w:rsidRPr="002B55E9">
              <w:rPr>
                <w:rFonts w:hint="eastAsia"/>
              </w:rPr>
              <w:t>00</w:t>
            </w:r>
            <w:r w:rsidRPr="002B55E9">
              <w:rPr>
                <w:rFonts w:hint="eastAsia"/>
              </w:rPr>
              <w:t>，</w:t>
            </w:r>
            <w:r w:rsidRPr="002B55E9">
              <w:t>≤100000</w:t>
            </w:r>
          </w:p>
        </w:tc>
        <w:tc>
          <w:tcPr>
            <w:tcW w:w="697" w:type="dxa"/>
            <w:vAlign w:val="center"/>
          </w:tcPr>
          <w:p w14:paraId="6F149422" w14:textId="77777777" w:rsidR="00D170E5" w:rsidRPr="002B55E9" w:rsidRDefault="00D170E5">
            <w:pPr>
              <w:pStyle w:val="affffffffffffffffff6"/>
              <w:ind w:left="-40" w:right="-40"/>
            </w:pPr>
          </w:p>
        </w:tc>
        <w:tc>
          <w:tcPr>
            <w:tcW w:w="1441" w:type="dxa"/>
            <w:vAlign w:val="center"/>
          </w:tcPr>
          <w:p w14:paraId="0383DB5C" w14:textId="77777777" w:rsidR="00D170E5" w:rsidRPr="002B55E9" w:rsidRDefault="00D170E5">
            <w:pPr>
              <w:pStyle w:val="affffffffffffffffff6"/>
              <w:ind w:left="-40" w:right="-40"/>
            </w:pPr>
          </w:p>
        </w:tc>
        <w:tc>
          <w:tcPr>
            <w:tcW w:w="1536" w:type="dxa"/>
            <w:vAlign w:val="center"/>
          </w:tcPr>
          <w:p w14:paraId="74830766" w14:textId="77777777" w:rsidR="00D170E5" w:rsidRPr="002B55E9" w:rsidRDefault="00D170E5">
            <w:pPr>
              <w:pStyle w:val="affffffffffffffffff6"/>
              <w:ind w:left="-40" w:right="-40"/>
            </w:pPr>
          </w:p>
        </w:tc>
        <w:tc>
          <w:tcPr>
            <w:tcW w:w="1627" w:type="dxa"/>
            <w:vAlign w:val="center"/>
          </w:tcPr>
          <w:p w14:paraId="61BFCFFC" w14:textId="77777777" w:rsidR="00D170E5" w:rsidRPr="002B55E9" w:rsidRDefault="00D170E5">
            <w:pPr>
              <w:pStyle w:val="affffffffffffffffff6"/>
              <w:ind w:left="-40" w:right="-40"/>
            </w:pPr>
          </w:p>
        </w:tc>
        <w:tc>
          <w:tcPr>
            <w:tcW w:w="1722" w:type="dxa"/>
            <w:vAlign w:val="center"/>
          </w:tcPr>
          <w:p w14:paraId="169AE12C" w14:textId="77777777" w:rsidR="00D170E5" w:rsidRPr="002B55E9" w:rsidRDefault="00D170E5">
            <w:pPr>
              <w:pStyle w:val="affffffffffffffffff6"/>
              <w:ind w:left="-40" w:right="-40"/>
            </w:pPr>
          </w:p>
        </w:tc>
        <w:tc>
          <w:tcPr>
            <w:tcW w:w="883" w:type="dxa"/>
            <w:vAlign w:val="center"/>
          </w:tcPr>
          <w:p w14:paraId="4EBD1AAB" w14:textId="77777777" w:rsidR="00D170E5" w:rsidRPr="002B55E9" w:rsidRDefault="00EF27AD">
            <w:pPr>
              <w:pStyle w:val="affffffffffffffffff6"/>
              <w:ind w:left="-40" w:right="-40"/>
            </w:pPr>
            <w:r w:rsidRPr="002B55E9">
              <w:rPr>
                <w:rFonts w:hint="eastAsia"/>
              </w:rPr>
              <w:t>0.5</w:t>
            </w:r>
          </w:p>
        </w:tc>
      </w:tr>
      <w:tr w:rsidR="00C60999" w:rsidRPr="002B55E9" w14:paraId="1B7C1FB4" w14:textId="77777777">
        <w:trPr>
          <w:trHeight w:val="284"/>
        </w:trPr>
        <w:tc>
          <w:tcPr>
            <w:tcW w:w="9638" w:type="dxa"/>
            <w:gridSpan w:val="7"/>
            <w:vAlign w:val="center"/>
          </w:tcPr>
          <w:p w14:paraId="025FD2F5" w14:textId="77777777" w:rsidR="00D170E5" w:rsidRPr="002B55E9" w:rsidRDefault="00EF27AD">
            <w:pPr>
              <w:pStyle w:val="affffffffffffffffff6"/>
              <w:ind w:left="-40" w:right="-40"/>
              <w:jc w:val="left"/>
            </w:pPr>
            <w:r w:rsidRPr="002B55E9">
              <w:rPr>
                <w:rFonts w:hint="eastAsia"/>
              </w:rPr>
              <w:t>注</w:t>
            </w:r>
            <w:r w:rsidRPr="002B55E9">
              <w:t>：</w:t>
            </w:r>
            <w:r w:rsidRPr="002B55E9">
              <w:rPr>
                <w:rFonts w:hint="eastAsia"/>
              </w:rPr>
              <w:t>LC</w:t>
            </w:r>
            <w:r w:rsidRPr="002B55E9">
              <w:rPr>
                <w:rFonts w:hint="eastAsia"/>
                <w:vertAlign w:val="subscript"/>
              </w:rPr>
              <w:t>50</w:t>
            </w:r>
            <w:r w:rsidRPr="002B55E9">
              <w:rPr>
                <w:rFonts w:hint="eastAsia"/>
              </w:rPr>
              <w:t>为</w:t>
            </w:r>
            <w:r w:rsidRPr="002B55E9">
              <w:t>物质半致死浓度，</w:t>
            </w:r>
            <w:r w:rsidRPr="002B55E9">
              <w:t>mg/m</w:t>
            </w:r>
            <w:r w:rsidRPr="002B55E9">
              <w:rPr>
                <w:vertAlign w:val="superscript"/>
              </w:rPr>
              <w:t>3</w:t>
            </w:r>
            <w:r w:rsidRPr="002B55E9">
              <w:t>；</w:t>
            </w:r>
            <w:r w:rsidRPr="002B55E9">
              <w:rPr>
                <w:rFonts w:hint="eastAsia"/>
              </w:rPr>
              <w:t>Q</w:t>
            </w:r>
            <w:r w:rsidRPr="002B55E9">
              <w:rPr>
                <w:rFonts w:hint="eastAsia"/>
              </w:rPr>
              <w:t>为</w:t>
            </w:r>
            <w:r w:rsidRPr="002B55E9">
              <w:t>有毒有害物质在线量，</w:t>
            </w:r>
            <w:r w:rsidRPr="002B55E9">
              <w:t>t</w:t>
            </w:r>
            <w:r w:rsidRPr="002B55E9">
              <w:rPr>
                <w:rFonts w:hint="eastAsia"/>
              </w:rPr>
              <w:t>；</w:t>
            </w:r>
          </w:p>
          <w:p w14:paraId="312CB72E" w14:textId="77777777" w:rsidR="00D170E5" w:rsidRPr="002B55E9" w:rsidRDefault="00EF27AD">
            <w:pPr>
              <w:pStyle w:val="affffffffffffffffff6"/>
              <w:ind w:left="-40" w:right="-40"/>
              <w:jc w:val="left"/>
            </w:pPr>
            <w:r w:rsidRPr="002B55E9">
              <w:rPr>
                <w:rFonts w:hint="eastAsia"/>
              </w:rPr>
              <w:t>表格</w:t>
            </w:r>
            <w:r w:rsidRPr="002B55E9">
              <w:t>参数来源于《建设项目环境风险评价技术导则》（</w:t>
            </w:r>
            <w:r w:rsidRPr="002B55E9">
              <w:t>HJ 169-2018</w:t>
            </w:r>
            <w:r w:rsidRPr="002B55E9">
              <w:t>）</w:t>
            </w:r>
            <w:r w:rsidRPr="002B55E9">
              <w:rPr>
                <w:rFonts w:hint="eastAsia"/>
              </w:rPr>
              <w:t>附录</w:t>
            </w:r>
            <w:r w:rsidRPr="002B55E9">
              <w:rPr>
                <w:rFonts w:hint="eastAsia"/>
              </w:rPr>
              <w:t>F</w:t>
            </w:r>
            <w:r w:rsidRPr="002B55E9">
              <w:rPr>
                <w:rFonts w:hint="eastAsia"/>
              </w:rPr>
              <w:t>。</w:t>
            </w:r>
          </w:p>
        </w:tc>
      </w:tr>
    </w:tbl>
    <w:p w14:paraId="03D90B85" w14:textId="77777777" w:rsidR="00D170E5" w:rsidRPr="002B55E9" w:rsidRDefault="00EF27AD">
      <w:pPr>
        <w:pStyle w:val="5"/>
      </w:pPr>
      <w:r w:rsidRPr="002B55E9">
        <w:rPr>
          <w:rFonts w:hint="eastAsia"/>
        </w:rPr>
        <w:t>火灾</w:t>
      </w:r>
      <w:r w:rsidRPr="002B55E9">
        <w:t>伴生</w:t>
      </w:r>
      <w:r w:rsidRPr="002B55E9">
        <w:rPr>
          <w:rFonts w:hint="eastAsia"/>
        </w:rPr>
        <w:t>/</w:t>
      </w:r>
      <w:r w:rsidRPr="002B55E9">
        <w:rPr>
          <w:rFonts w:hint="eastAsia"/>
        </w:rPr>
        <w:t>次生污染物</w:t>
      </w:r>
      <w:r w:rsidRPr="002B55E9">
        <w:t>产生量估算</w:t>
      </w:r>
    </w:p>
    <w:p w14:paraId="389B999A" w14:textId="77777777" w:rsidR="00D170E5" w:rsidRPr="002B55E9" w:rsidRDefault="00EF27AD">
      <w:pPr>
        <w:spacing w:line="360" w:lineRule="auto"/>
        <w:ind w:firstLine="482"/>
        <w:rPr>
          <w:sz w:val="24"/>
        </w:rPr>
      </w:pPr>
      <w:r w:rsidRPr="002B55E9">
        <w:rPr>
          <w:rFonts w:hint="eastAsia"/>
          <w:sz w:val="24"/>
        </w:rPr>
        <w:t>本次火灾事故源强主要考虑贮存的过氧</w:t>
      </w:r>
      <w:r w:rsidRPr="002B55E9">
        <w:rPr>
          <w:sz w:val="24"/>
        </w:rPr>
        <w:t>乙酸</w:t>
      </w:r>
      <w:r w:rsidRPr="002B55E9">
        <w:rPr>
          <w:rFonts w:hint="eastAsia"/>
          <w:sz w:val="24"/>
        </w:rPr>
        <w:t>泄漏导致挥发的过氧乙酸蒸汽逸散到室内，达到爆炸极限并遇明火发生</w:t>
      </w:r>
      <w:r w:rsidRPr="002B55E9">
        <w:rPr>
          <w:sz w:val="24"/>
        </w:rPr>
        <w:t>闪爆</w:t>
      </w:r>
      <w:r w:rsidRPr="002B55E9">
        <w:rPr>
          <w:rFonts w:hint="eastAsia"/>
          <w:sz w:val="24"/>
        </w:rPr>
        <w:t>，其不完全燃烧的污染物进入到空气中，逸散到厂界外。火灾产生次生污染物中毒性较大的为物料不完全燃料产生的</w:t>
      </w:r>
      <w:r w:rsidRPr="002B55E9">
        <w:rPr>
          <w:rFonts w:hint="eastAsia"/>
          <w:sz w:val="24"/>
        </w:rPr>
        <w:t>CO</w:t>
      </w:r>
      <w:r w:rsidRPr="002B55E9">
        <w:rPr>
          <w:rFonts w:hint="eastAsia"/>
          <w:sz w:val="24"/>
        </w:rPr>
        <w:t>。</w:t>
      </w:r>
    </w:p>
    <w:p w14:paraId="446069D5" w14:textId="77777777" w:rsidR="00D170E5" w:rsidRPr="002B55E9" w:rsidRDefault="00EF27AD">
      <w:pPr>
        <w:widowControl/>
        <w:numPr>
          <w:ilvl w:val="0"/>
          <w:numId w:val="29"/>
        </w:numPr>
        <w:spacing w:after="60" w:line="360" w:lineRule="auto"/>
        <w:rPr>
          <w:b/>
          <w:snapToGrid w:val="0"/>
          <w:sz w:val="24"/>
        </w:rPr>
      </w:pPr>
      <w:r w:rsidRPr="002B55E9">
        <w:rPr>
          <w:rFonts w:hint="eastAsia"/>
          <w:b/>
          <w:snapToGrid w:val="0"/>
          <w:sz w:val="24"/>
        </w:rPr>
        <w:t>一氧化碳</w:t>
      </w:r>
      <w:r w:rsidRPr="002B55E9">
        <w:rPr>
          <w:b/>
          <w:snapToGrid w:val="0"/>
          <w:sz w:val="24"/>
        </w:rPr>
        <w:t>产生量</w:t>
      </w:r>
    </w:p>
    <w:p w14:paraId="41C8F5C2"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过氧乙酸火灾伴生</w:t>
      </w:r>
      <w:r w:rsidRPr="002B55E9">
        <w:rPr>
          <w:rFonts w:hint="eastAsia"/>
          <w:bCs/>
          <w:snapToGrid w:val="0"/>
          <w:sz w:val="24"/>
        </w:rPr>
        <w:t>/</w:t>
      </w:r>
      <w:r w:rsidRPr="002B55E9">
        <w:rPr>
          <w:rFonts w:hint="eastAsia"/>
          <w:bCs/>
          <w:snapToGrid w:val="0"/>
          <w:sz w:val="24"/>
        </w:rPr>
        <w:t>次生污染物为</w:t>
      </w:r>
      <w:r w:rsidRPr="002B55E9">
        <w:rPr>
          <w:rFonts w:hint="eastAsia"/>
          <w:bCs/>
          <w:snapToGrid w:val="0"/>
          <w:sz w:val="24"/>
        </w:rPr>
        <w:t>CO</w:t>
      </w:r>
      <w:r w:rsidRPr="002B55E9">
        <w:rPr>
          <w:rFonts w:hint="eastAsia"/>
          <w:bCs/>
          <w:snapToGrid w:val="0"/>
          <w:sz w:val="24"/>
        </w:rPr>
        <w:t>，</w:t>
      </w:r>
      <w:r w:rsidRPr="002B55E9">
        <w:rPr>
          <w:rFonts w:hint="eastAsia"/>
          <w:bCs/>
          <w:snapToGrid w:val="0"/>
          <w:sz w:val="24"/>
        </w:rPr>
        <w:t>CO</w:t>
      </w:r>
      <w:r w:rsidRPr="002B55E9">
        <w:rPr>
          <w:rFonts w:hint="eastAsia"/>
          <w:bCs/>
          <w:snapToGrid w:val="0"/>
          <w:sz w:val="24"/>
        </w:rPr>
        <w:t>产生量采用按《建设项目环境风险评价技术导则》（</w:t>
      </w:r>
      <w:r w:rsidRPr="002B55E9">
        <w:rPr>
          <w:rFonts w:hint="eastAsia"/>
          <w:bCs/>
          <w:snapToGrid w:val="0"/>
          <w:sz w:val="24"/>
        </w:rPr>
        <w:t>HJ169-2018</w:t>
      </w:r>
      <w:r w:rsidRPr="002B55E9">
        <w:rPr>
          <w:rFonts w:hint="eastAsia"/>
          <w:bCs/>
          <w:snapToGrid w:val="0"/>
          <w:sz w:val="24"/>
        </w:rPr>
        <w:t>）附录</w:t>
      </w:r>
      <w:r w:rsidRPr="002B55E9">
        <w:rPr>
          <w:rFonts w:hint="eastAsia"/>
          <w:bCs/>
          <w:snapToGrid w:val="0"/>
          <w:sz w:val="24"/>
        </w:rPr>
        <w:t xml:space="preserve"> F </w:t>
      </w:r>
      <w:r w:rsidRPr="002B55E9">
        <w:rPr>
          <w:rFonts w:hint="eastAsia"/>
          <w:bCs/>
          <w:snapToGrid w:val="0"/>
          <w:sz w:val="24"/>
        </w:rPr>
        <w:t>事故源强计算方法计算，具体按以下公示计算</w:t>
      </w:r>
      <w:r w:rsidRPr="002B55E9">
        <w:rPr>
          <w:bCs/>
          <w:snapToGrid w:val="0"/>
          <w:sz w:val="24"/>
        </w:rPr>
        <w:t>：</w:t>
      </w:r>
    </w:p>
    <w:p w14:paraId="5588E419" w14:textId="77777777" w:rsidR="00D170E5" w:rsidRPr="002B55E9" w:rsidRDefault="00EF27AD">
      <w:pPr>
        <w:widowControl/>
        <w:spacing w:after="60" w:line="360" w:lineRule="auto"/>
        <w:ind w:firstLineChars="200" w:firstLine="480"/>
        <w:jc w:val="center"/>
        <w:rPr>
          <w:bCs/>
          <w:snapToGrid w:val="0"/>
          <w:sz w:val="24"/>
        </w:rPr>
      </w:pPr>
      <w:r w:rsidRPr="002B55E9">
        <w:rPr>
          <w:rFonts w:hint="eastAsia"/>
          <w:bCs/>
          <w:snapToGrid w:val="0"/>
          <w:sz w:val="24"/>
        </w:rPr>
        <w:t>G</w:t>
      </w:r>
      <w:r w:rsidRPr="002B55E9">
        <w:rPr>
          <w:rFonts w:hint="eastAsia"/>
          <w:bCs/>
          <w:snapToGrid w:val="0"/>
          <w:sz w:val="24"/>
          <w:vertAlign w:val="subscript"/>
        </w:rPr>
        <w:t>一氧化碳</w:t>
      </w:r>
      <w:r w:rsidRPr="002B55E9">
        <w:rPr>
          <w:bCs/>
          <w:snapToGrid w:val="0"/>
          <w:sz w:val="24"/>
        </w:rPr>
        <w:t>=2330qCQ</w:t>
      </w:r>
    </w:p>
    <w:p w14:paraId="7FA37E00"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式中：</w:t>
      </w:r>
      <w:r w:rsidRPr="002B55E9">
        <w:rPr>
          <w:rFonts w:hint="eastAsia"/>
          <w:bCs/>
          <w:snapToGrid w:val="0"/>
          <w:sz w:val="24"/>
        </w:rPr>
        <w:t>G</w:t>
      </w:r>
      <w:r w:rsidRPr="002B55E9">
        <w:rPr>
          <w:rFonts w:hint="eastAsia"/>
          <w:bCs/>
          <w:snapToGrid w:val="0"/>
          <w:sz w:val="24"/>
          <w:vertAlign w:val="subscript"/>
        </w:rPr>
        <w:t>一氧化碳</w:t>
      </w:r>
      <w:r w:rsidRPr="002B55E9">
        <w:rPr>
          <w:bCs/>
          <w:snapToGrid w:val="0"/>
          <w:sz w:val="24"/>
        </w:rPr>
        <w:t>——</w:t>
      </w:r>
      <w:r w:rsidRPr="002B55E9">
        <w:rPr>
          <w:rFonts w:hint="eastAsia"/>
          <w:bCs/>
          <w:snapToGrid w:val="0"/>
          <w:sz w:val="24"/>
        </w:rPr>
        <w:t>一氧化碳的</w:t>
      </w:r>
      <w:r w:rsidRPr="002B55E9">
        <w:rPr>
          <w:bCs/>
          <w:snapToGrid w:val="0"/>
          <w:sz w:val="24"/>
        </w:rPr>
        <w:t>产生量，</w:t>
      </w:r>
      <w:r w:rsidRPr="002B55E9">
        <w:rPr>
          <w:bCs/>
          <w:snapToGrid w:val="0"/>
          <w:sz w:val="24"/>
        </w:rPr>
        <w:t>kg/s</w:t>
      </w:r>
      <w:r w:rsidRPr="002B55E9">
        <w:rPr>
          <w:bCs/>
          <w:snapToGrid w:val="0"/>
          <w:sz w:val="24"/>
        </w:rPr>
        <w:t>；</w:t>
      </w:r>
    </w:p>
    <w:p w14:paraId="3E25CDEC"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C——</w:t>
      </w:r>
      <w:r w:rsidRPr="002B55E9">
        <w:rPr>
          <w:rFonts w:hint="eastAsia"/>
          <w:bCs/>
          <w:snapToGrid w:val="0"/>
          <w:sz w:val="24"/>
        </w:rPr>
        <w:t>物质中碳的含</w:t>
      </w:r>
      <w:r w:rsidRPr="002B55E9">
        <w:rPr>
          <w:bCs/>
          <w:snapToGrid w:val="0"/>
          <w:sz w:val="24"/>
        </w:rPr>
        <w:t>量，</w:t>
      </w:r>
      <w:r w:rsidRPr="002B55E9">
        <w:rPr>
          <w:rFonts w:hint="eastAsia"/>
          <w:bCs/>
          <w:snapToGrid w:val="0"/>
          <w:sz w:val="24"/>
        </w:rPr>
        <w:t>取</w:t>
      </w:r>
      <w:r w:rsidRPr="002B55E9">
        <w:rPr>
          <w:rFonts w:hint="eastAsia"/>
          <w:bCs/>
          <w:snapToGrid w:val="0"/>
          <w:sz w:val="24"/>
        </w:rPr>
        <w:t>36</w:t>
      </w:r>
      <w:r w:rsidRPr="002B55E9">
        <w:rPr>
          <w:bCs/>
          <w:snapToGrid w:val="0"/>
          <w:sz w:val="24"/>
        </w:rPr>
        <w:t>%</w:t>
      </w:r>
      <w:r w:rsidRPr="002B55E9">
        <w:rPr>
          <w:bCs/>
          <w:snapToGrid w:val="0"/>
          <w:sz w:val="24"/>
        </w:rPr>
        <w:t>；</w:t>
      </w:r>
    </w:p>
    <w:p w14:paraId="4B599D64"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t>q——</w:t>
      </w:r>
      <w:r w:rsidRPr="002B55E9">
        <w:rPr>
          <w:bCs/>
          <w:snapToGrid w:val="0"/>
          <w:sz w:val="24"/>
        </w:rPr>
        <w:t>化学不完全燃烧值，</w:t>
      </w:r>
      <w:r w:rsidRPr="002B55E9">
        <w:rPr>
          <w:rFonts w:hint="eastAsia"/>
          <w:bCs/>
          <w:snapToGrid w:val="0"/>
          <w:sz w:val="24"/>
        </w:rPr>
        <w:t>取</w:t>
      </w:r>
      <w:r w:rsidRPr="002B55E9">
        <w:rPr>
          <w:rFonts w:hint="eastAsia"/>
          <w:bCs/>
          <w:snapToGrid w:val="0"/>
          <w:sz w:val="24"/>
        </w:rPr>
        <w:t>1.5%~6.0%</w:t>
      </w:r>
      <w:r w:rsidRPr="002B55E9">
        <w:rPr>
          <w:rFonts w:hint="eastAsia"/>
          <w:bCs/>
          <w:snapToGrid w:val="0"/>
          <w:sz w:val="24"/>
        </w:rPr>
        <w:t>，本次评价</w:t>
      </w:r>
      <w:r w:rsidRPr="002B55E9">
        <w:rPr>
          <w:bCs/>
          <w:snapToGrid w:val="0"/>
          <w:sz w:val="24"/>
        </w:rPr>
        <w:t>取</w:t>
      </w:r>
      <w:r w:rsidRPr="002B55E9">
        <w:rPr>
          <w:rFonts w:hint="eastAsia"/>
          <w:bCs/>
          <w:snapToGrid w:val="0"/>
          <w:sz w:val="24"/>
        </w:rPr>
        <w:t>6</w:t>
      </w:r>
      <w:r w:rsidRPr="002B55E9">
        <w:rPr>
          <w:bCs/>
          <w:snapToGrid w:val="0"/>
          <w:sz w:val="24"/>
        </w:rPr>
        <w:t>%</w:t>
      </w:r>
      <w:r w:rsidRPr="002B55E9">
        <w:rPr>
          <w:bCs/>
          <w:snapToGrid w:val="0"/>
          <w:sz w:val="24"/>
        </w:rPr>
        <w:t>；</w:t>
      </w:r>
    </w:p>
    <w:p w14:paraId="47F7EA2E"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Q</w:t>
      </w:r>
      <w:r w:rsidRPr="002B55E9">
        <w:rPr>
          <w:rFonts w:hint="eastAsia"/>
          <w:bCs/>
          <w:snapToGrid w:val="0"/>
          <w:sz w:val="24"/>
        </w:rPr>
        <w:t>——参与燃烧的物质量，</w:t>
      </w:r>
      <w:r w:rsidRPr="002B55E9">
        <w:rPr>
          <w:rFonts w:hint="eastAsia"/>
          <w:bCs/>
          <w:snapToGrid w:val="0"/>
          <w:sz w:val="24"/>
        </w:rPr>
        <w:t>t/s</w:t>
      </w:r>
      <w:r w:rsidRPr="002B55E9">
        <w:rPr>
          <w:rFonts w:hint="eastAsia"/>
          <w:bCs/>
          <w:snapToGrid w:val="0"/>
          <w:sz w:val="24"/>
        </w:rPr>
        <w:t>。</w:t>
      </w:r>
    </w:p>
    <w:p w14:paraId="0CDFD349"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经计算，项目过氧</w:t>
      </w:r>
      <w:r w:rsidRPr="002B55E9">
        <w:rPr>
          <w:bCs/>
          <w:snapToGrid w:val="0"/>
          <w:sz w:val="24"/>
        </w:rPr>
        <w:t>乙酸</w:t>
      </w:r>
      <w:r w:rsidRPr="002B55E9">
        <w:rPr>
          <w:rFonts w:hint="eastAsia"/>
          <w:bCs/>
          <w:snapToGrid w:val="0"/>
          <w:sz w:val="24"/>
        </w:rPr>
        <w:t>燃烧事故次生的</w:t>
      </w:r>
      <w:r w:rsidRPr="002B55E9">
        <w:rPr>
          <w:rFonts w:hint="eastAsia"/>
          <w:bCs/>
          <w:snapToGrid w:val="0"/>
          <w:sz w:val="24"/>
        </w:rPr>
        <w:t>CO</w:t>
      </w:r>
      <w:r w:rsidRPr="002B55E9">
        <w:rPr>
          <w:rFonts w:hint="eastAsia"/>
          <w:bCs/>
          <w:snapToGrid w:val="0"/>
          <w:sz w:val="24"/>
        </w:rPr>
        <w:t>污染产生速率为</w:t>
      </w:r>
      <w:r w:rsidRPr="002B55E9">
        <w:rPr>
          <w:rFonts w:hint="eastAsia"/>
          <w:bCs/>
          <w:snapToGrid w:val="0"/>
          <w:sz w:val="24"/>
        </w:rPr>
        <w:t>0</w:t>
      </w:r>
      <w:r w:rsidRPr="002B55E9">
        <w:rPr>
          <w:bCs/>
          <w:snapToGrid w:val="0"/>
          <w:sz w:val="24"/>
        </w:rPr>
        <w:t>.002796</w:t>
      </w:r>
      <w:r w:rsidRPr="002B55E9">
        <w:rPr>
          <w:rFonts w:hint="eastAsia"/>
          <w:bCs/>
          <w:snapToGrid w:val="0"/>
          <w:sz w:val="24"/>
        </w:rPr>
        <w:t>kg/s</w:t>
      </w:r>
      <w:r w:rsidRPr="002B55E9">
        <w:rPr>
          <w:rFonts w:hint="eastAsia"/>
          <w:bCs/>
          <w:snapToGrid w:val="0"/>
          <w:sz w:val="24"/>
        </w:rPr>
        <w:t>。</w:t>
      </w:r>
    </w:p>
    <w:p w14:paraId="01B95291" w14:textId="77777777" w:rsidR="00D170E5" w:rsidRPr="002B55E9" w:rsidRDefault="00EF27AD">
      <w:pPr>
        <w:pStyle w:val="5"/>
      </w:pPr>
      <w:r w:rsidRPr="002B55E9">
        <w:rPr>
          <w:rFonts w:hint="eastAsia"/>
        </w:rPr>
        <w:t>泄漏事故源项分析</w:t>
      </w:r>
    </w:p>
    <w:p w14:paraId="3DA13D3F"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本项目储罐中醋胚、十三</w:t>
      </w:r>
      <w:r w:rsidRPr="002B55E9">
        <w:rPr>
          <w:bCs/>
          <w:snapToGrid w:val="0"/>
          <w:sz w:val="24"/>
        </w:rPr>
        <w:t>车间</w:t>
      </w:r>
      <w:r w:rsidRPr="002B55E9">
        <w:rPr>
          <w:rFonts w:hint="eastAsia"/>
          <w:bCs/>
          <w:snapToGrid w:val="0"/>
          <w:sz w:val="24"/>
        </w:rPr>
        <w:t>过氧乙酸</w:t>
      </w:r>
      <w:r w:rsidRPr="002B55E9">
        <w:rPr>
          <w:bCs/>
          <w:snapToGrid w:val="0"/>
          <w:sz w:val="24"/>
        </w:rPr>
        <w:t>溶液</w:t>
      </w:r>
      <w:r w:rsidRPr="002B55E9">
        <w:rPr>
          <w:rFonts w:hint="eastAsia"/>
          <w:bCs/>
          <w:snapToGrid w:val="0"/>
          <w:sz w:val="24"/>
        </w:rPr>
        <w:t>均是在常温、常压条件下贮存。醋胚、过氧乙酸在常温常压下为液体，项目</w:t>
      </w:r>
      <w:r w:rsidRPr="002B55E9">
        <w:rPr>
          <w:bCs/>
          <w:snapToGrid w:val="0"/>
          <w:sz w:val="24"/>
        </w:rPr>
        <w:t>设定最大</w:t>
      </w:r>
      <w:r w:rsidRPr="002B55E9">
        <w:rPr>
          <w:rFonts w:hint="eastAsia"/>
          <w:bCs/>
          <w:snapToGrid w:val="0"/>
          <w:sz w:val="24"/>
        </w:rPr>
        <w:t>可信</w:t>
      </w:r>
      <w:r w:rsidRPr="002B55E9">
        <w:rPr>
          <w:bCs/>
          <w:snapToGrid w:val="0"/>
          <w:sz w:val="24"/>
        </w:rPr>
        <w:t>事故为</w:t>
      </w:r>
      <w:r w:rsidRPr="002B55E9">
        <w:rPr>
          <w:rFonts w:hint="eastAsia"/>
          <w:bCs/>
          <w:snapToGrid w:val="0"/>
          <w:sz w:val="24"/>
        </w:rPr>
        <w:t>醋胚</w:t>
      </w:r>
      <w:r w:rsidRPr="002B55E9">
        <w:rPr>
          <w:bCs/>
          <w:snapToGrid w:val="0"/>
          <w:sz w:val="24"/>
        </w:rPr>
        <w:t>储罐</w:t>
      </w:r>
      <w:r w:rsidRPr="002B55E9">
        <w:rPr>
          <w:rFonts w:hint="eastAsia"/>
          <w:bCs/>
          <w:snapToGrid w:val="0"/>
          <w:sz w:val="24"/>
        </w:rPr>
        <w:t>发生</w:t>
      </w:r>
      <w:r w:rsidRPr="002B55E9">
        <w:rPr>
          <w:rFonts w:hint="eastAsia"/>
          <w:bCs/>
          <w:snapToGrid w:val="0"/>
          <w:sz w:val="24"/>
        </w:rPr>
        <w:t>10</w:t>
      </w:r>
      <w:r w:rsidRPr="002B55E9">
        <w:rPr>
          <w:bCs/>
          <w:snapToGrid w:val="0"/>
          <w:sz w:val="24"/>
        </w:rPr>
        <w:t>mm</w:t>
      </w:r>
      <w:r w:rsidRPr="002B55E9">
        <w:rPr>
          <w:bCs/>
          <w:snapToGrid w:val="0"/>
          <w:sz w:val="24"/>
        </w:rPr>
        <w:t>孔径泄漏</w:t>
      </w:r>
      <w:r w:rsidRPr="002B55E9">
        <w:rPr>
          <w:rFonts w:hint="eastAsia"/>
          <w:bCs/>
          <w:snapToGrid w:val="0"/>
          <w:sz w:val="24"/>
        </w:rPr>
        <w:t>、</w:t>
      </w:r>
      <w:r w:rsidRPr="002B55E9">
        <w:rPr>
          <w:bCs/>
          <w:snapToGrid w:val="0"/>
          <w:sz w:val="24"/>
        </w:rPr>
        <w:t>过氧乙酸包装桶</w:t>
      </w:r>
      <w:r w:rsidRPr="002B55E9">
        <w:rPr>
          <w:rFonts w:hint="eastAsia"/>
          <w:bCs/>
          <w:snapToGrid w:val="0"/>
          <w:sz w:val="24"/>
        </w:rPr>
        <w:t>10</w:t>
      </w:r>
      <w:r w:rsidRPr="002B55E9">
        <w:rPr>
          <w:bCs/>
          <w:snapToGrid w:val="0"/>
          <w:sz w:val="24"/>
        </w:rPr>
        <w:t>min</w:t>
      </w:r>
      <w:r w:rsidRPr="002B55E9">
        <w:rPr>
          <w:rFonts w:hint="eastAsia"/>
          <w:bCs/>
          <w:snapToGrid w:val="0"/>
          <w:sz w:val="24"/>
        </w:rPr>
        <w:t>内</w:t>
      </w:r>
      <w:r w:rsidRPr="002B55E9">
        <w:rPr>
          <w:bCs/>
          <w:snapToGrid w:val="0"/>
          <w:sz w:val="24"/>
        </w:rPr>
        <w:t>泄漏</w:t>
      </w:r>
      <w:r w:rsidRPr="002B55E9">
        <w:rPr>
          <w:rFonts w:hint="eastAsia"/>
          <w:bCs/>
          <w:snapToGrid w:val="0"/>
          <w:sz w:val="24"/>
        </w:rPr>
        <w:t>完，</w:t>
      </w:r>
      <w:r w:rsidRPr="002B55E9">
        <w:rPr>
          <w:bCs/>
          <w:snapToGrid w:val="0"/>
          <w:sz w:val="24"/>
        </w:rPr>
        <w:t>二氧化氯包装桶</w:t>
      </w:r>
      <w:r w:rsidRPr="002B55E9">
        <w:rPr>
          <w:rFonts w:hint="eastAsia"/>
          <w:bCs/>
          <w:snapToGrid w:val="0"/>
          <w:sz w:val="24"/>
        </w:rPr>
        <w:t>10</w:t>
      </w:r>
      <w:r w:rsidRPr="002B55E9">
        <w:rPr>
          <w:bCs/>
          <w:snapToGrid w:val="0"/>
          <w:sz w:val="24"/>
        </w:rPr>
        <w:t>min</w:t>
      </w:r>
      <w:r w:rsidRPr="002B55E9">
        <w:rPr>
          <w:bCs/>
          <w:snapToGrid w:val="0"/>
          <w:sz w:val="24"/>
        </w:rPr>
        <w:t>内泄漏完，</w:t>
      </w:r>
      <w:r w:rsidRPr="002B55E9">
        <w:rPr>
          <w:rFonts w:hint="eastAsia"/>
          <w:bCs/>
          <w:snapToGrid w:val="0"/>
          <w:sz w:val="24"/>
        </w:rPr>
        <w:t>即过氧乙酸（</w:t>
      </w:r>
      <w:r w:rsidRPr="002B55E9">
        <w:rPr>
          <w:rFonts w:hint="eastAsia"/>
          <w:bCs/>
          <w:snapToGrid w:val="0"/>
          <w:sz w:val="24"/>
        </w:rPr>
        <w:t>20</w:t>
      </w:r>
      <w:r w:rsidRPr="002B55E9">
        <w:rPr>
          <w:bCs/>
          <w:snapToGrid w:val="0"/>
          <w:sz w:val="24"/>
        </w:rPr>
        <w:t>%</w:t>
      </w:r>
      <w:r w:rsidRPr="002B55E9">
        <w:rPr>
          <w:rFonts w:hint="eastAsia"/>
          <w:bCs/>
          <w:snapToGrid w:val="0"/>
          <w:sz w:val="24"/>
        </w:rPr>
        <w:t>）</w:t>
      </w:r>
      <w:r w:rsidRPr="002B55E9">
        <w:rPr>
          <w:bCs/>
          <w:snapToGrid w:val="0"/>
          <w:sz w:val="24"/>
        </w:rPr>
        <w:t>在</w:t>
      </w:r>
      <w:r w:rsidRPr="002B55E9">
        <w:rPr>
          <w:rFonts w:hint="eastAsia"/>
          <w:bCs/>
          <w:snapToGrid w:val="0"/>
          <w:sz w:val="24"/>
        </w:rPr>
        <w:t>10min</w:t>
      </w:r>
      <w:r w:rsidRPr="002B55E9">
        <w:rPr>
          <w:bCs/>
          <w:snapToGrid w:val="0"/>
          <w:sz w:val="24"/>
        </w:rPr>
        <w:t>内</w:t>
      </w:r>
      <w:r w:rsidRPr="002B55E9">
        <w:rPr>
          <w:rFonts w:hint="eastAsia"/>
          <w:bCs/>
          <w:snapToGrid w:val="0"/>
          <w:sz w:val="24"/>
        </w:rPr>
        <w:t>的</w:t>
      </w:r>
      <w:r w:rsidRPr="002B55E9">
        <w:rPr>
          <w:bCs/>
          <w:snapToGrid w:val="0"/>
          <w:sz w:val="24"/>
        </w:rPr>
        <w:t>泄漏量为</w:t>
      </w:r>
      <w:r w:rsidRPr="002B55E9">
        <w:rPr>
          <w:rFonts w:hint="eastAsia"/>
          <w:bCs/>
          <w:snapToGrid w:val="0"/>
          <w:sz w:val="24"/>
        </w:rPr>
        <w:t>250</w:t>
      </w:r>
      <w:r w:rsidRPr="002B55E9">
        <w:rPr>
          <w:bCs/>
          <w:snapToGrid w:val="0"/>
          <w:sz w:val="24"/>
        </w:rPr>
        <w:t>kg</w:t>
      </w:r>
      <w:r w:rsidRPr="002B55E9">
        <w:rPr>
          <w:bCs/>
          <w:snapToGrid w:val="0"/>
          <w:sz w:val="24"/>
        </w:rPr>
        <w:t>，</w:t>
      </w:r>
      <w:r w:rsidRPr="002B55E9">
        <w:rPr>
          <w:rFonts w:hint="eastAsia"/>
          <w:bCs/>
          <w:snapToGrid w:val="0"/>
          <w:sz w:val="24"/>
        </w:rPr>
        <w:t>二氧化氯</w:t>
      </w:r>
      <w:r w:rsidRPr="002B55E9">
        <w:rPr>
          <w:bCs/>
          <w:snapToGrid w:val="0"/>
          <w:sz w:val="24"/>
        </w:rPr>
        <w:t>（</w:t>
      </w:r>
      <w:r w:rsidRPr="002B55E9">
        <w:rPr>
          <w:rFonts w:hint="eastAsia"/>
          <w:bCs/>
          <w:snapToGrid w:val="0"/>
          <w:sz w:val="24"/>
        </w:rPr>
        <w:t>15</w:t>
      </w:r>
      <w:r w:rsidRPr="002B55E9">
        <w:rPr>
          <w:bCs/>
          <w:snapToGrid w:val="0"/>
          <w:sz w:val="24"/>
        </w:rPr>
        <w:t>%</w:t>
      </w:r>
      <w:r w:rsidRPr="002B55E9">
        <w:rPr>
          <w:bCs/>
          <w:snapToGrid w:val="0"/>
          <w:sz w:val="24"/>
        </w:rPr>
        <w:t>）</w:t>
      </w:r>
      <w:r w:rsidRPr="002B55E9">
        <w:rPr>
          <w:rFonts w:hint="eastAsia"/>
          <w:bCs/>
          <w:snapToGrid w:val="0"/>
          <w:sz w:val="24"/>
        </w:rPr>
        <w:t>在</w:t>
      </w:r>
      <w:r w:rsidRPr="002B55E9">
        <w:rPr>
          <w:rFonts w:hint="eastAsia"/>
          <w:bCs/>
          <w:snapToGrid w:val="0"/>
          <w:sz w:val="24"/>
        </w:rPr>
        <w:t>10min</w:t>
      </w:r>
      <w:r w:rsidRPr="002B55E9">
        <w:rPr>
          <w:bCs/>
          <w:snapToGrid w:val="0"/>
          <w:sz w:val="24"/>
        </w:rPr>
        <w:t>内泄漏</w:t>
      </w:r>
      <w:r w:rsidRPr="002B55E9">
        <w:rPr>
          <w:rFonts w:hint="eastAsia"/>
          <w:bCs/>
          <w:snapToGrid w:val="0"/>
          <w:sz w:val="24"/>
        </w:rPr>
        <w:t>量</w:t>
      </w:r>
      <w:r w:rsidRPr="002B55E9">
        <w:rPr>
          <w:bCs/>
          <w:snapToGrid w:val="0"/>
          <w:sz w:val="24"/>
        </w:rPr>
        <w:t>为</w:t>
      </w:r>
      <w:r w:rsidRPr="002B55E9">
        <w:rPr>
          <w:rFonts w:hint="eastAsia"/>
          <w:bCs/>
          <w:snapToGrid w:val="0"/>
          <w:sz w:val="24"/>
        </w:rPr>
        <w:t>25</w:t>
      </w:r>
      <w:r w:rsidRPr="002B55E9">
        <w:rPr>
          <w:bCs/>
          <w:snapToGrid w:val="0"/>
          <w:sz w:val="24"/>
        </w:rPr>
        <w:t>kg</w:t>
      </w:r>
      <w:r w:rsidRPr="002B55E9">
        <w:rPr>
          <w:bCs/>
          <w:snapToGrid w:val="0"/>
          <w:sz w:val="24"/>
        </w:rPr>
        <w:t>，</w:t>
      </w:r>
      <w:r w:rsidRPr="002B55E9">
        <w:rPr>
          <w:rFonts w:hint="eastAsia"/>
          <w:bCs/>
          <w:snapToGrid w:val="0"/>
          <w:sz w:val="24"/>
        </w:rPr>
        <w:t>醋胚</w:t>
      </w:r>
      <w:r w:rsidRPr="002B55E9">
        <w:rPr>
          <w:bCs/>
          <w:snapToGrid w:val="0"/>
          <w:sz w:val="24"/>
        </w:rPr>
        <w:t>储罐</w:t>
      </w:r>
      <w:r w:rsidRPr="002B55E9">
        <w:rPr>
          <w:rFonts w:hint="eastAsia"/>
          <w:bCs/>
          <w:snapToGrid w:val="0"/>
          <w:sz w:val="24"/>
        </w:rPr>
        <w:t>泄漏按照柏努利方程</w:t>
      </w:r>
      <w:r w:rsidRPr="002B55E9">
        <w:rPr>
          <w:rFonts w:hint="eastAsia"/>
          <w:bCs/>
          <w:snapToGrid w:val="0"/>
          <w:sz w:val="24"/>
        </w:rPr>
        <w:t>Q</w:t>
      </w:r>
      <w:r w:rsidRPr="002B55E9">
        <w:rPr>
          <w:rFonts w:hint="eastAsia"/>
          <w:bCs/>
          <w:snapToGrid w:val="0"/>
          <w:sz w:val="24"/>
          <w:vertAlign w:val="subscript"/>
        </w:rPr>
        <w:t>L</w:t>
      </w:r>
      <w:r w:rsidRPr="002B55E9">
        <w:rPr>
          <w:rFonts w:hint="eastAsia"/>
          <w:bCs/>
          <w:snapToGrid w:val="0"/>
          <w:sz w:val="24"/>
        </w:rPr>
        <w:t>计算液体泄漏速率。</w:t>
      </w:r>
    </w:p>
    <w:p w14:paraId="6DB7790C"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按照《建设项目环境风险评价技术导则》（</w:t>
      </w:r>
      <w:r w:rsidRPr="002B55E9">
        <w:rPr>
          <w:rFonts w:hint="eastAsia"/>
          <w:bCs/>
          <w:snapToGrid w:val="0"/>
          <w:sz w:val="24"/>
        </w:rPr>
        <w:t>HJ169-2018</w:t>
      </w:r>
      <w:r w:rsidRPr="002B55E9">
        <w:rPr>
          <w:rFonts w:hint="eastAsia"/>
          <w:bCs/>
          <w:snapToGrid w:val="0"/>
          <w:sz w:val="24"/>
        </w:rPr>
        <w:t>）公式</w:t>
      </w:r>
      <w:r w:rsidRPr="002B55E9">
        <w:rPr>
          <w:rFonts w:hint="eastAsia"/>
          <w:bCs/>
          <w:snapToGrid w:val="0"/>
          <w:sz w:val="24"/>
        </w:rPr>
        <w:t>Q</w:t>
      </w:r>
      <w:r w:rsidRPr="002B55E9">
        <w:rPr>
          <w:rFonts w:hint="eastAsia"/>
          <w:bCs/>
          <w:snapToGrid w:val="0"/>
          <w:sz w:val="24"/>
          <w:vertAlign w:val="subscript"/>
        </w:rPr>
        <w:t>3</w:t>
      </w:r>
      <w:r w:rsidRPr="002B55E9">
        <w:rPr>
          <w:rFonts w:hint="eastAsia"/>
          <w:bCs/>
          <w:snapToGrid w:val="0"/>
          <w:sz w:val="24"/>
        </w:rPr>
        <w:t>计算蒸发速率。根据《建设项目环境风险评价技术导则》（</w:t>
      </w:r>
      <w:r w:rsidRPr="002B55E9">
        <w:rPr>
          <w:rFonts w:hint="eastAsia"/>
          <w:bCs/>
          <w:snapToGrid w:val="0"/>
          <w:sz w:val="24"/>
        </w:rPr>
        <w:t>HJ169-2018</w:t>
      </w:r>
      <w:r w:rsidRPr="002B55E9">
        <w:rPr>
          <w:rFonts w:hint="eastAsia"/>
          <w:bCs/>
          <w:snapToGrid w:val="0"/>
          <w:sz w:val="24"/>
        </w:rPr>
        <w:t>），本项目设置紧急隔离控制措施，因此液体泄漏时间取</w:t>
      </w:r>
      <w:r w:rsidRPr="002B55E9">
        <w:rPr>
          <w:rFonts w:hint="eastAsia"/>
          <w:bCs/>
          <w:snapToGrid w:val="0"/>
          <w:sz w:val="24"/>
        </w:rPr>
        <w:t>10min</w:t>
      </w:r>
      <w:r w:rsidRPr="002B55E9">
        <w:rPr>
          <w:rFonts w:hint="eastAsia"/>
          <w:bCs/>
          <w:snapToGrid w:val="0"/>
          <w:sz w:val="24"/>
        </w:rPr>
        <w:t>；蒸发泄露时间一般按</w:t>
      </w:r>
      <w:r w:rsidRPr="002B55E9">
        <w:rPr>
          <w:rFonts w:hint="eastAsia"/>
          <w:bCs/>
          <w:snapToGrid w:val="0"/>
          <w:sz w:val="24"/>
        </w:rPr>
        <w:t>15~30min</w:t>
      </w:r>
      <w:r w:rsidRPr="002B55E9">
        <w:rPr>
          <w:rFonts w:hint="eastAsia"/>
          <w:bCs/>
          <w:snapToGrid w:val="0"/>
          <w:sz w:val="24"/>
        </w:rPr>
        <w:t>计，本次评价取</w:t>
      </w:r>
      <w:r w:rsidRPr="002B55E9">
        <w:rPr>
          <w:rFonts w:hint="eastAsia"/>
          <w:bCs/>
          <w:snapToGrid w:val="0"/>
          <w:sz w:val="24"/>
        </w:rPr>
        <w:t>30min</w:t>
      </w:r>
      <w:r w:rsidRPr="002B55E9">
        <w:rPr>
          <w:rFonts w:hint="eastAsia"/>
          <w:bCs/>
          <w:snapToGrid w:val="0"/>
          <w:sz w:val="24"/>
        </w:rPr>
        <w:t>。</w:t>
      </w:r>
    </w:p>
    <w:p w14:paraId="32ABA610" w14:textId="77777777" w:rsidR="00D170E5" w:rsidRPr="002B55E9" w:rsidRDefault="00EF27AD">
      <w:pPr>
        <w:widowControl/>
        <w:spacing w:after="60" w:line="360" w:lineRule="auto"/>
        <w:ind w:firstLineChars="200" w:firstLine="480"/>
        <w:rPr>
          <w:bCs/>
          <w:snapToGrid w:val="0"/>
          <w:sz w:val="24"/>
        </w:rPr>
      </w:pPr>
      <w:r w:rsidRPr="002B55E9">
        <w:rPr>
          <w:rFonts w:hint="eastAsia"/>
          <w:bCs/>
          <w:snapToGrid w:val="0"/>
          <w:sz w:val="24"/>
        </w:rPr>
        <w:t>拟建工程</w:t>
      </w:r>
      <w:r w:rsidRPr="002B55E9">
        <w:rPr>
          <w:bCs/>
          <w:snapToGrid w:val="0"/>
          <w:sz w:val="24"/>
        </w:rPr>
        <w:t>泄漏事故排放源强见表</w:t>
      </w:r>
      <w:r w:rsidRPr="002B55E9">
        <w:rPr>
          <w:bCs/>
          <w:snapToGrid w:val="0"/>
          <w:sz w:val="24"/>
        </w:rPr>
        <w:t>6</w:t>
      </w:r>
      <w:r w:rsidRPr="002B55E9">
        <w:rPr>
          <w:rFonts w:hint="eastAsia"/>
          <w:bCs/>
          <w:snapToGrid w:val="0"/>
          <w:sz w:val="24"/>
        </w:rPr>
        <w:t>-5-</w:t>
      </w:r>
      <w:r w:rsidRPr="002B55E9">
        <w:rPr>
          <w:bCs/>
          <w:snapToGrid w:val="0"/>
          <w:sz w:val="24"/>
        </w:rPr>
        <w:t>5</w:t>
      </w:r>
      <w:r w:rsidRPr="002B55E9">
        <w:rPr>
          <w:bCs/>
          <w:snapToGrid w:val="0"/>
          <w:sz w:val="24"/>
        </w:rPr>
        <w:t>。</w:t>
      </w:r>
    </w:p>
    <w:p w14:paraId="7E0E9272" w14:textId="77777777" w:rsidR="00D170E5" w:rsidRPr="002B55E9" w:rsidRDefault="00EF27AD">
      <w:pPr>
        <w:ind w:firstLine="482"/>
        <w:jc w:val="center"/>
        <w:rPr>
          <w:rFonts w:eastAsia="黑体"/>
          <w:b/>
          <w:sz w:val="24"/>
        </w:rPr>
      </w:pPr>
      <w:r w:rsidRPr="002B55E9">
        <w:rPr>
          <w:rFonts w:eastAsia="黑体" w:hint="eastAsia"/>
          <w:b/>
          <w:sz w:val="24"/>
        </w:rPr>
        <w:t>表</w:t>
      </w:r>
      <w:r w:rsidRPr="002B55E9">
        <w:rPr>
          <w:rFonts w:eastAsia="黑体" w:hint="eastAsia"/>
          <w:b/>
          <w:sz w:val="24"/>
        </w:rPr>
        <w:t>6-5-</w:t>
      </w:r>
      <w:r w:rsidRPr="002B55E9">
        <w:rPr>
          <w:rFonts w:eastAsia="黑体"/>
          <w:b/>
          <w:sz w:val="24"/>
        </w:rPr>
        <w:t>5</w:t>
      </w:r>
      <w:r w:rsidRPr="002B55E9">
        <w:rPr>
          <w:rFonts w:eastAsia="黑体" w:hint="eastAsia"/>
          <w:b/>
          <w:sz w:val="24"/>
        </w:rPr>
        <w:t xml:space="preserve">  </w:t>
      </w:r>
      <w:r w:rsidRPr="002B55E9">
        <w:rPr>
          <w:rFonts w:eastAsia="黑体" w:hint="eastAsia"/>
          <w:b/>
          <w:sz w:val="24"/>
        </w:rPr>
        <w:t>最不利</w:t>
      </w:r>
      <w:r w:rsidRPr="002B55E9">
        <w:rPr>
          <w:rFonts w:eastAsia="黑体"/>
          <w:b/>
          <w:sz w:val="24"/>
        </w:rPr>
        <w:t>条件下</w:t>
      </w:r>
      <w:r w:rsidRPr="002B55E9">
        <w:rPr>
          <w:rFonts w:eastAsia="黑体" w:hint="eastAsia"/>
          <w:b/>
          <w:sz w:val="24"/>
        </w:rPr>
        <w:t>建设项目源强一览表</w:t>
      </w:r>
    </w:p>
    <w:tbl>
      <w:tblPr>
        <w:tblStyle w:val="lgy2"/>
        <w:tblW w:w="5000" w:type="pct"/>
        <w:tblLayout w:type="fixed"/>
        <w:tblCellMar>
          <w:left w:w="28" w:type="dxa"/>
          <w:right w:w="28" w:type="dxa"/>
        </w:tblCellMar>
        <w:tblLook w:val="04A0" w:firstRow="1" w:lastRow="0" w:firstColumn="1" w:lastColumn="0" w:noHBand="0" w:noVBand="1"/>
      </w:tblPr>
      <w:tblGrid>
        <w:gridCol w:w="392"/>
        <w:gridCol w:w="1564"/>
        <w:gridCol w:w="727"/>
        <w:gridCol w:w="829"/>
        <w:gridCol w:w="818"/>
        <w:gridCol w:w="925"/>
        <w:gridCol w:w="1187"/>
        <w:gridCol w:w="1187"/>
        <w:gridCol w:w="987"/>
        <w:gridCol w:w="1077"/>
      </w:tblGrid>
      <w:tr w:rsidR="00C60999" w:rsidRPr="002B55E9" w14:paraId="6A7845BE"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390" w:type="dxa"/>
          </w:tcPr>
          <w:p w14:paraId="10150911" w14:textId="77777777" w:rsidR="00D170E5" w:rsidRPr="002B55E9" w:rsidRDefault="00EF27AD">
            <w:pPr>
              <w:pStyle w:val="lgy-"/>
            </w:pPr>
            <w:r w:rsidRPr="002B55E9">
              <w:rPr>
                <w:rFonts w:eastAsia="宋体" w:hint="eastAsia"/>
              </w:rPr>
              <w:t>序号</w:t>
            </w:r>
          </w:p>
        </w:tc>
        <w:tc>
          <w:tcPr>
            <w:tcW w:w="1555" w:type="dxa"/>
          </w:tcPr>
          <w:p w14:paraId="12098926" w14:textId="77777777" w:rsidR="00D170E5" w:rsidRPr="002B55E9" w:rsidRDefault="00EF27AD">
            <w:pPr>
              <w:pStyle w:val="lgy-"/>
            </w:pPr>
            <w:r w:rsidRPr="002B55E9">
              <w:rPr>
                <w:rFonts w:eastAsia="宋体" w:hint="eastAsia"/>
              </w:rPr>
              <w:t>风险事故情形</w:t>
            </w:r>
          </w:p>
        </w:tc>
        <w:tc>
          <w:tcPr>
            <w:tcW w:w="723" w:type="dxa"/>
          </w:tcPr>
          <w:p w14:paraId="12DF4495" w14:textId="77777777" w:rsidR="00D170E5" w:rsidRPr="002B55E9" w:rsidRDefault="00EF27AD">
            <w:pPr>
              <w:pStyle w:val="lgy-"/>
            </w:pPr>
            <w:r w:rsidRPr="002B55E9">
              <w:rPr>
                <w:rFonts w:eastAsia="宋体" w:hint="eastAsia"/>
              </w:rPr>
              <w:t>危险单元</w:t>
            </w:r>
          </w:p>
        </w:tc>
        <w:tc>
          <w:tcPr>
            <w:tcW w:w="824" w:type="dxa"/>
          </w:tcPr>
          <w:p w14:paraId="1A56D070" w14:textId="77777777" w:rsidR="00D170E5" w:rsidRPr="002B55E9" w:rsidRDefault="00EF27AD">
            <w:pPr>
              <w:pStyle w:val="lgy-"/>
            </w:pPr>
            <w:r w:rsidRPr="002B55E9">
              <w:rPr>
                <w:rFonts w:eastAsia="宋体" w:hint="eastAsia"/>
              </w:rPr>
              <w:t>危险物质</w:t>
            </w:r>
          </w:p>
        </w:tc>
        <w:tc>
          <w:tcPr>
            <w:tcW w:w="813" w:type="dxa"/>
          </w:tcPr>
          <w:p w14:paraId="0F871708" w14:textId="77777777" w:rsidR="00D170E5" w:rsidRPr="002B55E9" w:rsidRDefault="00EF27AD">
            <w:pPr>
              <w:pStyle w:val="lgy-"/>
            </w:pPr>
            <w:r w:rsidRPr="002B55E9">
              <w:rPr>
                <w:rFonts w:eastAsia="宋体" w:hint="eastAsia"/>
              </w:rPr>
              <w:t>影响途径</w:t>
            </w:r>
          </w:p>
        </w:tc>
        <w:tc>
          <w:tcPr>
            <w:tcW w:w="920" w:type="dxa"/>
          </w:tcPr>
          <w:p w14:paraId="4C8B462D" w14:textId="77777777" w:rsidR="00D170E5" w:rsidRPr="002B55E9" w:rsidRDefault="00EF27AD">
            <w:pPr>
              <w:pStyle w:val="lgy-"/>
            </w:pPr>
            <w:r w:rsidRPr="002B55E9">
              <w:rPr>
                <w:rFonts w:eastAsia="宋体" w:hint="eastAsia"/>
              </w:rPr>
              <w:t>泄漏速率</w:t>
            </w:r>
            <w:r w:rsidRPr="002B55E9">
              <w:rPr>
                <w:rFonts w:eastAsia="宋体"/>
              </w:rPr>
              <w:t>/(kg/s)</w:t>
            </w:r>
          </w:p>
        </w:tc>
        <w:tc>
          <w:tcPr>
            <w:tcW w:w="1180" w:type="dxa"/>
          </w:tcPr>
          <w:p w14:paraId="16101600" w14:textId="77777777" w:rsidR="00D170E5" w:rsidRPr="002B55E9" w:rsidRDefault="00EF27AD" w:rsidP="00712630">
            <w:pPr>
              <w:pStyle w:val="lgy-"/>
            </w:pPr>
            <w:r w:rsidRPr="002B55E9">
              <w:rPr>
                <w:rFonts w:eastAsia="宋体" w:hint="eastAsia"/>
              </w:rPr>
              <w:t>泄漏量</w:t>
            </w:r>
            <w:r w:rsidRPr="002B55E9">
              <w:rPr>
                <w:rFonts w:eastAsia="宋体"/>
              </w:rPr>
              <w:t>/kg</w:t>
            </w:r>
          </w:p>
        </w:tc>
        <w:tc>
          <w:tcPr>
            <w:tcW w:w="1180" w:type="dxa"/>
          </w:tcPr>
          <w:p w14:paraId="0228B5D3" w14:textId="77777777" w:rsidR="00D170E5" w:rsidRPr="002B55E9" w:rsidRDefault="00EF27AD">
            <w:pPr>
              <w:pStyle w:val="lgy-"/>
            </w:pPr>
            <w:r w:rsidRPr="002B55E9">
              <w:rPr>
                <w:rFonts w:eastAsia="宋体" w:hint="eastAsia"/>
              </w:rPr>
              <w:t>释放或泄漏时间</w:t>
            </w:r>
            <w:r w:rsidRPr="002B55E9">
              <w:rPr>
                <w:rFonts w:eastAsia="宋体"/>
              </w:rPr>
              <w:t>/min</w:t>
            </w:r>
          </w:p>
        </w:tc>
        <w:tc>
          <w:tcPr>
            <w:tcW w:w="981" w:type="dxa"/>
          </w:tcPr>
          <w:p w14:paraId="6ED41F7D" w14:textId="77777777" w:rsidR="00D170E5" w:rsidRPr="002B55E9" w:rsidRDefault="00EF27AD">
            <w:pPr>
              <w:pStyle w:val="lgy-"/>
            </w:pPr>
            <w:r w:rsidRPr="002B55E9">
              <w:rPr>
                <w:rFonts w:eastAsia="宋体" w:hint="eastAsia"/>
              </w:rPr>
              <w:t>蒸发速率</w:t>
            </w:r>
            <w:r w:rsidRPr="002B55E9">
              <w:rPr>
                <w:rFonts w:eastAsia="宋体" w:hint="eastAsia"/>
              </w:rPr>
              <w:t>/(kg/s)</w:t>
            </w:r>
          </w:p>
        </w:tc>
        <w:tc>
          <w:tcPr>
            <w:tcW w:w="1071" w:type="dxa"/>
          </w:tcPr>
          <w:p w14:paraId="5AC8F553" w14:textId="77777777" w:rsidR="00D170E5" w:rsidRPr="002B55E9" w:rsidRDefault="00EF27AD">
            <w:pPr>
              <w:pStyle w:val="lgy-"/>
              <w:rPr>
                <w:rFonts w:eastAsia="宋体"/>
              </w:rPr>
            </w:pPr>
            <w:r w:rsidRPr="002B55E9">
              <w:rPr>
                <w:rFonts w:eastAsia="宋体" w:hint="eastAsia"/>
              </w:rPr>
              <w:t>泄漏液体蒸发量</w:t>
            </w:r>
            <w:r w:rsidRPr="002B55E9">
              <w:rPr>
                <w:rFonts w:eastAsia="宋体"/>
              </w:rPr>
              <w:t>/kg</w:t>
            </w:r>
          </w:p>
        </w:tc>
      </w:tr>
      <w:tr w:rsidR="00C60999" w:rsidRPr="002B55E9" w14:paraId="791F8AF9" w14:textId="77777777" w:rsidTr="00712630">
        <w:trPr>
          <w:trHeight w:val="283"/>
        </w:trPr>
        <w:tc>
          <w:tcPr>
            <w:tcW w:w="390" w:type="dxa"/>
          </w:tcPr>
          <w:p w14:paraId="23188D00" w14:textId="77777777" w:rsidR="00D170E5" w:rsidRPr="002B55E9" w:rsidRDefault="00EF27AD">
            <w:pPr>
              <w:pStyle w:val="lgy-"/>
            </w:pPr>
            <w:r w:rsidRPr="002B55E9">
              <w:rPr>
                <w:rFonts w:eastAsia="宋体" w:hint="eastAsia"/>
              </w:rPr>
              <w:t>1</w:t>
            </w:r>
          </w:p>
        </w:tc>
        <w:tc>
          <w:tcPr>
            <w:tcW w:w="1555" w:type="dxa"/>
          </w:tcPr>
          <w:p w14:paraId="7FE5FFF4" w14:textId="77777777" w:rsidR="00D170E5" w:rsidRPr="002B55E9" w:rsidRDefault="00EF27AD">
            <w:pPr>
              <w:pStyle w:val="lgy-"/>
            </w:pPr>
            <w:r w:rsidRPr="002B55E9">
              <w:rPr>
                <w:rFonts w:eastAsia="宋体" w:hint="eastAsia"/>
              </w:rPr>
              <w:t>情形</w:t>
            </w:r>
            <w:r w:rsidRPr="002B55E9">
              <w:rPr>
                <w:rFonts w:eastAsia="宋体" w:hint="eastAsia"/>
              </w:rPr>
              <w:t>1</w:t>
            </w:r>
            <w:r w:rsidRPr="002B55E9">
              <w:rPr>
                <w:rFonts w:eastAsia="宋体" w:hint="eastAsia"/>
              </w:rPr>
              <w:t>（储罐泄漏）</w:t>
            </w:r>
          </w:p>
        </w:tc>
        <w:tc>
          <w:tcPr>
            <w:tcW w:w="723" w:type="dxa"/>
          </w:tcPr>
          <w:p w14:paraId="3599345E" w14:textId="77777777" w:rsidR="00D170E5" w:rsidRPr="002B55E9" w:rsidRDefault="00EF27AD">
            <w:pPr>
              <w:pStyle w:val="lgy-"/>
            </w:pPr>
            <w:r w:rsidRPr="002B55E9">
              <w:rPr>
                <w:rFonts w:eastAsia="宋体" w:hint="eastAsia"/>
              </w:rPr>
              <w:t>罐区</w:t>
            </w:r>
          </w:p>
        </w:tc>
        <w:tc>
          <w:tcPr>
            <w:tcW w:w="824" w:type="dxa"/>
          </w:tcPr>
          <w:p w14:paraId="517AD662" w14:textId="77777777" w:rsidR="00D170E5" w:rsidRPr="002B55E9" w:rsidRDefault="00EF27AD">
            <w:pPr>
              <w:pStyle w:val="lgy-"/>
            </w:pPr>
            <w:r w:rsidRPr="002B55E9">
              <w:rPr>
                <w:rFonts w:eastAsia="宋体" w:hint="eastAsia"/>
              </w:rPr>
              <w:t>白米醋胚（乙酸）</w:t>
            </w:r>
          </w:p>
        </w:tc>
        <w:tc>
          <w:tcPr>
            <w:tcW w:w="813" w:type="dxa"/>
          </w:tcPr>
          <w:p w14:paraId="707F5E71" w14:textId="77777777" w:rsidR="00D170E5" w:rsidRPr="002B55E9" w:rsidRDefault="00EF27AD">
            <w:pPr>
              <w:pStyle w:val="lgy-"/>
            </w:pPr>
            <w:r w:rsidRPr="002B55E9">
              <w:rPr>
                <w:rFonts w:eastAsia="宋体" w:hint="eastAsia"/>
              </w:rPr>
              <w:t>大气、地表水、地下水</w:t>
            </w:r>
          </w:p>
        </w:tc>
        <w:tc>
          <w:tcPr>
            <w:tcW w:w="920" w:type="dxa"/>
          </w:tcPr>
          <w:p w14:paraId="61570405" w14:textId="77777777" w:rsidR="00D170E5" w:rsidRPr="002B55E9" w:rsidRDefault="00EF27AD">
            <w:pPr>
              <w:pStyle w:val="lgy-"/>
            </w:pPr>
            <w:r w:rsidRPr="002B55E9">
              <w:rPr>
                <w:rFonts w:eastAsia="宋体" w:hint="eastAsia"/>
              </w:rPr>
              <w:t>0.</w:t>
            </w:r>
            <w:r w:rsidRPr="002B55E9">
              <w:rPr>
                <w:rFonts w:eastAsia="宋体"/>
              </w:rPr>
              <w:t>783</w:t>
            </w:r>
          </w:p>
        </w:tc>
        <w:tc>
          <w:tcPr>
            <w:tcW w:w="1180" w:type="dxa"/>
          </w:tcPr>
          <w:p w14:paraId="62420E1A" w14:textId="77777777" w:rsidR="00D170E5" w:rsidRPr="002B55E9" w:rsidRDefault="00EF27AD">
            <w:pPr>
              <w:pStyle w:val="lgy-"/>
            </w:pPr>
            <w:r w:rsidRPr="002B55E9">
              <w:rPr>
                <w:rFonts w:eastAsia="宋体"/>
              </w:rPr>
              <w:t>469.8</w:t>
            </w:r>
          </w:p>
        </w:tc>
        <w:tc>
          <w:tcPr>
            <w:tcW w:w="1180" w:type="dxa"/>
          </w:tcPr>
          <w:p w14:paraId="1B23F6EE" w14:textId="77777777" w:rsidR="00D170E5" w:rsidRPr="002B55E9" w:rsidRDefault="00EF27AD">
            <w:pPr>
              <w:pStyle w:val="lgy-"/>
              <w:rPr>
                <w:rFonts w:eastAsia="宋体"/>
              </w:rPr>
            </w:pPr>
            <w:r w:rsidRPr="002B55E9">
              <w:rPr>
                <w:rFonts w:eastAsia="宋体" w:hint="eastAsia"/>
              </w:rPr>
              <w:t>液体泄漏</w:t>
            </w:r>
            <w:r w:rsidRPr="002B55E9">
              <w:rPr>
                <w:rFonts w:eastAsia="宋体" w:hint="eastAsia"/>
              </w:rPr>
              <w:t>10</w:t>
            </w:r>
          </w:p>
          <w:p w14:paraId="4DC4C920" w14:textId="77777777" w:rsidR="00D170E5" w:rsidRPr="002B55E9" w:rsidRDefault="00EF27AD">
            <w:pPr>
              <w:pStyle w:val="lgy-"/>
            </w:pPr>
            <w:r w:rsidRPr="002B55E9">
              <w:rPr>
                <w:rFonts w:eastAsia="宋体" w:hint="eastAsia"/>
              </w:rPr>
              <w:t>蒸发泄漏</w:t>
            </w:r>
            <w:r w:rsidRPr="002B55E9">
              <w:rPr>
                <w:rFonts w:eastAsia="宋体" w:hint="eastAsia"/>
              </w:rPr>
              <w:t>30</w:t>
            </w:r>
          </w:p>
        </w:tc>
        <w:tc>
          <w:tcPr>
            <w:tcW w:w="981" w:type="dxa"/>
          </w:tcPr>
          <w:p w14:paraId="1164A11A" w14:textId="77777777" w:rsidR="00D170E5" w:rsidRPr="002B55E9" w:rsidRDefault="00EF27AD">
            <w:pPr>
              <w:pStyle w:val="lgy-"/>
              <w:rPr>
                <w:vertAlign w:val="superscript"/>
              </w:rPr>
            </w:pPr>
            <w:r w:rsidRPr="002B55E9">
              <w:rPr>
                <w:rFonts w:eastAsia="宋体"/>
              </w:rPr>
              <w:t>5.4</w:t>
            </w:r>
            <w:r w:rsidRPr="002B55E9">
              <w:rPr>
                <w:rFonts w:eastAsia="宋体" w:hint="eastAsia"/>
              </w:rPr>
              <w:t>×</w:t>
            </w:r>
            <w:r w:rsidRPr="002B55E9">
              <w:rPr>
                <w:rFonts w:eastAsia="宋体" w:hint="eastAsia"/>
              </w:rPr>
              <w:t>10</w:t>
            </w:r>
            <w:r w:rsidRPr="002B55E9">
              <w:rPr>
                <w:rFonts w:eastAsia="宋体"/>
                <w:vertAlign w:val="superscript"/>
              </w:rPr>
              <w:t>-4</w:t>
            </w:r>
          </w:p>
        </w:tc>
        <w:tc>
          <w:tcPr>
            <w:tcW w:w="1071" w:type="dxa"/>
          </w:tcPr>
          <w:p w14:paraId="5C851911" w14:textId="77777777" w:rsidR="00D170E5" w:rsidRPr="002B55E9" w:rsidRDefault="00EF27AD">
            <w:pPr>
              <w:pStyle w:val="lgy-"/>
              <w:rPr>
                <w:rFonts w:eastAsia="宋体"/>
              </w:rPr>
            </w:pPr>
            <w:r w:rsidRPr="002B55E9">
              <w:rPr>
                <w:rFonts w:eastAsia="宋体" w:hint="eastAsia"/>
              </w:rPr>
              <w:t>0.972</w:t>
            </w:r>
          </w:p>
        </w:tc>
      </w:tr>
      <w:tr w:rsidR="00C60999" w:rsidRPr="002B55E9" w14:paraId="6819F2A7" w14:textId="77777777" w:rsidTr="00712630">
        <w:trPr>
          <w:trHeight w:val="283"/>
        </w:trPr>
        <w:tc>
          <w:tcPr>
            <w:tcW w:w="390" w:type="dxa"/>
          </w:tcPr>
          <w:p w14:paraId="4A235E94" w14:textId="77777777" w:rsidR="00D170E5" w:rsidRPr="002B55E9" w:rsidRDefault="00EF27AD">
            <w:pPr>
              <w:pStyle w:val="lgy-"/>
            </w:pPr>
            <w:r w:rsidRPr="002B55E9">
              <w:rPr>
                <w:rFonts w:eastAsia="宋体" w:hint="eastAsia"/>
              </w:rPr>
              <w:lastRenderedPageBreak/>
              <w:t>2</w:t>
            </w:r>
          </w:p>
        </w:tc>
        <w:tc>
          <w:tcPr>
            <w:tcW w:w="1555" w:type="dxa"/>
          </w:tcPr>
          <w:p w14:paraId="49F031CD" w14:textId="77777777" w:rsidR="00D170E5" w:rsidRPr="002B55E9" w:rsidRDefault="00EF27AD">
            <w:pPr>
              <w:pStyle w:val="lgy-"/>
            </w:pPr>
            <w:r w:rsidRPr="002B55E9">
              <w:rPr>
                <w:rFonts w:eastAsia="宋体" w:hint="eastAsia"/>
              </w:rPr>
              <w:t>情形</w:t>
            </w:r>
            <w:r w:rsidRPr="002B55E9">
              <w:rPr>
                <w:rFonts w:eastAsia="宋体" w:hint="eastAsia"/>
              </w:rPr>
              <w:t>3</w:t>
            </w:r>
            <w:r w:rsidRPr="002B55E9">
              <w:rPr>
                <w:rFonts w:eastAsia="宋体" w:hint="eastAsia"/>
              </w:rPr>
              <w:t>（包装容器泄漏）</w:t>
            </w:r>
          </w:p>
        </w:tc>
        <w:tc>
          <w:tcPr>
            <w:tcW w:w="723" w:type="dxa"/>
          </w:tcPr>
          <w:p w14:paraId="1EB35DBE" w14:textId="77777777" w:rsidR="00D170E5" w:rsidRPr="002B55E9" w:rsidRDefault="00EF27AD">
            <w:pPr>
              <w:pStyle w:val="lgy-"/>
            </w:pPr>
            <w:r w:rsidRPr="002B55E9">
              <w:rPr>
                <w:rFonts w:eastAsia="宋体" w:hint="eastAsia"/>
              </w:rPr>
              <w:t>C</w:t>
            </w:r>
            <w:r w:rsidRPr="002B55E9">
              <w:rPr>
                <w:rFonts w:eastAsia="宋体"/>
              </w:rPr>
              <w:t>IP</w:t>
            </w:r>
            <w:r w:rsidRPr="002B55E9">
              <w:rPr>
                <w:rFonts w:eastAsia="宋体" w:hint="eastAsia"/>
              </w:rPr>
              <w:t>清洗</w:t>
            </w:r>
            <w:r w:rsidRPr="002B55E9">
              <w:rPr>
                <w:rFonts w:eastAsia="宋体"/>
              </w:rPr>
              <w:t>间</w:t>
            </w:r>
          </w:p>
        </w:tc>
        <w:tc>
          <w:tcPr>
            <w:tcW w:w="824" w:type="dxa"/>
          </w:tcPr>
          <w:p w14:paraId="621FF473" w14:textId="77777777" w:rsidR="00D170E5" w:rsidRPr="002B55E9" w:rsidRDefault="00EF27AD">
            <w:pPr>
              <w:pStyle w:val="lgy-"/>
            </w:pPr>
            <w:r w:rsidRPr="002B55E9">
              <w:rPr>
                <w:rFonts w:eastAsia="宋体" w:hint="eastAsia"/>
              </w:rPr>
              <w:t>过氧乙酸</w:t>
            </w:r>
          </w:p>
        </w:tc>
        <w:tc>
          <w:tcPr>
            <w:tcW w:w="813" w:type="dxa"/>
          </w:tcPr>
          <w:p w14:paraId="7EF1C2FB" w14:textId="77777777" w:rsidR="00D170E5" w:rsidRPr="002B55E9" w:rsidRDefault="00EF27AD">
            <w:pPr>
              <w:pStyle w:val="lgy-"/>
            </w:pPr>
            <w:r w:rsidRPr="002B55E9">
              <w:rPr>
                <w:rFonts w:eastAsia="宋体" w:hint="eastAsia"/>
              </w:rPr>
              <w:t>大气、地表水、地下水</w:t>
            </w:r>
          </w:p>
        </w:tc>
        <w:tc>
          <w:tcPr>
            <w:tcW w:w="920" w:type="dxa"/>
          </w:tcPr>
          <w:p w14:paraId="1BD203E8" w14:textId="77777777" w:rsidR="00D170E5" w:rsidRPr="002B55E9" w:rsidRDefault="00EF27AD">
            <w:pPr>
              <w:pStyle w:val="lgy-"/>
            </w:pPr>
            <w:r w:rsidRPr="002B55E9">
              <w:rPr>
                <w:rFonts w:eastAsia="宋体" w:hint="eastAsia"/>
              </w:rPr>
              <w:t>0.0833</w:t>
            </w:r>
          </w:p>
        </w:tc>
        <w:tc>
          <w:tcPr>
            <w:tcW w:w="1180" w:type="dxa"/>
          </w:tcPr>
          <w:p w14:paraId="62ECA456" w14:textId="77777777" w:rsidR="00D170E5" w:rsidRPr="002B55E9" w:rsidRDefault="00EF27AD">
            <w:pPr>
              <w:pStyle w:val="lgy-"/>
            </w:pPr>
            <w:r w:rsidRPr="002B55E9">
              <w:rPr>
                <w:rFonts w:eastAsia="宋体"/>
              </w:rPr>
              <w:t>50</w:t>
            </w:r>
          </w:p>
        </w:tc>
        <w:tc>
          <w:tcPr>
            <w:tcW w:w="1180" w:type="dxa"/>
          </w:tcPr>
          <w:p w14:paraId="2B6954E7" w14:textId="77777777" w:rsidR="00D170E5" w:rsidRPr="002B55E9" w:rsidRDefault="00EF27AD">
            <w:pPr>
              <w:pStyle w:val="lgy-"/>
              <w:rPr>
                <w:rFonts w:eastAsia="宋体"/>
              </w:rPr>
            </w:pPr>
            <w:r w:rsidRPr="002B55E9">
              <w:rPr>
                <w:rFonts w:eastAsia="宋体" w:hint="eastAsia"/>
              </w:rPr>
              <w:t>液体泄漏</w:t>
            </w:r>
            <w:r w:rsidRPr="002B55E9">
              <w:rPr>
                <w:rFonts w:eastAsia="宋体" w:hint="eastAsia"/>
              </w:rPr>
              <w:t>10</w:t>
            </w:r>
          </w:p>
          <w:p w14:paraId="02EAFDB6" w14:textId="77777777" w:rsidR="00D170E5" w:rsidRPr="002B55E9" w:rsidRDefault="00EF27AD">
            <w:pPr>
              <w:pStyle w:val="lgy-"/>
            </w:pPr>
            <w:r w:rsidRPr="002B55E9">
              <w:rPr>
                <w:rFonts w:eastAsia="宋体" w:hint="eastAsia"/>
              </w:rPr>
              <w:t>蒸发泄漏</w:t>
            </w:r>
            <w:r w:rsidRPr="002B55E9">
              <w:rPr>
                <w:rFonts w:eastAsia="宋体" w:hint="eastAsia"/>
              </w:rPr>
              <w:t>30</w:t>
            </w:r>
          </w:p>
        </w:tc>
        <w:tc>
          <w:tcPr>
            <w:tcW w:w="981" w:type="dxa"/>
          </w:tcPr>
          <w:p w14:paraId="0C13CFCA" w14:textId="77777777" w:rsidR="00D170E5" w:rsidRPr="002B55E9" w:rsidRDefault="00EF27AD">
            <w:pPr>
              <w:pStyle w:val="lgy-"/>
            </w:pPr>
            <w:r w:rsidRPr="002B55E9">
              <w:rPr>
                <w:rFonts w:eastAsia="宋体" w:hint="eastAsia"/>
              </w:rPr>
              <w:t>5.77</w:t>
            </w:r>
            <w:r w:rsidRPr="002B55E9">
              <w:rPr>
                <w:rFonts w:eastAsia="宋体" w:hint="eastAsia"/>
              </w:rPr>
              <w:t>×</w:t>
            </w:r>
            <w:r w:rsidRPr="002B55E9">
              <w:rPr>
                <w:rFonts w:eastAsia="宋体" w:hint="eastAsia"/>
              </w:rPr>
              <w:t>10</w:t>
            </w:r>
            <w:r w:rsidRPr="002B55E9">
              <w:rPr>
                <w:rFonts w:eastAsia="宋体"/>
                <w:vertAlign w:val="superscript"/>
              </w:rPr>
              <w:t>-5</w:t>
            </w:r>
          </w:p>
        </w:tc>
        <w:tc>
          <w:tcPr>
            <w:tcW w:w="1071" w:type="dxa"/>
          </w:tcPr>
          <w:p w14:paraId="6F17335A" w14:textId="77777777" w:rsidR="00D170E5" w:rsidRPr="002B55E9" w:rsidRDefault="00EF27AD">
            <w:pPr>
              <w:pStyle w:val="lgy-"/>
              <w:rPr>
                <w:rFonts w:eastAsia="宋体"/>
              </w:rPr>
            </w:pPr>
            <w:r w:rsidRPr="002B55E9">
              <w:rPr>
                <w:rFonts w:eastAsia="宋体" w:hint="eastAsia"/>
              </w:rPr>
              <w:t>0.10386</w:t>
            </w:r>
          </w:p>
        </w:tc>
      </w:tr>
    </w:tbl>
    <w:p w14:paraId="467EE209" w14:textId="77777777" w:rsidR="00D170E5" w:rsidRPr="002B55E9" w:rsidRDefault="00EF27AD">
      <w:pPr>
        <w:pStyle w:val="4"/>
        <w:numPr>
          <w:ilvl w:val="3"/>
          <w:numId w:val="28"/>
        </w:numPr>
        <w:rPr>
          <w:color w:val="auto"/>
        </w:rPr>
      </w:pPr>
      <w:r w:rsidRPr="002B55E9">
        <w:rPr>
          <w:rFonts w:hint="eastAsia"/>
          <w:color w:val="auto"/>
        </w:rPr>
        <w:t>大气环境风险预测</w:t>
      </w:r>
    </w:p>
    <w:p w14:paraId="0CB2464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w:t>
      </w:r>
      <w:r w:rsidRPr="002B55E9">
        <w:rPr>
          <w:bCs/>
          <w:snapToGrid w:val="0"/>
          <w:sz w:val="24"/>
        </w:rPr>
        <w:t>《建设项目环境风险评价技术导则》（</w:t>
      </w:r>
      <w:r w:rsidRPr="002B55E9">
        <w:rPr>
          <w:bCs/>
          <w:snapToGrid w:val="0"/>
          <w:sz w:val="24"/>
        </w:rPr>
        <w:t>HJ 169-2018</w:t>
      </w:r>
      <w:r w:rsidRPr="002B55E9">
        <w:rPr>
          <w:bCs/>
          <w:snapToGrid w:val="0"/>
          <w:sz w:val="24"/>
        </w:rPr>
        <w:t>）</w:t>
      </w:r>
      <w:r w:rsidRPr="002B55E9">
        <w:rPr>
          <w:rFonts w:hint="eastAsia"/>
          <w:bCs/>
          <w:snapToGrid w:val="0"/>
          <w:sz w:val="24"/>
        </w:rPr>
        <w:t>4.4.4.1</w:t>
      </w:r>
      <w:r w:rsidRPr="002B55E9">
        <w:rPr>
          <w:rFonts w:hint="eastAsia"/>
          <w:bCs/>
          <w:snapToGrid w:val="0"/>
          <w:sz w:val="24"/>
        </w:rPr>
        <w:t>，“大气环境风险预测，二级评价，需选取最不利气象条件进行后果预测。”本次评价选择适用的数值方法进行分析预测，给出风险事故情形下危险物质释放可能造成的大气环境影响范围与程度。</w:t>
      </w:r>
    </w:p>
    <w:p w14:paraId="2E3F689D" w14:textId="77777777" w:rsidR="00D170E5" w:rsidRPr="002B55E9" w:rsidRDefault="00EF27AD">
      <w:pPr>
        <w:numPr>
          <w:ilvl w:val="0"/>
          <w:numId w:val="30"/>
        </w:numPr>
        <w:spacing w:after="60" w:line="360" w:lineRule="auto"/>
        <w:rPr>
          <w:b/>
          <w:snapToGrid w:val="0"/>
          <w:sz w:val="24"/>
        </w:rPr>
      </w:pPr>
      <w:r w:rsidRPr="002B55E9">
        <w:rPr>
          <w:rFonts w:hint="eastAsia"/>
          <w:b/>
          <w:snapToGrid w:val="0"/>
          <w:sz w:val="24"/>
        </w:rPr>
        <w:t>预测模型</w:t>
      </w:r>
      <w:r w:rsidRPr="002B55E9">
        <w:rPr>
          <w:b/>
          <w:snapToGrid w:val="0"/>
          <w:sz w:val="24"/>
        </w:rPr>
        <w:t>筛选</w:t>
      </w:r>
    </w:p>
    <w:p w14:paraId="519D1FCF"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预测计算时</w:t>
      </w:r>
      <w:r w:rsidRPr="002B55E9">
        <w:rPr>
          <w:bCs/>
          <w:snapToGrid w:val="0"/>
          <w:sz w:val="24"/>
        </w:rPr>
        <w:t>，采用《建设项目环境风险评价技术导则》（</w:t>
      </w:r>
      <w:r w:rsidRPr="002B55E9">
        <w:rPr>
          <w:bCs/>
          <w:snapToGrid w:val="0"/>
          <w:sz w:val="24"/>
        </w:rPr>
        <w:t>HJ/T169-2018</w:t>
      </w:r>
      <w:r w:rsidRPr="002B55E9">
        <w:rPr>
          <w:bCs/>
          <w:snapToGrid w:val="0"/>
          <w:sz w:val="24"/>
        </w:rPr>
        <w:t>）</w:t>
      </w:r>
      <w:r w:rsidRPr="002B55E9">
        <w:rPr>
          <w:rFonts w:hint="eastAsia"/>
          <w:bCs/>
          <w:snapToGrid w:val="0"/>
          <w:sz w:val="24"/>
        </w:rPr>
        <w:t>附录</w:t>
      </w:r>
      <w:r w:rsidRPr="002B55E9">
        <w:rPr>
          <w:rFonts w:hint="eastAsia"/>
          <w:bCs/>
          <w:snapToGrid w:val="0"/>
          <w:sz w:val="24"/>
        </w:rPr>
        <w:t>G</w:t>
      </w:r>
      <w:r w:rsidRPr="002B55E9">
        <w:rPr>
          <w:bCs/>
          <w:snapToGrid w:val="0"/>
          <w:sz w:val="24"/>
        </w:rPr>
        <w:t>中推荐</w:t>
      </w:r>
      <w:r w:rsidRPr="002B55E9">
        <w:rPr>
          <w:rFonts w:hint="eastAsia"/>
          <w:bCs/>
          <w:snapToGrid w:val="0"/>
          <w:sz w:val="24"/>
        </w:rPr>
        <w:t>的</w:t>
      </w:r>
      <w:r w:rsidRPr="002B55E9">
        <w:rPr>
          <w:bCs/>
          <w:snapToGrid w:val="0"/>
          <w:sz w:val="24"/>
        </w:rPr>
        <w:t>理查德森数</w:t>
      </w:r>
      <w:r w:rsidRPr="002B55E9">
        <w:rPr>
          <w:rFonts w:hint="eastAsia"/>
          <w:bCs/>
          <w:snapToGrid w:val="0"/>
          <w:sz w:val="24"/>
        </w:rPr>
        <w:t>判定气体性质。</w:t>
      </w:r>
      <w:r w:rsidRPr="002B55E9">
        <w:rPr>
          <w:bCs/>
          <w:snapToGrid w:val="0"/>
          <w:sz w:val="24"/>
        </w:rPr>
        <w:t>理查德森数</w:t>
      </w:r>
      <w:r w:rsidRPr="002B55E9">
        <w:rPr>
          <w:rFonts w:hint="eastAsia"/>
          <w:bCs/>
          <w:snapToGrid w:val="0"/>
          <w:sz w:val="24"/>
        </w:rPr>
        <w:t>（</w:t>
      </w:r>
      <w:r w:rsidRPr="002B55E9">
        <w:rPr>
          <w:rFonts w:hint="eastAsia"/>
          <w:bCs/>
          <w:snapToGrid w:val="0"/>
          <w:sz w:val="24"/>
        </w:rPr>
        <w:t>R</w:t>
      </w:r>
      <w:r w:rsidRPr="002B55E9">
        <w:rPr>
          <w:bCs/>
          <w:snapToGrid w:val="0"/>
          <w:sz w:val="24"/>
          <w:vertAlign w:val="subscript"/>
        </w:rPr>
        <w:t>i</w:t>
      </w:r>
      <w:r w:rsidRPr="002B55E9">
        <w:rPr>
          <w:rFonts w:hint="eastAsia"/>
          <w:bCs/>
          <w:snapToGrid w:val="0"/>
          <w:sz w:val="24"/>
        </w:rPr>
        <w:t>）的</w:t>
      </w:r>
      <w:r w:rsidRPr="002B55E9">
        <w:rPr>
          <w:bCs/>
          <w:snapToGrid w:val="0"/>
          <w:sz w:val="24"/>
        </w:rPr>
        <w:t>概念公式为：</w:t>
      </w:r>
    </w:p>
    <w:p w14:paraId="13DA1AB3" w14:textId="77777777" w:rsidR="00D170E5" w:rsidRPr="002B55E9" w:rsidRDefault="00EF27AD">
      <w:pPr>
        <w:spacing w:line="360" w:lineRule="auto"/>
        <w:jc w:val="center"/>
        <w:rPr>
          <w:bCs/>
          <w:snapToGrid w:val="0"/>
          <w:sz w:val="24"/>
        </w:rPr>
      </w:pPr>
      <m:oMathPara>
        <m:oMath>
          <m:r>
            <m:rPr>
              <m:sty m:val="p"/>
            </m:rPr>
            <w:rPr>
              <w:rFonts w:ascii="Cambria Math" w:hAnsi="Cambria Math"/>
              <w:snapToGrid w:val="0"/>
              <w:sz w:val="24"/>
            </w:rPr>
            <m:t>Ri=</m:t>
          </m:r>
          <m:f>
            <m:fPr>
              <m:ctrlPr>
                <w:rPr>
                  <w:rFonts w:ascii="Cambria Math" w:hAnsi="Cambria Math"/>
                  <w:bCs/>
                  <w:snapToGrid w:val="0"/>
                  <w:sz w:val="24"/>
                </w:rPr>
              </m:ctrlPr>
            </m:fPr>
            <m:num>
              <m:r>
                <m:rPr>
                  <m:sty m:val="p"/>
                </m:rPr>
                <w:rPr>
                  <w:rFonts w:ascii="Cambria Math" w:hAnsi="Cambria Math" w:hint="eastAsia"/>
                  <w:snapToGrid w:val="0"/>
                  <w:sz w:val="24"/>
                </w:rPr>
                <m:t>烟团的势能</m:t>
              </m:r>
            </m:num>
            <m:den>
              <m:r>
                <m:rPr>
                  <m:sty m:val="p"/>
                </m:rPr>
                <w:rPr>
                  <w:rFonts w:ascii="Cambria Math" w:hAnsi="Cambria Math" w:hint="eastAsia"/>
                  <w:snapToGrid w:val="0"/>
                  <w:sz w:val="24"/>
                </w:rPr>
                <m:t>环境</m:t>
              </m:r>
              <m:r>
                <m:rPr>
                  <m:sty m:val="p"/>
                </m:rPr>
                <w:rPr>
                  <w:rFonts w:ascii="Cambria Math" w:hAnsi="Cambria Math"/>
                  <w:snapToGrid w:val="0"/>
                  <w:sz w:val="24"/>
                </w:rPr>
                <m:t>的</m:t>
              </m:r>
              <m:r>
                <m:rPr>
                  <m:sty m:val="p"/>
                </m:rPr>
                <w:rPr>
                  <w:rFonts w:ascii="Cambria Math" w:hAnsi="Cambria Math" w:hint="eastAsia"/>
                  <w:snapToGrid w:val="0"/>
                  <w:sz w:val="24"/>
                </w:rPr>
                <m:t>湍流</m:t>
              </m:r>
              <m:r>
                <m:rPr>
                  <m:sty m:val="p"/>
                </m:rPr>
                <w:rPr>
                  <w:rFonts w:ascii="Cambria Math" w:hAnsi="Cambria Math"/>
                  <w:snapToGrid w:val="0"/>
                  <w:sz w:val="24"/>
                </w:rPr>
                <m:t>动能</m:t>
              </m:r>
            </m:den>
          </m:f>
        </m:oMath>
      </m:oMathPara>
    </w:p>
    <w:p w14:paraId="313EF7F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R</w:t>
      </w:r>
      <w:r w:rsidRPr="002B55E9">
        <w:rPr>
          <w:bCs/>
          <w:snapToGrid w:val="0"/>
          <w:sz w:val="24"/>
          <w:vertAlign w:val="subscript"/>
        </w:rPr>
        <w:t>i</w:t>
      </w:r>
      <w:r w:rsidRPr="002B55E9">
        <w:rPr>
          <w:rFonts w:hint="eastAsia"/>
          <w:bCs/>
          <w:snapToGrid w:val="0"/>
          <w:sz w:val="24"/>
        </w:rPr>
        <w:t>是</w:t>
      </w:r>
      <w:r w:rsidRPr="002B55E9">
        <w:rPr>
          <w:bCs/>
          <w:snapToGrid w:val="0"/>
          <w:sz w:val="24"/>
        </w:rPr>
        <w:t>个流体动力学参数</w:t>
      </w:r>
      <w:r w:rsidRPr="002B55E9">
        <w:rPr>
          <w:rFonts w:hint="eastAsia"/>
          <w:bCs/>
          <w:snapToGrid w:val="0"/>
          <w:sz w:val="24"/>
        </w:rPr>
        <w:t>。</w:t>
      </w:r>
      <w:r w:rsidRPr="002B55E9">
        <w:rPr>
          <w:bCs/>
          <w:snapToGrid w:val="0"/>
          <w:sz w:val="24"/>
        </w:rPr>
        <w:t>根据</w:t>
      </w:r>
      <w:r w:rsidRPr="002B55E9">
        <w:rPr>
          <w:rFonts w:hint="eastAsia"/>
          <w:bCs/>
          <w:snapToGrid w:val="0"/>
          <w:sz w:val="24"/>
        </w:rPr>
        <w:t>不同</w:t>
      </w:r>
      <w:r w:rsidRPr="002B55E9">
        <w:rPr>
          <w:bCs/>
          <w:snapToGrid w:val="0"/>
          <w:sz w:val="24"/>
        </w:rPr>
        <w:t>的排放性质，理查德森数</w:t>
      </w:r>
      <w:r w:rsidRPr="002B55E9">
        <w:rPr>
          <w:rFonts w:hint="eastAsia"/>
          <w:bCs/>
          <w:snapToGrid w:val="0"/>
          <w:sz w:val="24"/>
        </w:rPr>
        <w:t>的</w:t>
      </w:r>
      <w:r w:rsidRPr="002B55E9">
        <w:rPr>
          <w:bCs/>
          <w:snapToGrid w:val="0"/>
          <w:sz w:val="24"/>
        </w:rPr>
        <w:t>计算公式不同</w:t>
      </w:r>
      <w:r w:rsidRPr="002B55E9">
        <w:rPr>
          <w:rFonts w:hint="eastAsia"/>
          <w:bCs/>
          <w:snapToGrid w:val="0"/>
          <w:sz w:val="24"/>
        </w:rPr>
        <w:t>。</w:t>
      </w:r>
      <w:r w:rsidRPr="002B55E9">
        <w:rPr>
          <w:bCs/>
          <w:snapToGrid w:val="0"/>
          <w:sz w:val="24"/>
        </w:rPr>
        <w:t>一般</w:t>
      </w:r>
      <w:r w:rsidRPr="002B55E9">
        <w:rPr>
          <w:rFonts w:hint="eastAsia"/>
          <w:bCs/>
          <w:snapToGrid w:val="0"/>
          <w:sz w:val="24"/>
        </w:rPr>
        <w:t>地</w:t>
      </w:r>
      <w:r w:rsidRPr="002B55E9">
        <w:rPr>
          <w:bCs/>
          <w:snapToGrid w:val="0"/>
          <w:sz w:val="24"/>
        </w:rPr>
        <w:t>，依据排放类型，查理德森</w:t>
      </w:r>
      <w:r w:rsidRPr="002B55E9">
        <w:rPr>
          <w:rFonts w:hint="eastAsia"/>
          <w:bCs/>
          <w:snapToGrid w:val="0"/>
          <w:sz w:val="24"/>
        </w:rPr>
        <w:t>数</w:t>
      </w:r>
      <w:r w:rsidRPr="002B55E9">
        <w:rPr>
          <w:bCs/>
          <w:snapToGrid w:val="0"/>
          <w:sz w:val="24"/>
        </w:rPr>
        <w:t>的计算分连续排放、</w:t>
      </w:r>
      <w:r w:rsidRPr="002B55E9">
        <w:rPr>
          <w:rFonts w:hint="eastAsia"/>
          <w:bCs/>
          <w:snapToGrid w:val="0"/>
          <w:sz w:val="24"/>
        </w:rPr>
        <w:t>瞬时排放</w:t>
      </w:r>
      <w:r w:rsidRPr="002B55E9">
        <w:rPr>
          <w:bCs/>
          <w:snapToGrid w:val="0"/>
          <w:sz w:val="24"/>
        </w:rPr>
        <w:t>两种形式：</w:t>
      </w:r>
    </w:p>
    <w:p w14:paraId="57BC1F70"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连续排放</w:t>
      </w:r>
      <w:r w:rsidRPr="002B55E9">
        <w:rPr>
          <w:bCs/>
          <w:snapToGrid w:val="0"/>
          <w:sz w:val="24"/>
        </w:rPr>
        <w:t>：</w:t>
      </w:r>
    </w:p>
    <w:p w14:paraId="670F01EC" w14:textId="77777777" w:rsidR="00D170E5" w:rsidRPr="002B55E9" w:rsidRDefault="00A8249C">
      <w:pPr>
        <w:spacing w:line="360" w:lineRule="auto"/>
        <w:jc w:val="center"/>
        <w:rPr>
          <w:bCs/>
          <w:snapToGrid w:val="0"/>
          <w:sz w:val="24"/>
        </w:rPr>
      </w:pPr>
      <m:oMathPara>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g</m:t>
                      </m:r>
                      <m:d>
                        <m:dPr>
                          <m:begChr m:val="（"/>
                          <m:endChr m:val="）"/>
                          <m:ctrlPr>
                            <w:rPr>
                              <w:rFonts w:ascii="Cambria Math" w:hAnsi="Cambria Math"/>
                            </w:rPr>
                          </m:ctrlPr>
                        </m:dPr>
                        <m:e>
                          <m:f>
                            <m:fPr>
                              <m:type m:val="skw"/>
                              <m:ctrlPr>
                                <w:rPr>
                                  <w:rFonts w:ascii="Cambria Math" w:hAnsi="Cambria Math"/>
                                  <w:i/>
                                </w:rPr>
                              </m:ctrlPr>
                            </m:fPr>
                            <m:num>
                              <m:r>
                                <m:rPr>
                                  <m:sty m:val="p"/>
                                </m:rPr>
                                <w:rPr>
                                  <w:rFonts w:ascii="Cambria Math" w:hAnsi="Cambria Math"/>
                                </w:rPr>
                                <m:t>Q</m:t>
                              </m:r>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rel</m:t>
                                  </m:r>
                                </m:sub>
                              </m:sSub>
                              <m:ctrlPr>
                                <w:rPr>
                                  <w:rFonts w:ascii="Cambria Math" w:hAnsi="Cambria Math"/>
                                </w:rPr>
                              </m:ctrlPr>
                            </m:den>
                          </m:f>
                          <m:ctrlPr>
                            <w:rPr>
                              <w:rFonts w:ascii="Cambria Math" w:hAnsi="Cambria Math"/>
                              <w:i/>
                            </w:rPr>
                          </m:ctrlPr>
                        </m:e>
                      </m:d>
                      <m:ctrlPr>
                        <w:rPr>
                          <w:rFonts w:ascii="Cambria Math" w:hAnsi="Cambria Math"/>
                        </w:rPr>
                      </m:ctrlPr>
                    </m:num>
                    <m:den>
                      <m:sSub>
                        <m:sSubPr>
                          <m:ctrlPr>
                            <w:rPr>
                              <w:rFonts w:ascii="Cambria Math" w:hAnsi="Cambria Math"/>
                              <w:i/>
                            </w:rPr>
                          </m:ctrlPr>
                        </m:sSubPr>
                        <m:e>
                          <m:r>
                            <w:rPr>
                              <w:rFonts w:ascii="Cambria Math" w:hAnsi="Cambria Math"/>
                            </w:rPr>
                            <m:t>D</m:t>
                          </m:r>
                        </m:e>
                        <m:sub>
                          <m:r>
                            <w:rPr>
                              <w:rFonts w:ascii="Cambria Math" w:hAnsi="Cambria Math"/>
                            </w:rPr>
                            <m:t>rel</m:t>
                          </m:r>
                        </m:sub>
                      </m:sSub>
                    </m:den>
                  </m:f>
                  <m:r>
                    <w:rPr>
                      <w:rFonts w:ascii="Cambria Math" w:hAnsi="Cambria Math"/>
                    </w:rPr>
                    <m:t>×</m:t>
                  </m:r>
                  <m:r>
                    <m:rPr>
                      <m:sty m:val="p"/>
                    </m:rPr>
                    <w:rPr>
                      <w:rFonts w:ascii="Cambria Math" w:hAnsi="Cambria Math" w:hint="eastAsia"/>
                    </w:rPr>
                    <m:t>（</m:t>
                  </m:r>
                  <m:f>
                    <m:fPr>
                      <m:ctrlPr>
                        <w:rPr>
                          <w:rFonts w:ascii="Cambria Math" w:hAnsi="Cambria Math"/>
                        </w:rPr>
                      </m:ctrlPr>
                    </m:fPr>
                    <m:num>
                      <m:sSub>
                        <m:sSubPr>
                          <m:ctrlPr>
                            <w:rPr>
                              <w:rFonts w:ascii="Cambria Math" w:hAnsi="Cambria Math"/>
                              <w:i/>
                            </w:rPr>
                          </m:ctrlPr>
                        </m:sSubPr>
                        <m:e>
                          <m:r>
                            <m:rPr>
                              <m:sty m:val="p"/>
                            </m:rPr>
                            <w:rPr>
                              <w:rFonts w:ascii="Cambria Math" w:hAnsi="Cambria Math" w:hint="eastAsia"/>
                            </w:rPr>
                            <m:t>ρ</m:t>
                          </m:r>
                        </m:e>
                        <m:sub>
                          <m:r>
                            <w:rPr>
                              <w:rFonts w:ascii="Cambria Math" w:hAnsi="Cambria Math"/>
                            </w:rPr>
                            <m:t>rel</m:t>
                          </m:r>
                        </m:sub>
                      </m:sSub>
                      <m:r>
                        <w:rPr>
                          <w:rFonts w:ascii="Cambria Math" w:hAnsi="Cambria Math"/>
                        </w:rPr>
                        <m:t>-</m:t>
                      </m:r>
                      <m:sSub>
                        <m:sSubPr>
                          <m:ctrlPr>
                            <w:rPr>
                              <w:rFonts w:ascii="Cambria Math" w:hAnsi="Cambria Math"/>
                              <w:i/>
                            </w:rPr>
                          </m:ctrlPr>
                        </m:sSubPr>
                        <m:e>
                          <m:r>
                            <m:rPr>
                              <m:sty m:val="p"/>
                            </m:rPr>
                            <w:rPr>
                              <w:rFonts w:ascii="Cambria Math" w:hAnsi="Cambria Math" w:hint="eastAsia"/>
                            </w:rPr>
                            <m:t>ρ</m:t>
                          </m:r>
                        </m:e>
                        <m:sub>
                          <m:r>
                            <w:rPr>
                              <w:rFonts w:ascii="Cambria Math" w:hAnsi="Cambria Math"/>
                            </w:rPr>
                            <m:t>a</m:t>
                          </m:r>
                        </m:sub>
                      </m:sSub>
                      <m:ctrlPr>
                        <w:rPr>
                          <w:rFonts w:ascii="Cambria Math" w:hAnsi="Cambria Math"/>
                          <w:i/>
                        </w:rPr>
                      </m:ctrlPr>
                    </m:num>
                    <m:den>
                      <m:sSub>
                        <m:sSubPr>
                          <m:ctrlPr>
                            <w:rPr>
                              <w:rFonts w:ascii="Cambria Math" w:hAnsi="Cambria Math"/>
                              <w:i/>
                            </w:rPr>
                          </m:ctrlPr>
                        </m:sSubPr>
                        <m:e>
                          <m:r>
                            <m:rPr>
                              <m:sty m:val="p"/>
                            </m:rPr>
                            <w:rPr>
                              <w:rFonts w:ascii="Cambria Math" w:hAnsi="Cambria Math" w:hint="eastAsia"/>
                            </w:rPr>
                            <m:t>ρ</m:t>
                          </m:r>
                        </m:e>
                        <m:sub>
                          <m:r>
                            <w:rPr>
                              <w:rFonts w:ascii="Cambria Math" w:hAnsi="Cambria Math"/>
                            </w:rPr>
                            <m:t>a</m:t>
                          </m:r>
                        </m:sub>
                      </m:sSub>
                      <m:ctrlPr>
                        <w:rPr>
                          <w:rFonts w:ascii="Cambria Math" w:hAnsi="Cambria Math"/>
                          <w:i/>
                        </w:rPr>
                      </m:ctrlPr>
                    </m:den>
                  </m:f>
                  <m:r>
                    <m:rPr>
                      <m:sty m:val="p"/>
                    </m:rPr>
                    <w:rPr>
                      <w:rFonts w:ascii="Cambria Math" w:hAnsi="Cambria Math" w:hint="eastAsia"/>
                    </w:rPr>
                    <m:t>）</m:t>
                  </m:r>
                  <m:r>
                    <w:rPr>
                      <w:rFonts w:ascii="Cambria Math" w:hAnsi="Cambria Math"/>
                    </w:rPr>
                    <m:t>]</m:t>
                  </m:r>
                  <m:ctrlPr>
                    <w:rPr>
                      <w:rFonts w:ascii="Cambria Math" w:hAnsi="Cambria Math"/>
                    </w:rPr>
                  </m:ctrlP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r</m:t>
                  </m:r>
                </m:sub>
              </m:sSub>
              <m:ctrlPr>
                <w:rPr>
                  <w:rFonts w:ascii="Cambria Math" w:hAnsi="Cambria Math"/>
                  <w:i/>
                </w:rPr>
              </m:ctrlPr>
            </m:den>
          </m:f>
        </m:oMath>
      </m:oMathPara>
    </w:p>
    <w:p w14:paraId="45C9ACB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瞬时排放：</w:t>
      </w:r>
    </w:p>
    <w:p w14:paraId="64F3336E" w14:textId="77777777" w:rsidR="00D170E5" w:rsidRPr="002B55E9" w:rsidRDefault="00A8249C">
      <w:pPr>
        <w:spacing w:line="360" w:lineRule="auto"/>
        <w:jc w:val="center"/>
        <w:rPr>
          <w:bCs/>
          <w:snapToGrid w:val="0"/>
          <w:sz w:val="24"/>
        </w:rPr>
      </w:pPr>
      <m:oMathPara>
        <m:oMath>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i/>
                  <w:szCs w:val="22"/>
                  <w:lang w:val="zh-CN"/>
                </w:rPr>
              </m:ctrlPr>
            </m:fPr>
            <m:num>
              <m:r>
                <w:rPr>
                  <w:rFonts w:ascii="Cambria Math" w:hAnsi="Cambria Math"/>
                </w:rPr>
                <m:t>g</m:t>
              </m:r>
              <m:sSup>
                <m:sSupPr>
                  <m:ctrlPr>
                    <w:rPr>
                      <w:rFonts w:ascii="Cambria Math" w:hAnsi="Cambria Math"/>
                      <w:i/>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t</m:t>
                              </m:r>
                            </m:sub>
                          </m:sSub>
                        </m:num>
                        <m:den>
                          <m:sSub>
                            <m:sSubPr>
                              <m:ctrlPr>
                                <w:rPr>
                                  <w:rFonts w:ascii="Cambria Math" w:hAnsi="Cambria Math"/>
                                  <w:szCs w:val="22"/>
                                  <w:lang w:val="zh-CN"/>
                                </w:rPr>
                              </m:ctrlPr>
                            </m:sSubPr>
                            <m:e>
                              <m:r>
                                <m:rPr>
                                  <m:sty m:val="p"/>
                                </m:rPr>
                                <w:rPr>
                                  <w:rFonts w:ascii="Cambria Math" w:hAnsi="Cambria Math" w:hint="eastAsia"/>
                                </w:rPr>
                                <m:t>ρ</m:t>
                              </m:r>
                            </m:e>
                            <m:sub>
                              <m:r>
                                <w:rPr>
                                  <w:rFonts w:ascii="Cambria Math" w:hAnsi="Cambria Math"/>
                                </w:rPr>
                                <m:t>rel</m:t>
                              </m:r>
                            </m:sub>
                          </m:sSub>
                          <m:ctrlPr>
                            <w:rPr>
                              <w:rFonts w:ascii="Cambria Math" w:hAnsi="Cambria Math"/>
                              <w:szCs w:val="22"/>
                              <w:lang w:val="zh-CN"/>
                            </w:rPr>
                          </m:ctrlPr>
                        </m:den>
                      </m:f>
                    </m:e>
                  </m:d>
                  <m:ctrlPr>
                    <w:rPr>
                      <w:rFonts w:ascii="Cambria Math" w:hAnsi="Cambria Math"/>
                    </w:rPr>
                  </m:ctrlPr>
                </m:e>
                <m:sup>
                  <m:f>
                    <m:fPr>
                      <m:ctrlPr>
                        <w:rPr>
                          <w:rFonts w:ascii="Cambria Math" w:hAnsi="Cambria Math"/>
                          <w:i/>
                        </w:rPr>
                      </m:ctrlPr>
                    </m:fPr>
                    <m:num>
                      <m:r>
                        <w:rPr>
                          <w:rFonts w:ascii="Cambria Math" w:hAnsi="Cambria Math"/>
                        </w:rPr>
                        <m:t>1</m:t>
                      </m:r>
                      <m:ctrlPr>
                        <w:rPr>
                          <w:rFonts w:ascii="Cambria Math" w:hAnsi="Cambria Math"/>
                        </w:rPr>
                      </m:ctrlPr>
                    </m:num>
                    <m:den>
                      <m:r>
                        <w:rPr>
                          <w:rFonts w:ascii="Cambria Math" w:hAnsi="Cambria Math"/>
                        </w:rPr>
                        <m:t>3</m:t>
                      </m:r>
                      <m:ctrlPr>
                        <w:rPr>
                          <w:rFonts w:ascii="Cambria Math" w:hAnsi="Cambria Math"/>
                        </w:rPr>
                      </m:ctrlPr>
                    </m:den>
                  </m:f>
                </m:sup>
              </m:sSup>
              <m:ctrlPr>
                <w:rPr>
                  <w:rFonts w:ascii="Cambria Math" w:hAnsi="Cambria Math"/>
                  <w:i/>
                </w:rPr>
              </m:ctrlPr>
            </m:num>
            <m:den>
              <m:sSubSup>
                <m:sSubSupPr>
                  <m:ctrlPr>
                    <w:rPr>
                      <w:rFonts w:ascii="Cambria Math" w:hAnsi="Cambria Math"/>
                      <w:i/>
                      <w:szCs w:val="22"/>
                      <w:lang w:val="zh-CN"/>
                    </w:rPr>
                  </m:ctrlPr>
                </m:sSubSupPr>
                <m:e>
                  <m:r>
                    <w:rPr>
                      <w:rFonts w:ascii="Cambria Math" w:hAnsi="Cambria Math"/>
                      <w:szCs w:val="22"/>
                      <w:lang w:val="zh-CN"/>
                    </w:rPr>
                    <m:t>U</m:t>
                  </m:r>
                  <m:ctrlPr>
                    <w:rPr>
                      <w:rFonts w:ascii="Cambria Math" w:hAnsi="Cambria Math"/>
                      <w:i/>
                    </w:rPr>
                  </m:ctrlPr>
                </m:e>
                <m:sub>
                  <m:r>
                    <w:rPr>
                      <w:rFonts w:ascii="Cambria Math" w:hAnsi="Cambria Math"/>
                      <w:szCs w:val="22"/>
                      <w:lang w:val="zh-CN"/>
                    </w:rPr>
                    <m:t>r</m:t>
                  </m:r>
                  <m:ctrlPr>
                    <w:rPr>
                      <w:rFonts w:ascii="Cambria Math" w:hAnsi="Cambria Math"/>
                      <w:i/>
                    </w:rPr>
                  </m:ctrlPr>
                </m:sub>
                <m:sup>
                  <m:r>
                    <w:rPr>
                      <w:rFonts w:ascii="Cambria Math" w:hAnsi="Cambria Math"/>
                      <w:szCs w:val="22"/>
                      <w:lang w:val="zh-CN"/>
                    </w:rPr>
                    <m:t>2</m:t>
                  </m:r>
                  <m:ctrlPr>
                    <w:rPr>
                      <w:rFonts w:ascii="Cambria Math" w:hAnsi="Cambria Math"/>
                      <w:i/>
                    </w:rPr>
                  </m:ctrlPr>
                </m:sup>
              </m:sSubSup>
            </m:den>
          </m:f>
          <m:r>
            <w:rPr>
              <w:rFonts w:ascii="Cambria Math" w:hAnsi="Cambria Math"/>
            </w:rPr>
            <m:t>×</m:t>
          </m:r>
          <m:r>
            <m:rPr>
              <m:sty m:val="p"/>
            </m:rPr>
            <w:rPr>
              <w:rFonts w:ascii="Cambria Math" w:hAnsi="Cambria Math" w:hint="eastAsia"/>
            </w:rPr>
            <m:t>（</m:t>
          </m:r>
          <m:f>
            <m:fPr>
              <m:ctrlPr>
                <w:rPr>
                  <w:rFonts w:ascii="Cambria Math" w:hAnsi="Cambria Math"/>
                  <w:szCs w:val="22"/>
                  <w:lang w:val="zh-CN"/>
                </w:rPr>
              </m:ctrlPr>
            </m:fPr>
            <m:num>
              <m:sSub>
                <m:sSubPr>
                  <m:ctrlPr>
                    <w:rPr>
                      <w:rFonts w:ascii="Cambria Math" w:hAnsi="Cambria Math"/>
                      <w:i/>
                      <w:szCs w:val="22"/>
                      <w:lang w:val="zh-CN"/>
                    </w:rPr>
                  </m:ctrlPr>
                </m:sSubPr>
                <m:e>
                  <m:r>
                    <m:rPr>
                      <m:sty m:val="p"/>
                    </m:rPr>
                    <w:rPr>
                      <w:rFonts w:ascii="Cambria Math" w:hAnsi="Cambria Math" w:hint="eastAsia"/>
                    </w:rPr>
                    <m:t>ρ</m:t>
                  </m:r>
                  <m:ctrlPr>
                    <w:rPr>
                      <w:rFonts w:ascii="Cambria Math" w:hAnsi="Cambria Math"/>
                      <w:i/>
                    </w:rPr>
                  </m:ctrlPr>
                </m:e>
                <m:sub>
                  <m:r>
                    <w:rPr>
                      <w:rFonts w:ascii="Cambria Math" w:hAnsi="Cambria Math"/>
                    </w:rPr>
                    <m:t>rel</m:t>
                  </m:r>
                  <m:ctrlPr>
                    <w:rPr>
                      <w:rFonts w:ascii="Cambria Math" w:hAnsi="Cambria Math"/>
                      <w:i/>
                    </w:rPr>
                  </m:ctrlPr>
                </m:sub>
              </m:sSub>
              <m:r>
                <w:rPr>
                  <w:rFonts w:ascii="Cambria Math" w:hAnsi="Cambria Math"/>
                </w:rPr>
                <m:t>-</m:t>
              </m:r>
              <m:sSub>
                <m:sSubPr>
                  <m:ctrlPr>
                    <w:rPr>
                      <w:rFonts w:ascii="Cambria Math" w:hAnsi="Cambria Math"/>
                      <w:i/>
                      <w:szCs w:val="22"/>
                      <w:lang w:val="zh-CN"/>
                    </w:rPr>
                  </m:ctrlPr>
                </m:sSubPr>
                <m:e>
                  <m:r>
                    <m:rPr>
                      <m:sty m:val="p"/>
                    </m:rPr>
                    <w:rPr>
                      <w:rFonts w:ascii="Cambria Math" w:hAnsi="Cambria Math" w:hint="eastAsia"/>
                    </w:rPr>
                    <m:t>ρ</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szCs w:val="22"/>
                  <w:lang w:val="zh-CN"/>
                </w:rPr>
              </m:ctrlPr>
            </m:num>
            <m:den>
              <m:sSub>
                <m:sSubPr>
                  <m:ctrlPr>
                    <w:rPr>
                      <w:rFonts w:ascii="Cambria Math" w:hAnsi="Cambria Math"/>
                      <w:i/>
                      <w:szCs w:val="22"/>
                      <w:lang w:val="zh-CN"/>
                    </w:rPr>
                  </m:ctrlPr>
                </m:sSubPr>
                <m:e>
                  <m:r>
                    <m:rPr>
                      <m:sty m:val="p"/>
                    </m:rPr>
                    <w:rPr>
                      <w:rFonts w:ascii="Cambria Math" w:hAnsi="Cambria Math" w:hint="eastAsia"/>
                    </w:rPr>
                    <m:t>ρ</m:t>
                  </m:r>
                  <m:ctrlPr>
                    <w:rPr>
                      <w:rFonts w:ascii="Cambria Math" w:hAnsi="Cambria Math"/>
                      <w:i/>
                    </w:rPr>
                  </m:ctrlPr>
                </m:e>
                <m:sub>
                  <m:r>
                    <w:rPr>
                      <w:rFonts w:ascii="Cambria Math" w:hAnsi="Cambria Math"/>
                    </w:rPr>
                    <m:t>a</m:t>
                  </m:r>
                  <m:ctrlPr>
                    <w:rPr>
                      <w:rFonts w:ascii="Cambria Math" w:hAnsi="Cambria Math"/>
                      <w:i/>
                    </w:rPr>
                  </m:ctrlPr>
                </m:sub>
              </m:sSub>
              <m:ctrlPr>
                <w:rPr>
                  <w:rFonts w:ascii="Cambria Math" w:hAnsi="Cambria Math"/>
                  <w:i/>
                  <w:szCs w:val="22"/>
                  <w:lang w:val="zh-CN"/>
                </w:rPr>
              </m:ctrlPr>
            </m:den>
          </m:f>
          <m:r>
            <m:rPr>
              <m:sty m:val="p"/>
            </m:rPr>
            <w:rPr>
              <w:rFonts w:ascii="Cambria Math" w:hAnsi="Cambria Math" w:hint="eastAsia"/>
            </w:rPr>
            <m:t>）</m:t>
          </m:r>
        </m:oMath>
      </m:oMathPara>
    </w:p>
    <w:p w14:paraId="6108EC15" w14:textId="77777777" w:rsidR="00D170E5" w:rsidRPr="002B55E9" w:rsidRDefault="00EF27AD">
      <w:pPr>
        <w:spacing w:line="360" w:lineRule="auto"/>
        <w:ind w:firstLineChars="200" w:firstLine="480"/>
        <w:rPr>
          <w:bCs/>
          <w:sz w:val="24"/>
          <w:szCs w:val="22"/>
          <w:lang w:val="zh-CN" w:bidi="ne-NP"/>
        </w:rPr>
      </w:pPr>
      <w:r w:rsidRPr="002B55E9">
        <w:rPr>
          <w:rFonts w:hint="eastAsia"/>
          <w:bCs/>
          <w:snapToGrid w:val="0"/>
          <w:sz w:val="24"/>
        </w:rPr>
        <w:t>式中</w:t>
      </w:r>
      <w:r w:rsidRPr="002B55E9">
        <w:rPr>
          <w:bCs/>
          <w:snapToGrid w:val="0"/>
          <w:sz w:val="24"/>
        </w:rPr>
        <w:t>：</w:t>
      </w:r>
      <w:r w:rsidRPr="002B55E9">
        <w:rPr>
          <w:bCs/>
          <w:sz w:val="24"/>
          <w:szCs w:val="22"/>
          <w:lang w:val="zh-CN" w:bidi="ne-NP"/>
        </w:rPr>
        <w:fldChar w:fldCharType="begin"/>
      </w:r>
      <w:r w:rsidRPr="002B55E9">
        <w:rPr>
          <w:bCs/>
          <w:sz w:val="24"/>
          <w:szCs w:val="22"/>
          <w:lang w:val="zh-CN" w:bidi="ne-NP"/>
        </w:rPr>
        <w:instrText xml:space="preserve"> QUOTE </w:instrText>
      </w:r>
      <w:r w:rsidR="003E2FA0">
        <w:rPr>
          <w:bCs/>
          <w:snapToGrid w:val="0"/>
          <w:position w:val="-24"/>
          <w:sz w:val="24"/>
        </w:rPr>
        <w:pict w14:anchorId="1E18F981">
          <v:shape id="_x0000_i1036" type="#_x0000_t75" style="width:26.8pt;height:26.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hideGrammaticalErrors/&gt;&lt;w:activeWritingStyle w:lang=&quot;EN-US&quot; w:vendorID=&quot;64&quot; w:dllVersion=&quot;5&quot; w:nlCheck=&quot;on&quot; w:optionSet=&quot;1&quot;/&gt;&lt;w:activeWritingStyle w:lang=&quot;ZH-CN&quot; w:vendorID=&quot;64&quot; w:dllVersion=&quot;5&quot; w:nlCheck=&quot;on&quot; w:optionSet=&quot;1&quot;/&gt;&lt;w:activeWritingStyle w:lang=&quot;EN-US&quot; w:vendorID=&quot;64&quot; w:dllVersion=&quot;6&quot; w:nlCheck=&quot;on&quot; w:optionSet=&quot;0&quot;/&gt;&lt;w:activeWritingStyle w:lang=&quot;EN-GB&quot; w:vendorID=&quot;64&quot; w:dllVersion=&quot;6&quot; w:nlCheck=&quot;on&quot; w:optionSet=&quot;0&quot;/&gt;&lt;w:activeWritingStyle w:lang=&quot;EN-GB&quot; w:vendorID=&quot;64&quot; w:dllVersion=&quot;5&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stylePaneFormatFilter w:val=&quot;1F08&quot;/&gt;&lt;w:defaultTabStop w:val=&quot;210&quot;/&gt;&lt;w:drawingGridHorizontalSpacing w:val=&quot;105&quot;/&gt;&lt;w:drawingGridVerticalSpacing w:val=&quot;2&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92738&quot;/&gt;&lt;wsp:rsid wsp:val=&quot;0000006D&quot;/&gt;&lt;wsp:rsid wsp:val=&quot;000004D2&quot;/&gt;&lt;wsp:rsid wsp:val=&quot;00000B74&quot;/&gt;&lt;wsp:rsid wsp:val=&quot;00000C9C&quot;/&gt;&lt;wsp:rsid wsp:val=&quot;00000E77&quot;/&gt;&lt;wsp:rsid wsp:val=&quot;0000119A&quot;/&gt;&lt;wsp:rsid wsp:val=&quot;0000187F&quot;/&gt;&lt;wsp:rsid wsp:val=&quot;000019E8&quot;/&gt;&lt;wsp:rsid wsp:val=&quot;00001A79&quot;/&gt;&lt;wsp:rsid wsp:val=&quot;00001A85&quot;/&gt;&lt;wsp:rsid wsp:val=&quot;00001E16&quot;/&gt;&lt;wsp:rsid wsp:val=&quot;00001FE4&quot;/&gt;&lt;wsp:rsid wsp:val=&quot;00002092&quot;/&gt;&lt;wsp:rsid wsp:val=&quot;000021CB&quot;/&gt;&lt;wsp:rsid wsp:val=&quot;00002362&quot;/&gt;&lt;wsp:rsid wsp:val=&quot;000028B3&quot;/&gt;&lt;wsp:rsid wsp:val=&quot;00002988&quot;/&gt;&lt;wsp:rsid wsp:val=&quot;00002B8C&quot;/&gt;&lt;wsp:rsid wsp:val=&quot;00002F2D&quot;/&gt;&lt;wsp:rsid wsp:val=&quot;00003649&quot;/&gt;&lt;wsp:rsid wsp:val=&quot;000040AE&quot;/&gt;&lt;wsp:rsid wsp:val=&quot;000045BE&quot;/&gt;&lt;wsp:rsid wsp:val=&quot;00004694&quot;/&gt;&lt;wsp:rsid wsp:val=&quot;000047FE&quot;/&gt;&lt;wsp:rsid wsp:val=&quot;00004A61&quot;/&gt;&lt;wsp:rsid wsp:val=&quot;00004B36&quot;/&gt;&lt;wsp:rsid wsp:val=&quot;00004CA7&quot;/&gt;&lt;wsp:rsid wsp:val=&quot;00004CE1&quot;/&gt;&lt;wsp:rsid wsp:val=&quot;00004E3E&quot;/&gt;&lt;wsp:rsid wsp:val=&quot;00005131&quot;/&gt;&lt;wsp:rsid wsp:val=&quot;000051B4&quot;/&gt;&lt;wsp:rsid wsp:val=&quot;00005491&quot;/&gt;&lt;wsp:rsid wsp:val=&quot;00005535&quot;/&gt;&lt;wsp:rsid wsp:val=&quot;00005E0A&quot;/&gt;&lt;wsp:rsid wsp:val=&quot;00006076&quot;/&gt;&lt;wsp:rsid wsp:val=&quot;00006129&quot;/&gt;&lt;wsp:rsid wsp:val=&quot;000061C5&quot;/&gt;&lt;wsp:rsid wsp:val=&quot;00006267&quot;/&gt;&lt;wsp:rsid wsp:val=&quot;0000632D&quot;/&gt;&lt;wsp:rsid wsp:val=&quot;0000640B&quot;/&gt;&lt;wsp:rsid wsp:val=&quot;00006A32&quot;/&gt;&lt;wsp:rsid wsp:val=&quot;00006A72&quot;/&gt;&lt;wsp:rsid wsp:val=&quot;00006C24&quot;/&gt;&lt;wsp:rsid wsp:val=&quot;00006EAA&quot;/&gt;&lt;wsp:rsid wsp:val=&quot;000070C3&quot;/&gt;&lt;wsp:rsid wsp:val=&quot;00007501&quot;/&gt;&lt;wsp:rsid wsp:val=&quot;000075B5&quot;/&gt;&lt;wsp:rsid wsp:val=&quot;0000763A&quot;/&gt;&lt;wsp:rsid wsp:val=&quot;0000763C&quot;/&gt;&lt;wsp:rsid wsp:val=&quot;00007661&quot;/&gt;&lt;wsp:rsid wsp:val=&quot;00010000&quot;/&gt;&lt;wsp:rsid wsp:val=&quot;00010950&quot;/&gt;&lt;wsp:rsid wsp:val=&quot;000109DB&quot;/&gt;&lt;wsp:rsid wsp:val=&quot;00010E3E&quot;/&gt;&lt;wsp:rsid wsp:val=&quot;00010E64&quot;/&gt;&lt;wsp:rsid wsp:val=&quot;000111A5&quot;/&gt;&lt;wsp:rsid wsp:val=&quot;000118BD&quot;/&gt;&lt;wsp:rsid wsp:val=&quot;000118E6&quot;/&gt;&lt;wsp:rsid wsp:val=&quot;00011A00&quot;/&gt;&lt;wsp:rsid wsp:val=&quot;00011A44&quot;/&gt;&lt;wsp:rsid wsp:val=&quot;00011CF1&quot;/&gt;&lt;wsp:rsid wsp:val=&quot;000122FC&quot;/&gt;&lt;wsp:rsid wsp:val=&quot;00012464&quot;/&gt;&lt;wsp:rsid wsp:val=&quot;0001253F&quot;/&gt;&lt;wsp:rsid wsp:val=&quot;00012ACA&quot;/&gt;&lt;wsp:rsid wsp:val=&quot;00012C70&quot;/&gt;&lt;wsp:rsid wsp:val=&quot;00012D1B&quot;/&gt;&lt;wsp:rsid wsp:val=&quot;00012F03&quot;/&gt;&lt;wsp:rsid wsp:val=&quot;00013225&quot;/&gt;&lt;wsp:rsid wsp:val=&quot;0001328B&quot;/&gt;&lt;wsp:rsid wsp:val=&quot;00013817&quot;/&gt;&lt;wsp:rsid wsp:val=&quot;00013B98&quot;/&gt;&lt;wsp:rsid wsp:val=&quot;000142E2&quot;/&gt;&lt;wsp:rsid wsp:val=&quot;00014824&quot;/&gt;&lt;wsp:rsid wsp:val=&quot;00014EA2&quot;/&gt;&lt;wsp:rsid wsp:val=&quot;00014F95&quot;/&gt;&lt;wsp:rsid wsp:val=&quot;00015040&quot;/&gt;&lt;wsp:rsid wsp:val=&quot;0001547F&quot;/&gt;&lt;wsp:rsid wsp:val=&quot;000159D7&quot;/&gt;&lt;wsp:rsid wsp:val=&quot;00015C4B&quot;/&gt;&lt;wsp:rsid wsp:val=&quot;00015EA1&quot;/&gt;&lt;wsp:rsid wsp:val=&quot;00015EB9&quot;/&gt;&lt;wsp:rsid wsp:val=&quot;00015FBE&quot;/&gt;&lt;wsp:rsid wsp:val=&quot;000162E8&quot;/&gt;&lt;wsp:rsid wsp:val=&quot;00016782&quot;/&gt;&lt;wsp:rsid wsp:val=&quot;00016785&quot;/&gt;&lt;wsp:rsid wsp:val=&quot;0001678F&quot;/&gt;&lt;wsp:rsid wsp:val=&quot;000168B7&quot;/&gt;&lt;wsp:rsid wsp:val=&quot;00016932&quot;/&gt;&lt;wsp:rsid wsp:val=&quot;00016A53&quot;/&gt;&lt;wsp:rsid wsp:val=&quot;00016DF3&quot;/&gt;&lt;wsp:rsid wsp:val=&quot;00016F55&quot;/&gt;&lt;wsp:rsid wsp:val=&quot;00016F86&quot;/&gt;&lt;wsp:rsid wsp:val=&quot;000175AA&quot;/&gt;&lt;wsp:rsid wsp:val=&quot;00017667&quot;/&gt;&lt;wsp:rsid wsp:val=&quot;0001777B&quot;/&gt;&lt;wsp:rsid wsp:val=&quot;000179BA&quot;/&gt;&lt;wsp:rsid wsp:val=&quot;00017BF9&quot;/&gt;&lt;wsp:rsid wsp:val=&quot;00017C1B&quot;/&gt;&lt;wsp:rsid wsp:val=&quot;00017F59&quot;/&gt;&lt;wsp:rsid wsp:val=&quot;000202E1&quot;/&gt;&lt;wsp:rsid wsp:val=&quot;00020302&quot;/&gt;&lt;wsp:rsid wsp:val=&quot;0002046B&quot;/&gt;&lt;wsp:rsid wsp:val=&quot;000204F7&quot;/&gt;&lt;wsp:rsid wsp:val=&quot;00020646&quot;/&gt;&lt;wsp:rsid wsp:val=&quot;00020932&quot;/&gt;&lt;wsp:rsid wsp:val=&quot;0002122D&quot;/&gt;&lt;wsp:rsid wsp:val=&quot;000212CA&quot;/&gt;&lt;wsp:rsid wsp:val=&quot;000213D9&quot;/&gt;&lt;wsp:rsid wsp:val=&quot;000214AD&quot;/&gt;&lt;wsp:rsid wsp:val=&quot;0002178A&quot;/&gt;&lt;wsp:rsid wsp:val=&quot;00021870&quot;/&gt;&lt;wsp:rsid wsp:val=&quot;00021CC9&quot;/&gt;&lt;wsp:rsid wsp:val=&quot;00021EE7&quot;/&gt;&lt;wsp:rsid wsp:val=&quot;0002246E&quot;/&gt;&lt;wsp:rsid wsp:val=&quot;00022475&quot;/&gt;&lt;wsp:rsid wsp:val=&quot;000224D3&quot;/&gt;&lt;wsp:rsid wsp:val=&quot;00022582&quot;/&gt;&lt;wsp:rsid wsp:val=&quot;00022C49&quot;/&gt;&lt;wsp:rsid wsp:val=&quot;00022C7F&quot;/&gt;&lt;wsp:rsid wsp:val=&quot;00022D40&quot;/&gt;&lt;wsp:rsid wsp:val=&quot;00022EE5&quot;/&gt;&lt;wsp:rsid wsp:val=&quot;00023016&quot;/&gt;&lt;wsp:rsid wsp:val=&quot;00023071&quot;/&gt;&lt;wsp:rsid wsp:val=&quot;00023267&quot;/&gt;&lt;wsp:rsid wsp:val=&quot;000237B4&quot;/&gt;&lt;wsp:rsid wsp:val=&quot;00023819&quot;/&gt;&lt;wsp:rsid wsp:val=&quot;00023C75&quot;/&gt;&lt;wsp:rsid wsp:val=&quot;00023D50&quot;/&gt;&lt;wsp:rsid wsp:val=&quot;00023F32&quot;/&gt;&lt;wsp:rsid wsp:val=&quot;00023F65&quot;/&gt;&lt;wsp:rsid wsp:val=&quot;00023FE7&quot;/&gt;&lt;wsp:rsid wsp:val=&quot;000240C2&quot;/&gt;&lt;wsp:rsid wsp:val=&quot;000240DB&quot;/&gt;&lt;wsp:rsid wsp:val=&quot;000241A1&quot;/&gt;&lt;wsp:rsid wsp:val=&quot;00024371&quot;/&gt;&lt;wsp:rsid wsp:val=&quot;00024525&quot;/&gt;&lt;wsp:rsid wsp:val=&quot;000248D8&quot;/&gt;&lt;wsp:rsid wsp:val=&quot;000249DA&quot;/&gt;&lt;wsp:rsid wsp:val=&quot;00024B3C&quot;/&gt;&lt;wsp:rsid wsp:val=&quot;00025046&quot;/&gt;&lt;wsp:rsid wsp:val=&quot;000252A8&quot;/&gt;&lt;wsp:rsid wsp:val=&quot;00025320&quot;/&gt;&lt;wsp:rsid wsp:val=&quot;0002544D&quot;/&gt;&lt;wsp:rsid wsp:val=&quot;0002562B&quot;/&gt;&lt;wsp:rsid wsp:val=&quot;000256DB&quot;/&gt;&lt;wsp:rsid wsp:val=&quot;00025806&quot;/&gt;&lt;wsp:rsid wsp:val=&quot;00025E7C&quot;/&gt;&lt;wsp:rsid wsp:val=&quot;0002627E&quot;/&gt;&lt;wsp:rsid wsp:val=&quot;00026528&quot;/&gt;&lt;wsp:rsid wsp:val=&quot;0002673C&quot;/&gt;&lt;wsp:rsid wsp:val=&quot;000269C9&quot;/&gt;&lt;wsp:rsid wsp:val=&quot;00026BAA&quot;/&gt;&lt;wsp:rsid wsp:val=&quot;00026DAF&quot;/&gt;&lt;wsp:rsid wsp:val=&quot;000270A2&quot;/&gt;&lt;wsp:rsid wsp:val=&quot;000270F4&quot;/&gt;&lt;wsp:rsid wsp:val=&quot;0002714C&quot;/&gt;&lt;wsp:rsid wsp:val=&quot;000272C4&quot;/&gt;&lt;wsp:rsid wsp:val=&quot;00027344&quot;/&gt;&lt;wsp:rsid wsp:val=&quot;00027469&quot;/&gt;&lt;wsp:rsid wsp:val=&quot;0002749E&quot;/&gt;&lt;wsp:rsid wsp:val=&quot;00027826&quot;/&gt;&lt;wsp:rsid wsp:val=&quot;0002790D&quot;/&gt;&lt;wsp:rsid wsp:val=&quot;00027921&quot;/&gt;&lt;wsp:rsid wsp:val=&quot;00027962&quot;/&gt;&lt;wsp:rsid wsp:val=&quot;00027AAC&quot;/&gt;&lt;wsp:rsid wsp:val=&quot;00027CC8&quot;/&gt;&lt;wsp:rsid wsp:val=&quot;00030778&quot;/&gt;&lt;wsp:rsid wsp:val=&quot;0003077B&quot;/&gt;&lt;wsp:rsid wsp:val=&quot;000309CA&quot;/&gt;&lt;wsp:rsid wsp:val=&quot;00030B81&quot;/&gt;&lt;wsp:rsid wsp:val=&quot;00030C03&quot;/&gt;&lt;wsp:rsid wsp:val=&quot;00030C40&quot;/&gt;&lt;wsp:rsid wsp:val=&quot;00030CCF&quot;/&gt;&lt;wsp:rsid wsp:val=&quot;00030E0B&quot;/&gt;&lt;wsp:rsid wsp:val=&quot;00031347&quot;/&gt;&lt;wsp:rsid wsp:val=&quot;0003168E&quot;/&gt;&lt;wsp:rsid wsp:val=&quot;0003183C&quot;/&gt;&lt;wsp:rsid wsp:val=&quot;0003188F&quot;/&gt;&lt;wsp:rsid wsp:val=&quot;00031A03&quot;/&gt;&lt;wsp:rsid wsp:val=&quot;00031B68&quot;/&gt;&lt;wsp:rsid wsp:val=&quot;00031C7A&quot;/&gt;&lt;wsp:rsid wsp:val=&quot;00031D0A&quot;/&gt;&lt;wsp:rsid wsp:val=&quot;00031EDC&quot;/&gt;&lt;wsp:rsid wsp:val=&quot;00032739&quot;/&gt;&lt;wsp:rsid wsp:val=&quot;00032766&quot;/&gt;&lt;wsp:rsid wsp:val=&quot;00032778&quot;/&gt;&lt;wsp:rsid wsp:val=&quot;00032BB0&quot;/&gt;&lt;wsp:rsid wsp:val=&quot;00032BD3&quot;/&gt;&lt;wsp:rsid wsp:val=&quot;00032FFD&quot;/&gt;&lt;wsp:rsid wsp:val=&quot;0003320F&quot;/&gt;&lt;wsp:rsid wsp:val=&quot;00033356&quot;/&gt;&lt;wsp:rsid wsp:val=&quot;00033453&quot;/&gt;&lt;wsp:rsid wsp:val=&quot;00033810&quot;/&gt;&lt;wsp:rsid wsp:val=&quot;000339A6&quot;/&gt;&lt;wsp:rsid wsp:val=&quot;00033B65&quot;/&gt;&lt;wsp:rsid wsp:val=&quot;00033B79&quot;/&gt;&lt;wsp:rsid wsp:val=&quot;00033EC8&quot;/&gt;&lt;wsp:rsid wsp:val=&quot;00033FE5&quot;/&gt;&lt;wsp:rsid wsp:val=&quot;00034048&quot;/&gt;&lt;wsp:rsid wsp:val=&quot;000340B1&quot;/&gt;&lt;wsp:rsid wsp:val=&quot;00034440&quot;/&gt;&lt;wsp:rsid wsp:val=&quot;000344F0&quot;/&gt;&lt;wsp:rsid wsp:val=&quot;00034806&quot;/&gt;&lt;wsp:rsid wsp:val=&quot;00034B58&quot;/&gt;&lt;wsp:rsid wsp:val=&quot;00034C04&quot;/&gt;&lt;wsp:rsid wsp:val=&quot;00034C56&quot;/&gt;&lt;wsp:rsid wsp:val=&quot;00034D05&quot;/&gt;&lt;wsp:rsid wsp:val=&quot;00034F6C&quot;/&gt;&lt;wsp:rsid wsp:val=&quot;00035332&quot;/&gt;&lt;wsp:rsid wsp:val=&quot;000354CC&quot;/&gt;&lt;wsp:rsid wsp:val=&quot;00035741&quot;/&gt;&lt;wsp:rsid wsp:val=&quot;000359BB&quot;/&gt;&lt;wsp:rsid wsp:val=&quot;00035D13&quot;/&gt;&lt;wsp:rsid wsp:val=&quot;00035EF2&quot;/&gt;&lt;wsp:rsid wsp:val=&quot;00035F88&quot;/&gt;&lt;wsp:rsid wsp:val=&quot;0003623F&quot;/&gt;&lt;wsp:rsid wsp:val=&quot;000362AD&quot;/&gt;&lt;wsp:rsid wsp:val=&quot;0003637C&quot;/&gt;&lt;wsp:rsid wsp:val=&quot;0003660F&quot;/&gt;&lt;wsp:rsid wsp:val=&quot;0003674C&quot;/&gt;&lt;wsp:rsid wsp:val=&quot;00036858&quot;/&gt;&lt;wsp:rsid wsp:val=&quot;00036879&quot;/&gt;&lt;wsp:rsid wsp:val=&quot;00036927&quot;/&gt;&lt;wsp:rsid wsp:val=&quot;00036BA6&quot;/&gt;&lt;wsp:rsid wsp:val=&quot;00036DDB&quot;/&gt;&lt;wsp:rsid wsp:val=&quot;00036EE1&quot;/&gt;&lt;wsp:rsid wsp:val=&quot;00036F69&quot;/&gt;&lt;wsp:rsid wsp:val=&quot;00036F9A&quot;/&gt;&lt;wsp:rsid wsp:val=&quot;00037226&quot;/&gt;&lt;wsp:rsid wsp:val=&quot;00037958&quot;/&gt;&lt;wsp:rsid wsp:val=&quot;000379F1&quot;/&gt;&lt;wsp:rsid wsp:val=&quot;00037C3A&quot;/&gt;&lt;wsp:rsid wsp:val=&quot;000402C0&quot;/&gt;&lt;wsp:rsid wsp:val=&quot;000402CF&quot;/&gt;&lt;wsp:rsid wsp:val=&quot;00040374&quot;/&gt;&lt;wsp:rsid wsp:val=&quot;000403AB&quot;/&gt;&lt;wsp:rsid wsp:val=&quot;00040480&quot;/&gt;&lt;wsp:rsid wsp:val=&quot;000404FC&quot;/&gt;&lt;wsp:rsid wsp:val=&quot;000405C1&quot;/&gt;&lt;wsp:rsid wsp:val=&quot;00040B9C&quot;/&gt;&lt;wsp:rsid wsp:val=&quot;00040D5F&quot;/&gt;&lt;wsp:rsid wsp:val=&quot;000411E5&quot;/&gt;&lt;wsp:rsid wsp:val=&quot;000417F9&quot;/&gt;&lt;wsp:rsid wsp:val=&quot;00041BEE&quot;/&gt;&lt;wsp:rsid wsp:val=&quot;00041BF2&quot;/&gt;&lt;wsp:rsid wsp:val=&quot;00042019&quot;/&gt;&lt;wsp:rsid wsp:val=&quot;00042028&quot;/&gt;&lt;wsp:rsid wsp:val=&quot;00042046&quot;/&gt;&lt;wsp:rsid wsp:val=&quot;00042119&quot;/&gt;&lt;wsp:rsid wsp:val=&quot;000422BD&quot;/&gt;&lt;wsp:rsid wsp:val=&quot;000427F7&quot;/&gt;&lt;wsp:rsid wsp:val=&quot;000429E9&quot;/&gt;&lt;wsp:rsid wsp:val=&quot;00042C96&quot;/&gt;&lt;wsp:rsid wsp:val=&quot;00042D4F&quot;/&gt;&lt;wsp:rsid wsp:val=&quot;00042E01&quot;/&gt;&lt;wsp:rsid wsp:val=&quot;00042EE0&quot;/&gt;&lt;wsp:rsid wsp:val=&quot;00042F6C&quot;/&gt;&lt;wsp:rsid wsp:val=&quot;0004301F&quot;/&gt;&lt;wsp:rsid wsp:val=&quot;000437D7&quot;/&gt;&lt;wsp:rsid wsp:val=&quot;000439D5&quot;/&gt;&lt;wsp:rsid wsp:val=&quot;00043B2E&quot;/&gt;&lt;wsp:rsid wsp:val=&quot;00043EAC&quot;/&gt;&lt;wsp:rsid wsp:val=&quot;00044260&quot;/&gt;&lt;wsp:rsid wsp:val=&quot;00044329&quot;/&gt;&lt;wsp:rsid wsp:val=&quot;00044548&quot;/&gt;&lt;wsp:rsid wsp:val=&quot;000446A1&quot;/&gt;&lt;wsp:rsid wsp:val=&quot;00044713&quot;/&gt;&lt;wsp:rsid wsp:val=&quot;00044C34&quot;/&gt;&lt;wsp:rsid wsp:val=&quot;00044C47&quot;/&gt;&lt;wsp:rsid wsp:val=&quot;00044DEF&quot;/&gt;&lt;wsp:rsid wsp:val=&quot;00044E51&quot;/&gt;&lt;wsp:rsid wsp:val=&quot;0004530D&quot;/&gt;&lt;wsp:rsid wsp:val=&quot;00045455&quot;/&gt;&lt;wsp:rsid wsp:val=&quot;0004552F&quot;/&gt;&lt;wsp:rsid wsp:val=&quot;00045687&quot;/&gt;&lt;wsp:rsid wsp:val=&quot;00045A1C&quot;/&gt;&lt;wsp:rsid wsp:val=&quot;00045D77&quot;/&gt;&lt;wsp:rsid wsp:val=&quot;00045EEF&quot;/&gt;&lt;wsp:rsid wsp:val=&quot;00046045&quot;/&gt;&lt;wsp:rsid wsp:val=&quot;00046111&quot;/&gt;&lt;wsp:rsid wsp:val=&quot;000462E7&quot;/&gt;&lt;wsp:rsid wsp:val=&quot;0004632E&quot;/&gt;&lt;wsp:rsid wsp:val=&quot;00046422&quot;/&gt;&lt;wsp:rsid wsp:val=&quot;00046592&quot;/&gt;&lt;wsp:rsid wsp:val=&quot;0004684E&quot;/&gt;&lt;wsp:rsid wsp:val=&quot;00046978&quot;/&gt;&lt;wsp:rsid wsp:val=&quot;00046CD9&quot;/&gt;&lt;wsp:rsid wsp:val=&quot;00046E4E&quot;/&gt;&lt;wsp:rsid wsp:val=&quot;00046F4C&quot;/&gt;&lt;wsp:rsid wsp:val=&quot;00047274&quot;/&gt;&lt;wsp:rsid wsp:val=&quot;00047BC8&quot;/&gt;&lt;wsp:rsid wsp:val=&quot;00047C9A&quot;/&gt;&lt;wsp:rsid wsp:val=&quot;00047FBF&quot;/&gt;&lt;wsp:rsid wsp:val=&quot;00050255&quot;/&gt;&lt;wsp:rsid wsp:val=&quot;00050357&quot;/&gt;&lt;wsp:rsid wsp:val=&quot;00050452&quot;/&gt;&lt;wsp:rsid wsp:val=&quot;000506D2&quot;/&gt;&lt;wsp:rsid wsp:val=&quot;00050A1C&quot;/&gt;&lt;wsp:rsid wsp:val=&quot;00050B6D&quot;/&gt;&lt;wsp:rsid wsp:val=&quot;00050CAA&quot;/&gt;&lt;wsp:rsid wsp:val=&quot;00050CCB&quot;/&gt;&lt;wsp:rsid wsp:val=&quot;00050CD7&quot;/&gt;&lt;wsp:rsid wsp:val=&quot;000517F8&quot;/&gt;&lt;wsp:rsid wsp:val=&quot;0005185E&quot;/&gt;&lt;wsp:rsid wsp:val=&quot;00051BD8&quot;/&gt;&lt;wsp:rsid wsp:val=&quot;000521C0&quot;/&gt;&lt;wsp:rsid wsp:val=&quot;00052591&quot;/&gt;&lt;wsp:rsid wsp:val=&quot;000526A3&quot;/&gt;&lt;wsp:rsid wsp:val=&quot;00052AB6&quot;/&gt;&lt;wsp:rsid wsp:val=&quot;00052AF9&quot;/&gt;&lt;wsp:rsid wsp:val=&quot;00052CE0&quot;/&gt;&lt;wsp:rsid wsp:val=&quot;000532EF&quot;/&gt;&lt;wsp:rsid wsp:val=&quot;00053527&quot;/&gt;&lt;wsp:rsid wsp:val=&quot;0005363B&quot;/&gt;&lt;wsp:rsid wsp:val=&quot;000536CC&quot;/&gt;&lt;wsp:rsid wsp:val=&quot;00053721&quot;/&gt;&lt;wsp:rsid wsp:val=&quot;0005397E&quot;/&gt;&lt;wsp:rsid wsp:val=&quot;00053A48&quot;/&gt;&lt;wsp:rsid wsp:val=&quot;00053B18&quot;/&gt;&lt;wsp:rsid wsp:val=&quot;00053B2C&quot;/&gt;&lt;wsp:rsid wsp:val=&quot;00053D6C&quot;/&gt;&lt;wsp:rsid wsp:val=&quot;00054079&quot;/&gt;&lt;wsp:rsid wsp:val=&quot;0005416F&quot;/&gt;&lt;wsp:rsid wsp:val=&quot;00054290&quot;/&gt;&lt;wsp:rsid wsp:val=&quot;000543BD&quot;/&gt;&lt;wsp:rsid wsp:val=&quot;000543E3&quot;/&gt;&lt;wsp:rsid wsp:val=&quot;00054CBF&quot;/&gt;&lt;wsp:rsid wsp:val=&quot;00055108&quot;/&gt;&lt;wsp:rsid wsp:val=&quot;0005516A&quot;/&gt;&lt;wsp:rsid wsp:val=&quot;00055190&quot;/&gt;&lt;wsp:rsid wsp:val=&quot;000553C6&quot;/&gt;&lt;wsp:rsid wsp:val=&quot;0005546B&quot;/&gt;&lt;wsp:rsid wsp:val=&quot;000555AB&quot;/&gt;&lt;wsp:rsid wsp:val=&quot;0005563C&quot;/&gt;&lt;wsp:rsid wsp:val=&quot;00055AE5&quot;/&gt;&lt;wsp:rsid wsp:val=&quot;00055E7A&quot;/&gt;&lt;wsp:rsid wsp:val=&quot;0005622E&quot;/&gt;&lt;wsp:rsid wsp:val=&quot;00056774&quot;/&gt;&lt;wsp:rsid wsp:val=&quot;0005697C&quot;/&gt;&lt;wsp:rsid wsp:val=&quot;00056AF5&quot;/&gt;&lt;wsp:rsid wsp:val=&quot;00056C0B&quot;/&gt;&lt;wsp:rsid wsp:val=&quot;00056CA4&quot;/&gt;&lt;wsp:rsid wsp:val=&quot;00056D7C&quot;/&gt;&lt;wsp:rsid wsp:val=&quot;00056DAB&quot;/&gt;&lt;wsp:rsid wsp:val=&quot;00056DAE&quot;/&gt;&lt;wsp:rsid wsp:val=&quot;00056F76&quot;/&gt;&lt;wsp:rsid wsp:val=&quot;00056FC1&quot;/&gt;&lt;wsp:rsid wsp:val=&quot;000570AF&quot;/&gt;&lt;wsp:rsid wsp:val=&quot;00057385&quot;/&gt;&lt;wsp:rsid wsp:val=&quot;000573B8&quot;/&gt;&lt;wsp:rsid wsp:val=&quot;000574F7&quot;/&gt;&lt;wsp:rsid wsp:val=&quot;000576CD&quot;/&gt;&lt;wsp:rsid wsp:val=&quot;00057D71&quot;/&gt;&lt;wsp:rsid wsp:val=&quot;00057D7E&quot;/&gt;&lt;wsp:rsid wsp:val=&quot;00057E83&quot;/&gt;&lt;wsp:rsid wsp:val=&quot;00057EB6&quot;/&gt;&lt;wsp:rsid wsp:val=&quot;000603DC&quot;/&gt;&lt;wsp:rsid wsp:val=&quot;000605F1&quot;/&gt;&lt;wsp:rsid wsp:val=&quot;000607A3&quot;/&gt;&lt;wsp:rsid wsp:val=&quot;00060D4B&quot;/&gt;&lt;wsp:rsid wsp:val=&quot;00060DF7&quot;/&gt;&lt;wsp:rsid wsp:val=&quot;00060E74&quot;/&gt;&lt;wsp:rsid wsp:val=&quot;0006103F&quot;/&gt;&lt;wsp:rsid wsp:val=&quot;0006106D&quot;/&gt;&lt;wsp:rsid wsp:val=&quot;0006118D&quot;/&gt;&lt;wsp:rsid wsp:val=&quot;000612D8&quot;/&gt;&lt;wsp:rsid wsp:val=&quot;000614D2&quot;/&gt;&lt;wsp:rsid wsp:val=&quot;00061AB7&quot;/&gt;&lt;wsp:rsid wsp:val=&quot;00061B46&quot;/&gt;&lt;wsp:rsid wsp:val=&quot;00062099&quot;/&gt;&lt;wsp:rsid wsp:val=&quot;0006244C&quot;/&gt;&lt;wsp:rsid wsp:val=&quot;00062548&quot;/&gt;&lt;wsp:rsid wsp:val=&quot;000625E8&quot;/&gt;&lt;wsp:rsid wsp:val=&quot;00062AEB&quot;/&gt;&lt;wsp:rsid wsp:val=&quot;00062BB2&quot;/&gt;&lt;wsp:rsid wsp:val=&quot;00063298&quot;/&gt;&lt;wsp:rsid wsp:val=&quot;00063552&quot;/&gt;&lt;wsp:rsid wsp:val=&quot;0006357F&quot;/&gt;&lt;wsp:rsid wsp:val=&quot;00063C41&quot;/&gt;&lt;wsp:rsid wsp:val=&quot;00063EDF&quot;/&gt;&lt;wsp:rsid wsp:val=&quot;00063EE0&quot;/&gt;&lt;wsp:rsid wsp:val=&quot;000642C7&quot;/&gt;&lt;wsp:rsid wsp:val=&quot;000646EC&quot;/&gt;&lt;wsp:rsid wsp:val=&quot;000649F8&quot;/&gt;&lt;wsp:rsid wsp:val=&quot;00064CD2&quot;/&gt;&lt;wsp:rsid wsp:val=&quot;00064F8D&quot;/&gt;&lt;wsp:rsid wsp:val=&quot;0006543A&quot;/&gt;&lt;wsp:rsid wsp:val=&quot;000654BE&quot;/&gt;&lt;wsp:rsid wsp:val=&quot;0006572E&quot;/&gt;&lt;wsp:rsid wsp:val=&quot;0006574B&quot;/&gt;&lt;wsp:rsid wsp:val=&quot;00065F98&quot;/&gt;&lt;wsp:rsid wsp:val=&quot;00066234&quot;/&gt;&lt;wsp:rsid wsp:val=&quot;000663D4&quot;/&gt;&lt;wsp:rsid wsp:val=&quot;000664F2&quot;/&gt;&lt;wsp:rsid wsp:val=&quot;0006663E&quot;/&gt;&lt;wsp:rsid wsp:val=&quot;00066984&quot;/&gt;&lt;wsp:rsid wsp:val=&quot;00066E67&quot;/&gt;&lt;wsp:rsid wsp:val=&quot;00066F6E&quot;/&gt;&lt;wsp:rsid wsp:val=&quot;00066F8D&quot;/&gt;&lt;wsp:rsid wsp:val=&quot;000670C8&quot;/&gt;&lt;wsp:rsid wsp:val=&quot;0006739A&quot;/&gt;&lt;wsp:rsid wsp:val=&quot;00067C40&quot;/&gt;&lt;wsp:rsid wsp:val=&quot;00067C54&quot;/&gt;&lt;wsp:rsid wsp:val=&quot;00067E5E&quot;/&gt;&lt;wsp:rsid wsp:val=&quot;00067FDD&quot;/&gt;&lt;wsp:rsid wsp:val=&quot;000707EF&quot;/&gt;&lt;wsp:rsid wsp:val=&quot;00070D4A&quot;/&gt;&lt;wsp:rsid wsp:val=&quot;0007105F&quot;/&gt;&lt;wsp:rsid wsp:val=&quot;000711E6&quot;/&gt;&lt;wsp:rsid wsp:val=&quot;0007133F&quot;/&gt;&lt;wsp:rsid wsp:val=&quot;00071465&quot;/&gt;&lt;wsp:rsid wsp:val=&quot;0007146A&quot;/&gt;&lt;wsp:rsid wsp:val=&quot;0007198E&quot;/&gt;&lt;wsp:rsid wsp:val=&quot;00071B7B&quot;/&gt;&lt;wsp:rsid wsp:val=&quot;00071B9F&quot;/&gt;&lt;wsp:rsid wsp:val=&quot;0007207A&quot;/&gt;&lt;wsp:rsid wsp:val=&quot;000722DC&quot;/&gt;&lt;wsp:rsid wsp:val=&quot;000725E4&quot;/&gt;&lt;wsp:rsid wsp:val=&quot;000725ED&quot;/&gt;&lt;wsp:rsid wsp:val=&quot;0007296F&quot;/&gt;&lt;wsp:rsid wsp:val=&quot;00072A67&quot;/&gt;&lt;wsp:rsid wsp:val=&quot;00072E1D&quot;/&gt;&lt;wsp:rsid wsp:val=&quot;00073176&quot;/&gt;&lt;wsp:rsid wsp:val=&quot;0007317A&quot;/&gt;&lt;wsp:rsid wsp:val=&quot;000734DE&quot;/&gt;&lt;wsp:rsid wsp:val=&quot;0007391A&quot;/&gt;&lt;wsp:rsid wsp:val=&quot;0007393C&quot;/&gt;&lt;wsp:rsid wsp:val=&quot;000739D4&quot;/&gt;&lt;wsp:rsid wsp:val=&quot;00073AE8&quot;/&gt;&lt;wsp:rsid wsp:val=&quot;00073D00&quot;/&gt;&lt;wsp:rsid wsp:val=&quot;00073D9E&quot;/&gt;&lt;wsp:rsid wsp:val=&quot;00074017&quot;/&gt;&lt;wsp:rsid wsp:val=&quot;00074258&quot;/&gt;&lt;wsp:rsid wsp:val=&quot;00074BC8&quot;/&gt;&lt;wsp:rsid wsp:val=&quot;00074CA1&quot;/&gt;&lt;wsp:rsid wsp:val=&quot;00074DBF&quot;/&gt;&lt;wsp:rsid wsp:val=&quot;00074E4E&quot;/&gt;&lt;wsp:rsid wsp:val=&quot;000754B8&quot;/&gt;&lt;wsp:rsid wsp:val=&quot;00075569&quot;/&gt;&lt;wsp:rsid wsp:val=&quot;00075596&quot;/&gt;&lt;wsp:rsid wsp:val=&quot;00075953&quot;/&gt;&lt;wsp:rsid wsp:val=&quot;00075A1F&quot;/&gt;&lt;wsp:rsid wsp:val=&quot;00075C91&quot;/&gt;&lt;wsp:rsid wsp:val=&quot;00075EA8&quot;/&gt;&lt;wsp:rsid wsp:val=&quot;00075F0F&quot;/&gt;&lt;wsp:rsid wsp:val=&quot;00075F90&quot;/&gt;&lt;wsp:rsid wsp:val=&quot;00076556&quot;/&gt;&lt;wsp:rsid wsp:val=&quot;00076E41&quot;/&gt;&lt;wsp:rsid wsp:val=&quot;00076E64&quot;/&gt;&lt;wsp:rsid wsp:val=&quot;00076FEF&quot;/&gt;&lt;wsp:rsid wsp:val=&quot;0007723F&quot;/&gt;&lt;wsp:rsid wsp:val=&quot;000774FA&quot;/&gt;&lt;wsp:rsid wsp:val=&quot;0007758A&quot;/&gt;&lt;wsp:rsid wsp:val=&quot;00077665&quot;/&gt;&lt;wsp:rsid wsp:val=&quot;000776B5&quot;/&gt;&lt;wsp:rsid wsp:val=&quot;000777A1&quot;/&gt;&lt;wsp:rsid wsp:val=&quot;0007793B&quot;/&gt;&lt;wsp:rsid wsp:val=&quot;00077C9D&quot;/&gt;&lt;wsp:rsid wsp:val=&quot;00077CD8&quot;/&gt;&lt;wsp:rsid wsp:val=&quot;00077D17&quot;/&gt;&lt;wsp:rsid wsp:val=&quot;00077EB6&quot;/&gt;&lt;wsp:rsid wsp:val=&quot;0008008C&quot;/&gt;&lt;wsp:rsid wsp:val=&quot;0008026A&quot;/&gt;&lt;wsp:rsid wsp:val=&quot;00080292&quot;/&gt;&lt;wsp:rsid wsp:val=&quot;00080A44&quot;/&gt;&lt;wsp:rsid wsp:val=&quot;00080CD8&quot;/&gt;&lt;wsp:rsid wsp:val=&quot;000810AC&quot;/&gt;&lt;wsp:rsid wsp:val=&quot;000811A9&quot;/&gt;&lt;wsp:rsid wsp:val=&quot;000811ED&quot;/&gt;&lt;wsp:rsid wsp:val=&quot;0008191C&quot;/&gt;&lt;wsp:rsid wsp:val=&quot;00081A47&quot;/&gt;&lt;wsp:rsid wsp:val=&quot;00081C9A&quot;/&gt;&lt;wsp:rsid wsp:val=&quot;00081CBA&quot;/&gt;&lt;wsp:rsid wsp:val=&quot;00081CCC&quot;/&gt;&lt;wsp:rsid wsp:val=&quot;00081DC6&quot;/&gt;&lt;wsp:rsid wsp:val=&quot;00081E93&quot;/&gt;&lt;wsp:rsid wsp:val=&quot;00081F13&quot;/&gt;&lt;wsp:rsid wsp:val=&quot;00082145&quot;/&gt;&lt;wsp:rsid wsp:val=&quot;000823DA&quot;/&gt;&lt;wsp:rsid wsp:val=&quot;00082562&quot;/&gt;&lt;wsp:rsid wsp:val=&quot;000828B1&quot;/&gt;&lt;wsp:rsid wsp:val=&quot;00082B28&quot;/&gt;&lt;wsp:rsid wsp:val=&quot;00082BEB&quot;/&gt;&lt;wsp:rsid wsp:val=&quot;00082D42&quot;/&gt;&lt;wsp:rsid wsp:val=&quot;00082D51&quot;/&gt;&lt;wsp:rsid wsp:val=&quot;00082D79&quot;/&gt;&lt;wsp:rsid wsp:val=&quot;00082E87&quot;/&gt;&lt;wsp:rsid wsp:val=&quot;00083037&quot;/&gt;&lt;wsp:rsid wsp:val=&quot;00083089&quot;/&gt;&lt;wsp:rsid wsp:val=&quot;000831EF&quot;/&gt;&lt;wsp:rsid wsp:val=&quot;00083487&quot;/&gt;&lt;wsp:rsid wsp:val=&quot;0008358F&quot;/&gt;&lt;wsp:rsid wsp:val=&quot;000836A3&quot;/&gt;&lt;wsp:rsid wsp:val=&quot;000837C1&quot;/&gt;&lt;wsp:rsid wsp:val=&quot;00083BD3&quot;/&gt;&lt;wsp:rsid wsp:val=&quot;00083D85&quot;/&gt;&lt;wsp:rsid wsp:val=&quot;00083F1A&quot;/&gt;&lt;wsp:rsid wsp:val=&quot;000841BC&quot;/&gt;&lt;wsp:rsid wsp:val=&quot;000842A7&quot;/&gt;&lt;wsp:rsid wsp:val=&quot;000844FD&quot;/&gt;&lt;wsp:rsid wsp:val=&quot;000846CB&quot;/&gt;&lt;wsp:rsid wsp:val=&quot;0008471E&quot;/&gt;&lt;wsp:rsid wsp:val=&quot;00084F2B&quot;/&gt;&lt;wsp:rsid wsp:val=&quot;00085136&quot;/&gt;&lt;wsp:rsid wsp:val=&quot;0008522C&quot;/&gt;&lt;wsp:rsid wsp:val=&quot;0008526E&quot;/&gt;&lt;wsp:rsid wsp:val=&quot;00085B96&quot;/&gt;&lt;wsp:rsid wsp:val=&quot;0008603B&quot;/&gt;&lt;wsp:rsid wsp:val=&quot;00086240&quot;/&gt;&lt;wsp:rsid wsp:val=&quot;000862AC&quot;/&gt;&lt;wsp:rsid wsp:val=&quot;00086370&quot;/&gt;&lt;wsp:rsid wsp:val=&quot;00086975&quot;/&gt;&lt;wsp:rsid wsp:val=&quot;00086990&quot;/&gt;&lt;wsp:rsid wsp:val=&quot;00086C54&quot;/&gt;&lt;wsp:rsid wsp:val=&quot;00086D56&quot;/&gt;&lt;wsp:rsid wsp:val=&quot;00086D7A&quot;/&gt;&lt;wsp:rsid wsp:val=&quot;00086D7B&quot;/&gt;&lt;wsp:rsid wsp:val=&quot;0008705E&quot;/&gt;&lt;wsp:rsid wsp:val=&quot;00087316&quot;/&gt;&lt;wsp:rsid wsp:val=&quot;00087434&quot;/&gt;&lt;wsp:rsid wsp:val=&quot;000875D2&quot;/&gt;&lt;wsp:rsid wsp:val=&quot;000876C9&quot;/&gt;&lt;wsp:rsid wsp:val=&quot;000878F1&quot;/&gt;&lt;wsp:rsid wsp:val=&quot;00087C3C&quot;/&gt;&lt;wsp:rsid wsp:val=&quot;00087D8D&quot;/&gt;&lt;wsp:rsid wsp:val=&quot;000905E8&quot;/&gt;&lt;wsp:rsid wsp:val=&quot;00090813&quot;/&gt;&lt;wsp:rsid wsp:val=&quot;00090A18&quot;/&gt;&lt;wsp:rsid wsp:val=&quot;00090AC8&quot;/&gt;&lt;wsp:rsid wsp:val=&quot;00090CF4&quot;/&gt;&lt;wsp:rsid wsp:val=&quot;000913AE&quot;/&gt;&lt;wsp:rsid wsp:val=&quot;000914F2&quot;/&gt;&lt;wsp:rsid wsp:val=&quot;00091514&quot;/&gt;&lt;wsp:rsid wsp:val=&quot;00091557&quot;/&gt;&lt;wsp:rsid wsp:val=&quot;00091602&quot;/&gt;&lt;wsp:rsid wsp:val=&quot;00091625&quot;/&gt;&lt;wsp:rsid wsp:val=&quot;00091626&quot;/&gt;&lt;wsp:rsid wsp:val=&quot;00091837&quot;/&gt;&lt;wsp:rsid wsp:val=&quot;00091B14&quot;/&gt;&lt;wsp:rsid wsp:val=&quot;00091EEC&quot;/&gt;&lt;wsp:rsid wsp:val=&quot;00092224&quot;/&gt;&lt;wsp:rsid wsp:val=&quot;000924C4&quot;/&gt;&lt;wsp:rsid wsp:val=&quot;000924CE&quot;/&gt;&lt;wsp:rsid wsp:val=&quot;000927FB&quot;/&gt;&lt;wsp:rsid wsp:val=&quot;000929EB&quot;/&gt;&lt;wsp:rsid wsp:val=&quot;00092C69&quot;/&gt;&lt;wsp:rsid wsp:val=&quot;00092F22&quot;/&gt;&lt;wsp:rsid wsp:val=&quot;00093090&quot;/&gt;&lt;wsp:rsid wsp:val=&quot;0009336D&quot;/&gt;&lt;wsp:rsid wsp:val=&quot;000933F1&quot;/&gt;&lt;wsp:rsid wsp:val=&quot;0009340B&quot;/&gt;&lt;wsp:rsid wsp:val=&quot;0009354C&quot;/&gt;&lt;wsp:rsid wsp:val=&quot;00093598&quot;/&gt;&lt;wsp:rsid wsp:val=&quot;000937DA&quot;/&gt;&lt;wsp:rsid wsp:val=&quot;0009385E&quot;/&gt;&lt;wsp:rsid wsp:val=&quot;000939B0&quot;/&gt;&lt;wsp:rsid wsp:val=&quot;00093AED&quot;/&gt;&lt;wsp:rsid wsp:val=&quot;00093BE1&quot;/&gt;&lt;wsp:rsid wsp:val=&quot;00093E99&quot;/&gt;&lt;wsp:rsid wsp:val=&quot;00094557&quot;/&gt;&lt;wsp:rsid wsp:val=&quot;000945F6&quot;/&gt;&lt;wsp:rsid wsp:val=&quot;00094778&quot;/&gt;&lt;wsp:rsid wsp:val=&quot;00094FA3&quot;/&gt;&lt;wsp:rsid wsp:val=&quot;00094FAD&quot;/&gt;&lt;wsp:rsid wsp:val=&quot;00095351&quot;/&gt;&lt;wsp:rsid wsp:val=&quot;000958F8&quot;/&gt;&lt;wsp:rsid wsp:val=&quot;00095B50&quot;/&gt;&lt;wsp:rsid wsp:val=&quot;00096171&quot;/&gt;&lt;wsp:rsid wsp:val=&quot;000962D6&quot;/&gt;&lt;wsp:rsid wsp:val=&quot;0009632E&quot;/&gt;&lt;wsp:rsid wsp:val=&quot;0009639C&quot;/&gt;&lt;wsp:rsid wsp:val=&quot;000965F0&quot;/&gt;&lt;wsp:rsid wsp:val=&quot;00096756&quot;/&gt;&lt;wsp:rsid wsp:val=&quot;00096799&quot;/&gt;&lt;wsp:rsid wsp:val=&quot;00097069&quot;/&gt;&lt;wsp:rsid wsp:val=&quot;000974FF&quot;/&gt;&lt;wsp:rsid wsp:val=&quot;00097517&quot;/&gt;&lt;wsp:rsid wsp:val=&quot;000976FE&quot;/&gt;&lt;wsp:rsid wsp:val=&quot;00097BA3&quot;/&gt;&lt;wsp:rsid wsp:val=&quot;00097C02&quot;/&gt;&lt;wsp:rsid wsp:val=&quot;00097EB6&quot;/&gt;&lt;wsp:rsid wsp:val=&quot;00097F4D&quot;/&gt;&lt;wsp:rsid wsp:val=&quot;000A025E&quot;/&gt;&lt;wsp:rsid wsp:val=&quot;000A0353&quot;/&gt;&lt;wsp:rsid wsp:val=&quot;000A06E5&quot;/&gt;&lt;wsp:rsid wsp:val=&quot;000A09A8&quot;/&gt;&lt;wsp:rsid wsp:val=&quot;000A0DAB&quot;/&gt;&lt;wsp:rsid wsp:val=&quot;000A0F2E&quot;/&gt;&lt;wsp:rsid wsp:val=&quot;000A11CB&quot;/&gt;&lt;wsp:rsid wsp:val=&quot;000A12A2&quot;/&gt;&lt;wsp:rsid wsp:val=&quot;000A13EF&quot;/&gt;&lt;wsp:rsid wsp:val=&quot;000A154F&quot;/&gt;&lt;wsp:rsid wsp:val=&quot;000A1575&quot;/&gt;&lt;wsp:rsid wsp:val=&quot;000A18A2&quot;/&gt;&lt;wsp:rsid wsp:val=&quot;000A18F6&quot;/&gt;&lt;wsp:rsid wsp:val=&quot;000A1C6B&quot;/&gt;&lt;wsp:rsid wsp:val=&quot;000A1D6E&quot;/&gt;&lt;wsp:rsid wsp:val=&quot;000A20FA&quot;/&gt;&lt;wsp:rsid wsp:val=&quot;000A21A3&quot;/&gt;&lt;wsp:rsid wsp:val=&quot;000A21DA&quot;/&gt;&lt;wsp:rsid wsp:val=&quot;000A2553&quot;/&gt;&lt;wsp:rsid wsp:val=&quot;000A26C4&quot;/&gt;&lt;wsp:rsid wsp:val=&quot;000A2743&quot;/&gt;&lt;wsp:rsid wsp:val=&quot;000A2928&quot;/&gt;&lt;wsp:rsid wsp:val=&quot;000A29AD&quot;/&gt;&lt;wsp:rsid wsp:val=&quot;000A3054&quot;/&gt;&lt;wsp:rsid wsp:val=&quot;000A3BA8&quot;/&gt;&lt;wsp:rsid wsp:val=&quot;000A3EA2&quot;/&gt;&lt;wsp:rsid wsp:val=&quot;000A3FFB&quot;/&gt;&lt;wsp:rsid wsp:val=&quot;000A42E1&quot;/&gt;&lt;wsp:rsid wsp:val=&quot;000A4552&quot;/&gt;&lt;wsp:rsid wsp:val=&quot;000A4AE6&quot;/&gt;&lt;wsp:rsid wsp:val=&quot;000A4F83&quot;/&gt;&lt;wsp:rsid wsp:val=&quot;000A51CF&quot;/&gt;&lt;wsp:rsid wsp:val=&quot;000A5294&quot;/&gt;&lt;wsp:rsid wsp:val=&quot;000A544B&quot;/&gt;&lt;wsp:rsid wsp:val=&quot;000A572A&quot;/&gt;&lt;wsp:rsid wsp:val=&quot;000A58B9&quot;/&gt;&lt;wsp:rsid wsp:val=&quot;000A5932&quot;/&gt;&lt;wsp:rsid wsp:val=&quot;000A5D1D&quot;/&gt;&lt;wsp:rsid wsp:val=&quot;000A5FF2&quot;/&gt;&lt;wsp:rsid wsp:val=&quot;000A603D&quot;/&gt;&lt;wsp:rsid wsp:val=&quot;000A62BB&quot;/&gt;&lt;wsp:rsid wsp:val=&quot;000A6491&quot;/&gt;&lt;wsp:rsid wsp:val=&quot;000A6813&quot;/&gt;&lt;wsp:rsid wsp:val=&quot;000A6ECC&quot;/&gt;&lt;wsp:rsid wsp:val=&quot;000A743E&quot;/&gt;&lt;wsp:rsid wsp:val=&quot;000A749F&quot;/&gt;&lt;wsp:rsid wsp:val=&quot;000A75C0&quot;/&gt;&lt;wsp:rsid wsp:val=&quot;000A76A8&quot;/&gt;&lt;wsp:rsid wsp:val=&quot;000A7A9B&quot;/&gt;&lt;wsp:rsid wsp:val=&quot;000A7BED&quot;/&gt;&lt;wsp:rsid wsp:val=&quot;000A7C11&quot;/&gt;&lt;wsp:rsid wsp:val=&quot;000A7C8D&quot;/&gt;&lt;wsp:rsid wsp:val=&quot;000A7D08&quot;/&gt;&lt;wsp:rsid wsp:val=&quot;000A7E36&quot;/&gt;&lt;wsp:rsid wsp:val=&quot;000A7E91&quot;/&gt;&lt;wsp:rsid wsp:val=&quot;000A7F98&quot;/&gt;&lt;wsp:rsid wsp:val=&quot;000B0585&quot;/&gt;&lt;wsp:rsid wsp:val=&quot;000B082A&quot;/&gt;&lt;wsp:rsid wsp:val=&quot;000B0977&quot;/&gt;&lt;wsp:rsid wsp:val=&quot;000B0CEF&quot;/&gt;&lt;wsp:rsid wsp:val=&quot;000B11D6&quot;/&gt;&lt;wsp:rsid wsp:val=&quot;000B1547&quot;/&gt;&lt;wsp:rsid wsp:val=&quot;000B1840&quot;/&gt;&lt;wsp:rsid wsp:val=&quot;000B185A&quot;/&gt;&lt;wsp:rsid wsp:val=&quot;000B188D&quot;/&gt;&lt;wsp:rsid wsp:val=&quot;000B1DC1&quot;/&gt;&lt;wsp:rsid wsp:val=&quot;000B22FC&quot;/&gt;&lt;wsp:rsid wsp:val=&quot;000B2680&quot;/&gt;&lt;wsp:rsid wsp:val=&quot;000B2917&quot;/&gt;&lt;wsp:rsid wsp:val=&quot;000B29EC&quot;/&gt;&lt;wsp:rsid wsp:val=&quot;000B2A02&quot;/&gt;&lt;wsp:rsid wsp:val=&quot;000B2A05&quot;/&gt;&lt;wsp:rsid wsp:val=&quot;000B2ADC&quot;/&gt;&lt;wsp:rsid wsp:val=&quot;000B2DD1&quot;/&gt;&lt;wsp:rsid wsp:val=&quot;000B2E58&quot;/&gt;&lt;wsp:rsid wsp:val=&quot;000B2F57&quot;/&gt;&lt;wsp:rsid wsp:val=&quot;000B30D3&quot;/&gt;&lt;wsp:rsid wsp:val=&quot;000B31DB&quot;/&gt;&lt;wsp:rsid wsp:val=&quot;000B38CB&quot;/&gt;&lt;wsp:rsid wsp:val=&quot;000B41FF&quot;/&gt;&lt;wsp:rsid wsp:val=&quot;000B46A3&quot;/&gt;&lt;wsp:rsid wsp:val=&quot;000B4BB2&quot;/&gt;&lt;wsp:rsid wsp:val=&quot;000B4EAF&quot;/&gt;&lt;wsp:rsid wsp:val=&quot;000B5053&quot;/&gt;&lt;wsp:rsid wsp:val=&quot;000B5149&quot;/&gt;&lt;wsp:rsid wsp:val=&quot;000B516F&quot;/&gt;&lt;wsp:rsid wsp:val=&quot;000B5277&quot;/&gt;&lt;wsp:rsid wsp:val=&quot;000B54BD&quot;/&gt;&lt;wsp:rsid wsp:val=&quot;000B56A7&quot;/&gt;&lt;wsp:rsid wsp:val=&quot;000B5874&quot;/&gt;&lt;wsp:rsid wsp:val=&quot;000B59ED&quot;/&gt;&lt;wsp:rsid wsp:val=&quot;000B5BC9&quot;/&gt;&lt;wsp:rsid wsp:val=&quot;000B5D35&quot;/&gt;&lt;wsp:rsid wsp:val=&quot;000B5E8B&quot;/&gt;&lt;wsp:rsid wsp:val=&quot;000B6114&quot;/&gt;&lt;wsp:rsid wsp:val=&quot;000B611D&quot;/&gt;&lt;wsp:rsid wsp:val=&quot;000B6209&quot;/&gt;&lt;wsp:rsid wsp:val=&quot;000B6753&quot;/&gt;&lt;wsp:rsid wsp:val=&quot;000B68FC&quot;/&gt;&lt;wsp:rsid wsp:val=&quot;000B6A4C&quot;/&gt;&lt;wsp:rsid wsp:val=&quot;000B6AD8&quot;/&gt;&lt;wsp:rsid wsp:val=&quot;000B6B7B&quot;/&gt;&lt;wsp:rsid wsp:val=&quot;000B6CE3&quot;/&gt;&lt;wsp:rsid wsp:val=&quot;000B6EE8&quot;/&gt;&lt;wsp:rsid wsp:val=&quot;000B7670&quot;/&gt;&lt;wsp:rsid wsp:val=&quot;000B77D7&quot;/&gt;&lt;wsp:rsid wsp:val=&quot;000B781A&quot;/&gt;&lt;wsp:rsid wsp:val=&quot;000B7C55&quot;/&gt;&lt;wsp:rsid wsp:val=&quot;000B7E0C&quot;/&gt;&lt;wsp:rsid wsp:val=&quot;000B7E87&quot;/&gt;&lt;wsp:rsid wsp:val=&quot;000C0915&quot;/&gt;&lt;wsp:rsid wsp:val=&quot;000C0BF8&quot;/&gt;&lt;wsp:rsid wsp:val=&quot;000C0CC6&quot;/&gt;&lt;wsp:rsid wsp:val=&quot;000C1049&quot;/&gt;&lt;wsp:rsid wsp:val=&quot;000C15D5&quot;/&gt;&lt;wsp:rsid wsp:val=&quot;000C1CE0&quot;/&gt;&lt;wsp:rsid wsp:val=&quot;000C209A&quot;/&gt;&lt;wsp:rsid wsp:val=&quot;000C2172&quot;/&gt;&lt;wsp:rsid wsp:val=&quot;000C2179&quot;/&gt;&lt;wsp:rsid wsp:val=&quot;000C2191&quot;/&gt;&lt;wsp:rsid wsp:val=&quot;000C22A1&quot;/&gt;&lt;wsp:rsid wsp:val=&quot;000C24BD&quot;/&gt;&lt;wsp:rsid wsp:val=&quot;000C253F&quot;/&gt;&lt;wsp:rsid wsp:val=&quot;000C29A0&quot;/&gt;&lt;wsp:rsid wsp:val=&quot;000C29AF&quot;/&gt;&lt;wsp:rsid wsp:val=&quot;000C310B&quot;/&gt;&lt;wsp:rsid wsp:val=&quot;000C3212&quot;/&gt;&lt;wsp:rsid wsp:val=&quot;000C3338&quot;/&gt;&lt;wsp:rsid wsp:val=&quot;000C367B&quot;/&gt;&lt;wsp:rsid wsp:val=&quot;000C38A6&quot;/&gt;&lt;wsp:rsid wsp:val=&quot;000C38F7&quot;/&gt;&lt;wsp:rsid wsp:val=&quot;000C40C8&quot;/&gt;&lt;wsp:rsid wsp:val=&quot;000C4145&quot;/&gt;&lt;wsp:rsid wsp:val=&quot;000C441D&quot;/&gt;&lt;wsp:rsid wsp:val=&quot;000C45EE&quot;/&gt;&lt;wsp:rsid wsp:val=&quot;000C4686&quot;/&gt;&lt;wsp:rsid wsp:val=&quot;000C487B&quot;/&gt;&lt;wsp:rsid wsp:val=&quot;000C4906&quot;/&gt;&lt;wsp:rsid wsp:val=&quot;000C4A06&quot;/&gt;&lt;wsp:rsid wsp:val=&quot;000C4F4B&quot;/&gt;&lt;wsp:rsid wsp:val=&quot;000C5503&quot;/&gt;&lt;wsp:rsid wsp:val=&quot;000C5792&quot;/&gt;&lt;wsp:rsid wsp:val=&quot;000C5B98&quot;/&gt;&lt;wsp:rsid wsp:val=&quot;000C5BD6&quot;/&gt;&lt;wsp:rsid wsp:val=&quot;000C5D26&quot;/&gt;&lt;wsp:rsid wsp:val=&quot;000C5D6B&quot;/&gt;&lt;wsp:rsid wsp:val=&quot;000C5DC7&quot;/&gt;&lt;wsp:rsid wsp:val=&quot;000C5F22&quot;/&gt;&lt;wsp:rsid wsp:val=&quot;000C6447&quot;/&gt;&lt;wsp:rsid wsp:val=&quot;000C644C&quot;/&gt;&lt;wsp:rsid wsp:val=&quot;000C6650&quot;/&gt;&lt;wsp:rsid wsp:val=&quot;000C6787&quot;/&gt;&lt;wsp:rsid wsp:val=&quot;000C67D0&quot;/&gt;&lt;wsp:rsid wsp:val=&quot;000C6CC0&quot;/&gt;&lt;wsp:rsid wsp:val=&quot;000C7007&quot;/&gt;&lt;wsp:rsid wsp:val=&quot;000C7018&quot;/&gt;&lt;wsp:rsid wsp:val=&quot;000C7244&quot;/&gt;&lt;wsp:rsid wsp:val=&quot;000C724E&quot;/&gt;&lt;wsp:rsid wsp:val=&quot;000C728B&quot;/&gt;&lt;wsp:rsid wsp:val=&quot;000C7457&quot;/&gt;&lt;wsp:rsid wsp:val=&quot;000C747F&quot;/&gt;&lt;wsp:rsid wsp:val=&quot;000C74EA&quot;/&gt;&lt;wsp:rsid wsp:val=&quot;000C74F2&quot;/&gt;&lt;wsp:rsid wsp:val=&quot;000C74F4&quot;/&gt;&lt;wsp:rsid wsp:val=&quot;000C77D3&quot;/&gt;&lt;wsp:rsid wsp:val=&quot;000C77DA&quot;/&gt;&lt;wsp:rsid wsp:val=&quot;000C7A00&quot;/&gt;&lt;wsp:rsid wsp:val=&quot;000C7B7A&quot;/&gt;&lt;wsp:rsid wsp:val=&quot;000C7E5A&quot;/&gt;&lt;wsp:rsid wsp:val=&quot;000C7E79&quot;/&gt;&lt;wsp:rsid wsp:val=&quot;000C7F68&quot;/&gt;&lt;wsp:rsid wsp:val=&quot;000C7FB6&quot;/&gt;&lt;wsp:rsid wsp:val=&quot;000D0468&quot;/&gt;&lt;wsp:rsid wsp:val=&quot;000D0922&quot;/&gt;&lt;wsp:rsid wsp:val=&quot;000D09E5&quot;/&gt;&lt;wsp:rsid wsp:val=&quot;000D0F30&quot;/&gt;&lt;wsp:rsid wsp:val=&quot;000D13FF&quot;/&gt;&lt;wsp:rsid wsp:val=&quot;000D15B0&quot;/&gt;&lt;wsp:rsid wsp:val=&quot;000D1605&quot;/&gt;&lt;wsp:rsid wsp:val=&quot;000D1786&quot;/&gt;&lt;wsp:rsid wsp:val=&quot;000D21C1&quot;/&gt;&lt;wsp:rsid wsp:val=&quot;000D23D9&quot;/&gt;&lt;wsp:rsid wsp:val=&quot;000D2640&quot;/&gt;&lt;wsp:rsid wsp:val=&quot;000D2673&quot;/&gt;&lt;wsp:rsid wsp:val=&quot;000D2764&quot;/&gt;&lt;wsp:rsid wsp:val=&quot;000D29E1&quot;/&gt;&lt;wsp:rsid wsp:val=&quot;000D2D74&quot;/&gt;&lt;wsp:rsid wsp:val=&quot;000D2F23&quot;/&gt;&lt;wsp:rsid wsp:val=&quot;000D337C&quot;/&gt;&lt;wsp:rsid wsp:val=&quot;000D33EB&quot;/&gt;&lt;wsp:rsid wsp:val=&quot;000D34A8&quot;/&gt;&lt;wsp:rsid wsp:val=&quot;000D35DD&quot;/&gt;&lt;wsp:rsid wsp:val=&quot;000D3602&quot;/&gt;&lt;wsp:rsid wsp:val=&quot;000D3A9C&quot;/&gt;&lt;wsp:rsid wsp:val=&quot;000D3F77&quot;/&gt;&lt;wsp:rsid wsp:val=&quot;000D41D6&quot;/&gt;&lt;wsp:rsid wsp:val=&quot;000D435F&quot;/&gt;&lt;wsp:rsid wsp:val=&quot;000D4535&quot;/&gt;&lt;wsp:rsid wsp:val=&quot;000D47AB&quot;/&gt;&lt;wsp:rsid wsp:val=&quot;000D4B16&quot;/&gt;&lt;wsp:rsid wsp:val=&quot;000D4B6C&quot;/&gt;&lt;wsp:rsid wsp:val=&quot;000D4C5A&quot;/&gt;&lt;wsp:rsid wsp:val=&quot;000D541E&quot;/&gt;&lt;wsp:rsid wsp:val=&quot;000D55DC&quot;/&gt;&lt;wsp:rsid wsp:val=&quot;000D567C&quot;/&gt;&lt;wsp:rsid wsp:val=&quot;000D5744&quot;/&gt;&lt;wsp:rsid wsp:val=&quot;000D5931&quot;/&gt;&lt;wsp:rsid wsp:val=&quot;000D59DC&quot;/&gt;&lt;wsp:rsid wsp:val=&quot;000D5A6B&quot;/&gt;&lt;wsp:rsid wsp:val=&quot;000D5B5E&quot;/&gt;&lt;wsp:rsid wsp:val=&quot;000D5CCF&quot;/&gt;&lt;wsp:rsid wsp:val=&quot;000D5DDD&quot;/&gt;&lt;wsp:rsid wsp:val=&quot;000D64EE&quot;/&gt;&lt;wsp:rsid wsp:val=&quot;000D6AF7&quot;/&gt;&lt;wsp:rsid wsp:val=&quot;000D6CF5&quot;/&gt;&lt;wsp:rsid wsp:val=&quot;000D6E3B&quot;/&gt;&lt;wsp:rsid wsp:val=&quot;000D6F83&quot;/&gt;&lt;wsp:rsid wsp:val=&quot;000D6FD0&quot;/&gt;&lt;wsp:rsid wsp:val=&quot;000D7233&quot;/&gt;&lt;wsp:rsid wsp:val=&quot;000D72B5&quot;/&gt;&lt;wsp:rsid wsp:val=&quot;000D7333&quot;/&gt;&lt;wsp:rsid wsp:val=&quot;000D7476&quot;/&gt;&lt;wsp:rsid wsp:val=&quot;000D7ABE&quot;/&gt;&lt;wsp:rsid wsp:val=&quot;000D7B65&quot;/&gt;&lt;wsp:rsid wsp:val=&quot;000D7FAF&quot;/&gt;&lt;wsp:rsid wsp:val=&quot;000E06C3&quot;/&gt;&lt;wsp:rsid wsp:val=&quot;000E06EA&quot;/&gt;&lt;wsp:rsid wsp:val=&quot;000E130E&quot;/&gt;&lt;wsp:rsid wsp:val=&quot;000E14A9&quot;/&gt;&lt;wsp:rsid wsp:val=&quot;000E1540&quot;/&gt;&lt;wsp:rsid wsp:val=&quot;000E17F4&quot;/&gt;&lt;wsp:rsid wsp:val=&quot;000E1A35&quot;/&gt;&lt;wsp:rsid wsp:val=&quot;000E1C2E&quot;/&gt;&lt;wsp:rsid wsp:val=&quot;000E20EC&quot;/&gt;&lt;wsp:rsid wsp:val=&quot;000E2629&quot;/&gt;&lt;wsp:rsid wsp:val=&quot;000E28F1&quot;/&gt;&lt;wsp:rsid wsp:val=&quot;000E2945&quot;/&gt;&lt;wsp:rsid wsp:val=&quot;000E2986&quot;/&gt;&lt;wsp:rsid wsp:val=&quot;000E2BBC&quot;/&gt;&lt;wsp:rsid wsp:val=&quot;000E2D6E&quot;/&gt;&lt;wsp:rsid wsp:val=&quot;000E2F18&quot;/&gt;&lt;wsp:rsid wsp:val=&quot;000E30F5&quot;/&gt;&lt;wsp:rsid wsp:val=&quot;000E33E4&quot;/&gt;&lt;wsp:rsid wsp:val=&quot;000E352A&quot;/&gt;&lt;wsp:rsid wsp:val=&quot;000E39C9&quot;/&gt;&lt;wsp:rsid wsp:val=&quot;000E3A8F&quot;/&gt;&lt;wsp:rsid wsp:val=&quot;000E3B05&quot;/&gt;&lt;wsp:rsid wsp:val=&quot;000E3B5D&quot;/&gt;&lt;wsp:rsid wsp:val=&quot;000E3DE4&quot;/&gt;&lt;wsp:rsid wsp:val=&quot;000E3DF5&quot;/&gt;&lt;wsp:rsid wsp:val=&quot;000E43A5&quot;/&gt;&lt;wsp:rsid wsp:val=&quot;000E464E&quot;/&gt;&lt;wsp:rsid wsp:val=&quot;000E47AD&quot;/&gt;&lt;wsp:rsid wsp:val=&quot;000E4A98&quot;/&gt;&lt;wsp:rsid wsp:val=&quot;000E4D35&quot;/&gt;&lt;wsp:rsid wsp:val=&quot;000E4E55&quot;/&gt;&lt;wsp:rsid wsp:val=&quot;000E51CD&quot;/&gt;&lt;wsp:rsid wsp:val=&quot;000E552B&quot;/&gt;&lt;wsp:rsid wsp:val=&quot;000E56A4&quot;/&gt;&lt;wsp:rsid wsp:val=&quot;000E5A4A&quot;/&gt;&lt;wsp:rsid wsp:val=&quot;000E5AA0&quot;/&gt;&lt;wsp:rsid wsp:val=&quot;000E63EB&quot;/&gt;&lt;wsp:rsid wsp:val=&quot;000E66BB&quot;/&gt;&lt;wsp:rsid wsp:val=&quot;000E67F4&quot;/&gt;&lt;wsp:rsid wsp:val=&quot;000E6BDD&quot;/&gt;&lt;wsp:rsid wsp:val=&quot;000E6E9D&quot;/&gt;&lt;wsp:rsid wsp:val=&quot;000E6F53&quot;/&gt;&lt;wsp:rsid wsp:val=&quot;000E71B6&quot;/&gt;&lt;wsp:rsid wsp:val=&quot;000E7560&quot;/&gt;&lt;wsp:rsid wsp:val=&quot;000E7884&quot;/&gt;&lt;wsp:rsid wsp:val=&quot;000E7A4E&quot;/&gt;&lt;wsp:rsid wsp:val=&quot;000E7CF6&quot;/&gt;&lt;wsp:rsid wsp:val=&quot;000E7CF7&quot;/&gt;&lt;wsp:rsid wsp:val=&quot;000E7EAC&quot;/&gt;&lt;wsp:rsid wsp:val=&quot;000E7F60&quot;/&gt;&lt;wsp:rsid wsp:val=&quot;000E7FAD&quot;/&gt;&lt;wsp:rsid wsp:val=&quot;000F0191&quot;/&gt;&lt;wsp:rsid wsp:val=&quot;000F01B3&quot;/&gt;&lt;wsp:rsid wsp:val=&quot;000F0B69&quot;/&gt;&lt;wsp:rsid wsp:val=&quot;000F0C6F&quot;/&gt;&lt;wsp:rsid wsp:val=&quot;000F12DB&quot;/&gt;&lt;wsp:rsid wsp:val=&quot;000F15C2&quot;/&gt;&lt;wsp:rsid wsp:val=&quot;000F161C&quot;/&gt;&lt;wsp:rsid wsp:val=&quot;000F164E&quot;/&gt;&lt;wsp:rsid wsp:val=&quot;000F17B2&quot;/&gt;&lt;wsp:rsid wsp:val=&quot;000F180B&quot;/&gt;&lt;wsp:rsid wsp:val=&quot;000F1A4B&quot;/&gt;&lt;wsp:rsid wsp:val=&quot;000F1C3B&quot;/&gt;&lt;wsp:rsid wsp:val=&quot;000F1D18&quot;/&gt;&lt;wsp:rsid wsp:val=&quot;000F1EEF&quot;/&gt;&lt;wsp:rsid wsp:val=&quot;000F2013&quot;/&gt;&lt;wsp:rsid wsp:val=&quot;000F233D&quot;/&gt;&lt;wsp:rsid wsp:val=&quot;000F23D5&quot;/&gt;&lt;wsp:rsid wsp:val=&quot;000F24AF&quot;/&gt;&lt;wsp:rsid wsp:val=&quot;000F2616&quot;/&gt;&lt;wsp:rsid wsp:val=&quot;000F2624&quot;/&gt;&lt;wsp:rsid wsp:val=&quot;000F27AE&quot;/&gt;&lt;wsp:rsid wsp:val=&quot;000F2F6D&quot;/&gt;&lt;wsp:rsid wsp:val=&quot;000F3129&quot;/&gt;&lt;wsp:rsid wsp:val=&quot;000F3281&quot;/&gt;&lt;wsp:rsid wsp:val=&quot;000F3335&quot;/&gt;&lt;wsp:rsid wsp:val=&quot;000F3482&quot;/&gt;&lt;wsp:rsid wsp:val=&quot;000F3B79&quot;/&gt;&lt;wsp:rsid wsp:val=&quot;000F3BBC&quot;/&gt;&lt;wsp:rsid wsp:val=&quot;000F3BBE&quot;/&gt;&lt;wsp:rsid wsp:val=&quot;000F3DE1&quot;/&gt;&lt;wsp:rsid wsp:val=&quot;000F41A1&quot;/&gt;&lt;wsp:rsid wsp:val=&quot;000F47FC&quot;/&gt;&lt;wsp:rsid wsp:val=&quot;000F487C&quot;/&gt;&lt;wsp:rsid wsp:val=&quot;000F497F&quot;/&gt;&lt;wsp:rsid wsp:val=&quot;000F4A99&quot;/&gt;&lt;wsp:rsid wsp:val=&quot;000F4B7C&quot;/&gt;&lt;wsp:rsid wsp:val=&quot;000F4BD2&quot;/&gt;&lt;wsp:rsid wsp:val=&quot;000F4D2F&quot;/&gt;&lt;wsp:rsid wsp:val=&quot;000F4D4C&quot;/&gt;&lt;wsp:rsid wsp:val=&quot;000F5404&quot;/&gt;&lt;wsp:rsid wsp:val=&quot;000F5414&quot;/&gt;&lt;wsp:rsid wsp:val=&quot;000F54DE&quot;/&gt;&lt;wsp:rsid wsp:val=&quot;000F5539&quot;/&gt;&lt;wsp:rsid wsp:val=&quot;000F5A38&quot;/&gt;&lt;wsp:rsid wsp:val=&quot;000F5A96&quot;/&gt;&lt;wsp:rsid wsp:val=&quot;000F5AB5&quot;/&gt;&lt;wsp:rsid wsp:val=&quot;000F5BD8&quot;/&gt;&lt;wsp:rsid wsp:val=&quot;000F5CE8&quot;/&gt;&lt;wsp:rsid wsp:val=&quot;000F5D52&quot;/&gt;&lt;wsp:rsid wsp:val=&quot;000F614F&quot;/&gt;&lt;wsp:rsid wsp:val=&quot;000F65A8&quot;/&gt;&lt;wsp:rsid wsp:val=&quot;000F674F&quot;/&gt;&lt;wsp:rsid wsp:val=&quot;000F695E&quot;/&gt;&lt;wsp:rsid wsp:val=&quot;000F6A45&quot;/&gt;&lt;wsp:rsid wsp:val=&quot;000F6AC1&quot;/&gt;&lt;wsp:rsid wsp:val=&quot;000F6CAF&quot;/&gt;&lt;wsp:rsid wsp:val=&quot;000F6D04&quot;/&gt;&lt;wsp:rsid wsp:val=&quot;000F6DC9&quot;/&gt;&lt;wsp:rsid wsp:val=&quot;000F6F6B&quot;/&gt;&lt;wsp:rsid wsp:val=&quot;000F6FF1&quot;/&gt;&lt;wsp:rsid wsp:val=&quot;000F7367&quot;/&gt;&lt;wsp:rsid wsp:val=&quot;000F7774&quot;/&gt;&lt;wsp:rsid wsp:val=&quot;000F78A8&quot;/&gt;&lt;wsp:rsid wsp:val=&quot;000F7BD3&quot;/&gt;&lt;wsp:rsid wsp:val=&quot;000F7DE5&quot;/&gt;&lt;wsp:rsid wsp:val=&quot;000F7DF6&quot;/&gt;&lt;wsp:rsid wsp:val=&quot;000F7FFA&quot;/&gt;&lt;wsp:rsid wsp:val=&quot;00100687&quot;/&gt;&lt;wsp:rsid wsp:val=&quot;00100699&quot;/&gt;&lt;wsp:rsid wsp:val=&quot;001007C3&quot;/&gt;&lt;wsp:rsid wsp:val=&quot;001007E7&quot;/&gt;&lt;wsp:rsid wsp:val=&quot;00100809&quot;/&gt;&lt;wsp:rsid wsp:val=&quot;00100988&quot;/&gt;&lt;wsp:rsid wsp:val=&quot;00100D63&quot;/&gt;&lt;wsp:rsid wsp:val=&quot;00100E98&quot;/&gt;&lt;wsp:rsid wsp:val=&quot;00100F55&quot;/&gt;&lt;wsp:rsid wsp:val=&quot;00101471&quot;/&gt;&lt;wsp:rsid wsp:val=&quot;00101515&quot;/&gt;&lt;wsp:rsid wsp:val=&quot;001015D8&quot;/&gt;&lt;wsp:rsid wsp:val=&quot;00101640&quot;/&gt;&lt;wsp:rsid wsp:val=&quot;00101731&quot;/&gt;&lt;wsp:rsid wsp:val=&quot;0010178C&quot;/&gt;&lt;wsp:rsid wsp:val=&quot;001018F7&quot;/&gt;&lt;wsp:rsid wsp:val=&quot;00101C97&quot;/&gt;&lt;wsp:rsid wsp:val=&quot;00101F6A&quot;/&gt;&lt;wsp:rsid wsp:val=&quot;0010225C&quot;/&gt;&lt;wsp:rsid wsp:val=&quot;00102434&quot;/&gt;&lt;wsp:rsid wsp:val=&quot;00102781&quot;/&gt;&lt;wsp:rsid wsp:val=&quot;0010282F&quot;/&gt;&lt;wsp:rsid wsp:val=&quot;00102872&quot;/&gt;&lt;wsp:rsid wsp:val=&quot;001028C2&quot;/&gt;&lt;wsp:rsid wsp:val=&quot;001028C7&quot;/&gt;&lt;wsp:rsid wsp:val=&quot;00102B88&quot;/&gt;&lt;wsp:rsid wsp:val=&quot;00102CAC&quot;/&gt;&lt;wsp:rsid wsp:val=&quot;00102D47&quot;/&gt;&lt;wsp:rsid wsp:val=&quot;00102E89&quot;/&gt;&lt;wsp:rsid wsp:val=&quot;00102F01&quot;/&gt;&lt;wsp:rsid wsp:val=&quot;00103081&quot;/&gt;&lt;wsp:rsid wsp:val=&quot;001031EF&quot;/&gt;&lt;wsp:rsid wsp:val=&quot;001032DA&quot;/&gt;&lt;wsp:rsid wsp:val=&quot;001033F5&quot;/&gt;&lt;wsp:rsid wsp:val=&quot;001034BD&quot;/&gt;&lt;wsp:rsid wsp:val=&quot;00103E4C&quot;/&gt;&lt;wsp:rsid wsp:val=&quot;00103F6B&quot;/&gt;&lt;wsp:rsid wsp:val=&quot;001045BE&quot;/&gt;&lt;wsp:rsid wsp:val=&quot;001048DC&quot;/&gt;&lt;wsp:rsid wsp:val=&quot;001049D5&quot;/&gt;&lt;wsp:rsid wsp:val=&quot;00104B3E&quot;/&gt;&lt;wsp:rsid wsp:val=&quot;00104B66&quot;/&gt;&lt;wsp:rsid wsp:val=&quot;00104D8E&quot;/&gt;&lt;wsp:rsid wsp:val=&quot;00104E13&quot;/&gt;&lt;wsp:rsid wsp:val=&quot;00104FA2&quot;/&gt;&lt;wsp:rsid wsp:val=&quot;0010510D&quot;/&gt;&lt;wsp:rsid wsp:val=&quot;001053EB&quot;/&gt;&lt;wsp:rsid wsp:val=&quot;00105452&quot;/&gt;&lt;wsp:rsid wsp:val=&quot;00105524&quot;/&gt;&lt;wsp:rsid wsp:val=&quot;001056F8&quot;/&gt;&lt;wsp:rsid wsp:val=&quot;00105718&quot;/&gt;&lt;wsp:rsid wsp:val=&quot;00105E50&quot;/&gt;&lt;wsp:rsid wsp:val=&quot;00105F54&quot;/&gt;&lt;wsp:rsid wsp:val=&quot;0010611D&quot;/&gt;&lt;wsp:rsid wsp:val=&quot;00106577&quot;/&gt;&lt;wsp:rsid wsp:val=&quot;001066F8&quot;/&gt;&lt;wsp:rsid wsp:val=&quot;001067A9&quot;/&gt;&lt;wsp:rsid wsp:val=&quot;00106A26&quot;/&gt;&lt;wsp:rsid wsp:val=&quot;00106BAF&quot;/&gt;&lt;wsp:rsid wsp:val=&quot;00106C99&quot;/&gt;&lt;wsp:rsid wsp:val=&quot;00106D32&quot;/&gt;&lt;wsp:rsid wsp:val=&quot;00106E62&quot;/&gt;&lt;wsp:rsid wsp:val=&quot;001072E3&quot;/&gt;&lt;wsp:rsid wsp:val=&quot;00107354&quot;/&gt;&lt;wsp:rsid wsp:val=&quot;0010736F&quot;/&gt;&lt;wsp:rsid wsp:val=&quot;001073BF&quot;/&gt;&lt;wsp:rsid wsp:val=&quot;001073EF&quot;/&gt;&lt;wsp:rsid wsp:val=&quot;001073F0&quot;/&gt;&lt;wsp:rsid wsp:val=&quot;00107ACA&quot;/&gt;&lt;wsp:rsid wsp:val=&quot;00107F39&quot;/&gt;&lt;wsp:rsid wsp:val=&quot;00107F79&quot;/&gt;&lt;wsp:rsid wsp:val=&quot;00107FA2&quot;/&gt;&lt;wsp:rsid wsp:val=&quot;00110158&quot;/&gt;&lt;wsp:rsid wsp:val=&quot;001104BB&quot;/&gt;&lt;wsp:rsid wsp:val=&quot;001109CC&quot;/&gt;&lt;wsp:rsid wsp:val=&quot;00110B6A&quot;/&gt;&lt;wsp:rsid wsp:val=&quot;00110C37&quot;/&gt;&lt;wsp:rsid wsp:val=&quot;0011109C&quot;/&gt;&lt;wsp:rsid wsp:val=&quot;0011110E&quot;/&gt;&lt;wsp:rsid wsp:val=&quot;00111482&quot;/&gt;&lt;wsp:rsid wsp:val=&quot;0011153D&quot;/&gt;&lt;wsp:rsid wsp:val=&quot;00111849&quot;/&gt;&lt;wsp:rsid wsp:val=&quot;00111A67&quot;/&gt;&lt;wsp:rsid wsp:val=&quot;00111B7F&quot;/&gt;&lt;wsp:rsid wsp:val=&quot;00111E44&quot;/&gt;&lt;wsp:rsid wsp:val=&quot;0011205D&quot;/&gt;&lt;wsp:rsid wsp:val=&quot;00112174&quot;/&gt;&lt;wsp:rsid wsp:val=&quot;001121C6&quot;/&gt;&lt;wsp:rsid wsp:val=&quot;00112257&quot;/&gt;&lt;wsp:rsid wsp:val=&quot;00112A2F&quot;/&gt;&lt;wsp:rsid wsp:val=&quot;00112CA1&quot;/&gt;&lt;wsp:rsid wsp:val=&quot;00112EA3&quot;/&gt;&lt;wsp:rsid wsp:val=&quot;00112F36&quot;/&gt;&lt;wsp:rsid wsp:val=&quot;00112F39&quot;/&gt;&lt;wsp:rsid wsp:val=&quot;001136BD&quot;/&gt;&lt;wsp:rsid wsp:val=&quot;0011377B&quot;/&gt;&lt;wsp:rsid wsp:val=&quot;001137DF&quot;/&gt;&lt;wsp:rsid wsp:val=&quot;00113937&quot;/&gt;&lt;wsp:rsid wsp:val=&quot;00113A8D&quot;/&gt;&lt;wsp:rsid wsp:val=&quot;00113B17&quot;/&gt;&lt;wsp:rsid wsp:val=&quot;00113FFC&quot;/&gt;&lt;wsp:rsid wsp:val=&quot;00114098&quot;/&gt;&lt;wsp:rsid wsp:val=&quot;001141BE&quot;/&gt;&lt;wsp:rsid wsp:val=&quot;00114575&quot;/&gt;&lt;wsp:rsid wsp:val=&quot;001146DC&quot;/&gt;&lt;wsp:rsid wsp:val=&quot;00114B91&quot;/&gt;&lt;wsp:rsid wsp:val=&quot;00114C1B&quot;/&gt;&lt;wsp:rsid wsp:val=&quot;00114D9F&quot;/&gt;&lt;wsp:rsid wsp:val=&quot;00114E05&quot;/&gt;&lt;wsp:rsid wsp:val=&quot;00114E79&quot;/&gt;&lt;wsp:rsid wsp:val=&quot;001150CC&quot;/&gt;&lt;wsp:rsid wsp:val=&quot;00115712&quot;/&gt;&lt;wsp:rsid wsp:val=&quot;001159E3&quot;/&gt;&lt;wsp:rsid wsp:val=&quot;00115A1A&quot;/&gt;&lt;wsp:rsid wsp:val=&quot;00115E03&quot;/&gt;&lt;wsp:rsid wsp:val=&quot;00116083&quot;/&gt;&lt;wsp:rsid wsp:val=&quot;001163F9&quot;/&gt;&lt;wsp:rsid wsp:val=&quot;00116614&quot;/&gt;&lt;wsp:rsid wsp:val=&quot;0011668F&quot;/&gt;&lt;wsp:rsid wsp:val=&quot;00116938&quot;/&gt;&lt;wsp:rsid wsp:val=&quot;00116B9C&quot;/&gt;&lt;wsp:rsid wsp:val=&quot;00116C42&quot;/&gt;&lt;wsp:rsid wsp:val=&quot;0011721F&quot;/&gt;&lt;wsp:rsid wsp:val=&quot;001174F4&quot;/&gt;&lt;wsp:rsid wsp:val=&quot;00117578&quot;/&gt;&lt;wsp:rsid wsp:val=&quot;0011761E&quot;/&gt;&lt;wsp:rsid wsp:val=&quot;00117642&quot;/&gt;&lt;wsp:rsid wsp:val=&quot;00117B8D&quot;/&gt;&lt;wsp:rsid wsp:val=&quot;00117C0B&quot;/&gt;&lt;wsp:rsid wsp:val=&quot;00117E14&quot;/&gt;&lt;wsp:rsid wsp:val=&quot;00117E93&quot;/&gt;&lt;wsp:rsid wsp:val=&quot;00117F31&quot;/&gt;&lt;wsp:rsid wsp:val=&quot;00117F83&quot;/&gt;&lt;wsp:rsid wsp:val=&quot;001203F2&quot;/&gt;&lt;wsp:rsid wsp:val=&quot;00120458&quot;/&gt;&lt;wsp:rsid wsp:val=&quot;00120468&quot;/&gt;&lt;wsp:rsid wsp:val=&quot;00120A88&quot;/&gt;&lt;wsp:rsid wsp:val=&quot;00120B20&quot;/&gt;&lt;wsp:rsid wsp:val=&quot;00120D8D&quot;/&gt;&lt;wsp:rsid wsp:val=&quot;00120DEA&quot;/&gt;&lt;wsp:rsid wsp:val=&quot;00120EF3&quot;/&gt;&lt;wsp:rsid wsp:val=&quot;00121AA6&quot;/&gt;&lt;wsp:rsid wsp:val=&quot;00121C7F&quot;/&gt;&lt;wsp:rsid wsp:val=&quot;00121CA7&quot;/&gt;&lt;wsp:rsid wsp:val=&quot;00121D0A&quot;/&gt;&lt;wsp:rsid wsp:val=&quot;00121E09&quot;/&gt;&lt;wsp:rsid wsp:val=&quot;0012200A&quot;/&gt;&lt;wsp:rsid wsp:val=&quot;00122022&quot;/&gt;&lt;wsp:rsid wsp:val=&quot;0012204B&quot;/&gt;&lt;wsp:rsid wsp:val=&quot;00122078&quot;/&gt;&lt;wsp:rsid wsp:val=&quot;001223B3&quot;/&gt;&lt;wsp:rsid wsp:val=&quot;0012271B&quot;/&gt;&lt;wsp:rsid wsp:val=&quot;00122D7C&quot;/&gt;&lt;wsp:rsid wsp:val=&quot;00122DEE&quot;/&gt;&lt;wsp:rsid wsp:val=&quot;00122FB1&quot;/&gt;&lt;wsp:rsid wsp:val=&quot;00122FC9&quot;/&gt;&lt;wsp:rsid wsp:val=&quot;0012340E&quot;/&gt;&lt;wsp:rsid wsp:val=&quot;00123578&quot;/&gt;&lt;wsp:rsid wsp:val=&quot;0012368F&quot;/&gt;&lt;wsp:rsid wsp:val=&quot;001238B7&quot;/&gt;&lt;wsp:rsid wsp:val=&quot;00123911&quot;/&gt;&lt;wsp:rsid wsp:val=&quot;00123F0A&quot;/&gt;&lt;wsp:rsid wsp:val=&quot;001242C5&quot;/&gt;&lt;wsp:rsid wsp:val=&quot;001243EE&quot;/&gt;&lt;wsp:rsid wsp:val=&quot;001246B4&quot;/&gt;&lt;wsp:rsid wsp:val=&quot;00124837&quot;/&gt;&lt;wsp:rsid wsp:val=&quot;0012486E&quot;/&gt;&lt;wsp:rsid wsp:val=&quot;00124B99&quot;/&gt;&lt;wsp:rsid wsp:val=&quot;00124C26&quot;/&gt;&lt;wsp:rsid wsp:val=&quot;00124D6D&quot;/&gt;&lt;wsp:rsid wsp:val=&quot;00124DC7&quot;/&gt;&lt;wsp:rsid wsp:val=&quot;00125222&quot;/&gt;&lt;wsp:rsid wsp:val=&quot;00125264&quot;/&gt;&lt;wsp:rsid wsp:val=&quot;0012554A&quot;/&gt;&lt;wsp:rsid wsp:val=&quot;00125686&quot;/&gt;&lt;wsp:rsid wsp:val=&quot;00125E24&quot;/&gt;&lt;wsp:rsid wsp:val=&quot;001263E8&quot;/&gt;&lt;wsp:rsid wsp:val=&quot;0012641A&quot;/&gt;&lt;wsp:rsid wsp:val=&quot;0012654A&quot;/&gt;&lt;wsp:rsid wsp:val=&quot;001265EE&quot;/&gt;&lt;wsp:rsid wsp:val=&quot;001266E7&quot;/&gt;&lt;wsp:rsid wsp:val=&quot;0012688B&quot;/&gt;&lt;wsp:rsid wsp:val=&quot;00126A90&quot;/&gt;&lt;wsp:rsid wsp:val=&quot;00126AEC&quot;/&gt;&lt;wsp:rsid wsp:val=&quot;001273A9&quot;/&gt;&lt;wsp:rsid wsp:val=&quot;00127557&quot;/&gt;&lt;wsp:rsid wsp:val=&quot;001275C4&quot;/&gt;&lt;wsp:rsid wsp:val=&quot;0012772D&quot;/&gt;&lt;wsp:rsid wsp:val=&quot;001277AB&quot;/&gt;&lt;wsp:rsid wsp:val=&quot;00127C6A&quot;/&gt;&lt;wsp:rsid wsp:val=&quot;00127DC3&quot;/&gt;&lt;wsp:rsid wsp:val=&quot;00127E6F&quot;/&gt;&lt;wsp:rsid wsp:val=&quot;00130484&quot;/&gt;&lt;wsp:rsid wsp:val=&quot;001304F8&quot;/&gt;&lt;wsp:rsid wsp:val=&quot;00130703&quot;/&gt;&lt;wsp:rsid wsp:val=&quot;00130AB0&quot;/&gt;&lt;wsp:rsid wsp:val=&quot;00130ACB&quot;/&gt;&lt;wsp:rsid wsp:val=&quot;00130C75&quot;/&gt;&lt;wsp:rsid wsp:val=&quot;00130CC1&quot;/&gt;&lt;wsp:rsid wsp:val=&quot;00131041&quot;/&gt;&lt;wsp:rsid wsp:val=&quot;001313B8&quot;/&gt;&lt;wsp:rsid wsp:val=&quot;0013144C&quot;/&gt;&lt;wsp:rsid wsp:val=&quot;00131818&quot;/&gt;&lt;wsp:rsid wsp:val=&quot;00131B0A&quot;/&gt;&lt;wsp:rsid wsp:val=&quot;00131C41&quot;/&gt;&lt;wsp:rsid wsp:val=&quot;00131DC0&quot;/&gt;&lt;wsp:rsid wsp:val=&quot;00131F54&quot;/&gt;&lt;wsp:rsid wsp:val=&quot;00132044&quot;/&gt;&lt;wsp:rsid wsp:val=&quot;001321CF&quot;/&gt;&lt;wsp:rsid wsp:val=&quot;00132293&quot;/&gt;&lt;wsp:rsid wsp:val=&quot;001325E4&quot;/&gt;&lt;wsp:rsid wsp:val=&quot;00132606&quot;/&gt;&lt;wsp:rsid wsp:val=&quot;00132711&quot;/&gt;&lt;wsp:rsid wsp:val=&quot;0013297E&quot;/&gt;&lt;wsp:rsid wsp:val=&quot;00132BBD&quot;/&gt;&lt;wsp:rsid wsp:val=&quot;00132D6D&quot;/&gt;&lt;wsp:rsid wsp:val=&quot;001333D2&quot;/&gt;&lt;wsp:rsid wsp:val=&quot;0013374F&quot;/&gt;&lt;wsp:rsid wsp:val=&quot;001337C9&quot;/&gt;&lt;wsp:rsid wsp:val=&quot;00133AC8&quot;/&gt;&lt;wsp:rsid wsp:val=&quot;00133F2A&quot;/&gt;&lt;wsp:rsid wsp:val=&quot;001343C8&quot;/&gt;&lt;wsp:rsid wsp:val=&quot;00134515&quot;/&gt;&lt;wsp:rsid wsp:val=&quot;0013462E&quot;/&gt;&lt;wsp:rsid wsp:val=&quot;0013475F&quot;/&gt;&lt;wsp:rsid wsp:val=&quot;00134A3A&quot;/&gt;&lt;wsp:rsid wsp:val=&quot;00134D63&quot;/&gt;&lt;wsp:rsid wsp:val=&quot;00134E35&quot;/&gt;&lt;wsp:rsid wsp:val=&quot;00135130&quot;/&gt;&lt;wsp:rsid wsp:val=&quot;001355E4&quot;/&gt;&lt;wsp:rsid wsp:val=&quot;00135940&quot;/&gt;&lt;wsp:rsid wsp:val=&quot;00135B29&quot;/&gt;&lt;wsp:rsid wsp:val=&quot;00135DDA&quot;/&gt;&lt;wsp:rsid wsp:val=&quot;001360AF&quot;/&gt;&lt;wsp:rsid wsp:val=&quot;00136441&quot;/&gt;&lt;wsp:rsid wsp:val=&quot;001368EE&quot;/&gt;&lt;wsp:rsid wsp:val=&quot;00136903&quot;/&gt;&lt;wsp:rsid wsp:val=&quot;001369F4&quot;/&gt;&lt;wsp:rsid wsp:val=&quot;00136BB8&quot;/&gt;&lt;wsp:rsid wsp:val=&quot;00136CF8&quot;/&gt;&lt;wsp:rsid wsp:val=&quot;00136FDA&quot;/&gt;&lt;wsp:rsid wsp:val=&quot;001371AB&quot;/&gt;&lt;wsp:rsid wsp:val=&quot;00137316&quot;/&gt;&lt;wsp:rsid wsp:val=&quot;001373BE&quot;/&gt;&lt;wsp:rsid wsp:val=&quot;001376E6&quot;/&gt;&lt;wsp:rsid wsp:val=&quot;00137810&quot;/&gt;&lt;wsp:rsid wsp:val=&quot;00137F21&quot;/&gt;&lt;wsp:rsid wsp:val=&quot;00137FCC&quot;/&gt;&lt;wsp:rsid wsp:val=&quot;00140138&quot;/&gt;&lt;wsp:rsid wsp:val=&quot;001402E3&quot;/&gt;&lt;wsp:rsid wsp:val=&quot;001405FE&quot;/&gt;&lt;wsp:rsid wsp:val=&quot;00140728&quot;/&gt;&lt;wsp:rsid wsp:val=&quot;00140DC9&quot;/&gt;&lt;wsp:rsid wsp:val=&quot;00141074&quot;/&gt;&lt;wsp:rsid wsp:val=&quot;0014141B&quot;/&gt;&lt;wsp:rsid wsp:val=&quot;00141AC7&quot;/&gt;&lt;wsp:rsid wsp:val=&quot;00141C59&quot;/&gt;&lt;wsp:rsid wsp:val=&quot;00141DC8&quot;/&gt;&lt;wsp:rsid wsp:val=&quot;00141EC4&quot;/&gt;&lt;wsp:rsid wsp:val=&quot;00141F27&quot;/&gt;&lt;wsp:rsid wsp:val=&quot;001422FE&quot;/&gt;&lt;wsp:rsid wsp:val=&quot;00142315&quot;/&gt;&lt;wsp:rsid wsp:val=&quot;00142646&quot;/&gt;&lt;wsp:rsid wsp:val=&quot;0014293D&quot;/&gt;&lt;wsp:rsid wsp:val=&quot;00142A18&quot;/&gt;&lt;wsp:rsid wsp:val=&quot;00142FDE&quot;/&gt;&lt;wsp:rsid wsp:val=&quot;00143249&quot;/&gt;&lt;wsp:rsid wsp:val=&quot;001432F2&quot;/&gt;&lt;wsp:rsid wsp:val=&quot;00143584&quot;/&gt;&lt;wsp:rsid wsp:val=&quot;00143B50&quot;/&gt;&lt;wsp:rsid wsp:val=&quot;00143DDA&quot;/&gt;&lt;wsp:rsid wsp:val=&quot;0014420C&quot;/&gt;&lt;wsp:rsid wsp:val=&quot;00144215&quot;/&gt;&lt;wsp:rsid wsp:val=&quot;0014444F&quot;/&gt;&lt;wsp:rsid wsp:val=&quot;00144BE3&quot;/&gt;&lt;wsp:rsid wsp:val=&quot;00144F47&quot;/&gt;&lt;wsp:rsid wsp:val=&quot;00145284&quot;/&gt;&lt;wsp:rsid wsp:val=&quot;00145939&quot;/&gt;&lt;wsp:rsid wsp:val=&quot;0014593A&quot;/&gt;&lt;wsp:rsid wsp:val=&quot;00145AFD&quot;/&gt;&lt;wsp:rsid wsp:val=&quot;00145C2D&quot;/&gt;&lt;wsp:rsid wsp:val=&quot;0014602C&quot;/&gt;&lt;wsp:rsid wsp:val=&quot;00146071&quot;/&gt;&lt;wsp:rsid wsp:val=&quot;001460CE&quot;/&gt;&lt;wsp:rsid wsp:val=&quot;00146196&quot;/&gt;&lt;wsp:rsid wsp:val=&quot;001461F8&quot;/&gt;&lt;wsp:rsid wsp:val=&quot;00146267&quot;/&gt;&lt;wsp:rsid wsp:val=&quot;00146564&quot;/&gt;&lt;wsp:rsid wsp:val=&quot;00146775&quot;/&gt;&lt;wsp:rsid wsp:val=&quot;00146F42&quot;/&gt;&lt;wsp:rsid wsp:val=&quot;00147217&quot;/&gt;&lt;wsp:rsid wsp:val=&quot;0014726D&quot;/&gt;&lt;wsp:rsid wsp:val=&quot;0014731A&quot;/&gt;&lt;wsp:rsid wsp:val=&quot;00147335&quot;/&gt;&lt;wsp:rsid wsp:val=&quot;00147588&quot;/&gt;&lt;wsp:rsid wsp:val=&quot;00147903&quot;/&gt;&lt;wsp:rsid wsp:val=&quot;00147B57&quot;/&gt;&lt;wsp:rsid wsp:val=&quot;00147BFA&quot;/&gt;&lt;wsp:rsid wsp:val=&quot;00147DEF&quot;/&gt;&lt;wsp:rsid wsp:val=&quot;00147E81&quot;/&gt;&lt;wsp:rsid wsp:val=&quot;00147F10&quot;/&gt;&lt;wsp:rsid wsp:val=&quot;00147F6F&quot;/&gt;&lt;wsp:rsid wsp:val=&quot;0015001B&quot;/&gt;&lt;wsp:rsid wsp:val=&quot;001502C4&quot;/&gt;&lt;wsp:rsid wsp:val=&quot;001502EB&quot;/&gt;&lt;wsp:rsid wsp:val=&quot;00150548&quot;/&gt;&lt;wsp:rsid wsp:val=&quot;00150573&quot;/&gt;&lt;wsp:rsid wsp:val=&quot;001507C7&quot;/&gt;&lt;wsp:rsid wsp:val=&quot;0015083F&quot;/&gt;&lt;wsp:rsid wsp:val=&quot;001508F2&quot;/&gt;&lt;wsp:rsid wsp:val=&quot;0015095B&quot;/&gt;&lt;wsp:rsid wsp:val=&quot;00150FF5&quot;/&gt;&lt;wsp:rsid wsp:val=&quot;0015105E&quot;/&gt;&lt;wsp:rsid wsp:val=&quot;001510FF&quot;/&gt;&lt;wsp:rsid wsp:val=&quot;00151367&quot;/&gt;&lt;wsp:rsid wsp:val=&quot;001515D8&quot;/&gt;&lt;wsp:rsid wsp:val=&quot;001518A3&quot;/&gt;&lt;wsp:rsid wsp:val=&quot;00151E06&quot;/&gt;&lt;wsp:rsid wsp:val=&quot;00152490&quot;/&gt;&lt;wsp:rsid wsp:val=&quot;001527DE&quot;/&gt;&lt;wsp:rsid wsp:val=&quot;00152901&quot;/&gt;&lt;wsp:rsid wsp:val=&quot;00153147&quot;/&gt;&lt;wsp:rsid wsp:val=&quot;0015369A&quot;/&gt;&lt;wsp:rsid wsp:val=&quot;001537B9&quot;/&gt;&lt;wsp:rsid wsp:val=&quot;00153B5C&quot;/&gt;&lt;wsp:rsid wsp:val=&quot;00153D04&quot;/&gt;&lt;wsp:rsid wsp:val=&quot;00153F85&quot;/&gt;&lt;wsp:rsid wsp:val=&quot;00154329&quot;/&gt;&lt;wsp:rsid wsp:val=&quot;00154B94&quot;/&gt;&lt;wsp:rsid wsp:val=&quot;00154D15&quot;/&gt;&lt;wsp:rsid wsp:val=&quot;00154F0D&quot;/&gt;&lt;wsp:rsid wsp:val=&quot;00155342&quot;/&gt;&lt;wsp:rsid wsp:val=&quot;00155881&quot;/&gt;&lt;wsp:rsid wsp:val=&quot;001558FF&quot;/&gt;&lt;wsp:rsid wsp:val=&quot;001559DE&quot;/&gt;&lt;wsp:rsid wsp:val=&quot;00155C97&quot;/&gt;&lt;wsp:rsid wsp:val=&quot;00155D24&quot;/&gt;&lt;wsp:rsid wsp:val=&quot;00155D8C&quot;/&gt;&lt;wsp:rsid wsp:val=&quot;00155E2A&quot;/&gt;&lt;wsp:rsid wsp:val=&quot;00155ECD&quot;/&gt;&lt;wsp:rsid wsp:val=&quot;00156272&quot;/&gt;&lt;wsp:rsid wsp:val=&quot;001562B0&quot;/&gt;&lt;wsp:rsid wsp:val=&quot;00156665&quot;/&gt;&lt;wsp:rsid wsp:val=&quot;0015666A&quot;/&gt;&lt;wsp:rsid wsp:val=&quot;00156847&quot;/&gt;&lt;wsp:rsid wsp:val=&quot;00156A64&quot;/&gt;&lt;wsp:rsid wsp:val=&quot;00156B68&quot;/&gt;&lt;wsp:rsid wsp:val=&quot;00156EE8&quot;/&gt;&lt;wsp:rsid wsp:val=&quot;00157508&quot;/&gt;&lt;wsp:rsid wsp:val=&quot;001576CD&quot;/&gt;&lt;wsp:rsid wsp:val=&quot;00157719&quot;/&gt;&lt;wsp:rsid wsp:val=&quot;00157E60&quot;/&gt;&lt;wsp:rsid wsp:val=&quot;0016049F&quot;/&gt;&lt;wsp:rsid wsp:val=&quot;0016061D&quot;/&gt;&lt;wsp:rsid wsp:val=&quot;00160693&quot;/&gt;&lt;wsp:rsid wsp:val=&quot;00160883&quot;/&gt;&lt;wsp:rsid wsp:val=&quot;00160922&quot;/&gt;&lt;wsp:rsid wsp:val=&quot;00160A65&quot;/&gt;&lt;wsp:rsid wsp:val=&quot;001610AB&quot;/&gt;&lt;wsp:rsid wsp:val=&quot;001610DF&quot;/&gt;&lt;wsp:rsid wsp:val=&quot;0016127A&quot;/&gt;&lt;wsp:rsid wsp:val=&quot;00161388&quot;/&gt;&lt;wsp:rsid wsp:val=&quot;00161CD4&quot;/&gt;&lt;wsp:rsid wsp:val=&quot;00161CE7&quot;/&gt;&lt;wsp:rsid wsp:val=&quot;00161DC5&quot;/&gt;&lt;wsp:rsid wsp:val=&quot;0016225C&quot;/&gt;&lt;wsp:rsid wsp:val=&quot;001626F1&quot;/&gt;&lt;wsp:rsid wsp:val=&quot;00162BD8&quot;/&gt;&lt;wsp:rsid wsp:val=&quot;00162D2A&quot;/&gt;&lt;wsp:rsid wsp:val=&quot;00162ECF&quot;/&gt;&lt;wsp:rsid wsp:val=&quot;00162EEA&quot;/&gt;&lt;wsp:rsid wsp:val=&quot;00163006&quot;/&gt;&lt;wsp:rsid wsp:val=&quot;00163749&quot;/&gt;&lt;wsp:rsid wsp:val=&quot;00163D77&quot;/&gt;&lt;wsp:rsid wsp:val=&quot;00163D98&quot;/&gt;&lt;wsp:rsid wsp:val=&quot;00164060&quot;/&gt;&lt;wsp:rsid wsp:val=&quot;00164516&quot;/&gt;&lt;wsp:rsid wsp:val=&quot;0016460F&quot;/&gt;&lt;wsp:rsid wsp:val=&quot;0016467D&quot;/&gt;&lt;wsp:rsid wsp:val=&quot;001646AA&quot;/&gt;&lt;wsp:rsid wsp:val=&quot;001649FB&quot;/&gt;&lt;wsp:rsid wsp:val=&quot;00164A05&quot;/&gt;&lt;wsp:rsid wsp:val=&quot;001650EB&quot;/&gt;&lt;wsp:rsid wsp:val=&quot;0016522D&quot;/&gt;&lt;wsp:rsid wsp:val=&quot;0016523E&quot;/&gt;&lt;wsp:rsid wsp:val=&quot;00165737&quot;/&gt;&lt;wsp:rsid wsp:val=&quot;00165951&quot;/&gt;&lt;wsp:rsid wsp:val=&quot;00165D63&quot;/&gt;&lt;wsp:rsid wsp:val=&quot;00166029&quot;/&gt;&lt;wsp:rsid wsp:val=&quot;0016615A&quot;/&gt;&lt;wsp:rsid wsp:val=&quot;00166265&quot;/&gt;&lt;wsp:rsid wsp:val=&quot;001665D2&quot;/&gt;&lt;wsp:rsid wsp:val=&quot;00166662&quot;/&gt;&lt;wsp:rsid wsp:val=&quot;0016666F&quot;/&gt;&lt;wsp:rsid wsp:val=&quot;001669A6&quot;/&gt;&lt;wsp:rsid wsp:val=&quot;00167077&quot;/&gt;&lt;wsp:rsid wsp:val=&quot;0016720B&quot;/&gt;&lt;wsp:rsid wsp:val=&quot;00167215&quot;/&gt;&lt;wsp:rsid wsp:val=&quot;001673A5&quot;/&gt;&lt;wsp:rsid wsp:val=&quot;00167436&quot;/&gt;&lt;wsp:rsid wsp:val=&quot;00167507&quot;/&gt;&lt;wsp:rsid wsp:val=&quot;001676C3&quot;/&gt;&lt;wsp:rsid wsp:val=&quot;001676C7&quot;/&gt;&lt;wsp:rsid wsp:val=&quot;001678DA&quot;/&gt;&lt;wsp:rsid wsp:val=&quot;001679F8&quot;/&gt;&lt;wsp:rsid wsp:val=&quot;00167B0A&quot;/&gt;&lt;wsp:rsid wsp:val=&quot;00167D65&quot;/&gt;&lt;wsp:rsid wsp:val=&quot;00167EA0&quot;/&gt;&lt;wsp:rsid wsp:val=&quot;00167FF0&quot;/&gt;&lt;wsp:rsid wsp:val=&quot;0017013D&quot;/&gt;&lt;wsp:rsid wsp:val=&quot;00170902&quot;/&gt;&lt;wsp:rsid wsp:val=&quot;00170A62&quot;/&gt;&lt;wsp:rsid wsp:val=&quot;00170BD7&quot;/&gt;&lt;wsp:rsid wsp:val=&quot;00170BEE&quot;/&gt;&lt;wsp:rsid wsp:val=&quot;00170D24&quot;/&gt;&lt;wsp:rsid wsp:val=&quot;00170E81&quot;/&gt;&lt;wsp:rsid wsp:val=&quot;00170EB3&quot;/&gt;&lt;wsp:rsid wsp:val=&quot;00171294&quot;/&gt;&lt;wsp:rsid wsp:val=&quot;001715CA&quot;/&gt;&lt;wsp:rsid wsp:val=&quot;00171854&quot;/&gt;&lt;wsp:rsid wsp:val=&quot;00171DE1&quot;/&gt;&lt;wsp:rsid wsp:val=&quot;001720DE&quot;/&gt;&lt;wsp:rsid wsp:val=&quot;001721F6&quot;/&gt;&lt;wsp:rsid wsp:val=&quot;00172706&quot;/&gt;&lt;wsp:rsid wsp:val=&quot;001727A0&quot;/&gt;&lt;wsp:rsid wsp:val=&quot;00172910&quot;/&gt;&lt;wsp:rsid wsp:val=&quot;00172A12&quot;/&gt;&lt;wsp:rsid wsp:val=&quot;00172B76&quot;/&gt;&lt;wsp:rsid wsp:val=&quot;00172C79&quot;/&gt;&lt;wsp:rsid wsp:val=&quot;00173138&quot;/&gt;&lt;wsp:rsid wsp:val=&quot;00173452&quot;/&gt;&lt;wsp:rsid wsp:val=&quot;001737BF&quot;/&gt;&lt;wsp:rsid wsp:val=&quot;00173B07&quot;/&gt;&lt;wsp:rsid wsp:val=&quot;00173BFE&quot;/&gt;&lt;wsp:rsid wsp:val=&quot;00174180&quot;/&gt;&lt;wsp:rsid wsp:val=&quot;00174834&quot;/&gt;&lt;wsp:rsid wsp:val=&quot;001748D7&quot;/&gt;&lt;wsp:rsid wsp:val=&quot;00174B0E&quot;/&gt;&lt;wsp:rsid wsp:val=&quot;00174EC4&quot;/&gt;&lt;wsp:rsid wsp:val=&quot;001753A2&quot;/&gt;&lt;wsp:rsid wsp:val=&quot;001753D4&quot;/&gt;&lt;wsp:rsid wsp:val=&quot;001756B6&quot;/&gt;&lt;wsp:rsid wsp:val=&quot;00175959&quot;/&gt;&lt;wsp:rsid wsp:val=&quot;00175A9A&quot;/&gt;&lt;wsp:rsid wsp:val=&quot;00175B15&quot;/&gt;&lt;wsp:rsid wsp:val=&quot;00175B39&quot;/&gt;&lt;wsp:rsid wsp:val=&quot;00175D64&quot;/&gt;&lt;wsp:rsid wsp:val=&quot;00175DFB&quot;/&gt;&lt;wsp:rsid wsp:val=&quot;00175EC3&quot;/&gt;&lt;wsp:rsid wsp:val=&quot;00176020&quot;/&gt;&lt;wsp:rsid wsp:val=&quot;00176032&quot;/&gt;&lt;wsp:rsid wsp:val=&quot;001760F1&quot;/&gt;&lt;wsp:rsid wsp:val=&quot;001764D1&quot;/&gt;&lt;wsp:rsid wsp:val=&quot;00176572&quot;/&gt;&lt;wsp:rsid wsp:val=&quot;001768D8&quot;/&gt;&lt;wsp:rsid wsp:val=&quot;0017691B&quot;/&gt;&lt;wsp:rsid wsp:val=&quot;00176977&quot;/&gt;&lt;wsp:rsid wsp:val=&quot;00176A09&quot;/&gt;&lt;wsp:rsid wsp:val=&quot;00176AE2&quot;/&gt;&lt;wsp:rsid wsp:val=&quot;00176B89&quot;/&gt;&lt;wsp:rsid wsp:val=&quot;00176CB2&quot;/&gt;&lt;wsp:rsid wsp:val=&quot;00177290&quot;/&gt;&lt;wsp:rsid wsp:val=&quot;001778DB&quot;/&gt;&lt;wsp:rsid wsp:val=&quot;0017797E&quot;/&gt;&lt;wsp:rsid wsp:val=&quot;001779F4&quot;/&gt;&lt;wsp:rsid wsp:val=&quot;001803E6&quot;/&gt;&lt;wsp:rsid wsp:val=&quot;001804E0&quot;/&gt;&lt;wsp:rsid wsp:val=&quot;001806D3&quot;/&gt;&lt;wsp:rsid wsp:val=&quot;001809E6&quot;/&gt;&lt;wsp:rsid wsp:val=&quot;00180A86&quot;/&gt;&lt;wsp:rsid wsp:val=&quot;00180B51&quot;/&gt;&lt;wsp:rsid wsp:val=&quot;00181265&quot;/&gt;&lt;wsp:rsid wsp:val=&quot;00181440&quot;/&gt;&lt;wsp:rsid wsp:val=&quot;0018199B&quot;/&gt;&lt;wsp:rsid wsp:val=&quot;001819E5&quot;/&gt;&lt;wsp:rsid wsp:val=&quot;00181A6A&quot;/&gt;&lt;wsp:rsid wsp:val=&quot;00181B08&quot;/&gt;&lt;wsp:rsid wsp:val=&quot;00181D27&quot;/&gt;&lt;wsp:rsid wsp:val=&quot;001820C2&quot;/&gt;&lt;wsp:rsid wsp:val=&quot;00182247&quot;/&gt;&lt;wsp:rsid wsp:val=&quot;00182777&quot;/&gt;&lt;wsp:rsid wsp:val=&quot;001827A3&quot;/&gt;&lt;wsp:rsid wsp:val=&quot;001827FC&quot;/&gt;&lt;wsp:rsid wsp:val=&quot;00182AFA&quot;/&gt;&lt;wsp:rsid wsp:val=&quot;00182C50&quot;/&gt;&lt;wsp:rsid wsp:val=&quot;001833A7&quot;/&gt;&lt;wsp:rsid wsp:val=&quot;001836A3&quot;/&gt;&lt;wsp:rsid wsp:val=&quot;0018371A&quot;/&gt;&lt;wsp:rsid wsp:val=&quot;00183A54&quot;/&gt;&lt;wsp:rsid wsp:val=&quot;00183B72&quot;/&gt;&lt;wsp:rsid wsp:val=&quot;00183B77&quot;/&gt;&lt;wsp:rsid wsp:val=&quot;00183CDF&quot;/&gt;&lt;wsp:rsid wsp:val=&quot;00183D16&quot;/&gt;&lt;wsp:rsid wsp:val=&quot;00183DB3&quot;/&gt;&lt;wsp:rsid wsp:val=&quot;00183E50&quot;/&gt;&lt;wsp:rsid wsp:val=&quot;00183FD1&quot;/&gt;&lt;wsp:rsid wsp:val=&quot;00184300&quot;/&gt;&lt;wsp:rsid wsp:val=&quot;001843FD&quot;/&gt;&lt;wsp:rsid wsp:val=&quot;0018456A&quot;/&gt;&lt;wsp:rsid wsp:val=&quot;00184DD7&quot;/&gt;&lt;wsp:rsid wsp:val=&quot;00185273&quot;/&gt;&lt;wsp:rsid wsp:val=&quot;001853D0&quot;/&gt;&lt;wsp:rsid wsp:val=&quot;0018583A&quot;/&gt;&lt;wsp:rsid wsp:val=&quot;001858DA&quot;/&gt;&lt;wsp:rsid wsp:val=&quot;00185A12&quot;/&gt;&lt;wsp:rsid wsp:val=&quot;00185A6B&quot;/&gt;&lt;wsp:rsid wsp:val=&quot;00185AF5&quot;/&gt;&lt;wsp:rsid wsp:val=&quot;00185B39&quot;/&gt;&lt;wsp:rsid wsp:val=&quot;00185BA9&quot;/&gt;&lt;wsp:rsid wsp:val=&quot;00185D6C&quot;/&gt;&lt;wsp:rsid wsp:val=&quot;00185DF1&quot;/&gt;&lt;wsp:rsid wsp:val=&quot;00185F84&quot;/&gt;&lt;wsp:rsid wsp:val=&quot;001860C4&quot;/&gt;&lt;wsp:rsid wsp:val=&quot;0018629A&quot;/&gt;&lt;wsp:rsid wsp:val=&quot;0018633F&quot;/&gt;&lt;wsp:rsid wsp:val=&quot;001864C1&quot;/&gt;&lt;wsp:rsid wsp:val=&quot;00186556&quot;/&gt;&lt;wsp:rsid wsp:val=&quot;0018663B&quot;/&gt;&lt;wsp:rsid wsp:val=&quot;001867B0&quot;/&gt;&lt;wsp:rsid wsp:val=&quot;001867CD&quot;/&gt;&lt;wsp:rsid wsp:val=&quot;001869A4&quot;/&gt;&lt;wsp:rsid wsp:val=&quot;001869BD&quot;/&gt;&lt;wsp:rsid wsp:val=&quot;00186B44&quot;/&gt;&lt;wsp:rsid wsp:val=&quot;00186B51&quot;/&gt;&lt;wsp:rsid wsp:val=&quot;00186C1D&quot;/&gt;&lt;wsp:rsid wsp:val=&quot;00187284&quot;/&gt;&lt;wsp:rsid wsp:val=&quot;001877A2&quot;/&gt;&lt;wsp:rsid wsp:val=&quot;001879A0&quot;/&gt;&lt;wsp:rsid wsp:val=&quot;00187B2D&quot;/&gt;&lt;wsp:rsid wsp:val=&quot;0019009C&quot;/&gt;&lt;wsp:rsid wsp:val=&quot;00190433&quot;/&gt;&lt;wsp:rsid wsp:val=&quot;001907A6&quot;/&gt;&lt;wsp:rsid wsp:val=&quot;001907ED&quot;/&gt;&lt;wsp:rsid wsp:val=&quot;00190CEA&quot;/&gt;&lt;wsp:rsid wsp:val=&quot;00190D5E&quot;/&gt;&lt;wsp:rsid wsp:val=&quot;00190E44&quot;/&gt;&lt;wsp:rsid wsp:val=&quot;00190F21&quot;/&gt;&lt;wsp:rsid wsp:val=&quot;001912DF&quot;/&gt;&lt;wsp:rsid wsp:val=&quot;001915A4&quot;/&gt;&lt;wsp:rsid wsp:val=&quot;001915AD&quot;/&gt;&lt;wsp:rsid wsp:val=&quot;001919A4&quot;/&gt;&lt;wsp:rsid wsp:val=&quot;00191E44&quot;/&gt;&lt;wsp:rsid wsp:val=&quot;00192061&quot;/&gt;&lt;wsp:rsid wsp:val=&quot;00192069&quot;/&gt;&lt;wsp:rsid wsp:val=&quot;001920B1&quot;/&gt;&lt;wsp:rsid wsp:val=&quot;00192364&quot;/&gt;&lt;wsp:rsid wsp:val=&quot;0019276A&quot;/&gt;&lt;wsp:rsid wsp:val=&quot;001927A8&quot;/&gt;&lt;wsp:rsid wsp:val=&quot;001927DF&quot;/&gt;&lt;wsp:rsid wsp:val=&quot;00192A4B&quot;/&gt;&lt;wsp:rsid wsp:val=&quot;00192BF2&quot;/&gt;&lt;wsp:rsid wsp:val=&quot;00192D80&quot;/&gt;&lt;wsp:rsid wsp:val=&quot;00192E0F&quot;/&gt;&lt;wsp:rsid wsp:val=&quot;00192ECC&quot;/&gt;&lt;wsp:rsid wsp:val=&quot;00192F1C&quot;/&gt;&lt;wsp:rsid wsp:val=&quot;001936BD&quot;/&gt;&lt;wsp:rsid wsp:val=&quot;001938A2&quot;/&gt;&lt;wsp:rsid wsp:val=&quot;00193CF3&quot;/&gt;&lt;wsp:rsid wsp:val=&quot;0019425F&quot;/&gt;&lt;wsp:rsid wsp:val=&quot;001949CD&quot;/&gt;&lt;wsp:rsid wsp:val=&quot;00194A52&quot;/&gt;&lt;wsp:rsid wsp:val=&quot;00194F1B&quot;/&gt;&lt;wsp:rsid wsp:val=&quot;00194FC7&quot;/&gt;&lt;wsp:rsid wsp:val=&quot;00195084&quot;/&gt;&lt;wsp:rsid wsp:val=&quot;00195126&quot;/&gt;&lt;wsp:rsid wsp:val=&quot;00195872&quot;/&gt;&lt;wsp:rsid wsp:val=&quot;00195D97&quot;/&gt;&lt;wsp:rsid wsp:val=&quot;00196A05&quot;/&gt;&lt;wsp:rsid wsp:val=&quot;00196A8B&quot;/&gt;&lt;wsp:rsid wsp:val=&quot;00196BBA&quot;/&gt;&lt;wsp:rsid wsp:val=&quot;00196CC7&quot;/&gt;&lt;wsp:rsid wsp:val=&quot;00196E90&quot;/&gt;&lt;wsp:rsid wsp:val=&quot;001970BE&quot;/&gt;&lt;wsp:rsid wsp:val=&quot;001971F8&quot;/&gt;&lt;wsp:rsid wsp:val=&quot;0019759A&quot;/&gt;&lt;wsp:rsid wsp:val=&quot;00197600&quot;/&gt;&lt;wsp:rsid wsp:val=&quot;00197836&quot;/&gt;&lt;wsp:rsid wsp:val=&quot;00197F47&quot;/&gt;&lt;wsp:rsid wsp:val=&quot;001A017D&quot;/&gt;&lt;wsp:rsid wsp:val=&quot;001A0518&quot;/&gt;&lt;wsp:rsid wsp:val=&quot;001A054A&quot;/&gt;&lt;wsp:rsid wsp:val=&quot;001A05A9&quot;/&gt;&lt;wsp:rsid wsp:val=&quot;001A0A2B&quot;/&gt;&lt;wsp:rsid wsp:val=&quot;001A0C7C&quot;/&gt;&lt;wsp:rsid wsp:val=&quot;001A0CA7&quot;/&gt;&lt;wsp:rsid wsp:val=&quot;001A0ED7&quot;/&gt;&lt;wsp:rsid wsp:val=&quot;001A10F6&quot;/&gt;&lt;wsp:rsid wsp:val=&quot;001A1451&quot;/&gt;&lt;wsp:rsid wsp:val=&quot;001A15AE&quot;/&gt;&lt;wsp:rsid wsp:val=&quot;001A16F0&quot;/&gt;&lt;wsp:rsid wsp:val=&quot;001A1EFF&quot;/&gt;&lt;wsp:rsid wsp:val=&quot;001A2168&quot;/&gt;&lt;wsp:rsid wsp:val=&quot;001A26AE&quot;/&gt;&lt;wsp:rsid wsp:val=&quot;001A2DE5&quot;/&gt;&lt;wsp:rsid wsp:val=&quot;001A3389&quot;/&gt;&lt;wsp:rsid wsp:val=&quot;001A3497&quot;/&gt;&lt;wsp:rsid wsp:val=&quot;001A34F8&quot;/&gt;&lt;wsp:rsid wsp:val=&quot;001A355F&quot;/&gt;&lt;wsp:rsid wsp:val=&quot;001A3BE2&quot;/&gt;&lt;wsp:rsid wsp:val=&quot;001A3EEC&quot;/&gt;&lt;wsp:rsid wsp:val=&quot;001A4840&quot;/&gt;&lt;wsp:rsid wsp:val=&quot;001A4B86&quot;/&gt;&lt;wsp:rsid wsp:val=&quot;001A52EB&quot;/&gt;&lt;wsp:rsid wsp:val=&quot;001A55F6&quot;/&gt;&lt;wsp:rsid wsp:val=&quot;001A5738&quot;/&gt;&lt;wsp:rsid wsp:val=&quot;001A5D31&quot;/&gt;&lt;wsp:rsid wsp:val=&quot;001A5FA3&quot;/&gt;&lt;wsp:rsid wsp:val=&quot;001A601F&quot;/&gt;&lt;wsp:rsid wsp:val=&quot;001A60A8&quot;/&gt;&lt;wsp:rsid wsp:val=&quot;001A63B3&quot;/&gt;&lt;wsp:rsid wsp:val=&quot;001A664C&quot;/&gt;&lt;wsp:rsid wsp:val=&quot;001A6808&quot;/&gt;&lt;wsp:rsid wsp:val=&quot;001A6FA3&quot;/&gt;&lt;wsp:rsid wsp:val=&quot;001A72BF&quot;/&gt;&lt;wsp:rsid wsp:val=&quot;001A7510&quot;/&gt;&lt;wsp:rsid wsp:val=&quot;001A77AA&quot;/&gt;&lt;wsp:rsid wsp:val=&quot;001A7A6F&quot;/&gt;&lt;wsp:rsid wsp:val=&quot;001A7B61&quot;/&gt;&lt;wsp:rsid wsp:val=&quot;001B02F5&quot;/&gt;&lt;wsp:rsid wsp:val=&quot;001B041A&quot;/&gt;&lt;wsp:rsid wsp:val=&quot;001B062C&quot;/&gt;&lt;wsp:rsid wsp:val=&quot;001B065C&quot;/&gt;&lt;wsp:rsid wsp:val=&quot;001B1148&quot;/&gt;&lt;wsp:rsid wsp:val=&quot;001B123B&quot;/&gt;&lt;wsp:rsid wsp:val=&quot;001B1375&quot;/&gt;&lt;wsp:rsid wsp:val=&quot;001B1599&quot;/&gt;&lt;wsp:rsid wsp:val=&quot;001B170C&quot;/&gt;&lt;wsp:rsid wsp:val=&quot;001B1D1E&quot;/&gt;&lt;wsp:rsid wsp:val=&quot;001B20F1&quot;/&gt;&lt;wsp:rsid wsp:val=&quot;001B2202&quot;/&gt;&lt;wsp:rsid wsp:val=&quot;001B2589&quot;/&gt;&lt;wsp:rsid wsp:val=&quot;001B270B&quot;/&gt;&lt;wsp:rsid wsp:val=&quot;001B2780&quot;/&gt;&lt;wsp:rsid wsp:val=&quot;001B288F&quot;/&gt;&lt;wsp:rsid wsp:val=&quot;001B28BB&quot;/&gt;&lt;wsp:rsid wsp:val=&quot;001B2AD1&quot;/&gt;&lt;wsp:rsid wsp:val=&quot;001B2B0B&quot;/&gt;&lt;wsp:rsid wsp:val=&quot;001B2B0E&quot;/&gt;&lt;wsp:rsid wsp:val=&quot;001B2C1E&quot;/&gt;&lt;wsp:rsid wsp:val=&quot;001B2C7C&quot;/&gt;&lt;wsp:rsid wsp:val=&quot;001B2CA6&quot;/&gt;&lt;wsp:rsid wsp:val=&quot;001B2DA7&quot;/&gt;&lt;wsp:rsid wsp:val=&quot;001B2E61&quot;/&gt;&lt;wsp:rsid wsp:val=&quot;001B3118&quot;/&gt;&lt;wsp:rsid wsp:val=&quot;001B354A&quot;/&gt;&lt;wsp:rsid wsp:val=&quot;001B3602&quot;/&gt;&lt;wsp:rsid wsp:val=&quot;001B381F&quot;/&gt;&lt;wsp:rsid wsp:val=&quot;001B3879&quot;/&gt;&lt;wsp:rsid wsp:val=&quot;001B3928&quot;/&gt;&lt;wsp:rsid wsp:val=&quot;001B396F&quot;/&gt;&lt;wsp:rsid wsp:val=&quot;001B39DC&quot;/&gt;&lt;wsp:rsid wsp:val=&quot;001B3A9F&quot;/&gt;&lt;wsp:rsid wsp:val=&quot;001B3BF0&quot;/&gt;&lt;wsp:rsid wsp:val=&quot;001B3EE6&quot;/&gt;&lt;wsp:rsid wsp:val=&quot;001B3F57&quot;/&gt;&lt;wsp:rsid wsp:val=&quot;001B4038&quot;/&gt;&lt;wsp:rsid wsp:val=&quot;001B4366&quot;/&gt;&lt;wsp:rsid wsp:val=&quot;001B4B7C&quot;/&gt;&lt;wsp:rsid wsp:val=&quot;001B4C67&quot;/&gt;&lt;wsp:rsid wsp:val=&quot;001B4E8A&quot;/&gt;&lt;wsp:rsid wsp:val=&quot;001B52A8&quot;/&gt;&lt;wsp:rsid wsp:val=&quot;001B52AB&quot;/&gt;&lt;wsp:rsid wsp:val=&quot;001B54CA&quot;/&gt;&lt;wsp:rsid wsp:val=&quot;001B5AF8&quot;/&gt;&lt;wsp:rsid wsp:val=&quot;001B5C5C&quot;/&gt;&lt;wsp:rsid wsp:val=&quot;001B60F2&quot;/&gt;&lt;wsp:rsid wsp:val=&quot;001B6BC6&quot;/&gt;&lt;wsp:rsid wsp:val=&quot;001B6D34&quot;/&gt;&lt;wsp:rsid wsp:val=&quot;001B6EAF&quot;/&gt;&lt;wsp:rsid wsp:val=&quot;001B72A6&quot;/&gt;&lt;wsp:rsid wsp:val=&quot;001B7677&quot;/&gt;&lt;wsp:rsid wsp:val=&quot;001B76EE&quot;/&gt;&lt;wsp:rsid wsp:val=&quot;001B7850&quot;/&gt;&lt;wsp:rsid wsp:val=&quot;001B79CD&quot;/&gt;&lt;wsp:rsid wsp:val=&quot;001B7E69&quot;/&gt;&lt;wsp:rsid wsp:val=&quot;001C028A&quot;/&gt;&lt;wsp:rsid wsp:val=&quot;001C04E2&quot;/&gt;&lt;wsp:rsid wsp:val=&quot;001C093E&quot;/&gt;&lt;wsp:rsid wsp:val=&quot;001C0C7D&quot;/&gt;&lt;wsp:rsid wsp:val=&quot;001C0E19&quot;/&gt;&lt;wsp:rsid wsp:val=&quot;001C0F65&quot;/&gt;&lt;wsp:rsid wsp:val=&quot;001C109E&quot;/&gt;&lt;wsp:rsid wsp:val=&quot;001C10FD&quot;/&gt;&lt;wsp:rsid wsp:val=&quot;001C15C1&quot;/&gt;&lt;wsp:rsid wsp:val=&quot;001C166F&quot;/&gt;&lt;wsp:rsid wsp:val=&quot;001C17BD&quot;/&gt;&lt;wsp:rsid wsp:val=&quot;001C1C0B&quot;/&gt;&lt;wsp:rsid wsp:val=&quot;001C1D78&quot;/&gt;&lt;wsp:rsid wsp:val=&quot;001C1E57&quot;/&gt;&lt;wsp:rsid wsp:val=&quot;001C1FA8&quot;/&gt;&lt;wsp:rsid wsp:val=&quot;001C2597&quot;/&gt;&lt;wsp:rsid wsp:val=&quot;001C259D&quot;/&gt;&lt;wsp:rsid wsp:val=&quot;001C2AB5&quot;/&gt;&lt;wsp:rsid wsp:val=&quot;001C2C1C&quot;/&gt;&lt;wsp:rsid wsp:val=&quot;001C2CF1&quot;/&gt;&lt;wsp:rsid wsp:val=&quot;001C2D35&quot;/&gt;&lt;wsp:rsid wsp:val=&quot;001C2DB6&quot;/&gt;&lt;wsp:rsid wsp:val=&quot;001C30D5&quot;/&gt;&lt;wsp:rsid wsp:val=&quot;001C31BA&quot;/&gt;&lt;wsp:rsid wsp:val=&quot;001C3A67&quot;/&gt;&lt;wsp:rsid wsp:val=&quot;001C3A75&quot;/&gt;&lt;wsp:rsid wsp:val=&quot;001C3A7D&quot;/&gt;&lt;wsp:rsid wsp:val=&quot;001C3ABF&quot;/&gt;&lt;wsp:rsid wsp:val=&quot;001C3EA8&quot;/&gt;&lt;wsp:rsid wsp:val=&quot;001C4098&quot;/&gt;&lt;wsp:rsid wsp:val=&quot;001C40F0&quot;/&gt;&lt;wsp:rsid wsp:val=&quot;001C41DF&quot;/&gt;&lt;wsp:rsid wsp:val=&quot;001C4A4B&quot;/&gt;&lt;wsp:rsid wsp:val=&quot;001C4C9A&quot;/&gt;&lt;wsp:rsid wsp:val=&quot;001C4DDE&quot;/&gt;&lt;wsp:rsid wsp:val=&quot;001C4E0D&quot;/&gt;&lt;wsp:rsid wsp:val=&quot;001C5006&quot;/&gt;&lt;wsp:rsid wsp:val=&quot;001C5399&quot;/&gt;&lt;wsp:rsid wsp:val=&quot;001C54C3&quot;/&gt;&lt;wsp:rsid wsp:val=&quot;001C55D1&quot;/&gt;&lt;wsp:rsid wsp:val=&quot;001C57B5&quot;/&gt;&lt;wsp:rsid wsp:val=&quot;001C5C07&quot;/&gt;&lt;wsp:rsid wsp:val=&quot;001C5C7D&quot;/&gt;&lt;wsp:rsid wsp:val=&quot;001C5DD3&quot;/&gt;&lt;wsp:rsid wsp:val=&quot;001C62C8&quot;/&gt;&lt;wsp:rsid wsp:val=&quot;001C64D9&quot;/&gt;&lt;wsp:rsid wsp:val=&quot;001C6501&quot;/&gt;&lt;wsp:rsid wsp:val=&quot;001C68F6&quot;/&gt;&lt;wsp:rsid wsp:val=&quot;001C69AB&quot;/&gt;&lt;wsp:rsid wsp:val=&quot;001C6D16&quot;/&gt;&lt;wsp:rsid wsp:val=&quot;001C6F8F&quot;/&gt;&lt;wsp:rsid wsp:val=&quot;001C7B16&quot;/&gt;&lt;wsp:rsid wsp:val=&quot;001C7DCC&quot;/&gt;&lt;wsp:rsid wsp:val=&quot;001C7DD9&quot;/&gt;&lt;wsp:rsid wsp:val=&quot;001D0937&quot;/&gt;&lt;wsp:rsid wsp:val=&quot;001D0B3F&quot;/&gt;&lt;wsp:rsid wsp:val=&quot;001D0D56&quot;/&gt;&lt;wsp:rsid wsp:val=&quot;001D0FBA&quot;/&gt;&lt;wsp:rsid wsp:val=&quot;001D1107&quot;/&gt;&lt;wsp:rsid wsp:val=&quot;001D1250&quot;/&gt;&lt;wsp:rsid wsp:val=&quot;001D1820&quot;/&gt;&lt;wsp:rsid wsp:val=&quot;001D1993&quot;/&gt;&lt;wsp:rsid wsp:val=&quot;001D1AAD&quot;/&gt;&lt;wsp:rsid wsp:val=&quot;001D1AC5&quot;/&gt;&lt;wsp:rsid wsp:val=&quot;001D1BA9&quot;/&gt;&lt;wsp:rsid wsp:val=&quot;001D1E67&quot;/&gt;&lt;wsp:rsid wsp:val=&quot;001D246B&quot;/&gt;&lt;wsp:rsid wsp:val=&quot;001D255C&quot;/&gt;&lt;wsp:rsid wsp:val=&quot;001D263B&quot;/&gt;&lt;wsp:rsid wsp:val=&quot;001D2721&quot;/&gt;&lt;wsp:rsid wsp:val=&quot;001D2819&quot;/&gt;&lt;wsp:rsid wsp:val=&quot;001D2834&quot;/&gt;&lt;wsp:rsid wsp:val=&quot;001D29B9&quot;/&gt;&lt;wsp:rsid wsp:val=&quot;001D2BF6&quot;/&gt;&lt;wsp:rsid wsp:val=&quot;001D2E00&quot;/&gt;&lt;wsp:rsid wsp:val=&quot;001D2E7A&quot;/&gt;&lt;wsp:rsid wsp:val=&quot;001D310C&quot;/&gt;&lt;wsp:rsid wsp:val=&quot;001D321E&quot;/&gt;&lt;wsp:rsid wsp:val=&quot;001D338B&quot;/&gt;&lt;wsp:rsid wsp:val=&quot;001D33EB&quot;/&gt;&lt;wsp:rsid wsp:val=&quot;001D342A&quot;/&gt;&lt;wsp:rsid wsp:val=&quot;001D342B&quot;/&gt;&lt;wsp:rsid wsp:val=&quot;001D3520&quot;/&gt;&lt;wsp:rsid wsp:val=&quot;001D352A&quot;/&gt;&lt;wsp:rsid wsp:val=&quot;001D3733&quot;/&gt;&lt;wsp:rsid wsp:val=&quot;001D3A24&quot;/&gt;&lt;wsp:rsid wsp:val=&quot;001D3EB5&quot;/&gt;&lt;wsp:rsid wsp:val=&quot;001D3FAF&quot;/&gt;&lt;wsp:rsid wsp:val=&quot;001D4119&quot;/&gt;&lt;wsp:rsid wsp:val=&quot;001D42D8&quot;/&gt;&lt;wsp:rsid wsp:val=&quot;001D4310&quot;/&gt;&lt;wsp:rsid wsp:val=&quot;001D4499&quot;/&gt;&lt;wsp:rsid wsp:val=&quot;001D44B2&quot;/&gt;&lt;wsp:rsid wsp:val=&quot;001D44B5&quot;/&gt;&lt;wsp:rsid wsp:val=&quot;001D46FA&quot;/&gt;&lt;wsp:rsid wsp:val=&quot;001D4733&quot;/&gt;&lt;wsp:rsid wsp:val=&quot;001D4D81&quot;/&gt;&lt;wsp:rsid wsp:val=&quot;001D52FA&quot;/&gt;&lt;wsp:rsid wsp:val=&quot;001D58AC&quot;/&gt;&lt;wsp:rsid wsp:val=&quot;001D5A62&quot;/&gt;&lt;wsp:rsid wsp:val=&quot;001D5AEF&quot;/&gt;&lt;wsp:rsid wsp:val=&quot;001D5B50&quot;/&gt;&lt;wsp:rsid wsp:val=&quot;001D5FE1&quot;/&gt;&lt;wsp:rsid wsp:val=&quot;001D6467&quot;/&gt;&lt;wsp:rsid wsp:val=&quot;001D6597&quot;/&gt;&lt;wsp:rsid wsp:val=&quot;001D673A&quot;/&gt;&lt;wsp:rsid wsp:val=&quot;001D6756&quot;/&gt;&lt;wsp:rsid wsp:val=&quot;001D686E&quot;/&gt;&lt;wsp:rsid wsp:val=&quot;001D6CCA&quot;/&gt;&lt;wsp:rsid wsp:val=&quot;001D6D8C&quot;/&gt;&lt;wsp:rsid wsp:val=&quot;001D6EB8&quot;/&gt;&lt;wsp:rsid wsp:val=&quot;001D7182&quot;/&gt;&lt;wsp:rsid wsp:val=&quot;001D7493&quot;/&gt;&lt;wsp:rsid wsp:val=&quot;001D769C&quot;/&gt;&lt;wsp:rsid wsp:val=&quot;001D76D7&quot;/&gt;&lt;wsp:rsid wsp:val=&quot;001D79AE&quot;/&gt;&lt;wsp:rsid wsp:val=&quot;001D7EAB&quot;/&gt;&lt;wsp:rsid wsp:val=&quot;001E0172&quot;/&gt;&lt;wsp:rsid wsp:val=&quot;001E037B&quot;/&gt;&lt;wsp:rsid wsp:val=&quot;001E03A4&quot;/&gt;&lt;wsp:rsid wsp:val=&quot;001E0486&quot;/&gt;&lt;wsp:rsid wsp:val=&quot;001E0526&quot;/&gt;&lt;wsp:rsid wsp:val=&quot;001E06A9&quot;/&gt;&lt;wsp:rsid wsp:val=&quot;001E08A8&quot;/&gt;&lt;wsp:rsid wsp:val=&quot;001E0D9E&quot;/&gt;&lt;wsp:rsid wsp:val=&quot;001E11C3&quot;/&gt;&lt;wsp:rsid wsp:val=&quot;001E13A9&quot;/&gt;&lt;wsp:rsid wsp:val=&quot;001E1677&quot;/&gt;&lt;wsp:rsid wsp:val=&quot;001E17A9&quot;/&gt;&lt;wsp:rsid wsp:val=&quot;001E17F3&quot;/&gt;&lt;wsp:rsid wsp:val=&quot;001E192A&quot;/&gt;&lt;wsp:rsid wsp:val=&quot;001E1AC4&quot;/&gt;&lt;wsp:rsid wsp:val=&quot;001E1AF5&quot;/&gt;&lt;wsp:rsid wsp:val=&quot;001E1B96&quot;/&gt;&lt;wsp:rsid wsp:val=&quot;001E1C33&quot;/&gt;&lt;wsp:rsid wsp:val=&quot;001E1E69&quot;/&gt;&lt;wsp:rsid wsp:val=&quot;001E2004&quot;/&gt;&lt;wsp:rsid wsp:val=&quot;001E2076&quot;/&gt;&lt;wsp:rsid wsp:val=&quot;001E2119&quot;/&gt;&lt;wsp:rsid wsp:val=&quot;001E26DF&quot;/&gt;&lt;wsp:rsid wsp:val=&quot;001E2888&quot;/&gt;&lt;wsp:rsid wsp:val=&quot;001E2CA6&quot;/&gt;&lt;wsp:rsid wsp:val=&quot;001E2D47&quot;/&gt;&lt;wsp:rsid wsp:val=&quot;001E2E12&quot;/&gt;&lt;wsp:rsid wsp:val=&quot;001E30EB&quot;/&gt;&lt;wsp:rsid wsp:val=&quot;001E3324&quot;/&gt;&lt;wsp:rsid wsp:val=&quot;001E332A&quot;/&gt;&lt;wsp:rsid wsp:val=&quot;001E390B&quot;/&gt;&lt;wsp:rsid wsp:val=&quot;001E3C5F&quot;/&gt;&lt;wsp:rsid wsp:val=&quot;001E3D84&quot;/&gt;&lt;wsp:rsid wsp:val=&quot;001E404C&quot;/&gt;&lt;wsp:rsid wsp:val=&quot;001E41CF&quot;/&gt;&lt;wsp:rsid wsp:val=&quot;001E441E&quot;/&gt;&lt;wsp:rsid wsp:val=&quot;001E4548&quot;/&gt;&lt;wsp:rsid wsp:val=&quot;001E48D8&quot;/&gt;&lt;wsp:rsid wsp:val=&quot;001E4B42&quot;/&gt;&lt;wsp:rsid wsp:val=&quot;001E4BA3&quot;/&gt;&lt;wsp:rsid wsp:val=&quot;001E4D0E&quot;/&gt;&lt;wsp:rsid wsp:val=&quot;001E4E51&quot;/&gt;&lt;wsp:rsid wsp:val=&quot;001E4F58&quot;/&gt;&lt;wsp:rsid wsp:val=&quot;001E51DB&quot;/&gt;&lt;wsp:rsid wsp:val=&quot;001E5379&quot;/&gt;&lt;wsp:rsid wsp:val=&quot;001E53D2&quot;/&gt;&lt;wsp:rsid wsp:val=&quot;001E5442&quot;/&gt;&lt;wsp:rsid wsp:val=&quot;001E55C8&quot;/&gt;&lt;wsp:rsid wsp:val=&quot;001E5830&quot;/&gt;&lt;wsp:rsid wsp:val=&quot;001E5905&quot;/&gt;&lt;wsp:rsid wsp:val=&quot;001E5AF1&quot;/&gt;&lt;wsp:rsid wsp:val=&quot;001E5E46&quot;/&gt;&lt;wsp:rsid wsp:val=&quot;001E66D3&quot;/&gt;&lt;wsp:rsid wsp:val=&quot;001E6903&quot;/&gt;&lt;wsp:rsid wsp:val=&quot;001E6976&quot;/&gt;&lt;wsp:rsid wsp:val=&quot;001E6A00&quot;/&gt;&lt;wsp:rsid wsp:val=&quot;001E6A5A&quot;/&gt;&lt;wsp:rsid wsp:val=&quot;001E6BE6&quot;/&gt;&lt;wsp:rsid wsp:val=&quot;001E6C06&quot;/&gt;&lt;wsp:rsid wsp:val=&quot;001E6EB2&quot;/&gt;&lt;wsp:rsid wsp:val=&quot;001E73D5&quot;/&gt;&lt;wsp:rsid wsp:val=&quot;001E7605&quot;/&gt;&lt;wsp:rsid wsp:val=&quot;001E7893&quot;/&gt;&lt;wsp:rsid wsp:val=&quot;001E7935&quot;/&gt;&lt;wsp:rsid wsp:val=&quot;001E7A7C&quot;/&gt;&lt;wsp:rsid wsp:val=&quot;001F02C6&quot;/&gt;&lt;wsp:rsid wsp:val=&quot;001F0464&quot;/&gt;&lt;wsp:rsid wsp:val=&quot;001F0CAB&quot;/&gt;&lt;wsp:rsid wsp:val=&quot;001F10B5&quot;/&gt;&lt;wsp:rsid wsp:val=&quot;001F155A&quot;/&gt;&lt;wsp:rsid wsp:val=&quot;001F16C2&quot;/&gt;&lt;wsp:rsid wsp:val=&quot;001F178E&quot;/&gt;&lt;wsp:rsid wsp:val=&quot;001F183C&quot;/&gt;&lt;wsp:rsid wsp:val=&quot;001F1865&quot;/&gt;&lt;wsp:rsid wsp:val=&quot;001F1886&quot;/&gt;&lt;wsp:rsid wsp:val=&quot;001F1888&quot;/&gt;&lt;wsp:rsid wsp:val=&quot;001F1971&quot;/&gt;&lt;wsp:rsid wsp:val=&quot;001F21DA&quot;/&gt;&lt;wsp:rsid wsp:val=&quot;001F2496&quot;/&gt;&lt;wsp:rsid wsp:val=&quot;001F25CD&quot;/&gt;&lt;wsp:rsid wsp:val=&quot;001F309F&quot;/&gt;&lt;wsp:rsid wsp:val=&quot;001F3115&quot;/&gt;&lt;wsp:rsid wsp:val=&quot;001F3224&quot;/&gt;&lt;wsp:rsid wsp:val=&quot;001F3474&quot;/&gt;&lt;wsp:rsid wsp:val=&quot;001F35FF&quot;/&gt;&lt;wsp:rsid wsp:val=&quot;001F392F&quot;/&gt;&lt;wsp:rsid wsp:val=&quot;001F3BF6&quot;/&gt;&lt;wsp:rsid wsp:val=&quot;001F3C31&quot;/&gt;&lt;wsp:rsid wsp:val=&quot;001F4164&quot;/&gt;&lt;wsp:rsid wsp:val=&quot;001F422A&quot;/&gt;&lt;wsp:rsid wsp:val=&quot;001F45BE&quot;/&gt;&lt;wsp:rsid wsp:val=&quot;001F4603&quot;/&gt;&lt;wsp:rsid wsp:val=&quot;001F4703&quot;/&gt;&lt;wsp:rsid wsp:val=&quot;001F4704&quot;/&gt;&lt;wsp:rsid wsp:val=&quot;001F4B92&quot;/&gt;&lt;wsp:rsid wsp:val=&quot;001F4E45&quot;/&gt;&lt;wsp:rsid wsp:val=&quot;001F4EF0&quot;/&gt;&lt;wsp:rsid wsp:val=&quot;001F50CC&quot;/&gt;&lt;wsp:rsid wsp:val=&quot;001F51FF&quot;/&gt;&lt;wsp:rsid wsp:val=&quot;001F5581&quot;/&gt;&lt;wsp:rsid wsp:val=&quot;001F592C&quot;/&gt;&lt;wsp:rsid wsp:val=&quot;001F5A0B&quot;/&gt;&lt;wsp:rsid wsp:val=&quot;001F5B83&quot;/&gt;&lt;wsp:rsid wsp:val=&quot;001F5C72&quot;/&gt;&lt;wsp:rsid wsp:val=&quot;001F5C84&quot;/&gt;&lt;wsp:rsid wsp:val=&quot;001F5DE3&quot;/&gt;&lt;wsp:rsid wsp:val=&quot;001F602C&quot;/&gt;&lt;wsp:rsid wsp:val=&quot;001F6371&quot;/&gt;&lt;wsp:rsid wsp:val=&quot;001F646C&quot;/&gt;&lt;wsp:rsid wsp:val=&quot;001F6596&quot;/&gt;&lt;wsp:rsid wsp:val=&quot;001F67D0&quot;/&gt;&lt;wsp:rsid wsp:val=&quot;001F67E5&quot;/&gt;&lt;wsp:rsid wsp:val=&quot;001F6AA3&quot;/&gt;&lt;wsp:rsid wsp:val=&quot;001F6B75&quot;/&gt;&lt;wsp:rsid wsp:val=&quot;001F6C54&quot;/&gt;&lt;wsp:rsid wsp:val=&quot;001F6E7F&quot;/&gt;&lt;wsp:rsid wsp:val=&quot;001F6FDE&quot;/&gt;&lt;wsp:rsid wsp:val=&quot;001F7095&quot;/&gt;&lt;wsp:rsid wsp:val=&quot;001F71D7&quot;/&gt;&lt;wsp:rsid wsp:val=&quot;001F72C0&quot;/&gt;&lt;wsp:rsid wsp:val=&quot;001F7D0A&quot;/&gt;&lt;wsp:rsid wsp:val=&quot;001F7F17&quot;/&gt;&lt;wsp:rsid wsp:val=&quot;00200067&quot;/&gt;&lt;wsp:rsid wsp:val=&quot;002001C6&quot;/&gt;&lt;wsp:rsid wsp:val=&quot;0020084E&quot;/&gt;&lt;wsp:rsid wsp:val=&quot;0020091E&quot;/&gt;&lt;wsp:rsid wsp:val=&quot;00200F48&quot;/&gt;&lt;wsp:rsid wsp:val=&quot;00201088&quot;/&gt;&lt;wsp:rsid wsp:val=&quot;0020143B&quot;/&gt;&lt;wsp:rsid wsp:val=&quot;0020160E&quot;/&gt;&lt;wsp:rsid wsp:val=&quot;0020169E&quot;/&gt;&lt;wsp:rsid wsp:val=&quot;00201845&quot;/&gt;&lt;wsp:rsid wsp:val=&quot;0020193E&quot;/&gt;&lt;wsp:rsid wsp:val=&quot;00201B48&quot;/&gt;&lt;wsp:rsid wsp:val=&quot;00201CCB&quot;/&gt;&lt;wsp:rsid wsp:val=&quot;00202134&quot;/&gt;&lt;wsp:rsid wsp:val=&quot;0020221D&quot;/&gt;&lt;wsp:rsid wsp:val=&quot;00202326&quot;/&gt;&lt;wsp:rsid wsp:val=&quot;0020255B&quot;/&gt;&lt;wsp:rsid wsp:val=&quot;00202601&quot;/&gt;&lt;wsp:rsid wsp:val=&quot;00202770&quot;/&gt;&lt;wsp:rsid wsp:val=&quot;002029B2&quot;/&gt;&lt;wsp:rsid wsp:val=&quot;00202A7F&quot;/&gt;&lt;wsp:rsid wsp:val=&quot;00202B84&quot;/&gt;&lt;wsp:rsid wsp:val=&quot;0020327A&quot;/&gt;&lt;wsp:rsid wsp:val=&quot;0020335F&quot;/&gt;&lt;wsp:rsid wsp:val=&quot;00203709&quot;/&gt;&lt;wsp:rsid wsp:val=&quot;002037C0&quot;/&gt;&lt;wsp:rsid wsp:val=&quot;002037DB&quot;/&gt;&lt;wsp:rsid wsp:val=&quot;00203915&quot;/&gt;&lt;wsp:rsid wsp:val=&quot;00203966&quot;/&gt;&lt;wsp:rsid wsp:val=&quot;00203AAA&quot;/&gt;&lt;wsp:rsid wsp:val=&quot;00203B36&quot;/&gt;&lt;wsp:rsid wsp:val=&quot;00204120&quot;/&gt;&lt;wsp:rsid wsp:val=&quot;0020463D&quot;/&gt;&lt;wsp:rsid wsp:val=&quot;00204A20&quot;/&gt;&lt;wsp:rsid wsp:val=&quot;00204C56&quot;/&gt;&lt;wsp:rsid wsp:val=&quot;00204CCF&quot;/&gt;&lt;wsp:rsid wsp:val=&quot;00204EBE&quot;/&gt;&lt;wsp:rsid wsp:val=&quot;00204ED0&quot;/&gt;&lt;wsp:rsid wsp:val=&quot;0020502A&quot;/&gt;&lt;wsp:rsid wsp:val=&quot;00205091&quot;/&gt;&lt;wsp:rsid wsp:val=&quot;00205117&quot;/&gt;&lt;wsp:rsid wsp:val=&quot;00205380&quot;/&gt;&lt;wsp:rsid wsp:val=&quot;002057E0&quot;/&gt;&lt;wsp:rsid wsp:val=&quot;00205826&quot;/&gt;&lt;wsp:rsid wsp:val=&quot;00205894&quot;/&gt;&lt;wsp:rsid wsp:val=&quot;00205946&quot;/&gt;&lt;wsp:rsid wsp:val=&quot;00205C0D&quot;/&gt;&lt;wsp:rsid wsp:val=&quot;00205EED&quot;/&gt;&lt;wsp:rsid wsp:val=&quot;002060CD&quot;/&gt;&lt;wsp:rsid wsp:val=&quot;00206123&quot;/&gt;&lt;wsp:rsid wsp:val=&quot;0020634A&quot;/&gt;&lt;wsp:rsid wsp:val=&quot;002064AD&quot;/&gt;&lt;wsp:rsid wsp:val=&quot;00206822&quot;/&gt;&lt;wsp:rsid wsp:val=&quot;00206EA0&quot;/&gt;&lt;wsp:rsid wsp:val=&quot;0020701D&quot;/&gt;&lt;wsp:rsid wsp:val=&quot;0020706A&quot;/&gt;&lt;wsp:rsid wsp:val=&quot;00207348&quot;/&gt;&lt;wsp:rsid wsp:val=&quot;002074F5&quot;/&gt;&lt;wsp:rsid wsp:val=&quot;00207586&quot;/&gt;&lt;wsp:rsid wsp:val=&quot;00207AB8&quot;/&gt;&lt;wsp:rsid wsp:val=&quot;0021002A&quot;/&gt;&lt;wsp:rsid wsp:val=&quot;0021050B&quot;/&gt;&lt;wsp:rsid wsp:val=&quot;002106BC&quot;/&gt;&lt;wsp:rsid wsp:val=&quot;00210C3E&quot;/&gt;&lt;wsp:rsid wsp:val=&quot;0021102C&quot;/&gt;&lt;wsp:rsid wsp:val=&quot;00211231&quot;/&gt;&lt;wsp:rsid wsp:val=&quot;00211597&quot;/&gt;&lt;wsp:rsid wsp:val=&quot;002119C2&quot;/&gt;&lt;wsp:rsid wsp:val=&quot;00211AF6&quot;/&gt;&lt;wsp:rsid wsp:val=&quot;00211B15&quot;/&gt;&lt;wsp:rsid wsp:val=&quot;00211BE8&quot;/&gt;&lt;wsp:rsid wsp:val=&quot;00211D2B&quot;/&gt;&lt;wsp:rsid wsp:val=&quot;00211E81&quot;/&gt;&lt;wsp:rsid wsp:val=&quot;00211F80&quot;/&gt;&lt;wsp:rsid wsp:val=&quot;00212235&quot;/&gt;&lt;wsp:rsid wsp:val=&quot;0021234A&quot;/&gt;&lt;wsp:rsid wsp:val=&quot;00212654&quot;/&gt;&lt;wsp:rsid wsp:val=&quot;00212677&quot;/&gt;&lt;wsp:rsid wsp:val=&quot;00212749&quot;/&gt;&lt;wsp:rsid wsp:val=&quot;002128BB&quot;/&gt;&lt;wsp:rsid wsp:val=&quot;00212AA3&quot;/&gt;&lt;wsp:rsid wsp:val=&quot;00212D8E&quot;/&gt;&lt;wsp:rsid wsp:val=&quot;00212DCD&quot;/&gt;&lt;wsp:rsid wsp:val=&quot;00212E00&quot;/&gt;&lt;wsp:rsid wsp:val=&quot;0021321D&quot;/&gt;&lt;wsp:rsid wsp:val=&quot;002132AD&quot;/&gt;&lt;wsp:rsid wsp:val=&quot;00213390&quot;/&gt;&lt;wsp:rsid wsp:val=&quot;002133DA&quot;/&gt;&lt;wsp:rsid wsp:val=&quot;002133FB&quot;/&gt;&lt;wsp:rsid wsp:val=&quot;002135C0&quot;/&gt;&lt;wsp:rsid wsp:val=&quot;002137BB&quot;/&gt;&lt;wsp:rsid wsp:val=&quot;00213A4E&quot;/&gt;&lt;wsp:rsid wsp:val=&quot;00213A8A&quot;/&gt;&lt;wsp:rsid wsp:val=&quot;00213C3B&quot;/&gt;&lt;wsp:rsid wsp:val=&quot;00213DA1&quot;/&gt;&lt;wsp:rsid wsp:val=&quot;00213F67&quot;/&gt;&lt;wsp:rsid wsp:val=&quot;00213F8C&quot;/&gt;&lt;wsp:rsid wsp:val=&quot;00213FEF&quot;/&gt;&lt;wsp:rsid wsp:val=&quot;00214191&quot;/&gt;&lt;wsp:rsid wsp:val=&quot;0021442B&quot;/&gt;&lt;wsp:rsid wsp:val=&quot;00214450&quot;/&gt;&lt;wsp:rsid wsp:val=&quot;0021446C&quot;/&gt;&lt;wsp:rsid wsp:val=&quot;00214609&quot;/&gt;&lt;wsp:rsid wsp:val=&quot;0021474F&quot;/&gt;&lt;wsp:rsid wsp:val=&quot;00214BC9&quot;/&gt;&lt;wsp:rsid wsp:val=&quot;00214FC7&quot;/&gt;&lt;wsp:rsid wsp:val=&quot;0021556D&quot;/&gt;&lt;wsp:rsid wsp:val=&quot;002156D4&quot;/&gt;&lt;wsp:rsid wsp:val=&quot;002159BE&quot;/&gt;&lt;wsp:rsid wsp:val=&quot;002159D9&quot;/&gt;&lt;wsp:rsid wsp:val=&quot;00215F89&quot;/&gt;&lt;wsp:rsid wsp:val=&quot;00216291&quot;/&gt;&lt;wsp:rsid wsp:val=&quot;0021699B&quot;/&gt;&lt;wsp:rsid wsp:val=&quot;00216BEC&quot;/&gt;&lt;wsp:rsid wsp:val=&quot;00216E6B&quot;/&gt;&lt;wsp:rsid wsp:val=&quot;00217013&quot;/&gt;&lt;wsp:rsid wsp:val=&quot;002173C0&quot;/&gt;&lt;wsp:rsid wsp:val=&quot;00217489&quot;/&gt;&lt;wsp:rsid wsp:val=&quot;00217809&quot;/&gt;&lt;wsp:rsid wsp:val=&quot;002179D5&quot;/&gt;&lt;wsp:rsid wsp:val=&quot;00217A97&quot;/&gt;&lt;wsp:rsid wsp:val=&quot;00217A9A&quot;/&gt;&lt;wsp:rsid wsp:val=&quot;00217CB7&quot;/&gt;&lt;wsp:rsid wsp:val=&quot;00217D93&quot;/&gt;&lt;wsp:rsid wsp:val=&quot;00217E00&quot;/&gt;&lt;wsp:rsid wsp:val=&quot;0022001A&quot;/&gt;&lt;wsp:rsid wsp:val=&quot;002201B6&quot;/&gt;&lt;wsp:rsid wsp:val=&quot;002204BC&quot;/&gt;&lt;wsp:rsid wsp:val=&quot;002207F9&quot;/&gt;&lt;wsp:rsid wsp:val=&quot;00220892&quot;/&gt;&lt;wsp:rsid wsp:val=&quot;00220A13&quot;/&gt;&lt;wsp:rsid wsp:val=&quot;00220AFB&quot;/&gt;&lt;wsp:rsid wsp:val=&quot;00221071&quot;/&gt;&lt;wsp:rsid wsp:val=&quot;002214C0&quot;/&gt;&lt;wsp:rsid wsp:val=&quot;002217B2&quot;/&gt;&lt;wsp:rsid wsp:val=&quot;00221906&quot;/&gt;&lt;wsp:rsid wsp:val=&quot;00221FE6&quot;/&gt;&lt;wsp:rsid wsp:val=&quot;002224B4&quot;/&gt;&lt;wsp:rsid wsp:val=&quot;00222537&quot;/&gt;&lt;wsp:rsid wsp:val=&quot;002225DF&quot;/&gt;&lt;wsp:rsid wsp:val=&quot;00222F0D&quot;/&gt;&lt;wsp:rsid wsp:val=&quot;00223556&quot;/&gt;&lt;wsp:rsid wsp:val=&quot;0022364B&quot;/&gt;&lt;wsp:rsid wsp:val=&quot;002237B4&quot;/&gt;&lt;wsp:rsid wsp:val=&quot;002237D0&quot;/&gt;&lt;wsp:rsid wsp:val=&quot;00223A29&quot;/&gt;&lt;wsp:rsid wsp:val=&quot;00223BB9&quot;/&gt;&lt;wsp:rsid wsp:val=&quot;00223C4A&quot;/&gt;&lt;wsp:rsid wsp:val=&quot;00223EB6&quot;/&gt;&lt;wsp:rsid wsp:val=&quot;00224082&quot;/&gt;&lt;wsp:rsid wsp:val=&quot;002242A9&quot;/&gt;&lt;wsp:rsid wsp:val=&quot;00224425&quot;/&gt;&lt;wsp:rsid wsp:val=&quot;00224569&quot;/&gt;&lt;wsp:rsid wsp:val=&quot;002245B8&quot;/&gt;&lt;wsp:rsid wsp:val=&quot;00224B50&quot;/&gt;&lt;wsp:rsid wsp:val=&quot;00224F76&quot;/&gt;&lt;wsp:rsid wsp:val=&quot;0022506D&quot;/&gt;&lt;wsp:rsid wsp:val=&quot;00225118&quot;/&gt;&lt;wsp:rsid wsp:val=&quot;00225373&quot;/&gt;&lt;wsp:rsid wsp:val=&quot;002253C0&quot;/&gt;&lt;wsp:rsid wsp:val=&quot;002255D8&quot;/&gt;&lt;wsp:rsid wsp:val=&quot;002257CF&quot;/&gt;&lt;wsp:rsid wsp:val=&quot;0022584C&quot;/&gt;&lt;wsp:rsid wsp:val=&quot;00225ABF&quot;/&gt;&lt;wsp:rsid wsp:val=&quot;00225EBC&quot;/&gt;&lt;wsp:rsid wsp:val=&quot;00225EF9&quot;/&gt;&lt;wsp:rsid wsp:val=&quot;00226067&quot;/&gt;&lt;wsp:rsid wsp:val=&quot;0022620C&quot;/&gt;&lt;wsp:rsid wsp:val=&quot;0022632F&quot;/&gt;&lt;wsp:rsid wsp:val=&quot;00226721&quot;/&gt;&lt;wsp:rsid wsp:val=&quot;00226799&quot;/&gt;&lt;wsp:rsid wsp:val=&quot;00226829&quot;/&gt;&lt;wsp:rsid wsp:val=&quot;0022682A&quot;/&gt;&lt;wsp:rsid wsp:val=&quot;00226A5B&quot;/&gt;&lt;wsp:rsid wsp:val=&quot;00226BCC&quot;/&gt;&lt;wsp:rsid wsp:val=&quot;00226CB1&quot;/&gt;&lt;wsp:rsid wsp:val=&quot;00226E61&quot;/&gt;&lt;wsp:rsid wsp:val=&quot;002272C5&quot;/&gt;&lt;wsp:rsid wsp:val=&quot;00227383&quot;/&gt;&lt;wsp:rsid wsp:val=&quot;00227982&quot;/&gt;&lt;wsp:rsid wsp:val=&quot;00227E40&quot;/&gt;&lt;wsp:rsid wsp:val=&quot;00227F18&quot;/&gt;&lt;wsp:rsid wsp:val=&quot;00227F30&quot;/&gt;&lt;wsp:rsid wsp:val=&quot;00230182&quot;/&gt;&lt;wsp:rsid wsp:val=&quot;002302C1&quot;/&gt;&lt;wsp:rsid wsp:val=&quot;00230931&quot;/&gt;&lt;wsp:rsid wsp:val=&quot;00230EC6&quot;/&gt;&lt;wsp:rsid wsp:val=&quot;00231568&quot;/&gt;&lt;wsp:rsid wsp:val=&quot;0023156A&quot;/&gt;&lt;wsp:rsid wsp:val=&quot;00231A2A&quot;/&gt;&lt;wsp:rsid wsp:val=&quot;00231AAB&quot;/&gt;&lt;wsp:rsid wsp:val=&quot;00231D8D&quot;/&gt;&lt;wsp:rsid wsp:val=&quot;00231FBE&quot;/&gt;&lt;wsp:rsid wsp:val=&quot;002324AC&quot;/&gt;&lt;wsp:rsid wsp:val=&quot;0023261B&quot;/&gt;&lt;wsp:rsid wsp:val=&quot;00232976&quot;/&gt;&lt;wsp:rsid wsp:val=&quot;00232A5B&quot;/&gt;&lt;wsp:rsid wsp:val=&quot;00232BC9&quot;/&gt;&lt;wsp:rsid wsp:val=&quot;00232D5B&quot;/&gt;&lt;wsp:rsid wsp:val=&quot;00232E13&quot;/&gt;&lt;wsp:rsid wsp:val=&quot;00232F48&quot;/&gt;&lt;wsp:rsid wsp:val=&quot;00233057&quot;/&gt;&lt;wsp:rsid wsp:val=&quot;002332D9&quot;/&gt;&lt;wsp:rsid wsp:val=&quot;0023335F&quot;/&gt;&lt;wsp:rsid wsp:val=&quot;002338E5&quot;/&gt;&lt;wsp:rsid wsp:val=&quot;0023398B&quot;/&gt;&lt;wsp:rsid wsp:val=&quot;002341D5&quot;/&gt;&lt;wsp:rsid wsp:val=&quot;002346D3&quot;/&gt;&lt;wsp:rsid wsp:val=&quot;00234752&quot;/&gt;&lt;wsp:rsid wsp:val=&quot;0023479B&quot;/&gt;&lt;wsp:rsid wsp:val=&quot;00234C00&quot;/&gt;&lt;wsp:rsid wsp:val=&quot;00234ED0&quot;/&gt;&lt;wsp:rsid wsp:val=&quot;0023501E&quot;/&gt;&lt;wsp:rsid wsp:val=&quot;00235394&quot;/&gt;&lt;wsp:rsid wsp:val=&quot;0023549A&quot;/&gt;&lt;wsp:rsid wsp:val=&quot;0023561A&quot;/&gt;&lt;wsp:rsid wsp:val=&quot;002357C9&quot;/&gt;&lt;wsp:rsid wsp:val=&quot;002359AB&quot;/&gt;&lt;wsp:rsid wsp:val=&quot;00235B23&quot;/&gt;&lt;wsp:rsid wsp:val=&quot;00235B59&quot;/&gt;&lt;wsp:rsid wsp:val=&quot;00236253&quot;/&gt;&lt;wsp:rsid wsp:val=&quot;002363FA&quot;/&gt;&lt;wsp:rsid wsp:val=&quot;002370F6&quot;/&gt;&lt;wsp:rsid wsp:val=&quot;002371BD&quot;/&gt;&lt;wsp:rsid wsp:val=&quot;00237460&quot;/&gt;&lt;wsp:rsid wsp:val=&quot;00237479&quot;/&gt;&lt;wsp:rsid wsp:val=&quot;002378A7&quot;/&gt;&lt;wsp:rsid wsp:val=&quot;00237B71&quot;/&gt;&lt;wsp:rsid wsp:val=&quot;00237D1B&quot;/&gt;&lt;wsp:rsid wsp:val=&quot;00237E99&quot;/&gt;&lt;wsp:rsid wsp:val=&quot;0024005F&quot;/&gt;&lt;wsp:rsid wsp:val=&quot;00240263&quot;/&gt;&lt;wsp:rsid wsp:val=&quot;00240324&quot;/&gt;&lt;wsp:rsid wsp:val=&quot;00240327&quot;/&gt;&lt;wsp:rsid wsp:val=&quot;00240372&quot;/&gt;&lt;wsp:rsid wsp:val=&quot;002405A2&quot;/&gt;&lt;wsp:rsid wsp:val=&quot;0024069F&quot;/&gt;&lt;wsp:rsid wsp:val=&quot;002409F5&quot;/&gt;&lt;wsp:rsid wsp:val=&quot;00240B5D&quot;/&gt;&lt;wsp:rsid wsp:val=&quot;00240FB5&quot;/&gt;&lt;wsp:rsid wsp:val=&quot;00240FD6&quot;/&gt;&lt;wsp:rsid wsp:val=&quot;0024100F&quot;/&gt;&lt;wsp:rsid wsp:val=&quot;0024136B&quot;/&gt;&lt;wsp:rsid wsp:val=&quot;002416D0&quot;/&gt;&lt;wsp:rsid wsp:val=&quot;00241777&quot;/&gt;&lt;wsp:rsid wsp:val=&quot;002419AE&quot;/&gt;&lt;wsp:rsid wsp:val=&quot;00241BFB&quot;/&gt;&lt;wsp:rsid wsp:val=&quot;00241F39&quot;/&gt;&lt;wsp:rsid wsp:val=&quot;0024208F&quot;/&gt;&lt;wsp:rsid wsp:val=&quot;0024215C&quot;/&gt;&lt;wsp:rsid wsp:val=&quot;0024236D&quot;/&gt;&lt;wsp:rsid wsp:val=&quot;002424A7&quot;/&gt;&lt;wsp:rsid wsp:val=&quot;0024256B&quot;/&gt;&lt;wsp:rsid wsp:val=&quot;002426FF&quot;/&gt;&lt;wsp:rsid wsp:val=&quot;002428A6&quot;/&gt;&lt;wsp:rsid wsp:val=&quot;002429FA&quot;/&gt;&lt;wsp:rsid wsp:val=&quot;00242C69&quot;/&gt;&lt;wsp:rsid wsp:val=&quot;00242F6E&quot;/&gt;&lt;wsp:rsid wsp:val=&quot;002431C7&quot;/&gt;&lt;wsp:rsid wsp:val=&quot;0024365E&quot;/&gt;&lt;wsp:rsid wsp:val=&quot;002439C5&quot;/&gt;&lt;wsp:rsid wsp:val=&quot;002439D0&quot;/&gt;&lt;wsp:rsid wsp:val=&quot;00243A41&quot;/&gt;&lt;wsp:rsid wsp:val=&quot;00243BD9&quot;/&gt;&lt;wsp:rsid wsp:val=&quot;00243D3D&quot;/&gt;&lt;wsp:rsid wsp:val=&quot;0024417C&quot;/&gt;&lt;wsp:rsid wsp:val=&quot;002444E7&quot;/&gt;&lt;wsp:rsid wsp:val=&quot;002447A8&quot;/&gt;&lt;wsp:rsid wsp:val=&quot;00244956&quot;/&gt;&lt;wsp:rsid wsp:val=&quot;00244986&quot;/&gt;&lt;wsp:rsid wsp:val=&quot;002449C9&quot;/&gt;&lt;wsp:rsid wsp:val=&quot;00244A5E&quot;/&gt;&lt;wsp:rsid wsp:val=&quot;00244AF3&quot;/&gt;&lt;wsp:rsid wsp:val=&quot;00244C3F&quot;/&gt;&lt;wsp:rsid wsp:val=&quot;00244C5D&quot;/&gt;&lt;wsp:rsid wsp:val=&quot;00245007&quot;/&gt;&lt;wsp:rsid wsp:val=&quot;00245079&quot;/&gt;&lt;wsp:rsid wsp:val=&quot;002450E7&quot;/&gt;&lt;wsp:rsid wsp:val=&quot;0024522C&quot;/&gt;&lt;wsp:rsid wsp:val=&quot;00245256&quot;/&gt;&lt;wsp:rsid wsp:val=&quot;002454C5&quot;/&gt;&lt;wsp:rsid wsp:val=&quot;002455B1&quot;/&gt;&lt;wsp:rsid wsp:val=&quot;00245EB1&quot;/&gt;&lt;wsp:rsid wsp:val=&quot;00245EBE&quot;/&gt;&lt;wsp:rsid wsp:val=&quot;00245ED8&quot;/&gt;&lt;wsp:rsid wsp:val=&quot;00246125&quot;/&gt;&lt;wsp:rsid wsp:val=&quot;00246B24&quot;/&gt;&lt;wsp:rsid wsp:val=&quot;00246BC2&quot;/&gt;&lt;wsp:rsid wsp:val=&quot;0024724E&quot;/&gt;&lt;wsp:rsid wsp:val=&quot;00247F5F&quot;/&gt;&lt;wsp:rsid wsp:val=&quot;002504AF&quot;/&gt;&lt;wsp:rsid wsp:val=&quot;00250771&quot;/&gt;&lt;wsp:rsid wsp:val=&quot;00250818&quot;/&gt;&lt;wsp:rsid wsp:val=&quot;002509FD&quot;/&gt;&lt;wsp:rsid wsp:val=&quot;00250CF6&quot;/&gt;&lt;wsp:rsid wsp:val=&quot;00250EE3&quot;/&gt;&lt;wsp:rsid wsp:val=&quot;00250F8F&quot;/&gt;&lt;wsp:rsid wsp:val=&quot;00250F98&quot;/&gt;&lt;wsp:rsid wsp:val=&quot;002510DA&quot;/&gt;&lt;wsp:rsid wsp:val=&quot;00251333&quot;/&gt;&lt;wsp:rsid wsp:val=&quot;0025144C&quot;/&gt;&lt;wsp:rsid wsp:val=&quot;002514AF&quot;/&gt;&lt;wsp:rsid wsp:val=&quot;002514E1&quot;/&gt;&lt;wsp:rsid wsp:val=&quot;00251722&quot;/&gt;&lt;wsp:rsid wsp:val=&quot;00251CD7&quot;/&gt;&lt;wsp:rsid wsp:val=&quot;00251F1D&quot;/&gt;&lt;wsp:rsid wsp:val=&quot;0025219B&quot;/&gt;&lt;wsp:rsid wsp:val=&quot;0025264B&quot;/&gt;&lt;wsp:rsid wsp:val=&quot;0025268E&quot;/&gt;&lt;wsp:rsid wsp:val=&quot;00252794&quot;/&gt;&lt;wsp:rsid wsp:val=&quot;00252907&quot;/&gt;&lt;wsp:rsid wsp:val=&quot;002531D8&quot;/&gt;&lt;wsp:rsid wsp:val=&quot;002535BF&quot;/&gt;&lt;wsp:rsid wsp:val=&quot;00253624&quot;/&gt;&lt;wsp:rsid wsp:val=&quot;00253742&quot;/&gt;&lt;wsp:rsid wsp:val=&quot;002537A4&quot;/&gt;&lt;wsp:rsid wsp:val=&quot;002537B8&quot;/&gt;&lt;wsp:rsid wsp:val=&quot;00253A1E&quot;/&gt;&lt;wsp:rsid wsp:val=&quot;00253F8C&quot;/&gt;&lt;wsp:rsid wsp:val=&quot;0025456B&quot;/&gt;&lt;wsp:rsid wsp:val=&quot;002548D1&quot;/&gt;&lt;wsp:rsid wsp:val=&quot;00254A1D&quot;/&gt;&lt;wsp:rsid wsp:val=&quot;00254A70&quot;/&gt;&lt;wsp:rsid wsp:val=&quot;00254B43&quot;/&gt;&lt;wsp:rsid wsp:val=&quot;00254B89&quot;/&gt;&lt;wsp:rsid wsp:val=&quot;00254BB9&quot;/&gt;&lt;wsp:rsid wsp:val=&quot;00254E4D&quot;/&gt;&lt;wsp:rsid wsp:val=&quot;002551F6&quot;/&gt;&lt;wsp:rsid wsp:val=&quot;002555F5&quot;/&gt;&lt;wsp:rsid wsp:val=&quot;002558F3&quot;/&gt;&lt;wsp:rsid wsp:val=&quot;002558FD&quot;/&gt;&lt;wsp:rsid wsp:val=&quot;002559F8&quot;/&gt;&lt;wsp:rsid wsp:val=&quot;00255BBD&quot;/&gt;&lt;wsp:rsid wsp:val=&quot;00255C63&quot;/&gt;&lt;wsp:rsid wsp:val=&quot;00255DF1&quot;/&gt;&lt;wsp:rsid wsp:val=&quot;00255E61&quot;/&gt;&lt;wsp:rsid wsp:val=&quot;002562A8&quot;/&gt;&lt;wsp:rsid wsp:val=&quot;002566D1&quot;/&gt;&lt;wsp:rsid wsp:val=&quot;002566E4&quot;/&gt;&lt;wsp:rsid wsp:val=&quot;00256707&quot;/&gt;&lt;wsp:rsid wsp:val=&quot;002567DD&quot;/&gt;&lt;wsp:rsid wsp:val=&quot;00256BE8&quot;/&gt;&lt;wsp:rsid wsp:val=&quot;00257117&quot;/&gt;&lt;wsp:rsid wsp:val=&quot;00257321&quot;/&gt;&lt;wsp:rsid wsp:val=&quot;00257335&quot;/&gt;&lt;wsp:rsid wsp:val=&quot;00257BD0&quot;/&gt;&lt;wsp:rsid wsp:val=&quot;00257CA7&quot;/&gt;&lt;wsp:rsid wsp:val=&quot;00260349&quot;/&gt;&lt;wsp:rsid wsp:val=&quot;002603AB&quot;/&gt;&lt;wsp:rsid wsp:val=&quot;002606CC&quot;/&gt;&lt;wsp:rsid wsp:val=&quot;002608EE&quot;/&gt;&lt;wsp:rsid wsp:val=&quot;00260997&quot;/&gt;&lt;wsp:rsid wsp:val=&quot;00260C31&quot;/&gt;&lt;wsp:rsid wsp:val=&quot;00260F64&quot;/&gt;&lt;wsp:rsid wsp:val=&quot;00260FCB&quot;/&gt;&lt;wsp:rsid wsp:val=&quot;002618BF&quot;/&gt;&lt;wsp:rsid wsp:val=&quot;00261C2E&quot;/&gt;&lt;wsp:rsid wsp:val=&quot;00261E1D&quot;/&gt;&lt;wsp:rsid wsp:val=&quot;00261E74&quot;/&gt;&lt;wsp:rsid wsp:val=&quot;002626CD&quot;/&gt;&lt;wsp:rsid wsp:val=&quot;0026283E&quot;/&gt;&lt;wsp:rsid wsp:val=&quot;002628DB&quot;/&gt;&lt;wsp:rsid wsp:val=&quot;00262ABA&quot;/&gt;&lt;wsp:rsid wsp:val=&quot;00262B80&quot;/&gt;&lt;wsp:rsid wsp:val=&quot;00262DF5&quot;/&gt;&lt;wsp:rsid wsp:val=&quot;00262E2D&quot;/&gt;&lt;wsp:rsid wsp:val=&quot;00262FE2&quot;/&gt;&lt;wsp:rsid wsp:val=&quot;0026315B&quot;/&gt;&lt;wsp:rsid wsp:val=&quot;0026330C&quot;/&gt;&lt;wsp:rsid wsp:val=&quot;0026350B&quot;/&gt;&lt;wsp:rsid wsp:val=&quot;002637CE&quot;/&gt;&lt;wsp:rsid wsp:val=&quot;00263823&quot;/&gt;&lt;wsp:rsid wsp:val=&quot;00263A79&quot;/&gt;&lt;wsp:rsid wsp:val=&quot;00263E4B&quot;/&gt;&lt;wsp:rsid wsp:val=&quot;00264519&quot;/&gt;&lt;wsp:rsid wsp:val=&quot;0026479F&quot;/&gt;&lt;wsp:rsid wsp:val=&quot;00264BBD&quot;/&gt;&lt;wsp:rsid wsp:val=&quot;00264CFA&quot;/&gt;&lt;wsp:rsid wsp:val=&quot;0026519A&quot;/&gt;&lt;wsp:rsid wsp:val=&quot;00265236&quot;/&gt;&lt;wsp:rsid wsp:val=&quot;002653F7&quot;/&gt;&lt;wsp:rsid wsp:val=&quot;0026572E&quot;/&gt;&lt;wsp:rsid wsp:val=&quot;00265767&quot;/&gt;&lt;wsp:rsid wsp:val=&quot;00265C68&quot;/&gt;&lt;wsp:rsid wsp:val=&quot;00265F3A&quot;/&gt;&lt;wsp:rsid wsp:val=&quot;002666DE&quot;/&gt;&lt;wsp:rsid wsp:val=&quot;0026678E&quot;/&gt;&lt;wsp:rsid wsp:val=&quot;002668EB&quot;/&gt;&lt;wsp:rsid wsp:val=&quot;002669FC&quot;/&gt;&lt;wsp:rsid wsp:val=&quot;00266E69&quot;/&gt;&lt;wsp:rsid wsp:val=&quot;002672ED&quot;/&gt;&lt;wsp:rsid wsp:val=&quot;00267517&quot;/&gt;&lt;wsp:rsid wsp:val=&quot;002676BE&quot;/&gt;&lt;wsp:rsid wsp:val=&quot;00267786&quot;/&gt;&lt;wsp:rsid wsp:val=&quot;0026788C&quot;/&gt;&lt;wsp:rsid wsp:val=&quot;00267896&quot;/&gt;&lt;wsp:rsid wsp:val=&quot;00267A1F&quot;/&gt;&lt;wsp:rsid wsp:val=&quot;00267C43&quot;/&gt;&lt;wsp:rsid wsp:val=&quot;00267DD6&quot;/&gt;&lt;wsp:rsid wsp:val=&quot;00267F17&quot;/&gt;&lt;wsp:rsid wsp:val=&quot;002703EA&quot;/&gt;&lt;wsp:rsid wsp:val=&quot;002704D0&quot;/&gt;&lt;wsp:rsid wsp:val=&quot;002708D8&quot;/&gt;&lt;wsp:rsid wsp:val=&quot;00270A80&quot;/&gt;&lt;wsp:rsid wsp:val=&quot;00270AC2&quot;/&gt;&lt;wsp:rsid wsp:val=&quot;00270D2D&quot;/&gt;&lt;wsp:rsid wsp:val=&quot;0027102D&quot;/&gt;&lt;wsp:rsid wsp:val=&quot;00271050&quot;/&gt;&lt;wsp:rsid wsp:val=&quot;002712D1&quot;/&gt;&lt;wsp:rsid wsp:val=&quot;00271559&quot;/&gt;&lt;wsp:rsid wsp:val=&quot;00271A40&quot;/&gt;&lt;wsp:rsid wsp:val=&quot;00271AD6&quot;/&gt;&lt;wsp:rsid wsp:val=&quot;00271E83&quot;/&gt;&lt;wsp:rsid wsp:val=&quot;002720B1&quot;/&gt;&lt;wsp:rsid wsp:val=&quot;00272248&quot;/&gt;&lt;wsp:rsid wsp:val=&quot;0027259D&quot;/&gt;&lt;wsp:rsid wsp:val=&quot;00272EAD&quot;/&gt;&lt;wsp:rsid wsp:val=&quot;00272F0C&quot;/&gt;&lt;wsp:rsid wsp:val=&quot;00272FFD&quot;/&gt;&lt;wsp:rsid wsp:val=&quot;002734B5&quot;/&gt;&lt;wsp:rsid wsp:val=&quot;002734B7&quot;/&gt;&lt;wsp:rsid wsp:val=&quot;00273678&quot;/&gt;&lt;wsp:rsid wsp:val=&quot;002737E8&quot;/&gt;&lt;wsp:rsid wsp:val=&quot;00273D7C&quot;/&gt;&lt;wsp:rsid wsp:val=&quot;00273E1B&quot;/&gt;&lt;wsp:rsid wsp:val=&quot;00274152&quot;/&gt;&lt;wsp:rsid wsp:val=&quot;00274220&quot;/&gt;&lt;wsp:rsid wsp:val=&quot;002743FD&quot;/&gt;&lt;wsp:rsid wsp:val=&quot;0027444D&quot;/&gt;&lt;wsp:rsid wsp:val=&quot;0027454A&quot;/&gt;&lt;wsp:rsid wsp:val=&quot;002746B6&quot;/&gt;&lt;wsp:rsid wsp:val=&quot;002747C8&quot;/&gt;&lt;wsp:rsid wsp:val=&quot;00274856&quot;/&gt;&lt;wsp:rsid wsp:val=&quot;00274CFB&quot;/&gt;&lt;wsp:rsid wsp:val=&quot;00274DDB&quot;/&gt;&lt;wsp:rsid wsp:val=&quot;00274E8A&quot;/&gt;&lt;wsp:rsid wsp:val=&quot;00274EF4&quot;/&gt;&lt;wsp:rsid wsp:val=&quot;00275151&quot;/&gt;&lt;wsp:rsid wsp:val=&quot;002751F7&quot;/&gt;&lt;wsp:rsid wsp:val=&quot;002755E3&quot;/&gt;&lt;wsp:rsid wsp:val=&quot;0027588A&quot;/&gt;&lt;wsp:rsid wsp:val=&quot;00275D67&quot;/&gt;&lt;wsp:rsid wsp:val=&quot;00276019&quot;/&gt;&lt;wsp:rsid wsp:val=&quot;002763DA&quot;/&gt;&lt;wsp:rsid wsp:val=&quot;002766E0&quot;/&gt;&lt;wsp:rsid wsp:val=&quot;002769FD&quot;/&gt;&lt;wsp:rsid wsp:val=&quot;00276DDB&quot;/&gt;&lt;wsp:rsid wsp:val=&quot;00276E5B&quot;/&gt;&lt;wsp:rsid wsp:val=&quot;0027700A&quot;/&gt;&lt;wsp:rsid wsp:val=&quot;00277571&quot;/&gt;&lt;wsp:rsid wsp:val=&quot;00277932&quot;/&gt;&lt;wsp:rsid wsp:val=&quot;00277E1F&quot;/&gt;&lt;wsp:rsid wsp:val=&quot;00277F07&quot;/&gt;&lt;wsp:rsid wsp:val=&quot;00277F0F&quot;/&gt;&lt;wsp:rsid wsp:val=&quot;0028013A&quot;/&gt;&lt;wsp:rsid wsp:val=&quot;0028031A&quot;/&gt;&lt;wsp:rsid wsp:val=&quot;00280384&quot;/&gt;&lt;wsp:rsid wsp:val=&quot;00280620&quot;/&gt;&lt;wsp:rsid wsp:val=&quot;00280767&quot;/&gt;&lt;wsp:rsid wsp:val=&quot;0028089D&quot;/&gt;&lt;wsp:rsid wsp:val=&quot;00281169&quot;/&gt;&lt;wsp:rsid wsp:val=&quot;0028118B&quot;/&gt;&lt;wsp:rsid wsp:val=&quot;0028154C&quot;/&gt;&lt;wsp:rsid wsp:val=&quot;002817F9&quot;/&gt;&lt;wsp:rsid wsp:val=&quot;002818A5&quot;/&gt;&lt;wsp:rsid wsp:val=&quot;002819AA&quot;/&gt;&lt;wsp:rsid wsp:val=&quot;00281BC8&quot;/&gt;&lt;wsp:rsid wsp:val=&quot;00281BD0&quot;/&gt;&lt;wsp:rsid wsp:val=&quot;00281BDA&quot;/&gt;&lt;wsp:rsid wsp:val=&quot;00281E7A&quot;/&gt;&lt;wsp:rsid wsp:val=&quot;00281F42&quot;/&gt;&lt;wsp:rsid wsp:val=&quot;0028243C&quot;/&gt;&lt;wsp:rsid wsp:val=&quot;0028257F&quot;/&gt;&lt;wsp:rsid wsp:val=&quot;0028259C&quot;/&gt;&lt;wsp:rsid wsp:val=&quot;002826CE&quot;/&gt;&lt;wsp:rsid wsp:val=&quot;0028276F&quot;/&gt;&lt;wsp:rsid wsp:val=&quot;00282828&quot;/&gt;&lt;wsp:rsid wsp:val=&quot;00282874&quot;/&gt;&lt;wsp:rsid wsp:val=&quot;002828F2&quot;/&gt;&lt;wsp:rsid wsp:val=&quot;00282B48&quot;/&gt;&lt;wsp:rsid wsp:val=&quot;00282CCC&quot;/&gt;&lt;wsp:rsid wsp:val=&quot;00283676&quot;/&gt;&lt;wsp:rsid wsp:val=&quot;002836C1&quot;/&gt;&lt;wsp:rsid wsp:val=&quot;002836F9&quot;/&gt;&lt;wsp:rsid wsp:val=&quot;002837B5&quot;/&gt;&lt;wsp:rsid wsp:val=&quot;002837BB&quot;/&gt;&lt;wsp:rsid wsp:val=&quot;00283F94&quot;/&gt;&lt;wsp:rsid wsp:val=&quot;0028412E&quot;/&gt;&lt;wsp:rsid wsp:val=&quot;00284285&quot;/&gt;&lt;wsp:rsid wsp:val=&quot;0028476A&quot;/&gt;&lt;wsp:rsid wsp:val=&quot;00284F3A&quot;/&gt;&lt;wsp:rsid wsp:val=&quot;0028501D&quot;/&gt;&lt;wsp:rsid wsp:val=&quot;002852E5&quot;/&gt;&lt;wsp:rsid wsp:val=&quot;00285303&quot;/&gt;&lt;wsp:rsid wsp:val=&quot;00285EB9&quot;/&gt;&lt;wsp:rsid wsp:val=&quot;00286342&quot;/&gt;&lt;wsp:rsid wsp:val=&quot;0028636D&quot;/&gt;&lt;wsp:rsid wsp:val=&quot;0028638A&quot;/&gt;&lt;wsp:rsid wsp:val=&quot;002869AC&quot;/&gt;&lt;wsp:rsid wsp:val=&quot;00286D59&quot;/&gt;&lt;wsp:rsid wsp:val=&quot;00286F41&quot;/&gt;&lt;wsp:rsid wsp:val=&quot;0028701A&quot;/&gt;&lt;wsp:rsid wsp:val=&quot;00287110&quot;/&gt;&lt;wsp:rsid wsp:val=&quot;00287639&quot;/&gt;&lt;wsp:rsid wsp:val=&quot;002879EB&quot;/&gt;&lt;wsp:rsid wsp:val=&quot;00287C57&quot;/&gt;&lt;wsp:rsid wsp:val=&quot;002900AA&quot;/&gt;&lt;wsp:rsid wsp:val=&quot;00290232&quot;/&gt;&lt;wsp:rsid wsp:val=&quot;00290358&quot;/&gt;&lt;wsp:rsid wsp:val=&quot;002903DB&quot;/&gt;&lt;wsp:rsid wsp:val=&quot;0029050C&quot;/&gt;&lt;wsp:rsid wsp:val=&quot;00290DC6&quot;/&gt;&lt;wsp:rsid wsp:val=&quot;00290E3E&quot;/&gt;&lt;wsp:rsid wsp:val=&quot;00290F83&quot;/&gt;&lt;wsp:rsid wsp:val=&quot;00290FA8&quot;/&gt;&lt;wsp:rsid wsp:val=&quot;00291065&quot;/&gt;&lt;wsp:rsid wsp:val=&quot;002913FD&quot;/&gt;&lt;wsp:rsid wsp:val=&quot;00291888&quot;/&gt;&lt;wsp:rsid wsp:val=&quot;00291E49&quot;/&gt;&lt;wsp:rsid wsp:val=&quot;00291F2E&quot;/&gt;&lt;wsp:rsid wsp:val=&quot;00292042&quot;/&gt;&lt;wsp:rsid wsp:val=&quot;0029221D&quot;/&gt;&lt;wsp:rsid wsp:val=&quot;00292403&quot;/&gt;&lt;wsp:rsid wsp:val=&quot;002927CE&quot;/&gt;&lt;wsp:rsid wsp:val=&quot;002927D7&quot;/&gt;&lt;wsp:rsid wsp:val=&quot;00292994&quot;/&gt;&lt;wsp:rsid wsp:val=&quot;00292ADF&quot;/&gt;&lt;wsp:rsid wsp:val=&quot;00292CB2&quot;/&gt;&lt;wsp:rsid wsp:val=&quot;00292D79&quot;/&gt;&lt;wsp:rsid wsp:val=&quot;0029318A&quot;/&gt;&lt;wsp:rsid wsp:val=&quot;00293210&quot;/&gt;&lt;wsp:rsid wsp:val=&quot;00293563&quot;/&gt;&lt;wsp:rsid wsp:val=&quot;00293C02&quot;/&gt;&lt;wsp:rsid wsp:val=&quot;00293DB6&quot;/&gt;&lt;wsp:rsid wsp:val=&quot;00293EA0&quot;/&gt;&lt;wsp:rsid wsp:val=&quot;00294045&quot;/&gt;&lt;wsp:rsid wsp:val=&quot;00294262&quot;/&gt;&lt;wsp:rsid wsp:val=&quot;002942B6&quot;/&gt;&lt;wsp:rsid wsp:val=&quot;002942E8&quot;/&gt;&lt;wsp:rsid wsp:val=&quot;0029475A&quot;/&gt;&lt;wsp:rsid wsp:val=&quot;0029494A&quot;/&gt;&lt;wsp:rsid wsp:val=&quot;00294985&quot;/&gt;&lt;wsp:rsid wsp:val=&quot;00294A7A&quot;/&gt;&lt;wsp:rsid wsp:val=&quot;00294C0A&quot;/&gt;&lt;wsp:rsid wsp:val=&quot;00294D09&quot;/&gt;&lt;wsp:rsid wsp:val=&quot;00295063&quot;/&gt;&lt;wsp:rsid wsp:val=&quot;002950CC&quot;/&gt;&lt;wsp:rsid wsp:val=&quot;0029522B&quot;/&gt;&lt;wsp:rsid wsp:val=&quot;00295699&quot;/&gt;&lt;wsp:rsid wsp:val=&quot;0029585F&quot;/&gt;&lt;wsp:rsid wsp:val=&quot;002959B3&quot;/&gt;&lt;wsp:rsid wsp:val=&quot;00295F8E&quot;/&gt;&lt;wsp:rsid wsp:val=&quot;00296070&quot;/&gt;&lt;wsp:rsid wsp:val=&quot;002962D6&quot;/&gt;&lt;wsp:rsid wsp:val=&quot;002962EE&quot;/&gt;&lt;wsp:rsid wsp:val=&quot;0029638E&quot;/&gt;&lt;wsp:rsid wsp:val=&quot;00296583&quot;/&gt;&lt;wsp:rsid wsp:val=&quot;00296635&quot;/&gt;&lt;wsp:rsid wsp:val=&quot;00296813&quot;/&gt;&lt;wsp:rsid wsp:val=&quot;00296817&quot;/&gt;&lt;wsp:rsid wsp:val=&quot;00296A66&quot;/&gt;&lt;wsp:rsid wsp:val=&quot;00296BA6&quot;/&gt;&lt;wsp:rsid wsp:val=&quot;00296C68&quot;/&gt;&lt;wsp:rsid wsp:val=&quot;00296CCA&quot;/&gt;&lt;wsp:rsid wsp:val=&quot;00296E92&quot;/&gt;&lt;wsp:rsid wsp:val=&quot;00296EEC&quot;/&gt;&lt;wsp:rsid wsp:val=&quot;00296F59&quot;/&gt;&lt;wsp:rsid wsp:val=&quot;002970D7&quot;/&gt;&lt;wsp:rsid wsp:val=&quot;002970E8&quot;/&gt;&lt;wsp:rsid wsp:val=&quot;002977E1&quot;/&gt;&lt;wsp:rsid wsp:val=&quot;00297FAF&quot;/&gt;&lt;wsp:rsid wsp:val=&quot;002A0130&quot;/&gt;&lt;wsp:rsid wsp:val=&quot;002A0192&quot;/&gt;&lt;wsp:rsid wsp:val=&quot;002A01BB&quot;/&gt;&lt;wsp:rsid wsp:val=&quot;002A02CB&quot;/&gt;&lt;wsp:rsid wsp:val=&quot;002A04ED&quot;/&gt;&lt;wsp:rsid wsp:val=&quot;002A09C4&quot;/&gt;&lt;wsp:rsid wsp:val=&quot;002A0B3D&quot;/&gt;&lt;wsp:rsid wsp:val=&quot;002A112E&quot;/&gt;&lt;wsp:rsid wsp:val=&quot;002A145A&quot;/&gt;&lt;wsp:rsid wsp:val=&quot;002A1572&quot;/&gt;&lt;wsp:rsid wsp:val=&quot;002A174E&quot;/&gt;&lt;wsp:rsid wsp:val=&quot;002A1783&quot;/&gt;&lt;wsp:rsid wsp:val=&quot;002A18DF&quot;/&gt;&lt;wsp:rsid wsp:val=&quot;002A1919&quot;/&gt;&lt;wsp:rsid wsp:val=&quot;002A1998&quot;/&gt;&lt;wsp:rsid wsp:val=&quot;002A1C35&quot;/&gt;&lt;wsp:rsid wsp:val=&quot;002A1C72&quot;/&gt;&lt;wsp:rsid wsp:val=&quot;002A1CCF&quot;/&gt;&lt;wsp:rsid wsp:val=&quot;002A2609&quot;/&gt;&lt;wsp:rsid wsp:val=&quot;002A2664&quot;/&gt;&lt;wsp:rsid wsp:val=&quot;002A274F&quot;/&gt;&lt;wsp:rsid wsp:val=&quot;002A2764&quot;/&gt;&lt;wsp:rsid wsp:val=&quot;002A2A19&quot;/&gt;&lt;wsp:rsid wsp:val=&quot;002A2B5A&quot;/&gt;&lt;wsp:rsid wsp:val=&quot;002A2BC9&quot;/&gt;&lt;wsp:rsid wsp:val=&quot;002A2CC5&quot;/&gt;&lt;wsp:rsid wsp:val=&quot;002A2DBD&quot;/&gt;&lt;wsp:rsid wsp:val=&quot;002A2FC2&quot;/&gt;&lt;wsp:rsid wsp:val=&quot;002A2FED&quot;/&gt;&lt;wsp:rsid wsp:val=&quot;002A3143&quot;/&gt;&lt;wsp:rsid wsp:val=&quot;002A3151&quot;/&gt;&lt;wsp:rsid wsp:val=&quot;002A36DA&quot;/&gt;&lt;wsp:rsid wsp:val=&quot;002A3E1E&quot;/&gt;&lt;wsp:rsid wsp:val=&quot;002A4083&quot;/&gt;&lt;wsp:rsid wsp:val=&quot;002A40C4&quot;/&gt;&lt;wsp:rsid wsp:val=&quot;002A4325&quot;/&gt;&lt;wsp:rsid wsp:val=&quot;002A47F5&quot;/&gt;&lt;wsp:rsid wsp:val=&quot;002A4861&quot;/&gt;&lt;wsp:rsid wsp:val=&quot;002A4FE2&quot;/&gt;&lt;wsp:rsid wsp:val=&quot;002A555B&quot;/&gt;&lt;wsp:rsid wsp:val=&quot;002A56FD&quot;/&gt;&lt;wsp:rsid wsp:val=&quot;002A59D6&quot;/&gt;&lt;wsp:rsid wsp:val=&quot;002A5A02&quot;/&gt;&lt;wsp:rsid wsp:val=&quot;002A5C1B&quot;/&gt;&lt;wsp:rsid wsp:val=&quot;002A5CD0&quot;/&gt;&lt;wsp:rsid wsp:val=&quot;002A61DD&quot;/&gt;&lt;wsp:rsid wsp:val=&quot;002A65E7&quot;/&gt;&lt;wsp:rsid wsp:val=&quot;002A6CF8&quot;/&gt;&lt;wsp:rsid wsp:val=&quot;002A6EEE&quot;/&gt;&lt;wsp:rsid wsp:val=&quot;002A72C9&quot;/&gt;&lt;wsp:rsid wsp:val=&quot;002A74E9&quot;/&gt;&lt;wsp:rsid wsp:val=&quot;002A7AFB&quot;/&gt;&lt;wsp:rsid wsp:val=&quot;002A7B62&quot;/&gt;&lt;wsp:rsid wsp:val=&quot;002A7D70&quot;/&gt;&lt;wsp:rsid wsp:val=&quot;002B0209&quot;/&gt;&lt;wsp:rsid wsp:val=&quot;002B02FD&quot;/&gt;&lt;wsp:rsid wsp:val=&quot;002B05EE&quot;/&gt;&lt;wsp:rsid wsp:val=&quot;002B06DC&quot;/&gt;&lt;wsp:rsid wsp:val=&quot;002B0B89&quot;/&gt;&lt;wsp:rsid wsp:val=&quot;002B0D26&quot;/&gt;&lt;wsp:rsid wsp:val=&quot;002B0E50&quot;/&gt;&lt;wsp:rsid wsp:val=&quot;002B103C&quot;/&gt;&lt;wsp:rsid wsp:val=&quot;002B1108&quot;/&gt;&lt;wsp:rsid wsp:val=&quot;002B1377&quot;/&gt;&lt;wsp:rsid wsp:val=&quot;002B173C&quot;/&gt;&lt;wsp:rsid wsp:val=&quot;002B19F4&quot;/&gt;&lt;wsp:rsid wsp:val=&quot;002B1A1A&quot;/&gt;&lt;wsp:rsid wsp:val=&quot;002B1E58&quot;/&gt;&lt;wsp:rsid wsp:val=&quot;002B2007&quot;/&gt;&lt;wsp:rsid wsp:val=&quot;002B208B&quot;/&gt;&lt;wsp:rsid wsp:val=&quot;002B20B2&quot;/&gt;&lt;wsp:rsid wsp:val=&quot;002B2276&quot;/&gt;&lt;wsp:rsid wsp:val=&quot;002B227A&quot;/&gt;&lt;wsp:rsid wsp:val=&quot;002B237E&quot;/&gt;&lt;wsp:rsid wsp:val=&quot;002B2503&quot;/&gt;&lt;wsp:rsid wsp:val=&quot;002B28C1&quot;/&gt;&lt;wsp:rsid wsp:val=&quot;002B2B21&quot;/&gt;&lt;wsp:rsid wsp:val=&quot;002B2C11&quot;/&gt;&lt;wsp:rsid wsp:val=&quot;002B2DEC&quot;/&gt;&lt;wsp:rsid wsp:val=&quot;002B2E5B&quot;/&gt;&lt;wsp:rsid wsp:val=&quot;002B2E74&quot;/&gt;&lt;wsp:rsid wsp:val=&quot;002B2E75&quot;/&gt;&lt;wsp:rsid wsp:val=&quot;002B2E78&quot;/&gt;&lt;wsp:rsid wsp:val=&quot;002B2EAA&quot;/&gt;&lt;wsp:rsid wsp:val=&quot;002B2FE4&quot;/&gt;&lt;wsp:rsid wsp:val=&quot;002B3170&quot;/&gt;&lt;wsp:rsid wsp:val=&quot;002B32FA&quot;/&gt;&lt;wsp:rsid wsp:val=&quot;002B333D&quot;/&gt;&lt;wsp:rsid wsp:val=&quot;002B3381&quot;/&gt;&lt;wsp:rsid wsp:val=&quot;002B3D03&quot;/&gt;&lt;wsp:rsid wsp:val=&quot;002B3EB9&quot;/&gt;&lt;wsp:rsid wsp:val=&quot;002B406A&quot;/&gt;&lt;wsp:rsid wsp:val=&quot;002B4328&quot;/&gt;&lt;wsp:rsid wsp:val=&quot;002B449D&quot;/&gt;&lt;wsp:rsid wsp:val=&quot;002B4530&quot;/&gt;&lt;wsp:rsid wsp:val=&quot;002B475A&quot;/&gt;&lt;wsp:rsid wsp:val=&quot;002B4777&quot;/&gt;&lt;wsp:rsid wsp:val=&quot;002B4A85&quot;/&gt;&lt;wsp:rsid wsp:val=&quot;002B4B03&quot;/&gt;&lt;wsp:rsid wsp:val=&quot;002B4B05&quot;/&gt;&lt;wsp:rsid wsp:val=&quot;002B4B94&quot;/&gt;&lt;wsp:rsid wsp:val=&quot;002B4FAD&quot;/&gt;&lt;wsp:rsid wsp:val=&quot;002B4FB6&quot;/&gt;&lt;wsp:rsid wsp:val=&quot;002B521C&quot;/&gt;&lt;wsp:rsid wsp:val=&quot;002B54DC&quot;/&gt;&lt;wsp:rsid wsp:val=&quot;002B5A54&quot;/&gt;&lt;wsp:rsid wsp:val=&quot;002B5AC6&quot;/&gt;&lt;wsp:rsid wsp:val=&quot;002B5D1F&quot;/&gt;&lt;wsp:rsid wsp:val=&quot;002B618B&quot;/&gt;&lt;wsp:rsid wsp:val=&quot;002B64E0&quot;/&gt;&lt;wsp:rsid wsp:val=&quot;002B69B8&quot;/&gt;&lt;wsp:rsid wsp:val=&quot;002B6ABF&quot;/&gt;&lt;wsp:rsid wsp:val=&quot;002B6B97&quot;/&gt;&lt;wsp:rsid wsp:val=&quot;002B71E3&quot;/&gt;&lt;wsp:rsid wsp:val=&quot;002B72FB&quot;/&gt;&lt;wsp:rsid wsp:val=&quot;002B7391&quot;/&gt;&lt;wsp:rsid wsp:val=&quot;002B747B&quot;/&gt;&lt;wsp:rsid wsp:val=&quot;002B7755&quot;/&gt;&lt;wsp:rsid wsp:val=&quot;002B7930&quot;/&gt;&lt;wsp:rsid wsp:val=&quot;002B798D&quot;/&gt;&lt;wsp:rsid wsp:val=&quot;002B79A1&quot;/&gt;&lt;wsp:rsid wsp:val=&quot;002B7B2A&quot;/&gt;&lt;wsp:rsid wsp:val=&quot;002B7CA9&quot;/&gt;&lt;wsp:rsid wsp:val=&quot;002B7E33&quot;/&gt;&lt;wsp:rsid wsp:val=&quot;002B7F9A&quot;/&gt;&lt;wsp:rsid wsp:val=&quot;002C0105&quot;/&gt;&lt;wsp:rsid wsp:val=&quot;002C016C&quot;/&gt;&lt;wsp:rsid wsp:val=&quot;002C024A&quot;/&gt;&lt;wsp:rsid wsp:val=&quot;002C09B8&quot;/&gt;&lt;wsp:rsid wsp:val=&quot;002C0D8B&quot;/&gt;&lt;wsp:rsid wsp:val=&quot;002C0FA6&quot;/&gt;&lt;wsp:rsid wsp:val=&quot;002C1085&quot;/&gt;&lt;wsp:rsid wsp:val=&quot;002C11C8&quot;/&gt;&lt;wsp:rsid wsp:val=&quot;002C17E1&quot;/&gt;&lt;wsp:rsid wsp:val=&quot;002C1B93&quot;/&gt;&lt;wsp:rsid wsp:val=&quot;002C1D41&quot;/&gt;&lt;wsp:rsid wsp:val=&quot;002C1EEE&quot;/&gt;&lt;wsp:rsid wsp:val=&quot;002C1F06&quot;/&gt;&lt;wsp:rsid wsp:val=&quot;002C213B&quot;/&gt;&lt;wsp:rsid wsp:val=&quot;002C2149&quot;/&gt;&lt;wsp:rsid wsp:val=&quot;002C21FC&quot;/&gt;&lt;wsp:rsid wsp:val=&quot;002C2273&quot;/&gt;&lt;wsp:rsid wsp:val=&quot;002C227F&quot;/&gt;&lt;wsp:rsid wsp:val=&quot;002C255A&quot;/&gt;&lt;wsp:rsid wsp:val=&quot;002C2607&quot;/&gt;&lt;wsp:rsid wsp:val=&quot;002C2898&quot;/&gt;&lt;wsp:rsid wsp:val=&quot;002C2AF7&quot;/&gt;&lt;wsp:rsid wsp:val=&quot;002C2D14&quot;/&gt;&lt;wsp:rsid wsp:val=&quot;002C2E00&quot;/&gt;&lt;wsp:rsid wsp:val=&quot;002C2E6C&quot;/&gt;&lt;wsp:rsid wsp:val=&quot;002C3192&quot;/&gt;&lt;wsp:rsid wsp:val=&quot;002C31BC&quot;/&gt;&lt;wsp:rsid wsp:val=&quot;002C361D&quot;/&gt;&lt;wsp:rsid wsp:val=&quot;002C36A7&quot;/&gt;&lt;wsp:rsid wsp:val=&quot;002C3701&quot;/&gt;&lt;wsp:rsid wsp:val=&quot;002C3905&quot;/&gt;&lt;wsp:rsid wsp:val=&quot;002C3B4A&quot;/&gt;&lt;wsp:rsid wsp:val=&quot;002C3CF1&quot;/&gt;&lt;wsp:rsid wsp:val=&quot;002C3D0A&quot;/&gt;&lt;wsp:rsid wsp:val=&quot;002C3DEB&quot;/&gt;&lt;wsp:rsid wsp:val=&quot;002C4173&quot;/&gt;&lt;wsp:rsid wsp:val=&quot;002C4545&quot;/&gt;&lt;wsp:rsid wsp:val=&quot;002C46D0&quot;/&gt;&lt;wsp:rsid wsp:val=&quot;002C4ADD&quot;/&gt;&lt;wsp:rsid wsp:val=&quot;002C4D25&quot;/&gt;&lt;wsp:rsid wsp:val=&quot;002C4F55&quot;/&gt;&lt;wsp:rsid wsp:val=&quot;002C4FA4&quot;/&gt;&lt;wsp:rsid wsp:val=&quot;002C515B&quot;/&gt;&lt;wsp:rsid wsp:val=&quot;002C51C4&quot;/&gt;&lt;wsp:rsid wsp:val=&quot;002C5377&quot;/&gt;&lt;wsp:rsid wsp:val=&quot;002C5397&quot;/&gt;&lt;wsp:rsid wsp:val=&quot;002C5408&quot;/&gt;&lt;wsp:rsid wsp:val=&quot;002C55E0&quot;/&gt;&lt;wsp:rsid wsp:val=&quot;002C58F1&quot;/&gt;&lt;wsp:rsid wsp:val=&quot;002C5A3D&quot;/&gt;&lt;wsp:rsid wsp:val=&quot;002C5D1C&quot;/&gt;&lt;wsp:rsid wsp:val=&quot;002C5EE9&quot;/&gt;&lt;wsp:rsid wsp:val=&quot;002C60BF&quot;/&gt;&lt;wsp:rsid wsp:val=&quot;002C6727&quot;/&gt;&lt;wsp:rsid wsp:val=&quot;002C6747&quot;/&gt;&lt;wsp:rsid wsp:val=&quot;002C79F0&quot;/&gt;&lt;wsp:rsid wsp:val=&quot;002C7A44&quot;/&gt;&lt;wsp:rsid wsp:val=&quot;002C7BF1&quot;/&gt;&lt;wsp:rsid wsp:val=&quot;002C7EA9&quot;/&gt;&lt;wsp:rsid wsp:val=&quot;002C7F35&quot;/&gt;&lt;wsp:rsid wsp:val=&quot;002D0191&quot;/&gt;&lt;wsp:rsid wsp:val=&quot;002D040D&quot;/&gt;&lt;wsp:rsid wsp:val=&quot;002D0778&quot;/&gt;&lt;wsp:rsid wsp:val=&quot;002D087B&quot;/&gt;&lt;wsp:rsid wsp:val=&quot;002D0DC7&quot;/&gt;&lt;wsp:rsid wsp:val=&quot;002D0DE7&quot;/&gt;&lt;wsp:rsid wsp:val=&quot;002D0FE0&quot;/&gt;&lt;wsp:rsid wsp:val=&quot;002D1413&quot;/&gt;&lt;wsp:rsid wsp:val=&quot;002D1466&quot;/&gt;&lt;wsp:rsid wsp:val=&quot;002D18CE&quot;/&gt;&lt;wsp:rsid wsp:val=&quot;002D18D0&quot;/&gt;&lt;wsp:rsid wsp:val=&quot;002D18E2&quot;/&gt;&lt;wsp:rsid wsp:val=&quot;002D1E6F&quot;/&gt;&lt;wsp:rsid wsp:val=&quot;002D1EB4&quot;/&gt;&lt;wsp:rsid wsp:val=&quot;002D200F&quot;/&gt;&lt;wsp:rsid wsp:val=&quot;002D205A&quot;/&gt;&lt;wsp:rsid wsp:val=&quot;002D20EE&quot;/&gt;&lt;wsp:rsid wsp:val=&quot;002D216F&quot;/&gt;&lt;wsp:rsid wsp:val=&quot;002D244D&quot;/&gt;&lt;wsp:rsid wsp:val=&quot;002D24F3&quot;/&gt;&lt;wsp:rsid wsp:val=&quot;002D25C6&quot;/&gt;&lt;wsp:rsid wsp:val=&quot;002D2F4F&quot;/&gt;&lt;wsp:rsid wsp:val=&quot;002D3167&quot;/&gt;&lt;wsp:rsid wsp:val=&quot;002D36E0&quot;/&gt;&lt;wsp:rsid wsp:val=&quot;002D3A00&quot;/&gt;&lt;wsp:rsid wsp:val=&quot;002D3B05&quot;/&gt;&lt;wsp:rsid wsp:val=&quot;002D3BB1&quot;/&gt;&lt;wsp:rsid wsp:val=&quot;002D3BBB&quot;/&gt;&lt;wsp:rsid wsp:val=&quot;002D3C98&quot;/&gt;&lt;wsp:rsid wsp:val=&quot;002D3FB5&quot;/&gt;&lt;wsp:rsid wsp:val=&quot;002D407A&quot;/&gt;&lt;wsp:rsid wsp:val=&quot;002D4514&quot;/&gt;&lt;wsp:rsid wsp:val=&quot;002D45AA&quot;/&gt;&lt;wsp:rsid wsp:val=&quot;002D48FE&quot;/&gt;&lt;wsp:rsid wsp:val=&quot;002D49EE&quot;/&gt;&lt;wsp:rsid wsp:val=&quot;002D4A72&quot;/&gt;&lt;wsp:rsid wsp:val=&quot;002D4CAF&quot;/&gt;&lt;wsp:rsid wsp:val=&quot;002D4CC8&quot;/&gt;&lt;wsp:rsid wsp:val=&quot;002D4D5F&quot;/&gt;&lt;wsp:rsid wsp:val=&quot;002D4DB0&quot;/&gt;&lt;wsp:rsid wsp:val=&quot;002D5087&quot;/&gt;&lt;wsp:rsid wsp:val=&quot;002D513B&quot;/&gt;&lt;wsp:rsid wsp:val=&quot;002D51DC&quot;/&gt;&lt;wsp:rsid wsp:val=&quot;002D54AC&quot;/&gt;&lt;wsp:rsid wsp:val=&quot;002D55E6&quot;/&gt;&lt;wsp:rsid wsp:val=&quot;002D583C&quot;/&gt;&lt;wsp:rsid wsp:val=&quot;002D5C4B&quot;/&gt;&lt;wsp:rsid wsp:val=&quot;002D5CE3&quot;/&gt;&lt;wsp:rsid wsp:val=&quot;002D64E0&quot;/&gt;&lt;wsp:rsid wsp:val=&quot;002D6603&quot;/&gt;&lt;wsp:rsid wsp:val=&quot;002D660B&quot;/&gt;&lt;wsp:rsid wsp:val=&quot;002D6760&quot;/&gt;&lt;wsp:rsid wsp:val=&quot;002D6860&quot;/&gt;&lt;wsp:rsid wsp:val=&quot;002D6AE6&quot;/&gt;&lt;wsp:rsid wsp:val=&quot;002D6B80&quot;/&gt;&lt;wsp:rsid wsp:val=&quot;002D6C6C&quot;/&gt;&lt;wsp:rsid wsp:val=&quot;002D70A0&quot;/&gt;&lt;wsp:rsid wsp:val=&quot;002D73CB&quot;/&gt;&lt;wsp:rsid wsp:val=&quot;002D7AF5&quot;/&gt;&lt;wsp:rsid wsp:val=&quot;002D7B5E&quot;/&gt;&lt;wsp:rsid wsp:val=&quot;002E0070&quot;/&gt;&lt;wsp:rsid wsp:val=&quot;002E02F8&quot;/&gt;&lt;wsp:rsid wsp:val=&quot;002E0B01&quot;/&gt;&lt;wsp:rsid wsp:val=&quot;002E0B18&quot;/&gt;&lt;wsp:rsid wsp:val=&quot;002E16AB&quot;/&gt;&lt;wsp:rsid wsp:val=&quot;002E1754&quot;/&gt;&lt;wsp:rsid wsp:val=&quot;002E18E8&quot;/&gt;&lt;wsp:rsid wsp:val=&quot;002E1A90&quot;/&gt;&lt;wsp:rsid wsp:val=&quot;002E1DDF&quot;/&gt;&lt;wsp:rsid wsp:val=&quot;002E214F&quot;/&gt;&lt;wsp:rsid wsp:val=&quot;002E22C9&quot;/&gt;&lt;wsp:rsid wsp:val=&quot;002E2403&quot;/&gt;&lt;wsp:rsid wsp:val=&quot;002E2AC3&quot;/&gt;&lt;wsp:rsid wsp:val=&quot;002E2B34&quot;/&gt;&lt;wsp:rsid wsp:val=&quot;002E2C63&quot;/&gt;&lt;wsp:rsid wsp:val=&quot;002E2E19&quot;/&gt;&lt;wsp:rsid wsp:val=&quot;002E2F74&quot;/&gt;&lt;wsp:rsid wsp:val=&quot;002E30A6&quot;/&gt;&lt;wsp:rsid wsp:val=&quot;002E3221&quot;/&gt;&lt;wsp:rsid wsp:val=&quot;002E343B&quot;/&gt;&lt;wsp:rsid wsp:val=&quot;002E36D7&quot;/&gt;&lt;wsp:rsid wsp:val=&quot;002E37F3&quot;/&gt;&lt;wsp:rsid wsp:val=&quot;002E3AA7&quot;/&gt;&lt;wsp:rsid wsp:val=&quot;002E3BAA&quot;/&gt;&lt;wsp:rsid wsp:val=&quot;002E3E36&quot;/&gt;&lt;wsp:rsid wsp:val=&quot;002E449C&quot;/&gt;&lt;wsp:rsid wsp:val=&quot;002E44A3&quot;/&gt;&lt;wsp:rsid wsp:val=&quot;002E4933&quot;/&gt;&lt;wsp:rsid wsp:val=&quot;002E4A67&quot;/&gt;&lt;wsp:rsid wsp:val=&quot;002E54BE&quot;/&gt;&lt;wsp:rsid wsp:val=&quot;002E5920&quot;/&gt;&lt;wsp:rsid wsp:val=&quot;002E5D12&quot;/&gt;&lt;wsp:rsid wsp:val=&quot;002E5D26&quot;/&gt;&lt;wsp:rsid wsp:val=&quot;002E6352&quot;/&gt;&lt;wsp:rsid wsp:val=&quot;002E64E9&quot;/&gt;&lt;wsp:rsid wsp:val=&quot;002E6A75&quot;/&gt;&lt;wsp:rsid wsp:val=&quot;002E6D22&quot;/&gt;&lt;wsp:rsid wsp:val=&quot;002E762D&quot;/&gt;&lt;wsp:rsid wsp:val=&quot;002E780D&quot;/&gt;&lt;wsp:rsid wsp:val=&quot;002E7832&quot;/&gt;&lt;wsp:rsid wsp:val=&quot;002E78AC&quot;/&gt;&lt;wsp:rsid wsp:val=&quot;002E7CC4&quot;/&gt;&lt;wsp:rsid wsp:val=&quot;002F01EC&quot;/&gt;&lt;wsp:rsid wsp:val=&quot;002F027B&quot;/&gt;&lt;wsp:rsid wsp:val=&quot;002F0307&quot;/&gt;&lt;wsp:rsid wsp:val=&quot;002F03F2&quot;/&gt;&lt;wsp:rsid wsp:val=&quot;002F08E5&quot;/&gt;&lt;wsp:rsid wsp:val=&quot;002F0915&quot;/&gt;&lt;wsp:rsid wsp:val=&quot;002F1074&quot;/&gt;&lt;wsp:rsid wsp:val=&quot;002F155C&quot;/&gt;&lt;wsp:rsid wsp:val=&quot;002F1700&quot;/&gt;&lt;wsp:rsid wsp:val=&quot;002F1740&quot;/&gt;&lt;wsp:rsid wsp:val=&quot;002F19C5&quot;/&gt;&lt;wsp:rsid wsp:val=&quot;002F1C6F&quot;/&gt;&lt;wsp:rsid wsp:val=&quot;002F227E&quot;/&gt;&lt;wsp:rsid wsp:val=&quot;002F26D8&quot;/&gt;&lt;wsp:rsid wsp:val=&quot;002F2E26&quot;/&gt;&lt;wsp:rsid wsp:val=&quot;002F32F2&quot;/&gt;&lt;wsp:rsid wsp:val=&quot;002F3592&quot;/&gt;&lt;wsp:rsid wsp:val=&quot;002F3A08&quot;/&gt;&lt;wsp:rsid wsp:val=&quot;002F3ADB&quot;/&gt;&lt;wsp:rsid wsp:val=&quot;002F3AFA&quot;/&gt;&lt;wsp:rsid wsp:val=&quot;002F3C5B&quot;/&gt;&lt;wsp:rsid wsp:val=&quot;002F3DC6&quot;/&gt;&lt;wsp:rsid wsp:val=&quot;002F3EE4&quot;/&gt;&lt;wsp:rsid wsp:val=&quot;002F3EF3&quot;/&gt;&lt;wsp:rsid wsp:val=&quot;002F4120&quot;/&gt;&lt;wsp:rsid wsp:val=&quot;002F434F&quot;/&gt;&lt;wsp:rsid wsp:val=&quot;002F44D7&quot;/&gt;&lt;wsp:rsid wsp:val=&quot;002F45B2&quot;/&gt;&lt;wsp:rsid wsp:val=&quot;002F4A39&quot;/&gt;&lt;wsp:rsid wsp:val=&quot;002F4E8C&quot;/&gt;&lt;wsp:rsid wsp:val=&quot;002F4F54&quot;/&gt;&lt;wsp:rsid wsp:val=&quot;002F5134&quot;/&gt;&lt;wsp:rsid wsp:val=&quot;002F5297&quot;/&gt;&lt;wsp:rsid wsp:val=&quot;002F5351&quot;/&gt;&lt;wsp:rsid wsp:val=&quot;002F54AD&quot;/&gt;&lt;wsp:rsid wsp:val=&quot;002F587A&quot;/&gt;&lt;wsp:rsid wsp:val=&quot;002F589A&quot;/&gt;&lt;wsp:rsid wsp:val=&quot;002F5BB0&quot;/&gt;&lt;wsp:rsid wsp:val=&quot;002F5D35&quot;/&gt;&lt;wsp:rsid wsp:val=&quot;002F5F32&quot;/&gt;&lt;wsp:rsid wsp:val=&quot;002F60B5&quot;/&gt;&lt;wsp:rsid wsp:val=&quot;002F61F4&quot;/&gt;&lt;wsp:rsid wsp:val=&quot;002F62D7&quot;/&gt;&lt;wsp:rsid wsp:val=&quot;002F677A&quot;/&gt;&lt;wsp:rsid wsp:val=&quot;002F686D&quot;/&gt;&lt;wsp:rsid wsp:val=&quot;002F69CC&quot;/&gt;&lt;wsp:rsid wsp:val=&quot;002F6E7F&quot;/&gt;&lt;wsp:rsid wsp:val=&quot;002F71CD&quot;/&gt;&lt;wsp:rsid wsp:val=&quot;002F7201&quot;/&gt;&lt;wsp:rsid wsp:val=&quot;002F720C&quot;/&gt;&lt;wsp:rsid wsp:val=&quot;002F7403&quot;/&gt;&lt;wsp:rsid wsp:val=&quot;002F7600&quot;/&gt;&lt;wsp:rsid wsp:val=&quot;002F7674&quot;/&gt;&lt;wsp:rsid wsp:val=&quot;002F7697&quot;/&gt;&lt;wsp:rsid wsp:val=&quot;002F783C&quot;/&gt;&lt;wsp:rsid wsp:val=&quot;002F7854&quot;/&gt;&lt;wsp:rsid wsp:val=&quot;002F7B03&quot;/&gt;&lt;wsp:rsid wsp:val=&quot;002F7FFE&quot;/&gt;&lt;wsp:rsid wsp:val=&quot;00300246&quot;/&gt;&lt;wsp:rsid wsp:val=&quot;0030056B&quot;/&gt;&lt;wsp:rsid wsp:val=&quot;0030056D&quot;/&gt;&lt;wsp:rsid wsp:val=&quot;00300811&quot;/&gt;&lt;wsp:rsid wsp:val=&quot;003009C6&quot;/&gt;&lt;wsp:rsid wsp:val=&quot;00300A21&quot;/&gt;&lt;wsp:rsid wsp:val=&quot;00300F6A&quot;/&gt;&lt;wsp:rsid wsp:val=&quot;00301279&quot;/&gt;&lt;wsp:rsid wsp:val=&quot;00301296&quot;/&gt;&lt;wsp:rsid wsp:val=&quot;003012C7&quot;/&gt;&lt;wsp:rsid wsp:val=&quot;0030134D&quot;/&gt;&lt;wsp:rsid wsp:val=&quot;00301352&quot;/&gt;&lt;wsp:rsid wsp:val=&quot;0030138C&quot;/&gt;&lt;wsp:rsid wsp:val=&quot;0030181C&quot;/&gt;&lt;wsp:rsid wsp:val=&quot;003018DE&quot;/&gt;&lt;wsp:rsid wsp:val=&quot;00301D13&quot;/&gt;&lt;wsp:rsid wsp:val=&quot;00301F4F&quot;/&gt;&lt;wsp:rsid wsp:val=&quot;00301FBB&quot;/&gt;&lt;wsp:rsid wsp:val=&quot;0030211F&quot;/&gt;&lt;wsp:rsid wsp:val=&quot;00302999&quot;/&gt;&lt;wsp:rsid wsp:val=&quot;00302BA7&quot;/&gt;&lt;wsp:rsid wsp:val=&quot;00302CC4&quot;/&gt;&lt;wsp:rsid wsp:val=&quot;00302FE7&quot;/&gt;&lt;wsp:rsid wsp:val=&quot;003032A8&quot;/&gt;&lt;wsp:rsid wsp:val=&quot;003036D9&quot;/&gt;&lt;wsp:rsid wsp:val=&quot;00303760&quot;/&gt;&lt;wsp:rsid wsp:val=&quot;00303BFF&quot;/&gt;&lt;wsp:rsid wsp:val=&quot;00303D2A&quot;/&gt;&lt;wsp:rsid wsp:val=&quot;00303D66&quot;/&gt;&lt;wsp:rsid wsp:val=&quot;00303E2C&quot;/&gt;&lt;wsp:rsid wsp:val=&quot;003040AE&quot;/&gt;&lt;wsp:rsid wsp:val=&quot;00304205&quot;/&gt;&lt;wsp:rsid wsp:val=&quot;00304509&quot;/&gt;&lt;wsp:rsid wsp:val=&quot;00304870&quot;/&gt;&lt;wsp:rsid wsp:val=&quot;00304B55&quot;/&gt;&lt;wsp:rsid wsp:val=&quot;00305006&quot;/&gt;&lt;wsp:rsid wsp:val=&quot;003050CC&quot;/&gt;&lt;wsp:rsid wsp:val=&quot;00305511&quot;/&gt;&lt;wsp:rsid wsp:val=&quot;00305566&quot;/&gt;&lt;wsp:rsid wsp:val=&quot;00305710&quot;/&gt;&lt;wsp:rsid wsp:val=&quot;0030588A&quot;/&gt;&lt;wsp:rsid wsp:val=&quot;00305B5D&quot;/&gt;&lt;wsp:rsid wsp:val=&quot;00305BE3&quot;/&gt;&lt;wsp:rsid wsp:val=&quot;00305CDF&quot;/&gt;&lt;wsp:rsid wsp:val=&quot;003060FB&quot;/&gt;&lt;wsp:rsid wsp:val=&quot;00306339&quot;/&gt;&lt;wsp:rsid wsp:val=&quot;00306489&quot;/&gt;&lt;wsp:rsid wsp:val=&quot;00306538&quot;/&gt;&lt;wsp:rsid wsp:val=&quot;00306554&quot;/&gt;&lt;wsp:rsid wsp:val=&quot;00306663&quot;/&gt;&lt;wsp:rsid wsp:val=&quot;0030671C&quot;/&gt;&lt;wsp:rsid wsp:val=&quot;00306ABE&quot;/&gt;&lt;wsp:rsid wsp:val=&quot;00306BD4&quot;/&gt;&lt;wsp:rsid wsp:val=&quot;00306C5A&quot;/&gt;&lt;wsp:rsid wsp:val=&quot;00306CCB&quot;/&gt;&lt;wsp:rsid wsp:val=&quot;00307159&quot;/&gt;&lt;wsp:rsid wsp:val=&quot;0030715E&quot;/&gt;&lt;wsp:rsid wsp:val=&quot;00307622&quot;/&gt;&lt;wsp:rsid wsp:val=&quot;00307AC0&quot;/&gt;&lt;wsp:rsid wsp:val=&quot;00310175&quot;/&gt;&lt;wsp:rsid wsp:val=&quot;00310298&quot;/&gt;&lt;wsp:rsid wsp:val=&quot;003102DE&quot;/&gt;&lt;wsp:rsid wsp:val=&quot;003105D5&quot;/&gt;&lt;wsp:rsid wsp:val=&quot;003105FE&quot;/&gt;&lt;wsp:rsid wsp:val=&quot;00310819&quot;/&gt;&lt;wsp:rsid wsp:val=&quot;00310931&quot;/&gt;&lt;wsp:rsid wsp:val=&quot;00310A6F&quot;/&gt;&lt;wsp:rsid wsp:val=&quot;00310AF5&quot;/&gt;&lt;wsp:rsid wsp:val=&quot;00310D74&quot;/&gt;&lt;wsp:rsid wsp:val=&quot;0031101F&quot;/&gt;&lt;wsp:rsid wsp:val=&quot;00311396&quot;/&gt;&lt;wsp:rsid wsp:val=&quot;0031164E&quot;/&gt;&lt;wsp:rsid wsp:val=&quot;003116EF&quot;/&gt;&lt;wsp:rsid wsp:val=&quot;003117AE&quot;/&gt;&lt;wsp:rsid wsp:val=&quot;00311832&quot;/&gt;&lt;wsp:rsid wsp:val=&quot;00312092&quot;/&gt;&lt;wsp:rsid wsp:val=&quot;00312414&quot;/&gt;&lt;wsp:rsid wsp:val=&quot;003124FA&quot;/&gt;&lt;wsp:rsid wsp:val=&quot;0031258C&quot;/&gt;&lt;wsp:rsid wsp:val=&quot;00312755&quot;/&gt;&lt;wsp:rsid wsp:val=&quot;00312756&quot;/&gt;&lt;wsp:rsid wsp:val=&quot;003127C9&quot;/&gt;&lt;wsp:rsid wsp:val=&quot;00312FDB&quot;/&gt;&lt;wsp:rsid wsp:val=&quot;003130AC&quot;/&gt;&lt;wsp:rsid wsp:val=&quot;0031337D&quot;/&gt;&lt;wsp:rsid wsp:val=&quot;00313870&quot;/&gt;&lt;wsp:rsid wsp:val=&quot;003138C8&quot;/&gt;&lt;wsp:rsid wsp:val=&quot;00313BE0&quot;/&gt;&lt;wsp:rsid wsp:val=&quot;00313DFA&quot;/&gt;&lt;wsp:rsid wsp:val=&quot;00313E34&quot;/&gt;&lt;wsp:rsid wsp:val=&quot;00313FCA&quot;/&gt;&lt;wsp:rsid wsp:val=&quot;00314129&quot;/&gt;&lt;wsp:rsid wsp:val=&quot;00314656&quot;/&gt;&lt;wsp:rsid wsp:val=&quot;003146F2&quot;/&gt;&lt;wsp:rsid wsp:val=&quot;00314725&quot;/&gt;&lt;wsp:rsid wsp:val=&quot;003147F4&quot;/&gt;&lt;wsp:rsid wsp:val=&quot;003149A9&quot;/&gt;&lt;wsp:rsid wsp:val=&quot;00314B2B&quot;/&gt;&lt;wsp:rsid wsp:val=&quot;00314C5A&quot;/&gt;&lt;wsp:rsid wsp:val=&quot;00314CAA&quot;/&gt;&lt;wsp:rsid wsp:val=&quot;00314D84&quot;/&gt;&lt;wsp:rsid wsp:val=&quot;00314DCA&quot;/&gt;&lt;wsp:rsid wsp:val=&quot;003150BF&quot;/&gt;&lt;wsp:rsid wsp:val=&quot;003151C6&quot;/&gt;&lt;wsp:rsid wsp:val=&quot;0031569E&quot;/&gt;&lt;wsp:rsid wsp:val=&quot;00315D2C&quot;/&gt;&lt;wsp:rsid wsp:val=&quot;00315D79&quot;/&gt;&lt;wsp:rsid wsp:val=&quot;00315F0E&quot;/&gt;&lt;wsp:rsid wsp:val=&quot;0031621F&quot;/&gt;&lt;wsp:rsid wsp:val=&quot;003162B6&quot;/&gt;&lt;wsp:rsid wsp:val=&quot;00316AB0&quot;/&gt;&lt;wsp:rsid wsp:val=&quot;00316BD1&quot;/&gt;&lt;wsp:rsid wsp:val=&quot;00316EF2&quot;/&gt;&lt;wsp:rsid wsp:val=&quot;00316FE4&quot;/&gt;&lt;wsp:rsid wsp:val=&quot;00317190&quot;/&gt;&lt;wsp:rsid wsp:val=&quot;003173E6&quot;/&gt;&lt;wsp:rsid wsp:val=&quot;00317439&quot;/&gt;&lt;wsp:rsid wsp:val=&quot;003175BE&quot;/&gt;&lt;wsp:rsid wsp:val=&quot;00317AC6&quot;/&gt;&lt;wsp:rsid wsp:val=&quot;00317AF7&quot;/&gt;&lt;wsp:rsid wsp:val=&quot;00317EC7&quot;/&gt;&lt;wsp:rsid wsp:val=&quot;00317FFC&quot;/&gt;&lt;wsp:rsid wsp:val=&quot;00320005&quot;/&gt;&lt;wsp:rsid wsp:val=&quot;0032015C&quot;/&gt;&lt;wsp:rsid wsp:val=&quot;003205B7&quot;/&gt;&lt;wsp:rsid wsp:val=&quot;003206E9&quot;/&gt;&lt;wsp:rsid wsp:val=&quot;0032087E&quot;/&gt;&lt;wsp:rsid wsp:val=&quot;00320EC2&quot;/&gt;&lt;wsp:rsid wsp:val=&quot;00320F4A&quot;/&gt;&lt;wsp:rsid wsp:val=&quot;00320FB3&quot;/&gt;&lt;wsp:rsid wsp:val=&quot;00320FC6&quot;/&gt;&lt;wsp:rsid wsp:val=&quot;0032103B&quot;/&gt;&lt;wsp:rsid wsp:val=&quot;00321104&quot;/&gt;&lt;wsp:rsid wsp:val=&quot;0032119D&quot;/&gt;&lt;wsp:rsid wsp:val=&quot;003214C8&quot;/&gt;&lt;wsp:rsid wsp:val=&quot;003216F6&quot;/&gt;&lt;wsp:rsid wsp:val=&quot;00321755&quot;/&gt;&lt;wsp:rsid wsp:val=&quot;00321AAB&quot;/&gt;&lt;wsp:rsid wsp:val=&quot;00321E62&quot;/&gt;&lt;wsp:rsid wsp:val=&quot;00321EA4&quot;/&gt;&lt;wsp:rsid wsp:val=&quot;00322006&quot;/&gt;&lt;wsp:rsid wsp:val=&quot;003223D7&quot;/&gt;&lt;wsp:rsid wsp:val=&quot;00322501&quot;/&gt;&lt;wsp:rsid wsp:val=&quot;003226EC&quot;/&gt;&lt;wsp:rsid wsp:val=&quot;00322903&quot;/&gt;&lt;wsp:rsid wsp:val=&quot;00323096&quot;/&gt;&lt;wsp:rsid wsp:val=&quot;0032379B&quot;/&gt;&lt;wsp:rsid wsp:val=&quot;0032386D&quot;/&gt;&lt;wsp:rsid wsp:val=&quot;00323A29&quot;/&gt;&lt;wsp:rsid wsp:val=&quot;00323D45&quot;/&gt;&lt;wsp:rsid wsp:val=&quot;00323E6F&quot;/&gt;&lt;wsp:rsid wsp:val=&quot;00324115&quot;/&gt;&lt;wsp:rsid wsp:val=&quot;003241EB&quot;/&gt;&lt;wsp:rsid wsp:val=&quot;0032496E&quot;/&gt;&lt;wsp:rsid wsp:val=&quot;0032498B&quot;/&gt;&lt;wsp:rsid wsp:val=&quot;00324EE3&quot;/&gt;&lt;wsp:rsid wsp:val=&quot;00324F49&quot;/&gt;&lt;wsp:rsid wsp:val=&quot;00324F8A&quot;/&gt;&lt;wsp:rsid wsp:val=&quot;003258C3&quot;/&gt;&lt;wsp:rsid wsp:val=&quot;00325D21&quot;/&gt;&lt;wsp:rsid wsp:val=&quot;00325E06&quot;/&gt;&lt;wsp:rsid wsp:val=&quot;00325E28&quot;/&gt;&lt;wsp:rsid wsp:val=&quot;003263B9&quot;/&gt;&lt;wsp:rsid wsp:val=&quot;0032687D&quot;/&gt;&lt;wsp:rsid wsp:val=&quot;00326907&quot;/&gt;&lt;wsp:rsid wsp:val=&quot;00326ABF&quot;/&gt;&lt;wsp:rsid wsp:val=&quot;00326C84&quot;/&gt;&lt;wsp:rsid wsp:val=&quot;00326E81&quot;/&gt;&lt;wsp:rsid wsp:val=&quot;00327175&quot;/&gt;&lt;wsp:rsid wsp:val=&quot;0032747E&quot;/&gt;&lt;wsp:rsid wsp:val=&quot;00327701&quot;/&gt;&lt;wsp:rsid wsp:val=&quot;00327A22&quot;/&gt;&lt;wsp:rsid wsp:val=&quot;00327B21&quot;/&gt;&lt;wsp:rsid wsp:val=&quot;00327B96&quot;/&gt;&lt;wsp:rsid wsp:val=&quot;00327DC0&quot;/&gt;&lt;wsp:rsid wsp:val=&quot;00327FB4&quot;/&gt;&lt;wsp:rsid wsp:val=&quot;00330059&quot;/&gt;&lt;wsp:rsid wsp:val=&quot;00330211&quot;/&gt;&lt;wsp:rsid wsp:val=&quot;0033077D&quot;/&gt;&lt;wsp:rsid wsp:val=&quot;00330C3C&quot;/&gt;&lt;wsp:rsid wsp:val=&quot;00330F83&quot;/&gt;&lt;wsp:rsid wsp:val=&quot;00331483&quot;/&gt;&lt;wsp:rsid wsp:val=&quot;003314F7&quot;/&gt;&lt;wsp:rsid wsp:val=&quot;003316C2&quot;/&gt;&lt;wsp:rsid wsp:val=&quot;00331712&quot;/&gt;&lt;wsp:rsid wsp:val=&quot;00331897&quot;/&gt;&lt;wsp:rsid wsp:val=&quot;00331EEE&quot;/&gt;&lt;wsp:rsid wsp:val=&quot;0033207F&quot;/&gt;&lt;wsp:rsid wsp:val=&quot;003320C5&quot;/&gt;&lt;wsp:rsid wsp:val=&quot;003320F6&quot;/&gt;&lt;wsp:rsid wsp:val=&quot;00332751&quot;/&gt;&lt;wsp:rsid wsp:val=&quot;00332BD6&quot;/&gt;&lt;wsp:rsid wsp:val=&quot;00332BF1&quot;/&gt;&lt;wsp:rsid wsp:val=&quot;00332D8B&quot;/&gt;&lt;wsp:rsid wsp:val=&quot;00332DAE&quot;/&gt;&lt;wsp:rsid wsp:val=&quot;00332FB1&quot;/&gt;&lt;wsp:rsid wsp:val=&quot;003331C7&quot;/&gt;&lt;wsp:rsid wsp:val=&quot;0033384F&quot;/&gt;&lt;wsp:rsid wsp:val=&quot;00333853&quot;/&gt;&lt;wsp:rsid wsp:val=&quot;00333910&quot;/&gt;&lt;wsp:rsid wsp:val=&quot;00333B04&quot;/&gt;&lt;wsp:rsid wsp:val=&quot;00333CFD&quot;/&gt;&lt;wsp:rsid wsp:val=&quot;00335258&quot;/&gt;&lt;wsp:rsid wsp:val=&quot;003353BE&quot;/&gt;&lt;wsp:rsid wsp:val=&quot;00335529&quot;/&gt;&lt;wsp:rsid wsp:val=&quot;00335A7E&quot;/&gt;&lt;wsp:rsid wsp:val=&quot;00335DA5&quot;/&gt;&lt;wsp:rsid wsp:val=&quot;00336586&quot;/&gt;&lt;wsp:rsid wsp:val=&quot;003367E6&quot;/&gt;&lt;wsp:rsid wsp:val=&quot;0033695A&quot;/&gt;&lt;wsp:rsid wsp:val=&quot;00336D55&quot;/&gt;&lt;wsp:rsid wsp:val=&quot;00336F46&quot;/&gt;&lt;wsp:rsid wsp:val=&quot;00337392&quot;/&gt;&lt;wsp:rsid wsp:val=&quot;003379C2&quot;/&gt;&lt;wsp:rsid wsp:val=&quot;003379F0&quot;/&gt;&lt;wsp:rsid wsp:val=&quot;00337A14&quot;/&gt;&lt;wsp:rsid wsp:val=&quot;00337DCF&quot;/&gt;&lt;wsp:rsid wsp:val=&quot;003400E7&quot;/&gt;&lt;wsp:rsid wsp:val=&quot;003403F9&quot;/&gt;&lt;wsp:rsid wsp:val=&quot;0034084D&quot;/&gt;&lt;wsp:rsid wsp:val=&quot;0034094D&quot;/&gt;&lt;wsp:rsid wsp:val=&quot;00340A56&quot;/&gt;&lt;wsp:rsid wsp:val=&quot;00340B8E&quot;/&gt;&lt;wsp:rsid wsp:val=&quot;00340CCC&quot;/&gt;&lt;wsp:rsid wsp:val=&quot;00340E2E&quot;/&gt;&lt;wsp:rsid wsp:val=&quot;00340E6A&quot;/&gt;&lt;wsp:rsid wsp:val=&quot;00341035&quot;/&gt;&lt;wsp:rsid wsp:val=&quot;0034129D&quot;/&gt;&lt;wsp:rsid wsp:val=&quot;00341342&quot;/&gt;&lt;wsp:rsid wsp:val=&quot;003413CD&quot;/&gt;&lt;wsp:rsid wsp:val=&quot;00341823&quot;/&gt;&lt;wsp:rsid wsp:val=&quot;00341841&quot;/&gt;&lt;wsp:rsid wsp:val=&quot;00341AE2&quot;/&gt;&lt;wsp:rsid wsp:val=&quot;00342358&quot;/&gt;&lt;wsp:rsid wsp:val=&quot;003423CA&quot;/&gt;&lt;wsp:rsid wsp:val=&quot;0034245A&quot;/&gt;&lt;wsp:rsid wsp:val=&quot;00342600&quot;/&gt;&lt;wsp:rsid wsp:val=&quot;00342DE5&quot;/&gt;&lt;wsp:rsid wsp:val=&quot;00342E50&quot;/&gt;&lt;wsp:rsid wsp:val=&quot;00342FB4&quot;/&gt;&lt;wsp:rsid wsp:val=&quot;00342FC8&quot;/&gt;&lt;wsp:rsid wsp:val=&quot;0034358B&quot;/&gt;&lt;wsp:rsid wsp:val=&quot;00343B7C&quot;/&gt;&lt;wsp:rsid wsp:val=&quot;00343D34&quot;/&gt;&lt;wsp:rsid wsp:val=&quot;00343F3D&quot;/&gt;&lt;wsp:rsid wsp:val=&quot;003440D0&quot;/&gt;&lt;wsp:rsid wsp:val=&quot;0034427C&quot;/&gt;&lt;wsp:rsid wsp:val=&quot;00344378&quot;/&gt;&lt;wsp:rsid wsp:val=&quot;0034459C&quot;/&gt;&lt;wsp:rsid wsp:val=&quot;00344738&quot;/&gt;&lt;wsp:rsid wsp:val=&quot;0034475E&quot;/&gt;&lt;wsp:rsid wsp:val=&quot;00344797&quot;/&gt;&lt;wsp:rsid wsp:val=&quot;00344B4B&quot;/&gt;&lt;wsp:rsid wsp:val=&quot;00344F87&quot;/&gt;&lt;wsp:rsid wsp:val=&quot;00344FDF&quot;/&gt;&lt;wsp:rsid wsp:val=&quot;0034529A&quot;/&gt;&lt;wsp:rsid wsp:val=&quot;0034530B&quot;/&gt;&lt;wsp:rsid wsp:val=&quot;00345463&quot;/&gt;&lt;wsp:rsid wsp:val=&quot;0034548D&quot;/&gt;&lt;wsp:rsid wsp:val=&quot;00345D66&quot;/&gt;&lt;wsp:rsid wsp:val=&quot;00346035&quot;/&gt;&lt;wsp:rsid wsp:val=&quot;003461B9&quot;/&gt;&lt;wsp:rsid wsp:val=&quot;003462AF&quot;/&gt;&lt;wsp:rsid wsp:val=&quot;00346503&quot;/&gt;&lt;wsp:rsid wsp:val=&quot;0034683A&quot;/&gt;&lt;wsp:rsid wsp:val=&quot;0034687C&quot;/&gt;&lt;wsp:rsid wsp:val=&quot;00346A15&quot;/&gt;&lt;wsp:rsid wsp:val=&quot;00346F1D&quot;/&gt;&lt;wsp:rsid wsp:val=&quot;00346FC1&quot;/&gt;&lt;wsp:rsid wsp:val=&quot;00347152&quot;/&gt;&lt;wsp:rsid wsp:val=&quot;0034716E&quot;/&gt;&lt;wsp:rsid wsp:val=&quot;003471E1&quot;/&gt;&lt;wsp:rsid wsp:val=&quot;003471F0&quot;/&gt;&lt;wsp:rsid wsp:val=&quot;003473F5&quot;/&gt;&lt;wsp:rsid wsp:val=&quot;003473FA&quot;/&gt;&lt;wsp:rsid wsp:val=&quot;00347440&quot;/&gt;&lt;wsp:rsid wsp:val=&quot;003475A5&quot;/&gt;&lt;wsp:rsid wsp:val=&quot;00347752&quot;/&gt;&lt;wsp:rsid wsp:val=&quot;003477D5&quot;/&gt;&lt;wsp:rsid wsp:val=&quot;0034795D&quot;/&gt;&lt;wsp:rsid wsp:val=&quot;00347AFE&quot;/&gt;&lt;wsp:rsid wsp:val=&quot;00347E10&quot;/&gt;&lt;wsp:rsid wsp:val=&quot;003505A6&quot;/&gt;&lt;wsp:rsid wsp:val=&quot;00350898&quot;/&gt;&lt;wsp:rsid wsp:val=&quot;0035099A&quot;/&gt;&lt;wsp:rsid wsp:val=&quot;00350C17&quot;/&gt;&lt;wsp:rsid wsp:val=&quot;00351265&quot;/&gt;&lt;wsp:rsid wsp:val=&quot;003514FF&quot;/&gt;&lt;wsp:rsid wsp:val=&quot;0035176A&quot;/&gt;&lt;wsp:rsid wsp:val=&quot;00351AD6&quot;/&gt;&lt;wsp:rsid wsp:val=&quot;00351BCF&quot;/&gt;&lt;wsp:rsid wsp:val=&quot;00351CAC&quot;/&gt;&lt;wsp:rsid wsp:val=&quot;00351DD5&quot;/&gt;&lt;wsp:rsid wsp:val=&quot;003521EB&quot;/&gt;&lt;wsp:rsid wsp:val=&quot;00352280&quot;/&gt;&lt;wsp:rsid wsp:val=&quot;0035260A&quot;/&gt;&lt;wsp:rsid wsp:val=&quot;0035268A&quot;/&gt;&lt;wsp:rsid wsp:val=&quot;00352740&quot;/&gt;&lt;wsp:rsid wsp:val=&quot;00352C45&quot;/&gt;&lt;wsp:rsid wsp:val=&quot;00352DD9&quot;/&gt;&lt;wsp:rsid wsp:val=&quot;00352F63&quot;/&gt;&lt;wsp:rsid wsp:val=&quot;003530AC&quot;/&gt;&lt;wsp:rsid wsp:val=&quot;00353233&quot;/&gt;&lt;wsp:rsid wsp:val=&quot;00353A35&quot;/&gt;&lt;wsp:rsid wsp:val=&quot;00353E59&quot;/&gt;&lt;wsp:rsid wsp:val=&quot;00353FD4&quot;/&gt;&lt;wsp:rsid wsp:val=&quot;00354070&quot;/&gt;&lt;wsp:rsid wsp:val=&quot;0035438D&quot;/&gt;&lt;wsp:rsid wsp:val=&quot;00354475&quot;/&gt;&lt;wsp:rsid wsp:val=&quot;003544F5&quot;/&gt;&lt;wsp:rsid wsp:val=&quot;00354727&quot;/&gt;&lt;wsp:rsid wsp:val=&quot;0035487A&quot;/&gt;&lt;wsp:rsid wsp:val=&quot;0035523C&quot;/&gt;&lt;wsp:rsid wsp:val=&quot;003552EE&quot;/&gt;&lt;wsp:rsid wsp:val=&quot;0035551C&quot;/&gt;&lt;wsp:rsid wsp:val=&quot;00355606&quot;/&gt;&lt;wsp:rsid wsp:val=&quot;00355BC9&quot;/&gt;&lt;wsp:rsid wsp:val=&quot;00355E83&quot;/&gt;&lt;wsp:rsid wsp:val=&quot;00355F28&quot;/&gt;&lt;wsp:rsid wsp:val=&quot;00356450&quot;/&gt;&lt;wsp:rsid wsp:val=&quot;00356542&quot;/&gt;&lt;wsp:rsid wsp:val=&quot;00356828&quot;/&gt;&lt;wsp:rsid wsp:val=&quot;00356C64&quot;/&gt;&lt;wsp:rsid wsp:val=&quot;00356E23&quot;/&gt;&lt;wsp:rsid wsp:val=&quot;00356F0A&quot;/&gt;&lt;wsp:rsid wsp:val=&quot;003572D5&quot;/&gt;&lt;wsp:rsid wsp:val=&quot;00357511&quot;/&gt;&lt;wsp:rsid wsp:val=&quot;003576B9&quot;/&gt;&lt;wsp:rsid wsp:val=&quot;00357902&quot;/&gt;&lt;wsp:rsid wsp:val=&quot;00357AA9&quot;/&gt;&lt;wsp:rsid wsp:val=&quot;00357AD1&quot;/&gt;&lt;wsp:rsid wsp:val=&quot;00357B70&quot;/&gt;&lt;wsp:rsid wsp:val=&quot;00357D53&quot;/&gt;&lt;wsp:rsid wsp:val=&quot;00360247&quot;/&gt;&lt;wsp:rsid wsp:val=&quot;0036069C&quot;/&gt;&lt;wsp:rsid wsp:val=&quot;0036072C&quot;/&gt;&lt;wsp:rsid wsp:val=&quot;00360A1D&quot;/&gt;&lt;wsp:rsid wsp:val=&quot;0036104A&quot;/&gt;&lt;wsp:rsid wsp:val=&quot;00361642&quot;/&gt;&lt;wsp:rsid wsp:val=&quot;003618B4&quot;/&gt;&lt;wsp:rsid wsp:val=&quot;00361E32&quot;/&gt;&lt;wsp:rsid wsp:val=&quot;003625BF&quot;/&gt;&lt;wsp:rsid wsp:val=&quot;00362D0E&quot;/&gt;&lt;wsp:rsid wsp:val=&quot;00362D4F&quot;/&gt;&lt;wsp:rsid wsp:val=&quot;0036306C&quot;/&gt;&lt;wsp:rsid wsp:val=&quot;00363446&quot;/&gt;&lt;wsp:rsid wsp:val=&quot;00363481&quot;/&gt;&lt;wsp:rsid wsp:val=&quot;0036357F&quot;/&gt;&lt;wsp:rsid wsp:val=&quot;003635CF&quot;/&gt;&lt;wsp:rsid wsp:val=&quot;003638A3&quot;/&gt;&lt;wsp:rsid wsp:val=&quot;003639B5&quot;/&gt;&lt;wsp:rsid wsp:val=&quot;00363A58&quot;/&gt;&lt;wsp:rsid wsp:val=&quot;00363B60&quot;/&gt;&lt;wsp:rsid wsp:val=&quot;003640F2&quot;/&gt;&lt;wsp:rsid wsp:val=&quot;003641BB&quot;/&gt;&lt;wsp:rsid wsp:val=&quot;00364636&quot;/&gt;&lt;wsp:rsid wsp:val=&quot;00364B65&quot;/&gt;&lt;wsp:rsid wsp:val=&quot;00364C7D&quot;/&gt;&lt;wsp:rsid wsp:val=&quot;00364D4E&quot;/&gt;&lt;wsp:rsid wsp:val=&quot;00364E1B&quot;/&gt;&lt;wsp:rsid wsp:val=&quot;00365108&quot;/&gt;&lt;wsp:rsid wsp:val=&quot;00365338&quot;/&gt;&lt;wsp:rsid wsp:val=&quot;00365591&quot;/&gt;&lt;wsp:rsid wsp:val=&quot;00365650&quot;/&gt;&lt;wsp:rsid wsp:val=&quot;003659C1&quot;/&gt;&lt;wsp:rsid wsp:val=&quot;00365D70&quot;/&gt;&lt;wsp:rsid wsp:val=&quot;00365FCF&quot;/&gt;&lt;wsp:rsid wsp:val=&quot;0036691E&quot;/&gt;&lt;wsp:rsid wsp:val=&quot;003669AF&quot;/&gt;&lt;wsp:rsid wsp:val=&quot;00366BD7&quot;/&gt;&lt;wsp:rsid wsp:val=&quot;00366D90&quot;/&gt;&lt;wsp:rsid wsp:val=&quot;00366F46&quot;/&gt;&lt;wsp:rsid wsp:val=&quot;00366F9A&quot;/&gt;&lt;wsp:rsid wsp:val=&quot;00367CA9&quot;/&gt;&lt;wsp:rsid wsp:val=&quot;00367CB2&quot;/&gt;&lt;wsp:rsid wsp:val=&quot;003700B5&quot;/&gt;&lt;wsp:rsid wsp:val=&quot;0037070E&quot;/&gt;&lt;wsp:rsid wsp:val=&quot;003709B9&quot;/&gt;&lt;wsp:rsid wsp:val=&quot;00370B1C&quot;/&gt;&lt;wsp:rsid wsp:val=&quot;00370EBA&quot;/&gt;&lt;wsp:rsid wsp:val=&quot;00370F0A&quot;/&gt;&lt;wsp:rsid wsp:val=&quot;00370F52&quot;/&gt;&lt;wsp:rsid wsp:val=&quot;003711E2&quot;/&gt;&lt;wsp:rsid wsp:val=&quot;0037138A&quot;/&gt;&lt;wsp:rsid wsp:val=&quot;0037157D&quot;/&gt;&lt;wsp:rsid wsp:val=&quot;0037184B&quot;/&gt;&lt;wsp:rsid wsp:val=&quot;003718C2&quot;/&gt;&lt;wsp:rsid wsp:val=&quot;00371B0D&quot;/&gt;&lt;wsp:rsid wsp:val=&quot;00371CD7&quot;/&gt;&lt;wsp:rsid wsp:val=&quot;00371D87&quot;/&gt;&lt;wsp:rsid wsp:val=&quot;00371D91&quot;/&gt;&lt;wsp:rsid wsp:val=&quot;00371EE7&quot;/&gt;&lt;wsp:rsid wsp:val=&quot;0037213B&quot;/&gt;&lt;wsp:rsid wsp:val=&quot;00372141&quot;/&gt;&lt;wsp:rsid wsp:val=&quot;00372537&quot;/&gt;&lt;wsp:rsid wsp:val=&quot;003725A2&quot;/&gt;&lt;wsp:rsid wsp:val=&quot;00372CD5&quot;/&gt;&lt;wsp:rsid wsp:val=&quot;00372F40&quot;/&gt;&lt;wsp:rsid wsp:val=&quot;00372F72&quot;/&gt;&lt;wsp:rsid wsp:val=&quot;00373439&quot;/&gt;&lt;wsp:rsid wsp:val=&quot;00373581&quot;/&gt;&lt;wsp:rsid wsp:val=&quot;003735D4&quot;/&gt;&lt;wsp:rsid wsp:val=&quot;00373A5B&quot;/&gt;&lt;wsp:rsid wsp:val=&quot;00373D7C&quot;/&gt;&lt;wsp:rsid wsp:val=&quot;00373DC1&quot;/&gt;&lt;wsp:rsid wsp:val=&quot;00373E52&quot;/&gt;&lt;wsp:rsid wsp:val=&quot;00373FDC&quot;/&gt;&lt;wsp:rsid wsp:val=&quot;003744AB&quot;/&gt;&lt;wsp:rsid wsp:val=&quot;0037465E&quot;/&gt;&lt;wsp:rsid wsp:val=&quot;00374713&quot;/&gt;&lt;wsp:rsid wsp:val=&quot;00374798&quot;/&gt;&lt;wsp:rsid wsp:val=&quot;003748CB&quot;/&gt;&lt;wsp:rsid wsp:val=&quot;003749E9&quot;/&gt;&lt;wsp:rsid wsp:val=&quot;00374D69&quot;/&gt;&lt;wsp:rsid wsp:val=&quot;0037505F&quot;/&gt;&lt;wsp:rsid wsp:val=&quot;003755BE&quot;/&gt;&lt;wsp:rsid wsp:val=&quot;003757FA&quot;/&gt;&lt;wsp:rsid wsp:val=&quot;00375885&quot;/&gt;&lt;wsp:rsid wsp:val=&quot;00375B63&quot;/&gt;&lt;wsp:rsid wsp:val=&quot;00375E34&quot;/&gt;&lt;wsp:rsid wsp:val=&quot;003765EE&quot;/&gt;&lt;wsp:rsid wsp:val=&quot;00376834&quot;/&gt;&lt;wsp:rsid wsp:val=&quot;003768DF&quot;/&gt;&lt;wsp:rsid wsp:val=&quot;00376AD3&quot;/&gt;&lt;wsp:rsid wsp:val=&quot;00376DA0&quot;/&gt;&lt;wsp:rsid wsp:val=&quot;00377236&quot;/&gt;&lt;wsp:rsid wsp:val=&quot;0037735B&quot;/&gt;&lt;wsp:rsid wsp:val=&quot;0037785B&quot;/&gt;&lt;wsp:rsid wsp:val=&quot;00377B50&quot;/&gt;&lt;wsp:rsid wsp:val=&quot;003807E0&quot;/&gt;&lt;wsp:rsid wsp:val=&quot;003807EF&quot;/&gt;&lt;wsp:rsid wsp:val=&quot;00380AFC&quot;/&gt;&lt;wsp:rsid wsp:val=&quot;00380F77&quot;/&gt;&lt;wsp:rsid wsp:val=&quot;00381059&quot;/&gt;&lt;wsp:rsid wsp:val=&quot;0038114E&quot;/&gt;&lt;wsp:rsid wsp:val=&quot;00381280&quot;/&gt;&lt;wsp:rsid wsp:val=&quot;00381483&quot;/&gt;&lt;wsp:rsid wsp:val=&quot;003815AE&quot;/&gt;&lt;wsp:rsid wsp:val=&quot;003816C0&quot;/&gt;&lt;wsp:rsid wsp:val=&quot;003818BD&quot;/&gt;&lt;wsp:rsid wsp:val=&quot;00381C15&quot;/&gt;&lt;wsp:rsid wsp:val=&quot;00381D61&quot;/&gt;&lt;wsp:rsid wsp:val=&quot;00381FB2&quot;/&gt;&lt;wsp:rsid wsp:val=&quot;003821D7&quot;/&gt;&lt;wsp:rsid wsp:val=&quot;0038230D&quot;/&gt;&lt;wsp:rsid wsp:val=&quot;00382327&quot;/&gt;&lt;wsp:rsid wsp:val=&quot;003828B5&quot;/&gt;&lt;wsp:rsid wsp:val=&quot;00382D55&quot;/&gt;&lt;wsp:rsid wsp:val=&quot;00382D7C&quot;/&gt;&lt;wsp:rsid wsp:val=&quot;00382DAF&quot;/&gt;&lt;wsp:rsid wsp:val=&quot;00382E1D&quot;/&gt;&lt;wsp:rsid wsp:val=&quot;00383088&quot;/&gt;&lt;wsp:rsid wsp:val=&quot;003830F7&quot;/&gt;&lt;wsp:rsid wsp:val=&quot;00383221&quot;/&gt;&lt;wsp:rsid wsp:val=&quot;003839D8&quot;/&gt;&lt;wsp:rsid wsp:val=&quot;0038409C&quot;/&gt;&lt;wsp:rsid wsp:val=&quot;003842D8&quot;/&gt;&lt;wsp:rsid wsp:val=&quot;003844D3&quot;/&gt;&lt;wsp:rsid wsp:val=&quot;00384538&quot;/&gt;&lt;wsp:rsid wsp:val=&quot;003846CC&quot;/&gt;&lt;wsp:rsid wsp:val=&quot;003848D6&quot;/&gt;&lt;wsp:rsid wsp:val=&quot;00384929&quot;/&gt;&lt;wsp:rsid wsp:val=&quot;00384C50&quot;/&gt;&lt;wsp:rsid wsp:val=&quot;00384FBB&quot;/&gt;&lt;wsp:rsid wsp:val=&quot;00385486&quot;/&gt;&lt;wsp:rsid wsp:val=&quot;0038552A&quot;/&gt;&lt;wsp:rsid wsp:val=&quot;003856B7&quot;/&gt;&lt;wsp:rsid wsp:val=&quot;00385B62&quot;/&gt;&lt;wsp:rsid wsp:val=&quot;00385BC6&quot;/&gt;&lt;wsp:rsid wsp:val=&quot;00385EEA&quot;/&gt;&lt;wsp:rsid wsp:val=&quot;00386476&quot;/&gt;&lt;wsp:rsid wsp:val=&quot;00386877&quot;/&gt;&lt;wsp:rsid wsp:val=&quot;0038690B&quot;/&gt;&lt;wsp:rsid wsp:val=&quot;00386993&quot;/&gt;&lt;wsp:rsid wsp:val=&quot;00386ADB&quot;/&gt;&lt;wsp:rsid wsp:val=&quot;00386EEC&quot;/&gt;&lt;wsp:rsid wsp:val=&quot;0038704C&quot;/&gt;&lt;wsp:rsid wsp:val=&quot;003871DF&quot;/&gt;&lt;wsp:rsid wsp:val=&quot;00387233&quot;/&gt;&lt;wsp:rsid wsp:val=&quot;003877B3&quot;/&gt;&lt;wsp:rsid wsp:val=&quot;00387AE9&quot;/&gt;&lt;wsp:rsid wsp:val=&quot;00387B18&quot;/&gt;&lt;wsp:rsid wsp:val=&quot;00387BB0&quot;/&gt;&lt;wsp:rsid wsp:val=&quot;00387D5D&quot;/&gt;&lt;wsp:rsid wsp:val=&quot;00387E24&quot;/&gt;&lt;wsp:rsid wsp:val=&quot;00387ED8&quot;/&gt;&lt;wsp:rsid wsp:val=&quot;003900B6&quot;/&gt;&lt;wsp:rsid wsp:val=&quot;003906AA&quot;/&gt;&lt;wsp:rsid wsp:val=&quot;00390D78&quot;/&gt;&lt;wsp:rsid wsp:val=&quot;00390E83&quot;/&gt;&lt;wsp:rsid wsp:val=&quot;00391005&quot;/&gt;&lt;wsp:rsid wsp:val=&quot;00391079&quot;/&gt;&lt;wsp:rsid wsp:val=&quot;00391366&quot;/&gt;&lt;wsp:rsid wsp:val=&quot;003919C8&quot;/&gt;&lt;wsp:rsid wsp:val=&quot;00391A56&quot;/&gt;&lt;wsp:rsid wsp:val=&quot;00391FA0&quot;/&gt;&lt;wsp:rsid wsp:val=&quot;00392065&quot;/&gt;&lt;wsp:rsid wsp:val=&quot;003922BC&quot;/&gt;&lt;wsp:rsid wsp:val=&quot;003927F5&quot;/&gt;&lt;wsp:rsid wsp:val=&quot;00392B04&quot;/&gt;&lt;wsp:rsid wsp:val=&quot;00392B8D&quot;/&gt;&lt;wsp:rsid wsp:val=&quot;00392D8B&quot;/&gt;&lt;wsp:rsid wsp:val=&quot;00393053&quot;/&gt;&lt;wsp:rsid wsp:val=&quot;00393215&quot;/&gt;&lt;wsp:rsid wsp:val=&quot;00393646&quot;/&gt;&lt;wsp:rsid wsp:val=&quot;00393664&quot;/&gt;&lt;wsp:rsid wsp:val=&quot;00393946&quot;/&gt;&lt;wsp:rsid wsp:val=&quot;00393E2C&quot;/&gt;&lt;wsp:rsid wsp:val=&quot;00394038&quot;/&gt;&lt;wsp:rsid wsp:val=&quot;003943C2&quot;/&gt;&lt;wsp:rsid wsp:val=&quot;0039498F&quot;/&gt;&lt;wsp:rsid wsp:val=&quot;00394A45&quot;/&gt;&lt;wsp:rsid wsp:val=&quot;00395438&quot;/&gt;&lt;wsp:rsid wsp:val=&quot;0039543D&quot;/&gt;&lt;wsp:rsid wsp:val=&quot;003955E9&quot;/&gt;&lt;wsp:rsid wsp:val=&quot;003959B5&quot;/&gt;&lt;wsp:rsid wsp:val=&quot;00395C84&quot;/&gt;&lt;wsp:rsid wsp:val=&quot;00395EFA&quot;/&gt;&lt;wsp:rsid wsp:val=&quot;00396014&quot;/&gt;&lt;wsp:rsid wsp:val=&quot;00396045&quot;/&gt;&lt;wsp:rsid wsp:val=&quot;003964CE&quot;/&gt;&lt;wsp:rsid wsp:val=&quot;0039669B&quot;/&gt;&lt;wsp:rsid wsp:val=&quot;003966A9&quot;/&gt;&lt;wsp:rsid wsp:val=&quot;0039673A&quot;/&gt;&lt;wsp:rsid wsp:val=&quot;0039694D&quot;/&gt;&lt;wsp:rsid wsp:val=&quot;00396C5E&quot;/&gt;&lt;wsp:rsid wsp:val=&quot;00396F92&quot;/&gt;&lt;wsp:rsid wsp:val=&quot;00397020&quot;/&gt;&lt;wsp:rsid wsp:val=&quot;003970D9&quot;/&gt;&lt;wsp:rsid wsp:val=&quot;0039715A&quot;/&gt;&lt;wsp:rsid wsp:val=&quot;00397266&quot;/&gt;&lt;wsp:rsid wsp:val=&quot;00397474&quot;/&gt;&lt;wsp:rsid wsp:val=&quot;0039750B&quot;/&gt;&lt;wsp:rsid wsp:val=&quot;0039759F&quot;/&gt;&lt;wsp:rsid wsp:val=&quot;00397838&quot;/&gt;&lt;wsp:rsid wsp:val=&quot;00397B50&quot;/&gt;&lt;wsp:rsid wsp:val=&quot;00397B63&quot;/&gt;&lt;wsp:rsid wsp:val=&quot;00397C87&quot;/&gt;&lt;wsp:rsid wsp:val=&quot;00397EA9&quot;/&gt;&lt;wsp:rsid wsp:val=&quot;00397F6A&quot;/&gt;&lt;wsp:rsid wsp:val=&quot;003A0427&quot;/&gt;&lt;wsp:rsid wsp:val=&quot;003A061E&quot;/&gt;&lt;wsp:rsid wsp:val=&quot;003A0C2C&quot;/&gt;&lt;wsp:rsid wsp:val=&quot;003A0DD6&quot;/&gt;&lt;wsp:rsid wsp:val=&quot;003A0DE6&quot;/&gt;&lt;wsp:rsid wsp:val=&quot;003A0FB8&quot;/&gt;&lt;wsp:rsid wsp:val=&quot;003A1573&quot;/&gt;&lt;wsp:rsid wsp:val=&quot;003A1F7B&quot;/&gt;&lt;wsp:rsid wsp:val=&quot;003A21D9&quot;/&gt;&lt;wsp:rsid wsp:val=&quot;003A2742&quot;/&gt;&lt;wsp:rsid wsp:val=&quot;003A2F37&quot;/&gt;&lt;wsp:rsid wsp:val=&quot;003A2F88&quot;/&gt;&lt;wsp:rsid wsp:val=&quot;003A32C2&quot;/&gt;&lt;wsp:rsid wsp:val=&quot;003A336D&quot;/&gt;&lt;wsp:rsid wsp:val=&quot;003A33B4&quot;/&gt;&lt;wsp:rsid wsp:val=&quot;003A352B&quot;/&gt;&lt;wsp:rsid wsp:val=&quot;003A360C&quot;/&gt;&lt;wsp:rsid wsp:val=&quot;003A370F&quot;/&gt;&lt;wsp:rsid wsp:val=&quot;003A37B7&quot;/&gt;&lt;wsp:rsid wsp:val=&quot;003A3881&quot;/&gt;&lt;wsp:rsid wsp:val=&quot;003A3D9F&quot;/&gt;&lt;wsp:rsid wsp:val=&quot;003A3DE8&quot;/&gt;&lt;wsp:rsid wsp:val=&quot;003A4285&quot;/&gt;&lt;wsp:rsid wsp:val=&quot;003A454C&quot;/&gt;&lt;wsp:rsid wsp:val=&quot;003A4775&quot;/&gt;&lt;wsp:rsid wsp:val=&quot;003A4885&quot;/&gt;&lt;wsp:rsid wsp:val=&quot;003A4DC3&quot;/&gt;&lt;wsp:rsid wsp:val=&quot;003A4FAF&quot;/&gt;&lt;wsp:rsid wsp:val=&quot;003A5031&quot;/&gt;&lt;wsp:rsid wsp:val=&quot;003A515B&quot;/&gt;&lt;wsp:rsid wsp:val=&quot;003A51F6&quot;/&gt;&lt;wsp:rsid wsp:val=&quot;003A5223&quot;/&gt;&lt;wsp:rsid wsp:val=&quot;003A533F&quot;/&gt;&lt;wsp:rsid wsp:val=&quot;003A57A8&quot;/&gt;&lt;wsp:rsid wsp:val=&quot;003A5847&quot;/&gt;&lt;wsp:rsid wsp:val=&quot;003A60A0&quot;/&gt;&lt;wsp:rsid wsp:val=&quot;003A6165&quot;/&gt;&lt;wsp:rsid wsp:val=&quot;003A6710&quot;/&gt;&lt;wsp:rsid wsp:val=&quot;003A6BD0&quot;/&gt;&lt;wsp:rsid wsp:val=&quot;003A74C6&quot;/&gt;&lt;wsp:rsid wsp:val=&quot;003A7D4F&quot;/&gt;&lt;wsp:rsid wsp:val=&quot;003B08A1&quot;/&gt;&lt;wsp:rsid wsp:val=&quot;003B1055&quot;/&gt;&lt;wsp:rsid wsp:val=&quot;003B1372&quot;/&gt;&lt;wsp:rsid wsp:val=&quot;003B1477&quot;/&gt;&lt;wsp:rsid wsp:val=&quot;003B148A&quot;/&gt;&lt;wsp:rsid wsp:val=&quot;003B14CA&quot;/&gt;&lt;wsp:rsid wsp:val=&quot;003B14D4&quot;/&gt;&lt;wsp:rsid wsp:val=&quot;003B190D&quot;/&gt;&lt;wsp:rsid wsp:val=&quot;003B1D83&quot;/&gt;&lt;wsp:rsid wsp:val=&quot;003B1EB5&quot;/&gt;&lt;wsp:rsid wsp:val=&quot;003B206E&quot;/&gt;&lt;wsp:rsid wsp:val=&quot;003B21BC&quot;/&gt;&lt;wsp:rsid wsp:val=&quot;003B27DE&quot;/&gt;&lt;wsp:rsid wsp:val=&quot;003B2A04&quot;/&gt;&lt;wsp:rsid wsp:val=&quot;003B2B9C&quot;/&gt;&lt;wsp:rsid wsp:val=&quot;003B2C31&quot;/&gt;&lt;wsp:rsid wsp:val=&quot;003B2CDD&quot;/&gt;&lt;wsp:rsid wsp:val=&quot;003B2F53&quot;/&gt;&lt;wsp:rsid wsp:val=&quot;003B2FFB&quot;/&gt;&lt;wsp:rsid wsp:val=&quot;003B314E&quot;/&gt;&lt;wsp:rsid wsp:val=&quot;003B315C&quot;/&gt;&lt;wsp:rsid wsp:val=&quot;003B324F&quot;/&gt;&lt;wsp:rsid wsp:val=&quot;003B348B&quot;/&gt;&lt;wsp:rsid wsp:val=&quot;003B3555&quot;/&gt;&lt;wsp:rsid wsp:val=&quot;003B3846&quot;/&gt;&lt;wsp:rsid wsp:val=&quot;003B3B19&quot;/&gt;&lt;wsp:rsid wsp:val=&quot;003B3CFB&quot;/&gt;&lt;wsp:rsid wsp:val=&quot;003B3F4F&quot;/&gt;&lt;wsp:rsid wsp:val=&quot;003B403B&quot;/&gt;&lt;wsp:rsid wsp:val=&quot;003B42CE&quot;/&gt;&lt;wsp:rsid wsp:val=&quot;003B43CA&quot;/&gt;&lt;wsp:rsid wsp:val=&quot;003B44CA&quot;/&gt;&lt;wsp:rsid wsp:val=&quot;003B44FA&quot;/&gt;&lt;wsp:rsid wsp:val=&quot;003B46D5&quot;/&gt;&lt;wsp:rsid wsp:val=&quot;003B4797&quot;/&gt;&lt;wsp:rsid wsp:val=&quot;003B47A4&quot;/&gt;&lt;wsp:rsid wsp:val=&quot;003B47A9&quot;/&gt;&lt;wsp:rsid wsp:val=&quot;003B4A4A&quot;/&gt;&lt;wsp:rsid wsp:val=&quot;003B4AFD&quot;/&gt;&lt;wsp:rsid wsp:val=&quot;003B4BF5&quot;/&gt;&lt;wsp:rsid wsp:val=&quot;003B4F54&quot;/&gt;&lt;wsp:rsid wsp:val=&quot;003B5544&quot;/&gt;&lt;wsp:rsid wsp:val=&quot;003B5C6F&quot;/&gt;&lt;wsp:rsid wsp:val=&quot;003B5D3C&quot;/&gt;&lt;wsp:rsid wsp:val=&quot;003B606B&quot;/&gt;&lt;wsp:rsid wsp:val=&quot;003B621D&quot;/&gt;&lt;wsp:rsid wsp:val=&quot;003B693E&quot;/&gt;&lt;wsp:rsid wsp:val=&quot;003B6AC7&quot;/&gt;&lt;wsp:rsid wsp:val=&quot;003B6BD8&quot;/&gt;&lt;wsp:rsid wsp:val=&quot;003B6F1F&quot;/&gt;&lt;wsp:rsid wsp:val=&quot;003B7409&quot;/&gt;&lt;wsp:rsid wsp:val=&quot;003B74F5&quot;/&gt;&lt;wsp:rsid wsp:val=&quot;003B75E2&quot;/&gt;&lt;wsp:rsid wsp:val=&quot;003B76EB&quot;/&gt;&lt;wsp:rsid wsp:val=&quot;003B7992&quot;/&gt;&lt;wsp:rsid wsp:val=&quot;003B7C52&quot;/&gt;&lt;wsp:rsid wsp:val=&quot;003B7F40&quot;/&gt;&lt;wsp:rsid wsp:val=&quot;003B7F93&quot;/&gt;&lt;wsp:rsid wsp:val=&quot;003B7FB5&quot;/&gt;&lt;wsp:rsid wsp:val=&quot;003C0279&quot;/&gt;&lt;wsp:rsid wsp:val=&quot;003C040B&quot;/&gt;&lt;wsp:rsid wsp:val=&quot;003C047D&quot;/&gt;&lt;wsp:rsid wsp:val=&quot;003C06D5&quot;/&gt;&lt;wsp:rsid wsp:val=&quot;003C071F&quot;/&gt;&lt;wsp:rsid wsp:val=&quot;003C0917&quot;/&gt;&lt;wsp:rsid wsp:val=&quot;003C09B8&quot;/&gt;&lt;wsp:rsid wsp:val=&quot;003C0D2F&quot;/&gt;&lt;wsp:rsid wsp:val=&quot;003C0E1C&quot;/&gt;&lt;wsp:rsid wsp:val=&quot;003C12DD&quot;/&gt;&lt;wsp:rsid wsp:val=&quot;003C1307&quot;/&gt;&lt;wsp:rsid wsp:val=&quot;003C1346&quot;/&gt;&lt;wsp:rsid wsp:val=&quot;003C1520&quot;/&gt;&lt;wsp:rsid wsp:val=&quot;003C1C80&quot;/&gt;&lt;wsp:rsid wsp:val=&quot;003C1EF2&quot;/&gt;&lt;wsp:rsid wsp:val=&quot;003C20B9&quot;/&gt;&lt;wsp:rsid wsp:val=&quot;003C232A&quot;/&gt;&lt;wsp:rsid wsp:val=&quot;003C25A2&quot;/&gt;&lt;wsp:rsid wsp:val=&quot;003C2AFA&quot;/&gt;&lt;wsp:rsid wsp:val=&quot;003C2B41&quot;/&gt;&lt;wsp:rsid wsp:val=&quot;003C2C6D&quot;/&gt;&lt;wsp:rsid wsp:val=&quot;003C35CB&quot;/&gt;&lt;wsp:rsid wsp:val=&quot;003C39EE&quot;/&gt;&lt;wsp:rsid wsp:val=&quot;003C3A50&quot;/&gt;&lt;wsp:rsid wsp:val=&quot;003C4162&quot;/&gt;&lt;wsp:rsid wsp:val=&quot;003C418D&quot;/&gt;&lt;wsp:rsid wsp:val=&quot;003C43C2&quot;/&gt;&lt;wsp:rsid wsp:val=&quot;003C449B&quot;/&gt;&lt;wsp:rsid wsp:val=&quot;003C4757&quot;/&gt;&lt;wsp:rsid wsp:val=&quot;003C48EE&quot;/&gt;&lt;wsp:rsid wsp:val=&quot;003C4A2A&quot;/&gt;&lt;wsp:rsid wsp:val=&quot;003C4B05&quot;/&gt;&lt;wsp:rsid wsp:val=&quot;003C4C8C&quot;/&gt;&lt;wsp:rsid wsp:val=&quot;003C4EAB&quot;/&gt;&lt;wsp:rsid wsp:val=&quot;003C4F1C&quot;/&gt;&lt;wsp:rsid wsp:val=&quot;003C4FAF&quot;/&gt;&lt;wsp:rsid wsp:val=&quot;003C505A&quot;/&gt;&lt;wsp:rsid wsp:val=&quot;003C5150&quot;/&gt;&lt;wsp:rsid wsp:val=&quot;003C5159&quot;/&gt;&lt;wsp:rsid wsp:val=&quot;003C53DC&quot;/&gt;&lt;wsp:rsid wsp:val=&quot;003C5530&quot;/&gt;&lt;wsp:rsid wsp:val=&quot;003C560C&quot;/&gt;&lt;wsp:rsid wsp:val=&quot;003C5727&quot;/&gt;&lt;wsp:rsid wsp:val=&quot;003C5C84&quot;/&gt;&lt;wsp:rsid wsp:val=&quot;003C5DAF&quot;/&gt;&lt;wsp:rsid wsp:val=&quot;003C5E5B&quot;/&gt;&lt;wsp:rsid wsp:val=&quot;003C5F97&quot;/&gt;&lt;wsp:rsid wsp:val=&quot;003C6422&quot;/&gt;&lt;wsp:rsid wsp:val=&quot;003C6579&quot;/&gt;&lt;wsp:rsid wsp:val=&quot;003C661F&quot;/&gt;&lt;wsp:rsid wsp:val=&quot;003C681C&quot;/&gt;&lt;wsp:rsid wsp:val=&quot;003C6AAC&quot;/&gt;&lt;wsp:rsid wsp:val=&quot;003C6DDD&quot;/&gt;&lt;wsp:rsid wsp:val=&quot;003C6E53&quot;/&gt;&lt;wsp:rsid wsp:val=&quot;003C6F63&quot;/&gt;&lt;wsp:rsid wsp:val=&quot;003C7220&quot;/&gt;&lt;wsp:rsid wsp:val=&quot;003C7240&quot;/&gt;&lt;wsp:rsid wsp:val=&quot;003C7504&quot;/&gt;&lt;wsp:rsid wsp:val=&quot;003C7622&quot;/&gt;&lt;wsp:rsid wsp:val=&quot;003C7730&quot;/&gt;&lt;wsp:rsid wsp:val=&quot;003C779D&quot;/&gt;&lt;wsp:rsid wsp:val=&quot;003C7967&quot;/&gt;&lt;wsp:rsid wsp:val=&quot;003C797E&quot;/&gt;&lt;wsp:rsid wsp:val=&quot;003D0568&quot;/&gt;&lt;wsp:rsid wsp:val=&quot;003D05A2&quot;/&gt;&lt;wsp:rsid wsp:val=&quot;003D0905&quot;/&gt;&lt;wsp:rsid wsp:val=&quot;003D0960&quot;/&gt;&lt;wsp:rsid wsp:val=&quot;003D0961&quot;/&gt;&lt;wsp:rsid wsp:val=&quot;003D0983&quot;/&gt;&lt;wsp:rsid wsp:val=&quot;003D0AAE&quot;/&gt;&lt;wsp:rsid wsp:val=&quot;003D0ACA&quot;/&gt;&lt;wsp:rsid wsp:val=&quot;003D0C0F&quot;/&gt;&lt;wsp:rsid wsp:val=&quot;003D10FE&quot;/&gt;&lt;wsp:rsid wsp:val=&quot;003D1391&quot;/&gt;&lt;wsp:rsid wsp:val=&quot;003D13BD&quot;/&gt;&lt;wsp:rsid wsp:val=&quot;003D1448&quot;/&gt;&lt;wsp:rsid wsp:val=&quot;003D14A4&quot;/&gt;&lt;wsp:rsid wsp:val=&quot;003D16AC&quot;/&gt;&lt;wsp:rsid wsp:val=&quot;003D19B1&quot;/&gt;&lt;wsp:rsid wsp:val=&quot;003D1CB1&quot;/&gt;&lt;wsp:rsid wsp:val=&quot;003D1E1E&quot;/&gt;&lt;wsp:rsid wsp:val=&quot;003D1EBD&quot;/&gt;&lt;wsp:rsid wsp:val=&quot;003D20AF&quot;/&gt;&lt;wsp:rsid wsp:val=&quot;003D20CD&quot;/&gt;&lt;wsp:rsid wsp:val=&quot;003D2346&quot;/&gt;&lt;wsp:rsid wsp:val=&quot;003D25EE&quot;/&gt;&lt;wsp:rsid wsp:val=&quot;003D27C1&quot;/&gt;&lt;wsp:rsid wsp:val=&quot;003D2912&quot;/&gt;&lt;wsp:rsid wsp:val=&quot;003D2D51&quot;/&gt;&lt;wsp:rsid wsp:val=&quot;003D2E1C&quot;/&gt;&lt;wsp:rsid wsp:val=&quot;003D2EE9&quot;/&gt;&lt;wsp:rsid wsp:val=&quot;003D3396&quot;/&gt;&lt;wsp:rsid wsp:val=&quot;003D3604&quot;/&gt;&lt;wsp:rsid wsp:val=&quot;003D388F&quot;/&gt;&lt;wsp:rsid wsp:val=&quot;003D39CB&quot;/&gt;&lt;wsp:rsid wsp:val=&quot;003D3EB9&quot;/&gt;&lt;wsp:rsid wsp:val=&quot;003D3F50&quot;/&gt;&lt;wsp:rsid wsp:val=&quot;003D4361&quot;/&gt;&lt;wsp:rsid wsp:val=&quot;003D43FC&quot;/&gt;&lt;wsp:rsid wsp:val=&quot;003D45BC&quot;/&gt;&lt;wsp:rsid wsp:val=&quot;003D4759&quot;/&gt;&lt;wsp:rsid wsp:val=&quot;003D4987&quot;/&gt;&lt;wsp:rsid wsp:val=&quot;003D49AB&quot;/&gt;&lt;wsp:rsid wsp:val=&quot;003D4D9F&quot;/&gt;&lt;wsp:rsid wsp:val=&quot;003D4DF7&quot;/&gt;&lt;wsp:rsid wsp:val=&quot;003D515D&quot;/&gt;&lt;wsp:rsid wsp:val=&quot;003D5524&quot;/&gt;&lt;wsp:rsid wsp:val=&quot;003D57AE&quot;/&gt;&lt;wsp:rsid wsp:val=&quot;003D62D6&quot;/&gt;&lt;wsp:rsid wsp:val=&quot;003D6A6B&quot;/&gt;&lt;wsp:rsid wsp:val=&quot;003D6D52&quot;/&gt;&lt;wsp:rsid wsp:val=&quot;003D73C3&quot;/&gt;&lt;wsp:rsid wsp:val=&quot;003D75BE&quot;/&gt;&lt;wsp:rsid wsp:val=&quot;003D7867&quot;/&gt;&lt;wsp:rsid wsp:val=&quot;003D7970&quot;/&gt;&lt;wsp:rsid wsp:val=&quot;003D799D&quot;/&gt;&lt;wsp:rsid wsp:val=&quot;003D7AFC&quot;/&gt;&lt;wsp:rsid wsp:val=&quot;003D7ECF&quot;/&gt;&lt;wsp:rsid wsp:val=&quot;003E01C1&quot;/&gt;&lt;wsp:rsid wsp:val=&quot;003E02AD&quot;/&gt;&lt;wsp:rsid wsp:val=&quot;003E035F&quot;/&gt;&lt;wsp:rsid wsp:val=&quot;003E03B5&quot;/&gt;&lt;wsp:rsid wsp:val=&quot;003E04A2&quot;/&gt;&lt;wsp:rsid wsp:val=&quot;003E060F&quot;/&gt;&lt;wsp:rsid wsp:val=&quot;003E06BE&quot;/&gt;&lt;wsp:rsid wsp:val=&quot;003E06EB&quot;/&gt;&lt;wsp:rsid wsp:val=&quot;003E075D&quot;/&gt;&lt;wsp:rsid wsp:val=&quot;003E077B&quot;/&gt;&lt;wsp:rsid wsp:val=&quot;003E08E0&quot;/&gt;&lt;wsp:rsid wsp:val=&quot;003E1073&quot;/&gt;&lt;wsp:rsid wsp:val=&quot;003E1091&quot;/&gt;&lt;wsp:rsid wsp:val=&quot;003E1157&quot;/&gt;&lt;wsp:rsid wsp:val=&quot;003E1956&quot;/&gt;&lt;wsp:rsid wsp:val=&quot;003E1A4B&quot;/&gt;&lt;wsp:rsid wsp:val=&quot;003E1B61&quot;/&gt;&lt;wsp:rsid wsp:val=&quot;003E1D07&quot;/&gt;&lt;wsp:rsid wsp:val=&quot;003E20CE&quot;/&gt;&lt;wsp:rsid wsp:val=&quot;003E27E0&quot;/&gt;&lt;wsp:rsid wsp:val=&quot;003E2B4B&quot;/&gt;&lt;wsp:rsid wsp:val=&quot;003E2B5F&quot;/&gt;&lt;wsp:rsid wsp:val=&quot;003E2BD4&quot;/&gt;&lt;wsp:rsid wsp:val=&quot;003E2D21&quot;/&gt;&lt;wsp:rsid wsp:val=&quot;003E2EE7&quot;/&gt;&lt;wsp:rsid wsp:val=&quot;003E3030&quot;/&gt;&lt;wsp:rsid wsp:val=&quot;003E3102&quot;/&gt;&lt;wsp:rsid wsp:val=&quot;003E32D6&quot;/&gt;&lt;wsp:rsid wsp:val=&quot;003E34D7&quot;/&gt;&lt;wsp:rsid wsp:val=&quot;003E36AA&quot;/&gt;&lt;wsp:rsid wsp:val=&quot;003E398B&quot;/&gt;&lt;wsp:rsid wsp:val=&quot;003E39C4&quot;/&gt;&lt;wsp:rsid wsp:val=&quot;003E3A7F&quot;/&gt;&lt;wsp:rsid wsp:val=&quot;003E3ACF&quot;/&gt;&lt;wsp:rsid wsp:val=&quot;003E3AD1&quot;/&gt;&lt;wsp:rsid wsp:val=&quot;003E3C2C&quot;/&gt;&lt;wsp:rsid wsp:val=&quot;003E3E2A&quot;/&gt;&lt;wsp:rsid wsp:val=&quot;003E40DE&quot;/&gt;&lt;wsp:rsid wsp:val=&quot;003E419A&quot;/&gt;&lt;wsp:rsid wsp:val=&quot;003E41D4&quot;/&gt;&lt;wsp:rsid wsp:val=&quot;003E41E6&quot;/&gt;&lt;wsp:rsid wsp:val=&quot;003E426B&quot;/&gt;&lt;wsp:rsid wsp:val=&quot;003E43ED&quot;/&gt;&lt;wsp:rsid wsp:val=&quot;003E43F3&quot;/&gt;&lt;wsp:rsid wsp:val=&quot;003E448E&quot;/&gt;&lt;wsp:rsid wsp:val=&quot;003E48CA&quot;/&gt;&lt;wsp:rsid wsp:val=&quot;003E4CF0&quot;/&gt;&lt;wsp:rsid wsp:val=&quot;003E4DE9&quot;/&gt;&lt;wsp:rsid wsp:val=&quot;003E52D4&quot;/&gt;&lt;wsp:rsid wsp:val=&quot;003E550F&quot;/&gt;&lt;wsp:rsid wsp:val=&quot;003E578C&quot;/&gt;&lt;wsp:rsid wsp:val=&quot;003E5A75&quot;/&gt;&lt;wsp:rsid wsp:val=&quot;003E5CF9&quot;/&gt;&lt;wsp:rsid wsp:val=&quot;003E5D3F&quot;/&gt;&lt;wsp:rsid wsp:val=&quot;003E5D64&quot;/&gt;&lt;wsp:rsid wsp:val=&quot;003E5D9D&quot;/&gt;&lt;wsp:rsid wsp:val=&quot;003E5DD4&quot;/&gt;&lt;wsp:rsid wsp:val=&quot;003E5FA0&quot;/&gt;&lt;wsp:rsid wsp:val=&quot;003E5FA5&quot;/&gt;&lt;wsp:rsid wsp:val=&quot;003E6218&quot;/&gt;&lt;wsp:rsid wsp:val=&quot;003E623F&quot;/&gt;&lt;wsp:rsid wsp:val=&quot;003E6402&quot;/&gt;&lt;wsp:rsid wsp:val=&quot;003E6777&quot;/&gt;&lt;wsp:rsid wsp:val=&quot;003E67FE&quot;/&gt;&lt;wsp:rsid wsp:val=&quot;003E68EC&quot;/&gt;&lt;wsp:rsid wsp:val=&quot;003E69E2&quot;/&gt;&lt;wsp:rsid wsp:val=&quot;003E6AE2&quot;/&gt;&lt;wsp:rsid wsp:val=&quot;003E6D78&quot;/&gt;&lt;wsp:rsid wsp:val=&quot;003E6DF0&quot;/&gt;&lt;wsp:rsid wsp:val=&quot;003E6E12&quot;/&gt;&lt;wsp:rsid wsp:val=&quot;003E713A&quot;/&gt;&lt;wsp:rsid wsp:val=&quot;003E7564&quot;/&gt;&lt;wsp:rsid wsp:val=&quot;003E75D6&quot;/&gt;&lt;wsp:rsid wsp:val=&quot;003E7653&quot;/&gt;&lt;wsp:rsid wsp:val=&quot;003E76A9&quot;/&gt;&lt;wsp:rsid wsp:val=&quot;003E7770&quot;/&gt;&lt;wsp:rsid wsp:val=&quot;003E7D12&quot;/&gt;&lt;wsp:rsid wsp:val=&quot;003E7DA7&quot;/&gt;&lt;wsp:rsid wsp:val=&quot;003E7DBD&quot;/&gt;&lt;wsp:rsid wsp:val=&quot;003F00D7&quot;/&gt;&lt;wsp:rsid wsp:val=&quot;003F0307&quot;/&gt;&lt;wsp:rsid wsp:val=&quot;003F031D&quot;/&gt;&lt;wsp:rsid wsp:val=&quot;003F03BD&quot;/&gt;&lt;wsp:rsid wsp:val=&quot;003F040B&quot;/&gt;&lt;wsp:rsid wsp:val=&quot;003F0643&quot;/&gt;&lt;wsp:rsid wsp:val=&quot;003F0AEA&quot;/&gt;&lt;wsp:rsid wsp:val=&quot;003F0C68&quot;/&gt;&lt;wsp:rsid wsp:val=&quot;003F0D96&quot;/&gt;&lt;wsp:rsid wsp:val=&quot;003F0EE3&quot;/&gt;&lt;wsp:rsid wsp:val=&quot;003F0EF8&quot;/&gt;&lt;wsp:rsid wsp:val=&quot;003F1192&quot;/&gt;&lt;wsp:rsid wsp:val=&quot;003F11D4&quot;/&gt;&lt;wsp:rsid wsp:val=&quot;003F1501&quot;/&gt;&lt;wsp:rsid wsp:val=&quot;003F156D&quot;/&gt;&lt;wsp:rsid wsp:val=&quot;003F16A3&quot;/&gt;&lt;wsp:rsid wsp:val=&quot;003F182B&quot;/&gt;&lt;wsp:rsid wsp:val=&quot;003F192A&quot;/&gt;&lt;wsp:rsid wsp:val=&quot;003F1B14&quot;/&gt;&lt;wsp:rsid wsp:val=&quot;003F1C17&quot;/&gt;&lt;wsp:rsid wsp:val=&quot;003F2539&quot;/&gt;&lt;wsp:rsid wsp:val=&quot;003F2561&quot;/&gt;&lt;wsp:rsid wsp:val=&quot;003F2876&quot;/&gt;&lt;wsp:rsid wsp:val=&quot;003F2991&quot;/&gt;&lt;wsp:rsid wsp:val=&quot;003F2EE6&quot;/&gt;&lt;wsp:rsid wsp:val=&quot;003F2F8E&quot;/&gt;&lt;wsp:rsid wsp:val=&quot;003F31E4&quot;/&gt;&lt;wsp:rsid wsp:val=&quot;003F383F&quot;/&gt;&lt;wsp:rsid wsp:val=&quot;003F3A28&quot;/&gt;&lt;wsp:rsid wsp:val=&quot;003F3CAE&quot;/&gt;&lt;wsp:rsid wsp:val=&quot;003F3E3A&quot;/&gt;&lt;wsp:rsid wsp:val=&quot;003F3F2C&quot;/&gt;&lt;wsp:rsid wsp:val=&quot;003F4077&quot;/&gt;&lt;wsp:rsid wsp:val=&quot;003F4088&quot;/&gt;&lt;wsp:rsid wsp:val=&quot;003F43B3&quot;/&gt;&lt;wsp:rsid wsp:val=&quot;003F43C6&quot;/&gt;&lt;wsp:rsid wsp:val=&quot;003F4450&quot;/&gt;&lt;wsp:rsid wsp:val=&quot;003F44CD&quot;/&gt;&lt;wsp:rsid wsp:val=&quot;003F44D1&quot;/&gt;&lt;wsp:rsid wsp:val=&quot;003F46E2&quot;/&gt;&lt;wsp:rsid wsp:val=&quot;003F47CF&quot;/&gt;&lt;wsp:rsid wsp:val=&quot;003F48A9&quot;/&gt;&lt;wsp:rsid wsp:val=&quot;003F53E5&quot;/&gt;&lt;wsp:rsid wsp:val=&quot;003F551E&quot;/&gt;&lt;wsp:rsid wsp:val=&quot;003F56D5&quot;/&gt;&lt;wsp:rsid wsp:val=&quot;003F56F8&quot;/&gt;&lt;wsp:rsid wsp:val=&quot;003F5738&quot;/&gt;&lt;wsp:rsid wsp:val=&quot;003F59A3&quot;/&gt;&lt;wsp:rsid wsp:val=&quot;003F59EF&quot;/&gt;&lt;wsp:rsid wsp:val=&quot;003F5BA8&quot;/&gt;&lt;wsp:rsid wsp:val=&quot;003F5EF1&quot;/&gt;&lt;wsp:rsid wsp:val=&quot;003F63F1&quot;/&gt;&lt;wsp:rsid wsp:val=&quot;003F644F&quot;/&gt;&lt;wsp:rsid wsp:val=&quot;003F6594&quot;/&gt;&lt;wsp:rsid wsp:val=&quot;003F65E9&quot;/&gt;&lt;wsp:rsid wsp:val=&quot;003F66AE&quot;/&gt;&lt;wsp:rsid wsp:val=&quot;003F6779&quot;/&gt;&lt;wsp:rsid wsp:val=&quot;003F6D16&quot;/&gt;&lt;wsp:rsid wsp:val=&quot;003F6F83&quot;/&gt;&lt;wsp:rsid wsp:val=&quot;003F6FB4&quot;/&gt;&lt;wsp:rsid wsp:val=&quot;003F7365&quot;/&gt;&lt;wsp:rsid wsp:val=&quot;003F73F6&quot;/&gt;&lt;wsp:rsid wsp:val=&quot;003F74E3&quot;/&gt;&lt;wsp:rsid wsp:val=&quot;003F7524&quot;/&gt;&lt;wsp:rsid wsp:val=&quot;003F7577&quot;/&gt;&lt;wsp:rsid wsp:val=&quot;003F7635&quot;/&gt;&lt;wsp:rsid wsp:val=&quot;003F7931&quot;/&gt;&lt;wsp:rsid wsp:val=&quot;003F7966&quot;/&gt;&lt;wsp:rsid wsp:val=&quot;003F79EA&quot;/&gt;&lt;wsp:rsid wsp:val=&quot;003F7B16&quot;/&gt;&lt;wsp:rsid wsp:val=&quot;003F7D40&quot;/&gt;&lt;wsp:rsid wsp:val=&quot;003F7D73&quot;/&gt;&lt;wsp:rsid wsp:val=&quot;003F7E2F&quot;/&gt;&lt;wsp:rsid wsp:val=&quot;0040012A&quot;/&gt;&lt;wsp:rsid wsp:val=&quot;004001F7&quot;/&gt;&lt;wsp:rsid wsp:val=&quot;00400226&quot;/&gt;&lt;wsp:rsid wsp:val=&quot;004002D6&quot;/&gt;&lt;wsp:rsid wsp:val=&quot;00400487&quot;/&gt;&lt;wsp:rsid wsp:val=&quot;00400887&quot;/&gt;&lt;wsp:rsid wsp:val=&quot;004012DA&quot;/&gt;&lt;wsp:rsid wsp:val=&quot;00401336&quot;/&gt;&lt;wsp:rsid wsp:val=&quot;0040161F&quot;/&gt;&lt;wsp:rsid wsp:val=&quot;0040175A&quot;/&gt;&lt;wsp:rsid wsp:val=&quot;00401A25&quot;/&gt;&lt;wsp:rsid wsp:val=&quot;00401A4E&quot;/&gt;&lt;wsp:rsid wsp:val=&quot;00401DD0&quot;/&gt;&lt;wsp:rsid wsp:val=&quot;00401F2D&quot;/&gt;&lt;wsp:rsid wsp:val=&quot;00402173&quot;/&gt;&lt;wsp:rsid wsp:val=&quot;004029E8&quot;/&gt;&lt;wsp:rsid wsp:val=&quot;00402A4B&quot;/&gt;&lt;wsp:rsid wsp:val=&quot;00402A54&quot;/&gt;&lt;wsp:rsid wsp:val=&quot;00402B34&quot;/&gt;&lt;wsp:rsid wsp:val=&quot;00402DBA&quot;/&gt;&lt;wsp:rsid wsp:val=&quot;00403211&quot;/&gt;&lt;wsp:rsid wsp:val=&quot;004032F8&quot;/&gt;&lt;wsp:rsid wsp:val=&quot;004035DA&quot;/&gt;&lt;wsp:rsid wsp:val=&quot;004035FC&quot;/&gt;&lt;wsp:rsid wsp:val=&quot;00403989&quot;/&gt;&lt;wsp:rsid wsp:val=&quot;00403A06&quot;/&gt;&lt;wsp:rsid wsp:val=&quot;00403AE7&quot;/&gt;&lt;wsp:rsid wsp:val=&quot;00403D7C&quot;/&gt;&lt;wsp:rsid wsp:val=&quot;00403F5B&quot;/&gt;&lt;wsp:rsid wsp:val=&quot;00403FF6&quot;/&gt;&lt;wsp:rsid wsp:val=&quot;00404140&quot;/&gt;&lt;wsp:rsid wsp:val=&quot;00404374&quot;/&gt;&lt;wsp:rsid wsp:val=&quot;00404718&quot;/&gt;&lt;wsp:rsid wsp:val=&quot;00404785&quot;/&gt;&lt;wsp:rsid wsp:val=&quot;004047D7&quot;/&gt;&lt;wsp:rsid wsp:val=&quot;004048E1&quot;/&gt;&lt;wsp:rsid wsp:val=&quot;00404942&quot;/&gt;&lt;wsp:rsid wsp:val=&quot;00404BCF&quot;/&gt;&lt;wsp:rsid wsp:val=&quot;00405333&quot;/&gt;&lt;wsp:rsid wsp:val=&quot;00405370&quot;/&gt;&lt;wsp:rsid wsp:val=&quot;0040537B&quot;/&gt;&lt;wsp:rsid wsp:val=&quot;00405389&quot;/&gt;&lt;wsp:rsid wsp:val=&quot;00405545&quot;/&gt;&lt;wsp:rsid wsp:val=&quot;004056FB&quot;/&gt;&lt;wsp:rsid wsp:val=&quot;004058DC&quot;/&gt;&lt;wsp:rsid wsp:val=&quot;00405A32&quot;/&gt;&lt;wsp:rsid wsp:val=&quot;00405CBA&quot;/&gt;&lt;wsp:rsid wsp:val=&quot;00405D7C&quot;/&gt;&lt;wsp:rsid wsp:val=&quot;00405F81&quot;/&gt;&lt;wsp:rsid wsp:val=&quot;00406462&quot;/&gt;&lt;wsp:rsid wsp:val=&quot;00406488&quot;/&gt;&lt;wsp:rsid wsp:val=&quot;004065EA&quot;/&gt;&lt;wsp:rsid wsp:val=&quot;0040680E&quot;/&gt;&lt;wsp:rsid wsp:val=&quot;00406857&quot;/&gt;&lt;wsp:rsid wsp:val=&quot;00406D1F&quot;/&gt;&lt;wsp:rsid wsp:val=&quot;00406D2A&quot;/&gt;&lt;wsp:rsid wsp:val=&quot;00406D40&quot;/&gt;&lt;wsp:rsid wsp:val=&quot;00406D48&quot;/&gt;&lt;wsp:rsid wsp:val=&quot;00407018&quot;/&gt;&lt;wsp:rsid wsp:val=&quot;004070B8&quot;/&gt;&lt;wsp:rsid wsp:val=&quot;004073AD&quot;/&gt;&lt;wsp:rsid wsp:val=&quot;00407803&quot;/&gt;&lt;wsp:rsid wsp:val=&quot;00407AEB&quot;/&gt;&lt;wsp:rsid wsp:val=&quot;00407C02&quot;/&gt;&lt;wsp:rsid wsp:val=&quot;00407D6C&quot;/&gt;&lt;wsp:rsid wsp:val=&quot;00410409&quot;/&gt;&lt;wsp:rsid wsp:val=&quot;004104D6&quot;/&gt;&lt;wsp:rsid wsp:val=&quot;004104FB&quot;/&gt;&lt;wsp:rsid wsp:val=&quot;004106C8&quot;/&gt;&lt;wsp:rsid wsp:val=&quot;00410B4F&quot;/&gt;&lt;wsp:rsid wsp:val=&quot;00410C54&quot;/&gt;&lt;wsp:rsid wsp:val=&quot;00410EDC&quot;/&gt;&lt;wsp:rsid wsp:val=&quot;00411305&quot;/&gt;&lt;wsp:rsid wsp:val=&quot;004113EB&quot;/&gt;&lt;wsp:rsid wsp:val=&quot;0041144A&quot;/&gt;&lt;wsp:rsid wsp:val=&quot;00411648&quot;/&gt;&lt;wsp:rsid wsp:val=&quot;00411671&quot;/&gt;&lt;wsp:rsid wsp:val=&quot;004118D6&quot;/&gt;&lt;wsp:rsid wsp:val=&quot;00411EC6&quot;/&gt;&lt;wsp:rsid wsp:val=&quot;00412042&quot;/&gt;&lt;wsp:rsid wsp:val=&quot;00412497&quot;/&gt;&lt;wsp:rsid wsp:val=&quot;0041256D&quot;/&gt;&lt;wsp:rsid wsp:val=&quot;00412B25&quot;/&gt;&lt;wsp:rsid wsp:val=&quot;00412CB5&quot;/&gt;&lt;wsp:rsid wsp:val=&quot;00412D40&quot;/&gt;&lt;wsp:rsid wsp:val=&quot;00412DED&quot;/&gt;&lt;wsp:rsid wsp:val=&quot;0041315D&quot;/&gt;&lt;wsp:rsid wsp:val=&quot;00413300&quot;/&gt;&lt;wsp:rsid wsp:val=&quot;00413905&quot;/&gt;&lt;wsp:rsid wsp:val=&quot;00414076&quot;/&gt;&lt;wsp:rsid wsp:val=&quot;004146D0&quot;/&gt;&lt;wsp:rsid wsp:val=&quot;004148D6&quot;/&gt;&lt;wsp:rsid wsp:val=&quot;004148DF&quot;/&gt;&lt;wsp:rsid wsp:val=&quot;00414C56&quot;/&gt;&lt;wsp:rsid wsp:val=&quot;00414F34&quot;/&gt;&lt;wsp:rsid wsp:val=&quot;0041508C&quot;/&gt;&lt;wsp:rsid wsp:val=&quot;00415644&quot;/&gt;&lt;wsp:rsid wsp:val=&quot;004157CE&quot;/&gt;&lt;wsp:rsid wsp:val=&quot;0041585E&quot;/&gt;&lt;wsp:rsid wsp:val=&quot;00415B5F&quot;/&gt;&lt;wsp:rsid wsp:val=&quot;00415B75&quot;/&gt;&lt;wsp:rsid wsp:val=&quot;00415F6D&quot;/&gt;&lt;wsp:rsid wsp:val=&quot;00416512&quot;/&gt;&lt;wsp:rsid wsp:val=&quot;00416648&quot;/&gt;&lt;wsp:rsid wsp:val=&quot;00416683&quot;/&gt;&lt;wsp:rsid wsp:val=&quot;0041684A&quot;/&gt;&lt;wsp:rsid wsp:val=&quot;004169FA&quot;/&gt;&lt;wsp:rsid wsp:val=&quot;00416B95&quot;/&gt;&lt;wsp:rsid wsp:val=&quot;00416BC9&quot;/&gt;&lt;wsp:rsid wsp:val=&quot;00416C87&quot;/&gt;&lt;wsp:rsid wsp:val=&quot;004170B6&quot;/&gt;&lt;wsp:rsid wsp:val=&quot;004171F7&quot;/&gt;&lt;wsp:rsid wsp:val=&quot;00417224&quot;/&gt;&lt;wsp:rsid wsp:val=&quot;00417240&quot;/&gt;&lt;wsp:rsid wsp:val=&quot;00417348&quot;/&gt;&lt;wsp:rsid wsp:val=&quot;00417470&quot;/&gt;&lt;wsp:rsid wsp:val=&quot;004179C8&quot;/&gt;&lt;wsp:rsid wsp:val=&quot;00417AFF&quot;/&gt;&lt;wsp:rsid wsp:val=&quot;00417C3B&quot;/&gt;&lt;wsp:rsid wsp:val=&quot;00420052&quot;/&gt;&lt;wsp:rsid wsp:val=&quot;004204B4&quot;/&gt;&lt;wsp:rsid wsp:val=&quot;0042055F&quot;/&gt;&lt;wsp:rsid wsp:val=&quot;00420951&quot;/&gt;&lt;wsp:rsid wsp:val=&quot;00420A35&quot;/&gt;&lt;wsp:rsid wsp:val=&quot;00420B5C&quot;/&gt;&lt;wsp:rsid wsp:val=&quot;00420CBF&quot;/&gt;&lt;wsp:rsid wsp:val=&quot;00421178&quot;/&gt;&lt;wsp:rsid wsp:val=&quot;004211CA&quot;/&gt;&lt;wsp:rsid wsp:val=&quot;004214B1&quot;/&gt;&lt;wsp:rsid wsp:val=&quot;00421867&quot;/&gt;&lt;wsp:rsid wsp:val=&quot;0042187B&quot;/&gt;&lt;wsp:rsid wsp:val=&quot;00421969&quot;/&gt;&lt;wsp:rsid wsp:val=&quot;00421E25&quot;/&gt;&lt;wsp:rsid wsp:val=&quot;004222BC&quot;/&gt;&lt;wsp:rsid wsp:val=&quot;0042246F&quot;/&gt;&lt;wsp:rsid wsp:val=&quot;0042254A&quot;/&gt;&lt;wsp:rsid wsp:val=&quot;004226C6&quot;/&gt;&lt;wsp:rsid wsp:val=&quot;00423131&quot;/&gt;&lt;wsp:rsid wsp:val=&quot;004231CD&quot;/&gt;&lt;wsp:rsid wsp:val=&quot;0042336E&quot;/&gt;&lt;wsp:rsid wsp:val=&quot;004235E3&quot;/&gt;&lt;wsp:rsid wsp:val=&quot;0042363D&quot;/&gt;&lt;wsp:rsid wsp:val=&quot;004239C9&quot;/&gt;&lt;wsp:rsid wsp:val=&quot;00423A53&quot;/&gt;&lt;wsp:rsid wsp:val=&quot;00423A76&quot;/&gt;&lt;wsp:rsid wsp:val=&quot;00423D50&quot;/&gt;&lt;wsp:rsid wsp:val=&quot;004241ED&quot;/&gt;&lt;wsp:rsid wsp:val=&quot;00424519&quot;/&gt;&lt;wsp:rsid wsp:val=&quot;0042456A&quot;/&gt;&lt;wsp:rsid wsp:val=&quot;004245B7&quot;/&gt;&lt;wsp:rsid wsp:val=&quot;004245FB&quot;/&gt;&lt;wsp:rsid wsp:val=&quot;004246BC&quot;/&gt;&lt;wsp:rsid wsp:val=&quot;00424963&quot;/&gt;&lt;wsp:rsid wsp:val=&quot;00424B64&quot;/&gt;&lt;wsp:rsid wsp:val=&quot;00424C00&quot;/&gt;&lt;wsp:rsid wsp:val=&quot;00424C21&quot;/&gt;&lt;wsp:rsid wsp:val=&quot;00424D0D&quot;/&gt;&lt;wsp:rsid wsp:val=&quot;00424DD2&quot;/&gt;&lt;wsp:rsid wsp:val=&quot;00425094&quot;/&gt;&lt;wsp:rsid wsp:val=&quot;0042515C&quot;/&gt;&lt;wsp:rsid wsp:val=&quot;00425270&quot;/&gt;&lt;wsp:rsid wsp:val=&quot;004253EE&quot;/&gt;&lt;wsp:rsid wsp:val=&quot;0042541A&quot;/&gt;&lt;wsp:rsid wsp:val=&quot;0042550D&quot;/&gt;&lt;wsp:rsid wsp:val=&quot;00425A02&quot;/&gt;&lt;wsp:rsid wsp:val=&quot;00425A50&quot;/&gt;&lt;wsp:rsid wsp:val=&quot;00425C7D&quot;/&gt;&lt;wsp:rsid wsp:val=&quot;00425D5A&quot;/&gt;&lt;wsp:rsid wsp:val=&quot;00425D68&quot;/&gt;&lt;wsp:rsid wsp:val=&quot;00425F14&quot;/&gt;&lt;wsp:rsid wsp:val=&quot;0042624D&quot;/&gt;&lt;wsp:rsid wsp:val=&quot;00426315&quot;/&gt;&lt;wsp:rsid wsp:val=&quot;0042638F&quot;/&gt;&lt;wsp:rsid wsp:val=&quot;00426442&quot;/&gt;&lt;wsp:rsid wsp:val=&quot;00426BBD&quot;/&gt;&lt;wsp:rsid wsp:val=&quot;0042709C&quot;/&gt;&lt;wsp:rsid wsp:val=&quot;00427296&quot;/&gt;&lt;wsp:rsid wsp:val=&quot;004272FB&quot;/&gt;&lt;wsp:rsid wsp:val=&quot;004275BB&quot;/&gt;&lt;wsp:rsid wsp:val=&quot;0042772A&quot;/&gt;&lt;wsp:rsid wsp:val=&quot;0042774D&quot;/&gt;&lt;wsp:rsid wsp:val=&quot;00427884&quot;/&gt;&lt;wsp:rsid wsp:val=&quot;004278BD&quot;/&gt;&lt;wsp:rsid wsp:val=&quot;004278DF&quot;/&gt;&lt;wsp:rsid wsp:val=&quot;00427AD1&quot;/&gt;&lt;wsp:rsid wsp:val=&quot;00427C47&quot;/&gt;&lt;wsp:rsid wsp:val=&quot;00427FF2&quot;/&gt;&lt;wsp:rsid wsp:val=&quot;00430229&quot;/&gt;&lt;wsp:rsid wsp:val=&quot;004306C2&quot;/&gt;&lt;wsp:rsid wsp:val=&quot;00430A2D&quot;/&gt;&lt;wsp:rsid wsp:val=&quot;00430A79&quot;/&gt;&lt;wsp:rsid wsp:val=&quot;00430AC3&quot;/&gt;&lt;wsp:rsid wsp:val=&quot;00430AD8&quot;/&gt;&lt;wsp:rsid wsp:val=&quot;00430C3C&quot;/&gt;&lt;wsp:rsid wsp:val=&quot;00430DFB&quot;/&gt;&lt;wsp:rsid wsp:val=&quot;00430F78&quot;/&gt;&lt;wsp:rsid wsp:val=&quot;00431236&quot;/&gt;&lt;wsp:rsid wsp:val=&quot;0043148D&quot;/&gt;&lt;wsp:rsid wsp:val=&quot;00431673&quot;/&gt;&lt;wsp:rsid wsp:val=&quot;004318EE&quot;/&gt;&lt;wsp:rsid wsp:val=&quot;004319E4&quot;/&gt;&lt;wsp:rsid wsp:val=&quot;00431CC5&quot;/&gt;&lt;wsp:rsid wsp:val=&quot;00431DD2&quot;/&gt;&lt;wsp:rsid wsp:val=&quot;00431E2E&quot;/&gt;&lt;wsp:rsid wsp:val=&quot;00431F8A&quot;/&gt;&lt;wsp:rsid wsp:val=&quot;00431FA0&quot;/&gt;&lt;wsp:rsid wsp:val=&quot;0043222A&quot;/&gt;&lt;wsp:rsid wsp:val=&quot;004322EB&quot;/&gt;&lt;wsp:rsid wsp:val=&quot;004323FF&quot;/&gt;&lt;wsp:rsid wsp:val=&quot;0043244D&quot;/&gt;&lt;wsp:rsid wsp:val=&quot;004324BD&quot;/&gt;&lt;wsp:rsid wsp:val=&quot;0043254D&quot;/&gt;&lt;wsp:rsid wsp:val=&quot;004325EA&quot;/&gt;&lt;wsp:rsid wsp:val=&quot;004326D5&quot;/&gt;&lt;wsp:rsid wsp:val=&quot;004326EC&quot;/&gt;&lt;wsp:rsid wsp:val=&quot;0043276E&quot;/&gt;&lt;wsp:rsid wsp:val=&quot;00432D2C&quot;/&gt;&lt;wsp:rsid wsp:val=&quot;00432E30&quot;/&gt;&lt;wsp:rsid wsp:val=&quot;004331BD&quot;/&gt;&lt;wsp:rsid wsp:val=&quot;004331ED&quot;/&gt;&lt;wsp:rsid wsp:val=&quot;0043324B&quot;/&gt;&lt;wsp:rsid wsp:val=&quot;004334CF&quot;/&gt;&lt;wsp:rsid wsp:val=&quot;004335A1&quot;/&gt;&lt;wsp:rsid wsp:val=&quot;0043367D&quot;/&gt;&lt;wsp:rsid wsp:val=&quot;00433811&quot;/&gt;&lt;wsp:rsid wsp:val=&quot;004339FF&quot;/&gt;&lt;wsp:rsid wsp:val=&quot;00433B61&quot;/&gt;&lt;wsp:rsid wsp:val=&quot;00433BB2&quot;/&gt;&lt;wsp:rsid wsp:val=&quot;00433F2F&quot;/&gt;&lt;wsp:rsid wsp:val=&quot;00434380&quot;/&gt;&lt;wsp:rsid wsp:val=&quot;004349E6&quot;/&gt;&lt;wsp:rsid wsp:val=&quot;00434A4B&quot;/&gt;&lt;wsp:rsid wsp:val=&quot;00434B67&quot;/&gt;&lt;wsp:rsid wsp:val=&quot;00434B96&quot;/&gt;&lt;wsp:rsid wsp:val=&quot;0043500A&quot;/&gt;&lt;wsp:rsid wsp:val=&quot;004354F4&quot;/&gt;&lt;wsp:rsid wsp:val=&quot;004357EE&quot;/&gt;&lt;wsp:rsid wsp:val=&quot;004357F2&quot;/&gt;&lt;wsp:rsid wsp:val=&quot;00435A48&quot;/&gt;&lt;wsp:rsid wsp:val=&quot;004363D9&quot;/&gt;&lt;wsp:rsid wsp:val=&quot;00436401&quot;/&gt;&lt;wsp:rsid wsp:val=&quot;00436468&quot;/&gt;&lt;wsp:rsid wsp:val=&quot;004365AD&quot;/&gt;&lt;wsp:rsid wsp:val=&quot;0043684B&quot;/&gt;&lt;wsp:rsid wsp:val=&quot;00436874&quot;/&gt;&lt;wsp:rsid wsp:val=&quot;004368FF&quot;/&gt;&lt;wsp:rsid wsp:val=&quot;00436A82&quot;/&gt;&lt;wsp:rsid wsp:val=&quot;00436E0F&quot;/&gt;&lt;wsp:rsid wsp:val=&quot;00436FB0&quot;/&gt;&lt;wsp:rsid wsp:val=&quot;004374F4&quot;/&gt;&lt;wsp:rsid wsp:val=&quot;004376F9&quot;/&gt;&lt;wsp:rsid wsp:val=&quot;004377DE&quot;/&gt;&lt;wsp:rsid wsp:val=&quot;00440001&quot;/&gt;&lt;wsp:rsid wsp:val=&quot;0044045C&quot;/&gt;&lt;wsp:rsid wsp:val=&quot;004404E9&quot;/&gt;&lt;wsp:rsid wsp:val=&quot;004407B3&quot;/&gt;&lt;wsp:rsid wsp:val=&quot;00440BB3&quot;/&gt;&lt;wsp:rsid wsp:val=&quot;00440CE6&quot;/&gt;&lt;wsp:rsid wsp:val=&quot;00440D82&quot;/&gt;&lt;wsp:rsid wsp:val=&quot;00440DDC&quot;/&gt;&lt;wsp:rsid wsp:val=&quot;00440E13&quot;/&gt;&lt;wsp:rsid wsp:val=&quot;004410DC&quot;/&gt;&lt;wsp:rsid wsp:val=&quot;0044116C&quot;/&gt;&lt;wsp:rsid wsp:val=&quot;0044147F&quot;/&gt;&lt;wsp:rsid wsp:val=&quot;0044150D&quot;/&gt;&lt;wsp:rsid wsp:val=&quot;00441C7E&quot;/&gt;&lt;wsp:rsid wsp:val=&quot;0044209A&quot;/&gt;&lt;wsp:rsid wsp:val=&quot;00442242&quot;/&gt;&lt;wsp:rsid wsp:val=&quot;0044234C&quot;/&gt;&lt;wsp:rsid wsp:val=&quot;004424EF&quot;/&gt;&lt;wsp:rsid wsp:val=&quot;00442D56&quot;/&gt;&lt;wsp:rsid wsp:val=&quot;004431DD&quot;/&gt;&lt;wsp:rsid wsp:val=&quot;00443582&quot;/&gt;&lt;wsp:rsid wsp:val=&quot;004436DD&quot;/&gt;&lt;wsp:rsid wsp:val=&quot;00443908&quot;/&gt;&lt;wsp:rsid wsp:val=&quot;004439BE&quot;/&gt;&lt;wsp:rsid wsp:val=&quot;004439E7&quot;/&gt;&lt;wsp:rsid wsp:val=&quot;00443AC4&quot;/&gt;&lt;wsp:rsid wsp:val=&quot;00443EDD&quot;/&gt;&lt;wsp:rsid wsp:val=&quot;00444072&quot;/&gt;&lt;wsp:rsid wsp:val=&quot;00444292&quot;/&gt;&lt;wsp:rsid wsp:val=&quot;004443A0&quot;/&gt;&lt;wsp:rsid wsp:val=&quot;00444592&quot;/&gt;&lt;wsp:rsid wsp:val=&quot;0044469A&quot;/&gt;&lt;wsp:rsid wsp:val=&quot;00444827&quot;/&gt;&lt;wsp:rsid wsp:val=&quot;004448AF&quot;/&gt;&lt;wsp:rsid wsp:val=&quot;00444AD4&quot;/&gt;&lt;wsp:rsid wsp:val=&quot;00444C5E&quot;/&gt;&lt;wsp:rsid wsp:val=&quot;00444D33&quot;/&gt;&lt;wsp:rsid wsp:val=&quot;00444E05&quot;/&gt;&lt;wsp:rsid wsp:val=&quot;00445196&quot;/&gt;&lt;wsp:rsid wsp:val=&quot;004454F8&quot;/&gt;&lt;wsp:rsid wsp:val=&quot;00445588&quot;/&gt;&lt;wsp:rsid wsp:val=&quot;00445757&quot;/&gt;&lt;wsp:rsid wsp:val=&quot;00445A88&quot;/&gt;&lt;wsp:rsid wsp:val=&quot;00445C1F&quot;/&gt;&lt;wsp:rsid wsp:val=&quot;00445C93&quot;/&gt;&lt;wsp:rsid wsp:val=&quot;0044675B&quot;/&gt;&lt;wsp:rsid wsp:val=&quot;00446D0D&quot;/&gt;&lt;wsp:rsid wsp:val=&quot;00446D4A&quot;/&gt;&lt;wsp:rsid wsp:val=&quot;00446FBA&quot;/&gt;&lt;wsp:rsid wsp:val=&quot;0044705D&quot;/&gt;&lt;wsp:rsid wsp:val=&quot;004474D4&quot;/&gt;&lt;wsp:rsid wsp:val=&quot;00447698&quot;/&gt;&lt;wsp:rsid wsp:val=&quot;00447751&quot;/&gt;&lt;wsp:rsid wsp:val=&quot;00447E08&quot;/&gt;&lt;wsp:rsid wsp:val=&quot;00450040&quot;/&gt;&lt;wsp:rsid wsp:val=&quot;004505D3&quot;/&gt;&lt;wsp:rsid wsp:val=&quot;004505F9&quot;/&gt;&lt;wsp:rsid wsp:val=&quot;004509F2&quot;/&gt;&lt;wsp:rsid wsp:val=&quot;00450F8A&quot;/&gt;&lt;wsp:rsid wsp:val=&quot;004510BF&quot;/&gt;&lt;wsp:rsid wsp:val=&quot;004510CB&quot;/&gt;&lt;wsp:rsid wsp:val=&quot;00451182&quot;/&gt;&lt;wsp:rsid wsp:val=&quot;004515FE&quot;/&gt;&lt;wsp:rsid wsp:val=&quot;00451673&quot;/&gt;&lt;wsp:rsid wsp:val=&quot;00451978&quot;/&gt;&lt;wsp:rsid wsp:val=&quot;004519AB&quot;/&gt;&lt;wsp:rsid wsp:val=&quot;00451ACB&quot;/&gt;&lt;wsp:rsid wsp:val=&quot;00451C05&quot;/&gt;&lt;wsp:rsid wsp:val=&quot;00451C7B&quot;/&gt;&lt;wsp:rsid wsp:val=&quot;00452234&quot;/&gt;&lt;wsp:rsid wsp:val=&quot;00452505&quot;/&gt;&lt;wsp:rsid wsp:val=&quot;0045258B&quot;/&gt;&lt;wsp:rsid wsp:val=&quot;00452637&quot;/&gt;&lt;wsp:rsid wsp:val=&quot;004529E4&quot;/&gt;&lt;wsp:rsid wsp:val=&quot;00452A5A&quot;/&gt;&lt;wsp:rsid wsp:val=&quot;00452D34&quot;/&gt;&lt;wsp:rsid wsp:val=&quot;00452D76&quot;/&gt;&lt;wsp:rsid wsp:val=&quot;00452E5B&quot;/&gt;&lt;wsp:rsid wsp:val=&quot;00452E64&quot;/&gt;&lt;wsp:rsid wsp:val=&quot;00453158&quot;/&gt;&lt;wsp:rsid wsp:val=&quot;0045343A&quot;/&gt;&lt;wsp:rsid wsp:val=&quot;004534AC&quot;/&gt;&lt;wsp:rsid wsp:val=&quot;00453874&quot;/&gt;&lt;wsp:rsid wsp:val=&quot;00453D1F&quot;/&gt;&lt;wsp:rsid wsp:val=&quot;00453D34&quot;/&gt;&lt;wsp:rsid wsp:val=&quot;00453EB2&quot;/&gt;&lt;wsp:rsid wsp:val=&quot;00453F5B&quot;/&gt;&lt;wsp:rsid wsp:val=&quot;00453FFC&quot;/&gt;&lt;wsp:rsid wsp:val=&quot;0045413A&quot;/&gt;&lt;wsp:rsid wsp:val=&quot;004543DF&quot;/&gt;&lt;wsp:rsid wsp:val=&quot;00454804&quot;/&gt;&lt;wsp:rsid wsp:val=&quot;00454873&quot;/&gt;&lt;wsp:rsid wsp:val=&quot;004549A3&quot;/&gt;&lt;wsp:rsid wsp:val=&quot;00454A04&quot;/&gt;&lt;wsp:rsid wsp:val=&quot;00454BD6&quot;/&gt;&lt;wsp:rsid wsp:val=&quot;00454C04&quot;/&gt;&lt;wsp:rsid wsp:val=&quot;00454DC7&quot;/&gt;&lt;wsp:rsid wsp:val=&quot;0045509C&quot;/&gt;&lt;wsp:rsid wsp:val=&quot;00455200&quot;/&gt;&lt;wsp:rsid wsp:val=&quot;0045532E&quot;/&gt;&lt;wsp:rsid wsp:val=&quot;00455344&quot;/&gt;&lt;wsp:rsid wsp:val=&quot;004555B2&quot;/&gt;&lt;wsp:rsid wsp:val=&quot;004557EA&quot;/&gt;&lt;wsp:rsid wsp:val=&quot;0045586D&quot;/&gt;&lt;wsp:rsid wsp:val=&quot;004558F2&quot;/&gt;&lt;wsp:rsid wsp:val=&quot;00455993&quot;/&gt;&lt;wsp:rsid wsp:val=&quot;004559AC&quot;/&gt;&lt;wsp:rsid wsp:val=&quot;00455AC7&quot;/&gt;&lt;wsp:rsid wsp:val=&quot;00455C69&quot;/&gt;&lt;wsp:rsid wsp:val=&quot;00455DC9&quot;/&gt;&lt;wsp:rsid wsp:val=&quot;00456410&quot;/&gt;&lt;wsp:rsid wsp:val=&quot;00456505&quot;/&gt;&lt;wsp:rsid wsp:val=&quot;0045656E&quot;/&gt;&lt;wsp:rsid wsp:val=&quot;004567B8&quot;/&gt;&lt;wsp:rsid wsp:val=&quot;004567F0&quot;/&gt;&lt;wsp:rsid wsp:val=&quot;00456877&quot;/&gt;&lt;wsp:rsid wsp:val=&quot;00456A4B&quot;/&gt;&lt;wsp:rsid wsp:val=&quot;00456AA6&quot;/&gt;&lt;wsp:rsid wsp:val=&quot;004572CF&quot;/&gt;&lt;wsp:rsid wsp:val=&quot;0045747B&quot;/&gt;&lt;wsp:rsid wsp:val=&quot;0045760A&quot;/&gt;&lt;wsp:rsid wsp:val=&quot;00457925&quot;/&gt;&lt;wsp:rsid wsp:val=&quot;00457962&quot;/&gt;&lt;wsp:rsid wsp:val=&quot;004579F9&quot;/&gt;&lt;wsp:rsid wsp:val=&quot;00457B3F&quot;/&gt;&lt;wsp:rsid wsp:val=&quot;00457C0E&quot;/&gt;&lt;wsp:rsid wsp:val=&quot;00457CD3&quot;/&gt;&lt;wsp:rsid wsp:val=&quot;00457F43&quot;/&gt;&lt;wsp:rsid wsp:val=&quot;004603AE&quot;/&gt;&lt;wsp:rsid wsp:val=&quot;00460594&quot;/&gt;&lt;wsp:rsid wsp:val=&quot;00460B11&quot;/&gt;&lt;wsp:rsid wsp:val=&quot;00460C32&quot;/&gt;&lt;wsp:rsid wsp:val=&quot;00460C3F&quot;/&gt;&lt;wsp:rsid wsp:val=&quot;00460D38&quot;/&gt;&lt;wsp:rsid wsp:val=&quot;004613D0&quot;/&gt;&lt;wsp:rsid wsp:val=&quot;0046142A&quot;/&gt;&lt;wsp:rsid wsp:val=&quot;0046150F&quot;/&gt;&lt;wsp:rsid wsp:val=&quot;00461985&quot;/&gt;&lt;wsp:rsid wsp:val=&quot;00461A5F&quot;/&gt;&lt;wsp:rsid wsp:val=&quot;00461DD2&quot;/&gt;&lt;wsp:rsid wsp:val=&quot;00462120&quot;/&gt;&lt;wsp:rsid wsp:val=&quot;0046212E&quot;/&gt;&lt;wsp:rsid wsp:val=&quot;00462273&quot;/&gt;&lt;wsp:rsid wsp:val=&quot;004624C3&quot;/&gt;&lt;wsp:rsid wsp:val=&quot;0046268E&quot;/&gt;&lt;wsp:rsid wsp:val=&quot;00462762&quot;/&gt;&lt;wsp:rsid wsp:val=&quot;0046278B&quot;/&gt;&lt;wsp:rsid wsp:val=&quot;004627ED&quot;/&gt;&lt;wsp:rsid wsp:val=&quot;00462944&quot;/&gt;&lt;wsp:rsid wsp:val=&quot;00462A86&quot;/&gt;&lt;wsp:rsid wsp:val=&quot;00462CD7&quot;/&gt;&lt;wsp:rsid wsp:val=&quot;00462EAE&quot;/&gt;&lt;wsp:rsid wsp:val=&quot;00462F83&quot;/&gt;&lt;wsp:rsid wsp:val=&quot;004635DE&quot;/&gt;&lt;wsp:rsid wsp:val=&quot;00463675&quot;/&gt;&lt;wsp:rsid wsp:val=&quot;0046383D&quot;/&gt;&lt;wsp:rsid wsp:val=&quot;00463BA5&quot;/&gt;&lt;wsp:rsid wsp:val=&quot;00463C41&quot;/&gt;&lt;wsp:rsid wsp:val=&quot;00463C6B&quot;/&gt;&lt;wsp:rsid wsp:val=&quot;004644FA&quot;/&gt;&lt;wsp:rsid wsp:val=&quot;0046479B&quot;/&gt;&lt;wsp:rsid wsp:val=&quot;00464D6F&quot;/&gt;&lt;wsp:rsid wsp:val=&quot;00464E0B&quot;/&gt;&lt;wsp:rsid wsp:val=&quot;0046550B&quot;/&gt;&lt;wsp:rsid wsp:val=&quot;00465665&quot;/&gt;&lt;wsp:rsid wsp:val=&quot;00465B12&quot;/&gt;&lt;wsp:rsid wsp:val=&quot;00465BB9&quot;/&gt;&lt;wsp:rsid wsp:val=&quot;00465D41&quot;/&gt;&lt;wsp:rsid wsp:val=&quot;00465E9C&quot;/&gt;&lt;wsp:rsid wsp:val=&quot;00465EA2&quot;/&gt;&lt;wsp:rsid wsp:val=&quot;00466115&quot;/&gt;&lt;wsp:rsid wsp:val=&quot;004662A3&quot;/&gt;&lt;wsp:rsid wsp:val=&quot;004667D1&quot;/&gt;&lt;wsp:rsid wsp:val=&quot;0046688F&quot;/&gt;&lt;wsp:rsid wsp:val=&quot;00466D1A&quot;/&gt;&lt;wsp:rsid wsp:val=&quot;00467262&quot;/&gt;&lt;wsp:rsid wsp:val=&quot;0046729A&quot;/&gt;&lt;wsp:rsid wsp:val=&quot;004672A6&quot;/&gt;&lt;wsp:rsid wsp:val=&quot;004672F9&quot;/&gt;&lt;wsp:rsid wsp:val=&quot;004673F8&quot;/&gt;&lt;wsp:rsid wsp:val=&quot;004674A1&quot;/&gt;&lt;wsp:rsid wsp:val=&quot;004678A5&quot;/&gt;&lt;wsp:rsid wsp:val=&quot;004679B6&quot;/&gt;&lt;wsp:rsid wsp:val=&quot;00467C56&quot;/&gt;&lt;wsp:rsid wsp:val=&quot;0047054D&quot;/&gt;&lt;wsp:rsid wsp:val=&quot;00470586&quot;/&gt;&lt;wsp:rsid wsp:val=&quot;004709D9&quot;/&gt;&lt;wsp:rsid wsp:val=&quot;00471AE1&quot;/&gt;&lt;wsp:rsid wsp:val=&quot;00471D8D&quot;/&gt;&lt;wsp:rsid wsp:val=&quot;00471DC5&quot;/&gt;&lt;wsp:rsid wsp:val=&quot;00471E91&quot;/&gt;&lt;wsp:rsid wsp:val=&quot;004722C7&quot;/&gt;&lt;wsp:rsid wsp:val=&quot;00472316&quot;/&gt;&lt;wsp:rsid wsp:val=&quot;004724E6&quot;/&gt;&lt;wsp:rsid wsp:val=&quot;004727D5&quot;/&gt;&lt;wsp:rsid wsp:val=&quot;004733C6&quot;/&gt;&lt;wsp:rsid wsp:val=&quot;004734CE&quot;/&gt;&lt;wsp:rsid wsp:val=&quot;004734FC&quot;/&gt;&lt;wsp:rsid wsp:val=&quot;0047361B&quot;/&gt;&lt;wsp:rsid wsp:val=&quot;00473752&quot;/&gt;&lt;wsp:rsid wsp:val=&quot;004738DC&quot;/&gt;&lt;wsp:rsid wsp:val=&quot;004738F1&quot;/&gt;&lt;wsp:rsid wsp:val=&quot;00473CBC&quot;/&gt;&lt;wsp:rsid wsp:val=&quot;00473F84&quot;/&gt;&lt;wsp:rsid wsp:val=&quot;00473F8F&quot;/&gt;&lt;wsp:rsid wsp:val=&quot;0047404B&quot;/&gt;&lt;wsp:rsid wsp:val=&quot;00474230&quot;/&gt;&lt;wsp:rsid wsp:val=&quot;00474404&quot;/&gt;&lt;wsp:rsid wsp:val=&quot;0047471D&quot;/&gt;&lt;wsp:rsid wsp:val=&quot;004748CA&quot;/&gt;&lt;wsp:rsid wsp:val=&quot;00474BE4&quot;/&gt;&lt;wsp:rsid wsp:val=&quot;00474CF3&quot;/&gt;&lt;wsp:rsid wsp:val=&quot;00475579&quot;/&gt;&lt;wsp:rsid wsp:val=&quot;004755BB&quot;/&gt;&lt;wsp:rsid wsp:val=&quot;0047573D&quot;/&gt;&lt;wsp:rsid wsp:val=&quot;0047634C&quot;/&gt;&lt;wsp:rsid wsp:val=&quot;00476581&quot;/&gt;&lt;wsp:rsid wsp:val=&quot;00476702&quot;/&gt;&lt;wsp:rsid wsp:val=&quot;00476960&quot;/&gt;&lt;wsp:rsid wsp:val=&quot;00476A17&quot;/&gt;&lt;wsp:rsid wsp:val=&quot;00476EBD&quot;/&gt;&lt;wsp:rsid wsp:val=&quot;00476FC7&quot;/&gt;&lt;wsp:rsid wsp:val=&quot;00477314&quot;/&gt;&lt;wsp:rsid wsp:val=&quot;0047742D&quot;/&gt;&lt;wsp:rsid wsp:val=&quot;004777BD&quot;/&gt;&lt;wsp:rsid wsp:val=&quot;0048018A&quot;/&gt;&lt;wsp:rsid wsp:val=&quot;004802F4&quot;/&gt;&lt;wsp:rsid wsp:val=&quot;0048037E&quot;/&gt;&lt;wsp:rsid wsp:val=&quot;00480D16&quot;/&gt;&lt;wsp:rsid wsp:val=&quot;00481073&quot;/&gt;&lt;wsp:rsid wsp:val=&quot;004811E9&quot;/&gt;&lt;wsp:rsid wsp:val=&quot;00481473&quot;/&gt;&lt;wsp:rsid wsp:val=&quot;004815D0&quot;/&gt;&lt;wsp:rsid wsp:val=&quot;00481707&quot;/&gt;&lt;wsp:rsid wsp:val=&quot;00481778&quot;/&gt;&lt;wsp:rsid wsp:val=&quot;00481902&quot;/&gt;&lt;wsp:rsid wsp:val=&quot;00481E47&quot;/&gt;&lt;wsp:rsid wsp:val=&quot;00481E66&quot;/&gt;&lt;wsp:rsid wsp:val=&quot;004822A5&quot;/&gt;&lt;wsp:rsid wsp:val=&quot;00482454&quot;/&gt;&lt;wsp:rsid wsp:val=&quot;004825B4&quot;/&gt;&lt;wsp:rsid wsp:val=&quot;00482600&quot;/&gt;&lt;wsp:rsid wsp:val=&quot;00482659&quot;/&gt;&lt;wsp:rsid wsp:val=&quot;00482734&quot;/&gt;&lt;wsp:rsid wsp:val=&quot;004828AA&quot;/&gt;&lt;wsp:rsid wsp:val=&quot;00482BDF&quot;/&gt;&lt;wsp:rsid wsp:val=&quot;00482C1B&quot;/&gt;&lt;wsp:rsid wsp:val=&quot;00482C27&quot;/&gt;&lt;wsp:rsid wsp:val=&quot;00482C58&quot;/&gt;&lt;wsp:rsid wsp:val=&quot;004835CC&quot;/&gt;&lt;wsp:rsid wsp:val=&quot;004836FA&quot;/&gt;&lt;wsp:rsid wsp:val=&quot;00483DA3&quot;/&gt;&lt;wsp:rsid wsp:val=&quot;00484195&quot;/&gt;&lt;wsp:rsid wsp:val=&quot;004843CE&quot;/&gt;&lt;wsp:rsid wsp:val=&quot;0048453B&quot;/&gt;&lt;wsp:rsid wsp:val=&quot;004846CE&quot;/&gt;&lt;wsp:rsid wsp:val=&quot;00484733&quot;/&gt;&lt;wsp:rsid wsp:val=&quot;0048475C&quot;/&gt;&lt;wsp:rsid wsp:val=&quot;0048482A&quot;/&gt;&lt;wsp:rsid wsp:val=&quot;0048492E&quot;/&gt;&lt;wsp:rsid wsp:val=&quot;004849E9&quot;/&gt;&lt;wsp:rsid wsp:val=&quot;00484B07&quot;/&gt;&lt;wsp:rsid wsp:val=&quot;00484DC1&quot;/&gt;&lt;wsp:rsid wsp:val=&quot;00485177&quot;/&gt;&lt;wsp:rsid wsp:val=&quot;00485559&quot;/&gt;&lt;wsp:rsid wsp:val=&quot;00485883&quot;/&gt;&lt;wsp:rsid wsp:val=&quot;00485A30&quot;/&gt;&lt;wsp:rsid wsp:val=&quot;00485C89&quot;/&gt;&lt;wsp:rsid wsp:val=&quot;00485D3B&quot;/&gt;&lt;wsp:rsid wsp:val=&quot;00485E8F&quot;/&gt;&lt;wsp:rsid wsp:val=&quot;00486428&quot;/&gt;&lt;wsp:rsid wsp:val=&quot;004865E0&quot;/&gt;&lt;wsp:rsid wsp:val=&quot;00486853&quot;/&gt;&lt;wsp:rsid wsp:val=&quot;00486860&quot;/&gt;&lt;wsp:rsid wsp:val=&quot;004869F6&quot;/&gt;&lt;wsp:rsid wsp:val=&quot;004872F5&quot;/&gt;&lt;wsp:rsid wsp:val=&quot;0048752B&quot;/&gt;&lt;wsp:rsid wsp:val=&quot;00487611&quot;/&gt;&lt;wsp:rsid wsp:val=&quot;00487722&quot;/&gt;&lt;wsp:rsid wsp:val=&quot;00487899&quot;/&gt;&lt;wsp:rsid wsp:val=&quot;00487BEB&quot;/&gt;&lt;wsp:rsid wsp:val=&quot;00487E99&quot;/&gt;&lt;wsp:rsid wsp:val=&quot;00487FDC&quot;/&gt;&lt;wsp:rsid wsp:val=&quot;0049009C&quot;/&gt;&lt;wsp:rsid wsp:val=&quot;004900CE&quot;/&gt;&lt;wsp:rsid wsp:val=&quot;004902D4&quot;/&gt;&lt;wsp:rsid wsp:val=&quot;004907F9&quot;/&gt;&lt;wsp:rsid wsp:val=&quot;004908DB&quot;/&gt;&lt;wsp:rsid wsp:val=&quot;00490A8A&quot;/&gt;&lt;wsp:rsid wsp:val=&quot;00490A9B&quot;/&gt;&lt;wsp:rsid wsp:val=&quot;00490C6B&quot;/&gt;&lt;wsp:rsid wsp:val=&quot;00490CAA&quot;/&gt;&lt;wsp:rsid wsp:val=&quot;0049108B&quot;/&gt;&lt;wsp:rsid wsp:val=&quot;004911E7&quot;/&gt;&lt;wsp:rsid wsp:val=&quot;004915EB&quot;/&gt;&lt;wsp:rsid wsp:val=&quot;00491819&quot;/&gt;&lt;wsp:rsid wsp:val=&quot;00491D4E&quot;/&gt;&lt;wsp:rsid wsp:val=&quot;00491E06&quot;/&gt;&lt;wsp:rsid wsp:val=&quot;00492120&quot;/&gt;&lt;wsp:rsid wsp:val=&quot;004927DD&quot;/&gt;&lt;wsp:rsid wsp:val=&quot;00492A46&quot;/&gt;&lt;wsp:rsid wsp:val=&quot;00492A97&quot;/&gt;&lt;wsp:rsid wsp:val=&quot;00492F1D&quot;/&gt;&lt;wsp:rsid wsp:val=&quot;004933D6&quot;/&gt;&lt;wsp:rsid wsp:val=&quot;0049358F&quot;/&gt;&lt;wsp:rsid wsp:val=&quot;00493592&quot;/&gt;&lt;wsp:rsid wsp:val=&quot;00493614&quot;/&gt;&lt;wsp:rsid wsp:val=&quot;004940AE&quot;/&gt;&lt;wsp:rsid wsp:val=&quot;0049459B&quot;/&gt;&lt;wsp:rsid wsp:val=&quot;004949D7&quot;/&gt;&lt;wsp:rsid wsp:val=&quot;00494E20&quot;/&gt;&lt;wsp:rsid wsp:val=&quot;00494E7B&quot;/&gt;&lt;wsp:rsid wsp:val=&quot;00494FB7&quot;/&gt;&lt;wsp:rsid wsp:val=&quot;00495398&quot;/&gt;&lt;wsp:rsid wsp:val=&quot;00495415&quot;/&gt;&lt;wsp:rsid wsp:val=&quot;00495485&quot;/&gt;&lt;wsp:rsid wsp:val=&quot;00495488&quot;/&gt;&lt;wsp:rsid wsp:val=&quot;00495641&quot;/&gt;&lt;wsp:rsid wsp:val=&quot;004956EE&quot;/&gt;&lt;wsp:rsid wsp:val=&quot;004959F6&quot;/&gt;&lt;wsp:rsid wsp:val=&quot;00495E89&quot;/&gt;&lt;wsp:rsid wsp:val=&quot;00495EDC&quot;/&gt;&lt;wsp:rsid wsp:val=&quot;00495FFA&quot;/&gt;&lt;wsp:rsid wsp:val=&quot;00495FFF&quot;/&gt;&lt;wsp:rsid wsp:val=&quot;00496070&quot;/&gt;&lt;wsp:rsid wsp:val=&quot;00496152&quot;/&gt;&lt;wsp:rsid wsp:val=&quot;00496217&quot;/&gt;&lt;wsp:rsid wsp:val=&quot;0049627C&quot;/&gt;&lt;wsp:rsid wsp:val=&quot;0049638A&quot;/&gt;&lt;wsp:rsid wsp:val=&quot;0049649F&quot;/&gt;&lt;wsp:rsid wsp:val=&quot;004965D1&quot;/&gt;&lt;wsp:rsid wsp:val=&quot;0049667B&quot;/&gt;&lt;wsp:rsid wsp:val=&quot;004969F5&quot;/&gt;&lt;wsp:rsid wsp:val=&quot;00496A85&quot;/&gt;&lt;wsp:rsid wsp:val=&quot;00496D8D&quot;/&gt;&lt;wsp:rsid wsp:val=&quot;004974CA&quot;/&gt;&lt;wsp:rsid wsp:val=&quot;0049753A&quot;/&gt;&lt;wsp:rsid wsp:val=&quot;00497C26&quot;/&gt;&lt;wsp:rsid wsp:val=&quot;00497C62&quot;/&gt;&lt;wsp:rsid wsp:val=&quot;00497F05&quot;/&gt;&lt;wsp:rsid wsp:val=&quot;004A060C&quot;/&gt;&lt;wsp:rsid wsp:val=&quot;004A07B1&quot;/&gt;&lt;wsp:rsid wsp:val=&quot;004A0846&quot;/&gt;&lt;wsp:rsid wsp:val=&quot;004A0905&quot;/&gt;&lt;wsp:rsid wsp:val=&quot;004A0B59&quot;/&gt;&lt;wsp:rsid wsp:val=&quot;004A0CAC&quot;/&gt;&lt;wsp:rsid wsp:val=&quot;004A1388&quot;/&gt;&lt;wsp:rsid wsp:val=&quot;004A13F1&quot;/&gt;&lt;wsp:rsid wsp:val=&quot;004A16DC&quot;/&gt;&lt;wsp:rsid wsp:val=&quot;004A2257&quot;/&gt;&lt;wsp:rsid wsp:val=&quot;004A2406&quot;/&gt;&lt;wsp:rsid wsp:val=&quot;004A272A&quot;/&gt;&lt;wsp:rsid wsp:val=&quot;004A272C&quot;/&gt;&lt;wsp:rsid wsp:val=&quot;004A2871&quot;/&gt;&lt;wsp:rsid wsp:val=&quot;004A28DE&quot;/&gt;&lt;wsp:rsid wsp:val=&quot;004A2F37&quot;/&gt;&lt;wsp:rsid wsp:val=&quot;004A34BD&quot;/&gt;&lt;wsp:rsid wsp:val=&quot;004A382E&quot;/&gt;&lt;wsp:rsid wsp:val=&quot;004A3BDF&quot;/&gt;&lt;wsp:rsid wsp:val=&quot;004A3C92&quot;/&gt;&lt;wsp:rsid wsp:val=&quot;004A3EA9&quot;/&gt;&lt;wsp:rsid wsp:val=&quot;004A4064&quot;/&gt;&lt;wsp:rsid wsp:val=&quot;004A41D2&quot;/&gt;&lt;wsp:rsid wsp:val=&quot;004A42E7&quot;/&gt;&lt;wsp:rsid wsp:val=&quot;004A465F&quot;/&gt;&lt;wsp:rsid wsp:val=&quot;004A46F2&quot;/&gt;&lt;wsp:rsid wsp:val=&quot;004A5036&quot;/&gt;&lt;wsp:rsid wsp:val=&quot;004A506C&quot;/&gt;&lt;wsp:rsid wsp:val=&quot;004A5B07&quot;/&gt;&lt;wsp:rsid wsp:val=&quot;004A5B8B&quot;/&gt;&lt;wsp:rsid wsp:val=&quot;004A64EB&quot;/&gt;&lt;wsp:rsid wsp:val=&quot;004A664B&quot;/&gt;&lt;wsp:rsid wsp:val=&quot;004A6D0C&quot;/&gt;&lt;wsp:rsid wsp:val=&quot;004A6F5C&quot;/&gt;&lt;wsp:rsid wsp:val=&quot;004A6FD7&quot;/&gt;&lt;wsp:rsid wsp:val=&quot;004A76BE&quot;/&gt;&lt;wsp:rsid wsp:val=&quot;004A779F&quot;/&gt;&lt;wsp:rsid wsp:val=&quot;004A7B05&quot;/&gt;&lt;wsp:rsid wsp:val=&quot;004A7D31&quot;/&gt;&lt;wsp:rsid wsp:val=&quot;004B01E9&quot;/&gt;&lt;wsp:rsid wsp:val=&quot;004B0233&quot;/&gt;&lt;wsp:rsid wsp:val=&quot;004B0290&quot;/&gt;&lt;wsp:rsid wsp:val=&quot;004B0583&quot;/&gt;&lt;wsp:rsid wsp:val=&quot;004B06AA&quot;/&gt;&lt;wsp:rsid wsp:val=&quot;004B0DF5&quot;/&gt;&lt;wsp:rsid wsp:val=&quot;004B10E8&quot;/&gt;&lt;wsp:rsid wsp:val=&quot;004B1231&quot;/&gt;&lt;wsp:rsid wsp:val=&quot;004B13D9&quot;/&gt;&lt;wsp:rsid wsp:val=&quot;004B142C&quot;/&gt;&lt;wsp:rsid wsp:val=&quot;004B1520&quot;/&gt;&lt;wsp:rsid wsp:val=&quot;004B164C&quot;/&gt;&lt;wsp:rsid wsp:val=&quot;004B19B9&quot;/&gt;&lt;wsp:rsid wsp:val=&quot;004B1B18&quot;/&gt;&lt;wsp:rsid wsp:val=&quot;004B1DF6&quot;/&gt;&lt;wsp:rsid wsp:val=&quot;004B1F29&quot;/&gt;&lt;wsp:rsid wsp:val=&quot;004B1FE0&quot;/&gt;&lt;wsp:rsid wsp:val=&quot;004B207A&quot;/&gt;&lt;wsp:rsid wsp:val=&quot;004B209D&quot;/&gt;&lt;wsp:rsid wsp:val=&quot;004B22BC&quot;/&gt;&lt;wsp:rsid wsp:val=&quot;004B2471&quot;/&gt;&lt;wsp:rsid wsp:val=&quot;004B2837&quot;/&gt;&lt;wsp:rsid wsp:val=&quot;004B2C54&quot;/&gt;&lt;wsp:rsid wsp:val=&quot;004B336D&quot;/&gt;&lt;wsp:rsid wsp:val=&quot;004B337D&quot;/&gt;&lt;wsp:rsid wsp:val=&quot;004B37BB&quot;/&gt;&lt;wsp:rsid wsp:val=&quot;004B4100&quot;/&gt;&lt;wsp:rsid wsp:val=&quot;004B4319&quot;/&gt;&lt;wsp:rsid wsp:val=&quot;004B44F7&quot;/&gt;&lt;wsp:rsid wsp:val=&quot;004B459C&quot;/&gt;&lt;wsp:rsid wsp:val=&quot;004B4892&quot;/&gt;&lt;wsp:rsid wsp:val=&quot;004B491C&quot;/&gt;&lt;wsp:rsid wsp:val=&quot;004B4A02&quot;/&gt;&lt;wsp:rsid wsp:val=&quot;004B4D49&quot;/&gt;&lt;wsp:rsid wsp:val=&quot;004B4DFD&quot;/&gt;&lt;wsp:rsid wsp:val=&quot;004B5209&quot;/&gt;&lt;wsp:rsid wsp:val=&quot;004B58AA&quot;/&gt;&lt;wsp:rsid wsp:val=&quot;004B5A15&quot;/&gt;&lt;wsp:rsid wsp:val=&quot;004B5FCC&quot;/&gt;&lt;wsp:rsid wsp:val=&quot;004B603F&quot;/&gt;&lt;wsp:rsid wsp:val=&quot;004B605C&quot;/&gt;&lt;wsp:rsid wsp:val=&quot;004B6068&quot;/&gt;&lt;wsp:rsid wsp:val=&quot;004B60B7&quot;/&gt;&lt;wsp:rsid wsp:val=&quot;004B6224&quot;/&gt;&lt;wsp:rsid wsp:val=&quot;004B6782&quot;/&gt;&lt;wsp:rsid wsp:val=&quot;004B6A4B&quot;/&gt;&lt;wsp:rsid wsp:val=&quot;004B6C27&quot;/&gt;&lt;wsp:rsid wsp:val=&quot;004B6C6A&quot;/&gt;&lt;wsp:rsid wsp:val=&quot;004B6D4A&quot;/&gt;&lt;wsp:rsid wsp:val=&quot;004B6E7C&quot;/&gt;&lt;wsp:rsid wsp:val=&quot;004B7295&quot;/&gt;&lt;wsp:rsid wsp:val=&quot;004B72FF&quot;/&gt;&lt;wsp:rsid wsp:val=&quot;004B75D0&quot;/&gt;&lt;wsp:rsid wsp:val=&quot;004B76C6&quot;/&gt;&lt;wsp:rsid wsp:val=&quot;004C0439&quot;/&gt;&lt;wsp:rsid wsp:val=&quot;004C050C&quot;/&gt;&lt;wsp:rsid wsp:val=&quot;004C051E&quot;/&gt;&lt;wsp:rsid wsp:val=&quot;004C0735&quot;/&gt;&lt;wsp:rsid wsp:val=&quot;004C0944&quot;/&gt;&lt;wsp:rsid wsp:val=&quot;004C0B11&quot;/&gt;&lt;wsp:rsid wsp:val=&quot;004C0B9C&quot;/&gt;&lt;wsp:rsid wsp:val=&quot;004C0D95&quot;/&gt;&lt;wsp:rsid wsp:val=&quot;004C0F15&quot;/&gt;&lt;wsp:rsid wsp:val=&quot;004C1018&quot;/&gt;&lt;wsp:rsid wsp:val=&quot;004C1617&quot;/&gt;&lt;wsp:rsid wsp:val=&quot;004C174C&quot;/&gt;&lt;wsp:rsid wsp:val=&quot;004C185D&quot;/&gt;&lt;wsp:rsid wsp:val=&quot;004C1D28&quot;/&gt;&lt;wsp:rsid wsp:val=&quot;004C1ED0&quot;/&gt;&lt;wsp:rsid wsp:val=&quot;004C1ED3&quot;/&gt;&lt;wsp:rsid wsp:val=&quot;004C21E3&quot;/&gt;&lt;wsp:rsid wsp:val=&quot;004C2224&quot;/&gt;&lt;wsp:rsid wsp:val=&quot;004C2724&quot;/&gt;&lt;wsp:rsid wsp:val=&quot;004C292C&quot;/&gt;&lt;wsp:rsid wsp:val=&quot;004C2D2B&quot;/&gt;&lt;wsp:rsid wsp:val=&quot;004C2F4F&quot;/&gt;&lt;wsp:rsid wsp:val=&quot;004C341C&quot;/&gt;&lt;wsp:rsid wsp:val=&quot;004C35E3&quot;/&gt;&lt;wsp:rsid wsp:val=&quot;004C3899&quot;/&gt;&lt;wsp:rsid wsp:val=&quot;004C4075&quot;/&gt;&lt;wsp:rsid wsp:val=&quot;004C4482&quot;/&gt;&lt;wsp:rsid wsp:val=&quot;004C4F4B&quot;/&gt;&lt;wsp:rsid wsp:val=&quot;004C5163&quot;/&gt;&lt;wsp:rsid wsp:val=&quot;004C5286&quot;/&gt;&lt;wsp:rsid wsp:val=&quot;004C5753&quot;/&gt;&lt;wsp:rsid wsp:val=&quot;004C57DE&quot;/&gt;&lt;wsp:rsid wsp:val=&quot;004C5916&quot;/&gt;&lt;wsp:rsid wsp:val=&quot;004C6333&quot;/&gt;&lt;wsp:rsid wsp:val=&quot;004C6383&quot;/&gt;&lt;wsp:rsid wsp:val=&quot;004C64AA&quot;/&gt;&lt;wsp:rsid wsp:val=&quot;004C6530&quot;/&gt;&lt;wsp:rsid wsp:val=&quot;004C697D&quot;/&gt;&lt;wsp:rsid wsp:val=&quot;004C6DF8&quot;/&gt;&lt;wsp:rsid wsp:val=&quot;004C717B&quot;/&gt;&lt;wsp:rsid wsp:val=&quot;004C7639&quot;/&gt;&lt;wsp:rsid wsp:val=&quot;004C7769&quot;/&gt;&lt;wsp:rsid wsp:val=&quot;004C79CE&quot;/&gt;&lt;wsp:rsid wsp:val=&quot;004C7E9B&quot;/&gt;&lt;wsp:rsid wsp:val=&quot;004C7F8C&quot;/&gt;&lt;wsp:rsid wsp:val=&quot;004C7FD4&quot;/&gt;&lt;wsp:rsid wsp:val=&quot;004D0224&quot;/&gt;&lt;wsp:rsid wsp:val=&quot;004D0401&quot;/&gt;&lt;wsp:rsid wsp:val=&quot;004D0830&quot;/&gt;&lt;wsp:rsid wsp:val=&quot;004D0D4D&quot;/&gt;&lt;wsp:rsid wsp:val=&quot;004D0E43&quot;/&gt;&lt;wsp:rsid wsp:val=&quot;004D1019&quot;/&gt;&lt;wsp:rsid wsp:val=&quot;004D13DC&quot;/&gt;&lt;wsp:rsid wsp:val=&quot;004D1488&quot;/&gt;&lt;wsp:rsid wsp:val=&quot;004D1561&quot;/&gt;&lt;wsp:rsid wsp:val=&quot;004D17D8&quot;/&gt;&lt;wsp:rsid wsp:val=&quot;004D1B73&quot;/&gt;&lt;wsp:rsid wsp:val=&quot;004D1B94&quot;/&gt;&lt;wsp:rsid wsp:val=&quot;004D1BF8&quot;/&gt;&lt;wsp:rsid wsp:val=&quot;004D1E06&quot;/&gt;&lt;wsp:rsid wsp:val=&quot;004D1F64&quot;/&gt;&lt;wsp:rsid wsp:val=&quot;004D1FCB&quot;/&gt;&lt;wsp:rsid wsp:val=&quot;004D2367&quot;/&gt;&lt;wsp:rsid wsp:val=&quot;004D240E&quot;/&gt;&lt;wsp:rsid wsp:val=&quot;004D2677&quot;/&gt;&lt;wsp:rsid wsp:val=&quot;004D2694&quot;/&gt;&lt;wsp:rsid wsp:val=&quot;004D26A7&quot;/&gt;&lt;wsp:rsid wsp:val=&quot;004D26BE&quot;/&gt;&lt;wsp:rsid wsp:val=&quot;004D26C3&quot;/&gt;&lt;wsp:rsid wsp:val=&quot;004D2901&quot;/&gt;&lt;wsp:rsid wsp:val=&quot;004D2AAC&quot;/&gt;&lt;wsp:rsid wsp:val=&quot;004D2B38&quot;/&gt;&lt;wsp:rsid wsp:val=&quot;004D2CA5&quot;/&gt;&lt;wsp:rsid wsp:val=&quot;004D2F48&quot;/&gt;&lt;wsp:rsid wsp:val=&quot;004D3118&quot;/&gt;&lt;wsp:rsid wsp:val=&quot;004D3536&quot;/&gt;&lt;wsp:rsid wsp:val=&quot;004D358A&quot;/&gt;&lt;wsp:rsid wsp:val=&quot;004D380A&quot;/&gt;&lt;wsp:rsid wsp:val=&quot;004D39CA&quot;/&gt;&lt;wsp:rsid wsp:val=&quot;004D3FA8&quot;/&gt;&lt;wsp:rsid wsp:val=&quot;004D4448&quot;/&gt;&lt;wsp:rsid wsp:val=&quot;004D452F&quot;/&gt;&lt;wsp:rsid wsp:val=&quot;004D4818&quot;/&gt;&lt;wsp:rsid wsp:val=&quot;004D49C0&quot;/&gt;&lt;wsp:rsid wsp:val=&quot;004D4A05&quot;/&gt;&lt;wsp:rsid wsp:val=&quot;004D4C72&quot;/&gt;&lt;wsp:rsid wsp:val=&quot;004D4FB7&quot;/&gt;&lt;wsp:rsid wsp:val=&quot;004D5371&quot;/&gt;&lt;wsp:rsid wsp:val=&quot;004D5415&quot;/&gt;&lt;wsp:rsid wsp:val=&quot;004D683E&quot;/&gt;&lt;wsp:rsid wsp:val=&quot;004D6A81&quot;/&gt;&lt;wsp:rsid wsp:val=&quot;004D7054&quot;/&gt;&lt;wsp:rsid wsp:val=&quot;004D7138&quot;/&gt;&lt;wsp:rsid wsp:val=&quot;004D7376&quot;/&gt;&lt;wsp:rsid wsp:val=&quot;004D79DD&quot;/&gt;&lt;wsp:rsid wsp:val=&quot;004D7BB1&quot;/&gt;&lt;wsp:rsid wsp:val=&quot;004D7BB7&quot;/&gt;&lt;wsp:rsid wsp:val=&quot;004E0012&quot;/&gt;&lt;wsp:rsid wsp:val=&quot;004E00D4&quot;/&gt;&lt;wsp:rsid wsp:val=&quot;004E02D3&quot;/&gt;&lt;wsp:rsid wsp:val=&quot;004E04D2&quot;/&gt;&lt;wsp:rsid wsp:val=&quot;004E09CD&quot;/&gt;&lt;wsp:rsid wsp:val=&quot;004E09F0&quot;/&gt;&lt;wsp:rsid wsp:val=&quot;004E0AA7&quot;/&gt;&lt;wsp:rsid wsp:val=&quot;004E0B48&quot;/&gt;&lt;wsp:rsid wsp:val=&quot;004E0E0F&quot;/&gt;&lt;wsp:rsid wsp:val=&quot;004E103B&quot;/&gt;&lt;wsp:rsid wsp:val=&quot;004E1116&quot;/&gt;&lt;wsp:rsid wsp:val=&quot;004E11AD&quot;/&gt;&lt;wsp:rsid wsp:val=&quot;004E12E9&quot;/&gt;&lt;wsp:rsid wsp:val=&quot;004E15AC&quot;/&gt;&lt;wsp:rsid wsp:val=&quot;004E1769&quot;/&gt;&lt;wsp:rsid wsp:val=&quot;004E1948&quot;/&gt;&lt;wsp:rsid wsp:val=&quot;004E1BFE&quot;/&gt;&lt;wsp:rsid wsp:val=&quot;004E1E5B&quot;/&gt;&lt;wsp:rsid wsp:val=&quot;004E2364&quot;/&gt;&lt;wsp:rsid wsp:val=&quot;004E24D3&quot;/&gt;&lt;wsp:rsid wsp:val=&quot;004E2616&quot;/&gt;&lt;wsp:rsid wsp:val=&quot;004E2B00&quot;/&gt;&lt;wsp:rsid wsp:val=&quot;004E3110&quot;/&gt;&lt;wsp:rsid wsp:val=&quot;004E318E&quot;/&gt;&lt;wsp:rsid wsp:val=&quot;004E32BC&quot;/&gt;&lt;wsp:rsid wsp:val=&quot;004E3311&quot;/&gt;&lt;wsp:rsid wsp:val=&quot;004E3327&quot;/&gt;&lt;wsp:rsid wsp:val=&quot;004E33B3&quot;/&gt;&lt;wsp:rsid wsp:val=&quot;004E34A3&quot;/&gt;&lt;wsp:rsid wsp:val=&quot;004E34CB&quot;/&gt;&lt;wsp:rsid wsp:val=&quot;004E3988&quot;/&gt;&lt;wsp:rsid wsp:val=&quot;004E3FF2&quot;/&gt;&lt;wsp:rsid wsp:val=&quot;004E41EF&quot;/&gt;&lt;wsp:rsid wsp:val=&quot;004E48A7&quot;/&gt;&lt;wsp:rsid wsp:val=&quot;004E4951&quot;/&gt;&lt;wsp:rsid wsp:val=&quot;004E4A0D&quot;/&gt;&lt;wsp:rsid wsp:val=&quot;004E4B4E&quot;/&gt;&lt;wsp:rsid wsp:val=&quot;004E4C10&quot;/&gt;&lt;wsp:rsid wsp:val=&quot;004E51E8&quot;/&gt;&lt;wsp:rsid wsp:val=&quot;004E521B&quot;/&gt;&lt;wsp:rsid wsp:val=&quot;004E5553&quot;/&gt;&lt;wsp:rsid wsp:val=&quot;004E5655&quot;/&gt;&lt;wsp:rsid wsp:val=&quot;004E568A&quot;/&gt;&lt;wsp:rsid wsp:val=&quot;004E580A&quot;/&gt;&lt;wsp:rsid wsp:val=&quot;004E5837&quot;/&gt;&lt;wsp:rsid wsp:val=&quot;004E5865&quot;/&gt;&lt;wsp:rsid wsp:val=&quot;004E5DE0&quot;/&gt;&lt;wsp:rsid wsp:val=&quot;004E5ED9&quot;/&gt;&lt;wsp:rsid wsp:val=&quot;004E6090&quot;/&gt;&lt;wsp:rsid wsp:val=&quot;004E60F5&quot;/&gt;&lt;wsp:rsid wsp:val=&quot;004E68ED&quot;/&gt;&lt;wsp:rsid wsp:val=&quot;004E6AC5&quot;/&gt;&lt;wsp:rsid wsp:val=&quot;004E6DB8&quot;/&gt;&lt;wsp:rsid wsp:val=&quot;004E6EB5&quot;/&gt;&lt;wsp:rsid wsp:val=&quot;004E6F14&quot;/&gt;&lt;wsp:rsid wsp:val=&quot;004E7636&quot;/&gt;&lt;wsp:rsid wsp:val=&quot;004E790F&quot;/&gt;&lt;wsp:rsid wsp:val=&quot;004E7962&quot;/&gt;&lt;wsp:rsid wsp:val=&quot;004E7DE8&quot;/&gt;&lt;wsp:rsid wsp:val=&quot;004E7F18&quot;/&gt;&lt;wsp:rsid wsp:val=&quot;004F01D4&quot;/&gt;&lt;wsp:rsid wsp:val=&quot;004F0294&quot;/&gt;&lt;wsp:rsid wsp:val=&quot;004F06EE&quot;/&gt;&lt;wsp:rsid wsp:val=&quot;004F09D6&quot;/&gt;&lt;wsp:rsid wsp:val=&quot;004F0BF0&quot;/&gt;&lt;wsp:rsid wsp:val=&quot;004F0C2B&quot;/&gt;&lt;wsp:rsid wsp:val=&quot;004F0D8E&quot;/&gt;&lt;wsp:rsid wsp:val=&quot;004F0F2E&quot;/&gt;&lt;wsp:rsid wsp:val=&quot;004F1090&quot;/&gt;&lt;wsp:rsid wsp:val=&quot;004F1172&quot;/&gt;&lt;wsp:rsid wsp:val=&quot;004F131F&quot;/&gt;&lt;wsp:rsid wsp:val=&quot;004F17F4&quot;/&gt;&lt;wsp:rsid wsp:val=&quot;004F1A5C&quot;/&gt;&lt;wsp:rsid wsp:val=&quot;004F1A89&quot;/&gt;&lt;wsp:rsid wsp:val=&quot;004F1B37&quot;/&gt;&lt;wsp:rsid wsp:val=&quot;004F1CFC&quot;/&gt;&lt;wsp:rsid wsp:val=&quot;004F1DEE&quot;/&gt;&lt;wsp:rsid wsp:val=&quot;004F227E&quot;/&gt;&lt;wsp:rsid wsp:val=&quot;004F22E5&quot;/&gt;&lt;wsp:rsid wsp:val=&quot;004F22EB&quot;/&gt;&lt;wsp:rsid wsp:val=&quot;004F2880&quot;/&gt;&lt;wsp:rsid wsp:val=&quot;004F2922&quot;/&gt;&lt;wsp:rsid wsp:val=&quot;004F2B46&quot;/&gt;&lt;wsp:rsid wsp:val=&quot;004F2F67&quot;/&gt;&lt;wsp:rsid wsp:val=&quot;004F2FC6&quot;/&gt;&lt;wsp:rsid wsp:val=&quot;004F3090&quot;/&gt;&lt;wsp:rsid wsp:val=&quot;004F3270&quot;/&gt;&lt;wsp:rsid wsp:val=&quot;004F3352&quot;/&gt;&lt;wsp:rsid wsp:val=&quot;004F3B06&quot;/&gt;&lt;wsp:rsid wsp:val=&quot;004F3BED&quot;/&gt;&lt;wsp:rsid wsp:val=&quot;004F3DFA&quot;/&gt;&lt;wsp:rsid wsp:val=&quot;004F4128&quot;/&gt;&lt;wsp:rsid wsp:val=&quot;004F453C&quot;/&gt;&lt;wsp:rsid wsp:val=&quot;004F496C&quot;/&gt;&lt;wsp:rsid wsp:val=&quot;004F4BDF&quot;/&gt;&lt;wsp:rsid wsp:val=&quot;004F5296&quot;/&gt;&lt;wsp:rsid wsp:val=&quot;004F53CC&quot;/&gt;&lt;wsp:rsid wsp:val=&quot;004F540B&quot;/&gt;&lt;wsp:rsid wsp:val=&quot;004F5440&quot;/&gt;&lt;wsp:rsid wsp:val=&quot;004F5453&quot;/&gt;&lt;wsp:rsid wsp:val=&quot;004F58FE&quot;/&gt;&lt;wsp:rsid wsp:val=&quot;004F5E85&quot;/&gt;&lt;wsp:rsid wsp:val=&quot;004F62DA&quot;/&gt;&lt;wsp:rsid wsp:val=&quot;004F636C&quot;/&gt;&lt;wsp:rsid wsp:val=&quot;004F6513&quot;/&gt;&lt;wsp:rsid wsp:val=&quot;004F66BC&quot;/&gt;&lt;wsp:rsid wsp:val=&quot;004F6B3B&quot;/&gt;&lt;wsp:rsid wsp:val=&quot;004F6BE0&quot;/&gt;&lt;wsp:rsid wsp:val=&quot;004F6CEB&quot;/&gt;&lt;wsp:rsid wsp:val=&quot;004F6FE1&quot;/&gt;&lt;wsp:rsid wsp:val=&quot;004F7033&quot;/&gt;&lt;wsp:rsid wsp:val=&quot;004F71DE&quot;/&gt;&lt;wsp:rsid wsp:val=&quot;004F7423&quot;/&gt;&lt;wsp:rsid wsp:val=&quot;004F76D2&quot;/&gt;&lt;wsp:rsid wsp:val=&quot;004F783A&quot;/&gt;&lt;wsp:rsid wsp:val=&quot;004F78CF&quot;/&gt;&lt;wsp:rsid wsp:val=&quot;004F78E7&quot;/&gt;&lt;wsp:rsid wsp:val=&quot;004F7918&quot;/&gt;&lt;wsp:rsid wsp:val=&quot;004F7B15&quot;/&gt;&lt;wsp:rsid wsp:val=&quot;004F7E0D&quot;/&gt;&lt;wsp:rsid wsp:val=&quot;004F7E2E&quot;/&gt;&lt;wsp:rsid wsp:val=&quot;005005DA&quot;/&gt;&lt;wsp:rsid wsp:val=&quot;00500659&quot;/&gt;&lt;wsp:rsid wsp:val=&quot;00500685&quot;/&gt;&lt;wsp:rsid wsp:val=&quot;00500A5A&quot;/&gt;&lt;wsp:rsid wsp:val=&quot;00500C3F&quot;/&gt;&lt;wsp:rsid wsp:val=&quot;00501123&quot;/&gt;&lt;wsp:rsid wsp:val=&quot;00501179&quot;/&gt;&lt;wsp:rsid wsp:val=&quot;0050171F&quot;/&gt;&lt;wsp:rsid wsp:val=&quot;0050184A&quot;/&gt;&lt;wsp:rsid wsp:val=&quot;00501896&quot;/&gt;&lt;wsp:rsid wsp:val=&quot;00501A91&quot;/&gt;&lt;wsp:rsid wsp:val=&quot;00501C29&quot;/&gt;&lt;wsp:rsid wsp:val=&quot;00501C78&quot;/&gt;&lt;wsp:rsid wsp:val=&quot;00501DFD&quot;/&gt;&lt;wsp:rsid wsp:val=&quot;00502006&quot;/&gt;&lt;wsp:rsid wsp:val=&quot;005020B8&quot;/&gt;&lt;wsp:rsid wsp:val=&quot;005022B2&quot;/&gt;&lt;wsp:rsid wsp:val=&quot;00502D37&quot;/&gt;&lt;wsp:rsid wsp:val=&quot;0050314E&quot;/&gt;&lt;wsp:rsid wsp:val=&quot;00503154&quot;/&gt;&lt;wsp:rsid wsp:val=&quot;005032F4&quot;/&gt;&lt;wsp:rsid wsp:val=&quot;0050336A&quot;/&gt;&lt;wsp:rsid wsp:val=&quot;00503435&quot;/&gt;&lt;wsp:rsid wsp:val=&quot;00503481&quot;/&gt;&lt;wsp:rsid wsp:val=&quot;0050369E&quot;/&gt;&lt;wsp:rsid wsp:val=&quot;0050378B&quot;/&gt;&lt;wsp:rsid wsp:val=&quot;00503B10&quot;/&gt;&lt;wsp:rsid wsp:val=&quot;00503B50&quot;/&gt;&lt;wsp:rsid wsp:val=&quot;005041D6&quot;/&gt;&lt;wsp:rsid wsp:val=&quot;00504A94&quot;/&gt;&lt;wsp:rsid wsp:val=&quot;00504F99&quot;/&gt;&lt;wsp:rsid wsp:val=&quot;0050520C&quot;/&gt;&lt;wsp:rsid wsp:val=&quot;00505585&quot;/&gt;&lt;wsp:rsid wsp:val=&quot;00505675&quot;/&gt;&lt;wsp:rsid wsp:val=&quot;00505C48&quot;/&gt;&lt;wsp:rsid wsp:val=&quot;00505C4B&quot;/&gt;&lt;wsp:rsid wsp:val=&quot;00505E67&quot;/&gt;&lt;wsp:rsid wsp:val=&quot;00505EA8&quot;/&gt;&lt;wsp:rsid wsp:val=&quot;00505F1B&quot;/&gt;&lt;wsp:rsid wsp:val=&quot;00506129&quot;/&gt;&lt;wsp:rsid wsp:val=&quot;00506280&quot;/&gt;&lt;wsp:rsid wsp:val=&quot;0050628A&quot;/&gt;&lt;wsp:rsid wsp:val=&quot;005062BC&quot;/&gt;&lt;wsp:rsid wsp:val=&quot;00506357&quot;/&gt;&lt;wsp:rsid wsp:val=&quot;00506775&quot;/&gt;&lt;wsp:rsid wsp:val=&quot;0050684D&quot;/&gt;&lt;wsp:rsid wsp:val=&quot;00506A79&quot;/&gt;&lt;wsp:rsid wsp:val=&quot;00506BF5&quot;/&gt;&lt;wsp:rsid wsp:val=&quot;00506D25&quot;/&gt;&lt;wsp:rsid wsp:val=&quot;0050707D&quot;/&gt;&lt;wsp:rsid wsp:val=&quot;005071DC&quot;/&gt;&lt;wsp:rsid wsp:val=&quot;00507E65&quot;/&gt;&lt;wsp:rsid wsp:val=&quot;00507E8E&quot;/&gt;&lt;wsp:rsid wsp:val=&quot;00510025&quot;/&gt;&lt;wsp:rsid wsp:val=&quot;00510335&quot;/&gt;&lt;wsp:rsid wsp:val=&quot;0051059D&quot;/&gt;&lt;wsp:rsid wsp:val=&quot;00510747&quot;/&gt;&lt;wsp:rsid wsp:val=&quot;005109EA&quot;/&gt;&lt;wsp:rsid wsp:val=&quot;00510B16&quot;/&gt;&lt;wsp:rsid wsp:val=&quot;00510CA6&quot;/&gt;&lt;wsp:rsid wsp:val=&quot;00510D55&quot;/&gt;&lt;wsp:rsid wsp:val=&quot;00510DC9&quot;/&gt;&lt;wsp:rsid wsp:val=&quot;00512133&quot;/&gt;&lt;wsp:rsid wsp:val=&quot;005123AC&quot;/&gt;&lt;wsp:rsid wsp:val=&quot;005124EC&quot;/&gt;&lt;wsp:rsid wsp:val=&quot;00512609&quot;/&gt;&lt;wsp:rsid wsp:val=&quot;00512694&quot;/&gt;&lt;wsp:rsid wsp:val=&quot;00512BDC&quot;/&gt;&lt;wsp:rsid wsp:val=&quot;005134E6&quot;/&gt;&lt;wsp:rsid wsp:val=&quot;005134EB&quot;/&gt;&lt;wsp:rsid wsp:val=&quot;005135B5&quot;/&gt;&lt;wsp:rsid wsp:val=&quot;00513944&quot;/&gt;&lt;wsp:rsid wsp:val=&quot;00513D21&quot;/&gt;&lt;wsp:rsid wsp:val=&quot;00513DC2&quot;/&gt;&lt;wsp:rsid wsp:val=&quot;00513E59&quot;/&gt;&lt;wsp:rsid wsp:val=&quot;0051414B&quot;/&gt;&lt;wsp:rsid wsp:val=&quot;00514333&quot;/&gt;&lt;wsp:rsid wsp:val=&quot;005143F7&quot;/&gt;&lt;wsp:rsid wsp:val=&quot;005144B5&quot;/&gt;&lt;wsp:rsid wsp:val=&quot;0051463C&quot;/&gt;&lt;wsp:rsid wsp:val=&quot;005146E0&quot;/&gt;&lt;wsp:rsid wsp:val=&quot;00514891&quot;/&gt;&lt;wsp:rsid wsp:val=&quot;00514BC0&quot;/&gt;&lt;wsp:rsid wsp:val=&quot;005150C5&quot;/&gt;&lt;wsp:rsid wsp:val=&quot;005151BA&quot;/&gt;&lt;wsp:rsid wsp:val=&quot;0051526E&quot;/&gt;&lt;wsp:rsid wsp:val=&quot;00515378&quot;/&gt;&lt;wsp:rsid wsp:val=&quot;005153E2&quot;/&gt;&lt;wsp:rsid wsp:val=&quot;005158B9&quot;/&gt;&lt;wsp:rsid wsp:val=&quot;00515BAE&quot;/&gt;&lt;wsp:rsid wsp:val=&quot;005161B3&quot;/&gt;&lt;wsp:rsid wsp:val=&quot;005165EC&quot;/&gt;&lt;wsp:rsid wsp:val=&quot;00516E70&quot;/&gt;&lt;wsp:rsid wsp:val=&quot;00516FEF&quot;/&gt;&lt;wsp:rsid wsp:val=&quot;005172BF&quot;/&gt;&lt;wsp:rsid wsp:val=&quot;005174B4&quot;/&gt;&lt;wsp:rsid wsp:val=&quot;005177F8&quot;/&gt;&lt;wsp:rsid wsp:val=&quot;005179F6&quot;/&gt;&lt;wsp:rsid wsp:val=&quot;00517D6B&quot;/&gt;&lt;wsp:rsid wsp:val=&quot;00517F14&quot;/&gt;&lt;wsp:rsid wsp:val=&quot;00517FBD&quot;/&gt;&lt;wsp:rsid wsp:val=&quot;005201AF&quot;/&gt;&lt;wsp:rsid wsp:val=&quot;005203E0&quot;/&gt;&lt;wsp:rsid wsp:val=&quot;00520791&quot;/&gt;&lt;wsp:rsid wsp:val=&quot;00520D15&quot;/&gt;&lt;wsp:rsid wsp:val=&quot;0052136F&quot;/&gt;&lt;wsp:rsid wsp:val=&quot;005213F7&quot;/&gt;&lt;wsp:rsid wsp:val=&quot;00521433&quot;/&gt;&lt;wsp:rsid wsp:val=&quot;00521C0C&quot;/&gt;&lt;wsp:rsid wsp:val=&quot;00521C2C&quot;/&gt;&lt;wsp:rsid wsp:val=&quot;00521CD6&quot;/&gt;&lt;wsp:rsid wsp:val=&quot;00521D84&quot;/&gt;&lt;wsp:rsid wsp:val=&quot;00521F42&quot;/&gt;&lt;wsp:rsid wsp:val=&quot;00522065&quot;/&gt;&lt;wsp:rsid wsp:val=&quot;00522132&quot;/&gt;&lt;wsp:rsid wsp:val=&quot;005221D1&quot;/&gt;&lt;wsp:rsid wsp:val=&quot;005224CC&quot;/&gt;&lt;wsp:rsid wsp:val=&quot;00522595&quot;/&gt;&lt;wsp:rsid wsp:val=&quot;005225A1&quot;/&gt;&lt;wsp:rsid wsp:val=&quot;005225D6&quot;/&gt;&lt;wsp:rsid wsp:val=&quot;00522F0F&quot;/&gt;&lt;wsp:rsid wsp:val=&quot;005230AE&quot;/&gt;&lt;wsp:rsid wsp:val=&quot;0052351B&quot;/&gt;&lt;wsp:rsid wsp:val=&quot;00523B4E&quot;/&gt;&lt;wsp:rsid wsp:val=&quot;0052418C&quot;/&gt;&lt;wsp:rsid wsp:val=&quot;005241CF&quot;/&gt;&lt;wsp:rsid wsp:val=&quot;005248E9&quot;/&gt;&lt;wsp:rsid wsp:val=&quot;005249D2&quot;/&gt;&lt;wsp:rsid wsp:val=&quot;00524AC2&quot;/&gt;&lt;wsp:rsid wsp:val=&quot;00524BF5&quot;/&gt;&lt;wsp:rsid wsp:val=&quot;00524BFF&quot;/&gt;&lt;wsp:rsid wsp:val=&quot;005250E6&quot;/&gt;&lt;wsp:rsid wsp:val=&quot;00525171&quot;/&gt;&lt;wsp:rsid wsp:val=&quot;00525298&quot;/&gt;&lt;wsp:rsid wsp:val=&quot;0052533A&quot;/&gt;&lt;wsp:rsid wsp:val=&quot;005256B3&quot;/&gt;&lt;wsp:rsid wsp:val=&quot;0052584B&quot;/&gt;&lt;wsp:rsid wsp:val=&quot;00525CD5&quot;/&gt;&lt;wsp:rsid wsp:val=&quot;00526406&quot;/&gt;&lt;wsp:rsid wsp:val=&quot;005264E5&quot;/&gt;&lt;wsp:rsid wsp:val=&quot;00526560&quot;/&gt;&lt;wsp:rsid wsp:val=&quot;00526683&quot;/&gt;&lt;wsp:rsid wsp:val=&quot;005267DE&quot;/&gt;&lt;wsp:rsid wsp:val=&quot;00526D20&quot;/&gt;&lt;wsp:rsid wsp:val=&quot;00526F9F&quot;/&gt;&lt;wsp:rsid wsp:val=&quot;0052704F&quot;/&gt;&lt;wsp:rsid wsp:val=&quot;00527276&quot;/&gt;&lt;wsp:rsid wsp:val=&quot;00527B48&quot;/&gt;&lt;wsp:rsid wsp:val=&quot;00527BCF&quot;/&gt;&lt;wsp:rsid wsp:val=&quot;00527E9A&quot;/&gt;&lt;wsp:rsid wsp:val=&quot;00527EC2&quot;/&gt;&lt;wsp:rsid wsp:val=&quot;00527FCC&quot;/&gt;&lt;wsp:rsid wsp:val=&quot;0053070B&quot;/&gt;&lt;wsp:rsid wsp:val=&quot;00530791&quot;/&gt;&lt;wsp:rsid wsp:val=&quot;005308B4&quot;/&gt;&lt;wsp:rsid wsp:val=&quot;00530AA4&quot;/&gt;&lt;wsp:rsid wsp:val=&quot;00530BF0&quot;/&gt;&lt;wsp:rsid wsp:val=&quot;00530C9B&quot;/&gt;&lt;wsp:rsid wsp:val=&quot;00530D9B&quot;/&gt;&lt;wsp:rsid wsp:val=&quot;00530DE3&quot;/&gt;&lt;wsp:rsid wsp:val=&quot;005312E8&quot;/&gt;&lt;wsp:rsid wsp:val=&quot;0053143C&quot;/&gt;&lt;wsp:rsid wsp:val=&quot;00531C0A&quot;/&gt;&lt;wsp:rsid wsp:val=&quot;00532235&quot;/&gt;&lt;wsp:rsid wsp:val=&quot;00532278&quot;/&gt;&lt;wsp:rsid wsp:val=&quot;005322C3&quot;/&gt;&lt;wsp:rsid wsp:val=&quot;0053230D&quot;/&gt;&lt;wsp:rsid wsp:val=&quot;00532462&quot;/&gt;&lt;wsp:rsid wsp:val=&quot;0053262C&quot;/&gt;&lt;wsp:rsid wsp:val=&quot;005326AD&quot;/&gt;&lt;wsp:rsid wsp:val=&quot;005326D3&quot;/&gt;&lt;wsp:rsid wsp:val=&quot;0053276D&quot;/&gt;&lt;wsp:rsid wsp:val=&quot;00532B21&quot;/&gt;&lt;wsp:rsid wsp:val=&quot;00532B45&quot;/&gt;&lt;wsp:rsid wsp:val=&quot;00532C8F&quot;/&gt;&lt;wsp:rsid wsp:val=&quot;00532CD9&quot;/&gt;&lt;wsp:rsid wsp:val=&quot;00532F99&quot;/&gt;&lt;wsp:rsid wsp:val=&quot;005333A3&quot;/&gt;&lt;wsp:rsid wsp:val=&quot;00533614&quot;/&gt;&lt;wsp:rsid wsp:val=&quot;0053367B&quot;/&gt;&lt;wsp:rsid wsp:val=&quot;005338A0&quot;/&gt;&lt;wsp:rsid wsp:val=&quot;00533D2D&quot;/&gt;&lt;wsp:rsid wsp:val=&quot;00533DDE&quot;/&gt;&lt;wsp:rsid wsp:val=&quot;00533F2C&quot;/&gt;&lt;wsp:rsid wsp:val=&quot;005340A1&quot;/&gt;&lt;wsp:rsid wsp:val=&quot;00534327&quot;/&gt;&lt;wsp:rsid wsp:val=&quot;00534495&quot;/&gt;&lt;wsp:rsid wsp:val=&quot;005345BE&quot;/&gt;&lt;wsp:rsid wsp:val=&quot;0053490F&quot;/&gt;&lt;wsp:rsid wsp:val=&quot;005349C1&quot;/&gt;&lt;wsp:rsid wsp:val=&quot;00534A14&quot;/&gt;&lt;wsp:rsid wsp:val=&quot;00534CC1&quot;/&gt;&lt;wsp:rsid wsp:val=&quot;00535011&quot;/&gt;&lt;wsp:rsid wsp:val=&quot;0053524E&quot;/&gt;&lt;wsp:rsid wsp:val=&quot;0053598A&quot;/&gt;&lt;wsp:rsid wsp:val=&quot;00535A1F&quot;/&gt;&lt;wsp:rsid wsp:val=&quot;00535A26&quot;/&gt;&lt;wsp:rsid wsp:val=&quot;00535AA4&quot;/&gt;&lt;wsp:rsid wsp:val=&quot;00535AB3&quot;/&gt;&lt;wsp:rsid wsp:val=&quot;00536136&quot;/&gt;&lt;wsp:rsid wsp:val=&quot;005361DB&quot;/&gt;&lt;wsp:rsid wsp:val=&quot;00536459&quot;/&gt;&lt;wsp:rsid wsp:val=&quot;0053656E&quot;/&gt;&lt;wsp:rsid wsp:val=&quot;00536590&quot;/&gt;&lt;wsp:rsid wsp:val=&quot;00536827&quot;/&gt;&lt;wsp:rsid wsp:val=&quot;00536AF3&quot;/&gt;&lt;wsp:rsid wsp:val=&quot;00536B42&quot;/&gt;&lt;wsp:rsid wsp:val=&quot;00536DCB&quot;/&gt;&lt;wsp:rsid wsp:val=&quot;005371D2&quot;/&gt;&lt;wsp:rsid wsp:val=&quot;0053726B&quot;/&gt;&lt;wsp:rsid wsp:val=&quot;00537284&quot;/&gt;&lt;wsp:rsid wsp:val=&quot;005372FD&quot;/&gt;&lt;wsp:rsid wsp:val=&quot;005373D9&quot;/&gt;&lt;wsp:rsid wsp:val=&quot;005376B5&quot;/&gt;&lt;wsp:rsid wsp:val=&quot;005377D0&quot;/&gt;&lt;wsp:rsid wsp:val=&quot;00537862&quot;/&gt;&lt;wsp:rsid wsp:val=&quot;00537921&quot;/&gt;&lt;wsp:rsid wsp:val=&quot;0053797D&quot;/&gt;&lt;wsp:rsid wsp:val=&quot;00537A84&quot;/&gt;&lt;wsp:rsid wsp:val=&quot;00537EA5&quot;/&gt;&lt;wsp:rsid wsp:val=&quot;00537EB3&quot;/&gt;&lt;wsp:rsid wsp:val=&quot;00537F84&quot;/&gt;&lt;wsp:rsid wsp:val=&quot;005400D4&quot;/&gt;&lt;wsp:rsid wsp:val=&quot;00540465&quot;/&gt;&lt;wsp:rsid wsp:val=&quot;0054047D&quot;/&gt;&lt;wsp:rsid wsp:val=&quot;005405E9&quot;/&gt;&lt;wsp:rsid wsp:val=&quot;00540A88&quot;/&gt;&lt;wsp:rsid wsp:val=&quot;00540EB6&quot;/&gt;&lt;wsp:rsid wsp:val=&quot;00540F1F&quot;/&gt;&lt;wsp:rsid wsp:val=&quot;005410A4&quot;/&gt;&lt;wsp:rsid wsp:val=&quot;0054115F&quot;/&gt;&lt;wsp:rsid wsp:val=&quot;0054146B&quot;/&gt;&lt;wsp:rsid wsp:val=&quot;005415BE&quot;/&gt;&lt;wsp:rsid wsp:val=&quot;005416F9&quot;/&gt;&lt;wsp:rsid wsp:val=&quot;005417AF&quot;/&gt;&lt;wsp:rsid wsp:val=&quot;00541921&quot;/&gt;&lt;wsp:rsid wsp:val=&quot;00541C38&quot;/&gt;&lt;wsp:rsid wsp:val=&quot;00541CBB&quot;/&gt;&lt;wsp:rsid wsp:val=&quot;00541F14&quot;/&gt;&lt;wsp:rsid wsp:val=&quot;00542058&quot;/&gt;&lt;wsp:rsid wsp:val=&quot;0054207E&quot;/&gt;&lt;wsp:rsid wsp:val=&quot;005420CC&quot;/&gt;&lt;wsp:rsid wsp:val=&quot;0054214C&quot;/&gt;&lt;wsp:rsid wsp:val=&quot;005424E0&quot;/&gt;&lt;wsp:rsid wsp:val=&quot;005425AD&quot;/&gt;&lt;wsp:rsid wsp:val=&quot;00542812&quot;/&gt;&lt;wsp:rsid wsp:val=&quot;00542DC0&quot;/&gt;&lt;wsp:rsid wsp:val=&quot;00542E7D&quot;/&gt;&lt;wsp:rsid wsp:val=&quot;00542EC2&quot;/&gt;&lt;wsp:rsid wsp:val=&quot;00542FBD&quot;/&gt;&lt;wsp:rsid wsp:val=&quot;00543395&quot;/&gt;&lt;wsp:rsid wsp:val=&quot;005433B3&quot;/&gt;&lt;wsp:rsid wsp:val=&quot;00543750&quot;/&gt;&lt;wsp:rsid wsp:val=&quot;00543797&quot;/&gt;&lt;wsp:rsid wsp:val=&quot;005437EF&quot;/&gt;&lt;wsp:rsid wsp:val=&quot;00543926&quot;/&gt;&lt;wsp:rsid wsp:val=&quot;00543937&quot;/&gt;&lt;wsp:rsid wsp:val=&quot;00543A6D&quot;/&gt;&lt;wsp:rsid wsp:val=&quot;00543D25&quot;/&gt;&lt;wsp:rsid wsp:val=&quot;00543D29&quot;/&gt;&lt;wsp:rsid wsp:val=&quot;005442B2&quot;/&gt;&lt;wsp:rsid wsp:val=&quot;00544456&quot;/&gt;&lt;wsp:rsid wsp:val=&quot;00544576&quot;/&gt;&lt;wsp:rsid wsp:val=&quot;005445FC&quot;/&gt;&lt;wsp:rsid wsp:val=&quot;005447DC&quot;/&gt;&lt;wsp:rsid wsp:val=&quot;005449D5&quot;/&gt;&lt;wsp:rsid wsp:val=&quot;00544C69&quot;/&gt;&lt;wsp:rsid wsp:val=&quot;00544EF7&quot;/&gt;&lt;wsp:rsid wsp:val=&quot;005455EE&quot;/&gt;&lt;wsp:rsid wsp:val=&quot;0054589C&quot;/&gt;&lt;wsp:rsid wsp:val=&quot;00545A2B&quot;/&gt;&lt;wsp:rsid wsp:val=&quot;00545B2F&quot;/&gt;&lt;wsp:rsid wsp:val=&quot;00545CF0&quot;/&gt;&lt;wsp:rsid wsp:val=&quot;0054624B&quot;/&gt;&lt;wsp:rsid wsp:val=&quot;00546285&quot;/&gt;&lt;wsp:rsid wsp:val=&quot;0054639D&quot;/&gt;&lt;wsp:rsid wsp:val=&quot;005463C8&quot;/&gt;&lt;wsp:rsid wsp:val=&quot;00546774&quot;/&gt;&lt;wsp:rsid wsp:val=&quot;00546B9A&quot;/&gt;&lt;wsp:rsid wsp:val=&quot;00546D5C&quot;/&gt;&lt;wsp:rsid wsp:val=&quot;00547142&quot;/&gt;&lt;wsp:rsid wsp:val=&quot;00547241&quot;/&gt;&lt;wsp:rsid wsp:val=&quot;005476E3&quot;/&gt;&lt;wsp:rsid wsp:val=&quot;00547A95&quot;/&gt;&lt;wsp:rsid wsp:val=&quot;00547AB3&quot;/&gt;&lt;wsp:rsid wsp:val=&quot;00547D90&quot;/&gt;&lt;wsp:rsid wsp:val=&quot;00547DBD&quot;/&gt;&lt;wsp:rsid wsp:val=&quot;00547F12&quot;/&gt;&lt;wsp:rsid wsp:val=&quot;00547F4D&quot;/&gt;&lt;wsp:rsid wsp:val=&quot;00550352&quot;/&gt;&lt;wsp:rsid wsp:val=&quot;005503D9&quot;/&gt;&lt;wsp:rsid wsp:val=&quot;00550425&quot;/&gt;&lt;wsp:rsid wsp:val=&quot;00550627&quot;/&gt;&lt;wsp:rsid wsp:val=&quot;005508D6&quot;/&gt;&lt;wsp:rsid wsp:val=&quot;00550919&quot;/&gt;&lt;wsp:rsid wsp:val=&quot;00550CB2&quot;/&gt;&lt;wsp:rsid wsp:val=&quot;00550D69&quot;/&gt;&lt;wsp:rsid wsp:val=&quot;00550D70&quot;/&gt;&lt;wsp:rsid wsp:val=&quot;00551060&quot;/&gt;&lt;wsp:rsid wsp:val=&quot;005510AC&quot;/&gt;&lt;wsp:rsid wsp:val=&quot;005510F8&quot;/&gt;&lt;wsp:rsid wsp:val=&quot;00551157&quot;/&gt;&lt;wsp:rsid wsp:val=&quot;00551422&quot;/&gt;&lt;wsp:rsid wsp:val=&quot;00551E39&quot;/&gt;&lt;wsp:rsid wsp:val=&quot;00551E6C&quot;/&gt;&lt;wsp:rsid wsp:val=&quot;00551FC2&quot;/&gt;&lt;wsp:rsid wsp:val=&quot;005520BA&quot;/&gt;&lt;wsp:rsid wsp:val=&quot;00552948&quot;/&gt;&lt;wsp:rsid wsp:val=&quot;00552AB2&quot;/&gt;&lt;wsp:rsid wsp:val=&quot;00552BC2&quot;/&gt;&lt;wsp:rsid wsp:val=&quot;00552C6E&quot;/&gt;&lt;wsp:rsid wsp:val=&quot;00552E04&quot;/&gt;&lt;wsp:rsid wsp:val=&quot;00552F9B&quot;/&gt;&lt;wsp:rsid wsp:val=&quot;0055335E&quot;/&gt;&lt;wsp:rsid wsp:val=&quot;00553555&quot;/&gt;&lt;wsp:rsid wsp:val=&quot;00553652&quot;/&gt;&lt;wsp:rsid wsp:val=&quot;005536D3&quot;/&gt;&lt;wsp:rsid wsp:val=&quot;00553845&quot;/&gt;&lt;wsp:rsid wsp:val=&quot;00553903&quot;/&gt;&lt;wsp:rsid wsp:val=&quot;00553D04&quot;/&gt;&lt;wsp:rsid wsp:val=&quot;00553FC5&quot;/&gt;&lt;wsp:rsid wsp:val=&quot;00554130&quot;/&gt;&lt;wsp:rsid wsp:val=&quot;0055414F&quot;/&gt;&lt;wsp:rsid wsp:val=&quot;00554810&quot;/&gt;&lt;wsp:rsid wsp:val=&quot;0055489E&quot;/&gt;&lt;wsp:rsid wsp:val=&quot;00554CB0&quot;/&gt;&lt;wsp:rsid wsp:val=&quot;00555144&quot;/&gt;&lt;wsp:rsid wsp:val=&quot;00555677&quot;/&gt;&lt;wsp:rsid wsp:val=&quot;0055579E&quot;/&gt;&lt;wsp:rsid wsp:val=&quot;00555B4E&quot;/&gt;&lt;wsp:rsid wsp:val=&quot;00555D11&quot;/&gt;&lt;wsp:rsid wsp:val=&quot;00555E74&quot;/&gt;&lt;wsp:rsid wsp:val=&quot;005563A5&quot;/&gt;&lt;wsp:rsid wsp:val=&quot;005563F9&quot;/&gt;&lt;wsp:rsid wsp:val=&quot;0055646B&quot;/&gt;&lt;wsp:rsid wsp:val=&quot;00556920&quot;/&gt;&lt;wsp:rsid wsp:val=&quot;00556A3D&quot;/&gt;&lt;wsp:rsid wsp:val=&quot;00556B74&quot;/&gt;&lt;wsp:rsid wsp:val=&quot;00556CE8&quot;/&gt;&lt;wsp:rsid wsp:val=&quot;00556FBE&quot;/&gt;&lt;wsp:rsid wsp:val=&quot;00557524&quot;/&gt;&lt;wsp:rsid wsp:val=&quot;005577D0&quot;/&gt;&lt;wsp:rsid wsp:val=&quot;005578F5&quot;/&gt;&lt;wsp:rsid wsp:val=&quot;00557993&quot;/&gt;&lt;wsp:rsid wsp:val=&quot;00557EBF&quot;/&gt;&lt;wsp:rsid wsp:val=&quot;005603C4&quot;/&gt;&lt;wsp:rsid wsp:val=&quot;005603D5&quot;/&gt;&lt;wsp:rsid wsp:val=&quot;005605BC&quot;/&gt;&lt;wsp:rsid wsp:val=&quot;00560668&quot;/&gt;&lt;wsp:rsid wsp:val=&quot;00560696&quot;/&gt;&lt;wsp:rsid wsp:val=&quot;005606E3&quot;/&gt;&lt;wsp:rsid wsp:val=&quot;00560A5B&quot;/&gt;&lt;wsp:rsid wsp:val=&quot;00560ACC&quot;/&gt;&lt;wsp:rsid wsp:val=&quot;00560D12&quot;/&gt;&lt;wsp:rsid wsp:val=&quot;005610C0&quot;/&gt;&lt;wsp:rsid wsp:val=&quot;0056111A&quot;/&gt;&lt;wsp:rsid wsp:val=&quot;005612EE&quot;/&gt;&lt;wsp:rsid wsp:val=&quot;005612F5&quot;/&gt;&lt;wsp:rsid wsp:val=&quot;005618A6&quot;/&gt;&lt;wsp:rsid wsp:val=&quot;00561943&quot;/&gt;&lt;wsp:rsid wsp:val=&quot;005620C2&quot;/&gt;&lt;wsp:rsid wsp:val=&quot;00562381&quot;/&gt;&lt;wsp:rsid wsp:val=&quot;005626BF&quot;/&gt;&lt;wsp:rsid wsp:val=&quot;00562DF6&quot;/&gt;&lt;wsp:rsid wsp:val=&quot;005630E8&quot;/&gt;&lt;wsp:rsid wsp:val=&quot;005636AA&quot;/&gt;&lt;wsp:rsid wsp:val=&quot;00563727&quot;/&gt;&lt;wsp:rsid wsp:val=&quot;00563841&quot;/&gt;&lt;wsp:rsid wsp:val=&quot;0056386E&quot;/&gt;&lt;wsp:rsid wsp:val=&quot;00563881&quot;/&gt;&lt;wsp:rsid wsp:val=&quot;0056411E&quot;/&gt;&lt;wsp:rsid wsp:val=&quot;00564583&quot;/&gt;&lt;wsp:rsid wsp:val=&quot;00564D4A&quot;/&gt;&lt;wsp:rsid wsp:val=&quot;00564E6E&quot;/&gt;&lt;wsp:rsid wsp:val=&quot;00565209&quot;/&gt;&lt;wsp:rsid wsp:val=&quot;005653BD&quot;/&gt;&lt;wsp:rsid wsp:val=&quot;00565549&quot;/&gt;&lt;wsp:rsid wsp:val=&quot;00565758&quot;/&gt;&lt;wsp:rsid wsp:val=&quot;00565B2D&quot;/&gt;&lt;wsp:rsid wsp:val=&quot;00565BFD&quot;/&gt;&lt;wsp:rsid wsp:val=&quot;00565D74&quot;/&gt;&lt;wsp:rsid wsp:val=&quot;00566242&quot;/&gt;&lt;wsp:rsid wsp:val=&quot;00566722&quot;/&gt;&lt;wsp:rsid wsp:val=&quot;00566D0B&quot;/&gt;&lt;wsp:rsid wsp:val=&quot;00566F7C&quot;/&gt;&lt;wsp:rsid wsp:val=&quot;00567295&quot;/&gt;&lt;wsp:rsid wsp:val=&quot;00567471&quot;/&gt;&lt;wsp:rsid wsp:val=&quot;0056787D&quot;/&gt;&lt;wsp:rsid wsp:val=&quot;00567C59&quot;/&gt;&lt;wsp:rsid wsp:val=&quot;00567DC6&quot;/&gt;&lt;wsp:rsid wsp:val=&quot;00570208&quot;/&gt;&lt;wsp:rsid wsp:val=&quot;0057038E&quot;/&gt;&lt;wsp:rsid wsp:val=&quot;005704D7&quot;/&gt;&lt;wsp:rsid wsp:val=&quot;00570519&quot;/&gt;&lt;wsp:rsid wsp:val=&quot;0057059F&quot;/&gt;&lt;wsp:rsid wsp:val=&quot;005706FB&quot;/&gt;&lt;wsp:rsid wsp:val=&quot;005707AB&quot;/&gt;&lt;wsp:rsid wsp:val=&quot;00570BB8&quot;/&gt;&lt;wsp:rsid wsp:val=&quot;00570D13&quot;/&gt;&lt;wsp:rsid wsp:val=&quot;00570D8E&quot;/&gt;&lt;wsp:rsid wsp:val=&quot;00570F1B&quot;/&gt;&lt;wsp:rsid wsp:val=&quot;005714B2&quot;/&gt;&lt;wsp:rsid wsp:val=&quot;005714F0&quot;/&gt;&lt;wsp:rsid wsp:val=&quot;005717C5&quot;/&gt;&lt;wsp:rsid wsp:val=&quot;0057197B&quot;/&gt;&lt;wsp:rsid wsp:val=&quot;00571C5E&quot;/&gt;&lt;wsp:rsid wsp:val=&quot;00571D72&quot;/&gt;&lt;wsp:rsid wsp:val=&quot;00571F19&quot;/&gt;&lt;wsp:rsid wsp:val=&quot;00572165&quot;/&gt;&lt;wsp:rsid wsp:val=&quot;005721A6&quot;/&gt;&lt;wsp:rsid wsp:val=&quot;005724F3&quot;/&gt;&lt;wsp:rsid wsp:val=&quot;005727AE&quot;/&gt;&lt;wsp:rsid wsp:val=&quot;00572A9A&quot;/&gt;&lt;wsp:rsid wsp:val=&quot;00572ABB&quot;/&gt;&lt;wsp:rsid wsp:val=&quot;00572AF9&quot;/&gt;&lt;wsp:rsid wsp:val=&quot;00572DFF&quot;/&gt;&lt;wsp:rsid wsp:val=&quot;00572E9B&quot;/&gt;&lt;wsp:rsid wsp:val=&quot;00572FFB&quot;/&gt;&lt;wsp:rsid wsp:val=&quot;00573237&quot;/&gt;&lt;wsp:rsid wsp:val=&quot;005732D6&quot;/&gt;&lt;wsp:rsid wsp:val=&quot;0057340F&quot;/&gt;&lt;wsp:rsid wsp:val=&quot;00573613&quot;/&gt;&lt;wsp:rsid wsp:val=&quot;005737FD&quot;/&gt;&lt;wsp:rsid wsp:val=&quot;0057386B&quot;/&gt;&lt;wsp:rsid wsp:val=&quot;00573E63&quot;/&gt;&lt;wsp:rsid wsp:val=&quot;00574090&quot;/&gt;&lt;wsp:rsid wsp:val=&quot;00574110&quot;/&gt;&lt;wsp:rsid wsp:val=&quot;005743A0&quot;/&gt;&lt;wsp:rsid wsp:val=&quot;005743B3&quot;/&gt;&lt;wsp:rsid wsp:val=&quot;005744D9&quot;/&gt;&lt;wsp:rsid wsp:val=&quot;005744DA&quot;/&gt;&lt;wsp:rsid wsp:val=&quot;0057477A&quot;/&gt;&lt;wsp:rsid wsp:val=&quot;00574CAF&quot;/&gt;&lt;wsp:rsid wsp:val=&quot;00574CD8&quot;/&gt;&lt;wsp:rsid wsp:val=&quot;00574D51&quot;/&gt;&lt;wsp:rsid wsp:val=&quot;00575342&quot;/&gt;&lt;wsp:rsid wsp:val=&quot;005755E5&quot;/&gt;&lt;wsp:rsid wsp:val=&quot;00575968&quot;/&gt;&lt;wsp:rsid wsp:val=&quot;00575AAD&quot;/&gt;&lt;wsp:rsid wsp:val=&quot;00575ABD&quot;/&gt;&lt;wsp:rsid wsp:val=&quot;00575E70&quot;/&gt;&lt;wsp:rsid wsp:val=&quot;0057629E&quot;/&gt;&lt;wsp:rsid wsp:val=&quot;00576BE0&quot;/&gt;&lt;wsp:rsid wsp:val=&quot;00576C98&quot;/&gt;&lt;wsp:rsid wsp:val=&quot;0057702E&quot;/&gt;&lt;wsp:rsid wsp:val=&quot;00577112&quot;/&gt;&lt;wsp:rsid wsp:val=&quot;00577250&quot;/&gt;&lt;wsp:rsid wsp:val=&quot;0057743A&quot;/&gt;&lt;wsp:rsid wsp:val=&quot;0057744C&quot;/&gt;&lt;wsp:rsid wsp:val=&quot;005777DF&quot;/&gt;&lt;wsp:rsid wsp:val=&quot;0057783D&quot;/&gt;&lt;wsp:rsid wsp:val=&quot;00577F5F&quot;/&gt;&lt;wsp:rsid wsp:val=&quot;00577FCD&quot;/&gt;&lt;wsp:rsid wsp:val=&quot;00580803&quot;/&gt;&lt;wsp:rsid wsp:val=&quot;005809D8&quot;/&gt;&lt;wsp:rsid wsp:val=&quot;00580B16&quot;/&gt;&lt;wsp:rsid wsp:val=&quot;00580D77&quot;/&gt;&lt;wsp:rsid wsp:val=&quot;005813DB&quot;/&gt;&lt;wsp:rsid wsp:val=&quot;005815EE&quot;/&gt;&lt;wsp:rsid wsp:val=&quot;00581636&quot;/&gt;&lt;wsp:rsid wsp:val=&quot;005816A4&quot;/&gt;&lt;wsp:rsid wsp:val=&quot;00581A5E&quot;/&gt;&lt;wsp:rsid wsp:val=&quot;0058218F&quot;/&gt;&lt;wsp:rsid wsp:val=&quot;00582219&quot;/&gt;&lt;wsp:rsid wsp:val=&quot;005829FF&quot;/&gt;&lt;wsp:rsid wsp:val=&quot;00582A14&quot;/&gt;&lt;wsp:rsid wsp:val=&quot;00582A59&quot;/&gt;&lt;wsp:rsid wsp:val=&quot;00582B48&quot;/&gt;&lt;wsp:rsid wsp:val=&quot;00582CA0&quot;/&gt;&lt;wsp:rsid wsp:val=&quot;00582EB4&quot;/&gt;&lt;wsp:rsid wsp:val=&quot;00583137&quot;/&gt;&lt;wsp:rsid wsp:val=&quot;0058365A&quot;/&gt;&lt;wsp:rsid wsp:val=&quot;00583B8A&quot;/&gt;&lt;wsp:rsid wsp:val=&quot;00583D2A&quot;/&gt;&lt;wsp:rsid wsp:val=&quot;00583DDB&quot;/&gt;&lt;wsp:rsid wsp:val=&quot;0058445A&quot;/&gt;&lt;wsp:rsid wsp:val=&quot;005845B8&quot;/&gt;&lt;wsp:rsid wsp:val=&quot;00584746&quot;/&gt;&lt;wsp:rsid wsp:val=&quot;0058485D&quot;/&gt;&lt;wsp:rsid wsp:val=&quot;00584933&quot;/&gt;&lt;wsp:rsid wsp:val=&quot;00584B55&quot;/&gt;&lt;wsp:rsid wsp:val=&quot;00584CD1&quot;/&gt;&lt;wsp:rsid wsp:val=&quot;00584D59&quot;/&gt;&lt;wsp:rsid wsp:val=&quot;00585921&quot;/&gt;&lt;wsp:rsid wsp:val=&quot;00585A16&quot;/&gt;&lt;wsp:rsid wsp:val=&quot;00585D26&quot;/&gt;&lt;wsp:rsid wsp:val=&quot;00585F50&quot;/&gt;&lt;wsp:rsid wsp:val=&quot;00585FD1&quot;/&gt;&lt;wsp:rsid wsp:val=&quot;0058602B&quot;/&gt;&lt;wsp:rsid wsp:val=&quot;0058608A&quot;/&gt;&lt;wsp:rsid wsp:val=&quot;005865C7&quot;/&gt;&lt;wsp:rsid wsp:val=&quot;0058688B&quot;/&gt;&lt;wsp:rsid wsp:val=&quot;0058704B&quot;/&gt;&lt;wsp:rsid wsp:val=&quot;00587281&quot;/&gt;&lt;wsp:rsid wsp:val=&quot;005874CD&quot;/&gt;&lt;wsp:rsid wsp:val=&quot;005875B9&quot;/&gt;&lt;wsp:rsid wsp:val=&quot;0058761F&quot;/&gt;&lt;wsp:rsid wsp:val=&quot;005879A6&quot;/&gt;&lt;wsp:rsid wsp:val=&quot;00587B60&quot;/&gt;&lt;wsp:rsid wsp:val=&quot;00587CAC&quot;/&gt;&lt;wsp:rsid wsp:val=&quot;00587DA4&quot;/&gt;&lt;wsp:rsid wsp:val=&quot;00590011&quot;/&gt;&lt;wsp:rsid wsp:val=&quot;005901D7&quot;/&gt;&lt;wsp:rsid wsp:val=&quot;00590239&quot;/&gt;&lt;wsp:rsid wsp:val=&quot;005903B7&quot;/&gt;&lt;wsp:rsid wsp:val=&quot;00590506&quot;/&gt;&lt;wsp:rsid wsp:val=&quot;00590850&quot;/&gt;&lt;wsp:rsid wsp:val=&quot;00590A09&quot;/&gt;&lt;wsp:rsid wsp:val=&quot;00590A5B&quot;/&gt;&lt;wsp:rsid wsp:val=&quot;00590A83&quot;/&gt;&lt;wsp:rsid wsp:val=&quot;00590B48&quot;/&gt;&lt;wsp:rsid wsp:val=&quot;00590C9C&quot;/&gt;&lt;wsp:rsid wsp:val=&quot;00590CA3&quot;/&gt;&lt;wsp:rsid wsp:val=&quot;00590DB6&quot;/&gt;&lt;wsp:rsid wsp:val=&quot;00590DF3&quot;/&gt;&lt;wsp:rsid wsp:val=&quot;00590F34&quot;/&gt;&lt;wsp:rsid wsp:val=&quot;00591101&quot;/&gt;&lt;wsp:rsid wsp:val=&quot;005914F6&quot;/&gt;&lt;wsp:rsid wsp:val=&quot;0059169F&quot;/&gt;&lt;wsp:rsid wsp:val=&quot;00591738&quot;/&gt;&lt;wsp:rsid wsp:val=&quot;00591793&quot;/&gt;&lt;wsp:rsid wsp:val=&quot;00591E8C&quot;/&gt;&lt;wsp:rsid wsp:val=&quot;0059213D&quot;/&gt;&lt;wsp:rsid wsp:val=&quot;00592257&quot;/&gt;&lt;wsp:rsid wsp:val=&quot;00592286&quot;/&gt;&lt;wsp:rsid wsp:val=&quot;00592304&quot;/&gt;&lt;wsp:rsid wsp:val=&quot;00592498&quot;/&gt;&lt;wsp:rsid wsp:val=&quot;00592B06&quot;/&gt;&lt;wsp:rsid wsp:val=&quot;00592D54&quot;/&gt;&lt;wsp:rsid wsp:val=&quot;00593211&quot;/&gt;&lt;wsp:rsid wsp:val=&quot;00593502&quot;/&gt;&lt;wsp:rsid wsp:val=&quot;00593733&quot;/&gt;&lt;wsp:rsid wsp:val=&quot;00593782&quot;/&gt;&lt;wsp:rsid wsp:val=&quot;0059393E&quot;/&gt;&lt;wsp:rsid wsp:val=&quot;00593C42&quot;/&gt;&lt;wsp:rsid wsp:val=&quot;00593C9A&quot;/&gt;&lt;wsp:rsid wsp:val=&quot;00594086&quot;/&gt;&lt;wsp:rsid wsp:val=&quot;00594455&quot;/&gt;&lt;wsp:rsid wsp:val=&quot;00594483&quot;/&gt;&lt;wsp:rsid wsp:val=&quot;00594495&quot;/&gt;&lt;wsp:rsid wsp:val=&quot;00594DCA&quot;/&gt;&lt;wsp:rsid wsp:val=&quot;0059514D&quot;/&gt;&lt;wsp:rsid wsp:val=&quot;0059542F&quot;/&gt;&lt;wsp:rsid wsp:val=&quot;00595597&quot;/&gt;&lt;wsp:rsid wsp:val=&quot;00595A52&quot;/&gt;&lt;wsp:rsid wsp:val=&quot;00595A7C&quot;/&gt;&lt;wsp:rsid wsp:val=&quot;00595AA0&quot;/&gt;&lt;wsp:rsid wsp:val=&quot;00595EBD&quot;/&gt;&lt;wsp:rsid wsp:val=&quot;00595F94&quot;/&gt;&lt;wsp:rsid wsp:val=&quot;00596AF4&quot;/&gt;&lt;wsp:rsid wsp:val=&quot;00596C5E&quot;/&gt;&lt;wsp:rsid wsp:val=&quot;00596D74&quot;/&gt;&lt;wsp:rsid wsp:val=&quot;00596FA0&quot;/&gt;&lt;wsp:rsid wsp:val=&quot;00597191&quot;/&gt;&lt;wsp:rsid wsp:val=&quot;0059779D&quot;/&gt;&lt;wsp:rsid wsp:val=&quot;00597844&quot;/&gt;&lt;wsp:rsid wsp:val=&quot;00597B3B&quot;/&gt;&lt;wsp:rsid wsp:val=&quot;00597B86&quot;/&gt;&lt;wsp:rsid wsp:val=&quot;00597BBD&quot;/&gt;&lt;wsp:rsid wsp:val=&quot;005A0228&quot;/&gt;&lt;wsp:rsid wsp:val=&quot;005A0802&quot;/&gt;&lt;wsp:rsid wsp:val=&quot;005A08F8&quot;/&gt;&lt;wsp:rsid wsp:val=&quot;005A09CE&quot;/&gt;&lt;wsp:rsid wsp:val=&quot;005A1366&quot;/&gt;&lt;wsp:rsid wsp:val=&quot;005A155F&quot;/&gt;&lt;wsp:rsid wsp:val=&quot;005A1817&quot;/&gt;&lt;wsp:rsid wsp:val=&quot;005A1BDD&quot;/&gt;&lt;wsp:rsid wsp:val=&quot;005A1D17&quot;/&gt;&lt;wsp:rsid wsp:val=&quot;005A1E58&quot;/&gt;&lt;wsp:rsid wsp:val=&quot;005A205C&quot;/&gt;&lt;wsp:rsid wsp:val=&quot;005A25CF&quot;/&gt;&lt;wsp:rsid wsp:val=&quot;005A26C6&quot;/&gt;&lt;wsp:rsid wsp:val=&quot;005A2735&quot;/&gt;&lt;wsp:rsid wsp:val=&quot;005A277D&quot;/&gt;&lt;wsp:rsid wsp:val=&quot;005A320D&quot;/&gt;&lt;wsp:rsid wsp:val=&quot;005A3447&quot;/&gt;&lt;wsp:rsid wsp:val=&quot;005A37F0&quot;/&gt;&lt;wsp:rsid wsp:val=&quot;005A3A4B&quot;/&gt;&lt;wsp:rsid wsp:val=&quot;005A3C0F&quot;/&gt;&lt;wsp:rsid wsp:val=&quot;005A40CA&quot;/&gt;&lt;wsp:rsid wsp:val=&quot;005A4199&quot;/&gt;&lt;wsp:rsid wsp:val=&quot;005A43E7&quot;/&gt;&lt;wsp:rsid wsp:val=&quot;005A49AF&quot;/&gt;&lt;wsp:rsid wsp:val=&quot;005A4BDC&quot;/&gt;&lt;wsp:rsid wsp:val=&quot;005A4D65&quot;/&gt;&lt;wsp:rsid wsp:val=&quot;005A5510&quot;/&gt;&lt;wsp:rsid wsp:val=&quot;005A568A&quot;/&gt;&lt;wsp:rsid wsp:val=&quot;005A6243&quot;/&gt;&lt;wsp:rsid wsp:val=&quot;005A63BF&quot;/&gt;&lt;wsp:rsid wsp:val=&quot;005A63DF&quot;/&gt;&lt;wsp:rsid wsp:val=&quot;005A644D&quot;/&gt;&lt;wsp:rsid wsp:val=&quot;005A65B0&quot;/&gt;&lt;wsp:rsid wsp:val=&quot;005A666C&quot;/&gt;&lt;wsp:rsid wsp:val=&quot;005A668D&quot;/&gt;&lt;wsp:rsid wsp:val=&quot;005A681E&quot;/&gt;&lt;wsp:rsid wsp:val=&quot;005A6898&quot;/&gt;&lt;wsp:rsid wsp:val=&quot;005A6A8C&quot;/&gt;&lt;wsp:rsid wsp:val=&quot;005A6D5F&quot;/&gt;&lt;wsp:rsid wsp:val=&quot;005A6DB6&quot;/&gt;&lt;wsp:rsid wsp:val=&quot;005A6E25&quot;/&gt;&lt;wsp:rsid wsp:val=&quot;005A736D&quot;/&gt;&lt;wsp:rsid wsp:val=&quot;005A75BB&quot;/&gt;&lt;wsp:rsid wsp:val=&quot;005A771F&quot;/&gt;&lt;wsp:rsid wsp:val=&quot;005A773B&quot;/&gt;&lt;wsp:rsid wsp:val=&quot;005A7D3A&quot;/&gt;&lt;wsp:rsid wsp:val=&quot;005B0267&quot;/&gt;&lt;wsp:rsid wsp:val=&quot;005B0398&quot;/&gt;&lt;wsp:rsid wsp:val=&quot;005B068E&quot;/&gt;&lt;wsp:rsid wsp:val=&quot;005B0700&quot;/&gt;&lt;wsp:rsid wsp:val=&quot;005B09A5&quot;/&gt;&lt;wsp:rsid wsp:val=&quot;005B09C8&quot;/&gt;&lt;wsp:rsid wsp:val=&quot;005B0A73&quot;/&gt;&lt;wsp:rsid wsp:val=&quot;005B0F0F&quot;/&gt;&lt;wsp:rsid wsp:val=&quot;005B11A2&quot;/&gt;&lt;wsp:rsid wsp:val=&quot;005B1273&quot;/&gt;&lt;wsp:rsid wsp:val=&quot;005B130E&quot;/&gt;&lt;wsp:rsid wsp:val=&quot;005B1453&quot;/&gt;&lt;wsp:rsid wsp:val=&quot;005B17A4&quot;/&gt;&lt;wsp:rsid wsp:val=&quot;005B1F14&quot;/&gt;&lt;wsp:rsid wsp:val=&quot;005B1F99&quot;/&gt;&lt;wsp:rsid wsp:val=&quot;005B2000&quot;/&gt;&lt;wsp:rsid wsp:val=&quot;005B256D&quot;/&gt;&lt;wsp:rsid wsp:val=&quot;005B2892&quot;/&gt;&lt;wsp:rsid wsp:val=&quot;005B2AAC&quot;/&gt;&lt;wsp:rsid wsp:val=&quot;005B2D50&quot;/&gt;&lt;wsp:rsid wsp:val=&quot;005B2E7B&quot;/&gt;&lt;wsp:rsid wsp:val=&quot;005B2E7D&quot;/&gt;&lt;wsp:rsid wsp:val=&quot;005B3119&quot;/&gt;&lt;wsp:rsid wsp:val=&quot;005B31F5&quot;/&gt;&lt;wsp:rsid wsp:val=&quot;005B32A2&quot;/&gt;&lt;wsp:rsid wsp:val=&quot;005B34CF&quot;/&gt;&lt;wsp:rsid wsp:val=&quot;005B3639&quot;/&gt;&lt;wsp:rsid wsp:val=&quot;005B3844&quot;/&gt;&lt;wsp:rsid wsp:val=&quot;005B392A&quot;/&gt;&lt;wsp:rsid wsp:val=&quot;005B3AD5&quot;/&gt;&lt;wsp:rsid wsp:val=&quot;005B3D34&quot;/&gt;&lt;wsp:rsid wsp:val=&quot;005B3DEF&quot;/&gt;&lt;wsp:rsid wsp:val=&quot;005B3E0D&quot;/&gt;&lt;wsp:rsid wsp:val=&quot;005B413B&quot;/&gt;&lt;wsp:rsid wsp:val=&quot;005B47DA&quot;/&gt;&lt;wsp:rsid wsp:val=&quot;005B4D02&quot;/&gt;&lt;wsp:rsid wsp:val=&quot;005B4D0A&quot;/&gt;&lt;wsp:rsid wsp:val=&quot;005B4D29&quot;/&gt;&lt;wsp:rsid wsp:val=&quot;005B4F35&quot;/&gt;&lt;wsp:rsid wsp:val=&quot;005B5500&quot;/&gt;&lt;wsp:rsid wsp:val=&quot;005B5A6A&quot;/&gt;&lt;wsp:rsid wsp:val=&quot;005B5AB8&quot;/&gt;&lt;wsp:rsid wsp:val=&quot;005B5B66&quot;/&gt;&lt;wsp:rsid wsp:val=&quot;005B5D50&quot;/&gt;&lt;wsp:rsid wsp:val=&quot;005B5F89&quot;/&gt;&lt;wsp:rsid wsp:val=&quot;005B6039&quot;/&gt;&lt;wsp:rsid wsp:val=&quot;005B61ED&quot;/&gt;&lt;wsp:rsid wsp:val=&quot;005B642F&quot;/&gt;&lt;wsp:rsid wsp:val=&quot;005B64A6&quot;/&gt;&lt;wsp:rsid wsp:val=&quot;005B65A5&quot;/&gt;&lt;wsp:rsid wsp:val=&quot;005B677E&quot;/&gt;&lt;wsp:rsid wsp:val=&quot;005B67C4&quot;/&gt;&lt;wsp:rsid wsp:val=&quot;005B6915&quot;/&gt;&lt;wsp:rsid wsp:val=&quot;005B6A11&quot;/&gt;&lt;wsp:rsid wsp:val=&quot;005B7010&quot;/&gt;&lt;wsp:rsid wsp:val=&quot;005B7052&quot;/&gt;&lt;wsp:rsid wsp:val=&quot;005B71D6&quot;/&gt;&lt;wsp:rsid wsp:val=&quot;005B7551&quot;/&gt;&lt;wsp:rsid wsp:val=&quot;005B787D&quot;/&gt;&lt;wsp:rsid wsp:val=&quot;005B7E99&quot;/&gt;&lt;wsp:rsid wsp:val=&quot;005C00C3&quot;/&gt;&lt;wsp:rsid wsp:val=&quot;005C05E7&quot;/&gt;&lt;wsp:rsid wsp:val=&quot;005C0811&quot;/&gt;&lt;wsp:rsid wsp:val=&quot;005C0896&quot;/&gt;&lt;wsp:rsid wsp:val=&quot;005C0993&quot;/&gt;&lt;wsp:rsid wsp:val=&quot;005C0AD1&quot;/&gt;&lt;wsp:rsid wsp:val=&quot;005C0C89&quot;/&gt;&lt;wsp:rsid wsp:val=&quot;005C0F15&quot;/&gt;&lt;wsp:rsid wsp:val=&quot;005C1324&quot;/&gt;&lt;wsp:rsid wsp:val=&quot;005C164D&quot;/&gt;&lt;wsp:rsid wsp:val=&quot;005C18FC&quot;/&gt;&lt;wsp:rsid wsp:val=&quot;005C19AF&quot;/&gt;&lt;wsp:rsid wsp:val=&quot;005C19C2&quot;/&gt;&lt;wsp:rsid wsp:val=&quot;005C1C8C&quot;/&gt;&lt;wsp:rsid wsp:val=&quot;005C1CAB&quot;/&gt;&lt;wsp:rsid wsp:val=&quot;005C20C0&quot;/&gt;&lt;wsp:rsid wsp:val=&quot;005C2455&quot;/&gt;&lt;wsp:rsid wsp:val=&quot;005C252B&quot;/&gt;&lt;wsp:rsid wsp:val=&quot;005C2651&quot;/&gt;&lt;wsp:rsid wsp:val=&quot;005C26C3&quot;/&gt;&lt;wsp:rsid wsp:val=&quot;005C27AE&quot;/&gt;&lt;wsp:rsid wsp:val=&quot;005C28F9&quot;/&gt;&lt;wsp:rsid wsp:val=&quot;005C291F&quot;/&gt;&lt;wsp:rsid wsp:val=&quot;005C2A5B&quot;/&gt;&lt;wsp:rsid wsp:val=&quot;005C2C77&quot;/&gt;&lt;wsp:rsid wsp:val=&quot;005C2D77&quot;/&gt;&lt;wsp:rsid wsp:val=&quot;005C2E16&quot;/&gt;&lt;wsp:rsid wsp:val=&quot;005C307B&quot;/&gt;&lt;wsp:rsid wsp:val=&quot;005C30A3&quot;/&gt;&lt;wsp:rsid wsp:val=&quot;005C3184&quot;/&gt;&lt;wsp:rsid wsp:val=&quot;005C3274&quot;/&gt;&lt;wsp:rsid wsp:val=&quot;005C34E3&quot;/&gt;&lt;wsp:rsid wsp:val=&quot;005C354A&quot;/&gt;&lt;wsp:rsid wsp:val=&quot;005C3670&quot;/&gt;&lt;wsp:rsid wsp:val=&quot;005C36A6&quot;/&gt;&lt;wsp:rsid wsp:val=&quot;005C379A&quot;/&gt;&lt;wsp:rsid wsp:val=&quot;005C388A&quot;/&gt;&lt;wsp:rsid wsp:val=&quot;005C3B06&quot;/&gt;&lt;wsp:rsid wsp:val=&quot;005C3CE0&quot;/&gt;&lt;wsp:rsid wsp:val=&quot;005C41FC&quot;/&gt;&lt;wsp:rsid wsp:val=&quot;005C4222&quot;/&gt;&lt;wsp:rsid wsp:val=&quot;005C431E&quot;/&gt;&lt;wsp:rsid wsp:val=&quot;005C44B0&quot;/&gt;&lt;wsp:rsid wsp:val=&quot;005C44C5&quot;/&gt;&lt;wsp:rsid wsp:val=&quot;005C48A3&quot;/&gt;&lt;wsp:rsid wsp:val=&quot;005C4BA0&quot;/&gt;&lt;wsp:rsid wsp:val=&quot;005C4C05&quot;/&gt;&lt;wsp:rsid wsp:val=&quot;005C4C50&quot;/&gt;&lt;wsp:rsid wsp:val=&quot;005C4D37&quot;/&gt;&lt;wsp:rsid wsp:val=&quot;005C4D3E&quot;/&gt;&lt;wsp:rsid wsp:val=&quot;005C54EC&quot;/&gt;&lt;wsp:rsid wsp:val=&quot;005C585A&quot;/&gt;&lt;wsp:rsid wsp:val=&quot;005C5E06&quot;/&gt;&lt;wsp:rsid wsp:val=&quot;005C5F73&quot;/&gt;&lt;wsp:rsid wsp:val=&quot;005C60FA&quot;/&gt;&lt;wsp:rsid wsp:val=&quot;005C6138&quot;/&gt;&lt;wsp:rsid wsp:val=&quot;005C6519&quot;/&gt;&lt;wsp:rsid wsp:val=&quot;005C668B&quot;/&gt;&lt;wsp:rsid wsp:val=&quot;005C66AF&quot;/&gt;&lt;wsp:rsid wsp:val=&quot;005C6872&quot;/&gt;&lt;wsp:rsid wsp:val=&quot;005C6B52&quot;/&gt;&lt;wsp:rsid wsp:val=&quot;005C6BF9&quot;/&gt;&lt;wsp:rsid wsp:val=&quot;005C6ED8&quot;/&gt;&lt;wsp:rsid wsp:val=&quot;005C7339&quot;/&gt;&lt;wsp:rsid wsp:val=&quot;005C73F4&quot;/&gt;&lt;wsp:rsid wsp:val=&quot;005C74A3&quot;/&gt;&lt;wsp:rsid wsp:val=&quot;005C74E1&quot;/&gt;&lt;wsp:rsid wsp:val=&quot;005C76E2&quot;/&gt;&lt;wsp:rsid wsp:val=&quot;005C7C0B&quot;/&gt;&lt;wsp:rsid wsp:val=&quot;005D02E1&quot;/&gt;&lt;wsp:rsid wsp:val=&quot;005D0338&quot;/&gt;&lt;wsp:rsid wsp:val=&quot;005D03F1&quot;/&gt;&lt;wsp:rsid wsp:val=&quot;005D0562&quot;/&gt;&lt;wsp:rsid wsp:val=&quot;005D094D&quot;/&gt;&lt;wsp:rsid wsp:val=&quot;005D09CB&quot;/&gt;&lt;wsp:rsid wsp:val=&quot;005D0A28&quot;/&gt;&lt;wsp:rsid wsp:val=&quot;005D0BF5&quot;/&gt;&lt;wsp:rsid wsp:val=&quot;005D0D9E&quot;/&gt;&lt;wsp:rsid wsp:val=&quot;005D0DE0&quot;/&gt;&lt;wsp:rsid wsp:val=&quot;005D1422&quot;/&gt;&lt;wsp:rsid wsp:val=&quot;005D17EB&quot;/&gt;&lt;wsp:rsid wsp:val=&quot;005D1865&quot;/&gt;&lt;wsp:rsid wsp:val=&quot;005D1AB4&quot;/&gt;&lt;wsp:rsid wsp:val=&quot;005D1AD9&quot;/&gt;&lt;wsp:rsid wsp:val=&quot;005D1E71&quot;/&gt;&lt;wsp:rsid wsp:val=&quot;005D20C3&quot;/&gt;&lt;wsp:rsid wsp:val=&quot;005D22AB&quot;/&gt;&lt;wsp:rsid wsp:val=&quot;005D2415&quot;/&gt;&lt;wsp:rsid wsp:val=&quot;005D27A1&quot;/&gt;&lt;wsp:rsid wsp:val=&quot;005D27E6&quot;/&gt;&lt;wsp:rsid wsp:val=&quot;005D2CA4&quot;/&gt;&lt;wsp:rsid wsp:val=&quot;005D2EFC&quot;/&gt;&lt;wsp:rsid wsp:val=&quot;005D2FA9&quot;/&gt;&lt;wsp:rsid wsp:val=&quot;005D33CB&quot;/&gt;&lt;wsp:rsid wsp:val=&quot;005D3400&quot;/&gt;&lt;wsp:rsid wsp:val=&quot;005D3827&quot;/&gt;&lt;wsp:rsid wsp:val=&quot;005D4269&quot;/&gt;&lt;wsp:rsid wsp:val=&quot;005D459F&quot;/&gt;&lt;wsp:rsid wsp:val=&quot;005D47D1&quot;/&gt;&lt;wsp:rsid wsp:val=&quot;005D4880&quot;/&gt;&lt;wsp:rsid wsp:val=&quot;005D49BE&quot;/&gt;&lt;wsp:rsid wsp:val=&quot;005D4E19&quot;/&gt;&lt;wsp:rsid wsp:val=&quot;005D4FD7&quot;/&gt;&lt;wsp:rsid wsp:val=&quot;005D5087&quot;/&gt;&lt;wsp:rsid wsp:val=&quot;005D5200&quot;/&gt;&lt;wsp:rsid wsp:val=&quot;005D543E&quot;/&gt;&lt;wsp:rsid wsp:val=&quot;005D5A77&quot;/&gt;&lt;wsp:rsid wsp:val=&quot;005D5DFA&quot;/&gt;&lt;wsp:rsid wsp:val=&quot;005D603F&quot;/&gt;&lt;wsp:rsid wsp:val=&quot;005D6465&quot;/&gt;&lt;wsp:rsid wsp:val=&quot;005D6501&quot;/&gt;&lt;wsp:rsid wsp:val=&quot;005D66DC&quot;/&gt;&lt;wsp:rsid wsp:val=&quot;005D6993&quot;/&gt;&lt;wsp:rsid wsp:val=&quot;005D6BE2&quot;/&gt;&lt;wsp:rsid wsp:val=&quot;005D6CEC&quot;/&gt;&lt;wsp:rsid wsp:val=&quot;005D6D01&quot;/&gt;&lt;wsp:rsid wsp:val=&quot;005D6DE6&quot;/&gt;&lt;wsp:rsid wsp:val=&quot;005D6E29&quot;/&gt;&lt;wsp:rsid wsp:val=&quot;005D726E&quot;/&gt;&lt;wsp:rsid wsp:val=&quot;005D730F&quot;/&gt;&lt;wsp:rsid wsp:val=&quot;005D733F&quot;/&gt;&lt;wsp:rsid wsp:val=&quot;005D76E1&quot;/&gt;&lt;wsp:rsid wsp:val=&quot;005D76EA&quot;/&gt;&lt;wsp:rsid wsp:val=&quot;005D77AF&quot;/&gt;&lt;wsp:rsid wsp:val=&quot;005D7807&quot;/&gt;&lt;wsp:rsid wsp:val=&quot;005D7837&quot;/&gt;&lt;wsp:rsid wsp:val=&quot;005D7A5B&quot;/&gt;&lt;wsp:rsid wsp:val=&quot;005D7C0C&quot;/&gt;&lt;wsp:rsid wsp:val=&quot;005D7C63&quot;/&gt;&lt;wsp:rsid wsp:val=&quot;005E01F5&quot;/&gt;&lt;wsp:rsid wsp:val=&quot;005E02A8&quot;/&gt;&lt;wsp:rsid wsp:val=&quot;005E03EB&quot;/&gt;&lt;wsp:rsid wsp:val=&quot;005E0A39&quot;/&gt;&lt;wsp:rsid wsp:val=&quot;005E0AB2&quot;/&gt;&lt;wsp:rsid wsp:val=&quot;005E0F79&quot;/&gt;&lt;wsp:rsid wsp:val=&quot;005E1748&quot;/&gt;&lt;wsp:rsid wsp:val=&quot;005E181A&quot;/&gt;&lt;wsp:rsid wsp:val=&quot;005E19BA&quot;/&gt;&lt;wsp:rsid wsp:val=&quot;005E1A1F&quot;/&gt;&lt;wsp:rsid wsp:val=&quot;005E1B39&quot;/&gt;&lt;wsp:rsid wsp:val=&quot;005E1B7C&quot;/&gt;&lt;wsp:rsid wsp:val=&quot;005E2081&quot;/&gt;&lt;wsp:rsid wsp:val=&quot;005E21AD&quot;/&gt;&lt;wsp:rsid wsp:val=&quot;005E284B&quot;/&gt;&lt;wsp:rsid wsp:val=&quot;005E2969&quot;/&gt;&lt;wsp:rsid wsp:val=&quot;005E2A7F&quot;/&gt;&lt;wsp:rsid wsp:val=&quot;005E2A8F&quot;/&gt;&lt;wsp:rsid wsp:val=&quot;005E2BDA&quot;/&gt;&lt;wsp:rsid wsp:val=&quot;005E2C7B&quot;/&gt;&lt;wsp:rsid wsp:val=&quot;005E320A&quot;/&gt;&lt;wsp:rsid wsp:val=&quot;005E3428&quot;/&gt;&lt;wsp:rsid wsp:val=&quot;005E36D9&quot;/&gt;&lt;wsp:rsid wsp:val=&quot;005E3A17&quot;/&gt;&lt;wsp:rsid wsp:val=&quot;005E3A74&quot;/&gt;&lt;wsp:rsid wsp:val=&quot;005E4715&quot;/&gt;&lt;wsp:rsid wsp:val=&quot;005E4740&quot;/&gt;&lt;wsp:rsid wsp:val=&quot;005E484B&quot;/&gt;&lt;wsp:rsid wsp:val=&quot;005E485E&quot;/&gt;&lt;wsp:rsid wsp:val=&quot;005E497E&quot;/&gt;&lt;wsp:rsid wsp:val=&quot;005E49F5&quot;/&gt;&lt;wsp:rsid wsp:val=&quot;005E4B5C&quot;/&gt;&lt;wsp:rsid wsp:val=&quot;005E4B7D&quot;/&gt;&lt;wsp:rsid wsp:val=&quot;005E4D33&quot;/&gt;&lt;wsp:rsid wsp:val=&quot;005E4E03&quot;/&gt;&lt;wsp:rsid wsp:val=&quot;005E4FD7&quot;/&gt;&lt;wsp:rsid wsp:val=&quot;005E4FE9&quot;/&gt;&lt;wsp:rsid wsp:val=&quot;005E50D6&quot;/&gt;&lt;wsp:rsid wsp:val=&quot;005E520F&quot;/&gt;&lt;wsp:rsid wsp:val=&quot;005E5245&quot;/&gt;&lt;wsp:rsid wsp:val=&quot;005E534E&quot;/&gt;&lt;wsp:rsid wsp:val=&quot;005E555A&quot;/&gt;&lt;wsp:rsid wsp:val=&quot;005E5672&quot;/&gt;&lt;wsp:rsid wsp:val=&quot;005E5893&quot;/&gt;&lt;wsp:rsid wsp:val=&quot;005E5C96&quot;/&gt;&lt;wsp:rsid wsp:val=&quot;005E5E30&quot;/&gt;&lt;wsp:rsid wsp:val=&quot;005E5E74&quot;/&gt;&lt;wsp:rsid wsp:val=&quot;005E640E&quot;/&gt;&lt;wsp:rsid wsp:val=&quot;005E65A9&quot;/&gt;&lt;wsp:rsid wsp:val=&quot;005E6A03&quot;/&gt;&lt;wsp:rsid wsp:val=&quot;005E6ACF&quot;/&gt;&lt;wsp:rsid wsp:val=&quot;005E6BE5&quot;/&gt;&lt;wsp:rsid wsp:val=&quot;005E6CD2&quot;/&gt;&lt;wsp:rsid wsp:val=&quot;005E6D02&quot;/&gt;&lt;wsp:rsid wsp:val=&quot;005E72D1&quot;/&gt;&lt;wsp:rsid wsp:val=&quot;005E75D1&quot;/&gt;&lt;wsp:rsid wsp:val=&quot;005E7926&quot;/&gt;&lt;wsp:rsid wsp:val=&quot;005E79AA&quot;/&gt;&lt;wsp:rsid wsp:val=&quot;005E7C62&quot;/&gt;&lt;wsp:rsid wsp:val=&quot;005E7D4A&quot;/&gt;&lt;wsp:rsid wsp:val=&quot;005E7F0E&quot;/&gt;&lt;wsp:rsid wsp:val=&quot;005E7F44&quot;/&gt;&lt;wsp:rsid wsp:val=&quot;005F0003&quot;/&gt;&lt;wsp:rsid wsp:val=&quot;005F004B&quot;/&gt;&lt;wsp:rsid wsp:val=&quot;005F0168&quot;/&gt;&lt;wsp:rsid wsp:val=&quot;005F01D1&quot;/&gt;&lt;wsp:rsid wsp:val=&quot;005F04D8&quot;/&gt;&lt;wsp:rsid wsp:val=&quot;005F09A3&quot;/&gt;&lt;wsp:rsid wsp:val=&quot;005F0A1D&quot;/&gt;&lt;wsp:rsid wsp:val=&quot;005F0BFF&quot;/&gt;&lt;wsp:rsid wsp:val=&quot;005F0D97&quot;/&gt;&lt;wsp:rsid wsp:val=&quot;005F0DAF&quot;/&gt;&lt;wsp:rsid wsp:val=&quot;005F0FDF&quot;/&gt;&lt;wsp:rsid wsp:val=&quot;005F182E&quot;/&gt;&lt;wsp:rsid wsp:val=&quot;005F192B&quot;/&gt;&lt;wsp:rsid wsp:val=&quot;005F1E86&quot;/&gt;&lt;wsp:rsid wsp:val=&quot;005F2131&quot;/&gt;&lt;wsp:rsid wsp:val=&quot;005F29F4&quot;/&gt;&lt;wsp:rsid wsp:val=&quot;005F2A61&quot;/&gt;&lt;wsp:rsid wsp:val=&quot;005F2C79&quot;/&gt;&lt;wsp:rsid wsp:val=&quot;005F2C9A&quot;/&gt;&lt;wsp:rsid wsp:val=&quot;005F2DCE&quot;/&gt;&lt;wsp:rsid wsp:val=&quot;005F304F&quot;/&gt;&lt;wsp:rsid wsp:val=&quot;005F33A8&quot;/&gt;&lt;wsp:rsid wsp:val=&quot;005F3619&quot;/&gt;&lt;wsp:rsid wsp:val=&quot;005F37D1&quot;/&gt;&lt;wsp:rsid wsp:val=&quot;005F3C98&quot;/&gt;&lt;wsp:rsid wsp:val=&quot;005F3CDD&quot;/&gt;&lt;wsp:rsid wsp:val=&quot;005F3D4F&quot;/&gt;&lt;wsp:rsid wsp:val=&quot;005F42E9&quot;/&gt;&lt;wsp:rsid wsp:val=&quot;005F432B&quot;/&gt;&lt;wsp:rsid wsp:val=&quot;005F4417&quot;/&gt;&lt;wsp:rsid wsp:val=&quot;005F4895&quot;/&gt;&lt;wsp:rsid wsp:val=&quot;005F4CDF&quot;/&gt;&lt;wsp:rsid wsp:val=&quot;005F4DBB&quot;/&gt;&lt;wsp:rsid wsp:val=&quot;005F4ECE&quot;/&gt;&lt;wsp:rsid wsp:val=&quot;005F4FB0&quot;/&gt;&lt;wsp:rsid wsp:val=&quot;005F5002&quot;/&gt;&lt;wsp:rsid wsp:val=&quot;005F51B7&quot;/&gt;&lt;wsp:rsid wsp:val=&quot;005F52DB&quot;/&gt;&lt;wsp:rsid wsp:val=&quot;005F5995&quot;/&gt;&lt;wsp:rsid wsp:val=&quot;005F5B3B&quot;/&gt;&lt;wsp:rsid wsp:val=&quot;005F60A3&quot;/&gt;&lt;wsp:rsid wsp:val=&quot;005F659D&quot;/&gt;&lt;wsp:rsid wsp:val=&quot;005F688A&quot;/&gt;&lt;wsp:rsid wsp:val=&quot;005F6C3F&quot;/&gt;&lt;wsp:rsid wsp:val=&quot;005F7A20&quot;/&gt;&lt;wsp:rsid wsp:val=&quot;005F7B91&quot;/&gt;&lt;wsp:rsid wsp:val=&quot;005F7BDD&quot;/&gt;&lt;wsp:rsid wsp:val=&quot;005F7CB3&quot;/&gt;&lt;wsp:rsid wsp:val=&quot;005F7CF7&quot;/&gt;&lt;wsp:rsid wsp:val=&quot;006000DF&quot;/&gt;&lt;wsp:rsid wsp:val=&quot;006002DC&quot;/&gt;&lt;wsp:rsid wsp:val=&quot;00600314&quot;/&gt;&lt;wsp:rsid wsp:val=&quot;00600360&quot;/&gt;&lt;wsp:rsid wsp:val=&quot;00600463&quot;/&gt;&lt;wsp:rsid wsp:val=&quot;0060046F&quot;/&gt;&lt;wsp:rsid wsp:val=&quot;00600C36&quot;/&gt;&lt;wsp:rsid wsp:val=&quot;00600EF6&quot;/&gt;&lt;wsp:rsid wsp:val=&quot;00600FE9&quot;/&gt;&lt;wsp:rsid wsp:val=&quot;0060192D&quot;/&gt;&lt;wsp:rsid wsp:val=&quot;006019FD&quot;/&gt;&lt;wsp:rsid wsp:val=&quot;00601B85&quot;/&gt;&lt;wsp:rsid wsp:val=&quot;00602366&quot;/&gt;&lt;wsp:rsid wsp:val=&quot;00602B25&quot;/&gt;&lt;wsp:rsid wsp:val=&quot;00602B4E&quot;/&gt;&lt;wsp:rsid wsp:val=&quot;00602BFE&quot;/&gt;&lt;wsp:rsid wsp:val=&quot;00602C2F&quot;/&gt;&lt;wsp:rsid wsp:val=&quot;00602DC8&quot;/&gt;&lt;wsp:rsid wsp:val=&quot;00602EC7&quot;/&gt;&lt;wsp:rsid wsp:val=&quot;00602F8C&quot;/&gt;&lt;wsp:rsid wsp:val=&quot;006032E1&quot;/&gt;&lt;wsp:rsid wsp:val=&quot;006033C3&quot;/&gt;&lt;wsp:rsid wsp:val=&quot;006037D9&quot;/&gt;&lt;wsp:rsid wsp:val=&quot;006037FA&quot;/&gt;&lt;wsp:rsid wsp:val=&quot;00603865&quot;/&gt;&lt;wsp:rsid wsp:val=&quot;00603F4E&quot;/&gt;&lt;wsp:rsid wsp:val=&quot;0060426E&quot;/&gt;&lt;wsp:rsid wsp:val=&quot;0060453C&quot;/&gt;&lt;wsp:rsid wsp:val=&quot;006049BD&quot;/&gt;&lt;wsp:rsid wsp:val=&quot;00604A0F&quot;/&gt;&lt;wsp:rsid wsp:val=&quot;00604A9E&quot;/&gt;&lt;wsp:rsid wsp:val=&quot;00604C53&quot;/&gt;&lt;wsp:rsid wsp:val=&quot;00604C95&quot;/&gt;&lt;wsp:rsid wsp:val=&quot;00604EB0&quot;/&gt;&lt;wsp:rsid wsp:val=&quot;00604F8D&quot;/&gt;&lt;wsp:rsid wsp:val=&quot;00605102&quot;/&gt;&lt;wsp:rsid wsp:val=&quot;00605103&quot;/&gt;&lt;wsp:rsid wsp:val=&quot;006051FE&quot;/&gt;&lt;wsp:rsid wsp:val=&quot;00605248&quot;/&gt;&lt;wsp:rsid wsp:val=&quot;006053F8&quot;/&gt;&lt;wsp:rsid wsp:val=&quot;0060557A&quot;/&gt;&lt;wsp:rsid wsp:val=&quot;00605592&quot;/&gt;&lt;wsp:rsid wsp:val=&quot;0060562E&quot;/&gt;&lt;wsp:rsid wsp:val=&quot;00605880&quot;/&gt;&lt;wsp:rsid wsp:val=&quot;00605947&quot;/&gt;&lt;wsp:rsid wsp:val=&quot;00605E09&quot;/&gt;&lt;wsp:rsid wsp:val=&quot;00606053&quot;/&gt;&lt;wsp:rsid wsp:val=&quot;00606128&quot;/&gt;&lt;wsp:rsid wsp:val=&quot;0060624F&quot;/&gt;&lt;wsp:rsid wsp:val=&quot;006064EA&quot;/&gt;&lt;wsp:rsid wsp:val=&quot;00606842&quot;/&gt;&lt;wsp:rsid wsp:val=&quot;00606A4A&quot;/&gt;&lt;wsp:rsid wsp:val=&quot;00606C09&quot;/&gt;&lt;wsp:rsid wsp:val=&quot;00606C1A&quot;/&gt;&lt;wsp:rsid wsp:val=&quot;00606EDD&quot;/&gt;&lt;wsp:rsid wsp:val=&quot;00606F14&quot;/&gt;&lt;wsp:rsid wsp:val=&quot;0060739D&quot;/&gt;&lt;wsp:rsid wsp:val=&quot;00607402&quot;/&gt;&lt;wsp:rsid wsp:val=&quot;006077CE&quot;/&gt;&lt;wsp:rsid wsp:val=&quot;006077D1&quot;/&gt;&lt;wsp:rsid wsp:val=&quot;00607A89&quot;/&gt;&lt;wsp:rsid wsp:val=&quot;00607B0D&quot;/&gt;&lt;wsp:rsid wsp:val=&quot;00607B15&quot;/&gt;&lt;wsp:rsid wsp:val=&quot;00607F20&quot;/&gt;&lt;wsp:rsid wsp:val=&quot;00607F89&quot;/&gt;&lt;wsp:rsid wsp:val=&quot;0061031F&quot;/&gt;&lt;wsp:rsid wsp:val=&quot;006103FB&quot;/&gt;&lt;wsp:rsid wsp:val=&quot;006105E7&quot;/&gt;&lt;wsp:rsid wsp:val=&quot;00610609&quot;/&gt;&lt;wsp:rsid wsp:val=&quot;00610690&quot;/&gt;&lt;wsp:rsid wsp:val=&quot;00610937&quot;/&gt;&lt;wsp:rsid wsp:val=&quot;006114F0&quot;/&gt;&lt;wsp:rsid wsp:val=&quot;0061150A&quot;/&gt;&lt;wsp:rsid wsp:val=&quot;006115F0&quot;/&gt;&lt;wsp:rsid wsp:val=&quot;0061165C&quot;/&gt;&lt;wsp:rsid wsp:val=&quot;00611ABE&quot;/&gt;&lt;wsp:rsid wsp:val=&quot;00611BED&quot;/&gt;&lt;wsp:rsid wsp:val=&quot;006121A5&quot;/&gt;&lt;wsp:rsid wsp:val=&quot;006123F3&quot;/&gt;&lt;wsp:rsid wsp:val=&quot;00612518&quot;/&gt;&lt;wsp:rsid wsp:val=&quot;00612835&quot;/&gt;&lt;wsp:rsid wsp:val=&quot;00612B25&quot;/&gt;&lt;wsp:rsid wsp:val=&quot;00612C31&quot;/&gt;&lt;wsp:rsid wsp:val=&quot;00612E64&quot;/&gt;&lt;wsp:rsid wsp:val=&quot;00612EBD&quot;/&gt;&lt;wsp:rsid wsp:val=&quot;006135D0&quot;/&gt;&lt;wsp:rsid wsp:val=&quot;00613855&quot;/&gt;&lt;wsp:rsid wsp:val=&quot;006139B9&quot;/&gt;&lt;wsp:rsid wsp:val=&quot;006139D4&quot;/&gt;&lt;wsp:rsid wsp:val=&quot;00613B1A&quot;/&gt;&lt;wsp:rsid wsp:val=&quot;00613BC5&quot;/&gt;&lt;wsp:rsid wsp:val=&quot;00613D62&quot;/&gt;&lt;wsp:rsid wsp:val=&quot;00613EA3&quot;/&gt;&lt;wsp:rsid wsp:val=&quot;006141F8&quot;/&gt;&lt;wsp:rsid wsp:val=&quot;00614662&quot;/&gt;&lt;wsp:rsid wsp:val=&quot;0061466A&quot;/&gt;&lt;wsp:rsid wsp:val=&quot;006147B1&quot;/&gt;&lt;wsp:rsid wsp:val=&quot;00614959&quot;/&gt;&lt;wsp:rsid wsp:val=&quot;00614A97&quot;/&gt;&lt;wsp:rsid wsp:val=&quot;00614ADA&quot;/&gt;&lt;wsp:rsid wsp:val=&quot;00614B51&quot;/&gt;&lt;wsp:rsid wsp:val=&quot;00614D95&quot;/&gt;&lt;wsp:rsid wsp:val=&quot;00614F86&quot;/&gt;&lt;wsp:rsid wsp:val=&quot;00615080&quot;/&gt;&lt;wsp:rsid wsp:val=&quot;00615399&quot;/&gt;&lt;wsp:rsid wsp:val=&quot;006157EE&quot;/&gt;&lt;wsp:rsid wsp:val=&quot;006159AC&quot;/&gt;&lt;wsp:rsid wsp:val=&quot;00615A02&quot;/&gt;&lt;wsp:rsid wsp:val=&quot;00615F62&quot;/&gt;&lt;wsp:rsid wsp:val=&quot;0061612E&quot;/&gt;&lt;wsp:rsid wsp:val=&quot;006162CF&quot;/&gt;&lt;wsp:rsid wsp:val=&quot;00616563&quot;/&gt;&lt;wsp:rsid wsp:val=&quot;00616612&quot;/&gt;&lt;wsp:rsid wsp:val=&quot;00616984&quot;/&gt;&lt;wsp:rsid wsp:val=&quot;00616B85&quot;/&gt;&lt;wsp:rsid wsp:val=&quot;00616BC1&quot;/&gt;&lt;wsp:rsid wsp:val=&quot;00616CAE&quot;/&gt;&lt;wsp:rsid wsp:val=&quot;00616EA7&quot;/&gt;&lt;wsp:rsid wsp:val=&quot;00616ECB&quot;/&gt;&lt;wsp:rsid wsp:val=&quot;00617234&quot;/&gt;&lt;wsp:rsid wsp:val=&quot;00617379&quot;/&gt;&lt;wsp:rsid wsp:val=&quot;00617593&quot;/&gt;&lt;wsp:rsid wsp:val=&quot;006177AD&quot;/&gt;&lt;wsp:rsid wsp:val=&quot;0061799B&quot;/&gt;&lt;wsp:rsid wsp:val=&quot;00617A85&quot;/&gt;&lt;wsp:rsid wsp:val=&quot;00617E40&quot;/&gt;&lt;wsp:rsid wsp:val=&quot;00617E5A&quot;/&gt;&lt;wsp:rsid wsp:val=&quot;00617F59&quot;/&gt;&lt;wsp:rsid wsp:val=&quot;00620338&quot;/&gt;&lt;wsp:rsid wsp:val=&quot;006203E7&quot;/&gt;&lt;wsp:rsid wsp:val=&quot;00620462&quot;/&gt;&lt;wsp:rsid wsp:val=&quot;006205E2&quot;/&gt;&lt;wsp:rsid wsp:val=&quot;006208CC&quot;/&gt;&lt;wsp:rsid wsp:val=&quot;0062092A&quot;/&gt;&lt;wsp:rsid wsp:val=&quot;00620977&quot;/&gt;&lt;wsp:rsid wsp:val=&quot;00620DF4&quot;/&gt;&lt;wsp:rsid wsp:val=&quot;0062161D&quot;/&gt;&lt;wsp:rsid wsp:val=&quot;00621BE0&quot;/&gt;&lt;wsp:rsid wsp:val=&quot;00621CA3&quot;/&gt;&lt;wsp:rsid wsp:val=&quot;006222C6&quot;/&gt;&lt;wsp:rsid wsp:val=&quot;006227A7&quot;/&gt;&lt;wsp:rsid wsp:val=&quot;006227C9&quot;/&gt;&lt;wsp:rsid wsp:val=&quot;006228EB&quot;/&gt;&lt;wsp:rsid wsp:val=&quot;006228EE&quot;/&gt;&lt;wsp:rsid wsp:val=&quot;00622B60&quot;/&gt;&lt;wsp:rsid wsp:val=&quot;00622BBB&quot;/&gt;&lt;wsp:rsid wsp:val=&quot;00623133&quot;/&gt;&lt;wsp:rsid wsp:val=&quot;0062322D&quot;/&gt;&lt;wsp:rsid wsp:val=&quot;00623624&quot;/&gt;&lt;wsp:rsid wsp:val=&quot;006238F9&quot;/&gt;&lt;wsp:rsid wsp:val=&quot;00623B1F&quot;/&gt;&lt;wsp:rsid wsp:val=&quot;00623FC9&quot;/&gt;&lt;wsp:rsid wsp:val=&quot;006240D7&quot;/&gt;&lt;wsp:rsid wsp:val=&quot;0062431B&quot;/&gt;&lt;wsp:rsid wsp:val=&quot;006249F4&quot;/&gt;&lt;wsp:rsid wsp:val=&quot;00624B2F&quot;/&gt;&lt;wsp:rsid wsp:val=&quot;00624C26&quot;/&gt;&lt;wsp:rsid wsp:val=&quot;00624E8D&quot;/&gt;&lt;wsp:rsid wsp:val=&quot;00624E93&quot;/&gt;&lt;wsp:rsid wsp:val=&quot;0062503F&quot;/&gt;&lt;wsp:rsid wsp:val=&quot;00625890&quot;/&gt;&lt;wsp:rsid wsp:val=&quot;00625E9F&quot;/&gt;&lt;wsp:rsid wsp:val=&quot;00625EDC&quot;/&gt;&lt;wsp:rsid wsp:val=&quot;00626050&quot;/&gt;&lt;wsp:rsid wsp:val=&quot;00626355&quot;/&gt;&lt;wsp:rsid wsp:val=&quot;006263D7&quot;/&gt;&lt;wsp:rsid wsp:val=&quot;006263F6&quot;/&gt;&lt;wsp:rsid wsp:val=&quot;00626DA9&quot;/&gt;&lt;wsp:rsid wsp:val=&quot;00626DBC&quot;/&gt;&lt;wsp:rsid wsp:val=&quot;0062701B&quot;/&gt;&lt;wsp:rsid wsp:val=&quot;006273D2&quot;/&gt;&lt;wsp:rsid wsp:val=&quot;0062775A&quot;/&gt;&lt;wsp:rsid wsp:val=&quot;0062778B&quot;/&gt;&lt;wsp:rsid wsp:val=&quot;0062782B&quot;/&gt;&lt;wsp:rsid wsp:val=&quot;006279F4&quot;/&gt;&lt;wsp:rsid wsp:val=&quot;00627BC0&quot;/&gt;&lt;wsp:rsid wsp:val=&quot;00627C20&quot;/&gt;&lt;wsp:rsid wsp:val=&quot;0063028E&quot;/&gt;&lt;wsp:rsid wsp:val=&quot;00630658&quot;/&gt;&lt;wsp:rsid wsp:val=&quot;006306D3&quot;/&gt;&lt;wsp:rsid wsp:val=&quot;00630A11&quot;/&gt;&lt;wsp:rsid wsp:val=&quot;00630BB6&quot;/&gt;&lt;wsp:rsid wsp:val=&quot;00630BB9&quot;/&gt;&lt;wsp:rsid wsp:val=&quot;00630E84&quot;/&gt;&lt;wsp:rsid wsp:val=&quot;00630FA2&quot;/&gt;&lt;wsp:rsid wsp:val=&quot;006312C8&quot;/&gt;&lt;wsp:rsid wsp:val=&quot;0063165A&quot;/&gt;&lt;wsp:rsid wsp:val=&quot;006316B3&quot;/&gt;&lt;wsp:rsid wsp:val=&quot;00631731&quot;/&gt;&lt;wsp:rsid wsp:val=&quot;0063196E&quot;/&gt;&lt;wsp:rsid wsp:val=&quot;00631A2B&quot;/&gt;&lt;wsp:rsid wsp:val=&quot;00631B95&quot;/&gt;&lt;wsp:rsid wsp:val=&quot;00631FB1&quot;/&gt;&lt;wsp:rsid wsp:val=&quot;00632027&quot;/&gt;&lt;wsp:rsid wsp:val=&quot;00632096&quot;/&gt;&lt;wsp:rsid wsp:val=&quot;00632401&quot;/&gt;&lt;wsp:rsid wsp:val=&quot;0063260A&quot;/&gt;&lt;wsp:rsid wsp:val=&quot;00632919&quot;/&gt;&lt;wsp:rsid wsp:val=&quot;00632B0D&quot;/&gt;&lt;wsp:rsid wsp:val=&quot;00632B2E&quot;/&gt;&lt;wsp:rsid wsp:val=&quot;00632C80&quot;/&gt;&lt;wsp:rsid wsp:val=&quot;00632D05&quot;/&gt;&lt;wsp:rsid wsp:val=&quot;00632E78&quot;/&gt;&lt;wsp:rsid wsp:val=&quot;006334C5&quot;/&gt;&lt;wsp:rsid wsp:val=&quot;006335EA&quot;/&gt;&lt;wsp:rsid wsp:val=&quot;006339B5&quot;/&gt;&lt;wsp:rsid wsp:val=&quot;00633C5F&quot;/&gt;&lt;wsp:rsid wsp:val=&quot;00633F3B&quot;/&gt;&lt;wsp:rsid wsp:val=&quot;00633FDD&quot;/&gt;&lt;wsp:rsid wsp:val=&quot;006340DD&quot;/&gt;&lt;wsp:rsid wsp:val=&quot;00634103&quot;/&gt;&lt;wsp:rsid wsp:val=&quot;006346CD&quot;/&gt;&lt;wsp:rsid wsp:val=&quot;00634732&quot;/&gt;&lt;wsp:rsid wsp:val=&quot;00634951&quot;/&gt;&lt;wsp:rsid wsp:val=&quot;00634E10&quot;/&gt;&lt;wsp:rsid wsp:val=&quot;00634FE8&quot;/&gt;&lt;wsp:rsid wsp:val=&quot;006354BE&quot;/&gt;&lt;wsp:rsid wsp:val=&quot;00635698&quot;/&gt;&lt;wsp:rsid wsp:val=&quot;00635A2D&quot;/&gt;&lt;wsp:rsid wsp:val=&quot;00635BD5&quot;/&gt;&lt;wsp:rsid wsp:val=&quot;00635E52&quot;/&gt;&lt;wsp:rsid wsp:val=&quot;00636060&quot;/&gt;&lt;wsp:rsid wsp:val=&quot;00636077&quot;/&gt;&lt;wsp:rsid wsp:val=&quot;00636217&quot;/&gt;&lt;wsp:rsid wsp:val=&quot;00636682&quot;/&gt;&lt;wsp:rsid wsp:val=&quot;00636775&quot;/&gt;&lt;wsp:rsid wsp:val=&quot;0063685B&quot;/&gt;&lt;wsp:rsid wsp:val=&quot;00636E16&quot;/&gt;&lt;wsp:rsid wsp:val=&quot;00636FBF&quot;/&gt;&lt;wsp:rsid wsp:val=&quot;006375E3&quot;/&gt;&lt;wsp:rsid wsp:val=&quot;00637C42&quot;/&gt;&lt;wsp:rsid wsp:val=&quot;00637DDE&quot;/&gt;&lt;wsp:rsid wsp:val=&quot;00640141&quot;/&gt;&lt;wsp:rsid wsp:val=&quot;006401BF&quot;/&gt;&lt;wsp:rsid wsp:val=&quot;00640212&quot;/&gt;&lt;wsp:rsid wsp:val=&quot;006402DA&quot;/&gt;&lt;wsp:rsid wsp:val=&quot;0064046A&quot;/&gt;&lt;wsp:rsid wsp:val=&quot;00640863&quot;/&gt;&lt;wsp:rsid wsp:val=&quot;00640873&quot;/&gt;&lt;wsp:rsid wsp:val=&quot;00640FCD&quot;/&gt;&lt;wsp:rsid wsp:val=&quot;0064115D&quot;/&gt;&lt;wsp:rsid wsp:val=&quot;0064190B&quot;/&gt;&lt;wsp:rsid wsp:val=&quot;00641D06&quot;/&gt;&lt;wsp:rsid wsp:val=&quot;00641DEF&quot;/&gt;&lt;wsp:rsid wsp:val=&quot;00641E54&quot;/&gt;&lt;wsp:rsid wsp:val=&quot;0064209D&quot;/&gt;&lt;wsp:rsid wsp:val=&quot;006421BA&quot;/&gt;&lt;wsp:rsid wsp:val=&quot;00642530&quot;/&gt;&lt;wsp:rsid wsp:val=&quot;00642839&quot;/&gt;&lt;wsp:rsid wsp:val=&quot;00642DC5&quot;/&gt;&lt;wsp:rsid wsp:val=&quot;00642E38&quot;/&gt;&lt;wsp:rsid wsp:val=&quot;006431B1&quot;/&gt;&lt;wsp:rsid wsp:val=&quot;00643331&quot;/&gt;&lt;wsp:rsid wsp:val=&quot;006434EF&quot;/&gt;&lt;wsp:rsid wsp:val=&quot;006436D6&quot;/&gt;&lt;wsp:rsid wsp:val=&quot;006437E7&quot;/&gt;&lt;wsp:rsid wsp:val=&quot;00643D28&quot;/&gt;&lt;wsp:rsid wsp:val=&quot;00643DF5&quot;/&gt;&lt;wsp:rsid wsp:val=&quot;00644062&quot;/&gt;&lt;wsp:rsid wsp:val=&quot;006443A6&quot;/&gt;&lt;wsp:rsid wsp:val=&quot;00644565&quot;/&gt;&lt;wsp:rsid wsp:val=&quot;00644672&quot;/&gt;&lt;wsp:rsid wsp:val=&quot;0064467F&quot;/&gt;&lt;wsp:rsid wsp:val=&quot;00644CCD&quot;/&gt;&lt;wsp:rsid wsp:val=&quot;006454C0&quot;/&gt;&lt;wsp:rsid wsp:val=&quot;00645642&quot;/&gt;&lt;wsp:rsid wsp:val=&quot;0064570C&quot;/&gt;&lt;wsp:rsid wsp:val=&quot;00645DCF&quot;/&gt;&lt;wsp:rsid wsp:val=&quot;00645E05&quot;/&gt;&lt;wsp:rsid wsp:val=&quot;00645E47&quot;/&gt;&lt;wsp:rsid wsp:val=&quot;0064626F&quot;/&gt;&lt;wsp:rsid wsp:val=&quot;006462A0&quot;/&gt;&lt;wsp:rsid wsp:val=&quot;00646B2C&quot;/&gt;&lt;wsp:rsid wsp:val=&quot;00646BCB&quot;/&gt;&lt;wsp:rsid wsp:val=&quot;00646DD4&quot;/&gt;&lt;wsp:rsid wsp:val=&quot;00647047&quot;/&gt;&lt;wsp:rsid wsp:val=&quot;006470F9&quot;/&gt;&lt;wsp:rsid wsp:val=&quot;00647224&quot;/&gt;&lt;wsp:rsid wsp:val=&quot;00647469&quot;/&gt;&lt;wsp:rsid wsp:val=&quot;00647826&quot;/&gt;&lt;wsp:rsid wsp:val=&quot;00647827&quot;/&gt;&lt;wsp:rsid wsp:val=&quot;00647E11&quot;/&gt;&lt;wsp:rsid wsp:val=&quot;00647E3A&quot;/&gt;&lt;wsp:rsid wsp:val=&quot;00647F81&quot;/&gt;&lt;wsp:rsid wsp:val=&quot;00647F84&quot;/&gt;&lt;wsp:rsid wsp:val=&quot;006504D9&quot;/&gt;&lt;wsp:rsid wsp:val=&quot;0065087D&quot;/&gt;&lt;wsp:rsid wsp:val=&quot;00650931&quot;/&gt;&lt;wsp:rsid wsp:val=&quot;00650BC3&quot;/&gt;&lt;wsp:rsid wsp:val=&quot;00650F4A&quot;/&gt;&lt;wsp:rsid wsp:val=&quot;00651352&quot;/&gt;&lt;wsp:rsid wsp:val=&quot;006515AD&quot;/&gt;&lt;wsp:rsid wsp:val=&quot;0065179F&quot;/&gt;&lt;wsp:rsid wsp:val=&quot;00651A09&quot;/&gt;&lt;wsp:rsid wsp:val=&quot;00651C19&quot;/&gt;&lt;wsp:rsid wsp:val=&quot;00651EF3&quot;/&gt;&lt;wsp:rsid wsp:val=&quot;0065218F&quot;/&gt;&lt;wsp:rsid wsp:val=&quot;006522CC&quot;/&gt;&lt;wsp:rsid wsp:val=&quot;00652404&quot;/&gt;&lt;wsp:rsid wsp:val=&quot;0065244D&quot;/&gt;&lt;wsp:rsid wsp:val=&quot;006525E7&quot;/&gt;&lt;wsp:rsid wsp:val=&quot;0065286F&quot;/&gt;&lt;wsp:rsid wsp:val=&quot;00652B47&quot;/&gt;&lt;wsp:rsid wsp:val=&quot;00652B5A&quot;/&gt;&lt;wsp:rsid wsp:val=&quot;00652BCF&quot;/&gt;&lt;wsp:rsid wsp:val=&quot;00652CD2&quot;/&gt;&lt;wsp:rsid wsp:val=&quot;00653397&quot;/&gt;&lt;wsp:rsid wsp:val=&quot;006534D6&quot;/&gt;&lt;wsp:rsid wsp:val=&quot;0065363A&quot;/&gt;&lt;wsp:rsid wsp:val=&quot;00653B1D&quot;/&gt;&lt;wsp:rsid wsp:val=&quot;00653F60&quot;/&gt;&lt;wsp:rsid wsp:val=&quot;00654134&quot;/&gt;&lt;wsp:rsid wsp:val=&quot;006542A0&quot;/&gt;&lt;wsp:rsid wsp:val=&quot;00654436&quot;/&gt;&lt;wsp:rsid wsp:val=&quot;00654605&quot;/&gt;&lt;wsp:rsid wsp:val=&quot;006547D8&quot;/&gt;&lt;wsp:rsid wsp:val=&quot;00654949&quot;/&gt;&lt;wsp:rsid wsp:val=&quot;00654A28&quot;/&gt;&lt;wsp:rsid wsp:val=&quot;00654BBE&quot;/&gt;&lt;wsp:rsid wsp:val=&quot;00654E9F&quot;/&gt;&lt;wsp:rsid wsp:val=&quot;00654FB7&quot;/&gt;&lt;wsp:rsid wsp:val=&quot;006553DA&quot;/&gt;&lt;wsp:rsid wsp:val=&quot;006555F0&quot;/&gt;&lt;wsp:rsid wsp:val=&quot;00655642&quot;/&gt;&lt;wsp:rsid wsp:val=&quot;006557CF&quot;/&gt;&lt;wsp:rsid wsp:val=&quot;00655860&quot;/&gt;&lt;wsp:rsid wsp:val=&quot;00655AFD&quot;/&gt;&lt;wsp:rsid wsp:val=&quot;00655CB7&quot;/&gt;&lt;wsp:rsid wsp:val=&quot;00655E49&quot;/&gt;&lt;wsp:rsid wsp:val=&quot;006566AE&quot;/&gt;&lt;wsp:rsid wsp:val=&quot;00656A1A&quot;/&gt;&lt;wsp:rsid wsp:val=&quot;00656C50&quot;/&gt;&lt;wsp:rsid wsp:val=&quot;00656C90&quot;/&gt;&lt;wsp:rsid wsp:val=&quot;00656C93&quot;/&gt;&lt;wsp:rsid wsp:val=&quot;00656E51&quot;/&gt;&lt;wsp:rsid wsp:val=&quot;00656FB9&quot;/&gt;&lt;wsp:rsid wsp:val=&quot;00657076&quot;/&gt;&lt;wsp:rsid wsp:val=&quot;00657107&quot;/&gt;&lt;wsp:rsid wsp:val=&quot;0065713F&quot;/&gt;&lt;wsp:rsid wsp:val=&quot;006574C5&quot;/&gt;&lt;wsp:rsid wsp:val=&quot;00657654&quot;/&gt;&lt;wsp:rsid wsp:val=&quot;0065778E&quot;/&gt;&lt;wsp:rsid wsp:val=&quot;0065786C&quot;/&gt;&lt;wsp:rsid wsp:val=&quot;00657F47&quot;/&gt;&lt;wsp:rsid wsp:val=&quot;0066010B&quot;/&gt;&lt;wsp:rsid wsp:val=&quot;00660129&quot;/&gt;&lt;wsp:rsid wsp:val=&quot;00660160&quot;/&gt;&lt;wsp:rsid wsp:val=&quot;006607F2&quot;/&gt;&lt;wsp:rsid wsp:val=&quot;00660812&quot;/&gt;&lt;wsp:rsid wsp:val=&quot;0066088C&quot;/&gt;&lt;wsp:rsid wsp:val=&quot;00660C43&quot;/&gt;&lt;wsp:rsid wsp:val=&quot;00660D3F&quot;/&gt;&lt;wsp:rsid wsp:val=&quot;00660F20&quot;/&gt;&lt;wsp:rsid wsp:val=&quot;00660F99&quot;/&gt;&lt;wsp:rsid wsp:val=&quot;00661247&quot;/&gt;&lt;wsp:rsid wsp:val=&quot;00661824&quot;/&gt;&lt;wsp:rsid wsp:val=&quot;0066184E&quot;/&gt;&lt;wsp:rsid wsp:val=&quot;00661AFB&quot;/&gt;&lt;wsp:rsid wsp:val=&quot;00661BAB&quot;/&gt;&lt;wsp:rsid wsp:val=&quot;00661E0E&quot;/&gt;&lt;wsp:rsid wsp:val=&quot;00662028&quot;/&gt;&lt;wsp:rsid wsp:val=&quot;00662507&quot;/&gt;&lt;wsp:rsid wsp:val=&quot;006626B3&quot;/&gt;&lt;wsp:rsid wsp:val=&quot;006627EE&quot;/&gt;&lt;wsp:rsid wsp:val=&quot;0066287C&quot;/&gt;&lt;wsp:rsid wsp:val=&quot;00662972&quot;/&gt;&lt;wsp:rsid wsp:val=&quot;00662BAC&quot;/&gt;&lt;wsp:rsid wsp:val=&quot;00663057&quot;/&gt;&lt;wsp:rsid wsp:val=&quot;006630CD&quot;/&gt;&lt;wsp:rsid wsp:val=&quot;006631A2&quot;/&gt;&lt;wsp:rsid wsp:val=&quot;0066357B&quot;/&gt;&lt;wsp:rsid wsp:val=&quot;00663774&quot;/&gt;&lt;wsp:rsid wsp:val=&quot;00664434&quot;/&gt;&lt;wsp:rsid wsp:val=&quot;006644D8&quot;/&gt;&lt;wsp:rsid wsp:val=&quot;00664582&quot;/&gt;&lt;wsp:rsid wsp:val=&quot;00664765&quot;/&gt;&lt;wsp:rsid wsp:val=&quot;0066495A&quot;/&gt;&lt;wsp:rsid wsp:val=&quot;00664BBB&quot;/&gt;&lt;wsp:rsid wsp:val=&quot;00664F83&quot;/&gt;&lt;wsp:rsid wsp:val=&quot;00665221&quot;/&gt;&lt;wsp:rsid wsp:val=&quot;0066563A&quot;/&gt;&lt;wsp:rsid wsp:val=&quot;006656B1&quot;/&gt;&lt;wsp:rsid wsp:val=&quot;006658C0&quot;/&gt;&lt;wsp:rsid wsp:val=&quot;0066591E&quot;/&gt;&lt;wsp:rsid wsp:val=&quot;00665B6A&quot;/&gt;&lt;wsp:rsid wsp:val=&quot;00665C78&quot;/&gt;&lt;wsp:rsid wsp:val=&quot;00665F8A&quot;/&gt;&lt;wsp:rsid wsp:val=&quot;00666047&quot;/&gt;&lt;wsp:rsid wsp:val=&quot;006660B1&quot;/&gt;&lt;wsp:rsid wsp:val=&quot;006664F1&quot;/&gt;&lt;wsp:rsid wsp:val=&quot;006666F9&quot;/&gt;&lt;wsp:rsid wsp:val=&quot;00666970&quot;/&gt;&lt;wsp:rsid wsp:val=&quot;00666E07&quot;/&gt;&lt;wsp:rsid wsp:val=&quot;006672A9&quot;/&gt;&lt;wsp:rsid wsp:val=&quot;0066732C&quot;/&gt;&lt;wsp:rsid wsp:val=&quot;006673C9&quot;/&gt;&lt;wsp:rsid wsp:val=&quot;006673F9&quot;/&gt;&lt;wsp:rsid wsp:val=&quot;00667805&quot;/&gt;&lt;wsp:rsid wsp:val=&quot;00667CF7&quot;/&gt;&lt;wsp:rsid wsp:val=&quot;00667E58&quot;/&gt;&lt;wsp:rsid wsp:val=&quot;00667FD9&quot;/&gt;&lt;wsp:rsid wsp:val=&quot;006701A1&quot;/&gt;&lt;wsp:rsid wsp:val=&quot;006705BC&quot;/&gt;&lt;wsp:rsid wsp:val=&quot;006706BC&quot;/&gt;&lt;wsp:rsid wsp:val=&quot;00670900&quot;/&gt;&lt;wsp:rsid wsp:val=&quot;00670C7F&quot;/&gt;&lt;wsp:rsid wsp:val=&quot;00670C8D&quot;/&gt;&lt;wsp:rsid wsp:val=&quot;00670D02&quot;/&gt;&lt;wsp:rsid wsp:val=&quot;00670D8A&quot;/&gt;&lt;wsp:rsid wsp:val=&quot;00670E37&quot;/&gt;&lt;wsp:rsid wsp:val=&quot;00670FFD&quot;/&gt;&lt;wsp:rsid wsp:val=&quot;00671000&quot;/&gt;&lt;wsp:rsid wsp:val=&quot;0067100F&quot;/&gt;&lt;wsp:rsid wsp:val=&quot;006715D3&quot;/&gt;&lt;wsp:rsid wsp:val=&quot;00671D60&quot;/&gt;&lt;wsp:rsid wsp:val=&quot;00671EB0&quot;/&gt;&lt;wsp:rsid wsp:val=&quot;00671FC7&quot;/&gt;&lt;wsp:rsid wsp:val=&quot;00672418&quot;/&gt;&lt;wsp:rsid wsp:val=&quot;006728AF&quot;/&gt;&lt;wsp:rsid wsp:val=&quot;006728C8&quot;/&gt;&lt;wsp:rsid wsp:val=&quot;006728E5&quot;/&gt;&lt;wsp:rsid wsp:val=&quot;00672910&quot;/&gt;&lt;wsp:rsid wsp:val=&quot;00672A7B&quot;/&gt;&lt;wsp:rsid wsp:val=&quot;00672B1D&quot;/&gt;&lt;wsp:rsid wsp:val=&quot;00672C7A&quot;/&gt;&lt;wsp:rsid wsp:val=&quot;00672DF3&quot;/&gt;&lt;wsp:rsid wsp:val=&quot;00672FD8&quot;/&gt;&lt;wsp:rsid wsp:val=&quot;00673258&quot;/&gt;&lt;wsp:rsid wsp:val=&quot;0067334E&quot;/&gt;&lt;wsp:rsid wsp:val=&quot;006738CB&quot;/&gt;&lt;wsp:rsid wsp:val=&quot;00673A34&quot;/&gt;&lt;wsp:rsid wsp:val=&quot;00673E52&quot;/&gt;&lt;wsp:rsid wsp:val=&quot;006740D1&quot;/&gt;&lt;wsp:rsid wsp:val=&quot;006744F0&quot;/&gt;&lt;wsp:rsid wsp:val=&quot;0067492E&quot;/&gt;&lt;wsp:rsid wsp:val=&quot;00674B0E&quot;/&gt;&lt;wsp:rsid wsp:val=&quot;00674C6F&quot;/&gt;&lt;wsp:rsid wsp:val=&quot;00674ED8&quot;/&gt;&lt;wsp:rsid wsp:val=&quot;006751D5&quot;/&gt;&lt;wsp:rsid wsp:val=&quot;00675470&quot;/&gt;&lt;wsp:rsid wsp:val=&quot;00675490&quot;/&gt;&lt;wsp:rsid wsp:val=&quot;006755B1&quot;/&gt;&lt;wsp:rsid wsp:val=&quot;006758A2&quot;/&gt;&lt;wsp:rsid wsp:val=&quot;00675AE6&quot;/&gt;&lt;wsp:rsid wsp:val=&quot;00675E62&quot;/&gt;&lt;wsp:rsid wsp:val=&quot;00675EE8&quot;/&gt;&lt;wsp:rsid wsp:val=&quot;00676240&quot;/&gt;&lt;wsp:rsid wsp:val=&quot;00676B2D&quot;/&gt;&lt;wsp:rsid wsp:val=&quot;00676B36&quot;/&gt;&lt;wsp:rsid wsp:val=&quot;00676B43&quot;/&gt;&lt;wsp:rsid wsp:val=&quot;00676CDC&quot;/&gt;&lt;wsp:rsid wsp:val=&quot;00676EC4&quot;/&gt;&lt;wsp:rsid wsp:val=&quot;00676EF2&quot;/&gt;&lt;wsp:rsid wsp:val=&quot;00677497&quot;/&gt;&lt;wsp:rsid wsp:val=&quot;00677924&quot;/&gt;&lt;wsp:rsid wsp:val=&quot;006779AA&quot;/&gt;&lt;wsp:rsid wsp:val=&quot;00677A58&quot;/&gt;&lt;wsp:rsid wsp:val=&quot;00677BA1&quot;/&gt;&lt;wsp:rsid wsp:val=&quot;00677DD1&quot;/&gt;&lt;wsp:rsid wsp:val=&quot;00677FE0&quot;/&gt;&lt;wsp:rsid wsp:val=&quot;0068032F&quot;/&gt;&lt;wsp:rsid wsp:val=&quot;006808FE&quot;/&gt;&lt;wsp:rsid wsp:val=&quot;00680B84&quot;/&gt;&lt;wsp:rsid wsp:val=&quot;00680E92&quot;/&gt;&lt;wsp:rsid wsp:val=&quot;00681271&quot;/&gt;&lt;wsp:rsid wsp:val=&quot;0068160B&quot;/&gt;&lt;wsp:rsid wsp:val=&quot;006817F0&quot;/&gt;&lt;wsp:rsid wsp:val=&quot;006819EF&quot;/&gt;&lt;wsp:rsid wsp:val=&quot;0068255E&quot;/&gt;&lt;wsp:rsid wsp:val=&quot;006828AF&quot;/&gt;&lt;wsp:rsid wsp:val=&quot;00682CB9&quot;/&gt;&lt;wsp:rsid wsp:val=&quot;006832F6&quot;/&gt;&lt;wsp:rsid wsp:val=&quot;006833C5&quot;/&gt;&lt;wsp:rsid wsp:val=&quot;00683472&quot;/&gt;&lt;wsp:rsid wsp:val=&quot;00683482&quot;/&gt;&lt;wsp:rsid wsp:val=&quot;00683A81&quot;/&gt;&lt;wsp:rsid wsp:val=&quot;006842B9&quot;/&gt;&lt;wsp:rsid wsp:val=&quot;00684499&quot;/&gt;&lt;wsp:rsid wsp:val=&quot;00684B09&quot;/&gt;&lt;wsp:rsid wsp:val=&quot;00684BEA&quot;/&gt;&lt;wsp:rsid wsp:val=&quot;00684CC3&quot;/&gt;&lt;wsp:rsid wsp:val=&quot;006851F3&quot;/&gt;&lt;wsp:rsid wsp:val=&quot;00685244&quot;/&gt;&lt;wsp:rsid wsp:val=&quot;006852DC&quot;/&gt;&lt;wsp:rsid wsp:val=&quot;00685312&quot;/&gt;&lt;wsp:rsid wsp:val=&quot;006856D5&quot;/&gt;&lt;wsp:rsid wsp:val=&quot;006857D5&quot;/&gt;&lt;wsp:rsid wsp:val=&quot;0068580E&quot;/&gt;&lt;wsp:rsid wsp:val=&quot;00685F45&quot;/&gt;&lt;wsp:rsid wsp:val=&quot;00686249&quot;/&gt;&lt;wsp:rsid wsp:val=&quot;00686376&quot;/&gt;&lt;wsp:rsid wsp:val=&quot;0068640D&quot;/&gt;&lt;wsp:rsid wsp:val=&quot;006864EE&quot;/&gt;&lt;wsp:rsid wsp:val=&quot;006868C1&quot;/&gt;&lt;wsp:rsid wsp:val=&quot;00686C5B&quot;/&gt;&lt;wsp:rsid wsp:val=&quot;00686EC6&quot;/&gt;&lt;wsp:rsid wsp:val=&quot;006870D5&quot;/&gt;&lt;wsp:rsid wsp:val=&quot;0068729C&quot;/&gt;&lt;wsp:rsid wsp:val=&quot;006872FB&quot;/&gt;&lt;wsp:rsid wsp:val=&quot;00687875&quot;/&gt;&lt;wsp:rsid wsp:val=&quot;00687904&quot;/&gt;&lt;wsp:rsid wsp:val=&quot;006879E0&quot;/&gt;&lt;wsp:rsid wsp:val=&quot;00687D52&quot;/&gt;&lt;wsp:rsid wsp:val=&quot;00690080&quot;/&gt;&lt;wsp:rsid wsp:val=&quot;006902EA&quot;/&gt;&lt;wsp:rsid wsp:val=&quot;006904BF&quot;/&gt;&lt;wsp:rsid wsp:val=&quot;0069055E&quot;/&gt;&lt;wsp:rsid wsp:val=&quot;0069086B&quot;/&gt;&lt;wsp:rsid wsp:val=&quot;006908F9&quot;/&gt;&lt;wsp:rsid wsp:val=&quot;006909A8&quot;/&gt;&lt;wsp:rsid wsp:val=&quot;00690A5E&quot;/&gt;&lt;wsp:rsid wsp:val=&quot;00690D7A&quot;/&gt;&lt;wsp:rsid wsp:val=&quot;00690E6B&quot;/&gt;&lt;wsp:rsid wsp:val=&quot;00691130&quot;/&gt;&lt;wsp:rsid wsp:val=&quot;00691402&quot;/&gt;&lt;wsp:rsid wsp:val=&quot;006916AC&quot;/&gt;&lt;wsp:rsid wsp:val=&quot;00691A54&quot;/&gt;&lt;wsp:rsid wsp:val=&quot;00691A9A&quot;/&gt;&lt;wsp:rsid wsp:val=&quot;00691D49&quot;/&gt;&lt;wsp:rsid wsp:val=&quot;00691FC8&quot;/&gt;&lt;wsp:rsid wsp:val=&quot;00691FFB&quot;/&gt;&lt;wsp:rsid wsp:val=&quot;0069206C&quot;/&gt;&lt;wsp:rsid wsp:val=&quot;0069206D&quot;/&gt;&lt;wsp:rsid wsp:val=&quot;00692136&quot;/&gt;&lt;wsp:rsid wsp:val=&quot;00692A76&quot;/&gt;&lt;wsp:rsid wsp:val=&quot;00692C12&quot;/&gt;&lt;wsp:rsid wsp:val=&quot;00692C4D&quot;/&gt;&lt;wsp:rsid wsp:val=&quot;00692C5F&quot;/&gt;&lt;wsp:rsid wsp:val=&quot;00692D5D&quot;/&gt;&lt;wsp:rsid wsp:val=&quot;0069319E&quot;/&gt;&lt;wsp:rsid wsp:val=&quot;006931BC&quot;/&gt;&lt;wsp:rsid wsp:val=&quot;0069342E&quot;/&gt;&lt;wsp:rsid wsp:val=&quot;006934CC&quot;/&gt;&lt;wsp:rsid wsp:val=&quot;00693AD7&quot;/&gt;&lt;wsp:rsid wsp:val=&quot;00693CAA&quot;/&gt;&lt;wsp:rsid wsp:val=&quot;00693DAB&quot;/&gt;&lt;wsp:rsid wsp:val=&quot;00693E41&quot;/&gt;&lt;wsp:rsid wsp:val=&quot;00693EF2&quot;/&gt;&lt;wsp:rsid wsp:val=&quot;0069424C&quot;/&gt;&lt;wsp:rsid wsp:val=&quot;006943CA&quot;/&gt;&lt;wsp:rsid wsp:val=&quot;006944C6&quot;/&gt;&lt;wsp:rsid wsp:val=&quot;00694771&quot;/&gt;&lt;wsp:rsid wsp:val=&quot;00694C4D&quot;/&gt;&lt;wsp:rsid wsp:val=&quot;00694E9D&quot;/&gt;&lt;wsp:rsid wsp:val=&quot;00694F9C&quot;/&gt;&lt;wsp:rsid wsp:val=&quot;00695173&quot;/&gt;&lt;wsp:rsid wsp:val=&quot;006951F6&quot;/&gt;&lt;wsp:rsid wsp:val=&quot;006954C4&quot;/&gt;&lt;wsp:rsid wsp:val=&quot;006957BB&quot;/&gt;&lt;wsp:rsid wsp:val=&quot;0069612C&quot;/&gt;&lt;wsp:rsid wsp:val=&quot;0069650E&quot;/&gt;&lt;wsp:rsid wsp:val=&quot;00696A54&quot;/&gt;&lt;wsp:rsid wsp:val=&quot;00696C15&quot;/&gt;&lt;wsp:rsid wsp:val=&quot;00696CBB&quot;/&gt;&lt;wsp:rsid wsp:val=&quot;00696E87&quot;/&gt;&lt;wsp:rsid wsp:val=&quot;00696ED8&quot;/&gt;&lt;wsp:rsid wsp:val=&quot;006972F1&quot;/&gt;&lt;wsp:rsid wsp:val=&quot;00697421&quot;/&gt;&lt;wsp:rsid wsp:val=&quot;00697474&quot;/&gt;&lt;wsp:rsid wsp:val=&quot;00697534&quot;/&gt;&lt;wsp:rsid wsp:val=&quot;0069762B&quot;/&gt;&lt;wsp:rsid wsp:val=&quot;006978A3&quot;/&gt;&lt;wsp:rsid wsp:val=&quot;006979CF&quot;/&gt;&lt;wsp:rsid wsp:val=&quot;00697A2D&quot;/&gt;&lt;wsp:rsid wsp:val=&quot;00697EFB&quot;/&gt;&lt;wsp:rsid wsp:val=&quot;00697FD3&quot;/&gt;&lt;wsp:rsid wsp:val=&quot;006A09FA&quot;/&gt;&lt;wsp:rsid wsp:val=&quot;006A0C1C&quot;/&gt;&lt;wsp:rsid wsp:val=&quot;006A10FD&quot;/&gt;&lt;wsp:rsid wsp:val=&quot;006A1632&quot;/&gt;&lt;wsp:rsid wsp:val=&quot;006A17A3&quot;/&gt;&lt;wsp:rsid wsp:val=&quot;006A1A47&quot;/&gt;&lt;wsp:rsid wsp:val=&quot;006A1AC7&quot;/&gt;&lt;wsp:rsid wsp:val=&quot;006A1AF7&quot;/&gt;&lt;wsp:rsid wsp:val=&quot;006A1AF9&quot;/&gt;&lt;wsp:rsid wsp:val=&quot;006A1BFB&quot;/&gt;&lt;wsp:rsid wsp:val=&quot;006A22E7&quot;/&gt;&lt;wsp:rsid wsp:val=&quot;006A2398&quot;/&gt;&lt;wsp:rsid wsp:val=&quot;006A2793&quot;/&gt;&lt;wsp:rsid wsp:val=&quot;006A28EE&quot;/&gt;&lt;wsp:rsid wsp:val=&quot;006A305E&quot;/&gt;&lt;wsp:rsid wsp:val=&quot;006A3063&quot;/&gt;&lt;wsp:rsid wsp:val=&quot;006A3500&quot;/&gt;&lt;wsp:rsid wsp:val=&quot;006A37DA&quot;/&gt;&lt;wsp:rsid wsp:val=&quot;006A39E0&quot;/&gt;&lt;wsp:rsid wsp:val=&quot;006A3E4C&quot;/&gt;&lt;wsp:rsid wsp:val=&quot;006A3EC3&quot;/&gt;&lt;wsp:rsid wsp:val=&quot;006A407F&quot;/&gt;&lt;wsp:rsid wsp:val=&quot;006A438E&quot;/&gt;&lt;wsp:rsid wsp:val=&quot;006A4915&quot;/&gt;&lt;wsp:rsid wsp:val=&quot;006A4E92&quot;/&gt;&lt;wsp:rsid wsp:val=&quot;006A542F&quot;/&gt;&lt;wsp:rsid wsp:val=&quot;006A59D0&quot;/&gt;&lt;wsp:rsid wsp:val=&quot;006A5C2A&quot;/&gt;&lt;wsp:rsid wsp:val=&quot;006A5C4F&quot;/&gt;&lt;wsp:rsid wsp:val=&quot;006A6350&quot;/&gt;&lt;wsp:rsid wsp:val=&quot;006A6B5A&quot;/&gt;&lt;wsp:rsid wsp:val=&quot;006A6DE5&quot;/&gt;&lt;wsp:rsid wsp:val=&quot;006A7010&quot;/&gt;&lt;wsp:rsid wsp:val=&quot;006A701F&quot;/&gt;&lt;wsp:rsid wsp:val=&quot;006A702C&quot;/&gt;&lt;wsp:rsid wsp:val=&quot;006A71FA&quot;/&gt;&lt;wsp:rsid wsp:val=&quot;006A7314&quot;/&gt;&lt;wsp:rsid wsp:val=&quot;006A739E&quot;/&gt;&lt;wsp:rsid wsp:val=&quot;006A7557&quot;/&gt;&lt;wsp:rsid wsp:val=&quot;006A75E4&quot;/&gt;&lt;wsp:rsid wsp:val=&quot;006A7838&quot;/&gt;&lt;wsp:rsid wsp:val=&quot;006A792D&quot;/&gt;&lt;wsp:rsid wsp:val=&quot;006A7940&quot;/&gt;&lt;wsp:rsid wsp:val=&quot;006A7AEF&quot;/&gt;&lt;wsp:rsid wsp:val=&quot;006A7E33&quot;/&gt;&lt;wsp:rsid wsp:val=&quot;006B06EA&quot;/&gt;&lt;wsp:rsid wsp:val=&quot;006B0A8B&quot;/&gt;&lt;wsp:rsid wsp:val=&quot;006B0C90&quot;/&gt;&lt;wsp:rsid wsp:val=&quot;006B0F5D&quot;/&gt;&lt;wsp:rsid wsp:val=&quot;006B15FD&quot;/&gt;&lt;wsp:rsid wsp:val=&quot;006B1696&quot;/&gt;&lt;wsp:rsid wsp:val=&quot;006B1930&quot;/&gt;&lt;wsp:rsid wsp:val=&quot;006B1D2E&quot;/&gt;&lt;wsp:rsid wsp:val=&quot;006B1F26&quot;/&gt;&lt;wsp:rsid wsp:val=&quot;006B26FE&quot;/&gt;&lt;wsp:rsid wsp:val=&quot;006B2819&quot;/&gt;&lt;wsp:rsid wsp:val=&quot;006B3130&quot;/&gt;&lt;wsp:rsid wsp:val=&quot;006B317D&quot;/&gt;&lt;wsp:rsid wsp:val=&quot;006B318A&quot;/&gt;&lt;wsp:rsid wsp:val=&quot;006B3317&quot;/&gt;&lt;wsp:rsid wsp:val=&quot;006B34E8&quot;/&gt;&lt;wsp:rsid wsp:val=&quot;006B3927&quot;/&gt;&lt;wsp:rsid wsp:val=&quot;006B3A78&quot;/&gt;&lt;wsp:rsid wsp:val=&quot;006B3ABF&quot;/&gt;&lt;wsp:rsid wsp:val=&quot;006B41FD&quot;/&gt;&lt;wsp:rsid wsp:val=&quot;006B4465&quot;/&gt;&lt;wsp:rsid wsp:val=&quot;006B4758&quot;/&gt;&lt;wsp:rsid wsp:val=&quot;006B47EE&quot;/&gt;&lt;wsp:rsid wsp:val=&quot;006B488E&quot;/&gt;&lt;wsp:rsid wsp:val=&quot;006B490B&quot;/&gt;&lt;wsp:rsid wsp:val=&quot;006B4D9E&quot;/&gt;&lt;wsp:rsid wsp:val=&quot;006B5178&quot;/&gt;&lt;wsp:rsid wsp:val=&quot;006B5B6D&quot;/&gt;&lt;wsp:rsid wsp:val=&quot;006B6279&quot;/&gt;&lt;wsp:rsid wsp:val=&quot;006B63A5&quot;/&gt;&lt;wsp:rsid wsp:val=&quot;006B6796&quot;/&gt;&lt;wsp:rsid wsp:val=&quot;006B6A7D&quot;/&gt;&lt;wsp:rsid wsp:val=&quot;006B6AB6&quot;/&gt;&lt;wsp:rsid wsp:val=&quot;006B6AE1&quot;/&gt;&lt;wsp:rsid wsp:val=&quot;006B6BFE&quot;/&gt;&lt;wsp:rsid wsp:val=&quot;006B6CC4&quot;/&gt;&lt;wsp:rsid wsp:val=&quot;006B6E28&quot;/&gt;&lt;wsp:rsid wsp:val=&quot;006B6E9C&quot;/&gt;&lt;wsp:rsid wsp:val=&quot;006B726B&quot;/&gt;&lt;wsp:rsid wsp:val=&quot;006B75D7&quot;/&gt;&lt;wsp:rsid wsp:val=&quot;006B76A9&quot;/&gt;&lt;wsp:rsid wsp:val=&quot;006C01A7&quot;/&gt;&lt;wsp:rsid wsp:val=&quot;006C08A7&quot;/&gt;&lt;wsp:rsid wsp:val=&quot;006C09CC&quot;/&gt;&lt;wsp:rsid wsp:val=&quot;006C0BA1&quot;/&gt;&lt;wsp:rsid wsp:val=&quot;006C0F97&quot;/&gt;&lt;wsp:rsid wsp:val=&quot;006C10C8&quot;/&gt;&lt;wsp:rsid wsp:val=&quot;006C1554&quot;/&gt;&lt;wsp:rsid wsp:val=&quot;006C1B75&quot;/&gt;&lt;wsp:rsid wsp:val=&quot;006C1FA0&quot;/&gt;&lt;wsp:rsid wsp:val=&quot;006C2055&quot;/&gt;&lt;wsp:rsid wsp:val=&quot;006C20D7&quot;/&gt;&lt;wsp:rsid wsp:val=&quot;006C23FA&quot;/&gt;&lt;wsp:rsid wsp:val=&quot;006C2506&quot;/&gt;&lt;wsp:rsid wsp:val=&quot;006C2749&quot;/&gt;&lt;wsp:rsid wsp:val=&quot;006C27E2&quot;/&gt;&lt;wsp:rsid wsp:val=&quot;006C2931&quot;/&gt;&lt;wsp:rsid wsp:val=&quot;006C2B4D&quot;/&gt;&lt;wsp:rsid wsp:val=&quot;006C2B50&quot;/&gt;&lt;wsp:rsid wsp:val=&quot;006C2CBA&quot;/&gt;&lt;wsp:rsid wsp:val=&quot;006C303C&quot;/&gt;&lt;wsp:rsid wsp:val=&quot;006C348B&quot;/&gt;&lt;wsp:rsid wsp:val=&quot;006C3638&quot;/&gt;&lt;wsp:rsid wsp:val=&quot;006C38B0&quot;/&gt;&lt;wsp:rsid wsp:val=&quot;006C3B7E&quot;/&gt;&lt;wsp:rsid wsp:val=&quot;006C3C50&quot;/&gt;&lt;wsp:rsid wsp:val=&quot;006C3E41&quot;/&gt;&lt;wsp:rsid wsp:val=&quot;006C3F05&quot;/&gt;&lt;wsp:rsid wsp:val=&quot;006C407F&quot;/&gt;&lt;wsp:rsid wsp:val=&quot;006C42BB&quot;/&gt;&lt;wsp:rsid wsp:val=&quot;006C4502&quot;/&gt;&lt;wsp:rsid wsp:val=&quot;006C47AB&quot;/&gt;&lt;wsp:rsid wsp:val=&quot;006C4802&quot;/&gt;&lt;wsp:rsid wsp:val=&quot;006C4A03&quot;/&gt;&lt;wsp:rsid wsp:val=&quot;006C4A09&quot;/&gt;&lt;wsp:rsid wsp:val=&quot;006C4D10&quot;/&gt;&lt;wsp:rsid wsp:val=&quot;006C4F9F&quot;/&gt;&lt;wsp:rsid wsp:val=&quot;006C5143&quot;/&gt;&lt;wsp:rsid wsp:val=&quot;006C51B1&quot;/&gt;&lt;wsp:rsid wsp:val=&quot;006C51CE&quot;/&gt;&lt;wsp:rsid wsp:val=&quot;006C525D&quot;/&gt;&lt;wsp:rsid wsp:val=&quot;006C53E2&quot;/&gt;&lt;wsp:rsid wsp:val=&quot;006C5A89&quot;/&gt;&lt;wsp:rsid wsp:val=&quot;006C5D06&quot;/&gt;&lt;wsp:rsid wsp:val=&quot;006C5DEA&quot;/&gt;&lt;wsp:rsid wsp:val=&quot;006C5F67&quot;/&gt;&lt;wsp:rsid wsp:val=&quot;006C61C6&quot;/&gt;&lt;wsp:rsid wsp:val=&quot;006C61E0&quot;/&gt;&lt;wsp:rsid wsp:val=&quot;006C68D1&quot;/&gt;&lt;wsp:rsid wsp:val=&quot;006C6CB6&quot;/&gt;&lt;wsp:rsid wsp:val=&quot;006C7EC1&quot;/&gt;&lt;wsp:rsid wsp:val=&quot;006C7F9A&quot;/&gt;&lt;wsp:rsid wsp:val=&quot;006D03EF&quot;/&gt;&lt;wsp:rsid wsp:val=&quot;006D081C&quot;/&gt;&lt;wsp:rsid wsp:val=&quot;006D0F95&quot;/&gt;&lt;wsp:rsid wsp:val=&quot;006D143B&quot;/&gt;&lt;wsp:rsid wsp:val=&quot;006D1464&quot;/&gt;&lt;wsp:rsid wsp:val=&quot;006D1631&quot;/&gt;&lt;wsp:rsid wsp:val=&quot;006D173C&quot;/&gt;&lt;wsp:rsid wsp:val=&quot;006D17FD&quot;/&gt;&lt;wsp:rsid wsp:val=&quot;006D1958&quot;/&gt;&lt;wsp:rsid wsp:val=&quot;006D19FD&quot;/&gt;&lt;wsp:rsid wsp:val=&quot;006D1A36&quot;/&gt;&lt;wsp:rsid wsp:val=&quot;006D1B02&quot;/&gt;&lt;wsp:rsid wsp:val=&quot;006D1C25&quot;/&gt;&lt;wsp:rsid wsp:val=&quot;006D1D77&quot;/&gt;&lt;wsp:rsid wsp:val=&quot;006D1DBE&quot;/&gt;&lt;wsp:rsid wsp:val=&quot;006D2058&quot;/&gt;&lt;wsp:rsid wsp:val=&quot;006D21BB&quot;/&gt;&lt;wsp:rsid wsp:val=&quot;006D238D&quot;/&gt;&lt;wsp:rsid wsp:val=&quot;006D2674&quot;/&gt;&lt;wsp:rsid wsp:val=&quot;006D2736&quot;/&gt;&lt;wsp:rsid wsp:val=&quot;006D2806&quot;/&gt;&lt;wsp:rsid wsp:val=&quot;006D2910&quot;/&gt;&lt;wsp:rsid wsp:val=&quot;006D2B62&quot;/&gt;&lt;wsp:rsid wsp:val=&quot;006D2D85&quot;/&gt;&lt;wsp:rsid wsp:val=&quot;006D2E31&quot;/&gt;&lt;wsp:rsid wsp:val=&quot;006D2EE4&quot;/&gt;&lt;wsp:rsid wsp:val=&quot;006D3014&quot;/&gt;&lt;wsp:rsid wsp:val=&quot;006D30AC&quot;/&gt;&lt;wsp:rsid wsp:val=&quot;006D32BC&quot;/&gt;&lt;wsp:rsid wsp:val=&quot;006D34F0&quot;/&gt;&lt;wsp:rsid wsp:val=&quot;006D362C&quot;/&gt;&lt;wsp:rsid wsp:val=&quot;006D3699&quot;/&gt;&lt;wsp:rsid wsp:val=&quot;006D375F&quot;/&gt;&lt;wsp:rsid wsp:val=&quot;006D38C4&quot;/&gt;&lt;wsp:rsid wsp:val=&quot;006D39EE&quot;/&gt;&lt;wsp:rsid wsp:val=&quot;006D3B48&quot;/&gt;&lt;wsp:rsid wsp:val=&quot;006D3B91&quot;/&gt;&lt;wsp:rsid wsp:val=&quot;006D428C&quot;/&gt;&lt;wsp:rsid wsp:val=&quot;006D44EF&quot;/&gt;&lt;wsp:rsid wsp:val=&quot;006D4A16&quot;/&gt;&lt;wsp:rsid wsp:val=&quot;006D4AE9&quot;/&gt;&lt;wsp:rsid wsp:val=&quot;006D4D6D&quot;/&gt;&lt;wsp:rsid wsp:val=&quot;006D4F32&quot;/&gt;&lt;wsp:rsid wsp:val=&quot;006D50E9&quot;/&gt;&lt;wsp:rsid wsp:val=&quot;006D54F4&quot;/&gt;&lt;wsp:rsid wsp:val=&quot;006D5707&quot;/&gt;&lt;wsp:rsid wsp:val=&quot;006D5868&quot;/&gt;&lt;wsp:rsid wsp:val=&quot;006D5979&quot;/&gt;&lt;wsp:rsid wsp:val=&quot;006D5A38&quot;/&gt;&lt;wsp:rsid wsp:val=&quot;006D5B02&quot;/&gt;&lt;wsp:rsid wsp:val=&quot;006D5B1D&quot;/&gt;&lt;wsp:rsid wsp:val=&quot;006D5B7E&quot;/&gt;&lt;wsp:rsid wsp:val=&quot;006D5FCA&quot;/&gt;&lt;wsp:rsid wsp:val=&quot;006D6235&quot;/&gt;&lt;wsp:rsid wsp:val=&quot;006D634C&quot;/&gt;&lt;wsp:rsid wsp:val=&quot;006D6953&quot;/&gt;&lt;wsp:rsid wsp:val=&quot;006D6A43&quot;/&gt;&lt;wsp:rsid wsp:val=&quot;006D6B47&quot;/&gt;&lt;wsp:rsid wsp:val=&quot;006D6C7D&quot;/&gt;&lt;wsp:rsid wsp:val=&quot;006D6D55&quot;/&gt;&lt;wsp:rsid wsp:val=&quot;006D6F3B&quot;/&gt;&lt;wsp:rsid wsp:val=&quot;006D6F41&quot;/&gt;&lt;wsp:rsid wsp:val=&quot;006D7085&quot;/&gt;&lt;wsp:rsid wsp:val=&quot;006D71E3&quot;/&gt;&lt;wsp:rsid wsp:val=&quot;006D73A2&quot;/&gt;&lt;wsp:rsid wsp:val=&quot;006D7827&quot;/&gt;&lt;wsp:rsid wsp:val=&quot;006D79E0&quot;/&gt;&lt;wsp:rsid wsp:val=&quot;006D7C48&quot;/&gt;&lt;wsp:rsid wsp:val=&quot;006D7CF9&quot;/&gt;&lt;wsp:rsid wsp:val=&quot;006D7D94&quot;/&gt;&lt;wsp:rsid wsp:val=&quot;006D7F04&quot;/&gt;&lt;wsp:rsid wsp:val=&quot;006E0479&quot;/&gt;&lt;wsp:rsid wsp:val=&quot;006E0776&quot;/&gt;&lt;wsp:rsid wsp:val=&quot;006E0875&quot;/&gt;&lt;wsp:rsid wsp:val=&quot;006E094C&quot;/&gt;&lt;wsp:rsid wsp:val=&quot;006E1081&quot;/&gt;&lt;wsp:rsid wsp:val=&quot;006E1123&quot;/&gt;&lt;wsp:rsid wsp:val=&quot;006E16E1&quot;/&gt;&lt;wsp:rsid wsp:val=&quot;006E171C&quot;/&gt;&lt;wsp:rsid wsp:val=&quot;006E1BAB&quot;/&gt;&lt;wsp:rsid wsp:val=&quot;006E1C2F&quot;/&gt;&lt;wsp:rsid wsp:val=&quot;006E1C5C&quot;/&gt;&lt;wsp:rsid wsp:val=&quot;006E1CC6&quot;/&gt;&lt;wsp:rsid wsp:val=&quot;006E1DD1&quot;/&gt;&lt;wsp:rsid wsp:val=&quot;006E1E81&quot;/&gt;&lt;wsp:rsid wsp:val=&quot;006E2190&quot;/&gt;&lt;wsp:rsid wsp:val=&quot;006E22BD&quot;/&gt;&lt;wsp:rsid wsp:val=&quot;006E242D&quot;/&gt;&lt;wsp:rsid wsp:val=&quot;006E242E&quot;/&gt;&lt;wsp:rsid wsp:val=&quot;006E275A&quot;/&gt;&lt;wsp:rsid wsp:val=&quot;006E29BE&quot;/&gt;&lt;wsp:rsid wsp:val=&quot;006E2EB3&quot;/&gt;&lt;wsp:rsid wsp:val=&quot;006E3021&quot;/&gt;&lt;wsp:rsid wsp:val=&quot;006E3058&quot;/&gt;&lt;wsp:rsid wsp:val=&quot;006E3121&quot;/&gt;&lt;wsp:rsid wsp:val=&quot;006E33DC&quot;/&gt;&lt;wsp:rsid wsp:val=&quot;006E3F62&quot;/&gt;&lt;wsp:rsid wsp:val=&quot;006E43D3&quot;/&gt;&lt;wsp:rsid wsp:val=&quot;006E450E&quot;/&gt;&lt;wsp:rsid wsp:val=&quot;006E46D9&quot;/&gt;&lt;wsp:rsid wsp:val=&quot;006E4E9C&quot;/&gt;&lt;wsp:rsid wsp:val=&quot;006E52D0&quot;/&gt;&lt;wsp:rsid wsp:val=&quot;006E52D5&quot;/&gt;&lt;wsp:rsid wsp:val=&quot;006E53EE&quot;/&gt;&lt;wsp:rsid wsp:val=&quot;006E54A5&quot;/&gt;&lt;wsp:rsid wsp:val=&quot;006E575D&quot;/&gt;&lt;wsp:rsid wsp:val=&quot;006E5C77&quot;/&gt;&lt;wsp:rsid wsp:val=&quot;006E5CBC&quot;/&gt;&lt;wsp:rsid wsp:val=&quot;006E5CE7&quot;/&gt;&lt;wsp:rsid wsp:val=&quot;006E6013&quot;/&gt;&lt;wsp:rsid wsp:val=&quot;006E60FF&quot;/&gt;&lt;wsp:rsid wsp:val=&quot;006E62E8&quot;/&gt;&lt;wsp:rsid wsp:val=&quot;006E6617&quot;/&gt;&lt;wsp:rsid wsp:val=&quot;006E6878&quot;/&gt;&lt;wsp:rsid wsp:val=&quot;006E6CAA&quot;/&gt;&lt;wsp:rsid wsp:val=&quot;006E6FE1&quot;/&gt;&lt;wsp:rsid wsp:val=&quot;006E744D&quot;/&gt;&lt;wsp:rsid wsp:val=&quot;006E74CA&quot;/&gt;&lt;wsp:rsid wsp:val=&quot;006E74FA&quot;/&gt;&lt;wsp:rsid wsp:val=&quot;006E7710&quot;/&gt;&lt;wsp:rsid wsp:val=&quot;006E7AC2&quot;/&gt;&lt;wsp:rsid wsp:val=&quot;006E7DE3&quot;/&gt;&lt;wsp:rsid wsp:val=&quot;006E7EE7&quot;/&gt;&lt;wsp:rsid wsp:val=&quot;006F0183&quot;/&gt;&lt;wsp:rsid wsp:val=&quot;006F029F&quot;/&gt;&lt;wsp:rsid wsp:val=&quot;006F02AC&quot;/&gt;&lt;wsp:rsid wsp:val=&quot;006F0808&quot;/&gt;&lt;wsp:rsid wsp:val=&quot;006F08C8&quot;/&gt;&lt;wsp:rsid wsp:val=&quot;006F0957&quot;/&gt;&lt;wsp:rsid wsp:val=&quot;006F1291&quot;/&gt;&lt;wsp:rsid wsp:val=&quot;006F1383&quot;/&gt;&lt;wsp:rsid wsp:val=&quot;006F1C9C&quot;/&gt;&lt;wsp:rsid wsp:val=&quot;006F20DA&quot;/&gt;&lt;wsp:rsid wsp:val=&quot;006F294F&quot;/&gt;&lt;wsp:rsid wsp:val=&quot;006F34C2&quot;/&gt;&lt;wsp:rsid wsp:val=&quot;006F3695&quot;/&gt;&lt;wsp:rsid wsp:val=&quot;006F3923&quot;/&gt;&lt;wsp:rsid wsp:val=&quot;006F3964&quot;/&gt;&lt;wsp:rsid wsp:val=&quot;006F3EE2&quot;/&gt;&lt;wsp:rsid wsp:val=&quot;006F40A2&quot;/&gt;&lt;wsp:rsid wsp:val=&quot;006F48AF&quot;/&gt;&lt;wsp:rsid wsp:val=&quot;006F49C3&quot;/&gt;&lt;wsp:rsid wsp:val=&quot;006F49C9&quot;/&gt;&lt;wsp:rsid wsp:val=&quot;006F4DE1&quot;/&gt;&lt;wsp:rsid wsp:val=&quot;006F5012&quot;/&gt;&lt;wsp:rsid wsp:val=&quot;006F5237&quot;/&gt;&lt;wsp:rsid wsp:val=&quot;006F52F5&quot;/&gt;&lt;wsp:rsid wsp:val=&quot;006F5343&quot;/&gt;&lt;wsp:rsid wsp:val=&quot;006F53B2&quot;/&gt;&lt;wsp:rsid wsp:val=&quot;006F54C8&quot;/&gt;&lt;wsp:rsid wsp:val=&quot;006F559A&quot;/&gt;&lt;wsp:rsid wsp:val=&quot;006F55D0&quot;/&gt;&lt;wsp:rsid wsp:val=&quot;006F562D&quot;/&gt;&lt;wsp:rsid wsp:val=&quot;006F634F&quot;/&gt;&lt;wsp:rsid wsp:val=&quot;006F63E7&quot;/&gt;&lt;wsp:rsid wsp:val=&quot;006F6840&quot;/&gt;&lt;wsp:rsid wsp:val=&quot;006F6B7A&quot;/&gt;&lt;wsp:rsid wsp:val=&quot;006F6BA4&quot;/&gt;&lt;wsp:rsid wsp:val=&quot;006F6D28&quot;/&gt;&lt;wsp:rsid wsp:val=&quot;006F6E4C&quot;/&gt;&lt;wsp:rsid wsp:val=&quot;006F71CD&quot;/&gt;&lt;wsp:rsid wsp:val=&quot;006F73D9&quot;/&gt;&lt;wsp:rsid wsp:val=&quot;006F7973&quot;/&gt;&lt;wsp:rsid wsp:val=&quot;006F797F&quot;/&gt;&lt;wsp:rsid wsp:val=&quot;006F7AF5&quot;/&gt;&lt;wsp:rsid wsp:val=&quot;006F7AFE&quot;/&gt;&lt;wsp:rsid wsp:val=&quot;006F7BA0&quot;/&gt;&lt;wsp:rsid wsp:val=&quot;006F7D20&quot;/&gt;&lt;wsp:rsid wsp:val=&quot;007000DB&quot;/&gt;&lt;wsp:rsid wsp:val=&quot;0070056B&quot;/&gt;&lt;wsp:rsid wsp:val=&quot;00700AC5&quot;/&gt;&lt;wsp:rsid wsp:val=&quot;00700B18&quot;/&gt;&lt;wsp:rsid wsp:val=&quot;00700BE1&quot;/&gt;&lt;wsp:rsid wsp:val=&quot;0070113B&quot;/&gt;&lt;wsp:rsid wsp:val=&quot;007012C0&quot;/&gt;&lt;wsp:rsid wsp:val=&quot;007013C4&quot;/&gt;&lt;wsp:rsid wsp:val=&quot;007014CE&quot;/&gt;&lt;wsp:rsid wsp:val=&quot;007017C8&quot;/&gt;&lt;wsp:rsid wsp:val=&quot;00701802&quot;/&gt;&lt;wsp:rsid wsp:val=&quot;007019A7&quot;/&gt;&lt;wsp:rsid wsp:val=&quot;00702060&quot;/&gt;&lt;wsp:rsid wsp:val=&quot;00702193&quot;/&gt;&lt;wsp:rsid wsp:val=&quot;0070225A&quot;/&gt;&lt;wsp:rsid wsp:val=&quot;007025AE&quot;/&gt;&lt;wsp:rsid wsp:val=&quot;00702FAF&quot;/&gt;&lt;wsp:rsid wsp:val=&quot;00703168&quot;/&gt;&lt;wsp:rsid wsp:val=&quot;00703229&quot;/&gt;&lt;wsp:rsid wsp:val=&quot;00703328&quot;/&gt;&lt;wsp:rsid wsp:val=&quot;007033D2&quot;/&gt;&lt;wsp:rsid wsp:val=&quot;007035DA&quot;/&gt;&lt;wsp:rsid wsp:val=&quot;00703A1E&quot;/&gt;&lt;wsp:rsid wsp:val=&quot;00703B33&quot;/&gt;&lt;wsp:rsid wsp:val=&quot;00703D05&quot;/&gt;&lt;wsp:rsid wsp:val=&quot;00703D44&quot;/&gt;&lt;wsp:rsid wsp:val=&quot;00703E84&quot;/&gt;&lt;wsp:rsid wsp:val=&quot;00703FC4&quot;/&gt;&lt;wsp:rsid wsp:val=&quot;00704036&quot;/&gt;&lt;wsp:rsid wsp:val=&quot;007040B8&quot;/&gt;&lt;wsp:rsid wsp:val=&quot;007040DE&quot;/&gt;&lt;wsp:rsid wsp:val=&quot;007041F9&quot;/&gt;&lt;wsp:rsid wsp:val=&quot;00704398&quot;/&gt;&lt;wsp:rsid wsp:val=&quot;007046EE&quot;/&gt;&lt;wsp:rsid wsp:val=&quot;007047DE&quot;/&gt;&lt;wsp:rsid wsp:val=&quot;00704EFF&quot;/&gt;&lt;wsp:rsid wsp:val=&quot;0070514A&quot;/&gt;&lt;wsp:rsid wsp:val=&quot;00705243&quot;/&gt;&lt;wsp:rsid wsp:val=&quot;00705407&quot;/&gt;&lt;wsp:rsid wsp:val=&quot;0070549A&quot;/&gt;&lt;wsp:rsid wsp:val=&quot;00705827&quot;/&gt;&lt;wsp:rsid wsp:val=&quot;00705953&quot;/&gt;&lt;wsp:rsid wsp:val=&quot;0070596F&quot;/&gt;&lt;wsp:rsid wsp:val=&quot;00705E05&quot;/&gt;&lt;wsp:rsid wsp:val=&quot;00705EDE&quot;/&gt;&lt;wsp:rsid wsp:val=&quot;0070614A&quot;/&gt;&lt;wsp:rsid wsp:val=&quot;0070616C&quot;/&gt;&lt;wsp:rsid wsp:val=&quot;007062BF&quot;/&gt;&lt;wsp:rsid wsp:val=&quot;007062E8&quot;/&gt;&lt;wsp:rsid wsp:val=&quot;00706749&quot;/&gt;&lt;wsp:rsid wsp:val=&quot;00706876&quot;/&gt;&lt;wsp:rsid wsp:val=&quot;00706982&quot;/&gt;&lt;wsp:rsid wsp:val=&quot;00706F4F&quot;/&gt;&lt;wsp:rsid wsp:val=&quot;00707029&quot;/&gt;&lt;wsp:rsid wsp:val=&quot;0070757F&quot;/&gt;&lt;wsp:rsid wsp:val=&quot;0070769D&quot;/&gt;&lt;wsp:rsid wsp:val=&quot;0070796B&quot;/&gt;&lt;wsp:rsid wsp:val=&quot;007079DA&quot;/&gt;&lt;wsp:rsid wsp:val=&quot;00707A40&quot;/&gt;&lt;wsp:rsid wsp:val=&quot;00707B26&quot;/&gt;&lt;wsp:rsid wsp:val=&quot;00707C93&quot;/&gt;&lt;wsp:rsid wsp:val=&quot;00710012&quot;/&gt;&lt;wsp:rsid wsp:val=&quot;007100D9&quot;/&gt;&lt;wsp:rsid wsp:val=&quot;007105A7&quot;/&gt;&lt;wsp:rsid wsp:val=&quot;0071067D&quot;/&gt;&lt;wsp:rsid wsp:val=&quot;00710796&quot;/&gt;&lt;wsp:rsid wsp:val=&quot;007109D4&quot;/&gt;&lt;wsp:rsid wsp:val=&quot;00710D5E&quot;/&gt;&lt;wsp:rsid wsp:val=&quot;00710E5A&quot;/&gt;&lt;wsp:rsid wsp:val=&quot;00711021&quot;/&gt;&lt;wsp:rsid wsp:val=&quot;007117BB&quot;/&gt;&lt;wsp:rsid wsp:val=&quot;00711AA0&quot;/&gt;&lt;wsp:rsid wsp:val=&quot;00711CB8&quot;/&gt;&lt;wsp:rsid wsp:val=&quot;00711D10&quot;/&gt;&lt;wsp:rsid wsp:val=&quot;00712241&quot;/&gt;&lt;wsp:rsid wsp:val=&quot;0071242C&quot;/&gt;&lt;wsp:rsid wsp:val=&quot;00712561&quot;/&gt;&lt;wsp:rsid wsp:val=&quot;00712673&quot;/&gt;&lt;wsp:rsid wsp:val=&quot;007127B0&quot;/&gt;&lt;wsp:rsid wsp:val=&quot;00712BF8&quot;/&gt;&lt;wsp:rsid wsp:val=&quot;00712DF9&quot;/&gt;&lt;wsp:rsid wsp:val=&quot;00713057&quot;/&gt;&lt;wsp:rsid wsp:val=&quot;007132AA&quot;/&gt;&lt;wsp:rsid wsp:val=&quot;00713311&quot;/&gt;&lt;wsp:rsid wsp:val=&quot;00713335&quot;/&gt;&lt;wsp:rsid wsp:val=&quot;0071335B&quot;/&gt;&lt;wsp:rsid wsp:val=&quot;00713BA0&quot;/&gt;&lt;wsp:rsid wsp:val=&quot;00713D06&quot;/&gt;&lt;wsp:rsid wsp:val=&quot;00713DFB&quot;/&gt;&lt;wsp:rsid wsp:val=&quot;007140D9&quot;/&gt;&lt;wsp:rsid wsp:val=&quot;00714121&quot;/&gt;&lt;wsp:rsid wsp:val=&quot;00714144&quot;/&gt;&lt;wsp:rsid wsp:val=&quot;007148C6&quot;/&gt;&lt;wsp:rsid wsp:val=&quot;0071497B&quot;/&gt;&lt;wsp:rsid wsp:val=&quot;00714AAD&quot;/&gt;&lt;wsp:rsid wsp:val=&quot;00714B81&quot;/&gt;&lt;wsp:rsid wsp:val=&quot;00714B88&quot;/&gt;&lt;wsp:rsid wsp:val=&quot;00714B89&quot;/&gt;&lt;wsp:rsid wsp:val=&quot;00714C40&quot;/&gt;&lt;wsp:rsid wsp:val=&quot;00714D85&quot;/&gt;&lt;wsp:rsid wsp:val=&quot;00714F25&quot;/&gt;&lt;wsp:rsid wsp:val=&quot;007151D1&quot;/&gt;&lt;wsp:rsid wsp:val=&quot;00715261&quot;/&gt;&lt;wsp:rsid wsp:val=&quot;00715523&quot;/&gt;&lt;wsp:rsid wsp:val=&quot;00715685&quot;/&gt;&lt;wsp:rsid wsp:val=&quot;00715687&quot;/&gt;&lt;wsp:rsid wsp:val=&quot;0071587A&quot;/&gt;&lt;wsp:rsid wsp:val=&quot;00715B2A&quot;/&gt;&lt;wsp:rsid wsp:val=&quot;00715BF1&quot;/&gt;&lt;wsp:rsid wsp:val=&quot;00715C0C&quot;/&gt;&lt;wsp:rsid wsp:val=&quot;00715D9E&quot;/&gt;&lt;wsp:rsid wsp:val=&quot;00715DA8&quot;/&gt;&lt;wsp:rsid wsp:val=&quot;00715DFA&quot;/&gt;&lt;wsp:rsid wsp:val=&quot;0071610D&quot;/&gt;&lt;wsp:rsid wsp:val=&quot;007161D8&quot;/&gt;&lt;wsp:rsid wsp:val=&quot;00716452&quot;/&gt;&lt;wsp:rsid wsp:val=&quot;007165E4&quot;/&gt;&lt;wsp:rsid wsp:val=&quot;00716905&quot;/&gt;&lt;wsp:rsid wsp:val=&quot;00716934&quot;/&gt;&lt;wsp:rsid wsp:val=&quot;00716B4E&quot;/&gt;&lt;wsp:rsid wsp:val=&quot;00716DA7&quot;/&gt;&lt;wsp:rsid wsp:val=&quot;00716E56&quot;/&gt;&lt;wsp:rsid wsp:val=&quot;00716E70&quot;/&gt;&lt;wsp:rsid wsp:val=&quot;00717090&quot;/&gt;&lt;wsp:rsid wsp:val=&quot;0071712B&quot;/&gt;&lt;wsp:rsid wsp:val=&quot;0071715E&quot;/&gt;&lt;wsp:rsid wsp:val=&quot;00717294&quot;/&gt;&lt;wsp:rsid wsp:val=&quot;00717762&quot;/&gt;&lt;wsp:rsid wsp:val=&quot;00717846&quot;/&gt;&lt;wsp:rsid wsp:val=&quot;00717A79&quot;/&gt;&lt;wsp:rsid wsp:val=&quot;00717BBE&quot;/&gt;&lt;wsp:rsid wsp:val=&quot;00717C4E&quot;/&gt;&lt;wsp:rsid wsp:val=&quot;00717CD0&quot;/&gt;&lt;wsp:rsid wsp:val=&quot;00717D42&quot;/&gt;&lt;wsp:rsid wsp:val=&quot;00717DB4&quot;/&gt;&lt;wsp:rsid wsp:val=&quot;00720080&quot;/&gt;&lt;wsp:rsid wsp:val=&quot;00720293&quot;/&gt;&lt;wsp:rsid wsp:val=&quot;00720433&quot;/&gt;&lt;wsp:rsid wsp:val=&quot;0072065F&quot;/&gt;&lt;wsp:rsid wsp:val=&quot;00720B12&quot;/&gt;&lt;wsp:rsid wsp:val=&quot;00720F16&quot;/&gt;&lt;wsp:rsid wsp:val=&quot;00720FC3&quot;/&gt;&lt;wsp:rsid wsp:val=&quot;007212FF&quot;/&gt;&lt;wsp:rsid wsp:val=&quot;00721400&quot;/&gt;&lt;wsp:rsid wsp:val=&quot;0072187C&quot;/&gt;&lt;wsp:rsid wsp:val=&quot;00721ECF&quot;/&gt;&lt;wsp:rsid wsp:val=&quot;00722283&quot;/&gt;&lt;wsp:rsid wsp:val=&quot;00722389&quot;/&gt;&lt;wsp:rsid wsp:val=&quot;007226F2&quot;/&gt;&lt;wsp:rsid wsp:val=&quot;00722D60&quot;/&gt;&lt;wsp:rsid wsp:val=&quot;007230E9&quot;/&gt;&lt;wsp:rsid wsp:val=&quot;0072316D&quot;/&gt;&lt;wsp:rsid wsp:val=&quot;00723286&quot;/&gt;&lt;wsp:rsid wsp:val=&quot;007232FA&quot;/&gt;&lt;wsp:rsid wsp:val=&quot;00723A6F&quot;/&gt;&lt;wsp:rsid wsp:val=&quot;00723BE7&quot;/&gt;&lt;wsp:rsid wsp:val=&quot;00723CA6&quot;/&gt;&lt;wsp:rsid wsp:val=&quot;00724019&quot;/&gt;&lt;wsp:rsid wsp:val=&quot;00724028&quot;/&gt;&lt;wsp:rsid wsp:val=&quot;007241F8&quot;/&gt;&lt;wsp:rsid wsp:val=&quot;007242DE&quot;/&gt;&lt;wsp:rsid wsp:val=&quot;00724380&quot;/&gt;&lt;wsp:rsid wsp:val=&quot;007247EF&quot;/&gt;&lt;wsp:rsid wsp:val=&quot;00724924&quot;/&gt;&lt;wsp:rsid wsp:val=&quot;00724969&quot;/&gt;&lt;wsp:rsid wsp:val=&quot;00724A25&quot;/&gt;&lt;wsp:rsid wsp:val=&quot;00724A56&quot;/&gt;&lt;wsp:rsid wsp:val=&quot;00724A8C&quot;/&gt;&lt;wsp:rsid wsp:val=&quot;00724D71&quot;/&gt;&lt;wsp:rsid wsp:val=&quot;00724ECD&quot;/&gt;&lt;wsp:rsid wsp:val=&quot;0072527B&quot;/&gt;&lt;wsp:rsid wsp:val=&quot;0072527F&quot;/&gt;&lt;wsp:rsid wsp:val=&quot;007252B5&quot;/&gt;&lt;wsp:rsid wsp:val=&quot;007256D2&quot;/&gt;&lt;wsp:rsid wsp:val=&quot;0072594B&quot;/&gt;&lt;wsp:rsid wsp:val=&quot;007259B4&quot;/&gt;&lt;wsp:rsid wsp:val=&quot;00725ADA&quot;/&gt;&lt;wsp:rsid wsp:val=&quot;00725AF6&quot;/&gt;&lt;wsp:rsid wsp:val=&quot;00725C60&quot;/&gt;&lt;wsp:rsid wsp:val=&quot;00725C8E&quot;/&gt;&lt;wsp:rsid wsp:val=&quot;00725EF2&quot;/&gt;&lt;wsp:rsid wsp:val=&quot;00726348&quot;/&gt;&lt;wsp:rsid wsp:val=&quot;007263AD&quot;/&gt;&lt;wsp:rsid wsp:val=&quot;0072641C&quot;/&gt;&lt;wsp:rsid wsp:val=&quot;00726441&quot;/&gt;&lt;wsp:rsid wsp:val=&quot;00726A6D&quot;/&gt;&lt;wsp:rsid wsp:val=&quot;00726CEB&quot;/&gt;&lt;wsp:rsid wsp:val=&quot;00726ED1&quot;/&gt;&lt;wsp:rsid wsp:val=&quot;007274C8&quot;/&gt;&lt;wsp:rsid wsp:val=&quot;00727829&quot;/&gt;&lt;wsp:rsid wsp:val=&quot;00727A1E&quot;/&gt;&lt;wsp:rsid wsp:val=&quot;00727AC5&quot;/&gt;&lt;wsp:rsid wsp:val=&quot;00727E81&quot;/&gt;&lt;wsp:rsid wsp:val=&quot;0073012A&quot;/&gt;&lt;wsp:rsid wsp:val=&quot;007304B3&quot;/&gt;&lt;wsp:rsid wsp:val=&quot;0073074D&quot;/&gt;&lt;wsp:rsid wsp:val=&quot;007308E5&quot;/&gt;&lt;wsp:rsid wsp:val=&quot;00730CAE&quot;/&gt;&lt;wsp:rsid wsp:val=&quot;00730E66&quot;/&gt;&lt;wsp:rsid wsp:val=&quot;0073114A&quot;/&gt;&lt;wsp:rsid wsp:val=&quot;007319A5&quot;/&gt;&lt;wsp:rsid wsp:val=&quot;00731CE2&quot;/&gt;&lt;wsp:rsid wsp:val=&quot;00731FD7&quot;/&gt;&lt;wsp:rsid wsp:val=&quot;00732128&quot;/&gt;&lt;wsp:rsid wsp:val=&quot;007327B8&quot;/&gt;&lt;wsp:rsid wsp:val=&quot;00732893&quot;/&gt;&lt;wsp:rsid wsp:val=&quot;0073296E&quot;/&gt;&lt;wsp:rsid wsp:val=&quot;007329B1&quot;/&gt;&lt;wsp:rsid wsp:val=&quot;00732A2D&quot;/&gt;&lt;wsp:rsid wsp:val=&quot;00732A77&quot;/&gt;&lt;wsp:rsid wsp:val=&quot;00732C8B&quot;/&gt;&lt;wsp:rsid wsp:val=&quot;00732DF1&quot;/&gt;&lt;wsp:rsid wsp:val=&quot;00732EEB&quot;/&gt;&lt;wsp:rsid wsp:val=&quot;007331F2&quot;/&gt;&lt;wsp:rsid wsp:val=&quot;00733487&quot;/&gt;&lt;wsp:rsid wsp:val=&quot;00733A86&quot;/&gt;&lt;wsp:rsid wsp:val=&quot;00733E70&quot;/&gt;&lt;wsp:rsid wsp:val=&quot;00733EB5&quot;/&gt;&lt;wsp:rsid wsp:val=&quot;00733F1A&quot;/&gt;&lt;wsp:rsid wsp:val=&quot;00733FFF&quot;/&gt;&lt;wsp:rsid wsp:val=&quot;0073451D&quot;/&gt;&lt;wsp:rsid wsp:val=&quot;00734595&quot;/&gt;&lt;wsp:rsid wsp:val=&quot;00734882&quot;/&gt;&lt;wsp:rsid wsp:val=&quot;00734BF8&quot;/&gt;&lt;wsp:rsid wsp:val=&quot;00734D2F&quot;/&gt;&lt;wsp:rsid wsp:val=&quot;00734E7B&quot;/&gt;&lt;wsp:rsid wsp:val=&quot;00734FD6&quot;/&gt;&lt;wsp:rsid wsp:val=&quot;007350F0&quot;/&gt;&lt;wsp:rsid wsp:val=&quot;00735206&quot;/&gt;&lt;wsp:rsid wsp:val=&quot;007353FC&quot;/&gt;&lt;wsp:rsid wsp:val=&quot;0073545D&quot;/&gt;&lt;wsp:rsid wsp:val=&quot;00735846&quot;/&gt;&lt;wsp:rsid wsp:val=&quot;00735968&quot;/&gt;&lt;wsp:rsid wsp:val=&quot;00735B3D&quot;/&gt;&lt;wsp:rsid wsp:val=&quot;00735C73&quot;/&gt;&lt;wsp:rsid wsp:val=&quot;00735CE2&quot;/&gt;&lt;wsp:rsid wsp:val=&quot;00735DB8&quot;/&gt;&lt;wsp:rsid wsp:val=&quot;00735EF2&quot;/&gt;&lt;wsp:rsid wsp:val=&quot;00735FFF&quot;/&gt;&lt;wsp:rsid wsp:val=&quot;0073638A&quot;/&gt;&lt;wsp:rsid wsp:val=&quot;0073657B&quot;/&gt;&lt;wsp:rsid wsp:val=&quot;00736623&quot;/&gt;&lt;wsp:rsid wsp:val=&quot;00736671&quot;/&gt;&lt;wsp:rsid wsp:val=&quot;00736696&quot;/&gt;&lt;wsp:rsid wsp:val=&quot;007366D7&quot;/&gt;&lt;wsp:rsid wsp:val=&quot;00736B5F&quot;/&gt;&lt;wsp:rsid wsp:val=&quot;00736C5E&quot;/&gt;&lt;wsp:rsid wsp:val=&quot;00736D61&quot;/&gt;&lt;wsp:rsid wsp:val=&quot;00737803&quot;/&gt;&lt;wsp:rsid wsp:val=&quot;007378F9&quot;/&gt;&lt;wsp:rsid wsp:val=&quot;00737C06&quot;/&gt;&lt;wsp:rsid wsp:val=&quot;00737C17&quot;/&gt;&lt;wsp:rsid wsp:val=&quot;00737CFF&quot;/&gt;&lt;wsp:rsid wsp:val=&quot;00737D27&quot;/&gt;&lt;wsp:rsid wsp:val=&quot;00737F6F&quot;/&gt;&lt;wsp:rsid wsp:val=&quot;0074028A&quot;/&gt;&lt;wsp:rsid wsp:val=&quot;00740433&quot;/&gt;&lt;wsp:rsid wsp:val=&quot;00740667&quot;/&gt;&lt;wsp:rsid wsp:val=&quot;007407B1&quot;/&gt;&lt;wsp:rsid wsp:val=&quot;007407F2&quot;/&gt;&lt;wsp:rsid wsp:val=&quot;007409DF&quot;/&gt;&lt;wsp:rsid wsp:val=&quot;00740C24&quot;/&gt;&lt;wsp:rsid wsp:val=&quot;00740C89&quot;/&gt;&lt;wsp:rsid wsp:val=&quot;00740DC5&quot;/&gt;&lt;wsp:rsid wsp:val=&quot;00740EB7&quot;/&gt;&lt;wsp:rsid wsp:val=&quot;007411ED&quot;/&gt;&lt;wsp:rsid wsp:val=&quot;007412AF&quot;/&gt;&lt;wsp:rsid wsp:val=&quot;00741E41&quot;/&gt;&lt;wsp:rsid wsp:val=&quot;00741F54&quot;/&gt;&lt;wsp:rsid wsp:val=&quot;00742310&quot;/&gt;&lt;wsp:rsid wsp:val=&quot;00742637&quot;/&gt;&lt;wsp:rsid wsp:val=&quot;00742888&quot;/&gt;&lt;wsp:rsid wsp:val=&quot;00742B0C&quot;/&gt;&lt;wsp:rsid wsp:val=&quot;00742D37&quot;/&gt;&lt;wsp:rsid wsp:val=&quot;00742EA7&quot;/&gt;&lt;wsp:rsid wsp:val=&quot;00743393&quot;/&gt;&lt;wsp:rsid wsp:val=&quot;0074384D&quot;/&gt;&lt;wsp:rsid wsp:val=&quot;0074391B&quot;/&gt;&lt;wsp:rsid wsp:val=&quot;00743C12&quot;/&gt;&lt;wsp:rsid wsp:val=&quot;00743E3E&quot;/&gt;&lt;wsp:rsid wsp:val=&quot;00743F2B&quot;/&gt;&lt;wsp:rsid wsp:val=&quot;007440CB&quot;/&gt;&lt;wsp:rsid wsp:val=&quot;00744211&quot;/&gt;&lt;wsp:rsid wsp:val=&quot;007443C9&quot;/&gt;&lt;wsp:rsid wsp:val=&quot;00744497&quot;/&gt;&lt;wsp:rsid wsp:val=&quot;00744613&quot;/&gt;&lt;wsp:rsid wsp:val=&quot;00744664&quot;/&gt;&lt;wsp:rsid wsp:val=&quot;007446A6&quot;/&gt;&lt;wsp:rsid wsp:val=&quot;00744985&quot;/&gt;&lt;wsp:rsid wsp:val=&quot;00744A34&quot;/&gt;&lt;wsp:rsid wsp:val=&quot;00744C0F&quot;/&gt;&lt;wsp:rsid wsp:val=&quot;00744E07&quot;/&gt;&lt;wsp:rsid wsp:val=&quot;00744FA5&quot;/&gt;&lt;wsp:rsid wsp:val=&quot;007450AD&quot;/&gt;&lt;wsp:rsid wsp:val=&quot;00745537&quot;/&gt;&lt;wsp:rsid wsp:val=&quot;0074571A&quot;/&gt;&lt;wsp:rsid wsp:val=&quot;007457BE&quot;/&gt;&lt;wsp:rsid wsp:val=&quot;00745B0E&quot;/&gt;&lt;wsp:rsid wsp:val=&quot;00745BC5&quot;/&gt;&lt;wsp:rsid wsp:val=&quot;00745DDA&quot;/&gt;&lt;wsp:rsid wsp:val=&quot;00746132&quot;/&gt;&lt;wsp:rsid wsp:val=&quot;00746311&quot;/&gt;&lt;wsp:rsid wsp:val=&quot;00746475&quot;/&gt;&lt;wsp:rsid wsp:val=&quot;0074647E&quot;/&gt;&lt;wsp:rsid wsp:val=&quot;00746A62&quot;/&gt;&lt;wsp:rsid wsp:val=&quot;00746C8F&quot;/&gt;&lt;wsp:rsid wsp:val=&quot;00746D81&quot;/&gt;&lt;wsp:rsid wsp:val=&quot;00746D82&quot;/&gt;&lt;wsp:rsid wsp:val=&quot;00746E17&quot;/&gt;&lt;wsp:rsid wsp:val=&quot;00746F97&quot;/&gt;&lt;wsp:rsid wsp:val=&quot;00747186&quot;/&gt;&lt;wsp:rsid wsp:val=&quot;007500EF&quot;/&gt;&lt;wsp:rsid wsp:val=&quot;00750166&quot;/&gt;&lt;wsp:rsid wsp:val=&quot;00750424&quot;/&gt;&lt;wsp:rsid wsp:val=&quot;007506C1&quot;/&gt;&lt;wsp:rsid wsp:val=&quot;007508D3&quot;/&gt;&lt;wsp:rsid wsp:val=&quot;00750A47&quot;/&gt;&lt;wsp:rsid wsp:val=&quot;00750B95&quot;/&gt;&lt;wsp:rsid wsp:val=&quot;00750CCC&quot;/&gt;&lt;wsp:rsid wsp:val=&quot;00750CFB&quot;/&gt;&lt;wsp:rsid wsp:val=&quot;00751005&quot;/&gt;&lt;wsp:rsid wsp:val=&quot;007518F1&quot;/&gt;&lt;wsp:rsid wsp:val=&quot;00751D07&quot;/&gt;&lt;wsp:rsid wsp:val=&quot;00751E80&quot;/&gt;&lt;wsp:rsid wsp:val=&quot;00752757&quot;/&gt;&lt;wsp:rsid wsp:val=&quot;00752794&quot;/&gt;&lt;wsp:rsid wsp:val=&quot;00752E1A&quot;/&gt;&lt;wsp:rsid wsp:val=&quot;00752E2C&quot;/&gt;&lt;wsp:rsid wsp:val=&quot;00753019&quot;/&gt;&lt;wsp:rsid wsp:val=&quot;00753044&quot;/&gt;&lt;wsp:rsid wsp:val=&quot;00753057&quot;/&gt;&lt;wsp:rsid wsp:val=&quot;007530BD&quot;/&gt;&lt;wsp:rsid wsp:val=&quot;0075327F&quot;/&gt;&lt;wsp:rsid wsp:val=&quot;007532AA&quot;/&gt;&lt;wsp:rsid wsp:val=&quot;00753335&quot;/&gt;&lt;wsp:rsid wsp:val=&quot;00753753&quot;/&gt;&lt;wsp:rsid wsp:val=&quot;00753AA8&quot;/&gt;&lt;wsp:rsid wsp:val=&quot;00753AB6&quot;/&gt;&lt;wsp:rsid wsp:val=&quot;00753B22&quot;/&gt;&lt;wsp:rsid wsp:val=&quot;00753F6D&quot;/&gt;&lt;wsp:rsid wsp:val=&quot;007540CD&quot;/&gt;&lt;wsp:rsid wsp:val=&quot;00754178&quot;/&gt;&lt;wsp:rsid wsp:val=&quot;00754222&quot;/&gt;&lt;wsp:rsid wsp:val=&quot;007542FD&quot;/&gt;&lt;wsp:rsid wsp:val=&quot;007544F8&quot;/&gt;&lt;wsp:rsid wsp:val=&quot;0075455D&quot;/&gt;&lt;wsp:rsid wsp:val=&quot;0075459A&quot;/&gt;&lt;wsp:rsid wsp:val=&quot;007548B2&quot;/&gt;&lt;wsp:rsid wsp:val=&quot;007549D3&quot;/&gt;&lt;wsp:rsid wsp:val=&quot;00754A72&quot;/&gt;&lt;wsp:rsid wsp:val=&quot;00754B2A&quot;/&gt;&lt;wsp:rsid wsp:val=&quot;00754F36&quot;/&gt;&lt;wsp:rsid wsp:val=&quot;00754F5C&quot;/&gt;&lt;wsp:rsid wsp:val=&quot;0075511A&quot;/&gt;&lt;wsp:rsid wsp:val=&quot;007554B0&quot;/&gt;&lt;wsp:rsid wsp:val=&quot;007554DA&quot;/&gt;&lt;wsp:rsid wsp:val=&quot;007556DA&quot;/&gt;&lt;wsp:rsid wsp:val=&quot;0075587A&quot;/&gt;&lt;wsp:rsid wsp:val=&quot;0075597A&quot;/&gt;&lt;wsp:rsid wsp:val=&quot;00755A12&quot;/&gt;&lt;wsp:rsid wsp:val=&quot;00755AEE&quot;/&gt;&lt;wsp:rsid wsp:val=&quot;00755C46&quot;/&gt;&lt;wsp:rsid wsp:val=&quot;00755CAA&quot;/&gt;&lt;wsp:rsid wsp:val=&quot;00756761&quot;/&gt;&lt;wsp:rsid wsp:val=&quot;007568EC&quot;/&gt;&lt;wsp:rsid wsp:val=&quot;00756A2B&quot;/&gt;&lt;wsp:rsid wsp:val=&quot;00756D1F&quot;/&gt;&lt;wsp:rsid wsp:val=&quot;00756E58&quot;/&gt;&lt;wsp:rsid wsp:val=&quot;00756FF4&quot;/&gt;&lt;wsp:rsid wsp:val=&quot;007573F6&quot;/&gt;&lt;wsp:rsid wsp:val=&quot;007576A3&quot;/&gt;&lt;wsp:rsid wsp:val=&quot;007577AD&quot;/&gt;&lt;wsp:rsid wsp:val=&quot;00757883&quot;/&gt;&lt;wsp:rsid wsp:val=&quot;00757ACA&quot;/&gt;&lt;wsp:rsid wsp:val=&quot;00757B40&quot;/&gt;&lt;wsp:rsid wsp:val=&quot;00757D0C&quot;/&gt;&lt;wsp:rsid wsp:val=&quot;00757D9D&quot;/&gt;&lt;wsp:rsid wsp:val=&quot;00757EE2&quot;/&gt;&lt;wsp:rsid wsp:val=&quot;00760186&quot;/&gt;&lt;wsp:rsid wsp:val=&quot;00760613&quot;/&gt;&lt;wsp:rsid wsp:val=&quot;00760666&quot;/&gt;&lt;wsp:rsid wsp:val=&quot;007609DE&quot;/&gt;&lt;wsp:rsid wsp:val=&quot;00760EFC&quot;/&gt;&lt;wsp:rsid wsp:val=&quot;007612FE&quot;/&gt;&lt;wsp:rsid wsp:val=&quot;007613E7&quot;/&gt;&lt;wsp:rsid wsp:val=&quot;00761619&quot;/&gt;&lt;wsp:rsid wsp:val=&quot;007619D5&quot;/&gt;&lt;wsp:rsid wsp:val=&quot;00761AB3&quot;/&gt;&lt;wsp:rsid wsp:val=&quot;00761E86&quot;/&gt;&lt;wsp:rsid wsp:val=&quot;007620CC&quot;/&gt;&lt;wsp:rsid wsp:val=&quot;00762325&quot;/&gt;&lt;wsp:rsid wsp:val=&quot;0076246F&quot;/&gt;&lt;wsp:rsid wsp:val=&quot;0076248D&quot;/&gt;&lt;wsp:rsid wsp:val=&quot;00762896&quot;/&gt;&lt;wsp:rsid wsp:val=&quot;00762BCD&quot;/&gt;&lt;wsp:rsid wsp:val=&quot;00762F1D&quot;/&gt;&lt;wsp:rsid wsp:val=&quot;0076379F&quot;/&gt;&lt;wsp:rsid wsp:val=&quot;00763A60&quot;/&gt;&lt;wsp:rsid wsp:val=&quot;00763B8D&quot;/&gt;&lt;wsp:rsid wsp:val=&quot;00763BFE&quot;/&gt;&lt;wsp:rsid wsp:val=&quot;00763D5E&quot;/&gt;&lt;wsp:rsid wsp:val=&quot;0076463E&quot;/&gt;&lt;wsp:rsid wsp:val=&quot;00764B7A&quot;/&gt;&lt;wsp:rsid wsp:val=&quot;00764C48&quot;/&gt;&lt;wsp:rsid wsp:val=&quot;00764D4A&quot;/&gt;&lt;wsp:rsid wsp:val=&quot;00764F35&quot;/&gt;&lt;wsp:rsid wsp:val=&quot;007652B2&quot;/&gt;&lt;wsp:rsid wsp:val=&quot;00765323&quot;/&gt;&lt;wsp:rsid wsp:val=&quot;00765327&quot;/&gt;&lt;wsp:rsid wsp:val=&quot;0076597B&quot;/&gt;&lt;wsp:rsid wsp:val=&quot;00765E7A&quot;/&gt;&lt;wsp:rsid wsp:val=&quot;007663B2&quot;/&gt;&lt;wsp:rsid wsp:val=&quot;0076648C&quot;/&gt;&lt;wsp:rsid wsp:val=&quot;00766511&quot;/&gt;&lt;wsp:rsid wsp:val=&quot;007665AD&quot;/&gt;&lt;wsp:rsid wsp:val=&quot;007666F7&quot;/&gt;&lt;wsp:rsid wsp:val=&quot;00766756&quot;/&gt;&lt;wsp:rsid wsp:val=&quot;0076699F&quot;/&gt;&lt;wsp:rsid wsp:val=&quot;007669D9&quot;/&gt;&lt;wsp:rsid wsp:val=&quot;00766B00&quot;/&gt;&lt;wsp:rsid wsp:val=&quot;00766CAB&quot;/&gt;&lt;wsp:rsid wsp:val=&quot;00766E08&quot;/&gt;&lt;wsp:rsid wsp:val=&quot;00767385&quot;/&gt;&lt;wsp:rsid wsp:val=&quot;007673B6&quot;/&gt;&lt;wsp:rsid wsp:val=&quot;0076746C&quot;/&gt;&lt;wsp:rsid wsp:val=&quot;00767E17&quot;/&gt;&lt;wsp:rsid wsp:val=&quot;00767EC6&quot;/&gt;&lt;wsp:rsid wsp:val=&quot;00767F2A&quot;/&gt;&lt;wsp:rsid wsp:val=&quot;00767FDC&quot;/&gt;&lt;wsp:rsid wsp:val=&quot;0077033B&quot;/&gt;&lt;wsp:rsid wsp:val=&quot;007707AF&quot;/&gt;&lt;wsp:rsid wsp:val=&quot;00770B6E&quot;/&gt;&lt;wsp:rsid wsp:val=&quot;007711F5&quot;/&gt;&lt;wsp:rsid wsp:val=&quot;00771210&quot;/&gt;&lt;wsp:rsid wsp:val=&quot;0077131D&quot;/&gt;&lt;wsp:rsid wsp:val=&quot;007717E9&quot;/&gt;&lt;wsp:rsid wsp:val=&quot;00771CFF&quot;/&gt;&lt;wsp:rsid wsp:val=&quot;00771E42&quot;/&gt;&lt;wsp:rsid wsp:val=&quot;00771E7E&quot;/&gt;&lt;wsp:rsid wsp:val=&quot;00771F9A&quot;/&gt;&lt;wsp:rsid wsp:val=&quot;007722F9&quot;/&gt;&lt;wsp:rsid wsp:val=&quot;0077239F&quot;/&gt;&lt;wsp:rsid wsp:val=&quot;0077268C&quot;/&gt;&lt;wsp:rsid wsp:val=&quot;007727CB&quot;/&gt;&lt;wsp:rsid wsp:val=&quot;00772813&quot;/&gt;&lt;wsp:rsid wsp:val=&quot;00772BEC&quot;/&gt;&lt;wsp:rsid wsp:val=&quot;0077308B&quot;/&gt;&lt;wsp:rsid wsp:val=&quot;007730D3&quot;/&gt;&lt;wsp:rsid wsp:val=&quot;007735DF&quot;/&gt;&lt;wsp:rsid wsp:val=&quot;007736E1&quot;/&gt;&lt;wsp:rsid wsp:val=&quot;00773C52&quot;/&gt;&lt;wsp:rsid wsp:val=&quot;00773D11&quot;/&gt;&lt;wsp:rsid wsp:val=&quot;00773D66&quot;/&gt;&lt;wsp:rsid wsp:val=&quot;00773DF8&quot;/&gt;&lt;wsp:rsid wsp:val=&quot;0077402B&quot;/&gt;&lt;wsp:rsid wsp:val=&quot;007740FA&quot;/&gt;&lt;wsp:rsid wsp:val=&quot;00774139&quot;/&gt;&lt;wsp:rsid wsp:val=&quot;007746A0&quot;/&gt;&lt;wsp:rsid wsp:val=&quot;00774757&quot;/&gt;&lt;wsp:rsid wsp:val=&quot;00774918&quot;/&gt;&lt;wsp:rsid wsp:val=&quot;00774AA7&quot;/&gt;&lt;wsp:rsid wsp:val=&quot;00774B36&quot;/&gt;&lt;wsp:rsid wsp:val=&quot;00774EC5&quot;/&gt;&lt;wsp:rsid wsp:val=&quot;007753E1&quot;/&gt;&lt;wsp:rsid wsp:val=&quot;007756C7&quot;/&gt;&lt;wsp:rsid wsp:val=&quot;00775983&quot;/&gt;&lt;wsp:rsid wsp:val=&quot;00775B8E&quot;/&gt;&lt;wsp:rsid wsp:val=&quot;00775C7D&quot;/&gt;&lt;wsp:rsid wsp:val=&quot;00775CB6&quot;/&gt;&lt;wsp:rsid wsp:val=&quot;00775D66&quot;/&gt;&lt;wsp:rsid wsp:val=&quot;00775E6E&quot;/&gt;&lt;wsp:rsid wsp:val=&quot;00775E7B&quot;/&gt;&lt;wsp:rsid wsp:val=&quot;00776438&quot;/&gt;&lt;wsp:rsid wsp:val=&quot;0077663F&quot;/&gt;&lt;wsp:rsid wsp:val=&quot;0077668A&quot;/&gt;&lt;wsp:rsid wsp:val=&quot;007766DF&quot;/&gt;&lt;wsp:rsid wsp:val=&quot;00776AF2&quot;/&gt;&lt;wsp:rsid wsp:val=&quot;00776C96&quot;/&gt;&lt;wsp:rsid wsp:val=&quot;007776BF&quot;/&gt;&lt;wsp:rsid wsp:val=&quot;00777881&quot;/&gt;&lt;wsp:rsid wsp:val=&quot;0077792A&quot;/&gt;&lt;wsp:rsid wsp:val=&quot;00777AAE&quot;/&gt;&lt;wsp:rsid wsp:val=&quot;00777B33&quot;/&gt;&lt;wsp:rsid wsp:val=&quot;00777B9B&quot;/&gt;&lt;wsp:rsid wsp:val=&quot;00777E09&quot;/&gt;&lt;wsp:rsid wsp:val=&quot;00777E5D&quot;/&gt;&lt;wsp:rsid wsp:val=&quot;00777E68&quot;/&gt;&lt;wsp:rsid wsp:val=&quot;007804E4&quot;/&gt;&lt;wsp:rsid wsp:val=&quot;00780524&quot;/&gt;&lt;wsp:rsid wsp:val=&quot;007805A2&quot;/&gt;&lt;wsp:rsid wsp:val=&quot;00780775&quot;/&gt;&lt;wsp:rsid wsp:val=&quot;007809ED&quot;/&gt;&lt;wsp:rsid wsp:val=&quot;00780AE2&quot;/&gt;&lt;wsp:rsid wsp:val=&quot;00780E10&quot;/&gt;&lt;wsp:rsid wsp:val=&quot;00780E38&quot;/&gt;&lt;wsp:rsid wsp:val=&quot;00781060&quot;/&gt;&lt;wsp:rsid wsp:val=&quot;00781199&quot;/&gt;&lt;wsp:rsid wsp:val=&quot;007812B8&quot;/&gt;&lt;wsp:rsid wsp:val=&quot;0078167F&quot;/&gt;&lt;wsp:rsid wsp:val=&quot;00781759&quot;/&gt;&lt;wsp:rsid wsp:val=&quot;00781B60&quot;/&gt;&lt;wsp:rsid wsp:val=&quot;0078227A&quot;/&gt;&lt;wsp:rsid wsp:val=&quot;00782335&quot;/&gt;&lt;wsp:rsid wsp:val=&quot;0078279A&quot;/&gt;&lt;wsp:rsid wsp:val=&quot;00782C3F&quot;/&gt;&lt;wsp:rsid wsp:val=&quot;00783058&quot;/&gt;&lt;wsp:rsid wsp:val=&quot;00783134&quot;/&gt;&lt;wsp:rsid wsp:val=&quot;007832D9&quot;/&gt;&lt;wsp:rsid wsp:val=&quot;007835D2&quot;/&gt;&lt;wsp:rsid wsp:val=&quot;007837DA&quot;/&gt;&lt;wsp:rsid wsp:val=&quot;00783827&quot;/&gt;&lt;wsp:rsid wsp:val=&quot;0078385B&quot;/&gt;&lt;wsp:rsid wsp:val=&quot;00783A96&quot;/&gt;&lt;wsp:rsid wsp:val=&quot;00783B08&quot;/&gt;&lt;wsp:rsid wsp:val=&quot;00783BA2&quot;/&gt;&lt;wsp:rsid wsp:val=&quot;00783C2F&quot;/&gt;&lt;wsp:rsid wsp:val=&quot;00783D16&quot;/&gt;&lt;wsp:rsid wsp:val=&quot;00783DF1&quot;/&gt;&lt;wsp:rsid wsp:val=&quot;0078401E&quot;/&gt;&lt;wsp:rsid wsp:val=&quot;007840AA&quot;/&gt;&lt;wsp:rsid wsp:val=&quot;007842E8&quot;/&gt;&lt;wsp:rsid wsp:val=&quot;007847A4&quot;/&gt;&lt;wsp:rsid wsp:val=&quot;007847BD&quot;/&gt;&lt;wsp:rsid wsp:val=&quot;00784A73&quot;/&gt;&lt;wsp:rsid wsp:val=&quot;00784AF4&quot;/&gt;&lt;wsp:rsid wsp:val=&quot;00785248&quot;/&gt;&lt;wsp:rsid wsp:val=&quot;00785A4F&quot;/&gt;&lt;wsp:rsid wsp:val=&quot;00785BDA&quot;/&gt;&lt;wsp:rsid wsp:val=&quot;00785C48&quot;/&gt;&lt;wsp:rsid wsp:val=&quot;00786039&quot;/&gt;&lt;wsp:rsid wsp:val=&quot;0078606B&quot;/&gt;&lt;wsp:rsid wsp:val=&quot;0078649A&quot;/&gt;&lt;wsp:rsid wsp:val=&quot;0078661A&quot;/&gt;&lt;wsp:rsid wsp:val=&quot;00786729&quot;/&gt;&lt;wsp:rsid wsp:val=&quot;00786A15&quot;/&gt;&lt;wsp:rsid wsp:val=&quot;00786A50&quot;/&gt;&lt;wsp:rsid wsp:val=&quot;00786B23&quot;/&gt;&lt;wsp:rsid wsp:val=&quot;00786B2D&quot;/&gt;&lt;wsp:rsid wsp:val=&quot;007870D4&quot;/&gt;&lt;wsp:rsid wsp:val=&quot;0078725E&quot;/&gt;&lt;wsp:rsid wsp:val=&quot;007875B5&quot;/&gt;&lt;wsp:rsid wsp:val=&quot;0078762A&quot;/&gt;&lt;wsp:rsid wsp:val=&quot;007878CE&quot;/&gt;&lt;wsp:rsid wsp:val=&quot;007879A5&quot;/&gt;&lt;wsp:rsid wsp:val=&quot;0079012C&quot;/&gt;&lt;wsp:rsid wsp:val=&quot;007901EE&quot;/&gt;&lt;wsp:rsid wsp:val=&quot;0079033A&quot;/&gt;&lt;wsp:rsid wsp:val=&quot;00790597&quot;/&gt;&lt;wsp:rsid wsp:val=&quot;0079078C&quot;/&gt;&lt;wsp:rsid wsp:val=&quot;0079093B&quot;/&gt;&lt;wsp:rsid wsp:val=&quot;00790B27&quot;/&gt;&lt;wsp:rsid wsp:val=&quot;00790C7B&quot;/&gt;&lt;wsp:rsid wsp:val=&quot;00791136&quot;/&gt;&lt;wsp:rsid wsp:val=&quot;007912E7&quot;/&gt;&lt;wsp:rsid wsp:val=&quot;007918F0&quot;/&gt;&lt;wsp:rsid wsp:val=&quot;00791922&quot;/&gt;&lt;wsp:rsid wsp:val=&quot;00791949&quot;/&gt;&lt;wsp:rsid wsp:val=&quot;00791ADD&quot;/&gt;&lt;wsp:rsid wsp:val=&quot;00791FCA&quot;/&gt;&lt;wsp:rsid wsp:val=&quot;00792293&quot;/&gt;&lt;wsp:rsid wsp:val=&quot;007925DF&quot;/&gt;&lt;wsp:rsid wsp:val=&quot;007925FE&quot;/&gt;&lt;wsp:rsid wsp:val=&quot;007926DE&quot;/&gt;&lt;wsp:rsid wsp:val=&quot;007929AA&quot;/&gt;&lt;wsp:rsid wsp:val=&quot;00792BE2&quot;/&gt;&lt;wsp:rsid wsp:val=&quot;00792BF2&quot;/&gt;&lt;wsp:rsid wsp:val=&quot;00792EF6&quot;/&gt;&lt;wsp:rsid wsp:val=&quot;00793647&quot;/&gt;&lt;wsp:rsid wsp:val=&quot;00793F30&quot;/&gt;&lt;wsp:rsid wsp:val=&quot;00794008&quot;/&gt;&lt;wsp:rsid wsp:val=&quot;00794303&quot;/&gt;&lt;wsp:rsid wsp:val=&quot;0079451C&quot;/&gt;&lt;wsp:rsid wsp:val=&quot;007945AD&quot;/&gt;&lt;wsp:rsid wsp:val=&quot;00794696&quot;/&gt;&lt;wsp:rsid wsp:val=&quot;0079475F&quot;/&gt;&lt;wsp:rsid wsp:val=&quot;007947B0&quot;/&gt;&lt;wsp:rsid wsp:val=&quot;00794877&quot;/&gt;&lt;wsp:rsid wsp:val=&quot;00794995&quot;/&gt;&lt;wsp:rsid wsp:val=&quot;00794AE6&quot;/&gt;&lt;wsp:rsid wsp:val=&quot;00794B8B&quot;/&gt;&lt;wsp:rsid wsp:val=&quot;0079502B&quot;/&gt;&lt;wsp:rsid wsp:val=&quot;007951ED&quot;/&gt;&lt;wsp:rsid wsp:val=&quot;0079523F&quot;/&gt;&lt;wsp:rsid wsp:val=&quot;007956BD&quot;/&gt;&lt;wsp:rsid wsp:val=&quot;00795886&quot;/&gt;&lt;wsp:rsid wsp:val=&quot;00796032&quot;/&gt;&lt;wsp:rsid wsp:val=&quot;00796147&quot;/&gt;&lt;wsp:rsid wsp:val=&quot;00796512&quot;/&gt;&lt;wsp:rsid wsp:val=&quot;00796719&quot;/&gt;&lt;wsp:rsid wsp:val=&quot;00796ED4&quot;/&gt;&lt;wsp:rsid wsp:val=&quot;00797115&quot;/&gt;&lt;wsp:rsid wsp:val=&quot;007976D5&quot;/&gt;&lt;wsp:rsid wsp:val=&quot;0079786C&quot;/&gt;&lt;wsp:rsid wsp:val=&quot;00797899&quot;/&gt;&lt;wsp:rsid wsp:val=&quot;00797DC9&quot;/&gt;&lt;wsp:rsid wsp:val=&quot;007A0177&quot;/&gt;&lt;wsp:rsid wsp:val=&quot;007A0321&quot;/&gt;&lt;wsp:rsid wsp:val=&quot;007A0470&quot;/&gt;&lt;wsp:rsid wsp:val=&quot;007A072F&quot;/&gt;&lt;wsp:rsid wsp:val=&quot;007A0AE1&quot;/&gt;&lt;wsp:rsid wsp:val=&quot;007A0C27&quot;/&gt;&lt;wsp:rsid wsp:val=&quot;007A0E2D&quot;/&gt;&lt;wsp:rsid wsp:val=&quot;007A1953&quot;/&gt;&lt;wsp:rsid wsp:val=&quot;007A198F&quot;/&gt;&lt;wsp:rsid wsp:val=&quot;007A19AD&quot;/&gt;&lt;wsp:rsid wsp:val=&quot;007A1B64&quot;/&gt;&lt;wsp:rsid wsp:val=&quot;007A1B70&quot;/&gt;&lt;wsp:rsid wsp:val=&quot;007A1D46&quot;/&gt;&lt;wsp:rsid wsp:val=&quot;007A1D68&quot;/&gt;&lt;wsp:rsid wsp:val=&quot;007A20BF&quot;/&gt;&lt;wsp:rsid wsp:val=&quot;007A20FC&quot;/&gt;&lt;wsp:rsid wsp:val=&quot;007A22A7&quot;/&gt;&lt;wsp:rsid wsp:val=&quot;007A2519&quot;/&gt;&lt;wsp:rsid wsp:val=&quot;007A2889&quot;/&gt;&lt;wsp:rsid wsp:val=&quot;007A288F&quot;/&gt;&lt;wsp:rsid wsp:val=&quot;007A28A9&quot;/&gt;&lt;wsp:rsid wsp:val=&quot;007A2E27&quot;/&gt;&lt;wsp:rsid wsp:val=&quot;007A2E9F&quot;/&gt;&lt;wsp:rsid wsp:val=&quot;007A2FD5&quot;/&gt;&lt;wsp:rsid wsp:val=&quot;007A30D0&quot;/&gt;&lt;wsp:rsid wsp:val=&quot;007A3413&quot;/&gt;&lt;wsp:rsid wsp:val=&quot;007A36C3&quot;/&gt;&lt;wsp:rsid wsp:val=&quot;007A37B9&quot;/&gt;&lt;wsp:rsid wsp:val=&quot;007A3A46&quot;/&gt;&lt;wsp:rsid wsp:val=&quot;007A3C25&quot;/&gt;&lt;wsp:rsid wsp:val=&quot;007A3D68&quot;/&gt;&lt;wsp:rsid wsp:val=&quot;007A3E97&quot;/&gt;&lt;wsp:rsid wsp:val=&quot;007A3F57&quot;/&gt;&lt;wsp:rsid wsp:val=&quot;007A4013&quot;/&gt;&lt;wsp:rsid wsp:val=&quot;007A446F&quot;/&gt;&lt;wsp:rsid wsp:val=&quot;007A46E5&quot;/&gt;&lt;wsp:rsid wsp:val=&quot;007A484B&quot;/&gt;&lt;wsp:rsid wsp:val=&quot;007A488C&quot;/&gt;&lt;wsp:rsid wsp:val=&quot;007A48BF&quot;/&gt;&lt;wsp:rsid wsp:val=&quot;007A4C70&quot;/&gt;&lt;wsp:rsid wsp:val=&quot;007A50BE&quot;/&gt;&lt;wsp:rsid wsp:val=&quot;007A50E0&quot;/&gt;&lt;wsp:rsid wsp:val=&quot;007A51A4&quot;/&gt;&lt;wsp:rsid wsp:val=&quot;007A51B6&quot;/&gt;&lt;wsp:rsid wsp:val=&quot;007A51F8&quot;/&gt;&lt;wsp:rsid wsp:val=&quot;007A5270&quot;/&gt;&lt;wsp:rsid wsp:val=&quot;007A56FF&quot;/&gt;&lt;wsp:rsid wsp:val=&quot;007A5833&quot;/&gt;&lt;wsp:rsid wsp:val=&quot;007A5A9C&quot;/&gt;&lt;wsp:rsid wsp:val=&quot;007A5C34&quot;/&gt;&lt;wsp:rsid wsp:val=&quot;007A5C6D&quot;/&gt;&lt;wsp:rsid wsp:val=&quot;007A5DF0&quot;/&gt;&lt;wsp:rsid wsp:val=&quot;007A5EA9&quot;/&gt;&lt;wsp:rsid wsp:val=&quot;007A61DD&quot;/&gt;&lt;wsp:rsid wsp:val=&quot;007A650A&quot;/&gt;&lt;wsp:rsid wsp:val=&quot;007A66AE&quot;/&gt;&lt;wsp:rsid wsp:val=&quot;007A66ED&quot;/&gt;&lt;wsp:rsid wsp:val=&quot;007A6886&quot;/&gt;&lt;wsp:rsid wsp:val=&quot;007A6980&quot;/&gt;&lt;wsp:rsid wsp:val=&quot;007A6BDC&quot;/&gt;&lt;wsp:rsid wsp:val=&quot;007A6E62&quot;/&gt;&lt;wsp:rsid wsp:val=&quot;007A6FDC&quot;/&gt;&lt;wsp:rsid wsp:val=&quot;007A71EF&quot;/&gt;&lt;wsp:rsid wsp:val=&quot;007A7719&quot;/&gt;&lt;wsp:rsid wsp:val=&quot;007A7767&quot;/&gt;&lt;wsp:rsid wsp:val=&quot;007A785A&quot;/&gt;&lt;wsp:rsid wsp:val=&quot;007A799E&quot;/&gt;&lt;wsp:rsid wsp:val=&quot;007A7B06&quot;/&gt;&lt;wsp:rsid wsp:val=&quot;007A7C71&quot;/&gt;&lt;wsp:rsid wsp:val=&quot;007A7DE7&quot;/&gt;&lt;wsp:rsid wsp:val=&quot;007A7DFD&quot;/&gt;&lt;wsp:rsid wsp:val=&quot;007A7EB7&quot;/&gt;&lt;wsp:rsid wsp:val=&quot;007A7EDC&quot;/&gt;&lt;wsp:rsid wsp:val=&quot;007B0110&quot;/&gt;&lt;wsp:rsid wsp:val=&quot;007B0690&quot;/&gt;&lt;wsp:rsid wsp:val=&quot;007B0773&quot;/&gt;&lt;wsp:rsid wsp:val=&quot;007B09F3&quot;/&gt;&lt;wsp:rsid wsp:val=&quot;007B0B8C&quot;/&gt;&lt;wsp:rsid wsp:val=&quot;007B0FDC&quot;/&gt;&lt;wsp:rsid wsp:val=&quot;007B10DA&quot;/&gt;&lt;wsp:rsid wsp:val=&quot;007B147C&quot;/&gt;&lt;wsp:rsid wsp:val=&quot;007B14CB&quot;/&gt;&lt;wsp:rsid wsp:val=&quot;007B186E&quot;/&gt;&lt;wsp:rsid wsp:val=&quot;007B1F50&quot;/&gt;&lt;wsp:rsid wsp:val=&quot;007B2135&quot;/&gt;&lt;wsp:rsid wsp:val=&quot;007B2265&quot;/&gt;&lt;wsp:rsid wsp:val=&quot;007B23A5&quot;/&gt;&lt;wsp:rsid wsp:val=&quot;007B2BC0&quot;/&gt;&lt;wsp:rsid wsp:val=&quot;007B2D55&quot;/&gt;&lt;wsp:rsid wsp:val=&quot;007B2DC3&quot;/&gt;&lt;wsp:rsid wsp:val=&quot;007B2DCB&quot;/&gt;&lt;wsp:rsid wsp:val=&quot;007B321E&quot;/&gt;&lt;wsp:rsid wsp:val=&quot;007B3233&quot;/&gt;&lt;wsp:rsid wsp:val=&quot;007B3A65&quot;/&gt;&lt;wsp:rsid wsp:val=&quot;007B3B44&quot;/&gt;&lt;wsp:rsid wsp:val=&quot;007B3D4A&quot;/&gt;&lt;wsp:rsid wsp:val=&quot;007B3DD0&quot;/&gt;&lt;wsp:rsid wsp:val=&quot;007B4475&quot;/&gt;&lt;wsp:rsid wsp:val=&quot;007B4499&quot;/&gt;&lt;wsp:rsid wsp:val=&quot;007B4576&quot;/&gt;&lt;wsp:rsid wsp:val=&quot;007B46CB&quot;/&gt;&lt;wsp:rsid wsp:val=&quot;007B46F7&quot;/&gt;&lt;wsp:rsid wsp:val=&quot;007B4951&quot;/&gt;&lt;wsp:rsid wsp:val=&quot;007B4D0F&quot;/&gt;&lt;wsp:rsid wsp:val=&quot;007B4E7E&quot;/&gt;&lt;wsp:rsid wsp:val=&quot;007B4FC1&quot;/&gt;&lt;wsp:rsid wsp:val=&quot;007B5180&quot;/&gt;&lt;wsp:rsid wsp:val=&quot;007B51B3&quot;/&gt;&lt;wsp:rsid wsp:val=&quot;007B567C&quot;/&gt;&lt;wsp:rsid wsp:val=&quot;007B58C9&quot;/&gt;&lt;wsp:rsid wsp:val=&quot;007B597D&quot;/&gt;&lt;wsp:rsid wsp:val=&quot;007B5E32&quot;/&gt;&lt;wsp:rsid wsp:val=&quot;007B6224&quot;/&gt;&lt;wsp:rsid wsp:val=&quot;007B6411&quot;/&gt;&lt;wsp:rsid wsp:val=&quot;007B673C&quot;/&gt;&lt;wsp:rsid wsp:val=&quot;007B6A49&quot;/&gt;&lt;wsp:rsid wsp:val=&quot;007B6B87&quot;/&gt;&lt;wsp:rsid wsp:val=&quot;007B6DE9&quot;/&gt;&lt;wsp:rsid wsp:val=&quot;007B6E04&quot;/&gt;&lt;wsp:rsid wsp:val=&quot;007B7062&quot;/&gt;&lt;wsp:rsid wsp:val=&quot;007B77F3&quot;/&gt;&lt;wsp:rsid wsp:val=&quot;007B7ACB&quot;/&gt;&lt;wsp:rsid wsp:val=&quot;007B7C57&quot;/&gt;&lt;wsp:rsid wsp:val=&quot;007B7F0E&quot;/&gt;&lt;wsp:rsid wsp:val=&quot;007C01CD&quot;/&gt;&lt;wsp:rsid wsp:val=&quot;007C066C&quot;/&gt;&lt;wsp:rsid wsp:val=&quot;007C06C4&quot;/&gt;&lt;wsp:rsid wsp:val=&quot;007C07CE&quot;/&gt;&lt;wsp:rsid wsp:val=&quot;007C09B5&quot;/&gt;&lt;wsp:rsid wsp:val=&quot;007C0A45&quot;/&gt;&lt;wsp:rsid wsp:val=&quot;007C124C&quot;/&gt;&lt;wsp:rsid wsp:val=&quot;007C12B3&quot;/&gt;&lt;wsp:rsid wsp:val=&quot;007C12BB&quot;/&gt;&lt;wsp:rsid wsp:val=&quot;007C141E&quot;/&gt;&lt;wsp:rsid wsp:val=&quot;007C14B0&quot;/&gt;&lt;wsp:rsid wsp:val=&quot;007C1548&quot;/&gt;&lt;wsp:rsid wsp:val=&quot;007C1D75&quot;/&gt;&lt;wsp:rsid wsp:val=&quot;007C1E60&quot;/&gt;&lt;wsp:rsid wsp:val=&quot;007C1EDB&quot;/&gt;&lt;wsp:rsid wsp:val=&quot;007C1F1E&quot;/&gt;&lt;wsp:rsid wsp:val=&quot;007C1F91&quot;/&gt;&lt;wsp:rsid wsp:val=&quot;007C2096&quot;/&gt;&lt;wsp:rsid wsp:val=&quot;007C20EC&quot;/&gt;&lt;wsp:rsid wsp:val=&quot;007C2284&quot;/&gt;&lt;wsp:rsid wsp:val=&quot;007C27DE&quot;/&gt;&lt;wsp:rsid wsp:val=&quot;007C2D21&quot;/&gt;&lt;wsp:rsid wsp:val=&quot;007C2D28&quot;/&gt;&lt;wsp:rsid wsp:val=&quot;007C2D49&quot;/&gt;&lt;wsp:rsid wsp:val=&quot;007C2F02&quot;/&gt;&lt;wsp:rsid wsp:val=&quot;007C3170&quot;/&gt;&lt;wsp:rsid wsp:val=&quot;007C32F4&quot;/&gt;&lt;wsp:rsid wsp:val=&quot;007C33D3&quot;/&gt;&lt;wsp:rsid wsp:val=&quot;007C3524&quot;/&gt;&lt;wsp:rsid wsp:val=&quot;007C3675&quot;/&gt;&lt;wsp:rsid wsp:val=&quot;007C37F6&quot;/&gt;&lt;wsp:rsid wsp:val=&quot;007C3874&quot;/&gt;&lt;wsp:rsid wsp:val=&quot;007C3947&quot;/&gt;&lt;wsp:rsid wsp:val=&quot;007C3BB6&quot;/&gt;&lt;wsp:rsid wsp:val=&quot;007C4249&quot;/&gt;&lt;wsp:rsid wsp:val=&quot;007C42BD&quot;/&gt;&lt;wsp:rsid wsp:val=&quot;007C439B&quot;/&gt;&lt;wsp:rsid wsp:val=&quot;007C4714&quot;/&gt;&lt;wsp:rsid wsp:val=&quot;007C4C27&quot;/&gt;&lt;wsp:rsid wsp:val=&quot;007C5267&quot;/&gt;&lt;wsp:rsid wsp:val=&quot;007C53BF&quot;/&gt;&lt;wsp:rsid wsp:val=&quot;007C5B10&quot;/&gt;&lt;wsp:rsid wsp:val=&quot;007C5BE3&quot;/&gt;&lt;wsp:rsid wsp:val=&quot;007C5EC0&quot;/&gt;&lt;wsp:rsid wsp:val=&quot;007C67AC&quot;/&gt;&lt;wsp:rsid wsp:val=&quot;007C67B0&quot;/&gt;&lt;wsp:rsid wsp:val=&quot;007C696C&quot;/&gt;&lt;wsp:rsid wsp:val=&quot;007C6C8E&quot;/&gt;&lt;wsp:rsid wsp:val=&quot;007C6FA4&quot;/&gt;&lt;wsp:rsid wsp:val=&quot;007C710F&quot;/&gt;&lt;wsp:rsid wsp:val=&quot;007C74D3&quot;/&gt;&lt;wsp:rsid wsp:val=&quot;007C76BF&quot;/&gt;&lt;wsp:rsid wsp:val=&quot;007C77F5&quot;/&gt;&lt;wsp:rsid wsp:val=&quot;007C7832&quot;/&gt;&lt;wsp:rsid wsp:val=&quot;007C7AF9&quot;/&gt;&lt;wsp:rsid wsp:val=&quot;007C7D83&quot;/&gt;&lt;wsp:rsid wsp:val=&quot;007D0020&quot;/&gt;&lt;wsp:rsid wsp:val=&quot;007D0226&quot;/&gt;&lt;wsp:rsid wsp:val=&quot;007D04F3&quot;/&gt;&lt;wsp:rsid wsp:val=&quot;007D08C4&quot;/&gt;&lt;wsp:rsid wsp:val=&quot;007D0F45&quot;/&gt;&lt;wsp:rsid wsp:val=&quot;007D1127&quot;/&gt;&lt;wsp:rsid wsp:val=&quot;007D1354&quot;/&gt;&lt;wsp:rsid wsp:val=&quot;007D147B&quot;/&gt;&lt;wsp:rsid wsp:val=&quot;007D16AF&quot;/&gt;&lt;wsp:rsid wsp:val=&quot;007D1902&quot;/&gt;&lt;wsp:rsid wsp:val=&quot;007D1A39&quot;/&gt;&lt;wsp:rsid wsp:val=&quot;007D2056&quot;/&gt;&lt;wsp:rsid wsp:val=&quot;007D2356&quot;/&gt;&lt;wsp:rsid wsp:val=&quot;007D263E&quot;/&gt;&lt;wsp:rsid wsp:val=&quot;007D2BDF&quot;/&gt;&lt;wsp:rsid wsp:val=&quot;007D2D04&quot;/&gt;&lt;wsp:rsid wsp:val=&quot;007D2DAB&quot;/&gt;&lt;wsp:rsid wsp:val=&quot;007D2F2D&quot;/&gt;&lt;wsp:rsid wsp:val=&quot;007D3178&quot;/&gt;&lt;wsp:rsid wsp:val=&quot;007D32C7&quot;/&gt;&lt;wsp:rsid wsp:val=&quot;007D3351&quot;/&gt;&lt;wsp:rsid wsp:val=&quot;007D3936&quot;/&gt;&lt;wsp:rsid wsp:val=&quot;007D3B3E&quot;/&gt;&lt;wsp:rsid wsp:val=&quot;007D3BD0&quot;/&gt;&lt;wsp:rsid wsp:val=&quot;007D3C16&quot;/&gt;&lt;wsp:rsid wsp:val=&quot;007D3CBF&quot;/&gt;&lt;wsp:rsid wsp:val=&quot;007D3E65&quot;/&gt;&lt;wsp:rsid wsp:val=&quot;007D42AE&quot;/&gt;&lt;wsp:rsid wsp:val=&quot;007D42C0&quot;/&gt;&lt;wsp:rsid wsp:val=&quot;007D4303&quot;/&gt;&lt;wsp:rsid wsp:val=&quot;007D4363&quot;/&gt;&lt;wsp:rsid wsp:val=&quot;007D4402&quot;/&gt;&lt;wsp:rsid wsp:val=&quot;007D4417&quot;/&gt;&lt;wsp:rsid wsp:val=&quot;007D472D&quot;/&gt;&lt;wsp:rsid wsp:val=&quot;007D4AED&quot;/&gt;&lt;wsp:rsid wsp:val=&quot;007D4F66&quot;/&gt;&lt;wsp:rsid wsp:val=&quot;007D565B&quot;/&gt;&lt;wsp:rsid wsp:val=&quot;007D56CC&quot;/&gt;&lt;wsp:rsid wsp:val=&quot;007D584C&quot;/&gt;&lt;wsp:rsid wsp:val=&quot;007D599A&quot;/&gt;&lt;wsp:rsid wsp:val=&quot;007D59C4&quot;/&gt;&lt;wsp:rsid wsp:val=&quot;007D5A71&quot;/&gt;&lt;wsp:rsid wsp:val=&quot;007D6072&quot;/&gt;&lt;wsp:rsid wsp:val=&quot;007D60B7&quot;/&gt;&lt;wsp:rsid wsp:val=&quot;007D646B&quot;/&gt;&lt;wsp:rsid wsp:val=&quot;007D69E5&quot;/&gt;&lt;wsp:rsid wsp:val=&quot;007D70EA&quot;/&gt;&lt;wsp:rsid wsp:val=&quot;007D72D6&quot;/&gt;&lt;wsp:rsid wsp:val=&quot;007D7989&quot;/&gt;&lt;wsp:rsid wsp:val=&quot;007E0064&quot;/&gt;&lt;wsp:rsid wsp:val=&quot;007E0065&quot;/&gt;&lt;wsp:rsid wsp:val=&quot;007E009C&quot;/&gt;&lt;wsp:rsid wsp:val=&quot;007E00B7&quot;/&gt;&lt;wsp:rsid wsp:val=&quot;007E0452&quot;/&gt;&lt;wsp:rsid wsp:val=&quot;007E046F&quot;/&gt;&lt;wsp:rsid wsp:val=&quot;007E0752&quot;/&gt;&lt;wsp:rsid wsp:val=&quot;007E0831&quot;/&gt;&lt;wsp:rsid wsp:val=&quot;007E0B62&quot;/&gt;&lt;wsp:rsid wsp:val=&quot;007E0B66&quot;/&gt;&lt;wsp:rsid wsp:val=&quot;007E0B81&quot;/&gt;&lt;wsp:rsid wsp:val=&quot;007E0DDC&quot;/&gt;&lt;wsp:rsid wsp:val=&quot;007E0E14&quot;/&gt;&lt;wsp:rsid wsp:val=&quot;007E0F92&quot;/&gt;&lt;wsp:rsid wsp:val=&quot;007E100E&quot;/&gt;&lt;wsp:rsid wsp:val=&quot;007E1062&quot;/&gt;&lt;wsp:rsid wsp:val=&quot;007E11D4&quot;/&gt;&lt;wsp:rsid wsp:val=&quot;007E1259&quot;/&gt;&lt;wsp:rsid wsp:val=&quot;007E12BC&quot;/&gt;&lt;wsp:rsid wsp:val=&quot;007E1558&quot;/&gt;&lt;wsp:rsid wsp:val=&quot;007E1568&quot;/&gt;&lt;wsp:rsid wsp:val=&quot;007E1580&quot;/&gt;&lt;wsp:rsid wsp:val=&quot;007E17BB&quot;/&gt;&lt;wsp:rsid wsp:val=&quot;007E1D5D&quot;/&gt;&lt;wsp:rsid wsp:val=&quot;007E1F60&quot;/&gt;&lt;wsp:rsid wsp:val=&quot;007E232D&quot;/&gt;&lt;wsp:rsid wsp:val=&quot;007E2835&quot;/&gt;&lt;wsp:rsid wsp:val=&quot;007E296A&quot;/&gt;&lt;wsp:rsid wsp:val=&quot;007E2F1A&quot;/&gt;&lt;wsp:rsid wsp:val=&quot;007E3922&quot;/&gt;&lt;wsp:rsid wsp:val=&quot;007E3AB4&quot;/&gt;&lt;wsp:rsid wsp:val=&quot;007E3DA6&quot;/&gt;&lt;wsp:rsid wsp:val=&quot;007E3E9F&quot;/&gt;&lt;wsp:rsid wsp:val=&quot;007E408B&quot;/&gt;&lt;wsp:rsid wsp:val=&quot;007E4383&quot;/&gt;&lt;wsp:rsid wsp:val=&quot;007E4803&quot;/&gt;&lt;wsp:rsid wsp:val=&quot;007E48A3&quot;/&gt;&lt;wsp:rsid wsp:val=&quot;007E49D4&quot;/&gt;&lt;wsp:rsid wsp:val=&quot;007E4AC4&quot;/&gt;&lt;wsp:rsid wsp:val=&quot;007E4B4C&quot;/&gt;&lt;wsp:rsid wsp:val=&quot;007E4CDE&quot;/&gt;&lt;wsp:rsid wsp:val=&quot;007E4DF0&quot;/&gt;&lt;wsp:rsid wsp:val=&quot;007E4E3A&quot;/&gt;&lt;wsp:rsid wsp:val=&quot;007E4F6B&quot;/&gt;&lt;wsp:rsid wsp:val=&quot;007E5235&quot;/&gt;&lt;wsp:rsid wsp:val=&quot;007E548D&quot;/&gt;&lt;wsp:rsid wsp:val=&quot;007E5892&quot;/&gt;&lt;wsp:rsid wsp:val=&quot;007E5AA5&quot;/&gt;&lt;wsp:rsid wsp:val=&quot;007E5C5C&quot;/&gt;&lt;wsp:rsid wsp:val=&quot;007E5C9A&quot;/&gt;&lt;wsp:rsid wsp:val=&quot;007E6002&quot;/&gt;&lt;wsp:rsid wsp:val=&quot;007E6482&quot;/&gt;&lt;wsp:rsid wsp:val=&quot;007E64B6&quot;/&gt;&lt;wsp:rsid wsp:val=&quot;007E6587&quot;/&gt;&lt;wsp:rsid wsp:val=&quot;007E6F8E&quot;/&gt;&lt;wsp:rsid wsp:val=&quot;007E72EB&quot;/&gt;&lt;wsp:rsid wsp:val=&quot;007F0050&quot;/&gt;&lt;wsp:rsid wsp:val=&quot;007F03EB&quot;/&gt;&lt;wsp:rsid wsp:val=&quot;007F0573&quot;/&gt;&lt;wsp:rsid wsp:val=&quot;007F096B&quot;/&gt;&lt;wsp:rsid wsp:val=&quot;007F0F83&quot;/&gt;&lt;wsp:rsid wsp:val=&quot;007F1085&quot;/&gt;&lt;wsp:rsid wsp:val=&quot;007F1156&quot;/&gt;&lt;wsp:rsid wsp:val=&quot;007F1175&quot;/&gt;&lt;wsp:rsid wsp:val=&quot;007F13BF&quot;/&gt;&lt;wsp:rsid wsp:val=&quot;007F159B&quot;/&gt;&lt;wsp:rsid wsp:val=&quot;007F1962&quot;/&gt;&lt;wsp:rsid wsp:val=&quot;007F1A2E&quot;/&gt;&lt;wsp:rsid wsp:val=&quot;007F1B02&quot;/&gt;&lt;wsp:rsid wsp:val=&quot;007F1B46&quot;/&gt;&lt;wsp:rsid wsp:val=&quot;007F1FEE&quot;/&gt;&lt;wsp:rsid wsp:val=&quot;007F22F1&quot;/&gt;&lt;wsp:rsid wsp:val=&quot;007F23EA&quot;/&gt;&lt;wsp:rsid wsp:val=&quot;007F2568&quot;/&gt;&lt;wsp:rsid wsp:val=&quot;007F25BD&quot;/&gt;&lt;wsp:rsid wsp:val=&quot;007F2887&quot;/&gt;&lt;wsp:rsid wsp:val=&quot;007F29DA&quot;/&gt;&lt;wsp:rsid wsp:val=&quot;007F2B3C&quot;/&gt;&lt;wsp:rsid wsp:val=&quot;007F2CC4&quot;/&gt;&lt;wsp:rsid wsp:val=&quot;007F2D07&quot;/&gt;&lt;wsp:rsid wsp:val=&quot;007F2DC9&quot;/&gt;&lt;wsp:rsid wsp:val=&quot;007F30AD&quot;/&gt;&lt;wsp:rsid wsp:val=&quot;007F35C6&quot;/&gt;&lt;wsp:rsid wsp:val=&quot;007F35E6&quot;/&gt;&lt;wsp:rsid wsp:val=&quot;007F3616&quot;/&gt;&lt;wsp:rsid wsp:val=&quot;007F384B&quot;/&gt;&lt;wsp:rsid wsp:val=&quot;007F3A2E&quot;/&gt;&lt;wsp:rsid wsp:val=&quot;007F3B3A&quot;/&gt;&lt;wsp:rsid wsp:val=&quot;007F3C78&quot;/&gt;&lt;wsp:rsid wsp:val=&quot;007F3CC2&quot;/&gt;&lt;wsp:rsid wsp:val=&quot;007F3D62&quot;/&gt;&lt;wsp:rsid wsp:val=&quot;007F448D&quot;/&gt;&lt;wsp:rsid wsp:val=&quot;007F4D3D&quot;/&gt;&lt;wsp:rsid wsp:val=&quot;007F4E18&quot;/&gt;&lt;wsp:rsid wsp:val=&quot;007F4EEF&quot;/&gt;&lt;wsp:rsid wsp:val=&quot;007F50B0&quot;/&gt;&lt;wsp:rsid wsp:val=&quot;007F5884&quot;/&gt;&lt;wsp:rsid wsp:val=&quot;007F5A35&quot;/&gt;&lt;wsp:rsid wsp:val=&quot;007F5B18&quot;/&gt;&lt;wsp:rsid wsp:val=&quot;007F5C5E&quot;/&gt;&lt;wsp:rsid wsp:val=&quot;007F5FE1&quot;/&gt;&lt;wsp:rsid wsp:val=&quot;007F67FA&quot;/&gt;&lt;wsp:rsid wsp:val=&quot;007F6813&quot;/&gt;&lt;wsp:rsid wsp:val=&quot;007F6A1A&quot;/&gt;&lt;wsp:rsid wsp:val=&quot;007F6BEF&quot;/&gt;&lt;wsp:rsid wsp:val=&quot;007F6C51&quot;/&gt;&lt;wsp:rsid wsp:val=&quot;007F6D30&quot;/&gt;&lt;wsp:rsid wsp:val=&quot;007F6D8F&quot;/&gt;&lt;wsp:rsid wsp:val=&quot;007F70D2&quot;/&gt;&lt;wsp:rsid wsp:val=&quot;007F7108&quot;/&gt;&lt;wsp:rsid wsp:val=&quot;007F7158&quot;/&gt;&lt;wsp:rsid wsp:val=&quot;007F716D&quot;/&gt;&lt;wsp:rsid wsp:val=&quot;007F7330&quot;/&gt;&lt;wsp:rsid wsp:val=&quot;007F75AA&quot;/&gt;&lt;wsp:rsid wsp:val=&quot;007F7808&quot;/&gt;&lt;wsp:rsid wsp:val=&quot;007F7892&quot;/&gt;&lt;wsp:rsid wsp:val=&quot;007F7A06&quot;/&gt;&lt;wsp:rsid wsp:val=&quot;007F7A43&quot;/&gt;&lt;wsp:rsid wsp:val=&quot;007F7BF6&quot;/&gt;&lt;wsp:rsid wsp:val=&quot;007F7D9F&quot;/&gt;&lt;wsp:rsid wsp:val=&quot;007F7DCD&quot;/&gt;&lt;wsp:rsid wsp:val=&quot;007F7E24&quot;/&gt;&lt;wsp:rsid wsp:val=&quot;008001D8&quot;/&gt;&lt;wsp:rsid wsp:val=&quot;008001F8&quot;/&gt;&lt;wsp:rsid wsp:val=&quot;00800362&quot;/&gt;&lt;wsp:rsid wsp:val=&quot;0080045B&quot;/&gt;&lt;wsp:rsid wsp:val=&quot;00800510&quot;/&gt;&lt;wsp:rsid wsp:val=&quot;0080086A&quot;/&gt;&lt;wsp:rsid wsp:val=&quot;008009BC&quot;/&gt;&lt;wsp:rsid wsp:val=&quot;008009DB&quot;/&gt;&lt;wsp:rsid wsp:val=&quot;00800A3E&quot;/&gt;&lt;wsp:rsid wsp:val=&quot;008012B5&quot;/&gt;&lt;wsp:rsid wsp:val=&quot;008016AD&quot;/&gt;&lt;wsp:rsid wsp:val=&quot;00801774&quot;/&gt;&lt;wsp:rsid wsp:val=&quot;00801794&quot;/&gt;&lt;wsp:rsid wsp:val=&quot;00801795&quot;/&gt;&lt;wsp:rsid wsp:val=&quot;0080182A&quot;/&gt;&lt;wsp:rsid wsp:val=&quot;00801CA2&quot;/&gt;&lt;wsp:rsid wsp:val=&quot;00801D7A&quot;/&gt;&lt;wsp:rsid wsp:val=&quot;00801E9B&quot;/&gt;&lt;wsp:rsid wsp:val=&quot;00801FD8&quot;/&gt;&lt;wsp:rsid wsp:val=&quot;00802416&quot;/&gt;&lt;wsp:rsid wsp:val=&quot;00802430&quot;/&gt;&lt;wsp:rsid wsp:val=&quot;008026DA&quot;/&gt;&lt;wsp:rsid wsp:val=&quot;008028E0&quot;/&gt;&lt;wsp:rsid wsp:val=&quot;00802B5C&quot;/&gt;&lt;wsp:rsid wsp:val=&quot;00802CFA&quot;/&gt;&lt;wsp:rsid wsp:val=&quot;00802F01&quot;/&gt;&lt;wsp:rsid wsp:val=&quot;00803564&quot;/&gt;&lt;wsp:rsid wsp:val=&quot;008036CB&quot;/&gt;&lt;wsp:rsid wsp:val=&quot;00803786&quot;/&gt;&lt;wsp:rsid wsp:val=&quot;00803A85&quot;/&gt;&lt;wsp:rsid wsp:val=&quot;0080454C&quot;/&gt;&lt;wsp:rsid wsp:val=&quot;008045F3&quot;/&gt;&lt;wsp:rsid wsp:val=&quot;008048BD&quot;/&gt;&lt;wsp:rsid wsp:val=&quot;0080490B&quot;/&gt;&lt;wsp:rsid wsp:val=&quot;00804E56&quot;/&gt;&lt;wsp:rsid wsp:val=&quot;00804E86&quot;/&gt;&lt;wsp:rsid wsp:val=&quot;00804F0A&quot;/&gt;&lt;wsp:rsid wsp:val=&quot;00805137&quot;/&gt;&lt;wsp:rsid wsp:val=&quot;00805562&quot;/&gt;&lt;wsp:rsid wsp:val=&quot;00806102&quot;/&gt;&lt;wsp:rsid wsp:val=&quot;00806155&quot;/&gt;&lt;wsp:rsid wsp:val=&quot;00806410&quot;/&gt;&lt;wsp:rsid wsp:val=&quot;008065D0&quot;/&gt;&lt;wsp:rsid wsp:val=&quot;00806839&quot;/&gt;&lt;wsp:rsid wsp:val=&quot;0080691B&quot;/&gt;&lt;wsp:rsid wsp:val=&quot;00806A9E&quot;/&gt;&lt;wsp:rsid wsp:val=&quot;00806CCC&quot;/&gt;&lt;wsp:rsid wsp:val=&quot;008074D8&quot;/&gt;&lt;wsp:rsid wsp:val=&quot;008077E6&quot;/&gt;&lt;wsp:rsid wsp:val=&quot;00807B82&quot;/&gt;&lt;wsp:rsid wsp:val=&quot;00807E0C&quot;/&gt;&lt;wsp:rsid wsp:val=&quot;00807FD9&quot;/&gt;&lt;wsp:rsid wsp:val=&quot;00810000&quot;/&gt;&lt;wsp:rsid wsp:val=&quot;00810810&quot;/&gt;&lt;wsp:rsid wsp:val=&quot;00810AAB&quot;/&gt;&lt;wsp:rsid wsp:val=&quot;00810AE9&quot;/&gt;&lt;wsp:rsid wsp:val=&quot;00810F27&quot;/&gt;&lt;wsp:rsid wsp:val=&quot;0081138D&quot;/&gt;&lt;wsp:rsid wsp:val=&quot;008114A2&quot;/&gt;&lt;wsp:rsid wsp:val=&quot;008115DD&quot;/&gt;&lt;wsp:rsid wsp:val=&quot;0081185B&quot;/&gt;&lt;wsp:rsid wsp:val=&quot;00811F62&quot;/&gt;&lt;wsp:rsid wsp:val=&quot;00812224&quot;/&gt;&lt;wsp:rsid wsp:val=&quot;00812690&quot;/&gt;&lt;wsp:rsid wsp:val=&quot;00812926&quot;/&gt;&lt;wsp:rsid wsp:val=&quot;00812A38&quot;/&gt;&lt;wsp:rsid wsp:val=&quot;00812BB0&quot;/&gt;&lt;wsp:rsid wsp:val=&quot;0081334D&quot;/&gt;&lt;wsp:rsid wsp:val=&quot;008134D1&quot;/&gt;&lt;wsp:rsid wsp:val=&quot;008135A3&quot;/&gt;&lt;wsp:rsid wsp:val=&quot;008135F2&quot;/&gt;&lt;wsp:rsid wsp:val=&quot;00813760&quot;/&gt;&lt;wsp:rsid wsp:val=&quot;0081376A&quot;/&gt;&lt;wsp:rsid wsp:val=&quot;008139DB&quot;/&gt;&lt;wsp:rsid wsp:val=&quot;00813E8C&quot;/&gt;&lt;wsp:rsid wsp:val=&quot;00813E95&quot;/&gt;&lt;wsp:rsid wsp:val=&quot;00813FF4&quot;/&gt;&lt;wsp:rsid wsp:val=&quot;008142F7&quot;/&gt;&lt;wsp:rsid wsp:val=&quot;008143F1&quot;/&gt;&lt;wsp:rsid wsp:val=&quot;00814564&quot;/&gt;&lt;wsp:rsid wsp:val=&quot;00814A18&quot;/&gt;&lt;wsp:rsid wsp:val=&quot;00814C63&quot;/&gt;&lt;wsp:rsid wsp:val=&quot;00814F14&quot;/&gt;&lt;wsp:rsid wsp:val=&quot;00815135&quot;/&gt;&lt;wsp:rsid wsp:val=&quot;008151AE&quot;/&gt;&lt;wsp:rsid wsp:val=&quot;0081547C&quot;/&gt;&lt;wsp:rsid wsp:val=&quot;00815529&quot;/&gt;&lt;wsp:rsid wsp:val=&quot;0081580F&quot;/&gt;&lt;wsp:rsid wsp:val=&quot;00815877&quot;/&gt;&lt;wsp:rsid wsp:val=&quot;0081587A&quot;/&gt;&lt;wsp:rsid wsp:val=&quot;00815904&quot;/&gt;&lt;wsp:rsid wsp:val=&quot;0081595C&quot;/&gt;&lt;wsp:rsid wsp:val=&quot;00815B34&quot;/&gt;&lt;wsp:rsid wsp:val=&quot;00815E0A&quot;/&gt;&lt;wsp:rsid wsp:val=&quot;0081605E&quot;/&gt;&lt;wsp:rsid wsp:val=&quot;00816113&quot;/&gt;&lt;wsp:rsid wsp:val=&quot;00816201&quot;/&gt;&lt;wsp:rsid wsp:val=&quot;008164EE&quot;/&gt;&lt;wsp:rsid wsp:val=&quot;00816661&quot;/&gt;&lt;wsp:rsid wsp:val=&quot;00816804&quot;/&gt;&lt;wsp:rsid wsp:val=&quot;00816B0D&quot;/&gt;&lt;wsp:rsid wsp:val=&quot;00816D4A&quot;/&gt;&lt;wsp:rsid wsp:val=&quot;00816F91&quot;/&gt;&lt;wsp:rsid wsp:val=&quot;0081702D&quot;/&gt;&lt;wsp:rsid wsp:val=&quot;008171B2&quot;/&gt;&lt;wsp:rsid wsp:val=&quot;00817224&quot;/&gt;&lt;wsp:rsid wsp:val=&quot;008172D9&quot;/&gt;&lt;wsp:rsid wsp:val=&quot;00817318&quot;/&gt;&lt;wsp:rsid wsp:val=&quot;00817355&quot;/&gt;&lt;wsp:rsid wsp:val=&quot;00817A37&quot;/&gt;&lt;wsp:rsid wsp:val=&quot;00817DCF&quot;/&gt;&lt;wsp:rsid wsp:val=&quot;008202BB&quot;/&gt;&lt;wsp:rsid wsp:val=&quot;00820380&quot;/&gt;&lt;wsp:rsid wsp:val=&quot;0082070D&quot;/&gt;&lt;wsp:rsid wsp:val=&quot;008208E7&quot;/&gt;&lt;wsp:rsid wsp:val=&quot;00820963&quot;/&gt;&lt;wsp:rsid wsp:val=&quot;00820971&quot;/&gt;&lt;wsp:rsid wsp:val=&quot;00820AFF&quot;/&gt;&lt;wsp:rsid wsp:val=&quot;00820D76&quot;/&gt;&lt;wsp:rsid wsp:val=&quot;00820EBC&quot;/&gt;&lt;wsp:rsid wsp:val=&quot;00821260&quot;/&gt;&lt;wsp:rsid wsp:val=&quot;00821C9A&quot;/&gt;&lt;wsp:rsid wsp:val=&quot;0082218D&quot;/&gt;&lt;wsp:rsid wsp:val=&quot;0082224D&quot;/&gt;&lt;wsp:rsid wsp:val=&quot;008222D0&quot;/&gt;&lt;wsp:rsid wsp:val=&quot;0082234B&quot;/&gt;&lt;wsp:rsid wsp:val=&quot;008228C9&quot;/&gt;&lt;wsp:rsid wsp:val=&quot;00822D3F&quot;/&gt;&lt;wsp:rsid wsp:val=&quot;00822EAD&quot;/&gt;&lt;wsp:rsid wsp:val=&quot;00823452&quot;/&gt;&lt;wsp:rsid wsp:val=&quot;00823480&quot;/&gt;&lt;wsp:rsid wsp:val=&quot;0082358F&quot;/&gt;&lt;wsp:rsid wsp:val=&quot;0082368E&quot;/&gt;&lt;wsp:rsid wsp:val=&quot;00823814&quot;/&gt;&lt;wsp:rsid wsp:val=&quot;00823882&quot;/&gt;&lt;wsp:rsid wsp:val=&quot;00823913&quot;/&gt;&lt;wsp:rsid wsp:val=&quot;00823AB9&quot;/&gt;&lt;wsp:rsid wsp:val=&quot;00823FD3&quot;/&gt;&lt;wsp:rsid wsp:val=&quot;00824109&quot;/&gt;&lt;wsp:rsid wsp:val=&quot;0082444D&quot;/&gt;&lt;wsp:rsid wsp:val=&quot;008246B2&quot;/&gt;&lt;wsp:rsid wsp:val=&quot;00824817&quot;/&gt;&lt;wsp:rsid wsp:val=&quot;00824E59&quot;/&gt;&lt;wsp:rsid wsp:val=&quot;008251B7&quot;/&gt;&lt;wsp:rsid wsp:val=&quot;00825270&quot;/&gt;&lt;wsp:rsid wsp:val=&quot;0082535A&quot;/&gt;&lt;wsp:rsid wsp:val=&quot;008253EC&quot;/&gt;&lt;wsp:rsid wsp:val=&quot;00825452&quot;/&gt;&lt;wsp:rsid wsp:val=&quot;0082561D&quot;/&gt;&lt;wsp:rsid wsp:val=&quot;008258B7&quot;/&gt;&lt;wsp:rsid wsp:val=&quot;00825A34&quot;/&gt;&lt;wsp:rsid wsp:val=&quot;00825C73&quot;/&gt;&lt;wsp:rsid wsp:val=&quot;00825D79&quot;/&gt;&lt;wsp:rsid wsp:val=&quot;008262FD&quot;/&gt;&lt;wsp:rsid wsp:val=&quot;00826320&quot;/&gt;&lt;wsp:rsid wsp:val=&quot;00826407&quot;/&gt;&lt;wsp:rsid wsp:val=&quot;0082673A&quot;/&gt;&lt;wsp:rsid wsp:val=&quot;008269AB&quot;/&gt;&lt;wsp:rsid wsp:val=&quot;00826A89&quot;/&gt;&lt;wsp:rsid wsp:val=&quot;00826BD0&quot;/&gt;&lt;wsp:rsid wsp:val=&quot;00826E1A&quot;/&gt;&lt;wsp:rsid wsp:val=&quot;008276E3&quot;/&gt;&lt;wsp:rsid wsp:val=&quot;00827A0A&quot;/&gt;&lt;wsp:rsid wsp:val=&quot;00827B4D&quot;/&gt;&lt;wsp:rsid wsp:val=&quot;00827E08&quot;/&gt;&lt;wsp:rsid wsp:val=&quot;00827EA1&quot;/&gt;&lt;wsp:rsid wsp:val=&quot;00830217&quot;/&gt;&lt;wsp:rsid wsp:val=&quot;00830695&quot;/&gt;&lt;wsp:rsid wsp:val=&quot;00830717&quot;/&gt;&lt;wsp:rsid wsp:val=&quot;0083072C&quot;/&gt;&lt;wsp:rsid wsp:val=&quot;00830741&quot;/&gt;&lt;wsp:rsid wsp:val=&quot;0083080C&quot;/&gt;&lt;wsp:rsid wsp:val=&quot;00830A01&quot;/&gt;&lt;wsp:rsid wsp:val=&quot;00830E61&quot;/&gt;&lt;wsp:rsid wsp:val=&quot;0083137E&quot;/&gt;&lt;wsp:rsid wsp:val=&quot;00831665&quot;/&gt;&lt;wsp:rsid wsp:val=&quot;0083170A&quot;/&gt;&lt;wsp:rsid wsp:val=&quot;008318DF&quot;/&gt;&lt;wsp:rsid wsp:val=&quot;00831930&quot;/&gt;&lt;wsp:rsid wsp:val=&quot;00831B6F&quot;/&gt;&lt;wsp:rsid wsp:val=&quot;00831C11&quot;/&gt;&lt;wsp:rsid wsp:val=&quot;00831C48&quot;/&gt;&lt;wsp:rsid wsp:val=&quot;00831D2C&quot;/&gt;&lt;wsp:rsid wsp:val=&quot;00831D33&quot;/&gt;&lt;wsp:rsid wsp:val=&quot;00831E2D&quot;/&gt;&lt;wsp:rsid wsp:val=&quot;00831ED1&quot;/&gt;&lt;wsp:rsid wsp:val=&quot;00831F15&quot;/&gt;&lt;wsp:rsid wsp:val=&quot;00832012&quot;/&gt;&lt;wsp:rsid wsp:val=&quot;00832424&quot;/&gt;&lt;wsp:rsid wsp:val=&quot;008326B8&quot;/&gt;&lt;wsp:rsid wsp:val=&quot;00832952&quot;/&gt;&lt;wsp:rsid wsp:val=&quot;00832C17&quot;/&gt;&lt;wsp:rsid wsp:val=&quot;00832D28&quot;/&gt;&lt;wsp:rsid wsp:val=&quot;00832E9C&quot;/&gt;&lt;wsp:rsid wsp:val=&quot;00832F45&quot;/&gt;&lt;wsp:rsid wsp:val=&quot;00833107&quot;/&gt;&lt;wsp:rsid wsp:val=&quot;0083354C&quot;/&gt;&lt;wsp:rsid wsp:val=&quot;0083369E&quot;/&gt;&lt;wsp:rsid wsp:val=&quot;008336D1&quot;/&gt;&lt;wsp:rsid wsp:val=&quot;0083393D&quot;/&gt;&lt;wsp:rsid wsp:val=&quot;00833A57&quot;/&gt;&lt;wsp:rsid wsp:val=&quot;00833A72&quot;/&gt;&lt;wsp:rsid wsp:val=&quot;00833B7F&quot;/&gt;&lt;wsp:rsid wsp:val=&quot;00833DA0&quot;/&gt;&lt;wsp:rsid wsp:val=&quot;00833F17&quot;/&gt;&lt;wsp:rsid wsp:val=&quot;008340B9&quot;/&gt;&lt;wsp:rsid wsp:val=&quot;0083439C&quot;/&gt;&lt;wsp:rsid wsp:val=&quot;008344EF&quot;/&gt;&lt;wsp:rsid wsp:val=&quot;008345ED&quot;/&gt;&lt;wsp:rsid wsp:val=&quot;008346B7&quot;/&gt;&lt;wsp:rsid wsp:val=&quot;0083494C&quot;/&gt;&lt;wsp:rsid wsp:val=&quot;0083504C&quot;/&gt;&lt;wsp:rsid wsp:val=&quot;008350D2&quot;/&gt;&lt;wsp:rsid wsp:val=&quot;0083541A&quot;/&gt;&lt;wsp:rsid wsp:val=&quot;008354B7&quot;/&gt;&lt;wsp:rsid wsp:val=&quot;00835879&quot;/&gt;&lt;wsp:rsid wsp:val=&quot;00835884&quot;/&gt;&lt;wsp:rsid wsp:val=&quot;00835949&quot;/&gt;&lt;wsp:rsid wsp:val=&quot;008359EA&quot;/&gt;&lt;wsp:rsid wsp:val=&quot;00835A3B&quot;/&gt;&lt;wsp:rsid wsp:val=&quot;00835BC1&quot;/&gt;&lt;wsp:rsid wsp:val=&quot;00835E05&quot;/&gt;&lt;wsp:rsid wsp:val=&quot;0083619C&quot;/&gt;&lt;wsp:rsid wsp:val=&quot;008362C5&quot;/&gt;&lt;wsp:rsid wsp:val=&quot;00836491&quot;/&gt;&lt;wsp:rsid wsp:val=&quot;0083655F&quot;/&gt;&lt;wsp:rsid wsp:val=&quot;00836560&quot;/&gt;&lt;wsp:rsid wsp:val=&quot;008369E2&quot;/&gt;&lt;wsp:rsid wsp:val=&quot;00836A64&quot;/&gt;&lt;wsp:rsid wsp:val=&quot;00836E00&quot;/&gt;&lt;wsp:rsid wsp:val=&quot;00837249&quot;/&gt;&lt;wsp:rsid wsp:val=&quot;00837304&quot;/&gt;&lt;wsp:rsid wsp:val=&quot;008375F0&quot;/&gt;&lt;wsp:rsid wsp:val=&quot;00837742&quot;/&gt;&lt;wsp:rsid wsp:val=&quot;008377CD&quot;/&gt;&lt;wsp:rsid wsp:val=&quot;008379D2&quot;/&gt;&lt;wsp:rsid wsp:val=&quot;008379D8&quot;/&gt;&lt;wsp:rsid wsp:val=&quot;00837B7A&quot;/&gt;&lt;wsp:rsid wsp:val=&quot;00837D1C&quot;/&gt;&lt;wsp:rsid wsp:val=&quot;00837DC7&quot;/&gt;&lt;wsp:rsid wsp:val=&quot;008400FE&quot;/&gt;&lt;wsp:rsid wsp:val=&quot;00840120&quot;/&gt;&lt;wsp:rsid wsp:val=&quot;008402F3&quot;/&gt;&lt;wsp:rsid wsp:val=&quot;00840720&quot;/&gt;&lt;wsp:rsid wsp:val=&quot;00840766&quot;/&gt;&lt;wsp:rsid wsp:val=&quot;00840BD8&quot;/&gt;&lt;wsp:rsid wsp:val=&quot;00840BED&quot;/&gt;&lt;wsp:rsid wsp:val=&quot;00840F0F&quot;/&gt;&lt;wsp:rsid wsp:val=&quot;00840F70&quot;/&gt;&lt;wsp:rsid wsp:val=&quot;00841230&quot;/&gt;&lt;wsp:rsid wsp:val=&quot;00841617&quot;/&gt;&lt;wsp:rsid wsp:val=&quot;00841711&quot;/&gt;&lt;wsp:rsid wsp:val=&quot;00841913&quot;/&gt;&lt;wsp:rsid wsp:val=&quot;00841A3B&quot;/&gt;&lt;wsp:rsid wsp:val=&quot;00841B75&quot;/&gt;&lt;wsp:rsid wsp:val=&quot;00841DD5&quot;/&gt;&lt;wsp:rsid wsp:val=&quot;00841F0F&quot;/&gt;&lt;wsp:rsid wsp:val=&quot;00841FCA&quot;/&gt;&lt;wsp:rsid wsp:val=&quot;008421C7&quot;/&gt;&lt;wsp:rsid wsp:val=&quot;008423A8&quot;/&gt;&lt;wsp:rsid wsp:val=&quot;0084241C&quot;/&gt;&lt;wsp:rsid wsp:val=&quot;0084242D&quot;/&gt;&lt;wsp:rsid wsp:val=&quot;008427B3&quot;/&gt;&lt;wsp:rsid wsp:val=&quot;00842D80&quot;/&gt;&lt;wsp:rsid wsp:val=&quot;00843043&quot;/&gt;&lt;wsp:rsid wsp:val=&quot;00843A37&quot;/&gt;&lt;wsp:rsid wsp:val=&quot;00843C51&quot;/&gt;&lt;wsp:rsid wsp:val=&quot;00843D80&quot;/&gt;&lt;wsp:rsid wsp:val=&quot;00843D94&quot;/&gt;&lt;wsp:rsid wsp:val=&quot;0084420B&quot;/&gt;&lt;wsp:rsid wsp:val=&quot;00844293&quot;/&gt;&lt;wsp:rsid wsp:val=&quot;00844456&quot;/&gt;&lt;wsp:rsid wsp:val=&quot;008447F1&quot;/&gt;&lt;wsp:rsid wsp:val=&quot;008448F6&quot;/&gt;&lt;wsp:rsid wsp:val=&quot;00844A59&quot;/&gt;&lt;wsp:rsid wsp:val=&quot;00844E0D&quot;/&gt;&lt;wsp:rsid wsp:val=&quot;008450D3&quot;/&gt;&lt;wsp:rsid wsp:val=&quot;00845552&quot;/&gt;&lt;wsp:rsid wsp:val=&quot;008457FD&quot;/&gt;&lt;wsp:rsid wsp:val=&quot;00845B47&quot;/&gt;&lt;wsp:rsid wsp:val=&quot;00845BFB&quot;/&gt;&lt;wsp:rsid wsp:val=&quot;00845D29&quot;/&gt;&lt;wsp:rsid wsp:val=&quot;0084612F&quot;/&gt;&lt;wsp:rsid wsp:val=&quot;008461FF&quot;/&gt;&lt;wsp:rsid wsp:val=&quot;00846460&quot;/&gt;&lt;wsp:rsid wsp:val=&quot;0084649F&quot;/&gt;&lt;wsp:rsid wsp:val=&quot;0084695B&quot;/&gt;&lt;wsp:rsid wsp:val=&quot;008470C1&quot;/&gt;&lt;wsp:rsid wsp:val=&quot;00847272&quot;/&gt;&lt;wsp:rsid wsp:val=&quot;00847324&quot;/&gt;&lt;wsp:rsid wsp:val=&quot;0084748D&quot;/&gt;&lt;wsp:rsid wsp:val=&quot;0084788E&quot;/&gt;&lt;wsp:rsid wsp:val=&quot;00847B47&quot;/&gt;&lt;wsp:rsid wsp:val=&quot;00847BD9&quot;/&gt;&lt;wsp:rsid wsp:val=&quot;00847CCE&quot;/&gt;&lt;wsp:rsid wsp:val=&quot;00847E1D&quot;/&gt;&lt;wsp:rsid wsp:val=&quot;00847EB7&quot;/&gt;&lt;wsp:rsid wsp:val=&quot;00847EF9&quot;/&gt;&lt;wsp:rsid wsp:val=&quot;008503A2&quot;/&gt;&lt;wsp:rsid wsp:val=&quot;00850E54&quot;/&gt;&lt;wsp:rsid wsp:val=&quot;008512AF&quot;/&gt;&lt;wsp:rsid wsp:val=&quot;00851587&quot;/&gt;&lt;wsp:rsid wsp:val=&quot;0085191D&quot;/&gt;&lt;wsp:rsid wsp:val=&quot;0085197D&quot;/&gt;&lt;wsp:rsid wsp:val=&quot;00851B2D&quot;/&gt;&lt;wsp:rsid wsp:val=&quot;00851CCF&quot;/&gt;&lt;wsp:rsid wsp:val=&quot;00851D0C&quot;/&gt;&lt;wsp:rsid wsp:val=&quot;0085222E&quot;/&gt;&lt;wsp:rsid wsp:val=&quot;00852444&quot;/&gt;&lt;wsp:rsid wsp:val=&quot;008527A7&quot;/&gt;&lt;wsp:rsid wsp:val=&quot;00852981&quot;/&gt;&lt;wsp:rsid wsp:val=&quot;00852A50&quot;/&gt;&lt;wsp:rsid wsp:val=&quot;00852AEE&quot;/&gt;&lt;wsp:rsid wsp:val=&quot;00852CCA&quot;/&gt;&lt;wsp:rsid wsp:val=&quot;00853369&quot;/&gt;&lt;wsp:rsid wsp:val=&quot;008534DC&quot;/&gt;&lt;wsp:rsid wsp:val=&quot;00853741&quot;/&gt;&lt;wsp:rsid wsp:val=&quot;00853C2A&quot;/&gt;&lt;wsp:rsid wsp:val=&quot;00853E04&quot;/&gt;&lt;wsp:rsid wsp:val=&quot;00854086&quot;/&gt;&lt;wsp:rsid wsp:val=&quot;0085421F&quot;/&gt;&lt;wsp:rsid wsp:val=&quot;008545E8&quot;/&gt;&lt;wsp:rsid wsp:val=&quot;0085478E&quot;/&gt;&lt;wsp:rsid wsp:val=&quot;00854C73&quot;/&gt;&lt;wsp:rsid wsp:val=&quot;00854D2B&quot;/&gt;&lt;wsp:rsid wsp:val=&quot;008550E2&quot;/&gt;&lt;wsp:rsid wsp:val=&quot;0085526C&quot;/&gt;&lt;wsp:rsid wsp:val=&quot;00855477&quot;/&gt;&lt;wsp:rsid wsp:val=&quot;00855872&quot;/&gt;&lt;wsp:rsid wsp:val=&quot;0085591C&quot;/&gt;&lt;wsp:rsid wsp:val=&quot;008559EF&quot;/&gt;&lt;wsp:rsid wsp:val=&quot;00855CFB&quot;/&gt;&lt;wsp:rsid wsp:val=&quot;00855F93&quot;/&gt;&lt;wsp:rsid wsp:val=&quot;0085616D&quot;/&gt;&lt;wsp:rsid wsp:val=&quot;008561D9&quot;/&gt;&lt;wsp:rsid wsp:val=&quot;0085642B&quot;/&gt;&lt;wsp:rsid wsp:val=&quot;00856CAB&quot;/&gt;&lt;wsp:rsid wsp:val=&quot;00856EC4&quot;/&gt;&lt;wsp:rsid wsp:val=&quot;00857004&quot;/&gt;&lt;wsp:rsid wsp:val=&quot;00857028&quot;/&gt;&lt;wsp:rsid wsp:val=&quot;00857038&quot;/&gt;&lt;wsp:rsid wsp:val=&quot;008570A9&quot;/&gt;&lt;wsp:rsid wsp:val=&quot;008570AA&quot;/&gt;&lt;wsp:rsid wsp:val=&quot;008571C0&quot;/&gt;&lt;wsp:rsid wsp:val=&quot;008576F0&quot;/&gt;&lt;wsp:rsid wsp:val=&quot;00857E98&quot;/&gt;&lt;wsp:rsid wsp:val=&quot;00857F24&quot;/&gt;&lt;wsp:rsid wsp:val=&quot;008600A3&quot;/&gt;&lt;wsp:rsid wsp:val=&quot;008602CF&quot;/&gt;&lt;wsp:rsid wsp:val=&quot;0086092B&quot;/&gt;&lt;wsp:rsid wsp:val=&quot;00860B70&quot;/&gt;&lt;wsp:rsid wsp:val=&quot;00860E6F&quot;/&gt;&lt;wsp:rsid wsp:val=&quot;00860F63&quot;/&gt;&lt;wsp:rsid wsp:val=&quot;00860FC5&quot;/&gt;&lt;wsp:rsid wsp:val=&quot;00860FD9&quot;/&gt;&lt;wsp:rsid wsp:val=&quot;00861058&quot;/&gt;&lt;wsp:rsid wsp:val=&quot;00861060&quot;/&gt;&lt;wsp:rsid wsp:val=&quot;00861062&quot;/&gt;&lt;wsp:rsid wsp:val=&quot;008610CD&quot;/&gt;&lt;wsp:rsid wsp:val=&quot;008611D0&quot;/&gt;&lt;wsp:rsid wsp:val=&quot;0086145B&quot;/&gt;&lt;wsp:rsid wsp:val=&quot;00861C56&quot;/&gt;&lt;wsp:rsid wsp:val=&quot;00861F8A&quot;/&gt;&lt;wsp:rsid wsp:val=&quot;00862080&quot;/&gt;&lt;wsp:rsid wsp:val=&quot;00862441&quot;/&gt;&lt;wsp:rsid wsp:val=&quot;00862ADE&quot;/&gt;&lt;wsp:rsid wsp:val=&quot;00862B37&quot;/&gt;&lt;wsp:rsid wsp:val=&quot;00862F07&quot;/&gt;&lt;wsp:rsid wsp:val=&quot;00862FC3&quot;/&gt;&lt;wsp:rsid wsp:val=&quot;008635D6&quot;/&gt;&lt;wsp:rsid wsp:val=&quot;00863A6A&quot;/&gt;&lt;wsp:rsid wsp:val=&quot;00863C48&quot;/&gt;&lt;wsp:rsid wsp:val=&quot;008640E6&quot;/&gt;&lt;wsp:rsid wsp:val=&quot;00864223&quot;/&gt;&lt;wsp:rsid wsp:val=&quot;0086423E&quot;/&gt;&lt;wsp:rsid wsp:val=&quot;008644D2&quot;/&gt;&lt;wsp:rsid wsp:val=&quot;0086472E&quot;/&gt;&lt;wsp:rsid wsp:val=&quot;0086477A&quot;/&gt;&lt;wsp:rsid wsp:val=&quot;008648E2&quot;/&gt;&lt;wsp:rsid wsp:val=&quot;00864F2F&quot;/&gt;&lt;wsp:rsid wsp:val=&quot;00865195&quot;/&gt;&lt;wsp:rsid wsp:val=&quot;0086539F&quot;/&gt;&lt;wsp:rsid wsp:val=&quot;00865402&quot;/&gt;&lt;wsp:rsid wsp:val=&quot;008655DC&quot;/&gt;&lt;wsp:rsid wsp:val=&quot;008656B8&quot;/&gt;&lt;wsp:rsid wsp:val=&quot;00865CE8&quot;/&gt;&lt;wsp:rsid wsp:val=&quot;00865F05&quot;/&gt;&lt;wsp:rsid wsp:val=&quot;00865FDB&quot;/&gt;&lt;wsp:rsid wsp:val=&quot;00865FFA&quot;/&gt;&lt;wsp:rsid wsp:val=&quot;008664B8&quot;/&gt;&lt;wsp:rsid wsp:val=&quot;008664D0&quot;/&gt;&lt;wsp:rsid wsp:val=&quot;008666F0&quot;/&gt;&lt;wsp:rsid wsp:val=&quot;008669E1&quot;/&gt;&lt;wsp:rsid wsp:val=&quot;00866D00&quot;/&gt;&lt;wsp:rsid wsp:val=&quot;00867265&quot;/&gt;&lt;wsp:rsid wsp:val=&quot;008673A8&quot;/&gt;&lt;wsp:rsid wsp:val=&quot;00867772&quot;/&gt;&lt;wsp:rsid wsp:val=&quot;00867837&quot;/&gt;&lt;wsp:rsid wsp:val=&quot;008679AF&quot;/&gt;&lt;wsp:rsid wsp:val=&quot;00867B6F&quot;/&gt;&lt;wsp:rsid wsp:val=&quot;00867B77&quot;/&gt;&lt;wsp:rsid wsp:val=&quot;00870231&quot;/&gt;&lt;wsp:rsid wsp:val=&quot;0087054E&quot;/&gt;&lt;wsp:rsid wsp:val=&quot;008706AC&quot;/&gt;&lt;wsp:rsid wsp:val=&quot;00870789&quot;/&gt;&lt;wsp:rsid wsp:val=&quot;008707B5&quot;/&gt;&lt;wsp:rsid wsp:val=&quot;00870965&quot;/&gt;&lt;wsp:rsid wsp:val=&quot;008709AB&quot;/&gt;&lt;wsp:rsid wsp:val=&quot;008710CF&quot;/&gt;&lt;wsp:rsid wsp:val=&quot;00871138&quot;/&gt;&lt;wsp:rsid wsp:val=&quot;008712C5&quot;/&gt;&lt;wsp:rsid wsp:val=&quot;00871876&quot;/&gt;&lt;wsp:rsid wsp:val=&quot;00871D55&quot;/&gt;&lt;wsp:rsid wsp:val=&quot;00871D5F&quot;/&gt;&lt;wsp:rsid wsp:val=&quot;00871DDD&quot;/&gt;&lt;wsp:rsid wsp:val=&quot;00871DF1&quot;/&gt;&lt;wsp:rsid wsp:val=&quot;00871E27&quot;/&gt;&lt;wsp:rsid wsp:val=&quot;00872057&quot;/&gt;&lt;wsp:rsid wsp:val=&quot;00872517&quot;/&gt;&lt;wsp:rsid wsp:val=&quot;00872688&quot;/&gt;&lt;wsp:rsid wsp:val=&quot;008726FD&quot;/&gt;&lt;wsp:rsid wsp:val=&quot;00872834&quot;/&gt;&lt;wsp:rsid wsp:val=&quot;00872835&quot;/&gt;&lt;wsp:rsid wsp:val=&quot;00872C74&quot;/&gt;&lt;wsp:rsid wsp:val=&quot;00872CEB&quot;/&gt;&lt;wsp:rsid wsp:val=&quot;00873138&quot;/&gt;&lt;wsp:rsid wsp:val=&quot;00873534&quot;/&gt;&lt;wsp:rsid wsp:val=&quot;008736BC&quot;/&gt;&lt;wsp:rsid wsp:val=&quot;008738A2&quot;/&gt;&lt;wsp:rsid wsp:val=&quot;00873EE2&quot;/&gt;&lt;wsp:rsid wsp:val=&quot;00873EF0&quot;/&gt;&lt;wsp:rsid wsp:val=&quot;00873F5E&quot;/&gt;&lt;wsp:rsid wsp:val=&quot;00873F99&quot;/&gt;&lt;wsp:rsid wsp:val=&quot;00873FF3&quot;/&gt;&lt;wsp:rsid wsp:val=&quot;0087406B&quot;/&gt;&lt;wsp:rsid wsp:val=&quot;00874726&quot;/&gt;&lt;wsp:rsid wsp:val=&quot;008748E3&quot;/&gt;&lt;wsp:rsid wsp:val=&quot;00874A51&quot;/&gt;&lt;wsp:rsid wsp:val=&quot;00874E3A&quot;/&gt;&lt;wsp:rsid wsp:val=&quot;00874FC4&quot;/&gt;&lt;wsp:rsid wsp:val=&quot;00875151&quot;/&gt;&lt;wsp:rsid wsp:val=&quot;0087532F&quot;/&gt;&lt;wsp:rsid wsp:val=&quot;00875386&quot;/&gt;&lt;wsp:rsid wsp:val=&quot;0087554E&quot;/&gt;&lt;wsp:rsid wsp:val=&quot;0087561F&quot;/&gt;&lt;wsp:rsid wsp:val=&quot;00875B25&quot;/&gt;&lt;wsp:rsid wsp:val=&quot;00875B83&quot;/&gt;&lt;wsp:rsid wsp:val=&quot;00875DE0&quot;/&gt;&lt;wsp:rsid wsp:val=&quot;00876313&quot;/&gt;&lt;wsp:rsid wsp:val=&quot;00876AD7&quot;/&gt;&lt;wsp:rsid wsp:val=&quot;00876CFF&quot;/&gt;&lt;wsp:rsid wsp:val=&quot;00876D6E&quot;/&gt;&lt;wsp:rsid wsp:val=&quot;00876FDC&quot;/&gt;&lt;wsp:rsid wsp:val=&quot;008770BF&quot;/&gt;&lt;wsp:rsid wsp:val=&quot;008772D1&quot;/&gt;&lt;wsp:rsid wsp:val=&quot;00877304&quot;/&gt;&lt;wsp:rsid wsp:val=&quot;00877A30&quot;/&gt;&lt;wsp:rsid wsp:val=&quot;00877DBE&quot;/&gt;&lt;wsp:rsid wsp:val=&quot;00880058&quot;/&gt;&lt;wsp:rsid wsp:val=&quot;00880343&quot;/&gt;&lt;wsp:rsid wsp:val=&quot;008806A6&quot;/&gt;&lt;wsp:rsid wsp:val=&quot;00881101&quot;/&gt;&lt;wsp:rsid wsp:val=&quot;0088121C&quot;/&gt;&lt;wsp:rsid wsp:val=&quot;00881245&quot;/&gt;&lt;wsp:rsid wsp:val=&quot;0088145C&quot;/&gt;&lt;wsp:rsid wsp:val=&quot;00881644&quot;/&gt;&lt;wsp:rsid wsp:val=&quot;008816F7&quot;/&gt;&lt;wsp:rsid wsp:val=&quot;00881D85&quot;/&gt;&lt;wsp:rsid wsp:val=&quot;0088229F&quot;/&gt;&lt;wsp:rsid wsp:val=&quot;008822A1&quot;/&gt;&lt;wsp:rsid wsp:val=&quot;0088242F&quot;/&gt;&lt;wsp:rsid wsp:val=&quot;0088263B&quot;/&gt;&lt;wsp:rsid wsp:val=&quot;008826E2&quot;/&gt;&lt;wsp:rsid wsp:val=&quot;00882762&quot;/&gt;&lt;wsp:rsid wsp:val=&quot;008828ED&quot;/&gt;&lt;wsp:rsid wsp:val=&quot;00882D98&quot;/&gt;&lt;wsp:rsid wsp:val=&quot;00882DAC&quot;/&gt;&lt;wsp:rsid wsp:val=&quot;00882E03&quot;/&gt;&lt;wsp:rsid wsp:val=&quot;0088338D&quot;/&gt;&lt;wsp:rsid wsp:val=&quot;00883614&quot;/&gt;&lt;wsp:rsid wsp:val=&quot;00883740&quot;/&gt;&lt;wsp:rsid wsp:val=&quot;008837E0&quot;/&gt;&lt;wsp:rsid wsp:val=&quot;0088384E&quot;/&gt;&lt;wsp:rsid wsp:val=&quot;00883938&quot;/&gt;&lt;wsp:rsid wsp:val=&quot;00883C43&quot;/&gt;&lt;wsp:rsid wsp:val=&quot;00884095&quot;/&gt;&lt;wsp:rsid wsp:val=&quot;0088426B&quot;/&gt;&lt;wsp:rsid wsp:val=&quot;00884499&quot;/&gt;&lt;wsp:rsid wsp:val=&quot;00884534&quot;/&gt;&lt;wsp:rsid wsp:val=&quot;0088474B&quot;/&gt;&lt;wsp:rsid wsp:val=&quot;00884840&quot;/&gt;&lt;wsp:rsid wsp:val=&quot;00884D0D&quot;/&gt;&lt;wsp:rsid wsp:val=&quot;00884FF4&quot;/&gt;&lt;wsp:rsid wsp:val=&quot;008851E9&quot;/&gt;&lt;wsp:rsid wsp:val=&quot;00885A5A&quot;/&gt;&lt;wsp:rsid wsp:val=&quot;00885EFD&quot;/&gt;&lt;wsp:rsid wsp:val=&quot;00886125&quot;/&gt;&lt;wsp:rsid wsp:val=&quot;00886691&quot;/&gt;&lt;wsp:rsid wsp:val=&quot;008867AB&quot;/&gt;&lt;wsp:rsid wsp:val=&quot;008869A6&quot;/&gt;&lt;wsp:rsid wsp:val=&quot;008870DF&quot;/&gt;&lt;wsp:rsid wsp:val=&quot;008871AF&quot;/&gt;&lt;wsp:rsid wsp:val=&quot;008871B8&quot;/&gt;&lt;wsp:rsid wsp:val=&quot;0088749D&quot;/&gt;&lt;wsp:rsid wsp:val=&quot;00887537&quot;/&gt;&lt;wsp:rsid wsp:val=&quot;008877AB&quot;/&gt;&lt;wsp:rsid wsp:val=&quot;0088795E&quot;/&gt;&lt;wsp:rsid wsp:val=&quot;00887AC8&quot;/&gt;&lt;wsp:rsid wsp:val=&quot;00887B6A&quot;/&gt;&lt;wsp:rsid wsp:val=&quot;008902B2&quot;/&gt;&lt;wsp:rsid wsp:val=&quot;00890331&quot;/&gt;&lt;wsp:rsid wsp:val=&quot;0089049D&quot;/&gt;&lt;wsp:rsid wsp:val=&quot;008907B5&quot;/&gt;&lt;wsp:rsid wsp:val=&quot;0089126C&quot;/&gt;&lt;wsp:rsid wsp:val=&quot;00891318&quot;/&gt;&lt;wsp:rsid wsp:val=&quot;00891329&quot;/&gt;&lt;wsp:rsid wsp:val=&quot;008915CD&quot;/&gt;&lt;wsp:rsid wsp:val=&quot;008916FD&quot;/&gt;&lt;wsp:rsid wsp:val=&quot;00891DAD&quot;/&gt;&lt;wsp:rsid wsp:val=&quot;008922EF&quot;/&gt;&lt;wsp:rsid wsp:val=&quot;0089232A&quot;/&gt;&lt;wsp:rsid wsp:val=&quot;00892569&quot;/&gt;&lt;wsp:rsid wsp:val=&quot;00892864&quot;/&gt;&lt;wsp:rsid wsp:val=&quot;00892D02&quot;/&gt;&lt;wsp:rsid wsp:val=&quot;00892D60&quot;/&gt;&lt;wsp:rsid wsp:val=&quot;008930DE&quot;/&gt;&lt;wsp:rsid wsp:val=&quot;008933C1&quot;/&gt;&lt;wsp:rsid wsp:val=&quot;008939B7&quot;/&gt;&lt;wsp:rsid wsp:val=&quot;00893A27&quot;/&gt;&lt;wsp:rsid wsp:val=&quot;00893B46&quot;/&gt;&lt;wsp:rsid wsp:val=&quot;00893C37&quot;/&gt;&lt;wsp:rsid wsp:val=&quot;00893D53&quot;/&gt;&lt;wsp:rsid wsp:val=&quot;00893D91&quot;/&gt;&lt;wsp:rsid wsp:val=&quot;00893E4D&quot;/&gt;&lt;wsp:rsid wsp:val=&quot;00894178&quot;/&gt;&lt;wsp:rsid wsp:val=&quot;008943A6&quot;/&gt;&lt;wsp:rsid wsp:val=&quot;008945D0&quot;/&gt;&lt;wsp:rsid wsp:val=&quot;008945D9&quot;/&gt;&lt;wsp:rsid wsp:val=&quot;0089504C&quot;/&gt;&lt;wsp:rsid wsp:val=&quot;008950EE&quot;/&gt;&lt;wsp:rsid wsp:val=&quot;0089512A&quot;/&gt;&lt;wsp:rsid wsp:val=&quot;00895421&quot;/&gt;&lt;wsp:rsid wsp:val=&quot;008954BB&quot;/&gt;&lt;wsp:rsid wsp:val=&quot;008958AE&quot;/&gt;&lt;wsp:rsid wsp:val=&quot;00895DDC&quot;/&gt;&lt;wsp:rsid wsp:val=&quot;00895FA0&quot;/&gt;&lt;wsp:rsid wsp:val=&quot;00895FAB&quot;/&gt;&lt;wsp:rsid wsp:val=&quot;008960BB&quot;/&gt;&lt;wsp:rsid wsp:val=&quot;00896592&quot;/&gt;&lt;wsp:rsid wsp:val=&quot;008966DB&quot;/&gt;&lt;wsp:rsid wsp:val=&quot;00896AE9&quot;/&gt;&lt;wsp:rsid wsp:val=&quot;00896B11&quot;/&gt;&lt;wsp:rsid wsp:val=&quot;00896B14&quot;/&gt;&lt;wsp:rsid wsp:val=&quot;00896F94&quot;/&gt;&lt;wsp:rsid wsp:val=&quot;008971EA&quot;/&gt;&lt;wsp:rsid wsp:val=&quot;008972D2&quot;/&gt;&lt;wsp:rsid wsp:val=&quot;00897345&quot;/&gt;&lt;wsp:rsid wsp:val=&quot;008974A0&quot;/&gt;&lt;wsp:rsid wsp:val=&quot;008975B3&quot;/&gt;&lt;wsp:rsid wsp:val=&quot;008979C0&quot;/&gt;&lt;wsp:rsid wsp:val=&quot;00897B20&quot;/&gt;&lt;wsp:rsid wsp:val=&quot;00897B41&quot;/&gt;&lt;wsp:rsid wsp:val=&quot;008A028B&quot;/&gt;&lt;wsp:rsid wsp:val=&quot;008A0296&quot;/&gt;&lt;wsp:rsid wsp:val=&quot;008A02CC&quot;/&gt;&lt;wsp:rsid wsp:val=&quot;008A07D9&quot;/&gt;&lt;wsp:rsid wsp:val=&quot;008A0A36&quot;/&gt;&lt;wsp:rsid wsp:val=&quot;008A14EE&quot;/&gt;&lt;wsp:rsid wsp:val=&quot;008A14FD&quot;/&gt;&lt;wsp:rsid wsp:val=&quot;008A16E0&quot;/&gt;&lt;wsp:rsid wsp:val=&quot;008A1B33&quot;/&gt;&lt;wsp:rsid wsp:val=&quot;008A216C&quot;/&gt;&lt;wsp:rsid wsp:val=&quot;008A21DC&quot;/&gt;&lt;wsp:rsid wsp:val=&quot;008A22E3&quot;/&gt;&lt;wsp:rsid wsp:val=&quot;008A23AD&quot;/&gt;&lt;wsp:rsid wsp:val=&quot;008A269D&quot;/&gt;&lt;wsp:rsid wsp:val=&quot;008A2833&quot;/&gt;&lt;wsp:rsid wsp:val=&quot;008A2AB8&quot;/&gt;&lt;wsp:rsid wsp:val=&quot;008A2B8A&quot;/&gt;&lt;wsp:rsid wsp:val=&quot;008A2C06&quot;/&gt;&lt;wsp:rsid wsp:val=&quot;008A2FFB&quot;/&gt;&lt;wsp:rsid wsp:val=&quot;008A330C&quot;/&gt;&lt;wsp:rsid wsp:val=&quot;008A3466&quot;/&gt;&lt;wsp:rsid wsp:val=&quot;008A3971&quot;/&gt;&lt;wsp:rsid wsp:val=&quot;008A39EA&quot;/&gt;&lt;wsp:rsid wsp:val=&quot;008A3A77&quot;/&gt;&lt;wsp:rsid wsp:val=&quot;008A413F&quot;/&gt;&lt;wsp:rsid wsp:val=&quot;008A42E8&quot;/&gt;&lt;wsp:rsid wsp:val=&quot;008A4328&quot;/&gt;&lt;wsp:rsid wsp:val=&quot;008A4451&quot;/&gt;&lt;wsp:rsid wsp:val=&quot;008A4468&quot;/&gt;&lt;wsp:rsid wsp:val=&quot;008A4500&quot;/&gt;&lt;wsp:rsid wsp:val=&quot;008A48C7&quot;/&gt;&lt;wsp:rsid wsp:val=&quot;008A4C37&quot;/&gt;&lt;wsp:rsid wsp:val=&quot;008A52D5&quot;/&gt;&lt;wsp:rsid wsp:val=&quot;008A5413&quot;/&gt;&lt;wsp:rsid wsp:val=&quot;008A59A7&quot;/&gt;&lt;wsp:rsid wsp:val=&quot;008A5A52&quot;/&gt;&lt;wsp:rsid wsp:val=&quot;008A60CE&quot;/&gt;&lt;wsp:rsid wsp:val=&quot;008A619F&quot;/&gt;&lt;wsp:rsid wsp:val=&quot;008A6434&quot;/&gt;&lt;wsp:rsid wsp:val=&quot;008A6450&quot;/&gt;&lt;wsp:rsid wsp:val=&quot;008A649F&quot;/&gt;&lt;wsp:rsid wsp:val=&quot;008A64B8&quot;/&gt;&lt;wsp:rsid wsp:val=&quot;008A6509&quot;/&gt;&lt;wsp:rsid wsp:val=&quot;008A67DF&quot;/&gt;&lt;wsp:rsid wsp:val=&quot;008A696F&quot;/&gt;&lt;wsp:rsid wsp:val=&quot;008A6BA0&quot;/&gt;&lt;wsp:rsid wsp:val=&quot;008A6BA1&quot;/&gt;&lt;wsp:rsid wsp:val=&quot;008A7060&quot;/&gt;&lt;wsp:rsid wsp:val=&quot;008A7330&quot;/&gt;&lt;wsp:rsid wsp:val=&quot;008A7625&quot;/&gt;&lt;wsp:rsid wsp:val=&quot;008A797F&quot;/&gt;&lt;wsp:rsid wsp:val=&quot;008A79A6&quot;/&gt;&lt;wsp:rsid wsp:val=&quot;008A7B4F&quot;/&gt;&lt;wsp:rsid wsp:val=&quot;008B0075&quot;/&gt;&lt;wsp:rsid wsp:val=&quot;008B01EA&quot;/&gt;&lt;wsp:rsid wsp:val=&quot;008B043F&quot;/&gt;&lt;wsp:rsid wsp:val=&quot;008B0478&quot;/&gt;&lt;wsp:rsid wsp:val=&quot;008B049E&quot;/&gt;&lt;wsp:rsid wsp:val=&quot;008B05CD&quot;/&gt;&lt;wsp:rsid wsp:val=&quot;008B09B4&quot;/&gt;&lt;wsp:rsid wsp:val=&quot;008B0C6A&quot;/&gt;&lt;wsp:rsid wsp:val=&quot;008B0D2A&quot;/&gt;&lt;wsp:rsid wsp:val=&quot;008B0DE3&quot;/&gt;&lt;wsp:rsid wsp:val=&quot;008B0EA7&quot;/&gt;&lt;wsp:rsid wsp:val=&quot;008B0FD2&quot;/&gt;&lt;wsp:rsid wsp:val=&quot;008B1193&quot;/&gt;&lt;wsp:rsid wsp:val=&quot;008B13BF&quot;/&gt;&lt;wsp:rsid wsp:val=&quot;008B155A&quot;/&gt;&lt;wsp:rsid wsp:val=&quot;008B1582&quot;/&gt;&lt;wsp:rsid wsp:val=&quot;008B19E2&quot;/&gt;&lt;wsp:rsid wsp:val=&quot;008B1AF8&quot;/&gt;&lt;wsp:rsid wsp:val=&quot;008B2139&quot;/&gt;&lt;wsp:rsid wsp:val=&quot;008B2197&quot;/&gt;&lt;wsp:rsid wsp:val=&quot;008B23DF&quot;/&gt;&lt;wsp:rsid wsp:val=&quot;008B23F4&quot;/&gt;&lt;wsp:rsid wsp:val=&quot;008B259B&quot;/&gt;&lt;wsp:rsid wsp:val=&quot;008B2635&quot;/&gt;&lt;wsp:rsid wsp:val=&quot;008B280A&quot;/&gt;&lt;wsp:rsid wsp:val=&quot;008B2877&quot;/&gt;&lt;wsp:rsid wsp:val=&quot;008B2911&quot;/&gt;&lt;wsp:rsid wsp:val=&quot;008B2BF1&quot;/&gt;&lt;wsp:rsid wsp:val=&quot;008B2DAB&quot;/&gt;&lt;wsp:rsid wsp:val=&quot;008B3043&quot;/&gt;&lt;wsp:rsid wsp:val=&quot;008B3537&quot;/&gt;&lt;wsp:rsid wsp:val=&quot;008B36C8&quot;/&gt;&lt;wsp:rsid wsp:val=&quot;008B3A05&quot;/&gt;&lt;wsp:rsid wsp:val=&quot;008B3C23&quot;/&gt;&lt;wsp:rsid wsp:val=&quot;008B3C95&quot;/&gt;&lt;wsp:rsid wsp:val=&quot;008B3ED0&quot;/&gt;&lt;wsp:rsid wsp:val=&quot;008B40E7&quot;/&gt;&lt;wsp:rsid wsp:val=&quot;008B416B&quot;/&gt;&lt;wsp:rsid wsp:val=&quot;008B42DB&quot;/&gt;&lt;wsp:rsid wsp:val=&quot;008B4543&quot;/&gt;&lt;wsp:rsid wsp:val=&quot;008B4982&quot;/&gt;&lt;wsp:rsid wsp:val=&quot;008B4A11&quot;/&gt;&lt;wsp:rsid wsp:val=&quot;008B4AA1&quot;/&gt;&lt;wsp:rsid wsp:val=&quot;008B4D24&quot;/&gt;&lt;wsp:rsid wsp:val=&quot;008B4DC9&quot;/&gt;&lt;wsp:rsid wsp:val=&quot;008B4E4A&quot;/&gt;&lt;wsp:rsid wsp:val=&quot;008B4F96&quot;/&gt;&lt;wsp:rsid wsp:val=&quot;008B56F0&quot;/&gt;&lt;wsp:rsid wsp:val=&quot;008B57D5&quot;/&gt;&lt;wsp:rsid wsp:val=&quot;008B5AD0&quot;/&gt;&lt;wsp:rsid wsp:val=&quot;008B5B26&quot;/&gt;&lt;wsp:rsid wsp:val=&quot;008B5D5C&quot;/&gt;&lt;wsp:rsid wsp:val=&quot;008B5E0F&quot;/&gt;&lt;wsp:rsid wsp:val=&quot;008B5E67&quot;/&gt;&lt;wsp:rsid wsp:val=&quot;008B5FC2&quot;/&gt;&lt;wsp:rsid wsp:val=&quot;008B6230&quot;/&gt;&lt;wsp:rsid wsp:val=&quot;008B67B2&quot;/&gt;&lt;wsp:rsid wsp:val=&quot;008B69A8&quot;/&gt;&lt;wsp:rsid wsp:val=&quot;008B6ABA&quot;/&gt;&lt;wsp:rsid wsp:val=&quot;008B6C02&quot;/&gt;&lt;wsp:rsid wsp:val=&quot;008B71BC&quot;/&gt;&lt;wsp:rsid wsp:val=&quot;008B71C9&quot;/&gt;&lt;wsp:rsid wsp:val=&quot;008B71ED&quot;/&gt;&lt;wsp:rsid wsp:val=&quot;008B76E8&quot;/&gt;&lt;wsp:rsid wsp:val=&quot;008B7C3E&quot;/&gt;&lt;wsp:rsid wsp:val=&quot;008B7D24&quot;/&gt;&lt;wsp:rsid wsp:val=&quot;008B7EAB&quot;/&gt;&lt;wsp:rsid wsp:val=&quot;008C005B&quot;/&gt;&lt;wsp:rsid wsp:val=&quot;008C01EB&quot;/&gt;&lt;wsp:rsid wsp:val=&quot;008C037C&quot;/&gt;&lt;wsp:rsid wsp:val=&quot;008C0590&quot;/&gt;&lt;wsp:rsid wsp:val=&quot;008C09A4&quot;/&gt;&lt;wsp:rsid wsp:val=&quot;008C0A1B&quot;/&gt;&lt;wsp:rsid wsp:val=&quot;008C0A49&quot;/&gt;&lt;wsp:rsid wsp:val=&quot;008C0CD9&quot;/&gt;&lt;wsp:rsid wsp:val=&quot;008C0F41&quot;/&gt;&lt;wsp:rsid wsp:val=&quot;008C11FC&quot;/&gt;&lt;wsp:rsid wsp:val=&quot;008C13B5&quot;/&gt;&lt;wsp:rsid wsp:val=&quot;008C1424&quot;/&gt;&lt;wsp:rsid wsp:val=&quot;008C149B&quot;/&gt;&lt;wsp:rsid wsp:val=&quot;008C1979&quot;/&gt;&lt;wsp:rsid wsp:val=&quot;008C1A6D&quot;/&gt;&lt;wsp:rsid wsp:val=&quot;008C1B58&quot;/&gt;&lt;wsp:rsid wsp:val=&quot;008C1C52&quot;/&gt;&lt;wsp:rsid wsp:val=&quot;008C1EE9&quot;/&gt;&lt;wsp:rsid wsp:val=&quot;008C2046&quot;/&gt;&lt;wsp:rsid wsp:val=&quot;008C219C&quot;/&gt;&lt;wsp:rsid wsp:val=&quot;008C21D3&quot;/&gt;&lt;wsp:rsid wsp:val=&quot;008C2300&quot;/&gt;&lt;wsp:rsid wsp:val=&quot;008C26DA&quot;/&gt;&lt;wsp:rsid wsp:val=&quot;008C2B08&quot;/&gt;&lt;wsp:rsid wsp:val=&quot;008C2C41&quot;/&gt;&lt;wsp:rsid wsp:val=&quot;008C31BE&quot;/&gt;&lt;wsp:rsid wsp:val=&quot;008C329F&quot;/&gt;&lt;wsp:rsid wsp:val=&quot;008C3769&quot;/&gt;&lt;wsp:rsid wsp:val=&quot;008C3CEB&quot;/&gt;&lt;wsp:rsid wsp:val=&quot;008C4195&quot;/&gt;&lt;wsp:rsid wsp:val=&quot;008C4657&quot;/&gt;&lt;wsp:rsid wsp:val=&quot;008C4B3B&quot;/&gt;&lt;wsp:rsid wsp:val=&quot;008C4EB4&quot;/&gt;&lt;wsp:rsid wsp:val=&quot;008C4F02&quot;/&gt;&lt;wsp:rsid wsp:val=&quot;008C5171&quot;/&gt;&lt;wsp:rsid wsp:val=&quot;008C51BD&quot;/&gt;&lt;wsp:rsid wsp:val=&quot;008C527E&quot;/&gt;&lt;wsp:rsid wsp:val=&quot;008C5355&quot;/&gt;&lt;wsp:rsid wsp:val=&quot;008C55B0&quot;/&gt;&lt;wsp:rsid wsp:val=&quot;008C55E4&quot;/&gt;&lt;wsp:rsid wsp:val=&quot;008C59CD&quot;/&gt;&lt;wsp:rsid wsp:val=&quot;008C5E71&quot;/&gt;&lt;wsp:rsid wsp:val=&quot;008C5F03&quot;/&gt;&lt;wsp:rsid wsp:val=&quot;008C5F2F&quot;/&gt;&lt;wsp:rsid wsp:val=&quot;008C6235&quot;/&gt;&lt;wsp:rsid wsp:val=&quot;008C62E3&quot;/&gt;&lt;wsp:rsid wsp:val=&quot;008C6542&quot;/&gt;&lt;wsp:rsid wsp:val=&quot;008C65B3&quot;/&gt;&lt;wsp:rsid wsp:val=&quot;008C6A38&quot;/&gt;&lt;wsp:rsid wsp:val=&quot;008C6B51&quot;/&gt;&lt;wsp:rsid wsp:val=&quot;008C6EA5&quot;/&gt;&lt;wsp:rsid wsp:val=&quot;008C7313&quot;/&gt;&lt;wsp:rsid wsp:val=&quot;008C738A&quot;/&gt;&lt;wsp:rsid wsp:val=&quot;008C742C&quot;/&gt;&lt;wsp:rsid wsp:val=&quot;008C751F&quot;/&gt;&lt;wsp:rsid wsp:val=&quot;008C766A&quot;/&gt;&lt;wsp:rsid wsp:val=&quot;008C76D2&quot;/&gt;&lt;wsp:rsid wsp:val=&quot;008C7963&quot;/&gt;&lt;wsp:rsid wsp:val=&quot;008C79BB&quot;/&gt;&lt;wsp:rsid wsp:val=&quot;008C7D30&quot;/&gt;&lt;wsp:rsid wsp:val=&quot;008C7E55&quot;/&gt;&lt;wsp:rsid wsp:val=&quot;008C7EB0&quot;/&gt;&lt;wsp:rsid wsp:val=&quot;008D0030&quot;/&gt;&lt;wsp:rsid wsp:val=&quot;008D03DB&quot;/&gt;&lt;wsp:rsid wsp:val=&quot;008D0587&quot;/&gt;&lt;wsp:rsid wsp:val=&quot;008D0776&quot;/&gt;&lt;wsp:rsid wsp:val=&quot;008D07BF&quot;/&gt;&lt;wsp:rsid wsp:val=&quot;008D08B4&quot;/&gt;&lt;wsp:rsid wsp:val=&quot;008D08F8&quot;/&gt;&lt;wsp:rsid wsp:val=&quot;008D09DA&quot;/&gt;&lt;wsp:rsid wsp:val=&quot;008D0A2E&quot;/&gt;&lt;wsp:rsid wsp:val=&quot;008D0B10&quot;/&gt;&lt;wsp:rsid wsp:val=&quot;008D0C00&quot;/&gt;&lt;wsp:rsid wsp:val=&quot;008D0C79&quot;/&gt;&lt;wsp:rsid wsp:val=&quot;008D0E5B&quot;/&gt;&lt;wsp:rsid wsp:val=&quot;008D104A&quot;/&gt;&lt;wsp:rsid wsp:val=&quot;008D1143&quot;/&gt;&lt;wsp:rsid wsp:val=&quot;008D1220&quot;/&gt;&lt;wsp:rsid wsp:val=&quot;008D1530&quot;/&gt;&lt;wsp:rsid wsp:val=&quot;008D16B1&quot;/&gt;&lt;wsp:rsid wsp:val=&quot;008D1720&quot;/&gt;&lt;wsp:rsid wsp:val=&quot;008D17D0&quot;/&gt;&lt;wsp:rsid wsp:val=&quot;008D182C&quot;/&gt;&lt;wsp:rsid wsp:val=&quot;008D1983&quot;/&gt;&lt;wsp:rsid wsp:val=&quot;008D1BDD&quot;/&gt;&lt;wsp:rsid wsp:val=&quot;008D1C32&quot;/&gt;&lt;wsp:rsid wsp:val=&quot;008D2004&quot;/&gt;&lt;wsp:rsid wsp:val=&quot;008D22EE&quot;/&gt;&lt;wsp:rsid wsp:val=&quot;008D2465&quot;/&gt;&lt;wsp:rsid wsp:val=&quot;008D2CD1&quot;/&gt;&lt;wsp:rsid wsp:val=&quot;008D315D&quot;/&gt;&lt;wsp:rsid wsp:val=&quot;008D321E&quot;/&gt;&lt;wsp:rsid wsp:val=&quot;008D3303&quot;/&gt;&lt;wsp:rsid wsp:val=&quot;008D3351&quot;/&gt;&lt;wsp:rsid wsp:val=&quot;008D3788&quot;/&gt;&lt;wsp:rsid wsp:val=&quot;008D3E99&quot;/&gt;&lt;wsp:rsid wsp:val=&quot;008D414C&quot;/&gt;&lt;wsp:rsid wsp:val=&quot;008D420B&quot;/&gt;&lt;wsp:rsid wsp:val=&quot;008D45B2&quot;/&gt;&lt;wsp:rsid wsp:val=&quot;008D4807&quot;/&gt;&lt;wsp:rsid wsp:val=&quot;008D4880&quot;/&gt;&lt;wsp:rsid wsp:val=&quot;008D492E&quot;/&gt;&lt;wsp:rsid wsp:val=&quot;008D4C1A&quot;/&gt;&lt;wsp:rsid wsp:val=&quot;008D5205&quot;/&gt;&lt;wsp:rsid wsp:val=&quot;008D5404&quot;/&gt;&lt;wsp:rsid wsp:val=&quot;008D56AF&quot;/&gt;&lt;wsp:rsid wsp:val=&quot;008D5AE9&quot;/&gt;&lt;wsp:rsid wsp:val=&quot;008D5BC9&quot;/&gt;&lt;wsp:rsid wsp:val=&quot;008D5F94&quot;/&gt;&lt;wsp:rsid wsp:val=&quot;008D68E5&quot;/&gt;&lt;wsp:rsid wsp:val=&quot;008D6C04&quot;/&gt;&lt;wsp:rsid wsp:val=&quot;008D7158&quot;/&gt;&lt;wsp:rsid wsp:val=&quot;008D7318&quot;/&gt;&lt;wsp:rsid wsp:val=&quot;008D75AE&quot;/&gt;&lt;wsp:rsid wsp:val=&quot;008D79FB&quot;/&gt;&lt;wsp:rsid wsp:val=&quot;008D7BCA&quot;/&gt;&lt;wsp:rsid wsp:val=&quot;008D7C20&quot;/&gt;&lt;wsp:rsid wsp:val=&quot;008E024B&quot;/&gt;&lt;wsp:rsid wsp:val=&quot;008E0312&quot;/&gt;&lt;wsp:rsid wsp:val=&quot;008E0942&quot;/&gt;&lt;wsp:rsid wsp:val=&quot;008E0A82&quot;/&gt;&lt;wsp:rsid wsp:val=&quot;008E0C09&quot;/&gt;&lt;wsp:rsid wsp:val=&quot;008E0C0E&quot;/&gt;&lt;wsp:rsid wsp:val=&quot;008E0E9B&quot;/&gt;&lt;wsp:rsid wsp:val=&quot;008E1588&quot;/&gt;&lt;wsp:rsid wsp:val=&quot;008E171C&quot;/&gt;&lt;wsp:rsid wsp:val=&quot;008E17C5&quot;/&gt;&lt;wsp:rsid wsp:val=&quot;008E1AEA&quot;/&gt;&lt;wsp:rsid wsp:val=&quot;008E2620&quot;/&gt;&lt;wsp:rsid wsp:val=&quot;008E29CE&quot;/&gt;&lt;wsp:rsid wsp:val=&quot;008E2EB3&quot;/&gt;&lt;wsp:rsid wsp:val=&quot;008E3189&quot;/&gt;&lt;wsp:rsid wsp:val=&quot;008E31FB&quot;/&gt;&lt;wsp:rsid wsp:val=&quot;008E32C5&quot;/&gt;&lt;wsp:rsid wsp:val=&quot;008E3B36&quot;/&gt;&lt;wsp:rsid wsp:val=&quot;008E3BFF&quot;/&gt;&lt;wsp:rsid wsp:val=&quot;008E3C06&quot;/&gt;&lt;wsp:rsid wsp:val=&quot;008E3C8B&quot;/&gt;&lt;wsp:rsid wsp:val=&quot;008E3D22&quot;/&gt;&lt;wsp:rsid wsp:val=&quot;008E4036&quot;/&gt;&lt;wsp:rsid wsp:val=&quot;008E4068&quot;/&gt;&lt;wsp:rsid wsp:val=&quot;008E449D&quot;/&gt;&lt;wsp:rsid wsp:val=&quot;008E4711&quot;/&gt;&lt;wsp:rsid wsp:val=&quot;008E4751&quot;/&gt;&lt;wsp:rsid wsp:val=&quot;008E4DEB&quot;/&gt;&lt;wsp:rsid wsp:val=&quot;008E4E45&quot;/&gt;&lt;wsp:rsid wsp:val=&quot;008E4E71&quot;/&gt;&lt;wsp:rsid wsp:val=&quot;008E4F0C&quot;/&gt;&lt;wsp:rsid wsp:val=&quot;008E5374&quot;/&gt;&lt;wsp:rsid wsp:val=&quot;008E5716&quot;/&gt;&lt;wsp:rsid wsp:val=&quot;008E5740&quot;/&gt;&lt;wsp:rsid wsp:val=&quot;008E585B&quot;/&gt;&lt;wsp:rsid wsp:val=&quot;008E5860&quot;/&gt;&lt;wsp:rsid wsp:val=&quot;008E59A4&quot;/&gt;&lt;wsp:rsid wsp:val=&quot;008E5ADD&quot;/&gt;&lt;wsp:rsid wsp:val=&quot;008E5C12&quot;/&gt;&lt;wsp:rsid wsp:val=&quot;008E5F28&quot;/&gt;&lt;wsp:rsid wsp:val=&quot;008E604E&quot;/&gt;&lt;wsp:rsid wsp:val=&quot;008E66C5&quot;/&gt;&lt;wsp:rsid wsp:val=&quot;008E69D1&quot;/&gt;&lt;wsp:rsid wsp:val=&quot;008E6AF6&quot;/&gt;&lt;wsp:rsid wsp:val=&quot;008E6B99&quot;/&gt;&lt;wsp:rsid wsp:val=&quot;008E6C98&quot;/&gt;&lt;wsp:rsid wsp:val=&quot;008E6CA6&quot;/&gt;&lt;wsp:rsid wsp:val=&quot;008E6D45&quot;/&gt;&lt;wsp:rsid wsp:val=&quot;008E7000&quot;/&gt;&lt;wsp:rsid wsp:val=&quot;008E7153&quot;/&gt;&lt;wsp:rsid wsp:val=&quot;008E71A0&quot;/&gt;&lt;wsp:rsid wsp:val=&quot;008E72C5&quot;/&gt;&lt;wsp:rsid wsp:val=&quot;008E74DC&quot;/&gt;&lt;wsp:rsid wsp:val=&quot;008E759C&quot;/&gt;&lt;wsp:rsid wsp:val=&quot;008E76B7&quot;/&gt;&lt;wsp:rsid wsp:val=&quot;008E7787&quot;/&gt;&lt;wsp:rsid wsp:val=&quot;008E78A9&quot;/&gt;&lt;wsp:rsid wsp:val=&quot;008E78D3&quot;/&gt;&lt;wsp:rsid wsp:val=&quot;008E79E0&quot;/&gt;&lt;wsp:rsid wsp:val=&quot;008E7C22&quot;/&gt;&lt;wsp:rsid wsp:val=&quot;008E7E74&quot;/&gt;&lt;wsp:rsid wsp:val=&quot;008F00D3&quot;/&gt;&lt;wsp:rsid wsp:val=&quot;008F016A&quot;/&gt;&lt;wsp:rsid wsp:val=&quot;008F01A1&quot;/&gt;&lt;wsp:rsid wsp:val=&quot;008F0399&quot;/&gt;&lt;wsp:rsid wsp:val=&quot;008F069C&quot;/&gt;&lt;wsp:rsid wsp:val=&quot;008F073A&quot;/&gt;&lt;wsp:rsid wsp:val=&quot;008F0752&quot;/&gt;&lt;wsp:rsid wsp:val=&quot;008F0782&quot;/&gt;&lt;wsp:rsid wsp:val=&quot;008F0CE0&quot;/&gt;&lt;wsp:rsid wsp:val=&quot;008F0D54&quot;/&gt;&lt;wsp:rsid wsp:val=&quot;008F104B&quot;/&gt;&lt;wsp:rsid wsp:val=&quot;008F1335&quot;/&gt;&lt;wsp:rsid wsp:val=&quot;008F135D&quot;/&gt;&lt;wsp:rsid wsp:val=&quot;008F1471&quot;/&gt;&lt;wsp:rsid wsp:val=&quot;008F169C&quot;/&gt;&lt;wsp:rsid wsp:val=&quot;008F1746&quot;/&gt;&lt;wsp:rsid wsp:val=&quot;008F17A2&quot;/&gt;&lt;wsp:rsid wsp:val=&quot;008F17C9&quot;/&gt;&lt;wsp:rsid wsp:val=&quot;008F1920&quot;/&gt;&lt;wsp:rsid wsp:val=&quot;008F1953&quot;/&gt;&lt;wsp:rsid wsp:val=&quot;008F1DF3&quot;/&gt;&lt;wsp:rsid wsp:val=&quot;008F1E99&quot;/&gt;&lt;wsp:rsid wsp:val=&quot;008F205E&quot;/&gt;&lt;wsp:rsid wsp:val=&quot;008F2182&quot;/&gt;&lt;wsp:rsid wsp:val=&quot;008F2610&quot;/&gt;&lt;wsp:rsid wsp:val=&quot;008F2893&quot;/&gt;&lt;wsp:rsid wsp:val=&quot;008F2C7A&quot;/&gt;&lt;wsp:rsid wsp:val=&quot;008F2D37&quot;/&gt;&lt;wsp:rsid wsp:val=&quot;008F2D78&quot;/&gt;&lt;wsp:rsid wsp:val=&quot;008F2DA3&quot;/&gt;&lt;wsp:rsid wsp:val=&quot;008F31CC&quot;/&gt;&lt;wsp:rsid wsp:val=&quot;008F3277&quot;/&gt;&lt;wsp:rsid wsp:val=&quot;008F349A&quot;/&gt;&lt;wsp:rsid wsp:val=&quot;008F359B&quot;/&gt;&lt;wsp:rsid wsp:val=&quot;008F3C18&quot;/&gt;&lt;wsp:rsid wsp:val=&quot;008F3E9E&quot;/&gt;&lt;wsp:rsid wsp:val=&quot;008F402A&quot;/&gt;&lt;wsp:rsid wsp:val=&quot;008F4053&quot;/&gt;&lt;wsp:rsid wsp:val=&quot;008F41C0&quot;/&gt;&lt;wsp:rsid wsp:val=&quot;008F449E&quot;/&gt;&lt;wsp:rsid wsp:val=&quot;008F4671&quot;/&gt;&lt;wsp:rsid wsp:val=&quot;008F4AB5&quot;/&gt;&lt;wsp:rsid wsp:val=&quot;008F4F0C&quot;/&gt;&lt;wsp:rsid wsp:val=&quot;008F55BC&quot;/&gt;&lt;wsp:rsid wsp:val=&quot;008F5816&quot;/&gt;&lt;wsp:rsid wsp:val=&quot;008F59B3&quot;/&gt;&lt;wsp:rsid wsp:val=&quot;008F5CEE&quot;/&gt;&lt;wsp:rsid wsp:val=&quot;008F5DA7&quot;/&gt;&lt;wsp:rsid wsp:val=&quot;008F5E07&quot;/&gt;&lt;wsp:rsid wsp:val=&quot;008F5FB7&quot;/&gt;&lt;wsp:rsid wsp:val=&quot;008F6114&quot;/&gt;&lt;wsp:rsid wsp:val=&quot;008F6256&quot;/&gt;&lt;wsp:rsid wsp:val=&quot;008F6506&quot;/&gt;&lt;wsp:rsid wsp:val=&quot;008F665F&quot;/&gt;&lt;wsp:rsid wsp:val=&quot;008F689F&quot;/&gt;&lt;wsp:rsid wsp:val=&quot;008F6968&quot;/&gt;&lt;wsp:rsid wsp:val=&quot;008F69C5&quot;/&gt;&lt;wsp:rsid wsp:val=&quot;008F6E15&quot;/&gt;&lt;wsp:rsid wsp:val=&quot;008F7025&quot;/&gt;&lt;wsp:rsid wsp:val=&quot;008F733E&quot;/&gt;&lt;wsp:rsid wsp:val=&quot;008F7963&quot;/&gt;&lt;wsp:rsid wsp:val=&quot;008F7CA8&quot;/&gt;&lt;wsp:rsid wsp:val=&quot;008F7F53&quot;/&gt;&lt;wsp:rsid wsp:val=&quot;008F7F82&quot;/&gt;&lt;wsp:rsid wsp:val=&quot;009002BC&quot;/&gt;&lt;wsp:rsid wsp:val=&quot;00900857&quot;/&gt;&lt;wsp:rsid wsp:val=&quot;0090085F&quot;/&gt;&lt;wsp:rsid wsp:val=&quot;009008E0&quot;/&gt;&lt;wsp:rsid wsp:val=&quot;00900B3A&quot;/&gt;&lt;wsp:rsid wsp:val=&quot;00900D5F&quot;/&gt;&lt;wsp:rsid wsp:val=&quot;00900E2D&quot;/&gt;&lt;wsp:rsid wsp:val=&quot;00900E6D&quot;/&gt;&lt;wsp:rsid wsp:val=&quot;00900EED&quot;/&gt;&lt;wsp:rsid wsp:val=&quot;00901207&quot;/&gt;&lt;wsp:rsid wsp:val=&quot;009014E5&quot;/&gt;&lt;wsp:rsid wsp:val=&quot;00901520&quot;/&gt;&lt;wsp:rsid wsp:val=&quot;00901A56&quot;/&gt;&lt;wsp:rsid wsp:val=&quot;00901E85&quot;/&gt;&lt;wsp:rsid wsp:val=&quot;0090218C&quot;/&gt;&lt;wsp:rsid wsp:val=&quot;00902A15&quot;/&gt;&lt;wsp:rsid wsp:val=&quot;00902CE8&quot;/&gt;&lt;wsp:rsid wsp:val=&quot;00902DCF&quot;/&gt;&lt;wsp:rsid wsp:val=&quot;00902FBF&quot;/&gt;&lt;wsp:rsid wsp:val=&quot;00903055&quot;/&gt;&lt;wsp:rsid wsp:val=&quot;0090310B&quot;/&gt;&lt;wsp:rsid wsp:val=&quot;00903353&quot;/&gt;&lt;wsp:rsid wsp:val=&quot;00903CCA&quot;/&gt;&lt;wsp:rsid wsp:val=&quot;00903CD9&quot;/&gt;&lt;wsp:rsid wsp:val=&quot;0090404B&quot;/&gt;&lt;wsp:rsid wsp:val=&quot;00904179&quot;/&gt;&lt;wsp:rsid wsp:val=&quot;00904313&quot;/&gt;&lt;wsp:rsid wsp:val=&quot;009046BD&quot;/&gt;&lt;wsp:rsid wsp:val=&quot;0090480B&quot;/&gt;&lt;wsp:rsid wsp:val=&quot;00904BC4&quot;/&gt;&lt;wsp:rsid wsp:val=&quot;00904DA6&quot;/&gt;&lt;wsp:rsid wsp:val=&quot;00904DF3&quot;/&gt;&lt;wsp:rsid wsp:val=&quot;00904E20&quot;/&gt;&lt;wsp:rsid wsp:val=&quot;00904E52&quot;/&gt;&lt;wsp:rsid wsp:val=&quot;009053B4&quot;/&gt;&lt;wsp:rsid wsp:val=&quot;009053B9&quot;/&gt;&lt;wsp:rsid wsp:val=&quot;009053C9&quot;/&gt;&lt;wsp:rsid wsp:val=&quot;00905642&quot;/&gt;&lt;wsp:rsid wsp:val=&quot;0090587F&quot;/&gt;&lt;wsp:rsid wsp:val=&quot;0090596E&quot;/&gt;&lt;wsp:rsid wsp:val=&quot;009059CE&quot;/&gt;&lt;wsp:rsid wsp:val=&quot;00905A5E&quot;/&gt;&lt;wsp:rsid wsp:val=&quot;00905B3F&quot;/&gt;&lt;wsp:rsid wsp:val=&quot;00905BBB&quot;/&gt;&lt;wsp:rsid wsp:val=&quot;009062AA&quot;/&gt;&lt;wsp:rsid wsp:val=&quot;00906447&quot;/&gt;&lt;wsp:rsid wsp:val=&quot;00906600&quot;/&gt;&lt;wsp:rsid wsp:val=&quot;0090668A&quot;/&gt;&lt;wsp:rsid wsp:val=&quot;009069EC&quot;/&gt;&lt;wsp:rsid wsp:val=&quot;00906A6A&quot;/&gt;&lt;wsp:rsid wsp:val=&quot;00906C80&quot;/&gt;&lt;wsp:rsid wsp:val=&quot;00906D4D&quot;/&gt;&lt;wsp:rsid wsp:val=&quot;009071DB&quot;/&gt;&lt;wsp:rsid wsp:val=&quot;00907289&quot;/&gt;&lt;wsp:rsid wsp:val=&quot;0090755A&quot;/&gt;&lt;wsp:rsid wsp:val=&quot;00907643&quot;/&gt;&lt;wsp:rsid wsp:val=&quot;00907822&quot;/&gt;&lt;wsp:rsid wsp:val=&quot;009079EE&quot;/&gt;&lt;wsp:rsid wsp:val=&quot;00907AE1&quot;/&gt;&lt;wsp:rsid wsp:val=&quot;00907BE6&quot;/&gt;&lt;wsp:rsid wsp:val=&quot;00907C76&quot;/&gt;&lt;wsp:rsid wsp:val=&quot;00907EAA&quot;/&gt;&lt;wsp:rsid wsp:val=&quot;00907F69&quot;/&gt;&lt;wsp:rsid wsp:val=&quot;00910098&quot;/&gt;&lt;wsp:rsid wsp:val=&quot;009100A0&quot;/&gt;&lt;wsp:rsid wsp:val=&quot;00910343&quot;/&gt;&lt;wsp:rsid wsp:val=&quot;0091052B&quot;/&gt;&lt;wsp:rsid wsp:val=&quot;0091072D&quot;/&gt;&lt;wsp:rsid wsp:val=&quot;00910AA0&quot;/&gt;&lt;wsp:rsid wsp:val=&quot;00910C21&quot;/&gt;&lt;wsp:rsid wsp:val=&quot;00910C3A&quot;/&gt;&lt;wsp:rsid wsp:val=&quot;00910D71&quot;/&gt;&lt;wsp:rsid wsp:val=&quot;00910D98&quot;/&gt;&lt;wsp:rsid wsp:val=&quot;009110E4&quot;/&gt;&lt;wsp:rsid wsp:val=&quot;009112FC&quot;/&gt;&lt;wsp:rsid wsp:val=&quot;0091179F&quot;/&gt;&lt;wsp:rsid wsp:val=&quot;009117BB&quot;/&gt;&lt;wsp:rsid wsp:val=&quot;00911DA0&quot;/&gt;&lt;wsp:rsid wsp:val=&quot;00911F88&quot;/&gt;&lt;wsp:rsid wsp:val=&quot;009121AA&quot;/&gt;&lt;wsp:rsid wsp:val=&quot;00912343&quot;/&gt;&lt;wsp:rsid wsp:val=&quot;0091235A&quot;/&gt;&lt;wsp:rsid wsp:val=&quot;0091245E&quot;/&gt;&lt;wsp:rsid wsp:val=&quot;0091254A&quot;/&gt;&lt;wsp:rsid wsp:val=&quot;00912599&quot;/&gt;&lt;wsp:rsid wsp:val=&quot;00912C58&quot;/&gt;&lt;wsp:rsid wsp:val=&quot;00912CE3&quot;/&gt;&lt;wsp:rsid wsp:val=&quot;0091310B&quot;/&gt;&lt;wsp:rsid wsp:val=&quot;0091359A&quot;/&gt;&lt;wsp:rsid wsp:val=&quot;00913600&quot;/&gt;&lt;wsp:rsid wsp:val=&quot;00913799&quot;/&gt;&lt;wsp:rsid wsp:val=&quot;00913CAB&quot;/&gt;&lt;wsp:rsid wsp:val=&quot;00913EBE&quot;/&gt;&lt;wsp:rsid wsp:val=&quot;0091403B&quot;/&gt;&lt;wsp:rsid wsp:val=&quot;00914116&quot;/&gt;&lt;wsp:rsid wsp:val=&quot;0091443C&quot;/&gt;&lt;wsp:rsid wsp:val=&quot;009144D3&quot;/&gt;&lt;wsp:rsid wsp:val=&quot;0091458B&quot;/&gt;&lt;wsp:rsid wsp:val=&quot;00914A1C&quot;/&gt;&lt;wsp:rsid wsp:val=&quot;00914B47&quot;/&gt;&lt;wsp:rsid wsp:val=&quot;00914C54&quot;/&gt;&lt;wsp:rsid wsp:val=&quot;00914D87&quot;/&gt;&lt;wsp:rsid wsp:val=&quot;00914F3B&quot;/&gt;&lt;wsp:rsid wsp:val=&quot;00914FC8&quot;/&gt;&lt;wsp:rsid wsp:val=&quot;0091510F&quot;/&gt;&lt;wsp:rsid wsp:val=&quot;009152CF&quot;/&gt;&lt;wsp:rsid wsp:val=&quot;0091579C&quot;/&gt;&lt;wsp:rsid wsp:val=&quot;00915A66&quot;/&gt;&lt;wsp:rsid wsp:val=&quot;00915F96&quot;/&gt;&lt;wsp:rsid wsp:val=&quot;00916418&quot;/&gt;&lt;wsp:rsid wsp:val=&quot;0091669E&quot;/&gt;&lt;wsp:rsid wsp:val=&quot;009166F9&quot;/&gt;&lt;wsp:rsid wsp:val=&quot;00916724&quot;/&gt;&lt;wsp:rsid wsp:val=&quot;009169B6&quot;/&gt;&lt;wsp:rsid wsp:val=&quot;00916C6F&quot;/&gt;&lt;wsp:rsid wsp:val=&quot;00916EA6&quot;/&gt;&lt;wsp:rsid wsp:val=&quot;009170BA&quot;/&gt;&lt;wsp:rsid wsp:val=&quot;00917378&quot;/&gt;&lt;wsp:rsid wsp:val=&quot;00917992&quot;/&gt;&lt;wsp:rsid wsp:val=&quot;00917BE0&quot;/&gt;&lt;wsp:rsid wsp:val=&quot;00917C62&quot;/&gt;&lt;wsp:rsid wsp:val=&quot;00917C69&quot;/&gt;&lt;wsp:rsid wsp:val=&quot;009203BC&quot;/&gt;&lt;wsp:rsid wsp:val=&quot;00920799&quot;/&gt;&lt;wsp:rsid wsp:val=&quot;00920916&quot;/&gt;&lt;wsp:rsid wsp:val=&quot;00920B34&quot;/&gt;&lt;wsp:rsid wsp:val=&quot;00920B70&quot;/&gt;&lt;wsp:rsid wsp:val=&quot;00920C7C&quot;/&gt;&lt;wsp:rsid wsp:val=&quot;00920E98&quot;/&gt;&lt;wsp:rsid wsp:val=&quot;00920F8A&quot;/&gt;&lt;wsp:rsid wsp:val=&quot;00920FF7&quot;/&gt;&lt;wsp:rsid wsp:val=&quot;009214F7&quot;/&gt;&lt;wsp:rsid wsp:val=&quot;0092170F&quot;/&gt;&lt;wsp:rsid wsp:val=&quot;00921733&quot;/&gt;&lt;wsp:rsid wsp:val=&quot;00921763&quot;/&gt;&lt;wsp:rsid wsp:val=&quot;00921794&quot;/&gt;&lt;wsp:rsid wsp:val=&quot;009217FA&quot;/&gt;&lt;wsp:rsid wsp:val=&quot;009217FD&quot;/&gt;&lt;wsp:rsid wsp:val=&quot;0092182A&quot;/&gt;&lt;wsp:rsid wsp:val=&quot;00921C29&quot;/&gt;&lt;wsp:rsid wsp:val=&quot;0092214F&quot;/&gt;&lt;wsp:rsid wsp:val=&quot;00922538&quot;/&gt;&lt;wsp:rsid wsp:val=&quot;00922765&quot;/&gt;&lt;wsp:rsid wsp:val=&quot;00922905&quot;/&gt;&lt;wsp:rsid wsp:val=&quot;009229B0&quot;/&gt;&lt;wsp:rsid wsp:val=&quot;00922C90&quot;/&gt;&lt;wsp:rsid wsp:val=&quot;00922D30&quot;/&gt;&lt;wsp:rsid wsp:val=&quot;00922FE7&quot;/&gt;&lt;wsp:rsid wsp:val=&quot;0092300D&quot;/&gt;&lt;wsp:rsid wsp:val=&quot;009230D8&quot;/&gt;&lt;wsp:rsid wsp:val=&quot;009232BB&quot;/&gt;&lt;wsp:rsid wsp:val=&quot;00923778&quot;/&gt;&lt;wsp:rsid wsp:val=&quot;00923808&quot;/&gt;&lt;wsp:rsid wsp:val=&quot;009239DF&quot;/&gt;&lt;wsp:rsid wsp:val=&quot;00923A14&quot;/&gt;&lt;wsp:rsid wsp:val=&quot;009240AD&quot;/&gt;&lt;wsp:rsid wsp:val=&quot;009242B1&quot;/&gt;&lt;wsp:rsid wsp:val=&quot;00924616&quot;/&gt;&lt;wsp:rsid wsp:val=&quot;0092465E&quot;/&gt;&lt;wsp:rsid wsp:val=&quot;00924859&quot;/&gt;&lt;wsp:rsid wsp:val=&quot;00924868&quot;/&gt;&lt;wsp:rsid wsp:val=&quot;00924938&quot;/&gt;&lt;wsp:rsid wsp:val=&quot;00924A78&quot;/&gt;&lt;wsp:rsid wsp:val=&quot;00924B09&quot;/&gt;&lt;wsp:rsid wsp:val=&quot;00924CE4&quot;/&gt;&lt;wsp:rsid wsp:val=&quot;00924E0D&quot;/&gt;&lt;wsp:rsid wsp:val=&quot;00924F0B&quot;/&gt;&lt;wsp:rsid wsp:val=&quot;00924FD2&quot;/&gt;&lt;wsp:rsid wsp:val=&quot;0092518E&quot;/&gt;&lt;wsp:rsid wsp:val=&quot;009254CF&quot;/&gt;&lt;wsp:rsid wsp:val=&quot;009255C1&quot;/&gt;&lt;wsp:rsid wsp:val=&quot;009258E2&quot;/&gt;&lt;wsp:rsid wsp:val=&quot;00925C1D&quot;/&gt;&lt;wsp:rsid wsp:val=&quot;0092600B&quot;/&gt;&lt;wsp:rsid wsp:val=&quot;009262CC&quot;/&gt;&lt;wsp:rsid wsp:val=&quot;00926623&quot;/&gt;&lt;wsp:rsid wsp:val=&quot;009268B9&quot;/&gt;&lt;wsp:rsid wsp:val=&quot;00926A18&quot;/&gt;&lt;wsp:rsid wsp:val=&quot;00927109&quot;/&gt;&lt;wsp:rsid wsp:val=&quot;00927139&quot;/&gt;&lt;wsp:rsid wsp:val=&quot;00927942&quot;/&gt;&lt;wsp:rsid wsp:val=&quot;0092796F&quot;/&gt;&lt;wsp:rsid wsp:val=&quot;00927B2E&quot;/&gt;&lt;wsp:rsid wsp:val=&quot;00927C53&quot;/&gt;&lt;wsp:rsid wsp:val=&quot;00927D26&quot;/&gt;&lt;wsp:rsid wsp:val=&quot;00927FC5&quot;/&gt;&lt;wsp:rsid wsp:val=&quot;009301ED&quot;/&gt;&lt;wsp:rsid wsp:val=&quot;00930205&quot;/&gt;&lt;wsp:rsid wsp:val=&quot;009302BE&quot;/&gt;&lt;wsp:rsid wsp:val=&quot;00930485&quot;/&gt;&lt;wsp:rsid wsp:val=&quot;009304BB&quot;/&gt;&lt;wsp:rsid wsp:val=&quot;00930789&quot;/&gt;&lt;wsp:rsid wsp:val=&quot;00930BF6&quot;/&gt;&lt;wsp:rsid wsp:val=&quot;00930D5C&quot;/&gt;&lt;wsp:rsid wsp:val=&quot;00930DC9&quot;/&gt;&lt;wsp:rsid wsp:val=&quot;00931579&quot;/&gt;&lt;wsp:rsid wsp:val=&quot;00931656&quot;/&gt;&lt;wsp:rsid wsp:val=&quot;00931A13&quot;/&gt;&lt;wsp:rsid wsp:val=&quot;00931EEE&quot;/&gt;&lt;wsp:rsid wsp:val=&quot;009322F2&quot;/&gt;&lt;wsp:rsid wsp:val=&quot;00932678&quot;/&gt;&lt;wsp:rsid wsp:val=&quot;00932DC3&quot;/&gt;&lt;wsp:rsid wsp:val=&quot;00932E0B&quot;/&gt;&lt;wsp:rsid wsp:val=&quot;00932F1B&quot;/&gt;&lt;wsp:rsid wsp:val=&quot;00933087&quot;/&gt;&lt;wsp:rsid wsp:val=&quot;009333C0&quot;/&gt;&lt;wsp:rsid wsp:val=&quot;00933509&quot;/&gt;&lt;wsp:rsid wsp:val=&quot;00933BE2&quot;/&gt;&lt;wsp:rsid wsp:val=&quot;00933ED2&quot;/&gt;&lt;wsp:rsid wsp:val=&quot;009343D3&quot;/&gt;&lt;wsp:rsid wsp:val=&quot;009345EE&quot;/&gt;&lt;wsp:rsid wsp:val=&quot;00934667&quot;/&gt;&lt;wsp:rsid wsp:val=&quot;00934706&quot;/&gt;&lt;wsp:rsid wsp:val=&quot;009347CE&quot;/&gt;&lt;wsp:rsid wsp:val=&quot;009348AE&quot;/&gt;&lt;wsp:rsid wsp:val=&quot;00934C76&quot;/&gt;&lt;wsp:rsid wsp:val=&quot;009358ED&quot;/&gt;&lt;wsp:rsid wsp:val=&quot;009359CB&quot;/&gt;&lt;wsp:rsid wsp:val=&quot;00935D27&quot;/&gt;&lt;wsp:rsid wsp:val=&quot;00935D62&quot;/&gt;&lt;wsp:rsid wsp:val=&quot;00935F8F&quot;/&gt;&lt;wsp:rsid wsp:val=&quot;009366A6&quot;/&gt;&lt;wsp:rsid wsp:val=&quot;009366C2&quot;/&gt;&lt;wsp:rsid wsp:val=&quot;009368C6&quot;/&gt;&lt;wsp:rsid wsp:val=&quot;00936993&quot;/&gt;&lt;wsp:rsid wsp:val=&quot;00936C13&quot;/&gt;&lt;wsp:rsid wsp:val=&quot;00936C89&quot;/&gt;&lt;wsp:rsid wsp:val=&quot;00936CB2&quot;/&gt;&lt;wsp:rsid wsp:val=&quot;00936DF5&quot;/&gt;&lt;wsp:rsid wsp:val=&quot;009374D5&quot;/&gt;&lt;wsp:rsid wsp:val=&quot;00937661&quot;/&gt;&lt;wsp:rsid wsp:val=&quot;009376A3&quot;/&gt;&lt;wsp:rsid wsp:val=&quot;00937B12&quot;/&gt;&lt;wsp:rsid wsp:val=&quot;00937B67&quot;/&gt;&lt;wsp:rsid wsp:val=&quot;00937DF4&quot;/&gt;&lt;wsp:rsid wsp:val=&quot;00937E4A&quot;/&gt;&lt;wsp:rsid wsp:val=&quot;00937E4C&quot;/&gt;&lt;wsp:rsid wsp:val=&quot;00940707&quot;/&gt;&lt;wsp:rsid wsp:val=&quot;009409E6&quot;/&gt;&lt;wsp:rsid wsp:val=&quot;00940A15&quot;/&gt;&lt;wsp:rsid wsp:val=&quot;00940BAE&quot;/&gt;&lt;wsp:rsid wsp:val=&quot;00940CBD&quot;/&gt;&lt;wsp:rsid wsp:val=&quot;00940E87&quot;/&gt;&lt;wsp:rsid wsp:val=&quot;0094141D&quot;/&gt;&lt;wsp:rsid wsp:val=&quot;0094164D&quot;/&gt;&lt;wsp:rsid wsp:val=&quot;009417DF&quot;/&gt;&lt;wsp:rsid wsp:val=&quot;00941994&quot;/&gt;&lt;wsp:rsid wsp:val=&quot;00941BC9&quot;/&gt;&lt;wsp:rsid wsp:val=&quot;00941C2F&quot;/&gt;&lt;wsp:rsid wsp:val=&quot;00941CF5&quot;/&gt;&lt;wsp:rsid wsp:val=&quot;00942155&quot;/&gt;&lt;wsp:rsid wsp:val=&quot;00942194&quot;/&gt;&lt;wsp:rsid wsp:val=&quot;00942397&quot;/&gt;&lt;wsp:rsid wsp:val=&quot;0094272A&quot;/&gt;&lt;wsp:rsid wsp:val=&quot;009428C5&quot;/&gt;&lt;wsp:rsid wsp:val=&quot;009428F7&quot;/&gt;&lt;wsp:rsid wsp:val=&quot;00942C18&quot;/&gt;&lt;wsp:rsid wsp:val=&quot;00942CAD&quot;/&gt;&lt;wsp:rsid wsp:val=&quot;0094307A&quot;/&gt;&lt;wsp:rsid wsp:val=&quot;00943084&quot;/&gt;&lt;wsp:rsid wsp:val=&quot;0094313A&quot;/&gt;&lt;wsp:rsid wsp:val=&quot;009433F0&quot;/&gt;&lt;wsp:rsid wsp:val=&quot;009436AC&quot;/&gt;&lt;wsp:rsid wsp:val=&quot;009438A1&quot;/&gt;&lt;wsp:rsid wsp:val=&quot;00943A75&quot;/&gt;&lt;wsp:rsid wsp:val=&quot;00943C19&quot;/&gt;&lt;wsp:rsid wsp:val=&quot;00943D23&quot;/&gt;&lt;wsp:rsid wsp:val=&quot;00943ED0&quot;/&gt;&lt;wsp:rsid wsp:val=&quot;009440EF&quot;/&gt;&lt;wsp:rsid wsp:val=&quot;009442B1&quot;/&gt;&lt;wsp:rsid wsp:val=&quot;009443A7&quot;/&gt;&lt;wsp:rsid wsp:val=&quot;009444EB&quot;/&gt;&lt;wsp:rsid wsp:val=&quot;009448F9&quot;/&gt;&lt;wsp:rsid wsp:val=&quot;00944927&quot;/&gt;&lt;wsp:rsid wsp:val=&quot;00944A3D&quot;/&gt;&lt;wsp:rsid wsp:val=&quot;00944D01&quot;/&gt;&lt;wsp:rsid wsp:val=&quot;00944E12&quot;/&gt;&lt;wsp:rsid wsp:val=&quot;00944E52&quot;/&gt;&lt;wsp:rsid wsp:val=&quot;00944F16&quot;/&gt;&lt;wsp:rsid wsp:val=&quot;00944FB0&quot;/&gt;&lt;wsp:rsid wsp:val=&quot;0094542E&quot;/&gt;&lt;wsp:rsid wsp:val=&quot;0094590E&quot;/&gt;&lt;wsp:rsid wsp:val=&quot;009459BC&quot;/&gt;&lt;wsp:rsid wsp:val=&quot;00946477&quot;/&gt;&lt;wsp:rsid wsp:val=&quot;00946524&quot;/&gt;&lt;wsp:rsid wsp:val=&quot;00946621&quot;/&gt;&lt;wsp:rsid wsp:val=&quot;009466D5&quot;/&gt;&lt;wsp:rsid wsp:val=&quot;0094670B&quot;/&gt;&lt;wsp:rsid wsp:val=&quot;00946CF1&quot;/&gt;&lt;wsp:rsid wsp:val=&quot;00946D62&quot;/&gt;&lt;wsp:rsid wsp:val=&quot;00946F0A&quot;/&gt;&lt;wsp:rsid wsp:val=&quot;0094733E&quot;/&gt;&lt;wsp:rsid wsp:val=&quot;0094739D&quot;/&gt;&lt;wsp:rsid wsp:val=&quot;0094750D&quot;/&gt;&lt;wsp:rsid wsp:val=&quot;00947519&quot;/&gt;&lt;wsp:rsid wsp:val=&quot;009477BA&quot;/&gt;&lt;wsp:rsid wsp:val=&quot;00947A3C&quot;/&gt;&lt;wsp:rsid wsp:val=&quot;00947A86&quot;/&gt;&lt;wsp:rsid wsp:val=&quot;00947C50&quot;/&gt;&lt;wsp:rsid wsp:val=&quot;00947D28&quot;/&gt;&lt;wsp:rsid wsp:val=&quot;00947E9C&quot;/&gt;&lt;wsp:rsid wsp:val=&quot;009500E2&quot;/&gt;&lt;wsp:rsid wsp:val=&quot;009500F1&quot;/&gt;&lt;wsp:rsid wsp:val=&quot;0095013C&quot;/&gt;&lt;wsp:rsid wsp:val=&quot;009505A8&quot;/&gt;&lt;wsp:rsid wsp:val=&quot;00950684&quot;/&gt;&lt;wsp:rsid wsp:val=&quot;00950770&quot;/&gt;&lt;wsp:rsid wsp:val=&quot;0095077F&quot;/&gt;&lt;wsp:rsid wsp:val=&quot;00950E26&quot;/&gt;&lt;wsp:rsid wsp:val=&quot;00950E5D&quot;/&gt;&lt;wsp:rsid wsp:val=&quot;009512EA&quot;/&gt;&lt;wsp:rsid wsp:val=&quot;009515EB&quot;/&gt;&lt;wsp:rsid wsp:val=&quot;00951758&quot;/&gt;&lt;wsp:rsid wsp:val=&quot;0095208A&quot;/&gt;&lt;wsp:rsid wsp:val=&quot;00952216&quot;/&gt;&lt;wsp:rsid wsp:val=&quot;0095242E&quot;/&gt;&lt;wsp:rsid wsp:val=&quot;0095249B&quot;/&gt;&lt;wsp:rsid wsp:val=&quot;0095298C&quot;/&gt;&lt;wsp:rsid wsp:val=&quot;009529F3&quot;/&gt;&lt;wsp:rsid wsp:val=&quot;00952A3B&quot;/&gt;&lt;wsp:rsid wsp:val=&quot;00952B3A&quot;/&gt;&lt;wsp:rsid wsp:val=&quot;00952BFB&quot;/&gt;&lt;wsp:rsid wsp:val=&quot;00952C06&quot;/&gt;&lt;wsp:rsid wsp:val=&quot;00953439&quot;/&gt;&lt;wsp:rsid wsp:val=&quot;00953472&quot;/&gt;&lt;wsp:rsid wsp:val=&quot;009538A1&quot;/&gt;&lt;wsp:rsid wsp:val=&quot;00953B5B&quot;/&gt;&lt;wsp:rsid wsp:val=&quot;00953B83&quot;/&gt;&lt;wsp:rsid wsp:val=&quot;00953E55&quot;/&gt;&lt;wsp:rsid wsp:val=&quot;00953FFC&quot;/&gt;&lt;wsp:rsid wsp:val=&quot;009544F5&quot;/&gt;&lt;wsp:rsid wsp:val=&quot;0095455E&quot;/&gt;&lt;wsp:rsid wsp:val=&quot;00954B9C&quot;/&gt;&lt;wsp:rsid wsp:val=&quot;00955067&quot;/&gt;&lt;wsp:rsid wsp:val=&quot;00955313&quot;/&gt;&lt;wsp:rsid wsp:val=&quot;009554B6&quot;/&gt;&lt;wsp:rsid wsp:val=&quot;009555F7&quot;/&gt;&lt;wsp:rsid wsp:val=&quot;0095569E&quot;/&gt;&lt;wsp:rsid wsp:val=&quot;009556CD&quot;/&gt;&lt;wsp:rsid wsp:val=&quot;00955715&quot;/&gt;&lt;wsp:rsid wsp:val=&quot;00955888&quot;/&gt;&lt;wsp:rsid wsp:val=&quot;00955FC1&quot;/&gt;&lt;wsp:rsid wsp:val=&quot;009560C8&quot;/&gt;&lt;wsp:rsid wsp:val=&quot;009562B3&quot;/&gt;&lt;wsp:rsid wsp:val=&quot;009563A0&quot;/&gt;&lt;wsp:rsid wsp:val=&quot;009565D5&quot;/&gt;&lt;wsp:rsid wsp:val=&quot;00956821&quot;/&gt;&lt;wsp:rsid wsp:val=&quot;00956921&quot;/&gt;&lt;wsp:rsid wsp:val=&quot;00956D99&quot;/&gt;&lt;wsp:rsid wsp:val=&quot;00956E79&quot;/&gt;&lt;wsp:rsid wsp:val=&quot;009577B2&quot;/&gt;&lt;wsp:rsid wsp:val=&quot;00957AA6&quot;/&gt;&lt;wsp:rsid wsp:val=&quot;00957D60&quot;/&gt;&lt;wsp:rsid wsp:val=&quot;00957E9A&quot;/&gt;&lt;wsp:rsid wsp:val=&quot;00957F23&quot;/&gt;&lt;wsp:rsid wsp:val=&quot;0096032E&quot;/&gt;&lt;wsp:rsid wsp:val=&quot;009603F1&quot;/&gt;&lt;wsp:rsid wsp:val=&quot;0096045B&quot;/&gt;&lt;wsp:rsid wsp:val=&quot;009604C2&quot;/&gt;&lt;wsp:rsid wsp:val=&quot;009605B7&quot;/&gt;&lt;wsp:rsid wsp:val=&quot;00960640&quot;/&gt;&lt;wsp:rsid wsp:val=&quot;0096072F&quot;/&gt;&lt;wsp:rsid wsp:val=&quot;00960975&quot;/&gt;&lt;wsp:rsid wsp:val=&quot;00960DA7&quot;/&gt;&lt;wsp:rsid wsp:val=&quot;00960EDE&quot;/&gt;&lt;wsp:rsid wsp:val=&quot;00960FC5&quot;/&gt;&lt;wsp:rsid wsp:val=&quot;009611C8&quot;/&gt;&lt;wsp:rsid wsp:val=&quot;009614FA&quot;/&gt;&lt;wsp:rsid wsp:val=&quot;00961AC1&quot;/&gt;&lt;wsp:rsid wsp:val=&quot;00961CB9&quot;/&gt;&lt;wsp:rsid wsp:val=&quot;00961F3D&quot;/&gt;&lt;wsp:rsid wsp:val=&quot;00961FF6&quot;/&gt;&lt;wsp:rsid wsp:val=&quot;00962264&quot;/&gt;&lt;wsp:rsid wsp:val=&quot;0096232A&quot;/&gt;&lt;wsp:rsid wsp:val=&quot;009624C5&quot;/&gt;&lt;wsp:rsid wsp:val=&quot;0096270E&quot;/&gt;&lt;wsp:rsid wsp:val=&quot;00962E4F&quot;/&gt;&lt;wsp:rsid wsp:val=&quot;00962E67&quot;/&gt;&lt;wsp:rsid wsp:val=&quot;00962F00&quot;/&gt;&lt;wsp:rsid wsp:val=&quot;0096316A&quot;/&gt;&lt;wsp:rsid wsp:val=&quot;009631BC&quot;/&gt;&lt;wsp:rsid wsp:val=&quot;009631CE&quot;/&gt;&lt;wsp:rsid wsp:val=&quot;0096332A&quot;/&gt;&lt;wsp:rsid wsp:val=&quot;00963574&quot;/&gt;&lt;wsp:rsid wsp:val=&quot;0096389F&quot;/&gt;&lt;wsp:rsid wsp:val=&quot;00963A67&quot;/&gt;&lt;wsp:rsid wsp:val=&quot;00963A91&quot;/&gt;&lt;wsp:rsid wsp:val=&quot;00963E2A&quot;/&gt;&lt;wsp:rsid wsp:val=&quot;009641F3&quot;/&gt;&lt;wsp:rsid wsp:val=&quot;0096422A&quot;/&gt;&lt;wsp:rsid wsp:val=&quot;00964334&quot;/&gt;&lt;wsp:rsid wsp:val=&quot;009644DE&quot;/&gt;&lt;wsp:rsid wsp:val=&quot;009645D8&quot;/&gt;&lt;wsp:rsid wsp:val=&quot;0096497D&quot;/&gt;&lt;wsp:rsid wsp:val=&quot;00964D36&quot;/&gt;&lt;wsp:rsid wsp:val=&quot;00964F27&quot;/&gt;&lt;wsp:rsid wsp:val=&quot;00965008&quot;/&gt;&lt;wsp:rsid wsp:val=&quot;00965218&quot;/&gt;&lt;wsp:rsid wsp:val=&quot;00965219&quot;/&gt;&lt;wsp:rsid wsp:val=&quot;00965488&quot;/&gt;&lt;wsp:rsid wsp:val=&quot;00965960&quot;/&gt;&lt;wsp:rsid wsp:val=&quot;00965F03&quot;/&gt;&lt;wsp:rsid wsp:val=&quot;00966416&quot;/&gt;&lt;wsp:rsid wsp:val=&quot;00966578&quot;/&gt;&lt;wsp:rsid wsp:val=&quot;00966F6F&quot;/&gt;&lt;wsp:rsid wsp:val=&quot;00967041&quot;/&gt;&lt;wsp:rsid wsp:val=&quot;009672F1&quot;/&gt;&lt;wsp:rsid wsp:val=&quot;00967311&quot;/&gt;&lt;wsp:rsid wsp:val=&quot;009673D4&quot;/&gt;&lt;wsp:rsid wsp:val=&quot;009673DF&quot;/&gt;&lt;wsp:rsid wsp:val=&quot;00967550&quot;/&gt;&lt;wsp:rsid wsp:val=&quot;0096757F&quot;/&gt;&lt;wsp:rsid wsp:val=&quot;009676CF&quot;/&gt;&lt;wsp:rsid wsp:val=&quot;0096789F&quot;/&gt;&lt;wsp:rsid wsp:val=&quot;009678BD&quot;/&gt;&lt;wsp:rsid wsp:val=&quot;009679BF&quot;/&gt;&lt;wsp:rsid wsp:val=&quot;00967D07&quot;/&gt;&lt;wsp:rsid wsp:val=&quot;00970829&quot;/&gt;&lt;wsp:rsid wsp:val=&quot;0097090F&quot;/&gt;&lt;wsp:rsid wsp:val=&quot;00970F46&quot;/&gt;&lt;wsp:rsid wsp:val=&quot;00971026&quot;/&gt;&lt;wsp:rsid wsp:val=&quot;00971120&quot;/&gt;&lt;wsp:rsid wsp:val=&quot;009711D4&quot;/&gt;&lt;wsp:rsid wsp:val=&quot;0097148A&quot;/&gt;&lt;wsp:rsid wsp:val=&quot;00971525&quot;/&gt;&lt;wsp:rsid wsp:val=&quot;0097197C&quot;/&gt;&lt;wsp:rsid wsp:val=&quot;00971985&quot;/&gt;&lt;wsp:rsid wsp:val=&quot;009719A5&quot;/&gt;&lt;wsp:rsid wsp:val=&quot;00971E55&quot;/&gt;&lt;wsp:rsid wsp:val=&quot;009722B5&quot;/&gt;&lt;wsp:rsid wsp:val=&quot;00972334&quot;/&gt;&lt;wsp:rsid wsp:val=&quot;0097258E&quot;/&gt;&lt;wsp:rsid wsp:val=&quot;0097293F&quot;/&gt;&lt;wsp:rsid wsp:val=&quot;00972B30&quot;/&gt;&lt;wsp:rsid wsp:val=&quot;00972FBF&quot;/&gt;&lt;wsp:rsid wsp:val=&quot;00972FCF&quot;/&gt;&lt;wsp:rsid wsp:val=&quot;00973268&quot;/&gt;&lt;wsp:rsid wsp:val=&quot;009733A7&quot;/&gt;&lt;wsp:rsid wsp:val=&quot;00973730&quot;/&gt;&lt;wsp:rsid wsp:val=&quot;009738F8&quot;/&gt;&lt;wsp:rsid wsp:val=&quot;00973D1A&quot;/&gt;&lt;wsp:rsid wsp:val=&quot;00973E75&quot;/&gt;&lt;wsp:rsid wsp:val=&quot;00973E9D&quot;/&gt;&lt;wsp:rsid wsp:val=&quot;009742CF&quot;/&gt;&lt;wsp:rsid wsp:val=&quot;00974314&quot;/&gt;&lt;wsp:rsid wsp:val=&quot;00974374&quot;/&gt;&lt;wsp:rsid wsp:val=&quot;0097448E&quot;/&gt;&lt;wsp:rsid wsp:val=&quot;00974A66&quot;/&gt;&lt;wsp:rsid wsp:val=&quot;00974CDF&quot;/&gt;&lt;wsp:rsid wsp:val=&quot;00974D29&quot;/&gt;&lt;wsp:rsid wsp:val=&quot;00974E1A&quot;/&gt;&lt;wsp:rsid wsp:val=&quot;00975057&quot;/&gt;&lt;wsp:rsid wsp:val=&quot;009750C8&quot;/&gt;&lt;wsp:rsid wsp:val=&quot;00975677&quot;/&gt;&lt;wsp:rsid wsp:val=&quot;009758AB&quot;/&gt;&lt;wsp:rsid wsp:val=&quot;009758DB&quot;/&gt;&lt;wsp:rsid wsp:val=&quot;00976307&quot;/&gt;&lt;wsp:rsid wsp:val=&quot;009763AC&quot;/&gt;&lt;wsp:rsid wsp:val=&quot;00976423&quot;/&gt;&lt;wsp:rsid wsp:val=&quot;00976516&quot;/&gt;&lt;wsp:rsid wsp:val=&quot;0097652D&quot;/&gt;&lt;wsp:rsid wsp:val=&quot;00976705&quot;/&gt;&lt;wsp:rsid wsp:val=&quot;00976730&quot;/&gt;&lt;wsp:rsid wsp:val=&quot;00976F10&quot;/&gt;&lt;wsp:rsid wsp:val=&quot;00976F8D&quot;/&gt;&lt;wsp:rsid wsp:val=&quot;00977047&quot;/&gt;&lt;wsp:rsid wsp:val=&quot;00977099&quot;/&gt;&lt;wsp:rsid wsp:val=&quot;009775ED&quot;/&gt;&lt;wsp:rsid wsp:val=&quot;00977700&quot;/&gt;&lt;wsp:rsid wsp:val=&quot;00977945&quot;/&gt;&lt;wsp:rsid wsp:val=&quot;00977B8C&quot;/&gt;&lt;wsp:rsid wsp:val=&quot;00977C33&quot;/&gt;&lt;wsp:rsid wsp:val=&quot;00977CAC&quot;/&gt;&lt;wsp:rsid wsp:val=&quot;00977CE0&quot;/&gt;&lt;wsp:rsid wsp:val=&quot;00977DD7&quot;/&gt;&lt;wsp:rsid wsp:val=&quot;00977FAF&quot;/&gt;&lt;wsp:rsid wsp:val=&quot;009800F0&quot;/&gt;&lt;wsp:rsid wsp:val=&quot;009802E6&quot;/&gt;&lt;wsp:rsid wsp:val=&quot;0098035C&quot;/&gt;&lt;wsp:rsid wsp:val=&quot;009807D5&quot;/&gt;&lt;wsp:rsid wsp:val=&quot;009809AD&quot;/&gt;&lt;wsp:rsid wsp:val=&quot;00980A70&quot;/&gt;&lt;wsp:rsid wsp:val=&quot;00980B9C&quot;/&gt;&lt;wsp:rsid wsp:val=&quot;00980DE5&quot;/&gt;&lt;wsp:rsid wsp:val=&quot;00981203&quot;/&gt;&lt;wsp:rsid wsp:val=&quot;00981745&quot;/&gt;&lt;wsp:rsid wsp:val=&quot;0098176A&quot;/&gt;&lt;wsp:rsid wsp:val=&quot;0098176E&quot;/&gt;&lt;wsp:rsid wsp:val=&quot;00981B03&quot;/&gt;&lt;wsp:rsid wsp:val=&quot;00981D0B&quot;/&gt;&lt;wsp:rsid wsp:val=&quot;00981D47&quot;/&gt;&lt;wsp:rsid wsp:val=&quot;00981FF6&quot;/&gt;&lt;wsp:rsid wsp:val=&quot;00982133&quot;/&gt;&lt;wsp:rsid wsp:val=&quot;0098252D&quot;/&gt;&lt;wsp:rsid wsp:val=&quot;00982624&quot;/&gt;&lt;wsp:rsid wsp:val=&quot;009829E1&quot;/&gt;&lt;wsp:rsid wsp:val=&quot;00982C0E&quot;/&gt;&lt;wsp:rsid wsp:val=&quot;00982F63&quot;/&gt;&lt;wsp:rsid wsp:val=&quot;00982F9E&quot;/&gt;&lt;wsp:rsid wsp:val=&quot;0098388F&quot;/&gt;&lt;wsp:rsid wsp:val=&quot;009838DC&quot;/&gt;&lt;wsp:rsid wsp:val=&quot;00983943&quot;/&gt;&lt;wsp:rsid wsp:val=&quot;00983DED&quot;/&gt;&lt;wsp:rsid wsp:val=&quot;00983EF7&quot;/&gt;&lt;wsp:rsid wsp:val=&quot;00984288&quot;/&gt;&lt;wsp:rsid wsp:val=&quot;009842F6&quot;/&gt;&lt;wsp:rsid wsp:val=&quot;00984308&quot;/&gt;&lt;wsp:rsid wsp:val=&quot;0098437E&quot;/&gt;&lt;wsp:rsid wsp:val=&quot;009843F8&quot;/&gt;&lt;wsp:rsid wsp:val=&quot;00984561&quot;/&gt;&lt;wsp:rsid wsp:val=&quot;00984691&quot;/&gt;&lt;wsp:rsid wsp:val=&quot;0098470C&quot;/&gt;&lt;wsp:rsid wsp:val=&quot;00984A3B&quot;/&gt;&lt;wsp:rsid wsp:val=&quot;00984BB2&quot;/&gt;&lt;wsp:rsid wsp:val=&quot;00984EDB&quot;/&gt;&lt;wsp:rsid wsp:val=&quot;0098506E&quot;/&gt;&lt;wsp:rsid wsp:val=&quot;00985101&quot;/&gt;&lt;wsp:rsid wsp:val=&quot;009852DF&quot;/&gt;&lt;wsp:rsid wsp:val=&quot;00985335&quot;/&gt;&lt;wsp:rsid wsp:val=&quot;00985735&quot;/&gt;&lt;wsp:rsid wsp:val=&quot;00985C62&quot;/&gt;&lt;wsp:rsid wsp:val=&quot;00985C68&quot;/&gt;&lt;wsp:rsid wsp:val=&quot;00985CEC&quot;/&gt;&lt;wsp:rsid wsp:val=&quot;00986830&quot;/&gt;&lt;wsp:rsid wsp:val=&quot;00986888&quot;/&gt;&lt;wsp:rsid wsp:val=&quot;009869AB&quot;/&gt;&lt;wsp:rsid wsp:val=&quot;00986ECE&quot;/&gt;&lt;wsp:rsid wsp:val=&quot;00987097&quot;/&gt;&lt;wsp:rsid wsp:val=&quot;009870FB&quot;/&gt;&lt;wsp:rsid wsp:val=&quot;00987110&quot;/&gt;&lt;wsp:rsid wsp:val=&quot;009872CE&quot;/&gt;&lt;wsp:rsid wsp:val=&quot;009878FD&quot;/&gt;&lt;wsp:rsid wsp:val=&quot;00987BD5&quot;/&gt;&lt;wsp:rsid wsp:val=&quot;00987C00&quot;/&gt;&lt;wsp:rsid wsp:val=&quot;00987CDC&quot;/&gt;&lt;wsp:rsid wsp:val=&quot;0099021A&quot;/&gt;&lt;wsp:rsid wsp:val=&quot;009902D7&quot;/&gt;&lt;wsp:rsid wsp:val=&quot;0099033F&quot;/&gt;&lt;wsp:rsid wsp:val=&quot;00990487&quot;/&gt;&lt;wsp:rsid wsp:val=&quot;0099058F&quot;/&gt;&lt;wsp:rsid wsp:val=&quot;009905C9&quot;/&gt;&lt;wsp:rsid wsp:val=&quot;009905CC&quot;/&gt;&lt;wsp:rsid wsp:val=&quot;0099083E&quot;/&gt;&lt;wsp:rsid wsp:val=&quot;00990E6A&quot;/&gt;&lt;wsp:rsid wsp:val=&quot;00990E8E&quot;/&gt;&lt;wsp:rsid wsp:val=&quot;00991246&quot;/&gt;&lt;wsp:rsid wsp:val=&quot;00991459&quot;/&gt;&lt;wsp:rsid wsp:val=&quot;00991852&quot;/&gt;&lt;wsp:rsid wsp:val=&quot;00991D06&quot;/&gt;&lt;wsp:rsid wsp:val=&quot;009922C2&quot;/&gt;&lt;wsp:rsid wsp:val=&quot;009923F2&quot;/&gt;&lt;wsp:rsid wsp:val=&quot;00992555&quot;/&gt;&lt;wsp:rsid wsp:val=&quot;0099257D&quot;/&gt;&lt;wsp:rsid wsp:val=&quot;00992942&quot;/&gt;&lt;wsp:rsid wsp:val=&quot;00992A92&quot;/&gt;&lt;wsp:rsid wsp:val=&quot;00992B0A&quot;/&gt;&lt;wsp:rsid wsp:val=&quot;00992C56&quot;/&gt;&lt;wsp:rsid wsp:val=&quot;00992D37&quot;/&gt;&lt;wsp:rsid wsp:val=&quot;00992DA9&quot;/&gt;&lt;wsp:rsid wsp:val=&quot;00993033&quot;/&gt;&lt;wsp:rsid wsp:val=&quot;009930DC&quot;/&gt;&lt;wsp:rsid wsp:val=&quot;00993115&quot;/&gt;&lt;wsp:rsid wsp:val=&quot;009933C8&quot;/&gt;&lt;wsp:rsid wsp:val=&quot;00993876&quot;/&gt;&lt;wsp:rsid wsp:val=&quot;00993DEF&quot;/&gt;&lt;wsp:rsid wsp:val=&quot;00993DF5&quot;/&gt;&lt;wsp:rsid wsp:val=&quot;009941D7&quot;/&gt;&lt;wsp:rsid wsp:val=&quot;009941D8&quot;/&gt;&lt;wsp:rsid wsp:val=&quot;009942C8&quot;/&gt;&lt;wsp:rsid wsp:val=&quot;00994734&quot;/&gt;&lt;wsp:rsid wsp:val=&quot;00994755&quot;/&gt;&lt;wsp:rsid wsp:val=&quot;009947FC&quot;/&gt;&lt;wsp:rsid wsp:val=&quot;009948AD&quot;/&gt;&lt;wsp:rsid wsp:val=&quot;00994C52&quot;/&gt;&lt;wsp:rsid wsp:val=&quot;00994C96&quot;/&gt;&lt;wsp:rsid wsp:val=&quot;00995037&quot;/&gt;&lt;wsp:rsid wsp:val=&quot;00995460&quot;/&gt;&lt;wsp:rsid wsp:val=&quot;00995570&quot;/&gt;&lt;wsp:rsid wsp:val=&quot;00995797&quot;/&gt;&lt;wsp:rsid wsp:val=&quot;009959E7&quot;/&gt;&lt;wsp:rsid wsp:val=&quot;00995BDC&quot;/&gt;&lt;wsp:rsid wsp:val=&quot;00996307&quot;/&gt;&lt;wsp:rsid wsp:val=&quot;00996694&quot;/&gt;&lt;wsp:rsid wsp:val=&quot;009969D9&quot;/&gt;&lt;wsp:rsid wsp:val=&quot;00996D36&quot;/&gt;&lt;wsp:rsid wsp:val=&quot;00996D7D&quot;/&gt;&lt;wsp:rsid wsp:val=&quot;00996F65&quot;/&gt;&lt;wsp:rsid wsp:val=&quot;00997046&quot;/&gt;&lt;wsp:rsid wsp:val=&quot;00997175&quot;/&gt;&lt;wsp:rsid wsp:val=&quot;009975CC&quot;/&gt;&lt;wsp:rsid wsp:val=&quot;00997613&quot;/&gt;&lt;wsp:rsid wsp:val=&quot;00997F74&quot;/&gt;&lt;wsp:rsid wsp:val=&quot;009A00A2&quot;/&gt;&lt;wsp:rsid wsp:val=&quot;009A0655&quot;/&gt;&lt;wsp:rsid wsp:val=&quot;009A0892&quot;/&gt;&lt;wsp:rsid wsp:val=&quot;009A0AD8&quot;/&gt;&lt;wsp:rsid wsp:val=&quot;009A0DE5&quot;/&gt;&lt;wsp:rsid wsp:val=&quot;009A1191&quot;/&gt;&lt;wsp:rsid wsp:val=&quot;009A11AA&quot;/&gt;&lt;wsp:rsid wsp:val=&quot;009A1342&quot;/&gt;&lt;wsp:rsid wsp:val=&quot;009A14A5&quot;/&gt;&lt;wsp:rsid wsp:val=&quot;009A14CE&quot;/&gt;&lt;wsp:rsid wsp:val=&quot;009A1641&quot;/&gt;&lt;wsp:rsid wsp:val=&quot;009A1699&quot;/&gt;&lt;wsp:rsid wsp:val=&quot;009A1927&quot;/&gt;&lt;wsp:rsid wsp:val=&quot;009A1994&quot;/&gt;&lt;wsp:rsid wsp:val=&quot;009A1998&quot;/&gt;&lt;wsp:rsid wsp:val=&quot;009A1C03&quot;/&gt;&lt;wsp:rsid wsp:val=&quot;009A1E9D&quot;/&gt;&lt;wsp:rsid wsp:val=&quot;009A2028&quot;/&gt;&lt;wsp:rsid wsp:val=&quot;009A2032&quot;/&gt;&lt;wsp:rsid wsp:val=&quot;009A227C&quot;/&gt;&lt;wsp:rsid wsp:val=&quot;009A22F6&quot;/&gt;&lt;wsp:rsid wsp:val=&quot;009A26D4&quot;/&gt;&lt;wsp:rsid wsp:val=&quot;009A281D&quot;/&gt;&lt;wsp:rsid wsp:val=&quot;009A28F3&quot;/&gt;&lt;wsp:rsid wsp:val=&quot;009A2966&quot;/&gt;&lt;wsp:rsid wsp:val=&quot;009A29ED&quot;/&gt;&lt;wsp:rsid wsp:val=&quot;009A2E40&quot;/&gt;&lt;wsp:rsid wsp:val=&quot;009A2F97&quot;/&gt;&lt;wsp:rsid wsp:val=&quot;009A31A2&quot;/&gt;&lt;wsp:rsid wsp:val=&quot;009A31CC&quot;/&gt;&lt;wsp:rsid wsp:val=&quot;009A332F&quot;/&gt;&lt;wsp:rsid wsp:val=&quot;009A3645&quot;/&gt;&lt;wsp:rsid wsp:val=&quot;009A36DD&quot;/&gt;&lt;wsp:rsid wsp:val=&quot;009A3C9E&quot;/&gt;&lt;wsp:rsid wsp:val=&quot;009A40A5&quot;/&gt;&lt;wsp:rsid wsp:val=&quot;009A410D&quot;/&gt;&lt;wsp:rsid wsp:val=&quot;009A4437&quot;/&gt;&lt;wsp:rsid wsp:val=&quot;009A4697&quot;/&gt;&lt;wsp:rsid wsp:val=&quot;009A469B&quot;/&gt;&lt;wsp:rsid wsp:val=&quot;009A481A&quot;/&gt;&lt;wsp:rsid wsp:val=&quot;009A486B&quot;/&gt;&lt;wsp:rsid wsp:val=&quot;009A4991&quot;/&gt;&lt;wsp:rsid wsp:val=&quot;009A4E8C&quot;/&gt;&lt;wsp:rsid wsp:val=&quot;009A4FE5&quot;/&gt;&lt;wsp:rsid wsp:val=&quot;009A5045&quot;/&gt;&lt;wsp:rsid wsp:val=&quot;009A528B&quot;/&gt;&lt;wsp:rsid wsp:val=&quot;009A53DA&quot;/&gt;&lt;wsp:rsid wsp:val=&quot;009A56BE&quot;/&gt;&lt;wsp:rsid wsp:val=&quot;009A5927&quot;/&gt;&lt;wsp:rsid wsp:val=&quot;009A5A41&quot;/&gt;&lt;wsp:rsid wsp:val=&quot;009A5C42&quot;/&gt;&lt;wsp:rsid wsp:val=&quot;009A5D9C&quot;/&gt;&lt;wsp:rsid wsp:val=&quot;009A5DB4&quot;/&gt;&lt;wsp:rsid wsp:val=&quot;009A5FD5&quot;/&gt;&lt;wsp:rsid wsp:val=&quot;009A6181&quot;/&gt;&lt;wsp:rsid wsp:val=&quot;009A6481&quot;/&gt;&lt;wsp:rsid wsp:val=&quot;009A6528&quot;/&gt;&lt;wsp:rsid wsp:val=&quot;009A713A&quot;/&gt;&lt;wsp:rsid wsp:val=&quot;009A718C&quot;/&gt;&lt;wsp:rsid wsp:val=&quot;009A73A7&quot;/&gt;&lt;wsp:rsid wsp:val=&quot;009A79BB&quot;/&gt;&lt;wsp:rsid wsp:val=&quot;009A7AE9&quot;/&gt;&lt;wsp:rsid wsp:val=&quot;009A7B41&quot;/&gt;&lt;wsp:rsid wsp:val=&quot;009A7BDD&quot;/&gt;&lt;wsp:rsid wsp:val=&quot;009A7C03&quot;/&gt;&lt;wsp:rsid wsp:val=&quot;009B0021&quot;/&gt;&lt;wsp:rsid wsp:val=&quot;009B0668&quot;/&gt;&lt;wsp:rsid wsp:val=&quot;009B06C1&quot;/&gt;&lt;wsp:rsid wsp:val=&quot;009B072B&quot;/&gt;&lt;wsp:rsid wsp:val=&quot;009B0739&quot;/&gt;&lt;wsp:rsid wsp:val=&quot;009B0A49&quot;/&gt;&lt;wsp:rsid wsp:val=&quot;009B0D24&quot;/&gt;&lt;wsp:rsid wsp:val=&quot;009B0E20&quot;/&gt;&lt;wsp:rsid wsp:val=&quot;009B1A70&quot;/&gt;&lt;wsp:rsid wsp:val=&quot;009B1A76&quot;/&gt;&lt;wsp:rsid wsp:val=&quot;009B1B7F&quot;/&gt;&lt;wsp:rsid wsp:val=&quot;009B1B80&quot;/&gt;&lt;wsp:rsid wsp:val=&quot;009B1D51&quot;/&gt;&lt;wsp:rsid wsp:val=&quot;009B1F1C&quot;/&gt;&lt;wsp:rsid wsp:val=&quot;009B1F68&quot;/&gt;&lt;wsp:rsid wsp:val=&quot;009B22A8&quot;/&gt;&lt;wsp:rsid wsp:val=&quot;009B22EA&quot;/&gt;&lt;wsp:rsid wsp:val=&quot;009B23A0&quot;/&gt;&lt;wsp:rsid wsp:val=&quot;009B2607&quot;/&gt;&lt;wsp:rsid wsp:val=&quot;009B2653&quot;/&gt;&lt;wsp:rsid wsp:val=&quot;009B2723&quot;/&gt;&lt;wsp:rsid wsp:val=&quot;009B28EA&quot;/&gt;&lt;wsp:rsid wsp:val=&quot;009B2A17&quot;/&gt;&lt;wsp:rsid wsp:val=&quot;009B2DAF&quot;/&gt;&lt;wsp:rsid wsp:val=&quot;009B3275&quot;/&gt;&lt;wsp:rsid wsp:val=&quot;009B340E&quot;/&gt;&lt;wsp:rsid wsp:val=&quot;009B3550&quot;/&gt;&lt;wsp:rsid wsp:val=&quot;009B3567&quot;/&gt;&lt;wsp:rsid wsp:val=&quot;009B3768&quot;/&gt;&lt;wsp:rsid wsp:val=&quot;009B3837&quot;/&gt;&lt;wsp:rsid wsp:val=&quot;009B38B0&quot;/&gt;&lt;wsp:rsid wsp:val=&quot;009B38D5&quot;/&gt;&lt;wsp:rsid wsp:val=&quot;009B3AC4&quot;/&gt;&lt;wsp:rsid wsp:val=&quot;009B3CA2&quot;/&gt;&lt;wsp:rsid wsp:val=&quot;009B419D&quot;/&gt;&lt;wsp:rsid wsp:val=&quot;009B45CB&quot;/&gt;&lt;wsp:rsid wsp:val=&quot;009B466F&quot;/&gt;&lt;wsp:rsid wsp:val=&quot;009B4893&quot;/&gt;&lt;wsp:rsid wsp:val=&quot;009B4E0F&quot;/&gt;&lt;wsp:rsid wsp:val=&quot;009B51E3&quot;/&gt;&lt;wsp:rsid wsp:val=&quot;009B53A3&quot;/&gt;&lt;wsp:rsid wsp:val=&quot;009B56A1&quot;/&gt;&lt;wsp:rsid wsp:val=&quot;009B5D2C&quot;/&gt;&lt;wsp:rsid wsp:val=&quot;009B6295&quot;/&gt;&lt;wsp:rsid wsp:val=&quot;009B6418&quot;/&gt;&lt;wsp:rsid wsp:val=&quot;009B6551&quot;/&gt;&lt;wsp:rsid wsp:val=&quot;009B6744&quot;/&gt;&lt;wsp:rsid wsp:val=&quot;009B6876&quot;/&gt;&lt;wsp:rsid wsp:val=&quot;009B6AB7&quot;/&gt;&lt;wsp:rsid wsp:val=&quot;009B6DF2&quot;/&gt;&lt;wsp:rsid wsp:val=&quot;009B6FB4&quot;/&gt;&lt;wsp:rsid wsp:val=&quot;009B716C&quot;/&gt;&lt;wsp:rsid wsp:val=&quot;009B75DB&quot;/&gt;&lt;wsp:rsid wsp:val=&quot;009B7B18&quot;/&gt;&lt;wsp:rsid wsp:val=&quot;009B7B5C&quot;/&gt;&lt;wsp:rsid wsp:val=&quot;009B7E5F&quot;/&gt;&lt;wsp:rsid wsp:val=&quot;009C0240&quot;/&gt;&lt;wsp:rsid wsp:val=&quot;009C07C7&quot;/&gt;&lt;wsp:rsid wsp:val=&quot;009C07E1&quot;/&gt;&lt;wsp:rsid wsp:val=&quot;009C09D5&quot;/&gt;&lt;wsp:rsid wsp:val=&quot;009C0AB5&quot;/&gt;&lt;wsp:rsid wsp:val=&quot;009C0DE1&quot;/&gt;&lt;wsp:rsid wsp:val=&quot;009C0F38&quot;/&gt;&lt;wsp:rsid wsp:val=&quot;009C13BC&quot;/&gt;&lt;wsp:rsid wsp:val=&quot;009C1458&quot;/&gt;&lt;wsp:rsid wsp:val=&quot;009C15F0&quot;/&gt;&lt;wsp:rsid wsp:val=&quot;009C1A74&quot;/&gt;&lt;wsp:rsid wsp:val=&quot;009C1F29&quot;/&gt;&lt;wsp:rsid wsp:val=&quot;009C1FAF&quot;/&gt;&lt;wsp:rsid wsp:val=&quot;009C24FE&quot;/&gt;&lt;wsp:rsid wsp:val=&quot;009C2551&quot;/&gt;&lt;wsp:rsid wsp:val=&quot;009C29FE&quot;/&gt;&lt;wsp:rsid wsp:val=&quot;009C2AEC&quot;/&gt;&lt;wsp:rsid wsp:val=&quot;009C2DE6&quot;/&gt;&lt;wsp:rsid wsp:val=&quot;009C33EB&quot;/&gt;&lt;wsp:rsid wsp:val=&quot;009C37C8&quot;/&gt;&lt;wsp:rsid wsp:val=&quot;009C3884&quot;/&gt;&lt;wsp:rsid wsp:val=&quot;009C38B4&quot;/&gt;&lt;wsp:rsid wsp:val=&quot;009C3ADA&quot;/&gt;&lt;wsp:rsid wsp:val=&quot;009C4CE3&quot;/&gt;&lt;wsp:rsid wsp:val=&quot;009C503E&quot;/&gt;&lt;wsp:rsid wsp:val=&quot;009C50F2&quot;/&gt;&lt;wsp:rsid wsp:val=&quot;009C5596&quot;/&gt;&lt;wsp:rsid wsp:val=&quot;009C5AEA&quot;/&gt;&lt;wsp:rsid wsp:val=&quot;009C5BA9&quot;/&gt;&lt;wsp:rsid wsp:val=&quot;009C5DA3&quot;/&gt;&lt;wsp:rsid wsp:val=&quot;009C5F37&quot;/&gt;&lt;wsp:rsid wsp:val=&quot;009C5FDF&quot;/&gt;&lt;wsp:rsid wsp:val=&quot;009C6216&quot;/&gt;&lt;wsp:rsid wsp:val=&quot;009C626A&quot;/&gt;&lt;wsp:rsid wsp:val=&quot;009C652D&quot;/&gt;&lt;wsp:rsid wsp:val=&quot;009C6723&quot;/&gt;&lt;wsp:rsid wsp:val=&quot;009C6B10&quot;/&gt;&lt;wsp:rsid wsp:val=&quot;009C6C63&quot;/&gt;&lt;wsp:rsid wsp:val=&quot;009C7036&quot;/&gt;&lt;wsp:rsid wsp:val=&quot;009C706E&quot;/&gt;&lt;wsp:rsid wsp:val=&quot;009C7089&quot;/&gt;&lt;wsp:rsid wsp:val=&quot;009C7185&quot;/&gt;&lt;wsp:rsid wsp:val=&quot;009C74D4&quot;/&gt;&lt;wsp:rsid wsp:val=&quot;009C7A75&quot;/&gt;&lt;wsp:rsid wsp:val=&quot;009C7CB0&quot;/&gt;&lt;wsp:rsid wsp:val=&quot;009C7F96&quot;/&gt;&lt;wsp:rsid wsp:val=&quot;009D013D&quot;/&gt;&lt;wsp:rsid wsp:val=&quot;009D0384&quot;/&gt;&lt;wsp:rsid wsp:val=&quot;009D0502&quot;/&gt;&lt;wsp:rsid wsp:val=&quot;009D05D8&quot;/&gt;&lt;wsp:rsid wsp:val=&quot;009D0A1E&quot;/&gt;&lt;wsp:rsid wsp:val=&quot;009D0B78&quot;/&gt;&lt;wsp:rsid wsp:val=&quot;009D0D53&quot;/&gt;&lt;wsp:rsid wsp:val=&quot;009D1276&quot;/&gt;&lt;wsp:rsid wsp:val=&quot;009D151E&quot;/&gt;&lt;wsp:rsid wsp:val=&quot;009D15F8&quot;/&gt;&lt;wsp:rsid wsp:val=&quot;009D1745&quot;/&gt;&lt;wsp:rsid wsp:val=&quot;009D1B62&quot;/&gt;&lt;wsp:rsid wsp:val=&quot;009D1C06&quot;/&gt;&lt;wsp:rsid wsp:val=&quot;009D1C4E&quot;/&gt;&lt;wsp:rsid wsp:val=&quot;009D1EF1&quot;/&gt;&lt;wsp:rsid wsp:val=&quot;009D2187&quot;/&gt;&lt;wsp:rsid wsp:val=&quot;009D21BA&quot;/&gt;&lt;wsp:rsid wsp:val=&quot;009D2A7E&quot;/&gt;&lt;wsp:rsid wsp:val=&quot;009D2B6E&quot;/&gt;&lt;wsp:rsid wsp:val=&quot;009D2F61&quot;/&gt;&lt;wsp:rsid wsp:val=&quot;009D31DD&quot;/&gt;&lt;wsp:rsid wsp:val=&quot;009D32CC&quot;/&gt;&lt;wsp:rsid wsp:val=&quot;009D35CD&quot;/&gt;&lt;wsp:rsid wsp:val=&quot;009D37C1&quot;/&gt;&lt;wsp:rsid wsp:val=&quot;009D3A17&quot;/&gt;&lt;wsp:rsid wsp:val=&quot;009D3B06&quot;/&gt;&lt;wsp:rsid wsp:val=&quot;009D3BCE&quot;/&gt;&lt;wsp:rsid wsp:val=&quot;009D3E2B&quot;/&gt;&lt;wsp:rsid wsp:val=&quot;009D3F6E&quot;/&gt;&lt;wsp:rsid wsp:val=&quot;009D4132&quot;/&gt;&lt;wsp:rsid wsp:val=&quot;009D41CC&quot;/&gt;&lt;wsp:rsid wsp:val=&quot;009D4347&quot;/&gt;&lt;wsp:rsid wsp:val=&quot;009D4359&quot;/&gt;&lt;wsp:rsid wsp:val=&quot;009D45CC&quot;/&gt;&lt;wsp:rsid wsp:val=&quot;009D488B&quot;/&gt;&lt;wsp:rsid wsp:val=&quot;009D494D&quot;/&gt;&lt;wsp:rsid wsp:val=&quot;009D4C88&quot;/&gt;&lt;wsp:rsid wsp:val=&quot;009D4CAB&quot;/&gt;&lt;wsp:rsid wsp:val=&quot;009D4CEE&quot;/&gt;&lt;wsp:rsid wsp:val=&quot;009D50DF&quot;/&gt;&lt;wsp:rsid wsp:val=&quot;009D534E&quot;/&gt;&lt;wsp:rsid wsp:val=&quot;009D53C9&quot;/&gt;&lt;wsp:rsid wsp:val=&quot;009D556A&quot;/&gt;&lt;wsp:rsid wsp:val=&quot;009D6016&quot;/&gt;&lt;wsp:rsid wsp:val=&quot;009D667C&quot;/&gt;&lt;wsp:rsid wsp:val=&quot;009D6A12&quot;/&gt;&lt;wsp:rsid wsp:val=&quot;009D6A49&quot;/&gt;&lt;wsp:rsid wsp:val=&quot;009D6B23&quot;/&gt;&lt;wsp:rsid wsp:val=&quot;009D6B2B&quot;/&gt;&lt;wsp:rsid wsp:val=&quot;009D6CA6&quot;/&gt;&lt;wsp:rsid wsp:val=&quot;009D6FB0&quot;/&gt;&lt;wsp:rsid wsp:val=&quot;009D7403&quot;/&gt;&lt;wsp:rsid wsp:val=&quot;009D757F&quot;/&gt;&lt;wsp:rsid wsp:val=&quot;009D7960&quot;/&gt;&lt;wsp:rsid wsp:val=&quot;009D7C43&quot;/&gt;&lt;wsp:rsid wsp:val=&quot;009D7EAD&quot;/&gt;&lt;wsp:rsid wsp:val=&quot;009E003A&quot;/&gt;&lt;wsp:rsid wsp:val=&quot;009E00CE&quot;/&gt;&lt;wsp:rsid wsp:val=&quot;009E0216&quot;/&gt;&lt;wsp:rsid wsp:val=&quot;009E038B&quot;/&gt;&lt;wsp:rsid wsp:val=&quot;009E06BD&quot;/&gt;&lt;wsp:rsid wsp:val=&quot;009E0B03&quot;/&gt;&lt;wsp:rsid wsp:val=&quot;009E0BDB&quot;/&gt;&lt;wsp:rsid wsp:val=&quot;009E0CCA&quot;/&gt;&lt;wsp:rsid wsp:val=&quot;009E0DF8&quot;/&gt;&lt;wsp:rsid wsp:val=&quot;009E1247&quot;/&gt;&lt;wsp:rsid wsp:val=&quot;009E17B3&quot;/&gt;&lt;wsp:rsid wsp:val=&quot;009E1BD1&quot;/&gt;&lt;wsp:rsid wsp:val=&quot;009E20DE&quot;/&gt;&lt;wsp:rsid wsp:val=&quot;009E21F7&quot;/&gt;&lt;wsp:rsid wsp:val=&quot;009E2754&quot;/&gt;&lt;wsp:rsid wsp:val=&quot;009E2AF9&quot;/&gt;&lt;wsp:rsid wsp:val=&quot;009E2B5F&quot;/&gt;&lt;wsp:rsid wsp:val=&quot;009E2BD6&quot;/&gt;&lt;wsp:rsid wsp:val=&quot;009E2E35&quot;/&gt;&lt;wsp:rsid wsp:val=&quot;009E3478&quot;/&gt;&lt;wsp:rsid wsp:val=&quot;009E3CB1&quot;/&gt;&lt;wsp:rsid wsp:val=&quot;009E3D39&quot;/&gt;&lt;wsp:rsid wsp:val=&quot;009E42E8&quot;/&gt;&lt;wsp:rsid wsp:val=&quot;009E46F7&quot;/&gt;&lt;wsp:rsid wsp:val=&quot;009E49E2&quot;/&gt;&lt;wsp:rsid wsp:val=&quot;009E5131&quot;/&gt;&lt;wsp:rsid wsp:val=&quot;009E5717&quot;/&gt;&lt;wsp:rsid wsp:val=&quot;009E58FB&quot;/&gt;&lt;wsp:rsid wsp:val=&quot;009E5913&quot;/&gt;&lt;wsp:rsid wsp:val=&quot;009E59F0&quot;/&gt;&lt;wsp:rsid wsp:val=&quot;009E5A61&quot;/&gt;&lt;wsp:rsid wsp:val=&quot;009E5BFD&quot;/&gt;&lt;wsp:rsid wsp:val=&quot;009E5D53&quot;/&gt;&lt;wsp:rsid wsp:val=&quot;009E5EBD&quot;/&gt;&lt;wsp:rsid wsp:val=&quot;009E5FB3&quot;/&gt;&lt;wsp:rsid wsp:val=&quot;009E60EE&quot;/&gt;&lt;wsp:rsid wsp:val=&quot;009E624B&quot;/&gt;&lt;wsp:rsid wsp:val=&quot;009E62A1&quot;/&gt;&lt;wsp:rsid wsp:val=&quot;009E64CA&quot;/&gt;&lt;wsp:rsid wsp:val=&quot;009E6549&quot;/&gt;&lt;wsp:rsid wsp:val=&quot;009E6C07&quot;/&gt;&lt;wsp:rsid wsp:val=&quot;009E6DCE&quot;/&gt;&lt;wsp:rsid wsp:val=&quot;009E6EA3&quot;/&gt;&lt;wsp:rsid wsp:val=&quot;009E7037&quot;/&gt;&lt;wsp:rsid wsp:val=&quot;009E796C&quot;/&gt;&lt;wsp:rsid wsp:val=&quot;009E799F&quot;/&gt;&lt;wsp:rsid wsp:val=&quot;009E7A2E&quot;/&gt;&lt;wsp:rsid wsp:val=&quot;009E7F59&quot;/&gt;&lt;wsp:rsid wsp:val=&quot;009E7FB8&quot;/&gt;&lt;wsp:rsid wsp:val=&quot;009F0105&quot;/&gt;&lt;wsp:rsid wsp:val=&quot;009F0322&quot;/&gt;&lt;wsp:rsid wsp:val=&quot;009F12A3&quot;/&gt;&lt;wsp:rsid wsp:val=&quot;009F140F&quot;/&gt;&lt;wsp:rsid wsp:val=&quot;009F1445&quot;/&gt;&lt;wsp:rsid wsp:val=&quot;009F159B&quot;/&gt;&lt;wsp:rsid wsp:val=&quot;009F1786&quot;/&gt;&lt;wsp:rsid wsp:val=&quot;009F197F&quot;/&gt;&lt;wsp:rsid wsp:val=&quot;009F1B67&quot;/&gt;&lt;wsp:rsid wsp:val=&quot;009F1D81&quot;/&gt;&lt;wsp:rsid wsp:val=&quot;009F1DA8&quot;/&gt;&lt;wsp:rsid wsp:val=&quot;009F2301&quot;/&gt;&lt;wsp:rsid wsp:val=&quot;009F2374&quot;/&gt;&lt;wsp:rsid wsp:val=&quot;009F2EDC&quot;/&gt;&lt;wsp:rsid wsp:val=&quot;009F37A9&quot;/&gt;&lt;wsp:rsid wsp:val=&quot;009F3A42&quot;/&gt;&lt;wsp:rsid wsp:val=&quot;009F3DE8&quot;/&gt;&lt;wsp:rsid wsp:val=&quot;009F3F5E&quot;/&gt;&lt;wsp:rsid wsp:val=&quot;009F3F65&quot;/&gt;&lt;wsp:rsid wsp:val=&quot;009F449A&quot;/&gt;&lt;wsp:rsid wsp:val=&quot;009F46DB&quot;/&gt;&lt;wsp:rsid wsp:val=&quot;009F4D92&quot;/&gt;&lt;wsp:rsid wsp:val=&quot;009F4E37&quot;/&gt;&lt;wsp:rsid wsp:val=&quot;009F5271&quot;/&gt;&lt;wsp:rsid wsp:val=&quot;009F5563&quot;/&gt;&lt;wsp:rsid wsp:val=&quot;009F5954&quot;/&gt;&lt;wsp:rsid wsp:val=&quot;009F5B93&quot;/&gt;&lt;wsp:rsid wsp:val=&quot;009F5BE0&quot;/&gt;&lt;wsp:rsid wsp:val=&quot;009F5D80&quot;/&gt;&lt;wsp:rsid wsp:val=&quot;009F5E39&quot;/&gt;&lt;wsp:rsid wsp:val=&quot;009F60BD&quot;/&gt;&lt;wsp:rsid wsp:val=&quot;009F630A&quot;/&gt;&lt;wsp:rsid wsp:val=&quot;009F635B&quot;/&gt;&lt;wsp:rsid wsp:val=&quot;009F64A0&quot;/&gt;&lt;wsp:rsid wsp:val=&quot;009F6595&quot;/&gt;&lt;wsp:rsid wsp:val=&quot;009F668C&quot;/&gt;&lt;wsp:rsid wsp:val=&quot;009F67F0&quot;/&gt;&lt;wsp:rsid wsp:val=&quot;009F69E2&quot;/&gt;&lt;wsp:rsid wsp:val=&quot;009F6D8D&quot;/&gt;&lt;wsp:rsid wsp:val=&quot;009F6D94&quot;/&gt;&lt;wsp:rsid wsp:val=&quot;009F7B85&quot;/&gt;&lt;wsp:rsid wsp:val=&quot;00A000EA&quot;/&gt;&lt;wsp:rsid wsp:val=&quot;00A004A3&quot;/&gt;&lt;wsp:rsid wsp:val=&quot;00A006D8&quot;/&gt;&lt;wsp:rsid wsp:val=&quot;00A00BAC&quot;/&gt;&lt;wsp:rsid wsp:val=&quot;00A011CC&quot;/&gt;&lt;wsp:rsid wsp:val=&quot;00A01245&quot;/&gt;&lt;wsp:rsid wsp:val=&quot;00A01443&quot;/&gt;&lt;wsp:rsid wsp:val=&quot;00A01471&quot;/&gt;&lt;wsp:rsid wsp:val=&quot;00A014A0&quot;/&gt;&lt;wsp:rsid wsp:val=&quot;00A0167E&quot;/&gt;&lt;wsp:rsid wsp:val=&quot;00A01687&quot;/&gt;&lt;wsp:rsid wsp:val=&quot;00A01723&quot;/&gt;&lt;wsp:rsid wsp:val=&quot;00A018A2&quot;/&gt;&lt;wsp:rsid wsp:val=&quot;00A01B2E&quot;/&gt;&lt;wsp:rsid wsp:val=&quot;00A02267&quot;/&gt;&lt;wsp:rsid wsp:val=&quot;00A02385&quot;/&gt;&lt;wsp:rsid wsp:val=&quot;00A0251F&quot;/&gt;&lt;wsp:rsid wsp:val=&quot;00A028B3&quot;/&gt;&lt;wsp:rsid wsp:val=&quot;00A0297D&quot;/&gt;&lt;wsp:rsid wsp:val=&quot;00A029EE&quot;/&gt;&lt;wsp:rsid wsp:val=&quot;00A02BBF&quot;/&gt;&lt;wsp:rsid wsp:val=&quot;00A02ECB&quot;/&gt;&lt;wsp:rsid wsp:val=&quot;00A030B6&quot;/&gt;&lt;wsp:rsid wsp:val=&quot;00A03192&quot;/&gt;&lt;wsp:rsid wsp:val=&quot;00A036AB&quot;/&gt;&lt;wsp:rsid wsp:val=&quot;00A03C7F&quot;/&gt;&lt;wsp:rsid wsp:val=&quot;00A03DEF&quot;/&gt;&lt;wsp:rsid wsp:val=&quot;00A0408E&quot;/&gt;&lt;wsp:rsid wsp:val=&quot;00A040E5&quot;/&gt;&lt;wsp:rsid wsp:val=&quot;00A04134&quot;/&gt;&lt;wsp:rsid wsp:val=&quot;00A04966&quot;/&gt;&lt;wsp:rsid wsp:val=&quot;00A04F85&quot;/&gt;&lt;wsp:rsid wsp:val=&quot;00A054A1&quot;/&gt;&lt;wsp:rsid wsp:val=&quot;00A05687&quot;/&gt;&lt;wsp:rsid wsp:val=&quot;00A05B3F&quot;/&gt;&lt;wsp:rsid wsp:val=&quot;00A05F7A&quot;/&gt;&lt;wsp:rsid wsp:val=&quot;00A06006&quot;/&gt;&lt;wsp:rsid wsp:val=&quot;00A062BC&quot;/&gt;&lt;wsp:rsid wsp:val=&quot;00A064D4&quot;/&gt;&lt;wsp:rsid wsp:val=&quot;00A06664&quot;/&gt;&lt;wsp:rsid wsp:val=&quot;00A06795&quot;/&gt;&lt;wsp:rsid wsp:val=&quot;00A067DB&quot;/&gt;&lt;wsp:rsid wsp:val=&quot;00A06A68&quot;/&gt;&lt;wsp:rsid wsp:val=&quot;00A06BF4&quot;/&gt;&lt;wsp:rsid wsp:val=&quot;00A06CDE&quot;/&gt;&lt;wsp:rsid wsp:val=&quot;00A06D41&quot;/&gt;&lt;wsp:rsid wsp:val=&quot;00A06E78&quot;/&gt;&lt;wsp:rsid wsp:val=&quot;00A06F64&quot;/&gt;&lt;wsp:rsid wsp:val=&quot;00A070F3&quot;/&gt;&lt;wsp:rsid wsp:val=&quot;00A0712B&quot;/&gt;&lt;wsp:rsid wsp:val=&quot;00A07414&quot;/&gt;&lt;wsp:rsid wsp:val=&quot;00A075F8&quot;/&gt;&lt;wsp:rsid wsp:val=&quot;00A076F5&quot;/&gt;&lt;wsp:rsid wsp:val=&quot;00A079DC&quot;/&gt;&lt;wsp:rsid wsp:val=&quot;00A07ACE&quot;/&gt;&lt;wsp:rsid wsp:val=&quot;00A07FC2&quot;/&gt;&lt;wsp:rsid wsp:val=&quot;00A07FCD&quot;/&gt;&lt;wsp:rsid wsp:val=&quot;00A104AF&quot;/&gt;&lt;wsp:rsid wsp:val=&quot;00A106AA&quot;/&gt;&lt;wsp:rsid wsp:val=&quot;00A1096F&quot;/&gt;&lt;wsp:rsid wsp:val=&quot;00A10AE7&quot;/&gt;&lt;wsp:rsid wsp:val=&quot;00A11509&quot;/&gt;&lt;wsp:rsid wsp:val=&quot;00A115FB&quot;/&gt;&lt;wsp:rsid wsp:val=&quot;00A119A7&quot;/&gt;&lt;wsp:rsid wsp:val=&quot;00A11DE4&quot;/&gt;&lt;wsp:rsid wsp:val=&quot;00A11EA0&quot;/&gt;&lt;wsp:rsid wsp:val=&quot;00A120C3&quot;/&gt;&lt;wsp:rsid wsp:val=&quot;00A1219F&quot;/&gt;&lt;wsp:rsid wsp:val=&quot;00A121EC&quot;/&gt;&lt;wsp:rsid wsp:val=&quot;00A122E1&quot;/&gt;&lt;wsp:rsid wsp:val=&quot;00A12446&quot;/&gt;&lt;wsp:rsid wsp:val=&quot;00A12896&quot;/&gt;&lt;wsp:rsid wsp:val=&quot;00A12C1C&quot;/&gt;&lt;wsp:rsid wsp:val=&quot;00A12E67&quot;/&gt;&lt;wsp:rsid wsp:val=&quot;00A12FD6&quot;/&gt;&lt;wsp:rsid wsp:val=&quot;00A136E3&quot;/&gt;&lt;wsp:rsid wsp:val=&quot;00A13851&quot;/&gt;&lt;wsp:rsid wsp:val=&quot;00A13AAF&quot;/&gt;&lt;wsp:rsid wsp:val=&quot;00A142B0&quot;/&gt;&lt;wsp:rsid wsp:val=&quot;00A1431E&quot;/&gt;&lt;wsp:rsid wsp:val=&quot;00A147A1&quot;/&gt;&lt;wsp:rsid wsp:val=&quot;00A14F53&quot;/&gt;&lt;wsp:rsid wsp:val=&quot;00A150D0&quot;/&gt;&lt;wsp:rsid wsp:val=&quot;00A153A6&quot;/&gt;&lt;wsp:rsid wsp:val=&quot;00A15865&quot;/&gt;&lt;wsp:rsid wsp:val=&quot;00A15D9D&quot;/&gt;&lt;wsp:rsid wsp:val=&quot;00A16018&quot;/&gt;&lt;wsp:rsid wsp:val=&quot;00A1622D&quot;/&gt;&lt;wsp:rsid wsp:val=&quot;00A16808&quot;/&gt;&lt;wsp:rsid wsp:val=&quot;00A16BB9&quot;/&gt;&lt;wsp:rsid wsp:val=&quot;00A16BC5&quot;/&gt;&lt;wsp:rsid wsp:val=&quot;00A17111&quot;/&gt;&lt;wsp:rsid wsp:val=&quot;00A1760D&quot;/&gt;&lt;wsp:rsid wsp:val=&quot;00A17740&quot;/&gt;&lt;wsp:rsid wsp:val=&quot;00A17BC1&quot;/&gt;&lt;wsp:rsid wsp:val=&quot;00A17C5B&quot;/&gt;&lt;wsp:rsid wsp:val=&quot;00A17F92&quot;/&gt;&lt;wsp:rsid wsp:val=&quot;00A20072&quot;/&gt;&lt;wsp:rsid wsp:val=&quot;00A205BF&quot;/&gt;&lt;wsp:rsid wsp:val=&quot;00A20733&quot;/&gt;&lt;wsp:rsid wsp:val=&quot;00A20A1A&quot;/&gt;&lt;wsp:rsid wsp:val=&quot;00A20AEE&quot;/&gt;&lt;wsp:rsid wsp:val=&quot;00A20D77&quot;/&gt;&lt;wsp:rsid wsp:val=&quot;00A214E8&quot;/&gt;&lt;wsp:rsid wsp:val=&quot;00A2183E&quot;/&gt;&lt;wsp:rsid wsp:val=&quot;00A218CA&quot;/&gt;&lt;wsp:rsid wsp:val=&quot;00A21F64&quot;/&gt;&lt;wsp:rsid wsp:val=&quot;00A225BE&quot;/&gt;&lt;wsp:rsid wsp:val=&quot;00A2271F&quot;/&gt;&lt;wsp:rsid wsp:val=&quot;00A22B12&quot;/&gt;&lt;wsp:rsid wsp:val=&quot;00A22B17&quot;/&gt;&lt;wsp:rsid wsp:val=&quot;00A22EBB&quot;/&gt;&lt;wsp:rsid wsp:val=&quot;00A22F1E&quot;/&gt;&lt;wsp:rsid wsp:val=&quot;00A22F45&quot;/&gt;&lt;wsp:rsid wsp:val=&quot;00A2304A&quot;/&gt;&lt;wsp:rsid wsp:val=&quot;00A231BA&quot;/&gt;&lt;wsp:rsid wsp:val=&quot;00A231D0&quot;/&gt;&lt;wsp:rsid wsp:val=&quot;00A2328C&quot;/&gt;&lt;wsp:rsid wsp:val=&quot;00A233B6&quot;/&gt;&lt;wsp:rsid wsp:val=&quot;00A2353F&quot;/&gt;&lt;wsp:rsid wsp:val=&quot;00A23816&quot;/&gt;&lt;wsp:rsid wsp:val=&quot;00A23A87&quot;/&gt;&lt;wsp:rsid wsp:val=&quot;00A23BBB&quot;/&gt;&lt;wsp:rsid wsp:val=&quot;00A23EDE&quot;/&gt;&lt;wsp:rsid wsp:val=&quot;00A24295&quot;/&gt;&lt;wsp:rsid wsp:val=&quot;00A2431E&quot;/&gt;&lt;wsp:rsid wsp:val=&quot;00A2439C&quot;/&gt;&lt;wsp:rsid wsp:val=&quot;00A24469&quot;/&gt;&lt;wsp:rsid wsp:val=&quot;00A244AF&quot;/&gt;&lt;wsp:rsid wsp:val=&quot;00A2457A&quot;/&gt;&lt;wsp:rsid wsp:val=&quot;00A248B6&quot;/&gt;&lt;wsp:rsid wsp:val=&quot;00A24A37&quot;/&gt;&lt;wsp:rsid wsp:val=&quot;00A24A6B&quot;/&gt;&lt;wsp:rsid wsp:val=&quot;00A24C05&quot;/&gt;&lt;wsp:rsid wsp:val=&quot;00A24E0D&quot;/&gt;&lt;wsp:rsid wsp:val=&quot;00A250F4&quot;/&gt;&lt;wsp:rsid wsp:val=&quot;00A2549F&quot;/&gt;&lt;wsp:rsid wsp:val=&quot;00A25E35&quot;/&gt;&lt;wsp:rsid wsp:val=&quot;00A25F02&quot;/&gt;&lt;wsp:rsid wsp:val=&quot;00A26542&quot;/&gt;&lt;wsp:rsid wsp:val=&quot;00A267F8&quot;/&gt;&lt;wsp:rsid wsp:val=&quot;00A26871&quot;/&gt;&lt;wsp:rsid wsp:val=&quot;00A26950&quot;/&gt;&lt;wsp:rsid wsp:val=&quot;00A26D2F&quot;/&gt;&lt;wsp:rsid wsp:val=&quot;00A271B8&quot;/&gt;&lt;wsp:rsid wsp:val=&quot;00A2728E&quot;/&gt;&lt;wsp:rsid wsp:val=&quot;00A272FC&quot;/&gt;&lt;wsp:rsid wsp:val=&quot;00A279FE&quot;/&gt;&lt;wsp:rsid wsp:val=&quot;00A27D72&quot;/&gt;&lt;wsp:rsid wsp:val=&quot;00A27FF1&quot;/&gt;&lt;wsp:rsid wsp:val=&quot;00A3034F&quot;/&gt;&lt;wsp:rsid wsp:val=&quot;00A30538&quot;/&gt;&lt;wsp:rsid wsp:val=&quot;00A30A8B&quot;/&gt;&lt;wsp:rsid wsp:val=&quot;00A30C4B&quot;/&gt;&lt;wsp:rsid wsp:val=&quot;00A30DDB&quot;/&gt;&lt;wsp:rsid wsp:val=&quot;00A30F3D&quot;/&gt;&lt;wsp:rsid wsp:val=&quot;00A30FF3&quot;/&gt;&lt;wsp:rsid wsp:val=&quot;00A31151&quot;/&gt;&lt;wsp:rsid wsp:val=&quot;00A315C0&quot;/&gt;&lt;wsp:rsid wsp:val=&quot;00A31728&quot;/&gt;&lt;wsp:rsid wsp:val=&quot;00A317D6&quot;/&gt;&lt;wsp:rsid wsp:val=&quot;00A31830&quot;/&gt;&lt;wsp:rsid wsp:val=&quot;00A318CD&quot;/&gt;&lt;wsp:rsid wsp:val=&quot;00A31970&quot;/&gt;&lt;wsp:rsid wsp:val=&quot;00A31A6D&quot;/&gt;&lt;wsp:rsid wsp:val=&quot;00A31AF3&quot;/&gt;&lt;wsp:rsid wsp:val=&quot;00A31E1F&quot;/&gt;&lt;wsp:rsid wsp:val=&quot;00A3210F&quot;/&gt;&lt;wsp:rsid wsp:val=&quot;00A32309&quot;/&gt;&lt;wsp:rsid wsp:val=&quot;00A32710&quot;/&gt;&lt;wsp:rsid wsp:val=&quot;00A3276B&quot;/&gt;&lt;wsp:rsid wsp:val=&quot;00A32874&quot;/&gt;&lt;wsp:rsid wsp:val=&quot;00A32CD0&quot;/&gt;&lt;wsp:rsid wsp:val=&quot;00A32D33&quot;/&gt;&lt;wsp:rsid wsp:val=&quot;00A3305A&quot;/&gt;&lt;wsp:rsid wsp:val=&quot;00A331EC&quot;/&gt;&lt;wsp:rsid wsp:val=&quot;00A332A6&quot;/&gt;&lt;wsp:rsid wsp:val=&quot;00A3330D&quot;/&gt;&lt;wsp:rsid wsp:val=&quot;00A334A6&quot;/&gt;&lt;wsp:rsid wsp:val=&quot;00A334C0&quot;/&gt;&lt;wsp:rsid wsp:val=&quot;00A3361E&quot;/&gt;&lt;wsp:rsid wsp:val=&quot;00A337BE&quot;/&gt;&lt;wsp:rsid wsp:val=&quot;00A33996&quot;/&gt;&lt;wsp:rsid wsp:val=&quot;00A33B11&quot;/&gt;&lt;wsp:rsid wsp:val=&quot;00A33BCE&quot;/&gt;&lt;wsp:rsid wsp:val=&quot;00A33C5A&quot;/&gt;&lt;wsp:rsid wsp:val=&quot;00A33C6F&quot;/&gt;&lt;wsp:rsid wsp:val=&quot;00A33C9D&quot;/&gt;&lt;wsp:rsid wsp:val=&quot;00A34261&quot;/&gt;&lt;wsp:rsid wsp:val=&quot;00A345C8&quot;/&gt;&lt;wsp:rsid wsp:val=&quot;00A349D1&quot;/&gt;&lt;wsp:rsid wsp:val=&quot;00A34BD7&quot;/&gt;&lt;wsp:rsid wsp:val=&quot;00A34FD3&quot;/&gt;&lt;wsp:rsid wsp:val=&quot;00A35017&quot;/&gt;&lt;wsp:rsid wsp:val=&quot;00A350B5&quot;/&gt;&lt;wsp:rsid wsp:val=&quot;00A35144&quot;/&gt;&lt;wsp:rsid wsp:val=&quot;00A35191&quot;/&gt;&lt;wsp:rsid wsp:val=&quot;00A3524A&quot;/&gt;&lt;wsp:rsid wsp:val=&quot;00A35446&quot;/&gt;&lt;wsp:rsid wsp:val=&quot;00A3565A&quot;/&gt;&lt;wsp:rsid wsp:val=&quot;00A3582F&quot;/&gt;&lt;wsp:rsid wsp:val=&quot;00A3588A&quot;/&gt;&lt;wsp:rsid wsp:val=&quot;00A35D3F&quot;/&gt;&lt;wsp:rsid wsp:val=&quot;00A362DB&quot;/&gt;&lt;wsp:rsid wsp:val=&quot;00A36CC4&quot;/&gt;&lt;wsp:rsid wsp:val=&quot;00A36E3E&quot;/&gt;&lt;wsp:rsid wsp:val=&quot;00A36E68&quot;/&gt;&lt;wsp:rsid wsp:val=&quot;00A370AA&quot;/&gt;&lt;wsp:rsid wsp:val=&quot;00A3741A&quot;/&gt;&lt;wsp:rsid wsp:val=&quot;00A377EC&quot;/&gt;&lt;wsp:rsid wsp:val=&quot;00A37B56&quot;/&gt;&lt;wsp:rsid wsp:val=&quot;00A37D2B&quot;/&gt;&lt;wsp:rsid wsp:val=&quot;00A37D6F&quot;/&gt;&lt;wsp:rsid wsp:val=&quot;00A37DDD&quot;/&gt;&lt;wsp:rsid wsp:val=&quot;00A37F4E&quot;/&gt;&lt;wsp:rsid wsp:val=&quot;00A409DE&quot;/&gt;&lt;wsp:rsid wsp:val=&quot;00A40BCE&quot;/&gt;&lt;wsp:rsid wsp:val=&quot;00A40BFC&quot;/&gt;&lt;wsp:rsid wsp:val=&quot;00A40D21&quot;/&gt;&lt;wsp:rsid wsp:val=&quot;00A40F7F&quot;/&gt;&lt;wsp:rsid wsp:val=&quot;00A410FB&quot;/&gt;&lt;wsp:rsid wsp:val=&quot;00A418E4&quot;/&gt;&lt;wsp:rsid wsp:val=&quot;00A419B2&quot;/&gt;&lt;wsp:rsid wsp:val=&quot;00A419ED&quot;/&gt;&lt;wsp:rsid wsp:val=&quot;00A41CAD&quot;/&gt;&lt;wsp:rsid wsp:val=&quot;00A41E81&quot;/&gt;&lt;wsp:rsid wsp:val=&quot;00A420F4&quot;/&gt;&lt;wsp:rsid wsp:val=&quot;00A42101&quot;/&gt;&lt;wsp:rsid wsp:val=&quot;00A4213D&quot;/&gt;&lt;wsp:rsid wsp:val=&quot;00A4223B&quot;/&gt;&lt;wsp:rsid wsp:val=&quot;00A42293&quot;/&gt;&lt;wsp:rsid wsp:val=&quot;00A42341&quot;/&gt;&lt;wsp:rsid wsp:val=&quot;00A42474&quot;/&gt;&lt;wsp:rsid wsp:val=&quot;00A4264B&quot;/&gt;&lt;wsp:rsid wsp:val=&quot;00A42727&quot;/&gt;&lt;wsp:rsid wsp:val=&quot;00A429C5&quot;/&gt;&lt;wsp:rsid wsp:val=&quot;00A42A52&quot;/&gt;&lt;wsp:rsid wsp:val=&quot;00A42D03&quot;/&gt;&lt;wsp:rsid wsp:val=&quot;00A432AB&quot;/&gt;&lt;wsp:rsid wsp:val=&quot;00A43343&quot;/&gt;&lt;wsp:rsid wsp:val=&quot;00A433D1&quot;/&gt;&lt;wsp:rsid wsp:val=&quot;00A43919&quot;/&gt;&lt;wsp:rsid wsp:val=&quot;00A43A6F&quot;/&gt;&lt;wsp:rsid wsp:val=&quot;00A43ACB&quot;/&gt;&lt;wsp:rsid wsp:val=&quot;00A44048&quot;/&gt;&lt;wsp:rsid wsp:val=&quot;00A446BA&quot;/&gt;&lt;wsp:rsid wsp:val=&quot;00A448C8&quot;/&gt;&lt;wsp:rsid wsp:val=&quot;00A44CBA&quot;/&gt;&lt;wsp:rsid wsp:val=&quot;00A44F75&quot;/&gt;&lt;wsp:rsid wsp:val=&quot;00A44FF9&quot;/&gt;&lt;wsp:rsid wsp:val=&quot;00A4517D&quot;/&gt;&lt;wsp:rsid wsp:val=&quot;00A45311&quot;/&gt;&lt;wsp:rsid wsp:val=&quot;00A45394&quot;/&gt;&lt;wsp:rsid wsp:val=&quot;00A4566B&quot;/&gt;&lt;wsp:rsid wsp:val=&quot;00A4567E&quot;/&gt;&lt;wsp:rsid wsp:val=&quot;00A4574C&quot;/&gt;&lt;wsp:rsid wsp:val=&quot;00A45865&quot;/&gt;&lt;wsp:rsid wsp:val=&quot;00A45D3B&quot;/&gt;&lt;wsp:rsid wsp:val=&quot;00A46005&quot;/&gt;&lt;wsp:rsid wsp:val=&quot;00A46584&quot;/&gt;&lt;wsp:rsid wsp:val=&quot;00A46680&quot;/&gt;&lt;wsp:rsid wsp:val=&quot;00A466F4&quot;/&gt;&lt;wsp:rsid wsp:val=&quot;00A468B9&quot;/&gt;&lt;wsp:rsid wsp:val=&quot;00A470DA&quot;/&gt;&lt;wsp:rsid wsp:val=&quot;00A474A0&quot;/&gt;&lt;wsp:rsid wsp:val=&quot;00A4767B&quot;/&gt;&lt;wsp:rsid wsp:val=&quot;00A4767C&quot;/&gt;&lt;wsp:rsid wsp:val=&quot;00A477CC&quot;/&gt;&lt;wsp:rsid wsp:val=&quot;00A4783B&quot;/&gt;&lt;wsp:rsid wsp:val=&quot;00A478DF&quot;/&gt;&lt;wsp:rsid wsp:val=&quot;00A47E27&quot;/&gt;&lt;wsp:rsid wsp:val=&quot;00A47E31&quot;/&gt;&lt;wsp:rsid wsp:val=&quot;00A47EE6&quot;/&gt;&lt;wsp:rsid wsp:val=&quot;00A5024A&quot;/&gt;&lt;wsp:rsid wsp:val=&quot;00A502A4&quot;/&gt;&lt;wsp:rsid wsp:val=&quot;00A5062E&quot;/&gt;&lt;wsp:rsid wsp:val=&quot;00A5063E&quot;/&gt;&lt;wsp:rsid wsp:val=&quot;00A50765&quot;/&gt;&lt;wsp:rsid wsp:val=&quot;00A507D1&quot;/&gt;&lt;wsp:rsid wsp:val=&quot;00A5098B&quot;/&gt;&lt;wsp:rsid wsp:val=&quot;00A509A3&quot;/&gt;&lt;wsp:rsid wsp:val=&quot;00A50C32&quot;/&gt;&lt;wsp:rsid wsp:val=&quot;00A50EA4&quot;/&gt;&lt;wsp:rsid wsp:val=&quot;00A50ECC&quot;/&gt;&lt;wsp:rsid wsp:val=&quot;00A50F8E&quot;/&gt;&lt;wsp:rsid wsp:val=&quot;00A51A0B&quot;/&gt;&lt;wsp:rsid wsp:val=&quot;00A51AF6&quot;/&gt;&lt;wsp:rsid wsp:val=&quot;00A51CC3&quot;/&gt;&lt;wsp:rsid wsp:val=&quot;00A51EFC&quot;/&gt;&lt;wsp:rsid wsp:val=&quot;00A52096&quot;/&gt;&lt;wsp:rsid wsp:val=&quot;00A520B4&quot;/&gt;&lt;wsp:rsid wsp:val=&quot;00A522CB&quot;/&gt;&lt;wsp:rsid wsp:val=&quot;00A52680&quot;/&gt;&lt;wsp:rsid wsp:val=&quot;00A52789&quot;/&gt;&lt;wsp:rsid wsp:val=&quot;00A527BA&quot;/&gt;&lt;wsp:rsid wsp:val=&quot;00A52C3A&quot;/&gt;&lt;wsp:rsid wsp:val=&quot;00A52FD0&quot;/&gt;&lt;wsp:rsid wsp:val=&quot;00A530BD&quot;/&gt;&lt;wsp:rsid wsp:val=&quot;00A531FF&quot;/&gt;&lt;wsp:rsid wsp:val=&quot;00A53536&quot;/&gt;&lt;wsp:rsid wsp:val=&quot;00A536CE&quot;/&gt;&lt;wsp:rsid wsp:val=&quot;00A53A7A&quot;/&gt;&lt;wsp:rsid wsp:val=&quot;00A53C3C&quot;/&gt;&lt;wsp:rsid wsp:val=&quot;00A53E6F&quot;/&gt;&lt;wsp:rsid wsp:val=&quot;00A5457C&quot;/&gt;&lt;wsp:rsid wsp:val=&quot;00A54631&quot;/&gt;&lt;wsp:rsid wsp:val=&quot;00A548BA&quot;/&gt;&lt;wsp:rsid wsp:val=&quot;00A5497A&quot;/&gt;&lt;wsp:rsid wsp:val=&quot;00A54D5C&quot;/&gt;&lt;wsp:rsid wsp:val=&quot;00A54E17&quot;/&gt;&lt;wsp:rsid wsp:val=&quot;00A5525A&quot;/&gt;&lt;wsp:rsid wsp:val=&quot;00A553AA&quot;/&gt;&lt;wsp:rsid wsp:val=&quot;00A55474&quot;/&gt;&lt;wsp:rsid wsp:val=&quot;00A557F8&quot;/&gt;&lt;wsp:rsid wsp:val=&quot;00A559C3&quot;/&gt;&lt;wsp:rsid wsp:val=&quot;00A55C3C&quot;/&gt;&lt;wsp:rsid wsp:val=&quot;00A55EFC&quot;/&gt;&lt;wsp:rsid wsp:val=&quot;00A55F2A&quot;/&gt;&lt;wsp:rsid wsp:val=&quot;00A55FDF&quot;/&gt;&lt;wsp:rsid wsp:val=&quot;00A56A02&quot;/&gt;&lt;wsp:rsid wsp:val=&quot;00A56AE0&quot;/&gt;&lt;wsp:rsid wsp:val=&quot;00A56BFB&quot;/&gt;&lt;wsp:rsid wsp:val=&quot;00A56CFD&quot;/&gt;&lt;wsp:rsid wsp:val=&quot;00A56E29&quot;/&gt;&lt;wsp:rsid wsp:val=&quot;00A56F6F&quot;/&gt;&lt;wsp:rsid wsp:val=&quot;00A57178&quot;/&gt;&lt;wsp:rsid wsp:val=&quot;00A5751A&quot;/&gt;&lt;wsp:rsid wsp:val=&quot;00A57592&quot;/&gt;&lt;wsp:rsid wsp:val=&quot;00A577A4&quot;/&gt;&lt;wsp:rsid wsp:val=&quot;00A57A54&quot;/&gt;&lt;wsp:rsid wsp:val=&quot;00A57D39&quot;/&gt;&lt;wsp:rsid wsp:val=&quot;00A57D40&quot;/&gt;&lt;wsp:rsid wsp:val=&quot;00A60002&quot;/&gt;&lt;wsp:rsid wsp:val=&quot;00A601B9&quot;/&gt;&lt;wsp:rsid wsp:val=&quot;00A602CE&quot;/&gt;&lt;wsp:rsid wsp:val=&quot;00A603C7&quot;/&gt;&lt;wsp:rsid wsp:val=&quot;00A60822&quot;/&gt;&lt;wsp:rsid wsp:val=&quot;00A608E5&quot;/&gt;&lt;wsp:rsid wsp:val=&quot;00A60A5F&quot;/&gt;&lt;wsp:rsid wsp:val=&quot;00A60B6C&quot;/&gt;&lt;wsp:rsid wsp:val=&quot;00A60C4C&quot;/&gt;&lt;wsp:rsid wsp:val=&quot;00A60CB4&quot;/&gt;&lt;wsp:rsid wsp:val=&quot;00A60E02&quot;/&gt;&lt;wsp:rsid wsp:val=&quot;00A60E88&quot;/&gt;&lt;wsp:rsid wsp:val=&quot;00A612DC&quot;/&gt;&lt;wsp:rsid wsp:val=&quot;00A61D33&quot;/&gt;&lt;wsp:rsid wsp:val=&quot;00A61D8F&quot;/&gt;&lt;wsp:rsid wsp:val=&quot;00A62116&quot;/&gt;&lt;wsp:rsid wsp:val=&quot;00A623EF&quot;/&gt;&lt;wsp:rsid wsp:val=&quot;00A6298A&quot;/&gt;&lt;wsp:rsid wsp:val=&quot;00A629FE&quot;/&gt;&lt;wsp:rsid wsp:val=&quot;00A6308D&quot;/&gt;&lt;wsp:rsid wsp:val=&quot;00A6326C&quot;/&gt;&lt;wsp:rsid wsp:val=&quot;00A636FA&quot;/&gt;&lt;wsp:rsid wsp:val=&quot;00A63E2B&quot;/&gt;&lt;wsp:rsid wsp:val=&quot;00A640C2&quot;/&gt;&lt;wsp:rsid wsp:val=&quot;00A64101&quot;/&gt;&lt;wsp:rsid wsp:val=&quot;00A641AC&quot;/&gt;&lt;wsp:rsid wsp:val=&quot;00A64372&quot;/&gt;&lt;wsp:rsid wsp:val=&quot;00A643C9&quot;/&gt;&lt;wsp:rsid wsp:val=&quot;00A645F7&quot;/&gt;&lt;wsp:rsid wsp:val=&quot;00A64779&quot;/&gt;&lt;wsp:rsid wsp:val=&quot;00A64B6E&quot;/&gt;&lt;wsp:rsid wsp:val=&quot;00A64D2D&quot;/&gt;&lt;wsp:rsid wsp:val=&quot;00A64D9C&quot;/&gt;&lt;wsp:rsid wsp:val=&quot;00A65233&quot;/&gt;&lt;wsp:rsid wsp:val=&quot;00A653A3&quot;/&gt;&lt;wsp:rsid wsp:val=&quot;00A65492&quot;/&gt;&lt;wsp:rsid wsp:val=&quot;00A654E6&quot;/&gt;&lt;wsp:rsid wsp:val=&quot;00A65519&quot;/&gt;&lt;wsp:rsid wsp:val=&quot;00A65930&quot;/&gt;&lt;wsp:rsid wsp:val=&quot;00A65B0D&quot;/&gt;&lt;wsp:rsid wsp:val=&quot;00A65F26&quot;/&gt;&lt;wsp:rsid wsp:val=&quot;00A66144&quot;/&gt;&lt;wsp:rsid wsp:val=&quot;00A667C1&quot;/&gt;&lt;wsp:rsid wsp:val=&quot;00A6681D&quot;/&gt;&lt;wsp:rsid wsp:val=&quot;00A66904&quot;/&gt;&lt;wsp:rsid wsp:val=&quot;00A66AB7&quot;/&gt;&lt;wsp:rsid wsp:val=&quot;00A66D01&quot;/&gt;&lt;wsp:rsid wsp:val=&quot;00A66D93&quot;/&gt;&lt;wsp:rsid wsp:val=&quot;00A66E58&quot;/&gt;&lt;wsp:rsid wsp:val=&quot;00A67119&quot;/&gt;&lt;wsp:rsid wsp:val=&quot;00A671A7&quot;/&gt;&lt;wsp:rsid wsp:val=&quot;00A674F3&quot;/&gt;&lt;wsp:rsid wsp:val=&quot;00A67A51&quot;/&gt;&lt;wsp:rsid wsp:val=&quot;00A67EA7&quot;/&gt;&lt;wsp:rsid wsp:val=&quot;00A67F63&quot;/&gt;&lt;wsp:rsid wsp:val=&quot;00A700E2&quot;/&gt;&lt;wsp:rsid wsp:val=&quot;00A701F0&quot;/&gt;&lt;wsp:rsid wsp:val=&quot;00A706AB&quot;/&gt;&lt;wsp:rsid wsp:val=&quot;00A70834&quot;/&gt;&lt;wsp:rsid wsp:val=&quot;00A7099E&quot;/&gt;&lt;wsp:rsid wsp:val=&quot;00A70DEC&quot;/&gt;&lt;wsp:rsid wsp:val=&quot;00A70EC0&quot;/&gt;&lt;wsp:rsid wsp:val=&quot;00A70EF1&quot;/&gt;&lt;wsp:rsid wsp:val=&quot;00A70F89&quot;/&gt;&lt;wsp:rsid wsp:val=&quot;00A7101B&quot;/&gt;&lt;wsp:rsid wsp:val=&quot;00A712DC&quot;/&gt;&lt;wsp:rsid wsp:val=&quot;00A713A1&quot;/&gt;&lt;wsp:rsid wsp:val=&quot;00A713BE&quot;/&gt;&lt;wsp:rsid wsp:val=&quot;00A7151D&quot;/&gt;&lt;wsp:rsid wsp:val=&quot;00A71704&quot;/&gt;&lt;wsp:rsid wsp:val=&quot;00A71764&quot;/&gt;&lt;wsp:rsid wsp:val=&quot;00A71843&quot;/&gt;&lt;wsp:rsid wsp:val=&quot;00A71AA5&quot;/&gt;&lt;wsp:rsid wsp:val=&quot;00A71E06&quot;/&gt;&lt;wsp:rsid wsp:val=&quot;00A71E82&quot;/&gt;&lt;wsp:rsid wsp:val=&quot;00A71E86&quot;/&gt;&lt;wsp:rsid wsp:val=&quot;00A71F2E&quot;/&gt;&lt;wsp:rsid wsp:val=&quot;00A72AD5&quot;/&gt;&lt;wsp:rsid wsp:val=&quot;00A72B90&quot;/&gt;&lt;wsp:rsid wsp:val=&quot;00A72C06&quot;/&gt;&lt;wsp:rsid wsp:val=&quot;00A72DFF&quot;/&gt;&lt;wsp:rsid wsp:val=&quot;00A72E95&quot;/&gt;&lt;wsp:rsid wsp:val=&quot;00A72F47&quot;/&gt;&lt;wsp:rsid wsp:val=&quot;00A72FA4&quot;/&gt;&lt;wsp:rsid wsp:val=&quot;00A730F4&quot;/&gt;&lt;wsp:rsid wsp:val=&quot;00A73314&quot;/&gt;&lt;wsp:rsid wsp:val=&quot;00A7341F&quot;/&gt;&lt;wsp:rsid wsp:val=&quot;00A736A3&quot;/&gt;&lt;wsp:rsid wsp:val=&quot;00A73848&quot;/&gt;&lt;wsp:rsid wsp:val=&quot;00A73858&quot;/&gt;&lt;wsp:rsid wsp:val=&quot;00A73876&quot;/&gt;&lt;wsp:rsid wsp:val=&quot;00A74035&quot;/&gt;&lt;wsp:rsid wsp:val=&quot;00A7429B&quot;/&gt;&lt;wsp:rsid wsp:val=&quot;00A745C8&quot;/&gt;&lt;wsp:rsid wsp:val=&quot;00A74D4B&quot;/&gt;&lt;wsp:rsid wsp:val=&quot;00A750A6&quot;/&gt;&lt;wsp:rsid wsp:val=&quot;00A7548F&quot;/&gt;&lt;wsp:rsid wsp:val=&quot;00A756F3&quot;/&gt;&lt;wsp:rsid wsp:val=&quot;00A75A38&quot;/&gt;&lt;wsp:rsid wsp:val=&quot;00A75AB6&quot;/&gt;&lt;wsp:rsid wsp:val=&quot;00A75B1E&quot;/&gt;&lt;wsp:rsid wsp:val=&quot;00A75DCC&quot;/&gt;&lt;wsp:rsid wsp:val=&quot;00A75F7D&quot;/&gt;&lt;wsp:rsid wsp:val=&quot;00A76191&quot;/&gt;&lt;wsp:rsid wsp:val=&quot;00A7683B&quot;/&gt;&lt;wsp:rsid wsp:val=&quot;00A768E4&quot;/&gt;&lt;wsp:rsid wsp:val=&quot;00A76E8A&quot;/&gt;&lt;wsp:rsid wsp:val=&quot;00A76F1D&quot;/&gt;&lt;wsp:rsid wsp:val=&quot;00A7715D&quot;/&gt;&lt;wsp:rsid wsp:val=&quot;00A7726A&quot;/&gt;&lt;wsp:rsid wsp:val=&quot;00A773DF&quot;/&gt;&lt;wsp:rsid wsp:val=&quot;00A77557&quot;/&gt;&lt;wsp:rsid wsp:val=&quot;00A776E5&quot;/&gt;&lt;wsp:rsid wsp:val=&quot;00A778D4&quot;/&gt;&lt;wsp:rsid wsp:val=&quot;00A77C0F&quot;/&gt;&lt;wsp:rsid wsp:val=&quot;00A77CA5&quot;/&gt;&lt;wsp:rsid wsp:val=&quot;00A77E71&quot;/&gt;&lt;wsp:rsid wsp:val=&quot;00A8013D&quot;/&gt;&lt;wsp:rsid wsp:val=&quot;00A805EE&quot;/&gt;&lt;wsp:rsid wsp:val=&quot;00A8073C&quot;/&gt;&lt;wsp:rsid wsp:val=&quot;00A80982&quot;/&gt;&lt;wsp:rsid wsp:val=&quot;00A80B22&quot;/&gt;&lt;wsp:rsid wsp:val=&quot;00A80C45&quot;/&gt;&lt;wsp:rsid wsp:val=&quot;00A8116A&quot;/&gt;&lt;wsp:rsid wsp:val=&quot;00A81253&quot;/&gt;&lt;wsp:rsid wsp:val=&quot;00A81266&quot;/&gt;&lt;wsp:rsid wsp:val=&quot;00A81290&quot;/&gt;&lt;wsp:rsid wsp:val=&quot;00A81353&quot;/&gt;&lt;wsp:rsid wsp:val=&quot;00A81541&quot;/&gt;&lt;wsp:rsid wsp:val=&quot;00A815A9&quot;/&gt;&lt;wsp:rsid wsp:val=&quot;00A81A9C&quot;/&gt;&lt;wsp:rsid wsp:val=&quot;00A81D07&quot;/&gt;&lt;wsp:rsid wsp:val=&quot;00A81D43&quot;/&gt;&lt;wsp:rsid wsp:val=&quot;00A820B8&quot;/&gt;&lt;wsp:rsid wsp:val=&quot;00A82139&quot;/&gt;&lt;wsp:rsid wsp:val=&quot;00A82905&quot;/&gt;&lt;wsp:rsid wsp:val=&quot;00A82B16&quot;/&gt;&lt;wsp:rsid wsp:val=&quot;00A82C2F&quot;/&gt;&lt;wsp:rsid wsp:val=&quot;00A82DF0&quot;/&gt;&lt;wsp:rsid wsp:val=&quot;00A82FE1&quot;/&gt;&lt;wsp:rsid wsp:val=&quot;00A8308F&quot;/&gt;&lt;wsp:rsid wsp:val=&quot;00A83188&quot;/&gt;&lt;wsp:rsid wsp:val=&quot;00A8343E&quot;/&gt;&lt;wsp:rsid wsp:val=&quot;00A835FF&quot;/&gt;&lt;wsp:rsid wsp:val=&quot;00A838A0&quot;/&gt;&lt;wsp:rsid wsp:val=&quot;00A83DF5&quot;/&gt;&lt;wsp:rsid wsp:val=&quot;00A8404A&quot;/&gt;&lt;wsp:rsid wsp:val=&quot;00A840EE&quot;/&gt;&lt;wsp:rsid wsp:val=&quot;00A84340&quot;/&gt;&lt;wsp:rsid wsp:val=&quot;00A843BF&quot;/&gt;&lt;wsp:rsid wsp:val=&quot;00A84A92&quot;/&gt;&lt;wsp:rsid wsp:val=&quot;00A84AF2&quot;/&gt;&lt;wsp:rsid wsp:val=&quot;00A84BC7&quot;/&gt;&lt;wsp:rsid wsp:val=&quot;00A84D42&quot;/&gt;&lt;wsp:rsid wsp:val=&quot;00A84DD3&quot;/&gt;&lt;wsp:rsid wsp:val=&quot;00A850BD&quot;/&gt;&lt;wsp:rsid wsp:val=&quot;00A851B7&quot;/&gt;&lt;wsp:rsid wsp:val=&quot;00A853E3&quot;/&gt;&lt;wsp:rsid wsp:val=&quot;00A855E1&quot;/&gt;&lt;wsp:rsid wsp:val=&quot;00A858F4&quot;/&gt;&lt;wsp:rsid wsp:val=&quot;00A85A3C&quot;/&gt;&lt;wsp:rsid wsp:val=&quot;00A85C00&quot;/&gt;&lt;wsp:rsid wsp:val=&quot;00A85DEF&quot;/&gt;&lt;wsp:rsid wsp:val=&quot;00A85F4B&quot;/&gt;&lt;wsp:rsid wsp:val=&quot;00A85FDB&quot;/&gt;&lt;wsp:rsid wsp:val=&quot;00A8626B&quot;/&gt;&lt;wsp:rsid wsp:val=&quot;00A8626D&quot;/&gt;&lt;wsp:rsid wsp:val=&quot;00A8643C&quot;/&gt;&lt;wsp:rsid wsp:val=&quot;00A864F8&quot;/&gt;&lt;wsp:rsid wsp:val=&quot;00A86656&quot;/&gt;&lt;wsp:rsid wsp:val=&quot;00A866D8&quot;/&gt;&lt;wsp:rsid wsp:val=&quot;00A86810&quot;/&gt;&lt;wsp:rsid wsp:val=&quot;00A86947&quot;/&gt;&lt;wsp:rsid wsp:val=&quot;00A86968&quot;/&gt;&lt;wsp:rsid wsp:val=&quot;00A86A80&quot;/&gt;&lt;wsp:rsid wsp:val=&quot;00A86B8A&quot;/&gt;&lt;wsp:rsid wsp:val=&quot;00A86FA1&quot;/&gt;&lt;wsp:rsid wsp:val=&quot;00A87244&quot;/&gt;&lt;wsp:rsid wsp:val=&quot;00A8776C&quot;/&gt;&lt;wsp:rsid wsp:val=&quot;00A87989&quot;/&gt;&lt;wsp:rsid wsp:val=&quot;00A87B2B&quot;/&gt;&lt;wsp:rsid wsp:val=&quot;00A87BBB&quot;/&gt;&lt;wsp:rsid wsp:val=&quot;00A87EB8&quot;/&gt;&lt;wsp:rsid wsp:val=&quot;00A87FDF&quot;/&gt;&lt;wsp:rsid wsp:val=&quot;00A90088&quot;/&gt;&lt;wsp:rsid wsp:val=&quot;00A901B1&quot;/&gt;&lt;wsp:rsid wsp:val=&quot;00A90618&quot;/&gt;&lt;wsp:rsid wsp:val=&quot;00A90DB6&quot;/&gt;&lt;wsp:rsid wsp:val=&quot;00A9105C&quot;/&gt;&lt;wsp:rsid wsp:val=&quot;00A9138C&quot;/&gt;&lt;wsp:rsid wsp:val=&quot;00A914A2&quot;/&gt;&lt;wsp:rsid wsp:val=&quot;00A91628&quot;/&gt;&lt;wsp:rsid wsp:val=&quot;00A91CEB&quot;/&gt;&lt;wsp:rsid wsp:val=&quot;00A91D5E&quot;/&gt;&lt;wsp:rsid wsp:val=&quot;00A92062&quot;/&gt;&lt;wsp:rsid wsp:val=&quot;00A9293D&quot;/&gt;&lt;wsp:rsid wsp:val=&quot;00A92982&quot;/&gt;&lt;wsp:rsid wsp:val=&quot;00A92B3C&quot;/&gt;&lt;wsp:rsid wsp:val=&quot;00A92CA9&quot;/&gt;&lt;wsp:rsid wsp:val=&quot;00A92E0F&quot;/&gt;&lt;wsp:rsid wsp:val=&quot;00A92F22&quot;/&gt;&lt;wsp:rsid wsp:val=&quot;00A934CB&quot;/&gt;&lt;wsp:rsid wsp:val=&quot;00A9374D&quot;/&gt;&lt;wsp:rsid wsp:val=&quot;00A93816&quot;/&gt;&lt;wsp:rsid wsp:val=&quot;00A93818&quot;/&gt;&lt;wsp:rsid wsp:val=&quot;00A9383B&quot;/&gt;&lt;wsp:rsid wsp:val=&quot;00A939B4&quot;/&gt;&lt;wsp:rsid wsp:val=&quot;00A939E2&quot;/&gt;&lt;wsp:rsid wsp:val=&quot;00A93B37&quot;/&gt;&lt;wsp:rsid wsp:val=&quot;00A93DDA&quot;/&gt;&lt;wsp:rsid wsp:val=&quot;00A93EC7&quot;/&gt;&lt;wsp:rsid wsp:val=&quot;00A93EEC&quot;/&gt;&lt;wsp:rsid wsp:val=&quot;00A94056&quot;/&gt;&lt;wsp:rsid wsp:val=&quot;00A9417A&quot;/&gt;&lt;wsp:rsid wsp:val=&quot;00A9499D&quot;/&gt;&lt;wsp:rsid wsp:val=&quot;00A94B15&quot;/&gt;&lt;wsp:rsid wsp:val=&quot;00A94DD3&quot;/&gt;&lt;wsp:rsid wsp:val=&quot;00A94DF7&quot;/&gt;&lt;wsp:rsid wsp:val=&quot;00A94E70&quot;/&gt;&lt;wsp:rsid wsp:val=&quot;00A94F60&quot;/&gt;&lt;wsp:rsid wsp:val=&quot;00A95095&quot;/&gt;&lt;wsp:rsid wsp:val=&quot;00A9578F&quot;/&gt;&lt;wsp:rsid wsp:val=&quot;00A95C20&quot;/&gt;&lt;wsp:rsid wsp:val=&quot;00A95C77&quot;/&gt;&lt;wsp:rsid wsp:val=&quot;00A95DD5&quot;/&gt;&lt;wsp:rsid wsp:val=&quot;00A95E1A&quot;/&gt;&lt;wsp:rsid wsp:val=&quot;00A96031&quot;/&gt;&lt;wsp:rsid wsp:val=&quot;00A960CA&quot;/&gt;&lt;wsp:rsid wsp:val=&quot;00A962E9&quot;/&gt;&lt;wsp:rsid wsp:val=&quot;00A96413&quot;/&gt;&lt;wsp:rsid wsp:val=&quot;00A9683D&quot;/&gt;&lt;wsp:rsid wsp:val=&quot;00A96DEE&quot;/&gt;&lt;wsp:rsid wsp:val=&quot;00A96EF0&quot;/&gt;&lt;wsp:rsid wsp:val=&quot;00A96F4D&quot;/&gt;&lt;wsp:rsid wsp:val=&quot;00A970A8&quot;/&gt;&lt;wsp:rsid wsp:val=&quot;00A97566&quot;/&gt;&lt;wsp:rsid wsp:val=&quot;00A975D8&quot;/&gt;&lt;wsp:rsid wsp:val=&quot;00A976A1&quot;/&gt;&lt;wsp:rsid wsp:val=&quot;00A97972&quot;/&gt;&lt;wsp:rsid wsp:val=&quot;00A97A5B&quot;/&gt;&lt;wsp:rsid wsp:val=&quot;00A97BA4&quot;/&gt;&lt;wsp:rsid wsp:val=&quot;00A97BF3&quot;/&gt;&lt;wsp:rsid wsp:val=&quot;00A97CC9&quot;/&gt;&lt;wsp:rsid wsp:val=&quot;00A97DBF&quot;/&gt;&lt;wsp:rsid wsp:val=&quot;00AA0095&quot;/&gt;&lt;wsp:rsid wsp:val=&quot;00AA0176&quot;/&gt;&lt;wsp:rsid wsp:val=&quot;00AA01A8&quot;/&gt;&lt;wsp:rsid wsp:val=&quot;00AA0384&quot;/&gt;&lt;wsp:rsid wsp:val=&quot;00AA05BC&quot;/&gt;&lt;wsp:rsid wsp:val=&quot;00AA080A&quot;/&gt;&lt;wsp:rsid wsp:val=&quot;00AA0C3D&quot;/&gt;&lt;wsp:rsid wsp:val=&quot;00AA1085&quot;/&gt;&lt;wsp:rsid wsp:val=&quot;00AA1434&quot;/&gt;&lt;wsp:rsid wsp:val=&quot;00AA158C&quot;/&gt;&lt;wsp:rsid wsp:val=&quot;00AA1652&quot;/&gt;&lt;wsp:rsid wsp:val=&quot;00AA18FA&quot;/&gt;&lt;wsp:rsid wsp:val=&quot;00AA19FB&quot;/&gt;&lt;wsp:rsid wsp:val=&quot;00AA258E&quot;/&gt;&lt;wsp:rsid wsp:val=&quot;00AA259C&quot;/&gt;&lt;wsp:rsid wsp:val=&quot;00AA27E0&quot;/&gt;&lt;wsp:rsid wsp:val=&quot;00AA2837&quot;/&gt;&lt;wsp:rsid wsp:val=&quot;00AA2866&quot;/&gt;&lt;wsp:rsid wsp:val=&quot;00AA2D52&quot;/&gt;&lt;wsp:rsid wsp:val=&quot;00AA2F21&quot;/&gt;&lt;wsp:rsid wsp:val=&quot;00AA3090&quot;/&gt;&lt;wsp:rsid wsp:val=&quot;00AA340A&quot;/&gt;&lt;wsp:rsid wsp:val=&quot;00AA34B0&quot;/&gt;&lt;wsp:rsid wsp:val=&quot;00AA372F&quot;/&gt;&lt;wsp:rsid wsp:val=&quot;00AA3B5D&quot;/&gt;&lt;wsp:rsid wsp:val=&quot;00AA3D26&quot;/&gt;&lt;wsp:rsid wsp:val=&quot;00AA3F9E&quot;/&gt;&lt;wsp:rsid wsp:val=&quot;00AA41C3&quot;/&gt;&lt;wsp:rsid wsp:val=&quot;00AA4212&quot;/&gt;&lt;wsp:rsid wsp:val=&quot;00AA421B&quot;/&gt;&lt;wsp:rsid wsp:val=&quot;00AA436D&quot;/&gt;&lt;wsp:rsid wsp:val=&quot;00AA45A5&quot;/&gt;&lt;wsp:rsid wsp:val=&quot;00AA49DA&quot;/&gt;&lt;wsp:rsid wsp:val=&quot;00AA4B20&quot;/&gt;&lt;wsp:rsid wsp:val=&quot;00AA4C83&quot;/&gt;&lt;wsp:rsid wsp:val=&quot;00AA4F99&quot;/&gt;&lt;wsp:rsid wsp:val=&quot;00AA4FA1&quot;/&gt;&lt;wsp:rsid wsp:val=&quot;00AA5068&quot;/&gt;&lt;wsp:rsid wsp:val=&quot;00AA5A3C&quot;/&gt;&lt;wsp:rsid wsp:val=&quot;00AA5A7E&quot;/&gt;&lt;wsp:rsid wsp:val=&quot;00AA5ACE&quot;/&gt;&lt;wsp:rsid wsp:val=&quot;00AA6823&quot;/&gt;&lt;wsp:rsid wsp:val=&quot;00AA68E2&quot;/&gt;&lt;wsp:rsid wsp:val=&quot;00AA6968&quot;/&gt;&lt;wsp:rsid wsp:val=&quot;00AA6AA6&quot;/&gt;&lt;wsp:rsid wsp:val=&quot;00AA6AA8&quot;/&gt;&lt;wsp:rsid wsp:val=&quot;00AA6ADC&quot;/&gt;&lt;wsp:rsid wsp:val=&quot;00AA7807&quot;/&gt;&lt;wsp:rsid wsp:val=&quot;00AA7F4F&quot;/&gt;&lt;wsp:rsid wsp:val=&quot;00AA7FCE&quot;/&gt;&lt;wsp:rsid wsp:val=&quot;00AB045D&quot;/&gt;&lt;wsp:rsid wsp:val=&quot;00AB088A&quot;/&gt;&lt;wsp:rsid wsp:val=&quot;00AB09BF&quot;/&gt;&lt;wsp:rsid wsp:val=&quot;00AB0CBE&quot;/&gt;&lt;wsp:rsid wsp:val=&quot;00AB0E6C&quot;/&gt;&lt;wsp:rsid wsp:val=&quot;00AB1174&quot;/&gt;&lt;wsp:rsid wsp:val=&quot;00AB1459&quot;/&gt;&lt;wsp:rsid wsp:val=&quot;00AB16B9&quot;/&gt;&lt;wsp:rsid wsp:val=&quot;00AB1736&quot;/&gt;&lt;wsp:rsid wsp:val=&quot;00AB17FD&quot;/&gt;&lt;wsp:rsid wsp:val=&quot;00AB1CB5&quot;/&gt;&lt;wsp:rsid wsp:val=&quot;00AB1ECD&quot;/&gt;&lt;wsp:rsid wsp:val=&quot;00AB220E&quot;/&gt;&lt;wsp:rsid wsp:val=&quot;00AB2404&quot;/&gt;&lt;wsp:rsid wsp:val=&quot;00AB25BF&quot;/&gt;&lt;wsp:rsid wsp:val=&quot;00AB25F6&quot;/&gt;&lt;wsp:rsid wsp:val=&quot;00AB2603&quot;/&gt;&lt;wsp:rsid wsp:val=&quot;00AB28FD&quot;/&gt;&lt;wsp:rsid wsp:val=&quot;00AB2BC5&quot;/&gt;&lt;wsp:rsid wsp:val=&quot;00AB2C0F&quot;/&gt;&lt;wsp:rsid wsp:val=&quot;00AB2F25&quot;/&gt;&lt;wsp:rsid wsp:val=&quot;00AB3393&quot;/&gt;&lt;wsp:rsid wsp:val=&quot;00AB387D&quot;/&gt;&lt;wsp:rsid wsp:val=&quot;00AB396F&quot;/&gt;&lt;wsp:rsid wsp:val=&quot;00AB3A31&quot;/&gt;&lt;wsp:rsid wsp:val=&quot;00AB3BBE&quot;/&gt;&lt;wsp:rsid wsp:val=&quot;00AB3D04&quot;/&gt;&lt;wsp:rsid wsp:val=&quot;00AB4134&quot;/&gt;&lt;wsp:rsid wsp:val=&quot;00AB417C&quot;/&gt;&lt;wsp:rsid wsp:val=&quot;00AB4523&quot;/&gt;&lt;wsp:rsid wsp:val=&quot;00AB4548&quot;/&gt;&lt;wsp:rsid wsp:val=&quot;00AB477C&quot;/&gt;&lt;wsp:rsid wsp:val=&quot;00AB48C0&quot;/&gt;&lt;wsp:rsid wsp:val=&quot;00AB4D22&quot;/&gt;&lt;wsp:rsid wsp:val=&quot;00AB5101&quot;/&gt;&lt;wsp:rsid wsp:val=&quot;00AB521B&quot;/&gt;&lt;wsp:rsid wsp:val=&quot;00AB52A9&quot;/&gt;&lt;wsp:rsid wsp:val=&quot;00AB5608&quot;/&gt;&lt;wsp:rsid wsp:val=&quot;00AB595C&quot;/&gt;&lt;wsp:rsid wsp:val=&quot;00AB5AFA&quot;/&gt;&lt;wsp:rsid wsp:val=&quot;00AB5DCF&quot;/&gt;&lt;wsp:rsid wsp:val=&quot;00AB63F5&quot;/&gt;&lt;wsp:rsid wsp:val=&quot;00AB6B0F&quot;/&gt;&lt;wsp:rsid wsp:val=&quot;00AB6C3C&quot;/&gt;&lt;wsp:rsid wsp:val=&quot;00AB6C78&quot;/&gt;&lt;wsp:rsid wsp:val=&quot;00AB6E84&quot;/&gt;&lt;wsp:rsid wsp:val=&quot;00AB6F09&quot;/&gt;&lt;wsp:rsid wsp:val=&quot;00AB767E&quot;/&gt;&lt;wsp:rsid wsp:val=&quot;00AB7DD0&quot;/&gt;&lt;wsp:rsid wsp:val=&quot;00AC0062&quot;/&gt;&lt;wsp:rsid wsp:val=&quot;00AC01C5&quot;/&gt;&lt;wsp:rsid wsp:val=&quot;00AC029F&quot;/&gt;&lt;wsp:rsid wsp:val=&quot;00AC03B0&quot;/&gt;&lt;wsp:rsid wsp:val=&quot;00AC0429&quot;/&gt;&lt;wsp:rsid wsp:val=&quot;00AC0434&quot;/&gt;&lt;wsp:rsid wsp:val=&quot;00AC0550&quot;/&gt;&lt;wsp:rsid wsp:val=&quot;00AC0CEB&quot;/&gt;&lt;wsp:rsid wsp:val=&quot;00AC0EB4&quot;/&gt;&lt;wsp:rsid wsp:val=&quot;00AC0EBE&quot;/&gt;&lt;wsp:rsid wsp:val=&quot;00AC0F55&quot;/&gt;&lt;wsp:rsid wsp:val=&quot;00AC1237&quot;/&gt;&lt;wsp:rsid wsp:val=&quot;00AC15F8&quot;/&gt;&lt;wsp:rsid wsp:val=&quot;00AC1961&quot;/&gt;&lt;wsp:rsid wsp:val=&quot;00AC1B00&quot;/&gt;&lt;wsp:rsid wsp:val=&quot;00AC1FC7&quot;/&gt;&lt;wsp:rsid wsp:val=&quot;00AC20A8&quot;/&gt;&lt;wsp:rsid wsp:val=&quot;00AC20E9&quot;/&gt;&lt;wsp:rsid wsp:val=&quot;00AC21C3&quot;/&gt;&lt;wsp:rsid wsp:val=&quot;00AC2714&quot;/&gt;&lt;wsp:rsid wsp:val=&quot;00AC2F06&quot;/&gt;&lt;wsp:rsid wsp:val=&quot;00AC2FC2&quot;/&gt;&lt;wsp:rsid wsp:val=&quot;00AC301B&quot;/&gt;&lt;wsp:rsid wsp:val=&quot;00AC3116&quot;/&gt;&lt;wsp:rsid wsp:val=&quot;00AC3589&quot;/&gt;&lt;wsp:rsid wsp:val=&quot;00AC35F7&quot;/&gt;&lt;wsp:rsid wsp:val=&quot;00AC3A06&quot;/&gt;&lt;wsp:rsid wsp:val=&quot;00AC3DBC&quot;/&gt;&lt;wsp:rsid wsp:val=&quot;00AC40F4&quot;/&gt;&lt;wsp:rsid wsp:val=&quot;00AC4264&quot;/&gt;&lt;wsp:rsid wsp:val=&quot;00AC438D&quot;/&gt;&lt;wsp:rsid wsp:val=&quot;00AC445B&quot;/&gt;&lt;wsp:rsid wsp:val=&quot;00AC46ED&quot;/&gt;&lt;wsp:rsid wsp:val=&quot;00AC475C&quot;/&gt;&lt;wsp:rsid wsp:val=&quot;00AC4DBE&quot;/&gt;&lt;wsp:rsid wsp:val=&quot;00AC4EC6&quot;/&gt;&lt;wsp:rsid wsp:val=&quot;00AC515F&quot;/&gt;&lt;wsp:rsid wsp:val=&quot;00AC51DC&quot;/&gt;&lt;wsp:rsid wsp:val=&quot;00AC5207&quot;/&gt;&lt;wsp:rsid wsp:val=&quot;00AC544E&quot;/&gt;&lt;wsp:rsid wsp:val=&quot;00AC5496&quot;/&gt;&lt;wsp:rsid wsp:val=&quot;00AC569E&quot;/&gt;&lt;wsp:rsid wsp:val=&quot;00AC58D1&quot;/&gt;&lt;wsp:rsid wsp:val=&quot;00AC592C&quot;/&gt;&lt;wsp:rsid wsp:val=&quot;00AC5C6B&quot;/&gt;&lt;wsp:rsid wsp:val=&quot;00AC5CE3&quot;/&gt;&lt;wsp:rsid wsp:val=&quot;00AC5DF3&quot;/&gt;&lt;wsp:rsid wsp:val=&quot;00AC6209&quot;/&gt;&lt;wsp:rsid wsp:val=&quot;00AC6238&quot;/&gt;&lt;wsp:rsid wsp:val=&quot;00AC6395&quot;/&gt;&lt;wsp:rsid wsp:val=&quot;00AC640C&quot;/&gt;&lt;wsp:rsid wsp:val=&quot;00AC64FC&quot;/&gt;&lt;wsp:rsid wsp:val=&quot;00AC6637&quot;/&gt;&lt;wsp:rsid wsp:val=&quot;00AC6772&quot;/&gt;&lt;wsp:rsid wsp:val=&quot;00AC6A4C&quot;/&gt;&lt;wsp:rsid wsp:val=&quot;00AC6B91&quot;/&gt;&lt;wsp:rsid wsp:val=&quot;00AC6D80&quot;/&gt;&lt;wsp:rsid wsp:val=&quot;00AC6EBD&quot;/&gt;&lt;wsp:rsid wsp:val=&quot;00AC7044&quot;/&gt;&lt;wsp:rsid wsp:val=&quot;00AC7200&quot;/&gt;&lt;wsp:rsid wsp:val=&quot;00AC7263&quot;/&gt;&lt;wsp:rsid wsp:val=&quot;00AC72E3&quot;/&gt;&lt;wsp:rsid wsp:val=&quot;00AC79B4&quot;/&gt;&lt;wsp:rsid wsp:val=&quot;00AC7AC2&quot;/&gt;&lt;wsp:rsid wsp:val=&quot;00AC7B90&quot;/&gt;&lt;wsp:rsid wsp:val=&quot;00AC7BC8&quot;/&gt;&lt;wsp:rsid wsp:val=&quot;00AD0451&quot;/&gt;&lt;wsp:rsid wsp:val=&quot;00AD0519&quot;/&gt;&lt;wsp:rsid wsp:val=&quot;00AD0542&quot;/&gt;&lt;wsp:rsid wsp:val=&quot;00AD0684&quot;/&gt;&lt;wsp:rsid wsp:val=&quot;00AD0961&quot;/&gt;&lt;wsp:rsid wsp:val=&quot;00AD096D&quot;/&gt;&lt;wsp:rsid wsp:val=&quot;00AD0B0F&quot;/&gt;&lt;wsp:rsid wsp:val=&quot;00AD0B1C&quot;/&gt;&lt;wsp:rsid wsp:val=&quot;00AD1BA5&quot;/&gt;&lt;wsp:rsid wsp:val=&quot;00AD1C20&quot;/&gt;&lt;wsp:rsid wsp:val=&quot;00AD1DD5&quot;/&gt;&lt;wsp:rsid wsp:val=&quot;00AD1F02&quot;/&gt;&lt;wsp:rsid wsp:val=&quot;00AD1F2D&quot;/&gt;&lt;wsp:rsid wsp:val=&quot;00AD217A&quot;/&gt;&lt;wsp:rsid wsp:val=&quot;00AD225A&quot;/&gt;&lt;wsp:rsid wsp:val=&quot;00AD249C&quot;/&gt;&lt;wsp:rsid wsp:val=&quot;00AD2553&quot;/&gt;&lt;wsp:rsid wsp:val=&quot;00AD2602&quot;/&gt;&lt;wsp:rsid wsp:val=&quot;00AD2711&quot;/&gt;&lt;wsp:rsid wsp:val=&quot;00AD2831&quot;/&gt;&lt;wsp:rsid wsp:val=&quot;00AD2A02&quot;/&gt;&lt;wsp:rsid wsp:val=&quot;00AD2A11&quot;/&gt;&lt;wsp:rsid wsp:val=&quot;00AD2DF6&quot;/&gt;&lt;wsp:rsid wsp:val=&quot;00AD2E8F&quot;/&gt;&lt;wsp:rsid wsp:val=&quot;00AD2E9C&quot;/&gt;&lt;wsp:rsid wsp:val=&quot;00AD2EBD&quot;/&gt;&lt;wsp:rsid wsp:val=&quot;00AD3473&quot;/&gt;&lt;wsp:rsid wsp:val=&quot;00AD352F&quot;/&gt;&lt;wsp:rsid wsp:val=&quot;00AD3848&quot;/&gt;&lt;wsp:rsid wsp:val=&quot;00AD3A32&quot;/&gt;&lt;wsp:rsid wsp:val=&quot;00AD3E67&quot;/&gt;&lt;wsp:rsid wsp:val=&quot;00AD45A2&quot;/&gt;&lt;wsp:rsid wsp:val=&quot;00AD492B&quot;/&gt;&lt;wsp:rsid wsp:val=&quot;00AD4A7B&quot;/&gt;&lt;wsp:rsid wsp:val=&quot;00AD4CAB&quot;/&gt;&lt;wsp:rsid wsp:val=&quot;00AD4E1C&quot;/&gt;&lt;wsp:rsid wsp:val=&quot;00AD4E4D&quot;/&gt;&lt;wsp:rsid wsp:val=&quot;00AD4E9B&quot;/&gt;&lt;wsp:rsid wsp:val=&quot;00AD4EF4&quot;/&gt;&lt;wsp:rsid wsp:val=&quot;00AD507B&quot;/&gt;&lt;wsp:rsid wsp:val=&quot;00AD5116&quot;/&gt;&lt;wsp:rsid wsp:val=&quot;00AD547B&quot;/&gt;&lt;wsp:rsid wsp:val=&quot;00AD5488&quot;/&gt;&lt;wsp:rsid wsp:val=&quot;00AD55C7&quot;/&gt;&lt;wsp:rsid wsp:val=&quot;00AD561C&quot;/&gt;&lt;wsp:rsid wsp:val=&quot;00AD5A1A&quot;/&gt;&lt;wsp:rsid wsp:val=&quot;00AD5B9F&quot;/&gt;&lt;wsp:rsid wsp:val=&quot;00AD602B&quot;/&gt;&lt;wsp:rsid wsp:val=&quot;00AD6210&quot;/&gt;&lt;wsp:rsid wsp:val=&quot;00AD696E&quot;/&gt;&lt;wsp:rsid wsp:val=&quot;00AD7309&quot;/&gt;&lt;wsp:rsid wsp:val=&quot;00AD73F3&quot;/&gt;&lt;wsp:rsid wsp:val=&quot;00AD74F0&quot;/&gt;&lt;wsp:rsid wsp:val=&quot;00AD75B8&quot;/&gt;&lt;wsp:rsid wsp:val=&quot;00AD7A90&quot;/&gt;&lt;wsp:rsid wsp:val=&quot;00AD7EC5&quot;/&gt;&lt;wsp:rsid wsp:val=&quot;00AE0156&quot;/&gt;&lt;wsp:rsid wsp:val=&quot;00AE0588&quot;/&gt;&lt;wsp:rsid wsp:val=&quot;00AE0F66&quot;/&gt;&lt;wsp:rsid wsp:val=&quot;00AE1B00&quot;/&gt;&lt;wsp:rsid wsp:val=&quot;00AE1C87&quot;/&gt;&lt;wsp:rsid wsp:val=&quot;00AE210C&quot;/&gt;&lt;wsp:rsid wsp:val=&quot;00AE22BC&quot;/&gt;&lt;wsp:rsid wsp:val=&quot;00AE22EC&quot;/&gt;&lt;wsp:rsid wsp:val=&quot;00AE26C9&quot;/&gt;&lt;wsp:rsid wsp:val=&quot;00AE2EAD&quot;/&gt;&lt;wsp:rsid wsp:val=&quot;00AE2F90&quot;/&gt;&lt;wsp:rsid wsp:val=&quot;00AE31FE&quot;/&gt;&lt;wsp:rsid wsp:val=&quot;00AE3B7D&quot;/&gt;&lt;wsp:rsid wsp:val=&quot;00AE3C7A&quot;/&gt;&lt;wsp:rsid wsp:val=&quot;00AE3C84&quot;/&gt;&lt;wsp:rsid wsp:val=&quot;00AE4019&quot;/&gt;&lt;wsp:rsid wsp:val=&quot;00AE4236&quot;/&gt;&lt;wsp:rsid wsp:val=&quot;00AE42D5&quot;/&gt;&lt;wsp:rsid wsp:val=&quot;00AE4332&quot;/&gt;&lt;wsp:rsid wsp:val=&quot;00AE4396&quot;/&gt;&lt;wsp:rsid wsp:val=&quot;00AE4586&quot;/&gt;&lt;wsp:rsid wsp:val=&quot;00AE4A15&quot;/&gt;&lt;wsp:rsid wsp:val=&quot;00AE4B39&quot;/&gt;&lt;wsp:rsid wsp:val=&quot;00AE4FD6&quot;/&gt;&lt;wsp:rsid wsp:val=&quot;00AE5071&quot;/&gt;&lt;wsp:rsid wsp:val=&quot;00AE50A6&quot;/&gt;&lt;wsp:rsid wsp:val=&quot;00AE528B&quot;/&gt;&lt;wsp:rsid wsp:val=&quot;00AE53D8&quot;/&gt;&lt;wsp:rsid wsp:val=&quot;00AE55C9&quot;/&gt;&lt;wsp:rsid wsp:val=&quot;00AE569E&quot;/&gt;&lt;wsp:rsid wsp:val=&quot;00AE56B1&quot;/&gt;&lt;wsp:rsid wsp:val=&quot;00AE581B&quot;/&gt;&lt;wsp:rsid wsp:val=&quot;00AE58F6&quot;/&gt;&lt;wsp:rsid wsp:val=&quot;00AE5AC5&quot;/&gt;&lt;wsp:rsid wsp:val=&quot;00AE5AF6&quot;/&gt;&lt;wsp:rsid wsp:val=&quot;00AE5EE0&quot;/&gt;&lt;wsp:rsid wsp:val=&quot;00AE6074&quot;/&gt;&lt;wsp:rsid wsp:val=&quot;00AE60A5&quot;/&gt;&lt;wsp:rsid wsp:val=&quot;00AE60F1&quot;/&gt;&lt;wsp:rsid wsp:val=&quot;00AE661E&quot;/&gt;&lt;wsp:rsid wsp:val=&quot;00AE67AB&quot;/&gt;&lt;wsp:rsid wsp:val=&quot;00AE681E&quot;/&gt;&lt;wsp:rsid wsp:val=&quot;00AE698E&quot;/&gt;&lt;wsp:rsid wsp:val=&quot;00AE7211&quot;/&gt;&lt;wsp:rsid wsp:val=&quot;00AE7222&quot;/&gt;&lt;wsp:rsid wsp:val=&quot;00AE7634&quot;/&gt;&lt;wsp:rsid wsp:val=&quot;00AE7912&quot;/&gt;&lt;wsp:rsid wsp:val=&quot;00AE7A82&quot;/&gt;&lt;wsp:rsid wsp:val=&quot;00AE7F52&quot;/&gt;&lt;wsp:rsid wsp:val=&quot;00AE7F9E&quot;/&gt;&lt;wsp:rsid wsp:val=&quot;00AF03D9&quot;/&gt;&lt;wsp:rsid wsp:val=&quot;00AF0474&quot;/&gt;&lt;wsp:rsid wsp:val=&quot;00AF05A0&quot;/&gt;&lt;wsp:rsid wsp:val=&quot;00AF05EB&quot;/&gt;&lt;wsp:rsid wsp:val=&quot;00AF0864&quot;/&gt;&lt;wsp:rsid wsp:val=&quot;00AF08A6&quot;/&gt;&lt;wsp:rsid wsp:val=&quot;00AF0C15&quot;/&gt;&lt;wsp:rsid wsp:val=&quot;00AF0EA2&quot;/&gt;&lt;wsp:rsid wsp:val=&quot;00AF1024&quot;/&gt;&lt;wsp:rsid wsp:val=&quot;00AF17A7&quot;/&gt;&lt;wsp:rsid wsp:val=&quot;00AF19C2&quot;/&gt;&lt;wsp:rsid wsp:val=&quot;00AF1A13&quot;/&gt;&lt;wsp:rsid wsp:val=&quot;00AF1C35&quot;/&gt;&lt;wsp:rsid wsp:val=&quot;00AF1CCE&quot;/&gt;&lt;wsp:rsid wsp:val=&quot;00AF1CF9&quot;/&gt;&lt;wsp:rsid wsp:val=&quot;00AF1D85&quot;/&gt;&lt;wsp:rsid wsp:val=&quot;00AF2315&quot;/&gt;&lt;wsp:rsid wsp:val=&quot;00AF237C&quot;/&gt;&lt;wsp:rsid wsp:val=&quot;00AF252A&quot;/&gt;&lt;wsp:rsid wsp:val=&quot;00AF25CE&quot;/&gt;&lt;wsp:rsid wsp:val=&quot;00AF27F8&quot;/&gt;&lt;wsp:rsid wsp:val=&quot;00AF28C5&quot;/&gt;&lt;wsp:rsid wsp:val=&quot;00AF28FA&quot;/&gt;&lt;wsp:rsid wsp:val=&quot;00AF29CB&quot;/&gt;&lt;wsp:rsid wsp:val=&quot;00AF2DFF&quot;/&gt;&lt;wsp:rsid wsp:val=&quot;00AF3101&quot;/&gt;&lt;wsp:rsid wsp:val=&quot;00AF3280&quot;/&gt;&lt;wsp:rsid wsp:val=&quot;00AF32C5&quot;/&gt;&lt;wsp:rsid wsp:val=&quot;00AF3A86&quot;/&gt;&lt;wsp:rsid wsp:val=&quot;00AF3C40&quot;/&gt;&lt;wsp:rsid wsp:val=&quot;00AF3DBB&quot;/&gt;&lt;wsp:rsid wsp:val=&quot;00AF3F6B&quot;/&gt;&lt;wsp:rsid wsp:val=&quot;00AF3FDA&quot;/&gt;&lt;wsp:rsid wsp:val=&quot;00AF419F&quot;/&gt;&lt;wsp:rsid wsp:val=&quot;00AF423C&quot;/&gt;&lt;wsp:rsid wsp:val=&quot;00AF443D&quot;/&gt;&lt;wsp:rsid wsp:val=&quot;00AF4645&quot;/&gt;&lt;wsp:rsid wsp:val=&quot;00AF4CB4&quot;/&gt;&lt;wsp:rsid wsp:val=&quot;00AF4FD9&quot;/&gt;&lt;wsp:rsid wsp:val=&quot;00AF54FD&quot;/&gt;&lt;wsp:rsid wsp:val=&quot;00AF553E&quot;/&gt;&lt;wsp:rsid wsp:val=&quot;00AF5553&quot;/&gt;&lt;wsp:rsid wsp:val=&quot;00AF56D8&quot;/&gt;&lt;wsp:rsid wsp:val=&quot;00AF571E&quot;/&gt;&lt;wsp:rsid wsp:val=&quot;00AF5A50&quot;/&gt;&lt;wsp:rsid wsp:val=&quot;00AF5EA7&quot;/&gt;&lt;wsp:rsid wsp:val=&quot;00AF63CC&quot;/&gt;&lt;wsp:rsid wsp:val=&quot;00AF6755&quot;/&gt;&lt;wsp:rsid wsp:val=&quot;00AF68A8&quot;/&gt;&lt;wsp:rsid wsp:val=&quot;00AF692C&quot;/&gt;&lt;wsp:rsid wsp:val=&quot;00AF6C05&quot;/&gt;&lt;wsp:rsid wsp:val=&quot;00AF6C60&quot;/&gt;&lt;wsp:rsid wsp:val=&quot;00AF6E49&quot;/&gt;&lt;wsp:rsid wsp:val=&quot;00AF6EB2&quot;/&gt;&lt;wsp:rsid wsp:val=&quot;00AF6FC4&quot;/&gt;&lt;wsp:rsid wsp:val=&quot;00AF70CA&quot;/&gt;&lt;wsp:rsid wsp:val=&quot;00AF7182&quot;/&gt;&lt;wsp:rsid wsp:val=&quot;00AF7BE0&quot;/&gt;&lt;wsp:rsid wsp:val=&quot;00B00231&quot;/&gt;&lt;wsp:rsid wsp:val=&quot;00B00273&quot;/&gt;&lt;wsp:rsid wsp:val=&quot;00B0070D&quot;/&gt;&lt;wsp:rsid wsp:val=&quot;00B00783&quot;/&gt;&lt;wsp:rsid wsp:val=&quot;00B009D1&quot;/&gt;&lt;wsp:rsid wsp:val=&quot;00B00B45&quot;/&gt;&lt;wsp:rsid wsp:val=&quot;00B012F4&quot;/&gt;&lt;wsp:rsid wsp:val=&quot;00B013AE&quot;/&gt;&lt;wsp:rsid wsp:val=&quot;00B013CF&quot;/&gt;&lt;wsp:rsid wsp:val=&quot;00B014E3&quot;/&gt;&lt;wsp:rsid wsp:val=&quot;00B0166C&quot;/&gt;&lt;wsp:rsid wsp:val=&quot;00B01A84&quot;/&gt;&lt;wsp:rsid wsp:val=&quot;00B0201A&quot;/&gt;&lt;wsp:rsid wsp:val=&quot;00B02154&quot;/&gt;&lt;wsp:rsid wsp:val=&quot;00B02295&quot;/&gt;&lt;wsp:rsid wsp:val=&quot;00B024C8&quot;/&gt;&lt;wsp:rsid wsp:val=&quot;00B027A0&quot;/&gt;&lt;wsp:rsid wsp:val=&quot;00B02C10&quot;/&gt;&lt;wsp:rsid wsp:val=&quot;00B02E2F&quot;/&gt;&lt;wsp:rsid wsp:val=&quot;00B035B3&quot;/&gt;&lt;wsp:rsid wsp:val=&quot;00B03EC0&quot;/&gt;&lt;wsp:rsid wsp:val=&quot;00B04A55&quot;/&gt;&lt;wsp:rsid wsp:val=&quot;00B04B17&quot;/&gt;&lt;wsp:rsid wsp:val=&quot;00B054B9&quot;/&gt;&lt;wsp:rsid wsp:val=&quot;00B05970&quot;/&gt;&lt;wsp:rsid wsp:val=&quot;00B05AEE&quot;/&gt;&lt;wsp:rsid wsp:val=&quot;00B05B11&quot;/&gt;&lt;wsp:rsid wsp:val=&quot;00B05BC4&quot;/&gt;&lt;wsp:rsid wsp:val=&quot;00B05BE5&quot;/&gt;&lt;wsp:rsid wsp:val=&quot;00B05E71&quot;/&gt;&lt;wsp:rsid wsp:val=&quot;00B05F4F&quot;/&gt;&lt;wsp:rsid wsp:val=&quot;00B0666E&quot;/&gt;&lt;wsp:rsid wsp:val=&quot;00B06A5A&quot;/&gt;&lt;wsp:rsid wsp:val=&quot;00B07011&quot;/&gt;&lt;wsp:rsid wsp:val=&quot;00B0722E&quot;/&gt;&lt;wsp:rsid wsp:val=&quot;00B072E2&quot;/&gt;&lt;wsp:rsid wsp:val=&quot;00B0742B&quot;/&gt;&lt;wsp:rsid wsp:val=&quot;00B07430&quot;/&gt;&lt;wsp:rsid wsp:val=&quot;00B07449&quot;/&gt;&lt;wsp:rsid wsp:val=&quot;00B07541&quot;/&gt;&lt;wsp:rsid wsp:val=&quot;00B0774F&quot;/&gt;&lt;wsp:rsid wsp:val=&quot;00B077D2&quot;/&gt;&lt;wsp:rsid wsp:val=&quot;00B07B34&quot;/&gt;&lt;wsp:rsid wsp:val=&quot;00B07C83&quot;/&gt;&lt;wsp:rsid wsp:val=&quot;00B07D8F&quot;/&gt;&lt;wsp:rsid wsp:val=&quot;00B10424&quot;/&gt;&lt;wsp:rsid wsp:val=&quot;00B10425&quot;/&gt;&lt;wsp:rsid wsp:val=&quot;00B10548&quot;/&gt;&lt;wsp:rsid wsp:val=&quot;00B10566&quot;/&gt;&lt;wsp:rsid wsp:val=&quot;00B1057C&quot;/&gt;&lt;wsp:rsid wsp:val=&quot;00B10656&quot;/&gt;&lt;wsp:rsid wsp:val=&quot;00B1093E&quot;/&gt;&lt;wsp:rsid wsp:val=&quot;00B10956&quot;/&gt;&lt;wsp:rsid wsp:val=&quot;00B10BD3&quot;/&gt;&lt;wsp:rsid wsp:val=&quot;00B10CC0&quot;/&gt;&lt;wsp:rsid wsp:val=&quot;00B10F44&quot;/&gt;&lt;wsp:rsid wsp:val=&quot;00B11188&quot;/&gt;&lt;wsp:rsid wsp:val=&quot;00B11394&quot;/&gt;&lt;wsp:rsid wsp:val=&quot;00B113CE&quot;/&gt;&lt;wsp:rsid wsp:val=&quot;00B11402&quot;/&gt;&lt;wsp:rsid wsp:val=&quot;00B114BB&quot;/&gt;&lt;wsp:rsid wsp:val=&quot;00B1171F&quot;/&gt;&lt;wsp:rsid wsp:val=&quot;00B119F1&quot;/&gt;&lt;wsp:rsid wsp:val=&quot;00B11DAC&quot;/&gt;&lt;wsp:rsid wsp:val=&quot;00B11DED&quot;/&gt;&lt;wsp:rsid wsp:val=&quot;00B11FB8&quot;/&gt;&lt;wsp:rsid wsp:val=&quot;00B1200D&quot;/&gt;&lt;wsp:rsid wsp:val=&quot;00B120D4&quot;/&gt;&lt;wsp:rsid wsp:val=&quot;00B1252C&quot;/&gt;&lt;wsp:rsid wsp:val=&quot;00B12555&quot;/&gt;&lt;wsp:rsid wsp:val=&quot;00B126A2&quot;/&gt;&lt;wsp:rsid wsp:val=&quot;00B1279E&quot;/&gt;&lt;wsp:rsid wsp:val=&quot;00B12B4F&quot;/&gt;&lt;wsp:rsid wsp:val=&quot;00B12EC9&quot;/&gt;&lt;wsp:rsid wsp:val=&quot;00B13435&quot;/&gt;&lt;wsp:rsid wsp:val=&quot;00B13448&quot;/&gt;&lt;wsp:rsid wsp:val=&quot;00B135C1&quot;/&gt;&lt;wsp:rsid wsp:val=&quot;00B136FD&quot;/&gt;&lt;wsp:rsid wsp:val=&quot;00B13760&quot;/&gt;&lt;wsp:rsid wsp:val=&quot;00B13986&quot;/&gt;&lt;wsp:rsid wsp:val=&quot;00B13A0C&quot;/&gt;&lt;wsp:rsid wsp:val=&quot;00B13B9E&quot;/&gt;&lt;wsp:rsid wsp:val=&quot;00B13D68&quot;/&gt;&lt;wsp:rsid wsp:val=&quot;00B13EE0&quot;/&gt;&lt;wsp:rsid wsp:val=&quot;00B13F6F&quot;/&gt;&lt;wsp:rsid wsp:val=&quot;00B1474B&quot;/&gt;&lt;wsp:rsid wsp:val=&quot;00B1481C&quot;/&gt;&lt;wsp:rsid wsp:val=&quot;00B14911&quot;/&gt;&lt;wsp:rsid wsp:val=&quot;00B14E0B&quot;/&gt;&lt;wsp:rsid wsp:val=&quot;00B150C9&quot;/&gt;&lt;wsp:rsid wsp:val=&quot;00B15162&quot;/&gt;&lt;wsp:rsid wsp:val=&quot;00B1516C&quot;/&gt;&lt;wsp:rsid wsp:val=&quot;00B15462&quot;/&gt;&lt;wsp:rsid wsp:val=&quot;00B1557A&quot;/&gt;&lt;wsp:rsid wsp:val=&quot;00B15C55&quot;/&gt;&lt;wsp:rsid wsp:val=&quot;00B161D2&quot;/&gt;&lt;wsp:rsid wsp:val=&quot;00B168BC&quot;/&gt;&lt;wsp:rsid wsp:val=&quot;00B16AB2&quot;/&gt;&lt;wsp:rsid wsp:val=&quot;00B16CC0&quot;/&gt;&lt;wsp:rsid wsp:val=&quot;00B16CD0&quot;/&gt;&lt;wsp:rsid wsp:val=&quot;00B16EA6&quot;/&gt;&lt;wsp:rsid wsp:val=&quot;00B16F9E&quot;/&gt;&lt;wsp:rsid wsp:val=&quot;00B16FB0&quot;/&gt;&lt;wsp:rsid wsp:val=&quot;00B172D9&quot;/&gt;&lt;wsp:rsid wsp:val=&quot;00B175F2&quot;/&gt;&lt;wsp:rsid wsp:val=&quot;00B17D25&quot;/&gt;&lt;wsp:rsid wsp:val=&quot;00B17DAA&quot;/&gt;&lt;wsp:rsid wsp:val=&quot;00B2015D&quot;/&gt;&lt;wsp:rsid wsp:val=&quot;00B2043C&quot;/&gt;&lt;wsp:rsid wsp:val=&quot;00B209C3&quot;/&gt;&lt;wsp:rsid wsp:val=&quot;00B20E28&quot;/&gt;&lt;wsp:rsid wsp:val=&quot;00B20EC9&quot;/&gt;&lt;wsp:rsid wsp:val=&quot;00B20F51&quot;/&gt;&lt;wsp:rsid wsp:val=&quot;00B2103F&quot;/&gt;&lt;wsp:rsid wsp:val=&quot;00B21079&quot;/&gt;&lt;wsp:rsid wsp:val=&quot;00B2143D&quot;/&gt;&lt;wsp:rsid wsp:val=&quot;00B214A4&quot;/&gt;&lt;wsp:rsid wsp:val=&quot;00B21621&quot;/&gt;&lt;wsp:rsid wsp:val=&quot;00B21702&quot;/&gt;&lt;wsp:rsid wsp:val=&quot;00B2194E&quot;/&gt;&lt;wsp:rsid wsp:val=&quot;00B21959&quot;/&gt;&lt;wsp:rsid wsp:val=&quot;00B21D8D&quot;/&gt;&lt;wsp:rsid wsp:val=&quot;00B21DA6&quot;/&gt;&lt;wsp:rsid wsp:val=&quot;00B21E78&quot;/&gt;&lt;wsp:rsid wsp:val=&quot;00B21EAE&quot;/&gt;&lt;wsp:rsid wsp:val=&quot;00B21ECA&quot;/&gt;&lt;wsp:rsid wsp:val=&quot;00B21FD0&quot;/&gt;&lt;wsp:rsid wsp:val=&quot;00B221D9&quot;/&gt;&lt;wsp:rsid wsp:val=&quot;00B22529&quot;/&gt;&lt;wsp:rsid wsp:val=&quot;00B225B4&quot;/&gt;&lt;wsp:rsid wsp:val=&quot;00B225CB&quot;/&gt;&lt;wsp:rsid wsp:val=&quot;00B22B2C&quot;/&gt;&lt;wsp:rsid wsp:val=&quot;00B22C18&quot;/&gt;&lt;wsp:rsid wsp:val=&quot;00B22CAA&quot;/&gt;&lt;wsp:rsid wsp:val=&quot;00B22CB4&quot;/&gt;&lt;wsp:rsid wsp:val=&quot;00B22D19&quot;/&gt;&lt;wsp:rsid wsp:val=&quot;00B23616&quot;/&gt;&lt;wsp:rsid wsp:val=&quot;00B236BB&quot;/&gt;&lt;wsp:rsid wsp:val=&quot;00B238D4&quot;/&gt;&lt;wsp:rsid wsp:val=&quot;00B23982&quot;/&gt;&lt;wsp:rsid wsp:val=&quot;00B23DC9&quot;/&gt;&lt;wsp:rsid wsp:val=&quot;00B23E22&quot;/&gt;&lt;wsp:rsid wsp:val=&quot;00B241D0&quot;/&gt;&lt;wsp:rsid wsp:val=&quot;00B242F4&quot;/&gt;&lt;wsp:rsid wsp:val=&quot;00B24379&quot;/&gt;&lt;wsp:rsid wsp:val=&quot;00B24460&quot;/&gt;&lt;wsp:rsid wsp:val=&quot;00B24474&quot;/&gt;&lt;wsp:rsid wsp:val=&quot;00B24580&quot;/&gt;&lt;wsp:rsid wsp:val=&quot;00B24728&quot;/&gt;&lt;wsp:rsid wsp:val=&quot;00B24B33&quot;/&gt;&lt;wsp:rsid wsp:val=&quot;00B25008&quot;/&gt;&lt;wsp:rsid wsp:val=&quot;00B25046&quot;/&gt;&lt;wsp:rsid wsp:val=&quot;00B2509C&quot;/&gt;&lt;wsp:rsid wsp:val=&quot;00B25135&quot;/&gt;&lt;wsp:rsid wsp:val=&quot;00B25301&quot;/&gt;&lt;wsp:rsid wsp:val=&quot;00B25647&quot;/&gt;&lt;wsp:rsid wsp:val=&quot;00B258A4&quot;/&gt;&lt;wsp:rsid wsp:val=&quot;00B25C38&quot;/&gt;&lt;wsp:rsid wsp:val=&quot;00B25C89&quot;/&gt;&lt;wsp:rsid wsp:val=&quot;00B25CB4&quot;/&gt;&lt;wsp:rsid wsp:val=&quot;00B261B9&quot;/&gt;&lt;wsp:rsid wsp:val=&quot;00B2648A&quot;/&gt;&lt;wsp:rsid wsp:val=&quot;00B265DA&quot;/&gt;&lt;wsp:rsid wsp:val=&quot;00B26612&quot;/&gt;&lt;wsp:rsid wsp:val=&quot;00B269C3&quot;/&gt;&lt;wsp:rsid wsp:val=&quot;00B26D31&quot;/&gt;&lt;wsp:rsid wsp:val=&quot;00B277A2&quot;/&gt;&lt;wsp:rsid wsp:val=&quot;00B27992&quot;/&gt;&lt;wsp:rsid wsp:val=&quot;00B30055&quot;/&gt;&lt;wsp:rsid wsp:val=&quot;00B30134&quot;/&gt;&lt;wsp:rsid wsp:val=&quot;00B30A68&quot;/&gt;&lt;wsp:rsid wsp:val=&quot;00B312D2&quot;/&gt;&lt;wsp:rsid wsp:val=&quot;00B31435&quot;/&gt;&lt;wsp:rsid wsp:val=&quot;00B3148A&quot;/&gt;&lt;wsp:rsid wsp:val=&quot;00B31847&quot;/&gt;&lt;wsp:rsid wsp:val=&quot;00B31867&quot;/&gt;&lt;wsp:rsid wsp:val=&quot;00B318F6&quot;/&gt;&lt;wsp:rsid wsp:val=&quot;00B31992&quot;/&gt;&lt;wsp:rsid wsp:val=&quot;00B31ACF&quot;/&gt;&lt;wsp:rsid wsp:val=&quot;00B31DE0&quot;/&gt;&lt;wsp:rsid wsp:val=&quot;00B31E92&quot;/&gt;&lt;wsp:rsid wsp:val=&quot;00B31FF5&quot;/&gt;&lt;wsp:rsid wsp:val=&quot;00B3216E&quot;/&gt;&lt;wsp:rsid wsp:val=&quot;00B32552&quot;/&gt;&lt;wsp:rsid wsp:val=&quot;00B3267F&quot;/&gt;&lt;wsp:rsid wsp:val=&quot;00B32704&quot;/&gt;&lt;wsp:rsid wsp:val=&quot;00B32791&quot;/&gt;&lt;wsp:rsid wsp:val=&quot;00B327E3&quot;/&gt;&lt;wsp:rsid wsp:val=&quot;00B32A08&quot;/&gt;&lt;wsp:rsid wsp:val=&quot;00B32ABC&quot;/&gt;&lt;wsp:rsid wsp:val=&quot;00B32B21&quot;/&gt;&lt;wsp:rsid wsp:val=&quot;00B33498&quot;/&gt;&lt;wsp:rsid wsp:val=&quot;00B33A56&quot;/&gt;&lt;wsp:rsid wsp:val=&quot;00B33A78&quot;/&gt;&lt;wsp:rsid wsp:val=&quot;00B33A94&quot;/&gt;&lt;wsp:rsid wsp:val=&quot;00B33B8B&quot;/&gt;&lt;wsp:rsid wsp:val=&quot;00B33BDC&quot;/&gt;&lt;wsp:rsid wsp:val=&quot;00B33D49&quot;/&gt;&lt;wsp:rsid wsp:val=&quot;00B33EA4&quot;/&gt;&lt;wsp:rsid wsp:val=&quot;00B34407&quot;/&gt;&lt;wsp:rsid wsp:val=&quot;00B34A4F&quot;/&gt;&lt;wsp:rsid wsp:val=&quot;00B34BF0&quot;/&gt;&lt;wsp:rsid wsp:val=&quot;00B35527&quot;/&gt;&lt;wsp:rsid wsp:val=&quot;00B35917&quot;/&gt;&lt;wsp:rsid wsp:val=&quot;00B35D66&quot;/&gt;&lt;wsp:rsid wsp:val=&quot;00B35DF6&quot;/&gt;&lt;wsp:rsid wsp:val=&quot;00B3621E&quot;/&gt;&lt;wsp:rsid wsp:val=&quot;00B36311&quot;/&gt;&lt;wsp:rsid wsp:val=&quot;00B364CE&quot;/&gt;&lt;wsp:rsid wsp:val=&quot;00B365D4&quot;/&gt;&lt;wsp:rsid wsp:val=&quot;00B3688C&quot;/&gt;&lt;wsp:rsid wsp:val=&quot;00B36A33&quot;/&gt;&lt;wsp:rsid wsp:val=&quot;00B36EC4&quot;/&gt;&lt;wsp:rsid wsp:val=&quot;00B370C9&quot;/&gt;&lt;wsp:rsid wsp:val=&quot;00B371C8&quot;/&gt;&lt;wsp:rsid wsp:val=&quot;00B3722B&quot;/&gt;&lt;wsp:rsid wsp:val=&quot;00B3737F&quot;/&gt;&lt;wsp:rsid wsp:val=&quot;00B37CB1&quot;/&gt;&lt;wsp:rsid wsp:val=&quot;00B37D15&quot;/&gt;&lt;wsp:rsid wsp:val=&quot;00B37EED&quot;/&gt;&lt;wsp:rsid wsp:val=&quot;00B40004&quot;/&gt;&lt;wsp:rsid wsp:val=&quot;00B4015C&quot;/&gt;&lt;wsp:rsid wsp:val=&quot;00B40870&quot;/&gt;&lt;wsp:rsid wsp:val=&quot;00B40AEF&quot;/&gt;&lt;wsp:rsid wsp:val=&quot;00B40B74&quot;/&gt;&lt;wsp:rsid wsp:val=&quot;00B40D9F&quot;/&gt;&lt;wsp:rsid wsp:val=&quot;00B40EEE&quot;/&gt;&lt;wsp:rsid wsp:val=&quot;00B4117A&quot;/&gt;&lt;wsp:rsid wsp:val=&quot;00B413B0&quot;/&gt;&lt;wsp:rsid wsp:val=&quot;00B41726&quot;/&gt;&lt;wsp:rsid wsp:val=&quot;00B41930&quot;/&gt;&lt;wsp:rsid wsp:val=&quot;00B41C02&quot;/&gt;&lt;wsp:rsid wsp:val=&quot;00B41C4E&quot;/&gt;&lt;wsp:rsid wsp:val=&quot;00B41D77&quot;/&gt;&lt;wsp:rsid wsp:val=&quot;00B41DC0&quot;/&gt;&lt;wsp:rsid wsp:val=&quot;00B41F2F&quot;/&gt;&lt;wsp:rsid wsp:val=&quot;00B423C5&quot;/&gt;&lt;wsp:rsid wsp:val=&quot;00B42489&quot;/&gt;&lt;wsp:rsid wsp:val=&quot;00B42584&quot;/&gt;&lt;wsp:rsid wsp:val=&quot;00B426B4&quot;/&gt;&lt;wsp:rsid wsp:val=&quot;00B42D9C&quot;/&gt;&lt;wsp:rsid wsp:val=&quot;00B42DE4&quot;/&gt;&lt;wsp:rsid wsp:val=&quot;00B43079&quot;/&gt;&lt;wsp:rsid wsp:val=&quot;00B4307D&quot;/&gt;&lt;wsp:rsid wsp:val=&quot;00B431F6&quot;/&gt;&lt;wsp:rsid wsp:val=&quot;00B432EE&quot;/&gt;&lt;wsp:rsid wsp:val=&quot;00B43429&quot;/&gt;&lt;wsp:rsid wsp:val=&quot;00B4361D&quot;/&gt;&lt;wsp:rsid wsp:val=&quot;00B43A4A&quot;/&gt;&lt;wsp:rsid wsp:val=&quot;00B43D14&quot;/&gt;&lt;wsp:rsid wsp:val=&quot;00B43D46&quot;/&gt;&lt;wsp:rsid wsp:val=&quot;00B43FF4&quot;/&gt;&lt;wsp:rsid wsp:val=&quot;00B4406E&quot;/&gt;&lt;wsp:rsid wsp:val=&quot;00B44281&quot;/&gt;&lt;wsp:rsid wsp:val=&quot;00B44670&quot;/&gt;&lt;wsp:rsid wsp:val=&quot;00B44CB1&quot;/&gt;&lt;wsp:rsid wsp:val=&quot;00B44F8D&quot;/&gt;&lt;wsp:rsid wsp:val=&quot;00B45150&quot;/&gt;&lt;wsp:rsid wsp:val=&quot;00B453D6&quot;/&gt;&lt;wsp:rsid wsp:val=&quot;00B4595E&quot;/&gt;&lt;wsp:rsid wsp:val=&quot;00B45A55&quot;/&gt;&lt;wsp:rsid wsp:val=&quot;00B45B45&quot;/&gt;&lt;wsp:rsid wsp:val=&quot;00B45B87&quot;/&gt;&lt;wsp:rsid wsp:val=&quot;00B460C8&quot;/&gt;&lt;wsp:rsid wsp:val=&quot;00B4667A&quot;/&gt;&lt;wsp:rsid wsp:val=&quot;00B46698&quot;/&gt;&lt;wsp:rsid wsp:val=&quot;00B466E6&quot;/&gt;&lt;wsp:rsid wsp:val=&quot;00B468EF&quot;/&gt;&lt;wsp:rsid wsp:val=&quot;00B46927&quot;/&gt;&lt;wsp:rsid wsp:val=&quot;00B46C3F&quot;/&gt;&lt;wsp:rsid wsp:val=&quot;00B471D5&quot;/&gt;&lt;wsp:rsid wsp:val=&quot;00B47815&quot;/&gt;&lt;wsp:rsid wsp:val=&quot;00B47884&quot;/&gt;&lt;wsp:rsid wsp:val=&quot;00B47AE2&quot;/&gt;&lt;wsp:rsid wsp:val=&quot;00B47BBC&quot;/&gt;&lt;wsp:rsid wsp:val=&quot;00B47BF2&quot;/&gt;&lt;wsp:rsid wsp:val=&quot;00B500F6&quot;/&gt;&lt;wsp:rsid wsp:val=&quot;00B50324&quot;/&gt;&lt;wsp:rsid wsp:val=&quot;00B504C2&quot;/&gt;&lt;wsp:rsid wsp:val=&quot;00B5050C&quot;/&gt;&lt;wsp:rsid wsp:val=&quot;00B50872&quot;/&gt;&lt;wsp:rsid wsp:val=&quot;00B50AA4&quot;/&gt;&lt;wsp:rsid wsp:val=&quot;00B50CA2&quot;/&gt;&lt;wsp:rsid wsp:val=&quot;00B51004&quot;/&gt;&lt;wsp:rsid wsp:val=&quot;00B51132&quot;/&gt;&lt;wsp:rsid wsp:val=&quot;00B51335&quot;/&gt;&lt;wsp:rsid wsp:val=&quot;00B51BBE&quot;/&gt;&lt;wsp:rsid wsp:val=&quot;00B51E7B&quot;/&gt;&lt;wsp:rsid wsp:val=&quot;00B5223B&quot;/&gt;&lt;wsp:rsid wsp:val=&quot;00B52347&quot;/&gt;&lt;wsp:rsid wsp:val=&quot;00B523E3&quot;/&gt;&lt;wsp:rsid wsp:val=&quot;00B5242F&quot;/&gt;&lt;wsp:rsid wsp:val=&quot;00B52456&quot;/&gt;&lt;wsp:rsid wsp:val=&quot;00B526B6&quot;/&gt;&lt;wsp:rsid wsp:val=&quot;00B52793&quot;/&gt;&lt;wsp:rsid wsp:val=&quot;00B52CFA&quot;/&gt;&lt;wsp:rsid wsp:val=&quot;00B52EA3&quot;/&gt;&lt;wsp:rsid wsp:val=&quot;00B53039&quot;/&gt;&lt;wsp:rsid wsp:val=&quot;00B53188&quot;/&gt;&lt;wsp:rsid wsp:val=&quot;00B5347B&quot;/&gt;&lt;wsp:rsid wsp:val=&quot;00B535DB&quot;/&gt;&lt;wsp:rsid wsp:val=&quot;00B5361A&quot;/&gt;&lt;wsp:rsid wsp:val=&quot;00B537A2&quot;/&gt;&lt;wsp:rsid wsp:val=&quot;00B539EC&quot;/&gt;&lt;wsp:rsid wsp:val=&quot;00B53F59&quot;/&gt;&lt;wsp:rsid wsp:val=&quot;00B540FC&quot;/&gt;&lt;wsp:rsid wsp:val=&quot;00B543A6&quot;/&gt;&lt;wsp:rsid wsp:val=&quot;00B5463C&quot;/&gt;&lt;wsp:rsid wsp:val=&quot;00B5471E&quot;/&gt;&lt;wsp:rsid wsp:val=&quot;00B54748&quot;/&gt;&lt;wsp:rsid wsp:val=&quot;00B547B2&quot;/&gt;&lt;wsp:rsid wsp:val=&quot;00B55546&quot;/&gt;&lt;wsp:rsid wsp:val=&quot;00B559BE&quot;/&gt;&lt;wsp:rsid wsp:val=&quot;00B55B12&quot;/&gt;&lt;wsp:rsid wsp:val=&quot;00B55E98&quot;/&gt;&lt;wsp:rsid wsp:val=&quot;00B56096&quot;/&gt;&lt;wsp:rsid wsp:val=&quot;00B56147&quot;/&gt;&lt;wsp:rsid wsp:val=&quot;00B561EC&quot;/&gt;&lt;wsp:rsid wsp:val=&quot;00B56201&quot;/&gt;&lt;wsp:rsid wsp:val=&quot;00B565C4&quot;/&gt;&lt;wsp:rsid wsp:val=&quot;00B56777&quot;/&gt;&lt;wsp:rsid wsp:val=&quot;00B569D8&quot;/&gt;&lt;wsp:rsid wsp:val=&quot;00B56FFE&quot;/&gt;&lt;wsp:rsid wsp:val=&quot;00B5710C&quot;/&gt;&lt;wsp:rsid wsp:val=&quot;00B57123&quot;/&gt;&lt;wsp:rsid wsp:val=&quot;00B57186&quot;/&gt;&lt;wsp:rsid wsp:val=&quot;00B572F3&quot;/&gt;&lt;wsp:rsid wsp:val=&quot;00B5739A&quot;/&gt;&lt;wsp:rsid wsp:val=&quot;00B573CA&quot;/&gt;&lt;wsp:rsid wsp:val=&quot;00B57529&quot;/&gt;&lt;wsp:rsid wsp:val=&quot;00B57534&quot;/&gt;&lt;wsp:rsid wsp:val=&quot;00B57724&quot;/&gt;&lt;wsp:rsid wsp:val=&quot;00B5796E&quot;/&gt;&lt;wsp:rsid wsp:val=&quot;00B57AA1&quot;/&gt;&lt;wsp:rsid wsp:val=&quot;00B57BD8&quot;/&gt;&lt;wsp:rsid wsp:val=&quot;00B57D33&quot;/&gt;&lt;wsp:rsid wsp:val=&quot;00B57E48&quot;/&gt;&lt;wsp:rsid wsp:val=&quot;00B57F5A&quot;/&gt;&lt;wsp:rsid wsp:val=&quot;00B60025&quot;/&gt;&lt;wsp:rsid wsp:val=&quot;00B60401&quot;/&gt;&lt;wsp:rsid wsp:val=&quot;00B60934&quot;/&gt;&lt;wsp:rsid wsp:val=&quot;00B60A2B&quot;/&gt;&lt;wsp:rsid wsp:val=&quot;00B60BC4&quot;/&gt;&lt;wsp:rsid wsp:val=&quot;00B60D7F&quot;/&gt;&lt;wsp:rsid wsp:val=&quot;00B612B8&quot;/&gt;&lt;wsp:rsid wsp:val=&quot;00B6134C&quot;/&gt;&lt;wsp:rsid wsp:val=&quot;00B6135B&quot;/&gt;&lt;wsp:rsid wsp:val=&quot;00B6138D&quot;/&gt;&lt;wsp:rsid wsp:val=&quot;00B6166D&quot;/&gt;&lt;wsp:rsid wsp:val=&quot;00B61948&quot;/&gt;&lt;wsp:rsid wsp:val=&quot;00B61A9C&quot;/&gt;&lt;wsp:rsid wsp:val=&quot;00B61B4F&quot;/&gt;&lt;wsp:rsid wsp:val=&quot;00B624F6&quot;/&gt;&lt;wsp:rsid wsp:val=&quot;00B6251E&quot;/&gt;&lt;wsp:rsid wsp:val=&quot;00B6281B&quot;/&gt;&lt;wsp:rsid wsp:val=&quot;00B62B8B&quot;/&gt;&lt;wsp:rsid wsp:val=&quot;00B630FB&quot;/&gt;&lt;wsp:rsid wsp:val=&quot;00B631EC&quot;/&gt;&lt;wsp:rsid wsp:val=&quot;00B63305&quot;/&gt;&lt;wsp:rsid wsp:val=&quot;00B638FF&quot;/&gt;&lt;wsp:rsid wsp:val=&quot;00B63B62&quot;/&gt;&lt;wsp:rsid wsp:val=&quot;00B63D12&quot;/&gt;&lt;wsp:rsid wsp:val=&quot;00B64016&quot;/&gt;&lt;wsp:rsid wsp:val=&quot;00B6452B&quot;/&gt;&lt;wsp:rsid wsp:val=&quot;00B645CF&quot;/&gt;&lt;wsp:rsid wsp:val=&quot;00B64FE2&quot;/&gt;&lt;wsp:rsid wsp:val=&quot;00B650E6&quot;/&gt;&lt;wsp:rsid wsp:val=&quot;00B6544D&quot;/&gt;&lt;wsp:rsid wsp:val=&quot;00B6549C&quot;/&gt;&lt;wsp:rsid wsp:val=&quot;00B657B1&quot;/&gt;&lt;wsp:rsid wsp:val=&quot;00B6580E&quot;/&gt;&lt;wsp:rsid wsp:val=&quot;00B6589E&quot;/&gt;&lt;wsp:rsid wsp:val=&quot;00B658D1&quot;/&gt;&lt;wsp:rsid wsp:val=&quot;00B659E1&quot;/&gt;&lt;wsp:rsid wsp:val=&quot;00B65CF5&quot;/&gt;&lt;wsp:rsid wsp:val=&quot;00B65E85&quot;/&gt;&lt;wsp:rsid wsp:val=&quot;00B660FB&quot;/&gt;&lt;wsp:rsid wsp:val=&quot;00B6648F&quot;/&gt;&lt;wsp:rsid wsp:val=&quot;00B665E6&quot;/&gt;&lt;wsp:rsid wsp:val=&quot;00B66841&quot;/&gt;&lt;wsp:rsid wsp:val=&quot;00B668DD&quot;/&gt;&lt;wsp:rsid wsp:val=&quot;00B66B77&quot;/&gt;&lt;wsp:rsid wsp:val=&quot;00B66C2E&quot;/&gt;&lt;wsp:rsid wsp:val=&quot;00B66FBD&quot;/&gt;&lt;wsp:rsid wsp:val=&quot;00B6760A&quot;/&gt;&lt;wsp:rsid wsp:val=&quot;00B67BE8&quot;/&gt;&lt;wsp:rsid wsp:val=&quot;00B67C10&quot;/&gt;&lt;wsp:rsid wsp:val=&quot;00B67C99&quot;/&gt;&lt;wsp:rsid wsp:val=&quot;00B67E4E&quot;/&gt;&lt;wsp:rsid wsp:val=&quot;00B67FAD&quot;/&gt;&lt;wsp:rsid wsp:val=&quot;00B70008&quot;/&gt;&lt;wsp:rsid wsp:val=&quot;00B70343&quot;/&gt;&lt;wsp:rsid wsp:val=&quot;00B7034D&quot;/&gt;&lt;wsp:rsid wsp:val=&quot;00B705B5&quot;/&gt;&lt;wsp:rsid wsp:val=&quot;00B70663&quot;/&gt;&lt;wsp:rsid wsp:val=&quot;00B70931&quot;/&gt;&lt;wsp:rsid wsp:val=&quot;00B70A20&quot;/&gt;&lt;wsp:rsid wsp:val=&quot;00B70C64&quot;/&gt;&lt;wsp:rsid wsp:val=&quot;00B70CF6&quot;/&gt;&lt;wsp:rsid wsp:val=&quot;00B70CF8&quot;/&gt;&lt;wsp:rsid wsp:val=&quot;00B70D10&quot;/&gt;&lt;wsp:rsid wsp:val=&quot;00B70D5E&quot;/&gt;&lt;wsp:rsid wsp:val=&quot;00B71008&quot;/&gt;&lt;wsp:rsid wsp:val=&quot;00B71278&quot;/&gt;&lt;wsp:rsid wsp:val=&quot;00B713A8&quot;/&gt;&lt;wsp:rsid wsp:val=&quot;00B715BF&quot;/&gt;&lt;wsp:rsid wsp:val=&quot;00B716D4&quot;/&gt;&lt;wsp:rsid wsp:val=&quot;00B71868&quot;/&gt;&lt;wsp:rsid wsp:val=&quot;00B7219D&quot;/&gt;&lt;wsp:rsid wsp:val=&quot;00B7232D&quot;/&gt;&lt;wsp:rsid wsp:val=&quot;00B7272B&quot;/&gt;&lt;wsp:rsid wsp:val=&quot;00B72F71&quot;/&gt;&lt;wsp:rsid wsp:val=&quot;00B72FA2&quot;/&gt;&lt;wsp:rsid wsp:val=&quot;00B730D0&quot;/&gt;&lt;wsp:rsid wsp:val=&quot;00B731C9&quot;/&gt;&lt;wsp:rsid wsp:val=&quot;00B732D5&quot;/&gt;&lt;wsp:rsid wsp:val=&quot;00B73342&quot;/&gt;&lt;wsp:rsid wsp:val=&quot;00B734D0&quot;/&gt;&lt;wsp:rsid wsp:val=&quot;00B735A9&quot;/&gt;&lt;wsp:rsid wsp:val=&quot;00B737B3&quot;/&gt;&lt;wsp:rsid wsp:val=&quot;00B73964&quot;/&gt;&lt;wsp:rsid wsp:val=&quot;00B73B05&quot;/&gt;&lt;wsp:rsid wsp:val=&quot;00B73B4B&quot;/&gt;&lt;wsp:rsid wsp:val=&quot;00B73EAC&quot;/&gt;&lt;wsp:rsid wsp:val=&quot;00B73F47&quot;/&gt;&lt;wsp:rsid wsp:val=&quot;00B7413B&quot;/&gt;&lt;wsp:rsid wsp:val=&quot;00B7416D&quot;/&gt;&lt;wsp:rsid wsp:val=&quot;00B74484&quot;/&gt;&lt;wsp:rsid wsp:val=&quot;00B74825&quot;/&gt;&lt;wsp:rsid wsp:val=&quot;00B74B8D&quot;/&gt;&lt;wsp:rsid wsp:val=&quot;00B74D5A&quot;/&gt;&lt;wsp:rsid wsp:val=&quot;00B74EF8&quot;/&gt;&lt;wsp:rsid wsp:val=&quot;00B750A4&quot;/&gt;&lt;wsp:rsid wsp:val=&quot;00B75287&quot;/&gt;&lt;wsp:rsid wsp:val=&quot;00B753C4&quot;/&gt;&lt;wsp:rsid wsp:val=&quot;00B75499&quot;/&gt;&lt;wsp:rsid wsp:val=&quot;00B754F0&quot;/&gt;&lt;wsp:rsid wsp:val=&quot;00B75605&quot;/&gt;&lt;wsp:rsid wsp:val=&quot;00B75618&quot;/&gt;&lt;wsp:rsid wsp:val=&quot;00B75715&quot;/&gt;&lt;wsp:rsid wsp:val=&quot;00B75731&quot;/&gt;&lt;wsp:rsid wsp:val=&quot;00B7576D&quot;/&gt;&lt;wsp:rsid wsp:val=&quot;00B75A6C&quot;/&gt;&lt;wsp:rsid wsp:val=&quot;00B75A88&quot;/&gt;&lt;wsp:rsid wsp:val=&quot;00B75B1F&quot;/&gt;&lt;wsp:rsid wsp:val=&quot;00B7609B&quot;/&gt;&lt;wsp:rsid wsp:val=&quot;00B76365&quot;/&gt;&lt;wsp:rsid wsp:val=&quot;00B76451&quot;/&gt;&lt;wsp:rsid wsp:val=&quot;00B76670&quot;/&gt;&lt;wsp:rsid wsp:val=&quot;00B7669C&quot;/&gt;&lt;wsp:rsid wsp:val=&quot;00B766FC&quot;/&gt;&lt;wsp:rsid wsp:val=&quot;00B76A96&quot;/&gt;&lt;wsp:rsid wsp:val=&quot;00B76C26&quot;/&gt;&lt;wsp:rsid wsp:val=&quot;00B76EAA&quot;/&gt;&lt;wsp:rsid wsp:val=&quot;00B76F46&quot;/&gt;&lt;wsp:rsid wsp:val=&quot;00B77056&quot;/&gt;&lt;wsp:rsid wsp:val=&quot;00B77115&quot;/&gt;&lt;wsp:rsid wsp:val=&quot;00B77766&quot;/&gt;&lt;wsp:rsid wsp:val=&quot;00B77C34&quot;/&gt;&lt;wsp:rsid wsp:val=&quot;00B77D5A&quot;/&gt;&lt;wsp:rsid wsp:val=&quot;00B77FFD&quot;/&gt;&lt;wsp:rsid wsp:val=&quot;00B8056D&quot;/&gt;&lt;wsp:rsid wsp:val=&quot;00B8069F&quot;/&gt;&lt;wsp:rsid wsp:val=&quot;00B807CC&quot;/&gt;&lt;wsp:rsid wsp:val=&quot;00B80829&quot;/&gt;&lt;wsp:rsid wsp:val=&quot;00B808FD&quot;/&gt;&lt;wsp:rsid wsp:val=&quot;00B80966&quot;/&gt;&lt;wsp:rsid wsp:val=&quot;00B809EC&quot;/&gt;&lt;wsp:rsid wsp:val=&quot;00B80A58&quot;/&gt;&lt;wsp:rsid wsp:val=&quot;00B80C07&quot;/&gt;&lt;wsp:rsid wsp:val=&quot;00B80D0C&quot;/&gt;&lt;wsp:rsid wsp:val=&quot;00B80E50&quot;/&gt;&lt;wsp:rsid wsp:val=&quot;00B80E94&quot;/&gt;&lt;wsp:rsid wsp:val=&quot;00B8112D&quot;/&gt;&lt;wsp:rsid wsp:val=&quot;00B81738&quot;/&gt;&lt;wsp:rsid wsp:val=&quot;00B81BD5&quot;/&gt;&lt;wsp:rsid wsp:val=&quot;00B81CE3&quot;/&gt;&lt;wsp:rsid wsp:val=&quot;00B81EEB&quot;/&gt;&lt;wsp:rsid wsp:val=&quot;00B820EF&quot;/&gt;&lt;wsp:rsid wsp:val=&quot;00B82225&quot;/&gt;&lt;wsp:rsid wsp:val=&quot;00B8230A&quot;/&gt;&lt;wsp:rsid wsp:val=&quot;00B82763&quot;/&gt;&lt;wsp:rsid wsp:val=&quot;00B8284C&quot;/&gt;&lt;wsp:rsid wsp:val=&quot;00B82A6C&quot;/&gt;&lt;wsp:rsid wsp:val=&quot;00B82A6F&quot;/&gt;&lt;wsp:rsid wsp:val=&quot;00B82ACB&quot;/&gt;&lt;wsp:rsid wsp:val=&quot;00B82DB5&quot;/&gt;&lt;wsp:rsid wsp:val=&quot;00B82E6F&quot;/&gt;&lt;wsp:rsid wsp:val=&quot;00B83102&quot;/&gt;&lt;wsp:rsid wsp:val=&quot;00B83324&quot;/&gt;&lt;wsp:rsid wsp:val=&quot;00B83567&quot;/&gt;&lt;wsp:rsid wsp:val=&quot;00B83590&quot;/&gt;&lt;wsp:rsid wsp:val=&quot;00B835EF&quot;/&gt;&lt;wsp:rsid wsp:val=&quot;00B83779&quot;/&gt;&lt;wsp:rsid wsp:val=&quot;00B839F0&quot;/&gt;&lt;wsp:rsid wsp:val=&quot;00B83D08&quot;/&gt;&lt;wsp:rsid wsp:val=&quot;00B83DAF&quot;/&gt;&lt;wsp:rsid wsp:val=&quot;00B843CB&quot;/&gt;&lt;wsp:rsid wsp:val=&quot;00B84439&quot;/&gt;&lt;wsp:rsid wsp:val=&quot;00B84771&quot;/&gt;&lt;wsp:rsid wsp:val=&quot;00B84F6E&quot;/&gt;&lt;wsp:rsid wsp:val=&quot;00B85026&quot;/&gt;&lt;wsp:rsid wsp:val=&quot;00B8522B&quot;/&gt;&lt;wsp:rsid wsp:val=&quot;00B85285&quot;/&gt;&lt;wsp:rsid wsp:val=&quot;00B8563A&quot;/&gt;&lt;wsp:rsid wsp:val=&quot;00B8565F&quot;/&gt;&lt;wsp:rsid wsp:val=&quot;00B856BC&quot;/&gt;&lt;wsp:rsid wsp:val=&quot;00B858B4&quot;/&gt;&lt;wsp:rsid wsp:val=&quot;00B85D4A&quot;/&gt;&lt;wsp:rsid wsp:val=&quot;00B85EFE&quot;/&gt;&lt;wsp:rsid wsp:val=&quot;00B8600E&quot;/&gt;&lt;wsp:rsid wsp:val=&quot;00B862EF&quot;/&gt;&lt;wsp:rsid wsp:val=&quot;00B8683B&quot;/&gt;&lt;wsp:rsid wsp:val=&quot;00B86C87&quot;/&gt;&lt;wsp:rsid wsp:val=&quot;00B86E5F&quot;/&gt;&lt;wsp:rsid wsp:val=&quot;00B87137&quot;/&gt;&lt;wsp:rsid wsp:val=&quot;00B87636&quot;/&gt;&lt;wsp:rsid wsp:val=&quot;00B877B1&quot;/&gt;&lt;wsp:rsid wsp:val=&quot;00B87B4F&quot;/&gt;&lt;wsp:rsid wsp:val=&quot;00B87C10&quot;/&gt;&lt;wsp:rsid wsp:val=&quot;00B87CCB&quot;/&gt;&lt;wsp:rsid wsp:val=&quot;00B87CD5&quot;/&gt;&lt;wsp:rsid wsp:val=&quot;00B87EBD&quot;/&gt;&lt;wsp:rsid wsp:val=&quot;00B87ED3&quot;/&gt;&lt;wsp:rsid wsp:val=&quot;00B90042&quot;/&gt;&lt;wsp:rsid wsp:val=&quot;00B90771&quot;/&gt;&lt;wsp:rsid wsp:val=&quot;00B9088B&quot;/&gt;&lt;wsp:rsid wsp:val=&quot;00B90E81&quot;/&gt;&lt;wsp:rsid wsp:val=&quot;00B91023&quot;/&gt;&lt;wsp:rsid wsp:val=&quot;00B910C1&quot;/&gt;&lt;wsp:rsid wsp:val=&quot;00B9114D&quot;/&gt;&lt;wsp:rsid wsp:val=&quot;00B914B0&quot;/&gt;&lt;wsp:rsid wsp:val=&quot;00B914D8&quot;/&gt;&lt;wsp:rsid wsp:val=&quot;00B91832&quot;/&gt;&lt;wsp:rsid wsp:val=&quot;00B91CC3&quot;/&gt;&lt;wsp:rsid wsp:val=&quot;00B91DD4&quot;/&gt;&lt;wsp:rsid wsp:val=&quot;00B91FB8&quot;/&gt;&lt;wsp:rsid wsp:val=&quot;00B9205D&quot;/&gt;&lt;wsp:rsid wsp:val=&quot;00B924B2&quot;/&gt;&lt;wsp:rsid wsp:val=&quot;00B925C1&quot;/&gt;&lt;wsp:rsid wsp:val=&quot;00B92778&quot;/&gt;&lt;wsp:rsid wsp:val=&quot;00B929AD&quot;/&gt;&lt;wsp:rsid wsp:val=&quot;00B92C0C&quot;/&gt;&lt;wsp:rsid wsp:val=&quot;00B93093&quot;/&gt;&lt;wsp:rsid wsp:val=&quot;00B93912&quot;/&gt;&lt;wsp:rsid wsp:val=&quot;00B93A4E&quot;/&gt;&lt;wsp:rsid wsp:val=&quot;00B93F28&quot;/&gt;&lt;wsp:rsid wsp:val=&quot;00B941FB&quot;/&gt;&lt;wsp:rsid wsp:val=&quot;00B943CA&quot;/&gt;&lt;wsp:rsid wsp:val=&quot;00B94C2D&quot;/&gt;&lt;wsp:rsid wsp:val=&quot;00B9507D&quot;/&gt;&lt;wsp:rsid wsp:val=&quot;00B955AA&quot;/&gt;&lt;wsp:rsid wsp:val=&quot;00B95600&quot;/&gt;&lt;wsp:rsid wsp:val=&quot;00B95707&quot;/&gt;&lt;wsp:rsid wsp:val=&quot;00B9583E&quot;/&gt;&lt;wsp:rsid wsp:val=&quot;00B95B07&quot;/&gt;&lt;wsp:rsid wsp:val=&quot;00B95F86&quot;/&gt;&lt;wsp:rsid wsp:val=&quot;00B96352&quot;/&gt;&lt;wsp:rsid wsp:val=&quot;00B96632&quot;/&gt;&lt;wsp:rsid wsp:val=&quot;00B96793&quot;/&gt;&lt;wsp:rsid wsp:val=&quot;00B967E1&quot;/&gt;&lt;wsp:rsid wsp:val=&quot;00B96947&quot;/&gt;&lt;wsp:rsid wsp:val=&quot;00B96A45&quot;/&gt;&lt;wsp:rsid wsp:val=&quot;00B96CFE&quot;/&gt;&lt;wsp:rsid wsp:val=&quot;00B972E1&quot;/&gt;&lt;wsp:rsid wsp:val=&quot;00B97307&quot;/&gt;&lt;wsp:rsid wsp:val=&quot;00B973E2&quot;/&gt;&lt;wsp:rsid wsp:val=&quot;00B9766B&quot;/&gt;&lt;wsp:rsid wsp:val=&quot;00B9768A&quot;/&gt;&lt;wsp:rsid wsp:val=&quot;00B9781B&quot;/&gt;&lt;wsp:rsid wsp:val=&quot;00B97943&quot;/&gt;&lt;wsp:rsid wsp:val=&quot;00B97B33&quot;/&gt;&lt;wsp:rsid wsp:val=&quot;00B97D11&quot;/&gt;&lt;wsp:rsid wsp:val=&quot;00B97D3C&quot;/&gt;&lt;wsp:rsid wsp:val=&quot;00B97D72&quot;/&gt;&lt;wsp:rsid wsp:val=&quot;00B97FCA&quot;/&gt;&lt;wsp:rsid wsp:val=&quot;00BA0053&quot;/&gt;&lt;wsp:rsid wsp:val=&quot;00BA00C7&quot;/&gt;&lt;wsp:rsid wsp:val=&quot;00BA029E&quot;/&gt;&lt;wsp:rsid wsp:val=&quot;00BA043D&quot;/&gt;&lt;wsp:rsid wsp:val=&quot;00BA07D2&quot;/&gt;&lt;wsp:rsid wsp:val=&quot;00BA0A1A&quot;/&gt;&lt;wsp:rsid wsp:val=&quot;00BA0E02&quot;/&gt;&lt;wsp:rsid wsp:val=&quot;00BA1546&quot;/&gt;&lt;wsp:rsid wsp:val=&quot;00BA178E&quot;/&gt;&lt;wsp:rsid wsp:val=&quot;00BA1867&quot;/&gt;&lt;wsp:rsid wsp:val=&quot;00BA19B8&quot;/&gt;&lt;wsp:rsid wsp:val=&quot;00BA1A28&quot;/&gt;&lt;wsp:rsid wsp:val=&quot;00BA1DFD&quot;/&gt;&lt;wsp:rsid wsp:val=&quot;00BA20EA&quot;/&gt;&lt;wsp:rsid wsp:val=&quot;00BA2220&quot;/&gt;&lt;wsp:rsid wsp:val=&quot;00BA2524&quot;/&gt;&lt;wsp:rsid wsp:val=&quot;00BA26D5&quot;/&gt;&lt;wsp:rsid wsp:val=&quot;00BA29EE&quot;/&gt;&lt;wsp:rsid wsp:val=&quot;00BA2AD9&quot;/&gt;&lt;wsp:rsid wsp:val=&quot;00BA2BCD&quot;/&gt;&lt;wsp:rsid wsp:val=&quot;00BA2F93&quot;/&gt;&lt;wsp:rsid wsp:val=&quot;00BA308E&quot;/&gt;&lt;wsp:rsid wsp:val=&quot;00BA323D&quot;/&gt;&lt;wsp:rsid wsp:val=&quot;00BA3547&quot;/&gt;&lt;wsp:rsid wsp:val=&quot;00BA3551&quot;/&gt;&lt;wsp:rsid wsp:val=&quot;00BA35F1&quot;/&gt;&lt;wsp:rsid wsp:val=&quot;00BA37D5&quot;/&gt;&lt;wsp:rsid wsp:val=&quot;00BA393D&quot;/&gt;&lt;wsp:rsid wsp:val=&quot;00BA3A59&quot;/&gt;&lt;wsp:rsid wsp:val=&quot;00BA3A94&quot;/&gt;&lt;wsp:rsid wsp:val=&quot;00BA3AC3&quot;/&gt;&lt;wsp:rsid wsp:val=&quot;00BA3B8A&quot;/&gt;&lt;wsp:rsid wsp:val=&quot;00BA3C2F&quot;/&gt;&lt;wsp:rsid wsp:val=&quot;00BA3DFF&quot;/&gt;&lt;wsp:rsid wsp:val=&quot;00BA3F9D&quot;/&gt;&lt;wsp:rsid wsp:val=&quot;00BA41FA&quot;/&gt;&lt;wsp:rsid wsp:val=&quot;00BA4D06&quot;/&gt;&lt;wsp:rsid wsp:val=&quot;00BA4ED7&quot;/&gt;&lt;wsp:rsid wsp:val=&quot;00BA4EFA&quot;/&gt;&lt;wsp:rsid wsp:val=&quot;00BA533B&quot;/&gt;&lt;wsp:rsid wsp:val=&quot;00BA579E&quot;/&gt;&lt;wsp:rsid wsp:val=&quot;00BA5882&quot;/&gt;&lt;wsp:rsid wsp:val=&quot;00BA59CA&quot;/&gt;&lt;wsp:rsid wsp:val=&quot;00BA5A51&quot;/&gt;&lt;wsp:rsid wsp:val=&quot;00BA5E70&quot;/&gt;&lt;wsp:rsid wsp:val=&quot;00BA5E7F&quot;/&gt;&lt;wsp:rsid wsp:val=&quot;00BA6702&quot;/&gt;&lt;wsp:rsid wsp:val=&quot;00BA6955&quot;/&gt;&lt;wsp:rsid wsp:val=&quot;00BA6BB7&quot;/&gt;&lt;wsp:rsid wsp:val=&quot;00BA6D40&quot;/&gt;&lt;wsp:rsid wsp:val=&quot;00BA6F78&quot;/&gt;&lt;wsp:rsid wsp:val=&quot;00BA7422&quot;/&gt;&lt;wsp:rsid wsp:val=&quot;00BA74B4&quot;/&gt;&lt;wsp:rsid wsp:val=&quot;00BA75E5&quot;/&gt;&lt;wsp:rsid wsp:val=&quot;00BA77CD&quot;/&gt;&lt;wsp:rsid wsp:val=&quot;00BA794C&quot;/&gt;&lt;wsp:rsid wsp:val=&quot;00BA7A30&quot;/&gt;&lt;wsp:rsid wsp:val=&quot;00BB002A&quot;/&gt;&lt;wsp:rsid wsp:val=&quot;00BB0100&quot;/&gt;&lt;wsp:rsid wsp:val=&quot;00BB0479&quot;/&gt;&lt;wsp:rsid wsp:val=&quot;00BB04BC&quot;/&gt;&lt;wsp:rsid wsp:val=&quot;00BB0763&quot;/&gt;&lt;wsp:rsid wsp:val=&quot;00BB0B27&quot;/&gt;&lt;wsp:rsid wsp:val=&quot;00BB0C33&quot;/&gt;&lt;wsp:rsid wsp:val=&quot;00BB0CAD&quot;/&gt;&lt;wsp:rsid wsp:val=&quot;00BB0F17&quot;/&gt;&lt;wsp:rsid wsp:val=&quot;00BB0FAA&quot;/&gt;&lt;wsp:rsid wsp:val=&quot;00BB116F&quot;/&gt;&lt;wsp:rsid wsp:val=&quot;00BB1288&quot;/&gt;&lt;wsp:rsid wsp:val=&quot;00BB17AD&quot;/&gt;&lt;wsp:rsid wsp:val=&quot;00BB1A22&quot;/&gt;&lt;wsp:rsid wsp:val=&quot;00BB1A9E&quot;/&gt;&lt;wsp:rsid wsp:val=&quot;00BB1F4E&quot;/&gt;&lt;wsp:rsid wsp:val=&quot;00BB1F90&quot;/&gt;&lt;wsp:rsid wsp:val=&quot;00BB2133&quot;/&gt;&lt;wsp:rsid wsp:val=&quot;00BB2323&quot;/&gt;&lt;wsp:rsid wsp:val=&quot;00BB2504&quot;/&gt;&lt;wsp:rsid wsp:val=&quot;00BB2562&quot;/&gt;&lt;wsp:rsid wsp:val=&quot;00BB25CD&quot;/&gt;&lt;wsp:rsid wsp:val=&quot;00BB26D6&quot;/&gt;&lt;wsp:rsid wsp:val=&quot;00BB2957&quot;/&gt;&lt;wsp:rsid wsp:val=&quot;00BB2AEB&quot;/&gt;&lt;wsp:rsid wsp:val=&quot;00BB2B4E&quot;/&gt;&lt;wsp:rsid wsp:val=&quot;00BB2CFA&quot;/&gt;&lt;wsp:rsid wsp:val=&quot;00BB2D25&quot;/&gt;&lt;wsp:rsid wsp:val=&quot;00BB2D56&quot;/&gt;&lt;wsp:rsid wsp:val=&quot;00BB2F57&quot;/&gt;&lt;wsp:rsid wsp:val=&quot;00BB2FAA&quot;/&gt;&lt;wsp:rsid wsp:val=&quot;00BB3272&quot;/&gt;&lt;wsp:rsid wsp:val=&quot;00BB32F5&quot;/&gt;&lt;wsp:rsid wsp:val=&quot;00BB3379&quot;/&gt;&lt;wsp:rsid wsp:val=&quot;00BB35CA&quot;/&gt;&lt;wsp:rsid wsp:val=&quot;00BB3FCB&quot;/&gt;&lt;wsp:rsid wsp:val=&quot;00BB44D4&quot;/&gt;&lt;wsp:rsid wsp:val=&quot;00BB491F&quot;/&gt;&lt;wsp:rsid wsp:val=&quot;00BB4B83&quot;/&gt;&lt;wsp:rsid wsp:val=&quot;00BB4D3C&quot;/&gt;&lt;wsp:rsid wsp:val=&quot;00BB4E2B&quot;/&gt;&lt;wsp:rsid wsp:val=&quot;00BB5876&quot;/&gt;&lt;wsp:rsid wsp:val=&quot;00BB5AB6&quot;/&gt;&lt;wsp:rsid wsp:val=&quot;00BB5B2B&quot;/&gt;&lt;wsp:rsid wsp:val=&quot;00BB5CD4&quot;/&gt;&lt;wsp:rsid wsp:val=&quot;00BB5D03&quot;/&gt;&lt;wsp:rsid wsp:val=&quot;00BB639D&quot;/&gt;&lt;wsp:rsid wsp:val=&quot;00BB6CEF&quot;/&gt;&lt;wsp:rsid wsp:val=&quot;00BB75D5&quot;/&gt;&lt;wsp:rsid wsp:val=&quot;00BB766D&quot;/&gt;&lt;wsp:rsid wsp:val=&quot;00BB78A5&quot;/&gt;&lt;wsp:rsid wsp:val=&quot;00BC009A&quot;/&gt;&lt;wsp:rsid wsp:val=&quot;00BC00FC&quot;/&gt;&lt;wsp:rsid wsp:val=&quot;00BC0104&quot;/&gt;&lt;wsp:rsid wsp:val=&quot;00BC038F&quot;/&gt;&lt;wsp:rsid wsp:val=&quot;00BC0683&quot;/&gt;&lt;wsp:rsid wsp:val=&quot;00BC0757&quot;/&gt;&lt;wsp:rsid wsp:val=&quot;00BC0804&quot;/&gt;&lt;wsp:rsid wsp:val=&quot;00BC09EB&quot;/&gt;&lt;wsp:rsid wsp:val=&quot;00BC0B74&quot;/&gt;&lt;wsp:rsid wsp:val=&quot;00BC0EF0&quot;/&gt;&lt;wsp:rsid wsp:val=&quot;00BC0F47&quot;/&gt;&lt;wsp:rsid wsp:val=&quot;00BC0F4E&quot;/&gt;&lt;wsp:rsid wsp:val=&quot;00BC1015&quot;/&gt;&lt;wsp:rsid wsp:val=&quot;00BC1553&quot;/&gt;&lt;wsp:rsid wsp:val=&quot;00BC1586&quot;/&gt;&lt;wsp:rsid wsp:val=&quot;00BC15A2&quot;/&gt;&lt;wsp:rsid wsp:val=&quot;00BC162E&quot;/&gt;&lt;wsp:rsid wsp:val=&quot;00BC1919&quot;/&gt;&lt;wsp:rsid wsp:val=&quot;00BC1F1A&quot;/&gt;&lt;wsp:rsid wsp:val=&quot;00BC1FF3&quot;/&gt;&lt;wsp:rsid wsp:val=&quot;00BC200E&quot;/&gt;&lt;wsp:rsid wsp:val=&quot;00BC21CE&quot;/&gt;&lt;wsp:rsid wsp:val=&quot;00BC2472&quot;/&gt;&lt;wsp:rsid wsp:val=&quot;00BC259F&quot;/&gt;&lt;wsp:rsid wsp:val=&quot;00BC297A&quot;/&gt;&lt;wsp:rsid wsp:val=&quot;00BC29B3&quot;/&gt;&lt;wsp:rsid wsp:val=&quot;00BC2D59&quot;/&gt;&lt;wsp:rsid wsp:val=&quot;00BC2E05&quot;/&gt;&lt;wsp:rsid wsp:val=&quot;00BC2F05&quot;/&gt;&lt;wsp:rsid wsp:val=&quot;00BC3101&quot;/&gt;&lt;wsp:rsid wsp:val=&quot;00BC31AC&quot;/&gt;&lt;wsp:rsid wsp:val=&quot;00BC323D&quot;/&gt;&lt;wsp:rsid wsp:val=&quot;00BC35DF&quot;/&gt;&lt;wsp:rsid wsp:val=&quot;00BC3A7B&quot;/&gt;&lt;wsp:rsid wsp:val=&quot;00BC3DEC&quot;/&gt;&lt;wsp:rsid wsp:val=&quot;00BC40BB&quot;/&gt;&lt;wsp:rsid wsp:val=&quot;00BC40C8&quot;/&gt;&lt;wsp:rsid wsp:val=&quot;00BC4741&quot;/&gt;&lt;wsp:rsid wsp:val=&quot;00BC491A&quot;/&gt;&lt;wsp:rsid wsp:val=&quot;00BC4966&quot;/&gt;&lt;wsp:rsid wsp:val=&quot;00BC4CE8&quot;/&gt;&lt;wsp:rsid wsp:val=&quot;00BC4FDA&quot;/&gt;&lt;wsp:rsid wsp:val=&quot;00BC507B&quot;/&gt;&lt;wsp:rsid wsp:val=&quot;00BC567A&quot;/&gt;&lt;wsp:rsid wsp:val=&quot;00BC5A3D&quot;/&gt;&lt;wsp:rsid wsp:val=&quot;00BC5A54&quot;/&gt;&lt;wsp:rsid wsp:val=&quot;00BC5DEB&quot;/&gt;&lt;wsp:rsid wsp:val=&quot;00BC6037&quot;/&gt;&lt;wsp:rsid wsp:val=&quot;00BC607B&quot;/&gt;&lt;wsp:rsid wsp:val=&quot;00BC62C6&quot;/&gt;&lt;wsp:rsid wsp:val=&quot;00BC63B6&quot;/&gt;&lt;wsp:rsid wsp:val=&quot;00BC694C&quot;/&gt;&lt;wsp:rsid wsp:val=&quot;00BC6AFD&quot;/&gt;&lt;wsp:rsid wsp:val=&quot;00BC6DE2&quot;/&gt;&lt;wsp:rsid wsp:val=&quot;00BC6E7C&quot;/&gt;&lt;wsp:rsid wsp:val=&quot;00BC6EC3&quot;/&gt;&lt;wsp:rsid wsp:val=&quot;00BC7444&quot;/&gt;&lt;wsp:rsid wsp:val=&quot;00BC764F&quot;/&gt;&lt;wsp:rsid wsp:val=&quot;00BC7AC8&quot;/&gt;&lt;wsp:rsid wsp:val=&quot;00BC7B1B&quot;/&gt;&lt;wsp:rsid wsp:val=&quot;00BC7F8B&quot;/&gt;&lt;wsp:rsid wsp:val=&quot;00BD00B3&quot;/&gt;&lt;wsp:rsid wsp:val=&quot;00BD07B6&quot;/&gt;&lt;wsp:rsid wsp:val=&quot;00BD0A98&quot;/&gt;&lt;wsp:rsid wsp:val=&quot;00BD0D2F&quot;/&gt;&lt;wsp:rsid wsp:val=&quot;00BD0DE7&quot;/&gt;&lt;wsp:rsid wsp:val=&quot;00BD115E&quot;/&gt;&lt;wsp:rsid wsp:val=&quot;00BD1316&quot;/&gt;&lt;wsp:rsid wsp:val=&quot;00BD1385&quot;/&gt;&lt;wsp:rsid wsp:val=&quot;00BD13D4&quot;/&gt;&lt;wsp:rsid wsp:val=&quot;00BD15D5&quot;/&gt;&lt;wsp:rsid wsp:val=&quot;00BD199F&quot;/&gt;&lt;wsp:rsid wsp:val=&quot;00BD19A1&quot;/&gt;&lt;wsp:rsid wsp:val=&quot;00BD1B0A&quot;/&gt;&lt;wsp:rsid wsp:val=&quot;00BD1D0A&quot;/&gt;&lt;wsp:rsid wsp:val=&quot;00BD1FD0&quot;/&gt;&lt;wsp:rsid wsp:val=&quot;00BD26D7&quot;/&gt;&lt;wsp:rsid wsp:val=&quot;00BD282A&quot;/&gt;&lt;wsp:rsid wsp:val=&quot;00BD2CB5&quot;/&gt;&lt;wsp:rsid wsp:val=&quot;00BD2D29&quot;/&gt;&lt;wsp:rsid wsp:val=&quot;00BD2EB9&quot;/&gt;&lt;wsp:rsid wsp:val=&quot;00BD3115&quot;/&gt;&lt;wsp:rsid wsp:val=&quot;00BD35A1&quot;/&gt;&lt;wsp:rsid wsp:val=&quot;00BD3637&quot;/&gt;&lt;wsp:rsid wsp:val=&quot;00BD36BE&quot;/&gt;&lt;wsp:rsid wsp:val=&quot;00BD36FC&quot;/&gt;&lt;wsp:rsid wsp:val=&quot;00BD3A2D&quot;/&gt;&lt;wsp:rsid wsp:val=&quot;00BD3D91&quot;/&gt;&lt;wsp:rsid wsp:val=&quot;00BD41B6&quot;/&gt;&lt;wsp:rsid wsp:val=&quot;00BD476C&quot;/&gt;&lt;wsp:rsid wsp:val=&quot;00BD47B5&quot;/&gt;&lt;wsp:rsid wsp:val=&quot;00BD49C1&quot;/&gt;&lt;wsp:rsid wsp:val=&quot;00BD4E86&quot;/&gt;&lt;wsp:rsid wsp:val=&quot;00BD4EDF&quot;/&gt;&lt;wsp:rsid wsp:val=&quot;00BD50B9&quot;/&gt;&lt;wsp:rsid wsp:val=&quot;00BD525D&quot;/&gt;&lt;wsp:rsid wsp:val=&quot;00BD5AAB&quot;/&gt;&lt;wsp:rsid wsp:val=&quot;00BD600C&quot;/&gt;&lt;wsp:rsid wsp:val=&quot;00BD64AA&quot;/&gt;&lt;wsp:rsid wsp:val=&quot;00BD6553&quot;/&gt;&lt;wsp:rsid wsp:val=&quot;00BD6752&quot;/&gt;&lt;wsp:rsid wsp:val=&quot;00BD6A63&quot;/&gt;&lt;wsp:rsid wsp:val=&quot;00BD6AC2&quot;/&gt;&lt;wsp:rsid wsp:val=&quot;00BD7217&quot;/&gt;&lt;wsp:rsid wsp:val=&quot;00BD728D&quot;/&gt;&lt;wsp:rsid wsp:val=&quot;00BD735F&quot;/&gt;&lt;wsp:rsid wsp:val=&quot;00BD74C3&quot;/&gt;&lt;wsp:rsid wsp:val=&quot;00BD74E3&quot;/&gt;&lt;wsp:rsid wsp:val=&quot;00BD7A65&quot;/&gt;&lt;wsp:rsid wsp:val=&quot;00BD7C39&quot;/&gt;&lt;wsp:rsid wsp:val=&quot;00BD7C7E&quot;/&gt;&lt;wsp:rsid wsp:val=&quot;00BE0048&quot;/&gt;&lt;wsp:rsid wsp:val=&quot;00BE0142&quot;/&gt;&lt;wsp:rsid wsp:val=&quot;00BE06AA&quot;/&gt;&lt;wsp:rsid wsp:val=&quot;00BE06AC&quot;/&gt;&lt;wsp:rsid wsp:val=&quot;00BE0749&quot;/&gt;&lt;wsp:rsid wsp:val=&quot;00BE0A54&quot;/&gt;&lt;wsp:rsid wsp:val=&quot;00BE0A7A&quot;/&gt;&lt;wsp:rsid wsp:val=&quot;00BE0DBF&quot;/&gt;&lt;wsp:rsid wsp:val=&quot;00BE0F9F&quot;/&gt;&lt;wsp:rsid wsp:val=&quot;00BE10DF&quot;/&gt;&lt;wsp:rsid wsp:val=&quot;00BE123E&quot;/&gt;&lt;wsp:rsid wsp:val=&quot;00BE1377&quot;/&gt;&lt;wsp:rsid wsp:val=&quot;00BE18F5&quot;/&gt;&lt;wsp:rsid wsp:val=&quot;00BE1924&quot;/&gt;&lt;wsp:rsid wsp:val=&quot;00BE195F&quot;/&gt;&lt;wsp:rsid wsp:val=&quot;00BE198A&quot;/&gt;&lt;wsp:rsid wsp:val=&quot;00BE1C1C&quot;/&gt;&lt;wsp:rsid wsp:val=&quot;00BE20A3&quot;/&gt;&lt;wsp:rsid wsp:val=&quot;00BE21BE&quot;/&gt;&lt;wsp:rsid wsp:val=&quot;00BE21E1&quot;/&gt;&lt;wsp:rsid wsp:val=&quot;00BE2579&quot;/&gt;&lt;wsp:rsid wsp:val=&quot;00BE28CA&quot;/&gt;&lt;wsp:rsid wsp:val=&quot;00BE2ACD&quot;/&gt;&lt;wsp:rsid wsp:val=&quot;00BE3118&quot;/&gt;&lt;wsp:rsid wsp:val=&quot;00BE342F&quot;/&gt;&lt;wsp:rsid wsp:val=&quot;00BE35B6&quot;/&gt;&lt;wsp:rsid wsp:val=&quot;00BE3718&quot;/&gt;&lt;wsp:rsid wsp:val=&quot;00BE37D7&quot;/&gt;&lt;wsp:rsid wsp:val=&quot;00BE393C&quot;/&gt;&lt;wsp:rsid wsp:val=&quot;00BE3974&quot;/&gt;&lt;wsp:rsid wsp:val=&quot;00BE3AC0&quot;/&gt;&lt;wsp:rsid wsp:val=&quot;00BE3AD3&quot;/&gt;&lt;wsp:rsid wsp:val=&quot;00BE3B86&quot;/&gt;&lt;wsp:rsid wsp:val=&quot;00BE3BA4&quot;/&gt;&lt;wsp:rsid wsp:val=&quot;00BE3EC1&quot;/&gt;&lt;wsp:rsid wsp:val=&quot;00BE4ABE&quot;/&gt;&lt;wsp:rsid wsp:val=&quot;00BE4DFA&quot;/&gt;&lt;wsp:rsid wsp:val=&quot;00BE5026&quot;/&gt;&lt;wsp:rsid wsp:val=&quot;00BE504C&quot;/&gt;&lt;wsp:rsid wsp:val=&quot;00BE5081&quot;/&gt;&lt;wsp:rsid wsp:val=&quot;00BE522E&quot;/&gt;&lt;wsp:rsid wsp:val=&quot;00BE52D8&quot;/&gt;&lt;wsp:rsid wsp:val=&quot;00BE5530&quot;/&gt;&lt;wsp:rsid wsp:val=&quot;00BE584E&quot;/&gt;&lt;wsp:rsid wsp:val=&quot;00BE598A&quot;/&gt;&lt;wsp:rsid wsp:val=&quot;00BE59F5&quot;/&gt;&lt;wsp:rsid wsp:val=&quot;00BE60BA&quot;/&gt;&lt;wsp:rsid wsp:val=&quot;00BE6126&quot;/&gt;&lt;wsp:rsid wsp:val=&quot;00BE63C5&quot;/&gt;&lt;wsp:rsid wsp:val=&quot;00BE644D&quot;/&gt;&lt;wsp:rsid wsp:val=&quot;00BE664F&quot;/&gt;&lt;wsp:rsid wsp:val=&quot;00BE66F4&quot;/&gt;&lt;wsp:rsid wsp:val=&quot;00BE67BF&quot;/&gt;&lt;wsp:rsid wsp:val=&quot;00BE6813&quot;/&gt;&lt;wsp:rsid wsp:val=&quot;00BE6878&quot;/&gt;&lt;wsp:rsid wsp:val=&quot;00BE6C4C&quot;/&gt;&lt;wsp:rsid wsp:val=&quot;00BE6DF2&quot;/&gt;&lt;wsp:rsid wsp:val=&quot;00BE6EE6&quot;/&gt;&lt;wsp:rsid wsp:val=&quot;00BE7017&quot;/&gt;&lt;wsp:rsid wsp:val=&quot;00BE7020&quot;/&gt;&lt;wsp:rsid wsp:val=&quot;00BE715A&quot;/&gt;&lt;wsp:rsid wsp:val=&quot;00BE7594&quot;/&gt;&lt;wsp:rsid wsp:val=&quot;00BE796D&quot;/&gt;&lt;wsp:rsid wsp:val=&quot;00BE7A02&quot;/&gt;&lt;wsp:rsid wsp:val=&quot;00BE7B06&quot;/&gt;&lt;wsp:rsid wsp:val=&quot;00BE7DD0&quot;/&gt;&lt;wsp:rsid wsp:val=&quot;00BE7E3F&quot;/&gt;&lt;wsp:rsid wsp:val=&quot;00BE7F36&quot;/&gt;&lt;wsp:rsid wsp:val=&quot;00BE7F75&quot;/&gt;&lt;wsp:rsid wsp:val=&quot;00BF0122&quot;/&gt;&lt;wsp:rsid wsp:val=&quot;00BF0169&quot;/&gt;&lt;wsp:rsid wsp:val=&quot;00BF0222&quot;/&gt;&lt;wsp:rsid wsp:val=&quot;00BF0268&quot;/&gt;&lt;wsp:rsid wsp:val=&quot;00BF036C&quot;/&gt;&lt;wsp:rsid wsp:val=&quot;00BF0726&quot;/&gt;&lt;wsp:rsid wsp:val=&quot;00BF0CC7&quot;/&gt;&lt;wsp:rsid wsp:val=&quot;00BF10CB&quot;/&gt;&lt;wsp:rsid wsp:val=&quot;00BF138B&quot;/&gt;&lt;wsp:rsid wsp:val=&quot;00BF1439&quot;/&gt;&lt;wsp:rsid wsp:val=&quot;00BF173B&quot;/&gt;&lt;wsp:rsid wsp:val=&quot;00BF1D8B&quot;/&gt;&lt;wsp:rsid wsp:val=&quot;00BF2191&quot;/&gt;&lt;wsp:rsid wsp:val=&quot;00BF224E&quot;/&gt;&lt;wsp:rsid wsp:val=&quot;00BF23EB&quot;/&gt;&lt;wsp:rsid wsp:val=&quot;00BF262A&quot;/&gt;&lt;wsp:rsid wsp:val=&quot;00BF2717&quot;/&gt;&lt;wsp:rsid wsp:val=&quot;00BF2874&quot;/&gt;&lt;wsp:rsid wsp:val=&quot;00BF2951&quot;/&gt;&lt;wsp:rsid wsp:val=&quot;00BF297B&quot;/&gt;&lt;wsp:rsid wsp:val=&quot;00BF3249&quot;/&gt;&lt;wsp:rsid wsp:val=&quot;00BF3292&quot;/&gt;&lt;wsp:rsid wsp:val=&quot;00BF32FC&quot;/&gt;&lt;wsp:rsid wsp:val=&quot;00BF3623&quot;/&gt;&lt;wsp:rsid wsp:val=&quot;00BF38B9&quot;/&gt;&lt;wsp:rsid wsp:val=&quot;00BF3B8E&quot;/&gt;&lt;wsp:rsid wsp:val=&quot;00BF3BA6&quot;/&gt;&lt;wsp:rsid wsp:val=&quot;00BF3EE1&quot;/&gt;&lt;wsp:rsid wsp:val=&quot;00BF430A&quot;/&gt;&lt;wsp:rsid wsp:val=&quot;00BF4550&quot;/&gt;&lt;wsp:rsid wsp:val=&quot;00BF478B&quot;/&gt;&lt;wsp:rsid wsp:val=&quot;00BF4879&quot;/&gt;&lt;wsp:rsid wsp:val=&quot;00BF4AA9&quot;/&gt;&lt;wsp:rsid wsp:val=&quot;00BF4BB9&quot;/&gt;&lt;wsp:rsid wsp:val=&quot;00BF4DD6&quot;/&gt;&lt;wsp:rsid wsp:val=&quot;00BF4E15&quot;/&gt;&lt;wsp:rsid wsp:val=&quot;00BF4EF5&quot;/&gt;&lt;wsp:rsid wsp:val=&quot;00BF4FA5&quot;/&gt;&lt;wsp:rsid wsp:val=&quot;00BF513D&quot;/&gt;&lt;wsp:rsid wsp:val=&quot;00BF5150&quot;/&gt;&lt;wsp:rsid wsp:val=&quot;00BF556A&quot;/&gt;&lt;wsp:rsid wsp:val=&quot;00BF5AD5&quot;/&gt;&lt;wsp:rsid wsp:val=&quot;00BF619C&quot;/&gt;&lt;wsp:rsid wsp:val=&quot;00BF638C&quot;/&gt;&lt;wsp:rsid wsp:val=&quot;00BF67C4&quot;/&gt;&lt;wsp:rsid wsp:val=&quot;00BF6E39&quot;/&gt;&lt;wsp:rsid wsp:val=&quot;00BF6F0F&quot;/&gt;&lt;wsp:rsid wsp:val=&quot;00BF6F35&quot;/&gt;&lt;wsp:rsid wsp:val=&quot;00BF6F41&quot;/&gt;&lt;wsp:rsid wsp:val=&quot;00BF70EF&quot;/&gt;&lt;wsp:rsid wsp:val=&quot;00BF7458&quot;/&gt;&lt;wsp:rsid wsp:val=&quot;00BF759A&quot;/&gt;&lt;wsp:rsid wsp:val=&quot;00BF76C4&quot;/&gt;&lt;wsp:rsid wsp:val=&quot;00BF7737&quot;/&gt;&lt;wsp:rsid wsp:val=&quot;00BF7A95&quot;/&gt;&lt;wsp:rsid wsp:val=&quot;00BF7ABC&quot;/&gt;&lt;wsp:rsid wsp:val=&quot;00BF7CA1&quot;/&gt;&lt;wsp:rsid wsp:val=&quot;00C00097&quot;/&gt;&lt;wsp:rsid wsp:val=&quot;00C001C0&quot;/&gt;&lt;wsp:rsid wsp:val=&quot;00C00A08&quot;/&gt;&lt;wsp:rsid wsp:val=&quot;00C00A99&quot;/&gt;&lt;wsp:rsid wsp:val=&quot;00C00F16&quot;/&gt;&lt;wsp:rsid wsp:val=&quot;00C010AD&quot;/&gt;&lt;wsp:rsid wsp:val=&quot;00C010C1&quot;/&gt;&lt;wsp:rsid wsp:val=&quot;00C01132&quot;/&gt;&lt;wsp:rsid wsp:val=&quot;00C01669&quot;/&gt;&lt;wsp:rsid wsp:val=&quot;00C01863&quot;/&gt;&lt;wsp:rsid wsp:val=&quot;00C0199B&quot;/&gt;&lt;wsp:rsid wsp:val=&quot;00C019D0&quot;/&gt;&lt;wsp:rsid wsp:val=&quot;00C01A5E&quot;/&gt;&lt;wsp:rsid wsp:val=&quot;00C01DB0&quot;/&gt;&lt;wsp:rsid wsp:val=&quot;00C01E68&quot;/&gt;&lt;wsp:rsid wsp:val=&quot;00C021BC&quot;/&gt;&lt;wsp:rsid wsp:val=&quot;00C022EB&quot;/&gt;&lt;wsp:rsid wsp:val=&quot;00C02341&quot;/&gt;&lt;wsp:rsid wsp:val=&quot;00C02406&quot;/&gt;&lt;wsp:rsid wsp:val=&quot;00C028C1&quot;/&gt;&lt;wsp:rsid wsp:val=&quot;00C02AA5&quot;/&gt;&lt;wsp:rsid wsp:val=&quot;00C02AC8&quot;/&gt;&lt;wsp:rsid wsp:val=&quot;00C02EE1&quot;/&gt;&lt;wsp:rsid wsp:val=&quot;00C03135&quot;/&gt;&lt;wsp:rsid wsp:val=&quot;00C0344D&quot;/&gt;&lt;wsp:rsid wsp:val=&quot;00C036B5&quot;/&gt;&lt;wsp:rsid wsp:val=&quot;00C036DD&quot;/&gt;&lt;wsp:rsid wsp:val=&quot;00C0383B&quot;/&gt;&lt;wsp:rsid wsp:val=&quot;00C0392B&quot;/&gt;&lt;wsp:rsid wsp:val=&quot;00C03A48&quot;/&gt;&lt;wsp:rsid wsp:val=&quot;00C03A62&quot;/&gt;&lt;wsp:rsid wsp:val=&quot;00C03DF9&quot;/&gt;&lt;wsp:rsid wsp:val=&quot;00C04D55&quot;/&gt;&lt;wsp:rsid wsp:val=&quot;00C04E25&quot;/&gt;&lt;wsp:rsid wsp:val=&quot;00C04F93&quot;/&gt;&lt;wsp:rsid wsp:val=&quot;00C05414&quot;/&gt;&lt;wsp:rsid wsp:val=&quot;00C05683&quot;/&gt;&lt;wsp:rsid wsp:val=&quot;00C059D3&quot;/&gt;&lt;wsp:rsid wsp:val=&quot;00C05A86&quot;/&gt;&lt;wsp:rsid wsp:val=&quot;00C05AF4&quot;/&gt;&lt;wsp:rsid wsp:val=&quot;00C05B9D&quot;/&gt;&lt;wsp:rsid wsp:val=&quot;00C05CB2&quot;/&gt;&lt;wsp:rsid wsp:val=&quot;00C05EF4&quot;/&gt;&lt;wsp:rsid wsp:val=&quot;00C05FBF&quot;/&gt;&lt;wsp:rsid wsp:val=&quot;00C06057&quot;/&gt;&lt;wsp:rsid wsp:val=&quot;00C0609B&quot;/&gt;&lt;wsp:rsid wsp:val=&quot;00C0609C&quot;/&gt;&lt;wsp:rsid wsp:val=&quot;00C0626F&quot;/&gt;&lt;wsp:rsid wsp:val=&quot;00C063B2&quot;/&gt;&lt;wsp:rsid wsp:val=&quot;00C06433&quot;/&gt;&lt;wsp:rsid wsp:val=&quot;00C064FB&quot;/&gt;&lt;wsp:rsid wsp:val=&quot;00C065ED&quot;/&gt;&lt;wsp:rsid wsp:val=&quot;00C06613&quot;/&gt;&lt;wsp:rsid wsp:val=&quot;00C06711&quot;/&gt;&lt;wsp:rsid wsp:val=&quot;00C06827&quot;/&gt;&lt;wsp:rsid wsp:val=&quot;00C0682A&quot;/&gt;&lt;wsp:rsid wsp:val=&quot;00C06A4A&quot;/&gt;&lt;wsp:rsid wsp:val=&quot;00C06A57&quot;/&gt;&lt;wsp:rsid wsp:val=&quot;00C06B04&quot;/&gt;&lt;wsp:rsid wsp:val=&quot;00C06B76&quot;/&gt;&lt;wsp:rsid wsp:val=&quot;00C06CF5&quot;/&gt;&lt;wsp:rsid wsp:val=&quot;00C0738F&quot;/&gt;&lt;wsp:rsid wsp:val=&quot;00C07A8C&quot;/&gt;&lt;wsp:rsid wsp:val=&quot;00C07B14&quot;/&gt;&lt;wsp:rsid wsp:val=&quot;00C100D7&quot;/&gt;&lt;wsp:rsid wsp:val=&quot;00C101E1&quot;/&gt;&lt;wsp:rsid wsp:val=&quot;00C104B1&quot;/&gt;&lt;wsp:rsid wsp:val=&quot;00C1065E&quot;/&gt;&lt;wsp:rsid wsp:val=&quot;00C10668&quot;/&gt;&lt;wsp:rsid wsp:val=&quot;00C107D6&quot;/&gt;&lt;wsp:rsid wsp:val=&quot;00C11265&quot;/&gt;&lt;wsp:rsid wsp:val=&quot;00C11821&quot;/&gt;&lt;wsp:rsid wsp:val=&quot;00C11DFA&quot;/&gt;&lt;wsp:rsid wsp:val=&quot;00C11E71&quot;/&gt;&lt;wsp:rsid wsp:val=&quot;00C1208A&quot;/&gt;&lt;wsp:rsid wsp:val=&quot;00C121CF&quot;/&gt;&lt;wsp:rsid wsp:val=&quot;00C12557&quot;/&gt;&lt;wsp:rsid wsp:val=&quot;00C125D0&quot;/&gt;&lt;wsp:rsid wsp:val=&quot;00C12726&quot;/&gt;&lt;wsp:rsid wsp:val=&quot;00C12B2E&quot;/&gt;&lt;wsp:rsid wsp:val=&quot;00C13064&quot;/&gt;&lt;wsp:rsid wsp:val=&quot;00C130BF&quot;/&gt;&lt;wsp:rsid wsp:val=&quot;00C13126&quot;/&gt;&lt;wsp:rsid wsp:val=&quot;00C131D9&quot;/&gt;&lt;wsp:rsid wsp:val=&quot;00C137A9&quot;/&gt;&lt;wsp:rsid wsp:val=&quot;00C13B49&quot;/&gt;&lt;wsp:rsid wsp:val=&quot;00C13C77&quot;/&gt;&lt;wsp:rsid wsp:val=&quot;00C14365&quot;/&gt;&lt;wsp:rsid wsp:val=&quot;00C14540&quot;/&gt;&lt;wsp:rsid wsp:val=&quot;00C14569&quot;/&gt;&lt;wsp:rsid wsp:val=&quot;00C1469C&quot;/&gt;&lt;wsp:rsid wsp:val=&quot;00C1596C&quot;/&gt;&lt;wsp:rsid wsp:val=&quot;00C159C6&quot;/&gt;&lt;wsp:rsid wsp:val=&quot;00C15ABA&quot;/&gt;&lt;wsp:rsid wsp:val=&quot;00C15AFF&quot;/&gt;&lt;wsp:rsid wsp:val=&quot;00C16066&quot;/&gt;&lt;wsp:rsid wsp:val=&quot;00C16476&quot;/&gt;&lt;wsp:rsid wsp:val=&quot;00C165C1&quot;/&gt;&lt;wsp:rsid wsp:val=&quot;00C16810&quot;/&gt;&lt;wsp:rsid wsp:val=&quot;00C16992&quot;/&gt;&lt;wsp:rsid wsp:val=&quot;00C16E33&quot;/&gt;&lt;wsp:rsid wsp:val=&quot;00C16E66&quot;/&gt;&lt;wsp:rsid wsp:val=&quot;00C17203&quot;/&gt;&lt;wsp:rsid wsp:val=&quot;00C17662&quot;/&gt;&lt;wsp:rsid wsp:val=&quot;00C17785&quot;/&gt;&lt;wsp:rsid wsp:val=&quot;00C177DD&quot;/&gt;&lt;wsp:rsid wsp:val=&quot;00C177E5&quot;/&gt;&lt;wsp:rsid wsp:val=&quot;00C179D1&quot;/&gt;&lt;wsp:rsid wsp:val=&quot;00C17E9B&quot;/&gt;&lt;wsp:rsid wsp:val=&quot;00C200EC&quot;/&gt;&lt;wsp:rsid wsp:val=&quot;00C20627&quot;/&gt;&lt;wsp:rsid wsp:val=&quot;00C206C2&quot;/&gt;&lt;wsp:rsid wsp:val=&quot;00C20908&quot;/&gt;&lt;wsp:rsid wsp:val=&quot;00C20963&quot;/&gt;&lt;wsp:rsid wsp:val=&quot;00C20A11&quot;/&gt;&lt;wsp:rsid wsp:val=&quot;00C20AE4&quot;/&gt;&lt;wsp:rsid wsp:val=&quot;00C20E5A&quot;/&gt;&lt;wsp:rsid wsp:val=&quot;00C20E85&quot;/&gt;&lt;wsp:rsid wsp:val=&quot;00C2107C&quot;/&gt;&lt;wsp:rsid wsp:val=&quot;00C2123E&quot;/&gt;&lt;wsp:rsid wsp:val=&quot;00C213A1&quot;/&gt;&lt;wsp:rsid wsp:val=&quot;00C213DC&quot;/&gt;&lt;wsp:rsid wsp:val=&quot;00C215C7&quot;/&gt;&lt;wsp:rsid wsp:val=&quot;00C21730&quot;/&gt;&lt;wsp:rsid wsp:val=&quot;00C21863&quot;/&gt;&lt;wsp:rsid wsp:val=&quot;00C221CB&quot;/&gt;&lt;wsp:rsid wsp:val=&quot;00C22B31&quot;/&gt;&lt;wsp:rsid wsp:val=&quot;00C22B74&quot;/&gt;&lt;wsp:rsid wsp:val=&quot;00C22D29&quot;/&gt;&lt;wsp:rsid wsp:val=&quot;00C22D8D&quot;/&gt;&lt;wsp:rsid wsp:val=&quot;00C22F1A&quot;/&gt;&lt;wsp:rsid wsp:val=&quot;00C23071&quot;/&gt;&lt;wsp:rsid wsp:val=&quot;00C233A5&quot;/&gt;&lt;wsp:rsid wsp:val=&quot;00C233E1&quot;/&gt;&lt;wsp:rsid wsp:val=&quot;00C235D9&quot;/&gt;&lt;wsp:rsid wsp:val=&quot;00C23BCF&quot;/&gt;&lt;wsp:rsid wsp:val=&quot;00C23FB5&quot;/&gt;&lt;wsp:rsid wsp:val=&quot;00C23FDA&quot;/&gt;&lt;wsp:rsid wsp:val=&quot;00C24193&quot;/&gt;&lt;wsp:rsid wsp:val=&quot;00C24605&quot;/&gt;&lt;wsp:rsid wsp:val=&quot;00C2477D&quot;/&gt;&lt;wsp:rsid wsp:val=&quot;00C2478D&quot;/&gt;&lt;wsp:rsid wsp:val=&quot;00C2479F&quot;/&gt;&lt;wsp:rsid wsp:val=&quot;00C24892&quot;/&gt;&lt;wsp:rsid wsp:val=&quot;00C24937&quot;/&gt;&lt;wsp:rsid wsp:val=&quot;00C24AA9&quot;/&gt;&lt;wsp:rsid wsp:val=&quot;00C24C11&quot;/&gt;&lt;wsp:rsid wsp:val=&quot;00C24DAE&quot;/&gt;&lt;wsp:rsid wsp:val=&quot;00C24E12&quot;/&gt;&lt;wsp:rsid wsp:val=&quot;00C24EF0&quot;/&gt;&lt;wsp:rsid wsp:val=&quot;00C24F83&quot;/&gt;&lt;wsp:rsid wsp:val=&quot;00C24F9C&quot;/&gt;&lt;wsp:rsid wsp:val=&quot;00C250BC&quot;/&gt;&lt;wsp:rsid wsp:val=&quot;00C2512F&quot;/&gt;&lt;wsp:rsid wsp:val=&quot;00C25138&quot;/&gt;&lt;wsp:rsid wsp:val=&quot;00C25478&quot;/&gt;&lt;wsp:rsid wsp:val=&quot;00C2547D&quot;/&gt;&lt;wsp:rsid wsp:val=&quot;00C254A6&quot;/&gt;&lt;wsp:rsid wsp:val=&quot;00C2551E&quot;/&gt;&lt;wsp:rsid wsp:val=&quot;00C25564&quot;/&gt;&lt;wsp:rsid wsp:val=&quot;00C255F9&quot;/&gt;&lt;wsp:rsid wsp:val=&quot;00C257C2&quot;/&gt;&lt;wsp:rsid wsp:val=&quot;00C25892&quot;/&gt;&lt;wsp:rsid wsp:val=&quot;00C258C9&quot;/&gt;&lt;wsp:rsid wsp:val=&quot;00C25B98&quot;/&gt;&lt;wsp:rsid wsp:val=&quot;00C25CAE&quot;/&gt;&lt;wsp:rsid wsp:val=&quot;00C25CC0&quot;/&gt;&lt;wsp:rsid wsp:val=&quot;00C26130&quot;/&gt;&lt;wsp:rsid wsp:val=&quot;00C263F8&quot;/&gt;&lt;wsp:rsid wsp:val=&quot;00C268F3&quot;/&gt;&lt;wsp:rsid wsp:val=&quot;00C26A45&quot;/&gt;&lt;wsp:rsid wsp:val=&quot;00C26ADD&quot;/&gt;&lt;wsp:rsid wsp:val=&quot;00C26D0C&quot;/&gt;&lt;wsp:rsid wsp:val=&quot;00C26F58&quot;/&gt;&lt;wsp:rsid wsp:val=&quot;00C27177&quot;/&gt;&lt;wsp:rsid wsp:val=&quot;00C271C7&quot;/&gt;&lt;wsp:rsid wsp:val=&quot;00C271F1&quot;/&gt;&lt;wsp:rsid wsp:val=&quot;00C27220&quot;/&gt;&lt;wsp:rsid wsp:val=&quot;00C276C0&quot;/&gt;&lt;wsp:rsid wsp:val=&quot;00C27718&quot;/&gt;&lt;wsp:rsid wsp:val=&quot;00C27769&quot;/&gt;&lt;wsp:rsid wsp:val=&quot;00C27775&quot;/&gt;&lt;wsp:rsid wsp:val=&quot;00C27E42&quot;/&gt;&lt;wsp:rsid wsp:val=&quot;00C27EE8&quot;/&gt;&lt;wsp:rsid wsp:val=&quot;00C27F8E&quot;/&gt;&lt;wsp:rsid wsp:val=&quot;00C30305&quot;/&gt;&lt;wsp:rsid wsp:val=&quot;00C3059D&quot;/&gt;&lt;wsp:rsid wsp:val=&quot;00C30A98&quot;/&gt;&lt;wsp:rsid wsp:val=&quot;00C31542&quot;/&gt;&lt;wsp:rsid wsp:val=&quot;00C315CF&quot;/&gt;&lt;wsp:rsid wsp:val=&quot;00C319D8&quot;/&gt;&lt;wsp:rsid wsp:val=&quot;00C31AFC&quot;/&gt;&lt;wsp:rsid wsp:val=&quot;00C31BE6&quot;/&gt;&lt;wsp:rsid wsp:val=&quot;00C31D1F&quot;/&gt;&lt;wsp:rsid wsp:val=&quot;00C32092&quot;/&gt;&lt;wsp:rsid wsp:val=&quot;00C32402&quot;/&gt;&lt;wsp:rsid wsp:val=&quot;00C32497&quot;/&gt;&lt;wsp:rsid wsp:val=&quot;00C32691&quot;/&gt;&lt;wsp:rsid wsp:val=&quot;00C329F6&quot;/&gt;&lt;wsp:rsid wsp:val=&quot;00C32AC4&quot;/&gt;&lt;wsp:rsid wsp:val=&quot;00C32B71&quot;/&gt;&lt;wsp:rsid wsp:val=&quot;00C32C34&quot;/&gt;&lt;wsp:rsid wsp:val=&quot;00C32C92&quot;/&gt;&lt;wsp:rsid wsp:val=&quot;00C32CA4&quot;/&gt;&lt;wsp:rsid wsp:val=&quot;00C32CE4&quot;/&gt;&lt;wsp:rsid wsp:val=&quot;00C331BA&quot;/&gt;&lt;wsp:rsid wsp:val=&quot;00C33386&quot;/&gt;&lt;wsp:rsid wsp:val=&quot;00C33575&quot;/&gt;&lt;wsp:rsid wsp:val=&quot;00C338B5&quot;/&gt;&lt;wsp:rsid wsp:val=&quot;00C33C23&quot;/&gt;&lt;wsp:rsid wsp:val=&quot;00C34069&quot;/&gt;&lt;wsp:rsid wsp:val=&quot;00C3406A&quot;/&gt;&lt;wsp:rsid wsp:val=&quot;00C347E6&quot;/&gt;&lt;wsp:rsid wsp:val=&quot;00C3494D&quot;/&gt;&lt;wsp:rsid wsp:val=&quot;00C3558D&quot;/&gt;&lt;wsp:rsid wsp:val=&quot;00C359D4&quot;/&gt;&lt;wsp:rsid wsp:val=&quot;00C35FC8&quot;/&gt;&lt;wsp:rsid wsp:val=&quot;00C3635A&quot;/&gt;&lt;wsp:rsid wsp:val=&quot;00C364E3&quot;/&gt;&lt;wsp:rsid wsp:val=&quot;00C365D1&quot;/&gt;&lt;wsp:rsid wsp:val=&quot;00C367F0&quot;/&gt;&lt;wsp:rsid wsp:val=&quot;00C36C64&quot;/&gt;&lt;wsp:rsid wsp:val=&quot;00C370A4&quot;/&gt;&lt;wsp:rsid wsp:val=&quot;00C372FB&quot;/&gt;&lt;wsp:rsid wsp:val=&quot;00C374B2&quot;/&gt;&lt;wsp:rsid wsp:val=&quot;00C37545&quot;/&gt;&lt;wsp:rsid wsp:val=&quot;00C3757E&quot;/&gt;&lt;wsp:rsid wsp:val=&quot;00C377BD&quot;/&gt;&lt;wsp:rsid wsp:val=&quot;00C3786F&quot;/&gt;&lt;wsp:rsid wsp:val=&quot;00C37A39&quot;/&gt;&lt;wsp:rsid wsp:val=&quot;00C37CC3&quot;/&gt;&lt;wsp:rsid wsp:val=&quot;00C40260&quot;/&gt;&lt;wsp:rsid wsp:val=&quot;00C402D1&quot;/&gt;&lt;wsp:rsid wsp:val=&quot;00C40D82&quot;/&gt;&lt;wsp:rsid wsp:val=&quot;00C40EF6&quot;/&gt;&lt;wsp:rsid wsp:val=&quot;00C40F22&quot;/&gt;&lt;wsp:rsid wsp:val=&quot;00C4117B&quot;/&gt;&lt;wsp:rsid wsp:val=&quot;00C41496&quot;/&gt;&lt;wsp:rsid wsp:val=&quot;00C419DF&quot;/&gt;&lt;wsp:rsid wsp:val=&quot;00C41B12&quot;/&gt;&lt;wsp:rsid wsp:val=&quot;00C41B45&quot;/&gt;&lt;wsp:rsid wsp:val=&quot;00C41FB4&quot;/&gt;&lt;wsp:rsid wsp:val=&quot;00C42226&quot;/&gt;&lt;wsp:rsid wsp:val=&quot;00C42270&quot;/&gt;&lt;wsp:rsid wsp:val=&quot;00C423D4&quot;/&gt;&lt;wsp:rsid wsp:val=&quot;00C424A5&quot;/&gt;&lt;wsp:rsid wsp:val=&quot;00C424CA&quot;/&gt;&lt;wsp:rsid wsp:val=&quot;00C4286C&quot;/&gt;&lt;wsp:rsid wsp:val=&quot;00C429E3&quot;/&gt;&lt;wsp:rsid wsp:val=&quot;00C42C0D&quot;/&gt;&lt;wsp:rsid wsp:val=&quot;00C42E38&quot;/&gt;&lt;wsp:rsid wsp:val=&quot;00C43043&quot;/&gt;&lt;wsp:rsid wsp:val=&quot;00C430B3&quot;/&gt;&lt;wsp:rsid wsp:val=&quot;00C431DB&quot;/&gt;&lt;wsp:rsid wsp:val=&quot;00C431FD&quot;/&gt;&lt;wsp:rsid wsp:val=&quot;00C43959&quot;/&gt;&lt;wsp:rsid wsp:val=&quot;00C43ABE&quot;/&gt;&lt;wsp:rsid wsp:val=&quot;00C43E54&quot;/&gt;&lt;wsp:rsid wsp:val=&quot;00C441E7&quot;/&gt;&lt;wsp:rsid wsp:val=&quot;00C443E8&quot;/&gt;&lt;wsp:rsid wsp:val=&quot;00C443F4&quot;/&gt;&lt;wsp:rsid wsp:val=&quot;00C4455E&quot;/&gt;&lt;wsp:rsid wsp:val=&quot;00C445F2&quot;/&gt;&lt;wsp:rsid wsp:val=&quot;00C446D1&quot;/&gt;&lt;wsp:rsid wsp:val=&quot;00C4470E&quot;/&gt;&lt;wsp:rsid wsp:val=&quot;00C44782&quot;/&gt;&lt;wsp:rsid wsp:val=&quot;00C44855&quot;/&gt;&lt;wsp:rsid wsp:val=&quot;00C44908&quot;/&gt;&lt;wsp:rsid wsp:val=&quot;00C44A54&quot;/&gt;&lt;wsp:rsid wsp:val=&quot;00C44CD4&quot;/&gt;&lt;wsp:rsid wsp:val=&quot;00C44F30&quot;/&gt;&lt;wsp:rsid wsp:val=&quot;00C45486&quot;/&gt;&lt;wsp:rsid wsp:val=&quot;00C45504&quot;/&gt;&lt;wsp:rsid wsp:val=&quot;00C45661&quot;/&gt;&lt;wsp:rsid wsp:val=&quot;00C458B3&quot;/&gt;&lt;wsp:rsid wsp:val=&quot;00C459A7&quot;/&gt;&lt;wsp:rsid wsp:val=&quot;00C46235&quot;/&gt;&lt;wsp:rsid wsp:val=&quot;00C46317&quot;/&gt;&lt;wsp:rsid wsp:val=&quot;00C46F7A&quot;/&gt;&lt;wsp:rsid wsp:val=&quot;00C47035&quot;/&gt;&lt;wsp:rsid wsp:val=&quot;00C4709E&quot;/&gt;&lt;wsp:rsid wsp:val=&quot;00C4721F&quot;/&gt;&lt;wsp:rsid wsp:val=&quot;00C47268&quot;/&gt;&lt;wsp:rsid wsp:val=&quot;00C472EA&quot;/&gt;&lt;wsp:rsid wsp:val=&quot;00C473CA&quot;/&gt;&lt;wsp:rsid wsp:val=&quot;00C4756D&quot;/&gt;&lt;wsp:rsid wsp:val=&quot;00C475E6&quot;/&gt;&lt;wsp:rsid wsp:val=&quot;00C478E1&quot;/&gt;&lt;wsp:rsid wsp:val=&quot;00C47961&quot;/&gt;&lt;wsp:rsid wsp:val=&quot;00C502AF&quot;/&gt;&lt;wsp:rsid wsp:val=&quot;00C5057B&quot;/&gt;&lt;wsp:rsid wsp:val=&quot;00C505BB&quot;/&gt;&lt;wsp:rsid wsp:val=&quot;00C506AB&quot;/&gt;&lt;wsp:rsid wsp:val=&quot;00C50C14&quot;/&gt;&lt;wsp:rsid wsp:val=&quot;00C50EE8&quot;/&gt;&lt;wsp:rsid wsp:val=&quot;00C51114&quot;/&gt;&lt;wsp:rsid wsp:val=&quot;00C51283&quot;/&gt;&lt;wsp:rsid wsp:val=&quot;00C5128D&quot;/&gt;&lt;wsp:rsid wsp:val=&quot;00C512C5&quot;/&gt;&lt;wsp:rsid wsp:val=&quot;00C5164E&quot;/&gt;&lt;wsp:rsid wsp:val=&quot;00C516BE&quot;/&gt;&lt;wsp:rsid wsp:val=&quot;00C51915&quot;/&gt;&lt;wsp:rsid wsp:val=&quot;00C51C78&quot;/&gt;&lt;wsp:rsid wsp:val=&quot;00C520E2&quot;/&gt;&lt;wsp:rsid wsp:val=&quot;00C521F5&quot;/&gt;&lt;wsp:rsid wsp:val=&quot;00C529DB&quot;/&gt;&lt;wsp:rsid wsp:val=&quot;00C52AF4&quot;/&gt;&lt;wsp:rsid wsp:val=&quot;00C52B61&quot;/&gt;&lt;wsp:rsid wsp:val=&quot;00C52C1A&quot;/&gt;&lt;wsp:rsid wsp:val=&quot;00C52D00&quot;/&gt;&lt;wsp:rsid wsp:val=&quot;00C52D6D&quot;/&gt;&lt;wsp:rsid wsp:val=&quot;00C52D75&quot;/&gt;&lt;wsp:rsid wsp:val=&quot;00C52E45&quot;/&gt;&lt;wsp:rsid wsp:val=&quot;00C531DC&quot;/&gt;&lt;wsp:rsid wsp:val=&quot;00C53272&quot;/&gt;&lt;wsp:rsid wsp:val=&quot;00C53308&quot;/&gt;&lt;wsp:rsid wsp:val=&quot;00C5341D&quot;/&gt;&lt;wsp:rsid wsp:val=&quot;00C53527&quot;/&gt;&lt;wsp:rsid wsp:val=&quot;00C53718&quot;/&gt;&lt;wsp:rsid wsp:val=&quot;00C5375D&quot;/&gt;&lt;wsp:rsid wsp:val=&quot;00C5397E&quot;/&gt;&lt;wsp:rsid wsp:val=&quot;00C539F2&quot;/&gt;&lt;wsp:rsid wsp:val=&quot;00C53CE7&quot;/&gt;&lt;wsp:rsid wsp:val=&quot;00C53FF4&quot;/&gt;&lt;wsp:rsid wsp:val=&quot;00C54047&quot;/&gt;&lt;wsp:rsid wsp:val=&quot;00C545D7&quot;/&gt;&lt;wsp:rsid wsp:val=&quot;00C545DA&quot;/&gt;&lt;wsp:rsid wsp:val=&quot;00C546D2&quot;/&gt;&lt;wsp:rsid wsp:val=&quot;00C54C09&quot;/&gt;&lt;wsp:rsid wsp:val=&quot;00C54D1E&quot;/&gt;&lt;wsp:rsid wsp:val=&quot;00C54D9B&quot;/&gt;&lt;wsp:rsid wsp:val=&quot;00C54E65&quot;/&gt;&lt;wsp:rsid wsp:val=&quot;00C550C7&quot;/&gt;&lt;wsp:rsid wsp:val=&quot;00C55199&quot;/&gt;&lt;wsp:rsid wsp:val=&quot;00C5532C&quot;/&gt;&lt;wsp:rsid wsp:val=&quot;00C555B6&quot;/&gt;&lt;wsp:rsid wsp:val=&quot;00C55A58&quot;/&gt;&lt;wsp:rsid wsp:val=&quot;00C55E33&quot;/&gt;&lt;wsp:rsid wsp:val=&quot;00C55F41&quot;/&gt;&lt;wsp:rsid wsp:val=&quot;00C5609C&quot;/&gt;&lt;wsp:rsid wsp:val=&quot;00C565B6&quot;/&gt;&lt;wsp:rsid wsp:val=&quot;00C5675A&quot;/&gt;&lt;wsp:rsid wsp:val=&quot;00C56836&quot;/&gt;&lt;wsp:rsid wsp:val=&quot;00C56B14&quot;/&gt;&lt;wsp:rsid wsp:val=&quot;00C56B82&quot;/&gt;&lt;wsp:rsid wsp:val=&quot;00C56C39&quot;/&gt;&lt;wsp:rsid wsp:val=&quot;00C571E2&quot;/&gt;&lt;wsp:rsid wsp:val=&quot;00C57273&quot;/&gt;&lt;wsp:rsid wsp:val=&quot;00C57350&quot;/&gt;&lt;wsp:rsid wsp:val=&quot;00C5738C&quot;/&gt;&lt;wsp:rsid wsp:val=&quot;00C57463&quot;/&gt;&lt;wsp:rsid wsp:val=&quot;00C57537&quot;/&gt;&lt;wsp:rsid wsp:val=&quot;00C577AC&quot;/&gt;&lt;wsp:rsid wsp:val=&quot;00C57AB1&quot;/&gt;&lt;wsp:rsid wsp:val=&quot;00C57D94&quot;/&gt;&lt;wsp:rsid wsp:val=&quot;00C57F4A&quot;/&gt;&lt;wsp:rsid wsp:val=&quot;00C57F99&quot;/&gt;&lt;wsp:rsid wsp:val=&quot;00C60077&quot;/&gt;&lt;wsp:rsid wsp:val=&quot;00C60226&quot;/&gt;&lt;wsp:rsid wsp:val=&quot;00C60427&quot;/&gt;&lt;wsp:rsid wsp:val=&quot;00C6069E&quot;/&gt;&lt;wsp:rsid wsp:val=&quot;00C606C2&quot;/&gt;&lt;wsp:rsid wsp:val=&quot;00C6081A&quot;/&gt;&lt;wsp:rsid wsp:val=&quot;00C60827&quot;/&gt;&lt;wsp:rsid wsp:val=&quot;00C60A36&quot;/&gt;&lt;wsp:rsid wsp:val=&quot;00C60E36&quot;/&gt;&lt;wsp:rsid wsp:val=&quot;00C61132&quot;/&gt;&lt;wsp:rsid wsp:val=&quot;00C6177A&quot;/&gt;&lt;wsp:rsid wsp:val=&quot;00C61C9D&quot;/&gt;&lt;wsp:rsid wsp:val=&quot;00C61DDB&quot;/&gt;&lt;wsp:rsid wsp:val=&quot;00C61DF5&quot;/&gt;&lt;wsp:rsid wsp:val=&quot;00C61E13&quot;/&gt;&lt;wsp:rsid wsp:val=&quot;00C61FED&quot;/&gt;&lt;wsp:rsid wsp:val=&quot;00C623A5&quot;/&gt;&lt;wsp:rsid wsp:val=&quot;00C62692&quot;/&gt;&lt;wsp:rsid wsp:val=&quot;00C62819&quot;/&gt;&lt;wsp:rsid wsp:val=&quot;00C62848&quot;/&gt;&lt;wsp:rsid wsp:val=&quot;00C628B6&quot;/&gt;&lt;wsp:rsid wsp:val=&quot;00C6296F&quot;/&gt;&lt;wsp:rsid wsp:val=&quot;00C62C96&quot;/&gt;&lt;wsp:rsid wsp:val=&quot;00C63008&quot;/&gt;&lt;wsp:rsid wsp:val=&quot;00C63389&quot;/&gt;&lt;wsp:rsid wsp:val=&quot;00C635E0&quot;/&gt;&lt;wsp:rsid wsp:val=&quot;00C63800&quot;/&gt;&lt;wsp:rsid wsp:val=&quot;00C63AD0&quot;/&gt;&lt;wsp:rsid wsp:val=&quot;00C63C9F&quot;/&gt;&lt;wsp:rsid wsp:val=&quot;00C63CDD&quot;/&gt;&lt;wsp:rsid wsp:val=&quot;00C63EDF&quot;/&gt;&lt;wsp:rsid wsp:val=&quot;00C645A4&quot;/&gt;&lt;wsp:rsid wsp:val=&quot;00C6484B&quot;/&gt;&lt;wsp:rsid wsp:val=&quot;00C648FE&quot;/&gt;&lt;wsp:rsid wsp:val=&quot;00C64E00&quot;/&gt;&lt;wsp:rsid wsp:val=&quot;00C64FA0&quot;/&gt;&lt;wsp:rsid wsp:val=&quot;00C65122&quot;/&gt;&lt;wsp:rsid wsp:val=&quot;00C65176&quot;/&gt;&lt;wsp:rsid wsp:val=&quot;00C651E7&quot;/&gt;&lt;wsp:rsid wsp:val=&quot;00C6520E&quot;/&gt;&lt;wsp:rsid wsp:val=&quot;00C65338&quot;/&gt;&lt;wsp:rsid wsp:val=&quot;00C65477&quot;/&gt;&lt;wsp:rsid wsp:val=&quot;00C65A41&quot;/&gt;&lt;wsp:rsid wsp:val=&quot;00C65C6D&quot;/&gt;&lt;wsp:rsid wsp:val=&quot;00C65D2C&quot;/&gt;&lt;wsp:rsid wsp:val=&quot;00C65F93&quot;/&gt;&lt;wsp:rsid wsp:val=&quot;00C65FFD&quot;/&gt;&lt;wsp:rsid wsp:val=&quot;00C66272&quot;/&gt;&lt;wsp:rsid wsp:val=&quot;00C66286&quot;/&gt;&lt;wsp:rsid wsp:val=&quot;00C6655C&quot;/&gt;&lt;wsp:rsid wsp:val=&quot;00C6671E&quot;/&gt;&lt;wsp:rsid wsp:val=&quot;00C66761&quot;/&gt;&lt;wsp:rsid wsp:val=&quot;00C66792&quot;/&gt;&lt;wsp:rsid wsp:val=&quot;00C66B1A&quot;/&gt;&lt;wsp:rsid wsp:val=&quot;00C66D0B&quot;/&gt;&lt;wsp:rsid wsp:val=&quot;00C673FE&quot;/&gt;&lt;wsp:rsid wsp:val=&quot;00C67857&quot;/&gt;&lt;wsp:rsid wsp:val=&quot;00C67B95&quot;/&gt;&lt;wsp:rsid wsp:val=&quot;00C67EDE&quot;/&gt;&lt;wsp:rsid wsp:val=&quot;00C67F9B&quot;/&gt;&lt;wsp:rsid wsp:val=&quot;00C7045D&quot;/&gt;&lt;wsp:rsid wsp:val=&quot;00C706A5&quot;/&gt;&lt;wsp:rsid wsp:val=&quot;00C707F5&quot;/&gt;&lt;wsp:rsid wsp:val=&quot;00C70AB0&quot;/&gt;&lt;wsp:rsid wsp:val=&quot;00C7135F&quot;/&gt;&lt;wsp:rsid wsp:val=&quot;00C71801&quot;/&gt;&lt;wsp:rsid wsp:val=&quot;00C71BAE&quot;/&gt;&lt;wsp:rsid wsp:val=&quot;00C71DC7&quot;/&gt;&lt;wsp:rsid wsp:val=&quot;00C71EEE&quot;/&gt;&lt;wsp:rsid wsp:val=&quot;00C71F0B&quot;/&gt;&lt;wsp:rsid wsp:val=&quot;00C71FED&quot;/&gt;&lt;wsp:rsid wsp:val=&quot;00C72033&quot;/&gt;&lt;wsp:rsid wsp:val=&quot;00C7203A&quot;/&gt;&lt;wsp:rsid wsp:val=&quot;00C72057&quot;/&gt;&lt;wsp:rsid wsp:val=&quot;00C72223&quot;/&gt;&lt;wsp:rsid wsp:val=&quot;00C72409&quot;/&gt;&lt;wsp:rsid wsp:val=&quot;00C7260E&quot;/&gt;&lt;wsp:rsid wsp:val=&quot;00C72738&quot;/&gt;&lt;wsp:rsid wsp:val=&quot;00C727D8&quot;/&gt;&lt;wsp:rsid wsp:val=&quot;00C72CA4&quot;/&gt;&lt;wsp:rsid wsp:val=&quot;00C72E32&quot;/&gt;&lt;wsp:rsid wsp:val=&quot;00C7341D&quot;/&gt;&lt;wsp:rsid wsp:val=&quot;00C7346C&quot;/&gt;&lt;wsp:rsid wsp:val=&quot;00C734BA&quot;/&gt;&lt;wsp:rsid wsp:val=&quot;00C7367D&quot;/&gt;&lt;wsp:rsid wsp:val=&quot;00C73778&quot;/&gt;&lt;wsp:rsid wsp:val=&quot;00C73A06&quot;/&gt;&lt;wsp:rsid wsp:val=&quot;00C73A07&quot;/&gt;&lt;wsp:rsid wsp:val=&quot;00C73B94&quot;/&gt;&lt;wsp:rsid wsp:val=&quot;00C73BE4&quot;/&gt;&lt;wsp:rsid wsp:val=&quot;00C73C7F&quot;/&gt;&lt;wsp:rsid wsp:val=&quot;00C73E14&quot;/&gt;&lt;wsp:rsid wsp:val=&quot;00C73E9D&quot;/&gt;&lt;wsp:rsid wsp:val=&quot;00C73FDB&quot;/&gt;&lt;wsp:rsid wsp:val=&quot;00C740DC&quot;/&gt;&lt;wsp:rsid wsp:val=&quot;00C74218&quot;/&gt;&lt;wsp:rsid wsp:val=&quot;00C74A85&quot;/&gt;&lt;wsp:rsid wsp:val=&quot;00C74C0C&quot;/&gt;&lt;wsp:rsid wsp:val=&quot;00C74C38&quot;/&gt;&lt;wsp:rsid wsp:val=&quot;00C750D1&quot;/&gt;&lt;wsp:rsid wsp:val=&quot;00C7552E&quot;/&gt;&lt;wsp:rsid wsp:val=&quot;00C755A4&quot;/&gt;&lt;wsp:rsid wsp:val=&quot;00C755E6&quot;/&gt;&lt;wsp:rsid wsp:val=&quot;00C75747&quot;/&gt;&lt;wsp:rsid wsp:val=&quot;00C75791&quot;/&gt;&lt;wsp:rsid wsp:val=&quot;00C7582F&quot;/&gt;&lt;wsp:rsid wsp:val=&quot;00C75AB3&quot;/&gt;&lt;wsp:rsid wsp:val=&quot;00C76519&quot;/&gt;&lt;wsp:rsid wsp:val=&quot;00C7659A&quot;/&gt;&lt;wsp:rsid wsp:val=&quot;00C76674&quot;/&gt;&lt;wsp:rsid wsp:val=&quot;00C76911&quot;/&gt;&lt;wsp:rsid wsp:val=&quot;00C76AFA&quot;/&gt;&lt;wsp:rsid wsp:val=&quot;00C76B08&quot;/&gt;&lt;wsp:rsid wsp:val=&quot;00C76D62&quot;/&gt;&lt;wsp:rsid wsp:val=&quot;00C770AA&quot;/&gt;&lt;wsp:rsid wsp:val=&quot;00C775DC&quot;/&gt;&lt;wsp:rsid wsp:val=&quot;00C77A64&quot;/&gt;&lt;wsp:rsid wsp:val=&quot;00C77C45&quot;/&gt;&lt;wsp:rsid wsp:val=&quot;00C801EC&quot;/&gt;&lt;wsp:rsid wsp:val=&quot;00C807A3&quot;/&gt;&lt;wsp:rsid wsp:val=&quot;00C80939&quot;/&gt;&lt;wsp:rsid wsp:val=&quot;00C80C67&quot;/&gt;&lt;wsp:rsid wsp:val=&quot;00C80C7E&quot;/&gt;&lt;wsp:rsid wsp:val=&quot;00C80E26&quot;/&gt;&lt;wsp:rsid wsp:val=&quot;00C80F16&quot;/&gt;&lt;wsp:rsid wsp:val=&quot;00C80FCE&quot;/&gt;&lt;wsp:rsid wsp:val=&quot;00C812F7&quot;/&gt;&lt;wsp:rsid wsp:val=&quot;00C81438&quot;/&gt;&lt;wsp:rsid wsp:val=&quot;00C81594&quot;/&gt;&lt;wsp:rsid wsp:val=&quot;00C81805&quot;/&gt;&lt;wsp:rsid wsp:val=&quot;00C81B75&quot;/&gt;&lt;wsp:rsid wsp:val=&quot;00C81CE0&quot;/&gt;&lt;wsp:rsid wsp:val=&quot;00C81F45&quot;/&gt;&lt;wsp:rsid wsp:val=&quot;00C8219B&quot;/&gt;&lt;wsp:rsid wsp:val=&quot;00C8255E&quot;/&gt;&lt;wsp:rsid wsp:val=&quot;00C82904&quot;/&gt;&lt;wsp:rsid wsp:val=&quot;00C82C14&quot;/&gt;&lt;wsp:rsid wsp:val=&quot;00C82D47&quot;/&gt;&lt;wsp:rsid wsp:val=&quot;00C82D9B&quot;/&gt;&lt;wsp:rsid wsp:val=&quot;00C830B2&quot;/&gt;&lt;wsp:rsid wsp:val=&quot;00C83150&quot;/&gt;&lt;wsp:rsid wsp:val=&quot;00C831E2&quot;/&gt;&lt;wsp:rsid wsp:val=&quot;00C8320C&quot;/&gt;&lt;wsp:rsid wsp:val=&quot;00C83303&quot;/&gt;&lt;wsp:rsid wsp:val=&quot;00C8331A&quot;/&gt;&lt;wsp:rsid wsp:val=&quot;00C834EF&quot;/&gt;&lt;wsp:rsid wsp:val=&quot;00C834F4&quot;/&gt;&lt;wsp:rsid wsp:val=&quot;00C8392D&quot;/&gt;&lt;wsp:rsid wsp:val=&quot;00C841D8&quot;/&gt;&lt;wsp:rsid wsp:val=&quot;00C8492B&quot;/&gt;&lt;wsp:rsid wsp:val=&quot;00C84B9E&quot;/&gt;&lt;wsp:rsid wsp:val=&quot;00C84CEA&quot;/&gt;&lt;wsp:rsid wsp:val=&quot;00C851AA&quot;/&gt;&lt;wsp:rsid wsp:val=&quot;00C853BE&quot;/&gt;&lt;wsp:rsid wsp:val=&quot;00C853C1&quot;/&gt;&lt;wsp:rsid wsp:val=&quot;00C8541F&quot;/&gt;&lt;wsp:rsid wsp:val=&quot;00C855C8&quot;/&gt;&lt;wsp:rsid wsp:val=&quot;00C85E5F&quot;/&gt;&lt;wsp:rsid wsp:val=&quot;00C85F71&quot;/&gt;&lt;wsp:rsid wsp:val=&quot;00C85FE5&quot;/&gt;&lt;wsp:rsid wsp:val=&quot;00C8626A&quot;/&gt;&lt;wsp:rsid wsp:val=&quot;00C863A3&quot;/&gt;&lt;wsp:rsid wsp:val=&quot;00C86434&quot;/&gt;&lt;wsp:rsid wsp:val=&quot;00C86C03&quot;/&gt;&lt;wsp:rsid wsp:val=&quot;00C873E0&quot;/&gt;&lt;wsp:rsid wsp:val=&quot;00C8747D&quot;/&gt;&lt;wsp:rsid wsp:val=&quot;00C875FF&quot;/&gt;&lt;wsp:rsid wsp:val=&quot;00C87627&quot;/&gt;&lt;wsp:rsid wsp:val=&quot;00C87C4D&quot;/&gt;&lt;wsp:rsid wsp:val=&quot;00C901E0&quot;/&gt;&lt;wsp:rsid wsp:val=&quot;00C9047D&quot;/&gt;&lt;wsp:rsid wsp:val=&quot;00C904E1&quot;/&gt;&lt;wsp:rsid wsp:val=&quot;00C90666&quot;/&gt;&lt;wsp:rsid wsp:val=&quot;00C9070D&quot;/&gt;&lt;wsp:rsid wsp:val=&quot;00C90921&quot;/&gt;&lt;wsp:rsid wsp:val=&quot;00C90DF3&quot;/&gt;&lt;wsp:rsid wsp:val=&quot;00C90E11&quot;/&gt;&lt;wsp:rsid wsp:val=&quot;00C90F29&quot;/&gt;&lt;wsp:rsid wsp:val=&quot;00C90F70&quot;/&gt;&lt;wsp:rsid wsp:val=&quot;00C90FE3&quot;/&gt;&lt;wsp:rsid wsp:val=&quot;00C9114E&quot;/&gt;&lt;wsp:rsid wsp:val=&quot;00C91352&quot;/&gt;&lt;wsp:rsid wsp:val=&quot;00C91769&quot;/&gt;&lt;wsp:rsid wsp:val=&quot;00C917FC&quot;/&gt;&lt;wsp:rsid wsp:val=&quot;00C91964&quot;/&gt;&lt;wsp:rsid wsp:val=&quot;00C92176&quot;/&gt;&lt;wsp:rsid wsp:val=&quot;00C9218A&quot;/&gt;&lt;wsp:rsid wsp:val=&quot;00C9244B&quot;/&gt;&lt;wsp:rsid wsp:val=&quot;00C92659&quot;/&gt;&lt;wsp:rsid wsp:val=&quot;00C928A7&quot;/&gt;&lt;wsp:rsid wsp:val=&quot;00C92B2C&quot;/&gt;&lt;wsp:rsid wsp:val=&quot;00C92CCB&quot;/&gt;&lt;wsp:rsid wsp:val=&quot;00C933F1&quot;/&gt;&lt;wsp:rsid wsp:val=&quot;00C9368D&quot;/&gt;&lt;wsp:rsid wsp:val=&quot;00C93ACF&quot;/&gt;&lt;wsp:rsid wsp:val=&quot;00C93AF6&quot;/&gt;&lt;wsp:rsid wsp:val=&quot;00C93C93&quot;/&gt;&lt;wsp:rsid wsp:val=&quot;00C93F46&quot;/&gt;&lt;wsp:rsid wsp:val=&quot;00C93FFB&quot;/&gt;&lt;wsp:rsid wsp:val=&quot;00C94163&quot;/&gt;&lt;wsp:rsid wsp:val=&quot;00C946F6&quot;/&gt;&lt;wsp:rsid wsp:val=&quot;00C94D42&quot;/&gt;&lt;wsp:rsid wsp:val=&quot;00C94F43&quot;/&gt;&lt;wsp:rsid wsp:val=&quot;00C9503C&quot;/&gt;&lt;wsp:rsid wsp:val=&quot;00C951E8&quot;/&gt;&lt;wsp:rsid wsp:val=&quot;00C953EE&quot;/&gt;&lt;wsp:rsid wsp:val=&quot;00C9593F&quot;/&gt;&lt;wsp:rsid wsp:val=&quot;00C95D33&quot;/&gt;&lt;wsp:rsid wsp:val=&quot;00C96535&quot;/&gt;&lt;wsp:rsid wsp:val=&quot;00C96AE9&quot;/&gt;&lt;wsp:rsid wsp:val=&quot;00C96BC9&quot;/&gt;&lt;wsp:rsid wsp:val=&quot;00C96C6B&quot;/&gt;&lt;wsp:rsid wsp:val=&quot;00C96FA5&quot;/&gt;&lt;wsp:rsid wsp:val=&quot;00C97181&quot;/&gt;&lt;wsp:rsid wsp:val=&quot;00C97201&quot;/&gt;&lt;wsp:rsid wsp:val=&quot;00C9722A&quot;/&gt;&lt;wsp:rsid wsp:val=&quot;00C9739E&quot;/&gt;&lt;wsp:rsid wsp:val=&quot;00C97634&quot;/&gt;&lt;wsp:rsid wsp:val=&quot;00C97855&quot;/&gt;&lt;wsp:rsid wsp:val=&quot;00C978CF&quot;/&gt;&lt;wsp:rsid wsp:val=&quot;00C97DC1&quot;/&gt;&lt;wsp:rsid wsp:val=&quot;00C97E27&quot;/&gt;&lt;wsp:rsid wsp:val=&quot;00CA0196&quot;/&gt;&lt;wsp:rsid wsp:val=&quot;00CA01EB&quot;/&gt;&lt;wsp:rsid wsp:val=&quot;00CA0225&quot;/&gt;&lt;wsp:rsid wsp:val=&quot;00CA0405&quot;/&gt;&lt;wsp:rsid wsp:val=&quot;00CA0965&quot;/&gt;&lt;wsp:rsid wsp:val=&quot;00CA0AEB&quot;/&gt;&lt;wsp:rsid wsp:val=&quot;00CA11D6&quot;/&gt;&lt;wsp:rsid wsp:val=&quot;00CA127E&quot;/&gt;&lt;wsp:rsid wsp:val=&quot;00CA16A3&quot;/&gt;&lt;wsp:rsid wsp:val=&quot;00CA1E2D&quot;/&gt;&lt;wsp:rsid wsp:val=&quot;00CA2136&quot;/&gt;&lt;wsp:rsid wsp:val=&quot;00CA21F6&quot;/&gt;&lt;wsp:rsid wsp:val=&quot;00CA2723&quot;/&gt;&lt;wsp:rsid wsp:val=&quot;00CA2B07&quot;/&gt;&lt;wsp:rsid wsp:val=&quot;00CA2E79&quot;/&gt;&lt;wsp:rsid wsp:val=&quot;00CA3050&quot;/&gt;&lt;wsp:rsid wsp:val=&quot;00CA31F7&quot;/&gt;&lt;wsp:rsid wsp:val=&quot;00CA3728&quot;/&gt;&lt;wsp:rsid wsp:val=&quot;00CA37E1&quot;/&gt;&lt;wsp:rsid wsp:val=&quot;00CA3A38&quot;/&gt;&lt;wsp:rsid wsp:val=&quot;00CA3AEB&quot;/&gt;&lt;wsp:rsid wsp:val=&quot;00CA3B19&quot;/&gt;&lt;wsp:rsid wsp:val=&quot;00CA3F2F&quot;/&gt;&lt;wsp:rsid wsp:val=&quot;00CA4848&quot;/&gt;&lt;wsp:rsid wsp:val=&quot;00CA4A68&quot;/&gt;&lt;wsp:rsid wsp:val=&quot;00CA4C34&quot;/&gt;&lt;wsp:rsid wsp:val=&quot;00CA5529&quot;/&gt;&lt;wsp:rsid wsp:val=&quot;00CA5D40&quot;/&gt;&lt;wsp:rsid wsp:val=&quot;00CA5D7C&quot;/&gt;&lt;wsp:rsid wsp:val=&quot;00CA5DCF&quot;/&gt;&lt;wsp:rsid wsp:val=&quot;00CA5FBB&quot;/&gt;&lt;wsp:rsid wsp:val=&quot;00CA61FE&quot;/&gt;&lt;wsp:rsid wsp:val=&quot;00CA6343&quot;/&gt;&lt;wsp:rsid wsp:val=&quot;00CA66D6&quot;/&gt;&lt;wsp:rsid wsp:val=&quot;00CA6900&quot;/&gt;&lt;wsp:rsid wsp:val=&quot;00CA690E&quot;/&gt;&lt;wsp:rsid wsp:val=&quot;00CA69CA&quot;/&gt;&lt;wsp:rsid wsp:val=&quot;00CA7088&quot;/&gt;&lt;wsp:rsid wsp:val=&quot;00CA7095&quot;/&gt;&lt;wsp:rsid wsp:val=&quot;00CA7158&quot;/&gt;&lt;wsp:rsid wsp:val=&quot;00CA7661&quot;/&gt;&lt;wsp:rsid wsp:val=&quot;00CA76D3&quot;/&gt;&lt;wsp:rsid wsp:val=&quot;00CA779D&quot;/&gt;&lt;wsp:rsid wsp:val=&quot;00CA7A99&quot;/&gt;&lt;wsp:rsid wsp:val=&quot;00CA7E0B&quot;/&gt;&lt;wsp:rsid wsp:val=&quot;00CB0099&quot;/&gt;&lt;wsp:rsid wsp:val=&quot;00CB0244&quot;/&gt;&lt;wsp:rsid wsp:val=&quot;00CB04B4&quot;/&gt;&lt;wsp:rsid wsp:val=&quot;00CB0535&quot;/&gt;&lt;wsp:rsid wsp:val=&quot;00CB0590&quot;/&gt;&lt;wsp:rsid wsp:val=&quot;00CB085A&quot;/&gt;&lt;wsp:rsid wsp:val=&quot;00CB0AEC&quot;/&gt;&lt;wsp:rsid wsp:val=&quot;00CB0B31&quot;/&gt;&lt;wsp:rsid wsp:val=&quot;00CB0DED&quot;/&gt;&lt;wsp:rsid wsp:val=&quot;00CB10EE&quot;/&gt;&lt;wsp:rsid wsp:val=&quot;00CB1769&quot;/&gt;&lt;wsp:rsid wsp:val=&quot;00CB1772&quot;/&gt;&lt;wsp:rsid wsp:val=&quot;00CB18D7&quot;/&gt;&lt;wsp:rsid wsp:val=&quot;00CB199F&quot;/&gt;&lt;wsp:rsid wsp:val=&quot;00CB1B60&quot;/&gt;&lt;wsp:rsid wsp:val=&quot;00CB1CAF&quot;/&gt;&lt;wsp:rsid wsp:val=&quot;00CB1F59&quot;/&gt;&lt;wsp:rsid wsp:val=&quot;00CB1F9D&quot;/&gt;&lt;wsp:rsid wsp:val=&quot;00CB1FD0&quot;/&gt;&lt;wsp:rsid wsp:val=&quot;00CB24BA&quot;/&gt;&lt;wsp:rsid wsp:val=&quot;00CB2644&quot;/&gt;&lt;wsp:rsid wsp:val=&quot;00CB2C97&quot;/&gt;&lt;wsp:rsid wsp:val=&quot;00CB2CBD&quot;/&gt;&lt;wsp:rsid wsp:val=&quot;00CB2DDE&quot;/&gt;&lt;wsp:rsid wsp:val=&quot;00CB3004&quot;/&gt;&lt;wsp:rsid wsp:val=&quot;00CB340D&quot;/&gt;&lt;wsp:rsid wsp:val=&quot;00CB363C&quot;/&gt;&lt;wsp:rsid wsp:val=&quot;00CB36EF&quot;/&gt;&lt;wsp:rsid wsp:val=&quot;00CB3DBC&quot;/&gt;&lt;wsp:rsid wsp:val=&quot;00CB3EFA&quot;/&gt;&lt;wsp:rsid wsp:val=&quot;00CB3F0A&quot;/&gt;&lt;wsp:rsid wsp:val=&quot;00CB46B4&quot;/&gt;&lt;wsp:rsid wsp:val=&quot;00CB46D8&quot;/&gt;&lt;wsp:rsid wsp:val=&quot;00CB4758&quot;/&gt;&lt;wsp:rsid wsp:val=&quot;00CB47E4&quot;/&gt;&lt;wsp:rsid wsp:val=&quot;00CB4FA4&quot;/&gt;&lt;wsp:rsid wsp:val=&quot;00CB4FF1&quot;/&gt;&lt;wsp:rsid wsp:val=&quot;00CB5319&quot;/&gt;&lt;wsp:rsid wsp:val=&quot;00CB57E3&quot;/&gt;&lt;wsp:rsid wsp:val=&quot;00CB5BD8&quot;/&gt;&lt;wsp:rsid wsp:val=&quot;00CB5D87&quot;/&gt;&lt;wsp:rsid wsp:val=&quot;00CB6124&quot;/&gt;&lt;wsp:rsid wsp:val=&quot;00CB641E&quot;/&gt;&lt;wsp:rsid wsp:val=&quot;00CB6673&quot;/&gt;&lt;wsp:rsid wsp:val=&quot;00CB6760&quot;/&gt;&lt;wsp:rsid wsp:val=&quot;00CB6AAD&quot;/&gt;&lt;wsp:rsid wsp:val=&quot;00CB738E&quot;/&gt;&lt;wsp:rsid wsp:val=&quot;00CB7499&quot;/&gt;&lt;wsp:rsid wsp:val=&quot;00CB7606&quot;/&gt;&lt;wsp:rsid wsp:val=&quot;00CB777A&quot;/&gt;&lt;wsp:rsid wsp:val=&quot;00CB7814&quot;/&gt;&lt;wsp:rsid wsp:val=&quot;00CB7867&quot;/&gt;&lt;wsp:rsid wsp:val=&quot;00CB7A60&quot;/&gt;&lt;wsp:rsid wsp:val=&quot;00CB7BF6&quot;/&gt;&lt;wsp:rsid wsp:val=&quot;00CB7D8F&quot;/&gt;&lt;wsp:rsid wsp:val=&quot;00CC0104&quot;/&gt;&lt;wsp:rsid wsp:val=&quot;00CC01C9&quot;/&gt;&lt;wsp:rsid wsp:val=&quot;00CC01EA&quot;/&gt;&lt;wsp:rsid wsp:val=&quot;00CC027C&quot;/&gt;&lt;wsp:rsid wsp:val=&quot;00CC055E&quot;/&gt;&lt;wsp:rsid wsp:val=&quot;00CC058F&quot;/&gt;&lt;wsp:rsid wsp:val=&quot;00CC0721&quot;/&gt;&lt;wsp:rsid wsp:val=&quot;00CC0D26&quot;/&gt;&lt;wsp:rsid wsp:val=&quot;00CC0DC5&quot;/&gt;&lt;wsp:rsid wsp:val=&quot;00CC0F89&quot;/&gt;&lt;wsp:rsid wsp:val=&quot;00CC1129&quot;/&gt;&lt;wsp:rsid wsp:val=&quot;00CC148C&quot;/&gt;&lt;wsp:rsid wsp:val=&quot;00CC1503&quot;/&gt;&lt;wsp:rsid wsp:val=&quot;00CC150C&quot;/&gt;&lt;wsp:rsid wsp:val=&quot;00CC16BA&quot;/&gt;&lt;wsp:rsid wsp:val=&quot;00CC18A5&quot;/&gt;&lt;wsp:rsid wsp:val=&quot;00CC1A82&quot;/&gt;&lt;wsp:rsid wsp:val=&quot;00CC1AD4&quot;/&gt;&lt;wsp:rsid wsp:val=&quot;00CC1B40&quot;/&gt;&lt;wsp:rsid wsp:val=&quot;00CC1BFC&quot;/&gt;&lt;wsp:rsid wsp:val=&quot;00CC1ECA&quot;/&gt;&lt;wsp:rsid wsp:val=&quot;00CC1FCA&quot;/&gt;&lt;wsp:rsid wsp:val=&quot;00CC25D2&quot;/&gt;&lt;wsp:rsid wsp:val=&quot;00CC26F9&quot;/&gt;&lt;wsp:rsid wsp:val=&quot;00CC27A8&quot;/&gt;&lt;wsp:rsid wsp:val=&quot;00CC2B4A&quot;/&gt;&lt;wsp:rsid wsp:val=&quot;00CC2B97&quot;/&gt;&lt;wsp:rsid wsp:val=&quot;00CC2EAC&quot;/&gt;&lt;wsp:rsid wsp:val=&quot;00CC2EFC&quot;/&gt;&lt;wsp:rsid wsp:val=&quot;00CC306E&quot;/&gt;&lt;wsp:rsid wsp:val=&quot;00CC3979&quot;/&gt;&lt;wsp:rsid wsp:val=&quot;00CC3BFC&quot;/&gt;&lt;wsp:rsid wsp:val=&quot;00CC3DA8&quot;/&gt;&lt;wsp:rsid wsp:val=&quot;00CC3E58&quot;/&gt;&lt;wsp:rsid wsp:val=&quot;00CC4189&quot;/&gt;&lt;wsp:rsid wsp:val=&quot;00CC4446&quot;/&gt;&lt;wsp:rsid wsp:val=&quot;00CC4858&quot;/&gt;&lt;wsp:rsid wsp:val=&quot;00CC48D5&quot;/&gt;&lt;wsp:rsid wsp:val=&quot;00CC49E0&quot;/&gt;&lt;wsp:rsid wsp:val=&quot;00CC49E1&quot;/&gt;&lt;wsp:rsid wsp:val=&quot;00CC4D13&quot;/&gt;&lt;wsp:rsid wsp:val=&quot;00CC4EA8&quot;/&gt;&lt;wsp:rsid wsp:val=&quot;00CC4FA2&quot;/&gt;&lt;wsp:rsid wsp:val=&quot;00CC5174&quot;/&gt;&lt;wsp:rsid wsp:val=&quot;00CC52D8&quot;/&gt;&lt;wsp:rsid wsp:val=&quot;00CC5450&quot;/&gt;&lt;wsp:rsid wsp:val=&quot;00CC56B5&quot;/&gt;&lt;wsp:rsid wsp:val=&quot;00CC5A20&quot;/&gt;&lt;wsp:rsid wsp:val=&quot;00CC61C5&quot;/&gt;&lt;wsp:rsid wsp:val=&quot;00CC65B5&quot;/&gt;&lt;wsp:rsid wsp:val=&quot;00CC65D2&quot;/&gt;&lt;wsp:rsid wsp:val=&quot;00CC6624&quot;/&gt;&lt;wsp:rsid wsp:val=&quot;00CC688A&quot;/&gt;&lt;wsp:rsid wsp:val=&quot;00CC695D&quot;/&gt;&lt;wsp:rsid wsp:val=&quot;00CC6A88&quot;/&gt;&lt;wsp:rsid wsp:val=&quot;00CC6E21&quot;/&gt;&lt;wsp:rsid wsp:val=&quot;00CC73B5&quot;/&gt;&lt;wsp:rsid wsp:val=&quot;00CC796B&quot;/&gt;&lt;wsp:rsid wsp:val=&quot;00CC7AD6&quot;/&gt;&lt;wsp:rsid wsp:val=&quot;00CC7B43&quot;/&gt;&lt;wsp:rsid wsp:val=&quot;00CC7CEA&quot;/&gt;&lt;wsp:rsid wsp:val=&quot;00CC7F8E&quot;/&gt;&lt;wsp:rsid wsp:val=&quot;00CD039A&quot;/&gt;&lt;wsp:rsid wsp:val=&quot;00CD04E2&quot;/&gt;&lt;wsp:rsid wsp:val=&quot;00CD07B1&quot;/&gt;&lt;wsp:rsid wsp:val=&quot;00CD0B12&quot;/&gt;&lt;wsp:rsid wsp:val=&quot;00CD0D22&quot;/&gt;&lt;wsp:rsid wsp:val=&quot;00CD14C2&quot;/&gt;&lt;wsp:rsid wsp:val=&quot;00CD1606&quot;/&gt;&lt;wsp:rsid wsp:val=&quot;00CD17E4&quot;/&gt;&lt;wsp:rsid wsp:val=&quot;00CD18AF&quot;/&gt;&lt;wsp:rsid wsp:val=&quot;00CD194B&quot;/&gt;&lt;wsp:rsid wsp:val=&quot;00CD1A47&quot;/&gt;&lt;wsp:rsid wsp:val=&quot;00CD1A7A&quot;/&gt;&lt;wsp:rsid wsp:val=&quot;00CD1B10&quot;/&gt;&lt;wsp:rsid wsp:val=&quot;00CD1E13&quot;/&gt;&lt;wsp:rsid wsp:val=&quot;00CD1E3B&quot;/&gt;&lt;wsp:rsid wsp:val=&quot;00CD2274&quot;/&gt;&lt;wsp:rsid wsp:val=&quot;00CD26A7&quot;/&gt;&lt;wsp:rsid wsp:val=&quot;00CD2765&quot;/&gt;&lt;wsp:rsid wsp:val=&quot;00CD2FFD&quot;/&gt;&lt;wsp:rsid wsp:val=&quot;00CD30E4&quot;/&gt;&lt;wsp:rsid wsp:val=&quot;00CD3113&quot;/&gt;&lt;wsp:rsid wsp:val=&quot;00CD32B1&quot;/&gt;&lt;wsp:rsid wsp:val=&quot;00CD32FA&quot;/&gt;&lt;wsp:rsid wsp:val=&quot;00CD3459&quot;/&gt;&lt;wsp:rsid wsp:val=&quot;00CD34AB&quot;/&gt;&lt;wsp:rsid wsp:val=&quot;00CD3699&quot;/&gt;&lt;wsp:rsid wsp:val=&quot;00CD3968&quot;/&gt;&lt;wsp:rsid wsp:val=&quot;00CD40CD&quot;/&gt;&lt;wsp:rsid wsp:val=&quot;00CD43EF&quot;/&gt;&lt;wsp:rsid wsp:val=&quot;00CD4843&quot;/&gt;&lt;wsp:rsid wsp:val=&quot;00CD4AD4&quot;/&gt;&lt;wsp:rsid wsp:val=&quot;00CD4B6D&quot;/&gt;&lt;wsp:rsid wsp:val=&quot;00CD4E47&quot;/&gt;&lt;wsp:rsid wsp:val=&quot;00CD4F8C&quot;/&gt;&lt;wsp:rsid wsp:val=&quot;00CD50AE&quot;/&gt;&lt;wsp:rsid wsp:val=&quot;00CD542E&quot;/&gt;&lt;wsp:rsid wsp:val=&quot;00CD555F&quot;/&gt;&lt;wsp:rsid wsp:val=&quot;00CD56E3&quot;/&gt;&lt;wsp:rsid wsp:val=&quot;00CD5711&quot;/&gt;&lt;wsp:rsid wsp:val=&quot;00CD591F&quot;/&gt;&lt;wsp:rsid wsp:val=&quot;00CD5D36&quot;/&gt;&lt;wsp:rsid wsp:val=&quot;00CD5DFC&quot;/&gt;&lt;wsp:rsid wsp:val=&quot;00CD5FB2&quot;/&gt;&lt;wsp:rsid wsp:val=&quot;00CD603B&quot;/&gt;&lt;wsp:rsid wsp:val=&quot;00CD60C2&quot;/&gt;&lt;wsp:rsid wsp:val=&quot;00CD68B6&quot;/&gt;&lt;wsp:rsid wsp:val=&quot;00CD69A1&quot;/&gt;&lt;wsp:rsid wsp:val=&quot;00CD6BC3&quot;/&gt;&lt;wsp:rsid wsp:val=&quot;00CD6E02&quot;/&gt;&lt;wsp:rsid wsp:val=&quot;00CD6E50&quot;/&gt;&lt;wsp:rsid wsp:val=&quot;00CD7286&quot;/&gt;&lt;wsp:rsid wsp:val=&quot;00CD7368&quot;/&gt;&lt;wsp:rsid wsp:val=&quot;00CD74AD&quot;/&gt;&lt;wsp:rsid wsp:val=&quot;00CD7681&quot;/&gt;&lt;wsp:rsid wsp:val=&quot;00CD797E&quot;/&gt;&lt;wsp:rsid wsp:val=&quot;00CD7CB7&quot;/&gt;&lt;wsp:rsid wsp:val=&quot;00CD7E64&quot;/&gt;&lt;wsp:rsid wsp:val=&quot;00CD7EC8&quot;/&gt;&lt;wsp:rsid wsp:val=&quot;00CD7EDA&quot;/&gt;&lt;wsp:rsid wsp:val=&quot;00CE02F7&quot;/&gt;&lt;wsp:rsid wsp:val=&quot;00CE0770&quot;/&gt;&lt;wsp:rsid wsp:val=&quot;00CE0778&quot;/&gt;&lt;wsp:rsid wsp:val=&quot;00CE0B52&quot;/&gt;&lt;wsp:rsid wsp:val=&quot;00CE0D3C&quot;/&gt;&lt;wsp:rsid wsp:val=&quot;00CE0DBB&quot;/&gt;&lt;wsp:rsid wsp:val=&quot;00CE10BA&quot;/&gt;&lt;wsp:rsid wsp:val=&quot;00CE11B2&quot;/&gt;&lt;wsp:rsid wsp:val=&quot;00CE124B&quot;/&gt;&lt;wsp:rsid wsp:val=&quot;00CE13F7&quot;/&gt;&lt;wsp:rsid wsp:val=&quot;00CE16C6&quot;/&gt;&lt;wsp:rsid wsp:val=&quot;00CE1819&quot;/&gt;&lt;wsp:rsid wsp:val=&quot;00CE1839&quot;/&gt;&lt;wsp:rsid wsp:val=&quot;00CE19CC&quot;/&gt;&lt;wsp:rsid wsp:val=&quot;00CE245F&quot;/&gt;&lt;wsp:rsid wsp:val=&quot;00CE26DE&quot;/&gt;&lt;wsp:rsid wsp:val=&quot;00CE2B80&quot;/&gt;&lt;wsp:rsid wsp:val=&quot;00CE2D9B&quot;/&gt;&lt;wsp:rsid wsp:val=&quot;00CE3200&quot;/&gt;&lt;wsp:rsid wsp:val=&quot;00CE36DE&quot;/&gt;&lt;wsp:rsid wsp:val=&quot;00CE3A4F&quot;/&gt;&lt;wsp:rsid wsp:val=&quot;00CE3FE6&quot;/&gt;&lt;wsp:rsid wsp:val=&quot;00CE4087&quot;/&gt;&lt;wsp:rsid wsp:val=&quot;00CE4479&quot;/&gt;&lt;wsp:rsid wsp:val=&quot;00CE4626&quot;/&gt;&lt;wsp:rsid wsp:val=&quot;00CE46FD&quot;/&gt;&lt;wsp:rsid wsp:val=&quot;00CE480B&quot;/&gt;&lt;wsp:rsid wsp:val=&quot;00CE4CA2&quot;/&gt;&lt;wsp:rsid wsp:val=&quot;00CE4D87&quot;/&gt;&lt;wsp:rsid wsp:val=&quot;00CE5029&quot;/&gt;&lt;wsp:rsid wsp:val=&quot;00CE581E&quot;/&gt;&lt;wsp:rsid wsp:val=&quot;00CE5A78&quot;/&gt;&lt;wsp:rsid wsp:val=&quot;00CE5C07&quot;/&gt;&lt;wsp:rsid wsp:val=&quot;00CE5F2F&quot;/&gt;&lt;wsp:rsid wsp:val=&quot;00CE6013&quot;/&gt;&lt;wsp:rsid wsp:val=&quot;00CE621D&quot;/&gt;&lt;wsp:rsid wsp:val=&quot;00CE63F3&quot;/&gt;&lt;wsp:rsid wsp:val=&quot;00CE6465&quot;/&gt;&lt;wsp:rsid wsp:val=&quot;00CE65FA&quot;/&gt;&lt;wsp:rsid wsp:val=&quot;00CE698C&quot;/&gt;&lt;wsp:rsid wsp:val=&quot;00CE6B73&quot;/&gt;&lt;wsp:rsid wsp:val=&quot;00CE720D&quot;/&gt;&lt;wsp:rsid wsp:val=&quot;00CE726D&quot;/&gt;&lt;wsp:rsid wsp:val=&quot;00CE75FA&quot;/&gt;&lt;wsp:rsid wsp:val=&quot;00CE7714&quot;/&gt;&lt;wsp:rsid wsp:val=&quot;00CE7848&quot;/&gt;&lt;wsp:rsid wsp:val=&quot;00CE78FB&quot;/&gt;&lt;wsp:rsid wsp:val=&quot;00CF0136&quot;/&gt;&lt;wsp:rsid wsp:val=&quot;00CF0148&quot;/&gt;&lt;wsp:rsid wsp:val=&quot;00CF0356&quot;/&gt;&lt;wsp:rsid wsp:val=&quot;00CF0602&quot;/&gt;&lt;wsp:rsid wsp:val=&quot;00CF0C16&quot;/&gt;&lt;wsp:rsid wsp:val=&quot;00CF0DD3&quot;/&gt;&lt;wsp:rsid wsp:val=&quot;00CF1599&quot;/&gt;&lt;wsp:rsid wsp:val=&quot;00CF1655&quot;/&gt;&lt;wsp:rsid wsp:val=&quot;00CF1840&quot;/&gt;&lt;wsp:rsid wsp:val=&quot;00CF1BBF&quot;/&gt;&lt;wsp:rsid wsp:val=&quot;00CF20BB&quot;/&gt;&lt;wsp:rsid wsp:val=&quot;00CF21F2&quot;/&gt;&lt;wsp:rsid wsp:val=&quot;00CF2311&quot;/&gt;&lt;wsp:rsid wsp:val=&quot;00CF2A27&quot;/&gt;&lt;wsp:rsid wsp:val=&quot;00CF2A4D&quot;/&gt;&lt;wsp:rsid wsp:val=&quot;00CF2A5A&quot;/&gt;&lt;wsp:rsid wsp:val=&quot;00CF2B2C&quot;/&gt;&lt;wsp:rsid wsp:val=&quot;00CF2F1C&quot;/&gt;&lt;wsp:rsid wsp:val=&quot;00CF2F9C&quot;/&gt;&lt;wsp:rsid wsp:val=&quot;00CF30C7&quot;/&gt;&lt;wsp:rsid wsp:val=&quot;00CF3184&quot;/&gt;&lt;wsp:rsid wsp:val=&quot;00CF32D7&quot;/&gt;&lt;wsp:rsid wsp:val=&quot;00CF35D6&quot;/&gt;&lt;wsp:rsid wsp:val=&quot;00CF37DC&quot;/&gt;&lt;wsp:rsid wsp:val=&quot;00CF38AC&quot;/&gt;&lt;wsp:rsid wsp:val=&quot;00CF3B93&quot;/&gt;&lt;wsp:rsid wsp:val=&quot;00CF3D2C&quot;/&gt;&lt;wsp:rsid wsp:val=&quot;00CF3FD9&quot;/&gt;&lt;wsp:rsid wsp:val=&quot;00CF417C&quot;/&gt;&lt;wsp:rsid wsp:val=&quot;00CF4474&quot;/&gt;&lt;wsp:rsid wsp:val=&quot;00CF456A&quot;/&gt;&lt;wsp:rsid wsp:val=&quot;00CF4CB4&quot;/&gt;&lt;wsp:rsid wsp:val=&quot;00CF4CFA&quot;/&gt;&lt;wsp:rsid wsp:val=&quot;00CF51FA&quot;/&gt;&lt;wsp:rsid wsp:val=&quot;00CF5425&quot;/&gt;&lt;wsp:rsid wsp:val=&quot;00CF5C38&quot;/&gt;&lt;wsp:rsid wsp:val=&quot;00CF5D15&quot;/&gt;&lt;wsp:rsid wsp:val=&quot;00CF60A2&quot;/&gt;&lt;wsp:rsid wsp:val=&quot;00CF62D8&quot;/&gt;&lt;wsp:rsid wsp:val=&quot;00CF639F&quot;/&gt;&lt;wsp:rsid wsp:val=&quot;00CF67E9&quot;/&gt;&lt;wsp:rsid wsp:val=&quot;00CF6D57&quot;/&gt;&lt;wsp:rsid wsp:val=&quot;00CF7302&quot;/&gt;&lt;wsp:rsid wsp:val=&quot;00CF7338&quot;/&gt;&lt;wsp:rsid wsp:val=&quot;00CF7974&quot;/&gt;&lt;wsp:rsid wsp:val=&quot;00CF7A10&quot;/&gt;&lt;wsp:rsid wsp:val=&quot;00CF7BB2&quot;/&gt;&lt;wsp:rsid wsp:val=&quot;00D000A5&quot;/&gt;&lt;wsp:rsid wsp:val=&quot;00D0021E&quot;/&gt;&lt;wsp:rsid wsp:val=&quot;00D0030D&quot;/&gt;&lt;wsp:rsid wsp:val=&quot;00D00EBB&quot;/&gt;&lt;wsp:rsid wsp:val=&quot;00D012FA&quot;/&gt;&lt;wsp:rsid wsp:val=&quot;00D01550&quot;/&gt;&lt;wsp:rsid wsp:val=&quot;00D015C0&quot;/&gt;&lt;wsp:rsid wsp:val=&quot;00D01909&quot;/&gt;&lt;wsp:rsid wsp:val=&quot;00D02006&quot;/&gt;&lt;wsp:rsid wsp:val=&quot;00D02187&quot;/&gt;&lt;wsp:rsid wsp:val=&quot;00D02259&quot;/&gt;&lt;wsp:rsid wsp:val=&quot;00D02574&quot;/&gt;&lt;wsp:rsid wsp:val=&quot;00D02668&quot;/&gt;&lt;wsp:rsid wsp:val=&quot;00D027B9&quot;/&gt;&lt;wsp:rsid wsp:val=&quot;00D02FA3&quot;/&gt;&lt;wsp:rsid wsp:val=&quot;00D0311E&quot;/&gt;&lt;wsp:rsid wsp:val=&quot;00D032E4&quot;/&gt;&lt;wsp:rsid wsp:val=&quot;00D035A8&quot;/&gt;&lt;wsp:rsid wsp:val=&quot;00D039B0&quot;/&gt;&lt;wsp:rsid wsp:val=&quot;00D03D4F&quot;/&gt;&lt;wsp:rsid wsp:val=&quot;00D03EC8&quot;/&gt;&lt;wsp:rsid wsp:val=&quot;00D03F0E&quot;/&gt;&lt;wsp:rsid wsp:val=&quot;00D0411E&quot;/&gt;&lt;wsp:rsid wsp:val=&quot;00D0457A&quot;/&gt;&lt;wsp:rsid wsp:val=&quot;00D04757&quot;/&gt;&lt;wsp:rsid wsp:val=&quot;00D047F1&quot;/&gt;&lt;wsp:rsid wsp:val=&quot;00D04BEF&quot;/&gt;&lt;wsp:rsid wsp:val=&quot;00D04DA8&quot;/&gt;&lt;wsp:rsid wsp:val=&quot;00D04F96&quot;/&gt;&lt;wsp:rsid wsp:val=&quot;00D050E6&quot;/&gt;&lt;wsp:rsid wsp:val=&quot;00D051B8&quot;/&gt;&lt;wsp:rsid wsp:val=&quot;00D052E8&quot;/&gt;&lt;wsp:rsid wsp:val=&quot;00D05863&quot;/&gt;&lt;wsp:rsid wsp:val=&quot;00D058B3&quot;/&gt;&lt;wsp:rsid wsp:val=&quot;00D05CCA&quot;/&gt;&lt;wsp:rsid wsp:val=&quot;00D05D0C&quot;/&gt;&lt;wsp:rsid wsp:val=&quot;00D05E26&quot;/&gt;&lt;wsp:rsid wsp:val=&quot;00D06086&quot;/&gt;&lt;wsp:rsid wsp:val=&quot;00D060F7&quot;/&gt;&lt;wsp:rsid wsp:val=&quot;00D06276&quot;/&gt;&lt;wsp:rsid wsp:val=&quot;00D06352&quot;/&gt;&lt;wsp:rsid wsp:val=&quot;00D06362&quot;/&gt;&lt;wsp:rsid wsp:val=&quot;00D065C9&quot;/&gt;&lt;wsp:rsid wsp:val=&quot;00D06ED7&quot;/&gt;&lt;wsp:rsid wsp:val=&quot;00D071D7&quot;/&gt;&lt;wsp:rsid wsp:val=&quot;00D071EF&quot;/&gt;&lt;wsp:rsid wsp:val=&quot;00D07247&quot;/&gt;&lt;wsp:rsid wsp:val=&quot;00D072F8&quot;/&gt;&lt;wsp:rsid wsp:val=&quot;00D077B8&quot;/&gt;&lt;wsp:rsid wsp:val=&quot;00D078BD&quot;/&gt;&lt;wsp:rsid wsp:val=&quot;00D07940&quot;/&gt;&lt;wsp:rsid wsp:val=&quot;00D07B93&quot;/&gt;&lt;wsp:rsid wsp:val=&quot;00D07D09&quot;/&gt;&lt;wsp:rsid wsp:val=&quot;00D07E78&quot;/&gt;&lt;wsp:rsid wsp:val=&quot;00D1006F&quot;/&gt;&lt;wsp:rsid wsp:val=&quot;00D10707&quot;/&gt;&lt;wsp:rsid wsp:val=&quot;00D107A6&quot;/&gt;&lt;wsp:rsid wsp:val=&quot;00D108C0&quot;/&gt;&lt;wsp:rsid wsp:val=&quot;00D10ABD&quot;/&gt;&lt;wsp:rsid wsp:val=&quot;00D10C11&quot;/&gt;&lt;wsp:rsid wsp:val=&quot;00D10C28&quot;/&gt;&lt;wsp:rsid wsp:val=&quot;00D10E53&quot;/&gt;&lt;wsp:rsid wsp:val=&quot;00D110E7&quot;/&gt;&lt;wsp:rsid wsp:val=&quot;00D1117F&quot;/&gt;&lt;wsp:rsid wsp:val=&quot;00D113C0&quot;/&gt;&lt;wsp:rsid wsp:val=&quot;00D11AC9&quot;/&gt;&lt;wsp:rsid wsp:val=&quot;00D11C04&quot;/&gt;&lt;wsp:rsid wsp:val=&quot;00D11D16&quot;/&gt;&lt;wsp:rsid wsp:val=&quot;00D11D75&quot;/&gt;&lt;wsp:rsid wsp:val=&quot;00D11E0C&quot;/&gt;&lt;wsp:rsid wsp:val=&quot;00D12362&quot;/&gt;&lt;wsp:rsid wsp:val=&quot;00D12E64&quot;/&gt;&lt;wsp:rsid wsp:val=&quot;00D1318A&quot;/&gt;&lt;wsp:rsid wsp:val=&quot;00D13286&quot;/&gt;&lt;wsp:rsid wsp:val=&quot;00D134D0&quot;/&gt;&lt;wsp:rsid wsp:val=&quot;00D1446D&quot;/&gt;&lt;wsp:rsid wsp:val=&quot;00D1466B&quot;/&gt;&lt;wsp:rsid wsp:val=&quot;00D14A04&quot;/&gt;&lt;wsp:rsid wsp:val=&quot;00D15053&quot;/&gt;&lt;wsp:rsid wsp:val=&quot;00D15094&quot;/&gt;&lt;wsp:rsid wsp:val=&quot;00D1509F&quot;/&gt;&lt;wsp:rsid wsp:val=&quot;00D15373&quot;/&gt;&lt;wsp:rsid wsp:val=&quot;00D1538A&quot;/&gt;&lt;wsp:rsid wsp:val=&quot;00D15523&quot;/&gt;&lt;wsp:rsid wsp:val=&quot;00D156F3&quot;/&gt;&lt;wsp:rsid wsp:val=&quot;00D159D1&quot;/&gt;&lt;wsp:rsid wsp:val=&quot;00D15CC8&quot;/&gt;&lt;wsp:rsid wsp:val=&quot;00D16250&quot;/&gt;&lt;wsp:rsid wsp:val=&quot;00D162A3&quot;/&gt;&lt;wsp:rsid wsp:val=&quot;00D16493&quot;/&gt;&lt;wsp:rsid wsp:val=&quot;00D167E6&quot;/&gt;&lt;wsp:rsid wsp:val=&quot;00D168BD&quot;/&gt;&lt;wsp:rsid wsp:val=&quot;00D16A69&quot;/&gt;&lt;wsp:rsid wsp:val=&quot;00D16B21&quot;/&gt;&lt;wsp:rsid wsp:val=&quot;00D16D8E&quot;/&gt;&lt;wsp:rsid wsp:val=&quot;00D16DF0&quot;/&gt;&lt;wsp:rsid wsp:val=&quot;00D16EC8&quot;/&gt;&lt;wsp:rsid wsp:val=&quot;00D16EDD&quot;/&gt;&lt;wsp:rsid wsp:val=&quot;00D17029&quot;/&gt;&lt;wsp:rsid wsp:val=&quot;00D170AB&quot;/&gt;&lt;wsp:rsid wsp:val=&quot;00D170B3&quot;/&gt;&lt;wsp:rsid wsp:val=&quot;00D17322&quot;/&gt;&lt;wsp:rsid wsp:val=&quot;00D1740C&quot;/&gt;&lt;wsp:rsid wsp:val=&quot;00D1786D&quot;/&gt;&lt;wsp:rsid wsp:val=&quot;00D178EE&quot;/&gt;&lt;wsp:rsid wsp:val=&quot;00D17AF7&quot;/&gt;&lt;wsp:rsid wsp:val=&quot;00D17CD4&quot;/&gt;&lt;wsp:rsid wsp:val=&quot;00D20C6E&quot;/&gt;&lt;wsp:rsid wsp:val=&quot;00D20FE8&quot;/&gt;&lt;wsp:rsid wsp:val=&quot;00D212C9&quot;/&gt;&lt;wsp:rsid wsp:val=&quot;00D2177B&quot;/&gt;&lt;wsp:rsid wsp:val=&quot;00D217B1&quot;/&gt;&lt;wsp:rsid wsp:val=&quot;00D220CB&quot;/&gt;&lt;wsp:rsid wsp:val=&quot;00D2221D&quot;/&gt;&lt;wsp:rsid wsp:val=&quot;00D22321&quot;/&gt;&lt;wsp:rsid wsp:val=&quot;00D226D5&quot;/&gt;&lt;wsp:rsid wsp:val=&quot;00D22779&quot;/&gt;&lt;wsp:rsid wsp:val=&quot;00D22928&quot;/&gt;&lt;wsp:rsid wsp:val=&quot;00D22984&quot;/&gt;&lt;wsp:rsid wsp:val=&quot;00D23728&quot;/&gt;&lt;wsp:rsid wsp:val=&quot;00D23A1E&quot;/&gt;&lt;wsp:rsid wsp:val=&quot;00D23BD8&quot;/&gt;&lt;wsp:rsid wsp:val=&quot;00D23CF1&quot;/&gt;&lt;wsp:rsid wsp:val=&quot;00D23D15&quot;/&gt;&lt;wsp:rsid wsp:val=&quot;00D24105&quot;/&gt;&lt;wsp:rsid wsp:val=&quot;00D243E6&quot;/&gt;&lt;wsp:rsid wsp:val=&quot;00D245FA&quot;/&gt;&lt;wsp:rsid wsp:val=&quot;00D2498A&quot;/&gt;&lt;wsp:rsid wsp:val=&quot;00D24C76&quot;/&gt;&lt;wsp:rsid wsp:val=&quot;00D24DD2&quot;/&gt;&lt;wsp:rsid wsp:val=&quot;00D24FDB&quot;/&gt;&lt;wsp:rsid wsp:val=&quot;00D25194&quot;/&gt;&lt;wsp:rsid wsp:val=&quot;00D25360&quot;/&gt;&lt;wsp:rsid wsp:val=&quot;00D25445&quot;/&gt;&lt;wsp:rsid wsp:val=&quot;00D25475&quot;/&gt;&lt;wsp:rsid wsp:val=&quot;00D255ED&quot;/&gt;&lt;wsp:rsid wsp:val=&quot;00D256FE&quot;/&gt;&lt;wsp:rsid wsp:val=&quot;00D25839&quot;/&gt;&lt;wsp:rsid wsp:val=&quot;00D25DF4&quot;/&gt;&lt;wsp:rsid wsp:val=&quot;00D25DFE&quot;/&gt;&lt;wsp:rsid wsp:val=&quot;00D25ECE&quot;/&gt;&lt;wsp:rsid wsp:val=&quot;00D25F1C&quot;/&gt;&lt;wsp:rsid wsp:val=&quot;00D25FB6&quot;/&gt;&lt;wsp:rsid wsp:val=&quot;00D263E1&quot;/&gt;&lt;wsp:rsid wsp:val=&quot;00D265D1&quot;/&gt;&lt;wsp:rsid wsp:val=&quot;00D266DB&quot;/&gt;&lt;wsp:rsid wsp:val=&quot;00D26856&quot;/&gt;&lt;wsp:rsid wsp:val=&quot;00D26ACC&quot;/&gt;&lt;wsp:rsid wsp:val=&quot;00D26DBE&quot;/&gt;&lt;wsp:rsid wsp:val=&quot;00D26DFB&quot;/&gt;&lt;wsp:rsid wsp:val=&quot;00D26FBD&quot;/&gt;&lt;wsp:rsid wsp:val=&quot;00D2706C&quot;/&gt;&lt;wsp:rsid wsp:val=&quot;00D27206&quot;/&gt;&lt;wsp:rsid wsp:val=&quot;00D272DD&quot;/&gt;&lt;wsp:rsid wsp:val=&quot;00D273CA&quot;/&gt;&lt;wsp:rsid wsp:val=&quot;00D27642&quot;/&gt;&lt;wsp:rsid wsp:val=&quot;00D27AB7&quot;/&gt;&lt;wsp:rsid wsp:val=&quot;00D27E9E&quot;/&gt;&lt;wsp:rsid wsp:val=&quot;00D3034E&quot;/&gt;&lt;wsp:rsid wsp:val=&quot;00D30C78&quot;/&gt;&lt;wsp:rsid wsp:val=&quot;00D312DC&quot;/&gt;&lt;wsp:rsid wsp:val=&quot;00D312FE&quot;/&gt;&lt;wsp:rsid wsp:val=&quot;00D31428&quot;/&gt;&lt;wsp:rsid wsp:val=&quot;00D3157C&quot;/&gt;&lt;wsp:rsid wsp:val=&quot;00D31669&quot;/&gt;&lt;wsp:rsid wsp:val=&quot;00D318E9&quot;/&gt;&lt;wsp:rsid wsp:val=&quot;00D31AEA&quot;/&gt;&lt;wsp:rsid wsp:val=&quot;00D31CF3&quot;/&gt;&lt;wsp:rsid wsp:val=&quot;00D32260&quot;/&gt;&lt;wsp:rsid wsp:val=&quot;00D3248F&quot;/&gt;&lt;wsp:rsid wsp:val=&quot;00D326F2&quot;/&gt;&lt;wsp:rsid wsp:val=&quot;00D3294D&quot;/&gt;&lt;wsp:rsid wsp:val=&quot;00D329F3&quot;/&gt;&lt;wsp:rsid wsp:val=&quot;00D32FD4&quot;/&gt;&lt;wsp:rsid wsp:val=&quot;00D33495&quot;/&gt;&lt;wsp:rsid wsp:val=&quot;00D334FB&quot;/&gt;&lt;wsp:rsid wsp:val=&quot;00D33648&quot;/&gt;&lt;wsp:rsid wsp:val=&quot;00D33850&quot;/&gt;&lt;wsp:rsid wsp:val=&quot;00D3397C&quot;/&gt;&lt;wsp:rsid wsp:val=&quot;00D33BBE&quot;/&gt;&lt;wsp:rsid wsp:val=&quot;00D345D8&quot;/&gt;&lt;wsp:rsid wsp:val=&quot;00D34666&quot;/&gt;&lt;wsp:rsid wsp:val=&quot;00D3491F&quot;/&gt;&lt;wsp:rsid wsp:val=&quot;00D34AA9&quot;/&gt;&lt;wsp:rsid wsp:val=&quot;00D34C7F&quot;/&gt;&lt;wsp:rsid wsp:val=&quot;00D3512D&quot;/&gt;&lt;wsp:rsid wsp:val=&quot;00D351D8&quot;/&gt;&lt;wsp:rsid wsp:val=&quot;00D35321&quot;/&gt;&lt;wsp:rsid wsp:val=&quot;00D3533D&quot;/&gt;&lt;wsp:rsid wsp:val=&quot;00D35479&quot;/&gt;&lt;wsp:rsid wsp:val=&quot;00D357E5&quot;/&gt;&lt;wsp:rsid wsp:val=&quot;00D357FE&quot;/&gt;&lt;wsp:rsid wsp:val=&quot;00D358A2&quot;/&gt;&lt;wsp:rsid wsp:val=&quot;00D358F7&quot;/&gt;&lt;wsp:rsid wsp:val=&quot;00D3592F&quot;/&gt;&lt;wsp:rsid wsp:val=&quot;00D35DCC&quot;/&gt;&lt;wsp:rsid wsp:val=&quot;00D35EC9&quot;/&gt;&lt;wsp:rsid wsp:val=&quot;00D361D7&quot;/&gt;&lt;wsp:rsid wsp:val=&quot;00D36301&quot;/&gt;&lt;wsp:rsid wsp:val=&quot;00D36333&quot;/&gt;&lt;wsp:rsid wsp:val=&quot;00D363B1&quot;/&gt;&lt;wsp:rsid wsp:val=&quot;00D364CC&quot;/&gt;&lt;wsp:rsid wsp:val=&quot;00D36AEE&quot;/&gt;&lt;wsp:rsid wsp:val=&quot;00D36B66&quot;/&gt;&lt;wsp:rsid wsp:val=&quot;00D36B9F&quot;/&gt;&lt;wsp:rsid wsp:val=&quot;00D36F6A&quot;/&gt;&lt;wsp:rsid wsp:val=&quot;00D37840&quot;/&gt;&lt;wsp:rsid wsp:val=&quot;00D37A56&quot;/&gt;&lt;wsp:rsid wsp:val=&quot;00D37AB2&quot;/&gt;&lt;wsp:rsid wsp:val=&quot;00D37B6E&quot;/&gt;&lt;wsp:rsid wsp:val=&quot;00D37EBC&quot;/&gt;&lt;wsp:rsid wsp:val=&quot;00D37FF7&quot;/&gt;&lt;wsp:rsid wsp:val=&quot;00D4021B&quot;/&gt;&lt;wsp:rsid wsp:val=&quot;00D405B1&quot;/&gt;&lt;wsp:rsid wsp:val=&quot;00D405C9&quot;/&gt;&lt;wsp:rsid wsp:val=&quot;00D40B20&quot;/&gt;&lt;wsp:rsid wsp:val=&quot;00D40E05&quot;/&gt;&lt;wsp:rsid wsp:val=&quot;00D40EDA&quot;/&gt;&lt;wsp:rsid wsp:val=&quot;00D40F81&quot;/&gt;&lt;wsp:rsid wsp:val=&quot;00D4102B&quot;/&gt;&lt;wsp:rsid wsp:val=&quot;00D41278&quot;/&gt;&lt;wsp:rsid wsp:val=&quot;00D41571&quot;/&gt;&lt;wsp:rsid wsp:val=&quot;00D41618&quot;/&gt;&lt;wsp:rsid wsp:val=&quot;00D41881&quot;/&gt;&lt;wsp:rsid wsp:val=&quot;00D419FA&quot;/&gt;&lt;wsp:rsid wsp:val=&quot;00D41DF0&quot;/&gt;&lt;wsp:rsid wsp:val=&quot;00D41F48&quot;/&gt;&lt;wsp:rsid wsp:val=&quot;00D420BD&quot;/&gt;&lt;wsp:rsid wsp:val=&quot;00D4223A&quot;/&gt;&lt;wsp:rsid wsp:val=&quot;00D42591&quot;/&gt;&lt;wsp:rsid wsp:val=&quot;00D42669&quot;/&gt;&lt;wsp:rsid wsp:val=&quot;00D426B8&quot;/&gt;&lt;wsp:rsid wsp:val=&quot;00D42D83&quot;/&gt;&lt;wsp:rsid wsp:val=&quot;00D42F46&quot;/&gt;&lt;wsp:rsid wsp:val=&quot;00D43112&quot;/&gt;&lt;wsp:rsid wsp:val=&quot;00D432F9&quot;/&gt;&lt;wsp:rsid wsp:val=&quot;00D43614&quot;/&gt;&lt;wsp:rsid wsp:val=&quot;00D43761&quot;/&gt;&lt;wsp:rsid wsp:val=&quot;00D43773&quot;/&gt;&lt;wsp:rsid wsp:val=&quot;00D438AB&quot;/&gt;&lt;wsp:rsid wsp:val=&quot;00D43D51&quot;/&gt;&lt;wsp:rsid wsp:val=&quot;00D43E7F&quot;/&gt;&lt;wsp:rsid wsp:val=&quot;00D43F1E&quot;/&gt;&lt;wsp:rsid wsp:val=&quot;00D43FC8&quot;/&gt;&lt;wsp:rsid wsp:val=&quot;00D44005&quot;/&gt;&lt;wsp:rsid wsp:val=&quot;00D44199&quot;/&gt;&lt;wsp:rsid wsp:val=&quot;00D4422D&quot;/&gt;&lt;wsp:rsid wsp:val=&quot;00D445A7&quot;/&gt;&lt;wsp:rsid wsp:val=&quot;00D447E0&quot;/&gt;&lt;wsp:rsid wsp:val=&quot;00D44984&quot;/&gt;&lt;wsp:rsid wsp:val=&quot;00D44D34&quot;/&gt;&lt;wsp:rsid wsp:val=&quot;00D452B2&quot;/&gt;&lt;wsp:rsid wsp:val=&quot;00D452E1&quot;/&gt;&lt;wsp:rsid wsp:val=&quot;00D455B8&quot;/&gt;&lt;wsp:rsid wsp:val=&quot;00D45715&quot;/&gt;&lt;wsp:rsid wsp:val=&quot;00D458A8&quot;/&gt;&lt;wsp:rsid wsp:val=&quot;00D4597B&quot;/&gt;&lt;wsp:rsid wsp:val=&quot;00D45A8E&quot;/&gt;&lt;wsp:rsid wsp:val=&quot;00D45B12&quot;/&gt;&lt;wsp:rsid wsp:val=&quot;00D45D31&quot;/&gt;&lt;wsp:rsid wsp:val=&quot;00D45E1E&quot;/&gt;&lt;wsp:rsid wsp:val=&quot;00D460B1&quot;/&gt;&lt;wsp:rsid wsp:val=&quot;00D46607&quot;/&gt;&lt;wsp:rsid wsp:val=&quot;00D46671&quot;/&gt;&lt;wsp:rsid wsp:val=&quot;00D467E6&quot;/&gt;&lt;wsp:rsid wsp:val=&quot;00D46D5C&quot;/&gt;&lt;wsp:rsid wsp:val=&quot;00D46DF8&quot;/&gt;&lt;wsp:rsid wsp:val=&quot;00D46F95&quot;/&gt;&lt;wsp:rsid wsp:val=&quot;00D47282&quot;/&gt;&lt;wsp:rsid wsp:val=&quot;00D47A43&quot;/&gt;&lt;wsp:rsid wsp:val=&quot;00D47DAF&quot;/&gt;&lt;wsp:rsid wsp:val=&quot;00D47F6F&quot;/&gt;&lt;wsp:rsid wsp:val=&quot;00D509BF&quot;/&gt;&lt;wsp:rsid wsp:val=&quot;00D50B08&quot;/&gt;&lt;wsp:rsid wsp:val=&quot;00D50E69&quot;/&gt;&lt;wsp:rsid wsp:val=&quot;00D50FC5&quot;/&gt;&lt;wsp:rsid wsp:val=&quot;00D50FF0&quot;/&gt;&lt;wsp:rsid wsp:val=&quot;00D5125A&quot;/&gt;&lt;wsp:rsid wsp:val=&quot;00D5130F&quot;/&gt;&lt;wsp:rsid wsp:val=&quot;00D5174E&quot;/&gt;&lt;wsp:rsid wsp:val=&quot;00D51954&quot;/&gt;&lt;wsp:rsid wsp:val=&quot;00D51BB0&quot;/&gt;&lt;wsp:rsid wsp:val=&quot;00D51CB7&quot;/&gt;&lt;wsp:rsid wsp:val=&quot;00D51FD7&quot;/&gt;&lt;wsp:rsid wsp:val=&quot;00D52029&quot;/&gt;&lt;wsp:rsid wsp:val=&quot;00D520F7&quot;/&gt;&lt;wsp:rsid wsp:val=&quot;00D527F8&quot;/&gt;&lt;wsp:rsid wsp:val=&quot;00D52877&quot;/&gt;&lt;wsp:rsid wsp:val=&quot;00D528DC&quot;/&gt;&lt;wsp:rsid wsp:val=&quot;00D52C06&quot;/&gt;&lt;wsp:rsid wsp:val=&quot;00D5354B&quot;/&gt;&lt;wsp:rsid wsp:val=&quot;00D53CEC&quot;/&gt;&lt;wsp:rsid wsp:val=&quot;00D53F29&quot;/&gt;&lt;wsp:rsid wsp:val=&quot;00D541FC&quot;/&gt;&lt;wsp:rsid wsp:val=&quot;00D54235&quot;/&gt;&lt;wsp:rsid wsp:val=&quot;00D542D4&quot;/&gt;&lt;wsp:rsid wsp:val=&quot;00D5449B&quot;/&gt;&lt;wsp:rsid wsp:val=&quot;00D546C1&quot;/&gt;&lt;wsp:rsid wsp:val=&quot;00D54740&quot;/&gt;&lt;wsp:rsid wsp:val=&quot;00D547F9&quot;/&gt;&lt;wsp:rsid wsp:val=&quot;00D54A82&quot;/&gt;&lt;wsp:rsid wsp:val=&quot;00D54BBF&quot;/&gt;&lt;wsp:rsid wsp:val=&quot;00D54F22&quot;/&gt;&lt;wsp:rsid wsp:val=&quot;00D5500E&quot;/&gt;&lt;wsp:rsid wsp:val=&quot;00D55131&quot;/&gt;&lt;wsp:rsid wsp:val=&quot;00D55264&quot;/&gt;&lt;wsp:rsid wsp:val=&quot;00D55666&quot;/&gt;&lt;wsp:rsid wsp:val=&quot;00D55B2D&quot;/&gt;&lt;wsp:rsid wsp:val=&quot;00D55EC1&quot;/&gt;&lt;wsp:rsid wsp:val=&quot;00D5619A&quot;/&gt;&lt;wsp:rsid wsp:val=&quot;00D5630B&quot;/&gt;&lt;wsp:rsid wsp:val=&quot;00D5657B&quot;/&gt;&lt;wsp:rsid wsp:val=&quot;00D56A4A&quot;/&gt;&lt;wsp:rsid wsp:val=&quot;00D56D6C&quot;/&gt;&lt;wsp:rsid wsp:val=&quot;00D5707E&quot;/&gt;&lt;wsp:rsid wsp:val=&quot;00D5716A&quot;/&gt;&lt;wsp:rsid wsp:val=&quot;00D573C6&quot;/&gt;&lt;wsp:rsid wsp:val=&quot;00D57C2A&quot;/&gt;&lt;wsp:rsid wsp:val=&quot;00D6031F&quot;/&gt;&lt;wsp:rsid wsp:val=&quot;00D603B3&quot;/&gt;&lt;wsp:rsid wsp:val=&quot;00D60603&quot;/&gt;&lt;wsp:rsid wsp:val=&quot;00D607DD&quot;/&gt;&lt;wsp:rsid wsp:val=&quot;00D609FC&quot;/&gt;&lt;wsp:rsid wsp:val=&quot;00D60B0A&quot;/&gt;&lt;wsp:rsid wsp:val=&quot;00D60B9E&quot;/&gt;&lt;wsp:rsid wsp:val=&quot;00D60E59&quot;/&gt;&lt;wsp:rsid wsp:val=&quot;00D60F37&quot;/&gt;&lt;wsp:rsid wsp:val=&quot;00D610AC&quot;/&gt;&lt;wsp:rsid wsp:val=&quot;00D61467&quot;/&gt;&lt;wsp:rsid wsp:val=&quot;00D614E3&quot;/&gt;&lt;wsp:rsid wsp:val=&quot;00D61783&quot;/&gt;&lt;wsp:rsid wsp:val=&quot;00D61DA1&quot;/&gt;&lt;wsp:rsid wsp:val=&quot;00D61DCD&quot;/&gt;&lt;wsp:rsid wsp:val=&quot;00D61E17&quot;/&gt;&lt;wsp:rsid wsp:val=&quot;00D61E7A&quot;/&gt;&lt;wsp:rsid wsp:val=&quot;00D62272&quot;/&gt;&lt;wsp:rsid wsp:val=&quot;00D62604&quot;/&gt;&lt;wsp:rsid wsp:val=&quot;00D62D10&quot;/&gt;&lt;wsp:rsid wsp:val=&quot;00D6314B&quot;/&gt;&lt;wsp:rsid wsp:val=&quot;00D635D5&quot;/&gt;&lt;wsp:rsid wsp:val=&quot;00D63784&quot;/&gt;&lt;wsp:rsid wsp:val=&quot;00D637FC&quot;/&gt;&lt;wsp:rsid wsp:val=&quot;00D63949&quot;/&gt;&lt;wsp:rsid wsp:val=&quot;00D63B6F&quot;/&gt;&lt;wsp:rsid wsp:val=&quot;00D63BD0&quot;/&gt;&lt;wsp:rsid wsp:val=&quot;00D63CFD&quot;/&gt;&lt;wsp:rsid wsp:val=&quot;00D63E43&quot;/&gt;&lt;wsp:rsid wsp:val=&quot;00D63F8A&quot;/&gt;&lt;wsp:rsid wsp:val=&quot;00D644F2&quot;/&gt;&lt;wsp:rsid wsp:val=&quot;00D6543C&quot;/&gt;&lt;wsp:rsid wsp:val=&quot;00D65625&quot;/&gt;&lt;wsp:rsid wsp:val=&quot;00D65931&quot;/&gt;&lt;wsp:rsid wsp:val=&quot;00D65B19&quot;/&gt;&lt;wsp:rsid wsp:val=&quot;00D65DBC&quot;/&gt;&lt;wsp:rsid wsp:val=&quot;00D6630C&quot;/&gt;&lt;wsp:rsid wsp:val=&quot;00D66FD6&quot;/&gt;&lt;wsp:rsid wsp:val=&quot;00D6713E&quot;/&gt;&lt;wsp:rsid wsp:val=&quot;00D6727D&quot;/&gt;&lt;wsp:rsid wsp:val=&quot;00D676DC&quot;/&gt;&lt;wsp:rsid wsp:val=&quot;00D67795&quot;/&gt;&lt;wsp:rsid wsp:val=&quot;00D6780D&quot;/&gt;&lt;wsp:rsid wsp:val=&quot;00D67939&quot;/&gt;&lt;wsp:rsid wsp:val=&quot;00D67952&quot;/&gt;&lt;wsp:rsid wsp:val=&quot;00D67B69&quot;/&gt;&lt;wsp:rsid wsp:val=&quot;00D67C9A&quot;/&gt;&lt;wsp:rsid wsp:val=&quot;00D67CC5&quot;/&gt;&lt;wsp:rsid wsp:val=&quot;00D67CEF&quot;/&gt;&lt;wsp:rsid wsp:val=&quot;00D7000F&quot;/&gt;&lt;wsp:rsid wsp:val=&quot;00D70919&quot;/&gt;&lt;wsp:rsid wsp:val=&quot;00D71261&quot;/&gt;&lt;wsp:rsid wsp:val=&quot;00D71431&quot;/&gt;&lt;wsp:rsid wsp:val=&quot;00D7188B&quot;/&gt;&lt;wsp:rsid wsp:val=&quot;00D718ED&quot;/&gt;&lt;wsp:rsid wsp:val=&quot;00D71A23&quot;/&gt;&lt;wsp:rsid wsp:val=&quot;00D71BA8&quot;/&gt;&lt;wsp:rsid wsp:val=&quot;00D71CEF&quot;/&gt;&lt;wsp:rsid wsp:val=&quot;00D71E4C&quot;/&gt;&lt;wsp:rsid wsp:val=&quot;00D72272&quot;/&gt;&lt;wsp:rsid wsp:val=&quot;00D72298&quot;/&gt;&lt;wsp:rsid wsp:val=&quot;00D725CF&quot;/&gt;&lt;wsp:rsid wsp:val=&quot;00D72896&quot;/&gt;&lt;wsp:rsid wsp:val=&quot;00D72C0B&quot;/&gt;&lt;wsp:rsid wsp:val=&quot;00D72D69&quot;/&gt;&lt;wsp:rsid wsp:val=&quot;00D72D99&quot;/&gt;&lt;wsp:rsid wsp:val=&quot;00D72DA1&quot;/&gt;&lt;wsp:rsid wsp:val=&quot;00D734F6&quot;/&gt;&lt;wsp:rsid wsp:val=&quot;00D736ED&quot;/&gt;&lt;wsp:rsid wsp:val=&quot;00D742E1&quot;/&gt;&lt;wsp:rsid wsp:val=&quot;00D74549&quot;/&gt;&lt;wsp:rsid wsp:val=&quot;00D74682&quot;/&gt;&lt;wsp:rsid wsp:val=&quot;00D7473E&quot;/&gt;&lt;wsp:rsid wsp:val=&quot;00D748F9&quot;/&gt;&lt;wsp:rsid wsp:val=&quot;00D74939&quot;/&gt;&lt;wsp:rsid wsp:val=&quot;00D74A05&quot;/&gt;&lt;wsp:rsid wsp:val=&quot;00D74E3E&quot;/&gt;&lt;wsp:rsid wsp:val=&quot;00D7522C&quot;/&gt;&lt;wsp:rsid wsp:val=&quot;00D75236&quot;/&gt;&lt;wsp:rsid wsp:val=&quot;00D7592E&quot;/&gt;&lt;wsp:rsid wsp:val=&quot;00D75939&quot;/&gt;&lt;wsp:rsid wsp:val=&quot;00D75A06&quot;/&gt;&lt;wsp:rsid wsp:val=&quot;00D7605F&quot;/&gt;&lt;wsp:rsid wsp:val=&quot;00D76299&quot;/&gt;&lt;wsp:rsid wsp:val=&quot;00D76318&quot;/&gt;&lt;wsp:rsid wsp:val=&quot;00D76486&quot;/&gt;&lt;wsp:rsid wsp:val=&quot;00D766C8&quot;/&gt;&lt;wsp:rsid wsp:val=&quot;00D7689F&quot;/&gt;&lt;wsp:rsid wsp:val=&quot;00D76983&quot;/&gt;&lt;wsp:rsid wsp:val=&quot;00D76C40&quot;/&gt;&lt;wsp:rsid wsp:val=&quot;00D76D9C&quot;/&gt;&lt;wsp:rsid wsp:val=&quot;00D77146&quot;/&gt;&lt;wsp:rsid wsp:val=&quot;00D774C6&quot;/&gt;&lt;wsp:rsid wsp:val=&quot;00D77520&quot;/&gt;&lt;wsp:rsid wsp:val=&quot;00D77729&quot;/&gt;&lt;wsp:rsid wsp:val=&quot;00D77741&quot;/&gt;&lt;wsp:rsid wsp:val=&quot;00D778C7&quot;/&gt;&lt;wsp:rsid wsp:val=&quot;00D779A7&quot;/&gt;&lt;wsp:rsid wsp:val=&quot;00D77A00&quot;/&gt;&lt;wsp:rsid wsp:val=&quot;00D77B58&quot;/&gt;&lt;wsp:rsid wsp:val=&quot;00D77B63&quot;/&gt;&lt;wsp:rsid wsp:val=&quot;00D77D03&quot;/&gt;&lt;wsp:rsid wsp:val=&quot;00D77F58&quot;/&gt;&lt;wsp:rsid wsp:val=&quot;00D77FA9&quot;/&gt;&lt;wsp:rsid wsp:val=&quot;00D80033&quot;/&gt;&lt;wsp:rsid wsp:val=&quot;00D802C7&quot;/&gt;&lt;wsp:rsid wsp:val=&quot;00D802D5&quot;/&gt;&lt;wsp:rsid wsp:val=&quot;00D8072F&quot;/&gt;&lt;wsp:rsid wsp:val=&quot;00D80751&quot;/&gt;&lt;wsp:rsid wsp:val=&quot;00D80843&quot;/&gt;&lt;wsp:rsid wsp:val=&quot;00D809DE&quot;/&gt;&lt;wsp:rsid wsp:val=&quot;00D80A72&quot;/&gt;&lt;wsp:rsid wsp:val=&quot;00D80A89&quot;/&gt;&lt;wsp:rsid wsp:val=&quot;00D80BB8&quot;/&gt;&lt;wsp:rsid wsp:val=&quot;00D80BF1&quot;/&gt;&lt;wsp:rsid wsp:val=&quot;00D81192&quot;/&gt;&lt;wsp:rsid wsp:val=&quot;00D811A6&quot;/&gt;&lt;wsp:rsid wsp:val=&quot;00D81242&quot;/&gt;&lt;wsp:rsid wsp:val=&quot;00D812CB&quot;/&gt;&lt;wsp:rsid wsp:val=&quot;00D813CD&quot;/&gt;&lt;wsp:rsid wsp:val=&quot;00D814F5&quot;/&gt;&lt;wsp:rsid wsp:val=&quot;00D819C0&quot;/&gt;&lt;wsp:rsid wsp:val=&quot;00D819C4&quot;/&gt;&lt;wsp:rsid wsp:val=&quot;00D81C3F&quot;/&gt;&lt;wsp:rsid wsp:val=&quot;00D81D9D&quot;/&gt;&lt;wsp:rsid wsp:val=&quot;00D81E7D&quot;/&gt;&lt;wsp:rsid wsp:val=&quot;00D82225&quot;/&gt;&lt;wsp:rsid wsp:val=&quot;00D82559&quot;/&gt;&lt;wsp:rsid wsp:val=&quot;00D828B3&quot;/&gt;&lt;wsp:rsid wsp:val=&quot;00D82A56&quot;/&gt;&lt;wsp:rsid wsp:val=&quot;00D82B00&quot;/&gt;&lt;wsp:rsid wsp:val=&quot;00D82CD7&quot;/&gt;&lt;wsp:rsid wsp:val=&quot;00D830F7&quot;/&gt;&lt;wsp:rsid wsp:val=&quot;00D837B9&quot;/&gt;&lt;wsp:rsid wsp:val=&quot;00D837EF&quot;/&gt;&lt;wsp:rsid wsp:val=&quot;00D83986&quot;/&gt;&lt;wsp:rsid wsp:val=&quot;00D83E3C&quot;/&gt;&lt;wsp:rsid wsp:val=&quot;00D8455C&quot;/&gt;&lt;wsp:rsid wsp:val=&quot;00D84BB8&quot;/&gt;&lt;wsp:rsid wsp:val=&quot;00D84C78&quot;/&gt;&lt;wsp:rsid wsp:val=&quot;00D84E17&quot;/&gt;&lt;wsp:rsid wsp:val=&quot;00D853A1&quot;/&gt;&lt;wsp:rsid wsp:val=&quot;00D857C5&quot;/&gt;&lt;wsp:rsid wsp:val=&quot;00D85AFB&quot;/&gt;&lt;wsp:rsid wsp:val=&quot;00D85CB7&quot;/&gt;&lt;wsp:rsid wsp:val=&quot;00D8687A&quot;/&gt;&lt;wsp:rsid wsp:val=&quot;00D86AB8&quot;/&gt;&lt;wsp:rsid wsp:val=&quot;00D86BAC&quot;/&gt;&lt;wsp:rsid wsp:val=&quot;00D86EE4&quot;/&gt;&lt;wsp:rsid wsp:val=&quot;00D873BB&quot;/&gt;&lt;wsp:rsid wsp:val=&quot;00D87695&quot;/&gt;&lt;wsp:rsid wsp:val=&quot;00D878BC&quot;/&gt;&lt;wsp:rsid wsp:val=&quot;00D878DA&quot;/&gt;&lt;wsp:rsid wsp:val=&quot;00D87B69&quot;/&gt;&lt;wsp:rsid wsp:val=&quot;00D87BC2&quot;/&gt;&lt;wsp:rsid wsp:val=&quot;00D87C45&quot;/&gt;&lt;wsp:rsid wsp:val=&quot;00D87F3F&quot;/&gt;&lt;wsp:rsid wsp:val=&quot;00D87FDF&quot;/&gt;&lt;wsp:rsid wsp:val=&quot;00D90113&quot;/&gt;&lt;wsp:rsid wsp:val=&quot;00D901DA&quot;/&gt;&lt;wsp:rsid wsp:val=&quot;00D906F8&quot;/&gt;&lt;wsp:rsid wsp:val=&quot;00D9080D&quot;/&gt;&lt;wsp:rsid wsp:val=&quot;00D908CD&quot;/&gt;&lt;wsp:rsid wsp:val=&quot;00D90A49&quot;/&gt;&lt;wsp:rsid wsp:val=&quot;00D90C4F&quot;/&gt;&lt;wsp:rsid wsp:val=&quot;00D90D2D&quot;/&gt;&lt;wsp:rsid wsp:val=&quot;00D91053&quot;/&gt;&lt;wsp:rsid wsp:val=&quot;00D9115E&quot;/&gt;&lt;wsp:rsid wsp:val=&quot;00D91569&quot;/&gt;&lt;wsp:rsid wsp:val=&quot;00D915DA&quot;/&gt;&lt;wsp:rsid wsp:val=&quot;00D926A1&quot;/&gt;&lt;wsp:rsid wsp:val=&quot;00D92738&quot;/&gt;&lt;wsp:rsid wsp:val=&quot;00D92D9D&quot;/&gt;&lt;wsp:rsid wsp:val=&quot;00D9378B&quot;/&gt;&lt;wsp:rsid wsp:val=&quot;00D943FB&quot;/&gt;&lt;wsp:rsid wsp:val=&quot;00D94645&quot;/&gt;&lt;wsp:rsid wsp:val=&quot;00D94724&quot;/&gt;&lt;wsp:rsid wsp:val=&quot;00D949BD&quot;/&gt;&lt;wsp:rsid wsp:val=&quot;00D951DF&quot;/&gt;&lt;wsp:rsid wsp:val=&quot;00D95298&quot;/&gt;&lt;wsp:rsid wsp:val=&quot;00D953CB&quot;/&gt;&lt;wsp:rsid wsp:val=&quot;00D955CD&quot;/&gt;&lt;wsp:rsid wsp:val=&quot;00D95AD2&quot;/&gt;&lt;wsp:rsid wsp:val=&quot;00D95BF6&quot;/&gt;&lt;wsp:rsid wsp:val=&quot;00D96013&quot;/&gt;&lt;wsp:rsid wsp:val=&quot;00D96129&quot;/&gt;&lt;wsp:rsid wsp:val=&quot;00D962D8&quot;/&gt;&lt;wsp:rsid wsp:val=&quot;00D962E7&quot;/&gt;&lt;wsp:rsid wsp:val=&quot;00D96367&quot;/&gt;&lt;wsp:rsid wsp:val=&quot;00D96444&quot;/&gt;&lt;wsp:rsid wsp:val=&quot;00D965FB&quot;/&gt;&lt;wsp:rsid wsp:val=&quot;00D9660C&quot;/&gt;&lt;wsp:rsid wsp:val=&quot;00D96668&quot;/&gt;&lt;wsp:rsid wsp:val=&quot;00D96A53&quot;/&gt;&lt;wsp:rsid wsp:val=&quot;00D96BF7&quot;/&gt;&lt;wsp:rsid wsp:val=&quot;00D975CA&quot;/&gt;&lt;wsp:rsid wsp:val=&quot;00D97644&quot;/&gt;&lt;wsp:rsid wsp:val=&quot;00D97844&quot;/&gt;&lt;wsp:rsid wsp:val=&quot;00D97990&quot;/&gt;&lt;wsp:rsid wsp:val=&quot;00D979D8&quot;/&gt;&lt;wsp:rsid wsp:val=&quot;00D97A32&quot;/&gt;&lt;wsp:rsid wsp:val=&quot;00D97CF7&quot;/&gt;&lt;wsp:rsid wsp:val=&quot;00DA01EF&quot;/&gt;&lt;wsp:rsid wsp:val=&quot;00DA045D&quot;/&gt;&lt;wsp:rsid wsp:val=&quot;00DA0625&quot;/&gt;&lt;wsp:rsid wsp:val=&quot;00DA06E2&quot;/&gt;&lt;wsp:rsid wsp:val=&quot;00DA0700&quot;/&gt;&lt;wsp:rsid wsp:val=&quot;00DA07D7&quot;/&gt;&lt;wsp:rsid wsp:val=&quot;00DA0AC3&quot;/&gt;&lt;wsp:rsid wsp:val=&quot;00DA0ADE&quot;/&gt;&lt;wsp:rsid wsp:val=&quot;00DA0E6A&quot;/&gt;&lt;wsp:rsid wsp:val=&quot;00DA123D&quot;/&gt;&lt;wsp:rsid wsp:val=&quot;00DA133D&quot;/&gt;&lt;wsp:rsid wsp:val=&quot;00DA1990&quot;/&gt;&lt;wsp:rsid wsp:val=&quot;00DA19D5&quot;/&gt;&lt;wsp:rsid wsp:val=&quot;00DA1A4D&quot;/&gt;&lt;wsp:rsid wsp:val=&quot;00DA1B3A&quot;/&gt;&lt;wsp:rsid wsp:val=&quot;00DA1B4B&quot;/&gt;&lt;wsp:rsid wsp:val=&quot;00DA1CE2&quot;/&gt;&lt;wsp:rsid wsp:val=&quot;00DA2127&quot;/&gt;&lt;wsp:rsid wsp:val=&quot;00DA22AD&quot;/&gt;&lt;wsp:rsid wsp:val=&quot;00DA29F1&quot;/&gt;&lt;wsp:rsid wsp:val=&quot;00DA2C80&quot;/&gt;&lt;wsp:rsid wsp:val=&quot;00DA2E4A&quot;/&gt;&lt;wsp:rsid wsp:val=&quot;00DA31DF&quot;/&gt;&lt;wsp:rsid wsp:val=&quot;00DA3314&quot;/&gt;&lt;wsp:rsid wsp:val=&quot;00DA372B&quot;/&gt;&lt;wsp:rsid wsp:val=&quot;00DA38C4&quot;/&gt;&lt;wsp:rsid wsp:val=&quot;00DA3AD8&quot;/&gt;&lt;wsp:rsid wsp:val=&quot;00DA3C05&quot;/&gt;&lt;wsp:rsid wsp:val=&quot;00DA4286&quot;/&gt;&lt;wsp:rsid wsp:val=&quot;00DA43A4&quot;/&gt;&lt;wsp:rsid wsp:val=&quot;00DA454B&quot;/&gt;&lt;wsp:rsid wsp:val=&quot;00DA45DE&quot;/&gt;&lt;wsp:rsid wsp:val=&quot;00DA4860&quot;/&gt;&lt;wsp:rsid wsp:val=&quot;00DA4D02&quot;/&gt;&lt;wsp:rsid wsp:val=&quot;00DA4DAE&quot;/&gt;&lt;wsp:rsid wsp:val=&quot;00DA53D4&quot;/&gt;&lt;wsp:rsid wsp:val=&quot;00DA5525&quot;/&gt;&lt;wsp:rsid wsp:val=&quot;00DA5662&quot;/&gt;&lt;wsp:rsid wsp:val=&quot;00DA5B20&quot;/&gt;&lt;wsp:rsid wsp:val=&quot;00DA5C8A&quot;/&gt;&lt;wsp:rsid wsp:val=&quot;00DA6106&quot;/&gt;&lt;wsp:rsid wsp:val=&quot;00DA622A&quot;/&gt;&lt;wsp:rsid wsp:val=&quot;00DA6643&quot;/&gt;&lt;wsp:rsid wsp:val=&quot;00DA66E0&quot;/&gt;&lt;wsp:rsid wsp:val=&quot;00DA6A3D&quot;/&gt;&lt;wsp:rsid wsp:val=&quot;00DA6BAC&quot;/&gt;&lt;wsp:rsid wsp:val=&quot;00DA6C4B&quot;/&gt;&lt;wsp:rsid wsp:val=&quot;00DA727D&quot;/&gt;&lt;wsp:rsid wsp:val=&quot;00DA74D1&quot;/&gt;&lt;wsp:rsid wsp:val=&quot;00DA7517&quot;/&gt;&lt;wsp:rsid wsp:val=&quot;00DA764E&quot;/&gt;&lt;wsp:rsid wsp:val=&quot;00DA76A2&quot;/&gt;&lt;wsp:rsid wsp:val=&quot;00DA781A&quot;/&gt;&lt;wsp:rsid wsp:val=&quot;00DA78D2&quot;/&gt;&lt;wsp:rsid wsp:val=&quot;00DA7D0E&quot;/&gt;&lt;wsp:rsid wsp:val=&quot;00DA7E34&quot;/&gt;&lt;wsp:rsid wsp:val=&quot;00DB00FA&quot;/&gt;&lt;wsp:rsid wsp:val=&quot;00DB0184&quot;/&gt;&lt;wsp:rsid wsp:val=&quot;00DB01A5&quot;/&gt;&lt;wsp:rsid wsp:val=&quot;00DB03AC&quot;/&gt;&lt;wsp:rsid wsp:val=&quot;00DB0431&quot;/&gt;&lt;wsp:rsid wsp:val=&quot;00DB049D&quot;/&gt;&lt;wsp:rsid wsp:val=&quot;00DB0666&quot;/&gt;&lt;wsp:rsid wsp:val=&quot;00DB081B&quot;/&gt;&lt;wsp:rsid wsp:val=&quot;00DB0849&quot;/&gt;&lt;wsp:rsid wsp:val=&quot;00DB0CA2&quot;/&gt;&lt;wsp:rsid wsp:val=&quot;00DB0CB7&quot;/&gt;&lt;wsp:rsid wsp:val=&quot;00DB0E23&quot;/&gt;&lt;wsp:rsid wsp:val=&quot;00DB13A5&quot;/&gt;&lt;wsp:rsid wsp:val=&quot;00DB1443&quot;/&gt;&lt;wsp:rsid wsp:val=&quot;00DB1554&quot;/&gt;&lt;wsp:rsid wsp:val=&quot;00DB1921&quot;/&gt;&lt;wsp:rsid wsp:val=&quot;00DB1970&quot;/&gt;&lt;wsp:rsid wsp:val=&quot;00DB1AD7&quot;/&gt;&lt;wsp:rsid wsp:val=&quot;00DB1CB5&quot;/&gt;&lt;wsp:rsid wsp:val=&quot;00DB2069&quot;/&gt;&lt;wsp:rsid wsp:val=&quot;00DB21B0&quot;/&gt;&lt;wsp:rsid wsp:val=&quot;00DB24FD&quot;/&gt;&lt;wsp:rsid wsp:val=&quot;00DB27A3&quot;/&gt;&lt;wsp:rsid wsp:val=&quot;00DB2AFC&quot;/&gt;&lt;wsp:rsid wsp:val=&quot;00DB2BE1&quot;/&gt;&lt;wsp:rsid wsp:val=&quot;00DB2C63&quot;/&gt;&lt;wsp:rsid wsp:val=&quot;00DB2CE2&quot;/&gt;&lt;wsp:rsid wsp:val=&quot;00DB327B&quot;/&gt;&lt;wsp:rsid wsp:val=&quot;00DB3433&quot;/&gt;&lt;wsp:rsid wsp:val=&quot;00DB3677&quot;/&gt;&lt;wsp:rsid wsp:val=&quot;00DB3CB5&quot;/&gt;&lt;wsp:rsid wsp:val=&quot;00DB4108&quot;/&gt;&lt;wsp:rsid wsp:val=&quot;00DB4261&quot;/&gt;&lt;wsp:rsid wsp:val=&quot;00DB42EF&quot;/&gt;&lt;wsp:rsid wsp:val=&quot;00DB4478&quot;/&gt;&lt;wsp:rsid wsp:val=&quot;00DB469D&quot;/&gt;&lt;wsp:rsid wsp:val=&quot;00DB47B4&quot;/&gt;&lt;wsp:rsid wsp:val=&quot;00DB4AE9&quot;/&gt;&lt;wsp:rsid wsp:val=&quot;00DB4D74&quot;/&gt;&lt;wsp:rsid wsp:val=&quot;00DB50ED&quot;/&gt;&lt;wsp:rsid wsp:val=&quot;00DB5383&quot;/&gt;&lt;wsp:rsid wsp:val=&quot;00DB5587&quot;/&gt;&lt;wsp:rsid wsp:val=&quot;00DB5E0E&quot;/&gt;&lt;wsp:rsid wsp:val=&quot;00DB6288&quot;/&gt;&lt;wsp:rsid wsp:val=&quot;00DB6474&quot;/&gt;&lt;wsp:rsid wsp:val=&quot;00DB68A4&quot;/&gt;&lt;wsp:rsid wsp:val=&quot;00DB6A0B&quot;/&gt;&lt;wsp:rsid wsp:val=&quot;00DB6B03&quot;/&gt;&lt;wsp:rsid wsp:val=&quot;00DB6E49&quot;/&gt;&lt;wsp:rsid wsp:val=&quot;00DB75A7&quot;/&gt;&lt;wsp:rsid wsp:val=&quot;00DB797A&quot;/&gt;&lt;wsp:rsid wsp:val=&quot;00DB7B5E&quot;/&gt;&lt;wsp:rsid wsp:val=&quot;00DB7D2E&quot;/&gt;&lt;wsp:rsid wsp:val=&quot;00DC02BF&quot;/&gt;&lt;wsp:rsid wsp:val=&quot;00DC051A&quot;/&gt;&lt;wsp:rsid wsp:val=&quot;00DC0A15&quot;/&gt;&lt;wsp:rsid wsp:val=&quot;00DC0A3C&quot;/&gt;&lt;wsp:rsid wsp:val=&quot;00DC0B73&quot;/&gt;&lt;wsp:rsid wsp:val=&quot;00DC0D06&quot;/&gt;&lt;wsp:rsid wsp:val=&quot;00DC0E8D&quot;/&gt;&lt;wsp:rsid wsp:val=&quot;00DC132C&quot;/&gt;&lt;wsp:rsid wsp:val=&quot;00DC13EA&quot;/&gt;&lt;wsp:rsid wsp:val=&quot;00DC1499&quot;/&gt;&lt;wsp:rsid wsp:val=&quot;00DC14DD&quot;/&gt;&lt;wsp:rsid wsp:val=&quot;00DC1886&quot;/&gt;&lt;wsp:rsid wsp:val=&quot;00DC18B7&quot;/&gt;&lt;wsp:rsid wsp:val=&quot;00DC1D41&quot;/&gt;&lt;wsp:rsid wsp:val=&quot;00DC1D55&quot;/&gt;&lt;wsp:rsid wsp:val=&quot;00DC210D&quot;/&gt;&lt;wsp:rsid wsp:val=&quot;00DC2456&quot;/&gt;&lt;wsp:rsid wsp:val=&quot;00DC2569&quot;/&gt;&lt;wsp:rsid wsp:val=&quot;00DC2597&quot;/&gt;&lt;wsp:rsid wsp:val=&quot;00DC2876&quot;/&gt;&lt;wsp:rsid wsp:val=&quot;00DC2C49&quot;/&gt;&lt;wsp:rsid wsp:val=&quot;00DC2D1C&quot;/&gt;&lt;wsp:rsid wsp:val=&quot;00DC2DAD&quot;/&gt;&lt;wsp:rsid wsp:val=&quot;00DC2FC2&quot;/&gt;&lt;wsp:rsid wsp:val=&quot;00DC3020&quot;/&gt;&lt;wsp:rsid wsp:val=&quot;00DC3288&quot;/&gt;&lt;wsp:rsid wsp:val=&quot;00DC3914&quot;/&gt;&lt;wsp:rsid wsp:val=&quot;00DC3A0B&quot;/&gt;&lt;wsp:rsid wsp:val=&quot;00DC3B71&quot;/&gt;&lt;wsp:rsid wsp:val=&quot;00DC4209&quot;/&gt;&lt;wsp:rsid wsp:val=&quot;00DC42B3&quot;/&gt;&lt;wsp:rsid wsp:val=&quot;00DC487F&quot;/&gt;&lt;wsp:rsid wsp:val=&quot;00DC4EDE&quot;/&gt;&lt;wsp:rsid wsp:val=&quot;00DC4F03&quot;/&gt;&lt;wsp:rsid wsp:val=&quot;00DC5146&quot;/&gt;&lt;wsp:rsid wsp:val=&quot;00DC53F4&quot;/&gt;&lt;wsp:rsid wsp:val=&quot;00DC5466&quot;/&gt;&lt;wsp:rsid wsp:val=&quot;00DC5470&quot;/&gt;&lt;wsp:rsid wsp:val=&quot;00DC5664&quot;/&gt;&lt;wsp:rsid wsp:val=&quot;00DC5720&quot;/&gt;&lt;wsp:rsid wsp:val=&quot;00DC58B8&quot;/&gt;&lt;wsp:rsid wsp:val=&quot;00DC5C36&quot;/&gt;&lt;wsp:rsid wsp:val=&quot;00DC5C3C&quot;/&gt;&lt;wsp:rsid wsp:val=&quot;00DC5DC2&quot;/&gt;&lt;wsp:rsid wsp:val=&quot;00DC5E91&quot;/&gt;&lt;wsp:rsid wsp:val=&quot;00DC625F&quot;/&gt;&lt;wsp:rsid wsp:val=&quot;00DC6491&quot;/&gt;&lt;wsp:rsid wsp:val=&quot;00DC6989&quot;/&gt;&lt;wsp:rsid wsp:val=&quot;00DC70BC&quot;/&gt;&lt;wsp:rsid wsp:val=&quot;00DC70C9&quot;/&gt;&lt;wsp:rsid wsp:val=&quot;00DC7456&quot;/&gt;&lt;wsp:rsid wsp:val=&quot;00DC74CD&quot;/&gt;&lt;wsp:rsid wsp:val=&quot;00DC75BB&quot;/&gt;&lt;wsp:rsid wsp:val=&quot;00DC776B&quot;/&gt;&lt;wsp:rsid wsp:val=&quot;00DC7F80&quot;/&gt;&lt;wsp:rsid wsp:val=&quot;00DD0310&quot;/&gt;&lt;wsp:rsid wsp:val=&quot;00DD06B2&quot;/&gt;&lt;wsp:rsid wsp:val=&quot;00DD07AA&quot;/&gt;&lt;wsp:rsid wsp:val=&quot;00DD07C4&quot;/&gt;&lt;wsp:rsid wsp:val=&quot;00DD0811&quot;/&gt;&lt;wsp:rsid wsp:val=&quot;00DD08A5&quot;/&gt;&lt;wsp:rsid wsp:val=&quot;00DD0900&quot;/&gt;&lt;wsp:rsid wsp:val=&quot;00DD0A63&quot;/&gt;&lt;wsp:rsid wsp:val=&quot;00DD0BBE&quot;/&gt;&lt;wsp:rsid wsp:val=&quot;00DD0C6C&quot;/&gt;&lt;wsp:rsid wsp:val=&quot;00DD11EF&quot;/&gt;&lt;wsp:rsid wsp:val=&quot;00DD12C4&quot;/&gt;&lt;wsp:rsid wsp:val=&quot;00DD15B4&quot;/&gt;&lt;wsp:rsid wsp:val=&quot;00DD1899&quot;/&gt;&lt;wsp:rsid wsp:val=&quot;00DD18A4&quot;/&gt;&lt;wsp:rsid wsp:val=&quot;00DD18E3&quot;/&gt;&lt;wsp:rsid wsp:val=&quot;00DD1ED1&quot;/&gt;&lt;wsp:rsid wsp:val=&quot;00DD21E2&quot;/&gt;&lt;wsp:rsid wsp:val=&quot;00DD22CD&quot;/&gt;&lt;wsp:rsid wsp:val=&quot;00DD2432&quot;/&gt;&lt;wsp:rsid wsp:val=&quot;00DD24A7&quot;/&gt;&lt;wsp:rsid wsp:val=&quot;00DD2544&quot;/&gt;&lt;wsp:rsid wsp:val=&quot;00DD2649&quot;/&gt;&lt;wsp:rsid wsp:val=&quot;00DD26C1&quot;/&gt;&lt;wsp:rsid wsp:val=&quot;00DD3136&quot;/&gt;&lt;wsp:rsid wsp:val=&quot;00DD3490&quot;/&gt;&lt;wsp:rsid wsp:val=&quot;00DD38F9&quot;/&gt;&lt;wsp:rsid wsp:val=&quot;00DD3B21&quot;/&gt;&lt;wsp:rsid wsp:val=&quot;00DD3BD6&quot;/&gt;&lt;wsp:rsid wsp:val=&quot;00DD3BE9&quot;/&gt;&lt;wsp:rsid wsp:val=&quot;00DD3BF1&quot;/&gt;&lt;wsp:rsid wsp:val=&quot;00DD3FC1&quot;/&gt;&lt;wsp:rsid wsp:val=&quot;00DD42DC&quot;/&gt;&lt;wsp:rsid wsp:val=&quot;00DD4629&quot;/&gt;&lt;wsp:rsid wsp:val=&quot;00DD46BE&quot;/&gt;&lt;wsp:rsid wsp:val=&quot;00DD48C3&quot;/&gt;&lt;wsp:rsid wsp:val=&quot;00DD4AD1&quot;/&gt;&lt;wsp:rsid wsp:val=&quot;00DD4F07&quot;/&gt;&lt;wsp:rsid wsp:val=&quot;00DD4F6B&quot;/&gt;&lt;wsp:rsid wsp:val=&quot;00DD58A2&quot;/&gt;&lt;wsp:rsid wsp:val=&quot;00DD58E2&quot;/&gt;&lt;wsp:rsid wsp:val=&quot;00DD5950&quot;/&gt;&lt;wsp:rsid wsp:val=&quot;00DD5B8F&quot;/&gt;&lt;wsp:rsid wsp:val=&quot;00DD5DE1&quot;/&gt;&lt;wsp:rsid wsp:val=&quot;00DD5E61&quot;/&gt;&lt;wsp:rsid wsp:val=&quot;00DD606B&quot;/&gt;&lt;wsp:rsid wsp:val=&quot;00DD619B&quot;/&gt;&lt;wsp:rsid wsp:val=&quot;00DD61CF&quot;/&gt;&lt;wsp:rsid wsp:val=&quot;00DD61FE&quot;/&gt;&lt;wsp:rsid wsp:val=&quot;00DD630B&quot;/&gt;&lt;wsp:rsid wsp:val=&quot;00DD6389&quot;/&gt;&lt;wsp:rsid wsp:val=&quot;00DD638B&quot;/&gt;&lt;wsp:rsid wsp:val=&quot;00DD63C5&quot;/&gt;&lt;wsp:rsid wsp:val=&quot;00DD6603&quot;/&gt;&lt;wsp:rsid wsp:val=&quot;00DD6771&quot;/&gt;&lt;wsp:rsid wsp:val=&quot;00DD69BD&quot;/&gt;&lt;wsp:rsid wsp:val=&quot;00DD6B44&quot;/&gt;&lt;wsp:rsid wsp:val=&quot;00DD6B63&quot;/&gt;&lt;wsp:rsid wsp:val=&quot;00DD6DFE&quot;/&gt;&lt;wsp:rsid wsp:val=&quot;00DD6E60&quot;/&gt;&lt;wsp:rsid wsp:val=&quot;00DD7337&quot;/&gt;&lt;wsp:rsid wsp:val=&quot;00DD7372&quot;/&gt;&lt;wsp:rsid wsp:val=&quot;00DD73A0&quot;/&gt;&lt;wsp:rsid wsp:val=&quot;00DD755A&quot;/&gt;&lt;wsp:rsid wsp:val=&quot;00DD76B6&quot;/&gt;&lt;wsp:rsid wsp:val=&quot;00DD7B35&quot;/&gt;&lt;wsp:rsid wsp:val=&quot;00DE0089&quot;/&gt;&lt;wsp:rsid wsp:val=&quot;00DE00BA&quot;/&gt;&lt;wsp:rsid wsp:val=&quot;00DE03DA&quot;/&gt;&lt;wsp:rsid wsp:val=&quot;00DE0680&quot;/&gt;&lt;wsp:rsid wsp:val=&quot;00DE085D&quot;/&gt;&lt;wsp:rsid wsp:val=&quot;00DE0BCA&quot;/&gt;&lt;wsp:rsid wsp:val=&quot;00DE0D52&quot;/&gt;&lt;wsp:rsid wsp:val=&quot;00DE1158&quot;/&gt;&lt;wsp:rsid wsp:val=&quot;00DE124B&quot;/&gt;&lt;wsp:rsid wsp:val=&quot;00DE137E&quot;/&gt;&lt;wsp:rsid wsp:val=&quot;00DE15A6&quot;/&gt;&lt;wsp:rsid wsp:val=&quot;00DE1A43&quot;/&gt;&lt;wsp:rsid wsp:val=&quot;00DE1A85&quot;/&gt;&lt;wsp:rsid wsp:val=&quot;00DE1BC7&quot;/&gt;&lt;wsp:rsid wsp:val=&quot;00DE1C95&quot;/&gt;&lt;wsp:rsid wsp:val=&quot;00DE1E0F&quot;/&gt;&lt;wsp:rsid wsp:val=&quot;00DE24D1&quot;/&gt;&lt;wsp:rsid wsp:val=&quot;00DE24F2&quot;/&gt;&lt;wsp:rsid wsp:val=&quot;00DE264F&quot;/&gt;&lt;wsp:rsid wsp:val=&quot;00DE293F&quot;/&gt;&lt;wsp:rsid wsp:val=&quot;00DE2A7A&quot;/&gt;&lt;wsp:rsid wsp:val=&quot;00DE2B64&quot;/&gt;&lt;wsp:rsid wsp:val=&quot;00DE2C6C&quot;/&gt;&lt;wsp:rsid wsp:val=&quot;00DE35F7&quot;/&gt;&lt;wsp:rsid wsp:val=&quot;00DE36A2&quot;/&gt;&lt;wsp:rsid wsp:val=&quot;00DE383E&quot;/&gt;&lt;wsp:rsid wsp:val=&quot;00DE3A18&quot;/&gt;&lt;wsp:rsid wsp:val=&quot;00DE3DEC&quot;/&gt;&lt;wsp:rsid wsp:val=&quot;00DE3ED0&quot;/&gt;&lt;wsp:rsid wsp:val=&quot;00DE41EA&quot;/&gt;&lt;wsp:rsid wsp:val=&quot;00DE42D9&quot;/&gt;&lt;wsp:rsid wsp:val=&quot;00DE4580&quot;/&gt;&lt;wsp:rsid wsp:val=&quot;00DE45B8&quot;/&gt;&lt;wsp:rsid wsp:val=&quot;00DE46DC&quot;/&gt;&lt;wsp:rsid wsp:val=&quot;00DE47AC&quot;/&gt;&lt;wsp:rsid wsp:val=&quot;00DE4B74&quot;/&gt;&lt;wsp:rsid wsp:val=&quot;00DE4FF8&quot;/&gt;&lt;wsp:rsid wsp:val=&quot;00DE51A5&quot;/&gt;&lt;wsp:rsid wsp:val=&quot;00DE521B&quot;/&gt;&lt;wsp:rsid wsp:val=&quot;00DE54CF&quot;/&gt;&lt;wsp:rsid wsp:val=&quot;00DE558B&quot;/&gt;&lt;wsp:rsid wsp:val=&quot;00DE5783&quot;/&gt;&lt;wsp:rsid wsp:val=&quot;00DE5A01&quot;/&gt;&lt;wsp:rsid wsp:val=&quot;00DE5AE5&quot;/&gt;&lt;wsp:rsid wsp:val=&quot;00DE5C0A&quot;/&gt;&lt;wsp:rsid wsp:val=&quot;00DE6082&quot;/&gt;&lt;wsp:rsid wsp:val=&quot;00DE6261&quot;/&gt;&lt;wsp:rsid wsp:val=&quot;00DE686A&quot;/&gt;&lt;wsp:rsid wsp:val=&quot;00DE6DCD&quot;/&gt;&lt;wsp:rsid wsp:val=&quot;00DE7061&quot;/&gt;&lt;wsp:rsid wsp:val=&quot;00DE7107&quot;/&gt;&lt;wsp:rsid wsp:val=&quot;00DE7369&quot;/&gt;&lt;wsp:rsid wsp:val=&quot;00DE774F&quot;/&gt;&lt;wsp:rsid wsp:val=&quot;00DE7A5F&quot;/&gt;&lt;wsp:rsid wsp:val=&quot;00DE7B47&quot;/&gt;&lt;wsp:rsid wsp:val=&quot;00DE7F1E&quot;/&gt;&lt;wsp:rsid wsp:val=&quot;00DE7F28&quot;/&gt;&lt;wsp:rsid wsp:val=&quot;00DF0150&quot;/&gt;&lt;wsp:rsid wsp:val=&quot;00DF02BF&quot;/&gt;&lt;wsp:rsid wsp:val=&quot;00DF02F6&quot;/&gt;&lt;wsp:rsid wsp:val=&quot;00DF0438&quot;/&gt;&lt;wsp:rsid wsp:val=&quot;00DF049D&quot;/&gt;&lt;wsp:rsid wsp:val=&quot;00DF0596&quot;/&gt;&lt;wsp:rsid wsp:val=&quot;00DF0742&quot;/&gt;&lt;wsp:rsid wsp:val=&quot;00DF09EF&quot;/&gt;&lt;wsp:rsid wsp:val=&quot;00DF0CD0&quot;/&gt;&lt;wsp:rsid wsp:val=&quot;00DF12CA&quot;/&gt;&lt;wsp:rsid wsp:val=&quot;00DF134F&quot;/&gt;&lt;wsp:rsid wsp:val=&quot;00DF13E1&quot;/&gt;&lt;wsp:rsid wsp:val=&quot;00DF144F&quot;/&gt;&lt;wsp:rsid wsp:val=&quot;00DF14FC&quot;/&gt;&lt;wsp:rsid wsp:val=&quot;00DF172B&quot;/&gt;&lt;wsp:rsid wsp:val=&quot;00DF1740&quot;/&gt;&lt;wsp:rsid wsp:val=&quot;00DF17FF&quot;/&gt;&lt;wsp:rsid wsp:val=&quot;00DF19E3&quot;/&gt;&lt;wsp:rsid wsp:val=&quot;00DF1A99&quot;/&gt;&lt;wsp:rsid wsp:val=&quot;00DF1C6D&quot;/&gt;&lt;wsp:rsid wsp:val=&quot;00DF1F8D&quot;/&gt;&lt;wsp:rsid wsp:val=&quot;00DF22E3&quot;/&gt;&lt;wsp:rsid wsp:val=&quot;00DF22E7&quot;/&gt;&lt;wsp:rsid wsp:val=&quot;00DF2464&quot;/&gt;&lt;wsp:rsid wsp:val=&quot;00DF2582&quot;/&gt;&lt;wsp:rsid wsp:val=&quot;00DF26B4&quot;/&gt;&lt;wsp:rsid wsp:val=&quot;00DF26D9&quot;/&gt;&lt;wsp:rsid wsp:val=&quot;00DF2914&quot;/&gt;&lt;wsp:rsid wsp:val=&quot;00DF298A&quot;/&gt;&lt;wsp:rsid wsp:val=&quot;00DF2BFC&quot;/&gt;&lt;wsp:rsid wsp:val=&quot;00DF2E64&quot;/&gt;&lt;wsp:rsid wsp:val=&quot;00DF2F23&quot;/&gt;&lt;wsp:rsid wsp:val=&quot;00DF320D&quot;/&gt;&lt;wsp:rsid wsp:val=&quot;00DF36C2&quot;/&gt;&lt;wsp:rsid wsp:val=&quot;00DF3874&quot;/&gt;&lt;wsp:rsid wsp:val=&quot;00DF3934&quot;/&gt;&lt;wsp:rsid wsp:val=&quot;00DF393F&quot;/&gt;&lt;wsp:rsid wsp:val=&quot;00DF3BC8&quot;/&gt;&lt;wsp:rsid wsp:val=&quot;00DF3CC6&quot;/&gt;&lt;wsp:rsid wsp:val=&quot;00DF3F3C&quot;/&gt;&lt;wsp:rsid wsp:val=&quot;00DF4044&quot;/&gt;&lt;wsp:rsid wsp:val=&quot;00DF40B1&quot;/&gt;&lt;wsp:rsid wsp:val=&quot;00DF4207&quot;/&gt;&lt;wsp:rsid wsp:val=&quot;00DF434C&quot;/&gt;&lt;wsp:rsid wsp:val=&quot;00DF46D3&quot;/&gt;&lt;wsp:rsid wsp:val=&quot;00DF4843&quot;/&gt;&lt;wsp:rsid wsp:val=&quot;00DF4917&quot;/&gt;&lt;wsp:rsid wsp:val=&quot;00DF4B6A&quot;/&gt;&lt;wsp:rsid wsp:val=&quot;00DF4FF6&quot;/&gt;&lt;wsp:rsid wsp:val=&quot;00DF5093&quot;/&gt;&lt;wsp:rsid wsp:val=&quot;00DF5A9F&quot;/&gt;&lt;wsp:rsid wsp:val=&quot;00DF5B29&quot;/&gt;&lt;wsp:rsid wsp:val=&quot;00DF5E38&quot;/&gt;&lt;wsp:rsid wsp:val=&quot;00DF5F4C&quot;/&gt;&lt;wsp:rsid wsp:val=&quot;00DF6738&quot;/&gt;&lt;wsp:rsid wsp:val=&quot;00DF67A8&quot;/&gt;&lt;wsp:rsid wsp:val=&quot;00DF684C&quot;/&gt;&lt;wsp:rsid wsp:val=&quot;00DF6E8C&quot;/&gt;&lt;wsp:rsid wsp:val=&quot;00DF7096&quot;/&gt;&lt;wsp:rsid wsp:val=&quot;00DF7291&quot;/&gt;&lt;wsp:rsid wsp:val=&quot;00DF7641&quot;/&gt;&lt;wsp:rsid wsp:val=&quot;00DF7B7A&quot;/&gt;&lt;wsp:rsid wsp:val=&quot;00DF7BD8&quot;/&gt;&lt;wsp:rsid wsp:val=&quot;00E000FC&quot;/&gt;&lt;wsp:rsid wsp:val=&quot;00E002D4&quot;/&gt;&lt;wsp:rsid wsp:val=&quot;00E003F0&quot;/&gt;&lt;wsp:rsid wsp:val=&quot;00E004BC&quot;/&gt;&lt;wsp:rsid wsp:val=&quot;00E004E3&quot;/&gt;&lt;wsp:rsid wsp:val=&quot;00E00546&quot;/&gt;&lt;wsp:rsid wsp:val=&quot;00E00C6C&quot;/&gt;&lt;wsp:rsid wsp:val=&quot;00E00D26&quot;/&gt;&lt;wsp:rsid wsp:val=&quot;00E01057&quot;/&gt;&lt;wsp:rsid wsp:val=&quot;00E0133E&quot;/&gt;&lt;wsp:rsid wsp:val=&quot;00E01382&quot;/&gt;&lt;wsp:rsid wsp:val=&quot;00E016D0&quot;/&gt;&lt;wsp:rsid wsp:val=&quot;00E01AF0&quot;/&gt;&lt;wsp:rsid wsp:val=&quot;00E01D18&quot;/&gt;&lt;wsp:rsid wsp:val=&quot;00E01E90&quot;/&gt;&lt;wsp:rsid wsp:val=&quot;00E02092&quot;/&gt;&lt;wsp:rsid wsp:val=&quot;00E023A5&quot;/&gt;&lt;wsp:rsid wsp:val=&quot;00E0275F&quot;/&gt;&lt;wsp:rsid wsp:val=&quot;00E02763&quot;/&gt;&lt;wsp:rsid wsp:val=&quot;00E02828&quot;/&gt;&lt;wsp:rsid wsp:val=&quot;00E02835&quot;/&gt;&lt;wsp:rsid wsp:val=&quot;00E02F64&quot;/&gt;&lt;wsp:rsid wsp:val=&quot;00E0306D&quot;/&gt;&lt;wsp:rsid wsp:val=&quot;00E032CD&quot;/&gt;&lt;wsp:rsid wsp:val=&quot;00E0403B&quot;/&gt;&lt;wsp:rsid wsp:val=&quot;00E041C6&quot;/&gt;&lt;wsp:rsid wsp:val=&quot;00E045A2&quot;/&gt;&lt;wsp:rsid wsp:val=&quot;00E04E31&quot;/&gt;&lt;wsp:rsid wsp:val=&quot;00E04F6E&quot;/&gt;&lt;wsp:rsid wsp:val=&quot;00E04FB3&quot;/&gt;&lt;wsp:rsid wsp:val=&quot;00E04FD2&quot;/&gt;&lt;wsp:rsid wsp:val=&quot;00E050AF&quot;/&gt;&lt;wsp:rsid wsp:val=&quot;00E05912&quot;/&gt;&lt;wsp:rsid wsp:val=&quot;00E05985&quot;/&gt;&lt;wsp:rsid wsp:val=&quot;00E05AEB&quot;/&gt;&lt;wsp:rsid wsp:val=&quot;00E05B29&quot;/&gt;&lt;wsp:rsid wsp:val=&quot;00E05DE8&quot;/&gt;&lt;wsp:rsid wsp:val=&quot;00E05FEC&quot;/&gt;&lt;wsp:rsid wsp:val=&quot;00E064AF&quot;/&gt;&lt;wsp:rsid wsp:val=&quot;00E065E4&quot;/&gt;&lt;wsp:rsid wsp:val=&quot;00E066BF&quot;/&gt;&lt;wsp:rsid wsp:val=&quot;00E070E3&quot;/&gt;&lt;wsp:rsid wsp:val=&quot;00E07178&quot;/&gt;&lt;wsp:rsid wsp:val=&quot;00E076FC&quot;/&gt;&lt;wsp:rsid wsp:val=&quot;00E07BD7&quot;/&gt;&lt;wsp:rsid wsp:val=&quot;00E07EB7&quot;/&gt;&lt;wsp:rsid wsp:val=&quot;00E102B4&quot;/&gt;&lt;wsp:rsid wsp:val=&quot;00E1052D&quot;/&gt;&lt;wsp:rsid wsp:val=&quot;00E10782&quot;/&gt;&lt;wsp:rsid wsp:val=&quot;00E10972&quot;/&gt;&lt;wsp:rsid wsp:val=&quot;00E10BC4&quot;/&gt;&lt;wsp:rsid wsp:val=&quot;00E10D82&quot;/&gt;&lt;wsp:rsid wsp:val=&quot;00E11087&quot;/&gt;&lt;wsp:rsid wsp:val=&quot;00E11230&quot;/&gt;&lt;wsp:rsid wsp:val=&quot;00E11857&quot;/&gt;&lt;wsp:rsid wsp:val=&quot;00E12456&quot;/&gt;&lt;wsp:rsid wsp:val=&quot;00E12984&quot;/&gt;&lt;wsp:rsid wsp:val=&quot;00E12A92&quot;/&gt;&lt;wsp:rsid wsp:val=&quot;00E12EF0&quot;/&gt;&lt;wsp:rsid wsp:val=&quot;00E13137&quot;/&gt;&lt;wsp:rsid wsp:val=&quot;00E13634&quot;/&gt;&lt;wsp:rsid wsp:val=&quot;00E136D9&quot;/&gt;&lt;wsp:rsid wsp:val=&quot;00E138F6&quot;/&gt;&lt;wsp:rsid wsp:val=&quot;00E13AE0&quot;/&gt;&lt;wsp:rsid wsp:val=&quot;00E13B06&quot;/&gt;&lt;wsp:rsid wsp:val=&quot;00E13BAD&quot;/&gt;&lt;wsp:rsid wsp:val=&quot;00E1411C&quot;/&gt;&lt;wsp:rsid wsp:val=&quot;00E142E1&quot;/&gt;&lt;wsp:rsid wsp:val=&quot;00E14408&quot;/&gt;&lt;wsp:rsid wsp:val=&quot;00E1447E&quot;/&gt;&lt;wsp:rsid wsp:val=&quot;00E14834&quot;/&gt;&lt;wsp:rsid wsp:val=&quot;00E14AF7&quot;/&gt;&lt;wsp:rsid wsp:val=&quot;00E14CD6&quot;/&gt;&lt;wsp:rsid wsp:val=&quot;00E1503B&quot;/&gt;&lt;wsp:rsid wsp:val=&quot;00E150D9&quot;/&gt;&lt;wsp:rsid wsp:val=&quot;00E150DB&quot;/&gt;&lt;wsp:rsid wsp:val=&quot;00E1511D&quot;/&gt;&lt;wsp:rsid wsp:val=&quot;00E15650&quot;/&gt;&lt;wsp:rsid wsp:val=&quot;00E15808&quot;/&gt;&lt;wsp:rsid wsp:val=&quot;00E1587D&quot;/&gt;&lt;wsp:rsid wsp:val=&quot;00E15AFB&quot;/&gt;&lt;wsp:rsid wsp:val=&quot;00E15CDF&quot;/&gt;&lt;wsp:rsid wsp:val=&quot;00E15EDF&quot;/&gt;&lt;wsp:rsid wsp:val=&quot;00E161E3&quot;/&gt;&lt;wsp:rsid wsp:val=&quot;00E16229&quot;/&gt;&lt;wsp:rsid wsp:val=&quot;00E16516&quot;/&gt;&lt;wsp:rsid wsp:val=&quot;00E16823&quot;/&gt;&lt;wsp:rsid wsp:val=&quot;00E16954&quot;/&gt;&lt;wsp:rsid wsp:val=&quot;00E169FC&quot;/&gt;&lt;wsp:rsid wsp:val=&quot;00E16A1C&quot;/&gt;&lt;wsp:rsid wsp:val=&quot;00E16BC6&quot;/&gt;&lt;wsp:rsid wsp:val=&quot;00E16C47&quot;/&gt;&lt;wsp:rsid wsp:val=&quot;00E16F33&quot;/&gt;&lt;wsp:rsid wsp:val=&quot;00E173C7&quot;/&gt;&lt;wsp:rsid wsp:val=&quot;00E174AF&quot;/&gt;&lt;wsp:rsid wsp:val=&quot;00E178E7&quot;/&gt;&lt;wsp:rsid wsp:val=&quot;00E17A0D&quot;/&gt;&lt;wsp:rsid wsp:val=&quot;00E17D43&quot;/&gt;&lt;wsp:rsid wsp:val=&quot;00E17D85&quot;/&gt;&lt;wsp:rsid wsp:val=&quot;00E17FCA&quot;/&gt;&lt;wsp:rsid wsp:val=&quot;00E200EA&quot;/&gt;&lt;wsp:rsid wsp:val=&quot;00E201A7&quot;/&gt;&lt;wsp:rsid wsp:val=&quot;00E2023E&quot;/&gt;&lt;wsp:rsid wsp:val=&quot;00E2038D&quot;/&gt;&lt;wsp:rsid wsp:val=&quot;00E207F2&quot;/&gt;&lt;wsp:rsid wsp:val=&quot;00E20EE9&quot;/&gt;&lt;wsp:rsid wsp:val=&quot;00E210ED&quot;/&gt;&lt;wsp:rsid wsp:val=&quot;00E21145&quot;/&gt;&lt;wsp:rsid wsp:val=&quot;00E213F6&quot;/&gt;&lt;wsp:rsid wsp:val=&quot;00E2161B&quot;/&gt;&lt;wsp:rsid wsp:val=&quot;00E2164C&quot;/&gt;&lt;wsp:rsid wsp:val=&quot;00E21696&quot;/&gt;&lt;wsp:rsid wsp:val=&quot;00E216ED&quot;/&gt;&lt;wsp:rsid wsp:val=&quot;00E21DAE&quot;/&gt;&lt;wsp:rsid wsp:val=&quot;00E21E19&quot;/&gt;&lt;wsp:rsid wsp:val=&quot;00E21EB8&quot;/&gt;&lt;wsp:rsid wsp:val=&quot;00E220DE&quot;/&gt;&lt;wsp:rsid wsp:val=&quot;00E22114&quot;/&gt;&lt;wsp:rsid wsp:val=&quot;00E222F4&quot;/&gt;&lt;wsp:rsid wsp:val=&quot;00E2236A&quot;/&gt;&lt;wsp:rsid wsp:val=&quot;00E22B35&quot;/&gt;&lt;wsp:rsid wsp:val=&quot;00E22B39&quot;/&gt;&lt;wsp:rsid wsp:val=&quot;00E22FEC&quot;/&gt;&lt;wsp:rsid wsp:val=&quot;00E2378D&quot;/&gt;&lt;wsp:rsid wsp:val=&quot;00E23896&quot;/&gt;&lt;wsp:rsid wsp:val=&quot;00E23A20&quot;/&gt;&lt;wsp:rsid wsp:val=&quot;00E23DDB&quot;/&gt;&lt;wsp:rsid wsp:val=&quot;00E23E54&quot;/&gt;&lt;wsp:rsid wsp:val=&quot;00E23F14&quot;/&gt;&lt;wsp:rsid wsp:val=&quot;00E23FAF&quot;/&gt;&lt;wsp:rsid wsp:val=&quot;00E24006&quot;/&gt;&lt;wsp:rsid wsp:val=&quot;00E2407B&quot;/&gt;&lt;wsp:rsid wsp:val=&quot;00E240F0&quot;/&gt;&lt;wsp:rsid wsp:val=&quot;00E24309&quot;/&gt;&lt;wsp:rsid wsp:val=&quot;00E24467&quot;/&gt;&lt;wsp:rsid wsp:val=&quot;00E2449F&quot;/&gt;&lt;wsp:rsid wsp:val=&quot;00E2458E&quot;/&gt;&lt;wsp:rsid wsp:val=&quot;00E247DC&quot;/&gt;&lt;wsp:rsid wsp:val=&quot;00E24A48&quot;/&gt;&lt;wsp:rsid wsp:val=&quot;00E24D4B&quot;/&gt;&lt;wsp:rsid wsp:val=&quot;00E25572&quot;/&gt;&lt;wsp:rsid wsp:val=&quot;00E2578E&quot;/&gt;&lt;wsp:rsid wsp:val=&quot;00E259CD&quot;/&gt;&lt;wsp:rsid wsp:val=&quot;00E25C3E&quot;/&gt;&lt;wsp:rsid wsp:val=&quot;00E25FD3&quot;/&gt;&lt;wsp:rsid wsp:val=&quot;00E265E6&quot;/&gt;&lt;wsp:rsid wsp:val=&quot;00E26A6E&quot;/&gt;&lt;wsp:rsid wsp:val=&quot;00E26A96&quot;/&gt;&lt;wsp:rsid wsp:val=&quot;00E26E03&quot;/&gt;&lt;wsp:rsid wsp:val=&quot;00E26E9C&quot;/&gt;&lt;wsp:rsid wsp:val=&quot;00E270AE&quot;/&gt;&lt;wsp:rsid wsp:val=&quot;00E270C2&quot;/&gt;&lt;wsp:rsid wsp:val=&quot;00E2737D&quot;/&gt;&lt;wsp:rsid wsp:val=&quot;00E2748D&quot;/&gt;&lt;wsp:rsid wsp:val=&quot;00E2751C&quot;/&gt;&lt;wsp:rsid wsp:val=&quot;00E278D8&quot;/&gt;&lt;wsp:rsid wsp:val=&quot;00E279CB&quot;/&gt;&lt;wsp:rsid wsp:val=&quot;00E27A68&quot;/&gt;&lt;wsp:rsid wsp:val=&quot;00E27B08&quot;/&gt;&lt;wsp:rsid wsp:val=&quot;00E27B9F&quot;/&gt;&lt;wsp:rsid wsp:val=&quot;00E27BE9&quot;/&gt;&lt;wsp:rsid wsp:val=&quot;00E3023C&quot;/&gt;&lt;wsp:rsid wsp:val=&quot;00E30628&quot;/&gt;&lt;wsp:rsid wsp:val=&quot;00E30934&quot;/&gt;&lt;wsp:rsid wsp:val=&quot;00E30C4F&quot;/&gt;&lt;wsp:rsid wsp:val=&quot;00E30F09&quot;/&gt;&lt;wsp:rsid wsp:val=&quot;00E30F16&quot;/&gt;&lt;wsp:rsid wsp:val=&quot;00E31120&quot;/&gt;&lt;wsp:rsid wsp:val=&quot;00E315AB&quot;/&gt;&lt;wsp:rsid wsp:val=&quot;00E3194B&quot;/&gt;&lt;wsp:rsid wsp:val=&quot;00E31AA9&quot;/&gt;&lt;wsp:rsid wsp:val=&quot;00E31B6B&quot;/&gt;&lt;wsp:rsid wsp:val=&quot;00E320E2&quot;/&gt;&lt;wsp:rsid wsp:val=&quot;00E32CD9&quot;/&gt;&lt;wsp:rsid wsp:val=&quot;00E32D47&quot;/&gt;&lt;wsp:rsid wsp:val=&quot;00E32E37&quot;/&gt;&lt;wsp:rsid wsp:val=&quot;00E32F7F&quot;/&gt;&lt;wsp:rsid wsp:val=&quot;00E3373D&quot;/&gt;&lt;wsp:rsid wsp:val=&quot;00E33967&quot;/&gt;&lt;wsp:rsid wsp:val=&quot;00E33D89&quot;/&gt;&lt;wsp:rsid wsp:val=&quot;00E33F67&quot;/&gt;&lt;wsp:rsid wsp:val=&quot;00E33F7A&quot;/&gt;&lt;wsp:rsid wsp:val=&quot;00E340D3&quot;/&gt;&lt;wsp:rsid wsp:val=&quot;00E340E5&quot;/&gt;&lt;wsp:rsid wsp:val=&quot;00E341A8&quot;/&gt;&lt;wsp:rsid wsp:val=&quot;00E3440B&quot;/&gt;&lt;wsp:rsid wsp:val=&quot;00E34614&quot;/&gt;&lt;wsp:rsid wsp:val=&quot;00E346D1&quot;/&gt;&lt;wsp:rsid wsp:val=&quot;00E3477C&quot;/&gt;&lt;wsp:rsid wsp:val=&quot;00E34810&quot;/&gt;&lt;wsp:rsid wsp:val=&quot;00E34B7E&quot;/&gt;&lt;wsp:rsid wsp:val=&quot;00E34BD2&quot;/&gt;&lt;wsp:rsid wsp:val=&quot;00E34E3D&quot;/&gt;&lt;wsp:rsid wsp:val=&quot;00E34F49&quot;/&gt;&lt;wsp:rsid wsp:val=&quot;00E34F4F&quot;/&gt;&lt;wsp:rsid wsp:val=&quot;00E3502D&quot;/&gt;&lt;wsp:rsid wsp:val=&quot;00E354FF&quot;/&gt;&lt;wsp:rsid wsp:val=&quot;00E360A9&quot;/&gt;&lt;wsp:rsid wsp:val=&quot;00E360D3&quot;/&gt;&lt;wsp:rsid wsp:val=&quot;00E361B5&quot;/&gt;&lt;wsp:rsid wsp:val=&quot;00E3623E&quot;/&gt;&lt;wsp:rsid wsp:val=&quot;00E362E7&quot;/&gt;&lt;wsp:rsid wsp:val=&quot;00E370AA&quot;/&gt;&lt;wsp:rsid wsp:val=&quot;00E372E7&quot;/&gt;&lt;wsp:rsid wsp:val=&quot;00E37568&quot;/&gt;&lt;wsp:rsid wsp:val=&quot;00E3756E&quot;/&gt;&lt;wsp:rsid wsp:val=&quot;00E37834&quot;/&gt;&lt;wsp:rsid wsp:val=&quot;00E37D2D&quot;/&gt;&lt;wsp:rsid wsp:val=&quot;00E40504&quot;/&gt;&lt;wsp:rsid wsp:val=&quot;00E407C4&quot;/&gt;&lt;wsp:rsid wsp:val=&quot;00E407FE&quot;/&gt;&lt;wsp:rsid wsp:val=&quot;00E40EFE&quot;/&gt;&lt;wsp:rsid wsp:val=&quot;00E40F82&quot;/&gt;&lt;wsp:rsid wsp:val=&quot;00E41286&quot;/&gt;&lt;wsp:rsid wsp:val=&quot;00E415AB&quot;/&gt;&lt;wsp:rsid wsp:val=&quot;00E41E75&quot;/&gt;&lt;wsp:rsid wsp:val=&quot;00E421A4&quot;/&gt;&lt;wsp:rsid wsp:val=&quot;00E421F1&quot;/&gt;&lt;wsp:rsid wsp:val=&quot;00E4221D&quot;/&gt;&lt;wsp:rsid wsp:val=&quot;00E422EA&quot;/&gt;&lt;wsp:rsid wsp:val=&quot;00E42875&quot;/&gt;&lt;wsp:rsid wsp:val=&quot;00E42D0E&quot;/&gt;&lt;wsp:rsid wsp:val=&quot;00E42E45&quot;/&gt;&lt;wsp:rsid wsp:val=&quot;00E42FFD&quot;/&gt;&lt;wsp:rsid wsp:val=&quot;00E43124&quot;/&gt;&lt;wsp:rsid wsp:val=&quot;00E43249&quot;/&gt;&lt;wsp:rsid wsp:val=&quot;00E43308&quot;/&gt;&lt;wsp:rsid wsp:val=&quot;00E433BE&quot;/&gt;&lt;wsp:rsid wsp:val=&quot;00E438BB&quot;/&gt;&lt;wsp:rsid wsp:val=&quot;00E43A00&quot;/&gt;&lt;wsp:rsid wsp:val=&quot;00E43B21&quot;/&gt;&lt;wsp:rsid wsp:val=&quot;00E43DB6&quot;/&gt;&lt;wsp:rsid wsp:val=&quot;00E4406B&quot;/&gt;&lt;wsp:rsid wsp:val=&quot;00E44467&quot;/&gt;&lt;wsp:rsid wsp:val=&quot;00E444E7&quot;/&gt;&lt;wsp:rsid wsp:val=&quot;00E444EC&quot;/&gt;&lt;wsp:rsid wsp:val=&quot;00E445F0&quot;/&gt;&lt;wsp:rsid wsp:val=&quot;00E44860&quot;/&gt;&lt;wsp:rsid wsp:val=&quot;00E448D4&quot;/&gt;&lt;wsp:rsid wsp:val=&quot;00E4495D&quot;/&gt;&lt;wsp:rsid wsp:val=&quot;00E44993&quot;/&gt;&lt;wsp:rsid wsp:val=&quot;00E44997&quot;/&gt;&lt;wsp:rsid wsp:val=&quot;00E449AB&quot;/&gt;&lt;wsp:rsid wsp:val=&quot;00E44A05&quot;/&gt;&lt;wsp:rsid wsp:val=&quot;00E44ACB&quot;/&gt;&lt;wsp:rsid wsp:val=&quot;00E44B32&quot;/&gt;&lt;wsp:rsid wsp:val=&quot;00E44BA9&quot;/&gt;&lt;wsp:rsid wsp:val=&quot;00E4536F&quot;/&gt;&lt;wsp:rsid wsp:val=&quot;00E45462&quot;/&gt;&lt;wsp:rsid wsp:val=&quot;00E454BB&quot;/&gt;&lt;wsp:rsid wsp:val=&quot;00E459AB&quot;/&gt;&lt;wsp:rsid wsp:val=&quot;00E45B3F&quot;/&gt;&lt;wsp:rsid wsp:val=&quot;00E46060&quot;/&gt;&lt;wsp:rsid wsp:val=&quot;00E4615F&quot;/&gt;&lt;wsp:rsid wsp:val=&quot;00E464EA&quot;/&gt;&lt;wsp:rsid wsp:val=&quot;00E46553&quot;/&gt;&lt;wsp:rsid wsp:val=&quot;00E4695B&quot;/&gt;&lt;wsp:rsid wsp:val=&quot;00E46B4D&quot;/&gt;&lt;wsp:rsid wsp:val=&quot;00E46C2B&quot;/&gt;&lt;wsp:rsid wsp:val=&quot;00E477EC&quot;/&gt;&lt;wsp:rsid wsp:val=&quot;00E47871&quot;/&gt;&lt;wsp:rsid wsp:val=&quot;00E4794B&quot;/&gt;&lt;wsp:rsid wsp:val=&quot;00E4796F&quot;/&gt;&lt;wsp:rsid wsp:val=&quot;00E47A0D&quot;/&gt;&lt;wsp:rsid wsp:val=&quot;00E47F57&quot;/&gt;&lt;wsp:rsid wsp:val=&quot;00E50129&quot;/&gt;&lt;wsp:rsid wsp:val=&quot;00E5019B&quot;/&gt;&lt;wsp:rsid wsp:val=&quot;00E50D52&quot;/&gt;&lt;wsp:rsid wsp:val=&quot;00E50DF6&quot;/&gt;&lt;wsp:rsid wsp:val=&quot;00E50EDE&quot;/&gt;&lt;wsp:rsid wsp:val=&quot;00E51085&quot;/&gt;&lt;wsp:rsid wsp:val=&quot;00E512B3&quot;/&gt;&lt;wsp:rsid wsp:val=&quot;00E51372&quot;/&gt;&lt;wsp:rsid wsp:val=&quot;00E51CB6&quot;/&gt;&lt;wsp:rsid wsp:val=&quot;00E51DA8&quot;/&gt;&lt;wsp:rsid wsp:val=&quot;00E520B3&quot;/&gt;&lt;wsp:rsid wsp:val=&quot;00E5217F&quot;/&gt;&lt;wsp:rsid wsp:val=&quot;00E5219A&quot;/&gt;&lt;wsp:rsid wsp:val=&quot;00E521DE&quot;/&gt;&lt;wsp:rsid wsp:val=&quot;00E52208&quot;/&gt;&lt;wsp:rsid wsp:val=&quot;00E52296&quot;/&gt;&lt;wsp:rsid wsp:val=&quot;00E525F7&quot;/&gt;&lt;wsp:rsid wsp:val=&quot;00E52A16&quot;/&gt;&lt;wsp:rsid wsp:val=&quot;00E533AA&quot;/&gt;&lt;wsp:rsid wsp:val=&quot;00E53519&quot;/&gt;&lt;wsp:rsid wsp:val=&quot;00E53772&quot;/&gt;&lt;wsp:rsid wsp:val=&quot;00E53B27&quot;/&gt;&lt;wsp:rsid wsp:val=&quot;00E53B75&quot;/&gt;&lt;wsp:rsid wsp:val=&quot;00E53BFA&quot;/&gt;&lt;wsp:rsid wsp:val=&quot;00E53F5E&quot;/&gt;&lt;wsp:rsid wsp:val=&quot;00E54159&quot;/&gt;&lt;wsp:rsid wsp:val=&quot;00E5416E&quot;/&gt;&lt;wsp:rsid wsp:val=&quot;00E541EF&quot;/&gt;&lt;wsp:rsid wsp:val=&quot;00E54220&quot;/&gt;&lt;wsp:rsid wsp:val=&quot;00E543A0&quot;/&gt;&lt;wsp:rsid wsp:val=&quot;00E5443D&quot;/&gt;&lt;wsp:rsid wsp:val=&quot;00E544D9&quot;/&gt;&lt;wsp:rsid wsp:val=&quot;00E54604&quot;/&gt;&lt;wsp:rsid wsp:val=&quot;00E54674&quot;/&gt;&lt;wsp:rsid wsp:val=&quot;00E54BFB&quot;/&gt;&lt;wsp:rsid wsp:val=&quot;00E54C86&quot;/&gt;&lt;wsp:rsid wsp:val=&quot;00E54D64&quot;/&gt;&lt;wsp:rsid wsp:val=&quot;00E54DA4&quot;/&gt;&lt;wsp:rsid wsp:val=&quot;00E54DC2&quot;/&gt;&lt;wsp:rsid wsp:val=&quot;00E54F5C&quot;/&gt;&lt;wsp:rsid wsp:val=&quot;00E5595D&quot;/&gt;&lt;wsp:rsid wsp:val=&quot;00E55CDD&quot;/&gt;&lt;wsp:rsid wsp:val=&quot;00E56549&quot;/&gt;&lt;wsp:rsid wsp:val=&quot;00E5669C&quot;/&gt;&lt;wsp:rsid wsp:val=&quot;00E56998&quot;/&gt;&lt;wsp:rsid wsp:val=&quot;00E56A88&quot;/&gt;&lt;wsp:rsid wsp:val=&quot;00E56BE2&quot;/&gt;&lt;wsp:rsid wsp:val=&quot;00E56C0E&quot;/&gt;&lt;wsp:rsid wsp:val=&quot;00E56D50&quot;/&gt;&lt;wsp:rsid wsp:val=&quot;00E56E5D&quot;/&gt;&lt;wsp:rsid wsp:val=&quot;00E57141&quot;/&gt;&lt;wsp:rsid wsp:val=&quot;00E574B8&quot;/&gt;&lt;wsp:rsid wsp:val=&quot;00E57A74&quot;/&gt;&lt;wsp:rsid wsp:val=&quot;00E57BD5&quot;/&gt;&lt;wsp:rsid wsp:val=&quot;00E607AF&quot;/&gt;&lt;wsp:rsid wsp:val=&quot;00E60990&quot;/&gt;&lt;wsp:rsid wsp:val=&quot;00E609AB&quot;/&gt;&lt;wsp:rsid wsp:val=&quot;00E60C6B&quot;/&gt;&lt;wsp:rsid wsp:val=&quot;00E60DB4&quot;/&gt;&lt;wsp:rsid wsp:val=&quot;00E610F1&quot;/&gt;&lt;wsp:rsid wsp:val=&quot;00E6134B&quot;/&gt;&lt;wsp:rsid wsp:val=&quot;00E61733&quot;/&gt;&lt;wsp:rsid wsp:val=&quot;00E6199E&quot;/&gt;&lt;wsp:rsid wsp:val=&quot;00E61B99&quot;/&gt;&lt;wsp:rsid wsp:val=&quot;00E61C40&quot;/&gt;&lt;wsp:rsid wsp:val=&quot;00E61D25&quot;/&gt;&lt;wsp:rsid wsp:val=&quot;00E6200A&quot;/&gt;&lt;wsp:rsid wsp:val=&quot;00E6229E&quot;/&gt;&lt;wsp:rsid wsp:val=&quot;00E62435&quot;/&gt;&lt;wsp:rsid wsp:val=&quot;00E62650&quot;/&gt;&lt;wsp:rsid wsp:val=&quot;00E626CF&quot;/&gt;&lt;wsp:rsid wsp:val=&quot;00E62A16&quot;/&gt;&lt;wsp:rsid wsp:val=&quot;00E62B61&quot;/&gt;&lt;wsp:rsid wsp:val=&quot;00E62D69&quot;/&gt;&lt;wsp:rsid wsp:val=&quot;00E62DAF&quot;/&gt;&lt;wsp:rsid wsp:val=&quot;00E63107&quot;/&gt;&lt;wsp:rsid wsp:val=&quot;00E631CD&quot;/&gt;&lt;wsp:rsid wsp:val=&quot;00E6331E&quot;/&gt;&lt;wsp:rsid wsp:val=&quot;00E63569&quot;/&gt;&lt;wsp:rsid wsp:val=&quot;00E6362F&quot;/&gt;&lt;wsp:rsid wsp:val=&quot;00E63C27&quot;/&gt;&lt;wsp:rsid wsp:val=&quot;00E63F7E&quot;/&gt;&lt;wsp:rsid wsp:val=&quot;00E64142&quot;/&gt;&lt;wsp:rsid wsp:val=&quot;00E64162&quot;/&gt;&lt;wsp:rsid wsp:val=&quot;00E64757&quot;/&gt;&lt;wsp:rsid wsp:val=&quot;00E64791&quot;/&gt;&lt;wsp:rsid wsp:val=&quot;00E64B4A&quot;/&gt;&lt;wsp:rsid wsp:val=&quot;00E64D6C&quot;/&gt;&lt;wsp:rsid wsp:val=&quot;00E65035&quot;/&gt;&lt;wsp:rsid wsp:val=&quot;00E65084&quot;/&gt;&lt;wsp:rsid wsp:val=&quot;00E65348&quot;/&gt;&lt;wsp:rsid wsp:val=&quot;00E6536E&quot;/&gt;&lt;wsp:rsid wsp:val=&quot;00E6591D&quot;/&gt;&lt;wsp:rsid wsp:val=&quot;00E66107&quot;/&gt;&lt;wsp:rsid wsp:val=&quot;00E665EB&quot;/&gt;&lt;wsp:rsid wsp:val=&quot;00E66642&quot;/&gt;&lt;wsp:rsid wsp:val=&quot;00E66AA0&quot;/&gt;&lt;wsp:rsid wsp:val=&quot;00E66ADC&quot;/&gt;&lt;wsp:rsid wsp:val=&quot;00E66B6B&quot;/&gt;&lt;wsp:rsid wsp:val=&quot;00E66EB2&quot;/&gt;&lt;wsp:rsid wsp:val=&quot;00E66F14&quot;/&gt;&lt;wsp:rsid wsp:val=&quot;00E66FCC&quot;/&gt;&lt;wsp:rsid wsp:val=&quot;00E67066&quot;/&gt;&lt;wsp:rsid wsp:val=&quot;00E672C5&quot;/&gt;&lt;wsp:rsid wsp:val=&quot;00E677EC&quot;/&gt;&lt;wsp:rsid wsp:val=&quot;00E67B38&quot;/&gt;&lt;wsp:rsid wsp:val=&quot;00E67B47&quot;/&gt;&lt;wsp:rsid wsp:val=&quot;00E70041&quot;/&gt;&lt;wsp:rsid wsp:val=&quot;00E703C4&quot;/&gt;&lt;wsp:rsid wsp:val=&quot;00E706D1&quot;/&gt;&lt;wsp:rsid wsp:val=&quot;00E7080C&quot;/&gt;&lt;wsp:rsid wsp:val=&quot;00E7090E&quot;/&gt;&lt;wsp:rsid wsp:val=&quot;00E70D2E&quot;/&gt;&lt;wsp:rsid wsp:val=&quot;00E70DA7&quot;/&gt;&lt;wsp:rsid wsp:val=&quot;00E70E01&quot;/&gt;&lt;wsp:rsid wsp:val=&quot;00E70F04&quot;/&gt;&lt;wsp:rsid wsp:val=&quot;00E7134B&quot;/&gt;&lt;wsp:rsid wsp:val=&quot;00E7159C&quot;/&gt;&lt;wsp:rsid wsp:val=&quot;00E71723&quot;/&gt;&lt;wsp:rsid wsp:val=&quot;00E718FB&quot;/&gt;&lt;wsp:rsid wsp:val=&quot;00E71E50&quot;/&gt;&lt;wsp:rsid wsp:val=&quot;00E71F0C&quot;/&gt;&lt;wsp:rsid wsp:val=&quot;00E72081&quot;/&gt;&lt;wsp:rsid wsp:val=&quot;00E72153&quot;/&gt;&lt;wsp:rsid wsp:val=&quot;00E7240F&quot;/&gt;&lt;wsp:rsid wsp:val=&quot;00E72486&quot;/&gt;&lt;wsp:rsid wsp:val=&quot;00E72676&quot;/&gt;&lt;wsp:rsid wsp:val=&quot;00E72A2B&quot;/&gt;&lt;wsp:rsid wsp:val=&quot;00E72A32&quot;/&gt;&lt;wsp:rsid wsp:val=&quot;00E72FD5&quot;/&gt;&lt;wsp:rsid wsp:val=&quot;00E72FF1&quot;/&gt;&lt;wsp:rsid wsp:val=&quot;00E730DE&quot;/&gt;&lt;wsp:rsid wsp:val=&quot;00E73304&quot;/&gt;&lt;wsp:rsid wsp:val=&quot;00E73445&quot;/&gt;&lt;wsp:rsid wsp:val=&quot;00E73449&quot;/&gt;&lt;wsp:rsid wsp:val=&quot;00E7344B&quot;/&gt;&lt;wsp:rsid wsp:val=&quot;00E73994&quot;/&gt;&lt;wsp:rsid wsp:val=&quot;00E73B86&quot;/&gt;&lt;wsp:rsid wsp:val=&quot;00E73C44&quot;/&gt;&lt;wsp:rsid wsp:val=&quot;00E74073&quot;/&gt;&lt;wsp:rsid wsp:val=&quot;00E74345&quot;/&gt;&lt;wsp:rsid wsp:val=&quot;00E746B1&quot;/&gt;&lt;wsp:rsid wsp:val=&quot;00E7482E&quot;/&gt;&lt;wsp:rsid wsp:val=&quot;00E7499E&quot;/&gt;&lt;wsp:rsid wsp:val=&quot;00E74BAE&quot;/&gt;&lt;wsp:rsid wsp:val=&quot;00E74BC6&quot;/&gt;&lt;wsp:rsid wsp:val=&quot;00E75070&quot;/&gt;&lt;wsp:rsid wsp:val=&quot;00E75AB5&quot;/&gt;&lt;wsp:rsid wsp:val=&quot;00E75BC3&quot;/&gt;&lt;wsp:rsid wsp:val=&quot;00E75C03&quot;/&gt;&lt;wsp:rsid wsp:val=&quot;00E75DD1&quot;/&gt;&lt;wsp:rsid wsp:val=&quot;00E75E3C&quot;/&gt;&lt;wsp:rsid wsp:val=&quot;00E76200&quot;/&gt;&lt;wsp:rsid wsp:val=&quot;00E7667C&quot;/&gt;&lt;wsp:rsid wsp:val=&quot;00E7684A&quot;/&gt;&lt;wsp:rsid wsp:val=&quot;00E76AE4&quot;/&gt;&lt;wsp:rsid wsp:val=&quot;00E76C2B&quot;/&gt;&lt;wsp:rsid wsp:val=&quot;00E76D9E&quot;/&gt;&lt;wsp:rsid wsp:val=&quot;00E770C5&quot;/&gt;&lt;wsp:rsid wsp:val=&quot;00E77148&quot;/&gt;&lt;wsp:rsid wsp:val=&quot;00E772B6&quot;/&gt;&lt;wsp:rsid wsp:val=&quot;00E775EB&quot;/&gt;&lt;wsp:rsid wsp:val=&quot;00E77609&quot;/&gt;&lt;wsp:rsid wsp:val=&quot;00E777A8&quot;/&gt;&lt;wsp:rsid wsp:val=&quot;00E777E7&quot;/&gt;&lt;wsp:rsid wsp:val=&quot;00E779CD&quot;/&gt;&lt;wsp:rsid wsp:val=&quot;00E77D4D&quot;/&gt;&lt;wsp:rsid wsp:val=&quot;00E77DFB&quot;/&gt;&lt;wsp:rsid wsp:val=&quot;00E8012A&quot;/&gt;&lt;wsp:rsid wsp:val=&quot;00E80206&quot;/&gt;&lt;wsp:rsid wsp:val=&quot;00E80338&quot;/&gt;&lt;wsp:rsid wsp:val=&quot;00E80633&quot;/&gt;&lt;wsp:rsid wsp:val=&quot;00E80DBE&quot;/&gt;&lt;wsp:rsid wsp:val=&quot;00E81061&quot;/&gt;&lt;wsp:rsid wsp:val=&quot;00E81424&quot;/&gt;&lt;wsp:rsid wsp:val=&quot;00E819E7&quot;/&gt;&lt;wsp:rsid wsp:val=&quot;00E81B49&quot;/&gt;&lt;wsp:rsid wsp:val=&quot;00E81DAB&quot;/&gt;&lt;wsp:rsid wsp:val=&quot;00E82318&quot;/&gt;&lt;wsp:rsid wsp:val=&quot;00E82726&quot;/&gt;&lt;wsp:rsid wsp:val=&quot;00E828C8&quot;/&gt;&lt;wsp:rsid wsp:val=&quot;00E82D91&quot;/&gt;&lt;wsp:rsid wsp:val=&quot;00E82F25&quot;/&gt;&lt;wsp:rsid wsp:val=&quot;00E82FCD&quot;/&gt;&lt;wsp:rsid wsp:val=&quot;00E832F7&quot;/&gt;&lt;wsp:rsid wsp:val=&quot;00E83390&quot;/&gt;&lt;wsp:rsid wsp:val=&quot;00E83417&quot;/&gt;&lt;wsp:rsid wsp:val=&quot;00E83697&quot;/&gt;&lt;wsp:rsid wsp:val=&quot;00E83702&quot;/&gt;&lt;wsp:rsid wsp:val=&quot;00E8377D&quot;/&gt;&lt;wsp:rsid wsp:val=&quot;00E837D7&quot;/&gt;&lt;wsp:rsid wsp:val=&quot;00E83A29&quot;/&gt;&lt;wsp:rsid wsp:val=&quot;00E83D33&quot;/&gt;&lt;wsp:rsid wsp:val=&quot;00E83D5C&quot;/&gt;&lt;wsp:rsid wsp:val=&quot;00E83EBE&quot;/&gt;&lt;wsp:rsid wsp:val=&quot;00E84291&quot;/&gt;&lt;wsp:rsid wsp:val=&quot;00E8429F&quot;/&gt;&lt;wsp:rsid wsp:val=&quot;00E84629&quot;/&gt;&lt;wsp:rsid wsp:val=&quot;00E846DC&quot;/&gt;&lt;wsp:rsid wsp:val=&quot;00E8472F&quot;/&gt;&lt;wsp:rsid wsp:val=&quot;00E847EA&quot;/&gt;&lt;wsp:rsid wsp:val=&quot;00E84858&quot;/&gt;&lt;wsp:rsid wsp:val=&quot;00E8486A&quot;/&gt;&lt;wsp:rsid wsp:val=&quot;00E852D1&quot;/&gt;&lt;wsp:rsid wsp:val=&quot;00E85B51&quot;/&gt;&lt;wsp:rsid wsp:val=&quot;00E85C60&quot;/&gt;&lt;wsp:rsid wsp:val=&quot;00E8605B&quot;/&gt;&lt;wsp:rsid wsp:val=&quot;00E8665A&quot;/&gt;&lt;wsp:rsid wsp:val=&quot;00E8666A&quot;/&gt;&lt;wsp:rsid wsp:val=&quot;00E8679B&quot;/&gt;&lt;wsp:rsid wsp:val=&quot;00E86AF3&quot;/&gt;&lt;wsp:rsid wsp:val=&quot;00E86DF1&quot;/&gt;&lt;wsp:rsid wsp:val=&quot;00E86F41&quot;/&gt;&lt;wsp:rsid wsp:val=&quot;00E87198&quot;/&gt;&lt;wsp:rsid wsp:val=&quot;00E87964&quot;/&gt;&lt;wsp:rsid wsp:val=&quot;00E87B7E&quot;/&gt;&lt;wsp:rsid wsp:val=&quot;00E87F01&quot;/&gt;&lt;wsp:rsid wsp:val=&quot;00E9069D&quot;/&gt;&lt;wsp:rsid wsp:val=&quot;00E9085B&quot;/&gt;&lt;wsp:rsid wsp:val=&quot;00E90E61&quot;/&gt;&lt;wsp:rsid wsp:val=&quot;00E90E7E&quot;/&gt;&lt;wsp:rsid wsp:val=&quot;00E90E96&quot;/&gt;&lt;wsp:rsid wsp:val=&quot;00E90F88&quot;/&gt;&lt;wsp:rsid wsp:val=&quot;00E91593&quot;/&gt;&lt;wsp:rsid wsp:val=&quot;00E91C6F&quot;/&gt;&lt;wsp:rsid wsp:val=&quot;00E91CB9&quot;/&gt;&lt;wsp:rsid wsp:val=&quot;00E91D7C&quot;/&gt;&lt;wsp:rsid wsp:val=&quot;00E91E40&quot;/&gt;&lt;wsp:rsid wsp:val=&quot;00E920FE&quot;/&gt;&lt;wsp:rsid wsp:val=&quot;00E92936&quot;/&gt;&lt;wsp:rsid wsp:val=&quot;00E92A5B&quot;/&gt;&lt;wsp:rsid wsp:val=&quot;00E92A8D&quot;/&gt;&lt;wsp:rsid wsp:val=&quot;00E92AB5&quot;/&gt;&lt;wsp:rsid wsp:val=&quot;00E92C75&quot;/&gt;&lt;wsp:rsid wsp:val=&quot;00E92F20&quot;/&gt;&lt;wsp:rsid wsp:val=&quot;00E931DC&quot;/&gt;&lt;wsp:rsid wsp:val=&quot;00E93323&quot;/&gt;&lt;wsp:rsid wsp:val=&quot;00E93394&quot;/&gt;&lt;wsp:rsid wsp:val=&quot;00E93495&quot;/&gt;&lt;wsp:rsid wsp:val=&quot;00E93543&quot;/&gt;&lt;wsp:rsid wsp:val=&quot;00E9358E&quot;/&gt;&lt;wsp:rsid wsp:val=&quot;00E93B98&quot;/&gt;&lt;wsp:rsid wsp:val=&quot;00E93CEA&quot;/&gt;&lt;wsp:rsid wsp:val=&quot;00E93D62&quot;/&gt;&lt;wsp:rsid wsp:val=&quot;00E93F08&quot;/&gt;&lt;wsp:rsid wsp:val=&quot;00E941CA&quot;/&gt;&lt;wsp:rsid wsp:val=&quot;00E948E5&quot;/&gt;&lt;wsp:rsid wsp:val=&quot;00E9495A&quot;/&gt;&lt;wsp:rsid wsp:val=&quot;00E94A0C&quot;/&gt;&lt;wsp:rsid wsp:val=&quot;00E94C20&quot;/&gt;&lt;wsp:rsid wsp:val=&quot;00E94C5B&quot;/&gt;&lt;wsp:rsid wsp:val=&quot;00E94DC2&quot;/&gt;&lt;wsp:rsid wsp:val=&quot;00E952FF&quot;/&gt;&lt;wsp:rsid wsp:val=&quot;00E955D1&quot;/&gt;&lt;wsp:rsid wsp:val=&quot;00E95A7C&quot;/&gt;&lt;wsp:rsid wsp:val=&quot;00E95B22&quot;/&gt;&lt;wsp:rsid wsp:val=&quot;00E95C94&quot;/&gt;&lt;wsp:rsid wsp:val=&quot;00E95D3F&quot;/&gt;&lt;wsp:rsid wsp:val=&quot;00E95DAC&quot;/&gt;&lt;wsp:rsid wsp:val=&quot;00E95F4C&quot;/&gt;&lt;wsp:rsid wsp:val=&quot;00E9602E&quot;/&gt;&lt;wsp:rsid wsp:val=&quot;00E96508&quot;/&gt;&lt;wsp:rsid wsp:val=&quot;00E9650B&quot;/&gt;&lt;wsp:rsid wsp:val=&quot;00E96692&quot;/&gt;&lt;wsp:rsid wsp:val=&quot;00E968E7&quot;/&gt;&lt;wsp:rsid wsp:val=&quot;00E96D6A&quot;/&gt;&lt;wsp:rsid wsp:val=&quot;00E96F77&quot;/&gt;&lt;wsp:rsid wsp:val=&quot;00E97187&quot;/&gt;&lt;wsp:rsid wsp:val=&quot;00E97271&quot;/&gt;&lt;wsp:rsid wsp:val=&quot;00E973ED&quot;/&gt;&lt;wsp:rsid wsp:val=&quot;00E97408&quot;/&gt;&lt;wsp:rsid wsp:val=&quot;00E97543&quot;/&gt;&lt;wsp:rsid wsp:val=&quot;00E9764F&quot;/&gt;&lt;wsp:rsid wsp:val=&quot;00E97675&quot;/&gt;&lt;wsp:rsid wsp:val=&quot;00E97817&quot;/&gt;&lt;wsp:rsid wsp:val=&quot;00E97A01&quot;/&gt;&lt;wsp:rsid wsp:val=&quot;00E97BC3&quot;/&gt;&lt;wsp:rsid wsp:val=&quot;00E97BCA&quot;/&gt;&lt;wsp:rsid wsp:val=&quot;00E97CB4&quot;/&gt;&lt;wsp:rsid wsp:val=&quot;00EA041C&quot;/&gt;&lt;wsp:rsid wsp:val=&quot;00EA046C&quot;/&gt;&lt;wsp:rsid wsp:val=&quot;00EA0728&quot;/&gt;&lt;wsp:rsid wsp:val=&quot;00EA0990&quot;/&gt;&lt;wsp:rsid wsp:val=&quot;00EA0C85&quot;/&gt;&lt;wsp:rsid wsp:val=&quot;00EA11B2&quot;/&gt;&lt;wsp:rsid wsp:val=&quot;00EA15E8&quot;/&gt;&lt;wsp:rsid wsp:val=&quot;00EA1AA7&quot;/&gt;&lt;wsp:rsid wsp:val=&quot;00EA1E31&quot;/&gt;&lt;wsp:rsid wsp:val=&quot;00EA1EB8&quot;/&gt;&lt;wsp:rsid wsp:val=&quot;00EA2032&quot;/&gt;&lt;wsp:rsid wsp:val=&quot;00EA25B0&quot;/&gt;&lt;wsp:rsid wsp:val=&quot;00EA2CAB&quot;/&gt;&lt;wsp:rsid wsp:val=&quot;00EA2E2E&quot;/&gt;&lt;wsp:rsid wsp:val=&quot;00EA2E39&quot;/&gt;&lt;wsp:rsid wsp:val=&quot;00EA30F0&quot;/&gt;&lt;wsp:rsid wsp:val=&quot;00EA38B3&quot;/&gt;&lt;wsp:rsid wsp:val=&quot;00EA3AB3&quot;/&gt;&lt;wsp:rsid wsp:val=&quot;00EA3CCE&quot;/&gt;&lt;wsp:rsid wsp:val=&quot;00EA3D7B&quot;/&gt;&lt;wsp:rsid wsp:val=&quot;00EA3E63&quot;/&gt;&lt;wsp:rsid wsp:val=&quot;00EA3F58&quot;/&gt;&lt;wsp:rsid wsp:val=&quot;00EA421C&quot;/&gt;&lt;wsp:rsid wsp:val=&quot;00EA421E&quot;/&gt;&lt;wsp:rsid wsp:val=&quot;00EA4271&quot;/&gt;&lt;wsp:rsid wsp:val=&quot;00EA42B2&quot;/&gt;&lt;wsp:rsid wsp:val=&quot;00EA4361&quot;/&gt;&lt;wsp:rsid wsp:val=&quot;00EA4984&quot;/&gt;&lt;wsp:rsid wsp:val=&quot;00EA4F87&quot;/&gt;&lt;wsp:rsid wsp:val=&quot;00EA5418&quot;/&gt;&lt;wsp:rsid wsp:val=&quot;00EA5558&quot;/&gt;&lt;wsp:rsid wsp:val=&quot;00EA55B6&quot;/&gt;&lt;wsp:rsid wsp:val=&quot;00EA5700&quot;/&gt;&lt;wsp:rsid wsp:val=&quot;00EA5CFE&quot;/&gt;&lt;wsp:rsid wsp:val=&quot;00EA5F53&quot;/&gt;&lt;wsp:rsid wsp:val=&quot;00EA6195&quot;/&gt;&lt;wsp:rsid wsp:val=&quot;00EA63B2&quot;/&gt;&lt;wsp:rsid wsp:val=&quot;00EA678F&quot;/&gt;&lt;wsp:rsid wsp:val=&quot;00EA67BB&quot;/&gt;&lt;wsp:rsid wsp:val=&quot;00EA6A4D&quot;/&gt;&lt;wsp:rsid wsp:val=&quot;00EA6B36&quot;/&gt;&lt;wsp:rsid wsp:val=&quot;00EA6C9D&quot;/&gt;&lt;wsp:rsid wsp:val=&quot;00EA6DDF&quot;/&gt;&lt;wsp:rsid wsp:val=&quot;00EA6FC9&quot;/&gt;&lt;wsp:rsid wsp:val=&quot;00EA6FDA&quot;/&gt;&lt;wsp:rsid wsp:val=&quot;00EA71A6&quot;/&gt;&lt;wsp:rsid wsp:val=&quot;00EA74F8&quot;/&gt;&lt;wsp:rsid wsp:val=&quot;00EA7592&quot;/&gt;&lt;wsp:rsid wsp:val=&quot;00EA7766&quot;/&gt;&lt;wsp:rsid wsp:val=&quot;00EA77AD&quot;/&gt;&lt;wsp:rsid wsp:val=&quot;00EA79A6&quot;/&gt;&lt;wsp:rsid wsp:val=&quot;00EA7EBE&quot;/&gt;&lt;wsp:rsid wsp:val=&quot;00EB0483&quot;/&gt;&lt;wsp:rsid wsp:val=&quot;00EB0B43&quot;/&gt;&lt;wsp:rsid wsp:val=&quot;00EB0F49&quot;/&gt;&lt;wsp:rsid wsp:val=&quot;00EB0FA1&quot;/&gt;&lt;wsp:rsid wsp:val=&quot;00EB105F&quot;/&gt;&lt;wsp:rsid wsp:val=&quot;00EB10E7&quot;/&gt;&lt;wsp:rsid wsp:val=&quot;00EB11D2&quot;/&gt;&lt;wsp:rsid wsp:val=&quot;00EB148D&quot;/&gt;&lt;wsp:rsid wsp:val=&quot;00EB14E0&quot;/&gt;&lt;wsp:rsid wsp:val=&quot;00EB17CE&quot;/&gt;&lt;wsp:rsid wsp:val=&quot;00EB1A0F&quot;/&gt;&lt;wsp:rsid wsp:val=&quot;00EB1A13&quot;/&gt;&lt;wsp:rsid wsp:val=&quot;00EB1CD4&quot;/&gt;&lt;wsp:rsid wsp:val=&quot;00EB1D38&quot;/&gt;&lt;wsp:rsid wsp:val=&quot;00EB1EA3&quot;/&gt;&lt;wsp:rsid wsp:val=&quot;00EB1EAE&quot;/&gt;&lt;wsp:rsid wsp:val=&quot;00EB2179&quot;/&gt;&lt;wsp:rsid wsp:val=&quot;00EB22ED&quot;/&gt;&lt;wsp:rsid wsp:val=&quot;00EB2589&quot;/&gt;&lt;wsp:rsid wsp:val=&quot;00EB26C7&quot;/&gt;&lt;wsp:rsid wsp:val=&quot;00EB274F&quot;/&gt;&lt;wsp:rsid wsp:val=&quot;00EB29D7&quot;/&gt;&lt;wsp:rsid wsp:val=&quot;00EB29F5&quot;/&gt;&lt;wsp:rsid wsp:val=&quot;00EB2C76&quot;/&gt;&lt;wsp:rsid wsp:val=&quot;00EB2E86&quot;/&gt;&lt;wsp:rsid wsp:val=&quot;00EB2F02&quot;/&gt;&lt;wsp:rsid wsp:val=&quot;00EB2F58&quot;/&gt;&lt;wsp:rsid wsp:val=&quot;00EB303E&quot;/&gt;&lt;wsp:rsid wsp:val=&quot;00EB31D9&quot;/&gt;&lt;wsp:rsid wsp:val=&quot;00EB3237&quot;/&gt;&lt;wsp:rsid wsp:val=&quot;00EB323B&quot;/&gt;&lt;wsp:rsid wsp:val=&quot;00EB350F&quot;/&gt;&lt;wsp:rsid wsp:val=&quot;00EB3652&quot;/&gt;&lt;wsp:rsid wsp:val=&quot;00EB3788&quot;/&gt;&lt;wsp:rsid wsp:val=&quot;00EB38AF&quot;/&gt;&lt;wsp:rsid wsp:val=&quot;00EB3AC2&quot;/&gt;&lt;wsp:rsid wsp:val=&quot;00EB40FA&quot;/&gt;&lt;wsp:rsid wsp:val=&quot;00EB49D2&quot;/&gt;&lt;wsp:rsid wsp:val=&quot;00EB4CBB&quot;/&gt;&lt;wsp:rsid wsp:val=&quot;00EB4FD6&quot;/&gt;&lt;wsp:rsid wsp:val=&quot;00EB5308&quot;/&gt;&lt;wsp:rsid wsp:val=&quot;00EB5574&quot;/&gt;&lt;wsp:rsid wsp:val=&quot;00EB5952&quot;/&gt;&lt;wsp:rsid wsp:val=&quot;00EB5E97&quot;/&gt;&lt;wsp:rsid wsp:val=&quot;00EB5F41&quot;/&gt;&lt;wsp:rsid wsp:val=&quot;00EB61B5&quot;/&gt;&lt;wsp:rsid wsp:val=&quot;00EB695C&quot;/&gt;&lt;wsp:rsid wsp:val=&quot;00EB6B58&quot;/&gt;&lt;wsp:rsid wsp:val=&quot;00EB6C6B&quot;/&gt;&lt;wsp:rsid wsp:val=&quot;00EB7014&quot;/&gt;&lt;wsp:rsid wsp:val=&quot;00EB75CC&quot;/&gt;&lt;wsp:rsid wsp:val=&quot;00EB7C86&quot;/&gt;&lt;wsp:rsid wsp:val=&quot;00EB7D2C&quot;/&gt;&lt;wsp:rsid wsp:val=&quot;00EB7F86&quot;/&gt;&lt;wsp:rsid wsp:val=&quot;00EC02EE&quot;/&gt;&lt;wsp:rsid wsp:val=&quot;00EC071A&quot;/&gt;&lt;wsp:rsid wsp:val=&quot;00EC0732&quot;/&gt;&lt;wsp:rsid wsp:val=&quot;00EC091F&quot;/&gt;&lt;wsp:rsid wsp:val=&quot;00EC09F8&quot;/&gt;&lt;wsp:rsid wsp:val=&quot;00EC0A6E&quot;/&gt;&lt;wsp:rsid wsp:val=&quot;00EC0B71&quot;/&gt;&lt;wsp:rsid wsp:val=&quot;00EC0F0C&quot;/&gt;&lt;wsp:rsid wsp:val=&quot;00EC0FDA&quot;/&gt;&lt;wsp:rsid wsp:val=&quot;00EC101B&quot;/&gt;&lt;wsp:rsid wsp:val=&quot;00EC1047&quot;/&gt;&lt;wsp:rsid wsp:val=&quot;00EC143A&quot;/&gt;&lt;wsp:rsid wsp:val=&quot;00EC14DD&quot;/&gt;&lt;wsp:rsid wsp:val=&quot;00EC1756&quot;/&gt;&lt;wsp:rsid wsp:val=&quot;00EC17AD&quot;/&gt;&lt;wsp:rsid wsp:val=&quot;00EC18CA&quot;/&gt;&lt;wsp:rsid wsp:val=&quot;00EC1D96&quot;/&gt;&lt;wsp:rsid wsp:val=&quot;00EC200A&quot;/&gt;&lt;wsp:rsid wsp:val=&quot;00EC24B6&quot;/&gt;&lt;wsp:rsid wsp:val=&quot;00EC258A&quot;/&gt;&lt;wsp:rsid wsp:val=&quot;00EC2E68&quot;/&gt;&lt;wsp:rsid wsp:val=&quot;00EC30D2&quot;/&gt;&lt;wsp:rsid wsp:val=&quot;00EC3137&quot;/&gt;&lt;wsp:rsid wsp:val=&quot;00EC3281&quot;/&gt;&lt;wsp:rsid wsp:val=&quot;00EC3534&quot;/&gt;&lt;wsp:rsid wsp:val=&quot;00EC35E6&quot;/&gt;&lt;wsp:rsid wsp:val=&quot;00EC37A9&quot;/&gt;&lt;wsp:rsid wsp:val=&quot;00EC3917&quot;/&gt;&lt;wsp:rsid wsp:val=&quot;00EC3C86&quot;/&gt;&lt;wsp:rsid wsp:val=&quot;00EC3CDB&quot;/&gt;&lt;wsp:rsid wsp:val=&quot;00EC3E3A&quot;/&gt;&lt;wsp:rsid wsp:val=&quot;00EC3ED8&quot;/&gt;&lt;wsp:rsid wsp:val=&quot;00EC406A&quot;/&gt;&lt;wsp:rsid wsp:val=&quot;00EC41C0&quot;/&gt;&lt;wsp:rsid wsp:val=&quot;00EC4630&quot;/&gt;&lt;wsp:rsid wsp:val=&quot;00EC488F&quot;/&gt;&lt;wsp:rsid wsp:val=&quot;00EC4948&quot;/&gt;&lt;wsp:rsid wsp:val=&quot;00EC4D11&quot;/&gt;&lt;wsp:rsid wsp:val=&quot;00EC4E0A&quot;/&gt;&lt;wsp:rsid wsp:val=&quot;00EC4FCC&quot;/&gt;&lt;wsp:rsid wsp:val=&quot;00EC526C&quot;/&gt;&lt;wsp:rsid wsp:val=&quot;00EC5340&quot;/&gt;&lt;wsp:rsid wsp:val=&quot;00EC552C&quot;/&gt;&lt;wsp:rsid wsp:val=&quot;00EC5AF0&quot;/&gt;&lt;wsp:rsid wsp:val=&quot;00EC5CCD&quot;/&gt;&lt;wsp:rsid wsp:val=&quot;00EC620C&quot;/&gt;&lt;wsp:rsid wsp:val=&quot;00EC622D&quot;/&gt;&lt;wsp:rsid wsp:val=&quot;00EC64E5&quot;/&gt;&lt;wsp:rsid wsp:val=&quot;00EC65A3&quot;/&gt;&lt;wsp:rsid wsp:val=&quot;00EC67A3&quot;/&gt;&lt;wsp:rsid wsp:val=&quot;00EC6CE1&quot;/&gt;&lt;wsp:rsid wsp:val=&quot;00EC6EA9&quot;/&gt;&lt;wsp:rsid wsp:val=&quot;00EC79E7&quot;/&gt;&lt;wsp:rsid wsp:val=&quot;00EC7D0E&quot;/&gt;&lt;wsp:rsid wsp:val=&quot;00EC7D87&quot;/&gt;&lt;wsp:rsid wsp:val=&quot;00ED0029&quot;/&gt;&lt;wsp:rsid wsp:val=&quot;00ED066B&quot;/&gt;&lt;wsp:rsid wsp:val=&quot;00ED0719&quot;/&gt;&lt;wsp:rsid wsp:val=&quot;00ED0794&quot;/&gt;&lt;wsp:rsid wsp:val=&quot;00ED0AFD&quot;/&gt;&lt;wsp:rsid wsp:val=&quot;00ED0B6C&quot;/&gt;&lt;wsp:rsid wsp:val=&quot;00ED0CD1&quot;/&gt;&lt;wsp:rsid wsp:val=&quot;00ED0DDD&quot;/&gt;&lt;wsp:rsid wsp:val=&quot;00ED0F55&quot;/&gt;&lt;wsp:rsid wsp:val=&quot;00ED0F5F&quot;/&gt;&lt;wsp:rsid wsp:val=&quot;00ED1143&quot;/&gt;&lt;wsp:rsid wsp:val=&quot;00ED1564&quot;/&gt;&lt;wsp:rsid wsp:val=&quot;00ED15AC&quot;/&gt;&lt;wsp:rsid wsp:val=&quot;00ED1AE0&quot;/&gt;&lt;wsp:rsid wsp:val=&quot;00ED1DF6&quot;/&gt;&lt;wsp:rsid wsp:val=&quot;00ED1F02&quot;/&gt;&lt;wsp:rsid wsp:val=&quot;00ED2134&quot;/&gt;&lt;wsp:rsid wsp:val=&quot;00ED2159&quot;/&gt;&lt;wsp:rsid wsp:val=&quot;00ED2298&quot;/&gt;&lt;wsp:rsid wsp:val=&quot;00ED231B&quot;/&gt;&lt;wsp:rsid wsp:val=&quot;00ED25FC&quot;/&gt;&lt;wsp:rsid wsp:val=&quot;00ED2B29&quot;/&gt;&lt;wsp:rsid wsp:val=&quot;00ED2C74&quot;/&gt;&lt;wsp:rsid wsp:val=&quot;00ED2E32&quot;/&gt;&lt;wsp:rsid wsp:val=&quot;00ED2E52&quot;/&gt;&lt;wsp:rsid wsp:val=&quot;00ED3364&quot;/&gt;&lt;wsp:rsid wsp:val=&quot;00ED3396&quot;/&gt;&lt;wsp:rsid wsp:val=&quot;00ED3797&quot;/&gt;&lt;wsp:rsid wsp:val=&quot;00ED3B48&quot;/&gt;&lt;wsp:rsid wsp:val=&quot;00ED3B6A&quot;/&gt;&lt;wsp:rsid wsp:val=&quot;00ED3DEA&quot;/&gt;&lt;wsp:rsid wsp:val=&quot;00ED3EB7&quot;/&gt;&lt;wsp:rsid wsp:val=&quot;00ED3FEF&quot;/&gt;&lt;wsp:rsid wsp:val=&quot;00ED43FA&quot;/&gt;&lt;wsp:rsid wsp:val=&quot;00ED4533&quot;/&gt;&lt;wsp:rsid wsp:val=&quot;00ED47C1&quot;/&gt;&lt;wsp:rsid wsp:val=&quot;00ED4DC9&quot;/&gt;&lt;wsp:rsid wsp:val=&quot;00ED4E13&quot;/&gt;&lt;wsp:rsid wsp:val=&quot;00ED4F08&quot;/&gt;&lt;wsp:rsid wsp:val=&quot;00ED51BE&quot;/&gt;&lt;wsp:rsid wsp:val=&quot;00ED52CA&quot;/&gt;&lt;wsp:rsid wsp:val=&quot;00ED579A&quot;/&gt;&lt;wsp:rsid wsp:val=&quot;00ED5A99&quot;/&gt;&lt;wsp:rsid wsp:val=&quot;00ED5AE3&quot;/&gt;&lt;wsp:rsid wsp:val=&quot;00ED5BB9&quot;/&gt;&lt;wsp:rsid wsp:val=&quot;00ED5C3D&quot;/&gt;&lt;wsp:rsid wsp:val=&quot;00ED5EED&quot;/&gt;&lt;wsp:rsid wsp:val=&quot;00ED61F5&quot;/&gt;&lt;wsp:rsid wsp:val=&quot;00ED67B4&quot;/&gt;&lt;wsp:rsid wsp:val=&quot;00ED6891&quot;/&gt;&lt;wsp:rsid wsp:val=&quot;00ED6C1C&quot;/&gt;&lt;wsp:rsid wsp:val=&quot;00ED6CFC&quot;/&gt;&lt;wsp:rsid wsp:val=&quot;00ED6D05&quot;/&gt;&lt;wsp:rsid wsp:val=&quot;00ED6E4B&quot;/&gt;&lt;wsp:rsid wsp:val=&quot;00ED6E63&quot;/&gt;&lt;wsp:rsid wsp:val=&quot;00ED6F1F&quot;/&gt;&lt;wsp:rsid wsp:val=&quot;00ED7081&quot;/&gt;&lt;wsp:rsid wsp:val=&quot;00ED72EA&quot;/&gt;&lt;wsp:rsid wsp:val=&quot;00ED7429&quot;/&gt;&lt;wsp:rsid wsp:val=&quot;00ED746C&quot;/&gt;&lt;wsp:rsid wsp:val=&quot;00ED752E&quot;/&gt;&lt;wsp:rsid wsp:val=&quot;00ED768D&quot;/&gt;&lt;wsp:rsid wsp:val=&quot;00ED78B3&quot;/&gt;&lt;wsp:rsid wsp:val=&quot;00ED7B46&quot;/&gt;&lt;wsp:rsid wsp:val=&quot;00ED7F5C&quot;/&gt;&lt;wsp:rsid wsp:val=&quot;00EE0473&quot;/&gt;&lt;wsp:rsid wsp:val=&quot;00EE0741&quot;/&gt;&lt;wsp:rsid wsp:val=&quot;00EE0BC6&quot;/&gt;&lt;wsp:rsid wsp:val=&quot;00EE0CC6&quot;/&gt;&lt;wsp:rsid wsp:val=&quot;00EE0D23&quot;/&gt;&lt;wsp:rsid wsp:val=&quot;00EE0FDC&quot;/&gt;&lt;wsp:rsid wsp:val=&quot;00EE11A3&quot;/&gt;&lt;wsp:rsid wsp:val=&quot;00EE12A9&quot;/&gt;&lt;wsp:rsid wsp:val=&quot;00EE13A8&quot;/&gt;&lt;wsp:rsid wsp:val=&quot;00EE1A75&quot;/&gt;&lt;wsp:rsid wsp:val=&quot;00EE1B26&quot;/&gt;&lt;wsp:rsid wsp:val=&quot;00EE1B8A&quot;/&gt;&lt;wsp:rsid wsp:val=&quot;00EE1C2B&quot;/&gt;&lt;wsp:rsid wsp:val=&quot;00EE1DBA&quot;/&gt;&lt;wsp:rsid wsp:val=&quot;00EE1DDA&quot;/&gt;&lt;wsp:rsid wsp:val=&quot;00EE1E4B&quot;/&gt;&lt;wsp:rsid wsp:val=&quot;00EE2A21&quot;/&gt;&lt;wsp:rsid wsp:val=&quot;00EE2AB4&quot;/&gt;&lt;wsp:rsid wsp:val=&quot;00EE2B2B&quot;/&gt;&lt;wsp:rsid wsp:val=&quot;00EE2EC3&quot;/&gt;&lt;wsp:rsid wsp:val=&quot;00EE34BE&quot;/&gt;&lt;wsp:rsid wsp:val=&quot;00EE36AC&quot;/&gt;&lt;wsp:rsid wsp:val=&quot;00EE36B6&quot;/&gt;&lt;wsp:rsid wsp:val=&quot;00EE3A5B&quot;/&gt;&lt;wsp:rsid wsp:val=&quot;00EE3C15&quot;/&gt;&lt;wsp:rsid wsp:val=&quot;00EE3D9B&quot;/&gt;&lt;wsp:rsid wsp:val=&quot;00EE3DA1&quot;/&gt;&lt;wsp:rsid wsp:val=&quot;00EE3E5A&quot;/&gt;&lt;wsp:rsid wsp:val=&quot;00EE3F23&quot;/&gt;&lt;wsp:rsid wsp:val=&quot;00EE3FC6&quot;/&gt;&lt;wsp:rsid wsp:val=&quot;00EE4130&quot;/&gt;&lt;wsp:rsid wsp:val=&quot;00EE4E8A&quot;/&gt;&lt;wsp:rsid wsp:val=&quot;00EE4ED6&quot;/&gt;&lt;wsp:rsid wsp:val=&quot;00EE51E6&quot;/&gt;&lt;wsp:rsid wsp:val=&quot;00EE5306&quot;/&gt;&lt;wsp:rsid wsp:val=&quot;00EE54F2&quot;/&gt;&lt;wsp:rsid wsp:val=&quot;00EE56AE&quot;/&gt;&lt;wsp:rsid wsp:val=&quot;00EE58CC&quot;/&gt;&lt;wsp:rsid wsp:val=&quot;00EE5B93&quot;/&gt;&lt;wsp:rsid wsp:val=&quot;00EE5DA6&quot;/&gt;&lt;wsp:rsid wsp:val=&quot;00EE60C0&quot;/&gt;&lt;wsp:rsid wsp:val=&quot;00EE6132&quot;/&gt;&lt;wsp:rsid wsp:val=&quot;00EE65A3&quot;/&gt;&lt;wsp:rsid wsp:val=&quot;00EE65DF&quot;/&gt;&lt;wsp:rsid wsp:val=&quot;00EE6602&quot;/&gt;&lt;wsp:rsid wsp:val=&quot;00EE6775&quot;/&gt;&lt;wsp:rsid wsp:val=&quot;00EE688E&quot;/&gt;&lt;wsp:rsid wsp:val=&quot;00EE6C2F&quot;/&gt;&lt;wsp:rsid wsp:val=&quot;00EE6CC0&quot;/&gt;&lt;wsp:rsid wsp:val=&quot;00EE6D3C&quot;/&gt;&lt;wsp:rsid wsp:val=&quot;00EE6EE0&quot;/&gt;&lt;wsp:rsid wsp:val=&quot;00EE6FB9&quot;/&gt;&lt;wsp:rsid wsp:val=&quot;00EE7111&quot;/&gt;&lt;wsp:rsid wsp:val=&quot;00EE7140&quot;/&gt;&lt;wsp:rsid wsp:val=&quot;00EE71B6&quot;/&gt;&lt;wsp:rsid wsp:val=&quot;00EE727A&quot;/&gt;&lt;wsp:rsid wsp:val=&quot;00EE72C6&quot;/&gt;&lt;wsp:rsid wsp:val=&quot;00EE73AE&quot;/&gt;&lt;wsp:rsid wsp:val=&quot;00EE7474&quot;/&gt;&lt;wsp:rsid wsp:val=&quot;00EE769C&quot;/&gt;&lt;wsp:rsid wsp:val=&quot;00EE76EC&quot;/&gt;&lt;wsp:rsid wsp:val=&quot;00EE797A&quot;/&gt;&lt;wsp:rsid wsp:val=&quot;00EF006F&quot;/&gt;&lt;wsp:rsid wsp:val=&quot;00EF0137&quot;/&gt;&lt;wsp:rsid wsp:val=&quot;00EF01FE&quot;/&gt;&lt;wsp:rsid wsp:val=&quot;00EF0451&quot;/&gt;&lt;wsp:rsid wsp:val=&quot;00EF0500&quot;/&gt;&lt;wsp:rsid wsp:val=&quot;00EF0671&quot;/&gt;&lt;wsp:rsid wsp:val=&quot;00EF06C2&quot;/&gt;&lt;wsp:rsid wsp:val=&quot;00EF09DB&quot;/&gt;&lt;wsp:rsid wsp:val=&quot;00EF0B0A&quot;/&gt;&lt;wsp:rsid wsp:val=&quot;00EF0C12&quot;/&gt;&lt;wsp:rsid wsp:val=&quot;00EF0FB5&quot;/&gt;&lt;wsp:rsid wsp:val=&quot;00EF1325&quot;/&gt;&lt;wsp:rsid wsp:val=&quot;00EF139A&quot;/&gt;&lt;wsp:rsid wsp:val=&quot;00EF15E6&quot;/&gt;&lt;wsp:rsid wsp:val=&quot;00EF1956&quot;/&gt;&lt;wsp:rsid wsp:val=&quot;00EF1B30&quot;/&gt;&lt;wsp:rsid wsp:val=&quot;00EF1B31&quot;/&gt;&lt;wsp:rsid wsp:val=&quot;00EF2350&quot;/&gt;&lt;wsp:rsid wsp:val=&quot;00EF236B&quot;/&gt;&lt;wsp:rsid wsp:val=&quot;00EF252D&quot;/&gt;&lt;wsp:rsid wsp:val=&quot;00EF2913&quot;/&gt;&lt;wsp:rsid wsp:val=&quot;00EF298E&quot;/&gt;&lt;wsp:rsid wsp:val=&quot;00EF2C30&quot;/&gt;&lt;wsp:rsid wsp:val=&quot;00EF2C9B&quot;/&gt;&lt;wsp:rsid wsp:val=&quot;00EF2E2A&quot;/&gt;&lt;wsp:rsid wsp:val=&quot;00EF315C&quot;/&gt;&lt;wsp:rsid wsp:val=&quot;00EF3266&quot;/&gt;&lt;wsp:rsid wsp:val=&quot;00EF32B1&quot;/&gt;&lt;wsp:rsid wsp:val=&quot;00EF3357&quot;/&gt;&lt;wsp:rsid wsp:val=&quot;00EF34BD&quot;/&gt;&lt;wsp:rsid wsp:val=&quot;00EF3CA6&quot;/&gt;&lt;wsp:rsid wsp:val=&quot;00EF4063&quot;/&gt;&lt;wsp:rsid wsp:val=&quot;00EF4193&quot;/&gt;&lt;wsp:rsid wsp:val=&quot;00EF424F&quot;/&gt;&lt;wsp:rsid wsp:val=&quot;00EF42A9&quot;/&gt;&lt;wsp:rsid wsp:val=&quot;00EF4518&quot;/&gt;&lt;wsp:rsid wsp:val=&quot;00EF460E&quot;/&gt;&lt;wsp:rsid wsp:val=&quot;00EF48D6&quot;/&gt;&lt;wsp:rsid wsp:val=&quot;00EF4908&quot;/&gt;&lt;wsp:rsid wsp:val=&quot;00EF4BA4&quot;/&gt;&lt;wsp:rsid wsp:val=&quot;00EF4D69&quot;/&gt;&lt;wsp:rsid wsp:val=&quot;00EF4DF2&quot;/&gt;&lt;wsp:rsid wsp:val=&quot;00EF5240&quot;/&gt;&lt;wsp:rsid wsp:val=&quot;00EF5355&quot;/&gt;&lt;wsp:rsid wsp:val=&quot;00EF5383&quot;/&gt;&lt;wsp:rsid wsp:val=&quot;00EF5547&quot;/&gt;&lt;wsp:rsid wsp:val=&quot;00EF56E8&quot;/&gt;&lt;wsp:rsid wsp:val=&quot;00EF65CD&quot;/&gt;&lt;wsp:rsid wsp:val=&quot;00EF6601&quot;/&gt;&lt;wsp:rsid wsp:val=&quot;00EF66A0&quot;/&gt;&lt;wsp:rsid wsp:val=&quot;00EF69D1&quot;/&gt;&lt;wsp:rsid wsp:val=&quot;00EF6A73&quot;/&gt;&lt;wsp:rsid wsp:val=&quot;00EF6DA2&quot;/&gt;&lt;wsp:rsid wsp:val=&quot;00EF70A7&quot;/&gt;&lt;wsp:rsid wsp:val=&quot;00EF73A4&quot;/&gt;&lt;wsp:rsid wsp:val=&quot;00EF73C1&quot;/&gt;&lt;wsp:rsid wsp:val=&quot;00EF76E6&quot;/&gt;&lt;wsp:rsid wsp:val=&quot;00EF7ADF&quot;/&gt;&lt;wsp:rsid wsp:val=&quot;00EF7CCC&quot;/&gt;&lt;wsp:rsid wsp:val=&quot;00EF7DAB&quot;/&gt;&lt;wsp:rsid wsp:val=&quot;00EF7E63&quot;/&gt;&lt;wsp:rsid wsp:val=&quot;00EF7EDB&quot;/&gt;&lt;wsp:rsid wsp:val=&quot;00F00095&quot;/&gt;&lt;wsp:rsid wsp:val=&quot;00F000B7&quot;/&gt;&lt;wsp:rsid wsp:val=&quot;00F00231&quot;/&gt;&lt;wsp:rsid wsp:val=&quot;00F00278&quot;/&gt;&lt;wsp:rsid wsp:val=&quot;00F002FB&quot;/&gt;&lt;wsp:rsid wsp:val=&quot;00F003E8&quot;/&gt;&lt;wsp:rsid wsp:val=&quot;00F006F9&quot;/&gt;&lt;wsp:rsid wsp:val=&quot;00F00F5D&quot;/&gt;&lt;wsp:rsid wsp:val=&quot;00F00FF4&quot;/&gt;&lt;wsp:rsid wsp:val=&quot;00F01024&quot;/&gt;&lt;wsp:rsid wsp:val=&quot;00F015B2&quot;/&gt;&lt;wsp:rsid wsp:val=&quot;00F01C57&quot;/&gt;&lt;wsp:rsid wsp:val=&quot;00F0218D&quot;/&gt;&lt;wsp:rsid wsp:val=&quot;00F023E7&quot;/&gt;&lt;wsp:rsid wsp:val=&quot;00F02618&quot;/&gt;&lt;wsp:rsid wsp:val=&quot;00F02749&quot;/&gt;&lt;wsp:rsid wsp:val=&quot;00F02928&quot;/&gt;&lt;wsp:rsid wsp:val=&quot;00F02C8A&quot;/&gt;&lt;wsp:rsid wsp:val=&quot;00F02DBA&quot;/&gt;&lt;wsp:rsid wsp:val=&quot;00F02F06&quot;/&gt;&lt;wsp:rsid wsp:val=&quot;00F03345&quot;/&gt;&lt;wsp:rsid wsp:val=&quot;00F033B2&quot;/&gt;&lt;wsp:rsid wsp:val=&quot;00F0383F&quot;/&gt;&lt;wsp:rsid wsp:val=&quot;00F03B5F&quot;/&gt;&lt;wsp:rsid wsp:val=&quot;00F0407D&quot;/&gt;&lt;wsp:rsid wsp:val=&quot;00F04705&quot;/&gt;&lt;wsp:rsid wsp:val=&quot;00F04FFA&quot;/&gt;&lt;wsp:rsid wsp:val=&quot;00F0508A&quot;/&gt;&lt;wsp:rsid wsp:val=&quot;00F051A5&quot;/&gt;&lt;wsp:rsid wsp:val=&quot;00F05295&quot;/&gt;&lt;wsp:rsid wsp:val=&quot;00F05353&quot;/&gt;&lt;wsp:rsid wsp:val=&quot;00F05366&quot;/&gt;&lt;wsp:rsid wsp:val=&quot;00F054DE&quot;/&gt;&lt;wsp:rsid wsp:val=&quot;00F0558D&quot;/&gt;&lt;wsp:rsid wsp:val=&quot;00F05609&quot;/&gt;&lt;wsp:rsid wsp:val=&quot;00F05A7F&quot;/&gt;&lt;wsp:rsid wsp:val=&quot;00F05E38&quot;/&gt;&lt;wsp:rsid wsp:val=&quot;00F06327&quot;/&gt;&lt;wsp:rsid wsp:val=&quot;00F064B4&quot;/&gt;&lt;wsp:rsid wsp:val=&quot;00F064D0&quot;/&gt;&lt;wsp:rsid wsp:val=&quot;00F0663C&quot;/&gt;&lt;wsp:rsid wsp:val=&quot;00F06C8D&quot;/&gt;&lt;wsp:rsid wsp:val=&quot;00F06EC5&quot;/&gt;&lt;wsp:rsid wsp:val=&quot;00F071F1&quot;/&gt;&lt;wsp:rsid wsp:val=&quot;00F07215&quot;/&gt;&lt;wsp:rsid wsp:val=&quot;00F077B3&quot;/&gt;&lt;wsp:rsid wsp:val=&quot;00F07B5D&quot;/&gt;&lt;wsp:rsid wsp:val=&quot;00F07E5C&quot;/&gt;&lt;wsp:rsid wsp:val=&quot;00F102B1&quot;/&gt;&lt;wsp:rsid wsp:val=&quot;00F1032A&quot;/&gt;&lt;wsp:rsid wsp:val=&quot;00F1080D&quot;/&gt;&lt;wsp:rsid wsp:val=&quot;00F1131B&quot;/&gt;&lt;wsp:rsid wsp:val=&quot;00F11959&quot;/&gt;&lt;wsp:rsid wsp:val=&quot;00F11BEA&quot;/&gt;&lt;wsp:rsid wsp:val=&quot;00F11E99&quot;/&gt;&lt;wsp:rsid wsp:val=&quot;00F11F90&quot;/&gt;&lt;wsp:rsid wsp:val=&quot;00F120EC&quot;/&gt;&lt;wsp:rsid wsp:val=&quot;00F122F0&quot;/&gt;&lt;wsp:rsid wsp:val=&quot;00F1230D&quot;/&gt;&lt;wsp:rsid wsp:val=&quot;00F1243B&quot;/&gt;&lt;wsp:rsid wsp:val=&quot;00F124C2&quot;/&gt;&lt;wsp:rsid wsp:val=&quot;00F12708&quot;/&gt;&lt;wsp:rsid wsp:val=&quot;00F1291E&quot;/&gt;&lt;wsp:rsid wsp:val=&quot;00F12A6D&quot;/&gt;&lt;wsp:rsid wsp:val=&quot;00F12CBD&quot;/&gt;&lt;wsp:rsid wsp:val=&quot;00F12D4C&quot;/&gt;&lt;wsp:rsid wsp:val=&quot;00F12FBC&quot;/&gt;&lt;wsp:rsid wsp:val=&quot;00F131D6&quot;/&gt;&lt;wsp:rsid wsp:val=&quot;00F13947&quot;/&gt;&lt;wsp:rsid wsp:val=&quot;00F139F8&quot;/&gt;&lt;wsp:rsid wsp:val=&quot;00F13BD7&quot;/&gt;&lt;wsp:rsid wsp:val=&quot;00F13C15&quot;/&gt;&lt;wsp:rsid wsp:val=&quot;00F13F0F&quot;/&gt;&lt;wsp:rsid wsp:val=&quot;00F14728&quot;/&gt;&lt;wsp:rsid wsp:val=&quot;00F147C3&quot;/&gt;&lt;wsp:rsid wsp:val=&quot;00F14BBB&quot;/&gt;&lt;wsp:rsid wsp:val=&quot;00F14BC2&quot;/&gt;&lt;wsp:rsid wsp:val=&quot;00F15234&quot;/&gt;&lt;wsp:rsid wsp:val=&quot;00F1524D&quot;/&gt;&lt;wsp:rsid wsp:val=&quot;00F157FE&quot;/&gt;&lt;wsp:rsid wsp:val=&quot;00F158F6&quot;/&gt;&lt;wsp:rsid wsp:val=&quot;00F15B31&quot;/&gt;&lt;wsp:rsid wsp:val=&quot;00F15B9F&quot;/&gt;&lt;wsp:rsid wsp:val=&quot;00F15DD8&quot;/&gt;&lt;wsp:rsid wsp:val=&quot;00F161CB&quot;/&gt;&lt;wsp:rsid wsp:val=&quot;00F16634&quot;/&gt;&lt;wsp:rsid wsp:val=&quot;00F16855&quot;/&gt;&lt;wsp:rsid wsp:val=&quot;00F17972&quot;/&gt;&lt;wsp:rsid wsp:val=&quot;00F17BFC&quot;/&gt;&lt;wsp:rsid wsp:val=&quot;00F17D45&quot;/&gt;&lt;wsp:rsid wsp:val=&quot;00F17EBE&quot;/&gt;&lt;wsp:rsid wsp:val=&quot;00F201FC&quot;/&gt;&lt;wsp:rsid wsp:val=&quot;00F2066B&quot;/&gt;&lt;wsp:rsid wsp:val=&quot;00F206B9&quot;/&gt;&lt;wsp:rsid wsp:val=&quot;00F206E8&quot;/&gt;&lt;wsp:rsid wsp:val=&quot;00F208FF&quot;/&gt;&lt;wsp:rsid wsp:val=&quot;00F20A9F&quot;/&gt;&lt;wsp:rsid wsp:val=&quot;00F20B55&quot;/&gt;&lt;wsp:rsid wsp:val=&quot;00F20C09&quot;/&gt;&lt;wsp:rsid wsp:val=&quot;00F2126C&quot;/&gt;&lt;wsp:rsid wsp:val=&quot;00F213EA&quot;/&gt;&lt;wsp:rsid wsp:val=&quot;00F213FB&quot;/&gt;&lt;wsp:rsid wsp:val=&quot;00F215E8&quot;/&gt;&lt;wsp:rsid wsp:val=&quot;00F2189B&quot;/&gt;&lt;wsp:rsid wsp:val=&quot;00F21A57&quot;/&gt;&lt;wsp:rsid wsp:val=&quot;00F2205F&quot;/&gt;&lt;wsp:rsid wsp:val=&quot;00F2243D&quot;/&gt;&lt;wsp:rsid wsp:val=&quot;00F22779&quot;/&gt;&lt;wsp:rsid wsp:val=&quot;00F2279E&quot;/&gt;&lt;wsp:rsid wsp:val=&quot;00F22824&quot;/&gt;&lt;wsp:rsid wsp:val=&quot;00F22BA8&quot;/&gt;&lt;wsp:rsid wsp:val=&quot;00F22D84&quot;/&gt;&lt;wsp:rsid wsp:val=&quot;00F23289&quot;/&gt;&lt;wsp:rsid wsp:val=&quot;00F2349C&quot;/&gt;&lt;wsp:rsid wsp:val=&quot;00F2353D&quot;/&gt;&lt;wsp:rsid wsp:val=&quot;00F236C2&quot;/&gt;&lt;wsp:rsid wsp:val=&quot;00F23724&quot;/&gt;&lt;wsp:rsid wsp:val=&quot;00F23777&quot;/&gt;&lt;wsp:rsid wsp:val=&quot;00F23B41&quot;/&gt;&lt;wsp:rsid wsp:val=&quot;00F242C2&quot;/&gt;&lt;wsp:rsid wsp:val=&quot;00F248C5&quot;/&gt;&lt;wsp:rsid wsp:val=&quot;00F249F4&quot;/&gt;&lt;wsp:rsid wsp:val=&quot;00F24BC4&quot;/&gt;&lt;wsp:rsid wsp:val=&quot;00F24C48&quot;/&gt;&lt;wsp:rsid wsp:val=&quot;00F24DB8&quot;/&gt;&lt;wsp:rsid wsp:val=&quot;00F24DEC&quot;/&gt;&lt;wsp:rsid wsp:val=&quot;00F2503D&quot;/&gt;&lt;wsp:rsid wsp:val=&quot;00F251D3&quot;/&gt;&lt;wsp:rsid wsp:val=&quot;00F2546D&quot;/&gt;&lt;wsp:rsid wsp:val=&quot;00F259AA&quot;/&gt;&lt;wsp:rsid wsp:val=&quot;00F2608B&quot;/&gt;&lt;wsp:rsid wsp:val=&quot;00F2614F&quot;/&gt;&lt;wsp:rsid wsp:val=&quot;00F262F3&quot;/&gt;&lt;wsp:rsid wsp:val=&quot;00F263A7&quot;/&gt;&lt;wsp:rsid wsp:val=&quot;00F265AB&quot;/&gt;&lt;wsp:rsid wsp:val=&quot;00F2665F&quot;/&gt;&lt;wsp:rsid wsp:val=&quot;00F26B1E&quot;/&gt;&lt;wsp:rsid wsp:val=&quot;00F26E41&quot;/&gt;&lt;wsp:rsid wsp:val=&quot;00F26E93&quot;/&gt;&lt;wsp:rsid wsp:val=&quot;00F26F3B&quot;/&gt;&lt;wsp:rsid wsp:val=&quot;00F26F6C&quot;/&gt;&lt;wsp:rsid wsp:val=&quot;00F26F71&quot;/&gt;&lt;wsp:rsid wsp:val=&quot;00F26FA0&quot;/&gt;&lt;wsp:rsid wsp:val=&quot;00F27128&quot;/&gt;&lt;wsp:rsid wsp:val=&quot;00F271E3&quot;/&gt;&lt;wsp:rsid wsp:val=&quot;00F272EE&quot;/&gt;&lt;wsp:rsid wsp:val=&quot;00F273F1&quot;/&gt;&lt;wsp:rsid wsp:val=&quot;00F273FA&quot;/&gt;&lt;wsp:rsid wsp:val=&quot;00F27564&quot;/&gt;&lt;wsp:rsid wsp:val=&quot;00F278AB&quot;/&gt;&lt;wsp:rsid wsp:val=&quot;00F27A12&quot;/&gt;&lt;wsp:rsid wsp:val=&quot;00F27C1C&quot;/&gt;&lt;wsp:rsid wsp:val=&quot;00F27D03&quot;/&gt;&lt;wsp:rsid wsp:val=&quot;00F300E0&quot;/&gt;&lt;wsp:rsid wsp:val=&quot;00F3047B&quot;/&gt;&lt;wsp:rsid wsp:val=&quot;00F3055B&quot;/&gt;&lt;wsp:rsid wsp:val=&quot;00F3097E&quot;/&gt;&lt;wsp:rsid wsp:val=&quot;00F309E1&quot;/&gt;&lt;wsp:rsid wsp:val=&quot;00F30BDD&quot;/&gt;&lt;wsp:rsid wsp:val=&quot;00F30D75&quot;/&gt;&lt;wsp:rsid wsp:val=&quot;00F30EF5&quot;/&gt;&lt;wsp:rsid wsp:val=&quot;00F310D2&quot;/&gt;&lt;wsp:rsid wsp:val=&quot;00F31797&quot;/&gt;&lt;wsp:rsid wsp:val=&quot;00F317CF&quot;/&gt;&lt;wsp:rsid wsp:val=&quot;00F31835&quot;/&gt;&lt;wsp:rsid wsp:val=&quot;00F3192D&quot;/&gt;&lt;wsp:rsid wsp:val=&quot;00F31987&quot;/&gt;&lt;wsp:rsid wsp:val=&quot;00F31A39&quot;/&gt;&lt;wsp:rsid wsp:val=&quot;00F31E3F&quot;/&gt;&lt;wsp:rsid wsp:val=&quot;00F32009&quot;/&gt;&lt;wsp:rsid wsp:val=&quot;00F32241&quot;/&gt;&lt;wsp:rsid wsp:val=&quot;00F323E2&quot;/&gt;&lt;wsp:rsid wsp:val=&quot;00F32C34&quot;/&gt;&lt;wsp:rsid wsp:val=&quot;00F32D60&quot;/&gt;&lt;wsp:rsid wsp:val=&quot;00F332CF&quot;/&gt;&lt;wsp:rsid wsp:val=&quot;00F33337&quot;/&gt;&lt;wsp:rsid wsp:val=&quot;00F33422&quot;/&gt;&lt;wsp:rsid wsp:val=&quot;00F33A63&quot;/&gt;&lt;wsp:rsid wsp:val=&quot;00F33E98&quot;/&gt;&lt;wsp:rsid wsp:val=&quot;00F3420A&quot;/&gt;&lt;wsp:rsid wsp:val=&quot;00F34240&quot;/&gt;&lt;wsp:rsid wsp:val=&quot;00F34335&quot;/&gt;&lt;wsp:rsid wsp:val=&quot;00F3479B&quot;/&gt;&lt;wsp:rsid wsp:val=&quot;00F349B9&quot;/&gt;&lt;wsp:rsid wsp:val=&quot;00F34D8E&quot;/&gt;&lt;wsp:rsid wsp:val=&quot;00F34EF5&quot;/&gt;&lt;wsp:rsid wsp:val=&quot;00F34FA8&quot;/&gt;&lt;wsp:rsid wsp:val=&quot;00F34FFC&quot;/&gt;&lt;wsp:rsid wsp:val=&quot;00F3529B&quot;/&gt;&lt;wsp:rsid wsp:val=&quot;00F352C8&quot;/&gt;&lt;wsp:rsid wsp:val=&quot;00F357CF&quot;/&gt;&lt;wsp:rsid wsp:val=&quot;00F358C5&quot;/&gt;&lt;wsp:rsid wsp:val=&quot;00F359D9&quot;/&gt;&lt;wsp:rsid wsp:val=&quot;00F35A79&quot;/&gt;&lt;wsp:rsid wsp:val=&quot;00F35B35&quot;/&gt;&lt;wsp:rsid wsp:val=&quot;00F3635C&quot;/&gt;&lt;wsp:rsid wsp:val=&quot;00F363EE&quot;/&gt;&lt;wsp:rsid wsp:val=&quot;00F3642C&quot;/&gt;&lt;wsp:rsid wsp:val=&quot;00F365FB&quot;/&gt;&lt;wsp:rsid wsp:val=&quot;00F36688&quot;/&gt;&lt;wsp:rsid wsp:val=&quot;00F36E15&quot;/&gt;&lt;wsp:rsid wsp:val=&quot;00F370A2&quot;/&gt;&lt;wsp:rsid wsp:val=&quot;00F37109&quot;/&gt;&lt;wsp:rsid wsp:val=&quot;00F3730B&quot;/&gt;&lt;wsp:rsid wsp:val=&quot;00F37469&quot;/&gt;&lt;wsp:rsid wsp:val=&quot;00F3783E&quot;/&gt;&lt;wsp:rsid wsp:val=&quot;00F3796F&quot;/&gt;&lt;wsp:rsid wsp:val=&quot;00F402EF&quot;/&gt;&lt;wsp:rsid wsp:val=&quot;00F408C5&quot;/&gt;&lt;wsp:rsid wsp:val=&quot;00F40A8B&quot;/&gt;&lt;wsp:rsid wsp:val=&quot;00F40BB9&quot;/&gt;&lt;wsp:rsid wsp:val=&quot;00F4187A&quot;/&gt;&lt;wsp:rsid wsp:val=&quot;00F419D3&quot;/&gt;&lt;wsp:rsid wsp:val=&quot;00F419FB&quot;/&gt;&lt;wsp:rsid wsp:val=&quot;00F41CDF&quot;/&gt;&lt;wsp:rsid wsp:val=&quot;00F41CF9&quot;/&gt;&lt;wsp:rsid wsp:val=&quot;00F4245E&quot;/&gt;&lt;wsp:rsid wsp:val=&quot;00F4267E&quot;/&gt;&lt;wsp:rsid wsp:val=&quot;00F426F7&quot;/&gt;&lt;wsp:rsid wsp:val=&quot;00F4273E&quot;/&gt;&lt;wsp:rsid wsp:val=&quot;00F42A68&quot;/&gt;&lt;wsp:rsid wsp:val=&quot;00F42CF4&quot;/&gt;&lt;wsp:rsid wsp:val=&quot;00F42E66&quot;/&gt;&lt;wsp:rsid wsp:val=&quot;00F42E79&quot;/&gt;&lt;wsp:rsid wsp:val=&quot;00F42F10&quot;/&gt;&lt;wsp:rsid wsp:val=&quot;00F433B5&quot;/&gt;&lt;wsp:rsid wsp:val=&quot;00F434BA&quot;/&gt;&lt;wsp:rsid wsp:val=&quot;00F43545&quot;/&gt;&lt;wsp:rsid wsp:val=&quot;00F43598&quot;/&gt;&lt;wsp:rsid wsp:val=&quot;00F43999&quot;/&gt;&lt;wsp:rsid wsp:val=&quot;00F43EF8&quot;/&gt;&lt;wsp:rsid wsp:val=&quot;00F44220&quot;/&gt;&lt;wsp:rsid wsp:val=&quot;00F44358&quot;/&gt;&lt;wsp:rsid wsp:val=&quot;00F44461&quot;/&gt;&lt;wsp:rsid wsp:val=&quot;00F4449E&quot;/&gt;&lt;wsp:rsid wsp:val=&quot;00F449B0&quot;/&gt;&lt;wsp:rsid wsp:val=&quot;00F44C98&quot;/&gt;&lt;wsp:rsid wsp:val=&quot;00F44EC9&quot;/&gt;&lt;wsp:rsid wsp:val=&quot;00F44F47&quot;/&gt;&lt;wsp:rsid wsp:val=&quot;00F4531D&quot;/&gt;&lt;wsp:rsid wsp:val=&quot;00F45671&quot;/&gt;&lt;wsp:rsid wsp:val=&quot;00F45990&quot;/&gt;&lt;wsp:rsid wsp:val=&quot;00F459A5&quot;/&gt;&lt;wsp:rsid wsp:val=&quot;00F45A65&quot;/&gt;&lt;wsp:rsid wsp:val=&quot;00F45D87&quot;/&gt;&lt;wsp:rsid wsp:val=&quot;00F460ED&quot;/&gt;&lt;wsp:rsid wsp:val=&quot;00F4659E&quot;/&gt;&lt;wsp:rsid wsp:val=&quot;00F46727&quot;/&gt;&lt;wsp:rsid wsp:val=&quot;00F46BBB&quot;/&gt;&lt;wsp:rsid wsp:val=&quot;00F46D7A&quot;/&gt;&lt;wsp:rsid wsp:val=&quot;00F46DC9&quot;/&gt;&lt;wsp:rsid wsp:val=&quot;00F46E1A&quot;/&gt;&lt;wsp:rsid wsp:val=&quot;00F470C7&quot;/&gt;&lt;wsp:rsid wsp:val=&quot;00F470D6&quot;/&gt;&lt;wsp:rsid wsp:val=&quot;00F4778D&quot;/&gt;&lt;wsp:rsid wsp:val=&quot;00F47963&quot;/&gt;&lt;wsp:rsid wsp:val=&quot;00F47B85&quot;/&gt;&lt;wsp:rsid wsp:val=&quot;00F50278&quot;/&gt;&lt;wsp:rsid wsp:val=&quot;00F503F4&quot;/&gt;&lt;wsp:rsid wsp:val=&quot;00F5048F&quot;/&gt;&lt;wsp:rsid wsp:val=&quot;00F507F5&quot;/&gt;&lt;wsp:rsid wsp:val=&quot;00F50AD5&quot;/&gt;&lt;wsp:rsid wsp:val=&quot;00F50B35&quot;/&gt;&lt;wsp:rsid wsp:val=&quot;00F50D30&quot;/&gt;&lt;wsp:rsid wsp:val=&quot;00F50F2B&quot;/&gt;&lt;wsp:rsid wsp:val=&quot;00F50FCF&quot;/&gt;&lt;wsp:rsid wsp:val=&quot;00F511AC&quot;/&gt;&lt;wsp:rsid wsp:val=&quot;00F51405&quot;/&gt;&lt;wsp:rsid wsp:val=&quot;00F51674&quot;/&gt;&lt;wsp:rsid wsp:val=&quot;00F516CA&quot;/&gt;&lt;wsp:rsid wsp:val=&quot;00F51949&quot;/&gt;&lt;wsp:rsid wsp:val=&quot;00F51A36&quot;/&gt;&lt;wsp:rsid wsp:val=&quot;00F51AD5&quot;/&gt;&lt;wsp:rsid wsp:val=&quot;00F51BAA&quot;/&gt;&lt;wsp:rsid wsp:val=&quot;00F51D33&quot;/&gt;&lt;wsp:rsid wsp:val=&quot;00F51DA9&quot;/&gt;&lt;wsp:rsid wsp:val=&quot;00F51E0A&quot;/&gt;&lt;wsp:rsid wsp:val=&quot;00F5221F&quot;/&gt;&lt;wsp:rsid wsp:val=&quot;00F523BB&quot;/&gt;&lt;wsp:rsid wsp:val=&quot;00F5252E&quot;/&gt;&lt;wsp:rsid wsp:val=&quot;00F52540&quot;/&gt;&lt;wsp:rsid wsp:val=&quot;00F528E2&quot;/&gt;&lt;wsp:rsid wsp:val=&quot;00F52A75&quot;/&gt;&lt;wsp:rsid wsp:val=&quot;00F52AE4&quot;/&gt;&lt;wsp:rsid wsp:val=&quot;00F52CAE&quot;/&gt;&lt;wsp:rsid wsp:val=&quot;00F52EE0&quot;/&gt;&lt;wsp:rsid wsp:val=&quot;00F5309B&quot;/&gt;&lt;wsp:rsid wsp:val=&quot;00F53475&quot;/&gt;&lt;wsp:rsid wsp:val=&quot;00F53D1C&quot;/&gt;&lt;wsp:rsid wsp:val=&quot;00F53E7E&quot;/&gt;&lt;wsp:rsid wsp:val=&quot;00F54372&quot;/&gt;&lt;wsp:rsid wsp:val=&quot;00F543AE&quot;/&gt;&lt;wsp:rsid wsp:val=&quot;00F548A5&quot;/&gt;&lt;wsp:rsid wsp:val=&quot;00F54DE9&quot;/&gt;&lt;wsp:rsid wsp:val=&quot;00F55050&quot;/&gt;&lt;wsp:rsid wsp:val=&quot;00F551C3&quot;/&gt;&lt;wsp:rsid wsp:val=&quot;00F551F9&quot;/&gt;&lt;wsp:rsid wsp:val=&quot;00F559BD&quot;/&gt;&lt;wsp:rsid wsp:val=&quot;00F55A87&quot;/&gt;&lt;wsp:rsid wsp:val=&quot;00F55BE4&quot;/&gt;&lt;wsp:rsid wsp:val=&quot;00F55E83&quot;/&gt;&lt;wsp:rsid wsp:val=&quot;00F56589&quot;/&gt;&lt;wsp:rsid wsp:val=&quot;00F566CF&quot;/&gt;&lt;wsp:rsid wsp:val=&quot;00F56AD1&quot;/&gt;&lt;wsp:rsid wsp:val=&quot;00F56B73&quot;/&gt;&lt;wsp:rsid wsp:val=&quot;00F56EB2&quot;/&gt;&lt;wsp:rsid wsp:val=&quot;00F56F1A&quot;/&gt;&lt;wsp:rsid wsp:val=&quot;00F57349&quot;/&gt;&lt;wsp:rsid wsp:val=&quot;00F57431&quot;/&gt;&lt;wsp:rsid wsp:val=&quot;00F5761C&quot;/&gt;&lt;wsp:rsid wsp:val=&quot;00F577A5&quot;/&gt;&lt;wsp:rsid wsp:val=&quot;00F578D0&quot;/&gt;&lt;wsp:rsid wsp:val=&quot;00F57D61&quot;/&gt;&lt;wsp:rsid wsp:val=&quot;00F60238&quot;/&gt;&lt;wsp:rsid wsp:val=&quot;00F6033B&quot;/&gt;&lt;wsp:rsid wsp:val=&quot;00F6050B&quot;/&gt;&lt;wsp:rsid wsp:val=&quot;00F6073D&quot;/&gt;&lt;wsp:rsid wsp:val=&quot;00F60B99&quot;/&gt;&lt;wsp:rsid wsp:val=&quot;00F60D57&quot;/&gt;&lt;wsp:rsid wsp:val=&quot;00F60DE7&quot;/&gt;&lt;wsp:rsid wsp:val=&quot;00F61049&quot;/&gt;&lt;wsp:rsid wsp:val=&quot;00F6130A&quot;/&gt;&lt;wsp:rsid wsp:val=&quot;00F6154F&quot;/&gt;&lt;wsp:rsid wsp:val=&quot;00F618E3&quot;/&gt;&lt;wsp:rsid wsp:val=&quot;00F61B76&quot;/&gt;&lt;wsp:rsid wsp:val=&quot;00F61CCB&quot;/&gt;&lt;wsp:rsid wsp:val=&quot;00F61CE5&quot;/&gt;&lt;wsp:rsid wsp:val=&quot;00F61D93&quot;/&gt;&lt;wsp:rsid wsp:val=&quot;00F61EF0&quot;/&gt;&lt;wsp:rsid wsp:val=&quot;00F625B6&quot;/&gt;&lt;wsp:rsid wsp:val=&quot;00F62694&quot;/&gt;&lt;wsp:rsid wsp:val=&quot;00F6277C&quot;/&gt;&lt;wsp:rsid wsp:val=&quot;00F62859&quot;/&gt;&lt;wsp:rsid wsp:val=&quot;00F62A70&quot;/&gt;&lt;wsp:rsid wsp:val=&quot;00F62ABF&quot;/&gt;&lt;wsp:rsid wsp:val=&quot;00F62B05&quot;/&gt;&lt;wsp:rsid wsp:val=&quot;00F62BE2&quot;/&gt;&lt;wsp:rsid wsp:val=&quot;00F63118&quot;/&gt;&lt;wsp:rsid wsp:val=&quot;00F63198&quot;/&gt;&lt;wsp:rsid wsp:val=&quot;00F63E15&quot;/&gt;&lt;wsp:rsid wsp:val=&quot;00F63E2E&quot;/&gt;&lt;wsp:rsid wsp:val=&quot;00F643A7&quot;/&gt;&lt;wsp:rsid wsp:val=&quot;00F645B4&quot;/&gt;&lt;wsp:rsid wsp:val=&quot;00F64ED0&quot;/&gt;&lt;wsp:rsid wsp:val=&quot;00F64FCF&quot;/&gt;&lt;wsp:rsid wsp:val=&quot;00F65339&quot;/&gt;&lt;wsp:rsid wsp:val=&quot;00F6558F&quot;/&gt;&lt;wsp:rsid wsp:val=&quot;00F658D9&quot;/&gt;&lt;wsp:rsid wsp:val=&quot;00F65B0D&quot;/&gt;&lt;wsp:rsid wsp:val=&quot;00F65CD3&quot;/&gt;&lt;wsp:rsid wsp:val=&quot;00F65CE7&quot;/&gt;&lt;wsp:rsid wsp:val=&quot;00F6645E&quot;/&gt;&lt;wsp:rsid wsp:val=&quot;00F664B6&quot;/&gt;&lt;wsp:rsid wsp:val=&quot;00F664E1&quot;/&gt;&lt;wsp:rsid wsp:val=&quot;00F66598&quot;/&gt;&lt;wsp:rsid wsp:val=&quot;00F665AC&quot;/&gt;&lt;wsp:rsid wsp:val=&quot;00F666C9&quot;/&gt;&lt;wsp:rsid wsp:val=&quot;00F66A3F&quot;/&gt;&lt;wsp:rsid wsp:val=&quot;00F66B97&quot;/&gt;&lt;wsp:rsid wsp:val=&quot;00F66BFB&quot;/&gt;&lt;wsp:rsid wsp:val=&quot;00F66E19&quot;/&gt;&lt;wsp:rsid wsp:val=&quot;00F66E26&quot;/&gt;&lt;wsp:rsid wsp:val=&quot;00F66F68&quot;/&gt;&lt;wsp:rsid wsp:val=&quot;00F67096&quot;/&gt;&lt;wsp:rsid wsp:val=&quot;00F67515&quot;/&gt;&lt;wsp:rsid wsp:val=&quot;00F6775D&quot;/&gt;&lt;wsp:rsid wsp:val=&quot;00F677F3&quot;/&gt;&lt;wsp:rsid wsp:val=&quot;00F67DA5&quot;/&gt;&lt;wsp:rsid wsp:val=&quot;00F67E65&quot;/&gt;&lt;wsp:rsid wsp:val=&quot;00F67FBB&quot;/&gt;&lt;wsp:rsid wsp:val=&quot;00F70011&quot;/&gt;&lt;wsp:rsid wsp:val=&quot;00F7082B&quot;/&gt;&lt;wsp:rsid wsp:val=&quot;00F70A43&quot;/&gt;&lt;wsp:rsid wsp:val=&quot;00F70A49&quot;/&gt;&lt;wsp:rsid wsp:val=&quot;00F70A65&quot;/&gt;&lt;wsp:rsid wsp:val=&quot;00F713D6&quot;/&gt;&lt;wsp:rsid wsp:val=&quot;00F717EB&quot;/&gt;&lt;wsp:rsid wsp:val=&quot;00F71BF7&quot;/&gt;&lt;wsp:rsid wsp:val=&quot;00F71FB1&quot;/&gt;&lt;wsp:rsid wsp:val=&quot;00F71FC1&quot;/&gt;&lt;wsp:rsid wsp:val=&quot;00F71FE3&quot;/&gt;&lt;wsp:rsid wsp:val=&quot;00F72084&quot;/&gt;&lt;wsp:rsid wsp:val=&quot;00F72504&quot;/&gt;&lt;wsp:rsid wsp:val=&quot;00F72805&quot;/&gt;&lt;wsp:rsid wsp:val=&quot;00F729D3&quot;/&gt;&lt;wsp:rsid wsp:val=&quot;00F72F41&quot;/&gt;&lt;wsp:rsid wsp:val=&quot;00F72F62&quot;/&gt;&lt;wsp:rsid wsp:val=&quot;00F73090&quot;/&gt;&lt;wsp:rsid wsp:val=&quot;00F7313D&quot;/&gt;&lt;wsp:rsid wsp:val=&quot;00F732A3&quot;/&gt;&lt;wsp:rsid wsp:val=&quot;00F7387F&quot;/&gt;&lt;wsp:rsid wsp:val=&quot;00F7397B&quot;/&gt;&lt;wsp:rsid wsp:val=&quot;00F73A06&quot;/&gt;&lt;wsp:rsid wsp:val=&quot;00F73A68&quot;/&gt;&lt;wsp:rsid wsp:val=&quot;00F73D5F&quot;/&gt;&lt;wsp:rsid wsp:val=&quot;00F74266&quot;/&gt;&lt;wsp:rsid wsp:val=&quot;00F743C7&quot;/&gt;&lt;wsp:rsid wsp:val=&quot;00F744A6&quot;/&gt;&lt;wsp:rsid wsp:val=&quot;00F7459F&quot;/&gt;&lt;wsp:rsid wsp:val=&quot;00F74C18&quot;/&gt;&lt;wsp:rsid wsp:val=&quot;00F74D70&quot;/&gt;&lt;wsp:rsid wsp:val=&quot;00F74E64&quot;/&gt;&lt;wsp:rsid wsp:val=&quot;00F74FFB&quot;/&gt;&lt;wsp:rsid wsp:val=&quot;00F753BF&quot;/&gt;&lt;wsp:rsid wsp:val=&quot;00F75413&quot;/&gt;&lt;wsp:rsid wsp:val=&quot;00F7561E&quot;/&gt;&lt;wsp:rsid wsp:val=&quot;00F75BBF&quot;/&gt;&lt;wsp:rsid wsp:val=&quot;00F75C1E&quot;/&gt;&lt;wsp:rsid wsp:val=&quot;00F75D81&quot;/&gt;&lt;wsp:rsid wsp:val=&quot;00F761FD&quot;/&gt;&lt;wsp:rsid wsp:val=&quot;00F76286&quot;/&gt;&lt;wsp:rsid wsp:val=&quot;00F765BE&quot;/&gt;&lt;wsp:rsid wsp:val=&quot;00F76998&quot;/&gt;&lt;wsp:rsid wsp:val=&quot;00F76A15&quot;/&gt;&lt;wsp:rsid wsp:val=&quot;00F76A36&quot;/&gt;&lt;wsp:rsid wsp:val=&quot;00F76C44&quot;/&gt;&lt;wsp:rsid wsp:val=&quot;00F76EC9&quot;/&gt;&lt;wsp:rsid wsp:val=&quot;00F77081&quot;/&gt;&lt;wsp:rsid wsp:val=&quot;00F7716A&quot;/&gt;&lt;wsp:rsid wsp:val=&quot;00F771DB&quot;/&gt;&lt;wsp:rsid wsp:val=&quot;00F77310&quot;/&gt;&lt;wsp:rsid wsp:val=&quot;00F7743C&quot;/&gt;&lt;wsp:rsid wsp:val=&quot;00F7780C&quot;/&gt;&lt;wsp:rsid wsp:val=&quot;00F77839&quot;/&gt;&lt;wsp:rsid wsp:val=&quot;00F77AFA&quot;/&gt;&lt;wsp:rsid wsp:val=&quot;00F77B90&quot;/&gt;&lt;wsp:rsid wsp:val=&quot;00F77D3F&quot;/&gt;&lt;wsp:rsid wsp:val=&quot;00F8001B&quot;/&gt;&lt;wsp:rsid wsp:val=&quot;00F80035&quot;/&gt;&lt;wsp:rsid wsp:val=&quot;00F80307&quot;/&gt;&lt;wsp:rsid wsp:val=&quot;00F80472&quot;/&gt;&lt;wsp:rsid wsp:val=&quot;00F80A47&quot;/&gt;&lt;wsp:rsid wsp:val=&quot;00F80B4C&quot;/&gt;&lt;wsp:rsid wsp:val=&quot;00F80BBC&quot;/&gt;&lt;wsp:rsid wsp:val=&quot;00F81156&quot;/&gt;&lt;wsp:rsid wsp:val=&quot;00F812ED&quot;/&gt;&lt;wsp:rsid wsp:val=&quot;00F818DC&quot;/&gt;&lt;wsp:rsid wsp:val=&quot;00F81927&quot;/&gt;&lt;wsp:rsid wsp:val=&quot;00F81D7E&quot;/&gt;&lt;wsp:rsid wsp:val=&quot;00F81F54&quot;/&gt;&lt;wsp:rsid wsp:val=&quot;00F821B0&quot;/&gt;&lt;wsp:rsid wsp:val=&quot;00F82328&quot;/&gt;&lt;wsp:rsid wsp:val=&quot;00F828A1&quot;/&gt;&lt;wsp:rsid wsp:val=&quot;00F82B61&quot;/&gt;&lt;wsp:rsid wsp:val=&quot;00F82BF2&quot;/&gt;&lt;wsp:rsid wsp:val=&quot;00F82D8E&quot;/&gt;&lt;wsp:rsid wsp:val=&quot;00F830D9&quot;/&gt;&lt;wsp:rsid wsp:val=&quot;00F83261&quot;/&gt;&lt;wsp:rsid wsp:val=&quot;00F8327F&quot;/&gt;&lt;wsp:rsid wsp:val=&quot;00F83361&quot;/&gt;&lt;wsp:rsid wsp:val=&quot;00F833A7&quot;/&gt;&lt;wsp:rsid wsp:val=&quot;00F833A8&quot;/&gt;&lt;wsp:rsid wsp:val=&quot;00F8379D&quot;/&gt;&lt;wsp:rsid wsp:val=&quot;00F8384D&quot;/&gt;&lt;wsp:rsid wsp:val=&quot;00F83853&quot;/&gt;&lt;wsp:rsid wsp:val=&quot;00F83B96&quot;/&gt;&lt;wsp:rsid wsp:val=&quot;00F83C5C&quot;/&gt;&lt;wsp:rsid wsp:val=&quot;00F83D93&quot;/&gt;&lt;wsp:rsid wsp:val=&quot;00F8400E&quot;/&gt;&lt;wsp:rsid wsp:val=&quot;00F8403A&quot;/&gt;&lt;wsp:rsid wsp:val=&quot;00F84244&quot;/&gt;&lt;wsp:rsid wsp:val=&quot;00F8456E&quot;/&gt;&lt;wsp:rsid wsp:val=&quot;00F84576&quot;/&gt;&lt;wsp:rsid wsp:val=&quot;00F84702&quot;/&gt;&lt;wsp:rsid wsp:val=&quot;00F8484B&quot;/&gt;&lt;wsp:rsid wsp:val=&quot;00F848EA&quot;/&gt;&lt;wsp:rsid wsp:val=&quot;00F848F7&quot;/&gt;&lt;wsp:rsid wsp:val=&quot;00F84A25&quot;/&gt;&lt;wsp:rsid wsp:val=&quot;00F84CE5&quot;/&gt;&lt;wsp:rsid wsp:val=&quot;00F85473&quot;/&gt;&lt;wsp:rsid wsp:val=&quot;00F8566B&quot;/&gt;&lt;wsp:rsid wsp:val=&quot;00F857FE&quot;/&gt;&lt;wsp:rsid wsp:val=&quot;00F85A55&quot;/&gt;&lt;wsp:rsid wsp:val=&quot;00F85D6A&quot;/&gt;&lt;wsp:rsid wsp:val=&quot;00F85FCC&quot;/&gt;&lt;wsp:rsid wsp:val=&quot;00F85FFE&quot;/&gt;&lt;wsp:rsid wsp:val=&quot;00F8610B&quot;/&gt;&lt;wsp:rsid wsp:val=&quot;00F861B2&quot;/&gt;&lt;wsp:rsid wsp:val=&quot;00F8668B&quot;/&gt;&lt;wsp:rsid wsp:val=&quot;00F869E8&quot;/&gt;&lt;wsp:rsid wsp:val=&quot;00F872D4&quot;/&gt;&lt;wsp:rsid wsp:val=&quot;00F87413&quot;/&gt;&lt;wsp:rsid wsp:val=&quot;00F87629&quot;/&gt;&lt;wsp:rsid wsp:val=&quot;00F904F2&quot;/&gt;&lt;wsp:rsid wsp:val=&quot;00F9087B&quot;/&gt;&lt;wsp:rsid wsp:val=&quot;00F909BE&quot;/&gt;&lt;wsp:rsid wsp:val=&quot;00F90C6C&quot;/&gt;&lt;wsp:rsid wsp:val=&quot;00F90DDD&quot;/&gt;&lt;wsp:rsid wsp:val=&quot;00F90EAE&quot;/&gt;&lt;wsp:rsid wsp:val=&quot;00F910CC&quot;/&gt;&lt;wsp:rsid wsp:val=&quot;00F9137D&quot;/&gt;&lt;wsp:rsid wsp:val=&quot;00F913C7&quot;/&gt;&lt;wsp:rsid wsp:val=&quot;00F91805&quot;/&gt;&lt;wsp:rsid wsp:val=&quot;00F9180A&quot;/&gt;&lt;wsp:rsid wsp:val=&quot;00F9185F&quot;/&gt;&lt;wsp:rsid wsp:val=&quot;00F918C6&quot;/&gt;&lt;wsp:rsid wsp:val=&quot;00F91A03&quot;/&gt;&lt;wsp:rsid wsp:val=&quot;00F91E10&quot;/&gt;&lt;wsp:rsid wsp:val=&quot;00F92174&quot;/&gt;&lt;wsp:rsid wsp:val=&quot;00F92368&quot;/&gt;&lt;wsp:rsid wsp:val=&quot;00F92599&quot;/&gt;&lt;wsp:rsid wsp:val=&quot;00F9278C&quot;/&gt;&lt;wsp:rsid wsp:val=&quot;00F92B0A&quot;/&gt;&lt;wsp:rsid wsp:val=&quot;00F92B8A&quot;/&gt;&lt;wsp:rsid wsp:val=&quot;00F92DCC&quot;/&gt;&lt;wsp:rsid wsp:val=&quot;00F93064&quot;/&gt;&lt;wsp:rsid wsp:val=&quot;00F93393&quot;/&gt;&lt;wsp:rsid wsp:val=&quot;00F9339B&quot;/&gt;&lt;wsp:rsid wsp:val=&quot;00F936E5&quot;/&gt;&lt;wsp:rsid wsp:val=&quot;00F9382C&quot;/&gt;&lt;wsp:rsid wsp:val=&quot;00F93857&quot;/&gt;&lt;wsp:rsid wsp:val=&quot;00F938B0&quot;/&gt;&lt;wsp:rsid wsp:val=&quot;00F93958&quot;/&gt;&lt;wsp:rsid wsp:val=&quot;00F939FF&quot;/&gt;&lt;wsp:rsid wsp:val=&quot;00F93DF0&quot;/&gt;&lt;wsp:rsid wsp:val=&quot;00F94127&quot;/&gt;&lt;wsp:rsid wsp:val=&quot;00F94162&quot;/&gt;&lt;wsp:rsid wsp:val=&quot;00F9421A&quot;/&gt;&lt;wsp:rsid wsp:val=&quot;00F942CE&quot;/&gt;&lt;wsp:rsid wsp:val=&quot;00F9446F&quot;/&gt;&lt;wsp:rsid wsp:val=&quot;00F945DA&quot;/&gt;&lt;wsp:rsid wsp:val=&quot;00F947BF&quot;/&gt;&lt;wsp:rsid wsp:val=&quot;00F949EE&quot;/&gt;&lt;wsp:rsid wsp:val=&quot;00F94A3C&quot;/&gt;&lt;wsp:rsid wsp:val=&quot;00F94AC9&quot;/&gt;&lt;wsp:rsid wsp:val=&quot;00F94C9B&quot;/&gt;&lt;wsp:rsid wsp:val=&quot;00F95040&quot;/&gt;&lt;wsp:rsid wsp:val=&quot;00F953B2&quot;/&gt;&lt;wsp:rsid wsp:val=&quot;00F955D9&quot;/&gt;&lt;wsp:rsid wsp:val=&quot;00F956A7&quot;/&gt;&lt;wsp:rsid wsp:val=&quot;00F95727&quot;/&gt;&lt;wsp:rsid wsp:val=&quot;00F95ACD&quot;/&gt;&lt;wsp:rsid wsp:val=&quot;00F95CC2&quot;/&gt;&lt;wsp:rsid wsp:val=&quot;00F95DDB&quot;/&gt;&lt;wsp:rsid wsp:val=&quot;00F96017&quot;/&gt;&lt;wsp:rsid wsp:val=&quot;00F960DB&quot;/&gt;&lt;wsp:rsid wsp:val=&quot;00F961F6&quot;/&gt;&lt;wsp:rsid wsp:val=&quot;00F96439&quot;/&gt;&lt;wsp:rsid wsp:val=&quot;00F966B5&quot;/&gt;&lt;wsp:rsid wsp:val=&quot;00F96ECC&quot;/&gt;&lt;wsp:rsid wsp:val=&quot;00F96F6C&quot;/&gt;&lt;wsp:rsid wsp:val=&quot;00F9708C&quot;/&gt;&lt;wsp:rsid wsp:val=&quot;00F979A7&quot;/&gt;&lt;wsp:rsid wsp:val=&quot;00F97A98&quot;/&gt;&lt;wsp:rsid wsp:val=&quot;00FA0067&quot;/&gt;&lt;wsp:rsid wsp:val=&quot;00FA0121&quot;/&gt;&lt;wsp:rsid wsp:val=&quot;00FA0200&quot;/&gt;&lt;wsp:rsid wsp:val=&quot;00FA0352&quot;/&gt;&lt;wsp:rsid wsp:val=&quot;00FA0434&quot;/&gt;&lt;wsp:rsid wsp:val=&quot;00FA05FC&quot;/&gt;&lt;wsp:rsid wsp:val=&quot;00FA0837&quot;/&gt;&lt;wsp:rsid wsp:val=&quot;00FA08FE&quot;/&gt;&lt;wsp:rsid wsp:val=&quot;00FA0E39&quot;/&gt;&lt;wsp:rsid wsp:val=&quot;00FA0EB8&quot;/&gt;&lt;wsp:rsid wsp:val=&quot;00FA113D&quot;/&gt;&lt;wsp:rsid wsp:val=&quot;00FA1199&quot;/&gt;&lt;wsp:rsid wsp:val=&quot;00FA139F&quot;/&gt;&lt;wsp:rsid wsp:val=&quot;00FA15BD&quot;/&gt;&lt;wsp:rsid wsp:val=&quot;00FA16DB&quot;/&gt;&lt;wsp:rsid wsp:val=&quot;00FA19A0&quot;/&gt;&lt;wsp:rsid wsp:val=&quot;00FA1A18&quot;/&gt;&lt;wsp:rsid wsp:val=&quot;00FA1A89&quot;/&gt;&lt;wsp:rsid wsp:val=&quot;00FA1D17&quot;/&gt;&lt;wsp:rsid wsp:val=&quot;00FA1D2C&quot;/&gt;&lt;wsp:rsid wsp:val=&quot;00FA215C&quot;/&gt;&lt;wsp:rsid wsp:val=&quot;00FA223B&quot;/&gt;&lt;wsp:rsid wsp:val=&quot;00FA24CD&quot;/&gt;&lt;wsp:rsid wsp:val=&quot;00FA29DA&quot;/&gt;&lt;wsp:rsid wsp:val=&quot;00FA2D00&quot;/&gt;&lt;wsp:rsid wsp:val=&quot;00FA2D42&quot;/&gt;&lt;wsp:rsid wsp:val=&quot;00FA2ECF&quot;/&gt;&lt;wsp:rsid wsp:val=&quot;00FA2F83&quot;/&gt;&lt;wsp:rsid wsp:val=&quot;00FA3376&quot;/&gt;&lt;wsp:rsid wsp:val=&quot;00FA33F0&quot;/&gt;&lt;wsp:rsid wsp:val=&quot;00FA34E7&quot;/&gt;&lt;wsp:rsid wsp:val=&quot;00FA3A2B&quot;/&gt;&lt;wsp:rsid wsp:val=&quot;00FA3C5F&quot;/&gt;&lt;wsp:rsid wsp:val=&quot;00FA3CB0&quot;/&gt;&lt;wsp:rsid wsp:val=&quot;00FA3CF0&quot;/&gt;&lt;wsp:rsid wsp:val=&quot;00FA4518&quot;/&gt;&lt;wsp:rsid wsp:val=&quot;00FA4A95&quot;/&gt;&lt;wsp:rsid wsp:val=&quot;00FA4AC8&quot;/&gt;&lt;wsp:rsid wsp:val=&quot;00FA4DD0&quot;/&gt;&lt;wsp:rsid wsp:val=&quot;00FA4E15&quot;/&gt;&lt;wsp:rsid wsp:val=&quot;00FA52E9&quot;/&gt;&lt;wsp:rsid wsp:val=&quot;00FA5309&quot;/&gt;&lt;wsp:rsid wsp:val=&quot;00FA5660&quot;/&gt;&lt;wsp:rsid wsp:val=&quot;00FA5721&quot;/&gt;&lt;wsp:rsid wsp:val=&quot;00FA5AB0&quot;/&gt;&lt;wsp:rsid wsp:val=&quot;00FA5AD5&quot;/&gt;&lt;wsp:rsid wsp:val=&quot;00FA5D0F&quot;/&gt;&lt;wsp:rsid wsp:val=&quot;00FA60FE&quot;/&gt;&lt;wsp:rsid wsp:val=&quot;00FA64F9&quot;/&gt;&lt;wsp:rsid wsp:val=&quot;00FA6A6F&quot;/&gt;&lt;wsp:rsid wsp:val=&quot;00FA6E9A&quot;/&gt;&lt;wsp:rsid wsp:val=&quot;00FA70AB&quot;/&gt;&lt;wsp:rsid wsp:val=&quot;00FA777D&quot;/&gt;&lt;wsp:rsid wsp:val=&quot;00FA7B05&quot;/&gt;&lt;wsp:rsid wsp:val=&quot;00FA7B53&quot;/&gt;&lt;wsp:rsid wsp:val=&quot;00FA7EF8&quot;/&gt;&lt;wsp:rsid wsp:val=&quot;00FB01B2&quot;/&gt;&lt;wsp:rsid wsp:val=&quot;00FB01F3&quot;/&gt;&lt;wsp:rsid wsp:val=&quot;00FB104B&quot;/&gt;&lt;wsp:rsid wsp:val=&quot;00FB139A&quot;/&gt;&lt;wsp:rsid wsp:val=&quot;00FB13E7&quot;/&gt;&lt;wsp:rsid wsp:val=&quot;00FB1483&quot;/&gt;&lt;wsp:rsid wsp:val=&quot;00FB17EF&quot;/&gt;&lt;wsp:rsid wsp:val=&quot;00FB1E07&quot;/&gt;&lt;wsp:rsid wsp:val=&quot;00FB1FD7&quot;/&gt;&lt;wsp:rsid wsp:val=&quot;00FB28C3&quot;/&gt;&lt;wsp:rsid wsp:val=&quot;00FB2B5D&quot;/&gt;&lt;wsp:rsid wsp:val=&quot;00FB2BC0&quot;/&gt;&lt;wsp:rsid wsp:val=&quot;00FB2E70&quot;/&gt;&lt;wsp:rsid wsp:val=&quot;00FB2F39&quot;/&gt;&lt;wsp:rsid wsp:val=&quot;00FB3123&quot;/&gt;&lt;wsp:rsid wsp:val=&quot;00FB316F&quot;/&gt;&lt;wsp:rsid wsp:val=&quot;00FB319E&quot;/&gt;&lt;wsp:rsid wsp:val=&quot;00FB3480&quot;/&gt;&lt;wsp:rsid wsp:val=&quot;00FB421E&quot;/&gt;&lt;wsp:rsid wsp:val=&quot;00FB42B5&quot;/&gt;&lt;wsp:rsid wsp:val=&quot;00FB4381&quot;/&gt;&lt;wsp:rsid wsp:val=&quot;00FB43EE&quot;/&gt;&lt;wsp:rsid wsp:val=&quot;00FB4B48&quot;/&gt;&lt;wsp:rsid wsp:val=&quot;00FB4F5F&quot;/&gt;&lt;wsp:rsid wsp:val=&quot;00FB5041&quot;/&gt;&lt;wsp:rsid wsp:val=&quot;00FB5557&quot;/&gt;&lt;wsp:rsid wsp:val=&quot;00FB590C&quot;/&gt;&lt;wsp:rsid wsp:val=&quot;00FB5B08&quot;/&gt;&lt;wsp:rsid wsp:val=&quot;00FB5FC6&quot;/&gt;&lt;wsp:rsid wsp:val=&quot;00FB62F7&quot;/&gt;&lt;wsp:rsid wsp:val=&quot;00FB6389&quot;/&gt;&lt;wsp:rsid wsp:val=&quot;00FB6779&quot;/&gt;&lt;wsp:rsid wsp:val=&quot;00FB69DE&quot;/&gt;&lt;wsp:rsid wsp:val=&quot;00FB6DD7&quot;/&gt;&lt;wsp:rsid wsp:val=&quot;00FB70AD&quot;/&gt;&lt;wsp:rsid wsp:val=&quot;00FB71DE&quot;/&gt;&lt;wsp:rsid wsp:val=&quot;00FB7395&quot;/&gt;&lt;wsp:rsid wsp:val=&quot;00FB7416&quot;/&gt;&lt;wsp:rsid wsp:val=&quot;00FB74E3&quot;/&gt;&lt;wsp:rsid wsp:val=&quot;00FB7579&quot;/&gt;&lt;wsp:rsid wsp:val=&quot;00FB7598&quot;/&gt;&lt;wsp:rsid wsp:val=&quot;00FB778C&quot;/&gt;&lt;wsp:rsid wsp:val=&quot;00FB783A&quot;/&gt;&lt;wsp:rsid wsp:val=&quot;00FB7AE3&quot;/&gt;&lt;wsp:rsid wsp:val=&quot;00FB7B6D&quot;/&gt;&lt;wsp:rsid wsp:val=&quot;00FB7E6D&quot;/&gt;&lt;wsp:rsid wsp:val=&quot;00FC0211&quot;/&gt;&lt;wsp:rsid wsp:val=&quot;00FC02A0&quot;/&gt;&lt;wsp:rsid wsp:val=&quot;00FC0468&quot;/&gt;&lt;wsp:rsid wsp:val=&quot;00FC0620&quot;/&gt;&lt;wsp:rsid wsp:val=&quot;00FC0880&quot;/&gt;&lt;wsp:rsid wsp:val=&quot;00FC0BA6&quot;/&gt;&lt;wsp:rsid wsp:val=&quot;00FC0DE5&quot;/&gt;&lt;wsp:rsid wsp:val=&quot;00FC107B&quot;/&gt;&lt;wsp:rsid wsp:val=&quot;00FC12AA&quot;/&gt;&lt;wsp:rsid wsp:val=&quot;00FC1469&quot;/&gt;&lt;wsp:rsid wsp:val=&quot;00FC1538&quot;/&gt;&lt;wsp:rsid wsp:val=&quot;00FC1546&quot;/&gt;&lt;wsp:rsid wsp:val=&quot;00FC1604&quot;/&gt;&lt;wsp:rsid wsp:val=&quot;00FC16D1&quot;/&gt;&lt;wsp:rsid wsp:val=&quot;00FC1A05&quot;/&gt;&lt;wsp:rsid wsp:val=&quot;00FC1A18&quot;/&gt;&lt;wsp:rsid wsp:val=&quot;00FC1A8F&quot;/&gt;&lt;wsp:rsid wsp:val=&quot;00FC1E4F&quot;/&gt;&lt;wsp:rsid wsp:val=&quot;00FC1F22&quot;/&gt;&lt;wsp:rsid wsp:val=&quot;00FC2212&quot;/&gt;&lt;wsp:rsid wsp:val=&quot;00FC2588&quot;/&gt;&lt;wsp:rsid wsp:val=&quot;00FC2609&quot;/&gt;&lt;wsp:rsid wsp:val=&quot;00FC2899&quot;/&gt;&lt;wsp:rsid wsp:val=&quot;00FC2916&quot;/&gt;&lt;wsp:rsid wsp:val=&quot;00FC2B0B&quot;/&gt;&lt;wsp:rsid wsp:val=&quot;00FC30F5&quot;/&gt;&lt;wsp:rsid wsp:val=&quot;00FC32C7&quot;/&gt;&lt;wsp:rsid wsp:val=&quot;00FC33A1&quot;/&gt;&lt;wsp:rsid wsp:val=&quot;00FC3550&quot;/&gt;&lt;wsp:rsid wsp:val=&quot;00FC3AC5&quot;/&gt;&lt;wsp:rsid wsp:val=&quot;00FC3B3C&quot;/&gt;&lt;wsp:rsid wsp:val=&quot;00FC3C2D&quot;/&gt;&lt;wsp:rsid wsp:val=&quot;00FC3E26&quot;/&gt;&lt;wsp:rsid wsp:val=&quot;00FC4165&quot;/&gt;&lt;wsp:rsid wsp:val=&quot;00FC44D1&quot;/&gt;&lt;wsp:rsid wsp:val=&quot;00FC482A&quot;/&gt;&lt;wsp:rsid wsp:val=&quot;00FC4EE0&quot;/&gt;&lt;wsp:rsid wsp:val=&quot;00FC4F21&quot;/&gt;&lt;wsp:rsid wsp:val=&quot;00FC503B&quot;/&gt;&lt;wsp:rsid wsp:val=&quot;00FC50A5&quot;/&gt;&lt;wsp:rsid wsp:val=&quot;00FC5306&quot;/&gt;&lt;wsp:rsid wsp:val=&quot;00FC5480&quot;/&gt;&lt;wsp:rsid wsp:val=&quot;00FC549A&quot;/&gt;&lt;wsp:rsid wsp:val=&quot;00FC54F6&quot;/&gt;&lt;wsp:rsid wsp:val=&quot;00FC5531&quot;/&gt;&lt;wsp:rsid wsp:val=&quot;00FC5799&quot;/&gt;&lt;wsp:rsid wsp:val=&quot;00FC5CA0&quot;/&gt;&lt;wsp:rsid wsp:val=&quot;00FC5CA8&quot;/&gt;&lt;wsp:rsid wsp:val=&quot;00FC5DF7&quot;/&gt;&lt;wsp:rsid wsp:val=&quot;00FC6089&quot;/&gt;&lt;wsp:rsid wsp:val=&quot;00FC60F0&quot;/&gt;&lt;wsp:rsid wsp:val=&quot;00FC64D3&quot;/&gt;&lt;wsp:rsid wsp:val=&quot;00FC65F6&quot;/&gt;&lt;wsp:rsid wsp:val=&quot;00FC6724&quot;/&gt;&lt;wsp:rsid wsp:val=&quot;00FC6953&quot;/&gt;&lt;wsp:rsid wsp:val=&quot;00FC6B5E&quot;/&gt;&lt;wsp:rsid wsp:val=&quot;00FC6F30&quot;/&gt;&lt;wsp:rsid wsp:val=&quot;00FC703B&quot;/&gt;&lt;wsp:rsid wsp:val=&quot;00FC74B3&quot;/&gt;&lt;wsp:rsid wsp:val=&quot;00FC7525&quot;/&gt;&lt;wsp:rsid wsp:val=&quot;00FC7D0E&quot;/&gt;&lt;wsp:rsid wsp:val=&quot;00FC7D71&quot;/&gt;&lt;wsp:rsid wsp:val=&quot;00FC7EA3&quot;/&gt;&lt;wsp:rsid wsp:val=&quot;00FC7EFB&quot;/&gt;&lt;wsp:rsid wsp:val=&quot;00FC7FFA&quot;/&gt;&lt;wsp:rsid wsp:val=&quot;00FD007F&quot;/&gt;&lt;wsp:rsid wsp:val=&quot;00FD0502&quot;/&gt;&lt;wsp:rsid wsp:val=&quot;00FD0665&quot;/&gt;&lt;wsp:rsid wsp:val=&quot;00FD08E0&quot;/&gt;&lt;wsp:rsid wsp:val=&quot;00FD101C&quot;/&gt;&lt;wsp:rsid wsp:val=&quot;00FD1565&quot;/&gt;&lt;wsp:rsid wsp:val=&quot;00FD164E&quot;/&gt;&lt;wsp:rsid wsp:val=&quot;00FD17D1&quot;/&gt;&lt;wsp:rsid wsp:val=&quot;00FD1BB8&quot;/&gt;&lt;wsp:rsid wsp:val=&quot;00FD1DCE&quot;/&gt;&lt;wsp:rsid wsp:val=&quot;00FD29B1&quot;/&gt;&lt;wsp:rsid wsp:val=&quot;00FD2B0D&quot;/&gt;&lt;wsp:rsid wsp:val=&quot;00FD2FCB&quot;/&gt;&lt;wsp:rsid wsp:val=&quot;00FD311C&quot;/&gt;&lt;wsp:rsid wsp:val=&quot;00FD3473&quot;/&gt;&lt;wsp:rsid wsp:val=&quot;00FD3814&quot;/&gt;&lt;wsp:rsid wsp:val=&quot;00FD3F9E&quot;/&gt;&lt;wsp:rsid wsp:val=&quot;00FD412A&quot;/&gt;&lt;wsp:rsid wsp:val=&quot;00FD43C0&quot;/&gt;&lt;wsp:rsid wsp:val=&quot;00FD468B&quot;/&gt;&lt;wsp:rsid wsp:val=&quot;00FD46F0&quot;/&gt;&lt;wsp:rsid wsp:val=&quot;00FD491E&quot;/&gt;&lt;wsp:rsid wsp:val=&quot;00FD4C35&quot;/&gt;&lt;wsp:rsid wsp:val=&quot;00FD4D2B&quot;/&gt;&lt;wsp:rsid wsp:val=&quot;00FD5057&quot;/&gt;&lt;wsp:rsid wsp:val=&quot;00FD5099&quot;/&gt;&lt;wsp:rsid wsp:val=&quot;00FD51A4&quot;/&gt;&lt;wsp:rsid wsp:val=&quot;00FD55AA&quot;/&gt;&lt;wsp:rsid wsp:val=&quot;00FD60E0&quot;/&gt;&lt;wsp:rsid wsp:val=&quot;00FD6440&quot;/&gt;&lt;wsp:rsid wsp:val=&quot;00FD6539&quot;/&gt;&lt;wsp:rsid wsp:val=&quot;00FD653C&quot;/&gt;&lt;wsp:rsid wsp:val=&quot;00FD65AE&quot;/&gt;&lt;wsp:rsid wsp:val=&quot;00FD65CB&quot;/&gt;&lt;wsp:rsid wsp:val=&quot;00FD66DB&quot;/&gt;&lt;wsp:rsid wsp:val=&quot;00FD6797&quot;/&gt;&lt;wsp:rsid wsp:val=&quot;00FD68B1&quot;/&gt;&lt;wsp:rsid wsp:val=&quot;00FD68EF&quot;/&gt;&lt;wsp:rsid wsp:val=&quot;00FD69D2&quot;/&gt;&lt;wsp:rsid wsp:val=&quot;00FD69F4&quot;/&gt;&lt;wsp:rsid wsp:val=&quot;00FD6B4F&quot;/&gt;&lt;wsp:rsid wsp:val=&quot;00FD6EB0&quot;/&gt;&lt;wsp:rsid wsp:val=&quot;00FD6FA8&quot;/&gt;&lt;wsp:rsid wsp:val=&quot;00FD73BA&quot;/&gt;&lt;wsp:rsid wsp:val=&quot;00FD73C6&quot;/&gt;&lt;wsp:rsid wsp:val=&quot;00FD7440&quot;/&gt;&lt;wsp:rsid wsp:val=&quot;00FD7999&quot;/&gt;&lt;wsp:rsid wsp:val=&quot;00FD7ADE&quot;/&gt;&lt;wsp:rsid wsp:val=&quot;00FD7C0A&quot;/&gt;&lt;wsp:rsid wsp:val=&quot;00FD7E4F&quot;/&gt;&lt;wsp:rsid wsp:val=&quot;00FD7E89&quot;/&gt;&lt;wsp:rsid wsp:val=&quot;00FD7F63&quot;/&gt;&lt;wsp:rsid wsp:val=&quot;00FD7F7B&quot;/&gt;&lt;wsp:rsid wsp:val=&quot;00FE01C5&quot;/&gt;&lt;wsp:rsid wsp:val=&quot;00FE0361&quot;/&gt;&lt;wsp:rsid wsp:val=&quot;00FE0445&quot;/&gt;&lt;wsp:rsid wsp:val=&quot;00FE047D&quot;/&gt;&lt;wsp:rsid wsp:val=&quot;00FE05DA&quot;/&gt;&lt;wsp:rsid wsp:val=&quot;00FE0621&quot;/&gt;&lt;wsp:rsid wsp:val=&quot;00FE068D&quot;/&gt;&lt;wsp:rsid wsp:val=&quot;00FE0799&quot;/&gt;&lt;wsp:rsid wsp:val=&quot;00FE09B4&quot;/&gt;&lt;wsp:rsid wsp:val=&quot;00FE0B64&quot;/&gt;&lt;wsp:rsid wsp:val=&quot;00FE0CD8&quot;/&gt;&lt;wsp:rsid wsp:val=&quot;00FE0D10&quot;/&gt;&lt;wsp:rsid wsp:val=&quot;00FE0E92&quot;/&gt;&lt;wsp:rsid wsp:val=&quot;00FE0EF3&quot;/&gt;&lt;wsp:rsid wsp:val=&quot;00FE113A&quot;/&gt;&lt;wsp:rsid wsp:val=&quot;00FE12D7&quot;/&gt;&lt;wsp:rsid wsp:val=&quot;00FE12EC&quot;/&gt;&lt;wsp:rsid wsp:val=&quot;00FE159C&quot;/&gt;&lt;wsp:rsid wsp:val=&quot;00FE1810&quot;/&gt;&lt;wsp:rsid wsp:val=&quot;00FE1940&quot;/&gt;&lt;wsp:rsid wsp:val=&quot;00FE19FB&quot;/&gt;&lt;wsp:rsid wsp:val=&quot;00FE1B9B&quot;/&gt;&lt;wsp:rsid wsp:val=&quot;00FE1E34&quot;/&gt;&lt;wsp:rsid wsp:val=&quot;00FE1E94&quot;/&gt;&lt;wsp:rsid wsp:val=&quot;00FE1EE2&quot;/&gt;&lt;wsp:rsid wsp:val=&quot;00FE2272&quot;/&gt;&lt;wsp:rsid wsp:val=&quot;00FE22A0&quot;/&gt;&lt;wsp:rsid wsp:val=&quot;00FE22FB&quot;/&gt;&lt;wsp:rsid wsp:val=&quot;00FE2413&quot;/&gt;&lt;wsp:rsid wsp:val=&quot;00FE253F&quot;/&gt;&lt;wsp:rsid wsp:val=&quot;00FE27E4&quot;/&gt;&lt;wsp:rsid wsp:val=&quot;00FE2A90&quot;/&gt;&lt;wsp:rsid wsp:val=&quot;00FE2E78&quot;/&gt;&lt;wsp:rsid wsp:val=&quot;00FE3163&quot;/&gt;&lt;wsp:rsid wsp:val=&quot;00FE3179&quot;/&gt;&lt;wsp:rsid wsp:val=&quot;00FE38DF&quot;/&gt;&lt;wsp:rsid wsp:val=&quot;00FE394F&quot;/&gt;&lt;wsp:rsid wsp:val=&quot;00FE3E3A&quot;/&gt;&lt;wsp:rsid wsp:val=&quot;00FE3EE5&quot;/&gt;&lt;wsp:rsid wsp:val=&quot;00FE3F66&quot;/&gt;&lt;wsp:rsid wsp:val=&quot;00FE3FCE&quot;/&gt;&lt;wsp:rsid wsp:val=&quot;00FE40F3&quot;/&gt;&lt;wsp:rsid wsp:val=&quot;00FE424E&quot;/&gt;&lt;wsp:rsid wsp:val=&quot;00FE453F&quot;/&gt;&lt;wsp:rsid wsp:val=&quot;00FE4654&quot;/&gt;&lt;wsp:rsid wsp:val=&quot;00FE4A2E&quot;/&gt;&lt;wsp:rsid wsp:val=&quot;00FE4E08&quot;/&gt;&lt;wsp:rsid wsp:val=&quot;00FE56D3&quot;/&gt;&lt;wsp:rsid wsp:val=&quot;00FE5859&quot;/&gt;&lt;wsp:rsid wsp:val=&quot;00FE5ACE&quot;/&gt;&lt;wsp:rsid wsp:val=&quot;00FE5B70&quot;/&gt;&lt;wsp:rsid wsp:val=&quot;00FE5D62&quot;/&gt;&lt;wsp:rsid wsp:val=&quot;00FE5E07&quot;/&gt;&lt;wsp:rsid wsp:val=&quot;00FE5F53&quot;/&gt;&lt;wsp:rsid wsp:val=&quot;00FE6651&quot;/&gt;&lt;wsp:rsid wsp:val=&quot;00FE67A9&quot;/&gt;&lt;wsp:rsid wsp:val=&quot;00FE6F05&quot;/&gt;&lt;wsp:rsid wsp:val=&quot;00FE6F89&quot;/&gt;&lt;wsp:rsid wsp:val=&quot;00FE706B&quot;/&gt;&lt;wsp:rsid wsp:val=&quot;00FE7148&quot;/&gt;&lt;wsp:rsid wsp:val=&quot;00FE71ED&quot;/&gt;&lt;wsp:rsid wsp:val=&quot;00FE73B2&quot;/&gt;&lt;wsp:rsid wsp:val=&quot;00FE73D0&quot;/&gt;&lt;wsp:rsid wsp:val=&quot;00FE774E&quot;/&gt;&lt;wsp:rsid wsp:val=&quot;00FE79A9&quot;/&gt;&lt;wsp:rsid wsp:val=&quot;00FE7B07&quot;/&gt;&lt;wsp:rsid wsp:val=&quot;00FE7BC4&quot;/&gt;&lt;wsp:rsid wsp:val=&quot;00FF0002&quot;/&gt;&lt;wsp:rsid wsp:val=&quot;00FF027B&quot;/&gt;&lt;wsp:rsid wsp:val=&quot;00FF034E&quot;/&gt;&lt;wsp:rsid wsp:val=&quot;00FF0CEA&quot;/&gt;&lt;wsp:rsid wsp:val=&quot;00FF0DAF&quot;/&gt;&lt;wsp:rsid wsp:val=&quot;00FF0E96&quot;/&gt;&lt;wsp:rsid wsp:val=&quot;00FF0F77&quot;/&gt;&lt;wsp:rsid wsp:val=&quot;00FF0F80&quot;/&gt;&lt;wsp:rsid wsp:val=&quot;00FF106E&quot;/&gt;&lt;wsp:rsid wsp:val=&quot;00FF12C8&quot;/&gt;&lt;wsp:rsid wsp:val=&quot;00FF14A3&quot;/&gt;&lt;wsp:rsid wsp:val=&quot;00FF1A10&quot;/&gt;&lt;wsp:rsid wsp:val=&quot;00FF1B27&quot;/&gt;&lt;wsp:rsid wsp:val=&quot;00FF21ED&quot;/&gt;&lt;wsp:rsid wsp:val=&quot;00FF2406&quot;/&gt;&lt;wsp:rsid wsp:val=&quot;00FF2453&quot;/&gt;&lt;wsp:rsid wsp:val=&quot;00FF248C&quot;/&gt;&lt;wsp:rsid wsp:val=&quot;00FF2496&quot;/&gt;&lt;wsp:rsid wsp:val=&quot;00FF2888&quot;/&gt;&lt;wsp:rsid wsp:val=&quot;00FF2DF7&quot;/&gt;&lt;wsp:rsid wsp:val=&quot;00FF36F2&quot;/&gt;&lt;wsp:rsid wsp:val=&quot;00FF4019&quot;/&gt;&lt;wsp:rsid wsp:val=&quot;00FF430B&quot;/&gt;&lt;wsp:rsid wsp:val=&quot;00FF43CC&quot;/&gt;&lt;wsp:rsid wsp:val=&quot;00FF4412&quot;/&gt;&lt;wsp:rsid wsp:val=&quot;00FF4589&quot;/&gt;&lt;wsp:rsid wsp:val=&quot;00FF46A9&quot;/&gt;&lt;wsp:rsid wsp:val=&quot;00FF484E&quot;/&gt;&lt;wsp:rsid wsp:val=&quot;00FF492D&quot;/&gt;&lt;wsp:rsid wsp:val=&quot;00FF4984&quot;/&gt;&lt;wsp:rsid wsp:val=&quot;00FF4BA9&quot;/&gt;&lt;wsp:rsid wsp:val=&quot;00FF4BE3&quot;/&gt;&lt;wsp:rsid wsp:val=&quot;00FF4CEA&quot;/&gt;&lt;wsp:rsid wsp:val=&quot;00FF4D44&quot;/&gt;&lt;wsp:rsid wsp:val=&quot;00FF5313&quot;/&gt;&lt;wsp:rsid wsp:val=&quot;00FF54B6&quot;/&gt;&lt;wsp:rsid wsp:val=&quot;00FF55C5&quot;/&gt;&lt;wsp:rsid wsp:val=&quot;00FF577A&quot;/&gt;&lt;wsp:rsid wsp:val=&quot;00FF5A62&quot;/&gt;&lt;wsp:rsid wsp:val=&quot;00FF5BEE&quot;/&gt;&lt;wsp:rsid wsp:val=&quot;00FF5C94&quot;/&gt;&lt;wsp:rsid wsp:val=&quot;00FF5EE3&quot;/&gt;&lt;wsp:rsid wsp:val=&quot;00FF5F51&quot;/&gt;&lt;wsp:rsid wsp:val=&quot;00FF60AD&quot;/&gt;&lt;wsp:rsid wsp:val=&quot;00FF6251&quot;/&gt;&lt;wsp:rsid wsp:val=&quot;00FF68C2&quot;/&gt;&lt;wsp:rsid wsp:val=&quot;00FF6952&quot;/&gt;&lt;wsp:rsid wsp:val=&quot;00FF6B76&quot;/&gt;&lt;wsp:rsid wsp:val=&quot;00FF6C28&quot;/&gt;&lt;wsp:rsid wsp:val=&quot;00FF6E35&quot;/&gt;&lt;wsp:rsid wsp:val=&quot;00FF7312&quot;/&gt;&lt;wsp:rsid wsp:val=&quot;00FF764C&quot;/&gt;&lt;wsp:rsid wsp:val=&quot;00FF79EC&quot;/&gt;&lt;wsp:rsid wsp:val=&quot;00FF7A2C&quot;/&gt;&lt;wsp:rsid wsp:val=&quot;00FF7A6A&quot;/&gt;&lt;wsp:rsid wsp:val=&quot;00FF7EA4&quot;/&gt;&lt;/wsp:rsids&gt;&lt;/w:docPr&gt;&lt;w:body&gt;&lt;wx:sect&gt;&lt;w:p wsp:rsidR=&quot;00000000&quot; wsp:rsidRDefault=&quot;008C7963&quot; wsp:rsidP=&quot;008C7963&quot;&gt;&lt;m:oMathPara&gt;&lt;m:oMath&gt;&lt;m:sSub&gt;&lt;m:sSubPr&gt;&lt;m:ctrlPr&gt;&lt;w:rPr&gt;&lt;w:rFonts w:ascii=&quot;Cambria Math&quot; w:h-ansi=&quot;Cambria Math&quot;/&gt;&lt;wx:font wx:val=&quot;Cambria Math&quot;/&gt;&lt;w:i/&gt;&lt;w:sz-cs w:val=&quot;22&quot;/&gt;&lt;w:lang w:val=&quot;ZH-CN&quot;/&gt;&lt;/w:rPr&gt;&lt;/m:ctrlPr&gt;&lt;/m:sSubPr&gt;&lt;m:e&gt;&lt;m:r&gt;&lt;m:rPr&gt;&lt;m:sty m:val=&quot;p&quot;/&gt;&lt;/m:rPr&gt;&lt;w:rPr&gt;&lt;w:rFonts w:ascii=&quot;Cambria Math&quot; w:h-ansi=&quot;Cambria Math&quot; w:hint=&quot;fareast&quot;/&gt;&lt;wx:font wx:val=&quot;宋体&quot;/&gt;&lt;/w:rPr&gt;&lt;m:t&gt;ρ&lt;/m:t&gt;&lt;/m:r&gt;&lt;/m:e&gt;&lt;m:sub&gt;&lt;m:r&gt;&lt;w:rPr&gt;&lt;w:rFonts w:ascii=&quot;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Ca-CNmbria Math&quot; w:h-ansi=&quot;Cambria Math&quot;/&gt;&lt;wx:font wx:val=&quot;Cambria Math&quot;/&gt;&lt;w:i/&gt;&lt;/w:rPr&gt;&lt;m:t&gt;rel&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4" o:title="" chromakey="white"/>
          </v:shape>
        </w:pict>
      </w:r>
      <w:r w:rsidRPr="002B55E9">
        <w:rPr>
          <w:bCs/>
          <w:sz w:val="24"/>
          <w:szCs w:val="22"/>
          <w:lang w:val="zh-CN" w:bidi="ne-NP"/>
        </w:rPr>
        <w:instrText xml:space="preserve"> </w:instrText>
      </w:r>
      <w:r w:rsidRPr="002B55E9">
        <w:rPr>
          <w:bCs/>
          <w:sz w:val="24"/>
          <w:szCs w:val="22"/>
          <w:lang w:val="zh-CN" w:bidi="ne-NP"/>
        </w:rPr>
        <w:fldChar w:fldCharType="separate"/>
      </w:r>
      <w:r w:rsidR="003E2FA0">
        <w:rPr>
          <w:bCs/>
          <w:snapToGrid w:val="0"/>
          <w:position w:val="-24"/>
          <w:sz w:val="24"/>
        </w:rPr>
        <w:pict w14:anchorId="3F287D1D">
          <v:shape id="_x0000_i1037" type="#_x0000_t75" style="width:26.8pt;height:26.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hideGrammaticalErrors/&gt;&lt;w:activeWritingStyle w:lang=&quot;EN-US&quot; w:vendorID=&quot;64&quot; w:dllVersion=&quot;5&quot; w:nlCheck=&quot;on&quot; w:optionSet=&quot;1&quot;/&gt;&lt;w:activeWritingStyle w:lang=&quot;ZH-CN&quot; w:vendorID=&quot;64&quot; w:dllVersion=&quot;5&quot; w:nlCheck=&quot;on&quot; w:optionSet=&quot;1&quot;/&gt;&lt;w:activeWritingStyle w:lang=&quot;EN-US&quot; w:vendorID=&quot;64&quot; w:dllVersion=&quot;6&quot; w:nlCheck=&quot;on&quot; w:optionSet=&quot;0&quot;/&gt;&lt;w:activeWritingStyle w:lang=&quot;EN-GB&quot; w:vendorID=&quot;64&quot; w:dllVersion=&quot;6&quot; w:nlCheck=&quot;on&quot; w:optionSet=&quot;0&quot;/&gt;&lt;w:activeWritingStyle w:lang=&quot;EN-GB&quot; w:vendorID=&quot;64&quot; w:dllVersion=&quot;5&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stylePaneFormatFilter w:val=&quot;1F08&quot;/&gt;&lt;w:defaultTabStop w:val=&quot;210&quot;/&gt;&lt;w:drawingGridHorizontalSpacing w:val=&quot;105&quot;/&gt;&lt;w:drawingGridVerticalSpacing w:val=&quot;2&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92738&quot;/&gt;&lt;wsp:rsid wsp:val=&quot;0000006D&quot;/&gt;&lt;wsp:rsid wsp:val=&quot;000004D2&quot;/&gt;&lt;wsp:rsid wsp:val=&quot;00000B74&quot;/&gt;&lt;wsp:rsid wsp:val=&quot;00000C9C&quot;/&gt;&lt;wsp:rsid wsp:val=&quot;00000E77&quot;/&gt;&lt;wsp:rsid wsp:val=&quot;0000119A&quot;/&gt;&lt;wsp:rsid wsp:val=&quot;0000187F&quot;/&gt;&lt;wsp:rsid wsp:val=&quot;000019E8&quot;/&gt;&lt;wsp:rsid wsp:val=&quot;00001A79&quot;/&gt;&lt;wsp:rsid wsp:val=&quot;00001A85&quot;/&gt;&lt;wsp:rsid wsp:val=&quot;00001E16&quot;/&gt;&lt;wsp:rsid wsp:val=&quot;00001FE4&quot;/&gt;&lt;wsp:rsid wsp:val=&quot;00002092&quot;/&gt;&lt;wsp:rsid wsp:val=&quot;000021CB&quot;/&gt;&lt;wsp:rsid wsp:val=&quot;00002362&quot;/&gt;&lt;wsp:rsid wsp:val=&quot;000028B3&quot;/&gt;&lt;wsp:rsid wsp:val=&quot;00002988&quot;/&gt;&lt;wsp:rsid wsp:val=&quot;00002B8C&quot;/&gt;&lt;wsp:rsid wsp:val=&quot;00002F2D&quot;/&gt;&lt;wsp:rsid wsp:val=&quot;00003649&quot;/&gt;&lt;wsp:rsid wsp:val=&quot;000040AE&quot;/&gt;&lt;wsp:rsid wsp:val=&quot;000045BE&quot;/&gt;&lt;wsp:rsid wsp:val=&quot;00004694&quot;/&gt;&lt;wsp:rsid wsp:val=&quot;000047FE&quot;/&gt;&lt;wsp:rsid wsp:val=&quot;00004A61&quot;/&gt;&lt;wsp:rsid wsp:val=&quot;00004B36&quot;/&gt;&lt;wsp:rsid wsp:val=&quot;00004CA7&quot;/&gt;&lt;wsp:rsid wsp:val=&quot;00004CE1&quot;/&gt;&lt;wsp:rsid wsp:val=&quot;00004E3E&quot;/&gt;&lt;wsp:rsid wsp:val=&quot;00005131&quot;/&gt;&lt;wsp:rsid wsp:val=&quot;000051B4&quot;/&gt;&lt;wsp:rsid wsp:val=&quot;00005491&quot;/&gt;&lt;wsp:rsid wsp:val=&quot;00005535&quot;/&gt;&lt;wsp:rsid wsp:val=&quot;00005E0A&quot;/&gt;&lt;wsp:rsid wsp:val=&quot;00006076&quot;/&gt;&lt;wsp:rsid wsp:val=&quot;00006129&quot;/&gt;&lt;wsp:rsid wsp:val=&quot;000061C5&quot;/&gt;&lt;wsp:rsid wsp:val=&quot;00006267&quot;/&gt;&lt;wsp:rsid wsp:val=&quot;0000632D&quot;/&gt;&lt;wsp:rsid wsp:val=&quot;0000640B&quot;/&gt;&lt;wsp:rsid wsp:val=&quot;00006A32&quot;/&gt;&lt;wsp:rsid wsp:val=&quot;00006A72&quot;/&gt;&lt;wsp:rsid wsp:val=&quot;00006C24&quot;/&gt;&lt;wsp:rsid wsp:val=&quot;00006EAA&quot;/&gt;&lt;wsp:rsid wsp:val=&quot;000070C3&quot;/&gt;&lt;wsp:rsid wsp:val=&quot;00007501&quot;/&gt;&lt;wsp:rsid wsp:val=&quot;000075B5&quot;/&gt;&lt;wsp:rsid wsp:val=&quot;0000763A&quot;/&gt;&lt;wsp:rsid wsp:val=&quot;0000763C&quot;/&gt;&lt;wsp:rsid wsp:val=&quot;00007661&quot;/&gt;&lt;wsp:rsid wsp:val=&quot;00010000&quot;/&gt;&lt;wsp:rsid wsp:val=&quot;00010950&quot;/&gt;&lt;wsp:rsid wsp:val=&quot;000109DB&quot;/&gt;&lt;wsp:rsid wsp:val=&quot;00010E3E&quot;/&gt;&lt;wsp:rsid wsp:val=&quot;00010E64&quot;/&gt;&lt;wsp:rsid wsp:val=&quot;000111A5&quot;/&gt;&lt;wsp:rsid wsp:val=&quot;000118BD&quot;/&gt;&lt;wsp:rsid wsp:val=&quot;000118E6&quot;/&gt;&lt;wsp:rsid wsp:val=&quot;00011A00&quot;/&gt;&lt;wsp:rsid wsp:val=&quot;00011A44&quot;/&gt;&lt;wsp:rsid wsp:val=&quot;00011CF1&quot;/&gt;&lt;wsp:rsid wsp:val=&quot;000122FC&quot;/&gt;&lt;wsp:rsid wsp:val=&quot;00012464&quot;/&gt;&lt;wsp:rsid wsp:val=&quot;0001253F&quot;/&gt;&lt;wsp:rsid wsp:val=&quot;00012ACA&quot;/&gt;&lt;wsp:rsid wsp:val=&quot;00012C70&quot;/&gt;&lt;wsp:rsid wsp:val=&quot;00012D1B&quot;/&gt;&lt;wsp:rsid wsp:val=&quot;00012F03&quot;/&gt;&lt;wsp:rsid wsp:val=&quot;00013225&quot;/&gt;&lt;wsp:rsid wsp:val=&quot;0001328B&quot;/&gt;&lt;wsp:rsid wsp:val=&quot;00013817&quot;/&gt;&lt;wsp:rsid wsp:val=&quot;00013B98&quot;/&gt;&lt;wsp:rsid wsp:val=&quot;000142E2&quot;/&gt;&lt;wsp:rsid wsp:val=&quot;00014824&quot;/&gt;&lt;wsp:rsid wsp:val=&quot;00014EA2&quot;/&gt;&lt;wsp:rsid wsp:val=&quot;00014F95&quot;/&gt;&lt;wsp:rsid wsp:val=&quot;00015040&quot;/&gt;&lt;wsp:rsid wsp:val=&quot;0001547F&quot;/&gt;&lt;wsp:rsid wsp:val=&quot;000159D7&quot;/&gt;&lt;wsp:rsid wsp:val=&quot;00015C4B&quot;/&gt;&lt;wsp:rsid wsp:val=&quot;00015EA1&quot;/&gt;&lt;wsp:rsid wsp:val=&quot;00015EB9&quot;/&gt;&lt;wsp:rsid wsp:val=&quot;00015FBE&quot;/&gt;&lt;wsp:rsid wsp:val=&quot;000162E8&quot;/&gt;&lt;wsp:rsid wsp:val=&quot;00016782&quot;/&gt;&lt;wsp:rsid wsp:val=&quot;00016785&quot;/&gt;&lt;wsp:rsid wsp:val=&quot;0001678F&quot;/&gt;&lt;wsp:rsid wsp:val=&quot;000168B7&quot;/&gt;&lt;wsp:rsid wsp:val=&quot;00016932&quot;/&gt;&lt;wsp:rsid wsp:val=&quot;00016A53&quot;/&gt;&lt;wsp:rsid wsp:val=&quot;00016DF3&quot;/&gt;&lt;wsp:rsid wsp:val=&quot;00016F55&quot;/&gt;&lt;wsp:rsid wsp:val=&quot;00016F86&quot;/&gt;&lt;wsp:rsid wsp:val=&quot;000175AA&quot;/&gt;&lt;wsp:rsid wsp:val=&quot;00017667&quot;/&gt;&lt;wsp:rsid wsp:val=&quot;0001777B&quot;/&gt;&lt;wsp:rsid wsp:val=&quot;000179BA&quot;/&gt;&lt;wsp:rsid wsp:val=&quot;00017BF9&quot;/&gt;&lt;wsp:rsid wsp:val=&quot;00017C1B&quot;/&gt;&lt;wsp:rsid wsp:val=&quot;00017F59&quot;/&gt;&lt;wsp:rsid wsp:val=&quot;000202E1&quot;/&gt;&lt;wsp:rsid wsp:val=&quot;00020302&quot;/&gt;&lt;wsp:rsid wsp:val=&quot;0002046B&quot;/&gt;&lt;wsp:rsid wsp:val=&quot;000204F7&quot;/&gt;&lt;wsp:rsid wsp:val=&quot;00020646&quot;/&gt;&lt;wsp:rsid wsp:val=&quot;00020932&quot;/&gt;&lt;wsp:rsid wsp:val=&quot;0002122D&quot;/&gt;&lt;wsp:rsid wsp:val=&quot;000212CA&quot;/&gt;&lt;wsp:rsid wsp:val=&quot;000213D9&quot;/&gt;&lt;wsp:rsid wsp:val=&quot;000214AD&quot;/&gt;&lt;wsp:rsid wsp:val=&quot;0002178A&quot;/&gt;&lt;wsp:rsid wsp:val=&quot;00021870&quot;/&gt;&lt;wsp:rsid wsp:val=&quot;00021CC9&quot;/&gt;&lt;wsp:rsid wsp:val=&quot;00021EE7&quot;/&gt;&lt;wsp:rsid wsp:val=&quot;0002246E&quot;/&gt;&lt;wsp:rsid wsp:val=&quot;00022475&quot;/&gt;&lt;wsp:rsid wsp:val=&quot;000224D3&quot;/&gt;&lt;wsp:rsid wsp:val=&quot;00022582&quot;/&gt;&lt;wsp:rsid wsp:val=&quot;00022C49&quot;/&gt;&lt;wsp:rsid wsp:val=&quot;00022C7F&quot;/&gt;&lt;wsp:rsid wsp:val=&quot;00022D40&quot;/&gt;&lt;wsp:rsid wsp:val=&quot;00022EE5&quot;/&gt;&lt;wsp:rsid wsp:val=&quot;00023016&quot;/&gt;&lt;wsp:rsid wsp:val=&quot;00023071&quot;/&gt;&lt;wsp:rsid wsp:val=&quot;00023267&quot;/&gt;&lt;wsp:rsid wsp:val=&quot;000237B4&quot;/&gt;&lt;wsp:rsid wsp:val=&quot;00023819&quot;/&gt;&lt;wsp:rsid wsp:val=&quot;00023C75&quot;/&gt;&lt;wsp:rsid wsp:val=&quot;00023D50&quot;/&gt;&lt;wsp:rsid wsp:val=&quot;00023F32&quot;/&gt;&lt;wsp:rsid wsp:val=&quot;00023F65&quot;/&gt;&lt;wsp:rsid wsp:val=&quot;00023FE7&quot;/&gt;&lt;wsp:rsid wsp:val=&quot;000240C2&quot;/&gt;&lt;wsp:rsid wsp:val=&quot;000240DB&quot;/&gt;&lt;wsp:rsid wsp:val=&quot;000241A1&quot;/&gt;&lt;wsp:rsid wsp:val=&quot;00024371&quot;/&gt;&lt;wsp:rsid wsp:val=&quot;00024525&quot;/&gt;&lt;wsp:rsid wsp:val=&quot;000248D8&quot;/&gt;&lt;wsp:rsid wsp:val=&quot;000249DA&quot;/&gt;&lt;wsp:rsid wsp:val=&quot;00024B3C&quot;/&gt;&lt;wsp:rsid wsp:val=&quot;00025046&quot;/&gt;&lt;wsp:rsid wsp:val=&quot;000252A8&quot;/&gt;&lt;wsp:rsid wsp:val=&quot;00025320&quot;/&gt;&lt;wsp:rsid wsp:val=&quot;0002544D&quot;/&gt;&lt;wsp:rsid wsp:val=&quot;0002562B&quot;/&gt;&lt;wsp:rsid wsp:val=&quot;000256DB&quot;/&gt;&lt;wsp:rsid wsp:val=&quot;00025806&quot;/&gt;&lt;wsp:rsid wsp:val=&quot;00025E7C&quot;/&gt;&lt;wsp:rsid wsp:val=&quot;0002627E&quot;/&gt;&lt;wsp:rsid wsp:val=&quot;00026528&quot;/&gt;&lt;wsp:rsid wsp:val=&quot;0002673C&quot;/&gt;&lt;wsp:rsid wsp:val=&quot;000269C9&quot;/&gt;&lt;wsp:rsid wsp:val=&quot;00026BAA&quot;/&gt;&lt;wsp:rsid wsp:val=&quot;00026DAF&quot;/&gt;&lt;wsp:rsid wsp:val=&quot;000270A2&quot;/&gt;&lt;wsp:rsid wsp:val=&quot;000270F4&quot;/&gt;&lt;wsp:rsid wsp:val=&quot;0002714C&quot;/&gt;&lt;wsp:rsid wsp:val=&quot;000272C4&quot;/&gt;&lt;wsp:rsid wsp:val=&quot;00027344&quot;/&gt;&lt;wsp:rsid wsp:val=&quot;00027469&quot;/&gt;&lt;wsp:rsid wsp:val=&quot;0002749E&quot;/&gt;&lt;wsp:rsid wsp:val=&quot;00027826&quot;/&gt;&lt;wsp:rsid wsp:val=&quot;0002790D&quot;/&gt;&lt;wsp:rsid wsp:val=&quot;00027921&quot;/&gt;&lt;wsp:rsid wsp:val=&quot;00027962&quot;/&gt;&lt;wsp:rsid wsp:val=&quot;00027AAC&quot;/&gt;&lt;wsp:rsid wsp:val=&quot;00027CC8&quot;/&gt;&lt;wsp:rsid wsp:val=&quot;00030778&quot;/&gt;&lt;wsp:rsid wsp:val=&quot;0003077B&quot;/&gt;&lt;wsp:rsid wsp:val=&quot;000309CA&quot;/&gt;&lt;wsp:rsid wsp:val=&quot;00030B81&quot;/&gt;&lt;wsp:rsid wsp:val=&quot;00030C03&quot;/&gt;&lt;wsp:rsid wsp:val=&quot;00030C40&quot;/&gt;&lt;wsp:rsid wsp:val=&quot;00030CCF&quot;/&gt;&lt;wsp:rsid wsp:val=&quot;00030E0B&quot;/&gt;&lt;wsp:rsid wsp:val=&quot;00031347&quot;/&gt;&lt;wsp:rsid wsp:val=&quot;0003168E&quot;/&gt;&lt;wsp:rsid wsp:val=&quot;0003183C&quot;/&gt;&lt;wsp:rsid wsp:val=&quot;0003188F&quot;/&gt;&lt;wsp:rsid wsp:val=&quot;00031A03&quot;/&gt;&lt;wsp:rsid wsp:val=&quot;00031B68&quot;/&gt;&lt;wsp:rsid wsp:val=&quot;00031C7A&quot;/&gt;&lt;wsp:rsid wsp:val=&quot;00031D0A&quot;/&gt;&lt;wsp:rsid wsp:val=&quot;00031EDC&quot;/&gt;&lt;wsp:rsid wsp:val=&quot;00032739&quot;/&gt;&lt;wsp:rsid wsp:val=&quot;00032766&quot;/&gt;&lt;wsp:rsid wsp:val=&quot;00032778&quot;/&gt;&lt;wsp:rsid wsp:val=&quot;00032BB0&quot;/&gt;&lt;wsp:rsid wsp:val=&quot;00032BD3&quot;/&gt;&lt;wsp:rsid wsp:val=&quot;00032FFD&quot;/&gt;&lt;wsp:rsid wsp:val=&quot;0003320F&quot;/&gt;&lt;wsp:rsid wsp:val=&quot;00033356&quot;/&gt;&lt;wsp:rsid wsp:val=&quot;00033453&quot;/&gt;&lt;wsp:rsid wsp:val=&quot;00033810&quot;/&gt;&lt;wsp:rsid wsp:val=&quot;000339A6&quot;/&gt;&lt;wsp:rsid wsp:val=&quot;00033B65&quot;/&gt;&lt;wsp:rsid wsp:val=&quot;00033B79&quot;/&gt;&lt;wsp:rsid wsp:val=&quot;00033EC8&quot;/&gt;&lt;wsp:rsid wsp:val=&quot;00033FE5&quot;/&gt;&lt;wsp:rsid wsp:val=&quot;00034048&quot;/&gt;&lt;wsp:rsid wsp:val=&quot;000340B1&quot;/&gt;&lt;wsp:rsid wsp:val=&quot;00034440&quot;/&gt;&lt;wsp:rsid wsp:val=&quot;000344F0&quot;/&gt;&lt;wsp:rsid wsp:val=&quot;00034806&quot;/&gt;&lt;wsp:rsid wsp:val=&quot;00034B58&quot;/&gt;&lt;wsp:rsid wsp:val=&quot;00034C04&quot;/&gt;&lt;wsp:rsid wsp:val=&quot;00034C56&quot;/&gt;&lt;wsp:rsid wsp:val=&quot;00034D05&quot;/&gt;&lt;wsp:rsid wsp:val=&quot;00034F6C&quot;/&gt;&lt;wsp:rsid wsp:val=&quot;00035332&quot;/&gt;&lt;wsp:rsid wsp:val=&quot;000354CC&quot;/&gt;&lt;wsp:rsid wsp:val=&quot;00035741&quot;/&gt;&lt;wsp:rsid wsp:val=&quot;000359BB&quot;/&gt;&lt;wsp:rsid wsp:val=&quot;00035D13&quot;/&gt;&lt;wsp:rsid wsp:val=&quot;00035EF2&quot;/&gt;&lt;wsp:rsid wsp:val=&quot;00035F88&quot;/&gt;&lt;wsp:rsid wsp:val=&quot;0003623F&quot;/&gt;&lt;wsp:rsid wsp:val=&quot;000362AD&quot;/&gt;&lt;wsp:rsid wsp:val=&quot;0003637C&quot;/&gt;&lt;wsp:rsid wsp:val=&quot;0003660F&quot;/&gt;&lt;wsp:rsid wsp:val=&quot;0003674C&quot;/&gt;&lt;wsp:rsid wsp:val=&quot;00036858&quot;/&gt;&lt;wsp:rsid wsp:val=&quot;00036879&quot;/&gt;&lt;wsp:rsid wsp:val=&quot;00036927&quot;/&gt;&lt;wsp:rsid wsp:val=&quot;00036BA6&quot;/&gt;&lt;wsp:rsid wsp:val=&quot;00036DDB&quot;/&gt;&lt;wsp:rsid wsp:val=&quot;00036EE1&quot;/&gt;&lt;wsp:rsid wsp:val=&quot;00036F69&quot;/&gt;&lt;wsp:rsid wsp:val=&quot;00036F9A&quot;/&gt;&lt;wsp:rsid wsp:val=&quot;00037226&quot;/&gt;&lt;wsp:rsid wsp:val=&quot;00037958&quot;/&gt;&lt;wsp:rsid wsp:val=&quot;000379F1&quot;/&gt;&lt;wsp:rsid wsp:val=&quot;00037C3A&quot;/&gt;&lt;wsp:rsid wsp:val=&quot;000402C0&quot;/&gt;&lt;wsp:rsid wsp:val=&quot;000402CF&quot;/&gt;&lt;wsp:rsid wsp:val=&quot;00040374&quot;/&gt;&lt;wsp:rsid wsp:val=&quot;000403AB&quot;/&gt;&lt;wsp:rsid wsp:val=&quot;00040480&quot;/&gt;&lt;wsp:rsid wsp:val=&quot;000404FC&quot;/&gt;&lt;wsp:rsid wsp:val=&quot;000405C1&quot;/&gt;&lt;wsp:rsid wsp:val=&quot;00040B9C&quot;/&gt;&lt;wsp:rsid wsp:val=&quot;00040D5F&quot;/&gt;&lt;wsp:rsid wsp:val=&quot;000411E5&quot;/&gt;&lt;wsp:rsid wsp:val=&quot;000417F9&quot;/&gt;&lt;wsp:rsid wsp:val=&quot;00041BEE&quot;/&gt;&lt;wsp:rsid wsp:val=&quot;00041BF2&quot;/&gt;&lt;wsp:rsid wsp:val=&quot;00042019&quot;/&gt;&lt;wsp:rsid wsp:val=&quot;00042028&quot;/&gt;&lt;wsp:rsid wsp:val=&quot;00042046&quot;/&gt;&lt;wsp:rsid wsp:val=&quot;00042119&quot;/&gt;&lt;wsp:rsid wsp:val=&quot;000422BD&quot;/&gt;&lt;wsp:rsid wsp:val=&quot;000427F7&quot;/&gt;&lt;wsp:rsid wsp:val=&quot;000429E9&quot;/&gt;&lt;wsp:rsid wsp:val=&quot;00042C96&quot;/&gt;&lt;wsp:rsid wsp:val=&quot;00042D4F&quot;/&gt;&lt;wsp:rsid wsp:val=&quot;00042E01&quot;/&gt;&lt;wsp:rsid wsp:val=&quot;00042EE0&quot;/&gt;&lt;wsp:rsid wsp:val=&quot;00042F6C&quot;/&gt;&lt;wsp:rsid wsp:val=&quot;0004301F&quot;/&gt;&lt;wsp:rsid wsp:val=&quot;000437D7&quot;/&gt;&lt;wsp:rsid wsp:val=&quot;000439D5&quot;/&gt;&lt;wsp:rsid wsp:val=&quot;00043B2E&quot;/&gt;&lt;wsp:rsid wsp:val=&quot;00043EAC&quot;/&gt;&lt;wsp:rsid wsp:val=&quot;00044260&quot;/&gt;&lt;wsp:rsid wsp:val=&quot;00044329&quot;/&gt;&lt;wsp:rsid wsp:val=&quot;00044548&quot;/&gt;&lt;wsp:rsid wsp:val=&quot;000446A1&quot;/&gt;&lt;wsp:rsid wsp:val=&quot;00044713&quot;/&gt;&lt;wsp:rsid wsp:val=&quot;00044C34&quot;/&gt;&lt;wsp:rsid wsp:val=&quot;00044C47&quot;/&gt;&lt;wsp:rsid wsp:val=&quot;00044DEF&quot;/&gt;&lt;wsp:rsid wsp:val=&quot;00044E51&quot;/&gt;&lt;wsp:rsid wsp:val=&quot;0004530D&quot;/&gt;&lt;wsp:rsid wsp:val=&quot;00045455&quot;/&gt;&lt;wsp:rsid wsp:val=&quot;0004552F&quot;/&gt;&lt;wsp:rsid wsp:val=&quot;00045687&quot;/&gt;&lt;wsp:rsid wsp:val=&quot;00045A1C&quot;/&gt;&lt;wsp:rsid wsp:val=&quot;00045D77&quot;/&gt;&lt;wsp:rsid wsp:val=&quot;00045EEF&quot;/&gt;&lt;wsp:rsid wsp:val=&quot;00046045&quot;/&gt;&lt;wsp:rsid wsp:val=&quot;00046111&quot;/&gt;&lt;wsp:rsid wsp:val=&quot;000462E7&quot;/&gt;&lt;wsp:rsid wsp:val=&quot;0004632E&quot;/&gt;&lt;wsp:rsid wsp:val=&quot;00046422&quot;/&gt;&lt;wsp:rsid wsp:val=&quot;00046592&quot;/&gt;&lt;wsp:rsid wsp:val=&quot;0004684E&quot;/&gt;&lt;wsp:rsid wsp:val=&quot;00046978&quot;/&gt;&lt;wsp:rsid wsp:val=&quot;00046CD9&quot;/&gt;&lt;wsp:rsid wsp:val=&quot;00046E4E&quot;/&gt;&lt;wsp:rsid wsp:val=&quot;00046F4C&quot;/&gt;&lt;wsp:rsid wsp:val=&quot;00047274&quot;/&gt;&lt;wsp:rsid wsp:val=&quot;00047BC8&quot;/&gt;&lt;wsp:rsid wsp:val=&quot;00047C9A&quot;/&gt;&lt;wsp:rsid wsp:val=&quot;00047FBF&quot;/&gt;&lt;wsp:rsid wsp:val=&quot;00050255&quot;/&gt;&lt;wsp:rsid wsp:val=&quot;00050357&quot;/&gt;&lt;wsp:rsid wsp:val=&quot;00050452&quot;/&gt;&lt;wsp:rsid wsp:val=&quot;000506D2&quot;/&gt;&lt;wsp:rsid wsp:val=&quot;00050A1C&quot;/&gt;&lt;wsp:rsid wsp:val=&quot;00050B6D&quot;/&gt;&lt;wsp:rsid wsp:val=&quot;00050CAA&quot;/&gt;&lt;wsp:rsid wsp:val=&quot;00050CCB&quot;/&gt;&lt;wsp:rsid wsp:val=&quot;00050CD7&quot;/&gt;&lt;wsp:rsid wsp:val=&quot;000517F8&quot;/&gt;&lt;wsp:rsid wsp:val=&quot;0005185E&quot;/&gt;&lt;wsp:rsid wsp:val=&quot;00051BD8&quot;/&gt;&lt;wsp:rsid wsp:val=&quot;000521C0&quot;/&gt;&lt;wsp:rsid wsp:val=&quot;00052591&quot;/&gt;&lt;wsp:rsid wsp:val=&quot;000526A3&quot;/&gt;&lt;wsp:rsid wsp:val=&quot;00052AB6&quot;/&gt;&lt;wsp:rsid wsp:val=&quot;00052AF9&quot;/&gt;&lt;wsp:rsid wsp:val=&quot;00052CE0&quot;/&gt;&lt;wsp:rsid wsp:val=&quot;000532EF&quot;/&gt;&lt;wsp:rsid wsp:val=&quot;00053527&quot;/&gt;&lt;wsp:rsid wsp:val=&quot;0005363B&quot;/&gt;&lt;wsp:rsid wsp:val=&quot;000536CC&quot;/&gt;&lt;wsp:rsid wsp:val=&quot;00053721&quot;/&gt;&lt;wsp:rsid wsp:val=&quot;0005397E&quot;/&gt;&lt;wsp:rsid wsp:val=&quot;00053A48&quot;/&gt;&lt;wsp:rsid wsp:val=&quot;00053B18&quot;/&gt;&lt;wsp:rsid wsp:val=&quot;00053B2C&quot;/&gt;&lt;wsp:rsid wsp:val=&quot;00053D6C&quot;/&gt;&lt;wsp:rsid wsp:val=&quot;00054079&quot;/&gt;&lt;wsp:rsid wsp:val=&quot;0005416F&quot;/&gt;&lt;wsp:rsid wsp:val=&quot;00054290&quot;/&gt;&lt;wsp:rsid wsp:val=&quot;000543BD&quot;/&gt;&lt;wsp:rsid wsp:val=&quot;000543E3&quot;/&gt;&lt;wsp:rsid wsp:val=&quot;00054CBF&quot;/&gt;&lt;wsp:rsid wsp:val=&quot;00055108&quot;/&gt;&lt;wsp:rsid wsp:val=&quot;0005516A&quot;/&gt;&lt;wsp:rsid wsp:val=&quot;00055190&quot;/&gt;&lt;wsp:rsid wsp:val=&quot;000553C6&quot;/&gt;&lt;wsp:rsid wsp:val=&quot;0005546B&quot;/&gt;&lt;wsp:rsid wsp:val=&quot;000555AB&quot;/&gt;&lt;wsp:rsid wsp:val=&quot;0005563C&quot;/&gt;&lt;wsp:rsid wsp:val=&quot;00055AE5&quot;/&gt;&lt;wsp:rsid wsp:val=&quot;00055E7A&quot;/&gt;&lt;wsp:rsid wsp:val=&quot;0005622E&quot;/&gt;&lt;wsp:rsid wsp:val=&quot;00056774&quot;/&gt;&lt;wsp:rsid wsp:val=&quot;0005697C&quot;/&gt;&lt;wsp:rsid wsp:val=&quot;00056AF5&quot;/&gt;&lt;wsp:rsid wsp:val=&quot;00056C0B&quot;/&gt;&lt;wsp:rsid wsp:val=&quot;00056CA4&quot;/&gt;&lt;wsp:rsid wsp:val=&quot;00056D7C&quot;/&gt;&lt;wsp:rsid wsp:val=&quot;00056DAB&quot;/&gt;&lt;wsp:rsid wsp:val=&quot;00056DAE&quot;/&gt;&lt;wsp:rsid wsp:val=&quot;00056F76&quot;/&gt;&lt;wsp:rsid wsp:val=&quot;00056FC1&quot;/&gt;&lt;wsp:rsid wsp:val=&quot;000570AF&quot;/&gt;&lt;wsp:rsid wsp:val=&quot;00057385&quot;/&gt;&lt;wsp:rsid wsp:val=&quot;000573B8&quot;/&gt;&lt;wsp:rsid wsp:val=&quot;000574F7&quot;/&gt;&lt;wsp:rsid wsp:val=&quot;000576CD&quot;/&gt;&lt;wsp:rsid wsp:val=&quot;00057D71&quot;/&gt;&lt;wsp:rsid wsp:val=&quot;00057D7E&quot;/&gt;&lt;wsp:rsid wsp:val=&quot;00057E83&quot;/&gt;&lt;wsp:rsid wsp:val=&quot;00057EB6&quot;/&gt;&lt;wsp:rsid wsp:val=&quot;000603DC&quot;/&gt;&lt;wsp:rsid wsp:val=&quot;000605F1&quot;/&gt;&lt;wsp:rsid wsp:val=&quot;000607A3&quot;/&gt;&lt;wsp:rsid wsp:val=&quot;00060D4B&quot;/&gt;&lt;wsp:rsid wsp:val=&quot;00060DF7&quot;/&gt;&lt;wsp:rsid wsp:val=&quot;00060E74&quot;/&gt;&lt;wsp:rsid wsp:val=&quot;0006103F&quot;/&gt;&lt;wsp:rsid wsp:val=&quot;0006106D&quot;/&gt;&lt;wsp:rsid wsp:val=&quot;0006118D&quot;/&gt;&lt;wsp:rsid wsp:val=&quot;000612D8&quot;/&gt;&lt;wsp:rsid wsp:val=&quot;000614D2&quot;/&gt;&lt;wsp:rsid wsp:val=&quot;00061AB7&quot;/&gt;&lt;wsp:rsid wsp:val=&quot;00061B46&quot;/&gt;&lt;wsp:rsid wsp:val=&quot;00062099&quot;/&gt;&lt;wsp:rsid wsp:val=&quot;0006244C&quot;/&gt;&lt;wsp:rsid wsp:val=&quot;00062548&quot;/&gt;&lt;wsp:rsid wsp:val=&quot;000625E8&quot;/&gt;&lt;wsp:rsid wsp:val=&quot;00062AEB&quot;/&gt;&lt;wsp:rsid wsp:val=&quot;00062BB2&quot;/&gt;&lt;wsp:rsid wsp:val=&quot;00063298&quot;/&gt;&lt;wsp:rsid wsp:val=&quot;00063552&quot;/&gt;&lt;wsp:rsid wsp:val=&quot;0006357F&quot;/&gt;&lt;wsp:rsid wsp:val=&quot;00063C41&quot;/&gt;&lt;wsp:rsid wsp:val=&quot;00063EDF&quot;/&gt;&lt;wsp:rsid wsp:val=&quot;00063EE0&quot;/&gt;&lt;wsp:rsid wsp:val=&quot;000642C7&quot;/&gt;&lt;wsp:rsid wsp:val=&quot;000646EC&quot;/&gt;&lt;wsp:rsid wsp:val=&quot;000649F8&quot;/&gt;&lt;wsp:rsid wsp:val=&quot;00064CD2&quot;/&gt;&lt;wsp:rsid wsp:val=&quot;00064F8D&quot;/&gt;&lt;wsp:rsid wsp:val=&quot;0006543A&quot;/&gt;&lt;wsp:rsid wsp:val=&quot;000654BE&quot;/&gt;&lt;wsp:rsid wsp:val=&quot;0006572E&quot;/&gt;&lt;wsp:rsid wsp:val=&quot;0006574B&quot;/&gt;&lt;wsp:rsid wsp:val=&quot;00065F98&quot;/&gt;&lt;wsp:rsid wsp:val=&quot;00066234&quot;/&gt;&lt;wsp:rsid wsp:val=&quot;000663D4&quot;/&gt;&lt;wsp:rsid wsp:val=&quot;000664F2&quot;/&gt;&lt;wsp:rsid wsp:val=&quot;0006663E&quot;/&gt;&lt;wsp:rsid wsp:val=&quot;00066984&quot;/&gt;&lt;wsp:rsid wsp:val=&quot;00066E67&quot;/&gt;&lt;wsp:rsid wsp:val=&quot;00066F6E&quot;/&gt;&lt;wsp:rsid wsp:val=&quot;00066F8D&quot;/&gt;&lt;wsp:rsid wsp:val=&quot;000670C8&quot;/&gt;&lt;wsp:rsid wsp:val=&quot;0006739A&quot;/&gt;&lt;wsp:rsid wsp:val=&quot;00067C40&quot;/&gt;&lt;wsp:rsid wsp:val=&quot;00067C54&quot;/&gt;&lt;wsp:rsid wsp:val=&quot;00067E5E&quot;/&gt;&lt;wsp:rsid wsp:val=&quot;00067FDD&quot;/&gt;&lt;wsp:rsid wsp:val=&quot;000707EF&quot;/&gt;&lt;wsp:rsid wsp:val=&quot;00070D4A&quot;/&gt;&lt;wsp:rsid wsp:val=&quot;0007105F&quot;/&gt;&lt;wsp:rsid wsp:val=&quot;000711E6&quot;/&gt;&lt;wsp:rsid wsp:val=&quot;0007133F&quot;/&gt;&lt;wsp:rsid wsp:val=&quot;00071465&quot;/&gt;&lt;wsp:rsid wsp:val=&quot;0007146A&quot;/&gt;&lt;wsp:rsid wsp:val=&quot;0007198E&quot;/&gt;&lt;wsp:rsid wsp:val=&quot;00071B7B&quot;/&gt;&lt;wsp:rsid wsp:val=&quot;00071B9F&quot;/&gt;&lt;wsp:rsid wsp:val=&quot;0007207A&quot;/&gt;&lt;wsp:rsid wsp:val=&quot;000722DC&quot;/&gt;&lt;wsp:rsid wsp:val=&quot;000725E4&quot;/&gt;&lt;wsp:rsid wsp:val=&quot;000725ED&quot;/&gt;&lt;wsp:rsid wsp:val=&quot;0007296F&quot;/&gt;&lt;wsp:rsid wsp:val=&quot;00072A67&quot;/&gt;&lt;wsp:rsid wsp:val=&quot;00072E1D&quot;/&gt;&lt;wsp:rsid wsp:val=&quot;00073176&quot;/&gt;&lt;wsp:rsid wsp:val=&quot;0007317A&quot;/&gt;&lt;wsp:rsid wsp:val=&quot;000734DE&quot;/&gt;&lt;wsp:rsid wsp:val=&quot;0007391A&quot;/&gt;&lt;wsp:rsid wsp:val=&quot;0007393C&quot;/&gt;&lt;wsp:rsid wsp:val=&quot;000739D4&quot;/&gt;&lt;wsp:rsid wsp:val=&quot;00073AE8&quot;/&gt;&lt;wsp:rsid wsp:val=&quot;00073D00&quot;/&gt;&lt;wsp:rsid wsp:val=&quot;00073D9E&quot;/&gt;&lt;wsp:rsid wsp:val=&quot;00074017&quot;/&gt;&lt;wsp:rsid wsp:val=&quot;00074258&quot;/&gt;&lt;wsp:rsid wsp:val=&quot;00074BC8&quot;/&gt;&lt;wsp:rsid wsp:val=&quot;00074CA1&quot;/&gt;&lt;wsp:rsid wsp:val=&quot;00074DBF&quot;/&gt;&lt;wsp:rsid wsp:val=&quot;00074E4E&quot;/&gt;&lt;wsp:rsid wsp:val=&quot;000754B8&quot;/&gt;&lt;wsp:rsid wsp:val=&quot;00075569&quot;/&gt;&lt;wsp:rsid wsp:val=&quot;00075596&quot;/&gt;&lt;wsp:rsid wsp:val=&quot;00075953&quot;/&gt;&lt;wsp:rsid wsp:val=&quot;00075A1F&quot;/&gt;&lt;wsp:rsid wsp:val=&quot;00075C91&quot;/&gt;&lt;wsp:rsid wsp:val=&quot;00075EA8&quot;/&gt;&lt;wsp:rsid wsp:val=&quot;00075F0F&quot;/&gt;&lt;wsp:rsid wsp:val=&quot;00075F90&quot;/&gt;&lt;wsp:rsid wsp:val=&quot;00076556&quot;/&gt;&lt;wsp:rsid wsp:val=&quot;00076E41&quot;/&gt;&lt;wsp:rsid wsp:val=&quot;00076E64&quot;/&gt;&lt;wsp:rsid wsp:val=&quot;00076FEF&quot;/&gt;&lt;wsp:rsid wsp:val=&quot;0007723F&quot;/&gt;&lt;wsp:rsid wsp:val=&quot;000774FA&quot;/&gt;&lt;wsp:rsid wsp:val=&quot;0007758A&quot;/&gt;&lt;wsp:rsid wsp:val=&quot;00077665&quot;/&gt;&lt;wsp:rsid wsp:val=&quot;000776B5&quot;/&gt;&lt;wsp:rsid wsp:val=&quot;000777A1&quot;/&gt;&lt;wsp:rsid wsp:val=&quot;0007793B&quot;/&gt;&lt;wsp:rsid wsp:val=&quot;00077C9D&quot;/&gt;&lt;wsp:rsid wsp:val=&quot;00077CD8&quot;/&gt;&lt;wsp:rsid wsp:val=&quot;00077D17&quot;/&gt;&lt;wsp:rsid wsp:val=&quot;00077EB6&quot;/&gt;&lt;wsp:rsid wsp:val=&quot;0008008C&quot;/&gt;&lt;wsp:rsid wsp:val=&quot;0008026A&quot;/&gt;&lt;wsp:rsid wsp:val=&quot;00080292&quot;/&gt;&lt;wsp:rsid wsp:val=&quot;00080A44&quot;/&gt;&lt;wsp:rsid wsp:val=&quot;00080CD8&quot;/&gt;&lt;wsp:rsid wsp:val=&quot;000810AC&quot;/&gt;&lt;wsp:rsid wsp:val=&quot;000811A9&quot;/&gt;&lt;wsp:rsid wsp:val=&quot;000811ED&quot;/&gt;&lt;wsp:rsid wsp:val=&quot;0008191C&quot;/&gt;&lt;wsp:rsid wsp:val=&quot;00081A47&quot;/&gt;&lt;wsp:rsid wsp:val=&quot;00081C9A&quot;/&gt;&lt;wsp:rsid wsp:val=&quot;00081CBA&quot;/&gt;&lt;wsp:rsid wsp:val=&quot;00081CCC&quot;/&gt;&lt;wsp:rsid wsp:val=&quot;00081DC6&quot;/&gt;&lt;wsp:rsid wsp:val=&quot;00081E93&quot;/&gt;&lt;wsp:rsid wsp:val=&quot;00081F13&quot;/&gt;&lt;wsp:rsid wsp:val=&quot;00082145&quot;/&gt;&lt;wsp:rsid wsp:val=&quot;000823DA&quot;/&gt;&lt;wsp:rsid wsp:val=&quot;00082562&quot;/&gt;&lt;wsp:rsid wsp:val=&quot;000828B1&quot;/&gt;&lt;wsp:rsid wsp:val=&quot;00082B28&quot;/&gt;&lt;wsp:rsid wsp:val=&quot;00082BEB&quot;/&gt;&lt;wsp:rsid wsp:val=&quot;00082D42&quot;/&gt;&lt;wsp:rsid wsp:val=&quot;00082D51&quot;/&gt;&lt;wsp:rsid wsp:val=&quot;00082D79&quot;/&gt;&lt;wsp:rsid wsp:val=&quot;00082E87&quot;/&gt;&lt;wsp:rsid wsp:val=&quot;00083037&quot;/&gt;&lt;wsp:rsid wsp:val=&quot;00083089&quot;/&gt;&lt;wsp:rsid wsp:val=&quot;000831EF&quot;/&gt;&lt;wsp:rsid wsp:val=&quot;00083487&quot;/&gt;&lt;wsp:rsid wsp:val=&quot;0008358F&quot;/&gt;&lt;wsp:rsid wsp:val=&quot;000836A3&quot;/&gt;&lt;wsp:rsid wsp:val=&quot;000837C1&quot;/&gt;&lt;wsp:rsid wsp:val=&quot;00083BD3&quot;/&gt;&lt;wsp:rsid wsp:val=&quot;00083D85&quot;/&gt;&lt;wsp:rsid wsp:val=&quot;00083F1A&quot;/&gt;&lt;wsp:rsid wsp:val=&quot;000841BC&quot;/&gt;&lt;wsp:rsid wsp:val=&quot;000842A7&quot;/&gt;&lt;wsp:rsid wsp:val=&quot;000844FD&quot;/&gt;&lt;wsp:rsid wsp:val=&quot;000846CB&quot;/&gt;&lt;wsp:rsid wsp:val=&quot;0008471E&quot;/&gt;&lt;wsp:rsid wsp:val=&quot;00084F2B&quot;/&gt;&lt;wsp:rsid wsp:val=&quot;00085136&quot;/&gt;&lt;wsp:rsid wsp:val=&quot;0008522C&quot;/&gt;&lt;wsp:rsid wsp:val=&quot;0008526E&quot;/&gt;&lt;wsp:rsid wsp:val=&quot;00085B96&quot;/&gt;&lt;wsp:rsid wsp:val=&quot;0008603B&quot;/&gt;&lt;wsp:rsid wsp:val=&quot;00086240&quot;/&gt;&lt;wsp:rsid wsp:val=&quot;000862AC&quot;/&gt;&lt;wsp:rsid wsp:val=&quot;00086370&quot;/&gt;&lt;wsp:rsid wsp:val=&quot;00086975&quot;/&gt;&lt;wsp:rsid wsp:val=&quot;00086990&quot;/&gt;&lt;wsp:rsid wsp:val=&quot;00086C54&quot;/&gt;&lt;wsp:rsid wsp:val=&quot;00086D56&quot;/&gt;&lt;wsp:rsid wsp:val=&quot;00086D7A&quot;/&gt;&lt;wsp:rsid wsp:val=&quot;00086D7B&quot;/&gt;&lt;wsp:rsid wsp:val=&quot;0008705E&quot;/&gt;&lt;wsp:rsid wsp:val=&quot;00087316&quot;/&gt;&lt;wsp:rsid wsp:val=&quot;00087434&quot;/&gt;&lt;wsp:rsid wsp:val=&quot;000875D2&quot;/&gt;&lt;wsp:rsid wsp:val=&quot;000876C9&quot;/&gt;&lt;wsp:rsid wsp:val=&quot;000878F1&quot;/&gt;&lt;wsp:rsid wsp:val=&quot;00087C3C&quot;/&gt;&lt;wsp:rsid wsp:val=&quot;00087D8D&quot;/&gt;&lt;wsp:rsid wsp:val=&quot;000905E8&quot;/&gt;&lt;wsp:rsid wsp:val=&quot;00090813&quot;/&gt;&lt;wsp:rsid wsp:val=&quot;00090A18&quot;/&gt;&lt;wsp:rsid wsp:val=&quot;00090AC8&quot;/&gt;&lt;wsp:rsid wsp:val=&quot;00090CF4&quot;/&gt;&lt;wsp:rsid wsp:val=&quot;000913AE&quot;/&gt;&lt;wsp:rsid wsp:val=&quot;000914F2&quot;/&gt;&lt;wsp:rsid wsp:val=&quot;00091514&quot;/&gt;&lt;wsp:rsid wsp:val=&quot;00091557&quot;/&gt;&lt;wsp:rsid wsp:val=&quot;00091602&quot;/&gt;&lt;wsp:rsid wsp:val=&quot;00091625&quot;/&gt;&lt;wsp:rsid wsp:val=&quot;00091626&quot;/&gt;&lt;wsp:rsid wsp:val=&quot;00091837&quot;/&gt;&lt;wsp:rsid wsp:val=&quot;00091B14&quot;/&gt;&lt;wsp:rsid wsp:val=&quot;00091EEC&quot;/&gt;&lt;wsp:rsid wsp:val=&quot;00092224&quot;/&gt;&lt;wsp:rsid wsp:val=&quot;000924C4&quot;/&gt;&lt;wsp:rsid wsp:val=&quot;000924CE&quot;/&gt;&lt;wsp:rsid wsp:val=&quot;000927FB&quot;/&gt;&lt;wsp:rsid wsp:val=&quot;000929EB&quot;/&gt;&lt;wsp:rsid wsp:val=&quot;00092C69&quot;/&gt;&lt;wsp:rsid wsp:val=&quot;00092F22&quot;/&gt;&lt;wsp:rsid wsp:val=&quot;00093090&quot;/&gt;&lt;wsp:rsid wsp:val=&quot;0009336D&quot;/&gt;&lt;wsp:rsid wsp:val=&quot;000933F1&quot;/&gt;&lt;wsp:rsid wsp:val=&quot;0009340B&quot;/&gt;&lt;wsp:rsid wsp:val=&quot;0009354C&quot;/&gt;&lt;wsp:rsid wsp:val=&quot;00093598&quot;/&gt;&lt;wsp:rsid wsp:val=&quot;000937DA&quot;/&gt;&lt;wsp:rsid wsp:val=&quot;0009385E&quot;/&gt;&lt;wsp:rsid wsp:val=&quot;000939B0&quot;/&gt;&lt;wsp:rsid wsp:val=&quot;00093AED&quot;/&gt;&lt;wsp:rsid wsp:val=&quot;00093BE1&quot;/&gt;&lt;wsp:rsid wsp:val=&quot;00093E99&quot;/&gt;&lt;wsp:rsid wsp:val=&quot;00094557&quot;/&gt;&lt;wsp:rsid wsp:val=&quot;000945F6&quot;/&gt;&lt;wsp:rsid wsp:val=&quot;00094778&quot;/&gt;&lt;wsp:rsid wsp:val=&quot;00094FA3&quot;/&gt;&lt;wsp:rsid wsp:val=&quot;00094FAD&quot;/&gt;&lt;wsp:rsid wsp:val=&quot;00095351&quot;/&gt;&lt;wsp:rsid wsp:val=&quot;000958F8&quot;/&gt;&lt;wsp:rsid wsp:val=&quot;00095B50&quot;/&gt;&lt;wsp:rsid wsp:val=&quot;00096171&quot;/&gt;&lt;wsp:rsid wsp:val=&quot;000962D6&quot;/&gt;&lt;wsp:rsid wsp:val=&quot;0009632E&quot;/&gt;&lt;wsp:rsid wsp:val=&quot;0009639C&quot;/&gt;&lt;wsp:rsid wsp:val=&quot;000965F0&quot;/&gt;&lt;wsp:rsid wsp:val=&quot;00096756&quot;/&gt;&lt;wsp:rsid wsp:val=&quot;00096799&quot;/&gt;&lt;wsp:rsid wsp:val=&quot;00097069&quot;/&gt;&lt;wsp:rsid wsp:val=&quot;000974FF&quot;/&gt;&lt;wsp:rsid wsp:val=&quot;00097517&quot;/&gt;&lt;wsp:rsid wsp:val=&quot;000976FE&quot;/&gt;&lt;wsp:rsid wsp:val=&quot;00097BA3&quot;/&gt;&lt;wsp:rsid wsp:val=&quot;00097C02&quot;/&gt;&lt;wsp:rsid wsp:val=&quot;00097EB6&quot;/&gt;&lt;wsp:rsid wsp:val=&quot;00097F4D&quot;/&gt;&lt;wsp:rsid wsp:val=&quot;000A025E&quot;/&gt;&lt;wsp:rsid wsp:val=&quot;000A0353&quot;/&gt;&lt;wsp:rsid wsp:val=&quot;000A06E5&quot;/&gt;&lt;wsp:rsid wsp:val=&quot;000A09A8&quot;/&gt;&lt;wsp:rsid wsp:val=&quot;000A0DAB&quot;/&gt;&lt;wsp:rsid wsp:val=&quot;000A0F2E&quot;/&gt;&lt;wsp:rsid wsp:val=&quot;000A11CB&quot;/&gt;&lt;wsp:rsid wsp:val=&quot;000A12A2&quot;/&gt;&lt;wsp:rsid wsp:val=&quot;000A13EF&quot;/&gt;&lt;wsp:rsid wsp:val=&quot;000A154F&quot;/&gt;&lt;wsp:rsid wsp:val=&quot;000A1575&quot;/&gt;&lt;wsp:rsid wsp:val=&quot;000A18A2&quot;/&gt;&lt;wsp:rsid wsp:val=&quot;000A18F6&quot;/&gt;&lt;wsp:rsid wsp:val=&quot;000A1C6B&quot;/&gt;&lt;wsp:rsid wsp:val=&quot;000A1D6E&quot;/&gt;&lt;wsp:rsid wsp:val=&quot;000A20FA&quot;/&gt;&lt;wsp:rsid wsp:val=&quot;000A21A3&quot;/&gt;&lt;wsp:rsid wsp:val=&quot;000A21DA&quot;/&gt;&lt;wsp:rsid wsp:val=&quot;000A2553&quot;/&gt;&lt;wsp:rsid wsp:val=&quot;000A26C4&quot;/&gt;&lt;wsp:rsid wsp:val=&quot;000A2743&quot;/&gt;&lt;wsp:rsid wsp:val=&quot;000A2928&quot;/&gt;&lt;wsp:rsid wsp:val=&quot;000A29AD&quot;/&gt;&lt;wsp:rsid wsp:val=&quot;000A3054&quot;/&gt;&lt;wsp:rsid wsp:val=&quot;000A3BA8&quot;/&gt;&lt;wsp:rsid wsp:val=&quot;000A3EA2&quot;/&gt;&lt;wsp:rsid wsp:val=&quot;000A3FFB&quot;/&gt;&lt;wsp:rsid wsp:val=&quot;000A42E1&quot;/&gt;&lt;wsp:rsid wsp:val=&quot;000A4552&quot;/&gt;&lt;wsp:rsid wsp:val=&quot;000A4AE6&quot;/&gt;&lt;wsp:rsid wsp:val=&quot;000A4F83&quot;/&gt;&lt;wsp:rsid wsp:val=&quot;000A51CF&quot;/&gt;&lt;wsp:rsid wsp:val=&quot;000A5294&quot;/&gt;&lt;wsp:rsid wsp:val=&quot;000A544B&quot;/&gt;&lt;wsp:rsid wsp:val=&quot;000A572A&quot;/&gt;&lt;wsp:rsid wsp:val=&quot;000A58B9&quot;/&gt;&lt;wsp:rsid wsp:val=&quot;000A5932&quot;/&gt;&lt;wsp:rsid wsp:val=&quot;000A5D1D&quot;/&gt;&lt;wsp:rsid wsp:val=&quot;000A5FF2&quot;/&gt;&lt;wsp:rsid wsp:val=&quot;000A603D&quot;/&gt;&lt;wsp:rsid wsp:val=&quot;000A62BB&quot;/&gt;&lt;wsp:rsid wsp:val=&quot;000A6491&quot;/&gt;&lt;wsp:rsid wsp:val=&quot;000A6813&quot;/&gt;&lt;wsp:rsid wsp:val=&quot;000A6ECC&quot;/&gt;&lt;wsp:rsid wsp:val=&quot;000A743E&quot;/&gt;&lt;wsp:rsid wsp:val=&quot;000A749F&quot;/&gt;&lt;wsp:rsid wsp:val=&quot;000A75C0&quot;/&gt;&lt;wsp:rsid wsp:val=&quot;000A76A8&quot;/&gt;&lt;wsp:rsid wsp:val=&quot;000A7A9B&quot;/&gt;&lt;wsp:rsid wsp:val=&quot;000A7BED&quot;/&gt;&lt;wsp:rsid wsp:val=&quot;000A7C11&quot;/&gt;&lt;wsp:rsid wsp:val=&quot;000A7C8D&quot;/&gt;&lt;wsp:rsid wsp:val=&quot;000A7D08&quot;/&gt;&lt;wsp:rsid wsp:val=&quot;000A7E36&quot;/&gt;&lt;wsp:rsid wsp:val=&quot;000A7E91&quot;/&gt;&lt;wsp:rsid wsp:val=&quot;000A7F98&quot;/&gt;&lt;wsp:rsid wsp:val=&quot;000B0585&quot;/&gt;&lt;wsp:rsid wsp:val=&quot;000B082A&quot;/&gt;&lt;wsp:rsid wsp:val=&quot;000B0977&quot;/&gt;&lt;wsp:rsid wsp:val=&quot;000B0CEF&quot;/&gt;&lt;wsp:rsid wsp:val=&quot;000B11D6&quot;/&gt;&lt;wsp:rsid wsp:val=&quot;000B1547&quot;/&gt;&lt;wsp:rsid wsp:val=&quot;000B1840&quot;/&gt;&lt;wsp:rsid wsp:val=&quot;000B185A&quot;/&gt;&lt;wsp:rsid wsp:val=&quot;000B188D&quot;/&gt;&lt;wsp:rsid wsp:val=&quot;000B1DC1&quot;/&gt;&lt;wsp:rsid wsp:val=&quot;000B22FC&quot;/&gt;&lt;wsp:rsid wsp:val=&quot;000B2680&quot;/&gt;&lt;wsp:rsid wsp:val=&quot;000B2917&quot;/&gt;&lt;wsp:rsid wsp:val=&quot;000B29EC&quot;/&gt;&lt;wsp:rsid wsp:val=&quot;000B2A02&quot;/&gt;&lt;wsp:rsid wsp:val=&quot;000B2A05&quot;/&gt;&lt;wsp:rsid wsp:val=&quot;000B2ADC&quot;/&gt;&lt;wsp:rsid wsp:val=&quot;000B2DD1&quot;/&gt;&lt;wsp:rsid wsp:val=&quot;000B2E58&quot;/&gt;&lt;wsp:rsid wsp:val=&quot;000B2F57&quot;/&gt;&lt;wsp:rsid wsp:val=&quot;000B30D3&quot;/&gt;&lt;wsp:rsid wsp:val=&quot;000B31DB&quot;/&gt;&lt;wsp:rsid wsp:val=&quot;000B38CB&quot;/&gt;&lt;wsp:rsid wsp:val=&quot;000B41FF&quot;/&gt;&lt;wsp:rsid wsp:val=&quot;000B46A3&quot;/&gt;&lt;wsp:rsid wsp:val=&quot;000B4BB2&quot;/&gt;&lt;wsp:rsid wsp:val=&quot;000B4EAF&quot;/&gt;&lt;wsp:rsid wsp:val=&quot;000B5053&quot;/&gt;&lt;wsp:rsid wsp:val=&quot;000B5149&quot;/&gt;&lt;wsp:rsid wsp:val=&quot;000B516F&quot;/&gt;&lt;wsp:rsid wsp:val=&quot;000B5277&quot;/&gt;&lt;wsp:rsid wsp:val=&quot;000B54BD&quot;/&gt;&lt;wsp:rsid wsp:val=&quot;000B56A7&quot;/&gt;&lt;wsp:rsid wsp:val=&quot;000B5874&quot;/&gt;&lt;wsp:rsid wsp:val=&quot;000B59ED&quot;/&gt;&lt;wsp:rsid wsp:val=&quot;000B5BC9&quot;/&gt;&lt;wsp:rsid wsp:val=&quot;000B5D35&quot;/&gt;&lt;wsp:rsid wsp:val=&quot;000B5E8B&quot;/&gt;&lt;wsp:rsid wsp:val=&quot;000B6114&quot;/&gt;&lt;wsp:rsid wsp:val=&quot;000B611D&quot;/&gt;&lt;wsp:rsid wsp:val=&quot;000B6209&quot;/&gt;&lt;wsp:rsid wsp:val=&quot;000B6753&quot;/&gt;&lt;wsp:rsid wsp:val=&quot;000B68FC&quot;/&gt;&lt;wsp:rsid wsp:val=&quot;000B6A4C&quot;/&gt;&lt;wsp:rsid wsp:val=&quot;000B6AD8&quot;/&gt;&lt;wsp:rsid wsp:val=&quot;000B6B7B&quot;/&gt;&lt;wsp:rsid wsp:val=&quot;000B6CE3&quot;/&gt;&lt;wsp:rsid wsp:val=&quot;000B6EE8&quot;/&gt;&lt;wsp:rsid wsp:val=&quot;000B7670&quot;/&gt;&lt;wsp:rsid wsp:val=&quot;000B77D7&quot;/&gt;&lt;wsp:rsid wsp:val=&quot;000B781A&quot;/&gt;&lt;wsp:rsid wsp:val=&quot;000B7C55&quot;/&gt;&lt;wsp:rsid wsp:val=&quot;000B7E0C&quot;/&gt;&lt;wsp:rsid wsp:val=&quot;000B7E87&quot;/&gt;&lt;wsp:rsid wsp:val=&quot;000C0915&quot;/&gt;&lt;wsp:rsid wsp:val=&quot;000C0BF8&quot;/&gt;&lt;wsp:rsid wsp:val=&quot;000C0CC6&quot;/&gt;&lt;wsp:rsid wsp:val=&quot;000C1049&quot;/&gt;&lt;wsp:rsid wsp:val=&quot;000C15D5&quot;/&gt;&lt;wsp:rsid wsp:val=&quot;000C1CE0&quot;/&gt;&lt;wsp:rsid wsp:val=&quot;000C209A&quot;/&gt;&lt;wsp:rsid wsp:val=&quot;000C2172&quot;/&gt;&lt;wsp:rsid wsp:val=&quot;000C2179&quot;/&gt;&lt;wsp:rsid wsp:val=&quot;000C2191&quot;/&gt;&lt;wsp:rsid wsp:val=&quot;000C22A1&quot;/&gt;&lt;wsp:rsid wsp:val=&quot;000C24BD&quot;/&gt;&lt;wsp:rsid wsp:val=&quot;000C253F&quot;/&gt;&lt;wsp:rsid wsp:val=&quot;000C29A0&quot;/&gt;&lt;wsp:rsid wsp:val=&quot;000C29AF&quot;/&gt;&lt;wsp:rsid wsp:val=&quot;000C310B&quot;/&gt;&lt;wsp:rsid wsp:val=&quot;000C3212&quot;/&gt;&lt;wsp:rsid wsp:val=&quot;000C3338&quot;/&gt;&lt;wsp:rsid wsp:val=&quot;000C367B&quot;/&gt;&lt;wsp:rsid wsp:val=&quot;000C38A6&quot;/&gt;&lt;wsp:rsid wsp:val=&quot;000C38F7&quot;/&gt;&lt;wsp:rsid wsp:val=&quot;000C40C8&quot;/&gt;&lt;wsp:rsid wsp:val=&quot;000C4145&quot;/&gt;&lt;wsp:rsid wsp:val=&quot;000C441D&quot;/&gt;&lt;wsp:rsid wsp:val=&quot;000C45EE&quot;/&gt;&lt;wsp:rsid wsp:val=&quot;000C4686&quot;/&gt;&lt;wsp:rsid wsp:val=&quot;000C487B&quot;/&gt;&lt;wsp:rsid wsp:val=&quot;000C4906&quot;/&gt;&lt;wsp:rsid wsp:val=&quot;000C4A06&quot;/&gt;&lt;wsp:rsid wsp:val=&quot;000C4F4B&quot;/&gt;&lt;wsp:rsid wsp:val=&quot;000C5503&quot;/&gt;&lt;wsp:rsid wsp:val=&quot;000C5792&quot;/&gt;&lt;wsp:rsid wsp:val=&quot;000C5B98&quot;/&gt;&lt;wsp:rsid wsp:val=&quot;000C5BD6&quot;/&gt;&lt;wsp:rsid wsp:val=&quot;000C5D26&quot;/&gt;&lt;wsp:rsid wsp:val=&quot;000C5D6B&quot;/&gt;&lt;wsp:rsid wsp:val=&quot;000C5DC7&quot;/&gt;&lt;wsp:rsid wsp:val=&quot;000C5F22&quot;/&gt;&lt;wsp:rsid wsp:val=&quot;000C6447&quot;/&gt;&lt;wsp:rsid wsp:val=&quot;000C644C&quot;/&gt;&lt;wsp:rsid wsp:val=&quot;000C6650&quot;/&gt;&lt;wsp:rsid wsp:val=&quot;000C6787&quot;/&gt;&lt;wsp:rsid wsp:val=&quot;000C67D0&quot;/&gt;&lt;wsp:rsid wsp:val=&quot;000C6CC0&quot;/&gt;&lt;wsp:rsid wsp:val=&quot;000C7007&quot;/&gt;&lt;wsp:rsid wsp:val=&quot;000C7018&quot;/&gt;&lt;wsp:rsid wsp:val=&quot;000C7244&quot;/&gt;&lt;wsp:rsid wsp:val=&quot;000C724E&quot;/&gt;&lt;wsp:rsid wsp:val=&quot;000C728B&quot;/&gt;&lt;wsp:rsid wsp:val=&quot;000C7457&quot;/&gt;&lt;wsp:rsid wsp:val=&quot;000C747F&quot;/&gt;&lt;wsp:rsid wsp:val=&quot;000C74EA&quot;/&gt;&lt;wsp:rsid wsp:val=&quot;000C74F2&quot;/&gt;&lt;wsp:rsid wsp:val=&quot;000C74F4&quot;/&gt;&lt;wsp:rsid wsp:val=&quot;000C77D3&quot;/&gt;&lt;wsp:rsid wsp:val=&quot;000C77DA&quot;/&gt;&lt;wsp:rsid wsp:val=&quot;000C7A00&quot;/&gt;&lt;wsp:rsid wsp:val=&quot;000C7B7A&quot;/&gt;&lt;wsp:rsid wsp:val=&quot;000C7E5A&quot;/&gt;&lt;wsp:rsid wsp:val=&quot;000C7E79&quot;/&gt;&lt;wsp:rsid wsp:val=&quot;000C7F68&quot;/&gt;&lt;wsp:rsid wsp:val=&quot;000C7FB6&quot;/&gt;&lt;wsp:rsid wsp:val=&quot;000D0468&quot;/&gt;&lt;wsp:rsid wsp:val=&quot;000D0922&quot;/&gt;&lt;wsp:rsid wsp:val=&quot;000D09E5&quot;/&gt;&lt;wsp:rsid wsp:val=&quot;000D0F30&quot;/&gt;&lt;wsp:rsid wsp:val=&quot;000D13FF&quot;/&gt;&lt;wsp:rsid wsp:val=&quot;000D15B0&quot;/&gt;&lt;wsp:rsid wsp:val=&quot;000D1605&quot;/&gt;&lt;wsp:rsid wsp:val=&quot;000D1786&quot;/&gt;&lt;wsp:rsid wsp:val=&quot;000D21C1&quot;/&gt;&lt;wsp:rsid wsp:val=&quot;000D23D9&quot;/&gt;&lt;wsp:rsid wsp:val=&quot;000D2640&quot;/&gt;&lt;wsp:rsid wsp:val=&quot;000D2673&quot;/&gt;&lt;wsp:rsid wsp:val=&quot;000D2764&quot;/&gt;&lt;wsp:rsid wsp:val=&quot;000D29E1&quot;/&gt;&lt;wsp:rsid wsp:val=&quot;000D2D74&quot;/&gt;&lt;wsp:rsid wsp:val=&quot;000D2F23&quot;/&gt;&lt;wsp:rsid wsp:val=&quot;000D337C&quot;/&gt;&lt;wsp:rsid wsp:val=&quot;000D33EB&quot;/&gt;&lt;wsp:rsid wsp:val=&quot;000D34A8&quot;/&gt;&lt;wsp:rsid wsp:val=&quot;000D35DD&quot;/&gt;&lt;wsp:rsid wsp:val=&quot;000D3602&quot;/&gt;&lt;wsp:rsid wsp:val=&quot;000D3A9C&quot;/&gt;&lt;wsp:rsid wsp:val=&quot;000D3F77&quot;/&gt;&lt;wsp:rsid wsp:val=&quot;000D41D6&quot;/&gt;&lt;wsp:rsid wsp:val=&quot;000D435F&quot;/&gt;&lt;wsp:rsid wsp:val=&quot;000D4535&quot;/&gt;&lt;wsp:rsid wsp:val=&quot;000D47AB&quot;/&gt;&lt;wsp:rsid wsp:val=&quot;000D4B16&quot;/&gt;&lt;wsp:rsid wsp:val=&quot;000D4B6C&quot;/&gt;&lt;wsp:rsid wsp:val=&quot;000D4C5A&quot;/&gt;&lt;wsp:rsid wsp:val=&quot;000D541E&quot;/&gt;&lt;wsp:rsid wsp:val=&quot;000D55DC&quot;/&gt;&lt;wsp:rsid wsp:val=&quot;000D567C&quot;/&gt;&lt;wsp:rsid wsp:val=&quot;000D5744&quot;/&gt;&lt;wsp:rsid wsp:val=&quot;000D5931&quot;/&gt;&lt;wsp:rsid wsp:val=&quot;000D59DC&quot;/&gt;&lt;wsp:rsid wsp:val=&quot;000D5A6B&quot;/&gt;&lt;wsp:rsid wsp:val=&quot;000D5B5E&quot;/&gt;&lt;wsp:rsid wsp:val=&quot;000D5CCF&quot;/&gt;&lt;wsp:rsid wsp:val=&quot;000D5DDD&quot;/&gt;&lt;wsp:rsid wsp:val=&quot;000D64EE&quot;/&gt;&lt;wsp:rsid wsp:val=&quot;000D6AF7&quot;/&gt;&lt;wsp:rsid wsp:val=&quot;000D6CF5&quot;/&gt;&lt;wsp:rsid wsp:val=&quot;000D6E3B&quot;/&gt;&lt;wsp:rsid wsp:val=&quot;000D6F83&quot;/&gt;&lt;wsp:rsid wsp:val=&quot;000D6FD0&quot;/&gt;&lt;wsp:rsid wsp:val=&quot;000D7233&quot;/&gt;&lt;wsp:rsid wsp:val=&quot;000D72B5&quot;/&gt;&lt;wsp:rsid wsp:val=&quot;000D7333&quot;/&gt;&lt;wsp:rsid wsp:val=&quot;000D7476&quot;/&gt;&lt;wsp:rsid wsp:val=&quot;000D7ABE&quot;/&gt;&lt;wsp:rsid wsp:val=&quot;000D7B65&quot;/&gt;&lt;wsp:rsid wsp:val=&quot;000D7FAF&quot;/&gt;&lt;wsp:rsid wsp:val=&quot;000E06C3&quot;/&gt;&lt;wsp:rsid wsp:val=&quot;000E06EA&quot;/&gt;&lt;wsp:rsid wsp:val=&quot;000E130E&quot;/&gt;&lt;wsp:rsid wsp:val=&quot;000E14A9&quot;/&gt;&lt;wsp:rsid wsp:val=&quot;000E1540&quot;/&gt;&lt;wsp:rsid wsp:val=&quot;000E17F4&quot;/&gt;&lt;wsp:rsid wsp:val=&quot;000E1A35&quot;/&gt;&lt;wsp:rsid wsp:val=&quot;000E1C2E&quot;/&gt;&lt;wsp:rsid wsp:val=&quot;000E20EC&quot;/&gt;&lt;wsp:rsid wsp:val=&quot;000E2629&quot;/&gt;&lt;wsp:rsid wsp:val=&quot;000E28F1&quot;/&gt;&lt;wsp:rsid wsp:val=&quot;000E2945&quot;/&gt;&lt;wsp:rsid wsp:val=&quot;000E2986&quot;/&gt;&lt;wsp:rsid wsp:val=&quot;000E2BBC&quot;/&gt;&lt;wsp:rsid wsp:val=&quot;000E2D6E&quot;/&gt;&lt;wsp:rsid wsp:val=&quot;000E2F18&quot;/&gt;&lt;wsp:rsid wsp:val=&quot;000E30F5&quot;/&gt;&lt;wsp:rsid wsp:val=&quot;000E33E4&quot;/&gt;&lt;wsp:rsid wsp:val=&quot;000E352A&quot;/&gt;&lt;wsp:rsid wsp:val=&quot;000E39C9&quot;/&gt;&lt;wsp:rsid wsp:val=&quot;000E3A8F&quot;/&gt;&lt;wsp:rsid wsp:val=&quot;000E3B05&quot;/&gt;&lt;wsp:rsid wsp:val=&quot;000E3B5D&quot;/&gt;&lt;wsp:rsid wsp:val=&quot;000E3DE4&quot;/&gt;&lt;wsp:rsid wsp:val=&quot;000E3DF5&quot;/&gt;&lt;wsp:rsid wsp:val=&quot;000E43A5&quot;/&gt;&lt;wsp:rsid wsp:val=&quot;000E464E&quot;/&gt;&lt;wsp:rsid wsp:val=&quot;000E47AD&quot;/&gt;&lt;wsp:rsid wsp:val=&quot;000E4A98&quot;/&gt;&lt;wsp:rsid wsp:val=&quot;000E4D35&quot;/&gt;&lt;wsp:rsid wsp:val=&quot;000E4E55&quot;/&gt;&lt;wsp:rsid wsp:val=&quot;000E51CD&quot;/&gt;&lt;wsp:rsid wsp:val=&quot;000E552B&quot;/&gt;&lt;wsp:rsid wsp:val=&quot;000E56A4&quot;/&gt;&lt;wsp:rsid wsp:val=&quot;000E5A4A&quot;/&gt;&lt;wsp:rsid wsp:val=&quot;000E5AA0&quot;/&gt;&lt;wsp:rsid wsp:val=&quot;000E63EB&quot;/&gt;&lt;wsp:rsid wsp:val=&quot;000E66BB&quot;/&gt;&lt;wsp:rsid wsp:val=&quot;000E67F4&quot;/&gt;&lt;wsp:rsid wsp:val=&quot;000E6BDD&quot;/&gt;&lt;wsp:rsid wsp:val=&quot;000E6E9D&quot;/&gt;&lt;wsp:rsid wsp:val=&quot;000E6F53&quot;/&gt;&lt;wsp:rsid wsp:val=&quot;000E71B6&quot;/&gt;&lt;wsp:rsid wsp:val=&quot;000E7560&quot;/&gt;&lt;wsp:rsid wsp:val=&quot;000E7884&quot;/&gt;&lt;wsp:rsid wsp:val=&quot;000E7A4E&quot;/&gt;&lt;wsp:rsid wsp:val=&quot;000E7CF6&quot;/&gt;&lt;wsp:rsid wsp:val=&quot;000E7CF7&quot;/&gt;&lt;wsp:rsid wsp:val=&quot;000E7EAC&quot;/&gt;&lt;wsp:rsid wsp:val=&quot;000E7F60&quot;/&gt;&lt;wsp:rsid wsp:val=&quot;000E7FAD&quot;/&gt;&lt;wsp:rsid wsp:val=&quot;000F0191&quot;/&gt;&lt;wsp:rsid wsp:val=&quot;000F01B3&quot;/&gt;&lt;wsp:rsid wsp:val=&quot;000F0B69&quot;/&gt;&lt;wsp:rsid wsp:val=&quot;000F0C6F&quot;/&gt;&lt;wsp:rsid wsp:val=&quot;000F12DB&quot;/&gt;&lt;wsp:rsid wsp:val=&quot;000F15C2&quot;/&gt;&lt;wsp:rsid wsp:val=&quot;000F161C&quot;/&gt;&lt;wsp:rsid wsp:val=&quot;000F164E&quot;/&gt;&lt;wsp:rsid wsp:val=&quot;000F17B2&quot;/&gt;&lt;wsp:rsid wsp:val=&quot;000F180B&quot;/&gt;&lt;wsp:rsid wsp:val=&quot;000F1A4B&quot;/&gt;&lt;wsp:rsid wsp:val=&quot;000F1C3B&quot;/&gt;&lt;wsp:rsid wsp:val=&quot;000F1D18&quot;/&gt;&lt;wsp:rsid wsp:val=&quot;000F1EEF&quot;/&gt;&lt;wsp:rsid wsp:val=&quot;000F2013&quot;/&gt;&lt;wsp:rsid wsp:val=&quot;000F233D&quot;/&gt;&lt;wsp:rsid wsp:val=&quot;000F23D5&quot;/&gt;&lt;wsp:rsid wsp:val=&quot;000F24AF&quot;/&gt;&lt;wsp:rsid wsp:val=&quot;000F2616&quot;/&gt;&lt;wsp:rsid wsp:val=&quot;000F2624&quot;/&gt;&lt;wsp:rsid wsp:val=&quot;000F27AE&quot;/&gt;&lt;wsp:rsid wsp:val=&quot;000F2F6D&quot;/&gt;&lt;wsp:rsid wsp:val=&quot;000F3129&quot;/&gt;&lt;wsp:rsid wsp:val=&quot;000F3281&quot;/&gt;&lt;wsp:rsid wsp:val=&quot;000F3335&quot;/&gt;&lt;wsp:rsid wsp:val=&quot;000F3482&quot;/&gt;&lt;wsp:rsid wsp:val=&quot;000F3B79&quot;/&gt;&lt;wsp:rsid wsp:val=&quot;000F3BBC&quot;/&gt;&lt;wsp:rsid wsp:val=&quot;000F3BBE&quot;/&gt;&lt;wsp:rsid wsp:val=&quot;000F3DE1&quot;/&gt;&lt;wsp:rsid wsp:val=&quot;000F41A1&quot;/&gt;&lt;wsp:rsid wsp:val=&quot;000F47FC&quot;/&gt;&lt;wsp:rsid wsp:val=&quot;000F487C&quot;/&gt;&lt;wsp:rsid wsp:val=&quot;000F497F&quot;/&gt;&lt;wsp:rsid wsp:val=&quot;000F4A99&quot;/&gt;&lt;wsp:rsid wsp:val=&quot;000F4B7C&quot;/&gt;&lt;wsp:rsid wsp:val=&quot;000F4BD2&quot;/&gt;&lt;wsp:rsid wsp:val=&quot;000F4D2F&quot;/&gt;&lt;wsp:rsid wsp:val=&quot;000F4D4C&quot;/&gt;&lt;wsp:rsid wsp:val=&quot;000F5404&quot;/&gt;&lt;wsp:rsid wsp:val=&quot;000F5414&quot;/&gt;&lt;wsp:rsid wsp:val=&quot;000F54DE&quot;/&gt;&lt;wsp:rsid wsp:val=&quot;000F5539&quot;/&gt;&lt;wsp:rsid wsp:val=&quot;000F5A38&quot;/&gt;&lt;wsp:rsid wsp:val=&quot;000F5A96&quot;/&gt;&lt;wsp:rsid wsp:val=&quot;000F5AB5&quot;/&gt;&lt;wsp:rsid wsp:val=&quot;000F5BD8&quot;/&gt;&lt;wsp:rsid wsp:val=&quot;000F5CE8&quot;/&gt;&lt;wsp:rsid wsp:val=&quot;000F5D52&quot;/&gt;&lt;wsp:rsid wsp:val=&quot;000F614F&quot;/&gt;&lt;wsp:rsid wsp:val=&quot;000F65A8&quot;/&gt;&lt;wsp:rsid wsp:val=&quot;000F674F&quot;/&gt;&lt;wsp:rsid wsp:val=&quot;000F695E&quot;/&gt;&lt;wsp:rsid wsp:val=&quot;000F6A45&quot;/&gt;&lt;wsp:rsid wsp:val=&quot;000F6AC1&quot;/&gt;&lt;wsp:rsid wsp:val=&quot;000F6CAF&quot;/&gt;&lt;wsp:rsid wsp:val=&quot;000F6D04&quot;/&gt;&lt;wsp:rsid wsp:val=&quot;000F6DC9&quot;/&gt;&lt;wsp:rsid wsp:val=&quot;000F6F6B&quot;/&gt;&lt;wsp:rsid wsp:val=&quot;000F6FF1&quot;/&gt;&lt;wsp:rsid wsp:val=&quot;000F7367&quot;/&gt;&lt;wsp:rsid wsp:val=&quot;000F7774&quot;/&gt;&lt;wsp:rsid wsp:val=&quot;000F78A8&quot;/&gt;&lt;wsp:rsid wsp:val=&quot;000F7BD3&quot;/&gt;&lt;wsp:rsid wsp:val=&quot;000F7DE5&quot;/&gt;&lt;wsp:rsid wsp:val=&quot;000F7DF6&quot;/&gt;&lt;wsp:rsid wsp:val=&quot;000F7FFA&quot;/&gt;&lt;wsp:rsid wsp:val=&quot;00100687&quot;/&gt;&lt;wsp:rsid wsp:val=&quot;00100699&quot;/&gt;&lt;wsp:rsid wsp:val=&quot;001007C3&quot;/&gt;&lt;wsp:rsid wsp:val=&quot;001007E7&quot;/&gt;&lt;wsp:rsid wsp:val=&quot;00100809&quot;/&gt;&lt;wsp:rsid wsp:val=&quot;00100988&quot;/&gt;&lt;wsp:rsid wsp:val=&quot;00100D63&quot;/&gt;&lt;wsp:rsid wsp:val=&quot;00100E98&quot;/&gt;&lt;wsp:rsid wsp:val=&quot;00100F55&quot;/&gt;&lt;wsp:rsid wsp:val=&quot;00101471&quot;/&gt;&lt;wsp:rsid wsp:val=&quot;00101515&quot;/&gt;&lt;wsp:rsid wsp:val=&quot;001015D8&quot;/&gt;&lt;wsp:rsid wsp:val=&quot;00101640&quot;/&gt;&lt;wsp:rsid wsp:val=&quot;00101731&quot;/&gt;&lt;wsp:rsid wsp:val=&quot;0010178C&quot;/&gt;&lt;wsp:rsid wsp:val=&quot;001018F7&quot;/&gt;&lt;wsp:rsid wsp:val=&quot;00101C97&quot;/&gt;&lt;wsp:rsid wsp:val=&quot;00101F6A&quot;/&gt;&lt;wsp:rsid wsp:val=&quot;0010225C&quot;/&gt;&lt;wsp:rsid wsp:val=&quot;00102434&quot;/&gt;&lt;wsp:rsid wsp:val=&quot;00102781&quot;/&gt;&lt;wsp:rsid wsp:val=&quot;0010282F&quot;/&gt;&lt;wsp:rsid wsp:val=&quot;00102872&quot;/&gt;&lt;wsp:rsid wsp:val=&quot;001028C2&quot;/&gt;&lt;wsp:rsid wsp:val=&quot;001028C7&quot;/&gt;&lt;wsp:rsid wsp:val=&quot;00102B88&quot;/&gt;&lt;wsp:rsid wsp:val=&quot;00102CAC&quot;/&gt;&lt;wsp:rsid wsp:val=&quot;00102D47&quot;/&gt;&lt;wsp:rsid wsp:val=&quot;00102E89&quot;/&gt;&lt;wsp:rsid wsp:val=&quot;00102F01&quot;/&gt;&lt;wsp:rsid wsp:val=&quot;00103081&quot;/&gt;&lt;wsp:rsid wsp:val=&quot;001031EF&quot;/&gt;&lt;wsp:rsid wsp:val=&quot;001032DA&quot;/&gt;&lt;wsp:rsid wsp:val=&quot;001033F5&quot;/&gt;&lt;wsp:rsid wsp:val=&quot;001034BD&quot;/&gt;&lt;wsp:rsid wsp:val=&quot;00103E4C&quot;/&gt;&lt;wsp:rsid wsp:val=&quot;00103F6B&quot;/&gt;&lt;wsp:rsid wsp:val=&quot;001045BE&quot;/&gt;&lt;wsp:rsid wsp:val=&quot;001048DC&quot;/&gt;&lt;wsp:rsid wsp:val=&quot;001049D5&quot;/&gt;&lt;wsp:rsid wsp:val=&quot;00104B3E&quot;/&gt;&lt;wsp:rsid wsp:val=&quot;00104B66&quot;/&gt;&lt;wsp:rsid wsp:val=&quot;00104D8E&quot;/&gt;&lt;wsp:rsid wsp:val=&quot;00104E13&quot;/&gt;&lt;wsp:rsid wsp:val=&quot;00104FA2&quot;/&gt;&lt;wsp:rsid wsp:val=&quot;0010510D&quot;/&gt;&lt;wsp:rsid wsp:val=&quot;001053EB&quot;/&gt;&lt;wsp:rsid wsp:val=&quot;00105452&quot;/&gt;&lt;wsp:rsid wsp:val=&quot;00105524&quot;/&gt;&lt;wsp:rsid wsp:val=&quot;001056F8&quot;/&gt;&lt;wsp:rsid wsp:val=&quot;00105718&quot;/&gt;&lt;wsp:rsid wsp:val=&quot;00105E50&quot;/&gt;&lt;wsp:rsid wsp:val=&quot;00105F54&quot;/&gt;&lt;wsp:rsid wsp:val=&quot;0010611D&quot;/&gt;&lt;wsp:rsid wsp:val=&quot;00106577&quot;/&gt;&lt;wsp:rsid wsp:val=&quot;001066F8&quot;/&gt;&lt;wsp:rsid wsp:val=&quot;001067A9&quot;/&gt;&lt;wsp:rsid wsp:val=&quot;00106A26&quot;/&gt;&lt;wsp:rsid wsp:val=&quot;00106BAF&quot;/&gt;&lt;wsp:rsid wsp:val=&quot;00106C99&quot;/&gt;&lt;wsp:rsid wsp:val=&quot;00106D32&quot;/&gt;&lt;wsp:rsid wsp:val=&quot;00106E62&quot;/&gt;&lt;wsp:rsid wsp:val=&quot;001072E3&quot;/&gt;&lt;wsp:rsid wsp:val=&quot;00107354&quot;/&gt;&lt;wsp:rsid wsp:val=&quot;0010736F&quot;/&gt;&lt;wsp:rsid wsp:val=&quot;001073BF&quot;/&gt;&lt;wsp:rsid wsp:val=&quot;001073EF&quot;/&gt;&lt;wsp:rsid wsp:val=&quot;001073F0&quot;/&gt;&lt;wsp:rsid wsp:val=&quot;00107ACA&quot;/&gt;&lt;wsp:rsid wsp:val=&quot;00107F39&quot;/&gt;&lt;wsp:rsid wsp:val=&quot;00107F79&quot;/&gt;&lt;wsp:rsid wsp:val=&quot;00107FA2&quot;/&gt;&lt;wsp:rsid wsp:val=&quot;00110158&quot;/&gt;&lt;wsp:rsid wsp:val=&quot;001104BB&quot;/&gt;&lt;wsp:rsid wsp:val=&quot;001109CC&quot;/&gt;&lt;wsp:rsid wsp:val=&quot;00110B6A&quot;/&gt;&lt;wsp:rsid wsp:val=&quot;00110C37&quot;/&gt;&lt;wsp:rsid wsp:val=&quot;0011109C&quot;/&gt;&lt;wsp:rsid wsp:val=&quot;0011110E&quot;/&gt;&lt;wsp:rsid wsp:val=&quot;00111482&quot;/&gt;&lt;wsp:rsid wsp:val=&quot;0011153D&quot;/&gt;&lt;wsp:rsid wsp:val=&quot;00111849&quot;/&gt;&lt;wsp:rsid wsp:val=&quot;00111A67&quot;/&gt;&lt;wsp:rsid wsp:val=&quot;00111B7F&quot;/&gt;&lt;wsp:rsid wsp:val=&quot;00111E44&quot;/&gt;&lt;wsp:rsid wsp:val=&quot;0011205D&quot;/&gt;&lt;wsp:rsid wsp:val=&quot;00112174&quot;/&gt;&lt;wsp:rsid wsp:val=&quot;001121C6&quot;/&gt;&lt;wsp:rsid wsp:val=&quot;00112257&quot;/&gt;&lt;wsp:rsid wsp:val=&quot;00112A2F&quot;/&gt;&lt;wsp:rsid wsp:val=&quot;00112CA1&quot;/&gt;&lt;wsp:rsid wsp:val=&quot;00112EA3&quot;/&gt;&lt;wsp:rsid wsp:val=&quot;00112F36&quot;/&gt;&lt;wsp:rsid wsp:val=&quot;00112F39&quot;/&gt;&lt;wsp:rsid wsp:val=&quot;001136BD&quot;/&gt;&lt;wsp:rsid wsp:val=&quot;0011377B&quot;/&gt;&lt;wsp:rsid wsp:val=&quot;001137DF&quot;/&gt;&lt;wsp:rsid wsp:val=&quot;00113937&quot;/&gt;&lt;wsp:rsid wsp:val=&quot;00113A8D&quot;/&gt;&lt;wsp:rsid wsp:val=&quot;00113B17&quot;/&gt;&lt;wsp:rsid wsp:val=&quot;00113FFC&quot;/&gt;&lt;wsp:rsid wsp:val=&quot;00114098&quot;/&gt;&lt;wsp:rsid wsp:val=&quot;001141BE&quot;/&gt;&lt;wsp:rsid wsp:val=&quot;00114575&quot;/&gt;&lt;wsp:rsid wsp:val=&quot;001146DC&quot;/&gt;&lt;wsp:rsid wsp:val=&quot;00114B91&quot;/&gt;&lt;wsp:rsid wsp:val=&quot;00114C1B&quot;/&gt;&lt;wsp:rsid wsp:val=&quot;00114D9F&quot;/&gt;&lt;wsp:rsid wsp:val=&quot;00114E05&quot;/&gt;&lt;wsp:rsid wsp:val=&quot;00114E79&quot;/&gt;&lt;wsp:rsid wsp:val=&quot;001150CC&quot;/&gt;&lt;wsp:rsid wsp:val=&quot;00115712&quot;/&gt;&lt;wsp:rsid wsp:val=&quot;001159E3&quot;/&gt;&lt;wsp:rsid wsp:val=&quot;00115A1A&quot;/&gt;&lt;wsp:rsid wsp:val=&quot;00115E03&quot;/&gt;&lt;wsp:rsid wsp:val=&quot;00116083&quot;/&gt;&lt;wsp:rsid wsp:val=&quot;001163F9&quot;/&gt;&lt;wsp:rsid wsp:val=&quot;00116614&quot;/&gt;&lt;wsp:rsid wsp:val=&quot;0011668F&quot;/&gt;&lt;wsp:rsid wsp:val=&quot;00116938&quot;/&gt;&lt;wsp:rsid wsp:val=&quot;00116B9C&quot;/&gt;&lt;wsp:rsid wsp:val=&quot;00116C42&quot;/&gt;&lt;wsp:rsid wsp:val=&quot;0011721F&quot;/&gt;&lt;wsp:rsid wsp:val=&quot;001174F4&quot;/&gt;&lt;wsp:rsid wsp:val=&quot;00117578&quot;/&gt;&lt;wsp:rsid wsp:val=&quot;0011761E&quot;/&gt;&lt;wsp:rsid wsp:val=&quot;00117642&quot;/&gt;&lt;wsp:rsid wsp:val=&quot;00117B8D&quot;/&gt;&lt;wsp:rsid wsp:val=&quot;00117C0B&quot;/&gt;&lt;wsp:rsid wsp:val=&quot;00117E14&quot;/&gt;&lt;wsp:rsid wsp:val=&quot;00117E93&quot;/&gt;&lt;wsp:rsid wsp:val=&quot;00117F31&quot;/&gt;&lt;wsp:rsid wsp:val=&quot;00117F83&quot;/&gt;&lt;wsp:rsid wsp:val=&quot;001203F2&quot;/&gt;&lt;wsp:rsid wsp:val=&quot;00120458&quot;/&gt;&lt;wsp:rsid wsp:val=&quot;00120468&quot;/&gt;&lt;wsp:rsid wsp:val=&quot;00120A88&quot;/&gt;&lt;wsp:rsid wsp:val=&quot;00120B20&quot;/&gt;&lt;wsp:rsid wsp:val=&quot;00120D8D&quot;/&gt;&lt;wsp:rsid wsp:val=&quot;00120DEA&quot;/&gt;&lt;wsp:rsid wsp:val=&quot;00120EF3&quot;/&gt;&lt;wsp:rsid wsp:val=&quot;00121AA6&quot;/&gt;&lt;wsp:rsid wsp:val=&quot;00121C7F&quot;/&gt;&lt;wsp:rsid wsp:val=&quot;00121CA7&quot;/&gt;&lt;wsp:rsid wsp:val=&quot;00121D0A&quot;/&gt;&lt;wsp:rsid wsp:val=&quot;00121E09&quot;/&gt;&lt;wsp:rsid wsp:val=&quot;0012200A&quot;/&gt;&lt;wsp:rsid wsp:val=&quot;00122022&quot;/&gt;&lt;wsp:rsid wsp:val=&quot;0012204B&quot;/&gt;&lt;wsp:rsid wsp:val=&quot;00122078&quot;/&gt;&lt;wsp:rsid wsp:val=&quot;001223B3&quot;/&gt;&lt;wsp:rsid wsp:val=&quot;0012271B&quot;/&gt;&lt;wsp:rsid wsp:val=&quot;00122D7C&quot;/&gt;&lt;wsp:rsid wsp:val=&quot;00122DEE&quot;/&gt;&lt;wsp:rsid wsp:val=&quot;00122FB1&quot;/&gt;&lt;wsp:rsid wsp:val=&quot;00122FC9&quot;/&gt;&lt;wsp:rsid wsp:val=&quot;0012340E&quot;/&gt;&lt;wsp:rsid wsp:val=&quot;00123578&quot;/&gt;&lt;wsp:rsid wsp:val=&quot;0012368F&quot;/&gt;&lt;wsp:rsid wsp:val=&quot;001238B7&quot;/&gt;&lt;wsp:rsid wsp:val=&quot;00123911&quot;/&gt;&lt;wsp:rsid wsp:val=&quot;00123F0A&quot;/&gt;&lt;wsp:rsid wsp:val=&quot;001242C5&quot;/&gt;&lt;wsp:rsid wsp:val=&quot;001243EE&quot;/&gt;&lt;wsp:rsid wsp:val=&quot;001246B4&quot;/&gt;&lt;wsp:rsid wsp:val=&quot;00124837&quot;/&gt;&lt;wsp:rsid wsp:val=&quot;0012486E&quot;/&gt;&lt;wsp:rsid wsp:val=&quot;00124B99&quot;/&gt;&lt;wsp:rsid wsp:val=&quot;00124C26&quot;/&gt;&lt;wsp:rsid wsp:val=&quot;00124D6D&quot;/&gt;&lt;wsp:rsid wsp:val=&quot;00124DC7&quot;/&gt;&lt;wsp:rsid wsp:val=&quot;00125222&quot;/&gt;&lt;wsp:rsid wsp:val=&quot;00125264&quot;/&gt;&lt;wsp:rsid wsp:val=&quot;0012554A&quot;/&gt;&lt;wsp:rsid wsp:val=&quot;00125686&quot;/&gt;&lt;wsp:rsid wsp:val=&quot;00125E24&quot;/&gt;&lt;wsp:rsid wsp:val=&quot;001263E8&quot;/&gt;&lt;wsp:rsid wsp:val=&quot;0012641A&quot;/&gt;&lt;wsp:rsid wsp:val=&quot;0012654A&quot;/&gt;&lt;wsp:rsid wsp:val=&quot;001265EE&quot;/&gt;&lt;wsp:rsid wsp:val=&quot;001266E7&quot;/&gt;&lt;wsp:rsid wsp:val=&quot;0012688B&quot;/&gt;&lt;wsp:rsid wsp:val=&quot;00126A90&quot;/&gt;&lt;wsp:rsid wsp:val=&quot;00126AEC&quot;/&gt;&lt;wsp:rsid wsp:val=&quot;001273A9&quot;/&gt;&lt;wsp:rsid wsp:val=&quot;00127557&quot;/&gt;&lt;wsp:rsid wsp:val=&quot;001275C4&quot;/&gt;&lt;wsp:rsid wsp:val=&quot;0012772D&quot;/&gt;&lt;wsp:rsid wsp:val=&quot;001277AB&quot;/&gt;&lt;wsp:rsid wsp:val=&quot;00127C6A&quot;/&gt;&lt;wsp:rsid wsp:val=&quot;00127DC3&quot;/&gt;&lt;wsp:rsid wsp:val=&quot;00127E6F&quot;/&gt;&lt;wsp:rsid wsp:val=&quot;00130484&quot;/&gt;&lt;wsp:rsid wsp:val=&quot;001304F8&quot;/&gt;&lt;wsp:rsid wsp:val=&quot;00130703&quot;/&gt;&lt;wsp:rsid wsp:val=&quot;00130AB0&quot;/&gt;&lt;wsp:rsid wsp:val=&quot;00130ACB&quot;/&gt;&lt;wsp:rsid wsp:val=&quot;00130C75&quot;/&gt;&lt;wsp:rsid wsp:val=&quot;00130CC1&quot;/&gt;&lt;wsp:rsid wsp:val=&quot;00131041&quot;/&gt;&lt;wsp:rsid wsp:val=&quot;001313B8&quot;/&gt;&lt;wsp:rsid wsp:val=&quot;0013144C&quot;/&gt;&lt;wsp:rsid wsp:val=&quot;00131818&quot;/&gt;&lt;wsp:rsid wsp:val=&quot;00131B0A&quot;/&gt;&lt;wsp:rsid wsp:val=&quot;00131C41&quot;/&gt;&lt;wsp:rsid wsp:val=&quot;00131DC0&quot;/&gt;&lt;wsp:rsid wsp:val=&quot;00131F54&quot;/&gt;&lt;wsp:rsid wsp:val=&quot;00132044&quot;/&gt;&lt;wsp:rsid wsp:val=&quot;001321CF&quot;/&gt;&lt;wsp:rsid wsp:val=&quot;00132293&quot;/&gt;&lt;wsp:rsid wsp:val=&quot;001325E4&quot;/&gt;&lt;wsp:rsid wsp:val=&quot;00132606&quot;/&gt;&lt;wsp:rsid wsp:val=&quot;00132711&quot;/&gt;&lt;wsp:rsid wsp:val=&quot;0013297E&quot;/&gt;&lt;wsp:rsid wsp:val=&quot;00132BBD&quot;/&gt;&lt;wsp:rsid wsp:val=&quot;00132D6D&quot;/&gt;&lt;wsp:rsid wsp:val=&quot;001333D2&quot;/&gt;&lt;wsp:rsid wsp:val=&quot;0013374F&quot;/&gt;&lt;wsp:rsid wsp:val=&quot;001337C9&quot;/&gt;&lt;wsp:rsid wsp:val=&quot;00133AC8&quot;/&gt;&lt;wsp:rsid wsp:val=&quot;00133F2A&quot;/&gt;&lt;wsp:rsid wsp:val=&quot;001343C8&quot;/&gt;&lt;wsp:rsid wsp:val=&quot;00134515&quot;/&gt;&lt;wsp:rsid wsp:val=&quot;0013462E&quot;/&gt;&lt;wsp:rsid wsp:val=&quot;0013475F&quot;/&gt;&lt;wsp:rsid wsp:val=&quot;00134A3A&quot;/&gt;&lt;wsp:rsid wsp:val=&quot;00134D63&quot;/&gt;&lt;wsp:rsid wsp:val=&quot;00134E35&quot;/&gt;&lt;wsp:rsid wsp:val=&quot;00135130&quot;/&gt;&lt;wsp:rsid wsp:val=&quot;001355E4&quot;/&gt;&lt;wsp:rsid wsp:val=&quot;00135940&quot;/&gt;&lt;wsp:rsid wsp:val=&quot;00135B29&quot;/&gt;&lt;wsp:rsid wsp:val=&quot;00135DDA&quot;/&gt;&lt;wsp:rsid wsp:val=&quot;001360AF&quot;/&gt;&lt;wsp:rsid wsp:val=&quot;00136441&quot;/&gt;&lt;wsp:rsid wsp:val=&quot;001368EE&quot;/&gt;&lt;wsp:rsid wsp:val=&quot;00136903&quot;/&gt;&lt;wsp:rsid wsp:val=&quot;001369F4&quot;/&gt;&lt;wsp:rsid wsp:val=&quot;00136BB8&quot;/&gt;&lt;wsp:rsid wsp:val=&quot;00136CF8&quot;/&gt;&lt;wsp:rsid wsp:val=&quot;00136FDA&quot;/&gt;&lt;wsp:rsid wsp:val=&quot;001371AB&quot;/&gt;&lt;wsp:rsid wsp:val=&quot;00137316&quot;/&gt;&lt;wsp:rsid wsp:val=&quot;001373BE&quot;/&gt;&lt;wsp:rsid wsp:val=&quot;001376E6&quot;/&gt;&lt;wsp:rsid wsp:val=&quot;00137810&quot;/&gt;&lt;wsp:rsid wsp:val=&quot;00137F21&quot;/&gt;&lt;wsp:rsid wsp:val=&quot;00137FCC&quot;/&gt;&lt;wsp:rsid wsp:val=&quot;00140138&quot;/&gt;&lt;wsp:rsid wsp:val=&quot;001402E3&quot;/&gt;&lt;wsp:rsid wsp:val=&quot;001405FE&quot;/&gt;&lt;wsp:rsid wsp:val=&quot;00140728&quot;/&gt;&lt;wsp:rsid wsp:val=&quot;00140DC9&quot;/&gt;&lt;wsp:rsid wsp:val=&quot;00141074&quot;/&gt;&lt;wsp:rsid wsp:val=&quot;0014141B&quot;/&gt;&lt;wsp:rsid wsp:val=&quot;00141AC7&quot;/&gt;&lt;wsp:rsid wsp:val=&quot;00141C59&quot;/&gt;&lt;wsp:rsid wsp:val=&quot;00141DC8&quot;/&gt;&lt;wsp:rsid wsp:val=&quot;00141EC4&quot;/&gt;&lt;wsp:rsid wsp:val=&quot;00141F27&quot;/&gt;&lt;wsp:rsid wsp:val=&quot;001422FE&quot;/&gt;&lt;wsp:rsid wsp:val=&quot;00142315&quot;/&gt;&lt;wsp:rsid wsp:val=&quot;00142646&quot;/&gt;&lt;wsp:rsid wsp:val=&quot;0014293D&quot;/&gt;&lt;wsp:rsid wsp:val=&quot;00142A18&quot;/&gt;&lt;wsp:rsid wsp:val=&quot;00142FDE&quot;/&gt;&lt;wsp:rsid wsp:val=&quot;00143249&quot;/&gt;&lt;wsp:rsid wsp:val=&quot;001432F2&quot;/&gt;&lt;wsp:rsid wsp:val=&quot;00143584&quot;/&gt;&lt;wsp:rsid wsp:val=&quot;00143B50&quot;/&gt;&lt;wsp:rsid wsp:val=&quot;00143DDA&quot;/&gt;&lt;wsp:rsid wsp:val=&quot;0014420C&quot;/&gt;&lt;wsp:rsid wsp:val=&quot;00144215&quot;/&gt;&lt;wsp:rsid wsp:val=&quot;0014444F&quot;/&gt;&lt;wsp:rsid wsp:val=&quot;00144BE3&quot;/&gt;&lt;wsp:rsid wsp:val=&quot;00144F47&quot;/&gt;&lt;wsp:rsid wsp:val=&quot;00145284&quot;/&gt;&lt;wsp:rsid wsp:val=&quot;00145939&quot;/&gt;&lt;wsp:rsid wsp:val=&quot;0014593A&quot;/&gt;&lt;wsp:rsid wsp:val=&quot;00145AFD&quot;/&gt;&lt;wsp:rsid wsp:val=&quot;00145C2D&quot;/&gt;&lt;wsp:rsid wsp:val=&quot;0014602C&quot;/&gt;&lt;wsp:rsid wsp:val=&quot;00146071&quot;/&gt;&lt;wsp:rsid wsp:val=&quot;001460CE&quot;/&gt;&lt;wsp:rsid wsp:val=&quot;00146196&quot;/&gt;&lt;wsp:rsid wsp:val=&quot;001461F8&quot;/&gt;&lt;wsp:rsid wsp:val=&quot;00146267&quot;/&gt;&lt;wsp:rsid wsp:val=&quot;00146564&quot;/&gt;&lt;wsp:rsid wsp:val=&quot;00146775&quot;/&gt;&lt;wsp:rsid wsp:val=&quot;00146F42&quot;/&gt;&lt;wsp:rsid wsp:val=&quot;00147217&quot;/&gt;&lt;wsp:rsid wsp:val=&quot;0014726D&quot;/&gt;&lt;wsp:rsid wsp:val=&quot;0014731A&quot;/&gt;&lt;wsp:rsid wsp:val=&quot;00147335&quot;/&gt;&lt;wsp:rsid wsp:val=&quot;00147588&quot;/&gt;&lt;wsp:rsid wsp:val=&quot;00147903&quot;/&gt;&lt;wsp:rsid wsp:val=&quot;00147B57&quot;/&gt;&lt;wsp:rsid wsp:val=&quot;00147BFA&quot;/&gt;&lt;wsp:rsid wsp:val=&quot;00147DEF&quot;/&gt;&lt;wsp:rsid wsp:val=&quot;00147E81&quot;/&gt;&lt;wsp:rsid wsp:val=&quot;00147F10&quot;/&gt;&lt;wsp:rsid wsp:val=&quot;00147F6F&quot;/&gt;&lt;wsp:rsid wsp:val=&quot;0015001B&quot;/&gt;&lt;wsp:rsid wsp:val=&quot;001502C4&quot;/&gt;&lt;wsp:rsid wsp:val=&quot;001502EB&quot;/&gt;&lt;wsp:rsid wsp:val=&quot;00150548&quot;/&gt;&lt;wsp:rsid wsp:val=&quot;00150573&quot;/&gt;&lt;wsp:rsid wsp:val=&quot;001507C7&quot;/&gt;&lt;wsp:rsid wsp:val=&quot;0015083F&quot;/&gt;&lt;wsp:rsid wsp:val=&quot;001508F2&quot;/&gt;&lt;wsp:rsid wsp:val=&quot;0015095B&quot;/&gt;&lt;wsp:rsid wsp:val=&quot;00150FF5&quot;/&gt;&lt;wsp:rsid wsp:val=&quot;0015105E&quot;/&gt;&lt;wsp:rsid wsp:val=&quot;001510FF&quot;/&gt;&lt;wsp:rsid wsp:val=&quot;00151367&quot;/&gt;&lt;wsp:rsid wsp:val=&quot;001515D8&quot;/&gt;&lt;wsp:rsid wsp:val=&quot;001518A3&quot;/&gt;&lt;wsp:rsid wsp:val=&quot;00151E06&quot;/&gt;&lt;wsp:rsid wsp:val=&quot;00152490&quot;/&gt;&lt;wsp:rsid wsp:val=&quot;001527DE&quot;/&gt;&lt;wsp:rsid wsp:val=&quot;00152901&quot;/&gt;&lt;wsp:rsid wsp:val=&quot;00153147&quot;/&gt;&lt;wsp:rsid wsp:val=&quot;0015369A&quot;/&gt;&lt;wsp:rsid wsp:val=&quot;001537B9&quot;/&gt;&lt;wsp:rsid wsp:val=&quot;00153B5C&quot;/&gt;&lt;wsp:rsid wsp:val=&quot;00153D04&quot;/&gt;&lt;wsp:rsid wsp:val=&quot;00153F85&quot;/&gt;&lt;wsp:rsid wsp:val=&quot;00154329&quot;/&gt;&lt;wsp:rsid wsp:val=&quot;00154B94&quot;/&gt;&lt;wsp:rsid wsp:val=&quot;00154D15&quot;/&gt;&lt;wsp:rsid wsp:val=&quot;00154F0D&quot;/&gt;&lt;wsp:rsid wsp:val=&quot;00155342&quot;/&gt;&lt;wsp:rsid wsp:val=&quot;00155881&quot;/&gt;&lt;wsp:rsid wsp:val=&quot;001558FF&quot;/&gt;&lt;wsp:rsid wsp:val=&quot;001559DE&quot;/&gt;&lt;wsp:rsid wsp:val=&quot;00155C97&quot;/&gt;&lt;wsp:rsid wsp:val=&quot;00155D24&quot;/&gt;&lt;wsp:rsid wsp:val=&quot;00155D8C&quot;/&gt;&lt;wsp:rsid wsp:val=&quot;00155E2A&quot;/&gt;&lt;wsp:rsid wsp:val=&quot;00155ECD&quot;/&gt;&lt;wsp:rsid wsp:val=&quot;00156272&quot;/&gt;&lt;wsp:rsid wsp:val=&quot;001562B0&quot;/&gt;&lt;wsp:rsid wsp:val=&quot;00156665&quot;/&gt;&lt;wsp:rsid wsp:val=&quot;0015666A&quot;/&gt;&lt;wsp:rsid wsp:val=&quot;00156847&quot;/&gt;&lt;wsp:rsid wsp:val=&quot;00156A64&quot;/&gt;&lt;wsp:rsid wsp:val=&quot;00156B68&quot;/&gt;&lt;wsp:rsid wsp:val=&quot;00156EE8&quot;/&gt;&lt;wsp:rsid wsp:val=&quot;00157508&quot;/&gt;&lt;wsp:rsid wsp:val=&quot;001576CD&quot;/&gt;&lt;wsp:rsid wsp:val=&quot;00157719&quot;/&gt;&lt;wsp:rsid wsp:val=&quot;00157E60&quot;/&gt;&lt;wsp:rsid wsp:val=&quot;0016049F&quot;/&gt;&lt;wsp:rsid wsp:val=&quot;0016061D&quot;/&gt;&lt;wsp:rsid wsp:val=&quot;00160693&quot;/&gt;&lt;wsp:rsid wsp:val=&quot;00160883&quot;/&gt;&lt;wsp:rsid wsp:val=&quot;00160922&quot;/&gt;&lt;wsp:rsid wsp:val=&quot;00160A65&quot;/&gt;&lt;wsp:rsid wsp:val=&quot;001610AB&quot;/&gt;&lt;wsp:rsid wsp:val=&quot;001610DF&quot;/&gt;&lt;wsp:rsid wsp:val=&quot;0016127A&quot;/&gt;&lt;wsp:rsid wsp:val=&quot;00161388&quot;/&gt;&lt;wsp:rsid wsp:val=&quot;00161CD4&quot;/&gt;&lt;wsp:rsid wsp:val=&quot;00161CE7&quot;/&gt;&lt;wsp:rsid wsp:val=&quot;00161DC5&quot;/&gt;&lt;wsp:rsid wsp:val=&quot;0016225C&quot;/&gt;&lt;wsp:rsid wsp:val=&quot;001626F1&quot;/&gt;&lt;wsp:rsid wsp:val=&quot;00162BD8&quot;/&gt;&lt;wsp:rsid wsp:val=&quot;00162D2A&quot;/&gt;&lt;wsp:rsid wsp:val=&quot;00162ECF&quot;/&gt;&lt;wsp:rsid wsp:val=&quot;00162EEA&quot;/&gt;&lt;wsp:rsid wsp:val=&quot;00163006&quot;/&gt;&lt;wsp:rsid wsp:val=&quot;00163749&quot;/&gt;&lt;wsp:rsid wsp:val=&quot;00163D77&quot;/&gt;&lt;wsp:rsid wsp:val=&quot;00163D98&quot;/&gt;&lt;wsp:rsid wsp:val=&quot;00164060&quot;/&gt;&lt;wsp:rsid wsp:val=&quot;00164516&quot;/&gt;&lt;wsp:rsid wsp:val=&quot;0016460F&quot;/&gt;&lt;wsp:rsid wsp:val=&quot;0016467D&quot;/&gt;&lt;wsp:rsid wsp:val=&quot;001646AA&quot;/&gt;&lt;wsp:rsid wsp:val=&quot;001649FB&quot;/&gt;&lt;wsp:rsid wsp:val=&quot;00164A05&quot;/&gt;&lt;wsp:rsid wsp:val=&quot;001650EB&quot;/&gt;&lt;wsp:rsid wsp:val=&quot;0016522D&quot;/&gt;&lt;wsp:rsid wsp:val=&quot;0016523E&quot;/&gt;&lt;wsp:rsid wsp:val=&quot;00165737&quot;/&gt;&lt;wsp:rsid wsp:val=&quot;00165951&quot;/&gt;&lt;wsp:rsid wsp:val=&quot;00165D63&quot;/&gt;&lt;wsp:rsid wsp:val=&quot;00166029&quot;/&gt;&lt;wsp:rsid wsp:val=&quot;0016615A&quot;/&gt;&lt;wsp:rsid wsp:val=&quot;00166265&quot;/&gt;&lt;wsp:rsid wsp:val=&quot;001665D2&quot;/&gt;&lt;wsp:rsid wsp:val=&quot;00166662&quot;/&gt;&lt;wsp:rsid wsp:val=&quot;0016666F&quot;/&gt;&lt;wsp:rsid wsp:val=&quot;001669A6&quot;/&gt;&lt;wsp:rsid wsp:val=&quot;00167077&quot;/&gt;&lt;wsp:rsid wsp:val=&quot;0016720B&quot;/&gt;&lt;wsp:rsid wsp:val=&quot;00167215&quot;/&gt;&lt;wsp:rsid wsp:val=&quot;001673A5&quot;/&gt;&lt;wsp:rsid wsp:val=&quot;00167436&quot;/&gt;&lt;wsp:rsid wsp:val=&quot;00167507&quot;/&gt;&lt;wsp:rsid wsp:val=&quot;001676C3&quot;/&gt;&lt;wsp:rsid wsp:val=&quot;001676C7&quot;/&gt;&lt;wsp:rsid wsp:val=&quot;001678DA&quot;/&gt;&lt;wsp:rsid wsp:val=&quot;001679F8&quot;/&gt;&lt;wsp:rsid wsp:val=&quot;00167B0A&quot;/&gt;&lt;wsp:rsid wsp:val=&quot;00167D65&quot;/&gt;&lt;wsp:rsid wsp:val=&quot;00167EA0&quot;/&gt;&lt;wsp:rsid wsp:val=&quot;00167FF0&quot;/&gt;&lt;wsp:rsid wsp:val=&quot;0017013D&quot;/&gt;&lt;wsp:rsid wsp:val=&quot;00170902&quot;/&gt;&lt;wsp:rsid wsp:val=&quot;00170A62&quot;/&gt;&lt;wsp:rsid wsp:val=&quot;00170BD7&quot;/&gt;&lt;wsp:rsid wsp:val=&quot;00170BEE&quot;/&gt;&lt;wsp:rsid wsp:val=&quot;00170D24&quot;/&gt;&lt;wsp:rsid wsp:val=&quot;00170E81&quot;/&gt;&lt;wsp:rsid wsp:val=&quot;00170EB3&quot;/&gt;&lt;wsp:rsid wsp:val=&quot;00171294&quot;/&gt;&lt;wsp:rsid wsp:val=&quot;001715CA&quot;/&gt;&lt;wsp:rsid wsp:val=&quot;00171854&quot;/&gt;&lt;wsp:rsid wsp:val=&quot;00171DE1&quot;/&gt;&lt;wsp:rsid wsp:val=&quot;001720DE&quot;/&gt;&lt;wsp:rsid wsp:val=&quot;001721F6&quot;/&gt;&lt;wsp:rsid wsp:val=&quot;00172706&quot;/&gt;&lt;wsp:rsid wsp:val=&quot;001727A0&quot;/&gt;&lt;wsp:rsid wsp:val=&quot;00172910&quot;/&gt;&lt;wsp:rsid wsp:val=&quot;00172A12&quot;/&gt;&lt;wsp:rsid wsp:val=&quot;00172B76&quot;/&gt;&lt;wsp:rsid wsp:val=&quot;00172C79&quot;/&gt;&lt;wsp:rsid wsp:val=&quot;00173138&quot;/&gt;&lt;wsp:rsid wsp:val=&quot;00173452&quot;/&gt;&lt;wsp:rsid wsp:val=&quot;001737BF&quot;/&gt;&lt;wsp:rsid wsp:val=&quot;00173B07&quot;/&gt;&lt;wsp:rsid wsp:val=&quot;00173BFE&quot;/&gt;&lt;wsp:rsid wsp:val=&quot;00174180&quot;/&gt;&lt;wsp:rsid wsp:val=&quot;00174834&quot;/&gt;&lt;wsp:rsid wsp:val=&quot;001748D7&quot;/&gt;&lt;wsp:rsid wsp:val=&quot;00174B0E&quot;/&gt;&lt;wsp:rsid wsp:val=&quot;00174EC4&quot;/&gt;&lt;wsp:rsid wsp:val=&quot;001753A2&quot;/&gt;&lt;wsp:rsid wsp:val=&quot;001753D4&quot;/&gt;&lt;wsp:rsid wsp:val=&quot;001756B6&quot;/&gt;&lt;wsp:rsid wsp:val=&quot;00175959&quot;/&gt;&lt;wsp:rsid wsp:val=&quot;00175A9A&quot;/&gt;&lt;wsp:rsid wsp:val=&quot;00175B15&quot;/&gt;&lt;wsp:rsid wsp:val=&quot;00175B39&quot;/&gt;&lt;wsp:rsid wsp:val=&quot;00175D64&quot;/&gt;&lt;wsp:rsid wsp:val=&quot;00175DFB&quot;/&gt;&lt;wsp:rsid wsp:val=&quot;00175EC3&quot;/&gt;&lt;wsp:rsid wsp:val=&quot;00176020&quot;/&gt;&lt;wsp:rsid wsp:val=&quot;00176032&quot;/&gt;&lt;wsp:rsid wsp:val=&quot;001760F1&quot;/&gt;&lt;wsp:rsid wsp:val=&quot;001764D1&quot;/&gt;&lt;wsp:rsid wsp:val=&quot;00176572&quot;/&gt;&lt;wsp:rsid wsp:val=&quot;001768D8&quot;/&gt;&lt;wsp:rsid wsp:val=&quot;0017691B&quot;/&gt;&lt;wsp:rsid wsp:val=&quot;00176977&quot;/&gt;&lt;wsp:rsid wsp:val=&quot;00176A09&quot;/&gt;&lt;wsp:rsid wsp:val=&quot;00176AE2&quot;/&gt;&lt;wsp:rsid wsp:val=&quot;00176B89&quot;/&gt;&lt;wsp:rsid wsp:val=&quot;00176CB2&quot;/&gt;&lt;wsp:rsid wsp:val=&quot;00177290&quot;/&gt;&lt;wsp:rsid wsp:val=&quot;001778DB&quot;/&gt;&lt;wsp:rsid wsp:val=&quot;0017797E&quot;/&gt;&lt;wsp:rsid wsp:val=&quot;001779F4&quot;/&gt;&lt;wsp:rsid wsp:val=&quot;001803E6&quot;/&gt;&lt;wsp:rsid wsp:val=&quot;001804E0&quot;/&gt;&lt;wsp:rsid wsp:val=&quot;001806D3&quot;/&gt;&lt;wsp:rsid wsp:val=&quot;001809E6&quot;/&gt;&lt;wsp:rsid wsp:val=&quot;00180A86&quot;/&gt;&lt;wsp:rsid wsp:val=&quot;00180B51&quot;/&gt;&lt;wsp:rsid wsp:val=&quot;00181265&quot;/&gt;&lt;wsp:rsid wsp:val=&quot;00181440&quot;/&gt;&lt;wsp:rsid wsp:val=&quot;0018199B&quot;/&gt;&lt;wsp:rsid wsp:val=&quot;001819E5&quot;/&gt;&lt;wsp:rsid wsp:val=&quot;00181A6A&quot;/&gt;&lt;wsp:rsid wsp:val=&quot;00181B08&quot;/&gt;&lt;wsp:rsid wsp:val=&quot;00181D27&quot;/&gt;&lt;wsp:rsid wsp:val=&quot;001820C2&quot;/&gt;&lt;wsp:rsid wsp:val=&quot;00182247&quot;/&gt;&lt;wsp:rsid wsp:val=&quot;00182777&quot;/&gt;&lt;wsp:rsid wsp:val=&quot;001827A3&quot;/&gt;&lt;wsp:rsid wsp:val=&quot;001827FC&quot;/&gt;&lt;wsp:rsid wsp:val=&quot;00182AFA&quot;/&gt;&lt;wsp:rsid wsp:val=&quot;00182C50&quot;/&gt;&lt;wsp:rsid wsp:val=&quot;001833A7&quot;/&gt;&lt;wsp:rsid wsp:val=&quot;001836A3&quot;/&gt;&lt;wsp:rsid wsp:val=&quot;0018371A&quot;/&gt;&lt;wsp:rsid wsp:val=&quot;00183A54&quot;/&gt;&lt;wsp:rsid wsp:val=&quot;00183B72&quot;/&gt;&lt;wsp:rsid wsp:val=&quot;00183B77&quot;/&gt;&lt;wsp:rsid wsp:val=&quot;00183CDF&quot;/&gt;&lt;wsp:rsid wsp:val=&quot;00183D16&quot;/&gt;&lt;wsp:rsid wsp:val=&quot;00183DB3&quot;/&gt;&lt;wsp:rsid wsp:val=&quot;00183E50&quot;/&gt;&lt;wsp:rsid wsp:val=&quot;00183FD1&quot;/&gt;&lt;wsp:rsid wsp:val=&quot;00184300&quot;/&gt;&lt;wsp:rsid wsp:val=&quot;001843FD&quot;/&gt;&lt;wsp:rsid wsp:val=&quot;0018456A&quot;/&gt;&lt;wsp:rsid wsp:val=&quot;00184DD7&quot;/&gt;&lt;wsp:rsid wsp:val=&quot;00185273&quot;/&gt;&lt;wsp:rsid wsp:val=&quot;001853D0&quot;/&gt;&lt;wsp:rsid wsp:val=&quot;0018583A&quot;/&gt;&lt;wsp:rsid wsp:val=&quot;001858DA&quot;/&gt;&lt;wsp:rsid wsp:val=&quot;00185A12&quot;/&gt;&lt;wsp:rsid wsp:val=&quot;00185A6B&quot;/&gt;&lt;wsp:rsid wsp:val=&quot;00185AF5&quot;/&gt;&lt;wsp:rsid wsp:val=&quot;00185B39&quot;/&gt;&lt;wsp:rsid wsp:val=&quot;00185BA9&quot;/&gt;&lt;wsp:rsid wsp:val=&quot;00185D6C&quot;/&gt;&lt;wsp:rsid wsp:val=&quot;00185DF1&quot;/&gt;&lt;wsp:rsid wsp:val=&quot;00185F84&quot;/&gt;&lt;wsp:rsid wsp:val=&quot;001860C4&quot;/&gt;&lt;wsp:rsid wsp:val=&quot;0018629A&quot;/&gt;&lt;wsp:rsid wsp:val=&quot;0018633F&quot;/&gt;&lt;wsp:rsid wsp:val=&quot;001864C1&quot;/&gt;&lt;wsp:rsid wsp:val=&quot;00186556&quot;/&gt;&lt;wsp:rsid wsp:val=&quot;0018663B&quot;/&gt;&lt;wsp:rsid wsp:val=&quot;001867B0&quot;/&gt;&lt;wsp:rsid wsp:val=&quot;001867CD&quot;/&gt;&lt;wsp:rsid wsp:val=&quot;001869A4&quot;/&gt;&lt;wsp:rsid wsp:val=&quot;001869BD&quot;/&gt;&lt;wsp:rsid wsp:val=&quot;00186B44&quot;/&gt;&lt;wsp:rsid wsp:val=&quot;00186B51&quot;/&gt;&lt;wsp:rsid wsp:val=&quot;00186C1D&quot;/&gt;&lt;wsp:rsid wsp:val=&quot;00187284&quot;/&gt;&lt;wsp:rsid wsp:val=&quot;001877A2&quot;/&gt;&lt;wsp:rsid wsp:val=&quot;001879A0&quot;/&gt;&lt;wsp:rsid wsp:val=&quot;00187B2D&quot;/&gt;&lt;wsp:rsid wsp:val=&quot;0019009C&quot;/&gt;&lt;wsp:rsid wsp:val=&quot;00190433&quot;/&gt;&lt;wsp:rsid wsp:val=&quot;001907A6&quot;/&gt;&lt;wsp:rsid wsp:val=&quot;001907ED&quot;/&gt;&lt;wsp:rsid wsp:val=&quot;00190CEA&quot;/&gt;&lt;wsp:rsid wsp:val=&quot;00190D5E&quot;/&gt;&lt;wsp:rsid wsp:val=&quot;00190E44&quot;/&gt;&lt;wsp:rsid wsp:val=&quot;00190F21&quot;/&gt;&lt;wsp:rsid wsp:val=&quot;001912DF&quot;/&gt;&lt;wsp:rsid wsp:val=&quot;001915A4&quot;/&gt;&lt;wsp:rsid wsp:val=&quot;001915AD&quot;/&gt;&lt;wsp:rsid wsp:val=&quot;001919A4&quot;/&gt;&lt;wsp:rsid wsp:val=&quot;00191E44&quot;/&gt;&lt;wsp:rsid wsp:val=&quot;00192061&quot;/&gt;&lt;wsp:rsid wsp:val=&quot;00192069&quot;/&gt;&lt;wsp:rsid wsp:val=&quot;001920B1&quot;/&gt;&lt;wsp:rsid wsp:val=&quot;00192364&quot;/&gt;&lt;wsp:rsid wsp:val=&quot;0019276A&quot;/&gt;&lt;wsp:rsid wsp:val=&quot;001927A8&quot;/&gt;&lt;wsp:rsid wsp:val=&quot;001927DF&quot;/&gt;&lt;wsp:rsid wsp:val=&quot;00192A4B&quot;/&gt;&lt;wsp:rsid wsp:val=&quot;00192BF2&quot;/&gt;&lt;wsp:rsid wsp:val=&quot;00192D80&quot;/&gt;&lt;wsp:rsid wsp:val=&quot;00192E0F&quot;/&gt;&lt;wsp:rsid wsp:val=&quot;00192ECC&quot;/&gt;&lt;wsp:rsid wsp:val=&quot;00192F1C&quot;/&gt;&lt;wsp:rsid wsp:val=&quot;001936BD&quot;/&gt;&lt;wsp:rsid wsp:val=&quot;001938A2&quot;/&gt;&lt;wsp:rsid wsp:val=&quot;00193CF3&quot;/&gt;&lt;wsp:rsid wsp:val=&quot;0019425F&quot;/&gt;&lt;wsp:rsid wsp:val=&quot;001949CD&quot;/&gt;&lt;wsp:rsid wsp:val=&quot;00194A52&quot;/&gt;&lt;wsp:rsid wsp:val=&quot;00194F1B&quot;/&gt;&lt;wsp:rsid wsp:val=&quot;00194FC7&quot;/&gt;&lt;wsp:rsid wsp:val=&quot;00195084&quot;/&gt;&lt;wsp:rsid wsp:val=&quot;00195126&quot;/&gt;&lt;wsp:rsid wsp:val=&quot;00195872&quot;/&gt;&lt;wsp:rsid wsp:val=&quot;00195D97&quot;/&gt;&lt;wsp:rsid wsp:val=&quot;00196A05&quot;/&gt;&lt;wsp:rsid wsp:val=&quot;00196A8B&quot;/&gt;&lt;wsp:rsid wsp:val=&quot;00196BBA&quot;/&gt;&lt;wsp:rsid wsp:val=&quot;00196CC7&quot;/&gt;&lt;wsp:rsid wsp:val=&quot;00196E90&quot;/&gt;&lt;wsp:rsid wsp:val=&quot;001970BE&quot;/&gt;&lt;wsp:rsid wsp:val=&quot;001971F8&quot;/&gt;&lt;wsp:rsid wsp:val=&quot;0019759A&quot;/&gt;&lt;wsp:rsid wsp:val=&quot;00197600&quot;/&gt;&lt;wsp:rsid wsp:val=&quot;00197836&quot;/&gt;&lt;wsp:rsid wsp:val=&quot;00197F47&quot;/&gt;&lt;wsp:rsid wsp:val=&quot;001A017D&quot;/&gt;&lt;wsp:rsid wsp:val=&quot;001A0518&quot;/&gt;&lt;wsp:rsid wsp:val=&quot;001A054A&quot;/&gt;&lt;wsp:rsid wsp:val=&quot;001A05A9&quot;/&gt;&lt;wsp:rsid wsp:val=&quot;001A0A2B&quot;/&gt;&lt;wsp:rsid wsp:val=&quot;001A0C7C&quot;/&gt;&lt;wsp:rsid wsp:val=&quot;001A0CA7&quot;/&gt;&lt;wsp:rsid wsp:val=&quot;001A0ED7&quot;/&gt;&lt;wsp:rsid wsp:val=&quot;001A10F6&quot;/&gt;&lt;wsp:rsid wsp:val=&quot;001A1451&quot;/&gt;&lt;wsp:rsid wsp:val=&quot;001A15AE&quot;/&gt;&lt;wsp:rsid wsp:val=&quot;001A16F0&quot;/&gt;&lt;wsp:rsid wsp:val=&quot;001A1EFF&quot;/&gt;&lt;wsp:rsid wsp:val=&quot;001A2168&quot;/&gt;&lt;wsp:rsid wsp:val=&quot;001A26AE&quot;/&gt;&lt;wsp:rsid wsp:val=&quot;001A2DE5&quot;/&gt;&lt;wsp:rsid wsp:val=&quot;001A3389&quot;/&gt;&lt;wsp:rsid wsp:val=&quot;001A3497&quot;/&gt;&lt;wsp:rsid wsp:val=&quot;001A34F8&quot;/&gt;&lt;wsp:rsid wsp:val=&quot;001A355F&quot;/&gt;&lt;wsp:rsid wsp:val=&quot;001A3BE2&quot;/&gt;&lt;wsp:rsid wsp:val=&quot;001A3EEC&quot;/&gt;&lt;wsp:rsid wsp:val=&quot;001A4840&quot;/&gt;&lt;wsp:rsid wsp:val=&quot;001A4B86&quot;/&gt;&lt;wsp:rsid wsp:val=&quot;001A52EB&quot;/&gt;&lt;wsp:rsid wsp:val=&quot;001A55F6&quot;/&gt;&lt;wsp:rsid wsp:val=&quot;001A5738&quot;/&gt;&lt;wsp:rsid wsp:val=&quot;001A5D31&quot;/&gt;&lt;wsp:rsid wsp:val=&quot;001A5FA3&quot;/&gt;&lt;wsp:rsid wsp:val=&quot;001A601F&quot;/&gt;&lt;wsp:rsid wsp:val=&quot;001A60A8&quot;/&gt;&lt;wsp:rsid wsp:val=&quot;001A63B3&quot;/&gt;&lt;wsp:rsid wsp:val=&quot;001A664C&quot;/&gt;&lt;wsp:rsid wsp:val=&quot;001A6808&quot;/&gt;&lt;wsp:rsid wsp:val=&quot;001A6FA3&quot;/&gt;&lt;wsp:rsid wsp:val=&quot;001A72BF&quot;/&gt;&lt;wsp:rsid wsp:val=&quot;001A7510&quot;/&gt;&lt;wsp:rsid wsp:val=&quot;001A77AA&quot;/&gt;&lt;wsp:rsid wsp:val=&quot;001A7A6F&quot;/&gt;&lt;wsp:rsid wsp:val=&quot;001A7B61&quot;/&gt;&lt;wsp:rsid wsp:val=&quot;001B02F5&quot;/&gt;&lt;wsp:rsid wsp:val=&quot;001B041A&quot;/&gt;&lt;wsp:rsid wsp:val=&quot;001B062C&quot;/&gt;&lt;wsp:rsid wsp:val=&quot;001B065C&quot;/&gt;&lt;wsp:rsid wsp:val=&quot;001B1148&quot;/&gt;&lt;wsp:rsid wsp:val=&quot;001B123B&quot;/&gt;&lt;wsp:rsid wsp:val=&quot;001B1375&quot;/&gt;&lt;wsp:rsid wsp:val=&quot;001B1599&quot;/&gt;&lt;wsp:rsid wsp:val=&quot;001B170C&quot;/&gt;&lt;wsp:rsid wsp:val=&quot;001B1D1E&quot;/&gt;&lt;wsp:rsid wsp:val=&quot;001B20F1&quot;/&gt;&lt;wsp:rsid wsp:val=&quot;001B2202&quot;/&gt;&lt;wsp:rsid wsp:val=&quot;001B2589&quot;/&gt;&lt;wsp:rsid wsp:val=&quot;001B270B&quot;/&gt;&lt;wsp:rsid wsp:val=&quot;001B2780&quot;/&gt;&lt;wsp:rsid wsp:val=&quot;001B288F&quot;/&gt;&lt;wsp:rsid wsp:val=&quot;001B28BB&quot;/&gt;&lt;wsp:rsid wsp:val=&quot;001B2AD1&quot;/&gt;&lt;wsp:rsid wsp:val=&quot;001B2B0B&quot;/&gt;&lt;wsp:rsid wsp:val=&quot;001B2B0E&quot;/&gt;&lt;wsp:rsid wsp:val=&quot;001B2C1E&quot;/&gt;&lt;wsp:rsid wsp:val=&quot;001B2C7C&quot;/&gt;&lt;wsp:rsid wsp:val=&quot;001B2CA6&quot;/&gt;&lt;wsp:rsid wsp:val=&quot;001B2DA7&quot;/&gt;&lt;wsp:rsid wsp:val=&quot;001B2E61&quot;/&gt;&lt;wsp:rsid wsp:val=&quot;001B3118&quot;/&gt;&lt;wsp:rsid wsp:val=&quot;001B354A&quot;/&gt;&lt;wsp:rsid wsp:val=&quot;001B3602&quot;/&gt;&lt;wsp:rsid wsp:val=&quot;001B381F&quot;/&gt;&lt;wsp:rsid wsp:val=&quot;001B3879&quot;/&gt;&lt;wsp:rsid wsp:val=&quot;001B3928&quot;/&gt;&lt;wsp:rsid wsp:val=&quot;001B396F&quot;/&gt;&lt;wsp:rsid wsp:val=&quot;001B39DC&quot;/&gt;&lt;wsp:rsid wsp:val=&quot;001B3A9F&quot;/&gt;&lt;wsp:rsid wsp:val=&quot;001B3BF0&quot;/&gt;&lt;wsp:rsid wsp:val=&quot;001B3EE6&quot;/&gt;&lt;wsp:rsid wsp:val=&quot;001B3F57&quot;/&gt;&lt;wsp:rsid wsp:val=&quot;001B4038&quot;/&gt;&lt;wsp:rsid wsp:val=&quot;001B4366&quot;/&gt;&lt;wsp:rsid wsp:val=&quot;001B4B7C&quot;/&gt;&lt;wsp:rsid wsp:val=&quot;001B4C67&quot;/&gt;&lt;wsp:rsid wsp:val=&quot;001B4E8A&quot;/&gt;&lt;wsp:rsid wsp:val=&quot;001B52A8&quot;/&gt;&lt;wsp:rsid wsp:val=&quot;001B52AB&quot;/&gt;&lt;wsp:rsid wsp:val=&quot;001B54CA&quot;/&gt;&lt;wsp:rsid wsp:val=&quot;001B5AF8&quot;/&gt;&lt;wsp:rsid wsp:val=&quot;001B5C5C&quot;/&gt;&lt;wsp:rsid wsp:val=&quot;001B60F2&quot;/&gt;&lt;wsp:rsid wsp:val=&quot;001B6BC6&quot;/&gt;&lt;wsp:rsid wsp:val=&quot;001B6D34&quot;/&gt;&lt;wsp:rsid wsp:val=&quot;001B6EAF&quot;/&gt;&lt;wsp:rsid wsp:val=&quot;001B72A6&quot;/&gt;&lt;wsp:rsid wsp:val=&quot;001B7677&quot;/&gt;&lt;wsp:rsid wsp:val=&quot;001B76EE&quot;/&gt;&lt;wsp:rsid wsp:val=&quot;001B7850&quot;/&gt;&lt;wsp:rsid wsp:val=&quot;001B79CD&quot;/&gt;&lt;wsp:rsid wsp:val=&quot;001B7E69&quot;/&gt;&lt;wsp:rsid wsp:val=&quot;001C028A&quot;/&gt;&lt;wsp:rsid wsp:val=&quot;001C04E2&quot;/&gt;&lt;wsp:rsid wsp:val=&quot;001C093E&quot;/&gt;&lt;wsp:rsid wsp:val=&quot;001C0C7D&quot;/&gt;&lt;wsp:rsid wsp:val=&quot;001C0E19&quot;/&gt;&lt;wsp:rsid wsp:val=&quot;001C0F65&quot;/&gt;&lt;wsp:rsid wsp:val=&quot;001C109E&quot;/&gt;&lt;wsp:rsid wsp:val=&quot;001C10FD&quot;/&gt;&lt;wsp:rsid wsp:val=&quot;001C15C1&quot;/&gt;&lt;wsp:rsid wsp:val=&quot;001C166F&quot;/&gt;&lt;wsp:rsid wsp:val=&quot;001C17BD&quot;/&gt;&lt;wsp:rsid wsp:val=&quot;001C1C0B&quot;/&gt;&lt;wsp:rsid wsp:val=&quot;001C1D78&quot;/&gt;&lt;wsp:rsid wsp:val=&quot;001C1E57&quot;/&gt;&lt;wsp:rsid wsp:val=&quot;001C1FA8&quot;/&gt;&lt;wsp:rsid wsp:val=&quot;001C2597&quot;/&gt;&lt;wsp:rsid wsp:val=&quot;001C259D&quot;/&gt;&lt;wsp:rsid wsp:val=&quot;001C2AB5&quot;/&gt;&lt;wsp:rsid wsp:val=&quot;001C2C1C&quot;/&gt;&lt;wsp:rsid wsp:val=&quot;001C2CF1&quot;/&gt;&lt;wsp:rsid wsp:val=&quot;001C2D35&quot;/&gt;&lt;wsp:rsid wsp:val=&quot;001C2DB6&quot;/&gt;&lt;wsp:rsid wsp:val=&quot;001C30D5&quot;/&gt;&lt;wsp:rsid wsp:val=&quot;001C31BA&quot;/&gt;&lt;wsp:rsid wsp:val=&quot;001C3A67&quot;/&gt;&lt;wsp:rsid wsp:val=&quot;001C3A75&quot;/&gt;&lt;wsp:rsid wsp:val=&quot;001C3A7D&quot;/&gt;&lt;wsp:rsid wsp:val=&quot;001C3ABF&quot;/&gt;&lt;wsp:rsid wsp:val=&quot;001C3EA8&quot;/&gt;&lt;wsp:rsid wsp:val=&quot;001C4098&quot;/&gt;&lt;wsp:rsid wsp:val=&quot;001C40F0&quot;/&gt;&lt;wsp:rsid wsp:val=&quot;001C41DF&quot;/&gt;&lt;wsp:rsid wsp:val=&quot;001C4A4B&quot;/&gt;&lt;wsp:rsid wsp:val=&quot;001C4C9A&quot;/&gt;&lt;wsp:rsid wsp:val=&quot;001C4DDE&quot;/&gt;&lt;wsp:rsid wsp:val=&quot;001C4E0D&quot;/&gt;&lt;wsp:rsid wsp:val=&quot;001C5006&quot;/&gt;&lt;wsp:rsid wsp:val=&quot;001C5399&quot;/&gt;&lt;wsp:rsid wsp:val=&quot;001C54C3&quot;/&gt;&lt;wsp:rsid wsp:val=&quot;001C55D1&quot;/&gt;&lt;wsp:rsid wsp:val=&quot;001C57B5&quot;/&gt;&lt;wsp:rsid wsp:val=&quot;001C5C07&quot;/&gt;&lt;wsp:rsid wsp:val=&quot;001C5C7D&quot;/&gt;&lt;wsp:rsid wsp:val=&quot;001C5DD3&quot;/&gt;&lt;wsp:rsid wsp:val=&quot;001C62C8&quot;/&gt;&lt;wsp:rsid wsp:val=&quot;001C64D9&quot;/&gt;&lt;wsp:rsid wsp:val=&quot;001C6501&quot;/&gt;&lt;wsp:rsid wsp:val=&quot;001C68F6&quot;/&gt;&lt;wsp:rsid wsp:val=&quot;001C69AB&quot;/&gt;&lt;wsp:rsid wsp:val=&quot;001C6D16&quot;/&gt;&lt;wsp:rsid wsp:val=&quot;001C6F8F&quot;/&gt;&lt;wsp:rsid wsp:val=&quot;001C7B16&quot;/&gt;&lt;wsp:rsid wsp:val=&quot;001C7DCC&quot;/&gt;&lt;wsp:rsid wsp:val=&quot;001C7DD9&quot;/&gt;&lt;wsp:rsid wsp:val=&quot;001D0937&quot;/&gt;&lt;wsp:rsid wsp:val=&quot;001D0B3F&quot;/&gt;&lt;wsp:rsid wsp:val=&quot;001D0D56&quot;/&gt;&lt;wsp:rsid wsp:val=&quot;001D0FBA&quot;/&gt;&lt;wsp:rsid wsp:val=&quot;001D1107&quot;/&gt;&lt;wsp:rsid wsp:val=&quot;001D1250&quot;/&gt;&lt;wsp:rsid wsp:val=&quot;001D1820&quot;/&gt;&lt;wsp:rsid wsp:val=&quot;001D1993&quot;/&gt;&lt;wsp:rsid wsp:val=&quot;001D1AAD&quot;/&gt;&lt;wsp:rsid wsp:val=&quot;001D1AC5&quot;/&gt;&lt;wsp:rsid wsp:val=&quot;001D1BA9&quot;/&gt;&lt;wsp:rsid wsp:val=&quot;001D1E67&quot;/&gt;&lt;wsp:rsid wsp:val=&quot;001D246B&quot;/&gt;&lt;wsp:rsid wsp:val=&quot;001D255C&quot;/&gt;&lt;wsp:rsid wsp:val=&quot;001D263B&quot;/&gt;&lt;wsp:rsid wsp:val=&quot;001D2721&quot;/&gt;&lt;wsp:rsid wsp:val=&quot;001D2819&quot;/&gt;&lt;wsp:rsid wsp:val=&quot;001D2834&quot;/&gt;&lt;wsp:rsid wsp:val=&quot;001D29B9&quot;/&gt;&lt;wsp:rsid wsp:val=&quot;001D2BF6&quot;/&gt;&lt;wsp:rsid wsp:val=&quot;001D2E00&quot;/&gt;&lt;wsp:rsid wsp:val=&quot;001D2E7A&quot;/&gt;&lt;wsp:rsid wsp:val=&quot;001D310C&quot;/&gt;&lt;wsp:rsid wsp:val=&quot;001D321E&quot;/&gt;&lt;wsp:rsid wsp:val=&quot;001D338B&quot;/&gt;&lt;wsp:rsid wsp:val=&quot;001D33EB&quot;/&gt;&lt;wsp:rsid wsp:val=&quot;001D342A&quot;/&gt;&lt;wsp:rsid wsp:val=&quot;001D342B&quot;/&gt;&lt;wsp:rsid wsp:val=&quot;001D3520&quot;/&gt;&lt;wsp:rsid wsp:val=&quot;001D352A&quot;/&gt;&lt;wsp:rsid wsp:val=&quot;001D3733&quot;/&gt;&lt;wsp:rsid wsp:val=&quot;001D3A24&quot;/&gt;&lt;wsp:rsid wsp:val=&quot;001D3EB5&quot;/&gt;&lt;wsp:rsid wsp:val=&quot;001D3FAF&quot;/&gt;&lt;wsp:rsid wsp:val=&quot;001D4119&quot;/&gt;&lt;wsp:rsid wsp:val=&quot;001D42D8&quot;/&gt;&lt;wsp:rsid wsp:val=&quot;001D4310&quot;/&gt;&lt;wsp:rsid wsp:val=&quot;001D4499&quot;/&gt;&lt;wsp:rsid wsp:val=&quot;001D44B2&quot;/&gt;&lt;wsp:rsid wsp:val=&quot;001D44B5&quot;/&gt;&lt;wsp:rsid wsp:val=&quot;001D46FA&quot;/&gt;&lt;wsp:rsid wsp:val=&quot;001D4733&quot;/&gt;&lt;wsp:rsid wsp:val=&quot;001D4D81&quot;/&gt;&lt;wsp:rsid wsp:val=&quot;001D52FA&quot;/&gt;&lt;wsp:rsid wsp:val=&quot;001D58AC&quot;/&gt;&lt;wsp:rsid wsp:val=&quot;001D5A62&quot;/&gt;&lt;wsp:rsid wsp:val=&quot;001D5AEF&quot;/&gt;&lt;wsp:rsid wsp:val=&quot;001D5B50&quot;/&gt;&lt;wsp:rsid wsp:val=&quot;001D5FE1&quot;/&gt;&lt;wsp:rsid wsp:val=&quot;001D6467&quot;/&gt;&lt;wsp:rsid wsp:val=&quot;001D6597&quot;/&gt;&lt;wsp:rsid wsp:val=&quot;001D673A&quot;/&gt;&lt;wsp:rsid wsp:val=&quot;001D6756&quot;/&gt;&lt;wsp:rsid wsp:val=&quot;001D686E&quot;/&gt;&lt;wsp:rsid wsp:val=&quot;001D6CCA&quot;/&gt;&lt;wsp:rsid wsp:val=&quot;001D6D8C&quot;/&gt;&lt;wsp:rsid wsp:val=&quot;001D6EB8&quot;/&gt;&lt;wsp:rsid wsp:val=&quot;001D7182&quot;/&gt;&lt;wsp:rsid wsp:val=&quot;001D7493&quot;/&gt;&lt;wsp:rsid wsp:val=&quot;001D769C&quot;/&gt;&lt;wsp:rsid wsp:val=&quot;001D76D7&quot;/&gt;&lt;wsp:rsid wsp:val=&quot;001D79AE&quot;/&gt;&lt;wsp:rsid wsp:val=&quot;001D7EAB&quot;/&gt;&lt;wsp:rsid wsp:val=&quot;001E0172&quot;/&gt;&lt;wsp:rsid wsp:val=&quot;001E037B&quot;/&gt;&lt;wsp:rsid wsp:val=&quot;001E03A4&quot;/&gt;&lt;wsp:rsid wsp:val=&quot;001E0486&quot;/&gt;&lt;wsp:rsid wsp:val=&quot;001E0526&quot;/&gt;&lt;wsp:rsid wsp:val=&quot;001E06A9&quot;/&gt;&lt;wsp:rsid wsp:val=&quot;001E08A8&quot;/&gt;&lt;wsp:rsid wsp:val=&quot;001E0D9E&quot;/&gt;&lt;wsp:rsid wsp:val=&quot;001E11C3&quot;/&gt;&lt;wsp:rsid wsp:val=&quot;001E13A9&quot;/&gt;&lt;wsp:rsid wsp:val=&quot;001E1677&quot;/&gt;&lt;wsp:rsid wsp:val=&quot;001E17A9&quot;/&gt;&lt;wsp:rsid wsp:val=&quot;001E17F3&quot;/&gt;&lt;wsp:rsid wsp:val=&quot;001E192A&quot;/&gt;&lt;wsp:rsid wsp:val=&quot;001E1AC4&quot;/&gt;&lt;wsp:rsid wsp:val=&quot;001E1AF5&quot;/&gt;&lt;wsp:rsid wsp:val=&quot;001E1B96&quot;/&gt;&lt;wsp:rsid wsp:val=&quot;001E1C33&quot;/&gt;&lt;wsp:rsid wsp:val=&quot;001E1E69&quot;/&gt;&lt;wsp:rsid wsp:val=&quot;001E2004&quot;/&gt;&lt;wsp:rsid wsp:val=&quot;001E2076&quot;/&gt;&lt;wsp:rsid wsp:val=&quot;001E2119&quot;/&gt;&lt;wsp:rsid wsp:val=&quot;001E26DF&quot;/&gt;&lt;wsp:rsid wsp:val=&quot;001E2888&quot;/&gt;&lt;wsp:rsid wsp:val=&quot;001E2CA6&quot;/&gt;&lt;wsp:rsid wsp:val=&quot;001E2D47&quot;/&gt;&lt;wsp:rsid wsp:val=&quot;001E2E12&quot;/&gt;&lt;wsp:rsid wsp:val=&quot;001E30EB&quot;/&gt;&lt;wsp:rsid wsp:val=&quot;001E3324&quot;/&gt;&lt;wsp:rsid wsp:val=&quot;001E332A&quot;/&gt;&lt;wsp:rsid wsp:val=&quot;001E390B&quot;/&gt;&lt;wsp:rsid wsp:val=&quot;001E3C5F&quot;/&gt;&lt;wsp:rsid wsp:val=&quot;001E3D84&quot;/&gt;&lt;wsp:rsid wsp:val=&quot;001E404C&quot;/&gt;&lt;wsp:rsid wsp:val=&quot;001E41CF&quot;/&gt;&lt;wsp:rsid wsp:val=&quot;001E441E&quot;/&gt;&lt;wsp:rsid wsp:val=&quot;001E4548&quot;/&gt;&lt;wsp:rsid wsp:val=&quot;001E48D8&quot;/&gt;&lt;wsp:rsid wsp:val=&quot;001E4B42&quot;/&gt;&lt;wsp:rsid wsp:val=&quot;001E4BA3&quot;/&gt;&lt;wsp:rsid wsp:val=&quot;001E4D0E&quot;/&gt;&lt;wsp:rsid wsp:val=&quot;001E4E51&quot;/&gt;&lt;wsp:rsid wsp:val=&quot;001E4F58&quot;/&gt;&lt;wsp:rsid wsp:val=&quot;001E51DB&quot;/&gt;&lt;wsp:rsid wsp:val=&quot;001E5379&quot;/&gt;&lt;wsp:rsid wsp:val=&quot;001E53D2&quot;/&gt;&lt;wsp:rsid wsp:val=&quot;001E5442&quot;/&gt;&lt;wsp:rsid wsp:val=&quot;001E55C8&quot;/&gt;&lt;wsp:rsid wsp:val=&quot;001E5830&quot;/&gt;&lt;wsp:rsid wsp:val=&quot;001E5905&quot;/&gt;&lt;wsp:rsid wsp:val=&quot;001E5AF1&quot;/&gt;&lt;wsp:rsid wsp:val=&quot;001E5E46&quot;/&gt;&lt;wsp:rsid wsp:val=&quot;001E66D3&quot;/&gt;&lt;wsp:rsid wsp:val=&quot;001E6903&quot;/&gt;&lt;wsp:rsid wsp:val=&quot;001E6976&quot;/&gt;&lt;wsp:rsid wsp:val=&quot;001E6A00&quot;/&gt;&lt;wsp:rsid wsp:val=&quot;001E6A5A&quot;/&gt;&lt;wsp:rsid wsp:val=&quot;001E6BE6&quot;/&gt;&lt;wsp:rsid wsp:val=&quot;001E6C06&quot;/&gt;&lt;wsp:rsid wsp:val=&quot;001E6EB2&quot;/&gt;&lt;wsp:rsid wsp:val=&quot;001E73D5&quot;/&gt;&lt;wsp:rsid wsp:val=&quot;001E7605&quot;/&gt;&lt;wsp:rsid wsp:val=&quot;001E7893&quot;/&gt;&lt;wsp:rsid wsp:val=&quot;001E7935&quot;/&gt;&lt;wsp:rsid wsp:val=&quot;001E7A7C&quot;/&gt;&lt;wsp:rsid wsp:val=&quot;001F02C6&quot;/&gt;&lt;wsp:rsid wsp:val=&quot;001F0464&quot;/&gt;&lt;wsp:rsid wsp:val=&quot;001F0CAB&quot;/&gt;&lt;wsp:rsid wsp:val=&quot;001F10B5&quot;/&gt;&lt;wsp:rsid wsp:val=&quot;001F155A&quot;/&gt;&lt;wsp:rsid wsp:val=&quot;001F16C2&quot;/&gt;&lt;wsp:rsid wsp:val=&quot;001F178E&quot;/&gt;&lt;wsp:rsid wsp:val=&quot;001F183C&quot;/&gt;&lt;wsp:rsid wsp:val=&quot;001F1865&quot;/&gt;&lt;wsp:rsid wsp:val=&quot;001F1886&quot;/&gt;&lt;wsp:rsid wsp:val=&quot;001F1888&quot;/&gt;&lt;wsp:rsid wsp:val=&quot;001F1971&quot;/&gt;&lt;wsp:rsid wsp:val=&quot;001F21DA&quot;/&gt;&lt;wsp:rsid wsp:val=&quot;001F2496&quot;/&gt;&lt;wsp:rsid wsp:val=&quot;001F25CD&quot;/&gt;&lt;wsp:rsid wsp:val=&quot;001F309F&quot;/&gt;&lt;wsp:rsid wsp:val=&quot;001F3115&quot;/&gt;&lt;wsp:rsid wsp:val=&quot;001F3224&quot;/&gt;&lt;wsp:rsid wsp:val=&quot;001F3474&quot;/&gt;&lt;wsp:rsid wsp:val=&quot;001F35FF&quot;/&gt;&lt;wsp:rsid wsp:val=&quot;001F392F&quot;/&gt;&lt;wsp:rsid wsp:val=&quot;001F3BF6&quot;/&gt;&lt;wsp:rsid wsp:val=&quot;001F3C31&quot;/&gt;&lt;wsp:rsid wsp:val=&quot;001F4164&quot;/&gt;&lt;wsp:rsid wsp:val=&quot;001F422A&quot;/&gt;&lt;wsp:rsid wsp:val=&quot;001F45BE&quot;/&gt;&lt;wsp:rsid wsp:val=&quot;001F4603&quot;/&gt;&lt;wsp:rsid wsp:val=&quot;001F4703&quot;/&gt;&lt;wsp:rsid wsp:val=&quot;001F4704&quot;/&gt;&lt;wsp:rsid wsp:val=&quot;001F4B92&quot;/&gt;&lt;wsp:rsid wsp:val=&quot;001F4E45&quot;/&gt;&lt;wsp:rsid wsp:val=&quot;001F4EF0&quot;/&gt;&lt;wsp:rsid wsp:val=&quot;001F50CC&quot;/&gt;&lt;wsp:rsid wsp:val=&quot;001F51FF&quot;/&gt;&lt;wsp:rsid wsp:val=&quot;001F5581&quot;/&gt;&lt;wsp:rsid wsp:val=&quot;001F592C&quot;/&gt;&lt;wsp:rsid wsp:val=&quot;001F5A0B&quot;/&gt;&lt;wsp:rsid wsp:val=&quot;001F5B83&quot;/&gt;&lt;wsp:rsid wsp:val=&quot;001F5C72&quot;/&gt;&lt;wsp:rsid wsp:val=&quot;001F5C84&quot;/&gt;&lt;wsp:rsid wsp:val=&quot;001F5DE3&quot;/&gt;&lt;wsp:rsid wsp:val=&quot;001F602C&quot;/&gt;&lt;wsp:rsid wsp:val=&quot;001F6371&quot;/&gt;&lt;wsp:rsid wsp:val=&quot;001F646C&quot;/&gt;&lt;wsp:rsid wsp:val=&quot;001F6596&quot;/&gt;&lt;wsp:rsid wsp:val=&quot;001F67D0&quot;/&gt;&lt;wsp:rsid wsp:val=&quot;001F67E5&quot;/&gt;&lt;wsp:rsid wsp:val=&quot;001F6AA3&quot;/&gt;&lt;wsp:rsid wsp:val=&quot;001F6B75&quot;/&gt;&lt;wsp:rsid wsp:val=&quot;001F6C54&quot;/&gt;&lt;wsp:rsid wsp:val=&quot;001F6E7F&quot;/&gt;&lt;wsp:rsid wsp:val=&quot;001F6FDE&quot;/&gt;&lt;wsp:rsid wsp:val=&quot;001F7095&quot;/&gt;&lt;wsp:rsid wsp:val=&quot;001F71D7&quot;/&gt;&lt;wsp:rsid wsp:val=&quot;001F72C0&quot;/&gt;&lt;wsp:rsid wsp:val=&quot;001F7D0A&quot;/&gt;&lt;wsp:rsid wsp:val=&quot;001F7F17&quot;/&gt;&lt;wsp:rsid wsp:val=&quot;00200067&quot;/&gt;&lt;wsp:rsid wsp:val=&quot;002001C6&quot;/&gt;&lt;wsp:rsid wsp:val=&quot;0020084E&quot;/&gt;&lt;wsp:rsid wsp:val=&quot;0020091E&quot;/&gt;&lt;wsp:rsid wsp:val=&quot;00200F48&quot;/&gt;&lt;wsp:rsid wsp:val=&quot;00201088&quot;/&gt;&lt;wsp:rsid wsp:val=&quot;0020143B&quot;/&gt;&lt;wsp:rsid wsp:val=&quot;0020160E&quot;/&gt;&lt;wsp:rsid wsp:val=&quot;0020169E&quot;/&gt;&lt;wsp:rsid wsp:val=&quot;00201845&quot;/&gt;&lt;wsp:rsid wsp:val=&quot;0020193E&quot;/&gt;&lt;wsp:rsid wsp:val=&quot;00201B48&quot;/&gt;&lt;wsp:rsid wsp:val=&quot;00201CCB&quot;/&gt;&lt;wsp:rsid wsp:val=&quot;00202134&quot;/&gt;&lt;wsp:rsid wsp:val=&quot;0020221D&quot;/&gt;&lt;wsp:rsid wsp:val=&quot;00202326&quot;/&gt;&lt;wsp:rsid wsp:val=&quot;0020255B&quot;/&gt;&lt;wsp:rsid wsp:val=&quot;00202601&quot;/&gt;&lt;wsp:rsid wsp:val=&quot;00202770&quot;/&gt;&lt;wsp:rsid wsp:val=&quot;002029B2&quot;/&gt;&lt;wsp:rsid wsp:val=&quot;00202A7F&quot;/&gt;&lt;wsp:rsid wsp:val=&quot;00202B84&quot;/&gt;&lt;wsp:rsid wsp:val=&quot;0020327A&quot;/&gt;&lt;wsp:rsid wsp:val=&quot;0020335F&quot;/&gt;&lt;wsp:rsid wsp:val=&quot;00203709&quot;/&gt;&lt;wsp:rsid wsp:val=&quot;002037C0&quot;/&gt;&lt;wsp:rsid wsp:val=&quot;002037DB&quot;/&gt;&lt;wsp:rsid wsp:val=&quot;00203915&quot;/&gt;&lt;wsp:rsid wsp:val=&quot;00203966&quot;/&gt;&lt;wsp:rsid wsp:val=&quot;00203AAA&quot;/&gt;&lt;wsp:rsid wsp:val=&quot;00203B36&quot;/&gt;&lt;wsp:rsid wsp:val=&quot;00204120&quot;/&gt;&lt;wsp:rsid wsp:val=&quot;0020463D&quot;/&gt;&lt;wsp:rsid wsp:val=&quot;00204A20&quot;/&gt;&lt;wsp:rsid wsp:val=&quot;00204C56&quot;/&gt;&lt;wsp:rsid wsp:val=&quot;00204CCF&quot;/&gt;&lt;wsp:rsid wsp:val=&quot;00204EBE&quot;/&gt;&lt;wsp:rsid wsp:val=&quot;00204ED0&quot;/&gt;&lt;wsp:rsid wsp:val=&quot;0020502A&quot;/&gt;&lt;wsp:rsid wsp:val=&quot;00205091&quot;/&gt;&lt;wsp:rsid wsp:val=&quot;00205117&quot;/&gt;&lt;wsp:rsid wsp:val=&quot;00205380&quot;/&gt;&lt;wsp:rsid wsp:val=&quot;002057E0&quot;/&gt;&lt;wsp:rsid wsp:val=&quot;00205826&quot;/&gt;&lt;wsp:rsid wsp:val=&quot;00205894&quot;/&gt;&lt;wsp:rsid wsp:val=&quot;00205946&quot;/&gt;&lt;wsp:rsid wsp:val=&quot;00205C0D&quot;/&gt;&lt;wsp:rsid wsp:val=&quot;00205EED&quot;/&gt;&lt;wsp:rsid wsp:val=&quot;002060CD&quot;/&gt;&lt;wsp:rsid wsp:val=&quot;00206123&quot;/&gt;&lt;wsp:rsid wsp:val=&quot;0020634A&quot;/&gt;&lt;wsp:rsid wsp:val=&quot;002064AD&quot;/&gt;&lt;wsp:rsid wsp:val=&quot;00206822&quot;/&gt;&lt;wsp:rsid wsp:val=&quot;00206EA0&quot;/&gt;&lt;wsp:rsid wsp:val=&quot;0020701D&quot;/&gt;&lt;wsp:rsid wsp:val=&quot;0020706A&quot;/&gt;&lt;wsp:rsid wsp:val=&quot;00207348&quot;/&gt;&lt;wsp:rsid wsp:val=&quot;002074F5&quot;/&gt;&lt;wsp:rsid wsp:val=&quot;00207586&quot;/&gt;&lt;wsp:rsid wsp:val=&quot;00207AB8&quot;/&gt;&lt;wsp:rsid wsp:val=&quot;0021002A&quot;/&gt;&lt;wsp:rsid wsp:val=&quot;0021050B&quot;/&gt;&lt;wsp:rsid wsp:val=&quot;002106BC&quot;/&gt;&lt;wsp:rsid wsp:val=&quot;00210C3E&quot;/&gt;&lt;wsp:rsid wsp:val=&quot;0021102C&quot;/&gt;&lt;wsp:rsid wsp:val=&quot;00211231&quot;/&gt;&lt;wsp:rsid wsp:val=&quot;00211597&quot;/&gt;&lt;wsp:rsid wsp:val=&quot;002119C2&quot;/&gt;&lt;wsp:rsid wsp:val=&quot;00211AF6&quot;/&gt;&lt;wsp:rsid wsp:val=&quot;00211B15&quot;/&gt;&lt;wsp:rsid wsp:val=&quot;00211BE8&quot;/&gt;&lt;wsp:rsid wsp:val=&quot;00211D2B&quot;/&gt;&lt;wsp:rsid wsp:val=&quot;00211E81&quot;/&gt;&lt;wsp:rsid wsp:val=&quot;00211F80&quot;/&gt;&lt;wsp:rsid wsp:val=&quot;00212235&quot;/&gt;&lt;wsp:rsid wsp:val=&quot;0021234A&quot;/&gt;&lt;wsp:rsid wsp:val=&quot;00212654&quot;/&gt;&lt;wsp:rsid wsp:val=&quot;00212677&quot;/&gt;&lt;wsp:rsid wsp:val=&quot;00212749&quot;/&gt;&lt;wsp:rsid wsp:val=&quot;002128BB&quot;/&gt;&lt;wsp:rsid wsp:val=&quot;00212AA3&quot;/&gt;&lt;wsp:rsid wsp:val=&quot;00212D8E&quot;/&gt;&lt;wsp:rsid wsp:val=&quot;00212DCD&quot;/&gt;&lt;wsp:rsid wsp:val=&quot;00212E00&quot;/&gt;&lt;wsp:rsid wsp:val=&quot;0021321D&quot;/&gt;&lt;wsp:rsid wsp:val=&quot;002132AD&quot;/&gt;&lt;wsp:rsid wsp:val=&quot;00213390&quot;/&gt;&lt;wsp:rsid wsp:val=&quot;002133DA&quot;/&gt;&lt;wsp:rsid wsp:val=&quot;002133FB&quot;/&gt;&lt;wsp:rsid wsp:val=&quot;002135C0&quot;/&gt;&lt;wsp:rsid wsp:val=&quot;002137BB&quot;/&gt;&lt;wsp:rsid wsp:val=&quot;00213A4E&quot;/&gt;&lt;wsp:rsid wsp:val=&quot;00213A8A&quot;/&gt;&lt;wsp:rsid wsp:val=&quot;00213C3B&quot;/&gt;&lt;wsp:rsid wsp:val=&quot;00213DA1&quot;/&gt;&lt;wsp:rsid wsp:val=&quot;00213F67&quot;/&gt;&lt;wsp:rsid wsp:val=&quot;00213F8C&quot;/&gt;&lt;wsp:rsid wsp:val=&quot;00213FEF&quot;/&gt;&lt;wsp:rsid wsp:val=&quot;00214191&quot;/&gt;&lt;wsp:rsid wsp:val=&quot;0021442B&quot;/&gt;&lt;wsp:rsid wsp:val=&quot;00214450&quot;/&gt;&lt;wsp:rsid wsp:val=&quot;0021446C&quot;/&gt;&lt;wsp:rsid wsp:val=&quot;00214609&quot;/&gt;&lt;wsp:rsid wsp:val=&quot;0021474F&quot;/&gt;&lt;wsp:rsid wsp:val=&quot;00214BC9&quot;/&gt;&lt;wsp:rsid wsp:val=&quot;00214FC7&quot;/&gt;&lt;wsp:rsid wsp:val=&quot;0021556D&quot;/&gt;&lt;wsp:rsid wsp:val=&quot;002156D4&quot;/&gt;&lt;wsp:rsid wsp:val=&quot;002159BE&quot;/&gt;&lt;wsp:rsid wsp:val=&quot;002159D9&quot;/&gt;&lt;wsp:rsid wsp:val=&quot;00215F89&quot;/&gt;&lt;wsp:rsid wsp:val=&quot;00216291&quot;/&gt;&lt;wsp:rsid wsp:val=&quot;0021699B&quot;/&gt;&lt;wsp:rsid wsp:val=&quot;00216BEC&quot;/&gt;&lt;wsp:rsid wsp:val=&quot;00216E6B&quot;/&gt;&lt;wsp:rsid wsp:val=&quot;00217013&quot;/&gt;&lt;wsp:rsid wsp:val=&quot;002173C0&quot;/&gt;&lt;wsp:rsid wsp:val=&quot;00217489&quot;/&gt;&lt;wsp:rsid wsp:val=&quot;00217809&quot;/&gt;&lt;wsp:rsid wsp:val=&quot;002179D5&quot;/&gt;&lt;wsp:rsid wsp:val=&quot;00217A97&quot;/&gt;&lt;wsp:rsid wsp:val=&quot;00217A9A&quot;/&gt;&lt;wsp:rsid wsp:val=&quot;00217CB7&quot;/&gt;&lt;wsp:rsid wsp:val=&quot;00217D93&quot;/&gt;&lt;wsp:rsid wsp:val=&quot;00217E00&quot;/&gt;&lt;wsp:rsid wsp:val=&quot;0022001A&quot;/&gt;&lt;wsp:rsid wsp:val=&quot;002201B6&quot;/&gt;&lt;wsp:rsid wsp:val=&quot;002204BC&quot;/&gt;&lt;wsp:rsid wsp:val=&quot;002207F9&quot;/&gt;&lt;wsp:rsid wsp:val=&quot;00220892&quot;/&gt;&lt;wsp:rsid wsp:val=&quot;00220A13&quot;/&gt;&lt;wsp:rsid wsp:val=&quot;00220AFB&quot;/&gt;&lt;wsp:rsid wsp:val=&quot;00221071&quot;/&gt;&lt;wsp:rsid wsp:val=&quot;002214C0&quot;/&gt;&lt;wsp:rsid wsp:val=&quot;002217B2&quot;/&gt;&lt;wsp:rsid wsp:val=&quot;00221906&quot;/&gt;&lt;wsp:rsid wsp:val=&quot;00221FE6&quot;/&gt;&lt;wsp:rsid wsp:val=&quot;002224B4&quot;/&gt;&lt;wsp:rsid wsp:val=&quot;00222537&quot;/&gt;&lt;wsp:rsid wsp:val=&quot;002225DF&quot;/&gt;&lt;wsp:rsid wsp:val=&quot;00222F0D&quot;/&gt;&lt;wsp:rsid wsp:val=&quot;00223556&quot;/&gt;&lt;wsp:rsid wsp:val=&quot;0022364B&quot;/&gt;&lt;wsp:rsid wsp:val=&quot;002237B4&quot;/&gt;&lt;wsp:rsid wsp:val=&quot;002237D0&quot;/&gt;&lt;wsp:rsid wsp:val=&quot;00223A29&quot;/&gt;&lt;wsp:rsid wsp:val=&quot;00223BB9&quot;/&gt;&lt;wsp:rsid wsp:val=&quot;00223C4A&quot;/&gt;&lt;wsp:rsid wsp:val=&quot;00223EB6&quot;/&gt;&lt;wsp:rsid wsp:val=&quot;00224082&quot;/&gt;&lt;wsp:rsid wsp:val=&quot;002242A9&quot;/&gt;&lt;wsp:rsid wsp:val=&quot;00224425&quot;/&gt;&lt;wsp:rsid wsp:val=&quot;00224569&quot;/&gt;&lt;wsp:rsid wsp:val=&quot;002245B8&quot;/&gt;&lt;wsp:rsid wsp:val=&quot;00224B50&quot;/&gt;&lt;wsp:rsid wsp:val=&quot;00224F76&quot;/&gt;&lt;wsp:rsid wsp:val=&quot;0022506D&quot;/&gt;&lt;wsp:rsid wsp:val=&quot;00225118&quot;/&gt;&lt;wsp:rsid wsp:val=&quot;00225373&quot;/&gt;&lt;wsp:rsid wsp:val=&quot;002253C0&quot;/&gt;&lt;wsp:rsid wsp:val=&quot;002255D8&quot;/&gt;&lt;wsp:rsid wsp:val=&quot;002257CF&quot;/&gt;&lt;wsp:rsid wsp:val=&quot;0022584C&quot;/&gt;&lt;wsp:rsid wsp:val=&quot;00225ABF&quot;/&gt;&lt;wsp:rsid wsp:val=&quot;00225EBC&quot;/&gt;&lt;wsp:rsid wsp:val=&quot;00225EF9&quot;/&gt;&lt;wsp:rsid wsp:val=&quot;00226067&quot;/&gt;&lt;wsp:rsid wsp:val=&quot;0022620C&quot;/&gt;&lt;wsp:rsid wsp:val=&quot;0022632F&quot;/&gt;&lt;wsp:rsid wsp:val=&quot;00226721&quot;/&gt;&lt;wsp:rsid wsp:val=&quot;00226799&quot;/&gt;&lt;wsp:rsid wsp:val=&quot;00226829&quot;/&gt;&lt;wsp:rsid wsp:val=&quot;0022682A&quot;/&gt;&lt;wsp:rsid wsp:val=&quot;00226A5B&quot;/&gt;&lt;wsp:rsid wsp:val=&quot;00226BCC&quot;/&gt;&lt;wsp:rsid wsp:val=&quot;00226CB1&quot;/&gt;&lt;wsp:rsid wsp:val=&quot;00226E61&quot;/&gt;&lt;wsp:rsid wsp:val=&quot;002272C5&quot;/&gt;&lt;wsp:rsid wsp:val=&quot;00227383&quot;/&gt;&lt;wsp:rsid wsp:val=&quot;00227982&quot;/&gt;&lt;wsp:rsid wsp:val=&quot;00227E40&quot;/&gt;&lt;wsp:rsid wsp:val=&quot;00227F18&quot;/&gt;&lt;wsp:rsid wsp:val=&quot;00227F30&quot;/&gt;&lt;wsp:rsid wsp:val=&quot;00230182&quot;/&gt;&lt;wsp:rsid wsp:val=&quot;002302C1&quot;/&gt;&lt;wsp:rsid wsp:val=&quot;00230931&quot;/&gt;&lt;wsp:rsid wsp:val=&quot;00230EC6&quot;/&gt;&lt;wsp:rsid wsp:val=&quot;00231568&quot;/&gt;&lt;wsp:rsid wsp:val=&quot;0023156A&quot;/&gt;&lt;wsp:rsid wsp:val=&quot;00231A2A&quot;/&gt;&lt;wsp:rsid wsp:val=&quot;00231AAB&quot;/&gt;&lt;wsp:rsid wsp:val=&quot;00231D8D&quot;/&gt;&lt;wsp:rsid wsp:val=&quot;00231FBE&quot;/&gt;&lt;wsp:rsid wsp:val=&quot;002324AC&quot;/&gt;&lt;wsp:rsid wsp:val=&quot;0023261B&quot;/&gt;&lt;wsp:rsid wsp:val=&quot;00232976&quot;/&gt;&lt;wsp:rsid wsp:val=&quot;00232A5B&quot;/&gt;&lt;wsp:rsid wsp:val=&quot;00232BC9&quot;/&gt;&lt;wsp:rsid wsp:val=&quot;00232D5B&quot;/&gt;&lt;wsp:rsid wsp:val=&quot;00232E13&quot;/&gt;&lt;wsp:rsid wsp:val=&quot;00232F48&quot;/&gt;&lt;wsp:rsid wsp:val=&quot;00233057&quot;/&gt;&lt;wsp:rsid wsp:val=&quot;002332D9&quot;/&gt;&lt;wsp:rsid wsp:val=&quot;0023335F&quot;/&gt;&lt;wsp:rsid wsp:val=&quot;002338E5&quot;/&gt;&lt;wsp:rsid wsp:val=&quot;0023398B&quot;/&gt;&lt;wsp:rsid wsp:val=&quot;002341D5&quot;/&gt;&lt;wsp:rsid wsp:val=&quot;002346D3&quot;/&gt;&lt;wsp:rsid wsp:val=&quot;00234752&quot;/&gt;&lt;wsp:rsid wsp:val=&quot;0023479B&quot;/&gt;&lt;wsp:rsid wsp:val=&quot;00234C00&quot;/&gt;&lt;wsp:rsid wsp:val=&quot;00234ED0&quot;/&gt;&lt;wsp:rsid wsp:val=&quot;0023501E&quot;/&gt;&lt;wsp:rsid wsp:val=&quot;00235394&quot;/&gt;&lt;wsp:rsid wsp:val=&quot;0023549A&quot;/&gt;&lt;wsp:rsid wsp:val=&quot;0023561A&quot;/&gt;&lt;wsp:rsid wsp:val=&quot;002357C9&quot;/&gt;&lt;wsp:rsid wsp:val=&quot;002359AB&quot;/&gt;&lt;wsp:rsid wsp:val=&quot;00235B23&quot;/&gt;&lt;wsp:rsid wsp:val=&quot;00235B59&quot;/&gt;&lt;wsp:rsid wsp:val=&quot;00236253&quot;/&gt;&lt;wsp:rsid wsp:val=&quot;002363FA&quot;/&gt;&lt;wsp:rsid wsp:val=&quot;002370F6&quot;/&gt;&lt;wsp:rsid wsp:val=&quot;002371BD&quot;/&gt;&lt;wsp:rsid wsp:val=&quot;00237460&quot;/&gt;&lt;wsp:rsid wsp:val=&quot;00237479&quot;/&gt;&lt;wsp:rsid wsp:val=&quot;002378A7&quot;/&gt;&lt;wsp:rsid wsp:val=&quot;00237B71&quot;/&gt;&lt;wsp:rsid wsp:val=&quot;00237D1B&quot;/&gt;&lt;wsp:rsid wsp:val=&quot;00237E99&quot;/&gt;&lt;wsp:rsid wsp:val=&quot;0024005F&quot;/&gt;&lt;wsp:rsid wsp:val=&quot;00240263&quot;/&gt;&lt;wsp:rsid wsp:val=&quot;00240324&quot;/&gt;&lt;wsp:rsid wsp:val=&quot;00240327&quot;/&gt;&lt;wsp:rsid wsp:val=&quot;00240372&quot;/&gt;&lt;wsp:rsid wsp:val=&quot;002405A2&quot;/&gt;&lt;wsp:rsid wsp:val=&quot;0024069F&quot;/&gt;&lt;wsp:rsid wsp:val=&quot;002409F5&quot;/&gt;&lt;wsp:rsid wsp:val=&quot;00240B5D&quot;/&gt;&lt;wsp:rsid wsp:val=&quot;00240FB5&quot;/&gt;&lt;wsp:rsid wsp:val=&quot;00240FD6&quot;/&gt;&lt;wsp:rsid wsp:val=&quot;0024100F&quot;/&gt;&lt;wsp:rsid wsp:val=&quot;0024136B&quot;/&gt;&lt;wsp:rsid wsp:val=&quot;002416D0&quot;/&gt;&lt;wsp:rsid wsp:val=&quot;00241777&quot;/&gt;&lt;wsp:rsid wsp:val=&quot;002419AE&quot;/&gt;&lt;wsp:rsid wsp:val=&quot;00241BFB&quot;/&gt;&lt;wsp:rsid wsp:val=&quot;00241F39&quot;/&gt;&lt;wsp:rsid wsp:val=&quot;0024208F&quot;/&gt;&lt;wsp:rsid wsp:val=&quot;0024215C&quot;/&gt;&lt;wsp:rsid wsp:val=&quot;0024236D&quot;/&gt;&lt;wsp:rsid wsp:val=&quot;002424A7&quot;/&gt;&lt;wsp:rsid wsp:val=&quot;0024256B&quot;/&gt;&lt;wsp:rsid wsp:val=&quot;002426FF&quot;/&gt;&lt;wsp:rsid wsp:val=&quot;002428A6&quot;/&gt;&lt;wsp:rsid wsp:val=&quot;002429FA&quot;/&gt;&lt;wsp:rsid wsp:val=&quot;00242C69&quot;/&gt;&lt;wsp:rsid wsp:val=&quot;00242F6E&quot;/&gt;&lt;wsp:rsid wsp:val=&quot;002431C7&quot;/&gt;&lt;wsp:rsid wsp:val=&quot;0024365E&quot;/&gt;&lt;wsp:rsid wsp:val=&quot;002439C5&quot;/&gt;&lt;wsp:rsid wsp:val=&quot;002439D0&quot;/&gt;&lt;wsp:rsid wsp:val=&quot;00243A41&quot;/&gt;&lt;wsp:rsid wsp:val=&quot;00243BD9&quot;/&gt;&lt;wsp:rsid wsp:val=&quot;00243D3D&quot;/&gt;&lt;wsp:rsid wsp:val=&quot;0024417C&quot;/&gt;&lt;wsp:rsid wsp:val=&quot;002444E7&quot;/&gt;&lt;wsp:rsid wsp:val=&quot;002447A8&quot;/&gt;&lt;wsp:rsid wsp:val=&quot;00244956&quot;/&gt;&lt;wsp:rsid wsp:val=&quot;00244986&quot;/&gt;&lt;wsp:rsid wsp:val=&quot;002449C9&quot;/&gt;&lt;wsp:rsid wsp:val=&quot;00244A5E&quot;/&gt;&lt;wsp:rsid wsp:val=&quot;00244AF3&quot;/&gt;&lt;wsp:rsid wsp:val=&quot;00244C3F&quot;/&gt;&lt;wsp:rsid wsp:val=&quot;00244C5D&quot;/&gt;&lt;wsp:rsid wsp:val=&quot;00245007&quot;/&gt;&lt;wsp:rsid wsp:val=&quot;00245079&quot;/&gt;&lt;wsp:rsid wsp:val=&quot;002450E7&quot;/&gt;&lt;wsp:rsid wsp:val=&quot;0024522C&quot;/&gt;&lt;wsp:rsid wsp:val=&quot;00245256&quot;/&gt;&lt;wsp:rsid wsp:val=&quot;002454C5&quot;/&gt;&lt;wsp:rsid wsp:val=&quot;002455B1&quot;/&gt;&lt;wsp:rsid wsp:val=&quot;00245EB1&quot;/&gt;&lt;wsp:rsid wsp:val=&quot;00245EBE&quot;/&gt;&lt;wsp:rsid wsp:val=&quot;00245ED8&quot;/&gt;&lt;wsp:rsid wsp:val=&quot;00246125&quot;/&gt;&lt;wsp:rsid wsp:val=&quot;00246B24&quot;/&gt;&lt;wsp:rsid wsp:val=&quot;00246BC2&quot;/&gt;&lt;wsp:rsid wsp:val=&quot;0024724E&quot;/&gt;&lt;wsp:rsid wsp:val=&quot;00247F5F&quot;/&gt;&lt;wsp:rsid wsp:val=&quot;002504AF&quot;/&gt;&lt;wsp:rsid wsp:val=&quot;00250771&quot;/&gt;&lt;wsp:rsid wsp:val=&quot;00250818&quot;/&gt;&lt;wsp:rsid wsp:val=&quot;002509FD&quot;/&gt;&lt;wsp:rsid wsp:val=&quot;00250CF6&quot;/&gt;&lt;wsp:rsid wsp:val=&quot;00250EE3&quot;/&gt;&lt;wsp:rsid wsp:val=&quot;00250F8F&quot;/&gt;&lt;wsp:rsid wsp:val=&quot;00250F98&quot;/&gt;&lt;wsp:rsid wsp:val=&quot;002510DA&quot;/&gt;&lt;wsp:rsid wsp:val=&quot;00251333&quot;/&gt;&lt;wsp:rsid wsp:val=&quot;0025144C&quot;/&gt;&lt;wsp:rsid wsp:val=&quot;002514AF&quot;/&gt;&lt;wsp:rsid wsp:val=&quot;002514E1&quot;/&gt;&lt;wsp:rsid wsp:val=&quot;00251722&quot;/&gt;&lt;wsp:rsid wsp:val=&quot;00251CD7&quot;/&gt;&lt;wsp:rsid wsp:val=&quot;00251F1D&quot;/&gt;&lt;wsp:rsid wsp:val=&quot;0025219B&quot;/&gt;&lt;wsp:rsid wsp:val=&quot;0025264B&quot;/&gt;&lt;wsp:rsid wsp:val=&quot;0025268E&quot;/&gt;&lt;wsp:rsid wsp:val=&quot;00252794&quot;/&gt;&lt;wsp:rsid wsp:val=&quot;00252907&quot;/&gt;&lt;wsp:rsid wsp:val=&quot;002531D8&quot;/&gt;&lt;wsp:rsid wsp:val=&quot;002535BF&quot;/&gt;&lt;wsp:rsid wsp:val=&quot;00253624&quot;/&gt;&lt;wsp:rsid wsp:val=&quot;00253742&quot;/&gt;&lt;wsp:rsid wsp:val=&quot;002537A4&quot;/&gt;&lt;wsp:rsid wsp:val=&quot;002537B8&quot;/&gt;&lt;wsp:rsid wsp:val=&quot;00253A1E&quot;/&gt;&lt;wsp:rsid wsp:val=&quot;00253F8C&quot;/&gt;&lt;wsp:rsid wsp:val=&quot;0025456B&quot;/&gt;&lt;wsp:rsid wsp:val=&quot;002548D1&quot;/&gt;&lt;wsp:rsid wsp:val=&quot;00254A1D&quot;/&gt;&lt;wsp:rsid wsp:val=&quot;00254A70&quot;/&gt;&lt;wsp:rsid wsp:val=&quot;00254B43&quot;/&gt;&lt;wsp:rsid wsp:val=&quot;00254B89&quot;/&gt;&lt;wsp:rsid wsp:val=&quot;00254BB9&quot;/&gt;&lt;wsp:rsid wsp:val=&quot;00254E4D&quot;/&gt;&lt;wsp:rsid wsp:val=&quot;002551F6&quot;/&gt;&lt;wsp:rsid wsp:val=&quot;002555F5&quot;/&gt;&lt;wsp:rsid wsp:val=&quot;002558F3&quot;/&gt;&lt;wsp:rsid wsp:val=&quot;002558FD&quot;/&gt;&lt;wsp:rsid wsp:val=&quot;002559F8&quot;/&gt;&lt;wsp:rsid wsp:val=&quot;00255BBD&quot;/&gt;&lt;wsp:rsid wsp:val=&quot;00255C63&quot;/&gt;&lt;wsp:rsid wsp:val=&quot;00255DF1&quot;/&gt;&lt;wsp:rsid wsp:val=&quot;00255E61&quot;/&gt;&lt;wsp:rsid wsp:val=&quot;002562A8&quot;/&gt;&lt;wsp:rsid wsp:val=&quot;002566D1&quot;/&gt;&lt;wsp:rsid wsp:val=&quot;002566E4&quot;/&gt;&lt;wsp:rsid wsp:val=&quot;00256707&quot;/&gt;&lt;wsp:rsid wsp:val=&quot;002567DD&quot;/&gt;&lt;wsp:rsid wsp:val=&quot;00256BE8&quot;/&gt;&lt;wsp:rsid wsp:val=&quot;00257117&quot;/&gt;&lt;wsp:rsid wsp:val=&quot;00257321&quot;/&gt;&lt;wsp:rsid wsp:val=&quot;00257335&quot;/&gt;&lt;wsp:rsid wsp:val=&quot;00257BD0&quot;/&gt;&lt;wsp:rsid wsp:val=&quot;00257CA7&quot;/&gt;&lt;wsp:rsid wsp:val=&quot;00260349&quot;/&gt;&lt;wsp:rsid wsp:val=&quot;002603AB&quot;/&gt;&lt;wsp:rsid wsp:val=&quot;002606CC&quot;/&gt;&lt;wsp:rsid wsp:val=&quot;002608EE&quot;/&gt;&lt;wsp:rsid wsp:val=&quot;00260997&quot;/&gt;&lt;wsp:rsid wsp:val=&quot;00260C31&quot;/&gt;&lt;wsp:rsid wsp:val=&quot;00260F64&quot;/&gt;&lt;wsp:rsid wsp:val=&quot;00260FCB&quot;/&gt;&lt;wsp:rsid wsp:val=&quot;002618BF&quot;/&gt;&lt;wsp:rsid wsp:val=&quot;00261C2E&quot;/&gt;&lt;wsp:rsid wsp:val=&quot;00261E1D&quot;/&gt;&lt;wsp:rsid wsp:val=&quot;00261E74&quot;/&gt;&lt;wsp:rsid wsp:val=&quot;002626CD&quot;/&gt;&lt;wsp:rsid wsp:val=&quot;0026283E&quot;/&gt;&lt;wsp:rsid wsp:val=&quot;002628DB&quot;/&gt;&lt;wsp:rsid wsp:val=&quot;00262ABA&quot;/&gt;&lt;wsp:rsid wsp:val=&quot;00262B80&quot;/&gt;&lt;wsp:rsid wsp:val=&quot;00262DF5&quot;/&gt;&lt;wsp:rsid wsp:val=&quot;00262E2D&quot;/&gt;&lt;wsp:rsid wsp:val=&quot;00262FE2&quot;/&gt;&lt;wsp:rsid wsp:val=&quot;0026315B&quot;/&gt;&lt;wsp:rsid wsp:val=&quot;0026330C&quot;/&gt;&lt;wsp:rsid wsp:val=&quot;0026350B&quot;/&gt;&lt;wsp:rsid wsp:val=&quot;002637CE&quot;/&gt;&lt;wsp:rsid wsp:val=&quot;00263823&quot;/&gt;&lt;wsp:rsid wsp:val=&quot;00263A79&quot;/&gt;&lt;wsp:rsid wsp:val=&quot;00263E4B&quot;/&gt;&lt;wsp:rsid wsp:val=&quot;00264519&quot;/&gt;&lt;wsp:rsid wsp:val=&quot;0026479F&quot;/&gt;&lt;wsp:rsid wsp:val=&quot;00264BBD&quot;/&gt;&lt;wsp:rsid wsp:val=&quot;00264CFA&quot;/&gt;&lt;wsp:rsid wsp:val=&quot;0026519A&quot;/&gt;&lt;wsp:rsid wsp:val=&quot;00265236&quot;/&gt;&lt;wsp:rsid wsp:val=&quot;002653F7&quot;/&gt;&lt;wsp:rsid wsp:val=&quot;0026572E&quot;/&gt;&lt;wsp:rsid wsp:val=&quot;00265767&quot;/&gt;&lt;wsp:rsid wsp:val=&quot;00265C68&quot;/&gt;&lt;wsp:rsid wsp:val=&quot;00265F3A&quot;/&gt;&lt;wsp:rsid wsp:val=&quot;002666DE&quot;/&gt;&lt;wsp:rsid wsp:val=&quot;0026678E&quot;/&gt;&lt;wsp:rsid wsp:val=&quot;002668EB&quot;/&gt;&lt;wsp:rsid wsp:val=&quot;002669FC&quot;/&gt;&lt;wsp:rsid wsp:val=&quot;00266E69&quot;/&gt;&lt;wsp:rsid wsp:val=&quot;002672ED&quot;/&gt;&lt;wsp:rsid wsp:val=&quot;00267517&quot;/&gt;&lt;wsp:rsid wsp:val=&quot;002676BE&quot;/&gt;&lt;wsp:rsid wsp:val=&quot;00267786&quot;/&gt;&lt;wsp:rsid wsp:val=&quot;0026788C&quot;/&gt;&lt;wsp:rsid wsp:val=&quot;00267896&quot;/&gt;&lt;wsp:rsid wsp:val=&quot;00267A1F&quot;/&gt;&lt;wsp:rsid wsp:val=&quot;00267C43&quot;/&gt;&lt;wsp:rsid wsp:val=&quot;00267DD6&quot;/&gt;&lt;wsp:rsid wsp:val=&quot;00267F17&quot;/&gt;&lt;wsp:rsid wsp:val=&quot;002703EA&quot;/&gt;&lt;wsp:rsid wsp:val=&quot;002704D0&quot;/&gt;&lt;wsp:rsid wsp:val=&quot;002708D8&quot;/&gt;&lt;wsp:rsid wsp:val=&quot;00270A80&quot;/&gt;&lt;wsp:rsid wsp:val=&quot;00270AC2&quot;/&gt;&lt;wsp:rsid wsp:val=&quot;00270D2D&quot;/&gt;&lt;wsp:rsid wsp:val=&quot;0027102D&quot;/&gt;&lt;wsp:rsid wsp:val=&quot;00271050&quot;/&gt;&lt;wsp:rsid wsp:val=&quot;002712D1&quot;/&gt;&lt;wsp:rsid wsp:val=&quot;00271559&quot;/&gt;&lt;wsp:rsid wsp:val=&quot;00271A40&quot;/&gt;&lt;wsp:rsid wsp:val=&quot;00271AD6&quot;/&gt;&lt;wsp:rsid wsp:val=&quot;00271E83&quot;/&gt;&lt;wsp:rsid wsp:val=&quot;002720B1&quot;/&gt;&lt;wsp:rsid wsp:val=&quot;00272248&quot;/&gt;&lt;wsp:rsid wsp:val=&quot;0027259D&quot;/&gt;&lt;wsp:rsid wsp:val=&quot;00272EAD&quot;/&gt;&lt;wsp:rsid wsp:val=&quot;00272F0C&quot;/&gt;&lt;wsp:rsid wsp:val=&quot;00272FFD&quot;/&gt;&lt;wsp:rsid wsp:val=&quot;002734B5&quot;/&gt;&lt;wsp:rsid wsp:val=&quot;002734B7&quot;/&gt;&lt;wsp:rsid wsp:val=&quot;00273678&quot;/&gt;&lt;wsp:rsid wsp:val=&quot;002737E8&quot;/&gt;&lt;wsp:rsid wsp:val=&quot;00273D7C&quot;/&gt;&lt;wsp:rsid wsp:val=&quot;00273E1B&quot;/&gt;&lt;wsp:rsid wsp:val=&quot;00274152&quot;/&gt;&lt;wsp:rsid wsp:val=&quot;00274220&quot;/&gt;&lt;wsp:rsid wsp:val=&quot;002743FD&quot;/&gt;&lt;wsp:rsid wsp:val=&quot;0027444D&quot;/&gt;&lt;wsp:rsid wsp:val=&quot;0027454A&quot;/&gt;&lt;wsp:rsid wsp:val=&quot;002746B6&quot;/&gt;&lt;wsp:rsid wsp:val=&quot;002747C8&quot;/&gt;&lt;wsp:rsid wsp:val=&quot;00274856&quot;/&gt;&lt;wsp:rsid wsp:val=&quot;00274CFB&quot;/&gt;&lt;wsp:rsid wsp:val=&quot;00274DDB&quot;/&gt;&lt;wsp:rsid wsp:val=&quot;00274E8A&quot;/&gt;&lt;wsp:rsid wsp:val=&quot;00274EF4&quot;/&gt;&lt;wsp:rsid wsp:val=&quot;00275151&quot;/&gt;&lt;wsp:rsid wsp:val=&quot;002751F7&quot;/&gt;&lt;wsp:rsid wsp:val=&quot;002755E3&quot;/&gt;&lt;wsp:rsid wsp:val=&quot;0027588A&quot;/&gt;&lt;wsp:rsid wsp:val=&quot;00275D67&quot;/&gt;&lt;wsp:rsid wsp:val=&quot;00276019&quot;/&gt;&lt;wsp:rsid wsp:val=&quot;002763DA&quot;/&gt;&lt;wsp:rsid wsp:val=&quot;002766E0&quot;/&gt;&lt;wsp:rsid wsp:val=&quot;002769FD&quot;/&gt;&lt;wsp:rsid wsp:val=&quot;00276DDB&quot;/&gt;&lt;wsp:rsid wsp:val=&quot;00276E5B&quot;/&gt;&lt;wsp:rsid wsp:val=&quot;0027700A&quot;/&gt;&lt;wsp:rsid wsp:val=&quot;00277571&quot;/&gt;&lt;wsp:rsid wsp:val=&quot;00277932&quot;/&gt;&lt;wsp:rsid wsp:val=&quot;00277E1F&quot;/&gt;&lt;wsp:rsid wsp:val=&quot;00277F07&quot;/&gt;&lt;wsp:rsid wsp:val=&quot;00277F0F&quot;/&gt;&lt;wsp:rsid wsp:val=&quot;0028013A&quot;/&gt;&lt;wsp:rsid wsp:val=&quot;0028031A&quot;/&gt;&lt;wsp:rsid wsp:val=&quot;00280384&quot;/&gt;&lt;wsp:rsid wsp:val=&quot;00280620&quot;/&gt;&lt;wsp:rsid wsp:val=&quot;00280767&quot;/&gt;&lt;wsp:rsid wsp:val=&quot;0028089D&quot;/&gt;&lt;wsp:rsid wsp:val=&quot;00281169&quot;/&gt;&lt;wsp:rsid wsp:val=&quot;0028118B&quot;/&gt;&lt;wsp:rsid wsp:val=&quot;0028154C&quot;/&gt;&lt;wsp:rsid wsp:val=&quot;002817F9&quot;/&gt;&lt;wsp:rsid wsp:val=&quot;002818A5&quot;/&gt;&lt;wsp:rsid wsp:val=&quot;002819AA&quot;/&gt;&lt;wsp:rsid wsp:val=&quot;00281BC8&quot;/&gt;&lt;wsp:rsid wsp:val=&quot;00281BD0&quot;/&gt;&lt;wsp:rsid wsp:val=&quot;00281BDA&quot;/&gt;&lt;wsp:rsid wsp:val=&quot;00281E7A&quot;/&gt;&lt;wsp:rsid wsp:val=&quot;00281F42&quot;/&gt;&lt;wsp:rsid wsp:val=&quot;0028243C&quot;/&gt;&lt;wsp:rsid wsp:val=&quot;0028257F&quot;/&gt;&lt;wsp:rsid wsp:val=&quot;0028259C&quot;/&gt;&lt;wsp:rsid wsp:val=&quot;002826CE&quot;/&gt;&lt;wsp:rsid wsp:val=&quot;0028276F&quot;/&gt;&lt;wsp:rsid wsp:val=&quot;00282828&quot;/&gt;&lt;wsp:rsid wsp:val=&quot;00282874&quot;/&gt;&lt;wsp:rsid wsp:val=&quot;002828F2&quot;/&gt;&lt;wsp:rsid wsp:val=&quot;00282B48&quot;/&gt;&lt;wsp:rsid wsp:val=&quot;00282CCC&quot;/&gt;&lt;wsp:rsid wsp:val=&quot;00283676&quot;/&gt;&lt;wsp:rsid wsp:val=&quot;002836C1&quot;/&gt;&lt;wsp:rsid wsp:val=&quot;002836F9&quot;/&gt;&lt;wsp:rsid wsp:val=&quot;002837B5&quot;/&gt;&lt;wsp:rsid wsp:val=&quot;002837BB&quot;/&gt;&lt;wsp:rsid wsp:val=&quot;00283F94&quot;/&gt;&lt;wsp:rsid wsp:val=&quot;0028412E&quot;/&gt;&lt;wsp:rsid wsp:val=&quot;00284285&quot;/&gt;&lt;wsp:rsid wsp:val=&quot;0028476A&quot;/&gt;&lt;wsp:rsid wsp:val=&quot;00284F3A&quot;/&gt;&lt;wsp:rsid wsp:val=&quot;0028501D&quot;/&gt;&lt;wsp:rsid wsp:val=&quot;002852E5&quot;/&gt;&lt;wsp:rsid wsp:val=&quot;00285303&quot;/&gt;&lt;wsp:rsid wsp:val=&quot;00285EB9&quot;/&gt;&lt;wsp:rsid wsp:val=&quot;00286342&quot;/&gt;&lt;wsp:rsid wsp:val=&quot;0028636D&quot;/&gt;&lt;wsp:rsid wsp:val=&quot;0028638A&quot;/&gt;&lt;wsp:rsid wsp:val=&quot;002869AC&quot;/&gt;&lt;wsp:rsid wsp:val=&quot;00286D59&quot;/&gt;&lt;wsp:rsid wsp:val=&quot;00286F41&quot;/&gt;&lt;wsp:rsid wsp:val=&quot;0028701A&quot;/&gt;&lt;wsp:rsid wsp:val=&quot;00287110&quot;/&gt;&lt;wsp:rsid wsp:val=&quot;00287639&quot;/&gt;&lt;wsp:rsid wsp:val=&quot;002879EB&quot;/&gt;&lt;wsp:rsid wsp:val=&quot;00287C57&quot;/&gt;&lt;wsp:rsid wsp:val=&quot;002900AA&quot;/&gt;&lt;wsp:rsid wsp:val=&quot;00290232&quot;/&gt;&lt;wsp:rsid wsp:val=&quot;00290358&quot;/&gt;&lt;wsp:rsid wsp:val=&quot;002903DB&quot;/&gt;&lt;wsp:rsid wsp:val=&quot;0029050C&quot;/&gt;&lt;wsp:rsid wsp:val=&quot;00290DC6&quot;/&gt;&lt;wsp:rsid wsp:val=&quot;00290E3E&quot;/&gt;&lt;wsp:rsid wsp:val=&quot;00290F83&quot;/&gt;&lt;wsp:rsid wsp:val=&quot;00290FA8&quot;/&gt;&lt;wsp:rsid wsp:val=&quot;00291065&quot;/&gt;&lt;wsp:rsid wsp:val=&quot;002913FD&quot;/&gt;&lt;wsp:rsid wsp:val=&quot;00291888&quot;/&gt;&lt;wsp:rsid wsp:val=&quot;00291E49&quot;/&gt;&lt;wsp:rsid wsp:val=&quot;00291F2E&quot;/&gt;&lt;wsp:rsid wsp:val=&quot;00292042&quot;/&gt;&lt;wsp:rsid wsp:val=&quot;0029221D&quot;/&gt;&lt;wsp:rsid wsp:val=&quot;00292403&quot;/&gt;&lt;wsp:rsid wsp:val=&quot;002927CE&quot;/&gt;&lt;wsp:rsid wsp:val=&quot;002927D7&quot;/&gt;&lt;wsp:rsid wsp:val=&quot;00292994&quot;/&gt;&lt;wsp:rsid wsp:val=&quot;00292ADF&quot;/&gt;&lt;wsp:rsid wsp:val=&quot;00292CB2&quot;/&gt;&lt;wsp:rsid wsp:val=&quot;00292D79&quot;/&gt;&lt;wsp:rsid wsp:val=&quot;0029318A&quot;/&gt;&lt;wsp:rsid wsp:val=&quot;00293210&quot;/&gt;&lt;wsp:rsid wsp:val=&quot;00293563&quot;/&gt;&lt;wsp:rsid wsp:val=&quot;00293C02&quot;/&gt;&lt;wsp:rsid wsp:val=&quot;00293DB6&quot;/&gt;&lt;wsp:rsid wsp:val=&quot;00293EA0&quot;/&gt;&lt;wsp:rsid wsp:val=&quot;00294045&quot;/&gt;&lt;wsp:rsid wsp:val=&quot;00294262&quot;/&gt;&lt;wsp:rsid wsp:val=&quot;002942B6&quot;/&gt;&lt;wsp:rsid wsp:val=&quot;002942E8&quot;/&gt;&lt;wsp:rsid wsp:val=&quot;0029475A&quot;/&gt;&lt;wsp:rsid wsp:val=&quot;0029494A&quot;/&gt;&lt;wsp:rsid wsp:val=&quot;00294985&quot;/&gt;&lt;wsp:rsid wsp:val=&quot;00294A7A&quot;/&gt;&lt;wsp:rsid wsp:val=&quot;00294C0A&quot;/&gt;&lt;wsp:rsid wsp:val=&quot;00294D09&quot;/&gt;&lt;wsp:rsid wsp:val=&quot;00295063&quot;/&gt;&lt;wsp:rsid wsp:val=&quot;002950CC&quot;/&gt;&lt;wsp:rsid wsp:val=&quot;0029522B&quot;/&gt;&lt;wsp:rsid wsp:val=&quot;00295699&quot;/&gt;&lt;wsp:rsid wsp:val=&quot;0029585F&quot;/&gt;&lt;wsp:rsid wsp:val=&quot;002959B3&quot;/&gt;&lt;wsp:rsid wsp:val=&quot;00295F8E&quot;/&gt;&lt;wsp:rsid wsp:val=&quot;00296070&quot;/&gt;&lt;wsp:rsid wsp:val=&quot;002962D6&quot;/&gt;&lt;wsp:rsid wsp:val=&quot;002962EE&quot;/&gt;&lt;wsp:rsid wsp:val=&quot;0029638E&quot;/&gt;&lt;wsp:rsid wsp:val=&quot;00296583&quot;/&gt;&lt;wsp:rsid wsp:val=&quot;00296635&quot;/&gt;&lt;wsp:rsid wsp:val=&quot;00296813&quot;/&gt;&lt;wsp:rsid wsp:val=&quot;00296817&quot;/&gt;&lt;wsp:rsid wsp:val=&quot;00296A66&quot;/&gt;&lt;wsp:rsid wsp:val=&quot;00296BA6&quot;/&gt;&lt;wsp:rsid wsp:val=&quot;00296C68&quot;/&gt;&lt;wsp:rsid wsp:val=&quot;00296CCA&quot;/&gt;&lt;wsp:rsid wsp:val=&quot;00296E92&quot;/&gt;&lt;wsp:rsid wsp:val=&quot;00296EEC&quot;/&gt;&lt;wsp:rsid wsp:val=&quot;00296F59&quot;/&gt;&lt;wsp:rsid wsp:val=&quot;002970D7&quot;/&gt;&lt;wsp:rsid wsp:val=&quot;002970E8&quot;/&gt;&lt;wsp:rsid wsp:val=&quot;002977E1&quot;/&gt;&lt;wsp:rsid wsp:val=&quot;00297FAF&quot;/&gt;&lt;wsp:rsid wsp:val=&quot;002A0130&quot;/&gt;&lt;wsp:rsid wsp:val=&quot;002A0192&quot;/&gt;&lt;wsp:rsid wsp:val=&quot;002A01BB&quot;/&gt;&lt;wsp:rsid wsp:val=&quot;002A02CB&quot;/&gt;&lt;wsp:rsid wsp:val=&quot;002A04ED&quot;/&gt;&lt;wsp:rsid wsp:val=&quot;002A09C4&quot;/&gt;&lt;wsp:rsid wsp:val=&quot;002A0B3D&quot;/&gt;&lt;wsp:rsid wsp:val=&quot;002A112E&quot;/&gt;&lt;wsp:rsid wsp:val=&quot;002A145A&quot;/&gt;&lt;wsp:rsid wsp:val=&quot;002A1572&quot;/&gt;&lt;wsp:rsid wsp:val=&quot;002A174E&quot;/&gt;&lt;wsp:rsid wsp:val=&quot;002A1783&quot;/&gt;&lt;wsp:rsid wsp:val=&quot;002A18DF&quot;/&gt;&lt;wsp:rsid wsp:val=&quot;002A1919&quot;/&gt;&lt;wsp:rsid wsp:val=&quot;002A1998&quot;/&gt;&lt;wsp:rsid wsp:val=&quot;002A1C35&quot;/&gt;&lt;wsp:rsid wsp:val=&quot;002A1C72&quot;/&gt;&lt;wsp:rsid wsp:val=&quot;002A1CCF&quot;/&gt;&lt;wsp:rsid wsp:val=&quot;002A2609&quot;/&gt;&lt;wsp:rsid wsp:val=&quot;002A2664&quot;/&gt;&lt;wsp:rsid wsp:val=&quot;002A274F&quot;/&gt;&lt;wsp:rsid wsp:val=&quot;002A2764&quot;/&gt;&lt;wsp:rsid wsp:val=&quot;002A2A19&quot;/&gt;&lt;wsp:rsid wsp:val=&quot;002A2B5A&quot;/&gt;&lt;wsp:rsid wsp:val=&quot;002A2BC9&quot;/&gt;&lt;wsp:rsid wsp:val=&quot;002A2CC5&quot;/&gt;&lt;wsp:rsid wsp:val=&quot;002A2DBD&quot;/&gt;&lt;wsp:rsid wsp:val=&quot;002A2FC2&quot;/&gt;&lt;wsp:rsid wsp:val=&quot;002A2FED&quot;/&gt;&lt;wsp:rsid wsp:val=&quot;002A3143&quot;/&gt;&lt;wsp:rsid wsp:val=&quot;002A3151&quot;/&gt;&lt;wsp:rsid wsp:val=&quot;002A36DA&quot;/&gt;&lt;wsp:rsid wsp:val=&quot;002A3E1E&quot;/&gt;&lt;wsp:rsid wsp:val=&quot;002A4083&quot;/&gt;&lt;wsp:rsid wsp:val=&quot;002A40C4&quot;/&gt;&lt;wsp:rsid wsp:val=&quot;002A4325&quot;/&gt;&lt;wsp:rsid wsp:val=&quot;002A47F5&quot;/&gt;&lt;wsp:rsid wsp:val=&quot;002A4861&quot;/&gt;&lt;wsp:rsid wsp:val=&quot;002A4FE2&quot;/&gt;&lt;wsp:rsid wsp:val=&quot;002A555B&quot;/&gt;&lt;wsp:rsid wsp:val=&quot;002A56FD&quot;/&gt;&lt;wsp:rsid wsp:val=&quot;002A59D6&quot;/&gt;&lt;wsp:rsid wsp:val=&quot;002A5A02&quot;/&gt;&lt;wsp:rsid wsp:val=&quot;002A5C1B&quot;/&gt;&lt;wsp:rsid wsp:val=&quot;002A5CD0&quot;/&gt;&lt;wsp:rsid wsp:val=&quot;002A61DD&quot;/&gt;&lt;wsp:rsid wsp:val=&quot;002A65E7&quot;/&gt;&lt;wsp:rsid wsp:val=&quot;002A6CF8&quot;/&gt;&lt;wsp:rsid wsp:val=&quot;002A6EEE&quot;/&gt;&lt;wsp:rsid wsp:val=&quot;002A72C9&quot;/&gt;&lt;wsp:rsid wsp:val=&quot;002A74E9&quot;/&gt;&lt;wsp:rsid wsp:val=&quot;002A7AFB&quot;/&gt;&lt;wsp:rsid wsp:val=&quot;002A7B62&quot;/&gt;&lt;wsp:rsid wsp:val=&quot;002A7D70&quot;/&gt;&lt;wsp:rsid wsp:val=&quot;002B0209&quot;/&gt;&lt;wsp:rsid wsp:val=&quot;002B02FD&quot;/&gt;&lt;wsp:rsid wsp:val=&quot;002B05EE&quot;/&gt;&lt;wsp:rsid wsp:val=&quot;002B06DC&quot;/&gt;&lt;wsp:rsid wsp:val=&quot;002B0B89&quot;/&gt;&lt;wsp:rsid wsp:val=&quot;002B0D26&quot;/&gt;&lt;wsp:rsid wsp:val=&quot;002B0E50&quot;/&gt;&lt;wsp:rsid wsp:val=&quot;002B103C&quot;/&gt;&lt;wsp:rsid wsp:val=&quot;002B1108&quot;/&gt;&lt;wsp:rsid wsp:val=&quot;002B1377&quot;/&gt;&lt;wsp:rsid wsp:val=&quot;002B173C&quot;/&gt;&lt;wsp:rsid wsp:val=&quot;002B19F4&quot;/&gt;&lt;wsp:rsid wsp:val=&quot;002B1A1A&quot;/&gt;&lt;wsp:rsid wsp:val=&quot;002B1E58&quot;/&gt;&lt;wsp:rsid wsp:val=&quot;002B2007&quot;/&gt;&lt;wsp:rsid wsp:val=&quot;002B208B&quot;/&gt;&lt;wsp:rsid wsp:val=&quot;002B20B2&quot;/&gt;&lt;wsp:rsid wsp:val=&quot;002B2276&quot;/&gt;&lt;wsp:rsid wsp:val=&quot;002B227A&quot;/&gt;&lt;wsp:rsid wsp:val=&quot;002B237E&quot;/&gt;&lt;wsp:rsid wsp:val=&quot;002B2503&quot;/&gt;&lt;wsp:rsid wsp:val=&quot;002B28C1&quot;/&gt;&lt;wsp:rsid wsp:val=&quot;002B2B21&quot;/&gt;&lt;wsp:rsid wsp:val=&quot;002B2C11&quot;/&gt;&lt;wsp:rsid wsp:val=&quot;002B2DEC&quot;/&gt;&lt;wsp:rsid wsp:val=&quot;002B2E5B&quot;/&gt;&lt;wsp:rsid wsp:val=&quot;002B2E74&quot;/&gt;&lt;wsp:rsid wsp:val=&quot;002B2E75&quot;/&gt;&lt;wsp:rsid wsp:val=&quot;002B2E78&quot;/&gt;&lt;wsp:rsid wsp:val=&quot;002B2EAA&quot;/&gt;&lt;wsp:rsid wsp:val=&quot;002B2FE4&quot;/&gt;&lt;wsp:rsid wsp:val=&quot;002B3170&quot;/&gt;&lt;wsp:rsid wsp:val=&quot;002B32FA&quot;/&gt;&lt;wsp:rsid wsp:val=&quot;002B333D&quot;/&gt;&lt;wsp:rsid wsp:val=&quot;002B3381&quot;/&gt;&lt;wsp:rsid wsp:val=&quot;002B3D03&quot;/&gt;&lt;wsp:rsid wsp:val=&quot;002B3EB9&quot;/&gt;&lt;wsp:rsid wsp:val=&quot;002B406A&quot;/&gt;&lt;wsp:rsid wsp:val=&quot;002B4328&quot;/&gt;&lt;wsp:rsid wsp:val=&quot;002B449D&quot;/&gt;&lt;wsp:rsid wsp:val=&quot;002B4530&quot;/&gt;&lt;wsp:rsid wsp:val=&quot;002B475A&quot;/&gt;&lt;wsp:rsid wsp:val=&quot;002B4777&quot;/&gt;&lt;wsp:rsid wsp:val=&quot;002B4A85&quot;/&gt;&lt;wsp:rsid wsp:val=&quot;002B4B03&quot;/&gt;&lt;wsp:rsid wsp:val=&quot;002B4B05&quot;/&gt;&lt;wsp:rsid wsp:val=&quot;002B4B94&quot;/&gt;&lt;wsp:rsid wsp:val=&quot;002B4FAD&quot;/&gt;&lt;wsp:rsid wsp:val=&quot;002B4FB6&quot;/&gt;&lt;wsp:rsid wsp:val=&quot;002B521C&quot;/&gt;&lt;wsp:rsid wsp:val=&quot;002B54DC&quot;/&gt;&lt;wsp:rsid wsp:val=&quot;002B5A54&quot;/&gt;&lt;wsp:rsid wsp:val=&quot;002B5AC6&quot;/&gt;&lt;wsp:rsid wsp:val=&quot;002B5D1F&quot;/&gt;&lt;wsp:rsid wsp:val=&quot;002B618B&quot;/&gt;&lt;wsp:rsid wsp:val=&quot;002B64E0&quot;/&gt;&lt;wsp:rsid wsp:val=&quot;002B69B8&quot;/&gt;&lt;wsp:rsid wsp:val=&quot;002B6ABF&quot;/&gt;&lt;wsp:rsid wsp:val=&quot;002B6B97&quot;/&gt;&lt;wsp:rsid wsp:val=&quot;002B71E3&quot;/&gt;&lt;wsp:rsid wsp:val=&quot;002B72FB&quot;/&gt;&lt;wsp:rsid wsp:val=&quot;002B7391&quot;/&gt;&lt;wsp:rsid wsp:val=&quot;002B747B&quot;/&gt;&lt;wsp:rsid wsp:val=&quot;002B7755&quot;/&gt;&lt;wsp:rsid wsp:val=&quot;002B7930&quot;/&gt;&lt;wsp:rsid wsp:val=&quot;002B798D&quot;/&gt;&lt;wsp:rsid wsp:val=&quot;002B79A1&quot;/&gt;&lt;wsp:rsid wsp:val=&quot;002B7B2A&quot;/&gt;&lt;wsp:rsid wsp:val=&quot;002B7CA9&quot;/&gt;&lt;wsp:rsid wsp:val=&quot;002B7E33&quot;/&gt;&lt;wsp:rsid wsp:val=&quot;002B7F9A&quot;/&gt;&lt;wsp:rsid wsp:val=&quot;002C0105&quot;/&gt;&lt;wsp:rsid wsp:val=&quot;002C016C&quot;/&gt;&lt;wsp:rsid wsp:val=&quot;002C024A&quot;/&gt;&lt;wsp:rsid wsp:val=&quot;002C09B8&quot;/&gt;&lt;wsp:rsid wsp:val=&quot;002C0D8B&quot;/&gt;&lt;wsp:rsid wsp:val=&quot;002C0FA6&quot;/&gt;&lt;wsp:rsid wsp:val=&quot;002C1085&quot;/&gt;&lt;wsp:rsid wsp:val=&quot;002C11C8&quot;/&gt;&lt;wsp:rsid wsp:val=&quot;002C17E1&quot;/&gt;&lt;wsp:rsid wsp:val=&quot;002C1B93&quot;/&gt;&lt;wsp:rsid wsp:val=&quot;002C1D41&quot;/&gt;&lt;wsp:rsid wsp:val=&quot;002C1EEE&quot;/&gt;&lt;wsp:rsid wsp:val=&quot;002C1F06&quot;/&gt;&lt;wsp:rsid wsp:val=&quot;002C213B&quot;/&gt;&lt;wsp:rsid wsp:val=&quot;002C2149&quot;/&gt;&lt;wsp:rsid wsp:val=&quot;002C21FC&quot;/&gt;&lt;wsp:rsid wsp:val=&quot;002C2273&quot;/&gt;&lt;wsp:rsid wsp:val=&quot;002C227F&quot;/&gt;&lt;wsp:rsid wsp:val=&quot;002C255A&quot;/&gt;&lt;wsp:rsid wsp:val=&quot;002C2607&quot;/&gt;&lt;wsp:rsid wsp:val=&quot;002C2898&quot;/&gt;&lt;wsp:rsid wsp:val=&quot;002C2AF7&quot;/&gt;&lt;wsp:rsid wsp:val=&quot;002C2D14&quot;/&gt;&lt;wsp:rsid wsp:val=&quot;002C2E00&quot;/&gt;&lt;wsp:rsid wsp:val=&quot;002C2E6C&quot;/&gt;&lt;wsp:rsid wsp:val=&quot;002C3192&quot;/&gt;&lt;wsp:rsid wsp:val=&quot;002C31BC&quot;/&gt;&lt;wsp:rsid wsp:val=&quot;002C361D&quot;/&gt;&lt;wsp:rsid wsp:val=&quot;002C36A7&quot;/&gt;&lt;wsp:rsid wsp:val=&quot;002C3701&quot;/&gt;&lt;wsp:rsid wsp:val=&quot;002C3905&quot;/&gt;&lt;wsp:rsid wsp:val=&quot;002C3B4A&quot;/&gt;&lt;wsp:rsid wsp:val=&quot;002C3CF1&quot;/&gt;&lt;wsp:rsid wsp:val=&quot;002C3D0A&quot;/&gt;&lt;wsp:rsid wsp:val=&quot;002C3DEB&quot;/&gt;&lt;wsp:rsid wsp:val=&quot;002C4173&quot;/&gt;&lt;wsp:rsid wsp:val=&quot;002C4545&quot;/&gt;&lt;wsp:rsid wsp:val=&quot;002C46D0&quot;/&gt;&lt;wsp:rsid wsp:val=&quot;002C4ADD&quot;/&gt;&lt;wsp:rsid wsp:val=&quot;002C4D25&quot;/&gt;&lt;wsp:rsid wsp:val=&quot;002C4F55&quot;/&gt;&lt;wsp:rsid wsp:val=&quot;002C4FA4&quot;/&gt;&lt;wsp:rsid wsp:val=&quot;002C515B&quot;/&gt;&lt;wsp:rsid wsp:val=&quot;002C51C4&quot;/&gt;&lt;wsp:rsid wsp:val=&quot;002C5377&quot;/&gt;&lt;wsp:rsid wsp:val=&quot;002C5397&quot;/&gt;&lt;wsp:rsid wsp:val=&quot;002C5408&quot;/&gt;&lt;wsp:rsid wsp:val=&quot;002C55E0&quot;/&gt;&lt;wsp:rsid wsp:val=&quot;002C58F1&quot;/&gt;&lt;wsp:rsid wsp:val=&quot;002C5A3D&quot;/&gt;&lt;wsp:rsid wsp:val=&quot;002C5D1C&quot;/&gt;&lt;wsp:rsid wsp:val=&quot;002C5EE9&quot;/&gt;&lt;wsp:rsid wsp:val=&quot;002C60BF&quot;/&gt;&lt;wsp:rsid wsp:val=&quot;002C6727&quot;/&gt;&lt;wsp:rsid wsp:val=&quot;002C6747&quot;/&gt;&lt;wsp:rsid wsp:val=&quot;002C79F0&quot;/&gt;&lt;wsp:rsid wsp:val=&quot;002C7A44&quot;/&gt;&lt;wsp:rsid wsp:val=&quot;002C7BF1&quot;/&gt;&lt;wsp:rsid wsp:val=&quot;002C7EA9&quot;/&gt;&lt;wsp:rsid wsp:val=&quot;002C7F35&quot;/&gt;&lt;wsp:rsid wsp:val=&quot;002D0191&quot;/&gt;&lt;wsp:rsid wsp:val=&quot;002D040D&quot;/&gt;&lt;wsp:rsid wsp:val=&quot;002D0778&quot;/&gt;&lt;wsp:rsid wsp:val=&quot;002D087B&quot;/&gt;&lt;wsp:rsid wsp:val=&quot;002D0DC7&quot;/&gt;&lt;wsp:rsid wsp:val=&quot;002D0DE7&quot;/&gt;&lt;wsp:rsid wsp:val=&quot;002D0FE0&quot;/&gt;&lt;wsp:rsid wsp:val=&quot;002D1413&quot;/&gt;&lt;wsp:rsid wsp:val=&quot;002D1466&quot;/&gt;&lt;wsp:rsid wsp:val=&quot;002D18CE&quot;/&gt;&lt;wsp:rsid wsp:val=&quot;002D18D0&quot;/&gt;&lt;wsp:rsid wsp:val=&quot;002D18E2&quot;/&gt;&lt;wsp:rsid wsp:val=&quot;002D1E6F&quot;/&gt;&lt;wsp:rsid wsp:val=&quot;002D1EB4&quot;/&gt;&lt;wsp:rsid wsp:val=&quot;002D200F&quot;/&gt;&lt;wsp:rsid wsp:val=&quot;002D205A&quot;/&gt;&lt;wsp:rsid wsp:val=&quot;002D20EE&quot;/&gt;&lt;wsp:rsid wsp:val=&quot;002D216F&quot;/&gt;&lt;wsp:rsid wsp:val=&quot;002D244D&quot;/&gt;&lt;wsp:rsid wsp:val=&quot;002D24F3&quot;/&gt;&lt;wsp:rsid wsp:val=&quot;002D25C6&quot;/&gt;&lt;wsp:rsid wsp:val=&quot;002D2F4F&quot;/&gt;&lt;wsp:rsid wsp:val=&quot;002D3167&quot;/&gt;&lt;wsp:rsid wsp:val=&quot;002D36E0&quot;/&gt;&lt;wsp:rsid wsp:val=&quot;002D3A00&quot;/&gt;&lt;wsp:rsid wsp:val=&quot;002D3B05&quot;/&gt;&lt;wsp:rsid wsp:val=&quot;002D3BB1&quot;/&gt;&lt;wsp:rsid wsp:val=&quot;002D3BBB&quot;/&gt;&lt;wsp:rsid wsp:val=&quot;002D3C98&quot;/&gt;&lt;wsp:rsid wsp:val=&quot;002D3FB5&quot;/&gt;&lt;wsp:rsid wsp:val=&quot;002D407A&quot;/&gt;&lt;wsp:rsid wsp:val=&quot;002D4514&quot;/&gt;&lt;wsp:rsid wsp:val=&quot;002D45AA&quot;/&gt;&lt;wsp:rsid wsp:val=&quot;002D48FE&quot;/&gt;&lt;wsp:rsid wsp:val=&quot;002D49EE&quot;/&gt;&lt;wsp:rsid wsp:val=&quot;002D4A72&quot;/&gt;&lt;wsp:rsid wsp:val=&quot;002D4CAF&quot;/&gt;&lt;wsp:rsid wsp:val=&quot;002D4CC8&quot;/&gt;&lt;wsp:rsid wsp:val=&quot;002D4D5F&quot;/&gt;&lt;wsp:rsid wsp:val=&quot;002D4DB0&quot;/&gt;&lt;wsp:rsid wsp:val=&quot;002D5087&quot;/&gt;&lt;wsp:rsid wsp:val=&quot;002D513B&quot;/&gt;&lt;wsp:rsid wsp:val=&quot;002D51DC&quot;/&gt;&lt;wsp:rsid wsp:val=&quot;002D54AC&quot;/&gt;&lt;wsp:rsid wsp:val=&quot;002D55E6&quot;/&gt;&lt;wsp:rsid wsp:val=&quot;002D583C&quot;/&gt;&lt;wsp:rsid wsp:val=&quot;002D5C4B&quot;/&gt;&lt;wsp:rsid wsp:val=&quot;002D5CE3&quot;/&gt;&lt;wsp:rsid wsp:val=&quot;002D64E0&quot;/&gt;&lt;wsp:rsid wsp:val=&quot;002D6603&quot;/&gt;&lt;wsp:rsid wsp:val=&quot;002D660B&quot;/&gt;&lt;wsp:rsid wsp:val=&quot;002D6760&quot;/&gt;&lt;wsp:rsid wsp:val=&quot;002D6860&quot;/&gt;&lt;wsp:rsid wsp:val=&quot;002D6AE6&quot;/&gt;&lt;wsp:rsid wsp:val=&quot;002D6B80&quot;/&gt;&lt;wsp:rsid wsp:val=&quot;002D6C6C&quot;/&gt;&lt;wsp:rsid wsp:val=&quot;002D70A0&quot;/&gt;&lt;wsp:rsid wsp:val=&quot;002D73CB&quot;/&gt;&lt;wsp:rsid wsp:val=&quot;002D7AF5&quot;/&gt;&lt;wsp:rsid wsp:val=&quot;002D7B5E&quot;/&gt;&lt;wsp:rsid wsp:val=&quot;002E0070&quot;/&gt;&lt;wsp:rsid wsp:val=&quot;002E02F8&quot;/&gt;&lt;wsp:rsid wsp:val=&quot;002E0B01&quot;/&gt;&lt;wsp:rsid wsp:val=&quot;002E0B18&quot;/&gt;&lt;wsp:rsid wsp:val=&quot;002E16AB&quot;/&gt;&lt;wsp:rsid wsp:val=&quot;002E1754&quot;/&gt;&lt;wsp:rsid wsp:val=&quot;002E18E8&quot;/&gt;&lt;wsp:rsid wsp:val=&quot;002E1A90&quot;/&gt;&lt;wsp:rsid wsp:val=&quot;002E1DDF&quot;/&gt;&lt;wsp:rsid wsp:val=&quot;002E214F&quot;/&gt;&lt;wsp:rsid wsp:val=&quot;002E22C9&quot;/&gt;&lt;wsp:rsid wsp:val=&quot;002E2403&quot;/&gt;&lt;wsp:rsid wsp:val=&quot;002E2AC3&quot;/&gt;&lt;wsp:rsid wsp:val=&quot;002E2B34&quot;/&gt;&lt;wsp:rsid wsp:val=&quot;002E2C63&quot;/&gt;&lt;wsp:rsid wsp:val=&quot;002E2E19&quot;/&gt;&lt;wsp:rsid wsp:val=&quot;002E2F74&quot;/&gt;&lt;wsp:rsid wsp:val=&quot;002E30A6&quot;/&gt;&lt;wsp:rsid wsp:val=&quot;002E3221&quot;/&gt;&lt;wsp:rsid wsp:val=&quot;002E343B&quot;/&gt;&lt;wsp:rsid wsp:val=&quot;002E36D7&quot;/&gt;&lt;wsp:rsid wsp:val=&quot;002E37F3&quot;/&gt;&lt;wsp:rsid wsp:val=&quot;002E3AA7&quot;/&gt;&lt;wsp:rsid wsp:val=&quot;002E3BAA&quot;/&gt;&lt;wsp:rsid wsp:val=&quot;002E3E36&quot;/&gt;&lt;wsp:rsid wsp:val=&quot;002E449C&quot;/&gt;&lt;wsp:rsid wsp:val=&quot;002E44A3&quot;/&gt;&lt;wsp:rsid wsp:val=&quot;002E4933&quot;/&gt;&lt;wsp:rsid wsp:val=&quot;002E4A67&quot;/&gt;&lt;wsp:rsid wsp:val=&quot;002E54BE&quot;/&gt;&lt;wsp:rsid wsp:val=&quot;002E5920&quot;/&gt;&lt;wsp:rsid wsp:val=&quot;002E5D12&quot;/&gt;&lt;wsp:rsid wsp:val=&quot;002E5D26&quot;/&gt;&lt;wsp:rsid wsp:val=&quot;002E6352&quot;/&gt;&lt;wsp:rsid wsp:val=&quot;002E64E9&quot;/&gt;&lt;wsp:rsid wsp:val=&quot;002E6A75&quot;/&gt;&lt;wsp:rsid wsp:val=&quot;002E6D22&quot;/&gt;&lt;wsp:rsid wsp:val=&quot;002E762D&quot;/&gt;&lt;wsp:rsid wsp:val=&quot;002E780D&quot;/&gt;&lt;wsp:rsid wsp:val=&quot;002E7832&quot;/&gt;&lt;wsp:rsid wsp:val=&quot;002E78AC&quot;/&gt;&lt;wsp:rsid wsp:val=&quot;002E7CC4&quot;/&gt;&lt;wsp:rsid wsp:val=&quot;002F01EC&quot;/&gt;&lt;wsp:rsid wsp:val=&quot;002F027B&quot;/&gt;&lt;wsp:rsid wsp:val=&quot;002F0307&quot;/&gt;&lt;wsp:rsid wsp:val=&quot;002F03F2&quot;/&gt;&lt;wsp:rsid wsp:val=&quot;002F08E5&quot;/&gt;&lt;wsp:rsid wsp:val=&quot;002F0915&quot;/&gt;&lt;wsp:rsid wsp:val=&quot;002F1074&quot;/&gt;&lt;wsp:rsid wsp:val=&quot;002F155C&quot;/&gt;&lt;wsp:rsid wsp:val=&quot;002F1700&quot;/&gt;&lt;wsp:rsid wsp:val=&quot;002F1740&quot;/&gt;&lt;wsp:rsid wsp:val=&quot;002F19C5&quot;/&gt;&lt;wsp:rsid wsp:val=&quot;002F1C6F&quot;/&gt;&lt;wsp:rsid wsp:val=&quot;002F227E&quot;/&gt;&lt;wsp:rsid wsp:val=&quot;002F26D8&quot;/&gt;&lt;wsp:rsid wsp:val=&quot;002F2E26&quot;/&gt;&lt;wsp:rsid wsp:val=&quot;002F32F2&quot;/&gt;&lt;wsp:rsid wsp:val=&quot;002F3592&quot;/&gt;&lt;wsp:rsid wsp:val=&quot;002F3A08&quot;/&gt;&lt;wsp:rsid wsp:val=&quot;002F3ADB&quot;/&gt;&lt;wsp:rsid wsp:val=&quot;002F3AFA&quot;/&gt;&lt;wsp:rsid wsp:val=&quot;002F3C5B&quot;/&gt;&lt;wsp:rsid wsp:val=&quot;002F3DC6&quot;/&gt;&lt;wsp:rsid wsp:val=&quot;002F3EE4&quot;/&gt;&lt;wsp:rsid wsp:val=&quot;002F3EF3&quot;/&gt;&lt;wsp:rsid wsp:val=&quot;002F4120&quot;/&gt;&lt;wsp:rsid wsp:val=&quot;002F434F&quot;/&gt;&lt;wsp:rsid wsp:val=&quot;002F44D7&quot;/&gt;&lt;wsp:rsid wsp:val=&quot;002F45B2&quot;/&gt;&lt;wsp:rsid wsp:val=&quot;002F4A39&quot;/&gt;&lt;wsp:rsid wsp:val=&quot;002F4E8C&quot;/&gt;&lt;wsp:rsid wsp:val=&quot;002F4F54&quot;/&gt;&lt;wsp:rsid wsp:val=&quot;002F5134&quot;/&gt;&lt;wsp:rsid wsp:val=&quot;002F5297&quot;/&gt;&lt;wsp:rsid wsp:val=&quot;002F5351&quot;/&gt;&lt;wsp:rsid wsp:val=&quot;002F54AD&quot;/&gt;&lt;wsp:rsid wsp:val=&quot;002F587A&quot;/&gt;&lt;wsp:rsid wsp:val=&quot;002F589A&quot;/&gt;&lt;wsp:rsid wsp:val=&quot;002F5BB0&quot;/&gt;&lt;wsp:rsid wsp:val=&quot;002F5D35&quot;/&gt;&lt;wsp:rsid wsp:val=&quot;002F5F32&quot;/&gt;&lt;wsp:rsid wsp:val=&quot;002F60B5&quot;/&gt;&lt;wsp:rsid wsp:val=&quot;002F61F4&quot;/&gt;&lt;wsp:rsid wsp:val=&quot;002F62D7&quot;/&gt;&lt;wsp:rsid wsp:val=&quot;002F677A&quot;/&gt;&lt;wsp:rsid wsp:val=&quot;002F686D&quot;/&gt;&lt;wsp:rsid wsp:val=&quot;002F69CC&quot;/&gt;&lt;wsp:rsid wsp:val=&quot;002F6E7F&quot;/&gt;&lt;wsp:rsid wsp:val=&quot;002F71CD&quot;/&gt;&lt;wsp:rsid wsp:val=&quot;002F7201&quot;/&gt;&lt;wsp:rsid wsp:val=&quot;002F720C&quot;/&gt;&lt;wsp:rsid wsp:val=&quot;002F7403&quot;/&gt;&lt;wsp:rsid wsp:val=&quot;002F7600&quot;/&gt;&lt;wsp:rsid wsp:val=&quot;002F7674&quot;/&gt;&lt;wsp:rsid wsp:val=&quot;002F7697&quot;/&gt;&lt;wsp:rsid wsp:val=&quot;002F783C&quot;/&gt;&lt;wsp:rsid wsp:val=&quot;002F7854&quot;/&gt;&lt;wsp:rsid wsp:val=&quot;002F7B03&quot;/&gt;&lt;wsp:rsid wsp:val=&quot;002F7FFE&quot;/&gt;&lt;wsp:rsid wsp:val=&quot;00300246&quot;/&gt;&lt;wsp:rsid wsp:val=&quot;0030056B&quot;/&gt;&lt;wsp:rsid wsp:val=&quot;0030056D&quot;/&gt;&lt;wsp:rsid wsp:val=&quot;00300811&quot;/&gt;&lt;wsp:rsid wsp:val=&quot;003009C6&quot;/&gt;&lt;wsp:rsid wsp:val=&quot;00300A21&quot;/&gt;&lt;wsp:rsid wsp:val=&quot;00300F6A&quot;/&gt;&lt;wsp:rsid wsp:val=&quot;00301279&quot;/&gt;&lt;wsp:rsid wsp:val=&quot;00301296&quot;/&gt;&lt;wsp:rsid wsp:val=&quot;003012C7&quot;/&gt;&lt;wsp:rsid wsp:val=&quot;0030134D&quot;/&gt;&lt;wsp:rsid wsp:val=&quot;00301352&quot;/&gt;&lt;wsp:rsid wsp:val=&quot;0030138C&quot;/&gt;&lt;wsp:rsid wsp:val=&quot;0030181C&quot;/&gt;&lt;wsp:rsid wsp:val=&quot;003018DE&quot;/&gt;&lt;wsp:rsid wsp:val=&quot;00301D13&quot;/&gt;&lt;wsp:rsid wsp:val=&quot;00301F4F&quot;/&gt;&lt;wsp:rsid wsp:val=&quot;00301FBB&quot;/&gt;&lt;wsp:rsid wsp:val=&quot;0030211F&quot;/&gt;&lt;wsp:rsid wsp:val=&quot;00302999&quot;/&gt;&lt;wsp:rsid wsp:val=&quot;00302BA7&quot;/&gt;&lt;wsp:rsid wsp:val=&quot;00302CC4&quot;/&gt;&lt;wsp:rsid wsp:val=&quot;00302FE7&quot;/&gt;&lt;wsp:rsid wsp:val=&quot;003032A8&quot;/&gt;&lt;wsp:rsid wsp:val=&quot;003036D9&quot;/&gt;&lt;wsp:rsid wsp:val=&quot;00303760&quot;/&gt;&lt;wsp:rsid wsp:val=&quot;00303BFF&quot;/&gt;&lt;wsp:rsid wsp:val=&quot;00303D2A&quot;/&gt;&lt;wsp:rsid wsp:val=&quot;00303D66&quot;/&gt;&lt;wsp:rsid wsp:val=&quot;00303E2C&quot;/&gt;&lt;wsp:rsid wsp:val=&quot;003040AE&quot;/&gt;&lt;wsp:rsid wsp:val=&quot;00304205&quot;/&gt;&lt;wsp:rsid wsp:val=&quot;00304509&quot;/&gt;&lt;wsp:rsid wsp:val=&quot;00304870&quot;/&gt;&lt;wsp:rsid wsp:val=&quot;00304B55&quot;/&gt;&lt;wsp:rsid wsp:val=&quot;00305006&quot;/&gt;&lt;wsp:rsid wsp:val=&quot;003050CC&quot;/&gt;&lt;wsp:rsid wsp:val=&quot;00305511&quot;/&gt;&lt;wsp:rsid wsp:val=&quot;00305566&quot;/&gt;&lt;wsp:rsid wsp:val=&quot;00305710&quot;/&gt;&lt;wsp:rsid wsp:val=&quot;0030588A&quot;/&gt;&lt;wsp:rsid wsp:val=&quot;00305B5D&quot;/&gt;&lt;wsp:rsid wsp:val=&quot;00305BE3&quot;/&gt;&lt;wsp:rsid wsp:val=&quot;00305CDF&quot;/&gt;&lt;wsp:rsid wsp:val=&quot;003060FB&quot;/&gt;&lt;wsp:rsid wsp:val=&quot;00306339&quot;/&gt;&lt;wsp:rsid wsp:val=&quot;00306489&quot;/&gt;&lt;wsp:rsid wsp:val=&quot;00306538&quot;/&gt;&lt;wsp:rsid wsp:val=&quot;00306554&quot;/&gt;&lt;wsp:rsid wsp:val=&quot;00306663&quot;/&gt;&lt;wsp:rsid wsp:val=&quot;0030671C&quot;/&gt;&lt;wsp:rsid wsp:val=&quot;00306ABE&quot;/&gt;&lt;wsp:rsid wsp:val=&quot;00306BD4&quot;/&gt;&lt;wsp:rsid wsp:val=&quot;00306C5A&quot;/&gt;&lt;wsp:rsid wsp:val=&quot;00306CCB&quot;/&gt;&lt;wsp:rsid wsp:val=&quot;00307159&quot;/&gt;&lt;wsp:rsid wsp:val=&quot;0030715E&quot;/&gt;&lt;wsp:rsid wsp:val=&quot;00307622&quot;/&gt;&lt;wsp:rsid wsp:val=&quot;00307AC0&quot;/&gt;&lt;wsp:rsid wsp:val=&quot;00310175&quot;/&gt;&lt;wsp:rsid wsp:val=&quot;00310298&quot;/&gt;&lt;wsp:rsid wsp:val=&quot;003102DE&quot;/&gt;&lt;wsp:rsid wsp:val=&quot;003105D5&quot;/&gt;&lt;wsp:rsid wsp:val=&quot;003105FE&quot;/&gt;&lt;wsp:rsid wsp:val=&quot;00310819&quot;/&gt;&lt;wsp:rsid wsp:val=&quot;00310931&quot;/&gt;&lt;wsp:rsid wsp:val=&quot;00310A6F&quot;/&gt;&lt;wsp:rsid wsp:val=&quot;00310AF5&quot;/&gt;&lt;wsp:rsid wsp:val=&quot;00310D74&quot;/&gt;&lt;wsp:rsid wsp:val=&quot;0031101F&quot;/&gt;&lt;wsp:rsid wsp:val=&quot;00311396&quot;/&gt;&lt;wsp:rsid wsp:val=&quot;0031164E&quot;/&gt;&lt;wsp:rsid wsp:val=&quot;003116EF&quot;/&gt;&lt;wsp:rsid wsp:val=&quot;003117AE&quot;/&gt;&lt;wsp:rsid wsp:val=&quot;00311832&quot;/&gt;&lt;wsp:rsid wsp:val=&quot;00312092&quot;/&gt;&lt;wsp:rsid wsp:val=&quot;00312414&quot;/&gt;&lt;wsp:rsid wsp:val=&quot;003124FA&quot;/&gt;&lt;wsp:rsid wsp:val=&quot;0031258C&quot;/&gt;&lt;wsp:rsid wsp:val=&quot;00312755&quot;/&gt;&lt;wsp:rsid wsp:val=&quot;00312756&quot;/&gt;&lt;wsp:rsid wsp:val=&quot;003127C9&quot;/&gt;&lt;wsp:rsid wsp:val=&quot;00312FDB&quot;/&gt;&lt;wsp:rsid wsp:val=&quot;003130AC&quot;/&gt;&lt;wsp:rsid wsp:val=&quot;0031337D&quot;/&gt;&lt;wsp:rsid wsp:val=&quot;00313870&quot;/&gt;&lt;wsp:rsid wsp:val=&quot;003138C8&quot;/&gt;&lt;wsp:rsid wsp:val=&quot;00313BE0&quot;/&gt;&lt;wsp:rsid wsp:val=&quot;00313DFA&quot;/&gt;&lt;wsp:rsid wsp:val=&quot;00313E34&quot;/&gt;&lt;wsp:rsid wsp:val=&quot;00313FCA&quot;/&gt;&lt;wsp:rsid wsp:val=&quot;00314129&quot;/&gt;&lt;wsp:rsid wsp:val=&quot;00314656&quot;/&gt;&lt;wsp:rsid wsp:val=&quot;003146F2&quot;/&gt;&lt;wsp:rsid wsp:val=&quot;00314725&quot;/&gt;&lt;wsp:rsid wsp:val=&quot;003147F4&quot;/&gt;&lt;wsp:rsid wsp:val=&quot;003149A9&quot;/&gt;&lt;wsp:rsid wsp:val=&quot;00314B2B&quot;/&gt;&lt;wsp:rsid wsp:val=&quot;00314C5A&quot;/&gt;&lt;wsp:rsid wsp:val=&quot;00314CAA&quot;/&gt;&lt;wsp:rsid wsp:val=&quot;00314D84&quot;/&gt;&lt;wsp:rsid wsp:val=&quot;00314DCA&quot;/&gt;&lt;wsp:rsid wsp:val=&quot;003150BF&quot;/&gt;&lt;wsp:rsid wsp:val=&quot;003151C6&quot;/&gt;&lt;wsp:rsid wsp:val=&quot;0031569E&quot;/&gt;&lt;wsp:rsid wsp:val=&quot;00315D2C&quot;/&gt;&lt;wsp:rsid wsp:val=&quot;00315D79&quot;/&gt;&lt;wsp:rsid wsp:val=&quot;00315F0E&quot;/&gt;&lt;wsp:rsid wsp:val=&quot;0031621F&quot;/&gt;&lt;wsp:rsid wsp:val=&quot;003162B6&quot;/&gt;&lt;wsp:rsid wsp:val=&quot;00316AB0&quot;/&gt;&lt;wsp:rsid wsp:val=&quot;00316BD1&quot;/&gt;&lt;wsp:rsid wsp:val=&quot;00316EF2&quot;/&gt;&lt;wsp:rsid wsp:val=&quot;00316FE4&quot;/&gt;&lt;wsp:rsid wsp:val=&quot;00317190&quot;/&gt;&lt;wsp:rsid wsp:val=&quot;003173E6&quot;/&gt;&lt;wsp:rsid wsp:val=&quot;00317439&quot;/&gt;&lt;wsp:rsid wsp:val=&quot;003175BE&quot;/&gt;&lt;wsp:rsid wsp:val=&quot;00317AC6&quot;/&gt;&lt;wsp:rsid wsp:val=&quot;00317AF7&quot;/&gt;&lt;wsp:rsid wsp:val=&quot;00317EC7&quot;/&gt;&lt;wsp:rsid wsp:val=&quot;00317FFC&quot;/&gt;&lt;wsp:rsid wsp:val=&quot;00320005&quot;/&gt;&lt;wsp:rsid wsp:val=&quot;0032015C&quot;/&gt;&lt;wsp:rsid wsp:val=&quot;003205B7&quot;/&gt;&lt;wsp:rsid wsp:val=&quot;003206E9&quot;/&gt;&lt;wsp:rsid wsp:val=&quot;0032087E&quot;/&gt;&lt;wsp:rsid wsp:val=&quot;00320EC2&quot;/&gt;&lt;wsp:rsid wsp:val=&quot;00320F4A&quot;/&gt;&lt;wsp:rsid wsp:val=&quot;00320FB3&quot;/&gt;&lt;wsp:rsid wsp:val=&quot;00320FC6&quot;/&gt;&lt;wsp:rsid wsp:val=&quot;0032103B&quot;/&gt;&lt;wsp:rsid wsp:val=&quot;00321104&quot;/&gt;&lt;wsp:rsid wsp:val=&quot;0032119D&quot;/&gt;&lt;wsp:rsid wsp:val=&quot;003214C8&quot;/&gt;&lt;wsp:rsid wsp:val=&quot;003216F6&quot;/&gt;&lt;wsp:rsid wsp:val=&quot;00321755&quot;/&gt;&lt;wsp:rsid wsp:val=&quot;00321AAB&quot;/&gt;&lt;wsp:rsid wsp:val=&quot;00321E62&quot;/&gt;&lt;wsp:rsid wsp:val=&quot;00321EA4&quot;/&gt;&lt;wsp:rsid wsp:val=&quot;00322006&quot;/&gt;&lt;wsp:rsid wsp:val=&quot;003223D7&quot;/&gt;&lt;wsp:rsid wsp:val=&quot;00322501&quot;/&gt;&lt;wsp:rsid wsp:val=&quot;003226EC&quot;/&gt;&lt;wsp:rsid wsp:val=&quot;00322903&quot;/&gt;&lt;wsp:rsid wsp:val=&quot;00323096&quot;/&gt;&lt;wsp:rsid wsp:val=&quot;0032379B&quot;/&gt;&lt;wsp:rsid wsp:val=&quot;0032386D&quot;/&gt;&lt;wsp:rsid wsp:val=&quot;00323A29&quot;/&gt;&lt;wsp:rsid wsp:val=&quot;00323D45&quot;/&gt;&lt;wsp:rsid wsp:val=&quot;00323E6F&quot;/&gt;&lt;wsp:rsid wsp:val=&quot;00324115&quot;/&gt;&lt;wsp:rsid wsp:val=&quot;003241EB&quot;/&gt;&lt;wsp:rsid wsp:val=&quot;0032496E&quot;/&gt;&lt;wsp:rsid wsp:val=&quot;0032498B&quot;/&gt;&lt;wsp:rsid wsp:val=&quot;00324EE3&quot;/&gt;&lt;wsp:rsid wsp:val=&quot;00324F49&quot;/&gt;&lt;wsp:rsid wsp:val=&quot;00324F8A&quot;/&gt;&lt;wsp:rsid wsp:val=&quot;003258C3&quot;/&gt;&lt;wsp:rsid wsp:val=&quot;00325D21&quot;/&gt;&lt;wsp:rsid wsp:val=&quot;00325E06&quot;/&gt;&lt;wsp:rsid wsp:val=&quot;00325E28&quot;/&gt;&lt;wsp:rsid wsp:val=&quot;003263B9&quot;/&gt;&lt;wsp:rsid wsp:val=&quot;0032687D&quot;/&gt;&lt;wsp:rsid wsp:val=&quot;00326907&quot;/&gt;&lt;wsp:rsid wsp:val=&quot;00326ABF&quot;/&gt;&lt;wsp:rsid wsp:val=&quot;00326C84&quot;/&gt;&lt;wsp:rsid wsp:val=&quot;00326E81&quot;/&gt;&lt;wsp:rsid wsp:val=&quot;00327175&quot;/&gt;&lt;wsp:rsid wsp:val=&quot;0032747E&quot;/&gt;&lt;wsp:rsid wsp:val=&quot;00327701&quot;/&gt;&lt;wsp:rsid wsp:val=&quot;00327A22&quot;/&gt;&lt;wsp:rsid wsp:val=&quot;00327B21&quot;/&gt;&lt;wsp:rsid wsp:val=&quot;00327B96&quot;/&gt;&lt;wsp:rsid wsp:val=&quot;00327DC0&quot;/&gt;&lt;wsp:rsid wsp:val=&quot;00327FB4&quot;/&gt;&lt;wsp:rsid wsp:val=&quot;00330059&quot;/&gt;&lt;wsp:rsid wsp:val=&quot;00330211&quot;/&gt;&lt;wsp:rsid wsp:val=&quot;0033077D&quot;/&gt;&lt;wsp:rsid wsp:val=&quot;00330C3C&quot;/&gt;&lt;wsp:rsid wsp:val=&quot;00330F83&quot;/&gt;&lt;wsp:rsid wsp:val=&quot;00331483&quot;/&gt;&lt;wsp:rsid wsp:val=&quot;003314F7&quot;/&gt;&lt;wsp:rsid wsp:val=&quot;003316C2&quot;/&gt;&lt;wsp:rsid wsp:val=&quot;00331712&quot;/&gt;&lt;wsp:rsid wsp:val=&quot;00331897&quot;/&gt;&lt;wsp:rsid wsp:val=&quot;00331EEE&quot;/&gt;&lt;wsp:rsid wsp:val=&quot;0033207F&quot;/&gt;&lt;wsp:rsid wsp:val=&quot;003320C5&quot;/&gt;&lt;wsp:rsid wsp:val=&quot;003320F6&quot;/&gt;&lt;wsp:rsid wsp:val=&quot;00332751&quot;/&gt;&lt;wsp:rsid wsp:val=&quot;00332BD6&quot;/&gt;&lt;wsp:rsid wsp:val=&quot;00332BF1&quot;/&gt;&lt;wsp:rsid wsp:val=&quot;00332D8B&quot;/&gt;&lt;wsp:rsid wsp:val=&quot;00332DAE&quot;/&gt;&lt;wsp:rsid wsp:val=&quot;00332FB1&quot;/&gt;&lt;wsp:rsid wsp:val=&quot;003331C7&quot;/&gt;&lt;wsp:rsid wsp:val=&quot;0033384F&quot;/&gt;&lt;wsp:rsid wsp:val=&quot;00333853&quot;/&gt;&lt;wsp:rsid wsp:val=&quot;00333910&quot;/&gt;&lt;wsp:rsid wsp:val=&quot;00333B04&quot;/&gt;&lt;wsp:rsid wsp:val=&quot;00333CFD&quot;/&gt;&lt;wsp:rsid wsp:val=&quot;00335258&quot;/&gt;&lt;wsp:rsid wsp:val=&quot;003353BE&quot;/&gt;&lt;wsp:rsid wsp:val=&quot;00335529&quot;/&gt;&lt;wsp:rsid wsp:val=&quot;00335A7E&quot;/&gt;&lt;wsp:rsid wsp:val=&quot;00335DA5&quot;/&gt;&lt;wsp:rsid wsp:val=&quot;00336586&quot;/&gt;&lt;wsp:rsid wsp:val=&quot;003367E6&quot;/&gt;&lt;wsp:rsid wsp:val=&quot;0033695A&quot;/&gt;&lt;wsp:rsid wsp:val=&quot;00336D55&quot;/&gt;&lt;wsp:rsid wsp:val=&quot;00336F46&quot;/&gt;&lt;wsp:rsid wsp:val=&quot;00337392&quot;/&gt;&lt;wsp:rsid wsp:val=&quot;003379C2&quot;/&gt;&lt;wsp:rsid wsp:val=&quot;003379F0&quot;/&gt;&lt;wsp:rsid wsp:val=&quot;00337A14&quot;/&gt;&lt;wsp:rsid wsp:val=&quot;00337DCF&quot;/&gt;&lt;wsp:rsid wsp:val=&quot;003400E7&quot;/&gt;&lt;wsp:rsid wsp:val=&quot;003403F9&quot;/&gt;&lt;wsp:rsid wsp:val=&quot;0034084D&quot;/&gt;&lt;wsp:rsid wsp:val=&quot;0034094D&quot;/&gt;&lt;wsp:rsid wsp:val=&quot;00340A56&quot;/&gt;&lt;wsp:rsid wsp:val=&quot;00340B8E&quot;/&gt;&lt;wsp:rsid wsp:val=&quot;00340CCC&quot;/&gt;&lt;wsp:rsid wsp:val=&quot;00340E2E&quot;/&gt;&lt;wsp:rsid wsp:val=&quot;00340E6A&quot;/&gt;&lt;wsp:rsid wsp:val=&quot;00341035&quot;/&gt;&lt;wsp:rsid wsp:val=&quot;0034129D&quot;/&gt;&lt;wsp:rsid wsp:val=&quot;00341342&quot;/&gt;&lt;wsp:rsid wsp:val=&quot;003413CD&quot;/&gt;&lt;wsp:rsid wsp:val=&quot;00341823&quot;/&gt;&lt;wsp:rsid wsp:val=&quot;00341841&quot;/&gt;&lt;wsp:rsid wsp:val=&quot;00341AE2&quot;/&gt;&lt;wsp:rsid wsp:val=&quot;00342358&quot;/&gt;&lt;wsp:rsid wsp:val=&quot;003423CA&quot;/&gt;&lt;wsp:rsid wsp:val=&quot;0034245A&quot;/&gt;&lt;wsp:rsid wsp:val=&quot;00342600&quot;/&gt;&lt;wsp:rsid wsp:val=&quot;00342DE5&quot;/&gt;&lt;wsp:rsid wsp:val=&quot;00342E50&quot;/&gt;&lt;wsp:rsid wsp:val=&quot;00342FB4&quot;/&gt;&lt;wsp:rsid wsp:val=&quot;00342FC8&quot;/&gt;&lt;wsp:rsid wsp:val=&quot;0034358B&quot;/&gt;&lt;wsp:rsid wsp:val=&quot;00343B7C&quot;/&gt;&lt;wsp:rsid wsp:val=&quot;00343D34&quot;/&gt;&lt;wsp:rsid wsp:val=&quot;00343F3D&quot;/&gt;&lt;wsp:rsid wsp:val=&quot;003440D0&quot;/&gt;&lt;wsp:rsid wsp:val=&quot;0034427C&quot;/&gt;&lt;wsp:rsid wsp:val=&quot;00344378&quot;/&gt;&lt;wsp:rsid wsp:val=&quot;0034459C&quot;/&gt;&lt;wsp:rsid wsp:val=&quot;00344738&quot;/&gt;&lt;wsp:rsid wsp:val=&quot;0034475E&quot;/&gt;&lt;wsp:rsid wsp:val=&quot;00344797&quot;/&gt;&lt;wsp:rsid wsp:val=&quot;00344B4B&quot;/&gt;&lt;wsp:rsid wsp:val=&quot;00344F87&quot;/&gt;&lt;wsp:rsid wsp:val=&quot;00344FDF&quot;/&gt;&lt;wsp:rsid wsp:val=&quot;0034529A&quot;/&gt;&lt;wsp:rsid wsp:val=&quot;0034530B&quot;/&gt;&lt;wsp:rsid wsp:val=&quot;00345463&quot;/&gt;&lt;wsp:rsid wsp:val=&quot;0034548D&quot;/&gt;&lt;wsp:rsid wsp:val=&quot;00345D66&quot;/&gt;&lt;wsp:rsid wsp:val=&quot;00346035&quot;/&gt;&lt;wsp:rsid wsp:val=&quot;003461B9&quot;/&gt;&lt;wsp:rsid wsp:val=&quot;003462AF&quot;/&gt;&lt;wsp:rsid wsp:val=&quot;00346503&quot;/&gt;&lt;wsp:rsid wsp:val=&quot;0034683A&quot;/&gt;&lt;wsp:rsid wsp:val=&quot;0034687C&quot;/&gt;&lt;wsp:rsid wsp:val=&quot;00346A15&quot;/&gt;&lt;wsp:rsid wsp:val=&quot;00346F1D&quot;/&gt;&lt;wsp:rsid wsp:val=&quot;00346FC1&quot;/&gt;&lt;wsp:rsid wsp:val=&quot;00347152&quot;/&gt;&lt;wsp:rsid wsp:val=&quot;0034716E&quot;/&gt;&lt;wsp:rsid wsp:val=&quot;003471E1&quot;/&gt;&lt;wsp:rsid wsp:val=&quot;003471F0&quot;/&gt;&lt;wsp:rsid wsp:val=&quot;003473F5&quot;/&gt;&lt;wsp:rsid wsp:val=&quot;003473FA&quot;/&gt;&lt;wsp:rsid wsp:val=&quot;00347440&quot;/&gt;&lt;wsp:rsid wsp:val=&quot;003475A5&quot;/&gt;&lt;wsp:rsid wsp:val=&quot;00347752&quot;/&gt;&lt;wsp:rsid wsp:val=&quot;003477D5&quot;/&gt;&lt;wsp:rsid wsp:val=&quot;0034795D&quot;/&gt;&lt;wsp:rsid wsp:val=&quot;00347AFE&quot;/&gt;&lt;wsp:rsid wsp:val=&quot;00347E10&quot;/&gt;&lt;wsp:rsid wsp:val=&quot;003505A6&quot;/&gt;&lt;wsp:rsid wsp:val=&quot;00350898&quot;/&gt;&lt;wsp:rsid wsp:val=&quot;0035099A&quot;/&gt;&lt;wsp:rsid wsp:val=&quot;00350C17&quot;/&gt;&lt;wsp:rsid wsp:val=&quot;00351265&quot;/&gt;&lt;wsp:rsid wsp:val=&quot;003514FF&quot;/&gt;&lt;wsp:rsid wsp:val=&quot;0035176A&quot;/&gt;&lt;wsp:rsid wsp:val=&quot;00351AD6&quot;/&gt;&lt;wsp:rsid wsp:val=&quot;00351BCF&quot;/&gt;&lt;wsp:rsid wsp:val=&quot;00351CAC&quot;/&gt;&lt;wsp:rsid wsp:val=&quot;00351DD5&quot;/&gt;&lt;wsp:rsid wsp:val=&quot;003521EB&quot;/&gt;&lt;wsp:rsid wsp:val=&quot;00352280&quot;/&gt;&lt;wsp:rsid wsp:val=&quot;0035260A&quot;/&gt;&lt;wsp:rsid wsp:val=&quot;0035268A&quot;/&gt;&lt;wsp:rsid wsp:val=&quot;00352740&quot;/&gt;&lt;wsp:rsid wsp:val=&quot;00352C45&quot;/&gt;&lt;wsp:rsid wsp:val=&quot;00352DD9&quot;/&gt;&lt;wsp:rsid wsp:val=&quot;00352F63&quot;/&gt;&lt;wsp:rsid wsp:val=&quot;003530AC&quot;/&gt;&lt;wsp:rsid wsp:val=&quot;00353233&quot;/&gt;&lt;wsp:rsid wsp:val=&quot;00353A35&quot;/&gt;&lt;wsp:rsid wsp:val=&quot;00353E59&quot;/&gt;&lt;wsp:rsid wsp:val=&quot;00353FD4&quot;/&gt;&lt;wsp:rsid wsp:val=&quot;00354070&quot;/&gt;&lt;wsp:rsid wsp:val=&quot;0035438D&quot;/&gt;&lt;wsp:rsid wsp:val=&quot;00354475&quot;/&gt;&lt;wsp:rsid wsp:val=&quot;003544F5&quot;/&gt;&lt;wsp:rsid wsp:val=&quot;00354727&quot;/&gt;&lt;wsp:rsid wsp:val=&quot;0035487A&quot;/&gt;&lt;wsp:rsid wsp:val=&quot;0035523C&quot;/&gt;&lt;wsp:rsid wsp:val=&quot;003552EE&quot;/&gt;&lt;wsp:rsid wsp:val=&quot;0035551C&quot;/&gt;&lt;wsp:rsid wsp:val=&quot;00355606&quot;/&gt;&lt;wsp:rsid wsp:val=&quot;00355BC9&quot;/&gt;&lt;wsp:rsid wsp:val=&quot;00355E83&quot;/&gt;&lt;wsp:rsid wsp:val=&quot;00355F28&quot;/&gt;&lt;wsp:rsid wsp:val=&quot;00356450&quot;/&gt;&lt;wsp:rsid wsp:val=&quot;00356542&quot;/&gt;&lt;wsp:rsid wsp:val=&quot;00356828&quot;/&gt;&lt;wsp:rsid wsp:val=&quot;00356C64&quot;/&gt;&lt;wsp:rsid wsp:val=&quot;00356E23&quot;/&gt;&lt;wsp:rsid wsp:val=&quot;00356F0A&quot;/&gt;&lt;wsp:rsid wsp:val=&quot;003572D5&quot;/&gt;&lt;wsp:rsid wsp:val=&quot;00357511&quot;/&gt;&lt;wsp:rsid wsp:val=&quot;003576B9&quot;/&gt;&lt;wsp:rsid wsp:val=&quot;00357902&quot;/&gt;&lt;wsp:rsid wsp:val=&quot;00357AA9&quot;/&gt;&lt;wsp:rsid wsp:val=&quot;00357AD1&quot;/&gt;&lt;wsp:rsid wsp:val=&quot;00357B70&quot;/&gt;&lt;wsp:rsid wsp:val=&quot;00357D53&quot;/&gt;&lt;wsp:rsid wsp:val=&quot;00360247&quot;/&gt;&lt;wsp:rsid wsp:val=&quot;0036069C&quot;/&gt;&lt;wsp:rsid wsp:val=&quot;0036072C&quot;/&gt;&lt;wsp:rsid wsp:val=&quot;00360A1D&quot;/&gt;&lt;wsp:rsid wsp:val=&quot;0036104A&quot;/&gt;&lt;wsp:rsid wsp:val=&quot;00361642&quot;/&gt;&lt;wsp:rsid wsp:val=&quot;003618B4&quot;/&gt;&lt;wsp:rsid wsp:val=&quot;00361E32&quot;/&gt;&lt;wsp:rsid wsp:val=&quot;003625BF&quot;/&gt;&lt;wsp:rsid wsp:val=&quot;00362D0E&quot;/&gt;&lt;wsp:rsid wsp:val=&quot;00362D4F&quot;/&gt;&lt;wsp:rsid wsp:val=&quot;0036306C&quot;/&gt;&lt;wsp:rsid wsp:val=&quot;00363446&quot;/&gt;&lt;wsp:rsid wsp:val=&quot;00363481&quot;/&gt;&lt;wsp:rsid wsp:val=&quot;0036357F&quot;/&gt;&lt;wsp:rsid wsp:val=&quot;003635CF&quot;/&gt;&lt;wsp:rsid wsp:val=&quot;003638A3&quot;/&gt;&lt;wsp:rsid wsp:val=&quot;003639B5&quot;/&gt;&lt;wsp:rsid wsp:val=&quot;00363A58&quot;/&gt;&lt;wsp:rsid wsp:val=&quot;00363B60&quot;/&gt;&lt;wsp:rsid wsp:val=&quot;003640F2&quot;/&gt;&lt;wsp:rsid wsp:val=&quot;003641BB&quot;/&gt;&lt;wsp:rsid wsp:val=&quot;00364636&quot;/&gt;&lt;wsp:rsid wsp:val=&quot;00364B65&quot;/&gt;&lt;wsp:rsid wsp:val=&quot;00364C7D&quot;/&gt;&lt;wsp:rsid wsp:val=&quot;00364D4E&quot;/&gt;&lt;wsp:rsid wsp:val=&quot;00364E1B&quot;/&gt;&lt;wsp:rsid wsp:val=&quot;00365108&quot;/&gt;&lt;wsp:rsid wsp:val=&quot;00365338&quot;/&gt;&lt;wsp:rsid wsp:val=&quot;00365591&quot;/&gt;&lt;wsp:rsid wsp:val=&quot;00365650&quot;/&gt;&lt;wsp:rsid wsp:val=&quot;003659C1&quot;/&gt;&lt;wsp:rsid wsp:val=&quot;00365D70&quot;/&gt;&lt;wsp:rsid wsp:val=&quot;00365FCF&quot;/&gt;&lt;wsp:rsid wsp:val=&quot;0036691E&quot;/&gt;&lt;wsp:rsid wsp:val=&quot;003669AF&quot;/&gt;&lt;wsp:rsid wsp:val=&quot;00366BD7&quot;/&gt;&lt;wsp:rsid wsp:val=&quot;00366D90&quot;/&gt;&lt;wsp:rsid wsp:val=&quot;00366F46&quot;/&gt;&lt;wsp:rsid wsp:val=&quot;00366F9A&quot;/&gt;&lt;wsp:rsid wsp:val=&quot;00367CA9&quot;/&gt;&lt;wsp:rsid wsp:val=&quot;00367CB2&quot;/&gt;&lt;wsp:rsid wsp:val=&quot;003700B5&quot;/&gt;&lt;wsp:rsid wsp:val=&quot;0037070E&quot;/&gt;&lt;wsp:rsid wsp:val=&quot;003709B9&quot;/&gt;&lt;wsp:rsid wsp:val=&quot;00370B1C&quot;/&gt;&lt;wsp:rsid wsp:val=&quot;00370EBA&quot;/&gt;&lt;wsp:rsid wsp:val=&quot;00370F0A&quot;/&gt;&lt;wsp:rsid wsp:val=&quot;00370F52&quot;/&gt;&lt;wsp:rsid wsp:val=&quot;003711E2&quot;/&gt;&lt;wsp:rsid wsp:val=&quot;0037138A&quot;/&gt;&lt;wsp:rsid wsp:val=&quot;0037157D&quot;/&gt;&lt;wsp:rsid wsp:val=&quot;0037184B&quot;/&gt;&lt;wsp:rsid wsp:val=&quot;003718C2&quot;/&gt;&lt;wsp:rsid wsp:val=&quot;00371B0D&quot;/&gt;&lt;wsp:rsid wsp:val=&quot;00371CD7&quot;/&gt;&lt;wsp:rsid wsp:val=&quot;00371D87&quot;/&gt;&lt;wsp:rsid wsp:val=&quot;00371D91&quot;/&gt;&lt;wsp:rsid wsp:val=&quot;00371EE7&quot;/&gt;&lt;wsp:rsid wsp:val=&quot;0037213B&quot;/&gt;&lt;wsp:rsid wsp:val=&quot;00372141&quot;/&gt;&lt;wsp:rsid wsp:val=&quot;00372537&quot;/&gt;&lt;wsp:rsid wsp:val=&quot;003725A2&quot;/&gt;&lt;wsp:rsid wsp:val=&quot;00372CD5&quot;/&gt;&lt;wsp:rsid wsp:val=&quot;00372F40&quot;/&gt;&lt;wsp:rsid wsp:val=&quot;00372F72&quot;/&gt;&lt;wsp:rsid wsp:val=&quot;00373439&quot;/&gt;&lt;wsp:rsid wsp:val=&quot;00373581&quot;/&gt;&lt;wsp:rsid wsp:val=&quot;003735D4&quot;/&gt;&lt;wsp:rsid wsp:val=&quot;00373A5B&quot;/&gt;&lt;wsp:rsid wsp:val=&quot;00373D7C&quot;/&gt;&lt;wsp:rsid wsp:val=&quot;00373DC1&quot;/&gt;&lt;wsp:rsid wsp:val=&quot;00373E52&quot;/&gt;&lt;wsp:rsid wsp:val=&quot;00373FDC&quot;/&gt;&lt;wsp:rsid wsp:val=&quot;003744AB&quot;/&gt;&lt;wsp:rsid wsp:val=&quot;0037465E&quot;/&gt;&lt;wsp:rsid wsp:val=&quot;00374713&quot;/&gt;&lt;wsp:rsid wsp:val=&quot;00374798&quot;/&gt;&lt;wsp:rsid wsp:val=&quot;003748CB&quot;/&gt;&lt;wsp:rsid wsp:val=&quot;003749E9&quot;/&gt;&lt;wsp:rsid wsp:val=&quot;00374D69&quot;/&gt;&lt;wsp:rsid wsp:val=&quot;0037505F&quot;/&gt;&lt;wsp:rsid wsp:val=&quot;003755BE&quot;/&gt;&lt;wsp:rsid wsp:val=&quot;003757FA&quot;/&gt;&lt;wsp:rsid wsp:val=&quot;00375885&quot;/&gt;&lt;wsp:rsid wsp:val=&quot;00375B63&quot;/&gt;&lt;wsp:rsid wsp:val=&quot;00375E34&quot;/&gt;&lt;wsp:rsid wsp:val=&quot;003765EE&quot;/&gt;&lt;wsp:rsid wsp:val=&quot;00376834&quot;/&gt;&lt;wsp:rsid wsp:val=&quot;003768DF&quot;/&gt;&lt;wsp:rsid wsp:val=&quot;00376AD3&quot;/&gt;&lt;wsp:rsid wsp:val=&quot;00376DA0&quot;/&gt;&lt;wsp:rsid wsp:val=&quot;00377236&quot;/&gt;&lt;wsp:rsid wsp:val=&quot;0037735B&quot;/&gt;&lt;wsp:rsid wsp:val=&quot;0037785B&quot;/&gt;&lt;wsp:rsid wsp:val=&quot;00377B50&quot;/&gt;&lt;wsp:rsid wsp:val=&quot;003807E0&quot;/&gt;&lt;wsp:rsid wsp:val=&quot;003807EF&quot;/&gt;&lt;wsp:rsid wsp:val=&quot;00380AFC&quot;/&gt;&lt;wsp:rsid wsp:val=&quot;00380F77&quot;/&gt;&lt;wsp:rsid wsp:val=&quot;00381059&quot;/&gt;&lt;wsp:rsid wsp:val=&quot;0038114E&quot;/&gt;&lt;wsp:rsid wsp:val=&quot;00381280&quot;/&gt;&lt;wsp:rsid wsp:val=&quot;00381483&quot;/&gt;&lt;wsp:rsid wsp:val=&quot;003815AE&quot;/&gt;&lt;wsp:rsid wsp:val=&quot;003816C0&quot;/&gt;&lt;wsp:rsid wsp:val=&quot;003818BD&quot;/&gt;&lt;wsp:rsid wsp:val=&quot;00381C15&quot;/&gt;&lt;wsp:rsid wsp:val=&quot;00381D61&quot;/&gt;&lt;wsp:rsid wsp:val=&quot;00381FB2&quot;/&gt;&lt;wsp:rsid wsp:val=&quot;003821D7&quot;/&gt;&lt;wsp:rsid wsp:val=&quot;0038230D&quot;/&gt;&lt;wsp:rsid wsp:val=&quot;00382327&quot;/&gt;&lt;wsp:rsid wsp:val=&quot;003828B5&quot;/&gt;&lt;wsp:rsid wsp:val=&quot;00382D55&quot;/&gt;&lt;wsp:rsid wsp:val=&quot;00382D7C&quot;/&gt;&lt;wsp:rsid wsp:val=&quot;00382DAF&quot;/&gt;&lt;wsp:rsid wsp:val=&quot;00382E1D&quot;/&gt;&lt;wsp:rsid wsp:val=&quot;00383088&quot;/&gt;&lt;wsp:rsid wsp:val=&quot;003830F7&quot;/&gt;&lt;wsp:rsid wsp:val=&quot;00383221&quot;/&gt;&lt;wsp:rsid wsp:val=&quot;003839D8&quot;/&gt;&lt;wsp:rsid wsp:val=&quot;0038409C&quot;/&gt;&lt;wsp:rsid wsp:val=&quot;003842D8&quot;/&gt;&lt;wsp:rsid wsp:val=&quot;003844D3&quot;/&gt;&lt;wsp:rsid wsp:val=&quot;00384538&quot;/&gt;&lt;wsp:rsid wsp:val=&quot;003846CC&quot;/&gt;&lt;wsp:rsid wsp:val=&quot;003848D6&quot;/&gt;&lt;wsp:rsid wsp:val=&quot;00384929&quot;/&gt;&lt;wsp:rsid wsp:val=&quot;00384C50&quot;/&gt;&lt;wsp:rsid wsp:val=&quot;00384FBB&quot;/&gt;&lt;wsp:rsid wsp:val=&quot;00385486&quot;/&gt;&lt;wsp:rsid wsp:val=&quot;0038552A&quot;/&gt;&lt;wsp:rsid wsp:val=&quot;003856B7&quot;/&gt;&lt;wsp:rsid wsp:val=&quot;00385B62&quot;/&gt;&lt;wsp:rsid wsp:val=&quot;00385BC6&quot;/&gt;&lt;wsp:rsid wsp:val=&quot;00385EEA&quot;/&gt;&lt;wsp:rsid wsp:val=&quot;00386476&quot;/&gt;&lt;wsp:rsid wsp:val=&quot;00386877&quot;/&gt;&lt;wsp:rsid wsp:val=&quot;0038690B&quot;/&gt;&lt;wsp:rsid wsp:val=&quot;00386993&quot;/&gt;&lt;wsp:rsid wsp:val=&quot;00386ADB&quot;/&gt;&lt;wsp:rsid wsp:val=&quot;00386EEC&quot;/&gt;&lt;wsp:rsid wsp:val=&quot;0038704C&quot;/&gt;&lt;wsp:rsid wsp:val=&quot;003871DF&quot;/&gt;&lt;wsp:rsid wsp:val=&quot;00387233&quot;/&gt;&lt;wsp:rsid wsp:val=&quot;003877B3&quot;/&gt;&lt;wsp:rsid wsp:val=&quot;00387AE9&quot;/&gt;&lt;wsp:rsid wsp:val=&quot;00387B18&quot;/&gt;&lt;wsp:rsid wsp:val=&quot;00387BB0&quot;/&gt;&lt;wsp:rsid wsp:val=&quot;00387D5D&quot;/&gt;&lt;wsp:rsid wsp:val=&quot;00387E24&quot;/&gt;&lt;wsp:rsid wsp:val=&quot;00387ED8&quot;/&gt;&lt;wsp:rsid wsp:val=&quot;003900B6&quot;/&gt;&lt;wsp:rsid wsp:val=&quot;003906AA&quot;/&gt;&lt;wsp:rsid wsp:val=&quot;00390D78&quot;/&gt;&lt;wsp:rsid wsp:val=&quot;00390E83&quot;/&gt;&lt;wsp:rsid wsp:val=&quot;00391005&quot;/&gt;&lt;wsp:rsid wsp:val=&quot;00391079&quot;/&gt;&lt;wsp:rsid wsp:val=&quot;00391366&quot;/&gt;&lt;wsp:rsid wsp:val=&quot;003919C8&quot;/&gt;&lt;wsp:rsid wsp:val=&quot;00391A56&quot;/&gt;&lt;wsp:rsid wsp:val=&quot;00391FA0&quot;/&gt;&lt;wsp:rsid wsp:val=&quot;00392065&quot;/&gt;&lt;wsp:rsid wsp:val=&quot;003922BC&quot;/&gt;&lt;wsp:rsid wsp:val=&quot;003927F5&quot;/&gt;&lt;wsp:rsid wsp:val=&quot;00392B04&quot;/&gt;&lt;wsp:rsid wsp:val=&quot;00392B8D&quot;/&gt;&lt;wsp:rsid wsp:val=&quot;00392D8B&quot;/&gt;&lt;wsp:rsid wsp:val=&quot;00393053&quot;/&gt;&lt;wsp:rsid wsp:val=&quot;00393215&quot;/&gt;&lt;wsp:rsid wsp:val=&quot;00393646&quot;/&gt;&lt;wsp:rsid wsp:val=&quot;00393664&quot;/&gt;&lt;wsp:rsid wsp:val=&quot;00393946&quot;/&gt;&lt;wsp:rsid wsp:val=&quot;00393E2C&quot;/&gt;&lt;wsp:rsid wsp:val=&quot;00394038&quot;/&gt;&lt;wsp:rsid wsp:val=&quot;003943C2&quot;/&gt;&lt;wsp:rsid wsp:val=&quot;0039498F&quot;/&gt;&lt;wsp:rsid wsp:val=&quot;00394A45&quot;/&gt;&lt;wsp:rsid wsp:val=&quot;00395438&quot;/&gt;&lt;wsp:rsid wsp:val=&quot;0039543D&quot;/&gt;&lt;wsp:rsid wsp:val=&quot;003955E9&quot;/&gt;&lt;wsp:rsid wsp:val=&quot;003959B5&quot;/&gt;&lt;wsp:rsid wsp:val=&quot;00395C84&quot;/&gt;&lt;wsp:rsid wsp:val=&quot;00395EFA&quot;/&gt;&lt;wsp:rsid wsp:val=&quot;00396014&quot;/&gt;&lt;wsp:rsid wsp:val=&quot;00396045&quot;/&gt;&lt;wsp:rsid wsp:val=&quot;003964CE&quot;/&gt;&lt;wsp:rsid wsp:val=&quot;0039669B&quot;/&gt;&lt;wsp:rsid wsp:val=&quot;003966A9&quot;/&gt;&lt;wsp:rsid wsp:val=&quot;0039673A&quot;/&gt;&lt;wsp:rsid wsp:val=&quot;0039694D&quot;/&gt;&lt;wsp:rsid wsp:val=&quot;00396C5E&quot;/&gt;&lt;wsp:rsid wsp:val=&quot;00396F92&quot;/&gt;&lt;wsp:rsid wsp:val=&quot;00397020&quot;/&gt;&lt;wsp:rsid wsp:val=&quot;003970D9&quot;/&gt;&lt;wsp:rsid wsp:val=&quot;0039715A&quot;/&gt;&lt;wsp:rsid wsp:val=&quot;00397266&quot;/&gt;&lt;wsp:rsid wsp:val=&quot;00397474&quot;/&gt;&lt;wsp:rsid wsp:val=&quot;0039750B&quot;/&gt;&lt;wsp:rsid wsp:val=&quot;0039759F&quot;/&gt;&lt;wsp:rsid wsp:val=&quot;00397838&quot;/&gt;&lt;wsp:rsid wsp:val=&quot;00397B50&quot;/&gt;&lt;wsp:rsid wsp:val=&quot;00397B63&quot;/&gt;&lt;wsp:rsid wsp:val=&quot;00397C87&quot;/&gt;&lt;wsp:rsid wsp:val=&quot;00397EA9&quot;/&gt;&lt;wsp:rsid wsp:val=&quot;00397F6A&quot;/&gt;&lt;wsp:rsid wsp:val=&quot;003A0427&quot;/&gt;&lt;wsp:rsid wsp:val=&quot;003A061E&quot;/&gt;&lt;wsp:rsid wsp:val=&quot;003A0C2C&quot;/&gt;&lt;wsp:rsid wsp:val=&quot;003A0DD6&quot;/&gt;&lt;wsp:rsid wsp:val=&quot;003A0DE6&quot;/&gt;&lt;wsp:rsid wsp:val=&quot;003A0FB8&quot;/&gt;&lt;wsp:rsid wsp:val=&quot;003A1573&quot;/&gt;&lt;wsp:rsid wsp:val=&quot;003A1F7B&quot;/&gt;&lt;wsp:rsid wsp:val=&quot;003A21D9&quot;/&gt;&lt;wsp:rsid wsp:val=&quot;003A2742&quot;/&gt;&lt;wsp:rsid wsp:val=&quot;003A2F37&quot;/&gt;&lt;wsp:rsid wsp:val=&quot;003A2F88&quot;/&gt;&lt;wsp:rsid wsp:val=&quot;003A32C2&quot;/&gt;&lt;wsp:rsid wsp:val=&quot;003A336D&quot;/&gt;&lt;wsp:rsid wsp:val=&quot;003A33B4&quot;/&gt;&lt;wsp:rsid wsp:val=&quot;003A352B&quot;/&gt;&lt;wsp:rsid wsp:val=&quot;003A360C&quot;/&gt;&lt;wsp:rsid wsp:val=&quot;003A370F&quot;/&gt;&lt;wsp:rsid wsp:val=&quot;003A37B7&quot;/&gt;&lt;wsp:rsid wsp:val=&quot;003A3881&quot;/&gt;&lt;wsp:rsid wsp:val=&quot;003A3D9F&quot;/&gt;&lt;wsp:rsid wsp:val=&quot;003A3DE8&quot;/&gt;&lt;wsp:rsid wsp:val=&quot;003A4285&quot;/&gt;&lt;wsp:rsid wsp:val=&quot;003A454C&quot;/&gt;&lt;wsp:rsid wsp:val=&quot;003A4775&quot;/&gt;&lt;wsp:rsid wsp:val=&quot;003A4885&quot;/&gt;&lt;wsp:rsid wsp:val=&quot;003A4DC3&quot;/&gt;&lt;wsp:rsid wsp:val=&quot;003A4FAF&quot;/&gt;&lt;wsp:rsid wsp:val=&quot;003A5031&quot;/&gt;&lt;wsp:rsid wsp:val=&quot;003A515B&quot;/&gt;&lt;wsp:rsid wsp:val=&quot;003A51F6&quot;/&gt;&lt;wsp:rsid wsp:val=&quot;003A5223&quot;/&gt;&lt;wsp:rsid wsp:val=&quot;003A533F&quot;/&gt;&lt;wsp:rsid wsp:val=&quot;003A57A8&quot;/&gt;&lt;wsp:rsid wsp:val=&quot;003A5847&quot;/&gt;&lt;wsp:rsid wsp:val=&quot;003A60A0&quot;/&gt;&lt;wsp:rsid wsp:val=&quot;003A6165&quot;/&gt;&lt;wsp:rsid wsp:val=&quot;003A6710&quot;/&gt;&lt;wsp:rsid wsp:val=&quot;003A6BD0&quot;/&gt;&lt;wsp:rsid wsp:val=&quot;003A74C6&quot;/&gt;&lt;wsp:rsid wsp:val=&quot;003A7D4F&quot;/&gt;&lt;wsp:rsid wsp:val=&quot;003B08A1&quot;/&gt;&lt;wsp:rsid wsp:val=&quot;003B1055&quot;/&gt;&lt;wsp:rsid wsp:val=&quot;003B1372&quot;/&gt;&lt;wsp:rsid wsp:val=&quot;003B1477&quot;/&gt;&lt;wsp:rsid wsp:val=&quot;003B148A&quot;/&gt;&lt;wsp:rsid wsp:val=&quot;003B14CA&quot;/&gt;&lt;wsp:rsid wsp:val=&quot;003B14D4&quot;/&gt;&lt;wsp:rsid wsp:val=&quot;003B190D&quot;/&gt;&lt;wsp:rsid wsp:val=&quot;003B1D83&quot;/&gt;&lt;wsp:rsid wsp:val=&quot;003B1EB5&quot;/&gt;&lt;wsp:rsid wsp:val=&quot;003B206E&quot;/&gt;&lt;wsp:rsid wsp:val=&quot;003B21BC&quot;/&gt;&lt;wsp:rsid wsp:val=&quot;003B27DE&quot;/&gt;&lt;wsp:rsid wsp:val=&quot;003B2A04&quot;/&gt;&lt;wsp:rsid wsp:val=&quot;003B2B9C&quot;/&gt;&lt;wsp:rsid wsp:val=&quot;003B2C31&quot;/&gt;&lt;wsp:rsid wsp:val=&quot;003B2CDD&quot;/&gt;&lt;wsp:rsid wsp:val=&quot;003B2F53&quot;/&gt;&lt;wsp:rsid wsp:val=&quot;003B2FFB&quot;/&gt;&lt;wsp:rsid wsp:val=&quot;003B314E&quot;/&gt;&lt;wsp:rsid wsp:val=&quot;003B315C&quot;/&gt;&lt;wsp:rsid wsp:val=&quot;003B324F&quot;/&gt;&lt;wsp:rsid wsp:val=&quot;003B348B&quot;/&gt;&lt;wsp:rsid wsp:val=&quot;003B3555&quot;/&gt;&lt;wsp:rsid wsp:val=&quot;003B3846&quot;/&gt;&lt;wsp:rsid wsp:val=&quot;003B3B19&quot;/&gt;&lt;wsp:rsid wsp:val=&quot;003B3CFB&quot;/&gt;&lt;wsp:rsid wsp:val=&quot;003B3F4F&quot;/&gt;&lt;wsp:rsid wsp:val=&quot;003B403B&quot;/&gt;&lt;wsp:rsid wsp:val=&quot;003B42CE&quot;/&gt;&lt;wsp:rsid wsp:val=&quot;003B43CA&quot;/&gt;&lt;wsp:rsid wsp:val=&quot;003B44CA&quot;/&gt;&lt;wsp:rsid wsp:val=&quot;003B44FA&quot;/&gt;&lt;wsp:rsid wsp:val=&quot;003B46D5&quot;/&gt;&lt;wsp:rsid wsp:val=&quot;003B4797&quot;/&gt;&lt;wsp:rsid wsp:val=&quot;003B47A4&quot;/&gt;&lt;wsp:rsid wsp:val=&quot;003B47A9&quot;/&gt;&lt;wsp:rsid wsp:val=&quot;003B4A4A&quot;/&gt;&lt;wsp:rsid wsp:val=&quot;003B4AFD&quot;/&gt;&lt;wsp:rsid wsp:val=&quot;003B4BF5&quot;/&gt;&lt;wsp:rsid wsp:val=&quot;003B4F54&quot;/&gt;&lt;wsp:rsid wsp:val=&quot;003B5544&quot;/&gt;&lt;wsp:rsid wsp:val=&quot;003B5C6F&quot;/&gt;&lt;wsp:rsid wsp:val=&quot;003B5D3C&quot;/&gt;&lt;wsp:rsid wsp:val=&quot;003B606B&quot;/&gt;&lt;wsp:rsid wsp:val=&quot;003B621D&quot;/&gt;&lt;wsp:rsid wsp:val=&quot;003B693E&quot;/&gt;&lt;wsp:rsid wsp:val=&quot;003B6AC7&quot;/&gt;&lt;wsp:rsid wsp:val=&quot;003B6BD8&quot;/&gt;&lt;wsp:rsid wsp:val=&quot;003B6F1F&quot;/&gt;&lt;wsp:rsid wsp:val=&quot;003B7409&quot;/&gt;&lt;wsp:rsid wsp:val=&quot;003B74F5&quot;/&gt;&lt;wsp:rsid wsp:val=&quot;003B75E2&quot;/&gt;&lt;wsp:rsid wsp:val=&quot;003B76EB&quot;/&gt;&lt;wsp:rsid wsp:val=&quot;003B7992&quot;/&gt;&lt;wsp:rsid wsp:val=&quot;003B7C52&quot;/&gt;&lt;wsp:rsid wsp:val=&quot;003B7F40&quot;/&gt;&lt;wsp:rsid wsp:val=&quot;003B7F93&quot;/&gt;&lt;wsp:rsid wsp:val=&quot;003B7FB5&quot;/&gt;&lt;wsp:rsid wsp:val=&quot;003C0279&quot;/&gt;&lt;wsp:rsid wsp:val=&quot;003C040B&quot;/&gt;&lt;wsp:rsid wsp:val=&quot;003C047D&quot;/&gt;&lt;wsp:rsid wsp:val=&quot;003C06D5&quot;/&gt;&lt;wsp:rsid wsp:val=&quot;003C071F&quot;/&gt;&lt;wsp:rsid wsp:val=&quot;003C0917&quot;/&gt;&lt;wsp:rsid wsp:val=&quot;003C09B8&quot;/&gt;&lt;wsp:rsid wsp:val=&quot;003C0D2F&quot;/&gt;&lt;wsp:rsid wsp:val=&quot;003C0E1C&quot;/&gt;&lt;wsp:rsid wsp:val=&quot;003C12DD&quot;/&gt;&lt;wsp:rsid wsp:val=&quot;003C1307&quot;/&gt;&lt;wsp:rsid wsp:val=&quot;003C1346&quot;/&gt;&lt;wsp:rsid wsp:val=&quot;003C1520&quot;/&gt;&lt;wsp:rsid wsp:val=&quot;003C1C80&quot;/&gt;&lt;wsp:rsid wsp:val=&quot;003C1EF2&quot;/&gt;&lt;wsp:rsid wsp:val=&quot;003C20B9&quot;/&gt;&lt;wsp:rsid wsp:val=&quot;003C232A&quot;/&gt;&lt;wsp:rsid wsp:val=&quot;003C25A2&quot;/&gt;&lt;wsp:rsid wsp:val=&quot;003C2AFA&quot;/&gt;&lt;wsp:rsid wsp:val=&quot;003C2B41&quot;/&gt;&lt;wsp:rsid wsp:val=&quot;003C2C6D&quot;/&gt;&lt;wsp:rsid wsp:val=&quot;003C35CB&quot;/&gt;&lt;wsp:rsid wsp:val=&quot;003C39EE&quot;/&gt;&lt;wsp:rsid wsp:val=&quot;003C3A50&quot;/&gt;&lt;wsp:rsid wsp:val=&quot;003C4162&quot;/&gt;&lt;wsp:rsid wsp:val=&quot;003C418D&quot;/&gt;&lt;wsp:rsid wsp:val=&quot;003C43C2&quot;/&gt;&lt;wsp:rsid wsp:val=&quot;003C449B&quot;/&gt;&lt;wsp:rsid wsp:val=&quot;003C4757&quot;/&gt;&lt;wsp:rsid wsp:val=&quot;003C48EE&quot;/&gt;&lt;wsp:rsid wsp:val=&quot;003C4A2A&quot;/&gt;&lt;wsp:rsid wsp:val=&quot;003C4B05&quot;/&gt;&lt;wsp:rsid wsp:val=&quot;003C4C8C&quot;/&gt;&lt;wsp:rsid wsp:val=&quot;003C4EAB&quot;/&gt;&lt;wsp:rsid wsp:val=&quot;003C4F1C&quot;/&gt;&lt;wsp:rsid wsp:val=&quot;003C4FAF&quot;/&gt;&lt;wsp:rsid wsp:val=&quot;003C505A&quot;/&gt;&lt;wsp:rsid wsp:val=&quot;003C5150&quot;/&gt;&lt;wsp:rsid wsp:val=&quot;003C5159&quot;/&gt;&lt;wsp:rsid wsp:val=&quot;003C53DC&quot;/&gt;&lt;wsp:rsid wsp:val=&quot;003C5530&quot;/&gt;&lt;wsp:rsid wsp:val=&quot;003C560C&quot;/&gt;&lt;wsp:rsid wsp:val=&quot;003C5727&quot;/&gt;&lt;wsp:rsid wsp:val=&quot;003C5C84&quot;/&gt;&lt;wsp:rsid wsp:val=&quot;003C5DAF&quot;/&gt;&lt;wsp:rsid wsp:val=&quot;003C5E5B&quot;/&gt;&lt;wsp:rsid wsp:val=&quot;003C5F97&quot;/&gt;&lt;wsp:rsid wsp:val=&quot;003C6422&quot;/&gt;&lt;wsp:rsid wsp:val=&quot;003C6579&quot;/&gt;&lt;wsp:rsid wsp:val=&quot;003C661F&quot;/&gt;&lt;wsp:rsid wsp:val=&quot;003C681C&quot;/&gt;&lt;wsp:rsid wsp:val=&quot;003C6AAC&quot;/&gt;&lt;wsp:rsid wsp:val=&quot;003C6DDD&quot;/&gt;&lt;wsp:rsid wsp:val=&quot;003C6E53&quot;/&gt;&lt;wsp:rsid wsp:val=&quot;003C6F63&quot;/&gt;&lt;wsp:rsid wsp:val=&quot;003C7220&quot;/&gt;&lt;wsp:rsid wsp:val=&quot;003C7240&quot;/&gt;&lt;wsp:rsid wsp:val=&quot;003C7504&quot;/&gt;&lt;wsp:rsid wsp:val=&quot;003C7622&quot;/&gt;&lt;wsp:rsid wsp:val=&quot;003C7730&quot;/&gt;&lt;wsp:rsid wsp:val=&quot;003C779D&quot;/&gt;&lt;wsp:rsid wsp:val=&quot;003C7967&quot;/&gt;&lt;wsp:rsid wsp:val=&quot;003C797E&quot;/&gt;&lt;wsp:rsid wsp:val=&quot;003D0568&quot;/&gt;&lt;wsp:rsid wsp:val=&quot;003D05A2&quot;/&gt;&lt;wsp:rsid wsp:val=&quot;003D0905&quot;/&gt;&lt;wsp:rsid wsp:val=&quot;003D0960&quot;/&gt;&lt;wsp:rsid wsp:val=&quot;003D0961&quot;/&gt;&lt;wsp:rsid wsp:val=&quot;003D0983&quot;/&gt;&lt;wsp:rsid wsp:val=&quot;003D0AAE&quot;/&gt;&lt;wsp:rsid wsp:val=&quot;003D0ACA&quot;/&gt;&lt;wsp:rsid wsp:val=&quot;003D0C0F&quot;/&gt;&lt;wsp:rsid wsp:val=&quot;003D10FE&quot;/&gt;&lt;wsp:rsid wsp:val=&quot;003D1391&quot;/&gt;&lt;wsp:rsid wsp:val=&quot;003D13BD&quot;/&gt;&lt;wsp:rsid wsp:val=&quot;003D1448&quot;/&gt;&lt;wsp:rsid wsp:val=&quot;003D14A4&quot;/&gt;&lt;wsp:rsid wsp:val=&quot;003D16AC&quot;/&gt;&lt;wsp:rsid wsp:val=&quot;003D19B1&quot;/&gt;&lt;wsp:rsid wsp:val=&quot;003D1CB1&quot;/&gt;&lt;wsp:rsid wsp:val=&quot;003D1E1E&quot;/&gt;&lt;wsp:rsid wsp:val=&quot;003D1EBD&quot;/&gt;&lt;wsp:rsid wsp:val=&quot;003D20AF&quot;/&gt;&lt;wsp:rsid wsp:val=&quot;003D20CD&quot;/&gt;&lt;wsp:rsid wsp:val=&quot;003D2346&quot;/&gt;&lt;wsp:rsid wsp:val=&quot;003D25EE&quot;/&gt;&lt;wsp:rsid wsp:val=&quot;003D27C1&quot;/&gt;&lt;wsp:rsid wsp:val=&quot;003D2912&quot;/&gt;&lt;wsp:rsid wsp:val=&quot;003D2D51&quot;/&gt;&lt;wsp:rsid wsp:val=&quot;003D2E1C&quot;/&gt;&lt;wsp:rsid wsp:val=&quot;003D2EE9&quot;/&gt;&lt;wsp:rsid wsp:val=&quot;003D3396&quot;/&gt;&lt;wsp:rsid wsp:val=&quot;003D3604&quot;/&gt;&lt;wsp:rsid wsp:val=&quot;003D388F&quot;/&gt;&lt;wsp:rsid wsp:val=&quot;003D39CB&quot;/&gt;&lt;wsp:rsid wsp:val=&quot;003D3EB9&quot;/&gt;&lt;wsp:rsid wsp:val=&quot;003D3F50&quot;/&gt;&lt;wsp:rsid wsp:val=&quot;003D4361&quot;/&gt;&lt;wsp:rsid wsp:val=&quot;003D43FC&quot;/&gt;&lt;wsp:rsid wsp:val=&quot;003D45BC&quot;/&gt;&lt;wsp:rsid wsp:val=&quot;003D4759&quot;/&gt;&lt;wsp:rsid wsp:val=&quot;003D4987&quot;/&gt;&lt;wsp:rsid wsp:val=&quot;003D49AB&quot;/&gt;&lt;wsp:rsid wsp:val=&quot;003D4D9F&quot;/&gt;&lt;wsp:rsid wsp:val=&quot;003D4DF7&quot;/&gt;&lt;wsp:rsid wsp:val=&quot;003D515D&quot;/&gt;&lt;wsp:rsid wsp:val=&quot;003D5524&quot;/&gt;&lt;wsp:rsid wsp:val=&quot;003D57AE&quot;/&gt;&lt;wsp:rsid wsp:val=&quot;003D62D6&quot;/&gt;&lt;wsp:rsid wsp:val=&quot;003D6A6B&quot;/&gt;&lt;wsp:rsid wsp:val=&quot;003D6D52&quot;/&gt;&lt;wsp:rsid wsp:val=&quot;003D73C3&quot;/&gt;&lt;wsp:rsid wsp:val=&quot;003D75BE&quot;/&gt;&lt;wsp:rsid wsp:val=&quot;003D7867&quot;/&gt;&lt;wsp:rsid wsp:val=&quot;003D7970&quot;/&gt;&lt;wsp:rsid wsp:val=&quot;003D799D&quot;/&gt;&lt;wsp:rsid wsp:val=&quot;003D7AFC&quot;/&gt;&lt;wsp:rsid wsp:val=&quot;003D7ECF&quot;/&gt;&lt;wsp:rsid wsp:val=&quot;003E01C1&quot;/&gt;&lt;wsp:rsid wsp:val=&quot;003E02AD&quot;/&gt;&lt;wsp:rsid wsp:val=&quot;003E035F&quot;/&gt;&lt;wsp:rsid wsp:val=&quot;003E03B5&quot;/&gt;&lt;wsp:rsid wsp:val=&quot;003E04A2&quot;/&gt;&lt;wsp:rsid wsp:val=&quot;003E060F&quot;/&gt;&lt;wsp:rsid wsp:val=&quot;003E06BE&quot;/&gt;&lt;wsp:rsid wsp:val=&quot;003E06EB&quot;/&gt;&lt;wsp:rsid wsp:val=&quot;003E075D&quot;/&gt;&lt;wsp:rsid wsp:val=&quot;003E077B&quot;/&gt;&lt;wsp:rsid wsp:val=&quot;003E08E0&quot;/&gt;&lt;wsp:rsid wsp:val=&quot;003E1073&quot;/&gt;&lt;wsp:rsid wsp:val=&quot;003E1091&quot;/&gt;&lt;wsp:rsid wsp:val=&quot;003E1157&quot;/&gt;&lt;wsp:rsid wsp:val=&quot;003E1956&quot;/&gt;&lt;wsp:rsid wsp:val=&quot;003E1A4B&quot;/&gt;&lt;wsp:rsid wsp:val=&quot;003E1B61&quot;/&gt;&lt;wsp:rsid wsp:val=&quot;003E1D07&quot;/&gt;&lt;wsp:rsid wsp:val=&quot;003E20CE&quot;/&gt;&lt;wsp:rsid wsp:val=&quot;003E27E0&quot;/&gt;&lt;wsp:rsid wsp:val=&quot;003E2B4B&quot;/&gt;&lt;wsp:rsid wsp:val=&quot;003E2B5F&quot;/&gt;&lt;wsp:rsid wsp:val=&quot;003E2BD4&quot;/&gt;&lt;wsp:rsid wsp:val=&quot;003E2D21&quot;/&gt;&lt;wsp:rsid wsp:val=&quot;003E2EE7&quot;/&gt;&lt;wsp:rsid wsp:val=&quot;003E3030&quot;/&gt;&lt;wsp:rsid wsp:val=&quot;003E3102&quot;/&gt;&lt;wsp:rsid wsp:val=&quot;003E32D6&quot;/&gt;&lt;wsp:rsid wsp:val=&quot;003E34D7&quot;/&gt;&lt;wsp:rsid wsp:val=&quot;003E36AA&quot;/&gt;&lt;wsp:rsid wsp:val=&quot;003E398B&quot;/&gt;&lt;wsp:rsid wsp:val=&quot;003E39C4&quot;/&gt;&lt;wsp:rsid wsp:val=&quot;003E3A7F&quot;/&gt;&lt;wsp:rsid wsp:val=&quot;003E3ACF&quot;/&gt;&lt;wsp:rsid wsp:val=&quot;003E3AD1&quot;/&gt;&lt;wsp:rsid wsp:val=&quot;003E3C2C&quot;/&gt;&lt;wsp:rsid wsp:val=&quot;003E3E2A&quot;/&gt;&lt;wsp:rsid wsp:val=&quot;003E40DE&quot;/&gt;&lt;wsp:rsid wsp:val=&quot;003E419A&quot;/&gt;&lt;wsp:rsid wsp:val=&quot;003E41D4&quot;/&gt;&lt;wsp:rsid wsp:val=&quot;003E41E6&quot;/&gt;&lt;wsp:rsid wsp:val=&quot;003E426B&quot;/&gt;&lt;wsp:rsid wsp:val=&quot;003E43ED&quot;/&gt;&lt;wsp:rsid wsp:val=&quot;003E43F3&quot;/&gt;&lt;wsp:rsid wsp:val=&quot;003E448E&quot;/&gt;&lt;wsp:rsid wsp:val=&quot;003E48CA&quot;/&gt;&lt;wsp:rsid wsp:val=&quot;003E4CF0&quot;/&gt;&lt;wsp:rsid wsp:val=&quot;003E4DE9&quot;/&gt;&lt;wsp:rsid wsp:val=&quot;003E52D4&quot;/&gt;&lt;wsp:rsid wsp:val=&quot;003E550F&quot;/&gt;&lt;wsp:rsid wsp:val=&quot;003E578C&quot;/&gt;&lt;wsp:rsid wsp:val=&quot;003E5A75&quot;/&gt;&lt;wsp:rsid wsp:val=&quot;003E5CF9&quot;/&gt;&lt;wsp:rsid wsp:val=&quot;003E5D3F&quot;/&gt;&lt;wsp:rsid wsp:val=&quot;003E5D64&quot;/&gt;&lt;wsp:rsid wsp:val=&quot;003E5D9D&quot;/&gt;&lt;wsp:rsid wsp:val=&quot;003E5DD4&quot;/&gt;&lt;wsp:rsid wsp:val=&quot;003E5FA0&quot;/&gt;&lt;wsp:rsid wsp:val=&quot;003E5FA5&quot;/&gt;&lt;wsp:rsid wsp:val=&quot;003E6218&quot;/&gt;&lt;wsp:rsid wsp:val=&quot;003E623F&quot;/&gt;&lt;wsp:rsid wsp:val=&quot;003E6402&quot;/&gt;&lt;wsp:rsid wsp:val=&quot;003E6777&quot;/&gt;&lt;wsp:rsid wsp:val=&quot;003E67FE&quot;/&gt;&lt;wsp:rsid wsp:val=&quot;003E68EC&quot;/&gt;&lt;wsp:rsid wsp:val=&quot;003E69E2&quot;/&gt;&lt;wsp:rsid wsp:val=&quot;003E6AE2&quot;/&gt;&lt;wsp:rsid wsp:val=&quot;003E6D78&quot;/&gt;&lt;wsp:rsid wsp:val=&quot;003E6DF0&quot;/&gt;&lt;wsp:rsid wsp:val=&quot;003E6E12&quot;/&gt;&lt;wsp:rsid wsp:val=&quot;003E713A&quot;/&gt;&lt;wsp:rsid wsp:val=&quot;003E7564&quot;/&gt;&lt;wsp:rsid wsp:val=&quot;003E75D6&quot;/&gt;&lt;wsp:rsid wsp:val=&quot;003E7653&quot;/&gt;&lt;wsp:rsid wsp:val=&quot;003E76A9&quot;/&gt;&lt;wsp:rsid wsp:val=&quot;003E7770&quot;/&gt;&lt;wsp:rsid wsp:val=&quot;003E7D12&quot;/&gt;&lt;wsp:rsid wsp:val=&quot;003E7DA7&quot;/&gt;&lt;wsp:rsid wsp:val=&quot;003E7DBD&quot;/&gt;&lt;wsp:rsid wsp:val=&quot;003F00D7&quot;/&gt;&lt;wsp:rsid wsp:val=&quot;003F0307&quot;/&gt;&lt;wsp:rsid wsp:val=&quot;003F031D&quot;/&gt;&lt;wsp:rsid wsp:val=&quot;003F03BD&quot;/&gt;&lt;wsp:rsid wsp:val=&quot;003F040B&quot;/&gt;&lt;wsp:rsid wsp:val=&quot;003F0643&quot;/&gt;&lt;wsp:rsid wsp:val=&quot;003F0AEA&quot;/&gt;&lt;wsp:rsid wsp:val=&quot;003F0C68&quot;/&gt;&lt;wsp:rsid wsp:val=&quot;003F0D96&quot;/&gt;&lt;wsp:rsid wsp:val=&quot;003F0EE3&quot;/&gt;&lt;wsp:rsid wsp:val=&quot;003F0EF8&quot;/&gt;&lt;wsp:rsid wsp:val=&quot;003F1192&quot;/&gt;&lt;wsp:rsid wsp:val=&quot;003F11D4&quot;/&gt;&lt;wsp:rsid wsp:val=&quot;003F1501&quot;/&gt;&lt;wsp:rsid wsp:val=&quot;003F156D&quot;/&gt;&lt;wsp:rsid wsp:val=&quot;003F16A3&quot;/&gt;&lt;wsp:rsid wsp:val=&quot;003F182B&quot;/&gt;&lt;wsp:rsid wsp:val=&quot;003F192A&quot;/&gt;&lt;wsp:rsid wsp:val=&quot;003F1B14&quot;/&gt;&lt;wsp:rsid wsp:val=&quot;003F1C17&quot;/&gt;&lt;wsp:rsid wsp:val=&quot;003F2539&quot;/&gt;&lt;wsp:rsid wsp:val=&quot;003F2561&quot;/&gt;&lt;wsp:rsid wsp:val=&quot;003F2876&quot;/&gt;&lt;wsp:rsid wsp:val=&quot;003F2991&quot;/&gt;&lt;wsp:rsid wsp:val=&quot;003F2EE6&quot;/&gt;&lt;wsp:rsid wsp:val=&quot;003F2F8E&quot;/&gt;&lt;wsp:rsid wsp:val=&quot;003F31E4&quot;/&gt;&lt;wsp:rsid wsp:val=&quot;003F383F&quot;/&gt;&lt;wsp:rsid wsp:val=&quot;003F3A28&quot;/&gt;&lt;wsp:rsid wsp:val=&quot;003F3CAE&quot;/&gt;&lt;wsp:rsid wsp:val=&quot;003F3E3A&quot;/&gt;&lt;wsp:rsid wsp:val=&quot;003F3F2C&quot;/&gt;&lt;wsp:rsid wsp:val=&quot;003F4077&quot;/&gt;&lt;wsp:rsid wsp:val=&quot;003F4088&quot;/&gt;&lt;wsp:rsid wsp:val=&quot;003F43B3&quot;/&gt;&lt;wsp:rsid wsp:val=&quot;003F43C6&quot;/&gt;&lt;wsp:rsid wsp:val=&quot;003F4450&quot;/&gt;&lt;wsp:rsid wsp:val=&quot;003F44CD&quot;/&gt;&lt;wsp:rsid wsp:val=&quot;003F44D1&quot;/&gt;&lt;wsp:rsid wsp:val=&quot;003F46E2&quot;/&gt;&lt;wsp:rsid wsp:val=&quot;003F47CF&quot;/&gt;&lt;wsp:rsid wsp:val=&quot;003F48A9&quot;/&gt;&lt;wsp:rsid wsp:val=&quot;003F53E5&quot;/&gt;&lt;wsp:rsid wsp:val=&quot;003F551E&quot;/&gt;&lt;wsp:rsid wsp:val=&quot;003F56D5&quot;/&gt;&lt;wsp:rsid wsp:val=&quot;003F56F8&quot;/&gt;&lt;wsp:rsid wsp:val=&quot;003F5738&quot;/&gt;&lt;wsp:rsid wsp:val=&quot;003F59A3&quot;/&gt;&lt;wsp:rsid wsp:val=&quot;003F59EF&quot;/&gt;&lt;wsp:rsid wsp:val=&quot;003F5BA8&quot;/&gt;&lt;wsp:rsid wsp:val=&quot;003F5EF1&quot;/&gt;&lt;wsp:rsid wsp:val=&quot;003F63F1&quot;/&gt;&lt;wsp:rsid wsp:val=&quot;003F644F&quot;/&gt;&lt;wsp:rsid wsp:val=&quot;003F6594&quot;/&gt;&lt;wsp:rsid wsp:val=&quot;003F65E9&quot;/&gt;&lt;wsp:rsid wsp:val=&quot;003F66AE&quot;/&gt;&lt;wsp:rsid wsp:val=&quot;003F6779&quot;/&gt;&lt;wsp:rsid wsp:val=&quot;003F6D16&quot;/&gt;&lt;wsp:rsid wsp:val=&quot;003F6F83&quot;/&gt;&lt;wsp:rsid wsp:val=&quot;003F6FB4&quot;/&gt;&lt;wsp:rsid wsp:val=&quot;003F7365&quot;/&gt;&lt;wsp:rsid wsp:val=&quot;003F73F6&quot;/&gt;&lt;wsp:rsid wsp:val=&quot;003F74E3&quot;/&gt;&lt;wsp:rsid wsp:val=&quot;003F7524&quot;/&gt;&lt;wsp:rsid wsp:val=&quot;003F7577&quot;/&gt;&lt;wsp:rsid wsp:val=&quot;003F7635&quot;/&gt;&lt;wsp:rsid wsp:val=&quot;003F7931&quot;/&gt;&lt;wsp:rsid wsp:val=&quot;003F7966&quot;/&gt;&lt;wsp:rsid wsp:val=&quot;003F79EA&quot;/&gt;&lt;wsp:rsid wsp:val=&quot;003F7B16&quot;/&gt;&lt;wsp:rsid wsp:val=&quot;003F7D40&quot;/&gt;&lt;wsp:rsid wsp:val=&quot;003F7D73&quot;/&gt;&lt;wsp:rsid wsp:val=&quot;003F7E2F&quot;/&gt;&lt;wsp:rsid wsp:val=&quot;0040012A&quot;/&gt;&lt;wsp:rsid wsp:val=&quot;004001F7&quot;/&gt;&lt;wsp:rsid wsp:val=&quot;00400226&quot;/&gt;&lt;wsp:rsid wsp:val=&quot;004002D6&quot;/&gt;&lt;wsp:rsid wsp:val=&quot;00400487&quot;/&gt;&lt;wsp:rsid wsp:val=&quot;00400887&quot;/&gt;&lt;wsp:rsid wsp:val=&quot;004012DA&quot;/&gt;&lt;wsp:rsid wsp:val=&quot;00401336&quot;/&gt;&lt;wsp:rsid wsp:val=&quot;0040161F&quot;/&gt;&lt;wsp:rsid wsp:val=&quot;0040175A&quot;/&gt;&lt;wsp:rsid wsp:val=&quot;00401A25&quot;/&gt;&lt;wsp:rsid wsp:val=&quot;00401A4E&quot;/&gt;&lt;wsp:rsid wsp:val=&quot;00401DD0&quot;/&gt;&lt;wsp:rsid wsp:val=&quot;00401F2D&quot;/&gt;&lt;wsp:rsid wsp:val=&quot;00402173&quot;/&gt;&lt;wsp:rsid wsp:val=&quot;004029E8&quot;/&gt;&lt;wsp:rsid wsp:val=&quot;00402A4B&quot;/&gt;&lt;wsp:rsid wsp:val=&quot;00402A54&quot;/&gt;&lt;wsp:rsid wsp:val=&quot;00402B34&quot;/&gt;&lt;wsp:rsid wsp:val=&quot;00402DBA&quot;/&gt;&lt;wsp:rsid wsp:val=&quot;00403211&quot;/&gt;&lt;wsp:rsid wsp:val=&quot;004032F8&quot;/&gt;&lt;wsp:rsid wsp:val=&quot;004035DA&quot;/&gt;&lt;wsp:rsid wsp:val=&quot;004035FC&quot;/&gt;&lt;wsp:rsid wsp:val=&quot;00403989&quot;/&gt;&lt;wsp:rsid wsp:val=&quot;00403A06&quot;/&gt;&lt;wsp:rsid wsp:val=&quot;00403AE7&quot;/&gt;&lt;wsp:rsid wsp:val=&quot;00403D7C&quot;/&gt;&lt;wsp:rsid wsp:val=&quot;00403F5B&quot;/&gt;&lt;wsp:rsid wsp:val=&quot;00403FF6&quot;/&gt;&lt;wsp:rsid wsp:val=&quot;00404140&quot;/&gt;&lt;wsp:rsid wsp:val=&quot;00404374&quot;/&gt;&lt;wsp:rsid wsp:val=&quot;00404718&quot;/&gt;&lt;wsp:rsid wsp:val=&quot;00404785&quot;/&gt;&lt;wsp:rsid wsp:val=&quot;004047D7&quot;/&gt;&lt;wsp:rsid wsp:val=&quot;004048E1&quot;/&gt;&lt;wsp:rsid wsp:val=&quot;00404942&quot;/&gt;&lt;wsp:rsid wsp:val=&quot;00404BCF&quot;/&gt;&lt;wsp:rsid wsp:val=&quot;00405333&quot;/&gt;&lt;wsp:rsid wsp:val=&quot;00405370&quot;/&gt;&lt;wsp:rsid wsp:val=&quot;0040537B&quot;/&gt;&lt;wsp:rsid wsp:val=&quot;00405389&quot;/&gt;&lt;wsp:rsid wsp:val=&quot;00405545&quot;/&gt;&lt;wsp:rsid wsp:val=&quot;004056FB&quot;/&gt;&lt;wsp:rsid wsp:val=&quot;004058DC&quot;/&gt;&lt;wsp:rsid wsp:val=&quot;00405A32&quot;/&gt;&lt;wsp:rsid wsp:val=&quot;00405CBA&quot;/&gt;&lt;wsp:rsid wsp:val=&quot;00405D7C&quot;/&gt;&lt;wsp:rsid wsp:val=&quot;00405F81&quot;/&gt;&lt;wsp:rsid wsp:val=&quot;00406462&quot;/&gt;&lt;wsp:rsid wsp:val=&quot;00406488&quot;/&gt;&lt;wsp:rsid wsp:val=&quot;004065EA&quot;/&gt;&lt;wsp:rsid wsp:val=&quot;0040680E&quot;/&gt;&lt;wsp:rsid wsp:val=&quot;00406857&quot;/&gt;&lt;wsp:rsid wsp:val=&quot;00406D1F&quot;/&gt;&lt;wsp:rsid wsp:val=&quot;00406D2A&quot;/&gt;&lt;wsp:rsid wsp:val=&quot;00406D40&quot;/&gt;&lt;wsp:rsid wsp:val=&quot;00406D48&quot;/&gt;&lt;wsp:rsid wsp:val=&quot;00407018&quot;/&gt;&lt;wsp:rsid wsp:val=&quot;004070B8&quot;/&gt;&lt;wsp:rsid wsp:val=&quot;004073AD&quot;/&gt;&lt;wsp:rsid wsp:val=&quot;00407803&quot;/&gt;&lt;wsp:rsid wsp:val=&quot;00407AEB&quot;/&gt;&lt;wsp:rsid wsp:val=&quot;00407C02&quot;/&gt;&lt;wsp:rsid wsp:val=&quot;00407D6C&quot;/&gt;&lt;wsp:rsid wsp:val=&quot;00410409&quot;/&gt;&lt;wsp:rsid wsp:val=&quot;004104D6&quot;/&gt;&lt;wsp:rsid wsp:val=&quot;004104FB&quot;/&gt;&lt;wsp:rsid wsp:val=&quot;004106C8&quot;/&gt;&lt;wsp:rsid wsp:val=&quot;00410B4F&quot;/&gt;&lt;wsp:rsid wsp:val=&quot;00410C54&quot;/&gt;&lt;wsp:rsid wsp:val=&quot;00410EDC&quot;/&gt;&lt;wsp:rsid wsp:val=&quot;00411305&quot;/&gt;&lt;wsp:rsid wsp:val=&quot;004113EB&quot;/&gt;&lt;wsp:rsid wsp:val=&quot;0041144A&quot;/&gt;&lt;wsp:rsid wsp:val=&quot;00411648&quot;/&gt;&lt;wsp:rsid wsp:val=&quot;00411671&quot;/&gt;&lt;wsp:rsid wsp:val=&quot;004118D6&quot;/&gt;&lt;wsp:rsid wsp:val=&quot;00411EC6&quot;/&gt;&lt;wsp:rsid wsp:val=&quot;00412042&quot;/&gt;&lt;wsp:rsid wsp:val=&quot;00412497&quot;/&gt;&lt;wsp:rsid wsp:val=&quot;0041256D&quot;/&gt;&lt;wsp:rsid wsp:val=&quot;00412B25&quot;/&gt;&lt;wsp:rsid wsp:val=&quot;00412CB5&quot;/&gt;&lt;wsp:rsid wsp:val=&quot;00412D40&quot;/&gt;&lt;wsp:rsid wsp:val=&quot;00412DED&quot;/&gt;&lt;wsp:rsid wsp:val=&quot;0041315D&quot;/&gt;&lt;wsp:rsid wsp:val=&quot;00413300&quot;/&gt;&lt;wsp:rsid wsp:val=&quot;00413905&quot;/&gt;&lt;wsp:rsid wsp:val=&quot;00414076&quot;/&gt;&lt;wsp:rsid wsp:val=&quot;004146D0&quot;/&gt;&lt;wsp:rsid wsp:val=&quot;004148D6&quot;/&gt;&lt;wsp:rsid wsp:val=&quot;004148DF&quot;/&gt;&lt;wsp:rsid wsp:val=&quot;00414C56&quot;/&gt;&lt;wsp:rsid wsp:val=&quot;00414F34&quot;/&gt;&lt;wsp:rsid wsp:val=&quot;0041508C&quot;/&gt;&lt;wsp:rsid wsp:val=&quot;00415644&quot;/&gt;&lt;wsp:rsid wsp:val=&quot;004157CE&quot;/&gt;&lt;wsp:rsid wsp:val=&quot;0041585E&quot;/&gt;&lt;wsp:rsid wsp:val=&quot;00415B5F&quot;/&gt;&lt;wsp:rsid wsp:val=&quot;00415B75&quot;/&gt;&lt;wsp:rsid wsp:val=&quot;00415F6D&quot;/&gt;&lt;wsp:rsid wsp:val=&quot;00416512&quot;/&gt;&lt;wsp:rsid wsp:val=&quot;00416648&quot;/&gt;&lt;wsp:rsid wsp:val=&quot;00416683&quot;/&gt;&lt;wsp:rsid wsp:val=&quot;0041684A&quot;/&gt;&lt;wsp:rsid wsp:val=&quot;004169FA&quot;/&gt;&lt;wsp:rsid wsp:val=&quot;00416B95&quot;/&gt;&lt;wsp:rsid wsp:val=&quot;00416BC9&quot;/&gt;&lt;wsp:rsid wsp:val=&quot;00416C87&quot;/&gt;&lt;wsp:rsid wsp:val=&quot;004170B6&quot;/&gt;&lt;wsp:rsid wsp:val=&quot;004171F7&quot;/&gt;&lt;wsp:rsid wsp:val=&quot;00417224&quot;/&gt;&lt;wsp:rsid wsp:val=&quot;00417240&quot;/&gt;&lt;wsp:rsid wsp:val=&quot;00417348&quot;/&gt;&lt;wsp:rsid wsp:val=&quot;00417470&quot;/&gt;&lt;wsp:rsid wsp:val=&quot;004179C8&quot;/&gt;&lt;wsp:rsid wsp:val=&quot;00417AFF&quot;/&gt;&lt;wsp:rsid wsp:val=&quot;00417C3B&quot;/&gt;&lt;wsp:rsid wsp:val=&quot;00420052&quot;/&gt;&lt;wsp:rsid wsp:val=&quot;004204B4&quot;/&gt;&lt;wsp:rsid wsp:val=&quot;0042055F&quot;/&gt;&lt;wsp:rsid wsp:val=&quot;00420951&quot;/&gt;&lt;wsp:rsid wsp:val=&quot;00420A35&quot;/&gt;&lt;wsp:rsid wsp:val=&quot;00420B5C&quot;/&gt;&lt;wsp:rsid wsp:val=&quot;00420CBF&quot;/&gt;&lt;wsp:rsid wsp:val=&quot;00421178&quot;/&gt;&lt;wsp:rsid wsp:val=&quot;004211CA&quot;/&gt;&lt;wsp:rsid wsp:val=&quot;004214B1&quot;/&gt;&lt;wsp:rsid wsp:val=&quot;00421867&quot;/&gt;&lt;wsp:rsid wsp:val=&quot;0042187B&quot;/&gt;&lt;wsp:rsid wsp:val=&quot;00421969&quot;/&gt;&lt;wsp:rsid wsp:val=&quot;00421E25&quot;/&gt;&lt;wsp:rsid wsp:val=&quot;004222BC&quot;/&gt;&lt;wsp:rsid wsp:val=&quot;0042246F&quot;/&gt;&lt;wsp:rsid wsp:val=&quot;0042254A&quot;/&gt;&lt;wsp:rsid wsp:val=&quot;004226C6&quot;/&gt;&lt;wsp:rsid wsp:val=&quot;00423131&quot;/&gt;&lt;wsp:rsid wsp:val=&quot;004231CD&quot;/&gt;&lt;wsp:rsid wsp:val=&quot;0042336E&quot;/&gt;&lt;wsp:rsid wsp:val=&quot;004235E3&quot;/&gt;&lt;wsp:rsid wsp:val=&quot;0042363D&quot;/&gt;&lt;wsp:rsid wsp:val=&quot;004239C9&quot;/&gt;&lt;wsp:rsid wsp:val=&quot;00423A53&quot;/&gt;&lt;wsp:rsid wsp:val=&quot;00423A76&quot;/&gt;&lt;wsp:rsid wsp:val=&quot;00423D50&quot;/&gt;&lt;wsp:rsid wsp:val=&quot;004241ED&quot;/&gt;&lt;wsp:rsid wsp:val=&quot;00424519&quot;/&gt;&lt;wsp:rsid wsp:val=&quot;0042456A&quot;/&gt;&lt;wsp:rsid wsp:val=&quot;004245B7&quot;/&gt;&lt;wsp:rsid wsp:val=&quot;004245FB&quot;/&gt;&lt;wsp:rsid wsp:val=&quot;004246BC&quot;/&gt;&lt;wsp:rsid wsp:val=&quot;00424963&quot;/&gt;&lt;wsp:rsid wsp:val=&quot;00424B64&quot;/&gt;&lt;wsp:rsid wsp:val=&quot;00424C00&quot;/&gt;&lt;wsp:rsid wsp:val=&quot;00424C21&quot;/&gt;&lt;wsp:rsid wsp:val=&quot;00424D0D&quot;/&gt;&lt;wsp:rsid wsp:val=&quot;00424DD2&quot;/&gt;&lt;wsp:rsid wsp:val=&quot;00425094&quot;/&gt;&lt;wsp:rsid wsp:val=&quot;0042515C&quot;/&gt;&lt;wsp:rsid wsp:val=&quot;00425270&quot;/&gt;&lt;wsp:rsid wsp:val=&quot;004253EE&quot;/&gt;&lt;wsp:rsid wsp:val=&quot;0042541A&quot;/&gt;&lt;wsp:rsid wsp:val=&quot;0042550D&quot;/&gt;&lt;wsp:rsid wsp:val=&quot;00425A02&quot;/&gt;&lt;wsp:rsid wsp:val=&quot;00425A50&quot;/&gt;&lt;wsp:rsid wsp:val=&quot;00425C7D&quot;/&gt;&lt;wsp:rsid wsp:val=&quot;00425D5A&quot;/&gt;&lt;wsp:rsid wsp:val=&quot;00425D68&quot;/&gt;&lt;wsp:rsid wsp:val=&quot;00425F14&quot;/&gt;&lt;wsp:rsid wsp:val=&quot;0042624D&quot;/&gt;&lt;wsp:rsid wsp:val=&quot;00426315&quot;/&gt;&lt;wsp:rsid wsp:val=&quot;0042638F&quot;/&gt;&lt;wsp:rsid wsp:val=&quot;00426442&quot;/&gt;&lt;wsp:rsid wsp:val=&quot;00426BBD&quot;/&gt;&lt;wsp:rsid wsp:val=&quot;0042709C&quot;/&gt;&lt;wsp:rsid wsp:val=&quot;00427296&quot;/&gt;&lt;wsp:rsid wsp:val=&quot;004272FB&quot;/&gt;&lt;wsp:rsid wsp:val=&quot;004275BB&quot;/&gt;&lt;wsp:rsid wsp:val=&quot;0042772A&quot;/&gt;&lt;wsp:rsid wsp:val=&quot;0042774D&quot;/&gt;&lt;wsp:rsid wsp:val=&quot;00427884&quot;/&gt;&lt;wsp:rsid wsp:val=&quot;004278BD&quot;/&gt;&lt;wsp:rsid wsp:val=&quot;004278DF&quot;/&gt;&lt;wsp:rsid wsp:val=&quot;00427AD1&quot;/&gt;&lt;wsp:rsid wsp:val=&quot;00427C47&quot;/&gt;&lt;wsp:rsid wsp:val=&quot;00427FF2&quot;/&gt;&lt;wsp:rsid wsp:val=&quot;00430229&quot;/&gt;&lt;wsp:rsid wsp:val=&quot;004306C2&quot;/&gt;&lt;wsp:rsid wsp:val=&quot;00430A2D&quot;/&gt;&lt;wsp:rsid wsp:val=&quot;00430A79&quot;/&gt;&lt;wsp:rsid wsp:val=&quot;00430AC3&quot;/&gt;&lt;wsp:rsid wsp:val=&quot;00430AD8&quot;/&gt;&lt;wsp:rsid wsp:val=&quot;00430C3C&quot;/&gt;&lt;wsp:rsid wsp:val=&quot;00430DFB&quot;/&gt;&lt;wsp:rsid wsp:val=&quot;00430F78&quot;/&gt;&lt;wsp:rsid wsp:val=&quot;00431236&quot;/&gt;&lt;wsp:rsid wsp:val=&quot;0043148D&quot;/&gt;&lt;wsp:rsid wsp:val=&quot;00431673&quot;/&gt;&lt;wsp:rsid wsp:val=&quot;004318EE&quot;/&gt;&lt;wsp:rsid wsp:val=&quot;004319E4&quot;/&gt;&lt;wsp:rsid wsp:val=&quot;00431CC5&quot;/&gt;&lt;wsp:rsid wsp:val=&quot;00431DD2&quot;/&gt;&lt;wsp:rsid wsp:val=&quot;00431E2E&quot;/&gt;&lt;wsp:rsid wsp:val=&quot;00431F8A&quot;/&gt;&lt;wsp:rsid wsp:val=&quot;00431FA0&quot;/&gt;&lt;wsp:rsid wsp:val=&quot;0043222A&quot;/&gt;&lt;wsp:rsid wsp:val=&quot;004322EB&quot;/&gt;&lt;wsp:rsid wsp:val=&quot;004323FF&quot;/&gt;&lt;wsp:rsid wsp:val=&quot;0043244D&quot;/&gt;&lt;wsp:rsid wsp:val=&quot;004324BD&quot;/&gt;&lt;wsp:rsid wsp:val=&quot;0043254D&quot;/&gt;&lt;wsp:rsid wsp:val=&quot;004325EA&quot;/&gt;&lt;wsp:rsid wsp:val=&quot;004326D5&quot;/&gt;&lt;wsp:rsid wsp:val=&quot;004326EC&quot;/&gt;&lt;wsp:rsid wsp:val=&quot;0043276E&quot;/&gt;&lt;wsp:rsid wsp:val=&quot;00432D2C&quot;/&gt;&lt;wsp:rsid wsp:val=&quot;00432E30&quot;/&gt;&lt;wsp:rsid wsp:val=&quot;004331BD&quot;/&gt;&lt;wsp:rsid wsp:val=&quot;004331ED&quot;/&gt;&lt;wsp:rsid wsp:val=&quot;0043324B&quot;/&gt;&lt;wsp:rsid wsp:val=&quot;004334CF&quot;/&gt;&lt;wsp:rsid wsp:val=&quot;004335A1&quot;/&gt;&lt;wsp:rsid wsp:val=&quot;0043367D&quot;/&gt;&lt;wsp:rsid wsp:val=&quot;00433811&quot;/&gt;&lt;wsp:rsid wsp:val=&quot;004339FF&quot;/&gt;&lt;wsp:rsid wsp:val=&quot;00433B61&quot;/&gt;&lt;wsp:rsid wsp:val=&quot;00433BB2&quot;/&gt;&lt;wsp:rsid wsp:val=&quot;00433F2F&quot;/&gt;&lt;wsp:rsid wsp:val=&quot;00434380&quot;/&gt;&lt;wsp:rsid wsp:val=&quot;004349E6&quot;/&gt;&lt;wsp:rsid wsp:val=&quot;00434A4B&quot;/&gt;&lt;wsp:rsid wsp:val=&quot;00434B67&quot;/&gt;&lt;wsp:rsid wsp:val=&quot;00434B96&quot;/&gt;&lt;wsp:rsid wsp:val=&quot;0043500A&quot;/&gt;&lt;wsp:rsid wsp:val=&quot;004354F4&quot;/&gt;&lt;wsp:rsid wsp:val=&quot;004357EE&quot;/&gt;&lt;wsp:rsid wsp:val=&quot;004357F2&quot;/&gt;&lt;wsp:rsid wsp:val=&quot;00435A48&quot;/&gt;&lt;wsp:rsid wsp:val=&quot;004363D9&quot;/&gt;&lt;wsp:rsid wsp:val=&quot;00436401&quot;/&gt;&lt;wsp:rsid wsp:val=&quot;00436468&quot;/&gt;&lt;wsp:rsid wsp:val=&quot;004365AD&quot;/&gt;&lt;wsp:rsid wsp:val=&quot;0043684B&quot;/&gt;&lt;wsp:rsid wsp:val=&quot;00436874&quot;/&gt;&lt;wsp:rsid wsp:val=&quot;004368FF&quot;/&gt;&lt;wsp:rsid wsp:val=&quot;00436A82&quot;/&gt;&lt;wsp:rsid wsp:val=&quot;00436E0F&quot;/&gt;&lt;wsp:rsid wsp:val=&quot;00436FB0&quot;/&gt;&lt;wsp:rsid wsp:val=&quot;004374F4&quot;/&gt;&lt;wsp:rsid wsp:val=&quot;004376F9&quot;/&gt;&lt;wsp:rsid wsp:val=&quot;004377DE&quot;/&gt;&lt;wsp:rsid wsp:val=&quot;00440001&quot;/&gt;&lt;wsp:rsid wsp:val=&quot;0044045C&quot;/&gt;&lt;wsp:rsid wsp:val=&quot;004404E9&quot;/&gt;&lt;wsp:rsid wsp:val=&quot;004407B3&quot;/&gt;&lt;wsp:rsid wsp:val=&quot;00440BB3&quot;/&gt;&lt;wsp:rsid wsp:val=&quot;00440CE6&quot;/&gt;&lt;wsp:rsid wsp:val=&quot;00440D82&quot;/&gt;&lt;wsp:rsid wsp:val=&quot;00440DDC&quot;/&gt;&lt;wsp:rsid wsp:val=&quot;00440E13&quot;/&gt;&lt;wsp:rsid wsp:val=&quot;004410DC&quot;/&gt;&lt;wsp:rsid wsp:val=&quot;0044116C&quot;/&gt;&lt;wsp:rsid wsp:val=&quot;0044147F&quot;/&gt;&lt;wsp:rsid wsp:val=&quot;0044150D&quot;/&gt;&lt;wsp:rsid wsp:val=&quot;00441C7E&quot;/&gt;&lt;wsp:rsid wsp:val=&quot;0044209A&quot;/&gt;&lt;wsp:rsid wsp:val=&quot;00442242&quot;/&gt;&lt;wsp:rsid wsp:val=&quot;0044234C&quot;/&gt;&lt;wsp:rsid wsp:val=&quot;004424EF&quot;/&gt;&lt;wsp:rsid wsp:val=&quot;00442D56&quot;/&gt;&lt;wsp:rsid wsp:val=&quot;004431DD&quot;/&gt;&lt;wsp:rsid wsp:val=&quot;00443582&quot;/&gt;&lt;wsp:rsid wsp:val=&quot;004436DD&quot;/&gt;&lt;wsp:rsid wsp:val=&quot;00443908&quot;/&gt;&lt;wsp:rsid wsp:val=&quot;004439BE&quot;/&gt;&lt;wsp:rsid wsp:val=&quot;004439E7&quot;/&gt;&lt;wsp:rsid wsp:val=&quot;00443AC4&quot;/&gt;&lt;wsp:rsid wsp:val=&quot;00443EDD&quot;/&gt;&lt;wsp:rsid wsp:val=&quot;00444072&quot;/&gt;&lt;wsp:rsid wsp:val=&quot;00444292&quot;/&gt;&lt;wsp:rsid wsp:val=&quot;004443A0&quot;/&gt;&lt;wsp:rsid wsp:val=&quot;00444592&quot;/&gt;&lt;wsp:rsid wsp:val=&quot;0044469A&quot;/&gt;&lt;wsp:rsid wsp:val=&quot;00444827&quot;/&gt;&lt;wsp:rsid wsp:val=&quot;004448AF&quot;/&gt;&lt;wsp:rsid wsp:val=&quot;00444AD4&quot;/&gt;&lt;wsp:rsid wsp:val=&quot;00444C5E&quot;/&gt;&lt;wsp:rsid wsp:val=&quot;00444D33&quot;/&gt;&lt;wsp:rsid wsp:val=&quot;00444E05&quot;/&gt;&lt;wsp:rsid wsp:val=&quot;00445196&quot;/&gt;&lt;wsp:rsid wsp:val=&quot;004454F8&quot;/&gt;&lt;wsp:rsid wsp:val=&quot;00445588&quot;/&gt;&lt;wsp:rsid wsp:val=&quot;00445757&quot;/&gt;&lt;wsp:rsid wsp:val=&quot;00445A88&quot;/&gt;&lt;wsp:rsid wsp:val=&quot;00445C1F&quot;/&gt;&lt;wsp:rsid wsp:val=&quot;00445C93&quot;/&gt;&lt;wsp:rsid wsp:val=&quot;0044675B&quot;/&gt;&lt;wsp:rsid wsp:val=&quot;00446D0D&quot;/&gt;&lt;wsp:rsid wsp:val=&quot;00446D4A&quot;/&gt;&lt;wsp:rsid wsp:val=&quot;00446FBA&quot;/&gt;&lt;wsp:rsid wsp:val=&quot;0044705D&quot;/&gt;&lt;wsp:rsid wsp:val=&quot;004474D4&quot;/&gt;&lt;wsp:rsid wsp:val=&quot;00447698&quot;/&gt;&lt;wsp:rsid wsp:val=&quot;00447751&quot;/&gt;&lt;wsp:rsid wsp:val=&quot;00447E08&quot;/&gt;&lt;wsp:rsid wsp:val=&quot;00450040&quot;/&gt;&lt;wsp:rsid wsp:val=&quot;004505D3&quot;/&gt;&lt;wsp:rsid wsp:val=&quot;004505F9&quot;/&gt;&lt;wsp:rsid wsp:val=&quot;004509F2&quot;/&gt;&lt;wsp:rsid wsp:val=&quot;00450F8A&quot;/&gt;&lt;wsp:rsid wsp:val=&quot;004510BF&quot;/&gt;&lt;wsp:rsid wsp:val=&quot;004510CB&quot;/&gt;&lt;wsp:rsid wsp:val=&quot;00451182&quot;/&gt;&lt;wsp:rsid wsp:val=&quot;004515FE&quot;/&gt;&lt;wsp:rsid wsp:val=&quot;00451673&quot;/&gt;&lt;wsp:rsid wsp:val=&quot;00451978&quot;/&gt;&lt;wsp:rsid wsp:val=&quot;004519AB&quot;/&gt;&lt;wsp:rsid wsp:val=&quot;00451ACB&quot;/&gt;&lt;wsp:rsid wsp:val=&quot;00451C05&quot;/&gt;&lt;wsp:rsid wsp:val=&quot;00451C7B&quot;/&gt;&lt;wsp:rsid wsp:val=&quot;00452234&quot;/&gt;&lt;wsp:rsid wsp:val=&quot;00452505&quot;/&gt;&lt;wsp:rsid wsp:val=&quot;0045258B&quot;/&gt;&lt;wsp:rsid wsp:val=&quot;00452637&quot;/&gt;&lt;wsp:rsid wsp:val=&quot;004529E4&quot;/&gt;&lt;wsp:rsid wsp:val=&quot;00452A5A&quot;/&gt;&lt;wsp:rsid wsp:val=&quot;00452D34&quot;/&gt;&lt;wsp:rsid wsp:val=&quot;00452D76&quot;/&gt;&lt;wsp:rsid wsp:val=&quot;00452E5B&quot;/&gt;&lt;wsp:rsid wsp:val=&quot;00452E64&quot;/&gt;&lt;wsp:rsid wsp:val=&quot;00453158&quot;/&gt;&lt;wsp:rsid wsp:val=&quot;0045343A&quot;/&gt;&lt;wsp:rsid wsp:val=&quot;004534AC&quot;/&gt;&lt;wsp:rsid wsp:val=&quot;00453874&quot;/&gt;&lt;wsp:rsid wsp:val=&quot;00453D1F&quot;/&gt;&lt;wsp:rsid wsp:val=&quot;00453D34&quot;/&gt;&lt;wsp:rsid wsp:val=&quot;00453EB2&quot;/&gt;&lt;wsp:rsid wsp:val=&quot;00453F5B&quot;/&gt;&lt;wsp:rsid wsp:val=&quot;00453FFC&quot;/&gt;&lt;wsp:rsid wsp:val=&quot;0045413A&quot;/&gt;&lt;wsp:rsid wsp:val=&quot;004543DF&quot;/&gt;&lt;wsp:rsid wsp:val=&quot;00454804&quot;/&gt;&lt;wsp:rsid wsp:val=&quot;00454873&quot;/&gt;&lt;wsp:rsid wsp:val=&quot;004549A3&quot;/&gt;&lt;wsp:rsid wsp:val=&quot;00454A04&quot;/&gt;&lt;wsp:rsid wsp:val=&quot;00454BD6&quot;/&gt;&lt;wsp:rsid wsp:val=&quot;00454C04&quot;/&gt;&lt;wsp:rsid wsp:val=&quot;00454DC7&quot;/&gt;&lt;wsp:rsid wsp:val=&quot;0045509C&quot;/&gt;&lt;wsp:rsid wsp:val=&quot;00455200&quot;/&gt;&lt;wsp:rsid wsp:val=&quot;0045532E&quot;/&gt;&lt;wsp:rsid wsp:val=&quot;00455344&quot;/&gt;&lt;wsp:rsid wsp:val=&quot;004555B2&quot;/&gt;&lt;wsp:rsid wsp:val=&quot;004557EA&quot;/&gt;&lt;wsp:rsid wsp:val=&quot;0045586D&quot;/&gt;&lt;wsp:rsid wsp:val=&quot;004558F2&quot;/&gt;&lt;wsp:rsid wsp:val=&quot;00455993&quot;/&gt;&lt;wsp:rsid wsp:val=&quot;004559AC&quot;/&gt;&lt;wsp:rsid wsp:val=&quot;00455AC7&quot;/&gt;&lt;wsp:rsid wsp:val=&quot;00455C69&quot;/&gt;&lt;wsp:rsid wsp:val=&quot;00455DC9&quot;/&gt;&lt;wsp:rsid wsp:val=&quot;00456410&quot;/&gt;&lt;wsp:rsid wsp:val=&quot;00456505&quot;/&gt;&lt;wsp:rsid wsp:val=&quot;0045656E&quot;/&gt;&lt;wsp:rsid wsp:val=&quot;004567B8&quot;/&gt;&lt;wsp:rsid wsp:val=&quot;004567F0&quot;/&gt;&lt;wsp:rsid wsp:val=&quot;00456877&quot;/&gt;&lt;wsp:rsid wsp:val=&quot;00456A4B&quot;/&gt;&lt;wsp:rsid wsp:val=&quot;00456AA6&quot;/&gt;&lt;wsp:rsid wsp:val=&quot;004572CF&quot;/&gt;&lt;wsp:rsid wsp:val=&quot;0045747B&quot;/&gt;&lt;wsp:rsid wsp:val=&quot;0045760A&quot;/&gt;&lt;wsp:rsid wsp:val=&quot;00457925&quot;/&gt;&lt;wsp:rsid wsp:val=&quot;00457962&quot;/&gt;&lt;wsp:rsid wsp:val=&quot;004579F9&quot;/&gt;&lt;wsp:rsid wsp:val=&quot;00457B3F&quot;/&gt;&lt;wsp:rsid wsp:val=&quot;00457C0E&quot;/&gt;&lt;wsp:rsid wsp:val=&quot;00457CD3&quot;/&gt;&lt;wsp:rsid wsp:val=&quot;00457F43&quot;/&gt;&lt;wsp:rsid wsp:val=&quot;004603AE&quot;/&gt;&lt;wsp:rsid wsp:val=&quot;00460594&quot;/&gt;&lt;wsp:rsid wsp:val=&quot;00460B11&quot;/&gt;&lt;wsp:rsid wsp:val=&quot;00460C32&quot;/&gt;&lt;wsp:rsid wsp:val=&quot;00460C3F&quot;/&gt;&lt;wsp:rsid wsp:val=&quot;00460D38&quot;/&gt;&lt;wsp:rsid wsp:val=&quot;004613D0&quot;/&gt;&lt;wsp:rsid wsp:val=&quot;0046142A&quot;/&gt;&lt;wsp:rsid wsp:val=&quot;0046150F&quot;/&gt;&lt;wsp:rsid wsp:val=&quot;00461985&quot;/&gt;&lt;wsp:rsid wsp:val=&quot;00461A5F&quot;/&gt;&lt;wsp:rsid wsp:val=&quot;00461DD2&quot;/&gt;&lt;wsp:rsid wsp:val=&quot;00462120&quot;/&gt;&lt;wsp:rsid wsp:val=&quot;0046212E&quot;/&gt;&lt;wsp:rsid wsp:val=&quot;00462273&quot;/&gt;&lt;wsp:rsid wsp:val=&quot;004624C3&quot;/&gt;&lt;wsp:rsid wsp:val=&quot;0046268E&quot;/&gt;&lt;wsp:rsid wsp:val=&quot;00462762&quot;/&gt;&lt;wsp:rsid wsp:val=&quot;0046278B&quot;/&gt;&lt;wsp:rsid wsp:val=&quot;004627ED&quot;/&gt;&lt;wsp:rsid wsp:val=&quot;00462944&quot;/&gt;&lt;wsp:rsid wsp:val=&quot;00462A86&quot;/&gt;&lt;wsp:rsid wsp:val=&quot;00462CD7&quot;/&gt;&lt;wsp:rsid wsp:val=&quot;00462EAE&quot;/&gt;&lt;wsp:rsid wsp:val=&quot;00462F83&quot;/&gt;&lt;wsp:rsid wsp:val=&quot;004635DE&quot;/&gt;&lt;wsp:rsid wsp:val=&quot;00463675&quot;/&gt;&lt;wsp:rsid wsp:val=&quot;0046383D&quot;/&gt;&lt;wsp:rsid wsp:val=&quot;00463BA5&quot;/&gt;&lt;wsp:rsid wsp:val=&quot;00463C41&quot;/&gt;&lt;wsp:rsid wsp:val=&quot;00463C6B&quot;/&gt;&lt;wsp:rsid wsp:val=&quot;004644FA&quot;/&gt;&lt;wsp:rsid wsp:val=&quot;0046479B&quot;/&gt;&lt;wsp:rsid wsp:val=&quot;00464D6F&quot;/&gt;&lt;wsp:rsid wsp:val=&quot;00464E0B&quot;/&gt;&lt;wsp:rsid wsp:val=&quot;0046550B&quot;/&gt;&lt;wsp:rsid wsp:val=&quot;00465665&quot;/&gt;&lt;wsp:rsid wsp:val=&quot;00465B12&quot;/&gt;&lt;wsp:rsid wsp:val=&quot;00465BB9&quot;/&gt;&lt;wsp:rsid wsp:val=&quot;00465D41&quot;/&gt;&lt;wsp:rsid wsp:val=&quot;00465E9C&quot;/&gt;&lt;wsp:rsid wsp:val=&quot;00465EA2&quot;/&gt;&lt;wsp:rsid wsp:val=&quot;00466115&quot;/&gt;&lt;wsp:rsid wsp:val=&quot;004662A3&quot;/&gt;&lt;wsp:rsid wsp:val=&quot;004667D1&quot;/&gt;&lt;wsp:rsid wsp:val=&quot;0046688F&quot;/&gt;&lt;wsp:rsid wsp:val=&quot;00466D1A&quot;/&gt;&lt;wsp:rsid wsp:val=&quot;00467262&quot;/&gt;&lt;wsp:rsid wsp:val=&quot;0046729A&quot;/&gt;&lt;wsp:rsid wsp:val=&quot;004672A6&quot;/&gt;&lt;wsp:rsid wsp:val=&quot;004672F9&quot;/&gt;&lt;wsp:rsid wsp:val=&quot;004673F8&quot;/&gt;&lt;wsp:rsid wsp:val=&quot;004674A1&quot;/&gt;&lt;wsp:rsid wsp:val=&quot;004678A5&quot;/&gt;&lt;wsp:rsid wsp:val=&quot;004679B6&quot;/&gt;&lt;wsp:rsid wsp:val=&quot;00467C56&quot;/&gt;&lt;wsp:rsid wsp:val=&quot;0047054D&quot;/&gt;&lt;wsp:rsid wsp:val=&quot;00470586&quot;/&gt;&lt;wsp:rsid wsp:val=&quot;004709D9&quot;/&gt;&lt;wsp:rsid wsp:val=&quot;00471AE1&quot;/&gt;&lt;wsp:rsid wsp:val=&quot;00471D8D&quot;/&gt;&lt;wsp:rsid wsp:val=&quot;00471DC5&quot;/&gt;&lt;wsp:rsid wsp:val=&quot;00471E91&quot;/&gt;&lt;wsp:rsid wsp:val=&quot;004722C7&quot;/&gt;&lt;wsp:rsid wsp:val=&quot;00472316&quot;/&gt;&lt;wsp:rsid wsp:val=&quot;004724E6&quot;/&gt;&lt;wsp:rsid wsp:val=&quot;004727D5&quot;/&gt;&lt;wsp:rsid wsp:val=&quot;004733C6&quot;/&gt;&lt;wsp:rsid wsp:val=&quot;004734CE&quot;/&gt;&lt;wsp:rsid wsp:val=&quot;004734FC&quot;/&gt;&lt;wsp:rsid wsp:val=&quot;0047361B&quot;/&gt;&lt;wsp:rsid wsp:val=&quot;00473752&quot;/&gt;&lt;wsp:rsid wsp:val=&quot;004738DC&quot;/&gt;&lt;wsp:rsid wsp:val=&quot;004738F1&quot;/&gt;&lt;wsp:rsid wsp:val=&quot;00473CBC&quot;/&gt;&lt;wsp:rsid wsp:val=&quot;00473F84&quot;/&gt;&lt;wsp:rsid wsp:val=&quot;00473F8F&quot;/&gt;&lt;wsp:rsid wsp:val=&quot;0047404B&quot;/&gt;&lt;wsp:rsid wsp:val=&quot;00474230&quot;/&gt;&lt;wsp:rsid wsp:val=&quot;00474404&quot;/&gt;&lt;wsp:rsid wsp:val=&quot;0047471D&quot;/&gt;&lt;wsp:rsid wsp:val=&quot;004748CA&quot;/&gt;&lt;wsp:rsid wsp:val=&quot;00474BE4&quot;/&gt;&lt;wsp:rsid wsp:val=&quot;00474CF3&quot;/&gt;&lt;wsp:rsid wsp:val=&quot;00475579&quot;/&gt;&lt;wsp:rsid wsp:val=&quot;004755BB&quot;/&gt;&lt;wsp:rsid wsp:val=&quot;0047573D&quot;/&gt;&lt;wsp:rsid wsp:val=&quot;0047634C&quot;/&gt;&lt;wsp:rsid wsp:val=&quot;00476581&quot;/&gt;&lt;wsp:rsid wsp:val=&quot;00476702&quot;/&gt;&lt;wsp:rsid wsp:val=&quot;00476960&quot;/&gt;&lt;wsp:rsid wsp:val=&quot;00476A17&quot;/&gt;&lt;wsp:rsid wsp:val=&quot;00476EBD&quot;/&gt;&lt;wsp:rsid wsp:val=&quot;00476FC7&quot;/&gt;&lt;wsp:rsid wsp:val=&quot;00477314&quot;/&gt;&lt;wsp:rsid wsp:val=&quot;0047742D&quot;/&gt;&lt;wsp:rsid wsp:val=&quot;004777BD&quot;/&gt;&lt;wsp:rsid wsp:val=&quot;0048018A&quot;/&gt;&lt;wsp:rsid wsp:val=&quot;004802F4&quot;/&gt;&lt;wsp:rsid wsp:val=&quot;0048037E&quot;/&gt;&lt;wsp:rsid wsp:val=&quot;00480D16&quot;/&gt;&lt;wsp:rsid wsp:val=&quot;00481073&quot;/&gt;&lt;wsp:rsid wsp:val=&quot;004811E9&quot;/&gt;&lt;wsp:rsid wsp:val=&quot;00481473&quot;/&gt;&lt;wsp:rsid wsp:val=&quot;004815D0&quot;/&gt;&lt;wsp:rsid wsp:val=&quot;00481707&quot;/&gt;&lt;wsp:rsid wsp:val=&quot;00481778&quot;/&gt;&lt;wsp:rsid wsp:val=&quot;00481902&quot;/&gt;&lt;wsp:rsid wsp:val=&quot;00481E47&quot;/&gt;&lt;wsp:rsid wsp:val=&quot;00481E66&quot;/&gt;&lt;wsp:rsid wsp:val=&quot;004822A5&quot;/&gt;&lt;wsp:rsid wsp:val=&quot;00482454&quot;/&gt;&lt;wsp:rsid wsp:val=&quot;004825B4&quot;/&gt;&lt;wsp:rsid wsp:val=&quot;00482600&quot;/&gt;&lt;wsp:rsid wsp:val=&quot;00482659&quot;/&gt;&lt;wsp:rsid wsp:val=&quot;00482734&quot;/&gt;&lt;wsp:rsid wsp:val=&quot;004828AA&quot;/&gt;&lt;wsp:rsid wsp:val=&quot;00482BDF&quot;/&gt;&lt;wsp:rsid wsp:val=&quot;00482C1B&quot;/&gt;&lt;wsp:rsid wsp:val=&quot;00482C27&quot;/&gt;&lt;wsp:rsid wsp:val=&quot;00482C58&quot;/&gt;&lt;wsp:rsid wsp:val=&quot;004835CC&quot;/&gt;&lt;wsp:rsid wsp:val=&quot;004836FA&quot;/&gt;&lt;wsp:rsid wsp:val=&quot;00483DA3&quot;/&gt;&lt;wsp:rsid wsp:val=&quot;00484195&quot;/&gt;&lt;wsp:rsid wsp:val=&quot;004843CE&quot;/&gt;&lt;wsp:rsid wsp:val=&quot;0048453B&quot;/&gt;&lt;wsp:rsid wsp:val=&quot;004846CE&quot;/&gt;&lt;wsp:rsid wsp:val=&quot;00484733&quot;/&gt;&lt;wsp:rsid wsp:val=&quot;0048475C&quot;/&gt;&lt;wsp:rsid wsp:val=&quot;0048482A&quot;/&gt;&lt;wsp:rsid wsp:val=&quot;0048492E&quot;/&gt;&lt;wsp:rsid wsp:val=&quot;004849E9&quot;/&gt;&lt;wsp:rsid wsp:val=&quot;00484B07&quot;/&gt;&lt;wsp:rsid wsp:val=&quot;00484DC1&quot;/&gt;&lt;wsp:rsid wsp:val=&quot;00485177&quot;/&gt;&lt;wsp:rsid wsp:val=&quot;00485559&quot;/&gt;&lt;wsp:rsid wsp:val=&quot;00485883&quot;/&gt;&lt;wsp:rsid wsp:val=&quot;00485A30&quot;/&gt;&lt;wsp:rsid wsp:val=&quot;00485C89&quot;/&gt;&lt;wsp:rsid wsp:val=&quot;00485D3B&quot;/&gt;&lt;wsp:rsid wsp:val=&quot;00485E8F&quot;/&gt;&lt;wsp:rsid wsp:val=&quot;00486428&quot;/&gt;&lt;wsp:rsid wsp:val=&quot;004865E0&quot;/&gt;&lt;wsp:rsid wsp:val=&quot;00486853&quot;/&gt;&lt;wsp:rsid wsp:val=&quot;00486860&quot;/&gt;&lt;wsp:rsid wsp:val=&quot;004869F6&quot;/&gt;&lt;wsp:rsid wsp:val=&quot;004872F5&quot;/&gt;&lt;wsp:rsid wsp:val=&quot;0048752B&quot;/&gt;&lt;wsp:rsid wsp:val=&quot;00487611&quot;/&gt;&lt;wsp:rsid wsp:val=&quot;00487722&quot;/&gt;&lt;wsp:rsid wsp:val=&quot;00487899&quot;/&gt;&lt;wsp:rsid wsp:val=&quot;00487BEB&quot;/&gt;&lt;wsp:rsid wsp:val=&quot;00487E99&quot;/&gt;&lt;wsp:rsid wsp:val=&quot;00487FDC&quot;/&gt;&lt;wsp:rsid wsp:val=&quot;0049009C&quot;/&gt;&lt;wsp:rsid wsp:val=&quot;004900CE&quot;/&gt;&lt;wsp:rsid wsp:val=&quot;004902D4&quot;/&gt;&lt;wsp:rsid wsp:val=&quot;004907F9&quot;/&gt;&lt;wsp:rsid wsp:val=&quot;004908DB&quot;/&gt;&lt;wsp:rsid wsp:val=&quot;00490A8A&quot;/&gt;&lt;wsp:rsid wsp:val=&quot;00490A9B&quot;/&gt;&lt;wsp:rsid wsp:val=&quot;00490C6B&quot;/&gt;&lt;wsp:rsid wsp:val=&quot;00490CAA&quot;/&gt;&lt;wsp:rsid wsp:val=&quot;0049108B&quot;/&gt;&lt;wsp:rsid wsp:val=&quot;004911E7&quot;/&gt;&lt;wsp:rsid wsp:val=&quot;004915EB&quot;/&gt;&lt;wsp:rsid wsp:val=&quot;00491819&quot;/&gt;&lt;wsp:rsid wsp:val=&quot;00491D4E&quot;/&gt;&lt;wsp:rsid wsp:val=&quot;00491E06&quot;/&gt;&lt;wsp:rsid wsp:val=&quot;00492120&quot;/&gt;&lt;wsp:rsid wsp:val=&quot;004927DD&quot;/&gt;&lt;wsp:rsid wsp:val=&quot;00492A46&quot;/&gt;&lt;wsp:rsid wsp:val=&quot;00492A97&quot;/&gt;&lt;wsp:rsid wsp:val=&quot;00492F1D&quot;/&gt;&lt;wsp:rsid wsp:val=&quot;004933D6&quot;/&gt;&lt;wsp:rsid wsp:val=&quot;0049358F&quot;/&gt;&lt;wsp:rsid wsp:val=&quot;00493592&quot;/&gt;&lt;wsp:rsid wsp:val=&quot;00493614&quot;/&gt;&lt;wsp:rsid wsp:val=&quot;004940AE&quot;/&gt;&lt;wsp:rsid wsp:val=&quot;0049459B&quot;/&gt;&lt;wsp:rsid wsp:val=&quot;004949D7&quot;/&gt;&lt;wsp:rsid wsp:val=&quot;00494E20&quot;/&gt;&lt;wsp:rsid wsp:val=&quot;00494E7B&quot;/&gt;&lt;wsp:rsid wsp:val=&quot;00494FB7&quot;/&gt;&lt;wsp:rsid wsp:val=&quot;00495398&quot;/&gt;&lt;wsp:rsid wsp:val=&quot;00495415&quot;/&gt;&lt;wsp:rsid wsp:val=&quot;00495485&quot;/&gt;&lt;wsp:rsid wsp:val=&quot;00495488&quot;/&gt;&lt;wsp:rsid wsp:val=&quot;00495641&quot;/&gt;&lt;wsp:rsid wsp:val=&quot;004956EE&quot;/&gt;&lt;wsp:rsid wsp:val=&quot;004959F6&quot;/&gt;&lt;wsp:rsid wsp:val=&quot;00495E89&quot;/&gt;&lt;wsp:rsid wsp:val=&quot;00495EDC&quot;/&gt;&lt;wsp:rsid wsp:val=&quot;00495FFA&quot;/&gt;&lt;wsp:rsid wsp:val=&quot;00495FFF&quot;/&gt;&lt;wsp:rsid wsp:val=&quot;00496070&quot;/&gt;&lt;wsp:rsid wsp:val=&quot;00496152&quot;/&gt;&lt;wsp:rsid wsp:val=&quot;00496217&quot;/&gt;&lt;wsp:rsid wsp:val=&quot;0049627C&quot;/&gt;&lt;wsp:rsid wsp:val=&quot;0049638A&quot;/&gt;&lt;wsp:rsid wsp:val=&quot;0049649F&quot;/&gt;&lt;wsp:rsid wsp:val=&quot;004965D1&quot;/&gt;&lt;wsp:rsid wsp:val=&quot;0049667B&quot;/&gt;&lt;wsp:rsid wsp:val=&quot;004969F5&quot;/&gt;&lt;wsp:rsid wsp:val=&quot;00496A85&quot;/&gt;&lt;wsp:rsid wsp:val=&quot;00496D8D&quot;/&gt;&lt;wsp:rsid wsp:val=&quot;004974CA&quot;/&gt;&lt;wsp:rsid wsp:val=&quot;0049753A&quot;/&gt;&lt;wsp:rsid wsp:val=&quot;00497C26&quot;/&gt;&lt;wsp:rsid wsp:val=&quot;00497C62&quot;/&gt;&lt;wsp:rsid wsp:val=&quot;00497F05&quot;/&gt;&lt;wsp:rsid wsp:val=&quot;004A060C&quot;/&gt;&lt;wsp:rsid wsp:val=&quot;004A07B1&quot;/&gt;&lt;wsp:rsid wsp:val=&quot;004A0846&quot;/&gt;&lt;wsp:rsid wsp:val=&quot;004A0905&quot;/&gt;&lt;wsp:rsid wsp:val=&quot;004A0B59&quot;/&gt;&lt;wsp:rsid wsp:val=&quot;004A0CAC&quot;/&gt;&lt;wsp:rsid wsp:val=&quot;004A1388&quot;/&gt;&lt;wsp:rsid wsp:val=&quot;004A13F1&quot;/&gt;&lt;wsp:rsid wsp:val=&quot;004A16DC&quot;/&gt;&lt;wsp:rsid wsp:val=&quot;004A2257&quot;/&gt;&lt;wsp:rsid wsp:val=&quot;004A2406&quot;/&gt;&lt;wsp:rsid wsp:val=&quot;004A272A&quot;/&gt;&lt;wsp:rsid wsp:val=&quot;004A272C&quot;/&gt;&lt;wsp:rsid wsp:val=&quot;004A2871&quot;/&gt;&lt;wsp:rsid wsp:val=&quot;004A28DE&quot;/&gt;&lt;wsp:rsid wsp:val=&quot;004A2F37&quot;/&gt;&lt;wsp:rsid wsp:val=&quot;004A34BD&quot;/&gt;&lt;wsp:rsid wsp:val=&quot;004A382E&quot;/&gt;&lt;wsp:rsid wsp:val=&quot;004A3BDF&quot;/&gt;&lt;wsp:rsid wsp:val=&quot;004A3C92&quot;/&gt;&lt;wsp:rsid wsp:val=&quot;004A3EA9&quot;/&gt;&lt;wsp:rsid wsp:val=&quot;004A4064&quot;/&gt;&lt;wsp:rsid wsp:val=&quot;004A41D2&quot;/&gt;&lt;wsp:rsid wsp:val=&quot;004A42E7&quot;/&gt;&lt;wsp:rsid wsp:val=&quot;004A465F&quot;/&gt;&lt;wsp:rsid wsp:val=&quot;004A46F2&quot;/&gt;&lt;wsp:rsid wsp:val=&quot;004A5036&quot;/&gt;&lt;wsp:rsid wsp:val=&quot;004A506C&quot;/&gt;&lt;wsp:rsid wsp:val=&quot;004A5B07&quot;/&gt;&lt;wsp:rsid wsp:val=&quot;004A5B8B&quot;/&gt;&lt;wsp:rsid wsp:val=&quot;004A64EB&quot;/&gt;&lt;wsp:rsid wsp:val=&quot;004A664B&quot;/&gt;&lt;wsp:rsid wsp:val=&quot;004A6D0C&quot;/&gt;&lt;wsp:rsid wsp:val=&quot;004A6F5C&quot;/&gt;&lt;wsp:rsid wsp:val=&quot;004A6FD7&quot;/&gt;&lt;wsp:rsid wsp:val=&quot;004A76BE&quot;/&gt;&lt;wsp:rsid wsp:val=&quot;004A779F&quot;/&gt;&lt;wsp:rsid wsp:val=&quot;004A7B05&quot;/&gt;&lt;wsp:rsid wsp:val=&quot;004A7D31&quot;/&gt;&lt;wsp:rsid wsp:val=&quot;004B01E9&quot;/&gt;&lt;wsp:rsid wsp:val=&quot;004B0233&quot;/&gt;&lt;wsp:rsid wsp:val=&quot;004B0290&quot;/&gt;&lt;wsp:rsid wsp:val=&quot;004B0583&quot;/&gt;&lt;wsp:rsid wsp:val=&quot;004B06AA&quot;/&gt;&lt;wsp:rsid wsp:val=&quot;004B0DF5&quot;/&gt;&lt;wsp:rsid wsp:val=&quot;004B10E8&quot;/&gt;&lt;wsp:rsid wsp:val=&quot;004B1231&quot;/&gt;&lt;wsp:rsid wsp:val=&quot;004B13D9&quot;/&gt;&lt;wsp:rsid wsp:val=&quot;004B142C&quot;/&gt;&lt;wsp:rsid wsp:val=&quot;004B1520&quot;/&gt;&lt;wsp:rsid wsp:val=&quot;004B164C&quot;/&gt;&lt;wsp:rsid wsp:val=&quot;004B19B9&quot;/&gt;&lt;wsp:rsid wsp:val=&quot;004B1B18&quot;/&gt;&lt;wsp:rsid wsp:val=&quot;004B1DF6&quot;/&gt;&lt;wsp:rsid wsp:val=&quot;004B1F29&quot;/&gt;&lt;wsp:rsid wsp:val=&quot;004B1FE0&quot;/&gt;&lt;wsp:rsid wsp:val=&quot;004B207A&quot;/&gt;&lt;wsp:rsid wsp:val=&quot;004B209D&quot;/&gt;&lt;wsp:rsid wsp:val=&quot;004B22BC&quot;/&gt;&lt;wsp:rsid wsp:val=&quot;004B2471&quot;/&gt;&lt;wsp:rsid wsp:val=&quot;004B2837&quot;/&gt;&lt;wsp:rsid wsp:val=&quot;004B2C54&quot;/&gt;&lt;wsp:rsid wsp:val=&quot;004B336D&quot;/&gt;&lt;wsp:rsid wsp:val=&quot;004B337D&quot;/&gt;&lt;wsp:rsid wsp:val=&quot;004B37BB&quot;/&gt;&lt;wsp:rsid wsp:val=&quot;004B4100&quot;/&gt;&lt;wsp:rsid wsp:val=&quot;004B4319&quot;/&gt;&lt;wsp:rsid wsp:val=&quot;004B44F7&quot;/&gt;&lt;wsp:rsid wsp:val=&quot;004B459C&quot;/&gt;&lt;wsp:rsid wsp:val=&quot;004B4892&quot;/&gt;&lt;wsp:rsid wsp:val=&quot;004B491C&quot;/&gt;&lt;wsp:rsid wsp:val=&quot;004B4A02&quot;/&gt;&lt;wsp:rsid wsp:val=&quot;004B4D49&quot;/&gt;&lt;wsp:rsid wsp:val=&quot;004B4DFD&quot;/&gt;&lt;wsp:rsid wsp:val=&quot;004B5209&quot;/&gt;&lt;wsp:rsid wsp:val=&quot;004B58AA&quot;/&gt;&lt;wsp:rsid wsp:val=&quot;004B5A15&quot;/&gt;&lt;wsp:rsid wsp:val=&quot;004B5FCC&quot;/&gt;&lt;wsp:rsid wsp:val=&quot;004B603F&quot;/&gt;&lt;wsp:rsid wsp:val=&quot;004B605C&quot;/&gt;&lt;wsp:rsid wsp:val=&quot;004B6068&quot;/&gt;&lt;wsp:rsid wsp:val=&quot;004B60B7&quot;/&gt;&lt;wsp:rsid wsp:val=&quot;004B6224&quot;/&gt;&lt;wsp:rsid wsp:val=&quot;004B6782&quot;/&gt;&lt;wsp:rsid wsp:val=&quot;004B6A4B&quot;/&gt;&lt;wsp:rsid wsp:val=&quot;004B6C27&quot;/&gt;&lt;wsp:rsid wsp:val=&quot;004B6C6A&quot;/&gt;&lt;wsp:rsid wsp:val=&quot;004B6D4A&quot;/&gt;&lt;wsp:rsid wsp:val=&quot;004B6E7C&quot;/&gt;&lt;wsp:rsid wsp:val=&quot;004B7295&quot;/&gt;&lt;wsp:rsid wsp:val=&quot;004B72FF&quot;/&gt;&lt;wsp:rsid wsp:val=&quot;004B75D0&quot;/&gt;&lt;wsp:rsid wsp:val=&quot;004B76C6&quot;/&gt;&lt;wsp:rsid wsp:val=&quot;004C0439&quot;/&gt;&lt;wsp:rsid wsp:val=&quot;004C050C&quot;/&gt;&lt;wsp:rsid wsp:val=&quot;004C051E&quot;/&gt;&lt;wsp:rsid wsp:val=&quot;004C0735&quot;/&gt;&lt;wsp:rsid wsp:val=&quot;004C0944&quot;/&gt;&lt;wsp:rsid wsp:val=&quot;004C0B11&quot;/&gt;&lt;wsp:rsid wsp:val=&quot;004C0B9C&quot;/&gt;&lt;wsp:rsid wsp:val=&quot;004C0D95&quot;/&gt;&lt;wsp:rsid wsp:val=&quot;004C0F15&quot;/&gt;&lt;wsp:rsid wsp:val=&quot;004C1018&quot;/&gt;&lt;wsp:rsid wsp:val=&quot;004C1617&quot;/&gt;&lt;wsp:rsid wsp:val=&quot;004C174C&quot;/&gt;&lt;wsp:rsid wsp:val=&quot;004C185D&quot;/&gt;&lt;wsp:rsid wsp:val=&quot;004C1D28&quot;/&gt;&lt;wsp:rsid wsp:val=&quot;004C1ED0&quot;/&gt;&lt;wsp:rsid wsp:val=&quot;004C1ED3&quot;/&gt;&lt;wsp:rsid wsp:val=&quot;004C21E3&quot;/&gt;&lt;wsp:rsid wsp:val=&quot;004C2224&quot;/&gt;&lt;wsp:rsid wsp:val=&quot;004C2724&quot;/&gt;&lt;wsp:rsid wsp:val=&quot;004C292C&quot;/&gt;&lt;wsp:rsid wsp:val=&quot;004C2D2B&quot;/&gt;&lt;wsp:rsid wsp:val=&quot;004C2F4F&quot;/&gt;&lt;wsp:rsid wsp:val=&quot;004C341C&quot;/&gt;&lt;wsp:rsid wsp:val=&quot;004C35E3&quot;/&gt;&lt;wsp:rsid wsp:val=&quot;004C3899&quot;/&gt;&lt;wsp:rsid wsp:val=&quot;004C4075&quot;/&gt;&lt;wsp:rsid wsp:val=&quot;004C4482&quot;/&gt;&lt;wsp:rsid wsp:val=&quot;004C4F4B&quot;/&gt;&lt;wsp:rsid wsp:val=&quot;004C5163&quot;/&gt;&lt;wsp:rsid wsp:val=&quot;004C5286&quot;/&gt;&lt;wsp:rsid wsp:val=&quot;004C5753&quot;/&gt;&lt;wsp:rsid wsp:val=&quot;004C57DE&quot;/&gt;&lt;wsp:rsid wsp:val=&quot;004C5916&quot;/&gt;&lt;wsp:rsid wsp:val=&quot;004C6333&quot;/&gt;&lt;wsp:rsid wsp:val=&quot;004C6383&quot;/&gt;&lt;wsp:rsid wsp:val=&quot;004C64AA&quot;/&gt;&lt;wsp:rsid wsp:val=&quot;004C6530&quot;/&gt;&lt;wsp:rsid wsp:val=&quot;004C697D&quot;/&gt;&lt;wsp:rsid wsp:val=&quot;004C6DF8&quot;/&gt;&lt;wsp:rsid wsp:val=&quot;004C717B&quot;/&gt;&lt;wsp:rsid wsp:val=&quot;004C7639&quot;/&gt;&lt;wsp:rsid wsp:val=&quot;004C7769&quot;/&gt;&lt;wsp:rsid wsp:val=&quot;004C79CE&quot;/&gt;&lt;wsp:rsid wsp:val=&quot;004C7E9B&quot;/&gt;&lt;wsp:rsid wsp:val=&quot;004C7F8C&quot;/&gt;&lt;wsp:rsid wsp:val=&quot;004C7FD4&quot;/&gt;&lt;wsp:rsid wsp:val=&quot;004D0224&quot;/&gt;&lt;wsp:rsid wsp:val=&quot;004D0401&quot;/&gt;&lt;wsp:rsid wsp:val=&quot;004D0830&quot;/&gt;&lt;wsp:rsid wsp:val=&quot;004D0D4D&quot;/&gt;&lt;wsp:rsid wsp:val=&quot;004D0E43&quot;/&gt;&lt;wsp:rsid wsp:val=&quot;004D1019&quot;/&gt;&lt;wsp:rsid wsp:val=&quot;004D13DC&quot;/&gt;&lt;wsp:rsid wsp:val=&quot;004D1488&quot;/&gt;&lt;wsp:rsid wsp:val=&quot;004D1561&quot;/&gt;&lt;wsp:rsid wsp:val=&quot;004D17D8&quot;/&gt;&lt;wsp:rsid wsp:val=&quot;004D1B73&quot;/&gt;&lt;wsp:rsid wsp:val=&quot;004D1B94&quot;/&gt;&lt;wsp:rsid wsp:val=&quot;004D1BF8&quot;/&gt;&lt;wsp:rsid wsp:val=&quot;004D1E06&quot;/&gt;&lt;wsp:rsid wsp:val=&quot;004D1F64&quot;/&gt;&lt;wsp:rsid wsp:val=&quot;004D1FCB&quot;/&gt;&lt;wsp:rsid wsp:val=&quot;004D2367&quot;/&gt;&lt;wsp:rsid wsp:val=&quot;004D240E&quot;/&gt;&lt;wsp:rsid wsp:val=&quot;004D2677&quot;/&gt;&lt;wsp:rsid wsp:val=&quot;004D2694&quot;/&gt;&lt;wsp:rsid wsp:val=&quot;004D26A7&quot;/&gt;&lt;wsp:rsid wsp:val=&quot;004D26BE&quot;/&gt;&lt;wsp:rsid wsp:val=&quot;004D26C3&quot;/&gt;&lt;wsp:rsid wsp:val=&quot;004D2901&quot;/&gt;&lt;wsp:rsid wsp:val=&quot;004D2AAC&quot;/&gt;&lt;wsp:rsid wsp:val=&quot;004D2B38&quot;/&gt;&lt;wsp:rsid wsp:val=&quot;004D2CA5&quot;/&gt;&lt;wsp:rsid wsp:val=&quot;004D2F48&quot;/&gt;&lt;wsp:rsid wsp:val=&quot;004D3118&quot;/&gt;&lt;wsp:rsid wsp:val=&quot;004D3536&quot;/&gt;&lt;wsp:rsid wsp:val=&quot;004D358A&quot;/&gt;&lt;wsp:rsid wsp:val=&quot;004D380A&quot;/&gt;&lt;wsp:rsid wsp:val=&quot;004D39CA&quot;/&gt;&lt;wsp:rsid wsp:val=&quot;004D3FA8&quot;/&gt;&lt;wsp:rsid wsp:val=&quot;004D4448&quot;/&gt;&lt;wsp:rsid wsp:val=&quot;004D452F&quot;/&gt;&lt;wsp:rsid wsp:val=&quot;004D4818&quot;/&gt;&lt;wsp:rsid wsp:val=&quot;004D49C0&quot;/&gt;&lt;wsp:rsid wsp:val=&quot;004D4A05&quot;/&gt;&lt;wsp:rsid wsp:val=&quot;004D4C72&quot;/&gt;&lt;wsp:rsid wsp:val=&quot;004D4FB7&quot;/&gt;&lt;wsp:rsid wsp:val=&quot;004D5371&quot;/&gt;&lt;wsp:rsid wsp:val=&quot;004D5415&quot;/&gt;&lt;wsp:rsid wsp:val=&quot;004D683E&quot;/&gt;&lt;wsp:rsid wsp:val=&quot;004D6A81&quot;/&gt;&lt;wsp:rsid wsp:val=&quot;004D7054&quot;/&gt;&lt;wsp:rsid wsp:val=&quot;004D7138&quot;/&gt;&lt;wsp:rsid wsp:val=&quot;004D7376&quot;/&gt;&lt;wsp:rsid wsp:val=&quot;004D79DD&quot;/&gt;&lt;wsp:rsid wsp:val=&quot;004D7BB1&quot;/&gt;&lt;wsp:rsid wsp:val=&quot;004D7BB7&quot;/&gt;&lt;wsp:rsid wsp:val=&quot;004E0012&quot;/&gt;&lt;wsp:rsid wsp:val=&quot;004E00D4&quot;/&gt;&lt;wsp:rsid wsp:val=&quot;004E02D3&quot;/&gt;&lt;wsp:rsid wsp:val=&quot;004E04D2&quot;/&gt;&lt;wsp:rsid wsp:val=&quot;004E09CD&quot;/&gt;&lt;wsp:rsid wsp:val=&quot;004E09F0&quot;/&gt;&lt;wsp:rsid wsp:val=&quot;004E0AA7&quot;/&gt;&lt;wsp:rsid wsp:val=&quot;004E0B48&quot;/&gt;&lt;wsp:rsid wsp:val=&quot;004E0E0F&quot;/&gt;&lt;wsp:rsid wsp:val=&quot;004E103B&quot;/&gt;&lt;wsp:rsid wsp:val=&quot;004E1116&quot;/&gt;&lt;wsp:rsid wsp:val=&quot;004E11AD&quot;/&gt;&lt;wsp:rsid wsp:val=&quot;004E12E9&quot;/&gt;&lt;wsp:rsid wsp:val=&quot;004E15AC&quot;/&gt;&lt;wsp:rsid wsp:val=&quot;004E1769&quot;/&gt;&lt;wsp:rsid wsp:val=&quot;004E1948&quot;/&gt;&lt;wsp:rsid wsp:val=&quot;004E1BFE&quot;/&gt;&lt;wsp:rsid wsp:val=&quot;004E1E5B&quot;/&gt;&lt;wsp:rsid wsp:val=&quot;004E2364&quot;/&gt;&lt;wsp:rsid wsp:val=&quot;004E24D3&quot;/&gt;&lt;wsp:rsid wsp:val=&quot;004E2616&quot;/&gt;&lt;wsp:rsid wsp:val=&quot;004E2B00&quot;/&gt;&lt;wsp:rsid wsp:val=&quot;004E3110&quot;/&gt;&lt;wsp:rsid wsp:val=&quot;004E318E&quot;/&gt;&lt;wsp:rsid wsp:val=&quot;004E32BC&quot;/&gt;&lt;wsp:rsid wsp:val=&quot;004E3311&quot;/&gt;&lt;wsp:rsid wsp:val=&quot;004E3327&quot;/&gt;&lt;wsp:rsid wsp:val=&quot;004E33B3&quot;/&gt;&lt;wsp:rsid wsp:val=&quot;004E34A3&quot;/&gt;&lt;wsp:rsid wsp:val=&quot;004E34CB&quot;/&gt;&lt;wsp:rsid wsp:val=&quot;004E3988&quot;/&gt;&lt;wsp:rsid wsp:val=&quot;004E3FF2&quot;/&gt;&lt;wsp:rsid wsp:val=&quot;004E41EF&quot;/&gt;&lt;wsp:rsid wsp:val=&quot;004E48A7&quot;/&gt;&lt;wsp:rsid wsp:val=&quot;004E4951&quot;/&gt;&lt;wsp:rsid wsp:val=&quot;004E4A0D&quot;/&gt;&lt;wsp:rsid wsp:val=&quot;004E4B4E&quot;/&gt;&lt;wsp:rsid wsp:val=&quot;004E4C10&quot;/&gt;&lt;wsp:rsid wsp:val=&quot;004E51E8&quot;/&gt;&lt;wsp:rsid wsp:val=&quot;004E521B&quot;/&gt;&lt;wsp:rsid wsp:val=&quot;004E5553&quot;/&gt;&lt;wsp:rsid wsp:val=&quot;004E5655&quot;/&gt;&lt;wsp:rsid wsp:val=&quot;004E568A&quot;/&gt;&lt;wsp:rsid wsp:val=&quot;004E580A&quot;/&gt;&lt;wsp:rsid wsp:val=&quot;004E5837&quot;/&gt;&lt;wsp:rsid wsp:val=&quot;004E5865&quot;/&gt;&lt;wsp:rsid wsp:val=&quot;004E5DE0&quot;/&gt;&lt;wsp:rsid wsp:val=&quot;004E5ED9&quot;/&gt;&lt;wsp:rsid wsp:val=&quot;004E6090&quot;/&gt;&lt;wsp:rsid wsp:val=&quot;004E60F5&quot;/&gt;&lt;wsp:rsid wsp:val=&quot;004E68ED&quot;/&gt;&lt;wsp:rsid wsp:val=&quot;004E6AC5&quot;/&gt;&lt;wsp:rsid wsp:val=&quot;004E6DB8&quot;/&gt;&lt;wsp:rsid wsp:val=&quot;004E6EB5&quot;/&gt;&lt;wsp:rsid wsp:val=&quot;004E6F14&quot;/&gt;&lt;wsp:rsid wsp:val=&quot;004E7636&quot;/&gt;&lt;wsp:rsid wsp:val=&quot;004E790F&quot;/&gt;&lt;wsp:rsid wsp:val=&quot;004E7962&quot;/&gt;&lt;wsp:rsid wsp:val=&quot;004E7DE8&quot;/&gt;&lt;wsp:rsid wsp:val=&quot;004E7F18&quot;/&gt;&lt;wsp:rsid wsp:val=&quot;004F01D4&quot;/&gt;&lt;wsp:rsid wsp:val=&quot;004F0294&quot;/&gt;&lt;wsp:rsid wsp:val=&quot;004F06EE&quot;/&gt;&lt;wsp:rsid wsp:val=&quot;004F09D6&quot;/&gt;&lt;wsp:rsid wsp:val=&quot;004F0BF0&quot;/&gt;&lt;wsp:rsid wsp:val=&quot;004F0C2B&quot;/&gt;&lt;wsp:rsid wsp:val=&quot;004F0D8E&quot;/&gt;&lt;wsp:rsid wsp:val=&quot;004F0F2E&quot;/&gt;&lt;wsp:rsid wsp:val=&quot;004F1090&quot;/&gt;&lt;wsp:rsid wsp:val=&quot;004F1172&quot;/&gt;&lt;wsp:rsid wsp:val=&quot;004F131F&quot;/&gt;&lt;wsp:rsid wsp:val=&quot;004F17F4&quot;/&gt;&lt;wsp:rsid wsp:val=&quot;004F1A5C&quot;/&gt;&lt;wsp:rsid wsp:val=&quot;004F1A89&quot;/&gt;&lt;wsp:rsid wsp:val=&quot;004F1B37&quot;/&gt;&lt;wsp:rsid wsp:val=&quot;004F1CFC&quot;/&gt;&lt;wsp:rsid wsp:val=&quot;004F1DEE&quot;/&gt;&lt;wsp:rsid wsp:val=&quot;004F227E&quot;/&gt;&lt;wsp:rsid wsp:val=&quot;004F22E5&quot;/&gt;&lt;wsp:rsid wsp:val=&quot;004F22EB&quot;/&gt;&lt;wsp:rsid wsp:val=&quot;004F2880&quot;/&gt;&lt;wsp:rsid wsp:val=&quot;004F2922&quot;/&gt;&lt;wsp:rsid wsp:val=&quot;004F2B46&quot;/&gt;&lt;wsp:rsid wsp:val=&quot;004F2F67&quot;/&gt;&lt;wsp:rsid wsp:val=&quot;004F2FC6&quot;/&gt;&lt;wsp:rsid wsp:val=&quot;004F3090&quot;/&gt;&lt;wsp:rsid wsp:val=&quot;004F3270&quot;/&gt;&lt;wsp:rsid wsp:val=&quot;004F3352&quot;/&gt;&lt;wsp:rsid wsp:val=&quot;004F3B06&quot;/&gt;&lt;wsp:rsid wsp:val=&quot;004F3BED&quot;/&gt;&lt;wsp:rsid wsp:val=&quot;004F3DFA&quot;/&gt;&lt;wsp:rsid wsp:val=&quot;004F4128&quot;/&gt;&lt;wsp:rsid wsp:val=&quot;004F453C&quot;/&gt;&lt;wsp:rsid wsp:val=&quot;004F496C&quot;/&gt;&lt;wsp:rsid wsp:val=&quot;004F4BDF&quot;/&gt;&lt;wsp:rsid wsp:val=&quot;004F5296&quot;/&gt;&lt;wsp:rsid wsp:val=&quot;004F53CC&quot;/&gt;&lt;wsp:rsid wsp:val=&quot;004F540B&quot;/&gt;&lt;wsp:rsid wsp:val=&quot;004F5440&quot;/&gt;&lt;wsp:rsid wsp:val=&quot;004F5453&quot;/&gt;&lt;wsp:rsid wsp:val=&quot;004F58FE&quot;/&gt;&lt;wsp:rsid wsp:val=&quot;004F5E85&quot;/&gt;&lt;wsp:rsid wsp:val=&quot;004F62DA&quot;/&gt;&lt;wsp:rsid wsp:val=&quot;004F636C&quot;/&gt;&lt;wsp:rsid wsp:val=&quot;004F6513&quot;/&gt;&lt;wsp:rsid wsp:val=&quot;004F66BC&quot;/&gt;&lt;wsp:rsid wsp:val=&quot;004F6B3B&quot;/&gt;&lt;wsp:rsid wsp:val=&quot;004F6BE0&quot;/&gt;&lt;wsp:rsid wsp:val=&quot;004F6CEB&quot;/&gt;&lt;wsp:rsid wsp:val=&quot;004F6FE1&quot;/&gt;&lt;wsp:rsid wsp:val=&quot;004F7033&quot;/&gt;&lt;wsp:rsid wsp:val=&quot;004F71DE&quot;/&gt;&lt;wsp:rsid wsp:val=&quot;004F7423&quot;/&gt;&lt;wsp:rsid wsp:val=&quot;004F76D2&quot;/&gt;&lt;wsp:rsid wsp:val=&quot;004F783A&quot;/&gt;&lt;wsp:rsid wsp:val=&quot;004F78CF&quot;/&gt;&lt;wsp:rsid wsp:val=&quot;004F78E7&quot;/&gt;&lt;wsp:rsid wsp:val=&quot;004F7918&quot;/&gt;&lt;wsp:rsid wsp:val=&quot;004F7B15&quot;/&gt;&lt;wsp:rsid wsp:val=&quot;004F7E0D&quot;/&gt;&lt;wsp:rsid wsp:val=&quot;004F7E2E&quot;/&gt;&lt;wsp:rsid wsp:val=&quot;005005DA&quot;/&gt;&lt;wsp:rsid wsp:val=&quot;00500659&quot;/&gt;&lt;wsp:rsid wsp:val=&quot;00500685&quot;/&gt;&lt;wsp:rsid wsp:val=&quot;00500A5A&quot;/&gt;&lt;wsp:rsid wsp:val=&quot;00500C3F&quot;/&gt;&lt;wsp:rsid wsp:val=&quot;00501123&quot;/&gt;&lt;wsp:rsid wsp:val=&quot;00501179&quot;/&gt;&lt;wsp:rsid wsp:val=&quot;0050171F&quot;/&gt;&lt;wsp:rsid wsp:val=&quot;0050184A&quot;/&gt;&lt;wsp:rsid wsp:val=&quot;00501896&quot;/&gt;&lt;wsp:rsid wsp:val=&quot;00501A91&quot;/&gt;&lt;wsp:rsid wsp:val=&quot;00501C29&quot;/&gt;&lt;wsp:rsid wsp:val=&quot;00501C78&quot;/&gt;&lt;wsp:rsid wsp:val=&quot;00501DFD&quot;/&gt;&lt;wsp:rsid wsp:val=&quot;00502006&quot;/&gt;&lt;wsp:rsid wsp:val=&quot;005020B8&quot;/&gt;&lt;wsp:rsid wsp:val=&quot;005022B2&quot;/&gt;&lt;wsp:rsid wsp:val=&quot;00502D37&quot;/&gt;&lt;wsp:rsid wsp:val=&quot;0050314E&quot;/&gt;&lt;wsp:rsid wsp:val=&quot;00503154&quot;/&gt;&lt;wsp:rsid wsp:val=&quot;005032F4&quot;/&gt;&lt;wsp:rsid wsp:val=&quot;0050336A&quot;/&gt;&lt;wsp:rsid wsp:val=&quot;00503435&quot;/&gt;&lt;wsp:rsid wsp:val=&quot;00503481&quot;/&gt;&lt;wsp:rsid wsp:val=&quot;0050369E&quot;/&gt;&lt;wsp:rsid wsp:val=&quot;0050378B&quot;/&gt;&lt;wsp:rsid wsp:val=&quot;00503B10&quot;/&gt;&lt;wsp:rsid wsp:val=&quot;00503B50&quot;/&gt;&lt;wsp:rsid wsp:val=&quot;005041D6&quot;/&gt;&lt;wsp:rsid wsp:val=&quot;00504A94&quot;/&gt;&lt;wsp:rsid wsp:val=&quot;00504F99&quot;/&gt;&lt;wsp:rsid wsp:val=&quot;0050520C&quot;/&gt;&lt;wsp:rsid wsp:val=&quot;00505585&quot;/&gt;&lt;wsp:rsid wsp:val=&quot;00505675&quot;/&gt;&lt;wsp:rsid wsp:val=&quot;00505C48&quot;/&gt;&lt;wsp:rsid wsp:val=&quot;00505C4B&quot;/&gt;&lt;wsp:rsid wsp:val=&quot;00505E67&quot;/&gt;&lt;wsp:rsid wsp:val=&quot;00505EA8&quot;/&gt;&lt;wsp:rsid wsp:val=&quot;00505F1B&quot;/&gt;&lt;wsp:rsid wsp:val=&quot;00506129&quot;/&gt;&lt;wsp:rsid wsp:val=&quot;00506280&quot;/&gt;&lt;wsp:rsid wsp:val=&quot;0050628A&quot;/&gt;&lt;wsp:rsid wsp:val=&quot;005062BC&quot;/&gt;&lt;wsp:rsid wsp:val=&quot;00506357&quot;/&gt;&lt;wsp:rsid wsp:val=&quot;00506775&quot;/&gt;&lt;wsp:rsid wsp:val=&quot;0050684D&quot;/&gt;&lt;wsp:rsid wsp:val=&quot;00506A79&quot;/&gt;&lt;wsp:rsid wsp:val=&quot;00506BF5&quot;/&gt;&lt;wsp:rsid wsp:val=&quot;00506D25&quot;/&gt;&lt;wsp:rsid wsp:val=&quot;0050707D&quot;/&gt;&lt;wsp:rsid wsp:val=&quot;005071DC&quot;/&gt;&lt;wsp:rsid wsp:val=&quot;00507E65&quot;/&gt;&lt;wsp:rsid wsp:val=&quot;00507E8E&quot;/&gt;&lt;wsp:rsid wsp:val=&quot;00510025&quot;/&gt;&lt;wsp:rsid wsp:val=&quot;00510335&quot;/&gt;&lt;wsp:rsid wsp:val=&quot;0051059D&quot;/&gt;&lt;wsp:rsid wsp:val=&quot;00510747&quot;/&gt;&lt;wsp:rsid wsp:val=&quot;005109EA&quot;/&gt;&lt;wsp:rsid wsp:val=&quot;00510B16&quot;/&gt;&lt;wsp:rsid wsp:val=&quot;00510CA6&quot;/&gt;&lt;wsp:rsid wsp:val=&quot;00510D55&quot;/&gt;&lt;wsp:rsid wsp:val=&quot;00510DC9&quot;/&gt;&lt;wsp:rsid wsp:val=&quot;00512133&quot;/&gt;&lt;wsp:rsid wsp:val=&quot;005123AC&quot;/&gt;&lt;wsp:rsid wsp:val=&quot;005124EC&quot;/&gt;&lt;wsp:rsid wsp:val=&quot;00512609&quot;/&gt;&lt;wsp:rsid wsp:val=&quot;00512694&quot;/&gt;&lt;wsp:rsid wsp:val=&quot;00512BDC&quot;/&gt;&lt;wsp:rsid wsp:val=&quot;005134E6&quot;/&gt;&lt;wsp:rsid wsp:val=&quot;005134EB&quot;/&gt;&lt;wsp:rsid wsp:val=&quot;005135B5&quot;/&gt;&lt;wsp:rsid wsp:val=&quot;00513944&quot;/&gt;&lt;wsp:rsid wsp:val=&quot;00513D21&quot;/&gt;&lt;wsp:rsid wsp:val=&quot;00513DC2&quot;/&gt;&lt;wsp:rsid wsp:val=&quot;00513E59&quot;/&gt;&lt;wsp:rsid wsp:val=&quot;0051414B&quot;/&gt;&lt;wsp:rsid wsp:val=&quot;00514333&quot;/&gt;&lt;wsp:rsid wsp:val=&quot;005143F7&quot;/&gt;&lt;wsp:rsid wsp:val=&quot;005144B5&quot;/&gt;&lt;wsp:rsid wsp:val=&quot;0051463C&quot;/&gt;&lt;wsp:rsid wsp:val=&quot;005146E0&quot;/&gt;&lt;wsp:rsid wsp:val=&quot;00514891&quot;/&gt;&lt;wsp:rsid wsp:val=&quot;00514BC0&quot;/&gt;&lt;wsp:rsid wsp:val=&quot;005150C5&quot;/&gt;&lt;wsp:rsid wsp:val=&quot;005151BA&quot;/&gt;&lt;wsp:rsid wsp:val=&quot;0051526E&quot;/&gt;&lt;wsp:rsid wsp:val=&quot;00515378&quot;/&gt;&lt;wsp:rsid wsp:val=&quot;005153E2&quot;/&gt;&lt;wsp:rsid wsp:val=&quot;005158B9&quot;/&gt;&lt;wsp:rsid wsp:val=&quot;00515BAE&quot;/&gt;&lt;wsp:rsid wsp:val=&quot;005161B3&quot;/&gt;&lt;wsp:rsid wsp:val=&quot;005165EC&quot;/&gt;&lt;wsp:rsid wsp:val=&quot;00516E70&quot;/&gt;&lt;wsp:rsid wsp:val=&quot;00516FEF&quot;/&gt;&lt;wsp:rsid wsp:val=&quot;005172BF&quot;/&gt;&lt;wsp:rsid wsp:val=&quot;005174B4&quot;/&gt;&lt;wsp:rsid wsp:val=&quot;005177F8&quot;/&gt;&lt;wsp:rsid wsp:val=&quot;005179F6&quot;/&gt;&lt;wsp:rsid wsp:val=&quot;00517D6B&quot;/&gt;&lt;wsp:rsid wsp:val=&quot;00517F14&quot;/&gt;&lt;wsp:rsid wsp:val=&quot;00517FBD&quot;/&gt;&lt;wsp:rsid wsp:val=&quot;005201AF&quot;/&gt;&lt;wsp:rsid wsp:val=&quot;005203E0&quot;/&gt;&lt;wsp:rsid wsp:val=&quot;00520791&quot;/&gt;&lt;wsp:rsid wsp:val=&quot;00520D15&quot;/&gt;&lt;wsp:rsid wsp:val=&quot;0052136F&quot;/&gt;&lt;wsp:rsid wsp:val=&quot;005213F7&quot;/&gt;&lt;wsp:rsid wsp:val=&quot;00521433&quot;/&gt;&lt;wsp:rsid wsp:val=&quot;00521C0C&quot;/&gt;&lt;wsp:rsid wsp:val=&quot;00521C2C&quot;/&gt;&lt;wsp:rsid wsp:val=&quot;00521CD6&quot;/&gt;&lt;wsp:rsid wsp:val=&quot;00521D84&quot;/&gt;&lt;wsp:rsid wsp:val=&quot;00521F42&quot;/&gt;&lt;wsp:rsid wsp:val=&quot;00522065&quot;/&gt;&lt;wsp:rsid wsp:val=&quot;00522132&quot;/&gt;&lt;wsp:rsid wsp:val=&quot;005221D1&quot;/&gt;&lt;wsp:rsid wsp:val=&quot;005224CC&quot;/&gt;&lt;wsp:rsid wsp:val=&quot;00522595&quot;/&gt;&lt;wsp:rsid wsp:val=&quot;005225A1&quot;/&gt;&lt;wsp:rsid wsp:val=&quot;005225D6&quot;/&gt;&lt;wsp:rsid wsp:val=&quot;00522F0F&quot;/&gt;&lt;wsp:rsid wsp:val=&quot;005230AE&quot;/&gt;&lt;wsp:rsid wsp:val=&quot;0052351B&quot;/&gt;&lt;wsp:rsid wsp:val=&quot;00523B4E&quot;/&gt;&lt;wsp:rsid wsp:val=&quot;0052418C&quot;/&gt;&lt;wsp:rsid wsp:val=&quot;005241CF&quot;/&gt;&lt;wsp:rsid wsp:val=&quot;005248E9&quot;/&gt;&lt;wsp:rsid wsp:val=&quot;005249D2&quot;/&gt;&lt;wsp:rsid wsp:val=&quot;00524AC2&quot;/&gt;&lt;wsp:rsid wsp:val=&quot;00524BF5&quot;/&gt;&lt;wsp:rsid wsp:val=&quot;00524BFF&quot;/&gt;&lt;wsp:rsid wsp:val=&quot;005250E6&quot;/&gt;&lt;wsp:rsid wsp:val=&quot;00525171&quot;/&gt;&lt;wsp:rsid wsp:val=&quot;00525298&quot;/&gt;&lt;wsp:rsid wsp:val=&quot;0052533A&quot;/&gt;&lt;wsp:rsid wsp:val=&quot;005256B3&quot;/&gt;&lt;wsp:rsid wsp:val=&quot;0052584B&quot;/&gt;&lt;wsp:rsid wsp:val=&quot;00525CD5&quot;/&gt;&lt;wsp:rsid wsp:val=&quot;00526406&quot;/&gt;&lt;wsp:rsid wsp:val=&quot;005264E5&quot;/&gt;&lt;wsp:rsid wsp:val=&quot;00526560&quot;/&gt;&lt;wsp:rsid wsp:val=&quot;00526683&quot;/&gt;&lt;wsp:rsid wsp:val=&quot;005267DE&quot;/&gt;&lt;wsp:rsid wsp:val=&quot;00526D20&quot;/&gt;&lt;wsp:rsid wsp:val=&quot;00526F9F&quot;/&gt;&lt;wsp:rsid wsp:val=&quot;0052704F&quot;/&gt;&lt;wsp:rsid wsp:val=&quot;00527276&quot;/&gt;&lt;wsp:rsid wsp:val=&quot;00527B48&quot;/&gt;&lt;wsp:rsid wsp:val=&quot;00527BCF&quot;/&gt;&lt;wsp:rsid wsp:val=&quot;00527E9A&quot;/&gt;&lt;wsp:rsid wsp:val=&quot;00527EC2&quot;/&gt;&lt;wsp:rsid wsp:val=&quot;00527FCC&quot;/&gt;&lt;wsp:rsid wsp:val=&quot;0053070B&quot;/&gt;&lt;wsp:rsid wsp:val=&quot;00530791&quot;/&gt;&lt;wsp:rsid wsp:val=&quot;005308B4&quot;/&gt;&lt;wsp:rsid wsp:val=&quot;00530AA4&quot;/&gt;&lt;wsp:rsid wsp:val=&quot;00530BF0&quot;/&gt;&lt;wsp:rsid wsp:val=&quot;00530C9B&quot;/&gt;&lt;wsp:rsid wsp:val=&quot;00530D9B&quot;/&gt;&lt;wsp:rsid wsp:val=&quot;00530DE3&quot;/&gt;&lt;wsp:rsid wsp:val=&quot;005312E8&quot;/&gt;&lt;wsp:rsid wsp:val=&quot;0053143C&quot;/&gt;&lt;wsp:rsid wsp:val=&quot;00531C0A&quot;/&gt;&lt;wsp:rsid wsp:val=&quot;00532235&quot;/&gt;&lt;wsp:rsid wsp:val=&quot;00532278&quot;/&gt;&lt;wsp:rsid wsp:val=&quot;005322C3&quot;/&gt;&lt;wsp:rsid wsp:val=&quot;0053230D&quot;/&gt;&lt;wsp:rsid wsp:val=&quot;00532462&quot;/&gt;&lt;wsp:rsid wsp:val=&quot;0053262C&quot;/&gt;&lt;wsp:rsid wsp:val=&quot;005326AD&quot;/&gt;&lt;wsp:rsid wsp:val=&quot;005326D3&quot;/&gt;&lt;wsp:rsid wsp:val=&quot;0053276D&quot;/&gt;&lt;wsp:rsid wsp:val=&quot;00532B21&quot;/&gt;&lt;wsp:rsid wsp:val=&quot;00532B45&quot;/&gt;&lt;wsp:rsid wsp:val=&quot;00532C8F&quot;/&gt;&lt;wsp:rsid wsp:val=&quot;00532CD9&quot;/&gt;&lt;wsp:rsid wsp:val=&quot;00532F99&quot;/&gt;&lt;wsp:rsid wsp:val=&quot;005333A3&quot;/&gt;&lt;wsp:rsid wsp:val=&quot;00533614&quot;/&gt;&lt;wsp:rsid wsp:val=&quot;0053367B&quot;/&gt;&lt;wsp:rsid wsp:val=&quot;005338A0&quot;/&gt;&lt;wsp:rsid wsp:val=&quot;00533D2D&quot;/&gt;&lt;wsp:rsid wsp:val=&quot;00533DDE&quot;/&gt;&lt;wsp:rsid wsp:val=&quot;00533F2C&quot;/&gt;&lt;wsp:rsid wsp:val=&quot;005340A1&quot;/&gt;&lt;wsp:rsid wsp:val=&quot;00534327&quot;/&gt;&lt;wsp:rsid wsp:val=&quot;00534495&quot;/&gt;&lt;wsp:rsid wsp:val=&quot;005345BE&quot;/&gt;&lt;wsp:rsid wsp:val=&quot;0053490F&quot;/&gt;&lt;wsp:rsid wsp:val=&quot;005349C1&quot;/&gt;&lt;wsp:rsid wsp:val=&quot;00534A14&quot;/&gt;&lt;wsp:rsid wsp:val=&quot;00534CC1&quot;/&gt;&lt;wsp:rsid wsp:val=&quot;00535011&quot;/&gt;&lt;wsp:rsid wsp:val=&quot;0053524E&quot;/&gt;&lt;wsp:rsid wsp:val=&quot;0053598A&quot;/&gt;&lt;wsp:rsid wsp:val=&quot;00535A1F&quot;/&gt;&lt;wsp:rsid wsp:val=&quot;00535A26&quot;/&gt;&lt;wsp:rsid wsp:val=&quot;00535AA4&quot;/&gt;&lt;wsp:rsid wsp:val=&quot;00535AB3&quot;/&gt;&lt;wsp:rsid wsp:val=&quot;00536136&quot;/&gt;&lt;wsp:rsid wsp:val=&quot;005361DB&quot;/&gt;&lt;wsp:rsid wsp:val=&quot;00536459&quot;/&gt;&lt;wsp:rsid wsp:val=&quot;0053656E&quot;/&gt;&lt;wsp:rsid wsp:val=&quot;00536590&quot;/&gt;&lt;wsp:rsid wsp:val=&quot;00536827&quot;/&gt;&lt;wsp:rsid wsp:val=&quot;00536AF3&quot;/&gt;&lt;wsp:rsid wsp:val=&quot;00536B42&quot;/&gt;&lt;wsp:rsid wsp:val=&quot;00536DCB&quot;/&gt;&lt;wsp:rsid wsp:val=&quot;005371D2&quot;/&gt;&lt;wsp:rsid wsp:val=&quot;0053726B&quot;/&gt;&lt;wsp:rsid wsp:val=&quot;00537284&quot;/&gt;&lt;wsp:rsid wsp:val=&quot;005372FD&quot;/&gt;&lt;wsp:rsid wsp:val=&quot;005373D9&quot;/&gt;&lt;wsp:rsid wsp:val=&quot;005376B5&quot;/&gt;&lt;wsp:rsid wsp:val=&quot;005377D0&quot;/&gt;&lt;wsp:rsid wsp:val=&quot;00537862&quot;/&gt;&lt;wsp:rsid wsp:val=&quot;00537921&quot;/&gt;&lt;wsp:rsid wsp:val=&quot;0053797D&quot;/&gt;&lt;wsp:rsid wsp:val=&quot;00537A84&quot;/&gt;&lt;wsp:rsid wsp:val=&quot;00537EA5&quot;/&gt;&lt;wsp:rsid wsp:val=&quot;00537EB3&quot;/&gt;&lt;wsp:rsid wsp:val=&quot;00537F84&quot;/&gt;&lt;wsp:rsid wsp:val=&quot;005400D4&quot;/&gt;&lt;wsp:rsid wsp:val=&quot;00540465&quot;/&gt;&lt;wsp:rsid wsp:val=&quot;0054047D&quot;/&gt;&lt;wsp:rsid wsp:val=&quot;005405E9&quot;/&gt;&lt;wsp:rsid wsp:val=&quot;00540A88&quot;/&gt;&lt;wsp:rsid wsp:val=&quot;00540EB6&quot;/&gt;&lt;wsp:rsid wsp:val=&quot;00540F1F&quot;/&gt;&lt;wsp:rsid wsp:val=&quot;005410A4&quot;/&gt;&lt;wsp:rsid wsp:val=&quot;0054115F&quot;/&gt;&lt;wsp:rsid wsp:val=&quot;0054146B&quot;/&gt;&lt;wsp:rsid wsp:val=&quot;005415BE&quot;/&gt;&lt;wsp:rsid wsp:val=&quot;005416F9&quot;/&gt;&lt;wsp:rsid wsp:val=&quot;005417AF&quot;/&gt;&lt;wsp:rsid wsp:val=&quot;00541921&quot;/&gt;&lt;wsp:rsid wsp:val=&quot;00541C38&quot;/&gt;&lt;wsp:rsid wsp:val=&quot;00541CBB&quot;/&gt;&lt;wsp:rsid wsp:val=&quot;00541F14&quot;/&gt;&lt;wsp:rsid wsp:val=&quot;00542058&quot;/&gt;&lt;wsp:rsid wsp:val=&quot;0054207E&quot;/&gt;&lt;wsp:rsid wsp:val=&quot;005420CC&quot;/&gt;&lt;wsp:rsid wsp:val=&quot;0054214C&quot;/&gt;&lt;wsp:rsid wsp:val=&quot;005424E0&quot;/&gt;&lt;wsp:rsid wsp:val=&quot;005425AD&quot;/&gt;&lt;wsp:rsid wsp:val=&quot;00542812&quot;/&gt;&lt;wsp:rsid wsp:val=&quot;00542DC0&quot;/&gt;&lt;wsp:rsid wsp:val=&quot;00542E7D&quot;/&gt;&lt;wsp:rsid wsp:val=&quot;00542EC2&quot;/&gt;&lt;wsp:rsid wsp:val=&quot;00542FBD&quot;/&gt;&lt;wsp:rsid wsp:val=&quot;00543395&quot;/&gt;&lt;wsp:rsid wsp:val=&quot;005433B3&quot;/&gt;&lt;wsp:rsid wsp:val=&quot;00543750&quot;/&gt;&lt;wsp:rsid wsp:val=&quot;00543797&quot;/&gt;&lt;wsp:rsid wsp:val=&quot;005437EF&quot;/&gt;&lt;wsp:rsid wsp:val=&quot;00543926&quot;/&gt;&lt;wsp:rsid wsp:val=&quot;00543937&quot;/&gt;&lt;wsp:rsid wsp:val=&quot;00543A6D&quot;/&gt;&lt;wsp:rsid wsp:val=&quot;00543D25&quot;/&gt;&lt;wsp:rsid wsp:val=&quot;00543D29&quot;/&gt;&lt;wsp:rsid wsp:val=&quot;005442B2&quot;/&gt;&lt;wsp:rsid wsp:val=&quot;00544456&quot;/&gt;&lt;wsp:rsid wsp:val=&quot;00544576&quot;/&gt;&lt;wsp:rsid wsp:val=&quot;005445FC&quot;/&gt;&lt;wsp:rsid wsp:val=&quot;005447DC&quot;/&gt;&lt;wsp:rsid wsp:val=&quot;005449D5&quot;/&gt;&lt;wsp:rsid wsp:val=&quot;00544C69&quot;/&gt;&lt;wsp:rsid wsp:val=&quot;00544EF7&quot;/&gt;&lt;wsp:rsid wsp:val=&quot;005455EE&quot;/&gt;&lt;wsp:rsid wsp:val=&quot;0054589C&quot;/&gt;&lt;wsp:rsid wsp:val=&quot;00545A2B&quot;/&gt;&lt;wsp:rsid wsp:val=&quot;00545B2F&quot;/&gt;&lt;wsp:rsid wsp:val=&quot;00545CF0&quot;/&gt;&lt;wsp:rsid wsp:val=&quot;0054624B&quot;/&gt;&lt;wsp:rsid wsp:val=&quot;00546285&quot;/&gt;&lt;wsp:rsid wsp:val=&quot;0054639D&quot;/&gt;&lt;wsp:rsid wsp:val=&quot;005463C8&quot;/&gt;&lt;wsp:rsid wsp:val=&quot;00546774&quot;/&gt;&lt;wsp:rsid wsp:val=&quot;00546B9A&quot;/&gt;&lt;wsp:rsid wsp:val=&quot;00546D5C&quot;/&gt;&lt;wsp:rsid wsp:val=&quot;00547142&quot;/&gt;&lt;wsp:rsid wsp:val=&quot;00547241&quot;/&gt;&lt;wsp:rsid wsp:val=&quot;005476E3&quot;/&gt;&lt;wsp:rsid wsp:val=&quot;00547A95&quot;/&gt;&lt;wsp:rsid wsp:val=&quot;00547AB3&quot;/&gt;&lt;wsp:rsid wsp:val=&quot;00547D90&quot;/&gt;&lt;wsp:rsid wsp:val=&quot;00547DBD&quot;/&gt;&lt;wsp:rsid wsp:val=&quot;00547F12&quot;/&gt;&lt;wsp:rsid wsp:val=&quot;00547F4D&quot;/&gt;&lt;wsp:rsid wsp:val=&quot;00550352&quot;/&gt;&lt;wsp:rsid wsp:val=&quot;005503D9&quot;/&gt;&lt;wsp:rsid wsp:val=&quot;00550425&quot;/&gt;&lt;wsp:rsid wsp:val=&quot;00550627&quot;/&gt;&lt;wsp:rsid wsp:val=&quot;005508D6&quot;/&gt;&lt;wsp:rsid wsp:val=&quot;00550919&quot;/&gt;&lt;wsp:rsid wsp:val=&quot;00550CB2&quot;/&gt;&lt;wsp:rsid wsp:val=&quot;00550D69&quot;/&gt;&lt;wsp:rsid wsp:val=&quot;00550D70&quot;/&gt;&lt;wsp:rsid wsp:val=&quot;00551060&quot;/&gt;&lt;wsp:rsid wsp:val=&quot;005510AC&quot;/&gt;&lt;wsp:rsid wsp:val=&quot;005510F8&quot;/&gt;&lt;wsp:rsid wsp:val=&quot;00551157&quot;/&gt;&lt;wsp:rsid wsp:val=&quot;00551422&quot;/&gt;&lt;wsp:rsid wsp:val=&quot;00551E39&quot;/&gt;&lt;wsp:rsid wsp:val=&quot;00551E6C&quot;/&gt;&lt;wsp:rsid wsp:val=&quot;00551FC2&quot;/&gt;&lt;wsp:rsid wsp:val=&quot;005520BA&quot;/&gt;&lt;wsp:rsid wsp:val=&quot;00552948&quot;/&gt;&lt;wsp:rsid wsp:val=&quot;00552AB2&quot;/&gt;&lt;wsp:rsid wsp:val=&quot;00552BC2&quot;/&gt;&lt;wsp:rsid wsp:val=&quot;00552C6E&quot;/&gt;&lt;wsp:rsid wsp:val=&quot;00552E04&quot;/&gt;&lt;wsp:rsid wsp:val=&quot;00552F9B&quot;/&gt;&lt;wsp:rsid wsp:val=&quot;0055335E&quot;/&gt;&lt;wsp:rsid wsp:val=&quot;00553555&quot;/&gt;&lt;wsp:rsid wsp:val=&quot;00553652&quot;/&gt;&lt;wsp:rsid wsp:val=&quot;005536D3&quot;/&gt;&lt;wsp:rsid wsp:val=&quot;00553845&quot;/&gt;&lt;wsp:rsid wsp:val=&quot;00553903&quot;/&gt;&lt;wsp:rsid wsp:val=&quot;00553D04&quot;/&gt;&lt;wsp:rsid wsp:val=&quot;00553FC5&quot;/&gt;&lt;wsp:rsid wsp:val=&quot;00554130&quot;/&gt;&lt;wsp:rsid wsp:val=&quot;0055414F&quot;/&gt;&lt;wsp:rsid wsp:val=&quot;00554810&quot;/&gt;&lt;wsp:rsid wsp:val=&quot;0055489E&quot;/&gt;&lt;wsp:rsid wsp:val=&quot;00554CB0&quot;/&gt;&lt;wsp:rsid wsp:val=&quot;00555144&quot;/&gt;&lt;wsp:rsid wsp:val=&quot;00555677&quot;/&gt;&lt;wsp:rsid wsp:val=&quot;0055579E&quot;/&gt;&lt;wsp:rsid wsp:val=&quot;00555B4E&quot;/&gt;&lt;wsp:rsid wsp:val=&quot;00555D11&quot;/&gt;&lt;wsp:rsid wsp:val=&quot;00555E74&quot;/&gt;&lt;wsp:rsid wsp:val=&quot;005563A5&quot;/&gt;&lt;wsp:rsid wsp:val=&quot;005563F9&quot;/&gt;&lt;wsp:rsid wsp:val=&quot;0055646B&quot;/&gt;&lt;wsp:rsid wsp:val=&quot;00556920&quot;/&gt;&lt;wsp:rsid wsp:val=&quot;00556A3D&quot;/&gt;&lt;wsp:rsid wsp:val=&quot;00556B74&quot;/&gt;&lt;wsp:rsid wsp:val=&quot;00556CE8&quot;/&gt;&lt;wsp:rsid wsp:val=&quot;00556FBE&quot;/&gt;&lt;wsp:rsid wsp:val=&quot;00557524&quot;/&gt;&lt;wsp:rsid wsp:val=&quot;005577D0&quot;/&gt;&lt;wsp:rsid wsp:val=&quot;005578F5&quot;/&gt;&lt;wsp:rsid wsp:val=&quot;00557993&quot;/&gt;&lt;wsp:rsid wsp:val=&quot;00557EBF&quot;/&gt;&lt;wsp:rsid wsp:val=&quot;005603C4&quot;/&gt;&lt;wsp:rsid wsp:val=&quot;005603D5&quot;/&gt;&lt;wsp:rsid wsp:val=&quot;005605BC&quot;/&gt;&lt;wsp:rsid wsp:val=&quot;00560668&quot;/&gt;&lt;wsp:rsid wsp:val=&quot;00560696&quot;/&gt;&lt;wsp:rsid wsp:val=&quot;005606E3&quot;/&gt;&lt;wsp:rsid wsp:val=&quot;00560A5B&quot;/&gt;&lt;wsp:rsid wsp:val=&quot;00560ACC&quot;/&gt;&lt;wsp:rsid wsp:val=&quot;00560D12&quot;/&gt;&lt;wsp:rsid wsp:val=&quot;005610C0&quot;/&gt;&lt;wsp:rsid wsp:val=&quot;0056111A&quot;/&gt;&lt;wsp:rsid wsp:val=&quot;005612EE&quot;/&gt;&lt;wsp:rsid wsp:val=&quot;005612F5&quot;/&gt;&lt;wsp:rsid wsp:val=&quot;005618A6&quot;/&gt;&lt;wsp:rsid wsp:val=&quot;00561943&quot;/&gt;&lt;wsp:rsid wsp:val=&quot;005620C2&quot;/&gt;&lt;wsp:rsid wsp:val=&quot;00562381&quot;/&gt;&lt;wsp:rsid wsp:val=&quot;005626BF&quot;/&gt;&lt;wsp:rsid wsp:val=&quot;00562DF6&quot;/&gt;&lt;wsp:rsid wsp:val=&quot;005630E8&quot;/&gt;&lt;wsp:rsid wsp:val=&quot;005636AA&quot;/&gt;&lt;wsp:rsid wsp:val=&quot;00563727&quot;/&gt;&lt;wsp:rsid wsp:val=&quot;00563841&quot;/&gt;&lt;wsp:rsid wsp:val=&quot;0056386E&quot;/&gt;&lt;wsp:rsid wsp:val=&quot;00563881&quot;/&gt;&lt;wsp:rsid wsp:val=&quot;0056411E&quot;/&gt;&lt;wsp:rsid wsp:val=&quot;00564583&quot;/&gt;&lt;wsp:rsid wsp:val=&quot;00564D4A&quot;/&gt;&lt;wsp:rsid wsp:val=&quot;00564E6E&quot;/&gt;&lt;wsp:rsid wsp:val=&quot;00565209&quot;/&gt;&lt;wsp:rsid wsp:val=&quot;005653BD&quot;/&gt;&lt;wsp:rsid wsp:val=&quot;00565549&quot;/&gt;&lt;wsp:rsid wsp:val=&quot;00565758&quot;/&gt;&lt;wsp:rsid wsp:val=&quot;00565B2D&quot;/&gt;&lt;wsp:rsid wsp:val=&quot;00565BFD&quot;/&gt;&lt;wsp:rsid wsp:val=&quot;00565D74&quot;/&gt;&lt;wsp:rsid wsp:val=&quot;00566242&quot;/&gt;&lt;wsp:rsid wsp:val=&quot;00566722&quot;/&gt;&lt;wsp:rsid wsp:val=&quot;00566D0B&quot;/&gt;&lt;wsp:rsid wsp:val=&quot;00566F7C&quot;/&gt;&lt;wsp:rsid wsp:val=&quot;00567295&quot;/&gt;&lt;wsp:rsid wsp:val=&quot;00567471&quot;/&gt;&lt;wsp:rsid wsp:val=&quot;0056787D&quot;/&gt;&lt;wsp:rsid wsp:val=&quot;00567C59&quot;/&gt;&lt;wsp:rsid wsp:val=&quot;00567DC6&quot;/&gt;&lt;wsp:rsid wsp:val=&quot;00570208&quot;/&gt;&lt;wsp:rsid wsp:val=&quot;0057038E&quot;/&gt;&lt;wsp:rsid wsp:val=&quot;005704D7&quot;/&gt;&lt;wsp:rsid wsp:val=&quot;00570519&quot;/&gt;&lt;wsp:rsid wsp:val=&quot;0057059F&quot;/&gt;&lt;wsp:rsid wsp:val=&quot;005706FB&quot;/&gt;&lt;wsp:rsid wsp:val=&quot;005707AB&quot;/&gt;&lt;wsp:rsid wsp:val=&quot;00570BB8&quot;/&gt;&lt;wsp:rsid wsp:val=&quot;00570D13&quot;/&gt;&lt;wsp:rsid wsp:val=&quot;00570D8E&quot;/&gt;&lt;wsp:rsid wsp:val=&quot;00570F1B&quot;/&gt;&lt;wsp:rsid wsp:val=&quot;005714B2&quot;/&gt;&lt;wsp:rsid wsp:val=&quot;005714F0&quot;/&gt;&lt;wsp:rsid wsp:val=&quot;005717C5&quot;/&gt;&lt;wsp:rsid wsp:val=&quot;0057197B&quot;/&gt;&lt;wsp:rsid wsp:val=&quot;00571C5E&quot;/&gt;&lt;wsp:rsid wsp:val=&quot;00571D72&quot;/&gt;&lt;wsp:rsid wsp:val=&quot;00571F19&quot;/&gt;&lt;wsp:rsid wsp:val=&quot;00572165&quot;/&gt;&lt;wsp:rsid wsp:val=&quot;005721A6&quot;/&gt;&lt;wsp:rsid wsp:val=&quot;005724F3&quot;/&gt;&lt;wsp:rsid wsp:val=&quot;005727AE&quot;/&gt;&lt;wsp:rsid wsp:val=&quot;00572A9A&quot;/&gt;&lt;wsp:rsid wsp:val=&quot;00572ABB&quot;/&gt;&lt;wsp:rsid wsp:val=&quot;00572AF9&quot;/&gt;&lt;wsp:rsid wsp:val=&quot;00572DFF&quot;/&gt;&lt;wsp:rsid wsp:val=&quot;00572E9B&quot;/&gt;&lt;wsp:rsid wsp:val=&quot;00572FFB&quot;/&gt;&lt;wsp:rsid wsp:val=&quot;00573237&quot;/&gt;&lt;wsp:rsid wsp:val=&quot;005732D6&quot;/&gt;&lt;wsp:rsid wsp:val=&quot;0057340F&quot;/&gt;&lt;wsp:rsid wsp:val=&quot;00573613&quot;/&gt;&lt;wsp:rsid wsp:val=&quot;005737FD&quot;/&gt;&lt;wsp:rsid wsp:val=&quot;0057386B&quot;/&gt;&lt;wsp:rsid wsp:val=&quot;00573E63&quot;/&gt;&lt;wsp:rsid wsp:val=&quot;00574090&quot;/&gt;&lt;wsp:rsid wsp:val=&quot;00574110&quot;/&gt;&lt;wsp:rsid wsp:val=&quot;005743A0&quot;/&gt;&lt;wsp:rsid wsp:val=&quot;005743B3&quot;/&gt;&lt;wsp:rsid wsp:val=&quot;005744D9&quot;/&gt;&lt;wsp:rsid wsp:val=&quot;005744DA&quot;/&gt;&lt;wsp:rsid wsp:val=&quot;0057477A&quot;/&gt;&lt;wsp:rsid wsp:val=&quot;00574CAF&quot;/&gt;&lt;wsp:rsid wsp:val=&quot;00574CD8&quot;/&gt;&lt;wsp:rsid wsp:val=&quot;00574D51&quot;/&gt;&lt;wsp:rsid wsp:val=&quot;00575342&quot;/&gt;&lt;wsp:rsid wsp:val=&quot;005755E5&quot;/&gt;&lt;wsp:rsid wsp:val=&quot;00575968&quot;/&gt;&lt;wsp:rsid wsp:val=&quot;00575AAD&quot;/&gt;&lt;wsp:rsid wsp:val=&quot;00575ABD&quot;/&gt;&lt;wsp:rsid wsp:val=&quot;00575E70&quot;/&gt;&lt;wsp:rsid wsp:val=&quot;0057629E&quot;/&gt;&lt;wsp:rsid wsp:val=&quot;00576BE0&quot;/&gt;&lt;wsp:rsid wsp:val=&quot;00576C98&quot;/&gt;&lt;wsp:rsid wsp:val=&quot;0057702E&quot;/&gt;&lt;wsp:rsid wsp:val=&quot;00577112&quot;/&gt;&lt;wsp:rsid wsp:val=&quot;00577250&quot;/&gt;&lt;wsp:rsid wsp:val=&quot;0057743A&quot;/&gt;&lt;wsp:rsid wsp:val=&quot;0057744C&quot;/&gt;&lt;wsp:rsid wsp:val=&quot;005777DF&quot;/&gt;&lt;wsp:rsid wsp:val=&quot;0057783D&quot;/&gt;&lt;wsp:rsid wsp:val=&quot;00577F5F&quot;/&gt;&lt;wsp:rsid wsp:val=&quot;00577FCD&quot;/&gt;&lt;wsp:rsid wsp:val=&quot;00580803&quot;/&gt;&lt;wsp:rsid wsp:val=&quot;005809D8&quot;/&gt;&lt;wsp:rsid wsp:val=&quot;00580B16&quot;/&gt;&lt;wsp:rsid wsp:val=&quot;00580D77&quot;/&gt;&lt;wsp:rsid wsp:val=&quot;005813DB&quot;/&gt;&lt;wsp:rsid wsp:val=&quot;005815EE&quot;/&gt;&lt;wsp:rsid wsp:val=&quot;00581636&quot;/&gt;&lt;wsp:rsid wsp:val=&quot;005816A4&quot;/&gt;&lt;wsp:rsid wsp:val=&quot;00581A5E&quot;/&gt;&lt;wsp:rsid wsp:val=&quot;0058218F&quot;/&gt;&lt;wsp:rsid wsp:val=&quot;00582219&quot;/&gt;&lt;wsp:rsid wsp:val=&quot;005829FF&quot;/&gt;&lt;wsp:rsid wsp:val=&quot;00582A14&quot;/&gt;&lt;wsp:rsid wsp:val=&quot;00582A59&quot;/&gt;&lt;wsp:rsid wsp:val=&quot;00582B48&quot;/&gt;&lt;wsp:rsid wsp:val=&quot;00582CA0&quot;/&gt;&lt;wsp:rsid wsp:val=&quot;00582EB4&quot;/&gt;&lt;wsp:rsid wsp:val=&quot;00583137&quot;/&gt;&lt;wsp:rsid wsp:val=&quot;0058365A&quot;/&gt;&lt;wsp:rsid wsp:val=&quot;00583B8A&quot;/&gt;&lt;wsp:rsid wsp:val=&quot;00583D2A&quot;/&gt;&lt;wsp:rsid wsp:val=&quot;00583DDB&quot;/&gt;&lt;wsp:rsid wsp:val=&quot;0058445A&quot;/&gt;&lt;wsp:rsid wsp:val=&quot;005845B8&quot;/&gt;&lt;wsp:rsid wsp:val=&quot;00584746&quot;/&gt;&lt;wsp:rsid wsp:val=&quot;0058485D&quot;/&gt;&lt;wsp:rsid wsp:val=&quot;00584933&quot;/&gt;&lt;wsp:rsid wsp:val=&quot;00584B55&quot;/&gt;&lt;wsp:rsid wsp:val=&quot;00584CD1&quot;/&gt;&lt;wsp:rsid wsp:val=&quot;00584D59&quot;/&gt;&lt;wsp:rsid wsp:val=&quot;00585921&quot;/&gt;&lt;wsp:rsid wsp:val=&quot;00585A16&quot;/&gt;&lt;wsp:rsid wsp:val=&quot;00585D26&quot;/&gt;&lt;wsp:rsid wsp:val=&quot;00585F50&quot;/&gt;&lt;wsp:rsid wsp:val=&quot;00585FD1&quot;/&gt;&lt;wsp:rsid wsp:val=&quot;0058602B&quot;/&gt;&lt;wsp:rsid wsp:val=&quot;0058608A&quot;/&gt;&lt;wsp:rsid wsp:val=&quot;005865C7&quot;/&gt;&lt;wsp:rsid wsp:val=&quot;0058688B&quot;/&gt;&lt;wsp:rsid wsp:val=&quot;0058704B&quot;/&gt;&lt;wsp:rsid wsp:val=&quot;00587281&quot;/&gt;&lt;wsp:rsid wsp:val=&quot;005874CD&quot;/&gt;&lt;wsp:rsid wsp:val=&quot;005875B9&quot;/&gt;&lt;wsp:rsid wsp:val=&quot;0058761F&quot;/&gt;&lt;wsp:rsid wsp:val=&quot;005879A6&quot;/&gt;&lt;wsp:rsid wsp:val=&quot;00587B60&quot;/&gt;&lt;wsp:rsid wsp:val=&quot;00587CAC&quot;/&gt;&lt;wsp:rsid wsp:val=&quot;00587DA4&quot;/&gt;&lt;wsp:rsid wsp:val=&quot;00590011&quot;/&gt;&lt;wsp:rsid wsp:val=&quot;005901D7&quot;/&gt;&lt;wsp:rsid wsp:val=&quot;00590239&quot;/&gt;&lt;wsp:rsid wsp:val=&quot;005903B7&quot;/&gt;&lt;wsp:rsid wsp:val=&quot;00590506&quot;/&gt;&lt;wsp:rsid wsp:val=&quot;00590850&quot;/&gt;&lt;wsp:rsid wsp:val=&quot;00590A09&quot;/&gt;&lt;wsp:rsid wsp:val=&quot;00590A5B&quot;/&gt;&lt;wsp:rsid wsp:val=&quot;00590A83&quot;/&gt;&lt;wsp:rsid wsp:val=&quot;00590B48&quot;/&gt;&lt;wsp:rsid wsp:val=&quot;00590C9C&quot;/&gt;&lt;wsp:rsid wsp:val=&quot;00590CA3&quot;/&gt;&lt;wsp:rsid wsp:val=&quot;00590DB6&quot;/&gt;&lt;wsp:rsid wsp:val=&quot;00590DF3&quot;/&gt;&lt;wsp:rsid wsp:val=&quot;00590F34&quot;/&gt;&lt;wsp:rsid wsp:val=&quot;00591101&quot;/&gt;&lt;wsp:rsid wsp:val=&quot;005914F6&quot;/&gt;&lt;wsp:rsid wsp:val=&quot;0059169F&quot;/&gt;&lt;wsp:rsid wsp:val=&quot;00591738&quot;/&gt;&lt;wsp:rsid wsp:val=&quot;00591793&quot;/&gt;&lt;wsp:rsid wsp:val=&quot;00591E8C&quot;/&gt;&lt;wsp:rsid wsp:val=&quot;0059213D&quot;/&gt;&lt;wsp:rsid wsp:val=&quot;00592257&quot;/&gt;&lt;wsp:rsid wsp:val=&quot;00592286&quot;/&gt;&lt;wsp:rsid wsp:val=&quot;00592304&quot;/&gt;&lt;wsp:rsid wsp:val=&quot;00592498&quot;/&gt;&lt;wsp:rsid wsp:val=&quot;00592B06&quot;/&gt;&lt;wsp:rsid wsp:val=&quot;00592D54&quot;/&gt;&lt;wsp:rsid wsp:val=&quot;00593211&quot;/&gt;&lt;wsp:rsid wsp:val=&quot;00593502&quot;/&gt;&lt;wsp:rsid wsp:val=&quot;00593733&quot;/&gt;&lt;wsp:rsid wsp:val=&quot;00593782&quot;/&gt;&lt;wsp:rsid wsp:val=&quot;0059393E&quot;/&gt;&lt;wsp:rsid wsp:val=&quot;00593C42&quot;/&gt;&lt;wsp:rsid wsp:val=&quot;00593C9A&quot;/&gt;&lt;wsp:rsid wsp:val=&quot;00594086&quot;/&gt;&lt;wsp:rsid wsp:val=&quot;00594455&quot;/&gt;&lt;wsp:rsid wsp:val=&quot;00594483&quot;/&gt;&lt;wsp:rsid wsp:val=&quot;00594495&quot;/&gt;&lt;wsp:rsid wsp:val=&quot;00594DCA&quot;/&gt;&lt;wsp:rsid wsp:val=&quot;0059514D&quot;/&gt;&lt;wsp:rsid wsp:val=&quot;0059542F&quot;/&gt;&lt;wsp:rsid wsp:val=&quot;00595597&quot;/&gt;&lt;wsp:rsid wsp:val=&quot;00595A52&quot;/&gt;&lt;wsp:rsid wsp:val=&quot;00595A7C&quot;/&gt;&lt;wsp:rsid wsp:val=&quot;00595AA0&quot;/&gt;&lt;wsp:rsid wsp:val=&quot;00595EBD&quot;/&gt;&lt;wsp:rsid wsp:val=&quot;00595F94&quot;/&gt;&lt;wsp:rsid wsp:val=&quot;00596AF4&quot;/&gt;&lt;wsp:rsid wsp:val=&quot;00596C5E&quot;/&gt;&lt;wsp:rsid wsp:val=&quot;00596D74&quot;/&gt;&lt;wsp:rsid wsp:val=&quot;00596FA0&quot;/&gt;&lt;wsp:rsid wsp:val=&quot;00597191&quot;/&gt;&lt;wsp:rsid wsp:val=&quot;0059779D&quot;/&gt;&lt;wsp:rsid wsp:val=&quot;00597844&quot;/&gt;&lt;wsp:rsid wsp:val=&quot;00597B3B&quot;/&gt;&lt;wsp:rsid wsp:val=&quot;00597B86&quot;/&gt;&lt;wsp:rsid wsp:val=&quot;00597BBD&quot;/&gt;&lt;wsp:rsid wsp:val=&quot;005A0228&quot;/&gt;&lt;wsp:rsid wsp:val=&quot;005A0802&quot;/&gt;&lt;wsp:rsid wsp:val=&quot;005A08F8&quot;/&gt;&lt;wsp:rsid wsp:val=&quot;005A09CE&quot;/&gt;&lt;wsp:rsid wsp:val=&quot;005A1366&quot;/&gt;&lt;wsp:rsid wsp:val=&quot;005A155F&quot;/&gt;&lt;wsp:rsid wsp:val=&quot;005A1817&quot;/&gt;&lt;wsp:rsid wsp:val=&quot;005A1BDD&quot;/&gt;&lt;wsp:rsid wsp:val=&quot;005A1D17&quot;/&gt;&lt;wsp:rsid wsp:val=&quot;005A1E58&quot;/&gt;&lt;wsp:rsid wsp:val=&quot;005A205C&quot;/&gt;&lt;wsp:rsid wsp:val=&quot;005A25CF&quot;/&gt;&lt;wsp:rsid wsp:val=&quot;005A26C6&quot;/&gt;&lt;wsp:rsid wsp:val=&quot;005A2735&quot;/&gt;&lt;wsp:rsid wsp:val=&quot;005A277D&quot;/&gt;&lt;wsp:rsid wsp:val=&quot;005A320D&quot;/&gt;&lt;wsp:rsid wsp:val=&quot;005A3447&quot;/&gt;&lt;wsp:rsid wsp:val=&quot;005A37F0&quot;/&gt;&lt;wsp:rsid wsp:val=&quot;005A3A4B&quot;/&gt;&lt;wsp:rsid wsp:val=&quot;005A3C0F&quot;/&gt;&lt;wsp:rsid wsp:val=&quot;005A40CA&quot;/&gt;&lt;wsp:rsid wsp:val=&quot;005A4199&quot;/&gt;&lt;wsp:rsid wsp:val=&quot;005A43E7&quot;/&gt;&lt;wsp:rsid wsp:val=&quot;005A49AF&quot;/&gt;&lt;wsp:rsid wsp:val=&quot;005A4BDC&quot;/&gt;&lt;wsp:rsid wsp:val=&quot;005A4D65&quot;/&gt;&lt;wsp:rsid wsp:val=&quot;005A5510&quot;/&gt;&lt;wsp:rsid wsp:val=&quot;005A568A&quot;/&gt;&lt;wsp:rsid wsp:val=&quot;005A6243&quot;/&gt;&lt;wsp:rsid wsp:val=&quot;005A63BF&quot;/&gt;&lt;wsp:rsid wsp:val=&quot;005A63DF&quot;/&gt;&lt;wsp:rsid wsp:val=&quot;005A644D&quot;/&gt;&lt;wsp:rsid wsp:val=&quot;005A65B0&quot;/&gt;&lt;wsp:rsid wsp:val=&quot;005A666C&quot;/&gt;&lt;wsp:rsid wsp:val=&quot;005A668D&quot;/&gt;&lt;wsp:rsid wsp:val=&quot;005A681E&quot;/&gt;&lt;wsp:rsid wsp:val=&quot;005A6898&quot;/&gt;&lt;wsp:rsid wsp:val=&quot;005A6A8C&quot;/&gt;&lt;wsp:rsid wsp:val=&quot;005A6D5F&quot;/&gt;&lt;wsp:rsid wsp:val=&quot;005A6DB6&quot;/&gt;&lt;wsp:rsid wsp:val=&quot;005A6E25&quot;/&gt;&lt;wsp:rsid wsp:val=&quot;005A736D&quot;/&gt;&lt;wsp:rsid wsp:val=&quot;005A75BB&quot;/&gt;&lt;wsp:rsid wsp:val=&quot;005A771F&quot;/&gt;&lt;wsp:rsid wsp:val=&quot;005A773B&quot;/&gt;&lt;wsp:rsid wsp:val=&quot;005A7D3A&quot;/&gt;&lt;wsp:rsid wsp:val=&quot;005B0267&quot;/&gt;&lt;wsp:rsid wsp:val=&quot;005B0398&quot;/&gt;&lt;wsp:rsid wsp:val=&quot;005B068E&quot;/&gt;&lt;wsp:rsid wsp:val=&quot;005B0700&quot;/&gt;&lt;wsp:rsid wsp:val=&quot;005B09A5&quot;/&gt;&lt;wsp:rsid wsp:val=&quot;005B09C8&quot;/&gt;&lt;wsp:rsid wsp:val=&quot;005B0A73&quot;/&gt;&lt;wsp:rsid wsp:val=&quot;005B0F0F&quot;/&gt;&lt;wsp:rsid wsp:val=&quot;005B11A2&quot;/&gt;&lt;wsp:rsid wsp:val=&quot;005B1273&quot;/&gt;&lt;wsp:rsid wsp:val=&quot;005B130E&quot;/&gt;&lt;wsp:rsid wsp:val=&quot;005B1453&quot;/&gt;&lt;wsp:rsid wsp:val=&quot;005B17A4&quot;/&gt;&lt;wsp:rsid wsp:val=&quot;005B1F14&quot;/&gt;&lt;wsp:rsid wsp:val=&quot;005B1F99&quot;/&gt;&lt;wsp:rsid wsp:val=&quot;005B2000&quot;/&gt;&lt;wsp:rsid wsp:val=&quot;005B256D&quot;/&gt;&lt;wsp:rsid wsp:val=&quot;005B2892&quot;/&gt;&lt;wsp:rsid wsp:val=&quot;005B2AAC&quot;/&gt;&lt;wsp:rsid wsp:val=&quot;005B2D50&quot;/&gt;&lt;wsp:rsid wsp:val=&quot;005B2E7B&quot;/&gt;&lt;wsp:rsid wsp:val=&quot;005B2E7D&quot;/&gt;&lt;wsp:rsid wsp:val=&quot;005B3119&quot;/&gt;&lt;wsp:rsid wsp:val=&quot;005B31F5&quot;/&gt;&lt;wsp:rsid wsp:val=&quot;005B32A2&quot;/&gt;&lt;wsp:rsid wsp:val=&quot;005B34CF&quot;/&gt;&lt;wsp:rsid wsp:val=&quot;005B3639&quot;/&gt;&lt;wsp:rsid wsp:val=&quot;005B3844&quot;/&gt;&lt;wsp:rsid wsp:val=&quot;005B392A&quot;/&gt;&lt;wsp:rsid wsp:val=&quot;005B3AD5&quot;/&gt;&lt;wsp:rsid wsp:val=&quot;005B3D34&quot;/&gt;&lt;wsp:rsid wsp:val=&quot;005B3DEF&quot;/&gt;&lt;wsp:rsid wsp:val=&quot;005B3E0D&quot;/&gt;&lt;wsp:rsid wsp:val=&quot;005B413B&quot;/&gt;&lt;wsp:rsid wsp:val=&quot;005B47DA&quot;/&gt;&lt;wsp:rsid wsp:val=&quot;005B4D02&quot;/&gt;&lt;wsp:rsid wsp:val=&quot;005B4D0A&quot;/&gt;&lt;wsp:rsid wsp:val=&quot;005B4D29&quot;/&gt;&lt;wsp:rsid wsp:val=&quot;005B4F35&quot;/&gt;&lt;wsp:rsid wsp:val=&quot;005B5500&quot;/&gt;&lt;wsp:rsid wsp:val=&quot;005B5A6A&quot;/&gt;&lt;wsp:rsid wsp:val=&quot;005B5AB8&quot;/&gt;&lt;wsp:rsid wsp:val=&quot;005B5B66&quot;/&gt;&lt;wsp:rsid wsp:val=&quot;005B5D50&quot;/&gt;&lt;wsp:rsid wsp:val=&quot;005B5F89&quot;/&gt;&lt;wsp:rsid wsp:val=&quot;005B6039&quot;/&gt;&lt;wsp:rsid wsp:val=&quot;005B61ED&quot;/&gt;&lt;wsp:rsid wsp:val=&quot;005B642F&quot;/&gt;&lt;wsp:rsid wsp:val=&quot;005B64A6&quot;/&gt;&lt;wsp:rsid wsp:val=&quot;005B65A5&quot;/&gt;&lt;wsp:rsid wsp:val=&quot;005B677E&quot;/&gt;&lt;wsp:rsid wsp:val=&quot;005B67C4&quot;/&gt;&lt;wsp:rsid wsp:val=&quot;005B6915&quot;/&gt;&lt;wsp:rsid wsp:val=&quot;005B6A11&quot;/&gt;&lt;wsp:rsid wsp:val=&quot;005B7010&quot;/&gt;&lt;wsp:rsid wsp:val=&quot;005B7052&quot;/&gt;&lt;wsp:rsid wsp:val=&quot;005B71D6&quot;/&gt;&lt;wsp:rsid wsp:val=&quot;005B7551&quot;/&gt;&lt;wsp:rsid wsp:val=&quot;005B787D&quot;/&gt;&lt;wsp:rsid wsp:val=&quot;005B7E99&quot;/&gt;&lt;wsp:rsid wsp:val=&quot;005C00C3&quot;/&gt;&lt;wsp:rsid wsp:val=&quot;005C05E7&quot;/&gt;&lt;wsp:rsid wsp:val=&quot;005C0811&quot;/&gt;&lt;wsp:rsid wsp:val=&quot;005C0896&quot;/&gt;&lt;wsp:rsid wsp:val=&quot;005C0993&quot;/&gt;&lt;wsp:rsid wsp:val=&quot;005C0AD1&quot;/&gt;&lt;wsp:rsid wsp:val=&quot;005C0C89&quot;/&gt;&lt;wsp:rsid wsp:val=&quot;005C0F15&quot;/&gt;&lt;wsp:rsid wsp:val=&quot;005C1324&quot;/&gt;&lt;wsp:rsid wsp:val=&quot;005C164D&quot;/&gt;&lt;wsp:rsid wsp:val=&quot;005C18FC&quot;/&gt;&lt;wsp:rsid wsp:val=&quot;005C19AF&quot;/&gt;&lt;wsp:rsid wsp:val=&quot;005C19C2&quot;/&gt;&lt;wsp:rsid wsp:val=&quot;005C1C8C&quot;/&gt;&lt;wsp:rsid wsp:val=&quot;005C1CAB&quot;/&gt;&lt;wsp:rsid wsp:val=&quot;005C20C0&quot;/&gt;&lt;wsp:rsid wsp:val=&quot;005C2455&quot;/&gt;&lt;wsp:rsid wsp:val=&quot;005C252B&quot;/&gt;&lt;wsp:rsid wsp:val=&quot;005C2651&quot;/&gt;&lt;wsp:rsid wsp:val=&quot;005C26C3&quot;/&gt;&lt;wsp:rsid wsp:val=&quot;005C27AE&quot;/&gt;&lt;wsp:rsid wsp:val=&quot;005C28F9&quot;/&gt;&lt;wsp:rsid wsp:val=&quot;005C291F&quot;/&gt;&lt;wsp:rsid wsp:val=&quot;005C2A5B&quot;/&gt;&lt;wsp:rsid wsp:val=&quot;005C2C77&quot;/&gt;&lt;wsp:rsid wsp:val=&quot;005C2D77&quot;/&gt;&lt;wsp:rsid wsp:val=&quot;005C2E16&quot;/&gt;&lt;wsp:rsid wsp:val=&quot;005C307B&quot;/&gt;&lt;wsp:rsid wsp:val=&quot;005C30A3&quot;/&gt;&lt;wsp:rsid wsp:val=&quot;005C3184&quot;/&gt;&lt;wsp:rsid wsp:val=&quot;005C3274&quot;/&gt;&lt;wsp:rsid wsp:val=&quot;005C34E3&quot;/&gt;&lt;wsp:rsid wsp:val=&quot;005C354A&quot;/&gt;&lt;wsp:rsid wsp:val=&quot;005C3670&quot;/&gt;&lt;wsp:rsid wsp:val=&quot;005C36A6&quot;/&gt;&lt;wsp:rsid wsp:val=&quot;005C379A&quot;/&gt;&lt;wsp:rsid wsp:val=&quot;005C388A&quot;/&gt;&lt;wsp:rsid wsp:val=&quot;005C3B06&quot;/&gt;&lt;wsp:rsid wsp:val=&quot;005C3CE0&quot;/&gt;&lt;wsp:rsid wsp:val=&quot;005C41FC&quot;/&gt;&lt;wsp:rsid wsp:val=&quot;005C4222&quot;/&gt;&lt;wsp:rsid wsp:val=&quot;005C431E&quot;/&gt;&lt;wsp:rsid wsp:val=&quot;005C44B0&quot;/&gt;&lt;wsp:rsid wsp:val=&quot;005C44C5&quot;/&gt;&lt;wsp:rsid wsp:val=&quot;005C48A3&quot;/&gt;&lt;wsp:rsid wsp:val=&quot;005C4BA0&quot;/&gt;&lt;wsp:rsid wsp:val=&quot;005C4C05&quot;/&gt;&lt;wsp:rsid wsp:val=&quot;005C4C50&quot;/&gt;&lt;wsp:rsid wsp:val=&quot;005C4D37&quot;/&gt;&lt;wsp:rsid wsp:val=&quot;005C4D3E&quot;/&gt;&lt;wsp:rsid wsp:val=&quot;005C54EC&quot;/&gt;&lt;wsp:rsid wsp:val=&quot;005C585A&quot;/&gt;&lt;wsp:rsid wsp:val=&quot;005C5E06&quot;/&gt;&lt;wsp:rsid wsp:val=&quot;005C5F73&quot;/&gt;&lt;wsp:rsid wsp:val=&quot;005C60FA&quot;/&gt;&lt;wsp:rsid wsp:val=&quot;005C6138&quot;/&gt;&lt;wsp:rsid wsp:val=&quot;005C6519&quot;/&gt;&lt;wsp:rsid wsp:val=&quot;005C668B&quot;/&gt;&lt;wsp:rsid wsp:val=&quot;005C66AF&quot;/&gt;&lt;wsp:rsid wsp:val=&quot;005C6872&quot;/&gt;&lt;wsp:rsid wsp:val=&quot;005C6B52&quot;/&gt;&lt;wsp:rsid wsp:val=&quot;005C6BF9&quot;/&gt;&lt;wsp:rsid wsp:val=&quot;005C6ED8&quot;/&gt;&lt;wsp:rsid wsp:val=&quot;005C7339&quot;/&gt;&lt;wsp:rsid wsp:val=&quot;005C73F4&quot;/&gt;&lt;wsp:rsid wsp:val=&quot;005C74A3&quot;/&gt;&lt;wsp:rsid wsp:val=&quot;005C74E1&quot;/&gt;&lt;wsp:rsid wsp:val=&quot;005C76E2&quot;/&gt;&lt;wsp:rsid wsp:val=&quot;005C7C0B&quot;/&gt;&lt;wsp:rsid wsp:val=&quot;005D02E1&quot;/&gt;&lt;wsp:rsid wsp:val=&quot;005D0338&quot;/&gt;&lt;wsp:rsid wsp:val=&quot;005D03F1&quot;/&gt;&lt;wsp:rsid wsp:val=&quot;005D0562&quot;/&gt;&lt;wsp:rsid wsp:val=&quot;005D094D&quot;/&gt;&lt;wsp:rsid wsp:val=&quot;005D09CB&quot;/&gt;&lt;wsp:rsid wsp:val=&quot;005D0A28&quot;/&gt;&lt;wsp:rsid wsp:val=&quot;005D0BF5&quot;/&gt;&lt;wsp:rsid wsp:val=&quot;005D0D9E&quot;/&gt;&lt;wsp:rsid wsp:val=&quot;005D0DE0&quot;/&gt;&lt;wsp:rsid wsp:val=&quot;005D1422&quot;/&gt;&lt;wsp:rsid wsp:val=&quot;005D17EB&quot;/&gt;&lt;wsp:rsid wsp:val=&quot;005D1865&quot;/&gt;&lt;wsp:rsid wsp:val=&quot;005D1AB4&quot;/&gt;&lt;wsp:rsid wsp:val=&quot;005D1AD9&quot;/&gt;&lt;wsp:rsid wsp:val=&quot;005D1E71&quot;/&gt;&lt;wsp:rsid wsp:val=&quot;005D20C3&quot;/&gt;&lt;wsp:rsid wsp:val=&quot;005D22AB&quot;/&gt;&lt;wsp:rsid wsp:val=&quot;005D2415&quot;/&gt;&lt;wsp:rsid wsp:val=&quot;005D27A1&quot;/&gt;&lt;wsp:rsid wsp:val=&quot;005D27E6&quot;/&gt;&lt;wsp:rsid wsp:val=&quot;005D2CA4&quot;/&gt;&lt;wsp:rsid wsp:val=&quot;005D2EFC&quot;/&gt;&lt;wsp:rsid wsp:val=&quot;005D2FA9&quot;/&gt;&lt;wsp:rsid wsp:val=&quot;005D33CB&quot;/&gt;&lt;wsp:rsid wsp:val=&quot;005D3400&quot;/&gt;&lt;wsp:rsid wsp:val=&quot;005D3827&quot;/&gt;&lt;wsp:rsid wsp:val=&quot;005D4269&quot;/&gt;&lt;wsp:rsid wsp:val=&quot;005D459F&quot;/&gt;&lt;wsp:rsid wsp:val=&quot;005D47D1&quot;/&gt;&lt;wsp:rsid wsp:val=&quot;005D4880&quot;/&gt;&lt;wsp:rsid wsp:val=&quot;005D49BE&quot;/&gt;&lt;wsp:rsid wsp:val=&quot;005D4E19&quot;/&gt;&lt;wsp:rsid wsp:val=&quot;005D4FD7&quot;/&gt;&lt;wsp:rsid wsp:val=&quot;005D5087&quot;/&gt;&lt;wsp:rsid wsp:val=&quot;005D5200&quot;/&gt;&lt;wsp:rsid wsp:val=&quot;005D543E&quot;/&gt;&lt;wsp:rsid wsp:val=&quot;005D5A77&quot;/&gt;&lt;wsp:rsid wsp:val=&quot;005D5DFA&quot;/&gt;&lt;wsp:rsid wsp:val=&quot;005D603F&quot;/&gt;&lt;wsp:rsid wsp:val=&quot;005D6465&quot;/&gt;&lt;wsp:rsid wsp:val=&quot;005D6501&quot;/&gt;&lt;wsp:rsid wsp:val=&quot;005D66DC&quot;/&gt;&lt;wsp:rsid wsp:val=&quot;005D6993&quot;/&gt;&lt;wsp:rsid wsp:val=&quot;005D6BE2&quot;/&gt;&lt;wsp:rsid wsp:val=&quot;005D6CEC&quot;/&gt;&lt;wsp:rsid wsp:val=&quot;005D6D01&quot;/&gt;&lt;wsp:rsid wsp:val=&quot;005D6DE6&quot;/&gt;&lt;wsp:rsid wsp:val=&quot;005D6E29&quot;/&gt;&lt;wsp:rsid wsp:val=&quot;005D726E&quot;/&gt;&lt;wsp:rsid wsp:val=&quot;005D730F&quot;/&gt;&lt;wsp:rsid wsp:val=&quot;005D733F&quot;/&gt;&lt;wsp:rsid wsp:val=&quot;005D76E1&quot;/&gt;&lt;wsp:rsid wsp:val=&quot;005D76EA&quot;/&gt;&lt;wsp:rsid wsp:val=&quot;005D77AF&quot;/&gt;&lt;wsp:rsid wsp:val=&quot;005D7807&quot;/&gt;&lt;wsp:rsid wsp:val=&quot;005D7837&quot;/&gt;&lt;wsp:rsid wsp:val=&quot;005D7A5B&quot;/&gt;&lt;wsp:rsid wsp:val=&quot;005D7C0C&quot;/&gt;&lt;wsp:rsid wsp:val=&quot;005D7C63&quot;/&gt;&lt;wsp:rsid wsp:val=&quot;005E01F5&quot;/&gt;&lt;wsp:rsid wsp:val=&quot;005E02A8&quot;/&gt;&lt;wsp:rsid wsp:val=&quot;005E03EB&quot;/&gt;&lt;wsp:rsid wsp:val=&quot;005E0A39&quot;/&gt;&lt;wsp:rsid wsp:val=&quot;005E0AB2&quot;/&gt;&lt;wsp:rsid wsp:val=&quot;005E0F79&quot;/&gt;&lt;wsp:rsid wsp:val=&quot;005E1748&quot;/&gt;&lt;wsp:rsid wsp:val=&quot;005E181A&quot;/&gt;&lt;wsp:rsid wsp:val=&quot;005E19BA&quot;/&gt;&lt;wsp:rsid wsp:val=&quot;005E1A1F&quot;/&gt;&lt;wsp:rsid wsp:val=&quot;005E1B39&quot;/&gt;&lt;wsp:rsid wsp:val=&quot;005E1B7C&quot;/&gt;&lt;wsp:rsid wsp:val=&quot;005E2081&quot;/&gt;&lt;wsp:rsid wsp:val=&quot;005E21AD&quot;/&gt;&lt;wsp:rsid wsp:val=&quot;005E284B&quot;/&gt;&lt;wsp:rsid wsp:val=&quot;005E2969&quot;/&gt;&lt;wsp:rsid wsp:val=&quot;005E2A7F&quot;/&gt;&lt;wsp:rsid wsp:val=&quot;005E2A8F&quot;/&gt;&lt;wsp:rsid wsp:val=&quot;005E2BDA&quot;/&gt;&lt;wsp:rsid wsp:val=&quot;005E2C7B&quot;/&gt;&lt;wsp:rsid wsp:val=&quot;005E320A&quot;/&gt;&lt;wsp:rsid wsp:val=&quot;005E3428&quot;/&gt;&lt;wsp:rsid wsp:val=&quot;005E36D9&quot;/&gt;&lt;wsp:rsid wsp:val=&quot;005E3A17&quot;/&gt;&lt;wsp:rsid wsp:val=&quot;005E3A74&quot;/&gt;&lt;wsp:rsid wsp:val=&quot;005E4715&quot;/&gt;&lt;wsp:rsid wsp:val=&quot;005E4740&quot;/&gt;&lt;wsp:rsid wsp:val=&quot;005E484B&quot;/&gt;&lt;wsp:rsid wsp:val=&quot;005E485E&quot;/&gt;&lt;wsp:rsid wsp:val=&quot;005E497E&quot;/&gt;&lt;wsp:rsid wsp:val=&quot;005E49F5&quot;/&gt;&lt;wsp:rsid wsp:val=&quot;005E4B5C&quot;/&gt;&lt;wsp:rsid wsp:val=&quot;005E4B7D&quot;/&gt;&lt;wsp:rsid wsp:val=&quot;005E4D33&quot;/&gt;&lt;wsp:rsid wsp:val=&quot;005E4E03&quot;/&gt;&lt;wsp:rsid wsp:val=&quot;005E4FD7&quot;/&gt;&lt;wsp:rsid wsp:val=&quot;005E4FE9&quot;/&gt;&lt;wsp:rsid wsp:val=&quot;005E50D6&quot;/&gt;&lt;wsp:rsid wsp:val=&quot;005E520F&quot;/&gt;&lt;wsp:rsid wsp:val=&quot;005E5245&quot;/&gt;&lt;wsp:rsid wsp:val=&quot;005E534E&quot;/&gt;&lt;wsp:rsid wsp:val=&quot;005E555A&quot;/&gt;&lt;wsp:rsid wsp:val=&quot;005E5672&quot;/&gt;&lt;wsp:rsid wsp:val=&quot;005E5893&quot;/&gt;&lt;wsp:rsid wsp:val=&quot;005E5C96&quot;/&gt;&lt;wsp:rsid wsp:val=&quot;005E5E30&quot;/&gt;&lt;wsp:rsid wsp:val=&quot;005E5E74&quot;/&gt;&lt;wsp:rsid wsp:val=&quot;005E640E&quot;/&gt;&lt;wsp:rsid wsp:val=&quot;005E65A9&quot;/&gt;&lt;wsp:rsid wsp:val=&quot;005E6A03&quot;/&gt;&lt;wsp:rsid wsp:val=&quot;005E6ACF&quot;/&gt;&lt;wsp:rsid wsp:val=&quot;005E6BE5&quot;/&gt;&lt;wsp:rsid wsp:val=&quot;005E6CD2&quot;/&gt;&lt;wsp:rsid wsp:val=&quot;005E6D02&quot;/&gt;&lt;wsp:rsid wsp:val=&quot;005E72D1&quot;/&gt;&lt;wsp:rsid wsp:val=&quot;005E75D1&quot;/&gt;&lt;wsp:rsid wsp:val=&quot;005E7926&quot;/&gt;&lt;wsp:rsid wsp:val=&quot;005E79AA&quot;/&gt;&lt;wsp:rsid wsp:val=&quot;005E7C62&quot;/&gt;&lt;wsp:rsid wsp:val=&quot;005E7D4A&quot;/&gt;&lt;wsp:rsid wsp:val=&quot;005E7F0E&quot;/&gt;&lt;wsp:rsid wsp:val=&quot;005E7F44&quot;/&gt;&lt;wsp:rsid wsp:val=&quot;005F0003&quot;/&gt;&lt;wsp:rsid wsp:val=&quot;005F004B&quot;/&gt;&lt;wsp:rsid wsp:val=&quot;005F0168&quot;/&gt;&lt;wsp:rsid wsp:val=&quot;005F01D1&quot;/&gt;&lt;wsp:rsid wsp:val=&quot;005F04D8&quot;/&gt;&lt;wsp:rsid wsp:val=&quot;005F09A3&quot;/&gt;&lt;wsp:rsid wsp:val=&quot;005F0A1D&quot;/&gt;&lt;wsp:rsid wsp:val=&quot;005F0BFF&quot;/&gt;&lt;wsp:rsid wsp:val=&quot;005F0D97&quot;/&gt;&lt;wsp:rsid wsp:val=&quot;005F0DAF&quot;/&gt;&lt;wsp:rsid wsp:val=&quot;005F0FDF&quot;/&gt;&lt;wsp:rsid wsp:val=&quot;005F182E&quot;/&gt;&lt;wsp:rsid wsp:val=&quot;005F192B&quot;/&gt;&lt;wsp:rsid wsp:val=&quot;005F1E86&quot;/&gt;&lt;wsp:rsid wsp:val=&quot;005F2131&quot;/&gt;&lt;wsp:rsid wsp:val=&quot;005F29F4&quot;/&gt;&lt;wsp:rsid wsp:val=&quot;005F2A61&quot;/&gt;&lt;wsp:rsid wsp:val=&quot;005F2C79&quot;/&gt;&lt;wsp:rsid wsp:val=&quot;005F2C9A&quot;/&gt;&lt;wsp:rsid wsp:val=&quot;005F2DCE&quot;/&gt;&lt;wsp:rsid wsp:val=&quot;005F304F&quot;/&gt;&lt;wsp:rsid wsp:val=&quot;005F33A8&quot;/&gt;&lt;wsp:rsid wsp:val=&quot;005F3619&quot;/&gt;&lt;wsp:rsid wsp:val=&quot;005F37D1&quot;/&gt;&lt;wsp:rsid wsp:val=&quot;005F3C98&quot;/&gt;&lt;wsp:rsid wsp:val=&quot;005F3CDD&quot;/&gt;&lt;wsp:rsid wsp:val=&quot;005F3D4F&quot;/&gt;&lt;wsp:rsid wsp:val=&quot;005F42E9&quot;/&gt;&lt;wsp:rsid wsp:val=&quot;005F432B&quot;/&gt;&lt;wsp:rsid wsp:val=&quot;005F4417&quot;/&gt;&lt;wsp:rsid wsp:val=&quot;005F4895&quot;/&gt;&lt;wsp:rsid wsp:val=&quot;005F4CDF&quot;/&gt;&lt;wsp:rsid wsp:val=&quot;005F4DBB&quot;/&gt;&lt;wsp:rsid wsp:val=&quot;005F4ECE&quot;/&gt;&lt;wsp:rsid wsp:val=&quot;005F4FB0&quot;/&gt;&lt;wsp:rsid wsp:val=&quot;005F5002&quot;/&gt;&lt;wsp:rsid wsp:val=&quot;005F51B7&quot;/&gt;&lt;wsp:rsid wsp:val=&quot;005F52DB&quot;/&gt;&lt;wsp:rsid wsp:val=&quot;005F5995&quot;/&gt;&lt;wsp:rsid wsp:val=&quot;005F5B3B&quot;/&gt;&lt;wsp:rsid wsp:val=&quot;005F60A3&quot;/&gt;&lt;wsp:rsid wsp:val=&quot;005F659D&quot;/&gt;&lt;wsp:rsid wsp:val=&quot;005F688A&quot;/&gt;&lt;wsp:rsid wsp:val=&quot;005F6C3F&quot;/&gt;&lt;wsp:rsid wsp:val=&quot;005F7A20&quot;/&gt;&lt;wsp:rsid wsp:val=&quot;005F7B91&quot;/&gt;&lt;wsp:rsid wsp:val=&quot;005F7BDD&quot;/&gt;&lt;wsp:rsid wsp:val=&quot;005F7CB3&quot;/&gt;&lt;wsp:rsid wsp:val=&quot;005F7CF7&quot;/&gt;&lt;wsp:rsid wsp:val=&quot;006000DF&quot;/&gt;&lt;wsp:rsid wsp:val=&quot;006002DC&quot;/&gt;&lt;wsp:rsid wsp:val=&quot;00600314&quot;/&gt;&lt;wsp:rsid wsp:val=&quot;00600360&quot;/&gt;&lt;wsp:rsid wsp:val=&quot;00600463&quot;/&gt;&lt;wsp:rsid wsp:val=&quot;0060046F&quot;/&gt;&lt;wsp:rsid wsp:val=&quot;00600C36&quot;/&gt;&lt;wsp:rsid wsp:val=&quot;00600EF6&quot;/&gt;&lt;wsp:rsid wsp:val=&quot;00600FE9&quot;/&gt;&lt;wsp:rsid wsp:val=&quot;0060192D&quot;/&gt;&lt;wsp:rsid wsp:val=&quot;006019FD&quot;/&gt;&lt;wsp:rsid wsp:val=&quot;00601B85&quot;/&gt;&lt;wsp:rsid wsp:val=&quot;00602366&quot;/&gt;&lt;wsp:rsid wsp:val=&quot;00602B25&quot;/&gt;&lt;wsp:rsid wsp:val=&quot;00602B4E&quot;/&gt;&lt;wsp:rsid wsp:val=&quot;00602BFE&quot;/&gt;&lt;wsp:rsid wsp:val=&quot;00602C2F&quot;/&gt;&lt;wsp:rsid wsp:val=&quot;00602DC8&quot;/&gt;&lt;wsp:rsid wsp:val=&quot;00602EC7&quot;/&gt;&lt;wsp:rsid wsp:val=&quot;00602F8C&quot;/&gt;&lt;wsp:rsid wsp:val=&quot;006032E1&quot;/&gt;&lt;wsp:rsid wsp:val=&quot;006033C3&quot;/&gt;&lt;wsp:rsid wsp:val=&quot;006037D9&quot;/&gt;&lt;wsp:rsid wsp:val=&quot;006037FA&quot;/&gt;&lt;wsp:rsid wsp:val=&quot;00603865&quot;/&gt;&lt;wsp:rsid wsp:val=&quot;00603F4E&quot;/&gt;&lt;wsp:rsid wsp:val=&quot;0060426E&quot;/&gt;&lt;wsp:rsid wsp:val=&quot;0060453C&quot;/&gt;&lt;wsp:rsid wsp:val=&quot;006049BD&quot;/&gt;&lt;wsp:rsid wsp:val=&quot;00604A0F&quot;/&gt;&lt;wsp:rsid wsp:val=&quot;00604A9E&quot;/&gt;&lt;wsp:rsid wsp:val=&quot;00604C53&quot;/&gt;&lt;wsp:rsid wsp:val=&quot;00604C95&quot;/&gt;&lt;wsp:rsid wsp:val=&quot;00604EB0&quot;/&gt;&lt;wsp:rsid wsp:val=&quot;00604F8D&quot;/&gt;&lt;wsp:rsid wsp:val=&quot;00605102&quot;/&gt;&lt;wsp:rsid wsp:val=&quot;00605103&quot;/&gt;&lt;wsp:rsid wsp:val=&quot;006051FE&quot;/&gt;&lt;wsp:rsid wsp:val=&quot;00605248&quot;/&gt;&lt;wsp:rsid wsp:val=&quot;006053F8&quot;/&gt;&lt;wsp:rsid wsp:val=&quot;0060557A&quot;/&gt;&lt;wsp:rsid wsp:val=&quot;00605592&quot;/&gt;&lt;wsp:rsid wsp:val=&quot;0060562E&quot;/&gt;&lt;wsp:rsid wsp:val=&quot;00605880&quot;/&gt;&lt;wsp:rsid wsp:val=&quot;00605947&quot;/&gt;&lt;wsp:rsid wsp:val=&quot;00605E09&quot;/&gt;&lt;wsp:rsid wsp:val=&quot;00606053&quot;/&gt;&lt;wsp:rsid wsp:val=&quot;00606128&quot;/&gt;&lt;wsp:rsid wsp:val=&quot;0060624F&quot;/&gt;&lt;wsp:rsid wsp:val=&quot;006064EA&quot;/&gt;&lt;wsp:rsid wsp:val=&quot;00606842&quot;/&gt;&lt;wsp:rsid wsp:val=&quot;00606A4A&quot;/&gt;&lt;wsp:rsid wsp:val=&quot;00606C09&quot;/&gt;&lt;wsp:rsid wsp:val=&quot;00606C1A&quot;/&gt;&lt;wsp:rsid wsp:val=&quot;00606EDD&quot;/&gt;&lt;wsp:rsid wsp:val=&quot;00606F14&quot;/&gt;&lt;wsp:rsid wsp:val=&quot;0060739D&quot;/&gt;&lt;wsp:rsid wsp:val=&quot;00607402&quot;/&gt;&lt;wsp:rsid wsp:val=&quot;006077CE&quot;/&gt;&lt;wsp:rsid wsp:val=&quot;006077D1&quot;/&gt;&lt;wsp:rsid wsp:val=&quot;00607A89&quot;/&gt;&lt;wsp:rsid wsp:val=&quot;00607B0D&quot;/&gt;&lt;wsp:rsid wsp:val=&quot;00607B15&quot;/&gt;&lt;wsp:rsid wsp:val=&quot;00607F20&quot;/&gt;&lt;wsp:rsid wsp:val=&quot;00607F89&quot;/&gt;&lt;wsp:rsid wsp:val=&quot;0061031F&quot;/&gt;&lt;wsp:rsid wsp:val=&quot;006103FB&quot;/&gt;&lt;wsp:rsid wsp:val=&quot;006105E7&quot;/&gt;&lt;wsp:rsid wsp:val=&quot;00610609&quot;/&gt;&lt;wsp:rsid wsp:val=&quot;00610690&quot;/&gt;&lt;wsp:rsid wsp:val=&quot;00610937&quot;/&gt;&lt;wsp:rsid wsp:val=&quot;006114F0&quot;/&gt;&lt;wsp:rsid wsp:val=&quot;0061150A&quot;/&gt;&lt;wsp:rsid wsp:val=&quot;006115F0&quot;/&gt;&lt;wsp:rsid wsp:val=&quot;0061165C&quot;/&gt;&lt;wsp:rsid wsp:val=&quot;00611ABE&quot;/&gt;&lt;wsp:rsid wsp:val=&quot;00611BED&quot;/&gt;&lt;wsp:rsid wsp:val=&quot;006121A5&quot;/&gt;&lt;wsp:rsid wsp:val=&quot;006123F3&quot;/&gt;&lt;wsp:rsid wsp:val=&quot;00612518&quot;/&gt;&lt;wsp:rsid wsp:val=&quot;00612835&quot;/&gt;&lt;wsp:rsid wsp:val=&quot;00612B25&quot;/&gt;&lt;wsp:rsid wsp:val=&quot;00612C31&quot;/&gt;&lt;wsp:rsid wsp:val=&quot;00612E64&quot;/&gt;&lt;wsp:rsid wsp:val=&quot;00612EBD&quot;/&gt;&lt;wsp:rsid wsp:val=&quot;006135D0&quot;/&gt;&lt;wsp:rsid wsp:val=&quot;00613855&quot;/&gt;&lt;wsp:rsid wsp:val=&quot;006139B9&quot;/&gt;&lt;wsp:rsid wsp:val=&quot;006139D4&quot;/&gt;&lt;wsp:rsid wsp:val=&quot;00613B1A&quot;/&gt;&lt;wsp:rsid wsp:val=&quot;00613BC5&quot;/&gt;&lt;wsp:rsid wsp:val=&quot;00613D62&quot;/&gt;&lt;wsp:rsid wsp:val=&quot;00613EA3&quot;/&gt;&lt;wsp:rsid wsp:val=&quot;006141F8&quot;/&gt;&lt;wsp:rsid wsp:val=&quot;00614662&quot;/&gt;&lt;wsp:rsid wsp:val=&quot;0061466A&quot;/&gt;&lt;wsp:rsid wsp:val=&quot;006147B1&quot;/&gt;&lt;wsp:rsid wsp:val=&quot;00614959&quot;/&gt;&lt;wsp:rsid wsp:val=&quot;00614A97&quot;/&gt;&lt;wsp:rsid wsp:val=&quot;00614ADA&quot;/&gt;&lt;wsp:rsid wsp:val=&quot;00614B51&quot;/&gt;&lt;wsp:rsid wsp:val=&quot;00614D95&quot;/&gt;&lt;wsp:rsid wsp:val=&quot;00614F86&quot;/&gt;&lt;wsp:rsid wsp:val=&quot;00615080&quot;/&gt;&lt;wsp:rsid wsp:val=&quot;00615399&quot;/&gt;&lt;wsp:rsid wsp:val=&quot;006157EE&quot;/&gt;&lt;wsp:rsid wsp:val=&quot;006159AC&quot;/&gt;&lt;wsp:rsid wsp:val=&quot;00615A02&quot;/&gt;&lt;wsp:rsid wsp:val=&quot;00615F62&quot;/&gt;&lt;wsp:rsid wsp:val=&quot;0061612E&quot;/&gt;&lt;wsp:rsid wsp:val=&quot;006162CF&quot;/&gt;&lt;wsp:rsid wsp:val=&quot;00616563&quot;/&gt;&lt;wsp:rsid wsp:val=&quot;00616612&quot;/&gt;&lt;wsp:rsid wsp:val=&quot;00616984&quot;/&gt;&lt;wsp:rsid wsp:val=&quot;00616B85&quot;/&gt;&lt;wsp:rsid wsp:val=&quot;00616BC1&quot;/&gt;&lt;wsp:rsid wsp:val=&quot;00616CAE&quot;/&gt;&lt;wsp:rsid wsp:val=&quot;00616EA7&quot;/&gt;&lt;wsp:rsid wsp:val=&quot;00616ECB&quot;/&gt;&lt;wsp:rsid wsp:val=&quot;00617234&quot;/&gt;&lt;wsp:rsid wsp:val=&quot;00617379&quot;/&gt;&lt;wsp:rsid wsp:val=&quot;00617593&quot;/&gt;&lt;wsp:rsid wsp:val=&quot;006177AD&quot;/&gt;&lt;wsp:rsid wsp:val=&quot;0061799B&quot;/&gt;&lt;wsp:rsid wsp:val=&quot;00617A85&quot;/&gt;&lt;wsp:rsid wsp:val=&quot;00617E40&quot;/&gt;&lt;wsp:rsid wsp:val=&quot;00617E5A&quot;/&gt;&lt;wsp:rsid wsp:val=&quot;00617F59&quot;/&gt;&lt;wsp:rsid wsp:val=&quot;00620338&quot;/&gt;&lt;wsp:rsid wsp:val=&quot;006203E7&quot;/&gt;&lt;wsp:rsid wsp:val=&quot;00620462&quot;/&gt;&lt;wsp:rsid wsp:val=&quot;006205E2&quot;/&gt;&lt;wsp:rsid wsp:val=&quot;006208CC&quot;/&gt;&lt;wsp:rsid wsp:val=&quot;0062092A&quot;/&gt;&lt;wsp:rsid wsp:val=&quot;00620977&quot;/&gt;&lt;wsp:rsid wsp:val=&quot;00620DF4&quot;/&gt;&lt;wsp:rsid wsp:val=&quot;0062161D&quot;/&gt;&lt;wsp:rsid wsp:val=&quot;00621BE0&quot;/&gt;&lt;wsp:rsid wsp:val=&quot;00621CA3&quot;/&gt;&lt;wsp:rsid wsp:val=&quot;006222C6&quot;/&gt;&lt;wsp:rsid wsp:val=&quot;006227A7&quot;/&gt;&lt;wsp:rsid wsp:val=&quot;006227C9&quot;/&gt;&lt;wsp:rsid wsp:val=&quot;006228EB&quot;/&gt;&lt;wsp:rsid wsp:val=&quot;006228EE&quot;/&gt;&lt;wsp:rsid wsp:val=&quot;00622B60&quot;/&gt;&lt;wsp:rsid wsp:val=&quot;00622BBB&quot;/&gt;&lt;wsp:rsid wsp:val=&quot;00623133&quot;/&gt;&lt;wsp:rsid wsp:val=&quot;0062322D&quot;/&gt;&lt;wsp:rsid wsp:val=&quot;00623624&quot;/&gt;&lt;wsp:rsid wsp:val=&quot;006238F9&quot;/&gt;&lt;wsp:rsid wsp:val=&quot;00623B1F&quot;/&gt;&lt;wsp:rsid wsp:val=&quot;00623FC9&quot;/&gt;&lt;wsp:rsid wsp:val=&quot;006240D7&quot;/&gt;&lt;wsp:rsid wsp:val=&quot;0062431B&quot;/&gt;&lt;wsp:rsid wsp:val=&quot;006249F4&quot;/&gt;&lt;wsp:rsid wsp:val=&quot;00624B2F&quot;/&gt;&lt;wsp:rsid wsp:val=&quot;00624C26&quot;/&gt;&lt;wsp:rsid wsp:val=&quot;00624E8D&quot;/&gt;&lt;wsp:rsid wsp:val=&quot;00624E93&quot;/&gt;&lt;wsp:rsid wsp:val=&quot;0062503F&quot;/&gt;&lt;wsp:rsid wsp:val=&quot;00625890&quot;/&gt;&lt;wsp:rsid wsp:val=&quot;00625E9F&quot;/&gt;&lt;wsp:rsid wsp:val=&quot;00625EDC&quot;/&gt;&lt;wsp:rsid wsp:val=&quot;00626050&quot;/&gt;&lt;wsp:rsid wsp:val=&quot;00626355&quot;/&gt;&lt;wsp:rsid wsp:val=&quot;006263D7&quot;/&gt;&lt;wsp:rsid wsp:val=&quot;006263F6&quot;/&gt;&lt;wsp:rsid wsp:val=&quot;00626DA9&quot;/&gt;&lt;wsp:rsid wsp:val=&quot;00626DBC&quot;/&gt;&lt;wsp:rsid wsp:val=&quot;0062701B&quot;/&gt;&lt;wsp:rsid wsp:val=&quot;006273D2&quot;/&gt;&lt;wsp:rsid wsp:val=&quot;0062775A&quot;/&gt;&lt;wsp:rsid wsp:val=&quot;0062778B&quot;/&gt;&lt;wsp:rsid wsp:val=&quot;0062782B&quot;/&gt;&lt;wsp:rsid wsp:val=&quot;006279F4&quot;/&gt;&lt;wsp:rsid wsp:val=&quot;00627BC0&quot;/&gt;&lt;wsp:rsid wsp:val=&quot;00627C20&quot;/&gt;&lt;wsp:rsid wsp:val=&quot;0063028E&quot;/&gt;&lt;wsp:rsid wsp:val=&quot;00630658&quot;/&gt;&lt;wsp:rsid wsp:val=&quot;006306D3&quot;/&gt;&lt;wsp:rsid wsp:val=&quot;00630A11&quot;/&gt;&lt;wsp:rsid wsp:val=&quot;00630BB6&quot;/&gt;&lt;wsp:rsid wsp:val=&quot;00630BB9&quot;/&gt;&lt;wsp:rsid wsp:val=&quot;00630E84&quot;/&gt;&lt;wsp:rsid wsp:val=&quot;00630FA2&quot;/&gt;&lt;wsp:rsid wsp:val=&quot;006312C8&quot;/&gt;&lt;wsp:rsid wsp:val=&quot;0063165A&quot;/&gt;&lt;wsp:rsid wsp:val=&quot;006316B3&quot;/&gt;&lt;wsp:rsid wsp:val=&quot;00631731&quot;/&gt;&lt;wsp:rsid wsp:val=&quot;0063196E&quot;/&gt;&lt;wsp:rsid wsp:val=&quot;00631A2B&quot;/&gt;&lt;wsp:rsid wsp:val=&quot;00631B95&quot;/&gt;&lt;wsp:rsid wsp:val=&quot;00631FB1&quot;/&gt;&lt;wsp:rsid wsp:val=&quot;00632027&quot;/&gt;&lt;wsp:rsid wsp:val=&quot;00632096&quot;/&gt;&lt;wsp:rsid wsp:val=&quot;00632401&quot;/&gt;&lt;wsp:rsid wsp:val=&quot;0063260A&quot;/&gt;&lt;wsp:rsid wsp:val=&quot;00632919&quot;/&gt;&lt;wsp:rsid wsp:val=&quot;00632B0D&quot;/&gt;&lt;wsp:rsid wsp:val=&quot;00632B2E&quot;/&gt;&lt;wsp:rsid wsp:val=&quot;00632C80&quot;/&gt;&lt;wsp:rsid wsp:val=&quot;00632D05&quot;/&gt;&lt;wsp:rsid wsp:val=&quot;00632E78&quot;/&gt;&lt;wsp:rsid wsp:val=&quot;006334C5&quot;/&gt;&lt;wsp:rsid wsp:val=&quot;006335EA&quot;/&gt;&lt;wsp:rsid wsp:val=&quot;006339B5&quot;/&gt;&lt;wsp:rsid wsp:val=&quot;00633C5F&quot;/&gt;&lt;wsp:rsid wsp:val=&quot;00633F3B&quot;/&gt;&lt;wsp:rsid wsp:val=&quot;00633FDD&quot;/&gt;&lt;wsp:rsid wsp:val=&quot;006340DD&quot;/&gt;&lt;wsp:rsid wsp:val=&quot;00634103&quot;/&gt;&lt;wsp:rsid wsp:val=&quot;006346CD&quot;/&gt;&lt;wsp:rsid wsp:val=&quot;00634732&quot;/&gt;&lt;wsp:rsid wsp:val=&quot;00634951&quot;/&gt;&lt;wsp:rsid wsp:val=&quot;00634E10&quot;/&gt;&lt;wsp:rsid wsp:val=&quot;00634FE8&quot;/&gt;&lt;wsp:rsid wsp:val=&quot;006354BE&quot;/&gt;&lt;wsp:rsid wsp:val=&quot;00635698&quot;/&gt;&lt;wsp:rsid wsp:val=&quot;00635A2D&quot;/&gt;&lt;wsp:rsid wsp:val=&quot;00635BD5&quot;/&gt;&lt;wsp:rsid wsp:val=&quot;00635E52&quot;/&gt;&lt;wsp:rsid wsp:val=&quot;00636060&quot;/&gt;&lt;wsp:rsid wsp:val=&quot;00636077&quot;/&gt;&lt;wsp:rsid wsp:val=&quot;00636217&quot;/&gt;&lt;wsp:rsid wsp:val=&quot;00636682&quot;/&gt;&lt;wsp:rsid wsp:val=&quot;00636775&quot;/&gt;&lt;wsp:rsid wsp:val=&quot;0063685B&quot;/&gt;&lt;wsp:rsid wsp:val=&quot;00636E16&quot;/&gt;&lt;wsp:rsid wsp:val=&quot;00636FBF&quot;/&gt;&lt;wsp:rsid wsp:val=&quot;006375E3&quot;/&gt;&lt;wsp:rsid wsp:val=&quot;00637C42&quot;/&gt;&lt;wsp:rsid wsp:val=&quot;00637DDE&quot;/&gt;&lt;wsp:rsid wsp:val=&quot;00640141&quot;/&gt;&lt;wsp:rsid wsp:val=&quot;006401BF&quot;/&gt;&lt;wsp:rsid wsp:val=&quot;00640212&quot;/&gt;&lt;wsp:rsid wsp:val=&quot;006402DA&quot;/&gt;&lt;wsp:rsid wsp:val=&quot;0064046A&quot;/&gt;&lt;wsp:rsid wsp:val=&quot;00640863&quot;/&gt;&lt;wsp:rsid wsp:val=&quot;00640873&quot;/&gt;&lt;wsp:rsid wsp:val=&quot;00640FCD&quot;/&gt;&lt;wsp:rsid wsp:val=&quot;0064115D&quot;/&gt;&lt;wsp:rsid wsp:val=&quot;0064190B&quot;/&gt;&lt;wsp:rsid wsp:val=&quot;00641D06&quot;/&gt;&lt;wsp:rsid wsp:val=&quot;00641DEF&quot;/&gt;&lt;wsp:rsid wsp:val=&quot;00641E54&quot;/&gt;&lt;wsp:rsid wsp:val=&quot;0064209D&quot;/&gt;&lt;wsp:rsid wsp:val=&quot;006421BA&quot;/&gt;&lt;wsp:rsid wsp:val=&quot;00642530&quot;/&gt;&lt;wsp:rsid wsp:val=&quot;00642839&quot;/&gt;&lt;wsp:rsid wsp:val=&quot;00642DC5&quot;/&gt;&lt;wsp:rsid wsp:val=&quot;00642E38&quot;/&gt;&lt;wsp:rsid wsp:val=&quot;006431B1&quot;/&gt;&lt;wsp:rsid wsp:val=&quot;00643331&quot;/&gt;&lt;wsp:rsid wsp:val=&quot;006434EF&quot;/&gt;&lt;wsp:rsid wsp:val=&quot;006436D6&quot;/&gt;&lt;wsp:rsid wsp:val=&quot;006437E7&quot;/&gt;&lt;wsp:rsid wsp:val=&quot;00643D28&quot;/&gt;&lt;wsp:rsid wsp:val=&quot;00643DF5&quot;/&gt;&lt;wsp:rsid wsp:val=&quot;00644062&quot;/&gt;&lt;wsp:rsid wsp:val=&quot;006443A6&quot;/&gt;&lt;wsp:rsid wsp:val=&quot;00644565&quot;/&gt;&lt;wsp:rsid wsp:val=&quot;00644672&quot;/&gt;&lt;wsp:rsid wsp:val=&quot;0064467F&quot;/&gt;&lt;wsp:rsid wsp:val=&quot;00644CCD&quot;/&gt;&lt;wsp:rsid wsp:val=&quot;006454C0&quot;/&gt;&lt;wsp:rsid wsp:val=&quot;00645642&quot;/&gt;&lt;wsp:rsid wsp:val=&quot;0064570C&quot;/&gt;&lt;wsp:rsid wsp:val=&quot;00645DCF&quot;/&gt;&lt;wsp:rsid wsp:val=&quot;00645E05&quot;/&gt;&lt;wsp:rsid wsp:val=&quot;00645E47&quot;/&gt;&lt;wsp:rsid wsp:val=&quot;0064626F&quot;/&gt;&lt;wsp:rsid wsp:val=&quot;006462A0&quot;/&gt;&lt;wsp:rsid wsp:val=&quot;00646B2C&quot;/&gt;&lt;wsp:rsid wsp:val=&quot;00646BCB&quot;/&gt;&lt;wsp:rsid wsp:val=&quot;00646DD4&quot;/&gt;&lt;wsp:rsid wsp:val=&quot;00647047&quot;/&gt;&lt;wsp:rsid wsp:val=&quot;006470F9&quot;/&gt;&lt;wsp:rsid wsp:val=&quot;00647224&quot;/&gt;&lt;wsp:rsid wsp:val=&quot;00647469&quot;/&gt;&lt;wsp:rsid wsp:val=&quot;00647826&quot;/&gt;&lt;wsp:rsid wsp:val=&quot;00647827&quot;/&gt;&lt;wsp:rsid wsp:val=&quot;00647E11&quot;/&gt;&lt;wsp:rsid wsp:val=&quot;00647E3A&quot;/&gt;&lt;wsp:rsid wsp:val=&quot;00647F81&quot;/&gt;&lt;wsp:rsid wsp:val=&quot;00647F84&quot;/&gt;&lt;wsp:rsid wsp:val=&quot;006504D9&quot;/&gt;&lt;wsp:rsid wsp:val=&quot;0065087D&quot;/&gt;&lt;wsp:rsid wsp:val=&quot;00650931&quot;/&gt;&lt;wsp:rsid wsp:val=&quot;00650BC3&quot;/&gt;&lt;wsp:rsid wsp:val=&quot;00650F4A&quot;/&gt;&lt;wsp:rsid wsp:val=&quot;00651352&quot;/&gt;&lt;wsp:rsid wsp:val=&quot;006515AD&quot;/&gt;&lt;wsp:rsid wsp:val=&quot;0065179F&quot;/&gt;&lt;wsp:rsid wsp:val=&quot;00651A09&quot;/&gt;&lt;wsp:rsid wsp:val=&quot;00651C19&quot;/&gt;&lt;wsp:rsid wsp:val=&quot;00651EF3&quot;/&gt;&lt;wsp:rsid wsp:val=&quot;0065218F&quot;/&gt;&lt;wsp:rsid wsp:val=&quot;006522CC&quot;/&gt;&lt;wsp:rsid wsp:val=&quot;00652404&quot;/&gt;&lt;wsp:rsid wsp:val=&quot;0065244D&quot;/&gt;&lt;wsp:rsid wsp:val=&quot;006525E7&quot;/&gt;&lt;wsp:rsid wsp:val=&quot;0065286F&quot;/&gt;&lt;wsp:rsid wsp:val=&quot;00652B47&quot;/&gt;&lt;wsp:rsid wsp:val=&quot;00652B5A&quot;/&gt;&lt;wsp:rsid wsp:val=&quot;00652BCF&quot;/&gt;&lt;wsp:rsid wsp:val=&quot;00652CD2&quot;/&gt;&lt;wsp:rsid wsp:val=&quot;00653397&quot;/&gt;&lt;wsp:rsid wsp:val=&quot;006534D6&quot;/&gt;&lt;wsp:rsid wsp:val=&quot;0065363A&quot;/&gt;&lt;wsp:rsid wsp:val=&quot;00653B1D&quot;/&gt;&lt;wsp:rsid wsp:val=&quot;00653F60&quot;/&gt;&lt;wsp:rsid wsp:val=&quot;00654134&quot;/&gt;&lt;wsp:rsid wsp:val=&quot;006542A0&quot;/&gt;&lt;wsp:rsid wsp:val=&quot;00654436&quot;/&gt;&lt;wsp:rsid wsp:val=&quot;00654605&quot;/&gt;&lt;wsp:rsid wsp:val=&quot;006547D8&quot;/&gt;&lt;wsp:rsid wsp:val=&quot;00654949&quot;/&gt;&lt;wsp:rsid wsp:val=&quot;00654A28&quot;/&gt;&lt;wsp:rsid wsp:val=&quot;00654BBE&quot;/&gt;&lt;wsp:rsid wsp:val=&quot;00654E9F&quot;/&gt;&lt;wsp:rsid wsp:val=&quot;00654FB7&quot;/&gt;&lt;wsp:rsid wsp:val=&quot;006553DA&quot;/&gt;&lt;wsp:rsid wsp:val=&quot;006555F0&quot;/&gt;&lt;wsp:rsid wsp:val=&quot;00655642&quot;/&gt;&lt;wsp:rsid wsp:val=&quot;006557CF&quot;/&gt;&lt;wsp:rsid wsp:val=&quot;00655860&quot;/&gt;&lt;wsp:rsid wsp:val=&quot;00655AFD&quot;/&gt;&lt;wsp:rsid wsp:val=&quot;00655CB7&quot;/&gt;&lt;wsp:rsid wsp:val=&quot;00655E49&quot;/&gt;&lt;wsp:rsid wsp:val=&quot;006566AE&quot;/&gt;&lt;wsp:rsid wsp:val=&quot;00656A1A&quot;/&gt;&lt;wsp:rsid wsp:val=&quot;00656C50&quot;/&gt;&lt;wsp:rsid wsp:val=&quot;00656C90&quot;/&gt;&lt;wsp:rsid wsp:val=&quot;00656C93&quot;/&gt;&lt;wsp:rsid wsp:val=&quot;00656E51&quot;/&gt;&lt;wsp:rsid wsp:val=&quot;00656FB9&quot;/&gt;&lt;wsp:rsid wsp:val=&quot;00657076&quot;/&gt;&lt;wsp:rsid wsp:val=&quot;00657107&quot;/&gt;&lt;wsp:rsid wsp:val=&quot;0065713F&quot;/&gt;&lt;wsp:rsid wsp:val=&quot;006574C5&quot;/&gt;&lt;wsp:rsid wsp:val=&quot;00657654&quot;/&gt;&lt;wsp:rsid wsp:val=&quot;0065778E&quot;/&gt;&lt;wsp:rsid wsp:val=&quot;0065786C&quot;/&gt;&lt;wsp:rsid wsp:val=&quot;00657F47&quot;/&gt;&lt;wsp:rsid wsp:val=&quot;0066010B&quot;/&gt;&lt;wsp:rsid wsp:val=&quot;00660129&quot;/&gt;&lt;wsp:rsid wsp:val=&quot;00660160&quot;/&gt;&lt;wsp:rsid wsp:val=&quot;006607F2&quot;/&gt;&lt;wsp:rsid wsp:val=&quot;00660812&quot;/&gt;&lt;wsp:rsid wsp:val=&quot;0066088C&quot;/&gt;&lt;wsp:rsid wsp:val=&quot;00660C43&quot;/&gt;&lt;wsp:rsid wsp:val=&quot;00660D3F&quot;/&gt;&lt;wsp:rsid wsp:val=&quot;00660F20&quot;/&gt;&lt;wsp:rsid wsp:val=&quot;00660F99&quot;/&gt;&lt;wsp:rsid wsp:val=&quot;00661247&quot;/&gt;&lt;wsp:rsid wsp:val=&quot;00661824&quot;/&gt;&lt;wsp:rsid wsp:val=&quot;0066184E&quot;/&gt;&lt;wsp:rsid wsp:val=&quot;00661AFB&quot;/&gt;&lt;wsp:rsid wsp:val=&quot;00661BAB&quot;/&gt;&lt;wsp:rsid wsp:val=&quot;00661E0E&quot;/&gt;&lt;wsp:rsid wsp:val=&quot;00662028&quot;/&gt;&lt;wsp:rsid wsp:val=&quot;00662507&quot;/&gt;&lt;wsp:rsid wsp:val=&quot;006626B3&quot;/&gt;&lt;wsp:rsid wsp:val=&quot;006627EE&quot;/&gt;&lt;wsp:rsid wsp:val=&quot;0066287C&quot;/&gt;&lt;wsp:rsid wsp:val=&quot;00662972&quot;/&gt;&lt;wsp:rsid wsp:val=&quot;00662BAC&quot;/&gt;&lt;wsp:rsid wsp:val=&quot;00663057&quot;/&gt;&lt;wsp:rsid wsp:val=&quot;006630CD&quot;/&gt;&lt;wsp:rsid wsp:val=&quot;006631A2&quot;/&gt;&lt;wsp:rsid wsp:val=&quot;0066357B&quot;/&gt;&lt;wsp:rsid wsp:val=&quot;00663774&quot;/&gt;&lt;wsp:rsid wsp:val=&quot;00664434&quot;/&gt;&lt;wsp:rsid wsp:val=&quot;006644D8&quot;/&gt;&lt;wsp:rsid wsp:val=&quot;00664582&quot;/&gt;&lt;wsp:rsid wsp:val=&quot;00664765&quot;/&gt;&lt;wsp:rsid wsp:val=&quot;0066495A&quot;/&gt;&lt;wsp:rsid wsp:val=&quot;00664BBB&quot;/&gt;&lt;wsp:rsid wsp:val=&quot;00664F83&quot;/&gt;&lt;wsp:rsid wsp:val=&quot;00665221&quot;/&gt;&lt;wsp:rsid wsp:val=&quot;0066563A&quot;/&gt;&lt;wsp:rsid wsp:val=&quot;006656B1&quot;/&gt;&lt;wsp:rsid wsp:val=&quot;006658C0&quot;/&gt;&lt;wsp:rsid wsp:val=&quot;0066591E&quot;/&gt;&lt;wsp:rsid wsp:val=&quot;00665B6A&quot;/&gt;&lt;wsp:rsid wsp:val=&quot;00665C78&quot;/&gt;&lt;wsp:rsid wsp:val=&quot;00665F8A&quot;/&gt;&lt;wsp:rsid wsp:val=&quot;00666047&quot;/&gt;&lt;wsp:rsid wsp:val=&quot;006660B1&quot;/&gt;&lt;wsp:rsid wsp:val=&quot;006664F1&quot;/&gt;&lt;wsp:rsid wsp:val=&quot;006666F9&quot;/&gt;&lt;wsp:rsid wsp:val=&quot;00666970&quot;/&gt;&lt;wsp:rsid wsp:val=&quot;00666E07&quot;/&gt;&lt;wsp:rsid wsp:val=&quot;006672A9&quot;/&gt;&lt;wsp:rsid wsp:val=&quot;0066732C&quot;/&gt;&lt;wsp:rsid wsp:val=&quot;006673C9&quot;/&gt;&lt;wsp:rsid wsp:val=&quot;006673F9&quot;/&gt;&lt;wsp:rsid wsp:val=&quot;00667805&quot;/&gt;&lt;wsp:rsid wsp:val=&quot;00667CF7&quot;/&gt;&lt;wsp:rsid wsp:val=&quot;00667E58&quot;/&gt;&lt;wsp:rsid wsp:val=&quot;00667FD9&quot;/&gt;&lt;wsp:rsid wsp:val=&quot;006701A1&quot;/&gt;&lt;wsp:rsid wsp:val=&quot;006705BC&quot;/&gt;&lt;wsp:rsid wsp:val=&quot;006706BC&quot;/&gt;&lt;wsp:rsid wsp:val=&quot;00670900&quot;/&gt;&lt;wsp:rsid wsp:val=&quot;00670C7F&quot;/&gt;&lt;wsp:rsid wsp:val=&quot;00670C8D&quot;/&gt;&lt;wsp:rsid wsp:val=&quot;00670D02&quot;/&gt;&lt;wsp:rsid wsp:val=&quot;00670D8A&quot;/&gt;&lt;wsp:rsid wsp:val=&quot;00670E37&quot;/&gt;&lt;wsp:rsid wsp:val=&quot;00670FFD&quot;/&gt;&lt;wsp:rsid wsp:val=&quot;00671000&quot;/&gt;&lt;wsp:rsid wsp:val=&quot;0067100F&quot;/&gt;&lt;wsp:rsid wsp:val=&quot;006715D3&quot;/&gt;&lt;wsp:rsid wsp:val=&quot;00671D60&quot;/&gt;&lt;wsp:rsid wsp:val=&quot;00671EB0&quot;/&gt;&lt;wsp:rsid wsp:val=&quot;00671FC7&quot;/&gt;&lt;wsp:rsid wsp:val=&quot;00672418&quot;/&gt;&lt;wsp:rsid wsp:val=&quot;006728AF&quot;/&gt;&lt;wsp:rsid wsp:val=&quot;006728C8&quot;/&gt;&lt;wsp:rsid wsp:val=&quot;006728E5&quot;/&gt;&lt;wsp:rsid wsp:val=&quot;00672910&quot;/&gt;&lt;wsp:rsid wsp:val=&quot;00672A7B&quot;/&gt;&lt;wsp:rsid wsp:val=&quot;00672B1D&quot;/&gt;&lt;wsp:rsid wsp:val=&quot;00672C7A&quot;/&gt;&lt;wsp:rsid wsp:val=&quot;00672DF3&quot;/&gt;&lt;wsp:rsid wsp:val=&quot;00672FD8&quot;/&gt;&lt;wsp:rsid wsp:val=&quot;00673258&quot;/&gt;&lt;wsp:rsid wsp:val=&quot;0067334E&quot;/&gt;&lt;wsp:rsid wsp:val=&quot;006738CB&quot;/&gt;&lt;wsp:rsid wsp:val=&quot;00673A34&quot;/&gt;&lt;wsp:rsid wsp:val=&quot;00673E52&quot;/&gt;&lt;wsp:rsid wsp:val=&quot;006740D1&quot;/&gt;&lt;wsp:rsid wsp:val=&quot;006744F0&quot;/&gt;&lt;wsp:rsid wsp:val=&quot;0067492E&quot;/&gt;&lt;wsp:rsid wsp:val=&quot;00674B0E&quot;/&gt;&lt;wsp:rsid wsp:val=&quot;00674C6F&quot;/&gt;&lt;wsp:rsid wsp:val=&quot;00674ED8&quot;/&gt;&lt;wsp:rsid wsp:val=&quot;006751D5&quot;/&gt;&lt;wsp:rsid wsp:val=&quot;00675470&quot;/&gt;&lt;wsp:rsid wsp:val=&quot;00675490&quot;/&gt;&lt;wsp:rsid wsp:val=&quot;006755B1&quot;/&gt;&lt;wsp:rsid wsp:val=&quot;006758A2&quot;/&gt;&lt;wsp:rsid wsp:val=&quot;00675AE6&quot;/&gt;&lt;wsp:rsid wsp:val=&quot;00675E62&quot;/&gt;&lt;wsp:rsid wsp:val=&quot;00675EE8&quot;/&gt;&lt;wsp:rsid wsp:val=&quot;00676240&quot;/&gt;&lt;wsp:rsid wsp:val=&quot;00676B2D&quot;/&gt;&lt;wsp:rsid wsp:val=&quot;00676B36&quot;/&gt;&lt;wsp:rsid wsp:val=&quot;00676B43&quot;/&gt;&lt;wsp:rsid wsp:val=&quot;00676CDC&quot;/&gt;&lt;wsp:rsid wsp:val=&quot;00676EC4&quot;/&gt;&lt;wsp:rsid wsp:val=&quot;00676EF2&quot;/&gt;&lt;wsp:rsid wsp:val=&quot;00677497&quot;/&gt;&lt;wsp:rsid wsp:val=&quot;00677924&quot;/&gt;&lt;wsp:rsid wsp:val=&quot;006779AA&quot;/&gt;&lt;wsp:rsid wsp:val=&quot;00677A58&quot;/&gt;&lt;wsp:rsid wsp:val=&quot;00677BA1&quot;/&gt;&lt;wsp:rsid wsp:val=&quot;00677DD1&quot;/&gt;&lt;wsp:rsid wsp:val=&quot;00677FE0&quot;/&gt;&lt;wsp:rsid wsp:val=&quot;0068032F&quot;/&gt;&lt;wsp:rsid wsp:val=&quot;006808FE&quot;/&gt;&lt;wsp:rsid wsp:val=&quot;00680B84&quot;/&gt;&lt;wsp:rsid wsp:val=&quot;00680E92&quot;/&gt;&lt;wsp:rsid wsp:val=&quot;00681271&quot;/&gt;&lt;wsp:rsid wsp:val=&quot;0068160B&quot;/&gt;&lt;wsp:rsid wsp:val=&quot;006817F0&quot;/&gt;&lt;wsp:rsid wsp:val=&quot;006819EF&quot;/&gt;&lt;wsp:rsid wsp:val=&quot;0068255E&quot;/&gt;&lt;wsp:rsid wsp:val=&quot;006828AF&quot;/&gt;&lt;wsp:rsid wsp:val=&quot;00682CB9&quot;/&gt;&lt;wsp:rsid wsp:val=&quot;006832F6&quot;/&gt;&lt;wsp:rsid wsp:val=&quot;006833C5&quot;/&gt;&lt;wsp:rsid wsp:val=&quot;00683472&quot;/&gt;&lt;wsp:rsid wsp:val=&quot;00683482&quot;/&gt;&lt;wsp:rsid wsp:val=&quot;00683A81&quot;/&gt;&lt;wsp:rsid wsp:val=&quot;006842B9&quot;/&gt;&lt;wsp:rsid wsp:val=&quot;00684499&quot;/&gt;&lt;wsp:rsid wsp:val=&quot;00684B09&quot;/&gt;&lt;wsp:rsid wsp:val=&quot;00684BEA&quot;/&gt;&lt;wsp:rsid wsp:val=&quot;00684CC3&quot;/&gt;&lt;wsp:rsid wsp:val=&quot;006851F3&quot;/&gt;&lt;wsp:rsid wsp:val=&quot;00685244&quot;/&gt;&lt;wsp:rsid wsp:val=&quot;006852DC&quot;/&gt;&lt;wsp:rsid wsp:val=&quot;00685312&quot;/&gt;&lt;wsp:rsid wsp:val=&quot;006856D5&quot;/&gt;&lt;wsp:rsid wsp:val=&quot;006857D5&quot;/&gt;&lt;wsp:rsid wsp:val=&quot;0068580E&quot;/&gt;&lt;wsp:rsid wsp:val=&quot;00685F45&quot;/&gt;&lt;wsp:rsid wsp:val=&quot;00686249&quot;/&gt;&lt;wsp:rsid wsp:val=&quot;00686376&quot;/&gt;&lt;wsp:rsid wsp:val=&quot;0068640D&quot;/&gt;&lt;wsp:rsid wsp:val=&quot;006864EE&quot;/&gt;&lt;wsp:rsid wsp:val=&quot;006868C1&quot;/&gt;&lt;wsp:rsid wsp:val=&quot;00686C5B&quot;/&gt;&lt;wsp:rsid wsp:val=&quot;00686EC6&quot;/&gt;&lt;wsp:rsid wsp:val=&quot;006870D5&quot;/&gt;&lt;wsp:rsid wsp:val=&quot;0068729C&quot;/&gt;&lt;wsp:rsid wsp:val=&quot;006872FB&quot;/&gt;&lt;wsp:rsid wsp:val=&quot;00687875&quot;/&gt;&lt;wsp:rsid wsp:val=&quot;00687904&quot;/&gt;&lt;wsp:rsid wsp:val=&quot;006879E0&quot;/&gt;&lt;wsp:rsid wsp:val=&quot;00687D52&quot;/&gt;&lt;wsp:rsid wsp:val=&quot;00690080&quot;/&gt;&lt;wsp:rsid wsp:val=&quot;006902EA&quot;/&gt;&lt;wsp:rsid wsp:val=&quot;006904BF&quot;/&gt;&lt;wsp:rsid wsp:val=&quot;0069055E&quot;/&gt;&lt;wsp:rsid wsp:val=&quot;0069086B&quot;/&gt;&lt;wsp:rsid wsp:val=&quot;006908F9&quot;/&gt;&lt;wsp:rsid wsp:val=&quot;006909A8&quot;/&gt;&lt;wsp:rsid wsp:val=&quot;00690A5E&quot;/&gt;&lt;wsp:rsid wsp:val=&quot;00690D7A&quot;/&gt;&lt;wsp:rsid wsp:val=&quot;00690E6B&quot;/&gt;&lt;wsp:rsid wsp:val=&quot;00691130&quot;/&gt;&lt;wsp:rsid wsp:val=&quot;00691402&quot;/&gt;&lt;wsp:rsid wsp:val=&quot;006916AC&quot;/&gt;&lt;wsp:rsid wsp:val=&quot;00691A54&quot;/&gt;&lt;wsp:rsid wsp:val=&quot;00691A9A&quot;/&gt;&lt;wsp:rsid wsp:val=&quot;00691D49&quot;/&gt;&lt;wsp:rsid wsp:val=&quot;00691FC8&quot;/&gt;&lt;wsp:rsid wsp:val=&quot;00691FFB&quot;/&gt;&lt;wsp:rsid wsp:val=&quot;0069206C&quot;/&gt;&lt;wsp:rsid wsp:val=&quot;0069206D&quot;/&gt;&lt;wsp:rsid wsp:val=&quot;00692136&quot;/&gt;&lt;wsp:rsid wsp:val=&quot;00692A76&quot;/&gt;&lt;wsp:rsid wsp:val=&quot;00692C12&quot;/&gt;&lt;wsp:rsid wsp:val=&quot;00692C4D&quot;/&gt;&lt;wsp:rsid wsp:val=&quot;00692C5F&quot;/&gt;&lt;wsp:rsid wsp:val=&quot;00692D5D&quot;/&gt;&lt;wsp:rsid wsp:val=&quot;0069319E&quot;/&gt;&lt;wsp:rsid wsp:val=&quot;006931BC&quot;/&gt;&lt;wsp:rsid wsp:val=&quot;0069342E&quot;/&gt;&lt;wsp:rsid wsp:val=&quot;006934CC&quot;/&gt;&lt;wsp:rsid wsp:val=&quot;00693AD7&quot;/&gt;&lt;wsp:rsid wsp:val=&quot;00693CAA&quot;/&gt;&lt;wsp:rsid wsp:val=&quot;00693DAB&quot;/&gt;&lt;wsp:rsid wsp:val=&quot;00693E41&quot;/&gt;&lt;wsp:rsid wsp:val=&quot;00693EF2&quot;/&gt;&lt;wsp:rsid wsp:val=&quot;0069424C&quot;/&gt;&lt;wsp:rsid wsp:val=&quot;006943CA&quot;/&gt;&lt;wsp:rsid wsp:val=&quot;006944C6&quot;/&gt;&lt;wsp:rsid wsp:val=&quot;00694771&quot;/&gt;&lt;wsp:rsid wsp:val=&quot;00694C4D&quot;/&gt;&lt;wsp:rsid wsp:val=&quot;00694E9D&quot;/&gt;&lt;wsp:rsid wsp:val=&quot;00694F9C&quot;/&gt;&lt;wsp:rsid wsp:val=&quot;00695173&quot;/&gt;&lt;wsp:rsid wsp:val=&quot;006951F6&quot;/&gt;&lt;wsp:rsid wsp:val=&quot;006954C4&quot;/&gt;&lt;wsp:rsid wsp:val=&quot;006957BB&quot;/&gt;&lt;wsp:rsid wsp:val=&quot;0069612C&quot;/&gt;&lt;wsp:rsid wsp:val=&quot;0069650E&quot;/&gt;&lt;wsp:rsid wsp:val=&quot;00696A54&quot;/&gt;&lt;wsp:rsid wsp:val=&quot;00696C15&quot;/&gt;&lt;wsp:rsid wsp:val=&quot;00696CBB&quot;/&gt;&lt;wsp:rsid wsp:val=&quot;00696E87&quot;/&gt;&lt;wsp:rsid wsp:val=&quot;00696ED8&quot;/&gt;&lt;wsp:rsid wsp:val=&quot;006972F1&quot;/&gt;&lt;wsp:rsid wsp:val=&quot;00697421&quot;/&gt;&lt;wsp:rsid wsp:val=&quot;00697474&quot;/&gt;&lt;wsp:rsid wsp:val=&quot;00697534&quot;/&gt;&lt;wsp:rsid wsp:val=&quot;0069762B&quot;/&gt;&lt;wsp:rsid wsp:val=&quot;006978A3&quot;/&gt;&lt;wsp:rsid wsp:val=&quot;006979CF&quot;/&gt;&lt;wsp:rsid wsp:val=&quot;00697A2D&quot;/&gt;&lt;wsp:rsid wsp:val=&quot;00697EFB&quot;/&gt;&lt;wsp:rsid wsp:val=&quot;00697FD3&quot;/&gt;&lt;wsp:rsid wsp:val=&quot;006A09FA&quot;/&gt;&lt;wsp:rsid wsp:val=&quot;006A0C1C&quot;/&gt;&lt;wsp:rsid wsp:val=&quot;006A10FD&quot;/&gt;&lt;wsp:rsid wsp:val=&quot;006A1632&quot;/&gt;&lt;wsp:rsid wsp:val=&quot;006A17A3&quot;/&gt;&lt;wsp:rsid wsp:val=&quot;006A1A47&quot;/&gt;&lt;wsp:rsid wsp:val=&quot;006A1AC7&quot;/&gt;&lt;wsp:rsid wsp:val=&quot;006A1AF7&quot;/&gt;&lt;wsp:rsid wsp:val=&quot;006A1AF9&quot;/&gt;&lt;wsp:rsid wsp:val=&quot;006A1BFB&quot;/&gt;&lt;wsp:rsid wsp:val=&quot;006A22E7&quot;/&gt;&lt;wsp:rsid wsp:val=&quot;006A2398&quot;/&gt;&lt;wsp:rsid wsp:val=&quot;006A2793&quot;/&gt;&lt;wsp:rsid wsp:val=&quot;006A28EE&quot;/&gt;&lt;wsp:rsid wsp:val=&quot;006A305E&quot;/&gt;&lt;wsp:rsid wsp:val=&quot;006A3063&quot;/&gt;&lt;wsp:rsid wsp:val=&quot;006A3500&quot;/&gt;&lt;wsp:rsid wsp:val=&quot;006A37DA&quot;/&gt;&lt;wsp:rsid wsp:val=&quot;006A39E0&quot;/&gt;&lt;wsp:rsid wsp:val=&quot;006A3E4C&quot;/&gt;&lt;wsp:rsid wsp:val=&quot;006A3EC3&quot;/&gt;&lt;wsp:rsid wsp:val=&quot;006A407F&quot;/&gt;&lt;wsp:rsid wsp:val=&quot;006A438E&quot;/&gt;&lt;wsp:rsid wsp:val=&quot;006A4915&quot;/&gt;&lt;wsp:rsid wsp:val=&quot;006A4E92&quot;/&gt;&lt;wsp:rsid wsp:val=&quot;006A542F&quot;/&gt;&lt;wsp:rsid wsp:val=&quot;006A59D0&quot;/&gt;&lt;wsp:rsid wsp:val=&quot;006A5C2A&quot;/&gt;&lt;wsp:rsid wsp:val=&quot;006A5C4F&quot;/&gt;&lt;wsp:rsid wsp:val=&quot;006A6350&quot;/&gt;&lt;wsp:rsid wsp:val=&quot;006A6B5A&quot;/&gt;&lt;wsp:rsid wsp:val=&quot;006A6DE5&quot;/&gt;&lt;wsp:rsid wsp:val=&quot;006A7010&quot;/&gt;&lt;wsp:rsid wsp:val=&quot;006A701F&quot;/&gt;&lt;wsp:rsid wsp:val=&quot;006A702C&quot;/&gt;&lt;wsp:rsid wsp:val=&quot;006A71FA&quot;/&gt;&lt;wsp:rsid wsp:val=&quot;006A7314&quot;/&gt;&lt;wsp:rsid wsp:val=&quot;006A739E&quot;/&gt;&lt;wsp:rsid wsp:val=&quot;006A7557&quot;/&gt;&lt;wsp:rsid wsp:val=&quot;006A75E4&quot;/&gt;&lt;wsp:rsid wsp:val=&quot;006A7838&quot;/&gt;&lt;wsp:rsid wsp:val=&quot;006A792D&quot;/&gt;&lt;wsp:rsid wsp:val=&quot;006A7940&quot;/&gt;&lt;wsp:rsid wsp:val=&quot;006A7AEF&quot;/&gt;&lt;wsp:rsid wsp:val=&quot;006A7E33&quot;/&gt;&lt;wsp:rsid wsp:val=&quot;006B06EA&quot;/&gt;&lt;wsp:rsid wsp:val=&quot;006B0A8B&quot;/&gt;&lt;wsp:rsid wsp:val=&quot;006B0C90&quot;/&gt;&lt;wsp:rsid wsp:val=&quot;006B0F5D&quot;/&gt;&lt;wsp:rsid wsp:val=&quot;006B15FD&quot;/&gt;&lt;wsp:rsid wsp:val=&quot;006B1696&quot;/&gt;&lt;wsp:rsid wsp:val=&quot;006B1930&quot;/&gt;&lt;wsp:rsid wsp:val=&quot;006B1D2E&quot;/&gt;&lt;wsp:rsid wsp:val=&quot;006B1F26&quot;/&gt;&lt;wsp:rsid wsp:val=&quot;006B26FE&quot;/&gt;&lt;wsp:rsid wsp:val=&quot;006B2819&quot;/&gt;&lt;wsp:rsid wsp:val=&quot;006B3130&quot;/&gt;&lt;wsp:rsid wsp:val=&quot;006B317D&quot;/&gt;&lt;wsp:rsid wsp:val=&quot;006B318A&quot;/&gt;&lt;wsp:rsid wsp:val=&quot;006B3317&quot;/&gt;&lt;wsp:rsid wsp:val=&quot;006B34E8&quot;/&gt;&lt;wsp:rsid wsp:val=&quot;006B3927&quot;/&gt;&lt;wsp:rsid wsp:val=&quot;006B3A78&quot;/&gt;&lt;wsp:rsid wsp:val=&quot;006B3ABF&quot;/&gt;&lt;wsp:rsid wsp:val=&quot;006B41FD&quot;/&gt;&lt;wsp:rsid wsp:val=&quot;006B4465&quot;/&gt;&lt;wsp:rsid wsp:val=&quot;006B4758&quot;/&gt;&lt;wsp:rsid wsp:val=&quot;006B47EE&quot;/&gt;&lt;wsp:rsid wsp:val=&quot;006B488E&quot;/&gt;&lt;wsp:rsid wsp:val=&quot;006B490B&quot;/&gt;&lt;wsp:rsid wsp:val=&quot;006B4D9E&quot;/&gt;&lt;wsp:rsid wsp:val=&quot;006B5178&quot;/&gt;&lt;wsp:rsid wsp:val=&quot;006B5B6D&quot;/&gt;&lt;wsp:rsid wsp:val=&quot;006B6279&quot;/&gt;&lt;wsp:rsid wsp:val=&quot;006B63A5&quot;/&gt;&lt;wsp:rsid wsp:val=&quot;006B6796&quot;/&gt;&lt;wsp:rsid wsp:val=&quot;006B6A7D&quot;/&gt;&lt;wsp:rsid wsp:val=&quot;006B6AB6&quot;/&gt;&lt;wsp:rsid wsp:val=&quot;006B6AE1&quot;/&gt;&lt;wsp:rsid wsp:val=&quot;006B6BFE&quot;/&gt;&lt;wsp:rsid wsp:val=&quot;006B6CC4&quot;/&gt;&lt;wsp:rsid wsp:val=&quot;006B6E28&quot;/&gt;&lt;wsp:rsid wsp:val=&quot;006B6E9C&quot;/&gt;&lt;wsp:rsid wsp:val=&quot;006B726B&quot;/&gt;&lt;wsp:rsid wsp:val=&quot;006B75D7&quot;/&gt;&lt;wsp:rsid wsp:val=&quot;006B76A9&quot;/&gt;&lt;wsp:rsid wsp:val=&quot;006C01A7&quot;/&gt;&lt;wsp:rsid wsp:val=&quot;006C08A7&quot;/&gt;&lt;wsp:rsid wsp:val=&quot;006C09CC&quot;/&gt;&lt;wsp:rsid wsp:val=&quot;006C0BA1&quot;/&gt;&lt;wsp:rsid wsp:val=&quot;006C0F97&quot;/&gt;&lt;wsp:rsid wsp:val=&quot;006C10C8&quot;/&gt;&lt;wsp:rsid wsp:val=&quot;006C1554&quot;/&gt;&lt;wsp:rsid wsp:val=&quot;006C1B75&quot;/&gt;&lt;wsp:rsid wsp:val=&quot;006C1FA0&quot;/&gt;&lt;wsp:rsid wsp:val=&quot;006C2055&quot;/&gt;&lt;wsp:rsid wsp:val=&quot;006C20D7&quot;/&gt;&lt;wsp:rsid wsp:val=&quot;006C23FA&quot;/&gt;&lt;wsp:rsid wsp:val=&quot;006C2506&quot;/&gt;&lt;wsp:rsid wsp:val=&quot;006C2749&quot;/&gt;&lt;wsp:rsid wsp:val=&quot;006C27E2&quot;/&gt;&lt;wsp:rsid wsp:val=&quot;006C2931&quot;/&gt;&lt;wsp:rsid wsp:val=&quot;006C2B4D&quot;/&gt;&lt;wsp:rsid wsp:val=&quot;006C2B50&quot;/&gt;&lt;wsp:rsid wsp:val=&quot;006C2CBA&quot;/&gt;&lt;wsp:rsid wsp:val=&quot;006C303C&quot;/&gt;&lt;wsp:rsid wsp:val=&quot;006C348B&quot;/&gt;&lt;wsp:rsid wsp:val=&quot;006C3638&quot;/&gt;&lt;wsp:rsid wsp:val=&quot;006C38B0&quot;/&gt;&lt;wsp:rsid wsp:val=&quot;006C3B7E&quot;/&gt;&lt;wsp:rsid wsp:val=&quot;006C3C50&quot;/&gt;&lt;wsp:rsid wsp:val=&quot;006C3E41&quot;/&gt;&lt;wsp:rsid wsp:val=&quot;006C3F05&quot;/&gt;&lt;wsp:rsid wsp:val=&quot;006C407F&quot;/&gt;&lt;wsp:rsid wsp:val=&quot;006C42BB&quot;/&gt;&lt;wsp:rsid wsp:val=&quot;006C4502&quot;/&gt;&lt;wsp:rsid wsp:val=&quot;006C47AB&quot;/&gt;&lt;wsp:rsid wsp:val=&quot;006C4802&quot;/&gt;&lt;wsp:rsid wsp:val=&quot;006C4A03&quot;/&gt;&lt;wsp:rsid wsp:val=&quot;006C4A09&quot;/&gt;&lt;wsp:rsid wsp:val=&quot;006C4D10&quot;/&gt;&lt;wsp:rsid wsp:val=&quot;006C4F9F&quot;/&gt;&lt;wsp:rsid wsp:val=&quot;006C5143&quot;/&gt;&lt;wsp:rsid wsp:val=&quot;006C51B1&quot;/&gt;&lt;wsp:rsid wsp:val=&quot;006C51CE&quot;/&gt;&lt;wsp:rsid wsp:val=&quot;006C525D&quot;/&gt;&lt;wsp:rsid wsp:val=&quot;006C53E2&quot;/&gt;&lt;wsp:rsid wsp:val=&quot;006C5A89&quot;/&gt;&lt;wsp:rsid wsp:val=&quot;006C5D06&quot;/&gt;&lt;wsp:rsid wsp:val=&quot;006C5DEA&quot;/&gt;&lt;wsp:rsid wsp:val=&quot;006C5F67&quot;/&gt;&lt;wsp:rsid wsp:val=&quot;006C61C6&quot;/&gt;&lt;wsp:rsid wsp:val=&quot;006C61E0&quot;/&gt;&lt;wsp:rsid wsp:val=&quot;006C68D1&quot;/&gt;&lt;wsp:rsid wsp:val=&quot;006C6CB6&quot;/&gt;&lt;wsp:rsid wsp:val=&quot;006C7EC1&quot;/&gt;&lt;wsp:rsid wsp:val=&quot;006C7F9A&quot;/&gt;&lt;wsp:rsid wsp:val=&quot;006D03EF&quot;/&gt;&lt;wsp:rsid wsp:val=&quot;006D081C&quot;/&gt;&lt;wsp:rsid wsp:val=&quot;006D0F95&quot;/&gt;&lt;wsp:rsid wsp:val=&quot;006D143B&quot;/&gt;&lt;wsp:rsid wsp:val=&quot;006D1464&quot;/&gt;&lt;wsp:rsid wsp:val=&quot;006D1631&quot;/&gt;&lt;wsp:rsid wsp:val=&quot;006D173C&quot;/&gt;&lt;wsp:rsid wsp:val=&quot;006D17FD&quot;/&gt;&lt;wsp:rsid wsp:val=&quot;006D1958&quot;/&gt;&lt;wsp:rsid wsp:val=&quot;006D19FD&quot;/&gt;&lt;wsp:rsid wsp:val=&quot;006D1A36&quot;/&gt;&lt;wsp:rsid wsp:val=&quot;006D1B02&quot;/&gt;&lt;wsp:rsid wsp:val=&quot;006D1C25&quot;/&gt;&lt;wsp:rsid wsp:val=&quot;006D1D77&quot;/&gt;&lt;wsp:rsid wsp:val=&quot;006D1DBE&quot;/&gt;&lt;wsp:rsid wsp:val=&quot;006D2058&quot;/&gt;&lt;wsp:rsid wsp:val=&quot;006D21BB&quot;/&gt;&lt;wsp:rsid wsp:val=&quot;006D238D&quot;/&gt;&lt;wsp:rsid wsp:val=&quot;006D2674&quot;/&gt;&lt;wsp:rsid wsp:val=&quot;006D2736&quot;/&gt;&lt;wsp:rsid wsp:val=&quot;006D2806&quot;/&gt;&lt;wsp:rsid wsp:val=&quot;006D2910&quot;/&gt;&lt;wsp:rsid wsp:val=&quot;006D2B62&quot;/&gt;&lt;wsp:rsid wsp:val=&quot;006D2D85&quot;/&gt;&lt;wsp:rsid wsp:val=&quot;006D2E31&quot;/&gt;&lt;wsp:rsid wsp:val=&quot;006D2EE4&quot;/&gt;&lt;wsp:rsid wsp:val=&quot;006D3014&quot;/&gt;&lt;wsp:rsid wsp:val=&quot;006D30AC&quot;/&gt;&lt;wsp:rsid wsp:val=&quot;006D32BC&quot;/&gt;&lt;wsp:rsid wsp:val=&quot;006D34F0&quot;/&gt;&lt;wsp:rsid wsp:val=&quot;006D362C&quot;/&gt;&lt;wsp:rsid wsp:val=&quot;006D3699&quot;/&gt;&lt;wsp:rsid wsp:val=&quot;006D375F&quot;/&gt;&lt;wsp:rsid wsp:val=&quot;006D38C4&quot;/&gt;&lt;wsp:rsid wsp:val=&quot;006D39EE&quot;/&gt;&lt;wsp:rsid wsp:val=&quot;006D3B48&quot;/&gt;&lt;wsp:rsid wsp:val=&quot;006D3B91&quot;/&gt;&lt;wsp:rsid wsp:val=&quot;006D428C&quot;/&gt;&lt;wsp:rsid wsp:val=&quot;006D44EF&quot;/&gt;&lt;wsp:rsid wsp:val=&quot;006D4A16&quot;/&gt;&lt;wsp:rsid wsp:val=&quot;006D4AE9&quot;/&gt;&lt;wsp:rsid wsp:val=&quot;006D4D6D&quot;/&gt;&lt;wsp:rsid wsp:val=&quot;006D4F32&quot;/&gt;&lt;wsp:rsid wsp:val=&quot;006D50E9&quot;/&gt;&lt;wsp:rsid wsp:val=&quot;006D54F4&quot;/&gt;&lt;wsp:rsid wsp:val=&quot;006D5707&quot;/&gt;&lt;wsp:rsid wsp:val=&quot;006D5868&quot;/&gt;&lt;wsp:rsid wsp:val=&quot;006D5979&quot;/&gt;&lt;wsp:rsid wsp:val=&quot;006D5A38&quot;/&gt;&lt;wsp:rsid wsp:val=&quot;006D5B02&quot;/&gt;&lt;wsp:rsid wsp:val=&quot;006D5B1D&quot;/&gt;&lt;wsp:rsid wsp:val=&quot;006D5B7E&quot;/&gt;&lt;wsp:rsid wsp:val=&quot;006D5FCA&quot;/&gt;&lt;wsp:rsid wsp:val=&quot;006D6235&quot;/&gt;&lt;wsp:rsid wsp:val=&quot;006D634C&quot;/&gt;&lt;wsp:rsid wsp:val=&quot;006D6953&quot;/&gt;&lt;wsp:rsid wsp:val=&quot;006D6A43&quot;/&gt;&lt;wsp:rsid wsp:val=&quot;006D6B47&quot;/&gt;&lt;wsp:rsid wsp:val=&quot;006D6C7D&quot;/&gt;&lt;wsp:rsid wsp:val=&quot;006D6D55&quot;/&gt;&lt;wsp:rsid wsp:val=&quot;006D6F3B&quot;/&gt;&lt;wsp:rsid wsp:val=&quot;006D6F41&quot;/&gt;&lt;wsp:rsid wsp:val=&quot;006D7085&quot;/&gt;&lt;wsp:rsid wsp:val=&quot;006D71E3&quot;/&gt;&lt;wsp:rsid wsp:val=&quot;006D73A2&quot;/&gt;&lt;wsp:rsid wsp:val=&quot;006D7827&quot;/&gt;&lt;wsp:rsid wsp:val=&quot;006D79E0&quot;/&gt;&lt;wsp:rsid wsp:val=&quot;006D7C48&quot;/&gt;&lt;wsp:rsid wsp:val=&quot;006D7CF9&quot;/&gt;&lt;wsp:rsid wsp:val=&quot;006D7D94&quot;/&gt;&lt;wsp:rsid wsp:val=&quot;006D7F04&quot;/&gt;&lt;wsp:rsid wsp:val=&quot;006E0479&quot;/&gt;&lt;wsp:rsid wsp:val=&quot;006E0776&quot;/&gt;&lt;wsp:rsid wsp:val=&quot;006E0875&quot;/&gt;&lt;wsp:rsid wsp:val=&quot;006E094C&quot;/&gt;&lt;wsp:rsid wsp:val=&quot;006E1081&quot;/&gt;&lt;wsp:rsid wsp:val=&quot;006E1123&quot;/&gt;&lt;wsp:rsid wsp:val=&quot;006E16E1&quot;/&gt;&lt;wsp:rsid wsp:val=&quot;006E171C&quot;/&gt;&lt;wsp:rsid wsp:val=&quot;006E1BAB&quot;/&gt;&lt;wsp:rsid wsp:val=&quot;006E1C2F&quot;/&gt;&lt;wsp:rsid wsp:val=&quot;006E1C5C&quot;/&gt;&lt;wsp:rsid wsp:val=&quot;006E1CC6&quot;/&gt;&lt;wsp:rsid wsp:val=&quot;006E1DD1&quot;/&gt;&lt;wsp:rsid wsp:val=&quot;006E1E81&quot;/&gt;&lt;wsp:rsid wsp:val=&quot;006E2190&quot;/&gt;&lt;wsp:rsid wsp:val=&quot;006E22BD&quot;/&gt;&lt;wsp:rsid wsp:val=&quot;006E242D&quot;/&gt;&lt;wsp:rsid wsp:val=&quot;006E242E&quot;/&gt;&lt;wsp:rsid wsp:val=&quot;006E275A&quot;/&gt;&lt;wsp:rsid wsp:val=&quot;006E29BE&quot;/&gt;&lt;wsp:rsid wsp:val=&quot;006E2EB3&quot;/&gt;&lt;wsp:rsid wsp:val=&quot;006E3021&quot;/&gt;&lt;wsp:rsid wsp:val=&quot;006E3058&quot;/&gt;&lt;wsp:rsid wsp:val=&quot;006E3121&quot;/&gt;&lt;wsp:rsid wsp:val=&quot;006E33DC&quot;/&gt;&lt;wsp:rsid wsp:val=&quot;006E3F62&quot;/&gt;&lt;wsp:rsid wsp:val=&quot;006E43D3&quot;/&gt;&lt;wsp:rsid wsp:val=&quot;006E450E&quot;/&gt;&lt;wsp:rsid wsp:val=&quot;006E46D9&quot;/&gt;&lt;wsp:rsid wsp:val=&quot;006E4E9C&quot;/&gt;&lt;wsp:rsid wsp:val=&quot;006E52D0&quot;/&gt;&lt;wsp:rsid wsp:val=&quot;006E52D5&quot;/&gt;&lt;wsp:rsid wsp:val=&quot;006E53EE&quot;/&gt;&lt;wsp:rsid wsp:val=&quot;006E54A5&quot;/&gt;&lt;wsp:rsid wsp:val=&quot;006E575D&quot;/&gt;&lt;wsp:rsid wsp:val=&quot;006E5C77&quot;/&gt;&lt;wsp:rsid wsp:val=&quot;006E5CBC&quot;/&gt;&lt;wsp:rsid wsp:val=&quot;006E5CE7&quot;/&gt;&lt;wsp:rsid wsp:val=&quot;006E6013&quot;/&gt;&lt;wsp:rsid wsp:val=&quot;006E60FF&quot;/&gt;&lt;wsp:rsid wsp:val=&quot;006E62E8&quot;/&gt;&lt;wsp:rsid wsp:val=&quot;006E6617&quot;/&gt;&lt;wsp:rsid wsp:val=&quot;006E6878&quot;/&gt;&lt;wsp:rsid wsp:val=&quot;006E6CAA&quot;/&gt;&lt;wsp:rsid wsp:val=&quot;006E6FE1&quot;/&gt;&lt;wsp:rsid wsp:val=&quot;006E744D&quot;/&gt;&lt;wsp:rsid wsp:val=&quot;006E74CA&quot;/&gt;&lt;wsp:rsid wsp:val=&quot;006E74FA&quot;/&gt;&lt;wsp:rsid wsp:val=&quot;006E7710&quot;/&gt;&lt;wsp:rsid wsp:val=&quot;006E7AC2&quot;/&gt;&lt;wsp:rsid wsp:val=&quot;006E7DE3&quot;/&gt;&lt;wsp:rsid wsp:val=&quot;006E7EE7&quot;/&gt;&lt;wsp:rsid wsp:val=&quot;006F0183&quot;/&gt;&lt;wsp:rsid wsp:val=&quot;006F029F&quot;/&gt;&lt;wsp:rsid wsp:val=&quot;006F02AC&quot;/&gt;&lt;wsp:rsid wsp:val=&quot;006F0808&quot;/&gt;&lt;wsp:rsid wsp:val=&quot;006F08C8&quot;/&gt;&lt;wsp:rsid wsp:val=&quot;006F0957&quot;/&gt;&lt;wsp:rsid wsp:val=&quot;006F1291&quot;/&gt;&lt;wsp:rsid wsp:val=&quot;006F1383&quot;/&gt;&lt;wsp:rsid wsp:val=&quot;006F1C9C&quot;/&gt;&lt;wsp:rsid wsp:val=&quot;006F20DA&quot;/&gt;&lt;wsp:rsid wsp:val=&quot;006F294F&quot;/&gt;&lt;wsp:rsid wsp:val=&quot;006F34C2&quot;/&gt;&lt;wsp:rsid wsp:val=&quot;006F3695&quot;/&gt;&lt;wsp:rsid wsp:val=&quot;006F3923&quot;/&gt;&lt;wsp:rsid wsp:val=&quot;006F3964&quot;/&gt;&lt;wsp:rsid wsp:val=&quot;006F3EE2&quot;/&gt;&lt;wsp:rsid wsp:val=&quot;006F40A2&quot;/&gt;&lt;wsp:rsid wsp:val=&quot;006F48AF&quot;/&gt;&lt;wsp:rsid wsp:val=&quot;006F49C3&quot;/&gt;&lt;wsp:rsid wsp:val=&quot;006F49C9&quot;/&gt;&lt;wsp:rsid wsp:val=&quot;006F4DE1&quot;/&gt;&lt;wsp:rsid wsp:val=&quot;006F5012&quot;/&gt;&lt;wsp:rsid wsp:val=&quot;006F5237&quot;/&gt;&lt;wsp:rsid wsp:val=&quot;006F52F5&quot;/&gt;&lt;wsp:rsid wsp:val=&quot;006F5343&quot;/&gt;&lt;wsp:rsid wsp:val=&quot;006F53B2&quot;/&gt;&lt;wsp:rsid wsp:val=&quot;006F54C8&quot;/&gt;&lt;wsp:rsid wsp:val=&quot;006F559A&quot;/&gt;&lt;wsp:rsid wsp:val=&quot;006F55D0&quot;/&gt;&lt;wsp:rsid wsp:val=&quot;006F562D&quot;/&gt;&lt;wsp:rsid wsp:val=&quot;006F634F&quot;/&gt;&lt;wsp:rsid wsp:val=&quot;006F63E7&quot;/&gt;&lt;wsp:rsid wsp:val=&quot;006F6840&quot;/&gt;&lt;wsp:rsid wsp:val=&quot;006F6B7A&quot;/&gt;&lt;wsp:rsid wsp:val=&quot;006F6BA4&quot;/&gt;&lt;wsp:rsid wsp:val=&quot;006F6D28&quot;/&gt;&lt;wsp:rsid wsp:val=&quot;006F6E4C&quot;/&gt;&lt;wsp:rsid wsp:val=&quot;006F71CD&quot;/&gt;&lt;wsp:rsid wsp:val=&quot;006F73D9&quot;/&gt;&lt;wsp:rsid wsp:val=&quot;006F7973&quot;/&gt;&lt;wsp:rsid wsp:val=&quot;006F797F&quot;/&gt;&lt;wsp:rsid wsp:val=&quot;006F7AF5&quot;/&gt;&lt;wsp:rsid wsp:val=&quot;006F7AFE&quot;/&gt;&lt;wsp:rsid wsp:val=&quot;006F7BA0&quot;/&gt;&lt;wsp:rsid wsp:val=&quot;006F7D20&quot;/&gt;&lt;wsp:rsid wsp:val=&quot;007000DB&quot;/&gt;&lt;wsp:rsid wsp:val=&quot;0070056B&quot;/&gt;&lt;wsp:rsid wsp:val=&quot;00700AC5&quot;/&gt;&lt;wsp:rsid wsp:val=&quot;00700B18&quot;/&gt;&lt;wsp:rsid wsp:val=&quot;00700BE1&quot;/&gt;&lt;wsp:rsid wsp:val=&quot;0070113B&quot;/&gt;&lt;wsp:rsid wsp:val=&quot;007012C0&quot;/&gt;&lt;wsp:rsid wsp:val=&quot;007013C4&quot;/&gt;&lt;wsp:rsid wsp:val=&quot;007014CE&quot;/&gt;&lt;wsp:rsid wsp:val=&quot;007017C8&quot;/&gt;&lt;wsp:rsid wsp:val=&quot;00701802&quot;/&gt;&lt;wsp:rsid wsp:val=&quot;007019A7&quot;/&gt;&lt;wsp:rsid wsp:val=&quot;00702060&quot;/&gt;&lt;wsp:rsid wsp:val=&quot;00702193&quot;/&gt;&lt;wsp:rsid wsp:val=&quot;0070225A&quot;/&gt;&lt;wsp:rsid wsp:val=&quot;007025AE&quot;/&gt;&lt;wsp:rsid wsp:val=&quot;00702FAF&quot;/&gt;&lt;wsp:rsid wsp:val=&quot;00703168&quot;/&gt;&lt;wsp:rsid wsp:val=&quot;00703229&quot;/&gt;&lt;wsp:rsid wsp:val=&quot;00703328&quot;/&gt;&lt;wsp:rsid wsp:val=&quot;007033D2&quot;/&gt;&lt;wsp:rsid wsp:val=&quot;007035DA&quot;/&gt;&lt;wsp:rsid wsp:val=&quot;00703A1E&quot;/&gt;&lt;wsp:rsid wsp:val=&quot;00703B33&quot;/&gt;&lt;wsp:rsid wsp:val=&quot;00703D05&quot;/&gt;&lt;wsp:rsid wsp:val=&quot;00703D44&quot;/&gt;&lt;wsp:rsid wsp:val=&quot;00703E84&quot;/&gt;&lt;wsp:rsid wsp:val=&quot;00703FC4&quot;/&gt;&lt;wsp:rsid wsp:val=&quot;00704036&quot;/&gt;&lt;wsp:rsid wsp:val=&quot;007040B8&quot;/&gt;&lt;wsp:rsid wsp:val=&quot;007040DE&quot;/&gt;&lt;wsp:rsid wsp:val=&quot;007041F9&quot;/&gt;&lt;wsp:rsid wsp:val=&quot;00704398&quot;/&gt;&lt;wsp:rsid wsp:val=&quot;007046EE&quot;/&gt;&lt;wsp:rsid wsp:val=&quot;007047DE&quot;/&gt;&lt;wsp:rsid wsp:val=&quot;00704EFF&quot;/&gt;&lt;wsp:rsid wsp:val=&quot;0070514A&quot;/&gt;&lt;wsp:rsid wsp:val=&quot;00705243&quot;/&gt;&lt;wsp:rsid wsp:val=&quot;00705407&quot;/&gt;&lt;wsp:rsid wsp:val=&quot;0070549A&quot;/&gt;&lt;wsp:rsid wsp:val=&quot;00705827&quot;/&gt;&lt;wsp:rsid wsp:val=&quot;00705953&quot;/&gt;&lt;wsp:rsid wsp:val=&quot;0070596F&quot;/&gt;&lt;wsp:rsid wsp:val=&quot;00705E05&quot;/&gt;&lt;wsp:rsid wsp:val=&quot;00705EDE&quot;/&gt;&lt;wsp:rsid wsp:val=&quot;0070614A&quot;/&gt;&lt;wsp:rsid wsp:val=&quot;0070616C&quot;/&gt;&lt;wsp:rsid wsp:val=&quot;007062BF&quot;/&gt;&lt;wsp:rsid wsp:val=&quot;007062E8&quot;/&gt;&lt;wsp:rsid wsp:val=&quot;00706749&quot;/&gt;&lt;wsp:rsid wsp:val=&quot;00706876&quot;/&gt;&lt;wsp:rsid wsp:val=&quot;00706982&quot;/&gt;&lt;wsp:rsid wsp:val=&quot;00706F4F&quot;/&gt;&lt;wsp:rsid wsp:val=&quot;00707029&quot;/&gt;&lt;wsp:rsid wsp:val=&quot;0070757F&quot;/&gt;&lt;wsp:rsid wsp:val=&quot;0070769D&quot;/&gt;&lt;wsp:rsid wsp:val=&quot;0070796B&quot;/&gt;&lt;wsp:rsid wsp:val=&quot;007079DA&quot;/&gt;&lt;wsp:rsid wsp:val=&quot;00707A40&quot;/&gt;&lt;wsp:rsid wsp:val=&quot;00707B26&quot;/&gt;&lt;wsp:rsid wsp:val=&quot;00707C93&quot;/&gt;&lt;wsp:rsid wsp:val=&quot;00710012&quot;/&gt;&lt;wsp:rsid wsp:val=&quot;007100D9&quot;/&gt;&lt;wsp:rsid wsp:val=&quot;007105A7&quot;/&gt;&lt;wsp:rsid wsp:val=&quot;0071067D&quot;/&gt;&lt;wsp:rsid wsp:val=&quot;00710796&quot;/&gt;&lt;wsp:rsid wsp:val=&quot;007109D4&quot;/&gt;&lt;wsp:rsid wsp:val=&quot;00710D5E&quot;/&gt;&lt;wsp:rsid wsp:val=&quot;00710E5A&quot;/&gt;&lt;wsp:rsid wsp:val=&quot;00711021&quot;/&gt;&lt;wsp:rsid wsp:val=&quot;007117BB&quot;/&gt;&lt;wsp:rsid wsp:val=&quot;00711AA0&quot;/&gt;&lt;wsp:rsid wsp:val=&quot;00711CB8&quot;/&gt;&lt;wsp:rsid wsp:val=&quot;00711D10&quot;/&gt;&lt;wsp:rsid wsp:val=&quot;00712241&quot;/&gt;&lt;wsp:rsid wsp:val=&quot;0071242C&quot;/&gt;&lt;wsp:rsid wsp:val=&quot;00712561&quot;/&gt;&lt;wsp:rsid wsp:val=&quot;00712673&quot;/&gt;&lt;wsp:rsid wsp:val=&quot;007127B0&quot;/&gt;&lt;wsp:rsid wsp:val=&quot;00712BF8&quot;/&gt;&lt;wsp:rsid wsp:val=&quot;00712DF9&quot;/&gt;&lt;wsp:rsid wsp:val=&quot;00713057&quot;/&gt;&lt;wsp:rsid wsp:val=&quot;007132AA&quot;/&gt;&lt;wsp:rsid wsp:val=&quot;00713311&quot;/&gt;&lt;wsp:rsid wsp:val=&quot;00713335&quot;/&gt;&lt;wsp:rsid wsp:val=&quot;0071335B&quot;/&gt;&lt;wsp:rsid wsp:val=&quot;00713BA0&quot;/&gt;&lt;wsp:rsid wsp:val=&quot;00713D06&quot;/&gt;&lt;wsp:rsid wsp:val=&quot;00713DFB&quot;/&gt;&lt;wsp:rsid wsp:val=&quot;007140D9&quot;/&gt;&lt;wsp:rsid wsp:val=&quot;00714121&quot;/&gt;&lt;wsp:rsid wsp:val=&quot;00714144&quot;/&gt;&lt;wsp:rsid wsp:val=&quot;007148C6&quot;/&gt;&lt;wsp:rsid wsp:val=&quot;0071497B&quot;/&gt;&lt;wsp:rsid wsp:val=&quot;00714AAD&quot;/&gt;&lt;wsp:rsid wsp:val=&quot;00714B81&quot;/&gt;&lt;wsp:rsid wsp:val=&quot;00714B88&quot;/&gt;&lt;wsp:rsid wsp:val=&quot;00714B89&quot;/&gt;&lt;wsp:rsid wsp:val=&quot;00714C40&quot;/&gt;&lt;wsp:rsid wsp:val=&quot;00714D85&quot;/&gt;&lt;wsp:rsid wsp:val=&quot;00714F25&quot;/&gt;&lt;wsp:rsid wsp:val=&quot;007151D1&quot;/&gt;&lt;wsp:rsid wsp:val=&quot;00715261&quot;/&gt;&lt;wsp:rsid wsp:val=&quot;00715523&quot;/&gt;&lt;wsp:rsid wsp:val=&quot;00715685&quot;/&gt;&lt;wsp:rsid wsp:val=&quot;00715687&quot;/&gt;&lt;wsp:rsid wsp:val=&quot;0071587A&quot;/&gt;&lt;wsp:rsid wsp:val=&quot;00715B2A&quot;/&gt;&lt;wsp:rsid wsp:val=&quot;00715BF1&quot;/&gt;&lt;wsp:rsid wsp:val=&quot;00715C0C&quot;/&gt;&lt;wsp:rsid wsp:val=&quot;00715D9E&quot;/&gt;&lt;wsp:rsid wsp:val=&quot;00715DA8&quot;/&gt;&lt;wsp:rsid wsp:val=&quot;00715DFA&quot;/&gt;&lt;wsp:rsid wsp:val=&quot;0071610D&quot;/&gt;&lt;wsp:rsid wsp:val=&quot;007161D8&quot;/&gt;&lt;wsp:rsid wsp:val=&quot;00716452&quot;/&gt;&lt;wsp:rsid wsp:val=&quot;007165E4&quot;/&gt;&lt;wsp:rsid wsp:val=&quot;00716905&quot;/&gt;&lt;wsp:rsid wsp:val=&quot;00716934&quot;/&gt;&lt;wsp:rsid wsp:val=&quot;00716B4E&quot;/&gt;&lt;wsp:rsid wsp:val=&quot;00716DA7&quot;/&gt;&lt;wsp:rsid wsp:val=&quot;00716E56&quot;/&gt;&lt;wsp:rsid wsp:val=&quot;00716E70&quot;/&gt;&lt;wsp:rsid wsp:val=&quot;00717090&quot;/&gt;&lt;wsp:rsid wsp:val=&quot;0071712B&quot;/&gt;&lt;wsp:rsid wsp:val=&quot;0071715E&quot;/&gt;&lt;wsp:rsid wsp:val=&quot;00717294&quot;/&gt;&lt;wsp:rsid wsp:val=&quot;00717762&quot;/&gt;&lt;wsp:rsid wsp:val=&quot;00717846&quot;/&gt;&lt;wsp:rsid wsp:val=&quot;00717A79&quot;/&gt;&lt;wsp:rsid wsp:val=&quot;00717BBE&quot;/&gt;&lt;wsp:rsid wsp:val=&quot;00717C4E&quot;/&gt;&lt;wsp:rsid wsp:val=&quot;00717CD0&quot;/&gt;&lt;wsp:rsid wsp:val=&quot;00717D42&quot;/&gt;&lt;wsp:rsid wsp:val=&quot;00717DB4&quot;/&gt;&lt;wsp:rsid wsp:val=&quot;00720080&quot;/&gt;&lt;wsp:rsid wsp:val=&quot;00720293&quot;/&gt;&lt;wsp:rsid wsp:val=&quot;00720433&quot;/&gt;&lt;wsp:rsid wsp:val=&quot;0072065F&quot;/&gt;&lt;wsp:rsid wsp:val=&quot;00720B12&quot;/&gt;&lt;wsp:rsid wsp:val=&quot;00720F16&quot;/&gt;&lt;wsp:rsid wsp:val=&quot;00720FC3&quot;/&gt;&lt;wsp:rsid wsp:val=&quot;007212FF&quot;/&gt;&lt;wsp:rsid wsp:val=&quot;00721400&quot;/&gt;&lt;wsp:rsid wsp:val=&quot;0072187C&quot;/&gt;&lt;wsp:rsid wsp:val=&quot;00721ECF&quot;/&gt;&lt;wsp:rsid wsp:val=&quot;00722283&quot;/&gt;&lt;wsp:rsid wsp:val=&quot;00722389&quot;/&gt;&lt;wsp:rsid wsp:val=&quot;007226F2&quot;/&gt;&lt;wsp:rsid wsp:val=&quot;00722D60&quot;/&gt;&lt;wsp:rsid wsp:val=&quot;007230E9&quot;/&gt;&lt;wsp:rsid wsp:val=&quot;0072316D&quot;/&gt;&lt;wsp:rsid wsp:val=&quot;00723286&quot;/&gt;&lt;wsp:rsid wsp:val=&quot;007232FA&quot;/&gt;&lt;wsp:rsid wsp:val=&quot;00723A6F&quot;/&gt;&lt;wsp:rsid wsp:val=&quot;00723BE7&quot;/&gt;&lt;wsp:rsid wsp:val=&quot;00723CA6&quot;/&gt;&lt;wsp:rsid wsp:val=&quot;00724019&quot;/&gt;&lt;wsp:rsid wsp:val=&quot;00724028&quot;/&gt;&lt;wsp:rsid wsp:val=&quot;007241F8&quot;/&gt;&lt;wsp:rsid wsp:val=&quot;007242DE&quot;/&gt;&lt;wsp:rsid wsp:val=&quot;00724380&quot;/&gt;&lt;wsp:rsid wsp:val=&quot;007247EF&quot;/&gt;&lt;wsp:rsid wsp:val=&quot;00724924&quot;/&gt;&lt;wsp:rsid wsp:val=&quot;00724969&quot;/&gt;&lt;wsp:rsid wsp:val=&quot;00724A25&quot;/&gt;&lt;wsp:rsid wsp:val=&quot;00724A56&quot;/&gt;&lt;wsp:rsid wsp:val=&quot;00724A8C&quot;/&gt;&lt;wsp:rsid wsp:val=&quot;00724D71&quot;/&gt;&lt;wsp:rsid wsp:val=&quot;00724ECD&quot;/&gt;&lt;wsp:rsid wsp:val=&quot;0072527B&quot;/&gt;&lt;wsp:rsid wsp:val=&quot;0072527F&quot;/&gt;&lt;wsp:rsid wsp:val=&quot;007252B5&quot;/&gt;&lt;wsp:rsid wsp:val=&quot;007256D2&quot;/&gt;&lt;wsp:rsid wsp:val=&quot;0072594B&quot;/&gt;&lt;wsp:rsid wsp:val=&quot;007259B4&quot;/&gt;&lt;wsp:rsid wsp:val=&quot;00725ADA&quot;/&gt;&lt;wsp:rsid wsp:val=&quot;00725AF6&quot;/&gt;&lt;wsp:rsid wsp:val=&quot;00725C60&quot;/&gt;&lt;wsp:rsid wsp:val=&quot;00725C8E&quot;/&gt;&lt;wsp:rsid wsp:val=&quot;00725EF2&quot;/&gt;&lt;wsp:rsid wsp:val=&quot;00726348&quot;/&gt;&lt;wsp:rsid wsp:val=&quot;007263AD&quot;/&gt;&lt;wsp:rsid wsp:val=&quot;0072641C&quot;/&gt;&lt;wsp:rsid wsp:val=&quot;00726441&quot;/&gt;&lt;wsp:rsid wsp:val=&quot;00726A6D&quot;/&gt;&lt;wsp:rsid wsp:val=&quot;00726CEB&quot;/&gt;&lt;wsp:rsid wsp:val=&quot;00726ED1&quot;/&gt;&lt;wsp:rsid wsp:val=&quot;007274C8&quot;/&gt;&lt;wsp:rsid wsp:val=&quot;00727829&quot;/&gt;&lt;wsp:rsid wsp:val=&quot;00727A1E&quot;/&gt;&lt;wsp:rsid wsp:val=&quot;00727AC5&quot;/&gt;&lt;wsp:rsid wsp:val=&quot;00727E81&quot;/&gt;&lt;wsp:rsid wsp:val=&quot;0073012A&quot;/&gt;&lt;wsp:rsid wsp:val=&quot;007304B3&quot;/&gt;&lt;wsp:rsid wsp:val=&quot;0073074D&quot;/&gt;&lt;wsp:rsid wsp:val=&quot;007308E5&quot;/&gt;&lt;wsp:rsid wsp:val=&quot;00730CAE&quot;/&gt;&lt;wsp:rsid wsp:val=&quot;00730E66&quot;/&gt;&lt;wsp:rsid wsp:val=&quot;0073114A&quot;/&gt;&lt;wsp:rsid wsp:val=&quot;007319A5&quot;/&gt;&lt;wsp:rsid wsp:val=&quot;00731CE2&quot;/&gt;&lt;wsp:rsid wsp:val=&quot;00731FD7&quot;/&gt;&lt;wsp:rsid wsp:val=&quot;00732128&quot;/&gt;&lt;wsp:rsid wsp:val=&quot;007327B8&quot;/&gt;&lt;wsp:rsid wsp:val=&quot;00732893&quot;/&gt;&lt;wsp:rsid wsp:val=&quot;0073296E&quot;/&gt;&lt;wsp:rsid wsp:val=&quot;007329B1&quot;/&gt;&lt;wsp:rsid wsp:val=&quot;00732A2D&quot;/&gt;&lt;wsp:rsid wsp:val=&quot;00732A77&quot;/&gt;&lt;wsp:rsid wsp:val=&quot;00732C8B&quot;/&gt;&lt;wsp:rsid wsp:val=&quot;00732DF1&quot;/&gt;&lt;wsp:rsid wsp:val=&quot;00732EEB&quot;/&gt;&lt;wsp:rsid wsp:val=&quot;007331F2&quot;/&gt;&lt;wsp:rsid wsp:val=&quot;00733487&quot;/&gt;&lt;wsp:rsid wsp:val=&quot;00733A86&quot;/&gt;&lt;wsp:rsid wsp:val=&quot;00733E70&quot;/&gt;&lt;wsp:rsid wsp:val=&quot;00733EB5&quot;/&gt;&lt;wsp:rsid wsp:val=&quot;00733F1A&quot;/&gt;&lt;wsp:rsid wsp:val=&quot;00733FFF&quot;/&gt;&lt;wsp:rsid wsp:val=&quot;0073451D&quot;/&gt;&lt;wsp:rsid wsp:val=&quot;00734595&quot;/&gt;&lt;wsp:rsid wsp:val=&quot;00734882&quot;/&gt;&lt;wsp:rsid wsp:val=&quot;00734BF8&quot;/&gt;&lt;wsp:rsid wsp:val=&quot;00734D2F&quot;/&gt;&lt;wsp:rsid wsp:val=&quot;00734E7B&quot;/&gt;&lt;wsp:rsid wsp:val=&quot;00734FD6&quot;/&gt;&lt;wsp:rsid wsp:val=&quot;007350F0&quot;/&gt;&lt;wsp:rsid wsp:val=&quot;00735206&quot;/&gt;&lt;wsp:rsid wsp:val=&quot;007353FC&quot;/&gt;&lt;wsp:rsid wsp:val=&quot;0073545D&quot;/&gt;&lt;wsp:rsid wsp:val=&quot;00735846&quot;/&gt;&lt;wsp:rsid wsp:val=&quot;00735968&quot;/&gt;&lt;wsp:rsid wsp:val=&quot;00735B3D&quot;/&gt;&lt;wsp:rsid wsp:val=&quot;00735C73&quot;/&gt;&lt;wsp:rsid wsp:val=&quot;00735CE2&quot;/&gt;&lt;wsp:rsid wsp:val=&quot;00735DB8&quot;/&gt;&lt;wsp:rsid wsp:val=&quot;00735EF2&quot;/&gt;&lt;wsp:rsid wsp:val=&quot;00735FFF&quot;/&gt;&lt;wsp:rsid wsp:val=&quot;0073638A&quot;/&gt;&lt;wsp:rsid wsp:val=&quot;0073657B&quot;/&gt;&lt;wsp:rsid wsp:val=&quot;00736623&quot;/&gt;&lt;wsp:rsid wsp:val=&quot;00736671&quot;/&gt;&lt;wsp:rsid wsp:val=&quot;00736696&quot;/&gt;&lt;wsp:rsid wsp:val=&quot;007366D7&quot;/&gt;&lt;wsp:rsid wsp:val=&quot;00736B5F&quot;/&gt;&lt;wsp:rsid wsp:val=&quot;00736C5E&quot;/&gt;&lt;wsp:rsid wsp:val=&quot;00736D61&quot;/&gt;&lt;wsp:rsid wsp:val=&quot;00737803&quot;/&gt;&lt;wsp:rsid wsp:val=&quot;007378F9&quot;/&gt;&lt;wsp:rsid wsp:val=&quot;00737C06&quot;/&gt;&lt;wsp:rsid wsp:val=&quot;00737C17&quot;/&gt;&lt;wsp:rsid wsp:val=&quot;00737CFF&quot;/&gt;&lt;wsp:rsid wsp:val=&quot;00737D27&quot;/&gt;&lt;wsp:rsid wsp:val=&quot;00737F6F&quot;/&gt;&lt;wsp:rsid wsp:val=&quot;0074028A&quot;/&gt;&lt;wsp:rsid wsp:val=&quot;00740433&quot;/&gt;&lt;wsp:rsid wsp:val=&quot;00740667&quot;/&gt;&lt;wsp:rsid wsp:val=&quot;007407B1&quot;/&gt;&lt;wsp:rsid wsp:val=&quot;007407F2&quot;/&gt;&lt;wsp:rsid wsp:val=&quot;007409DF&quot;/&gt;&lt;wsp:rsid wsp:val=&quot;00740C24&quot;/&gt;&lt;wsp:rsid wsp:val=&quot;00740C89&quot;/&gt;&lt;wsp:rsid wsp:val=&quot;00740DC5&quot;/&gt;&lt;wsp:rsid wsp:val=&quot;00740EB7&quot;/&gt;&lt;wsp:rsid wsp:val=&quot;007411ED&quot;/&gt;&lt;wsp:rsid wsp:val=&quot;007412AF&quot;/&gt;&lt;wsp:rsid wsp:val=&quot;00741E41&quot;/&gt;&lt;wsp:rsid wsp:val=&quot;00741F54&quot;/&gt;&lt;wsp:rsid wsp:val=&quot;00742310&quot;/&gt;&lt;wsp:rsid wsp:val=&quot;00742637&quot;/&gt;&lt;wsp:rsid wsp:val=&quot;00742888&quot;/&gt;&lt;wsp:rsid wsp:val=&quot;00742B0C&quot;/&gt;&lt;wsp:rsid wsp:val=&quot;00742D37&quot;/&gt;&lt;wsp:rsid wsp:val=&quot;00742EA7&quot;/&gt;&lt;wsp:rsid wsp:val=&quot;00743393&quot;/&gt;&lt;wsp:rsid wsp:val=&quot;0074384D&quot;/&gt;&lt;wsp:rsid wsp:val=&quot;0074391B&quot;/&gt;&lt;wsp:rsid wsp:val=&quot;00743C12&quot;/&gt;&lt;wsp:rsid wsp:val=&quot;00743E3E&quot;/&gt;&lt;wsp:rsid wsp:val=&quot;00743F2B&quot;/&gt;&lt;wsp:rsid wsp:val=&quot;007440CB&quot;/&gt;&lt;wsp:rsid wsp:val=&quot;00744211&quot;/&gt;&lt;wsp:rsid wsp:val=&quot;007443C9&quot;/&gt;&lt;wsp:rsid wsp:val=&quot;00744497&quot;/&gt;&lt;wsp:rsid wsp:val=&quot;00744613&quot;/&gt;&lt;wsp:rsid wsp:val=&quot;00744664&quot;/&gt;&lt;wsp:rsid wsp:val=&quot;007446A6&quot;/&gt;&lt;wsp:rsid wsp:val=&quot;00744985&quot;/&gt;&lt;wsp:rsid wsp:val=&quot;00744A34&quot;/&gt;&lt;wsp:rsid wsp:val=&quot;00744C0F&quot;/&gt;&lt;wsp:rsid wsp:val=&quot;00744E07&quot;/&gt;&lt;wsp:rsid wsp:val=&quot;00744FA5&quot;/&gt;&lt;wsp:rsid wsp:val=&quot;007450AD&quot;/&gt;&lt;wsp:rsid wsp:val=&quot;00745537&quot;/&gt;&lt;wsp:rsid wsp:val=&quot;0074571A&quot;/&gt;&lt;wsp:rsid wsp:val=&quot;007457BE&quot;/&gt;&lt;wsp:rsid wsp:val=&quot;00745B0E&quot;/&gt;&lt;wsp:rsid wsp:val=&quot;00745BC5&quot;/&gt;&lt;wsp:rsid wsp:val=&quot;00745DDA&quot;/&gt;&lt;wsp:rsid wsp:val=&quot;00746132&quot;/&gt;&lt;wsp:rsid wsp:val=&quot;00746311&quot;/&gt;&lt;wsp:rsid wsp:val=&quot;00746475&quot;/&gt;&lt;wsp:rsid wsp:val=&quot;0074647E&quot;/&gt;&lt;wsp:rsid wsp:val=&quot;00746A62&quot;/&gt;&lt;wsp:rsid wsp:val=&quot;00746C8F&quot;/&gt;&lt;wsp:rsid wsp:val=&quot;00746D81&quot;/&gt;&lt;wsp:rsid wsp:val=&quot;00746D82&quot;/&gt;&lt;wsp:rsid wsp:val=&quot;00746E17&quot;/&gt;&lt;wsp:rsid wsp:val=&quot;00746F97&quot;/&gt;&lt;wsp:rsid wsp:val=&quot;00747186&quot;/&gt;&lt;wsp:rsid wsp:val=&quot;007500EF&quot;/&gt;&lt;wsp:rsid wsp:val=&quot;00750166&quot;/&gt;&lt;wsp:rsid wsp:val=&quot;00750424&quot;/&gt;&lt;wsp:rsid wsp:val=&quot;007506C1&quot;/&gt;&lt;wsp:rsid wsp:val=&quot;007508D3&quot;/&gt;&lt;wsp:rsid wsp:val=&quot;00750A47&quot;/&gt;&lt;wsp:rsid wsp:val=&quot;00750B95&quot;/&gt;&lt;wsp:rsid wsp:val=&quot;00750CCC&quot;/&gt;&lt;wsp:rsid wsp:val=&quot;00750CFB&quot;/&gt;&lt;wsp:rsid wsp:val=&quot;00751005&quot;/&gt;&lt;wsp:rsid wsp:val=&quot;007518F1&quot;/&gt;&lt;wsp:rsid wsp:val=&quot;00751D07&quot;/&gt;&lt;wsp:rsid wsp:val=&quot;00751E80&quot;/&gt;&lt;wsp:rsid wsp:val=&quot;00752757&quot;/&gt;&lt;wsp:rsid wsp:val=&quot;00752794&quot;/&gt;&lt;wsp:rsid wsp:val=&quot;00752E1A&quot;/&gt;&lt;wsp:rsid wsp:val=&quot;00752E2C&quot;/&gt;&lt;wsp:rsid wsp:val=&quot;00753019&quot;/&gt;&lt;wsp:rsid wsp:val=&quot;00753044&quot;/&gt;&lt;wsp:rsid wsp:val=&quot;00753057&quot;/&gt;&lt;wsp:rsid wsp:val=&quot;007530BD&quot;/&gt;&lt;wsp:rsid wsp:val=&quot;0075327F&quot;/&gt;&lt;wsp:rsid wsp:val=&quot;007532AA&quot;/&gt;&lt;wsp:rsid wsp:val=&quot;00753335&quot;/&gt;&lt;wsp:rsid wsp:val=&quot;00753753&quot;/&gt;&lt;wsp:rsid wsp:val=&quot;00753AA8&quot;/&gt;&lt;wsp:rsid wsp:val=&quot;00753AB6&quot;/&gt;&lt;wsp:rsid wsp:val=&quot;00753B22&quot;/&gt;&lt;wsp:rsid wsp:val=&quot;00753F6D&quot;/&gt;&lt;wsp:rsid wsp:val=&quot;007540CD&quot;/&gt;&lt;wsp:rsid wsp:val=&quot;00754178&quot;/&gt;&lt;wsp:rsid wsp:val=&quot;00754222&quot;/&gt;&lt;wsp:rsid wsp:val=&quot;007542FD&quot;/&gt;&lt;wsp:rsid wsp:val=&quot;007544F8&quot;/&gt;&lt;wsp:rsid wsp:val=&quot;0075455D&quot;/&gt;&lt;wsp:rsid wsp:val=&quot;0075459A&quot;/&gt;&lt;wsp:rsid wsp:val=&quot;007548B2&quot;/&gt;&lt;wsp:rsid wsp:val=&quot;007549D3&quot;/&gt;&lt;wsp:rsid wsp:val=&quot;00754A72&quot;/&gt;&lt;wsp:rsid wsp:val=&quot;00754B2A&quot;/&gt;&lt;wsp:rsid wsp:val=&quot;00754F36&quot;/&gt;&lt;wsp:rsid wsp:val=&quot;00754F5C&quot;/&gt;&lt;wsp:rsid wsp:val=&quot;0075511A&quot;/&gt;&lt;wsp:rsid wsp:val=&quot;007554B0&quot;/&gt;&lt;wsp:rsid wsp:val=&quot;007554DA&quot;/&gt;&lt;wsp:rsid wsp:val=&quot;007556DA&quot;/&gt;&lt;wsp:rsid wsp:val=&quot;0075587A&quot;/&gt;&lt;wsp:rsid wsp:val=&quot;0075597A&quot;/&gt;&lt;wsp:rsid wsp:val=&quot;00755A12&quot;/&gt;&lt;wsp:rsid wsp:val=&quot;00755AEE&quot;/&gt;&lt;wsp:rsid wsp:val=&quot;00755C46&quot;/&gt;&lt;wsp:rsid wsp:val=&quot;00755CAA&quot;/&gt;&lt;wsp:rsid wsp:val=&quot;00756761&quot;/&gt;&lt;wsp:rsid wsp:val=&quot;007568EC&quot;/&gt;&lt;wsp:rsid wsp:val=&quot;00756A2B&quot;/&gt;&lt;wsp:rsid wsp:val=&quot;00756D1F&quot;/&gt;&lt;wsp:rsid wsp:val=&quot;00756E58&quot;/&gt;&lt;wsp:rsid wsp:val=&quot;00756FF4&quot;/&gt;&lt;wsp:rsid wsp:val=&quot;007573F6&quot;/&gt;&lt;wsp:rsid wsp:val=&quot;007576A3&quot;/&gt;&lt;wsp:rsid wsp:val=&quot;007577AD&quot;/&gt;&lt;wsp:rsid wsp:val=&quot;00757883&quot;/&gt;&lt;wsp:rsid wsp:val=&quot;00757ACA&quot;/&gt;&lt;wsp:rsid wsp:val=&quot;00757B40&quot;/&gt;&lt;wsp:rsid wsp:val=&quot;00757D0C&quot;/&gt;&lt;wsp:rsid wsp:val=&quot;00757D9D&quot;/&gt;&lt;wsp:rsid wsp:val=&quot;00757EE2&quot;/&gt;&lt;wsp:rsid wsp:val=&quot;00760186&quot;/&gt;&lt;wsp:rsid wsp:val=&quot;00760613&quot;/&gt;&lt;wsp:rsid wsp:val=&quot;00760666&quot;/&gt;&lt;wsp:rsid wsp:val=&quot;007609DE&quot;/&gt;&lt;wsp:rsid wsp:val=&quot;00760EFC&quot;/&gt;&lt;wsp:rsid wsp:val=&quot;007612FE&quot;/&gt;&lt;wsp:rsid wsp:val=&quot;007613E7&quot;/&gt;&lt;wsp:rsid wsp:val=&quot;00761619&quot;/&gt;&lt;wsp:rsid wsp:val=&quot;007619D5&quot;/&gt;&lt;wsp:rsid wsp:val=&quot;00761AB3&quot;/&gt;&lt;wsp:rsid wsp:val=&quot;00761E86&quot;/&gt;&lt;wsp:rsid wsp:val=&quot;007620CC&quot;/&gt;&lt;wsp:rsid wsp:val=&quot;00762325&quot;/&gt;&lt;wsp:rsid wsp:val=&quot;0076246F&quot;/&gt;&lt;wsp:rsid wsp:val=&quot;0076248D&quot;/&gt;&lt;wsp:rsid wsp:val=&quot;00762896&quot;/&gt;&lt;wsp:rsid wsp:val=&quot;00762BCD&quot;/&gt;&lt;wsp:rsid wsp:val=&quot;00762F1D&quot;/&gt;&lt;wsp:rsid wsp:val=&quot;0076379F&quot;/&gt;&lt;wsp:rsid wsp:val=&quot;00763A60&quot;/&gt;&lt;wsp:rsid wsp:val=&quot;00763B8D&quot;/&gt;&lt;wsp:rsid wsp:val=&quot;00763BFE&quot;/&gt;&lt;wsp:rsid wsp:val=&quot;00763D5E&quot;/&gt;&lt;wsp:rsid wsp:val=&quot;0076463E&quot;/&gt;&lt;wsp:rsid wsp:val=&quot;00764B7A&quot;/&gt;&lt;wsp:rsid wsp:val=&quot;00764C48&quot;/&gt;&lt;wsp:rsid wsp:val=&quot;00764D4A&quot;/&gt;&lt;wsp:rsid wsp:val=&quot;00764F35&quot;/&gt;&lt;wsp:rsid wsp:val=&quot;007652B2&quot;/&gt;&lt;wsp:rsid wsp:val=&quot;00765323&quot;/&gt;&lt;wsp:rsid wsp:val=&quot;00765327&quot;/&gt;&lt;wsp:rsid wsp:val=&quot;0076597B&quot;/&gt;&lt;wsp:rsid wsp:val=&quot;00765E7A&quot;/&gt;&lt;wsp:rsid wsp:val=&quot;007663B2&quot;/&gt;&lt;wsp:rsid wsp:val=&quot;0076648C&quot;/&gt;&lt;wsp:rsid wsp:val=&quot;00766511&quot;/&gt;&lt;wsp:rsid wsp:val=&quot;007665AD&quot;/&gt;&lt;wsp:rsid wsp:val=&quot;007666F7&quot;/&gt;&lt;wsp:rsid wsp:val=&quot;00766756&quot;/&gt;&lt;wsp:rsid wsp:val=&quot;0076699F&quot;/&gt;&lt;wsp:rsid wsp:val=&quot;007669D9&quot;/&gt;&lt;wsp:rsid wsp:val=&quot;00766B00&quot;/&gt;&lt;wsp:rsid wsp:val=&quot;00766CAB&quot;/&gt;&lt;wsp:rsid wsp:val=&quot;00766E08&quot;/&gt;&lt;wsp:rsid wsp:val=&quot;00767385&quot;/&gt;&lt;wsp:rsid wsp:val=&quot;007673B6&quot;/&gt;&lt;wsp:rsid wsp:val=&quot;0076746C&quot;/&gt;&lt;wsp:rsid wsp:val=&quot;00767E17&quot;/&gt;&lt;wsp:rsid wsp:val=&quot;00767EC6&quot;/&gt;&lt;wsp:rsid wsp:val=&quot;00767F2A&quot;/&gt;&lt;wsp:rsid wsp:val=&quot;00767FDC&quot;/&gt;&lt;wsp:rsid wsp:val=&quot;0077033B&quot;/&gt;&lt;wsp:rsid wsp:val=&quot;007707AF&quot;/&gt;&lt;wsp:rsid wsp:val=&quot;00770B6E&quot;/&gt;&lt;wsp:rsid wsp:val=&quot;007711F5&quot;/&gt;&lt;wsp:rsid wsp:val=&quot;00771210&quot;/&gt;&lt;wsp:rsid wsp:val=&quot;0077131D&quot;/&gt;&lt;wsp:rsid wsp:val=&quot;007717E9&quot;/&gt;&lt;wsp:rsid wsp:val=&quot;00771CFF&quot;/&gt;&lt;wsp:rsid wsp:val=&quot;00771E42&quot;/&gt;&lt;wsp:rsid wsp:val=&quot;00771E7E&quot;/&gt;&lt;wsp:rsid wsp:val=&quot;00771F9A&quot;/&gt;&lt;wsp:rsid wsp:val=&quot;007722F9&quot;/&gt;&lt;wsp:rsid wsp:val=&quot;0077239F&quot;/&gt;&lt;wsp:rsid wsp:val=&quot;0077268C&quot;/&gt;&lt;wsp:rsid wsp:val=&quot;007727CB&quot;/&gt;&lt;wsp:rsid wsp:val=&quot;00772813&quot;/&gt;&lt;wsp:rsid wsp:val=&quot;00772BEC&quot;/&gt;&lt;wsp:rsid wsp:val=&quot;0077308B&quot;/&gt;&lt;wsp:rsid wsp:val=&quot;007730D3&quot;/&gt;&lt;wsp:rsid wsp:val=&quot;007735DF&quot;/&gt;&lt;wsp:rsid wsp:val=&quot;007736E1&quot;/&gt;&lt;wsp:rsid wsp:val=&quot;00773C52&quot;/&gt;&lt;wsp:rsid wsp:val=&quot;00773D11&quot;/&gt;&lt;wsp:rsid wsp:val=&quot;00773D66&quot;/&gt;&lt;wsp:rsid wsp:val=&quot;00773DF8&quot;/&gt;&lt;wsp:rsid wsp:val=&quot;0077402B&quot;/&gt;&lt;wsp:rsid wsp:val=&quot;007740FA&quot;/&gt;&lt;wsp:rsid wsp:val=&quot;00774139&quot;/&gt;&lt;wsp:rsid wsp:val=&quot;007746A0&quot;/&gt;&lt;wsp:rsid wsp:val=&quot;00774757&quot;/&gt;&lt;wsp:rsid wsp:val=&quot;00774918&quot;/&gt;&lt;wsp:rsid wsp:val=&quot;00774AA7&quot;/&gt;&lt;wsp:rsid wsp:val=&quot;00774B36&quot;/&gt;&lt;wsp:rsid wsp:val=&quot;00774EC5&quot;/&gt;&lt;wsp:rsid wsp:val=&quot;007753E1&quot;/&gt;&lt;wsp:rsid wsp:val=&quot;007756C7&quot;/&gt;&lt;wsp:rsid wsp:val=&quot;00775983&quot;/&gt;&lt;wsp:rsid wsp:val=&quot;00775B8E&quot;/&gt;&lt;wsp:rsid wsp:val=&quot;00775C7D&quot;/&gt;&lt;wsp:rsid wsp:val=&quot;00775CB6&quot;/&gt;&lt;wsp:rsid wsp:val=&quot;00775D66&quot;/&gt;&lt;wsp:rsid wsp:val=&quot;00775E6E&quot;/&gt;&lt;wsp:rsid wsp:val=&quot;00775E7B&quot;/&gt;&lt;wsp:rsid wsp:val=&quot;00776438&quot;/&gt;&lt;wsp:rsid wsp:val=&quot;0077663F&quot;/&gt;&lt;wsp:rsid wsp:val=&quot;0077668A&quot;/&gt;&lt;wsp:rsid wsp:val=&quot;007766DF&quot;/&gt;&lt;wsp:rsid wsp:val=&quot;00776AF2&quot;/&gt;&lt;wsp:rsid wsp:val=&quot;00776C96&quot;/&gt;&lt;wsp:rsid wsp:val=&quot;007776BF&quot;/&gt;&lt;wsp:rsid wsp:val=&quot;00777881&quot;/&gt;&lt;wsp:rsid wsp:val=&quot;0077792A&quot;/&gt;&lt;wsp:rsid wsp:val=&quot;00777AAE&quot;/&gt;&lt;wsp:rsid wsp:val=&quot;00777B33&quot;/&gt;&lt;wsp:rsid wsp:val=&quot;00777B9B&quot;/&gt;&lt;wsp:rsid wsp:val=&quot;00777E09&quot;/&gt;&lt;wsp:rsid wsp:val=&quot;00777E5D&quot;/&gt;&lt;wsp:rsid wsp:val=&quot;00777E68&quot;/&gt;&lt;wsp:rsid wsp:val=&quot;007804E4&quot;/&gt;&lt;wsp:rsid wsp:val=&quot;00780524&quot;/&gt;&lt;wsp:rsid wsp:val=&quot;007805A2&quot;/&gt;&lt;wsp:rsid wsp:val=&quot;00780775&quot;/&gt;&lt;wsp:rsid wsp:val=&quot;007809ED&quot;/&gt;&lt;wsp:rsid wsp:val=&quot;00780AE2&quot;/&gt;&lt;wsp:rsid wsp:val=&quot;00780E10&quot;/&gt;&lt;wsp:rsid wsp:val=&quot;00780E38&quot;/&gt;&lt;wsp:rsid wsp:val=&quot;00781060&quot;/&gt;&lt;wsp:rsid wsp:val=&quot;00781199&quot;/&gt;&lt;wsp:rsid wsp:val=&quot;007812B8&quot;/&gt;&lt;wsp:rsid wsp:val=&quot;0078167F&quot;/&gt;&lt;wsp:rsid wsp:val=&quot;00781759&quot;/&gt;&lt;wsp:rsid wsp:val=&quot;00781B60&quot;/&gt;&lt;wsp:rsid wsp:val=&quot;0078227A&quot;/&gt;&lt;wsp:rsid wsp:val=&quot;00782335&quot;/&gt;&lt;wsp:rsid wsp:val=&quot;0078279A&quot;/&gt;&lt;wsp:rsid wsp:val=&quot;00782C3F&quot;/&gt;&lt;wsp:rsid wsp:val=&quot;00783058&quot;/&gt;&lt;wsp:rsid wsp:val=&quot;00783134&quot;/&gt;&lt;wsp:rsid wsp:val=&quot;007832D9&quot;/&gt;&lt;wsp:rsid wsp:val=&quot;007835D2&quot;/&gt;&lt;wsp:rsid wsp:val=&quot;007837DA&quot;/&gt;&lt;wsp:rsid wsp:val=&quot;00783827&quot;/&gt;&lt;wsp:rsid wsp:val=&quot;0078385B&quot;/&gt;&lt;wsp:rsid wsp:val=&quot;00783A96&quot;/&gt;&lt;wsp:rsid wsp:val=&quot;00783B08&quot;/&gt;&lt;wsp:rsid wsp:val=&quot;00783BA2&quot;/&gt;&lt;wsp:rsid wsp:val=&quot;00783C2F&quot;/&gt;&lt;wsp:rsid wsp:val=&quot;00783D16&quot;/&gt;&lt;wsp:rsid wsp:val=&quot;00783DF1&quot;/&gt;&lt;wsp:rsid wsp:val=&quot;0078401E&quot;/&gt;&lt;wsp:rsid wsp:val=&quot;007840AA&quot;/&gt;&lt;wsp:rsid wsp:val=&quot;007842E8&quot;/&gt;&lt;wsp:rsid wsp:val=&quot;007847A4&quot;/&gt;&lt;wsp:rsid wsp:val=&quot;007847BD&quot;/&gt;&lt;wsp:rsid wsp:val=&quot;00784A73&quot;/&gt;&lt;wsp:rsid wsp:val=&quot;00784AF4&quot;/&gt;&lt;wsp:rsid wsp:val=&quot;00785248&quot;/&gt;&lt;wsp:rsid wsp:val=&quot;00785A4F&quot;/&gt;&lt;wsp:rsid wsp:val=&quot;00785BDA&quot;/&gt;&lt;wsp:rsid wsp:val=&quot;00785C48&quot;/&gt;&lt;wsp:rsid wsp:val=&quot;00786039&quot;/&gt;&lt;wsp:rsid wsp:val=&quot;0078606B&quot;/&gt;&lt;wsp:rsid wsp:val=&quot;0078649A&quot;/&gt;&lt;wsp:rsid wsp:val=&quot;0078661A&quot;/&gt;&lt;wsp:rsid wsp:val=&quot;00786729&quot;/&gt;&lt;wsp:rsid wsp:val=&quot;00786A15&quot;/&gt;&lt;wsp:rsid wsp:val=&quot;00786A50&quot;/&gt;&lt;wsp:rsid wsp:val=&quot;00786B23&quot;/&gt;&lt;wsp:rsid wsp:val=&quot;00786B2D&quot;/&gt;&lt;wsp:rsid wsp:val=&quot;007870D4&quot;/&gt;&lt;wsp:rsid wsp:val=&quot;0078725E&quot;/&gt;&lt;wsp:rsid wsp:val=&quot;007875B5&quot;/&gt;&lt;wsp:rsid wsp:val=&quot;0078762A&quot;/&gt;&lt;wsp:rsid wsp:val=&quot;007878CE&quot;/&gt;&lt;wsp:rsid wsp:val=&quot;007879A5&quot;/&gt;&lt;wsp:rsid wsp:val=&quot;0079012C&quot;/&gt;&lt;wsp:rsid wsp:val=&quot;007901EE&quot;/&gt;&lt;wsp:rsid wsp:val=&quot;0079033A&quot;/&gt;&lt;wsp:rsid wsp:val=&quot;00790597&quot;/&gt;&lt;wsp:rsid wsp:val=&quot;0079078C&quot;/&gt;&lt;wsp:rsid wsp:val=&quot;0079093B&quot;/&gt;&lt;wsp:rsid wsp:val=&quot;00790B27&quot;/&gt;&lt;wsp:rsid wsp:val=&quot;00790C7B&quot;/&gt;&lt;wsp:rsid wsp:val=&quot;00791136&quot;/&gt;&lt;wsp:rsid wsp:val=&quot;007912E7&quot;/&gt;&lt;wsp:rsid wsp:val=&quot;007918F0&quot;/&gt;&lt;wsp:rsid wsp:val=&quot;00791922&quot;/&gt;&lt;wsp:rsid wsp:val=&quot;00791949&quot;/&gt;&lt;wsp:rsid wsp:val=&quot;00791ADD&quot;/&gt;&lt;wsp:rsid wsp:val=&quot;00791FCA&quot;/&gt;&lt;wsp:rsid wsp:val=&quot;00792293&quot;/&gt;&lt;wsp:rsid wsp:val=&quot;007925DF&quot;/&gt;&lt;wsp:rsid wsp:val=&quot;007925FE&quot;/&gt;&lt;wsp:rsid wsp:val=&quot;007926DE&quot;/&gt;&lt;wsp:rsid wsp:val=&quot;007929AA&quot;/&gt;&lt;wsp:rsid wsp:val=&quot;00792BE2&quot;/&gt;&lt;wsp:rsid wsp:val=&quot;00792BF2&quot;/&gt;&lt;wsp:rsid wsp:val=&quot;00792EF6&quot;/&gt;&lt;wsp:rsid wsp:val=&quot;00793647&quot;/&gt;&lt;wsp:rsid wsp:val=&quot;00793F30&quot;/&gt;&lt;wsp:rsid wsp:val=&quot;00794008&quot;/&gt;&lt;wsp:rsid wsp:val=&quot;00794303&quot;/&gt;&lt;wsp:rsid wsp:val=&quot;0079451C&quot;/&gt;&lt;wsp:rsid wsp:val=&quot;007945AD&quot;/&gt;&lt;wsp:rsid wsp:val=&quot;00794696&quot;/&gt;&lt;wsp:rsid wsp:val=&quot;0079475F&quot;/&gt;&lt;wsp:rsid wsp:val=&quot;007947B0&quot;/&gt;&lt;wsp:rsid wsp:val=&quot;00794877&quot;/&gt;&lt;wsp:rsid wsp:val=&quot;00794995&quot;/&gt;&lt;wsp:rsid wsp:val=&quot;00794AE6&quot;/&gt;&lt;wsp:rsid wsp:val=&quot;00794B8B&quot;/&gt;&lt;wsp:rsid wsp:val=&quot;0079502B&quot;/&gt;&lt;wsp:rsid wsp:val=&quot;007951ED&quot;/&gt;&lt;wsp:rsid wsp:val=&quot;0079523F&quot;/&gt;&lt;wsp:rsid wsp:val=&quot;007956BD&quot;/&gt;&lt;wsp:rsid wsp:val=&quot;00795886&quot;/&gt;&lt;wsp:rsid wsp:val=&quot;00796032&quot;/&gt;&lt;wsp:rsid wsp:val=&quot;00796147&quot;/&gt;&lt;wsp:rsid wsp:val=&quot;00796512&quot;/&gt;&lt;wsp:rsid wsp:val=&quot;00796719&quot;/&gt;&lt;wsp:rsid wsp:val=&quot;00796ED4&quot;/&gt;&lt;wsp:rsid wsp:val=&quot;00797115&quot;/&gt;&lt;wsp:rsid wsp:val=&quot;007976D5&quot;/&gt;&lt;wsp:rsid wsp:val=&quot;0079786C&quot;/&gt;&lt;wsp:rsid wsp:val=&quot;00797899&quot;/&gt;&lt;wsp:rsid wsp:val=&quot;00797DC9&quot;/&gt;&lt;wsp:rsid wsp:val=&quot;007A0177&quot;/&gt;&lt;wsp:rsid wsp:val=&quot;007A0321&quot;/&gt;&lt;wsp:rsid wsp:val=&quot;007A0470&quot;/&gt;&lt;wsp:rsid wsp:val=&quot;007A072F&quot;/&gt;&lt;wsp:rsid wsp:val=&quot;007A0AE1&quot;/&gt;&lt;wsp:rsid wsp:val=&quot;007A0C27&quot;/&gt;&lt;wsp:rsid wsp:val=&quot;007A0E2D&quot;/&gt;&lt;wsp:rsid wsp:val=&quot;007A1953&quot;/&gt;&lt;wsp:rsid wsp:val=&quot;007A198F&quot;/&gt;&lt;wsp:rsid wsp:val=&quot;007A19AD&quot;/&gt;&lt;wsp:rsid wsp:val=&quot;007A1B64&quot;/&gt;&lt;wsp:rsid wsp:val=&quot;007A1B70&quot;/&gt;&lt;wsp:rsid wsp:val=&quot;007A1D46&quot;/&gt;&lt;wsp:rsid wsp:val=&quot;007A1D68&quot;/&gt;&lt;wsp:rsid wsp:val=&quot;007A20BF&quot;/&gt;&lt;wsp:rsid wsp:val=&quot;007A20FC&quot;/&gt;&lt;wsp:rsid wsp:val=&quot;007A22A7&quot;/&gt;&lt;wsp:rsid wsp:val=&quot;007A2519&quot;/&gt;&lt;wsp:rsid wsp:val=&quot;007A2889&quot;/&gt;&lt;wsp:rsid wsp:val=&quot;007A288F&quot;/&gt;&lt;wsp:rsid wsp:val=&quot;007A28A9&quot;/&gt;&lt;wsp:rsid wsp:val=&quot;007A2E27&quot;/&gt;&lt;wsp:rsid wsp:val=&quot;007A2E9F&quot;/&gt;&lt;wsp:rsid wsp:val=&quot;007A2FD5&quot;/&gt;&lt;wsp:rsid wsp:val=&quot;007A30D0&quot;/&gt;&lt;wsp:rsid wsp:val=&quot;007A3413&quot;/&gt;&lt;wsp:rsid wsp:val=&quot;007A36C3&quot;/&gt;&lt;wsp:rsid wsp:val=&quot;007A37B9&quot;/&gt;&lt;wsp:rsid wsp:val=&quot;007A3A46&quot;/&gt;&lt;wsp:rsid wsp:val=&quot;007A3C25&quot;/&gt;&lt;wsp:rsid wsp:val=&quot;007A3D68&quot;/&gt;&lt;wsp:rsid wsp:val=&quot;007A3E97&quot;/&gt;&lt;wsp:rsid wsp:val=&quot;007A3F57&quot;/&gt;&lt;wsp:rsid wsp:val=&quot;007A4013&quot;/&gt;&lt;wsp:rsid wsp:val=&quot;007A446F&quot;/&gt;&lt;wsp:rsid wsp:val=&quot;007A46E5&quot;/&gt;&lt;wsp:rsid wsp:val=&quot;007A484B&quot;/&gt;&lt;wsp:rsid wsp:val=&quot;007A488C&quot;/&gt;&lt;wsp:rsid wsp:val=&quot;007A48BF&quot;/&gt;&lt;wsp:rsid wsp:val=&quot;007A4C70&quot;/&gt;&lt;wsp:rsid wsp:val=&quot;007A50BE&quot;/&gt;&lt;wsp:rsid wsp:val=&quot;007A50E0&quot;/&gt;&lt;wsp:rsid wsp:val=&quot;007A51A4&quot;/&gt;&lt;wsp:rsid wsp:val=&quot;007A51B6&quot;/&gt;&lt;wsp:rsid wsp:val=&quot;007A51F8&quot;/&gt;&lt;wsp:rsid wsp:val=&quot;007A5270&quot;/&gt;&lt;wsp:rsid wsp:val=&quot;007A56FF&quot;/&gt;&lt;wsp:rsid wsp:val=&quot;007A5833&quot;/&gt;&lt;wsp:rsid wsp:val=&quot;007A5A9C&quot;/&gt;&lt;wsp:rsid wsp:val=&quot;007A5C34&quot;/&gt;&lt;wsp:rsid wsp:val=&quot;007A5C6D&quot;/&gt;&lt;wsp:rsid wsp:val=&quot;007A5DF0&quot;/&gt;&lt;wsp:rsid wsp:val=&quot;007A5EA9&quot;/&gt;&lt;wsp:rsid wsp:val=&quot;007A61DD&quot;/&gt;&lt;wsp:rsid wsp:val=&quot;007A650A&quot;/&gt;&lt;wsp:rsid wsp:val=&quot;007A66AE&quot;/&gt;&lt;wsp:rsid wsp:val=&quot;007A66ED&quot;/&gt;&lt;wsp:rsid wsp:val=&quot;007A6886&quot;/&gt;&lt;wsp:rsid wsp:val=&quot;007A6980&quot;/&gt;&lt;wsp:rsid wsp:val=&quot;007A6BDC&quot;/&gt;&lt;wsp:rsid wsp:val=&quot;007A6E62&quot;/&gt;&lt;wsp:rsid wsp:val=&quot;007A6FDC&quot;/&gt;&lt;wsp:rsid wsp:val=&quot;007A71EF&quot;/&gt;&lt;wsp:rsid wsp:val=&quot;007A7719&quot;/&gt;&lt;wsp:rsid wsp:val=&quot;007A7767&quot;/&gt;&lt;wsp:rsid wsp:val=&quot;007A785A&quot;/&gt;&lt;wsp:rsid wsp:val=&quot;007A799E&quot;/&gt;&lt;wsp:rsid wsp:val=&quot;007A7B06&quot;/&gt;&lt;wsp:rsid wsp:val=&quot;007A7C71&quot;/&gt;&lt;wsp:rsid wsp:val=&quot;007A7DE7&quot;/&gt;&lt;wsp:rsid wsp:val=&quot;007A7DFD&quot;/&gt;&lt;wsp:rsid wsp:val=&quot;007A7EB7&quot;/&gt;&lt;wsp:rsid wsp:val=&quot;007A7EDC&quot;/&gt;&lt;wsp:rsid wsp:val=&quot;007B0110&quot;/&gt;&lt;wsp:rsid wsp:val=&quot;007B0690&quot;/&gt;&lt;wsp:rsid wsp:val=&quot;007B0773&quot;/&gt;&lt;wsp:rsid wsp:val=&quot;007B09F3&quot;/&gt;&lt;wsp:rsid wsp:val=&quot;007B0B8C&quot;/&gt;&lt;wsp:rsid wsp:val=&quot;007B0FDC&quot;/&gt;&lt;wsp:rsid wsp:val=&quot;007B10DA&quot;/&gt;&lt;wsp:rsid wsp:val=&quot;007B147C&quot;/&gt;&lt;wsp:rsid wsp:val=&quot;007B14CB&quot;/&gt;&lt;wsp:rsid wsp:val=&quot;007B186E&quot;/&gt;&lt;wsp:rsid wsp:val=&quot;007B1F50&quot;/&gt;&lt;wsp:rsid wsp:val=&quot;007B2135&quot;/&gt;&lt;wsp:rsid wsp:val=&quot;007B2265&quot;/&gt;&lt;wsp:rsid wsp:val=&quot;007B23A5&quot;/&gt;&lt;wsp:rsid wsp:val=&quot;007B2BC0&quot;/&gt;&lt;wsp:rsid wsp:val=&quot;007B2D55&quot;/&gt;&lt;wsp:rsid wsp:val=&quot;007B2DC3&quot;/&gt;&lt;wsp:rsid wsp:val=&quot;007B2DCB&quot;/&gt;&lt;wsp:rsid wsp:val=&quot;007B321E&quot;/&gt;&lt;wsp:rsid wsp:val=&quot;007B3233&quot;/&gt;&lt;wsp:rsid wsp:val=&quot;007B3A65&quot;/&gt;&lt;wsp:rsid wsp:val=&quot;007B3B44&quot;/&gt;&lt;wsp:rsid wsp:val=&quot;007B3D4A&quot;/&gt;&lt;wsp:rsid wsp:val=&quot;007B3DD0&quot;/&gt;&lt;wsp:rsid wsp:val=&quot;007B4475&quot;/&gt;&lt;wsp:rsid wsp:val=&quot;007B4499&quot;/&gt;&lt;wsp:rsid wsp:val=&quot;007B4576&quot;/&gt;&lt;wsp:rsid wsp:val=&quot;007B46CB&quot;/&gt;&lt;wsp:rsid wsp:val=&quot;007B46F7&quot;/&gt;&lt;wsp:rsid wsp:val=&quot;007B4951&quot;/&gt;&lt;wsp:rsid wsp:val=&quot;007B4D0F&quot;/&gt;&lt;wsp:rsid wsp:val=&quot;007B4E7E&quot;/&gt;&lt;wsp:rsid wsp:val=&quot;007B4FC1&quot;/&gt;&lt;wsp:rsid wsp:val=&quot;007B5180&quot;/&gt;&lt;wsp:rsid wsp:val=&quot;007B51B3&quot;/&gt;&lt;wsp:rsid wsp:val=&quot;007B567C&quot;/&gt;&lt;wsp:rsid wsp:val=&quot;007B58C9&quot;/&gt;&lt;wsp:rsid wsp:val=&quot;007B597D&quot;/&gt;&lt;wsp:rsid wsp:val=&quot;007B5E32&quot;/&gt;&lt;wsp:rsid wsp:val=&quot;007B6224&quot;/&gt;&lt;wsp:rsid wsp:val=&quot;007B6411&quot;/&gt;&lt;wsp:rsid wsp:val=&quot;007B673C&quot;/&gt;&lt;wsp:rsid wsp:val=&quot;007B6A49&quot;/&gt;&lt;wsp:rsid wsp:val=&quot;007B6B87&quot;/&gt;&lt;wsp:rsid wsp:val=&quot;007B6DE9&quot;/&gt;&lt;wsp:rsid wsp:val=&quot;007B6E04&quot;/&gt;&lt;wsp:rsid wsp:val=&quot;007B7062&quot;/&gt;&lt;wsp:rsid wsp:val=&quot;007B77F3&quot;/&gt;&lt;wsp:rsid wsp:val=&quot;007B7ACB&quot;/&gt;&lt;wsp:rsid wsp:val=&quot;007B7C57&quot;/&gt;&lt;wsp:rsid wsp:val=&quot;007B7F0E&quot;/&gt;&lt;wsp:rsid wsp:val=&quot;007C01CD&quot;/&gt;&lt;wsp:rsid wsp:val=&quot;007C066C&quot;/&gt;&lt;wsp:rsid wsp:val=&quot;007C06C4&quot;/&gt;&lt;wsp:rsid wsp:val=&quot;007C07CE&quot;/&gt;&lt;wsp:rsid wsp:val=&quot;007C09B5&quot;/&gt;&lt;wsp:rsid wsp:val=&quot;007C0A45&quot;/&gt;&lt;wsp:rsid wsp:val=&quot;007C124C&quot;/&gt;&lt;wsp:rsid wsp:val=&quot;007C12B3&quot;/&gt;&lt;wsp:rsid wsp:val=&quot;007C12BB&quot;/&gt;&lt;wsp:rsid wsp:val=&quot;007C141E&quot;/&gt;&lt;wsp:rsid wsp:val=&quot;007C14B0&quot;/&gt;&lt;wsp:rsid wsp:val=&quot;007C1548&quot;/&gt;&lt;wsp:rsid wsp:val=&quot;007C1D75&quot;/&gt;&lt;wsp:rsid wsp:val=&quot;007C1E60&quot;/&gt;&lt;wsp:rsid wsp:val=&quot;007C1EDB&quot;/&gt;&lt;wsp:rsid wsp:val=&quot;007C1F1E&quot;/&gt;&lt;wsp:rsid wsp:val=&quot;007C1F91&quot;/&gt;&lt;wsp:rsid wsp:val=&quot;007C2096&quot;/&gt;&lt;wsp:rsid wsp:val=&quot;007C20EC&quot;/&gt;&lt;wsp:rsid wsp:val=&quot;007C2284&quot;/&gt;&lt;wsp:rsid wsp:val=&quot;007C27DE&quot;/&gt;&lt;wsp:rsid wsp:val=&quot;007C2D21&quot;/&gt;&lt;wsp:rsid wsp:val=&quot;007C2D28&quot;/&gt;&lt;wsp:rsid wsp:val=&quot;007C2D49&quot;/&gt;&lt;wsp:rsid wsp:val=&quot;007C2F02&quot;/&gt;&lt;wsp:rsid wsp:val=&quot;007C3170&quot;/&gt;&lt;wsp:rsid wsp:val=&quot;007C32F4&quot;/&gt;&lt;wsp:rsid wsp:val=&quot;007C33D3&quot;/&gt;&lt;wsp:rsid wsp:val=&quot;007C3524&quot;/&gt;&lt;wsp:rsid wsp:val=&quot;007C3675&quot;/&gt;&lt;wsp:rsid wsp:val=&quot;007C37F6&quot;/&gt;&lt;wsp:rsid wsp:val=&quot;007C3874&quot;/&gt;&lt;wsp:rsid wsp:val=&quot;007C3947&quot;/&gt;&lt;wsp:rsid wsp:val=&quot;007C3BB6&quot;/&gt;&lt;wsp:rsid wsp:val=&quot;007C4249&quot;/&gt;&lt;wsp:rsid wsp:val=&quot;007C42BD&quot;/&gt;&lt;wsp:rsid wsp:val=&quot;007C439B&quot;/&gt;&lt;wsp:rsid wsp:val=&quot;007C4714&quot;/&gt;&lt;wsp:rsid wsp:val=&quot;007C4C27&quot;/&gt;&lt;wsp:rsid wsp:val=&quot;007C5267&quot;/&gt;&lt;wsp:rsid wsp:val=&quot;007C53BF&quot;/&gt;&lt;wsp:rsid wsp:val=&quot;007C5B10&quot;/&gt;&lt;wsp:rsid wsp:val=&quot;007C5BE3&quot;/&gt;&lt;wsp:rsid wsp:val=&quot;007C5EC0&quot;/&gt;&lt;wsp:rsid wsp:val=&quot;007C67AC&quot;/&gt;&lt;wsp:rsid wsp:val=&quot;007C67B0&quot;/&gt;&lt;wsp:rsid wsp:val=&quot;007C696C&quot;/&gt;&lt;wsp:rsid wsp:val=&quot;007C6C8E&quot;/&gt;&lt;wsp:rsid wsp:val=&quot;007C6FA4&quot;/&gt;&lt;wsp:rsid wsp:val=&quot;007C710F&quot;/&gt;&lt;wsp:rsid wsp:val=&quot;007C74D3&quot;/&gt;&lt;wsp:rsid wsp:val=&quot;007C76BF&quot;/&gt;&lt;wsp:rsid wsp:val=&quot;007C77F5&quot;/&gt;&lt;wsp:rsid wsp:val=&quot;007C7832&quot;/&gt;&lt;wsp:rsid wsp:val=&quot;007C7AF9&quot;/&gt;&lt;wsp:rsid wsp:val=&quot;007C7D83&quot;/&gt;&lt;wsp:rsid wsp:val=&quot;007D0020&quot;/&gt;&lt;wsp:rsid wsp:val=&quot;007D0226&quot;/&gt;&lt;wsp:rsid wsp:val=&quot;007D04F3&quot;/&gt;&lt;wsp:rsid wsp:val=&quot;007D08C4&quot;/&gt;&lt;wsp:rsid wsp:val=&quot;007D0F45&quot;/&gt;&lt;wsp:rsid wsp:val=&quot;007D1127&quot;/&gt;&lt;wsp:rsid wsp:val=&quot;007D1354&quot;/&gt;&lt;wsp:rsid wsp:val=&quot;007D147B&quot;/&gt;&lt;wsp:rsid wsp:val=&quot;007D16AF&quot;/&gt;&lt;wsp:rsid wsp:val=&quot;007D1902&quot;/&gt;&lt;wsp:rsid wsp:val=&quot;007D1A39&quot;/&gt;&lt;wsp:rsid wsp:val=&quot;007D2056&quot;/&gt;&lt;wsp:rsid wsp:val=&quot;007D2356&quot;/&gt;&lt;wsp:rsid wsp:val=&quot;007D263E&quot;/&gt;&lt;wsp:rsid wsp:val=&quot;007D2BDF&quot;/&gt;&lt;wsp:rsid wsp:val=&quot;007D2D04&quot;/&gt;&lt;wsp:rsid wsp:val=&quot;007D2DAB&quot;/&gt;&lt;wsp:rsid wsp:val=&quot;007D2F2D&quot;/&gt;&lt;wsp:rsid wsp:val=&quot;007D3178&quot;/&gt;&lt;wsp:rsid wsp:val=&quot;007D32C7&quot;/&gt;&lt;wsp:rsid wsp:val=&quot;007D3351&quot;/&gt;&lt;wsp:rsid wsp:val=&quot;007D3936&quot;/&gt;&lt;wsp:rsid wsp:val=&quot;007D3B3E&quot;/&gt;&lt;wsp:rsid wsp:val=&quot;007D3BD0&quot;/&gt;&lt;wsp:rsid wsp:val=&quot;007D3C16&quot;/&gt;&lt;wsp:rsid wsp:val=&quot;007D3CBF&quot;/&gt;&lt;wsp:rsid wsp:val=&quot;007D3E65&quot;/&gt;&lt;wsp:rsid wsp:val=&quot;007D42AE&quot;/&gt;&lt;wsp:rsid wsp:val=&quot;007D42C0&quot;/&gt;&lt;wsp:rsid wsp:val=&quot;007D4303&quot;/&gt;&lt;wsp:rsid wsp:val=&quot;007D4363&quot;/&gt;&lt;wsp:rsid wsp:val=&quot;007D4402&quot;/&gt;&lt;wsp:rsid wsp:val=&quot;007D4417&quot;/&gt;&lt;wsp:rsid wsp:val=&quot;007D472D&quot;/&gt;&lt;wsp:rsid wsp:val=&quot;007D4AED&quot;/&gt;&lt;wsp:rsid wsp:val=&quot;007D4F66&quot;/&gt;&lt;wsp:rsid wsp:val=&quot;007D565B&quot;/&gt;&lt;wsp:rsid wsp:val=&quot;007D56CC&quot;/&gt;&lt;wsp:rsid wsp:val=&quot;007D584C&quot;/&gt;&lt;wsp:rsid wsp:val=&quot;007D599A&quot;/&gt;&lt;wsp:rsid wsp:val=&quot;007D59C4&quot;/&gt;&lt;wsp:rsid wsp:val=&quot;007D5A71&quot;/&gt;&lt;wsp:rsid wsp:val=&quot;007D6072&quot;/&gt;&lt;wsp:rsid wsp:val=&quot;007D60B7&quot;/&gt;&lt;wsp:rsid wsp:val=&quot;007D646B&quot;/&gt;&lt;wsp:rsid wsp:val=&quot;007D69E5&quot;/&gt;&lt;wsp:rsid wsp:val=&quot;007D70EA&quot;/&gt;&lt;wsp:rsid wsp:val=&quot;007D72D6&quot;/&gt;&lt;wsp:rsid wsp:val=&quot;007D7989&quot;/&gt;&lt;wsp:rsid wsp:val=&quot;007E0064&quot;/&gt;&lt;wsp:rsid wsp:val=&quot;007E0065&quot;/&gt;&lt;wsp:rsid wsp:val=&quot;007E009C&quot;/&gt;&lt;wsp:rsid wsp:val=&quot;007E00B7&quot;/&gt;&lt;wsp:rsid wsp:val=&quot;007E0452&quot;/&gt;&lt;wsp:rsid wsp:val=&quot;007E046F&quot;/&gt;&lt;wsp:rsid wsp:val=&quot;007E0752&quot;/&gt;&lt;wsp:rsid wsp:val=&quot;007E0831&quot;/&gt;&lt;wsp:rsid wsp:val=&quot;007E0B62&quot;/&gt;&lt;wsp:rsid wsp:val=&quot;007E0B66&quot;/&gt;&lt;wsp:rsid wsp:val=&quot;007E0B81&quot;/&gt;&lt;wsp:rsid wsp:val=&quot;007E0DDC&quot;/&gt;&lt;wsp:rsid wsp:val=&quot;007E0E14&quot;/&gt;&lt;wsp:rsid wsp:val=&quot;007E0F92&quot;/&gt;&lt;wsp:rsid wsp:val=&quot;007E100E&quot;/&gt;&lt;wsp:rsid wsp:val=&quot;007E1062&quot;/&gt;&lt;wsp:rsid wsp:val=&quot;007E11D4&quot;/&gt;&lt;wsp:rsid wsp:val=&quot;007E1259&quot;/&gt;&lt;wsp:rsid wsp:val=&quot;007E12BC&quot;/&gt;&lt;wsp:rsid wsp:val=&quot;007E1558&quot;/&gt;&lt;wsp:rsid wsp:val=&quot;007E1568&quot;/&gt;&lt;wsp:rsid wsp:val=&quot;007E1580&quot;/&gt;&lt;wsp:rsid wsp:val=&quot;007E17BB&quot;/&gt;&lt;wsp:rsid wsp:val=&quot;007E1D5D&quot;/&gt;&lt;wsp:rsid wsp:val=&quot;007E1F60&quot;/&gt;&lt;wsp:rsid wsp:val=&quot;007E232D&quot;/&gt;&lt;wsp:rsid wsp:val=&quot;007E2835&quot;/&gt;&lt;wsp:rsid wsp:val=&quot;007E296A&quot;/&gt;&lt;wsp:rsid wsp:val=&quot;007E2F1A&quot;/&gt;&lt;wsp:rsid wsp:val=&quot;007E3922&quot;/&gt;&lt;wsp:rsid wsp:val=&quot;007E3AB4&quot;/&gt;&lt;wsp:rsid wsp:val=&quot;007E3DA6&quot;/&gt;&lt;wsp:rsid wsp:val=&quot;007E3E9F&quot;/&gt;&lt;wsp:rsid wsp:val=&quot;007E408B&quot;/&gt;&lt;wsp:rsid wsp:val=&quot;007E4383&quot;/&gt;&lt;wsp:rsid wsp:val=&quot;007E4803&quot;/&gt;&lt;wsp:rsid wsp:val=&quot;007E48A3&quot;/&gt;&lt;wsp:rsid wsp:val=&quot;007E49D4&quot;/&gt;&lt;wsp:rsid wsp:val=&quot;007E4AC4&quot;/&gt;&lt;wsp:rsid wsp:val=&quot;007E4B4C&quot;/&gt;&lt;wsp:rsid wsp:val=&quot;007E4CDE&quot;/&gt;&lt;wsp:rsid wsp:val=&quot;007E4DF0&quot;/&gt;&lt;wsp:rsid wsp:val=&quot;007E4E3A&quot;/&gt;&lt;wsp:rsid wsp:val=&quot;007E4F6B&quot;/&gt;&lt;wsp:rsid wsp:val=&quot;007E5235&quot;/&gt;&lt;wsp:rsid wsp:val=&quot;007E548D&quot;/&gt;&lt;wsp:rsid wsp:val=&quot;007E5892&quot;/&gt;&lt;wsp:rsid wsp:val=&quot;007E5AA5&quot;/&gt;&lt;wsp:rsid wsp:val=&quot;007E5C5C&quot;/&gt;&lt;wsp:rsid wsp:val=&quot;007E5C9A&quot;/&gt;&lt;wsp:rsid wsp:val=&quot;007E6002&quot;/&gt;&lt;wsp:rsid wsp:val=&quot;007E6482&quot;/&gt;&lt;wsp:rsid wsp:val=&quot;007E64B6&quot;/&gt;&lt;wsp:rsid wsp:val=&quot;007E6587&quot;/&gt;&lt;wsp:rsid wsp:val=&quot;007E6F8E&quot;/&gt;&lt;wsp:rsid wsp:val=&quot;007E72EB&quot;/&gt;&lt;wsp:rsid wsp:val=&quot;007F0050&quot;/&gt;&lt;wsp:rsid wsp:val=&quot;007F03EB&quot;/&gt;&lt;wsp:rsid wsp:val=&quot;007F0573&quot;/&gt;&lt;wsp:rsid wsp:val=&quot;007F096B&quot;/&gt;&lt;wsp:rsid wsp:val=&quot;007F0F83&quot;/&gt;&lt;wsp:rsid wsp:val=&quot;007F1085&quot;/&gt;&lt;wsp:rsid wsp:val=&quot;007F1156&quot;/&gt;&lt;wsp:rsid wsp:val=&quot;007F1175&quot;/&gt;&lt;wsp:rsid wsp:val=&quot;007F13BF&quot;/&gt;&lt;wsp:rsid wsp:val=&quot;007F159B&quot;/&gt;&lt;wsp:rsid wsp:val=&quot;007F1962&quot;/&gt;&lt;wsp:rsid wsp:val=&quot;007F1A2E&quot;/&gt;&lt;wsp:rsid wsp:val=&quot;007F1B02&quot;/&gt;&lt;wsp:rsid wsp:val=&quot;007F1B46&quot;/&gt;&lt;wsp:rsid wsp:val=&quot;007F1FEE&quot;/&gt;&lt;wsp:rsid wsp:val=&quot;007F22F1&quot;/&gt;&lt;wsp:rsid wsp:val=&quot;007F23EA&quot;/&gt;&lt;wsp:rsid wsp:val=&quot;007F2568&quot;/&gt;&lt;wsp:rsid wsp:val=&quot;007F25BD&quot;/&gt;&lt;wsp:rsid wsp:val=&quot;007F2887&quot;/&gt;&lt;wsp:rsid wsp:val=&quot;007F29DA&quot;/&gt;&lt;wsp:rsid wsp:val=&quot;007F2B3C&quot;/&gt;&lt;wsp:rsid wsp:val=&quot;007F2CC4&quot;/&gt;&lt;wsp:rsid wsp:val=&quot;007F2D07&quot;/&gt;&lt;wsp:rsid wsp:val=&quot;007F2DC9&quot;/&gt;&lt;wsp:rsid wsp:val=&quot;007F30AD&quot;/&gt;&lt;wsp:rsid wsp:val=&quot;007F35C6&quot;/&gt;&lt;wsp:rsid wsp:val=&quot;007F35E6&quot;/&gt;&lt;wsp:rsid wsp:val=&quot;007F3616&quot;/&gt;&lt;wsp:rsid wsp:val=&quot;007F384B&quot;/&gt;&lt;wsp:rsid wsp:val=&quot;007F3A2E&quot;/&gt;&lt;wsp:rsid wsp:val=&quot;007F3B3A&quot;/&gt;&lt;wsp:rsid wsp:val=&quot;007F3C78&quot;/&gt;&lt;wsp:rsid wsp:val=&quot;007F3CC2&quot;/&gt;&lt;wsp:rsid wsp:val=&quot;007F3D62&quot;/&gt;&lt;wsp:rsid wsp:val=&quot;007F448D&quot;/&gt;&lt;wsp:rsid wsp:val=&quot;007F4D3D&quot;/&gt;&lt;wsp:rsid wsp:val=&quot;007F4E18&quot;/&gt;&lt;wsp:rsid wsp:val=&quot;007F4EEF&quot;/&gt;&lt;wsp:rsid wsp:val=&quot;007F50B0&quot;/&gt;&lt;wsp:rsid wsp:val=&quot;007F5884&quot;/&gt;&lt;wsp:rsid wsp:val=&quot;007F5A35&quot;/&gt;&lt;wsp:rsid wsp:val=&quot;007F5B18&quot;/&gt;&lt;wsp:rsid wsp:val=&quot;007F5C5E&quot;/&gt;&lt;wsp:rsid wsp:val=&quot;007F5FE1&quot;/&gt;&lt;wsp:rsid wsp:val=&quot;007F67FA&quot;/&gt;&lt;wsp:rsid wsp:val=&quot;007F6813&quot;/&gt;&lt;wsp:rsid wsp:val=&quot;007F6A1A&quot;/&gt;&lt;wsp:rsid wsp:val=&quot;007F6BEF&quot;/&gt;&lt;wsp:rsid wsp:val=&quot;007F6C51&quot;/&gt;&lt;wsp:rsid wsp:val=&quot;007F6D30&quot;/&gt;&lt;wsp:rsid wsp:val=&quot;007F6D8F&quot;/&gt;&lt;wsp:rsid wsp:val=&quot;007F70D2&quot;/&gt;&lt;wsp:rsid wsp:val=&quot;007F7108&quot;/&gt;&lt;wsp:rsid wsp:val=&quot;007F7158&quot;/&gt;&lt;wsp:rsid wsp:val=&quot;007F716D&quot;/&gt;&lt;wsp:rsid wsp:val=&quot;007F7330&quot;/&gt;&lt;wsp:rsid wsp:val=&quot;007F75AA&quot;/&gt;&lt;wsp:rsid wsp:val=&quot;007F7808&quot;/&gt;&lt;wsp:rsid wsp:val=&quot;007F7892&quot;/&gt;&lt;wsp:rsid wsp:val=&quot;007F7A06&quot;/&gt;&lt;wsp:rsid wsp:val=&quot;007F7A43&quot;/&gt;&lt;wsp:rsid wsp:val=&quot;007F7BF6&quot;/&gt;&lt;wsp:rsid wsp:val=&quot;007F7D9F&quot;/&gt;&lt;wsp:rsid wsp:val=&quot;007F7DCD&quot;/&gt;&lt;wsp:rsid wsp:val=&quot;007F7E24&quot;/&gt;&lt;wsp:rsid wsp:val=&quot;008001D8&quot;/&gt;&lt;wsp:rsid wsp:val=&quot;008001F8&quot;/&gt;&lt;wsp:rsid wsp:val=&quot;00800362&quot;/&gt;&lt;wsp:rsid wsp:val=&quot;0080045B&quot;/&gt;&lt;wsp:rsid wsp:val=&quot;00800510&quot;/&gt;&lt;wsp:rsid wsp:val=&quot;0080086A&quot;/&gt;&lt;wsp:rsid wsp:val=&quot;008009BC&quot;/&gt;&lt;wsp:rsid wsp:val=&quot;008009DB&quot;/&gt;&lt;wsp:rsid wsp:val=&quot;00800A3E&quot;/&gt;&lt;wsp:rsid wsp:val=&quot;008012B5&quot;/&gt;&lt;wsp:rsid wsp:val=&quot;008016AD&quot;/&gt;&lt;wsp:rsid wsp:val=&quot;00801774&quot;/&gt;&lt;wsp:rsid wsp:val=&quot;00801794&quot;/&gt;&lt;wsp:rsid wsp:val=&quot;00801795&quot;/&gt;&lt;wsp:rsid wsp:val=&quot;0080182A&quot;/&gt;&lt;wsp:rsid wsp:val=&quot;00801CA2&quot;/&gt;&lt;wsp:rsid wsp:val=&quot;00801D7A&quot;/&gt;&lt;wsp:rsid wsp:val=&quot;00801E9B&quot;/&gt;&lt;wsp:rsid wsp:val=&quot;00801FD8&quot;/&gt;&lt;wsp:rsid wsp:val=&quot;00802416&quot;/&gt;&lt;wsp:rsid wsp:val=&quot;00802430&quot;/&gt;&lt;wsp:rsid wsp:val=&quot;008026DA&quot;/&gt;&lt;wsp:rsid wsp:val=&quot;008028E0&quot;/&gt;&lt;wsp:rsid wsp:val=&quot;00802B5C&quot;/&gt;&lt;wsp:rsid wsp:val=&quot;00802CFA&quot;/&gt;&lt;wsp:rsid wsp:val=&quot;00802F01&quot;/&gt;&lt;wsp:rsid wsp:val=&quot;00803564&quot;/&gt;&lt;wsp:rsid wsp:val=&quot;008036CB&quot;/&gt;&lt;wsp:rsid wsp:val=&quot;00803786&quot;/&gt;&lt;wsp:rsid wsp:val=&quot;00803A85&quot;/&gt;&lt;wsp:rsid wsp:val=&quot;0080454C&quot;/&gt;&lt;wsp:rsid wsp:val=&quot;008045F3&quot;/&gt;&lt;wsp:rsid wsp:val=&quot;008048BD&quot;/&gt;&lt;wsp:rsid wsp:val=&quot;0080490B&quot;/&gt;&lt;wsp:rsid wsp:val=&quot;00804E56&quot;/&gt;&lt;wsp:rsid wsp:val=&quot;00804E86&quot;/&gt;&lt;wsp:rsid wsp:val=&quot;00804F0A&quot;/&gt;&lt;wsp:rsid wsp:val=&quot;00805137&quot;/&gt;&lt;wsp:rsid wsp:val=&quot;00805562&quot;/&gt;&lt;wsp:rsid wsp:val=&quot;00806102&quot;/&gt;&lt;wsp:rsid wsp:val=&quot;00806155&quot;/&gt;&lt;wsp:rsid wsp:val=&quot;00806410&quot;/&gt;&lt;wsp:rsid wsp:val=&quot;008065D0&quot;/&gt;&lt;wsp:rsid wsp:val=&quot;00806839&quot;/&gt;&lt;wsp:rsid wsp:val=&quot;0080691B&quot;/&gt;&lt;wsp:rsid wsp:val=&quot;00806A9E&quot;/&gt;&lt;wsp:rsid wsp:val=&quot;00806CCC&quot;/&gt;&lt;wsp:rsid wsp:val=&quot;008074D8&quot;/&gt;&lt;wsp:rsid wsp:val=&quot;008077E6&quot;/&gt;&lt;wsp:rsid wsp:val=&quot;00807B82&quot;/&gt;&lt;wsp:rsid wsp:val=&quot;00807E0C&quot;/&gt;&lt;wsp:rsid wsp:val=&quot;00807FD9&quot;/&gt;&lt;wsp:rsid wsp:val=&quot;00810000&quot;/&gt;&lt;wsp:rsid wsp:val=&quot;00810810&quot;/&gt;&lt;wsp:rsid wsp:val=&quot;00810AAB&quot;/&gt;&lt;wsp:rsid wsp:val=&quot;00810AE9&quot;/&gt;&lt;wsp:rsid wsp:val=&quot;00810F27&quot;/&gt;&lt;wsp:rsid wsp:val=&quot;0081138D&quot;/&gt;&lt;wsp:rsid wsp:val=&quot;008114A2&quot;/&gt;&lt;wsp:rsid wsp:val=&quot;008115DD&quot;/&gt;&lt;wsp:rsid wsp:val=&quot;0081185B&quot;/&gt;&lt;wsp:rsid wsp:val=&quot;00811F62&quot;/&gt;&lt;wsp:rsid wsp:val=&quot;00812224&quot;/&gt;&lt;wsp:rsid wsp:val=&quot;00812690&quot;/&gt;&lt;wsp:rsid wsp:val=&quot;00812926&quot;/&gt;&lt;wsp:rsid wsp:val=&quot;00812A38&quot;/&gt;&lt;wsp:rsid wsp:val=&quot;00812BB0&quot;/&gt;&lt;wsp:rsid wsp:val=&quot;0081334D&quot;/&gt;&lt;wsp:rsid wsp:val=&quot;008134D1&quot;/&gt;&lt;wsp:rsid wsp:val=&quot;008135A3&quot;/&gt;&lt;wsp:rsid wsp:val=&quot;008135F2&quot;/&gt;&lt;wsp:rsid wsp:val=&quot;00813760&quot;/&gt;&lt;wsp:rsid wsp:val=&quot;0081376A&quot;/&gt;&lt;wsp:rsid wsp:val=&quot;008139DB&quot;/&gt;&lt;wsp:rsid wsp:val=&quot;00813E8C&quot;/&gt;&lt;wsp:rsid wsp:val=&quot;00813E95&quot;/&gt;&lt;wsp:rsid wsp:val=&quot;00813FF4&quot;/&gt;&lt;wsp:rsid wsp:val=&quot;008142F7&quot;/&gt;&lt;wsp:rsid wsp:val=&quot;008143F1&quot;/&gt;&lt;wsp:rsid wsp:val=&quot;00814564&quot;/&gt;&lt;wsp:rsid wsp:val=&quot;00814A18&quot;/&gt;&lt;wsp:rsid wsp:val=&quot;00814C63&quot;/&gt;&lt;wsp:rsid wsp:val=&quot;00814F14&quot;/&gt;&lt;wsp:rsid wsp:val=&quot;00815135&quot;/&gt;&lt;wsp:rsid wsp:val=&quot;008151AE&quot;/&gt;&lt;wsp:rsid wsp:val=&quot;0081547C&quot;/&gt;&lt;wsp:rsid wsp:val=&quot;00815529&quot;/&gt;&lt;wsp:rsid wsp:val=&quot;0081580F&quot;/&gt;&lt;wsp:rsid wsp:val=&quot;00815877&quot;/&gt;&lt;wsp:rsid wsp:val=&quot;0081587A&quot;/&gt;&lt;wsp:rsid wsp:val=&quot;00815904&quot;/&gt;&lt;wsp:rsid wsp:val=&quot;0081595C&quot;/&gt;&lt;wsp:rsid wsp:val=&quot;00815B34&quot;/&gt;&lt;wsp:rsid wsp:val=&quot;00815E0A&quot;/&gt;&lt;wsp:rsid wsp:val=&quot;0081605E&quot;/&gt;&lt;wsp:rsid wsp:val=&quot;00816113&quot;/&gt;&lt;wsp:rsid wsp:val=&quot;00816201&quot;/&gt;&lt;wsp:rsid wsp:val=&quot;008164EE&quot;/&gt;&lt;wsp:rsid wsp:val=&quot;00816661&quot;/&gt;&lt;wsp:rsid wsp:val=&quot;00816804&quot;/&gt;&lt;wsp:rsid wsp:val=&quot;00816B0D&quot;/&gt;&lt;wsp:rsid wsp:val=&quot;00816D4A&quot;/&gt;&lt;wsp:rsid wsp:val=&quot;00816F91&quot;/&gt;&lt;wsp:rsid wsp:val=&quot;0081702D&quot;/&gt;&lt;wsp:rsid wsp:val=&quot;008171B2&quot;/&gt;&lt;wsp:rsid wsp:val=&quot;00817224&quot;/&gt;&lt;wsp:rsid wsp:val=&quot;008172D9&quot;/&gt;&lt;wsp:rsid wsp:val=&quot;00817318&quot;/&gt;&lt;wsp:rsid wsp:val=&quot;00817355&quot;/&gt;&lt;wsp:rsid wsp:val=&quot;00817A37&quot;/&gt;&lt;wsp:rsid wsp:val=&quot;00817DCF&quot;/&gt;&lt;wsp:rsid wsp:val=&quot;008202BB&quot;/&gt;&lt;wsp:rsid wsp:val=&quot;00820380&quot;/&gt;&lt;wsp:rsid wsp:val=&quot;0082070D&quot;/&gt;&lt;wsp:rsid wsp:val=&quot;008208E7&quot;/&gt;&lt;wsp:rsid wsp:val=&quot;00820963&quot;/&gt;&lt;wsp:rsid wsp:val=&quot;00820971&quot;/&gt;&lt;wsp:rsid wsp:val=&quot;00820AFF&quot;/&gt;&lt;wsp:rsid wsp:val=&quot;00820D76&quot;/&gt;&lt;wsp:rsid wsp:val=&quot;00820EBC&quot;/&gt;&lt;wsp:rsid wsp:val=&quot;00821260&quot;/&gt;&lt;wsp:rsid wsp:val=&quot;00821C9A&quot;/&gt;&lt;wsp:rsid wsp:val=&quot;0082218D&quot;/&gt;&lt;wsp:rsid wsp:val=&quot;0082224D&quot;/&gt;&lt;wsp:rsid wsp:val=&quot;008222D0&quot;/&gt;&lt;wsp:rsid wsp:val=&quot;0082234B&quot;/&gt;&lt;wsp:rsid wsp:val=&quot;008228C9&quot;/&gt;&lt;wsp:rsid wsp:val=&quot;00822D3F&quot;/&gt;&lt;wsp:rsid wsp:val=&quot;00822EAD&quot;/&gt;&lt;wsp:rsid wsp:val=&quot;00823452&quot;/&gt;&lt;wsp:rsid wsp:val=&quot;00823480&quot;/&gt;&lt;wsp:rsid wsp:val=&quot;0082358F&quot;/&gt;&lt;wsp:rsid wsp:val=&quot;0082368E&quot;/&gt;&lt;wsp:rsid wsp:val=&quot;00823814&quot;/&gt;&lt;wsp:rsid wsp:val=&quot;00823882&quot;/&gt;&lt;wsp:rsid wsp:val=&quot;00823913&quot;/&gt;&lt;wsp:rsid wsp:val=&quot;00823AB9&quot;/&gt;&lt;wsp:rsid wsp:val=&quot;00823FD3&quot;/&gt;&lt;wsp:rsid wsp:val=&quot;00824109&quot;/&gt;&lt;wsp:rsid wsp:val=&quot;0082444D&quot;/&gt;&lt;wsp:rsid wsp:val=&quot;008246B2&quot;/&gt;&lt;wsp:rsid wsp:val=&quot;00824817&quot;/&gt;&lt;wsp:rsid wsp:val=&quot;00824E59&quot;/&gt;&lt;wsp:rsid wsp:val=&quot;008251B7&quot;/&gt;&lt;wsp:rsid wsp:val=&quot;00825270&quot;/&gt;&lt;wsp:rsid wsp:val=&quot;0082535A&quot;/&gt;&lt;wsp:rsid wsp:val=&quot;008253EC&quot;/&gt;&lt;wsp:rsid wsp:val=&quot;00825452&quot;/&gt;&lt;wsp:rsid wsp:val=&quot;0082561D&quot;/&gt;&lt;wsp:rsid wsp:val=&quot;008258B7&quot;/&gt;&lt;wsp:rsid wsp:val=&quot;00825A34&quot;/&gt;&lt;wsp:rsid wsp:val=&quot;00825C73&quot;/&gt;&lt;wsp:rsid wsp:val=&quot;00825D79&quot;/&gt;&lt;wsp:rsid wsp:val=&quot;008262FD&quot;/&gt;&lt;wsp:rsid wsp:val=&quot;00826320&quot;/&gt;&lt;wsp:rsid wsp:val=&quot;00826407&quot;/&gt;&lt;wsp:rsid wsp:val=&quot;0082673A&quot;/&gt;&lt;wsp:rsid wsp:val=&quot;008269AB&quot;/&gt;&lt;wsp:rsid wsp:val=&quot;00826A89&quot;/&gt;&lt;wsp:rsid wsp:val=&quot;00826BD0&quot;/&gt;&lt;wsp:rsid wsp:val=&quot;00826E1A&quot;/&gt;&lt;wsp:rsid wsp:val=&quot;008276E3&quot;/&gt;&lt;wsp:rsid wsp:val=&quot;00827A0A&quot;/&gt;&lt;wsp:rsid wsp:val=&quot;00827B4D&quot;/&gt;&lt;wsp:rsid wsp:val=&quot;00827E08&quot;/&gt;&lt;wsp:rsid wsp:val=&quot;00827EA1&quot;/&gt;&lt;wsp:rsid wsp:val=&quot;00830217&quot;/&gt;&lt;wsp:rsid wsp:val=&quot;00830695&quot;/&gt;&lt;wsp:rsid wsp:val=&quot;00830717&quot;/&gt;&lt;wsp:rsid wsp:val=&quot;0083072C&quot;/&gt;&lt;wsp:rsid wsp:val=&quot;00830741&quot;/&gt;&lt;wsp:rsid wsp:val=&quot;0083080C&quot;/&gt;&lt;wsp:rsid wsp:val=&quot;00830A01&quot;/&gt;&lt;wsp:rsid wsp:val=&quot;00830E61&quot;/&gt;&lt;wsp:rsid wsp:val=&quot;0083137E&quot;/&gt;&lt;wsp:rsid wsp:val=&quot;00831665&quot;/&gt;&lt;wsp:rsid wsp:val=&quot;0083170A&quot;/&gt;&lt;wsp:rsid wsp:val=&quot;008318DF&quot;/&gt;&lt;wsp:rsid wsp:val=&quot;00831930&quot;/&gt;&lt;wsp:rsid wsp:val=&quot;00831B6F&quot;/&gt;&lt;wsp:rsid wsp:val=&quot;00831C11&quot;/&gt;&lt;wsp:rsid wsp:val=&quot;00831C48&quot;/&gt;&lt;wsp:rsid wsp:val=&quot;00831D2C&quot;/&gt;&lt;wsp:rsid wsp:val=&quot;00831D33&quot;/&gt;&lt;wsp:rsid wsp:val=&quot;00831E2D&quot;/&gt;&lt;wsp:rsid wsp:val=&quot;00831ED1&quot;/&gt;&lt;wsp:rsid wsp:val=&quot;00831F15&quot;/&gt;&lt;wsp:rsid wsp:val=&quot;00832012&quot;/&gt;&lt;wsp:rsid wsp:val=&quot;00832424&quot;/&gt;&lt;wsp:rsid wsp:val=&quot;008326B8&quot;/&gt;&lt;wsp:rsid wsp:val=&quot;00832952&quot;/&gt;&lt;wsp:rsid wsp:val=&quot;00832C17&quot;/&gt;&lt;wsp:rsid wsp:val=&quot;00832D28&quot;/&gt;&lt;wsp:rsid wsp:val=&quot;00832E9C&quot;/&gt;&lt;wsp:rsid wsp:val=&quot;00832F45&quot;/&gt;&lt;wsp:rsid wsp:val=&quot;00833107&quot;/&gt;&lt;wsp:rsid wsp:val=&quot;0083354C&quot;/&gt;&lt;wsp:rsid wsp:val=&quot;0083369E&quot;/&gt;&lt;wsp:rsid wsp:val=&quot;008336D1&quot;/&gt;&lt;wsp:rsid wsp:val=&quot;0083393D&quot;/&gt;&lt;wsp:rsid wsp:val=&quot;00833A57&quot;/&gt;&lt;wsp:rsid wsp:val=&quot;00833A72&quot;/&gt;&lt;wsp:rsid wsp:val=&quot;00833B7F&quot;/&gt;&lt;wsp:rsid wsp:val=&quot;00833DA0&quot;/&gt;&lt;wsp:rsid wsp:val=&quot;00833F17&quot;/&gt;&lt;wsp:rsid wsp:val=&quot;008340B9&quot;/&gt;&lt;wsp:rsid wsp:val=&quot;0083439C&quot;/&gt;&lt;wsp:rsid wsp:val=&quot;008344EF&quot;/&gt;&lt;wsp:rsid wsp:val=&quot;008345ED&quot;/&gt;&lt;wsp:rsid wsp:val=&quot;008346B7&quot;/&gt;&lt;wsp:rsid wsp:val=&quot;0083494C&quot;/&gt;&lt;wsp:rsid wsp:val=&quot;0083504C&quot;/&gt;&lt;wsp:rsid wsp:val=&quot;008350D2&quot;/&gt;&lt;wsp:rsid wsp:val=&quot;0083541A&quot;/&gt;&lt;wsp:rsid wsp:val=&quot;008354B7&quot;/&gt;&lt;wsp:rsid wsp:val=&quot;00835879&quot;/&gt;&lt;wsp:rsid wsp:val=&quot;00835884&quot;/&gt;&lt;wsp:rsid wsp:val=&quot;00835949&quot;/&gt;&lt;wsp:rsid wsp:val=&quot;008359EA&quot;/&gt;&lt;wsp:rsid wsp:val=&quot;00835A3B&quot;/&gt;&lt;wsp:rsid wsp:val=&quot;00835BC1&quot;/&gt;&lt;wsp:rsid wsp:val=&quot;00835E05&quot;/&gt;&lt;wsp:rsid wsp:val=&quot;0083619C&quot;/&gt;&lt;wsp:rsid wsp:val=&quot;008362C5&quot;/&gt;&lt;wsp:rsid wsp:val=&quot;00836491&quot;/&gt;&lt;wsp:rsid wsp:val=&quot;0083655F&quot;/&gt;&lt;wsp:rsid wsp:val=&quot;00836560&quot;/&gt;&lt;wsp:rsid wsp:val=&quot;008369E2&quot;/&gt;&lt;wsp:rsid wsp:val=&quot;00836A64&quot;/&gt;&lt;wsp:rsid wsp:val=&quot;00836E00&quot;/&gt;&lt;wsp:rsid wsp:val=&quot;00837249&quot;/&gt;&lt;wsp:rsid wsp:val=&quot;00837304&quot;/&gt;&lt;wsp:rsid wsp:val=&quot;008375F0&quot;/&gt;&lt;wsp:rsid wsp:val=&quot;00837742&quot;/&gt;&lt;wsp:rsid wsp:val=&quot;008377CD&quot;/&gt;&lt;wsp:rsid wsp:val=&quot;008379D2&quot;/&gt;&lt;wsp:rsid wsp:val=&quot;008379D8&quot;/&gt;&lt;wsp:rsid wsp:val=&quot;00837B7A&quot;/&gt;&lt;wsp:rsid wsp:val=&quot;00837D1C&quot;/&gt;&lt;wsp:rsid wsp:val=&quot;00837DC7&quot;/&gt;&lt;wsp:rsid wsp:val=&quot;008400FE&quot;/&gt;&lt;wsp:rsid wsp:val=&quot;00840120&quot;/&gt;&lt;wsp:rsid wsp:val=&quot;008402F3&quot;/&gt;&lt;wsp:rsid wsp:val=&quot;00840720&quot;/&gt;&lt;wsp:rsid wsp:val=&quot;00840766&quot;/&gt;&lt;wsp:rsid wsp:val=&quot;00840BD8&quot;/&gt;&lt;wsp:rsid wsp:val=&quot;00840BED&quot;/&gt;&lt;wsp:rsid wsp:val=&quot;00840F0F&quot;/&gt;&lt;wsp:rsid wsp:val=&quot;00840F70&quot;/&gt;&lt;wsp:rsid wsp:val=&quot;00841230&quot;/&gt;&lt;wsp:rsid wsp:val=&quot;00841617&quot;/&gt;&lt;wsp:rsid wsp:val=&quot;00841711&quot;/&gt;&lt;wsp:rsid wsp:val=&quot;00841913&quot;/&gt;&lt;wsp:rsid wsp:val=&quot;00841A3B&quot;/&gt;&lt;wsp:rsid wsp:val=&quot;00841B75&quot;/&gt;&lt;wsp:rsid wsp:val=&quot;00841DD5&quot;/&gt;&lt;wsp:rsid wsp:val=&quot;00841F0F&quot;/&gt;&lt;wsp:rsid wsp:val=&quot;00841FCA&quot;/&gt;&lt;wsp:rsid wsp:val=&quot;008421C7&quot;/&gt;&lt;wsp:rsid wsp:val=&quot;008423A8&quot;/&gt;&lt;wsp:rsid wsp:val=&quot;0084241C&quot;/&gt;&lt;wsp:rsid wsp:val=&quot;0084242D&quot;/&gt;&lt;wsp:rsid wsp:val=&quot;008427B3&quot;/&gt;&lt;wsp:rsid wsp:val=&quot;00842D80&quot;/&gt;&lt;wsp:rsid wsp:val=&quot;00843043&quot;/&gt;&lt;wsp:rsid wsp:val=&quot;00843A37&quot;/&gt;&lt;wsp:rsid wsp:val=&quot;00843C51&quot;/&gt;&lt;wsp:rsid wsp:val=&quot;00843D80&quot;/&gt;&lt;wsp:rsid wsp:val=&quot;00843D94&quot;/&gt;&lt;wsp:rsid wsp:val=&quot;0084420B&quot;/&gt;&lt;wsp:rsid wsp:val=&quot;00844293&quot;/&gt;&lt;wsp:rsid wsp:val=&quot;00844456&quot;/&gt;&lt;wsp:rsid wsp:val=&quot;008447F1&quot;/&gt;&lt;wsp:rsid wsp:val=&quot;008448F6&quot;/&gt;&lt;wsp:rsid wsp:val=&quot;00844A59&quot;/&gt;&lt;wsp:rsid wsp:val=&quot;00844E0D&quot;/&gt;&lt;wsp:rsid wsp:val=&quot;008450D3&quot;/&gt;&lt;wsp:rsid wsp:val=&quot;00845552&quot;/&gt;&lt;wsp:rsid wsp:val=&quot;008457FD&quot;/&gt;&lt;wsp:rsid wsp:val=&quot;00845B47&quot;/&gt;&lt;wsp:rsid wsp:val=&quot;00845BFB&quot;/&gt;&lt;wsp:rsid wsp:val=&quot;00845D29&quot;/&gt;&lt;wsp:rsid wsp:val=&quot;0084612F&quot;/&gt;&lt;wsp:rsid wsp:val=&quot;008461FF&quot;/&gt;&lt;wsp:rsid wsp:val=&quot;00846460&quot;/&gt;&lt;wsp:rsid wsp:val=&quot;0084649F&quot;/&gt;&lt;wsp:rsid wsp:val=&quot;0084695B&quot;/&gt;&lt;wsp:rsid wsp:val=&quot;008470C1&quot;/&gt;&lt;wsp:rsid wsp:val=&quot;00847272&quot;/&gt;&lt;wsp:rsid wsp:val=&quot;00847324&quot;/&gt;&lt;wsp:rsid wsp:val=&quot;0084748D&quot;/&gt;&lt;wsp:rsid wsp:val=&quot;0084788E&quot;/&gt;&lt;wsp:rsid wsp:val=&quot;00847B47&quot;/&gt;&lt;wsp:rsid wsp:val=&quot;00847BD9&quot;/&gt;&lt;wsp:rsid wsp:val=&quot;00847CCE&quot;/&gt;&lt;wsp:rsid wsp:val=&quot;00847E1D&quot;/&gt;&lt;wsp:rsid wsp:val=&quot;00847EB7&quot;/&gt;&lt;wsp:rsid wsp:val=&quot;00847EF9&quot;/&gt;&lt;wsp:rsid wsp:val=&quot;008503A2&quot;/&gt;&lt;wsp:rsid wsp:val=&quot;00850E54&quot;/&gt;&lt;wsp:rsid wsp:val=&quot;008512AF&quot;/&gt;&lt;wsp:rsid wsp:val=&quot;00851587&quot;/&gt;&lt;wsp:rsid wsp:val=&quot;0085191D&quot;/&gt;&lt;wsp:rsid wsp:val=&quot;0085197D&quot;/&gt;&lt;wsp:rsid wsp:val=&quot;00851B2D&quot;/&gt;&lt;wsp:rsid wsp:val=&quot;00851CCF&quot;/&gt;&lt;wsp:rsid wsp:val=&quot;00851D0C&quot;/&gt;&lt;wsp:rsid wsp:val=&quot;0085222E&quot;/&gt;&lt;wsp:rsid wsp:val=&quot;00852444&quot;/&gt;&lt;wsp:rsid wsp:val=&quot;008527A7&quot;/&gt;&lt;wsp:rsid wsp:val=&quot;00852981&quot;/&gt;&lt;wsp:rsid wsp:val=&quot;00852A50&quot;/&gt;&lt;wsp:rsid wsp:val=&quot;00852AEE&quot;/&gt;&lt;wsp:rsid wsp:val=&quot;00852CCA&quot;/&gt;&lt;wsp:rsid wsp:val=&quot;00853369&quot;/&gt;&lt;wsp:rsid wsp:val=&quot;008534DC&quot;/&gt;&lt;wsp:rsid wsp:val=&quot;00853741&quot;/&gt;&lt;wsp:rsid wsp:val=&quot;00853C2A&quot;/&gt;&lt;wsp:rsid wsp:val=&quot;00853E04&quot;/&gt;&lt;wsp:rsid wsp:val=&quot;00854086&quot;/&gt;&lt;wsp:rsid wsp:val=&quot;0085421F&quot;/&gt;&lt;wsp:rsid wsp:val=&quot;008545E8&quot;/&gt;&lt;wsp:rsid wsp:val=&quot;0085478E&quot;/&gt;&lt;wsp:rsid wsp:val=&quot;00854C73&quot;/&gt;&lt;wsp:rsid wsp:val=&quot;00854D2B&quot;/&gt;&lt;wsp:rsid wsp:val=&quot;008550E2&quot;/&gt;&lt;wsp:rsid wsp:val=&quot;0085526C&quot;/&gt;&lt;wsp:rsid wsp:val=&quot;00855477&quot;/&gt;&lt;wsp:rsid wsp:val=&quot;00855872&quot;/&gt;&lt;wsp:rsid wsp:val=&quot;0085591C&quot;/&gt;&lt;wsp:rsid wsp:val=&quot;008559EF&quot;/&gt;&lt;wsp:rsid wsp:val=&quot;00855CFB&quot;/&gt;&lt;wsp:rsid wsp:val=&quot;00855F93&quot;/&gt;&lt;wsp:rsid wsp:val=&quot;0085616D&quot;/&gt;&lt;wsp:rsid wsp:val=&quot;008561D9&quot;/&gt;&lt;wsp:rsid wsp:val=&quot;0085642B&quot;/&gt;&lt;wsp:rsid wsp:val=&quot;00856CAB&quot;/&gt;&lt;wsp:rsid wsp:val=&quot;00856EC4&quot;/&gt;&lt;wsp:rsid wsp:val=&quot;00857004&quot;/&gt;&lt;wsp:rsid wsp:val=&quot;00857028&quot;/&gt;&lt;wsp:rsid wsp:val=&quot;00857038&quot;/&gt;&lt;wsp:rsid wsp:val=&quot;008570A9&quot;/&gt;&lt;wsp:rsid wsp:val=&quot;008570AA&quot;/&gt;&lt;wsp:rsid wsp:val=&quot;008571C0&quot;/&gt;&lt;wsp:rsid wsp:val=&quot;008576F0&quot;/&gt;&lt;wsp:rsid wsp:val=&quot;00857E98&quot;/&gt;&lt;wsp:rsid wsp:val=&quot;00857F24&quot;/&gt;&lt;wsp:rsid wsp:val=&quot;008600A3&quot;/&gt;&lt;wsp:rsid wsp:val=&quot;008602CF&quot;/&gt;&lt;wsp:rsid wsp:val=&quot;0086092B&quot;/&gt;&lt;wsp:rsid wsp:val=&quot;00860B70&quot;/&gt;&lt;wsp:rsid wsp:val=&quot;00860E6F&quot;/&gt;&lt;wsp:rsid wsp:val=&quot;00860F63&quot;/&gt;&lt;wsp:rsid wsp:val=&quot;00860FC5&quot;/&gt;&lt;wsp:rsid wsp:val=&quot;00860FD9&quot;/&gt;&lt;wsp:rsid wsp:val=&quot;00861058&quot;/&gt;&lt;wsp:rsid wsp:val=&quot;00861060&quot;/&gt;&lt;wsp:rsid wsp:val=&quot;00861062&quot;/&gt;&lt;wsp:rsid wsp:val=&quot;008610CD&quot;/&gt;&lt;wsp:rsid wsp:val=&quot;008611D0&quot;/&gt;&lt;wsp:rsid wsp:val=&quot;0086145B&quot;/&gt;&lt;wsp:rsid wsp:val=&quot;00861C56&quot;/&gt;&lt;wsp:rsid wsp:val=&quot;00861F8A&quot;/&gt;&lt;wsp:rsid wsp:val=&quot;00862080&quot;/&gt;&lt;wsp:rsid wsp:val=&quot;00862441&quot;/&gt;&lt;wsp:rsid wsp:val=&quot;00862ADE&quot;/&gt;&lt;wsp:rsid wsp:val=&quot;00862B37&quot;/&gt;&lt;wsp:rsid wsp:val=&quot;00862F07&quot;/&gt;&lt;wsp:rsid wsp:val=&quot;00862FC3&quot;/&gt;&lt;wsp:rsid wsp:val=&quot;008635D6&quot;/&gt;&lt;wsp:rsid wsp:val=&quot;00863A6A&quot;/&gt;&lt;wsp:rsid wsp:val=&quot;00863C48&quot;/&gt;&lt;wsp:rsid wsp:val=&quot;008640E6&quot;/&gt;&lt;wsp:rsid wsp:val=&quot;00864223&quot;/&gt;&lt;wsp:rsid wsp:val=&quot;0086423E&quot;/&gt;&lt;wsp:rsid wsp:val=&quot;008644D2&quot;/&gt;&lt;wsp:rsid wsp:val=&quot;0086472E&quot;/&gt;&lt;wsp:rsid wsp:val=&quot;0086477A&quot;/&gt;&lt;wsp:rsid wsp:val=&quot;008648E2&quot;/&gt;&lt;wsp:rsid wsp:val=&quot;00864F2F&quot;/&gt;&lt;wsp:rsid wsp:val=&quot;00865195&quot;/&gt;&lt;wsp:rsid wsp:val=&quot;0086539F&quot;/&gt;&lt;wsp:rsid wsp:val=&quot;00865402&quot;/&gt;&lt;wsp:rsid wsp:val=&quot;008655DC&quot;/&gt;&lt;wsp:rsid wsp:val=&quot;008656B8&quot;/&gt;&lt;wsp:rsid wsp:val=&quot;00865CE8&quot;/&gt;&lt;wsp:rsid wsp:val=&quot;00865F05&quot;/&gt;&lt;wsp:rsid wsp:val=&quot;00865FDB&quot;/&gt;&lt;wsp:rsid wsp:val=&quot;00865FFA&quot;/&gt;&lt;wsp:rsid wsp:val=&quot;008664B8&quot;/&gt;&lt;wsp:rsid wsp:val=&quot;008664D0&quot;/&gt;&lt;wsp:rsid wsp:val=&quot;008666F0&quot;/&gt;&lt;wsp:rsid wsp:val=&quot;008669E1&quot;/&gt;&lt;wsp:rsid wsp:val=&quot;00866D00&quot;/&gt;&lt;wsp:rsid wsp:val=&quot;00867265&quot;/&gt;&lt;wsp:rsid wsp:val=&quot;008673A8&quot;/&gt;&lt;wsp:rsid wsp:val=&quot;00867772&quot;/&gt;&lt;wsp:rsid wsp:val=&quot;00867837&quot;/&gt;&lt;wsp:rsid wsp:val=&quot;008679AF&quot;/&gt;&lt;wsp:rsid wsp:val=&quot;00867B6F&quot;/&gt;&lt;wsp:rsid wsp:val=&quot;00867B77&quot;/&gt;&lt;wsp:rsid wsp:val=&quot;00870231&quot;/&gt;&lt;wsp:rsid wsp:val=&quot;0087054E&quot;/&gt;&lt;wsp:rsid wsp:val=&quot;008706AC&quot;/&gt;&lt;wsp:rsid wsp:val=&quot;00870789&quot;/&gt;&lt;wsp:rsid wsp:val=&quot;008707B5&quot;/&gt;&lt;wsp:rsid wsp:val=&quot;00870965&quot;/&gt;&lt;wsp:rsid wsp:val=&quot;008709AB&quot;/&gt;&lt;wsp:rsid wsp:val=&quot;008710CF&quot;/&gt;&lt;wsp:rsid wsp:val=&quot;00871138&quot;/&gt;&lt;wsp:rsid wsp:val=&quot;008712C5&quot;/&gt;&lt;wsp:rsid wsp:val=&quot;00871876&quot;/&gt;&lt;wsp:rsid wsp:val=&quot;00871D55&quot;/&gt;&lt;wsp:rsid wsp:val=&quot;00871D5F&quot;/&gt;&lt;wsp:rsid wsp:val=&quot;00871DDD&quot;/&gt;&lt;wsp:rsid wsp:val=&quot;00871DF1&quot;/&gt;&lt;wsp:rsid wsp:val=&quot;00871E27&quot;/&gt;&lt;wsp:rsid wsp:val=&quot;00872057&quot;/&gt;&lt;wsp:rsid wsp:val=&quot;00872517&quot;/&gt;&lt;wsp:rsid wsp:val=&quot;00872688&quot;/&gt;&lt;wsp:rsid wsp:val=&quot;008726FD&quot;/&gt;&lt;wsp:rsid wsp:val=&quot;00872834&quot;/&gt;&lt;wsp:rsid wsp:val=&quot;00872835&quot;/&gt;&lt;wsp:rsid wsp:val=&quot;00872C74&quot;/&gt;&lt;wsp:rsid wsp:val=&quot;00872CEB&quot;/&gt;&lt;wsp:rsid wsp:val=&quot;00873138&quot;/&gt;&lt;wsp:rsid wsp:val=&quot;00873534&quot;/&gt;&lt;wsp:rsid wsp:val=&quot;008736BC&quot;/&gt;&lt;wsp:rsid wsp:val=&quot;008738A2&quot;/&gt;&lt;wsp:rsid wsp:val=&quot;00873EE2&quot;/&gt;&lt;wsp:rsid wsp:val=&quot;00873EF0&quot;/&gt;&lt;wsp:rsid wsp:val=&quot;00873F5E&quot;/&gt;&lt;wsp:rsid wsp:val=&quot;00873F99&quot;/&gt;&lt;wsp:rsid wsp:val=&quot;00873FF3&quot;/&gt;&lt;wsp:rsid wsp:val=&quot;0087406B&quot;/&gt;&lt;wsp:rsid wsp:val=&quot;00874726&quot;/&gt;&lt;wsp:rsid wsp:val=&quot;008748E3&quot;/&gt;&lt;wsp:rsid wsp:val=&quot;00874A51&quot;/&gt;&lt;wsp:rsid wsp:val=&quot;00874E3A&quot;/&gt;&lt;wsp:rsid wsp:val=&quot;00874FC4&quot;/&gt;&lt;wsp:rsid wsp:val=&quot;00875151&quot;/&gt;&lt;wsp:rsid wsp:val=&quot;0087532F&quot;/&gt;&lt;wsp:rsid wsp:val=&quot;00875386&quot;/&gt;&lt;wsp:rsid wsp:val=&quot;0087554E&quot;/&gt;&lt;wsp:rsid wsp:val=&quot;0087561F&quot;/&gt;&lt;wsp:rsid wsp:val=&quot;00875B25&quot;/&gt;&lt;wsp:rsid wsp:val=&quot;00875B83&quot;/&gt;&lt;wsp:rsid wsp:val=&quot;00875DE0&quot;/&gt;&lt;wsp:rsid wsp:val=&quot;00876313&quot;/&gt;&lt;wsp:rsid wsp:val=&quot;00876AD7&quot;/&gt;&lt;wsp:rsid wsp:val=&quot;00876CFF&quot;/&gt;&lt;wsp:rsid wsp:val=&quot;00876D6E&quot;/&gt;&lt;wsp:rsid wsp:val=&quot;00876FDC&quot;/&gt;&lt;wsp:rsid wsp:val=&quot;008770BF&quot;/&gt;&lt;wsp:rsid wsp:val=&quot;008772D1&quot;/&gt;&lt;wsp:rsid wsp:val=&quot;00877304&quot;/&gt;&lt;wsp:rsid wsp:val=&quot;00877A30&quot;/&gt;&lt;wsp:rsid wsp:val=&quot;00877DBE&quot;/&gt;&lt;wsp:rsid wsp:val=&quot;00880058&quot;/&gt;&lt;wsp:rsid wsp:val=&quot;00880343&quot;/&gt;&lt;wsp:rsid wsp:val=&quot;008806A6&quot;/&gt;&lt;wsp:rsid wsp:val=&quot;00881101&quot;/&gt;&lt;wsp:rsid wsp:val=&quot;0088121C&quot;/&gt;&lt;wsp:rsid wsp:val=&quot;00881245&quot;/&gt;&lt;wsp:rsid wsp:val=&quot;0088145C&quot;/&gt;&lt;wsp:rsid wsp:val=&quot;00881644&quot;/&gt;&lt;wsp:rsid wsp:val=&quot;008816F7&quot;/&gt;&lt;wsp:rsid wsp:val=&quot;00881D85&quot;/&gt;&lt;wsp:rsid wsp:val=&quot;0088229F&quot;/&gt;&lt;wsp:rsid wsp:val=&quot;008822A1&quot;/&gt;&lt;wsp:rsid wsp:val=&quot;0088242F&quot;/&gt;&lt;wsp:rsid wsp:val=&quot;0088263B&quot;/&gt;&lt;wsp:rsid wsp:val=&quot;008826E2&quot;/&gt;&lt;wsp:rsid wsp:val=&quot;00882762&quot;/&gt;&lt;wsp:rsid wsp:val=&quot;008828ED&quot;/&gt;&lt;wsp:rsid wsp:val=&quot;00882D98&quot;/&gt;&lt;wsp:rsid wsp:val=&quot;00882DAC&quot;/&gt;&lt;wsp:rsid wsp:val=&quot;00882E03&quot;/&gt;&lt;wsp:rsid wsp:val=&quot;0088338D&quot;/&gt;&lt;wsp:rsid wsp:val=&quot;00883614&quot;/&gt;&lt;wsp:rsid wsp:val=&quot;00883740&quot;/&gt;&lt;wsp:rsid wsp:val=&quot;008837E0&quot;/&gt;&lt;wsp:rsid wsp:val=&quot;0088384E&quot;/&gt;&lt;wsp:rsid wsp:val=&quot;00883938&quot;/&gt;&lt;wsp:rsid wsp:val=&quot;00883C43&quot;/&gt;&lt;wsp:rsid wsp:val=&quot;00884095&quot;/&gt;&lt;wsp:rsid wsp:val=&quot;0088426B&quot;/&gt;&lt;wsp:rsid wsp:val=&quot;00884499&quot;/&gt;&lt;wsp:rsid wsp:val=&quot;00884534&quot;/&gt;&lt;wsp:rsid wsp:val=&quot;0088474B&quot;/&gt;&lt;wsp:rsid wsp:val=&quot;00884840&quot;/&gt;&lt;wsp:rsid wsp:val=&quot;00884D0D&quot;/&gt;&lt;wsp:rsid wsp:val=&quot;00884FF4&quot;/&gt;&lt;wsp:rsid wsp:val=&quot;008851E9&quot;/&gt;&lt;wsp:rsid wsp:val=&quot;00885A5A&quot;/&gt;&lt;wsp:rsid wsp:val=&quot;00885EFD&quot;/&gt;&lt;wsp:rsid wsp:val=&quot;00886125&quot;/&gt;&lt;wsp:rsid wsp:val=&quot;00886691&quot;/&gt;&lt;wsp:rsid wsp:val=&quot;008867AB&quot;/&gt;&lt;wsp:rsid wsp:val=&quot;008869A6&quot;/&gt;&lt;wsp:rsid wsp:val=&quot;008870DF&quot;/&gt;&lt;wsp:rsid wsp:val=&quot;008871AF&quot;/&gt;&lt;wsp:rsid wsp:val=&quot;008871B8&quot;/&gt;&lt;wsp:rsid wsp:val=&quot;0088749D&quot;/&gt;&lt;wsp:rsid wsp:val=&quot;00887537&quot;/&gt;&lt;wsp:rsid wsp:val=&quot;008877AB&quot;/&gt;&lt;wsp:rsid wsp:val=&quot;0088795E&quot;/&gt;&lt;wsp:rsid wsp:val=&quot;00887AC8&quot;/&gt;&lt;wsp:rsid wsp:val=&quot;00887B6A&quot;/&gt;&lt;wsp:rsid wsp:val=&quot;008902B2&quot;/&gt;&lt;wsp:rsid wsp:val=&quot;00890331&quot;/&gt;&lt;wsp:rsid wsp:val=&quot;0089049D&quot;/&gt;&lt;wsp:rsid wsp:val=&quot;008907B5&quot;/&gt;&lt;wsp:rsid wsp:val=&quot;0089126C&quot;/&gt;&lt;wsp:rsid wsp:val=&quot;00891318&quot;/&gt;&lt;wsp:rsid wsp:val=&quot;00891329&quot;/&gt;&lt;wsp:rsid wsp:val=&quot;008915CD&quot;/&gt;&lt;wsp:rsid wsp:val=&quot;008916FD&quot;/&gt;&lt;wsp:rsid wsp:val=&quot;00891DAD&quot;/&gt;&lt;wsp:rsid wsp:val=&quot;008922EF&quot;/&gt;&lt;wsp:rsid wsp:val=&quot;0089232A&quot;/&gt;&lt;wsp:rsid wsp:val=&quot;00892569&quot;/&gt;&lt;wsp:rsid wsp:val=&quot;00892864&quot;/&gt;&lt;wsp:rsid wsp:val=&quot;00892D02&quot;/&gt;&lt;wsp:rsid wsp:val=&quot;00892D60&quot;/&gt;&lt;wsp:rsid wsp:val=&quot;008930DE&quot;/&gt;&lt;wsp:rsid wsp:val=&quot;008933C1&quot;/&gt;&lt;wsp:rsid wsp:val=&quot;008939B7&quot;/&gt;&lt;wsp:rsid wsp:val=&quot;00893A27&quot;/&gt;&lt;wsp:rsid wsp:val=&quot;00893B46&quot;/&gt;&lt;wsp:rsid wsp:val=&quot;00893C37&quot;/&gt;&lt;wsp:rsid wsp:val=&quot;00893D53&quot;/&gt;&lt;wsp:rsid wsp:val=&quot;00893D91&quot;/&gt;&lt;wsp:rsid wsp:val=&quot;00893E4D&quot;/&gt;&lt;wsp:rsid wsp:val=&quot;00894178&quot;/&gt;&lt;wsp:rsid wsp:val=&quot;008943A6&quot;/&gt;&lt;wsp:rsid wsp:val=&quot;008945D0&quot;/&gt;&lt;wsp:rsid wsp:val=&quot;008945D9&quot;/&gt;&lt;wsp:rsid wsp:val=&quot;0089504C&quot;/&gt;&lt;wsp:rsid wsp:val=&quot;008950EE&quot;/&gt;&lt;wsp:rsid wsp:val=&quot;0089512A&quot;/&gt;&lt;wsp:rsid wsp:val=&quot;00895421&quot;/&gt;&lt;wsp:rsid wsp:val=&quot;008954BB&quot;/&gt;&lt;wsp:rsid wsp:val=&quot;008958AE&quot;/&gt;&lt;wsp:rsid wsp:val=&quot;00895DDC&quot;/&gt;&lt;wsp:rsid wsp:val=&quot;00895FA0&quot;/&gt;&lt;wsp:rsid wsp:val=&quot;00895FAB&quot;/&gt;&lt;wsp:rsid wsp:val=&quot;008960BB&quot;/&gt;&lt;wsp:rsid wsp:val=&quot;00896592&quot;/&gt;&lt;wsp:rsid wsp:val=&quot;008966DB&quot;/&gt;&lt;wsp:rsid wsp:val=&quot;00896AE9&quot;/&gt;&lt;wsp:rsid wsp:val=&quot;00896B11&quot;/&gt;&lt;wsp:rsid wsp:val=&quot;00896B14&quot;/&gt;&lt;wsp:rsid wsp:val=&quot;00896F94&quot;/&gt;&lt;wsp:rsid wsp:val=&quot;008971EA&quot;/&gt;&lt;wsp:rsid wsp:val=&quot;008972D2&quot;/&gt;&lt;wsp:rsid wsp:val=&quot;00897345&quot;/&gt;&lt;wsp:rsid wsp:val=&quot;008974A0&quot;/&gt;&lt;wsp:rsid wsp:val=&quot;008975B3&quot;/&gt;&lt;wsp:rsid wsp:val=&quot;008979C0&quot;/&gt;&lt;wsp:rsid wsp:val=&quot;00897B20&quot;/&gt;&lt;wsp:rsid wsp:val=&quot;00897B41&quot;/&gt;&lt;wsp:rsid wsp:val=&quot;008A028B&quot;/&gt;&lt;wsp:rsid wsp:val=&quot;008A0296&quot;/&gt;&lt;wsp:rsid wsp:val=&quot;008A02CC&quot;/&gt;&lt;wsp:rsid wsp:val=&quot;008A07D9&quot;/&gt;&lt;wsp:rsid wsp:val=&quot;008A0A36&quot;/&gt;&lt;wsp:rsid wsp:val=&quot;008A14EE&quot;/&gt;&lt;wsp:rsid wsp:val=&quot;008A14FD&quot;/&gt;&lt;wsp:rsid wsp:val=&quot;008A16E0&quot;/&gt;&lt;wsp:rsid wsp:val=&quot;008A1B33&quot;/&gt;&lt;wsp:rsid wsp:val=&quot;008A216C&quot;/&gt;&lt;wsp:rsid wsp:val=&quot;008A21DC&quot;/&gt;&lt;wsp:rsid wsp:val=&quot;008A22E3&quot;/&gt;&lt;wsp:rsid wsp:val=&quot;008A23AD&quot;/&gt;&lt;wsp:rsid wsp:val=&quot;008A269D&quot;/&gt;&lt;wsp:rsid wsp:val=&quot;008A2833&quot;/&gt;&lt;wsp:rsid wsp:val=&quot;008A2AB8&quot;/&gt;&lt;wsp:rsid wsp:val=&quot;008A2B8A&quot;/&gt;&lt;wsp:rsid wsp:val=&quot;008A2C06&quot;/&gt;&lt;wsp:rsid wsp:val=&quot;008A2FFB&quot;/&gt;&lt;wsp:rsid wsp:val=&quot;008A330C&quot;/&gt;&lt;wsp:rsid wsp:val=&quot;008A3466&quot;/&gt;&lt;wsp:rsid wsp:val=&quot;008A3971&quot;/&gt;&lt;wsp:rsid wsp:val=&quot;008A39EA&quot;/&gt;&lt;wsp:rsid wsp:val=&quot;008A3A77&quot;/&gt;&lt;wsp:rsid wsp:val=&quot;008A413F&quot;/&gt;&lt;wsp:rsid wsp:val=&quot;008A42E8&quot;/&gt;&lt;wsp:rsid wsp:val=&quot;008A4328&quot;/&gt;&lt;wsp:rsid wsp:val=&quot;008A4451&quot;/&gt;&lt;wsp:rsid wsp:val=&quot;008A4468&quot;/&gt;&lt;wsp:rsid wsp:val=&quot;008A4500&quot;/&gt;&lt;wsp:rsid wsp:val=&quot;008A48C7&quot;/&gt;&lt;wsp:rsid wsp:val=&quot;008A4C37&quot;/&gt;&lt;wsp:rsid wsp:val=&quot;008A52D5&quot;/&gt;&lt;wsp:rsid wsp:val=&quot;008A5413&quot;/&gt;&lt;wsp:rsid wsp:val=&quot;008A59A7&quot;/&gt;&lt;wsp:rsid wsp:val=&quot;008A5A52&quot;/&gt;&lt;wsp:rsid wsp:val=&quot;008A60CE&quot;/&gt;&lt;wsp:rsid wsp:val=&quot;008A619F&quot;/&gt;&lt;wsp:rsid wsp:val=&quot;008A6434&quot;/&gt;&lt;wsp:rsid wsp:val=&quot;008A6450&quot;/&gt;&lt;wsp:rsid wsp:val=&quot;008A649F&quot;/&gt;&lt;wsp:rsid wsp:val=&quot;008A64B8&quot;/&gt;&lt;wsp:rsid wsp:val=&quot;008A6509&quot;/&gt;&lt;wsp:rsid wsp:val=&quot;008A67DF&quot;/&gt;&lt;wsp:rsid wsp:val=&quot;008A696F&quot;/&gt;&lt;wsp:rsid wsp:val=&quot;008A6BA0&quot;/&gt;&lt;wsp:rsid wsp:val=&quot;008A6BA1&quot;/&gt;&lt;wsp:rsid wsp:val=&quot;008A7060&quot;/&gt;&lt;wsp:rsid wsp:val=&quot;008A7330&quot;/&gt;&lt;wsp:rsid wsp:val=&quot;008A7625&quot;/&gt;&lt;wsp:rsid wsp:val=&quot;008A797F&quot;/&gt;&lt;wsp:rsid wsp:val=&quot;008A79A6&quot;/&gt;&lt;wsp:rsid wsp:val=&quot;008A7B4F&quot;/&gt;&lt;wsp:rsid wsp:val=&quot;008B0075&quot;/&gt;&lt;wsp:rsid wsp:val=&quot;008B01EA&quot;/&gt;&lt;wsp:rsid wsp:val=&quot;008B043F&quot;/&gt;&lt;wsp:rsid wsp:val=&quot;008B0478&quot;/&gt;&lt;wsp:rsid wsp:val=&quot;008B049E&quot;/&gt;&lt;wsp:rsid wsp:val=&quot;008B05CD&quot;/&gt;&lt;wsp:rsid wsp:val=&quot;008B09B4&quot;/&gt;&lt;wsp:rsid wsp:val=&quot;008B0C6A&quot;/&gt;&lt;wsp:rsid wsp:val=&quot;008B0D2A&quot;/&gt;&lt;wsp:rsid wsp:val=&quot;008B0DE3&quot;/&gt;&lt;wsp:rsid wsp:val=&quot;008B0EA7&quot;/&gt;&lt;wsp:rsid wsp:val=&quot;008B0FD2&quot;/&gt;&lt;wsp:rsid wsp:val=&quot;008B1193&quot;/&gt;&lt;wsp:rsid wsp:val=&quot;008B13BF&quot;/&gt;&lt;wsp:rsid wsp:val=&quot;008B155A&quot;/&gt;&lt;wsp:rsid wsp:val=&quot;008B1582&quot;/&gt;&lt;wsp:rsid wsp:val=&quot;008B19E2&quot;/&gt;&lt;wsp:rsid wsp:val=&quot;008B1AF8&quot;/&gt;&lt;wsp:rsid wsp:val=&quot;008B2139&quot;/&gt;&lt;wsp:rsid wsp:val=&quot;008B2197&quot;/&gt;&lt;wsp:rsid wsp:val=&quot;008B23DF&quot;/&gt;&lt;wsp:rsid wsp:val=&quot;008B23F4&quot;/&gt;&lt;wsp:rsid wsp:val=&quot;008B259B&quot;/&gt;&lt;wsp:rsid wsp:val=&quot;008B2635&quot;/&gt;&lt;wsp:rsid wsp:val=&quot;008B280A&quot;/&gt;&lt;wsp:rsid wsp:val=&quot;008B2877&quot;/&gt;&lt;wsp:rsid wsp:val=&quot;008B2911&quot;/&gt;&lt;wsp:rsid wsp:val=&quot;008B2BF1&quot;/&gt;&lt;wsp:rsid wsp:val=&quot;008B2DAB&quot;/&gt;&lt;wsp:rsid wsp:val=&quot;008B3043&quot;/&gt;&lt;wsp:rsid wsp:val=&quot;008B3537&quot;/&gt;&lt;wsp:rsid wsp:val=&quot;008B36C8&quot;/&gt;&lt;wsp:rsid wsp:val=&quot;008B3A05&quot;/&gt;&lt;wsp:rsid wsp:val=&quot;008B3C23&quot;/&gt;&lt;wsp:rsid wsp:val=&quot;008B3C95&quot;/&gt;&lt;wsp:rsid wsp:val=&quot;008B3ED0&quot;/&gt;&lt;wsp:rsid wsp:val=&quot;008B40E7&quot;/&gt;&lt;wsp:rsid wsp:val=&quot;008B416B&quot;/&gt;&lt;wsp:rsid wsp:val=&quot;008B42DB&quot;/&gt;&lt;wsp:rsid wsp:val=&quot;008B4543&quot;/&gt;&lt;wsp:rsid wsp:val=&quot;008B4982&quot;/&gt;&lt;wsp:rsid wsp:val=&quot;008B4A11&quot;/&gt;&lt;wsp:rsid wsp:val=&quot;008B4AA1&quot;/&gt;&lt;wsp:rsid wsp:val=&quot;008B4D24&quot;/&gt;&lt;wsp:rsid wsp:val=&quot;008B4DC9&quot;/&gt;&lt;wsp:rsid wsp:val=&quot;008B4E4A&quot;/&gt;&lt;wsp:rsid wsp:val=&quot;008B4F96&quot;/&gt;&lt;wsp:rsid wsp:val=&quot;008B56F0&quot;/&gt;&lt;wsp:rsid wsp:val=&quot;008B57D5&quot;/&gt;&lt;wsp:rsid wsp:val=&quot;008B5AD0&quot;/&gt;&lt;wsp:rsid wsp:val=&quot;008B5B26&quot;/&gt;&lt;wsp:rsid wsp:val=&quot;008B5D5C&quot;/&gt;&lt;wsp:rsid wsp:val=&quot;008B5E0F&quot;/&gt;&lt;wsp:rsid wsp:val=&quot;008B5E67&quot;/&gt;&lt;wsp:rsid wsp:val=&quot;008B5FC2&quot;/&gt;&lt;wsp:rsid wsp:val=&quot;008B6230&quot;/&gt;&lt;wsp:rsid wsp:val=&quot;008B67B2&quot;/&gt;&lt;wsp:rsid wsp:val=&quot;008B69A8&quot;/&gt;&lt;wsp:rsid wsp:val=&quot;008B6ABA&quot;/&gt;&lt;wsp:rsid wsp:val=&quot;008B6C02&quot;/&gt;&lt;wsp:rsid wsp:val=&quot;008B71BC&quot;/&gt;&lt;wsp:rsid wsp:val=&quot;008B71C9&quot;/&gt;&lt;wsp:rsid wsp:val=&quot;008B71ED&quot;/&gt;&lt;wsp:rsid wsp:val=&quot;008B76E8&quot;/&gt;&lt;wsp:rsid wsp:val=&quot;008B7C3E&quot;/&gt;&lt;wsp:rsid wsp:val=&quot;008B7D24&quot;/&gt;&lt;wsp:rsid wsp:val=&quot;008B7EAB&quot;/&gt;&lt;wsp:rsid wsp:val=&quot;008C005B&quot;/&gt;&lt;wsp:rsid wsp:val=&quot;008C01EB&quot;/&gt;&lt;wsp:rsid wsp:val=&quot;008C037C&quot;/&gt;&lt;wsp:rsid wsp:val=&quot;008C0590&quot;/&gt;&lt;wsp:rsid wsp:val=&quot;008C09A4&quot;/&gt;&lt;wsp:rsid wsp:val=&quot;008C0A1B&quot;/&gt;&lt;wsp:rsid wsp:val=&quot;008C0A49&quot;/&gt;&lt;wsp:rsid wsp:val=&quot;008C0CD9&quot;/&gt;&lt;wsp:rsid wsp:val=&quot;008C0F41&quot;/&gt;&lt;wsp:rsid wsp:val=&quot;008C11FC&quot;/&gt;&lt;wsp:rsid wsp:val=&quot;008C13B5&quot;/&gt;&lt;wsp:rsid wsp:val=&quot;008C1424&quot;/&gt;&lt;wsp:rsid wsp:val=&quot;008C149B&quot;/&gt;&lt;wsp:rsid wsp:val=&quot;008C1979&quot;/&gt;&lt;wsp:rsid wsp:val=&quot;008C1A6D&quot;/&gt;&lt;wsp:rsid wsp:val=&quot;008C1B58&quot;/&gt;&lt;wsp:rsid wsp:val=&quot;008C1C52&quot;/&gt;&lt;wsp:rsid wsp:val=&quot;008C1EE9&quot;/&gt;&lt;wsp:rsid wsp:val=&quot;008C2046&quot;/&gt;&lt;wsp:rsid wsp:val=&quot;008C219C&quot;/&gt;&lt;wsp:rsid wsp:val=&quot;008C21D3&quot;/&gt;&lt;wsp:rsid wsp:val=&quot;008C2300&quot;/&gt;&lt;wsp:rsid wsp:val=&quot;008C26DA&quot;/&gt;&lt;wsp:rsid wsp:val=&quot;008C2B08&quot;/&gt;&lt;wsp:rsid wsp:val=&quot;008C2C41&quot;/&gt;&lt;wsp:rsid wsp:val=&quot;008C31BE&quot;/&gt;&lt;wsp:rsid wsp:val=&quot;008C329F&quot;/&gt;&lt;wsp:rsid wsp:val=&quot;008C3769&quot;/&gt;&lt;wsp:rsid wsp:val=&quot;008C3CEB&quot;/&gt;&lt;wsp:rsid wsp:val=&quot;008C4195&quot;/&gt;&lt;wsp:rsid wsp:val=&quot;008C4657&quot;/&gt;&lt;wsp:rsid wsp:val=&quot;008C4B3B&quot;/&gt;&lt;wsp:rsid wsp:val=&quot;008C4EB4&quot;/&gt;&lt;wsp:rsid wsp:val=&quot;008C4F02&quot;/&gt;&lt;wsp:rsid wsp:val=&quot;008C5171&quot;/&gt;&lt;wsp:rsid wsp:val=&quot;008C51BD&quot;/&gt;&lt;wsp:rsid wsp:val=&quot;008C527E&quot;/&gt;&lt;wsp:rsid wsp:val=&quot;008C5355&quot;/&gt;&lt;wsp:rsid wsp:val=&quot;008C55B0&quot;/&gt;&lt;wsp:rsid wsp:val=&quot;008C55E4&quot;/&gt;&lt;wsp:rsid wsp:val=&quot;008C59CD&quot;/&gt;&lt;wsp:rsid wsp:val=&quot;008C5E71&quot;/&gt;&lt;wsp:rsid wsp:val=&quot;008C5F03&quot;/&gt;&lt;wsp:rsid wsp:val=&quot;008C5F2F&quot;/&gt;&lt;wsp:rsid wsp:val=&quot;008C6235&quot;/&gt;&lt;wsp:rsid wsp:val=&quot;008C62E3&quot;/&gt;&lt;wsp:rsid wsp:val=&quot;008C6542&quot;/&gt;&lt;wsp:rsid wsp:val=&quot;008C65B3&quot;/&gt;&lt;wsp:rsid wsp:val=&quot;008C6A38&quot;/&gt;&lt;wsp:rsid wsp:val=&quot;008C6B51&quot;/&gt;&lt;wsp:rsid wsp:val=&quot;008C6EA5&quot;/&gt;&lt;wsp:rsid wsp:val=&quot;008C7313&quot;/&gt;&lt;wsp:rsid wsp:val=&quot;008C738A&quot;/&gt;&lt;wsp:rsid wsp:val=&quot;008C742C&quot;/&gt;&lt;wsp:rsid wsp:val=&quot;008C751F&quot;/&gt;&lt;wsp:rsid wsp:val=&quot;008C766A&quot;/&gt;&lt;wsp:rsid wsp:val=&quot;008C76D2&quot;/&gt;&lt;wsp:rsid wsp:val=&quot;008C7963&quot;/&gt;&lt;wsp:rsid wsp:val=&quot;008C79BB&quot;/&gt;&lt;wsp:rsid wsp:val=&quot;008C7D30&quot;/&gt;&lt;wsp:rsid wsp:val=&quot;008C7E55&quot;/&gt;&lt;wsp:rsid wsp:val=&quot;008C7EB0&quot;/&gt;&lt;wsp:rsid wsp:val=&quot;008D0030&quot;/&gt;&lt;wsp:rsid wsp:val=&quot;008D03DB&quot;/&gt;&lt;wsp:rsid wsp:val=&quot;008D0587&quot;/&gt;&lt;wsp:rsid wsp:val=&quot;008D0776&quot;/&gt;&lt;wsp:rsid wsp:val=&quot;008D07BF&quot;/&gt;&lt;wsp:rsid wsp:val=&quot;008D08B4&quot;/&gt;&lt;wsp:rsid wsp:val=&quot;008D08F8&quot;/&gt;&lt;wsp:rsid wsp:val=&quot;008D09DA&quot;/&gt;&lt;wsp:rsid wsp:val=&quot;008D0A2E&quot;/&gt;&lt;wsp:rsid wsp:val=&quot;008D0B10&quot;/&gt;&lt;wsp:rsid wsp:val=&quot;008D0C00&quot;/&gt;&lt;wsp:rsid wsp:val=&quot;008D0C79&quot;/&gt;&lt;wsp:rsid wsp:val=&quot;008D0E5B&quot;/&gt;&lt;wsp:rsid wsp:val=&quot;008D104A&quot;/&gt;&lt;wsp:rsid wsp:val=&quot;008D1143&quot;/&gt;&lt;wsp:rsid wsp:val=&quot;008D1220&quot;/&gt;&lt;wsp:rsid wsp:val=&quot;008D1530&quot;/&gt;&lt;wsp:rsid wsp:val=&quot;008D16B1&quot;/&gt;&lt;wsp:rsid wsp:val=&quot;008D1720&quot;/&gt;&lt;wsp:rsid wsp:val=&quot;008D17D0&quot;/&gt;&lt;wsp:rsid wsp:val=&quot;008D182C&quot;/&gt;&lt;wsp:rsid wsp:val=&quot;008D1983&quot;/&gt;&lt;wsp:rsid wsp:val=&quot;008D1BDD&quot;/&gt;&lt;wsp:rsid wsp:val=&quot;008D1C32&quot;/&gt;&lt;wsp:rsid wsp:val=&quot;008D2004&quot;/&gt;&lt;wsp:rsid wsp:val=&quot;008D22EE&quot;/&gt;&lt;wsp:rsid wsp:val=&quot;008D2465&quot;/&gt;&lt;wsp:rsid wsp:val=&quot;008D2CD1&quot;/&gt;&lt;wsp:rsid wsp:val=&quot;008D315D&quot;/&gt;&lt;wsp:rsid wsp:val=&quot;008D321E&quot;/&gt;&lt;wsp:rsid wsp:val=&quot;008D3303&quot;/&gt;&lt;wsp:rsid wsp:val=&quot;008D3351&quot;/&gt;&lt;wsp:rsid wsp:val=&quot;008D3788&quot;/&gt;&lt;wsp:rsid wsp:val=&quot;008D3E99&quot;/&gt;&lt;wsp:rsid wsp:val=&quot;008D414C&quot;/&gt;&lt;wsp:rsid wsp:val=&quot;008D420B&quot;/&gt;&lt;wsp:rsid wsp:val=&quot;008D45B2&quot;/&gt;&lt;wsp:rsid wsp:val=&quot;008D4807&quot;/&gt;&lt;wsp:rsid wsp:val=&quot;008D4880&quot;/&gt;&lt;wsp:rsid wsp:val=&quot;008D492E&quot;/&gt;&lt;wsp:rsid wsp:val=&quot;008D4C1A&quot;/&gt;&lt;wsp:rsid wsp:val=&quot;008D5205&quot;/&gt;&lt;wsp:rsid wsp:val=&quot;008D5404&quot;/&gt;&lt;wsp:rsid wsp:val=&quot;008D56AF&quot;/&gt;&lt;wsp:rsid wsp:val=&quot;008D5AE9&quot;/&gt;&lt;wsp:rsid wsp:val=&quot;008D5BC9&quot;/&gt;&lt;wsp:rsid wsp:val=&quot;008D5F94&quot;/&gt;&lt;wsp:rsid wsp:val=&quot;008D68E5&quot;/&gt;&lt;wsp:rsid wsp:val=&quot;008D6C04&quot;/&gt;&lt;wsp:rsid wsp:val=&quot;008D7158&quot;/&gt;&lt;wsp:rsid wsp:val=&quot;008D7318&quot;/&gt;&lt;wsp:rsid wsp:val=&quot;008D75AE&quot;/&gt;&lt;wsp:rsid wsp:val=&quot;008D79FB&quot;/&gt;&lt;wsp:rsid wsp:val=&quot;008D7BCA&quot;/&gt;&lt;wsp:rsid wsp:val=&quot;008D7C20&quot;/&gt;&lt;wsp:rsid wsp:val=&quot;008E024B&quot;/&gt;&lt;wsp:rsid wsp:val=&quot;008E0312&quot;/&gt;&lt;wsp:rsid wsp:val=&quot;008E0942&quot;/&gt;&lt;wsp:rsid wsp:val=&quot;008E0A82&quot;/&gt;&lt;wsp:rsid wsp:val=&quot;008E0C09&quot;/&gt;&lt;wsp:rsid wsp:val=&quot;008E0C0E&quot;/&gt;&lt;wsp:rsid wsp:val=&quot;008E0E9B&quot;/&gt;&lt;wsp:rsid wsp:val=&quot;008E1588&quot;/&gt;&lt;wsp:rsid wsp:val=&quot;008E171C&quot;/&gt;&lt;wsp:rsid wsp:val=&quot;008E17C5&quot;/&gt;&lt;wsp:rsid wsp:val=&quot;008E1AEA&quot;/&gt;&lt;wsp:rsid wsp:val=&quot;008E2620&quot;/&gt;&lt;wsp:rsid wsp:val=&quot;008E29CE&quot;/&gt;&lt;wsp:rsid wsp:val=&quot;008E2EB3&quot;/&gt;&lt;wsp:rsid wsp:val=&quot;008E3189&quot;/&gt;&lt;wsp:rsid wsp:val=&quot;008E31FB&quot;/&gt;&lt;wsp:rsid wsp:val=&quot;008E32C5&quot;/&gt;&lt;wsp:rsid wsp:val=&quot;008E3B36&quot;/&gt;&lt;wsp:rsid wsp:val=&quot;008E3BFF&quot;/&gt;&lt;wsp:rsid wsp:val=&quot;008E3C06&quot;/&gt;&lt;wsp:rsid wsp:val=&quot;008E3C8B&quot;/&gt;&lt;wsp:rsid wsp:val=&quot;008E3D22&quot;/&gt;&lt;wsp:rsid wsp:val=&quot;008E4036&quot;/&gt;&lt;wsp:rsid wsp:val=&quot;008E4068&quot;/&gt;&lt;wsp:rsid wsp:val=&quot;008E449D&quot;/&gt;&lt;wsp:rsid wsp:val=&quot;008E4711&quot;/&gt;&lt;wsp:rsid wsp:val=&quot;008E4751&quot;/&gt;&lt;wsp:rsid wsp:val=&quot;008E4DEB&quot;/&gt;&lt;wsp:rsid wsp:val=&quot;008E4E45&quot;/&gt;&lt;wsp:rsid wsp:val=&quot;008E4E71&quot;/&gt;&lt;wsp:rsid wsp:val=&quot;008E4F0C&quot;/&gt;&lt;wsp:rsid wsp:val=&quot;008E5374&quot;/&gt;&lt;wsp:rsid wsp:val=&quot;008E5716&quot;/&gt;&lt;wsp:rsid wsp:val=&quot;008E5740&quot;/&gt;&lt;wsp:rsid wsp:val=&quot;008E585B&quot;/&gt;&lt;wsp:rsid wsp:val=&quot;008E5860&quot;/&gt;&lt;wsp:rsid wsp:val=&quot;008E59A4&quot;/&gt;&lt;wsp:rsid wsp:val=&quot;008E5ADD&quot;/&gt;&lt;wsp:rsid wsp:val=&quot;008E5C12&quot;/&gt;&lt;wsp:rsid wsp:val=&quot;008E5F28&quot;/&gt;&lt;wsp:rsid wsp:val=&quot;008E604E&quot;/&gt;&lt;wsp:rsid wsp:val=&quot;008E66C5&quot;/&gt;&lt;wsp:rsid wsp:val=&quot;008E69D1&quot;/&gt;&lt;wsp:rsid wsp:val=&quot;008E6AF6&quot;/&gt;&lt;wsp:rsid wsp:val=&quot;008E6B99&quot;/&gt;&lt;wsp:rsid wsp:val=&quot;008E6C98&quot;/&gt;&lt;wsp:rsid wsp:val=&quot;008E6CA6&quot;/&gt;&lt;wsp:rsid wsp:val=&quot;008E6D45&quot;/&gt;&lt;wsp:rsid wsp:val=&quot;008E7000&quot;/&gt;&lt;wsp:rsid wsp:val=&quot;008E7153&quot;/&gt;&lt;wsp:rsid wsp:val=&quot;008E71A0&quot;/&gt;&lt;wsp:rsid wsp:val=&quot;008E72C5&quot;/&gt;&lt;wsp:rsid wsp:val=&quot;008E74DC&quot;/&gt;&lt;wsp:rsid wsp:val=&quot;008E759C&quot;/&gt;&lt;wsp:rsid wsp:val=&quot;008E76B7&quot;/&gt;&lt;wsp:rsid wsp:val=&quot;008E7787&quot;/&gt;&lt;wsp:rsid wsp:val=&quot;008E78A9&quot;/&gt;&lt;wsp:rsid wsp:val=&quot;008E78D3&quot;/&gt;&lt;wsp:rsid wsp:val=&quot;008E79E0&quot;/&gt;&lt;wsp:rsid wsp:val=&quot;008E7C22&quot;/&gt;&lt;wsp:rsid wsp:val=&quot;008E7E74&quot;/&gt;&lt;wsp:rsid wsp:val=&quot;008F00D3&quot;/&gt;&lt;wsp:rsid wsp:val=&quot;008F016A&quot;/&gt;&lt;wsp:rsid wsp:val=&quot;008F01A1&quot;/&gt;&lt;wsp:rsid wsp:val=&quot;008F0399&quot;/&gt;&lt;wsp:rsid wsp:val=&quot;008F069C&quot;/&gt;&lt;wsp:rsid wsp:val=&quot;008F073A&quot;/&gt;&lt;wsp:rsid wsp:val=&quot;008F0752&quot;/&gt;&lt;wsp:rsid wsp:val=&quot;008F0782&quot;/&gt;&lt;wsp:rsid wsp:val=&quot;008F0CE0&quot;/&gt;&lt;wsp:rsid wsp:val=&quot;008F0D54&quot;/&gt;&lt;wsp:rsid wsp:val=&quot;008F104B&quot;/&gt;&lt;wsp:rsid wsp:val=&quot;008F1335&quot;/&gt;&lt;wsp:rsid wsp:val=&quot;008F135D&quot;/&gt;&lt;wsp:rsid wsp:val=&quot;008F1471&quot;/&gt;&lt;wsp:rsid wsp:val=&quot;008F169C&quot;/&gt;&lt;wsp:rsid wsp:val=&quot;008F1746&quot;/&gt;&lt;wsp:rsid wsp:val=&quot;008F17A2&quot;/&gt;&lt;wsp:rsid wsp:val=&quot;008F17C9&quot;/&gt;&lt;wsp:rsid wsp:val=&quot;008F1920&quot;/&gt;&lt;wsp:rsid wsp:val=&quot;008F1953&quot;/&gt;&lt;wsp:rsid wsp:val=&quot;008F1DF3&quot;/&gt;&lt;wsp:rsid wsp:val=&quot;008F1E99&quot;/&gt;&lt;wsp:rsid wsp:val=&quot;008F205E&quot;/&gt;&lt;wsp:rsid wsp:val=&quot;008F2182&quot;/&gt;&lt;wsp:rsid wsp:val=&quot;008F2610&quot;/&gt;&lt;wsp:rsid wsp:val=&quot;008F2893&quot;/&gt;&lt;wsp:rsid wsp:val=&quot;008F2C7A&quot;/&gt;&lt;wsp:rsid wsp:val=&quot;008F2D37&quot;/&gt;&lt;wsp:rsid wsp:val=&quot;008F2D78&quot;/&gt;&lt;wsp:rsid wsp:val=&quot;008F2DA3&quot;/&gt;&lt;wsp:rsid wsp:val=&quot;008F31CC&quot;/&gt;&lt;wsp:rsid wsp:val=&quot;008F3277&quot;/&gt;&lt;wsp:rsid wsp:val=&quot;008F349A&quot;/&gt;&lt;wsp:rsid wsp:val=&quot;008F359B&quot;/&gt;&lt;wsp:rsid wsp:val=&quot;008F3C18&quot;/&gt;&lt;wsp:rsid wsp:val=&quot;008F3E9E&quot;/&gt;&lt;wsp:rsid wsp:val=&quot;008F402A&quot;/&gt;&lt;wsp:rsid wsp:val=&quot;008F4053&quot;/&gt;&lt;wsp:rsid wsp:val=&quot;008F41C0&quot;/&gt;&lt;wsp:rsid wsp:val=&quot;008F449E&quot;/&gt;&lt;wsp:rsid wsp:val=&quot;008F4671&quot;/&gt;&lt;wsp:rsid wsp:val=&quot;008F4AB5&quot;/&gt;&lt;wsp:rsid wsp:val=&quot;008F4F0C&quot;/&gt;&lt;wsp:rsid wsp:val=&quot;008F55BC&quot;/&gt;&lt;wsp:rsid wsp:val=&quot;008F5816&quot;/&gt;&lt;wsp:rsid wsp:val=&quot;008F59B3&quot;/&gt;&lt;wsp:rsid wsp:val=&quot;008F5CEE&quot;/&gt;&lt;wsp:rsid wsp:val=&quot;008F5DA7&quot;/&gt;&lt;wsp:rsid wsp:val=&quot;008F5E07&quot;/&gt;&lt;wsp:rsid wsp:val=&quot;008F5FB7&quot;/&gt;&lt;wsp:rsid wsp:val=&quot;008F6114&quot;/&gt;&lt;wsp:rsid wsp:val=&quot;008F6256&quot;/&gt;&lt;wsp:rsid wsp:val=&quot;008F6506&quot;/&gt;&lt;wsp:rsid wsp:val=&quot;008F665F&quot;/&gt;&lt;wsp:rsid wsp:val=&quot;008F689F&quot;/&gt;&lt;wsp:rsid wsp:val=&quot;008F6968&quot;/&gt;&lt;wsp:rsid wsp:val=&quot;008F69C5&quot;/&gt;&lt;wsp:rsid wsp:val=&quot;008F6E15&quot;/&gt;&lt;wsp:rsid wsp:val=&quot;008F7025&quot;/&gt;&lt;wsp:rsid wsp:val=&quot;008F733E&quot;/&gt;&lt;wsp:rsid wsp:val=&quot;008F7963&quot;/&gt;&lt;wsp:rsid wsp:val=&quot;008F7CA8&quot;/&gt;&lt;wsp:rsid wsp:val=&quot;008F7F53&quot;/&gt;&lt;wsp:rsid wsp:val=&quot;008F7F82&quot;/&gt;&lt;wsp:rsid wsp:val=&quot;009002BC&quot;/&gt;&lt;wsp:rsid wsp:val=&quot;00900857&quot;/&gt;&lt;wsp:rsid wsp:val=&quot;0090085F&quot;/&gt;&lt;wsp:rsid wsp:val=&quot;009008E0&quot;/&gt;&lt;wsp:rsid wsp:val=&quot;00900B3A&quot;/&gt;&lt;wsp:rsid wsp:val=&quot;00900D5F&quot;/&gt;&lt;wsp:rsid wsp:val=&quot;00900E2D&quot;/&gt;&lt;wsp:rsid wsp:val=&quot;00900E6D&quot;/&gt;&lt;wsp:rsid wsp:val=&quot;00900EED&quot;/&gt;&lt;wsp:rsid wsp:val=&quot;00901207&quot;/&gt;&lt;wsp:rsid wsp:val=&quot;009014E5&quot;/&gt;&lt;wsp:rsid wsp:val=&quot;00901520&quot;/&gt;&lt;wsp:rsid wsp:val=&quot;00901A56&quot;/&gt;&lt;wsp:rsid wsp:val=&quot;00901E85&quot;/&gt;&lt;wsp:rsid wsp:val=&quot;0090218C&quot;/&gt;&lt;wsp:rsid wsp:val=&quot;00902A15&quot;/&gt;&lt;wsp:rsid wsp:val=&quot;00902CE8&quot;/&gt;&lt;wsp:rsid wsp:val=&quot;00902DCF&quot;/&gt;&lt;wsp:rsid wsp:val=&quot;00902FBF&quot;/&gt;&lt;wsp:rsid wsp:val=&quot;00903055&quot;/&gt;&lt;wsp:rsid wsp:val=&quot;0090310B&quot;/&gt;&lt;wsp:rsid wsp:val=&quot;00903353&quot;/&gt;&lt;wsp:rsid wsp:val=&quot;00903CCA&quot;/&gt;&lt;wsp:rsid wsp:val=&quot;00903CD9&quot;/&gt;&lt;wsp:rsid wsp:val=&quot;0090404B&quot;/&gt;&lt;wsp:rsid wsp:val=&quot;00904179&quot;/&gt;&lt;wsp:rsid wsp:val=&quot;00904313&quot;/&gt;&lt;wsp:rsid wsp:val=&quot;009046BD&quot;/&gt;&lt;wsp:rsid wsp:val=&quot;0090480B&quot;/&gt;&lt;wsp:rsid wsp:val=&quot;00904BC4&quot;/&gt;&lt;wsp:rsid wsp:val=&quot;00904DA6&quot;/&gt;&lt;wsp:rsid wsp:val=&quot;00904DF3&quot;/&gt;&lt;wsp:rsid wsp:val=&quot;00904E20&quot;/&gt;&lt;wsp:rsid wsp:val=&quot;00904E52&quot;/&gt;&lt;wsp:rsid wsp:val=&quot;009053B4&quot;/&gt;&lt;wsp:rsid wsp:val=&quot;009053B9&quot;/&gt;&lt;wsp:rsid wsp:val=&quot;009053C9&quot;/&gt;&lt;wsp:rsid wsp:val=&quot;00905642&quot;/&gt;&lt;wsp:rsid wsp:val=&quot;0090587F&quot;/&gt;&lt;wsp:rsid wsp:val=&quot;0090596E&quot;/&gt;&lt;wsp:rsid wsp:val=&quot;009059CE&quot;/&gt;&lt;wsp:rsid wsp:val=&quot;00905A5E&quot;/&gt;&lt;wsp:rsid wsp:val=&quot;00905B3F&quot;/&gt;&lt;wsp:rsid wsp:val=&quot;00905BBB&quot;/&gt;&lt;wsp:rsid wsp:val=&quot;009062AA&quot;/&gt;&lt;wsp:rsid wsp:val=&quot;00906447&quot;/&gt;&lt;wsp:rsid wsp:val=&quot;00906600&quot;/&gt;&lt;wsp:rsid wsp:val=&quot;0090668A&quot;/&gt;&lt;wsp:rsid wsp:val=&quot;009069EC&quot;/&gt;&lt;wsp:rsid wsp:val=&quot;00906A6A&quot;/&gt;&lt;wsp:rsid wsp:val=&quot;00906C80&quot;/&gt;&lt;wsp:rsid wsp:val=&quot;00906D4D&quot;/&gt;&lt;wsp:rsid wsp:val=&quot;009071DB&quot;/&gt;&lt;wsp:rsid wsp:val=&quot;00907289&quot;/&gt;&lt;wsp:rsid wsp:val=&quot;0090755A&quot;/&gt;&lt;wsp:rsid wsp:val=&quot;00907643&quot;/&gt;&lt;wsp:rsid wsp:val=&quot;00907822&quot;/&gt;&lt;wsp:rsid wsp:val=&quot;009079EE&quot;/&gt;&lt;wsp:rsid wsp:val=&quot;00907AE1&quot;/&gt;&lt;wsp:rsid wsp:val=&quot;00907BE6&quot;/&gt;&lt;wsp:rsid wsp:val=&quot;00907C76&quot;/&gt;&lt;wsp:rsid wsp:val=&quot;00907EAA&quot;/&gt;&lt;wsp:rsid wsp:val=&quot;00907F69&quot;/&gt;&lt;wsp:rsid wsp:val=&quot;00910098&quot;/&gt;&lt;wsp:rsid wsp:val=&quot;009100A0&quot;/&gt;&lt;wsp:rsid wsp:val=&quot;00910343&quot;/&gt;&lt;wsp:rsid wsp:val=&quot;0091052B&quot;/&gt;&lt;wsp:rsid wsp:val=&quot;0091072D&quot;/&gt;&lt;wsp:rsid wsp:val=&quot;00910AA0&quot;/&gt;&lt;wsp:rsid wsp:val=&quot;00910C21&quot;/&gt;&lt;wsp:rsid wsp:val=&quot;00910C3A&quot;/&gt;&lt;wsp:rsid wsp:val=&quot;00910D71&quot;/&gt;&lt;wsp:rsid wsp:val=&quot;00910D98&quot;/&gt;&lt;wsp:rsid wsp:val=&quot;009110E4&quot;/&gt;&lt;wsp:rsid wsp:val=&quot;009112FC&quot;/&gt;&lt;wsp:rsid wsp:val=&quot;0091179F&quot;/&gt;&lt;wsp:rsid wsp:val=&quot;009117BB&quot;/&gt;&lt;wsp:rsid wsp:val=&quot;00911DA0&quot;/&gt;&lt;wsp:rsid wsp:val=&quot;00911F88&quot;/&gt;&lt;wsp:rsid wsp:val=&quot;009121AA&quot;/&gt;&lt;wsp:rsid wsp:val=&quot;00912343&quot;/&gt;&lt;wsp:rsid wsp:val=&quot;0091235A&quot;/&gt;&lt;wsp:rsid wsp:val=&quot;0091245E&quot;/&gt;&lt;wsp:rsid wsp:val=&quot;0091254A&quot;/&gt;&lt;wsp:rsid wsp:val=&quot;00912599&quot;/&gt;&lt;wsp:rsid wsp:val=&quot;00912C58&quot;/&gt;&lt;wsp:rsid wsp:val=&quot;00912CE3&quot;/&gt;&lt;wsp:rsid wsp:val=&quot;0091310B&quot;/&gt;&lt;wsp:rsid wsp:val=&quot;0091359A&quot;/&gt;&lt;wsp:rsid wsp:val=&quot;00913600&quot;/&gt;&lt;wsp:rsid wsp:val=&quot;00913799&quot;/&gt;&lt;wsp:rsid wsp:val=&quot;00913CAB&quot;/&gt;&lt;wsp:rsid wsp:val=&quot;00913EBE&quot;/&gt;&lt;wsp:rsid wsp:val=&quot;0091403B&quot;/&gt;&lt;wsp:rsid wsp:val=&quot;00914116&quot;/&gt;&lt;wsp:rsid wsp:val=&quot;0091443C&quot;/&gt;&lt;wsp:rsid wsp:val=&quot;009144D3&quot;/&gt;&lt;wsp:rsid wsp:val=&quot;0091458B&quot;/&gt;&lt;wsp:rsid wsp:val=&quot;00914A1C&quot;/&gt;&lt;wsp:rsid wsp:val=&quot;00914B47&quot;/&gt;&lt;wsp:rsid wsp:val=&quot;00914C54&quot;/&gt;&lt;wsp:rsid wsp:val=&quot;00914D87&quot;/&gt;&lt;wsp:rsid wsp:val=&quot;00914F3B&quot;/&gt;&lt;wsp:rsid wsp:val=&quot;00914FC8&quot;/&gt;&lt;wsp:rsid wsp:val=&quot;0091510F&quot;/&gt;&lt;wsp:rsid wsp:val=&quot;009152CF&quot;/&gt;&lt;wsp:rsid wsp:val=&quot;0091579C&quot;/&gt;&lt;wsp:rsid wsp:val=&quot;00915A66&quot;/&gt;&lt;wsp:rsid wsp:val=&quot;00915F96&quot;/&gt;&lt;wsp:rsid wsp:val=&quot;00916418&quot;/&gt;&lt;wsp:rsid wsp:val=&quot;0091669E&quot;/&gt;&lt;wsp:rsid wsp:val=&quot;009166F9&quot;/&gt;&lt;wsp:rsid wsp:val=&quot;00916724&quot;/&gt;&lt;wsp:rsid wsp:val=&quot;009169B6&quot;/&gt;&lt;wsp:rsid wsp:val=&quot;00916C6F&quot;/&gt;&lt;wsp:rsid wsp:val=&quot;00916EA6&quot;/&gt;&lt;wsp:rsid wsp:val=&quot;009170BA&quot;/&gt;&lt;wsp:rsid wsp:val=&quot;00917378&quot;/&gt;&lt;wsp:rsid wsp:val=&quot;00917992&quot;/&gt;&lt;wsp:rsid wsp:val=&quot;00917BE0&quot;/&gt;&lt;wsp:rsid wsp:val=&quot;00917C62&quot;/&gt;&lt;wsp:rsid wsp:val=&quot;00917C69&quot;/&gt;&lt;wsp:rsid wsp:val=&quot;009203BC&quot;/&gt;&lt;wsp:rsid wsp:val=&quot;00920799&quot;/&gt;&lt;wsp:rsid wsp:val=&quot;00920916&quot;/&gt;&lt;wsp:rsid wsp:val=&quot;00920B34&quot;/&gt;&lt;wsp:rsid wsp:val=&quot;00920B70&quot;/&gt;&lt;wsp:rsid wsp:val=&quot;00920C7C&quot;/&gt;&lt;wsp:rsid wsp:val=&quot;00920E98&quot;/&gt;&lt;wsp:rsid wsp:val=&quot;00920F8A&quot;/&gt;&lt;wsp:rsid wsp:val=&quot;00920FF7&quot;/&gt;&lt;wsp:rsid wsp:val=&quot;009214F7&quot;/&gt;&lt;wsp:rsid wsp:val=&quot;0092170F&quot;/&gt;&lt;wsp:rsid wsp:val=&quot;00921733&quot;/&gt;&lt;wsp:rsid wsp:val=&quot;00921763&quot;/&gt;&lt;wsp:rsid wsp:val=&quot;00921794&quot;/&gt;&lt;wsp:rsid wsp:val=&quot;009217FA&quot;/&gt;&lt;wsp:rsid wsp:val=&quot;009217FD&quot;/&gt;&lt;wsp:rsid wsp:val=&quot;0092182A&quot;/&gt;&lt;wsp:rsid wsp:val=&quot;00921C29&quot;/&gt;&lt;wsp:rsid wsp:val=&quot;0092214F&quot;/&gt;&lt;wsp:rsid wsp:val=&quot;00922538&quot;/&gt;&lt;wsp:rsid wsp:val=&quot;00922765&quot;/&gt;&lt;wsp:rsid wsp:val=&quot;00922905&quot;/&gt;&lt;wsp:rsid wsp:val=&quot;009229B0&quot;/&gt;&lt;wsp:rsid wsp:val=&quot;00922C90&quot;/&gt;&lt;wsp:rsid wsp:val=&quot;00922D30&quot;/&gt;&lt;wsp:rsid wsp:val=&quot;00922FE7&quot;/&gt;&lt;wsp:rsid wsp:val=&quot;0092300D&quot;/&gt;&lt;wsp:rsid wsp:val=&quot;009230D8&quot;/&gt;&lt;wsp:rsid wsp:val=&quot;009232BB&quot;/&gt;&lt;wsp:rsid wsp:val=&quot;00923778&quot;/&gt;&lt;wsp:rsid wsp:val=&quot;00923808&quot;/&gt;&lt;wsp:rsid wsp:val=&quot;009239DF&quot;/&gt;&lt;wsp:rsid wsp:val=&quot;00923A14&quot;/&gt;&lt;wsp:rsid wsp:val=&quot;009240AD&quot;/&gt;&lt;wsp:rsid wsp:val=&quot;009242B1&quot;/&gt;&lt;wsp:rsid wsp:val=&quot;00924616&quot;/&gt;&lt;wsp:rsid wsp:val=&quot;0092465E&quot;/&gt;&lt;wsp:rsid wsp:val=&quot;00924859&quot;/&gt;&lt;wsp:rsid wsp:val=&quot;00924868&quot;/&gt;&lt;wsp:rsid wsp:val=&quot;00924938&quot;/&gt;&lt;wsp:rsid wsp:val=&quot;00924A78&quot;/&gt;&lt;wsp:rsid wsp:val=&quot;00924B09&quot;/&gt;&lt;wsp:rsid wsp:val=&quot;00924CE4&quot;/&gt;&lt;wsp:rsid wsp:val=&quot;00924E0D&quot;/&gt;&lt;wsp:rsid wsp:val=&quot;00924F0B&quot;/&gt;&lt;wsp:rsid wsp:val=&quot;00924FD2&quot;/&gt;&lt;wsp:rsid wsp:val=&quot;0092518E&quot;/&gt;&lt;wsp:rsid wsp:val=&quot;009254CF&quot;/&gt;&lt;wsp:rsid wsp:val=&quot;009255C1&quot;/&gt;&lt;wsp:rsid wsp:val=&quot;009258E2&quot;/&gt;&lt;wsp:rsid wsp:val=&quot;00925C1D&quot;/&gt;&lt;wsp:rsid wsp:val=&quot;0092600B&quot;/&gt;&lt;wsp:rsid wsp:val=&quot;009262CC&quot;/&gt;&lt;wsp:rsid wsp:val=&quot;00926623&quot;/&gt;&lt;wsp:rsid wsp:val=&quot;009268B9&quot;/&gt;&lt;wsp:rsid wsp:val=&quot;00926A18&quot;/&gt;&lt;wsp:rsid wsp:val=&quot;00927109&quot;/&gt;&lt;wsp:rsid wsp:val=&quot;00927139&quot;/&gt;&lt;wsp:rsid wsp:val=&quot;00927942&quot;/&gt;&lt;wsp:rsid wsp:val=&quot;0092796F&quot;/&gt;&lt;wsp:rsid wsp:val=&quot;00927B2E&quot;/&gt;&lt;wsp:rsid wsp:val=&quot;00927C53&quot;/&gt;&lt;wsp:rsid wsp:val=&quot;00927D26&quot;/&gt;&lt;wsp:rsid wsp:val=&quot;00927FC5&quot;/&gt;&lt;wsp:rsid wsp:val=&quot;009301ED&quot;/&gt;&lt;wsp:rsid wsp:val=&quot;00930205&quot;/&gt;&lt;wsp:rsid wsp:val=&quot;009302BE&quot;/&gt;&lt;wsp:rsid wsp:val=&quot;00930485&quot;/&gt;&lt;wsp:rsid wsp:val=&quot;009304BB&quot;/&gt;&lt;wsp:rsid wsp:val=&quot;00930789&quot;/&gt;&lt;wsp:rsid wsp:val=&quot;00930BF6&quot;/&gt;&lt;wsp:rsid wsp:val=&quot;00930D5C&quot;/&gt;&lt;wsp:rsid wsp:val=&quot;00930DC9&quot;/&gt;&lt;wsp:rsid wsp:val=&quot;00931579&quot;/&gt;&lt;wsp:rsid wsp:val=&quot;00931656&quot;/&gt;&lt;wsp:rsid wsp:val=&quot;00931A13&quot;/&gt;&lt;wsp:rsid wsp:val=&quot;00931EEE&quot;/&gt;&lt;wsp:rsid wsp:val=&quot;009322F2&quot;/&gt;&lt;wsp:rsid wsp:val=&quot;00932678&quot;/&gt;&lt;wsp:rsid wsp:val=&quot;00932DC3&quot;/&gt;&lt;wsp:rsid wsp:val=&quot;00932E0B&quot;/&gt;&lt;wsp:rsid wsp:val=&quot;00932F1B&quot;/&gt;&lt;wsp:rsid wsp:val=&quot;00933087&quot;/&gt;&lt;wsp:rsid wsp:val=&quot;009333C0&quot;/&gt;&lt;wsp:rsid wsp:val=&quot;00933509&quot;/&gt;&lt;wsp:rsid wsp:val=&quot;00933BE2&quot;/&gt;&lt;wsp:rsid wsp:val=&quot;00933ED2&quot;/&gt;&lt;wsp:rsid wsp:val=&quot;009343D3&quot;/&gt;&lt;wsp:rsid wsp:val=&quot;009345EE&quot;/&gt;&lt;wsp:rsid wsp:val=&quot;00934667&quot;/&gt;&lt;wsp:rsid wsp:val=&quot;00934706&quot;/&gt;&lt;wsp:rsid wsp:val=&quot;009347CE&quot;/&gt;&lt;wsp:rsid wsp:val=&quot;009348AE&quot;/&gt;&lt;wsp:rsid wsp:val=&quot;00934C76&quot;/&gt;&lt;wsp:rsid wsp:val=&quot;009358ED&quot;/&gt;&lt;wsp:rsid wsp:val=&quot;009359CB&quot;/&gt;&lt;wsp:rsid wsp:val=&quot;00935D27&quot;/&gt;&lt;wsp:rsid wsp:val=&quot;00935D62&quot;/&gt;&lt;wsp:rsid wsp:val=&quot;00935F8F&quot;/&gt;&lt;wsp:rsid wsp:val=&quot;009366A6&quot;/&gt;&lt;wsp:rsid wsp:val=&quot;009366C2&quot;/&gt;&lt;wsp:rsid wsp:val=&quot;009368C6&quot;/&gt;&lt;wsp:rsid wsp:val=&quot;00936993&quot;/&gt;&lt;wsp:rsid wsp:val=&quot;00936C13&quot;/&gt;&lt;wsp:rsid wsp:val=&quot;00936C89&quot;/&gt;&lt;wsp:rsid wsp:val=&quot;00936CB2&quot;/&gt;&lt;wsp:rsid wsp:val=&quot;00936DF5&quot;/&gt;&lt;wsp:rsid wsp:val=&quot;009374D5&quot;/&gt;&lt;wsp:rsid wsp:val=&quot;00937661&quot;/&gt;&lt;wsp:rsid wsp:val=&quot;009376A3&quot;/&gt;&lt;wsp:rsid wsp:val=&quot;00937B12&quot;/&gt;&lt;wsp:rsid wsp:val=&quot;00937B67&quot;/&gt;&lt;wsp:rsid wsp:val=&quot;00937DF4&quot;/&gt;&lt;wsp:rsid wsp:val=&quot;00937E4A&quot;/&gt;&lt;wsp:rsid wsp:val=&quot;00937E4C&quot;/&gt;&lt;wsp:rsid wsp:val=&quot;00940707&quot;/&gt;&lt;wsp:rsid wsp:val=&quot;009409E6&quot;/&gt;&lt;wsp:rsid wsp:val=&quot;00940A15&quot;/&gt;&lt;wsp:rsid wsp:val=&quot;00940BAE&quot;/&gt;&lt;wsp:rsid wsp:val=&quot;00940CBD&quot;/&gt;&lt;wsp:rsid wsp:val=&quot;00940E87&quot;/&gt;&lt;wsp:rsid wsp:val=&quot;0094141D&quot;/&gt;&lt;wsp:rsid wsp:val=&quot;0094164D&quot;/&gt;&lt;wsp:rsid wsp:val=&quot;009417DF&quot;/&gt;&lt;wsp:rsid wsp:val=&quot;00941994&quot;/&gt;&lt;wsp:rsid wsp:val=&quot;00941BC9&quot;/&gt;&lt;wsp:rsid wsp:val=&quot;00941C2F&quot;/&gt;&lt;wsp:rsid wsp:val=&quot;00941CF5&quot;/&gt;&lt;wsp:rsid wsp:val=&quot;00942155&quot;/&gt;&lt;wsp:rsid wsp:val=&quot;00942194&quot;/&gt;&lt;wsp:rsid wsp:val=&quot;00942397&quot;/&gt;&lt;wsp:rsid wsp:val=&quot;0094272A&quot;/&gt;&lt;wsp:rsid wsp:val=&quot;009428C5&quot;/&gt;&lt;wsp:rsid wsp:val=&quot;009428F7&quot;/&gt;&lt;wsp:rsid wsp:val=&quot;00942C18&quot;/&gt;&lt;wsp:rsid wsp:val=&quot;00942CAD&quot;/&gt;&lt;wsp:rsid wsp:val=&quot;0094307A&quot;/&gt;&lt;wsp:rsid wsp:val=&quot;00943084&quot;/&gt;&lt;wsp:rsid wsp:val=&quot;0094313A&quot;/&gt;&lt;wsp:rsid wsp:val=&quot;009433F0&quot;/&gt;&lt;wsp:rsid wsp:val=&quot;009436AC&quot;/&gt;&lt;wsp:rsid wsp:val=&quot;009438A1&quot;/&gt;&lt;wsp:rsid wsp:val=&quot;00943A75&quot;/&gt;&lt;wsp:rsid wsp:val=&quot;00943C19&quot;/&gt;&lt;wsp:rsid wsp:val=&quot;00943D23&quot;/&gt;&lt;wsp:rsid wsp:val=&quot;00943ED0&quot;/&gt;&lt;wsp:rsid wsp:val=&quot;009440EF&quot;/&gt;&lt;wsp:rsid wsp:val=&quot;009442B1&quot;/&gt;&lt;wsp:rsid wsp:val=&quot;009443A7&quot;/&gt;&lt;wsp:rsid wsp:val=&quot;009444EB&quot;/&gt;&lt;wsp:rsid wsp:val=&quot;009448F9&quot;/&gt;&lt;wsp:rsid wsp:val=&quot;00944927&quot;/&gt;&lt;wsp:rsid wsp:val=&quot;00944A3D&quot;/&gt;&lt;wsp:rsid wsp:val=&quot;00944D01&quot;/&gt;&lt;wsp:rsid wsp:val=&quot;00944E12&quot;/&gt;&lt;wsp:rsid wsp:val=&quot;00944E52&quot;/&gt;&lt;wsp:rsid wsp:val=&quot;00944F16&quot;/&gt;&lt;wsp:rsid wsp:val=&quot;00944FB0&quot;/&gt;&lt;wsp:rsid wsp:val=&quot;0094542E&quot;/&gt;&lt;wsp:rsid wsp:val=&quot;0094590E&quot;/&gt;&lt;wsp:rsid wsp:val=&quot;009459BC&quot;/&gt;&lt;wsp:rsid wsp:val=&quot;00946477&quot;/&gt;&lt;wsp:rsid wsp:val=&quot;00946524&quot;/&gt;&lt;wsp:rsid wsp:val=&quot;00946621&quot;/&gt;&lt;wsp:rsid wsp:val=&quot;009466D5&quot;/&gt;&lt;wsp:rsid wsp:val=&quot;0094670B&quot;/&gt;&lt;wsp:rsid wsp:val=&quot;00946CF1&quot;/&gt;&lt;wsp:rsid wsp:val=&quot;00946D62&quot;/&gt;&lt;wsp:rsid wsp:val=&quot;00946F0A&quot;/&gt;&lt;wsp:rsid wsp:val=&quot;0094733E&quot;/&gt;&lt;wsp:rsid wsp:val=&quot;0094739D&quot;/&gt;&lt;wsp:rsid wsp:val=&quot;0094750D&quot;/&gt;&lt;wsp:rsid wsp:val=&quot;00947519&quot;/&gt;&lt;wsp:rsid wsp:val=&quot;009477BA&quot;/&gt;&lt;wsp:rsid wsp:val=&quot;00947A3C&quot;/&gt;&lt;wsp:rsid wsp:val=&quot;00947A86&quot;/&gt;&lt;wsp:rsid wsp:val=&quot;00947C50&quot;/&gt;&lt;wsp:rsid wsp:val=&quot;00947D28&quot;/&gt;&lt;wsp:rsid wsp:val=&quot;00947E9C&quot;/&gt;&lt;wsp:rsid wsp:val=&quot;009500E2&quot;/&gt;&lt;wsp:rsid wsp:val=&quot;009500F1&quot;/&gt;&lt;wsp:rsid wsp:val=&quot;0095013C&quot;/&gt;&lt;wsp:rsid wsp:val=&quot;009505A8&quot;/&gt;&lt;wsp:rsid wsp:val=&quot;00950684&quot;/&gt;&lt;wsp:rsid wsp:val=&quot;00950770&quot;/&gt;&lt;wsp:rsid wsp:val=&quot;0095077F&quot;/&gt;&lt;wsp:rsid wsp:val=&quot;00950E26&quot;/&gt;&lt;wsp:rsid wsp:val=&quot;00950E5D&quot;/&gt;&lt;wsp:rsid wsp:val=&quot;009512EA&quot;/&gt;&lt;wsp:rsid wsp:val=&quot;009515EB&quot;/&gt;&lt;wsp:rsid wsp:val=&quot;00951758&quot;/&gt;&lt;wsp:rsid wsp:val=&quot;0095208A&quot;/&gt;&lt;wsp:rsid wsp:val=&quot;00952216&quot;/&gt;&lt;wsp:rsid wsp:val=&quot;0095242E&quot;/&gt;&lt;wsp:rsid wsp:val=&quot;0095249B&quot;/&gt;&lt;wsp:rsid wsp:val=&quot;0095298C&quot;/&gt;&lt;wsp:rsid wsp:val=&quot;009529F3&quot;/&gt;&lt;wsp:rsid wsp:val=&quot;00952A3B&quot;/&gt;&lt;wsp:rsid wsp:val=&quot;00952B3A&quot;/&gt;&lt;wsp:rsid wsp:val=&quot;00952BFB&quot;/&gt;&lt;wsp:rsid wsp:val=&quot;00952C06&quot;/&gt;&lt;wsp:rsid wsp:val=&quot;00953439&quot;/&gt;&lt;wsp:rsid wsp:val=&quot;00953472&quot;/&gt;&lt;wsp:rsid wsp:val=&quot;009538A1&quot;/&gt;&lt;wsp:rsid wsp:val=&quot;00953B5B&quot;/&gt;&lt;wsp:rsid wsp:val=&quot;00953B83&quot;/&gt;&lt;wsp:rsid wsp:val=&quot;00953E55&quot;/&gt;&lt;wsp:rsid wsp:val=&quot;00953FFC&quot;/&gt;&lt;wsp:rsid wsp:val=&quot;009544F5&quot;/&gt;&lt;wsp:rsid wsp:val=&quot;0095455E&quot;/&gt;&lt;wsp:rsid wsp:val=&quot;00954B9C&quot;/&gt;&lt;wsp:rsid wsp:val=&quot;00955067&quot;/&gt;&lt;wsp:rsid wsp:val=&quot;00955313&quot;/&gt;&lt;wsp:rsid wsp:val=&quot;009554B6&quot;/&gt;&lt;wsp:rsid wsp:val=&quot;009555F7&quot;/&gt;&lt;wsp:rsid wsp:val=&quot;0095569E&quot;/&gt;&lt;wsp:rsid wsp:val=&quot;009556CD&quot;/&gt;&lt;wsp:rsid wsp:val=&quot;00955715&quot;/&gt;&lt;wsp:rsid wsp:val=&quot;00955888&quot;/&gt;&lt;wsp:rsid wsp:val=&quot;00955FC1&quot;/&gt;&lt;wsp:rsid wsp:val=&quot;009560C8&quot;/&gt;&lt;wsp:rsid wsp:val=&quot;009562B3&quot;/&gt;&lt;wsp:rsid wsp:val=&quot;009563A0&quot;/&gt;&lt;wsp:rsid wsp:val=&quot;009565D5&quot;/&gt;&lt;wsp:rsid wsp:val=&quot;00956821&quot;/&gt;&lt;wsp:rsid wsp:val=&quot;00956921&quot;/&gt;&lt;wsp:rsid wsp:val=&quot;00956D99&quot;/&gt;&lt;wsp:rsid wsp:val=&quot;00956E79&quot;/&gt;&lt;wsp:rsid wsp:val=&quot;009577B2&quot;/&gt;&lt;wsp:rsid wsp:val=&quot;00957AA6&quot;/&gt;&lt;wsp:rsid wsp:val=&quot;00957D60&quot;/&gt;&lt;wsp:rsid wsp:val=&quot;00957E9A&quot;/&gt;&lt;wsp:rsid wsp:val=&quot;00957F23&quot;/&gt;&lt;wsp:rsid wsp:val=&quot;0096032E&quot;/&gt;&lt;wsp:rsid wsp:val=&quot;009603F1&quot;/&gt;&lt;wsp:rsid wsp:val=&quot;0096045B&quot;/&gt;&lt;wsp:rsid wsp:val=&quot;009604C2&quot;/&gt;&lt;wsp:rsid wsp:val=&quot;009605B7&quot;/&gt;&lt;wsp:rsid wsp:val=&quot;00960640&quot;/&gt;&lt;wsp:rsid wsp:val=&quot;0096072F&quot;/&gt;&lt;wsp:rsid wsp:val=&quot;00960975&quot;/&gt;&lt;wsp:rsid wsp:val=&quot;00960DA7&quot;/&gt;&lt;wsp:rsid wsp:val=&quot;00960EDE&quot;/&gt;&lt;wsp:rsid wsp:val=&quot;00960FC5&quot;/&gt;&lt;wsp:rsid wsp:val=&quot;009611C8&quot;/&gt;&lt;wsp:rsid wsp:val=&quot;009614FA&quot;/&gt;&lt;wsp:rsid wsp:val=&quot;00961AC1&quot;/&gt;&lt;wsp:rsid wsp:val=&quot;00961CB9&quot;/&gt;&lt;wsp:rsid wsp:val=&quot;00961F3D&quot;/&gt;&lt;wsp:rsid wsp:val=&quot;00961FF6&quot;/&gt;&lt;wsp:rsid wsp:val=&quot;00962264&quot;/&gt;&lt;wsp:rsid wsp:val=&quot;0096232A&quot;/&gt;&lt;wsp:rsid wsp:val=&quot;009624C5&quot;/&gt;&lt;wsp:rsid wsp:val=&quot;0096270E&quot;/&gt;&lt;wsp:rsid wsp:val=&quot;00962E4F&quot;/&gt;&lt;wsp:rsid wsp:val=&quot;00962E67&quot;/&gt;&lt;wsp:rsid wsp:val=&quot;00962F00&quot;/&gt;&lt;wsp:rsid wsp:val=&quot;0096316A&quot;/&gt;&lt;wsp:rsid wsp:val=&quot;009631BC&quot;/&gt;&lt;wsp:rsid wsp:val=&quot;009631CE&quot;/&gt;&lt;wsp:rsid wsp:val=&quot;0096332A&quot;/&gt;&lt;wsp:rsid wsp:val=&quot;00963574&quot;/&gt;&lt;wsp:rsid wsp:val=&quot;0096389F&quot;/&gt;&lt;wsp:rsid wsp:val=&quot;00963A67&quot;/&gt;&lt;wsp:rsid wsp:val=&quot;00963A91&quot;/&gt;&lt;wsp:rsid wsp:val=&quot;00963E2A&quot;/&gt;&lt;wsp:rsid wsp:val=&quot;009641F3&quot;/&gt;&lt;wsp:rsid wsp:val=&quot;0096422A&quot;/&gt;&lt;wsp:rsid wsp:val=&quot;00964334&quot;/&gt;&lt;wsp:rsid wsp:val=&quot;009644DE&quot;/&gt;&lt;wsp:rsid wsp:val=&quot;009645D8&quot;/&gt;&lt;wsp:rsid wsp:val=&quot;0096497D&quot;/&gt;&lt;wsp:rsid wsp:val=&quot;00964D36&quot;/&gt;&lt;wsp:rsid wsp:val=&quot;00964F27&quot;/&gt;&lt;wsp:rsid wsp:val=&quot;00965008&quot;/&gt;&lt;wsp:rsid wsp:val=&quot;00965218&quot;/&gt;&lt;wsp:rsid wsp:val=&quot;00965219&quot;/&gt;&lt;wsp:rsid wsp:val=&quot;00965488&quot;/&gt;&lt;wsp:rsid wsp:val=&quot;00965960&quot;/&gt;&lt;wsp:rsid wsp:val=&quot;00965F03&quot;/&gt;&lt;wsp:rsid wsp:val=&quot;00966416&quot;/&gt;&lt;wsp:rsid wsp:val=&quot;00966578&quot;/&gt;&lt;wsp:rsid wsp:val=&quot;00966F6F&quot;/&gt;&lt;wsp:rsid wsp:val=&quot;00967041&quot;/&gt;&lt;wsp:rsid wsp:val=&quot;009672F1&quot;/&gt;&lt;wsp:rsid wsp:val=&quot;00967311&quot;/&gt;&lt;wsp:rsid wsp:val=&quot;009673D4&quot;/&gt;&lt;wsp:rsid wsp:val=&quot;009673DF&quot;/&gt;&lt;wsp:rsid wsp:val=&quot;00967550&quot;/&gt;&lt;wsp:rsid wsp:val=&quot;0096757F&quot;/&gt;&lt;wsp:rsid wsp:val=&quot;009676CF&quot;/&gt;&lt;wsp:rsid wsp:val=&quot;0096789F&quot;/&gt;&lt;wsp:rsid wsp:val=&quot;009678BD&quot;/&gt;&lt;wsp:rsid wsp:val=&quot;009679BF&quot;/&gt;&lt;wsp:rsid wsp:val=&quot;00967D07&quot;/&gt;&lt;wsp:rsid wsp:val=&quot;00970829&quot;/&gt;&lt;wsp:rsid wsp:val=&quot;0097090F&quot;/&gt;&lt;wsp:rsid wsp:val=&quot;00970F46&quot;/&gt;&lt;wsp:rsid wsp:val=&quot;00971026&quot;/&gt;&lt;wsp:rsid wsp:val=&quot;00971120&quot;/&gt;&lt;wsp:rsid wsp:val=&quot;009711D4&quot;/&gt;&lt;wsp:rsid wsp:val=&quot;0097148A&quot;/&gt;&lt;wsp:rsid wsp:val=&quot;00971525&quot;/&gt;&lt;wsp:rsid wsp:val=&quot;0097197C&quot;/&gt;&lt;wsp:rsid wsp:val=&quot;00971985&quot;/&gt;&lt;wsp:rsid wsp:val=&quot;009719A5&quot;/&gt;&lt;wsp:rsid wsp:val=&quot;00971E55&quot;/&gt;&lt;wsp:rsid wsp:val=&quot;009722B5&quot;/&gt;&lt;wsp:rsid wsp:val=&quot;00972334&quot;/&gt;&lt;wsp:rsid wsp:val=&quot;0097258E&quot;/&gt;&lt;wsp:rsid wsp:val=&quot;0097293F&quot;/&gt;&lt;wsp:rsid wsp:val=&quot;00972B30&quot;/&gt;&lt;wsp:rsid wsp:val=&quot;00972FBF&quot;/&gt;&lt;wsp:rsid wsp:val=&quot;00972FCF&quot;/&gt;&lt;wsp:rsid wsp:val=&quot;00973268&quot;/&gt;&lt;wsp:rsid wsp:val=&quot;009733A7&quot;/&gt;&lt;wsp:rsid wsp:val=&quot;00973730&quot;/&gt;&lt;wsp:rsid wsp:val=&quot;009738F8&quot;/&gt;&lt;wsp:rsid wsp:val=&quot;00973D1A&quot;/&gt;&lt;wsp:rsid wsp:val=&quot;00973E75&quot;/&gt;&lt;wsp:rsid wsp:val=&quot;00973E9D&quot;/&gt;&lt;wsp:rsid wsp:val=&quot;009742CF&quot;/&gt;&lt;wsp:rsid wsp:val=&quot;00974314&quot;/&gt;&lt;wsp:rsid wsp:val=&quot;00974374&quot;/&gt;&lt;wsp:rsid wsp:val=&quot;0097448E&quot;/&gt;&lt;wsp:rsid wsp:val=&quot;00974A66&quot;/&gt;&lt;wsp:rsid wsp:val=&quot;00974CDF&quot;/&gt;&lt;wsp:rsid wsp:val=&quot;00974D29&quot;/&gt;&lt;wsp:rsid wsp:val=&quot;00974E1A&quot;/&gt;&lt;wsp:rsid wsp:val=&quot;00975057&quot;/&gt;&lt;wsp:rsid wsp:val=&quot;009750C8&quot;/&gt;&lt;wsp:rsid wsp:val=&quot;00975677&quot;/&gt;&lt;wsp:rsid wsp:val=&quot;009758AB&quot;/&gt;&lt;wsp:rsid wsp:val=&quot;009758DB&quot;/&gt;&lt;wsp:rsid wsp:val=&quot;00976307&quot;/&gt;&lt;wsp:rsid wsp:val=&quot;009763AC&quot;/&gt;&lt;wsp:rsid wsp:val=&quot;00976423&quot;/&gt;&lt;wsp:rsid wsp:val=&quot;00976516&quot;/&gt;&lt;wsp:rsid wsp:val=&quot;0097652D&quot;/&gt;&lt;wsp:rsid wsp:val=&quot;00976705&quot;/&gt;&lt;wsp:rsid wsp:val=&quot;00976730&quot;/&gt;&lt;wsp:rsid wsp:val=&quot;00976F10&quot;/&gt;&lt;wsp:rsid wsp:val=&quot;00976F8D&quot;/&gt;&lt;wsp:rsid wsp:val=&quot;00977047&quot;/&gt;&lt;wsp:rsid wsp:val=&quot;00977099&quot;/&gt;&lt;wsp:rsid wsp:val=&quot;009775ED&quot;/&gt;&lt;wsp:rsid wsp:val=&quot;00977700&quot;/&gt;&lt;wsp:rsid wsp:val=&quot;00977945&quot;/&gt;&lt;wsp:rsid wsp:val=&quot;00977B8C&quot;/&gt;&lt;wsp:rsid wsp:val=&quot;00977C33&quot;/&gt;&lt;wsp:rsid wsp:val=&quot;00977CAC&quot;/&gt;&lt;wsp:rsid wsp:val=&quot;00977CE0&quot;/&gt;&lt;wsp:rsid wsp:val=&quot;00977DD7&quot;/&gt;&lt;wsp:rsid wsp:val=&quot;00977FAF&quot;/&gt;&lt;wsp:rsid wsp:val=&quot;009800F0&quot;/&gt;&lt;wsp:rsid wsp:val=&quot;009802E6&quot;/&gt;&lt;wsp:rsid wsp:val=&quot;0098035C&quot;/&gt;&lt;wsp:rsid wsp:val=&quot;009807D5&quot;/&gt;&lt;wsp:rsid wsp:val=&quot;009809AD&quot;/&gt;&lt;wsp:rsid wsp:val=&quot;00980A70&quot;/&gt;&lt;wsp:rsid wsp:val=&quot;00980B9C&quot;/&gt;&lt;wsp:rsid wsp:val=&quot;00980DE5&quot;/&gt;&lt;wsp:rsid wsp:val=&quot;00981203&quot;/&gt;&lt;wsp:rsid wsp:val=&quot;00981745&quot;/&gt;&lt;wsp:rsid wsp:val=&quot;0098176A&quot;/&gt;&lt;wsp:rsid wsp:val=&quot;0098176E&quot;/&gt;&lt;wsp:rsid wsp:val=&quot;00981B03&quot;/&gt;&lt;wsp:rsid wsp:val=&quot;00981D0B&quot;/&gt;&lt;wsp:rsid wsp:val=&quot;00981D47&quot;/&gt;&lt;wsp:rsid wsp:val=&quot;00981FF6&quot;/&gt;&lt;wsp:rsid wsp:val=&quot;00982133&quot;/&gt;&lt;wsp:rsid wsp:val=&quot;0098252D&quot;/&gt;&lt;wsp:rsid wsp:val=&quot;00982624&quot;/&gt;&lt;wsp:rsid wsp:val=&quot;009829E1&quot;/&gt;&lt;wsp:rsid wsp:val=&quot;00982C0E&quot;/&gt;&lt;wsp:rsid wsp:val=&quot;00982F63&quot;/&gt;&lt;wsp:rsid wsp:val=&quot;00982F9E&quot;/&gt;&lt;wsp:rsid wsp:val=&quot;0098388F&quot;/&gt;&lt;wsp:rsid wsp:val=&quot;009838DC&quot;/&gt;&lt;wsp:rsid wsp:val=&quot;00983943&quot;/&gt;&lt;wsp:rsid wsp:val=&quot;00983DED&quot;/&gt;&lt;wsp:rsid wsp:val=&quot;00983EF7&quot;/&gt;&lt;wsp:rsid wsp:val=&quot;00984288&quot;/&gt;&lt;wsp:rsid wsp:val=&quot;009842F6&quot;/&gt;&lt;wsp:rsid wsp:val=&quot;00984308&quot;/&gt;&lt;wsp:rsid wsp:val=&quot;0098437E&quot;/&gt;&lt;wsp:rsid wsp:val=&quot;009843F8&quot;/&gt;&lt;wsp:rsid wsp:val=&quot;00984561&quot;/&gt;&lt;wsp:rsid wsp:val=&quot;00984691&quot;/&gt;&lt;wsp:rsid wsp:val=&quot;0098470C&quot;/&gt;&lt;wsp:rsid wsp:val=&quot;00984A3B&quot;/&gt;&lt;wsp:rsid wsp:val=&quot;00984BB2&quot;/&gt;&lt;wsp:rsid wsp:val=&quot;00984EDB&quot;/&gt;&lt;wsp:rsid wsp:val=&quot;0098506E&quot;/&gt;&lt;wsp:rsid wsp:val=&quot;00985101&quot;/&gt;&lt;wsp:rsid wsp:val=&quot;009852DF&quot;/&gt;&lt;wsp:rsid wsp:val=&quot;00985335&quot;/&gt;&lt;wsp:rsid wsp:val=&quot;00985735&quot;/&gt;&lt;wsp:rsid wsp:val=&quot;00985C62&quot;/&gt;&lt;wsp:rsid wsp:val=&quot;00985C68&quot;/&gt;&lt;wsp:rsid wsp:val=&quot;00985CEC&quot;/&gt;&lt;wsp:rsid wsp:val=&quot;00986830&quot;/&gt;&lt;wsp:rsid wsp:val=&quot;00986888&quot;/&gt;&lt;wsp:rsid wsp:val=&quot;009869AB&quot;/&gt;&lt;wsp:rsid wsp:val=&quot;00986ECE&quot;/&gt;&lt;wsp:rsid wsp:val=&quot;00987097&quot;/&gt;&lt;wsp:rsid wsp:val=&quot;009870FB&quot;/&gt;&lt;wsp:rsid wsp:val=&quot;00987110&quot;/&gt;&lt;wsp:rsid wsp:val=&quot;009872CE&quot;/&gt;&lt;wsp:rsid wsp:val=&quot;009878FD&quot;/&gt;&lt;wsp:rsid wsp:val=&quot;00987BD5&quot;/&gt;&lt;wsp:rsid wsp:val=&quot;00987C00&quot;/&gt;&lt;wsp:rsid wsp:val=&quot;00987CDC&quot;/&gt;&lt;wsp:rsid wsp:val=&quot;0099021A&quot;/&gt;&lt;wsp:rsid wsp:val=&quot;009902D7&quot;/&gt;&lt;wsp:rsid wsp:val=&quot;0099033F&quot;/&gt;&lt;wsp:rsid wsp:val=&quot;00990487&quot;/&gt;&lt;wsp:rsid wsp:val=&quot;0099058F&quot;/&gt;&lt;wsp:rsid wsp:val=&quot;009905C9&quot;/&gt;&lt;wsp:rsid wsp:val=&quot;009905CC&quot;/&gt;&lt;wsp:rsid wsp:val=&quot;0099083E&quot;/&gt;&lt;wsp:rsid wsp:val=&quot;00990E6A&quot;/&gt;&lt;wsp:rsid wsp:val=&quot;00990E8E&quot;/&gt;&lt;wsp:rsid wsp:val=&quot;00991246&quot;/&gt;&lt;wsp:rsid wsp:val=&quot;00991459&quot;/&gt;&lt;wsp:rsid wsp:val=&quot;00991852&quot;/&gt;&lt;wsp:rsid wsp:val=&quot;00991D06&quot;/&gt;&lt;wsp:rsid wsp:val=&quot;009922C2&quot;/&gt;&lt;wsp:rsid wsp:val=&quot;009923F2&quot;/&gt;&lt;wsp:rsid wsp:val=&quot;00992555&quot;/&gt;&lt;wsp:rsid wsp:val=&quot;0099257D&quot;/&gt;&lt;wsp:rsid wsp:val=&quot;00992942&quot;/&gt;&lt;wsp:rsid wsp:val=&quot;00992A92&quot;/&gt;&lt;wsp:rsid wsp:val=&quot;00992B0A&quot;/&gt;&lt;wsp:rsid wsp:val=&quot;00992C56&quot;/&gt;&lt;wsp:rsid wsp:val=&quot;00992D37&quot;/&gt;&lt;wsp:rsid wsp:val=&quot;00992DA9&quot;/&gt;&lt;wsp:rsid wsp:val=&quot;00993033&quot;/&gt;&lt;wsp:rsid wsp:val=&quot;009930DC&quot;/&gt;&lt;wsp:rsid wsp:val=&quot;00993115&quot;/&gt;&lt;wsp:rsid wsp:val=&quot;009933C8&quot;/&gt;&lt;wsp:rsid wsp:val=&quot;00993876&quot;/&gt;&lt;wsp:rsid wsp:val=&quot;00993DEF&quot;/&gt;&lt;wsp:rsid wsp:val=&quot;00993DF5&quot;/&gt;&lt;wsp:rsid wsp:val=&quot;009941D7&quot;/&gt;&lt;wsp:rsid wsp:val=&quot;009941D8&quot;/&gt;&lt;wsp:rsid wsp:val=&quot;009942C8&quot;/&gt;&lt;wsp:rsid wsp:val=&quot;00994734&quot;/&gt;&lt;wsp:rsid wsp:val=&quot;00994755&quot;/&gt;&lt;wsp:rsid wsp:val=&quot;009947FC&quot;/&gt;&lt;wsp:rsid wsp:val=&quot;009948AD&quot;/&gt;&lt;wsp:rsid wsp:val=&quot;00994C52&quot;/&gt;&lt;wsp:rsid wsp:val=&quot;00994C96&quot;/&gt;&lt;wsp:rsid wsp:val=&quot;00995037&quot;/&gt;&lt;wsp:rsid wsp:val=&quot;00995460&quot;/&gt;&lt;wsp:rsid wsp:val=&quot;00995570&quot;/&gt;&lt;wsp:rsid wsp:val=&quot;00995797&quot;/&gt;&lt;wsp:rsid wsp:val=&quot;009959E7&quot;/&gt;&lt;wsp:rsid wsp:val=&quot;00995BDC&quot;/&gt;&lt;wsp:rsid wsp:val=&quot;00996307&quot;/&gt;&lt;wsp:rsid wsp:val=&quot;00996694&quot;/&gt;&lt;wsp:rsid wsp:val=&quot;009969D9&quot;/&gt;&lt;wsp:rsid wsp:val=&quot;00996D36&quot;/&gt;&lt;wsp:rsid wsp:val=&quot;00996D7D&quot;/&gt;&lt;wsp:rsid wsp:val=&quot;00996F65&quot;/&gt;&lt;wsp:rsid wsp:val=&quot;00997046&quot;/&gt;&lt;wsp:rsid wsp:val=&quot;00997175&quot;/&gt;&lt;wsp:rsid wsp:val=&quot;009975CC&quot;/&gt;&lt;wsp:rsid wsp:val=&quot;00997613&quot;/&gt;&lt;wsp:rsid wsp:val=&quot;00997F74&quot;/&gt;&lt;wsp:rsid wsp:val=&quot;009A00A2&quot;/&gt;&lt;wsp:rsid wsp:val=&quot;009A0655&quot;/&gt;&lt;wsp:rsid wsp:val=&quot;009A0892&quot;/&gt;&lt;wsp:rsid wsp:val=&quot;009A0AD8&quot;/&gt;&lt;wsp:rsid wsp:val=&quot;009A0DE5&quot;/&gt;&lt;wsp:rsid wsp:val=&quot;009A1191&quot;/&gt;&lt;wsp:rsid wsp:val=&quot;009A11AA&quot;/&gt;&lt;wsp:rsid wsp:val=&quot;009A1342&quot;/&gt;&lt;wsp:rsid wsp:val=&quot;009A14A5&quot;/&gt;&lt;wsp:rsid wsp:val=&quot;009A14CE&quot;/&gt;&lt;wsp:rsid wsp:val=&quot;009A1641&quot;/&gt;&lt;wsp:rsid wsp:val=&quot;009A1699&quot;/&gt;&lt;wsp:rsid wsp:val=&quot;009A1927&quot;/&gt;&lt;wsp:rsid wsp:val=&quot;009A1994&quot;/&gt;&lt;wsp:rsid wsp:val=&quot;009A1998&quot;/&gt;&lt;wsp:rsid wsp:val=&quot;009A1C03&quot;/&gt;&lt;wsp:rsid wsp:val=&quot;009A1E9D&quot;/&gt;&lt;wsp:rsid wsp:val=&quot;009A2028&quot;/&gt;&lt;wsp:rsid wsp:val=&quot;009A2032&quot;/&gt;&lt;wsp:rsid wsp:val=&quot;009A227C&quot;/&gt;&lt;wsp:rsid wsp:val=&quot;009A22F6&quot;/&gt;&lt;wsp:rsid wsp:val=&quot;009A26D4&quot;/&gt;&lt;wsp:rsid wsp:val=&quot;009A281D&quot;/&gt;&lt;wsp:rsid wsp:val=&quot;009A28F3&quot;/&gt;&lt;wsp:rsid wsp:val=&quot;009A2966&quot;/&gt;&lt;wsp:rsid wsp:val=&quot;009A29ED&quot;/&gt;&lt;wsp:rsid wsp:val=&quot;009A2E40&quot;/&gt;&lt;wsp:rsid wsp:val=&quot;009A2F97&quot;/&gt;&lt;wsp:rsid wsp:val=&quot;009A31A2&quot;/&gt;&lt;wsp:rsid wsp:val=&quot;009A31CC&quot;/&gt;&lt;wsp:rsid wsp:val=&quot;009A332F&quot;/&gt;&lt;wsp:rsid wsp:val=&quot;009A3645&quot;/&gt;&lt;wsp:rsid wsp:val=&quot;009A36DD&quot;/&gt;&lt;wsp:rsid wsp:val=&quot;009A3C9E&quot;/&gt;&lt;wsp:rsid wsp:val=&quot;009A40A5&quot;/&gt;&lt;wsp:rsid wsp:val=&quot;009A410D&quot;/&gt;&lt;wsp:rsid wsp:val=&quot;009A4437&quot;/&gt;&lt;wsp:rsid wsp:val=&quot;009A4697&quot;/&gt;&lt;wsp:rsid wsp:val=&quot;009A469B&quot;/&gt;&lt;wsp:rsid wsp:val=&quot;009A481A&quot;/&gt;&lt;wsp:rsid wsp:val=&quot;009A486B&quot;/&gt;&lt;wsp:rsid wsp:val=&quot;009A4991&quot;/&gt;&lt;wsp:rsid wsp:val=&quot;009A4E8C&quot;/&gt;&lt;wsp:rsid wsp:val=&quot;009A4FE5&quot;/&gt;&lt;wsp:rsid wsp:val=&quot;009A5045&quot;/&gt;&lt;wsp:rsid wsp:val=&quot;009A528B&quot;/&gt;&lt;wsp:rsid wsp:val=&quot;009A53DA&quot;/&gt;&lt;wsp:rsid wsp:val=&quot;009A56BE&quot;/&gt;&lt;wsp:rsid wsp:val=&quot;009A5927&quot;/&gt;&lt;wsp:rsid wsp:val=&quot;009A5A41&quot;/&gt;&lt;wsp:rsid wsp:val=&quot;009A5C42&quot;/&gt;&lt;wsp:rsid wsp:val=&quot;009A5D9C&quot;/&gt;&lt;wsp:rsid wsp:val=&quot;009A5DB4&quot;/&gt;&lt;wsp:rsid wsp:val=&quot;009A5FD5&quot;/&gt;&lt;wsp:rsid wsp:val=&quot;009A6181&quot;/&gt;&lt;wsp:rsid wsp:val=&quot;009A6481&quot;/&gt;&lt;wsp:rsid wsp:val=&quot;009A6528&quot;/&gt;&lt;wsp:rsid wsp:val=&quot;009A713A&quot;/&gt;&lt;wsp:rsid wsp:val=&quot;009A718C&quot;/&gt;&lt;wsp:rsid wsp:val=&quot;009A73A7&quot;/&gt;&lt;wsp:rsid wsp:val=&quot;009A79BB&quot;/&gt;&lt;wsp:rsid wsp:val=&quot;009A7AE9&quot;/&gt;&lt;wsp:rsid wsp:val=&quot;009A7B41&quot;/&gt;&lt;wsp:rsid wsp:val=&quot;009A7BDD&quot;/&gt;&lt;wsp:rsid wsp:val=&quot;009A7C03&quot;/&gt;&lt;wsp:rsid wsp:val=&quot;009B0021&quot;/&gt;&lt;wsp:rsid wsp:val=&quot;009B0668&quot;/&gt;&lt;wsp:rsid wsp:val=&quot;009B06C1&quot;/&gt;&lt;wsp:rsid wsp:val=&quot;009B072B&quot;/&gt;&lt;wsp:rsid wsp:val=&quot;009B0739&quot;/&gt;&lt;wsp:rsid wsp:val=&quot;009B0A49&quot;/&gt;&lt;wsp:rsid wsp:val=&quot;009B0D24&quot;/&gt;&lt;wsp:rsid wsp:val=&quot;009B0E20&quot;/&gt;&lt;wsp:rsid wsp:val=&quot;009B1A70&quot;/&gt;&lt;wsp:rsid wsp:val=&quot;009B1A76&quot;/&gt;&lt;wsp:rsid wsp:val=&quot;009B1B7F&quot;/&gt;&lt;wsp:rsid wsp:val=&quot;009B1B80&quot;/&gt;&lt;wsp:rsid wsp:val=&quot;009B1D51&quot;/&gt;&lt;wsp:rsid wsp:val=&quot;009B1F1C&quot;/&gt;&lt;wsp:rsid wsp:val=&quot;009B1F68&quot;/&gt;&lt;wsp:rsid wsp:val=&quot;009B22A8&quot;/&gt;&lt;wsp:rsid wsp:val=&quot;009B22EA&quot;/&gt;&lt;wsp:rsid wsp:val=&quot;009B23A0&quot;/&gt;&lt;wsp:rsid wsp:val=&quot;009B2607&quot;/&gt;&lt;wsp:rsid wsp:val=&quot;009B2653&quot;/&gt;&lt;wsp:rsid wsp:val=&quot;009B2723&quot;/&gt;&lt;wsp:rsid wsp:val=&quot;009B28EA&quot;/&gt;&lt;wsp:rsid wsp:val=&quot;009B2A17&quot;/&gt;&lt;wsp:rsid wsp:val=&quot;009B2DAF&quot;/&gt;&lt;wsp:rsid wsp:val=&quot;009B3275&quot;/&gt;&lt;wsp:rsid wsp:val=&quot;009B340E&quot;/&gt;&lt;wsp:rsid wsp:val=&quot;009B3550&quot;/&gt;&lt;wsp:rsid wsp:val=&quot;009B3567&quot;/&gt;&lt;wsp:rsid wsp:val=&quot;009B3768&quot;/&gt;&lt;wsp:rsid wsp:val=&quot;009B3837&quot;/&gt;&lt;wsp:rsid wsp:val=&quot;009B38B0&quot;/&gt;&lt;wsp:rsid wsp:val=&quot;009B38D5&quot;/&gt;&lt;wsp:rsid wsp:val=&quot;009B3AC4&quot;/&gt;&lt;wsp:rsid wsp:val=&quot;009B3CA2&quot;/&gt;&lt;wsp:rsid wsp:val=&quot;009B419D&quot;/&gt;&lt;wsp:rsid wsp:val=&quot;009B45CB&quot;/&gt;&lt;wsp:rsid wsp:val=&quot;009B466F&quot;/&gt;&lt;wsp:rsid wsp:val=&quot;009B4893&quot;/&gt;&lt;wsp:rsid wsp:val=&quot;009B4E0F&quot;/&gt;&lt;wsp:rsid wsp:val=&quot;009B51E3&quot;/&gt;&lt;wsp:rsid wsp:val=&quot;009B53A3&quot;/&gt;&lt;wsp:rsid wsp:val=&quot;009B56A1&quot;/&gt;&lt;wsp:rsid wsp:val=&quot;009B5D2C&quot;/&gt;&lt;wsp:rsid wsp:val=&quot;009B6295&quot;/&gt;&lt;wsp:rsid wsp:val=&quot;009B6418&quot;/&gt;&lt;wsp:rsid wsp:val=&quot;009B6551&quot;/&gt;&lt;wsp:rsid wsp:val=&quot;009B6744&quot;/&gt;&lt;wsp:rsid wsp:val=&quot;009B6876&quot;/&gt;&lt;wsp:rsid wsp:val=&quot;009B6AB7&quot;/&gt;&lt;wsp:rsid wsp:val=&quot;009B6DF2&quot;/&gt;&lt;wsp:rsid wsp:val=&quot;009B6FB4&quot;/&gt;&lt;wsp:rsid wsp:val=&quot;009B716C&quot;/&gt;&lt;wsp:rsid wsp:val=&quot;009B75DB&quot;/&gt;&lt;wsp:rsid wsp:val=&quot;009B7B18&quot;/&gt;&lt;wsp:rsid wsp:val=&quot;009B7B5C&quot;/&gt;&lt;wsp:rsid wsp:val=&quot;009B7E5F&quot;/&gt;&lt;wsp:rsid wsp:val=&quot;009C0240&quot;/&gt;&lt;wsp:rsid wsp:val=&quot;009C07C7&quot;/&gt;&lt;wsp:rsid wsp:val=&quot;009C07E1&quot;/&gt;&lt;wsp:rsid wsp:val=&quot;009C09D5&quot;/&gt;&lt;wsp:rsid wsp:val=&quot;009C0AB5&quot;/&gt;&lt;wsp:rsid wsp:val=&quot;009C0DE1&quot;/&gt;&lt;wsp:rsid wsp:val=&quot;009C0F38&quot;/&gt;&lt;wsp:rsid wsp:val=&quot;009C13BC&quot;/&gt;&lt;wsp:rsid wsp:val=&quot;009C1458&quot;/&gt;&lt;wsp:rsid wsp:val=&quot;009C15F0&quot;/&gt;&lt;wsp:rsid wsp:val=&quot;009C1A74&quot;/&gt;&lt;wsp:rsid wsp:val=&quot;009C1F29&quot;/&gt;&lt;wsp:rsid wsp:val=&quot;009C1FAF&quot;/&gt;&lt;wsp:rsid wsp:val=&quot;009C24FE&quot;/&gt;&lt;wsp:rsid wsp:val=&quot;009C2551&quot;/&gt;&lt;wsp:rsid wsp:val=&quot;009C29FE&quot;/&gt;&lt;wsp:rsid wsp:val=&quot;009C2AEC&quot;/&gt;&lt;wsp:rsid wsp:val=&quot;009C2DE6&quot;/&gt;&lt;wsp:rsid wsp:val=&quot;009C33EB&quot;/&gt;&lt;wsp:rsid wsp:val=&quot;009C37C8&quot;/&gt;&lt;wsp:rsid wsp:val=&quot;009C3884&quot;/&gt;&lt;wsp:rsid wsp:val=&quot;009C38B4&quot;/&gt;&lt;wsp:rsid wsp:val=&quot;009C3ADA&quot;/&gt;&lt;wsp:rsid wsp:val=&quot;009C4CE3&quot;/&gt;&lt;wsp:rsid wsp:val=&quot;009C503E&quot;/&gt;&lt;wsp:rsid wsp:val=&quot;009C50F2&quot;/&gt;&lt;wsp:rsid wsp:val=&quot;009C5596&quot;/&gt;&lt;wsp:rsid wsp:val=&quot;009C5AEA&quot;/&gt;&lt;wsp:rsid wsp:val=&quot;009C5BA9&quot;/&gt;&lt;wsp:rsid wsp:val=&quot;009C5DA3&quot;/&gt;&lt;wsp:rsid wsp:val=&quot;009C5F37&quot;/&gt;&lt;wsp:rsid wsp:val=&quot;009C5FDF&quot;/&gt;&lt;wsp:rsid wsp:val=&quot;009C6216&quot;/&gt;&lt;wsp:rsid wsp:val=&quot;009C626A&quot;/&gt;&lt;wsp:rsid wsp:val=&quot;009C652D&quot;/&gt;&lt;wsp:rsid wsp:val=&quot;009C6723&quot;/&gt;&lt;wsp:rsid wsp:val=&quot;009C6B10&quot;/&gt;&lt;wsp:rsid wsp:val=&quot;009C6C63&quot;/&gt;&lt;wsp:rsid wsp:val=&quot;009C7036&quot;/&gt;&lt;wsp:rsid wsp:val=&quot;009C706E&quot;/&gt;&lt;wsp:rsid wsp:val=&quot;009C7089&quot;/&gt;&lt;wsp:rsid wsp:val=&quot;009C7185&quot;/&gt;&lt;wsp:rsid wsp:val=&quot;009C74D4&quot;/&gt;&lt;wsp:rsid wsp:val=&quot;009C7A75&quot;/&gt;&lt;wsp:rsid wsp:val=&quot;009C7CB0&quot;/&gt;&lt;wsp:rsid wsp:val=&quot;009C7F96&quot;/&gt;&lt;wsp:rsid wsp:val=&quot;009D013D&quot;/&gt;&lt;wsp:rsid wsp:val=&quot;009D0384&quot;/&gt;&lt;wsp:rsid wsp:val=&quot;009D0502&quot;/&gt;&lt;wsp:rsid wsp:val=&quot;009D05D8&quot;/&gt;&lt;wsp:rsid wsp:val=&quot;009D0A1E&quot;/&gt;&lt;wsp:rsid wsp:val=&quot;009D0B78&quot;/&gt;&lt;wsp:rsid wsp:val=&quot;009D0D53&quot;/&gt;&lt;wsp:rsid wsp:val=&quot;009D1276&quot;/&gt;&lt;wsp:rsid wsp:val=&quot;009D151E&quot;/&gt;&lt;wsp:rsid wsp:val=&quot;009D15F8&quot;/&gt;&lt;wsp:rsid wsp:val=&quot;009D1745&quot;/&gt;&lt;wsp:rsid wsp:val=&quot;009D1B62&quot;/&gt;&lt;wsp:rsid wsp:val=&quot;009D1C06&quot;/&gt;&lt;wsp:rsid wsp:val=&quot;009D1C4E&quot;/&gt;&lt;wsp:rsid wsp:val=&quot;009D1EF1&quot;/&gt;&lt;wsp:rsid wsp:val=&quot;009D2187&quot;/&gt;&lt;wsp:rsid wsp:val=&quot;009D21BA&quot;/&gt;&lt;wsp:rsid wsp:val=&quot;009D2A7E&quot;/&gt;&lt;wsp:rsid wsp:val=&quot;009D2B6E&quot;/&gt;&lt;wsp:rsid wsp:val=&quot;009D2F61&quot;/&gt;&lt;wsp:rsid wsp:val=&quot;009D31DD&quot;/&gt;&lt;wsp:rsid wsp:val=&quot;009D32CC&quot;/&gt;&lt;wsp:rsid wsp:val=&quot;009D35CD&quot;/&gt;&lt;wsp:rsid wsp:val=&quot;009D37C1&quot;/&gt;&lt;wsp:rsid wsp:val=&quot;009D3A17&quot;/&gt;&lt;wsp:rsid wsp:val=&quot;009D3B06&quot;/&gt;&lt;wsp:rsid wsp:val=&quot;009D3BCE&quot;/&gt;&lt;wsp:rsid wsp:val=&quot;009D3E2B&quot;/&gt;&lt;wsp:rsid wsp:val=&quot;009D3F6E&quot;/&gt;&lt;wsp:rsid wsp:val=&quot;009D4132&quot;/&gt;&lt;wsp:rsid wsp:val=&quot;009D41CC&quot;/&gt;&lt;wsp:rsid wsp:val=&quot;009D4347&quot;/&gt;&lt;wsp:rsid wsp:val=&quot;009D4359&quot;/&gt;&lt;wsp:rsid wsp:val=&quot;009D45CC&quot;/&gt;&lt;wsp:rsid wsp:val=&quot;009D488B&quot;/&gt;&lt;wsp:rsid wsp:val=&quot;009D494D&quot;/&gt;&lt;wsp:rsid wsp:val=&quot;009D4C88&quot;/&gt;&lt;wsp:rsid wsp:val=&quot;009D4CAB&quot;/&gt;&lt;wsp:rsid wsp:val=&quot;009D4CEE&quot;/&gt;&lt;wsp:rsid wsp:val=&quot;009D50DF&quot;/&gt;&lt;wsp:rsid wsp:val=&quot;009D534E&quot;/&gt;&lt;wsp:rsid wsp:val=&quot;009D53C9&quot;/&gt;&lt;wsp:rsid wsp:val=&quot;009D556A&quot;/&gt;&lt;wsp:rsid wsp:val=&quot;009D6016&quot;/&gt;&lt;wsp:rsid wsp:val=&quot;009D667C&quot;/&gt;&lt;wsp:rsid wsp:val=&quot;009D6A12&quot;/&gt;&lt;wsp:rsid wsp:val=&quot;009D6A49&quot;/&gt;&lt;wsp:rsid wsp:val=&quot;009D6B23&quot;/&gt;&lt;wsp:rsid wsp:val=&quot;009D6B2B&quot;/&gt;&lt;wsp:rsid wsp:val=&quot;009D6CA6&quot;/&gt;&lt;wsp:rsid wsp:val=&quot;009D6FB0&quot;/&gt;&lt;wsp:rsid wsp:val=&quot;009D7403&quot;/&gt;&lt;wsp:rsid wsp:val=&quot;009D757F&quot;/&gt;&lt;wsp:rsid wsp:val=&quot;009D7960&quot;/&gt;&lt;wsp:rsid wsp:val=&quot;009D7C43&quot;/&gt;&lt;wsp:rsid wsp:val=&quot;009D7EAD&quot;/&gt;&lt;wsp:rsid wsp:val=&quot;009E003A&quot;/&gt;&lt;wsp:rsid wsp:val=&quot;009E00CE&quot;/&gt;&lt;wsp:rsid wsp:val=&quot;009E0216&quot;/&gt;&lt;wsp:rsid wsp:val=&quot;009E038B&quot;/&gt;&lt;wsp:rsid wsp:val=&quot;009E06BD&quot;/&gt;&lt;wsp:rsid wsp:val=&quot;009E0B03&quot;/&gt;&lt;wsp:rsid wsp:val=&quot;009E0BDB&quot;/&gt;&lt;wsp:rsid wsp:val=&quot;009E0CCA&quot;/&gt;&lt;wsp:rsid wsp:val=&quot;009E0DF8&quot;/&gt;&lt;wsp:rsid wsp:val=&quot;009E1247&quot;/&gt;&lt;wsp:rsid wsp:val=&quot;009E17B3&quot;/&gt;&lt;wsp:rsid wsp:val=&quot;009E1BD1&quot;/&gt;&lt;wsp:rsid wsp:val=&quot;009E20DE&quot;/&gt;&lt;wsp:rsid wsp:val=&quot;009E21F7&quot;/&gt;&lt;wsp:rsid wsp:val=&quot;009E2754&quot;/&gt;&lt;wsp:rsid wsp:val=&quot;009E2AF9&quot;/&gt;&lt;wsp:rsid wsp:val=&quot;009E2B5F&quot;/&gt;&lt;wsp:rsid wsp:val=&quot;009E2BD6&quot;/&gt;&lt;wsp:rsid wsp:val=&quot;009E2E35&quot;/&gt;&lt;wsp:rsid wsp:val=&quot;009E3478&quot;/&gt;&lt;wsp:rsid wsp:val=&quot;009E3CB1&quot;/&gt;&lt;wsp:rsid wsp:val=&quot;009E3D39&quot;/&gt;&lt;wsp:rsid wsp:val=&quot;009E42E8&quot;/&gt;&lt;wsp:rsid wsp:val=&quot;009E46F7&quot;/&gt;&lt;wsp:rsid wsp:val=&quot;009E49E2&quot;/&gt;&lt;wsp:rsid wsp:val=&quot;009E5131&quot;/&gt;&lt;wsp:rsid wsp:val=&quot;009E5717&quot;/&gt;&lt;wsp:rsid wsp:val=&quot;009E58FB&quot;/&gt;&lt;wsp:rsid wsp:val=&quot;009E5913&quot;/&gt;&lt;wsp:rsid wsp:val=&quot;009E59F0&quot;/&gt;&lt;wsp:rsid wsp:val=&quot;009E5A61&quot;/&gt;&lt;wsp:rsid wsp:val=&quot;009E5BFD&quot;/&gt;&lt;wsp:rsid wsp:val=&quot;009E5D53&quot;/&gt;&lt;wsp:rsid wsp:val=&quot;009E5EBD&quot;/&gt;&lt;wsp:rsid wsp:val=&quot;009E5FB3&quot;/&gt;&lt;wsp:rsid wsp:val=&quot;009E60EE&quot;/&gt;&lt;wsp:rsid wsp:val=&quot;009E624B&quot;/&gt;&lt;wsp:rsid wsp:val=&quot;009E62A1&quot;/&gt;&lt;wsp:rsid wsp:val=&quot;009E64CA&quot;/&gt;&lt;wsp:rsid wsp:val=&quot;009E6549&quot;/&gt;&lt;wsp:rsid wsp:val=&quot;009E6C07&quot;/&gt;&lt;wsp:rsid wsp:val=&quot;009E6DCE&quot;/&gt;&lt;wsp:rsid wsp:val=&quot;009E6EA3&quot;/&gt;&lt;wsp:rsid wsp:val=&quot;009E7037&quot;/&gt;&lt;wsp:rsid wsp:val=&quot;009E796C&quot;/&gt;&lt;wsp:rsid wsp:val=&quot;009E799F&quot;/&gt;&lt;wsp:rsid wsp:val=&quot;009E7A2E&quot;/&gt;&lt;wsp:rsid wsp:val=&quot;009E7F59&quot;/&gt;&lt;wsp:rsid wsp:val=&quot;009E7FB8&quot;/&gt;&lt;wsp:rsid wsp:val=&quot;009F0105&quot;/&gt;&lt;wsp:rsid wsp:val=&quot;009F0322&quot;/&gt;&lt;wsp:rsid wsp:val=&quot;009F12A3&quot;/&gt;&lt;wsp:rsid wsp:val=&quot;009F140F&quot;/&gt;&lt;wsp:rsid wsp:val=&quot;009F1445&quot;/&gt;&lt;wsp:rsid wsp:val=&quot;009F159B&quot;/&gt;&lt;wsp:rsid wsp:val=&quot;009F1786&quot;/&gt;&lt;wsp:rsid wsp:val=&quot;009F197F&quot;/&gt;&lt;wsp:rsid wsp:val=&quot;009F1B67&quot;/&gt;&lt;wsp:rsid wsp:val=&quot;009F1D81&quot;/&gt;&lt;wsp:rsid wsp:val=&quot;009F1DA8&quot;/&gt;&lt;wsp:rsid wsp:val=&quot;009F2301&quot;/&gt;&lt;wsp:rsid wsp:val=&quot;009F2374&quot;/&gt;&lt;wsp:rsid wsp:val=&quot;009F2EDC&quot;/&gt;&lt;wsp:rsid wsp:val=&quot;009F37A9&quot;/&gt;&lt;wsp:rsid wsp:val=&quot;009F3A42&quot;/&gt;&lt;wsp:rsid wsp:val=&quot;009F3DE8&quot;/&gt;&lt;wsp:rsid wsp:val=&quot;009F3F5E&quot;/&gt;&lt;wsp:rsid wsp:val=&quot;009F3F65&quot;/&gt;&lt;wsp:rsid wsp:val=&quot;009F449A&quot;/&gt;&lt;wsp:rsid wsp:val=&quot;009F46DB&quot;/&gt;&lt;wsp:rsid wsp:val=&quot;009F4D92&quot;/&gt;&lt;wsp:rsid wsp:val=&quot;009F4E37&quot;/&gt;&lt;wsp:rsid wsp:val=&quot;009F5271&quot;/&gt;&lt;wsp:rsid wsp:val=&quot;009F5563&quot;/&gt;&lt;wsp:rsid wsp:val=&quot;009F5954&quot;/&gt;&lt;wsp:rsid wsp:val=&quot;009F5B93&quot;/&gt;&lt;wsp:rsid wsp:val=&quot;009F5BE0&quot;/&gt;&lt;wsp:rsid wsp:val=&quot;009F5D80&quot;/&gt;&lt;wsp:rsid wsp:val=&quot;009F5E39&quot;/&gt;&lt;wsp:rsid wsp:val=&quot;009F60BD&quot;/&gt;&lt;wsp:rsid wsp:val=&quot;009F630A&quot;/&gt;&lt;wsp:rsid wsp:val=&quot;009F635B&quot;/&gt;&lt;wsp:rsid wsp:val=&quot;009F64A0&quot;/&gt;&lt;wsp:rsid wsp:val=&quot;009F6595&quot;/&gt;&lt;wsp:rsid wsp:val=&quot;009F668C&quot;/&gt;&lt;wsp:rsid wsp:val=&quot;009F67F0&quot;/&gt;&lt;wsp:rsid wsp:val=&quot;009F69E2&quot;/&gt;&lt;wsp:rsid wsp:val=&quot;009F6D8D&quot;/&gt;&lt;wsp:rsid wsp:val=&quot;009F6D94&quot;/&gt;&lt;wsp:rsid wsp:val=&quot;009F7B85&quot;/&gt;&lt;wsp:rsid wsp:val=&quot;00A000EA&quot;/&gt;&lt;wsp:rsid wsp:val=&quot;00A004A3&quot;/&gt;&lt;wsp:rsid wsp:val=&quot;00A006D8&quot;/&gt;&lt;wsp:rsid wsp:val=&quot;00A00BAC&quot;/&gt;&lt;wsp:rsid wsp:val=&quot;00A011CC&quot;/&gt;&lt;wsp:rsid wsp:val=&quot;00A01245&quot;/&gt;&lt;wsp:rsid wsp:val=&quot;00A01443&quot;/&gt;&lt;wsp:rsid wsp:val=&quot;00A01471&quot;/&gt;&lt;wsp:rsid wsp:val=&quot;00A014A0&quot;/&gt;&lt;wsp:rsid wsp:val=&quot;00A0167E&quot;/&gt;&lt;wsp:rsid wsp:val=&quot;00A01687&quot;/&gt;&lt;wsp:rsid wsp:val=&quot;00A01723&quot;/&gt;&lt;wsp:rsid wsp:val=&quot;00A018A2&quot;/&gt;&lt;wsp:rsid wsp:val=&quot;00A01B2E&quot;/&gt;&lt;wsp:rsid wsp:val=&quot;00A02267&quot;/&gt;&lt;wsp:rsid wsp:val=&quot;00A02385&quot;/&gt;&lt;wsp:rsid wsp:val=&quot;00A0251F&quot;/&gt;&lt;wsp:rsid wsp:val=&quot;00A028B3&quot;/&gt;&lt;wsp:rsid wsp:val=&quot;00A0297D&quot;/&gt;&lt;wsp:rsid wsp:val=&quot;00A029EE&quot;/&gt;&lt;wsp:rsid wsp:val=&quot;00A02BBF&quot;/&gt;&lt;wsp:rsid wsp:val=&quot;00A02ECB&quot;/&gt;&lt;wsp:rsid wsp:val=&quot;00A030B6&quot;/&gt;&lt;wsp:rsid wsp:val=&quot;00A03192&quot;/&gt;&lt;wsp:rsid wsp:val=&quot;00A036AB&quot;/&gt;&lt;wsp:rsid wsp:val=&quot;00A03C7F&quot;/&gt;&lt;wsp:rsid wsp:val=&quot;00A03DEF&quot;/&gt;&lt;wsp:rsid wsp:val=&quot;00A0408E&quot;/&gt;&lt;wsp:rsid wsp:val=&quot;00A040E5&quot;/&gt;&lt;wsp:rsid wsp:val=&quot;00A04134&quot;/&gt;&lt;wsp:rsid wsp:val=&quot;00A04966&quot;/&gt;&lt;wsp:rsid wsp:val=&quot;00A04F85&quot;/&gt;&lt;wsp:rsid wsp:val=&quot;00A054A1&quot;/&gt;&lt;wsp:rsid wsp:val=&quot;00A05687&quot;/&gt;&lt;wsp:rsid wsp:val=&quot;00A05B3F&quot;/&gt;&lt;wsp:rsid wsp:val=&quot;00A05F7A&quot;/&gt;&lt;wsp:rsid wsp:val=&quot;00A06006&quot;/&gt;&lt;wsp:rsid wsp:val=&quot;00A062BC&quot;/&gt;&lt;wsp:rsid wsp:val=&quot;00A064D4&quot;/&gt;&lt;wsp:rsid wsp:val=&quot;00A06664&quot;/&gt;&lt;wsp:rsid wsp:val=&quot;00A06795&quot;/&gt;&lt;wsp:rsid wsp:val=&quot;00A067DB&quot;/&gt;&lt;wsp:rsid wsp:val=&quot;00A06A68&quot;/&gt;&lt;wsp:rsid wsp:val=&quot;00A06BF4&quot;/&gt;&lt;wsp:rsid wsp:val=&quot;00A06CDE&quot;/&gt;&lt;wsp:rsid wsp:val=&quot;00A06D41&quot;/&gt;&lt;wsp:rsid wsp:val=&quot;00A06E78&quot;/&gt;&lt;wsp:rsid wsp:val=&quot;00A06F64&quot;/&gt;&lt;wsp:rsid wsp:val=&quot;00A070F3&quot;/&gt;&lt;wsp:rsid wsp:val=&quot;00A0712B&quot;/&gt;&lt;wsp:rsid wsp:val=&quot;00A07414&quot;/&gt;&lt;wsp:rsid wsp:val=&quot;00A075F8&quot;/&gt;&lt;wsp:rsid wsp:val=&quot;00A076F5&quot;/&gt;&lt;wsp:rsid wsp:val=&quot;00A079DC&quot;/&gt;&lt;wsp:rsid wsp:val=&quot;00A07ACE&quot;/&gt;&lt;wsp:rsid wsp:val=&quot;00A07FC2&quot;/&gt;&lt;wsp:rsid wsp:val=&quot;00A07FCD&quot;/&gt;&lt;wsp:rsid wsp:val=&quot;00A104AF&quot;/&gt;&lt;wsp:rsid wsp:val=&quot;00A106AA&quot;/&gt;&lt;wsp:rsid wsp:val=&quot;00A1096F&quot;/&gt;&lt;wsp:rsid wsp:val=&quot;00A10AE7&quot;/&gt;&lt;wsp:rsid wsp:val=&quot;00A11509&quot;/&gt;&lt;wsp:rsid wsp:val=&quot;00A115FB&quot;/&gt;&lt;wsp:rsid wsp:val=&quot;00A119A7&quot;/&gt;&lt;wsp:rsid wsp:val=&quot;00A11DE4&quot;/&gt;&lt;wsp:rsid wsp:val=&quot;00A11EA0&quot;/&gt;&lt;wsp:rsid wsp:val=&quot;00A120C3&quot;/&gt;&lt;wsp:rsid wsp:val=&quot;00A1219F&quot;/&gt;&lt;wsp:rsid wsp:val=&quot;00A121EC&quot;/&gt;&lt;wsp:rsid wsp:val=&quot;00A122E1&quot;/&gt;&lt;wsp:rsid wsp:val=&quot;00A12446&quot;/&gt;&lt;wsp:rsid wsp:val=&quot;00A12896&quot;/&gt;&lt;wsp:rsid wsp:val=&quot;00A12C1C&quot;/&gt;&lt;wsp:rsid wsp:val=&quot;00A12E67&quot;/&gt;&lt;wsp:rsid wsp:val=&quot;00A12FD6&quot;/&gt;&lt;wsp:rsid wsp:val=&quot;00A136E3&quot;/&gt;&lt;wsp:rsid wsp:val=&quot;00A13851&quot;/&gt;&lt;wsp:rsid wsp:val=&quot;00A13AAF&quot;/&gt;&lt;wsp:rsid wsp:val=&quot;00A142B0&quot;/&gt;&lt;wsp:rsid wsp:val=&quot;00A1431E&quot;/&gt;&lt;wsp:rsid wsp:val=&quot;00A147A1&quot;/&gt;&lt;wsp:rsid wsp:val=&quot;00A14F53&quot;/&gt;&lt;wsp:rsid wsp:val=&quot;00A150D0&quot;/&gt;&lt;wsp:rsid wsp:val=&quot;00A153A6&quot;/&gt;&lt;wsp:rsid wsp:val=&quot;00A15865&quot;/&gt;&lt;wsp:rsid wsp:val=&quot;00A15D9D&quot;/&gt;&lt;wsp:rsid wsp:val=&quot;00A16018&quot;/&gt;&lt;wsp:rsid wsp:val=&quot;00A1622D&quot;/&gt;&lt;wsp:rsid wsp:val=&quot;00A16808&quot;/&gt;&lt;wsp:rsid wsp:val=&quot;00A16BB9&quot;/&gt;&lt;wsp:rsid wsp:val=&quot;00A16BC5&quot;/&gt;&lt;wsp:rsid wsp:val=&quot;00A17111&quot;/&gt;&lt;wsp:rsid wsp:val=&quot;00A1760D&quot;/&gt;&lt;wsp:rsid wsp:val=&quot;00A17740&quot;/&gt;&lt;wsp:rsid wsp:val=&quot;00A17BC1&quot;/&gt;&lt;wsp:rsid wsp:val=&quot;00A17C5B&quot;/&gt;&lt;wsp:rsid wsp:val=&quot;00A17F92&quot;/&gt;&lt;wsp:rsid wsp:val=&quot;00A20072&quot;/&gt;&lt;wsp:rsid wsp:val=&quot;00A205BF&quot;/&gt;&lt;wsp:rsid wsp:val=&quot;00A20733&quot;/&gt;&lt;wsp:rsid wsp:val=&quot;00A20A1A&quot;/&gt;&lt;wsp:rsid wsp:val=&quot;00A20AEE&quot;/&gt;&lt;wsp:rsid wsp:val=&quot;00A20D77&quot;/&gt;&lt;wsp:rsid wsp:val=&quot;00A214E8&quot;/&gt;&lt;wsp:rsid wsp:val=&quot;00A2183E&quot;/&gt;&lt;wsp:rsid wsp:val=&quot;00A218CA&quot;/&gt;&lt;wsp:rsid wsp:val=&quot;00A21F64&quot;/&gt;&lt;wsp:rsid wsp:val=&quot;00A225BE&quot;/&gt;&lt;wsp:rsid wsp:val=&quot;00A2271F&quot;/&gt;&lt;wsp:rsid wsp:val=&quot;00A22B12&quot;/&gt;&lt;wsp:rsid wsp:val=&quot;00A22B17&quot;/&gt;&lt;wsp:rsid wsp:val=&quot;00A22EBB&quot;/&gt;&lt;wsp:rsid wsp:val=&quot;00A22F1E&quot;/&gt;&lt;wsp:rsid wsp:val=&quot;00A22F45&quot;/&gt;&lt;wsp:rsid wsp:val=&quot;00A2304A&quot;/&gt;&lt;wsp:rsid wsp:val=&quot;00A231BA&quot;/&gt;&lt;wsp:rsid wsp:val=&quot;00A231D0&quot;/&gt;&lt;wsp:rsid wsp:val=&quot;00A2328C&quot;/&gt;&lt;wsp:rsid wsp:val=&quot;00A233B6&quot;/&gt;&lt;wsp:rsid wsp:val=&quot;00A2353F&quot;/&gt;&lt;wsp:rsid wsp:val=&quot;00A23816&quot;/&gt;&lt;wsp:rsid wsp:val=&quot;00A23A87&quot;/&gt;&lt;wsp:rsid wsp:val=&quot;00A23BBB&quot;/&gt;&lt;wsp:rsid wsp:val=&quot;00A23EDE&quot;/&gt;&lt;wsp:rsid wsp:val=&quot;00A24295&quot;/&gt;&lt;wsp:rsid wsp:val=&quot;00A2431E&quot;/&gt;&lt;wsp:rsid wsp:val=&quot;00A2439C&quot;/&gt;&lt;wsp:rsid wsp:val=&quot;00A24469&quot;/&gt;&lt;wsp:rsid wsp:val=&quot;00A244AF&quot;/&gt;&lt;wsp:rsid wsp:val=&quot;00A2457A&quot;/&gt;&lt;wsp:rsid wsp:val=&quot;00A248B6&quot;/&gt;&lt;wsp:rsid wsp:val=&quot;00A24A37&quot;/&gt;&lt;wsp:rsid wsp:val=&quot;00A24A6B&quot;/&gt;&lt;wsp:rsid wsp:val=&quot;00A24C05&quot;/&gt;&lt;wsp:rsid wsp:val=&quot;00A24E0D&quot;/&gt;&lt;wsp:rsid wsp:val=&quot;00A250F4&quot;/&gt;&lt;wsp:rsid wsp:val=&quot;00A2549F&quot;/&gt;&lt;wsp:rsid wsp:val=&quot;00A25E35&quot;/&gt;&lt;wsp:rsid wsp:val=&quot;00A25F02&quot;/&gt;&lt;wsp:rsid wsp:val=&quot;00A26542&quot;/&gt;&lt;wsp:rsid wsp:val=&quot;00A267F8&quot;/&gt;&lt;wsp:rsid wsp:val=&quot;00A26871&quot;/&gt;&lt;wsp:rsid wsp:val=&quot;00A26950&quot;/&gt;&lt;wsp:rsid wsp:val=&quot;00A26D2F&quot;/&gt;&lt;wsp:rsid wsp:val=&quot;00A271B8&quot;/&gt;&lt;wsp:rsid wsp:val=&quot;00A2728E&quot;/&gt;&lt;wsp:rsid wsp:val=&quot;00A272FC&quot;/&gt;&lt;wsp:rsid wsp:val=&quot;00A279FE&quot;/&gt;&lt;wsp:rsid wsp:val=&quot;00A27D72&quot;/&gt;&lt;wsp:rsid wsp:val=&quot;00A27FF1&quot;/&gt;&lt;wsp:rsid wsp:val=&quot;00A3034F&quot;/&gt;&lt;wsp:rsid wsp:val=&quot;00A30538&quot;/&gt;&lt;wsp:rsid wsp:val=&quot;00A30A8B&quot;/&gt;&lt;wsp:rsid wsp:val=&quot;00A30C4B&quot;/&gt;&lt;wsp:rsid wsp:val=&quot;00A30DDB&quot;/&gt;&lt;wsp:rsid wsp:val=&quot;00A30F3D&quot;/&gt;&lt;wsp:rsid wsp:val=&quot;00A30FF3&quot;/&gt;&lt;wsp:rsid wsp:val=&quot;00A31151&quot;/&gt;&lt;wsp:rsid wsp:val=&quot;00A315C0&quot;/&gt;&lt;wsp:rsid wsp:val=&quot;00A31728&quot;/&gt;&lt;wsp:rsid wsp:val=&quot;00A317D6&quot;/&gt;&lt;wsp:rsid wsp:val=&quot;00A31830&quot;/&gt;&lt;wsp:rsid wsp:val=&quot;00A318CD&quot;/&gt;&lt;wsp:rsid wsp:val=&quot;00A31970&quot;/&gt;&lt;wsp:rsid wsp:val=&quot;00A31A6D&quot;/&gt;&lt;wsp:rsid wsp:val=&quot;00A31AF3&quot;/&gt;&lt;wsp:rsid wsp:val=&quot;00A31E1F&quot;/&gt;&lt;wsp:rsid wsp:val=&quot;00A3210F&quot;/&gt;&lt;wsp:rsid wsp:val=&quot;00A32309&quot;/&gt;&lt;wsp:rsid wsp:val=&quot;00A32710&quot;/&gt;&lt;wsp:rsid wsp:val=&quot;00A3276B&quot;/&gt;&lt;wsp:rsid wsp:val=&quot;00A32874&quot;/&gt;&lt;wsp:rsid wsp:val=&quot;00A32CD0&quot;/&gt;&lt;wsp:rsid wsp:val=&quot;00A32D33&quot;/&gt;&lt;wsp:rsid wsp:val=&quot;00A3305A&quot;/&gt;&lt;wsp:rsid wsp:val=&quot;00A331EC&quot;/&gt;&lt;wsp:rsid wsp:val=&quot;00A332A6&quot;/&gt;&lt;wsp:rsid wsp:val=&quot;00A3330D&quot;/&gt;&lt;wsp:rsid wsp:val=&quot;00A334A6&quot;/&gt;&lt;wsp:rsid wsp:val=&quot;00A334C0&quot;/&gt;&lt;wsp:rsid wsp:val=&quot;00A3361E&quot;/&gt;&lt;wsp:rsid wsp:val=&quot;00A337BE&quot;/&gt;&lt;wsp:rsid wsp:val=&quot;00A33996&quot;/&gt;&lt;wsp:rsid wsp:val=&quot;00A33B11&quot;/&gt;&lt;wsp:rsid wsp:val=&quot;00A33BCE&quot;/&gt;&lt;wsp:rsid wsp:val=&quot;00A33C5A&quot;/&gt;&lt;wsp:rsid wsp:val=&quot;00A33C6F&quot;/&gt;&lt;wsp:rsid wsp:val=&quot;00A33C9D&quot;/&gt;&lt;wsp:rsid wsp:val=&quot;00A34261&quot;/&gt;&lt;wsp:rsid wsp:val=&quot;00A345C8&quot;/&gt;&lt;wsp:rsid wsp:val=&quot;00A349D1&quot;/&gt;&lt;wsp:rsid wsp:val=&quot;00A34BD7&quot;/&gt;&lt;wsp:rsid wsp:val=&quot;00A34FD3&quot;/&gt;&lt;wsp:rsid wsp:val=&quot;00A35017&quot;/&gt;&lt;wsp:rsid wsp:val=&quot;00A350B5&quot;/&gt;&lt;wsp:rsid wsp:val=&quot;00A35144&quot;/&gt;&lt;wsp:rsid wsp:val=&quot;00A35191&quot;/&gt;&lt;wsp:rsid wsp:val=&quot;00A3524A&quot;/&gt;&lt;wsp:rsid wsp:val=&quot;00A35446&quot;/&gt;&lt;wsp:rsid wsp:val=&quot;00A3565A&quot;/&gt;&lt;wsp:rsid wsp:val=&quot;00A3582F&quot;/&gt;&lt;wsp:rsid wsp:val=&quot;00A3588A&quot;/&gt;&lt;wsp:rsid wsp:val=&quot;00A35D3F&quot;/&gt;&lt;wsp:rsid wsp:val=&quot;00A362DB&quot;/&gt;&lt;wsp:rsid wsp:val=&quot;00A36CC4&quot;/&gt;&lt;wsp:rsid wsp:val=&quot;00A36E3E&quot;/&gt;&lt;wsp:rsid wsp:val=&quot;00A36E68&quot;/&gt;&lt;wsp:rsid wsp:val=&quot;00A370AA&quot;/&gt;&lt;wsp:rsid wsp:val=&quot;00A3741A&quot;/&gt;&lt;wsp:rsid wsp:val=&quot;00A377EC&quot;/&gt;&lt;wsp:rsid wsp:val=&quot;00A37B56&quot;/&gt;&lt;wsp:rsid wsp:val=&quot;00A37D2B&quot;/&gt;&lt;wsp:rsid wsp:val=&quot;00A37D6F&quot;/&gt;&lt;wsp:rsid wsp:val=&quot;00A37DDD&quot;/&gt;&lt;wsp:rsid wsp:val=&quot;00A37F4E&quot;/&gt;&lt;wsp:rsid wsp:val=&quot;00A409DE&quot;/&gt;&lt;wsp:rsid wsp:val=&quot;00A40BCE&quot;/&gt;&lt;wsp:rsid wsp:val=&quot;00A40BFC&quot;/&gt;&lt;wsp:rsid wsp:val=&quot;00A40D21&quot;/&gt;&lt;wsp:rsid wsp:val=&quot;00A40F7F&quot;/&gt;&lt;wsp:rsid wsp:val=&quot;00A410FB&quot;/&gt;&lt;wsp:rsid wsp:val=&quot;00A418E4&quot;/&gt;&lt;wsp:rsid wsp:val=&quot;00A419B2&quot;/&gt;&lt;wsp:rsid wsp:val=&quot;00A419ED&quot;/&gt;&lt;wsp:rsid wsp:val=&quot;00A41CAD&quot;/&gt;&lt;wsp:rsid wsp:val=&quot;00A41E81&quot;/&gt;&lt;wsp:rsid wsp:val=&quot;00A420F4&quot;/&gt;&lt;wsp:rsid wsp:val=&quot;00A42101&quot;/&gt;&lt;wsp:rsid wsp:val=&quot;00A4213D&quot;/&gt;&lt;wsp:rsid wsp:val=&quot;00A4223B&quot;/&gt;&lt;wsp:rsid wsp:val=&quot;00A42293&quot;/&gt;&lt;wsp:rsid wsp:val=&quot;00A42341&quot;/&gt;&lt;wsp:rsid wsp:val=&quot;00A42474&quot;/&gt;&lt;wsp:rsid wsp:val=&quot;00A4264B&quot;/&gt;&lt;wsp:rsid wsp:val=&quot;00A42727&quot;/&gt;&lt;wsp:rsid wsp:val=&quot;00A429C5&quot;/&gt;&lt;wsp:rsid wsp:val=&quot;00A42A52&quot;/&gt;&lt;wsp:rsid wsp:val=&quot;00A42D03&quot;/&gt;&lt;wsp:rsid wsp:val=&quot;00A432AB&quot;/&gt;&lt;wsp:rsid wsp:val=&quot;00A43343&quot;/&gt;&lt;wsp:rsid wsp:val=&quot;00A433D1&quot;/&gt;&lt;wsp:rsid wsp:val=&quot;00A43919&quot;/&gt;&lt;wsp:rsid wsp:val=&quot;00A43A6F&quot;/&gt;&lt;wsp:rsid wsp:val=&quot;00A43ACB&quot;/&gt;&lt;wsp:rsid wsp:val=&quot;00A44048&quot;/&gt;&lt;wsp:rsid wsp:val=&quot;00A446BA&quot;/&gt;&lt;wsp:rsid wsp:val=&quot;00A448C8&quot;/&gt;&lt;wsp:rsid wsp:val=&quot;00A44CBA&quot;/&gt;&lt;wsp:rsid wsp:val=&quot;00A44F75&quot;/&gt;&lt;wsp:rsid wsp:val=&quot;00A44FF9&quot;/&gt;&lt;wsp:rsid wsp:val=&quot;00A4517D&quot;/&gt;&lt;wsp:rsid wsp:val=&quot;00A45311&quot;/&gt;&lt;wsp:rsid wsp:val=&quot;00A45394&quot;/&gt;&lt;wsp:rsid wsp:val=&quot;00A4566B&quot;/&gt;&lt;wsp:rsid wsp:val=&quot;00A4567E&quot;/&gt;&lt;wsp:rsid wsp:val=&quot;00A4574C&quot;/&gt;&lt;wsp:rsid wsp:val=&quot;00A45865&quot;/&gt;&lt;wsp:rsid wsp:val=&quot;00A45D3B&quot;/&gt;&lt;wsp:rsid wsp:val=&quot;00A46005&quot;/&gt;&lt;wsp:rsid wsp:val=&quot;00A46584&quot;/&gt;&lt;wsp:rsid wsp:val=&quot;00A46680&quot;/&gt;&lt;wsp:rsid wsp:val=&quot;00A466F4&quot;/&gt;&lt;wsp:rsid wsp:val=&quot;00A468B9&quot;/&gt;&lt;wsp:rsid wsp:val=&quot;00A470DA&quot;/&gt;&lt;wsp:rsid wsp:val=&quot;00A474A0&quot;/&gt;&lt;wsp:rsid wsp:val=&quot;00A4767B&quot;/&gt;&lt;wsp:rsid wsp:val=&quot;00A4767C&quot;/&gt;&lt;wsp:rsid wsp:val=&quot;00A477CC&quot;/&gt;&lt;wsp:rsid wsp:val=&quot;00A4783B&quot;/&gt;&lt;wsp:rsid wsp:val=&quot;00A478DF&quot;/&gt;&lt;wsp:rsid wsp:val=&quot;00A47E27&quot;/&gt;&lt;wsp:rsid wsp:val=&quot;00A47E31&quot;/&gt;&lt;wsp:rsid wsp:val=&quot;00A47EE6&quot;/&gt;&lt;wsp:rsid wsp:val=&quot;00A5024A&quot;/&gt;&lt;wsp:rsid wsp:val=&quot;00A502A4&quot;/&gt;&lt;wsp:rsid wsp:val=&quot;00A5062E&quot;/&gt;&lt;wsp:rsid wsp:val=&quot;00A5063E&quot;/&gt;&lt;wsp:rsid wsp:val=&quot;00A50765&quot;/&gt;&lt;wsp:rsid wsp:val=&quot;00A507D1&quot;/&gt;&lt;wsp:rsid wsp:val=&quot;00A5098B&quot;/&gt;&lt;wsp:rsid wsp:val=&quot;00A509A3&quot;/&gt;&lt;wsp:rsid wsp:val=&quot;00A50C32&quot;/&gt;&lt;wsp:rsid wsp:val=&quot;00A50EA4&quot;/&gt;&lt;wsp:rsid wsp:val=&quot;00A50ECC&quot;/&gt;&lt;wsp:rsid wsp:val=&quot;00A50F8E&quot;/&gt;&lt;wsp:rsid wsp:val=&quot;00A51A0B&quot;/&gt;&lt;wsp:rsid wsp:val=&quot;00A51AF6&quot;/&gt;&lt;wsp:rsid wsp:val=&quot;00A51CC3&quot;/&gt;&lt;wsp:rsid wsp:val=&quot;00A51EFC&quot;/&gt;&lt;wsp:rsid wsp:val=&quot;00A52096&quot;/&gt;&lt;wsp:rsid wsp:val=&quot;00A520B4&quot;/&gt;&lt;wsp:rsid wsp:val=&quot;00A522CB&quot;/&gt;&lt;wsp:rsid wsp:val=&quot;00A52680&quot;/&gt;&lt;wsp:rsid wsp:val=&quot;00A52789&quot;/&gt;&lt;wsp:rsid wsp:val=&quot;00A527BA&quot;/&gt;&lt;wsp:rsid wsp:val=&quot;00A52C3A&quot;/&gt;&lt;wsp:rsid wsp:val=&quot;00A52FD0&quot;/&gt;&lt;wsp:rsid wsp:val=&quot;00A530BD&quot;/&gt;&lt;wsp:rsid wsp:val=&quot;00A531FF&quot;/&gt;&lt;wsp:rsid wsp:val=&quot;00A53536&quot;/&gt;&lt;wsp:rsid wsp:val=&quot;00A536CE&quot;/&gt;&lt;wsp:rsid wsp:val=&quot;00A53A7A&quot;/&gt;&lt;wsp:rsid wsp:val=&quot;00A53C3C&quot;/&gt;&lt;wsp:rsid wsp:val=&quot;00A53E6F&quot;/&gt;&lt;wsp:rsid wsp:val=&quot;00A5457C&quot;/&gt;&lt;wsp:rsid wsp:val=&quot;00A54631&quot;/&gt;&lt;wsp:rsid wsp:val=&quot;00A548BA&quot;/&gt;&lt;wsp:rsid wsp:val=&quot;00A5497A&quot;/&gt;&lt;wsp:rsid wsp:val=&quot;00A54D5C&quot;/&gt;&lt;wsp:rsid wsp:val=&quot;00A54E17&quot;/&gt;&lt;wsp:rsid wsp:val=&quot;00A5525A&quot;/&gt;&lt;wsp:rsid wsp:val=&quot;00A553AA&quot;/&gt;&lt;wsp:rsid wsp:val=&quot;00A55474&quot;/&gt;&lt;wsp:rsid wsp:val=&quot;00A557F8&quot;/&gt;&lt;wsp:rsid wsp:val=&quot;00A559C3&quot;/&gt;&lt;wsp:rsid wsp:val=&quot;00A55C3C&quot;/&gt;&lt;wsp:rsid wsp:val=&quot;00A55EFC&quot;/&gt;&lt;wsp:rsid wsp:val=&quot;00A55F2A&quot;/&gt;&lt;wsp:rsid wsp:val=&quot;00A55FDF&quot;/&gt;&lt;wsp:rsid wsp:val=&quot;00A56A02&quot;/&gt;&lt;wsp:rsid wsp:val=&quot;00A56AE0&quot;/&gt;&lt;wsp:rsid wsp:val=&quot;00A56BFB&quot;/&gt;&lt;wsp:rsid wsp:val=&quot;00A56CFD&quot;/&gt;&lt;wsp:rsid wsp:val=&quot;00A56E29&quot;/&gt;&lt;wsp:rsid wsp:val=&quot;00A56F6F&quot;/&gt;&lt;wsp:rsid wsp:val=&quot;00A57178&quot;/&gt;&lt;wsp:rsid wsp:val=&quot;00A5751A&quot;/&gt;&lt;wsp:rsid wsp:val=&quot;00A57592&quot;/&gt;&lt;wsp:rsid wsp:val=&quot;00A577A4&quot;/&gt;&lt;wsp:rsid wsp:val=&quot;00A57A54&quot;/&gt;&lt;wsp:rsid wsp:val=&quot;00A57D39&quot;/&gt;&lt;wsp:rsid wsp:val=&quot;00A57D40&quot;/&gt;&lt;wsp:rsid wsp:val=&quot;00A60002&quot;/&gt;&lt;wsp:rsid wsp:val=&quot;00A601B9&quot;/&gt;&lt;wsp:rsid wsp:val=&quot;00A602CE&quot;/&gt;&lt;wsp:rsid wsp:val=&quot;00A603C7&quot;/&gt;&lt;wsp:rsid wsp:val=&quot;00A60822&quot;/&gt;&lt;wsp:rsid wsp:val=&quot;00A608E5&quot;/&gt;&lt;wsp:rsid wsp:val=&quot;00A60A5F&quot;/&gt;&lt;wsp:rsid wsp:val=&quot;00A60B6C&quot;/&gt;&lt;wsp:rsid wsp:val=&quot;00A60C4C&quot;/&gt;&lt;wsp:rsid wsp:val=&quot;00A60CB4&quot;/&gt;&lt;wsp:rsid wsp:val=&quot;00A60E02&quot;/&gt;&lt;wsp:rsid wsp:val=&quot;00A60E88&quot;/&gt;&lt;wsp:rsid wsp:val=&quot;00A612DC&quot;/&gt;&lt;wsp:rsid wsp:val=&quot;00A61D33&quot;/&gt;&lt;wsp:rsid wsp:val=&quot;00A61D8F&quot;/&gt;&lt;wsp:rsid wsp:val=&quot;00A62116&quot;/&gt;&lt;wsp:rsid wsp:val=&quot;00A623EF&quot;/&gt;&lt;wsp:rsid wsp:val=&quot;00A6298A&quot;/&gt;&lt;wsp:rsid wsp:val=&quot;00A629FE&quot;/&gt;&lt;wsp:rsid wsp:val=&quot;00A6308D&quot;/&gt;&lt;wsp:rsid wsp:val=&quot;00A6326C&quot;/&gt;&lt;wsp:rsid wsp:val=&quot;00A636FA&quot;/&gt;&lt;wsp:rsid wsp:val=&quot;00A63E2B&quot;/&gt;&lt;wsp:rsid wsp:val=&quot;00A640C2&quot;/&gt;&lt;wsp:rsid wsp:val=&quot;00A64101&quot;/&gt;&lt;wsp:rsid wsp:val=&quot;00A641AC&quot;/&gt;&lt;wsp:rsid wsp:val=&quot;00A64372&quot;/&gt;&lt;wsp:rsid wsp:val=&quot;00A643C9&quot;/&gt;&lt;wsp:rsid wsp:val=&quot;00A645F7&quot;/&gt;&lt;wsp:rsid wsp:val=&quot;00A64779&quot;/&gt;&lt;wsp:rsid wsp:val=&quot;00A64B6E&quot;/&gt;&lt;wsp:rsid wsp:val=&quot;00A64D2D&quot;/&gt;&lt;wsp:rsid wsp:val=&quot;00A64D9C&quot;/&gt;&lt;wsp:rsid wsp:val=&quot;00A65233&quot;/&gt;&lt;wsp:rsid wsp:val=&quot;00A653A3&quot;/&gt;&lt;wsp:rsid wsp:val=&quot;00A65492&quot;/&gt;&lt;wsp:rsid wsp:val=&quot;00A654E6&quot;/&gt;&lt;wsp:rsid wsp:val=&quot;00A65519&quot;/&gt;&lt;wsp:rsid wsp:val=&quot;00A65930&quot;/&gt;&lt;wsp:rsid wsp:val=&quot;00A65B0D&quot;/&gt;&lt;wsp:rsid wsp:val=&quot;00A65F26&quot;/&gt;&lt;wsp:rsid wsp:val=&quot;00A66144&quot;/&gt;&lt;wsp:rsid wsp:val=&quot;00A667C1&quot;/&gt;&lt;wsp:rsid wsp:val=&quot;00A6681D&quot;/&gt;&lt;wsp:rsid wsp:val=&quot;00A66904&quot;/&gt;&lt;wsp:rsid wsp:val=&quot;00A66AB7&quot;/&gt;&lt;wsp:rsid wsp:val=&quot;00A66D01&quot;/&gt;&lt;wsp:rsid wsp:val=&quot;00A66D93&quot;/&gt;&lt;wsp:rsid wsp:val=&quot;00A66E58&quot;/&gt;&lt;wsp:rsid wsp:val=&quot;00A67119&quot;/&gt;&lt;wsp:rsid wsp:val=&quot;00A671A7&quot;/&gt;&lt;wsp:rsid wsp:val=&quot;00A674F3&quot;/&gt;&lt;wsp:rsid wsp:val=&quot;00A67A51&quot;/&gt;&lt;wsp:rsid wsp:val=&quot;00A67EA7&quot;/&gt;&lt;wsp:rsid wsp:val=&quot;00A67F63&quot;/&gt;&lt;wsp:rsid wsp:val=&quot;00A700E2&quot;/&gt;&lt;wsp:rsid wsp:val=&quot;00A701F0&quot;/&gt;&lt;wsp:rsid wsp:val=&quot;00A706AB&quot;/&gt;&lt;wsp:rsid wsp:val=&quot;00A70834&quot;/&gt;&lt;wsp:rsid wsp:val=&quot;00A7099E&quot;/&gt;&lt;wsp:rsid wsp:val=&quot;00A70DEC&quot;/&gt;&lt;wsp:rsid wsp:val=&quot;00A70EC0&quot;/&gt;&lt;wsp:rsid wsp:val=&quot;00A70EF1&quot;/&gt;&lt;wsp:rsid wsp:val=&quot;00A70F89&quot;/&gt;&lt;wsp:rsid wsp:val=&quot;00A7101B&quot;/&gt;&lt;wsp:rsid wsp:val=&quot;00A712DC&quot;/&gt;&lt;wsp:rsid wsp:val=&quot;00A713A1&quot;/&gt;&lt;wsp:rsid wsp:val=&quot;00A713BE&quot;/&gt;&lt;wsp:rsid wsp:val=&quot;00A7151D&quot;/&gt;&lt;wsp:rsid wsp:val=&quot;00A71704&quot;/&gt;&lt;wsp:rsid wsp:val=&quot;00A71764&quot;/&gt;&lt;wsp:rsid wsp:val=&quot;00A71843&quot;/&gt;&lt;wsp:rsid wsp:val=&quot;00A71AA5&quot;/&gt;&lt;wsp:rsid wsp:val=&quot;00A71E06&quot;/&gt;&lt;wsp:rsid wsp:val=&quot;00A71E82&quot;/&gt;&lt;wsp:rsid wsp:val=&quot;00A71E86&quot;/&gt;&lt;wsp:rsid wsp:val=&quot;00A71F2E&quot;/&gt;&lt;wsp:rsid wsp:val=&quot;00A72AD5&quot;/&gt;&lt;wsp:rsid wsp:val=&quot;00A72B90&quot;/&gt;&lt;wsp:rsid wsp:val=&quot;00A72C06&quot;/&gt;&lt;wsp:rsid wsp:val=&quot;00A72DFF&quot;/&gt;&lt;wsp:rsid wsp:val=&quot;00A72E95&quot;/&gt;&lt;wsp:rsid wsp:val=&quot;00A72F47&quot;/&gt;&lt;wsp:rsid wsp:val=&quot;00A72FA4&quot;/&gt;&lt;wsp:rsid wsp:val=&quot;00A730F4&quot;/&gt;&lt;wsp:rsid wsp:val=&quot;00A73314&quot;/&gt;&lt;wsp:rsid wsp:val=&quot;00A7341F&quot;/&gt;&lt;wsp:rsid wsp:val=&quot;00A736A3&quot;/&gt;&lt;wsp:rsid wsp:val=&quot;00A73848&quot;/&gt;&lt;wsp:rsid wsp:val=&quot;00A73858&quot;/&gt;&lt;wsp:rsid wsp:val=&quot;00A73876&quot;/&gt;&lt;wsp:rsid wsp:val=&quot;00A74035&quot;/&gt;&lt;wsp:rsid wsp:val=&quot;00A7429B&quot;/&gt;&lt;wsp:rsid wsp:val=&quot;00A745C8&quot;/&gt;&lt;wsp:rsid wsp:val=&quot;00A74D4B&quot;/&gt;&lt;wsp:rsid wsp:val=&quot;00A750A6&quot;/&gt;&lt;wsp:rsid wsp:val=&quot;00A7548F&quot;/&gt;&lt;wsp:rsid wsp:val=&quot;00A756F3&quot;/&gt;&lt;wsp:rsid wsp:val=&quot;00A75A38&quot;/&gt;&lt;wsp:rsid wsp:val=&quot;00A75AB6&quot;/&gt;&lt;wsp:rsid wsp:val=&quot;00A75B1E&quot;/&gt;&lt;wsp:rsid wsp:val=&quot;00A75DCC&quot;/&gt;&lt;wsp:rsid wsp:val=&quot;00A75F7D&quot;/&gt;&lt;wsp:rsid wsp:val=&quot;00A76191&quot;/&gt;&lt;wsp:rsid wsp:val=&quot;00A7683B&quot;/&gt;&lt;wsp:rsid wsp:val=&quot;00A768E4&quot;/&gt;&lt;wsp:rsid wsp:val=&quot;00A76E8A&quot;/&gt;&lt;wsp:rsid wsp:val=&quot;00A76F1D&quot;/&gt;&lt;wsp:rsid wsp:val=&quot;00A7715D&quot;/&gt;&lt;wsp:rsid wsp:val=&quot;00A7726A&quot;/&gt;&lt;wsp:rsid wsp:val=&quot;00A773DF&quot;/&gt;&lt;wsp:rsid wsp:val=&quot;00A77557&quot;/&gt;&lt;wsp:rsid wsp:val=&quot;00A776E5&quot;/&gt;&lt;wsp:rsid wsp:val=&quot;00A778D4&quot;/&gt;&lt;wsp:rsid wsp:val=&quot;00A77C0F&quot;/&gt;&lt;wsp:rsid wsp:val=&quot;00A77CA5&quot;/&gt;&lt;wsp:rsid wsp:val=&quot;00A77E71&quot;/&gt;&lt;wsp:rsid wsp:val=&quot;00A8013D&quot;/&gt;&lt;wsp:rsid wsp:val=&quot;00A805EE&quot;/&gt;&lt;wsp:rsid wsp:val=&quot;00A8073C&quot;/&gt;&lt;wsp:rsid wsp:val=&quot;00A80982&quot;/&gt;&lt;wsp:rsid wsp:val=&quot;00A80B22&quot;/&gt;&lt;wsp:rsid wsp:val=&quot;00A80C45&quot;/&gt;&lt;wsp:rsid wsp:val=&quot;00A8116A&quot;/&gt;&lt;wsp:rsid wsp:val=&quot;00A81253&quot;/&gt;&lt;wsp:rsid wsp:val=&quot;00A81266&quot;/&gt;&lt;wsp:rsid wsp:val=&quot;00A81290&quot;/&gt;&lt;wsp:rsid wsp:val=&quot;00A81353&quot;/&gt;&lt;wsp:rsid wsp:val=&quot;00A81541&quot;/&gt;&lt;wsp:rsid wsp:val=&quot;00A815A9&quot;/&gt;&lt;wsp:rsid wsp:val=&quot;00A81A9C&quot;/&gt;&lt;wsp:rsid wsp:val=&quot;00A81D07&quot;/&gt;&lt;wsp:rsid wsp:val=&quot;00A81D43&quot;/&gt;&lt;wsp:rsid wsp:val=&quot;00A820B8&quot;/&gt;&lt;wsp:rsid wsp:val=&quot;00A82139&quot;/&gt;&lt;wsp:rsid wsp:val=&quot;00A82905&quot;/&gt;&lt;wsp:rsid wsp:val=&quot;00A82B16&quot;/&gt;&lt;wsp:rsid wsp:val=&quot;00A82C2F&quot;/&gt;&lt;wsp:rsid wsp:val=&quot;00A82DF0&quot;/&gt;&lt;wsp:rsid wsp:val=&quot;00A82FE1&quot;/&gt;&lt;wsp:rsid wsp:val=&quot;00A8308F&quot;/&gt;&lt;wsp:rsid wsp:val=&quot;00A83188&quot;/&gt;&lt;wsp:rsid wsp:val=&quot;00A8343E&quot;/&gt;&lt;wsp:rsid wsp:val=&quot;00A835FF&quot;/&gt;&lt;wsp:rsid wsp:val=&quot;00A838A0&quot;/&gt;&lt;wsp:rsid wsp:val=&quot;00A83DF5&quot;/&gt;&lt;wsp:rsid wsp:val=&quot;00A8404A&quot;/&gt;&lt;wsp:rsid wsp:val=&quot;00A840EE&quot;/&gt;&lt;wsp:rsid wsp:val=&quot;00A84340&quot;/&gt;&lt;wsp:rsid wsp:val=&quot;00A843BF&quot;/&gt;&lt;wsp:rsid wsp:val=&quot;00A84A92&quot;/&gt;&lt;wsp:rsid wsp:val=&quot;00A84AF2&quot;/&gt;&lt;wsp:rsid wsp:val=&quot;00A84BC7&quot;/&gt;&lt;wsp:rsid wsp:val=&quot;00A84D42&quot;/&gt;&lt;wsp:rsid wsp:val=&quot;00A84DD3&quot;/&gt;&lt;wsp:rsid wsp:val=&quot;00A850BD&quot;/&gt;&lt;wsp:rsid wsp:val=&quot;00A851B7&quot;/&gt;&lt;wsp:rsid wsp:val=&quot;00A853E3&quot;/&gt;&lt;wsp:rsid wsp:val=&quot;00A855E1&quot;/&gt;&lt;wsp:rsid wsp:val=&quot;00A858F4&quot;/&gt;&lt;wsp:rsid wsp:val=&quot;00A85A3C&quot;/&gt;&lt;wsp:rsid wsp:val=&quot;00A85C00&quot;/&gt;&lt;wsp:rsid wsp:val=&quot;00A85DEF&quot;/&gt;&lt;wsp:rsid wsp:val=&quot;00A85F4B&quot;/&gt;&lt;wsp:rsid wsp:val=&quot;00A85FDB&quot;/&gt;&lt;wsp:rsid wsp:val=&quot;00A8626B&quot;/&gt;&lt;wsp:rsid wsp:val=&quot;00A8626D&quot;/&gt;&lt;wsp:rsid wsp:val=&quot;00A8643C&quot;/&gt;&lt;wsp:rsid wsp:val=&quot;00A864F8&quot;/&gt;&lt;wsp:rsid wsp:val=&quot;00A86656&quot;/&gt;&lt;wsp:rsid wsp:val=&quot;00A866D8&quot;/&gt;&lt;wsp:rsid wsp:val=&quot;00A86810&quot;/&gt;&lt;wsp:rsid wsp:val=&quot;00A86947&quot;/&gt;&lt;wsp:rsid wsp:val=&quot;00A86968&quot;/&gt;&lt;wsp:rsid wsp:val=&quot;00A86A80&quot;/&gt;&lt;wsp:rsid wsp:val=&quot;00A86B8A&quot;/&gt;&lt;wsp:rsid wsp:val=&quot;00A86FA1&quot;/&gt;&lt;wsp:rsid wsp:val=&quot;00A87244&quot;/&gt;&lt;wsp:rsid wsp:val=&quot;00A8776C&quot;/&gt;&lt;wsp:rsid wsp:val=&quot;00A87989&quot;/&gt;&lt;wsp:rsid wsp:val=&quot;00A87B2B&quot;/&gt;&lt;wsp:rsid wsp:val=&quot;00A87BBB&quot;/&gt;&lt;wsp:rsid wsp:val=&quot;00A87EB8&quot;/&gt;&lt;wsp:rsid wsp:val=&quot;00A87FDF&quot;/&gt;&lt;wsp:rsid wsp:val=&quot;00A90088&quot;/&gt;&lt;wsp:rsid wsp:val=&quot;00A901B1&quot;/&gt;&lt;wsp:rsid wsp:val=&quot;00A90618&quot;/&gt;&lt;wsp:rsid wsp:val=&quot;00A90DB6&quot;/&gt;&lt;wsp:rsid wsp:val=&quot;00A9105C&quot;/&gt;&lt;wsp:rsid wsp:val=&quot;00A9138C&quot;/&gt;&lt;wsp:rsid wsp:val=&quot;00A914A2&quot;/&gt;&lt;wsp:rsid wsp:val=&quot;00A91628&quot;/&gt;&lt;wsp:rsid wsp:val=&quot;00A91CEB&quot;/&gt;&lt;wsp:rsid wsp:val=&quot;00A91D5E&quot;/&gt;&lt;wsp:rsid wsp:val=&quot;00A92062&quot;/&gt;&lt;wsp:rsid wsp:val=&quot;00A9293D&quot;/&gt;&lt;wsp:rsid wsp:val=&quot;00A92982&quot;/&gt;&lt;wsp:rsid wsp:val=&quot;00A92B3C&quot;/&gt;&lt;wsp:rsid wsp:val=&quot;00A92CA9&quot;/&gt;&lt;wsp:rsid wsp:val=&quot;00A92E0F&quot;/&gt;&lt;wsp:rsid wsp:val=&quot;00A92F22&quot;/&gt;&lt;wsp:rsid wsp:val=&quot;00A934CB&quot;/&gt;&lt;wsp:rsid wsp:val=&quot;00A9374D&quot;/&gt;&lt;wsp:rsid wsp:val=&quot;00A93816&quot;/&gt;&lt;wsp:rsid wsp:val=&quot;00A93818&quot;/&gt;&lt;wsp:rsid wsp:val=&quot;00A9383B&quot;/&gt;&lt;wsp:rsid wsp:val=&quot;00A939B4&quot;/&gt;&lt;wsp:rsid wsp:val=&quot;00A939E2&quot;/&gt;&lt;wsp:rsid wsp:val=&quot;00A93B37&quot;/&gt;&lt;wsp:rsid wsp:val=&quot;00A93DDA&quot;/&gt;&lt;wsp:rsid wsp:val=&quot;00A93EC7&quot;/&gt;&lt;wsp:rsid wsp:val=&quot;00A93EEC&quot;/&gt;&lt;wsp:rsid wsp:val=&quot;00A94056&quot;/&gt;&lt;wsp:rsid wsp:val=&quot;00A9417A&quot;/&gt;&lt;wsp:rsid wsp:val=&quot;00A9499D&quot;/&gt;&lt;wsp:rsid wsp:val=&quot;00A94B15&quot;/&gt;&lt;wsp:rsid wsp:val=&quot;00A94DD3&quot;/&gt;&lt;wsp:rsid wsp:val=&quot;00A94DF7&quot;/&gt;&lt;wsp:rsid wsp:val=&quot;00A94E70&quot;/&gt;&lt;wsp:rsid wsp:val=&quot;00A94F60&quot;/&gt;&lt;wsp:rsid wsp:val=&quot;00A95095&quot;/&gt;&lt;wsp:rsid wsp:val=&quot;00A9578F&quot;/&gt;&lt;wsp:rsid wsp:val=&quot;00A95C20&quot;/&gt;&lt;wsp:rsid wsp:val=&quot;00A95C77&quot;/&gt;&lt;wsp:rsid wsp:val=&quot;00A95DD5&quot;/&gt;&lt;wsp:rsid wsp:val=&quot;00A95E1A&quot;/&gt;&lt;wsp:rsid wsp:val=&quot;00A96031&quot;/&gt;&lt;wsp:rsid wsp:val=&quot;00A960CA&quot;/&gt;&lt;wsp:rsid wsp:val=&quot;00A962E9&quot;/&gt;&lt;wsp:rsid wsp:val=&quot;00A96413&quot;/&gt;&lt;wsp:rsid wsp:val=&quot;00A9683D&quot;/&gt;&lt;wsp:rsid wsp:val=&quot;00A96DEE&quot;/&gt;&lt;wsp:rsid wsp:val=&quot;00A96EF0&quot;/&gt;&lt;wsp:rsid wsp:val=&quot;00A96F4D&quot;/&gt;&lt;wsp:rsid wsp:val=&quot;00A970A8&quot;/&gt;&lt;wsp:rsid wsp:val=&quot;00A97566&quot;/&gt;&lt;wsp:rsid wsp:val=&quot;00A975D8&quot;/&gt;&lt;wsp:rsid wsp:val=&quot;00A976A1&quot;/&gt;&lt;wsp:rsid wsp:val=&quot;00A97972&quot;/&gt;&lt;wsp:rsid wsp:val=&quot;00A97A5B&quot;/&gt;&lt;wsp:rsid wsp:val=&quot;00A97BA4&quot;/&gt;&lt;wsp:rsid wsp:val=&quot;00A97BF3&quot;/&gt;&lt;wsp:rsid wsp:val=&quot;00A97CC9&quot;/&gt;&lt;wsp:rsid wsp:val=&quot;00A97DBF&quot;/&gt;&lt;wsp:rsid wsp:val=&quot;00AA0095&quot;/&gt;&lt;wsp:rsid wsp:val=&quot;00AA0176&quot;/&gt;&lt;wsp:rsid wsp:val=&quot;00AA01A8&quot;/&gt;&lt;wsp:rsid wsp:val=&quot;00AA0384&quot;/&gt;&lt;wsp:rsid wsp:val=&quot;00AA05BC&quot;/&gt;&lt;wsp:rsid wsp:val=&quot;00AA080A&quot;/&gt;&lt;wsp:rsid wsp:val=&quot;00AA0C3D&quot;/&gt;&lt;wsp:rsid wsp:val=&quot;00AA1085&quot;/&gt;&lt;wsp:rsid wsp:val=&quot;00AA1434&quot;/&gt;&lt;wsp:rsid wsp:val=&quot;00AA158C&quot;/&gt;&lt;wsp:rsid wsp:val=&quot;00AA1652&quot;/&gt;&lt;wsp:rsid wsp:val=&quot;00AA18FA&quot;/&gt;&lt;wsp:rsid wsp:val=&quot;00AA19FB&quot;/&gt;&lt;wsp:rsid wsp:val=&quot;00AA258E&quot;/&gt;&lt;wsp:rsid wsp:val=&quot;00AA259C&quot;/&gt;&lt;wsp:rsid wsp:val=&quot;00AA27E0&quot;/&gt;&lt;wsp:rsid wsp:val=&quot;00AA2837&quot;/&gt;&lt;wsp:rsid wsp:val=&quot;00AA2866&quot;/&gt;&lt;wsp:rsid wsp:val=&quot;00AA2D52&quot;/&gt;&lt;wsp:rsid wsp:val=&quot;00AA2F21&quot;/&gt;&lt;wsp:rsid wsp:val=&quot;00AA3090&quot;/&gt;&lt;wsp:rsid wsp:val=&quot;00AA340A&quot;/&gt;&lt;wsp:rsid wsp:val=&quot;00AA34B0&quot;/&gt;&lt;wsp:rsid wsp:val=&quot;00AA372F&quot;/&gt;&lt;wsp:rsid wsp:val=&quot;00AA3B5D&quot;/&gt;&lt;wsp:rsid wsp:val=&quot;00AA3D26&quot;/&gt;&lt;wsp:rsid wsp:val=&quot;00AA3F9E&quot;/&gt;&lt;wsp:rsid wsp:val=&quot;00AA41C3&quot;/&gt;&lt;wsp:rsid wsp:val=&quot;00AA4212&quot;/&gt;&lt;wsp:rsid wsp:val=&quot;00AA421B&quot;/&gt;&lt;wsp:rsid wsp:val=&quot;00AA436D&quot;/&gt;&lt;wsp:rsid wsp:val=&quot;00AA45A5&quot;/&gt;&lt;wsp:rsid wsp:val=&quot;00AA49DA&quot;/&gt;&lt;wsp:rsid wsp:val=&quot;00AA4B20&quot;/&gt;&lt;wsp:rsid wsp:val=&quot;00AA4C83&quot;/&gt;&lt;wsp:rsid wsp:val=&quot;00AA4F99&quot;/&gt;&lt;wsp:rsid wsp:val=&quot;00AA4FA1&quot;/&gt;&lt;wsp:rsid wsp:val=&quot;00AA5068&quot;/&gt;&lt;wsp:rsid wsp:val=&quot;00AA5A3C&quot;/&gt;&lt;wsp:rsid wsp:val=&quot;00AA5A7E&quot;/&gt;&lt;wsp:rsid wsp:val=&quot;00AA5ACE&quot;/&gt;&lt;wsp:rsid wsp:val=&quot;00AA6823&quot;/&gt;&lt;wsp:rsid wsp:val=&quot;00AA68E2&quot;/&gt;&lt;wsp:rsid wsp:val=&quot;00AA6968&quot;/&gt;&lt;wsp:rsid wsp:val=&quot;00AA6AA6&quot;/&gt;&lt;wsp:rsid wsp:val=&quot;00AA6AA8&quot;/&gt;&lt;wsp:rsid wsp:val=&quot;00AA6ADC&quot;/&gt;&lt;wsp:rsid wsp:val=&quot;00AA7807&quot;/&gt;&lt;wsp:rsid wsp:val=&quot;00AA7F4F&quot;/&gt;&lt;wsp:rsid wsp:val=&quot;00AA7FCE&quot;/&gt;&lt;wsp:rsid wsp:val=&quot;00AB045D&quot;/&gt;&lt;wsp:rsid wsp:val=&quot;00AB088A&quot;/&gt;&lt;wsp:rsid wsp:val=&quot;00AB09BF&quot;/&gt;&lt;wsp:rsid wsp:val=&quot;00AB0CBE&quot;/&gt;&lt;wsp:rsid wsp:val=&quot;00AB0E6C&quot;/&gt;&lt;wsp:rsid wsp:val=&quot;00AB1174&quot;/&gt;&lt;wsp:rsid wsp:val=&quot;00AB1459&quot;/&gt;&lt;wsp:rsid wsp:val=&quot;00AB16B9&quot;/&gt;&lt;wsp:rsid wsp:val=&quot;00AB1736&quot;/&gt;&lt;wsp:rsid wsp:val=&quot;00AB17FD&quot;/&gt;&lt;wsp:rsid wsp:val=&quot;00AB1CB5&quot;/&gt;&lt;wsp:rsid wsp:val=&quot;00AB1ECD&quot;/&gt;&lt;wsp:rsid wsp:val=&quot;00AB220E&quot;/&gt;&lt;wsp:rsid wsp:val=&quot;00AB2404&quot;/&gt;&lt;wsp:rsid wsp:val=&quot;00AB25BF&quot;/&gt;&lt;wsp:rsid wsp:val=&quot;00AB25F6&quot;/&gt;&lt;wsp:rsid wsp:val=&quot;00AB2603&quot;/&gt;&lt;wsp:rsid wsp:val=&quot;00AB28FD&quot;/&gt;&lt;wsp:rsid wsp:val=&quot;00AB2BC5&quot;/&gt;&lt;wsp:rsid wsp:val=&quot;00AB2C0F&quot;/&gt;&lt;wsp:rsid wsp:val=&quot;00AB2F25&quot;/&gt;&lt;wsp:rsid wsp:val=&quot;00AB3393&quot;/&gt;&lt;wsp:rsid wsp:val=&quot;00AB387D&quot;/&gt;&lt;wsp:rsid wsp:val=&quot;00AB396F&quot;/&gt;&lt;wsp:rsid wsp:val=&quot;00AB3A31&quot;/&gt;&lt;wsp:rsid wsp:val=&quot;00AB3BBE&quot;/&gt;&lt;wsp:rsid wsp:val=&quot;00AB3D04&quot;/&gt;&lt;wsp:rsid wsp:val=&quot;00AB4134&quot;/&gt;&lt;wsp:rsid wsp:val=&quot;00AB417C&quot;/&gt;&lt;wsp:rsid wsp:val=&quot;00AB4523&quot;/&gt;&lt;wsp:rsid wsp:val=&quot;00AB4548&quot;/&gt;&lt;wsp:rsid wsp:val=&quot;00AB477C&quot;/&gt;&lt;wsp:rsid wsp:val=&quot;00AB48C0&quot;/&gt;&lt;wsp:rsid wsp:val=&quot;00AB4D22&quot;/&gt;&lt;wsp:rsid wsp:val=&quot;00AB5101&quot;/&gt;&lt;wsp:rsid wsp:val=&quot;00AB521B&quot;/&gt;&lt;wsp:rsid wsp:val=&quot;00AB52A9&quot;/&gt;&lt;wsp:rsid wsp:val=&quot;00AB5608&quot;/&gt;&lt;wsp:rsid wsp:val=&quot;00AB595C&quot;/&gt;&lt;wsp:rsid wsp:val=&quot;00AB5AFA&quot;/&gt;&lt;wsp:rsid wsp:val=&quot;00AB5DCF&quot;/&gt;&lt;wsp:rsid wsp:val=&quot;00AB63F5&quot;/&gt;&lt;wsp:rsid wsp:val=&quot;00AB6B0F&quot;/&gt;&lt;wsp:rsid wsp:val=&quot;00AB6C3C&quot;/&gt;&lt;wsp:rsid wsp:val=&quot;00AB6C78&quot;/&gt;&lt;wsp:rsid wsp:val=&quot;00AB6E84&quot;/&gt;&lt;wsp:rsid wsp:val=&quot;00AB6F09&quot;/&gt;&lt;wsp:rsid wsp:val=&quot;00AB767E&quot;/&gt;&lt;wsp:rsid wsp:val=&quot;00AB7DD0&quot;/&gt;&lt;wsp:rsid wsp:val=&quot;00AC0062&quot;/&gt;&lt;wsp:rsid wsp:val=&quot;00AC01C5&quot;/&gt;&lt;wsp:rsid wsp:val=&quot;00AC029F&quot;/&gt;&lt;wsp:rsid wsp:val=&quot;00AC03B0&quot;/&gt;&lt;wsp:rsid wsp:val=&quot;00AC0429&quot;/&gt;&lt;wsp:rsid wsp:val=&quot;00AC0434&quot;/&gt;&lt;wsp:rsid wsp:val=&quot;00AC0550&quot;/&gt;&lt;wsp:rsid wsp:val=&quot;00AC0CEB&quot;/&gt;&lt;wsp:rsid wsp:val=&quot;00AC0EB4&quot;/&gt;&lt;wsp:rsid wsp:val=&quot;00AC0EBE&quot;/&gt;&lt;wsp:rsid wsp:val=&quot;00AC0F55&quot;/&gt;&lt;wsp:rsid wsp:val=&quot;00AC1237&quot;/&gt;&lt;wsp:rsid wsp:val=&quot;00AC15F8&quot;/&gt;&lt;wsp:rsid wsp:val=&quot;00AC1961&quot;/&gt;&lt;wsp:rsid wsp:val=&quot;00AC1B00&quot;/&gt;&lt;wsp:rsid wsp:val=&quot;00AC1FC7&quot;/&gt;&lt;wsp:rsid wsp:val=&quot;00AC20A8&quot;/&gt;&lt;wsp:rsid wsp:val=&quot;00AC20E9&quot;/&gt;&lt;wsp:rsid wsp:val=&quot;00AC21C3&quot;/&gt;&lt;wsp:rsid wsp:val=&quot;00AC2714&quot;/&gt;&lt;wsp:rsid wsp:val=&quot;00AC2F06&quot;/&gt;&lt;wsp:rsid wsp:val=&quot;00AC2FC2&quot;/&gt;&lt;wsp:rsid wsp:val=&quot;00AC301B&quot;/&gt;&lt;wsp:rsid wsp:val=&quot;00AC3116&quot;/&gt;&lt;wsp:rsid wsp:val=&quot;00AC3589&quot;/&gt;&lt;wsp:rsid wsp:val=&quot;00AC35F7&quot;/&gt;&lt;wsp:rsid wsp:val=&quot;00AC3A06&quot;/&gt;&lt;wsp:rsid wsp:val=&quot;00AC3DBC&quot;/&gt;&lt;wsp:rsid wsp:val=&quot;00AC40F4&quot;/&gt;&lt;wsp:rsid wsp:val=&quot;00AC4264&quot;/&gt;&lt;wsp:rsid wsp:val=&quot;00AC438D&quot;/&gt;&lt;wsp:rsid wsp:val=&quot;00AC445B&quot;/&gt;&lt;wsp:rsid wsp:val=&quot;00AC46ED&quot;/&gt;&lt;wsp:rsid wsp:val=&quot;00AC475C&quot;/&gt;&lt;wsp:rsid wsp:val=&quot;00AC4DBE&quot;/&gt;&lt;wsp:rsid wsp:val=&quot;00AC4EC6&quot;/&gt;&lt;wsp:rsid wsp:val=&quot;00AC515F&quot;/&gt;&lt;wsp:rsid wsp:val=&quot;00AC51DC&quot;/&gt;&lt;wsp:rsid wsp:val=&quot;00AC5207&quot;/&gt;&lt;wsp:rsid wsp:val=&quot;00AC544E&quot;/&gt;&lt;wsp:rsid wsp:val=&quot;00AC5496&quot;/&gt;&lt;wsp:rsid wsp:val=&quot;00AC569E&quot;/&gt;&lt;wsp:rsid wsp:val=&quot;00AC58D1&quot;/&gt;&lt;wsp:rsid wsp:val=&quot;00AC592C&quot;/&gt;&lt;wsp:rsid wsp:val=&quot;00AC5C6B&quot;/&gt;&lt;wsp:rsid wsp:val=&quot;00AC5CE3&quot;/&gt;&lt;wsp:rsid wsp:val=&quot;00AC5DF3&quot;/&gt;&lt;wsp:rsid wsp:val=&quot;00AC6209&quot;/&gt;&lt;wsp:rsid wsp:val=&quot;00AC6238&quot;/&gt;&lt;wsp:rsid wsp:val=&quot;00AC6395&quot;/&gt;&lt;wsp:rsid wsp:val=&quot;00AC640C&quot;/&gt;&lt;wsp:rsid wsp:val=&quot;00AC64FC&quot;/&gt;&lt;wsp:rsid wsp:val=&quot;00AC6637&quot;/&gt;&lt;wsp:rsid wsp:val=&quot;00AC6772&quot;/&gt;&lt;wsp:rsid wsp:val=&quot;00AC6A4C&quot;/&gt;&lt;wsp:rsid wsp:val=&quot;00AC6B91&quot;/&gt;&lt;wsp:rsid wsp:val=&quot;00AC6D80&quot;/&gt;&lt;wsp:rsid wsp:val=&quot;00AC6EBD&quot;/&gt;&lt;wsp:rsid wsp:val=&quot;00AC7044&quot;/&gt;&lt;wsp:rsid wsp:val=&quot;00AC7200&quot;/&gt;&lt;wsp:rsid wsp:val=&quot;00AC7263&quot;/&gt;&lt;wsp:rsid wsp:val=&quot;00AC72E3&quot;/&gt;&lt;wsp:rsid wsp:val=&quot;00AC79B4&quot;/&gt;&lt;wsp:rsid wsp:val=&quot;00AC7AC2&quot;/&gt;&lt;wsp:rsid wsp:val=&quot;00AC7B90&quot;/&gt;&lt;wsp:rsid wsp:val=&quot;00AC7BC8&quot;/&gt;&lt;wsp:rsid wsp:val=&quot;00AD0451&quot;/&gt;&lt;wsp:rsid wsp:val=&quot;00AD0519&quot;/&gt;&lt;wsp:rsid wsp:val=&quot;00AD0542&quot;/&gt;&lt;wsp:rsid wsp:val=&quot;00AD0684&quot;/&gt;&lt;wsp:rsid wsp:val=&quot;00AD0961&quot;/&gt;&lt;wsp:rsid wsp:val=&quot;00AD096D&quot;/&gt;&lt;wsp:rsid wsp:val=&quot;00AD0B0F&quot;/&gt;&lt;wsp:rsid wsp:val=&quot;00AD0B1C&quot;/&gt;&lt;wsp:rsid wsp:val=&quot;00AD1BA5&quot;/&gt;&lt;wsp:rsid wsp:val=&quot;00AD1C20&quot;/&gt;&lt;wsp:rsid wsp:val=&quot;00AD1DD5&quot;/&gt;&lt;wsp:rsid wsp:val=&quot;00AD1F02&quot;/&gt;&lt;wsp:rsid wsp:val=&quot;00AD1F2D&quot;/&gt;&lt;wsp:rsid wsp:val=&quot;00AD217A&quot;/&gt;&lt;wsp:rsid wsp:val=&quot;00AD225A&quot;/&gt;&lt;wsp:rsid wsp:val=&quot;00AD249C&quot;/&gt;&lt;wsp:rsid wsp:val=&quot;00AD2553&quot;/&gt;&lt;wsp:rsid wsp:val=&quot;00AD2602&quot;/&gt;&lt;wsp:rsid wsp:val=&quot;00AD2711&quot;/&gt;&lt;wsp:rsid wsp:val=&quot;00AD2831&quot;/&gt;&lt;wsp:rsid wsp:val=&quot;00AD2A02&quot;/&gt;&lt;wsp:rsid wsp:val=&quot;00AD2A11&quot;/&gt;&lt;wsp:rsid wsp:val=&quot;00AD2DF6&quot;/&gt;&lt;wsp:rsid wsp:val=&quot;00AD2E8F&quot;/&gt;&lt;wsp:rsid wsp:val=&quot;00AD2E9C&quot;/&gt;&lt;wsp:rsid wsp:val=&quot;00AD2EBD&quot;/&gt;&lt;wsp:rsid wsp:val=&quot;00AD3473&quot;/&gt;&lt;wsp:rsid wsp:val=&quot;00AD352F&quot;/&gt;&lt;wsp:rsid wsp:val=&quot;00AD3848&quot;/&gt;&lt;wsp:rsid wsp:val=&quot;00AD3A32&quot;/&gt;&lt;wsp:rsid wsp:val=&quot;00AD3E67&quot;/&gt;&lt;wsp:rsid wsp:val=&quot;00AD45A2&quot;/&gt;&lt;wsp:rsid wsp:val=&quot;00AD492B&quot;/&gt;&lt;wsp:rsid wsp:val=&quot;00AD4A7B&quot;/&gt;&lt;wsp:rsid wsp:val=&quot;00AD4CAB&quot;/&gt;&lt;wsp:rsid wsp:val=&quot;00AD4E1C&quot;/&gt;&lt;wsp:rsid wsp:val=&quot;00AD4E4D&quot;/&gt;&lt;wsp:rsid wsp:val=&quot;00AD4E9B&quot;/&gt;&lt;wsp:rsid wsp:val=&quot;00AD4EF4&quot;/&gt;&lt;wsp:rsid wsp:val=&quot;00AD507B&quot;/&gt;&lt;wsp:rsid wsp:val=&quot;00AD5116&quot;/&gt;&lt;wsp:rsid wsp:val=&quot;00AD547B&quot;/&gt;&lt;wsp:rsid wsp:val=&quot;00AD5488&quot;/&gt;&lt;wsp:rsid wsp:val=&quot;00AD55C7&quot;/&gt;&lt;wsp:rsid wsp:val=&quot;00AD561C&quot;/&gt;&lt;wsp:rsid wsp:val=&quot;00AD5A1A&quot;/&gt;&lt;wsp:rsid wsp:val=&quot;00AD5B9F&quot;/&gt;&lt;wsp:rsid wsp:val=&quot;00AD602B&quot;/&gt;&lt;wsp:rsid wsp:val=&quot;00AD6210&quot;/&gt;&lt;wsp:rsid wsp:val=&quot;00AD696E&quot;/&gt;&lt;wsp:rsid wsp:val=&quot;00AD7309&quot;/&gt;&lt;wsp:rsid wsp:val=&quot;00AD73F3&quot;/&gt;&lt;wsp:rsid wsp:val=&quot;00AD74F0&quot;/&gt;&lt;wsp:rsid wsp:val=&quot;00AD75B8&quot;/&gt;&lt;wsp:rsid wsp:val=&quot;00AD7A90&quot;/&gt;&lt;wsp:rsid wsp:val=&quot;00AD7EC5&quot;/&gt;&lt;wsp:rsid wsp:val=&quot;00AE0156&quot;/&gt;&lt;wsp:rsid wsp:val=&quot;00AE0588&quot;/&gt;&lt;wsp:rsid wsp:val=&quot;00AE0F66&quot;/&gt;&lt;wsp:rsid wsp:val=&quot;00AE1B00&quot;/&gt;&lt;wsp:rsid wsp:val=&quot;00AE1C87&quot;/&gt;&lt;wsp:rsid wsp:val=&quot;00AE210C&quot;/&gt;&lt;wsp:rsid wsp:val=&quot;00AE22BC&quot;/&gt;&lt;wsp:rsid wsp:val=&quot;00AE22EC&quot;/&gt;&lt;wsp:rsid wsp:val=&quot;00AE26C9&quot;/&gt;&lt;wsp:rsid wsp:val=&quot;00AE2EAD&quot;/&gt;&lt;wsp:rsid wsp:val=&quot;00AE2F90&quot;/&gt;&lt;wsp:rsid wsp:val=&quot;00AE31FE&quot;/&gt;&lt;wsp:rsid wsp:val=&quot;00AE3B7D&quot;/&gt;&lt;wsp:rsid wsp:val=&quot;00AE3C7A&quot;/&gt;&lt;wsp:rsid wsp:val=&quot;00AE3C84&quot;/&gt;&lt;wsp:rsid wsp:val=&quot;00AE4019&quot;/&gt;&lt;wsp:rsid wsp:val=&quot;00AE4236&quot;/&gt;&lt;wsp:rsid wsp:val=&quot;00AE42D5&quot;/&gt;&lt;wsp:rsid wsp:val=&quot;00AE4332&quot;/&gt;&lt;wsp:rsid wsp:val=&quot;00AE4396&quot;/&gt;&lt;wsp:rsid wsp:val=&quot;00AE4586&quot;/&gt;&lt;wsp:rsid wsp:val=&quot;00AE4A15&quot;/&gt;&lt;wsp:rsid wsp:val=&quot;00AE4B39&quot;/&gt;&lt;wsp:rsid wsp:val=&quot;00AE4FD6&quot;/&gt;&lt;wsp:rsid wsp:val=&quot;00AE5071&quot;/&gt;&lt;wsp:rsid wsp:val=&quot;00AE50A6&quot;/&gt;&lt;wsp:rsid wsp:val=&quot;00AE528B&quot;/&gt;&lt;wsp:rsid wsp:val=&quot;00AE53D8&quot;/&gt;&lt;wsp:rsid wsp:val=&quot;00AE55C9&quot;/&gt;&lt;wsp:rsid wsp:val=&quot;00AE569E&quot;/&gt;&lt;wsp:rsid wsp:val=&quot;00AE56B1&quot;/&gt;&lt;wsp:rsid wsp:val=&quot;00AE581B&quot;/&gt;&lt;wsp:rsid wsp:val=&quot;00AE58F6&quot;/&gt;&lt;wsp:rsid wsp:val=&quot;00AE5AC5&quot;/&gt;&lt;wsp:rsid wsp:val=&quot;00AE5AF6&quot;/&gt;&lt;wsp:rsid wsp:val=&quot;00AE5EE0&quot;/&gt;&lt;wsp:rsid wsp:val=&quot;00AE6074&quot;/&gt;&lt;wsp:rsid wsp:val=&quot;00AE60A5&quot;/&gt;&lt;wsp:rsid wsp:val=&quot;00AE60F1&quot;/&gt;&lt;wsp:rsid wsp:val=&quot;00AE661E&quot;/&gt;&lt;wsp:rsid wsp:val=&quot;00AE67AB&quot;/&gt;&lt;wsp:rsid wsp:val=&quot;00AE681E&quot;/&gt;&lt;wsp:rsid wsp:val=&quot;00AE698E&quot;/&gt;&lt;wsp:rsid wsp:val=&quot;00AE7211&quot;/&gt;&lt;wsp:rsid wsp:val=&quot;00AE7222&quot;/&gt;&lt;wsp:rsid wsp:val=&quot;00AE7634&quot;/&gt;&lt;wsp:rsid wsp:val=&quot;00AE7912&quot;/&gt;&lt;wsp:rsid wsp:val=&quot;00AE7A82&quot;/&gt;&lt;wsp:rsid wsp:val=&quot;00AE7F52&quot;/&gt;&lt;wsp:rsid wsp:val=&quot;00AE7F9E&quot;/&gt;&lt;wsp:rsid wsp:val=&quot;00AF03D9&quot;/&gt;&lt;wsp:rsid wsp:val=&quot;00AF0474&quot;/&gt;&lt;wsp:rsid wsp:val=&quot;00AF05A0&quot;/&gt;&lt;wsp:rsid wsp:val=&quot;00AF05EB&quot;/&gt;&lt;wsp:rsid wsp:val=&quot;00AF0864&quot;/&gt;&lt;wsp:rsid wsp:val=&quot;00AF08A6&quot;/&gt;&lt;wsp:rsid wsp:val=&quot;00AF0C15&quot;/&gt;&lt;wsp:rsid wsp:val=&quot;00AF0EA2&quot;/&gt;&lt;wsp:rsid wsp:val=&quot;00AF1024&quot;/&gt;&lt;wsp:rsid wsp:val=&quot;00AF17A7&quot;/&gt;&lt;wsp:rsid wsp:val=&quot;00AF19C2&quot;/&gt;&lt;wsp:rsid wsp:val=&quot;00AF1A13&quot;/&gt;&lt;wsp:rsid wsp:val=&quot;00AF1C35&quot;/&gt;&lt;wsp:rsid wsp:val=&quot;00AF1CCE&quot;/&gt;&lt;wsp:rsid wsp:val=&quot;00AF1CF9&quot;/&gt;&lt;wsp:rsid wsp:val=&quot;00AF1D85&quot;/&gt;&lt;wsp:rsid wsp:val=&quot;00AF2315&quot;/&gt;&lt;wsp:rsid wsp:val=&quot;00AF237C&quot;/&gt;&lt;wsp:rsid wsp:val=&quot;00AF252A&quot;/&gt;&lt;wsp:rsid wsp:val=&quot;00AF25CE&quot;/&gt;&lt;wsp:rsid wsp:val=&quot;00AF27F8&quot;/&gt;&lt;wsp:rsid wsp:val=&quot;00AF28C5&quot;/&gt;&lt;wsp:rsid wsp:val=&quot;00AF28FA&quot;/&gt;&lt;wsp:rsid wsp:val=&quot;00AF29CB&quot;/&gt;&lt;wsp:rsid wsp:val=&quot;00AF2DFF&quot;/&gt;&lt;wsp:rsid wsp:val=&quot;00AF3101&quot;/&gt;&lt;wsp:rsid wsp:val=&quot;00AF3280&quot;/&gt;&lt;wsp:rsid wsp:val=&quot;00AF32C5&quot;/&gt;&lt;wsp:rsid wsp:val=&quot;00AF3A86&quot;/&gt;&lt;wsp:rsid wsp:val=&quot;00AF3C40&quot;/&gt;&lt;wsp:rsid wsp:val=&quot;00AF3DBB&quot;/&gt;&lt;wsp:rsid wsp:val=&quot;00AF3F6B&quot;/&gt;&lt;wsp:rsid wsp:val=&quot;00AF3FDA&quot;/&gt;&lt;wsp:rsid wsp:val=&quot;00AF419F&quot;/&gt;&lt;wsp:rsid wsp:val=&quot;00AF423C&quot;/&gt;&lt;wsp:rsid wsp:val=&quot;00AF443D&quot;/&gt;&lt;wsp:rsid wsp:val=&quot;00AF4645&quot;/&gt;&lt;wsp:rsid wsp:val=&quot;00AF4CB4&quot;/&gt;&lt;wsp:rsid wsp:val=&quot;00AF4FD9&quot;/&gt;&lt;wsp:rsid wsp:val=&quot;00AF54FD&quot;/&gt;&lt;wsp:rsid wsp:val=&quot;00AF553E&quot;/&gt;&lt;wsp:rsid wsp:val=&quot;00AF5553&quot;/&gt;&lt;wsp:rsid wsp:val=&quot;00AF56D8&quot;/&gt;&lt;wsp:rsid wsp:val=&quot;00AF571E&quot;/&gt;&lt;wsp:rsid wsp:val=&quot;00AF5A50&quot;/&gt;&lt;wsp:rsid wsp:val=&quot;00AF5EA7&quot;/&gt;&lt;wsp:rsid wsp:val=&quot;00AF63CC&quot;/&gt;&lt;wsp:rsid wsp:val=&quot;00AF6755&quot;/&gt;&lt;wsp:rsid wsp:val=&quot;00AF68A8&quot;/&gt;&lt;wsp:rsid wsp:val=&quot;00AF692C&quot;/&gt;&lt;wsp:rsid wsp:val=&quot;00AF6C05&quot;/&gt;&lt;wsp:rsid wsp:val=&quot;00AF6C60&quot;/&gt;&lt;wsp:rsid wsp:val=&quot;00AF6E49&quot;/&gt;&lt;wsp:rsid wsp:val=&quot;00AF6EB2&quot;/&gt;&lt;wsp:rsid wsp:val=&quot;00AF6FC4&quot;/&gt;&lt;wsp:rsid wsp:val=&quot;00AF70CA&quot;/&gt;&lt;wsp:rsid wsp:val=&quot;00AF7182&quot;/&gt;&lt;wsp:rsid wsp:val=&quot;00AF7BE0&quot;/&gt;&lt;wsp:rsid wsp:val=&quot;00B00231&quot;/&gt;&lt;wsp:rsid wsp:val=&quot;00B00273&quot;/&gt;&lt;wsp:rsid wsp:val=&quot;00B0070D&quot;/&gt;&lt;wsp:rsid wsp:val=&quot;00B00783&quot;/&gt;&lt;wsp:rsid wsp:val=&quot;00B009D1&quot;/&gt;&lt;wsp:rsid wsp:val=&quot;00B00B45&quot;/&gt;&lt;wsp:rsid wsp:val=&quot;00B012F4&quot;/&gt;&lt;wsp:rsid wsp:val=&quot;00B013AE&quot;/&gt;&lt;wsp:rsid wsp:val=&quot;00B013CF&quot;/&gt;&lt;wsp:rsid wsp:val=&quot;00B014E3&quot;/&gt;&lt;wsp:rsid wsp:val=&quot;00B0166C&quot;/&gt;&lt;wsp:rsid wsp:val=&quot;00B01A84&quot;/&gt;&lt;wsp:rsid wsp:val=&quot;00B0201A&quot;/&gt;&lt;wsp:rsid wsp:val=&quot;00B02154&quot;/&gt;&lt;wsp:rsid wsp:val=&quot;00B02295&quot;/&gt;&lt;wsp:rsid wsp:val=&quot;00B024C8&quot;/&gt;&lt;wsp:rsid wsp:val=&quot;00B027A0&quot;/&gt;&lt;wsp:rsid wsp:val=&quot;00B02C10&quot;/&gt;&lt;wsp:rsid wsp:val=&quot;00B02E2F&quot;/&gt;&lt;wsp:rsid wsp:val=&quot;00B035B3&quot;/&gt;&lt;wsp:rsid wsp:val=&quot;00B03EC0&quot;/&gt;&lt;wsp:rsid wsp:val=&quot;00B04A55&quot;/&gt;&lt;wsp:rsid wsp:val=&quot;00B04B17&quot;/&gt;&lt;wsp:rsid wsp:val=&quot;00B054B9&quot;/&gt;&lt;wsp:rsid wsp:val=&quot;00B05970&quot;/&gt;&lt;wsp:rsid wsp:val=&quot;00B05AEE&quot;/&gt;&lt;wsp:rsid wsp:val=&quot;00B05B11&quot;/&gt;&lt;wsp:rsid wsp:val=&quot;00B05BC4&quot;/&gt;&lt;wsp:rsid wsp:val=&quot;00B05BE5&quot;/&gt;&lt;wsp:rsid wsp:val=&quot;00B05E71&quot;/&gt;&lt;wsp:rsid wsp:val=&quot;00B05F4F&quot;/&gt;&lt;wsp:rsid wsp:val=&quot;00B0666E&quot;/&gt;&lt;wsp:rsid wsp:val=&quot;00B06A5A&quot;/&gt;&lt;wsp:rsid wsp:val=&quot;00B07011&quot;/&gt;&lt;wsp:rsid wsp:val=&quot;00B0722E&quot;/&gt;&lt;wsp:rsid wsp:val=&quot;00B072E2&quot;/&gt;&lt;wsp:rsid wsp:val=&quot;00B0742B&quot;/&gt;&lt;wsp:rsid wsp:val=&quot;00B07430&quot;/&gt;&lt;wsp:rsid wsp:val=&quot;00B07449&quot;/&gt;&lt;wsp:rsid wsp:val=&quot;00B07541&quot;/&gt;&lt;wsp:rsid wsp:val=&quot;00B0774F&quot;/&gt;&lt;wsp:rsid wsp:val=&quot;00B077D2&quot;/&gt;&lt;wsp:rsid wsp:val=&quot;00B07B34&quot;/&gt;&lt;wsp:rsid wsp:val=&quot;00B07C83&quot;/&gt;&lt;wsp:rsid wsp:val=&quot;00B07D8F&quot;/&gt;&lt;wsp:rsid wsp:val=&quot;00B10424&quot;/&gt;&lt;wsp:rsid wsp:val=&quot;00B10425&quot;/&gt;&lt;wsp:rsid wsp:val=&quot;00B10548&quot;/&gt;&lt;wsp:rsid wsp:val=&quot;00B10566&quot;/&gt;&lt;wsp:rsid wsp:val=&quot;00B1057C&quot;/&gt;&lt;wsp:rsid wsp:val=&quot;00B10656&quot;/&gt;&lt;wsp:rsid wsp:val=&quot;00B1093E&quot;/&gt;&lt;wsp:rsid wsp:val=&quot;00B10956&quot;/&gt;&lt;wsp:rsid wsp:val=&quot;00B10BD3&quot;/&gt;&lt;wsp:rsid wsp:val=&quot;00B10CC0&quot;/&gt;&lt;wsp:rsid wsp:val=&quot;00B10F44&quot;/&gt;&lt;wsp:rsid wsp:val=&quot;00B11188&quot;/&gt;&lt;wsp:rsid wsp:val=&quot;00B11394&quot;/&gt;&lt;wsp:rsid wsp:val=&quot;00B113CE&quot;/&gt;&lt;wsp:rsid wsp:val=&quot;00B11402&quot;/&gt;&lt;wsp:rsid wsp:val=&quot;00B114BB&quot;/&gt;&lt;wsp:rsid wsp:val=&quot;00B1171F&quot;/&gt;&lt;wsp:rsid wsp:val=&quot;00B119F1&quot;/&gt;&lt;wsp:rsid wsp:val=&quot;00B11DAC&quot;/&gt;&lt;wsp:rsid wsp:val=&quot;00B11DED&quot;/&gt;&lt;wsp:rsid wsp:val=&quot;00B11FB8&quot;/&gt;&lt;wsp:rsid wsp:val=&quot;00B1200D&quot;/&gt;&lt;wsp:rsid wsp:val=&quot;00B120D4&quot;/&gt;&lt;wsp:rsid wsp:val=&quot;00B1252C&quot;/&gt;&lt;wsp:rsid wsp:val=&quot;00B12555&quot;/&gt;&lt;wsp:rsid wsp:val=&quot;00B126A2&quot;/&gt;&lt;wsp:rsid wsp:val=&quot;00B1279E&quot;/&gt;&lt;wsp:rsid wsp:val=&quot;00B12B4F&quot;/&gt;&lt;wsp:rsid wsp:val=&quot;00B12EC9&quot;/&gt;&lt;wsp:rsid wsp:val=&quot;00B13435&quot;/&gt;&lt;wsp:rsid wsp:val=&quot;00B13448&quot;/&gt;&lt;wsp:rsid wsp:val=&quot;00B135C1&quot;/&gt;&lt;wsp:rsid wsp:val=&quot;00B136FD&quot;/&gt;&lt;wsp:rsid wsp:val=&quot;00B13760&quot;/&gt;&lt;wsp:rsid wsp:val=&quot;00B13986&quot;/&gt;&lt;wsp:rsid wsp:val=&quot;00B13A0C&quot;/&gt;&lt;wsp:rsid wsp:val=&quot;00B13B9E&quot;/&gt;&lt;wsp:rsid wsp:val=&quot;00B13D68&quot;/&gt;&lt;wsp:rsid wsp:val=&quot;00B13EE0&quot;/&gt;&lt;wsp:rsid wsp:val=&quot;00B13F6F&quot;/&gt;&lt;wsp:rsid wsp:val=&quot;00B1474B&quot;/&gt;&lt;wsp:rsid wsp:val=&quot;00B1481C&quot;/&gt;&lt;wsp:rsid wsp:val=&quot;00B14911&quot;/&gt;&lt;wsp:rsid wsp:val=&quot;00B14E0B&quot;/&gt;&lt;wsp:rsid wsp:val=&quot;00B150C9&quot;/&gt;&lt;wsp:rsid wsp:val=&quot;00B15162&quot;/&gt;&lt;wsp:rsid wsp:val=&quot;00B1516C&quot;/&gt;&lt;wsp:rsid wsp:val=&quot;00B15462&quot;/&gt;&lt;wsp:rsid wsp:val=&quot;00B1557A&quot;/&gt;&lt;wsp:rsid wsp:val=&quot;00B15C55&quot;/&gt;&lt;wsp:rsid wsp:val=&quot;00B161D2&quot;/&gt;&lt;wsp:rsid wsp:val=&quot;00B168BC&quot;/&gt;&lt;wsp:rsid wsp:val=&quot;00B16AB2&quot;/&gt;&lt;wsp:rsid wsp:val=&quot;00B16CC0&quot;/&gt;&lt;wsp:rsid wsp:val=&quot;00B16CD0&quot;/&gt;&lt;wsp:rsid wsp:val=&quot;00B16EA6&quot;/&gt;&lt;wsp:rsid wsp:val=&quot;00B16F9E&quot;/&gt;&lt;wsp:rsid wsp:val=&quot;00B16FB0&quot;/&gt;&lt;wsp:rsid wsp:val=&quot;00B172D9&quot;/&gt;&lt;wsp:rsid wsp:val=&quot;00B175F2&quot;/&gt;&lt;wsp:rsid wsp:val=&quot;00B17D25&quot;/&gt;&lt;wsp:rsid wsp:val=&quot;00B17DAA&quot;/&gt;&lt;wsp:rsid wsp:val=&quot;00B2015D&quot;/&gt;&lt;wsp:rsid wsp:val=&quot;00B2043C&quot;/&gt;&lt;wsp:rsid wsp:val=&quot;00B209C3&quot;/&gt;&lt;wsp:rsid wsp:val=&quot;00B20E28&quot;/&gt;&lt;wsp:rsid wsp:val=&quot;00B20EC9&quot;/&gt;&lt;wsp:rsid wsp:val=&quot;00B20F51&quot;/&gt;&lt;wsp:rsid wsp:val=&quot;00B2103F&quot;/&gt;&lt;wsp:rsid wsp:val=&quot;00B21079&quot;/&gt;&lt;wsp:rsid wsp:val=&quot;00B2143D&quot;/&gt;&lt;wsp:rsid wsp:val=&quot;00B214A4&quot;/&gt;&lt;wsp:rsid wsp:val=&quot;00B21621&quot;/&gt;&lt;wsp:rsid wsp:val=&quot;00B21702&quot;/&gt;&lt;wsp:rsid wsp:val=&quot;00B2194E&quot;/&gt;&lt;wsp:rsid wsp:val=&quot;00B21959&quot;/&gt;&lt;wsp:rsid wsp:val=&quot;00B21D8D&quot;/&gt;&lt;wsp:rsid wsp:val=&quot;00B21DA6&quot;/&gt;&lt;wsp:rsid wsp:val=&quot;00B21E78&quot;/&gt;&lt;wsp:rsid wsp:val=&quot;00B21EAE&quot;/&gt;&lt;wsp:rsid wsp:val=&quot;00B21ECA&quot;/&gt;&lt;wsp:rsid wsp:val=&quot;00B21FD0&quot;/&gt;&lt;wsp:rsid wsp:val=&quot;00B221D9&quot;/&gt;&lt;wsp:rsid wsp:val=&quot;00B22529&quot;/&gt;&lt;wsp:rsid wsp:val=&quot;00B225B4&quot;/&gt;&lt;wsp:rsid wsp:val=&quot;00B225CB&quot;/&gt;&lt;wsp:rsid wsp:val=&quot;00B22B2C&quot;/&gt;&lt;wsp:rsid wsp:val=&quot;00B22C18&quot;/&gt;&lt;wsp:rsid wsp:val=&quot;00B22CAA&quot;/&gt;&lt;wsp:rsid wsp:val=&quot;00B22CB4&quot;/&gt;&lt;wsp:rsid wsp:val=&quot;00B22D19&quot;/&gt;&lt;wsp:rsid wsp:val=&quot;00B23616&quot;/&gt;&lt;wsp:rsid wsp:val=&quot;00B236BB&quot;/&gt;&lt;wsp:rsid wsp:val=&quot;00B238D4&quot;/&gt;&lt;wsp:rsid wsp:val=&quot;00B23982&quot;/&gt;&lt;wsp:rsid wsp:val=&quot;00B23DC9&quot;/&gt;&lt;wsp:rsid wsp:val=&quot;00B23E22&quot;/&gt;&lt;wsp:rsid wsp:val=&quot;00B241D0&quot;/&gt;&lt;wsp:rsid wsp:val=&quot;00B242F4&quot;/&gt;&lt;wsp:rsid wsp:val=&quot;00B24379&quot;/&gt;&lt;wsp:rsid wsp:val=&quot;00B24460&quot;/&gt;&lt;wsp:rsid wsp:val=&quot;00B24474&quot;/&gt;&lt;wsp:rsid wsp:val=&quot;00B24580&quot;/&gt;&lt;wsp:rsid wsp:val=&quot;00B24728&quot;/&gt;&lt;wsp:rsid wsp:val=&quot;00B24B33&quot;/&gt;&lt;wsp:rsid wsp:val=&quot;00B25008&quot;/&gt;&lt;wsp:rsid wsp:val=&quot;00B25046&quot;/&gt;&lt;wsp:rsid wsp:val=&quot;00B2509C&quot;/&gt;&lt;wsp:rsid wsp:val=&quot;00B25135&quot;/&gt;&lt;wsp:rsid wsp:val=&quot;00B25301&quot;/&gt;&lt;wsp:rsid wsp:val=&quot;00B25647&quot;/&gt;&lt;wsp:rsid wsp:val=&quot;00B258A4&quot;/&gt;&lt;wsp:rsid wsp:val=&quot;00B25C38&quot;/&gt;&lt;wsp:rsid wsp:val=&quot;00B25C89&quot;/&gt;&lt;wsp:rsid wsp:val=&quot;00B25CB4&quot;/&gt;&lt;wsp:rsid wsp:val=&quot;00B261B9&quot;/&gt;&lt;wsp:rsid wsp:val=&quot;00B2648A&quot;/&gt;&lt;wsp:rsid wsp:val=&quot;00B265DA&quot;/&gt;&lt;wsp:rsid wsp:val=&quot;00B26612&quot;/&gt;&lt;wsp:rsid wsp:val=&quot;00B269C3&quot;/&gt;&lt;wsp:rsid wsp:val=&quot;00B26D31&quot;/&gt;&lt;wsp:rsid wsp:val=&quot;00B277A2&quot;/&gt;&lt;wsp:rsid wsp:val=&quot;00B27992&quot;/&gt;&lt;wsp:rsid wsp:val=&quot;00B30055&quot;/&gt;&lt;wsp:rsid wsp:val=&quot;00B30134&quot;/&gt;&lt;wsp:rsid wsp:val=&quot;00B30A68&quot;/&gt;&lt;wsp:rsid wsp:val=&quot;00B312D2&quot;/&gt;&lt;wsp:rsid wsp:val=&quot;00B31435&quot;/&gt;&lt;wsp:rsid wsp:val=&quot;00B3148A&quot;/&gt;&lt;wsp:rsid wsp:val=&quot;00B31847&quot;/&gt;&lt;wsp:rsid wsp:val=&quot;00B31867&quot;/&gt;&lt;wsp:rsid wsp:val=&quot;00B318F6&quot;/&gt;&lt;wsp:rsid wsp:val=&quot;00B31992&quot;/&gt;&lt;wsp:rsid wsp:val=&quot;00B31ACF&quot;/&gt;&lt;wsp:rsid wsp:val=&quot;00B31DE0&quot;/&gt;&lt;wsp:rsid wsp:val=&quot;00B31E92&quot;/&gt;&lt;wsp:rsid wsp:val=&quot;00B31FF5&quot;/&gt;&lt;wsp:rsid wsp:val=&quot;00B3216E&quot;/&gt;&lt;wsp:rsid wsp:val=&quot;00B32552&quot;/&gt;&lt;wsp:rsid wsp:val=&quot;00B3267F&quot;/&gt;&lt;wsp:rsid wsp:val=&quot;00B32704&quot;/&gt;&lt;wsp:rsid wsp:val=&quot;00B32791&quot;/&gt;&lt;wsp:rsid wsp:val=&quot;00B327E3&quot;/&gt;&lt;wsp:rsid wsp:val=&quot;00B32A08&quot;/&gt;&lt;wsp:rsid wsp:val=&quot;00B32ABC&quot;/&gt;&lt;wsp:rsid wsp:val=&quot;00B32B21&quot;/&gt;&lt;wsp:rsid wsp:val=&quot;00B33498&quot;/&gt;&lt;wsp:rsid wsp:val=&quot;00B33A56&quot;/&gt;&lt;wsp:rsid wsp:val=&quot;00B33A78&quot;/&gt;&lt;wsp:rsid wsp:val=&quot;00B33A94&quot;/&gt;&lt;wsp:rsid wsp:val=&quot;00B33B8B&quot;/&gt;&lt;wsp:rsid wsp:val=&quot;00B33BDC&quot;/&gt;&lt;wsp:rsid wsp:val=&quot;00B33D49&quot;/&gt;&lt;wsp:rsid wsp:val=&quot;00B33EA4&quot;/&gt;&lt;wsp:rsid wsp:val=&quot;00B34407&quot;/&gt;&lt;wsp:rsid wsp:val=&quot;00B34A4F&quot;/&gt;&lt;wsp:rsid wsp:val=&quot;00B34BF0&quot;/&gt;&lt;wsp:rsid wsp:val=&quot;00B35527&quot;/&gt;&lt;wsp:rsid wsp:val=&quot;00B35917&quot;/&gt;&lt;wsp:rsid wsp:val=&quot;00B35D66&quot;/&gt;&lt;wsp:rsid wsp:val=&quot;00B35DF6&quot;/&gt;&lt;wsp:rsid wsp:val=&quot;00B3621E&quot;/&gt;&lt;wsp:rsid wsp:val=&quot;00B36311&quot;/&gt;&lt;wsp:rsid wsp:val=&quot;00B364CE&quot;/&gt;&lt;wsp:rsid wsp:val=&quot;00B365D4&quot;/&gt;&lt;wsp:rsid wsp:val=&quot;00B3688C&quot;/&gt;&lt;wsp:rsid wsp:val=&quot;00B36A33&quot;/&gt;&lt;wsp:rsid wsp:val=&quot;00B36EC4&quot;/&gt;&lt;wsp:rsid wsp:val=&quot;00B370C9&quot;/&gt;&lt;wsp:rsid wsp:val=&quot;00B371C8&quot;/&gt;&lt;wsp:rsid wsp:val=&quot;00B3722B&quot;/&gt;&lt;wsp:rsid wsp:val=&quot;00B3737F&quot;/&gt;&lt;wsp:rsid wsp:val=&quot;00B37CB1&quot;/&gt;&lt;wsp:rsid wsp:val=&quot;00B37D15&quot;/&gt;&lt;wsp:rsid wsp:val=&quot;00B37EED&quot;/&gt;&lt;wsp:rsid wsp:val=&quot;00B40004&quot;/&gt;&lt;wsp:rsid wsp:val=&quot;00B4015C&quot;/&gt;&lt;wsp:rsid wsp:val=&quot;00B40870&quot;/&gt;&lt;wsp:rsid wsp:val=&quot;00B40AEF&quot;/&gt;&lt;wsp:rsid wsp:val=&quot;00B40B74&quot;/&gt;&lt;wsp:rsid wsp:val=&quot;00B40D9F&quot;/&gt;&lt;wsp:rsid wsp:val=&quot;00B40EEE&quot;/&gt;&lt;wsp:rsid wsp:val=&quot;00B4117A&quot;/&gt;&lt;wsp:rsid wsp:val=&quot;00B413B0&quot;/&gt;&lt;wsp:rsid wsp:val=&quot;00B41726&quot;/&gt;&lt;wsp:rsid wsp:val=&quot;00B41930&quot;/&gt;&lt;wsp:rsid wsp:val=&quot;00B41C02&quot;/&gt;&lt;wsp:rsid wsp:val=&quot;00B41C4E&quot;/&gt;&lt;wsp:rsid wsp:val=&quot;00B41D77&quot;/&gt;&lt;wsp:rsid wsp:val=&quot;00B41DC0&quot;/&gt;&lt;wsp:rsid wsp:val=&quot;00B41F2F&quot;/&gt;&lt;wsp:rsid wsp:val=&quot;00B423C5&quot;/&gt;&lt;wsp:rsid wsp:val=&quot;00B42489&quot;/&gt;&lt;wsp:rsid wsp:val=&quot;00B42584&quot;/&gt;&lt;wsp:rsid wsp:val=&quot;00B426B4&quot;/&gt;&lt;wsp:rsid wsp:val=&quot;00B42D9C&quot;/&gt;&lt;wsp:rsid wsp:val=&quot;00B42DE4&quot;/&gt;&lt;wsp:rsid wsp:val=&quot;00B43079&quot;/&gt;&lt;wsp:rsid wsp:val=&quot;00B4307D&quot;/&gt;&lt;wsp:rsid wsp:val=&quot;00B431F6&quot;/&gt;&lt;wsp:rsid wsp:val=&quot;00B432EE&quot;/&gt;&lt;wsp:rsid wsp:val=&quot;00B43429&quot;/&gt;&lt;wsp:rsid wsp:val=&quot;00B4361D&quot;/&gt;&lt;wsp:rsid wsp:val=&quot;00B43A4A&quot;/&gt;&lt;wsp:rsid wsp:val=&quot;00B43D14&quot;/&gt;&lt;wsp:rsid wsp:val=&quot;00B43D46&quot;/&gt;&lt;wsp:rsid wsp:val=&quot;00B43FF4&quot;/&gt;&lt;wsp:rsid wsp:val=&quot;00B4406E&quot;/&gt;&lt;wsp:rsid wsp:val=&quot;00B44281&quot;/&gt;&lt;wsp:rsid wsp:val=&quot;00B44670&quot;/&gt;&lt;wsp:rsid wsp:val=&quot;00B44CB1&quot;/&gt;&lt;wsp:rsid wsp:val=&quot;00B44F8D&quot;/&gt;&lt;wsp:rsid wsp:val=&quot;00B45150&quot;/&gt;&lt;wsp:rsid wsp:val=&quot;00B453D6&quot;/&gt;&lt;wsp:rsid wsp:val=&quot;00B4595E&quot;/&gt;&lt;wsp:rsid wsp:val=&quot;00B45A55&quot;/&gt;&lt;wsp:rsid wsp:val=&quot;00B45B45&quot;/&gt;&lt;wsp:rsid wsp:val=&quot;00B45B87&quot;/&gt;&lt;wsp:rsid wsp:val=&quot;00B460C8&quot;/&gt;&lt;wsp:rsid wsp:val=&quot;00B4667A&quot;/&gt;&lt;wsp:rsid wsp:val=&quot;00B46698&quot;/&gt;&lt;wsp:rsid wsp:val=&quot;00B466E6&quot;/&gt;&lt;wsp:rsid wsp:val=&quot;00B468EF&quot;/&gt;&lt;wsp:rsid wsp:val=&quot;00B46927&quot;/&gt;&lt;wsp:rsid wsp:val=&quot;00B46C3F&quot;/&gt;&lt;wsp:rsid wsp:val=&quot;00B471D5&quot;/&gt;&lt;wsp:rsid wsp:val=&quot;00B47815&quot;/&gt;&lt;wsp:rsid wsp:val=&quot;00B47884&quot;/&gt;&lt;wsp:rsid wsp:val=&quot;00B47AE2&quot;/&gt;&lt;wsp:rsid wsp:val=&quot;00B47BBC&quot;/&gt;&lt;wsp:rsid wsp:val=&quot;00B47BF2&quot;/&gt;&lt;wsp:rsid wsp:val=&quot;00B500F6&quot;/&gt;&lt;wsp:rsid wsp:val=&quot;00B50324&quot;/&gt;&lt;wsp:rsid wsp:val=&quot;00B504C2&quot;/&gt;&lt;wsp:rsid wsp:val=&quot;00B5050C&quot;/&gt;&lt;wsp:rsid wsp:val=&quot;00B50872&quot;/&gt;&lt;wsp:rsid wsp:val=&quot;00B50AA4&quot;/&gt;&lt;wsp:rsid wsp:val=&quot;00B50CA2&quot;/&gt;&lt;wsp:rsid wsp:val=&quot;00B51004&quot;/&gt;&lt;wsp:rsid wsp:val=&quot;00B51132&quot;/&gt;&lt;wsp:rsid wsp:val=&quot;00B51335&quot;/&gt;&lt;wsp:rsid wsp:val=&quot;00B51BBE&quot;/&gt;&lt;wsp:rsid wsp:val=&quot;00B51E7B&quot;/&gt;&lt;wsp:rsid wsp:val=&quot;00B5223B&quot;/&gt;&lt;wsp:rsid wsp:val=&quot;00B52347&quot;/&gt;&lt;wsp:rsid wsp:val=&quot;00B523E3&quot;/&gt;&lt;wsp:rsid wsp:val=&quot;00B5242F&quot;/&gt;&lt;wsp:rsid wsp:val=&quot;00B52456&quot;/&gt;&lt;wsp:rsid wsp:val=&quot;00B526B6&quot;/&gt;&lt;wsp:rsid wsp:val=&quot;00B52793&quot;/&gt;&lt;wsp:rsid wsp:val=&quot;00B52CFA&quot;/&gt;&lt;wsp:rsid wsp:val=&quot;00B52EA3&quot;/&gt;&lt;wsp:rsid wsp:val=&quot;00B53039&quot;/&gt;&lt;wsp:rsid wsp:val=&quot;00B53188&quot;/&gt;&lt;wsp:rsid wsp:val=&quot;00B5347B&quot;/&gt;&lt;wsp:rsid wsp:val=&quot;00B535DB&quot;/&gt;&lt;wsp:rsid wsp:val=&quot;00B5361A&quot;/&gt;&lt;wsp:rsid wsp:val=&quot;00B537A2&quot;/&gt;&lt;wsp:rsid wsp:val=&quot;00B539EC&quot;/&gt;&lt;wsp:rsid wsp:val=&quot;00B53F59&quot;/&gt;&lt;wsp:rsid wsp:val=&quot;00B540FC&quot;/&gt;&lt;wsp:rsid wsp:val=&quot;00B543A6&quot;/&gt;&lt;wsp:rsid wsp:val=&quot;00B5463C&quot;/&gt;&lt;wsp:rsid wsp:val=&quot;00B5471E&quot;/&gt;&lt;wsp:rsid wsp:val=&quot;00B54748&quot;/&gt;&lt;wsp:rsid wsp:val=&quot;00B547B2&quot;/&gt;&lt;wsp:rsid wsp:val=&quot;00B55546&quot;/&gt;&lt;wsp:rsid wsp:val=&quot;00B559BE&quot;/&gt;&lt;wsp:rsid wsp:val=&quot;00B55B12&quot;/&gt;&lt;wsp:rsid wsp:val=&quot;00B55E98&quot;/&gt;&lt;wsp:rsid wsp:val=&quot;00B56096&quot;/&gt;&lt;wsp:rsid wsp:val=&quot;00B56147&quot;/&gt;&lt;wsp:rsid wsp:val=&quot;00B561EC&quot;/&gt;&lt;wsp:rsid wsp:val=&quot;00B56201&quot;/&gt;&lt;wsp:rsid wsp:val=&quot;00B565C4&quot;/&gt;&lt;wsp:rsid wsp:val=&quot;00B56777&quot;/&gt;&lt;wsp:rsid wsp:val=&quot;00B569D8&quot;/&gt;&lt;wsp:rsid wsp:val=&quot;00B56FFE&quot;/&gt;&lt;wsp:rsid wsp:val=&quot;00B5710C&quot;/&gt;&lt;wsp:rsid wsp:val=&quot;00B57123&quot;/&gt;&lt;wsp:rsid wsp:val=&quot;00B57186&quot;/&gt;&lt;wsp:rsid wsp:val=&quot;00B572F3&quot;/&gt;&lt;wsp:rsid wsp:val=&quot;00B5739A&quot;/&gt;&lt;wsp:rsid wsp:val=&quot;00B573CA&quot;/&gt;&lt;wsp:rsid wsp:val=&quot;00B57529&quot;/&gt;&lt;wsp:rsid wsp:val=&quot;00B57534&quot;/&gt;&lt;wsp:rsid wsp:val=&quot;00B57724&quot;/&gt;&lt;wsp:rsid wsp:val=&quot;00B5796E&quot;/&gt;&lt;wsp:rsid wsp:val=&quot;00B57AA1&quot;/&gt;&lt;wsp:rsid wsp:val=&quot;00B57BD8&quot;/&gt;&lt;wsp:rsid wsp:val=&quot;00B57D33&quot;/&gt;&lt;wsp:rsid wsp:val=&quot;00B57E48&quot;/&gt;&lt;wsp:rsid wsp:val=&quot;00B57F5A&quot;/&gt;&lt;wsp:rsid wsp:val=&quot;00B60025&quot;/&gt;&lt;wsp:rsid wsp:val=&quot;00B60401&quot;/&gt;&lt;wsp:rsid wsp:val=&quot;00B60934&quot;/&gt;&lt;wsp:rsid wsp:val=&quot;00B60A2B&quot;/&gt;&lt;wsp:rsid wsp:val=&quot;00B60BC4&quot;/&gt;&lt;wsp:rsid wsp:val=&quot;00B60D7F&quot;/&gt;&lt;wsp:rsid wsp:val=&quot;00B612B8&quot;/&gt;&lt;wsp:rsid wsp:val=&quot;00B6134C&quot;/&gt;&lt;wsp:rsid wsp:val=&quot;00B6135B&quot;/&gt;&lt;wsp:rsid wsp:val=&quot;00B6138D&quot;/&gt;&lt;wsp:rsid wsp:val=&quot;00B6166D&quot;/&gt;&lt;wsp:rsid wsp:val=&quot;00B61948&quot;/&gt;&lt;wsp:rsid wsp:val=&quot;00B61A9C&quot;/&gt;&lt;wsp:rsid wsp:val=&quot;00B61B4F&quot;/&gt;&lt;wsp:rsid wsp:val=&quot;00B624F6&quot;/&gt;&lt;wsp:rsid wsp:val=&quot;00B6251E&quot;/&gt;&lt;wsp:rsid wsp:val=&quot;00B6281B&quot;/&gt;&lt;wsp:rsid wsp:val=&quot;00B62B8B&quot;/&gt;&lt;wsp:rsid wsp:val=&quot;00B630FB&quot;/&gt;&lt;wsp:rsid wsp:val=&quot;00B631EC&quot;/&gt;&lt;wsp:rsid wsp:val=&quot;00B63305&quot;/&gt;&lt;wsp:rsid wsp:val=&quot;00B638FF&quot;/&gt;&lt;wsp:rsid wsp:val=&quot;00B63B62&quot;/&gt;&lt;wsp:rsid wsp:val=&quot;00B63D12&quot;/&gt;&lt;wsp:rsid wsp:val=&quot;00B64016&quot;/&gt;&lt;wsp:rsid wsp:val=&quot;00B6452B&quot;/&gt;&lt;wsp:rsid wsp:val=&quot;00B645CF&quot;/&gt;&lt;wsp:rsid wsp:val=&quot;00B64FE2&quot;/&gt;&lt;wsp:rsid wsp:val=&quot;00B650E6&quot;/&gt;&lt;wsp:rsid wsp:val=&quot;00B6544D&quot;/&gt;&lt;wsp:rsid wsp:val=&quot;00B6549C&quot;/&gt;&lt;wsp:rsid wsp:val=&quot;00B657B1&quot;/&gt;&lt;wsp:rsid wsp:val=&quot;00B6580E&quot;/&gt;&lt;wsp:rsid wsp:val=&quot;00B6589E&quot;/&gt;&lt;wsp:rsid wsp:val=&quot;00B658D1&quot;/&gt;&lt;wsp:rsid wsp:val=&quot;00B659E1&quot;/&gt;&lt;wsp:rsid wsp:val=&quot;00B65CF5&quot;/&gt;&lt;wsp:rsid wsp:val=&quot;00B65E85&quot;/&gt;&lt;wsp:rsid wsp:val=&quot;00B660FB&quot;/&gt;&lt;wsp:rsid wsp:val=&quot;00B6648F&quot;/&gt;&lt;wsp:rsid wsp:val=&quot;00B665E6&quot;/&gt;&lt;wsp:rsid wsp:val=&quot;00B66841&quot;/&gt;&lt;wsp:rsid wsp:val=&quot;00B668DD&quot;/&gt;&lt;wsp:rsid wsp:val=&quot;00B66B77&quot;/&gt;&lt;wsp:rsid wsp:val=&quot;00B66C2E&quot;/&gt;&lt;wsp:rsid wsp:val=&quot;00B66FBD&quot;/&gt;&lt;wsp:rsid wsp:val=&quot;00B6760A&quot;/&gt;&lt;wsp:rsid wsp:val=&quot;00B67BE8&quot;/&gt;&lt;wsp:rsid wsp:val=&quot;00B67C10&quot;/&gt;&lt;wsp:rsid wsp:val=&quot;00B67C99&quot;/&gt;&lt;wsp:rsid wsp:val=&quot;00B67E4E&quot;/&gt;&lt;wsp:rsid wsp:val=&quot;00B67FAD&quot;/&gt;&lt;wsp:rsid wsp:val=&quot;00B70008&quot;/&gt;&lt;wsp:rsid wsp:val=&quot;00B70343&quot;/&gt;&lt;wsp:rsid wsp:val=&quot;00B7034D&quot;/&gt;&lt;wsp:rsid wsp:val=&quot;00B705B5&quot;/&gt;&lt;wsp:rsid wsp:val=&quot;00B70663&quot;/&gt;&lt;wsp:rsid wsp:val=&quot;00B70931&quot;/&gt;&lt;wsp:rsid wsp:val=&quot;00B70A20&quot;/&gt;&lt;wsp:rsid wsp:val=&quot;00B70C64&quot;/&gt;&lt;wsp:rsid wsp:val=&quot;00B70CF6&quot;/&gt;&lt;wsp:rsid wsp:val=&quot;00B70CF8&quot;/&gt;&lt;wsp:rsid wsp:val=&quot;00B70D10&quot;/&gt;&lt;wsp:rsid wsp:val=&quot;00B70D5E&quot;/&gt;&lt;wsp:rsid wsp:val=&quot;00B71008&quot;/&gt;&lt;wsp:rsid wsp:val=&quot;00B71278&quot;/&gt;&lt;wsp:rsid wsp:val=&quot;00B713A8&quot;/&gt;&lt;wsp:rsid wsp:val=&quot;00B715BF&quot;/&gt;&lt;wsp:rsid wsp:val=&quot;00B716D4&quot;/&gt;&lt;wsp:rsid wsp:val=&quot;00B71868&quot;/&gt;&lt;wsp:rsid wsp:val=&quot;00B7219D&quot;/&gt;&lt;wsp:rsid wsp:val=&quot;00B7232D&quot;/&gt;&lt;wsp:rsid wsp:val=&quot;00B7272B&quot;/&gt;&lt;wsp:rsid wsp:val=&quot;00B72F71&quot;/&gt;&lt;wsp:rsid wsp:val=&quot;00B72FA2&quot;/&gt;&lt;wsp:rsid wsp:val=&quot;00B730D0&quot;/&gt;&lt;wsp:rsid wsp:val=&quot;00B731C9&quot;/&gt;&lt;wsp:rsid wsp:val=&quot;00B732D5&quot;/&gt;&lt;wsp:rsid wsp:val=&quot;00B73342&quot;/&gt;&lt;wsp:rsid wsp:val=&quot;00B734D0&quot;/&gt;&lt;wsp:rsid wsp:val=&quot;00B735A9&quot;/&gt;&lt;wsp:rsid wsp:val=&quot;00B737B3&quot;/&gt;&lt;wsp:rsid wsp:val=&quot;00B73964&quot;/&gt;&lt;wsp:rsid wsp:val=&quot;00B73B05&quot;/&gt;&lt;wsp:rsid wsp:val=&quot;00B73B4B&quot;/&gt;&lt;wsp:rsid wsp:val=&quot;00B73EAC&quot;/&gt;&lt;wsp:rsid wsp:val=&quot;00B73F47&quot;/&gt;&lt;wsp:rsid wsp:val=&quot;00B7413B&quot;/&gt;&lt;wsp:rsid wsp:val=&quot;00B7416D&quot;/&gt;&lt;wsp:rsid wsp:val=&quot;00B74484&quot;/&gt;&lt;wsp:rsid wsp:val=&quot;00B74825&quot;/&gt;&lt;wsp:rsid wsp:val=&quot;00B74B8D&quot;/&gt;&lt;wsp:rsid wsp:val=&quot;00B74D5A&quot;/&gt;&lt;wsp:rsid wsp:val=&quot;00B74EF8&quot;/&gt;&lt;wsp:rsid wsp:val=&quot;00B750A4&quot;/&gt;&lt;wsp:rsid wsp:val=&quot;00B75287&quot;/&gt;&lt;wsp:rsid wsp:val=&quot;00B753C4&quot;/&gt;&lt;wsp:rsid wsp:val=&quot;00B75499&quot;/&gt;&lt;wsp:rsid wsp:val=&quot;00B754F0&quot;/&gt;&lt;wsp:rsid wsp:val=&quot;00B75605&quot;/&gt;&lt;wsp:rsid wsp:val=&quot;00B75618&quot;/&gt;&lt;wsp:rsid wsp:val=&quot;00B75715&quot;/&gt;&lt;wsp:rsid wsp:val=&quot;00B75731&quot;/&gt;&lt;wsp:rsid wsp:val=&quot;00B7576D&quot;/&gt;&lt;wsp:rsid wsp:val=&quot;00B75A6C&quot;/&gt;&lt;wsp:rsid wsp:val=&quot;00B75A88&quot;/&gt;&lt;wsp:rsid wsp:val=&quot;00B75B1F&quot;/&gt;&lt;wsp:rsid wsp:val=&quot;00B7609B&quot;/&gt;&lt;wsp:rsid wsp:val=&quot;00B76365&quot;/&gt;&lt;wsp:rsid wsp:val=&quot;00B76451&quot;/&gt;&lt;wsp:rsid wsp:val=&quot;00B76670&quot;/&gt;&lt;wsp:rsid wsp:val=&quot;00B7669C&quot;/&gt;&lt;wsp:rsid wsp:val=&quot;00B766FC&quot;/&gt;&lt;wsp:rsid wsp:val=&quot;00B76A96&quot;/&gt;&lt;wsp:rsid wsp:val=&quot;00B76C26&quot;/&gt;&lt;wsp:rsid wsp:val=&quot;00B76EAA&quot;/&gt;&lt;wsp:rsid wsp:val=&quot;00B76F46&quot;/&gt;&lt;wsp:rsid wsp:val=&quot;00B77056&quot;/&gt;&lt;wsp:rsid wsp:val=&quot;00B77115&quot;/&gt;&lt;wsp:rsid wsp:val=&quot;00B77766&quot;/&gt;&lt;wsp:rsid wsp:val=&quot;00B77C34&quot;/&gt;&lt;wsp:rsid wsp:val=&quot;00B77D5A&quot;/&gt;&lt;wsp:rsid wsp:val=&quot;00B77FFD&quot;/&gt;&lt;wsp:rsid wsp:val=&quot;00B8056D&quot;/&gt;&lt;wsp:rsid wsp:val=&quot;00B8069F&quot;/&gt;&lt;wsp:rsid wsp:val=&quot;00B807CC&quot;/&gt;&lt;wsp:rsid wsp:val=&quot;00B80829&quot;/&gt;&lt;wsp:rsid wsp:val=&quot;00B808FD&quot;/&gt;&lt;wsp:rsid wsp:val=&quot;00B80966&quot;/&gt;&lt;wsp:rsid wsp:val=&quot;00B809EC&quot;/&gt;&lt;wsp:rsid wsp:val=&quot;00B80A58&quot;/&gt;&lt;wsp:rsid wsp:val=&quot;00B80C07&quot;/&gt;&lt;wsp:rsid wsp:val=&quot;00B80D0C&quot;/&gt;&lt;wsp:rsid wsp:val=&quot;00B80E50&quot;/&gt;&lt;wsp:rsid wsp:val=&quot;00B80E94&quot;/&gt;&lt;wsp:rsid wsp:val=&quot;00B8112D&quot;/&gt;&lt;wsp:rsid wsp:val=&quot;00B81738&quot;/&gt;&lt;wsp:rsid wsp:val=&quot;00B81BD5&quot;/&gt;&lt;wsp:rsid wsp:val=&quot;00B81CE3&quot;/&gt;&lt;wsp:rsid wsp:val=&quot;00B81EEB&quot;/&gt;&lt;wsp:rsid wsp:val=&quot;00B820EF&quot;/&gt;&lt;wsp:rsid wsp:val=&quot;00B82225&quot;/&gt;&lt;wsp:rsid wsp:val=&quot;00B8230A&quot;/&gt;&lt;wsp:rsid wsp:val=&quot;00B82763&quot;/&gt;&lt;wsp:rsid wsp:val=&quot;00B8284C&quot;/&gt;&lt;wsp:rsid wsp:val=&quot;00B82A6C&quot;/&gt;&lt;wsp:rsid wsp:val=&quot;00B82A6F&quot;/&gt;&lt;wsp:rsid wsp:val=&quot;00B82ACB&quot;/&gt;&lt;wsp:rsid wsp:val=&quot;00B82DB5&quot;/&gt;&lt;wsp:rsid wsp:val=&quot;00B82E6F&quot;/&gt;&lt;wsp:rsid wsp:val=&quot;00B83102&quot;/&gt;&lt;wsp:rsid wsp:val=&quot;00B83324&quot;/&gt;&lt;wsp:rsid wsp:val=&quot;00B83567&quot;/&gt;&lt;wsp:rsid wsp:val=&quot;00B83590&quot;/&gt;&lt;wsp:rsid wsp:val=&quot;00B835EF&quot;/&gt;&lt;wsp:rsid wsp:val=&quot;00B83779&quot;/&gt;&lt;wsp:rsid wsp:val=&quot;00B839F0&quot;/&gt;&lt;wsp:rsid wsp:val=&quot;00B83D08&quot;/&gt;&lt;wsp:rsid wsp:val=&quot;00B83DAF&quot;/&gt;&lt;wsp:rsid wsp:val=&quot;00B843CB&quot;/&gt;&lt;wsp:rsid wsp:val=&quot;00B84439&quot;/&gt;&lt;wsp:rsid wsp:val=&quot;00B84771&quot;/&gt;&lt;wsp:rsid wsp:val=&quot;00B84F6E&quot;/&gt;&lt;wsp:rsid wsp:val=&quot;00B85026&quot;/&gt;&lt;wsp:rsid wsp:val=&quot;00B8522B&quot;/&gt;&lt;wsp:rsid wsp:val=&quot;00B85285&quot;/&gt;&lt;wsp:rsid wsp:val=&quot;00B8563A&quot;/&gt;&lt;wsp:rsid wsp:val=&quot;00B8565F&quot;/&gt;&lt;wsp:rsid wsp:val=&quot;00B856BC&quot;/&gt;&lt;wsp:rsid wsp:val=&quot;00B858B4&quot;/&gt;&lt;wsp:rsid wsp:val=&quot;00B85D4A&quot;/&gt;&lt;wsp:rsid wsp:val=&quot;00B85EFE&quot;/&gt;&lt;wsp:rsid wsp:val=&quot;00B8600E&quot;/&gt;&lt;wsp:rsid wsp:val=&quot;00B862EF&quot;/&gt;&lt;wsp:rsid wsp:val=&quot;00B8683B&quot;/&gt;&lt;wsp:rsid wsp:val=&quot;00B86C87&quot;/&gt;&lt;wsp:rsid wsp:val=&quot;00B86E5F&quot;/&gt;&lt;wsp:rsid wsp:val=&quot;00B87137&quot;/&gt;&lt;wsp:rsid wsp:val=&quot;00B87636&quot;/&gt;&lt;wsp:rsid wsp:val=&quot;00B877B1&quot;/&gt;&lt;wsp:rsid wsp:val=&quot;00B87B4F&quot;/&gt;&lt;wsp:rsid wsp:val=&quot;00B87C10&quot;/&gt;&lt;wsp:rsid wsp:val=&quot;00B87CCB&quot;/&gt;&lt;wsp:rsid wsp:val=&quot;00B87CD5&quot;/&gt;&lt;wsp:rsid wsp:val=&quot;00B87EBD&quot;/&gt;&lt;wsp:rsid wsp:val=&quot;00B87ED3&quot;/&gt;&lt;wsp:rsid wsp:val=&quot;00B90042&quot;/&gt;&lt;wsp:rsid wsp:val=&quot;00B90771&quot;/&gt;&lt;wsp:rsid wsp:val=&quot;00B9088B&quot;/&gt;&lt;wsp:rsid wsp:val=&quot;00B90E81&quot;/&gt;&lt;wsp:rsid wsp:val=&quot;00B91023&quot;/&gt;&lt;wsp:rsid wsp:val=&quot;00B910C1&quot;/&gt;&lt;wsp:rsid wsp:val=&quot;00B9114D&quot;/&gt;&lt;wsp:rsid wsp:val=&quot;00B914B0&quot;/&gt;&lt;wsp:rsid wsp:val=&quot;00B914D8&quot;/&gt;&lt;wsp:rsid wsp:val=&quot;00B91832&quot;/&gt;&lt;wsp:rsid wsp:val=&quot;00B91CC3&quot;/&gt;&lt;wsp:rsid wsp:val=&quot;00B91DD4&quot;/&gt;&lt;wsp:rsid wsp:val=&quot;00B91FB8&quot;/&gt;&lt;wsp:rsid wsp:val=&quot;00B9205D&quot;/&gt;&lt;wsp:rsid wsp:val=&quot;00B924B2&quot;/&gt;&lt;wsp:rsid wsp:val=&quot;00B925C1&quot;/&gt;&lt;wsp:rsid wsp:val=&quot;00B92778&quot;/&gt;&lt;wsp:rsid wsp:val=&quot;00B929AD&quot;/&gt;&lt;wsp:rsid wsp:val=&quot;00B92C0C&quot;/&gt;&lt;wsp:rsid wsp:val=&quot;00B93093&quot;/&gt;&lt;wsp:rsid wsp:val=&quot;00B93912&quot;/&gt;&lt;wsp:rsid wsp:val=&quot;00B93A4E&quot;/&gt;&lt;wsp:rsid wsp:val=&quot;00B93F28&quot;/&gt;&lt;wsp:rsid wsp:val=&quot;00B941FB&quot;/&gt;&lt;wsp:rsid wsp:val=&quot;00B943CA&quot;/&gt;&lt;wsp:rsid wsp:val=&quot;00B94C2D&quot;/&gt;&lt;wsp:rsid wsp:val=&quot;00B9507D&quot;/&gt;&lt;wsp:rsid wsp:val=&quot;00B955AA&quot;/&gt;&lt;wsp:rsid wsp:val=&quot;00B95600&quot;/&gt;&lt;wsp:rsid wsp:val=&quot;00B95707&quot;/&gt;&lt;wsp:rsid wsp:val=&quot;00B9583E&quot;/&gt;&lt;wsp:rsid wsp:val=&quot;00B95B07&quot;/&gt;&lt;wsp:rsid wsp:val=&quot;00B95F86&quot;/&gt;&lt;wsp:rsid wsp:val=&quot;00B96352&quot;/&gt;&lt;wsp:rsid wsp:val=&quot;00B96632&quot;/&gt;&lt;wsp:rsid wsp:val=&quot;00B96793&quot;/&gt;&lt;wsp:rsid wsp:val=&quot;00B967E1&quot;/&gt;&lt;wsp:rsid wsp:val=&quot;00B96947&quot;/&gt;&lt;wsp:rsid wsp:val=&quot;00B96A45&quot;/&gt;&lt;wsp:rsid wsp:val=&quot;00B96CFE&quot;/&gt;&lt;wsp:rsid wsp:val=&quot;00B972E1&quot;/&gt;&lt;wsp:rsid wsp:val=&quot;00B97307&quot;/&gt;&lt;wsp:rsid wsp:val=&quot;00B973E2&quot;/&gt;&lt;wsp:rsid wsp:val=&quot;00B9766B&quot;/&gt;&lt;wsp:rsid wsp:val=&quot;00B9768A&quot;/&gt;&lt;wsp:rsid wsp:val=&quot;00B9781B&quot;/&gt;&lt;wsp:rsid wsp:val=&quot;00B97943&quot;/&gt;&lt;wsp:rsid wsp:val=&quot;00B97B33&quot;/&gt;&lt;wsp:rsid wsp:val=&quot;00B97D11&quot;/&gt;&lt;wsp:rsid wsp:val=&quot;00B97D3C&quot;/&gt;&lt;wsp:rsid wsp:val=&quot;00B97D72&quot;/&gt;&lt;wsp:rsid wsp:val=&quot;00B97FCA&quot;/&gt;&lt;wsp:rsid wsp:val=&quot;00BA0053&quot;/&gt;&lt;wsp:rsid wsp:val=&quot;00BA00C7&quot;/&gt;&lt;wsp:rsid wsp:val=&quot;00BA029E&quot;/&gt;&lt;wsp:rsid wsp:val=&quot;00BA043D&quot;/&gt;&lt;wsp:rsid wsp:val=&quot;00BA07D2&quot;/&gt;&lt;wsp:rsid wsp:val=&quot;00BA0A1A&quot;/&gt;&lt;wsp:rsid wsp:val=&quot;00BA0E02&quot;/&gt;&lt;wsp:rsid wsp:val=&quot;00BA1546&quot;/&gt;&lt;wsp:rsid wsp:val=&quot;00BA178E&quot;/&gt;&lt;wsp:rsid wsp:val=&quot;00BA1867&quot;/&gt;&lt;wsp:rsid wsp:val=&quot;00BA19B8&quot;/&gt;&lt;wsp:rsid wsp:val=&quot;00BA1A28&quot;/&gt;&lt;wsp:rsid wsp:val=&quot;00BA1DFD&quot;/&gt;&lt;wsp:rsid wsp:val=&quot;00BA20EA&quot;/&gt;&lt;wsp:rsid wsp:val=&quot;00BA2220&quot;/&gt;&lt;wsp:rsid wsp:val=&quot;00BA2524&quot;/&gt;&lt;wsp:rsid wsp:val=&quot;00BA26D5&quot;/&gt;&lt;wsp:rsid wsp:val=&quot;00BA29EE&quot;/&gt;&lt;wsp:rsid wsp:val=&quot;00BA2AD9&quot;/&gt;&lt;wsp:rsid wsp:val=&quot;00BA2BCD&quot;/&gt;&lt;wsp:rsid wsp:val=&quot;00BA2F93&quot;/&gt;&lt;wsp:rsid wsp:val=&quot;00BA308E&quot;/&gt;&lt;wsp:rsid wsp:val=&quot;00BA323D&quot;/&gt;&lt;wsp:rsid wsp:val=&quot;00BA3547&quot;/&gt;&lt;wsp:rsid wsp:val=&quot;00BA3551&quot;/&gt;&lt;wsp:rsid wsp:val=&quot;00BA35F1&quot;/&gt;&lt;wsp:rsid wsp:val=&quot;00BA37D5&quot;/&gt;&lt;wsp:rsid wsp:val=&quot;00BA393D&quot;/&gt;&lt;wsp:rsid wsp:val=&quot;00BA3A59&quot;/&gt;&lt;wsp:rsid wsp:val=&quot;00BA3A94&quot;/&gt;&lt;wsp:rsid wsp:val=&quot;00BA3AC3&quot;/&gt;&lt;wsp:rsid wsp:val=&quot;00BA3B8A&quot;/&gt;&lt;wsp:rsid wsp:val=&quot;00BA3C2F&quot;/&gt;&lt;wsp:rsid wsp:val=&quot;00BA3DFF&quot;/&gt;&lt;wsp:rsid wsp:val=&quot;00BA3F9D&quot;/&gt;&lt;wsp:rsid wsp:val=&quot;00BA41FA&quot;/&gt;&lt;wsp:rsid wsp:val=&quot;00BA4D06&quot;/&gt;&lt;wsp:rsid wsp:val=&quot;00BA4ED7&quot;/&gt;&lt;wsp:rsid wsp:val=&quot;00BA4EFA&quot;/&gt;&lt;wsp:rsid wsp:val=&quot;00BA533B&quot;/&gt;&lt;wsp:rsid wsp:val=&quot;00BA579E&quot;/&gt;&lt;wsp:rsid wsp:val=&quot;00BA5882&quot;/&gt;&lt;wsp:rsid wsp:val=&quot;00BA59CA&quot;/&gt;&lt;wsp:rsid wsp:val=&quot;00BA5A51&quot;/&gt;&lt;wsp:rsid wsp:val=&quot;00BA5E70&quot;/&gt;&lt;wsp:rsid wsp:val=&quot;00BA5E7F&quot;/&gt;&lt;wsp:rsid wsp:val=&quot;00BA6702&quot;/&gt;&lt;wsp:rsid wsp:val=&quot;00BA6955&quot;/&gt;&lt;wsp:rsid wsp:val=&quot;00BA6BB7&quot;/&gt;&lt;wsp:rsid wsp:val=&quot;00BA6D40&quot;/&gt;&lt;wsp:rsid wsp:val=&quot;00BA6F78&quot;/&gt;&lt;wsp:rsid wsp:val=&quot;00BA7422&quot;/&gt;&lt;wsp:rsid wsp:val=&quot;00BA74B4&quot;/&gt;&lt;wsp:rsid wsp:val=&quot;00BA75E5&quot;/&gt;&lt;wsp:rsid wsp:val=&quot;00BA77CD&quot;/&gt;&lt;wsp:rsid wsp:val=&quot;00BA794C&quot;/&gt;&lt;wsp:rsid wsp:val=&quot;00BA7A30&quot;/&gt;&lt;wsp:rsid wsp:val=&quot;00BB002A&quot;/&gt;&lt;wsp:rsid wsp:val=&quot;00BB0100&quot;/&gt;&lt;wsp:rsid wsp:val=&quot;00BB0479&quot;/&gt;&lt;wsp:rsid wsp:val=&quot;00BB04BC&quot;/&gt;&lt;wsp:rsid wsp:val=&quot;00BB0763&quot;/&gt;&lt;wsp:rsid wsp:val=&quot;00BB0B27&quot;/&gt;&lt;wsp:rsid wsp:val=&quot;00BB0C33&quot;/&gt;&lt;wsp:rsid wsp:val=&quot;00BB0CAD&quot;/&gt;&lt;wsp:rsid wsp:val=&quot;00BB0F17&quot;/&gt;&lt;wsp:rsid wsp:val=&quot;00BB0FAA&quot;/&gt;&lt;wsp:rsid wsp:val=&quot;00BB116F&quot;/&gt;&lt;wsp:rsid wsp:val=&quot;00BB1288&quot;/&gt;&lt;wsp:rsid wsp:val=&quot;00BB17AD&quot;/&gt;&lt;wsp:rsid wsp:val=&quot;00BB1A22&quot;/&gt;&lt;wsp:rsid wsp:val=&quot;00BB1A9E&quot;/&gt;&lt;wsp:rsid wsp:val=&quot;00BB1F4E&quot;/&gt;&lt;wsp:rsid wsp:val=&quot;00BB1F90&quot;/&gt;&lt;wsp:rsid wsp:val=&quot;00BB2133&quot;/&gt;&lt;wsp:rsid wsp:val=&quot;00BB2323&quot;/&gt;&lt;wsp:rsid wsp:val=&quot;00BB2504&quot;/&gt;&lt;wsp:rsid wsp:val=&quot;00BB2562&quot;/&gt;&lt;wsp:rsid wsp:val=&quot;00BB25CD&quot;/&gt;&lt;wsp:rsid wsp:val=&quot;00BB26D6&quot;/&gt;&lt;wsp:rsid wsp:val=&quot;00BB2957&quot;/&gt;&lt;wsp:rsid wsp:val=&quot;00BB2AEB&quot;/&gt;&lt;wsp:rsid wsp:val=&quot;00BB2B4E&quot;/&gt;&lt;wsp:rsid wsp:val=&quot;00BB2CFA&quot;/&gt;&lt;wsp:rsid wsp:val=&quot;00BB2D25&quot;/&gt;&lt;wsp:rsid wsp:val=&quot;00BB2D56&quot;/&gt;&lt;wsp:rsid wsp:val=&quot;00BB2F57&quot;/&gt;&lt;wsp:rsid wsp:val=&quot;00BB2FAA&quot;/&gt;&lt;wsp:rsid wsp:val=&quot;00BB3272&quot;/&gt;&lt;wsp:rsid wsp:val=&quot;00BB32F5&quot;/&gt;&lt;wsp:rsid wsp:val=&quot;00BB3379&quot;/&gt;&lt;wsp:rsid wsp:val=&quot;00BB35CA&quot;/&gt;&lt;wsp:rsid wsp:val=&quot;00BB3FCB&quot;/&gt;&lt;wsp:rsid wsp:val=&quot;00BB44D4&quot;/&gt;&lt;wsp:rsid wsp:val=&quot;00BB491F&quot;/&gt;&lt;wsp:rsid wsp:val=&quot;00BB4B83&quot;/&gt;&lt;wsp:rsid wsp:val=&quot;00BB4D3C&quot;/&gt;&lt;wsp:rsid wsp:val=&quot;00BB4E2B&quot;/&gt;&lt;wsp:rsid wsp:val=&quot;00BB5876&quot;/&gt;&lt;wsp:rsid wsp:val=&quot;00BB5AB6&quot;/&gt;&lt;wsp:rsid wsp:val=&quot;00BB5B2B&quot;/&gt;&lt;wsp:rsid wsp:val=&quot;00BB5CD4&quot;/&gt;&lt;wsp:rsid wsp:val=&quot;00BB5D03&quot;/&gt;&lt;wsp:rsid wsp:val=&quot;00BB639D&quot;/&gt;&lt;wsp:rsid wsp:val=&quot;00BB6CEF&quot;/&gt;&lt;wsp:rsid wsp:val=&quot;00BB75D5&quot;/&gt;&lt;wsp:rsid wsp:val=&quot;00BB766D&quot;/&gt;&lt;wsp:rsid wsp:val=&quot;00BB78A5&quot;/&gt;&lt;wsp:rsid wsp:val=&quot;00BC009A&quot;/&gt;&lt;wsp:rsid wsp:val=&quot;00BC00FC&quot;/&gt;&lt;wsp:rsid wsp:val=&quot;00BC0104&quot;/&gt;&lt;wsp:rsid wsp:val=&quot;00BC038F&quot;/&gt;&lt;wsp:rsid wsp:val=&quot;00BC0683&quot;/&gt;&lt;wsp:rsid wsp:val=&quot;00BC0757&quot;/&gt;&lt;wsp:rsid wsp:val=&quot;00BC0804&quot;/&gt;&lt;wsp:rsid wsp:val=&quot;00BC09EB&quot;/&gt;&lt;wsp:rsid wsp:val=&quot;00BC0B74&quot;/&gt;&lt;wsp:rsid wsp:val=&quot;00BC0EF0&quot;/&gt;&lt;wsp:rsid wsp:val=&quot;00BC0F47&quot;/&gt;&lt;wsp:rsid wsp:val=&quot;00BC0F4E&quot;/&gt;&lt;wsp:rsid wsp:val=&quot;00BC1015&quot;/&gt;&lt;wsp:rsid wsp:val=&quot;00BC1553&quot;/&gt;&lt;wsp:rsid wsp:val=&quot;00BC1586&quot;/&gt;&lt;wsp:rsid wsp:val=&quot;00BC15A2&quot;/&gt;&lt;wsp:rsid wsp:val=&quot;00BC162E&quot;/&gt;&lt;wsp:rsid wsp:val=&quot;00BC1919&quot;/&gt;&lt;wsp:rsid wsp:val=&quot;00BC1F1A&quot;/&gt;&lt;wsp:rsid wsp:val=&quot;00BC1FF3&quot;/&gt;&lt;wsp:rsid wsp:val=&quot;00BC200E&quot;/&gt;&lt;wsp:rsid wsp:val=&quot;00BC21CE&quot;/&gt;&lt;wsp:rsid wsp:val=&quot;00BC2472&quot;/&gt;&lt;wsp:rsid wsp:val=&quot;00BC259F&quot;/&gt;&lt;wsp:rsid wsp:val=&quot;00BC297A&quot;/&gt;&lt;wsp:rsid wsp:val=&quot;00BC29B3&quot;/&gt;&lt;wsp:rsid wsp:val=&quot;00BC2D59&quot;/&gt;&lt;wsp:rsid wsp:val=&quot;00BC2E05&quot;/&gt;&lt;wsp:rsid wsp:val=&quot;00BC2F05&quot;/&gt;&lt;wsp:rsid wsp:val=&quot;00BC3101&quot;/&gt;&lt;wsp:rsid wsp:val=&quot;00BC31AC&quot;/&gt;&lt;wsp:rsid wsp:val=&quot;00BC323D&quot;/&gt;&lt;wsp:rsid wsp:val=&quot;00BC35DF&quot;/&gt;&lt;wsp:rsid wsp:val=&quot;00BC3A7B&quot;/&gt;&lt;wsp:rsid wsp:val=&quot;00BC3DEC&quot;/&gt;&lt;wsp:rsid wsp:val=&quot;00BC40BB&quot;/&gt;&lt;wsp:rsid wsp:val=&quot;00BC40C8&quot;/&gt;&lt;wsp:rsid wsp:val=&quot;00BC4741&quot;/&gt;&lt;wsp:rsid wsp:val=&quot;00BC491A&quot;/&gt;&lt;wsp:rsid wsp:val=&quot;00BC4966&quot;/&gt;&lt;wsp:rsid wsp:val=&quot;00BC4CE8&quot;/&gt;&lt;wsp:rsid wsp:val=&quot;00BC4FDA&quot;/&gt;&lt;wsp:rsid wsp:val=&quot;00BC507B&quot;/&gt;&lt;wsp:rsid wsp:val=&quot;00BC567A&quot;/&gt;&lt;wsp:rsid wsp:val=&quot;00BC5A3D&quot;/&gt;&lt;wsp:rsid wsp:val=&quot;00BC5A54&quot;/&gt;&lt;wsp:rsid wsp:val=&quot;00BC5DEB&quot;/&gt;&lt;wsp:rsid wsp:val=&quot;00BC6037&quot;/&gt;&lt;wsp:rsid wsp:val=&quot;00BC607B&quot;/&gt;&lt;wsp:rsid wsp:val=&quot;00BC62C6&quot;/&gt;&lt;wsp:rsid wsp:val=&quot;00BC63B6&quot;/&gt;&lt;wsp:rsid wsp:val=&quot;00BC694C&quot;/&gt;&lt;wsp:rsid wsp:val=&quot;00BC6AFD&quot;/&gt;&lt;wsp:rsid wsp:val=&quot;00BC6DE2&quot;/&gt;&lt;wsp:rsid wsp:val=&quot;00BC6E7C&quot;/&gt;&lt;wsp:rsid wsp:val=&quot;00BC6EC3&quot;/&gt;&lt;wsp:rsid wsp:val=&quot;00BC7444&quot;/&gt;&lt;wsp:rsid wsp:val=&quot;00BC764F&quot;/&gt;&lt;wsp:rsid wsp:val=&quot;00BC7AC8&quot;/&gt;&lt;wsp:rsid wsp:val=&quot;00BC7B1B&quot;/&gt;&lt;wsp:rsid wsp:val=&quot;00BC7F8B&quot;/&gt;&lt;wsp:rsid wsp:val=&quot;00BD00B3&quot;/&gt;&lt;wsp:rsid wsp:val=&quot;00BD07B6&quot;/&gt;&lt;wsp:rsid wsp:val=&quot;00BD0A98&quot;/&gt;&lt;wsp:rsid wsp:val=&quot;00BD0D2F&quot;/&gt;&lt;wsp:rsid wsp:val=&quot;00BD0DE7&quot;/&gt;&lt;wsp:rsid wsp:val=&quot;00BD115E&quot;/&gt;&lt;wsp:rsid wsp:val=&quot;00BD1316&quot;/&gt;&lt;wsp:rsid wsp:val=&quot;00BD1385&quot;/&gt;&lt;wsp:rsid wsp:val=&quot;00BD13D4&quot;/&gt;&lt;wsp:rsid wsp:val=&quot;00BD15D5&quot;/&gt;&lt;wsp:rsid wsp:val=&quot;00BD199F&quot;/&gt;&lt;wsp:rsid wsp:val=&quot;00BD19A1&quot;/&gt;&lt;wsp:rsid wsp:val=&quot;00BD1B0A&quot;/&gt;&lt;wsp:rsid wsp:val=&quot;00BD1D0A&quot;/&gt;&lt;wsp:rsid wsp:val=&quot;00BD1FD0&quot;/&gt;&lt;wsp:rsid wsp:val=&quot;00BD26D7&quot;/&gt;&lt;wsp:rsid wsp:val=&quot;00BD282A&quot;/&gt;&lt;wsp:rsid wsp:val=&quot;00BD2CB5&quot;/&gt;&lt;wsp:rsid wsp:val=&quot;00BD2D29&quot;/&gt;&lt;wsp:rsid wsp:val=&quot;00BD2EB9&quot;/&gt;&lt;wsp:rsid wsp:val=&quot;00BD3115&quot;/&gt;&lt;wsp:rsid wsp:val=&quot;00BD35A1&quot;/&gt;&lt;wsp:rsid wsp:val=&quot;00BD3637&quot;/&gt;&lt;wsp:rsid wsp:val=&quot;00BD36BE&quot;/&gt;&lt;wsp:rsid wsp:val=&quot;00BD36FC&quot;/&gt;&lt;wsp:rsid wsp:val=&quot;00BD3A2D&quot;/&gt;&lt;wsp:rsid wsp:val=&quot;00BD3D91&quot;/&gt;&lt;wsp:rsid wsp:val=&quot;00BD41B6&quot;/&gt;&lt;wsp:rsid wsp:val=&quot;00BD476C&quot;/&gt;&lt;wsp:rsid wsp:val=&quot;00BD47B5&quot;/&gt;&lt;wsp:rsid wsp:val=&quot;00BD49C1&quot;/&gt;&lt;wsp:rsid wsp:val=&quot;00BD4E86&quot;/&gt;&lt;wsp:rsid wsp:val=&quot;00BD4EDF&quot;/&gt;&lt;wsp:rsid wsp:val=&quot;00BD50B9&quot;/&gt;&lt;wsp:rsid wsp:val=&quot;00BD525D&quot;/&gt;&lt;wsp:rsid wsp:val=&quot;00BD5AAB&quot;/&gt;&lt;wsp:rsid wsp:val=&quot;00BD600C&quot;/&gt;&lt;wsp:rsid wsp:val=&quot;00BD64AA&quot;/&gt;&lt;wsp:rsid wsp:val=&quot;00BD6553&quot;/&gt;&lt;wsp:rsid wsp:val=&quot;00BD6752&quot;/&gt;&lt;wsp:rsid wsp:val=&quot;00BD6A63&quot;/&gt;&lt;wsp:rsid wsp:val=&quot;00BD6AC2&quot;/&gt;&lt;wsp:rsid wsp:val=&quot;00BD7217&quot;/&gt;&lt;wsp:rsid wsp:val=&quot;00BD728D&quot;/&gt;&lt;wsp:rsid wsp:val=&quot;00BD735F&quot;/&gt;&lt;wsp:rsid wsp:val=&quot;00BD74C3&quot;/&gt;&lt;wsp:rsid wsp:val=&quot;00BD74E3&quot;/&gt;&lt;wsp:rsid wsp:val=&quot;00BD7A65&quot;/&gt;&lt;wsp:rsid wsp:val=&quot;00BD7C39&quot;/&gt;&lt;wsp:rsid wsp:val=&quot;00BD7C7E&quot;/&gt;&lt;wsp:rsid wsp:val=&quot;00BE0048&quot;/&gt;&lt;wsp:rsid wsp:val=&quot;00BE0142&quot;/&gt;&lt;wsp:rsid wsp:val=&quot;00BE06AA&quot;/&gt;&lt;wsp:rsid wsp:val=&quot;00BE06AC&quot;/&gt;&lt;wsp:rsid wsp:val=&quot;00BE0749&quot;/&gt;&lt;wsp:rsid wsp:val=&quot;00BE0A54&quot;/&gt;&lt;wsp:rsid wsp:val=&quot;00BE0A7A&quot;/&gt;&lt;wsp:rsid wsp:val=&quot;00BE0DBF&quot;/&gt;&lt;wsp:rsid wsp:val=&quot;00BE0F9F&quot;/&gt;&lt;wsp:rsid wsp:val=&quot;00BE10DF&quot;/&gt;&lt;wsp:rsid wsp:val=&quot;00BE123E&quot;/&gt;&lt;wsp:rsid wsp:val=&quot;00BE1377&quot;/&gt;&lt;wsp:rsid wsp:val=&quot;00BE18F5&quot;/&gt;&lt;wsp:rsid wsp:val=&quot;00BE1924&quot;/&gt;&lt;wsp:rsid wsp:val=&quot;00BE195F&quot;/&gt;&lt;wsp:rsid wsp:val=&quot;00BE198A&quot;/&gt;&lt;wsp:rsid wsp:val=&quot;00BE1C1C&quot;/&gt;&lt;wsp:rsid wsp:val=&quot;00BE20A3&quot;/&gt;&lt;wsp:rsid wsp:val=&quot;00BE21BE&quot;/&gt;&lt;wsp:rsid wsp:val=&quot;00BE21E1&quot;/&gt;&lt;wsp:rsid wsp:val=&quot;00BE2579&quot;/&gt;&lt;wsp:rsid wsp:val=&quot;00BE28CA&quot;/&gt;&lt;wsp:rsid wsp:val=&quot;00BE2ACD&quot;/&gt;&lt;wsp:rsid wsp:val=&quot;00BE3118&quot;/&gt;&lt;wsp:rsid wsp:val=&quot;00BE342F&quot;/&gt;&lt;wsp:rsid wsp:val=&quot;00BE35B6&quot;/&gt;&lt;wsp:rsid wsp:val=&quot;00BE3718&quot;/&gt;&lt;wsp:rsid wsp:val=&quot;00BE37D7&quot;/&gt;&lt;wsp:rsid wsp:val=&quot;00BE393C&quot;/&gt;&lt;wsp:rsid wsp:val=&quot;00BE3974&quot;/&gt;&lt;wsp:rsid wsp:val=&quot;00BE3AC0&quot;/&gt;&lt;wsp:rsid wsp:val=&quot;00BE3AD3&quot;/&gt;&lt;wsp:rsid wsp:val=&quot;00BE3B86&quot;/&gt;&lt;wsp:rsid wsp:val=&quot;00BE3BA4&quot;/&gt;&lt;wsp:rsid wsp:val=&quot;00BE3EC1&quot;/&gt;&lt;wsp:rsid wsp:val=&quot;00BE4ABE&quot;/&gt;&lt;wsp:rsid wsp:val=&quot;00BE4DFA&quot;/&gt;&lt;wsp:rsid wsp:val=&quot;00BE5026&quot;/&gt;&lt;wsp:rsid wsp:val=&quot;00BE504C&quot;/&gt;&lt;wsp:rsid wsp:val=&quot;00BE5081&quot;/&gt;&lt;wsp:rsid wsp:val=&quot;00BE522E&quot;/&gt;&lt;wsp:rsid wsp:val=&quot;00BE52D8&quot;/&gt;&lt;wsp:rsid wsp:val=&quot;00BE5530&quot;/&gt;&lt;wsp:rsid wsp:val=&quot;00BE584E&quot;/&gt;&lt;wsp:rsid wsp:val=&quot;00BE598A&quot;/&gt;&lt;wsp:rsid wsp:val=&quot;00BE59F5&quot;/&gt;&lt;wsp:rsid wsp:val=&quot;00BE60BA&quot;/&gt;&lt;wsp:rsid wsp:val=&quot;00BE6126&quot;/&gt;&lt;wsp:rsid wsp:val=&quot;00BE63C5&quot;/&gt;&lt;wsp:rsid wsp:val=&quot;00BE644D&quot;/&gt;&lt;wsp:rsid wsp:val=&quot;00BE664F&quot;/&gt;&lt;wsp:rsid wsp:val=&quot;00BE66F4&quot;/&gt;&lt;wsp:rsid wsp:val=&quot;00BE67BF&quot;/&gt;&lt;wsp:rsid wsp:val=&quot;00BE6813&quot;/&gt;&lt;wsp:rsid wsp:val=&quot;00BE6878&quot;/&gt;&lt;wsp:rsid wsp:val=&quot;00BE6C4C&quot;/&gt;&lt;wsp:rsid wsp:val=&quot;00BE6DF2&quot;/&gt;&lt;wsp:rsid wsp:val=&quot;00BE6EE6&quot;/&gt;&lt;wsp:rsid wsp:val=&quot;00BE7017&quot;/&gt;&lt;wsp:rsid wsp:val=&quot;00BE7020&quot;/&gt;&lt;wsp:rsid wsp:val=&quot;00BE715A&quot;/&gt;&lt;wsp:rsid wsp:val=&quot;00BE7594&quot;/&gt;&lt;wsp:rsid wsp:val=&quot;00BE796D&quot;/&gt;&lt;wsp:rsid wsp:val=&quot;00BE7A02&quot;/&gt;&lt;wsp:rsid wsp:val=&quot;00BE7B06&quot;/&gt;&lt;wsp:rsid wsp:val=&quot;00BE7DD0&quot;/&gt;&lt;wsp:rsid wsp:val=&quot;00BE7E3F&quot;/&gt;&lt;wsp:rsid wsp:val=&quot;00BE7F36&quot;/&gt;&lt;wsp:rsid wsp:val=&quot;00BE7F75&quot;/&gt;&lt;wsp:rsid wsp:val=&quot;00BF0122&quot;/&gt;&lt;wsp:rsid wsp:val=&quot;00BF0169&quot;/&gt;&lt;wsp:rsid wsp:val=&quot;00BF0222&quot;/&gt;&lt;wsp:rsid wsp:val=&quot;00BF0268&quot;/&gt;&lt;wsp:rsid wsp:val=&quot;00BF036C&quot;/&gt;&lt;wsp:rsid wsp:val=&quot;00BF0726&quot;/&gt;&lt;wsp:rsid wsp:val=&quot;00BF0CC7&quot;/&gt;&lt;wsp:rsid wsp:val=&quot;00BF10CB&quot;/&gt;&lt;wsp:rsid wsp:val=&quot;00BF138B&quot;/&gt;&lt;wsp:rsid wsp:val=&quot;00BF1439&quot;/&gt;&lt;wsp:rsid wsp:val=&quot;00BF173B&quot;/&gt;&lt;wsp:rsid wsp:val=&quot;00BF1D8B&quot;/&gt;&lt;wsp:rsid wsp:val=&quot;00BF2191&quot;/&gt;&lt;wsp:rsid wsp:val=&quot;00BF224E&quot;/&gt;&lt;wsp:rsid wsp:val=&quot;00BF23EB&quot;/&gt;&lt;wsp:rsid wsp:val=&quot;00BF262A&quot;/&gt;&lt;wsp:rsid wsp:val=&quot;00BF2717&quot;/&gt;&lt;wsp:rsid wsp:val=&quot;00BF2874&quot;/&gt;&lt;wsp:rsid wsp:val=&quot;00BF2951&quot;/&gt;&lt;wsp:rsid wsp:val=&quot;00BF297B&quot;/&gt;&lt;wsp:rsid wsp:val=&quot;00BF3249&quot;/&gt;&lt;wsp:rsid wsp:val=&quot;00BF3292&quot;/&gt;&lt;wsp:rsid wsp:val=&quot;00BF32FC&quot;/&gt;&lt;wsp:rsid wsp:val=&quot;00BF3623&quot;/&gt;&lt;wsp:rsid wsp:val=&quot;00BF38B9&quot;/&gt;&lt;wsp:rsid wsp:val=&quot;00BF3B8E&quot;/&gt;&lt;wsp:rsid wsp:val=&quot;00BF3BA6&quot;/&gt;&lt;wsp:rsid wsp:val=&quot;00BF3EE1&quot;/&gt;&lt;wsp:rsid wsp:val=&quot;00BF430A&quot;/&gt;&lt;wsp:rsid wsp:val=&quot;00BF4550&quot;/&gt;&lt;wsp:rsid wsp:val=&quot;00BF478B&quot;/&gt;&lt;wsp:rsid wsp:val=&quot;00BF4879&quot;/&gt;&lt;wsp:rsid wsp:val=&quot;00BF4AA9&quot;/&gt;&lt;wsp:rsid wsp:val=&quot;00BF4BB9&quot;/&gt;&lt;wsp:rsid wsp:val=&quot;00BF4DD6&quot;/&gt;&lt;wsp:rsid wsp:val=&quot;00BF4E15&quot;/&gt;&lt;wsp:rsid wsp:val=&quot;00BF4EF5&quot;/&gt;&lt;wsp:rsid wsp:val=&quot;00BF4FA5&quot;/&gt;&lt;wsp:rsid wsp:val=&quot;00BF513D&quot;/&gt;&lt;wsp:rsid wsp:val=&quot;00BF5150&quot;/&gt;&lt;wsp:rsid wsp:val=&quot;00BF556A&quot;/&gt;&lt;wsp:rsid wsp:val=&quot;00BF5AD5&quot;/&gt;&lt;wsp:rsid wsp:val=&quot;00BF619C&quot;/&gt;&lt;wsp:rsid wsp:val=&quot;00BF638C&quot;/&gt;&lt;wsp:rsid wsp:val=&quot;00BF67C4&quot;/&gt;&lt;wsp:rsid wsp:val=&quot;00BF6E39&quot;/&gt;&lt;wsp:rsid wsp:val=&quot;00BF6F0F&quot;/&gt;&lt;wsp:rsid wsp:val=&quot;00BF6F35&quot;/&gt;&lt;wsp:rsid wsp:val=&quot;00BF6F41&quot;/&gt;&lt;wsp:rsid wsp:val=&quot;00BF70EF&quot;/&gt;&lt;wsp:rsid wsp:val=&quot;00BF7458&quot;/&gt;&lt;wsp:rsid wsp:val=&quot;00BF759A&quot;/&gt;&lt;wsp:rsid wsp:val=&quot;00BF76C4&quot;/&gt;&lt;wsp:rsid wsp:val=&quot;00BF7737&quot;/&gt;&lt;wsp:rsid wsp:val=&quot;00BF7A95&quot;/&gt;&lt;wsp:rsid wsp:val=&quot;00BF7ABC&quot;/&gt;&lt;wsp:rsid wsp:val=&quot;00BF7CA1&quot;/&gt;&lt;wsp:rsid wsp:val=&quot;00C00097&quot;/&gt;&lt;wsp:rsid wsp:val=&quot;00C001C0&quot;/&gt;&lt;wsp:rsid wsp:val=&quot;00C00A08&quot;/&gt;&lt;wsp:rsid wsp:val=&quot;00C00A99&quot;/&gt;&lt;wsp:rsid wsp:val=&quot;00C00F16&quot;/&gt;&lt;wsp:rsid wsp:val=&quot;00C010AD&quot;/&gt;&lt;wsp:rsid wsp:val=&quot;00C010C1&quot;/&gt;&lt;wsp:rsid wsp:val=&quot;00C01132&quot;/&gt;&lt;wsp:rsid wsp:val=&quot;00C01669&quot;/&gt;&lt;wsp:rsid wsp:val=&quot;00C01863&quot;/&gt;&lt;wsp:rsid wsp:val=&quot;00C0199B&quot;/&gt;&lt;wsp:rsid wsp:val=&quot;00C019D0&quot;/&gt;&lt;wsp:rsid wsp:val=&quot;00C01A5E&quot;/&gt;&lt;wsp:rsid wsp:val=&quot;00C01DB0&quot;/&gt;&lt;wsp:rsid wsp:val=&quot;00C01E68&quot;/&gt;&lt;wsp:rsid wsp:val=&quot;00C021BC&quot;/&gt;&lt;wsp:rsid wsp:val=&quot;00C022EB&quot;/&gt;&lt;wsp:rsid wsp:val=&quot;00C02341&quot;/&gt;&lt;wsp:rsid wsp:val=&quot;00C02406&quot;/&gt;&lt;wsp:rsid wsp:val=&quot;00C028C1&quot;/&gt;&lt;wsp:rsid wsp:val=&quot;00C02AA5&quot;/&gt;&lt;wsp:rsid wsp:val=&quot;00C02AC8&quot;/&gt;&lt;wsp:rsid wsp:val=&quot;00C02EE1&quot;/&gt;&lt;wsp:rsid wsp:val=&quot;00C03135&quot;/&gt;&lt;wsp:rsid wsp:val=&quot;00C0344D&quot;/&gt;&lt;wsp:rsid wsp:val=&quot;00C036B5&quot;/&gt;&lt;wsp:rsid wsp:val=&quot;00C036DD&quot;/&gt;&lt;wsp:rsid wsp:val=&quot;00C0383B&quot;/&gt;&lt;wsp:rsid wsp:val=&quot;00C0392B&quot;/&gt;&lt;wsp:rsid wsp:val=&quot;00C03A48&quot;/&gt;&lt;wsp:rsid wsp:val=&quot;00C03A62&quot;/&gt;&lt;wsp:rsid wsp:val=&quot;00C03DF9&quot;/&gt;&lt;wsp:rsid wsp:val=&quot;00C04D55&quot;/&gt;&lt;wsp:rsid wsp:val=&quot;00C04E25&quot;/&gt;&lt;wsp:rsid wsp:val=&quot;00C04F93&quot;/&gt;&lt;wsp:rsid wsp:val=&quot;00C05414&quot;/&gt;&lt;wsp:rsid wsp:val=&quot;00C05683&quot;/&gt;&lt;wsp:rsid wsp:val=&quot;00C059D3&quot;/&gt;&lt;wsp:rsid wsp:val=&quot;00C05A86&quot;/&gt;&lt;wsp:rsid wsp:val=&quot;00C05AF4&quot;/&gt;&lt;wsp:rsid wsp:val=&quot;00C05B9D&quot;/&gt;&lt;wsp:rsid wsp:val=&quot;00C05CB2&quot;/&gt;&lt;wsp:rsid wsp:val=&quot;00C05EF4&quot;/&gt;&lt;wsp:rsid wsp:val=&quot;00C05FBF&quot;/&gt;&lt;wsp:rsid wsp:val=&quot;00C06057&quot;/&gt;&lt;wsp:rsid wsp:val=&quot;00C0609B&quot;/&gt;&lt;wsp:rsid wsp:val=&quot;00C0609C&quot;/&gt;&lt;wsp:rsid wsp:val=&quot;00C0626F&quot;/&gt;&lt;wsp:rsid wsp:val=&quot;00C063B2&quot;/&gt;&lt;wsp:rsid wsp:val=&quot;00C06433&quot;/&gt;&lt;wsp:rsid wsp:val=&quot;00C064FB&quot;/&gt;&lt;wsp:rsid wsp:val=&quot;00C065ED&quot;/&gt;&lt;wsp:rsid wsp:val=&quot;00C06613&quot;/&gt;&lt;wsp:rsid wsp:val=&quot;00C06711&quot;/&gt;&lt;wsp:rsid wsp:val=&quot;00C06827&quot;/&gt;&lt;wsp:rsid wsp:val=&quot;00C0682A&quot;/&gt;&lt;wsp:rsid wsp:val=&quot;00C06A4A&quot;/&gt;&lt;wsp:rsid wsp:val=&quot;00C06A57&quot;/&gt;&lt;wsp:rsid wsp:val=&quot;00C06B04&quot;/&gt;&lt;wsp:rsid wsp:val=&quot;00C06B76&quot;/&gt;&lt;wsp:rsid wsp:val=&quot;00C06CF5&quot;/&gt;&lt;wsp:rsid wsp:val=&quot;00C0738F&quot;/&gt;&lt;wsp:rsid wsp:val=&quot;00C07A8C&quot;/&gt;&lt;wsp:rsid wsp:val=&quot;00C07B14&quot;/&gt;&lt;wsp:rsid wsp:val=&quot;00C100D7&quot;/&gt;&lt;wsp:rsid wsp:val=&quot;00C101E1&quot;/&gt;&lt;wsp:rsid wsp:val=&quot;00C104B1&quot;/&gt;&lt;wsp:rsid wsp:val=&quot;00C1065E&quot;/&gt;&lt;wsp:rsid wsp:val=&quot;00C10668&quot;/&gt;&lt;wsp:rsid wsp:val=&quot;00C107D6&quot;/&gt;&lt;wsp:rsid wsp:val=&quot;00C11265&quot;/&gt;&lt;wsp:rsid wsp:val=&quot;00C11821&quot;/&gt;&lt;wsp:rsid wsp:val=&quot;00C11DFA&quot;/&gt;&lt;wsp:rsid wsp:val=&quot;00C11E71&quot;/&gt;&lt;wsp:rsid wsp:val=&quot;00C1208A&quot;/&gt;&lt;wsp:rsid wsp:val=&quot;00C121CF&quot;/&gt;&lt;wsp:rsid wsp:val=&quot;00C12557&quot;/&gt;&lt;wsp:rsid wsp:val=&quot;00C125D0&quot;/&gt;&lt;wsp:rsid wsp:val=&quot;00C12726&quot;/&gt;&lt;wsp:rsid wsp:val=&quot;00C12B2E&quot;/&gt;&lt;wsp:rsid wsp:val=&quot;00C13064&quot;/&gt;&lt;wsp:rsid wsp:val=&quot;00C130BF&quot;/&gt;&lt;wsp:rsid wsp:val=&quot;00C13126&quot;/&gt;&lt;wsp:rsid wsp:val=&quot;00C131D9&quot;/&gt;&lt;wsp:rsid wsp:val=&quot;00C137A9&quot;/&gt;&lt;wsp:rsid wsp:val=&quot;00C13B49&quot;/&gt;&lt;wsp:rsid wsp:val=&quot;00C13C77&quot;/&gt;&lt;wsp:rsid wsp:val=&quot;00C14365&quot;/&gt;&lt;wsp:rsid wsp:val=&quot;00C14540&quot;/&gt;&lt;wsp:rsid wsp:val=&quot;00C14569&quot;/&gt;&lt;wsp:rsid wsp:val=&quot;00C1469C&quot;/&gt;&lt;wsp:rsid wsp:val=&quot;00C1596C&quot;/&gt;&lt;wsp:rsid wsp:val=&quot;00C159C6&quot;/&gt;&lt;wsp:rsid wsp:val=&quot;00C15ABA&quot;/&gt;&lt;wsp:rsid wsp:val=&quot;00C15AFF&quot;/&gt;&lt;wsp:rsid wsp:val=&quot;00C16066&quot;/&gt;&lt;wsp:rsid wsp:val=&quot;00C16476&quot;/&gt;&lt;wsp:rsid wsp:val=&quot;00C165C1&quot;/&gt;&lt;wsp:rsid wsp:val=&quot;00C16810&quot;/&gt;&lt;wsp:rsid wsp:val=&quot;00C16992&quot;/&gt;&lt;wsp:rsid wsp:val=&quot;00C16E33&quot;/&gt;&lt;wsp:rsid wsp:val=&quot;00C16E66&quot;/&gt;&lt;wsp:rsid wsp:val=&quot;00C17203&quot;/&gt;&lt;wsp:rsid wsp:val=&quot;00C17662&quot;/&gt;&lt;wsp:rsid wsp:val=&quot;00C17785&quot;/&gt;&lt;wsp:rsid wsp:val=&quot;00C177DD&quot;/&gt;&lt;wsp:rsid wsp:val=&quot;00C177E5&quot;/&gt;&lt;wsp:rsid wsp:val=&quot;00C179D1&quot;/&gt;&lt;wsp:rsid wsp:val=&quot;00C17E9B&quot;/&gt;&lt;wsp:rsid wsp:val=&quot;00C200EC&quot;/&gt;&lt;wsp:rsid wsp:val=&quot;00C20627&quot;/&gt;&lt;wsp:rsid wsp:val=&quot;00C206C2&quot;/&gt;&lt;wsp:rsid wsp:val=&quot;00C20908&quot;/&gt;&lt;wsp:rsid wsp:val=&quot;00C20963&quot;/&gt;&lt;wsp:rsid wsp:val=&quot;00C20A11&quot;/&gt;&lt;wsp:rsid wsp:val=&quot;00C20AE4&quot;/&gt;&lt;wsp:rsid wsp:val=&quot;00C20E5A&quot;/&gt;&lt;wsp:rsid wsp:val=&quot;00C20E85&quot;/&gt;&lt;wsp:rsid wsp:val=&quot;00C2107C&quot;/&gt;&lt;wsp:rsid wsp:val=&quot;00C2123E&quot;/&gt;&lt;wsp:rsid wsp:val=&quot;00C213A1&quot;/&gt;&lt;wsp:rsid wsp:val=&quot;00C213DC&quot;/&gt;&lt;wsp:rsid wsp:val=&quot;00C215C7&quot;/&gt;&lt;wsp:rsid wsp:val=&quot;00C21730&quot;/&gt;&lt;wsp:rsid wsp:val=&quot;00C21863&quot;/&gt;&lt;wsp:rsid wsp:val=&quot;00C221CB&quot;/&gt;&lt;wsp:rsid wsp:val=&quot;00C22B31&quot;/&gt;&lt;wsp:rsid wsp:val=&quot;00C22B74&quot;/&gt;&lt;wsp:rsid wsp:val=&quot;00C22D29&quot;/&gt;&lt;wsp:rsid wsp:val=&quot;00C22D8D&quot;/&gt;&lt;wsp:rsid wsp:val=&quot;00C22F1A&quot;/&gt;&lt;wsp:rsid wsp:val=&quot;00C23071&quot;/&gt;&lt;wsp:rsid wsp:val=&quot;00C233A5&quot;/&gt;&lt;wsp:rsid wsp:val=&quot;00C233E1&quot;/&gt;&lt;wsp:rsid wsp:val=&quot;00C235D9&quot;/&gt;&lt;wsp:rsid wsp:val=&quot;00C23BCF&quot;/&gt;&lt;wsp:rsid wsp:val=&quot;00C23FB5&quot;/&gt;&lt;wsp:rsid wsp:val=&quot;00C23FDA&quot;/&gt;&lt;wsp:rsid wsp:val=&quot;00C24193&quot;/&gt;&lt;wsp:rsid wsp:val=&quot;00C24605&quot;/&gt;&lt;wsp:rsid wsp:val=&quot;00C2477D&quot;/&gt;&lt;wsp:rsid wsp:val=&quot;00C2478D&quot;/&gt;&lt;wsp:rsid wsp:val=&quot;00C2479F&quot;/&gt;&lt;wsp:rsid wsp:val=&quot;00C24892&quot;/&gt;&lt;wsp:rsid wsp:val=&quot;00C24937&quot;/&gt;&lt;wsp:rsid wsp:val=&quot;00C24AA9&quot;/&gt;&lt;wsp:rsid wsp:val=&quot;00C24C11&quot;/&gt;&lt;wsp:rsid wsp:val=&quot;00C24DAE&quot;/&gt;&lt;wsp:rsid wsp:val=&quot;00C24E12&quot;/&gt;&lt;wsp:rsid wsp:val=&quot;00C24EF0&quot;/&gt;&lt;wsp:rsid wsp:val=&quot;00C24F83&quot;/&gt;&lt;wsp:rsid wsp:val=&quot;00C24F9C&quot;/&gt;&lt;wsp:rsid wsp:val=&quot;00C250BC&quot;/&gt;&lt;wsp:rsid wsp:val=&quot;00C2512F&quot;/&gt;&lt;wsp:rsid wsp:val=&quot;00C25138&quot;/&gt;&lt;wsp:rsid wsp:val=&quot;00C25478&quot;/&gt;&lt;wsp:rsid wsp:val=&quot;00C2547D&quot;/&gt;&lt;wsp:rsid wsp:val=&quot;00C254A6&quot;/&gt;&lt;wsp:rsid wsp:val=&quot;00C2551E&quot;/&gt;&lt;wsp:rsid wsp:val=&quot;00C25564&quot;/&gt;&lt;wsp:rsid wsp:val=&quot;00C255F9&quot;/&gt;&lt;wsp:rsid wsp:val=&quot;00C257C2&quot;/&gt;&lt;wsp:rsid wsp:val=&quot;00C25892&quot;/&gt;&lt;wsp:rsid wsp:val=&quot;00C258C9&quot;/&gt;&lt;wsp:rsid wsp:val=&quot;00C25B98&quot;/&gt;&lt;wsp:rsid wsp:val=&quot;00C25CAE&quot;/&gt;&lt;wsp:rsid wsp:val=&quot;00C25CC0&quot;/&gt;&lt;wsp:rsid wsp:val=&quot;00C26130&quot;/&gt;&lt;wsp:rsid wsp:val=&quot;00C263F8&quot;/&gt;&lt;wsp:rsid wsp:val=&quot;00C268F3&quot;/&gt;&lt;wsp:rsid wsp:val=&quot;00C26A45&quot;/&gt;&lt;wsp:rsid wsp:val=&quot;00C26ADD&quot;/&gt;&lt;wsp:rsid wsp:val=&quot;00C26D0C&quot;/&gt;&lt;wsp:rsid wsp:val=&quot;00C26F58&quot;/&gt;&lt;wsp:rsid wsp:val=&quot;00C27177&quot;/&gt;&lt;wsp:rsid wsp:val=&quot;00C271C7&quot;/&gt;&lt;wsp:rsid wsp:val=&quot;00C271F1&quot;/&gt;&lt;wsp:rsid wsp:val=&quot;00C27220&quot;/&gt;&lt;wsp:rsid wsp:val=&quot;00C276C0&quot;/&gt;&lt;wsp:rsid wsp:val=&quot;00C27718&quot;/&gt;&lt;wsp:rsid wsp:val=&quot;00C27769&quot;/&gt;&lt;wsp:rsid wsp:val=&quot;00C27775&quot;/&gt;&lt;wsp:rsid wsp:val=&quot;00C27E42&quot;/&gt;&lt;wsp:rsid wsp:val=&quot;00C27EE8&quot;/&gt;&lt;wsp:rsid wsp:val=&quot;00C27F8E&quot;/&gt;&lt;wsp:rsid wsp:val=&quot;00C30305&quot;/&gt;&lt;wsp:rsid wsp:val=&quot;00C3059D&quot;/&gt;&lt;wsp:rsid wsp:val=&quot;00C30A98&quot;/&gt;&lt;wsp:rsid wsp:val=&quot;00C31542&quot;/&gt;&lt;wsp:rsid wsp:val=&quot;00C315CF&quot;/&gt;&lt;wsp:rsid wsp:val=&quot;00C319D8&quot;/&gt;&lt;wsp:rsid wsp:val=&quot;00C31AFC&quot;/&gt;&lt;wsp:rsid wsp:val=&quot;00C31BE6&quot;/&gt;&lt;wsp:rsid wsp:val=&quot;00C31D1F&quot;/&gt;&lt;wsp:rsid wsp:val=&quot;00C32092&quot;/&gt;&lt;wsp:rsid wsp:val=&quot;00C32402&quot;/&gt;&lt;wsp:rsid wsp:val=&quot;00C32497&quot;/&gt;&lt;wsp:rsid wsp:val=&quot;00C32691&quot;/&gt;&lt;wsp:rsid wsp:val=&quot;00C329F6&quot;/&gt;&lt;wsp:rsid wsp:val=&quot;00C32AC4&quot;/&gt;&lt;wsp:rsid wsp:val=&quot;00C32B71&quot;/&gt;&lt;wsp:rsid wsp:val=&quot;00C32C34&quot;/&gt;&lt;wsp:rsid wsp:val=&quot;00C32C92&quot;/&gt;&lt;wsp:rsid wsp:val=&quot;00C32CA4&quot;/&gt;&lt;wsp:rsid wsp:val=&quot;00C32CE4&quot;/&gt;&lt;wsp:rsid wsp:val=&quot;00C331BA&quot;/&gt;&lt;wsp:rsid wsp:val=&quot;00C33386&quot;/&gt;&lt;wsp:rsid wsp:val=&quot;00C33575&quot;/&gt;&lt;wsp:rsid wsp:val=&quot;00C338B5&quot;/&gt;&lt;wsp:rsid wsp:val=&quot;00C33C23&quot;/&gt;&lt;wsp:rsid wsp:val=&quot;00C34069&quot;/&gt;&lt;wsp:rsid wsp:val=&quot;00C3406A&quot;/&gt;&lt;wsp:rsid wsp:val=&quot;00C347E6&quot;/&gt;&lt;wsp:rsid wsp:val=&quot;00C3494D&quot;/&gt;&lt;wsp:rsid wsp:val=&quot;00C3558D&quot;/&gt;&lt;wsp:rsid wsp:val=&quot;00C359D4&quot;/&gt;&lt;wsp:rsid wsp:val=&quot;00C35FC8&quot;/&gt;&lt;wsp:rsid wsp:val=&quot;00C3635A&quot;/&gt;&lt;wsp:rsid wsp:val=&quot;00C364E3&quot;/&gt;&lt;wsp:rsid wsp:val=&quot;00C365D1&quot;/&gt;&lt;wsp:rsid wsp:val=&quot;00C367F0&quot;/&gt;&lt;wsp:rsid wsp:val=&quot;00C36C64&quot;/&gt;&lt;wsp:rsid wsp:val=&quot;00C370A4&quot;/&gt;&lt;wsp:rsid wsp:val=&quot;00C372FB&quot;/&gt;&lt;wsp:rsid wsp:val=&quot;00C374B2&quot;/&gt;&lt;wsp:rsid wsp:val=&quot;00C37545&quot;/&gt;&lt;wsp:rsid wsp:val=&quot;00C3757E&quot;/&gt;&lt;wsp:rsid wsp:val=&quot;00C377BD&quot;/&gt;&lt;wsp:rsid wsp:val=&quot;00C3786F&quot;/&gt;&lt;wsp:rsid wsp:val=&quot;00C37A39&quot;/&gt;&lt;wsp:rsid wsp:val=&quot;00C37CC3&quot;/&gt;&lt;wsp:rsid wsp:val=&quot;00C40260&quot;/&gt;&lt;wsp:rsid wsp:val=&quot;00C402D1&quot;/&gt;&lt;wsp:rsid wsp:val=&quot;00C40D82&quot;/&gt;&lt;wsp:rsid wsp:val=&quot;00C40EF6&quot;/&gt;&lt;wsp:rsid wsp:val=&quot;00C40F22&quot;/&gt;&lt;wsp:rsid wsp:val=&quot;00C4117B&quot;/&gt;&lt;wsp:rsid wsp:val=&quot;00C41496&quot;/&gt;&lt;wsp:rsid wsp:val=&quot;00C419DF&quot;/&gt;&lt;wsp:rsid wsp:val=&quot;00C41B12&quot;/&gt;&lt;wsp:rsid wsp:val=&quot;00C41B45&quot;/&gt;&lt;wsp:rsid wsp:val=&quot;00C41FB4&quot;/&gt;&lt;wsp:rsid wsp:val=&quot;00C42226&quot;/&gt;&lt;wsp:rsid wsp:val=&quot;00C42270&quot;/&gt;&lt;wsp:rsid wsp:val=&quot;00C423D4&quot;/&gt;&lt;wsp:rsid wsp:val=&quot;00C424A5&quot;/&gt;&lt;wsp:rsid wsp:val=&quot;00C424CA&quot;/&gt;&lt;wsp:rsid wsp:val=&quot;00C4286C&quot;/&gt;&lt;wsp:rsid wsp:val=&quot;00C429E3&quot;/&gt;&lt;wsp:rsid wsp:val=&quot;00C42C0D&quot;/&gt;&lt;wsp:rsid wsp:val=&quot;00C42E38&quot;/&gt;&lt;wsp:rsid wsp:val=&quot;00C43043&quot;/&gt;&lt;wsp:rsid wsp:val=&quot;00C430B3&quot;/&gt;&lt;wsp:rsid wsp:val=&quot;00C431DB&quot;/&gt;&lt;wsp:rsid wsp:val=&quot;00C431FD&quot;/&gt;&lt;wsp:rsid wsp:val=&quot;00C43959&quot;/&gt;&lt;wsp:rsid wsp:val=&quot;00C43ABE&quot;/&gt;&lt;wsp:rsid wsp:val=&quot;00C43E54&quot;/&gt;&lt;wsp:rsid wsp:val=&quot;00C441E7&quot;/&gt;&lt;wsp:rsid wsp:val=&quot;00C443E8&quot;/&gt;&lt;wsp:rsid wsp:val=&quot;00C443F4&quot;/&gt;&lt;wsp:rsid wsp:val=&quot;00C4455E&quot;/&gt;&lt;wsp:rsid wsp:val=&quot;00C445F2&quot;/&gt;&lt;wsp:rsid wsp:val=&quot;00C446D1&quot;/&gt;&lt;wsp:rsid wsp:val=&quot;00C4470E&quot;/&gt;&lt;wsp:rsid wsp:val=&quot;00C44782&quot;/&gt;&lt;wsp:rsid wsp:val=&quot;00C44855&quot;/&gt;&lt;wsp:rsid wsp:val=&quot;00C44908&quot;/&gt;&lt;wsp:rsid wsp:val=&quot;00C44A54&quot;/&gt;&lt;wsp:rsid wsp:val=&quot;00C44CD4&quot;/&gt;&lt;wsp:rsid wsp:val=&quot;00C44F30&quot;/&gt;&lt;wsp:rsid wsp:val=&quot;00C45486&quot;/&gt;&lt;wsp:rsid wsp:val=&quot;00C45504&quot;/&gt;&lt;wsp:rsid wsp:val=&quot;00C45661&quot;/&gt;&lt;wsp:rsid wsp:val=&quot;00C458B3&quot;/&gt;&lt;wsp:rsid wsp:val=&quot;00C459A7&quot;/&gt;&lt;wsp:rsid wsp:val=&quot;00C46235&quot;/&gt;&lt;wsp:rsid wsp:val=&quot;00C46317&quot;/&gt;&lt;wsp:rsid wsp:val=&quot;00C46F7A&quot;/&gt;&lt;wsp:rsid wsp:val=&quot;00C47035&quot;/&gt;&lt;wsp:rsid wsp:val=&quot;00C4709E&quot;/&gt;&lt;wsp:rsid wsp:val=&quot;00C4721F&quot;/&gt;&lt;wsp:rsid wsp:val=&quot;00C47268&quot;/&gt;&lt;wsp:rsid wsp:val=&quot;00C472EA&quot;/&gt;&lt;wsp:rsid wsp:val=&quot;00C473CA&quot;/&gt;&lt;wsp:rsid wsp:val=&quot;00C4756D&quot;/&gt;&lt;wsp:rsid wsp:val=&quot;00C475E6&quot;/&gt;&lt;wsp:rsid wsp:val=&quot;00C478E1&quot;/&gt;&lt;wsp:rsid wsp:val=&quot;00C47961&quot;/&gt;&lt;wsp:rsid wsp:val=&quot;00C502AF&quot;/&gt;&lt;wsp:rsid wsp:val=&quot;00C5057B&quot;/&gt;&lt;wsp:rsid wsp:val=&quot;00C505BB&quot;/&gt;&lt;wsp:rsid wsp:val=&quot;00C506AB&quot;/&gt;&lt;wsp:rsid wsp:val=&quot;00C50C14&quot;/&gt;&lt;wsp:rsid wsp:val=&quot;00C50EE8&quot;/&gt;&lt;wsp:rsid wsp:val=&quot;00C51114&quot;/&gt;&lt;wsp:rsid wsp:val=&quot;00C51283&quot;/&gt;&lt;wsp:rsid wsp:val=&quot;00C5128D&quot;/&gt;&lt;wsp:rsid wsp:val=&quot;00C512C5&quot;/&gt;&lt;wsp:rsid wsp:val=&quot;00C5164E&quot;/&gt;&lt;wsp:rsid wsp:val=&quot;00C516BE&quot;/&gt;&lt;wsp:rsid wsp:val=&quot;00C51915&quot;/&gt;&lt;wsp:rsid wsp:val=&quot;00C51C78&quot;/&gt;&lt;wsp:rsid wsp:val=&quot;00C520E2&quot;/&gt;&lt;wsp:rsid wsp:val=&quot;00C521F5&quot;/&gt;&lt;wsp:rsid wsp:val=&quot;00C529DB&quot;/&gt;&lt;wsp:rsid wsp:val=&quot;00C52AF4&quot;/&gt;&lt;wsp:rsid wsp:val=&quot;00C52B61&quot;/&gt;&lt;wsp:rsid wsp:val=&quot;00C52C1A&quot;/&gt;&lt;wsp:rsid wsp:val=&quot;00C52D00&quot;/&gt;&lt;wsp:rsid wsp:val=&quot;00C52D6D&quot;/&gt;&lt;wsp:rsid wsp:val=&quot;00C52D75&quot;/&gt;&lt;wsp:rsid wsp:val=&quot;00C52E45&quot;/&gt;&lt;wsp:rsid wsp:val=&quot;00C531DC&quot;/&gt;&lt;wsp:rsid wsp:val=&quot;00C53272&quot;/&gt;&lt;wsp:rsid wsp:val=&quot;00C53308&quot;/&gt;&lt;wsp:rsid wsp:val=&quot;00C5341D&quot;/&gt;&lt;wsp:rsid wsp:val=&quot;00C53527&quot;/&gt;&lt;wsp:rsid wsp:val=&quot;00C53718&quot;/&gt;&lt;wsp:rsid wsp:val=&quot;00C5375D&quot;/&gt;&lt;wsp:rsid wsp:val=&quot;00C5397E&quot;/&gt;&lt;wsp:rsid wsp:val=&quot;00C539F2&quot;/&gt;&lt;wsp:rsid wsp:val=&quot;00C53CE7&quot;/&gt;&lt;wsp:rsid wsp:val=&quot;00C53FF4&quot;/&gt;&lt;wsp:rsid wsp:val=&quot;00C54047&quot;/&gt;&lt;wsp:rsid wsp:val=&quot;00C545D7&quot;/&gt;&lt;wsp:rsid wsp:val=&quot;00C545DA&quot;/&gt;&lt;wsp:rsid wsp:val=&quot;00C546D2&quot;/&gt;&lt;wsp:rsid wsp:val=&quot;00C54C09&quot;/&gt;&lt;wsp:rsid wsp:val=&quot;00C54D1E&quot;/&gt;&lt;wsp:rsid wsp:val=&quot;00C54D9B&quot;/&gt;&lt;wsp:rsid wsp:val=&quot;00C54E65&quot;/&gt;&lt;wsp:rsid wsp:val=&quot;00C550C7&quot;/&gt;&lt;wsp:rsid wsp:val=&quot;00C55199&quot;/&gt;&lt;wsp:rsid wsp:val=&quot;00C5532C&quot;/&gt;&lt;wsp:rsid wsp:val=&quot;00C555B6&quot;/&gt;&lt;wsp:rsid wsp:val=&quot;00C55A58&quot;/&gt;&lt;wsp:rsid wsp:val=&quot;00C55E33&quot;/&gt;&lt;wsp:rsid wsp:val=&quot;00C55F41&quot;/&gt;&lt;wsp:rsid wsp:val=&quot;00C5609C&quot;/&gt;&lt;wsp:rsid wsp:val=&quot;00C565B6&quot;/&gt;&lt;wsp:rsid wsp:val=&quot;00C5675A&quot;/&gt;&lt;wsp:rsid wsp:val=&quot;00C56836&quot;/&gt;&lt;wsp:rsid wsp:val=&quot;00C56B14&quot;/&gt;&lt;wsp:rsid wsp:val=&quot;00C56B82&quot;/&gt;&lt;wsp:rsid wsp:val=&quot;00C56C39&quot;/&gt;&lt;wsp:rsid wsp:val=&quot;00C571E2&quot;/&gt;&lt;wsp:rsid wsp:val=&quot;00C57273&quot;/&gt;&lt;wsp:rsid wsp:val=&quot;00C57350&quot;/&gt;&lt;wsp:rsid wsp:val=&quot;00C5738C&quot;/&gt;&lt;wsp:rsid wsp:val=&quot;00C57463&quot;/&gt;&lt;wsp:rsid wsp:val=&quot;00C57537&quot;/&gt;&lt;wsp:rsid wsp:val=&quot;00C577AC&quot;/&gt;&lt;wsp:rsid wsp:val=&quot;00C57AB1&quot;/&gt;&lt;wsp:rsid wsp:val=&quot;00C57D94&quot;/&gt;&lt;wsp:rsid wsp:val=&quot;00C57F4A&quot;/&gt;&lt;wsp:rsid wsp:val=&quot;00C57F99&quot;/&gt;&lt;wsp:rsid wsp:val=&quot;00C60077&quot;/&gt;&lt;wsp:rsid wsp:val=&quot;00C60226&quot;/&gt;&lt;wsp:rsid wsp:val=&quot;00C60427&quot;/&gt;&lt;wsp:rsid wsp:val=&quot;00C6069E&quot;/&gt;&lt;wsp:rsid wsp:val=&quot;00C606C2&quot;/&gt;&lt;wsp:rsid wsp:val=&quot;00C6081A&quot;/&gt;&lt;wsp:rsid wsp:val=&quot;00C60827&quot;/&gt;&lt;wsp:rsid wsp:val=&quot;00C60A36&quot;/&gt;&lt;wsp:rsid wsp:val=&quot;00C60E36&quot;/&gt;&lt;wsp:rsid wsp:val=&quot;00C61132&quot;/&gt;&lt;wsp:rsid wsp:val=&quot;00C6177A&quot;/&gt;&lt;wsp:rsid wsp:val=&quot;00C61C9D&quot;/&gt;&lt;wsp:rsid wsp:val=&quot;00C61DDB&quot;/&gt;&lt;wsp:rsid wsp:val=&quot;00C61DF5&quot;/&gt;&lt;wsp:rsid wsp:val=&quot;00C61E13&quot;/&gt;&lt;wsp:rsid wsp:val=&quot;00C61FED&quot;/&gt;&lt;wsp:rsid wsp:val=&quot;00C623A5&quot;/&gt;&lt;wsp:rsid wsp:val=&quot;00C62692&quot;/&gt;&lt;wsp:rsid wsp:val=&quot;00C62819&quot;/&gt;&lt;wsp:rsid wsp:val=&quot;00C62848&quot;/&gt;&lt;wsp:rsid wsp:val=&quot;00C628B6&quot;/&gt;&lt;wsp:rsid wsp:val=&quot;00C6296F&quot;/&gt;&lt;wsp:rsid wsp:val=&quot;00C62C96&quot;/&gt;&lt;wsp:rsid wsp:val=&quot;00C63008&quot;/&gt;&lt;wsp:rsid wsp:val=&quot;00C63389&quot;/&gt;&lt;wsp:rsid wsp:val=&quot;00C635E0&quot;/&gt;&lt;wsp:rsid wsp:val=&quot;00C63800&quot;/&gt;&lt;wsp:rsid wsp:val=&quot;00C63AD0&quot;/&gt;&lt;wsp:rsid wsp:val=&quot;00C63C9F&quot;/&gt;&lt;wsp:rsid wsp:val=&quot;00C63CDD&quot;/&gt;&lt;wsp:rsid wsp:val=&quot;00C63EDF&quot;/&gt;&lt;wsp:rsid wsp:val=&quot;00C645A4&quot;/&gt;&lt;wsp:rsid wsp:val=&quot;00C6484B&quot;/&gt;&lt;wsp:rsid wsp:val=&quot;00C648FE&quot;/&gt;&lt;wsp:rsid wsp:val=&quot;00C64E00&quot;/&gt;&lt;wsp:rsid wsp:val=&quot;00C64FA0&quot;/&gt;&lt;wsp:rsid wsp:val=&quot;00C65122&quot;/&gt;&lt;wsp:rsid wsp:val=&quot;00C65176&quot;/&gt;&lt;wsp:rsid wsp:val=&quot;00C651E7&quot;/&gt;&lt;wsp:rsid wsp:val=&quot;00C6520E&quot;/&gt;&lt;wsp:rsid wsp:val=&quot;00C65338&quot;/&gt;&lt;wsp:rsid wsp:val=&quot;00C65477&quot;/&gt;&lt;wsp:rsid wsp:val=&quot;00C65A41&quot;/&gt;&lt;wsp:rsid wsp:val=&quot;00C65C6D&quot;/&gt;&lt;wsp:rsid wsp:val=&quot;00C65D2C&quot;/&gt;&lt;wsp:rsid wsp:val=&quot;00C65F93&quot;/&gt;&lt;wsp:rsid wsp:val=&quot;00C65FFD&quot;/&gt;&lt;wsp:rsid wsp:val=&quot;00C66272&quot;/&gt;&lt;wsp:rsid wsp:val=&quot;00C66286&quot;/&gt;&lt;wsp:rsid wsp:val=&quot;00C6655C&quot;/&gt;&lt;wsp:rsid wsp:val=&quot;00C6671E&quot;/&gt;&lt;wsp:rsid wsp:val=&quot;00C66761&quot;/&gt;&lt;wsp:rsid wsp:val=&quot;00C66792&quot;/&gt;&lt;wsp:rsid wsp:val=&quot;00C66B1A&quot;/&gt;&lt;wsp:rsid wsp:val=&quot;00C66D0B&quot;/&gt;&lt;wsp:rsid wsp:val=&quot;00C673FE&quot;/&gt;&lt;wsp:rsid wsp:val=&quot;00C67857&quot;/&gt;&lt;wsp:rsid wsp:val=&quot;00C67B95&quot;/&gt;&lt;wsp:rsid wsp:val=&quot;00C67EDE&quot;/&gt;&lt;wsp:rsid wsp:val=&quot;00C67F9B&quot;/&gt;&lt;wsp:rsid wsp:val=&quot;00C7045D&quot;/&gt;&lt;wsp:rsid wsp:val=&quot;00C706A5&quot;/&gt;&lt;wsp:rsid wsp:val=&quot;00C707F5&quot;/&gt;&lt;wsp:rsid wsp:val=&quot;00C70AB0&quot;/&gt;&lt;wsp:rsid wsp:val=&quot;00C7135F&quot;/&gt;&lt;wsp:rsid wsp:val=&quot;00C71801&quot;/&gt;&lt;wsp:rsid wsp:val=&quot;00C71BAE&quot;/&gt;&lt;wsp:rsid wsp:val=&quot;00C71DC7&quot;/&gt;&lt;wsp:rsid wsp:val=&quot;00C71EEE&quot;/&gt;&lt;wsp:rsid wsp:val=&quot;00C71F0B&quot;/&gt;&lt;wsp:rsid wsp:val=&quot;00C71FED&quot;/&gt;&lt;wsp:rsid wsp:val=&quot;00C72033&quot;/&gt;&lt;wsp:rsid wsp:val=&quot;00C7203A&quot;/&gt;&lt;wsp:rsid wsp:val=&quot;00C72057&quot;/&gt;&lt;wsp:rsid wsp:val=&quot;00C72223&quot;/&gt;&lt;wsp:rsid wsp:val=&quot;00C72409&quot;/&gt;&lt;wsp:rsid wsp:val=&quot;00C7260E&quot;/&gt;&lt;wsp:rsid wsp:val=&quot;00C72738&quot;/&gt;&lt;wsp:rsid wsp:val=&quot;00C727D8&quot;/&gt;&lt;wsp:rsid wsp:val=&quot;00C72CA4&quot;/&gt;&lt;wsp:rsid wsp:val=&quot;00C72E32&quot;/&gt;&lt;wsp:rsid wsp:val=&quot;00C7341D&quot;/&gt;&lt;wsp:rsid wsp:val=&quot;00C7346C&quot;/&gt;&lt;wsp:rsid wsp:val=&quot;00C734BA&quot;/&gt;&lt;wsp:rsid wsp:val=&quot;00C7367D&quot;/&gt;&lt;wsp:rsid wsp:val=&quot;00C73778&quot;/&gt;&lt;wsp:rsid wsp:val=&quot;00C73A06&quot;/&gt;&lt;wsp:rsid wsp:val=&quot;00C73A07&quot;/&gt;&lt;wsp:rsid wsp:val=&quot;00C73B94&quot;/&gt;&lt;wsp:rsid wsp:val=&quot;00C73BE4&quot;/&gt;&lt;wsp:rsid wsp:val=&quot;00C73C7F&quot;/&gt;&lt;wsp:rsid wsp:val=&quot;00C73E14&quot;/&gt;&lt;wsp:rsid wsp:val=&quot;00C73E9D&quot;/&gt;&lt;wsp:rsid wsp:val=&quot;00C73FDB&quot;/&gt;&lt;wsp:rsid wsp:val=&quot;00C740DC&quot;/&gt;&lt;wsp:rsid wsp:val=&quot;00C74218&quot;/&gt;&lt;wsp:rsid wsp:val=&quot;00C74A85&quot;/&gt;&lt;wsp:rsid wsp:val=&quot;00C74C0C&quot;/&gt;&lt;wsp:rsid wsp:val=&quot;00C74C38&quot;/&gt;&lt;wsp:rsid wsp:val=&quot;00C750D1&quot;/&gt;&lt;wsp:rsid wsp:val=&quot;00C7552E&quot;/&gt;&lt;wsp:rsid wsp:val=&quot;00C755A4&quot;/&gt;&lt;wsp:rsid wsp:val=&quot;00C755E6&quot;/&gt;&lt;wsp:rsid wsp:val=&quot;00C75747&quot;/&gt;&lt;wsp:rsid wsp:val=&quot;00C75791&quot;/&gt;&lt;wsp:rsid wsp:val=&quot;00C7582F&quot;/&gt;&lt;wsp:rsid wsp:val=&quot;00C75AB3&quot;/&gt;&lt;wsp:rsid wsp:val=&quot;00C76519&quot;/&gt;&lt;wsp:rsid wsp:val=&quot;00C7659A&quot;/&gt;&lt;wsp:rsid wsp:val=&quot;00C76674&quot;/&gt;&lt;wsp:rsid wsp:val=&quot;00C76911&quot;/&gt;&lt;wsp:rsid wsp:val=&quot;00C76AFA&quot;/&gt;&lt;wsp:rsid wsp:val=&quot;00C76B08&quot;/&gt;&lt;wsp:rsid wsp:val=&quot;00C76D62&quot;/&gt;&lt;wsp:rsid wsp:val=&quot;00C770AA&quot;/&gt;&lt;wsp:rsid wsp:val=&quot;00C775DC&quot;/&gt;&lt;wsp:rsid wsp:val=&quot;00C77A64&quot;/&gt;&lt;wsp:rsid wsp:val=&quot;00C77C45&quot;/&gt;&lt;wsp:rsid wsp:val=&quot;00C801EC&quot;/&gt;&lt;wsp:rsid wsp:val=&quot;00C807A3&quot;/&gt;&lt;wsp:rsid wsp:val=&quot;00C80939&quot;/&gt;&lt;wsp:rsid wsp:val=&quot;00C80C67&quot;/&gt;&lt;wsp:rsid wsp:val=&quot;00C80C7E&quot;/&gt;&lt;wsp:rsid wsp:val=&quot;00C80E26&quot;/&gt;&lt;wsp:rsid wsp:val=&quot;00C80F16&quot;/&gt;&lt;wsp:rsid wsp:val=&quot;00C80FCE&quot;/&gt;&lt;wsp:rsid wsp:val=&quot;00C812F7&quot;/&gt;&lt;wsp:rsid wsp:val=&quot;00C81438&quot;/&gt;&lt;wsp:rsid wsp:val=&quot;00C81594&quot;/&gt;&lt;wsp:rsid wsp:val=&quot;00C81805&quot;/&gt;&lt;wsp:rsid wsp:val=&quot;00C81B75&quot;/&gt;&lt;wsp:rsid wsp:val=&quot;00C81CE0&quot;/&gt;&lt;wsp:rsid wsp:val=&quot;00C81F45&quot;/&gt;&lt;wsp:rsid wsp:val=&quot;00C8219B&quot;/&gt;&lt;wsp:rsid wsp:val=&quot;00C8255E&quot;/&gt;&lt;wsp:rsid wsp:val=&quot;00C82904&quot;/&gt;&lt;wsp:rsid wsp:val=&quot;00C82C14&quot;/&gt;&lt;wsp:rsid wsp:val=&quot;00C82D47&quot;/&gt;&lt;wsp:rsid wsp:val=&quot;00C82D9B&quot;/&gt;&lt;wsp:rsid wsp:val=&quot;00C830B2&quot;/&gt;&lt;wsp:rsid wsp:val=&quot;00C83150&quot;/&gt;&lt;wsp:rsid wsp:val=&quot;00C831E2&quot;/&gt;&lt;wsp:rsid wsp:val=&quot;00C8320C&quot;/&gt;&lt;wsp:rsid wsp:val=&quot;00C83303&quot;/&gt;&lt;wsp:rsid wsp:val=&quot;00C8331A&quot;/&gt;&lt;wsp:rsid wsp:val=&quot;00C834EF&quot;/&gt;&lt;wsp:rsid wsp:val=&quot;00C834F4&quot;/&gt;&lt;wsp:rsid wsp:val=&quot;00C8392D&quot;/&gt;&lt;wsp:rsid wsp:val=&quot;00C841D8&quot;/&gt;&lt;wsp:rsid wsp:val=&quot;00C8492B&quot;/&gt;&lt;wsp:rsid wsp:val=&quot;00C84B9E&quot;/&gt;&lt;wsp:rsid wsp:val=&quot;00C84CEA&quot;/&gt;&lt;wsp:rsid wsp:val=&quot;00C851AA&quot;/&gt;&lt;wsp:rsid wsp:val=&quot;00C853BE&quot;/&gt;&lt;wsp:rsid wsp:val=&quot;00C853C1&quot;/&gt;&lt;wsp:rsid wsp:val=&quot;00C8541F&quot;/&gt;&lt;wsp:rsid wsp:val=&quot;00C855C8&quot;/&gt;&lt;wsp:rsid wsp:val=&quot;00C85E5F&quot;/&gt;&lt;wsp:rsid wsp:val=&quot;00C85F71&quot;/&gt;&lt;wsp:rsid wsp:val=&quot;00C85FE5&quot;/&gt;&lt;wsp:rsid wsp:val=&quot;00C8626A&quot;/&gt;&lt;wsp:rsid wsp:val=&quot;00C863A3&quot;/&gt;&lt;wsp:rsid wsp:val=&quot;00C86434&quot;/&gt;&lt;wsp:rsid wsp:val=&quot;00C86C03&quot;/&gt;&lt;wsp:rsid wsp:val=&quot;00C873E0&quot;/&gt;&lt;wsp:rsid wsp:val=&quot;00C8747D&quot;/&gt;&lt;wsp:rsid wsp:val=&quot;00C875FF&quot;/&gt;&lt;wsp:rsid wsp:val=&quot;00C87627&quot;/&gt;&lt;wsp:rsid wsp:val=&quot;00C87C4D&quot;/&gt;&lt;wsp:rsid wsp:val=&quot;00C901E0&quot;/&gt;&lt;wsp:rsid wsp:val=&quot;00C9047D&quot;/&gt;&lt;wsp:rsid wsp:val=&quot;00C904E1&quot;/&gt;&lt;wsp:rsid wsp:val=&quot;00C90666&quot;/&gt;&lt;wsp:rsid wsp:val=&quot;00C9070D&quot;/&gt;&lt;wsp:rsid wsp:val=&quot;00C90921&quot;/&gt;&lt;wsp:rsid wsp:val=&quot;00C90DF3&quot;/&gt;&lt;wsp:rsid wsp:val=&quot;00C90E11&quot;/&gt;&lt;wsp:rsid wsp:val=&quot;00C90F29&quot;/&gt;&lt;wsp:rsid wsp:val=&quot;00C90F70&quot;/&gt;&lt;wsp:rsid wsp:val=&quot;00C90FE3&quot;/&gt;&lt;wsp:rsid wsp:val=&quot;00C9114E&quot;/&gt;&lt;wsp:rsid wsp:val=&quot;00C91352&quot;/&gt;&lt;wsp:rsid wsp:val=&quot;00C91769&quot;/&gt;&lt;wsp:rsid wsp:val=&quot;00C917FC&quot;/&gt;&lt;wsp:rsid wsp:val=&quot;00C91964&quot;/&gt;&lt;wsp:rsid wsp:val=&quot;00C92176&quot;/&gt;&lt;wsp:rsid wsp:val=&quot;00C9218A&quot;/&gt;&lt;wsp:rsid wsp:val=&quot;00C9244B&quot;/&gt;&lt;wsp:rsid wsp:val=&quot;00C92659&quot;/&gt;&lt;wsp:rsid wsp:val=&quot;00C928A7&quot;/&gt;&lt;wsp:rsid wsp:val=&quot;00C92B2C&quot;/&gt;&lt;wsp:rsid wsp:val=&quot;00C92CCB&quot;/&gt;&lt;wsp:rsid wsp:val=&quot;00C933F1&quot;/&gt;&lt;wsp:rsid wsp:val=&quot;00C9368D&quot;/&gt;&lt;wsp:rsid wsp:val=&quot;00C93ACF&quot;/&gt;&lt;wsp:rsid wsp:val=&quot;00C93AF6&quot;/&gt;&lt;wsp:rsid wsp:val=&quot;00C93C93&quot;/&gt;&lt;wsp:rsid wsp:val=&quot;00C93F46&quot;/&gt;&lt;wsp:rsid wsp:val=&quot;00C93FFB&quot;/&gt;&lt;wsp:rsid wsp:val=&quot;00C94163&quot;/&gt;&lt;wsp:rsid wsp:val=&quot;00C946F6&quot;/&gt;&lt;wsp:rsid wsp:val=&quot;00C94D42&quot;/&gt;&lt;wsp:rsid wsp:val=&quot;00C94F43&quot;/&gt;&lt;wsp:rsid wsp:val=&quot;00C9503C&quot;/&gt;&lt;wsp:rsid wsp:val=&quot;00C951E8&quot;/&gt;&lt;wsp:rsid wsp:val=&quot;00C953EE&quot;/&gt;&lt;wsp:rsid wsp:val=&quot;00C9593F&quot;/&gt;&lt;wsp:rsid wsp:val=&quot;00C95D33&quot;/&gt;&lt;wsp:rsid wsp:val=&quot;00C96535&quot;/&gt;&lt;wsp:rsid wsp:val=&quot;00C96AE9&quot;/&gt;&lt;wsp:rsid wsp:val=&quot;00C96BC9&quot;/&gt;&lt;wsp:rsid wsp:val=&quot;00C96C6B&quot;/&gt;&lt;wsp:rsid wsp:val=&quot;00C96FA5&quot;/&gt;&lt;wsp:rsid wsp:val=&quot;00C97181&quot;/&gt;&lt;wsp:rsid wsp:val=&quot;00C97201&quot;/&gt;&lt;wsp:rsid wsp:val=&quot;00C9722A&quot;/&gt;&lt;wsp:rsid wsp:val=&quot;00C9739E&quot;/&gt;&lt;wsp:rsid wsp:val=&quot;00C97634&quot;/&gt;&lt;wsp:rsid wsp:val=&quot;00C97855&quot;/&gt;&lt;wsp:rsid wsp:val=&quot;00C978CF&quot;/&gt;&lt;wsp:rsid wsp:val=&quot;00C97DC1&quot;/&gt;&lt;wsp:rsid wsp:val=&quot;00C97E27&quot;/&gt;&lt;wsp:rsid wsp:val=&quot;00CA0196&quot;/&gt;&lt;wsp:rsid wsp:val=&quot;00CA01EB&quot;/&gt;&lt;wsp:rsid wsp:val=&quot;00CA0225&quot;/&gt;&lt;wsp:rsid wsp:val=&quot;00CA0405&quot;/&gt;&lt;wsp:rsid wsp:val=&quot;00CA0965&quot;/&gt;&lt;wsp:rsid wsp:val=&quot;00CA0AEB&quot;/&gt;&lt;wsp:rsid wsp:val=&quot;00CA11D6&quot;/&gt;&lt;wsp:rsid wsp:val=&quot;00CA127E&quot;/&gt;&lt;wsp:rsid wsp:val=&quot;00CA16A3&quot;/&gt;&lt;wsp:rsid wsp:val=&quot;00CA1E2D&quot;/&gt;&lt;wsp:rsid wsp:val=&quot;00CA2136&quot;/&gt;&lt;wsp:rsid wsp:val=&quot;00CA21F6&quot;/&gt;&lt;wsp:rsid wsp:val=&quot;00CA2723&quot;/&gt;&lt;wsp:rsid wsp:val=&quot;00CA2B07&quot;/&gt;&lt;wsp:rsid wsp:val=&quot;00CA2E79&quot;/&gt;&lt;wsp:rsid wsp:val=&quot;00CA3050&quot;/&gt;&lt;wsp:rsid wsp:val=&quot;00CA31F7&quot;/&gt;&lt;wsp:rsid wsp:val=&quot;00CA3728&quot;/&gt;&lt;wsp:rsid wsp:val=&quot;00CA37E1&quot;/&gt;&lt;wsp:rsid wsp:val=&quot;00CA3A38&quot;/&gt;&lt;wsp:rsid wsp:val=&quot;00CA3AEB&quot;/&gt;&lt;wsp:rsid wsp:val=&quot;00CA3B19&quot;/&gt;&lt;wsp:rsid wsp:val=&quot;00CA3F2F&quot;/&gt;&lt;wsp:rsid wsp:val=&quot;00CA4848&quot;/&gt;&lt;wsp:rsid wsp:val=&quot;00CA4A68&quot;/&gt;&lt;wsp:rsid wsp:val=&quot;00CA4C34&quot;/&gt;&lt;wsp:rsid wsp:val=&quot;00CA5529&quot;/&gt;&lt;wsp:rsid wsp:val=&quot;00CA5D40&quot;/&gt;&lt;wsp:rsid wsp:val=&quot;00CA5D7C&quot;/&gt;&lt;wsp:rsid wsp:val=&quot;00CA5DCF&quot;/&gt;&lt;wsp:rsid wsp:val=&quot;00CA5FBB&quot;/&gt;&lt;wsp:rsid wsp:val=&quot;00CA61FE&quot;/&gt;&lt;wsp:rsid wsp:val=&quot;00CA6343&quot;/&gt;&lt;wsp:rsid wsp:val=&quot;00CA66D6&quot;/&gt;&lt;wsp:rsid wsp:val=&quot;00CA6900&quot;/&gt;&lt;wsp:rsid wsp:val=&quot;00CA690E&quot;/&gt;&lt;wsp:rsid wsp:val=&quot;00CA69CA&quot;/&gt;&lt;wsp:rsid wsp:val=&quot;00CA7088&quot;/&gt;&lt;wsp:rsid wsp:val=&quot;00CA7095&quot;/&gt;&lt;wsp:rsid wsp:val=&quot;00CA7158&quot;/&gt;&lt;wsp:rsid wsp:val=&quot;00CA7661&quot;/&gt;&lt;wsp:rsid wsp:val=&quot;00CA76D3&quot;/&gt;&lt;wsp:rsid wsp:val=&quot;00CA779D&quot;/&gt;&lt;wsp:rsid wsp:val=&quot;00CA7A99&quot;/&gt;&lt;wsp:rsid wsp:val=&quot;00CA7E0B&quot;/&gt;&lt;wsp:rsid wsp:val=&quot;00CB0099&quot;/&gt;&lt;wsp:rsid wsp:val=&quot;00CB0244&quot;/&gt;&lt;wsp:rsid wsp:val=&quot;00CB04B4&quot;/&gt;&lt;wsp:rsid wsp:val=&quot;00CB0535&quot;/&gt;&lt;wsp:rsid wsp:val=&quot;00CB0590&quot;/&gt;&lt;wsp:rsid wsp:val=&quot;00CB085A&quot;/&gt;&lt;wsp:rsid wsp:val=&quot;00CB0AEC&quot;/&gt;&lt;wsp:rsid wsp:val=&quot;00CB0B31&quot;/&gt;&lt;wsp:rsid wsp:val=&quot;00CB0DED&quot;/&gt;&lt;wsp:rsid wsp:val=&quot;00CB10EE&quot;/&gt;&lt;wsp:rsid wsp:val=&quot;00CB1769&quot;/&gt;&lt;wsp:rsid wsp:val=&quot;00CB1772&quot;/&gt;&lt;wsp:rsid wsp:val=&quot;00CB18D7&quot;/&gt;&lt;wsp:rsid wsp:val=&quot;00CB199F&quot;/&gt;&lt;wsp:rsid wsp:val=&quot;00CB1B60&quot;/&gt;&lt;wsp:rsid wsp:val=&quot;00CB1CAF&quot;/&gt;&lt;wsp:rsid wsp:val=&quot;00CB1F59&quot;/&gt;&lt;wsp:rsid wsp:val=&quot;00CB1F9D&quot;/&gt;&lt;wsp:rsid wsp:val=&quot;00CB1FD0&quot;/&gt;&lt;wsp:rsid wsp:val=&quot;00CB24BA&quot;/&gt;&lt;wsp:rsid wsp:val=&quot;00CB2644&quot;/&gt;&lt;wsp:rsid wsp:val=&quot;00CB2C97&quot;/&gt;&lt;wsp:rsid wsp:val=&quot;00CB2CBD&quot;/&gt;&lt;wsp:rsid wsp:val=&quot;00CB2DDE&quot;/&gt;&lt;wsp:rsid wsp:val=&quot;00CB3004&quot;/&gt;&lt;wsp:rsid wsp:val=&quot;00CB340D&quot;/&gt;&lt;wsp:rsid wsp:val=&quot;00CB363C&quot;/&gt;&lt;wsp:rsid wsp:val=&quot;00CB36EF&quot;/&gt;&lt;wsp:rsid wsp:val=&quot;00CB3DBC&quot;/&gt;&lt;wsp:rsid wsp:val=&quot;00CB3EFA&quot;/&gt;&lt;wsp:rsid wsp:val=&quot;00CB3F0A&quot;/&gt;&lt;wsp:rsid wsp:val=&quot;00CB46B4&quot;/&gt;&lt;wsp:rsid wsp:val=&quot;00CB46D8&quot;/&gt;&lt;wsp:rsid wsp:val=&quot;00CB4758&quot;/&gt;&lt;wsp:rsid wsp:val=&quot;00CB47E4&quot;/&gt;&lt;wsp:rsid wsp:val=&quot;00CB4FA4&quot;/&gt;&lt;wsp:rsid wsp:val=&quot;00CB4FF1&quot;/&gt;&lt;wsp:rsid wsp:val=&quot;00CB5319&quot;/&gt;&lt;wsp:rsid wsp:val=&quot;00CB57E3&quot;/&gt;&lt;wsp:rsid wsp:val=&quot;00CB5BD8&quot;/&gt;&lt;wsp:rsid wsp:val=&quot;00CB5D87&quot;/&gt;&lt;wsp:rsid wsp:val=&quot;00CB6124&quot;/&gt;&lt;wsp:rsid wsp:val=&quot;00CB641E&quot;/&gt;&lt;wsp:rsid wsp:val=&quot;00CB6673&quot;/&gt;&lt;wsp:rsid wsp:val=&quot;00CB6760&quot;/&gt;&lt;wsp:rsid wsp:val=&quot;00CB6AAD&quot;/&gt;&lt;wsp:rsid wsp:val=&quot;00CB738E&quot;/&gt;&lt;wsp:rsid wsp:val=&quot;00CB7499&quot;/&gt;&lt;wsp:rsid wsp:val=&quot;00CB7606&quot;/&gt;&lt;wsp:rsid wsp:val=&quot;00CB777A&quot;/&gt;&lt;wsp:rsid wsp:val=&quot;00CB7814&quot;/&gt;&lt;wsp:rsid wsp:val=&quot;00CB7867&quot;/&gt;&lt;wsp:rsid wsp:val=&quot;00CB7A60&quot;/&gt;&lt;wsp:rsid wsp:val=&quot;00CB7BF6&quot;/&gt;&lt;wsp:rsid wsp:val=&quot;00CB7D8F&quot;/&gt;&lt;wsp:rsid wsp:val=&quot;00CC0104&quot;/&gt;&lt;wsp:rsid wsp:val=&quot;00CC01C9&quot;/&gt;&lt;wsp:rsid wsp:val=&quot;00CC01EA&quot;/&gt;&lt;wsp:rsid wsp:val=&quot;00CC027C&quot;/&gt;&lt;wsp:rsid wsp:val=&quot;00CC055E&quot;/&gt;&lt;wsp:rsid wsp:val=&quot;00CC058F&quot;/&gt;&lt;wsp:rsid wsp:val=&quot;00CC0721&quot;/&gt;&lt;wsp:rsid wsp:val=&quot;00CC0D26&quot;/&gt;&lt;wsp:rsid wsp:val=&quot;00CC0DC5&quot;/&gt;&lt;wsp:rsid wsp:val=&quot;00CC0F89&quot;/&gt;&lt;wsp:rsid wsp:val=&quot;00CC1129&quot;/&gt;&lt;wsp:rsid wsp:val=&quot;00CC148C&quot;/&gt;&lt;wsp:rsid wsp:val=&quot;00CC1503&quot;/&gt;&lt;wsp:rsid wsp:val=&quot;00CC150C&quot;/&gt;&lt;wsp:rsid wsp:val=&quot;00CC16BA&quot;/&gt;&lt;wsp:rsid wsp:val=&quot;00CC18A5&quot;/&gt;&lt;wsp:rsid wsp:val=&quot;00CC1A82&quot;/&gt;&lt;wsp:rsid wsp:val=&quot;00CC1AD4&quot;/&gt;&lt;wsp:rsid wsp:val=&quot;00CC1B40&quot;/&gt;&lt;wsp:rsid wsp:val=&quot;00CC1BFC&quot;/&gt;&lt;wsp:rsid wsp:val=&quot;00CC1ECA&quot;/&gt;&lt;wsp:rsid wsp:val=&quot;00CC1FCA&quot;/&gt;&lt;wsp:rsid wsp:val=&quot;00CC25D2&quot;/&gt;&lt;wsp:rsid wsp:val=&quot;00CC26F9&quot;/&gt;&lt;wsp:rsid wsp:val=&quot;00CC27A8&quot;/&gt;&lt;wsp:rsid wsp:val=&quot;00CC2B4A&quot;/&gt;&lt;wsp:rsid wsp:val=&quot;00CC2B97&quot;/&gt;&lt;wsp:rsid wsp:val=&quot;00CC2EAC&quot;/&gt;&lt;wsp:rsid wsp:val=&quot;00CC2EFC&quot;/&gt;&lt;wsp:rsid wsp:val=&quot;00CC306E&quot;/&gt;&lt;wsp:rsid wsp:val=&quot;00CC3979&quot;/&gt;&lt;wsp:rsid wsp:val=&quot;00CC3BFC&quot;/&gt;&lt;wsp:rsid wsp:val=&quot;00CC3DA8&quot;/&gt;&lt;wsp:rsid wsp:val=&quot;00CC3E58&quot;/&gt;&lt;wsp:rsid wsp:val=&quot;00CC4189&quot;/&gt;&lt;wsp:rsid wsp:val=&quot;00CC4446&quot;/&gt;&lt;wsp:rsid wsp:val=&quot;00CC4858&quot;/&gt;&lt;wsp:rsid wsp:val=&quot;00CC48D5&quot;/&gt;&lt;wsp:rsid wsp:val=&quot;00CC49E0&quot;/&gt;&lt;wsp:rsid wsp:val=&quot;00CC49E1&quot;/&gt;&lt;wsp:rsid wsp:val=&quot;00CC4D13&quot;/&gt;&lt;wsp:rsid wsp:val=&quot;00CC4EA8&quot;/&gt;&lt;wsp:rsid wsp:val=&quot;00CC4FA2&quot;/&gt;&lt;wsp:rsid wsp:val=&quot;00CC5174&quot;/&gt;&lt;wsp:rsid wsp:val=&quot;00CC52D8&quot;/&gt;&lt;wsp:rsid wsp:val=&quot;00CC5450&quot;/&gt;&lt;wsp:rsid wsp:val=&quot;00CC56B5&quot;/&gt;&lt;wsp:rsid wsp:val=&quot;00CC5A20&quot;/&gt;&lt;wsp:rsid wsp:val=&quot;00CC61C5&quot;/&gt;&lt;wsp:rsid wsp:val=&quot;00CC65B5&quot;/&gt;&lt;wsp:rsid wsp:val=&quot;00CC65D2&quot;/&gt;&lt;wsp:rsid wsp:val=&quot;00CC6624&quot;/&gt;&lt;wsp:rsid wsp:val=&quot;00CC688A&quot;/&gt;&lt;wsp:rsid wsp:val=&quot;00CC695D&quot;/&gt;&lt;wsp:rsid wsp:val=&quot;00CC6A88&quot;/&gt;&lt;wsp:rsid wsp:val=&quot;00CC6E21&quot;/&gt;&lt;wsp:rsid wsp:val=&quot;00CC73B5&quot;/&gt;&lt;wsp:rsid wsp:val=&quot;00CC796B&quot;/&gt;&lt;wsp:rsid wsp:val=&quot;00CC7AD6&quot;/&gt;&lt;wsp:rsid wsp:val=&quot;00CC7B43&quot;/&gt;&lt;wsp:rsid wsp:val=&quot;00CC7CEA&quot;/&gt;&lt;wsp:rsid wsp:val=&quot;00CC7F8E&quot;/&gt;&lt;wsp:rsid wsp:val=&quot;00CD039A&quot;/&gt;&lt;wsp:rsid wsp:val=&quot;00CD04E2&quot;/&gt;&lt;wsp:rsid wsp:val=&quot;00CD07B1&quot;/&gt;&lt;wsp:rsid wsp:val=&quot;00CD0B12&quot;/&gt;&lt;wsp:rsid wsp:val=&quot;00CD0D22&quot;/&gt;&lt;wsp:rsid wsp:val=&quot;00CD14C2&quot;/&gt;&lt;wsp:rsid wsp:val=&quot;00CD1606&quot;/&gt;&lt;wsp:rsid wsp:val=&quot;00CD17E4&quot;/&gt;&lt;wsp:rsid wsp:val=&quot;00CD18AF&quot;/&gt;&lt;wsp:rsid wsp:val=&quot;00CD194B&quot;/&gt;&lt;wsp:rsid wsp:val=&quot;00CD1A47&quot;/&gt;&lt;wsp:rsid wsp:val=&quot;00CD1A7A&quot;/&gt;&lt;wsp:rsid wsp:val=&quot;00CD1B10&quot;/&gt;&lt;wsp:rsid wsp:val=&quot;00CD1E13&quot;/&gt;&lt;wsp:rsid wsp:val=&quot;00CD1E3B&quot;/&gt;&lt;wsp:rsid wsp:val=&quot;00CD2274&quot;/&gt;&lt;wsp:rsid wsp:val=&quot;00CD26A7&quot;/&gt;&lt;wsp:rsid wsp:val=&quot;00CD2765&quot;/&gt;&lt;wsp:rsid wsp:val=&quot;00CD2FFD&quot;/&gt;&lt;wsp:rsid wsp:val=&quot;00CD30E4&quot;/&gt;&lt;wsp:rsid wsp:val=&quot;00CD3113&quot;/&gt;&lt;wsp:rsid wsp:val=&quot;00CD32B1&quot;/&gt;&lt;wsp:rsid wsp:val=&quot;00CD32FA&quot;/&gt;&lt;wsp:rsid wsp:val=&quot;00CD3459&quot;/&gt;&lt;wsp:rsid wsp:val=&quot;00CD34AB&quot;/&gt;&lt;wsp:rsid wsp:val=&quot;00CD3699&quot;/&gt;&lt;wsp:rsid wsp:val=&quot;00CD3968&quot;/&gt;&lt;wsp:rsid wsp:val=&quot;00CD40CD&quot;/&gt;&lt;wsp:rsid wsp:val=&quot;00CD43EF&quot;/&gt;&lt;wsp:rsid wsp:val=&quot;00CD4843&quot;/&gt;&lt;wsp:rsid wsp:val=&quot;00CD4AD4&quot;/&gt;&lt;wsp:rsid wsp:val=&quot;00CD4B6D&quot;/&gt;&lt;wsp:rsid wsp:val=&quot;00CD4E47&quot;/&gt;&lt;wsp:rsid wsp:val=&quot;00CD4F8C&quot;/&gt;&lt;wsp:rsid wsp:val=&quot;00CD50AE&quot;/&gt;&lt;wsp:rsid wsp:val=&quot;00CD542E&quot;/&gt;&lt;wsp:rsid wsp:val=&quot;00CD555F&quot;/&gt;&lt;wsp:rsid wsp:val=&quot;00CD56E3&quot;/&gt;&lt;wsp:rsid wsp:val=&quot;00CD5711&quot;/&gt;&lt;wsp:rsid wsp:val=&quot;00CD591F&quot;/&gt;&lt;wsp:rsid wsp:val=&quot;00CD5D36&quot;/&gt;&lt;wsp:rsid wsp:val=&quot;00CD5DFC&quot;/&gt;&lt;wsp:rsid wsp:val=&quot;00CD5FB2&quot;/&gt;&lt;wsp:rsid wsp:val=&quot;00CD603B&quot;/&gt;&lt;wsp:rsid wsp:val=&quot;00CD60C2&quot;/&gt;&lt;wsp:rsid wsp:val=&quot;00CD68B6&quot;/&gt;&lt;wsp:rsid wsp:val=&quot;00CD69A1&quot;/&gt;&lt;wsp:rsid wsp:val=&quot;00CD6BC3&quot;/&gt;&lt;wsp:rsid wsp:val=&quot;00CD6E02&quot;/&gt;&lt;wsp:rsid wsp:val=&quot;00CD6E50&quot;/&gt;&lt;wsp:rsid wsp:val=&quot;00CD7286&quot;/&gt;&lt;wsp:rsid wsp:val=&quot;00CD7368&quot;/&gt;&lt;wsp:rsid wsp:val=&quot;00CD74AD&quot;/&gt;&lt;wsp:rsid wsp:val=&quot;00CD7681&quot;/&gt;&lt;wsp:rsid wsp:val=&quot;00CD797E&quot;/&gt;&lt;wsp:rsid wsp:val=&quot;00CD7CB7&quot;/&gt;&lt;wsp:rsid wsp:val=&quot;00CD7E64&quot;/&gt;&lt;wsp:rsid wsp:val=&quot;00CD7EC8&quot;/&gt;&lt;wsp:rsid wsp:val=&quot;00CD7EDA&quot;/&gt;&lt;wsp:rsid wsp:val=&quot;00CE02F7&quot;/&gt;&lt;wsp:rsid wsp:val=&quot;00CE0770&quot;/&gt;&lt;wsp:rsid wsp:val=&quot;00CE0778&quot;/&gt;&lt;wsp:rsid wsp:val=&quot;00CE0B52&quot;/&gt;&lt;wsp:rsid wsp:val=&quot;00CE0D3C&quot;/&gt;&lt;wsp:rsid wsp:val=&quot;00CE0DBB&quot;/&gt;&lt;wsp:rsid wsp:val=&quot;00CE10BA&quot;/&gt;&lt;wsp:rsid wsp:val=&quot;00CE11B2&quot;/&gt;&lt;wsp:rsid wsp:val=&quot;00CE124B&quot;/&gt;&lt;wsp:rsid wsp:val=&quot;00CE13F7&quot;/&gt;&lt;wsp:rsid wsp:val=&quot;00CE16C6&quot;/&gt;&lt;wsp:rsid wsp:val=&quot;00CE1819&quot;/&gt;&lt;wsp:rsid wsp:val=&quot;00CE1839&quot;/&gt;&lt;wsp:rsid wsp:val=&quot;00CE19CC&quot;/&gt;&lt;wsp:rsid wsp:val=&quot;00CE245F&quot;/&gt;&lt;wsp:rsid wsp:val=&quot;00CE26DE&quot;/&gt;&lt;wsp:rsid wsp:val=&quot;00CE2B80&quot;/&gt;&lt;wsp:rsid wsp:val=&quot;00CE2D9B&quot;/&gt;&lt;wsp:rsid wsp:val=&quot;00CE3200&quot;/&gt;&lt;wsp:rsid wsp:val=&quot;00CE36DE&quot;/&gt;&lt;wsp:rsid wsp:val=&quot;00CE3A4F&quot;/&gt;&lt;wsp:rsid wsp:val=&quot;00CE3FE6&quot;/&gt;&lt;wsp:rsid wsp:val=&quot;00CE4087&quot;/&gt;&lt;wsp:rsid wsp:val=&quot;00CE4479&quot;/&gt;&lt;wsp:rsid wsp:val=&quot;00CE4626&quot;/&gt;&lt;wsp:rsid wsp:val=&quot;00CE46FD&quot;/&gt;&lt;wsp:rsid wsp:val=&quot;00CE480B&quot;/&gt;&lt;wsp:rsid wsp:val=&quot;00CE4CA2&quot;/&gt;&lt;wsp:rsid wsp:val=&quot;00CE4D87&quot;/&gt;&lt;wsp:rsid wsp:val=&quot;00CE5029&quot;/&gt;&lt;wsp:rsid wsp:val=&quot;00CE581E&quot;/&gt;&lt;wsp:rsid wsp:val=&quot;00CE5A78&quot;/&gt;&lt;wsp:rsid wsp:val=&quot;00CE5C07&quot;/&gt;&lt;wsp:rsid wsp:val=&quot;00CE5F2F&quot;/&gt;&lt;wsp:rsid wsp:val=&quot;00CE6013&quot;/&gt;&lt;wsp:rsid wsp:val=&quot;00CE621D&quot;/&gt;&lt;wsp:rsid wsp:val=&quot;00CE63F3&quot;/&gt;&lt;wsp:rsid wsp:val=&quot;00CE6465&quot;/&gt;&lt;wsp:rsid wsp:val=&quot;00CE65FA&quot;/&gt;&lt;wsp:rsid wsp:val=&quot;00CE698C&quot;/&gt;&lt;wsp:rsid wsp:val=&quot;00CE6B73&quot;/&gt;&lt;wsp:rsid wsp:val=&quot;00CE720D&quot;/&gt;&lt;wsp:rsid wsp:val=&quot;00CE726D&quot;/&gt;&lt;wsp:rsid wsp:val=&quot;00CE75FA&quot;/&gt;&lt;wsp:rsid wsp:val=&quot;00CE7714&quot;/&gt;&lt;wsp:rsid wsp:val=&quot;00CE7848&quot;/&gt;&lt;wsp:rsid wsp:val=&quot;00CE78FB&quot;/&gt;&lt;wsp:rsid wsp:val=&quot;00CF0136&quot;/&gt;&lt;wsp:rsid wsp:val=&quot;00CF0148&quot;/&gt;&lt;wsp:rsid wsp:val=&quot;00CF0356&quot;/&gt;&lt;wsp:rsid wsp:val=&quot;00CF0602&quot;/&gt;&lt;wsp:rsid wsp:val=&quot;00CF0C16&quot;/&gt;&lt;wsp:rsid wsp:val=&quot;00CF0DD3&quot;/&gt;&lt;wsp:rsid wsp:val=&quot;00CF1599&quot;/&gt;&lt;wsp:rsid wsp:val=&quot;00CF1655&quot;/&gt;&lt;wsp:rsid wsp:val=&quot;00CF1840&quot;/&gt;&lt;wsp:rsid wsp:val=&quot;00CF1BBF&quot;/&gt;&lt;wsp:rsid wsp:val=&quot;00CF20BB&quot;/&gt;&lt;wsp:rsid wsp:val=&quot;00CF21F2&quot;/&gt;&lt;wsp:rsid wsp:val=&quot;00CF2311&quot;/&gt;&lt;wsp:rsid wsp:val=&quot;00CF2A27&quot;/&gt;&lt;wsp:rsid wsp:val=&quot;00CF2A4D&quot;/&gt;&lt;wsp:rsid wsp:val=&quot;00CF2A5A&quot;/&gt;&lt;wsp:rsid wsp:val=&quot;00CF2B2C&quot;/&gt;&lt;wsp:rsid wsp:val=&quot;00CF2F1C&quot;/&gt;&lt;wsp:rsid wsp:val=&quot;00CF2F9C&quot;/&gt;&lt;wsp:rsid wsp:val=&quot;00CF30C7&quot;/&gt;&lt;wsp:rsid wsp:val=&quot;00CF3184&quot;/&gt;&lt;wsp:rsid wsp:val=&quot;00CF32D7&quot;/&gt;&lt;wsp:rsid wsp:val=&quot;00CF35D6&quot;/&gt;&lt;wsp:rsid wsp:val=&quot;00CF37DC&quot;/&gt;&lt;wsp:rsid wsp:val=&quot;00CF38AC&quot;/&gt;&lt;wsp:rsid wsp:val=&quot;00CF3B93&quot;/&gt;&lt;wsp:rsid wsp:val=&quot;00CF3D2C&quot;/&gt;&lt;wsp:rsid wsp:val=&quot;00CF3FD9&quot;/&gt;&lt;wsp:rsid wsp:val=&quot;00CF417C&quot;/&gt;&lt;wsp:rsid wsp:val=&quot;00CF4474&quot;/&gt;&lt;wsp:rsid wsp:val=&quot;00CF456A&quot;/&gt;&lt;wsp:rsid wsp:val=&quot;00CF4CB4&quot;/&gt;&lt;wsp:rsid wsp:val=&quot;00CF4CFA&quot;/&gt;&lt;wsp:rsid wsp:val=&quot;00CF51FA&quot;/&gt;&lt;wsp:rsid wsp:val=&quot;00CF5425&quot;/&gt;&lt;wsp:rsid wsp:val=&quot;00CF5C38&quot;/&gt;&lt;wsp:rsid wsp:val=&quot;00CF5D15&quot;/&gt;&lt;wsp:rsid wsp:val=&quot;00CF60A2&quot;/&gt;&lt;wsp:rsid wsp:val=&quot;00CF62D8&quot;/&gt;&lt;wsp:rsid wsp:val=&quot;00CF639F&quot;/&gt;&lt;wsp:rsid wsp:val=&quot;00CF67E9&quot;/&gt;&lt;wsp:rsid wsp:val=&quot;00CF6D57&quot;/&gt;&lt;wsp:rsid wsp:val=&quot;00CF7302&quot;/&gt;&lt;wsp:rsid wsp:val=&quot;00CF7338&quot;/&gt;&lt;wsp:rsid wsp:val=&quot;00CF7974&quot;/&gt;&lt;wsp:rsid wsp:val=&quot;00CF7A10&quot;/&gt;&lt;wsp:rsid wsp:val=&quot;00CF7BB2&quot;/&gt;&lt;wsp:rsid wsp:val=&quot;00D000A5&quot;/&gt;&lt;wsp:rsid wsp:val=&quot;00D0021E&quot;/&gt;&lt;wsp:rsid wsp:val=&quot;00D0030D&quot;/&gt;&lt;wsp:rsid wsp:val=&quot;00D00EBB&quot;/&gt;&lt;wsp:rsid wsp:val=&quot;00D012FA&quot;/&gt;&lt;wsp:rsid wsp:val=&quot;00D01550&quot;/&gt;&lt;wsp:rsid wsp:val=&quot;00D015C0&quot;/&gt;&lt;wsp:rsid wsp:val=&quot;00D01909&quot;/&gt;&lt;wsp:rsid wsp:val=&quot;00D02006&quot;/&gt;&lt;wsp:rsid wsp:val=&quot;00D02187&quot;/&gt;&lt;wsp:rsid wsp:val=&quot;00D02259&quot;/&gt;&lt;wsp:rsid wsp:val=&quot;00D02574&quot;/&gt;&lt;wsp:rsid wsp:val=&quot;00D02668&quot;/&gt;&lt;wsp:rsid wsp:val=&quot;00D027B9&quot;/&gt;&lt;wsp:rsid wsp:val=&quot;00D02FA3&quot;/&gt;&lt;wsp:rsid wsp:val=&quot;00D0311E&quot;/&gt;&lt;wsp:rsid wsp:val=&quot;00D032E4&quot;/&gt;&lt;wsp:rsid wsp:val=&quot;00D035A8&quot;/&gt;&lt;wsp:rsid wsp:val=&quot;00D039B0&quot;/&gt;&lt;wsp:rsid wsp:val=&quot;00D03D4F&quot;/&gt;&lt;wsp:rsid wsp:val=&quot;00D03EC8&quot;/&gt;&lt;wsp:rsid wsp:val=&quot;00D03F0E&quot;/&gt;&lt;wsp:rsid wsp:val=&quot;00D0411E&quot;/&gt;&lt;wsp:rsid wsp:val=&quot;00D0457A&quot;/&gt;&lt;wsp:rsid wsp:val=&quot;00D04757&quot;/&gt;&lt;wsp:rsid wsp:val=&quot;00D047F1&quot;/&gt;&lt;wsp:rsid wsp:val=&quot;00D04BEF&quot;/&gt;&lt;wsp:rsid wsp:val=&quot;00D04DA8&quot;/&gt;&lt;wsp:rsid wsp:val=&quot;00D04F96&quot;/&gt;&lt;wsp:rsid wsp:val=&quot;00D050E6&quot;/&gt;&lt;wsp:rsid wsp:val=&quot;00D051B8&quot;/&gt;&lt;wsp:rsid wsp:val=&quot;00D052E8&quot;/&gt;&lt;wsp:rsid wsp:val=&quot;00D05863&quot;/&gt;&lt;wsp:rsid wsp:val=&quot;00D058B3&quot;/&gt;&lt;wsp:rsid wsp:val=&quot;00D05CCA&quot;/&gt;&lt;wsp:rsid wsp:val=&quot;00D05D0C&quot;/&gt;&lt;wsp:rsid wsp:val=&quot;00D05E26&quot;/&gt;&lt;wsp:rsid wsp:val=&quot;00D06086&quot;/&gt;&lt;wsp:rsid wsp:val=&quot;00D060F7&quot;/&gt;&lt;wsp:rsid wsp:val=&quot;00D06276&quot;/&gt;&lt;wsp:rsid wsp:val=&quot;00D06352&quot;/&gt;&lt;wsp:rsid wsp:val=&quot;00D06362&quot;/&gt;&lt;wsp:rsid wsp:val=&quot;00D065C9&quot;/&gt;&lt;wsp:rsid wsp:val=&quot;00D06ED7&quot;/&gt;&lt;wsp:rsid wsp:val=&quot;00D071D7&quot;/&gt;&lt;wsp:rsid wsp:val=&quot;00D071EF&quot;/&gt;&lt;wsp:rsid wsp:val=&quot;00D07247&quot;/&gt;&lt;wsp:rsid wsp:val=&quot;00D072F8&quot;/&gt;&lt;wsp:rsid wsp:val=&quot;00D077B8&quot;/&gt;&lt;wsp:rsid wsp:val=&quot;00D078BD&quot;/&gt;&lt;wsp:rsid wsp:val=&quot;00D07940&quot;/&gt;&lt;wsp:rsid wsp:val=&quot;00D07B93&quot;/&gt;&lt;wsp:rsid wsp:val=&quot;00D07D09&quot;/&gt;&lt;wsp:rsid wsp:val=&quot;00D07E78&quot;/&gt;&lt;wsp:rsid wsp:val=&quot;00D1006F&quot;/&gt;&lt;wsp:rsid wsp:val=&quot;00D10707&quot;/&gt;&lt;wsp:rsid wsp:val=&quot;00D107A6&quot;/&gt;&lt;wsp:rsid wsp:val=&quot;00D108C0&quot;/&gt;&lt;wsp:rsid wsp:val=&quot;00D10ABD&quot;/&gt;&lt;wsp:rsid wsp:val=&quot;00D10C11&quot;/&gt;&lt;wsp:rsid wsp:val=&quot;00D10C28&quot;/&gt;&lt;wsp:rsid wsp:val=&quot;00D10E53&quot;/&gt;&lt;wsp:rsid wsp:val=&quot;00D110E7&quot;/&gt;&lt;wsp:rsid wsp:val=&quot;00D1117F&quot;/&gt;&lt;wsp:rsid wsp:val=&quot;00D113C0&quot;/&gt;&lt;wsp:rsid wsp:val=&quot;00D11AC9&quot;/&gt;&lt;wsp:rsid wsp:val=&quot;00D11C04&quot;/&gt;&lt;wsp:rsid wsp:val=&quot;00D11D16&quot;/&gt;&lt;wsp:rsid wsp:val=&quot;00D11D75&quot;/&gt;&lt;wsp:rsid wsp:val=&quot;00D11E0C&quot;/&gt;&lt;wsp:rsid wsp:val=&quot;00D12362&quot;/&gt;&lt;wsp:rsid wsp:val=&quot;00D12E64&quot;/&gt;&lt;wsp:rsid wsp:val=&quot;00D1318A&quot;/&gt;&lt;wsp:rsid wsp:val=&quot;00D13286&quot;/&gt;&lt;wsp:rsid wsp:val=&quot;00D134D0&quot;/&gt;&lt;wsp:rsid wsp:val=&quot;00D1446D&quot;/&gt;&lt;wsp:rsid wsp:val=&quot;00D1466B&quot;/&gt;&lt;wsp:rsid wsp:val=&quot;00D14A04&quot;/&gt;&lt;wsp:rsid wsp:val=&quot;00D15053&quot;/&gt;&lt;wsp:rsid wsp:val=&quot;00D15094&quot;/&gt;&lt;wsp:rsid wsp:val=&quot;00D1509F&quot;/&gt;&lt;wsp:rsid wsp:val=&quot;00D15373&quot;/&gt;&lt;wsp:rsid wsp:val=&quot;00D1538A&quot;/&gt;&lt;wsp:rsid wsp:val=&quot;00D15523&quot;/&gt;&lt;wsp:rsid wsp:val=&quot;00D156F3&quot;/&gt;&lt;wsp:rsid wsp:val=&quot;00D159D1&quot;/&gt;&lt;wsp:rsid wsp:val=&quot;00D15CC8&quot;/&gt;&lt;wsp:rsid wsp:val=&quot;00D16250&quot;/&gt;&lt;wsp:rsid wsp:val=&quot;00D162A3&quot;/&gt;&lt;wsp:rsid wsp:val=&quot;00D16493&quot;/&gt;&lt;wsp:rsid wsp:val=&quot;00D167E6&quot;/&gt;&lt;wsp:rsid wsp:val=&quot;00D168BD&quot;/&gt;&lt;wsp:rsid wsp:val=&quot;00D16A69&quot;/&gt;&lt;wsp:rsid wsp:val=&quot;00D16B21&quot;/&gt;&lt;wsp:rsid wsp:val=&quot;00D16D8E&quot;/&gt;&lt;wsp:rsid wsp:val=&quot;00D16DF0&quot;/&gt;&lt;wsp:rsid wsp:val=&quot;00D16EC8&quot;/&gt;&lt;wsp:rsid wsp:val=&quot;00D16EDD&quot;/&gt;&lt;wsp:rsid wsp:val=&quot;00D17029&quot;/&gt;&lt;wsp:rsid wsp:val=&quot;00D170AB&quot;/&gt;&lt;wsp:rsid wsp:val=&quot;00D170B3&quot;/&gt;&lt;wsp:rsid wsp:val=&quot;00D17322&quot;/&gt;&lt;wsp:rsid wsp:val=&quot;00D1740C&quot;/&gt;&lt;wsp:rsid wsp:val=&quot;00D1786D&quot;/&gt;&lt;wsp:rsid wsp:val=&quot;00D178EE&quot;/&gt;&lt;wsp:rsid wsp:val=&quot;00D17AF7&quot;/&gt;&lt;wsp:rsid wsp:val=&quot;00D17CD4&quot;/&gt;&lt;wsp:rsid wsp:val=&quot;00D20C6E&quot;/&gt;&lt;wsp:rsid wsp:val=&quot;00D20FE8&quot;/&gt;&lt;wsp:rsid wsp:val=&quot;00D212C9&quot;/&gt;&lt;wsp:rsid wsp:val=&quot;00D2177B&quot;/&gt;&lt;wsp:rsid wsp:val=&quot;00D217B1&quot;/&gt;&lt;wsp:rsid wsp:val=&quot;00D220CB&quot;/&gt;&lt;wsp:rsid wsp:val=&quot;00D2221D&quot;/&gt;&lt;wsp:rsid wsp:val=&quot;00D22321&quot;/&gt;&lt;wsp:rsid wsp:val=&quot;00D226D5&quot;/&gt;&lt;wsp:rsid wsp:val=&quot;00D22779&quot;/&gt;&lt;wsp:rsid wsp:val=&quot;00D22928&quot;/&gt;&lt;wsp:rsid wsp:val=&quot;00D22984&quot;/&gt;&lt;wsp:rsid wsp:val=&quot;00D23728&quot;/&gt;&lt;wsp:rsid wsp:val=&quot;00D23A1E&quot;/&gt;&lt;wsp:rsid wsp:val=&quot;00D23BD8&quot;/&gt;&lt;wsp:rsid wsp:val=&quot;00D23CF1&quot;/&gt;&lt;wsp:rsid wsp:val=&quot;00D23D15&quot;/&gt;&lt;wsp:rsid wsp:val=&quot;00D24105&quot;/&gt;&lt;wsp:rsid wsp:val=&quot;00D243E6&quot;/&gt;&lt;wsp:rsid wsp:val=&quot;00D245FA&quot;/&gt;&lt;wsp:rsid wsp:val=&quot;00D2498A&quot;/&gt;&lt;wsp:rsid wsp:val=&quot;00D24C76&quot;/&gt;&lt;wsp:rsid wsp:val=&quot;00D24DD2&quot;/&gt;&lt;wsp:rsid wsp:val=&quot;00D24FDB&quot;/&gt;&lt;wsp:rsid wsp:val=&quot;00D25194&quot;/&gt;&lt;wsp:rsid wsp:val=&quot;00D25360&quot;/&gt;&lt;wsp:rsid wsp:val=&quot;00D25445&quot;/&gt;&lt;wsp:rsid wsp:val=&quot;00D25475&quot;/&gt;&lt;wsp:rsid wsp:val=&quot;00D255ED&quot;/&gt;&lt;wsp:rsid wsp:val=&quot;00D256FE&quot;/&gt;&lt;wsp:rsid wsp:val=&quot;00D25839&quot;/&gt;&lt;wsp:rsid wsp:val=&quot;00D25DF4&quot;/&gt;&lt;wsp:rsid wsp:val=&quot;00D25DFE&quot;/&gt;&lt;wsp:rsid wsp:val=&quot;00D25ECE&quot;/&gt;&lt;wsp:rsid wsp:val=&quot;00D25F1C&quot;/&gt;&lt;wsp:rsid wsp:val=&quot;00D25FB6&quot;/&gt;&lt;wsp:rsid wsp:val=&quot;00D263E1&quot;/&gt;&lt;wsp:rsid wsp:val=&quot;00D265D1&quot;/&gt;&lt;wsp:rsid wsp:val=&quot;00D266DB&quot;/&gt;&lt;wsp:rsid wsp:val=&quot;00D26856&quot;/&gt;&lt;wsp:rsid wsp:val=&quot;00D26ACC&quot;/&gt;&lt;wsp:rsid wsp:val=&quot;00D26DBE&quot;/&gt;&lt;wsp:rsid wsp:val=&quot;00D26DFB&quot;/&gt;&lt;wsp:rsid wsp:val=&quot;00D26FBD&quot;/&gt;&lt;wsp:rsid wsp:val=&quot;00D2706C&quot;/&gt;&lt;wsp:rsid wsp:val=&quot;00D27206&quot;/&gt;&lt;wsp:rsid wsp:val=&quot;00D272DD&quot;/&gt;&lt;wsp:rsid wsp:val=&quot;00D273CA&quot;/&gt;&lt;wsp:rsid wsp:val=&quot;00D27642&quot;/&gt;&lt;wsp:rsid wsp:val=&quot;00D27AB7&quot;/&gt;&lt;wsp:rsid wsp:val=&quot;00D27E9E&quot;/&gt;&lt;wsp:rsid wsp:val=&quot;00D3034E&quot;/&gt;&lt;wsp:rsid wsp:val=&quot;00D30C78&quot;/&gt;&lt;wsp:rsid wsp:val=&quot;00D312DC&quot;/&gt;&lt;wsp:rsid wsp:val=&quot;00D312FE&quot;/&gt;&lt;wsp:rsid wsp:val=&quot;00D31428&quot;/&gt;&lt;wsp:rsid wsp:val=&quot;00D3157C&quot;/&gt;&lt;wsp:rsid wsp:val=&quot;00D31669&quot;/&gt;&lt;wsp:rsid wsp:val=&quot;00D318E9&quot;/&gt;&lt;wsp:rsid wsp:val=&quot;00D31AEA&quot;/&gt;&lt;wsp:rsid wsp:val=&quot;00D31CF3&quot;/&gt;&lt;wsp:rsid wsp:val=&quot;00D32260&quot;/&gt;&lt;wsp:rsid wsp:val=&quot;00D3248F&quot;/&gt;&lt;wsp:rsid wsp:val=&quot;00D326F2&quot;/&gt;&lt;wsp:rsid wsp:val=&quot;00D3294D&quot;/&gt;&lt;wsp:rsid wsp:val=&quot;00D329F3&quot;/&gt;&lt;wsp:rsid wsp:val=&quot;00D32FD4&quot;/&gt;&lt;wsp:rsid wsp:val=&quot;00D33495&quot;/&gt;&lt;wsp:rsid wsp:val=&quot;00D334FB&quot;/&gt;&lt;wsp:rsid wsp:val=&quot;00D33648&quot;/&gt;&lt;wsp:rsid wsp:val=&quot;00D33850&quot;/&gt;&lt;wsp:rsid wsp:val=&quot;00D3397C&quot;/&gt;&lt;wsp:rsid wsp:val=&quot;00D33BBE&quot;/&gt;&lt;wsp:rsid wsp:val=&quot;00D345D8&quot;/&gt;&lt;wsp:rsid wsp:val=&quot;00D34666&quot;/&gt;&lt;wsp:rsid wsp:val=&quot;00D3491F&quot;/&gt;&lt;wsp:rsid wsp:val=&quot;00D34AA9&quot;/&gt;&lt;wsp:rsid wsp:val=&quot;00D34C7F&quot;/&gt;&lt;wsp:rsid wsp:val=&quot;00D3512D&quot;/&gt;&lt;wsp:rsid wsp:val=&quot;00D351D8&quot;/&gt;&lt;wsp:rsid wsp:val=&quot;00D35321&quot;/&gt;&lt;wsp:rsid wsp:val=&quot;00D3533D&quot;/&gt;&lt;wsp:rsid wsp:val=&quot;00D35479&quot;/&gt;&lt;wsp:rsid wsp:val=&quot;00D357E5&quot;/&gt;&lt;wsp:rsid wsp:val=&quot;00D357FE&quot;/&gt;&lt;wsp:rsid wsp:val=&quot;00D358A2&quot;/&gt;&lt;wsp:rsid wsp:val=&quot;00D358F7&quot;/&gt;&lt;wsp:rsid wsp:val=&quot;00D3592F&quot;/&gt;&lt;wsp:rsid wsp:val=&quot;00D35DCC&quot;/&gt;&lt;wsp:rsid wsp:val=&quot;00D35EC9&quot;/&gt;&lt;wsp:rsid wsp:val=&quot;00D361D7&quot;/&gt;&lt;wsp:rsid wsp:val=&quot;00D36301&quot;/&gt;&lt;wsp:rsid wsp:val=&quot;00D36333&quot;/&gt;&lt;wsp:rsid wsp:val=&quot;00D363B1&quot;/&gt;&lt;wsp:rsid wsp:val=&quot;00D364CC&quot;/&gt;&lt;wsp:rsid wsp:val=&quot;00D36AEE&quot;/&gt;&lt;wsp:rsid wsp:val=&quot;00D36B66&quot;/&gt;&lt;wsp:rsid wsp:val=&quot;00D36B9F&quot;/&gt;&lt;wsp:rsid wsp:val=&quot;00D36F6A&quot;/&gt;&lt;wsp:rsid wsp:val=&quot;00D37840&quot;/&gt;&lt;wsp:rsid wsp:val=&quot;00D37A56&quot;/&gt;&lt;wsp:rsid wsp:val=&quot;00D37AB2&quot;/&gt;&lt;wsp:rsid wsp:val=&quot;00D37B6E&quot;/&gt;&lt;wsp:rsid wsp:val=&quot;00D37EBC&quot;/&gt;&lt;wsp:rsid wsp:val=&quot;00D37FF7&quot;/&gt;&lt;wsp:rsid wsp:val=&quot;00D4021B&quot;/&gt;&lt;wsp:rsid wsp:val=&quot;00D405B1&quot;/&gt;&lt;wsp:rsid wsp:val=&quot;00D405C9&quot;/&gt;&lt;wsp:rsid wsp:val=&quot;00D40B20&quot;/&gt;&lt;wsp:rsid wsp:val=&quot;00D40E05&quot;/&gt;&lt;wsp:rsid wsp:val=&quot;00D40EDA&quot;/&gt;&lt;wsp:rsid wsp:val=&quot;00D40F81&quot;/&gt;&lt;wsp:rsid wsp:val=&quot;00D4102B&quot;/&gt;&lt;wsp:rsid wsp:val=&quot;00D41278&quot;/&gt;&lt;wsp:rsid wsp:val=&quot;00D41571&quot;/&gt;&lt;wsp:rsid wsp:val=&quot;00D41618&quot;/&gt;&lt;wsp:rsid wsp:val=&quot;00D41881&quot;/&gt;&lt;wsp:rsid wsp:val=&quot;00D419FA&quot;/&gt;&lt;wsp:rsid wsp:val=&quot;00D41DF0&quot;/&gt;&lt;wsp:rsid wsp:val=&quot;00D41F48&quot;/&gt;&lt;wsp:rsid wsp:val=&quot;00D420BD&quot;/&gt;&lt;wsp:rsid wsp:val=&quot;00D4223A&quot;/&gt;&lt;wsp:rsid wsp:val=&quot;00D42591&quot;/&gt;&lt;wsp:rsid wsp:val=&quot;00D42669&quot;/&gt;&lt;wsp:rsid wsp:val=&quot;00D426B8&quot;/&gt;&lt;wsp:rsid wsp:val=&quot;00D42D83&quot;/&gt;&lt;wsp:rsid wsp:val=&quot;00D42F46&quot;/&gt;&lt;wsp:rsid wsp:val=&quot;00D43112&quot;/&gt;&lt;wsp:rsid wsp:val=&quot;00D432F9&quot;/&gt;&lt;wsp:rsid wsp:val=&quot;00D43614&quot;/&gt;&lt;wsp:rsid wsp:val=&quot;00D43761&quot;/&gt;&lt;wsp:rsid wsp:val=&quot;00D43773&quot;/&gt;&lt;wsp:rsid wsp:val=&quot;00D438AB&quot;/&gt;&lt;wsp:rsid wsp:val=&quot;00D43D51&quot;/&gt;&lt;wsp:rsid wsp:val=&quot;00D43E7F&quot;/&gt;&lt;wsp:rsid wsp:val=&quot;00D43F1E&quot;/&gt;&lt;wsp:rsid wsp:val=&quot;00D43FC8&quot;/&gt;&lt;wsp:rsid wsp:val=&quot;00D44005&quot;/&gt;&lt;wsp:rsid wsp:val=&quot;00D44199&quot;/&gt;&lt;wsp:rsid wsp:val=&quot;00D4422D&quot;/&gt;&lt;wsp:rsid wsp:val=&quot;00D445A7&quot;/&gt;&lt;wsp:rsid wsp:val=&quot;00D447E0&quot;/&gt;&lt;wsp:rsid wsp:val=&quot;00D44984&quot;/&gt;&lt;wsp:rsid wsp:val=&quot;00D44D34&quot;/&gt;&lt;wsp:rsid wsp:val=&quot;00D452B2&quot;/&gt;&lt;wsp:rsid wsp:val=&quot;00D452E1&quot;/&gt;&lt;wsp:rsid wsp:val=&quot;00D455B8&quot;/&gt;&lt;wsp:rsid wsp:val=&quot;00D45715&quot;/&gt;&lt;wsp:rsid wsp:val=&quot;00D458A8&quot;/&gt;&lt;wsp:rsid wsp:val=&quot;00D4597B&quot;/&gt;&lt;wsp:rsid wsp:val=&quot;00D45A8E&quot;/&gt;&lt;wsp:rsid wsp:val=&quot;00D45B12&quot;/&gt;&lt;wsp:rsid wsp:val=&quot;00D45D31&quot;/&gt;&lt;wsp:rsid wsp:val=&quot;00D45E1E&quot;/&gt;&lt;wsp:rsid wsp:val=&quot;00D460B1&quot;/&gt;&lt;wsp:rsid wsp:val=&quot;00D46607&quot;/&gt;&lt;wsp:rsid wsp:val=&quot;00D46671&quot;/&gt;&lt;wsp:rsid wsp:val=&quot;00D467E6&quot;/&gt;&lt;wsp:rsid wsp:val=&quot;00D46D5C&quot;/&gt;&lt;wsp:rsid wsp:val=&quot;00D46DF8&quot;/&gt;&lt;wsp:rsid wsp:val=&quot;00D46F95&quot;/&gt;&lt;wsp:rsid wsp:val=&quot;00D47282&quot;/&gt;&lt;wsp:rsid wsp:val=&quot;00D47A43&quot;/&gt;&lt;wsp:rsid wsp:val=&quot;00D47DAF&quot;/&gt;&lt;wsp:rsid wsp:val=&quot;00D47F6F&quot;/&gt;&lt;wsp:rsid wsp:val=&quot;00D509BF&quot;/&gt;&lt;wsp:rsid wsp:val=&quot;00D50B08&quot;/&gt;&lt;wsp:rsid wsp:val=&quot;00D50E69&quot;/&gt;&lt;wsp:rsid wsp:val=&quot;00D50FC5&quot;/&gt;&lt;wsp:rsid wsp:val=&quot;00D50FF0&quot;/&gt;&lt;wsp:rsid wsp:val=&quot;00D5125A&quot;/&gt;&lt;wsp:rsid wsp:val=&quot;00D5130F&quot;/&gt;&lt;wsp:rsid wsp:val=&quot;00D5174E&quot;/&gt;&lt;wsp:rsid wsp:val=&quot;00D51954&quot;/&gt;&lt;wsp:rsid wsp:val=&quot;00D51BB0&quot;/&gt;&lt;wsp:rsid wsp:val=&quot;00D51CB7&quot;/&gt;&lt;wsp:rsid wsp:val=&quot;00D51FD7&quot;/&gt;&lt;wsp:rsid wsp:val=&quot;00D52029&quot;/&gt;&lt;wsp:rsid wsp:val=&quot;00D520F7&quot;/&gt;&lt;wsp:rsid wsp:val=&quot;00D527F8&quot;/&gt;&lt;wsp:rsid wsp:val=&quot;00D52877&quot;/&gt;&lt;wsp:rsid wsp:val=&quot;00D528DC&quot;/&gt;&lt;wsp:rsid wsp:val=&quot;00D52C06&quot;/&gt;&lt;wsp:rsid wsp:val=&quot;00D5354B&quot;/&gt;&lt;wsp:rsid wsp:val=&quot;00D53CEC&quot;/&gt;&lt;wsp:rsid wsp:val=&quot;00D53F29&quot;/&gt;&lt;wsp:rsid wsp:val=&quot;00D541FC&quot;/&gt;&lt;wsp:rsid wsp:val=&quot;00D54235&quot;/&gt;&lt;wsp:rsid wsp:val=&quot;00D542D4&quot;/&gt;&lt;wsp:rsid wsp:val=&quot;00D5449B&quot;/&gt;&lt;wsp:rsid wsp:val=&quot;00D546C1&quot;/&gt;&lt;wsp:rsid wsp:val=&quot;00D54740&quot;/&gt;&lt;wsp:rsid wsp:val=&quot;00D547F9&quot;/&gt;&lt;wsp:rsid wsp:val=&quot;00D54A82&quot;/&gt;&lt;wsp:rsid wsp:val=&quot;00D54BBF&quot;/&gt;&lt;wsp:rsid wsp:val=&quot;00D54F22&quot;/&gt;&lt;wsp:rsid wsp:val=&quot;00D5500E&quot;/&gt;&lt;wsp:rsid wsp:val=&quot;00D55131&quot;/&gt;&lt;wsp:rsid wsp:val=&quot;00D55264&quot;/&gt;&lt;wsp:rsid wsp:val=&quot;00D55666&quot;/&gt;&lt;wsp:rsid wsp:val=&quot;00D55B2D&quot;/&gt;&lt;wsp:rsid wsp:val=&quot;00D55EC1&quot;/&gt;&lt;wsp:rsid wsp:val=&quot;00D5619A&quot;/&gt;&lt;wsp:rsid wsp:val=&quot;00D5630B&quot;/&gt;&lt;wsp:rsid wsp:val=&quot;00D5657B&quot;/&gt;&lt;wsp:rsid wsp:val=&quot;00D56A4A&quot;/&gt;&lt;wsp:rsid wsp:val=&quot;00D56D6C&quot;/&gt;&lt;wsp:rsid wsp:val=&quot;00D5707E&quot;/&gt;&lt;wsp:rsid wsp:val=&quot;00D5716A&quot;/&gt;&lt;wsp:rsid wsp:val=&quot;00D573C6&quot;/&gt;&lt;wsp:rsid wsp:val=&quot;00D57C2A&quot;/&gt;&lt;wsp:rsid wsp:val=&quot;00D6031F&quot;/&gt;&lt;wsp:rsid wsp:val=&quot;00D603B3&quot;/&gt;&lt;wsp:rsid wsp:val=&quot;00D60603&quot;/&gt;&lt;wsp:rsid wsp:val=&quot;00D607DD&quot;/&gt;&lt;wsp:rsid wsp:val=&quot;00D609FC&quot;/&gt;&lt;wsp:rsid wsp:val=&quot;00D60B0A&quot;/&gt;&lt;wsp:rsid wsp:val=&quot;00D60B9E&quot;/&gt;&lt;wsp:rsid wsp:val=&quot;00D60E59&quot;/&gt;&lt;wsp:rsid wsp:val=&quot;00D60F37&quot;/&gt;&lt;wsp:rsid wsp:val=&quot;00D610AC&quot;/&gt;&lt;wsp:rsid wsp:val=&quot;00D61467&quot;/&gt;&lt;wsp:rsid wsp:val=&quot;00D614E3&quot;/&gt;&lt;wsp:rsid wsp:val=&quot;00D61783&quot;/&gt;&lt;wsp:rsid wsp:val=&quot;00D61DA1&quot;/&gt;&lt;wsp:rsid wsp:val=&quot;00D61DCD&quot;/&gt;&lt;wsp:rsid wsp:val=&quot;00D61E17&quot;/&gt;&lt;wsp:rsid wsp:val=&quot;00D61E7A&quot;/&gt;&lt;wsp:rsid wsp:val=&quot;00D62272&quot;/&gt;&lt;wsp:rsid wsp:val=&quot;00D62604&quot;/&gt;&lt;wsp:rsid wsp:val=&quot;00D62D10&quot;/&gt;&lt;wsp:rsid wsp:val=&quot;00D6314B&quot;/&gt;&lt;wsp:rsid wsp:val=&quot;00D635D5&quot;/&gt;&lt;wsp:rsid wsp:val=&quot;00D63784&quot;/&gt;&lt;wsp:rsid wsp:val=&quot;00D637FC&quot;/&gt;&lt;wsp:rsid wsp:val=&quot;00D63949&quot;/&gt;&lt;wsp:rsid wsp:val=&quot;00D63B6F&quot;/&gt;&lt;wsp:rsid wsp:val=&quot;00D63BD0&quot;/&gt;&lt;wsp:rsid wsp:val=&quot;00D63CFD&quot;/&gt;&lt;wsp:rsid wsp:val=&quot;00D63E43&quot;/&gt;&lt;wsp:rsid wsp:val=&quot;00D63F8A&quot;/&gt;&lt;wsp:rsid wsp:val=&quot;00D644F2&quot;/&gt;&lt;wsp:rsid wsp:val=&quot;00D6543C&quot;/&gt;&lt;wsp:rsid wsp:val=&quot;00D65625&quot;/&gt;&lt;wsp:rsid wsp:val=&quot;00D65931&quot;/&gt;&lt;wsp:rsid wsp:val=&quot;00D65B19&quot;/&gt;&lt;wsp:rsid wsp:val=&quot;00D65DBC&quot;/&gt;&lt;wsp:rsid wsp:val=&quot;00D6630C&quot;/&gt;&lt;wsp:rsid wsp:val=&quot;00D66FD6&quot;/&gt;&lt;wsp:rsid wsp:val=&quot;00D6713E&quot;/&gt;&lt;wsp:rsid wsp:val=&quot;00D6727D&quot;/&gt;&lt;wsp:rsid wsp:val=&quot;00D676DC&quot;/&gt;&lt;wsp:rsid wsp:val=&quot;00D67795&quot;/&gt;&lt;wsp:rsid wsp:val=&quot;00D6780D&quot;/&gt;&lt;wsp:rsid wsp:val=&quot;00D67939&quot;/&gt;&lt;wsp:rsid wsp:val=&quot;00D67952&quot;/&gt;&lt;wsp:rsid wsp:val=&quot;00D67B69&quot;/&gt;&lt;wsp:rsid wsp:val=&quot;00D67C9A&quot;/&gt;&lt;wsp:rsid wsp:val=&quot;00D67CC5&quot;/&gt;&lt;wsp:rsid wsp:val=&quot;00D67CEF&quot;/&gt;&lt;wsp:rsid wsp:val=&quot;00D7000F&quot;/&gt;&lt;wsp:rsid wsp:val=&quot;00D70919&quot;/&gt;&lt;wsp:rsid wsp:val=&quot;00D71261&quot;/&gt;&lt;wsp:rsid wsp:val=&quot;00D71431&quot;/&gt;&lt;wsp:rsid wsp:val=&quot;00D7188B&quot;/&gt;&lt;wsp:rsid wsp:val=&quot;00D718ED&quot;/&gt;&lt;wsp:rsid wsp:val=&quot;00D71A23&quot;/&gt;&lt;wsp:rsid wsp:val=&quot;00D71BA8&quot;/&gt;&lt;wsp:rsid wsp:val=&quot;00D71CEF&quot;/&gt;&lt;wsp:rsid wsp:val=&quot;00D71E4C&quot;/&gt;&lt;wsp:rsid wsp:val=&quot;00D72272&quot;/&gt;&lt;wsp:rsid wsp:val=&quot;00D72298&quot;/&gt;&lt;wsp:rsid wsp:val=&quot;00D725CF&quot;/&gt;&lt;wsp:rsid wsp:val=&quot;00D72896&quot;/&gt;&lt;wsp:rsid wsp:val=&quot;00D72C0B&quot;/&gt;&lt;wsp:rsid wsp:val=&quot;00D72D69&quot;/&gt;&lt;wsp:rsid wsp:val=&quot;00D72D99&quot;/&gt;&lt;wsp:rsid wsp:val=&quot;00D72DA1&quot;/&gt;&lt;wsp:rsid wsp:val=&quot;00D734F6&quot;/&gt;&lt;wsp:rsid wsp:val=&quot;00D736ED&quot;/&gt;&lt;wsp:rsid wsp:val=&quot;00D742E1&quot;/&gt;&lt;wsp:rsid wsp:val=&quot;00D74549&quot;/&gt;&lt;wsp:rsid wsp:val=&quot;00D74682&quot;/&gt;&lt;wsp:rsid wsp:val=&quot;00D7473E&quot;/&gt;&lt;wsp:rsid wsp:val=&quot;00D748F9&quot;/&gt;&lt;wsp:rsid wsp:val=&quot;00D74939&quot;/&gt;&lt;wsp:rsid wsp:val=&quot;00D74A05&quot;/&gt;&lt;wsp:rsid wsp:val=&quot;00D74E3E&quot;/&gt;&lt;wsp:rsid wsp:val=&quot;00D7522C&quot;/&gt;&lt;wsp:rsid wsp:val=&quot;00D75236&quot;/&gt;&lt;wsp:rsid wsp:val=&quot;00D7592E&quot;/&gt;&lt;wsp:rsid wsp:val=&quot;00D75939&quot;/&gt;&lt;wsp:rsid wsp:val=&quot;00D75A06&quot;/&gt;&lt;wsp:rsid wsp:val=&quot;00D7605F&quot;/&gt;&lt;wsp:rsid wsp:val=&quot;00D76299&quot;/&gt;&lt;wsp:rsid wsp:val=&quot;00D76318&quot;/&gt;&lt;wsp:rsid wsp:val=&quot;00D76486&quot;/&gt;&lt;wsp:rsid wsp:val=&quot;00D766C8&quot;/&gt;&lt;wsp:rsid wsp:val=&quot;00D7689F&quot;/&gt;&lt;wsp:rsid wsp:val=&quot;00D76983&quot;/&gt;&lt;wsp:rsid wsp:val=&quot;00D76C40&quot;/&gt;&lt;wsp:rsid wsp:val=&quot;00D76D9C&quot;/&gt;&lt;wsp:rsid wsp:val=&quot;00D77146&quot;/&gt;&lt;wsp:rsid wsp:val=&quot;00D774C6&quot;/&gt;&lt;wsp:rsid wsp:val=&quot;00D77520&quot;/&gt;&lt;wsp:rsid wsp:val=&quot;00D77729&quot;/&gt;&lt;wsp:rsid wsp:val=&quot;00D77741&quot;/&gt;&lt;wsp:rsid wsp:val=&quot;00D778C7&quot;/&gt;&lt;wsp:rsid wsp:val=&quot;00D779A7&quot;/&gt;&lt;wsp:rsid wsp:val=&quot;00D77A00&quot;/&gt;&lt;wsp:rsid wsp:val=&quot;00D77B58&quot;/&gt;&lt;wsp:rsid wsp:val=&quot;00D77B63&quot;/&gt;&lt;wsp:rsid wsp:val=&quot;00D77D03&quot;/&gt;&lt;wsp:rsid wsp:val=&quot;00D77F58&quot;/&gt;&lt;wsp:rsid wsp:val=&quot;00D77FA9&quot;/&gt;&lt;wsp:rsid wsp:val=&quot;00D80033&quot;/&gt;&lt;wsp:rsid wsp:val=&quot;00D802C7&quot;/&gt;&lt;wsp:rsid wsp:val=&quot;00D802D5&quot;/&gt;&lt;wsp:rsid wsp:val=&quot;00D8072F&quot;/&gt;&lt;wsp:rsid wsp:val=&quot;00D80751&quot;/&gt;&lt;wsp:rsid wsp:val=&quot;00D80843&quot;/&gt;&lt;wsp:rsid wsp:val=&quot;00D809DE&quot;/&gt;&lt;wsp:rsid wsp:val=&quot;00D80A72&quot;/&gt;&lt;wsp:rsid wsp:val=&quot;00D80A89&quot;/&gt;&lt;wsp:rsid wsp:val=&quot;00D80BB8&quot;/&gt;&lt;wsp:rsid wsp:val=&quot;00D80BF1&quot;/&gt;&lt;wsp:rsid wsp:val=&quot;00D81192&quot;/&gt;&lt;wsp:rsid wsp:val=&quot;00D811A6&quot;/&gt;&lt;wsp:rsid wsp:val=&quot;00D81242&quot;/&gt;&lt;wsp:rsid wsp:val=&quot;00D812CB&quot;/&gt;&lt;wsp:rsid wsp:val=&quot;00D813CD&quot;/&gt;&lt;wsp:rsid wsp:val=&quot;00D814F5&quot;/&gt;&lt;wsp:rsid wsp:val=&quot;00D819C0&quot;/&gt;&lt;wsp:rsid wsp:val=&quot;00D819C4&quot;/&gt;&lt;wsp:rsid wsp:val=&quot;00D81C3F&quot;/&gt;&lt;wsp:rsid wsp:val=&quot;00D81D9D&quot;/&gt;&lt;wsp:rsid wsp:val=&quot;00D81E7D&quot;/&gt;&lt;wsp:rsid wsp:val=&quot;00D82225&quot;/&gt;&lt;wsp:rsid wsp:val=&quot;00D82559&quot;/&gt;&lt;wsp:rsid wsp:val=&quot;00D828B3&quot;/&gt;&lt;wsp:rsid wsp:val=&quot;00D82A56&quot;/&gt;&lt;wsp:rsid wsp:val=&quot;00D82B00&quot;/&gt;&lt;wsp:rsid wsp:val=&quot;00D82CD7&quot;/&gt;&lt;wsp:rsid wsp:val=&quot;00D830F7&quot;/&gt;&lt;wsp:rsid wsp:val=&quot;00D837B9&quot;/&gt;&lt;wsp:rsid wsp:val=&quot;00D837EF&quot;/&gt;&lt;wsp:rsid wsp:val=&quot;00D83986&quot;/&gt;&lt;wsp:rsid wsp:val=&quot;00D83E3C&quot;/&gt;&lt;wsp:rsid wsp:val=&quot;00D8455C&quot;/&gt;&lt;wsp:rsid wsp:val=&quot;00D84BB8&quot;/&gt;&lt;wsp:rsid wsp:val=&quot;00D84C78&quot;/&gt;&lt;wsp:rsid wsp:val=&quot;00D84E17&quot;/&gt;&lt;wsp:rsid wsp:val=&quot;00D853A1&quot;/&gt;&lt;wsp:rsid wsp:val=&quot;00D857C5&quot;/&gt;&lt;wsp:rsid wsp:val=&quot;00D85AFB&quot;/&gt;&lt;wsp:rsid wsp:val=&quot;00D85CB7&quot;/&gt;&lt;wsp:rsid wsp:val=&quot;00D8687A&quot;/&gt;&lt;wsp:rsid wsp:val=&quot;00D86AB8&quot;/&gt;&lt;wsp:rsid wsp:val=&quot;00D86BAC&quot;/&gt;&lt;wsp:rsid wsp:val=&quot;00D86EE4&quot;/&gt;&lt;wsp:rsid wsp:val=&quot;00D873BB&quot;/&gt;&lt;wsp:rsid wsp:val=&quot;00D87695&quot;/&gt;&lt;wsp:rsid wsp:val=&quot;00D878BC&quot;/&gt;&lt;wsp:rsid wsp:val=&quot;00D878DA&quot;/&gt;&lt;wsp:rsid wsp:val=&quot;00D87B69&quot;/&gt;&lt;wsp:rsid wsp:val=&quot;00D87BC2&quot;/&gt;&lt;wsp:rsid wsp:val=&quot;00D87C45&quot;/&gt;&lt;wsp:rsid wsp:val=&quot;00D87F3F&quot;/&gt;&lt;wsp:rsid wsp:val=&quot;00D87FDF&quot;/&gt;&lt;wsp:rsid wsp:val=&quot;00D90113&quot;/&gt;&lt;wsp:rsid wsp:val=&quot;00D901DA&quot;/&gt;&lt;wsp:rsid wsp:val=&quot;00D906F8&quot;/&gt;&lt;wsp:rsid wsp:val=&quot;00D9080D&quot;/&gt;&lt;wsp:rsid wsp:val=&quot;00D908CD&quot;/&gt;&lt;wsp:rsid wsp:val=&quot;00D90A49&quot;/&gt;&lt;wsp:rsid wsp:val=&quot;00D90C4F&quot;/&gt;&lt;wsp:rsid wsp:val=&quot;00D90D2D&quot;/&gt;&lt;wsp:rsid wsp:val=&quot;00D91053&quot;/&gt;&lt;wsp:rsid wsp:val=&quot;00D9115E&quot;/&gt;&lt;wsp:rsid wsp:val=&quot;00D91569&quot;/&gt;&lt;wsp:rsid wsp:val=&quot;00D915DA&quot;/&gt;&lt;wsp:rsid wsp:val=&quot;00D926A1&quot;/&gt;&lt;wsp:rsid wsp:val=&quot;00D92738&quot;/&gt;&lt;wsp:rsid wsp:val=&quot;00D92D9D&quot;/&gt;&lt;wsp:rsid wsp:val=&quot;00D9378B&quot;/&gt;&lt;wsp:rsid wsp:val=&quot;00D943FB&quot;/&gt;&lt;wsp:rsid wsp:val=&quot;00D94645&quot;/&gt;&lt;wsp:rsid wsp:val=&quot;00D94724&quot;/&gt;&lt;wsp:rsid wsp:val=&quot;00D949BD&quot;/&gt;&lt;wsp:rsid wsp:val=&quot;00D951DF&quot;/&gt;&lt;wsp:rsid wsp:val=&quot;00D95298&quot;/&gt;&lt;wsp:rsid wsp:val=&quot;00D953CB&quot;/&gt;&lt;wsp:rsid wsp:val=&quot;00D955CD&quot;/&gt;&lt;wsp:rsid wsp:val=&quot;00D95AD2&quot;/&gt;&lt;wsp:rsid wsp:val=&quot;00D95BF6&quot;/&gt;&lt;wsp:rsid wsp:val=&quot;00D96013&quot;/&gt;&lt;wsp:rsid wsp:val=&quot;00D96129&quot;/&gt;&lt;wsp:rsid wsp:val=&quot;00D962D8&quot;/&gt;&lt;wsp:rsid wsp:val=&quot;00D962E7&quot;/&gt;&lt;wsp:rsid wsp:val=&quot;00D96367&quot;/&gt;&lt;wsp:rsid wsp:val=&quot;00D96444&quot;/&gt;&lt;wsp:rsid wsp:val=&quot;00D965FB&quot;/&gt;&lt;wsp:rsid wsp:val=&quot;00D9660C&quot;/&gt;&lt;wsp:rsid wsp:val=&quot;00D96668&quot;/&gt;&lt;wsp:rsid wsp:val=&quot;00D96A53&quot;/&gt;&lt;wsp:rsid wsp:val=&quot;00D96BF7&quot;/&gt;&lt;wsp:rsid wsp:val=&quot;00D975CA&quot;/&gt;&lt;wsp:rsid wsp:val=&quot;00D97644&quot;/&gt;&lt;wsp:rsid wsp:val=&quot;00D97844&quot;/&gt;&lt;wsp:rsid wsp:val=&quot;00D97990&quot;/&gt;&lt;wsp:rsid wsp:val=&quot;00D979D8&quot;/&gt;&lt;wsp:rsid wsp:val=&quot;00D97A32&quot;/&gt;&lt;wsp:rsid wsp:val=&quot;00D97CF7&quot;/&gt;&lt;wsp:rsid wsp:val=&quot;00DA01EF&quot;/&gt;&lt;wsp:rsid wsp:val=&quot;00DA045D&quot;/&gt;&lt;wsp:rsid wsp:val=&quot;00DA0625&quot;/&gt;&lt;wsp:rsid wsp:val=&quot;00DA06E2&quot;/&gt;&lt;wsp:rsid wsp:val=&quot;00DA0700&quot;/&gt;&lt;wsp:rsid wsp:val=&quot;00DA07D7&quot;/&gt;&lt;wsp:rsid wsp:val=&quot;00DA0AC3&quot;/&gt;&lt;wsp:rsid wsp:val=&quot;00DA0ADE&quot;/&gt;&lt;wsp:rsid wsp:val=&quot;00DA0E6A&quot;/&gt;&lt;wsp:rsid wsp:val=&quot;00DA123D&quot;/&gt;&lt;wsp:rsid wsp:val=&quot;00DA133D&quot;/&gt;&lt;wsp:rsid wsp:val=&quot;00DA1990&quot;/&gt;&lt;wsp:rsid wsp:val=&quot;00DA19D5&quot;/&gt;&lt;wsp:rsid wsp:val=&quot;00DA1A4D&quot;/&gt;&lt;wsp:rsid wsp:val=&quot;00DA1B3A&quot;/&gt;&lt;wsp:rsid wsp:val=&quot;00DA1B4B&quot;/&gt;&lt;wsp:rsid wsp:val=&quot;00DA1CE2&quot;/&gt;&lt;wsp:rsid wsp:val=&quot;00DA2127&quot;/&gt;&lt;wsp:rsid wsp:val=&quot;00DA22AD&quot;/&gt;&lt;wsp:rsid wsp:val=&quot;00DA29F1&quot;/&gt;&lt;wsp:rsid wsp:val=&quot;00DA2C80&quot;/&gt;&lt;wsp:rsid wsp:val=&quot;00DA2E4A&quot;/&gt;&lt;wsp:rsid wsp:val=&quot;00DA31DF&quot;/&gt;&lt;wsp:rsid wsp:val=&quot;00DA3314&quot;/&gt;&lt;wsp:rsid wsp:val=&quot;00DA372B&quot;/&gt;&lt;wsp:rsid wsp:val=&quot;00DA38C4&quot;/&gt;&lt;wsp:rsid wsp:val=&quot;00DA3AD8&quot;/&gt;&lt;wsp:rsid wsp:val=&quot;00DA3C05&quot;/&gt;&lt;wsp:rsid wsp:val=&quot;00DA4286&quot;/&gt;&lt;wsp:rsid wsp:val=&quot;00DA43A4&quot;/&gt;&lt;wsp:rsid wsp:val=&quot;00DA454B&quot;/&gt;&lt;wsp:rsid wsp:val=&quot;00DA45DE&quot;/&gt;&lt;wsp:rsid wsp:val=&quot;00DA4860&quot;/&gt;&lt;wsp:rsid wsp:val=&quot;00DA4D02&quot;/&gt;&lt;wsp:rsid wsp:val=&quot;00DA4DAE&quot;/&gt;&lt;wsp:rsid wsp:val=&quot;00DA53D4&quot;/&gt;&lt;wsp:rsid wsp:val=&quot;00DA5525&quot;/&gt;&lt;wsp:rsid wsp:val=&quot;00DA5662&quot;/&gt;&lt;wsp:rsid wsp:val=&quot;00DA5B20&quot;/&gt;&lt;wsp:rsid wsp:val=&quot;00DA5C8A&quot;/&gt;&lt;wsp:rsid wsp:val=&quot;00DA6106&quot;/&gt;&lt;wsp:rsid wsp:val=&quot;00DA622A&quot;/&gt;&lt;wsp:rsid wsp:val=&quot;00DA6643&quot;/&gt;&lt;wsp:rsid wsp:val=&quot;00DA66E0&quot;/&gt;&lt;wsp:rsid wsp:val=&quot;00DA6A3D&quot;/&gt;&lt;wsp:rsid wsp:val=&quot;00DA6BAC&quot;/&gt;&lt;wsp:rsid wsp:val=&quot;00DA6C4B&quot;/&gt;&lt;wsp:rsid wsp:val=&quot;00DA727D&quot;/&gt;&lt;wsp:rsid wsp:val=&quot;00DA74D1&quot;/&gt;&lt;wsp:rsid wsp:val=&quot;00DA7517&quot;/&gt;&lt;wsp:rsid wsp:val=&quot;00DA764E&quot;/&gt;&lt;wsp:rsid wsp:val=&quot;00DA76A2&quot;/&gt;&lt;wsp:rsid wsp:val=&quot;00DA781A&quot;/&gt;&lt;wsp:rsid wsp:val=&quot;00DA78D2&quot;/&gt;&lt;wsp:rsid wsp:val=&quot;00DA7D0E&quot;/&gt;&lt;wsp:rsid wsp:val=&quot;00DA7E34&quot;/&gt;&lt;wsp:rsid wsp:val=&quot;00DB00FA&quot;/&gt;&lt;wsp:rsid wsp:val=&quot;00DB0184&quot;/&gt;&lt;wsp:rsid wsp:val=&quot;00DB01A5&quot;/&gt;&lt;wsp:rsid wsp:val=&quot;00DB03AC&quot;/&gt;&lt;wsp:rsid wsp:val=&quot;00DB0431&quot;/&gt;&lt;wsp:rsid wsp:val=&quot;00DB049D&quot;/&gt;&lt;wsp:rsid wsp:val=&quot;00DB0666&quot;/&gt;&lt;wsp:rsid wsp:val=&quot;00DB081B&quot;/&gt;&lt;wsp:rsid wsp:val=&quot;00DB0849&quot;/&gt;&lt;wsp:rsid wsp:val=&quot;00DB0CA2&quot;/&gt;&lt;wsp:rsid wsp:val=&quot;00DB0CB7&quot;/&gt;&lt;wsp:rsid wsp:val=&quot;00DB0E23&quot;/&gt;&lt;wsp:rsid wsp:val=&quot;00DB13A5&quot;/&gt;&lt;wsp:rsid wsp:val=&quot;00DB1443&quot;/&gt;&lt;wsp:rsid wsp:val=&quot;00DB1554&quot;/&gt;&lt;wsp:rsid wsp:val=&quot;00DB1921&quot;/&gt;&lt;wsp:rsid wsp:val=&quot;00DB1970&quot;/&gt;&lt;wsp:rsid wsp:val=&quot;00DB1AD7&quot;/&gt;&lt;wsp:rsid wsp:val=&quot;00DB1CB5&quot;/&gt;&lt;wsp:rsid wsp:val=&quot;00DB2069&quot;/&gt;&lt;wsp:rsid wsp:val=&quot;00DB21B0&quot;/&gt;&lt;wsp:rsid wsp:val=&quot;00DB24FD&quot;/&gt;&lt;wsp:rsid wsp:val=&quot;00DB27A3&quot;/&gt;&lt;wsp:rsid wsp:val=&quot;00DB2AFC&quot;/&gt;&lt;wsp:rsid wsp:val=&quot;00DB2BE1&quot;/&gt;&lt;wsp:rsid wsp:val=&quot;00DB2C63&quot;/&gt;&lt;wsp:rsid wsp:val=&quot;00DB2CE2&quot;/&gt;&lt;wsp:rsid wsp:val=&quot;00DB327B&quot;/&gt;&lt;wsp:rsid wsp:val=&quot;00DB3433&quot;/&gt;&lt;wsp:rsid wsp:val=&quot;00DB3677&quot;/&gt;&lt;wsp:rsid wsp:val=&quot;00DB3CB5&quot;/&gt;&lt;wsp:rsid wsp:val=&quot;00DB4108&quot;/&gt;&lt;wsp:rsid wsp:val=&quot;00DB4261&quot;/&gt;&lt;wsp:rsid wsp:val=&quot;00DB42EF&quot;/&gt;&lt;wsp:rsid wsp:val=&quot;00DB4478&quot;/&gt;&lt;wsp:rsid wsp:val=&quot;00DB469D&quot;/&gt;&lt;wsp:rsid wsp:val=&quot;00DB47B4&quot;/&gt;&lt;wsp:rsid wsp:val=&quot;00DB4AE9&quot;/&gt;&lt;wsp:rsid wsp:val=&quot;00DB4D74&quot;/&gt;&lt;wsp:rsid wsp:val=&quot;00DB50ED&quot;/&gt;&lt;wsp:rsid wsp:val=&quot;00DB5383&quot;/&gt;&lt;wsp:rsid wsp:val=&quot;00DB5587&quot;/&gt;&lt;wsp:rsid wsp:val=&quot;00DB5E0E&quot;/&gt;&lt;wsp:rsid wsp:val=&quot;00DB6288&quot;/&gt;&lt;wsp:rsid wsp:val=&quot;00DB6474&quot;/&gt;&lt;wsp:rsid wsp:val=&quot;00DB68A4&quot;/&gt;&lt;wsp:rsid wsp:val=&quot;00DB6A0B&quot;/&gt;&lt;wsp:rsid wsp:val=&quot;00DB6B03&quot;/&gt;&lt;wsp:rsid wsp:val=&quot;00DB6E49&quot;/&gt;&lt;wsp:rsid wsp:val=&quot;00DB75A7&quot;/&gt;&lt;wsp:rsid wsp:val=&quot;00DB797A&quot;/&gt;&lt;wsp:rsid wsp:val=&quot;00DB7B5E&quot;/&gt;&lt;wsp:rsid wsp:val=&quot;00DB7D2E&quot;/&gt;&lt;wsp:rsid wsp:val=&quot;00DC02BF&quot;/&gt;&lt;wsp:rsid wsp:val=&quot;00DC051A&quot;/&gt;&lt;wsp:rsid wsp:val=&quot;00DC0A15&quot;/&gt;&lt;wsp:rsid wsp:val=&quot;00DC0A3C&quot;/&gt;&lt;wsp:rsid wsp:val=&quot;00DC0B73&quot;/&gt;&lt;wsp:rsid wsp:val=&quot;00DC0D06&quot;/&gt;&lt;wsp:rsid wsp:val=&quot;00DC0E8D&quot;/&gt;&lt;wsp:rsid wsp:val=&quot;00DC132C&quot;/&gt;&lt;wsp:rsid wsp:val=&quot;00DC13EA&quot;/&gt;&lt;wsp:rsid wsp:val=&quot;00DC1499&quot;/&gt;&lt;wsp:rsid wsp:val=&quot;00DC14DD&quot;/&gt;&lt;wsp:rsid wsp:val=&quot;00DC1886&quot;/&gt;&lt;wsp:rsid wsp:val=&quot;00DC18B7&quot;/&gt;&lt;wsp:rsid wsp:val=&quot;00DC1D41&quot;/&gt;&lt;wsp:rsid wsp:val=&quot;00DC1D55&quot;/&gt;&lt;wsp:rsid wsp:val=&quot;00DC210D&quot;/&gt;&lt;wsp:rsid wsp:val=&quot;00DC2456&quot;/&gt;&lt;wsp:rsid wsp:val=&quot;00DC2569&quot;/&gt;&lt;wsp:rsid wsp:val=&quot;00DC2597&quot;/&gt;&lt;wsp:rsid wsp:val=&quot;00DC2876&quot;/&gt;&lt;wsp:rsid wsp:val=&quot;00DC2C49&quot;/&gt;&lt;wsp:rsid wsp:val=&quot;00DC2D1C&quot;/&gt;&lt;wsp:rsid wsp:val=&quot;00DC2DAD&quot;/&gt;&lt;wsp:rsid wsp:val=&quot;00DC2FC2&quot;/&gt;&lt;wsp:rsid wsp:val=&quot;00DC3020&quot;/&gt;&lt;wsp:rsid wsp:val=&quot;00DC3288&quot;/&gt;&lt;wsp:rsid wsp:val=&quot;00DC3914&quot;/&gt;&lt;wsp:rsid wsp:val=&quot;00DC3A0B&quot;/&gt;&lt;wsp:rsid wsp:val=&quot;00DC3B71&quot;/&gt;&lt;wsp:rsid wsp:val=&quot;00DC4209&quot;/&gt;&lt;wsp:rsid wsp:val=&quot;00DC42B3&quot;/&gt;&lt;wsp:rsid wsp:val=&quot;00DC487F&quot;/&gt;&lt;wsp:rsid wsp:val=&quot;00DC4EDE&quot;/&gt;&lt;wsp:rsid wsp:val=&quot;00DC4F03&quot;/&gt;&lt;wsp:rsid wsp:val=&quot;00DC5146&quot;/&gt;&lt;wsp:rsid wsp:val=&quot;00DC53F4&quot;/&gt;&lt;wsp:rsid wsp:val=&quot;00DC5466&quot;/&gt;&lt;wsp:rsid wsp:val=&quot;00DC5470&quot;/&gt;&lt;wsp:rsid wsp:val=&quot;00DC5664&quot;/&gt;&lt;wsp:rsid wsp:val=&quot;00DC5720&quot;/&gt;&lt;wsp:rsid wsp:val=&quot;00DC58B8&quot;/&gt;&lt;wsp:rsid wsp:val=&quot;00DC5C36&quot;/&gt;&lt;wsp:rsid wsp:val=&quot;00DC5C3C&quot;/&gt;&lt;wsp:rsid wsp:val=&quot;00DC5DC2&quot;/&gt;&lt;wsp:rsid wsp:val=&quot;00DC5E91&quot;/&gt;&lt;wsp:rsid wsp:val=&quot;00DC625F&quot;/&gt;&lt;wsp:rsid wsp:val=&quot;00DC6491&quot;/&gt;&lt;wsp:rsid wsp:val=&quot;00DC6989&quot;/&gt;&lt;wsp:rsid wsp:val=&quot;00DC70BC&quot;/&gt;&lt;wsp:rsid wsp:val=&quot;00DC70C9&quot;/&gt;&lt;wsp:rsid wsp:val=&quot;00DC7456&quot;/&gt;&lt;wsp:rsid wsp:val=&quot;00DC74CD&quot;/&gt;&lt;wsp:rsid wsp:val=&quot;00DC75BB&quot;/&gt;&lt;wsp:rsid wsp:val=&quot;00DC776B&quot;/&gt;&lt;wsp:rsid wsp:val=&quot;00DC7F80&quot;/&gt;&lt;wsp:rsid wsp:val=&quot;00DD0310&quot;/&gt;&lt;wsp:rsid wsp:val=&quot;00DD06B2&quot;/&gt;&lt;wsp:rsid wsp:val=&quot;00DD07AA&quot;/&gt;&lt;wsp:rsid wsp:val=&quot;00DD07C4&quot;/&gt;&lt;wsp:rsid wsp:val=&quot;00DD0811&quot;/&gt;&lt;wsp:rsid wsp:val=&quot;00DD08A5&quot;/&gt;&lt;wsp:rsid wsp:val=&quot;00DD0900&quot;/&gt;&lt;wsp:rsid wsp:val=&quot;00DD0A63&quot;/&gt;&lt;wsp:rsid wsp:val=&quot;00DD0BBE&quot;/&gt;&lt;wsp:rsid wsp:val=&quot;00DD0C6C&quot;/&gt;&lt;wsp:rsid wsp:val=&quot;00DD11EF&quot;/&gt;&lt;wsp:rsid wsp:val=&quot;00DD12C4&quot;/&gt;&lt;wsp:rsid wsp:val=&quot;00DD15B4&quot;/&gt;&lt;wsp:rsid wsp:val=&quot;00DD1899&quot;/&gt;&lt;wsp:rsid wsp:val=&quot;00DD18A4&quot;/&gt;&lt;wsp:rsid wsp:val=&quot;00DD18E3&quot;/&gt;&lt;wsp:rsid wsp:val=&quot;00DD1ED1&quot;/&gt;&lt;wsp:rsid wsp:val=&quot;00DD21E2&quot;/&gt;&lt;wsp:rsid wsp:val=&quot;00DD22CD&quot;/&gt;&lt;wsp:rsid wsp:val=&quot;00DD2432&quot;/&gt;&lt;wsp:rsid wsp:val=&quot;00DD24A7&quot;/&gt;&lt;wsp:rsid wsp:val=&quot;00DD2544&quot;/&gt;&lt;wsp:rsid wsp:val=&quot;00DD2649&quot;/&gt;&lt;wsp:rsid wsp:val=&quot;00DD26C1&quot;/&gt;&lt;wsp:rsid wsp:val=&quot;00DD3136&quot;/&gt;&lt;wsp:rsid wsp:val=&quot;00DD3490&quot;/&gt;&lt;wsp:rsid wsp:val=&quot;00DD38F9&quot;/&gt;&lt;wsp:rsid wsp:val=&quot;00DD3B21&quot;/&gt;&lt;wsp:rsid wsp:val=&quot;00DD3BD6&quot;/&gt;&lt;wsp:rsid wsp:val=&quot;00DD3BE9&quot;/&gt;&lt;wsp:rsid wsp:val=&quot;00DD3BF1&quot;/&gt;&lt;wsp:rsid wsp:val=&quot;00DD3FC1&quot;/&gt;&lt;wsp:rsid wsp:val=&quot;00DD42DC&quot;/&gt;&lt;wsp:rsid wsp:val=&quot;00DD4629&quot;/&gt;&lt;wsp:rsid wsp:val=&quot;00DD46BE&quot;/&gt;&lt;wsp:rsid wsp:val=&quot;00DD48C3&quot;/&gt;&lt;wsp:rsid wsp:val=&quot;00DD4AD1&quot;/&gt;&lt;wsp:rsid wsp:val=&quot;00DD4F07&quot;/&gt;&lt;wsp:rsid wsp:val=&quot;00DD4F6B&quot;/&gt;&lt;wsp:rsid wsp:val=&quot;00DD58A2&quot;/&gt;&lt;wsp:rsid wsp:val=&quot;00DD58E2&quot;/&gt;&lt;wsp:rsid wsp:val=&quot;00DD5950&quot;/&gt;&lt;wsp:rsid wsp:val=&quot;00DD5B8F&quot;/&gt;&lt;wsp:rsid wsp:val=&quot;00DD5DE1&quot;/&gt;&lt;wsp:rsid wsp:val=&quot;00DD5E61&quot;/&gt;&lt;wsp:rsid wsp:val=&quot;00DD606B&quot;/&gt;&lt;wsp:rsid wsp:val=&quot;00DD619B&quot;/&gt;&lt;wsp:rsid wsp:val=&quot;00DD61CF&quot;/&gt;&lt;wsp:rsid wsp:val=&quot;00DD61FE&quot;/&gt;&lt;wsp:rsid wsp:val=&quot;00DD630B&quot;/&gt;&lt;wsp:rsid wsp:val=&quot;00DD6389&quot;/&gt;&lt;wsp:rsid wsp:val=&quot;00DD638B&quot;/&gt;&lt;wsp:rsid wsp:val=&quot;00DD63C5&quot;/&gt;&lt;wsp:rsid wsp:val=&quot;00DD6603&quot;/&gt;&lt;wsp:rsid wsp:val=&quot;00DD6771&quot;/&gt;&lt;wsp:rsid wsp:val=&quot;00DD69BD&quot;/&gt;&lt;wsp:rsid wsp:val=&quot;00DD6B44&quot;/&gt;&lt;wsp:rsid wsp:val=&quot;00DD6B63&quot;/&gt;&lt;wsp:rsid wsp:val=&quot;00DD6DFE&quot;/&gt;&lt;wsp:rsid wsp:val=&quot;00DD6E60&quot;/&gt;&lt;wsp:rsid wsp:val=&quot;00DD7337&quot;/&gt;&lt;wsp:rsid wsp:val=&quot;00DD7372&quot;/&gt;&lt;wsp:rsid wsp:val=&quot;00DD73A0&quot;/&gt;&lt;wsp:rsid wsp:val=&quot;00DD755A&quot;/&gt;&lt;wsp:rsid wsp:val=&quot;00DD76B6&quot;/&gt;&lt;wsp:rsid wsp:val=&quot;00DD7B35&quot;/&gt;&lt;wsp:rsid wsp:val=&quot;00DE0089&quot;/&gt;&lt;wsp:rsid wsp:val=&quot;00DE00BA&quot;/&gt;&lt;wsp:rsid wsp:val=&quot;00DE03DA&quot;/&gt;&lt;wsp:rsid wsp:val=&quot;00DE0680&quot;/&gt;&lt;wsp:rsid wsp:val=&quot;00DE085D&quot;/&gt;&lt;wsp:rsid wsp:val=&quot;00DE0BCA&quot;/&gt;&lt;wsp:rsid wsp:val=&quot;00DE0D52&quot;/&gt;&lt;wsp:rsid wsp:val=&quot;00DE1158&quot;/&gt;&lt;wsp:rsid wsp:val=&quot;00DE124B&quot;/&gt;&lt;wsp:rsid wsp:val=&quot;00DE137E&quot;/&gt;&lt;wsp:rsid wsp:val=&quot;00DE15A6&quot;/&gt;&lt;wsp:rsid wsp:val=&quot;00DE1A43&quot;/&gt;&lt;wsp:rsid wsp:val=&quot;00DE1A85&quot;/&gt;&lt;wsp:rsid wsp:val=&quot;00DE1BC7&quot;/&gt;&lt;wsp:rsid wsp:val=&quot;00DE1C95&quot;/&gt;&lt;wsp:rsid wsp:val=&quot;00DE1E0F&quot;/&gt;&lt;wsp:rsid wsp:val=&quot;00DE24D1&quot;/&gt;&lt;wsp:rsid wsp:val=&quot;00DE24F2&quot;/&gt;&lt;wsp:rsid wsp:val=&quot;00DE264F&quot;/&gt;&lt;wsp:rsid wsp:val=&quot;00DE293F&quot;/&gt;&lt;wsp:rsid wsp:val=&quot;00DE2A7A&quot;/&gt;&lt;wsp:rsid wsp:val=&quot;00DE2B64&quot;/&gt;&lt;wsp:rsid wsp:val=&quot;00DE2C6C&quot;/&gt;&lt;wsp:rsid wsp:val=&quot;00DE35F7&quot;/&gt;&lt;wsp:rsid wsp:val=&quot;00DE36A2&quot;/&gt;&lt;wsp:rsid wsp:val=&quot;00DE383E&quot;/&gt;&lt;wsp:rsid wsp:val=&quot;00DE3A18&quot;/&gt;&lt;wsp:rsid wsp:val=&quot;00DE3DEC&quot;/&gt;&lt;wsp:rsid wsp:val=&quot;00DE3ED0&quot;/&gt;&lt;wsp:rsid wsp:val=&quot;00DE41EA&quot;/&gt;&lt;wsp:rsid wsp:val=&quot;00DE42D9&quot;/&gt;&lt;wsp:rsid wsp:val=&quot;00DE4580&quot;/&gt;&lt;wsp:rsid wsp:val=&quot;00DE45B8&quot;/&gt;&lt;wsp:rsid wsp:val=&quot;00DE46DC&quot;/&gt;&lt;wsp:rsid wsp:val=&quot;00DE47AC&quot;/&gt;&lt;wsp:rsid wsp:val=&quot;00DE4B74&quot;/&gt;&lt;wsp:rsid wsp:val=&quot;00DE4FF8&quot;/&gt;&lt;wsp:rsid wsp:val=&quot;00DE51A5&quot;/&gt;&lt;wsp:rsid wsp:val=&quot;00DE521B&quot;/&gt;&lt;wsp:rsid wsp:val=&quot;00DE54CF&quot;/&gt;&lt;wsp:rsid wsp:val=&quot;00DE558B&quot;/&gt;&lt;wsp:rsid wsp:val=&quot;00DE5783&quot;/&gt;&lt;wsp:rsid wsp:val=&quot;00DE5A01&quot;/&gt;&lt;wsp:rsid wsp:val=&quot;00DE5AE5&quot;/&gt;&lt;wsp:rsid wsp:val=&quot;00DE5C0A&quot;/&gt;&lt;wsp:rsid wsp:val=&quot;00DE6082&quot;/&gt;&lt;wsp:rsid wsp:val=&quot;00DE6261&quot;/&gt;&lt;wsp:rsid wsp:val=&quot;00DE686A&quot;/&gt;&lt;wsp:rsid wsp:val=&quot;00DE6DCD&quot;/&gt;&lt;wsp:rsid wsp:val=&quot;00DE7061&quot;/&gt;&lt;wsp:rsid wsp:val=&quot;00DE7107&quot;/&gt;&lt;wsp:rsid wsp:val=&quot;00DE7369&quot;/&gt;&lt;wsp:rsid wsp:val=&quot;00DE774F&quot;/&gt;&lt;wsp:rsid wsp:val=&quot;00DE7A5F&quot;/&gt;&lt;wsp:rsid wsp:val=&quot;00DE7B47&quot;/&gt;&lt;wsp:rsid wsp:val=&quot;00DE7F1E&quot;/&gt;&lt;wsp:rsid wsp:val=&quot;00DE7F28&quot;/&gt;&lt;wsp:rsid wsp:val=&quot;00DF0150&quot;/&gt;&lt;wsp:rsid wsp:val=&quot;00DF02BF&quot;/&gt;&lt;wsp:rsid wsp:val=&quot;00DF02F6&quot;/&gt;&lt;wsp:rsid wsp:val=&quot;00DF0438&quot;/&gt;&lt;wsp:rsid wsp:val=&quot;00DF049D&quot;/&gt;&lt;wsp:rsid wsp:val=&quot;00DF0596&quot;/&gt;&lt;wsp:rsid wsp:val=&quot;00DF0742&quot;/&gt;&lt;wsp:rsid wsp:val=&quot;00DF09EF&quot;/&gt;&lt;wsp:rsid wsp:val=&quot;00DF0CD0&quot;/&gt;&lt;wsp:rsid wsp:val=&quot;00DF12CA&quot;/&gt;&lt;wsp:rsid wsp:val=&quot;00DF134F&quot;/&gt;&lt;wsp:rsid wsp:val=&quot;00DF13E1&quot;/&gt;&lt;wsp:rsid wsp:val=&quot;00DF144F&quot;/&gt;&lt;wsp:rsid wsp:val=&quot;00DF14FC&quot;/&gt;&lt;wsp:rsid wsp:val=&quot;00DF172B&quot;/&gt;&lt;wsp:rsid wsp:val=&quot;00DF1740&quot;/&gt;&lt;wsp:rsid wsp:val=&quot;00DF17FF&quot;/&gt;&lt;wsp:rsid wsp:val=&quot;00DF19E3&quot;/&gt;&lt;wsp:rsid wsp:val=&quot;00DF1A99&quot;/&gt;&lt;wsp:rsid wsp:val=&quot;00DF1C6D&quot;/&gt;&lt;wsp:rsid wsp:val=&quot;00DF1F8D&quot;/&gt;&lt;wsp:rsid wsp:val=&quot;00DF22E3&quot;/&gt;&lt;wsp:rsid wsp:val=&quot;00DF22E7&quot;/&gt;&lt;wsp:rsid wsp:val=&quot;00DF2464&quot;/&gt;&lt;wsp:rsid wsp:val=&quot;00DF2582&quot;/&gt;&lt;wsp:rsid wsp:val=&quot;00DF26B4&quot;/&gt;&lt;wsp:rsid wsp:val=&quot;00DF26D9&quot;/&gt;&lt;wsp:rsid wsp:val=&quot;00DF2914&quot;/&gt;&lt;wsp:rsid wsp:val=&quot;00DF298A&quot;/&gt;&lt;wsp:rsid wsp:val=&quot;00DF2BFC&quot;/&gt;&lt;wsp:rsid wsp:val=&quot;00DF2E64&quot;/&gt;&lt;wsp:rsid wsp:val=&quot;00DF2F23&quot;/&gt;&lt;wsp:rsid wsp:val=&quot;00DF320D&quot;/&gt;&lt;wsp:rsid wsp:val=&quot;00DF36C2&quot;/&gt;&lt;wsp:rsid wsp:val=&quot;00DF3874&quot;/&gt;&lt;wsp:rsid wsp:val=&quot;00DF3934&quot;/&gt;&lt;wsp:rsid wsp:val=&quot;00DF393F&quot;/&gt;&lt;wsp:rsid wsp:val=&quot;00DF3BC8&quot;/&gt;&lt;wsp:rsid wsp:val=&quot;00DF3CC6&quot;/&gt;&lt;wsp:rsid wsp:val=&quot;00DF3F3C&quot;/&gt;&lt;wsp:rsid wsp:val=&quot;00DF4044&quot;/&gt;&lt;wsp:rsid wsp:val=&quot;00DF40B1&quot;/&gt;&lt;wsp:rsid wsp:val=&quot;00DF4207&quot;/&gt;&lt;wsp:rsid wsp:val=&quot;00DF434C&quot;/&gt;&lt;wsp:rsid wsp:val=&quot;00DF46D3&quot;/&gt;&lt;wsp:rsid wsp:val=&quot;00DF4843&quot;/&gt;&lt;wsp:rsid wsp:val=&quot;00DF4917&quot;/&gt;&lt;wsp:rsid wsp:val=&quot;00DF4B6A&quot;/&gt;&lt;wsp:rsid wsp:val=&quot;00DF4FF6&quot;/&gt;&lt;wsp:rsid wsp:val=&quot;00DF5093&quot;/&gt;&lt;wsp:rsid wsp:val=&quot;00DF5A9F&quot;/&gt;&lt;wsp:rsid wsp:val=&quot;00DF5B29&quot;/&gt;&lt;wsp:rsid wsp:val=&quot;00DF5E38&quot;/&gt;&lt;wsp:rsid wsp:val=&quot;00DF5F4C&quot;/&gt;&lt;wsp:rsid wsp:val=&quot;00DF6738&quot;/&gt;&lt;wsp:rsid wsp:val=&quot;00DF67A8&quot;/&gt;&lt;wsp:rsid wsp:val=&quot;00DF684C&quot;/&gt;&lt;wsp:rsid wsp:val=&quot;00DF6E8C&quot;/&gt;&lt;wsp:rsid wsp:val=&quot;00DF7096&quot;/&gt;&lt;wsp:rsid wsp:val=&quot;00DF7291&quot;/&gt;&lt;wsp:rsid wsp:val=&quot;00DF7641&quot;/&gt;&lt;wsp:rsid wsp:val=&quot;00DF7B7A&quot;/&gt;&lt;wsp:rsid wsp:val=&quot;00DF7BD8&quot;/&gt;&lt;wsp:rsid wsp:val=&quot;00E000FC&quot;/&gt;&lt;wsp:rsid wsp:val=&quot;00E002D4&quot;/&gt;&lt;wsp:rsid wsp:val=&quot;00E003F0&quot;/&gt;&lt;wsp:rsid wsp:val=&quot;00E004BC&quot;/&gt;&lt;wsp:rsid wsp:val=&quot;00E004E3&quot;/&gt;&lt;wsp:rsid wsp:val=&quot;00E00546&quot;/&gt;&lt;wsp:rsid wsp:val=&quot;00E00C6C&quot;/&gt;&lt;wsp:rsid wsp:val=&quot;00E00D26&quot;/&gt;&lt;wsp:rsid wsp:val=&quot;00E01057&quot;/&gt;&lt;wsp:rsid wsp:val=&quot;00E0133E&quot;/&gt;&lt;wsp:rsid wsp:val=&quot;00E01382&quot;/&gt;&lt;wsp:rsid wsp:val=&quot;00E016D0&quot;/&gt;&lt;wsp:rsid wsp:val=&quot;00E01AF0&quot;/&gt;&lt;wsp:rsid wsp:val=&quot;00E01D18&quot;/&gt;&lt;wsp:rsid wsp:val=&quot;00E01E90&quot;/&gt;&lt;wsp:rsid wsp:val=&quot;00E02092&quot;/&gt;&lt;wsp:rsid wsp:val=&quot;00E023A5&quot;/&gt;&lt;wsp:rsid wsp:val=&quot;00E0275F&quot;/&gt;&lt;wsp:rsid wsp:val=&quot;00E02763&quot;/&gt;&lt;wsp:rsid wsp:val=&quot;00E02828&quot;/&gt;&lt;wsp:rsid wsp:val=&quot;00E02835&quot;/&gt;&lt;wsp:rsid wsp:val=&quot;00E02F64&quot;/&gt;&lt;wsp:rsid wsp:val=&quot;00E0306D&quot;/&gt;&lt;wsp:rsid wsp:val=&quot;00E032CD&quot;/&gt;&lt;wsp:rsid wsp:val=&quot;00E0403B&quot;/&gt;&lt;wsp:rsid wsp:val=&quot;00E041C6&quot;/&gt;&lt;wsp:rsid wsp:val=&quot;00E045A2&quot;/&gt;&lt;wsp:rsid wsp:val=&quot;00E04E31&quot;/&gt;&lt;wsp:rsid wsp:val=&quot;00E04F6E&quot;/&gt;&lt;wsp:rsid wsp:val=&quot;00E04FB3&quot;/&gt;&lt;wsp:rsid wsp:val=&quot;00E04FD2&quot;/&gt;&lt;wsp:rsid wsp:val=&quot;00E050AF&quot;/&gt;&lt;wsp:rsid wsp:val=&quot;00E05912&quot;/&gt;&lt;wsp:rsid wsp:val=&quot;00E05985&quot;/&gt;&lt;wsp:rsid wsp:val=&quot;00E05AEB&quot;/&gt;&lt;wsp:rsid wsp:val=&quot;00E05B29&quot;/&gt;&lt;wsp:rsid wsp:val=&quot;00E05DE8&quot;/&gt;&lt;wsp:rsid wsp:val=&quot;00E05FEC&quot;/&gt;&lt;wsp:rsid wsp:val=&quot;00E064AF&quot;/&gt;&lt;wsp:rsid wsp:val=&quot;00E065E4&quot;/&gt;&lt;wsp:rsid wsp:val=&quot;00E066BF&quot;/&gt;&lt;wsp:rsid wsp:val=&quot;00E070E3&quot;/&gt;&lt;wsp:rsid wsp:val=&quot;00E07178&quot;/&gt;&lt;wsp:rsid wsp:val=&quot;00E076FC&quot;/&gt;&lt;wsp:rsid wsp:val=&quot;00E07BD7&quot;/&gt;&lt;wsp:rsid wsp:val=&quot;00E07EB7&quot;/&gt;&lt;wsp:rsid wsp:val=&quot;00E102B4&quot;/&gt;&lt;wsp:rsid wsp:val=&quot;00E1052D&quot;/&gt;&lt;wsp:rsid wsp:val=&quot;00E10782&quot;/&gt;&lt;wsp:rsid wsp:val=&quot;00E10972&quot;/&gt;&lt;wsp:rsid wsp:val=&quot;00E10BC4&quot;/&gt;&lt;wsp:rsid wsp:val=&quot;00E10D82&quot;/&gt;&lt;wsp:rsid wsp:val=&quot;00E11087&quot;/&gt;&lt;wsp:rsid wsp:val=&quot;00E11230&quot;/&gt;&lt;wsp:rsid wsp:val=&quot;00E11857&quot;/&gt;&lt;wsp:rsid wsp:val=&quot;00E12456&quot;/&gt;&lt;wsp:rsid wsp:val=&quot;00E12984&quot;/&gt;&lt;wsp:rsid wsp:val=&quot;00E12A92&quot;/&gt;&lt;wsp:rsid wsp:val=&quot;00E12EF0&quot;/&gt;&lt;wsp:rsid wsp:val=&quot;00E13137&quot;/&gt;&lt;wsp:rsid wsp:val=&quot;00E13634&quot;/&gt;&lt;wsp:rsid wsp:val=&quot;00E136D9&quot;/&gt;&lt;wsp:rsid wsp:val=&quot;00E138F6&quot;/&gt;&lt;wsp:rsid wsp:val=&quot;00E13AE0&quot;/&gt;&lt;wsp:rsid wsp:val=&quot;00E13B06&quot;/&gt;&lt;wsp:rsid wsp:val=&quot;00E13BAD&quot;/&gt;&lt;wsp:rsid wsp:val=&quot;00E1411C&quot;/&gt;&lt;wsp:rsid wsp:val=&quot;00E142E1&quot;/&gt;&lt;wsp:rsid wsp:val=&quot;00E14408&quot;/&gt;&lt;wsp:rsid wsp:val=&quot;00E1447E&quot;/&gt;&lt;wsp:rsid wsp:val=&quot;00E14834&quot;/&gt;&lt;wsp:rsid wsp:val=&quot;00E14AF7&quot;/&gt;&lt;wsp:rsid wsp:val=&quot;00E14CD6&quot;/&gt;&lt;wsp:rsid wsp:val=&quot;00E1503B&quot;/&gt;&lt;wsp:rsid wsp:val=&quot;00E150D9&quot;/&gt;&lt;wsp:rsid wsp:val=&quot;00E150DB&quot;/&gt;&lt;wsp:rsid wsp:val=&quot;00E1511D&quot;/&gt;&lt;wsp:rsid wsp:val=&quot;00E15650&quot;/&gt;&lt;wsp:rsid wsp:val=&quot;00E15808&quot;/&gt;&lt;wsp:rsid wsp:val=&quot;00E1587D&quot;/&gt;&lt;wsp:rsid wsp:val=&quot;00E15AFB&quot;/&gt;&lt;wsp:rsid wsp:val=&quot;00E15CDF&quot;/&gt;&lt;wsp:rsid wsp:val=&quot;00E15EDF&quot;/&gt;&lt;wsp:rsid wsp:val=&quot;00E161E3&quot;/&gt;&lt;wsp:rsid wsp:val=&quot;00E16229&quot;/&gt;&lt;wsp:rsid wsp:val=&quot;00E16516&quot;/&gt;&lt;wsp:rsid wsp:val=&quot;00E16823&quot;/&gt;&lt;wsp:rsid wsp:val=&quot;00E16954&quot;/&gt;&lt;wsp:rsid wsp:val=&quot;00E169FC&quot;/&gt;&lt;wsp:rsid wsp:val=&quot;00E16A1C&quot;/&gt;&lt;wsp:rsid wsp:val=&quot;00E16BC6&quot;/&gt;&lt;wsp:rsid wsp:val=&quot;00E16C47&quot;/&gt;&lt;wsp:rsid wsp:val=&quot;00E16F33&quot;/&gt;&lt;wsp:rsid wsp:val=&quot;00E173C7&quot;/&gt;&lt;wsp:rsid wsp:val=&quot;00E174AF&quot;/&gt;&lt;wsp:rsid wsp:val=&quot;00E178E7&quot;/&gt;&lt;wsp:rsid wsp:val=&quot;00E17A0D&quot;/&gt;&lt;wsp:rsid wsp:val=&quot;00E17D43&quot;/&gt;&lt;wsp:rsid wsp:val=&quot;00E17D85&quot;/&gt;&lt;wsp:rsid wsp:val=&quot;00E17FCA&quot;/&gt;&lt;wsp:rsid wsp:val=&quot;00E200EA&quot;/&gt;&lt;wsp:rsid wsp:val=&quot;00E201A7&quot;/&gt;&lt;wsp:rsid wsp:val=&quot;00E2023E&quot;/&gt;&lt;wsp:rsid wsp:val=&quot;00E2038D&quot;/&gt;&lt;wsp:rsid wsp:val=&quot;00E207F2&quot;/&gt;&lt;wsp:rsid wsp:val=&quot;00E20EE9&quot;/&gt;&lt;wsp:rsid wsp:val=&quot;00E210ED&quot;/&gt;&lt;wsp:rsid wsp:val=&quot;00E21145&quot;/&gt;&lt;wsp:rsid wsp:val=&quot;00E213F6&quot;/&gt;&lt;wsp:rsid wsp:val=&quot;00E2161B&quot;/&gt;&lt;wsp:rsid wsp:val=&quot;00E2164C&quot;/&gt;&lt;wsp:rsid wsp:val=&quot;00E21696&quot;/&gt;&lt;wsp:rsid wsp:val=&quot;00E216ED&quot;/&gt;&lt;wsp:rsid wsp:val=&quot;00E21DAE&quot;/&gt;&lt;wsp:rsid wsp:val=&quot;00E21E19&quot;/&gt;&lt;wsp:rsid wsp:val=&quot;00E21EB8&quot;/&gt;&lt;wsp:rsid wsp:val=&quot;00E220DE&quot;/&gt;&lt;wsp:rsid wsp:val=&quot;00E22114&quot;/&gt;&lt;wsp:rsid wsp:val=&quot;00E222F4&quot;/&gt;&lt;wsp:rsid wsp:val=&quot;00E2236A&quot;/&gt;&lt;wsp:rsid wsp:val=&quot;00E22B35&quot;/&gt;&lt;wsp:rsid wsp:val=&quot;00E22B39&quot;/&gt;&lt;wsp:rsid wsp:val=&quot;00E22FEC&quot;/&gt;&lt;wsp:rsid wsp:val=&quot;00E2378D&quot;/&gt;&lt;wsp:rsid wsp:val=&quot;00E23896&quot;/&gt;&lt;wsp:rsid wsp:val=&quot;00E23A20&quot;/&gt;&lt;wsp:rsid wsp:val=&quot;00E23DDB&quot;/&gt;&lt;wsp:rsid wsp:val=&quot;00E23E54&quot;/&gt;&lt;wsp:rsid wsp:val=&quot;00E23F14&quot;/&gt;&lt;wsp:rsid wsp:val=&quot;00E23FAF&quot;/&gt;&lt;wsp:rsid wsp:val=&quot;00E24006&quot;/&gt;&lt;wsp:rsid wsp:val=&quot;00E2407B&quot;/&gt;&lt;wsp:rsid wsp:val=&quot;00E240F0&quot;/&gt;&lt;wsp:rsid wsp:val=&quot;00E24309&quot;/&gt;&lt;wsp:rsid wsp:val=&quot;00E24467&quot;/&gt;&lt;wsp:rsid wsp:val=&quot;00E2449F&quot;/&gt;&lt;wsp:rsid wsp:val=&quot;00E2458E&quot;/&gt;&lt;wsp:rsid wsp:val=&quot;00E247DC&quot;/&gt;&lt;wsp:rsid wsp:val=&quot;00E24A48&quot;/&gt;&lt;wsp:rsid wsp:val=&quot;00E24D4B&quot;/&gt;&lt;wsp:rsid wsp:val=&quot;00E25572&quot;/&gt;&lt;wsp:rsid wsp:val=&quot;00E2578E&quot;/&gt;&lt;wsp:rsid wsp:val=&quot;00E259CD&quot;/&gt;&lt;wsp:rsid wsp:val=&quot;00E25C3E&quot;/&gt;&lt;wsp:rsid wsp:val=&quot;00E25FD3&quot;/&gt;&lt;wsp:rsid wsp:val=&quot;00E265E6&quot;/&gt;&lt;wsp:rsid wsp:val=&quot;00E26A6E&quot;/&gt;&lt;wsp:rsid wsp:val=&quot;00E26A96&quot;/&gt;&lt;wsp:rsid wsp:val=&quot;00E26E03&quot;/&gt;&lt;wsp:rsid wsp:val=&quot;00E26E9C&quot;/&gt;&lt;wsp:rsid wsp:val=&quot;00E270AE&quot;/&gt;&lt;wsp:rsid wsp:val=&quot;00E270C2&quot;/&gt;&lt;wsp:rsid wsp:val=&quot;00E2737D&quot;/&gt;&lt;wsp:rsid wsp:val=&quot;00E2748D&quot;/&gt;&lt;wsp:rsid wsp:val=&quot;00E2751C&quot;/&gt;&lt;wsp:rsid wsp:val=&quot;00E278D8&quot;/&gt;&lt;wsp:rsid wsp:val=&quot;00E279CB&quot;/&gt;&lt;wsp:rsid wsp:val=&quot;00E27A68&quot;/&gt;&lt;wsp:rsid wsp:val=&quot;00E27B08&quot;/&gt;&lt;wsp:rsid wsp:val=&quot;00E27B9F&quot;/&gt;&lt;wsp:rsid wsp:val=&quot;00E27BE9&quot;/&gt;&lt;wsp:rsid wsp:val=&quot;00E3023C&quot;/&gt;&lt;wsp:rsid wsp:val=&quot;00E30628&quot;/&gt;&lt;wsp:rsid wsp:val=&quot;00E30934&quot;/&gt;&lt;wsp:rsid wsp:val=&quot;00E30C4F&quot;/&gt;&lt;wsp:rsid wsp:val=&quot;00E30F09&quot;/&gt;&lt;wsp:rsid wsp:val=&quot;00E30F16&quot;/&gt;&lt;wsp:rsid wsp:val=&quot;00E31120&quot;/&gt;&lt;wsp:rsid wsp:val=&quot;00E315AB&quot;/&gt;&lt;wsp:rsid wsp:val=&quot;00E3194B&quot;/&gt;&lt;wsp:rsid wsp:val=&quot;00E31AA9&quot;/&gt;&lt;wsp:rsid wsp:val=&quot;00E31B6B&quot;/&gt;&lt;wsp:rsid wsp:val=&quot;00E320E2&quot;/&gt;&lt;wsp:rsid wsp:val=&quot;00E32CD9&quot;/&gt;&lt;wsp:rsid wsp:val=&quot;00E32D47&quot;/&gt;&lt;wsp:rsid wsp:val=&quot;00E32E37&quot;/&gt;&lt;wsp:rsid wsp:val=&quot;00E32F7F&quot;/&gt;&lt;wsp:rsid wsp:val=&quot;00E3373D&quot;/&gt;&lt;wsp:rsid wsp:val=&quot;00E33967&quot;/&gt;&lt;wsp:rsid wsp:val=&quot;00E33D89&quot;/&gt;&lt;wsp:rsid wsp:val=&quot;00E33F67&quot;/&gt;&lt;wsp:rsid wsp:val=&quot;00E33F7A&quot;/&gt;&lt;wsp:rsid wsp:val=&quot;00E340D3&quot;/&gt;&lt;wsp:rsid wsp:val=&quot;00E340E5&quot;/&gt;&lt;wsp:rsid wsp:val=&quot;00E341A8&quot;/&gt;&lt;wsp:rsid wsp:val=&quot;00E3440B&quot;/&gt;&lt;wsp:rsid wsp:val=&quot;00E34614&quot;/&gt;&lt;wsp:rsid wsp:val=&quot;00E346D1&quot;/&gt;&lt;wsp:rsid wsp:val=&quot;00E3477C&quot;/&gt;&lt;wsp:rsid wsp:val=&quot;00E34810&quot;/&gt;&lt;wsp:rsid wsp:val=&quot;00E34B7E&quot;/&gt;&lt;wsp:rsid wsp:val=&quot;00E34BD2&quot;/&gt;&lt;wsp:rsid wsp:val=&quot;00E34E3D&quot;/&gt;&lt;wsp:rsid wsp:val=&quot;00E34F49&quot;/&gt;&lt;wsp:rsid wsp:val=&quot;00E34F4F&quot;/&gt;&lt;wsp:rsid wsp:val=&quot;00E3502D&quot;/&gt;&lt;wsp:rsid wsp:val=&quot;00E354FF&quot;/&gt;&lt;wsp:rsid wsp:val=&quot;00E360A9&quot;/&gt;&lt;wsp:rsid wsp:val=&quot;00E360D3&quot;/&gt;&lt;wsp:rsid wsp:val=&quot;00E361B5&quot;/&gt;&lt;wsp:rsid wsp:val=&quot;00E3623E&quot;/&gt;&lt;wsp:rsid wsp:val=&quot;00E362E7&quot;/&gt;&lt;wsp:rsid wsp:val=&quot;00E370AA&quot;/&gt;&lt;wsp:rsid wsp:val=&quot;00E372E7&quot;/&gt;&lt;wsp:rsid wsp:val=&quot;00E37568&quot;/&gt;&lt;wsp:rsid wsp:val=&quot;00E3756E&quot;/&gt;&lt;wsp:rsid wsp:val=&quot;00E37834&quot;/&gt;&lt;wsp:rsid wsp:val=&quot;00E37D2D&quot;/&gt;&lt;wsp:rsid wsp:val=&quot;00E40504&quot;/&gt;&lt;wsp:rsid wsp:val=&quot;00E407C4&quot;/&gt;&lt;wsp:rsid wsp:val=&quot;00E407FE&quot;/&gt;&lt;wsp:rsid wsp:val=&quot;00E40EFE&quot;/&gt;&lt;wsp:rsid wsp:val=&quot;00E40F82&quot;/&gt;&lt;wsp:rsid wsp:val=&quot;00E41286&quot;/&gt;&lt;wsp:rsid wsp:val=&quot;00E415AB&quot;/&gt;&lt;wsp:rsid wsp:val=&quot;00E41E75&quot;/&gt;&lt;wsp:rsid wsp:val=&quot;00E421A4&quot;/&gt;&lt;wsp:rsid wsp:val=&quot;00E421F1&quot;/&gt;&lt;wsp:rsid wsp:val=&quot;00E4221D&quot;/&gt;&lt;wsp:rsid wsp:val=&quot;00E422EA&quot;/&gt;&lt;wsp:rsid wsp:val=&quot;00E42875&quot;/&gt;&lt;wsp:rsid wsp:val=&quot;00E42D0E&quot;/&gt;&lt;wsp:rsid wsp:val=&quot;00E42E45&quot;/&gt;&lt;wsp:rsid wsp:val=&quot;00E42FFD&quot;/&gt;&lt;wsp:rsid wsp:val=&quot;00E43124&quot;/&gt;&lt;wsp:rsid wsp:val=&quot;00E43249&quot;/&gt;&lt;wsp:rsid wsp:val=&quot;00E43308&quot;/&gt;&lt;wsp:rsid wsp:val=&quot;00E433BE&quot;/&gt;&lt;wsp:rsid wsp:val=&quot;00E438BB&quot;/&gt;&lt;wsp:rsid wsp:val=&quot;00E43A00&quot;/&gt;&lt;wsp:rsid wsp:val=&quot;00E43B21&quot;/&gt;&lt;wsp:rsid wsp:val=&quot;00E43DB6&quot;/&gt;&lt;wsp:rsid wsp:val=&quot;00E4406B&quot;/&gt;&lt;wsp:rsid wsp:val=&quot;00E44467&quot;/&gt;&lt;wsp:rsid wsp:val=&quot;00E444E7&quot;/&gt;&lt;wsp:rsid wsp:val=&quot;00E444EC&quot;/&gt;&lt;wsp:rsid wsp:val=&quot;00E445F0&quot;/&gt;&lt;wsp:rsid wsp:val=&quot;00E44860&quot;/&gt;&lt;wsp:rsid wsp:val=&quot;00E448D4&quot;/&gt;&lt;wsp:rsid wsp:val=&quot;00E4495D&quot;/&gt;&lt;wsp:rsid wsp:val=&quot;00E44993&quot;/&gt;&lt;wsp:rsid wsp:val=&quot;00E44997&quot;/&gt;&lt;wsp:rsid wsp:val=&quot;00E449AB&quot;/&gt;&lt;wsp:rsid wsp:val=&quot;00E44A05&quot;/&gt;&lt;wsp:rsid wsp:val=&quot;00E44ACB&quot;/&gt;&lt;wsp:rsid wsp:val=&quot;00E44B32&quot;/&gt;&lt;wsp:rsid wsp:val=&quot;00E44BA9&quot;/&gt;&lt;wsp:rsid wsp:val=&quot;00E4536F&quot;/&gt;&lt;wsp:rsid wsp:val=&quot;00E45462&quot;/&gt;&lt;wsp:rsid wsp:val=&quot;00E454BB&quot;/&gt;&lt;wsp:rsid wsp:val=&quot;00E459AB&quot;/&gt;&lt;wsp:rsid wsp:val=&quot;00E45B3F&quot;/&gt;&lt;wsp:rsid wsp:val=&quot;00E46060&quot;/&gt;&lt;wsp:rsid wsp:val=&quot;00E4615F&quot;/&gt;&lt;wsp:rsid wsp:val=&quot;00E464EA&quot;/&gt;&lt;wsp:rsid wsp:val=&quot;00E46553&quot;/&gt;&lt;wsp:rsid wsp:val=&quot;00E4695B&quot;/&gt;&lt;wsp:rsid wsp:val=&quot;00E46B4D&quot;/&gt;&lt;wsp:rsid wsp:val=&quot;00E46C2B&quot;/&gt;&lt;wsp:rsid wsp:val=&quot;00E477EC&quot;/&gt;&lt;wsp:rsid wsp:val=&quot;00E47871&quot;/&gt;&lt;wsp:rsid wsp:val=&quot;00E4794B&quot;/&gt;&lt;wsp:rsid wsp:val=&quot;00E4796F&quot;/&gt;&lt;wsp:rsid wsp:val=&quot;00E47A0D&quot;/&gt;&lt;wsp:rsid wsp:val=&quot;00E47F57&quot;/&gt;&lt;wsp:rsid wsp:val=&quot;00E50129&quot;/&gt;&lt;wsp:rsid wsp:val=&quot;00E5019B&quot;/&gt;&lt;wsp:rsid wsp:val=&quot;00E50D52&quot;/&gt;&lt;wsp:rsid wsp:val=&quot;00E50DF6&quot;/&gt;&lt;wsp:rsid wsp:val=&quot;00E50EDE&quot;/&gt;&lt;wsp:rsid wsp:val=&quot;00E51085&quot;/&gt;&lt;wsp:rsid wsp:val=&quot;00E512B3&quot;/&gt;&lt;wsp:rsid wsp:val=&quot;00E51372&quot;/&gt;&lt;wsp:rsid wsp:val=&quot;00E51CB6&quot;/&gt;&lt;wsp:rsid wsp:val=&quot;00E51DA8&quot;/&gt;&lt;wsp:rsid wsp:val=&quot;00E520B3&quot;/&gt;&lt;wsp:rsid wsp:val=&quot;00E5217F&quot;/&gt;&lt;wsp:rsid wsp:val=&quot;00E5219A&quot;/&gt;&lt;wsp:rsid wsp:val=&quot;00E521DE&quot;/&gt;&lt;wsp:rsid wsp:val=&quot;00E52208&quot;/&gt;&lt;wsp:rsid wsp:val=&quot;00E52296&quot;/&gt;&lt;wsp:rsid wsp:val=&quot;00E525F7&quot;/&gt;&lt;wsp:rsid wsp:val=&quot;00E52A16&quot;/&gt;&lt;wsp:rsid wsp:val=&quot;00E533AA&quot;/&gt;&lt;wsp:rsid wsp:val=&quot;00E53519&quot;/&gt;&lt;wsp:rsid wsp:val=&quot;00E53772&quot;/&gt;&lt;wsp:rsid wsp:val=&quot;00E53B27&quot;/&gt;&lt;wsp:rsid wsp:val=&quot;00E53B75&quot;/&gt;&lt;wsp:rsid wsp:val=&quot;00E53BFA&quot;/&gt;&lt;wsp:rsid wsp:val=&quot;00E53F5E&quot;/&gt;&lt;wsp:rsid wsp:val=&quot;00E54159&quot;/&gt;&lt;wsp:rsid wsp:val=&quot;00E5416E&quot;/&gt;&lt;wsp:rsid wsp:val=&quot;00E541EF&quot;/&gt;&lt;wsp:rsid wsp:val=&quot;00E54220&quot;/&gt;&lt;wsp:rsid wsp:val=&quot;00E543A0&quot;/&gt;&lt;wsp:rsid wsp:val=&quot;00E5443D&quot;/&gt;&lt;wsp:rsid wsp:val=&quot;00E544D9&quot;/&gt;&lt;wsp:rsid wsp:val=&quot;00E54604&quot;/&gt;&lt;wsp:rsid wsp:val=&quot;00E54674&quot;/&gt;&lt;wsp:rsid wsp:val=&quot;00E54BFB&quot;/&gt;&lt;wsp:rsid wsp:val=&quot;00E54C86&quot;/&gt;&lt;wsp:rsid wsp:val=&quot;00E54D64&quot;/&gt;&lt;wsp:rsid wsp:val=&quot;00E54DA4&quot;/&gt;&lt;wsp:rsid wsp:val=&quot;00E54DC2&quot;/&gt;&lt;wsp:rsid wsp:val=&quot;00E54F5C&quot;/&gt;&lt;wsp:rsid wsp:val=&quot;00E5595D&quot;/&gt;&lt;wsp:rsid wsp:val=&quot;00E55CDD&quot;/&gt;&lt;wsp:rsid wsp:val=&quot;00E56549&quot;/&gt;&lt;wsp:rsid wsp:val=&quot;00E5669C&quot;/&gt;&lt;wsp:rsid wsp:val=&quot;00E56998&quot;/&gt;&lt;wsp:rsid wsp:val=&quot;00E56A88&quot;/&gt;&lt;wsp:rsid wsp:val=&quot;00E56BE2&quot;/&gt;&lt;wsp:rsid wsp:val=&quot;00E56C0E&quot;/&gt;&lt;wsp:rsid wsp:val=&quot;00E56D50&quot;/&gt;&lt;wsp:rsid wsp:val=&quot;00E56E5D&quot;/&gt;&lt;wsp:rsid wsp:val=&quot;00E57141&quot;/&gt;&lt;wsp:rsid wsp:val=&quot;00E574B8&quot;/&gt;&lt;wsp:rsid wsp:val=&quot;00E57A74&quot;/&gt;&lt;wsp:rsid wsp:val=&quot;00E57BD5&quot;/&gt;&lt;wsp:rsid wsp:val=&quot;00E607AF&quot;/&gt;&lt;wsp:rsid wsp:val=&quot;00E60990&quot;/&gt;&lt;wsp:rsid wsp:val=&quot;00E609AB&quot;/&gt;&lt;wsp:rsid wsp:val=&quot;00E60C6B&quot;/&gt;&lt;wsp:rsid wsp:val=&quot;00E60DB4&quot;/&gt;&lt;wsp:rsid wsp:val=&quot;00E610F1&quot;/&gt;&lt;wsp:rsid wsp:val=&quot;00E6134B&quot;/&gt;&lt;wsp:rsid wsp:val=&quot;00E61733&quot;/&gt;&lt;wsp:rsid wsp:val=&quot;00E6199E&quot;/&gt;&lt;wsp:rsid wsp:val=&quot;00E61B99&quot;/&gt;&lt;wsp:rsid wsp:val=&quot;00E61C40&quot;/&gt;&lt;wsp:rsid wsp:val=&quot;00E61D25&quot;/&gt;&lt;wsp:rsid wsp:val=&quot;00E6200A&quot;/&gt;&lt;wsp:rsid wsp:val=&quot;00E6229E&quot;/&gt;&lt;wsp:rsid wsp:val=&quot;00E62435&quot;/&gt;&lt;wsp:rsid wsp:val=&quot;00E62650&quot;/&gt;&lt;wsp:rsid wsp:val=&quot;00E626CF&quot;/&gt;&lt;wsp:rsid wsp:val=&quot;00E62A16&quot;/&gt;&lt;wsp:rsid wsp:val=&quot;00E62B61&quot;/&gt;&lt;wsp:rsid wsp:val=&quot;00E62D69&quot;/&gt;&lt;wsp:rsid wsp:val=&quot;00E62DAF&quot;/&gt;&lt;wsp:rsid wsp:val=&quot;00E63107&quot;/&gt;&lt;wsp:rsid wsp:val=&quot;00E631CD&quot;/&gt;&lt;wsp:rsid wsp:val=&quot;00E6331E&quot;/&gt;&lt;wsp:rsid wsp:val=&quot;00E63569&quot;/&gt;&lt;wsp:rsid wsp:val=&quot;00E6362F&quot;/&gt;&lt;wsp:rsid wsp:val=&quot;00E63C27&quot;/&gt;&lt;wsp:rsid wsp:val=&quot;00E63F7E&quot;/&gt;&lt;wsp:rsid wsp:val=&quot;00E64142&quot;/&gt;&lt;wsp:rsid wsp:val=&quot;00E64162&quot;/&gt;&lt;wsp:rsid wsp:val=&quot;00E64757&quot;/&gt;&lt;wsp:rsid wsp:val=&quot;00E64791&quot;/&gt;&lt;wsp:rsid wsp:val=&quot;00E64B4A&quot;/&gt;&lt;wsp:rsid wsp:val=&quot;00E64D6C&quot;/&gt;&lt;wsp:rsid wsp:val=&quot;00E65035&quot;/&gt;&lt;wsp:rsid wsp:val=&quot;00E65084&quot;/&gt;&lt;wsp:rsid wsp:val=&quot;00E65348&quot;/&gt;&lt;wsp:rsid wsp:val=&quot;00E6536E&quot;/&gt;&lt;wsp:rsid wsp:val=&quot;00E6591D&quot;/&gt;&lt;wsp:rsid wsp:val=&quot;00E66107&quot;/&gt;&lt;wsp:rsid wsp:val=&quot;00E665EB&quot;/&gt;&lt;wsp:rsid wsp:val=&quot;00E66642&quot;/&gt;&lt;wsp:rsid wsp:val=&quot;00E66AA0&quot;/&gt;&lt;wsp:rsid wsp:val=&quot;00E66ADC&quot;/&gt;&lt;wsp:rsid wsp:val=&quot;00E66B6B&quot;/&gt;&lt;wsp:rsid wsp:val=&quot;00E66EB2&quot;/&gt;&lt;wsp:rsid wsp:val=&quot;00E66F14&quot;/&gt;&lt;wsp:rsid wsp:val=&quot;00E66FCC&quot;/&gt;&lt;wsp:rsid wsp:val=&quot;00E67066&quot;/&gt;&lt;wsp:rsid wsp:val=&quot;00E672C5&quot;/&gt;&lt;wsp:rsid wsp:val=&quot;00E677EC&quot;/&gt;&lt;wsp:rsid wsp:val=&quot;00E67B38&quot;/&gt;&lt;wsp:rsid wsp:val=&quot;00E67B47&quot;/&gt;&lt;wsp:rsid wsp:val=&quot;00E70041&quot;/&gt;&lt;wsp:rsid wsp:val=&quot;00E703C4&quot;/&gt;&lt;wsp:rsid wsp:val=&quot;00E706D1&quot;/&gt;&lt;wsp:rsid wsp:val=&quot;00E7080C&quot;/&gt;&lt;wsp:rsid wsp:val=&quot;00E7090E&quot;/&gt;&lt;wsp:rsid wsp:val=&quot;00E70D2E&quot;/&gt;&lt;wsp:rsid wsp:val=&quot;00E70DA7&quot;/&gt;&lt;wsp:rsid wsp:val=&quot;00E70E01&quot;/&gt;&lt;wsp:rsid wsp:val=&quot;00E70F04&quot;/&gt;&lt;wsp:rsid wsp:val=&quot;00E7134B&quot;/&gt;&lt;wsp:rsid wsp:val=&quot;00E7159C&quot;/&gt;&lt;wsp:rsid wsp:val=&quot;00E71723&quot;/&gt;&lt;wsp:rsid wsp:val=&quot;00E718FB&quot;/&gt;&lt;wsp:rsid wsp:val=&quot;00E71E50&quot;/&gt;&lt;wsp:rsid wsp:val=&quot;00E71F0C&quot;/&gt;&lt;wsp:rsid wsp:val=&quot;00E72081&quot;/&gt;&lt;wsp:rsid wsp:val=&quot;00E72153&quot;/&gt;&lt;wsp:rsid wsp:val=&quot;00E7240F&quot;/&gt;&lt;wsp:rsid wsp:val=&quot;00E72486&quot;/&gt;&lt;wsp:rsid wsp:val=&quot;00E72676&quot;/&gt;&lt;wsp:rsid wsp:val=&quot;00E72A2B&quot;/&gt;&lt;wsp:rsid wsp:val=&quot;00E72A32&quot;/&gt;&lt;wsp:rsid wsp:val=&quot;00E72FD5&quot;/&gt;&lt;wsp:rsid wsp:val=&quot;00E72FF1&quot;/&gt;&lt;wsp:rsid wsp:val=&quot;00E730DE&quot;/&gt;&lt;wsp:rsid wsp:val=&quot;00E73304&quot;/&gt;&lt;wsp:rsid wsp:val=&quot;00E73445&quot;/&gt;&lt;wsp:rsid wsp:val=&quot;00E73449&quot;/&gt;&lt;wsp:rsid wsp:val=&quot;00E7344B&quot;/&gt;&lt;wsp:rsid wsp:val=&quot;00E73994&quot;/&gt;&lt;wsp:rsid wsp:val=&quot;00E73B86&quot;/&gt;&lt;wsp:rsid wsp:val=&quot;00E73C44&quot;/&gt;&lt;wsp:rsid wsp:val=&quot;00E74073&quot;/&gt;&lt;wsp:rsid wsp:val=&quot;00E74345&quot;/&gt;&lt;wsp:rsid wsp:val=&quot;00E746B1&quot;/&gt;&lt;wsp:rsid wsp:val=&quot;00E7482E&quot;/&gt;&lt;wsp:rsid wsp:val=&quot;00E7499E&quot;/&gt;&lt;wsp:rsid wsp:val=&quot;00E74BAE&quot;/&gt;&lt;wsp:rsid wsp:val=&quot;00E74BC6&quot;/&gt;&lt;wsp:rsid wsp:val=&quot;00E75070&quot;/&gt;&lt;wsp:rsid wsp:val=&quot;00E75AB5&quot;/&gt;&lt;wsp:rsid wsp:val=&quot;00E75BC3&quot;/&gt;&lt;wsp:rsid wsp:val=&quot;00E75C03&quot;/&gt;&lt;wsp:rsid wsp:val=&quot;00E75DD1&quot;/&gt;&lt;wsp:rsid wsp:val=&quot;00E75E3C&quot;/&gt;&lt;wsp:rsid wsp:val=&quot;00E76200&quot;/&gt;&lt;wsp:rsid wsp:val=&quot;00E7667C&quot;/&gt;&lt;wsp:rsid wsp:val=&quot;00E7684A&quot;/&gt;&lt;wsp:rsid wsp:val=&quot;00E76AE4&quot;/&gt;&lt;wsp:rsid wsp:val=&quot;00E76C2B&quot;/&gt;&lt;wsp:rsid wsp:val=&quot;00E76D9E&quot;/&gt;&lt;wsp:rsid wsp:val=&quot;00E770C5&quot;/&gt;&lt;wsp:rsid wsp:val=&quot;00E77148&quot;/&gt;&lt;wsp:rsid wsp:val=&quot;00E772B6&quot;/&gt;&lt;wsp:rsid wsp:val=&quot;00E775EB&quot;/&gt;&lt;wsp:rsid wsp:val=&quot;00E77609&quot;/&gt;&lt;wsp:rsid wsp:val=&quot;00E777A8&quot;/&gt;&lt;wsp:rsid wsp:val=&quot;00E777E7&quot;/&gt;&lt;wsp:rsid wsp:val=&quot;00E779CD&quot;/&gt;&lt;wsp:rsid wsp:val=&quot;00E77D4D&quot;/&gt;&lt;wsp:rsid wsp:val=&quot;00E77DFB&quot;/&gt;&lt;wsp:rsid wsp:val=&quot;00E8012A&quot;/&gt;&lt;wsp:rsid wsp:val=&quot;00E80206&quot;/&gt;&lt;wsp:rsid wsp:val=&quot;00E80338&quot;/&gt;&lt;wsp:rsid wsp:val=&quot;00E80633&quot;/&gt;&lt;wsp:rsid wsp:val=&quot;00E80DBE&quot;/&gt;&lt;wsp:rsid wsp:val=&quot;00E81061&quot;/&gt;&lt;wsp:rsid wsp:val=&quot;00E81424&quot;/&gt;&lt;wsp:rsid wsp:val=&quot;00E819E7&quot;/&gt;&lt;wsp:rsid wsp:val=&quot;00E81B49&quot;/&gt;&lt;wsp:rsid wsp:val=&quot;00E81DAB&quot;/&gt;&lt;wsp:rsid wsp:val=&quot;00E82318&quot;/&gt;&lt;wsp:rsid wsp:val=&quot;00E82726&quot;/&gt;&lt;wsp:rsid wsp:val=&quot;00E828C8&quot;/&gt;&lt;wsp:rsid wsp:val=&quot;00E82D91&quot;/&gt;&lt;wsp:rsid wsp:val=&quot;00E82F25&quot;/&gt;&lt;wsp:rsid wsp:val=&quot;00E82FCD&quot;/&gt;&lt;wsp:rsid wsp:val=&quot;00E832F7&quot;/&gt;&lt;wsp:rsid wsp:val=&quot;00E83390&quot;/&gt;&lt;wsp:rsid wsp:val=&quot;00E83417&quot;/&gt;&lt;wsp:rsid wsp:val=&quot;00E83697&quot;/&gt;&lt;wsp:rsid wsp:val=&quot;00E83702&quot;/&gt;&lt;wsp:rsid wsp:val=&quot;00E8377D&quot;/&gt;&lt;wsp:rsid wsp:val=&quot;00E837D7&quot;/&gt;&lt;wsp:rsid wsp:val=&quot;00E83A29&quot;/&gt;&lt;wsp:rsid wsp:val=&quot;00E83D33&quot;/&gt;&lt;wsp:rsid wsp:val=&quot;00E83D5C&quot;/&gt;&lt;wsp:rsid wsp:val=&quot;00E83EBE&quot;/&gt;&lt;wsp:rsid wsp:val=&quot;00E84291&quot;/&gt;&lt;wsp:rsid wsp:val=&quot;00E8429F&quot;/&gt;&lt;wsp:rsid wsp:val=&quot;00E84629&quot;/&gt;&lt;wsp:rsid wsp:val=&quot;00E846DC&quot;/&gt;&lt;wsp:rsid wsp:val=&quot;00E8472F&quot;/&gt;&lt;wsp:rsid wsp:val=&quot;00E847EA&quot;/&gt;&lt;wsp:rsid wsp:val=&quot;00E84858&quot;/&gt;&lt;wsp:rsid wsp:val=&quot;00E8486A&quot;/&gt;&lt;wsp:rsid wsp:val=&quot;00E852D1&quot;/&gt;&lt;wsp:rsid wsp:val=&quot;00E85B51&quot;/&gt;&lt;wsp:rsid wsp:val=&quot;00E85C60&quot;/&gt;&lt;wsp:rsid wsp:val=&quot;00E8605B&quot;/&gt;&lt;wsp:rsid wsp:val=&quot;00E8665A&quot;/&gt;&lt;wsp:rsid wsp:val=&quot;00E8666A&quot;/&gt;&lt;wsp:rsid wsp:val=&quot;00E8679B&quot;/&gt;&lt;wsp:rsid wsp:val=&quot;00E86AF3&quot;/&gt;&lt;wsp:rsid wsp:val=&quot;00E86DF1&quot;/&gt;&lt;wsp:rsid wsp:val=&quot;00E86F41&quot;/&gt;&lt;wsp:rsid wsp:val=&quot;00E87198&quot;/&gt;&lt;wsp:rsid wsp:val=&quot;00E87964&quot;/&gt;&lt;wsp:rsid wsp:val=&quot;00E87B7E&quot;/&gt;&lt;wsp:rsid wsp:val=&quot;00E87F01&quot;/&gt;&lt;wsp:rsid wsp:val=&quot;00E9069D&quot;/&gt;&lt;wsp:rsid wsp:val=&quot;00E9085B&quot;/&gt;&lt;wsp:rsid wsp:val=&quot;00E90E61&quot;/&gt;&lt;wsp:rsid wsp:val=&quot;00E90E7E&quot;/&gt;&lt;wsp:rsid wsp:val=&quot;00E90E96&quot;/&gt;&lt;wsp:rsid wsp:val=&quot;00E90F88&quot;/&gt;&lt;wsp:rsid wsp:val=&quot;00E91593&quot;/&gt;&lt;wsp:rsid wsp:val=&quot;00E91C6F&quot;/&gt;&lt;wsp:rsid wsp:val=&quot;00E91CB9&quot;/&gt;&lt;wsp:rsid wsp:val=&quot;00E91D7C&quot;/&gt;&lt;wsp:rsid wsp:val=&quot;00E91E40&quot;/&gt;&lt;wsp:rsid wsp:val=&quot;00E920FE&quot;/&gt;&lt;wsp:rsid wsp:val=&quot;00E92936&quot;/&gt;&lt;wsp:rsid wsp:val=&quot;00E92A5B&quot;/&gt;&lt;wsp:rsid wsp:val=&quot;00E92A8D&quot;/&gt;&lt;wsp:rsid wsp:val=&quot;00E92AB5&quot;/&gt;&lt;wsp:rsid wsp:val=&quot;00E92C75&quot;/&gt;&lt;wsp:rsid wsp:val=&quot;00E92F20&quot;/&gt;&lt;wsp:rsid wsp:val=&quot;00E931DC&quot;/&gt;&lt;wsp:rsid wsp:val=&quot;00E93323&quot;/&gt;&lt;wsp:rsid wsp:val=&quot;00E93394&quot;/&gt;&lt;wsp:rsid wsp:val=&quot;00E93495&quot;/&gt;&lt;wsp:rsid wsp:val=&quot;00E93543&quot;/&gt;&lt;wsp:rsid wsp:val=&quot;00E9358E&quot;/&gt;&lt;wsp:rsid wsp:val=&quot;00E93B98&quot;/&gt;&lt;wsp:rsid wsp:val=&quot;00E93CEA&quot;/&gt;&lt;wsp:rsid wsp:val=&quot;00E93D62&quot;/&gt;&lt;wsp:rsid wsp:val=&quot;00E93F08&quot;/&gt;&lt;wsp:rsid wsp:val=&quot;00E941CA&quot;/&gt;&lt;wsp:rsid wsp:val=&quot;00E948E5&quot;/&gt;&lt;wsp:rsid wsp:val=&quot;00E9495A&quot;/&gt;&lt;wsp:rsid wsp:val=&quot;00E94A0C&quot;/&gt;&lt;wsp:rsid wsp:val=&quot;00E94C20&quot;/&gt;&lt;wsp:rsid wsp:val=&quot;00E94C5B&quot;/&gt;&lt;wsp:rsid wsp:val=&quot;00E94DC2&quot;/&gt;&lt;wsp:rsid wsp:val=&quot;00E952FF&quot;/&gt;&lt;wsp:rsid wsp:val=&quot;00E955D1&quot;/&gt;&lt;wsp:rsid wsp:val=&quot;00E95A7C&quot;/&gt;&lt;wsp:rsid wsp:val=&quot;00E95B22&quot;/&gt;&lt;wsp:rsid wsp:val=&quot;00E95C94&quot;/&gt;&lt;wsp:rsid wsp:val=&quot;00E95D3F&quot;/&gt;&lt;wsp:rsid wsp:val=&quot;00E95DAC&quot;/&gt;&lt;wsp:rsid wsp:val=&quot;00E95F4C&quot;/&gt;&lt;wsp:rsid wsp:val=&quot;00E9602E&quot;/&gt;&lt;wsp:rsid wsp:val=&quot;00E96508&quot;/&gt;&lt;wsp:rsid wsp:val=&quot;00E9650B&quot;/&gt;&lt;wsp:rsid wsp:val=&quot;00E96692&quot;/&gt;&lt;wsp:rsid wsp:val=&quot;00E968E7&quot;/&gt;&lt;wsp:rsid wsp:val=&quot;00E96D6A&quot;/&gt;&lt;wsp:rsid wsp:val=&quot;00E96F77&quot;/&gt;&lt;wsp:rsid wsp:val=&quot;00E97187&quot;/&gt;&lt;wsp:rsid wsp:val=&quot;00E97271&quot;/&gt;&lt;wsp:rsid wsp:val=&quot;00E973ED&quot;/&gt;&lt;wsp:rsid wsp:val=&quot;00E97408&quot;/&gt;&lt;wsp:rsid wsp:val=&quot;00E97543&quot;/&gt;&lt;wsp:rsid wsp:val=&quot;00E9764F&quot;/&gt;&lt;wsp:rsid wsp:val=&quot;00E97675&quot;/&gt;&lt;wsp:rsid wsp:val=&quot;00E97817&quot;/&gt;&lt;wsp:rsid wsp:val=&quot;00E97A01&quot;/&gt;&lt;wsp:rsid wsp:val=&quot;00E97BC3&quot;/&gt;&lt;wsp:rsid wsp:val=&quot;00E97BCA&quot;/&gt;&lt;wsp:rsid wsp:val=&quot;00E97CB4&quot;/&gt;&lt;wsp:rsid wsp:val=&quot;00EA041C&quot;/&gt;&lt;wsp:rsid wsp:val=&quot;00EA046C&quot;/&gt;&lt;wsp:rsid wsp:val=&quot;00EA0728&quot;/&gt;&lt;wsp:rsid wsp:val=&quot;00EA0990&quot;/&gt;&lt;wsp:rsid wsp:val=&quot;00EA0C85&quot;/&gt;&lt;wsp:rsid wsp:val=&quot;00EA11B2&quot;/&gt;&lt;wsp:rsid wsp:val=&quot;00EA15E8&quot;/&gt;&lt;wsp:rsid wsp:val=&quot;00EA1AA7&quot;/&gt;&lt;wsp:rsid wsp:val=&quot;00EA1E31&quot;/&gt;&lt;wsp:rsid wsp:val=&quot;00EA1EB8&quot;/&gt;&lt;wsp:rsid wsp:val=&quot;00EA2032&quot;/&gt;&lt;wsp:rsid wsp:val=&quot;00EA25B0&quot;/&gt;&lt;wsp:rsid wsp:val=&quot;00EA2CAB&quot;/&gt;&lt;wsp:rsid wsp:val=&quot;00EA2E2E&quot;/&gt;&lt;wsp:rsid wsp:val=&quot;00EA2E39&quot;/&gt;&lt;wsp:rsid wsp:val=&quot;00EA30F0&quot;/&gt;&lt;wsp:rsid wsp:val=&quot;00EA38B3&quot;/&gt;&lt;wsp:rsid wsp:val=&quot;00EA3AB3&quot;/&gt;&lt;wsp:rsid wsp:val=&quot;00EA3CCE&quot;/&gt;&lt;wsp:rsid wsp:val=&quot;00EA3D7B&quot;/&gt;&lt;wsp:rsid wsp:val=&quot;00EA3E63&quot;/&gt;&lt;wsp:rsid wsp:val=&quot;00EA3F58&quot;/&gt;&lt;wsp:rsid wsp:val=&quot;00EA421C&quot;/&gt;&lt;wsp:rsid wsp:val=&quot;00EA421E&quot;/&gt;&lt;wsp:rsid wsp:val=&quot;00EA4271&quot;/&gt;&lt;wsp:rsid wsp:val=&quot;00EA42B2&quot;/&gt;&lt;wsp:rsid wsp:val=&quot;00EA4361&quot;/&gt;&lt;wsp:rsid wsp:val=&quot;00EA4984&quot;/&gt;&lt;wsp:rsid wsp:val=&quot;00EA4F87&quot;/&gt;&lt;wsp:rsid wsp:val=&quot;00EA5418&quot;/&gt;&lt;wsp:rsid wsp:val=&quot;00EA5558&quot;/&gt;&lt;wsp:rsid wsp:val=&quot;00EA55B6&quot;/&gt;&lt;wsp:rsid wsp:val=&quot;00EA5700&quot;/&gt;&lt;wsp:rsid wsp:val=&quot;00EA5CFE&quot;/&gt;&lt;wsp:rsid wsp:val=&quot;00EA5F53&quot;/&gt;&lt;wsp:rsid wsp:val=&quot;00EA6195&quot;/&gt;&lt;wsp:rsid wsp:val=&quot;00EA63B2&quot;/&gt;&lt;wsp:rsid wsp:val=&quot;00EA678F&quot;/&gt;&lt;wsp:rsid wsp:val=&quot;00EA67BB&quot;/&gt;&lt;wsp:rsid wsp:val=&quot;00EA6A4D&quot;/&gt;&lt;wsp:rsid wsp:val=&quot;00EA6B36&quot;/&gt;&lt;wsp:rsid wsp:val=&quot;00EA6C9D&quot;/&gt;&lt;wsp:rsid wsp:val=&quot;00EA6DDF&quot;/&gt;&lt;wsp:rsid wsp:val=&quot;00EA6FC9&quot;/&gt;&lt;wsp:rsid wsp:val=&quot;00EA6FDA&quot;/&gt;&lt;wsp:rsid wsp:val=&quot;00EA71A6&quot;/&gt;&lt;wsp:rsid wsp:val=&quot;00EA74F8&quot;/&gt;&lt;wsp:rsid wsp:val=&quot;00EA7592&quot;/&gt;&lt;wsp:rsid wsp:val=&quot;00EA7766&quot;/&gt;&lt;wsp:rsid wsp:val=&quot;00EA77AD&quot;/&gt;&lt;wsp:rsid wsp:val=&quot;00EA79A6&quot;/&gt;&lt;wsp:rsid wsp:val=&quot;00EA7EBE&quot;/&gt;&lt;wsp:rsid wsp:val=&quot;00EB0483&quot;/&gt;&lt;wsp:rsid wsp:val=&quot;00EB0B43&quot;/&gt;&lt;wsp:rsid wsp:val=&quot;00EB0F49&quot;/&gt;&lt;wsp:rsid wsp:val=&quot;00EB0FA1&quot;/&gt;&lt;wsp:rsid wsp:val=&quot;00EB105F&quot;/&gt;&lt;wsp:rsid wsp:val=&quot;00EB10E7&quot;/&gt;&lt;wsp:rsid wsp:val=&quot;00EB11D2&quot;/&gt;&lt;wsp:rsid wsp:val=&quot;00EB148D&quot;/&gt;&lt;wsp:rsid wsp:val=&quot;00EB14E0&quot;/&gt;&lt;wsp:rsid wsp:val=&quot;00EB17CE&quot;/&gt;&lt;wsp:rsid wsp:val=&quot;00EB1A0F&quot;/&gt;&lt;wsp:rsid wsp:val=&quot;00EB1A13&quot;/&gt;&lt;wsp:rsid wsp:val=&quot;00EB1CD4&quot;/&gt;&lt;wsp:rsid wsp:val=&quot;00EB1D38&quot;/&gt;&lt;wsp:rsid wsp:val=&quot;00EB1EA3&quot;/&gt;&lt;wsp:rsid wsp:val=&quot;00EB1EAE&quot;/&gt;&lt;wsp:rsid wsp:val=&quot;00EB2179&quot;/&gt;&lt;wsp:rsid wsp:val=&quot;00EB22ED&quot;/&gt;&lt;wsp:rsid wsp:val=&quot;00EB2589&quot;/&gt;&lt;wsp:rsid wsp:val=&quot;00EB26C7&quot;/&gt;&lt;wsp:rsid wsp:val=&quot;00EB274F&quot;/&gt;&lt;wsp:rsid wsp:val=&quot;00EB29D7&quot;/&gt;&lt;wsp:rsid wsp:val=&quot;00EB29F5&quot;/&gt;&lt;wsp:rsid wsp:val=&quot;00EB2C76&quot;/&gt;&lt;wsp:rsid wsp:val=&quot;00EB2E86&quot;/&gt;&lt;wsp:rsid wsp:val=&quot;00EB2F02&quot;/&gt;&lt;wsp:rsid wsp:val=&quot;00EB2F58&quot;/&gt;&lt;wsp:rsid wsp:val=&quot;00EB303E&quot;/&gt;&lt;wsp:rsid wsp:val=&quot;00EB31D9&quot;/&gt;&lt;wsp:rsid wsp:val=&quot;00EB3237&quot;/&gt;&lt;wsp:rsid wsp:val=&quot;00EB323B&quot;/&gt;&lt;wsp:rsid wsp:val=&quot;00EB350F&quot;/&gt;&lt;wsp:rsid wsp:val=&quot;00EB3652&quot;/&gt;&lt;wsp:rsid wsp:val=&quot;00EB3788&quot;/&gt;&lt;wsp:rsid wsp:val=&quot;00EB38AF&quot;/&gt;&lt;wsp:rsid wsp:val=&quot;00EB3AC2&quot;/&gt;&lt;wsp:rsid wsp:val=&quot;00EB40FA&quot;/&gt;&lt;wsp:rsid wsp:val=&quot;00EB49D2&quot;/&gt;&lt;wsp:rsid wsp:val=&quot;00EB4CBB&quot;/&gt;&lt;wsp:rsid wsp:val=&quot;00EB4FD6&quot;/&gt;&lt;wsp:rsid wsp:val=&quot;00EB5308&quot;/&gt;&lt;wsp:rsid wsp:val=&quot;00EB5574&quot;/&gt;&lt;wsp:rsid wsp:val=&quot;00EB5952&quot;/&gt;&lt;wsp:rsid wsp:val=&quot;00EB5E97&quot;/&gt;&lt;wsp:rsid wsp:val=&quot;00EB5F41&quot;/&gt;&lt;wsp:rsid wsp:val=&quot;00EB61B5&quot;/&gt;&lt;wsp:rsid wsp:val=&quot;00EB695C&quot;/&gt;&lt;wsp:rsid wsp:val=&quot;00EB6B58&quot;/&gt;&lt;wsp:rsid wsp:val=&quot;00EB6C6B&quot;/&gt;&lt;wsp:rsid wsp:val=&quot;00EB7014&quot;/&gt;&lt;wsp:rsid wsp:val=&quot;00EB75CC&quot;/&gt;&lt;wsp:rsid wsp:val=&quot;00EB7C86&quot;/&gt;&lt;wsp:rsid wsp:val=&quot;00EB7D2C&quot;/&gt;&lt;wsp:rsid wsp:val=&quot;00EB7F86&quot;/&gt;&lt;wsp:rsid wsp:val=&quot;00EC02EE&quot;/&gt;&lt;wsp:rsid wsp:val=&quot;00EC071A&quot;/&gt;&lt;wsp:rsid wsp:val=&quot;00EC0732&quot;/&gt;&lt;wsp:rsid wsp:val=&quot;00EC091F&quot;/&gt;&lt;wsp:rsid wsp:val=&quot;00EC09F8&quot;/&gt;&lt;wsp:rsid wsp:val=&quot;00EC0A6E&quot;/&gt;&lt;wsp:rsid wsp:val=&quot;00EC0B71&quot;/&gt;&lt;wsp:rsid wsp:val=&quot;00EC0F0C&quot;/&gt;&lt;wsp:rsid wsp:val=&quot;00EC0FDA&quot;/&gt;&lt;wsp:rsid wsp:val=&quot;00EC101B&quot;/&gt;&lt;wsp:rsid wsp:val=&quot;00EC1047&quot;/&gt;&lt;wsp:rsid wsp:val=&quot;00EC143A&quot;/&gt;&lt;wsp:rsid wsp:val=&quot;00EC14DD&quot;/&gt;&lt;wsp:rsid wsp:val=&quot;00EC1756&quot;/&gt;&lt;wsp:rsid wsp:val=&quot;00EC17AD&quot;/&gt;&lt;wsp:rsid wsp:val=&quot;00EC18CA&quot;/&gt;&lt;wsp:rsid wsp:val=&quot;00EC1D96&quot;/&gt;&lt;wsp:rsid wsp:val=&quot;00EC200A&quot;/&gt;&lt;wsp:rsid wsp:val=&quot;00EC24B6&quot;/&gt;&lt;wsp:rsid wsp:val=&quot;00EC258A&quot;/&gt;&lt;wsp:rsid wsp:val=&quot;00EC2E68&quot;/&gt;&lt;wsp:rsid wsp:val=&quot;00EC30D2&quot;/&gt;&lt;wsp:rsid wsp:val=&quot;00EC3137&quot;/&gt;&lt;wsp:rsid wsp:val=&quot;00EC3281&quot;/&gt;&lt;wsp:rsid wsp:val=&quot;00EC3534&quot;/&gt;&lt;wsp:rsid wsp:val=&quot;00EC35E6&quot;/&gt;&lt;wsp:rsid wsp:val=&quot;00EC37A9&quot;/&gt;&lt;wsp:rsid wsp:val=&quot;00EC3917&quot;/&gt;&lt;wsp:rsid wsp:val=&quot;00EC3C86&quot;/&gt;&lt;wsp:rsid wsp:val=&quot;00EC3CDB&quot;/&gt;&lt;wsp:rsid wsp:val=&quot;00EC3E3A&quot;/&gt;&lt;wsp:rsid wsp:val=&quot;00EC3ED8&quot;/&gt;&lt;wsp:rsid wsp:val=&quot;00EC406A&quot;/&gt;&lt;wsp:rsid wsp:val=&quot;00EC41C0&quot;/&gt;&lt;wsp:rsid wsp:val=&quot;00EC4630&quot;/&gt;&lt;wsp:rsid wsp:val=&quot;00EC488F&quot;/&gt;&lt;wsp:rsid wsp:val=&quot;00EC4948&quot;/&gt;&lt;wsp:rsid wsp:val=&quot;00EC4D11&quot;/&gt;&lt;wsp:rsid wsp:val=&quot;00EC4E0A&quot;/&gt;&lt;wsp:rsid wsp:val=&quot;00EC4FCC&quot;/&gt;&lt;wsp:rsid wsp:val=&quot;00EC526C&quot;/&gt;&lt;wsp:rsid wsp:val=&quot;00EC5340&quot;/&gt;&lt;wsp:rsid wsp:val=&quot;00EC552C&quot;/&gt;&lt;wsp:rsid wsp:val=&quot;00EC5AF0&quot;/&gt;&lt;wsp:rsid wsp:val=&quot;00EC5CCD&quot;/&gt;&lt;wsp:rsid wsp:val=&quot;00EC620C&quot;/&gt;&lt;wsp:rsid wsp:val=&quot;00EC622D&quot;/&gt;&lt;wsp:rsid wsp:val=&quot;00EC64E5&quot;/&gt;&lt;wsp:rsid wsp:val=&quot;00EC65A3&quot;/&gt;&lt;wsp:rsid wsp:val=&quot;00EC67A3&quot;/&gt;&lt;wsp:rsid wsp:val=&quot;00EC6CE1&quot;/&gt;&lt;wsp:rsid wsp:val=&quot;00EC6EA9&quot;/&gt;&lt;wsp:rsid wsp:val=&quot;00EC79E7&quot;/&gt;&lt;wsp:rsid wsp:val=&quot;00EC7D0E&quot;/&gt;&lt;wsp:rsid wsp:val=&quot;00EC7D87&quot;/&gt;&lt;wsp:rsid wsp:val=&quot;00ED0029&quot;/&gt;&lt;wsp:rsid wsp:val=&quot;00ED066B&quot;/&gt;&lt;wsp:rsid wsp:val=&quot;00ED0719&quot;/&gt;&lt;wsp:rsid wsp:val=&quot;00ED0794&quot;/&gt;&lt;wsp:rsid wsp:val=&quot;00ED0AFD&quot;/&gt;&lt;wsp:rsid wsp:val=&quot;00ED0B6C&quot;/&gt;&lt;wsp:rsid wsp:val=&quot;00ED0CD1&quot;/&gt;&lt;wsp:rsid wsp:val=&quot;00ED0DDD&quot;/&gt;&lt;wsp:rsid wsp:val=&quot;00ED0F55&quot;/&gt;&lt;wsp:rsid wsp:val=&quot;00ED0F5F&quot;/&gt;&lt;wsp:rsid wsp:val=&quot;00ED1143&quot;/&gt;&lt;wsp:rsid wsp:val=&quot;00ED1564&quot;/&gt;&lt;wsp:rsid wsp:val=&quot;00ED15AC&quot;/&gt;&lt;wsp:rsid wsp:val=&quot;00ED1AE0&quot;/&gt;&lt;wsp:rsid wsp:val=&quot;00ED1DF6&quot;/&gt;&lt;wsp:rsid wsp:val=&quot;00ED1F02&quot;/&gt;&lt;wsp:rsid wsp:val=&quot;00ED2134&quot;/&gt;&lt;wsp:rsid wsp:val=&quot;00ED2159&quot;/&gt;&lt;wsp:rsid wsp:val=&quot;00ED2298&quot;/&gt;&lt;wsp:rsid wsp:val=&quot;00ED231B&quot;/&gt;&lt;wsp:rsid wsp:val=&quot;00ED25FC&quot;/&gt;&lt;wsp:rsid wsp:val=&quot;00ED2B29&quot;/&gt;&lt;wsp:rsid wsp:val=&quot;00ED2C74&quot;/&gt;&lt;wsp:rsid wsp:val=&quot;00ED2E32&quot;/&gt;&lt;wsp:rsid wsp:val=&quot;00ED2E52&quot;/&gt;&lt;wsp:rsid wsp:val=&quot;00ED3364&quot;/&gt;&lt;wsp:rsid wsp:val=&quot;00ED3396&quot;/&gt;&lt;wsp:rsid wsp:val=&quot;00ED3797&quot;/&gt;&lt;wsp:rsid wsp:val=&quot;00ED3B48&quot;/&gt;&lt;wsp:rsid wsp:val=&quot;00ED3B6A&quot;/&gt;&lt;wsp:rsid wsp:val=&quot;00ED3DEA&quot;/&gt;&lt;wsp:rsid wsp:val=&quot;00ED3EB7&quot;/&gt;&lt;wsp:rsid wsp:val=&quot;00ED3FEF&quot;/&gt;&lt;wsp:rsid wsp:val=&quot;00ED43FA&quot;/&gt;&lt;wsp:rsid wsp:val=&quot;00ED4533&quot;/&gt;&lt;wsp:rsid wsp:val=&quot;00ED47C1&quot;/&gt;&lt;wsp:rsid wsp:val=&quot;00ED4DC9&quot;/&gt;&lt;wsp:rsid wsp:val=&quot;00ED4E13&quot;/&gt;&lt;wsp:rsid wsp:val=&quot;00ED4F08&quot;/&gt;&lt;wsp:rsid wsp:val=&quot;00ED51BE&quot;/&gt;&lt;wsp:rsid wsp:val=&quot;00ED52CA&quot;/&gt;&lt;wsp:rsid wsp:val=&quot;00ED579A&quot;/&gt;&lt;wsp:rsid wsp:val=&quot;00ED5A99&quot;/&gt;&lt;wsp:rsid wsp:val=&quot;00ED5AE3&quot;/&gt;&lt;wsp:rsid wsp:val=&quot;00ED5BB9&quot;/&gt;&lt;wsp:rsid wsp:val=&quot;00ED5C3D&quot;/&gt;&lt;wsp:rsid wsp:val=&quot;00ED5EED&quot;/&gt;&lt;wsp:rsid wsp:val=&quot;00ED61F5&quot;/&gt;&lt;wsp:rsid wsp:val=&quot;00ED67B4&quot;/&gt;&lt;wsp:rsid wsp:val=&quot;00ED6891&quot;/&gt;&lt;wsp:rsid wsp:val=&quot;00ED6C1C&quot;/&gt;&lt;wsp:rsid wsp:val=&quot;00ED6CFC&quot;/&gt;&lt;wsp:rsid wsp:val=&quot;00ED6D05&quot;/&gt;&lt;wsp:rsid wsp:val=&quot;00ED6E4B&quot;/&gt;&lt;wsp:rsid wsp:val=&quot;00ED6E63&quot;/&gt;&lt;wsp:rsid wsp:val=&quot;00ED6F1F&quot;/&gt;&lt;wsp:rsid wsp:val=&quot;00ED7081&quot;/&gt;&lt;wsp:rsid wsp:val=&quot;00ED72EA&quot;/&gt;&lt;wsp:rsid wsp:val=&quot;00ED7429&quot;/&gt;&lt;wsp:rsid wsp:val=&quot;00ED746C&quot;/&gt;&lt;wsp:rsid wsp:val=&quot;00ED752E&quot;/&gt;&lt;wsp:rsid wsp:val=&quot;00ED768D&quot;/&gt;&lt;wsp:rsid wsp:val=&quot;00ED78B3&quot;/&gt;&lt;wsp:rsid wsp:val=&quot;00ED7B46&quot;/&gt;&lt;wsp:rsid wsp:val=&quot;00ED7F5C&quot;/&gt;&lt;wsp:rsid wsp:val=&quot;00EE0473&quot;/&gt;&lt;wsp:rsid wsp:val=&quot;00EE0741&quot;/&gt;&lt;wsp:rsid wsp:val=&quot;00EE0BC6&quot;/&gt;&lt;wsp:rsid wsp:val=&quot;00EE0CC6&quot;/&gt;&lt;wsp:rsid wsp:val=&quot;00EE0D23&quot;/&gt;&lt;wsp:rsid wsp:val=&quot;00EE0FDC&quot;/&gt;&lt;wsp:rsid wsp:val=&quot;00EE11A3&quot;/&gt;&lt;wsp:rsid wsp:val=&quot;00EE12A9&quot;/&gt;&lt;wsp:rsid wsp:val=&quot;00EE13A8&quot;/&gt;&lt;wsp:rsid wsp:val=&quot;00EE1A75&quot;/&gt;&lt;wsp:rsid wsp:val=&quot;00EE1B26&quot;/&gt;&lt;wsp:rsid wsp:val=&quot;00EE1B8A&quot;/&gt;&lt;wsp:rsid wsp:val=&quot;00EE1C2B&quot;/&gt;&lt;wsp:rsid wsp:val=&quot;00EE1DBA&quot;/&gt;&lt;wsp:rsid wsp:val=&quot;00EE1DDA&quot;/&gt;&lt;wsp:rsid wsp:val=&quot;00EE1E4B&quot;/&gt;&lt;wsp:rsid wsp:val=&quot;00EE2A21&quot;/&gt;&lt;wsp:rsid wsp:val=&quot;00EE2AB4&quot;/&gt;&lt;wsp:rsid wsp:val=&quot;00EE2B2B&quot;/&gt;&lt;wsp:rsid wsp:val=&quot;00EE2EC3&quot;/&gt;&lt;wsp:rsid wsp:val=&quot;00EE34BE&quot;/&gt;&lt;wsp:rsid wsp:val=&quot;00EE36AC&quot;/&gt;&lt;wsp:rsid wsp:val=&quot;00EE36B6&quot;/&gt;&lt;wsp:rsid wsp:val=&quot;00EE3A5B&quot;/&gt;&lt;wsp:rsid wsp:val=&quot;00EE3C15&quot;/&gt;&lt;wsp:rsid wsp:val=&quot;00EE3D9B&quot;/&gt;&lt;wsp:rsid wsp:val=&quot;00EE3DA1&quot;/&gt;&lt;wsp:rsid wsp:val=&quot;00EE3E5A&quot;/&gt;&lt;wsp:rsid wsp:val=&quot;00EE3F23&quot;/&gt;&lt;wsp:rsid wsp:val=&quot;00EE3FC6&quot;/&gt;&lt;wsp:rsid wsp:val=&quot;00EE4130&quot;/&gt;&lt;wsp:rsid wsp:val=&quot;00EE4E8A&quot;/&gt;&lt;wsp:rsid wsp:val=&quot;00EE4ED6&quot;/&gt;&lt;wsp:rsid wsp:val=&quot;00EE51E6&quot;/&gt;&lt;wsp:rsid wsp:val=&quot;00EE5306&quot;/&gt;&lt;wsp:rsid wsp:val=&quot;00EE54F2&quot;/&gt;&lt;wsp:rsid wsp:val=&quot;00EE56AE&quot;/&gt;&lt;wsp:rsid wsp:val=&quot;00EE58CC&quot;/&gt;&lt;wsp:rsid wsp:val=&quot;00EE5B93&quot;/&gt;&lt;wsp:rsid wsp:val=&quot;00EE5DA6&quot;/&gt;&lt;wsp:rsid wsp:val=&quot;00EE60C0&quot;/&gt;&lt;wsp:rsid wsp:val=&quot;00EE6132&quot;/&gt;&lt;wsp:rsid wsp:val=&quot;00EE65A3&quot;/&gt;&lt;wsp:rsid wsp:val=&quot;00EE65DF&quot;/&gt;&lt;wsp:rsid wsp:val=&quot;00EE6602&quot;/&gt;&lt;wsp:rsid wsp:val=&quot;00EE6775&quot;/&gt;&lt;wsp:rsid wsp:val=&quot;00EE688E&quot;/&gt;&lt;wsp:rsid wsp:val=&quot;00EE6C2F&quot;/&gt;&lt;wsp:rsid wsp:val=&quot;00EE6CC0&quot;/&gt;&lt;wsp:rsid wsp:val=&quot;00EE6D3C&quot;/&gt;&lt;wsp:rsid wsp:val=&quot;00EE6EE0&quot;/&gt;&lt;wsp:rsid wsp:val=&quot;00EE6FB9&quot;/&gt;&lt;wsp:rsid wsp:val=&quot;00EE7111&quot;/&gt;&lt;wsp:rsid wsp:val=&quot;00EE7140&quot;/&gt;&lt;wsp:rsid wsp:val=&quot;00EE71B6&quot;/&gt;&lt;wsp:rsid wsp:val=&quot;00EE727A&quot;/&gt;&lt;wsp:rsid wsp:val=&quot;00EE72C6&quot;/&gt;&lt;wsp:rsid wsp:val=&quot;00EE73AE&quot;/&gt;&lt;wsp:rsid wsp:val=&quot;00EE7474&quot;/&gt;&lt;wsp:rsid wsp:val=&quot;00EE769C&quot;/&gt;&lt;wsp:rsid wsp:val=&quot;00EE76EC&quot;/&gt;&lt;wsp:rsid wsp:val=&quot;00EE797A&quot;/&gt;&lt;wsp:rsid wsp:val=&quot;00EF006F&quot;/&gt;&lt;wsp:rsid wsp:val=&quot;00EF0137&quot;/&gt;&lt;wsp:rsid wsp:val=&quot;00EF01FE&quot;/&gt;&lt;wsp:rsid wsp:val=&quot;00EF0451&quot;/&gt;&lt;wsp:rsid wsp:val=&quot;00EF0500&quot;/&gt;&lt;wsp:rsid wsp:val=&quot;00EF0671&quot;/&gt;&lt;wsp:rsid wsp:val=&quot;00EF06C2&quot;/&gt;&lt;wsp:rsid wsp:val=&quot;00EF09DB&quot;/&gt;&lt;wsp:rsid wsp:val=&quot;00EF0B0A&quot;/&gt;&lt;wsp:rsid wsp:val=&quot;00EF0C12&quot;/&gt;&lt;wsp:rsid wsp:val=&quot;00EF0FB5&quot;/&gt;&lt;wsp:rsid wsp:val=&quot;00EF1325&quot;/&gt;&lt;wsp:rsid wsp:val=&quot;00EF139A&quot;/&gt;&lt;wsp:rsid wsp:val=&quot;00EF15E6&quot;/&gt;&lt;wsp:rsid wsp:val=&quot;00EF1956&quot;/&gt;&lt;wsp:rsid wsp:val=&quot;00EF1B30&quot;/&gt;&lt;wsp:rsid wsp:val=&quot;00EF1B31&quot;/&gt;&lt;wsp:rsid wsp:val=&quot;00EF2350&quot;/&gt;&lt;wsp:rsid wsp:val=&quot;00EF236B&quot;/&gt;&lt;wsp:rsid wsp:val=&quot;00EF252D&quot;/&gt;&lt;wsp:rsid wsp:val=&quot;00EF2913&quot;/&gt;&lt;wsp:rsid wsp:val=&quot;00EF298E&quot;/&gt;&lt;wsp:rsid wsp:val=&quot;00EF2C30&quot;/&gt;&lt;wsp:rsid wsp:val=&quot;00EF2C9B&quot;/&gt;&lt;wsp:rsid wsp:val=&quot;00EF2E2A&quot;/&gt;&lt;wsp:rsid wsp:val=&quot;00EF315C&quot;/&gt;&lt;wsp:rsid wsp:val=&quot;00EF3266&quot;/&gt;&lt;wsp:rsid wsp:val=&quot;00EF32B1&quot;/&gt;&lt;wsp:rsid wsp:val=&quot;00EF3357&quot;/&gt;&lt;wsp:rsid wsp:val=&quot;00EF34BD&quot;/&gt;&lt;wsp:rsid wsp:val=&quot;00EF3CA6&quot;/&gt;&lt;wsp:rsid wsp:val=&quot;00EF4063&quot;/&gt;&lt;wsp:rsid wsp:val=&quot;00EF4193&quot;/&gt;&lt;wsp:rsid wsp:val=&quot;00EF424F&quot;/&gt;&lt;wsp:rsid wsp:val=&quot;00EF42A9&quot;/&gt;&lt;wsp:rsid wsp:val=&quot;00EF4518&quot;/&gt;&lt;wsp:rsid wsp:val=&quot;00EF460E&quot;/&gt;&lt;wsp:rsid wsp:val=&quot;00EF48D6&quot;/&gt;&lt;wsp:rsid wsp:val=&quot;00EF4908&quot;/&gt;&lt;wsp:rsid wsp:val=&quot;00EF4BA4&quot;/&gt;&lt;wsp:rsid wsp:val=&quot;00EF4D69&quot;/&gt;&lt;wsp:rsid wsp:val=&quot;00EF4DF2&quot;/&gt;&lt;wsp:rsid wsp:val=&quot;00EF5240&quot;/&gt;&lt;wsp:rsid wsp:val=&quot;00EF5355&quot;/&gt;&lt;wsp:rsid wsp:val=&quot;00EF5383&quot;/&gt;&lt;wsp:rsid wsp:val=&quot;00EF5547&quot;/&gt;&lt;wsp:rsid wsp:val=&quot;00EF56E8&quot;/&gt;&lt;wsp:rsid wsp:val=&quot;00EF65CD&quot;/&gt;&lt;wsp:rsid wsp:val=&quot;00EF6601&quot;/&gt;&lt;wsp:rsid wsp:val=&quot;00EF66A0&quot;/&gt;&lt;wsp:rsid wsp:val=&quot;00EF69D1&quot;/&gt;&lt;wsp:rsid wsp:val=&quot;00EF6A73&quot;/&gt;&lt;wsp:rsid wsp:val=&quot;00EF6DA2&quot;/&gt;&lt;wsp:rsid wsp:val=&quot;00EF70A7&quot;/&gt;&lt;wsp:rsid wsp:val=&quot;00EF73A4&quot;/&gt;&lt;wsp:rsid wsp:val=&quot;00EF73C1&quot;/&gt;&lt;wsp:rsid wsp:val=&quot;00EF76E6&quot;/&gt;&lt;wsp:rsid wsp:val=&quot;00EF7ADF&quot;/&gt;&lt;wsp:rsid wsp:val=&quot;00EF7CCC&quot;/&gt;&lt;wsp:rsid wsp:val=&quot;00EF7DAB&quot;/&gt;&lt;wsp:rsid wsp:val=&quot;00EF7E63&quot;/&gt;&lt;wsp:rsid wsp:val=&quot;00EF7EDB&quot;/&gt;&lt;wsp:rsid wsp:val=&quot;00F00095&quot;/&gt;&lt;wsp:rsid wsp:val=&quot;00F000B7&quot;/&gt;&lt;wsp:rsid wsp:val=&quot;00F00231&quot;/&gt;&lt;wsp:rsid wsp:val=&quot;00F00278&quot;/&gt;&lt;wsp:rsid wsp:val=&quot;00F002FB&quot;/&gt;&lt;wsp:rsid wsp:val=&quot;00F003E8&quot;/&gt;&lt;wsp:rsid wsp:val=&quot;00F006F9&quot;/&gt;&lt;wsp:rsid wsp:val=&quot;00F00F5D&quot;/&gt;&lt;wsp:rsid wsp:val=&quot;00F00FF4&quot;/&gt;&lt;wsp:rsid wsp:val=&quot;00F01024&quot;/&gt;&lt;wsp:rsid wsp:val=&quot;00F015B2&quot;/&gt;&lt;wsp:rsid wsp:val=&quot;00F01C57&quot;/&gt;&lt;wsp:rsid wsp:val=&quot;00F0218D&quot;/&gt;&lt;wsp:rsid wsp:val=&quot;00F023E7&quot;/&gt;&lt;wsp:rsid wsp:val=&quot;00F02618&quot;/&gt;&lt;wsp:rsid wsp:val=&quot;00F02749&quot;/&gt;&lt;wsp:rsid wsp:val=&quot;00F02928&quot;/&gt;&lt;wsp:rsid wsp:val=&quot;00F02C8A&quot;/&gt;&lt;wsp:rsid wsp:val=&quot;00F02DBA&quot;/&gt;&lt;wsp:rsid wsp:val=&quot;00F02F06&quot;/&gt;&lt;wsp:rsid wsp:val=&quot;00F03345&quot;/&gt;&lt;wsp:rsid wsp:val=&quot;00F033B2&quot;/&gt;&lt;wsp:rsid wsp:val=&quot;00F0383F&quot;/&gt;&lt;wsp:rsid wsp:val=&quot;00F03B5F&quot;/&gt;&lt;wsp:rsid wsp:val=&quot;00F0407D&quot;/&gt;&lt;wsp:rsid wsp:val=&quot;00F04705&quot;/&gt;&lt;wsp:rsid wsp:val=&quot;00F04FFA&quot;/&gt;&lt;wsp:rsid wsp:val=&quot;00F0508A&quot;/&gt;&lt;wsp:rsid wsp:val=&quot;00F051A5&quot;/&gt;&lt;wsp:rsid wsp:val=&quot;00F05295&quot;/&gt;&lt;wsp:rsid wsp:val=&quot;00F05353&quot;/&gt;&lt;wsp:rsid wsp:val=&quot;00F05366&quot;/&gt;&lt;wsp:rsid wsp:val=&quot;00F054DE&quot;/&gt;&lt;wsp:rsid wsp:val=&quot;00F0558D&quot;/&gt;&lt;wsp:rsid wsp:val=&quot;00F05609&quot;/&gt;&lt;wsp:rsid wsp:val=&quot;00F05A7F&quot;/&gt;&lt;wsp:rsid wsp:val=&quot;00F05E38&quot;/&gt;&lt;wsp:rsid wsp:val=&quot;00F06327&quot;/&gt;&lt;wsp:rsid wsp:val=&quot;00F064B4&quot;/&gt;&lt;wsp:rsid wsp:val=&quot;00F064D0&quot;/&gt;&lt;wsp:rsid wsp:val=&quot;00F0663C&quot;/&gt;&lt;wsp:rsid wsp:val=&quot;00F06C8D&quot;/&gt;&lt;wsp:rsid wsp:val=&quot;00F06EC5&quot;/&gt;&lt;wsp:rsid wsp:val=&quot;00F071F1&quot;/&gt;&lt;wsp:rsid wsp:val=&quot;00F07215&quot;/&gt;&lt;wsp:rsid wsp:val=&quot;00F077B3&quot;/&gt;&lt;wsp:rsid wsp:val=&quot;00F07B5D&quot;/&gt;&lt;wsp:rsid wsp:val=&quot;00F07E5C&quot;/&gt;&lt;wsp:rsid wsp:val=&quot;00F102B1&quot;/&gt;&lt;wsp:rsid wsp:val=&quot;00F1032A&quot;/&gt;&lt;wsp:rsid wsp:val=&quot;00F1080D&quot;/&gt;&lt;wsp:rsid wsp:val=&quot;00F1131B&quot;/&gt;&lt;wsp:rsid wsp:val=&quot;00F11959&quot;/&gt;&lt;wsp:rsid wsp:val=&quot;00F11BEA&quot;/&gt;&lt;wsp:rsid wsp:val=&quot;00F11E99&quot;/&gt;&lt;wsp:rsid wsp:val=&quot;00F11F90&quot;/&gt;&lt;wsp:rsid wsp:val=&quot;00F120EC&quot;/&gt;&lt;wsp:rsid wsp:val=&quot;00F122F0&quot;/&gt;&lt;wsp:rsid wsp:val=&quot;00F1230D&quot;/&gt;&lt;wsp:rsid wsp:val=&quot;00F1243B&quot;/&gt;&lt;wsp:rsid wsp:val=&quot;00F124C2&quot;/&gt;&lt;wsp:rsid wsp:val=&quot;00F12708&quot;/&gt;&lt;wsp:rsid wsp:val=&quot;00F1291E&quot;/&gt;&lt;wsp:rsid wsp:val=&quot;00F12A6D&quot;/&gt;&lt;wsp:rsid wsp:val=&quot;00F12CBD&quot;/&gt;&lt;wsp:rsid wsp:val=&quot;00F12D4C&quot;/&gt;&lt;wsp:rsid wsp:val=&quot;00F12FBC&quot;/&gt;&lt;wsp:rsid wsp:val=&quot;00F131D6&quot;/&gt;&lt;wsp:rsid wsp:val=&quot;00F13947&quot;/&gt;&lt;wsp:rsid wsp:val=&quot;00F139F8&quot;/&gt;&lt;wsp:rsid wsp:val=&quot;00F13BD7&quot;/&gt;&lt;wsp:rsid wsp:val=&quot;00F13C15&quot;/&gt;&lt;wsp:rsid wsp:val=&quot;00F13F0F&quot;/&gt;&lt;wsp:rsid wsp:val=&quot;00F14728&quot;/&gt;&lt;wsp:rsid wsp:val=&quot;00F147C3&quot;/&gt;&lt;wsp:rsid wsp:val=&quot;00F14BBB&quot;/&gt;&lt;wsp:rsid wsp:val=&quot;00F14BC2&quot;/&gt;&lt;wsp:rsid wsp:val=&quot;00F15234&quot;/&gt;&lt;wsp:rsid wsp:val=&quot;00F1524D&quot;/&gt;&lt;wsp:rsid wsp:val=&quot;00F157FE&quot;/&gt;&lt;wsp:rsid wsp:val=&quot;00F158F6&quot;/&gt;&lt;wsp:rsid wsp:val=&quot;00F15B31&quot;/&gt;&lt;wsp:rsid wsp:val=&quot;00F15B9F&quot;/&gt;&lt;wsp:rsid wsp:val=&quot;00F15DD8&quot;/&gt;&lt;wsp:rsid wsp:val=&quot;00F161CB&quot;/&gt;&lt;wsp:rsid wsp:val=&quot;00F16634&quot;/&gt;&lt;wsp:rsid wsp:val=&quot;00F16855&quot;/&gt;&lt;wsp:rsid wsp:val=&quot;00F17972&quot;/&gt;&lt;wsp:rsid wsp:val=&quot;00F17BFC&quot;/&gt;&lt;wsp:rsid wsp:val=&quot;00F17D45&quot;/&gt;&lt;wsp:rsid wsp:val=&quot;00F17EBE&quot;/&gt;&lt;wsp:rsid wsp:val=&quot;00F201FC&quot;/&gt;&lt;wsp:rsid wsp:val=&quot;00F2066B&quot;/&gt;&lt;wsp:rsid wsp:val=&quot;00F206B9&quot;/&gt;&lt;wsp:rsid wsp:val=&quot;00F206E8&quot;/&gt;&lt;wsp:rsid wsp:val=&quot;00F208FF&quot;/&gt;&lt;wsp:rsid wsp:val=&quot;00F20A9F&quot;/&gt;&lt;wsp:rsid wsp:val=&quot;00F20B55&quot;/&gt;&lt;wsp:rsid wsp:val=&quot;00F20C09&quot;/&gt;&lt;wsp:rsid wsp:val=&quot;00F2126C&quot;/&gt;&lt;wsp:rsid wsp:val=&quot;00F213EA&quot;/&gt;&lt;wsp:rsid wsp:val=&quot;00F213FB&quot;/&gt;&lt;wsp:rsid wsp:val=&quot;00F215E8&quot;/&gt;&lt;wsp:rsid wsp:val=&quot;00F2189B&quot;/&gt;&lt;wsp:rsid wsp:val=&quot;00F21A57&quot;/&gt;&lt;wsp:rsid wsp:val=&quot;00F2205F&quot;/&gt;&lt;wsp:rsid wsp:val=&quot;00F2243D&quot;/&gt;&lt;wsp:rsid wsp:val=&quot;00F22779&quot;/&gt;&lt;wsp:rsid wsp:val=&quot;00F2279E&quot;/&gt;&lt;wsp:rsid wsp:val=&quot;00F22824&quot;/&gt;&lt;wsp:rsid wsp:val=&quot;00F22BA8&quot;/&gt;&lt;wsp:rsid wsp:val=&quot;00F22D84&quot;/&gt;&lt;wsp:rsid wsp:val=&quot;00F23289&quot;/&gt;&lt;wsp:rsid wsp:val=&quot;00F2349C&quot;/&gt;&lt;wsp:rsid wsp:val=&quot;00F2353D&quot;/&gt;&lt;wsp:rsid wsp:val=&quot;00F236C2&quot;/&gt;&lt;wsp:rsid wsp:val=&quot;00F23724&quot;/&gt;&lt;wsp:rsid wsp:val=&quot;00F23777&quot;/&gt;&lt;wsp:rsid wsp:val=&quot;00F23B41&quot;/&gt;&lt;wsp:rsid wsp:val=&quot;00F242C2&quot;/&gt;&lt;wsp:rsid wsp:val=&quot;00F248C5&quot;/&gt;&lt;wsp:rsid wsp:val=&quot;00F249F4&quot;/&gt;&lt;wsp:rsid wsp:val=&quot;00F24BC4&quot;/&gt;&lt;wsp:rsid wsp:val=&quot;00F24C48&quot;/&gt;&lt;wsp:rsid wsp:val=&quot;00F24DB8&quot;/&gt;&lt;wsp:rsid wsp:val=&quot;00F24DEC&quot;/&gt;&lt;wsp:rsid wsp:val=&quot;00F2503D&quot;/&gt;&lt;wsp:rsid wsp:val=&quot;00F251D3&quot;/&gt;&lt;wsp:rsid wsp:val=&quot;00F2546D&quot;/&gt;&lt;wsp:rsid wsp:val=&quot;00F259AA&quot;/&gt;&lt;wsp:rsid wsp:val=&quot;00F2608B&quot;/&gt;&lt;wsp:rsid wsp:val=&quot;00F2614F&quot;/&gt;&lt;wsp:rsid wsp:val=&quot;00F262F3&quot;/&gt;&lt;wsp:rsid wsp:val=&quot;00F263A7&quot;/&gt;&lt;wsp:rsid wsp:val=&quot;00F265AB&quot;/&gt;&lt;wsp:rsid wsp:val=&quot;00F2665F&quot;/&gt;&lt;wsp:rsid wsp:val=&quot;00F26B1E&quot;/&gt;&lt;wsp:rsid wsp:val=&quot;00F26E41&quot;/&gt;&lt;wsp:rsid wsp:val=&quot;00F26E93&quot;/&gt;&lt;wsp:rsid wsp:val=&quot;00F26F3B&quot;/&gt;&lt;wsp:rsid wsp:val=&quot;00F26F6C&quot;/&gt;&lt;wsp:rsid wsp:val=&quot;00F26F71&quot;/&gt;&lt;wsp:rsid wsp:val=&quot;00F26FA0&quot;/&gt;&lt;wsp:rsid wsp:val=&quot;00F27128&quot;/&gt;&lt;wsp:rsid wsp:val=&quot;00F271E3&quot;/&gt;&lt;wsp:rsid wsp:val=&quot;00F272EE&quot;/&gt;&lt;wsp:rsid wsp:val=&quot;00F273F1&quot;/&gt;&lt;wsp:rsid wsp:val=&quot;00F273FA&quot;/&gt;&lt;wsp:rsid wsp:val=&quot;00F27564&quot;/&gt;&lt;wsp:rsid wsp:val=&quot;00F278AB&quot;/&gt;&lt;wsp:rsid wsp:val=&quot;00F27A12&quot;/&gt;&lt;wsp:rsid wsp:val=&quot;00F27C1C&quot;/&gt;&lt;wsp:rsid wsp:val=&quot;00F27D03&quot;/&gt;&lt;wsp:rsid wsp:val=&quot;00F300E0&quot;/&gt;&lt;wsp:rsid wsp:val=&quot;00F3047B&quot;/&gt;&lt;wsp:rsid wsp:val=&quot;00F3055B&quot;/&gt;&lt;wsp:rsid wsp:val=&quot;00F3097E&quot;/&gt;&lt;wsp:rsid wsp:val=&quot;00F309E1&quot;/&gt;&lt;wsp:rsid wsp:val=&quot;00F30BDD&quot;/&gt;&lt;wsp:rsid wsp:val=&quot;00F30D75&quot;/&gt;&lt;wsp:rsid wsp:val=&quot;00F30EF5&quot;/&gt;&lt;wsp:rsid wsp:val=&quot;00F310D2&quot;/&gt;&lt;wsp:rsid wsp:val=&quot;00F31797&quot;/&gt;&lt;wsp:rsid wsp:val=&quot;00F317CF&quot;/&gt;&lt;wsp:rsid wsp:val=&quot;00F31835&quot;/&gt;&lt;wsp:rsid wsp:val=&quot;00F3192D&quot;/&gt;&lt;wsp:rsid wsp:val=&quot;00F31987&quot;/&gt;&lt;wsp:rsid wsp:val=&quot;00F31A39&quot;/&gt;&lt;wsp:rsid wsp:val=&quot;00F31E3F&quot;/&gt;&lt;wsp:rsid wsp:val=&quot;00F32009&quot;/&gt;&lt;wsp:rsid wsp:val=&quot;00F32241&quot;/&gt;&lt;wsp:rsid wsp:val=&quot;00F323E2&quot;/&gt;&lt;wsp:rsid wsp:val=&quot;00F32C34&quot;/&gt;&lt;wsp:rsid wsp:val=&quot;00F32D60&quot;/&gt;&lt;wsp:rsid wsp:val=&quot;00F332CF&quot;/&gt;&lt;wsp:rsid wsp:val=&quot;00F33337&quot;/&gt;&lt;wsp:rsid wsp:val=&quot;00F33422&quot;/&gt;&lt;wsp:rsid wsp:val=&quot;00F33A63&quot;/&gt;&lt;wsp:rsid wsp:val=&quot;00F33E98&quot;/&gt;&lt;wsp:rsid wsp:val=&quot;00F3420A&quot;/&gt;&lt;wsp:rsid wsp:val=&quot;00F34240&quot;/&gt;&lt;wsp:rsid wsp:val=&quot;00F34335&quot;/&gt;&lt;wsp:rsid wsp:val=&quot;00F3479B&quot;/&gt;&lt;wsp:rsid wsp:val=&quot;00F349B9&quot;/&gt;&lt;wsp:rsid wsp:val=&quot;00F34D8E&quot;/&gt;&lt;wsp:rsid wsp:val=&quot;00F34EF5&quot;/&gt;&lt;wsp:rsid wsp:val=&quot;00F34FA8&quot;/&gt;&lt;wsp:rsid wsp:val=&quot;00F34FFC&quot;/&gt;&lt;wsp:rsid wsp:val=&quot;00F3529B&quot;/&gt;&lt;wsp:rsid wsp:val=&quot;00F352C8&quot;/&gt;&lt;wsp:rsid wsp:val=&quot;00F357CF&quot;/&gt;&lt;wsp:rsid wsp:val=&quot;00F358C5&quot;/&gt;&lt;wsp:rsid wsp:val=&quot;00F359D9&quot;/&gt;&lt;wsp:rsid wsp:val=&quot;00F35A79&quot;/&gt;&lt;wsp:rsid wsp:val=&quot;00F35B35&quot;/&gt;&lt;wsp:rsid wsp:val=&quot;00F3635C&quot;/&gt;&lt;wsp:rsid wsp:val=&quot;00F363EE&quot;/&gt;&lt;wsp:rsid wsp:val=&quot;00F3642C&quot;/&gt;&lt;wsp:rsid wsp:val=&quot;00F365FB&quot;/&gt;&lt;wsp:rsid wsp:val=&quot;00F36688&quot;/&gt;&lt;wsp:rsid wsp:val=&quot;00F36E15&quot;/&gt;&lt;wsp:rsid wsp:val=&quot;00F370A2&quot;/&gt;&lt;wsp:rsid wsp:val=&quot;00F37109&quot;/&gt;&lt;wsp:rsid wsp:val=&quot;00F3730B&quot;/&gt;&lt;wsp:rsid wsp:val=&quot;00F37469&quot;/&gt;&lt;wsp:rsid wsp:val=&quot;00F3783E&quot;/&gt;&lt;wsp:rsid wsp:val=&quot;00F3796F&quot;/&gt;&lt;wsp:rsid wsp:val=&quot;00F402EF&quot;/&gt;&lt;wsp:rsid wsp:val=&quot;00F408C5&quot;/&gt;&lt;wsp:rsid wsp:val=&quot;00F40A8B&quot;/&gt;&lt;wsp:rsid wsp:val=&quot;00F40BB9&quot;/&gt;&lt;wsp:rsid wsp:val=&quot;00F4187A&quot;/&gt;&lt;wsp:rsid wsp:val=&quot;00F419D3&quot;/&gt;&lt;wsp:rsid wsp:val=&quot;00F419FB&quot;/&gt;&lt;wsp:rsid wsp:val=&quot;00F41CDF&quot;/&gt;&lt;wsp:rsid wsp:val=&quot;00F41CF9&quot;/&gt;&lt;wsp:rsid wsp:val=&quot;00F4245E&quot;/&gt;&lt;wsp:rsid wsp:val=&quot;00F4267E&quot;/&gt;&lt;wsp:rsid wsp:val=&quot;00F426F7&quot;/&gt;&lt;wsp:rsid wsp:val=&quot;00F4273E&quot;/&gt;&lt;wsp:rsid wsp:val=&quot;00F42A68&quot;/&gt;&lt;wsp:rsid wsp:val=&quot;00F42CF4&quot;/&gt;&lt;wsp:rsid wsp:val=&quot;00F42E66&quot;/&gt;&lt;wsp:rsid wsp:val=&quot;00F42E79&quot;/&gt;&lt;wsp:rsid wsp:val=&quot;00F42F10&quot;/&gt;&lt;wsp:rsid wsp:val=&quot;00F433B5&quot;/&gt;&lt;wsp:rsid wsp:val=&quot;00F434BA&quot;/&gt;&lt;wsp:rsid wsp:val=&quot;00F43545&quot;/&gt;&lt;wsp:rsid wsp:val=&quot;00F43598&quot;/&gt;&lt;wsp:rsid wsp:val=&quot;00F43999&quot;/&gt;&lt;wsp:rsid wsp:val=&quot;00F43EF8&quot;/&gt;&lt;wsp:rsid wsp:val=&quot;00F44220&quot;/&gt;&lt;wsp:rsid wsp:val=&quot;00F44358&quot;/&gt;&lt;wsp:rsid wsp:val=&quot;00F44461&quot;/&gt;&lt;wsp:rsid wsp:val=&quot;00F4449E&quot;/&gt;&lt;wsp:rsid wsp:val=&quot;00F449B0&quot;/&gt;&lt;wsp:rsid wsp:val=&quot;00F44C98&quot;/&gt;&lt;wsp:rsid wsp:val=&quot;00F44EC9&quot;/&gt;&lt;wsp:rsid wsp:val=&quot;00F44F47&quot;/&gt;&lt;wsp:rsid wsp:val=&quot;00F4531D&quot;/&gt;&lt;wsp:rsid wsp:val=&quot;00F45671&quot;/&gt;&lt;wsp:rsid wsp:val=&quot;00F45990&quot;/&gt;&lt;wsp:rsid wsp:val=&quot;00F459A5&quot;/&gt;&lt;wsp:rsid wsp:val=&quot;00F45A65&quot;/&gt;&lt;wsp:rsid wsp:val=&quot;00F45D87&quot;/&gt;&lt;wsp:rsid wsp:val=&quot;00F460ED&quot;/&gt;&lt;wsp:rsid wsp:val=&quot;00F4659E&quot;/&gt;&lt;wsp:rsid wsp:val=&quot;00F46727&quot;/&gt;&lt;wsp:rsid wsp:val=&quot;00F46BBB&quot;/&gt;&lt;wsp:rsid wsp:val=&quot;00F46D7A&quot;/&gt;&lt;wsp:rsid wsp:val=&quot;00F46DC9&quot;/&gt;&lt;wsp:rsid wsp:val=&quot;00F46E1A&quot;/&gt;&lt;wsp:rsid wsp:val=&quot;00F470C7&quot;/&gt;&lt;wsp:rsid wsp:val=&quot;00F470D6&quot;/&gt;&lt;wsp:rsid wsp:val=&quot;00F4778D&quot;/&gt;&lt;wsp:rsid wsp:val=&quot;00F47963&quot;/&gt;&lt;wsp:rsid wsp:val=&quot;00F47B85&quot;/&gt;&lt;wsp:rsid wsp:val=&quot;00F50278&quot;/&gt;&lt;wsp:rsid wsp:val=&quot;00F503F4&quot;/&gt;&lt;wsp:rsid wsp:val=&quot;00F5048F&quot;/&gt;&lt;wsp:rsid wsp:val=&quot;00F507F5&quot;/&gt;&lt;wsp:rsid wsp:val=&quot;00F50AD5&quot;/&gt;&lt;wsp:rsid wsp:val=&quot;00F50B35&quot;/&gt;&lt;wsp:rsid wsp:val=&quot;00F50D30&quot;/&gt;&lt;wsp:rsid wsp:val=&quot;00F50F2B&quot;/&gt;&lt;wsp:rsid wsp:val=&quot;00F50FCF&quot;/&gt;&lt;wsp:rsid wsp:val=&quot;00F511AC&quot;/&gt;&lt;wsp:rsid wsp:val=&quot;00F51405&quot;/&gt;&lt;wsp:rsid wsp:val=&quot;00F51674&quot;/&gt;&lt;wsp:rsid wsp:val=&quot;00F516CA&quot;/&gt;&lt;wsp:rsid wsp:val=&quot;00F51949&quot;/&gt;&lt;wsp:rsid wsp:val=&quot;00F51A36&quot;/&gt;&lt;wsp:rsid wsp:val=&quot;00F51AD5&quot;/&gt;&lt;wsp:rsid wsp:val=&quot;00F51BAA&quot;/&gt;&lt;wsp:rsid wsp:val=&quot;00F51D33&quot;/&gt;&lt;wsp:rsid wsp:val=&quot;00F51DA9&quot;/&gt;&lt;wsp:rsid wsp:val=&quot;00F51E0A&quot;/&gt;&lt;wsp:rsid wsp:val=&quot;00F5221F&quot;/&gt;&lt;wsp:rsid wsp:val=&quot;00F523BB&quot;/&gt;&lt;wsp:rsid wsp:val=&quot;00F5252E&quot;/&gt;&lt;wsp:rsid wsp:val=&quot;00F52540&quot;/&gt;&lt;wsp:rsid wsp:val=&quot;00F528E2&quot;/&gt;&lt;wsp:rsid wsp:val=&quot;00F52A75&quot;/&gt;&lt;wsp:rsid wsp:val=&quot;00F52AE4&quot;/&gt;&lt;wsp:rsid wsp:val=&quot;00F52CAE&quot;/&gt;&lt;wsp:rsid wsp:val=&quot;00F52EE0&quot;/&gt;&lt;wsp:rsid wsp:val=&quot;00F5309B&quot;/&gt;&lt;wsp:rsid wsp:val=&quot;00F53475&quot;/&gt;&lt;wsp:rsid wsp:val=&quot;00F53D1C&quot;/&gt;&lt;wsp:rsid wsp:val=&quot;00F53E7E&quot;/&gt;&lt;wsp:rsid wsp:val=&quot;00F54372&quot;/&gt;&lt;wsp:rsid wsp:val=&quot;00F543AE&quot;/&gt;&lt;wsp:rsid wsp:val=&quot;00F548A5&quot;/&gt;&lt;wsp:rsid wsp:val=&quot;00F54DE9&quot;/&gt;&lt;wsp:rsid wsp:val=&quot;00F55050&quot;/&gt;&lt;wsp:rsid wsp:val=&quot;00F551C3&quot;/&gt;&lt;wsp:rsid wsp:val=&quot;00F551F9&quot;/&gt;&lt;wsp:rsid wsp:val=&quot;00F559BD&quot;/&gt;&lt;wsp:rsid wsp:val=&quot;00F55A87&quot;/&gt;&lt;wsp:rsid wsp:val=&quot;00F55BE4&quot;/&gt;&lt;wsp:rsid wsp:val=&quot;00F55E83&quot;/&gt;&lt;wsp:rsid wsp:val=&quot;00F56589&quot;/&gt;&lt;wsp:rsid wsp:val=&quot;00F566CF&quot;/&gt;&lt;wsp:rsid wsp:val=&quot;00F56AD1&quot;/&gt;&lt;wsp:rsid wsp:val=&quot;00F56B73&quot;/&gt;&lt;wsp:rsid wsp:val=&quot;00F56EB2&quot;/&gt;&lt;wsp:rsid wsp:val=&quot;00F56F1A&quot;/&gt;&lt;wsp:rsid wsp:val=&quot;00F57349&quot;/&gt;&lt;wsp:rsid wsp:val=&quot;00F57431&quot;/&gt;&lt;wsp:rsid wsp:val=&quot;00F5761C&quot;/&gt;&lt;wsp:rsid wsp:val=&quot;00F577A5&quot;/&gt;&lt;wsp:rsid wsp:val=&quot;00F578D0&quot;/&gt;&lt;wsp:rsid wsp:val=&quot;00F57D61&quot;/&gt;&lt;wsp:rsid wsp:val=&quot;00F60238&quot;/&gt;&lt;wsp:rsid wsp:val=&quot;00F6033B&quot;/&gt;&lt;wsp:rsid wsp:val=&quot;00F6050B&quot;/&gt;&lt;wsp:rsid wsp:val=&quot;00F6073D&quot;/&gt;&lt;wsp:rsid wsp:val=&quot;00F60B99&quot;/&gt;&lt;wsp:rsid wsp:val=&quot;00F60D57&quot;/&gt;&lt;wsp:rsid wsp:val=&quot;00F60DE7&quot;/&gt;&lt;wsp:rsid wsp:val=&quot;00F61049&quot;/&gt;&lt;wsp:rsid wsp:val=&quot;00F6130A&quot;/&gt;&lt;wsp:rsid wsp:val=&quot;00F6154F&quot;/&gt;&lt;wsp:rsid wsp:val=&quot;00F618E3&quot;/&gt;&lt;wsp:rsid wsp:val=&quot;00F61B76&quot;/&gt;&lt;wsp:rsid wsp:val=&quot;00F61CCB&quot;/&gt;&lt;wsp:rsid wsp:val=&quot;00F61CE5&quot;/&gt;&lt;wsp:rsid wsp:val=&quot;00F61D93&quot;/&gt;&lt;wsp:rsid wsp:val=&quot;00F61EF0&quot;/&gt;&lt;wsp:rsid wsp:val=&quot;00F625B6&quot;/&gt;&lt;wsp:rsid wsp:val=&quot;00F62694&quot;/&gt;&lt;wsp:rsid wsp:val=&quot;00F6277C&quot;/&gt;&lt;wsp:rsid wsp:val=&quot;00F62859&quot;/&gt;&lt;wsp:rsid wsp:val=&quot;00F62A70&quot;/&gt;&lt;wsp:rsid wsp:val=&quot;00F62ABF&quot;/&gt;&lt;wsp:rsid wsp:val=&quot;00F62B05&quot;/&gt;&lt;wsp:rsid wsp:val=&quot;00F62BE2&quot;/&gt;&lt;wsp:rsid wsp:val=&quot;00F63118&quot;/&gt;&lt;wsp:rsid wsp:val=&quot;00F63198&quot;/&gt;&lt;wsp:rsid wsp:val=&quot;00F63E15&quot;/&gt;&lt;wsp:rsid wsp:val=&quot;00F63E2E&quot;/&gt;&lt;wsp:rsid wsp:val=&quot;00F643A7&quot;/&gt;&lt;wsp:rsid wsp:val=&quot;00F645B4&quot;/&gt;&lt;wsp:rsid wsp:val=&quot;00F64ED0&quot;/&gt;&lt;wsp:rsid wsp:val=&quot;00F64FCF&quot;/&gt;&lt;wsp:rsid wsp:val=&quot;00F65339&quot;/&gt;&lt;wsp:rsid wsp:val=&quot;00F6558F&quot;/&gt;&lt;wsp:rsid wsp:val=&quot;00F658D9&quot;/&gt;&lt;wsp:rsid wsp:val=&quot;00F65B0D&quot;/&gt;&lt;wsp:rsid wsp:val=&quot;00F65CD3&quot;/&gt;&lt;wsp:rsid wsp:val=&quot;00F65CE7&quot;/&gt;&lt;wsp:rsid wsp:val=&quot;00F6645E&quot;/&gt;&lt;wsp:rsid wsp:val=&quot;00F664B6&quot;/&gt;&lt;wsp:rsid wsp:val=&quot;00F664E1&quot;/&gt;&lt;wsp:rsid wsp:val=&quot;00F66598&quot;/&gt;&lt;wsp:rsid wsp:val=&quot;00F665AC&quot;/&gt;&lt;wsp:rsid wsp:val=&quot;00F666C9&quot;/&gt;&lt;wsp:rsid wsp:val=&quot;00F66A3F&quot;/&gt;&lt;wsp:rsid wsp:val=&quot;00F66B97&quot;/&gt;&lt;wsp:rsid wsp:val=&quot;00F66BFB&quot;/&gt;&lt;wsp:rsid wsp:val=&quot;00F66E19&quot;/&gt;&lt;wsp:rsid wsp:val=&quot;00F66E26&quot;/&gt;&lt;wsp:rsid wsp:val=&quot;00F66F68&quot;/&gt;&lt;wsp:rsid wsp:val=&quot;00F67096&quot;/&gt;&lt;wsp:rsid wsp:val=&quot;00F67515&quot;/&gt;&lt;wsp:rsid wsp:val=&quot;00F6775D&quot;/&gt;&lt;wsp:rsid wsp:val=&quot;00F677F3&quot;/&gt;&lt;wsp:rsid wsp:val=&quot;00F67DA5&quot;/&gt;&lt;wsp:rsid wsp:val=&quot;00F67E65&quot;/&gt;&lt;wsp:rsid wsp:val=&quot;00F67FBB&quot;/&gt;&lt;wsp:rsid wsp:val=&quot;00F70011&quot;/&gt;&lt;wsp:rsid wsp:val=&quot;00F7082B&quot;/&gt;&lt;wsp:rsid wsp:val=&quot;00F70A43&quot;/&gt;&lt;wsp:rsid wsp:val=&quot;00F70A49&quot;/&gt;&lt;wsp:rsid wsp:val=&quot;00F70A65&quot;/&gt;&lt;wsp:rsid wsp:val=&quot;00F713D6&quot;/&gt;&lt;wsp:rsid wsp:val=&quot;00F717EB&quot;/&gt;&lt;wsp:rsid wsp:val=&quot;00F71BF7&quot;/&gt;&lt;wsp:rsid wsp:val=&quot;00F71FB1&quot;/&gt;&lt;wsp:rsid wsp:val=&quot;00F71FC1&quot;/&gt;&lt;wsp:rsid wsp:val=&quot;00F71FE3&quot;/&gt;&lt;wsp:rsid wsp:val=&quot;00F72084&quot;/&gt;&lt;wsp:rsid wsp:val=&quot;00F72504&quot;/&gt;&lt;wsp:rsid wsp:val=&quot;00F72805&quot;/&gt;&lt;wsp:rsid wsp:val=&quot;00F729D3&quot;/&gt;&lt;wsp:rsid wsp:val=&quot;00F72F41&quot;/&gt;&lt;wsp:rsid wsp:val=&quot;00F72F62&quot;/&gt;&lt;wsp:rsid wsp:val=&quot;00F73090&quot;/&gt;&lt;wsp:rsid wsp:val=&quot;00F7313D&quot;/&gt;&lt;wsp:rsid wsp:val=&quot;00F732A3&quot;/&gt;&lt;wsp:rsid wsp:val=&quot;00F7387F&quot;/&gt;&lt;wsp:rsid wsp:val=&quot;00F7397B&quot;/&gt;&lt;wsp:rsid wsp:val=&quot;00F73A06&quot;/&gt;&lt;wsp:rsid wsp:val=&quot;00F73A68&quot;/&gt;&lt;wsp:rsid wsp:val=&quot;00F73D5F&quot;/&gt;&lt;wsp:rsid wsp:val=&quot;00F74266&quot;/&gt;&lt;wsp:rsid wsp:val=&quot;00F743C7&quot;/&gt;&lt;wsp:rsid wsp:val=&quot;00F744A6&quot;/&gt;&lt;wsp:rsid wsp:val=&quot;00F7459F&quot;/&gt;&lt;wsp:rsid wsp:val=&quot;00F74C18&quot;/&gt;&lt;wsp:rsid wsp:val=&quot;00F74D70&quot;/&gt;&lt;wsp:rsid wsp:val=&quot;00F74E64&quot;/&gt;&lt;wsp:rsid wsp:val=&quot;00F74FFB&quot;/&gt;&lt;wsp:rsid wsp:val=&quot;00F753BF&quot;/&gt;&lt;wsp:rsid wsp:val=&quot;00F75413&quot;/&gt;&lt;wsp:rsid wsp:val=&quot;00F7561E&quot;/&gt;&lt;wsp:rsid wsp:val=&quot;00F75BBF&quot;/&gt;&lt;wsp:rsid wsp:val=&quot;00F75C1E&quot;/&gt;&lt;wsp:rsid wsp:val=&quot;00F75D81&quot;/&gt;&lt;wsp:rsid wsp:val=&quot;00F761FD&quot;/&gt;&lt;wsp:rsid wsp:val=&quot;00F76286&quot;/&gt;&lt;wsp:rsid wsp:val=&quot;00F765BE&quot;/&gt;&lt;wsp:rsid wsp:val=&quot;00F76998&quot;/&gt;&lt;wsp:rsid wsp:val=&quot;00F76A15&quot;/&gt;&lt;wsp:rsid wsp:val=&quot;00F76A36&quot;/&gt;&lt;wsp:rsid wsp:val=&quot;00F76C44&quot;/&gt;&lt;wsp:rsid wsp:val=&quot;00F76EC9&quot;/&gt;&lt;wsp:rsid wsp:val=&quot;00F77081&quot;/&gt;&lt;wsp:rsid wsp:val=&quot;00F7716A&quot;/&gt;&lt;wsp:rsid wsp:val=&quot;00F771DB&quot;/&gt;&lt;wsp:rsid wsp:val=&quot;00F77310&quot;/&gt;&lt;wsp:rsid wsp:val=&quot;00F7743C&quot;/&gt;&lt;wsp:rsid wsp:val=&quot;00F7780C&quot;/&gt;&lt;wsp:rsid wsp:val=&quot;00F77839&quot;/&gt;&lt;wsp:rsid wsp:val=&quot;00F77AFA&quot;/&gt;&lt;wsp:rsid wsp:val=&quot;00F77B90&quot;/&gt;&lt;wsp:rsid wsp:val=&quot;00F77D3F&quot;/&gt;&lt;wsp:rsid wsp:val=&quot;00F8001B&quot;/&gt;&lt;wsp:rsid wsp:val=&quot;00F80035&quot;/&gt;&lt;wsp:rsid wsp:val=&quot;00F80307&quot;/&gt;&lt;wsp:rsid wsp:val=&quot;00F80472&quot;/&gt;&lt;wsp:rsid wsp:val=&quot;00F80A47&quot;/&gt;&lt;wsp:rsid wsp:val=&quot;00F80B4C&quot;/&gt;&lt;wsp:rsid wsp:val=&quot;00F80BBC&quot;/&gt;&lt;wsp:rsid wsp:val=&quot;00F81156&quot;/&gt;&lt;wsp:rsid wsp:val=&quot;00F812ED&quot;/&gt;&lt;wsp:rsid wsp:val=&quot;00F818DC&quot;/&gt;&lt;wsp:rsid wsp:val=&quot;00F81927&quot;/&gt;&lt;wsp:rsid wsp:val=&quot;00F81D7E&quot;/&gt;&lt;wsp:rsid wsp:val=&quot;00F81F54&quot;/&gt;&lt;wsp:rsid wsp:val=&quot;00F821B0&quot;/&gt;&lt;wsp:rsid wsp:val=&quot;00F82328&quot;/&gt;&lt;wsp:rsid wsp:val=&quot;00F828A1&quot;/&gt;&lt;wsp:rsid wsp:val=&quot;00F82B61&quot;/&gt;&lt;wsp:rsid wsp:val=&quot;00F82BF2&quot;/&gt;&lt;wsp:rsid wsp:val=&quot;00F82D8E&quot;/&gt;&lt;wsp:rsid wsp:val=&quot;00F830D9&quot;/&gt;&lt;wsp:rsid wsp:val=&quot;00F83261&quot;/&gt;&lt;wsp:rsid wsp:val=&quot;00F8327F&quot;/&gt;&lt;wsp:rsid wsp:val=&quot;00F83361&quot;/&gt;&lt;wsp:rsid wsp:val=&quot;00F833A7&quot;/&gt;&lt;wsp:rsid wsp:val=&quot;00F833A8&quot;/&gt;&lt;wsp:rsid wsp:val=&quot;00F8379D&quot;/&gt;&lt;wsp:rsid wsp:val=&quot;00F8384D&quot;/&gt;&lt;wsp:rsid wsp:val=&quot;00F83853&quot;/&gt;&lt;wsp:rsid wsp:val=&quot;00F83B96&quot;/&gt;&lt;wsp:rsid wsp:val=&quot;00F83C5C&quot;/&gt;&lt;wsp:rsid wsp:val=&quot;00F83D93&quot;/&gt;&lt;wsp:rsid wsp:val=&quot;00F8400E&quot;/&gt;&lt;wsp:rsid wsp:val=&quot;00F8403A&quot;/&gt;&lt;wsp:rsid wsp:val=&quot;00F84244&quot;/&gt;&lt;wsp:rsid wsp:val=&quot;00F8456E&quot;/&gt;&lt;wsp:rsid wsp:val=&quot;00F84576&quot;/&gt;&lt;wsp:rsid wsp:val=&quot;00F84702&quot;/&gt;&lt;wsp:rsid wsp:val=&quot;00F8484B&quot;/&gt;&lt;wsp:rsid wsp:val=&quot;00F848EA&quot;/&gt;&lt;wsp:rsid wsp:val=&quot;00F848F7&quot;/&gt;&lt;wsp:rsid wsp:val=&quot;00F84A25&quot;/&gt;&lt;wsp:rsid wsp:val=&quot;00F84CE5&quot;/&gt;&lt;wsp:rsid wsp:val=&quot;00F85473&quot;/&gt;&lt;wsp:rsid wsp:val=&quot;00F8566B&quot;/&gt;&lt;wsp:rsid wsp:val=&quot;00F857FE&quot;/&gt;&lt;wsp:rsid wsp:val=&quot;00F85A55&quot;/&gt;&lt;wsp:rsid wsp:val=&quot;00F85D6A&quot;/&gt;&lt;wsp:rsid wsp:val=&quot;00F85FCC&quot;/&gt;&lt;wsp:rsid wsp:val=&quot;00F85FFE&quot;/&gt;&lt;wsp:rsid wsp:val=&quot;00F8610B&quot;/&gt;&lt;wsp:rsid wsp:val=&quot;00F861B2&quot;/&gt;&lt;wsp:rsid wsp:val=&quot;00F8668B&quot;/&gt;&lt;wsp:rsid wsp:val=&quot;00F869E8&quot;/&gt;&lt;wsp:rsid wsp:val=&quot;00F872D4&quot;/&gt;&lt;wsp:rsid wsp:val=&quot;00F87413&quot;/&gt;&lt;wsp:rsid wsp:val=&quot;00F87629&quot;/&gt;&lt;wsp:rsid wsp:val=&quot;00F904F2&quot;/&gt;&lt;wsp:rsid wsp:val=&quot;00F9087B&quot;/&gt;&lt;wsp:rsid wsp:val=&quot;00F909BE&quot;/&gt;&lt;wsp:rsid wsp:val=&quot;00F90C6C&quot;/&gt;&lt;wsp:rsid wsp:val=&quot;00F90DDD&quot;/&gt;&lt;wsp:rsid wsp:val=&quot;00F90EAE&quot;/&gt;&lt;wsp:rsid wsp:val=&quot;00F910CC&quot;/&gt;&lt;wsp:rsid wsp:val=&quot;00F9137D&quot;/&gt;&lt;wsp:rsid wsp:val=&quot;00F913C7&quot;/&gt;&lt;wsp:rsid wsp:val=&quot;00F91805&quot;/&gt;&lt;wsp:rsid wsp:val=&quot;00F9180A&quot;/&gt;&lt;wsp:rsid wsp:val=&quot;00F9185F&quot;/&gt;&lt;wsp:rsid wsp:val=&quot;00F918C6&quot;/&gt;&lt;wsp:rsid wsp:val=&quot;00F91A03&quot;/&gt;&lt;wsp:rsid wsp:val=&quot;00F91E10&quot;/&gt;&lt;wsp:rsid wsp:val=&quot;00F92174&quot;/&gt;&lt;wsp:rsid wsp:val=&quot;00F92368&quot;/&gt;&lt;wsp:rsid wsp:val=&quot;00F92599&quot;/&gt;&lt;wsp:rsid wsp:val=&quot;00F9278C&quot;/&gt;&lt;wsp:rsid wsp:val=&quot;00F92B0A&quot;/&gt;&lt;wsp:rsid wsp:val=&quot;00F92B8A&quot;/&gt;&lt;wsp:rsid wsp:val=&quot;00F92DCC&quot;/&gt;&lt;wsp:rsid wsp:val=&quot;00F93064&quot;/&gt;&lt;wsp:rsid wsp:val=&quot;00F93393&quot;/&gt;&lt;wsp:rsid wsp:val=&quot;00F9339B&quot;/&gt;&lt;wsp:rsid wsp:val=&quot;00F936E5&quot;/&gt;&lt;wsp:rsid wsp:val=&quot;00F9382C&quot;/&gt;&lt;wsp:rsid wsp:val=&quot;00F93857&quot;/&gt;&lt;wsp:rsid wsp:val=&quot;00F938B0&quot;/&gt;&lt;wsp:rsid wsp:val=&quot;00F93958&quot;/&gt;&lt;wsp:rsid wsp:val=&quot;00F939FF&quot;/&gt;&lt;wsp:rsid wsp:val=&quot;00F93DF0&quot;/&gt;&lt;wsp:rsid wsp:val=&quot;00F94127&quot;/&gt;&lt;wsp:rsid wsp:val=&quot;00F94162&quot;/&gt;&lt;wsp:rsid wsp:val=&quot;00F9421A&quot;/&gt;&lt;wsp:rsid wsp:val=&quot;00F942CE&quot;/&gt;&lt;wsp:rsid wsp:val=&quot;00F9446F&quot;/&gt;&lt;wsp:rsid wsp:val=&quot;00F945DA&quot;/&gt;&lt;wsp:rsid wsp:val=&quot;00F947BF&quot;/&gt;&lt;wsp:rsid wsp:val=&quot;00F949EE&quot;/&gt;&lt;wsp:rsid wsp:val=&quot;00F94A3C&quot;/&gt;&lt;wsp:rsid wsp:val=&quot;00F94AC9&quot;/&gt;&lt;wsp:rsid wsp:val=&quot;00F94C9B&quot;/&gt;&lt;wsp:rsid wsp:val=&quot;00F95040&quot;/&gt;&lt;wsp:rsid wsp:val=&quot;00F953B2&quot;/&gt;&lt;wsp:rsid wsp:val=&quot;00F955D9&quot;/&gt;&lt;wsp:rsid wsp:val=&quot;00F956A7&quot;/&gt;&lt;wsp:rsid wsp:val=&quot;00F95727&quot;/&gt;&lt;wsp:rsid wsp:val=&quot;00F95ACD&quot;/&gt;&lt;wsp:rsid wsp:val=&quot;00F95CC2&quot;/&gt;&lt;wsp:rsid wsp:val=&quot;00F95DDB&quot;/&gt;&lt;wsp:rsid wsp:val=&quot;00F96017&quot;/&gt;&lt;wsp:rsid wsp:val=&quot;00F960DB&quot;/&gt;&lt;wsp:rsid wsp:val=&quot;00F961F6&quot;/&gt;&lt;wsp:rsid wsp:val=&quot;00F96439&quot;/&gt;&lt;wsp:rsid wsp:val=&quot;00F966B5&quot;/&gt;&lt;wsp:rsid wsp:val=&quot;00F96ECC&quot;/&gt;&lt;wsp:rsid wsp:val=&quot;00F96F6C&quot;/&gt;&lt;wsp:rsid wsp:val=&quot;00F9708C&quot;/&gt;&lt;wsp:rsid wsp:val=&quot;00F979A7&quot;/&gt;&lt;wsp:rsid wsp:val=&quot;00F97A98&quot;/&gt;&lt;wsp:rsid wsp:val=&quot;00FA0067&quot;/&gt;&lt;wsp:rsid wsp:val=&quot;00FA0121&quot;/&gt;&lt;wsp:rsid wsp:val=&quot;00FA0200&quot;/&gt;&lt;wsp:rsid wsp:val=&quot;00FA0352&quot;/&gt;&lt;wsp:rsid wsp:val=&quot;00FA0434&quot;/&gt;&lt;wsp:rsid wsp:val=&quot;00FA05FC&quot;/&gt;&lt;wsp:rsid wsp:val=&quot;00FA0837&quot;/&gt;&lt;wsp:rsid wsp:val=&quot;00FA08FE&quot;/&gt;&lt;wsp:rsid wsp:val=&quot;00FA0E39&quot;/&gt;&lt;wsp:rsid wsp:val=&quot;00FA0EB8&quot;/&gt;&lt;wsp:rsid wsp:val=&quot;00FA113D&quot;/&gt;&lt;wsp:rsid wsp:val=&quot;00FA1199&quot;/&gt;&lt;wsp:rsid wsp:val=&quot;00FA139F&quot;/&gt;&lt;wsp:rsid wsp:val=&quot;00FA15BD&quot;/&gt;&lt;wsp:rsid wsp:val=&quot;00FA16DB&quot;/&gt;&lt;wsp:rsid wsp:val=&quot;00FA19A0&quot;/&gt;&lt;wsp:rsid wsp:val=&quot;00FA1A18&quot;/&gt;&lt;wsp:rsid wsp:val=&quot;00FA1A89&quot;/&gt;&lt;wsp:rsid wsp:val=&quot;00FA1D17&quot;/&gt;&lt;wsp:rsid wsp:val=&quot;00FA1D2C&quot;/&gt;&lt;wsp:rsid wsp:val=&quot;00FA215C&quot;/&gt;&lt;wsp:rsid wsp:val=&quot;00FA223B&quot;/&gt;&lt;wsp:rsid wsp:val=&quot;00FA24CD&quot;/&gt;&lt;wsp:rsid wsp:val=&quot;00FA29DA&quot;/&gt;&lt;wsp:rsid wsp:val=&quot;00FA2D00&quot;/&gt;&lt;wsp:rsid wsp:val=&quot;00FA2D42&quot;/&gt;&lt;wsp:rsid wsp:val=&quot;00FA2ECF&quot;/&gt;&lt;wsp:rsid wsp:val=&quot;00FA2F83&quot;/&gt;&lt;wsp:rsid wsp:val=&quot;00FA3376&quot;/&gt;&lt;wsp:rsid wsp:val=&quot;00FA33F0&quot;/&gt;&lt;wsp:rsid wsp:val=&quot;00FA34E7&quot;/&gt;&lt;wsp:rsid wsp:val=&quot;00FA3A2B&quot;/&gt;&lt;wsp:rsid wsp:val=&quot;00FA3C5F&quot;/&gt;&lt;wsp:rsid wsp:val=&quot;00FA3CB0&quot;/&gt;&lt;wsp:rsid wsp:val=&quot;00FA3CF0&quot;/&gt;&lt;wsp:rsid wsp:val=&quot;00FA4518&quot;/&gt;&lt;wsp:rsid wsp:val=&quot;00FA4A95&quot;/&gt;&lt;wsp:rsid wsp:val=&quot;00FA4AC8&quot;/&gt;&lt;wsp:rsid wsp:val=&quot;00FA4DD0&quot;/&gt;&lt;wsp:rsid wsp:val=&quot;00FA4E15&quot;/&gt;&lt;wsp:rsid wsp:val=&quot;00FA52E9&quot;/&gt;&lt;wsp:rsid wsp:val=&quot;00FA5309&quot;/&gt;&lt;wsp:rsid wsp:val=&quot;00FA5660&quot;/&gt;&lt;wsp:rsid wsp:val=&quot;00FA5721&quot;/&gt;&lt;wsp:rsid wsp:val=&quot;00FA5AB0&quot;/&gt;&lt;wsp:rsid wsp:val=&quot;00FA5AD5&quot;/&gt;&lt;wsp:rsid wsp:val=&quot;00FA5D0F&quot;/&gt;&lt;wsp:rsid wsp:val=&quot;00FA60FE&quot;/&gt;&lt;wsp:rsid wsp:val=&quot;00FA64F9&quot;/&gt;&lt;wsp:rsid wsp:val=&quot;00FA6A6F&quot;/&gt;&lt;wsp:rsid wsp:val=&quot;00FA6E9A&quot;/&gt;&lt;wsp:rsid wsp:val=&quot;00FA70AB&quot;/&gt;&lt;wsp:rsid wsp:val=&quot;00FA777D&quot;/&gt;&lt;wsp:rsid wsp:val=&quot;00FA7B05&quot;/&gt;&lt;wsp:rsid wsp:val=&quot;00FA7B53&quot;/&gt;&lt;wsp:rsid wsp:val=&quot;00FA7EF8&quot;/&gt;&lt;wsp:rsid wsp:val=&quot;00FB01B2&quot;/&gt;&lt;wsp:rsid wsp:val=&quot;00FB01F3&quot;/&gt;&lt;wsp:rsid wsp:val=&quot;00FB104B&quot;/&gt;&lt;wsp:rsid wsp:val=&quot;00FB139A&quot;/&gt;&lt;wsp:rsid wsp:val=&quot;00FB13E7&quot;/&gt;&lt;wsp:rsid wsp:val=&quot;00FB1483&quot;/&gt;&lt;wsp:rsid wsp:val=&quot;00FB17EF&quot;/&gt;&lt;wsp:rsid wsp:val=&quot;00FB1E07&quot;/&gt;&lt;wsp:rsid wsp:val=&quot;00FB1FD7&quot;/&gt;&lt;wsp:rsid wsp:val=&quot;00FB28C3&quot;/&gt;&lt;wsp:rsid wsp:val=&quot;00FB2B5D&quot;/&gt;&lt;wsp:rsid wsp:val=&quot;00FB2BC0&quot;/&gt;&lt;wsp:rsid wsp:val=&quot;00FB2E70&quot;/&gt;&lt;wsp:rsid wsp:val=&quot;00FB2F39&quot;/&gt;&lt;wsp:rsid wsp:val=&quot;00FB3123&quot;/&gt;&lt;wsp:rsid wsp:val=&quot;00FB316F&quot;/&gt;&lt;wsp:rsid wsp:val=&quot;00FB319E&quot;/&gt;&lt;wsp:rsid wsp:val=&quot;00FB3480&quot;/&gt;&lt;wsp:rsid wsp:val=&quot;00FB421E&quot;/&gt;&lt;wsp:rsid wsp:val=&quot;00FB42B5&quot;/&gt;&lt;wsp:rsid wsp:val=&quot;00FB4381&quot;/&gt;&lt;wsp:rsid wsp:val=&quot;00FB43EE&quot;/&gt;&lt;wsp:rsid wsp:val=&quot;00FB4B48&quot;/&gt;&lt;wsp:rsid wsp:val=&quot;00FB4F5F&quot;/&gt;&lt;wsp:rsid wsp:val=&quot;00FB5041&quot;/&gt;&lt;wsp:rsid wsp:val=&quot;00FB5557&quot;/&gt;&lt;wsp:rsid wsp:val=&quot;00FB590C&quot;/&gt;&lt;wsp:rsid wsp:val=&quot;00FB5B08&quot;/&gt;&lt;wsp:rsid wsp:val=&quot;00FB5FC6&quot;/&gt;&lt;wsp:rsid wsp:val=&quot;00FB62F7&quot;/&gt;&lt;wsp:rsid wsp:val=&quot;00FB6389&quot;/&gt;&lt;wsp:rsid wsp:val=&quot;00FB6779&quot;/&gt;&lt;wsp:rsid wsp:val=&quot;00FB69DE&quot;/&gt;&lt;wsp:rsid wsp:val=&quot;00FB6DD7&quot;/&gt;&lt;wsp:rsid wsp:val=&quot;00FB70AD&quot;/&gt;&lt;wsp:rsid wsp:val=&quot;00FB71DE&quot;/&gt;&lt;wsp:rsid wsp:val=&quot;00FB7395&quot;/&gt;&lt;wsp:rsid wsp:val=&quot;00FB7416&quot;/&gt;&lt;wsp:rsid wsp:val=&quot;00FB74E3&quot;/&gt;&lt;wsp:rsid wsp:val=&quot;00FB7579&quot;/&gt;&lt;wsp:rsid wsp:val=&quot;00FB7598&quot;/&gt;&lt;wsp:rsid wsp:val=&quot;00FB778C&quot;/&gt;&lt;wsp:rsid wsp:val=&quot;00FB783A&quot;/&gt;&lt;wsp:rsid wsp:val=&quot;00FB7AE3&quot;/&gt;&lt;wsp:rsid wsp:val=&quot;00FB7B6D&quot;/&gt;&lt;wsp:rsid wsp:val=&quot;00FB7E6D&quot;/&gt;&lt;wsp:rsid wsp:val=&quot;00FC0211&quot;/&gt;&lt;wsp:rsid wsp:val=&quot;00FC02A0&quot;/&gt;&lt;wsp:rsid wsp:val=&quot;00FC0468&quot;/&gt;&lt;wsp:rsid wsp:val=&quot;00FC0620&quot;/&gt;&lt;wsp:rsid wsp:val=&quot;00FC0880&quot;/&gt;&lt;wsp:rsid wsp:val=&quot;00FC0BA6&quot;/&gt;&lt;wsp:rsid wsp:val=&quot;00FC0DE5&quot;/&gt;&lt;wsp:rsid wsp:val=&quot;00FC107B&quot;/&gt;&lt;wsp:rsid wsp:val=&quot;00FC12AA&quot;/&gt;&lt;wsp:rsid wsp:val=&quot;00FC1469&quot;/&gt;&lt;wsp:rsid wsp:val=&quot;00FC1538&quot;/&gt;&lt;wsp:rsid wsp:val=&quot;00FC1546&quot;/&gt;&lt;wsp:rsid wsp:val=&quot;00FC1604&quot;/&gt;&lt;wsp:rsid wsp:val=&quot;00FC16D1&quot;/&gt;&lt;wsp:rsid wsp:val=&quot;00FC1A05&quot;/&gt;&lt;wsp:rsid wsp:val=&quot;00FC1A18&quot;/&gt;&lt;wsp:rsid wsp:val=&quot;00FC1A8F&quot;/&gt;&lt;wsp:rsid wsp:val=&quot;00FC1E4F&quot;/&gt;&lt;wsp:rsid wsp:val=&quot;00FC1F22&quot;/&gt;&lt;wsp:rsid wsp:val=&quot;00FC2212&quot;/&gt;&lt;wsp:rsid wsp:val=&quot;00FC2588&quot;/&gt;&lt;wsp:rsid wsp:val=&quot;00FC2609&quot;/&gt;&lt;wsp:rsid wsp:val=&quot;00FC2899&quot;/&gt;&lt;wsp:rsid wsp:val=&quot;00FC2916&quot;/&gt;&lt;wsp:rsid wsp:val=&quot;00FC2B0B&quot;/&gt;&lt;wsp:rsid wsp:val=&quot;00FC30F5&quot;/&gt;&lt;wsp:rsid wsp:val=&quot;00FC32C7&quot;/&gt;&lt;wsp:rsid wsp:val=&quot;00FC33A1&quot;/&gt;&lt;wsp:rsid wsp:val=&quot;00FC3550&quot;/&gt;&lt;wsp:rsid wsp:val=&quot;00FC3AC5&quot;/&gt;&lt;wsp:rsid wsp:val=&quot;00FC3B3C&quot;/&gt;&lt;wsp:rsid wsp:val=&quot;00FC3C2D&quot;/&gt;&lt;wsp:rsid wsp:val=&quot;00FC3E26&quot;/&gt;&lt;wsp:rsid wsp:val=&quot;00FC4165&quot;/&gt;&lt;wsp:rsid wsp:val=&quot;00FC44D1&quot;/&gt;&lt;wsp:rsid wsp:val=&quot;00FC482A&quot;/&gt;&lt;wsp:rsid wsp:val=&quot;00FC4EE0&quot;/&gt;&lt;wsp:rsid wsp:val=&quot;00FC4F21&quot;/&gt;&lt;wsp:rsid wsp:val=&quot;00FC503B&quot;/&gt;&lt;wsp:rsid wsp:val=&quot;00FC50A5&quot;/&gt;&lt;wsp:rsid wsp:val=&quot;00FC5306&quot;/&gt;&lt;wsp:rsid wsp:val=&quot;00FC5480&quot;/&gt;&lt;wsp:rsid wsp:val=&quot;00FC549A&quot;/&gt;&lt;wsp:rsid wsp:val=&quot;00FC54F6&quot;/&gt;&lt;wsp:rsid wsp:val=&quot;00FC5531&quot;/&gt;&lt;wsp:rsid wsp:val=&quot;00FC5799&quot;/&gt;&lt;wsp:rsid wsp:val=&quot;00FC5CA0&quot;/&gt;&lt;wsp:rsid wsp:val=&quot;00FC5CA8&quot;/&gt;&lt;wsp:rsid wsp:val=&quot;00FC5DF7&quot;/&gt;&lt;wsp:rsid wsp:val=&quot;00FC6089&quot;/&gt;&lt;wsp:rsid wsp:val=&quot;00FC60F0&quot;/&gt;&lt;wsp:rsid wsp:val=&quot;00FC64D3&quot;/&gt;&lt;wsp:rsid wsp:val=&quot;00FC65F6&quot;/&gt;&lt;wsp:rsid wsp:val=&quot;00FC6724&quot;/&gt;&lt;wsp:rsid wsp:val=&quot;00FC6953&quot;/&gt;&lt;wsp:rsid wsp:val=&quot;00FC6B5E&quot;/&gt;&lt;wsp:rsid wsp:val=&quot;00FC6F30&quot;/&gt;&lt;wsp:rsid wsp:val=&quot;00FC703B&quot;/&gt;&lt;wsp:rsid wsp:val=&quot;00FC74B3&quot;/&gt;&lt;wsp:rsid wsp:val=&quot;00FC7525&quot;/&gt;&lt;wsp:rsid wsp:val=&quot;00FC7D0E&quot;/&gt;&lt;wsp:rsid wsp:val=&quot;00FC7D71&quot;/&gt;&lt;wsp:rsid wsp:val=&quot;00FC7EA3&quot;/&gt;&lt;wsp:rsid wsp:val=&quot;00FC7EFB&quot;/&gt;&lt;wsp:rsid wsp:val=&quot;00FC7FFA&quot;/&gt;&lt;wsp:rsid wsp:val=&quot;00FD007F&quot;/&gt;&lt;wsp:rsid wsp:val=&quot;00FD0502&quot;/&gt;&lt;wsp:rsid wsp:val=&quot;00FD0665&quot;/&gt;&lt;wsp:rsid wsp:val=&quot;00FD08E0&quot;/&gt;&lt;wsp:rsid wsp:val=&quot;00FD101C&quot;/&gt;&lt;wsp:rsid wsp:val=&quot;00FD1565&quot;/&gt;&lt;wsp:rsid wsp:val=&quot;00FD164E&quot;/&gt;&lt;wsp:rsid wsp:val=&quot;00FD17D1&quot;/&gt;&lt;wsp:rsid wsp:val=&quot;00FD1BB8&quot;/&gt;&lt;wsp:rsid wsp:val=&quot;00FD1DCE&quot;/&gt;&lt;wsp:rsid wsp:val=&quot;00FD29B1&quot;/&gt;&lt;wsp:rsid wsp:val=&quot;00FD2B0D&quot;/&gt;&lt;wsp:rsid wsp:val=&quot;00FD2FCB&quot;/&gt;&lt;wsp:rsid wsp:val=&quot;00FD311C&quot;/&gt;&lt;wsp:rsid wsp:val=&quot;00FD3473&quot;/&gt;&lt;wsp:rsid wsp:val=&quot;00FD3814&quot;/&gt;&lt;wsp:rsid wsp:val=&quot;00FD3F9E&quot;/&gt;&lt;wsp:rsid wsp:val=&quot;00FD412A&quot;/&gt;&lt;wsp:rsid wsp:val=&quot;00FD43C0&quot;/&gt;&lt;wsp:rsid wsp:val=&quot;00FD468B&quot;/&gt;&lt;wsp:rsid wsp:val=&quot;00FD46F0&quot;/&gt;&lt;wsp:rsid wsp:val=&quot;00FD491E&quot;/&gt;&lt;wsp:rsid wsp:val=&quot;00FD4C35&quot;/&gt;&lt;wsp:rsid wsp:val=&quot;00FD4D2B&quot;/&gt;&lt;wsp:rsid wsp:val=&quot;00FD5057&quot;/&gt;&lt;wsp:rsid wsp:val=&quot;00FD5099&quot;/&gt;&lt;wsp:rsid wsp:val=&quot;00FD51A4&quot;/&gt;&lt;wsp:rsid wsp:val=&quot;00FD55AA&quot;/&gt;&lt;wsp:rsid wsp:val=&quot;00FD60E0&quot;/&gt;&lt;wsp:rsid wsp:val=&quot;00FD6440&quot;/&gt;&lt;wsp:rsid wsp:val=&quot;00FD6539&quot;/&gt;&lt;wsp:rsid wsp:val=&quot;00FD653C&quot;/&gt;&lt;wsp:rsid wsp:val=&quot;00FD65AE&quot;/&gt;&lt;wsp:rsid wsp:val=&quot;00FD65CB&quot;/&gt;&lt;wsp:rsid wsp:val=&quot;00FD66DB&quot;/&gt;&lt;wsp:rsid wsp:val=&quot;00FD6797&quot;/&gt;&lt;wsp:rsid wsp:val=&quot;00FD68B1&quot;/&gt;&lt;wsp:rsid wsp:val=&quot;00FD68EF&quot;/&gt;&lt;wsp:rsid wsp:val=&quot;00FD69D2&quot;/&gt;&lt;wsp:rsid wsp:val=&quot;00FD69F4&quot;/&gt;&lt;wsp:rsid wsp:val=&quot;00FD6B4F&quot;/&gt;&lt;wsp:rsid wsp:val=&quot;00FD6EB0&quot;/&gt;&lt;wsp:rsid wsp:val=&quot;00FD6FA8&quot;/&gt;&lt;wsp:rsid wsp:val=&quot;00FD73BA&quot;/&gt;&lt;wsp:rsid wsp:val=&quot;00FD73C6&quot;/&gt;&lt;wsp:rsid wsp:val=&quot;00FD7440&quot;/&gt;&lt;wsp:rsid wsp:val=&quot;00FD7999&quot;/&gt;&lt;wsp:rsid wsp:val=&quot;00FD7ADE&quot;/&gt;&lt;wsp:rsid wsp:val=&quot;00FD7C0A&quot;/&gt;&lt;wsp:rsid wsp:val=&quot;00FD7E4F&quot;/&gt;&lt;wsp:rsid wsp:val=&quot;00FD7E89&quot;/&gt;&lt;wsp:rsid wsp:val=&quot;00FD7F63&quot;/&gt;&lt;wsp:rsid wsp:val=&quot;00FD7F7B&quot;/&gt;&lt;wsp:rsid wsp:val=&quot;00FE01C5&quot;/&gt;&lt;wsp:rsid wsp:val=&quot;00FE0361&quot;/&gt;&lt;wsp:rsid wsp:val=&quot;00FE0445&quot;/&gt;&lt;wsp:rsid wsp:val=&quot;00FE047D&quot;/&gt;&lt;wsp:rsid wsp:val=&quot;00FE05DA&quot;/&gt;&lt;wsp:rsid wsp:val=&quot;00FE0621&quot;/&gt;&lt;wsp:rsid wsp:val=&quot;00FE068D&quot;/&gt;&lt;wsp:rsid wsp:val=&quot;00FE0799&quot;/&gt;&lt;wsp:rsid wsp:val=&quot;00FE09B4&quot;/&gt;&lt;wsp:rsid wsp:val=&quot;00FE0B64&quot;/&gt;&lt;wsp:rsid wsp:val=&quot;00FE0CD8&quot;/&gt;&lt;wsp:rsid wsp:val=&quot;00FE0D10&quot;/&gt;&lt;wsp:rsid wsp:val=&quot;00FE0E92&quot;/&gt;&lt;wsp:rsid wsp:val=&quot;00FE0EF3&quot;/&gt;&lt;wsp:rsid wsp:val=&quot;00FE113A&quot;/&gt;&lt;wsp:rsid wsp:val=&quot;00FE12D7&quot;/&gt;&lt;wsp:rsid wsp:val=&quot;00FE12EC&quot;/&gt;&lt;wsp:rsid wsp:val=&quot;00FE159C&quot;/&gt;&lt;wsp:rsid wsp:val=&quot;00FE1810&quot;/&gt;&lt;wsp:rsid wsp:val=&quot;00FE1940&quot;/&gt;&lt;wsp:rsid wsp:val=&quot;00FE19FB&quot;/&gt;&lt;wsp:rsid wsp:val=&quot;00FE1B9B&quot;/&gt;&lt;wsp:rsid wsp:val=&quot;00FE1E34&quot;/&gt;&lt;wsp:rsid wsp:val=&quot;00FE1E94&quot;/&gt;&lt;wsp:rsid wsp:val=&quot;00FE1EE2&quot;/&gt;&lt;wsp:rsid wsp:val=&quot;00FE2272&quot;/&gt;&lt;wsp:rsid wsp:val=&quot;00FE22A0&quot;/&gt;&lt;wsp:rsid wsp:val=&quot;00FE22FB&quot;/&gt;&lt;wsp:rsid wsp:val=&quot;00FE2413&quot;/&gt;&lt;wsp:rsid wsp:val=&quot;00FE253F&quot;/&gt;&lt;wsp:rsid wsp:val=&quot;00FE27E4&quot;/&gt;&lt;wsp:rsid wsp:val=&quot;00FE2A90&quot;/&gt;&lt;wsp:rsid wsp:val=&quot;00FE2E78&quot;/&gt;&lt;wsp:rsid wsp:val=&quot;00FE3163&quot;/&gt;&lt;wsp:rsid wsp:val=&quot;00FE3179&quot;/&gt;&lt;wsp:rsid wsp:val=&quot;00FE38DF&quot;/&gt;&lt;wsp:rsid wsp:val=&quot;00FE394F&quot;/&gt;&lt;wsp:rsid wsp:val=&quot;00FE3E3A&quot;/&gt;&lt;wsp:rsid wsp:val=&quot;00FE3EE5&quot;/&gt;&lt;wsp:rsid wsp:val=&quot;00FE3F66&quot;/&gt;&lt;wsp:rsid wsp:val=&quot;00FE3FCE&quot;/&gt;&lt;wsp:rsid wsp:val=&quot;00FE40F3&quot;/&gt;&lt;wsp:rsid wsp:val=&quot;00FE424E&quot;/&gt;&lt;wsp:rsid wsp:val=&quot;00FE453F&quot;/&gt;&lt;wsp:rsid wsp:val=&quot;00FE4654&quot;/&gt;&lt;wsp:rsid wsp:val=&quot;00FE4A2E&quot;/&gt;&lt;wsp:rsid wsp:val=&quot;00FE4E08&quot;/&gt;&lt;wsp:rsid wsp:val=&quot;00FE56D3&quot;/&gt;&lt;wsp:rsid wsp:val=&quot;00FE5859&quot;/&gt;&lt;wsp:rsid wsp:val=&quot;00FE5ACE&quot;/&gt;&lt;wsp:rsid wsp:val=&quot;00FE5B70&quot;/&gt;&lt;wsp:rsid wsp:val=&quot;00FE5D62&quot;/&gt;&lt;wsp:rsid wsp:val=&quot;00FE5E07&quot;/&gt;&lt;wsp:rsid wsp:val=&quot;00FE5F53&quot;/&gt;&lt;wsp:rsid wsp:val=&quot;00FE6651&quot;/&gt;&lt;wsp:rsid wsp:val=&quot;00FE67A9&quot;/&gt;&lt;wsp:rsid wsp:val=&quot;00FE6F05&quot;/&gt;&lt;wsp:rsid wsp:val=&quot;00FE6F89&quot;/&gt;&lt;wsp:rsid wsp:val=&quot;00FE706B&quot;/&gt;&lt;wsp:rsid wsp:val=&quot;00FE7148&quot;/&gt;&lt;wsp:rsid wsp:val=&quot;00FE71ED&quot;/&gt;&lt;wsp:rsid wsp:val=&quot;00FE73B2&quot;/&gt;&lt;wsp:rsid wsp:val=&quot;00FE73D0&quot;/&gt;&lt;wsp:rsid wsp:val=&quot;00FE774E&quot;/&gt;&lt;wsp:rsid wsp:val=&quot;00FE79A9&quot;/&gt;&lt;wsp:rsid wsp:val=&quot;00FE7B07&quot;/&gt;&lt;wsp:rsid wsp:val=&quot;00FE7BC4&quot;/&gt;&lt;wsp:rsid wsp:val=&quot;00FF0002&quot;/&gt;&lt;wsp:rsid wsp:val=&quot;00FF027B&quot;/&gt;&lt;wsp:rsid wsp:val=&quot;00FF034E&quot;/&gt;&lt;wsp:rsid wsp:val=&quot;00FF0CEA&quot;/&gt;&lt;wsp:rsid wsp:val=&quot;00FF0DAF&quot;/&gt;&lt;wsp:rsid wsp:val=&quot;00FF0E96&quot;/&gt;&lt;wsp:rsid wsp:val=&quot;00FF0F77&quot;/&gt;&lt;wsp:rsid wsp:val=&quot;00FF0F80&quot;/&gt;&lt;wsp:rsid wsp:val=&quot;00FF106E&quot;/&gt;&lt;wsp:rsid wsp:val=&quot;00FF12C8&quot;/&gt;&lt;wsp:rsid wsp:val=&quot;00FF14A3&quot;/&gt;&lt;wsp:rsid wsp:val=&quot;00FF1A10&quot;/&gt;&lt;wsp:rsid wsp:val=&quot;00FF1B27&quot;/&gt;&lt;wsp:rsid wsp:val=&quot;00FF21ED&quot;/&gt;&lt;wsp:rsid wsp:val=&quot;00FF2406&quot;/&gt;&lt;wsp:rsid wsp:val=&quot;00FF2453&quot;/&gt;&lt;wsp:rsid wsp:val=&quot;00FF248C&quot;/&gt;&lt;wsp:rsid wsp:val=&quot;00FF2496&quot;/&gt;&lt;wsp:rsid wsp:val=&quot;00FF2888&quot;/&gt;&lt;wsp:rsid wsp:val=&quot;00FF2DF7&quot;/&gt;&lt;wsp:rsid wsp:val=&quot;00FF36F2&quot;/&gt;&lt;wsp:rsid wsp:val=&quot;00FF4019&quot;/&gt;&lt;wsp:rsid wsp:val=&quot;00FF430B&quot;/&gt;&lt;wsp:rsid wsp:val=&quot;00FF43CC&quot;/&gt;&lt;wsp:rsid wsp:val=&quot;00FF4412&quot;/&gt;&lt;wsp:rsid wsp:val=&quot;00FF4589&quot;/&gt;&lt;wsp:rsid wsp:val=&quot;00FF46A9&quot;/&gt;&lt;wsp:rsid wsp:val=&quot;00FF484E&quot;/&gt;&lt;wsp:rsid wsp:val=&quot;00FF492D&quot;/&gt;&lt;wsp:rsid wsp:val=&quot;00FF4984&quot;/&gt;&lt;wsp:rsid wsp:val=&quot;00FF4BA9&quot;/&gt;&lt;wsp:rsid wsp:val=&quot;00FF4BE3&quot;/&gt;&lt;wsp:rsid wsp:val=&quot;00FF4CEA&quot;/&gt;&lt;wsp:rsid wsp:val=&quot;00FF4D44&quot;/&gt;&lt;wsp:rsid wsp:val=&quot;00FF5313&quot;/&gt;&lt;wsp:rsid wsp:val=&quot;00FF54B6&quot;/&gt;&lt;wsp:rsid wsp:val=&quot;00FF55C5&quot;/&gt;&lt;wsp:rsid wsp:val=&quot;00FF577A&quot;/&gt;&lt;wsp:rsid wsp:val=&quot;00FF5A62&quot;/&gt;&lt;wsp:rsid wsp:val=&quot;00FF5BEE&quot;/&gt;&lt;wsp:rsid wsp:val=&quot;00FF5C94&quot;/&gt;&lt;wsp:rsid wsp:val=&quot;00FF5EE3&quot;/&gt;&lt;wsp:rsid wsp:val=&quot;00FF5F51&quot;/&gt;&lt;wsp:rsid wsp:val=&quot;00FF60AD&quot;/&gt;&lt;wsp:rsid wsp:val=&quot;00FF6251&quot;/&gt;&lt;wsp:rsid wsp:val=&quot;00FF68C2&quot;/&gt;&lt;wsp:rsid wsp:val=&quot;00FF6952&quot;/&gt;&lt;wsp:rsid wsp:val=&quot;00FF6B76&quot;/&gt;&lt;wsp:rsid wsp:val=&quot;00FF6C28&quot;/&gt;&lt;wsp:rsid wsp:val=&quot;00FF6E35&quot;/&gt;&lt;wsp:rsid wsp:val=&quot;00FF7312&quot;/&gt;&lt;wsp:rsid wsp:val=&quot;00FF764C&quot;/&gt;&lt;wsp:rsid wsp:val=&quot;00FF79EC&quot;/&gt;&lt;wsp:rsid wsp:val=&quot;00FF7A2C&quot;/&gt;&lt;wsp:rsid wsp:val=&quot;00FF7A6A&quot;/&gt;&lt;wsp:rsid wsp:val=&quot;00FF7EA4&quot;/&gt;&lt;/wsp:rsids&gt;&lt;/w:docPr&gt;&lt;w:body&gt;&lt;wx:sect&gt;&lt;w:p wsp:rsidR=&quot;00000000&quot; wsp:rsidRDefault=&quot;008C7963&quot; wsp:rsidP=&quot;008C7963&quot;&gt;&lt;m:oMathPara&gt;&lt;m:oMath&gt;&lt;m:sSub&gt;&lt;m:sSubPr&gt;&lt;m:ctrlPr&gt;&lt;w:rPr&gt;&lt;w:rFonts w:ascii=&quot;Cambria Math&quot; w:h-ansi=&quot;Cambria Math&quot;/&gt;&lt;wx:font wx:val=&quot;Cambria Math&quot;/&gt;&lt;w:i/&gt;&lt;w:sz-cs w:val=&quot;22&quot;/&gt;&lt;w:lang w:val=&quot;ZH-CN&quot;/&gt;&lt;/w:rPr&gt;&lt;/m:ctrlPr&gt;&lt;/m:sSubPr&gt;&lt;m:e&gt;&lt;m:r&gt;&lt;m:rPr&gt;&lt;m:sty m:val=&quot;p&quot;/&gt;&lt;/m:rPr&gt;&lt;w:rPr&gt;&lt;w:rFonts w:ascii=&quot;Cambria Math&quot; w:h-ansi=&quot;Cambria Math&quot; w:hint=&quot;fareast&quot;/&gt;&lt;wx:font wx:val=&quot;宋体&quot;/&gt;&lt;/w:rPr&gt;&lt;m:t&gt;ρ&lt;/m:t&gt;&lt;/m:r&gt;&lt;/m:e&gt;&lt;m:sub&gt;&lt;m:r&gt;&lt;w:rPr&gt;&lt;w:rFonts w:ascii=&quot;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Ca-CNmbria Math&quot; w:h-ansi=&quot;Cambria Math&quot;/&gt;&lt;wx:font wx:val=&quot;Cambria Math&quot;/&gt;&lt;w:i/&gt;&lt;/w:rPr&gt;&lt;m:t&gt;rel&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4" o:title="" chromakey="white"/>
          </v:shape>
        </w:pict>
      </w:r>
      <w:r w:rsidRPr="002B55E9">
        <w:rPr>
          <w:bCs/>
          <w:sz w:val="24"/>
          <w:szCs w:val="22"/>
          <w:lang w:val="zh-CN" w:bidi="ne-NP"/>
        </w:rPr>
        <w:fldChar w:fldCharType="end"/>
      </w:r>
      <w:r w:rsidRPr="002B55E9">
        <w:rPr>
          <w:rFonts w:hint="eastAsia"/>
          <w:bCs/>
          <w:sz w:val="24"/>
          <w:szCs w:val="22"/>
          <w:lang w:val="zh-CN" w:bidi="ne-NP"/>
        </w:rPr>
        <w:t>——</w:t>
      </w:r>
      <w:r w:rsidRPr="002B55E9">
        <w:rPr>
          <w:bCs/>
          <w:sz w:val="24"/>
          <w:szCs w:val="22"/>
          <w:lang w:val="zh-CN" w:bidi="ne-NP"/>
        </w:rPr>
        <w:t>排放物质进入大气</w:t>
      </w:r>
      <w:r w:rsidRPr="002B55E9">
        <w:rPr>
          <w:rFonts w:hint="eastAsia"/>
          <w:bCs/>
          <w:sz w:val="24"/>
          <w:szCs w:val="22"/>
          <w:lang w:val="zh-CN" w:bidi="ne-NP"/>
        </w:rPr>
        <w:t>的</w:t>
      </w:r>
      <w:r w:rsidRPr="002B55E9">
        <w:rPr>
          <w:bCs/>
          <w:sz w:val="24"/>
          <w:szCs w:val="22"/>
          <w:lang w:val="zh-CN" w:bidi="ne-NP"/>
        </w:rPr>
        <w:t>初始密度，</w:t>
      </w:r>
      <w:r w:rsidRPr="002B55E9">
        <w:rPr>
          <w:bCs/>
          <w:sz w:val="24"/>
          <w:szCs w:val="22"/>
          <w:lang w:val="zh-CN" w:bidi="ne-NP"/>
        </w:rPr>
        <w:t>kg/m</w:t>
      </w:r>
      <w:r w:rsidRPr="002B55E9">
        <w:rPr>
          <w:bCs/>
          <w:sz w:val="24"/>
          <w:szCs w:val="22"/>
          <w:vertAlign w:val="superscript"/>
          <w:lang w:val="zh-CN" w:bidi="ne-NP"/>
        </w:rPr>
        <w:t>3</w:t>
      </w:r>
      <w:r w:rsidRPr="002B55E9">
        <w:rPr>
          <w:bCs/>
          <w:sz w:val="24"/>
          <w:szCs w:val="22"/>
          <w:lang w:val="zh-CN" w:bidi="ne-NP"/>
        </w:rPr>
        <w:t>；</w:t>
      </w:r>
    </w:p>
    <w:p w14:paraId="2E55DBC3" w14:textId="77777777" w:rsidR="00D170E5" w:rsidRPr="002B55E9" w:rsidRDefault="00EF27AD">
      <w:pPr>
        <w:spacing w:line="360" w:lineRule="auto"/>
        <w:ind w:firstLineChars="200" w:firstLine="480"/>
        <w:rPr>
          <w:bCs/>
          <w:sz w:val="24"/>
          <w:szCs w:val="22"/>
          <w:lang w:val="zh-CN" w:bidi="ne-NP"/>
        </w:rPr>
      </w:pPr>
      <w:r w:rsidRPr="002B55E9">
        <w:rPr>
          <w:bCs/>
          <w:sz w:val="24"/>
          <w:szCs w:val="22"/>
          <w:lang w:val="zh-CN" w:bidi="ne-NP"/>
        </w:rPr>
        <w:fldChar w:fldCharType="begin"/>
      </w:r>
      <w:r w:rsidRPr="002B55E9">
        <w:rPr>
          <w:bCs/>
          <w:sz w:val="24"/>
          <w:szCs w:val="22"/>
          <w:lang w:val="zh-CN" w:bidi="ne-NP"/>
        </w:rPr>
        <w:instrText xml:space="preserve"> QUOTE </w:instrText>
      </w:r>
      <w:r w:rsidR="003E2FA0">
        <w:rPr>
          <w:bCs/>
          <w:snapToGrid w:val="0"/>
          <w:position w:val="-24"/>
          <w:sz w:val="24"/>
        </w:rPr>
        <w:pict w14:anchorId="0F54A4AB">
          <v:shape id="_x0000_i1038" type="#_x0000_t75" style="width:21.75pt;height:26.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hideGrammaticalErrors/&gt;&lt;w:activeWritingStyle w:lang=&quot;EN-US&quot; w:vendorID=&quot;64&quot; w:dllVersion=&quot;5&quot; w:nlCheck=&quot;on&quot; w:optionSet=&quot;1&quot;/&gt;&lt;w:activeWritingStyle w:lang=&quot;ZH-CN&quot; w:vendorID=&quot;64&quot; w:dllVersion=&quot;5&quot; w:nlCheck=&quot;on&quot; w:optionSet=&quot;1&quot;/&gt;&lt;w:activeWritingStyle w:lang=&quot;EN-US&quot; w:vendorID=&quot;64&quot; w:dllVersion=&quot;6&quot; w:nlCheck=&quot;on&quot; w:optionSet=&quot;0&quot;/&gt;&lt;w:activeWritingStyle w:lang=&quot;EN-GB&quot; w:vendorID=&quot;64&quot; w:dllVersion=&quot;6&quot; w:nlCheck=&quot;on&quot; w:optionSet=&quot;0&quot;/&gt;&lt;w:activeWritingStyle w:lang=&quot;EN-GB&quot; w:vendorID=&quot;64&quot; w:dllVersion=&quot;5&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stylePaneFormatFilter w:val=&quot;1F08&quot;/&gt;&lt;w:defaultTabStop w:val=&quot;210&quot;/&gt;&lt;w:drawingGridHorizontalSpacing w:val=&quot;105&quot;/&gt;&lt;w:drawingGridVerticalSpacing w:val=&quot;2&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92738&quot;/&gt;&lt;wsp:rsid wsp:val=&quot;0000006D&quot;/&gt;&lt;wsp:rsid wsp:val=&quot;000004D2&quot;/&gt;&lt;wsp:rsid wsp:val=&quot;00000B74&quot;/&gt;&lt;wsp:rsid wsp:val=&quot;00000C9C&quot;/&gt;&lt;wsp:rsid wsp:val=&quot;00000E77&quot;/&gt;&lt;wsp:rsid wsp:val=&quot;0000119A&quot;/&gt;&lt;wsp:rsid wsp:val=&quot;0000187F&quot;/&gt;&lt;wsp:rsid wsp:val=&quot;000019E8&quot;/&gt;&lt;wsp:rsid wsp:val=&quot;00001A79&quot;/&gt;&lt;wsp:rsid wsp:val=&quot;00001A85&quot;/&gt;&lt;wsp:rsid wsp:val=&quot;00001E16&quot;/&gt;&lt;wsp:rsid wsp:val=&quot;00001FE4&quot;/&gt;&lt;wsp:rsid wsp:val=&quot;00002092&quot;/&gt;&lt;wsp:rsid wsp:val=&quot;000021CB&quot;/&gt;&lt;wsp:rsid wsp:val=&quot;00002362&quot;/&gt;&lt;wsp:rsid wsp:val=&quot;000028B3&quot;/&gt;&lt;wsp:rsid wsp:val=&quot;00002988&quot;/&gt;&lt;wsp:rsid wsp:val=&quot;00002B8C&quot;/&gt;&lt;wsp:rsid wsp:val=&quot;00002F2D&quot;/&gt;&lt;wsp:rsid wsp:val=&quot;00003649&quot;/&gt;&lt;wsp:rsid wsp:val=&quot;000040AE&quot;/&gt;&lt;wsp:rsid wsp:val=&quot;000045BE&quot;/&gt;&lt;wsp:rsid wsp:val=&quot;00004694&quot;/&gt;&lt;wsp:rsid wsp:val=&quot;000047FE&quot;/&gt;&lt;wsp:rsid wsp:val=&quot;00004A61&quot;/&gt;&lt;wsp:rsid wsp:val=&quot;00004B36&quot;/&gt;&lt;wsp:rsid wsp:val=&quot;00004CA7&quot;/&gt;&lt;wsp:rsid wsp:val=&quot;00004CE1&quot;/&gt;&lt;wsp:rsid wsp:val=&quot;00004E3E&quot;/&gt;&lt;wsp:rsid wsp:val=&quot;00005131&quot;/&gt;&lt;wsp:rsid wsp:val=&quot;000051B4&quot;/&gt;&lt;wsp:rsid wsp:val=&quot;00005491&quot;/&gt;&lt;wsp:rsid wsp:val=&quot;00005535&quot;/&gt;&lt;wsp:rsid wsp:val=&quot;00005E0A&quot;/&gt;&lt;wsp:rsid wsp:val=&quot;00006076&quot;/&gt;&lt;wsp:rsid wsp:val=&quot;00006129&quot;/&gt;&lt;wsp:rsid wsp:val=&quot;000061C5&quot;/&gt;&lt;wsp:rsid wsp:val=&quot;00006267&quot;/&gt;&lt;wsp:rsid wsp:val=&quot;0000632D&quot;/&gt;&lt;wsp:rsid wsp:val=&quot;0000640B&quot;/&gt;&lt;wsp:rsid wsp:val=&quot;00006A32&quot;/&gt;&lt;wsp:rsid wsp:val=&quot;00006A72&quot;/&gt;&lt;wsp:rsid wsp:val=&quot;00006C24&quot;/&gt;&lt;wsp:rsid wsp:val=&quot;00006EAA&quot;/&gt;&lt;wsp:rsid wsp:val=&quot;000070C3&quot;/&gt;&lt;wsp:rsid wsp:val=&quot;00007501&quot;/&gt;&lt;wsp:rsid wsp:val=&quot;000075B5&quot;/&gt;&lt;wsp:rsid wsp:val=&quot;0000763A&quot;/&gt;&lt;wsp:rsid wsp:val=&quot;0000763C&quot;/&gt;&lt;wsp:rsid wsp:val=&quot;00007661&quot;/&gt;&lt;wsp:rsid wsp:val=&quot;00010000&quot;/&gt;&lt;wsp:rsid wsp:val=&quot;00010950&quot;/&gt;&lt;wsp:rsid wsp:val=&quot;000109DB&quot;/&gt;&lt;wsp:rsid wsp:val=&quot;00010E3E&quot;/&gt;&lt;wsp:rsid wsp:val=&quot;00010E64&quot;/&gt;&lt;wsp:rsid wsp:val=&quot;000111A5&quot;/&gt;&lt;wsp:rsid wsp:val=&quot;000118BD&quot;/&gt;&lt;wsp:rsid wsp:val=&quot;000118E6&quot;/&gt;&lt;wsp:rsid wsp:val=&quot;00011A00&quot;/&gt;&lt;wsp:rsid wsp:val=&quot;00011A44&quot;/&gt;&lt;wsp:rsid wsp:val=&quot;00011CF1&quot;/&gt;&lt;wsp:rsid wsp:val=&quot;000122FC&quot;/&gt;&lt;wsp:rsid wsp:val=&quot;00012464&quot;/&gt;&lt;wsp:rsid wsp:val=&quot;0001253F&quot;/&gt;&lt;wsp:rsid wsp:val=&quot;00012ACA&quot;/&gt;&lt;wsp:rsid wsp:val=&quot;00012C70&quot;/&gt;&lt;wsp:rsid wsp:val=&quot;00012D1B&quot;/&gt;&lt;wsp:rsid wsp:val=&quot;00012F03&quot;/&gt;&lt;wsp:rsid wsp:val=&quot;00013225&quot;/&gt;&lt;wsp:rsid wsp:val=&quot;0001328B&quot;/&gt;&lt;wsp:rsid wsp:val=&quot;00013817&quot;/&gt;&lt;wsp:rsid wsp:val=&quot;00013B98&quot;/&gt;&lt;wsp:rsid wsp:val=&quot;000142E2&quot;/&gt;&lt;wsp:rsid wsp:val=&quot;00014824&quot;/&gt;&lt;wsp:rsid wsp:val=&quot;00014EA2&quot;/&gt;&lt;wsp:rsid wsp:val=&quot;00014F95&quot;/&gt;&lt;wsp:rsid wsp:val=&quot;00015040&quot;/&gt;&lt;wsp:rsid wsp:val=&quot;0001547F&quot;/&gt;&lt;wsp:rsid wsp:val=&quot;000159D7&quot;/&gt;&lt;wsp:rsid wsp:val=&quot;00015C4B&quot;/&gt;&lt;wsp:rsid wsp:val=&quot;00015EA1&quot;/&gt;&lt;wsp:rsid wsp:val=&quot;00015EB9&quot;/&gt;&lt;wsp:rsid wsp:val=&quot;00015FBE&quot;/&gt;&lt;wsp:rsid wsp:val=&quot;000162E8&quot;/&gt;&lt;wsp:rsid wsp:val=&quot;00016782&quot;/&gt;&lt;wsp:rsid wsp:val=&quot;00016785&quot;/&gt;&lt;wsp:rsid wsp:val=&quot;0001678F&quot;/&gt;&lt;wsp:rsid wsp:val=&quot;000168B7&quot;/&gt;&lt;wsp:rsid wsp:val=&quot;00016932&quot;/&gt;&lt;wsp:rsid wsp:val=&quot;00016A53&quot;/&gt;&lt;wsp:rsid wsp:val=&quot;00016DF3&quot;/&gt;&lt;wsp:rsid wsp:val=&quot;00016F55&quot;/&gt;&lt;wsp:rsid wsp:val=&quot;00016F86&quot;/&gt;&lt;wsp:rsid wsp:val=&quot;000175AA&quot;/&gt;&lt;wsp:rsid wsp:val=&quot;00017667&quot;/&gt;&lt;wsp:rsid wsp:val=&quot;0001777B&quot;/&gt;&lt;wsp:rsid wsp:val=&quot;000179BA&quot;/&gt;&lt;wsp:rsid wsp:val=&quot;00017BF9&quot;/&gt;&lt;wsp:rsid wsp:val=&quot;00017C1B&quot;/&gt;&lt;wsp:rsid wsp:val=&quot;00017F59&quot;/&gt;&lt;wsp:rsid wsp:val=&quot;000202E1&quot;/&gt;&lt;wsp:rsid wsp:val=&quot;00020302&quot;/&gt;&lt;wsp:rsid wsp:val=&quot;0002046B&quot;/&gt;&lt;wsp:rsid wsp:val=&quot;000204F7&quot;/&gt;&lt;wsp:rsid wsp:val=&quot;00020646&quot;/&gt;&lt;wsp:rsid wsp:val=&quot;00020932&quot;/&gt;&lt;wsp:rsid wsp:val=&quot;0002122D&quot;/&gt;&lt;wsp:rsid wsp:val=&quot;000212CA&quot;/&gt;&lt;wsp:rsid wsp:val=&quot;000213D9&quot;/&gt;&lt;wsp:rsid wsp:val=&quot;000214AD&quot;/&gt;&lt;wsp:rsid wsp:val=&quot;0002178A&quot;/&gt;&lt;wsp:rsid wsp:val=&quot;00021870&quot;/&gt;&lt;wsp:rsid wsp:val=&quot;00021CC9&quot;/&gt;&lt;wsp:rsid wsp:val=&quot;00021EE7&quot;/&gt;&lt;wsp:rsid wsp:val=&quot;0002246E&quot;/&gt;&lt;wsp:rsid wsp:val=&quot;00022475&quot;/&gt;&lt;wsp:rsid wsp:val=&quot;000224D3&quot;/&gt;&lt;wsp:rsid wsp:val=&quot;00022582&quot;/&gt;&lt;wsp:rsid wsp:val=&quot;00022C49&quot;/&gt;&lt;wsp:rsid wsp:val=&quot;00022C7F&quot;/&gt;&lt;wsp:rsid wsp:val=&quot;00022D40&quot;/&gt;&lt;wsp:rsid wsp:val=&quot;00022EE5&quot;/&gt;&lt;wsp:rsid wsp:val=&quot;00023016&quot;/&gt;&lt;wsp:rsid wsp:val=&quot;00023071&quot;/&gt;&lt;wsp:rsid wsp:val=&quot;00023267&quot;/&gt;&lt;wsp:rsid wsp:val=&quot;000237B4&quot;/&gt;&lt;wsp:rsid wsp:val=&quot;00023819&quot;/&gt;&lt;wsp:rsid wsp:val=&quot;00023C75&quot;/&gt;&lt;wsp:rsid wsp:val=&quot;00023D50&quot;/&gt;&lt;wsp:rsid wsp:val=&quot;00023F32&quot;/&gt;&lt;wsp:rsid wsp:val=&quot;00023F65&quot;/&gt;&lt;wsp:rsid wsp:val=&quot;00023FE7&quot;/&gt;&lt;wsp:rsid wsp:val=&quot;000240C2&quot;/&gt;&lt;wsp:rsid wsp:val=&quot;000240DB&quot;/&gt;&lt;wsp:rsid wsp:val=&quot;000241A1&quot;/&gt;&lt;wsp:rsid wsp:val=&quot;00024371&quot;/&gt;&lt;wsp:rsid wsp:val=&quot;00024525&quot;/&gt;&lt;wsp:rsid wsp:val=&quot;000248D8&quot;/&gt;&lt;wsp:rsid wsp:val=&quot;000249DA&quot;/&gt;&lt;wsp:rsid wsp:val=&quot;00024B3C&quot;/&gt;&lt;wsp:rsid wsp:val=&quot;00025046&quot;/&gt;&lt;wsp:rsid wsp:val=&quot;000252A8&quot;/&gt;&lt;wsp:rsid wsp:val=&quot;00025320&quot;/&gt;&lt;wsp:rsid wsp:val=&quot;0002544D&quot;/&gt;&lt;wsp:rsid wsp:val=&quot;0002562B&quot;/&gt;&lt;wsp:rsid wsp:val=&quot;000256DB&quot;/&gt;&lt;wsp:rsid wsp:val=&quot;00025806&quot;/&gt;&lt;wsp:rsid wsp:val=&quot;00025E7C&quot;/&gt;&lt;wsp:rsid wsp:val=&quot;0002627E&quot;/&gt;&lt;wsp:rsid wsp:val=&quot;00026528&quot;/&gt;&lt;wsp:rsid wsp:val=&quot;0002673C&quot;/&gt;&lt;wsp:rsid wsp:val=&quot;000269C9&quot;/&gt;&lt;wsp:rsid wsp:val=&quot;00026BAA&quot;/&gt;&lt;wsp:rsid wsp:val=&quot;00026DAF&quot;/&gt;&lt;wsp:rsid wsp:val=&quot;000270A2&quot;/&gt;&lt;wsp:rsid wsp:val=&quot;000270F4&quot;/&gt;&lt;wsp:rsid wsp:val=&quot;0002714C&quot;/&gt;&lt;wsp:rsid wsp:val=&quot;000272C4&quot;/&gt;&lt;wsp:rsid wsp:val=&quot;00027344&quot;/&gt;&lt;wsp:rsid wsp:val=&quot;00027469&quot;/&gt;&lt;wsp:rsid wsp:val=&quot;0002749E&quot;/&gt;&lt;wsp:rsid wsp:val=&quot;00027826&quot;/&gt;&lt;wsp:rsid wsp:val=&quot;0002790D&quot;/&gt;&lt;wsp:rsid wsp:val=&quot;00027921&quot;/&gt;&lt;wsp:rsid wsp:val=&quot;00027962&quot;/&gt;&lt;wsp:rsid wsp:val=&quot;00027AAC&quot;/&gt;&lt;wsp:rsid wsp:val=&quot;00027CC8&quot;/&gt;&lt;wsp:rsid wsp:val=&quot;00030778&quot;/&gt;&lt;wsp:rsid wsp:val=&quot;0003077B&quot;/&gt;&lt;wsp:rsid wsp:val=&quot;000309CA&quot;/&gt;&lt;wsp:rsid wsp:val=&quot;00030B81&quot;/&gt;&lt;wsp:rsid wsp:val=&quot;00030C03&quot;/&gt;&lt;wsp:rsid wsp:val=&quot;00030C40&quot;/&gt;&lt;wsp:rsid wsp:val=&quot;00030CCF&quot;/&gt;&lt;wsp:rsid wsp:val=&quot;00030E0B&quot;/&gt;&lt;wsp:rsid wsp:val=&quot;00031347&quot;/&gt;&lt;wsp:rsid wsp:val=&quot;0003168E&quot;/&gt;&lt;wsp:rsid wsp:val=&quot;0003183C&quot;/&gt;&lt;wsp:rsid wsp:val=&quot;0003188F&quot;/&gt;&lt;wsp:rsid wsp:val=&quot;00031A03&quot;/&gt;&lt;wsp:rsid wsp:val=&quot;00031B68&quot;/&gt;&lt;wsp:rsid wsp:val=&quot;00031C7A&quot;/&gt;&lt;wsp:rsid wsp:val=&quot;00031D0A&quot;/&gt;&lt;wsp:rsid wsp:val=&quot;00031EDC&quot;/&gt;&lt;wsp:rsid wsp:val=&quot;00032739&quot;/&gt;&lt;wsp:rsid wsp:val=&quot;00032766&quot;/&gt;&lt;wsp:rsid wsp:val=&quot;00032778&quot;/&gt;&lt;wsp:rsid wsp:val=&quot;00032BB0&quot;/&gt;&lt;wsp:rsid wsp:val=&quot;00032BD3&quot;/&gt;&lt;wsp:rsid wsp:val=&quot;00032FFD&quot;/&gt;&lt;wsp:rsid wsp:val=&quot;0003320F&quot;/&gt;&lt;wsp:rsid wsp:val=&quot;00033356&quot;/&gt;&lt;wsp:rsid wsp:val=&quot;00033453&quot;/&gt;&lt;wsp:rsid wsp:val=&quot;00033810&quot;/&gt;&lt;wsp:rsid wsp:val=&quot;000339A6&quot;/&gt;&lt;wsp:rsid wsp:val=&quot;00033B65&quot;/&gt;&lt;wsp:rsid wsp:val=&quot;00033B79&quot;/&gt;&lt;wsp:rsid wsp:val=&quot;00033EC8&quot;/&gt;&lt;wsp:rsid wsp:val=&quot;00033FE5&quot;/&gt;&lt;wsp:rsid wsp:val=&quot;00034048&quot;/&gt;&lt;wsp:rsid wsp:val=&quot;000340B1&quot;/&gt;&lt;wsp:rsid wsp:val=&quot;00034440&quot;/&gt;&lt;wsp:rsid wsp:val=&quot;000344F0&quot;/&gt;&lt;wsp:rsid wsp:val=&quot;00034806&quot;/&gt;&lt;wsp:rsid wsp:val=&quot;00034B58&quot;/&gt;&lt;wsp:rsid wsp:val=&quot;00034C04&quot;/&gt;&lt;wsp:rsid wsp:val=&quot;00034C56&quot;/&gt;&lt;wsp:rsid wsp:val=&quot;00034D05&quot;/&gt;&lt;wsp:rsid wsp:val=&quot;00034F6C&quot;/&gt;&lt;wsp:rsid wsp:val=&quot;00035332&quot;/&gt;&lt;wsp:rsid wsp:val=&quot;000354CC&quot;/&gt;&lt;wsp:rsid wsp:val=&quot;00035741&quot;/&gt;&lt;wsp:rsid wsp:val=&quot;000359BB&quot;/&gt;&lt;wsp:rsid wsp:val=&quot;00035D13&quot;/&gt;&lt;wsp:rsid wsp:val=&quot;00035EF2&quot;/&gt;&lt;wsp:rsid wsp:val=&quot;00035F88&quot;/&gt;&lt;wsp:rsid wsp:val=&quot;0003623F&quot;/&gt;&lt;wsp:rsid wsp:val=&quot;000362AD&quot;/&gt;&lt;wsp:rsid wsp:val=&quot;0003637C&quot;/&gt;&lt;wsp:rsid wsp:val=&quot;0003660F&quot;/&gt;&lt;wsp:rsid wsp:val=&quot;0003674C&quot;/&gt;&lt;wsp:rsid wsp:val=&quot;00036858&quot;/&gt;&lt;wsp:rsid wsp:val=&quot;00036879&quot;/&gt;&lt;wsp:rsid wsp:val=&quot;00036927&quot;/&gt;&lt;wsp:rsid wsp:val=&quot;00036BA6&quot;/&gt;&lt;wsp:rsid wsp:val=&quot;00036DDB&quot;/&gt;&lt;wsp:rsid wsp:val=&quot;00036EE1&quot;/&gt;&lt;wsp:rsid wsp:val=&quot;00036F69&quot;/&gt;&lt;wsp:rsid wsp:val=&quot;00036F9A&quot;/&gt;&lt;wsp:rsid wsp:val=&quot;00037226&quot;/&gt;&lt;wsp:rsid wsp:val=&quot;00037958&quot;/&gt;&lt;wsp:rsid wsp:val=&quot;000379F1&quot;/&gt;&lt;wsp:rsid wsp:val=&quot;00037C3A&quot;/&gt;&lt;wsp:rsid wsp:val=&quot;000402C0&quot;/&gt;&lt;wsp:rsid wsp:val=&quot;000402CF&quot;/&gt;&lt;wsp:rsid wsp:val=&quot;00040374&quot;/&gt;&lt;wsp:rsid wsp:val=&quot;000403AB&quot;/&gt;&lt;wsp:rsid wsp:val=&quot;00040480&quot;/&gt;&lt;wsp:rsid wsp:val=&quot;000404FC&quot;/&gt;&lt;wsp:rsid wsp:val=&quot;000405C1&quot;/&gt;&lt;wsp:rsid wsp:val=&quot;00040B9C&quot;/&gt;&lt;wsp:rsid wsp:val=&quot;00040D5F&quot;/&gt;&lt;wsp:rsid wsp:val=&quot;000411E5&quot;/&gt;&lt;wsp:rsid wsp:val=&quot;000417F9&quot;/&gt;&lt;wsp:rsid wsp:val=&quot;00041BEE&quot;/&gt;&lt;wsp:rsid wsp:val=&quot;00041BF2&quot;/&gt;&lt;wsp:rsid wsp:val=&quot;00042019&quot;/&gt;&lt;wsp:rsid wsp:val=&quot;00042028&quot;/&gt;&lt;wsp:rsid wsp:val=&quot;00042046&quot;/&gt;&lt;wsp:rsid wsp:val=&quot;00042119&quot;/&gt;&lt;wsp:rsid wsp:val=&quot;000422BD&quot;/&gt;&lt;wsp:rsid wsp:val=&quot;000427F7&quot;/&gt;&lt;wsp:rsid wsp:val=&quot;000429E9&quot;/&gt;&lt;wsp:rsid wsp:val=&quot;00042C96&quot;/&gt;&lt;wsp:rsid wsp:val=&quot;00042D4F&quot;/&gt;&lt;wsp:rsid wsp:val=&quot;00042E01&quot;/&gt;&lt;wsp:rsid wsp:val=&quot;00042EE0&quot;/&gt;&lt;wsp:rsid wsp:val=&quot;00042F6C&quot;/&gt;&lt;wsp:rsid wsp:val=&quot;0004301F&quot;/&gt;&lt;wsp:rsid wsp:val=&quot;000437D7&quot;/&gt;&lt;wsp:rsid wsp:val=&quot;000439D5&quot;/&gt;&lt;wsp:rsid wsp:val=&quot;00043B2E&quot;/&gt;&lt;wsp:rsid wsp:val=&quot;00043EAC&quot;/&gt;&lt;wsp:rsid wsp:val=&quot;00044260&quot;/&gt;&lt;wsp:rsid wsp:val=&quot;00044329&quot;/&gt;&lt;wsp:rsid wsp:val=&quot;00044548&quot;/&gt;&lt;wsp:rsid wsp:val=&quot;000446A1&quot;/&gt;&lt;wsp:rsid wsp:val=&quot;00044713&quot;/&gt;&lt;wsp:rsid wsp:val=&quot;00044C34&quot;/&gt;&lt;wsp:rsid wsp:val=&quot;00044C47&quot;/&gt;&lt;wsp:rsid wsp:val=&quot;00044DEF&quot;/&gt;&lt;wsp:rsid wsp:val=&quot;00044E51&quot;/&gt;&lt;wsp:rsid wsp:val=&quot;0004530D&quot;/&gt;&lt;wsp:rsid wsp:val=&quot;00045455&quot;/&gt;&lt;wsp:rsid wsp:val=&quot;0004552F&quot;/&gt;&lt;wsp:rsid wsp:val=&quot;00045687&quot;/&gt;&lt;wsp:rsid wsp:val=&quot;00045A1C&quot;/&gt;&lt;wsp:rsid wsp:val=&quot;00045D77&quot;/&gt;&lt;wsp:rsid wsp:val=&quot;00045EEF&quot;/&gt;&lt;wsp:rsid wsp:val=&quot;00046045&quot;/&gt;&lt;wsp:rsid wsp:val=&quot;00046111&quot;/&gt;&lt;wsp:rsid wsp:val=&quot;000462E7&quot;/&gt;&lt;wsp:rsid wsp:val=&quot;0004632E&quot;/&gt;&lt;wsp:rsid wsp:val=&quot;00046422&quot;/&gt;&lt;wsp:rsid wsp:val=&quot;00046592&quot;/&gt;&lt;wsp:rsid wsp:val=&quot;0004684E&quot;/&gt;&lt;wsp:rsid wsp:val=&quot;00046978&quot;/&gt;&lt;wsp:rsid wsp:val=&quot;00046CD9&quot;/&gt;&lt;wsp:rsid wsp:val=&quot;00046E4E&quot;/&gt;&lt;wsp:rsid wsp:val=&quot;00046F4C&quot;/&gt;&lt;wsp:rsid wsp:val=&quot;00047274&quot;/&gt;&lt;wsp:rsid wsp:val=&quot;00047BC8&quot;/&gt;&lt;wsp:rsid wsp:val=&quot;00047C9A&quot;/&gt;&lt;wsp:rsid wsp:val=&quot;00047FBF&quot;/&gt;&lt;wsp:rsid wsp:val=&quot;00050255&quot;/&gt;&lt;wsp:rsid wsp:val=&quot;00050357&quot;/&gt;&lt;wsp:rsid wsp:val=&quot;00050452&quot;/&gt;&lt;wsp:rsid wsp:val=&quot;000506D2&quot;/&gt;&lt;wsp:rsid wsp:val=&quot;00050A1C&quot;/&gt;&lt;wsp:rsid wsp:val=&quot;00050B6D&quot;/&gt;&lt;wsp:rsid wsp:val=&quot;00050CAA&quot;/&gt;&lt;wsp:rsid wsp:val=&quot;00050CCB&quot;/&gt;&lt;wsp:rsid wsp:val=&quot;00050CD7&quot;/&gt;&lt;wsp:rsid wsp:val=&quot;000517F8&quot;/&gt;&lt;wsp:rsid wsp:val=&quot;0005185E&quot;/&gt;&lt;wsp:rsid wsp:val=&quot;00051BD8&quot;/&gt;&lt;wsp:rsid wsp:val=&quot;000521C0&quot;/&gt;&lt;wsp:rsid wsp:val=&quot;00052591&quot;/&gt;&lt;wsp:rsid wsp:val=&quot;000526A3&quot;/&gt;&lt;wsp:rsid wsp:val=&quot;00052AB6&quot;/&gt;&lt;wsp:rsid wsp:val=&quot;00052AF9&quot;/&gt;&lt;wsp:rsid wsp:val=&quot;00052CE0&quot;/&gt;&lt;wsp:rsid wsp:val=&quot;000532EF&quot;/&gt;&lt;wsp:rsid wsp:val=&quot;00053527&quot;/&gt;&lt;wsp:rsid wsp:val=&quot;0005363B&quot;/&gt;&lt;wsp:rsid wsp:val=&quot;000536CC&quot;/&gt;&lt;wsp:rsid wsp:val=&quot;00053721&quot;/&gt;&lt;wsp:rsid wsp:val=&quot;0005397E&quot;/&gt;&lt;wsp:rsid wsp:val=&quot;00053A48&quot;/&gt;&lt;wsp:rsid wsp:val=&quot;00053B18&quot;/&gt;&lt;wsp:rsid wsp:val=&quot;00053B2C&quot;/&gt;&lt;wsp:rsid wsp:val=&quot;00053D6C&quot;/&gt;&lt;wsp:rsid wsp:val=&quot;00054079&quot;/&gt;&lt;wsp:rsid wsp:val=&quot;0005416F&quot;/&gt;&lt;wsp:rsid wsp:val=&quot;00054290&quot;/&gt;&lt;wsp:rsid wsp:val=&quot;000543BD&quot;/&gt;&lt;wsp:rsid wsp:val=&quot;000543E3&quot;/&gt;&lt;wsp:rsid wsp:val=&quot;00054CBF&quot;/&gt;&lt;wsp:rsid wsp:val=&quot;00055108&quot;/&gt;&lt;wsp:rsid wsp:val=&quot;0005516A&quot;/&gt;&lt;wsp:rsid wsp:val=&quot;00055190&quot;/&gt;&lt;wsp:rsid wsp:val=&quot;000553C6&quot;/&gt;&lt;wsp:rsid wsp:val=&quot;0005546B&quot;/&gt;&lt;wsp:rsid wsp:val=&quot;000555AB&quot;/&gt;&lt;wsp:rsid wsp:val=&quot;0005563C&quot;/&gt;&lt;wsp:rsid wsp:val=&quot;00055AE5&quot;/&gt;&lt;wsp:rsid wsp:val=&quot;00055E7A&quot;/&gt;&lt;wsp:rsid wsp:val=&quot;0005622E&quot;/&gt;&lt;wsp:rsid wsp:val=&quot;00056774&quot;/&gt;&lt;wsp:rsid wsp:val=&quot;0005697C&quot;/&gt;&lt;wsp:rsid wsp:val=&quot;00056AF5&quot;/&gt;&lt;wsp:rsid wsp:val=&quot;00056C0B&quot;/&gt;&lt;wsp:rsid wsp:val=&quot;00056CA4&quot;/&gt;&lt;wsp:rsid wsp:val=&quot;00056D7C&quot;/&gt;&lt;wsp:rsid wsp:val=&quot;00056DAB&quot;/&gt;&lt;wsp:rsid wsp:val=&quot;00056DAE&quot;/&gt;&lt;wsp:rsid wsp:val=&quot;00056F76&quot;/&gt;&lt;wsp:rsid wsp:val=&quot;00056FC1&quot;/&gt;&lt;wsp:rsid wsp:val=&quot;000570AF&quot;/&gt;&lt;wsp:rsid wsp:val=&quot;00057385&quot;/&gt;&lt;wsp:rsid wsp:val=&quot;000573B8&quot;/&gt;&lt;wsp:rsid wsp:val=&quot;000574F7&quot;/&gt;&lt;wsp:rsid wsp:val=&quot;000576CD&quot;/&gt;&lt;wsp:rsid wsp:val=&quot;00057D71&quot;/&gt;&lt;wsp:rsid wsp:val=&quot;00057D7E&quot;/&gt;&lt;wsp:rsid wsp:val=&quot;00057E83&quot;/&gt;&lt;wsp:rsid wsp:val=&quot;00057EB6&quot;/&gt;&lt;wsp:rsid wsp:val=&quot;000603DC&quot;/&gt;&lt;wsp:rsid wsp:val=&quot;000605F1&quot;/&gt;&lt;wsp:rsid wsp:val=&quot;000607A3&quot;/&gt;&lt;wsp:rsid wsp:val=&quot;00060D4B&quot;/&gt;&lt;wsp:rsid wsp:val=&quot;00060DF7&quot;/&gt;&lt;wsp:rsid wsp:val=&quot;00060E74&quot;/&gt;&lt;wsp:rsid wsp:val=&quot;0006103F&quot;/&gt;&lt;wsp:rsid wsp:val=&quot;0006106D&quot;/&gt;&lt;wsp:rsid wsp:val=&quot;0006118D&quot;/&gt;&lt;wsp:rsid wsp:val=&quot;000612D8&quot;/&gt;&lt;wsp:rsid wsp:val=&quot;000614D2&quot;/&gt;&lt;wsp:rsid wsp:val=&quot;00061AB7&quot;/&gt;&lt;wsp:rsid wsp:val=&quot;00061B46&quot;/&gt;&lt;wsp:rsid wsp:val=&quot;00062099&quot;/&gt;&lt;wsp:rsid wsp:val=&quot;0006244C&quot;/&gt;&lt;wsp:rsid wsp:val=&quot;00062548&quot;/&gt;&lt;wsp:rsid wsp:val=&quot;000625E8&quot;/&gt;&lt;wsp:rsid wsp:val=&quot;00062AEB&quot;/&gt;&lt;wsp:rsid wsp:val=&quot;00062BB2&quot;/&gt;&lt;wsp:rsid wsp:val=&quot;00063298&quot;/&gt;&lt;wsp:rsid wsp:val=&quot;00063552&quot;/&gt;&lt;wsp:rsid wsp:val=&quot;0006357F&quot;/&gt;&lt;wsp:rsid wsp:val=&quot;00063C41&quot;/&gt;&lt;wsp:rsid wsp:val=&quot;00063EDF&quot;/&gt;&lt;wsp:rsid wsp:val=&quot;00063EE0&quot;/&gt;&lt;wsp:rsid wsp:val=&quot;000642C7&quot;/&gt;&lt;wsp:rsid wsp:val=&quot;000646EC&quot;/&gt;&lt;wsp:rsid wsp:val=&quot;000649F8&quot;/&gt;&lt;wsp:rsid wsp:val=&quot;00064CD2&quot;/&gt;&lt;wsp:rsid wsp:val=&quot;00064F8D&quot;/&gt;&lt;wsp:rsid wsp:val=&quot;0006543A&quot;/&gt;&lt;wsp:rsid wsp:val=&quot;000654BE&quot;/&gt;&lt;wsp:rsid wsp:val=&quot;0006572E&quot;/&gt;&lt;wsp:rsid wsp:val=&quot;0006574B&quot;/&gt;&lt;wsp:rsid wsp:val=&quot;00065F98&quot;/&gt;&lt;wsp:rsid wsp:val=&quot;00066234&quot;/&gt;&lt;wsp:rsid wsp:val=&quot;000663D4&quot;/&gt;&lt;wsp:rsid wsp:val=&quot;000664F2&quot;/&gt;&lt;wsp:rsid wsp:val=&quot;0006663E&quot;/&gt;&lt;wsp:rsid wsp:val=&quot;00066984&quot;/&gt;&lt;wsp:rsid wsp:val=&quot;00066E67&quot;/&gt;&lt;wsp:rsid wsp:val=&quot;00066F6E&quot;/&gt;&lt;wsp:rsid wsp:val=&quot;00066F8D&quot;/&gt;&lt;wsp:rsid wsp:val=&quot;000670C8&quot;/&gt;&lt;wsp:rsid wsp:val=&quot;0006739A&quot;/&gt;&lt;wsp:rsid wsp:val=&quot;00067C40&quot;/&gt;&lt;wsp:rsid wsp:val=&quot;00067C54&quot;/&gt;&lt;wsp:rsid wsp:val=&quot;00067E5E&quot;/&gt;&lt;wsp:rsid wsp:val=&quot;00067FDD&quot;/&gt;&lt;wsp:rsid wsp:val=&quot;000707EF&quot;/&gt;&lt;wsp:rsid wsp:val=&quot;00070D4A&quot;/&gt;&lt;wsp:rsid wsp:val=&quot;0007105F&quot;/&gt;&lt;wsp:rsid wsp:val=&quot;000711E6&quot;/&gt;&lt;wsp:rsid wsp:val=&quot;0007133F&quot;/&gt;&lt;wsp:rsid wsp:val=&quot;00071465&quot;/&gt;&lt;wsp:rsid wsp:val=&quot;0007146A&quot;/&gt;&lt;wsp:rsid wsp:val=&quot;0007198E&quot;/&gt;&lt;wsp:rsid wsp:val=&quot;00071B7B&quot;/&gt;&lt;wsp:rsid wsp:val=&quot;00071B9F&quot;/&gt;&lt;wsp:rsid wsp:val=&quot;0007207A&quot;/&gt;&lt;wsp:rsid wsp:val=&quot;000722DC&quot;/&gt;&lt;wsp:rsid wsp:val=&quot;000725E4&quot;/&gt;&lt;wsp:rsid wsp:val=&quot;000725ED&quot;/&gt;&lt;wsp:rsid wsp:val=&quot;0007296F&quot;/&gt;&lt;wsp:rsid wsp:val=&quot;00072A67&quot;/&gt;&lt;wsp:rsid wsp:val=&quot;00072E1D&quot;/&gt;&lt;wsp:rsid wsp:val=&quot;00073176&quot;/&gt;&lt;wsp:rsid wsp:val=&quot;0007317A&quot;/&gt;&lt;wsp:rsid wsp:val=&quot;000734DE&quot;/&gt;&lt;wsp:rsid wsp:val=&quot;0007391A&quot;/&gt;&lt;wsp:rsid wsp:val=&quot;0007393C&quot;/&gt;&lt;wsp:rsid wsp:val=&quot;000739D4&quot;/&gt;&lt;wsp:rsid wsp:val=&quot;00073AE8&quot;/&gt;&lt;wsp:rsid wsp:val=&quot;00073D00&quot;/&gt;&lt;wsp:rsid wsp:val=&quot;00073D9E&quot;/&gt;&lt;wsp:rsid wsp:val=&quot;00074017&quot;/&gt;&lt;wsp:rsid wsp:val=&quot;00074258&quot;/&gt;&lt;wsp:rsid wsp:val=&quot;00074BC8&quot;/&gt;&lt;wsp:rsid wsp:val=&quot;00074CA1&quot;/&gt;&lt;wsp:rsid wsp:val=&quot;00074DBF&quot;/&gt;&lt;wsp:rsid wsp:val=&quot;00074E4E&quot;/&gt;&lt;wsp:rsid wsp:val=&quot;000754B8&quot;/&gt;&lt;wsp:rsid wsp:val=&quot;00075569&quot;/&gt;&lt;wsp:rsid wsp:val=&quot;00075596&quot;/&gt;&lt;wsp:rsid wsp:val=&quot;00075953&quot;/&gt;&lt;wsp:rsid wsp:val=&quot;00075A1F&quot;/&gt;&lt;wsp:rsid wsp:val=&quot;00075C91&quot;/&gt;&lt;wsp:rsid wsp:val=&quot;00075EA8&quot;/&gt;&lt;wsp:rsid wsp:val=&quot;00075F0F&quot;/&gt;&lt;wsp:rsid wsp:val=&quot;00075F90&quot;/&gt;&lt;wsp:rsid wsp:val=&quot;00076556&quot;/&gt;&lt;wsp:rsid wsp:val=&quot;00076E41&quot;/&gt;&lt;wsp:rsid wsp:val=&quot;00076E64&quot;/&gt;&lt;wsp:rsid wsp:val=&quot;00076FEF&quot;/&gt;&lt;wsp:rsid wsp:val=&quot;0007723F&quot;/&gt;&lt;wsp:rsid wsp:val=&quot;000774FA&quot;/&gt;&lt;wsp:rsid wsp:val=&quot;0007758A&quot;/&gt;&lt;wsp:rsid wsp:val=&quot;00077665&quot;/&gt;&lt;wsp:rsid wsp:val=&quot;000776B5&quot;/&gt;&lt;wsp:rsid wsp:val=&quot;000777A1&quot;/&gt;&lt;wsp:rsid wsp:val=&quot;0007793B&quot;/&gt;&lt;wsp:rsid wsp:val=&quot;00077C9D&quot;/&gt;&lt;wsp:rsid wsp:val=&quot;00077CD8&quot;/&gt;&lt;wsp:rsid wsp:val=&quot;00077D17&quot;/&gt;&lt;wsp:rsid wsp:val=&quot;00077EB6&quot;/&gt;&lt;wsp:rsid wsp:val=&quot;0008008C&quot;/&gt;&lt;wsp:rsid wsp:val=&quot;0008026A&quot;/&gt;&lt;wsp:rsid wsp:val=&quot;00080292&quot;/&gt;&lt;wsp:rsid wsp:val=&quot;00080A44&quot;/&gt;&lt;wsp:rsid wsp:val=&quot;00080CD8&quot;/&gt;&lt;wsp:rsid wsp:val=&quot;000810AC&quot;/&gt;&lt;wsp:rsid wsp:val=&quot;000811A9&quot;/&gt;&lt;wsp:rsid wsp:val=&quot;000811ED&quot;/&gt;&lt;wsp:rsid wsp:val=&quot;0008191C&quot;/&gt;&lt;wsp:rsid wsp:val=&quot;00081A47&quot;/&gt;&lt;wsp:rsid wsp:val=&quot;00081C9A&quot;/&gt;&lt;wsp:rsid wsp:val=&quot;00081CBA&quot;/&gt;&lt;wsp:rsid wsp:val=&quot;00081CCC&quot;/&gt;&lt;wsp:rsid wsp:val=&quot;00081DC6&quot;/&gt;&lt;wsp:rsid wsp:val=&quot;00081E93&quot;/&gt;&lt;wsp:rsid wsp:val=&quot;00081F13&quot;/&gt;&lt;wsp:rsid wsp:val=&quot;00082145&quot;/&gt;&lt;wsp:rsid wsp:val=&quot;000823DA&quot;/&gt;&lt;wsp:rsid wsp:val=&quot;00082562&quot;/&gt;&lt;wsp:rsid wsp:val=&quot;000828B1&quot;/&gt;&lt;wsp:rsid wsp:val=&quot;00082B28&quot;/&gt;&lt;wsp:rsid wsp:val=&quot;00082BEB&quot;/&gt;&lt;wsp:rsid wsp:val=&quot;00082D42&quot;/&gt;&lt;wsp:rsid wsp:val=&quot;00082D51&quot;/&gt;&lt;wsp:rsid wsp:val=&quot;00082D79&quot;/&gt;&lt;wsp:rsid wsp:val=&quot;00082E87&quot;/&gt;&lt;wsp:rsid wsp:val=&quot;00083037&quot;/&gt;&lt;wsp:rsid wsp:val=&quot;00083089&quot;/&gt;&lt;wsp:rsid wsp:val=&quot;000831EF&quot;/&gt;&lt;wsp:rsid wsp:val=&quot;00083487&quot;/&gt;&lt;wsp:rsid wsp:val=&quot;0008358F&quot;/&gt;&lt;wsp:rsid wsp:val=&quot;000836A3&quot;/&gt;&lt;wsp:rsid wsp:val=&quot;000837C1&quot;/&gt;&lt;wsp:rsid wsp:val=&quot;00083BD3&quot;/&gt;&lt;wsp:rsid wsp:val=&quot;00083D85&quot;/&gt;&lt;wsp:rsid wsp:val=&quot;00083F1A&quot;/&gt;&lt;wsp:rsid wsp:val=&quot;000841BC&quot;/&gt;&lt;wsp:rsid wsp:val=&quot;000842A7&quot;/&gt;&lt;wsp:rsid wsp:val=&quot;000844FD&quot;/&gt;&lt;wsp:rsid wsp:val=&quot;000846CB&quot;/&gt;&lt;wsp:rsid wsp:val=&quot;0008471E&quot;/&gt;&lt;wsp:rsid wsp:val=&quot;00084F2B&quot;/&gt;&lt;wsp:rsid wsp:val=&quot;00085136&quot;/&gt;&lt;wsp:rsid wsp:val=&quot;0008522C&quot;/&gt;&lt;wsp:rsid wsp:val=&quot;0008526E&quot;/&gt;&lt;wsp:rsid wsp:val=&quot;00085B96&quot;/&gt;&lt;wsp:rsid wsp:val=&quot;0008603B&quot;/&gt;&lt;wsp:rsid wsp:val=&quot;00086240&quot;/&gt;&lt;wsp:rsid wsp:val=&quot;000862AC&quot;/&gt;&lt;wsp:rsid wsp:val=&quot;00086370&quot;/&gt;&lt;wsp:rsid wsp:val=&quot;00086975&quot;/&gt;&lt;wsp:rsid wsp:val=&quot;00086990&quot;/&gt;&lt;wsp:rsid wsp:val=&quot;00086C54&quot;/&gt;&lt;wsp:rsid wsp:val=&quot;00086D56&quot;/&gt;&lt;wsp:rsid wsp:val=&quot;00086D7A&quot;/&gt;&lt;wsp:rsid wsp:val=&quot;00086D7B&quot;/&gt;&lt;wsp:rsid wsp:val=&quot;0008705E&quot;/&gt;&lt;wsp:rsid wsp:val=&quot;00087316&quot;/&gt;&lt;wsp:rsid wsp:val=&quot;00087434&quot;/&gt;&lt;wsp:rsid wsp:val=&quot;000875D2&quot;/&gt;&lt;wsp:rsid wsp:val=&quot;000876C9&quot;/&gt;&lt;wsp:rsid wsp:val=&quot;000878F1&quot;/&gt;&lt;wsp:rsid wsp:val=&quot;00087C3C&quot;/&gt;&lt;wsp:rsid wsp:val=&quot;00087D8D&quot;/&gt;&lt;wsp:rsid wsp:val=&quot;000905E8&quot;/&gt;&lt;wsp:rsid wsp:val=&quot;00090813&quot;/&gt;&lt;wsp:rsid wsp:val=&quot;00090A18&quot;/&gt;&lt;wsp:rsid wsp:val=&quot;00090AC8&quot;/&gt;&lt;wsp:rsid wsp:val=&quot;00090CF4&quot;/&gt;&lt;wsp:rsid wsp:val=&quot;000913AE&quot;/&gt;&lt;wsp:rsid wsp:val=&quot;000914F2&quot;/&gt;&lt;wsp:rsid wsp:val=&quot;00091514&quot;/&gt;&lt;wsp:rsid wsp:val=&quot;00091557&quot;/&gt;&lt;wsp:rsid wsp:val=&quot;00091602&quot;/&gt;&lt;wsp:rsid wsp:val=&quot;00091625&quot;/&gt;&lt;wsp:rsid wsp:val=&quot;00091626&quot;/&gt;&lt;wsp:rsid wsp:val=&quot;00091837&quot;/&gt;&lt;wsp:rsid wsp:val=&quot;00091B14&quot;/&gt;&lt;wsp:rsid wsp:val=&quot;00091EEC&quot;/&gt;&lt;wsp:rsid wsp:val=&quot;00092224&quot;/&gt;&lt;wsp:rsid wsp:val=&quot;000924C4&quot;/&gt;&lt;wsp:rsid wsp:val=&quot;000924CE&quot;/&gt;&lt;wsp:rsid wsp:val=&quot;000927FB&quot;/&gt;&lt;wsp:rsid wsp:val=&quot;000929EB&quot;/&gt;&lt;wsp:rsid wsp:val=&quot;00092C69&quot;/&gt;&lt;wsp:rsid wsp:val=&quot;00092F22&quot;/&gt;&lt;wsp:rsid wsp:val=&quot;00093090&quot;/&gt;&lt;wsp:rsid wsp:val=&quot;0009336D&quot;/&gt;&lt;wsp:rsid wsp:val=&quot;000933F1&quot;/&gt;&lt;wsp:rsid wsp:val=&quot;0009340B&quot;/&gt;&lt;wsp:rsid wsp:val=&quot;0009354C&quot;/&gt;&lt;wsp:rsid wsp:val=&quot;00093598&quot;/&gt;&lt;wsp:rsid wsp:val=&quot;000937DA&quot;/&gt;&lt;wsp:rsid wsp:val=&quot;0009385E&quot;/&gt;&lt;wsp:rsid wsp:val=&quot;000939B0&quot;/&gt;&lt;wsp:rsid wsp:val=&quot;00093AED&quot;/&gt;&lt;wsp:rsid wsp:val=&quot;00093BE1&quot;/&gt;&lt;wsp:rsid wsp:val=&quot;00093E99&quot;/&gt;&lt;wsp:rsid wsp:val=&quot;00094557&quot;/&gt;&lt;wsp:rsid wsp:val=&quot;000945F6&quot;/&gt;&lt;wsp:rsid wsp:val=&quot;00094778&quot;/&gt;&lt;wsp:rsid wsp:val=&quot;00094FA3&quot;/&gt;&lt;wsp:rsid wsp:val=&quot;00094FAD&quot;/&gt;&lt;wsp:rsid wsp:val=&quot;00095351&quot;/&gt;&lt;wsp:rsid wsp:val=&quot;000958F8&quot;/&gt;&lt;wsp:rsid wsp:val=&quot;00095B50&quot;/&gt;&lt;wsp:rsid wsp:val=&quot;00096171&quot;/&gt;&lt;wsp:rsid wsp:val=&quot;000962D6&quot;/&gt;&lt;wsp:rsid wsp:val=&quot;0009632E&quot;/&gt;&lt;wsp:rsid wsp:val=&quot;0009639C&quot;/&gt;&lt;wsp:rsid wsp:val=&quot;000965F0&quot;/&gt;&lt;wsp:rsid wsp:val=&quot;00096756&quot;/&gt;&lt;wsp:rsid wsp:val=&quot;00096799&quot;/&gt;&lt;wsp:rsid wsp:val=&quot;00097069&quot;/&gt;&lt;wsp:rsid wsp:val=&quot;000974FF&quot;/&gt;&lt;wsp:rsid wsp:val=&quot;00097517&quot;/&gt;&lt;wsp:rsid wsp:val=&quot;000976FE&quot;/&gt;&lt;wsp:rsid wsp:val=&quot;00097BA3&quot;/&gt;&lt;wsp:rsid wsp:val=&quot;00097C02&quot;/&gt;&lt;wsp:rsid wsp:val=&quot;00097EB6&quot;/&gt;&lt;wsp:rsid wsp:val=&quot;00097F4D&quot;/&gt;&lt;wsp:rsid wsp:val=&quot;000A025E&quot;/&gt;&lt;wsp:rsid wsp:val=&quot;000A0353&quot;/&gt;&lt;wsp:rsid wsp:val=&quot;000A06E5&quot;/&gt;&lt;wsp:rsid wsp:val=&quot;000A09A8&quot;/&gt;&lt;wsp:rsid wsp:val=&quot;000A0DAB&quot;/&gt;&lt;wsp:rsid wsp:val=&quot;000A0F2E&quot;/&gt;&lt;wsp:rsid wsp:val=&quot;000A11CB&quot;/&gt;&lt;wsp:rsid wsp:val=&quot;000A12A2&quot;/&gt;&lt;wsp:rsid wsp:val=&quot;000A13EF&quot;/&gt;&lt;wsp:rsid wsp:val=&quot;000A154F&quot;/&gt;&lt;wsp:rsid wsp:val=&quot;000A1575&quot;/&gt;&lt;wsp:rsid wsp:val=&quot;000A18A2&quot;/&gt;&lt;wsp:rsid wsp:val=&quot;000A18F6&quot;/&gt;&lt;wsp:rsid wsp:val=&quot;000A1C6B&quot;/&gt;&lt;wsp:rsid wsp:val=&quot;000A1D6E&quot;/&gt;&lt;wsp:rsid wsp:val=&quot;000A20FA&quot;/&gt;&lt;wsp:rsid wsp:val=&quot;000A21A3&quot;/&gt;&lt;wsp:rsid wsp:val=&quot;000A21DA&quot;/&gt;&lt;wsp:rsid wsp:val=&quot;000A2553&quot;/&gt;&lt;wsp:rsid wsp:val=&quot;000A26C4&quot;/&gt;&lt;wsp:rsid wsp:val=&quot;000A2743&quot;/&gt;&lt;wsp:rsid wsp:val=&quot;000A2928&quot;/&gt;&lt;wsp:rsid wsp:val=&quot;000A29AD&quot;/&gt;&lt;wsp:rsid wsp:val=&quot;000A3054&quot;/&gt;&lt;wsp:rsid wsp:val=&quot;000A3BA8&quot;/&gt;&lt;wsp:rsid wsp:val=&quot;000A3EA2&quot;/&gt;&lt;wsp:rsid wsp:val=&quot;000A3FFB&quot;/&gt;&lt;wsp:rsid wsp:val=&quot;000A42E1&quot;/&gt;&lt;wsp:rsid wsp:val=&quot;000A4552&quot;/&gt;&lt;wsp:rsid wsp:val=&quot;000A4AE6&quot;/&gt;&lt;wsp:rsid wsp:val=&quot;000A4F83&quot;/&gt;&lt;wsp:rsid wsp:val=&quot;000A51CF&quot;/&gt;&lt;wsp:rsid wsp:val=&quot;000A5294&quot;/&gt;&lt;wsp:rsid wsp:val=&quot;000A544B&quot;/&gt;&lt;wsp:rsid wsp:val=&quot;000A572A&quot;/&gt;&lt;wsp:rsid wsp:val=&quot;000A58B9&quot;/&gt;&lt;wsp:rsid wsp:val=&quot;000A5932&quot;/&gt;&lt;wsp:rsid wsp:val=&quot;000A5D1D&quot;/&gt;&lt;wsp:rsid wsp:val=&quot;000A5FF2&quot;/&gt;&lt;wsp:rsid wsp:val=&quot;000A603D&quot;/&gt;&lt;wsp:rsid wsp:val=&quot;000A62BB&quot;/&gt;&lt;wsp:rsid wsp:val=&quot;000A6491&quot;/&gt;&lt;wsp:rsid wsp:val=&quot;000A6813&quot;/&gt;&lt;wsp:rsid wsp:val=&quot;000A6ECC&quot;/&gt;&lt;wsp:rsid wsp:val=&quot;000A743E&quot;/&gt;&lt;wsp:rsid wsp:val=&quot;000A749F&quot;/&gt;&lt;wsp:rsid wsp:val=&quot;000A75C0&quot;/&gt;&lt;wsp:rsid wsp:val=&quot;000A76A8&quot;/&gt;&lt;wsp:rsid wsp:val=&quot;000A7A9B&quot;/&gt;&lt;wsp:rsid wsp:val=&quot;000A7BED&quot;/&gt;&lt;wsp:rsid wsp:val=&quot;000A7C11&quot;/&gt;&lt;wsp:rsid wsp:val=&quot;000A7C8D&quot;/&gt;&lt;wsp:rsid wsp:val=&quot;000A7D08&quot;/&gt;&lt;wsp:rsid wsp:val=&quot;000A7E36&quot;/&gt;&lt;wsp:rsid wsp:val=&quot;000A7E91&quot;/&gt;&lt;wsp:rsid wsp:val=&quot;000A7F98&quot;/&gt;&lt;wsp:rsid wsp:val=&quot;000B0585&quot;/&gt;&lt;wsp:rsid wsp:val=&quot;000B082A&quot;/&gt;&lt;wsp:rsid wsp:val=&quot;000B0977&quot;/&gt;&lt;wsp:rsid wsp:val=&quot;000B0CEF&quot;/&gt;&lt;wsp:rsid wsp:val=&quot;000B11D6&quot;/&gt;&lt;wsp:rsid wsp:val=&quot;000B1547&quot;/&gt;&lt;wsp:rsid wsp:val=&quot;000B1840&quot;/&gt;&lt;wsp:rsid wsp:val=&quot;000B185A&quot;/&gt;&lt;wsp:rsid wsp:val=&quot;000B188D&quot;/&gt;&lt;wsp:rsid wsp:val=&quot;000B1DC1&quot;/&gt;&lt;wsp:rsid wsp:val=&quot;000B22FC&quot;/&gt;&lt;wsp:rsid wsp:val=&quot;000B2680&quot;/&gt;&lt;wsp:rsid wsp:val=&quot;000B2917&quot;/&gt;&lt;wsp:rsid wsp:val=&quot;000B29EC&quot;/&gt;&lt;wsp:rsid wsp:val=&quot;000B2A02&quot;/&gt;&lt;wsp:rsid wsp:val=&quot;000B2A05&quot;/&gt;&lt;wsp:rsid wsp:val=&quot;000B2ADC&quot;/&gt;&lt;wsp:rsid wsp:val=&quot;000B2DD1&quot;/&gt;&lt;wsp:rsid wsp:val=&quot;000B2E58&quot;/&gt;&lt;wsp:rsid wsp:val=&quot;000B2F57&quot;/&gt;&lt;wsp:rsid wsp:val=&quot;000B30D3&quot;/&gt;&lt;wsp:rsid wsp:val=&quot;000B31DB&quot;/&gt;&lt;wsp:rsid wsp:val=&quot;000B38CB&quot;/&gt;&lt;wsp:rsid wsp:val=&quot;000B41FF&quot;/&gt;&lt;wsp:rsid wsp:val=&quot;000B46A3&quot;/&gt;&lt;wsp:rsid wsp:val=&quot;000B4BB2&quot;/&gt;&lt;wsp:rsid wsp:val=&quot;000B4EAF&quot;/&gt;&lt;wsp:rsid wsp:val=&quot;000B5053&quot;/&gt;&lt;wsp:rsid wsp:val=&quot;000B5149&quot;/&gt;&lt;wsp:rsid wsp:val=&quot;000B516F&quot;/&gt;&lt;wsp:rsid wsp:val=&quot;000B5277&quot;/&gt;&lt;wsp:rsid wsp:val=&quot;000B54BD&quot;/&gt;&lt;wsp:rsid wsp:val=&quot;000B56A7&quot;/&gt;&lt;wsp:rsid wsp:val=&quot;000B5874&quot;/&gt;&lt;wsp:rsid wsp:val=&quot;000B59ED&quot;/&gt;&lt;wsp:rsid wsp:val=&quot;000B5BC9&quot;/&gt;&lt;wsp:rsid wsp:val=&quot;000B5D35&quot;/&gt;&lt;wsp:rsid wsp:val=&quot;000B5E8B&quot;/&gt;&lt;wsp:rsid wsp:val=&quot;000B6114&quot;/&gt;&lt;wsp:rsid wsp:val=&quot;000B611D&quot;/&gt;&lt;wsp:rsid wsp:val=&quot;000B6209&quot;/&gt;&lt;wsp:rsid wsp:val=&quot;000B6753&quot;/&gt;&lt;wsp:rsid wsp:val=&quot;000B68FC&quot;/&gt;&lt;wsp:rsid wsp:val=&quot;000B6A4C&quot;/&gt;&lt;wsp:rsid wsp:val=&quot;000B6AD8&quot;/&gt;&lt;wsp:rsid wsp:val=&quot;000B6B7B&quot;/&gt;&lt;wsp:rsid wsp:val=&quot;000B6CE3&quot;/&gt;&lt;wsp:rsid wsp:val=&quot;000B6EE8&quot;/&gt;&lt;wsp:rsid wsp:val=&quot;000B7670&quot;/&gt;&lt;wsp:rsid wsp:val=&quot;000B77D7&quot;/&gt;&lt;wsp:rsid wsp:val=&quot;000B781A&quot;/&gt;&lt;wsp:rsid wsp:val=&quot;000B7C55&quot;/&gt;&lt;wsp:rsid wsp:val=&quot;000B7E0C&quot;/&gt;&lt;wsp:rsid wsp:val=&quot;000B7E87&quot;/&gt;&lt;wsp:rsid wsp:val=&quot;000C0915&quot;/&gt;&lt;wsp:rsid wsp:val=&quot;000C0BF8&quot;/&gt;&lt;wsp:rsid wsp:val=&quot;000C0CC6&quot;/&gt;&lt;wsp:rsid wsp:val=&quot;000C1049&quot;/&gt;&lt;wsp:rsid wsp:val=&quot;000C15D5&quot;/&gt;&lt;wsp:rsid wsp:val=&quot;000C1CE0&quot;/&gt;&lt;wsp:rsid wsp:val=&quot;000C209A&quot;/&gt;&lt;wsp:rsid wsp:val=&quot;000C2172&quot;/&gt;&lt;wsp:rsid wsp:val=&quot;000C2179&quot;/&gt;&lt;wsp:rsid wsp:val=&quot;000C2191&quot;/&gt;&lt;wsp:rsid wsp:val=&quot;000C22A1&quot;/&gt;&lt;wsp:rsid wsp:val=&quot;000C24BD&quot;/&gt;&lt;wsp:rsid wsp:val=&quot;000C253F&quot;/&gt;&lt;wsp:rsid wsp:val=&quot;000C29A0&quot;/&gt;&lt;wsp:rsid wsp:val=&quot;000C29AF&quot;/&gt;&lt;wsp:rsid wsp:val=&quot;000C310B&quot;/&gt;&lt;wsp:rsid wsp:val=&quot;000C3212&quot;/&gt;&lt;wsp:rsid wsp:val=&quot;000C3338&quot;/&gt;&lt;wsp:rsid wsp:val=&quot;000C367B&quot;/&gt;&lt;wsp:rsid wsp:val=&quot;000C38A6&quot;/&gt;&lt;wsp:rsid wsp:val=&quot;000C38F7&quot;/&gt;&lt;wsp:rsid wsp:val=&quot;000C40C8&quot;/&gt;&lt;wsp:rsid wsp:val=&quot;000C4145&quot;/&gt;&lt;wsp:rsid wsp:val=&quot;000C441D&quot;/&gt;&lt;wsp:rsid wsp:val=&quot;000C45EE&quot;/&gt;&lt;wsp:rsid wsp:val=&quot;000C4686&quot;/&gt;&lt;wsp:rsid wsp:val=&quot;000C487B&quot;/&gt;&lt;wsp:rsid wsp:val=&quot;000C4906&quot;/&gt;&lt;wsp:rsid wsp:val=&quot;000C4A06&quot;/&gt;&lt;wsp:rsid wsp:val=&quot;000C4F4B&quot;/&gt;&lt;wsp:rsid wsp:val=&quot;000C5503&quot;/&gt;&lt;wsp:rsid wsp:val=&quot;000C5792&quot;/&gt;&lt;wsp:rsid wsp:val=&quot;000C5B98&quot;/&gt;&lt;wsp:rsid wsp:val=&quot;000C5BD6&quot;/&gt;&lt;wsp:rsid wsp:val=&quot;000C5D26&quot;/&gt;&lt;wsp:rsid wsp:val=&quot;000C5D6B&quot;/&gt;&lt;wsp:rsid wsp:val=&quot;000C5DC7&quot;/&gt;&lt;wsp:rsid wsp:val=&quot;000C5F22&quot;/&gt;&lt;wsp:rsid wsp:val=&quot;000C6447&quot;/&gt;&lt;wsp:rsid wsp:val=&quot;000C644C&quot;/&gt;&lt;wsp:rsid wsp:val=&quot;000C6650&quot;/&gt;&lt;wsp:rsid wsp:val=&quot;000C6787&quot;/&gt;&lt;wsp:rsid wsp:val=&quot;000C67D0&quot;/&gt;&lt;wsp:rsid wsp:val=&quot;000C6CC0&quot;/&gt;&lt;wsp:rsid wsp:val=&quot;000C7007&quot;/&gt;&lt;wsp:rsid wsp:val=&quot;000C7018&quot;/&gt;&lt;wsp:rsid wsp:val=&quot;000C7244&quot;/&gt;&lt;wsp:rsid wsp:val=&quot;000C724E&quot;/&gt;&lt;wsp:rsid wsp:val=&quot;000C728B&quot;/&gt;&lt;wsp:rsid wsp:val=&quot;000C7457&quot;/&gt;&lt;wsp:rsid wsp:val=&quot;000C747F&quot;/&gt;&lt;wsp:rsid wsp:val=&quot;000C74EA&quot;/&gt;&lt;wsp:rsid wsp:val=&quot;000C74F2&quot;/&gt;&lt;wsp:rsid wsp:val=&quot;000C74F4&quot;/&gt;&lt;wsp:rsid wsp:val=&quot;000C77D3&quot;/&gt;&lt;wsp:rsid wsp:val=&quot;000C77DA&quot;/&gt;&lt;wsp:rsid wsp:val=&quot;000C7A00&quot;/&gt;&lt;wsp:rsid wsp:val=&quot;000C7B7A&quot;/&gt;&lt;wsp:rsid wsp:val=&quot;000C7E5A&quot;/&gt;&lt;wsp:rsid wsp:val=&quot;000C7E79&quot;/&gt;&lt;wsp:rsid wsp:val=&quot;000C7F68&quot;/&gt;&lt;wsp:rsid wsp:val=&quot;000C7FB6&quot;/&gt;&lt;wsp:rsid wsp:val=&quot;000D0468&quot;/&gt;&lt;wsp:rsid wsp:val=&quot;000D0922&quot;/&gt;&lt;wsp:rsid wsp:val=&quot;000D09E5&quot;/&gt;&lt;wsp:rsid wsp:val=&quot;000D0F30&quot;/&gt;&lt;wsp:rsid wsp:val=&quot;000D13FF&quot;/&gt;&lt;wsp:rsid wsp:val=&quot;000D15B0&quot;/&gt;&lt;wsp:rsid wsp:val=&quot;000D1605&quot;/&gt;&lt;wsp:rsid wsp:val=&quot;000D1786&quot;/&gt;&lt;wsp:rsid wsp:val=&quot;000D21C1&quot;/&gt;&lt;wsp:rsid wsp:val=&quot;000D23D9&quot;/&gt;&lt;wsp:rsid wsp:val=&quot;000D2640&quot;/&gt;&lt;wsp:rsid wsp:val=&quot;000D2673&quot;/&gt;&lt;wsp:rsid wsp:val=&quot;000D2764&quot;/&gt;&lt;wsp:rsid wsp:val=&quot;000D29E1&quot;/&gt;&lt;wsp:rsid wsp:val=&quot;000D2D74&quot;/&gt;&lt;wsp:rsid wsp:val=&quot;000D2F23&quot;/&gt;&lt;wsp:rsid wsp:val=&quot;000D337C&quot;/&gt;&lt;wsp:rsid wsp:val=&quot;000D33EB&quot;/&gt;&lt;wsp:rsid wsp:val=&quot;000D34A8&quot;/&gt;&lt;wsp:rsid wsp:val=&quot;000D35DD&quot;/&gt;&lt;wsp:rsid wsp:val=&quot;000D3602&quot;/&gt;&lt;wsp:rsid wsp:val=&quot;000D3A9C&quot;/&gt;&lt;wsp:rsid wsp:val=&quot;000D3F77&quot;/&gt;&lt;wsp:rsid wsp:val=&quot;000D41D6&quot;/&gt;&lt;wsp:rsid wsp:val=&quot;000D435F&quot;/&gt;&lt;wsp:rsid wsp:val=&quot;000D4535&quot;/&gt;&lt;wsp:rsid wsp:val=&quot;000D47AB&quot;/&gt;&lt;wsp:rsid wsp:val=&quot;000D4B16&quot;/&gt;&lt;wsp:rsid wsp:val=&quot;000D4B6C&quot;/&gt;&lt;wsp:rsid wsp:val=&quot;000D4C5A&quot;/&gt;&lt;wsp:rsid wsp:val=&quot;000D541E&quot;/&gt;&lt;wsp:rsid wsp:val=&quot;000D55DC&quot;/&gt;&lt;wsp:rsid wsp:val=&quot;000D567C&quot;/&gt;&lt;wsp:rsid wsp:val=&quot;000D5744&quot;/&gt;&lt;wsp:rsid wsp:val=&quot;000D5931&quot;/&gt;&lt;wsp:rsid wsp:val=&quot;000D59DC&quot;/&gt;&lt;wsp:rsid wsp:val=&quot;000D5A6B&quot;/&gt;&lt;wsp:rsid wsp:val=&quot;000D5B5E&quot;/&gt;&lt;wsp:rsid wsp:val=&quot;000D5CCF&quot;/&gt;&lt;wsp:rsid wsp:val=&quot;000D5DDD&quot;/&gt;&lt;wsp:rsid wsp:val=&quot;000D64EE&quot;/&gt;&lt;wsp:rsid wsp:val=&quot;000D6AF7&quot;/&gt;&lt;wsp:rsid wsp:val=&quot;000D6CF5&quot;/&gt;&lt;wsp:rsid wsp:val=&quot;000D6E3B&quot;/&gt;&lt;wsp:rsid wsp:val=&quot;000D6F83&quot;/&gt;&lt;wsp:rsid wsp:val=&quot;000D6FD0&quot;/&gt;&lt;wsp:rsid wsp:val=&quot;000D7233&quot;/&gt;&lt;wsp:rsid wsp:val=&quot;000D72B5&quot;/&gt;&lt;wsp:rsid wsp:val=&quot;000D7333&quot;/&gt;&lt;wsp:rsid wsp:val=&quot;000D7476&quot;/&gt;&lt;wsp:rsid wsp:val=&quot;000D7ABE&quot;/&gt;&lt;wsp:rsid wsp:val=&quot;000D7B65&quot;/&gt;&lt;wsp:rsid wsp:val=&quot;000D7FAF&quot;/&gt;&lt;wsp:rsid wsp:val=&quot;000E06C3&quot;/&gt;&lt;wsp:rsid wsp:val=&quot;000E06EA&quot;/&gt;&lt;wsp:rsid wsp:val=&quot;000E130E&quot;/&gt;&lt;wsp:rsid wsp:val=&quot;000E14A9&quot;/&gt;&lt;wsp:rsid wsp:val=&quot;000E1540&quot;/&gt;&lt;wsp:rsid wsp:val=&quot;000E17F4&quot;/&gt;&lt;wsp:rsid wsp:val=&quot;000E1A35&quot;/&gt;&lt;wsp:rsid wsp:val=&quot;000E1C2E&quot;/&gt;&lt;wsp:rsid wsp:val=&quot;000E20EC&quot;/&gt;&lt;wsp:rsid wsp:val=&quot;000E2629&quot;/&gt;&lt;wsp:rsid wsp:val=&quot;000E28F1&quot;/&gt;&lt;wsp:rsid wsp:val=&quot;000E2945&quot;/&gt;&lt;wsp:rsid wsp:val=&quot;000E2986&quot;/&gt;&lt;wsp:rsid wsp:val=&quot;000E2BBC&quot;/&gt;&lt;wsp:rsid wsp:val=&quot;000E2D6E&quot;/&gt;&lt;wsp:rsid wsp:val=&quot;000E2F18&quot;/&gt;&lt;wsp:rsid wsp:val=&quot;000E30F5&quot;/&gt;&lt;wsp:rsid wsp:val=&quot;000E33E4&quot;/&gt;&lt;wsp:rsid wsp:val=&quot;000E352A&quot;/&gt;&lt;wsp:rsid wsp:val=&quot;000E39C9&quot;/&gt;&lt;wsp:rsid wsp:val=&quot;000E3A8F&quot;/&gt;&lt;wsp:rsid wsp:val=&quot;000E3B05&quot;/&gt;&lt;wsp:rsid wsp:val=&quot;000E3B5D&quot;/&gt;&lt;wsp:rsid wsp:val=&quot;000E3DE4&quot;/&gt;&lt;wsp:rsid wsp:val=&quot;000E3DF5&quot;/&gt;&lt;wsp:rsid wsp:val=&quot;000E43A5&quot;/&gt;&lt;wsp:rsid wsp:val=&quot;000E464E&quot;/&gt;&lt;wsp:rsid wsp:val=&quot;000E47AD&quot;/&gt;&lt;wsp:rsid wsp:val=&quot;000E4A98&quot;/&gt;&lt;wsp:rsid wsp:val=&quot;000E4D35&quot;/&gt;&lt;wsp:rsid wsp:val=&quot;000E4E55&quot;/&gt;&lt;wsp:rsid wsp:val=&quot;000E51CD&quot;/&gt;&lt;wsp:rsid wsp:val=&quot;000E552B&quot;/&gt;&lt;wsp:rsid wsp:val=&quot;000E56A4&quot;/&gt;&lt;wsp:rsid wsp:val=&quot;000E5A4A&quot;/&gt;&lt;wsp:rsid wsp:val=&quot;000E5AA0&quot;/&gt;&lt;wsp:rsid wsp:val=&quot;000E63EB&quot;/&gt;&lt;wsp:rsid wsp:val=&quot;000E66BB&quot;/&gt;&lt;wsp:rsid wsp:val=&quot;000E67F4&quot;/&gt;&lt;wsp:rsid wsp:val=&quot;000E6BDD&quot;/&gt;&lt;wsp:rsid wsp:val=&quot;000E6E9D&quot;/&gt;&lt;wsp:rsid wsp:val=&quot;000E6F53&quot;/&gt;&lt;wsp:rsid wsp:val=&quot;000E71B6&quot;/&gt;&lt;wsp:rsid wsp:val=&quot;000E7560&quot;/&gt;&lt;wsp:rsid wsp:val=&quot;000E7884&quot;/&gt;&lt;wsp:rsid wsp:val=&quot;000E7A4E&quot;/&gt;&lt;wsp:rsid wsp:val=&quot;000E7CF6&quot;/&gt;&lt;wsp:rsid wsp:val=&quot;000E7CF7&quot;/&gt;&lt;wsp:rsid wsp:val=&quot;000E7EAC&quot;/&gt;&lt;wsp:rsid wsp:val=&quot;000E7F60&quot;/&gt;&lt;wsp:rsid wsp:val=&quot;000E7FAD&quot;/&gt;&lt;wsp:rsid wsp:val=&quot;000F0191&quot;/&gt;&lt;wsp:rsid wsp:val=&quot;000F01B3&quot;/&gt;&lt;wsp:rsid wsp:val=&quot;000F0B69&quot;/&gt;&lt;wsp:rsid wsp:val=&quot;000F0C6F&quot;/&gt;&lt;wsp:rsid wsp:val=&quot;000F12DB&quot;/&gt;&lt;wsp:rsid wsp:val=&quot;000F15C2&quot;/&gt;&lt;wsp:rsid wsp:val=&quot;000F161C&quot;/&gt;&lt;wsp:rsid wsp:val=&quot;000F164E&quot;/&gt;&lt;wsp:rsid wsp:val=&quot;000F17B2&quot;/&gt;&lt;wsp:rsid wsp:val=&quot;000F180B&quot;/&gt;&lt;wsp:rsid wsp:val=&quot;000F1A4B&quot;/&gt;&lt;wsp:rsid wsp:val=&quot;000F1C3B&quot;/&gt;&lt;wsp:rsid wsp:val=&quot;000F1D18&quot;/&gt;&lt;wsp:rsid wsp:val=&quot;000F1EEF&quot;/&gt;&lt;wsp:rsid wsp:val=&quot;000F2013&quot;/&gt;&lt;wsp:rsid wsp:val=&quot;000F233D&quot;/&gt;&lt;wsp:rsid wsp:val=&quot;000F23D5&quot;/&gt;&lt;wsp:rsid wsp:val=&quot;000F24AF&quot;/&gt;&lt;wsp:rsid wsp:val=&quot;000F2616&quot;/&gt;&lt;wsp:rsid wsp:val=&quot;000F2624&quot;/&gt;&lt;wsp:rsid wsp:val=&quot;000F27AE&quot;/&gt;&lt;wsp:rsid wsp:val=&quot;000F2F6D&quot;/&gt;&lt;wsp:rsid wsp:val=&quot;000F3129&quot;/&gt;&lt;wsp:rsid wsp:val=&quot;000F3281&quot;/&gt;&lt;wsp:rsid wsp:val=&quot;000F3335&quot;/&gt;&lt;wsp:rsid wsp:val=&quot;000F3482&quot;/&gt;&lt;wsp:rsid wsp:val=&quot;000F3B79&quot;/&gt;&lt;wsp:rsid wsp:val=&quot;000F3BBC&quot;/&gt;&lt;wsp:rsid wsp:val=&quot;000F3BBE&quot;/&gt;&lt;wsp:rsid wsp:val=&quot;000F3DE1&quot;/&gt;&lt;wsp:rsid wsp:val=&quot;000F41A1&quot;/&gt;&lt;wsp:rsid wsp:val=&quot;000F47FC&quot;/&gt;&lt;wsp:rsid wsp:val=&quot;000F487C&quot;/&gt;&lt;wsp:rsid wsp:val=&quot;000F497F&quot;/&gt;&lt;wsp:rsid wsp:val=&quot;000F4A99&quot;/&gt;&lt;wsp:rsid wsp:val=&quot;000F4B7C&quot;/&gt;&lt;wsp:rsid wsp:val=&quot;000F4BD2&quot;/&gt;&lt;wsp:rsid wsp:val=&quot;000F4D2F&quot;/&gt;&lt;wsp:rsid wsp:val=&quot;000F4D4C&quot;/&gt;&lt;wsp:rsid wsp:val=&quot;000F5404&quot;/&gt;&lt;wsp:rsid wsp:val=&quot;000F5414&quot;/&gt;&lt;wsp:rsid wsp:val=&quot;000F54DE&quot;/&gt;&lt;wsp:rsid wsp:val=&quot;000F5539&quot;/&gt;&lt;wsp:rsid wsp:val=&quot;000F5A38&quot;/&gt;&lt;wsp:rsid wsp:val=&quot;000F5A96&quot;/&gt;&lt;wsp:rsid wsp:val=&quot;000F5AB5&quot;/&gt;&lt;wsp:rsid wsp:val=&quot;000F5BD8&quot;/&gt;&lt;wsp:rsid wsp:val=&quot;000F5CE8&quot;/&gt;&lt;wsp:rsid wsp:val=&quot;000F5D52&quot;/&gt;&lt;wsp:rsid wsp:val=&quot;000F614F&quot;/&gt;&lt;wsp:rsid wsp:val=&quot;000F65A8&quot;/&gt;&lt;wsp:rsid wsp:val=&quot;000F674F&quot;/&gt;&lt;wsp:rsid wsp:val=&quot;000F695E&quot;/&gt;&lt;wsp:rsid wsp:val=&quot;000F6A45&quot;/&gt;&lt;wsp:rsid wsp:val=&quot;000F6AC1&quot;/&gt;&lt;wsp:rsid wsp:val=&quot;000F6CAF&quot;/&gt;&lt;wsp:rsid wsp:val=&quot;000F6D04&quot;/&gt;&lt;wsp:rsid wsp:val=&quot;000F6DC9&quot;/&gt;&lt;wsp:rsid wsp:val=&quot;000F6F6B&quot;/&gt;&lt;wsp:rsid wsp:val=&quot;000F6FF1&quot;/&gt;&lt;wsp:rsid wsp:val=&quot;000F7367&quot;/&gt;&lt;wsp:rsid wsp:val=&quot;000F7774&quot;/&gt;&lt;wsp:rsid wsp:val=&quot;000F78A8&quot;/&gt;&lt;wsp:rsid wsp:val=&quot;000F7BD3&quot;/&gt;&lt;wsp:rsid wsp:val=&quot;000F7DE5&quot;/&gt;&lt;wsp:rsid wsp:val=&quot;000F7DF6&quot;/&gt;&lt;wsp:rsid wsp:val=&quot;000F7FFA&quot;/&gt;&lt;wsp:rsid wsp:val=&quot;00100687&quot;/&gt;&lt;wsp:rsid wsp:val=&quot;00100699&quot;/&gt;&lt;wsp:rsid wsp:val=&quot;001007C3&quot;/&gt;&lt;wsp:rsid wsp:val=&quot;001007E7&quot;/&gt;&lt;wsp:rsid wsp:val=&quot;00100809&quot;/&gt;&lt;wsp:rsid wsp:val=&quot;00100988&quot;/&gt;&lt;wsp:rsid wsp:val=&quot;00100D63&quot;/&gt;&lt;wsp:rsid wsp:val=&quot;00100E98&quot;/&gt;&lt;wsp:rsid wsp:val=&quot;00100F55&quot;/&gt;&lt;wsp:rsid wsp:val=&quot;00101471&quot;/&gt;&lt;wsp:rsid wsp:val=&quot;00101515&quot;/&gt;&lt;wsp:rsid wsp:val=&quot;001015D8&quot;/&gt;&lt;wsp:rsid wsp:val=&quot;00101640&quot;/&gt;&lt;wsp:rsid wsp:val=&quot;00101731&quot;/&gt;&lt;wsp:rsid wsp:val=&quot;0010178C&quot;/&gt;&lt;wsp:rsid wsp:val=&quot;001018F7&quot;/&gt;&lt;wsp:rsid wsp:val=&quot;00101C97&quot;/&gt;&lt;wsp:rsid wsp:val=&quot;00101F6A&quot;/&gt;&lt;wsp:rsid wsp:val=&quot;0010225C&quot;/&gt;&lt;wsp:rsid wsp:val=&quot;00102434&quot;/&gt;&lt;wsp:rsid wsp:val=&quot;00102781&quot;/&gt;&lt;wsp:rsid wsp:val=&quot;0010282F&quot;/&gt;&lt;wsp:rsid wsp:val=&quot;00102872&quot;/&gt;&lt;wsp:rsid wsp:val=&quot;001028C2&quot;/&gt;&lt;wsp:rsid wsp:val=&quot;001028C7&quot;/&gt;&lt;wsp:rsid wsp:val=&quot;00102B88&quot;/&gt;&lt;wsp:rsid wsp:val=&quot;00102CAC&quot;/&gt;&lt;wsp:rsid wsp:val=&quot;00102D47&quot;/&gt;&lt;wsp:rsid wsp:val=&quot;00102E89&quot;/&gt;&lt;wsp:rsid wsp:val=&quot;00102F01&quot;/&gt;&lt;wsp:rsid wsp:val=&quot;00103081&quot;/&gt;&lt;wsp:rsid wsp:val=&quot;001031EF&quot;/&gt;&lt;wsp:rsid wsp:val=&quot;001032DA&quot;/&gt;&lt;wsp:rsid wsp:val=&quot;001033F5&quot;/&gt;&lt;wsp:rsid wsp:val=&quot;001034BD&quot;/&gt;&lt;wsp:rsid wsp:val=&quot;00103E4C&quot;/&gt;&lt;wsp:rsid wsp:val=&quot;00103F6B&quot;/&gt;&lt;wsp:rsid wsp:val=&quot;001045BE&quot;/&gt;&lt;wsp:rsid wsp:val=&quot;001048DC&quot;/&gt;&lt;wsp:rsid wsp:val=&quot;001049D5&quot;/&gt;&lt;wsp:rsid wsp:val=&quot;00104B3E&quot;/&gt;&lt;wsp:rsid wsp:val=&quot;00104B66&quot;/&gt;&lt;wsp:rsid wsp:val=&quot;00104D8E&quot;/&gt;&lt;wsp:rsid wsp:val=&quot;00104E13&quot;/&gt;&lt;wsp:rsid wsp:val=&quot;00104FA2&quot;/&gt;&lt;wsp:rsid wsp:val=&quot;0010510D&quot;/&gt;&lt;wsp:rsid wsp:val=&quot;001053EB&quot;/&gt;&lt;wsp:rsid wsp:val=&quot;00105452&quot;/&gt;&lt;wsp:rsid wsp:val=&quot;00105524&quot;/&gt;&lt;wsp:rsid wsp:val=&quot;001056F8&quot;/&gt;&lt;wsp:rsid wsp:val=&quot;00105718&quot;/&gt;&lt;wsp:rsid wsp:val=&quot;00105E50&quot;/&gt;&lt;wsp:rsid wsp:val=&quot;00105F54&quot;/&gt;&lt;wsp:rsid wsp:val=&quot;0010611D&quot;/&gt;&lt;wsp:rsid wsp:val=&quot;00106577&quot;/&gt;&lt;wsp:rsid wsp:val=&quot;001066F8&quot;/&gt;&lt;wsp:rsid wsp:val=&quot;001067A9&quot;/&gt;&lt;wsp:rsid wsp:val=&quot;00106A26&quot;/&gt;&lt;wsp:rsid wsp:val=&quot;00106BAF&quot;/&gt;&lt;wsp:rsid wsp:val=&quot;00106C99&quot;/&gt;&lt;wsp:rsid wsp:val=&quot;00106D32&quot;/&gt;&lt;wsp:rsid wsp:val=&quot;00106E62&quot;/&gt;&lt;wsp:rsid wsp:val=&quot;001072E3&quot;/&gt;&lt;wsp:rsid wsp:val=&quot;00107354&quot;/&gt;&lt;wsp:rsid wsp:val=&quot;0010736F&quot;/&gt;&lt;wsp:rsid wsp:val=&quot;001073BF&quot;/&gt;&lt;wsp:rsid wsp:val=&quot;001073EF&quot;/&gt;&lt;wsp:rsid wsp:val=&quot;001073F0&quot;/&gt;&lt;wsp:rsid wsp:val=&quot;00107ACA&quot;/&gt;&lt;wsp:rsid wsp:val=&quot;00107F39&quot;/&gt;&lt;wsp:rsid wsp:val=&quot;00107F79&quot;/&gt;&lt;wsp:rsid wsp:val=&quot;00107FA2&quot;/&gt;&lt;wsp:rsid wsp:val=&quot;00110158&quot;/&gt;&lt;wsp:rsid wsp:val=&quot;001104BB&quot;/&gt;&lt;wsp:rsid wsp:val=&quot;001109CC&quot;/&gt;&lt;wsp:rsid wsp:val=&quot;00110B6A&quot;/&gt;&lt;wsp:rsid wsp:val=&quot;00110C37&quot;/&gt;&lt;wsp:rsid wsp:val=&quot;0011109C&quot;/&gt;&lt;wsp:rsid wsp:val=&quot;0011110E&quot;/&gt;&lt;wsp:rsid wsp:val=&quot;00111482&quot;/&gt;&lt;wsp:rsid wsp:val=&quot;0011153D&quot;/&gt;&lt;wsp:rsid wsp:val=&quot;00111849&quot;/&gt;&lt;wsp:rsid wsp:val=&quot;00111A67&quot;/&gt;&lt;wsp:rsid wsp:val=&quot;00111B7F&quot;/&gt;&lt;wsp:rsid wsp:val=&quot;00111E44&quot;/&gt;&lt;wsp:rsid wsp:val=&quot;0011205D&quot;/&gt;&lt;wsp:rsid wsp:val=&quot;00112174&quot;/&gt;&lt;wsp:rsid wsp:val=&quot;001121C6&quot;/&gt;&lt;wsp:rsid wsp:val=&quot;00112257&quot;/&gt;&lt;wsp:rsid wsp:val=&quot;00112A2F&quot;/&gt;&lt;wsp:rsid wsp:val=&quot;00112CA1&quot;/&gt;&lt;wsp:rsid wsp:val=&quot;00112EA3&quot;/&gt;&lt;wsp:rsid wsp:val=&quot;00112F36&quot;/&gt;&lt;wsp:rsid wsp:val=&quot;00112F39&quot;/&gt;&lt;wsp:rsid wsp:val=&quot;001136BD&quot;/&gt;&lt;wsp:rsid wsp:val=&quot;0011377B&quot;/&gt;&lt;wsp:rsid wsp:val=&quot;001137DF&quot;/&gt;&lt;wsp:rsid wsp:val=&quot;00113937&quot;/&gt;&lt;wsp:rsid wsp:val=&quot;00113A8D&quot;/&gt;&lt;wsp:rsid wsp:val=&quot;00113B17&quot;/&gt;&lt;wsp:rsid wsp:val=&quot;00113FFC&quot;/&gt;&lt;wsp:rsid wsp:val=&quot;00114098&quot;/&gt;&lt;wsp:rsid wsp:val=&quot;001141BE&quot;/&gt;&lt;wsp:rsid wsp:val=&quot;00114575&quot;/&gt;&lt;wsp:rsid wsp:val=&quot;001146DC&quot;/&gt;&lt;wsp:rsid wsp:val=&quot;00114B91&quot;/&gt;&lt;wsp:rsid wsp:val=&quot;00114C1B&quot;/&gt;&lt;wsp:rsid wsp:val=&quot;00114D9F&quot;/&gt;&lt;wsp:rsid wsp:val=&quot;00114E05&quot;/&gt;&lt;wsp:rsid wsp:val=&quot;00114E79&quot;/&gt;&lt;wsp:rsid wsp:val=&quot;001150CC&quot;/&gt;&lt;wsp:rsid wsp:val=&quot;00115712&quot;/&gt;&lt;wsp:rsid wsp:val=&quot;001159E3&quot;/&gt;&lt;wsp:rsid wsp:val=&quot;00115A1A&quot;/&gt;&lt;wsp:rsid wsp:val=&quot;00115E03&quot;/&gt;&lt;wsp:rsid wsp:val=&quot;00116083&quot;/&gt;&lt;wsp:rsid wsp:val=&quot;001163F9&quot;/&gt;&lt;wsp:rsid wsp:val=&quot;00116614&quot;/&gt;&lt;wsp:rsid wsp:val=&quot;0011668F&quot;/&gt;&lt;wsp:rsid wsp:val=&quot;00116938&quot;/&gt;&lt;wsp:rsid wsp:val=&quot;00116B9C&quot;/&gt;&lt;wsp:rsid wsp:val=&quot;00116C42&quot;/&gt;&lt;wsp:rsid wsp:val=&quot;0011721F&quot;/&gt;&lt;wsp:rsid wsp:val=&quot;001174F4&quot;/&gt;&lt;wsp:rsid wsp:val=&quot;00117578&quot;/&gt;&lt;wsp:rsid wsp:val=&quot;0011761E&quot;/&gt;&lt;wsp:rsid wsp:val=&quot;00117642&quot;/&gt;&lt;wsp:rsid wsp:val=&quot;00117B8D&quot;/&gt;&lt;wsp:rsid wsp:val=&quot;00117C0B&quot;/&gt;&lt;wsp:rsid wsp:val=&quot;00117E14&quot;/&gt;&lt;wsp:rsid wsp:val=&quot;00117E93&quot;/&gt;&lt;wsp:rsid wsp:val=&quot;00117F31&quot;/&gt;&lt;wsp:rsid wsp:val=&quot;00117F83&quot;/&gt;&lt;wsp:rsid wsp:val=&quot;001203F2&quot;/&gt;&lt;wsp:rsid wsp:val=&quot;00120458&quot;/&gt;&lt;wsp:rsid wsp:val=&quot;00120468&quot;/&gt;&lt;wsp:rsid wsp:val=&quot;00120A88&quot;/&gt;&lt;wsp:rsid wsp:val=&quot;00120B20&quot;/&gt;&lt;wsp:rsid wsp:val=&quot;00120D8D&quot;/&gt;&lt;wsp:rsid wsp:val=&quot;00120DEA&quot;/&gt;&lt;wsp:rsid wsp:val=&quot;00120EF3&quot;/&gt;&lt;wsp:rsid wsp:val=&quot;00121AA6&quot;/&gt;&lt;wsp:rsid wsp:val=&quot;00121C7F&quot;/&gt;&lt;wsp:rsid wsp:val=&quot;00121CA7&quot;/&gt;&lt;wsp:rsid wsp:val=&quot;00121D0A&quot;/&gt;&lt;wsp:rsid wsp:val=&quot;00121E09&quot;/&gt;&lt;wsp:rsid wsp:val=&quot;0012200A&quot;/&gt;&lt;wsp:rsid wsp:val=&quot;00122022&quot;/&gt;&lt;wsp:rsid wsp:val=&quot;0012204B&quot;/&gt;&lt;wsp:rsid wsp:val=&quot;00122078&quot;/&gt;&lt;wsp:rsid wsp:val=&quot;001223B3&quot;/&gt;&lt;wsp:rsid wsp:val=&quot;0012271B&quot;/&gt;&lt;wsp:rsid wsp:val=&quot;00122D7C&quot;/&gt;&lt;wsp:rsid wsp:val=&quot;00122DEE&quot;/&gt;&lt;wsp:rsid wsp:val=&quot;00122FB1&quot;/&gt;&lt;wsp:rsid wsp:val=&quot;00122FC9&quot;/&gt;&lt;wsp:rsid wsp:val=&quot;0012340E&quot;/&gt;&lt;wsp:rsid wsp:val=&quot;00123578&quot;/&gt;&lt;wsp:rsid wsp:val=&quot;0012368F&quot;/&gt;&lt;wsp:rsid wsp:val=&quot;001238B7&quot;/&gt;&lt;wsp:rsid wsp:val=&quot;00123911&quot;/&gt;&lt;wsp:rsid wsp:val=&quot;00123F0A&quot;/&gt;&lt;wsp:rsid wsp:val=&quot;001242C5&quot;/&gt;&lt;wsp:rsid wsp:val=&quot;001243EE&quot;/&gt;&lt;wsp:rsid wsp:val=&quot;001246B4&quot;/&gt;&lt;wsp:rsid wsp:val=&quot;00124837&quot;/&gt;&lt;wsp:rsid wsp:val=&quot;0012486E&quot;/&gt;&lt;wsp:rsid wsp:val=&quot;00124B99&quot;/&gt;&lt;wsp:rsid wsp:val=&quot;00124C26&quot;/&gt;&lt;wsp:rsid wsp:val=&quot;00124D6D&quot;/&gt;&lt;wsp:rsid wsp:val=&quot;00124DC7&quot;/&gt;&lt;wsp:rsid wsp:val=&quot;00125222&quot;/&gt;&lt;wsp:rsid wsp:val=&quot;00125264&quot;/&gt;&lt;wsp:rsid wsp:val=&quot;0012554A&quot;/&gt;&lt;wsp:rsid wsp:val=&quot;00125686&quot;/&gt;&lt;wsp:rsid wsp:val=&quot;00125E24&quot;/&gt;&lt;wsp:rsid wsp:val=&quot;001263E8&quot;/&gt;&lt;wsp:rsid wsp:val=&quot;0012641A&quot;/&gt;&lt;wsp:rsid wsp:val=&quot;0012654A&quot;/&gt;&lt;wsp:rsid wsp:val=&quot;001265EE&quot;/&gt;&lt;wsp:rsid wsp:val=&quot;001266E7&quot;/&gt;&lt;wsp:rsid wsp:val=&quot;0012688B&quot;/&gt;&lt;wsp:rsid wsp:val=&quot;00126A90&quot;/&gt;&lt;wsp:rsid wsp:val=&quot;00126AEC&quot;/&gt;&lt;wsp:rsid wsp:val=&quot;001273A9&quot;/&gt;&lt;wsp:rsid wsp:val=&quot;00127557&quot;/&gt;&lt;wsp:rsid wsp:val=&quot;001275C4&quot;/&gt;&lt;wsp:rsid wsp:val=&quot;0012772D&quot;/&gt;&lt;wsp:rsid wsp:val=&quot;001277AB&quot;/&gt;&lt;wsp:rsid wsp:val=&quot;00127C6A&quot;/&gt;&lt;wsp:rsid wsp:val=&quot;00127DC3&quot;/&gt;&lt;wsp:rsid wsp:val=&quot;00127E6F&quot;/&gt;&lt;wsp:rsid wsp:val=&quot;00130484&quot;/&gt;&lt;wsp:rsid wsp:val=&quot;001304F8&quot;/&gt;&lt;wsp:rsid wsp:val=&quot;00130703&quot;/&gt;&lt;wsp:rsid wsp:val=&quot;00130AB0&quot;/&gt;&lt;wsp:rsid wsp:val=&quot;00130ACB&quot;/&gt;&lt;wsp:rsid wsp:val=&quot;00130C75&quot;/&gt;&lt;wsp:rsid wsp:val=&quot;00130CC1&quot;/&gt;&lt;wsp:rsid wsp:val=&quot;00131041&quot;/&gt;&lt;wsp:rsid wsp:val=&quot;001313B8&quot;/&gt;&lt;wsp:rsid wsp:val=&quot;0013144C&quot;/&gt;&lt;wsp:rsid wsp:val=&quot;00131818&quot;/&gt;&lt;wsp:rsid wsp:val=&quot;00131B0A&quot;/&gt;&lt;wsp:rsid wsp:val=&quot;00131C41&quot;/&gt;&lt;wsp:rsid wsp:val=&quot;00131DC0&quot;/&gt;&lt;wsp:rsid wsp:val=&quot;00131F54&quot;/&gt;&lt;wsp:rsid wsp:val=&quot;00132044&quot;/&gt;&lt;wsp:rsid wsp:val=&quot;001321CF&quot;/&gt;&lt;wsp:rsid wsp:val=&quot;00132293&quot;/&gt;&lt;wsp:rsid wsp:val=&quot;001325E4&quot;/&gt;&lt;wsp:rsid wsp:val=&quot;00132606&quot;/&gt;&lt;wsp:rsid wsp:val=&quot;00132711&quot;/&gt;&lt;wsp:rsid wsp:val=&quot;0013297E&quot;/&gt;&lt;wsp:rsid wsp:val=&quot;00132BBD&quot;/&gt;&lt;wsp:rsid wsp:val=&quot;00132D6D&quot;/&gt;&lt;wsp:rsid wsp:val=&quot;001333D2&quot;/&gt;&lt;wsp:rsid wsp:val=&quot;0013374F&quot;/&gt;&lt;wsp:rsid wsp:val=&quot;001337C9&quot;/&gt;&lt;wsp:rsid wsp:val=&quot;00133AC8&quot;/&gt;&lt;wsp:rsid wsp:val=&quot;00133F2A&quot;/&gt;&lt;wsp:rsid wsp:val=&quot;001343C8&quot;/&gt;&lt;wsp:rsid wsp:val=&quot;00134515&quot;/&gt;&lt;wsp:rsid wsp:val=&quot;0013462E&quot;/&gt;&lt;wsp:rsid wsp:val=&quot;0013475F&quot;/&gt;&lt;wsp:rsid wsp:val=&quot;00134A3A&quot;/&gt;&lt;wsp:rsid wsp:val=&quot;00134D63&quot;/&gt;&lt;wsp:rsid wsp:val=&quot;00134E35&quot;/&gt;&lt;wsp:rsid wsp:val=&quot;00135130&quot;/&gt;&lt;wsp:rsid wsp:val=&quot;001355E4&quot;/&gt;&lt;wsp:rsid wsp:val=&quot;00135940&quot;/&gt;&lt;wsp:rsid wsp:val=&quot;00135B29&quot;/&gt;&lt;wsp:rsid wsp:val=&quot;00135DDA&quot;/&gt;&lt;wsp:rsid wsp:val=&quot;001360AF&quot;/&gt;&lt;wsp:rsid wsp:val=&quot;00136441&quot;/&gt;&lt;wsp:rsid wsp:val=&quot;001368EE&quot;/&gt;&lt;wsp:rsid wsp:val=&quot;00136903&quot;/&gt;&lt;wsp:rsid wsp:val=&quot;001369F4&quot;/&gt;&lt;wsp:rsid wsp:val=&quot;00136BB8&quot;/&gt;&lt;wsp:rsid wsp:val=&quot;00136CF8&quot;/&gt;&lt;wsp:rsid wsp:val=&quot;00136FDA&quot;/&gt;&lt;wsp:rsid wsp:val=&quot;001371AB&quot;/&gt;&lt;wsp:rsid wsp:val=&quot;00137316&quot;/&gt;&lt;wsp:rsid wsp:val=&quot;001373BE&quot;/&gt;&lt;wsp:rsid wsp:val=&quot;001376E6&quot;/&gt;&lt;wsp:rsid wsp:val=&quot;00137810&quot;/&gt;&lt;wsp:rsid wsp:val=&quot;00137F21&quot;/&gt;&lt;wsp:rsid wsp:val=&quot;00137FCC&quot;/&gt;&lt;wsp:rsid wsp:val=&quot;00140138&quot;/&gt;&lt;wsp:rsid wsp:val=&quot;001402E3&quot;/&gt;&lt;wsp:rsid wsp:val=&quot;001405FE&quot;/&gt;&lt;wsp:rsid wsp:val=&quot;00140728&quot;/&gt;&lt;wsp:rsid wsp:val=&quot;00140DC9&quot;/&gt;&lt;wsp:rsid wsp:val=&quot;00141074&quot;/&gt;&lt;wsp:rsid wsp:val=&quot;0014141B&quot;/&gt;&lt;wsp:rsid wsp:val=&quot;00141AC7&quot;/&gt;&lt;wsp:rsid wsp:val=&quot;00141C59&quot;/&gt;&lt;wsp:rsid wsp:val=&quot;00141DC8&quot;/&gt;&lt;wsp:rsid wsp:val=&quot;00141EC4&quot;/&gt;&lt;wsp:rsid wsp:val=&quot;00141F27&quot;/&gt;&lt;wsp:rsid wsp:val=&quot;001422FE&quot;/&gt;&lt;wsp:rsid wsp:val=&quot;00142315&quot;/&gt;&lt;wsp:rsid wsp:val=&quot;00142646&quot;/&gt;&lt;wsp:rsid wsp:val=&quot;0014293D&quot;/&gt;&lt;wsp:rsid wsp:val=&quot;00142A18&quot;/&gt;&lt;wsp:rsid wsp:val=&quot;00142FDE&quot;/&gt;&lt;wsp:rsid wsp:val=&quot;00143249&quot;/&gt;&lt;wsp:rsid wsp:val=&quot;001432F2&quot;/&gt;&lt;wsp:rsid wsp:val=&quot;00143584&quot;/&gt;&lt;wsp:rsid wsp:val=&quot;00143B50&quot;/&gt;&lt;wsp:rsid wsp:val=&quot;00143DDA&quot;/&gt;&lt;wsp:rsid wsp:val=&quot;0014420C&quot;/&gt;&lt;wsp:rsid wsp:val=&quot;00144215&quot;/&gt;&lt;wsp:rsid wsp:val=&quot;0014444F&quot;/&gt;&lt;wsp:rsid wsp:val=&quot;00144BE3&quot;/&gt;&lt;wsp:rsid wsp:val=&quot;00144F47&quot;/&gt;&lt;wsp:rsid wsp:val=&quot;00145284&quot;/&gt;&lt;wsp:rsid wsp:val=&quot;00145939&quot;/&gt;&lt;wsp:rsid wsp:val=&quot;0014593A&quot;/&gt;&lt;wsp:rsid wsp:val=&quot;00145AFD&quot;/&gt;&lt;wsp:rsid wsp:val=&quot;00145C2D&quot;/&gt;&lt;wsp:rsid wsp:val=&quot;0014602C&quot;/&gt;&lt;wsp:rsid wsp:val=&quot;00146071&quot;/&gt;&lt;wsp:rsid wsp:val=&quot;001460CE&quot;/&gt;&lt;wsp:rsid wsp:val=&quot;00146196&quot;/&gt;&lt;wsp:rsid wsp:val=&quot;001461F8&quot;/&gt;&lt;wsp:rsid wsp:val=&quot;00146267&quot;/&gt;&lt;wsp:rsid wsp:val=&quot;00146564&quot;/&gt;&lt;wsp:rsid wsp:val=&quot;00146775&quot;/&gt;&lt;wsp:rsid wsp:val=&quot;00146F42&quot;/&gt;&lt;wsp:rsid wsp:val=&quot;00147217&quot;/&gt;&lt;wsp:rsid wsp:val=&quot;0014726D&quot;/&gt;&lt;wsp:rsid wsp:val=&quot;0014731A&quot;/&gt;&lt;wsp:rsid wsp:val=&quot;00147335&quot;/&gt;&lt;wsp:rsid wsp:val=&quot;00147588&quot;/&gt;&lt;wsp:rsid wsp:val=&quot;00147903&quot;/&gt;&lt;wsp:rsid wsp:val=&quot;00147B57&quot;/&gt;&lt;wsp:rsid wsp:val=&quot;00147BFA&quot;/&gt;&lt;wsp:rsid wsp:val=&quot;00147DEF&quot;/&gt;&lt;wsp:rsid wsp:val=&quot;00147E81&quot;/&gt;&lt;wsp:rsid wsp:val=&quot;00147F10&quot;/&gt;&lt;wsp:rsid wsp:val=&quot;00147F6F&quot;/&gt;&lt;wsp:rsid wsp:val=&quot;0015001B&quot;/&gt;&lt;wsp:rsid wsp:val=&quot;001502C4&quot;/&gt;&lt;wsp:rsid wsp:val=&quot;001502EB&quot;/&gt;&lt;wsp:rsid wsp:val=&quot;00150548&quot;/&gt;&lt;wsp:rsid wsp:val=&quot;00150573&quot;/&gt;&lt;wsp:rsid wsp:val=&quot;001507C7&quot;/&gt;&lt;wsp:rsid wsp:val=&quot;0015083F&quot;/&gt;&lt;wsp:rsid wsp:val=&quot;001508F2&quot;/&gt;&lt;wsp:rsid wsp:val=&quot;0015095B&quot;/&gt;&lt;wsp:rsid wsp:val=&quot;00150FF5&quot;/&gt;&lt;wsp:rsid wsp:val=&quot;0015105E&quot;/&gt;&lt;wsp:rsid wsp:val=&quot;001510FF&quot;/&gt;&lt;wsp:rsid wsp:val=&quot;00151367&quot;/&gt;&lt;wsp:rsid wsp:val=&quot;001515D8&quot;/&gt;&lt;wsp:rsid wsp:val=&quot;001518A3&quot;/&gt;&lt;wsp:rsid wsp:val=&quot;00151E06&quot;/&gt;&lt;wsp:rsid wsp:val=&quot;00152490&quot;/&gt;&lt;wsp:rsid wsp:val=&quot;001527DE&quot;/&gt;&lt;wsp:rsid wsp:val=&quot;00152901&quot;/&gt;&lt;wsp:rsid wsp:val=&quot;00153147&quot;/&gt;&lt;wsp:rsid wsp:val=&quot;0015369A&quot;/&gt;&lt;wsp:rsid wsp:val=&quot;001537B9&quot;/&gt;&lt;wsp:rsid wsp:val=&quot;00153B5C&quot;/&gt;&lt;wsp:rsid wsp:val=&quot;00153D04&quot;/&gt;&lt;wsp:rsid wsp:val=&quot;00153F85&quot;/&gt;&lt;wsp:rsid wsp:val=&quot;00154329&quot;/&gt;&lt;wsp:rsid wsp:val=&quot;00154B94&quot;/&gt;&lt;wsp:rsid wsp:val=&quot;00154D15&quot;/&gt;&lt;wsp:rsid wsp:val=&quot;00154F0D&quot;/&gt;&lt;wsp:rsid wsp:val=&quot;00155342&quot;/&gt;&lt;wsp:rsid wsp:val=&quot;00155881&quot;/&gt;&lt;wsp:rsid wsp:val=&quot;001558FF&quot;/&gt;&lt;wsp:rsid wsp:val=&quot;001559DE&quot;/&gt;&lt;wsp:rsid wsp:val=&quot;00155C97&quot;/&gt;&lt;wsp:rsid wsp:val=&quot;00155D24&quot;/&gt;&lt;wsp:rsid wsp:val=&quot;00155D8C&quot;/&gt;&lt;wsp:rsid wsp:val=&quot;00155E2A&quot;/&gt;&lt;wsp:rsid wsp:val=&quot;00155ECD&quot;/&gt;&lt;wsp:rsid wsp:val=&quot;00156272&quot;/&gt;&lt;wsp:rsid wsp:val=&quot;001562B0&quot;/&gt;&lt;wsp:rsid wsp:val=&quot;00156665&quot;/&gt;&lt;wsp:rsid wsp:val=&quot;0015666A&quot;/&gt;&lt;wsp:rsid wsp:val=&quot;00156847&quot;/&gt;&lt;wsp:rsid wsp:val=&quot;00156A64&quot;/&gt;&lt;wsp:rsid wsp:val=&quot;00156B68&quot;/&gt;&lt;wsp:rsid wsp:val=&quot;00156EE8&quot;/&gt;&lt;wsp:rsid wsp:val=&quot;00157508&quot;/&gt;&lt;wsp:rsid wsp:val=&quot;001576CD&quot;/&gt;&lt;wsp:rsid wsp:val=&quot;00157719&quot;/&gt;&lt;wsp:rsid wsp:val=&quot;00157E60&quot;/&gt;&lt;wsp:rsid wsp:val=&quot;0016049F&quot;/&gt;&lt;wsp:rsid wsp:val=&quot;0016061D&quot;/&gt;&lt;wsp:rsid wsp:val=&quot;00160693&quot;/&gt;&lt;wsp:rsid wsp:val=&quot;00160883&quot;/&gt;&lt;wsp:rsid wsp:val=&quot;00160922&quot;/&gt;&lt;wsp:rsid wsp:val=&quot;00160A65&quot;/&gt;&lt;wsp:rsid wsp:val=&quot;001610AB&quot;/&gt;&lt;wsp:rsid wsp:val=&quot;001610DF&quot;/&gt;&lt;wsp:rsid wsp:val=&quot;0016127A&quot;/&gt;&lt;wsp:rsid wsp:val=&quot;00161388&quot;/&gt;&lt;wsp:rsid wsp:val=&quot;00161CD4&quot;/&gt;&lt;wsp:rsid wsp:val=&quot;00161CE7&quot;/&gt;&lt;wsp:rsid wsp:val=&quot;00161DC5&quot;/&gt;&lt;wsp:rsid wsp:val=&quot;0016225C&quot;/&gt;&lt;wsp:rsid wsp:val=&quot;001626F1&quot;/&gt;&lt;wsp:rsid wsp:val=&quot;00162BD8&quot;/&gt;&lt;wsp:rsid wsp:val=&quot;00162D2A&quot;/&gt;&lt;wsp:rsid wsp:val=&quot;00162ECF&quot;/&gt;&lt;wsp:rsid wsp:val=&quot;00162EEA&quot;/&gt;&lt;wsp:rsid wsp:val=&quot;00163006&quot;/&gt;&lt;wsp:rsid wsp:val=&quot;00163749&quot;/&gt;&lt;wsp:rsid wsp:val=&quot;00163D77&quot;/&gt;&lt;wsp:rsid wsp:val=&quot;00163D98&quot;/&gt;&lt;wsp:rsid wsp:val=&quot;00164060&quot;/&gt;&lt;wsp:rsid wsp:val=&quot;00164516&quot;/&gt;&lt;wsp:rsid wsp:val=&quot;0016460F&quot;/&gt;&lt;wsp:rsid wsp:val=&quot;0016467D&quot;/&gt;&lt;wsp:rsid wsp:val=&quot;001646AA&quot;/&gt;&lt;wsp:rsid wsp:val=&quot;001649FB&quot;/&gt;&lt;wsp:rsid wsp:val=&quot;00164A05&quot;/&gt;&lt;wsp:rsid wsp:val=&quot;001650EB&quot;/&gt;&lt;wsp:rsid wsp:val=&quot;0016522D&quot;/&gt;&lt;wsp:rsid wsp:val=&quot;0016523E&quot;/&gt;&lt;wsp:rsid wsp:val=&quot;00165737&quot;/&gt;&lt;wsp:rsid wsp:val=&quot;00165951&quot;/&gt;&lt;wsp:rsid wsp:val=&quot;00165D63&quot;/&gt;&lt;wsp:rsid wsp:val=&quot;00166029&quot;/&gt;&lt;wsp:rsid wsp:val=&quot;0016615A&quot;/&gt;&lt;wsp:rsid wsp:val=&quot;00166265&quot;/&gt;&lt;wsp:rsid wsp:val=&quot;001665D2&quot;/&gt;&lt;wsp:rsid wsp:val=&quot;00166662&quot;/&gt;&lt;wsp:rsid wsp:val=&quot;0016666F&quot;/&gt;&lt;wsp:rsid wsp:val=&quot;001669A6&quot;/&gt;&lt;wsp:rsid wsp:val=&quot;00167077&quot;/&gt;&lt;wsp:rsid wsp:val=&quot;0016720B&quot;/&gt;&lt;wsp:rsid wsp:val=&quot;00167215&quot;/&gt;&lt;wsp:rsid wsp:val=&quot;001673A5&quot;/&gt;&lt;wsp:rsid wsp:val=&quot;00167436&quot;/&gt;&lt;wsp:rsid wsp:val=&quot;00167507&quot;/&gt;&lt;wsp:rsid wsp:val=&quot;001676C3&quot;/&gt;&lt;wsp:rsid wsp:val=&quot;001676C7&quot;/&gt;&lt;wsp:rsid wsp:val=&quot;001678DA&quot;/&gt;&lt;wsp:rsid wsp:val=&quot;001679F8&quot;/&gt;&lt;wsp:rsid wsp:val=&quot;00167B0A&quot;/&gt;&lt;wsp:rsid wsp:val=&quot;00167D65&quot;/&gt;&lt;wsp:rsid wsp:val=&quot;00167EA0&quot;/&gt;&lt;wsp:rsid wsp:val=&quot;00167FF0&quot;/&gt;&lt;wsp:rsid wsp:val=&quot;0017013D&quot;/&gt;&lt;wsp:rsid wsp:val=&quot;00170902&quot;/&gt;&lt;wsp:rsid wsp:val=&quot;00170A62&quot;/&gt;&lt;wsp:rsid wsp:val=&quot;00170BD7&quot;/&gt;&lt;wsp:rsid wsp:val=&quot;00170BEE&quot;/&gt;&lt;wsp:rsid wsp:val=&quot;00170D24&quot;/&gt;&lt;wsp:rsid wsp:val=&quot;00170E81&quot;/&gt;&lt;wsp:rsid wsp:val=&quot;00170EB3&quot;/&gt;&lt;wsp:rsid wsp:val=&quot;00171294&quot;/&gt;&lt;wsp:rsid wsp:val=&quot;001715CA&quot;/&gt;&lt;wsp:rsid wsp:val=&quot;00171854&quot;/&gt;&lt;wsp:rsid wsp:val=&quot;00171DE1&quot;/&gt;&lt;wsp:rsid wsp:val=&quot;001720DE&quot;/&gt;&lt;wsp:rsid wsp:val=&quot;001721F6&quot;/&gt;&lt;wsp:rsid wsp:val=&quot;00172706&quot;/&gt;&lt;wsp:rsid wsp:val=&quot;001727A0&quot;/&gt;&lt;wsp:rsid wsp:val=&quot;00172910&quot;/&gt;&lt;wsp:rsid wsp:val=&quot;00172A12&quot;/&gt;&lt;wsp:rsid wsp:val=&quot;00172B76&quot;/&gt;&lt;wsp:rsid wsp:val=&quot;00172C79&quot;/&gt;&lt;wsp:rsid wsp:val=&quot;00173138&quot;/&gt;&lt;wsp:rsid wsp:val=&quot;00173452&quot;/&gt;&lt;wsp:rsid wsp:val=&quot;001737BF&quot;/&gt;&lt;wsp:rsid wsp:val=&quot;00173B07&quot;/&gt;&lt;wsp:rsid wsp:val=&quot;00173BFE&quot;/&gt;&lt;wsp:rsid wsp:val=&quot;00174180&quot;/&gt;&lt;wsp:rsid wsp:val=&quot;00174834&quot;/&gt;&lt;wsp:rsid wsp:val=&quot;001748D7&quot;/&gt;&lt;wsp:rsid wsp:val=&quot;00174B0E&quot;/&gt;&lt;wsp:rsid wsp:val=&quot;00174EC4&quot;/&gt;&lt;wsp:rsid wsp:val=&quot;001753A2&quot;/&gt;&lt;wsp:rsid wsp:val=&quot;001753D4&quot;/&gt;&lt;wsp:rsid wsp:val=&quot;001756B6&quot;/&gt;&lt;wsp:rsid wsp:val=&quot;00175959&quot;/&gt;&lt;wsp:rsid wsp:val=&quot;00175A9A&quot;/&gt;&lt;wsp:rsid wsp:val=&quot;00175B15&quot;/&gt;&lt;wsp:rsid wsp:val=&quot;00175B39&quot;/&gt;&lt;wsp:rsid wsp:val=&quot;00175D64&quot;/&gt;&lt;wsp:rsid wsp:val=&quot;00175DFB&quot;/&gt;&lt;wsp:rsid wsp:val=&quot;00175EC3&quot;/&gt;&lt;wsp:rsid wsp:val=&quot;00176020&quot;/&gt;&lt;wsp:rsid wsp:val=&quot;00176032&quot;/&gt;&lt;wsp:rsid wsp:val=&quot;001760F1&quot;/&gt;&lt;wsp:rsid wsp:val=&quot;001764D1&quot;/&gt;&lt;wsp:rsid wsp:val=&quot;00176572&quot;/&gt;&lt;wsp:rsid wsp:val=&quot;001768D8&quot;/&gt;&lt;wsp:rsid wsp:val=&quot;0017691B&quot;/&gt;&lt;wsp:rsid wsp:val=&quot;00176977&quot;/&gt;&lt;wsp:rsid wsp:val=&quot;00176A09&quot;/&gt;&lt;wsp:rsid wsp:val=&quot;00176AE2&quot;/&gt;&lt;wsp:rsid wsp:val=&quot;00176B89&quot;/&gt;&lt;wsp:rsid wsp:val=&quot;00176CB2&quot;/&gt;&lt;wsp:rsid wsp:val=&quot;00177290&quot;/&gt;&lt;wsp:rsid wsp:val=&quot;001778DB&quot;/&gt;&lt;wsp:rsid wsp:val=&quot;0017797E&quot;/&gt;&lt;wsp:rsid wsp:val=&quot;001779F4&quot;/&gt;&lt;wsp:rsid wsp:val=&quot;001803E6&quot;/&gt;&lt;wsp:rsid wsp:val=&quot;001804E0&quot;/&gt;&lt;wsp:rsid wsp:val=&quot;001806D3&quot;/&gt;&lt;wsp:rsid wsp:val=&quot;001809E6&quot;/&gt;&lt;wsp:rsid wsp:val=&quot;00180A86&quot;/&gt;&lt;wsp:rsid wsp:val=&quot;00180B51&quot;/&gt;&lt;wsp:rsid wsp:val=&quot;00181265&quot;/&gt;&lt;wsp:rsid wsp:val=&quot;00181440&quot;/&gt;&lt;wsp:rsid wsp:val=&quot;0018199B&quot;/&gt;&lt;wsp:rsid wsp:val=&quot;001819E5&quot;/&gt;&lt;wsp:rsid wsp:val=&quot;00181A6A&quot;/&gt;&lt;wsp:rsid wsp:val=&quot;00181B08&quot;/&gt;&lt;wsp:rsid wsp:val=&quot;00181D27&quot;/&gt;&lt;wsp:rsid wsp:val=&quot;001820C2&quot;/&gt;&lt;wsp:rsid wsp:val=&quot;00182247&quot;/&gt;&lt;wsp:rsid wsp:val=&quot;00182777&quot;/&gt;&lt;wsp:rsid wsp:val=&quot;001827A3&quot;/&gt;&lt;wsp:rsid wsp:val=&quot;001827FC&quot;/&gt;&lt;wsp:rsid wsp:val=&quot;00182AFA&quot;/&gt;&lt;wsp:rsid wsp:val=&quot;00182C50&quot;/&gt;&lt;wsp:rsid wsp:val=&quot;001833A7&quot;/&gt;&lt;wsp:rsid wsp:val=&quot;001836A3&quot;/&gt;&lt;wsp:rsid wsp:val=&quot;0018371A&quot;/&gt;&lt;wsp:rsid wsp:val=&quot;00183A54&quot;/&gt;&lt;wsp:rsid wsp:val=&quot;00183B72&quot;/&gt;&lt;wsp:rsid wsp:val=&quot;00183B77&quot;/&gt;&lt;wsp:rsid wsp:val=&quot;00183CDF&quot;/&gt;&lt;wsp:rsid wsp:val=&quot;00183D16&quot;/&gt;&lt;wsp:rsid wsp:val=&quot;00183DB3&quot;/&gt;&lt;wsp:rsid wsp:val=&quot;00183E50&quot;/&gt;&lt;wsp:rsid wsp:val=&quot;00183FD1&quot;/&gt;&lt;wsp:rsid wsp:val=&quot;00184300&quot;/&gt;&lt;wsp:rsid wsp:val=&quot;001843FD&quot;/&gt;&lt;wsp:rsid wsp:val=&quot;0018456A&quot;/&gt;&lt;wsp:rsid wsp:val=&quot;00184DD7&quot;/&gt;&lt;wsp:rsid wsp:val=&quot;00185273&quot;/&gt;&lt;wsp:rsid wsp:val=&quot;001853D0&quot;/&gt;&lt;wsp:rsid wsp:val=&quot;0018583A&quot;/&gt;&lt;wsp:rsid wsp:val=&quot;001858DA&quot;/&gt;&lt;wsp:rsid wsp:val=&quot;00185A12&quot;/&gt;&lt;wsp:rsid wsp:val=&quot;00185A6B&quot;/&gt;&lt;wsp:rsid wsp:val=&quot;00185AF5&quot;/&gt;&lt;wsp:rsid wsp:val=&quot;00185B39&quot;/&gt;&lt;wsp:rsid wsp:val=&quot;00185BA9&quot;/&gt;&lt;wsp:rsid wsp:val=&quot;00185D6C&quot;/&gt;&lt;wsp:rsid wsp:val=&quot;00185DF1&quot;/&gt;&lt;wsp:rsid wsp:val=&quot;00185F84&quot;/&gt;&lt;wsp:rsid wsp:val=&quot;001860C4&quot;/&gt;&lt;wsp:rsid wsp:val=&quot;0018629A&quot;/&gt;&lt;wsp:rsid wsp:val=&quot;0018633F&quot;/&gt;&lt;wsp:rsid wsp:val=&quot;001864C1&quot;/&gt;&lt;wsp:rsid wsp:val=&quot;00186556&quot;/&gt;&lt;wsp:rsid wsp:val=&quot;0018663B&quot;/&gt;&lt;wsp:rsid wsp:val=&quot;001867B0&quot;/&gt;&lt;wsp:rsid wsp:val=&quot;001867CD&quot;/&gt;&lt;wsp:rsid wsp:val=&quot;001869A4&quot;/&gt;&lt;wsp:rsid wsp:val=&quot;001869BD&quot;/&gt;&lt;wsp:rsid wsp:val=&quot;00186B44&quot;/&gt;&lt;wsp:rsid wsp:val=&quot;00186B51&quot;/&gt;&lt;wsp:rsid wsp:val=&quot;00186C1D&quot;/&gt;&lt;wsp:rsid wsp:val=&quot;00187284&quot;/&gt;&lt;wsp:rsid wsp:val=&quot;001877A2&quot;/&gt;&lt;wsp:rsid wsp:val=&quot;001879A0&quot;/&gt;&lt;wsp:rsid wsp:val=&quot;00187B2D&quot;/&gt;&lt;wsp:rsid wsp:val=&quot;0019009C&quot;/&gt;&lt;wsp:rsid wsp:val=&quot;00190433&quot;/&gt;&lt;wsp:rsid wsp:val=&quot;001907A6&quot;/&gt;&lt;wsp:rsid wsp:val=&quot;001907ED&quot;/&gt;&lt;wsp:rsid wsp:val=&quot;00190CEA&quot;/&gt;&lt;wsp:rsid wsp:val=&quot;00190D5E&quot;/&gt;&lt;wsp:rsid wsp:val=&quot;00190E44&quot;/&gt;&lt;wsp:rsid wsp:val=&quot;00190F21&quot;/&gt;&lt;wsp:rsid wsp:val=&quot;001912DF&quot;/&gt;&lt;wsp:rsid wsp:val=&quot;001915A4&quot;/&gt;&lt;wsp:rsid wsp:val=&quot;001915AD&quot;/&gt;&lt;wsp:rsid wsp:val=&quot;001919A4&quot;/&gt;&lt;wsp:rsid wsp:val=&quot;00191E44&quot;/&gt;&lt;wsp:rsid wsp:val=&quot;00192061&quot;/&gt;&lt;wsp:rsid wsp:val=&quot;00192069&quot;/&gt;&lt;wsp:rsid wsp:val=&quot;001920B1&quot;/&gt;&lt;wsp:rsid wsp:val=&quot;00192364&quot;/&gt;&lt;wsp:rsid wsp:val=&quot;0019276A&quot;/&gt;&lt;wsp:rsid wsp:val=&quot;001927A8&quot;/&gt;&lt;wsp:rsid wsp:val=&quot;001927DF&quot;/&gt;&lt;wsp:rsid wsp:val=&quot;00192A4B&quot;/&gt;&lt;wsp:rsid wsp:val=&quot;00192BF2&quot;/&gt;&lt;wsp:rsid wsp:val=&quot;00192D80&quot;/&gt;&lt;wsp:rsid wsp:val=&quot;00192E0F&quot;/&gt;&lt;wsp:rsid wsp:val=&quot;00192ECC&quot;/&gt;&lt;wsp:rsid wsp:val=&quot;00192F1C&quot;/&gt;&lt;wsp:rsid wsp:val=&quot;001936BD&quot;/&gt;&lt;wsp:rsid wsp:val=&quot;001938A2&quot;/&gt;&lt;wsp:rsid wsp:val=&quot;00193CF3&quot;/&gt;&lt;wsp:rsid wsp:val=&quot;0019425F&quot;/&gt;&lt;wsp:rsid wsp:val=&quot;001949CD&quot;/&gt;&lt;wsp:rsid wsp:val=&quot;00194A52&quot;/&gt;&lt;wsp:rsid wsp:val=&quot;00194F1B&quot;/&gt;&lt;wsp:rsid wsp:val=&quot;00194FC7&quot;/&gt;&lt;wsp:rsid wsp:val=&quot;00195084&quot;/&gt;&lt;wsp:rsid wsp:val=&quot;00195126&quot;/&gt;&lt;wsp:rsid wsp:val=&quot;00195872&quot;/&gt;&lt;wsp:rsid wsp:val=&quot;00195D97&quot;/&gt;&lt;wsp:rsid wsp:val=&quot;00196A05&quot;/&gt;&lt;wsp:rsid wsp:val=&quot;00196A8B&quot;/&gt;&lt;wsp:rsid wsp:val=&quot;00196BBA&quot;/&gt;&lt;wsp:rsid wsp:val=&quot;00196CC7&quot;/&gt;&lt;wsp:rsid wsp:val=&quot;00196E90&quot;/&gt;&lt;wsp:rsid wsp:val=&quot;001970BE&quot;/&gt;&lt;wsp:rsid wsp:val=&quot;001971F8&quot;/&gt;&lt;wsp:rsid wsp:val=&quot;0019759A&quot;/&gt;&lt;wsp:rsid wsp:val=&quot;00197600&quot;/&gt;&lt;wsp:rsid wsp:val=&quot;00197836&quot;/&gt;&lt;wsp:rsid wsp:val=&quot;00197F47&quot;/&gt;&lt;wsp:rsid wsp:val=&quot;001A017D&quot;/&gt;&lt;wsp:rsid wsp:val=&quot;001A0518&quot;/&gt;&lt;wsp:rsid wsp:val=&quot;001A054A&quot;/&gt;&lt;wsp:rsid wsp:val=&quot;001A05A9&quot;/&gt;&lt;wsp:rsid wsp:val=&quot;001A0A2B&quot;/&gt;&lt;wsp:rsid wsp:val=&quot;001A0C7C&quot;/&gt;&lt;wsp:rsid wsp:val=&quot;001A0CA7&quot;/&gt;&lt;wsp:rsid wsp:val=&quot;001A0ED7&quot;/&gt;&lt;wsp:rsid wsp:val=&quot;001A10F6&quot;/&gt;&lt;wsp:rsid wsp:val=&quot;001A1451&quot;/&gt;&lt;wsp:rsid wsp:val=&quot;001A15AE&quot;/&gt;&lt;wsp:rsid wsp:val=&quot;001A16F0&quot;/&gt;&lt;wsp:rsid wsp:val=&quot;001A1EFF&quot;/&gt;&lt;wsp:rsid wsp:val=&quot;001A2168&quot;/&gt;&lt;wsp:rsid wsp:val=&quot;001A26AE&quot;/&gt;&lt;wsp:rsid wsp:val=&quot;001A2DE5&quot;/&gt;&lt;wsp:rsid wsp:val=&quot;001A3389&quot;/&gt;&lt;wsp:rsid wsp:val=&quot;001A3497&quot;/&gt;&lt;wsp:rsid wsp:val=&quot;001A34F8&quot;/&gt;&lt;wsp:rsid wsp:val=&quot;001A355F&quot;/&gt;&lt;wsp:rsid wsp:val=&quot;001A3BE2&quot;/&gt;&lt;wsp:rsid wsp:val=&quot;001A3EEC&quot;/&gt;&lt;wsp:rsid wsp:val=&quot;001A4840&quot;/&gt;&lt;wsp:rsid wsp:val=&quot;001A4B86&quot;/&gt;&lt;wsp:rsid wsp:val=&quot;001A52EB&quot;/&gt;&lt;wsp:rsid wsp:val=&quot;001A55F6&quot;/&gt;&lt;wsp:rsid wsp:val=&quot;001A5738&quot;/&gt;&lt;wsp:rsid wsp:val=&quot;001A5D31&quot;/&gt;&lt;wsp:rsid wsp:val=&quot;001A5FA3&quot;/&gt;&lt;wsp:rsid wsp:val=&quot;001A601F&quot;/&gt;&lt;wsp:rsid wsp:val=&quot;001A60A8&quot;/&gt;&lt;wsp:rsid wsp:val=&quot;001A63B3&quot;/&gt;&lt;wsp:rsid wsp:val=&quot;001A664C&quot;/&gt;&lt;wsp:rsid wsp:val=&quot;001A6808&quot;/&gt;&lt;wsp:rsid wsp:val=&quot;001A6FA3&quot;/&gt;&lt;wsp:rsid wsp:val=&quot;001A72BF&quot;/&gt;&lt;wsp:rsid wsp:val=&quot;001A7510&quot;/&gt;&lt;wsp:rsid wsp:val=&quot;001A77AA&quot;/&gt;&lt;wsp:rsid wsp:val=&quot;001A7A6F&quot;/&gt;&lt;wsp:rsid wsp:val=&quot;001A7B61&quot;/&gt;&lt;wsp:rsid wsp:val=&quot;001B02F5&quot;/&gt;&lt;wsp:rsid wsp:val=&quot;001B041A&quot;/&gt;&lt;wsp:rsid wsp:val=&quot;001B062C&quot;/&gt;&lt;wsp:rsid wsp:val=&quot;001B065C&quot;/&gt;&lt;wsp:rsid wsp:val=&quot;001B1148&quot;/&gt;&lt;wsp:rsid wsp:val=&quot;001B123B&quot;/&gt;&lt;wsp:rsid wsp:val=&quot;001B1375&quot;/&gt;&lt;wsp:rsid wsp:val=&quot;001B1599&quot;/&gt;&lt;wsp:rsid wsp:val=&quot;001B170C&quot;/&gt;&lt;wsp:rsid wsp:val=&quot;001B1D1E&quot;/&gt;&lt;wsp:rsid wsp:val=&quot;001B20F1&quot;/&gt;&lt;wsp:rsid wsp:val=&quot;001B2202&quot;/&gt;&lt;wsp:rsid wsp:val=&quot;001B2589&quot;/&gt;&lt;wsp:rsid wsp:val=&quot;001B270B&quot;/&gt;&lt;wsp:rsid wsp:val=&quot;001B2780&quot;/&gt;&lt;wsp:rsid wsp:val=&quot;001B288F&quot;/&gt;&lt;wsp:rsid wsp:val=&quot;001B28BB&quot;/&gt;&lt;wsp:rsid wsp:val=&quot;001B2AD1&quot;/&gt;&lt;wsp:rsid wsp:val=&quot;001B2B0B&quot;/&gt;&lt;wsp:rsid wsp:val=&quot;001B2B0E&quot;/&gt;&lt;wsp:rsid wsp:val=&quot;001B2C1E&quot;/&gt;&lt;wsp:rsid wsp:val=&quot;001B2C7C&quot;/&gt;&lt;wsp:rsid wsp:val=&quot;001B2CA6&quot;/&gt;&lt;wsp:rsid wsp:val=&quot;001B2DA7&quot;/&gt;&lt;wsp:rsid wsp:val=&quot;001B2E61&quot;/&gt;&lt;wsp:rsid wsp:val=&quot;001B3118&quot;/&gt;&lt;wsp:rsid wsp:val=&quot;001B354A&quot;/&gt;&lt;wsp:rsid wsp:val=&quot;001B3602&quot;/&gt;&lt;wsp:rsid wsp:val=&quot;001B381F&quot;/&gt;&lt;wsp:rsid wsp:val=&quot;001B3879&quot;/&gt;&lt;wsp:rsid wsp:val=&quot;001B3928&quot;/&gt;&lt;wsp:rsid wsp:val=&quot;001B396F&quot;/&gt;&lt;wsp:rsid wsp:val=&quot;001B39DC&quot;/&gt;&lt;wsp:rsid wsp:val=&quot;001B3A9F&quot;/&gt;&lt;wsp:rsid wsp:val=&quot;001B3BF0&quot;/&gt;&lt;wsp:rsid wsp:val=&quot;001B3EE6&quot;/&gt;&lt;wsp:rsid wsp:val=&quot;001B3F57&quot;/&gt;&lt;wsp:rsid wsp:val=&quot;001B4038&quot;/&gt;&lt;wsp:rsid wsp:val=&quot;001B4366&quot;/&gt;&lt;wsp:rsid wsp:val=&quot;001B4B7C&quot;/&gt;&lt;wsp:rsid wsp:val=&quot;001B4C67&quot;/&gt;&lt;wsp:rsid wsp:val=&quot;001B4E8A&quot;/&gt;&lt;wsp:rsid wsp:val=&quot;001B52A8&quot;/&gt;&lt;wsp:rsid wsp:val=&quot;001B52AB&quot;/&gt;&lt;wsp:rsid wsp:val=&quot;001B54CA&quot;/&gt;&lt;wsp:rsid wsp:val=&quot;001B5AF8&quot;/&gt;&lt;wsp:rsid wsp:val=&quot;001B5C5C&quot;/&gt;&lt;wsp:rsid wsp:val=&quot;001B60F2&quot;/&gt;&lt;wsp:rsid wsp:val=&quot;001B6BC6&quot;/&gt;&lt;wsp:rsid wsp:val=&quot;001B6D34&quot;/&gt;&lt;wsp:rsid wsp:val=&quot;001B6EAF&quot;/&gt;&lt;wsp:rsid wsp:val=&quot;001B72A6&quot;/&gt;&lt;wsp:rsid wsp:val=&quot;001B7677&quot;/&gt;&lt;wsp:rsid wsp:val=&quot;001B76EE&quot;/&gt;&lt;wsp:rsid wsp:val=&quot;001B7850&quot;/&gt;&lt;wsp:rsid wsp:val=&quot;001B79CD&quot;/&gt;&lt;wsp:rsid wsp:val=&quot;001B7E69&quot;/&gt;&lt;wsp:rsid wsp:val=&quot;001C028A&quot;/&gt;&lt;wsp:rsid wsp:val=&quot;001C04E2&quot;/&gt;&lt;wsp:rsid wsp:val=&quot;001C093E&quot;/&gt;&lt;wsp:rsid wsp:val=&quot;001C0C7D&quot;/&gt;&lt;wsp:rsid wsp:val=&quot;001C0E19&quot;/&gt;&lt;wsp:rsid wsp:val=&quot;001C0F65&quot;/&gt;&lt;wsp:rsid wsp:val=&quot;001C109E&quot;/&gt;&lt;wsp:rsid wsp:val=&quot;001C10FD&quot;/&gt;&lt;wsp:rsid wsp:val=&quot;001C15C1&quot;/&gt;&lt;wsp:rsid wsp:val=&quot;001C166F&quot;/&gt;&lt;wsp:rsid wsp:val=&quot;001C17BD&quot;/&gt;&lt;wsp:rsid wsp:val=&quot;001C1C0B&quot;/&gt;&lt;wsp:rsid wsp:val=&quot;001C1D78&quot;/&gt;&lt;wsp:rsid wsp:val=&quot;001C1E57&quot;/&gt;&lt;wsp:rsid wsp:val=&quot;001C1FA8&quot;/&gt;&lt;wsp:rsid wsp:val=&quot;001C2597&quot;/&gt;&lt;wsp:rsid wsp:val=&quot;001C259D&quot;/&gt;&lt;wsp:rsid wsp:val=&quot;001C2AB5&quot;/&gt;&lt;wsp:rsid wsp:val=&quot;001C2C1C&quot;/&gt;&lt;wsp:rsid wsp:val=&quot;001C2CF1&quot;/&gt;&lt;wsp:rsid wsp:val=&quot;001C2D35&quot;/&gt;&lt;wsp:rsid wsp:val=&quot;001C2DB6&quot;/&gt;&lt;wsp:rsid wsp:val=&quot;001C30D5&quot;/&gt;&lt;wsp:rsid wsp:val=&quot;001C31BA&quot;/&gt;&lt;wsp:rsid wsp:val=&quot;001C3A67&quot;/&gt;&lt;wsp:rsid wsp:val=&quot;001C3A75&quot;/&gt;&lt;wsp:rsid wsp:val=&quot;001C3A7D&quot;/&gt;&lt;wsp:rsid wsp:val=&quot;001C3ABF&quot;/&gt;&lt;wsp:rsid wsp:val=&quot;001C3EA8&quot;/&gt;&lt;wsp:rsid wsp:val=&quot;001C4098&quot;/&gt;&lt;wsp:rsid wsp:val=&quot;001C40F0&quot;/&gt;&lt;wsp:rsid wsp:val=&quot;001C41DF&quot;/&gt;&lt;wsp:rsid wsp:val=&quot;001C4A4B&quot;/&gt;&lt;wsp:rsid wsp:val=&quot;001C4C9A&quot;/&gt;&lt;wsp:rsid wsp:val=&quot;001C4DDE&quot;/&gt;&lt;wsp:rsid wsp:val=&quot;001C4E0D&quot;/&gt;&lt;wsp:rsid wsp:val=&quot;001C5006&quot;/&gt;&lt;wsp:rsid wsp:val=&quot;001C5399&quot;/&gt;&lt;wsp:rsid wsp:val=&quot;001C54C3&quot;/&gt;&lt;wsp:rsid wsp:val=&quot;001C55D1&quot;/&gt;&lt;wsp:rsid wsp:val=&quot;001C57B5&quot;/&gt;&lt;wsp:rsid wsp:val=&quot;001C5C07&quot;/&gt;&lt;wsp:rsid wsp:val=&quot;001C5C7D&quot;/&gt;&lt;wsp:rsid wsp:val=&quot;001C5DD3&quot;/&gt;&lt;wsp:rsid wsp:val=&quot;001C62C8&quot;/&gt;&lt;wsp:rsid wsp:val=&quot;001C64D9&quot;/&gt;&lt;wsp:rsid wsp:val=&quot;001C6501&quot;/&gt;&lt;wsp:rsid wsp:val=&quot;001C68F6&quot;/&gt;&lt;wsp:rsid wsp:val=&quot;001C69AB&quot;/&gt;&lt;wsp:rsid wsp:val=&quot;001C6D16&quot;/&gt;&lt;wsp:rsid wsp:val=&quot;001C6F8F&quot;/&gt;&lt;wsp:rsid wsp:val=&quot;001C7B16&quot;/&gt;&lt;wsp:rsid wsp:val=&quot;001C7DCC&quot;/&gt;&lt;wsp:rsid wsp:val=&quot;001C7DD9&quot;/&gt;&lt;wsp:rsid wsp:val=&quot;001D0937&quot;/&gt;&lt;wsp:rsid wsp:val=&quot;001D0B3F&quot;/&gt;&lt;wsp:rsid wsp:val=&quot;001D0D56&quot;/&gt;&lt;wsp:rsid wsp:val=&quot;001D0FBA&quot;/&gt;&lt;wsp:rsid wsp:val=&quot;001D1107&quot;/&gt;&lt;wsp:rsid wsp:val=&quot;001D1250&quot;/&gt;&lt;wsp:rsid wsp:val=&quot;001D1820&quot;/&gt;&lt;wsp:rsid wsp:val=&quot;001D1993&quot;/&gt;&lt;wsp:rsid wsp:val=&quot;001D1AAD&quot;/&gt;&lt;wsp:rsid wsp:val=&quot;001D1AC5&quot;/&gt;&lt;wsp:rsid wsp:val=&quot;001D1BA9&quot;/&gt;&lt;wsp:rsid wsp:val=&quot;001D1E67&quot;/&gt;&lt;wsp:rsid wsp:val=&quot;001D246B&quot;/&gt;&lt;wsp:rsid wsp:val=&quot;001D255C&quot;/&gt;&lt;wsp:rsid wsp:val=&quot;001D263B&quot;/&gt;&lt;wsp:rsid wsp:val=&quot;001D2721&quot;/&gt;&lt;wsp:rsid wsp:val=&quot;001D2819&quot;/&gt;&lt;wsp:rsid wsp:val=&quot;001D2834&quot;/&gt;&lt;wsp:rsid wsp:val=&quot;001D29B9&quot;/&gt;&lt;wsp:rsid wsp:val=&quot;001D2BF6&quot;/&gt;&lt;wsp:rsid wsp:val=&quot;001D2E00&quot;/&gt;&lt;wsp:rsid wsp:val=&quot;001D2E7A&quot;/&gt;&lt;wsp:rsid wsp:val=&quot;001D310C&quot;/&gt;&lt;wsp:rsid wsp:val=&quot;001D321E&quot;/&gt;&lt;wsp:rsid wsp:val=&quot;001D338B&quot;/&gt;&lt;wsp:rsid wsp:val=&quot;001D33EB&quot;/&gt;&lt;wsp:rsid wsp:val=&quot;001D342A&quot;/&gt;&lt;wsp:rsid wsp:val=&quot;001D342B&quot;/&gt;&lt;wsp:rsid wsp:val=&quot;001D3520&quot;/&gt;&lt;wsp:rsid wsp:val=&quot;001D352A&quot;/&gt;&lt;wsp:rsid wsp:val=&quot;001D3733&quot;/&gt;&lt;wsp:rsid wsp:val=&quot;001D3A24&quot;/&gt;&lt;wsp:rsid wsp:val=&quot;001D3EB5&quot;/&gt;&lt;wsp:rsid wsp:val=&quot;001D3FAF&quot;/&gt;&lt;wsp:rsid wsp:val=&quot;001D4119&quot;/&gt;&lt;wsp:rsid wsp:val=&quot;001D42D8&quot;/&gt;&lt;wsp:rsid wsp:val=&quot;001D4310&quot;/&gt;&lt;wsp:rsid wsp:val=&quot;001D4499&quot;/&gt;&lt;wsp:rsid wsp:val=&quot;001D44B2&quot;/&gt;&lt;wsp:rsid wsp:val=&quot;001D44B5&quot;/&gt;&lt;wsp:rsid wsp:val=&quot;001D46FA&quot;/&gt;&lt;wsp:rsid wsp:val=&quot;001D4733&quot;/&gt;&lt;wsp:rsid wsp:val=&quot;001D4D81&quot;/&gt;&lt;wsp:rsid wsp:val=&quot;001D52FA&quot;/&gt;&lt;wsp:rsid wsp:val=&quot;001D58AC&quot;/&gt;&lt;wsp:rsid wsp:val=&quot;001D5A62&quot;/&gt;&lt;wsp:rsid wsp:val=&quot;001D5AEF&quot;/&gt;&lt;wsp:rsid wsp:val=&quot;001D5B50&quot;/&gt;&lt;wsp:rsid wsp:val=&quot;001D5FE1&quot;/&gt;&lt;wsp:rsid wsp:val=&quot;001D6467&quot;/&gt;&lt;wsp:rsid wsp:val=&quot;001D6597&quot;/&gt;&lt;wsp:rsid wsp:val=&quot;001D673A&quot;/&gt;&lt;wsp:rsid wsp:val=&quot;001D6756&quot;/&gt;&lt;wsp:rsid wsp:val=&quot;001D686E&quot;/&gt;&lt;wsp:rsid wsp:val=&quot;001D6CCA&quot;/&gt;&lt;wsp:rsid wsp:val=&quot;001D6D8C&quot;/&gt;&lt;wsp:rsid wsp:val=&quot;001D6EB8&quot;/&gt;&lt;wsp:rsid wsp:val=&quot;001D7182&quot;/&gt;&lt;wsp:rsid wsp:val=&quot;001D7493&quot;/&gt;&lt;wsp:rsid wsp:val=&quot;001D769C&quot;/&gt;&lt;wsp:rsid wsp:val=&quot;001D76D7&quot;/&gt;&lt;wsp:rsid wsp:val=&quot;001D79AE&quot;/&gt;&lt;wsp:rsid wsp:val=&quot;001D7EAB&quot;/&gt;&lt;wsp:rsid wsp:val=&quot;001E0172&quot;/&gt;&lt;wsp:rsid wsp:val=&quot;001E037B&quot;/&gt;&lt;wsp:rsid wsp:val=&quot;001E03A4&quot;/&gt;&lt;wsp:rsid wsp:val=&quot;001E0486&quot;/&gt;&lt;wsp:rsid wsp:val=&quot;001E0526&quot;/&gt;&lt;wsp:rsid wsp:val=&quot;001E06A9&quot;/&gt;&lt;wsp:rsid wsp:val=&quot;001E08A8&quot;/&gt;&lt;wsp:rsid wsp:val=&quot;001E0D9E&quot;/&gt;&lt;wsp:rsid wsp:val=&quot;001E11C3&quot;/&gt;&lt;wsp:rsid wsp:val=&quot;001E13A9&quot;/&gt;&lt;wsp:rsid wsp:val=&quot;001E1677&quot;/&gt;&lt;wsp:rsid wsp:val=&quot;001E17A9&quot;/&gt;&lt;wsp:rsid wsp:val=&quot;001E17F3&quot;/&gt;&lt;wsp:rsid wsp:val=&quot;001E192A&quot;/&gt;&lt;wsp:rsid wsp:val=&quot;001E1AC4&quot;/&gt;&lt;wsp:rsid wsp:val=&quot;001E1AF5&quot;/&gt;&lt;wsp:rsid wsp:val=&quot;001E1B96&quot;/&gt;&lt;wsp:rsid wsp:val=&quot;001E1C33&quot;/&gt;&lt;wsp:rsid wsp:val=&quot;001E1E69&quot;/&gt;&lt;wsp:rsid wsp:val=&quot;001E2004&quot;/&gt;&lt;wsp:rsid wsp:val=&quot;001E2076&quot;/&gt;&lt;wsp:rsid wsp:val=&quot;001E2119&quot;/&gt;&lt;wsp:rsid wsp:val=&quot;001E26DF&quot;/&gt;&lt;wsp:rsid wsp:val=&quot;001E2888&quot;/&gt;&lt;wsp:rsid wsp:val=&quot;001E2CA6&quot;/&gt;&lt;wsp:rsid wsp:val=&quot;001E2D47&quot;/&gt;&lt;wsp:rsid wsp:val=&quot;001E2E12&quot;/&gt;&lt;wsp:rsid wsp:val=&quot;001E30EB&quot;/&gt;&lt;wsp:rsid wsp:val=&quot;001E3324&quot;/&gt;&lt;wsp:rsid wsp:val=&quot;001E332A&quot;/&gt;&lt;wsp:rsid wsp:val=&quot;001E390B&quot;/&gt;&lt;wsp:rsid wsp:val=&quot;001E3C5F&quot;/&gt;&lt;wsp:rsid wsp:val=&quot;001E3D84&quot;/&gt;&lt;wsp:rsid wsp:val=&quot;001E404C&quot;/&gt;&lt;wsp:rsid wsp:val=&quot;001E41CF&quot;/&gt;&lt;wsp:rsid wsp:val=&quot;001E441E&quot;/&gt;&lt;wsp:rsid wsp:val=&quot;001E4548&quot;/&gt;&lt;wsp:rsid wsp:val=&quot;001E48D8&quot;/&gt;&lt;wsp:rsid wsp:val=&quot;001E4B42&quot;/&gt;&lt;wsp:rsid wsp:val=&quot;001E4BA3&quot;/&gt;&lt;wsp:rsid wsp:val=&quot;001E4D0E&quot;/&gt;&lt;wsp:rsid wsp:val=&quot;001E4E51&quot;/&gt;&lt;wsp:rsid wsp:val=&quot;001E4F58&quot;/&gt;&lt;wsp:rsid wsp:val=&quot;001E51DB&quot;/&gt;&lt;wsp:rsid wsp:val=&quot;001E5379&quot;/&gt;&lt;wsp:rsid wsp:val=&quot;001E53D2&quot;/&gt;&lt;wsp:rsid wsp:val=&quot;001E5442&quot;/&gt;&lt;wsp:rsid wsp:val=&quot;001E55C8&quot;/&gt;&lt;wsp:rsid wsp:val=&quot;001E5830&quot;/&gt;&lt;wsp:rsid wsp:val=&quot;001E5905&quot;/&gt;&lt;wsp:rsid wsp:val=&quot;001E5AF1&quot;/&gt;&lt;wsp:rsid wsp:val=&quot;001E5E46&quot;/&gt;&lt;wsp:rsid wsp:val=&quot;001E66D3&quot;/&gt;&lt;wsp:rsid wsp:val=&quot;001E6903&quot;/&gt;&lt;wsp:rsid wsp:val=&quot;001E6976&quot;/&gt;&lt;wsp:rsid wsp:val=&quot;001E6A00&quot;/&gt;&lt;wsp:rsid wsp:val=&quot;001E6A5A&quot;/&gt;&lt;wsp:rsid wsp:val=&quot;001E6BE6&quot;/&gt;&lt;wsp:rsid wsp:val=&quot;001E6C06&quot;/&gt;&lt;wsp:rsid wsp:val=&quot;001E6EB2&quot;/&gt;&lt;wsp:rsid wsp:val=&quot;001E73D5&quot;/&gt;&lt;wsp:rsid wsp:val=&quot;001E7605&quot;/&gt;&lt;wsp:rsid wsp:val=&quot;001E7893&quot;/&gt;&lt;wsp:rsid wsp:val=&quot;001E7935&quot;/&gt;&lt;wsp:rsid wsp:val=&quot;001E7A7C&quot;/&gt;&lt;wsp:rsid wsp:val=&quot;001F02C6&quot;/&gt;&lt;wsp:rsid wsp:val=&quot;001F0464&quot;/&gt;&lt;wsp:rsid wsp:val=&quot;001F0CAB&quot;/&gt;&lt;wsp:rsid wsp:val=&quot;001F10B5&quot;/&gt;&lt;wsp:rsid wsp:val=&quot;001F155A&quot;/&gt;&lt;wsp:rsid wsp:val=&quot;001F16C2&quot;/&gt;&lt;wsp:rsid wsp:val=&quot;001F178E&quot;/&gt;&lt;wsp:rsid wsp:val=&quot;001F183C&quot;/&gt;&lt;wsp:rsid wsp:val=&quot;001F1865&quot;/&gt;&lt;wsp:rsid wsp:val=&quot;001F1886&quot;/&gt;&lt;wsp:rsid wsp:val=&quot;001F1888&quot;/&gt;&lt;wsp:rsid wsp:val=&quot;001F1971&quot;/&gt;&lt;wsp:rsid wsp:val=&quot;001F21DA&quot;/&gt;&lt;wsp:rsid wsp:val=&quot;001F2496&quot;/&gt;&lt;wsp:rsid wsp:val=&quot;001F25CD&quot;/&gt;&lt;wsp:rsid wsp:val=&quot;001F309F&quot;/&gt;&lt;wsp:rsid wsp:val=&quot;001F3115&quot;/&gt;&lt;wsp:rsid wsp:val=&quot;001F3224&quot;/&gt;&lt;wsp:rsid wsp:val=&quot;001F3474&quot;/&gt;&lt;wsp:rsid wsp:val=&quot;001F35FF&quot;/&gt;&lt;wsp:rsid wsp:val=&quot;001F392F&quot;/&gt;&lt;wsp:rsid wsp:val=&quot;001F3BF6&quot;/&gt;&lt;wsp:rsid wsp:val=&quot;001F3C31&quot;/&gt;&lt;wsp:rsid wsp:val=&quot;001F4164&quot;/&gt;&lt;wsp:rsid wsp:val=&quot;001F422A&quot;/&gt;&lt;wsp:rsid wsp:val=&quot;001F45BE&quot;/&gt;&lt;wsp:rsid wsp:val=&quot;001F4603&quot;/&gt;&lt;wsp:rsid wsp:val=&quot;001F4703&quot;/&gt;&lt;wsp:rsid wsp:val=&quot;001F4704&quot;/&gt;&lt;wsp:rsid wsp:val=&quot;001F4B92&quot;/&gt;&lt;wsp:rsid wsp:val=&quot;001F4E45&quot;/&gt;&lt;wsp:rsid wsp:val=&quot;001F4EF0&quot;/&gt;&lt;wsp:rsid wsp:val=&quot;001F50CC&quot;/&gt;&lt;wsp:rsid wsp:val=&quot;001F51FF&quot;/&gt;&lt;wsp:rsid wsp:val=&quot;001F5581&quot;/&gt;&lt;wsp:rsid wsp:val=&quot;001F592C&quot;/&gt;&lt;wsp:rsid wsp:val=&quot;001F5A0B&quot;/&gt;&lt;wsp:rsid wsp:val=&quot;001F5B83&quot;/&gt;&lt;wsp:rsid wsp:val=&quot;001F5C72&quot;/&gt;&lt;wsp:rsid wsp:val=&quot;001F5C84&quot;/&gt;&lt;wsp:rsid wsp:val=&quot;001F5DE3&quot;/&gt;&lt;wsp:rsid wsp:val=&quot;001F602C&quot;/&gt;&lt;wsp:rsid wsp:val=&quot;001F6371&quot;/&gt;&lt;wsp:rsid wsp:val=&quot;001F646C&quot;/&gt;&lt;wsp:rsid wsp:val=&quot;001F6596&quot;/&gt;&lt;wsp:rsid wsp:val=&quot;001F67D0&quot;/&gt;&lt;wsp:rsid wsp:val=&quot;001F67E5&quot;/&gt;&lt;wsp:rsid wsp:val=&quot;001F6AA3&quot;/&gt;&lt;wsp:rsid wsp:val=&quot;001F6B75&quot;/&gt;&lt;wsp:rsid wsp:val=&quot;001F6C54&quot;/&gt;&lt;wsp:rsid wsp:val=&quot;001F6E7F&quot;/&gt;&lt;wsp:rsid wsp:val=&quot;001F6FDE&quot;/&gt;&lt;wsp:rsid wsp:val=&quot;001F7095&quot;/&gt;&lt;wsp:rsid wsp:val=&quot;001F71D7&quot;/&gt;&lt;wsp:rsid wsp:val=&quot;001F72C0&quot;/&gt;&lt;wsp:rsid wsp:val=&quot;001F7D0A&quot;/&gt;&lt;wsp:rsid wsp:val=&quot;001F7F17&quot;/&gt;&lt;wsp:rsid wsp:val=&quot;00200067&quot;/&gt;&lt;wsp:rsid wsp:val=&quot;002001C6&quot;/&gt;&lt;wsp:rsid wsp:val=&quot;0020084E&quot;/&gt;&lt;wsp:rsid wsp:val=&quot;0020091E&quot;/&gt;&lt;wsp:rsid wsp:val=&quot;00200F48&quot;/&gt;&lt;wsp:rsid wsp:val=&quot;00201088&quot;/&gt;&lt;wsp:rsid wsp:val=&quot;0020143B&quot;/&gt;&lt;wsp:rsid wsp:val=&quot;0020160E&quot;/&gt;&lt;wsp:rsid wsp:val=&quot;0020169E&quot;/&gt;&lt;wsp:rsid wsp:val=&quot;00201845&quot;/&gt;&lt;wsp:rsid wsp:val=&quot;0020193E&quot;/&gt;&lt;wsp:rsid wsp:val=&quot;00201B48&quot;/&gt;&lt;wsp:rsid wsp:val=&quot;00201CCB&quot;/&gt;&lt;wsp:rsid wsp:val=&quot;00202134&quot;/&gt;&lt;wsp:rsid wsp:val=&quot;0020221D&quot;/&gt;&lt;wsp:rsid wsp:val=&quot;00202326&quot;/&gt;&lt;wsp:rsid wsp:val=&quot;0020255B&quot;/&gt;&lt;wsp:rsid wsp:val=&quot;00202601&quot;/&gt;&lt;wsp:rsid wsp:val=&quot;00202770&quot;/&gt;&lt;wsp:rsid wsp:val=&quot;002029B2&quot;/&gt;&lt;wsp:rsid wsp:val=&quot;00202A7F&quot;/&gt;&lt;wsp:rsid wsp:val=&quot;00202B84&quot;/&gt;&lt;wsp:rsid wsp:val=&quot;0020327A&quot;/&gt;&lt;wsp:rsid wsp:val=&quot;0020335F&quot;/&gt;&lt;wsp:rsid wsp:val=&quot;00203709&quot;/&gt;&lt;wsp:rsid wsp:val=&quot;002037C0&quot;/&gt;&lt;wsp:rsid wsp:val=&quot;002037DB&quot;/&gt;&lt;wsp:rsid wsp:val=&quot;00203915&quot;/&gt;&lt;wsp:rsid wsp:val=&quot;00203966&quot;/&gt;&lt;wsp:rsid wsp:val=&quot;00203AAA&quot;/&gt;&lt;wsp:rsid wsp:val=&quot;00203B36&quot;/&gt;&lt;wsp:rsid wsp:val=&quot;00204120&quot;/&gt;&lt;wsp:rsid wsp:val=&quot;0020463D&quot;/&gt;&lt;wsp:rsid wsp:val=&quot;00204A20&quot;/&gt;&lt;wsp:rsid wsp:val=&quot;00204C56&quot;/&gt;&lt;wsp:rsid wsp:val=&quot;00204CCF&quot;/&gt;&lt;wsp:rsid wsp:val=&quot;00204EBE&quot;/&gt;&lt;wsp:rsid wsp:val=&quot;00204ED0&quot;/&gt;&lt;wsp:rsid wsp:val=&quot;0020502A&quot;/&gt;&lt;wsp:rsid wsp:val=&quot;00205091&quot;/&gt;&lt;wsp:rsid wsp:val=&quot;00205117&quot;/&gt;&lt;wsp:rsid wsp:val=&quot;00205380&quot;/&gt;&lt;wsp:rsid wsp:val=&quot;002057E0&quot;/&gt;&lt;wsp:rsid wsp:val=&quot;00205826&quot;/&gt;&lt;wsp:rsid wsp:val=&quot;00205894&quot;/&gt;&lt;wsp:rsid wsp:val=&quot;00205946&quot;/&gt;&lt;wsp:rsid wsp:val=&quot;00205C0D&quot;/&gt;&lt;wsp:rsid wsp:val=&quot;00205EED&quot;/&gt;&lt;wsp:rsid wsp:val=&quot;002060CD&quot;/&gt;&lt;wsp:rsid wsp:val=&quot;00206123&quot;/&gt;&lt;wsp:rsid wsp:val=&quot;0020634A&quot;/&gt;&lt;wsp:rsid wsp:val=&quot;002064AD&quot;/&gt;&lt;wsp:rsid wsp:val=&quot;00206822&quot;/&gt;&lt;wsp:rsid wsp:val=&quot;00206EA0&quot;/&gt;&lt;wsp:rsid wsp:val=&quot;0020701D&quot;/&gt;&lt;wsp:rsid wsp:val=&quot;0020706A&quot;/&gt;&lt;wsp:rsid wsp:val=&quot;00207348&quot;/&gt;&lt;wsp:rsid wsp:val=&quot;002074F5&quot;/&gt;&lt;wsp:rsid wsp:val=&quot;00207586&quot;/&gt;&lt;wsp:rsid wsp:val=&quot;00207AB8&quot;/&gt;&lt;wsp:rsid wsp:val=&quot;0021002A&quot;/&gt;&lt;wsp:rsid wsp:val=&quot;0021050B&quot;/&gt;&lt;wsp:rsid wsp:val=&quot;002106BC&quot;/&gt;&lt;wsp:rsid wsp:val=&quot;00210C3E&quot;/&gt;&lt;wsp:rsid wsp:val=&quot;0021102C&quot;/&gt;&lt;wsp:rsid wsp:val=&quot;00211231&quot;/&gt;&lt;wsp:rsid wsp:val=&quot;00211597&quot;/&gt;&lt;wsp:rsid wsp:val=&quot;002119C2&quot;/&gt;&lt;wsp:rsid wsp:val=&quot;00211AF6&quot;/&gt;&lt;wsp:rsid wsp:val=&quot;00211B15&quot;/&gt;&lt;wsp:rsid wsp:val=&quot;00211BE8&quot;/&gt;&lt;wsp:rsid wsp:val=&quot;00211D2B&quot;/&gt;&lt;wsp:rsid wsp:val=&quot;00211E81&quot;/&gt;&lt;wsp:rsid wsp:val=&quot;00211F80&quot;/&gt;&lt;wsp:rsid wsp:val=&quot;00212235&quot;/&gt;&lt;wsp:rsid wsp:val=&quot;0021234A&quot;/&gt;&lt;wsp:rsid wsp:val=&quot;00212654&quot;/&gt;&lt;wsp:rsid wsp:val=&quot;00212677&quot;/&gt;&lt;wsp:rsid wsp:val=&quot;00212749&quot;/&gt;&lt;wsp:rsid wsp:val=&quot;002128BB&quot;/&gt;&lt;wsp:rsid wsp:val=&quot;00212AA3&quot;/&gt;&lt;wsp:rsid wsp:val=&quot;00212D8E&quot;/&gt;&lt;wsp:rsid wsp:val=&quot;00212DCD&quot;/&gt;&lt;wsp:rsid wsp:val=&quot;00212E00&quot;/&gt;&lt;wsp:rsid wsp:val=&quot;0021321D&quot;/&gt;&lt;wsp:rsid wsp:val=&quot;002132AD&quot;/&gt;&lt;wsp:rsid wsp:val=&quot;00213390&quot;/&gt;&lt;wsp:rsid wsp:val=&quot;002133DA&quot;/&gt;&lt;wsp:rsid wsp:val=&quot;002133FB&quot;/&gt;&lt;wsp:rsid wsp:val=&quot;002135C0&quot;/&gt;&lt;wsp:rsid wsp:val=&quot;002137BB&quot;/&gt;&lt;wsp:rsid wsp:val=&quot;00213A4E&quot;/&gt;&lt;wsp:rsid wsp:val=&quot;00213A8A&quot;/&gt;&lt;wsp:rsid wsp:val=&quot;00213C3B&quot;/&gt;&lt;wsp:rsid wsp:val=&quot;00213DA1&quot;/&gt;&lt;wsp:rsid wsp:val=&quot;00213F67&quot;/&gt;&lt;wsp:rsid wsp:val=&quot;00213F8C&quot;/&gt;&lt;wsp:rsid wsp:val=&quot;00213FEF&quot;/&gt;&lt;wsp:rsid wsp:val=&quot;00214191&quot;/&gt;&lt;wsp:rsid wsp:val=&quot;0021442B&quot;/&gt;&lt;wsp:rsid wsp:val=&quot;00214450&quot;/&gt;&lt;wsp:rsid wsp:val=&quot;0021446C&quot;/&gt;&lt;wsp:rsid wsp:val=&quot;00214609&quot;/&gt;&lt;wsp:rsid wsp:val=&quot;0021474F&quot;/&gt;&lt;wsp:rsid wsp:val=&quot;00214BC9&quot;/&gt;&lt;wsp:rsid wsp:val=&quot;00214FC7&quot;/&gt;&lt;wsp:rsid wsp:val=&quot;0021556D&quot;/&gt;&lt;wsp:rsid wsp:val=&quot;002156D4&quot;/&gt;&lt;wsp:rsid wsp:val=&quot;002159BE&quot;/&gt;&lt;wsp:rsid wsp:val=&quot;002159D9&quot;/&gt;&lt;wsp:rsid wsp:val=&quot;00215F89&quot;/&gt;&lt;wsp:rsid wsp:val=&quot;00216291&quot;/&gt;&lt;wsp:rsid wsp:val=&quot;0021699B&quot;/&gt;&lt;wsp:rsid wsp:val=&quot;00216BEC&quot;/&gt;&lt;wsp:rsid wsp:val=&quot;00216E6B&quot;/&gt;&lt;wsp:rsid wsp:val=&quot;00217013&quot;/&gt;&lt;wsp:rsid wsp:val=&quot;002173C0&quot;/&gt;&lt;wsp:rsid wsp:val=&quot;00217489&quot;/&gt;&lt;wsp:rsid wsp:val=&quot;00217809&quot;/&gt;&lt;wsp:rsid wsp:val=&quot;002179D5&quot;/&gt;&lt;wsp:rsid wsp:val=&quot;00217A97&quot;/&gt;&lt;wsp:rsid wsp:val=&quot;00217A9A&quot;/&gt;&lt;wsp:rsid wsp:val=&quot;00217CB7&quot;/&gt;&lt;wsp:rsid wsp:val=&quot;00217D93&quot;/&gt;&lt;wsp:rsid wsp:val=&quot;00217E00&quot;/&gt;&lt;wsp:rsid wsp:val=&quot;0022001A&quot;/&gt;&lt;wsp:rsid wsp:val=&quot;002201B6&quot;/&gt;&lt;wsp:rsid wsp:val=&quot;002204BC&quot;/&gt;&lt;wsp:rsid wsp:val=&quot;002207F9&quot;/&gt;&lt;wsp:rsid wsp:val=&quot;00220892&quot;/&gt;&lt;wsp:rsid wsp:val=&quot;00220A13&quot;/&gt;&lt;wsp:rsid wsp:val=&quot;00220AFB&quot;/&gt;&lt;wsp:rsid wsp:val=&quot;00221071&quot;/&gt;&lt;wsp:rsid wsp:val=&quot;002214C0&quot;/&gt;&lt;wsp:rsid wsp:val=&quot;002217B2&quot;/&gt;&lt;wsp:rsid wsp:val=&quot;00221906&quot;/&gt;&lt;wsp:rsid wsp:val=&quot;00221FE6&quot;/&gt;&lt;wsp:rsid wsp:val=&quot;002224B4&quot;/&gt;&lt;wsp:rsid wsp:val=&quot;00222537&quot;/&gt;&lt;wsp:rsid wsp:val=&quot;002225DF&quot;/&gt;&lt;wsp:rsid wsp:val=&quot;00222F0D&quot;/&gt;&lt;wsp:rsid wsp:val=&quot;00223556&quot;/&gt;&lt;wsp:rsid wsp:val=&quot;0022364B&quot;/&gt;&lt;wsp:rsid wsp:val=&quot;002237B4&quot;/&gt;&lt;wsp:rsid wsp:val=&quot;002237D0&quot;/&gt;&lt;wsp:rsid wsp:val=&quot;00223A29&quot;/&gt;&lt;wsp:rsid wsp:val=&quot;00223BB9&quot;/&gt;&lt;wsp:rsid wsp:val=&quot;00223C4A&quot;/&gt;&lt;wsp:rsid wsp:val=&quot;00223EB6&quot;/&gt;&lt;wsp:rsid wsp:val=&quot;00224082&quot;/&gt;&lt;wsp:rsid wsp:val=&quot;002242A9&quot;/&gt;&lt;wsp:rsid wsp:val=&quot;00224425&quot;/&gt;&lt;wsp:rsid wsp:val=&quot;00224569&quot;/&gt;&lt;wsp:rsid wsp:val=&quot;002245B8&quot;/&gt;&lt;wsp:rsid wsp:val=&quot;00224B50&quot;/&gt;&lt;wsp:rsid wsp:val=&quot;00224F76&quot;/&gt;&lt;wsp:rsid wsp:val=&quot;0022506D&quot;/&gt;&lt;wsp:rsid wsp:val=&quot;00225118&quot;/&gt;&lt;wsp:rsid wsp:val=&quot;00225373&quot;/&gt;&lt;wsp:rsid wsp:val=&quot;002253C0&quot;/&gt;&lt;wsp:rsid wsp:val=&quot;002255D8&quot;/&gt;&lt;wsp:rsid wsp:val=&quot;002257CF&quot;/&gt;&lt;wsp:rsid wsp:val=&quot;0022584C&quot;/&gt;&lt;wsp:rsid wsp:val=&quot;00225ABF&quot;/&gt;&lt;wsp:rsid wsp:val=&quot;00225EBC&quot;/&gt;&lt;wsp:rsid wsp:val=&quot;00225EF9&quot;/&gt;&lt;wsp:rsid wsp:val=&quot;00226067&quot;/&gt;&lt;wsp:rsid wsp:val=&quot;0022620C&quot;/&gt;&lt;wsp:rsid wsp:val=&quot;0022632F&quot;/&gt;&lt;wsp:rsid wsp:val=&quot;00226721&quot;/&gt;&lt;wsp:rsid wsp:val=&quot;00226799&quot;/&gt;&lt;wsp:rsid wsp:val=&quot;00226829&quot;/&gt;&lt;wsp:rsid wsp:val=&quot;0022682A&quot;/&gt;&lt;wsp:rsid wsp:val=&quot;00226A5B&quot;/&gt;&lt;wsp:rsid wsp:val=&quot;00226BCC&quot;/&gt;&lt;wsp:rsid wsp:val=&quot;00226CB1&quot;/&gt;&lt;wsp:rsid wsp:val=&quot;00226E61&quot;/&gt;&lt;wsp:rsid wsp:val=&quot;002272C5&quot;/&gt;&lt;wsp:rsid wsp:val=&quot;00227383&quot;/&gt;&lt;wsp:rsid wsp:val=&quot;00227982&quot;/&gt;&lt;wsp:rsid wsp:val=&quot;00227E40&quot;/&gt;&lt;wsp:rsid wsp:val=&quot;00227F18&quot;/&gt;&lt;wsp:rsid wsp:val=&quot;00227F30&quot;/&gt;&lt;wsp:rsid wsp:val=&quot;00230182&quot;/&gt;&lt;wsp:rsid wsp:val=&quot;002302C1&quot;/&gt;&lt;wsp:rsid wsp:val=&quot;00230931&quot;/&gt;&lt;wsp:rsid wsp:val=&quot;00230EC6&quot;/&gt;&lt;wsp:rsid wsp:val=&quot;00231568&quot;/&gt;&lt;wsp:rsid wsp:val=&quot;0023156A&quot;/&gt;&lt;wsp:rsid wsp:val=&quot;00231A2A&quot;/&gt;&lt;wsp:rsid wsp:val=&quot;00231AAB&quot;/&gt;&lt;wsp:rsid wsp:val=&quot;00231D8D&quot;/&gt;&lt;wsp:rsid wsp:val=&quot;00231FBE&quot;/&gt;&lt;wsp:rsid wsp:val=&quot;002324AC&quot;/&gt;&lt;wsp:rsid wsp:val=&quot;0023261B&quot;/&gt;&lt;wsp:rsid wsp:val=&quot;00232976&quot;/&gt;&lt;wsp:rsid wsp:val=&quot;00232A5B&quot;/&gt;&lt;wsp:rsid wsp:val=&quot;00232BC9&quot;/&gt;&lt;wsp:rsid wsp:val=&quot;00232D5B&quot;/&gt;&lt;wsp:rsid wsp:val=&quot;00232E13&quot;/&gt;&lt;wsp:rsid wsp:val=&quot;00232F48&quot;/&gt;&lt;wsp:rsid wsp:val=&quot;00233057&quot;/&gt;&lt;wsp:rsid wsp:val=&quot;002332D9&quot;/&gt;&lt;wsp:rsid wsp:val=&quot;0023335F&quot;/&gt;&lt;wsp:rsid wsp:val=&quot;002338E5&quot;/&gt;&lt;wsp:rsid wsp:val=&quot;0023398B&quot;/&gt;&lt;wsp:rsid wsp:val=&quot;002341D5&quot;/&gt;&lt;wsp:rsid wsp:val=&quot;002346D3&quot;/&gt;&lt;wsp:rsid wsp:val=&quot;00234752&quot;/&gt;&lt;wsp:rsid wsp:val=&quot;0023479B&quot;/&gt;&lt;wsp:rsid wsp:val=&quot;00234C00&quot;/&gt;&lt;wsp:rsid wsp:val=&quot;00234ED0&quot;/&gt;&lt;wsp:rsid wsp:val=&quot;0023501E&quot;/&gt;&lt;wsp:rsid wsp:val=&quot;00235394&quot;/&gt;&lt;wsp:rsid wsp:val=&quot;0023549A&quot;/&gt;&lt;wsp:rsid wsp:val=&quot;0023561A&quot;/&gt;&lt;wsp:rsid wsp:val=&quot;002357C9&quot;/&gt;&lt;wsp:rsid wsp:val=&quot;002359AB&quot;/&gt;&lt;wsp:rsid wsp:val=&quot;00235B23&quot;/&gt;&lt;wsp:rsid wsp:val=&quot;00235B59&quot;/&gt;&lt;wsp:rsid wsp:val=&quot;00236253&quot;/&gt;&lt;wsp:rsid wsp:val=&quot;002363FA&quot;/&gt;&lt;wsp:rsid wsp:val=&quot;002370F6&quot;/&gt;&lt;wsp:rsid wsp:val=&quot;002371BD&quot;/&gt;&lt;wsp:rsid wsp:val=&quot;00237460&quot;/&gt;&lt;wsp:rsid wsp:val=&quot;00237479&quot;/&gt;&lt;wsp:rsid wsp:val=&quot;002378A7&quot;/&gt;&lt;wsp:rsid wsp:val=&quot;00237B71&quot;/&gt;&lt;wsp:rsid wsp:val=&quot;00237D1B&quot;/&gt;&lt;wsp:rsid wsp:val=&quot;00237E99&quot;/&gt;&lt;wsp:rsid wsp:val=&quot;0024005F&quot;/&gt;&lt;wsp:rsid wsp:val=&quot;00240263&quot;/&gt;&lt;wsp:rsid wsp:val=&quot;00240324&quot;/&gt;&lt;wsp:rsid wsp:val=&quot;00240327&quot;/&gt;&lt;wsp:rsid wsp:val=&quot;00240372&quot;/&gt;&lt;wsp:rsid wsp:val=&quot;002405A2&quot;/&gt;&lt;wsp:rsid wsp:val=&quot;0024069F&quot;/&gt;&lt;wsp:rsid wsp:val=&quot;002409F5&quot;/&gt;&lt;wsp:rsid wsp:val=&quot;00240B5D&quot;/&gt;&lt;wsp:rsid wsp:val=&quot;00240FB5&quot;/&gt;&lt;wsp:rsid wsp:val=&quot;00240FD6&quot;/&gt;&lt;wsp:rsid wsp:val=&quot;0024100F&quot;/&gt;&lt;wsp:rsid wsp:val=&quot;0024136B&quot;/&gt;&lt;wsp:rsid wsp:val=&quot;002416D0&quot;/&gt;&lt;wsp:rsid wsp:val=&quot;00241777&quot;/&gt;&lt;wsp:rsid wsp:val=&quot;002419AE&quot;/&gt;&lt;wsp:rsid wsp:val=&quot;00241BFB&quot;/&gt;&lt;wsp:rsid wsp:val=&quot;00241F39&quot;/&gt;&lt;wsp:rsid wsp:val=&quot;0024208F&quot;/&gt;&lt;wsp:rsid wsp:val=&quot;0024215C&quot;/&gt;&lt;wsp:rsid wsp:val=&quot;0024236D&quot;/&gt;&lt;wsp:rsid wsp:val=&quot;002424A7&quot;/&gt;&lt;wsp:rsid wsp:val=&quot;0024256B&quot;/&gt;&lt;wsp:rsid wsp:val=&quot;002426FF&quot;/&gt;&lt;wsp:rsid wsp:val=&quot;002428A6&quot;/&gt;&lt;wsp:rsid wsp:val=&quot;002429FA&quot;/&gt;&lt;wsp:rsid wsp:val=&quot;00242C69&quot;/&gt;&lt;wsp:rsid wsp:val=&quot;00242F6E&quot;/&gt;&lt;wsp:rsid wsp:val=&quot;002431C7&quot;/&gt;&lt;wsp:rsid wsp:val=&quot;0024365E&quot;/&gt;&lt;wsp:rsid wsp:val=&quot;002439C5&quot;/&gt;&lt;wsp:rsid wsp:val=&quot;002439D0&quot;/&gt;&lt;wsp:rsid wsp:val=&quot;00243A41&quot;/&gt;&lt;wsp:rsid wsp:val=&quot;00243BD9&quot;/&gt;&lt;wsp:rsid wsp:val=&quot;00243D3D&quot;/&gt;&lt;wsp:rsid wsp:val=&quot;0024417C&quot;/&gt;&lt;wsp:rsid wsp:val=&quot;002444E7&quot;/&gt;&lt;wsp:rsid wsp:val=&quot;002447A8&quot;/&gt;&lt;wsp:rsid wsp:val=&quot;00244956&quot;/&gt;&lt;wsp:rsid wsp:val=&quot;00244986&quot;/&gt;&lt;wsp:rsid wsp:val=&quot;002449C9&quot;/&gt;&lt;wsp:rsid wsp:val=&quot;00244A5E&quot;/&gt;&lt;wsp:rsid wsp:val=&quot;00244AF3&quot;/&gt;&lt;wsp:rsid wsp:val=&quot;00244C3F&quot;/&gt;&lt;wsp:rsid wsp:val=&quot;00244C5D&quot;/&gt;&lt;wsp:rsid wsp:val=&quot;00245007&quot;/&gt;&lt;wsp:rsid wsp:val=&quot;00245079&quot;/&gt;&lt;wsp:rsid wsp:val=&quot;002450E7&quot;/&gt;&lt;wsp:rsid wsp:val=&quot;0024522C&quot;/&gt;&lt;wsp:rsid wsp:val=&quot;00245256&quot;/&gt;&lt;wsp:rsid wsp:val=&quot;002454C5&quot;/&gt;&lt;wsp:rsid wsp:val=&quot;002455B1&quot;/&gt;&lt;wsp:rsid wsp:val=&quot;00245EB1&quot;/&gt;&lt;wsp:rsid wsp:val=&quot;00245EBE&quot;/&gt;&lt;wsp:rsid wsp:val=&quot;00245ED8&quot;/&gt;&lt;wsp:rsid wsp:val=&quot;00246125&quot;/&gt;&lt;wsp:rsid wsp:val=&quot;00246B24&quot;/&gt;&lt;wsp:rsid wsp:val=&quot;00246BC2&quot;/&gt;&lt;wsp:rsid wsp:val=&quot;0024724E&quot;/&gt;&lt;wsp:rsid wsp:val=&quot;00247F5F&quot;/&gt;&lt;wsp:rsid wsp:val=&quot;002504AF&quot;/&gt;&lt;wsp:rsid wsp:val=&quot;00250771&quot;/&gt;&lt;wsp:rsid wsp:val=&quot;00250818&quot;/&gt;&lt;wsp:rsid wsp:val=&quot;002509FD&quot;/&gt;&lt;wsp:rsid wsp:val=&quot;00250CF6&quot;/&gt;&lt;wsp:rsid wsp:val=&quot;00250EE3&quot;/&gt;&lt;wsp:rsid wsp:val=&quot;00250F8F&quot;/&gt;&lt;wsp:rsid wsp:val=&quot;00250F98&quot;/&gt;&lt;wsp:rsid wsp:val=&quot;002510DA&quot;/&gt;&lt;wsp:rsid wsp:val=&quot;00251333&quot;/&gt;&lt;wsp:rsid wsp:val=&quot;0025144C&quot;/&gt;&lt;wsp:rsid wsp:val=&quot;002514AF&quot;/&gt;&lt;wsp:rsid wsp:val=&quot;002514E1&quot;/&gt;&lt;wsp:rsid wsp:val=&quot;00251722&quot;/&gt;&lt;wsp:rsid wsp:val=&quot;00251CD7&quot;/&gt;&lt;wsp:rsid wsp:val=&quot;00251F1D&quot;/&gt;&lt;wsp:rsid wsp:val=&quot;0025219B&quot;/&gt;&lt;wsp:rsid wsp:val=&quot;0025264B&quot;/&gt;&lt;wsp:rsid wsp:val=&quot;0025268E&quot;/&gt;&lt;wsp:rsid wsp:val=&quot;00252794&quot;/&gt;&lt;wsp:rsid wsp:val=&quot;00252907&quot;/&gt;&lt;wsp:rsid wsp:val=&quot;002531D8&quot;/&gt;&lt;wsp:rsid wsp:val=&quot;002535BF&quot;/&gt;&lt;wsp:rsid wsp:val=&quot;00253624&quot;/&gt;&lt;wsp:rsid wsp:val=&quot;00253742&quot;/&gt;&lt;wsp:rsid wsp:val=&quot;002537A4&quot;/&gt;&lt;wsp:rsid wsp:val=&quot;002537B8&quot;/&gt;&lt;wsp:rsid wsp:val=&quot;00253A1E&quot;/&gt;&lt;wsp:rsid wsp:val=&quot;00253F8C&quot;/&gt;&lt;wsp:rsid wsp:val=&quot;0025456B&quot;/&gt;&lt;wsp:rsid wsp:val=&quot;002548D1&quot;/&gt;&lt;wsp:rsid wsp:val=&quot;00254A1D&quot;/&gt;&lt;wsp:rsid wsp:val=&quot;00254A70&quot;/&gt;&lt;wsp:rsid wsp:val=&quot;00254B43&quot;/&gt;&lt;wsp:rsid wsp:val=&quot;00254B89&quot;/&gt;&lt;wsp:rsid wsp:val=&quot;00254BB9&quot;/&gt;&lt;wsp:rsid wsp:val=&quot;00254E4D&quot;/&gt;&lt;wsp:rsid wsp:val=&quot;002551F6&quot;/&gt;&lt;wsp:rsid wsp:val=&quot;002555F5&quot;/&gt;&lt;wsp:rsid wsp:val=&quot;002558F3&quot;/&gt;&lt;wsp:rsid wsp:val=&quot;002558FD&quot;/&gt;&lt;wsp:rsid wsp:val=&quot;002559F8&quot;/&gt;&lt;wsp:rsid wsp:val=&quot;00255BBD&quot;/&gt;&lt;wsp:rsid wsp:val=&quot;00255C63&quot;/&gt;&lt;wsp:rsid wsp:val=&quot;00255DF1&quot;/&gt;&lt;wsp:rsid wsp:val=&quot;00255E61&quot;/&gt;&lt;wsp:rsid wsp:val=&quot;002562A8&quot;/&gt;&lt;wsp:rsid wsp:val=&quot;002566D1&quot;/&gt;&lt;wsp:rsid wsp:val=&quot;002566E4&quot;/&gt;&lt;wsp:rsid wsp:val=&quot;00256707&quot;/&gt;&lt;wsp:rsid wsp:val=&quot;002567DD&quot;/&gt;&lt;wsp:rsid wsp:val=&quot;00256BE8&quot;/&gt;&lt;wsp:rsid wsp:val=&quot;00257117&quot;/&gt;&lt;wsp:rsid wsp:val=&quot;00257321&quot;/&gt;&lt;wsp:rsid wsp:val=&quot;00257335&quot;/&gt;&lt;wsp:rsid wsp:val=&quot;00257BD0&quot;/&gt;&lt;wsp:rsid wsp:val=&quot;00257CA7&quot;/&gt;&lt;wsp:rsid wsp:val=&quot;00260349&quot;/&gt;&lt;wsp:rsid wsp:val=&quot;002603AB&quot;/&gt;&lt;wsp:rsid wsp:val=&quot;002606CC&quot;/&gt;&lt;wsp:rsid wsp:val=&quot;002608EE&quot;/&gt;&lt;wsp:rsid wsp:val=&quot;00260997&quot;/&gt;&lt;wsp:rsid wsp:val=&quot;00260C31&quot;/&gt;&lt;wsp:rsid wsp:val=&quot;00260F64&quot;/&gt;&lt;wsp:rsid wsp:val=&quot;00260FCB&quot;/&gt;&lt;wsp:rsid wsp:val=&quot;002618BF&quot;/&gt;&lt;wsp:rsid wsp:val=&quot;00261C2E&quot;/&gt;&lt;wsp:rsid wsp:val=&quot;00261E1D&quot;/&gt;&lt;wsp:rsid wsp:val=&quot;00261E74&quot;/&gt;&lt;wsp:rsid wsp:val=&quot;002626CD&quot;/&gt;&lt;wsp:rsid wsp:val=&quot;0026283E&quot;/&gt;&lt;wsp:rsid wsp:val=&quot;002628DB&quot;/&gt;&lt;wsp:rsid wsp:val=&quot;00262ABA&quot;/&gt;&lt;wsp:rsid wsp:val=&quot;00262B80&quot;/&gt;&lt;wsp:rsid wsp:val=&quot;00262DF5&quot;/&gt;&lt;wsp:rsid wsp:val=&quot;00262E2D&quot;/&gt;&lt;wsp:rsid wsp:val=&quot;00262FE2&quot;/&gt;&lt;wsp:rsid wsp:val=&quot;0026315B&quot;/&gt;&lt;wsp:rsid wsp:val=&quot;0026330C&quot;/&gt;&lt;wsp:rsid wsp:val=&quot;0026350B&quot;/&gt;&lt;wsp:rsid wsp:val=&quot;002637CE&quot;/&gt;&lt;wsp:rsid wsp:val=&quot;00263823&quot;/&gt;&lt;wsp:rsid wsp:val=&quot;00263A79&quot;/&gt;&lt;wsp:rsid wsp:val=&quot;00263E4B&quot;/&gt;&lt;wsp:rsid wsp:val=&quot;00264519&quot;/&gt;&lt;wsp:rsid wsp:val=&quot;0026479F&quot;/&gt;&lt;wsp:rsid wsp:val=&quot;00264BBD&quot;/&gt;&lt;wsp:rsid wsp:val=&quot;00264CFA&quot;/&gt;&lt;wsp:rsid wsp:val=&quot;0026519A&quot;/&gt;&lt;wsp:rsid wsp:val=&quot;00265236&quot;/&gt;&lt;wsp:rsid wsp:val=&quot;002653F7&quot;/&gt;&lt;wsp:rsid wsp:val=&quot;0026572E&quot;/&gt;&lt;wsp:rsid wsp:val=&quot;00265767&quot;/&gt;&lt;wsp:rsid wsp:val=&quot;00265C68&quot;/&gt;&lt;wsp:rsid wsp:val=&quot;00265F3A&quot;/&gt;&lt;wsp:rsid wsp:val=&quot;002666DE&quot;/&gt;&lt;wsp:rsid wsp:val=&quot;0026678E&quot;/&gt;&lt;wsp:rsid wsp:val=&quot;002668EB&quot;/&gt;&lt;wsp:rsid wsp:val=&quot;002669FC&quot;/&gt;&lt;wsp:rsid wsp:val=&quot;00266E69&quot;/&gt;&lt;wsp:rsid wsp:val=&quot;002672ED&quot;/&gt;&lt;wsp:rsid wsp:val=&quot;00267517&quot;/&gt;&lt;wsp:rsid wsp:val=&quot;002676BE&quot;/&gt;&lt;wsp:rsid wsp:val=&quot;00267786&quot;/&gt;&lt;wsp:rsid wsp:val=&quot;0026788C&quot;/&gt;&lt;wsp:rsid wsp:val=&quot;00267896&quot;/&gt;&lt;wsp:rsid wsp:val=&quot;00267A1F&quot;/&gt;&lt;wsp:rsid wsp:val=&quot;00267C43&quot;/&gt;&lt;wsp:rsid wsp:val=&quot;00267DD6&quot;/&gt;&lt;wsp:rsid wsp:val=&quot;00267F17&quot;/&gt;&lt;wsp:rsid wsp:val=&quot;002703EA&quot;/&gt;&lt;wsp:rsid wsp:val=&quot;002704D0&quot;/&gt;&lt;wsp:rsid wsp:val=&quot;002708D8&quot;/&gt;&lt;wsp:rsid wsp:val=&quot;00270A80&quot;/&gt;&lt;wsp:rsid wsp:val=&quot;00270AC2&quot;/&gt;&lt;wsp:rsid wsp:val=&quot;00270D2D&quot;/&gt;&lt;wsp:rsid wsp:val=&quot;0027102D&quot;/&gt;&lt;wsp:rsid wsp:val=&quot;00271050&quot;/&gt;&lt;wsp:rsid wsp:val=&quot;002712D1&quot;/&gt;&lt;wsp:rsid wsp:val=&quot;00271559&quot;/&gt;&lt;wsp:rsid wsp:val=&quot;00271A40&quot;/&gt;&lt;wsp:rsid wsp:val=&quot;00271AD6&quot;/&gt;&lt;wsp:rsid wsp:val=&quot;00271E83&quot;/&gt;&lt;wsp:rsid wsp:val=&quot;002720B1&quot;/&gt;&lt;wsp:rsid wsp:val=&quot;00272248&quot;/&gt;&lt;wsp:rsid wsp:val=&quot;0027259D&quot;/&gt;&lt;wsp:rsid wsp:val=&quot;00272EAD&quot;/&gt;&lt;wsp:rsid wsp:val=&quot;00272F0C&quot;/&gt;&lt;wsp:rsid wsp:val=&quot;00272FFD&quot;/&gt;&lt;wsp:rsid wsp:val=&quot;002734B5&quot;/&gt;&lt;wsp:rsid wsp:val=&quot;002734B7&quot;/&gt;&lt;wsp:rsid wsp:val=&quot;00273678&quot;/&gt;&lt;wsp:rsid wsp:val=&quot;002737E8&quot;/&gt;&lt;wsp:rsid wsp:val=&quot;00273D7C&quot;/&gt;&lt;wsp:rsid wsp:val=&quot;00273E1B&quot;/&gt;&lt;wsp:rsid wsp:val=&quot;00274152&quot;/&gt;&lt;wsp:rsid wsp:val=&quot;00274220&quot;/&gt;&lt;wsp:rsid wsp:val=&quot;002743FD&quot;/&gt;&lt;wsp:rsid wsp:val=&quot;0027444D&quot;/&gt;&lt;wsp:rsid wsp:val=&quot;0027454A&quot;/&gt;&lt;wsp:rsid wsp:val=&quot;002746B6&quot;/&gt;&lt;wsp:rsid wsp:val=&quot;002747C8&quot;/&gt;&lt;wsp:rsid wsp:val=&quot;00274856&quot;/&gt;&lt;wsp:rsid wsp:val=&quot;00274CFB&quot;/&gt;&lt;wsp:rsid wsp:val=&quot;00274DDB&quot;/&gt;&lt;wsp:rsid wsp:val=&quot;00274E8A&quot;/&gt;&lt;wsp:rsid wsp:val=&quot;00274EF4&quot;/&gt;&lt;wsp:rsid wsp:val=&quot;00275151&quot;/&gt;&lt;wsp:rsid wsp:val=&quot;002751F7&quot;/&gt;&lt;wsp:rsid wsp:val=&quot;002755E3&quot;/&gt;&lt;wsp:rsid wsp:val=&quot;0027588A&quot;/&gt;&lt;wsp:rsid wsp:val=&quot;00275D67&quot;/&gt;&lt;wsp:rsid wsp:val=&quot;00276019&quot;/&gt;&lt;wsp:rsid wsp:val=&quot;002763DA&quot;/&gt;&lt;wsp:rsid wsp:val=&quot;002766E0&quot;/&gt;&lt;wsp:rsid wsp:val=&quot;002769FD&quot;/&gt;&lt;wsp:rsid wsp:val=&quot;00276DDB&quot;/&gt;&lt;wsp:rsid wsp:val=&quot;00276E5B&quot;/&gt;&lt;wsp:rsid wsp:val=&quot;0027700A&quot;/&gt;&lt;wsp:rsid wsp:val=&quot;00277571&quot;/&gt;&lt;wsp:rsid wsp:val=&quot;00277932&quot;/&gt;&lt;wsp:rsid wsp:val=&quot;00277E1F&quot;/&gt;&lt;wsp:rsid wsp:val=&quot;00277F07&quot;/&gt;&lt;wsp:rsid wsp:val=&quot;00277F0F&quot;/&gt;&lt;wsp:rsid wsp:val=&quot;0028013A&quot;/&gt;&lt;wsp:rsid wsp:val=&quot;0028031A&quot;/&gt;&lt;wsp:rsid wsp:val=&quot;00280384&quot;/&gt;&lt;wsp:rsid wsp:val=&quot;00280620&quot;/&gt;&lt;wsp:rsid wsp:val=&quot;00280767&quot;/&gt;&lt;wsp:rsid wsp:val=&quot;0028089D&quot;/&gt;&lt;wsp:rsid wsp:val=&quot;00281169&quot;/&gt;&lt;wsp:rsid wsp:val=&quot;0028118B&quot;/&gt;&lt;wsp:rsid wsp:val=&quot;0028154C&quot;/&gt;&lt;wsp:rsid wsp:val=&quot;002817F9&quot;/&gt;&lt;wsp:rsid wsp:val=&quot;002818A5&quot;/&gt;&lt;wsp:rsid wsp:val=&quot;002819AA&quot;/&gt;&lt;wsp:rsid wsp:val=&quot;00281BC8&quot;/&gt;&lt;wsp:rsid wsp:val=&quot;00281BD0&quot;/&gt;&lt;wsp:rsid wsp:val=&quot;00281BDA&quot;/&gt;&lt;wsp:rsid wsp:val=&quot;00281E7A&quot;/&gt;&lt;wsp:rsid wsp:val=&quot;00281F42&quot;/&gt;&lt;wsp:rsid wsp:val=&quot;0028243C&quot;/&gt;&lt;wsp:rsid wsp:val=&quot;0028257F&quot;/&gt;&lt;wsp:rsid wsp:val=&quot;0028259C&quot;/&gt;&lt;wsp:rsid wsp:val=&quot;002826CE&quot;/&gt;&lt;wsp:rsid wsp:val=&quot;0028276F&quot;/&gt;&lt;wsp:rsid wsp:val=&quot;00282828&quot;/&gt;&lt;wsp:rsid wsp:val=&quot;00282874&quot;/&gt;&lt;wsp:rsid wsp:val=&quot;002828F2&quot;/&gt;&lt;wsp:rsid wsp:val=&quot;00282B48&quot;/&gt;&lt;wsp:rsid wsp:val=&quot;00282CCC&quot;/&gt;&lt;wsp:rsid wsp:val=&quot;00283676&quot;/&gt;&lt;wsp:rsid wsp:val=&quot;002836C1&quot;/&gt;&lt;wsp:rsid wsp:val=&quot;002836F9&quot;/&gt;&lt;wsp:rsid wsp:val=&quot;002837B5&quot;/&gt;&lt;wsp:rsid wsp:val=&quot;002837BB&quot;/&gt;&lt;wsp:rsid wsp:val=&quot;00283F94&quot;/&gt;&lt;wsp:rsid wsp:val=&quot;0028412E&quot;/&gt;&lt;wsp:rsid wsp:val=&quot;00284285&quot;/&gt;&lt;wsp:rsid wsp:val=&quot;0028476A&quot;/&gt;&lt;wsp:rsid wsp:val=&quot;00284F3A&quot;/&gt;&lt;wsp:rsid wsp:val=&quot;0028501D&quot;/&gt;&lt;wsp:rsid wsp:val=&quot;002852E5&quot;/&gt;&lt;wsp:rsid wsp:val=&quot;00285303&quot;/&gt;&lt;wsp:rsid wsp:val=&quot;00285EB9&quot;/&gt;&lt;wsp:rsid wsp:val=&quot;00286342&quot;/&gt;&lt;wsp:rsid wsp:val=&quot;0028636D&quot;/&gt;&lt;wsp:rsid wsp:val=&quot;0028638A&quot;/&gt;&lt;wsp:rsid wsp:val=&quot;002869AC&quot;/&gt;&lt;wsp:rsid wsp:val=&quot;00286D59&quot;/&gt;&lt;wsp:rsid wsp:val=&quot;00286F41&quot;/&gt;&lt;wsp:rsid wsp:val=&quot;0028701A&quot;/&gt;&lt;wsp:rsid wsp:val=&quot;00287110&quot;/&gt;&lt;wsp:rsid wsp:val=&quot;00287639&quot;/&gt;&lt;wsp:rsid wsp:val=&quot;002879EB&quot;/&gt;&lt;wsp:rsid wsp:val=&quot;00287C57&quot;/&gt;&lt;wsp:rsid wsp:val=&quot;002900AA&quot;/&gt;&lt;wsp:rsid wsp:val=&quot;00290232&quot;/&gt;&lt;wsp:rsid wsp:val=&quot;00290358&quot;/&gt;&lt;wsp:rsid wsp:val=&quot;002903DB&quot;/&gt;&lt;wsp:rsid wsp:val=&quot;0029050C&quot;/&gt;&lt;wsp:rsid wsp:val=&quot;00290DC6&quot;/&gt;&lt;wsp:rsid wsp:val=&quot;00290E3E&quot;/&gt;&lt;wsp:rsid wsp:val=&quot;00290F83&quot;/&gt;&lt;wsp:rsid wsp:val=&quot;00290FA8&quot;/&gt;&lt;wsp:rsid wsp:val=&quot;00291065&quot;/&gt;&lt;wsp:rsid wsp:val=&quot;002913FD&quot;/&gt;&lt;wsp:rsid wsp:val=&quot;00291888&quot;/&gt;&lt;wsp:rsid wsp:val=&quot;00291E49&quot;/&gt;&lt;wsp:rsid wsp:val=&quot;00291F2E&quot;/&gt;&lt;wsp:rsid wsp:val=&quot;00292042&quot;/&gt;&lt;wsp:rsid wsp:val=&quot;0029221D&quot;/&gt;&lt;wsp:rsid wsp:val=&quot;00292403&quot;/&gt;&lt;wsp:rsid wsp:val=&quot;002927CE&quot;/&gt;&lt;wsp:rsid wsp:val=&quot;002927D7&quot;/&gt;&lt;wsp:rsid wsp:val=&quot;00292994&quot;/&gt;&lt;wsp:rsid wsp:val=&quot;00292ADF&quot;/&gt;&lt;wsp:rsid wsp:val=&quot;00292CB2&quot;/&gt;&lt;wsp:rsid wsp:val=&quot;00292D79&quot;/&gt;&lt;wsp:rsid wsp:val=&quot;0029318A&quot;/&gt;&lt;wsp:rsid wsp:val=&quot;00293210&quot;/&gt;&lt;wsp:rsid wsp:val=&quot;00293563&quot;/&gt;&lt;wsp:rsid wsp:val=&quot;00293C02&quot;/&gt;&lt;wsp:rsid wsp:val=&quot;00293DB6&quot;/&gt;&lt;wsp:rsid wsp:val=&quot;00293EA0&quot;/&gt;&lt;wsp:rsid wsp:val=&quot;00294045&quot;/&gt;&lt;wsp:rsid wsp:val=&quot;00294262&quot;/&gt;&lt;wsp:rsid wsp:val=&quot;002942B6&quot;/&gt;&lt;wsp:rsid wsp:val=&quot;002942E8&quot;/&gt;&lt;wsp:rsid wsp:val=&quot;0029475A&quot;/&gt;&lt;wsp:rsid wsp:val=&quot;0029494A&quot;/&gt;&lt;wsp:rsid wsp:val=&quot;00294985&quot;/&gt;&lt;wsp:rsid wsp:val=&quot;00294A7A&quot;/&gt;&lt;wsp:rsid wsp:val=&quot;00294C0A&quot;/&gt;&lt;wsp:rsid wsp:val=&quot;00294D09&quot;/&gt;&lt;wsp:rsid wsp:val=&quot;00295063&quot;/&gt;&lt;wsp:rsid wsp:val=&quot;002950CC&quot;/&gt;&lt;wsp:rsid wsp:val=&quot;0029522B&quot;/&gt;&lt;wsp:rsid wsp:val=&quot;00295699&quot;/&gt;&lt;wsp:rsid wsp:val=&quot;0029585F&quot;/&gt;&lt;wsp:rsid wsp:val=&quot;002959B3&quot;/&gt;&lt;wsp:rsid wsp:val=&quot;00295F8E&quot;/&gt;&lt;wsp:rsid wsp:val=&quot;00296070&quot;/&gt;&lt;wsp:rsid wsp:val=&quot;002962D6&quot;/&gt;&lt;wsp:rsid wsp:val=&quot;002962EE&quot;/&gt;&lt;wsp:rsid wsp:val=&quot;0029638E&quot;/&gt;&lt;wsp:rsid wsp:val=&quot;00296583&quot;/&gt;&lt;wsp:rsid wsp:val=&quot;00296635&quot;/&gt;&lt;wsp:rsid wsp:val=&quot;00296813&quot;/&gt;&lt;wsp:rsid wsp:val=&quot;00296817&quot;/&gt;&lt;wsp:rsid wsp:val=&quot;00296A66&quot;/&gt;&lt;wsp:rsid wsp:val=&quot;00296BA6&quot;/&gt;&lt;wsp:rsid wsp:val=&quot;00296C68&quot;/&gt;&lt;wsp:rsid wsp:val=&quot;00296CCA&quot;/&gt;&lt;wsp:rsid wsp:val=&quot;00296E92&quot;/&gt;&lt;wsp:rsid wsp:val=&quot;00296EEC&quot;/&gt;&lt;wsp:rsid wsp:val=&quot;00296F59&quot;/&gt;&lt;wsp:rsid wsp:val=&quot;002970D7&quot;/&gt;&lt;wsp:rsid wsp:val=&quot;002970E8&quot;/&gt;&lt;wsp:rsid wsp:val=&quot;002977E1&quot;/&gt;&lt;wsp:rsid wsp:val=&quot;00297FAF&quot;/&gt;&lt;wsp:rsid wsp:val=&quot;002A0130&quot;/&gt;&lt;wsp:rsid wsp:val=&quot;002A0192&quot;/&gt;&lt;wsp:rsid wsp:val=&quot;002A01BB&quot;/&gt;&lt;wsp:rsid wsp:val=&quot;002A02CB&quot;/&gt;&lt;wsp:rsid wsp:val=&quot;002A04ED&quot;/&gt;&lt;wsp:rsid wsp:val=&quot;002A09C4&quot;/&gt;&lt;wsp:rsid wsp:val=&quot;002A0B3D&quot;/&gt;&lt;wsp:rsid wsp:val=&quot;002A112E&quot;/&gt;&lt;wsp:rsid wsp:val=&quot;002A145A&quot;/&gt;&lt;wsp:rsid wsp:val=&quot;002A1572&quot;/&gt;&lt;wsp:rsid wsp:val=&quot;002A174E&quot;/&gt;&lt;wsp:rsid wsp:val=&quot;002A1783&quot;/&gt;&lt;wsp:rsid wsp:val=&quot;002A18DF&quot;/&gt;&lt;wsp:rsid wsp:val=&quot;002A1919&quot;/&gt;&lt;wsp:rsid wsp:val=&quot;002A1998&quot;/&gt;&lt;wsp:rsid wsp:val=&quot;002A1C35&quot;/&gt;&lt;wsp:rsid wsp:val=&quot;002A1C72&quot;/&gt;&lt;wsp:rsid wsp:val=&quot;002A1CCF&quot;/&gt;&lt;wsp:rsid wsp:val=&quot;002A2609&quot;/&gt;&lt;wsp:rsid wsp:val=&quot;002A2664&quot;/&gt;&lt;wsp:rsid wsp:val=&quot;002A274F&quot;/&gt;&lt;wsp:rsid wsp:val=&quot;002A2764&quot;/&gt;&lt;wsp:rsid wsp:val=&quot;002A2A19&quot;/&gt;&lt;wsp:rsid wsp:val=&quot;002A2B5A&quot;/&gt;&lt;wsp:rsid wsp:val=&quot;002A2BC9&quot;/&gt;&lt;wsp:rsid wsp:val=&quot;002A2CC5&quot;/&gt;&lt;wsp:rsid wsp:val=&quot;002A2DBD&quot;/&gt;&lt;wsp:rsid wsp:val=&quot;002A2FC2&quot;/&gt;&lt;wsp:rsid wsp:val=&quot;002A2FED&quot;/&gt;&lt;wsp:rsid wsp:val=&quot;002A3143&quot;/&gt;&lt;wsp:rsid wsp:val=&quot;002A3151&quot;/&gt;&lt;wsp:rsid wsp:val=&quot;002A36DA&quot;/&gt;&lt;wsp:rsid wsp:val=&quot;002A3E1E&quot;/&gt;&lt;wsp:rsid wsp:val=&quot;002A4083&quot;/&gt;&lt;wsp:rsid wsp:val=&quot;002A40C4&quot;/&gt;&lt;wsp:rsid wsp:val=&quot;002A4325&quot;/&gt;&lt;wsp:rsid wsp:val=&quot;002A47F5&quot;/&gt;&lt;wsp:rsid wsp:val=&quot;002A4861&quot;/&gt;&lt;wsp:rsid wsp:val=&quot;002A4FE2&quot;/&gt;&lt;wsp:rsid wsp:val=&quot;002A555B&quot;/&gt;&lt;wsp:rsid wsp:val=&quot;002A56FD&quot;/&gt;&lt;wsp:rsid wsp:val=&quot;002A59D6&quot;/&gt;&lt;wsp:rsid wsp:val=&quot;002A5A02&quot;/&gt;&lt;wsp:rsid wsp:val=&quot;002A5C1B&quot;/&gt;&lt;wsp:rsid wsp:val=&quot;002A5CD0&quot;/&gt;&lt;wsp:rsid wsp:val=&quot;002A61DD&quot;/&gt;&lt;wsp:rsid wsp:val=&quot;002A65E7&quot;/&gt;&lt;wsp:rsid wsp:val=&quot;002A6CF8&quot;/&gt;&lt;wsp:rsid wsp:val=&quot;002A6EEE&quot;/&gt;&lt;wsp:rsid wsp:val=&quot;002A72C9&quot;/&gt;&lt;wsp:rsid wsp:val=&quot;002A74E9&quot;/&gt;&lt;wsp:rsid wsp:val=&quot;002A7AFB&quot;/&gt;&lt;wsp:rsid wsp:val=&quot;002A7B62&quot;/&gt;&lt;wsp:rsid wsp:val=&quot;002A7D70&quot;/&gt;&lt;wsp:rsid wsp:val=&quot;002B0209&quot;/&gt;&lt;wsp:rsid wsp:val=&quot;002B02FD&quot;/&gt;&lt;wsp:rsid wsp:val=&quot;002B05EE&quot;/&gt;&lt;wsp:rsid wsp:val=&quot;002B06DC&quot;/&gt;&lt;wsp:rsid wsp:val=&quot;002B0B89&quot;/&gt;&lt;wsp:rsid wsp:val=&quot;002B0D26&quot;/&gt;&lt;wsp:rsid wsp:val=&quot;002B0E50&quot;/&gt;&lt;wsp:rsid wsp:val=&quot;002B103C&quot;/&gt;&lt;wsp:rsid wsp:val=&quot;002B1108&quot;/&gt;&lt;wsp:rsid wsp:val=&quot;002B1377&quot;/&gt;&lt;wsp:rsid wsp:val=&quot;002B173C&quot;/&gt;&lt;wsp:rsid wsp:val=&quot;002B19F4&quot;/&gt;&lt;wsp:rsid wsp:val=&quot;002B1A1A&quot;/&gt;&lt;wsp:rsid wsp:val=&quot;002B1E58&quot;/&gt;&lt;wsp:rsid wsp:val=&quot;002B2007&quot;/&gt;&lt;wsp:rsid wsp:val=&quot;002B208B&quot;/&gt;&lt;wsp:rsid wsp:val=&quot;002B20B2&quot;/&gt;&lt;wsp:rsid wsp:val=&quot;002B2276&quot;/&gt;&lt;wsp:rsid wsp:val=&quot;002B227A&quot;/&gt;&lt;wsp:rsid wsp:val=&quot;002B237E&quot;/&gt;&lt;wsp:rsid wsp:val=&quot;002B2503&quot;/&gt;&lt;wsp:rsid wsp:val=&quot;002B28C1&quot;/&gt;&lt;wsp:rsid wsp:val=&quot;002B2B21&quot;/&gt;&lt;wsp:rsid wsp:val=&quot;002B2C11&quot;/&gt;&lt;wsp:rsid wsp:val=&quot;002B2DEC&quot;/&gt;&lt;wsp:rsid wsp:val=&quot;002B2E5B&quot;/&gt;&lt;wsp:rsid wsp:val=&quot;002B2E74&quot;/&gt;&lt;wsp:rsid wsp:val=&quot;002B2E75&quot;/&gt;&lt;wsp:rsid wsp:val=&quot;002B2E78&quot;/&gt;&lt;wsp:rsid wsp:val=&quot;002B2EAA&quot;/&gt;&lt;wsp:rsid wsp:val=&quot;002B2FE4&quot;/&gt;&lt;wsp:rsid wsp:val=&quot;002B3170&quot;/&gt;&lt;wsp:rsid wsp:val=&quot;002B32FA&quot;/&gt;&lt;wsp:rsid wsp:val=&quot;002B333D&quot;/&gt;&lt;wsp:rsid wsp:val=&quot;002B3381&quot;/&gt;&lt;wsp:rsid wsp:val=&quot;002B3D03&quot;/&gt;&lt;wsp:rsid wsp:val=&quot;002B3EB9&quot;/&gt;&lt;wsp:rsid wsp:val=&quot;002B406A&quot;/&gt;&lt;wsp:rsid wsp:val=&quot;002B4328&quot;/&gt;&lt;wsp:rsid wsp:val=&quot;002B449D&quot;/&gt;&lt;wsp:rsid wsp:val=&quot;002B4530&quot;/&gt;&lt;wsp:rsid wsp:val=&quot;002B475A&quot;/&gt;&lt;wsp:rsid wsp:val=&quot;002B4777&quot;/&gt;&lt;wsp:rsid wsp:val=&quot;002B4A85&quot;/&gt;&lt;wsp:rsid wsp:val=&quot;002B4B03&quot;/&gt;&lt;wsp:rsid wsp:val=&quot;002B4B05&quot;/&gt;&lt;wsp:rsid wsp:val=&quot;002B4B94&quot;/&gt;&lt;wsp:rsid wsp:val=&quot;002B4FAD&quot;/&gt;&lt;wsp:rsid wsp:val=&quot;002B4FB6&quot;/&gt;&lt;wsp:rsid wsp:val=&quot;002B521C&quot;/&gt;&lt;wsp:rsid wsp:val=&quot;002B54DC&quot;/&gt;&lt;wsp:rsid wsp:val=&quot;002B5A54&quot;/&gt;&lt;wsp:rsid wsp:val=&quot;002B5AC6&quot;/&gt;&lt;wsp:rsid wsp:val=&quot;002B5D1F&quot;/&gt;&lt;wsp:rsid wsp:val=&quot;002B618B&quot;/&gt;&lt;wsp:rsid wsp:val=&quot;002B64E0&quot;/&gt;&lt;wsp:rsid wsp:val=&quot;002B69B8&quot;/&gt;&lt;wsp:rsid wsp:val=&quot;002B6ABF&quot;/&gt;&lt;wsp:rsid wsp:val=&quot;002B6B97&quot;/&gt;&lt;wsp:rsid wsp:val=&quot;002B71E3&quot;/&gt;&lt;wsp:rsid wsp:val=&quot;002B72FB&quot;/&gt;&lt;wsp:rsid wsp:val=&quot;002B7391&quot;/&gt;&lt;wsp:rsid wsp:val=&quot;002B747B&quot;/&gt;&lt;wsp:rsid wsp:val=&quot;002B7755&quot;/&gt;&lt;wsp:rsid wsp:val=&quot;002B7930&quot;/&gt;&lt;wsp:rsid wsp:val=&quot;002B798D&quot;/&gt;&lt;wsp:rsid wsp:val=&quot;002B79A1&quot;/&gt;&lt;wsp:rsid wsp:val=&quot;002B7B2A&quot;/&gt;&lt;wsp:rsid wsp:val=&quot;002B7CA9&quot;/&gt;&lt;wsp:rsid wsp:val=&quot;002B7E33&quot;/&gt;&lt;wsp:rsid wsp:val=&quot;002B7F9A&quot;/&gt;&lt;wsp:rsid wsp:val=&quot;002C0105&quot;/&gt;&lt;wsp:rsid wsp:val=&quot;002C016C&quot;/&gt;&lt;wsp:rsid wsp:val=&quot;002C024A&quot;/&gt;&lt;wsp:rsid wsp:val=&quot;002C09B8&quot;/&gt;&lt;wsp:rsid wsp:val=&quot;002C0D8B&quot;/&gt;&lt;wsp:rsid wsp:val=&quot;002C0FA6&quot;/&gt;&lt;wsp:rsid wsp:val=&quot;002C1085&quot;/&gt;&lt;wsp:rsid wsp:val=&quot;002C11C8&quot;/&gt;&lt;wsp:rsid wsp:val=&quot;002C17E1&quot;/&gt;&lt;wsp:rsid wsp:val=&quot;002C1B93&quot;/&gt;&lt;wsp:rsid wsp:val=&quot;002C1D41&quot;/&gt;&lt;wsp:rsid wsp:val=&quot;002C1EEE&quot;/&gt;&lt;wsp:rsid wsp:val=&quot;002C1F06&quot;/&gt;&lt;wsp:rsid wsp:val=&quot;002C213B&quot;/&gt;&lt;wsp:rsid wsp:val=&quot;002C2149&quot;/&gt;&lt;wsp:rsid wsp:val=&quot;002C21FC&quot;/&gt;&lt;wsp:rsid wsp:val=&quot;002C2273&quot;/&gt;&lt;wsp:rsid wsp:val=&quot;002C227F&quot;/&gt;&lt;wsp:rsid wsp:val=&quot;002C255A&quot;/&gt;&lt;wsp:rsid wsp:val=&quot;002C2607&quot;/&gt;&lt;wsp:rsid wsp:val=&quot;002C2898&quot;/&gt;&lt;wsp:rsid wsp:val=&quot;002C2AF7&quot;/&gt;&lt;wsp:rsid wsp:val=&quot;002C2D14&quot;/&gt;&lt;wsp:rsid wsp:val=&quot;002C2E00&quot;/&gt;&lt;wsp:rsid wsp:val=&quot;002C2E6C&quot;/&gt;&lt;wsp:rsid wsp:val=&quot;002C3192&quot;/&gt;&lt;wsp:rsid wsp:val=&quot;002C31BC&quot;/&gt;&lt;wsp:rsid wsp:val=&quot;002C361D&quot;/&gt;&lt;wsp:rsid wsp:val=&quot;002C36A7&quot;/&gt;&lt;wsp:rsid wsp:val=&quot;002C3701&quot;/&gt;&lt;wsp:rsid wsp:val=&quot;002C3905&quot;/&gt;&lt;wsp:rsid wsp:val=&quot;002C3B4A&quot;/&gt;&lt;wsp:rsid wsp:val=&quot;002C3CF1&quot;/&gt;&lt;wsp:rsid wsp:val=&quot;002C3D0A&quot;/&gt;&lt;wsp:rsid wsp:val=&quot;002C3DEB&quot;/&gt;&lt;wsp:rsid wsp:val=&quot;002C4173&quot;/&gt;&lt;wsp:rsid wsp:val=&quot;002C4545&quot;/&gt;&lt;wsp:rsid wsp:val=&quot;002C46D0&quot;/&gt;&lt;wsp:rsid wsp:val=&quot;002C4ADD&quot;/&gt;&lt;wsp:rsid wsp:val=&quot;002C4D25&quot;/&gt;&lt;wsp:rsid wsp:val=&quot;002C4F55&quot;/&gt;&lt;wsp:rsid wsp:val=&quot;002C4FA4&quot;/&gt;&lt;wsp:rsid wsp:val=&quot;002C515B&quot;/&gt;&lt;wsp:rsid wsp:val=&quot;002C51C4&quot;/&gt;&lt;wsp:rsid wsp:val=&quot;002C5377&quot;/&gt;&lt;wsp:rsid wsp:val=&quot;002C5397&quot;/&gt;&lt;wsp:rsid wsp:val=&quot;002C5408&quot;/&gt;&lt;wsp:rsid wsp:val=&quot;002C55E0&quot;/&gt;&lt;wsp:rsid wsp:val=&quot;002C58F1&quot;/&gt;&lt;wsp:rsid wsp:val=&quot;002C5A3D&quot;/&gt;&lt;wsp:rsid wsp:val=&quot;002C5D1C&quot;/&gt;&lt;wsp:rsid wsp:val=&quot;002C5EE9&quot;/&gt;&lt;wsp:rsid wsp:val=&quot;002C60BF&quot;/&gt;&lt;wsp:rsid wsp:val=&quot;002C6727&quot;/&gt;&lt;wsp:rsid wsp:val=&quot;002C6747&quot;/&gt;&lt;wsp:rsid wsp:val=&quot;002C79F0&quot;/&gt;&lt;wsp:rsid wsp:val=&quot;002C7A44&quot;/&gt;&lt;wsp:rsid wsp:val=&quot;002C7BF1&quot;/&gt;&lt;wsp:rsid wsp:val=&quot;002C7EA9&quot;/&gt;&lt;wsp:rsid wsp:val=&quot;002C7F35&quot;/&gt;&lt;wsp:rsid wsp:val=&quot;002D0191&quot;/&gt;&lt;wsp:rsid wsp:val=&quot;002D040D&quot;/&gt;&lt;wsp:rsid wsp:val=&quot;002D0778&quot;/&gt;&lt;wsp:rsid wsp:val=&quot;002D087B&quot;/&gt;&lt;wsp:rsid wsp:val=&quot;002D0DC7&quot;/&gt;&lt;wsp:rsid wsp:val=&quot;002D0DE7&quot;/&gt;&lt;wsp:rsid wsp:val=&quot;002D0FE0&quot;/&gt;&lt;wsp:rsid wsp:val=&quot;002D1413&quot;/&gt;&lt;wsp:rsid wsp:val=&quot;002D1466&quot;/&gt;&lt;wsp:rsid wsp:val=&quot;002D18CE&quot;/&gt;&lt;wsp:rsid wsp:val=&quot;002D18D0&quot;/&gt;&lt;wsp:rsid wsp:val=&quot;002D18E2&quot;/&gt;&lt;wsp:rsid wsp:val=&quot;002D1E6F&quot;/&gt;&lt;wsp:rsid wsp:val=&quot;002D1EB4&quot;/&gt;&lt;wsp:rsid wsp:val=&quot;002D200F&quot;/&gt;&lt;wsp:rsid wsp:val=&quot;002D205A&quot;/&gt;&lt;wsp:rsid wsp:val=&quot;002D20EE&quot;/&gt;&lt;wsp:rsid wsp:val=&quot;002D216F&quot;/&gt;&lt;wsp:rsid wsp:val=&quot;002D244D&quot;/&gt;&lt;wsp:rsid wsp:val=&quot;002D24F3&quot;/&gt;&lt;wsp:rsid wsp:val=&quot;002D25C6&quot;/&gt;&lt;wsp:rsid wsp:val=&quot;002D2F4F&quot;/&gt;&lt;wsp:rsid wsp:val=&quot;002D3167&quot;/&gt;&lt;wsp:rsid wsp:val=&quot;002D36E0&quot;/&gt;&lt;wsp:rsid wsp:val=&quot;002D3A00&quot;/&gt;&lt;wsp:rsid wsp:val=&quot;002D3B05&quot;/&gt;&lt;wsp:rsid wsp:val=&quot;002D3BB1&quot;/&gt;&lt;wsp:rsid wsp:val=&quot;002D3BBB&quot;/&gt;&lt;wsp:rsid wsp:val=&quot;002D3C98&quot;/&gt;&lt;wsp:rsid wsp:val=&quot;002D3FB5&quot;/&gt;&lt;wsp:rsid wsp:val=&quot;002D407A&quot;/&gt;&lt;wsp:rsid wsp:val=&quot;002D4514&quot;/&gt;&lt;wsp:rsid wsp:val=&quot;002D45AA&quot;/&gt;&lt;wsp:rsid wsp:val=&quot;002D48FE&quot;/&gt;&lt;wsp:rsid wsp:val=&quot;002D49EE&quot;/&gt;&lt;wsp:rsid wsp:val=&quot;002D4A72&quot;/&gt;&lt;wsp:rsid wsp:val=&quot;002D4CAF&quot;/&gt;&lt;wsp:rsid wsp:val=&quot;002D4CC8&quot;/&gt;&lt;wsp:rsid wsp:val=&quot;002D4D5F&quot;/&gt;&lt;wsp:rsid wsp:val=&quot;002D4DB0&quot;/&gt;&lt;wsp:rsid wsp:val=&quot;002D5087&quot;/&gt;&lt;wsp:rsid wsp:val=&quot;002D513B&quot;/&gt;&lt;wsp:rsid wsp:val=&quot;002D51DC&quot;/&gt;&lt;wsp:rsid wsp:val=&quot;002D54AC&quot;/&gt;&lt;wsp:rsid wsp:val=&quot;002D55E6&quot;/&gt;&lt;wsp:rsid wsp:val=&quot;002D583C&quot;/&gt;&lt;wsp:rsid wsp:val=&quot;002D5C4B&quot;/&gt;&lt;wsp:rsid wsp:val=&quot;002D5CE3&quot;/&gt;&lt;wsp:rsid wsp:val=&quot;002D64E0&quot;/&gt;&lt;wsp:rsid wsp:val=&quot;002D6603&quot;/&gt;&lt;wsp:rsid wsp:val=&quot;002D660B&quot;/&gt;&lt;wsp:rsid wsp:val=&quot;002D6760&quot;/&gt;&lt;wsp:rsid wsp:val=&quot;002D6860&quot;/&gt;&lt;wsp:rsid wsp:val=&quot;002D6AE6&quot;/&gt;&lt;wsp:rsid wsp:val=&quot;002D6B80&quot;/&gt;&lt;wsp:rsid wsp:val=&quot;002D6C6C&quot;/&gt;&lt;wsp:rsid wsp:val=&quot;002D70A0&quot;/&gt;&lt;wsp:rsid wsp:val=&quot;002D73CB&quot;/&gt;&lt;wsp:rsid wsp:val=&quot;002D7AF5&quot;/&gt;&lt;wsp:rsid wsp:val=&quot;002D7B5E&quot;/&gt;&lt;wsp:rsid wsp:val=&quot;002E0070&quot;/&gt;&lt;wsp:rsid wsp:val=&quot;002E02F8&quot;/&gt;&lt;wsp:rsid wsp:val=&quot;002E0B01&quot;/&gt;&lt;wsp:rsid wsp:val=&quot;002E0B18&quot;/&gt;&lt;wsp:rsid wsp:val=&quot;002E16AB&quot;/&gt;&lt;wsp:rsid wsp:val=&quot;002E1754&quot;/&gt;&lt;wsp:rsid wsp:val=&quot;002E18E8&quot;/&gt;&lt;wsp:rsid wsp:val=&quot;002E1A90&quot;/&gt;&lt;wsp:rsid wsp:val=&quot;002E1DDF&quot;/&gt;&lt;wsp:rsid wsp:val=&quot;002E214F&quot;/&gt;&lt;wsp:rsid wsp:val=&quot;002E22C9&quot;/&gt;&lt;wsp:rsid wsp:val=&quot;002E2403&quot;/&gt;&lt;wsp:rsid wsp:val=&quot;002E2AC3&quot;/&gt;&lt;wsp:rsid wsp:val=&quot;002E2B34&quot;/&gt;&lt;wsp:rsid wsp:val=&quot;002E2C63&quot;/&gt;&lt;wsp:rsid wsp:val=&quot;002E2E19&quot;/&gt;&lt;wsp:rsid wsp:val=&quot;002E2F74&quot;/&gt;&lt;wsp:rsid wsp:val=&quot;002E30A6&quot;/&gt;&lt;wsp:rsid wsp:val=&quot;002E3221&quot;/&gt;&lt;wsp:rsid wsp:val=&quot;002E343B&quot;/&gt;&lt;wsp:rsid wsp:val=&quot;002E36D7&quot;/&gt;&lt;wsp:rsid wsp:val=&quot;002E37F3&quot;/&gt;&lt;wsp:rsid wsp:val=&quot;002E3AA7&quot;/&gt;&lt;wsp:rsid wsp:val=&quot;002E3BAA&quot;/&gt;&lt;wsp:rsid wsp:val=&quot;002E3E36&quot;/&gt;&lt;wsp:rsid wsp:val=&quot;002E449C&quot;/&gt;&lt;wsp:rsid wsp:val=&quot;002E44A3&quot;/&gt;&lt;wsp:rsid wsp:val=&quot;002E4933&quot;/&gt;&lt;wsp:rsid wsp:val=&quot;002E4A67&quot;/&gt;&lt;wsp:rsid wsp:val=&quot;002E54BE&quot;/&gt;&lt;wsp:rsid wsp:val=&quot;002E5920&quot;/&gt;&lt;wsp:rsid wsp:val=&quot;002E5D12&quot;/&gt;&lt;wsp:rsid wsp:val=&quot;002E5D26&quot;/&gt;&lt;wsp:rsid wsp:val=&quot;002E6352&quot;/&gt;&lt;wsp:rsid wsp:val=&quot;002E64E9&quot;/&gt;&lt;wsp:rsid wsp:val=&quot;002E6A75&quot;/&gt;&lt;wsp:rsid wsp:val=&quot;002E6D22&quot;/&gt;&lt;wsp:rsid wsp:val=&quot;002E762D&quot;/&gt;&lt;wsp:rsid wsp:val=&quot;002E780D&quot;/&gt;&lt;wsp:rsid wsp:val=&quot;002E7832&quot;/&gt;&lt;wsp:rsid wsp:val=&quot;002E78AC&quot;/&gt;&lt;wsp:rsid wsp:val=&quot;002E7CC4&quot;/&gt;&lt;wsp:rsid wsp:val=&quot;002F01EC&quot;/&gt;&lt;wsp:rsid wsp:val=&quot;002F027B&quot;/&gt;&lt;wsp:rsid wsp:val=&quot;002F0307&quot;/&gt;&lt;wsp:rsid wsp:val=&quot;002F03F2&quot;/&gt;&lt;wsp:rsid wsp:val=&quot;002F08E5&quot;/&gt;&lt;wsp:rsid wsp:val=&quot;002F0915&quot;/&gt;&lt;wsp:rsid wsp:val=&quot;002F1074&quot;/&gt;&lt;wsp:rsid wsp:val=&quot;002F155C&quot;/&gt;&lt;wsp:rsid wsp:val=&quot;002F1700&quot;/&gt;&lt;wsp:rsid wsp:val=&quot;002F1740&quot;/&gt;&lt;wsp:rsid wsp:val=&quot;002F19C5&quot;/&gt;&lt;wsp:rsid wsp:val=&quot;002F1C6F&quot;/&gt;&lt;wsp:rsid wsp:val=&quot;002F227E&quot;/&gt;&lt;wsp:rsid wsp:val=&quot;002F26D8&quot;/&gt;&lt;wsp:rsid wsp:val=&quot;002F2E26&quot;/&gt;&lt;wsp:rsid wsp:val=&quot;002F32F2&quot;/&gt;&lt;wsp:rsid wsp:val=&quot;002F3592&quot;/&gt;&lt;wsp:rsid wsp:val=&quot;002F3A08&quot;/&gt;&lt;wsp:rsid wsp:val=&quot;002F3ADB&quot;/&gt;&lt;wsp:rsid wsp:val=&quot;002F3AFA&quot;/&gt;&lt;wsp:rsid wsp:val=&quot;002F3C5B&quot;/&gt;&lt;wsp:rsid wsp:val=&quot;002F3DC6&quot;/&gt;&lt;wsp:rsid wsp:val=&quot;002F3EE4&quot;/&gt;&lt;wsp:rsid wsp:val=&quot;002F3EF3&quot;/&gt;&lt;wsp:rsid wsp:val=&quot;002F4120&quot;/&gt;&lt;wsp:rsid wsp:val=&quot;002F434F&quot;/&gt;&lt;wsp:rsid wsp:val=&quot;002F44D7&quot;/&gt;&lt;wsp:rsid wsp:val=&quot;002F45B2&quot;/&gt;&lt;wsp:rsid wsp:val=&quot;002F4A39&quot;/&gt;&lt;wsp:rsid wsp:val=&quot;002F4E8C&quot;/&gt;&lt;wsp:rsid wsp:val=&quot;002F4F54&quot;/&gt;&lt;wsp:rsid wsp:val=&quot;002F5134&quot;/&gt;&lt;wsp:rsid wsp:val=&quot;002F5297&quot;/&gt;&lt;wsp:rsid wsp:val=&quot;002F5351&quot;/&gt;&lt;wsp:rsid wsp:val=&quot;002F54AD&quot;/&gt;&lt;wsp:rsid wsp:val=&quot;002F587A&quot;/&gt;&lt;wsp:rsid wsp:val=&quot;002F589A&quot;/&gt;&lt;wsp:rsid wsp:val=&quot;002F5BB0&quot;/&gt;&lt;wsp:rsid wsp:val=&quot;002F5D35&quot;/&gt;&lt;wsp:rsid wsp:val=&quot;002F5F32&quot;/&gt;&lt;wsp:rsid wsp:val=&quot;002F60B5&quot;/&gt;&lt;wsp:rsid wsp:val=&quot;002F61F4&quot;/&gt;&lt;wsp:rsid wsp:val=&quot;002F62D7&quot;/&gt;&lt;wsp:rsid wsp:val=&quot;002F677A&quot;/&gt;&lt;wsp:rsid wsp:val=&quot;002F686D&quot;/&gt;&lt;wsp:rsid wsp:val=&quot;002F69CC&quot;/&gt;&lt;wsp:rsid wsp:val=&quot;002F6E7F&quot;/&gt;&lt;wsp:rsid wsp:val=&quot;002F71CD&quot;/&gt;&lt;wsp:rsid wsp:val=&quot;002F7201&quot;/&gt;&lt;wsp:rsid wsp:val=&quot;002F720C&quot;/&gt;&lt;wsp:rsid wsp:val=&quot;002F7403&quot;/&gt;&lt;wsp:rsid wsp:val=&quot;002F7600&quot;/&gt;&lt;wsp:rsid wsp:val=&quot;002F7674&quot;/&gt;&lt;wsp:rsid wsp:val=&quot;002F7697&quot;/&gt;&lt;wsp:rsid wsp:val=&quot;002F783C&quot;/&gt;&lt;wsp:rsid wsp:val=&quot;002F7854&quot;/&gt;&lt;wsp:rsid wsp:val=&quot;002F7B03&quot;/&gt;&lt;wsp:rsid wsp:val=&quot;002F7FFE&quot;/&gt;&lt;wsp:rsid wsp:val=&quot;00300246&quot;/&gt;&lt;wsp:rsid wsp:val=&quot;0030056B&quot;/&gt;&lt;wsp:rsid wsp:val=&quot;0030056D&quot;/&gt;&lt;wsp:rsid wsp:val=&quot;00300811&quot;/&gt;&lt;wsp:rsid wsp:val=&quot;003009C6&quot;/&gt;&lt;wsp:rsid wsp:val=&quot;00300A21&quot;/&gt;&lt;wsp:rsid wsp:val=&quot;00300F6A&quot;/&gt;&lt;wsp:rsid wsp:val=&quot;00301279&quot;/&gt;&lt;wsp:rsid wsp:val=&quot;00301296&quot;/&gt;&lt;wsp:rsid wsp:val=&quot;003012C7&quot;/&gt;&lt;wsp:rsid wsp:val=&quot;0030134D&quot;/&gt;&lt;wsp:rsid wsp:val=&quot;00301352&quot;/&gt;&lt;wsp:rsid wsp:val=&quot;0030138C&quot;/&gt;&lt;wsp:rsid wsp:val=&quot;0030181C&quot;/&gt;&lt;wsp:rsid wsp:val=&quot;003018DE&quot;/&gt;&lt;wsp:rsid wsp:val=&quot;00301D13&quot;/&gt;&lt;wsp:rsid wsp:val=&quot;00301F4F&quot;/&gt;&lt;wsp:rsid wsp:val=&quot;00301FBB&quot;/&gt;&lt;wsp:rsid wsp:val=&quot;0030211F&quot;/&gt;&lt;wsp:rsid wsp:val=&quot;00302999&quot;/&gt;&lt;wsp:rsid wsp:val=&quot;00302BA7&quot;/&gt;&lt;wsp:rsid wsp:val=&quot;00302CC4&quot;/&gt;&lt;wsp:rsid wsp:val=&quot;00302FE7&quot;/&gt;&lt;wsp:rsid wsp:val=&quot;003032A8&quot;/&gt;&lt;wsp:rsid wsp:val=&quot;003036D9&quot;/&gt;&lt;wsp:rsid wsp:val=&quot;00303760&quot;/&gt;&lt;wsp:rsid wsp:val=&quot;00303BFF&quot;/&gt;&lt;wsp:rsid wsp:val=&quot;00303D2A&quot;/&gt;&lt;wsp:rsid wsp:val=&quot;00303D66&quot;/&gt;&lt;wsp:rsid wsp:val=&quot;00303E2C&quot;/&gt;&lt;wsp:rsid wsp:val=&quot;003040AE&quot;/&gt;&lt;wsp:rsid wsp:val=&quot;00304205&quot;/&gt;&lt;wsp:rsid wsp:val=&quot;00304509&quot;/&gt;&lt;wsp:rsid wsp:val=&quot;00304870&quot;/&gt;&lt;wsp:rsid wsp:val=&quot;00304B55&quot;/&gt;&lt;wsp:rsid wsp:val=&quot;00305006&quot;/&gt;&lt;wsp:rsid wsp:val=&quot;003050CC&quot;/&gt;&lt;wsp:rsid wsp:val=&quot;00305511&quot;/&gt;&lt;wsp:rsid wsp:val=&quot;00305566&quot;/&gt;&lt;wsp:rsid wsp:val=&quot;00305710&quot;/&gt;&lt;wsp:rsid wsp:val=&quot;0030588A&quot;/&gt;&lt;wsp:rsid wsp:val=&quot;00305B5D&quot;/&gt;&lt;wsp:rsid wsp:val=&quot;00305BE3&quot;/&gt;&lt;wsp:rsid wsp:val=&quot;00305CDF&quot;/&gt;&lt;wsp:rsid wsp:val=&quot;003060FB&quot;/&gt;&lt;wsp:rsid wsp:val=&quot;00306339&quot;/&gt;&lt;wsp:rsid wsp:val=&quot;00306489&quot;/&gt;&lt;wsp:rsid wsp:val=&quot;00306538&quot;/&gt;&lt;wsp:rsid wsp:val=&quot;00306554&quot;/&gt;&lt;wsp:rsid wsp:val=&quot;00306663&quot;/&gt;&lt;wsp:rsid wsp:val=&quot;0030671C&quot;/&gt;&lt;wsp:rsid wsp:val=&quot;00306ABE&quot;/&gt;&lt;wsp:rsid wsp:val=&quot;00306BD4&quot;/&gt;&lt;wsp:rsid wsp:val=&quot;00306C5A&quot;/&gt;&lt;wsp:rsid wsp:val=&quot;00306CCB&quot;/&gt;&lt;wsp:rsid wsp:val=&quot;00307159&quot;/&gt;&lt;wsp:rsid wsp:val=&quot;0030715E&quot;/&gt;&lt;wsp:rsid wsp:val=&quot;00307622&quot;/&gt;&lt;wsp:rsid wsp:val=&quot;00307AC0&quot;/&gt;&lt;wsp:rsid wsp:val=&quot;00310175&quot;/&gt;&lt;wsp:rsid wsp:val=&quot;00310298&quot;/&gt;&lt;wsp:rsid wsp:val=&quot;003102DE&quot;/&gt;&lt;wsp:rsid wsp:val=&quot;003105D5&quot;/&gt;&lt;wsp:rsid wsp:val=&quot;003105FE&quot;/&gt;&lt;wsp:rsid wsp:val=&quot;00310819&quot;/&gt;&lt;wsp:rsid wsp:val=&quot;00310931&quot;/&gt;&lt;wsp:rsid wsp:val=&quot;00310A6F&quot;/&gt;&lt;wsp:rsid wsp:val=&quot;00310AF5&quot;/&gt;&lt;wsp:rsid wsp:val=&quot;00310D74&quot;/&gt;&lt;wsp:rsid wsp:val=&quot;0031101F&quot;/&gt;&lt;wsp:rsid wsp:val=&quot;00311396&quot;/&gt;&lt;wsp:rsid wsp:val=&quot;0031164E&quot;/&gt;&lt;wsp:rsid wsp:val=&quot;003116EF&quot;/&gt;&lt;wsp:rsid wsp:val=&quot;003117AE&quot;/&gt;&lt;wsp:rsid wsp:val=&quot;00311832&quot;/&gt;&lt;wsp:rsid wsp:val=&quot;00312092&quot;/&gt;&lt;wsp:rsid wsp:val=&quot;00312414&quot;/&gt;&lt;wsp:rsid wsp:val=&quot;003124FA&quot;/&gt;&lt;wsp:rsid wsp:val=&quot;0031258C&quot;/&gt;&lt;wsp:rsid wsp:val=&quot;00312755&quot;/&gt;&lt;wsp:rsid wsp:val=&quot;00312756&quot;/&gt;&lt;wsp:rsid wsp:val=&quot;003127C9&quot;/&gt;&lt;wsp:rsid wsp:val=&quot;00312FDB&quot;/&gt;&lt;wsp:rsid wsp:val=&quot;003130AC&quot;/&gt;&lt;wsp:rsid wsp:val=&quot;0031337D&quot;/&gt;&lt;wsp:rsid wsp:val=&quot;00313870&quot;/&gt;&lt;wsp:rsid wsp:val=&quot;003138C8&quot;/&gt;&lt;wsp:rsid wsp:val=&quot;00313BE0&quot;/&gt;&lt;wsp:rsid wsp:val=&quot;00313DFA&quot;/&gt;&lt;wsp:rsid wsp:val=&quot;00313E34&quot;/&gt;&lt;wsp:rsid wsp:val=&quot;00313FCA&quot;/&gt;&lt;wsp:rsid wsp:val=&quot;00314129&quot;/&gt;&lt;wsp:rsid wsp:val=&quot;00314656&quot;/&gt;&lt;wsp:rsid wsp:val=&quot;003146F2&quot;/&gt;&lt;wsp:rsid wsp:val=&quot;00314725&quot;/&gt;&lt;wsp:rsid wsp:val=&quot;003147F4&quot;/&gt;&lt;wsp:rsid wsp:val=&quot;003149A9&quot;/&gt;&lt;wsp:rsid wsp:val=&quot;00314B2B&quot;/&gt;&lt;wsp:rsid wsp:val=&quot;00314C5A&quot;/&gt;&lt;wsp:rsid wsp:val=&quot;00314CAA&quot;/&gt;&lt;wsp:rsid wsp:val=&quot;00314D84&quot;/&gt;&lt;wsp:rsid wsp:val=&quot;00314DCA&quot;/&gt;&lt;wsp:rsid wsp:val=&quot;003150BF&quot;/&gt;&lt;wsp:rsid wsp:val=&quot;003151C6&quot;/&gt;&lt;wsp:rsid wsp:val=&quot;0031569E&quot;/&gt;&lt;wsp:rsid wsp:val=&quot;00315D2C&quot;/&gt;&lt;wsp:rsid wsp:val=&quot;00315D79&quot;/&gt;&lt;wsp:rsid wsp:val=&quot;00315F0E&quot;/&gt;&lt;wsp:rsid wsp:val=&quot;0031621F&quot;/&gt;&lt;wsp:rsid wsp:val=&quot;003162B6&quot;/&gt;&lt;wsp:rsid wsp:val=&quot;00316AB0&quot;/&gt;&lt;wsp:rsid wsp:val=&quot;00316BD1&quot;/&gt;&lt;wsp:rsid wsp:val=&quot;00316EF2&quot;/&gt;&lt;wsp:rsid wsp:val=&quot;00316FE4&quot;/&gt;&lt;wsp:rsid wsp:val=&quot;00317190&quot;/&gt;&lt;wsp:rsid wsp:val=&quot;003173E6&quot;/&gt;&lt;wsp:rsid wsp:val=&quot;00317439&quot;/&gt;&lt;wsp:rsid wsp:val=&quot;003175BE&quot;/&gt;&lt;wsp:rsid wsp:val=&quot;00317AC6&quot;/&gt;&lt;wsp:rsid wsp:val=&quot;00317AF7&quot;/&gt;&lt;wsp:rsid wsp:val=&quot;00317EC7&quot;/&gt;&lt;wsp:rsid wsp:val=&quot;00317FFC&quot;/&gt;&lt;wsp:rsid wsp:val=&quot;00320005&quot;/&gt;&lt;wsp:rsid wsp:val=&quot;0032015C&quot;/&gt;&lt;wsp:rsid wsp:val=&quot;003205B7&quot;/&gt;&lt;wsp:rsid wsp:val=&quot;003206E9&quot;/&gt;&lt;wsp:rsid wsp:val=&quot;0032087E&quot;/&gt;&lt;wsp:rsid wsp:val=&quot;00320EC2&quot;/&gt;&lt;wsp:rsid wsp:val=&quot;00320F4A&quot;/&gt;&lt;wsp:rsid wsp:val=&quot;00320FB3&quot;/&gt;&lt;wsp:rsid wsp:val=&quot;00320FC6&quot;/&gt;&lt;wsp:rsid wsp:val=&quot;0032103B&quot;/&gt;&lt;wsp:rsid wsp:val=&quot;00321104&quot;/&gt;&lt;wsp:rsid wsp:val=&quot;0032119D&quot;/&gt;&lt;wsp:rsid wsp:val=&quot;003214C8&quot;/&gt;&lt;wsp:rsid wsp:val=&quot;003216F6&quot;/&gt;&lt;wsp:rsid wsp:val=&quot;00321755&quot;/&gt;&lt;wsp:rsid wsp:val=&quot;00321AAB&quot;/&gt;&lt;wsp:rsid wsp:val=&quot;00321E62&quot;/&gt;&lt;wsp:rsid wsp:val=&quot;00321EA4&quot;/&gt;&lt;wsp:rsid wsp:val=&quot;00322006&quot;/&gt;&lt;wsp:rsid wsp:val=&quot;003223D7&quot;/&gt;&lt;wsp:rsid wsp:val=&quot;00322501&quot;/&gt;&lt;wsp:rsid wsp:val=&quot;003226EC&quot;/&gt;&lt;wsp:rsid wsp:val=&quot;00322903&quot;/&gt;&lt;wsp:rsid wsp:val=&quot;00323096&quot;/&gt;&lt;wsp:rsid wsp:val=&quot;0032379B&quot;/&gt;&lt;wsp:rsid wsp:val=&quot;0032386D&quot;/&gt;&lt;wsp:rsid wsp:val=&quot;00323A29&quot;/&gt;&lt;wsp:rsid wsp:val=&quot;00323D45&quot;/&gt;&lt;wsp:rsid wsp:val=&quot;00323E6F&quot;/&gt;&lt;wsp:rsid wsp:val=&quot;00324115&quot;/&gt;&lt;wsp:rsid wsp:val=&quot;003241EB&quot;/&gt;&lt;wsp:rsid wsp:val=&quot;0032496E&quot;/&gt;&lt;wsp:rsid wsp:val=&quot;0032498B&quot;/&gt;&lt;wsp:rsid wsp:val=&quot;00324EE3&quot;/&gt;&lt;wsp:rsid wsp:val=&quot;00324F49&quot;/&gt;&lt;wsp:rsid wsp:val=&quot;00324F8A&quot;/&gt;&lt;wsp:rsid wsp:val=&quot;003258C3&quot;/&gt;&lt;wsp:rsid wsp:val=&quot;00325D21&quot;/&gt;&lt;wsp:rsid wsp:val=&quot;00325E06&quot;/&gt;&lt;wsp:rsid wsp:val=&quot;00325E28&quot;/&gt;&lt;wsp:rsid wsp:val=&quot;003263B9&quot;/&gt;&lt;wsp:rsid wsp:val=&quot;0032687D&quot;/&gt;&lt;wsp:rsid wsp:val=&quot;00326907&quot;/&gt;&lt;wsp:rsid wsp:val=&quot;00326ABF&quot;/&gt;&lt;wsp:rsid wsp:val=&quot;00326C84&quot;/&gt;&lt;wsp:rsid wsp:val=&quot;00326E81&quot;/&gt;&lt;wsp:rsid wsp:val=&quot;00327175&quot;/&gt;&lt;wsp:rsid wsp:val=&quot;0032747E&quot;/&gt;&lt;wsp:rsid wsp:val=&quot;00327701&quot;/&gt;&lt;wsp:rsid wsp:val=&quot;00327A22&quot;/&gt;&lt;wsp:rsid wsp:val=&quot;00327B21&quot;/&gt;&lt;wsp:rsid wsp:val=&quot;00327B96&quot;/&gt;&lt;wsp:rsid wsp:val=&quot;00327DC0&quot;/&gt;&lt;wsp:rsid wsp:val=&quot;00327FB4&quot;/&gt;&lt;wsp:rsid wsp:val=&quot;00330059&quot;/&gt;&lt;wsp:rsid wsp:val=&quot;00330211&quot;/&gt;&lt;wsp:rsid wsp:val=&quot;0033077D&quot;/&gt;&lt;wsp:rsid wsp:val=&quot;00330C3C&quot;/&gt;&lt;wsp:rsid wsp:val=&quot;00330F83&quot;/&gt;&lt;wsp:rsid wsp:val=&quot;00331483&quot;/&gt;&lt;wsp:rsid wsp:val=&quot;003314F7&quot;/&gt;&lt;wsp:rsid wsp:val=&quot;003316C2&quot;/&gt;&lt;wsp:rsid wsp:val=&quot;00331712&quot;/&gt;&lt;wsp:rsid wsp:val=&quot;00331897&quot;/&gt;&lt;wsp:rsid wsp:val=&quot;00331EEE&quot;/&gt;&lt;wsp:rsid wsp:val=&quot;0033207F&quot;/&gt;&lt;wsp:rsid wsp:val=&quot;003320C5&quot;/&gt;&lt;wsp:rsid wsp:val=&quot;003320F6&quot;/&gt;&lt;wsp:rsid wsp:val=&quot;00332751&quot;/&gt;&lt;wsp:rsid wsp:val=&quot;00332BD6&quot;/&gt;&lt;wsp:rsid wsp:val=&quot;00332BF1&quot;/&gt;&lt;wsp:rsid wsp:val=&quot;00332D8B&quot;/&gt;&lt;wsp:rsid wsp:val=&quot;00332DAE&quot;/&gt;&lt;wsp:rsid wsp:val=&quot;00332FB1&quot;/&gt;&lt;wsp:rsid wsp:val=&quot;003331C7&quot;/&gt;&lt;wsp:rsid wsp:val=&quot;0033384F&quot;/&gt;&lt;wsp:rsid wsp:val=&quot;00333853&quot;/&gt;&lt;wsp:rsid wsp:val=&quot;00333910&quot;/&gt;&lt;wsp:rsid wsp:val=&quot;00333B04&quot;/&gt;&lt;wsp:rsid wsp:val=&quot;00333CFD&quot;/&gt;&lt;wsp:rsid wsp:val=&quot;00335258&quot;/&gt;&lt;wsp:rsid wsp:val=&quot;003353BE&quot;/&gt;&lt;wsp:rsid wsp:val=&quot;00335529&quot;/&gt;&lt;wsp:rsid wsp:val=&quot;00335A7E&quot;/&gt;&lt;wsp:rsid wsp:val=&quot;00335DA5&quot;/&gt;&lt;wsp:rsid wsp:val=&quot;00336586&quot;/&gt;&lt;wsp:rsid wsp:val=&quot;003367E6&quot;/&gt;&lt;wsp:rsid wsp:val=&quot;0033695A&quot;/&gt;&lt;wsp:rsid wsp:val=&quot;00336D55&quot;/&gt;&lt;wsp:rsid wsp:val=&quot;00336F46&quot;/&gt;&lt;wsp:rsid wsp:val=&quot;00337392&quot;/&gt;&lt;wsp:rsid wsp:val=&quot;003379C2&quot;/&gt;&lt;wsp:rsid wsp:val=&quot;003379F0&quot;/&gt;&lt;wsp:rsid wsp:val=&quot;00337A14&quot;/&gt;&lt;wsp:rsid wsp:val=&quot;00337DCF&quot;/&gt;&lt;wsp:rsid wsp:val=&quot;003400E7&quot;/&gt;&lt;wsp:rsid wsp:val=&quot;003403F9&quot;/&gt;&lt;wsp:rsid wsp:val=&quot;0034084D&quot;/&gt;&lt;wsp:rsid wsp:val=&quot;0034094D&quot;/&gt;&lt;wsp:rsid wsp:val=&quot;00340A56&quot;/&gt;&lt;wsp:rsid wsp:val=&quot;00340B8E&quot;/&gt;&lt;wsp:rsid wsp:val=&quot;00340CCC&quot;/&gt;&lt;wsp:rsid wsp:val=&quot;00340E2E&quot;/&gt;&lt;wsp:rsid wsp:val=&quot;00340E6A&quot;/&gt;&lt;wsp:rsid wsp:val=&quot;00341035&quot;/&gt;&lt;wsp:rsid wsp:val=&quot;0034129D&quot;/&gt;&lt;wsp:rsid wsp:val=&quot;00341342&quot;/&gt;&lt;wsp:rsid wsp:val=&quot;003413CD&quot;/&gt;&lt;wsp:rsid wsp:val=&quot;00341823&quot;/&gt;&lt;wsp:rsid wsp:val=&quot;00341841&quot;/&gt;&lt;wsp:rsid wsp:val=&quot;00341AE2&quot;/&gt;&lt;wsp:rsid wsp:val=&quot;00342358&quot;/&gt;&lt;wsp:rsid wsp:val=&quot;003423CA&quot;/&gt;&lt;wsp:rsid wsp:val=&quot;0034245A&quot;/&gt;&lt;wsp:rsid wsp:val=&quot;00342600&quot;/&gt;&lt;wsp:rsid wsp:val=&quot;00342DE5&quot;/&gt;&lt;wsp:rsid wsp:val=&quot;00342E50&quot;/&gt;&lt;wsp:rsid wsp:val=&quot;00342FB4&quot;/&gt;&lt;wsp:rsid wsp:val=&quot;00342FC8&quot;/&gt;&lt;wsp:rsid wsp:val=&quot;0034358B&quot;/&gt;&lt;wsp:rsid wsp:val=&quot;00343B7C&quot;/&gt;&lt;wsp:rsid wsp:val=&quot;00343D34&quot;/&gt;&lt;wsp:rsid wsp:val=&quot;00343F3D&quot;/&gt;&lt;wsp:rsid wsp:val=&quot;003440D0&quot;/&gt;&lt;wsp:rsid wsp:val=&quot;0034427C&quot;/&gt;&lt;wsp:rsid wsp:val=&quot;00344378&quot;/&gt;&lt;wsp:rsid wsp:val=&quot;0034459C&quot;/&gt;&lt;wsp:rsid wsp:val=&quot;00344738&quot;/&gt;&lt;wsp:rsid wsp:val=&quot;0034475E&quot;/&gt;&lt;wsp:rsid wsp:val=&quot;00344797&quot;/&gt;&lt;wsp:rsid wsp:val=&quot;00344B4B&quot;/&gt;&lt;wsp:rsid wsp:val=&quot;00344F87&quot;/&gt;&lt;wsp:rsid wsp:val=&quot;00344FDF&quot;/&gt;&lt;wsp:rsid wsp:val=&quot;0034529A&quot;/&gt;&lt;wsp:rsid wsp:val=&quot;0034530B&quot;/&gt;&lt;wsp:rsid wsp:val=&quot;00345463&quot;/&gt;&lt;wsp:rsid wsp:val=&quot;0034548D&quot;/&gt;&lt;wsp:rsid wsp:val=&quot;00345D66&quot;/&gt;&lt;wsp:rsid wsp:val=&quot;00346035&quot;/&gt;&lt;wsp:rsid wsp:val=&quot;003461B9&quot;/&gt;&lt;wsp:rsid wsp:val=&quot;003462AF&quot;/&gt;&lt;wsp:rsid wsp:val=&quot;00346503&quot;/&gt;&lt;wsp:rsid wsp:val=&quot;0034683A&quot;/&gt;&lt;wsp:rsid wsp:val=&quot;0034687C&quot;/&gt;&lt;wsp:rsid wsp:val=&quot;00346A15&quot;/&gt;&lt;wsp:rsid wsp:val=&quot;00346F1D&quot;/&gt;&lt;wsp:rsid wsp:val=&quot;00346FC1&quot;/&gt;&lt;wsp:rsid wsp:val=&quot;00347152&quot;/&gt;&lt;wsp:rsid wsp:val=&quot;0034716E&quot;/&gt;&lt;wsp:rsid wsp:val=&quot;003471E1&quot;/&gt;&lt;wsp:rsid wsp:val=&quot;003471F0&quot;/&gt;&lt;wsp:rsid wsp:val=&quot;003473F5&quot;/&gt;&lt;wsp:rsid wsp:val=&quot;003473FA&quot;/&gt;&lt;wsp:rsid wsp:val=&quot;00347440&quot;/&gt;&lt;wsp:rsid wsp:val=&quot;003475A5&quot;/&gt;&lt;wsp:rsid wsp:val=&quot;00347752&quot;/&gt;&lt;wsp:rsid wsp:val=&quot;003477D5&quot;/&gt;&lt;wsp:rsid wsp:val=&quot;0034795D&quot;/&gt;&lt;wsp:rsid wsp:val=&quot;00347AFE&quot;/&gt;&lt;wsp:rsid wsp:val=&quot;00347E10&quot;/&gt;&lt;wsp:rsid wsp:val=&quot;003505A6&quot;/&gt;&lt;wsp:rsid wsp:val=&quot;00350898&quot;/&gt;&lt;wsp:rsid wsp:val=&quot;0035099A&quot;/&gt;&lt;wsp:rsid wsp:val=&quot;00350C17&quot;/&gt;&lt;wsp:rsid wsp:val=&quot;00351265&quot;/&gt;&lt;wsp:rsid wsp:val=&quot;003514FF&quot;/&gt;&lt;wsp:rsid wsp:val=&quot;0035176A&quot;/&gt;&lt;wsp:rsid wsp:val=&quot;00351AD6&quot;/&gt;&lt;wsp:rsid wsp:val=&quot;00351BCF&quot;/&gt;&lt;wsp:rsid wsp:val=&quot;00351CAC&quot;/&gt;&lt;wsp:rsid wsp:val=&quot;00351DD5&quot;/&gt;&lt;wsp:rsid wsp:val=&quot;003521EB&quot;/&gt;&lt;wsp:rsid wsp:val=&quot;00352280&quot;/&gt;&lt;wsp:rsid wsp:val=&quot;0035260A&quot;/&gt;&lt;wsp:rsid wsp:val=&quot;0035268A&quot;/&gt;&lt;wsp:rsid wsp:val=&quot;00352740&quot;/&gt;&lt;wsp:rsid wsp:val=&quot;00352C45&quot;/&gt;&lt;wsp:rsid wsp:val=&quot;00352DD9&quot;/&gt;&lt;wsp:rsid wsp:val=&quot;00352F63&quot;/&gt;&lt;wsp:rsid wsp:val=&quot;003530AC&quot;/&gt;&lt;wsp:rsid wsp:val=&quot;00353233&quot;/&gt;&lt;wsp:rsid wsp:val=&quot;00353A35&quot;/&gt;&lt;wsp:rsid wsp:val=&quot;00353E59&quot;/&gt;&lt;wsp:rsid wsp:val=&quot;00353FD4&quot;/&gt;&lt;wsp:rsid wsp:val=&quot;00354070&quot;/&gt;&lt;wsp:rsid wsp:val=&quot;0035438D&quot;/&gt;&lt;wsp:rsid wsp:val=&quot;00354475&quot;/&gt;&lt;wsp:rsid wsp:val=&quot;003544F5&quot;/&gt;&lt;wsp:rsid wsp:val=&quot;00354727&quot;/&gt;&lt;wsp:rsid wsp:val=&quot;0035487A&quot;/&gt;&lt;wsp:rsid wsp:val=&quot;0035523C&quot;/&gt;&lt;wsp:rsid wsp:val=&quot;003552EE&quot;/&gt;&lt;wsp:rsid wsp:val=&quot;0035551C&quot;/&gt;&lt;wsp:rsid wsp:val=&quot;00355606&quot;/&gt;&lt;wsp:rsid wsp:val=&quot;00355BC9&quot;/&gt;&lt;wsp:rsid wsp:val=&quot;00355E83&quot;/&gt;&lt;wsp:rsid wsp:val=&quot;00355F28&quot;/&gt;&lt;wsp:rsid wsp:val=&quot;00356450&quot;/&gt;&lt;wsp:rsid wsp:val=&quot;00356542&quot;/&gt;&lt;wsp:rsid wsp:val=&quot;00356828&quot;/&gt;&lt;wsp:rsid wsp:val=&quot;00356C64&quot;/&gt;&lt;wsp:rsid wsp:val=&quot;00356E23&quot;/&gt;&lt;wsp:rsid wsp:val=&quot;00356F0A&quot;/&gt;&lt;wsp:rsid wsp:val=&quot;003572D5&quot;/&gt;&lt;wsp:rsid wsp:val=&quot;00357511&quot;/&gt;&lt;wsp:rsid wsp:val=&quot;003576B9&quot;/&gt;&lt;wsp:rsid wsp:val=&quot;00357902&quot;/&gt;&lt;wsp:rsid wsp:val=&quot;00357AA9&quot;/&gt;&lt;wsp:rsid wsp:val=&quot;00357AD1&quot;/&gt;&lt;wsp:rsid wsp:val=&quot;00357B70&quot;/&gt;&lt;wsp:rsid wsp:val=&quot;00357D53&quot;/&gt;&lt;wsp:rsid wsp:val=&quot;00360247&quot;/&gt;&lt;wsp:rsid wsp:val=&quot;0036069C&quot;/&gt;&lt;wsp:rsid wsp:val=&quot;0036072C&quot;/&gt;&lt;wsp:rsid wsp:val=&quot;00360A1D&quot;/&gt;&lt;wsp:rsid wsp:val=&quot;0036104A&quot;/&gt;&lt;wsp:rsid wsp:val=&quot;00361642&quot;/&gt;&lt;wsp:rsid wsp:val=&quot;003618B4&quot;/&gt;&lt;wsp:rsid wsp:val=&quot;00361E32&quot;/&gt;&lt;wsp:rsid wsp:val=&quot;003625BF&quot;/&gt;&lt;wsp:rsid wsp:val=&quot;00362D0E&quot;/&gt;&lt;wsp:rsid wsp:val=&quot;00362D4F&quot;/&gt;&lt;wsp:rsid wsp:val=&quot;0036306C&quot;/&gt;&lt;wsp:rsid wsp:val=&quot;00363446&quot;/&gt;&lt;wsp:rsid wsp:val=&quot;00363481&quot;/&gt;&lt;wsp:rsid wsp:val=&quot;0036357F&quot;/&gt;&lt;wsp:rsid wsp:val=&quot;003635CF&quot;/&gt;&lt;wsp:rsid wsp:val=&quot;003638A3&quot;/&gt;&lt;wsp:rsid wsp:val=&quot;003639B5&quot;/&gt;&lt;wsp:rsid wsp:val=&quot;00363A58&quot;/&gt;&lt;wsp:rsid wsp:val=&quot;00363B60&quot;/&gt;&lt;wsp:rsid wsp:val=&quot;003640F2&quot;/&gt;&lt;wsp:rsid wsp:val=&quot;003641BB&quot;/&gt;&lt;wsp:rsid wsp:val=&quot;00364636&quot;/&gt;&lt;wsp:rsid wsp:val=&quot;00364B65&quot;/&gt;&lt;wsp:rsid wsp:val=&quot;00364C7D&quot;/&gt;&lt;wsp:rsid wsp:val=&quot;00364D4E&quot;/&gt;&lt;wsp:rsid wsp:val=&quot;00364E1B&quot;/&gt;&lt;wsp:rsid wsp:val=&quot;00365108&quot;/&gt;&lt;wsp:rsid wsp:val=&quot;00365338&quot;/&gt;&lt;wsp:rsid wsp:val=&quot;00365591&quot;/&gt;&lt;wsp:rsid wsp:val=&quot;00365650&quot;/&gt;&lt;wsp:rsid wsp:val=&quot;003659C1&quot;/&gt;&lt;wsp:rsid wsp:val=&quot;00365D70&quot;/&gt;&lt;wsp:rsid wsp:val=&quot;00365FCF&quot;/&gt;&lt;wsp:rsid wsp:val=&quot;0036691E&quot;/&gt;&lt;wsp:rsid wsp:val=&quot;003669AF&quot;/&gt;&lt;wsp:rsid wsp:val=&quot;00366BD7&quot;/&gt;&lt;wsp:rsid wsp:val=&quot;00366D90&quot;/&gt;&lt;wsp:rsid wsp:val=&quot;00366F46&quot;/&gt;&lt;wsp:rsid wsp:val=&quot;00366F9A&quot;/&gt;&lt;wsp:rsid wsp:val=&quot;00367CA9&quot;/&gt;&lt;wsp:rsid wsp:val=&quot;00367CB2&quot;/&gt;&lt;wsp:rsid wsp:val=&quot;003700B5&quot;/&gt;&lt;wsp:rsid wsp:val=&quot;0037070E&quot;/&gt;&lt;wsp:rsid wsp:val=&quot;003709B9&quot;/&gt;&lt;wsp:rsid wsp:val=&quot;00370B1C&quot;/&gt;&lt;wsp:rsid wsp:val=&quot;00370EBA&quot;/&gt;&lt;wsp:rsid wsp:val=&quot;00370F0A&quot;/&gt;&lt;wsp:rsid wsp:val=&quot;00370F52&quot;/&gt;&lt;wsp:rsid wsp:val=&quot;003711E2&quot;/&gt;&lt;wsp:rsid wsp:val=&quot;0037138A&quot;/&gt;&lt;wsp:rsid wsp:val=&quot;0037157D&quot;/&gt;&lt;wsp:rsid wsp:val=&quot;0037184B&quot;/&gt;&lt;wsp:rsid wsp:val=&quot;003718C2&quot;/&gt;&lt;wsp:rsid wsp:val=&quot;00371B0D&quot;/&gt;&lt;wsp:rsid wsp:val=&quot;00371CD7&quot;/&gt;&lt;wsp:rsid wsp:val=&quot;00371D87&quot;/&gt;&lt;wsp:rsid wsp:val=&quot;00371D91&quot;/&gt;&lt;wsp:rsid wsp:val=&quot;00371EE7&quot;/&gt;&lt;wsp:rsid wsp:val=&quot;0037213B&quot;/&gt;&lt;wsp:rsid wsp:val=&quot;00372141&quot;/&gt;&lt;wsp:rsid wsp:val=&quot;00372537&quot;/&gt;&lt;wsp:rsid wsp:val=&quot;003725A2&quot;/&gt;&lt;wsp:rsid wsp:val=&quot;00372CD5&quot;/&gt;&lt;wsp:rsid wsp:val=&quot;00372F40&quot;/&gt;&lt;wsp:rsid wsp:val=&quot;00372F72&quot;/&gt;&lt;wsp:rsid wsp:val=&quot;00373439&quot;/&gt;&lt;wsp:rsid wsp:val=&quot;00373581&quot;/&gt;&lt;wsp:rsid wsp:val=&quot;003735D4&quot;/&gt;&lt;wsp:rsid wsp:val=&quot;00373A5B&quot;/&gt;&lt;wsp:rsid wsp:val=&quot;00373D7C&quot;/&gt;&lt;wsp:rsid wsp:val=&quot;00373DC1&quot;/&gt;&lt;wsp:rsid wsp:val=&quot;00373E52&quot;/&gt;&lt;wsp:rsid wsp:val=&quot;00373FDC&quot;/&gt;&lt;wsp:rsid wsp:val=&quot;003744AB&quot;/&gt;&lt;wsp:rsid wsp:val=&quot;0037465E&quot;/&gt;&lt;wsp:rsid wsp:val=&quot;00374713&quot;/&gt;&lt;wsp:rsid wsp:val=&quot;00374798&quot;/&gt;&lt;wsp:rsid wsp:val=&quot;003748CB&quot;/&gt;&lt;wsp:rsid wsp:val=&quot;003749E9&quot;/&gt;&lt;wsp:rsid wsp:val=&quot;00374D69&quot;/&gt;&lt;wsp:rsid wsp:val=&quot;0037505F&quot;/&gt;&lt;wsp:rsid wsp:val=&quot;003755BE&quot;/&gt;&lt;wsp:rsid wsp:val=&quot;003757FA&quot;/&gt;&lt;wsp:rsid wsp:val=&quot;00375885&quot;/&gt;&lt;wsp:rsid wsp:val=&quot;00375B63&quot;/&gt;&lt;wsp:rsid wsp:val=&quot;00375E34&quot;/&gt;&lt;wsp:rsid wsp:val=&quot;003765EE&quot;/&gt;&lt;wsp:rsid wsp:val=&quot;00376834&quot;/&gt;&lt;wsp:rsid wsp:val=&quot;003768DF&quot;/&gt;&lt;wsp:rsid wsp:val=&quot;00376AD3&quot;/&gt;&lt;wsp:rsid wsp:val=&quot;00376DA0&quot;/&gt;&lt;wsp:rsid wsp:val=&quot;00377236&quot;/&gt;&lt;wsp:rsid wsp:val=&quot;0037735B&quot;/&gt;&lt;wsp:rsid wsp:val=&quot;0037785B&quot;/&gt;&lt;wsp:rsid wsp:val=&quot;00377B50&quot;/&gt;&lt;wsp:rsid wsp:val=&quot;003807E0&quot;/&gt;&lt;wsp:rsid wsp:val=&quot;003807EF&quot;/&gt;&lt;wsp:rsid wsp:val=&quot;00380AFC&quot;/&gt;&lt;wsp:rsid wsp:val=&quot;00380F77&quot;/&gt;&lt;wsp:rsid wsp:val=&quot;00381059&quot;/&gt;&lt;wsp:rsid wsp:val=&quot;0038114E&quot;/&gt;&lt;wsp:rsid wsp:val=&quot;00381280&quot;/&gt;&lt;wsp:rsid wsp:val=&quot;00381483&quot;/&gt;&lt;wsp:rsid wsp:val=&quot;003815AE&quot;/&gt;&lt;wsp:rsid wsp:val=&quot;003816C0&quot;/&gt;&lt;wsp:rsid wsp:val=&quot;003818BD&quot;/&gt;&lt;wsp:rsid wsp:val=&quot;00381C15&quot;/&gt;&lt;wsp:rsid wsp:val=&quot;00381D61&quot;/&gt;&lt;wsp:rsid wsp:val=&quot;00381FB2&quot;/&gt;&lt;wsp:rsid wsp:val=&quot;003821D7&quot;/&gt;&lt;wsp:rsid wsp:val=&quot;0038230D&quot;/&gt;&lt;wsp:rsid wsp:val=&quot;00382327&quot;/&gt;&lt;wsp:rsid wsp:val=&quot;003828B5&quot;/&gt;&lt;wsp:rsid wsp:val=&quot;00382D55&quot;/&gt;&lt;wsp:rsid wsp:val=&quot;00382D7C&quot;/&gt;&lt;wsp:rsid wsp:val=&quot;00382DAF&quot;/&gt;&lt;wsp:rsid wsp:val=&quot;00382E1D&quot;/&gt;&lt;wsp:rsid wsp:val=&quot;00383088&quot;/&gt;&lt;wsp:rsid wsp:val=&quot;003830F7&quot;/&gt;&lt;wsp:rsid wsp:val=&quot;00383221&quot;/&gt;&lt;wsp:rsid wsp:val=&quot;003839D8&quot;/&gt;&lt;wsp:rsid wsp:val=&quot;0038409C&quot;/&gt;&lt;wsp:rsid wsp:val=&quot;003842D8&quot;/&gt;&lt;wsp:rsid wsp:val=&quot;003844D3&quot;/&gt;&lt;wsp:rsid wsp:val=&quot;00384538&quot;/&gt;&lt;wsp:rsid wsp:val=&quot;003846CC&quot;/&gt;&lt;wsp:rsid wsp:val=&quot;003848D6&quot;/&gt;&lt;wsp:rsid wsp:val=&quot;00384929&quot;/&gt;&lt;wsp:rsid wsp:val=&quot;00384C50&quot;/&gt;&lt;wsp:rsid wsp:val=&quot;00384FBB&quot;/&gt;&lt;wsp:rsid wsp:val=&quot;00385486&quot;/&gt;&lt;wsp:rsid wsp:val=&quot;0038552A&quot;/&gt;&lt;wsp:rsid wsp:val=&quot;003856B7&quot;/&gt;&lt;wsp:rsid wsp:val=&quot;00385B62&quot;/&gt;&lt;wsp:rsid wsp:val=&quot;00385BC6&quot;/&gt;&lt;wsp:rsid wsp:val=&quot;00385EEA&quot;/&gt;&lt;wsp:rsid wsp:val=&quot;00386476&quot;/&gt;&lt;wsp:rsid wsp:val=&quot;00386877&quot;/&gt;&lt;wsp:rsid wsp:val=&quot;0038690B&quot;/&gt;&lt;wsp:rsid wsp:val=&quot;00386993&quot;/&gt;&lt;wsp:rsid wsp:val=&quot;00386ADB&quot;/&gt;&lt;wsp:rsid wsp:val=&quot;00386EEC&quot;/&gt;&lt;wsp:rsid wsp:val=&quot;0038704C&quot;/&gt;&lt;wsp:rsid wsp:val=&quot;003871DF&quot;/&gt;&lt;wsp:rsid wsp:val=&quot;00387233&quot;/&gt;&lt;wsp:rsid wsp:val=&quot;003877B3&quot;/&gt;&lt;wsp:rsid wsp:val=&quot;00387AE9&quot;/&gt;&lt;wsp:rsid wsp:val=&quot;00387B18&quot;/&gt;&lt;wsp:rsid wsp:val=&quot;00387BB0&quot;/&gt;&lt;wsp:rsid wsp:val=&quot;00387D5D&quot;/&gt;&lt;wsp:rsid wsp:val=&quot;00387E24&quot;/&gt;&lt;wsp:rsid wsp:val=&quot;00387ED8&quot;/&gt;&lt;wsp:rsid wsp:val=&quot;003900B6&quot;/&gt;&lt;wsp:rsid wsp:val=&quot;003906AA&quot;/&gt;&lt;wsp:rsid wsp:val=&quot;00390D78&quot;/&gt;&lt;wsp:rsid wsp:val=&quot;00390E83&quot;/&gt;&lt;wsp:rsid wsp:val=&quot;00391005&quot;/&gt;&lt;wsp:rsid wsp:val=&quot;00391079&quot;/&gt;&lt;wsp:rsid wsp:val=&quot;00391366&quot;/&gt;&lt;wsp:rsid wsp:val=&quot;003919C8&quot;/&gt;&lt;wsp:rsid wsp:val=&quot;00391A56&quot;/&gt;&lt;wsp:rsid wsp:val=&quot;00391FA0&quot;/&gt;&lt;wsp:rsid wsp:val=&quot;00392065&quot;/&gt;&lt;wsp:rsid wsp:val=&quot;003922BC&quot;/&gt;&lt;wsp:rsid wsp:val=&quot;003927F5&quot;/&gt;&lt;wsp:rsid wsp:val=&quot;00392B04&quot;/&gt;&lt;wsp:rsid wsp:val=&quot;00392B8D&quot;/&gt;&lt;wsp:rsid wsp:val=&quot;00392D8B&quot;/&gt;&lt;wsp:rsid wsp:val=&quot;00393053&quot;/&gt;&lt;wsp:rsid wsp:val=&quot;00393215&quot;/&gt;&lt;wsp:rsid wsp:val=&quot;00393646&quot;/&gt;&lt;wsp:rsid wsp:val=&quot;00393664&quot;/&gt;&lt;wsp:rsid wsp:val=&quot;00393946&quot;/&gt;&lt;wsp:rsid wsp:val=&quot;00393E2C&quot;/&gt;&lt;wsp:rsid wsp:val=&quot;00394038&quot;/&gt;&lt;wsp:rsid wsp:val=&quot;003943C2&quot;/&gt;&lt;wsp:rsid wsp:val=&quot;0039498F&quot;/&gt;&lt;wsp:rsid wsp:val=&quot;00394A45&quot;/&gt;&lt;wsp:rsid wsp:val=&quot;00395438&quot;/&gt;&lt;wsp:rsid wsp:val=&quot;0039543D&quot;/&gt;&lt;wsp:rsid wsp:val=&quot;003955E9&quot;/&gt;&lt;wsp:rsid wsp:val=&quot;003959B5&quot;/&gt;&lt;wsp:rsid wsp:val=&quot;00395C84&quot;/&gt;&lt;wsp:rsid wsp:val=&quot;00395EFA&quot;/&gt;&lt;wsp:rsid wsp:val=&quot;00396014&quot;/&gt;&lt;wsp:rsid wsp:val=&quot;00396045&quot;/&gt;&lt;wsp:rsid wsp:val=&quot;003964CE&quot;/&gt;&lt;wsp:rsid wsp:val=&quot;0039669B&quot;/&gt;&lt;wsp:rsid wsp:val=&quot;003966A9&quot;/&gt;&lt;wsp:rsid wsp:val=&quot;0039673A&quot;/&gt;&lt;wsp:rsid wsp:val=&quot;0039694D&quot;/&gt;&lt;wsp:rsid wsp:val=&quot;00396C5E&quot;/&gt;&lt;wsp:rsid wsp:val=&quot;00396F92&quot;/&gt;&lt;wsp:rsid wsp:val=&quot;00397020&quot;/&gt;&lt;wsp:rsid wsp:val=&quot;003970D9&quot;/&gt;&lt;wsp:rsid wsp:val=&quot;0039715A&quot;/&gt;&lt;wsp:rsid wsp:val=&quot;00397266&quot;/&gt;&lt;wsp:rsid wsp:val=&quot;00397474&quot;/&gt;&lt;wsp:rsid wsp:val=&quot;0039750B&quot;/&gt;&lt;wsp:rsid wsp:val=&quot;0039759F&quot;/&gt;&lt;wsp:rsid wsp:val=&quot;00397838&quot;/&gt;&lt;wsp:rsid wsp:val=&quot;00397B50&quot;/&gt;&lt;wsp:rsid wsp:val=&quot;00397B63&quot;/&gt;&lt;wsp:rsid wsp:val=&quot;00397C87&quot;/&gt;&lt;wsp:rsid wsp:val=&quot;00397EA9&quot;/&gt;&lt;wsp:rsid wsp:val=&quot;00397F6A&quot;/&gt;&lt;wsp:rsid wsp:val=&quot;003A0427&quot;/&gt;&lt;wsp:rsid wsp:val=&quot;003A061E&quot;/&gt;&lt;wsp:rsid wsp:val=&quot;003A0C2C&quot;/&gt;&lt;wsp:rsid wsp:val=&quot;003A0DD6&quot;/&gt;&lt;wsp:rsid wsp:val=&quot;003A0DE6&quot;/&gt;&lt;wsp:rsid wsp:val=&quot;003A0FB8&quot;/&gt;&lt;wsp:rsid wsp:val=&quot;003A1573&quot;/&gt;&lt;wsp:rsid wsp:val=&quot;003A1F7B&quot;/&gt;&lt;wsp:rsid wsp:val=&quot;003A21D9&quot;/&gt;&lt;wsp:rsid wsp:val=&quot;003A2742&quot;/&gt;&lt;wsp:rsid wsp:val=&quot;003A2F37&quot;/&gt;&lt;wsp:rsid wsp:val=&quot;003A2F88&quot;/&gt;&lt;wsp:rsid wsp:val=&quot;003A32C2&quot;/&gt;&lt;wsp:rsid wsp:val=&quot;003A336D&quot;/&gt;&lt;wsp:rsid wsp:val=&quot;003A33B4&quot;/&gt;&lt;wsp:rsid wsp:val=&quot;003A352B&quot;/&gt;&lt;wsp:rsid wsp:val=&quot;003A360C&quot;/&gt;&lt;wsp:rsid wsp:val=&quot;003A370F&quot;/&gt;&lt;wsp:rsid wsp:val=&quot;003A37B7&quot;/&gt;&lt;wsp:rsid wsp:val=&quot;003A3881&quot;/&gt;&lt;wsp:rsid wsp:val=&quot;003A3D9F&quot;/&gt;&lt;wsp:rsid wsp:val=&quot;003A3DE8&quot;/&gt;&lt;wsp:rsid wsp:val=&quot;003A4285&quot;/&gt;&lt;wsp:rsid wsp:val=&quot;003A454C&quot;/&gt;&lt;wsp:rsid wsp:val=&quot;003A4775&quot;/&gt;&lt;wsp:rsid wsp:val=&quot;003A4885&quot;/&gt;&lt;wsp:rsid wsp:val=&quot;003A4DC3&quot;/&gt;&lt;wsp:rsid wsp:val=&quot;003A4FAF&quot;/&gt;&lt;wsp:rsid wsp:val=&quot;003A5031&quot;/&gt;&lt;wsp:rsid wsp:val=&quot;003A515B&quot;/&gt;&lt;wsp:rsid wsp:val=&quot;003A51F6&quot;/&gt;&lt;wsp:rsid wsp:val=&quot;003A5223&quot;/&gt;&lt;wsp:rsid wsp:val=&quot;003A533F&quot;/&gt;&lt;wsp:rsid wsp:val=&quot;003A57A8&quot;/&gt;&lt;wsp:rsid wsp:val=&quot;003A5847&quot;/&gt;&lt;wsp:rsid wsp:val=&quot;003A60A0&quot;/&gt;&lt;wsp:rsid wsp:val=&quot;003A6165&quot;/&gt;&lt;wsp:rsid wsp:val=&quot;003A6710&quot;/&gt;&lt;wsp:rsid wsp:val=&quot;003A6BD0&quot;/&gt;&lt;wsp:rsid wsp:val=&quot;003A74C6&quot;/&gt;&lt;wsp:rsid wsp:val=&quot;003A7D4F&quot;/&gt;&lt;wsp:rsid wsp:val=&quot;003B08A1&quot;/&gt;&lt;wsp:rsid wsp:val=&quot;003B1055&quot;/&gt;&lt;wsp:rsid wsp:val=&quot;003B1372&quot;/&gt;&lt;wsp:rsid wsp:val=&quot;003B1477&quot;/&gt;&lt;wsp:rsid wsp:val=&quot;003B148A&quot;/&gt;&lt;wsp:rsid wsp:val=&quot;003B14CA&quot;/&gt;&lt;wsp:rsid wsp:val=&quot;003B14D4&quot;/&gt;&lt;wsp:rsid wsp:val=&quot;003B190D&quot;/&gt;&lt;wsp:rsid wsp:val=&quot;003B1D83&quot;/&gt;&lt;wsp:rsid wsp:val=&quot;003B1EB5&quot;/&gt;&lt;wsp:rsid wsp:val=&quot;003B206E&quot;/&gt;&lt;wsp:rsid wsp:val=&quot;003B21BC&quot;/&gt;&lt;wsp:rsid wsp:val=&quot;003B27DE&quot;/&gt;&lt;wsp:rsid wsp:val=&quot;003B2A04&quot;/&gt;&lt;wsp:rsid wsp:val=&quot;003B2B9C&quot;/&gt;&lt;wsp:rsid wsp:val=&quot;003B2C31&quot;/&gt;&lt;wsp:rsid wsp:val=&quot;003B2CDD&quot;/&gt;&lt;wsp:rsid wsp:val=&quot;003B2F53&quot;/&gt;&lt;wsp:rsid wsp:val=&quot;003B2FFB&quot;/&gt;&lt;wsp:rsid wsp:val=&quot;003B314E&quot;/&gt;&lt;wsp:rsid wsp:val=&quot;003B315C&quot;/&gt;&lt;wsp:rsid wsp:val=&quot;003B324F&quot;/&gt;&lt;wsp:rsid wsp:val=&quot;003B348B&quot;/&gt;&lt;wsp:rsid wsp:val=&quot;003B3555&quot;/&gt;&lt;wsp:rsid wsp:val=&quot;003B3846&quot;/&gt;&lt;wsp:rsid wsp:val=&quot;003B3B19&quot;/&gt;&lt;wsp:rsid wsp:val=&quot;003B3CFB&quot;/&gt;&lt;wsp:rsid wsp:val=&quot;003B3F4F&quot;/&gt;&lt;wsp:rsid wsp:val=&quot;003B403B&quot;/&gt;&lt;wsp:rsid wsp:val=&quot;003B42CE&quot;/&gt;&lt;wsp:rsid wsp:val=&quot;003B43CA&quot;/&gt;&lt;wsp:rsid wsp:val=&quot;003B44CA&quot;/&gt;&lt;wsp:rsid wsp:val=&quot;003B44FA&quot;/&gt;&lt;wsp:rsid wsp:val=&quot;003B46D5&quot;/&gt;&lt;wsp:rsid wsp:val=&quot;003B4797&quot;/&gt;&lt;wsp:rsid wsp:val=&quot;003B47A4&quot;/&gt;&lt;wsp:rsid wsp:val=&quot;003B47A9&quot;/&gt;&lt;wsp:rsid wsp:val=&quot;003B4A4A&quot;/&gt;&lt;wsp:rsid wsp:val=&quot;003B4AFD&quot;/&gt;&lt;wsp:rsid wsp:val=&quot;003B4BF5&quot;/&gt;&lt;wsp:rsid wsp:val=&quot;003B4F54&quot;/&gt;&lt;wsp:rsid wsp:val=&quot;003B5544&quot;/&gt;&lt;wsp:rsid wsp:val=&quot;003B5C6F&quot;/&gt;&lt;wsp:rsid wsp:val=&quot;003B5D3C&quot;/&gt;&lt;wsp:rsid wsp:val=&quot;003B606B&quot;/&gt;&lt;wsp:rsid wsp:val=&quot;003B621D&quot;/&gt;&lt;wsp:rsid wsp:val=&quot;003B693E&quot;/&gt;&lt;wsp:rsid wsp:val=&quot;003B6AC7&quot;/&gt;&lt;wsp:rsid wsp:val=&quot;003B6BD8&quot;/&gt;&lt;wsp:rsid wsp:val=&quot;003B6F1F&quot;/&gt;&lt;wsp:rsid wsp:val=&quot;003B7409&quot;/&gt;&lt;wsp:rsid wsp:val=&quot;003B74F5&quot;/&gt;&lt;wsp:rsid wsp:val=&quot;003B75E2&quot;/&gt;&lt;wsp:rsid wsp:val=&quot;003B76EB&quot;/&gt;&lt;wsp:rsid wsp:val=&quot;003B7992&quot;/&gt;&lt;wsp:rsid wsp:val=&quot;003B7C52&quot;/&gt;&lt;wsp:rsid wsp:val=&quot;003B7F40&quot;/&gt;&lt;wsp:rsid wsp:val=&quot;003B7F93&quot;/&gt;&lt;wsp:rsid wsp:val=&quot;003B7FB5&quot;/&gt;&lt;wsp:rsid wsp:val=&quot;003C0279&quot;/&gt;&lt;wsp:rsid wsp:val=&quot;003C040B&quot;/&gt;&lt;wsp:rsid wsp:val=&quot;003C047D&quot;/&gt;&lt;wsp:rsid wsp:val=&quot;003C06D5&quot;/&gt;&lt;wsp:rsid wsp:val=&quot;003C071F&quot;/&gt;&lt;wsp:rsid wsp:val=&quot;003C0917&quot;/&gt;&lt;wsp:rsid wsp:val=&quot;003C09B8&quot;/&gt;&lt;wsp:rsid wsp:val=&quot;003C0D2F&quot;/&gt;&lt;wsp:rsid wsp:val=&quot;003C0E1C&quot;/&gt;&lt;wsp:rsid wsp:val=&quot;003C12DD&quot;/&gt;&lt;wsp:rsid wsp:val=&quot;003C1307&quot;/&gt;&lt;wsp:rsid wsp:val=&quot;003C1346&quot;/&gt;&lt;wsp:rsid wsp:val=&quot;003C1520&quot;/&gt;&lt;wsp:rsid wsp:val=&quot;003C1C80&quot;/&gt;&lt;wsp:rsid wsp:val=&quot;003C1EF2&quot;/&gt;&lt;wsp:rsid wsp:val=&quot;003C20B9&quot;/&gt;&lt;wsp:rsid wsp:val=&quot;003C232A&quot;/&gt;&lt;wsp:rsid wsp:val=&quot;003C25A2&quot;/&gt;&lt;wsp:rsid wsp:val=&quot;003C2AFA&quot;/&gt;&lt;wsp:rsid wsp:val=&quot;003C2B41&quot;/&gt;&lt;wsp:rsid wsp:val=&quot;003C2C6D&quot;/&gt;&lt;wsp:rsid wsp:val=&quot;003C35CB&quot;/&gt;&lt;wsp:rsid wsp:val=&quot;003C39EE&quot;/&gt;&lt;wsp:rsid wsp:val=&quot;003C3A50&quot;/&gt;&lt;wsp:rsid wsp:val=&quot;003C4162&quot;/&gt;&lt;wsp:rsid wsp:val=&quot;003C418D&quot;/&gt;&lt;wsp:rsid wsp:val=&quot;003C43C2&quot;/&gt;&lt;wsp:rsid wsp:val=&quot;003C449B&quot;/&gt;&lt;wsp:rsid wsp:val=&quot;003C4757&quot;/&gt;&lt;wsp:rsid wsp:val=&quot;003C48EE&quot;/&gt;&lt;wsp:rsid wsp:val=&quot;003C4A2A&quot;/&gt;&lt;wsp:rsid wsp:val=&quot;003C4B05&quot;/&gt;&lt;wsp:rsid wsp:val=&quot;003C4C8C&quot;/&gt;&lt;wsp:rsid wsp:val=&quot;003C4EAB&quot;/&gt;&lt;wsp:rsid wsp:val=&quot;003C4F1C&quot;/&gt;&lt;wsp:rsid wsp:val=&quot;003C4FAF&quot;/&gt;&lt;wsp:rsid wsp:val=&quot;003C505A&quot;/&gt;&lt;wsp:rsid wsp:val=&quot;003C5150&quot;/&gt;&lt;wsp:rsid wsp:val=&quot;003C5159&quot;/&gt;&lt;wsp:rsid wsp:val=&quot;003C53DC&quot;/&gt;&lt;wsp:rsid wsp:val=&quot;003C5530&quot;/&gt;&lt;wsp:rsid wsp:val=&quot;003C560C&quot;/&gt;&lt;wsp:rsid wsp:val=&quot;003C5727&quot;/&gt;&lt;wsp:rsid wsp:val=&quot;003C5C84&quot;/&gt;&lt;wsp:rsid wsp:val=&quot;003C5DAF&quot;/&gt;&lt;wsp:rsid wsp:val=&quot;003C5E5B&quot;/&gt;&lt;wsp:rsid wsp:val=&quot;003C5F97&quot;/&gt;&lt;wsp:rsid wsp:val=&quot;003C6422&quot;/&gt;&lt;wsp:rsid wsp:val=&quot;003C6579&quot;/&gt;&lt;wsp:rsid wsp:val=&quot;003C661F&quot;/&gt;&lt;wsp:rsid wsp:val=&quot;003C681C&quot;/&gt;&lt;wsp:rsid wsp:val=&quot;003C6AAC&quot;/&gt;&lt;wsp:rsid wsp:val=&quot;003C6DDD&quot;/&gt;&lt;wsp:rsid wsp:val=&quot;003C6E53&quot;/&gt;&lt;wsp:rsid wsp:val=&quot;003C6F63&quot;/&gt;&lt;wsp:rsid wsp:val=&quot;003C7220&quot;/&gt;&lt;wsp:rsid wsp:val=&quot;003C7240&quot;/&gt;&lt;wsp:rsid wsp:val=&quot;003C7504&quot;/&gt;&lt;wsp:rsid wsp:val=&quot;003C7622&quot;/&gt;&lt;wsp:rsid wsp:val=&quot;003C7730&quot;/&gt;&lt;wsp:rsid wsp:val=&quot;003C779D&quot;/&gt;&lt;wsp:rsid wsp:val=&quot;003C7967&quot;/&gt;&lt;wsp:rsid wsp:val=&quot;003C797E&quot;/&gt;&lt;wsp:rsid wsp:val=&quot;003D0568&quot;/&gt;&lt;wsp:rsid wsp:val=&quot;003D05A2&quot;/&gt;&lt;wsp:rsid wsp:val=&quot;003D0905&quot;/&gt;&lt;wsp:rsid wsp:val=&quot;003D0960&quot;/&gt;&lt;wsp:rsid wsp:val=&quot;003D0961&quot;/&gt;&lt;wsp:rsid wsp:val=&quot;003D0983&quot;/&gt;&lt;wsp:rsid wsp:val=&quot;003D0AAE&quot;/&gt;&lt;wsp:rsid wsp:val=&quot;003D0ACA&quot;/&gt;&lt;wsp:rsid wsp:val=&quot;003D0C0F&quot;/&gt;&lt;wsp:rsid wsp:val=&quot;003D10FE&quot;/&gt;&lt;wsp:rsid wsp:val=&quot;003D1391&quot;/&gt;&lt;wsp:rsid wsp:val=&quot;003D13BD&quot;/&gt;&lt;wsp:rsid wsp:val=&quot;003D1448&quot;/&gt;&lt;wsp:rsid wsp:val=&quot;003D14A4&quot;/&gt;&lt;wsp:rsid wsp:val=&quot;003D16AC&quot;/&gt;&lt;wsp:rsid wsp:val=&quot;003D19B1&quot;/&gt;&lt;wsp:rsid wsp:val=&quot;003D1CB1&quot;/&gt;&lt;wsp:rsid wsp:val=&quot;003D1E1E&quot;/&gt;&lt;wsp:rsid wsp:val=&quot;003D1EBD&quot;/&gt;&lt;wsp:rsid wsp:val=&quot;003D20AF&quot;/&gt;&lt;wsp:rsid wsp:val=&quot;003D20CD&quot;/&gt;&lt;wsp:rsid wsp:val=&quot;003D2346&quot;/&gt;&lt;wsp:rsid wsp:val=&quot;003D25EE&quot;/&gt;&lt;wsp:rsid wsp:val=&quot;003D27C1&quot;/&gt;&lt;wsp:rsid wsp:val=&quot;003D2912&quot;/&gt;&lt;wsp:rsid wsp:val=&quot;003D2D51&quot;/&gt;&lt;wsp:rsid wsp:val=&quot;003D2E1C&quot;/&gt;&lt;wsp:rsid wsp:val=&quot;003D2EE9&quot;/&gt;&lt;wsp:rsid wsp:val=&quot;003D3396&quot;/&gt;&lt;wsp:rsid wsp:val=&quot;003D3604&quot;/&gt;&lt;wsp:rsid wsp:val=&quot;003D388F&quot;/&gt;&lt;wsp:rsid wsp:val=&quot;003D39CB&quot;/&gt;&lt;wsp:rsid wsp:val=&quot;003D3EB9&quot;/&gt;&lt;wsp:rsid wsp:val=&quot;003D3F50&quot;/&gt;&lt;wsp:rsid wsp:val=&quot;003D4361&quot;/&gt;&lt;wsp:rsid wsp:val=&quot;003D43FC&quot;/&gt;&lt;wsp:rsid wsp:val=&quot;003D45BC&quot;/&gt;&lt;wsp:rsid wsp:val=&quot;003D4759&quot;/&gt;&lt;wsp:rsid wsp:val=&quot;003D4987&quot;/&gt;&lt;wsp:rsid wsp:val=&quot;003D49AB&quot;/&gt;&lt;wsp:rsid wsp:val=&quot;003D4D9F&quot;/&gt;&lt;wsp:rsid wsp:val=&quot;003D4DF7&quot;/&gt;&lt;wsp:rsid wsp:val=&quot;003D515D&quot;/&gt;&lt;wsp:rsid wsp:val=&quot;003D5524&quot;/&gt;&lt;wsp:rsid wsp:val=&quot;003D57AE&quot;/&gt;&lt;wsp:rsid wsp:val=&quot;003D62D6&quot;/&gt;&lt;wsp:rsid wsp:val=&quot;003D6A6B&quot;/&gt;&lt;wsp:rsid wsp:val=&quot;003D6D52&quot;/&gt;&lt;wsp:rsid wsp:val=&quot;003D73C3&quot;/&gt;&lt;wsp:rsid wsp:val=&quot;003D75BE&quot;/&gt;&lt;wsp:rsid wsp:val=&quot;003D7867&quot;/&gt;&lt;wsp:rsid wsp:val=&quot;003D7970&quot;/&gt;&lt;wsp:rsid wsp:val=&quot;003D799D&quot;/&gt;&lt;wsp:rsid wsp:val=&quot;003D7AFC&quot;/&gt;&lt;wsp:rsid wsp:val=&quot;003D7ECF&quot;/&gt;&lt;wsp:rsid wsp:val=&quot;003E01C1&quot;/&gt;&lt;wsp:rsid wsp:val=&quot;003E02AD&quot;/&gt;&lt;wsp:rsid wsp:val=&quot;003E035F&quot;/&gt;&lt;wsp:rsid wsp:val=&quot;003E03B5&quot;/&gt;&lt;wsp:rsid wsp:val=&quot;003E04A2&quot;/&gt;&lt;wsp:rsid wsp:val=&quot;003E060F&quot;/&gt;&lt;wsp:rsid wsp:val=&quot;003E06BE&quot;/&gt;&lt;wsp:rsid wsp:val=&quot;003E06EB&quot;/&gt;&lt;wsp:rsid wsp:val=&quot;003E075D&quot;/&gt;&lt;wsp:rsid wsp:val=&quot;003E077B&quot;/&gt;&lt;wsp:rsid wsp:val=&quot;003E08E0&quot;/&gt;&lt;wsp:rsid wsp:val=&quot;003E1073&quot;/&gt;&lt;wsp:rsid wsp:val=&quot;003E1091&quot;/&gt;&lt;wsp:rsid wsp:val=&quot;003E1157&quot;/&gt;&lt;wsp:rsid wsp:val=&quot;003E1956&quot;/&gt;&lt;wsp:rsid wsp:val=&quot;003E1A4B&quot;/&gt;&lt;wsp:rsid wsp:val=&quot;003E1B61&quot;/&gt;&lt;wsp:rsid wsp:val=&quot;003E1D07&quot;/&gt;&lt;wsp:rsid wsp:val=&quot;003E20CE&quot;/&gt;&lt;wsp:rsid wsp:val=&quot;003E27E0&quot;/&gt;&lt;wsp:rsid wsp:val=&quot;003E2B4B&quot;/&gt;&lt;wsp:rsid wsp:val=&quot;003E2B5F&quot;/&gt;&lt;wsp:rsid wsp:val=&quot;003E2BD4&quot;/&gt;&lt;wsp:rsid wsp:val=&quot;003E2D21&quot;/&gt;&lt;wsp:rsid wsp:val=&quot;003E2EE7&quot;/&gt;&lt;wsp:rsid wsp:val=&quot;003E3030&quot;/&gt;&lt;wsp:rsid wsp:val=&quot;003E3102&quot;/&gt;&lt;wsp:rsid wsp:val=&quot;003E32D6&quot;/&gt;&lt;wsp:rsid wsp:val=&quot;003E34D7&quot;/&gt;&lt;wsp:rsid wsp:val=&quot;003E36AA&quot;/&gt;&lt;wsp:rsid wsp:val=&quot;003E398B&quot;/&gt;&lt;wsp:rsid wsp:val=&quot;003E39C4&quot;/&gt;&lt;wsp:rsid wsp:val=&quot;003E3A7F&quot;/&gt;&lt;wsp:rsid wsp:val=&quot;003E3ACF&quot;/&gt;&lt;wsp:rsid wsp:val=&quot;003E3AD1&quot;/&gt;&lt;wsp:rsid wsp:val=&quot;003E3C2C&quot;/&gt;&lt;wsp:rsid wsp:val=&quot;003E3E2A&quot;/&gt;&lt;wsp:rsid wsp:val=&quot;003E40DE&quot;/&gt;&lt;wsp:rsid wsp:val=&quot;003E419A&quot;/&gt;&lt;wsp:rsid wsp:val=&quot;003E41D4&quot;/&gt;&lt;wsp:rsid wsp:val=&quot;003E41E6&quot;/&gt;&lt;wsp:rsid wsp:val=&quot;003E426B&quot;/&gt;&lt;wsp:rsid wsp:val=&quot;003E43ED&quot;/&gt;&lt;wsp:rsid wsp:val=&quot;003E43F3&quot;/&gt;&lt;wsp:rsid wsp:val=&quot;003E448E&quot;/&gt;&lt;wsp:rsid wsp:val=&quot;003E48CA&quot;/&gt;&lt;wsp:rsid wsp:val=&quot;003E4CF0&quot;/&gt;&lt;wsp:rsid wsp:val=&quot;003E4DE9&quot;/&gt;&lt;wsp:rsid wsp:val=&quot;003E52D4&quot;/&gt;&lt;wsp:rsid wsp:val=&quot;003E550F&quot;/&gt;&lt;wsp:rsid wsp:val=&quot;003E578C&quot;/&gt;&lt;wsp:rsid wsp:val=&quot;003E5A75&quot;/&gt;&lt;wsp:rsid wsp:val=&quot;003E5CF9&quot;/&gt;&lt;wsp:rsid wsp:val=&quot;003E5D3F&quot;/&gt;&lt;wsp:rsid wsp:val=&quot;003E5D64&quot;/&gt;&lt;wsp:rsid wsp:val=&quot;003E5D9D&quot;/&gt;&lt;wsp:rsid wsp:val=&quot;003E5DD4&quot;/&gt;&lt;wsp:rsid wsp:val=&quot;003E5FA0&quot;/&gt;&lt;wsp:rsid wsp:val=&quot;003E5FA5&quot;/&gt;&lt;wsp:rsid wsp:val=&quot;003E6218&quot;/&gt;&lt;wsp:rsid wsp:val=&quot;003E623F&quot;/&gt;&lt;wsp:rsid wsp:val=&quot;003E6402&quot;/&gt;&lt;wsp:rsid wsp:val=&quot;003E6777&quot;/&gt;&lt;wsp:rsid wsp:val=&quot;003E67FE&quot;/&gt;&lt;wsp:rsid wsp:val=&quot;003E68EC&quot;/&gt;&lt;wsp:rsid wsp:val=&quot;003E69E2&quot;/&gt;&lt;wsp:rsid wsp:val=&quot;003E6AE2&quot;/&gt;&lt;wsp:rsid wsp:val=&quot;003E6D78&quot;/&gt;&lt;wsp:rsid wsp:val=&quot;003E6DF0&quot;/&gt;&lt;wsp:rsid wsp:val=&quot;003E6E12&quot;/&gt;&lt;wsp:rsid wsp:val=&quot;003E713A&quot;/&gt;&lt;wsp:rsid wsp:val=&quot;003E7564&quot;/&gt;&lt;wsp:rsid wsp:val=&quot;003E75D6&quot;/&gt;&lt;wsp:rsid wsp:val=&quot;003E7653&quot;/&gt;&lt;wsp:rsid wsp:val=&quot;003E76A9&quot;/&gt;&lt;wsp:rsid wsp:val=&quot;003E7770&quot;/&gt;&lt;wsp:rsid wsp:val=&quot;003E7D12&quot;/&gt;&lt;wsp:rsid wsp:val=&quot;003E7DA7&quot;/&gt;&lt;wsp:rsid wsp:val=&quot;003E7DBD&quot;/&gt;&lt;wsp:rsid wsp:val=&quot;003F00D7&quot;/&gt;&lt;wsp:rsid wsp:val=&quot;003F0307&quot;/&gt;&lt;wsp:rsid wsp:val=&quot;003F031D&quot;/&gt;&lt;wsp:rsid wsp:val=&quot;003F03BD&quot;/&gt;&lt;wsp:rsid wsp:val=&quot;003F040B&quot;/&gt;&lt;wsp:rsid wsp:val=&quot;003F0643&quot;/&gt;&lt;wsp:rsid wsp:val=&quot;003F0AEA&quot;/&gt;&lt;wsp:rsid wsp:val=&quot;003F0C68&quot;/&gt;&lt;wsp:rsid wsp:val=&quot;003F0D96&quot;/&gt;&lt;wsp:rsid wsp:val=&quot;003F0EE3&quot;/&gt;&lt;wsp:rsid wsp:val=&quot;003F0EF8&quot;/&gt;&lt;wsp:rsid wsp:val=&quot;003F1192&quot;/&gt;&lt;wsp:rsid wsp:val=&quot;003F11D4&quot;/&gt;&lt;wsp:rsid wsp:val=&quot;003F1501&quot;/&gt;&lt;wsp:rsid wsp:val=&quot;003F156D&quot;/&gt;&lt;wsp:rsid wsp:val=&quot;003F16A3&quot;/&gt;&lt;wsp:rsid wsp:val=&quot;003F182B&quot;/&gt;&lt;wsp:rsid wsp:val=&quot;003F192A&quot;/&gt;&lt;wsp:rsid wsp:val=&quot;003F1B14&quot;/&gt;&lt;wsp:rsid wsp:val=&quot;003F1C17&quot;/&gt;&lt;wsp:rsid wsp:val=&quot;003F2539&quot;/&gt;&lt;wsp:rsid wsp:val=&quot;003F2561&quot;/&gt;&lt;wsp:rsid wsp:val=&quot;003F2876&quot;/&gt;&lt;wsp:rsid wsp:val=&quot;003F2991&quot;/&gt;&lt;wsp:rsid wsp:val=&quot;003F2EE6&quot;/&gt;&lt;wsp:rsid wsp:val=&quot;003F2F8E&quot;/&gt;&lt;wsp:rsid wsp:val=&quot;003F31E4&quot;/&gt;&lt;wsp:rsid wsp:val=&quot;003F383F&quot;/&gt;&lt;wsp:rsid wsp:val=&quot;003F3A28&quot;/&gt;&lt;wsp:rsid wsp:val=&quot;003F3CAE&quot;/&gt;&lt;wsp:rsid wsp:val=&quot;003F3E3A&quot;/&gt;&lt;wsp:rsid wsp:val=&quot;003F3F2C&quot;/&gt;&lt;wsp:rsid wsp:val=&quot;003F4077&quot;/&gt;&lt;wsp:rsid wsp:val=&quot;003F4088&quot;/&gt;&lt;wsp:rsid wsp:val=&quot;003F43B3&quot;/&gt;&lt;wsp:rsid wsp:val=&quot;003F43C6&quot;/&gt;&lt;wsp:rsid wsp:val=&quot;003F4450&quot;/&gt;&lt;wsp:rsid wsp:val=&quot;003F44CD&quot;/&gt;&lt;wsp:rsid wsp:val=&quot;003F44D1&quot;/&gt;&lt;wsp:rsid wsp:val=&quot;003F46E2&quot;/&gt;&lt;wsp:rsid wsp:val=&quot;003F47CF&quot;/&gt;&lt;wsp:rsid wsp:val=&quot;003F48A9&quot;/&gt;&lt;wsp:rsid wsp:val=&quot;003F53E5&quot;/&gt;&lt;wsp:rsid wsp:val=&quot;003F551E&quot;/&gt;&lt;wsp:rsid wsp:val=&quot;003F56D5&quot;/&gt;&lt;wsp:rsid wsp:val=&quot;003F56F8&quot;/&gt;&lt;wsp:rsid wsp:val=&quot;003F5738&quot;/&gt;&lt;wsp:rsid wsp:val=&quot;003F59A3&quot;/&gt;&lt;wsp:rsid wsp:val=&quot;003F59EF&quot;/&gt;&lt;wsp:rsid wsp:val=&quot;003F5BA8&quot;/&gt;&lt;wsp:rsid wsp:val=&quot;003F5EF1&quot;/&gt;&lt;wsp:rsid wsp:val=&quot;003F63F1&quot;/&gt;&lt;wsp:rsid wsp:val=&quot;003F644F&quot;/&gt;&lt;wsp:rsid wsp:val=&quot;003F6594&quot;/&gt;&lt;wsp:rsid wsp:val=&quot;003F65E9&quot;/&gt;&lt;wsp:rsid wsp:val=&quot;003F66AE&quot;/&gt;&lt;wsp:rsid wsp:val=&quot;003F6779&quot;/&gt;&lt;wsp:rsid wsp:val=&quot;003F6D16&quot;/&gt;&lt;wsp:rsid wsp:val=&quot;003F6F83&quot;/&gt;&lt;wsp:rsid wsp:val=&quot;003F6FB4&quot;/&gt;&lt;wsp:rsid wsp:val=&quot;003F7365&quot;/&gt;&lt;wsp:rsid wsp:val=&quot;003F73F6&quot;/&gt;&lt;wsp:rsid wsp:val=&quot;003F74E3&quot;/&gt;&lt;wsp:rsid wsp:val=&quot;003F7524&quot;/&gt;&lt;wsp:rsid wsp:val=&quot;003F7577&quot;/&gt;&lt;wsp:rsid wsp:val=&quot;003F7635&quot;/&gt;&lt;wsp:rsid wsp:val=&quot;003F7931&quot;/&gt;&lt;wsp:rsid wsp:val=&quot;003F7966&quot;/&gt;&lt;wsp:rsid wsp:val=&quot;003F79EA&quot;/&gt;&lt;wsp:rsid wsp:val=&quot;003F7B16&quot;/&gt;&lt;wsp:rsid wsp:val=&quot;003F7D40&quot;/&gt;&lt;wsp:rsid wsp:val=&quot;003F7D73&quot;/&gt;&lt;wsp:rsid wsp:val=&quot;003F7E2F&quot;/&gt;&lt;wsp:rsid wsp:val=&quot;0040012A&quot;/&gt;&lt;wsp:rsid wsp:val=&quot;004001F7&quot;/&gt;&lt;wsp:rsid wsp:val=&quot;00400226&quot;/&gt;&lt;wsp:rsid wsp:val=&quot;004002D6&quot;/&gt;&lt;wsp:rsid wsp:val=&quot;00400487&quot;/&gt;&lt;wsp:rsid wsp:val=&quot;00400887&quot;/&gt;&lt;wsp:rsid wsp:val=&quot;004012DA&quot;/&gt;&lt;wsp:rsid wsp:val=&quot;00401336&quot;/&gt;&lt;wsp:rsid wsp:val=&quot;0040161F&quot;/&gt;&lt;wsp:rsid wsp:val=&quot;0040175A&quot;/&gt;&lt;wsp:rsid wsp:val=&quot;00401A25&quot;/&gt;&lt;wsp:rsid wsp:val=&quot;00401A4E&quot;/&gt;&lt;wsp:rsid wsp:val=&quot;00401DD0&quot;/&gt;&lt;wsp:rsid wsp:val=&quot;00401F2D&quot;/&gt;&lt;wsp:rsid wsp:val=&quot;00402173&quot;/&gt;&lt;wsp:rsid wsp:val=&quot;004029E8&quot;/&gt;&lt;wsp:rsid wsp:val=&quot;00402A4B&quot;/&gt;&lt;wsp:rsid wsp:val=&quot;00402A54&quot;/&gt;&lt;wsp:rsid wsp:val=&quot;00402B34&quot;/&gt;&lt;wsp:rsid wsp:val=&quot;00402DBA&quot;/&gt;&lt;wsp:rsid wsp:val=&quot;00403211&quot;/&gt;&lt;wsp:rsid wsp:val=&quot;004032F8&quot;/&gt;&lt;wsp:rsid wsp:val=&quot;004035DA&quot;/&gt;&lt;wsp:rsid wsp:val=&quot;004035FC&quot;/&gt;&lt;wsp:rsid wsp:val=&quot;00403989&quot;/&gt;&lt;wsp:rsid wsp:val=&quot;00403A06&quot;/&gt;&lt;wsp:rsid wsp:val=&quot;00403AE7&quot;/&gt;&lt;wsp:rsid wsp:val=&quot;00403D7C&quot;/&gt;&lt;wsp:rsid wsp:val=&quot;00403F5B&quot;/&gt;&lt;wsp:rsid wsp:val=&quot;00403FF6&quot;/&gt;&lt;wsp:rsid wsp:val=&quot;00404140&quot;/&gt;&lt;wsp:rsid wsp:val=&quot;00404374&quot;/&gt;&lt;wsp:rsid wsp:val=&quot;00404718&quot;/&gt;&lt;wsp:rsid wsp:val=&quot;00404785&quot;/&gt;&lt;wsp:rsid wsp:val=&quot;004047D7&quot;/&gt;&lt;wsp:rsid wsp:val=&quot;004048E1&quot;/&gt;&lt;wsp:rsid wsp:val=&quot;00404942&quot;/&gt;&lt;wsp:rsid wsp:val=&quot;00404BCF&quot;/&gt;&lt;wsp:rsid wsp:val=&quot;00405333&quot;/&gt;&lt;wsp:rsid wsp:val=&quot;00405370&quot;/&gt;&lt;wsp:rsid wsp:val=&quot;0040537B&quot;/&gt;&lt;wsp:rsid wsp:val=&quot;00405389&quot;/&gt;&lt;wsp:rsid wsp:val=&quot;00405545&quot;/&gt;&lt;wsp:rsid wsp:val=&quot;004056FB&quot;/&gt;&lt;wsp:rsid wsp:val=&quot;004058DC&quot;/&gt;&lt;wsp:rsid wsp:val=&quot;00405A32&quot;/&gt;&lt;wsp:rsid wsp:val=&quot;00405CBA&quot;/&gt;&lt;wsp:rsid wsp:val=&quot;00405D7C&quot;/&gt;&lt;wsp:rsid wsp:val=&quot;00405F81&quot;/&gt;&lt;wsp:rsid wsp:val=&quot;00406462&quot;/&gt;&lt;wsp:rsid wsp:val=&quot;00406488&quot;/&gt;&lt;wsp:rsid wsp:val=&quot;004065EA&quot;/&gt;&lt;wsp:rsid wsp:val=&quot;0040680E&quot;/&gt;&lt;wsp:rsid wsp:val=&quot;00406857&quot;/&gt;&lt;wsp:rsid wsp:val=&quot;00406D1F&quot;/&gt;&lt;wsp:rsid wsp:val=&quot;00406D2A&quot;/&gt;&lt;wsp:rsid wsp:val=&quot;00406D40&quot;/&gt;&lt;wsp:rsid wsp:val=&quot;00406D48&quot;/&gt;&lt;wsp:rsid wsp:val=&quot;00407018&quot;/&gt;&lt;wsp:rsid wsp:val=&quot;004070B8&quot;/&gt;&lt;wsp:rsid wsp:val=&quot;004073AD&quot;/&gt;&lt;wsp:rsid wsp:val=&quot;00407803&quot;/&gt;&lt;wsp:rsid wsp:val=&quot;00407AEB&quot;/&gt;&lt;wsp:rsid wsp:val=&quot;00407C02&quot;/&gt;&lt;wsp:rsid wsp:val=&quot;00407D6C&quot;/&gt;&lt;wsp:rsid wsp:val=&quot;00410409&quot;/&gt;&lt;wsp:rsid wsp:val=&quot;004104D6&quot;/&gt;&lt;wsp:rsid wsp:val=&quot;004104FB&quot;/&gt;&lt;wsp:rsid wsp:val=&quot;004106C8&quot;/&gt;&lt;wsp:rsid wsp:val=&quot;00410B4F&quot;/&gt;&lt;wsp:rsid wsp:val=&quot;00410C54&quot;/&gt;&lt;wsp:rsid wsp:val=&quot;00410EDC&quot;/&gt;&lt;wsp:rsid wsp:val=&quot;00411305&quot;/&gt;&lt;wsp:rsid wsp:val=&quot;004113EB&quot;/&gt;&lt;wsp:rsid wsp:val=&quot;0041144A&quot;/&gt;&lt;wsp:rsid wsp:val=&quot;00411648&quot;/&gt;&lt;wsp:rsid wsp:val=&quot;00411671&quot;/&gt;&lt;wsp:rsid wsp:val=&quot;004118D6&quot;/&gt;&lt;wsp:rsid wsp:val=&quot;00411EC6&quot;/&gt;&lt;wsp:rsid wsp:val=&quot;00412042&quot;/&gt;&lt;wsp:rsid wsp:val=&quot;00412497&quot;/&gt;&lt;wsp:rsid wsp:val=&quot;0041256D&quot;/&gt;&lt;wsp:rsid wsp:val=&quot;00412B25&quot;/&gt;&lt;wsp:rsid wsp:val=&quot;00412CB5&quot;/&gt;&lt;wsp:rsid wsp:val=&quot;00412D40&quot;/&gt;&lt;wsp:rsid wsp:val=&quot;00412DED&quot;/&gt;&lt;wsp:rsid wsp:val=&quot;0041315D&quot;/&gt;&lt;wsp:rsid wsp:val=&quot;00413300&quot;/&gt;&lt;wsp:rsid wsp:val=&quot;00413905&quot;/&gt;&lt;wsp:rsid wsp:val=&quot;00414076&quot;/&gt;&lt;wsp:rsid wsp:val=&quot;004146D0&quot;/&gt;&lt;wsp:rsid wsp:val=&quot;004148D6&quot;/&gt;&lt;wsp:rsid wsp:val=&quot;004148DF&quot;/&gt;&lt;wsp:rsid wsp:val=&quot;00414C56&quot;/&gt;&lt;wsp:rsid wsp:val=&quot;00414F34&quot;/&gt;&lt;wsp:rsid wsp:val=&quot;0041508C&quot;/&gt;&lt;wsp:rsid wsp:val=&quot;00415644&quot;/&gt;&lt;wsp:rsid wsp:val=&quot;004157CE&quot;/&gt;&lt;wsp:rsid wsp:val=&quot;0041585E&quot;/&gt;&lt;wsp:rsid wsp:val=&quot;00415B5F&quot;/&gt;&lt;wsp:rsid wsp:val=&quot;00415B75&quot;/&gt;&lt;wsp:rsid wsp:val=&quot;00415F6D&quot;/&gt;&lt;wsp:rsid wsp:val=&quot;00416512&quot;/&gt;&lt;wsp:rsid wsp:val=&quot;00416648&quot;/&gt;&lt;wsp:rsid wsp:val=&quot;00416683&quot;/&gt;&lt;wsp:rsid wsp:val=&quot;0041684A&quot;/&gt;&lt;wsp:rsid wsp:val=&quot;004169FA&quot;/&gt;&lt;wsp:rsid wsp:val=&quot;00416B95&quot;/&gt;&lt;wsp:rsid wsp:val=&quot;00416BC9&quot;/&gt;&lt;wsp:rsid wsp:val=&quot;00416C87&quot;/&gt;&lt;wsp:rsid wsp:val=&quot;004170B6&quot;/&gt;&lt;wsp:rsid wsp:val=&quot;004171F7&quot;/&gt;&lt;wsp:rsid wsp:val=&quot;00417224&quot;/&gt;&lt;wsp:rsid wsp:val=&quot;00417240&quot;/&gt;&lt;wsp:rsid wsp:val=&quot;00417348&quot;/&gt;&lt;wsp:rsid wsp:val=&quot;00417470&quot;/&gt;&lt;wsp:rsid wsp:val=&quot;004179C8&quot;/&gt;&lt;wsp:rsid wsp:val=&quot;00417AFF&quot;/&gt;&lt;wsp:rsid wsp:val=&quot;00417C3B&quot;/&gt;&lt;wsp:rsid wsp:val=&quot;00420052&quot;/&gt;&lt;wsp:rsid wsp:val=&quot;004204B4&quot;/&gt;&lt;wsp:rsid wsp:val=&quot;0042055F&quot;/&gt;&lt;wsp:rsid wsp:val=&quot;00420951&quot;/&gt;&lt;wsp:rsid wsp:val=&quot;00420A35&quot;/&gt;&lt;wsp:rsid wsp:val=&quot;00420B5C&quot;/&gt;&lt;wsp:rsid wsp:val=&quot;00420CBF&quot;/&gt;&lt;wsp:rsid wsp:val=&quot;00421178&quot;/&gt;&lt;wsp:rsid wsp:val=&quot;004211CA&quot;/&gt;&lt;wsp:rsid wsp:val=&quot;004214B1&quot;/&gt;&lt;wsp:rsid wsp:val=&quot;00421867&quot;/&gt;&lt;wsp:rsid wsp:val=&quot;0042187B&quot;/&gt;&lt;wsp:rsid wsp:val=&quot;00421969&quot;/&gt;&lt;wsp:rsid wsp:val=&quot;00421E25&quot;/&gt;&lt;wsp:rsid wsp:val=&quot;004222BC&quot;/&gt;&lt;wsp:rsid wsp:val=&quot;0042246F&quot;/&gt;&lt;wsp:rsid wsp:val=&quot;0042254A&quot;/&gt;&lt;wsp:rsid wsp:val=&quot;004226C6&quot;/&gt;&lt;wsp:rsid wsp:val=&quot;00423131&quot;/&gt;&lt;wsp:rsid wsp:val=&quot;004231CD&quot;/&gt;&lt;wsp:rsid wsp:val=&quot;0042336E&quot;/&gt;&lt;wsp:rsid wsp:val=&quot;004235E3&quot;/&gt;&lt;wsp:rsid wsp:val=&quot;0042363D&quot;/&gt;&lt;wsp:rsid wsp:val=&quot;004239C9&quot;/&gt;&lt;wsp:rsid wsp:val=&quot;00423A53&quot;/&gt;&lt;wsp:rsid wsp:val=&quot;00423A76&quot;/&gt;&lt;wsp:rsid wsp:val=&quot;00423D50&quot;/&gt;&lt;wsp:rsid wsp:val=&quot;004241ED&quot;/&gt;&lt;wsp:rsid wsp:val=&quot;00424519&quot;/&gt;&lt;wsp:rsid wsp:val=&quot;0042456A&quot;/&gt;&lt;wsp:rsid wsp:val=&quot;004245B7&quot;/&gt;&lt;wsp:rsid wsp:val=&quot;004245FB&quot;/&gt;&lt;wsp:rsid wsp:val=&quot;004246BC&quot;/&gt;&lt;wsp:rsid wsp:val=&quot;00424963&quot;/&gt;&lt;wsp:rsid wsp:val=&quot;00424B64&quot;/&gt;&lt;wsp:rsid wsp:val=&quot;00424C00&quot;/&gt;&lt;wsp:rsid wsp:val=&quot;00424C21&quot;/&gt;&lt;wsp:rsid wsp:val=&quot;00424D0D&quot;/&gt;&lt;wsp:rsid wsp:val=&quot;00424DD2&quot;/&gt;&lt;wsp:rsid wsp:val=&quot;00425094&quot;/&gt;&lt;wsp:rsid wsp:val=&quot;0042515C&quot;/&gt;&lt;wsp:rsid wsp:val=&quot;00425270&quot;/&gt;&lt;wsp:rsid wsp:val=&quot;004253EE&quot;/&gt;&lt;wsp:rsid wsp:val=&quot;0042541A&quot;/&gt;&lt;wsp:rsid wsp:val=&quot;0042550D&quot;/&gt;&lt;wsp:rsid wsp:val=&quot;00425A02&quot;/&gt;&lt;wsp:rsid wsp:val=&quot;00425A50&quot;/&gt;&lt;wsp:rsid wsp:val=&quot;00425C7D&quot;/&gt;&lt;wsp:rsid wsp:val=&quot;00425D5A&quot;/&gt;&lt;wsp:rsid wsp:val=&quot;00425D68&quot;/&gt;&lt;wsp:rsid wsp:val=&quot;00425F14&quot;/&gt;&lt;wsp:rsid wsp:val=&quot;0042624D&quot;/&gt;&lt;wsp:rsid wsp:val=&quot;00426315&quot;/&gt;&lt;wsp:rsid wsp:val=&quot;0042638F&quot;/&gt;&lt;wsp:rsid wsp:val=&quot;00426442&quot;/&gt;&lt;wsp:rsid wsp:val=&quot;00426BBD&quot;/&gt;&lt;wsp:rsid wsp:val=&quot;0042709C&quot;/&gt;&lt;wsp:rsid wsp:val=&quot;00427296&quot;/&gt;&lt;wsp:rsid wsp:val=&quot;004272FB&quot;/&gt;&lt;wsp:rsid wsp:val=&quot;004275BB&quot;/&gt;&lt;wsp:rsid wsp:val=&quot;0042772A&quot;/&gt;&lt;wsp:rsid wsp:val=&quot;0042774D&quot;/&gt;&lt;wsp:rsid wsp:val=&quot;00427884&quot;/&gt;&lt;wsp:rsid wsp:val=&quot;004278BD&quot;/&gt;&lt;wsp:rsid wsp:val=&quot;004278DF&quot;/&gt;&lt;wsp:rsid wsp:val=&quot;00427AD1&quot;/&gt;&lt;wsp:rsid wsp:val=&quot;00427C47&quot;/&gt;&lt;wsp:rsid wsp:val=&quot;00427FF2&quot;/&gt;&lt;wsp:rsid wsp:val=&quot;00430229&quot;/&gt;&lt;wsp:rsid wsp:val=&quot;004306C2&quot;/&gt;&lt;wsp:rsid wsp:val=&quot;00430A2D&quot;/&gt;&lt;wsp:rsid wsp:val=&quot;00430A79&quot;/&gt;&lt;wsp:rsid wsp:val=&quot;00430AC3&quot;/&gt;&lt;wsp:rsid wsp:val=&quot;00430AD8&quot;/&gt;&lt;wsp:rsid wsp:val=&quot;00430C3C&quot;/&gt;&lt;wsp:rsid wsp:val=&quot;00430DFB&quot;/&gt;&lt;wsp:rsid wsp:val=&quot;00430F78&quot;/&gt;&lt;wsp:rsid wsp:val=&quot;00431236&quot;/&gt;&lt;wsp:rsid wsp:val=&quot;0043148D&quot;/&gt;&lt;wsp:rsid wsp:val=&quot;00431673&quot;/&gt;&lt;wsp:rsid wsp:val=&quot;004318EE&quot;/&gt;&lt;wsp:rsid wsp:val=&quot;004319E4&quot;/&gt;&lt;wsp:rsid wsp:val=&quot;00431CC5&quot;/&gt;&lt;wsp:rsid wsp:val=&quot;00431DD2&quot;/&gt;&lt;wsp:rsid wsp:val=&quot;00431E2E&quot;/&gt;&lt;wsp:rsid wsp:val=&quot;00431F8A&quot;/&gt;&lt;wsp:rsid wsp:val=&quot;00431FA0&quot;/&gt;&lt;wsp:rsid wsp:val=&quot;0043222A&quot;/&gt;&lt;wsp:rsid wsp:val=&quot;004322EB&quot;/&gt;&lt;wsp:rsid wsp:val=&quot;004323FF&quot;/&gt;&lt;wsp:rsid wsp:val=&quot;0043244D&quot;/&gt;&lt;wsp:rsid wsp:val=&quot;004324BD&quot;/&gt;&lt;wsp:rsid wsp:val=&quot;0043254D&quot;/&gt;&lt;wsp:rsid wsp:val=&quot;004325EA&quot;/&gt;&lt;wsp:rsid wsp:val=&quot;004326D5&quot;/&gt;&lt;wsp:rsid wsp:val=&quot;004326EC&quot;/&gt;&lt;wsp:rsid wsp:val=&quot;0043276E&quot;/&gt;&lt;wsp:rsid wsp:val=&quot;00432D2C&quot;/&gt;&lt;wsp:rsid wsp:val=&quot;00432E30&quot;/&gt;&lt;wsp:rsid wsp:val=&quot;004331BD&quot;/&gt;&lt;wsp:rsid wsp:val=&quot;004331ED&quot;/&gt;&lt;wsp:rsid wsp:val=&quot;0043324B&quot;/&gt;&lt;wsp:rsid wsp:val=&quot;004334CF&quot;/&gt;&lt;wsp:rsid wsp:val=&quot;004335A1&quot;/&gt;&lt;wsp:rsid wsp:val=&quot;0043367D&quot;/&gt;&lt;wsp:rsid wsp:val=&quot;00433811&quot;/&gt;&lt;wsp:rsid wsp:val=&quot;004339FF&quot;/&gt;&lt;wsp:rsid wsp:val=&quot;00433B61&quot;/&gt;&lt;wsp:rsid wsp:val=&quot;00433BB2&quot;/&gt;&lt;wsp:rsid wsp:val=&quot;00433F2F&quot;/&gt;&lt;wsp:rsid wsp:val=&quot;00434380&quot;/&gt;&lt;wsp:rsid wsp:val=&quot;004349E6&quot;/&gt;&lt;wsp:rsid wsp:val=&quot;00434A4B&quot;/&gt;&lt;wsp:rsid wsp:val=&quot;00434B67&quot;/&gt;&lt;wsp:rsid wsp:val=&quot;00434B96&quot;/&gt;&lt;wsp:rsid wsp:val=&quot;0043500A&quot;/&gt;&lt;wsp:rsid wsp:val=&quot;004354F4&quot;/&gt;&lt;wsp:rsid wsp:val=&quot;004357EE&quot;/&gt;&lt;wsp:rsid wsp:val=&quot;004357F2&quot;/&gt;&lt;wsp:rsid wsp:val=&quot;00435A48&quot;/&gt;&lt;wsp:rsid wsp:val=&quot;004363D9&quot;/&gt;&lt;wsp:rsid wsp:val=&quot;00436401&quot;/&gt;&lt;wsp:rsid wsp:val=&quot;00436468&quot;/&gt;&lt;wsp:rsid wsp:val=&quot;004365AD&quot;/&gt;&lt;wsp:rsid wsp:val=&quot;0043684B&quot;/&gt;&lt;wsp:rsid wsp:val=&quot;00436874&quot;/&gt;&lt;wsp:rsid wsp:val=&quot;004368FF&quot;/&gt;&lt;wsp:rsid wsp:val=&quot;00436A82&quot;/&gt;&lt;wsp:rsid wsp:val=&quot;00436E0F&quot;/&gt;&lt;wsp:rsid wsp:val=&quot;00436FB0&quot;/&gt;&lt;wsp:rsid wsp:val=&quot;004374F4&quot;/&gt;&lt;wsp:rsid wsp:val=&quot;004376F9&quot;/&gt;&lt;wsp:rsid wsp:val=&quot;004377DE&quot;/&gt;&lt;wsp:rsid wsp:val=&quot;00440001&quot;/&gt;&lt;wsp:rsid wsp:val=&quot;0044045C&quot;/&gt;&lt;wsp:rsid wsp:val=&quot;004404E9&quot;/&gt;&lt;wsp:rsid wsp:val=&quot;004407B3&quot;/&gt;&lt;wsp:rsid wsp:val=&quot;00440BB3&quot;/&gt;&lt;wsp:rsid wsp:val=&quot;00440CE6&quot;/&gt;&lt;wsp:rsid wsp:val=&quot;00440D82&quot;/&gt;&lt;wsp:rsid wsp:val=&quot;00440DDC&quot;/&gt;&lt;wsp:rsid wsp:val=&quot;00440E13&quot;/&gt;&lt;wsp:rsid wsp:val=&quot;004410DC&quot;/&gt;&lt;wsp:rsid wsp:val=&quot;0044116C&quot;/&gt;&lt;wsp:rsid wsp:val=&quot;0044147F&quot;/&gt;&lt;wsp:rsid wsp:val=&quot;0044150D&quot;/&gt;&lt;wsp:rsid wsp:val=&quot;00441C7E&quot;/&gt;&lt;wsp:rsid wsp:val=&quot;0044209A&quot;/&gt;&lt;wsp:rsid wsp:val=&quot;00442242&quot;/&gt;&lt;wsp:rsid wsp:val=&quot;0044234C&quot;/&gt;&lt;wsp:rsid wsp:val=&quot;004424EF&quot;/&gt;&lt;wsp:rsid wsp:val=&quot;00442D56&quot;/&gt;&lt;wsp:rsid wsp:val=&quot;004431DD&quot;/&gt;&lt;wsp:rsid wsp:val=&quot;00443582&quot;/&gt;&lt;wsp:rsid wsp:val=&quot;004436DD&quot;/&gt;&lt;wsp:rsid wsp:val=&quot;00443908&quot;/&gt;&lt;wsp:rsid wsp:val=&quot;004439BE&quot;/&gt;&lt;wsp:rsid wsp:val=&quot;004439E7&quot;/&gt;&lt;wsp:rsid wsp:val=&quot;00443AC4&quot;/&gt;&lt;wsp:rsid wsp:val=&quot;00443EDD&quot;/&gt;&lt;wsp:rsid wsp:val=&quot;00444072&quot;/&gt;&lt;wsp:rsid wsp:val=&quot;00444292&quot;/&gt;&lt;wsp:rsid wsp:val=&quot;004443A0&quot;/&gt;&lt;wsp:rsid wsp:val=&quot;00444592&quot;/&gt;&lt;wsp:rsid wsp:val=&quot;0044469A&quot;/&gt;&lt;wsp:rsid wsp:val=&quot;00444827&quot;/&gt;&lt;wsp:rsid wsp:val=&quot;004448AF&quot;/&gt;&lt;wsp:rsid wsp:val=&quot;00444AD4&quot;/&gt;&lt;wsp:rsid wsp:val=&quot;00444C5E&quot;/&gt;&lt;wsp:rsid wsp:val=&quot;00444D33&quot;/&gt;&lt;wsp:rsid wsp:val=&quot;00444E05&quot;/&gt;&lt;wsp:rsid wsp:val=&quot;00445196&quot;/&gt;&lt;wsp:rsid wsp:val=&quot;004454F8&quot;/&gt;&lt;wsp:rsid wsp:val=&quot;00445588&quot;/&gt;&lt;wsp:rsid wsp:val=&quot;00445757&quot;/&gt;&lt;wsp:rsid wsp:val=&quot;00445A88&quot;/&gt;&lt;wsp:rsid wsp:val=&quot;00445C1F&quot;/&gt;&lt;wsp:rsid wsp:val=&quot;00445C93&quot;/&gt;&lt;wsp:rsid wsp:val=&quot;0044675B&quot;/&gt;&lt;wsp:rsid wsp:val=&quot;00446D0D&quot;/&gt;&lt;wsp:rsid wsp:val=&quot;00446D4A&quot;/&gt;&lt;wsp:rsid wsp:val=&quot;00446FBA&quot;/&gt;&lt;wsp:rsid wsp:val=&quot;0044705D&quot;/&gt;&lt;wsp:rsid wsp:val=&quot;004474D4&quot;/&gt;&lt;wsp:rsid wsp:val=&quot;00447698&quot;/&gt;&lt;wsp:rsid wsp:val=&quot;00447751&quot;/&gt;&lt;wsp:rsid wsp:val=&quot;00447E08&quot;/&gt;&lt;wsp:rsid wsp:val=&quot;00450040&quot;/&gt;&lt;wsp:rsid wsp:val=&quot;004505D3&quot;/&gt;&lt;wsp:rsid wsp:val=&quot;004505F9&quot;/&gt;&lt;wsp:rsid wsp:val=&quot;004509F2&quot;/&gt;&lt;wsp:rsid wsp:val=&quot;00450F8A&quot;/&gt;&lt;wsp:rsid wsp:val=&quot;004510BF&quot;/&gt;&lt;wsp:rsid wsp:val=&quot;004510CB&quot;/&gt;&lt;wsp:rsid wsp:val=&quot;00451182&quot;/&gt;&lt;wsp:rsid wsp:val=&quot;004515FE&quot;/&gt;&lt;wsp:rsid wsp:val=&quot;00451673&quot;/&gt;&lt;wsp:rsid wsp:val=&quot;00451978&quot;/&gt;&lt;wsp:rsid wsp:val=&quot;004519AB&quot;/&gt;&lt;wsp:rsid wsp:val=&quot;00451ACB&quot;/&gt;&lt;wsp:rsid wsp:val=&quot;00451C05&quot;/&gt;&lt;wsp:rsid wsp:val=&quot;00451C7B&quot;/&gt;&lt;wsp:rsid wsp:val=&quot;00452234&quot;/&gt;&lt;wsp:rsid wsp:val=&quot;00452505&quot;/&gt;&lt;wsp:rsid wsp:val=&quot;0045258B&quot;/&gt;&lt;wsp:rsid wsp:val=&quot;00452637&quot;/&gt;&lt;wsp:rsid wsp:val=&quot;004529E4&quot;/&gt;&lt;wsp:rsid wsp:val=&quot;00452A5A&quot;/&gt;&lt;wsp:rsid wsp:val=&quot;00452D34&quot;/&gt;&lt;wsp:rsid wsp:val=&quot;00452D76&quot;/&gt;&lt;wsp:rsid wsp:val=&quot;00452E5B&quot;/&gt;&lt;wsp:rsid wsp:val=&quot;00452E64&quot;/&gt;&lt;wsp:rsid wsp:val=&quot;00453158&quot;/&gt;&lt;wsp:rsid wsp:val=&quot;0045343A&quot;/&gt;&lt;wsp:rsid wsp:val=&quot;004534AC&quot;/&gt;&lt;wsp:rsid wsp:val=&quot;00453874&quot;/&gt;&lt;wsp:rsid wsp:val=&quot;00453D1F&quot;/&gt;&lt;wsp:rsid wsp:val=&quot;00453D34&quot;/&gt;&lt;wsp:rsid wsp:val=&quot;00453EB2&quot;/&gt;&lt;wsp:rsid wsp:val=&quot;00453F5B&quot;/&gt;&lt;wsp:rsid wsp:val=&quot;00453FFC&quot;/&gt;&lt;wsp:rsid wsp:val=&quot;0045413A&quot;/&gt;&lt;wsp:rsid wsp:val=&quot;004543DF&quot;/&gt;&lt;wsp:rsid wsp:val=&quot;00454804&quot;/&gt;&lt;wsp:rsid wsp:val=&quot;00454873&quot;/&gt;&lt;wsp:rsid wsp:val=&quot;004549A3&quot;/&gt;&lt;wsp:rsid wsp:val=&quot;00454A04&quot;/&gt;&lt;wsp:rsid wsp:val=&quot;00454BD6&quot;/&gt;&lt;wsp:rsid wsp:val=&quot;00454C04&quot;/&gt;&lt;wsp:rsid wsp:val=&quot;00454DC7&quot;/&gt;&lt;wsp:rsid wsp:val=&quot;0045509C&quot;/&gt;&lt;wsp:rsid wsp:val=&quot;00455200&quot;/&gt;&lt;wsp:rsid wsp:val=&quot;0045532E&quot;/&gt;&lt;wsp:rsid wsp:val=&quot;00455344&quot;/&gt;&lt;wsp:rsid wsp:val=&quot;004555B2&quot;/&gt;&lt;wsp:rsid wsp:val=&quot;004557EA&quot;/&gt;&lt;wsp:rsid wsp:val=&quot;0045586D&quot;/&gt;&lt;wsp:rsid wsp:val=&quot;004558F2&quot;/&gt;&lt;wsp:rsid wsp:val=&quot;00455993&quot;/&gt;&lt;wsp:rsid wsp:val=&quot;004559AC&quot;/&gt;&lt;wsp:rsid wsp:val=&quot;00455AC7&quot;/&gt;&lt;wsp:rsid wsp:val=&quot;00455C69&quot;/&gt;&lt;wsp:rsid wsp:val=&quot;00455DC9&quot;/&gt;&lt;wsp:rsid wsp:val=&quot;00456410&quot;/&gt;&lt;wsp:rsid wsp:val=&quot;00456505&quot;/&gt;&lt;wsp:rsid wsp:val=&quot;0045656E&quot;/&gt;&lt;wsp:rsid wsp:val=&quot;004567B8&quot;/&gt;&lt;wsp:rsid wsp:val=&quot;004567F0&quot;/&gt;&lt;wsp:rsid wsp:val=&quot;00456877&quot;/&gt;&lt;wsp:rsid wsp:val=&quot;00456A4B&quot;/&gt;&lt;wsp:rsid wsp:val=&quot;00456AA6&quot;/&gt;&lt;wsp:rsid wsp:val=&quot;004572CF&quot;/&gt;&lt;wsp:rsid wsp:val=&quot;0045747B&quot;/&gt;&lt;wsp:rsid wsp:val=&quot;0045760A&quot;/&gt;&lt;wsp:rsid wsp:val=&quot;00457925&quot;/&gt;&lt;wsp:rsid wsp:val=&quot;00457962&quot;/&gt;&lt;wsp:rsid wsp:val=&quot;004579F9&quot;/&gt;&lt;wsp:rsid wsp:val=&quot;00457B3F&quot;/&gt;&lt;wsp:rsid wsp:val=&quot;00457C0E&quot;/&gt;&lt;wsp:rsid wsp:val=&quot;00457CD3&quot;/&gt;&lt;wsp:rsid wsp:val=&quot;00457F43&quot;/&gt;&lt;wsp:rsid wsp:val=&quot;004603AE&quot;/&gt;&lt;wsp:rsid wsp:val=&quot;00460594&quot;/&gt;&lt;wsp:rsid wsp:val=&quot;00460B11&quot;/&gt;&lt;wsp:rsid wsp:val=&quot;00460C32&quot;/&gt;&lt;wsp:rsid wsp:val=&quot;00460C3F&quot;/&gt;&lt;wsp:rsid wsp:val=&quot;00460D38&quot;/&gt;&lt;wsp:rsid wsp:val=&quot;004613D0&quot;/&gt;&lt;wsp:rsid wsp:val=&quot;0046142A&quot;/&gt;&lt;wsp:rsid wsp:val=&quot;0046150F&quot;/&gt;&lt;wsp:rsid wsp:val=&quot;00461985&quot;/&gt;&lt;wsp:rsid wsp:val=&quot;00461A5F&quot;/&gt;&lt;wsp:rsid wsp:val=&quot;00461DD2&quot;/&gt;&lt;wsp:rsid wsp:val=&quot;00462120&quot;/&gt;&lt;wsp:rsid wsp:val=&quot;0046212E&quot;/&gt;&lt;wsp:rsid wsp:val=&quot;00462273&quot;/&gt;&lt;wsp:rsid wsp:val=&quot;004624C3&quot;/&gt;&lt;wsp:rsid wsp:val=&quot;0046268E&quot;/&gt;&lt;wsp:rsid wsp:val=&quot;00462762&quot;/&gt;&lt;wsp:rsid wsp:val=&quot;0046278B&quot;/&gt;&lt;wsp:rsid wsp:val=&quot;004627ED&quot;/&gt;&lt;wsp:rsid wsp:val=&quot;00462944&quot;/&gt;&lt;wsp:rsid wsp:val=&quot;00462A86&quot;/&gt;&lt;wsp:rsid wsp:val=&quot;00462CD7&quot;/&gt;&lt;wsp:rsid wsp:val=&quot;00462EAE&quot;/&gt;&lt;wsp:rsid wsp:val=&quot;00462F83&quot;/&gt;&lt;wsp:rsid wsp:val=&quot;004635DE&quot;/&gt;&lt;wsp:rsid wsp:val=&quot;00463675&quot;/&gt;&lt;wsp:rsid wsp:val=&quot;0046383D&quot;/&gt;&lt;wsp:rsid wsp:val=&quot;00463BA5&quot;/&gt;&lt;wsp:rsid wsp:val=&quot;00463C41&quot;/&gt;&lt;wsp:rsid wsp:val=&quot;00463C6B&quot;/&gt;&lt;wsp:rsid wsp:val=&quot;004644FA&quot;/&gt;&lt;wsp:rsid wsp:val=&quot;0046479B&quot;/&gt;&lt;wsp:rsid wsp:val=&quot;00464D6F&quot;/&gt;&lt;wsp:rsid wsp:val=&quot;00464E0B&quot;/&gt;&lt;wsp:rsid wsp:val=&quot;0046550B&quot;/&gt;&lt;wsp:rsid wsp:val=&quot;00465665&quot;/&gt;&lt;wsp:rsid wsp:val=&quot;00465B12&quot;/&gt;&lt;wsp:rsid wsp:val=&quot;00465BB9&quot;/&gt;&lt;wsp:rsid wsp:val=&quot;00465D41&quot;/&gt;&lt;wsp:rsid wsp:val=&quot;00465E9C&quot;/&gt;&lt;wsp:rsid wsp:val=&quot;00465EA2&quot;/&gt;&lt;wsp:rsid wsp:val=&quot;00466115&quot;/&gt;&lt;wsp:rsid wsp:val=&quot;004662A3&quot;/&gt;&lt;wsp:rsid wsp:val=&quot;004667D1&quot;/&gt;&lt;wsp:rsid wsp:val=&quot;0046688F&quot;/&gt;&lt;wsp:rsid wsp:val=&quot;00466D1A&quot;/&gt;&lt;wsp:rsid wsp:val=&quot;00467262&quot;/&gt;&lt;wsp:rsid wsp:val=&quot;0046729A&quot;/&gt;&lt;wsp:rsid wsp:val=&quot;004672A6&quot;/&gt;&lt;wsp:rsid wsp:val=&quot;004672F9&quot;/&gt;&lt;wsp:rsid wsp:val=&quot;004673F8&quot;/&gt;&lt;wsp:rsid wsp:val=&quot;004674A1&quot;/&gt;&lt;wsp:rsid wsp:val=&quot;004678A5&quot;/&gt;&lt;wsp:rsid wsp:val=&quot;004679B6&quot;/&gt;&lt;wsp:rsid wsp:val=&quot;00467C56&quot;/&gt;&lt;wsp:rsid wsp:val=&quot;0047054D&quot;/&gt;&lt;wsp:rsid wsp:val=&quot;00470586&quot;/&gt;&lt;wsp:rsid wsp:val=&quot;004709D9&quot;/&gt;&lt;wsp:rsid wsp:val=&quot;00471AE1&quot;/&gt;&lt;wsp:rsid wsp:val=&quot;00471D8D&quot;/&gt;&lt;wsp:rsid wsp:val=&quot;00471DC5&quot;/&gt;&lt;wsp:rsid wsp:val=&quot;00471E91&quot;/&gt;&lt;wsp:rsid wsp:val=&quot;004722C7&quot;/&gt;&lt;wsp:rsid wsp:val=&quot;00472316&quot;/&gt;&lt;wsp:rsid wsp:val=&quot;004724E6&quot;/&gt;&lt;wsp:rsid wsp:val=&quot;004727D5&quot;/&gt;&lt;wsp:rsid wsp:val=&quot;004733C6&quot;/&gt;&lt;wsp:rsid wsp:val=&quot;004734CE&quot;/&gt;&lt;wsp:rsid wsp:val=&quot;004734FC&quot;/&gt;&lt;wsp:rsid wsp:val=&quot;0047361B&quot;/&gt;&lt;wsp:rsid wsp:val=&quot;00473752&quot;/&gt;&lt;wsp:rsid wsp:val=&quot;004738DC&quot;/&gt;&lt;wsp:rsid wsp:val=&quot;004738F1&quot;/&gt;&lt;wsp:rsid wsp:val=&quot;00473CBC&quot;/&gt;&lt;wsp:rsid wsp:val=&quot;00473F84&quot;/&gt;&lt;wsp:rsid wsp:val=&quot;00473F8F&quot;/&gt;&lt;wsp:rsid wsp:val=&quot;0047404B&quot;/&gt;&lt;wsp:rsid wsp:val=&quot;00474230&quot;/&gt;&lt;wsp:rsid wsp:val=&quot;00474404&quot;/&gt;&lt;wsp:rsid wsp:val=&quot;0047471D&quot;/&gt;&lt;wsp:rsid wsp:val=&quot;004748CA&quot;/&gt;&lt;wsp:rsid wsp:val=&quot;00474BE4&quot;/&gt;&lt;wsp:rsid wsp:val=&quot;00474CF3&quot;/&gt;&lt;wsp:rsid wsp:val=&quot;00475579&quot;/&gt;&lt;wsp:rsid wsp:val=&quot;004755BB&quot;/&gt;&lt;wsp:rsid wsp:val=&quot;0047573D&quot;/&gt;&lt;wsp:rsid wsp:val=&quot;0047634C&quot;/&gt;&lt;wsp:rsid wsp:val=&quot;00476581&quot;/&gt;&lt;wsp:rsid wsp:val=&quot;00476702&quot;/&gt;&lt;wsp:rsid wsp:val=&quot;00476960&quot;/&gt;&lt;wsp:rsid wsp:val=&quot;00476A17&quot;/&gt;&lt;wsp:rsid wsp:val=&quot;00476EBD&quot;/&gt;&lt;wsp:rsid wsp:val=&quot;00476FC7&quot;/&gt;&lt;wsp:rsid wsp:val=&quot;00477314&quot;/&gt;&lt;wsp:rsid wsp:val=&quot;0047742D&quot;/&gt;&lt;wsp:rsid wsp:val=&quot;004777BD&quot;/&gt;&lt;wsp:rsid wsp:val=&quot;0048018A&quot;/&gt;&lt;wsp:rsid wsp:val=&quot;004802F4&quot;/&gt;&lt;wsp:rsid wsp:val=&quot;0048037E&quot;/&gt;&lt;wsp:rsid wsp:val=&quot;00480D16&quot;/&gt;&lt;wsp:rsid wsp:val=&quot;00481073&quot;/&gt;&lt;wsp:rsid wsp:val=&quot;004811E9&quot;/&gt;&lt;wsp:rsid wsp:val=&quot;00481473&quot;/&gt;&lt;wsp:rsid wsp:val=&quot;004815D0&quot;/&gt;&lt;wsp:rsid wsp:val=&quot;00481707&quot;/&gt;&lt;wsp:rsid wsp:val=&quot;00481778&quot;/&gt;&lt;wsp:rsid wsp:val=&quot;00481902&quot;/&gt;&lt;wsp:rsid wsp:val=&quot;00481E47&quot;/&gt;&lt;wsp:rsid wsp:val=&quot;00481E66&quot;/&gt;&lt;wsp:rsid wsp:val=&quot;004822A5&quot;/&gt;&lt;wsp:rsid wsp:val=&quot;00482454&quot;/&gt;&lt;wsp:rsid wsp:val=&quot;004825B4&quot;/&gt;&lt;wsp:rsid wsp:val=&quot;00482600&quot;/&gt;&lt;wsp:rsid wsp:val=&quot;00482659&quot;/&gt;&lt;wsp:rsid wsp:val=&quot;00482734&quot;/&gt;&lt;wsp:rsid wsp:val=&quot;004828AA&quot;/&gt;&lt;wsp:rsid wsp:val=&quot;00482BDF&quot;/&gt;&lt;wsp:rsid wsp:val=&quot;00482C1B&quot;/&gt;&lt;wsp:rsid wsp:val=&quot;00482C27&quot;/&gt;&lt;wsp:rsid wsp:val=&quot;00482C58&quot;/&gt;&lt;wsp:rsid wsp:val=&quot;004835CC&quot;/&gt;&lt;wsp:rsid wsp:val=&quot;004836FA&quot;/&gt;&lt;wsp:rsid wsp:val=&quot;00483DA3&quot;/&gt;&lt;wsp:rsid wsp:val=&quot;00484195&quot;/&gt;&lt;wsp:rsid wsp:val=&quot;004843CE&quot;/&gt;&lt;wsp:rsid wsp:val=&quot;0048453B&quot;/&gt;&lt;wsp:rsid wsp:val=&quot;004846CE&quot;/&gt;&lt;wsp:rsid wsp:val=&quot;00484733&quot;/&gt;&lt;wsp:rsid wsp:val=&quot;0048475C&quot;/&gt;&lt;wsp:rsid wsp:val=&quot;0048482A&quot;/&gt;&lt;wsp:rsid wsp:val=&quot;0048492E&quot;/&gt;&lt;wsp:rsid wsp:val=&quot;004849E9&quot;/&gt;&lt;wsp:rsid wsp:val=&quot;00484B07&quot;/&gt;&lt;wsp:rsid wsp:val=&quot;00484DC1&quot;/&gt;&lt;wsp:rsid wsp:val=&quot;00485177&quot;/&gt;&lt;wsp:rsid wsp:val=&quot;00485559&quot;/&gt;&lt;wsp:rsid wsp:val=&quot;00485883&quot;/&gt;&lt;wsp:rsid wsp:val=&quot;00485A30&quot;/&gt;&lt;wsp:rsid wsp:val=&quot;00485C89&quot;/&gt;&lt;wsp:rsid wsp:val=&quot;00485D3B&quot;/&gt;&lt;wsp:rsid wsp:val=&quot;00485E8F&quot;/&gt;&lt;wsp:rsid wsp:val=&quot;00486428&quot;/&gt;&lt;wsp:rsid wsp:val=&quot;004865E0&quot;/&gt;&lt;wsp:rsid wsp:val=&quot;00486853&quot;/&gt;&lt;wsp:rsid wsp:val=&quot;00486860&quot;/&gt;&lt;wsp:rsid wsp:val=&quot;004869F6&quot;/&gt;&lt;wsp:rsid wsp:val=&quot;004872F5&quot;/&gt;&lt;wsp:rsid wsp:val=&quot;0048752B&quot;/&gt;&lt;wsp:rsid wsp:val=&quot;00487611&quot;/&gt;&lt;wsp:rsid wsp:val=&quot;00487722&quot;/&gt;&lt;wsp:rsid wsp:val=&quot;00487899&quot;/&gt;&lt;wsp:rsid wsp:val=&quot;00487BEB&quot;/&gt;&lt;wsp:rsid wsp:val=&quot;00487E99&quot;/&gt;&lt;wsp:rsid wsp:val=&quot;00487FDC&quot;/&gt;&lt;wsp:rsid wsp:val=&quot;0049009C&quot;/&gt;&lt;wsp:rsid wsp:val=&quot;004900CE&quot;/&gt;&lt;wsp:rsid wsp:val=&quot;004902D4&quot;/&gt;&lt;wsp:rsid wsp:val=&quot;004907F9&quot;/&gt;&lt;wsp:rsid wsp:val=&quot;004908DB&quot;/&gt;&lt;wsp:rsid wsp:val=&quot;00490A8A&quot;/&gt;&lt;wsp:rsid wsp:val=&quot;00490A9B&quot;/&gt;&lt;wsp:rsid wsp:val=&quot;00490C6B&quot;/&gt;&lt;wsp:rsid wsp:val=&quot;00490CAA&quot;/&gt;&lt;wsp:rsid wsp:val=&quot;0049108B&quot;/&gt;&lt;wsp:rsid wsp:val=&quot;004911E7&quot;/&gt;&lt;wsp:rsid wsp:val=&quot;004915EB&quot;/&gt;&lt;wsp:rsid wsp:val=&quot;00491819&quot;/&gt;&lt;wsp:rsid wsp:val=&quot;00491D4E&quot;/&gt;&lt;wsp:rsid wsp:val=&quot;00491E06&quot;/&gt;&lt;wsp:rsid wsp:val=&quot;00492120&quot;/&gt;&lt;wsp:rsid wsp:val=&quot;004927DD&quot;/&gt;&lt;wsp:rsid wsp:val=&quot;00492A46&quot;/&gt;&lt;wsp:rsid wsp:val=&quot;00492A97&quot;/&gt;&lt;wsp:rsid wsp:val=&quot;00492F1D&quot;/&gt;&lt;wsp:rsid wsp:val=&quot;004933D6&quot;/&gt;&lt;wsp:rsid wsp:val=&quot;0049358F&quot;/&gt;&lt;wsp:rsid wsp:val=&quot;00493592&quot;/&gt;&lt;wsp:rsid wsp:val=&quot;00493614&quot;/&gt;&lt;wsp:rsid wsp:val=&quot;004940AE&quot;/&gt;&lt;wsp:rsid wsp:val=&quot;0049459B&quot;/&gt;&lt;wsp:rsid wsp:val=&quot;004949D7&quot;/&gt;&lt;wsp:rsid wsp:val=&quot;00494E20&quot;/&gt;&lt;wsp:rsid wsp:val=&quot;00494E7B&quot;/&gt;&lt;wsp:rsid wsp:val=&quot;00494FB7&quot;/&gt;&lt;wsp:rsid wsp:val=&quot;00495398&quot;/&gt;&lt;wsp:rsid wsp:val=&quot;00495415&quot;/&gt;&lt;wsp:rsid wsp:val=&quot;00495485&quot;/&gt;&lt;wsp:rsid wsp:val=&quot;00495488&quot;/&gt;&lt;wsp:rsid wsp:val=&quot;00495641&quot;/&gt;&lt;wsp:rsid wsp:val=&quot;004956EE&quot;/&gt;&lt;wsp:rsid wsp:val=&quot;004959F6&quot;/&gt;&lt;wsp:rsid wsp:val=&quot;00495E89&quot;/&gt;&lt;wsp:rsid wsp:val=&quot;00495EDC&quot;/&gt;&lt;wsp:rsid wsp:val=&quot;00495FFA&quot;/&gt;&lt;wsp:rsid wsp:val=&quot;00495FFF&quot;/&gt;&lt;wsp:rsid wsp:val=&quot;00496070&quot;/&gt;&lt;wsp:rsid wsp:val=&quot;00496152&quot;/&gt;&lt;wsp:rsid wsp:val=&quot;00496217&quot;/&gt;&lt;wsp:rsid wsp:val=&quot;0049627C&quot;/&gt;&lt;wsp:rsid wsp:val=&quot;0049638A&quot;/&gt;&lt;wsp:rsid wsp:val=&quot;0049649F&quot;/&gt;&lt;wsp:rsid wsp:val=&quot;004965D1&quot;/&gt;&lt;wsp:rsid wsp:val=&quot;0049667B&quot;/&gt;&lt;wsp:rsid wsp:val=&quot;004969F5&quot;/&gt;&lt;wsp:rsid wsp:val=&quot;00496A85&quot;/&gt;&lt;wsp:rsid wsp:val=&quot;00496D8D&quot;/&gt;&lt;wsp:rsid wsp:val=&quot;004974CA&quot;/&gt;&lt;wsp:rsid wsp:val=&quot;0049753A&quot;/&gt;&lt;wsp:rsid wsp:val=&quot;00497C26&quot;/&gt;&lt;wsp:rsid wsp:val=&quot;00497C62&quot;/&gt;&lt;wsp:rsid wsp:val=&quot;00497F05&quot;/&gt;&lt;wsp:rsid wsp:val=&quot;004A060C&quot;/&gt;&lt;wsp:rsid wsp:val=&quot;004A07B1&quot;/&gt;&lt;wsp:rsid wsp:val=&quot;004A0846&quot;/&gt;&lt;wsp:rsid wsp:val=&quot;004A0905&quot;/&gt;&lt;wsp:rsid wsp:val=&quot;004A0B59&quot;/&gt;&lt;wsp:rsid wsp:val=&quot;004A0CAC&quot;/&gt;&lt;wsp:rsid wsp:val=&quot;004A1388&quot;/&gt;&lt;wsp:rsid wsp:val=&quot;004A13F1&quot;/&gt;&lt;wsp:rsid wsp:val=&quot;004A16DC&quot;/&gt;&lt;wsp:rsid wsp:val=&quot;004A2257&quot;/&gt;&lt;wsp:rsid wsp:val=&quot;004A2406&quot;/&gt;&lt;wsp:rsid wsp:val=&quot;004A272A&quot;/&gt;&lt;wsp:rsid wsp:val=&quot;004A272C&quot;/&gt;&lt;wsp:rsid wsp:val=&quot;004A2871&quot;/&gt;&lt;wsp:rsid wsp:val=&quot;004A28DE&quot;/&gt;&lt;wsp:rsid wsp:val=&quot;004A2F37&quot;/&gt;&lt;wsp:rsid wsp:val=&quot;004A34BD&quot;/&gt;&lt;wsp:rsid wsp:val=&quot;004A382E&quot;/&gt;&lt;wsp:rsid wsp:val=&quot;004A3BDF&quot;/&gt;&lt;wsp:rsid wsp:val=&quot;004A3C92&quot;/&gt;&lt;wsp:rsid wsp:val=&quot;004A3EA9&quot;/&gt;&lt;wsp:rsid wsp:val=&quot;004A4064&quot;/&gt;&lt;wsp:rsid wsp:val=&quot;004A41D2&quot;/&gt;&lt;wsp:rsid wsp:val=&quot;004A42E7&quot;/&gt;&lt;wsp:rsid wsp:val=&quot;004A465F&quot;/&gt;&lt;wsp:rsid wsp:val=&quot;004A46F2&quot;/&gt;&lt;wsp:rsid wsp:val=&quot;004A5036&quot;/&gt;&lt;wsp:rsid wsp:val=&quot;004A506C&quot;/&gt;&lt;wsp:rsid wsp:val=&quot;004A5B07&quot;/&gt;&lt;wsp:rsid wsp:val=&quot;004A5B8B&quot;/&gt;&lt;wsp:rsid wsp:val=&quot;004A64EB&quot;/&gt;&lt;wsp:rsid wsp:val=&quot;004A664B&quot;/&gt;&lt;wsp:rsid wsp:val=&quot;004A6D0C&quot;/&gt;&lt;wsp:rsid wsp:val=&quot;004A6F5C&quot;/&gt;&lt;wsp:rsid wsp:val=&quot;004A6FD7&quot;/&gt;&lt;wsp:rsid wsp:val=&quot;004A76BE&quot;/&gt;&lt;wsp:rsid wsp:val=&quot;004A779F&quot;/&gt;&lt;wsp:rsid wsp:val=&quot;004A7B05&quot;/&gt;&lt;wsp:rsid wsp:val=&quot;004A7D31&quot;/&gt;&lt;wsp:rsid wsp:val=&quot;004B01E9&quot;/&gt;&lt;wsp:rsid wsp:val=&quot;004B0233&quot;/&gt;&lt;wsp:rsid wsp:val=&quot;004B0290&quot;/&gt;&lt;wsp:rsid wsp:val=&quot;004B0583&quot;/&gt;&lt;wsp:rsid wsp:val=&quot;004B06AA&quot;/&gt;&lt;wsp:rsid wsp:val=&quot;004B0DF5&quot;/&gt;&lt;wsp:rsid wsp:val=&quot;004B10E8&quot;/&gt;&lt;wsp:rsid wsp:val=&quot;004B1231&quot;/&gt;&lt;wsp:rsid wsp:val=&quot;004B13D9&quot;/&gt;&lt;wsp:rsid wsp:val=&quot;004B142C&quot;/&gt;&lt;wsp:rsid wsp:val=&quot;004B1520&quot;/&gt;&lt;wsp:rsid wsp:val=&quot;004B164C&quot;/&gt;&lt;wsp:rsid wsp:val=&quot;004B19B9&quot;/&gt;&lt;wsp:rsid wsp:val=&quot;004B1B18&quot;/&gt;&lt;wsp:rsid wsp:val=&quot;004B1DF6&quot;/&gt;&lt;wsp:rsid wsp:val=&quot;004B1F29&quot;/&gt;&lt;wsp:rsid wsp:val=&quot;004B1FE0&quot;/&gt;&lt;wsp:rsid wsp:val=&quot;004B207A&quot;/&gt;&lt;wsp:rsid wsp:val=&quot;004B209D&quot;/&gt;&lt;wsp:rsid wsp:val=&quot;004B22BC&quot;/&gt;&lt;wsp:rsid wsp:val=&quot;004B2471&quot;/&gt;&lt;wsp:rsid wsp:val=&quot;004B2837&quot;/&gt;&lt;wsp:rsid wsp:val=&quot;004B2C54&quot;/&gt;&lt;wsp:rsid wsp:val=&quot;004B336D&quot;/&gt;&lt;wsp:rsid wsp:val=&quot;004B337D&quot;/&gt;&lt;wsp:rsid wsp:val=&quot;004B37BB&quot;/&gt;&lt;wsp:rsid wsp:val=&quot;004B4100&quot;/&gt;&lt;wsp:rsid wsp:val=&quot;004B4319&quot;/&gt;&lt;wsp:rsid wsp:val=&quot;004B44F7&quot;/&gt;&lt;wsp:rsid wsp:val=&quot;004B459C&quot;/&gt;&lt;wsp:rsid wsp:val=&quot;004B4892&quot;/&gt;&lt;wsp:rsid wsp:val=&quot;004B491C&quot;/&gt;&lt;wsp:rsid wsp:val=&quot;004B4A02&quot;/&gt;&lt;wsp:rsid wsp:val=&quot;004B4D49&quot;/&gt;&lt;wsp:rsid wsp:val=&quot;004B4DFD&quot;/&gt;&lt;wsp:rsid wsp:val=&quot;004B5209&quot;/&gt;&lt;wsp:rsid wsp:val=&quot;004B58AA&quot;/&gt;&lt;wsp:rsid wsp:val=&quot;004B5A15&quot;/&gt;&lt;wsp:rsid wsp:val=&quot;004B5FCC&quot;/&gt;&lt;wsp:rsid wsp:val=&quot;004B603F&quot;/&gt;&lt;wsp:rsid wsp:val=&quot;004B605C&quot;/&gt;&lt;wsp:rsid wsp:val=&quot;004B6068&quot;/&gt;&lt;wsp:rsid wsp:val=&quot;004B60B7&quot;/&gt;&lt;wsp:rsid wsp:val=&quot;004B6224&quot;/&gt;&lt;wsp:rsid wsp:val=&quot;004B6782&quot;/&gt;&lt;wsp:rsid wsp:val=&quot;004B6A4B&quot;/&gt;&lt;wsp:rsid wsp:val=&quot;004B6C27&quot;/&gt;&lt;wsp:rsid wsp:val=&quot;004B6C6A&quot;/&gt;&lt;wsp:rsid wsp:val=&quot;004B6D4A&quot;/&gt;&lt;wsp:rsid wsp:val=&quot;004B6E7C&quot;/&gt;&lt;wsp:rsid wsp:val=&quot;004B7295&quot;/&gt;&lt;wsp:rsid wsp:val=&quot;004B72FF&quot;/&gt;&lt;wsp:rsid wsp:val=&quot;004B75D0&quot;/&gt;&lt;wsp:rsid wsp:val=&quot;004B76C6&quot;/&gt;&lt;wsp:rsid wsp:val=&quot;004C0439&quot;/&gt;&lt;wsp:rsid wsp:val=&quot;004C050C&quot;/&gt;&lt;wsp:rsid wsp:val=&quot;004C051E&quot;/&gt;&lt;wsp:rsid wsp:val=&quot;004C0735&quot;/&gt;&lt;wsp:rsid wsp:val=&quot;004C0944&quot;/&gt;&lt;wsp:rsid wsp:val=&quot;004C0B11&quot;/&gt;&lt;wsp:rsid wsp:val=&quot;004C0B9C&quot;/&gt;&lt;wsp:rsid wsp:val=&quot;004C0D95&quot;/&gt;&lt;wsp:rsid wsp:val=&quot;004C0F15&quot;/&gt;&lt;wsp:rsid wsp:val=&quot;004C1018&quot;/&gt;&lt;wsp:rsid wsp:val=&quot;004C1617&quot;/&gt;&lt;wsp:rsid wsp:val=&quot;004C174C&quot;/&gt;&lt;wsp:rsid wsp:val=&quot;004C185D&quot;/&gt;&lt;wsp:rsid wsp:val=&quot;004C1D28&quot;/&gt;&lt;wsp:rsid wsp:val=&quot;004C1ED0&quot;/&gt;&lt;wsp:rsid wsp:val=&quot;004C1ED3&quot;/&gt;&lt;wsp:rsid wsp:val=&quot;004C21E3&quot;/&gt;&lt;wsp:rsid wsp:val=&quot;004C2224&quot;/&gt;&lt;wsp:rsid wsp:val=&quot;004C2724&quot;/&gt;&lt;wsp:rsid wsp:val=&quot;004C292C&quot;/&gt;&lt;wsp:rsid wsp:val=&quot;004C2D2B&quot;/&gt;&lt;wsp:rsid wsp:val=&quot;004C2F4F&quot;/&gt;&lt;wsp:rsid wsp:val=&quot;004C341C&quot;/&gt;&lt;wsp:rsid wsp:val=&quot;004C35E3&quot;/&gt;&lt;wsp:rsid wsp:val=&quot;004C3899&quot;/&gt;&lt;wsp:rsid wsp:val=&quot;004C4075&quot;/&gt;&lt;wsp:rsid wsp:val=&quot;004C4482&quot;/&gt;&lt;wsp:rsid wsp:val=&quot;004C4F4B&quot;/&gt;&lt;wsp:rsid wsp:val=&quot;004C5163&quot;/&gt;&lt;wsp:rsid wsp:val=&quot;004C5286&quot;/&gt;&lt;wsp:rsid wsp:val=&quot;004C5753&quot;/&gt;&lt;wsp:rsid wsp:val=&quot;004C57DE&quot;/&gt;&lt;wsp:rsid wsp:val=&quot;004C5916&quot;/&gt;&lt;wsp:rsid wsp:val=&quot;004C6333&quot;/&gt;&lt;wsp:rsid wsp:val=&quot;004C6383&quot;/&gt;&lt;wsp:rsid wsp:val=&quot;004C64AA&quot;/&gt;&lt;wsp:rsid wsp:val=&quot;004C6530&quot;/&gt;&lt;wsp:rsid wsp:val=&quot;004C697D&quot;/&gt;&lt;wsp:rsid wsp:val=&quot;004C6DF8&quot;/&gt;&lt;wsp:rsid wsp:val=&quot;004C717B&quot;/&gt;&lt;wsp:rsid wsp:val=&quot;004C7639&quot;/&gt;&lt;wsp:rsid wsp:val=&quot;004C7769&quot;/&gt;&lt;wsp:rsid wsp:val=&quot;004C79CE&quot;/&gt;&lt;wsp:rsid wsp:val=&quot;004C7E9B&quot;/&gt;&lt;wsp:rsid wsp:val=&quot;004C7F8C&quot;/&gt;&lt;wsp:rsid wsp:val=&quot;004C7FD4&quot;/&gt;&lt;wsp:rsid wsp:val=&quot;004D0224&quot;/&gt;&lt;wsp:rsid wsp:val=&quot;004D0401&quot;/&gt;&lt;wsp:rsid wsp:val=&quot;004D0830&quot;/&gt;&lt;wsp:rsid wsp:val=&quot;004D0D4D&quot;/&gt;&lt;wsp:rsid wsp:val=&quot;004D0E43&quot;/&gt;&lt;wsp:rsid wsp:val=&quot;004D1019&quot;/&gt;&lt;wsp:rsid wsp:val=&quot;004D13DC&quot;/&gt;&lt;wsp:rsid wsp:val=&quot;004D1488&quot;/&gt;&lt;wsp:rsid wsp:val=&quot;004D1561&quot;/&gt;&lt;wsp:rsid wsp:val=&quot;004D17D8&quot;/&gt;&lt;wsp:rsid wsp:val=&quot;004D1B73&quot;/&gt;&lt;wsp:rsid wsp:val=&quot;004D1B94&quot;/&gt;&lt;wsp:rsid wsp:val=&quot;004D1BF8&quot;/&gt;&lt;wsp:rsid wsp:val=&quot;004D1E06&quot;/&gt;&lt;wsp:rsid wsp:val=&quot;004D1F64&quot;/&gt;&lt;wsp:rsid wsp:val=&quot;004D1FCB&quot;/&gt;&lt;wsp:rsid wsp:val=&quot;004D2367&quot;/&gt;&lt;wsp:rsid wsp:val=&quot;004D240E&quot;/&gt;&lt;wsp:rsid wsp:val=&quot;004D2677&quot;/&gt;&lt;wsp:rsid wsp:val=&quot;004D2694&quot;/&gt;&lt;wsp:rsid wsp:val=&quot;004D26A7&quot;/&gt;&lt;wsp:rsid wsp:val=&quot;004D26BE&quot;/&gt;&lt;wsp:rsid wsp:val=&quot;004D26C3&quot;/&gt;&lt;wsp:rsid wsp:val=&quot;004D2901&quot;/&gt;&lt;wsp:rsid wsp:val=&quot;004D2AAC&quot;/&gt;&lt;wsp:rsid wsp:val=&quot;004D2B38&quot;/&gt;&lt;wsp:rsid wsp:val=&quot;004D2CA5&quot;/&gt;&lt;wsp:rsid wsp:val=&quot;004D2F48&quot;/&gt;&lt;wsp:rsid wsp:val=&quot;004D3118&quot;/&gt;&lt;wsp:rsid wsp:val=&quot;004D3536&quot;/&gt;&lt;wsp:rsid wsp:val=&quot;004D358A&quot;/&gt;&lt;wsp:rsid wsp:val=&quot;004D380A&quot;/&gt;&lt;wsp:rsid wsp:val=&quot;004D39CA&quot;/&gt;&lt;wsp:rsid wsp:val=&quot;004D3FA8&quot;/&gt;&lt;wsp:rsid wsp:val=&quot;004D4448&quot;/&gt;&lt;wsp:rsid wsp:val=&quot;004D452F&quot;/&gt;&lt;wsp:rsid wsp:val=&quot;004D4818&quot;/&gt;&lt;wsp:rsid wsp:val=&quot;004D49C0&quot;/&gt;&lt;wsp:rsid wsp:val=&quot;004D4A05&quot;/&gt;&lt;wsp:rsid wsp:val=&quot;004D4C72&quot;/&gt;&lt;wsp:rsid wsp:val=&quot;004D4FB7&quot;/&gt;&lt;wsp:rsid wsp:val=&quot;004D5371&quot;/&gt;&lt;wsp:rsid wsp:val=&quot;004D5415&quot;/&gt;&lt;wsp:rsid wsp:val=&quot;004D683E&quot;/&gt;&lt;wsp:rsid wsp:val=&quot;004D6A81&quot;/&gt;&lt;wsp:rsid wsp:val=&quot;004D7054&quot;/&gt;&lt;wsp:rsid wsp:val=&quot;004D7138&quot;/&gt;&lt;wsp:rsid wsp:val=&quot;004D7376&quot;/&gt;&lt;wsp:rsid wsp:val=&quot;004D79DD&quot;/&gt;&lt;wsp:rsid wsp:val=&quot;004D7BB1&quot;/&gt;&lt;wsp:rsid wsp:val=&quot;004D7BB7&quot;/&gt;&lt;wsp:rsid wsp:val=&quot;004E0012&quot;/&gt;&lt;wsp:rsid wsp:val=&quot;004E00D4&quot;/&gt;&lt;wsp:rsid wsp:val=&quot;004E02D3&quot;/&gt;&lt;wsp:rsid wsp:val=&quot;004E04D2&quot;/&gt;&lt;wsp:rsid wsp:val=&quot;004E09CD&quot;/&gt;&lt;wsp:rsid wsp:val=&quot;004E09F0&quot;/&gt;&lt;wsp:rsid wsp:val=&quot;004E0AA7&quot;/&gt;&lt;wsp:rsid wsp:val=&quot;004E0B48&quot;/&gt;&lt;wsp:rsid wsp:val=&quot;004E0E0F&quot;/&gt;&lt;wsp:rsid wsp:val=&quot;004E103B&quot;/&gt;&lt;wsp:rsid wsp:val=&quot;004E1116&quot;/&gt;&lt;wsp:rsid wsp:val=&quot;004E11AD&quot;/&gt;&lt;wsp:rsid wsp:val=&quot;004E12E9&quot;/&gt;&lt;wsp:rsid wsp:val=&quot;004E15AC&quot;/&gt;&lt;wsp:rsid wsp:val=&quot;004E1769&quot;/&gt;&lt;wsp:rsid wsp:val=&quot;004E1948&quot;/&gt;&lt;wsp:rsid wsp:val=&quot;004E1BFE&quot;/&gt;&lt;wsp:rsid wsp:val=&quot;004E1E5B&quot;/&gt;&lt;wsp:rsid wsp:val=&quot;004E2364&quot;/&gt;&lt;wsp:rsid wsp:val=&quot;004E24D3&quot;/&gt;&lt;wsp:rsid wsp:val=&quot;004E2616&quot;/&gt;&lt;wsp:rsid wsp:val=&quot;004E2B00&quot;/&gt;&lt;wsp:rsid wsp:val=&quot;004E3110&quot;/&gt;&lt;wsp:rsid wsp:val=&quot;004E318E&quot;/&gt;&lt;wsp:rsid wsp:val=&quot;004E32BC&quot;/&gt;&lt;wsp:rsid wsp:val=&quot;004E3311&quot;/&gt;&lt;wsp:rsid wsp:val=&quot;004E3327&quot;/&gt;&lt;wsp:rsid wsp:val=&quot;004E33B3&quot;/&gt;&lt;wsp:rsid wsp:val=&quot;004E34A3&quot;/&gt;&lt;wsp:rsid wsp:val=&quot;004E34CB&quot;/&gt;&lt;wsp:rsid wsp:val=&quot;004E3988&quot;/&gt;&lt;wsp:rsid wsp:val=&quot;004E3FF2&quot;/&gt;&lt;wsp:rsid wsp:val=&quot;004E41EF&quot;/&gt;&lt;wsp:rsid wsp:val=&quot;004E48A7&quot;/&gt;&lt;wsp:rsid wsp:val=&quot;004E4951&quot;/&gt;&lt;wsp:rsid wsp:val=&quot;004E4A0D&quot;/&gt;&lt;wsp:rsid wsp:val=&quot;004E4B4E&quot;/&gt;&lt;wsp:rsid wsp:val=&quot;004E4C10&quot;/&gt;&lt;wsp:rsid wsp:val=&quot;004E51E8&quot;/&gt;&lt;wsp:rsid wsp:val=&quot;004E521B&quot;/&gt;&lt;wsp:rsid wsp:val=&quot;004E5553&quot;/&gt;&lt;wsp:rsid wsp:val=&quot;004E5655&quot;/&gt;&lt;wsp:rsid wsp:val=&quot;004E568A&quot;/&gt;&lt;wsp:rsid wsp:val=&quot;004E580A&quot;/&gt;&lt;wsp:rsid wsp:val=&quot;004E5837&quot;/&gt;&lt;wsp:rsid wsp:val=&quot;004E5865&quot;/&gt;&lt;wsp:rsid wsp:val=&quot;004E5DE0&quot;/&gt;&lt;wsp:rsid wsp:val=&quot;004E5ED9&quot;/&gt;&lt;wsp:rsid wsp:val=&quot;004E6090&quot;/&gt;&lt;wsp:rsid wsp:val=&quot;004E60F5&quot;/&gt;&lt;wsp:rsid wsp:val=&quot;004E68ED&quot;/&gt;&lt;wsp:rsid wsp:val=&quot;004E6AC5&quot;/&gt;&lt;wsp:rsid wsp:val=&quot;004E6DB8&quot;/&gt;&lt;wsp:rsid wsp:val=&quot;004E6EB5&quot;/&gt;&lt;wsp:rsid wsp:val=&quot;004E6F14&quot;/&gt;&lt;wsp:rsid wsp:val=&quot;004E7636&quot;/&gt;&lt;wsp:rsid wsp:val=&quot;004E790F&quot;/&gt;&lt;wsp:rsid wsp:val=&quot;004E7962&quot;/&gt;&lt;wsp:rsid wsp:val=&quot;004E7DE8&quot;/&gt;&lt;wsp:rsid wsp:val=&quot;004E7F18&quot;/&gt;&lt;wsp:rsid wsp:val=&quot;004F01D4&quot;/&gt;&lt;wsp:rsid wsp:val=&quot;004F0294&quot;/&gt;&lt;wsp:rsid wsp:val=&quot;004F06EE&quot;/&gt;&lt;wsp:rsid wsp:val=&quot;004F09D6&quot;/&gt;&lt;wsp:rsid wsp:val=&quot;004F0BF0&quot;/&gt;&lt;wsp:rsid wsp:val=&quot;004F0C2B&quot;/&gt;&lt;wsp:rsid wsp:val=&quot;004F0D8E&quot;/&gt;&lt;wsp:rsid wsp:val=&quot;004F0F2E&quot;/&gt;&lt;wsp:rsid wsp:val=&quot;004F1090&quot;/&gt;&lt;wsp:rsid wsp:val=&quot;004F1172&quot;/&gt;&lt;wsp:rsid wsp:val=&quot;004F131F&quot;/&gt;&lt;wsp:rsid wsp:val=&quot;004F17F4&quot;/&gt;&lt;wsp:rsid wsp:val=&quot;004F1A5C&quot;/&gt;&lt;wsp:rsid wsp:val=&quot;004F1A89&quot;/&gt;&lt;wsp:rsid wsp:val=&quot;004F1B37&quot;/&gt;&lt;wsp:rsid wsp:val=&quot;004F1CFC&quot;/&gt;&lt;wsp:rsid wsp:val=&quot;004F1DEE&quot;/&gt;&lt;wsp:rsid wsp:val=&quot;004F227E&quot;/&gt;&lt;wsp:rsid wsp:val=&quot;004F22E5&quot;/&gt;&lt;wsp:rsid wsp:val=&quot;004F22EB&quot;/&gt;&lt;wsp:rsid wsp:val=&quot;004F2880&quot;/&gt;&lt;wsp:rsid wsp:val=&quot;004F2922&quot;/&gt;&lt;wsp:rsid wsp:val=&quot;004F2B46&quot;/&gt;&lt;wsp:rsid wsp:val=&quot;004F2F67&quot;/&gt;&lt;wsp:rsid wsp:val=&quot;004F2FC6&quot;/&gt;&lt;wsp:rsid wsp:val=&quot;004F3090&quot;/&gt;&lt;wsp:rsid wsp:val=&quot;004F3270&quot;/&gt;&lt;wsp:rsid wsp:val=&quot;004F3352&quot;/&gt;&lt;wsp:rsid wsp:val=&quot;004F3B06&quot;/&gt;&lt;wsp:rsid wsp:val=&quot;004F3BED&quot;/&gt;&lt;wsp:rsid wsp:val=&quot;004F3DFA&quot;/&gt;&lt;wsp:rsid wsp:val=&quot;004F4128&quot;/&gt;&lt;wsp:rsid wsp:val=&quot;004F453C&quot;/&gt;&lt;wsp:rsid wsp:val=&quot;004F496C&quot;/&gt;&lt;wsp:rsid wsp:val=&quot;004F4BDF&quot;/&gt;&lt;wsp:rsid wsp:val=&quot;004F5296&quot;/&gt;&lt;wsp:rsid wsp:val=&quot;004F53CC&quot;/&gt;&lt;wsp:rsid wsp:val=&quot;004F540B&quot;/&gt;&lt;wsp:rsid wsp:val=&quot;004F5440&quot;/&gt;&lt;wsp:rsid wsp:val=&quot;004F5453&quot;/&gt;&lt;wsp:rsid wsp:val=&quot;004F58FE&quot;/&gt;&lt;wsp:rsid wsp:val=&quot;004F5E85&quot;/&gt;&lt;wsp:rsid wsp:val=&quot;004F62DA&quot;/&gt;&lt;wsp:rsid wsp:val=&quot;004F636C&quot;/&gt;&lt;wsp:rsid wsp:val=&quot;004F6513&quot;/&gt;&lt;wsp:rsid wsp:val=&quot;004F66BC&quot;/&gt;&lt;wsp:rsid wsp:val=&quot;004F6B3B&quot;/&gt;&lt;wsp:rsid wsp:val=&quot;004F6BE0&quot;/&gt;&lt;wsp:rsid wsp:val=&quot;004F6CEB&quot;/&gt;&lt;wsp:rsid wsp:val=&quot;004F6FE1&quot;/&gt;&lt;wsp:rsid wsp:val=&quot;004F7033&quot;/&gt;&lt;wsp:rsid wsp:val=&quot;004F71DE&quot;/&gt;&lt;wsp:rsid wsp:val=&quot;004F7423&quot;/&gt;&lt;wsp:rsid wsp:val=&quot;004F76D2&quot;/&gt;&lt;wsp:rsid wsp:val=&quot;004F783A&quot;/&gt;&lt;wsp:rsid wsp:val=&quot;004F78CF&quot;/&gt;&lt;wsp:rsid wsp:val=&quot;004F78E7&quot;/&gt;&lt;wsp:rsid wsp:val=&quot;004F7918&quot;/&gt;&lt;wsp:rsid wsp:val=&quot;004F7B15&quot;/&gt;&lt;wsp:rsid wsp:val=&quot;004F7E0D&quot;/&gt;&lt;wsp:rsid wsp:val=&quot;004F7E2E&quot;/&gt;&lt;wsp:rsid wsp:val=&quot;005005DA&quot;/&gt;&lt;wsp:rsid wsp:val=&quot;00500659&quot;/&gt;&lt;wsp:rsid wsp:val=&quot;00500685&quot;/&gt;&lt;wsp:rsid wsp:val=&quot;00500A5A&quot;/&gt;&lt;wsp:rsid wsp:val=&quot;00500C3F&quot;/&gt;&lt;wsp:rsid wsp:val=&quot;00501123&quot;/&gt;&lt;wsp:rsid wsp:val=&quot;00501179&quot;/&gt;&lt;wsp:rsid wsp:val=&quot;0050171F&quot;/&gt;&lt;wsp:rsid wsp:val=&quot;0050184A&quot;/&gt;&lt;wsp:rsid wsp:val=&quot;00501896&quot;/&gt;&lt;wsp:rsid wsp:val=&quot;00501A91&quot;/&gt;&lt;wsp:rsid wsp:val=&quot;00501C29&quot;/&gt;&lt;wsp:rsid wsp:val=&quot;00501C78&quot;/&gt;&lt;wsp:rsid wsp:val=&quot;00501DFD&quot;/&gt;&lt;wsp:rsid wsp:val=&quot;00502006&quot;/&gt;&lt;wsp:rsid wsp:val=&quot;005020B8&quot;/&gt;&lt;wsp:rsid wsp:val=&quot;005022B2&quot;/&gt;&lt;wsp:rsid wsp:val=&quot;00502D37&quot;/&gt;&lt;wsp:rsid wsp:val=&quot;0050314E&quot;/&gt;&lt;wsp:rsid wsp:val=&quot;00503154&quot;/&gt;&lt;wsp:rsid wsp:val=&quot;005032F4&quot;/&gt;&lt;wsp:rsid wsp:val=&quot;0050336A&quot;/&gt;&lt;wsp:rsid wsp:val=&quot;00503435&quot;/&gt;&lt;wsp:rsid wsp:val=&quot;00503481&quot;/&gt;&lt;wsp:rsid wsp:val=&quot;0050369E&quot;/&gt;&lt;wsp:rsid wsp:val=&quot;0050378B&quot;/&gt;&lt;wsp:rsid wsp:val=&quot;00503B10&quot;/&gt;&lt;wsp:rsid wsp:val=&quot;00503B50&quot;/&gt;&lt;wsp:rsid wsp:val=&quot;005041D6&quot;/&gt;&lt;wsp:rsid wsp:val=&quot;00504A94&quot;/&gt;&lt;wsp:rsid wsp:val=&quot;00504F99&quot;/&gt;&lt;wsp:rsid wsp:val=&quot;0050520C&quot;/&gt;&lt;wsp:rsid wsp:val=&quot;00505585&quot;/&gt;&lt;wsp:rsid wsp:val=&quot;00505675&quot;/&gt;&lt;wsp:rsid wsp:val=&quot;00505C48&quot;/&gt;&lt;wsp:rsid wsp:val=&quot;00505C4B&quot;/&gt;&lt;wsp:rsid wsp:val=&quot;00505E67&quot;/&gt;&lt;wsp:rsid wsp:val=&quot;00505EA8&quot;/&gt;&lt;wsp:rsid wsp:val=&quot;00505F1B&quot;/&gt;&lt;wsp:rsid wsp:val=&quot;00506129&quot;/&gt;&lt;wsp:rsid wsp:val=&quot;00506280&quot;/&gt;&lt;wsp:rsid wsp:val=&quot;0050628A&quot;/&gt;&lt;wsp:rsid wsp:val=&quot;005062BC&quot;/&gt;&lt;wsp:rsid wsp:val=&quot;00506357&quot;/&gt;&lt;wsp:rsid wsp:val=&quot;00506775&quot;/&gt;&lt;wsp:rsid wsp:val=&quot;0050684D&quot;/&gt;&lt;wsp:rsid wsp:val=&quot;00506A79&quot;/&gt;&lt;wsp:rsid wsp:val=&quot;00506BF5&quot;/&gt;&lt;wsp:rsid wsp:val=&quot;00506D25&quot;/&gt;&lt;wsp:rsid wsp:val=&quot;0050707D&quot;/&gt;&lt;wsp:rsid wsp:val=&quot;005071DC&quot;/&gt;&lt;wsp:rsid wsp:val=&quot;00507E65&quot;/&gt;&lt;wsp:rsid wsp:val=&quot;00507E8E&quot;/&gt;&lt;wsp:rsid wsp:val=&quot;00510025&quot;/&gt;&lt;wsp:rsid wsp:val=&quot;00510335&quot;/&gt;&lt;wsp:rsid wsp:val=&quot;0051059D&quot;/&gt;&lt;wsp:rsid wsp:val=&quot;00510747&quot;/&gt;&lt;wsp:rsid wsp:val=&quot;005109EA&quot;/&gt;&lt;wsp:rsid wsp:val=&quot;00510B16&quot;/&gt;&lt;wsp:rsid wsp:val=&quot;00510CA6&quot;/&gt;&lt;wsp:rsid wsp:val=&quot;00510D55&quot;/&gt;&lt;wsp:rsid wsp:val=&quot;00510DC9&quot;/&gt;&lt;wsp:rsid wsp:val=&quot;00512133&quot;/&gt;&lt;wsp:rsid wsp:val=&quot;005123AC&quot;/&gt;&lt;wsp:rsid wsp:val=&quot;005124EC&quot;/&gt;&lt;wsp:rsid wsp:val=&quot;00512609&quot;/&gt;&lt;wsp:rsid wsp:val=&quot;00512694&quot;/&gt;&lt;wsp:rsid wsp:val=&quot;00512BDC&quot;/&gt;&lt;wsp:rsid wsp:val=&quot;005134E6&quot;/&gt;&lt;wsp:rsid wsp:val=&quot;005134EB&quot;/&gt;&lt;wsp:rsid wsp:val=&quot;005135B5&quot;/&gt;&lt;wsp:rsid wsp:val=&quot;00513944&quot;/&gt;&lt;wsp:rsid wsp:val=&quot;00513D21&quot;/&gt;&lt;wsp:rsid wsp:val=&quot;00513DC2&quot;/&gt;&lt;wsp:rsid wsp:val=&quot;00513E59&quot;/&gt;&lt;wsp:rsid wsp:val=&quot;0051414B&quot;/&gt;&lt;wsp:rsid wsp:val=&quot;00514333&quot;/&gt;&lt;wsp:rsid wsp:val=&quot;005143F7&quot;/&gt;&lt;wsp:rsid wsp:val=&quot;005144B5&quot;/&gt;&lt;wsp:rsid wsp:val=&quot;0051463C&quot;/&gt;&lt;wsp:rsid wsp:val=&quot;005146E0&quot;/&gt;&lt;wsp:rsid wsp:val=&quot;00514891&quot;/&gt;&lt;wsp:rsid wsp:val=&quot;00514BC0&quot;/&gt;&lt;wsp:rsid wsp:val=&quot;005150C5&quot;/&gt;&lt;wsp:rsid wsp:val=&quot;005151BA&quot;/&gt;&lt;wsp:rsid wsp:val=&quot;0051526E&quot;/&gt;&lt;wsp:rsid wsp:val=&quot;00515378&quot;/&gt;&lt;wsp:rsid wsp:val=&quot;005153E2&quot;/&gt;&lt;wsp:rsid wsp:val=&quot;005158B9&quot;/&gt;&lt;wsp:rsid wsp:val=&quot;00515BAE&quot;/&gt;&lt;wsp:rsid wsp:val=&quot;005161B3&quot;/&gt;&lt;wsp:rsid wsp:val=&quot;005165EC&quot;/&gt;&lt;wsp:rsid wsp:val=&quot;00516E70&quot;/&gt;&lt;wsp:rsid wsp:val=&quot;00516FEF&quot;/&gt;&lt;wsp:rsid wsp:val=&quot;005172BF&quot;/&gt;&lt;wsp:rsid wsp:val=&quot;005174B4&quot;/&gt;&lt;wsp:rsid wsp:val=&quot;005177F8&quot;/&gt;&lt;wsp:rsid wsp:val=&quot;005179F6&quot;/&gt;&lt;wsp:rsid wsp:val=&quot;00517D6B&quot;/&gt;&lt;wsp:rsid wsp:val=&quot;00517F14&quot;/&gt;&lt;wsp:rsid wsp:val=&quot;00517FBD&quot;/&gt;&lt;wsp:rsid wsp:val=&quot;005201AF&quot;/&gt;&lt;wsp:rsid wsp:val=&quot;005203E0&quot;/&gt;&lt;wsp:rsid wsp:val=&quot;00520791&quot;/&gt;&lt;wsp:rsid wsp:val=&quot;00520D15&quot;/&gt;&lt;wsp:rsid wsp:val=&quot;0052136F&quot;/&gt;&lt;wsp:rsid wsp:val=&quot;005213F7&quot;/&gt;&lt;wsp:rsid wsp:val=&quot;00521433&quot;/&gt;&lt;wsp:rsid wsp:val=&quot;00521C0C&quot;/&gt;&lt;wsp:rsid wsp:val=&quot;00521C2C&quot;/&gt;&lt;wsp:rsid wsp:val=&quot;00521CD6&quot;/&gt;&lt;wsp:rsid wsp:val=&quot;00521D84&quot;/&gt;&lt;wsp:rsid wsp:val=&quot;00521F42&quot;/&gt;&lt;wsp:rsid wsp:val=&quot;00522065&quot;/&gt;&lt;wsp:rsid wsp:val=&quot;00522132&quot;/&gt;&lt;wsp:rsid wsp:val=&quot;005221D1&quot;/&gt;&lt;wsp:rsid wsp:val=&quot;005224CC&quot;/&gt;&lt;wsp:rsid wsp:val=&quot;00522595&quot;/&gt;&lt;wsp:rsid wsp:val=&quot;005225A1&quot;/&gt;&lt;wsp:rsid wsp:val=&quot;005225D6&quot;/&gt;&lt;wsp:rsid wsp:val=&quot;00522F0F&quot;/&gt;&lt;wsp:rsid wsp:val=&quot;005230AE&quot;/&gt;&lt;wsp:rsid wsp:val=&quot;0052351B&quot;/&gt;&lt;wsp:rsid wsp:val=&quot;00523B4E&quot;/&gt;&lt;wsp:rsid wsp:val=&quot;0052418C&quot;/&gt;&lt;wsp:rsid wsp:val=&quot;005241CF&quot;/&gt;&lt;wsp:rsid wsp:val=&quot;005248E9&quot;/&gt;&lt;wsp:rsid wsp:val=&quot;005249D2&quot;/&gt;&lt;wsp:rsid wsp:val=&quot;00524AC2&quot;/&gt;&lt;wsp:rsid wsp:val=&quot;00524BF5&quot;/&gt;&lt;wsp:rsid wsp:val=&quot;00524BFF&quot;/&gt;&lt;wsp:rsid wsp:val=&quot;005250E6&quot;/&gt;&lt;wsp:rsid wsp:val=&quot;00525171&quot;/&gt;&lt;wsp:rsid wsp:val=&quot;00525298&quot;/&gt;&lt;wsp:rsid wsp:val=&quot;0052533A&quot;/&gt;&lt;wsp:rsid wsp:val=&quot;005256B3&quot;/&gt;&lt;wsp:rsid wsp:val=&quot;0052584B&quot;/&gt;&lt;wsp:rsid wsp:val=&quot;00525CD5&quot;/&gt;&lt;wsp:rsid wsp:val=&quot;00526406&quot;/&gt;&lt;wsp:rsid wsp:val=&quot;005264E5&quot;/&gt;&lt;wsp:rsid wsp:val=&quot;00526560&quot;/&gt;&lt;wsp:rsid wsp:val=&quot;00526683&quot;/&gt;&lt;wsp:rsid wsp:val=&quot;005267DE&quot;/&gt;&lt;wsp:rsid wsp:val=&quot;00526D20&quot;/&gt;&lt;wsp:rsid wsp:val=&quot;00526F9F&quot;/&gt;&lt;wsp:rsid wsp:val=&quot;0052704F&quot;/&gt;&lt;wsp:rsid wsp:val=&quot;00527276&quot;/&gt;&lt;wsp:rsid wsp:val=&quot;00527B48&quot;/&gt;&lt;wsp:rsid wsp:val=&quot;00527BCF&quot;/&gt;&lt;wsp:rsid wsp:val=&quot;00527E9A&quot;/&gt;&lt;wsp:rsid wsp:val=&quot;00527EC2&quot;/&gt;&lt;wsp:rsid wsp:val=&quot;00527FCC&quot;/&gt;&lt;wsp:rsid wsp:val=&quot;0053070B&quot;/&gt;&lt;wsp:rsid wsp:val=&quot;00530791&quot;/&gt;&lt;wsp:rsid wsp:val=&quot;005308B4&quot;/&gt;&lt;wsp:rsid wsp:val=&quot;00530AA4&quot;/&gt;&lt;wsp:rsid wsp:val=&quot;00530BF0&quot;/&gt;&lt;wsp:rsid wsp:val=&quot;00530C9B&quot;/&gt;&lt;wsp:rsid wsp:val=&quot;00530D9B&quot;/&gt;&lt;wsp:rsid wsp:val=&quot;00530DE3&quot;/&gt;&lt;wsp:rsid wsp:val=&quot;005312E8&quot;/&gt;&lt;wsp:rsid wsp:val=&quot;0053143C&quot;/&gt;&lt;wsp:rsid wsp:val=&quot;00531C0A&quot;/&gt;&lt;wsp:rsid wsp:val=&quot;00532235&quot;/&gt;&lt;wsp:rsid wsp:val=&quot;00532278&quot;/&gt;&lt;wsp:rsid wsp:val=&quot;005322C3&quot;/&gt;&lt;wsp:rsid wsp:val=&quot;0053230D&quot;/&gt;&lt;wsp:rsid wsp:val=&quot;00532462&quot;/&gt;&lt;wsp:rsid wsp:val=&quot;0053262C&quot;/&gt;&lt;wsp:rsid wsp:val=&quot;005326AD&quot;/&gt;&lt;wsp:rsid wsp:val=&quot;005326D3&quot;/&gt;&lt;wsp:rsid wsp:val=&quot;0053276D&quot;/&gt;&lt;wsp:rsid wsp:val=&quot;00532B21&quot;/&gt;&lt;wsp:rsid wsp:val=&quot;00532B45&quot;/&gt;&lt;wsp:rsid wsp:val=&quot;00532C8F&quot;/&gt;&lt;wsp:rsid wsp:val=&quot;00532CD9&quot;/&gt;&lt;wsp:rsid wsp:val=&quot;00532F99&quot;/&gt;&lt;wsp:rsid wsp:val=&quot;005333A3&quot;/&gt;&lt;wsp:rsid wsp:val=&quot;00533614&quot;/&gt;&lt;wsp:rsid wsp:val=&quot;0053367B&quot;/&gt;&lt;wsp:rsid wsp:val=&quot;005338A0&quot;/&gt;&lt;wsp:rsid wsp:val=&quot;00533D2D&quot;/&gt;&lt;wsp:rsid wsp:val=&quot;00533DDE&quot;/&gt;&lt;wsp:rsid wsp:val=&quot;00533F2C&quot;/&gt;&lt;wsp:rsid wsp:val=&quot;005340A1&quot;/&gt;&lt;wsp:rsid wsp:val=&quot;00534327&quot;/&gt;&lt;wsp:rsid wsp:val=&quot;00534495&quot;/&gt;&lt;wsp:rsid wsp:val=&quot;005345BE&quot;/&gt;&lt;wsp:rsid wsp:val=&quot;0053490F&quot;/&gt;&lt;wsp:rsid wsp:val=&quot;005349C1&quot;/&gt;&lt;wsp:rsid wsp:val=&quot;00534A14&quot;/&gt;&lt;wsp:rsid wsp:val=&quot;00534CC1&quot;/&gt;&lt;wsp:rsid wsp:val=&quot;00535011&quot;/&gt;&lt;wsp:rsid wsp:val=&quot;0053524E&quot;/&gt;&lt;wsp:rsid wsp:val=&quot;0053598A&quot;/&gt;&lt;wsp:rsid wsp:val=&quot;00535A1F&quot;/&gt;&lt;wsp:rsid wsp:val=&quot;00535A26&quot;/&gt;&lt;wsp:rsid wsp:val=&quot;00535AA4&quot;/&gt;&lt;wsp:rsid wsp:val=&quot;00535AB3&quot;/&gt;&lt;wsp:rsid wsp:val=&quot;00536136&quot;/&gt;&lt;wsp:rsid wsp:val=&quot;005361DB&quot;/&gt;&lt;wsp:rsid wsp:val=&quot;00536459&quot;/&gt;&lt;wsp:rsid wsp:val=&quot;0053656E&quot;/&gt;&lt;wsp:rsid wsp:val=&quot;00536590&quot;/&gt;&lt;wsp:rsid wsp:val=&quot;00536827&quot;/&gt;&lt;wsp:rsid wsp:val=&quot;00536AF3&quot;/&gt;&lt;wsp:rsid wsp:val=&quot;00536B42&quot;/&gt;&lt;wsp:rsid wsp:val=&quot;00536DCB&quot;/&gt;&lt;wsp:rsid wsp:val=&quot;005371D2&quot;/&gt;&lt;wsp:rsid wsp:val=&quot;0053726B&quot;/&gt;&lt;wsp:rsid wsp:val=&quot;00537284&quot;/&gt;&lt;wsp:rsid wsp:val=&quot;005372FD&quot;/&gt;&lt;wsp:rsid wsp:val=&quot;005373D9&quot;/&gt;&lt;wsp:rsid wsp:val=&quot;005376B5&quot;/&gt;&lt;wsp:rsid wsp:val=&quot;005377D0&quot;/&gt;&lt;wsp:rsid wsp:val=&quot;00537862&quot;/&gt;&lt;wsp:rsid wsp:val=&quot;00537921&quot;/&gt;&lt;wsp:rsid wsp:val=&quot;0053797D&quot;/&gt;&lt;wsp:rsid wsp:val=&quot;00537A84&quot;/&gt;&lt;wsp:rsid wsp:val=&quot;00537EA5&quot;/&gt;&lt;wsp:rsid wsp:val=&quot;00537EB3&quot;/&gt;&lt;wsp:rsid wsp:val=&quot;00537F84&quot;/&gt;&lt;wsp:rsid wsp:val=&quot;005400D4&quot;/&gt;&lt;wsp:rsid wsp:val=&quot;00540465&quot;/&gt;&lt;wsp:rsid wsp:val=&quot;0054047D&quot;/&gt;&lt;wsp:rsid wsp:val=&quot;005405E9&quot;/&gt;&lt;wsp:rsid wsp:val=&quot;00540A88&quot;/&gt;&lt;wsp:rsid wsp:val=&quot;00540EB6&quot;/&gt;&lt;wsp:rsid wsp:val=&quot;00540F1F&quot;/&gt;&lt;wsp:rsid wsp:val=&quot;005410A4&quot;/&gt;&lt;wsp:rsid wsp:val=&quot;0054115F&quot;/&gt;&lt;wsp:rsid wsp:val=&quot;0054146B&quot;/&gt;&lt;wsp:rsid wsp:val=&quot;005415BE&quot;/&gt;&lt;wsp:rsid wsp:val=&quot;005416F9&quot;/&gt;&lt;wsp:rsid wsp:val=&quot;005417AF&quot;/&gt;&lt;wsp:rsid wsp:val=&quot;00541921&quot;/&gt;&lt;wsp:rsid wsp:val=&quot;00541C38&quot;/&gt;&lt;wsp:rsid wsp:val=&quot;00541CBB&quot;/&gt;&lt;wsp:rsid wsp:val=&quot;00541F14&quot;/&gt;&lt;wsp:rsid wsp:val=&quot;00542058&quot;/&gt;&lt;wsp:rsid wsp:val=&quot;0054207E&quot;/&gt;&lt;wsp:rsid wsp:val=&quot;005420CC&quot;/&gt;&lt;wsp:rsid wsp:val=&quot;0054214C&quot;/&gt;&lt;wsp:rsid wsp:val=&quot;005424E0&quot;/&gt;&lt;wsp:rsid wsp:val=&quot;005425AD&quot;/&gt;&lt;wsp:rsid wsp:val=&quot;00542812&quot;/&gt;&lt;wsp:rsid wsp:val=&quot;00542DC0&quot;/&gt;&lt;wsp:rsid wsp:val=&quot;00542E7D&quot;/&gt;&lt;wsp:rsid wsp:val=&quot;00542EC2&quot;/&gt;&lt;wsp:rsid wsp:val=&quot;00542FBD&quot;/&gt;&lt;wsp:rsid wsp:val=&quot;00543395&quot;/&gt;&lt;wsp:rsid wsp:val=&quot;005433B3&quot;/&gt;&lt;wsp:rsid wsp:val=&quot;00543750&quot;/&gt;&lt;wsp:rsid wsp:val=&quot;00543797&quot;/&gt;&lt;wsp:rsid wsp:val=&quot;005437EF&quot;/&gt;&lt;wsp:rsid wsp:val=&quot;00543926&quot;/&gt;&lt;wsp:rsid wsp:val=&quot;00543937&quot;/&gt;&lt;wsp:rsid wsp:val=&quot;00543A6D&quot;/&gt;&lt;wsp:rsid wsp:val=&quot;00543D25&quot;/&gt;&lt;wsp:rsid wsp:val=&quot;00543D29&quot;/&gt;&lt;wsp:rsid wsp:val=&quot;005442B2&quot;/&gt;&lt;wsp:rsid wsp:val=&quot;00544456&quot;/&gt;&lt;wsp:rsid wsp:val=&quot;00544576&quot;/&gt;&lt;wsp:rsid wsp:val=&quot;005445FC&quot;/&gt;&lt;wsp:rsid wsp:val=&quot;005447DC&quot;/&gt;&lt;wsp:rsid wsp:val=&quot;005449D5&quot;/&gt;&lt;wsp:rsid wsp:val=&quot;00544C69&quot;/&gt;&lt;wsp:rsid wsp:val=&quot;00544EF7&quot;/&gt;&lt;wsp:rsid wsp:val=&quot;005455EE&quot;/&gt;&lt;wsp:rsid wsp:val=&quot;0054589C&quot;/&gt;&lt;wsp:rsid wsp:val=&quot;00545A2B&quot;/&gt;&lt;wsp:rsid wsp:val=&quot;00545B2F&quot;/&gt;&lt;wsp:rsid wsp:val=&quot;00545CF0&quot;/&gt;&lt;wsp:rsid wsp:val=&quot;0054624B&quot;/&gt;&lt;wsp:rsid wsp:val=&quot;00546285&quot;/&gt;&lt;wsp:rsid wsp:val=&quot;0054639D&quot;/&gt;&lt;wsp:rsid wsp:val=&quot;005463C8&quot;/&gt;&lt;wsp:rsid wsp:val=&quot;00546774&quot;/&gt;&lt;wsp:rsid wsp:val=&quot;00546B9A&quot;/&gt;&lt;wsp:rsid wsp:val=&quot;00546D5C&quot;/&gt;&lt;wsp:rsid wsp:val=&quot;00547142&quot;/&gt;&lt;wsp:rsid wsp:val=&quot;00547241&quot;/&gt;&lt;wsp:rsid wsp:val=&quot;005476E3&quot;/&gt;&lt;wsp:rsid wsp:val=&quot;00547A95&quot;/&gt;&lt;wsp:rsid wsp:val=&quot;00547AB3&quot;/&gt;&lt;wsp:rsid wsp:val=&quot;00547D90&quot;/&gt;&lt;wsp:rsid wsp:val=&quot;00547DBD&quot;/&gt;&lt;wsp:rsid wsp:val=&quot;00547F12&quot;/&gt;&lt;wsp:rsid wsp:val=&quot;00547F4D&quot;/&gt;&lt;wsp:rsid wsp:val=&quot;00550352&quot;/&gt;&lt;wsp:rsid wsp:val=&quot;005503D9&quot;/&gt;&lt;wsp:rsid wsp:val=&quot;00550425&quot;/&gt;&lt;wsp:rsid wsp:val=&quot;00550627&quot;/&gt;&lt;wsp:rsid wsp:val=&quot;005508D6&quot;/&gt;&lt;wsp:rsid wsp:val=&quot;00550919&quot;/&gt;&lt;wsp:rsid wsp:val=&quot;00550CB2&quot;/&gt;&lt;wsp:rsid wsp:val=&quot;00550D69&quot;/&gt;&lt;wsp:rsid wsp:val=&quot;00550D70&quot;/&gt;&lt;wsp:rsid wsp:val=&quot;00551060&quot;/&gt;&lt;wsp:rsid wsp:val=&quot;005510AC&quot;/&gt;&lt;wsp:rsid wsp:val=&quot;005510F8&quot;/&gt;&lt;wsp:rsid wsp:val=&quot;00551157&quot;/&gt;&lt;wsp:rsid wsp:val=&quot;00551422&quot;/&gt;&lt;wsp:rsid wsp:val=&quot;00551E39&quot;/&gt;&lt;wsp:rsid wsp:val=&quot;00551E6C&quot;/&gt;&lt;wsp:rsid wsp:val=&quot;00551FC2&quot;/&gt;&lt;wsp:rsid wsp:val=&quot;005520BA&quot;/&gt;&lt;wsp:rsid wsp:val=&quot;00552948&quot;/&gt;&lt;wsp:rsid wsp:val=&quot;00552AB2&quot;/&gt;&lt;wsp:rsid wsp:val=&quot;00552BC2&quot;/&gt;&lt;wsp:rsid wsp:val=&quot;00552C6E&quot;/&gt;&lt;wsp:rsid wsp:val=&quot;00552E04&quot;/&gt;&lt;wsp:rsid wsp:val=&quot;00552F9B&quot;/&gt;&lt;wsp:rsid wsp:val=&quot;0055335E&quot;/&gt;&lt;wsp:rsid wsp:val=&quot;00553555&quot;/&gt;&lt;wsp:rsid wsp:val=&quot;00553652&quot;/&gt;&lt;wsp:rsid wsp:val=&quot;005536D3&quot;/&gt;&lt;wsp:rsid wsp:val=&quot;00553845&quot;/&gt;&lt;wsp:rsid wsp:val=&quot;00553903&quot;/&gt;&lt;wsp:rsid wsp:val=&quot;00553D04&quot;/&gt;&lt;wsp:rsid wsp:val=&quot;00553FC5&quot;/&gt;&lt;wsp:rsid wsp:val=&quot;00554130&quot;/&gt;&lt;wsp:rsid wsp:val=&quot;0055414F&quot;/&gt;&lt;wsp:rsid wsp:val=&quot;00554810&quot;/&gt;&lt;wsp:rsid wsp:val=&quot;0055489E&quot;/&gt;&lt;wsp:rsid wsp:val=&quot;00554CB0&quot;/&gt;&lt;wsp:rsid wsp:val=&quot;00555144&quot;/&gt;&lt;wsp:rsid wsp:val=&quot;00555677&quot;/&gt;&lt;wsp:rsid wsp:val=&quot;0055579E&quot;/&gt;&lt;wsp:rsid wsp:val=&quot;00555B4E&quot;/&gt;&lt;wsp:rsid wsp:val=&quot;00555D11&quot;/&gt;&lt;wsp:rsid wsp:val=&quot;00555E74&quot;/&gt;&lt;wsp:rsid wsp:val=&quot;005563A5&quot;/&gt;&lt;wsp:rsid wsp:val=&quot;005563F9&quot;/&gt;&lt;wsp:rsid wsp:val=&quot;0055646B&quot;/&gt;&lt;wsp:rsid wsp:val=&quot;00556920&quot;/&gt;&lt;wsp:rsid wsp:val=&quot;00556A3D&quot;/&gt;&lt;wsp:rsid wsp:val=&quot;00556B74&quot;/&gt;&lt;wsp:rsid wsp:val=&quot;00556CE8&quot;/&gt;&lt;wsp:rsid wsp:val=&quot;00556FBE&quot;/&gt;&lt;wsp:rsid wsp:val=&quot;00557524&quot;/&gt;&lt;wsp:rsid wsp:val=&quot;005577D0&quot;/&gt;&lt;wsp:rsid wsp:val=&quot;005578F5&quot;/&gt;&lt;wsp:rsid wsp:val=&quot;00557993&quot;/&gt;&lt;wsp:rsid wsp:val=&quot;00557EBF&quot;/&gt;&lt;wsp:rsid wsp:val=&quot;005603C4&quot;/&gt;&lt;wsp:rsid wsp:val=&quot;005603D5&quot;/&gt;&lt;wsp:rsid wsp:val=&quot;005605BC&quot;/&gt;&lt;wsp:rsid wsp:val=&quot;00560668&quot;/&gt;&lt;wsp:rsid wsp:val=&quot;00560696&quot;/&gt;&lt;wsp:rsid wsp:val=&quot;005606E3&quot;/&gt;&lt;wsp:rsid wsp:val=&quot;00560A5B&quot;/&gt;&lt;wsp:rsid wsp:val=&quot;00560ACC&quot;/&gt;&lt;wsp:rsid wsp:val=&quot;00560D12&quot;/&gt;&lt;wsp:rsid wsp:val=&quot;005610C0&quot;/&gt;&lt;wsp:rsid wsp:val=&quot;0056111A&quot;/&gt;&lt;wsp:rsid wsp:val=&quot;005612EE&quot;/&gt;&lt;wsp:rsid wsp:val=&quot;005612F5&quot;/&gt;&lt;wsp:rsid wsp:val=&quot;005618A6&quot;/&gt;&lt;wsp:rsid wsp:val=&quot;00561943&quot;/&gt;&lt;wsp:rsid wsp:val=&quot;005620C2&quot;/&gt;&lt;wsp:rsid wsp:val=&quot;00562381&quot;/&gt;&lt;wsp:rsid wsp:val=&quot;005626BF&quot;/&gt;&lt;wsp:rsid wsp:val=&quot;00562DF6&quot;/&gt;&lt;wsp:rsid wsp:val=&quot;005630E8&quot;/&gt;&lt;wsp:rsid wsp:val=&quot;005636AA&quot;/&gt;&lt;wsp:rsid wsp:val=&quot;00563727&quot;/&gt;&lt;wsp:rsid wsp:val=&quot;00563841&quot;/&gt;&lt;wsp:rsid wsp:val=&quot;0056386E&quot;/&gt;&lt;wsp:rsid wsp:val=&quot;00563881&quot;/&gt;&lt;wsp:rsid wsp:val=&quot;0056411E&quot;/&gt;&lt;wsp:rsid wsp:val=&quot;00564583&quot;/&gt;&lt;wsp:rsid wsp:val=&quot;00564D4A&quot;/&gt;&lt;wsp:rsid wsp:val=&quot;00564E6E&quot;/&gt;&lt;wsp:rsid wsp:val=&quot;00565209&quot;/&gt;&lt;wsp:rsid wsp:val=&quot;005653BD&quot;/&gt;&lt;wsp:rsid wsp:val=&quot;00565549&quot;/&gt;&lt;wsp:rsid wsp:val=&quot;00565758&quot;/&gt;&lt;wsp:rsid wsp:val=&quot;00565B2D&quot;/&gt;&lt;wsp:rsid wsp:val=&quot;00565BFD&quot;/&gt;&lt;wsp:rsid wsp:val=&quot;00565D74&quot;/&gt;&lt;wsp:rsid wsp:val=&quot;00566242&quot;/&gt;&lt;wsp:rsid wsp:val=&quot;00566722&quot;/&gt;&lt;wsp:rsid wsp:val=&quot;00566D0B&quot;/&gt;&lt;wsp:rsid wsp:val=&quot;00566F7C&quot;/&gt;&lt;wsp:rsid wsp:val=&quot;00567295&quot;/&gt;&lt;wsp:rsid wsp:val=&quot;00567471&quot;/&gt;&lt;wsp:rsid wsp:val=&quot;0056787D&quot;/&gt;&lt;wsp:rsid wsp:val=&quot;00567C59&quot;/&gt;&lt;wsp:rsid wsp:val=&quot;00567DC6&quot;/&gt;&lt;wsp:rsid wsp:val=&quot;00570208&quot;/&gt;&lt;wsp:rsid wsp:val=&quot;0057038E&quot;/&gt;&lt;wsp:rsid wsp:val=&quot;005704D7&quot;/&gt;&lt;wsp:rsid wsp:val=&quot;00570519&quot;/&gt;&lt;wsp:rsid wsp:val=&quot;0057059F&quot;/&gt;&lt;wsp:rsid wsp:val=&quot;005706FB&quot;/&gt;&lt;wsp:rsid wsp:val=&quot;005707AB&quot;/&gt;&lt;wsp:rsid wsp:val=&quot;00570BB8&quot;/&gt;&lt;wsp:rsid wsp:val=&quot;00570D13&quot;/&gt;&lt;wsp:rsid wsp:val=&quot;00570D8E&quot;/&gt;&lt;wsp:rsid wsp:val=&quot;00570F1B&quot;/&gt;&lt;wsp:rsid wsp:val=&quot;005714B2&quot;/&gt;&lt;wsp:rsid wsp:val=&quot;005714F0&quot;/&gt;&lt;wsp:rsid wsp:val=&quot;005717C5&quot;/&gt;&lt;wsp:rsid wsp:val=&quot;0057197B&quot;/&gt;&lt;wsp:rsid wsp:val=&quot;00571C5E&quot;/&gt;&lt;wsp:rsid wsp:val=&quot;00571D72&quot;/&gt;&lt;wsp:rsid wsp:val=&quot;00571F19&quot;/&gt;&lt;wsp:rsid wsp:val=&quot;00572165&quot;/&gt;&lt;wsp:rsid wsp:val=&quot;005721A6&quot;/&gt;&lt;wsp:rsid wsp:val=&quot;005724F3&quot;/&gt;&lt;wsp:rsid wsp:val=&quot;005727AE&quot;/&gt;&lt;wsp:rsid wsp:val=&quot;00572A9A&quot;/&gt;&lt;wsp:rsid wsp:val=&quot;00572ABB&quot;/&gt;&lt;wsp:rsid wsp:val=&quot;00572AF9&quot;/&gt;&lt;wsp:rsid wsp:val=&quot;00572DFF&quot;/&gt;&lt;wsp:rsid wsp:val=&quot;00572E9B&quot;/&gt;&lt;wsp:rsid wsp:val=&quot;00572FFB&quot;/&gt;&lt;wsp:rsid wsp:val=&quot;00573237&quot;/&gt;&lt;wsp:rsid wsp:val=&quot;005732D6&quot;/&gt;&lt;wsp:rsid wsp:val=&quot;0057340F&quot;/&gt;&lt;wsp:rsid wsp:val=&quot;00573613&quot;/&gt;&lt;wsp:rsid wsp:val=&quot;005737FD&quot;/&gt;&lt;wsp:rsid wsp:val=&quot;0057386B&quot;/&gt;&lt;wsp:rsid wsp:val=&quot;00573E63&quot;/&gt;&lt;wsp:rsid wsp:val=&quot;00574090&quot;/&gt;&lt;wsp:rsid wsp:val=&quot;00574110&quot;/&gt;&lt;wsp:rsid wsp:val=&quot;005743A0&quot;/&gt;&lt;wsp:rsid wsp:val=&quot;005743B3&quot;/&gt;&lt;wsp:rsid wsp:val=&quot;005744D9&quot;/&gt;&lt;wsp:rsid wsp:val=&quot;005744DA&quot;/&gt;&lt;wsp:rsid wsp:val=&quot;0057477A&quot;/&gt;&lt;wsp:rsid wsp:val=&quot;00574CAF&quot;/&gt;&lt;wsp:rsid wsp:val=&quot;00574CD8&quot;/&gt;&lt;wsp:rsid wsp:val=&quot;00574D51&quot;/&gt;&lt;wsp:rsid wsp:val=&quot;00575342&quot;/&gt;&lt;wsp:rsid wsp:val=&quot;005755E5&quot;/&gt;&lt;wsp:rsid wsp:val=&quot;00575968&quot;/&gt;&lt;wsp:rsid wsp:val=&quot;00575AAD&quot;/&gt;&lt;wsp:rsid wsp:val=&quot;00575ABD&quot;/&gt;&lt;wsp:rsid wsp:val=&quot;00575E70&quot;/&gt;&lt;wsp:rsid wsp:val=&quot;0057629E&quot;/&gt;&lt;wsp:rsid wsp:val=&quot;00576BE0&quot;/&gt;&lt;wsp:rsid wsp:val=&quot;00576C98&quot;/&gt;&lt;wsp:rsid wsp:val=&quot;0057702E&quot;/&gt;&lt;wsp:rsid wsp:val=&quot;00577112&quot;/&gt;&lt;wsp:rsid wsp:val=&quot;00577250&quot;/&gt;&lt;wsp:rsid wsp:val=&quot;0057743A&quot;/&gt;&lt;wsp:rsid wsp:val=&quot;0057744C&quot;/&gt;&lt;wsp:rsid wsp:val=&quot;005777DF&quot;/&gt;&lt;wsp:rsid wsp:val=&quot;0057783D&quot;/&gt;&lt;wsp:rsid wsp:val=&quot;00577F5F&quot;/&gt;&lt;wsp:rsid wsp:val=&quot;00577FCD&quot;/&gt;&lt;wsp:rsid wsp:val=&quot;00580803&quot;/&gt;&lt;wsp:rsid wsp:val=&quot;005809D8&quot;/&gt;&lt;wsp:rsid wsp:val=&quot;00580B16&quot;/&gt;&lt;wsp:rsid wsp:val=&quot;00580D77&quot;/&gt;&lt;wsp:rsid wsp:val=&quot;005813DB&quot;/&gt;&lt;wsp:rsid wsp:val=&quot;005815EE&quot;/&gt;&lt;wsp:rsid wsp:val=&quot;00581636&quot;/&gt;&lt;wsp:rsid wsp:val=&quot;005816A4&quot;/&gt;&lt;wsp:rsid wsp:val=&quot;00581A5E&quot;/&gt;&lt;wsp:rsid wsp:val=&quot;0058218F&quot;/&gt;&lt;wsp:rsid wsp:val=&quot;00582219&quot;/&gt;&lt;wsp:rsid wsp:val=&quot;005829FF&quot;/&gt;&lt;wsp:rsid wsp:val=&quot;00582A14&quot;/&gt;&lt;wsp:rsid wsp:val=&quot;00582A59&quot;/&gt;&lt;wsp:rsid wsp:val=&quot;00582B48&quot;/&gt;&lt;wsp:rsid wsp:val=&quot;00582CA0&quot;/&gt;&lt;wsp:rsid wsp:val=&quot;00582EB4&quot;/&gt;&lt;wsp:rsid wsp:val=&quot;00583137&quot;/&gt;&lt;wsp:rsid wsp:val=&quot;0058365A&quot;/&gt;&lt;wsp:rsid wsp:val=&quot;00583B8A&quot;/&gt;&lt;wsp:rsid wsp:val=&quot;00583D2A&quot;/&gt;&lt;wsp:rsid wsp:val=&quot;00583DDB&quot;/&gt;&lt;wsp:rsid wsp:val=&quot;0058445A&quot;/&gt;&lt;wsp:rsid wsp:val=&quot;005845B8&quot;/&gt;&lt;wsp:rsid wsp:val=&quot;00584746&quot;/&gt;&lt;wsp:rsid wsp:val=&quot;0058485D&quot;/&gt;&lt;wsp:rsid wsp:val=&quot;00584933&quot;/&gt;&lt;wsp:rsid wsp:val=&quot;00584B55&quot;/&gt;&lt;wsp:rsid wsp:val=&quot;00584CD1&quot;/&gt;&lt;wsp:rsid wsp:val=&quot;00584D59&quot;/&gt;&lt;wsp:rsid wsp:val=&quot;00585921&quot;/&gt;&lt;wsp:rsid wsp:val=&quot;00585A16&quot;/&gt;&lt;wsp:rsid wsp:val=&quot;00585D26&quot;/&gt;&lt;wsp:rsid wsp:val=&quot;00585F50&quot;/&gt;&lt;wsp:rsid wsp:val=&quot;00585FD1&quot;/&gt;&lt;wsp:rsid wsp:val=&quot;0058602B&quot;/&gt;&lt;wsp:rsid wsp:val=&quot;0058608A&quot;/&gt;&lt;wsp:rsid wsp:val=&quot;005865C7&quot;/&gt;&lt;wsp:rsid wsp:val=&quot;0058688B&quot;/&gt;&lt;wsp:rsid wsp:val=&quot;0058704B&quot;/&gt;&lt;wsp:rsid wsp:val=&quot;00587281&quot;/&gt;&lt;wsp:rsid wsp:val=&quot;005874CD&quot;/&gt;&lt;wsp:rsid wsp:val=&quot;005875B9&quot;/&gt;&lt;wsp:rsid wsp:val=&quot;0058761F&quot;/&gt;&lt;wsp:rsid wsp:val=&quot;005879A6&quot;/&gt;&lt;wsp:rsid wsp:val=&quot;00587B60&quot;/&gt;&lt;wsp:rsid wsp:val=&quot;00587CAC&quot;/&gt;&lt;wsp:rsid wsp:val=&quot;00587DA4&quot;/&gt;&lt;wsp:rsid wsp:val=&quot;00590011&quot;/&gt;&lt;wsp:rsid wsp:val=&quot;005901D7&quot;/&gt;&lt;wsp:rsid wsp:val=&quot;00590239&quot;/&gt;&lt;wsp:rsid wsp:val=&quot;005903B7&quot;/&gt;&lt;wsp:rsid wsp:val=&quot;00590506&quot;/&gt;&lt;wsp:rsid wsp:val=&quot;00590850&quot;/&gt;&lt;wsp:rsid wsp:val=&quot;00590A09&quot;/&gt;&lt;wsp:rsid wsp:val=&quot;00590A5B&quot;/&gt;&lt;wsp:rsid wsp:val=&quot;00590A83&quot;/&gt;&lt;wsp:rsid wsp:val=&quot;00590B48&quot;/&gt;&lt;wsp:rsid wsp:val=&quot;00590C9C&quot;/&gt;&lt;wsp:rsid wsp:val=&quot;00590CA3&quot;/&gt;&lt;wsp:rsid wsp:val=&quot;00590DB6&quot;/&gt;&lt;wsp:rsid wsp:val=&quot;00590DF3&quot;/&gt;&lt;wsp:rsid wsp:val=&quot;00590F34&quot;/&gt;&lt;wsp:rsid wsp:val=&quot;00591101&quot;/&gt;&lt;wsp:rsid wsp:val=&quot;005914F6&quot;/&gt;&lt;wsp:rsid wsp:val=&quot;0059169F&quot;/&gt;&lt;wsp:rsid wsp:val=&quot;00591738&quot;/&gt;&lt;wsp:rsid wsp:val=&quot;00591793&quot;/&gt;&lt;wsp:rsid wsp:val=&quot;00591E8C&quot;/&gt;&lt;wsp:rsid wsp:val=&quot;0059213D&quot;/&gt;&lt;wsp:rsid wsp:val=&quot;00592257&quot;/&gt;&lt;wsp:rsid wsp:val=&quot;00592286&quot;/&gt;&lt;wsp:rsid wsp:val=&quot;00592304&quot;/&gt;&lt;wsp:rsid wsp:val=&quot;00592498&quot;/&gt;&lt;wsp:rsid wsp:val=&quot;00592B06&quot;/&gt;&lt;wsp:rsid wsp:val=&quot;00592D54&quot;/&gt;&lt;wsp:rsid wsp:val=&quot;00593211&quot;/&gt;&lt;wsp:rsid wsp:val=&quot;00593502&quot;/&gt;&lt;wsp:rsid wsp:val=&quot;00593733&quot;/&gt;&lt;wsp:rsid wsp:val=&quot;00593782&quot;/&gt;&lt;wsp:rsid wsp:val=&quot;0059393E&quot;/&gt;&lt;wsp:rsid wsp:val=&quot;00593C42&quot;/&gt;&lt;wsp:rsid wsp:val=&quot;00593C9A&quot;/&gt;&lt;wsp:rsid wsp:val=&quot;00594086&quot;/&gt;&lt;wsp:rsid wsp:val=&quot;00594455&quot;/&gt;&lt;wsp:rsid wsp:val=&quot;00594483&quot;/&gt;&lt;wsp:rsid wsp:val=&quot;00594495&quot;/&gt;&lt;wsp:rsid wsp:val=&quot;00594DCA&quot;/&gt;&lt;wsp:rsid wsp:val=&quot;0059514D&quot;/&gt;&lt;wsp:rsid wsp:val=&quot;0059542F&quot;/&gt;&lt;wsp:rsid wsp:val=&quot;00595597&quot;/&gt;&lt;wsp:rsid wsp:val=&quot;00595A52&quot;/&gt;&lt;wsp:rsid wsp:val=&quot;00595A7C&quot;/&gt;&lt;wsp:rsid wsp:val=&quot;00595AA0&quot;/&gt;&lt;wsp:rsid wsp:val=&quot;00595EBD&quot;/&gt;&lt;wsp:rsid wsp:val=&quot;00595F94&quot;/&gt;&lt;wsp:rsid wsp:val=&quot;00596AF4&quot;/&gt;&lt;wsp:rsid wsp:val=&quot;00596C5E&quot;/&gt;&lt;wsp:rsid wsp:val=&quot;00596D74&quot;/&gt;&lt;wsp:rsid wsp:val=&quot;00596FA0&quot;/&gt;&lt;wsp:rsid wsp:val=&quot;00597191&quot;/&gt;&lt;wsp:rsid wsp:val=&quot;0059779D&quot;/&gt;&lt;wsp:rsid wsp:val=&quot;00597844&quot;/&gt;&lt;wsp:rsid wsp:val=&quot;00597B3B&quot;/&gt;&lt;wsp:rsid wsp:val=&quot;00597B86&quot;/&gt;&lt;wsp:rsid wsp:val=&quot;00597BBD&quot;/&gt;&lt;wsp:rsid wsp:val=&quot;005A0228&quot;/&gt;&lt;wsp:rsid wsp:val=&quot;005A0802&quot;/&gt;&lt;wsp:rsid wsp:val=&quot;005A08F8&quot;/&gt;&lt;wsp:rsid wsp:val=&quot;005A09CE&quot;/&gt;&lt;wsp:rsid wsp:val=&quot;005A1366&quot;/&gt;&lt;wsp:rsid wsp:val=&quot;005A155F&quot;/&gt;&lt;wsp:rsid wsp:val=&quot;005A1817&quot;/&gt;&lt;wsp:rsid wsp:val=&quot;005A1BDD&quot;/&gt;&lt;wsp:rsid wsp:val=&quot;005A1D17&quot;/&gt;&lt;wsp:rsid wsp:val=&quot;005A1E58&quot;/&gt;&lt;wsp:rsid wsp:val=&quot;005A205C&quot;/&gt;&lt;wsp:rsid wsp:val=&quot;005A25CF&quot;/&gt;&lt;wsp:rsid wsp:val=&quot;005A26C6&quot;/&gt;&lt;wsp:rsid wsp:val=&quot;005A2735&quot;/&gt;&lt;wsp:rsid wsp:val=&quot;005A277D&quot;/&gt;&lt;wsp:rsid wsp:val=&quot;005A320D&quot;/&gt;&lt;wsp:rsid wsp:val=&quot;005A3447&quot;/&gt;&lt;wsp:rsid wsp:val=&quot;005A37F0&quot;/&gt;&lt;wsp:rsid wsp:val=&quot;005A3A4B&quot;/&gt;&lt;wsp:rsid wsp:val=&quot;005A3C0F&quot;/&gt;&lt;wsp:rsid wsp:val=&quot;005A40CA&quot;/&gt;&lt;wsp:rsid wsp:val=&quot;005A4199&quot;/&gt;&lt;wsp:rsid wsp:val=&quot;005A43E7&quot;/&gt;&lt;wsp:rsid wsp:val=&quot;005A49AF&quot;/&gt;&lt;wsp:rsid wsp:val=&quot;005A4BDC&quot;/&gt;&lt;wsp:rsid wsp:val=&quot;005A4D65&quot;/&gt;&lt;wsp:rsid wsp:val=&quot;005A5510&quot;/&gt;&lt;wsp:rsid wsp:val=&quot;005A568A&quot;/&gt;&lt;wsp:rsid wsp:val=&quot;005A6243&quot;/&gt;&lt;wsp:rsid wsp:val=&quot;005A63BF&quot;/&gt;&lt;wsp:rsid wsp:val=&quot;005A63DF&quot;/&gt;&lt;wsp:rsid wsp:val=&quot;005A644D&quot;/&gt;&lt;wsp:rsid wsp:val=&quot;005A65B0&quot;/&gt;&lt;wsp:rsid wsp:val=&quot;005A666C&quot;/&gt;&lt;wsp:rsid wsp:val=&quot;005A668D&quot;/&gt;&lt;wsp:rsid wsp:val=&quot;005A681E&quot;/&gt;&lt;wsp:rsid wsp:val=&quot;005A6898&quot;/&gt;&lt;wsp:rsid wsp:val=&quot;005A6A8C&quot;/&gt;&lt;wsp:rsid wsp:val=&quot;005A6D5F&quot;/&gt;&lt;wsp:rsid wsp:val=&quot;005A6DB6&quot;/&gt;&lt;wsp:rsid wsp:val=&quot;005A6E25&quot;/&gt;&lt;wsp:rsid wsp:val=&quot;005A736D&quot;/&gt;&lt;wsp:rsid wsp:val=&quot;005A75BB&quot;/&gt;&lt;wsp:rsid wsp:val=&quot;005A771F&quot;/&gt;&lt;wsp:rsid wsp:val=&quot;005A773B&quot;/&gt;&lt;wsp:rsid wsp:val=&quot;005A7D3A&quot;/&gt;&lt;wsp:rsid wsp:val=&quot;005B0267&quot;/&gt;&lt;wsp:rsid wsp:val=&quot;005B0398&quot;/&gt;&lt;wsp:rsid wsp:val=&quot;005B068E&quot;/&gt;&lt;wsp:rsid wsp:val=&quot;005B0700&quot;/&gt;&lt;wsp:rsid wsp:val=&quot;005B09A5&quot;/&gt;&lt;wsp:rsid wsp:val=&quot;005B09C8&quot;/&gt;&lt;wsp:rsid wsp:val=&quot;005B0A73&quot;/&gt;&lt;wsp:rsid wsp:val=&quot;005B0F0F&quot;/&gt;&lt;wsp:rsid wsp:val=&quot;005B11A2&quot;/&gt;&lt;wsp:rsid wsp:val=&quot;005B1273&quot;/&gt;&lt;wsp:rsid wsp:val=&quot;005B130E&quot;/&gt;&lt;wsp:rsid wsp:val=&quot;005B1453&quot;/&gt;&lt;wsp:rsid wsp:val=&quot;005B17A4&quot;/&gt;&lt;wsp:rsid wsp:val=&quot;005B1F14&quot;/&gt;&lt;wsp:rsid wsp:val=&quot;005B1F99&quot;/&gt;&lt;wsp:rsid wsp:val=&quot;005B2000&quot;/&gt;&lt;wsp:rsid wsp:val=&quot;005B256D&quot;/&gt;&lt;wsp:rsid wsp:val=&quot;005B2892&quot;/&gt;&lt;wsp:rsid wsp:val=&quot;005B2AAC&quot;/&gt;&lt;wsp:rsid wsp:val=&quot;005B2D50&quot;/&gt;&lt;wsp:rsid wsp:val=&quot;005B2E7B&quot;/&gt;&lt;wsp:rsid wsp:val=&quot;005B2E7D&quot;/&gt;&lt;wsp:rsid wsp:val=&quot;005B3119&quot;/&gt;&lt;wsp:rsid wsp:val=&quot;005B31F5&quot;/&gt;&lt;wsp:rsid wsp:val=&quot;005B32A2&quot;/&gt;&lt;wsp:rsid wsp:val=&quot;005B34CF&quot;/&gt;&lt;wsp:rsid wsp:val=&quot;005B3639&quot;/&gt;&lt;wsp:rsid wsp:val=&quot;005B3844&quot;/&gt;&lt;wsp:rsid wsp:val=&quot;005B392A&quot;/&gt;&lt;wsp:rsid wsp:val=&quot;005B3AD5&quot;/&gt;&lt;wsp:rsid wsp:val=&quot;005B3D34&quot;/&gt;&lt;wsp:rsid wsp:val=&quot;005B3DEF&quot;/&gt;&lt;wsp:rsid wsp:val=&quot;005B3E0D&quot;/&gt;&lt;wsp:rsid wsp:val=&quot;005B413B&quot;/&gt;&lt;wsp:rsid wsp:val=&quot;005B47DA&quot;/&gt;&lt;wsp:rsid wsp:val=&quot;005B4D02&quot;/&gt;&lt;wsp:rsid wsp:val=&quot;005B4D0A&quot;/&gt;&lt;wsp:rsid wsp:val=&quot;005B4D29&quot;/&gt;&lt;wsp:rsid wsp:val=&quot;005B4F35&quot;/&gt;&lt;wsp:rsid wsp:val=&quot;005B5500&quot;/&gt;&lt;wsp:rsid wsp:val=&quot;005B5A6A&quot;/&gt;&lt;wsp:rsid wsp:val=&quot;005B5AB8&quot;/&gt;&lt;wsp:rsid wsp:val=&quot;005B5B66&quot;/&gt;&lt;wsp:rsid wsp:val=&quot;005B5D50&quot;/&gt;&lt;wsp:rsid wsp:val=&quot;005B5F89&quot;/&gt;&lt;wsp:rsid wsp:val=&quot;005B6039&quot;/&gt;&lt;wsp:rsid wsp:val=&quot;005B61ED&quot;/&gt;&lt;wsp:rsid wsp:val=&quot;005B642F&quot;/&gt;&lt;wsp:rsid wsp:val=&quot;005B64A6&quot;/&gt;&lt;wsp:rsid wsp:val=&quot;005B65A5&quot;/&gt;&lt;wsp:rsid wsp:val=&quot;005B677E&quot;/&gt;&lt;wsp:rsid wsp:val=&quot;005B67C4&quot;/&gt;&lt;wsp:rsid wsp:val=&quot;005B6915&quot;/&gt;&lt;wsp:rsid wsp:val=&quot;005B6A11&quot;/&gt;&lt;wsp:rsid wsp:val=&quot;005B7010&quot;/&gt;&lt;wsp:rsid wsp:val=&quot;005B7052&quot;/&gt;&lt;wsp:rsid wsp:val=&quot;005B71D6&quot;/&gt;&lt;wsp:rsid wsp:val=&quot;005B7551&quot;/&gt;&lt;wsp:rsid wsp:val=&quot;005B787D&quot;/&gt;&lt;wsp:rsid wsp:val=&quot;005B7E99&quot;/&gt;&lt;wsp:rsid wsp:val=&quot;005C00C3&quot;/&gt;&lt;wsp:rsid wsp:val=&quot;005C05E7&quot;/&gt;&lt;wsp:rsid wsp:val=&quot;005C0811&quot;/&gt;&lt;wsp:rsid wsp:val=&quot;005C0896&quot;/&gt;&lt;wsp:rsid wsp:val=&quot;005C0993&quot;/&gt;&lt;wsp:rsid wsp:val=&quot;005C0AD1&quot;/&gt;&lt;wsp:rsid wsp:val=&quot;005C0C89&quot;/&gt;&lt;wsp:rsid wsp:val=&quot;005C0F15&quot;/&gt;&lt;wsp:rsid wsp:val=&quot;005C1324&quot;/&gt;&lt;wsp:rsid wsp:val=&quot;005C164D&quot;/&gt;&lt;wsp:rsid wsp:val=&quot;005C18FC&quot;/&gt;&lt;wsp:rsid wsp:val=&quot;005C19AF&quot;/&gt;&lt;wsp:rsid wsp:val=&quot;005C19C2&quot;/&gt;&lt;wsp:rsid wsp:val=&quot;005C1C8C&quot;/&gt;&lt;wsp:rsid wsp:val=&quot;005C1CAB&quot;/&gt;&lt;wsp:rsid wsp:val=&quot;005C20C0&quot;/&gt;&lt;wsp:rsid wsp:val=&quot;005C2455&quot;/&gt;&lt;wsp:rsid wsp:val=&quot;005C252B&quot;/&gt;&lt;wsp:rsid wsp:val=&quot;005C2651&quot;/&gt;&lt;wsp:rsid wsp:val=&quot;005C26C3&quot;/&gt;&lt;wsp:rsid wsp:val=&quot;005C27AE&quot;/&gt;&lt;wsp:rsid wsp:val=&quot;005C28F9&quot;/&gt;&lt;wsp:rsid wsp:val=&quot;005C291F&quot;/&gt;&lt;wsp:rsid wsp:val=&quot;005C2A5B&quot;/&gt;&lt;wsp:rsid wsp:val=&quot;005C2C77&quot;/&gt;&lt;wsp:rsid wsp:val=&quot;005C2D77&quot;/&gt;&lt;wsp:rsid wsp:val=&quot;005C2E16&quot;/&gt;&lt;wsp:rsid wsp:val=&quot;005C307B&quot;/&gt;&lt;wsp:rsid wsp:val=&quot;005C30A3&quot;/&gt;&lt;wsp:rsid wsp:val=&quot;005C3184&quot;/&gt;&lt;wsp:rsid wsp:val=&quot;005C3274&quot;/&gt;&lt;wsp:rsid wsp:val=&quot;005C34E3&quot;/&gt;&lt;wsp:rsid wsp:val=&quot;005C354A&quot;/&gt;&lt;wsp:rsid wsp:val=&quot;005C3670&quot;/&gt;&lt;wsp:rsid wsp:val=&quot;005C36A6&quot;/&gt;&lt;wsp:rsid wsp:val=&quot;005C379A&quot;/&gt;&lt;wsp:rsid wsp:val=&quot;005C388A&quot;/&gt;&lt;wsp:rsid wsp:val=&quot;005C3B06&quot;/&gt;&lt;wsp:rsid wsp:val=&quot;005C3CE0&quot;/&gt;&lt;wsp:rsid wsp:val=&quot;005C41FC&quot;/&gt;&lt;wsp:rsid wsp:val=&quot;005C4222&quot;/&gt;&lt;wsp:rsid wsp:val=&quot;005C431E&quot;/&gt;&lt;wsp:rsid wsp:val=&quot;005C44B0&quot;/&gt;&lt;wsp:rsid wsp:val=&quot;005C44C5&quot;/&gt;&lt;wsp:rsid wsp:val=&quot;005C48A3&quot;/&gt;&lt;wsp:rsid wsp:val=&quot;005C4BA0&quot;/&gt;&lt;wsp:rsid wsp:val=&quot;005C4C05&quot;/&gt;&lt;wsp:rsid wsp:val=&quot;005C4C50&quot;/&gt;&lt;wsp:rsid wsp:val=&quot;005C4D37&quot;/&gt;&lt;wsp:rsid wsp:val=&quot;005C4D3E&quot;/&gt;&lt;wsp:rsid wsp:val=&quot;005C54EC&quot;/&gt;&lt;wsp:rsid wsp:val=&quot;005C585A&quot;/&gt;&lt;wsp:rsid wsp:val=&quot;005C5E06&quot;/&gt;&lt;wsp:rsid wsp:val=&quot;005C5F73&quot;/&gt;&lt;wsp:rsid wsp:val=&quot;005C60FA&quot;/&gt;&lt;wsp:rsid wsp:val=&quot;005C6138&quot;/&gt;&lt;wsp:rsid wsp:val=&quot;005C6519&quot;/&gt;&lt;wsp:rsid wsp:val=&quot;005C668B&quot;/&gt;&lt;wsp:rsid wsp:val=&quot;005C66AF&quot;/&gt;&lt;wsp:rsid wsp:val=&quot;005C6872&quot;/&gt;&lt;wsp:rsid wsp:val=&quot;005C6B52&quot;/&gt;&lt;wsp:rsid wsp:val=&quot;005C6BF9&quot;/&gt;&lt;wsp:rsid wsp:val=&quot;005C6ED8&quot;/&gt;&lt;wsp:rsid wsp:val=&quot;005C7339&quot;/&gt;&lt;wsp:rsid wsp:val=&quot;005C73F4&quot;/&gt;&lt;wsp:rsid wsp:val=&quot;005C74A3&quot;/&gt;&lt;wsp:rsid wsp:val=&quot;005C74E1&quot;/&gt;&lt;wsp:rsid wsp:val=&quot;005C76E2&quot;/&gt;&lt;wsp:rsid wsp:val=&quot;005C7C0B&quot;/&gt;&lt;wsp:rsid wsp:val=&quot;005D02E1&quot;/&gt;&lt;wsp:rsid wsp:val=&quot;005D0338&quot;/&gt;&lt;wsp:rsid wsp:val=&quot;005D03F1&quot;/&gt;&lt;wsp:rsid wsp:val=&quot;005D0562&quot;/&gt;&lt;wsp:rsid wsp:val=&quot;005D094D&quot;/&gt;&lt;wsp:rsid wsp:val=&quot;005D09CB&quot;/&gt;&lt;wsp:rsid wsp:val=&quot;005D0A28&quot;/&gt;&lt;wsp:rsid wsp:val=&quot;005D0BF5&quot;/&gt;&lt;wsp:rsid wsp:val=&quot;005D0D9E&quot;/&gt;&lt;wsp:rsid wsp:val=&quot;005D0DE0&quot;/&gt;&lt;wsp:rsid wsp:val=&quot;005D1422&quot;/&gt;&lt;wsp:rsid wsp:val=&quot;005D17EB&quot;/&gt;&lt;wsp:rsid wsp:val=&quot;005D1865&quot;/&gt;&lt;wsp:rsid wsp:val=&quot;005D1AB4&quot;/&gt;&lt;wsp:rsid wsp:val=&quot;005D1AD9&quot;/&gt;&lt;wsp:rsid wsp:val=&quot;005D1E71&quot;/&gt;&lt;wsp:rsid wsp:val=&quot;005D20C3&quot;/&gt;&lt;wsp:rsid wsp:val=&quot;005D22AB&quot;/&gt;&lt;wsp:rsid wsp:val=&quot;005D2415&quot;/&gt;&lt;wsp:rsid wsp:val=&quot;005D27A1&quot;/&gt;&lt;wsp:rsid wsp:val=&quot;005D27E6&quot;/&gt;&lt;wsp:rsid wsp:val=&quot;005D2CA4&quot;/&gt;&lt;wsp:rsid wsp:val=&quot;005D2EFC&quot;/&gt;&lt;wsp:rsid wsp:val=&quot;005D2FA9&quot;/&gt;&lt;wsp:rsid wsp:val=&quot;005D33CB&quot;/&gt;&lt;wsp:rsid wsp:val=&quot;005D3400&quot;/&gt;&lt;wsp:rsid wsp:val=&quot;005D3827&quot;/&gt;&lt;wsp:rsid wsp:val=&quot;005D4269&quot;/&gt;&lt;wsp:rsid wsp:val=&quot;005D459F&quot;/&gt;&lt;wsp:rsid wsp:val=&quot;005D47D1&quot;/&gt;&lt;wsp:rsid wsp:val=&quot;005D4880&quot;/&gt;&lt;wsp:rsid wsp:val=&quot;005D49BE&quot;/&gt;&lt;wsp:rsid wsp:val=&quot;005D4E19&quot;/&gt;&lt;wsp:rsid wsp:val=&quot;005D4FD7&quot;/&gt;&lt;wsp:rsid wsp:val=&quot;005D5087&quot;/&gt;&lt;wsp:rsid wsp:val=&quot;005D5200&quot;/&gt;&lt;wsp:rsid wsp:val=&quot;005D543E&quot;/&gt;&lt;wsp:rsid wsp:val=&quot;005D5A77&quot;/&gt;&lt;wsp:rsid wsp:val=&quot;005D5DFA&quot;/&gt;&lt;wsp:rsid wsp:val=&quot;005D603F&quot;/&gt;&lt;wsp:rsid wsp:val=&quot;005D6465&quot;/&gt;&lt;wsp:rsid wsp:val=&quot;005D6501&quot;/&gt;&lt;wsp:rsid wsp:val=&quot;005D66DC&quot;/&gt;&lt;wsp:rsid wsp:val=&quot;005D6993&quot;/&gt;&lt;wsp:rsid wsp:val=&quot;005D6BE2&quot;/&gt;&lt;wsp:rsid wsp:val=&quot;005D6CEC&quot;/&gt;&lt;wsp:rsid wsp:val=&quot;005D6D01&quot;/&gt;&lt;wsp:rsid wsp:val=&quot;005D6DE6&quot;/&gt;&lt;wsp:rsid wsp:val=&quot;005D6E29&quot;/&gt;&lt;wsp:rsid wsp:val=&quot;005D726E&quot;/&gt;&lt;wsp:rsid wsp:val=&quot;005D730F&quot;/&gt;&lt;wsp:rsid wsp:val=&quot;005D733F&quot;/&gt;&lt;wsp:rsid wsp:val=&quot;005D76E1&quot;/&gt;&lt;wsp:rsid wsp:val=&quot;005D76EA&quot;/&gt;&lt;wsp:rsid wsp:val=&quot;005D77AF&quot;/&gt;&lt;wsp:rsid wsp:val=&quot;005D7807&quot;/&gt;&lt;wsp:rsid wsp:val=&quot;005D7837&quot;/&gt;&lt;wsp:rsid wsp:val=&quot;005D7A5B&quot;/&gt;&lt;wsp:rsid wsp:val=&quot;005D7C0C&quot;/&gt;&lt;wsp:rsid wsp:val=&quot;005D7C63&quot;/&gt;&lt;wsp:rsid wsp:val=&quot;005E01F5&quot;/&gt;&lt;wsp:rsid wsp:val=&quot;005E02A8&quot;/&gt;&lt;wsp:rsid wsp:val=&quot;005E03EB&quot;/&gt;&lt;wsp:rsid wsp:val=&quot;005E0A39&quot;/&gt;&lt;wsp:rsid wsp:val=&quot;005E0AB2&quot;/&gt;&lt;wsp:rsid wsp:val=&quot;005E0F79&quot;/&gt;&lt;wsp:rsid wsp:val=&quot;005E1748&quot;/&gt;&lt;wsp:rsid wsp:val=&quot;005E181A&quot;/&gt;&lt;wsp:rsid wsp:val=&quot;005E19BA&quot;/&gt;&lt;wsp:rsid wsp:val=&quot;005E1A1F&quot;/&gt;&lt;wsp:rsid wsp:val=&quot;005E1B39&quot;/&gt;&lt;wsp:rsid wsp:val=&quot;005E1B7C&quot;/&gt;&lt;wsp:rsid wsp:val=&quot;005E2081&quot;/&gt;&lt;wsp:rsid wsp:val=&quot;005E21AD&quot;/&gt;&lt;wsp:rsid wsp:val=&quot;005E284B&quot;/&gt;&lt;wsp:rsid wsp:val=&quot;005E2969&quot;/&gt;&lt;wsp:rsid wsp:val=&quot;005E2A7F&quot;/&gt;&lt;wsp:rsid wsp:val=&quot;005E2A8F&quot;/&gt;&lt;wsp:rsid wsp:val=&quot;005E2BDA&quot;/&gt;&lt;wsp:rsid wsp:val=&quot;005E2C7B&quot;/&gt;&lt;wsp:rsid wsp:val=&quot;005E320A&quot;/&gt;&lt;wsp:rsid wsp:val=&quot;005E3428&quot;/&gt;&lt;wsp:rsid wsp:val=&quot;005E36D9&quot;/&gt;&lt;wsp:rsid wsp:val=&quot;005E3A17&quot;/&gt;&lt;wsp:rsid wsp:val=&quot;005E3A74&quot;/&gt;&lt;wsp:rsid wsp:val=&quot;005E4715&quot;/&gt;&lt;wsp:rsid wsp:val=&quot;005E4740&quot;/&gt;&lt;wsp:rsid wsp:val=&quot;005E484B&quot;/&gt;&lt;wsp:rsid wsp:val=&quot;005E485E&quot;/&gt;&lt;wsp:rsid wsp:val=&quot;005E497E&quot;/&gt;&lt;wsp:rsid wsp:val=&quot;005E49F5&quot;/&gt;&lt;wsp:rsid wsp:val=&quot;005E4B5C&quot;/&gt;&lt;wsp:rsid wsp:val=&quot;005E4B7D&quot;/&gt;&lt;wsp:rsid wsp:val=&quot;005E4D33&quot;/&gt;&lt;wsp:rsid wsp:val=&quot;005E4E03&quot;/&gt;&lt;wsp:rsid wsp:val=&quot;005E4FD7&quot;/&gt;&lt;wsp:rsid wsp:val=&quot;005E4FE9&quot;/&gt;&lt;wsp:rsid wsp:val=&quot;005E50D6&quot;/&gt;&lt;wsp:rsid wsp:val=&quot;005E520F&quot;/&gt;&lt;wsp:rsid wsp:val=&quot;005E5245&quot;/&gt;&lt;wsp:rsid wsp:val=&quot;005E534E&quot;/&gt;&lt;wsp:rsid wsp:val=&quot;005E555A&quot;/&gt;&lt;wsp:rsid wsp:val=&quot;005E5672&quot;/&gt;&lt;wsp:rsid wsp:val=&quot;005E5893&quot;/&gt;&lt;wsp:rsid wsp:val=&quot;005E5C96&quot;/&gt;&lt;wsp:rsid wsp:val=&quot;005E5E30&quot;/&gt;&lt;wsp:rsid wsp:val=&quot;005E5E74&quot;/&gt;&lt;wsp:rsid wsp:val=&quot;005E640E&quot;/&gt;&lt;wsp:rsid wsp:val=&quot;005E65A9&quot;/&gt;&lt;wsp:rsid wsp:val=&quot;005E6A03&quot;/&gt;&lt;wsp:rsid wsp:val=&quot;005E6ACF&quot;/&gt;&lt;wsp:rsid wsp:val=&quot;005E6BE5&quot;/&gt;&lt;wsp:rsid wsp:val=&quot;005E6CD2&quot;/&gt;&lt;wsp:rsid wsp:val=&quot;005E6D02&quot;/&gt;&lt;wsp:rsid wsp:val=&quot;005E72D1&quot;/&gt;&lt;wsp:rsid wsp:val=&quot;005E75D1&quot;/&gt;&lt;wsp:rsid wsp:val=&quot;005E7926&quot;/&gt;&lt;wsp:rsid wsp:val=&quot;005E79AA&quot;/&gt;&lt;wsp:rsid wsp:val=&quot;005E7C62&quot;/&gt;&lt;wsp:rsid wsp:val=&quot;005E7D4A&quot;/&gt;&lt;wsp:rsid wsp:val=&quot;005E7F0E&quot;/&gt;&lt;wsp:rsid wsp:val=&quot;005E7F44&quot;/&gt;&lt;wsp:rsid wsp:val=&quot;005F0003&quot;/&gt;&lt;wsp:rsid wsp:val=&quot;005F004B&quot;/&gt;&lt;wsp:rsid wsp:val=&quot;005F0168&quot;/&gt;&lt;wsp:rsid wsp:val=&quot;005F01D1&quot;/&gt;&lt;wsp:rsid wsp:val=&quot;005F04D8&quot;/&gt;&lt;wsp:rsid wsp:val=&quot;005F09A3&quot;/&gt;&lt;wsp:rsid wsp:val=&quot;005F0A1D&quot;/&gt;&lt;wsp:rsid wsp:val=&quot;005F0BFF&quot;/&gt;&lt;wsp:rsid wsp:val=&quot;005F0D97&quot;/&gt;&lt;wsp:rsid wsp:val=&quot;005F0DAF&quot;/&gt;&lt;wsp:rsid wsp:val=&quot;005F0FDF&quot;/&gt;&lt;wsp:rsid wsp:val=&quot;005F182E&quot;/&gt;&lt;wsp:rsid wsp:val=&quot;005F192B&quot;/&gt;&lt;wsp:rsid wsp:val=&quot;005F1E86&quot;/&gt;&lt;wsp:rsid wsp:val=&quot;005F2131&quot;/&gt;&lt;wsp:rsid wsp:val=&quot;005F29F4&quot;/&gt;&lt;wsp:rsid wsp:val=&quot;005F2A61&quot;/&gt;&lt;wsp:rsid wsp:val=&quot;005F2C79&quot;/&gt;&lt;wsp:rsid wsp:val=&quot;005F2C9A&quot;/&gt;&lt;wsp:rsid wsp:val=&quot;005F2DCE&quot;/&gt;&lt;wsp:rsid wsp:val=&quot;005F304F&quot;/&gt;&lt;wsp:rsid wsp:val=&quot;005F33A8&quot;/&gt;&lt;wsp:rsid wsp:val=&quot;005F3619&quot;/&gt;&lt;wsp:rsid wsp:val=&quot;005F37D1&quot;/&gt;&lt;wsp:rsid wsp:val=&quot;005F3C98&quot;/&gt;&lt;wsp:rsid wsp:val=&quot;005F3CDD&quot;/&gt;&lt;wsp:rsid wsp:val=&quot;005F3D4F&quot;/&gt;&lt;wsp:rsid wsp:val=&quot;005F42E9&quot;/&gt;&lt;wsp:rsid wsp:val=&quot;005F432B&quot;/&gt;&lt;wsp:rsid wsp:val=&quot;005F4417&quot;/&gt;&lt;wsp:rsid wsp:val=&quot;005F4895&quot;/&gt;&lt;wsp:rsid wsp:val=&quot;005F4CDF&quot;/&gt;&lt;wsp:rsid wsp:val=&quot;005F4DBB&quot;/&gt;&lt;wsp:rsid wsp:val=&quot;005F4ECE&quot;/&gt;&lt;wsp:rsid wsp:val=&quot;005F4FB0&quot;/&gt;&lt;wsp:rsid wsp:val=&quot;005F5002&quot;/&gt;&lt;wsp:rsid wsp:val=&quot;005F51B7&quot;/&gt;&lt;wsp:rsid wsp:val=&quot;005F52DB&quot;/&gt;&lt;wsp:rsid wsp:val=&quot;005F5995&quot;/&gt;&lt;wsp:rsid wsp:val=&quot;005F5B3B&quot;/&gt;&lt;wsp:rsid wsp:val=&quot;005F60A3&quot;/&gt;&lt;wsp:rsid wsp:val=&quot;005F659D&quot;/&gt;&lt;wsp:rsid wsp:val=&quot;005F688A&quot;/&gt;&lt;wsp:rsid wsp:val=&quot;005F6C3F&quot;/&gt;&lt;wsp:rsid wsp:val=&quot;005F7A20&quot;/&gt;&lt;wsp:rsid wsp:val=&quot;005F7B91&quot;/&gt;&lt;wsp:rsid wsp:val=&quot;005F7BDD&quot;/&gt;&lt;wsp:rsid wsp:val=&quot;005F7CB3&quot;/&gt;&lt;wsp:rsid wsp:val=&quot;005F7CF7&quot;/&gt;&lt;wsp:rsid wsp:val=&quot;006000DF&quot;/&gt;&lt;wsp:rsid wsp:val=&quot;006002DC&quot;/&gt;&lt;wsp:rsid wsp:val=&quot;00600314&quot;/&gt;&lt;wsp:rsid wsp:val=&quot;00600360&quot;/&gt;&lt;wsp:rsid wsp:val=&quot;00600463&quot;/&gt;&lt;wsp:rsid wsp:val=&quot;0060046F&quot;/&gt;&lt;wsp:rsid wsp:val=&quot;00600C36&quot;/&gt;&lt;wsp:rsid wsp:val=&quot;00600EF6&quot;/&gt;&lt;wsp:rsid wsp:val=&quot;00600FE9&quot;/&gt;&lt;wsp:rsid wsp:val=&quot;0060192D&quot;/&gt;&lt;wsp:rsid wsp:val=&quot;006019FD&quot;/&gt;&lt;wsp:rsid wsp:val=&quot;00601B85&quot;/&gt;&lt;wsp:rsid wsp:val=&quot;00602366&quot;/&gt;&lt;wsp:rsid wsp:val=&quot;00602B25&quot;/&gt;&lt;wsp:rsid wsp:val=&quot;00602B4E&quot;/&gt;&lt;wsp:rsid wsp:val=&quot;00602BFE&quot;/&gt;&lt;wsp:rsid wsp:val=&quot;00602C2F&quot;/&gt;&lt;wsp:rsid wsp:val=&quot;00602DC8&quot;/&gt;&lt;wsp:rsid wsp:val=&quot;00602EC7&quot;/&gt;&lt;wsp:rsid wsp:val=&quot;00602F8C&quot;/&gt;&lt;wsp:rsid wsp:val=&quot;006032E1&quot;/&gt;&lt;wsp:rsid wsp:val=&quot;006033C3&quot;/&gt;&lt;wsp:rsid wsp:val=&quot;006037D9&quot;/&gt;&lt;wsp:rsid wsp:val=&quot;006037FA&quot;/&gt;&lt;wsp:rsid wsp:val=&quot;00603865&quot;/&gt;&lt;wsp:rsid wsp:val=&quot;00603F4E&quot;/&gt;&lt;wsp:rsid wsp:val=&quot;0060426E&quot;/&gt;&lt;wsp:rsid wsp:val=&quot;0060453C&quot;/&gt;&lt;wsp:rsid wsp:val=&quot;006049BD&quot;/&gt;&lt;wsp:rsid wsp:val=&quot;00604A0F&quot;/&gt;&lt;wsp:rsid wsp:val=&quot;00604A9E&quot;/&gt;&lt;wsp:rsid wsp:val=&quot;00604C53&quot;/&gt;&lt;wsp:rsid wsp:val=&quot;00604C95&quot;/&gt;&lt;wsp:rsid wsp:val=&quot;00604EB0&quot;/&gt;&lt;wsp:rsid wsp:val=&quot;00604F8D&quot;/&gt;&lt;wsp:rsid wsp:val=&quot;00605102&quot;/&gt;&lt;wsp:rsid wsp:val=&quot;00605103&quot;/&gt;&lt;wsp:rsid wsp:val=&quot;006051FE&quot;/&gt;&lt;wsp:rsid wsp:val=&quot;00605248&quot;/&gt;&lt;wsp:rsid wsp:val=&quot;006053F8&quot;/&gt;&lt;wsp:rsid wsp:val=&quot;0060557A&quot;/&gt;&lt;wsp:rsid wsp:val=&quot;00605592&quot;/&gt;&lt;wsp:rsid wsp:val=&quot;0060562E&quot;/&gt;&lt;wsp:rsid wsp:val=&quot;00605880&quot;/&gt;&lt;wsp:rsid wsp:val=&quot;00605947&quot;/&gt;&lt;wsp:rsid wsp:val=&quot;00605E09&quot;/&gt;&lt;wsp:rsid wsp:val=&quot;00606053&quot;/&gt;&lt;wsp:rsid wsp:val=&quot;00606128&quot;/&gt;&lt;wsp:rsid wsp:val=&quot;0060624F&quot;/&gt;&lt;wsp:rsid wsp:val=&quot;006064EA&quot;/&gt;&lt;wsp:rsid wsp:val=&quot;00606842&quot;/&gt;&lt;wsp:rsid wsp:val=&quot;00606A4A&quot;/&gt;&lt;wsp:rsid wsp:val=&quot;00606C09&quot;/&gt;&lt;wsp:rsid wsp:val=&quot;00606C1A&quot;/&gt;&lt;wsp:rsid wsp:val=&quot;00606EDD&quot;/&gt;&lt;wsp:rsid wsp:val=&quot;00606F14&quot;/&gt;&lt;wsp:rsid wsp:val=&quot;0060739D&quot;/&gt;&lt;wsp:rsid wsp:val=&quot;00607402&quot;/&gt;&lt;wsp:rsid wsp:val=&quot;006077CE&quot;/&gt;&lt;wsp:rsid wsp:val=&quot;006077D1&quot;/&gt;&lt;wsp:rsid wsp:val=&quot;00607A89&quot;/&gt;&lt;wsp:rsid wsp:val=&quot;00607B0D&quot;/&gt;&lt;wsp:rsid wsp:val=&quot;00607B15&quot;/&gt;&lt;wsp:rsid wsp:val=&quot;00607F20&quot;/&gt;&lt;wsp:rsid wsp:val=&quot;00607F89&quot;/&gt;&lt;wsp:rsid wsp:val=&quot;0061031F&quot;/&gt;&lt;wsp:rsid wsp:val=&quot;006103FB&quot;/&gt;&lt;wsp:rsid wsp:val=&quot;006105E7&quot;/&gt;&lt;wsp:rsid wsp:val=&quot;00610609&quot;/&gt;&lt;wsp:rsid wsp:val=&quot;00610690&quot;/&gt;&lt;wsp:rsid wsp:val=&quot;00610937&quot;/&gt;&lt;wsp:rsid wsp:val=&quot;006114F0&quot;/&gt;&lt;wsp:rsid wsp:val=&quot;0061150A&quot;/&gt;&lt;wsp:rsid wsp:val=&quot;006115F0&quot;/&gt;&lt;wsp:rsid wsp:val=&quot;0061165C&quot;/&gt;&lt;wsp:rsid wsp:val=&quot;00611ABE&quot;/&gt;&lt;wsp:rsid wsp:val=&quot;00611BED&quot;/&gt;&lt;wsp:rsid wsp:val=&quot;006121A5&quot;/&gt;&lt;wsp:rsid wsp:val=&quot;006123F3&quot;/&gt;&lt;wsp:rsid wsp:val=&quot;00612518&quot;/&gt;&lt;wsp:rsid wsp:val=&quot;00612835&quot;/&gt;&lt;wsp:rsid wsp:val=&quot;00612B25&quot;/&gt;&lt;wsp:rsid wsp:val=&quot;00612C31&quot;/&gt;&lt;wsp:rsid wsp:val=&quot;00612E64&quot;/&gt;&lt;wsp:rsid wsp:val=&quot;00612EBD&quot;/&gt;&lt;wsp:rsid wsp:val=&quot;006135D0&quot;/&gt;&lt;wsp:rsid wsp:val=&quot;00613855&quot;/&gt;&lt;wsp:rsid wsp:val=&quot;006139B9&quot;/&gt;&lt;wsp:rsid wsp:val=&quot;006139D4&quot;/&gt;&lt;wsp:rsid wsp:val=&quot;00613B1A&quot;/&gt;&lt;wsp:rsid wsp:val=&quot;00613BC5&quot;/&gt;&lt;wsp:rsid wsp:val=&quot;00613D62&quot;/&gt;&lt;wsp:rsid wsp:val=&quot;00613EA3&quot;/&gt;&lt;wsp:rsid wsp:val=&quot;006141F8&quot;/&gt;&lt;wsp:rsid wsp:val=&quot;00614662&quot;/&gt;&lt;wsp:rsid wsp:val=&quot;0061466A&quot;/&gt;&lt;wsp:rsid wsp:val=&quot;006147B1&quot;/&gt;&lt;wsp:rsid wsp:val=&quot;00614959&quot;/&gt;&lt;wsp:rsid wsp:val=&quot;00614A97&quot;/&gt;&lt;wsp:rsid wsp:val=&quot;00614ADA&quot;/&gt;&lt;wsp:rsid wsp:val=&quot;00614B51&quot;/&gt;&lt;wsp:rsid wsp:val=&quot;00614D95&quot;/&gt;&lt;wsp:rsid wsp:val=&quot;00614F86&quot;/&gt;&lt;wsp:rsid wsp:val=&quot;00615080&quot;/&gt;&lt;wsp:rsid wsp:val=&quot;00615399&quot;/&gt;&lt;wsp:rsid wsp:val=&quot;006157EE&quot;/&gt;&lt;wsp:rsid wsp:val=&quot;006159AC&quot;/&gt;&lt;wsp:rsid wsp:val=&quot;00615A02&quot;/&gt;&lt;wsp:rsid wsp:val=&quot;00615F62&quot;/&gt;&lt;wsp:rsid wsp:val=&quot;0061612E&quot;/&gt;&lt;wsp:rsid wsp:val=&quot;006162CF&quot;/&gt;&lt;wsp:rsid wsp:val=&quot;00616563&quot;/&gt;&lt;wsp:rsid wsp:val=&quot;00616612&quot;/&gt;&lt;wsp:rsid wsp:val=&quot;00616984&quot;/&gt;&lt;wsp:rsid wsp:val=&quot;00616B85&quot;/&gt;&lt;wsp:rsid wsp:val=&quot;00616BC1&quot;/&gt;&lt;wsp:rsid wsp:val=&quot;00616CAE&quot;/&gt;&lt;wsp:rsid wsp:val=&quot;00616EA7&quot;/&gt;&lt;wsp:rsid wsp:val=&quot;00616ECB&quot;/&gt;&lt;wsp:rsid wsp:val=&quot;00617234&quot;/&gt;&lt;wsp:rsid wsp:val=&quot;00617379&quot;/&gt;&lt;wsp:rsid wsp:val=&quot;00617593&quot;/&gt;&lt;wsp:rsid wsp:val=&quot;006177AD&quot;/&gt;&lt;wsp:rsid wsp:val=&quot;0061799B&quot;/&gt;&lt;wsp:rsid wsp:val=&quot;00617A85&quot;/&gt;&lt;wsp:rsid wsp:val=&quot;00617E40&quot;/&gt;&lt;wsp:rsid wsp:val=&quot;00617E5A&quot;/&gt;&lt;wsp:rsid wsp:val=&quot;00617F59&quot;/&gt;&lt;wsp:rsid wsp:val=&quot;00620338&quot;/&gt;&lt;wsp:rsid wsp:val=&quot;006203E7&quot;/&gt;&lt;wsp:rsid wsp:val=&quot;00620462&quot;/&gt;&lt;wsp:rsid wsp:val=&quot;006205E2&quot;/&gt;&lt;wsp:rsid wsp:val=&quot;006208CC&quot;/&gt;&lt;wsp:rsid wsp:val=&quot;0062092A&quot;/&gt;&lt;wsp:rsid wsp:val=&quot;00620977&quot;/&gt;&lt;wsp:rsid wsp:val=&quot;00620DF4&quot;/&gt;&lt;wsp:rsid wsp:val=&quot;0062161D&quot;/&gt;&lt;wsp:rsid wsp:val=&quot;00621BE0&quot;/&gt;&lt;wsp:rsid wsp:val=&quot;00621CA3&quot;/&gt;&lt;wsp:rsid wsp:val=&quot;006222C6&quot;/&gt;&lt;wsp:rsid wsp:val=&quot;006227A7&quot;/&gt;&lt;wsp:rsid wsp:val=&quot;006227C9&quot;/&gt;&lt;wsp:rsid wsp:val=&quot;006228EB&quot;/&gt;&lt;wsp:rsid wsp:val=&quot;006228EE&quot;/&gt;&lt;wsp:rsid wsp:val=&quot;00622B60&quot;/&gt;&lt;wsp:rsid wsp:val=&quot;00622BBB&quot;/&gt;&lt;wsp:rsid wsp:val=&quot;00623133&quot;/&gt;&lt;wsp:rsid wsp:val=&quot;0062322D&quot;/&gt;&lt;wsp:rsid wsp:val=&quot;00623624&quot;/&gt;&lt;wsp:rsid wsp:val=&quot;006238F9&quot;/&gt;&lt;wsp:rsid wsp:val=&quot;00623B1F&quot;/&gt;&lt;wsp:rsid wsp:val=&quot;00623FC9&quot;/&gt;&lt;wsp:rsid wsp:val=&quot;006240D7&quot;/&gt;&lt;wsp:rsid wsp:val=&quot;0062431B&quot;/&gt;&lt;wsp:rsid wsp:val=&quot;006249F4&quot;/&gt;&lt;wsp:rsid wsp:val=&quot;00624B2F&quot;/&gt;&lt;wsp:rsid wsp:val=&quot;00624C26&quot;/&gt;&lt;wsp:rsid wsp:val=&quot;00624E8D&quot;/&gt;&lt;wsp:rsid wsp:val=&quot;00624E93&quot;/&gt;&lt;wsp:rsid wsp:val=&quot;0062503F&quot;/&gt;&lt;wsp:rsid wsp:val=&quot;00625890&quot;/&gt;&lt;wsp:rsid wsp:val=&quot;00625E9F&quot;/&gt;&lt;wsp:rsid wsp:val=&quot;00625EDC&quot;/&gt;&lt;wsp:rsid wsp:val=&quot;00626050&quot;/&gt;&lt;wsp:rsid wsp:val=&quot;00626355&quot;/&gt;&lt;wsp:rsid wsp:val=&quot;006263D7&quot;/&gt;&lt;wsp:rsid wsp:val=&quot;006263F6&quot;/&gt;&lt;wsp:rsid wsp:val=&quot;00626DA9&quot;/&gt;&lt;wsp:rsid wsp:val=&quot;00626DBC&quot;/&gt;&lt;wsp:rsid wsp:val=&quot;0062701B&quot;/&gt;&lt;wsp:rsid wsp:val=&quot;006273D2&quot;/&gt;&lt;wsp:rsid wsp:val=&quot;0062775A&quot;/&gt;&lt;wsp:rsid wsp:val=&quot;0062778B&quot;/&gt;&lt;wsp:rsid wsp:val=&quot;0062782B&quot;/&gt;&lt;wsp:rsid wsp:val=&quot;006279F4&quot;/&gt;&lt;wsp:rsid wsp:val=&quot;00627BC0&quot;/&gt;&lt;wsp:rsid wsp:val=&quot;00627C20&quot;/&gt;&lt;wsp:rsid wsp:val=&quot;0063028E&quot;/&gt;&lt;wsp:rsid wsp:val=&quot;00630658&quot;/&gt;&lt;wsp:rsid wsp:val=&quot;006306D3&quot;/&gt;&lt;wsp:rsid wsp:val=&quot;00630A11&quot;/&gt;&lt;wsp:rsid wsp:val=&quot;00630BB6&quot;/&gt;&lt;wsp:rsid wsp:val=&quot;00630BB9&quot;/&gt;&lt;wsp:rsid wsp:val=&quot;00630E84&quot;/&gt;&lt;wsp:rsid wsp:val=&quot;00630FA2&quot;/&gt;&lt;wsp:rsid wsp:val=&quot;006312C8&quot;/&gt;&lt;wsp:rsid wsp:val=&quot;0063165A&quot;/&gt;&lt;wsp:rsid wsp:val=&quot;006316B3&quot;/&gt;&lt;wsp:rsid wsp:val=&quot;00631731&quot;/&gt;&lt;wsp:rsid wsp:val=&quot;0063196E&quot;/&gt;&lt;wsp:rsid wsp:val=&quot;00631A2B&quot;/&gt;&lt;wsp:rsid wsp:val=&quot;00631B95&quot;/&gt;&lt;wsp:rsid wsp:val=&quot;00631FB1&quot;/&gt;&lt;wsp:rsid wsp:val=&quot;00632027&quot;/&gt;&lt;wsp:rsid wsp:val=&quot;00632096&quot;/&gt;&lt;wsp:rsid wsp:val=&quot;00632401&quot;/&gt;&lt;wsp:rsid wsp:val=&quot;0063260A&quot;/&gt;&lt;wsp:rsid wsp:val=&quot;00632919&quot;/&gt;&lt;wsp:rsid wsp:val=&quot;00632B0D&quot;/&gt;&lt;wsp:rsid wsp:val=&quot;00632B2E&quot;/&gt;&lt;wsp:rsid wsp:val=&quot;00632C80&quot;/&gt;&lt;wsp:rsid wsp:val=&quot;00632D05&quot;/&gt;&lt;wsp:rsid wsp:val=&quot;00632E78&quot;/&gt;&lt;wsp:rsid wsp:val=&quot;006334C5&quot;/&gt;&lt;wsp:rsid wsp:val=&quot;006335EA&quot;/&gt;&lt;wsp:rsid wsp:val=&quot;006339B5&quot;/&gt;&lt;wsp:rsid wsp:val=&quot;00633C5F&quot;/&gt;&lt;wsp:rsid wsp:val=&quot;00633F3B&quot;/&gt;&lt;wsp:rsid wsp:val=&quot;00633FDD&quot;/&gt;&lt;wsp:rsid wsp:val=&quot;006340DD&quot;/&gt;&lt;wsp:rsid wsp:val=&quot;00634103&quot;/&gt;&lt;wsp:rsid wsp:val=&quot;006346CD&quot;/&gt;&lt;wsp:rsid wsp:val=&quot;00634732&quot;/&gt;&lt;wsp:rsid wsp:val=&quot;00634951&quot;/&gt;&lt;wsp:rsid wsp:val=&quot;00634E10&quot;/&gt;&lt;wsp:rsid wsp:val=&quot;00634FE8&quot;/&gt;&lt;wsp:rsid wsp:val=&quot;006354BE&quot;/&gt;&lt;wsp:rsid wsp:val=&quot;00635698&quot;/&gt;&lt;wsp:rsid wsp:val=&quot;00635A2D&quot;/&gt;&lt;wsp:rsid wsp:val=&quot;00635BD5&quot;/&gt;&lt;wsp:rsid wsp:val=&quot;00635E52&quot;/&gt;&lt;wsp:rsid wsp:val=&quot;00636060&quot;/&gt;&lt;wsp:rsid wsp:val=&quot;00636077&quot;/&gt;&lt;wsp:rsid wsp:val=&quot;00636217&quot;/&gt;&lt;wsp:rsid wsp:val=&quot;00636682&quot;/&gt;&lt;wsp:rsid wsp:val=&quot;00636775&quot;/&gt;&lt;wsp:rsid wsp:val=&quot;0063685B&quot;/&gt;&lt;wsp:rsid wsp:val=&quot;00636E16&quot;/&gt;&lt;wsp:rsid wsp:val=&quot;00636FBF&quot;/&gt;&lt;wsp:rsid wsp:val=&quot;006375E3&quot;/&gt;&lt;wsp:rsid wsp:val=&quot;00637C42&quot;/&gt;&lt;wsp:rsid wsp:val=&quot;00637DDE&quot;/&gt;&lt;wsp:rsid wsp:val=&quot;00640141&quot;/&gt;&lt;wsp:rsid wsp:val=&quot;006401BF&quot;/&gt;&lt;wsp:rsid wsp:val=&quot;00640212&quot;/&gt;&lt;wsp:rsid wsp:val=&quot;006402DA&quot;/&gt;&lt;wsp:rsid wsp:val=&quot;0064046A&quot;/&gt;&lt;wsp:rsid wsp:val=&quot;00640863&quot;/&gt;&lt;wsp:rsid wsp:val=&quot;00640873&quot;/&gt;&lt;wsp:rsid wsp:val=&quot;00640FCD&quot;/&gt;&lt;wsp:rsid wsp:val=&quot;0064115D&quot;/&gt;&lt;wsp:rsid wsp:val=&quot;0064190B&quot;/&gt;&lt;wsp:rsid wsp:val=&quot;00641D06&quot;/&gt;&lt;wsp:rsid wsp:val=&quot;00641DEF&quot;/&gt;&lt;wsp:rsid wsp:val=&quot;00641E54&quot;/&gt;&lt;wsp:rsid wsp:val=&quot;0064209D&quot;/&gt;&lt;wsp:rsid wsp:val=&quot;006421BA&quot;/&gt;&lt;wsp:rsid wsp:val=&quot;00642530&quot;/&gt;&lt;wsp:rsid wsp:val=&quot;00642839&quot;/&gt;&lt;wsp:rsid wsp:val=&quot;00642974&quot;/&gt;&lt;wsp:rsid wsp:val=&quot;00642DC5&quot;/&gt;&lt;wsp:rsid wsp:val=&quot;00642E38&quot;/&gt;&lt;wsp:rsid wsp:val=&quot;006431B1&quot;/&gt;&lt;wsp:rsid wsp:val=&quot;00643331&quot;/&gt;&lt;wsp:rsid wsp:val=&quot;006434EF&quot;/&gt;&lt;wsp:rsid wsp:val=&quot;006436D6&quot;/&gt;&lt;wsp:rsid wsp:val=&quot;006437E7&quot;/&gt;&lt;wsp:rsid wsp:val=&quot;00643D28&quot;/&gt;&lt;wsp:rsid wsp:val=&quot;00643DF5&quot;/&gt;&lt;wsp:rsid wsp:val=&quot;00644062&quot;/&gt;&lt;wsp:rsid wsp:val=&quot;006443A6&quot;/&gt;&lt;wsp:rsid wsp:val=&quot;00644565&quot;/&gt;&lt;wsp:rsid wsp:val=&quot;00644672&quot;/&gt;&lt;wsp:rsid wsp:val=&quot;0064467F&quot;/&gt;&lt;wsp:rsid wsp:val=&quot;00644CCD&quot;/&gt;&lt;wsp:rsid wsp:val=&quot;006454C0&quot;/&gt;&lt;wsp:rsid wsp:val=&quot;00645642&quot;/&gt;&lt;wsp:rsid wsp:val=&quot;0064570C&quot;/&gt;&lt;wsp:rsid wsp:val=&quot;00645DCF&quot;/&gt;&lt;wsp:rsid wsp:val=&quot;00645E05&quot;/&gt;&lt;wsp:rsid wsp:val=&quot;00645E47&quot;/&gt;&lt;wsp:rsid wsp:val=&quot;0064626F&quot;/&gt;&lt;wsp:rsid wsp:val=&quot;006462A0&quot;/&gt;&lt;wsp:rsid wsp:val=&quot;00646B2C&quot;/&gt;&lt;wsp:rsid wsp:val=&quot;00646BCB&quot;/&gt;&lt;wsp:rsid wsp:val=&quot;00646DD4&quot;/&gt;&lt;wsp:rsid wsp:val=&quot;00647047&quot;/&gt;&lt;wsp:rsid wsp:val=&quot;006470F9&quot;/&gt;&lt;wsp:rsid wsp:val=&quot;00647224&quot;/&gt;&lt;wsp:rsid wsp:val=&quot;00647469&quot;/&gt;&lt;wsp:rsid wsp:val=&quot;00647826&quot;/&gt;&lt;wsp:rsid wsp:val=&quot;00647827&quot;/&gt;&lt;wsp:rsid wsp:val=&quot;00647E11&quot;/&gt;&lt;wsp:rsid wsp:val=&quot;00647E3A&quot;/&gt;&lt;wsp:rsid wsp:val=&quot;00647F81&quot;/&gt;&lt;wsp:rsid wsp:val=&quot;00647F84&quot;/&gt;&lt;wsp:rsid wsp:val=&quot;006504D9&quot;/&gt;&lt;wsp:rsid wsp:val=&quot;0065087D&quot;/&gt;&lt;wsp:rsid wsp:val=&quot;00650931&quot;/&gt;&lt;wsp:rsid wsp:val=&quot;00650BC3&quot;/&gt;&lt;wsp:rsid wsp:val=&quot;00650F4A&quot;/&gt;&lt;wsp:rsid wsp:val=&quot;00651352&quot;/&gt;&lt;wsp:rsid wsp:val=&quot;006515AD&quot;/&gt;&lt;wsp:rsid wsp:val=&quot;0065179F&quot;/&gt;&lt;wsp:rsid wsp:val=&quot;00651A09&quot;/&gt;&lt;wsp:rsid wsp:val=&quot;00651C19&quot;/&gt;&lt;wsp:rsid wsp:val=&quot;00651EF3&quot;/&gt;&lt;wsp:rsid wsp:val=&quot;0065218F&quot;/&gt;&lt;wsp:rsid wsp:val=&quot;006522CC&quot;/&gt;&lt;wsp:rsid wsp:val=&quot;00652404&quot;/&gt;&lt;wsp:rsid wsp:val=&quot;0065244D&quot;/&gt;&lt;wsp:rsid wsp:val=&quot;006525E7&quot;/&gt;&lt;wsp:rsid wsp:val=&quot;0065286F&quot;/&gt;&lt;wsp:rsid wsp:val=&quot;00652B47&quot;/&gt;&lt;wsp:rsid wsp:val=&quot;00652B5A&quot;/&gt;&lt;wsp:rsid wsp:val=&quot;00652BCF&quot;/&gt;&lt;wsp:rsid wsp:val=&quot;00652CD2&quot;/&gt;&lt;wsp:rsid wsp:val=&quot;00653397&quot;/&gt;&lt;wsp:rsid wsp:val=&quot;006534D6&quot;/&gt;&lt;wsp:rsid wsp:val=&quot;0065363A&quot;/&gt;&lt;wsp:rsid wsp:val=&quot;00653B1D&quot;/&gt;&lt;wsp:rsid wsp:val=&quot;00653F60&quot;/&gt;&lt;wsp:rsid wsp:val=&quot;00654134&quot;/&gt;&lt;wsp:rsid wsp:val=&quot;006542A0&quot;/&gt;&lt;wsp:rsid wsp:val=&quot;00654436&quot;/&gt;&lt;wsp:rsid wsp:val=&quot;00654605&quot;/&gt;&lt;wsp:rsid wsp:val=&quot;006547D8&quot;/&gt;&lt;wsp:rsid wsp:val=&quot;00654949&quot;/&gt;&lt;wsp:rsid wsp:val=&quot;00654A28&quot;/&gt;&lt;wsp:rsid wsp:val=&quot;00654BBE&quot;/&gt;&lt;wsp:rsid wsp:val=&quot;00654E9F&quot;/&gt;&lt;wsp:rsid wsp:val=&quot;00654FB7&quot;/&gt;&lt;wsp:rsid wsp:val=&quot;006553DA&quot;/&gt;&lt;wsp:rsid wsp:val=&quot;006555F0&quot;/&gt;&lt;wsp:rsid wsp:val=&quot;00655642&quot;/&gt;&lt;wsp:rsid wsp:val=&quot;006557CF&quot;/&gt;&lt;wsp:rsid wsp:val=&quot;00655860&quot;/&gt;&lt;wsp:rsid wsp:val=&quot;00655AFD&quot;/&gt;&lt;wsp:rsid wsp:val=&quot;00655CB7&quot;/&gt;&lt;wsp:rsid wsp:val=&quot;00655E49&quot;/&gt;&lt;wsp:rsid wsp:val=&quot;006566AE&quot;/&gt;&lt;wsp:rsid wsp:val=&quot;00656A1A&quot;/&gt;&lt;wsp:rsid wsp:val=&quot;00656C50&quot;/&gt;&lt;wsp:rsid wsp:val=&quot;00656C90&quot;/&gt;&lt;wsp:rsid wsp:val=&quot;00656C93&quot;/&gt;&lt;wsp:rsid wsp:val=&quot;00656E51&quot;/&gt;&lt;wsp:rsid wsp:val=&quot;00656FB9&quot;/&gt;&lt;wsp:rsid wsp:val=&quot;00657076&quot;/&gt;&lt;wsp:rsid wsp:val=&quot;00657107&quot;/&gt;&lt;wsp:rsid wsp:val=&quot;0065713F&quot;/&gt;&lt;wsp:rsid wsp:val=&quot;006574C5&quot;/&gt;&lt;wsp:rsid wsp:val=&quot;00657654&quot;/&gt;&lt;wsp:rsid wsp:val=&quot;0065778E&quot;/&gt;&lt;wsp:rsid wsp:val=&quot;0065786C&quot;/&gt;&lt;wsp:rsid wsp:val=&quot;00657F47&quot;/&gt;&lt;wsp:rsid wsp:val=&quot;0066010B&quot;/&gt;&lt;wsp:rsid wsp:val=&quot;00660129&quot;/&gt;&lt;wsp:rsid wsp:val=&quot;00660160&quot;/&gt;&lt;wsp:rsid wsp:val=&quot;006607F2&quot;/&gt;&lt;wsp:rsid wsp:val=&quot;00660812&quot;/&gt;&lt;wsp:rsid wsp:val=&quot;0066088C&quot;/&gt;&lt;wsp:rsid wsp:val=&quot;00660C43&quot;/&gt;&lt;wsp:rsid wsp:val=&quot;00660D3F&quot;/&gt;&lt;wsp:rsid wsp:val=&quot;00660F20&quot;/&gt;&lt;wsp:rsid wsp:val=&quot;00660F99&quot;/&gt;&lt;wsp:rsid wsp:val=&quot;00661247&quot;/&gt;&lt;wsp:rsid wsp:val=&quot;00661824&quot;/&gt;&lt;wsp:rsid wsp:val=&quot;0066184E&quot;/&gt;&lt;wsp:rsid wsp:val=&quot;00661AFB&quot;/&gt;&lt;wsp:rsid wsp:val=&quot;00661BAB&quot;/&gt;&lt;wsp:rsid wsp:val=&quot;00661E0E&quot;/&gt;&lt;wsp:rsid wsp:val=&quot;00662028&quot;/&gt;&lt;wsp:rsid wsp:val=&quot;00662507&quot;/&gt;&lt;wsp:rsid wsp:val=&quot;006626B3&quot;/&gt;&lt;wsp:rsid wsp:val=&quot;006627EE&quot;/&gt;&lt;wsp:rsid wsp:val=&quot;0066287C&quot;/&gt;&lt;wsp:rsid wsp:val=&quot;00662972&quot;/&gt;&lt;wsp:rsid wsp:val=&quot;00662BAC&quot;/&gt;&lt;wsp:rsid wsp:val=&quot;00663057&quot;/&gt;&lt;wsp:rsid wsp:val=&quot;006630CD&quot;/&gt;&lt;wsp:rsid wsp:val=&quot;006631A2&quot;/&gt;&lt;wsp:rsid wsp:val=&quot;0066357B&quot;/&gt;&lt;wsp:rsid wsp:val=&quot;00663774&quot;/&gt;&lt;wsp:rsid wsp:val=&quot;00664434&quot;/&gt;&lt;wsp:rsid wsp:val=&quot;006644D8&quot;/&gt;&lt;wsp:rsid wsp:val=&quot;00664582&quot;/&gt;&lt;wsp:rsid wsp:val=&quot;00664765&quot;/&gt;&lt;wsp:rsid wsp:val=&quot;0066495A&quot;/&gt;&lt;wsp:rsid wsp:val=&quot;00664BBB&quot;/&gt;&lt;wsp:rsid wsp:val=&quot;00664F83&quot;/&gt;&lt;wsp:rsid wsp:val=&quot;00665221&quot;/&gt;&lt;wsp:rsid wsp:val=&quot;0066563A&quot;/&gt;&lt;wsp:rsid wsp:val=&quot;006656B1&quot;/&gt;&lt;wsp:rsid wsp:val=&quot;006658C0&quot;/&gt;&lt;wsp:rsid wsp:val=&quot;0066591E&quot;/&gt;&lt;wsp:rsid wsp:val=&quot;00665B6A&quot;/&gt;&lt;wsp:rsid wsp:val=&quot;00665C78&quot;/&gt;&lt;wsp:rsid wsp:val=&quot;00665F8A&quot;/&gt;&lt;wsp:rsid wsp:val=&quot;00666047&quot;/&gt;&lt;wsp:rsid wsp:val=&quot;006660B1&quot;/&gt;&lt;wsp:rsid wsp:val=&quot;006664F1&quot;/&gt;&lt;wsp:rsid wsp:val=&quot;006666F9&quot;/&gt;&lt;wsp:rsid wsp:val=&quot;00666970&quot;/&gt;&lt;wsp:rsid wsp:val=&quot;00666E07&quot;/&gt;&lt;wsp:rsid wsp:val=&quot;006672A9&quot;/&gt;&lt;wsp:rsid wsp:val=&quot;0066732C&quot;/&gt;&lt;wsp:rsid wsp:val=&quot;006673C9&quot;/&gt;&lt;wsp:rsid wsp:val=&quot;006673F9&quot;/&gt;&lt;wsp:rsid wsp:val=&quot;00667805&quot;/&gt;&lt;wsp:rsid wsp:val=&quot;00667CF7&quot;/&gt;&lt;wsp:rsid wsp:val=&quot;00667E58&quot;/&gt;&lt;wsp:rsid wsp:val=&quot;00667FD9&quot;/&gt;&lt;wsp:rsid wsp:val=&quot;006701A1&quot;/&gt;&lt;wsp:rsid wsp:val=&quot;006705BC&quot;/&gt;&lt;wsp:rsid wsp:val=&quot;006706BC&quot;/&gt;&lt;wsp:rsid wsp:val=&quot;00670900&quot;/&gt;&lt;wsp:rsid wsp:val=&quot;00670C7F&quot;/&gt;&lt;wsp:rsid wsp:val=&quot;00670C8D&quot;/&gt;&lt;wsp:rsid wsp:val=&quot;00670D02&quot;/&gt;&lt;wsp:rsid wsp:val=&quot;00670D8A&quot;/&gt;&lt;wsp:rsid wsp:val=&quot;00670E37&quot;/&gt;&lt;wsp:rsid wsp:val=&quot;00670FFD&quot;/&gt;&lt;wsp:rsid wsp:val=&quot;00671000&quot;/&gt;&lt;wsp:rsid wsp:val=&quot;0067100F&quot;/&gt;&lt;wsp:rsid wsp:val=&quot;006715D3&quot;/&gt;&lt;wsp:rsid wsp:val=&quot;00671D60&quot;/&gt;&lt;wsp:rsid wsp:val=&quot;00671EB0&quot;/&gt;&lt;wsp:rsid wsp:val=&quot;00671FC7&quot;/&gt;&lt;wsp:rsid wsp:val=&quot;00672418&quot;/&gt;&lt;wsp:rsid wsp:val=&quot;006728AF&quot;/&gt;&lt;wsp:rsid wsp:val=&quot;006728C8&quot;/&gt;&lt;wsp:rsid wsp:val=&quot;006728E5&quot;/&gt;&lt;wsp:rsid wsp:val=&quot;00672910&quot;/&gt;&lt;wsp:rsid wsp:val=&quot;00672A7B&quot;/&gt;&lt;wsp:rsid wsp:val=&quot;00672B1D&quot;/&gt;&lt;wsp:rsid wsp:val=&quot;00672C7A&quot;/&gt;&lt;wsp:rsid wsp:val=&quot;00672DF3&quot;/&gt;&lt;wsp:rsid wsp:val=&quot;00672FD8&quot;/&gt;&lt;wsp:rsid wsp:val=&quot;00673258&quot;/&gt;&lt;wsp:rsid wsp:val=&quot;0067334E&quot;/&gt;&lt;wsp:rsid wsp:val=&quot;006738CB&quot;/&gt;&lt;wsp:rsid wsp:val=&quot;00673A34&quot;/&gt;&lt;wsp:rsid wsp:val=&quot;00673E52&quot;/&gt;&lt;wsp:rsid wsp:val=&quot;006740D1&quot;/&gt;&lt;wsp:rsid wsp:val=&quot;006744F0&quot;/&gt;&lt;wsp:rsid wsp:val=&quot;0067492E&quot;/&gt;&lt;wsp:rsid wsp:val=&quot;00674B0E&quot;/&gt;&lt;wsp:rsid wsp:val=&quot;00674C6F&quot;/&gt;&lt;wsp:rsid wsp:val=&quot;00674ED8&quot;/&gt;&lt;wsp:rsid wsp:val=&quot;006751D5&quot;/&gt;&lt;wsp:rsid wsp:val=&quot;00675470&quot;/&gt;&lt;wsp:rsid wsp:val=&quot;00675490&quot;/&gt;&lt;wsp:rsid wsp:val=&quot;006755B1&quot;/&gt;&lt;wsp:rsid wsp:val=&quot;006758A2&quot;/&gt;&lt;wsp:rsid wsp:val=&quot;00675AE6&quot;/&gt;&lt;wsp:rsid wsp:val=&quot;00675E62&quot;/&gt;&lt;wsp:rsid wsp:val=&quot;00675EE8&quot;/&gt;&lt;wsp:rsid wsp:val=&quot;00676240&quot;/&gt;&lt;wsp:rsid wsp:val=&quot;00676B2D&quot;/&gt;&lt;wsp:rsid wsp:val=&quot;00676B36&quot;/&gt;&lt;wsp:rsid wsp:val=&quot;00676B43&quot;/&gt;&lt;wsp:rsid wsp:val=&quot;00676CDC&quot;/&gt;&lt;wsp:rsid wsp:val=&quot;00676EC4&quot;/&gt;&lt;wsp:rsid wsp:val=&quot;00676EF2&quot;/&gt;&lt;wsp:rsid wsp:val=&quot;00677497&quot;/&gt;&lt;wsp:rsid wsp:val=&quot;00677924&quot;/&gt;&lt;wsp:rsid wsp:val=&quot;006779AA&quot;/&gt;&lt;wsp:rsid wsp:val=&quot;00677A58&quot;/&gt;&lt;wsp:rsid wsp:val=&quot;00677BA1&quot;/&gt;&lt;wsp:rsid wsp:val=&quot;00677DD1&quot;/&gt;&lt;wsp:rsid wsp:val=&quot;00677FE0&quot;/&gt;&lt;wsp:rsid wsp:val=&quot;0068032F&quot;/&gt;&lt;wsp:rsid wsp:val=&quot;006808FE&quot;/&gt;&lt;wsp:rsid wsp:val=&quot;00680B84&quot;/&gt;&lt;wsp:rsid wsp:val=&quot;00680E92&quot;/&gt;&lt;wsp:rsid wsp:val=&quot;00681271&quot;/&gt;&lt;wsp:rsid wsp:val=&quot;0068160B&quot;/&gt;&lt;wsp:rsid wsp:val=&quot;006817F0&quot;/&gt;&lt;wsp:rsid wsp:val=&quot;006819EF&quot;/&gt;&lt;wsp:rsid wsp:val=&quot;0068255E&quot;/&gt;&lt;wsp:rsid wsp:val=&quot;006828AF&quot;/&gt;&lt;wsp:rsid wsp:val=&quot;00682CB9&quot;/&gt;&lt;wsp:rsid wsp:val=&quot;006832F6&quot;/&gt;&lt;wsp:rsid wsp:val=&quot;006833C5&quot;/&gt;&lt;wsp:rsid wsp:val=&quot;00683472&quot;/&gt;&lt;wsp:rsid wsp:val=&quot;00683482&quot;/&gt;&lt;wsp:rsid wsp:val=&quot;00683A81&quot;/&gt;&lt;wsp:rsid wsp:val=&quot;006842B9&quot;/&gt;&lt;wsp:rsid wsp:val=&quot;00684499&quot;/&gt;&lt;wsp:rsid wsp:val=&quot;00684B09&quot;/&gt;&lt;wsp:rsid wsp:val=&quot;00684BEA&quot;/&gt;&lt;wsp:rsid wsp:val=&quot;00684CC3&quot;/&gt;&lt;wsp:rsid wsp:val=&quot;006851F3&quot;/&gt;&lt;wsp:rsid wsp:val=&quot;00685244&quot;/&gt;&lt;wsp:rsid wsp:val=&quot;006852DC&quot;/&gt;&lt;wsp:rsid wsp:val=&quot;00685312&quot;/&gt;&lt;wsp:rsid wsp:val=&quot;006856D5&quot;/&gt;&lt;wsp:rsid wsp:val=&quot;006857D5&quot;/&gt;&lt;wsp:rsid wsp:val=&quot;0068580E&quot;/&gt;&lt;wsp:rsid wsp:val=&quot;00685F45&quot;/&gt;&lt;wsp:rsid wsp:val=&quot;00686249&quot;/&gt;&lt;wsp:rsid wsp:val=&quot;00686376&quot;/&gt;&lt;wsp:rsid wsp:val=&quot;0068640D&quot;/&gt;&lt;wsp:rsid wsp:val=&quot;006864EE&quot;/&gt;&lt;wsp:rsid wsp:val=&quot;006868C1&quot;/&gt;&lt;wsp:rsid wsp:val=&quot;00686C5B&quot;/&gt;&lt;wsp:rsid wsp:val=&quot;00686EC6&quot;/&gt;&lt;wsp:rsid wsp:val=&quot;006870D5&quot;/&gt;&lt;wsp:rsid wsp:val=&quot;0068729C&quot;/&gt;&lt;wsp:rsid wsp:val=&quot;006872FB&quot;/&gt;&lt;wsp:rsid wsp:val=&quot;00687875&quot;/&gt;&lt;wsp:rsid wsp:val=&quot;00687904&quot;/&gt;&lt;wsp:rsid wsp:val=&quot;006879E0&quot;/&gt;&lt;wsp:rsid wsp:val=&quot;00687D52&quot;/&gt;&lt;wsp:rsid wsp:val=&quot;00690080&quot;/&gt;&lt;wsp:rsid wsp:val=&quot;006902EA&quot;/&gt;&lt;wsp:rsid wsp:val=&quot;006904BF&quot;/&gt;&lt;wsp:rsid wsp:val=&quot;0069055E&quot;/&gt;&lt;wsp:rsid wsp:val=&quot;0069086B&quot;/&gt;&lt;wsp:rsid wsp:val=&quot;006908F9&quot;/&gt;&lt;wsp:rsid wsp:val=&quot;006909A8&quot;/&gt;&lt;wsp:rsid wsp:val=&quot;00690A5E&quot;/&gt;&lt;wsp:rsid wsp:val=&quot;00690D7A&quot;/&gt;&lt;wsp:rsid wsp:val=&quot;00690E6B&quot;/&gt;&lt;wsp:rsid wsp:val=&quot;00691130&quot;/&gt;&lt;wsp:rsid wsp:val=&quot;00691402&quot;/&gt;&lt;wsp:rsid wsp:val=&quot;006916AC&quot;/&gt;&lt;wsp:rsid wsp:val=&quot;00691A54&quot;/&gt;&lt;wsp:rsid wsp:val=&quot;00691A9A&quot;/&gt;&lt;wsp:rsid wsp:val=&quot;00691D49&quot;/&gt;&lt;wsp:rsid wsp:val=&quot;00691FC8&quot;/&gt;&lt;wsp:rsid wsp:val=&quot;00691FFB&quot;/&gt;&lt;wsp:rsid wsp:val=&quot;0069206C&quot;/&gt;&lt;wsp:rsid wsp:val=&quot;0069206D&quot;/&gt;&lt;wsp:rsid wsp:val=&quot;00692136&quot;/&gt;&lt;wsp:rsid wsp:val=&quot;00692A76&quot;/&gt;&lt;wsp:rsid wsp:val=&quot;00692C12&quot;/&gt;&lt;wsp:rsid wsp:val=&quot;00692C4D&quot;/&gt;&lt;wsp:rsid wsp:val=&quot;00692C5F&quot;/&gt;&lt;wsp:rsid wsp:val=&quot;00692D5D&quot;/&gt;&lt;wsp:rsid wsp:val=&quot;0069319E&quot;/&gt;&lt;wsp:rsid wsp:val=&quot;006931BC&quot;/&gt;&lt;wsp:rsid wsp:val=&quot;0069342E&quot;/&gt;&lt;wsp:rsid wsp:val=&quot;006934CC&quot;/&gt;&lt;wsp:rsid wsp:val=&quot;00693AD7&quot;/&gt;&lt;wsp:rsid wsp:val=&quot;00693CAA&quot;/&gt;&lt;wsp:rsid wsp:val=&quot;00693DAB&quot;/&gt;&lt;wsp:rsid wsp:val=&quot;00693E41&quot;/&gt;&lt;wsp:rsid wsp:val=&quot;00693EF2&quot;/&gt;&lt;wsp:rsid wsp:val=&quot;0069424C&quot;/&gt;&lt;wsp:rsid wsp:val=&quot;006943CA&quot;/&gt;&lt;wsp:rsid wsp:val=&quot;006944C6&quot;/&gt;&lt;wsp:rsid wsp:val=&quot;00694771&quot;/&gt;&lt;wsp:rsid wsp:val=&quot;00694C4D&quot;/&gt;&lt;wsp:rsid wsp:val=&quot;00694E9D&quot;/&gt;&lt;wsp:rsid wsp:val=&quot;00694F9C&quot;/&gt;&lt;wsp:rsid wsp:val=&quot;00695173&quot;/&gt;&lt;wsp:rsid wsp:val=&quot;006951F6&quot;/&gt;&lt;wsp:rsid wsp:val=&quot;006954C4&quot;/&gt;&lt;wsp:rsid wsp:val=&quot;006957BB&quot;/&gt;&lt;wsp:rsid wsp:val=&quot;0069612C&quot;/&gt;&lt;wsp:rsid wsp:val=&quot;0069650E&quot;/&gt;&lt;wsp:rsid wsp:val=&quot;00696A54&quot;/&gt;&lt;wsp:rsid wsp:val=&quot;00696C15&quot;/&gt;&lt;wsp:rsid wsp:val=&quot;00696CBB&quot;/&gt;&lt;wsp:rsid wsp:val=&quot;00696E87&quot;/&gt;&lt;wsp:rsid wsp:val=&quot;00696ED8&quot;/&gt;&lt;wsp:rsid wsp:val=&quot;006972F1&quot;/&gt;&lt;wsp:rsid wsp:val=&quot;00697421&quot;/&gt;&lt;wsp:rsid wsp:val=&quot;00697474&quot;/&gt;&lt;wsp:rsid wsp:val=&quot;00697534&quot;/&gt;&lt;wsp:rsid wsp:val=&quot;0069762B&quot;/&gt;&lt;wsp:rsid wsp:val=&quot;006978A3&quot;/&gt;&lt;wsp:rsid wsp:val=&quot;006979CF&quot;/&gt;&lt;wsp:rsid wsp:val=&quot;00697A2D&quot;/&gt;&lt;wsp:rsid wsp:val=&quot;00697EFB&quot;/&gt;&lt;wsp:rsid wsp:val=&quot;00697FD3&quot;/&gt;&lt;wsp:rsid wsp:val=&quot;006A09FA&quot;/&gt;&lt;wsp:rsid wsp:val=&quot;006A0C1C&quot;/&gt;&lt;wsp:rsid wsp:val=&quot;006A10FD&quot;/&gt;&lt;wsp:rsid wsp:val=&quot;006A1632&quot;/&gt;&lt;wsp:rsid wsp:val=&quot;006A17A3&quot;/&gt;&lt;wsp:rsid wsp:val=&quot;006A1A47&quot;/&gt;&lt;wsp:rsid wsp:val=&quot;006A1AC7&quot;/&gt;&lt;wsp:rsid wsp:val=&quot;006A1AF7&quot;/&gt;&lt;wsp:rsid wsp:val=&quot;006A1AF9&quot;/&gt;&lt;wsp:rsid wsp:val=&quot;006A1BFB&quot;/&gt;&lt;wsp:rsid wsp:val=&quot;006A22E7&quot;/&gt;&lt;wsp:rsid wsp:val=&quot;006A2398&quot;/&gt;&lt;wsp:rsid wsp:val=&quot;006A2793&quot;/&gt;&lt;wsp:rsid wsp:val=&quot;006A28EE&quot;/&gt;&lt;wsp:rsid wsp:val=&quot;006A305E&quot;/&gt;&lt;wsp:rsid wsp:val=&quot;006A3063&quot;/&gt;&lt;wsp:rsid wsp:val=&quot;006A3500&quot;/&gt;&lt;wsp:rsid wsp:val=&quot;006A37DA&quot;/&gt;&lt;wsp:rsid wsp:val=&quot;006A39E0&quot;/&gt;&lt;wsp:rsid wsp:val=&quot;006A3E4C&quot;/&gt;&lt;wsp:rsid wsp:val=&quot;006A3EC3&quot;/&gt;&lt;wsp:rsid wsp:val=&quot;006A407F&quot;/&gt;&lt;wsp:rsid wsp:val=&quot;006A438E&quot;/&gt;&lt;wsp:rsid wsp:val=&quot;006A4915&quot;/&gt;&lt;wsp:rsid wsp:val=&quot;006A4E92&quot;/&gt;&lt;wsp:rsid wsp:val=&quot;006A542F&quot;/&gt;&lt;wsp:rsid wsp:val=&quot;006A59D0&quot;/&gt;&lt;wsp:rsid wsp:val=&quot;006A5C2A&quot;/&gt;&lt;wsp:rsid wsp:val=&quot;006A5C4F&quot;/&gt;&lt;wsp:rsid wsp:val=&quot;006A6350&quot;/&gt;&lt;wsp:rsid wsp:val=&quot;006A6B5A&quot;/&gt;&lt;wsp:rsid wsp:val=&quot;006A6DE5&quot;/&gt;&lt;wsp:rsid wsp:val=&quot;006A7010&quot;/&gt;&lt;wsp:rsid wsp:val=&quot;006A701F&quot;/&gt;&lt;wsp:rsid wsp:val=&quot;006A702C&quot;/&gt;&lt;wsp:rsid wsp:val=&quot;006A71FA&quot;/&gt;&lt;wsp:rsid wsp:val=&quot;006A7314&quot;/&gt;&lt;wsp:rsid wsp:val=&quot;006A739E&quot;/&gt;&lt;wsp:rsid wsp:val=&quot;006A7557&quot;/&gt;&lt;wsp:rsid wsp:val=&quot;006A75E4&quot;/&gt;&lt;wsp:rsid wsp:val=&quot;006A7838&quot;/&gt;&lt;wsp:rsid wsp:val=&quot;006A792D&quot;/&gt;&lt;wsp:rsid wsp:val=&quot;006A7940&quot;/&gt;&lt;wsp:rsid wsp:val=&quot;006A7AEF&quot;/&gt;&lt;wsp:rsid wsp:val=&quot;006A7E33&quot;/&gt;&lt;wsp:rsid wsp:val=&quot;006B06EA&quot;/&gt;&lt;wsp:rsid wsp:val=&quot;006B0A8B&quot;/&gt;&lt;wsp:rsid wsp:val=&quot;006B0C90&quot;/&gt;&lt;wsp:rsid wsp:val=&quot;006B0F5D&quot;/&gt;&lt;wsp:rsid wsp:val=&quot;006B15FD&quot;/&gt;&lt;wsp:rsid wsp:val=&quot;006B1696&quot;/&gt;&lt;wsp:rsid wsp:val=&quot;006B1930&quot;/&gt;&lt;wsp:rsid wsp:val=&quot;006B1D2E&quot;/&gt;&lt;wsp:rsid wsp:val=&quot;006B1F26&quot;/&gt;&lt;wsp:rsid wsp:val=&quot;006B26FE&quot;/&gt;&lt;wsp:rsid wsp:val=&quot;006B2819&quot;/&gt;&lt;wsp:rsid wsp:val=&quot;006B3130&quot;/&gt;&lt;wsp:rsid wsp:val=&quot;006B317D&quot;/&gt;&lt;wsp:rsid wsp:val=&quot;006B318A&quot;/&gt;&lt;wsp:rsid wsp:val=&quot;006B3317&quot;/&gt;&lt;wsp:rsid wsp:val=&quot;006B34E8&quot;/&gt;&lt;wsp:rsid wsp:val=&quot;006B3927&quot;/&gt;&lt;wsp:rsid wsp:val=&quot;006B3A78&quot;/&gt;&lt;wsp:rsid wsp:val=&quot;006B3ABF&quot;/&gt;&lt;wsp:rsid wsp:val=&quot;006B41FD&quot;/&gt;&lt;wsp:rsid wsp:val=&quot;006B4465&quot;/&gt;&lt;wsp:rsid wsp:val=&quot;006B4758&quot;/&gt;&lt;wsp:rsid wsp:val=&quot;006B47EE&quot;/&gt;&lt;wsp:rsid wsp:val=&quot;006B488E&quot;/&gt;&lt;wsp:rsid wsp:val=&quot;006B490B&quot;/&gt;&lt;wsp:rsid wsp:val=&quot;006B4D9E&quot;/&gt;&lt;wsp:rsid wsp:val=&quot;006B5178&quot;/&gt;&lt;wsp:rsid wsp:val=&quot;006B5B6D&quot;/&gt;&lt;wsp:rsid wsp:val=&quot;006B6279&quot;/&gt;&lt;wsp:rsid wsp:val=&quot;006B63A5&quot;/&gt;&lt;wsp:rsid wsp:val=&quot;006B6796&quot;/&gt;&lt;wsp:rsid wsp:val=&quot;006B6A7D&quot;/&gt;&lt;wsp:rsid wsp:val=&quot;006B6AB6&quot;/&gt;&lt;wsp:rsid wsp:val=&quot;006B6AE1&quot;/&gt;&lt;wsp:rsid wsp:val=&quot;006B6BFE&quot;/&gt;&lt;wsp:rsid wsp:val=&quot;006B6CC4&quot;/&gt;&lt;wsp:rsid wsp:val=&quot;006B6E28&quot;/&gt;&lt;wsp:rsid wsp:val=&quot;006B6E9C&quot;/&gt;&lt;wsp:rsid wsp:val=&quot;006B726B&quot;/&gt;&lt;wsp:rsid wsp:val=&quot;006B75D7&quot;/&gt;&lt;wsp:rsid wsp:val=&quot;006B76A9&quot;/&gt;&lt;wsp:rsid wsp:val=&quot;006C01A7&quot;/&gt;&lt;wsp:rsid wsp:val=&quot;006C08A7&quot;/&gt;&lt;wsp:rsid wsp:val=&quot;006C09CC&quot;/&gt;&lt;wsp:rsid wsp:val=&quot;006C0BA1&quot;/&gt;&lt;wsp:rsid wsp:val=&quot;006C0F97&quot;/&gt;&lt;wsp:rsid wsp:val=&quot;006C10C8&quot;/&gt;&lt;wsp:rsid wsp:val=&quot;006C1554&quot;/&gt;&lt;wsp:rsid wsp:val=&quot;006C1B75&quot;/&gt;&lt;wsp:rsid wsp:val=&quot;006C1FA0&quot;/&gt;&lt;wsp:rsid wsp:val=&quot;006C2055&quot;/&gt;&lt;wsp:rsid wsp:val=&quot;006C20D7&quot;/&gt;&lt;wsp:rsid wsp:val=&quot;006C23FA&quot;/&gt;&lt;wsp:rsid wsp:val=&quot;006C2506&quot;/&gt;&lt;wsp:rsid wsp:val=&quot;006C2749&quot;/&gt;&lt;wsp:rsid wsp:val=&quot;006C27E2&quot;/&gt;&lt;wsp:rsid wsp:val=&quot;006C2931&quot;/&gt;&lt;wsp:rsid wsp:val=&quot;006C2B4D&quot;/&gt;&lt;wsp:rsid wsp:val=&quot;006C2B50&quot;/&gt;&lt;wsp:rsid wsp:val=&quot;006C2CBA&quot;/&gt;&lt;wsp:rsid wsp:val=&quot;006C303C&quot;/&gt;&lt;wsp:rsid wsp:val=&quot;006C348B&quot;/&gt;&lt;wsp:rsid wsp:val=&quot;006C3638&quot;/&gt;&lt;wsp:rsid wsp:val=&quot;006C38B0&quot;/&gt;&lt;wsp:rsid wsp:val=&quot;006C3B7E&quot;/&gt;&lt;wsp:rsid wsp:val=&quot;006C3C50&quot;/&gt;&lt;wsp:rsid wsp:val=&quot;006C3E41&quot;/&gt;&lt;wsp:rsid wsp:val=&quot;006C3F05&quot;/&gt;&lt;wsp:rsid wsp:val=&quot;006C407F&quot;/&gt;&lt;wsp:rsid wsp:val=&quot;006C42BB&quot;/&gt;&lt;wsp:rsid wsp:val=&quot;006C4502&quot;/&gt;&lt;wsp:rsid wsp:val=&quot;006C47AB&quot;/&gt;&lt;wsp:rsid wsp:val=&quot;006C4802&quot;/&gt;&lt;wsp:rsid wsp:val=&quot;006C4A03&quot;/&gt;&lt;wsp:rsid wsp:val=&quot;006C4A09&quot;/&gt;&lt;wsp:rsid wsp:val=&quot;006C4D10&quot;/&gt;&lt;wsp:rsid wsp:val=&quot;006C4F9F&quot;/&gt;&lt;wsp:rsid wsp:val=&quot;006C5143&quot;/&gt;&lt;wsp:rsid wsp:val=&quot;006C51B1&quot;/&gt;&lt;wsp:rsid wsp:val=&quot;006C51CE&quot;/&gt;&lt;wsp:rsid wsp:val=&quot;006C525D&quot;/&gt;&lt;wsp:rsid wsp:val=&quot;006C53E2&quot;/&gt;&lt;wsp:rsid wsp:val=&quot;006C5A89&quot;/&gt;&lt;wsp:rsid wsp:val=&quot;006C5D06&quot;/&gt;&lt;wsp:rsid wsp:val=&quot;006C5DEA&quot;/&gt;&lt;wsp:rsid wsp:val=&quot;006C5F67&quot;/&gt;&lt;wsp:rsid wsp:val=&quot;006C61C6&quot;/&gt;&lt;wsp:rsid wsp:val=&quot;006C61E0&quot;/&gt;&lt;wsp:rsid wsp:val=&quot;006C68D1&quot;/&gt;&lt;wsp:rsid wsp:val=&quot;006C6CB6&quot;/&gt;&lt;wsp:rsid wsp:val=&quot;006C7EC1&quot;/&gt;&lt;wsp:rsid wsp:val=&quot;006C7F9A&quot;/&gt;&lt;wsp:rsid wsp:val=&quot;006D03EF&quot;/&gt;&lt;wsp:rsid wsp:val=&quot;006D081C&quot;/&gt;&lt;wsp:rsid wsp:val=&quot;006D0F95&quot;/&gt;&lt;wsp:rsid wsp:val=&quot;006D143B&quot;/&gt;&lt;wsp:rsid wsp:val=&quot;006D1464&quot;/&gt;&lt;wsp:rsid wsp:val=&quot;006D1631&quot;/&gt;&lt;wsp:rsid wsp:val=&quot;006D173C&quot;/&gt;&lt;wsp:rsid wsp:val=&quot;006D17FD&quot;/&gt;&lt;wsp:rsid wsp:val=&quot;006D1958&quot;/&gt;&lt;wsp:rsid wsp:val=&quot;006D19FD&quot;/&gt;&lt;wsp:rsid wsp:val=&quot;006D1A36&quot;/&gt;&lt;wsp:rsid wsp:val=&quot;006D1B02&quot;/&gt;&lt;wsp:rsid wsp:val=&quot;006D1C25&quot;/&gt;&lt;wsp:rsid wsp:val=&quot;006D1D77&quot;/&gt;&lt;wsp:rsid wsp:val=&quot;006D1DBE&quot;/&gt;&lt;wsp:rsid wsp:val=&quot;006D2058&quot;/&gt;&lt;wsp:rsid wsp:val=&quot;006D21BB&quot;/&gt;&lt;wsp:rsid wsp:val=&quot;006D238D&quot;/&gt;&lt;wsp:rsid wsp:val=&quot;006D2674&quot;/&gt;&lt;wsp:rsid wsp:val=&quot;006D2736&quot;/&gt;&lt;wsp:rsid wsp:val=&quot;006D2806&quot;/&gt;&lt;wsp:rsid wsp:val=&quot;006D2910&quot;/&gt;&lt;wsp:rsid wsp:val=&quot;006D2B62&quot;/&gt;&lt;wsp:rsid wsp:val=&quot;006D2D85&quot;/&gt;&lt;wsp:rsid wsp:val=&quot;006D2E31&quot;/&gt;&lt;wsp:rsid wsp:val=&quot;006D2EE4&quot;/&gt;&lt;wsp:rsid wsp:val=&quot;006D3014&quot;/&gt;&lt;wsp:rsid wsp:val=&quot;006D30AC&quot;/&gt;&lt;wsp:rsid wsp:val=&quot;006D32BC&quot;/&gt;&lt;wsp:rsid wsp:val=&quot;006D34F0&quot;/&gt;&lt;wsp:rsid wsp:val=&quot;006D362C&quot;/&gt;&lt;wsp:rsid wsp:val=&quot;006D3699&quot;/&gt;&lt;wsp:rsid wsp:val=&quot;006D375F&quot;/&gt;&lt;wsp:rsid wsp:val=&quot;006D38C4&quot;/&gt;&lt;wsp:rsid wsp:val=&quot;006D39EE&quot;/&gt;&lt;wsp:rsid wsp:val=&quot;006D3B48&quot;/&gt;&lt;wsp:rsid wsp:val=&quot;006D3B91&quot;/&gt;&lt;wsp:rsid wsp:val=&quot;006D428C&quot;/&gt;&lt;wsp:rsid wsp:val=&quot;006D44EF&quot;/&gt;&lt;wsp:rsid wsp:val=&quot;006D4A16&quot;/&gt;&lt;wsp:rsid wsp:val=&quot;006D4AE9&quot;/&gt;&lt;wsp:rsid wsp:val=&quot;006D4D6D&quot;/&gt;&lt;wsp:rsid wsp:val=&quot;006D4F32&quot;/&gt;&lt;wsp:rsid wsp:val=&quot;006D50E9&quot;/&gt;&lt;wsp:rsid wsp:val=&quot;006D54F4&quot;/&gt;&lt;wsp:rsid wsp:val=&quot;006D5707&quot;/&gt;&lt;wsp:rsid wsp:val=&quot;006D5868&quot;/&gt;&lt;wsp:rsid wsp:val=&quot;006D5979&quot;/&gt;&lt;wsp:rsid wsp:val=&quot;006D5A38&quot;/&gt;&lt;wsp:rsid wsp:val=&quot;006D5B02&quot;/&gt;&lt;wsp:rsid wsp:val=&quot;006D5B1D&quot;/&gt;&lt;wsp:rsid wsp:val=&quot;006D5B7E&quot;/&gt;&lt;wsp:rsid wsp:val=&quot;006D5FCA&quot;/&gt;&lt;wsp:rsid wsp:val=&quot;006D6235&quot;/&gt;&lt;wsp:rsid wsp:val=&quot;006D634C&quot;/&gt;&lt;wsp:rsid wsp:val=&quot;006D6953&quot;/&gt;&lt;wsp:rsid wsp:val=&quot;006D6A43&quot;/&gt;&lt;wsp:rsid wsp:val=&quot;006D6B47&quot;/&gt;&lt;wsp:rsid wsp:val=&quot;006D6C7D&quot;/&gt;&lt;wsp:rsid wsp:val=&quot;006D6D55&quot;/&gt;&lt;wsp:rsid wsp:val=&quot;006D6F3B&quot;/&gt;&lt;wsp:rsid wsp:val=&quot;006D6F41&quot;/&gt;&lt;wsp:rsid wsp:val=&quot;006D7085&quot;/&gt;&lt;wsp:rsid wsp:val=&quot;006D71E3&quot;/&gt;&lt;wsp:rsid wsp:val=&quot;006D73A2&quot;/&gt;&lt;wsp:rsid wsp:val=&quot;006D7827&quot;/&gt;&lt;wsp:rsid wsp:val=&quot;006D79E0&quot;/&gt;&lt;wsp:rsid wsp:val=&quot;006D7C48&quot;/&gt;&lt;wsp:rsid wsp:val=&quot;006D7CF9&quot;/&gt;&lt;wsp:rsid wsp:val=&quot;006D7D94&quot;/&gt;&lt;wsp:rsid wsp:val=&quot;006D7F04&quot;/&gt;&lt;wsp:rsid wsp:val=&quot;006E0479&quot;/&gt;&lt;wsp:rsid wsp:val=&quot;006E0776&quot;/&gt;&lt;wsp:rsid wsp:val=&quot;006E0875&quot;/&gt;&lt;wsp:rsid wsp:val=&quot;006E094C&quot;/&gt;&lt;wsp:rsid wsp:val=&quot;006E1081&quot;/&gt;&lt;wsp:rsid wsp:val=&quot;006E1123&quot;/&gt;&lt;wsp:rsid wsp:val=&quot;006E16E1&quot;/&gt;&lt;wsp:rsid wsp:val=&quot;006E171C&quot;/&gt;&lt;wsp:rsid wsp:val=&quot;006E1BAB&quot;/&gt;&lt;wsp:rsid wsp:val=&quot;006E1C2F&quot;/&gt;&lt;wsp:rsid wsp:val=&quot;006E1C5C&quot;/&gt;&lt;wsp:rsid wsp:val=&quot;006E1CC6&quot;/&gt;&lt;wsp:rsid wsp:val=&quot;006E1DD1&quot;/&gt;&lt;wsp:rsid wsp:val=&quot;006E1E81&quot;/&gt;&lt;wsp:rsid wsp:val=&quot;006E2190&quot;/&gt;&lt;wsp:rsid wsp:val=&quot;006E22BD&quot;/&gt;&lt;wsp:rsid wsp:val=&quot;006E242D&quot;/&gt;&lt;wsp:rsid wsp:val=&quot;006E242E&quot;/&gt;&lt;wsp:rsid wsp:val=&quot;006E275A&quot;/&gt;&lt;wsp:rsid wsp:val=&quot;006E29BE&quot;/&gt;&lt;wsp:rsid wsp:val=&quot;006E2EB3&quot;/&gt;&lt;wsp:rsid wsp:val=&quot;006E3021&quot;/&gt;&lt;wsp:rsid wsp:val=&quot;006E3058&quot;/&gt;&lt;wsp:rsid wsp:val=&quot;006E3121&quot;/&gt;&lt;wsp:rsid wsp:val=&quot;006E33DC&quot;/&gt;&lt;wsp:rsid wsp:val=&quot;006E3F62&quot;/&gt;&lt;wsp:rsid wsp:val=&quot;006E43D3&quot;/&gt;&lt;wsp:rsid wsp:val=&quot;006E450E&quot;/&gt;&lt;wsp:rsid wsp:val=&quot;006E46D9&quot;/&gt;&lt;wsp:rsid wsp:val=&quot;006E4E9C&quot;/&gt;&lt;wsp:rsid wsp:val=&quot;006E52D0&quot;/&gt;&lt;wsp:rsid wsp:val=&quot;006E52D5&quot;/&gt;&lt;wsp:rsid wsp:val=&quot;006E53EE&quot;/&gt;&lt;wsp:rsid wsp:val=&quot;006E54A5&quot;/&gt;&lt;wsp:rsid wsp:val=&quot;006E575D&quot;/&gt;&lt;wsp:rsid wsp:val=&quot;006E5C77&quot;/&gt;&lt;wsp:rsid wsp:val=&quot;006E5CBC&quot;/&gt;&lt;wsp:rsid wsp:val=&quot;006E5CE7&quot;/&gt;&lt;wsp:rsid wsp:val=&quot;006E6013&quot;/&gt;&lt;wsp:rsid wsp:val=&quot;006E60FF&quot;/&gt;&lt;wsp:rsid wsp:val=&quot;006E62E8&quot;/&gt;&lt;wsp:rsid wsp:val=&quot;006E6617&quot;/&gt;&lt;wsp:rsid wsp:val=&quot;006E6878&quot;/&gt;&lt;wsp:rsid wsp:val=&quot;006E6CAA&quot;/&gt;&lt;wsp:rsid wsp:val=&quot;006E6FE1&quot;/&gt;&lt;wsp:rsid wsp:val=&quot;006E744D&quot;/&gt;&lt;wsp:rsid wsp:val=&quot;006E74CA&quot;/&gt;&lt;wsp:rsid wsp:val=&quot;006E74FA&quot;/&gt;&lt;wsp:rsid wsp:val=&quot;006E7710&quot;/&gt;&lt;wsp:rsid wsp:val=&quot;006E7AC2&quot;/&gt;&lt;wsp:rsid wsp:val=&quot;006E7DE3&quot;/&gt;&lt;wsp:rsid wsp:val=&quot;006E7EE7&quot;/&gt;&lt;wsp:rsid wsp:val=&quot;006F0183&quot;/&gt;&lt;wsp:rsid wsp:val=&quot;006F029F&quot;/&gt;&lt;wsp:rsid wsp:val=&quot;006F02AC&quot;/&gt;&lt;wsp:rsid wsp:val=&quot;006F0808&quot;/&gt;&lt;wsp:rsid wsp:val=&quot;006F08C8&quot;/&gt;&lt;wsp:rsid wsp:val=&quot;006F0957&quot;/&gt;&lt;wsp:rsid wsp:val=&quot;006F1291&quot;/&gt;&lt;wsp:rsid wsp:val=&quot;006F1383&quot;/&gt;&lt;wsp:rsid wsp:val=&quot;006F1C9C&quot;/&gt;&lt;wsp:rsid wsp:val=&quot;006F20DA&quot;/&gt;&lt;wsp:rsid wsp:val=&quot;006F294F&quot;/&gt;&lt;wsp:rsid wsp:val=&quot;006F34C2&quot;/&gt;&lt;wsp:rsid wsp:val=&quot;006F3695&quot;/&gt;&lt;wsp:rsid wsp:val=&quot;006F3923&quot;/&gt;&lt;wsp:rsid wsp:val=&quot;006F3964&quot;/&gt;&lt;wsp:rsid wsp:val=&quot;006F3EE2&quot;/&gt;&lt;wsp:rsid wsp:val=&quot;006F40A2&quot;/&gt;&lt;wsp:rsid wsp:val=&quot;006F48AF&quot;/&gt;&lt;wsp:rsid wsp:val=&quot;006F49C3&quot;/&gt;&lt;wsp:rsid wsp:val=&quot;006F49C9&quot;/&gt;&lt;wsp:rsid wsp:val=&quot;006F4DE1&quot;/&gt;&lt;wsp:rsid wsp:val=&quot;006F5012&quot;/&gt;&lt;wsp:rsid wsp:val=&quot;006F5237&quot;/&gt;&lt;wsp:rsid wsp:val=&quot;006F52F5&quot;/&gt;&lt;wsp:rsid wsp:val=&quot;006F5343&quot;/&gt;&lt;wsp:rsid wsp:val=&quot;006F53B2&quot;/&gt;&lt;wsp:rsid wsp:val=&quot;006F54C8&quot;/&gt;&lt;wsp:rsid wsp:val=&quot;006F559A&quot;/&gt;&lt;wsp:rsid wsp:val=&quot;006F55D0&quot;/&gt;&lt;wsp:rsid wsp:val=&quot;006F562D&quot;/&gt;&lt;wsp:rsid wsp:val=&quot;006F634F&quot;/&gt;&lt;wsp:rsid wsp:val=&quot;006F63E7&quot;/&gt;&lt;wsp:rsid wsp:val=&quot;006F6840&quot;/&gt;&lt;wsp:rsid wsp:val=&quot;006F6B7A&quot;/&gt;&lt;wsp:rsid wsp:val=&quot;006F6BA4&quot;/&gt;&lt;wsp:rsid wsp:val=&quot;006F6D28&quot;/&gt;&lt;wsp:rsid wsp:val=&quot;006F6E4C&quot;/&gt;&lt;wsp:rsid wsp:val=&quot;006F71CD&quot;/&gt;&lt;wsp:rsid wsp:val=&quot;006F73D9&quot;/&gt;&lt;wsp:rsid wsp:val=&quot;006F7973&quot;/&gt;&lt;wsp:rsid wsp:val=&quot;006F797F&quot;/&gt;&lt;wsp:rsid wsp:val=&quot;006F7AF5&quot;/&gt;&lt;wsp:rsid wsp:val=&quot;006F7AFE&quot;/&gt;&lt;wsp:rsid wsp:val=&quot;006F7BA0&quot;/&gt;&lt;wsp:rsid wsp:val=&quot;006F7D20&quot;/&gt;&lt;wsp:rsid wsp:val=&quot;007000DB&quot;/&gt;&lt;wsp:rsid wsp:val=&quot;0070056B&quot;/&gt;&lt;wsp:rsid wsp:val=&quot;00700AC5&quot;/&gt;&lt;wsp:rsid wsp:val=&quot;00700B18&quot;/&gt;&lt;wsp:rsid wsp:val=&quot;00700BE1&quot;/&gt;&lt;wsp:rsid wsp:val=&quot;0070113B&quot;/&gt;&lt;wsp:rsid wsp:val=&quot;007012C0&quot;/&gt;&lt;wsp:rsid wsp:val=&quot;007013C4&quot;/&gt;&lt;wsp:rsid wsp:val=&quot;007014CE&quot;/&gt;&lt;wsp:rsid wsp:val=&quot;007017C8&quot;/&gt;&lt;wsp:rsid wsp:val=&quot;00701802&quot;/&gt;&lt;wsp:rsid wsp:val=&quot;007019A7&quot;/&gt;&lt;wsp:rsid wsp:val=&quot;00702060&quot;/&gt;&lt;wsp:rsid wsp:val=&quot;00702193&quot;/&gt;&lt;wsp:rsid wsp:val=&quot;0070225A&quot;/&gt;&lt;wsp:rsid wsp:val=&quot;007025AE&quot;/&gt;&lt;wsp:rsid wsp:val=&quot;00702FAF&quot;/&gt;&lt;wsp:rsid wsp:val=&quot;00703168&quot;/&gt;&lt;wsp:rsid wsp:val=&quot;00703229&quot;/&gt;&lt;wsp:rsid wsp:val=&quot;00703328&quot;/&gt;&lt;wsp:rsid wsp:val=&quot;007033D2&quot;/&gt;&lt;wsp:rsid wsp:val=&quot;007035DA&quot;/&gt;&lt;wsp:rsid wsp:val=&quot;00703A1E&quot;/&gt;&lt;wsp:rsid wsp:val=&quot;00703B33&quot;/&gt;&lt;wsp:rsid wsp:val=&quot;00703D05&quot;/&gt;&lt;wsp:rsid wsp:val=&quot;00703D44&quot;/&gt;&lt;wsp:rsid wsp:val=&quot;00703E84&quot;/&gt;&lt;wsp:rsid wsp:val=&quot;00703FC4&quot;/&gt;&lt;wsp:rsid wsp:val=&quot;00704036&quot;/&gt;&lt;wsp:rsid wsp:val=&quot;007040B8&quot;/&gt;&lt;wsp:rsid wsp:val=&quot;007040DE&quot;/&gt;&lt;wsp:rsid wsp:val=&quot;007041F9&quot;/&gt;&lt;wsp:rsid wsp:val=&quot;00704398&quot;/&gt;&lt;wsp:rsid wsp:val=&quot;007046EE&quot;/&gt;&lt;wsp:rsid wsp:val=&quot;007047DE&quot;/&gt;&lt;wsp:rsid wsp:val=&quot;00704EFF&quot;/&gt;&lt;wsp:rsid wsp:val=&quot;0070514A&quot;/&gt;&lt;wsp:rsid wsp:val=&quot;00705243&quot;/&gt;&lt;wsp:rsid wsp:val=&quot;00705407&quot;/&gt;&lt;wsp:rsid wsp:val=&quot;0070549A&quot;/&gt;&lt;wsp:rsid wsp:val=&quot;00705827&quot;/&gt;&lt;wsp:rsid wsp:val=&quot;00705953&quot;/&gt;&lt;wsp:rsid wsp:val=&quot;0070596F&quot;/&gt;&lt;wsp:rsid wsp:val=&quot;00705E05&quot;/&gt;&lt;wsp:rsid wsp:val=&quot;00705EDE&quot;/&gt;&lt;wsp:rsid wsp:val=&quot;0070614A&quot;/&gt;&lt;wsp:rsid wsp:val=&quot;0070616C&quot;/&gt;&lt;wsp:rsid wsp:val=&quot;007062BF&quot;/&gt;&lt;wsp:rsid wsp:val=&quot;007062E8&quot;/&gt;&lt;wsp:rsid wsp:val=&quot;00706749&quot;/&gt;&lt;wsp:rsid wsp:val=&quot;00706876&quot;/&gt;&lt;wsp:rsid wsp:val=&quot;00706982&quot;/&gt;&lt;wsp:rsid wsp:val=&quot;00706F4F&quot;/&gt;&lt;wsp:rsid wsp:val=&quot;00707029&quot;/&gt;&lt;wsp:rsid wsp:val=&quot;0070757F&quot;/&gt;&lt;wsp:rsid wsp:val=&quot;0070769D&quot;/&gt;&lt;wsp:rsid wsp:val=&quot;0070796B&quot;/&gt;&lt;wsp:rsid wsp:val=&quot;007079DA&quot;/&gt;&lt;wsp:rsid wsp:val=&quot;00707A40&quot;/&gt;&lt;wsp:rsid wsp:val=&quot;00707B26&quot;/&gt;&lt;wsp:rsid wsp:val=&quot;00707C93&quot;/&gt;&lt;wsp:rsid wsp:val=&quot;00710012&quot;/&gt;&lt;wsp:rsid wsp:val=&quot;007100D9&quot;/&gt;&lt;wsp:rsid wsp:val=&quot;007105A7&quot;/&gt;&lt;wsp:rsid wsp:val=&quot;0071067D&quot;/&gt;&lt;wsp:rsid wsp:val=&quot;00710796&quot;/&gt;&lt;wsp:rsid wsp:val=&quot;007109D4&quot;/&gt;&lt;wsp:rsid wsp:val=&quot;00710D5E&quot;/&gt;&lt;wsp:rsid wsp:val=&quot;00710E5A&quot;/&gt;&lt;wsp:rsid wsp:val=&quot;00711021&quot;/&gt;&lt;wsp:rsid wsp:val=&quot;007117BB&quot;/&gt;&lt;wsp:rsid wsp:val=&quot;00711AA0&quot;/&gt;&lt;wsp:rsid wsp:val=&quot;00711CB8&quot;/&gt;&lt;wsp:rsid wsp:val=&quot;00711D10&quot;/&gt;&lt;wsp:rsid wsp:val=&quot;00712241&quot;/&gt;&lt;wsp:rsid wsp:val=&quot;0071242C&quot;/&gt;&lt;wsp:rsid wsp:val=&quot;00712561&quot;/&gt;&lt;wsp:rsid wsp:val=&quot;00712673&quot;/&gt;&lt;wsp:rsid wsp:val=&quot;007127B0&quot;/&gt;&lt;wsp:rsid wsp:val=&quot;00712BF8&quot;/&gt;&lt;wsp:rsid wsp:val=&quot;00712DF9&quot;/&gt;&lt;wsp:rsid wsp:val=&quot;00713057&quot;/&gt;&lt;wsp:rsid wsp:val=&quot;007132AA&quot;/&gt;&lt;wsp:rsid wsp:val=&quot;00713311&quot;/&gt;&lt;wsp:rsid wsp:val=&quot;00713335&quot;/&gt;&lt;wsp:rsid wsp:val=&quot;0071335B&quot;/&gt;&lt;wsp:rsid wsp:val=&quot;00713BA0&quot;/&gt;&lt;wsp:rsid wsp:val=&quot;00713D06&quot;/&gt;&lt;wsp:rsid wsp:val=&quot;00713DFB&quot;/&gt;&lt;wsp:rsid wsp:val=&quot;007140D9&quot;/&gt;&lt;wsp:rsid wsp:val=&quot;00714121&quot;/&gt;&lt;wsp:rsid wsp:val=&quot;00714144&quot;/&gt;&lt;wsp:rsid wsp:val=&quot;007148C6&quot;/&gt;&lt;wsp:rsid wsp:val=&quot;0071497B&quot;/&gt;&lt;wsp:rsid wsp:val=&quot;00714AAD&quot;/&gt;&lt;wsp:rsid wsp:val=&quot;00714B81&quot;/&gt;&lt;wsp:rsid wsp:val=&quot;00714B88&quot;/&gt;&lt;wsp:rsid wsp:val=&quot;00714B89&quot;/&gt;&lt;wsp:rsid wsp:val=&quot;00714C40&quot;/&gt;&lt;wsp:rsid wsp:val=&quot;00714D85&quot;/&gt;&lt;wsp:rsid wsp:val=&quot;00714F25&quot;/&gt;&lt;wsp:rsid wsp:val=&quot;007151D1&quot;/&gt;&lt;wsp:rsid wsp:val=&quot;00715261&quot;/&gt;&lt;wsp:rsid wsp:val=&quot;00715523&quot;/&gt;&lt;wsp:rsid wsp:val=&quot;00715685&quot;/&gt;&lt;wsp:rsid wsp:val=&quot;00715687&quot;/&gt;&lt;wsp:rsid wsp:val=&quot;0071587A&quot;/&gt;&lt;wsp:rsid wsp:val=&quot;00715B2A&quot;/&gt;&lt;wsp:rsid wsp:val=&quot;00715BF1&quot;/&gt;&lt;wsp:rsid wsp:val=&quot;00715C0C&quot;/&gt;&lt;wsp:rsid wsp:val=&quot;00715D9E&quot;/&gt;&lt;wsp:rsid wsp:val=&quot;00715DA8&quot;/&gt;&lt;wsp:rsid wsp:val=&quot;00715DFA&quot;/&gt;&lt;wsp:rsid wsp:val=&quot;0071610D&quot;/&gt;&lt;wsp:rsid wsp:val=&quot;007161D8&quot;/&gt;&lt;wsp:rsid wsp:val=&quot;00716452&quot;/&gt;&lt;wsp:rsid wsp:val=&quot;007165E4&quot;/&gt;&lt;wsp:rsid wsp:val=&quot;00716905&quot;/&gt;&lt;wsp:rsid wsp:val=&quot;00716934&quot;/&gt;&lt;wsp:rsid wsp:val=&quot;00716B4E&quot;/&gt;&lt;wsp:rsid wsp:val=&quot;00716DA7&quot;/&gt;&lt;wsp:rsid wsp:val=&quot;00716E56&quot;/&gt;&lt;wsp:rsid wsp:val=&quot;00716E70&quot;/&gt;&lt;wsp:rsid wsp:val=&quot;00717090&quot;/&gt;&lt;wsp:rsid wsp:val=&quot;0071712B&quot;/&gt;&lt;wsp:rsid wsp:val=&quot;0071715E&quot;/&gt;&lt;wsp:rsid wsp:val=&quot;00717294&quot;/&gt;&lt;wsp:rsid wsp:val=&quot;00717762&quot;/&gt;&lt;wsp:rsid wsp:val=&quot;00717846&quot;/&gt;&lt;wsp:rsid wsp:val=&quot;00717A79&quot;/&gt;&lt;wsp:rsid wsp:val=&quot;00717BBE&quot;/&gt;&lt;wsp:rsid wsp:val=&quot;00717C4E&quot;/&gt;&lt;wsp:rsid wsp:val=&quot;00717CD0&quot;/&gt;&lt;wsp:rsid wsp:val=&quot;00717D42&quot;/&gt;&lt;wsp:rsid wsp:val=&quot;00717DB4&quot;/&gt;&lt;wsp:rsid wsp:val=&quot;00720080&quot;/&gt;&lt;wsp:rsid wsp:val=&quot;00720293&quot;/&gt;&lt;wsp:rsid wsp:val=&quot;00720433&quot;/&gt;&lt;wsp:rsid wsp:val=&quot;0072065F&quot;/&gt;&lt;wsp:rsid wsp:val=&quot;00720B12&quot;/&gt;&lt;wsp:rsid wsp:val=&quot;00720F16&quot;/&gt;&lt;wsp:rsid wsp:val=&quot;00720FC3&quot;/&gt;&lt;wsp:rsid wsp:val=&quot;007212FF&quot;/&gt;&lt;wsp:rsid wsp:val=&quot;00721400&quot;/&gt;&lt;wsp:rsid wsp:val=&quot;0072187C&quot;/&gt;&lt;wsp:rsid wsp:val=&quot;00721ECF&quot;/&gt;&lt;wsp:rsid wsp:val=&quot;00722283&quot;/&gt;&lt;wsp:rsid wsp:val=&quot;00722389&quot;/&gt;&lt;wsp:rsid wsp:val=&quot;007226F2&quot;/&gt;&lt;wsp:rsid wsp:val=&quot;00722D60&quot;/&gt;&lt;wsp:rsid wsp:val=&quot;007230E9&quot;/&gt;&lt;wsp:rsid wsp:val=&quot;0072316D&quot;/&gt;&lt;wsp:rsid wsp:val=&quot;00723286&quot;/&gt;&lt;wsp:rsid wsp:val=&quot;007232FA&quot;/&gt;&lt;wsp:rsid wsp:val=&quot;00723A6F&quot;/&gt;&lt;wsp:rsid wsp:val=&quot;00723BE7&quot;/&gt;&lt;wsp:rsid wsp:val=&quot;00723CA6&quot;/&gt;&lt;wsp:rsid wsp:val=&quot;00724019&quot;/&gt;&lt;wsp:rsid wsp:val=&quot;00724028&quot;/&gt;&lt;wsp:rsid wsp:val=&quot;007241F8&quot;/&gt;&lt;wsp:rsid wsp:val=&quot;007242DE&quot;/&gt;&lt;wsp:rsid wsp:val=&quot;00724380&quot;/&gt;&lt;wsp:rsid wsp:val=&quot;007247EF&quot;/&gt;&lt;wsp:rsid wsp:val=&quot;00724924&quot;/&gt;&lt;wsp:rsid wsp:val=&quot;00724969&quot;/&gt;&lt;wsp:rsid wsp:val=&quot;00724A25&quot;/&gt;&lt;wsp:rsid wsp:val=&quot;00724A56&quot;/&gt;&lt;wsp:rsid wsp:val=&quot;00724A8C&quot;/&gt;&lt;wsp:rsid wsp:val=&quot;00724D71&quot;/&gt;&lt;wsp:rsid wsp:val=&quot;00724ECD&quot;/&gt;&lt;wsp:rsid wsp:val=&quot;0072527B&quot;/&gt;&lt;wsp:rsid wsp:val=&quot;0072527F&quot;/&gt;&lt;wsp:rsid wsp:val=&quot;007252B5&quot;/&gt;&lt;wsp:rsid wsp:val=&quot;007256D2&quot;/&gt;&lt;wsp:rsid wsp:val=&quot;0072594B&quot;/&gt;&lt;wsp:rsid wsp:val=&quot;007259B4&quot;/&gt;&lt;wsp:rsid wsp:val=&quot;00725ADA&quot;/&gt;&lt;wsp:rsid wsp:val=&quot;00725AF6&quot;/&gt;&lt;wsp:rsid wsp:val=&quot;00725C60&quot;/&gt;&lt;wsp:rsid wsp:val=&quot;00725C8E&quot;/&gt;&lt;wsp:rsid wsp:val=&quot;00725EF2&quot;/&gt;&lt;wsp:rsid wsp:val=&quot;00726348&quot;/&gt;&lt;wsp:rsid wsp:val=&quot;007263AD&quot;/&gt;&lt;wsp:rsid wsp:val=&quot;0072641C&quot;/&gt;&lt;wsp:rsid wsp:val=&quot;00726441&quot;/&gt;&lt;wsp:rsid wsp:val=&quot;00726A6D&quot;/&gt;&lt;wsp:rsid wsp:val=&quot;00726CEB&quot;/&gt;&lt;wsp:rsid wsp:val=&quot;00726ED1&quot;/&gt;&lt;wsp:rsid wsp:val=&quot;007274C8&quot;/&gt;&lt;wsp:rsid wsp:val=&quot;00727829&quot;/&gt;&lt;wsp:rsid wsp:val=&quot;00727A1E&quot;/&gt;&lt;wsp:rsid wsp:val=&quot;00727AC5&quot;/&gt;&lt;wsp:rsid wsp:val=&quot;00727E81&quot;/&gt;&lt;wsp:rsid wsp:val=&quot;0073012A&quot;/&gt;&lt;wsp:rsid wsp:val=&quot;007304B3&quot;/&gt;&lt;wsp:rsid wsp:val=&quot;0073074D&quot;/&gt;&lt;wsp:rsid wsp:val=&quot;007308E5&quot;/&gt;&lt;wsp:rsid wsp:val=&quot;00730CAE&quot;/&gt;&lt;wsp:rsid wsp:val=&quot;00730E66&quot;/&gt;&lt;wsp:rsid wsp:val=&quot;0073114A&quot;/&gt;&lt;wsp:rsid wsp:val=&quot;007319A5&quot;/&gt;&lt;wsp:rsid wsp:val=&quot;00731CE2&quot;/&gt;&lt;wsp:rsid wsp:val=&quot;00731FD7&quot;/&gt;&lt;wsp:rsid wsp:val=&quot;00732128&quot;/&gt;&lt;wsp:rsid wsp:val=&quot;007327B8&quot;/&gt;&lt;wsp:rsid wsp:val=&quot;00732893&quot;/&gt;&lt;wsp:rsid wsp:val=&quot;0073296E&quot;/&gt;&lt;wsp:rsid wsp:val=&quot;007329B1&quot;/&gt;&lt;wsp:rsid wsp:val=&quot;00732A2D&quot;/&gt;&lt;wsp:rsid wsp:val=&quot;00732A77&quot;/&gt;&lt;wsp:rsid wsp:val=&quot;00732C8B&quot;/&gt;&lt;wsp:rsid wsp:val=&quot;00732DF1&quot;/&gt;&lt;wsp:rsid wsp:val=&quot;00732EEB&quot;/&gt;&lt;wsp:rsid wsp:val=&quot;007331F2&quot;/&gt;&lt;wsp:rsid wsp:val=&quot;00733487&quot;/&gt;&lt;wsp:rsid wsp:val=&quot;00733A86&quot;/&gt;&lt;wsp:rsid wsp:val=&quot;00733E70&quot;/&gt;&lt;wsp:rsid wsp:val=&quot;00733EB5&quot;/&gt;&lt;wsp:rsid wsp:val=&quot;00733F1A&quot;/&gt;&lt;wsp:rsid wsp:val=&quot;00733FFF&quot;/&gt;&lt;wsp:rsid wsp:val=&quot;0073451D&quot;/&gt;&lt;wsp:rsid wsp:val=&quot;00734595&quot;/&gt;&lt;wsp:rsid wsp:val=&quot;00734882&quot;/&gt;&lt;wsp:rsid wsp:val=&quot;00734BF8&quot;/&gt;&lt;wsp:rsid wsp:val=&quot;00734D2F&quot;/&gt;&lt;wsp:rsid wsp:val=&quot;00734E7B&quot;/&gt;&lt;wsp:rsid wsp:val=&quot;00734FD6&quot;/&gt;&lt;wsp:rsid wsp:val=&quot;007350F0&quot;/&gt;&lt;wsp:rsid wsp:val=&quot;00735206&quot;/&gt;&lt;wsp:rsid wsp:val=&quot;007353FC&quot;/&gt;&lt;wsp:rsid wsp:val=&quot;0073545D&quot;/&gt;&lt;wsp:rsid wsp:val=&quot;00735846&quot;/&gt;&lt;wsp:rsid wsp:val=&quot;00735968&quot;/&gt;&lt;wsp:rsid wsp:val=&quot;00735B3D&quot;/&gt;&lt;wsp:rsid wsp:val=&quot;00735C73&quot;/&gt;&lt;wsp:rsid wsp:val=&quot;00735CE2&quot;/&gt;&lt;wsp:rsid wsp:val=&quot;00735DB8&quot;/&gt;&lt;wsp:rsid wsp:val=&quot;00735EF2&quot;/&gt;&lt;wsp:rsid wsp:val=&quot;00735FFF&quot;/&gt;&lt;wsp:rsid wsp:val=&quot;0073638A&quot;/&gt;&lt;wsp:rsid wsp:val=&quot;0073657B&quot;/&gt;&lt;wsp:rsid wsp:val=&quot;00736623&quot;/&gt;&lt;wsp:rsid wsp:val=&quot;00736671&quot;/&gt;&lt;wsp:rsid wsp:val=&quot;00736696&quot;/&gt;&lt;wsp:rsid wsp:val=&quot;007366D7&quot;/&gt;&lt;wsp:rsid wsp:val=&quot;00736B5F&quot;/&gt;&lt;wsp:rsid wsp:val=&quot;00736C5E&quot;/&gt;&lt;wsp:rsid wsp:val=&quot;00736D61&quot;/&gt;&lt;wsp:rsid wsp:val=&quot;00737803&quot;/&gt;&lt;wsp:rsid wsp:val=&quot;007378F9&quot;/&gt;&lt;wsp:rsid wsp:val=&quot;00737C06&quot;/&gt;&lt;wsp:rsid wsp:val=&quot;00737C17&quot;/&gt;&lt;wsp:rsid wsp:val=&quot;00737CFF&quot;/&gt;&lt;wsp:rsid wsp:val=&quot;00737D27&quot;/&gt;&lt;wsp:rsid wsp:val=&quot;00737F6F&quot;/&gt;&lt;wsp:rsid wsp:val=&quot;0074028A&quot;/&gt;&lt;wsp:rsid wsp:val=&quot;00740433&quot;/&gt;&lt;wsp:rsid wsp:val=&quot;00740667&quot;/&gt;&lt;wsp:rsid wsp:val=&quot;007407B1&quot;/&gt;&lt;wsp:rsid wsp:val=&quot;007407F2&quot;/&gt;&lt;wsp:rsid wsp:val=&quot;007409DF&quot;/&gt;&lt;wsp:rsid wsp:val=&quot;00740C24&quot;/&gt;&lt;wsp:rsid wsp:val=&quot;00740C89&quot;/&gt;&lt;wsp:rsid wsp:val=&quot;00740DC5&quot;/&gt;&lt;wsp:rsid wsp:val=&quot;00740EB7&quot;/&gt;&lt;wsp:rsid wsp:val=&quot;007411ED&quot;/&gt;&lt;wsp:rsid wsp:val=&quot;007412AF&quot;/&gt;&lt;wsp:rsid wsp:val=&quot;00741E41&quot;/&gt;&lt;wsp:rsid wsp:val=&quot;00741F54&quot;/&gt;&lt;wsp:rsid wsp:val=&quot;00742310&quot;/&gt;&lt;wsp:rsid wsp:val=&quot;00742637&quot;/&gt;&lt;wsp:rsid wsp:val=&quot;00742888&quot;/&gt;&lt;wsp:rsid wsp:val=&quot;00742B0C&quot;/&gt;&lt;wsp:rsid wsp:val=&quot;00742D37&quot;/&gt;&lt;wsp:rsid wsp:val=&quot;00742EA7&quot;/&gt;&lt;wsp:rsid wsp:val=&quot;00743393&quot;/&gt;&lt;wsp:rsid wsp:val=&quot;0074384D&quot;/&gt;&lt;wsp:rsid wsp:val=&quot;0074391B&quot;/&gt;&lt;wsp:rsid wsp:val=&quot;00743C12&quot;/&gt;&lt;wsp:rsid wsp:val=&quot;00743E3E&quot;/&gt;&lt;wsp:rsid wsp:val=&quot;00743F2B&quot;/&gt;&lt;wsp:rsid wsp:val=&quot;007440CB&quot;/&gt;&lt;wsp:rsid wsp:val=&quot;00744211&quot;/&gt;&lt;wsp:rsid wsp:val=&quot;007443C9&quot;/&gt;&lt;wsp:rsid wsp:val=&quot;00744497&quot;/&gt;&lt;wsp:rsid wsp:val=&quot;00744613&quot;/&gt;&lt;wsp:rsid wsp:val=&quot;00744664&quot;/&gt;&lt;wsp:rsid wsp:val=&quot;007446A6&quot;/&gt;&lt;wsp:rsid wsp:val=&quot;00744985&quot;/&gt;&lt;wsp:rsid wsp:val=&quot;00744A34&quot;/&gt;&lt;wsp:rsid wsp:val=&quot;00744C0F&quot;/&gt;&lt;wsp:rsid wsp:val=&quot;00744E07&quot;/&gt;&lt;wsp:rsid wsp:val=&quot;00744FA5&quot;/&gt;&lt;wsp:rsid wsp:val=&quot;007450AD&quot;/&gt;&lt;wsp:rsid wsp:val=&quot;00745537&quot;/&gt;&lt;wsp:rsid wsp:val=&quot;0074571A&quot;/&gt;&lt;wsp:rsid wsp:val=&quot;007457BE&quot;/&gt;&lt;wsp:rsid wsp:val=&quot;00745B0E&quot;/&gt;&lt;wsp:rsid wsp:val=&quot;00745BC5&quot;/&gt;&lt;wsp:rsid wsp:val=&quot;00745DDA&quot;/&gt;&lt;wsp:rsid wsp:val=&quot;00746132&quot;/&gt;&lt;wsp:rsid wsp:val=&quot;00746311&quot;/&gt;&lt;wsp:rsid wsp:val=&quot;00746475&quot;/&gt;&lt;wsp:rsid wsp:val=&quot;0074647E&quot;/&gt;&lt;wsp:rsid wsp:val=&quot;00746A62&quot;/&gt;&lt;wsp:rsid wsp:val=&quot;00746C8F&quot;/&gt;&lt;wsp:rsid wsp:val=&quot;00746D81&quot;/&gt;&lt;wsp:rsid wsp:val=&quot;00746D82&quot;/&gt;&lt;wsp:rsid wsp:val=&quot;00746E17&quot;/&gt;&lt;wsp:rsid wsp:val=&quot;00746F97&quot;/&gt;&lt;wsp:rsid wsp:val=&quot;00747186&quot;/&gt;&lt;wsp:rsid wsp:val=&quot;007500EF&quot;/&gt;&lt;wsp:rsid wsp:val=&quot;00750166&quot;/&gt;&lt;wsp:rsid wsp:val=&quot;00750424&quot;/&gt;&lt;wsp:rsid wsp:val=&quot;007506C1&quot;/&gt;&lt;wsp:rsid wsp:val=&quot;007508D3&quot;/&gt;&lt;wsp:rsid wsp:val=&quot;00750A47&quot;/&gt;&lt;wsp:rsid wsp:val=&quot;00750B95&quot;/&gt;&lt;wsp:rsid wsp:val=&quot;00750CCC&quot;/&gt;&lt;wsp:rsid wsp:val=&quot;00750CFB&quot;/&gt;&lt;wsp:rsid wsp:val=&quot;00751005&quot;/&gt;&lt;wsp:rsid wsp:val=&quot;007518F1&quot;/&gt;&lt;wsp:rsid wsp:val=&quot;00751D07&quot;/&gt;&lt;wsp:rsid wsp:val=&quot;00751E80&quot;/&gt;&lt;wsp:rsid wsp:val=&quot;00752757&quot;/&gt;&lt;wsp:rsid wsp:val=&quot;00752794&quot;/&gt;&lt;wsp:rsid wsp:val=&quot;00752E1A&quot;/&gt;&lt;wsp:rsid wsp:val=&quot;00752E2C&quot;/&gt;&lt;wsp:rsid wsp:val=&quot;00753019&quot;/&gt;&lt;wsp:rsid wsp:val=&quot;00753044&quot;/&gt;&lt;wsp:rsid wsp:val=&quot;00753057&quot;/&gt;&lt;wsp:rsid wsp:val=&quot;007530BD&quot;/&gt;&lt;wsp:rsid wsp:val=&quot;0075327F&quot;/&gt;&lt;wsp:rsid wsp:val=&quot;007532AA&quot;/&gt;&lt;wsp:rsid wsp:val=&quot;00753335&quot;/&gt;&lt;wsp:rsid wsp:val=&quot;00753753&quot;/&gt;&lt;wsp:rsid wsp:val=&quot;00753AA8&quot;/&gt;&lt;wsp:rsid wsp:val=&quot;00753AB6&quot;/&gt;&lt;wsp:rsid wsp:val=&quot;00753B22&quot;/&gt;&lt;wsp:rsid wsp:val=&quot;00753F6D&quot;/&gt;&lt;wsp:rsid wsp:val=&quot;007540CD&quot;/&gt;&lt;wsp:rsid wsp:val=&quot;00754178&quot;/&gt;&lt;wsp:rsid wsp:val=&quot;00754222&quot;/&gt;&lt;wsp:rsid wsp:val=&quot;007542FD&quot;/&gt;&lt;wsp:rsid wsp:val=&quot;007544F8&quot;/&gt;&lt;wsp:rsid wsp:val=&quot;0075455D&quot;/&gt;&lt;wsp:rsid wsp:val=&quot;0075459A&quot;/&gt;&lt;wsp:rsid wsp:val=&quot;007548B2&quot;/&gt;&lt;wsp:rsid wsp:val=&quot;007549D3&quot;/&gt;&lt;wsp:rsid wsp:val=&quot;00754A72&quot;/&gt;&lt;wsp:rsid wsp:val=&quot;00754B2A&quot;/&gt;&lt;wsp:rsid wsp:val=&quot;00754F36&quot;/&gt;&lt;wsp:rsid wsp:val=&quot;00754F5C&quot;/&gt;&lt;wsp:rsid wsp:val=&quot;0075511A&quot;/&gt;&lt;wsp:rsid wsp:val=&quot;007554B0&quot;/&gt;&lt;wsp:rsid wsp:val=&quot;007554DA&quot;/&gt;&lt;wsp:rsid wsp:val=&quot;007556DA&quot;/&gt;&lt;wsp:rsid wsp:val=&quot;0075587A&quot;/&gt;&lt;wsp:rsid wsp:val=&quot;0075597A&quot;/&gt;&lt;wsp:rsid wsp:val=&quot;00755A12&quot;/&gt;&lt;wsp:rsid wsp:val=&quot;00755AEE&quot;/&gt;&lt;wsp:rsid wsp:val=&quot;00755C46&quot;/&gt;&lt;wsp:rsid wsp:val=&quot;00755CAA&quot;/&gt;&lt;wsp:rsid wsp:val=&quot;00756761&quot;/&gt;&lt;wsp:rsid wsp:val=&quot;007568EC&quot;/&gt;&lt;wsp:rsid wsp:val=&quot;00756A2B&quot;/&gt;&lt;wsp:rsid wsp:val=&quot;00756D1F&quot;/&gt;&lt;wsp:rsid wsp:val=&quot;00756E58&quot;/&gt;&lt;wsp:rsid wsp:val=&quot;00756FF4&quot;/&gt;&lt;wsp:rsid wsp:val=&quot;007573F6&quot;/&gt;&lt;wsp:rsid wsp:val=&quot;007576A3&quot;/&gt;&lt;wsp:rsid wsp:val=&quot;007577AD&quot;/&gt;&lt;wsp:rsid wsp:val=&quot;00757883&quot;/&gt;&lt;wsp:rsid wsp:val=&quot;00757ACA&quot;/&gt;&lt;wsp:rsid wsp:val=&quot;00757B40&quot;/&gt;&lt;wsp:rsid wsp:val=&quot;00757D0C&quot;/&gt;&lt;wsp:rsid wsp:val=&quot;00757D9D&quot;/&gt;&lt;wsp:rsid wsp:val=&quot;00757EE2&quot;/&gt;&lt;wsp:rsid wsp:val=&quot;00760186&quot;/&gt;&lt;wsp:rsid wsp:val=&quot;00760613&quot;/&gt;&lt;wsp:rsid wsp:val=&quot;00760666&quot;/&gt;&lt;wsp:rsid wsp:val=&quot;007609DE&quot;/&gt;&lt;wsp:rsid wsp:val=&quot;00760EFC&quot;/&gt;&lt;wsp:rsid wsp:val=&quot;007612FE&quot;/&gt;&lt;wsp:rsid wsp:val=&quot;007613E7&quot;/&gt;&lt;wsp:rsid wsp:val=&quot;00761619&quot;/&gt;&lt;wsp:rsid wsp:val=&quot;007619D5&quot;/&gt;&lt;wsp:rsid wsp:val=&quot;00761AB3&quot;/&gt;&lt;wsp:rsid wsp:val=&quot;00761E86&quot;/&gt;&lt;wsp:rsid wsp:val=&quot;007620CC&quot;/&gt;&lt;wsp:rsid wsp:val=&quot;00762325&quot;/&gt;&lt;wsp:rsid wsp:val=&quot;0076246F&quot;/&gt;&lt;wsp:rsid wsp:val=&quot;0076248D&quot;/&gt;&lt;wsp:rsid wsp:val=&quot;00762896&quot;/&gt;&lt;wsp:rsid wsp:val=&quot;00762BCD&quot;/&gt;&lt;wsp:rsid wsp:val=&quot;00762F1D&quot;/&gt;&lt;wsp:rsid wsp:val=&quot;0076379F&quot;/&gt;&lt;wsp:rsid wsp:val=&quot;00763A60&quot;/&gt;&lt;wsp:rsid wsp:val=&quot;00763B8D&quot;/&gt;&lt;wsp:rsid wsp:val=&quot;00763BFE&quot;/&gt;&lt;wsp:rsid wsp:val=&quot;00763D5E&quot;/&gt;&lt;wsp:rsid wsp:val=&quot;0076463E&quot;/&gt;&lt;wsp:rsid wsp:val=&quot;00764B7A&quot;/&gt;&lt;wsp:rsid wsp:val=&quot;00764C48&quot;/&gt;&lt;wsp:rsid wsp:val=&quot;00764D4A&quot;/&gt;&lt;wsp:rsid wsp:val=&quot;00764F35&quot;/&gt;&lt;wsp:rsid wsp:val=&quot;007652B2&quot;/&gt;&lt;wsp:rsid wsp:val=&quot;00765323&quot;/&gt;&lt;wsp:rsid wsp:val=&quot;00765327&quot;/&gt;&lt;wsp:rsid wsp:val=&quot;0076597B&quot;/&gt;&lt;wsp:rsid wsp:val=&quot;00765E7A&quot;/&gt;&lt;wsp:rsid wsp:val=&quot;007663B2&quot;/&gt;&lt;wsp:rsid wsp:val=&quot;0076648C&quot;/&gt;&lt;wsp:rsid wsp:val=&quot;00766511&quot;/&gt;&lt;wsp:rsid wsp:val=&quot;007665AD&quot;/&gt;&lt;wsp:rsid wsp:val=&quot;007666F7&quot;/&gt;&lt;wsp:rsid wsp:val=&quot;00766756&quot;/&gt;&lt;wsp:rsid wsp:val=&quot;0076699F&quot;/&gt;&lt;wsp:rsid wsp:val=&quot;007669D9&quot;/&gt;&lt;wsp:rsid wsp:val=&quot;00766B00&quot;/&gt;&lt;wsp:rsid wsp:val=&quot;00766CAB&quot;/&gt;&lt;wsp:rsid wsp:val=&quot;00766E08&quot;/&gt;&lt;wsp:rsid wsp:val=&quot;00767385&quot;/&gt;&lt;wsp:rsid wsp:val=&quot;007673B6&quot;/&gt;&lt;wsp:rsid wsp:val=&quot;0076746C&quot;/&gt;&lt;wsp:rsid wsp:val=&quot;00767E17&quot;/&gt;&lt;wsp:rsid wsp:val=&quot;00767EC6&quot;/&gt;&lt;wsp:rsid wsp:val=&quot;00767F2A&quot;/&gt;&lt;wsp:rsid wsp:val=&quot;00767FDC&quot;/&gt;&lt;wsp:rsid wsp:val=&quot;0077033B&quot;/&gt;&lt;wsp:rsid wsp:val=&quot;007707AF&quot;/&gt;&lt;wsp:rsid wsp:val=&quot;00770B6E&quot;/&gt;&lt;wsp:rsid wsp:val=&quot;007711F5&quot;/&gt;&lt;wsp:rsid wsp:val=&quot;00771210&quot;/&gt;&lt;wsp:rsid wsp:val=&quot;0077131D&quot;/&gt;&lt;wsp:rsid wsp:val=&quot;007717E9&quot;/&gt;&lt;wsp:rsid wsp:val=&quot;00771CFF&quot;/&gt;&lt;wsp:rsid wsp:val=&quot;00771E42&quot;/&gt;&lt;wsp:rsid wsp:val=&quot;00771E7E&quot;/&gt;&lt;wsp:rsid wsp:val=&quot;00771F9A&quot;/&gt;&lt;wsp:rsid wsp:val=&quot;007722F9&quot;/&gt;&lt;wsp:rsid wsp:val=&quot;0077239F&quot;/&gt;&lt;wsp:rsid wsp:val=&quot;0077268C&quot;/&gt;&lt;wsp:rsid wsp:val=&quot;007727CB&quot;/&gt;&lt;wsp:rsid wsp:val=&quot;00772813&quot;/&gt;&lt;wsp:rsid wsp:val=&quot;00772BEC&quot;/&gt;&lt;wsp:rsid wsp:val=&quot;0077308B&quot;/&gt;&lt;wsp:rsid wsp:val=&quot;007730D3&quot;/&gt;&lt;wsp:rsid wsp:val=&quot;007735DF&quot;/&gt;&lt;wsp:rsid wsp:val=&quot;007736E1&quot;/&gt;&lt;wsp:rsid wsp:val=&quot;00773C52&quot;/&gt;&lt;wsp:rsid wsp:val=&quot;00773D11&quot;/&gt;&lt;wsp:rsid wsp:val=&quot;00773D66&quot;/&gt;&lt;wsp:rsid wsp:val=&quot;00773DF8&quot;/&gt;&lt;wsp:rsid wsp:val=&quot;0077402B&quot;/&gt;&lt;wsp:rsid wsp:val=&quot;007740FA&quot;/&gt;&lt;wsp:rsid wsp:val=&quot;00774139&quot;/&gt;&lt;wsp:rsid wsp:val=&quot;007746A0&quot;/&gt;&lt;wsp:rsid wsp:val=&quot;00774757&quot;/&gt;&lt;wsp:rsid wsp:val=&quot;00774918&quot;/&gt;&lt;wsp:rsid wsp:val=&quot;00774AA7&quot;/&gt;&lt;wsp:rsid wsp:val=&quot;00774B36&quot;/&gt;&lt;wsp:rsid wsp:val=&quot;00774EC5&quot;/&gt;&lt;wsp:rsid wsp:val=&quot;007753E1&quot;/&gt;&lt;wsp:rsid wsp:val=&quot;007756C7&quot;/&gt;&lt;wsp:rsid wsp:val=&quot;00775983&quot;/&gt;&lt;wsp:rsid wsp:val=&quot;00775B8E&quot;/&gt;&lt;wsp:rsid wsp:val=&quot;00775C7D&quot;/&gt;&lt;wsp:rsid wsp:val=&quot;00775CB6&quot;/&gt;&lt;wsp:rsid wsp:val=&quot;00775D66&quot;/&gt;&lt;wsp:rsid wsp:val=&quot;00775E6E&quot;/&gt;&lt;wsp:rsid wsp:val=&quot;00775E7B&quot;/&gt;&lt;wsp:rsid wsp:val=&quot;00776438&quot;/&gt;&lt;wsp:rsid wsp:val=&quot;0077663F&quot;/&gt;&lt;wsp:rsid wsp:val=&quot;0077668A&quot;/&gt;&lt;wsp:rsid wsp:val=&quot;007766DF&quot;/&gt;&lt;wsp:rsid wsp:val=&quot;00776AF2&quot;/&gt;&lt;wsp:rsid wsp:val=&quot;00776C96&quot;/&gt;&lt;wsp:rsid wsp:val=&quot;007776BF&quot;/&gt;&lt;wsp:rsid wsp:val=&quot;00777881&quot;/&gt;&lt;wsp:rsid wsp:val=&quot;0077792A&quot;/&gt;&lt;wsp:rsid wsp:val=&quot;00777AAE&quot;/&gt;&lt;wsp:rsid wsp:val=&quot;00777B33&quot;/&gt;&lt;wsp:rsid wsp:val=&quot;00777B9B&quot;/&gt;&lt;wsp:rsid wsp:val=&quot;00777E09&quot;/&gt;&lt;wsp:rsid wsp:val=&quot;00777E5D&quot;/&gt;&lt;wsp:rsid wsp:val=&quot;00777E68&quot;/&gt;&lt;wsp:rsid wsp:val=&quot;007804E4&quot;/&gt;&lt;wsp:rsid wsp:val=&quot;00780524&quot;/&gt;&lt;wsp:rsid wsp:val=&quot;007805A2&quot;/&gt;&lt;wsp:rsid wsp:val=&quot;00780775&quot;/&gt;&lt;wsp:rsid wsp:val=&quot;007809ED&quot;/&gt;&lt;wsp:rsid wsp:val=&quot;00780AE2&quot;/&gt;&lt;wsp:rsid wsp:val=&quot;00780E10&quot;/&gt;&lt;wsp:rsid wsp:val=&quot;00780E38&quot;/&gt;&lt;wsp:rsid wsp:val=&quot;00781060&quot;/&gt;&lt;wsp:rsid wsp:val=&quot;00781199&quot;/&gt;&lt;wsp:rsid wsp:val=&quot;007812B8&quot;/&gt;&lt;wsp:rsid wsp:val=&quot;0078167F&quot;/&gt;&lt;wsp:rsid wsp:val=&quot;00781759&quot;/&gt;&lt;wsp:rsid wsp:val=&quot;00781B60&quot;/&gt;&lt;wsp:rsid wsp:val=&quot;0078227A&quot;/&gt;&lt;wsp:rsid wsp:val=&quot;00782335&quot;/&gt;&lt;wsp:rsid wsp:val=&quot;0078279A&quot;/&gt;&lt;wsp:rsid wsp:val=&quot;00782C3F&quot;/&gt;&lt;wsp:rsid wsp:val=&quot;00783058&quot;/&gt;&lt;wsp:rsid wsp:val=&quot;00783134&quot;/&gt;&lt;wsp:rsid wsp:val=&quot;007832D9&quot;/&gt;&lt;wsp:rsid wsp:val=&quot;007835D2&quot;/&gt;&lt;wsp:rsid wsp:val=&quot;007837DA&quot;/&gt;&lt;wsp:rsid wsp:val=&quot;00783827&quot;/&gt;&lt;wsp:rsid wsp:val=&quot;0078385B&quot;/&gt;&lt;wsp:rsid wsp:val=&quot;00783A96&quot;/&gt;&lt;wsp:rsid wsp:val=&quot;00783B08&quot;/&gt;&lt;wsp:rsid wsp:val=&quot;00783BA2&quot;/&gt;&lt;wsp:rsid wsp:val=&quot;00783C2F&quot;/&gt;&lt;wsp:rsid wsp:val=&quot;00783D16&quot;/&gt;&lt;wsp:rsid wsp:val=&quot;00783DF1&quot;/&gt;&lt;wsp:rsid wsp:val=&quot;0078401E&quot;/&gt;&lt;wsp:rsid wsp:val=&quot;007840AA&quot;/&gt;&lt;wsp:rsid wsp:val=&quot;007842E8&quot;/&gt;&lt;wsp:rsid wsp:val=&quot;007847A4&quot;/&gt;&lt;wsp:rsid wsp:val=&quot;007847BD&quot;/&gt;&lt;wsp:rsid wsp:val=&quot;00784A73&quot;/&gt;&lt;wsp:rsid wsp:val=&quot;00784AF4&quot;/&gt;&lt;wsp:rsid wsp:val=&quot;00785248&quot;/&gt;&lt;wsp:rsid wsp:val=&quot;00785A4F&quot;/&gt;&lt;wsp:rsid wsp:val=&quot;00785BDA&quot;/&gt;&lt;wsp:rsid wsp:val=&quot;00785C48&quot;/&gt;&lt;wsp:rsid wsp:val=&quot;00786039&quot;/&gt;&lt;wsp:rsid wsp:val=&quot;0078606B&quot;/&gt;&lt;wsp:rsid wsp:val=&quot;0078649A&quot;/&gt;&lt;wsp:rsid wsp:val=&quot;0078661A&quot;/&gt;&lt;wsp:rsid wsp:val=&quot;00786729&quot;/&gt;&lt;wsp:rsid wsp:val=&quot;00786A15&quot;/&gt;&lt;wsp:rsid wsp:val=&quot;00786A50&quot;/&gt;&lt;wsp:rsid wsp:val=&quot;00786B23&quot;/&gt;&lt;wsp:rsid wsp:val=&quot;00786B2D&quot;/&gt;&lt;wsp:rsid wsp:val=&quot;007870D4&quot;/&gt;&lt;wsp:rsid wsp:val=&quot;0078725E&quot;/&gt;&lt;wsp:rsid wsp:val=&quot;007875B5&quot;/&gt;&lt;wsp:rsid wsp:val=&quot;0078762A&quot;/&gt;&lt;wsp:rsid wsp:val=&quot;007878CE&quot;/&gt;&lt;wsp:rsid wsp:val=&quot;007879A5&quot;/&gt;&lt;wsp:rsid wsp:val=&quot;0079012C&quot;/&gt;&lt;wsp:rsid wsp:val=&quot;007901EE&quot;/&gt;&lt;wsp:rsid wsp:val=&quot;0079033A&quot;/&gt;&lt;wsp:rsid wsp:val=&quot;00790597&quot;/&gt;&lt;wsp:rsid wsp:val=&quot;0079078C&quot;/&gt;&lt;wsp:rsid wsp:val=&quot;0079093B&quot;/&gt;&lt;wsp:rsid wsp:val=&quot;00790B27&quot;/&gt;&lt;wsp:rsid wsp:val=&quot;00790C7B&quot;/&gt;&lt;wsp:rsid wsp:val=&quot;00791136&quot;/&gt;&lt;wsp:rsid wsp:val=&quot;007912E7&quot;/&gt;&lt;wsp:rsid wsp:val=&quot;007918F0&quot;/&gt;&lt;wsp:rsid wsp:val=&quot;00791922&quot;/&gt;&lt;wsp:rsid wsp:val=&quot;00791949&quot;/&gt;&lt;wsp:rsid wsp:val=&quot;00791ADD&quot;/&gt;&lt;wsp:rsid wsp:val=&quot;00791FCA&quot;/&gt;&lt;wsp:rsid wsp:val=&quot;00792293&quot;/&gt;&lt;wsp:rsid wsp:val=&quot;007925DF&quot;/&gt;&lt;wsp:rsid wsp:val=&quot;007925FE&quot;/&gt;&lt;wsp:rsid wsp:val=&quot;007926DE&quot;/&gt;&lt;wsp:rsid wsp:val=&quot;007929AA&quot;/&gt;&lt;wsp:rsid wsp:val=&quot;00792BE2&quot;/&gt;&lt;wsp:rsid wsp:val=&quot;00792BF2&quot;/&gt;&lt;wsp:rsid wsp:val=&quot;00792EF6&quot;/&gt;&lt;wsp:rsid wsp:val=&quot;00793647&quot;/&gt;&lt;wsp:rsid wsp:val=&quot;00793F30&quot;/&gt;&lt;wsp:rsid wsp:val=&quot;00794008&quot;/&gt;&lt;wsp:rsid wsp:val=&quot;00794303&quot;/&gt;&lt;wsp:rsid wsp:val=&quot;0079451C&quot;/&gt;&lt;wsp:rsid wsp:val=&quot;007945AD&quot;/&gt;&lt;wsp:rsid wsp:val=&quot;00794696&quot;/&gt;&lt;wsp:rsid wsp:val=&quot;0079475F&quot;/&gt;&lt;wsp:rsid wsp:val=&quot;007947B0&quot;/&gt;&lt;wsp:rsid wsp:val=&quot;00794877&quot;/&gt;&lt;wsp:rsid wsp:val=&quot;00794995&quot;/&gt;&lt;wsp:rsid wsp:val=&quot;00794AE6&quot;/&gt;&lt;wsp:rsid wsp:val=&quot;00794B8B&quot;/&gt;&lt;wsp:rsid wsp:val=&quot;0079502B&quot;/&gt;&lt;wsp:rsid wsp:val=&quot;007951ED&quot;/&gt;&lt;wsp:rsid wsp:val=&quot;0079523F&quot;/&gt;&lt;wsp:rsid wsp:val=&quot;007956BD&quot;/&gt;&lt;wsp:rsid wsp:val=&quot;00795886&quot;/&gt;&lt;wsp:rsid wsp:val=&quot;00796032&quot;/&gt;&lt;wsp:rsid wsp:val=&quot;00796147&quot;/&gt;&lt;wsp:rsid wsp:val=&quot;00796512&quot;/&gt;&lt;wsp:rsid wsp:val=&quot;00796719&quot;/&gt;&lt;wsp:rsid wsp:val=&quot;00796ED4&quot;/&gt;&lt;wsp:rsid wsp:val=&quot;00797115&quot;/&gt;&lt;wsp:rsid wsp:val=&quot;007976D5&quot;/&gt;&lt;wsp:rsid wsp:val=&quot;0079786C&quot;/&gt;&lt;wsp:rsid wsp:val=&quot;00797899&quot;/&gt;&lt;wsp:rsid wsp:val=&quot;00797DC9&quot;/&gt;&lt;wsp:rsid wsp:val=&quot;007A0177&quot;/&gt;&lt;wsp:rsid wsp:val=&quot;007A0321&quot;/&gt;&lt;wsp:rsid wsp:val=&quot;007A0470&quot;/&gt;&lt;wsp:rsid wsp:val=&quot;007A072F&quot;/&gt;&lt;wsp:rsid wsp:val=&quot;007A0AE1&quot;/&gt;&lt;wsp:rsid wsp:val=&quot;007A0C27&quot;/&gt;&lt;wsp:rsid wsp:val=&quot;007A0E2D&quot;/&gt;&lt;wsp:rsid wsp:val=&quot;007A1953&quot;/&gt;&lt;wsp:rsid wsp:val=&quot;007A198F&quot;/&gt;&lt;wsp:rsid wsp:val=&quot;007A19AD&quot;/&gt;&lt;wsp:rsid wsp:val=&quot;007A1B64&quot;/&gt;&lt;wsp:rsid wsp:val=&quot;007A1B70&quot;/&gt;&lt;wsp:rsid wsp:val=&quot;007A1D46&quot;/&gt;&lt;wsp:rsid wsp:val=&quot;007A1D68&quot;/&gt;&lt;wsp:rsid wsp:val=&quot;007A20BF&quot;/&gt;&lt;wsp:rsid wsp:val=&quot;007A20FC&quot;/&gt;&lt;wsp:rsid wsp:val=&quot;007A22A7&quot;/&gt;&lt;wsp:rsid wsp:val=&quot;007A2519&quot;/&gt;&lt;wsp:rsid wsp:val=&quot;007A2889&quot;/&gt;&lt;wsp:rsid wsp:val=&quot;007A288F&quot;/&gt;&lt;wsp:rsid wsp:val=&quot;007A28A9&quot;/&gt;&lt;wsp:rsid wsp:val=&quot;007A2E27&quot;/&gt;&lt;wsp:rsid wsp:val=&quot;007A2E9F&quot;/&gt;&lt;wsp:rsid wsp:val=&quot;007A2FD5&quot;/&gt;&lt;wsp:rsid wsp:val=&quot;007A30D0&quot;/&gt;&lt;wsp:rsid wsp:val=&quot;007A3413&quot;/&gt;&lt;wsp:rsid wsp:val=&quot;007A36C3&quot;/&gt;&lt;wsp:rsid wsp:val=&quot;007A37B9&quot;/&gt;&lt;wsp:rsid wsp:val=&quot;007A3A46&quot;/&gt;&lt;wsp:rsid wsp:val=&quot;007A3C25&quot;/&gt;&lt;wsp:rsid wsp:val=&quot;007A3D68&quot;/&gt;&lt;wsp:rsid wsp:val=&quot;007A3E97&quot;/&gt;&lt;wsp:rsid wsp:val=&quot;007A3F57&quot;/&gt;&lt;wsp:rsid wsp:val=&quot;007A4013&quot;/&gt;&lt;wsp:rsid wsp:val=&quot;007A446F&quot;/&gt;&lt;wsp:rsid wsp:val=&quot;007A46E5&quot;/&gt;&lt;wsp:rsid wsp:val=&quot;007A484B&quot;/&gt;&lt;wsp:rsid wsp:val=&quot;007A488C&quot;/&gt;&lt;wsp:rsid wsp:val=&quot;007A48BF&quot;/&gt;&lt;wsp:rsid wsp:val=&quot;007A4C70&quot;/&gt;&lt;wsp:rsid wsp:val=&quot;007A50BE&quot;/&gt;&lt;wsp:rsid wsp:val=&quot;007A50E0&quot;/&gt;&lt;wsp:rsid wsp:val=&quot;007A51A4&quot;/&gt;&lt;wsp:rsid wsp:val=&quot;007A51B6&quot;/&gt;&lt;wsp:rsid wsp:val=&quot;007A51F8&quot;/&gt;&lt;wsp:rsid wsp:val=&quot;007A5270&quot;/&gt;&lt;wsp:rsid wsp:val=&quot;007A56FF&quot;/&gt;&lt;wsp:rsid wsp:val=&quot;007A5833&quot;/&gt;&lt;wsp:rsid wsp:val=&quot;007A5A9C&quot;/&gt;&lt;wsp:rsid wsp:val=&quot;007A5C34&quot;/&gt;&lt;wsp:rsid wsp:val=&quot;007A5C6D&quot;/&gt;&lt;wsp:rsid wsp:val=&quot;007A5DF0&quot;/&gt;&lt;wsp:rsid wsp:val=&quot;007A5EA9&quot;/&gt;&lt;wsp:rsid wsp:val=&quot;007A61DD&quot;/&gt;&lt;wsp:rsid wsp:val=&quot;007A650A&quot;/&gt;&lt;wsp:rsid wsp:val=&quot;007A66AE&quot;/&gt;&lt;wsp:rsid wsp:val=&quot;007A66ED&quot;/&gt;&lt;wsp:rsid wsp:val=&quot;007A6886&quot;/&gt;&lt;wsp:rsid wsp:val=&quot;007A6980&quot;/&gt;&lt;wsp:rsid wsp:val=&quot;007A6BDC&quot;/&gt;&lt;wsp:rsid wsp:val=&quot;007A6E62&quot;/&gt;&lt;wsp:rsid wsp:val=&quot;007A6FDC&quot;/&gt;&lt;wsp:rsid wsp:val=&quot;007A71EF&quot;/&gt;&lt;wsp:rsid wsp:val=&quot;007A7719&quot;/&gt;&lt;wsp:rsid wsp:val=&quot;007A7767&quot;/&gt;&lt;wsp:rsid wsp:val=&quot;007A785A&quot;/&gt;&lt;wsp:rsid wsp:val=&quot;007A799E&quot;/&gt;&lt;wsp:rsid wsp:val=&quot;007A7B06&quot;/&gt;&lt;wsp:rsid wsp:val=&quot;007A7C71&quot;/&gt;&lt;wsp:rsid wsp:val=&quot;007A7DE7&quot;/&gt;&lt;wsp:rsid wsp:val=&quot;007A7DFD&quot;/&gt;&lt;wsp:rsid wsp:val=&quot;007A7EB7&quot;/&gt;&lt;wsp:rsid wsp:val=&quot;007A7EDC&quot;/&gt;&lt;wsp:rsid wsp:val=&quot;007B0110&quot;/&gt;&lt;wsp:rsid wsp:val=&quot;007B0690&quot;/&gt;&lt;wsp:rsid wsp:val=&quot;007B0773&quot;/&gt;&lt;wsp:rsid wsp:val=&quot;007B09F3&quot;/&gt;&lt;wsp:rsid wsp:val=&quot;007B0B8C&quot;/&gt;&lt;wsp:rsid wsp:val=&quot;007B0FDC&quot;/&gt;&lt;wsp:rsid wsp:val=&quot;007B10DA&quot;/&gt;&lt;wsp:rsid wsp:val=&quot;007B147C&quot;/&gt;&lt;wsp:rsid wsp:val=&quot;007B14CB&quot;/&gt;&lt;wsp:rsid wsp:val=&quot;007B186E&quot;/&gt;&lt;wsp:rsid wsp:val=&quot;007B1F50&quot;/&gt;&lt;wsp:rsid wsp:val=&quot;007B2135&quot;/&gt;&lt;wsp:rsid wsp:val=&quot;007B2265&quot;/&gt;&lt;wsp:rsid wsp:val=&quot;007B23A5&quot;/&gt;&lt;wsp:rsid wsp:val=&quot;007B2BC0&quot;/&gt;&lt;wsp:rsid wsp:val=&quot;007B2D55&quot;/&gt;&lt;wsp:rsid wsp:val=&quot;007B2DC3&quot;/&gt;&lt;wsp:rsid wsp:val=&quot;007B2DCB&quot;/&gt;&lt;wsp:rsid wsp:val=&quot;007B321E&quot;/&gt;&lt;wsp:rsid wsp:val=&quot;007B3233&quot;/&gt;&lt;wsp:rsid wsp:val=&quot;007B3A65&quot;/&gt;&lt;wsp:rsid wsp:val=&quot;007B3B44&quot;/&gt;&lt;wsp:rsid wsp:val=&quot;007B3D4A&quot;/&gt;&lt;wsp:rsid wsp:val=&quot;007B3DD0&quot;/&gt;&lt;wsp:rsid wsp:val=&quot;007B4475&quot;/&gt;&lt;wsp:rsid wsp:val=&quot;007B4499&quot;/&gt;&lt;wsp:rsid wsp:val=&quot;007B4576&quot;/&gt;&lt;wsp:rsid wsp:val=&quot;007B46CB&quot;/&gt;&lt;wsp:rsid wsp:val=&quot;007B46F7&quot;/&gt;&lt;wsp:rsid wsp:val=&quot;007B4951&quot;/&gt;&lt;wsp:rsid wsp:val=&quot;007B4D0F&quot;/&gt;&lt;wsp:rsid wsp:val=&quot;007B4E7E&quot;/&gt;&lt;wsp:rsid wsp:val=&quot;007B4FC1&quot;/&gt;&lt;wsp:rsid wsp:val=&quot;007B5180&quot;/&gt;&lt;wsp:rsid wsp:val=&quot;007B51B3&quot;/&gt;&lt;wsp:rsid wsp:val=&quot;007B567C&quot;/&gt;&lt;wsp:rsid wsp:val=&quot;007B58C9&quot;/&gt;&lt;wsp:rsid wsp:val=&quot;007B597D&quot;/&gt;&lt;wsp:rsid wsp:val=&quot;007B5E32&quot;/&gt;&lt;wsp:rsid wsp:val=&quot;007B6224&quot;/&gt;&lt;wsp:rsid wsp:val=&quot;007B6411&quot;/&gt;&lt;wsp:rsid wsp:val=&quot;007B673C&quot;/&gt;&lt;wsp:rsid wsp:val=&quot;007B6A49&quot;/&gt;&lt;wsp:rsid wsp:val=&quot;007B6B87&quot;/&gt;&lt;wsp:rsid wsp:val=&quot;007B6DE9&quot;/&gt;&lt;wsp:rsid wsp:val=&quot;007B6E04&quot;/&gt;&lt;wsp:rsid wsp:val=&quot;007B7062&quot;/&gt;&lt;wsp:rsid wsp:val=&quot;007B77F3&quot;/&gt;&lt;wsp:rsid wsp:val=&quot;007B7ACB&quot;/&gt;&lt;wsp:rsid wsp:val=&quot;007B7C57&quot;/&gt;&lt;wsp:rsid wsp:val=&quot;007B7F0E&quot;/&gt;&lt;wsp:rsid wsp:val=&quot;007C01CD&quot;/&gt;&lt;wsp:rsid wsp:val=&quot;007C066C&quot;/&gt;&lt;wsp:rsid wsp:val=&quot;007C06C4&quot;/&gt;&lt;wsp:rsid wsp:val=&quot;007C07CE&quot;/&gt;&lt;wsp:rsid wsp:val=&quot;007C09B5&quot;/&gt;&lt;wsp:rsid wsp:val=&quot;007C0A45&quot;/&gt;&lt;wsp:rsid wsp:val=&quot;007C124C&quot;/&gt;&lt;wsp:rsid wsp:val=&quot;007C12B3&quot;/&gt;&lt;wsp:rsid wsp:val=&quot;007C12BB&quot;/&gt;&lt;wsp:rsid wsp:val=&quot;007C141E&quot;/&gt;&lt;wsp:rsid wsp:val=&quot;007C14B0&quot;/&gt;&lt;wsp:rsid wsp:val=&quot;007C1548&quot;/&gt;&lt;wsp:rsid wsp:val=&quot;007C1D75&quot;/&gt;&lt;wsp:rsid wsp:val=&quot;007C1E60&quot;/&gt;&lt;wsp:rsid wsp:val=&quot;007C1EDB&quot;/&gt;&lt;wsp:rsid wsp:val=&quot;007C1F1E&quot;/&gt;&lt;wsp:rsid wsp:val=&quot;007C1F91&quot;/&gt;&lt;wsp:rsid wsp:val=&quot;007C2096&quot;/&gt;&lt;wsp:rsid wsp:val=&quot;007C20EC&quot;/&gt;&lt;wsp:rsid wsp:val=&quot;007C2284&quot;/&gt;&lt;wsp:rsid wsp:val=&quot;007C27DE&quot;/&gt;&lt;wsp:rsid wsp:val=&quot;007C2D21&quot;/&gt;&lt;wsp:rsid wsp:val=&quot;007C2D28&quot;/&gt;&lt;wsp:rsid wsp:val=&quot;007C2D49&quot;/&gt;&lt;wsp:rsid wsp:val=&quot;007C2F02&quot;/&gt;&lt;wsp:rsid wsp:val=&quot;007C3170&quot;/&gt;&lt;wsp:rsid wsp:val=&quot;007C32F4&quot;/&gt;&lt;wsp:rsid wsp:val=&quot;007C33D3&quot;/&gt;&lt;wsp:rsid wsp:val=&quot;007C3524&quot;/&gt;&lt;wsp:rsid wsp:val=&quot;007C3675&quot;/&gt;&lt;wsp:rsid wsp:val=&quot;007C37F6&quot;/&gt;&lt;wsp:rsid wsp:val=&quot;007C3874&quot;/&gt;&lt;wsp:rsid wsp:val=&quot;007C3947&quot;/&gt;&lt;wsp:rsid wsp:val=&quot;007C3BB6&quot;/&gt;&lt;wsp:rsid wsp:val=&quot;007C4249&quot;/&gt;&lt;wsp:rsid wsp:val=&quot;007C42BD&quot;/&gt;&lt;wsp:rsid wsp:val=&quot;007C439B&quot;/&gt;&lt;wsp:rsid wsp:val=&quot;007C4714&quot;/&gt;&lt;wsp:rsid wsp:val=&quot;007C4C27&quot;/&gt;&lt;wsp:rsid wsp:val=&quot;007C5267&quot;/&gt;&lt;wsp:rsid wsp:val=&quot;007C53BF&quot;/&gt;&lt;wsp:rsid wsp:val=&quot;007C5B10&quot;/&gt;&lt;wsp:rsid wsp:val=&quot;007C5BE3&quot;/&gt;&lt;wsp:rsid wsp:val=&quot;007C5EC0&quot;/&gt;&lt;wsp:rsid wsp:val=&quot;007C67AC&quot;/&gt;&lt;wsp:rsid wsp:val=&quot;007C67B0&quot;/&gt;&lt;wsp:rsid wsp:val=&quot;007C696C&quot;/&gt;&lt;wsp:rsid wsp:val=&quot;007C6C8E&quot;/&gt;&lt;wsp:rsid wsp:val=&quot;007C6FA4&quot;/&gt;&lt;wsp:rsid wsp:val=&quot;007C710F&quot;/&gt;&lt;wsp:rsid wsp:val=&quot;007C74D3&quot;/&gt;&lt;wsp:rsid wsp:val=&quot;007C76BF&quot;/&gt;&lt;wsp:rsid wsp:val=&quot;007C77F5&quot;/&gt;&lt;wsp:rsid wsp:val=&quot;007C7832&quot;/&gt;&lt;wsp:rsid wsp:val=&quot;007C7AF9&quot;/&gt;&lt;wsp:rsid wsp:val=&quot;007C7D83&quot;/&gt;&lt;wsp:rsid wsp:val=&quot;007D0020&quot;/&gt;&lt;wsp:rsid wsp:val=&quot;007D0226&quot;/&gt;&lt;wsp:rsid wsp:val=&quot;007D04F3&quot;/&gt;&lt;wsp:rsid wsp:val=&quot;007D08C4&quot;/&gt;&lt;wsp:rsid wsp:val=&quot;007D0F45&quot;/&gt;&lt;wsp:rsid wsp:val=&quot;007D1127&quot;/&gt;&lt;wsp:rsid wsp:val=&quot;007D1354&quot;/&gt;&lt;wsp:rsid wsp:val=&quot;007D147B&quot;/&gt;&lt;wsp:rsid wsp:val=&quot;007D16AF&quot;/&gt;&lt;wsp:rsid wsp:val=&quot;007D1902&quot;/&gt;&lt;wsp:rsid wsp:val=&quot;007D1A39&quot;/&gt;&lt;wsp:rsid wsp:val=&quot;007D2056&quot;/&gt;&lt;wsp:rsid wsp:val=&quot;007D2356&quot;/&gt;&lt;wsp:rsid wsp:val=&quot;007D263E&quot;/&gt;&lt;wsp:rsid wsp:val=&quot;007D2BDF&quot;/&gt;&lt;wsp:rsid wsp:val=&quot;007D2D04&quot;/&gt;&lt;wsp:rsid wsp:val=&quot;007D2DAB&quot;/&gt;&lt;wsp:rsid wsp:val=&quot;007D2F2D&quot;/&gt;&lt;wsp:rsid wsp:val=&quot;007D3178&quot;/&gt;&lt;wsp:rsid wsp:val=&quot;007D32C7&quot;/&gt;&lt;wsp:rsid wsp:val=&quot;007D3351&quot;/&gt;&lt;wsp:rsid wsp:val=&quot;007D3936&quot;/&gt;&lt;wsp:rsid wsp:val=&quot;007D3B3E&quot;/&gt;&lt;wsp:rsid wsp:val=&quot;007D3BD0&quot;/&gt;&lt;wsp:rsid wsp:val=&quot;007D3C16&quot;/&gt;&lt;wsp:rsid wsp:val=&quot;007D3CBF&quot;/&gt;&lt;wsp:rsid wsp:val=&quot;007D3E65&quot;/&gt;&lt;wsp:rsid wsp:val=&quot;007D42AE&quot;/&gt;&lt;wsp:rsid wsp:val=&quot;007D42C0&quot;/&gt;&lt;wsp:rsid wsp:val=&quot;007D4303&quot;/&gt;&lt;wsp:rsid wsp:val=&quot;007D4363&quot;/&gt;&lt;wsp:rsid wsp:val=&quot;007D4402&quot;/&gt;&lt;wsp:rsid wsp:val=&quot;007D4417&quot;/&gt;&lt;wsp:rsid wsp:val=&quot;007D472D&quot;/&gt;&lt;wsp:rsid wsp:val=&quot;007D4AED&quot;/&gt;&lt;wsp:rsid wsp:val=&quot;007D4F66&quot;/&gt;&lt;wsp:rsid wsp:val=&quot;007D565B&quot;/&gt;&lt;wsp:rsid wsp:val=&quot;007D56CC&quot;/&gt;&lt;wsp:rsid wsp:val=&quot;007D584C&quot;/&gt;&lt;wsp:rsid wsp:val=&quot;007D599A&quot;/&gt;&lt;wsp:rsid wsp:val=&quot;007D59C4&quot;/&gt;&lt;wsp:rsid wsp:val=&quot;007D5A71&quot;/&gt;&lt;wsp:rsid wsp:val=&quot;007D6072&quot;/&gt;&lt;wsp:rsid wsp:val=&quot;007D60B7&quot;/&gt;&lt;wsp:rsid wsp:val=&quot;007D646B&quot;/&gt;&lt;wsp:rsid wsp:val=&quot;007D69E5&quot;/&gt;&lt;wsp:rsid wsp:val=&quot;007D70EA&quot;/&gt;&lt;wsp:rsid wsp:val=&quot;007D72D6&quot;/&gt;&lt;wsp:rsid wsp:val=&quot;007D7989&quot;/&gt;&lt;wsp:rsid wsp:val=&quot;007E0064&quot;/&gt;&lt;wsp:rsid wsp:val=&quot;007E0065&quot;/&gt;&lt;wsp:rsid wsp:val=&quot;007E009C&quot;/&gt;&lt;wsp:rsid wsp:val=&quot;007E00B7&quot;/&gt;&lt;wsp:rsid wsp:val=&quot;007E0452&quot;/&gt;&lt;wsp:rsid wsp:val=&quot;007E046F&quot;/&gt;&lt;wsp:rsid wsp:val=&quot;007E0752&quot;/&gt;&lt;wsp:rsid wsp:val=&quot;007E0831&quot;/&gt;&lt;wsp:rsid wsp:val=&quot;007E0B62&quot;/&gt;&lt;wsp:rsid wsp:val=&quot;007E0B66&quot;/&gt;&lt;wsp:rsid wsp:val=&quot;007E0B81&quot;/&gt;&lt;wsp:rsid wsp:val=&quot;007E0DDC&quot;/&gt;&lt;wsp:rsid wsp:val=&quot;007E0E14&quot;/&gt;&lt;wsp:rsid wsp:val=&quot;007E0F92&quot;/&gt;&lt;wsp:rsid wsp:val=&quot;007E100E&quot;/&gt;&lt;wsp:rsid wsp:val=&quot;007E1062&quot;/&gt;&lt;wsp:rsid wsp:val=&quot;007E11D4&quot;/&gt;&lt;wsp:rsid wsp:val=&quot;007E1259&quot;/&gt;&lt;wsp:rsid wsp:val=&quot;007E12BC&quot;/&gt;&lt;wsp:rsid wsp:val=&quot;007E1558&quot;/&gt;&lt;wsp:rsid wsp:val=&quot;007E1568&quot;/&gt;&lt;wsp:rsid wsp:val=&quot;007E1580&quot;/&gt;&lt;wsp:rsid wsp:val=&quot;007E17BB&quot;/&gt;&lt;wsp:rsid wsp:val=&quot;007E1D5D&quot;/&gt;&lt;wsp:rsid wsp:val=&quot;007E1F60&quot;/&gt;&lt;wsp:rsid wsp:val=&quot;007E232D&quot;/&gt;&lt;wsp:rsid wsp:val=&quot;007E2835&quot;/&gt;&lt;wsp:rsid wsp:val=&quot;007E296A&quot;/&gt;&lt;wsp:rsid wsp:val=&quot;007E2F1A&quot;/&gt;&lt;wsp:rsid wsp:val=&quot;007E3922&quot;/&gt;&lt;wsp:rsid wsp:val=&quot;007E3AB4&quot;/&gt;&lt;wsp:rsid wsp:val=&quot;007E3DA6&quot;/&gt;&lt;wsp:rsid wsp:val=&quot;007E3E9F&quot;/&gt;&lt;wsp:rsid wsp:val=&quot;007E408B&quot;/&gt;&lt;wsp:rsid wsp:val=&quot;007E4383&quot;/&gt;&lt;wsp:rsid wsp:val=&quot;007E4803&quot;/&gt;&lt;wsp:rsid wsp:val=&quot;007E48A3&quot;/&gt;&lt;wsp:rsid wsp:val=&quot;007E49D4&quot;/&gt;&lt;wsp:rsid wsp:val=&quot;007E4AC4&quot;/&gt;&lt;wsp:rsid wsp:val=&quot;007E4B4C&quot;/&gt;&lt;wsp:rsid wsp:val=&quot;007E4CDE&quot;/&gt;&lt;wsp:rsid wsp:val=&quot;007E4DF0&quot;/&gt;&lt;wsp:rsid wsp:val=&quot;007E4E3A&quot;/&gt;&lt;wsp:rsid wsp:val=&quot;007E4F6B&quot;/&gt;&lt;wsp:rsid wsp:val=&quot;007E5235&quot;/&gt;&lt;wsp:rsid wsp:val=&quot;007E548D&quot;/&gt;&lt;wsp:rsid wsp:val=&quot;007E5892&quot;/&gt;&lt;wsp:rsid wsp:val=&quot;007E5AA5&quot;/&gt;&lt;wsp:rsid wsp:val=&quot;007E5C5C&quot;/&gt;&lt;wsp:rsid wsp:val=&quot;007E5C9A&quot;/&gt;&lt;wsp:rsid wsp:val=&quot;007E6002&quot;/&gt;&lt;wsp:rsid wsp:val=&quot;007E6482&quot;/&gt;&lt;wsp:rsid wsp:val=&quot;007E64B6&quot;/&gt;&lt;wsp:rsid wsp:val=&quot;007E6587&quot;/&gt;&lt;wsp:rsid wsp:val=&quot;007E6F8E&quot;/&gt;&lt;wsp:rsid wsp:val=&quot;007E72EB&quot;/&gt;&lt;wsp:rsid wsp:val=&quot;007F0050&quot;/&gt;&lt;wsp:rsid wsp:val=&quot;007F03EB&quot;/&gt;&lt;wsp:rsid wsp:val=&quot;007F0573&quot;/&gt;&lt;wsp:rsid wsp:val=&quot;007F096B&quot;/&gt;&lt;wsp:rsid wsp:val=&quot;007F0F83&quot;/&gt;&lt;wsp:rsid wsp:val=&quot;007F1085&quot;/&gt;&lt;wsp:rsid wsp:val=&quot;007F1156&quot;/&gt;&lt;wsp:rsid wsp:val=&quot;007F1175&quot;/&gt;&lt;wsp:rsid wsp:val=&quot;007F13BF&quot;/&gt;&lt;wsp:rsid wsp:val=&quot;007F159B&quot;/&gt;&lt;wsp:rsid wsp:val=&quot;007F1962&quot;/&gt;&lt;wsp:rsid wsp:val=&quot;007F1A2E&quot;/&gt;&lt;wsp:rsid wsp:val=&quot;007F1B02&quot;/&gt;&lt;wsp:rsid wsp:val=&quot;007F1B46&quot;/&gt;&lt;wsp:rsid wsp:val=&quot;007F1FEE&quot;/&gt;&lt;wsp:rsid wsp:val=&quot;007F22F1&quot;/&gt;&lt;wsp:rsid wsp:val=&quot;007F23EA&quot;/&gt;&lt;wsp:rsid wsp:val=&quot;007F2568&quot;/&gt;&lt;wsp:rsid wsp:val=&quot;007F25BD&quot;/&gt;&lt;wsp:rsid wsp:val=&quot;007F2887&quot;/&gt;&lt;wsp:rsid wsp:val=&quot;007F29DA&quot;/&gt;&lt;wsp:rsid wsp:val=&quot;007F2B3C&quot;/&gt;&lt;wsp:rsid wsp:val=&quot;007F2CC4&quot;/&gt;&lt;wsp:rsid wsp:val=&quot;007F2D07&quot;/&gt;&lt;wsp:rsid wsp:val=&quot;007F2DC9&quot;/&gt;&lt;wsp:rsid wsp:val=&quot;007F30AD&quot;/&gt;&lt;wsp:rsid wsp:val=&quot;007F35C6&quot;/&gt;&lt;wsp:rsid wsp:val=&quot;007F35E6&quot;/&gt;&lt;wsp:rsid wsp:val=&quot;007F3616&quot;/&gt;&lt;wsp:rsid wsp:val=&quot;007F384B&quot;/&gt;&lt;wsp:rsid wsp:val=&quot;007F3A2E&quot;/&gt;&lt;wsp:rsid wsp:val=&quot;007F3B3A&quot;/&gt;&lt;wsp:rsid wsp:val=&quot;007F3C78&quot;/&gt;&lt;wsp:rsid wsp:val=&quot;007F3CC2&quot;/&gt;&lt;wsp:rsid wsp:val=&quot;007F3D62&quot;/&gt;&lt;wsp:rsid wsp:val=&quot;007F448D&quot;/&gt;&lt;wsp:rsid wsp:val=&quot;007F4D3D&quot;/&gt;&lt;wsp:rsid wsp:val=&quot;007F4E18&quot;/&gt;&lt;wsp:rsid wsp:val=&quot;007F4EEF&quot;/&gt;&lt;wsp:rsid wsp:val=&quot;007F50B0&quot;/&gt;&lt;wsp:rsid wsp:val=&quot;007F5884&quot;/&gt;&lt;wsp:rsid wsp:val=&quot;007F5A35&quot;/&gt;&lt;wsp:rsid wsp:val=&quot;007F5B18&quot;/&gt;&lt;wsp:rsid wsp:val=&quot;007F5C5E&quot;/&gt;&lt;wsp:rsid wsp:val=&quot;007F5FE1&quot;/&gt;&lt;wsp:rsid wsp:val=&quot;007F67FA&quot;/&gt;&lt;wsp:rsid wsp:val=&quot;007F6813&quot;/&gt;&lt;wsp:rsid wsp:val=&quot;007F6A1A&quot;/&gt;&lt;wsp:rsid wsp:val=&quot;007F6BEF&quot;/&gt;&lt;wsp:rsid wsp:val=&quot;007F6C51&quot;/&gt;&lt;wsp:rsid wsp:val=&quot;007F6D30&quot;/&gt;&lt;wsp:rsid wsp:val=&quot;007F6D8F&quot;/&gt;&lt;wsp:rsid wsp:val=&quot;007F70D2&quot;/&gt;&lt;wsp:rsid wsp:val=&quot;007F7108&quot;/&gt;&lt;wsp:rsid wsp:val=&quot;007F7158&quot;/&gt;&lt;wsp:rsid wsp:val=&quot;007F716D&quot;/&gt;&lt;wsp:rsid wsp:val=&quot;007F7330&quot;/&gt;&lt;wsp:rsid wsp:val=&quot;007F75AA&quot;/&gt;&lt;wsp:rsid wsp:val=&quot;007F7808&quot;/&gt;&lt;wsp:rsid wsp:val=&quot;007F7892&quot;/&gt;&lt;wsp:rsid wsp:val=&quot;007F7A06&quot;/&gt;&lt;wsp:rsid wsp:val=&quot;007F7A43&quot;/&gt;&lt;wsp:rsid wsp:val=&quot;007F7BF6&quot;/&gt;&lt;wsp:rsid wsp:val=&quot;007F7D9F&quot;/&gt;&lt;wsp:rsid wsp:val=&quot;007F7DCD&quot;/&gt;&lt;wsp:rsid wsp:val=&quot;007F7E24&quot;/&gt;&lt;wsp:rsid wsp:val=&quot;008001D8&quot;/&gt;&lt;wsp:rsid wsp:val=&quot;008001F8&quot;/&gt;&lt;wsp:rsid wsp:val=&quot;00800362&quot;/&gt;&lt;wsp:rsid wsp:val=&quot;0080045B&quot;/&gt;&lt;wsp:rsid wsp:val=&quot;00800510&quot;/&gt;&lt;wsp:rsid wsp:val=&quot;0080086A&quot;/&gt;&lt;wsp:rsid wsp:val=&quot;008009BC&quot;/&gt;&lt;wsp:rsid wsp:val=&quot;008009DB&quot;/&gt;&lt;wsp:rsid wsp:val=&quot;00800A3E&quot;/&gt;&lt;wsp:rsid wsp:val=&quot;008012B5&quot;/&gt;&lt;wsp:rsid wsp:val=&quot;008016AD&quot;/&gt;&lt;wsp:rsid wsp:val=&quot;00801774&quot;/&gt;&lt;wsp:rsid wsp:val=&quot;00801794&quot;/&gt;&lt;wsp:rsid wsp:val=&quot;00801795&quot;/&gt;&lt;wsp:rsid wsp:val=&quot;0080182A&quot;/&gt;&lt;wsp:rsid wsp:val=&quot;00801CA2&quot;/&gt;&lt;wsp:rsid wsp:val=&quot;00801D7A&quot;/&gt;&lt;wsp:rsid wsp:val=&quot;00801E9B&quot;/&gt;&lt;wsp:rsid wsp:val=&quot;00801FD8&quot;/&gt;&lt;wsp:rsid wsp:val=&quot;00802416&quot;/&gt;&lt;wsp:rsid wsp:val=&quot;00802430&quot;/&gt;&lt;wsp:rsid wsp:val=&quot;008026DA&quot;/&gt;&lt;wsp:rsid wsp:val=&quot;008028E0&quot;/&gt;&lt;wsp:rsid wsp:val=&quot;00802B5C&quot;/&gt;&lt;wsp:rsid wsp:val=&quot;00802CFA&quot;/&gt;&lt;wsp:rsid wsp:val=&quot;00802F01&quot;/&gt;&lt;wsp:rsid wsp:val=&quot;00803564&quot;/&gt;&lt;wsp:rsid wsp:val=&quot;008036CB&quot;/&gt;&lt;wsp:rsid wsp:val=&quot;00803786&quot;/&gt;&lt;wsp:rsid wsp:val=&quot;00803A85&quot;/&gt;&lt;wsp:rsid wsp:val=&quot;0080454C&quot;/&gt;&lt;wsp:rsid wsp:val=&quot;008045F3&quot;/&gt;&lt;wsp:rsid wsp:val=&quot;008048BD&quot;/&gt;&lt;wsp:rsid wsp:val=&quot;0080490B&quot;/&gt;&lt;wsp:rsid wsp:val=&quot;00804E56&quot;/&gt;&lt;wsp:rsid wsp:val=&quot;00804E86&quot;/&gt;&lt;wsp:rsid wsp:val=&quot;00804F0A&quot;/&gt;&lt;wsp:rsid wsp:val=&quot;00805137&quot;/&gt;&lt;wsp:rsid wsp:val=&quot;00805562&quot;/&gt;&lt;wsp:rsid wsp:val=&quot;00806102&quot;/&gt;&lt;wsp:rsid wsp:val=&quot;00806155&quot;/&gt;&lt;wsp:rsid wsp:val=&quot;00806410&quot;/&gt;&lt;wsp:rsid wsp:val=&quot;008065D0&quot;/&gt;&lt;wsp:rsid wsp:val=&quot;00806839&quot;/&gt;&lt;wsp:rsid wsp:val=&quot;0080691B&quot;/&gt;&lt;wsp:rsid wsp:val=&quot;00806A9E&quot;/&gt;&lt;wsp:rsid wsp:val=&quot;00806CCC&quot;/&gt;&lt;wsp:rsid wsp:val=&quot;008074D8&quot;/&gt;&lt;wsp:rsid wsp:val=&quot;008077E6&quot;/&gt;&lt;wsp:rsid wsp:val=&quot;00807B82&quot;/&gt;&lt;wsp:rsid wsp:val=&quot;00807E0C&quot;/&gt;&lt;wsp:rsid wsp:val=&quot;00807FD9&quot;/&gt;&lt;wsp:rsid wsp:val=&quot;00810000&quot;/&gt;&lt;wsp:rsid wsp:val=&quot;00810810&quot;/&gt;&lt;wsp:rsid wsp:val=&quot;00810AAB&quot;/&gt;&lt;wsp:rsid wsp:val=&quot;00810AE9&quot;/&gt;&lt;wsp:rsid wsp:val=&quot;00810F27&quot;/&gt;&lt;wsp:rsid wsp:val=&quot;0081138D&quot;/&gt;&lt;wsp:rsid wsp:val=&quot;008114A2&quot;/&gt;&lt;wsp:rsid wsp:val=&quot;008115DD&quot;/&gt;&lt;wsp:rsid wsp:val=&quot;0081185B&quot;/&gt;&lt;wsp:rsid wsp:val=&quot;00811F62&quot;/&gt;&lt;wsp:rsid wsp:val=&quot;00812224&quot;/&gt;&lt;wsp:rsid wsp:val=&quot;00812690&quot;/&gt;&lt;wsp:rsid wsp:val=&quot;00812926&quot;/&gt;&lt;wsp:rsid wsp:val=&quot;00812A38&quot;/&gt;&lt;wsp:rsid wsp:val=&quot;00812BB0&quot;/&gt;&lt;wsp:rsid wsp:val=&quot;0081334D&quot;/&gt;&lt;wsp:rsid wsp:val=&quot;008134D1&quot;/&gt;&lt;wsp:rsid wsp:val=&quot;008135A3&quot;/&gt;&lt;wsp:rsid wsp:val=&quot;008135F2&quot;/&gt;&lt;wsp:rsid wsp:val=&quot;00813760&quot;/&gt;&lt;wsp:rsid wsp:val=&quot;0081376A&quot;/&gt;&lt;wsp:rsid wsp:val=&quot;008139DB&quot;/&gt;&lt;wsp:rsid wsp:val=&quot;00813E8C&quot;/&gt;&lt;wsp:rsid wsp:val=&quot;00813E95&quot;/&gt;&lt;wsp:rsid wsp:val=&quot;00813FF4&quot;/&gt;&lt;wsp:rsid wsp:val=&quot;008142F7&quot;/&gt;&lt;wsp:rsid wsp:val=&quot;008143F1&quot;/&gt;&lt;wsp:rsid wsp:val=&quot;00814564&quot;/&gt;&lt;wsp:rsid wsp:val=&quot;00814A18&quot;/&gt;&lt;wsp:rsid wsp:val=&quot;00814C63&quot;/&gt;&lt;wsp:rsid wsp:val=&quot;00814F14&quot;/&gt;&lt;wsp:rsid wsp:val=&quot;00815135&quot;/&gt;&lt;wsp:rsid wsp:val=&quot;008151AE&quot;/&gt;&lt;wsp:rsid wsp:val=&quot;0081547C&quot;/&gt;&lt;wsp:rsid wsp:val=&quot;00815529&quot;/&gt;&lt;wsp:rsid wsp:val=&quot;0081580F&quot;/&gt;&lt;wsp:rsid wsp:val=&quot;00815877&quot;/&gt;&lt;wsp:rsid wsp:val=&quot;0081587A&quot;/&gt;&lt;wsp:rsid wsp:val=&quot;00815904&quot;/&gt;&lt;wsp:rsid wsp:val=&quot;0081595C&quot;/&gt;&lt;wsp:rsid wsp:val=&quot;00815B34&quot;/&gt;&lt;wsp:rsid wsp:val=&quot;00815E0A&quot;/&gt;&lt;wsp:rsid wsp:val=&quot;0081605E&quot;/&gt;&lt;wsp:rsid wsp:val=&quot;00816113&quot;/&gt;&lt;wsp:rsid wsp:val=&quot;00816201&quot;/&gt;&lt;wsp:rsid wsp:val=&quot;008164EE&quot;/&gt;&lt;wsp:rsid wsp:val=&quot;00816661&quot;/&gt;&lt;wsp:rsid wsp:val=&quot;00816804&quot;/&gt;&lt;wsp:rsid wsp:val=&quot;00816B0D&quot;/&gt;&lt;wsp:rsid wsp:val=&quot;00816D4A&quot;/&gt;&lt;wsp:rsid wsp:val=&quot;00816F91&quot;/&gt;&lt;wsp:rsid wsp:val=&quot;0081702D&quot;/&gt;&lt;wsp:rsid wsp:val=&quot;008171B2&quot;/&gt;&lt;wsp:rsid wsp:val=&quot;00817224&quot;/&gt;&lt;wsp:rsid wsp:val=&quot;008172D9&quot;/&gt;&lt;wsp:rsid wsp:val=&quot;00817318&quot;/&gt;&lt;wsp:rsid wsp:val=&quot;00817355&quot;/&gt;&lt;wsp:rsid wsp:val=&quot;00817A37&quot;/&gt;&lt;wsp:rsid wsp:val=&quot;00817DCF&quot;/&gt;&lt;wsp:rsid wsp:val=&quot;008202BB&quot;/&gt;&lt;wsp:rsid wsp:val=&quot;00820380&quot;/&gt;&lt;wsp:rsid wsp:val=&quot;0082070D&quot;/&gt;&lt;wsp:rsid wsp:val=&quot;008208E7&quot;/&gt;&lt;wsp:rsid wsp:val=&quot;00820963&quot;/&gt;&lt;wsp:rsid wsp:val=&quot;00820971&quot;/&gt;&lt;wsp:rsid wsp:val=&quot;00820AFF&quot;/&gt;&lt;wsp:rsid wsp:val=&quot;00820D76&quot;/&gt;&lt;wsp:rsid wsp:val=&quot;00820EBC&quot;/&gt;&lt;wsp:rsid wsp:val=&quot;00821260&quot;/&gt;&lt;wsp:rsid wsp:val=&quot;00821C9A&quot;/&gt;&lt;wsp:rsid wsp:val=&quot;0082218D&quot;/&gt;&lt;wsp:rsid wsp:val=&quot;0082224D&quot;/&gt;&lt;wsp:rsid wsp:val=&quot;008222D0&quot;/&gt;&lt;wsp:rsid wsp:val=&quot;0082234B&quot;/&gt;&lt;wsp:rsid wsp:val=&quot;008228C9&quot;/&gt;&lt;wsp:rsid wsp:val=&quot;00822D3F&quot;/&gt;&lt;wsp:rsid wsp:val=&quot;00822EAD&quot;/&gt;&lt;wsp:rsid wsp:val=&quot;00823452&quot;/&gt;&lt;wsp:rsid wsp:val=&quot;00823480&quot;/&gt;&lt;wsp:rsid wsp:val=&quot;0082358F&quot;/&gt;&lt;wsp:rsid wsp:val=&quot;0082368E&quot;/&gt;&lt;wsp:rsid wsp:val=&quot;00823814&quot;/&gt;&lt;wsp:rsid wsp:val=&quot;00823882&quot;/&gt;&lt;wsp:rsid wsp:val=&quot;00823913&quot;/&gt;&lt;wsp:rsid wsp:val=&quot;00823AB9&quot;/&gt;&lt;wsp:rsid wsp:val=&quot;00823FD3&quot;/&gt;&lt;wsp:rsid wsp:val=&quot;00824109&quot;/&gt;&lt;wsp:rsid wsp:val=&quot;0082444D&quot;/&gt;&lt;wsp:rsid wsp:val=&quot;008246B2&quot;/&gt;&lt;wsp:rsid wsp:val=&quot;00824817&quot;/&gt;&lt;wsp:rsid wsp:val=&quot;00824E59&quot;/&gt;&lt;wsp:rsid wsp:val=&quot;008251B7&quot;/&gt;&lt;wsp:rsid wsp:val=&quot;00825270&quot;/&gt;&lt;wsp:rsid wsp:val=&quot;0082535A&quot;/&gt;&lt;wsp:rsid wsp:val=&quot;008253EC&quot;/&gt;&lt;wsp:rsid wsp:val=&quot;00825452&quot;/&gt;&lt;wsp:rsid wsp:val=&quot;0082561D&quot;/&gt;&lt;wsp:rsid wsp:val=&quot;008258B7&quot;/&gt;&lt;wsp:rsid wsp:val=&quot;00825A34&quot;/&gt;&lt;wsp:rsid wsp:val=&quot;00825C73&quot;/&gt;&lt;wsp:rsid wsp:val=&quot;00825D79&quot;/&gt;&lt;wsp:rsid wsp:val=&quot;008262FD&quot;/&gt;&lt;wsp:rsid wsp:val=&quot;00826320&quot;/&gt;&lt;wsp:rsid wsp:val=&quot;00826407&quot;/&gt;&lt;wsp:rsid wsp:val=&quot;0082673A&quot;/&gt;&lt;wsp:rsid wsp:val=&quot;008269AB&quot;/&gt;&lt;wsp:rsid wsp:val=&quot;00826A89&quot;/&gt;&lt;wsp:rsid wsp:val=&quot;00826BD0&quot;/&gt;&lt;wsp:rsid wsp:val=&quot;00826E1A&quot;/&gt;&lt;wsp:rsid wsp:val=&quot;008276E3&quot;/&gt;&lt;wsp:rsid wsp:val=&quot;00827A0A&quot;/&gt;&lt;wsp:rsid wsp:val=&quot;00827B4D&quot;/&gt;&lt;wsp:rsid wsp:val=&quot;00827E08&quot;/&gt;&lt;wsp:rsid wsp:val=&quot;00827EA1&quot;/&gt;&lt;wsp:rsid wsp:val=&quot;00830217&quot;/&gt;&lt;wsp:rsid wsp:val=&quot;00830695&quot;/&gt;&lt;wsp:rsid wsp:val=&quot;00830717&quot;/&gt;&lt;wsp:rsid wsp:val=&quot;0083072C&quot;/&gt;&lt;wsp:rsid wsp:val=&quot;00830741&quot;/&gt;&lt;wsp:rsid wsp:val=&quot;0083080C&quot;/&gt;&lt;wsp:rsid wsp:val=&quot;00830A01&quot;/&gt;&lt;wsp:rsid wsp:val=&quot;00830E61&quot;/&gt;&lt;wsp:rsid wsp:val=&quot;0083137E&quot;/&gt;&lt;wsp:rsid wsp:val=&quot;00831665&quot;/&gt;&lt;wsp:rsid wsp:val=&quot;0083170A&quot;/&gt;&lt;wsp:rsid wsp:val=&quot;008318DF&quot;/&gt;&lt;wsp:rsid wsp:val=&quot;00831930&quot;/&gt;&lt;wsp:rsid wsp:val=&quot;00831B6F&quot;/&gt;&lt;wsp:rsid wsp:val=&quot;00831C11&quot;/&gt;&lt;wsp:rsid wsp:val=&quot;00831C48&quot;/&gt;&lt;wsp:rsid wsp:val=&quot;00831D2C&quot;/&gt;&lt;wsp:rsid wsp:val=&quot;00831D33&quot;/&gt;&lt;wsp:rsid wsp:val=&quot;00831E2D&quot;/&gt;&lt;wsp:rsid wsp:val=&quot;00831ED1&quot;/&gt;&lt;wsp:rsid wsp:val=&quot;00831F15&quot;/&gt;&lt;wsp:rsid wsp:val=&quot;00832012&quot;/&gt;&lt;wsp:rsid wsp:val=&quot;00832424&quot;/&gt;&lt;wsp:rsid wsp:val=&quot;008326B8&quot;/&gt;&lt;wsp:rsid wsp:val=&quot;00832952&quot;/&gt;&lt;wsp:rsid wsp:val=&quot;00832C17&quot;/&gt;&lt;wsp:rsid wsp:val=&quot;00832D28&quot;/&gt;&lt;wsp:rsid wsp:val=&quot;00832E9C&quot;/&gt;&lt;wsp:rsid wsp:val=&quot;00832F45&quot;/&gt;&lt;wsp:rsid wsp:val=&quot;00833107&quot;/&gt;&lt;wsp:rsid wsp:val=&quot;0083354C&quot;/&gt;&lt;wsp:rsid wsp:val=&quot;0083369E&quot;/&gt;&lt;wsp:rsid wsp:val=&quot;008336D1&quot;/&gt;&lt;wsp:rsid wsp:val=&quot;0083393D&quot;/&gt;&lt;wsp:rsid wsp:val=&quot;00833A57&quot;/&gt;&lt;wsp:rsid wsp:val=&quot;00833A72&quot;/&gt;&lt;wsp:rsid wsp:val=&quot;00833B7F&quot;/&gt;&lt;wsp:rsid wsp:val=&quot;00833DA0&quot;/&gt;&lt;wsp:rsid wsp:val=&quot;00833F17&quot;/&gt;&lt;wsp:rsid wsp:val=&quot;008340B9&quot;/&gt;&lt;wsp:rsid wsp:val=&quot;0083439C&quot;/&gt;&lt;wsp:rsid wsp:val=&quot;008344EF&quot;/&gt;&lt;wsp:rsid wsp:val=&quot;008345ED&quot;/&gt;&lt;wsp:rsid wsp:val=&quot;008346B7&quot;/&gt;&lt;wsp:rsid wsp:val=&quot;0083494C&quot;/&gt;&lt;wsp:rsid wsp:val=&quot;0083504C&quot;/&gt;&lt;wsp:rsid wsp:val=&quot;008350D2&quot;/&gt;&lt;wsp:rsid wsp:val=&quot;0083541A&quot;/&gt;&lt;wsp:rsid wsp:val=&quot;008354B7&quot;/&gt;&lt;wsp:rsid wsp:val=&quot;00835879&quot;/&gt;&lt;wsp:rsid wsp:val=&quot;00835884&quot;/&gt;&lt;wsp:rsid wsp:val=&quot;00835949&quot;/&gt;&lt;wsp:rsid wsp:val=&quot;008359EA&quot;/&gt;&lt;wsp:rsid wsp:val=&quot;00835A3B&quot;/&gt;&lt;wsp:rsid wsp:val=&quot;00835BC1&quot;/&gt;&lt;wsp:rsid wsp:val=&quot;00835E05&quot;/&gt;&lt;wsp:rsid wsp:val=&quot;0083619C&quot;/&gt;&lt;wsp:rsid wsp:val=&quot;008362C5&quot;/&gt;&lt;wsp:rsid wsp:val=&quot;00836491&quot;/&gt;&lt;wsp:rsid wsp:val=&quot;0083655F&quot;/&gt;&lt;wsp:rsid wsp:val=&quot;00836560&quot;/&gt;&lt;wsp:rsid wsp:val=&quot;008369E2&quot;/&gt;&lt;wsp:rsid wsp:val=&quot;00836A64&quot;/&gt;&lt;wsp:rsid wsp:val=&quot;00836E00&quot;/&gt;&lt;wsp:rsid wsp:val=&quot;00837249&quot;/&gt;&lt;wsp:rsid wsp:val=&quot;00837304&quot;/&gt;&lt;wsp:rsid wsp:val=&quot;008375F0&quot;/&gt;&lt;wsp:rsid wsp:val=&quot;00837742&quot;/&gt;&lt;wsp:rsid wsp:val=&quot;008377CD&quot;/&gt;&lt;wsp:rsid wsp:val=&quot;008379D2&quot;/&gt;&lt;wsp:rsid wsp:val=&quot;008379D8&quot;/&gt;&lt;wsp:rsid wsp:val=&quot;00837B7A&quot;/&gt;&lt;wsp:rsid wsp:val=&quot;00837D1C&quot;/&gt;&lt;wsp:rsid wsp:val=&quot;00837DC7&quot;/&gt;&lt;wsp:rsid wsp:val=&quot;008400FE&quot;/&gt;&lt;wsp:rsid wsp:val=&quot;00840120&quot;/&gt;&lt;wsp:rsid wsp:val=&quot;008402F3&quot;/&gt;&lt;wsp:rsid wsp:val=&quot;00840720&quot;/&gt;&lt;wsp:rsid wsp:val=&quot;00840766&quot;/&gt;&lt;wsp:rsid wsp:val=&quot;00840BD8&quot;/&gt;&lt;wsp:rsid wsp:val=&quot;00840BED&quot;/&gt;&lt;wsp:rsid wsp:val=&quot;00840F0F&quot;/&gt;&lt;wsp:rsid wsp:val=&quot;00840F70&quot;/&gt;&lt;wsp:rsid wsp:val=&quot;00841230&quot;/&gt;&lt;wsp:rsid wsp:val=&quot;00841617&quot;/&gt;&lt;wsp:rsid wsp:val=&quot;00841711&quot;/&gt;&lt;wsp:rsid wsp:val=&quot;00841913&quot;/&gt;&lt;wsp:rsid wsp:val=&quot;00841A3B&quot;/&gt;&lt;wsp:rsid wsp:val=&quot;00841B75&quot;/&gt;&lt;wsp:rsid wsp:val=&quot;00841DD5&quot;/&gt;&lt;wsp:rsid wsp:val=&quot;00841F0F&quot;/&gt;&lt;wsp:rsid wsp:val=&quot;00841FCA&quot;/&gt;&lt;wsp:rsid wsp:val=&quot;008421C7&quot;/&gt;&lt;wsp:rsid wsp:val=&quot;008423A8&quot;/&gt;&lt;wsp:rsid wsp:val=&quot;0084241C&quot;/&gt;&lt;wsp:rsid wsp:val=&quot;0084242D&quot;/&gt;&lt;wsp:rsid wsp:val=&quot;008427B3&quot;/&gt;&lt;wsp:rsid wsp:val=&quot;00842D80&quot;/&gt;&lt;wsp:rsid wsp:val=&quot;00843043&quot;/&gt;&lt;wsp:rsid wsp:val=&quot;00843A37&quot;/&gt;&lt;wsp:rsid wsp:val=&quot;00843C51&quot;/&gt;&lt;wsp:rsid wsp:val=&quot;00843D80&quot;/&gt;&lt;wsp:rsid wsp:val=&quot;00843D94&quot;/&gt;&lt;wsp:rsid wsp:val=&quot;0084420B&quot;/&gt;&lt;wsp:rsid wsp:val=&quot;00844293&quot;/&gt;&lt;wsp:rsid wsp:val=&quot;00844456&quot;/&gt;&lt;wsp:rsid wsp:val=&quot;008447F1&quot;/&gt;&lt;wsp:rsid wsp:val=&quot;008448F6&quot;/&gt;&lt;wsp:rsid wsp:val=&quot;00844A59&quot;/&gt;&lt;wsp:rsid wsp:val=&quot;00844E0D&quot;/&gt;&lt;wsp:rsid wsp:val=&quot;008450D3&quot;/&gt;&lt;wsp:rsid wsp:val=&quot;00845552&quot;/&gt;&lt;wsp:rsid wsp:val=&quot;008457FD&quot;/&gt;&lt;wsp:rsid wsp:val=&quot;00845B47&quot;/&gt;&lt;wsp:rsid wsp:val=&quot;00845BFB&quot;/&gt;&lt;wsp:rsid wsp:val=&quot;00845D29&quot;/&gt;&lt;wsp:rsid wsp:val=&quot;0084612F&quot;/&gt;&lt;wsp:rsid wsp:val=&quot;008461FF&quot;/&gt;&lt;wsp:rsid wsp:val=&quot;00846460&quot;/&gt;&lt;wsp:rsid wsp:val=&quot;0084649F&quot;/&gt;&lt;wsp:rsid wsp:val=&quot;0084695B&quot;/&gt;&lt;wsp:rsid wsp:val=&quot;008470C1&quot;/&gt;&lt;wsp:rsid wsp:val=&quot;00847272&quot;/&gt;&lt;wsp:rsid wsp:val=&quot;00847324&quot;/&gt;&lt;wsp:rsid wsp:val=&quot;0084748D&quot;/&gt;&lt;wsp:rsid wsp:val=&quot;0084788E&quot;/&gt;&lt;wsp:rsid wsp:val=&quot;00847B47&quot;/&gt;&lt;wsp:rsid wsp:val=&quot;00847BD9&quot;/&gt;&lt;wsp:rsid wsp:val=&quot;00847CCE&quot;/&gt;&lt;wsp:rsid wsp:val=&quot;00847E1D&quot;/&gt;&lt;wsp:rsid wsp:val=&quot;00847EB7&quot;/&gt;&lt;wsp:rsid wsp:val=&quot;00847EF9&quot;/&gt;&lt;wsp:rsid wsp:val=&quot;008503A2&quot;/&gt;&lt;wsp:rsid wsp:val=&quot;00850E54&quot;/&gt;&lt;wsp:rsid wsp:val=&quot;008512AF&quot;/&gt;&lt;wsp:rsid wsp:val=&quot;00851587&quot;/&gt;&lt;wsp:rsid wsp:val=&quot;0085191D&quot;/&gt;&lt;wsp:rsid wsp:val=&quot;0085197D&quot;/&gt;&lt;wsp:rsid wsp:val=&quot;00851B2D&quot;/&gt;&lt;wsp:rsid wsp:val=&quot;00851CCF&quot;/&gt;&lt;wsp:rsid wsp:val=&quot;00851D0C&quot;/&gt;&lt;wsp:rsid wsp:val=&quot;0085222E&quot;/&gt;&lt;wsp:rsid wsp:val=&quot;00852444&quot;/&gt;&lt;wsp:rsid wsp:val=&quot;008527A7&quot;/&gt;&lt;wsp:rsid wsp:val=&quot;00852981&quot;/&gt;&lt;wsp:rsid wsp:val=&quot;00852A50&quot;/&gt;&lt;wsp:rsid wsp:val=&quot;00852AEE&quot;/&gt;&lt;wsp:rsid wsp:val=&quot;00852CCA&quot;/&gt;&lt;wsp:rsid wsp:val=&quot;00853369&quot;/&gt;&lt;wsp:rsid wsp:val=&quot;008534DC&quot;/&gt;&lt;wsp:rsid wsp:val=&quot;00853741&quot;/&gt;&lt;wsp:rsid wsp:val=&quot;00853C2A&quot;/&gt;&lt;wsp:rsid wsp:val=&quot;00853E04&quot;/&gt;&lt;wsp:rsid wsp:val=&quot;00854086&quot;/&gt;&lt;wsp:rsid wsp:val=&quot;0085421F&quot;/&gt;&lt;wsp:rsid wsp:val=&quot;008545E8&quot;/&gt;&lt;wsp:rsid wsp:val=&quot;0085478E&quot;/&gt;&lt;wsp:rsid wsp:val=&quot;00854C73&quot;/&gt;&lt;wsp:rsid wsp:val=&quot;00854D2B&quot;/&gt;&lt;wsp:rsid wsp:val=&quot;008550E2&quot;/&gt;&lt;wsp:rsid wsp:val=&quot;0085526C&quot;/&gt;&lt;wsp:rsid wsp:val=&quot;00855477&quot;/&gt;&lt;wsp:rsid wsp:val=&quot;00855872&quot;/&gt;&lt;wsp:rsid wsp:val=&quot;0085591C&quot;/&gt;&lt;wsp:rsid wsp:val=&quot;008559EF&quot;/&gt;&lt;wsp:rsid wsp:val=&quot;00855CFB&quot;/&gt;&lt;wsp:rsid wsp:val=&quot;00855F93&quot;/&gt;&lt;wsp:rsid wsp:val=&quot;0085616D&quot;/&gt;&lt;wsp:rsid wsp:val=&quot;008561D9&quot;/&gt;&lt;wsp:rsid wsp:val=&quot;0085642B&quot;/&gt;&lt;wsp:rsid wsp:val=&quot;00856CAB&quot;/&gt;&lt;wsp:rsid wsp:val=&quot;00856EC4&quot;/&gt;&lt;wsp:rsid wsp:val=&quot;00857004&quot;/&gt;&lt;wsp:rsid wsp:val=&quot;00857028&quot;/&gt;&lt;wsp:rsid wsp:val=&quot;00857038&quot;/&gt;&lt;wsp:rsid wsp:val=&quot;008570A9&quot;/&gt;&lt;wsp:rsid wsp:val=&quot;008570AA&quot;/&gt;&lt;wsp:rsid wsp:val=&quot;008571C0&quot;/&gt;&lt;wsp:rsid wsp:val=&quot;008576F0&quot;/&gt;&lt;wsp:rsid wsp:val=&quot;00857E98&quot;/&gt;&lt;wsp:rsid wsp:val=&quot;00857F24&quot;/&gt;&lt;wsp:rsid wsp:val=&quot;008600A3&quot;/&gt;&lt;wsp:rsid wsp:val=&quot;008602CF&quot;/&gt;&lt;wsp:rsid wsp:val=&quot;0086092B&quot;/&gt;&lt;wsp:rsid wsp:val=&quot;00860B70&quot;/&gt;&lt;wsp:rsid wsp:val=&quot;00860E6F&quot;/&gt;&lt;wsp:rsid wsp:val=&quot;00860F63&quot;/&gt;&lt;wsp:rsid wsp:val=&quot;00860FC5&quot;/&gt;&lt;wsp:rsid wsp:val=&quot;00860FD9&quot;/&gt;&lt;wsp:rsid wsp:val=&quot;00861058&quot;/&gt;&lt;wsp:rsid wsp:val=&quot;00861060&quot;/&gt;&lt;wsp:rsid wsp:val=&quot;00861062&quot;/&gt;&lt;wsp:rsid wsp:val=&quot;008610CD&quot;/&gt;&lt;wsp:rsid wsp:val=&quot;008611D0&quot;/&gt;&lt;wsp:rsid wsp:val=&quot;0086145B&quot;/&gt;&lt;wsp:rsid wsp:val=&quot;00861C56&quot;/&gt;&lt;wsp:rsid wsp:val=&quot;00861F8A&quot;/&gt;&lt;wsp:rsid wsp:val=&quot;00862080&quot;/&gt;&lt;wsp:rsid wsp:val=&quot;00862441&quot;/&gt;&lt;wsp:rsid wsp:val=&quot;00862ADE&quot;/&gt;&lt;wsp:rsid wsp:val=&quot;00862B37&quot;/&gt;&lt;wsp:rsid wsp:val=&quot;00862F07&quot;/&gt;&lt;wsp:rsid wsp:val=&quot;00862FC3&quot;/&gt;&lt;wsp:rsid wsp:val=&quot;008635D6&quot;/&gt;&lt;wsp:rsid wsp:val=&quot;00863A6A&quot;/&gt;&lt;wsp:rsid wsp:val=&quot;00863C48&quot;/&gt;&lt;wsp:rsid wsp:val=&quot;008640E6&quot;/&gt;&lt;wsp:rsid wsp:val=&quot;00864223&quot;/&gt;&lt;wsp:rsid wsp:val=&quot;0086423E&quot;/&gt;&lt;wsp:rsid wsp:val=&quot;008644D2&quot;/&gt;&lt;wsp:rsid wsp:val=&quot;0086472E&quot;/&gt;&lt;wsp:rsid wsp:val=&quot;0086477A&quot;/&gt;&lt;wsp:rsid wsp:val=&quot;008648E2&quot;/&gt;&lt;wsp:rsid wsp:val=&quot;00864F2F&quot;/&gt;&lt;wsp:rsid wsp:val=&quot;00865195&quot;/&gt;&lt;wsp:rsid wsp:val=&quot;0086539F&quot;/&gt;&lt;wsp:rsid wsp:val=&quot;00865402&quot;/&gt;&lt;wsp:rsid wsp:val=&quot;008655DC&quot;/&gt;&lt;wsp:rsid wsp:val=&quot;008656B8&quot;/&gt;&lt;wsp:rsid wsp:val=&quot;00865CE8&quot;/&gt;&lt;wsp:rsid wsp:val=&quot;00865F05&quot;/&gt;&lt;wsp:rsid wsp:val=&quot;00865FDB&quot;/&gt;&lt;wsp:rsid wsp:val=&quot;00865FFA&quot;/&gt;&lt;wsp:rsid wsp:val=&quot;008664B8&quot;/&gt;&lt;wsp:rsid wsp:val=&quot;008664D0&quot;/&gt;&lt;wsp:rsid wsp:val=&quot;008666F0&quot;/&gt;&lt;wsp:rsid wsp:val=&quot;008669E1&quot;/&gt;&lt;wsp:rsid wsp:val=&quot;00866D00&quot;/&gt;&lt;wsp:rsid wsp:val=&quot;00867265&quot;/&gt;&lt;wsp:rsid wsp:val=&quot;008673A8&quot;/&gt;&lt;wsp:rsid wsp:val=&quot;00867772&quot;/&gt;&lt;wsp:rsid wsp:val=&quot;00867837&quot;/&gt;&lt;wsp:rsid wsp:val=&quot;008679AF&quot;/&gt;&lt;wsp:rsid wsp:val=&quot;00867B6F&quot;/&gt;&lt;wsp:rsid wsp:val=&quot;00867B77&quot;/&gt;&lt;wsp:rsid wsp:val=&quot;00870231&quot;/&gt;&lt;wsp:rsid wsp:val=&quot;0087054E&quot;/&gt;&lt;wsp:rsid wsp:val=&quot;008706AC&quot;/&gt;&lt;wsp:rsid wsp:val=&quot;00870789&quot;/&gt;&lt;wsp:rsid wsp:val=&quot;008707B5&quot;/&gt;&lt;wsp:rsid wsp:val=&quot;00870965&quot;/&gt;&lt;wsp:rsid wsp:val=&quot;008709AB&quot;/&gt;&lt;wsp:rsid wsp:val=&quot;008710CF&quot;/&gt;&lt;wsp:rsid wsp:val=&quot;00871138&quot;/&gt;&lt;wsp:rsid wsp:val=&quot;008712C5&quot;/&gt;&lt;wsp:rsid wsp:val=&quot;00871876&quot;/&gt;&lt;wsp:rsid wsp:val=&quot;00871D55&quot;/&gt;&lt;wsp:rsid wsp:val=&quot;00871D5F&quot;/&gt;&lt;wsp:rsid wsp:val=&quot;00871DDD&quot;/&gt;&lt;wsp:rsid wsp:val=&quot;00871DF1&quot;/&gt;&lt;wsp:rsid wsp:val=&quot;00871E27&quot;/&gt;&lt;wsp:rsid wsp:val=&quot;00872057&quot;/&gt;&lt;wsp:rsid wsp:val=&quot;00872517&quot;/&gt;&lt;wsp:rsid wsp:val=&quot;00872688&quot;/&gt;&lt;wsp:rsid wsp:val=&quot;008726FD&quot;/&gt;&lt;wsp:rsid wsp:val=&quot;00872834&quot;/&gt;&lt;wsp:rsid wsp:val=&quot;00872835&quot;/&gt;&lt;wsp:rsid wsp:val=&quot;00872C74&quot;/&gt;&lt;wsp:rsid wsp:val=&quot;00872CEB&quot;/&gt;&lt;wsp:rsid wsp:val=&quot;00873138&quot;/&gt;&lt;wsp:rsid wsp:val=&quot;00873534&quot;/&gt;&lt;wsp:rsid wsp:val=&quot;008736BC&quot;/&gt;&lt;wsp:rsid wsp:val=&quot;008738A2&quot;/&gt;&lt;wsp:rsid wsp:val=&quot;00873EE2&quot;/&gt;&lt;wsp:rsid wsp:val=&quot;00873EF0&quot;/&gt;&lt;wsp:rsid wsp:val=&quot;00873F5E&quot;/&gt;&lt;wsp:rsid wsp:val=&quot;00873F99&quot;/&gt;&lt;wsp:rsid wsp:val=&quot;00873FF3&quot;/&gt;&lt;wsp:rsid wsp:val=&quot;0087406B&quot;/&gt;&lt;wsp:rsid wsp:val=&quot;00874726&quot;/&gt;&lt;wsp:rsid wsp:val=&quot;008748E3&quot;/&gt;&lt;wsp:rsid wsp:val=&quot;00874A51&quot;/&gt;&lt;wsp:rsid wsp:val=&quot;00874E3A&quot;/&gt;&lt;wsp:rsid wsp:val=&quot;00874FC4&quot;/&gt;&lt;wsp:rsid wsp:val=&quot;00875151&quot;/&gt;&lt;wsp:rsid wsp:val=&quot;0087532F&quot;/&gt;&lt;wsp:rsid wsp:val=&quot;00875386&quot;/&gt;&lt;wsp:rsid wsp:val=&quot;0087554E&quot;/&gt;&lt;wsp:rsid wsp:val=&quot;0087561F&quot;/&gt;&lt;wsp:rsid wsp:val=&quot;00875B25&quot;/&gt;&lt;wsp:rsid wsp:val=&quot;00875B83&quot;/&gt;&lt;wsp:rsid wsp:val=&quot;00875DE0&quot;/&gt;&lt;wsp:rsid wsp:val=&quot;00876313&quot;/&gt;&lt;wsp:rsid wsp:val=&quot;00876AD7&quot;/&gt;&lt;wsp:rsid wsp:val=&quot;00876CFF&quot;/&gt;&lt;wsp:rsid wsp:val=&quot;00876D6E&quot;/&gt;&lt;wsp:rsid wsp:val=&quot;00876FDC&quot;/&gt;&lt;wsp:rsid wsp:val=&quot;008770BF&quot;/&gt;&lt;wsp:rsid wsp:val=&quot;008772D1&quot;/&gt;&lt;wsp:rsid wsp:val=&quot;00877304&quot;/&gt;&lt;wsp:rsid wsp:val=&quot;00877A30&quot;/&gt;&lt;wsp:rsid wsp:val=&quot;00877DBE&quot;/&gt;&lt;wsp:rsid wsp:val=&quot;00880058&quot;/&gt;&lt;wsp:rsid wsp:val=&quot;00880343&quot;/&gt;&lt;wsp:rsid wsp:val=&quot;008806A6&quot;/&gt;&lt;wsp:rsid wsp:val=&quot;00881101&quot;/&gt;&lt;wsp:rsid wsp:val=&quot;0088121C&quot;/&gt;&lt;wsp:rsid wsp:val=&quot;00881245&quot;/&gt;&lt;wsp:rsid wsp:val=&quot;0088145C&quot;/&gt;&lt;wsp:rsid wsp:val=&quot;00881644&quot;/&gt;&lt;wsp:rsid wsp:val=&quot;008816F7&quot;/&gt;&lt;wsp:rsid wsp:val=&quot;00881D85&quot;/&gt;&lt;wsp:rsid wsp:val=&quot;0088229F&quot;/&gt;&lt;wsp:rsid wsp:val=&quot;008822A1&quot;/&gt;&lt;wsp:rsid wsp:val=&quot;0088242F&quot;/&gt;&lt;wsp:rsid wsp:val=&quot;0088263B&quot;/&gt;&lt;wsp:rsid wsp:val=&quot;008826E2&quot;/&gt;&lt;wsp:rsid wsp:val=&quot;00882762&quot;/&gt;&lt;wsp:rsid wsp:val=&quot;008828ED&quot;/&gt;&lt;wsp:rsid wsp:val=&quot;00882D98&quot;/&gt;&lt;wsp:rsid wsp:val=&quot;00882DAC&quot;/&gt;&lt;wsp:rsid wsp:val=&quot;00882E03&quot;/&gt;&lt;wsp:rsid wsp:val=&quot;0088338D&quot;/&gt;&lt;wsp:rsid wsp:val=&quot;00883614&quot;/&gt;&lt;wsp:rsid wsp:val=&quot;00883740&quot;/&gt;&lt;wsp:rsid wsp:val=&quot;008837E0&quot;/&gt;&lt;wsp:rsid wsp:val=&quot;0088384E&quot;/&gt;&lt;wsp:rsid wsp:val=&quot;00883938&quot;/&gt;&lt;wsp:rsid wsp:val=&quot;00883C43&quot;/&gt;&lt;wsp:rsid wsp:val=&quot;00884095&quot;/&gt;&lt;wsp:rsid wsp:val=&quot;0088426B&quot;/&gt;&lt;wsp:rsid wsp:val=&quot;00884499&quot;/&gt;&lt;wsp:rsid wsp:val=&quot;00884534&quot;/&gt;&lt;wsp:rsid wsp:val=&quot;0088474B&quot;/&gt;&lt;wsp:rsid wsp:val=&quot;00884840&quot;/&gt;&lt;wsp:rsid wsp:val=&quot;00884D0D&quot;/&gt;&lt;wsp:rsid wsp:val=&quot;00884FF4&quot;/&gt;&lt;wsp:rsid wsp:val=&quot;008851E9&quot;/&gt;&lt;wsp:rsid wsp:val=&quot;00885A5A&quot;/&gt;&lt;wsp:rsid wsp:val=&quot;00885EFD&quot;/&gt;&lt;wsp:rsid wsp:val=&quot;00886125&quot;/&gt;&lt;wsp:rsid wsp:val=&quot;00886691&quot;/&gt;&lt;wsp:rsid wsp:val=&quot;008867AB&quot;/&gt;&lt;wsp:rsid wsp:val=&quot;008869A6&quot;/&gt;&lt;wsp:rsid wsp:val=&quot;008870DF&quot;/&gt;&lt;wsp:rsid wsp:val=&quot;008871AF&quot;/&gt;&lt;wsp:rsid wsp:val=&quot;008871B8&quot;/&gt;&lt;wsp:rsid wsp:val=&quot;0088749D&quot;/&gt;&lt;wsp:rsid wsp:val=&quot;00887537&quot;/&gt;&lt;wsp:rsid wsp:val=&quot;008877AB&quot;/&gt;&lt;wsp:rsid wsp:val=&quot;0088795E&quot;/&gt;&lt;wsp:rsid wsp:val=&quot;00887AC8&quot;/&gt;&lt;wsp:rsid wsp:val=&quot;00887B6A&quot;/&gt;&lt;wsp:rsid wsp:val=&quot;008902B2&quot;/&gt;&lt;wsp:rsid wsp:val=&quot;00890331&quot;/&gt;&lt;wsp:rsid wsp:val=&quot;0089049D&quot;/&gt;&lt;wsp:rsid wsp:val=&quot;008907B5&quot;/&gt;&lt;wsp:rsid wsp:val=&quot;0089126C&quot;/&gt;&lt;wsp:rsid wsp:val=&quot;00891318&quot;/&gt;&lt;wsp:rsid wsp:val=&quot;00891329&quot;/&gt;&lt;wsp:rsid wsp:val=&quot;008915CD&quot;/&gt;&lt;wsp:rsid wsp:val=&quot;008916FD&quot;/&gt;&lt;wsp:rsid wsp:val=&quot;00891DAD&quot;/&gt;&lt;wsp:rsid wsp:val=&quot;008922EF&quot;/&gt;&lt;wsp:rsid wsp:val=&quot;0089232A&quot;/&gt;&lt;wsp:rsid wsp:val=&quot;00892569&quot;/&gt;&lt;wsp:rsid wsp:val=&quot;00892864&quot;/&gt;&lt;wsp:rsid wsp:val=&quot;00892D02&quot;/&gt;&lt;wsp:rsid wsp:val=&quot;00892D60&quot;/&gt;&lt;wsp:rsid wsp:val=&quot;008930DE&quot;/&gt;&lt;wsp:rsid wsp:val=&quot;008933C1&quot;/&gt;&lt;wsp:rsid wsp:val=&quot;008939B7&quot;/&gt;&lt;wsp:rsid wsp:val=&quot;00893A27&quot;/&gt;&lt;wsp:rsid wsp:val=&quot;00893B46&quot;/&gt;&lt;wsp:rsid wsp:val=&quot;00893C37&quot;/&gt;&lt;wsp:rsid wsp:val=&quot;00893D53&quot;/&gt;&lt;wsp:rsid wsp:val=&quot;00893D91&quot;/&gt;&lt;wsp:rsid wsp:val=&quot;00893E4D&quot;/&gt;&lt;wsp:rsid wsp:val=&quot;00894178&quot;/&gt;&lt;wsp:rsid wsp:val=&quot;008943A6&quot;/&gt;&lt;wsp:rsid wsp:val=&quot;008945D0&quot;/&gt;&lt;wsp:rsid wsp:val=&quot;008945D9&quot;/&gt;&lt;wsp:rsid wsp:val=&quot;0089504C&quot;/&gt;&lt;wsp:rsid wsp:val=&quot;008950EE&quot;/&gt;&lt;wsp:rsid wsp:val=&quot;0089512A&quot;/&gt;&lt;wsp:rsid wsp:val=&quot;00895421&quot;/&gt;&lt;wsp:rsid wsp:val=&quot;008954BB&quot;/&gt;&lt;wsp:rsid wsp:val=&quot;008958AE&quot;/&gt;&lt;wsp:rsid wsp:val=&quot;00895DDC&quot;/&gt;&lt;wsp:rsid wsp:val=&quot;00895FA0&quot;/&gt;&lt;wsp:rsid wsp:val=&quot;00895FAB&quot;/&gt;&lt;wsp:rsid wsp:val=&quot;008960BB&quot;/&gt;&lt;wsp:rsid wsp:val=&quot;00896592&quot;/&gt;&lt;wsp:rsid wsp:val=&quot;008966DB&quot;/&gt;&lt;wsp:rsid wsp:val=&quot;00896AE9&quot;/&gt;&lt;wsp:rsid wsp:val=&quot;00896B11&quot;/&gt;&lt;wsp:rsid wsp:val=&quot;00896B14&quot;/&gt;&lt;wsp:rsid wsp:val=&quot;00896F94&quot;/&gt;&lt;wsp:rsid wsp:val=&quot;008971EA&quot;/&gt;&lt;wsp:rsid wsp:val=&quot;008972D2&quot;/&gt;&lt;wsp:rsid wsp:val=&quot;00897345&quot;/&gt;&lt;wsp:rsid wsp:val=&quot;008974A0&quot;/&gt;&lt;wsp:rsid wsp:val=&quot;008975B3&quot;/&gt;&lt;wsp:rsid wsp:val=&quot;008979C0&quot;/&gt;&lt;wsp:rsid wsp:val=&quot;00897B20&quot;/&gt;&lt;wsp:rsid wsp:val=&quot;00897B41&quot;/&gt;&lt;wsp:rsid wsp:val=&quot;008A028B&quot;/&gt;&lt;wsp:rsid wsp:val=&quot;008A0296&quot;/&gt;&lt;wsp:rsid wsp:val=&quot;008A02CC&quot;/&gt;&lt;wsp:rsid wsp:val=&quot;008A07D9&quot;/&gt;&lt;wsp:rsid wsp:val=&quot;008A0A36&quot;/&gt;&lt;wsp:rsid wsp:val=&quot;008A14EE&quot;/&gt;&lt;wsp:rsid wsp:val=&quot;008A14FD&quot;/&gt;&lt;wsp:rsid wsp:val=&quot;008A16E0&quot;/&gt;&lt;wsp:rsid wsp:val=&quot;008A1B33&quot;/&gt;&lt;wsp:rsid wsp:val=&quot;008A216C&quot;/&gt;&lt;wsp:rsid wsp:val=&quot;008A21DC&quot;/&gt;&lt;wsp:rsid wsp:val=&quot;008A22E3&quot;/&gt;&lt;wsp:rsid wsp:val=&quot;008A23AD&quot;/&gt;&lt;wsp:rsid wsp:val=&quot;008A269D&quot;/&gt;&lt;wsp:rsid wsp:val=&quot;008A2833&quot;/&gt;&lt;wsp:rsid wsp:val=&quot;008A2AB8&quot;/&gt;&lt;wsp:rsid wsp:val=&quot;008A2B8A&quot;/&gt;&lt;wsp:rsid wsp:val=&quot;008A2C06&quot;/&gt;&lt;wsp:rsid wsp:val=&quot;008A2FFB&quot;/&gt;&lt;wsp:rsid wsp:val=&quot;008A330C&quot;/&gt;&lt;wsp:rsid wsp:val=&quot;008A3466&quot;/&gt;&lt;wsp:rsid wsp:val=&quot;008A3971&quot;/&gt;&lt;wsp:rsid wsp:val=&quot;008A39EA&quot;/&gt;&lt;wsp:rsid wsp:val=&quot;008A3A77&quot;/&gt;&lt;wsp:rsid wsp:val=&quot;008A413F&quot;/&gt;&lt;wsp:rsid wsp:val=&quot;008A42E8&quot;/&gt;&lt;wsp:rsid wsp:val=&quot;008A4328&quot;/&gt;&lt;wsp:rsid wsp:val=&quot;008A4451&quot;/&gt;&lt;wsp:rsid wsp:val=&quot;008A4468&quot;/&gt;&lt;wsp:rsid wsp:val=&quot;008A4500&quot;/&gt;&lt;wsp:rsid wsp:val=&quot;008A48C7&quot;/&gt;&lt;wsp:rsid wsp:val=&quot;008A4C37&quot;/&gt;&lt;wsp:rsid wsp:val=&quot;008A52D5&quot;/&gt;&lt;wsp:rsid wsp:val=&quot;008A5413&quot;/&gt;&lt;wsp:rsid wsp:val=&quot;008A59A7&quot;/&gt;&lt;wsp:rsid wsp:val=&quot;008A5A52&quot;/&gt;&lt;wsp:rsid wsp:val=&quot;008A60CE&quot;/&gt;&lt;wsp:rsid wsp:val=&quot;008A619F&quot;/&gt;&lt;wsp:rsid wsp:val=&quot;008A6434&quot;/&gt;&lt;wsp:rsid wsp:val=&quot;008A6450&quot;/&gt;&lt;wsp:rsid wsp:val=&quot;008A649F&quot;/&gt;&lt;wsp:rsid wsp:val=&quot;008A64B8&quot;/&gt;&lt;wsp:rsid wsp:val=&quot;008A6509&quot;/&gt;&lt;wsp:rsid wsp:val=&quot;008A67DF&quot;/&gt;&lt;wsp:rsid wsp:val=&quot;008A696F&quot;/&gt;&lt;wsp:rsid wsp:val=&quot;008A6BA0&quot;/&gt;&lt;wsp:rsid wsp:val=&quot;008A6BA1&quot;/&gt;&lt;wsp:rsid wsp:val=&quot;008A7060&quot;/&gt;&lt;wsp:rsid wsp:val=&quot;008A7330&quot;/&gt;&lt;wsp:rsid wsp:val=&quot;008A7625&quot;/&gt;&lt;wsp:rsid wsp:val=&quot;008A797F&quot;/&gt;&lt;wsp:rsid wsp:val=&quot;008A79A6&quot;/&gt;&lt;wsp:rsid wsp:val=&quot;008A7B4F&quot;/&gt;&lt;wsp:rsid wsp:val=&quot;008B0075&quot;/&gt;&lt;wsp:rsid wsp:val=&quot;008B01EA&quot;/&gt;&lt;wsp:rsid wsp:val=&quot;008B043F&quot;/&gt;&lt;wsp:rsid wsp:val=&quot;008B0478&quot;/&gt;&lt;wsp:rsid wsp:val=&quot;008B049E&quot;/&gt;&lt;wsp:rsid wsp:val=&quot;008B05CD&quot;/&gt;&lt;wsp:rsid wsp:val=&quot;008B09B4&quot;/&gt;&lt;wsp:rsid wsp:val=&quot;008B0C6A&quot;/&gt;&lt;wsp:rsid wsp:val=&quot;008B0D2A&quot;/&gt;&lt;wsp:rsid wsp:val=&quot;008B0DE3&quot;/&gt;&lt;wsp:rsid wsp:val=&quot;008B0EA7&quot;/&gt;&lt;wsp:rsid wsp:val=&quot;008B0FD2&quot;/&gt;&lt;wsp:rsid wsp:val=&quot;008B1193&quot;/&gt;&lt;wsp:rsid wsp:val=&quot;008B13BF&quot;/&gt;&lt;wsp:rsid wsp:val=&quot;008B155A&quot;/&gt;&lt;wsp:rsid wsp:val=&quot;008B1582&quot;/&gt;&lt;wsp:rsid wsp:val=&quot;008B19E2&quot;/&gt;&lt;wsp:rsid wsp:val=&quot;008B1AF8&quot;/&gt;&lt;wsp:rsid wsp:val=&quot;008B2139&quot;/&gt;&lt;wsp:rsid wsp:val=&quot;008B2197&quot;/&gt;&lt;wsp:rsid wsp:val=&quot;008B23DF&quot;/&gt;&lt;wsp:rsid wsp:val=&quot;008B23F4&quot;/&gt;&lt;wsp:rsid wsp:val=&quot;008B259B&quot;/&gt;&lt;wsp:rsid wsp:val=&quot;008B2635&quot;/&gt;&lt;wsp:rsid wsp:val=&quot;008B280A&quot;/&gt;&lt;wsp:rsid wsp:val=&quot;008B2877&quot;/&gt;&lt;wsp:rsid wsp:val=&quot;008B2911&quot;/&gt;&lt;wsp:rsid wsp:val=&quot;008B2BF1&quot;/&gt;&lt;wsp:rsid wsp:val=&quot;008B2DAB&quot;/&gt;&lt;wsp:rsid wsp:val=&quot;008B3043&quot;/&gt;&lt;wsp:rsid wsp:val=&quot;008B3537&quot;/&gt;&lt;wsp:rsid wsp:val=&quot;008B36C8&quot;/&gt;&lt;wsp:rsid wsp:val=&quot;008B3A05&quot;/&gt;&lt;wsp:rsid wsp:val=&quot;008B3C23&quot;/&gt;&lt;wsp:rsid wsp:val=&quot;008B3C95&quot;/&gt;&lt;wsp:rsid wsp:val=&quot;008B3ED0&quot;/&gt;&lt;wsp:rsid wsp:val=&quot;008B40E7&quot;/&gt;&lt;wsp:rsid wsp:val=&quot;008B416B&quot;/&gt;&lt;wsp:rsid wsp:val=&quot;008B42DB&quot;/&gt;&lt;wsp:rsid wsp:val=&quot;008B4543&quot;/&gt;&lt;wsp:rsid wsp:val=&quot;008B4982&quot;/&gt;&lt;wsp:rsid wsp:val=&quot;008B4A11&quot;/&gt;&lt;wsp:rsid wsp:val=&quot;008B4AA1&quot;/&gt;&lt;wsp:rsid wsp:val=&quot;008B4D24&quot;/&gt;&lt;wsp:rsid wsp:val=&quot;008B4DC9&quot;/&gt;&lt;wsp:rsid wsp:val=&quot;008B4E4A&quot;/&gt;&lt;wsp:rsid wsp:val=&quot;008B4F96&quot;/&gt;&lt;wsp:rsid wsp:val=&quot;008B56F0&quot;/&gt;&lt;wsp:rsid wsp:val=&quot;008B57D5&quot;/&gt;&lt;wsp:rsid wsp:val=&quot;008B5AD0&quot;/&gt;&lt;wsp:rsid wsp:val=&quot;008B5B26&quot;/&gt;&lt;wsp:rsid wsp:val=&quot;008B5D5C&quot;/&gt;&lt;wsp:rsid wsp:val=&quot;008B5E0F&quot;/&gt;&lt;wsp:rsid wsp:val=&quot;008B5E67&quot;/&gt;&lt;wsp:rsid wsp:val=&quot;008B5FC2&quot;/&gt;&lt;wsp:rsid wsp:val=&quot;008B6230&quot;/&gt;&lt;wsp:rsid wsp:val=&quot;008B67B2&quot;/&gt;&lt;wsp:rsid wsp:val=&quot;008B69A8&quot;/&gt;&lt;wsp:rsid wsp:val=&quot;008B6ABA&quot;/&gt;&lt;wsp:rsid wsp:val=&quot;008B6C02&quot;/&gt;&lt;wsp:rsid wsp:val=&quot;008B71BC&quot;/&gt;&lt;wsp:rsid wsp:val=&quot;008B71C9&quot;/&gt;&lt;wsp:rsid wsp:val=&quot;008B71ED&quot;/&gt;&lt;wsp:rsid wsp:val=&quot;008B76E8&quot;/&gt;&lt;wsp:rsid wsp:val=&quot;008B7C3E&quot;/&gt;&lt;wsp:rsid wsp:val=&quot;008B7D24&quot;/&gt;&lt;wsp:rsid wsp:val=&quot;008B7EAB&quot;/&gt;&lt;wsp:rsid wsp:val=&quot;008C005B&quot;/&gt;&lt;wsp:rsid wsp:val=&quot;008C01EB&quot;/&gt;&lt;wsp:rsid wsp:val=&quot;008C037C&quot;/&gt;&lt;wsp:rsid wsp:val=&quot;008C0590&quot;/&gt;&lt;wsp:rsid wsp:val=&quot;008C09A4&quot;/&gt;&lt;wsp:rsid wsp:val=&quot;008C0A1B&quot;/&gt;&lt;wsp:rsid wsp:val=&quot;008C0A49&quot;/&gt;&lt;wsp:rsid wsp:val=&quot;008C0CD9&quot;/&gt;&lt;wsp:rsid wsp:val=&quot;008C0F41&quot;/&gt;&lt;wsp:rsid wsp:val=&quot;008C11FC&quot;/&gt;&lt;wsp:rsid wsp:val=&quot;008C13B5&quot;/&gt;&lt;wsp:rsid wsp:val=&quot;008C1424&quot;/&gt;&lt;wsp:rsid wsp:val=&quot;008C149B&quot;/&gt;&lt;wsp:rsid wsp:val=&quot;008C1979&quot;/&gt;&lt;wsp:rsid wsp:val=&quot;008C1A6D&quot;/&gt;&lt;wsp:rsid wsp:val=&quot;008C1B58&quot;/&gt;&lt;wsp:rsid wsp:val=&quot;008C1C52&quot;/&gt;&lt;wsp:rsid wsp:val=&quot;008C1EE9&quot;/&gt;&lt;wsp:rsid wsp:val=&quot;008C2046&quot;/&gt;&lt;wsp:rsid wsp:val=&quot;008C219C&quot;/&gt;&lt;wsp:rsid wsp:val=&quot;008C21D3&quot;/&gt;&lt;wsp:rsid wsp:val=&quot;008C2300&quot;/&gt;&lt;wsp:rsid wsp:val=&quot;008C26DA&quot;/&gt;&lt;wsp:rsid wsp:val=&quot;008C2B08&quot;/&gt;&lt;wsp:rsid wsp:val=&quot;008C2C41&quot;/&gt;&lt;wsp:rsid wsp:val=&quot;008C31BE&quot;/&gt;&lt;wsp:rsid wsp:val=&quot;008C329F&quot;/&gt;&lt;wsp:rsid wsp:val=&quot;008C3769&quot;/&gt;&lt;wsp:rsid wsp:val=&quot;008C3CEB&quot;/&gt;&lt;wsp:rsid wsp:val=&quot;008C4195&quot;/&gt;&lt;wsp:rsid wsp:val=&quot;008C4657&quot;/&gt;&lt;wsp:rsid wsp:val=&quot;008C4B3B&quot;/&gt;&lt;wsp:rsid wsp:val=&quot;008C4EB4&quot;/&gt;&lt;wsp:rsid wsp:val=&quot;008C4F02&quot;/&gt;&lt;wsp:rsid wsp:val=&quot;008C5171&quot;/&gt;&lt;wsp:rsid wsp:val=&quot;008C51BD&quot;/&gt;&lt;wsp:rsid wsp:val=&quot;008C527E&quot;/&gt;&lt;wsp:rsid wsp:val=&quot;008C5355&quot;/&gt;&lt;wsp:rsid wsp:val=&quot;008C55B0&quot;/&gt;&lt;wsp:rsid wsp:val=&quot;008C55E4&quot;/&gt;&lt;wsp:rsid wsp:val=&quot;008C59CD&quot;/&gt;&lt;wsp:rsid wsp:val=&quot;008C5E71&quot;/&gt;&lt;wsp:rsid wsp:val=&quot;008C5F03&quot;/&gt;&lt;wsp:rsid wsp:val=&quot;008C5F2F&quot;/&gt;&lt;wsp:rsid wsp:val=&quot;008C6235&quot;/&gt;&lt;wsp:rsid wsp:val=&quot;008C62E3&quot;/&gt;&lt;wsp:rsid wsp:val=&quot;008C6542&quot;/&gt;&lt;wsp:rsid wsp:val=&quot;008C65B3&quot;/&gt;&lt;wsp:rsid wsp:val=&quot;008C6A38&quot;/&gt;&lt;wsp:rsid wsp:val=&quot;008C6B51&quot;/&gt;&lt;wsp:rsid wsp:val=&quot;008C6EA5&quot;/&gt;&lt;wsp:rsid wsp:val=&quot;008C7313&quot;/&gt;&lt;wsp:rsid wsp:val=&quot;008C738A&quot;/&gt;&lt;wsp:rsid wsp:val=&quot;008C742C&quot;/&gt;&lt;wsp:rsid wsp:val=&quot;008C751F&quot;/&gt;&lt;wsp:rsid wsp:val=&quot;008C766A&quot;/&gt;&lt;wsp:rsid wsp:val=&quot;008C76D2&quot;/&gt;&lt;wsp:rsid wsp:val=&quot;008C79BB&quot;/&gt;&lt;wsp:rsid wsp:val=&quot;008C7D30&quot;/&gt;&lt;wsp:rsid wsp:val=&quot;008C7E55&quot;/&gt;&lt;wsp:rsid wsp:val=&quot;008C7EB0&quot;/&gt;&lt;wsp:rsid wsp:val=&quot;008D0030&quot;/&gt;&lt;wsp:rsid wsp:val=&quot;008D03DB&quot;/&gt;&lt;wsp:rsid wsp:val=&quot;008D0587&quot;/&gt;&lt;wsp:rsid wsp:val=&quot;008D0776&quot;/&gt;&lt;wsp:rsid wsp:val=&quot;008D07BF&quot;/&gt;&lt;wsp:rsid wsp:val=&quot;008D08B4&quot;/&gt;&lt;wsp:rsid wsp:val=&quot;008D08F8&quot;/&gt;&lt;wsp:rsid wsp:val=&quot;008D09DA&quot;/&gt;&lt;wsp:rsid wsp:val=&quot;008D0A2E&quot;/&gt;&lt;wsp:rsid wsp:val=&quot;008D0B10&quot;/&gt;&lt;wsp:rsid wsp:val=&quot;008D0C00&quot;/&gt;&lt;wsp:rsid wsp:val=&quot;008D0C79&quot;/&gt;&lt;wsp:rsid wsp:val=&quot;008D0E5B&quot;/&gt;&lt;wsp:rsid wsp:val=&quot;008D104A&quot;/&gt;&lt;wsp:rsid wsp:val=&quot;008D1143&quot;/&gt;&lt;wsp:rsid wsp:val=&quot;008D1220&quot;/&gt;&lt;wsp:rsid wsp:val=&quot;008D1530&quot;/&gt;&lt;wsp:rsid wsp:val=&quot;008D16B1&quot;/&gt;&lt;wsp:rsid wsp:val=&quot;008D1720&quot;/&gt;&lt;wsp:rsid wsp:val=&quot;008D17D0&quot;/&gt;&lt;wsp:rsid wsp:val=&quot;008D182C&quot;/&gt;&lt;wsp:rsid wsp:val=&quot;008D1983&quot;/&gt;&lt;wsp:rsid wsp:val=&quot;008D1BDD&quot;/&gt;&lt;wsp:rsid wsp:val=&quot;008D1C32&quot;/&gt;&lt;wsp:rsid wsp:val=&quot;008D2004&quot;/&gt;&lt;wsp:rsid wsp:val=&quot;008D22EE&quot;/&gt;&lt;wsp:rsid wsp:val=&quot;008D2465&quot;/&gt;&lt;wsp:rsid wsp:val=&quot;008D2CD1&quot;/&gt;&lt;wsp:rsid wsp:val=&quot;008D315D&quot;/&gt;&lt;wsp:rsid wsp:val=&quot;008D321E&quot;/&gt;&lt;wsp:rsid wsp:val=&quot;008D3303&quot;/&gt;&lt;wsp:rsid wsp:val=&quot;008D3351&quot;/&gt;&lt;wsp:rsid wsp:val=&quot;008D3788&quot;/&gt;&lt;wsp:rsid wsp:val=&quot;008D3E99&quot;/&gt;&lt;wsp:rsid wsp:val=&quot;008D414C&quot;/&gt;&lt;wsp:rsid wsp:val=&quot;008D420B&quot;/&gt;&lt;wsp:rsid wsp:val=&quot;008D45B2&quot;/&gt;&lt;wsp:rsid wsp:val=&quot;008D4807&quot;/&gt;&lt;wsp:rsid wsp:val=&quot;008D4880&quot;/&gt;&lt;wsp:rsid wsp:val=&quot;008D492E&quot;/&gt;&lt;wsp:rsid wsp:val=&quot;008D4C1A&quot;/&gt;&lt;wsp:rsid wsp:val=&quot;008D5205&quot;/&gt;&lt;wsp:rsid wsp:val=&quot;008D5404&quot;/&gt;&lt;wsp:rsid wsp:val=&quot;008D56AF&quot;/&gt;&lt;wsp:rsid wsp:val=&quot;008D5AE9&quot;/&gt;&lt;wsp:rsid wsp:val=&quot;008D5BC9&quot;/&gt;&lt;wsp:rsid wsp:val=&quot;008D5F94&quot;/&gt;&lt;wsp:rsid wsp:val=&quot;008D68E5&quot;/&gt;&lt;wsp:rsid wsp:val=&quot;008D6C04&quot;/&gt;&lt;wsp:rsid wsp:val=&quot;008D7158&quot;/&gt;&lt;wsp:rsid wsp:val=&quot;008D7318&quot;/&gt;&lt;wsp:rsid wsp:val=&quot;008D75AE&quot;/&gt;&lt;wsp:rsid wsp:val=&quot;008D79FB&quot;/&gt;&lt;wsp:rsid wsp:val=&quot;008D7BCA&quot;/&gt;&lt;wsp:rsid wsp:val=&quot;008D7C20&quot;/&gt;&lt;wsp:rsid wsp:val=&quot;008E024B&quot;/&gt;&lt;wsp:rsid wsp:val=&quot;008E0312&quot;/&gt;&lt;wsp:rsid wsp:val=&quot;008E0942&quot;/&gt;&lt;wsp:rsid wsp:val=&quot;008E0A82&quot;/&gt;&lt;wsp:rsid wsp:val=&quot;008E0C09&quot;/&gt;&lt;wsp:rsid wsp:val=&quot;008E0C0E&quot;/&gt;&lt;wsp:rsid wsp:val=&quot;008E0E9B&quot;/&gt;&lt;wsp:rsid wsp:val=&quot;008E1588&quot;/&gt;&lt;wsp:rsid wsp:val=&quot;008E171C&quot;/&gt;&lt;wsp:rsid wsp:val=&quot;008E17C5&quot;/&gt;&lt;wsp:rsid wsp:val=&quot;008E1AEA&quot;/&gt;&lt;wsp:rsid wsp:val=&quot;008E2620&quot;/&gt;&lt;wsp:rsid wsp:val=&quot;008E29CE&quot;/&gt;&lt;wsp:rsid wsp:val=&quot;008E2EB3&quot;/&gt;&lt;wsp:rsid wsp:val=&quot;008E3189&quot;/&gt;&lt;wsp:rsid wsp:val=&quot;008E31FB&quot;/&gt;&lt;wsp:rsid wsp:val=&quot;008E32C5&quot;/&gt;&lt;wsp:rsid wsp:val=&quot;008E3B36&quot;/&gt;&lt;wsp:rsid wsp:val=&quot;008E3BFF&quot;/&gt;&lt;wsp:rsid wsp:val=&quot;008E3C06&quot;/&gt;&lt;wsp:rsid wsp:val=&quot;008E3C8B&quot;/&gt;&lt;wsp:rsid wsp:val=&quot;008E3D22&quot;/&gt;&lt;wsp:rsid wsp:val=&quot;008E4036&quot;/&gt;&lt;wsp:rsid wsp:val=&quot;008E4068&quot;/&gt;&lt;wsp:rsid wsp:val=&quot;008E449D&quot;/&gt;&lt;wsp:rsid wsp:val=&quot;008E4711&quot;/&gt;&lt;wsp:rsid wsp:val=&quot;008E4751&quot;/&gt;&lt;wsp:rsid wsp:val=&quot;008E4DEB&quot;/&gt;&lt;wsp:rsid wsp:val=&quot;008E4E45&quot;/&gt;&lt;wsp:rsid wsp:val=&quot;008E4E71&quot;/&gt;&lt;wsp:rsid wsp:val=&quot;008E4F0C&quot;/&gt;&lt;wsp:rsid wsp:val=&quot;008E5374&quot;/&gt;&lt;wsp:rsid wsp:val=&quot;008E5716&quot;/&gt;&lt;wsp:rsid wsp:val=&quot;008E5740&quot;/&gt;&lt;wsp:rsid wsp:val=&quot;008E585B&quot;/&gt;&lt;wsp:rsid wsp:val=&quot;008E5860&quot;/&gt;&lt;wsp:rsid wsp:val=&quot;008E59A4&quot;/&gt;&lt;wsp:rsid wsp:val=&quot;008E5ADD&quot;/&gt;&lt;wsp:rsid wsp:val=&quot;008E5C12&quot;/&gt;&lt;wsp:rsid wsp:val=&quot;008E5F28&quot;/&gt;&lt;wsp:rsid wsp:val=&quot;008E604E&quot;/&gt;&lt;wsp:rsid wsp:val=&quot;008E66C5&quot;/&gt;&lt;wsp:rsid wsp:val=&quot;008E69D1&quot;/&gt;&lt;wsp:rsid wsp:val=&quot;008E6AF6&quot;/&gt;&lt;wsp:rsid wsp:val=&quot;008E6B99&quot;/&gt;&lt;wsp:rsid wsp:val=&quot;008E6C98&quot;/&gt;&lt;wsp:rsid wsp:val=&quot;008E6CA6&quot;/&gt;&lt;wsp:rsid wsp:val=&quot;008E6D45&quot;/&gt;&lt;wsp:rsid wsp:val=&quot;008E7000&quot;/&gt;&lt;wsp:rsid wsp:val=&quot;008E7153&quot;/&gt;&lt;wsp:rsid wsp:val=&quot;008E71A0&quot;/&gt;&lt;wsp:rsid wsp:val=&quot;008E72C5&quot;/&gt;&lt;wsp:rsid wsp:val=&quot;008E74DC&quot;/&gt;&lt;wsp:rsid wsp:val=&quot;008E759C&quot;/&gt;&lt;wsp:rsid wsp:val=&quot;008E76B7&quot;/&gt;&lt;wsp:rsid wsp:val=&quot;008E7787&quot;/&gt;&lt;wsp:rsid wsp:val=&quot;008E78A9&quot;/&gt;&lt;wsp:rsid wsp:val=&quot;008E78D3&quot;/&gt;&lt;wsp:rsid wsp:val=&quot;008E79E0&quot;/&gt;&lt;wsp:rsid wsp:val=&quot;008E7C22&quot;/&gt;&lt;wsp:rsid wsp:val=&quot;008E7E74&quot;/&gt;&lt;wsp:rsid wsp:val=&quot;008F00D3&quot;/&gt;&lt;wsp:rsid wsp:val=&quot;008F016A&quot;/&gt;&lt;wsp:rsid wsp:val=&quot;008F01A1&quot;/&gt;&lt;wsp:rsid wsp:val=&quot;008F0399&quot;/&gt;&lt;wsp:rsid wsp:val=&quot;008F069C&quot;/&gt;&lt;wsp:rsid wsp:val=&quot;008F073A&quot;/&gt;&lt;wsp:rsid wsp:val=&quot;008F0752&quot;/&gt;&lt;wsp:rsid wsp:val=&quot;008F0782&quot;/&gt;&lt;wsp:rsid wsp:val=&quot;008F0CE0&quot;/&gt;&lt;wsp:rsid wsp:val=&quot;008F0D54&quot;/&gt;&lt;wsp:rsid wsp:val=&quot;008F104B&quot;/&gt;&lt;wsp:rsid wsp:val=&quot;008F1335&quot;/&gt;&lt;wsp:rsid wsp:val=&quot;008F135D&quot;/&gt;&lt;wsp:rsid wsp:val=&quot;008F1471&quot;/&gt;&lt;wsp:rsid wsp:val=&quot;008F169C&quot;/&gt;&lt;wsp:rsid wsp:val=&quot;008F1746&quot;/&gt;&lt;wsp:rsid wsp:val=&quot;008F17A2&quot;/&gt;&lt;wsp:rsid wsp:val=&quot;008F17C9&quot;/&gt;&lt;wsp:rsid wsp:val=&quot;008F1920&quot;/&gt;&lt;wsp:rsid wsp:val=&quot;008F1953&quot;/&gt;&lt;wsp:rsid wsp:val=&quot;008F1DF3&quot;/&gt;&lt;wsp:rsid wsp:val=&quot;008F1E99&quot;/&gt;&lt;wsp:rsid wsp:val=&quot;008F205E&quot;/&gt;&lt;wsp:rsid wsp:val=&quot;008F2182&quot;/&gt;&lt;wsp:rsid wsp:val=&quot;008F2610&quot;/&gt;&lt;wsp:rsid wsp:val=&quot;008F2893&quot;/&gt;&lt;wsp:rsid wsp:val=&quot;008F2C7A&quot;/&gt;&lt;wsp:rsid wsp:val=&quot;008F2D37&quot;/&gt;&lt;wsp:rsid wsp:val=&quot;008F2D78&quot;/&gt;&lt;wsp:rsid wsp:val=&quot;008F2DA3&quot;/&gt;&lt;wsp:rsid wsp:val=&quot;008F31CC&quot;/&gt;&lt;wsp:rsid wsp:val=&quot;008F3277&quot;/&gt;&lt;wsp:rsid wsp:val=&quot;008F349A&quot;/&gt;&lt;wsp:rsid wsp:val=&quot;008F359B&quot;/&gt;&lt;wsp:rsid wsp:val=&quot;008F3C18&quot;/&gt;&lt;wsp:rsid wsp:val=&quot;008F3E9E&quot;/&gt;&lt;wsp:rsid wsp:val=&quot;008F402A&quot;/&gt;&lt;wsp:rsid wsp:val=&quot;008F4053&quot;/&gt;&lt;wsp:rsid wsp:val=&quot;008F41C0&quot;/&gt;&lt;wsp:rsid wsp:val=&quot;008F449E&quot;/&gt;&lt;wsp:rsid wsp:val=&quot;008F4671&quot;/&gt;&lt;wsp:rsid wsp:val=&quot;008F4AB5&quot;/&gt;&lt;wsp:rsid wsp:val=&quot;008F4F0C&quot;/&gt;&lt;wsp:rsid wsp:val=&quot;008F55BC&quot;/&gt;&lt;wsp:rsid wsp:val=&quot;008F5816&quot;/&gt;&lt;wsp:rsid wsp:val=&quot;008F59B3&quot;/&gt;&lt;wsp:rsid wsp:val=&quot;008F5CEE&quot;/&gt;&lt;wsp:rsid wsp:val=&quot;008F5DA7&quot;/&gt;&lt;wsp:rsid wsp:val=&quot;008F5E07&quot;/&gt;&lt;wsp:rsid wsp:val=&quot;008F5FB7&quot;/&gt;&lt;wsp:rsid wsp:val=&quot;008F6114&quot;/&gt;&lt;wsp:rsid wsp:val=&quot;008F6256&quot;/&gt;&lt;wsp:rsid wsp:val=&quot;008F6506&quot;/&gt;&lt;wsp:rsid wsp:val=&quot;008F665F&quot;/&gt;&lt;wsp:rsid wsp:val=&quot;008F689F&quot;/&gt;&lt;wsp:rsid wsp:val=&quot;008F6968&quot;/&gt;&lt;wsp:rsid wsp:val=&quot;008F69C5&quot;/&gt;&lt;wsp:rsid wsp:val=&quot;008F6E15&quot;/&gt;&lt;wsp:rsid wsp:val=&quot;008F7025&quot;/&gt;&lt;wsp:rsid wsp:val=&quot;008F733E&quot;/&gt;&lt;wsp:rsid wsp:val=&quot;008F7963&quot;/&gt;&lt;wsp:rsid wsp:val=&quot;008F7CA8&quot;/&gt;&lt;wsp:rsid wsp:val=&quot;008F7F53&quot;/&gt;&lt;wsp:rsid wsp:val=&quot;008F7F82&quot;/&gt;&lt;wsp:rsid wsp:val=&quot;009002BC&quot;/&gt;&lt;wsp:rsid wsp:val=&quot;00900857&quot;/&gt;&lt;wsp:rsid wsp:val=&quot;0090085F&quot;/&gt;&lt;wsp:rsid wsp:val=&quot;009008E0&quot;/&gt;&lt;wsp:rsid wsp:val=&quot;00900B3A&quot;/&gt;&lt;wsp:rsid wsp:val=&quot;00900D5F&quot;/&gt;&lt;wsp:rsid wsp:val=&quot;00900E2D&quot;/&gt;&lt;wsp:rsid wsp:val=&quot;00900E6D&quot;/&gt;&lt;wsp:rsid wsp:val=&quot;00900EED&quot;/&gt;&lt;wsp:rsid wsp:val=&quot;00901207&quot;/&gt;&lt;wsp:rsid wsp:val=&quot;009014E5&quot;/&gt;&lt;wsp:rsid wsp:val=&quot;00901520&quot;/&gt;&lt;wsp:rsid wsp:val=&quot;00901A56&quot;/&gt;&lt;wsp:rsid wsp:val=&quot;00901E85&quot;/&gt;&lt;wsp:rsid wsp:val=&quot;0090218C&quot;/&gt;&lt;wsp:rsid wsp:val=&quot;00902A15&quot;/&gt;&lt;wsp:rsid wsp:val=&quot;00902CE8&quot;/&gt;&lt;wsp:rsid wsp:val=&quot;00902DCF&quot;/&gt;&lt;wsp:rsid wsp:val=&quot;00902FBF&quot;/&gt;&lt;wsp:rsid wsp:val=&quot;00903055&quot;/&gt;&lt;wsp:rsid wsp:val=&quot;0090310B&quot;/&gt;&lt;wsp:rsid wsp:val=&quot;00903353&quot;/&gt;&lt;wsp:rsid wsp:val=&quot;00903CCA&quot;/&gt;&lt;wsp:rsid wsp:val=&quot;00903CD9&quot;/&gt;&lt;wsp:rsid wsp:val=&quot;0090404B&quot;/&gt;&lt;wsp:rsid wsp:val=&quot;00904179&quot;/&gt;&lt;wsp:rsid wsp:val=&quot;00904313&quot;/&gt;&lt;wsp:rsid wsp:val=&quot;009046BD&quot;/&gt;&lt;wsp:rsid wsp:val=&quot;0090480B&quot;/&gt;&lt;wsp:rsid wsp:val=&quot;00904BC4&quot;/&gt;&lt;wsp:rsid wsp:val=&quot;00904DA6&quot;/&gt;&lt;wsp:rsid wsp:val=&quot;00904DF3&quot;/&gt;&lt;wsp:rsid wsp:val=&quot;00904E20&quot;/&gt;&lt;wsp:rsid wsp:val=&quot;00904E52&quot;/&gt;&lt;wsp:rsid wsp:val=&quot;009053B4&quot;/&gt;&lt;wsp:rsid wsp:val=&quot;009053B9&quot;/&gt;&lt;wsp:rsid wsp:val=&quot;009053C9&quot;/&gt;&lt;wsp:rsid wsp:val=&quot;00905642&quot;/&gt;&lt;wsp:rsid wsp:val=&quot;0090587F&quot;/&gt;&lt;wsp:rsid wsp:val=&quot;0090596E&quot;/&gt;&lt;wsp:rsid wsp:val=&quot;009059CE&quot;/&gt;&lt;wsp:rsid wsp:val=&quot;00905A5E&quot;/&gt;&lt;wsp:rsid wsp:val=&quot;00905B3F&quot;/&gt;&lt;wsp:rsid wsp:val=&quot;00905BBB&quot;/&gt;&lt;wsp:rsid wsp:val=&quot;009062AA&quot;/&gt;&lt;wsp:rsid wsp:val=&quot;00906447&quot;/&gt;&lt;wsp:rsid wsp:val=&quot;00906600&quot;/&gt;&lt;wsp:rsid wsp:val=&quot;0090668A&quot;/&gt;&lt;wsp:rsid wsp:val=&quot;009069EC&quot;/&gt;&lt;wsp:rsid wsp:val=&quot;00906A6A&quot;/&gt;&lt;wsp:rsid wsp:val=&quot;00906C80&quot;/&gt;&lt;wsp:rsid wsp:val=&quot;00906D4D&quot;/&gt;&lt;wsp:rsid wsp:val=&quot;009071DB&quot;/&gt;&lt;wsp:rsid wsp:val=&quot;00907289&quot;/&gt;&lt;wsp:rsid wsp:val=&quot;0090755A&quot;/&gt;&lt;wsp:rsid wsp:val=&quot;00907643&quot;/&gt;&lt;wsp:rsid wsp:val=&quot;00907822&quot;/&gt;&lt;wsp:rsid wsp:val=&quot;009079EE&quot;/&gt;&lt;wsp:rsid wsp:val=&quot;00907AE1&quot;/&gt;&lt;wsp:rsid wsp:val=&quot;00907BE6&quot;/&gt;&lt;wsp:rsid wsp:val=&quot;00907C76&quot;/&gt;&lt;wsp:rsid wsp:val=&quot;00907EAA&quot;/&gt;&lt;wsp:rsid wsp:val=&quot;00907F69&quot;/&gt;&lt;wsp:rsid wsp:val=&quot;00910098&quot;/&gt;&lt;wsp:rsid wsp:val=&quot;009100A0&quot;/&gt;&lt;wsp:rsid wsp:val=&quot;00910343&quot;/&gt;&lt;wsp:rsid wsp:val=&quot;0091052B&quot;/&gt;&lt;wsp:rsid wsp:val=&quot;0091072D&quot;/&gt;&lt;wsp:rsid wsp:val=&quot;00910AA0&quot;/&gt;&lt;wsp:rsid wsp:val=&quot;00910C21&quot;/&gt;&lt;wsp:rsid wsp:val=&quot;00910C3A&quot;/&gt;&lt;wsp:rsid wsp:val=&quot;00910D71&quot;/&gt;&lt;wsp:rsid wsp:val=&quot;00910D98&quot;/&gt;&lt;wsp:rsid wsp:val=&quot;009110E4&quot;/&gt;&lt;wsp:rsid wsp:val=&quot;009112FC&quot;/&gt;&lt;wsp:rsid wsp:val=&quot;0091179F&quot;/&gt;&lt;wsp:rsid wsp:val=&quot;009117BB&quot;/&gt;&lt;wsp:rsid wsp:val=&quot;00911DA0&quot;/&gt;&lt;wsp:rsid wsp:val=&quot;00911F88&quot;/&gt;&lt;wsp:rsid wsp:val=&quot;009121AA&quot;/&gt;&lt;wsp:rsid wsp:val=&quot;00912343&quot;/&gt;&lt;wsp:rsid wsp:val=&quot;0091235A&quot;/&gt;&lt;wsp:rsid wsp:val=&quot;0091245E&quot;/&gt;&lt;wsp:rsid wsp:val=&quot;0091254A&quot;/&gt;&lt;wsp:rsid wsp:val=&quot;00912599&quot;/&gt;&lt;wsp:rsid wsp:val=&quot;00912C58&quot;/&gt;&lt;wsp:rsid wsp:val=&quot;00912CE3&quot;/&gt;&lt;wsp:rsid wsp:val=&quot;0091310B&quot;/&gt;&lt;wsp:rsid wsp:val=&quot;0091359A&quot;/&gt;&lt;wsp:rsid wsp:val=&quot;00913600&quot;/&gt;&lt;wsp:rsid wsp:val=&quot;00913799&quot;/&gt;&lt;wsp:rsid wsp:val=&quot;00913CAB&quot;/&gt;&lt;wsp:rsid wsp:val=&quot;00913EBE&quot;/&gt;&lt;wsp:rsid wsp:val=&quot;0091403B&quot;/&gt;&lt;wsp:rsid wsp:val=&quot;00914116&quot;/&gt;&lt;wsp:rsid wsp:val=&quot;0091443C&quot;/&gt;&lt;wsp:rsid wsp:val=&quot;009144D3&quot;/&gt;&lt;wsp:rsid wsp:val=&quot;0091458B&quot;/&gt;&lt;wsp:rsid wsp:val=&quot;00914A1C&quot;/&gt;&lt;wsp:rsid wsp:val=&quot;00914B47&quot;/&gt;&lt;wsp:rsid wsp:val=&quot;00914C54&quot;/&gt;&lt;wsp:rsid wsp:val=&quot;00914D87&quot;/&gt;&lt;wsp:rsid wsp:val=&quot;00914F3B&quot;/&gt;&lt;wsp:rsid wsp:val=&quot;00914FC8&quot;/&gt;&lt;wsp:rsid wsp:val=&quot;0091510F&quot;/&gt;&lt;wsp:rsid wsp:val=&quot;009152CF&quot;/&gt;&lt;wsp:rsid wsp:val=&quot;0091579C&quot;/&gt;&lt;wsp:rsid wsp:val=&quot;00915A66&quot;/&gt;&lt;wsp:rsid wsp:val=&quot;00915F96&quot;/&gt;&lt;wsp:rsid wsp:val=&quot;00916418&quot;/&gt;&lt;wsp:rsid wsp:val=&quot;0091669E&quot;/&gt;&lt;wsp:rsid wsp:val=&quot;009166F9&quot;/&gt;&lt;wsp:rsid wsp:val=&quot;00916724&quot;/&gt;&lt;wsp:rsid wsp:val=&quot;009169B6&quot;/&gt;&lt;wsp:rsid wsp:val=&quot;00916C6F&quot;/&gt;&lt;wsp:rsid wsp:val=&quot;00916EA6&quot;/&gt;&lt;wsp:rsid wsp:val=&quot;009170BA&quot;/&gt;&lt;wsp:rsid wsp:val=&quot;00917378&quot;/&gt;&lt;wsp:rsid wsp:val=&quot;00917992&quot;/&gt;&lt;wsp:rsid wsp:val=&quot;00917BE0&quot;/&gt;&lt;wsp:rsid wsp:val=&quot;00917C62&quot;/&gt;&lt;wsp:rsid wsp:val=&quot;00917C69&quot;/&gt;&lt;wsp:rsid wsp:val=&quot;009203BC&quot;/&gt;&lt;wsp:rsid wsp:val=&quot;00920799&quot;/&gt;&lt;wsp:rsid wsp:val=&quot;00920916&quot;/&gt;&lt;wsp:rsid wsp:val=&quot;00920B34&quot;/&gt;&lt;wsp:rsid wsp:val=&quot;00920B70&quot;/&gt;&lt;wsp:rsid wsp:val=&quot;00920C7C&quot;/&gt;&lt;wsp:rsid wsp:val=&quot;00920E98&quot;/&gt;&lt;wsp:rsid wsp:val=&quot;00920F8A&quot;/&gt;&lt;wsp:rsid wsp:val=&quot;00920FF7&quot;/&gt;&lt;wsp:rsid wsp:val=&quot;009214F7&quot;/&gt;&lt;wsp:rsid wsp:val=&quot;0092170F&quot;/&gt;&lt;wsp:rsid wsp:val=&quot;00921733&quot;/&gt;&lt;wsp:rsid wsp:val=&quot;00921763&quot;/&gt;&lt;wsp:rsid wsp:val=&quot;00921794&quot;/&gt;&lt;wsp:rsid wsp:val=&quot;009217FA&quot;/&gt;&lt;wsp:rsid wsp:val=&quot;009217FD&quot;/&gt;&lt;wsp:rsid wsp:val=&quot;0092182A&quot;/&gt;&lt;wsp:rsid wsp:val=&quot;00921C29&quot;/&gt;&lt;wsp:rsid wsp:val=&quot;0092214F&quot;/&gt;&lt;wsp:rsid wsp:val=&quot;00922538&quot;/&gt;&lt;wsp:rsid wsp:val=&quot;00922765&quot;/&gt;&lt;wsp:rsid wsp:val=&quot;00922905&quot;/&gt;&lt;wsp:rsid wsp:val=&quot;009229B0&quot;/&gt;&lt;wsp:rsid wsp:val=&quot;00922C90&quot;/&gt;&lt;wsp:rsid wsp:val=&quot;00922D30&quot;/&gt;&lt;wsp:rsid wsp:val=&quot;00922FE7&quot;/&gt;&lt;wsp:rsid wsp:val=&quot;0092300D&quot;/&gt;&lt;wsp:rsid wsp:val=&quot;009230D8&quot;/&gt;&lt;wsp:rsid wsp:val=&quot;009232BB&quot;/&gt;&lt;wsp:rsid wsp:val=&quot;00923778&quot;/&gt;&lt;wsp:rsid wsp:val=&quot;00923808&quot;/&gt;&lt;wsp:rsid wsp:val=&quot;009239DF&quot;/&gt;&lt;wsp:rsid wsp:val=&quot;00923A14&quot;/&gt;&lt;wsp:rsid wsp:val=&quot;009240AD&quot;/&gt;&lt;wsp:rsid wsp:val=&quot;009242B1&quot;/&gt;&lt;wsp:rsid wsp:val=&quot;00924616&quot;/&gt;&lt;wsp:rsid wsp:val=&quot;0092465E&quot;/&gt;&lt;wsp:rsid wsp:val=&quot;00924859&quot;/&gt;&lt;wsp:rsid wsp:val=&quot;00924868&quot;/&gt;&lt;wsp:rsid wsp:val=&quot;00924938&quot;/&gt;&lt;wsp:rsid wsp:val=&quot;00924A78&quot;/&gt;&lt;wsp:rsid wsp:val=&quot;00924B09&quot;/&gt;&lt;wsp:rsid wsp:val=&quot;00924CE4&quot;/&gt;&lt;wsp:rsid wsp:val=&quot;00924E0D&quot;/&gt;&lt;wsp:rsid wsp:val=&quot;00924F0B&quot;/&gt;&lt;wsp:rsid wsp:val=&quot;00924FD2&quot;/&gt;&lt;wsp:rsid wsp:val=&quot;0092518E&quot;/&gt;&lt;wsp:rsid wsp:val=&quot;009254CF&quot;/&gt;&lt;wsp:rsid wsp:val=&quot;009255C1&quot;/&gt;&lt;wsp:rsid wsp:val=&quot;009258E2&quot;/&gt;&lt;wsp:rsid wsp:val=&quot;00925C1D&quot;/&gt;&lt;wsp:rsid wsp:val=&quot;0092600B&quot;/&gt;&lt;wsp:rsid wsp:val=&quot;009262CC&quot;/&gt;&lt;wsp:rsid wsp:val=&quot;00926623&quot;/&gt;&lt;wsp:rsid wsp:val=&quot;009268B9&quot;/&gt;&lt;wsp:rsid wsp:val=&quot;00926A18&quot;/&gt;&lt;wsp:rsid wsp:val=&quot;00927109&quot;/&gt;&lt;wsp:rsid wsp:val=&quot;00927139&quot;/&gt;&lt;wsp:rsid wsp:val=&quot;00927942&quot;/&gt;&lt;wsp:rsid wsp:val=&quot;0092796F&quot;/&gt;&lt;wsp:rsid wsp:val=&quot;00927B2E&quot;/&gt;&lt;wsp:rsid wsp:val=&quot;00927C53&quot;/&gt;&lt;wsp:rsid wsp:val=&quot;00927D26&quot;/&gt;&lt;wsp:rsid wsp:val=&quot;00927FC5&quot;/&gt;&lt;wsp:rsid wsp:val=&quot;009301ED&quot;/&gt;&lt;wsp:rsid wsp:val=&quot;00930205&quot;/&gt;&lt;wsp:rsid wsp:val=&quot;009302BE&quot;/&gt;&lt;wsp:rsid wsp:val=&quot;00930485&quot;/&gt;&lt;wsp:rsid wsp:val=&quot;009304BB&quot;/&gt;&lt;wsp:rsid wsp:val=&quot;00930789&quot;/&gt;&lt;wsp:rsid wsp:val=&quot;00930BF6&quot;/&gt;&lt;wsp:rsid wsp:val=&quot;00930D5C&quot;/&gt;&lt;wsp:rsid wsp:val=&quot;00930DC9&quot;/&gt;&lt;wsp:rsid wsp:val=&quot;00931579&quot;/&gt;&lt;wsp:rsid wsp:val=&quot;00931656&quot;/&gt;&lt;wsp:rsid wsp:val=&quot;00931A13&quot;/&gt;&lt;wsp:rsid wsp:val=&quot;00931EEE&quot;/&gt;&lt;wsp:rsid wsp:val=&quot;009322F2&quot;/&gt;&lt;wsp:rsid wsp:val=&quot;00932678&quot;/&gt;&lt;wsp:rsid wsp:val=&quot;00932DC3&quot;/&gt;&lt;wsp:rsid wsp:val=&quot;00932E0B&quot;/&gt;&lt;wsp:rsid wsp:val=&quot;00932F1B&quot;/&gt;&lt;wsp:rsid wsp:val=&quot;00933087&quot;/&gt;&lt;wsp:rsid wsp:val=&quot;009333C0&quot;/&gt;&lt;wsp:rsid wsp:val=&quot;00933509&quot;/&gt;&lt;wsp:rsid wsp:val=&quot;00933BE2&quot;/&gt;&lt;wsp:rsid wsp:val=&quot;00933ED2&quot;/&gt;&lt;wsp:rsid wsp:val=&quot;009343D3&quot;/&gt;&lt;wsp:rsid wsp:val=&quot;009345EE&quot;/&gt;&lt;wsp:rsid wsp:val=&quot;00934667&quot;/&gt;&lt;wsp:rsid wsp:val=&quot;00934706&quot;/&gt;&lt;wsp:rsid wsp:val=&quot;009347CE&quot;/&gt;&lt;wsp:rsid wsp:val=&quot;009348AE&quot;/&gt;&lt;wsp:rsid wsp:val=&quot;00934C76&quot;/&gt;&lt;wsp:rsid wsp:val=&quot;009358ED&quot;/&gt;&lt;wsp:rsid wsp:val=&quot;009359CB&quot;/&gt;&lt;wsp:rsid wsp:val=&quot;00935D27&quot;/&gt;&lt;wsp:rsid wsp:val=&quot;00935D62&quot;/&gt;&lt;wsp:rsid wsp:val=&quot;00935F8F&quot;/&gt;&lt;wsp:rsid wsp:val=&quot;009366A6&quot;/&gt;&lt;wsp:rsid wsp:val=&quot;009366C2&quot;/&gt;&lt;wsp:rsid wsp:val=&quot;009368C6&quot;/&gt;&lt;wsp:rsid wsp:val=&quot;00936993&quot;/&gt;&lt;wsp:rsid wsp:val=&quot;00936C13&quot;/&gt;&lt;wsp:rsid wsp:val=&quot;00936C89&quot;/&gt;&lt;wsp:rsid wsp:val=&quot;00936CB2&quot;/&gt;&lt;wsp:rsid wsp:val=&quot;00936DF5&quot;/&gt;&lt;wsp:rsid wsp:val=&quot;009374D5&quot;/&gt;&lt;wsp:rsid wsp:val=&quot;00937661&quot;/&gt;&lt;wsp:rsid wsp:val=&quot;009376A3&quot;/&gt;&lt;wsp:rsid wsp:val=&quot;00937B12&quot;/&gt;&lt;wsp:rsid wsp:val=&quot;00937B67&quot;/&gt;&lt;wsp:rsid wsp:val=&quot;00937DF4&quot;/&gt;&lt;wsp:rsid wsp:val=&quot;00937E4A&quot;/&gt;&lt;wsp:rsid wsp:val=&quot;00937E4C&quot;/&gt;&lt;wsp:rsid wsp:val=&quot;00940707&quot;/&gt;&lt;wsp:rsid wsp:val=&quot;009409E6&quot;/&gt;&lt;wsp:rsid wsp:val=&quot;00940A15&quot;/&gt;&lt;wsp:rsid wsp:val=&quot;00940BAE&quot;/&gt;&lt;wsp:rsid wsp:val=&quot;00940CBD&quot;/&gt;&lt;wsp:rsid wsp:val=&quot;00940E87&quot;/&gt;&lt;wsp:rsid wsp:val=&quot;0094141D&quot;/&gt;&lt;wsp:rsid wsp:val=&quot;0094164D&quot;/&gt;&lt;wsp:rsid wsp:val=&quot;009417DF&quot;/&gt;&lt;wsp:rsid wsp:val=&quot;00941994&quot;/&gt;&lt;wsp:rsid wsp:val=&quot;00941BC9&quot;/&gt;&lt;wsp:rsid wsp:val=&quot;00941C2F&quot;/&gt;&lt;wsp:rsid wsp:val=&quot;00941CF5&quot;/&gt;&lt;wsp:rsid wsp:val=&quot;00942155&quot;/&gt;&lt;wsp:rsid wsp:val=&quot;00942194&quot;/&gt;&lt;wsp:rsid wsp:val=&quot;00942397&quot;/&gt;&lt;wsp:rsid wsp:val=&quot;0094272A&quot;/&gt;&lt;wsp:rsid wsp:val=&quot;009428C5&quot;/&gt;&lt;wsp:rsid wsp:val=&quot;009428F7&quot;/&gt;&lt;wsp:rsid wsp:val=&quot;00942C18&quot;/&gt;&lt;wsp:rsid wsp:val=&quot;00942CAD&quot;/&gt;&lt;wsp:rsid wsp:val=&quot;0094307A&quot;/&gt;&lt;wsp:rsid wsp:val=&quot;00943084&quot;/&gt;&lt;wsp:rsid wsp:val=&quot;0094313A&quot;/&gt;&lt;wsp:rsid wsp:val=&quot;009433F0&quot;/&gt;&lt;wsp:rsid wsp:val=&quot;009436AC&quot;/&gt;&lt;wsp:rsid wsp:val=&quot;009438A1&quot;/&gt;&lt;wsp:rsid wsp:val=&quot;00943A75&quot;/&gt;&lt;wsp:rsid wsp:val=&quot;00943C19&quot;/&gt;&lt;wsp:rsid wsp:val=&quot;00943D23&quot;/&gt;&lt;wsp:rsid wsp:val=&quot;00943ED0&quot;/&gt;&lt;wsp:rsid wsp:val=&quot;009440EF&quot;/&gt;&lt;wsp:rsid wsp:val=&quot;009442B1&quot;/&gt;&lt;wsp:rsid wsp:val=&quot;009443A7&quot;/&gt;&lt;wsp:rsid wsp:val=&quot;009444EB&quot;/&gt;&lt;wsp:rsid wsp:val=&quot;009448F9&quot;/&gt;&lt;wsp:rsid wsp:val=&quot;00944927&quot;/&gt;&lt;wsp:rsid wsp:val=&quot;00944A3D&quot;/&gt;&lt;wsp:rsid wsp:val=&quot;00944D01&quot;/&gt;&lt;wsp:rsid wsp:val=&quot;00944E12&quot;/&gt;&lt;wsp:rsid wsp:val=&quot;00944E52&quot;/&gt;&lt;wsp:rsid wsp:val=&quot;00944F16&quot;/&gt;&lt;wsp:rsid wsp:val=&quot;00944FB0&quot;/&gt;&lt;wsp:rsid wsp:val=&quot;0094542E&quot;/&gt;&lt;wsp:rsid wsp:val=&quot;0094590E&quot;/&gt;&lt;wsp:rsid wsp:val=&quot;009459BC&quot;/&gt;&lt;wsp:rsid wsp:val=&quot;00946477&quot;/&gt;&lt;wsp:rsid wsp:val=&quot;00946524&quot;/&gt;&lt;wsp:rsid wsp:val=&quot;00946621&quot;/&gt;&lt;wsp:rsid wsp:val=&quot;009466D5&quot;/&gt;&lt;wsp:rsid wsp:val=&quot;0094670B&quot;/&gt;&lt;wsp:rsid wsp:val=&quot;00946CF1&quot;/&gt;&lt;wsp:rsid wsp:val=&quot;00946D62&quot;/&gt;&lt;wsp:rsid wsp:val=&quot;00946F0A&quot;/&gt;&lt;wsp:rsid wsp:val=&quot;0094733E&quot;/&gt;&lt;wsp:rsid wsp:val=&quot;0094739D&quot;/&gt;&lt;wsp:rsid wsp:val=&quot;0094750D&quot;/&gt;&lt;wsp:rsid wsp:val=&quot;00947519&quot;/&gt;&lt;wsp:rsid wsp:val=&quot;009477BA&quot;/&gt;&lt;wsp:rsid wsp:val=&quot;00947A3C&quot;/&gt;&lt;wsp:rsid wsp:val=&quot;00947A86&quot;/&gt;&lt;wsp:rsid wsp:val=&quot;00947C50&quot;/&gt;&lt;wsp:rsid wsp:val=&quot;00947D28&quot;/&gt;&lt;wsp:rsid wsp:val=&quot;00947E9C&quot;/&gt;&lt;wsp:rsid wsp:val=&quot;009500E2&quot;/&gt;&lt;wsp:rsid wsp:val=&quot;009500F1&quot;/&gt;&lt;wsp:rsid wsp:val=&quot;0095013C&quot;/&gt;&lt;wsp:rsid wsp:val=&quot;009505A8&quot;/&gt;&lt;wsp:rsid wsp:val=&quot;00950684&quot;/&gt;&lt;wsp:rsid wsp:val=&quot;00950770&quot;/&gt;&lt;wsp:rsid wsp:val=&quot;0095077F&quot;/&gt;&lt;wsp:rsid wsp:val=&quot;00950E26&quot;/&gt;&lt;wsp:rsid wsp:val=&quot;00950E5D&quot;/&gt;&lt;wsp:rsid wsp:val=&quot;009512EA&quot;/&gt;&lt;wsp:rsid wsp:val=&quot;009515EB&quot;/&gt;&lt;wsp:rsid wsp:val=&quot;00951758&quot;/&gt;&lt;wsp:rsid wsp:val=&quot;0095208A&quot;/&gt;&lt;wsp:rsid wsp:val=&quot;00952216&quot;/&gt;&lt;wsp:rsid wsp:val=&quot;0095242E&quot;/&gt;&lt;wsp:rsid wsp:val=&quot;0095249B&quot;/&gt;&lt;wsp:rsid wsp:val=&quot;0095298C&quot;/&gt;&lt;wsp:rsid wsp:val=&quot;009529F3&quot;/&gt;&lt;wsp:rsid wsp:val=&quot;00952A3B&quot;/&gt;&lt;wsp:rsid wsp:val=&quot;00952B3A&quot;/&gt;&lt;wsp:rsid wsp:val=&quot;00952BFB&quot;/&gt;&lt;wsp:rsid wsp:val=&quot;00952C06&quot;/&gt;&lt;wsp:rsid wsp:val=&quot;00953439&quot;/&gt;&lt;wsp:rsid wsp:val=&quot;00953472&quot;/&gt;&lt;wsp:rsid wsp:val=&quot;009538A1&quot;/&gt;&lt;wsp:rsid wsp:val=&quot;00953B5B&quot;/&gt;&lt;wsp:rsid wsp:val=&quot;00953B83&quot;/&gt;&lt;wsp:rsid wsp:val=&quot;00953E55&quot;/&gt;&lt;wsp:rsid wsp:val=&quot;00953FFC&quot;/&gt;&lt;wsp:rsid wsp:val=&quot;009544F5&quot;/&gt;&lt;wsp:rsid wsp:val=&quot;0095455E&quot;/&gt;&lt;wsp:rsid wsp:val=&quot;00954B9C&quot;/&gt;&lt;wsp:rsid wsp:val=&quot;00955067&quot;/&gt;&lt;wsp:rsid wsp:val=&quot;00955313&quot;/&gt;&lt;wsp:rsid wsp:val=&quot;009554B6&quot;/&gt;&lt;wsp:rsid wsp:val=&quot;009555F7&quot;/&gt;&lt;wsp:rsid wsp:val=&quot;0095569E&quot;/&gt;&lt;wsp:rsid wsp:val=&quot;009556CD&quot;/&gt;&lt;wsp:rsid wsp:val=&quot;00955715&quot;/&gt;&lt;wsp:rsid wsp:val=&quot;00955888&quot;/&gt;&lt;wsp:rsid wsp:val=&quot;00955FC1&quot;/&gt;&lt;wsp:rsid wsp:val=&quot;009560C8&quot;/&gt;&lt;wsp:rsid wsp:val=&quot;009562B3&quot;/&gt;&lt;wsp:rsid wsp:val=&quot;009563A0&quot;/&gt;&lt;wsp:rsid wsp:val=&quot;009565D5&quot;/&gt;&lt;wsp:rsid wsp:val=&quot;00956821&quot;/&gt;&lt;wsp:rsid wsp:val=&quot;00956921&quot;/&gt;&lt;wsp:rsid wsp:val=&quot;00956D99&quot;/&gt;&lt;wsp:rsid wsp:val=&quot;00956E79&quot;/&gt;&lt;wsp:rsid wsp:val=&quot;009577B2&quot;/&gt;&lt;wsp:rsid wsp:val=&quot;00957AA6&quot;/&gt;&lt;wsp:rsid wsp:val=&quot;00957D60&quot;/&gt;&lt;wsp:rsid wsp:val=&quot;00957E9A&quot;/&gt;&lt;wsp:rsid wsp:val=&quot;00957F23&quot;/&gt;&lt;wsp:rsid wsp:val=&quot;0096032E&quot;/&gt;&lt;wsp:rsid wsp:val=&quot;009603F1&quot;/&gt;&lt;wsp:rsid wsp:val=&quot;0096045B&quot;/&gt;&lt;wsp:rsid wsp:val=&quot;009604C2&quot;/&gt;&lt;wsp:rsid wsp:val=&quot;009605B7&quot;/&gt;&lt;wsp:rsid wsp:val=&quot;00960640&quot;/&gt;&lt;wsp:rsid wsp:val=&quot;0096072F&quot;/&gt;&lt;wsp:rsid wsp:val=&quot;00960975&quot;/&gt;&lt;wsp:rsid wsp:val=&quot;00960DA7&quot;/&gt;&lt;wsp:rsid wsp:val=&quot;00960EDE&quot;/&gt;&lt;wsp:rsid wsp:val=&quot;00960FC5&quot;/&gt;&lt;wsp:rsid wsp:val=&quot;009611C8&quot;/&gt;&lt;wsp:rsid wsp:val=&quot;009614FA&quot;/&gt;&lt;wsp:rsid wsp:val=&quot;00961AC1&quot;/&gt;&lt;wsp:rsid wsp:val=&quot;00961CB9&quot;/&gt;&lt;wsp:rsid wsp:val=&quot;00961F3D&quot;/&gt;&lt;wsp:rsid wsp:val=&quot;00961FF6&quot;/&gt;&lt;wsp:rsid wsp:val=&quot;00962264&quot;/&gt;&lt;wsp:rsid wsp:val=&quot;0096232A&quot;/&gt;&lt;wsp:rsid wsp:val=&quot;009624C5&quot;/&gt;&lt;wsp:rsid wsp:val=&quot;0096270E&quot;/&gt;&lt;wsp:rsid wsp:val=&quot;00962E4F&quot;/&gt;&lt;wsp:rsid wsp:val=&quot;00962E67&quot;/&gt;&lt;wsp:rsid wsp:val=&quot;00962F00&quot;/&gt;&lt;wsp:rsid wsp:val=&quot;0096316A&quot;/&gt;&lt;wsp:rsid wsp:val=&quot;009631BC&quot;/&gt;&lt;wsp:rsid wsp:val=&quot;009631CE&quot;/&gt;&lt;wsp:rsid wsp:val=&quot;0096332A&quot;/&gt;&lt;wsp:rsid wsp:val=&quot;00963574&quot;/&gt;&lt;wsp:rsid wsp:val=&quot;0096389F&quot;/&gt;&lt;wsp:rsid wsp:val=&quot;00963A67&quot;/&gt;&lt;wsp:rsid wsp:val=&quot;00963A91&quot;/&gt;&lt;wsp:rsid wsp:val=&quot;00963E2A&quot;/&gt;&lt;wsp:rsid wsp:val=&quot;009641F3&quot;/&gt;&lt;wsp:rsid wsp:val=&quot;0096422A&quot;/&gt;&lt;wsp:rsid wsp:val=&quot;00964334&quot;/&gt;&lt;wsp:rsid wsp:val=&quot;009644DE&quot;/&gt;&lt;wsp:rsid wsp:val=&quot;009645D8&quot;/&gt;&lt;wsp:rsid wsp:val=&quot;0096497D&quot;/&gt;&lt;wsp:rsid wsp:val=&quot;00964D36&quot;/&gt;&lt;wsp:rsid wsp:val=&quot;00964F27&quot;/&gt;&lt;wsp:rsid wsp:val=&quot;00965008&quot;/&gt;&lt;wsp:rsid wsp:val=&quot;00965218&quot;/&gt;&lt;wsp:rsid wsp:val=&quot;00965219&quot;/&gt;&lt;wsp:rsid wsp:val=&quot;00965488&quot;/&gt;&lt;wsp:rsid wsp:val=&quot;00965960&quot;/&gt;&lt;wsp:rsid wsp:val=&quot;00965F03&quot;/&gt;&lt;wsp:rsid wsp:val=&quot;00966416&quot;/&gt;&lt;wsp:rsid wsp:val=&quot;00966578&quot;/&gt;&lt;wsp:rsid wsp:val=&quot;00966F6F&quot;/&gt;&lt;wsp:rsid wsp:val=&quot;00967041&quot;/&gt;&lt;wsp:rsid wsp:val=&quot;009672F1&quot;/&gt;&lt;wsp:rsid wsp:val=&quot;00967311&quot;/&gt;&lt;wsp:rsid wsp:val=&quot;009673D4&quot;/&gt;&lt;wsp:rsid wsp:val=&quot;009673DF&quot;/&gt;&lt;wsp:rsid wsp:val=&quot;00967550&quot;/&gt;&lt;wsp:rsid wsp:val=&quot;0096757F&quot;/&gt;&lt;wsp:rsid wsp:val=&quot;009676CF&quot;/&gt;&lt;wsp:rsid wsp:val=&quot;0096789F&quot;/&gt;&lt;wsp:rsid wsp:val=&quot;009678BD&quot;/&gt;&lt;wsp:rsid wsp:val=&quot;009679BF&quot;/&gt;&lt;wsp:rsid wsp:val=&quot;00967D07&quot;/&gt;&lt;wsp:rsid wsp:val=&quot;00970829&quot;/&gt;&lt;wsp:rsid wsp:val=&quot;0097090F&quot;/&gt;&lt;wsp:rsid wsp:val=&quot;00970F46&quot;/&gt;&lt;wsp:rsid wsp:val=&quot;00971026&quot;/&gt;&lt;wsp:rsid wsp:val=&quot;00971120&quot;/&gt;&lt;wsp:rsid wsp:val=&quot;009711D4&quot;/&gt;&lt;wsp:rsid wsp:val=&quot;0097148A&quot;/&gt;&lt;wsp:rsid wsp:val=&quot;00971525&quot;/&gt;&lt;wsp:rsid wsp:val=&quot;0097197C&quot;/&gt;&lt;wsp:rsid wsp:val=&quot;00971985&quot;/&gt;&lt;wsp:rsid wsp:val=&quot;009719A5&quot;/&gt;&lt;wsp:rsid wsp:val=&quot;00971E55&quot;/&gt;&lt;wsp:rsid wsp:val=&quot;009722B5&quot;/&gt;&lt;wsp:rsid wsp:val=&quot;00972334&quot;/&gt;&lt;wsp:rsid wsp:val=&quot;0097258E&quot;/&gt;&lt;wsp:rsid wsp:val=&quot;0097293F&quot;/&gt;&lt;wsp:rsid wsp:val=&quot;00972B30&quot;/&gt;&lt;wsp:rsid wsp:val=&quot;00972FBF&quot;/&gt;&lt;wsp:rsid wsp:val=&quot;00972FCF&quot;/&gt;&lt;wsp:rsid wsp:val=&quot;00973268&quot;/&gt;&lt;wsp:rsid wsp:val=&quot;009733A7&quot;/&gt;&lt;wsp:rsid wsp:val=&quot;00973730&quot;/&gt;&lt;wsp:rsid wsp:val=&quot;009738F8&quot;/&gt;&lt;wsp:rsid wsp:val=&quot;00973D1A&quot;/&gt;&lt;wsp:rsid wsp:val=&quot;00973E75&quot;/&gt;&lt;wsp:rsid wsp:val=&quot;00973E9D&quot;/&gt;&lt;wsp:rsid wsp:val=&quot;009742CF&quot;/&gt;&lt;wsp:rsid wsp:val=&quot;00974314&quot;/&gt;&lt;wsp:rsid wsp:val=&quot;00974374&quot;/&gt;&lt;wsp:rsid wsp:val=&quot;0097448E&quot;/&gt;&lt;wsp:rsid wsp:val=&quot;00974A66&quot;/&gt;&lt;wsp:rsid wsp:val=&quot;00974CDF&quot;/&gt;&lt;wsp:rsid wsp:val=&quot;00974D29&quot;/&gt;&lt;wsp:rsid wsp:val=&quot;00974E1A&quot;/&gt;&lt;wsp:rsid wsp:val=&quot;00975057&quot;/&gt;&lt;wsp:rsid wsp:val=&quot;009750C8&quot;/&gt;&lt;wsp:rsid wsp:val=&quot;00975677&quot;/&gt;&lt;wsp:rsid wsp:val=&quot;009758AB&quot;/&gt;&lt;wsp:rsid wsp:val=&quot;009758DB&quot;/&gt;&lt;wsp:rsid wsp:val=&quot;00976307&quot;/&gt;&lt;wsp:rsid wsp:val=&quot;009763AC&quot;/&gt;&lt;wsp:rsid wsp:val=&quot;00976423&quot;/&gt;&lt;wsp:rsid wsp:val=&quot;00976516&quot;/&gt;&lt;wsp:rsid wsp:val=&quot;0097652D&quot;/&gt;&lt;wsp:rsid wsp:val=&quot;00976705&quot;/&gt;&lt;wsp:rsid wsp:val=&quot;00976730&quot;/&gt;&lt;wsp:rsid wsp:val=&quot;00976F10&quot;/&gt;&lt;wsp:rsid wsp:val=&quot;00976F8D&quot;/&gt;&lt;wsp:rsid wsp:val=&quot;00977047&quot;/&gt;&lt;wsp:rsid wsp:val=&quot;00977099&quot;/&gt;&lt;wsp:rsid wsp:val=&quot;009775ED&quot;/&gt;&lt;wsp:rsid wsp:val=&quot;00977700&quot;/&gt;&lt;wsp:rsid wsp:val=&quot;00977945&quot;/&gt;&lt;wsp:rsid wsp:val=&quot;00977B8C&quot;/&gt;&lt;wsp:rsid wsp:val=&quot;00977C33&quot;/&gt;&lt;wsp:rsid wsp:val=&quot;00977CAC&quot;/&gt;&lt;wsp:rsid wsp:val=&quot;00977CE0&quot;/&gt;&lt;wsp:rsid wsp:val=&quot;00977DD7&quot;/&gt;&lt;wsp:rsid wsp:val=&quot;00977FAF&quot;/&gt;&lt;wsp:rsid wsp:val=&quot;009800F0&quot;/&gt;&lt;wsp:rsid wsp:val=&quot;009802E6&quot;/&gt;&lt;wsp:rsid wsp:val=&quot;0098035C&quot;/&gt;&lt;wsp:rsid wsp:val=&quot;009807D5&quot;/&gt;&lt;wsp:rsid wsp:val=&quot;009809AD&quot;/&gt;&lt;wsp:rsid wsp:val=&quot;00980A70&quot;/&gt;&lt;wsp:rsid wsp:val=&quot;00980B9C&quot;/&gt;&lt;wsp:rsid wsp:val=&quot;00980DE5&quot;/&gt;&lt;wsp:rsid wsp:val=&quot;00981203&quot;/&gt;&lt;wsp:rsid wsp:val=&quot;00981745&quot;/&gt;&lt;wsp:rsid wsp:val=&quot;0098176A&quot;/&gt;&lt;wsp:rsid wsp:val=&quot;0098176E&quot;/&gt;&lt;wsp:rsid wsp:val=&quot;00981B03&quot;/&gt;&lt;wsp:rsid wsp:val=&quot;00981D0B&quot;/&gt;&lt;wsp:rsid wsp:val=&quot;00981D47&quot;/&gt;&lt;wsp:rsid wsp:val=&quot;00981FF6&quot;/&gt;&lt;wsp:rsid wsp:val=&quot;00982133&quot;/&gt;&lt;wsp:rsid wsp:val=&quot;0098252D&quot;/&gt;&lt;wsp:rsid wsp:val=&quot;00982624&quot;/&gt;&lt;wsp:rsid wsp:val=&quot;009829E1&quot;/&gt;&lt;wsp:rsid wsp:val=&quot;00982C0E&quot;/&gt;&lt;wsp:rsid wsp:val=&quot;00982F63&quot;/&gt;&lt;wsp:rsid wsp:val=&quot;00982F9E&quot;/&gt;&lt;wsp:rsid wsp:val=&quot;0098388F&quot;/&gt;&lt;wsp:rsid wsp:val=&quot;009838DC&quot;/&gt;&lt;wsp:rsid wsp:val=&quot;00983943&quot;/&gt;&lt;wsp:rsid wsp:val=&quot;00983DED&quot;/&gt;&lt;wsp:rsid wsp:val=&quot;00983EF7&quot;/&gt;&lt;wsp:rsid wsp:val=&quot;00984288&quot;/&gt;&lt;wsp:rsid wsp:val=&quot;009842F6&quot;/&gt;&lt;wsp:rsid wsp:val=&quot;00984308&quot;/&gt;&lt;wsp:rsid wsp:val=&quot;0098437E&quot;/&gt;&lt;wsp:rsid wsp:val=&quot;009843F8&quot;/&gt;&lt;wsp:rsid wsp:val=&quot;00984561&quot;/&gt;&lt;wsp:rsid wsp:val=&quot;00984691&quot;/&gt;&lt;wsp:rsid wsp:val=&quot;0098470C&quot;/&gt;&lt;wsp:rsid wsp:val=&quot;00984A3B&quot;/&gt;&lt;wsp:rsid wsp:val=&quot;00984BB2&quot;/&gt;&lt;wsp:rsid wsp:val=&quot;00984EDB&quot;/&gt;&lt;wsp:rsid wsp:val=&quot;0098506E&quot;/&gt;&lt;wsp:rsid wsp:val=&quot;00985101&quot;/&gt;&lt;wsp:rsid wsp:val=&quot;009852DF&quot;/&gt;&lt;wsp:rsid wsp:val=&quot;00985335&quot;/&gt;&lt;wsp:rsid wsp:val=&quot;00985735&quot;/&gt;&lt;wsp:rsid wsp:val=&quot;00985C62&quot;/&gt;&lt;wsp:rsid wsp:val=&quot;00985C68&quot;/&gt;&lt;wsp:rsid wsp:val=&quot;00985CEC&quot;/&gt;&lt;wsp:rsid wsp:val=&quot;00986830&quot;/&gt;&lt;wsp:rsid wsp:val=&quot;00986888&quot;/&gt;&lt;wsp:rsid wsp:val=&quot;009869AB&quot;/&gt;&lt;wsp:rsid wsp:val=&quot;00986ECE&quot;/&gt;&lt;wsp:rsid wsp:val=&quot;00987097&quot;/&gt;&lt;wsp:rsid wsp:val=&quot;009870FB&quot;/&gt;&lt;wsp:rsid wsp:val=&quot;00987110&quot;/&gt;&lt;wsp:rsid wsp:val=&quot;009872CE&quot;/&gt;&lt;wsp:rsid wsp:val=&quot;009878FD&quot;/&gt;&lt;wsp:rsid wsp:val=&quot;00987BD5&quot;/&gt;&lt;wsp:rsid wsp:val=&quot;00987C00&quot;/&gt;&lt;wsp:rsid wsp:val=&quot;00987CDC&quot;/&gt;&lt;wsp:rsid wsp:val=&quot;0099021A&quot;/&gt;&lt;wsp:rsid wsp:val=&quot;009902D7&quot;/&gt;&lt;wsp:rsid wsp:val=&quot;0099033F&quot;/&gt;&lt;wsp:rsid wsp:val=&quot;00990487&quot;/&gt;&lt;wsp:rsid wsp:val=&quot;0099058F&quot;/&gt;&lt;wsp:rsid wsp:val=&quot;009905C9&quot;/&gt;&lt;wsp:rsid wsp:val=&quot;009905CC&quot;/&gt;&lt;wsp:rsid wsp:val=&quot;0099083E&quot;/&gt;&lt;wsp:rsid wsp:val=&quot;00990E6A&quot;/&gt;&lt;wsp:rsid wsp:val=&quot;00990E8E&quot;/&gt;&lt;wsp:rsid wsp:val=&quot;00991246&quot;/&gt;&lt;wsp:rsid wsp:val=&quot;00991459&quot;/&gt;&lt;wsp:rsid wsp:val=&quot;00991852&quot;/&gt;&lt;wsp:rsid wsp:val=&quot;00991D06&quot;/&gt;&lt;wsp:rsid wsp:val=&quot;009922C2&quot;/&gt;&lt;wsp:rsid wsp:val=&quot;009923F2&quot;/&gt;&lt;wsp:rsid wsp:val=&quot;00992555&quot;/&gt;&lt;wsp:rsid wsp:val=&quot;0099257D&quot;/&gt;&lt;wsp:rsid wsp:val=&quot;00992942&quot;/&gt;&lt;wsp:rsid wsp:val=&quot;00992A92&quot;/&gt;&lt;wsp:rsid wsp:val=&quot;00992B0A&quot;/&gt;&lt;wsp:rsid wsp:val=&quot;00992C56&quot;/&gt;&lt;wsp:rsid wsp:val=&quot;00992D37&quot;/&gt;&lt;wsp:rsid wsp:val=&quot;00992DA9&quot;/&gt;&lt;wsp:rsid wsp:val=&quot;00993033&quot;/&gt;&lt;wsp:rsid wsp:val=&quot;009930DC&quot;/&gt;&lt;wsp:rsid wsp:val=&quot;00993115&quot;/&gt;&lt;wsp:rsid wsp:val=&quot;009933C8&quot;/&gt;&lt;wsp:rsid wsp:val=&quot;00993876&quot;/&gt;&lt;wsp:rsid wsp:val=&quot;00993DEF&quot;/&gt;&lt;wsp:rsid wsp:val=&quot;00993DF5&quot;/&gt;&lt;wsp:rsid wsp:val=&quot;009941D7&quot;/&gt;&lt;wsp:rsid wsp:val=&quot;009941D8&quot;/&gt;&lt;wsp:rsid wsp:val=&quot;009942C8&quot;/&gt;&lt;wsp:rsid wsp:val=&quot;00994734&quot;/&gt;&lt;wsp:rsid wsp:val=&quot;00994755&quot;/&gt;&lt;wsp:rsid wsp:val=&quot;009947FC&quot;/&gt;&lt;wsp:rsid wsp:val=&quot;009948AD&quot;/&gt;&lt;wsp:rsid wsp:val=&quot;00994C52&quot;/&gt;&lt;wsp:rsid wsp:val=&quot;00994C96&quot;/&gt;&lt;wsp:rsid wsp:val=&quot;00995037&quot;/&gt;&lt;wsp:rsid wsp:val=&quot;00995460&quot;/&gt;&lt;wsp:rsid wsp:val=&quot;00995570&quot;/&gt;&lt;wsp:rsid wsp:val=&quot;00995797&quot;/&gt;&lt;wsp:rsid wsp:val=&quot;009959E7&quot;/&gt;&lt;wsp:rsid wsp:val=&quot;00995BDC&quot;/&gt;&lt;wsp:rsid wsp:val=&quot;00996307&quot;/&gt;&lt;wsp:rsid wsp:val=&quot;00996694&quot;/&gt;&lt;wsp:rsid wsp:val=&quot;009969D9&quot;/&gt;&lt;wsp:rsid wsp:val=&quot;00996D36&quot;/&gt;&lt;wsp:rsid wsp:val=&quot;00996D7D&quot;/&gt;&lt;wsp:rsid wsp:val=&quot;00996F65&quot;/&gt;&lt;wsp:rsid wsp:val=&quot;00997046&quot;/&gt;&lt;wsp:rsid wsp:val=&quot;00997175&quot;/&gt;&lt;wsp:rsid wsp:val=&quot;009975CC&quot;/&gt;&lt;wsp:rsid wsp:val=&quot;00997613&quot;/&gt;&lt;wsp:rsid wsp:val=&quot;00997F74&quot;/&gt;&lt;wsp:rsid wsp:val=&quot;009A00A2&quot;/&gt;&lt;wsp:rsid wsp:val=&quot;009A0655&quot;/&gt;&lt;wsp:rsid wsp:val=&quot;009A0892&quot;/&gt;&lt;wsp:rsid wsp:val=&quot;009A0AD8&quot;/&gt;&lt;wsp:rsid wsp:val=&quot;009A0DE5&quot;/&gt;&lt;wsp:rsid wsp:val=&quot;009A1191&quot;/&gt;&lt;wsp:rsid wsp:val=&quot;009A11AA&quot;/&gt;&lt;wsp:rsid wsp:val=&quot;009A1342&quot;/&gt;&lt;wsp:rsid wsp:val=&quot;009A14A5&quot;/&gt;&lt;wsp:rsid wsp:val=&quot;009A14CE&quot;/&gt;&lt;wsp:rsid wsp:val=&quot;009A1641&quot;/&gt;&lt;wsp:rsid wsp:val=&quot;009A1699&quot;/&gt;&lt;wsp:rsid wsp:val=&quot;009A1927&quot;/&gt;&lt;wsp:rsid wsp:val=&quot;009A1994&quot;/&gt;&lt;wsp:rsid wsp:val=&quot;009A1998&quot;/&gt;&lt;wsp:rsid wsp:val=&quot;009A1C03&quot;/&gt;&lt;wsp:rsid wsp:val=&quot;009A1E9D&quot;/&gt;&lt;wsp:rsid wsp:val=&quot;009A2028&quot;/&gt;&lt;wsp:rsid wsp:val=&quot;009A2032&quot;/&gt;&lt;wsp:rsid wsp:val=&quot;009A227C&quot;/&gt;&lt;wsp:rsid wsp:val=&quot;009A22F6&quot;/&gt;&lt;wsp:rsid wsp:val=&quot;009A26D4&quot;/&gt;&lt;wsp:rsid wsp:val=&quot;009A281D&quot;/&gt;&lt;wsp:rsid wsp:val=&quot;009A28F3&quot;/&gt;&lt;wsp:rsid wsp:val=&quot;009A2966&quot;/&gt;&lt;wsp:rsid wsp:val=&quot;009A29ED&quot;/&gt;&lt;wsp:rsid wsp:val=&quot;009A2E40&quot;/&gt;&lt;wsp:rsid wsp:val=&quot;009A2F97&quot;/&gt;&lt;wsp:rsid wsp:val=&quot;009A31A2&quot;/&gt;&lt;wsp:rsid wsp:val=&quot;009A31CC&quot;/&gt;&lt;wsp:rsid wsp:val=&quot;009A332F&quot;/&gt;&lt;wsp:rsid wsp:val=&quot;009A3645&quot;/&gt;&lt;wsp:rsid wsp:val=&quot;009A36DD&quot;/&gt;&lt;wsp:rsid wsp:val=&quot;009A3C9E&quot;/&gt;&lt;wsp:rsid wsp:val=&quot;009A40A5&quot;/&gt;&lt;wsp:rsid wsp:val=&quot;009A410D&quot;/&gt;&lt;wsp:rsid wsp:val=&quot;009A4437&quot;/&gt;&lt;wsp:rsid wsp:val=&quot;009A4697&quot;/&gt;&lt;wsp:rsid wsp:val=&quot;009A469B&quot;/&gt;&lt;wsp:rsid wsp:val=&quot;009A481A&quot;/&gt;&lt;wsp:rsid wsp:val=&quot;009A486B&quot;/&gt;&lt;wsp:rsid wsp:val=&quot;009A4991&quot;/&gt;&lt;wsp:rsid wsp:val=&quot;009A4E8C&quot;/&gt;&lt;wsp:rsid wsp:val=&quot;009A4FE5&quot;/&gt;&lt;wsp:rsid wsp:val=&quot;009A5045&quot;/&gt;&lt;wsp:rsid wsp:val=&quot;009A528B&quot;/&gt;&lt;wsp:rsid wsp:val=&quot;009A53DA&quot;/&gt;&lt;wsp:rsid wsp:val=&quot;009A56BE&quot;/&gt;&lt;wsp:rsid wsp:val=&quot;009A5927&quot;/&gt;&lt;wsp:rsid wsp:val=&quot;009A5A41&quot;/&gt;&lt;wsp:rsid wsp:val=&quot;009A5C42&quot;/&gt;&lt;wsp:rsid wsp:val=&quot;009A5D9C&quot;/&gt;&lt;wsp:rsid wsp:val=&quot;009A5DB4&quot;/&gt;&lt;wsp:rsid wsp:val=&quot;009A5FD5&quot;/&gt;&lt;wsp:rsid wsp:val=&quot;009A6181&quot;/&gt;&lt;wsp:rsid wsp:val=&quot;009A6481&quot;/&gt;&lt;wsp:rsid wsp:val=&quot;009A6528&quot;/&gt;&lt;wsp:rsid wsp:val=&quot;009A713A&quot;/&gt;&lt;wsp:rsid wsp:val=&quot;009A718C&quot;/&gt;&lt;wsp:rsid wsp:val=&quot;009A73A7&quot;/&gt;&lt;wsp:rsid wsp:val=&quot;009A79BB&quot;/&gt;&lt;wsp:rsid wsp:val=&quot;009A7AE9&quot;/&gt;&lt;wsp:rsid wsp:val=&quot;009A7B41&quot;/&gt;&lt;wsp:rsid wsp:val=&quot;009A7BDD&quot;/&gt;&lt;wsp:rsid wsp:val=&quot;009A7C03&quot;/&gt;&lt;wsp:rsid wsp:val=&quot;009B0021&quot;/&gt;&lt;wsp:rsid wsp:val=&quot;009B0668&quot;/&gt;&lt;wsp:rsid wsp:val=&quot;009B06C1&quot;/&gt;&lt;wsp:rsid wsp:val=&quot;009B072B&quot;/&gt;&lt;wsp:rsid wsp:val=&quot;009B0739&quot;/&gt;&lt;wsp:rsid wsp:val=&quot;009B0A49&quot;/&gt;&lt;wsp:rsid wsp:val=&quot;009B0D24&quot;/&gt;&lt;wsp:rsid wsp:val=&quot;009B0E20&quot;/&gt;&lt;wsp:rsid wsp:val=&quot;009B1A70&quot;/&gt;&lt;wsp:rsid wsp:val=&quot;009B1A76&quot;/&gt;&lt;wsp:rsid wsp:val=&quot;009B1B7F&quot;/&gt;&lt;wsp:rsid wsp:val=&quot;009B1B80&quot;/&gt;&lt;wsp:rsid wsp:val=&quot;009B1D51&quot;/&gt;&lt;wsp:rsid wsp:val=&quot;009B1F1C&quot;/&gt;&lt;wsp:rsid wsp:val=&quot;009B1F68&quot;/&gt;&lt;wsp:rsid wsp:val=&quot;009B22A8&quot;/&gt;&lt;wsp:rsid wsp:val=&quot;009B22EA&quot;/&gt;&lt;wsp:rsid wsp:val=&quot;009B23A0&quot;/&gt;&lt;wsp:rsid wsp:val=&quot;009B2607&quot;/&gt;&lt;wsp:rsid wsp:val=&quot;009B2653&quot;/&gt;&lt;wsp:rsid wsp:val=&quot;009B2723&quot;/&gt;&lt;wsp:rsid wsp:val=&quot;009B28EA&quot;/&gt;&lt;wsp:rsid wsp:val=&quot;009B2A17&quot;/&gt;&lt;wsp:rsid wsp:val=&quot;009B2DAF&quot;/&gt;&lt;wsp:rsid wsp:val=&quot;009B3275&quot;/&gt;&lt;wsp:rsid wsp:val=&quot;009B340E&quot;/&gt;&lt;wsp:rsid wsp:val=&quot;009B3550&quot;/&gt;&lt;wsp:rsid wsp:val=&quot;009B3567&quot;/&gt;&lt;wsp:rsid wsp:val=&quot;009B3768&quot;/&gt;&lt;wsp:rsid wsp:val=&quot;009B3837&quot;/&gt;&lt;wsp:rsid wsp:val=&quot;009B38B0&quot;/&gt;&lt;wsp:rsid wsp:val=&quot;009B38D5&quot;/&gt;&lt;wsp:rsid wsp:val=&quot;009B3AC4&quot;/&gt;&lt;wsp:rsid wsp:val=&quot;009B3CA2&quot;/&gt;&lt;wsp:rsid wsp:val=&quot;009B419D&quot;/&gt;&lt;wsp:rsid wsp:val=&quot;009B45CB&quot;/&gt;&lt;wsp:rsid wsp:val=&quot;009B466F&quot;/&gt;&lt;wsp:rsid wsp:val=&quot;009B4893&quot;/&gt;&lt;wsp:rsid wsp:val=&quot;009B4E0F&quot;/&gt;&lt;wsp:rsid wsp:val=&quot;009B51E3&quot;/&gt;&lt;wsp:rsid wsp:val=&quot;009B53A3&quot;/&gt;&lt;wsp:rsid wsp:val=&quot;009B56A1&quot;/&gt;&lt;wsp:rsid wsp:val=&quot;009B5D2C&quot;/&gt;&lt;wsp:rsid wsp:val=&quot;009B6295&quot;/&gt;&lt;wsp:rsid wsp:val=&quot;009B6418&quot;/&gt;&lt;wsp:rsid wsp:val=&quot;009B6551&quot;/&gt;&lt;wsp:rsid wsp:val=&quot;009B6744&quot;/&gt;&lt;wsp:rsid wsp:val=&quot;009B6876&quot;/&gt;&lt;wsp:rsid wsp:val=&quot;009B6AB7&quot;/&gt;&lt;wsp:rsid wsp:val=&quot;009B6DF2&quot;/&gt;&lt;wsp:rsid wsp:val=&quot;009B6FB4&quot;/&gt;&lt;wsp:rsid wsp:val=&quot;009B716C&quot;/&gt;&lt;wsp:rsid wsp:val=&quot;009B75DB&quot;/&gt;&lt;wsp:rsid wsp:val=&quot;009B7B18&quot;/&gt;&lt;wsp:rsid wsp:val=&quot;009B7B5C&quot;/&gt;&lt;wsp:rsid wsp:val=&quot;009B7E5F&quot;/&gt;&lt;wsp:rsid wsp:val=&quot;009C0240&quot;/&gt;&lt;wsp:rsid wsp:val=&quot;009C07C7&quot;/&gt;&lt;wsp:rsid wsp:val=&quot;009C07E1&quot;/&gt;&lt;wsp:rsid wsp:val=&quot;009C09D5&quot;/&gt;&lt;wsp:rsid wsp:val=&quot;009C0AB5&quot;/&gt;&lt;wsp:rsid wsp:val=&quot;009C0DE1&quot;/&gt;&lt;wsp:rsid wsp:val=&quot;009C0F38&quot;/&gt;&lt;wsp:rsid wsp:val=&quot;009C13BC&quot;/&gt;&lt;wsp:rsid wsp:val=&quot;009C1458&quot;/&gt;&lt;wsp:rsid wsp:val=&quot;009C15F0&quot;/&gt;&lt;wsp:rsid wsp:val=&quot;009C1A74&quot;/&gt;&lt;wsp:rsid wsp:val=&quot;009C1F29&quot;/&gt;&lt;wsp:rsid wsp:val=&quot;009C1FAF&quot;/&gt;&lt;wsp:rsid wsp:val=&quot;009C24FE&quot;/&gt;&lt;wsp:rsid wsp:val=&quot;009C2551&quot;/&gt;&lt;wsp:rsid wsp:val=&quot;009C29FE&quot;/&gt;&lt;wsp:rsid wsp:val=&quot;009C2AEC&quot;/&gt;&lt;wsp:rsid wsp:val=&quot;009C2DE6&quot;/&gt;&lt;wsp:rsid wsp:val=&quot;009C33EB&quot;/&gt;&lt;wsp:rsid wsp:val=&quot;009C37C8&quot;/&gt;&lt;wsp:rsid wsp:val=&quot;009C3884&quot;/&gt;&lt;wsp:rsid wsp:val=&quot;009C38B4&quot;/&gt;&lt;wsp:rsid wsp:val=&quot;009C3ADA&quot;/&gt;&lt;wsp:rsid wsp:val=&quot;009C4CE3&quot;/&gt;&lt;wsp:rsid wsp:val=&quot;009C503E&quot;/&gt;&lt;wsp:rsid wsp:val=&quot;009C50F2&quot;/&gt;&lt;wsp:rsid wsp:val=&quot;009C5596&quot;/&gt;&lt;wsp:rsid wsp:val=&quot;009C5AEA&quot;/&gt;&lt;wsp:rsid wsp:val=&quot;009C5BA9&quot;/&gt;&lt;wsp:rsid wsp:val=&quot;009C5DA3&quot;/&gt;&lt;wsp:rsid wsp:val=&quot;009C5F37&quot;/&gt;&lt;wsp:rsid wsp:val=&quot;009C5FDF&quot;/&gt;&lt;wsp:rsid wsp:val=&quot;009C6216&quot;/&gt;&lt;wsp:rsid wsp:val=&quot;009C626A&quot;/&gt;&lt;wsp:rsid wsp:val=&quot;009C652D&quot;/&gt;&lt;wsp:rsid wsp:val=&quot;009C6723&quot;/&gt;&lt;wsp:rsid wsp:val=&quot;009C6B10&quot;/&gt;&lt;wsp:rsid wsp:val=&quot;009C6C63&quot;/&gt;&lt;wsp:rsid wsp:val=&quot;009C7036&quot;/&gt;&lt;wsp:rsid wsp:val=&quot;009C706E&quot;/&gt;&lt;wsp:rsid wsp:val=&quot;009C7089&quot;/&gt;&lt;wsp:rsid wsp:val=&quot;009C7185&quot;/&gt;&lt;wsp:rsid wsp:val=&quot;009C74D4&quot;/&gt;&lt;wsp:rsid wsp:val=&quot;009C7A75&quot;/&gt;&lt;wsp:rsid wsp:val=&quot;009C7CB0&quot;/&gt;&lt;wsp:rsid wsp:val=&quot;009C7F96&quot;/&gt;&lt;wsp:rsid wsp:val=&quot;009D013D&quot;/&gt;&lt;wsp:rsid wsp:val=&quot;009D0384&quot;/&gt;&lt;wsp:rsid wsp:val=&quot;009D0502&quot;/&gt;&lt;wsp:rsid wsp:val=&quot;009D05D8&quot;/&gt;&lt;wsp:rsid wsp:val=&quot;009D0A1E&quot;/&gt;&lt;wsp:rsid wsp:val=&quot;009D0B78&quot;/&gt;&lt;wsp:rsid wsp:val=&quot;009D0D53&quot;/&gt;&lt;wsp:rsid wsp:val=&quot;009D1276&quot;/&gt;&lt;wsp:rsid wsp:val=&quot;009D151E&quot;/&gt;&lt;wsp:rsid wsp:val=&quot;009D15F8&quot;/&gt;&lt;wsp:rsid wsp:val=&quot;009D1745&quot;/&gt;&lt;wsp:rsid wsp:val=&quot;009D1B62&quot;/&gt;&lt;wsp:rsid wsp:val=&quot;009D1C06&quot;/&gt;&lt;wsp:rsid wsp:val=&quot;009D1C4E&quot;/&gt;&lt;wsp:rsid wsp:val=&quot;009D1EF1&quot;/&gt;&lt;wsp:rsid wsp:val=&quot;009D2187&quot;/&gt;&lt;wsp:rsid wsp:val=&quot;009D21BA&quot;/&gt;&lt;wsp:rsid wsp:val=&quot;009D2A7E&quot;/&gt;&lt;wsp:rsid wsp:val=&quot;009D2B6E&quot;/&gt;&lt;wsp:rsid wsp:val=&quot;009D2F61&quot;/&gt;&lt;wsp:rsid wsp:val=&quot;009D31DD&quot;/&gt;&lt;wsp:rsid wsp:val=&quot;009D32CC&quot;/&gt;&lt;wsp:rsid wsp:val=&quot;009D35CD&quot;/&gt;&lt;wsp:rsid wsp:val=&quot;009D37C1&quot;/&gt;&lt;wsp:rsid wsp:val=&quot;009D3A17&quot;/&gt;&lt;wsp:rsid wsp:val=&quot;009D3B06&quot;/&gt;&lt;wsp:rsid wsp:val=&quot;009D3BCE&quot;/&gt;&lt;wsp:rsid wsp:val=&quot;009D3E2B&quot;/&gt;&lt;wsp:rsid wsp:val=&quot;009D3F6E&quot;/&gt;&lt;wsp:rsid wsp:val=&quot;009D4132&quot;/&gt;&lt;wsp:rsid wsp:val=&quot;009D41CC&quot;/&gt;&lt;wsp:rsid wsp:val=&quot;009D4347&quot;/&gt;&lt;wsp:rsid wsp:val=&quot;009D4359&quot;/&gt;&lt;wsp:rsid wsp:val=&quot;009D45CC&quot;/&gt;&lt;wsp:rsid wsp:val=&quot;009D488B&quot;/&gt;&lt;wsp:rsid wsp:val=&quot;009D494D&quot;/&gt;&lt;wsp:rsid wsp:val=&quot;009D4C88&quot;/&gt;&lt;wsp:rsid wsp:val=&quot;009D4CAB&quot;/&gt;&lt;wsp:rsid wsp:val=&quot;009D4CEE&quot;/&gt;&lt;wsp:rsid wsp:val=&quot;009D50DF&quot;/&gt;&lt;wsp:rsid wsp:val=&quot;009D534E&quot;/&gt;&lt;wsp:rsid wsp:val=&quot;009D53C9&quot;/&gt;&lt;wsp:rsid wsp:val=&quot;009D556A&quot;/&gt;&lt;wsp:rsid wsp:val=&quot;009D6016&quot;/&gt;&lt;wsp:rsid wsp:val=&quot;009D667C&quot;/&gt;&lt;wsp:rsid wsp:val=&quot;009D6A12&quot;/&gt;&lt;wsp:rsid wsp:val=&quot;009D6A49&quot;/&gt;&lt;wsp:rsid wsp:val=&quot;009D6B23&quot;/&gt;&lt;wsp:rsid wsp:val=&quot;009D6B2B&quot;/&gt;&lt;wsp:rsid wsp:val=&quot;009D6CA6&quot;/&gt;&lt;wsp:rsid wsp:val=&quot;009D6FB0&quot;/&gt;&lt;wsp:rsid wsp:val=&quot;009D7403&quot;/&gt;&lt;wsp:rsid wsp:val=&quot;009D757F&quot;/&gt;&lt;wsp:rsid wsp:val=&quot;009D7960&quot;/&gt;&lt;wsp:rsid wsp:val=&quot;009D7C43&quot;/&gt;&lt;wsp:rsid wsp:val=&quot;009D7EAD&quot;/&gt;&lt;wsp:rsid wsp:val=&quot;009E003A&quot;/&gt;&lt;wsp:rsid wsp:val=&quot;009E00CE&quot;/&gt;&lt;wsp:rsid wsp:val=&quot;009E0216&quot;/&gt;&lt;wsp:rsid wsp:val=&quot;009E038B&quot;/&gt;&lt;wsp:rsid wsp:val=&quot;009E06BD&quot;/&gt;&lt;wsp:rsid wsp:val=&quot;009E0B03&quot;/&gt;&lt;wsp:rsid wsp:val=&quot;009E0BDB&quot;/&gt;&lt;wsp:rsid wsp:val=&quot;009E0CCA&quot;/&gt;&lt;wsp:rsid wsp:val=&quot;009E0DF8&quot;/&gt;&lt;wsp:rsid wsp:val=&quot;009E1247&quot;/&gt;&lt;wsp:rsid wsp:val=&quot;009E17B3&quot;/&gt;&lt;wsp:rsid wsp:val=&quot;009E1BD1&quot;/&gt;&lt;wsp:rsid wsp:val=&quot;009E20DE&quot;/&gt;&lt;wsp:rsid wsp:val=&quot;009E21F7&quot;/&gt;&lt;wsp:rsid wsp:val=&quot;009E2754&quot;/&gt;&lt;wsp:rsid wsp:val=&quot;009E2AF9&quot;/&gt;&lt;wsp:rsid wsp:val=&quot;009E2B5F&quot;/&gt;&lt;wsp:rsid wsp:val=&quot;009E2BD6&quot;/&gt;&lt;wsp:rsid wsp:val=&quot;009E2E35&quot;/&gt;&lt;wsp:rsid wsp:val=&quot;009E3478&quot;/&gt;&lt;wsp:rsid wsp:val=&quot;009E3CB1&quot;/&gt;&lt;wsp:rsid wsp:val=&quot;009E3D39&quot;/&gt;&lt;wsp:rsid wsp:val=&quot;009E42E8&quot;/&gt;&lt;wsp:rsid wsp:val=&quot;009E46F7&quot;/&gt;&lt;wsp:rsid wsp:val=&quot;009E49E2&quot;/&gt;&lt;wsp:rsid wsp:val=&quot;009E5131&quot;/&gt;&lt;wsp:rsid wsp:val=&quot;009E5717&quot;/&gt;&lt;wsp:rsid wsp:val=&quot;009E58FB&quot;/&gt;&lt;wsp:rsid wsp:val=&quot;009E5913&quot;/&gt;&lt;wsp:rsid wsp:val=&quot;009E59F0&quot;/&gt;&lt;wsp:rsid wsp:val=&quot;009E5A61&quot;/&gt;&lt;wsp:rsid wsp:val=&quot;009E5BFD&quot;/&gt;&lt;wsp:rsid wsp:val=&quot;009E5D53&quot;/&gt;&lt;wsp:rsid wsp:val=&quot;009E5EBD&quot;/&gt;&lt;wsp:rsid wsp:val=&quot;009E5FB3&quot;/&gt;&lt;wsp:rsid wsp:val=&quot;009E60EE&quot;/&gt;&lt;wsp:rsid wsp:val=&quot;009E624B&quot;/&gt;&lt;wsp:rsid wsp:val=&quot;009E62A1&quot;/&gt;&lt;wsp:rsid wsp:val=&quot;009E64CA&quot;/&gt;&lt;wsp:rsid wsp:val=&quot;009E6549&quot;/&gt;&lt;wsp:rsid wsp:val=&quot;009E6C07&quot;/&gt;&lt;wsp:rsid wsp:val=&quot;009E6DCE&quot;/&gt;&lt;wsp:rsid wsp:val=&quot;009E6EA3&quot;/&gt;&lt;wsp:rsid wsp:val=&quot;009E7037&quot;/&gt;&lt;wsp:rsid wsp:val=&quot;009E796C&quot;/&gt;&lt;wsp:rsid wsp:val=&quot;009E799F&quot;/&gt;&lt;wsp:rsid wsp:val=&quot;009E7A2E&quot;/&gt;&lt;wsp:rsid wsp:val=&quot;009E7F59&quot;/&gt;&lt;wsp:rsid wsp:val=&quot;009E7FB8&quot;/&gt;&lt;wsp:rsid wsp:val=&quot;009F0105&quot;/&gt;&lt;wsp:rsid wsp:val=&quot;009F0322&quot;/&gt;&lt;wsp:rsid wsp:val=&quot;009F12A3&quot;/&gt;&lt;wsp:rsid wsp:val=&quot;009F140F&quot;/&gt;&lt;wsp:rsid wsp:val=&quot;009F1445&quot;/&gt;&lt;wsp:rsid wsp:val=&quot;009F159B&quot;/&gt;&lt;wsp:rsid wsp:val=&quot;009F1786&quot;/&gt;&lt;wsp:rsid wsp:val=&quot;009F197F&quot;/&gt;&lt;wsp:rsid wsp:val=&quot;009F1B67&quot;/&gt;&lt;wsp:rsid wsp:val=&quot;009F1D81&quot;/&gt;&lt;wsp:rsid wsp:val=&quot;009F1DA8&quot;/&gt;&lt;wsp:rsid wsp:val=&quot;009F2301&quot;/&gt;&lt;wsp:rsid wsp:val=&quot;009F2374&quot;/&gt;&lt;wsp:rsid wsp:val=&quot;009F2EDC&quot;/&gt;&lt;wsp:rsid wsp:val=&quot;009F37A9&quot;/&gt;&lt;wsp:rsid wsp:val=&quot;009F3A42&quot;/&gt;&lt;wsp:rsid wsp:val=&quot;009F3DE8&quot;/&gt;&lt;wsp:rsid wsp:val=&quot;009F3F5E&quot;/&gt;&lt;wsp:rsid wsp:val=&quot;009F3F65&quot;/&gt;&lt;wsp:rsid wsp:val=&quot;009F449A&quot;/&gt;&lt;wsp:rsid wsp:val=&quot;009F46DB&quot;/&gt;&lt;wsp:rsid wsp:val=&quot;009F4D92&quot;/&gt;&lt;wsp:rsid wsp:val=&quot;009F4E37&quot;/&gt;&lt;wsp:rsid wsp:val=&quot;009F5271&quot;/&gt;&lt;wsp:rsid wsp:val=&quot;009F5563&quot;/&gt;&lt;wsp:rsid wsp:val=&quot;009F5954&quot;/&gt;&lt;wsp:rsid wsp:val=&quot;009F5B93&quot;/&gt;&lt;wsp:rsid wsp:val=&quot;009F5BE0&quot;/&gt;&lt;wsp:rsid wsp:val=&quot;009F5D80&quot;/&gt;&lt;wsp:rsid wsp:val=&quot;009F5E39&quot;/&gt;&lt;wsp:rsid wsp:val=&quot;009F60BD&quot;/&gt;&lt;wsp:rsid wsp:val=&quot;009F630A&quot;/&gt;&lt;wsp:rsid wsp:val=&quot;009F635B&quot;/&gt;&lt;wsp:rsid wsp:val=&quot;009F64A0&quot;/&gt;&lt;wsp:rsid wsp:val=&quot;009F6595&quot;/&gt;&lt;wsp:rsid wsp:val=&quot;009F668C&quot;/&gt;&lt;wsp:rsid wsp:val=&quot;009F67F0&quot;/&gt;&lt;wsp:rsid wsp:val=&quot;009F69E2&quot;/&gt;&lt;wsp:rsid wsp:val=&quot;009F6D8D&quot;/&gt;&lt;wsp:rsid wsp:val=&quot;009F6D94&quot;/&gt;&lt;wsp:rsid wsp:val=&quot;009F7B85&quot;/&gt;&lt;wsp:rsid wsp:val=&quot;00A000EA&quot;/&gt;&lt;wsp:rsid wsp:val=&quot;00A004A3&quot;/&gt;&lt;wsp:rsid wsp:val=&quot;00A006D8&quot;/&gt;&lt;wsp:rsid wsp:val=&quot;00A00BAC&quot;/&gt;&lt;wsp:rsid wsp:val=&quot;00A011CC&quot;/&gt;&lt;wsp:rsid wsp:val=&quot;00A01245&quot;/&gt;&lt;wsp:rsid wsp:val=&quot;00A01443&quot;/&gt;&lt;wsp:rsid wsp:val=&quot;00A01471&quot;/&gt;&lt;wsp:rsid wsp:val=&quot;00A014A0&quot;/&gt;&lt;wsp:rsid wsp:val=&quot;00A0167E&quot;/&gt;&lt;wsp:rsid wsp:val=&quot;00A01687&quot;/&gt;&lt;wsp:rsid wsp:val=&quot;00A01723&quot;/&gt;&lt;wsp:rsid wsp:val=&quot;00A018A2&quot;/&gt;&lt;wsp:rsid wsp:val=&quot;00A01B2E&quot;/&gt;&lt;wsp:rsid wsp:val=&quot;00A02267&quot;/&gt;&lt;wsp:rsid wsp:val=&quot;00A02385&quot;/&gt;&lt;wsp:rsid wsp:val=&quot;00A0251F&quot;/&gt;&lt;wsp:rsid wsp:val=&quot;00A028B3&quot;/&gt;&lt;wsp:rsid wsp:val=&quot;00A0297D&quot;/&gt;&lt;wsp:rsid wsp:val=&quot;00A029EE&quot;/&gt;&lt;wsp:rsid wsp:val=&quot;00A02BBF&quot;/&gt;&lt;wsp:rsid wsp:val=&quot;00A02ECB&quot;/&gt;&lt;wsp:rsid wsp:val=&quot;00A030B6&quot;/&gt;&lt;wsp:rsid wsp:val=&quot;00A03192&quot;/&gt;&lt;wsp:rsid wsp:val=&quot;00A036AB&quot;/&gt;&lt;wsp:rsid wsp:val=&quot;00A03C7F&quot;/&gt;&lt;wsp:rsid wsp:val=&quot;00A03DEF&quot;/&gt;&lt;wsp:rsid wsp:val=&quot;00A0408E&quot;/&gt;&lt;wsp:rsid wsp:val=&quot;00A040E5&quot;/&gt;&lt;wsp:rsid wsp:val=&quot;00A04134&quot;/&gt;&lt;wsp:rsid wsp:val=&quot;00A04966&quot;/&gt;&lt;wsp:rsid wsp:val=&quot;00A04F85&quot;/&gt;&lt;wsp:rsid wsp:val=&quot;00A054A1&quot;/&gt;&lt;wsp:rsid wsp:val=&quot;00A05687&quot;/&gt;&lt;wsp:rsid wsp:val=&quot;00A05B3F&quot;/&gt;&lt;wsp:rsid wsp:val=&quot;00A05F7A&quot;/&gt;&lt;wsp:rsid wsp:val=&quot;00A06006&quot;/&gt;&lt;wsp:rsid wsp:val=&quot;00A062BC&quot;/&gt;&lt;wsp:rsid wsp:val=&quot;00A064D4&quot;/&gt;&lt;wsp:rsid wsp:val=&quot;00A06664&quot;/&gt;&lt;wsp:rsid wsp:val=&quot;00A06795&quot;/&gt;&lt;wsp:rsid wsp:val=&quot;00A067DB&quot;/&gt;&lt;wsp:rsid wsp:val=&quot;00A06A68&quot;/&gt;&lt;wsp:rsid wsp:val=&quot;00A06BF4&quot;/&gt;&lt;wsp:rsid wsp:val=&quot;00A06CDE&quot;/&gt;&lt;wsp:rsid wsp:val=&quot;00A06D41&quot;/&gt;&lt;wsp:rsid wsp:val=&quot;00A06E78&quot;/&gt;&lt;wsp:rsid wsp:val=&quot;00A06F64&quot;/&gt;&lt;wsp:rsid wsp:val=&quot;00A070F3&quot;/&gt;&lt;wsp:rsid wsp:val=&quot;00A0712B&quot;/&gt;&lt;wsp:rsid wsp:val=&quot;00A07414&quot;/&gt;&lt;wsp:rsid wsp:val=&quot;00A075F8&quot;/&gt;&lt;wsp:rsid wsp:val=&quot;00A076F5&quot;/&gt;&lt;wsp:rsid wsp:val=&quot;00A079DC&quot;/&gt;&lt;wsp:rsid wsp:val=&quot;00A07ACE&quot;/&gt;&lt;wsp:rsid wsp:val=&quot;00A07FC2&quot;/&gt;&lt;wsp:rsid wsp:val=&quot;00A07FCD&quot;/&gt;&lt;wsp:rsid wsp:val=&quot;00A104AF&quot;/&gt;&lt;wsp:rsid wsp:val=&quot;00A106AA&quot;/&gt;&lt;wsp:rsid wsp:val=&quot;00A1096F&quot;/&gt;&lt;wsp:rsid wsp:val=&quot;00A10AE7&quot;/&gt;&lt;wsp:rsid wsp:val=&quot;00A11509&quot;/&gt;&lt;wsp:rsid wsp:val=&quot;00A115FB&quot;/&gt;&lt;wsp:rsid wsp:val=&quot;00A119A7&quot;/&gt;&lt;wsp:rsid wsp:val=&quot;00A11DE4&quot;/&gt;&lt;wsp:rsid wsp:val=&quot;00A11EA0&quot;/&gt;&lt;wsp:rsid wsp:val=&quot;00A120C3&quot;/&gt;&lt;wsp:rsid wsp:val=&quot;00A1219F&quot;/&gt;&lt;wsp:rsid wsp:val=&quot;00A121EC&quot;/&gt;&lt;wsp:rsid wsp:val=&quot;00A122E1&quot;/&gt;&lt;wsp:rsid wsp:val=&quot;00A12446&quot;/&gt;&lt;wsp:rsid wsp:val=&quot;00A12896&quot;/&gt;&lt;wsp:rsid wsp:val=&quot;00A12C1C&quot;/&gt;&lt;wsp:rsid wsp:val=&quot;00A12E67&quot;/&gt;&lt;wsp:rsid wsp:val=&quot;00A12FD6&quot;/&gt;&lt;wsp:rsid wsp:val=&quot;00A136E3&quot;/&gt;&lt;wsp:rsid wsp:val=&quot;00A13851&quot;/&gt;&lt;wsp:rsid wsp:val=&quot;00A13AAF&quot;/&gt;&lt;wsp:rsid wsp:val=&quot;00A142B0&quot;/&gt;&lt;wsp:rsid wsp:val=&quot;00A1431E&quot;/&gt;&lt;wsp:rsid wsp:val=&quot;00A147A1&quot;/&gt;&lt;wsp:rsid wsp:val=&quot;00A14F53&quot;/&gt;&lt;wsp:rsid wsp:val=&quot;00A150D0&quot;/&gt;&lt;wsp:rsid wsp:val=&quot;00A153A6&quot;/&gt;&lt;wsp:rsid wsp:val=&quot;00A15865&quot;/&gt;&lt;wsp:rsid wsp:val=&quot;00A15D9D&quot;/&gt;&lt;wsp:rsid wsp:val=&quot;00A16018&quot;/&gt;&lt;wsp:rsid wsp:val=&quot;00A1622D&quot;/&gt;&lt;wsp:rsid wsp:val=&quot;00A16808&quot;/&gt;&lt;wsp:rsid wsp:val=&quot;00A16BB9&quot;/&gt;&lt;wsp:rsid wsp:val=&quot;00A16BC5&quot;/&gt;&lt;wsp:rsid wsp:val=&quot;00A17111&quot;/&gt;&lt;wsp:rsid wsp:val=&quot;00A1760D&quot;/&gt;&lt;wsp:rsid wsp:val=&quot;00A17740&quot;/&gt;&lt;wsp:rsid wsp:val=&quot;00A17BC1&quot;/&gt;&lt;wsp:rsid wsp:val=&quot;00A17C5B&quot;/&gt;&lt;wsp:rsid wsp:val=&quot;00A17F92&quot;/&gt;&lt;wsp:rsid wsp:val=&quot;00A20072&quot;/&gt;&lt;wsp:rsid wsp:val=&quot;00A205BF&quot;/&gt;&lt;wsp:rsid wsp:val=&quot;00A20733&quot;/&gt;&lt;wsp:rsid wsp:val=&quot;00A20A1A&quot;/&gt;&lt;wsp:rsid wsp:val=&quot;00A20AEE&quot;/&gt;&lt;wsp:rsid wsp:val=&quot;00A20D77&quot;/&gt;&lt;wsp:rsid wsp:val=&quot;00A214E8&quot;/&gt;&lt;wsp:rsid wsp:val=&quot;00A2183E&quot;/&gt;&lt;wsp:rsid wsp:val=&quot;00A218CA&quot;/&gt;&lt;wsp:rsid wsp:val=&quot;00A21F64&quot;/&gt;&lt;wsp:rsid wsp:val=&quot;00A225BE&quot;/&gt;&lt;wsp:rsid wsp:val=&quot;00A2271F&quot;/&gt;&lt;wsp:rsid wsp:val=&quot;00A22B12&quot;/&gt;&lt;wsp:rsid wsp:val=&quot;00A22B17&quot;/&gt;&lt;wsp:rsid wsp:val=&quot;00A22EBB&quot;/&gt;&lt;wsp:rsid wsp:val=&quot;00A22F1E&quot;/&gt;&lt;wsp:rsid wsp:val=&quot;00A22F45&quot;/&gt;&lt;wsp:rsid wsp:val=&quot;00A2304A&quot;/&gt;&lt;wsp:rsid wsp:val=&quot;00A231BA&quot;/&gt;&lt;wsp:rsid wsp:val=&quot;00A231D0&quot;/&gt;&lt;wsp:rsid wsp:val=&quot;00A2328C&quot;/&gt;&lt;wsp:rsid wsp:val=&quot;00A233B6&quot;/&gt;&lt;wsp:rsid wsp:val=&quot;00A2353F&quot;/&gt;&lt;wsp:rsid wsp:val=&quot;00A23816&quot;/&gt;&lt;wsp:rsid wsp:val=&quot;00A23A87&quot;/&gt;&lt;wsp:rsid wsp:val=&quot;00A23BBB&quot;/&gt;&lt;wsp:rsid wsp:val=&quot;00A23EDE&quot;/&gt;&lt;wsp:rsid wsp:val=&quot;00A24295&quot;/&gt;&lt;wsp:rsid wsp:val=&quot;00A2431E&quot;/&gt;&lt;wsp:rsid wsp:val=&quot;00A2439C&quot;/&gt;&lt;wsp:rsid wsp:val=&quot;00A24469&quot;/&gt;&lt;wsp:rsid wsp:val=&quot;00A244AF&quot;/&gt;&lt;wsp:rsid wsp:val=&quot;00A2457A&quot;/&gt;&lt;wsp:rsid wsp:val=&quot;00A248B6&quot;/&gt;&lt;wsp:rsid wsp:val=&quot;00A24A37&quot;/&gt;&lt;wsp:rsid wsp:val=&quot;00A24A6B&quot;/&gt;&lt;wsp:rsid wsp:val=&quot;00A24C05&quot;/&gt;&lt;wsp:rsid wsp:val=&quot;00A24E0D&quot;/&gt;&lt;wsp:rsid wsp:val=&quot;00A250F4&quot;/&gt;&lt;wsp:rsid wsp:val=&quot;00A2549F&quot;/&gt;&lt;wsp:rsid wsp:val=&quot;00A25E35&quot;/&gt;&lt;wsp:rsid wsp:val=&quot;00A25F02&quot;/&gt;&lt;wsp:rsid wsp:val=&quot;00A26542&quot;/&gt;&lt;wsp:rsid wsp:val=&quot;00A267F8&quot;/&gt;&lt;wsp:rsid wsp:val=&quot;00A26871&quot;/&gt;&lt;wsp:rsid wsp:val=&quot;00A26950&quot;/&gt;&lt;wsp:rsid wsp:val=&quot;00A26D2F&quot;/&gt;&lt;wsp:rsid wsp:val=&quot;00A271B8&quot;/&gt;&lt;wsp:rsid wsp:val=&quot;00A2728E&quot;/&gt;&lt;wsp:rsid wsp:val=&quot;00A272FC&quot;/&gt;&lt;wsp:rsid wsp:val=&quot;00A279FE&quot;/&gt;&lt;wsp:rsid wsp:val=&quot;00A27D72&quot;/&gt;&lt;wsp:rsid wsp:val=&quot;00A27FF1&quot;/&gt;&lt;wsp:rsid wsp:val=&quot;00A3034F&quot;/&gt;&lt;wsp:rsid wsp:val=&quot;00A30538&quot;/&gt;&lt;wsp:rsid wsp:val=&quot;00A30A8B&quot;/&gt;&lt;wsp:rsid wsp:val=&quot;00A30C4B&quot;/&gt;&lt;wsp:rsid wsp:val=&quot;00A30DDB&quot;/&gt;&lt;wsp:rsid wsp:val=&quot;00A30F3D&quot;/&gt;&lt;wsp:rsid wsp:val=&quot;00A30FF3&quot;/&gt;&lt;wsp:rsid wsp:val=&quot;00A31151&quot;/&gt;&lt;wsp:rsid wsp:val=&quot;00A315C0&quot;/&gt;&lt;wsp:rsid wsp:val=&quot;00A31728&quot;/&gt;&lt;wsp:rsid wsp:val=&quot;00A317D6&quot;/&gt;&lt;wsp:rsid wsp:val=&quot;00A31830&quot;/&gt;&lt;wsp:rsid wsp:val=&quot;00A318CD&quot;/&gt;&lt;wsp:rsid wsp:val=&quot;00A31970&quot;/&gt;&lt;wsp:rsid wsp:val=&quot;00A31A6D&quot;/&gt;&lt;wsp:rsid wsp:val=&quot;00A31AF3&quot;/&gt;&lt;wsp:rsid wsp:val=&quot;00A31E1F&quot;/&gt;&lt;wsp:rsid wsp:val=&quot;00A3210F&quot;/&gt;&lt;wsp:rsid wsp:val=&quot;00A32309&quot;/&gt;&lt;wsp:rsid wsp:val=&quot;00A32710&quot;/&gt;&lt;wsp:rsid wsp:val=&quot;00A3276B&quot;/&gt;&lt;wsp:rsid wsp:val=&quot;00A32874&quot;/&gt;&lt;wsp:rsid wsp:val=&quot;00A32CD0&quot;/&gt;&lt;wsp:rsid wsp:val=&quot;00A32D33&quot;/&gt;&lt;wsp:rsid wsp:val=&quot;00A3305A&quot;/&gt;&lt;wsp:rsid wsp:val=&quot;00A331EC&quot;/&gt;&lt;wsp:rsid wsp:val=&quot;00A332A6&quot;/&gt;&lt;wsp:rsid wsp:val=&quot;00A3330D&quot;/&gt;&lt;wsp:rsid wsp:val=&quot;00A334A6&quot;/&gt;&lt;wsp:rsid wsp:val=&quot;00A334C0&quot;/&gt;&lt;wsp:rsid wsp:val=&quot;00A3361E&quot;/&gt;&lt;wsp:rsid wsp:val=&quot;00A337BE&quot;/&gt;&lt;wsp:rsid wsp:val=&quot;00A33996&quot;/&gt;&lt;wsp:rsid wsp:val=&quot;00A33B11&quot;/&gt;&lt;wsp:rsid wsp:val=&quot;00A33BCE&quot;/&gt;&lt;wsp:rsid wsp:val=&quot;00A33C5A&quot;/&gt;&lt;wsp:rsid wsp:val=&quot;00A33C6F&quot;/&gt;&lt;wsp:rsid wsp:val=&quot;00A33C9D&quot;/&gt;&lt;wsp:rsid wsp:val=&quot;00A34261&quot;/&gt;&lt;wsp:rsid wsp:val=&quot;00A345C8&quot;/&gt;&lt;wsp:rsid wsp:val=&quot;00A349D1&quot;/&gt;&lt;wsp:rsid wsp:val=&quot;00A34BD7&quot;/&gt;&lt;wsp:rsid wsp:val=&quot;00A34FD3&quot;/&gt;&lt;wsp:rsid wsp:val=&quot;00A35017&quot;/&gt;&lt;wsp:rsid wsp:val=&quot;00A350B5&quot;/&gt;&lt;wsp:rsid wsp:val=&quot;00A35144&quot;/&gt;&lt;wsp:rsid wsp:val=&quot;00A35191&quot;/&gt;&lt;wsp:rsid wsp:val=&quot;00A3524A&quot;/&gt;&lt;wsp:rsid wsp:val=&quot;00A35446&quot;/&gt;&lt;wsp:rsid wsp:val=&quot;00A3565A&quot;/&gt;&lt;wsp:rsid wsp:val=&quot;00A3582F&quot;/&gt;&lt;wsp:rsid wsp:val=&quot;00A3588A&quot;/&gt;&lt;wsp:rsid wsp:val=&quot;00A35D3F&quot;/&gt;&lt;wsp:rsid wsp:val=&quot;00A362DB&quot;/&gt;&lt;wsp:rsid wsp:val=&quot;00A36CC4&quot;/&gt;&lt;wsp:rsid wsp:val=&quot;00A36E3E&quot;/&gt;&lt;wsp:rsid wsp:val=&quot;00A36E68&quot;/&gt;&lt;wsp:rsid wsp:val=&quot;00A370AA&quot;/&gt;&lt;wsp:rsid wsp:val=&quot;00A3741A&quot;/&gt;&lt;wsp:rsid wsp:val=&quot;00A377EC&quot;/&gt;&lt;wsp:rsid wsp:val=&quot;00A37B56&quot;/&gt;&lt;wsp:rsid wsp:val=&quot;00A37D2B&quot;/&gt;&lt;wsp:rsid wsp:val=&quot;00A37D6F&quot;/&gt;&lt;wsp:rsid wsp:val=&quot;00A37DDD&quot;/&gt;&lt;wsp:rsid wsp:val=&quot;00A37F4E&quot;/&gt;&lt;wsp:rsid wsp:val=&quot;00A409DE&quot;/&gt;&lt;wsp:rsid wsp:val=&quot;00A40BCE&quot;/&gt;&lt;wsp:rsid wsp:val=&quot;00A40BFC&quot;/&gt;&lt;wsp:rsid wsp:val=&quot;00A40D21&quot;/&gt;&lt;wsp:rsid wsp:val=&quot;00A40F7F&quot;/&gt;&lt;wsp:rsid wsp:val=&quot;00A410FB&quot;/&gt;&lt;wsp:rsid wsp:val=&quot;00A418E4&quot;/&gt;&lt;wsp:rsid wsp:val=&quot;00A419B2&quot;/&gt;&lt;wsp:rsid wsp:val=&quot;00A419ED&quot;/&gt;&lt;wsp:rsid wsp:val=&quot;00A41CAD&quot;/&gt;&lt;wsp:rsid wsp:val=&quot;00A41E81&quot;/&gt;&lt;wsp:rsid wsp:val=&quot;00A420F4&quot;/&gt;&lt;wsp:rsid wsp:val=&quot;00A42101&quot;/&gt;&lt;wsp:rsid wsp:val=&quot;00A4213D&quot;/&gt;&lt;wsp:rsid wsp:val=&quot;00A4223B&quot;/&gt;&lt;wsp:rsid wsp:val=&quot;00A42293&quot;/&gt;&lt;wsp:rsid wsp:val=&quot;00A42341&quot;/&gt;&lt;wsp:rsid wsp:val=&quot;00A42474&quot;/&gt;&lt;wsp:rsid wsp:val=&quot;00A4264B&quot;/&gt;&lt;wsp:rsid wsp:val=&quot;00A42727&quot;/&gt;&lt;wsp:rsid wsp:val=&quot;00A429C5&quot;/&gt;&lt;wsp:rsid wsp:val=&quot;00A42A52&quot;/&gt;&lt;wsp:rsid wsp:val=&quot;00A42D03&quot;/&gt;&lt;wsp:rsid wsp:val=&quot;00A432AB&quot;/&gt;&lt;wsp:rsid wsp:val=&quot;00A43343&quot;/&gt;&lt;wsp:rsid wsp:val=&quot;00A433D1&quot;/&gt;&lt;wsp:rsid wsp:val=&quot;00A43919&quot;/&gt;&lt;wsp:rsid wsp:val=&quot;00A43A6F&quot;/&gt;&lt;wsp:rsid wsp:val=&quot;00A43ACB&quot;/&gt;&lt;wsp:rsid wsp:val=&quot;00A44048&quot;/&gt;&lt;wsp:rsid wsp:val=&quot;00A446BA&quot;/&gt;&lt;wsp:rsid wsp:val=&quot;00A448C8&quot;/&gt;&lt;wsp:rsid wsp:val=&quot;00A44CBA&quot;/&gt;&lt;wsp:rsid wsp:val=&quot;00A44F75&quot;/&gt;&lt;wsp:rsid wsp:val=&quot;00A44FF9&quot;/&gt;&lt;wsp:rsid wsp:val=&quot;00A4517D&quot;/&gt;&lt;wsp:rsid wsp:val=&quot;00A45311&quot;/&gt;&lt;wsp:rsid wsp:val=&quot;00A45394&quot;/&gt;&lt;wsp:rsid wsp:val=&quot;00A4566B&quot;/&gt;&lt;wsp:rsid wsp:val=&quot;00A4567E&quot;/&gt;&lt;wsp:rsid wsp:val=&quot;00A4574C&quot;/&gt;&lt;wsp:rsid wsp:val=&quot;00A45865&quot;/&gt;&lt;wsp:rsid wsp:val=&quot;00A45D3B&quot;/&gt;&lt;wsp:rsid wsp:val=&quot;00A46005&quot;/&gt;&lt;wsp:rsid wsp:val=&quot;00A46584&quot;/&gt;&lt;wsp:rsid wsp:val=&quot;00A46680&quot;/&gt;&lt;wsp:rsid wsp:val=&quot;00A466F4&quot;/&gt;&lt;wsp:rsid wsp:val=&quot;00A468B9&quot;/&gt;&lt;wsp:rsid wsp:val=&quot;00A470DA&quot;/&gt;&lt;wsp:rsid wsp:val=&quot;00A474A0&quot;/&gt;&lt;wsp:rsid wsp:val=&quot;00A4767B&quot;/&gt;&lt;wsp:rsid wsp:val=&quot;00A4767C&quot;/&gt;&lt;wsp:rsid wsp:val=&quot;00A477CC&quot;/&gt;&lt;wsp:rsid wsp:val=&quot;00A4783B&quot;/&gt;&lt;wsp:rsid wsp:val=&quot;00A478DF&quot;/&gt;&lt;wsp:rsid wsp:val=&quot;00A47E27&quot;/&gt;&lt;wsp:rsid wsp:val=&quot;00A47E31&quot;/&gt;&lt;wsp:rsid wsp:val=&quot;00A47EE6&quot;/&gt;&lt;wsp:rsid wsp:val=&quot;00A5024A&quot;/&gt;&lt;wsp:rsid wsp:val=&quot;00A502A4&quot;/&gt;&lt;wsp:rsid wsp:val=&quot;00A5062E&quot;/&gt;&lt;wsp:rsid wsp:val=&quot;00A5063E&quot;/&gt;&lt;wsp:rsid wsp:val=&quot;00A50765&quot;/&gt;&lt;wsp:rsid wsp:val=&quot;00A507D1&quot;/&gt;&lt;wsp:rsid wsp:val=&quot;00A5098B&quot;/&gt;&lt;wsp:rsid wsp:val=&quot;00A509A3&quot;/&gt;&lt;wsp:rsid wsp:val=&quot;00A50C32&quot;/&gt;&lt;wsp:rsid wsp:val=&quot;00A50EA4&quot;/&gt;&lt;wsp:rsid wsp:val=&quot;00A50ECC&quot;/&gt;&lt;wsp:rsid wsp:val=&quot;00A50F8E&quot;/&gt;&lt;wsp:rsid wsp:val=&quot;00A51A0B&quot;/&gt;&lt;wsp:rsid wsp:val=&quot;00A51AF6&quot;/&gt;&lt;wsp:rsid wsp:val=&quot;00A51CC3&quot;/&gt;&lt;wsp:rsid wsp:val=&quot;00A51EFC&quot;/&gt;&lt;wsp:rsid wsp:val=&quot;00A52096&quot;/&gt;&lt;wsp:rsid wsp:val=&quot;00A520B4&quot;/&gt;&lt;wsp:rsid wsp:val=&quot;00A522CB&quot;/&gt;&lt;wsp:rsid wsp:val=&quot;00A52680&quot;/&gt;&lt;wsp:rsid wsp:val=&quot;00A52789&quot;/&gt;&lt;wsp:rsid wsp:val=&quot;00A527BA&quot;/&gt;&lt;wsp:rsid wsp:val=&quot;00A52C3A&quot;/&gt;&lt;wsp:rsid wsp:val=&quot;00A52FD0&quot;/&gt;&lt;wsp:rsid wsp:val=&quot;00A530BD&quot;/&gt;&lt;wsp:rsid wsp:val=&quot;00A531FF&quot;/&gt;&lt;wsp:rsid wsp:val=&quot;00A53536&quot;/&gt;&lt;wsp:rsid wsp:val=&quot;00A536CE&quot;/&gt;&lt;wsp:rsid wsp:val=&quot;00A53A7A&quot;/&gt;&lt;wsp:rsid wsp:val=&quot;00A53C3C&quot;/&gt;&lt;wsp:rsid wsp:val=&quot;00A53E6F&quot;/&gt;&lt;wsp:rsid wsp:val=&quot;00A5457C&quot;/&gt;&lt;wsp:rsid wsp:val=&quot;00A54631&quot;/&gt;&lt;wsp:rsid wsp:val=&quot;00A548BA&quot;/&gt;&lt;wsp:rsid wsp:val=&quot;00A5497A&quot;/&gt;&lt;wsp:rsid wsp:val=&quot;00A54D5C&quot;/&gt;&lt;wsp:rsid wsp:val=&quot;00A54E17&quot;/&gt;&lt;wsp:rsid wsp:val=&quot;00A5525A&quot;/&gt;&lt;wsp:rsid wsp:val=&quot;00A553AA&quot;/&gt;&lt;wsp:rsid wsp:val=&quot;00A55474&quot;/&gt;&lt;wsp:rsid wsp:val=&quot;00A557F8&quot;/&gt;&lt;wsp:rsid wsp:val=&quot;00A559C3&quot;/&gt;&lt;wsp:rsid wsp:val=&quot;00A55C3C&quot;/&gt;&lt;wsp:rsid wsp:val=&quot;00A55EFC&quot;/&gt;&lt;wsp:rsid wsp:val=&quot;00A55F2A&quot;/&gt;&lt;wsp:rsid wsp:val=&quot;00A55FDF&quot;/&gt;&lt;wsp:rsid wsp:val=&quot;00A56A02&quot;/&gt;&lt;wsp:rsid wsp:val=&quot;00A56AE0&quot;/&gt;&lt;wsp:rsid wsp:val=&quot;00A56BFB&quot;/&gt;&lt;wsp:rsid wsp:val=&quot;00A56CFD&quot;/&gt;&lt;wsp:rsid wsp:val=&quot;00A56E29&quot;/&gt;&lt;wsp:rsid wsp:val=&quot;00A56F6F&quot;/&gt;&lt;wsp:rsid wsp:val=&quot;00A57178&quot;/&gt;&lt;wsp:rsid wsp:val=&quot;00A5751A&quot;/&gt;&lt;wsp:rsid wsp:val=&quot;00A57592&quot;/&gt;&lt;wsp:rsid wsp:val=&quot;00A577A4&quot;/&gt;&lt;wsp:rsid wsp:val=&quot;00A57A54&quot;/&gt;&lt;wsp:rsid wsp:val=&quot;00A57D39&quot;/&gt;&lt;wsp:rsid wsp:val=&quot;00A57D40&quot;/&gt;&lt;wsp:rsid wsp:val=&quot;00A60002&quot;/&gt;&lt;wsp:rsid wsp:val=&quot;00A601B9&quot;/&gt;&lt;wsp:rsid wsp:val=&quot;00A602CE&quot;/&gt;&lt;wsp:rsid wsp:val=&quot;00A603C7&quot;/&gt;&lt;wsp:rsid wsp:val=&quot;00A60822&quot;/&gt;&lt;wsp:rsid wsp:val=&quot;00A608E5&quot;/&gt;&lt;wsp:rsid wsp:val=&quot;00A60A5F&quot;/&gt;&lt;wsp:rsid wsp:val=&quot;00A60B6C&quot;/&gt;&lt;wsp:rsid wsp:val=&quot;00A60C4C&quot;/&gt;&lt;wsp:rsid wsp:val=&quot;00A60CB4&quot;/&gt;&lt;wsp:rsid wsp:val=&quot;00A60E02&quot;/&gt;&lt;wsp:rsid wsp:val=&quot;00A60E88&quot;/&gt;&lt;wsp:rsid wsp:val=&quot;00A612DC&quot;/&gt;&lt;wsp:rsid wsp:val=&quot;00A61D33&quot;/&gt;&lt;wsp:rsid wsp:val=&quot;00A61D8F&quot;/&gt;&lt;wsp:rsid wsp:val=&quot;00A62116&quot;/&gt;&lt;wsp:rsid wsp:val=&quot;00A623EF&quot;/&gt;&lt;wsp:rsid wsp:val=&quot;00A6298A&quot;/&gt;&lt;wsp:rsid wsp:val=&quot;00A629FE&quot;/&gt;&lt;wsp:rsid wsp:val=&quot;00A6308D&quot;/&gt;&lt;wsp:rsid wsp:val=&quot;00A6326C&quot;/&gt;&lt;wsp:rsid wsp:val=&quot;00A636FA&quot;/&gt;&lt;wsp:rsid wsp:val=&quot;00A63E2B&quot;/&gt;&lt;wsp:rsid wsp:val=&quot;00A640C2&quot;/&gt;&lt;wsp:rsid wsp:val=&quot;00A64101&quot;/&gt;&lt;wsp:rsid wsp:val=&quot;00A641AC&quot;/&gt;&lt;wsp:rsid wsp:val=&quot;00A64372&quot;/&gt;&lt;wsp:rsid wsp:val=&quot;00A643C9&quot;/&gt;&lt;wsp:rsid wsp:val=&quot;00A645F7&quot;/&gt;&lt;wsp:rsid wsp:val=&quot;00A64779&quot;/&gt;&lt;wsp:rsid wsp:val=&quot;00A64B6E&quot;/&gt;&lt;wsp:rsid wsp:val=&quot;00A64D2D&quot;/&gt;&lt;wsp:rsid wsp:val=&quot;00A64D9C&quot;/&gt;&lt;wsp:rsid wsp:val=&quot;00A65233&quot;/&gt;&lt;wsp:rsid wsp:val=&quot;00A653A3&quot;/&gt;&lt;wsp:rsid wsp:val=&quot;00A65492&quot;/&gt;&lt;wsp:rsid wsp:val=&quot;00A654E6&quot;/&gt;&lt;wsp:rsid wsp:val=&quot;00A65519&quot;/&gt;&lt;wsp:rsid wsp:val=&quot;00A65930&quot;/&gt;&lt;wsp:rsid wsp:val=&quot;00A65B0D&quot;/&gt;&lt;wsp:rsid wsp:val=&quot;00A65F26&quot;/&gt;&lt;wsp:rsid wsp:val=&quot;00A66144&quot;/&gt;&lt;wsp:rsid wsp:val=&quot;00A667C1&quot;/&gt;&lt;wsp:rsid wsp:val=&quot;00A6681D&quot;/&gt;&lt;wsp:rsid wsp:val=&quot;00A66904&quot;/&gt;&lt;wsp:rsid wsp:val=&quot;00A66AB7&quot;/&gt;&lt;wsp:rsid wsp:val=&quot;00A66D01&quot;/&gt;&lt;wsp:rsid wsp:val=&quot;00A66D93&quot;/&gt;&lt;wsp:rsid wsp:val=&quot;00A66E58&quot;/&gt;&lt;wsp:rsid wsp:val=&quot;00A67119&quot;/&gt;&lt;wsp:rsid wsp:val=&quot;00A671A7&quot;/&gt;&lt;wsp:rsid wsp:val=&quot;00A674F3&quot;/&gt;&lt;wsp:rsid wsp:val=&quot;00A67A51&quot;/&gt;&lt;wsp:rsid wsp:val=&quot;00A67EA7&quot;/&gt;&lt;wsp:rsid wsp:val=&quot;00A67F63&quot;/&gt;&lt;wsp:rsid wsp:val=&quot;00A700E2&quot;/&gt;&lt;wsp:rsid wsp:val=&quot;00A701F0&quot;/&gt;&lt;wsp:rsid wsp:val=&quot;00A706AB&quot;/&gt;&lt;wsp:rsid wsp:val=&quot;00A70834&quot;/&gt;&lt;wsp:rsid wsp:val=&quot;00A7099E&quot;/&gt;&lt;wsp:rsid wsp:val=&quot;00A70DEC&quot;/&gt;&lt;wsp:rsid wsp:val=&quot;00A70EC0&quot;/&gt;&lt;wsp:rsid wsp:val=&quot;00A70EF1&quot;/&gt;&lt;wsp:rsid wsp:val=&quot;00A70F89&quot;/&gt;&lt;wsp:rsid wsp:val=&quot;00A7101B&quot;/&gt;&lt;wsp:rsid wsp:val=&quot;00A712DC&quot;/&gt;&lt;wsp:rsid wsp:val=&quot;00A713A1&quot;/&gt;&lt;wsp:rsid wsp:val=&quot;00A713BE&quot;/&gt;&lt;wsp:rsid wsp:val=&quot;00A7151D&quot;/&gt;&lt;wsp:rsid wsp:val=&quot;00A71704&quot;/&gt;&lt;wsp:rsid wsp:val=&quot;00A71764&quot;/&gt;&lt;wsp:rsid wsp:val=&quot;00A71843&quot;/&gt;&lt;wsp:rsid wsp:val=&quot;00A71AA5&quot;/&gt;&lt;wsp:rsid wsp:val=&quot;00A71E06&quot;/&gt;&lt;wsp:rsid wsp:val=&quot;00A71E82&quot;/&gt;&lt;wsp:rsid wsp:val=&quot;00A71E86&quot;/&gt;&lt;wsp:rsid wsp:val=&quot;00A71F2E&quot;/&gt;&lt;wsp:rsid wsp:val=&quot;00A72AD5&quot;/&gt;&lt;wsp:rsid wsp:val=&quot;00A72B90&quot;/&gt;&lt;wsp:rsid wsp:val=&quot;00A72C06&quot;/&gt;&lt;wsp:rsid wsp:val=&quot;00A72DFF&quot;/&gt;&lt;wsp:rsid wsp:val=&quot;00A72E95&quot;/&gt;&lt;wsp:rsid wsp:val=&quot;00A72F47&quot;/&gt;&lt;wsp:rsid wsp:val=&quot;00A72FA4&quot;/&gt;&lt;wsp:rsid wsp:val=&quot;00A730F4&quot;/&gt;&lt;wsp:rsid wsp:val=&quot;00A73314&quot;/&gt;&lt;wsp:rsid wsp:val=&quot;00A7341F&quot;/&gt;&lt;wsp:rsid wsp:val=&quot;00A736A3&quot;/&gt;&lt;wsp:rsid wsp:val=&quot;00A73848&quot;/&gt;&lt;wsp:rsid wsp:val=&quot;00A73858&quot;/&gt;&lt;wsp:rsid wsp:val=&quot;00A73876&quot;/&gt;&lt;wsp:rsid wsp:val=&quot;00A74035&quot;/&gt;&lt;wsp:rsid wsp:val=&quot;00A7429B&quot;/&gt;&lt;wsp:rsid wsp:val=&quot;00A745C8&quot;/&gt;&lt;wsp:rsid wsp:val=&quot;00A74D4B&quot;/&gt;&lt;wsp:rsid wsp:val=&quot;00A750A6&quot;/&gt;&lt;wsp:rsid wsp:val=&quot;00A7548F&quot;/&gt;&lt;wsp:rsid wsp:val=&quot;00A756F3&quot;/&gt;&lt;wsp:rsid wsp:val=&quot;00A75A38&quot;/&gt;&lt;wsp:rsid wsp:val=&quot;00A75AB6&quot;/&gt;&lt;wsp:rsid wsp:val=&quot;00A75B1E&quot;/&gt;&lt;wsp:rsid wsp:val=&quot;00A75DCC&quot;/&gt;&lt;wsp:rsid wsp:val=&quot;00A75F7D&quot;/&gt;&lt;wsp:rsid wsp:val=&quot;00A76191&quot;/&gt;&lt;wsp:rsid wsp:val=&quot;00A7683B&quot;/&gt;&lt;wsp:rsid wsp:val=&quot;00A768E4&quot;/&gt;&lt;wsp:rsid wsp:val=&quot;00A76E8A&quot;/&gt;&lt;wsp:rsid wsp:val=&quot;00A76F1D&quot;/&gt;&lt;wsp:rsid wsp:val=&quot;00A7715D&quot;/&gt;&lt;wsp:rsid wsp:val=&quot;00A7726A&quot;/&gt;&lt;wsp:rsid wsp:val=&quot;00A773DF&quot;/&gt;&lt;wsp:rsid wsp:val=&quot;00A77557&quot;/&gt;&lt;wsp:rsid wsp:val=&quot;00A776E5&quot;/&gt;&lt;wsp:rsid wsp:val=&quot;00A778D4&quot;/&gt;&lt;wsp:rsid wsp:val=&quot;00A77C0F&quot;/&gt;&lt;wsp:rsid wsp:val=&quot;00A77CA5&quot;/&gt;&lt;wsp:rsid wsp:val=&quot;00A77E71&quot;/&gt;&lt;wsp:rsid wsp:val=&quot;00A8013D&quot;/&gt;&lt;wsp:rsid wsp:val=&quot;00A805EE&quot;/&gt;&lt;wsp:rsid wsp:val=&quot;00A8073C&quot;/&gt;&lt;wsp:rsid wsp:val=&quot;00A80982&quot;/&gt;&lt;wsp:rsid wsp:val=&quot;00A80B22&quot;/&gt;&lt;wsp:rsid wsp:val=&quot;00A80C45&quot;/&gt;&lt;wsp:rsid wsp:val=&quot;00A8116A&quot;/&gt;&lt;wsp:rsid wsp:val=&quot;00A81253&quot;/&gt;&lt;wsp:rsid wsp:val=&quot;00A81266&quot;/&gt;&lt;wsp:rsid wsp:val=&quot;00A81290&quot;/&gt;&lt;wsp:rsid wsp:val=&quot;00A81353&quot;/&gt;&lt;wsp:rsid wsp:val=&quot;00A81541&quot;/&gt;&lt;wsp:rsid wsp:val=&quot;00A815A9&quot;/&gt;&lt;wsp:rsid wsp:val=&quot;00A81A9C&quot;/&gt;&lt;wsp:rsid wsp:val=&quot;00A81D07&quot;/&gt;&lt;wsp:rsid wsp:val=&quot;00A81D43&quot;/&gt;&lt;wsp:rsid wsp:val=&quot;00A820B8&quot;/&gt;&lt;wsp:rsid wsp:val=&quot;00A82139&quot;/&gt;&lt;wsp:rsid wsp:val=&quot;00A82905&quot;/&gt;&lt;wsp:rsid wsp:val=&quot;00A82B16&quot;/&gt;&lt;wsp:rsid wsp:val=&quot;00A82C2F&quot;/&gt;&lt;wsp:rsid wsp:val=&quot;00A82DF0&quot;/&gt;&lt;wsp:rsid wsp:val=&quot;00A82FE1&quot;/&gt;&lt;wsp:rsid wsp:val=&quot;00A8308F&quot;/&gt;&lt;wsp:rsid wsp:val=&quot;00A83188&quot;/&gt;&lt;wsp:rsid wsp:val=&quot;00A8343E&quot;/&gt;&lt;wsp:rsid wsp:val=&quot;00A835FF&quot;/&gt;&lt;wsp:rsid wsp:val=&quot;00A838A0&quot;/&gt;&lt;wsp:rsid wsp:val=&quot;00A83DF5&quot;/&gt;&lt;wsp:rsid wsp:val=&quot;00A8404A&quot;/&gt;&lt;wsp:rsid wsp:val=&quot;00A840EE&quot;/&gt;&lt;wsp:rsid wsp:val=&quot;00A84340&quot;/&gt;&lt;wsp:rsid wsp:val=&quot;00A843BF&quot;/&gt;&lt;wsp:rsid wsp:val=&quot;00A84A92&quot;/&gt;&lt;wsp:rsid wsp:val=&quot;00A84AF2&quot;/&gt;&lt;wsp:rsid wsp:val=&quot;00A84BC7&quot;/&gt;&lt;wsp:rsid wsp:val=&quot;00A84D42&quot;/&gt;&lt;wsp:rsid wsp:val=&quot;00A84DD3&quot;/&gt;&lt;wsp:rsid wsp:val=&quot;00A850BD&quot;/&gt;&lt;wsp:rsid wsp:val=&quot;00A851B7&quot;/&gt;&lt;wsp:rsid wsp:val=&quot;00A853E3&quot;/&gt;&lt;wsp:rsid wsp:val=&quot;00A855E1&quot;/&gt;&lt;wsp:rsid wsp:val=&quot;00A858F4&quot;/&gt;&lt;wsp:rsid wsp:val=&quot;00A85A3C&quot;/&gt;&lt;wsp:rsid wsp:val=&quot;00A85C00&quot;/&gt;&lt;wsp:rsid wsp:val=&quot;00A85DEF&quot;/&gt;&lt;wsp:rsid wsp:val=&quot;00A85F4B&quot;/&gt;&lt;wsp:rsid wsp:val=&quot;00A85FDB&quot;/&gt;&lt;wsp:rsid wsp:val=&quot;00A8626B&quot;/&gt;&lt;wsp:rsid wsp:val=&quot;00A8626D&quot;/&gt;&lt;wsp:rsid wsp:val=&quot;00A8643C&quot;/&gt;&lt;wsp:rsid wsp:val=&quot;00A864F8&quot;/&gt;&lt;wsp:rsid wsp:val=&quot;00A86656&quot;/&gt;&lt;wsp:rsid wsp:val=&quot;00A866D8&quot;/&gt;&lt;wsp:rsid wsp:val=&quot;00A86810&quot;/&gt;&lt;wsp:rsid wsp:val=&quot;00A86947&quot;/&gt;&lt;wsp:rsid wsp:val=&quot;00A86968&quot;/&gt;&lt;wsp:rsid wsp:val=&quot;00A86A80&quot;/&gt;&lt;wsp:rsid wsp:val=&quot;00A86B8A&quot;/&gt;&lt;wsp:rsid wsp:val=&quot;00A86FA1&quot;/&gt;&lt;wsp:rsid wsp:val=&quot;00A87244&quot;/&gt;&lt;wsp:rsid wsp:val=&quot;00A8776C&quot;/&gt;&lt;wsp:rsid wsp:val=&quot;00A87989&quot;/&gt;&lt;wsp:rsid wsp:val=&quot;00A87B2B&quot;/&gt;&lt;wsp:rsid wsp:val=&quot;00A87BBB&quot;/&gt;&lt;wsp:rsid wsp:val=&quot;00A87EB8&quot;/&gt;&lt;wsp:rsid wsp:val=&quot;00A87FDF&quot;/&gt;&lt;wsp:rsid wsp:val=&quot;00A90088&quot;/&gt;&lt;wsp:rsid wsp:val=&quot;00A901B1&quot;/&gt;&lt;wsp:rsid wsp:val=&quot;00A90618&quot;/&gt;&lt;wsp:rsid wsp:val=&quot;00A90DB6&quot;/&gt;&lt;wsp:rsid wsp:val=&quot;00A9105C&quot;/&gt;&lt;wsp:rsid wsp:val=&quot;00A9138C&quot;/&gt;&lt;wsp:rsid wsp:val=&quot;00A914A2&quot;/&gt;&lt;wsp:rsid wsp:val=&quot;00A91628&quot;/&gt;&lt;wsp:rsid wsp:val=&quot;00A91CEB&quot;/&gt;&lt;wsp:rsid wsp:val=&quot;00A91D5E&quot;/&gt;&lt;wsp:rsid wsp:val=&quot;00A92062&quot;/&gt;&lt;wsp:rsid wsp:val=&quot;00A9293D&quot;/&gt;&lt;wsp:rsid wsp:val=&quot;00A92982&quot;/&gt;&lt;wsp:rsid wsp:val=&quot;00A92B3C&quot;/&gt;&lt;wsp:rsid wsp:val=&quot;00A92CA9&quot;/&gt;&lt;wsp:rsid wsp:val=&quot;00A92E0F&quot;/&gt;&lt;wsp:rsid wsp:val=&quot;00A92F22&quot;/&gt;&lt;wsp:rsid wsp:val=&quot;00A934CB&quot;/&gt;&lt;wsp:rsid wsp:val=&quot;00A9374D&quot;/&gt;&lt;wsp:rsid wsp:val=&quot;00A93816&quot;/&gt;&lt;wsp:rsid wsp:val=&quot;00A93818&quot;/&gt;&lt;wsp:rsid wsp:val=&quot;00A9383B&quot;/&gt;&lt;wsp:rsid wsp:val=&quot;00A939B4&quot;/&gt;&lt;wsp:rsid wsp:val=&quot;00A939E2&quot;/&gt;&lt;wsp:rsid wsp:val=&quot;00A93B37&quot;/&gt;&lt;wsp:rsid wsp:val=&quot;00A93DDA&quot;/&gt;&lt;wsp:rsid wsp:val=&quot;00A93EC7&quot;/&gt;&lt;wsp:rsid wsp:val=&quot;00A93EEC&quot;/&gt;&lt;wsp:rsid wsp:val=&quot;00A94056&quot;/&gt;&lt;wsp:rsid wsp:val=&quot;00A9417A&quot;/&gt;&lt;wsp:rsid wsp:val=&quot;00A9499D&quot;/&gt;&lt;wsp:rsid wsp:val=&quot;00A94B15&quot;/&gt;&lt;wsp:rsid wsp:val=&quot;00A94DD3&quot;/&gt;&lt;wsp:rsid wsp:val=&quot;00A94DF7&quot;/&gt;&lt;wsp:rsid wsp:val=&quot;00A94E70&quot;/&gt;&lt;wsp:rsid wsp:val=&quot;00A94F60&quot;/&gt;&lt;wsp:rsid wsp:val=&quot;00A95095&quot;/&gt;&lt;wsp:rsid wsp:val=&quot;00A9578F&quot;/&gt;&lt;wsp:rsid wsp:val=&quot;00A95C20&quot;/&gt;&lt;wsp:rsid wsp:val=&quot;00A95C77&quot;/&gt;&lt;wsp:rsid wsp:val=&quot;00A95DD5&quot;/&gt;&lt;wsp:rsid wsp:val=&quot;00A95E1A&quot;/&gt;&lt;wsp:rsid wsp:val=&quot;00A96031&quot;/&gt;&lt;wsp:rsid wsp:val=&quot;00A960CA&quot;/&gt;&lt;wsp:rsid wsp:val=&quot;00A962E9&quot;/&gt;&lt;wsp:rsid wsp:val=&quot;00A96413&quot;/&gt;&lt;wsp:rsid wsp:val=&quot;00A9683D&quot;/&gt;&lt;wsp:rsid wsp:val=&quot;00A96DEE&quot;/&gt;&lt;wsp:rsid wsp:val=&quot;00A96EF0&quot;/&gt;&lt;wsp:rsid wsp:val=&quot;00A96F4D&quot;/&gt;&lt;wsp:rsid wsp:val=&quot;00A970A8&quot;/&gt;&lt;wsp:rsid wsp:val=&quot;00A97566&quot;/&gt;&lt;wsp:rsid wsp:val=&quot;00A975D8&quot;/&gt;&lt;wsp:rsid wsp:val=&quot;00A976A1&quot;/&gt;&lt;wsp:rsid wsp:val=&quot;00A97972&quot;/&gt;&lt;wsp:rsid wsp:val=&quot;00A97A5B&quot;/&gt;&lt;wsp:rsid wsp:val=&quot;00A97BA4&quot;/&gt;&lt;wsp:rsid wsp:val=&quot;00A97BF3&quot;/&gt;&lt;wsp:rsid wsp:val=&quot;00A97CC9&quot;/&gt;&lt;wsp:rsid wsp:val=&quot;00A97DBF&quot;/&gt;&lt;wsp:rsid wsp:val=&quot;00AA0095&quot;/&gt;&lt;wsp:rsid wsp:val=&quot;00AA0176&quot;/&gt;&lt;wsp:rsid wsp:val=&quot;00AA01A8&quot;/&gt;&lt;wsp:rsid wsp:val=&quot;00AA0384&quot;/&gt;&lt;wsp:rsid wsp:val=&quot;00AA05BC&quot;/&gt;&lt;wsp:rsid wsp:val=&quot;00AA080A&quot;/&gt;&lt;wsp:rsid wsp:val=&quot;00AA0C3D&quot;/&gt;&lt;wsp:rsid wsp:val=&quot;00AA1085&quot;/&gt;&lt;wsp:rsid wsp:val=&quot;00AA1434&quot;/&gt;&lt;wsp:rsid wsp:val=&quot;00AA158C&quot;/&gt;&lt;wsp:rsid wsp:val=&quot;00AA1652&quot;/&gt;&lt;wsp:rsid wsp:val=&quot;00AA18FA&quot;/&gt;&lt;wsp:rsid wsp:val=&quot;00AA19FB&quot;/&gt;&lt;wsp:rsid wsp:val=&quot;00AA258E&quot;/&gt;&lt;wsp:rsid wsp:val=&quot;00AA259C&quot;/&gt;&lt;wsp:rsid wsp:val=&quot;00AA27E0&quot;/&gt;&lt;wsp:rsid wsp:val=&quot;00AA2837&quot;/&gt;&lt;wsp:rsid wsp:val=&quot;00AA2866&quot;/&gt;&lt;wsp:rsid wsp:val=&quot;00AA2D52&quot;/&gt;&lt;wsp:rsid wsp:val=&quot;00AA2F21&quot;/&gt;&lt;wsp:rsid wsp:val=&quot;00AA3090&quot;/&gt;&lt;wsp:rsid wsp:val=&quot;00AA340A&quot;/&gt;&lt;wsp:rsid wsp:val=&quot;00AA34B0&quot;/&gt;&lt;wsp:rsid wsp:val=&quot;00AA372F&quot;/&gt;&lt;wsp:rsid wsp:val=&quot;00AA3B5D&quot;/&gt;&lt;wsp:rsid wsp:val=&quot;00AA3D26&quot;/&gt;&lt;wsp:rsid wsp:val=&quot;00AA3F9E&quot;/&gt;&lt;wsp:rsid wsp:val=&quot;00AA41C3&quot;/&gt;&lt;wsp:rsid wsp:val=&quot;00AA4212&quot;/&gt;&lt;wsp:rsid wsp:val=&quot;00AA421B&quot;/&gt;&lt;wsp:rsid wsp:val=&quot;00AA436D&quot;/&gt;&lt;wsp:rsid wsp:val=&quot;00AA45A5&quot;/&gt;&lt;wsp:rsid wsp:val=&quot;00AA49DA&quot;/&gt;&lt;wsp:rsid wsp:val=&quot;00AA4B20&quot;/&gt;&lt;wsp:rsid wsp:val=&quot;00AA4C83&quot;/&gt;&lt;wsp:rsid wsp:val=&quot;00AA4F99&quot;/&gt;&lt;wsp:rsid wsp:val=&quot;00AA4FA1&quot;/&gt;&lt;wsp:rsid wsp:val=&quot;00AA5068&quot;/&gt;&lt;wsp:rsid wsp:val=&quot;00AA5A3C&quot;/&gt;&lt;wsp:rsid wsp:val=&quot;00AA5A7E&quot;/&gt;&lt;wsp:rsid wsp:val=&quot;00AA5ACE&quot;/&gt;&lt;wsp:rsid wsp:val=&quot;00AA6823&quot;/&gt;&lt;wsp:rsid wsp:val=&quot;00AA68E2&quot;/&gt;&lt;wsp:rsid wsp:val=&quot;00AA6968&quot;/&gt;&lt;wsp:rsid wsp:val=&quot;00AA6AA6&quot;/&gt;&lt;wsp:rsid wsp:val=&quot;00AA6AA8&quot;/&gt;&lt;wsp:rsid wsp:val=&quot;00AA6ADC&quot;/&gt;&lt;wsp:rsid wsp:val=&quot;00AA7807&quot;/&gt;&lt;wsp:rsid wsp:val=&quot;00AA7F4F&quot;/&gt;&lt;wsp:rsid wsp:val=&quot;00AA7FCE&quot;/&gt;&lt;wsp:rsid wsp:val=&quot;00AB045D&quot;/&gt;&lt;wsp:rsid wsp:val=&quot;00AB088A&quot;/&gt;&lt;wsp:rsid wsp:val=&quot;00AB09BF&quot;/&gt;&lt;wsp:rsid wsp:val=&quot;00AB0CBE&quot;/&gt;&lt;wsp:rsid wsp:val=&quot;00AB0E6C&quot;/&gt;&lt;wsp:rsid wsp:val=&quot;00AB1174&quot;/&gt;&lt;wsp:rsid wsp:val=&quot;00AB1459&quot;/&gt;&lt;wsp:rsid wsp:val=&quot;00AB16B9&quot;/&gt;&lt;wsp:rsid wsp:val=&quot;00AB1736&quot;/&gt;&lt;wsp:rsid wsp:val=&quot;00AB17FD&quot;/&gt;&lt;wsp:rsid wsp:val=&quot;00AB1CB5&quot;/&gt;&lt;wsp:rsid wsp:val=&quot;00AB1ECD&quot;/&gt;&lt;wsp:rsid wsp:val=&quot;00AB220E&quot;/&gt;&lt;wsp:rsid wsp:val=&quot;00AB2404&quot;/&gt;&lt;wsp:rsid wsp:val=&quot;00AB25BF&quot;/&gt;&lt;wsp:rsid wsp:val=&quot;00AB25F6&quot;/&gt;&lt;wsp:rsid wsp:val=&quot;00AB2603&quot;/&gt;&lt;wsp:rsid wsp:val=&quot;00AB28FD&quot;/&gt;&lt;wsp:rsid wsp:val=&quot;00AB2BC5&quot;/&gt;&lt;wsp:rsid wsp:val=&quot;00AB2C0F&quot;/&gt;&lt;wsp:rsid wsp:val=&quot;00AB2F25&quot;/&gt;&lt;wsp:rsid wsp:val=&quot;00AB3393&quot;/&gt;&lt;wsp:rsid wsp:val=&quot;00AB387D&quot;/&gt;&lt;wsp:rsid wsp:val=&quot;00AB396F&quot;/&gt;&lt;wsp:rsid wsp:val=&quot;00AB3A31&quot;/&gt;&lt;wsp:rsid wsp:val=&quot;00AB3BBE&quot;/&gt;&lt;wsp:rsid wsp:val=&quot;00AB3D04&quot;/&gt;&lt;wsp:rsid wsp:val=&quot;00AB4134&quot;/&gt;&lt;wsp:rsid wsp:val=&quot;00AB417C&quot;/&gt;&lt;wsp:rsid wsp:val=&quot;00AB4523&quot;/&gt;&lt;wsp:rsid wsp:val=&quot;00AB4548&quot;/&gt;&lt;wsp:rsid wsp:val=&quot;00AB477C&quot;/&gt;&lt;wsp:rsid wsp:val=&quot;00AB48C0&quot;/&gt;&lt;wsp:rsid wsp:val=&quot;00AB4D22&quot;/&gt;&lt;wsp:rsid wsp:val=&quot;00AB5101&quot;/&gt;&lt;wsp:rsid wsp:val=&quot;00AB521B&quot;/&gt;&lt;wsp:rsid wsp:val=&quot;00AB52A9&quot;/&gt;&lt;wsp:rsid wsp:val=&quot;00AB5608&quot;/&gt;&lt;wsp:rsid wsp:val=&quot;00AB595C&quot;/&gt;&lt;wsp:rsid wsp:val=&quot;00AB5AFA&quot;/&gt;&lt;wsp:rsid wsp:val=&quot;00AB5DCF&quot;/&gt;&lt;wsp:rsid wsp:val=&quot;00AB63F5&quot;/&gt;&lt;wsp:rsid wsp:val=&quot;00AB6B0F&quot;/&gt;&lt;wsp:rsid wsp:val=&quot;00AB6C3C&quot;/&gt;&lt;wsp:rsid wsp:val=&quot;00AB6C78&quot;/&gt;&lt;wsp:rsid wsp:val=&quot;00AB6E84&quot;/&gt;&lt;wsp:rsid wsp:val=&quot;00AB6F09&quot;/&gt;&lt;wsp:rsid wsp:val=&quot;00AB767E&quot;/&gt;&lt;wsp:rsid wsp:val=&quot;00AB7DD0&quot;/&gt;&lt;wsp:rsid wsp:val=&quot;00AC0062&quot;/&gt;&lt;wsp:rsid wsp:val=&quot;00AC01C5&quot;/&gt;&lt;wsp:rsid wsp:val=&quot;00AC029F&quot;/&gt;&lt;wsp:rsid wsp:val=&quot;00AC03B0&quot;/&gt;&lt;wsp:rsid wsp:val=&quot;00AC0429&quot;/&gt;&lt;wsp:rsid wsp:val=&quot;00AC0434&quot;/&gt;&lt;wsp:rsid wsp:val=&quot;00AC0550&quot;/&gt;&lt;wsp:rsid wsp:val=&quot;00AC0CEB&quot;/&gt;&lt;wsp:rsid wsp:val=&quot;00AC0EB4&quot;/&gt;&lt;wsp:rsid wsp:val=&quot;00AC0EBE&quot;/&gt;&lt;wsp:rsid wsp:val=&quot;00AC0F55&quot;/&gt;&lt;wsp:rsid wsp:val=&quot;00AC1237&quot;/&gt;&lt;wsp:rsid wsp:val=&quot;00AC15F8&quot;/&gt;&lt;wsp:rsid wsp:val=&quot;00AC1961&quot;/&gt;&lt;wsp:rsid wsp:val=&quot;00AC1B00&quot;/&gt;&lt;wsp:rsid wsp:val=&quot;00AC1FC7&quot;/&gt;&lt;wsp:rsid wsp:val=&quot;00AC20A8&quot;/&gt;&lt;wsp:rsid wsp:val=&quot;00AC20E9&quot;/&gt;&lt;wsp:rsid wsp:val=&quot;00AC21C3&quot;/&gt;&lt;wsp:rsid wsp:val=&quot;00AC2714&quot;/&gt;&lt;wsp:rsid wsp:val=&quot;00AC2F06&quot;/&gt;&lt;wsp:rsid wsp:val=&quot;00AC2FC2&quot;/&gt;&lt;wsp:rsid wsp:val=&quot;00AC301B&quot;/&gt;&lt;wsp:rsid wsp:val=&quot;00AC3116&quot;/&gt;&lt;wsp:rsid wsp:val=&quot;00AC3589&quot;/&gt;&lt;wsp:rsid wsp:val=&quot;00AC35F7&quot;/&gt;&lt;wsp:rsid wsp:val=&quot;00AC3A06&quot;/&gt;&lt;wsp:rsid wsp:val=&quot;00AC3DBC&quot;/&gt;&lt;wsp:rsid wsp:val=&quot;00AC40F4&quot;/&gt;&lt;wsp:rsid wsp:val=&quot;00AC4264&quot;/&gt;&lt;wsp:rsid wsp:val=&quot;00AC438D&quot;/&gt;&lt;wsp:rsid wsp:val=&quot;00AC445B&quot;/&gt;&lt;wsp:rsid wsp:val=&quot;00AC46ED&quot;/&gt;&lt;wsp:rsid wsp:val=&quot;00AC475C&quot;/&gt;&lt;wsp:rsid wsp:val=&quot;00AC4DBE&quot;/&gt;&lt;wsp:rsid wsp:val=&quot;00AC4EC6&quot;/&gt;&lt;wsp:rsid wsp:val=&quot;00AC515F&quot;/&gt;&lt;wsp:rsid wsp:val=&quot;00AC51DC&quot;/&gt;&lt;wsp:rsid wsp:val=&quot;00AC5207&quot;/&gt;&lt;wsp:rsid wsp:val=&quot;00AC544E&quot;/&gt;&lt;wsp:rsid wsp:val=&quot;00AC5496&quot;/&gt;&lt;wsp:rsid wsp:val=&quot;00AC569E&quot;/&gt;&lt;wsp:rsid wsp:val=&quot;00AC58D1&quot;/&gt;&lt;wsp:rsid wsp:val=&quot;00AC592C&quot;/&gt;&lt;wsp:rsid wsp:val=&quot;00AC5C6B&quot;/&gt;&lt;wsp:rsid wsp:val=&quot;00AC5CE3&quot;/&gt;&lt;wsp:rsid wsp:val=&quot;00AC5DF3&quot;/&gt;&lt;wsp:rsid wsp:val=&quot;00AC6209&quot;/&gt;&lt;wsp:rsid wsp:val=&quot;00AC6238&quot;/&gt;&lt;wsp:rsid wsp:val=&quot;00AC6395&quot;/&gt;&lt;wsp:rsid wsp:val=&quot;00AC640C&quot;/&gt;&lt;wsp:rsid wsp:val=&quot;00AC64FC&quot;/&gt;&lt;wsp:rsid wsp:val=&quot;00AC6637&quot;/&gt;&lt;wsp:rsid wsp:val=&quot;00AC6772&quot;/&gt;&lt;wsp:rsid wsp:val=&quot;00AC6A4C&quot;/&gt;&lt;wsp:rsid wsp:val=&quot;00AC6B91&quot;/&gt;&lt;wsp:rsid wsp:val=&quot;00AC6D80&quot;/&gt;&lt;wsp:rsid wsp:val=&quot;00AC6EBD&quot;/&gt;&lt;wsp:rsid wsp:val=&quot;00AC7044&quot;/&gt;&lt;wsp:rsid wsp:val=&quot;00AC7200&quot;/&gt;&lt;wsp:rsid wsp:val=&quot;00AC7263&quot;/&gt;&lt;wsp:rsid wsp:val=&quot;00AC72E3&quot;/&gt;&lt;wsp:rsid wsp:val=&quot;00AC79B4&quot;/&gt;&lt;wsp:rsid wsp:val=&quot;00AC7AC2&quot;/&gt;&lt;wsp:rsid wsp:val=&quot;00AC7B90&quot;/&gt;&lt;wsp:rsid wsp:val=&quot;00AC7BC8&quot;/&gt;&lt;wsp:rsid wsp:val=&quot;00AD0451&quot;/&gt;&lt;wsp:rsid wsp:val=&quot;00AD0519&quot;/&gt;&lt;wsp:rsid wsp:val=&quot;00AD0542&quot;/&gt;&lt;wsp:rsid wsp:val=&quot;00AD0684&quot;/&gt;&lt;wsp:rsid wsp:val=&quot;00AD0961&quot;/&gt;&lt;wsp:rsid wsp:val=&quot;00AD096D&quot;/&gt;&lt;wsp:rsid wsp:val=&quot;00AD0B0F&quot;/&gt;&lt;wsp:rsid wsp:val=&quot;00AD0B1C&quot;/&gt;&lt;wsp:rsid wsp:val=&quot;00AD1BA5&quot;/&gt;&lt;wsp:rsid wsp:val=&quot;00AD1C20&quot;/&gt;&lt;wsp:rsid wsp:val=&quot;00AD1DD5&quot;/&gt;&lt;wsp:rsid wsp:val=&quot;00AD1F02&quot;/&gt;&lt;wsp:rsid wsp:val=&quot;00AD1F2D&quot;/&gt;&lt;wsp:rsid wsp:val=&quot;00AD217A&quot;/&gt;&lt;wsp:rsid wsp:val=&quot;00AD225A&quot;/&gt;&lt;wsp:rsid wsp:val=&quot;00AD249C&quot;/&gt;&lt;wsp:rsid wsp:val=&quot;00AD2553&quot;/&gt;&lt;wsp:rsid wsp:val=&quot;00AD2602&quot;/&gt;&lt;wsp:rsid wsp:val=&quot;00AD2711&quot;/&gt;&lt;wsp:rsid wsp:val=&quot;00AD2831&quot;/&gt;&lt;wsp:rsid wsp:val=&quot;00AD2A02&quot;/&gt;&lt;wsp:rsid wsp:val=&quot;00AD2A11&quot;/&gt;&lt;wsp:rsid wsp:val=&quot;00AD2DF6&quot;/&gt;&lt;wsp:rsid wsp:val=&quot;00AD2E8F&quot;/&gt;&lt;wsp:rsid wsp:val=&quot;00AD2E9C&quot;/&gt;&lt;wsp:rsid wsp:val=&quot;00AD2EBD&quot;/&gt;&lt;wsp:rsid wsp:val=&quot;00AD3473&quot;/&gt;&lt;wsp:rsid wsp:val=&quot;00AD352F&quot;/&gt;&lt;wsp:rsid wsp:val=&quot;00AD3848&quot;/&gt;&lt;wsp:rsid wsp:val=&quot;00AD3A32&quot;/&gt;&lt;wsp:rsid wsp:val=&quot;00AD3E67&quot;/&gt;&lt;wsp:rsid wsp:val=&quot;00AD45A2&quot;/&gt;&lt;wsp:rsid wsp:val=&quot;00AD492B&quot;/&gt;&lt;wsp:rsid wsp:val=&quot;00AD4A7B&quot;/&gt;&lt;wsp:rsid wsp:val=&quot;00AD4CAB&quot;/&gt;&lt;wsp:rsid wsp:val=&quot;00AD4E1C&quot;/&gt;&lt;wsp:rsid wsp:val=&quot;00AD4E4D&quot;/&gt;&lt;wsp:rsid wsp:val=&quot;00AD4E9B&quot;/&gt;&lt;wsp:rsid wsp:val=&quot;00AD4EF4&quot;/&gt;&lt;wsp:rsid wsp:val=&quot;00AD507B&quot;/&gt;&lt;wsp:rsid wsp:val=&quot;00AD5116&quot;/&gt;&lt;wsp:rsid wsp:val=&quot;00AD547B&quot;/&gt;&lt;wsp:rsid wsp:val=&quot;00AD5488&quot;/&gt;&lt;wsp:rsid wsp:val=&quot;00AD55C7&quot;/&gt;&lt;wsp:rsid wsp:val=&quot;00AD561C&quot;/&gt;&lt;wsp:rsid wsp:val=&quot;00AD5A1A&quot;/&gt;&lt;wsp:rsid wsp:val=&quot;00AD5B9F&quot;/&gt;&lt;wsp:rsid wsp:val=&quot;00AD602B&quot;/&gt;&lt;wsp:rsid wsp:val=&quot;00AD6210&quot;/&gt;&lt;wsp:rsid wsp:val=&quot;00AD696E&quot;/&gt;&lt;wsp:rsid wsp:val=&quot;00AD7309&quot;/&gt;&lt;wsp:rsid wsp:val=&quot;00AD73F3&quot;/&gt;&lt;wsp:rsid wsp:val=&quot;00AD74F0&quot;/&gt;&lt;wsp:rsid wsp:val=&quot;00AD75B8&quot;/&gt;&lt;wsp:rsid wsp:val=&quot;00AD7A90&quot;/&gt;&lt;wsp:rsid wsp:val=&quot;00AD7EC5&quot;/&gt;&lt;wsp:rsid wsp:val=&quot;00AE0156&quot;/&gt;&lt;wsp:rsid wsp:val=&quot;00AE0588&quot;/&gt;&lt;wsp:rsid wsp:val=&quot;00AE0F66&quot;/&gt;&lt;wsp:rsid wsp:val=&quot;00AE1B00&quot;/&gt;&lt;wsp:rsid wsp:val=&quot;00AE1C87&quot;/&gt;&lt;wsp:rsid wsp:val=&quot;00AE210C&quot;/&gt;&lt;wsp:rsid wsp:val=&quot;00AE22BC&quot;/&gt;&lt;wsp:rsid wsp:val=&quot;00AE22EC&quot;/&gt;&lt;wsp:rsid wsp:val=&quot;00AE26C9&quot;/&gt;&lt;wsp:rsid wsp:val=&quot;00AE2EAD&quot;/&gt;&lt;wsp:rsid wsp:val=&quot;00AE2F90&quot;/&gt;&lt;wsp:rsid wsp:val=&quot;00AE31FE&quot;/&gt;&lt;wsp:rsid wsp:val=&quot;00AE3B7D&quot;/&gt;&lt;wsp:rsid wsp:val=&quot;00AE3C7A&quot;/&gt;&lt;wsp:rsid wsp:val=&quot;00AE3C84&quot;/&gt;&lt;wsp:rsid wsp:val=&quot;00AE4019&quot;/&gt;&lt;wsp:rsid wsp:val=&quot;00AE4236&quot;/&gt;&lt;wsp:rsid wsp:val=&quot;00AE42D5&quot;/&gt;&lt;wsp:rsid wsp:val=&quot;00AE4332&quot;/&gt;&lt;wsp:rsid wsp:val=&quot;00AE4396&quot;/&gt;&lt;wsp:rsid wsp:val=&quot;00AE4586&quot;/&gt;&lt;wsp:rsid wsp:val=&quot;00AE4A15&quot;/&gt;&lt;wsp:rsid wsp:val=&quot;00AE4B39&quot;/&gt;&lt;wsp:rsid wsp:val=&quot;00AE4FD6&quot;/&gt;&lt;wsp:rsid wsp:val=&quot;00AE5071&quot;/&gt;&lt;wsp:rsid wsp:val=&quot;00AE50A6&quot;/&gt;&lt;wsp:rsid wsp:val=&quot;00AE528B&quot;/&gt;&lt;wsp:rsid wsp:val=&quot;00AE53D8&quot;/&gt;&lt;wsp:rsid wsp:val=&quot;00AE55C9&quot;/&gt;&lt;wsp:rsid wsp:val=&quot;00AE569E&quot;/&gt;&lt;wsp:rsid wsp:val=&quot;00AE56B1&quot;/&gt;&lt;wsp:rsid wsp:val=&quot;00AE581B&quot;/&gt;&lt;wsp:rsid wsp:val=&quot;00AE58F6&quot;/&gt;&lt;wsp:rsid wsp:val=&quot;00AE5AC5&quot;/&gt;&lt;wsp:rsid wsp:val=&quot;00AE5AF6&quot;/&gt;&lt;wsp:rsid wsp:val=&quot;00AE5EE0&quot;/&gt;&lt;wsp:rsid wsp:val=&quot;00AE6074&quot;/&gt;&lt;wsp:rsid wsp:val=&quot;00AE60A5&quot;/&gt;&lt;wsp:rsid wsp:val=&quot;00AE60F1&quot;/&gt;&lt;wsp:rsid wsp:val=&quot;00AE661E&quot;/&gt;&lt;wsp:rsid wsp:val=&quot;00AE67AB&quot;/&gt;&lt;wsp:rsid wsp:val=&quot;00AE681E&quot;/&gt;&lt;wsp:rsid wsp:val=&quot;00AE698E&quot;/&gt;&lt;wsp:rsid wsp:val=&quot;00AE7211&quot;/&gt;&lt;wsp:rsid wsp:val=&quot;00AE7222&quot;/&gt;&lt;wsp:rsid wsp:val=&quot;00AE7634&quot;/&gt;&lt;wsp:rsid wsp:val=&quot;00AE7912&quot;/&gt;&lt;wsp:rsid wsp:val=&quot;00AE7A82&quot;/&gt;&lt;wsp:rsid wsp:val=&quot;00AE7F52&quot;/&gt;&lt;wsp:rsid wsp:val=&quot;00AE7F9E&quot;/&gt;&lt;wsp:rsid wsp:val=&quot;00AF03D9&quot;/&gt;&lt;wsp:rsid wsp:val=&quot;00AF0474&quot;/&gt;&lt;wsp:rsid wsp:val=&quot;00AF05A0&quot;/&gt;&lt;wsp:rsid wsp:val=&quot;00AF05EB&quot;/&gt;&lt;wsp:rsid wsp:val=&quot;00AF0864&quot;/&gt;&lt;wsp:rsid wsp:val=&quot;00AF08A6&quot;/&gt;&lt;wsp:rsid wsp:val=&quot;00AF0C15&quot;/&gt;&lt;wsp:rsid wsp:val=&quot;00AF0EA2&quot;/&gt;&lt;wsp:rsid wsp:val=&quot;00AF1024&quot;/&gt;&lt;wsp:rsid wsp:val=&quot;00AF17A7&quot;/&gt;&lt;wsp:rsid wsp:val=&quot;00AF19C2&quot;/&gt;&lt;wsp:rsid wsp:val=&quot;00AF1A13&quot;/&gt;&lt;wsp:rsid wsp:val=&quot;00AF1C35&quot;/&gt;&lt;wsp:rsid wsp:val=&quot;00AF1CCE&quot;/&gt;&lt;wsp:rsid wsp:val=&quot;00AF1CF9&quot;/&gt;&lt;wsp:rsid wsp:val=&quot;00AF1D85&quot;/&gt;&lt;wsp:rsid wsp:val=&quot;00AF2315&quot;/&gt;&lt;wsp:rsid wsp:val=&quot;00AF237C&quot;/&gt;&lt;wsp:rsid wsp:val=&quot;00AF252A&quot;/&gt;&lt;wsp:rsid wsp:val=&quot;00AF25CE&quot;/&gt;&lt;wsp:rsid wsp:val=&quot;00AF27F8&quot;/&gt;&lt;wsp:rsid wsp:val=&quot;00AF28C5&quot;/&gt;&lt;wsp:rsid wsp:val=&quot;00AF28FA&quot;/&gt;&lt;wsp:rsid wsp:val=&quot;00AF29CB&quot;/&gt;&lt;wsp:rsid wsp:val=&quot;00AF2DFF&quot;/&gt;&lt;wsp:rsid wsp:val=&quot;00AF3101&quot;/&gt;&lt;wsp:rsid wsp:val=&quot;00AF3280&quot;/&gt;&lt;wsp:rsid wsp:val=&quot;00AF32C5&quot;/&gt;&lt;wsp:rsid wsp:val=&quot;00AF3A86&quot;/&gt;&lt;wsp:rsid wsp:val=&quot;00AF3C40&quot;/&gt;&lt;wsp:rsid wsp:val=&quot;00AF3DBB&quot;/&gt;&lt;wsp:rsid wsp:val=&quot;00AF3F6B&quot;/&gt;&lt;wsp:rsid wsp:val=&quot;00AF3FDA&quot;/&gt;&lt;wsp:rsid wsp:val=&quot;00AF419F&quot;/&gt;&lt;wsp:rsid wsp:val=&quot;00AF423C&quot;/&gt;&lt;wsp:rsid wsp:val=&quot;00AF443D&quot;/&gt;&lt;wsp:rsid wsp:val=&quot;00AF4645&quot;/&gt;&lt;wsp:rsid wsp:val=&quot;00AF4CB4&quot;/&gt;&lt;wsp:rsid wsp:val=&quot;00AF4FD9&quot;/&gt;&lt;wsp:rsid wsp:val=&quot;00AF54FD&quot;/&gt;&lt;wsp:rsid wsp:val=&quot;00AF553E&quot;/&gt;&lt;wsp:rsid wsp:val=&quot;00AF5553&quot;/&gt;&lt;wsp:rsid wsp:val=&quot;00AF56D8&quot;/&gt;&lt;wsp:rsid wsp:val=&quot;00AF571E&quot;/&gt;&lt;wsp:rsid wsp:val=&quot;00AF5A50&quot;/&gt;&lt;wsp:rsid wsp:val=&quot;00AF5EA7&quot;/&gt;&lt;wsp:rsid wsp:val=&quot;00AF63CC&quot;/&gt;&lt;wsp:rsid wsp:val=&quot;00AF6755&quot;/&gt;&lt;wsp:rsid wsp:val=&quot;00AF68A8&quot;/&gt;&lt;wsp:rsid wsp:val=&quot;00AF692C&quot;/&gt;&lt;wsp:rsid wsp:val=&quot;00AF6C05&quot;/&gt;&lt;wsp:rsid wsp:val=&quot;00AF6C60&quot;/&gt;&lt;wsp:rsid wsp:val=&quot;00AF6E49&quot;/&gt;&lt;wsp:rsid wsp:val=&quot;00AF6EB2&quot;/&gt;&lt;wsp:rsid wsp:val=&quot;00AF6FC4&quot;/&gt;&lt;wsp:rsid wsp:val=&quot;00AF70CA&quot;/&gt;&lt;wsp:rsid wsp:val=&quot;00AF7182&quot;/&gt;&lt;wsp:rsid wsp:val=&quot;00AF7BE0&quot;/&gt;&lt;wsp:rsid wsp:val=&quot;00B00231&quot;/&gt;&lt;wsp:rsid wsp:val=&quot;00B00273&quot;/&gt;&lt;wsp:rsid wsp:val=&quot;00B0070D&quot;/&gt;&lt;wsp:rsid wsp:val=&quot;00B00783&quot;/&gt;&lt;wsp:rsid wsp:val=&quot;00B009D1&quot;/&gt;&lt;wsp:rsid wsp:val=&quot;00B00B45&quot;/&gt;&lt;wsp:rsid wsp:val=&quot;00B012F4&quot;/&gt;&lt;wsp:rsid wsp:val=&quot;00B013AE&quot;/&gt;&lt;wsp:rsid wsp:val=&quot;00B013CF&quot;/&gt;&lt;wsp:rsid wsp:val=&quot;00B014E3&quot;/&gt;&lt;wsp:rsid wsp:val=&quot;00B0166C&quot;/&gt;&lt;wsp:rsid wsp:val=&quot;00B01A84&quot;/&gt;&lt;wsp:rsid wsp:val=&quot;00B0201A&quot;/&gt;&lt;wsp:rsid wsp:val=&quot;00B02154&quot;/&gt;&lt;wsp:rsid wsp:val=&quot;00B02295&quot;/&gt;&lt;wsp:rsid wsp:val=&quot;00B024C8&quot;/&gt;&lt;wsp:rsid wsp:val=&quot;00B027A0&quot;/&gt;&lt;wsp:rsid wsp:val=&quot;00B02C10&quot;/&gt;&lt;wsp:rsid wsp:val=&quot;00B02E2F&quot;/&gt;&lt;wsp:rsid wsp:val=&quot;00B035B3&quot;/&gt;&lt;wsp:rsid wsp:val=&quot;00B03EC0&quot;/&gt;&lt;wsp:rsid wsp:val=&quot;00B04A55&quot;/&gt;&lt;wsp:rsid wsp:val=&quot;00B04B17&quot;/&gt;&lt;wsp:rsid wsp:val=&quot;00B054B9&quot;/&gt;&lt;wsp:rsid wsp:val=&quot;00B05970&quot;/&gt;&lt;wsp:rsid wsp:val=&quot;00B05AEE&quot;/&gt;&lt;wsp:rsid wsp:val=&quot;00B05B11&quot;/&gt;&lt;wsp:rsid wsp:val=&quot;00B05BC4&quot;/&gt;&lt;wsp:rsid wsp:val=&quot;00B05BE5&quot;/&gt;&lt;wsp:rsid wsp:val=&quot;00B05E71&quot;/&gt;&lt;wsp:rsid wsp:val=&quot;00B05F4F&quot;/&gt;&lt;wsp:rsid wsp:val=&quot;00B0666E&quot;/&gt;&lt;wsp:rsid wsp:val=&quot;00B06A5A&quot;/&gt;&lt;wsp:rsid wsp:val=&quot;00B07011&quot;/&gt;&lt;wsp:rsid wsp:val=&quot;00B0722E&quot;/&gt;&lt;wsp:rsid wsp:val=&quot;00B072E2&quot;/&gt;&lt;wsp:rsid wsp:val=&quot;00B0742B&quot;/&gt;&lt;wsp:rsid wsp:val=&quot;00B07430&quot;/&gt;&lt;wsp:rsid wsp:val=&quot;00B07449&quot;/&gt;&lt;wsp:rsid wsp:val=&quot;00B07541&quot;/&gt;&lt;wsp:rsid wsp:val=&quot;00B0774F&quot;/&gt;&lt;wsp:rsid wsp:val=&quot;00B077D2&quot;/&gt;&lt;wsp:rsid wsp:val=&quot;00B07B34&quot;/&gt;&lt;wsp:rsid wsp:val=&quot;00B07C83&quot;/&gt;&lt;wsp:rsid wsp:val=&quot;00B07D8F&quot;/&gt;&lt;wsp:rsid wsp:val=&quot;00B10424&quot;/&gt;&lt;wsp:rsid wsp:val=&quot;00B10425&quot;/&gt;&lt;wsp:rsid wsp:val=&quot;00B10548&quot;/&gt;&lt;wsp:rsid wsp:val=&quot;00B10566&quot;/&gt;&lt;wsp:rsid wsp:val=&quot;00B1057C&quot;/&gt;&lt;wsp:rsid wsp:val=&quot;00B10656&quot;/&gt;&lt;wsp:rsid wsp:val=&quot;00B1093E&quot;/&gt;&lt;wsp:rsid wsp:val=&quot;00B10956&quot;/&gt;&lt;wsp:rsid wsp:val=&quot;00B10BD3&quot;/&gt;&lt;wsp:rsid wsp:val=&quot;00B10CC0&quot;/&gt;&lt;wsp:rsid wsp:val=&quot;00B10F44&quot;/&gt;&lt;wsp:rsid wsp:val=&quot;00B11188&quot;/&gt;&lt;wsp:rsid wsp:val=&quot;00B11394&quot;/&gt;&lt;wsp:rsid wsp:val=&quot;00B113CE&quot;/&gt;&lt;wsp:rsid wsp:val=&quot;00B11402&quot;/&gt;&lt;wsp:rsid wsp:val=&quot;00B114BB&quot;/&gt;&lt;wsp:rsid wsp:val=&quot;00B1171F&quot;/&gt;&lt;wsp:rsid wsp:val=&quot;00B119F1&quot;/&gt;&lt;wsp:rsid wsp:val=&quot;00B11DAC&quot;/&gt;&lt;wsp:rsid wsp:val=&quot;00B11DED&quot;/&gt;&lt;wsp:rsid wsp:val=&quot;00B11FB8&quot;/&gt;&lt;wsp:rsid wsp:val=&quot;00B1200D&quot;/&gt;&lt;wsp:rsid wsp:val=&quot;00B120D4&quot;/&gt;&lt;wsp:rsid wsp:val=&quot;00B1252C&quot;/&gt;&lt;wsp:rsid wsp:val=&quot;00B12555&quot;/&gt;&lt;wsp:rsid wsp:val=&quot;00B126A2&quot;/&gt;&lt;wsp:rsid wsp:val=&quot;00B1279E&quot;/&gt;&lt;wsp:rsid wsp:val=&quot;00B12B4F&quot;/&gt;&lt;wsp:rsid wsp:val=&quot;00B12EC9&quot;/&gt;&lt;wsp:rsid wsp:val=&quot;00B13435&quot;/&gt;&lt;wsp:rsid wsp:val=&quot;00B13448&quot;/&gt;&lt;wsp:rsid wsp:val=&quot;00B135C1&quot;/&gt;&lt;wsp:rsid wsp:val=&quot;00B136FD&quot;/&gt;&lt;wsp:rsid wsp:val=&quot;00B13760&quot;/&gt;&lt;wsp:rsid wsp:val=&quot;00B13986&quot;/&gt;&lt;wsp:rsid wsp:val=&quot;00B13A0C&quot;/&gt;&lt;wsp:rsid wsp:val=&quot;00B13B9E&quot;/&gt;&lt;wsp:rsid wsp:val=&quot;00B13D68&quot;/&gt;&lt;wsp:rsid wsp:val=&quot;00B13EE0&quot;/&gt;&lt;wsp:rsid wsp:val=&quot;00B13F6F&quot;/&gt;&lt;wsp:rsid wsp:val=&quot;00B1474B&quot;/&gt;&lt;wsp:rsid wsp:val=&quot;00B1481C&quot;/&gt;&lt;wsp:rsid wsp:val=&quot;00B14911&quot;/&gt;&lt;wsp:rsid wsp:val=&quot;00B14E0B&quot;/&gt;&lt;wsp:rsid wsp:val=&quot;00B150C9&quot;/&gt;&lt;wsp:rsid wsp:val=&quot;00B15162&quot;/&gt;&lt;wsp:rsid wsp:val=&quot;00B1516C&quot;/&gt;&lt;wsp:rsid wsp:val=&quot;00B15462&quot;/&gt;&lt;wsp:rsid wsp:val=&quot;00B1557A&quot;/&gt;&lt;wsp:rsid wsp:val=&quot;00B15C55&quot;/&gt;&lt;wsp:rsid wsp:val=&quot;00B161D2&quot;/&gt;&lt;wsp:rsid wsp:val=&quot;00B168BC&quot;/&gt;&lt;wsp:rsid wsp:val=&quot;00B16AB2&quot;/&gt;&lt;wsp:rsid wsp:val=&quot;00B16CC0&quot;/&gt;&lt;wsp:rsid wsp:val=&quot;00B16CD0&quot;/&gt;&lt;wsp:rsid wsp:val=&quot;00B16EA6&quot;/&gt;&lt;wsp:rsid wsp:val=&quot;00B16F9E&quot;/&gt;&lt;wsp:rsid wsp:val=&quot;00B16FB0&quot;/&gt;&lt;wsp:rsid wsp:val=&quot;00B172D9&quot;/&gt;&lt;wsp:rsid wsp:val=&quot;00B175F2&quot;/&gt;&lt;wsp:rsid wsp:val=&quot;00B17D25&quot;/&gt;&lt;wsp:rsid wsp:val=&quot;00B17DAA&quot;/&gt;&lt;wsp:rsid wsp:val=&quot;00B2015D&quot;/&gt;&lt;wsp:rsid wsp:val=&quot;00B2043C&quot;/&gt;&lt;wsp:rsid wsp:val=&quot;00B209C3&quot;/&gt;&lt;wsp:rsid wsp:val=&quot;00B20E28&quot;/&gt;&lt;wsp:rsid wsp:val=&quot;00B20EC9&quot;/&gt;&lt;wsp:rsid wsp:val=&quot;00B20F51&quot;/&gt;&lt;wsp:rsid wsp:val=&quot;00B2103F&quot;/&gt;&lt;wsp:rsid wsp:val=&quot;00B21079&quot;/&gt;&lt;wsp:rsid wsp:val=&quot;00B2143D&quot;/&gt;&lt;wsp:rsid wsp:val=&quot;00B214A4&quot;/&gt;&lt;wsp:rsid wsp:val=&quot;00B21621&quot;/&gt;&lt;wsp:rsid wsp:val=&quot;00B21702&quot;/&gt;&lt;wsp:rsid wsp:val=&quot;00B2194E&quot;/&gt;&lt;wsp:rsid wsp:val=&quot;00B21959&quot;/&gt;&lt;wsp:rsid wsp:val=&quot;00B21D8D&quot;/&gt;&lt;wsp:rsid wsp:val=&quot;00B21DA6&quot;/&gt;&lt;wsp:rsid wsp:val=&quot;00B21E78&quot;/&gt;&lt;wsp:rsid wsp:val=&quot;00B21EAE&quot;/&gt;&lt;wsp:rsid wsp:val=&quot;00B21ECA&quot;/&gt;&lt;wsp:rsid wsp:val=&quot;00B21FD0&quot;/&gt;&lt;wsp:rsid wsp:val=&quot;00B221D9&quot;/&gt;&lt;wsp:rsid wsp:val=&quot;00B22529&quot;/&gt;&lt;wsp:rsid wsp:val=&quot;00B225B4&quot;/&gt;&lt;wsp:rsid wsp:val=&quot;00B225CB&quot;/&gt;&lt;wsp:rsid wsp:val=&quot;00B22B2C&quot;/&gt;&lt;wsp:rsid wsp:val=&quot;00B22C18&quot;/&gt;&lt;wsp:rsid wsp:val=&quot;00B22CAA&quot;/&gt;&lt;wsp:rsid wsp:val=&quot;00B22CB4&quot;/&gt;&lt;wsp:rsid wsp:val=&quot;00B22D19&quot;/&gt;&lt;wsp:rsid wsp:val=&quot;00B23616&quot;/&gt;&lt;wsp:rsid wsp:val=&quot;00B236BB&quot;/&gt;&lt;wsp:rsid wsp:val=&quot;00B238D4&quot;/&gt;&lt;wsp:rsid wsp:val=&quot;00B23982&quot;/&gt;&lt;wsp:rsid wsp:val=&quot;00B23DC9&quot;/&gt;&lt;wsp:rsid wsp:val=&quot;00B23E22&quot;/&gt;&lt;wsp:rsid wsp:val=&quot;00B241D0&quot;/&gt;&lt;wsp:rsid wsp:val=&quot;00B242F4&quot;/&gt;&lt;wsp:rsid wsp:val=&quot;00B24379&quot;/&gt;&lt;wsp:rsid wsp:val=&quot;00B24460&quot;/&gt;&lt;wsp:rsid wsp:val=&quot;00B24474&quot;/&gt;&lt;wsp:rsid wsp:val=&quot;00B24580&quot;/&gt;&lt;wsp:rsid wsp:val=&quot;00B24728&quot;/&gt;&lt;wsp:rsid wsp:val=&quot;00B24B33&quot;/&gt;&lt;wsp:rsid wsp:val=&quot;00B25008&quot;/&gt;&lt;wsp:rsid wsp:val=&quot;00B25046&quot;/&gt;&lt;wsp:rsid wsp:val=&quot;00B2509C&quot;/&gt;&lt;wsp:rsid wsp:val=&quot;00B25135&quot;/&gt;&lt;wsp:rsid wsp:val=&quot;00B25301&quot;/&gt;&lt;wsp:rsid wsp:val=&quot;00B25647&quot;/&gt;&lt;wsp:rsid wsp:val=&quot;00B258A4&quot;/&gt;&lt;wsp:rsid wsp:val=&quot;00B25C38&quot;/&gt;&lt;wsp:rsid wsp:val=&quot;00B25C89&quot;/&gt;&lt;wsp:rsid wsp:val=&quot;00B25CB4&quot;/&gt;&lt;wsp:rsid wsp:val=&quot;00B261B9&quot;/&gt;&lt;wsp:rsid wsp:val=&quot;00B2648A&quot;/&gt;&lt;wsp:rsid wsp:val=&quot;00B265DA&quot;/&gt;&lt;wsp:rsid wsp:val=&quot;00B26612&quot;/&gt;&lt;wsp:rsid wsp:val=&quot;00B269C3&quot;/&gt;&lt;wsp:rsid wsp:val=&quot;00B26D31&quot;/&gt;&lt;wsp:rsid wsp:val=&quot;00B277A2&quot;/&gt;&lt;wsp:rsid wsp:val=&quot;00B27992&quot;/&gt;&lt;wsp:rsid wsp:val=&quot;00B30055&quot;/&gt;&lt;wsp:rsid wsp:val=&quot;00B30134&quot;/&gt;&lt;wsp:rsid wsp:val=&quot;00B30A68&quot;/&gt;&lt;wsp:rsid wsp:val=&quot;00B312D2&quot;/&gt;&lt;wsp:rsid wsp:val=&quot;00B31435&quot;/&gt;&lt;wsp:rsid wsp:val=&quot;00B3148A&quot;/&gt;&lt;wsp:rsid wsp:val=&quot;00B31847&quot;/&gt;&lt;wsp:rsid wsp:val=&quot;00B31867&quot;/&gt;&lt;wsp:rsid wsp:val=&quot;00B318F6&quot;/&gt;&lt;wsp:rsid wsp:val=&quot;00B31992&quot;/&gt;&lt;wsp:rsid wsp:val=&quot;00B31ACF&quot;/&gt;&lt;wsp:rsid wsp:val=&quot;00B31DE0&quot;/&gt;&lt;wsp:rsid wsp:val=&quot;00B31E92&quot;/&gt;&lt;wsp:rsid wsp:val=&quot;00B31FF5&quot;/&gt;&lt;wsp:rsid wsp:val=&quot;00B3216E&quot;/&gt;&lt;wsp:rsid wsp:val=&quot;00B32552&quot;/&gt;&lt;wsp:rsid wsp:val=&quot;00B3267F&quot;/&gt;&lt;wsp:rsid wsp:val=&quot;00B32704&quot;/&gt;&lt;wsp:rsid wsp:val=&quot;00B32791&quot;/&gt;&lt;wsp:rsid wsp:val=&quot;00B327E3&quot;/&gt;&lt;wsp:rsid wsp:val=&quot;00B32A08&quot;/&gt;&lt;wsp:rsid wsp:val=&quot;00B32ABC&quot;/&gt;&lt;wsp:rsid wsp:val=&quot;00B32B21&quot;/&gt;&lt;wsp:rsid wsp:val=&quot;00B33498&quot;/&gt;&lt;wsp:rsid wsp:val=&quot;00B33A56&quot;/&gt;&lt;wsp:rsid wsp:val=&quot;00B33A78&quot;/&gt;&lt;wsp:rsid wsp:val=&quot;00B33A94&quot;/&gt;&lt;wsp:rsid wsp:val=&quot;00B33B8B&quot;/&gt;&lt;wsp:rsid wsp:val=&quot;00B33BDC&quot;/&gt;&lt;wsp:rsid wsp:val=&quot;00B33D49&quot;/&gt;&lt;wsp:rsid wsp:val=&quot;00B33EA4&quot;/&gt;&lt;wsp:rsid wsp:val=&quot;00B34407&quot;/&gt;&lt;wsp:rsid wsp:val=&quot;00B34A4F&quot;/&gt;&lt;wsp:rsid wsp:val=&quot;00B34BF0&quot;/&gt;&lt;wsp:rsid wsp:val=&quot;00B35527&quot;/&gt;&lt;wsp:rsid wsp:val=&quot;00B35917&quot;/&gt;&lt;wsp:rsid wsp:val=&quot;00B35D66&quot;/&gt;&lt;wsp:rsid wsp:val=&quot;00B35DF6&quot;/&gt;&lt;wsp:rsid wsp:val=&quot;00B3621E&quot;/&gt;&lt;wsp:rsid wsp:val=&quot;00B36311&quot;/&gt;&lt;wsp:rsid wsp:val=&quot;00B364CE&quot;/&gt;&lt;wsp:rsid wsp:val=&quot;00B365D4&quot;/&gt;&lt;wsp:rsid wsp:val=&quot;00B3688C&quot;/&gt;&lt;wsp:rsid wsp:val=&quot;00B36A33&quot;/&gt;&lt;wsp:rsid wsp:val=&quot;00B36EC4&quot;/&gt;&lt;wsp:rsid wsp:val=&quot;00B370C9&quot;/&gt;&lt;wsp:rsid wsp:val=&quot;00B371C8&quot;/&gt;&lt;wsp:rsid wsp:val=&quot;00B3722B&quot;/&gt;&lt;wsp:rsid wsp:val=&quot;00B3737F&quot;/&gt;&lt;wsp:rsid wsp:val=&quot;00B37CB1&quot;/&gt;&lt;wsp:rsid wsp:val=&quot;00B37D15&quot;/&gt;&lt;wsp:rsid wsp:val=&quot;00B37EED&quot;/&gt;&lt;wsp:rsid wsp:val=&quot;00B40004&quot;/&gt;&lt;wsp:rsid wsp:val=&quot;00B4015C&quot;/&gt;&lt;wsp:rsid wsp:val=&quot;00B40870&quot;/&gt;&lt;wsp:rsid wsp:val=&quot;00B40AEF&quot;/&gt;&lt;wsp:rsid wsp:val=&quot;00B40B74&quot;/&gt;&lt;wsp:rsid wsp:val=&quot;00B40D9F&quot;/&gt;&lt;wsp:rsid wsp:val=&quot;00B40EEE&quot;/&gt;&lt;wsp:rsid wsp:val=&quot;00B4117A&quot;/&gt;&lt;wsp:rsid wsp:val=&quot;00B413B0&quot;/&gt;&lt;wsp:rsid wsp:val=&quot;00B41726&quot;/&gt;&lt;wsp:rsid wsp:val=&quot;00B41930&quot;/&gt;&lt;wsp:rsid wsp:val=&quot;00B41C02&quot;/&gt;&lt;wsp:rsid wsp:val=&quot;00B41C4E&quot;/&gt;&lt;wsp:rsid wsp:val=&quot;00B41D77&quot;/&gt;&lt;wsp:rsid wsp:val=&quot;00B41DC0&quot;/&gt;&lt;wsp:rsid wsp:val=&quot;00B41F2F&quot;/&gt;&lt;wsp:rsid wsp:val=&quot;00B423C5&quot;/&gt;&lt;wsp:rsid wsp:val=&quot;00B42489&quot;/&gt;&lt;wsp:rsid wsp:val=&quot;00B42584&quot;/&gt;&lt;wsp:rsid wsp:val=&quot;00B426B4&quot;/&gt;&lt;wsp:rsid wsp:val=&quot;00B42D9C&quot;/&gt;&lt;wsp:rsid wsp:val=&quot;00B42DE4&quot;/&gt;&lt;wsp:rsid wsp:val=&quot;00B43079&quot;/&gt;&lt;wsp:rsid wsp:val=&quot;00B4307D&quot;/&gt;&lt;wsp:rsid wsp:val=&quot;00B431F6&quot;/&gt;&lt;wsp:rsid wsp:val=&quot;00B432EE&quot;/&gt;&lt;wsp:rsid wsp:val=&quot;00B43429&quot;/&gt;&lt;wsp:rsid wsp:val=&quot;00B4361D&quot;/&gt;&lt;wsp:rsid wsp:val=&quot;00B43A4A&quot;/&gt;&lt;wsp:rsid wsp:val=&quot;00B43D14&quot;/&gt;&lt;wsp:rsid wsp:val=&quot;00B43D46&quot;/&gt;&lt;wsp:rsid wsp:val=&quot;00B43FF4&quot;/&gt;&lt;wsp:rsid wsp:val=&quot;00B4406E&quot;/&gt;&lt;wsp:rsid wsp:val=&quot;00B44281&quot;/&gt;&lt;wsp:rsid wsp:val=&quot;00B44670&quot;/&gt;&lt;wsp:rsid wsp:val=&quot;00B44CB1&quot;/&gt;&lt;wsp:rsid wsp:val=&quot;00B44F8D&quot;/&gt;&lt;wsp:rsid wsp:val=&quot;00B45150&quot;/&gt;&lt;wsp:rsid wsp:val=&quot;00B453D6&quot;/&gt;&lt;wsp:rsid wsp:val=&quot;00B4595E&quot;/&gt;&lt;wsp:rsid wsp:val=&quot;00B45A55&quot;/&gt;&lt;wsp:rsid wsp:val=&quot;00B45B45&quot;/&gt;&lt;wsp:rsid wsp:val=&quot;00B45B87&quot;/&gt;&lt;wsp:rsid wsp:val=&quot;00B460C8&quot;/&gt;&lt;wsp:rsid wsp:val=&quot;00B4667A&quot;/&gt;&lt;wsp:rsid wsp:val=&quot;00B46698&quot;/&gt;&lt;wsp:rsid wsp:val=&quot;00B466E6&quot;/&gt;&lt;wsp:rsid wsp:val=&quot;00B468EF&quot;/&gt;&lt;wsp:rsid wsp:val=&quot;00B46927&quot;/&gt;&lt;wsp:rsid wsp:val=&quot;00B46C3F&quot;/&gt;&lt;wsp:rsid wsp:val=&quot;00B471D5&quot;/&gt;&lt;wsp:rsid wsp:val=&quot;00B47815&quot;/&gt;&lt;wsp:rsid wsp:val=&quot;00B47884&quot;/&gt;&lt;wsp:rsid wsp:val=&quot;00B47AE2&quot;/&gt;&lt;wsp:rsid wsp:val=&quot;00B47BBC&quot;/&gt;&lt;wsp:rsid wsp:val=&quot;00B47BF2&quot;/&gt;&lt;wsp:rsid wsp:val=&quot;00B500F6&quot;/&gt;&lt;wsp:rsid wsp:val=&quot;00B50324&quot;/&gt;&lt;wsp:rsid wsp:val=&quot;00B504C2&quot;/&gt;&lt;wsp:rsid wsp:val=&quot;00B5050C&quot;/&gt;&lt;wsp:rsid wsp:val=&quot;00B50872&quot;/&gt;&lt;wsp:rsid wsp:val=&quot;00B50AA4&quot;/&gt;&lt;wsp:rsid wsp:val=&quot;00B50CA2&quot;/&gt;&lt;wsp:rsid wsp:val=&quot;00B51004&quot;/&gt;&lt;wsp:rsid wsp:val=&quot;00B51132&quot;/&gt;&lt;wsp:rsid wsp:val=&quot;00B51335&quot;/&gt;&lt;wsp:rsid wsp:val=&quot;00B51BBE&quot;/&gt;&lt;wsp:rsid wsp:val=&quot;00B51E7B&quot;/&gt;&lt;wsp:rsid wsp:val=&quot;00B5223B&quot;/&gt;&lt;wsp:rsid wsp:val=&quot;00B52347&quot;/&gt;&lt;wsp:rsid wsp:val=&quot;00B523E3&quot;/&gt;&lt;wsp:rsid wsp:val=&quot;00B5242F&quot;/&gt;&lt;wsp:rsid wsp:val=&quot;00B52456&quot;/&gt;&lt;wsp:rsid wsp:val=&quot;00B526B6&quot;/&gt;&lt;wsp:rsid wsp:val=&quot;00B52793&quot;/&gt;&lt;wsp:rsid wsp:val=&quot;00B52CFA&quot;/&gt;&lt;wsp:rsid wsp:val=&quot;00B52EA3&quot;/&gt;&lt;wsp:rsid wsp:val=&quot;00B53039&quot;/&gt;&lt;wsp:rsid wsp:val=&quot;00B53188&quot;/&gt;&lt;wsp:rsid wsp:val=&quot;00B5347B&quot;/&gt;&lt;wsp:rsid wsp:val=&quot;00B535DB&quot;/&gt;&lt;wsp:rsid wsp:val=&quot;00B5361A&quot;/&gt;&lt;wsp:rsid wsp:val=&quot;00B537A2&quot;/&gt;&lt;wsp:rsid wsp:val=&quot;00B539EC&quot;/&gt;&lt;wsp:rsid wsp:val=&quot;00B53F59&quot;/&gt;&lt;wsp:rsid wsp:val=&quot;00B540FC&quot;/&gt;&lt;wsp:rsid wsp:val=&quot;00B543A6&quot;/&gt;&lt;wsp:rsid wsp:val=&quot;00B5463C&quot;/&gt;&lt;wsp:rsid wsp:val=&quot;00B5471E&quot;/&gt;&lt;wsp:rsid wsp:val=&quot;00B54748&quot;/&gt;&lt;wsp:rsid wsp:val=&quot;00B547B2&quot;/&gt;&lt;wsp:rsid wsp:val=&quot;00B55546&quot;/&gt;&lt;wsp:rsid wsp:val=&quot;00B559BE&quot;/&gt;&lt;wsp:rsid wsp:val=&quot;00B55B12&quot;/&gt;&lt;wsp:rsid wsp:val=&quot;00B55E98&quot;/&gt;&lt;wsp:rsid wsp:val=&quot;00B56096&quot;/&gt;&lt;wsp:rsid wsp:val=&quot;00B56147&quot;/&gt;&lt;wsp:rsid wsp:val=&quot;00B561EC&quot;/&gt;&lt;wsp:rsid wsp:val=&quot;00B56201&quot;/&gt;&lt;wsp:rsid wsp:val=&quot;00B565C4&quot;/&gt;&lt;wsp:rsid wsp:val=&quot;00B56777&quot;/&gt;&lt;wsp:rsid wsp:val=&quot;00B569D8&quot;/&gt;&lt;wsp:rsid wsp:val=&quot;00B56FFE&quot;/&gt;&lt;wsp:rsid wsp:val=&quot;00B5710C&quot;/&gt;&lt;wsp:rsid wsp:val=&quot;00B57123&quot;/&gt;&lt;wsp:rsid wsp:val=&quot;00B57186&quot;/&gt;&lt;wsp:rsid wsp:val=&quot;00B572F3&quot;/&gt;&lt;wsp:rsid wsp:val=&quot;00B5739A&quot;/&gt;&lt;wsp:rsid wsp:val=&quot;00B573CA&quot;/&gt;&lt;wsp:rsid wsp:val=&quot;00B57529&quot;/&gt;&lt;wsp:rsid wsp:val=&quot;00B57534&quot;/&gt;&lt;wsp:rsid wsp:val=&quot;00B57724&quot;/&gt;&lt;wsp:rsid wsp:val=&quot;00B5796E&quot;/&gt;&lt;wsp:rsid wsp:val=&quot;00B57AA1&quot;/&gt;&lt;wsp:rsid wsp:val=&quot;00B57BD8&quot;/&gt;&lt;wsp:rsid wsp:val=&quot;00B57D33&quot;/&gt;&lt;wsp:rsid wsp:val=&quot;00B57E48&quot;/&gt;&lt;wsp:rsid wsp:val=&quot;00B57F5A&quot;/&gt;&lt;wsp:rsid wsp:val=&quot;00B60025&quot;/&gt;&lt;wsp:rsid wsp:val=&quot;00B60401&quot;/&gt;&lt;wsp:rsid wsp:val=&quot;00B60934&quot;/&gt;&lt;wsp:rsid wsp:val=&quot;00B60A2B&quot;/&gt;&lt;wsp:rsid wsp:val=&quot;00B60BC4&quot;/&gt;&lt;wsp:rsid wsp:val=&quot;00B60D7F&quot;/&gt;&lt;wsp:rsid wsp:val=&quot;00B612B8&quot;/&gt;&lt;wsp:rsid wsp:val=&quot;00B6134C&quot;/&gt;&lt;wsp:rsid wsp:val=&quot;00B6135B&quot;/&gt;&lt;wsp:rsid wsp:val=&quot;00B6138D&quot;/&gt;&lt;wsp:rsid wsp:val=&quot;00B6166D&quot;/&gt;&lt;wsp:rsid wsp:val=&quot;00B61948&quot;/&gt;&lt;wsp:rsid wsp:val=&quot;00B61A9C&quot;/&gt;&lt;wsp:rsid wsp:val=&quot;00B61B4F&quot;/&gt;&lt;wsp:rsid wsp:val=&quot;00B624F6&quot;/&gt;&lt;wsp:rsid wsp:val=&quot;00B6251E&quot;/&gt;&lt;wsp:rsid wsp:val=&quot;00B6281B&quot;/&gt;&lt;wsp:rsid wsp:val=&quot;00B62B8B&quot;/&gt;&lt;wsp:rsid wsp:val=&quot;00B630FB&quot;/&gt;&lt;wsp:rsid wsp:val=&quot;00B631EC&quot;/&gt;&lt;wsp:rsid wsp:val=&quot;00B63305&quot;/&gt;&lt;wsp:rsid wsp:val=&quot;00B638FF&quot;/&gt;&lt;wsp:rsid wsp:val=&quot;00B63B62&quot;/&gt;&lt;wsp:rsid wsp:val=&quot;00B63D12&quot;/&gt;&lt;wsp:rsid wsp:val=&quot;00B64016&quot;/&gt;&lt;wsp:rsid wsp:val=&quot;00B6452B&quot;/&gt;&lt;wsp:rsid wsp:val=&quot;00B645CF&quot;/&gt;&lt;wsp:rsid wsp:val=&quot;00B64FE2&quot;/&gt;&lt;wsp:rsid wsp:val=&quot;00B650E6&quot;/&gt;&lt;wsp:rsid wsp:val=&quot;00B6544D&quot;/&gt;&lt;wsp:rsid wsp:val=&quot;00B6549C&quot;/&gt;&lt;wsp:rsid wsp:val=&quot;00B657B1&quot;/&gt;&lt;wsp:rsid wsp:val=&quot;00B6580E&quot;/&gt;&lt;wsp:rsid wsp:val=&quot;00B6589E&quot;/&gt;&lt;wsp:rsid wsp:val=&quot;00B658D1&quot;/&gt;&lt;wsp:rsid wsp:val=&quot;00B659E1&quot;/&gt;&lt;wsp:rsid wsp:val=&quot;00B65CF5&quot;/&gt;&lt;wsp:rsid wsp:val=&quot;00B65E85&quot;/&gt;&lt;wsp:rsid wsp:val=&quot;00B660FB&quot;/&gt;&lt;wsp:rsid wsp:val=&quot;00B6648F&quot;/&gt;&lt;wsp:rsid wsp:val=&quot;00B665E6&quot;/&gt;&lt;wsp:rsid wsp:val=&quot;00B66841&quot;/&gt;&lt;wsp:rsid wsp:val=&quot;00B668DD&quot;/&gt;&lt;wsp:rsid wsp:val=&quot;00B66B77&quot;/&gt;&lt;wsp:rsid wsp:val=&quot;00B66C2E&quot;/&gt;&lt;wsp:rsid wsp:val=&quot;00B66FBD&quot;/&gt;&lt;wsp:rsid wsp:val=&quot;00B6760A&quot;/&gt;&lt;wsp:rsid wsp:val=&quot;00B67BE8&quot;/&gt;&lt;wsp:rsid wsp:val=&quot;00B67C10&quot;/&gt;&lt;wsp:rsid wsp:val=&quot;00B67C99&quot;/&gt;&lt;wsp:rsid wsp:val=&quot;00B67E4E&quot;/&gt;&lt;wsp:rsid wsp:val=&quot;00B67FAD&quot;/&gt;&lt;wsp:rsid wsp:val=&quot;00B70008&quot;/&gt;&lt;wsp:rsid wsp:val=&quot;00B70343&quot;/&gt;&lt;wsp:rsid wsp:val=&quot;00B7034D&quot;/&gt;&lt;wsp:rsid wsp:val=&quot;00B705B5&quot;/&gt;&lt;wsp:rsid wsp:val=&quot;00B70663&quot;/&gt;&lt;wsp:rsid wsp:val=&quot;00B70931&quot;/&gt;&lt;wsp:rsid wsp:val=&quot;00B70A20&quot;/&gt;&lt;wsp:rsid wsp:val=&quot;00B70C64&quot;/&gt;&lt;wsp:rsid wsp:val=&quot;00B70CF6&quot;/&gt;&lt;wsp:rsid wsp:val=&quot;00B70CF8&quot;/&gt;&lt;wsp:rsid wsp:val=&quot;00B70D10&quot;/&gt;&lt;wsp:rsid wsp:val=&quot;00B70D5E&quot;/&gt;&lt;wsp:rsid wsp:val=&quot;00B71008&quot;/&gt;&lt;wsp:rsid wsp:val=&quot;00B71278&quot;/&gt;&lt;wsp:rsid wsp:val=&quot;00B713A8&quot;/&gt;&lt;wsp:rsid wsp:val=&quot;00B715BF&quot;/&gt;&lt;wsp:rsid wsp:val=&quot;00B716D4&quot;/&gt;&lt;wsp:rsid wsp:val=&quot;00B71868&quot;/&gt;&lt;wsp:rsid wsp:val=&quot;00B7219D&quot;/&gt;&lt;wsp:rsid wsp:val=&quot;00B7232D&quot;/&gt;&lt;wsp:rsid wsp:val=&quot;00B7272B&quot;/&gt;&lt;wsp:rsid wsp:val=&quot;00B72F71&quot;/&gt;&lt;wsp:rsid wsp:val=&quot;00B72FA2&quot;/&gt;&lt;wsp:rsid wsp:val=&quot;00B730D0&quot;/&gt;&lt;wsp:rsid wsp:val=&quot;00B731C9&quot;/&gt;&lt;wsp:rsid wsp:val=&quot;00B732D5&quot;/&gt;&lt;wsp:rsid wsp:val=&quot;00B73342&quot;/&gt;&lt;wsp:rsid wsp:val=&quot;00B734D0&quot;/&gt;&lt;wsp:rsid wsp:val=&quot;00B735A9&quot;/&gt;&lt;wsp:rsid wsp:val=&quot;00B737B3&quot;/&gt;&lt;wsp:rsid wsp:val=&quot;00B73964&quot;/&gt;&lt;wsp:rsid wsp:val=&quot;00B73B05&quot;/&gt;&lt;wsp:rsid wsp:val=&quot;00B73B4B&quot;/&gt;&lt;wsp:rsid wsp:val=&quot;00B73EAC&quot;/&gt;&lt;wsp:rsid wsp:val=&quot;00B73F47&quot;/&gt;&lt;wsp:rsid wsp:val=&quot;00B7413B&quot;/&gt;&lt;wsp:rsid wsp:val=&quot;00B7416D&quot;/&gt;&lt;wsp:rsid wsp:val=&quot;00B74484&quot;/&gt;&lt;wsp:rsid wsp:val=&quot;00B74825&quot;/&gt;&lt;wsp:rsid wsp:val=&quot;00B74B8D&quot;/&gt;&lt;wsp:rsid wsp:val=&quot;00B74D5A&quot;/&gt;&lt;wsp:rsid wsp:val=&quot;00B74EF8&quot;/&gt;&lt;wsp:rsid wsp:val=&quot;00B750A4&quot;/&gt;&lt;wsp:rsid wsp:val=&quot;00B75287&quot;/&gt;&lt;wsp:rsid wsp:val=&quot;00B753C4&quot;/&gt;&lt;wsp:rsid wsp:val=&quot;00B75499&quot;/&gt;&lt;wsp:rsid wsp:val=&quot;00B754F0&quot;/&gt;&lt;wsp:rsid wsp:val=&quot;00B75605&quot;/&gt;&lt;wsp:rsid wsp:val=&quot;00B75618&quot;/&gt;&lt;wsp:rsid wsp:val=&quot;00B75715&quot;/&gt;&lt;wsp:rsid wsp:val=&quot;00B75731&quot;/&gt;&lt;wsp:rsid wsp:val=&quot;00B7576D&quot;/&gt;&lt;wsp:rsid wsp:val=&quot;00B75A6C&quot;/&gt;&lt;wsp:rsid wsp:val=&quot;00B75A88&quot;/&gt;&lt;wsp:rsid wsp:val=&quot;00B75B1F&quot;/&gt;&lt;wsp:rsid wsp:val=&quot;00B7609B&quot;/&gt;&lt;wsp:rsid wsp:val=&quot;00B76365&quot;/&gt;&lt;wsp:rsid wsp:val=&quot;00B76451&quot;/&gt;&lt;wsp:rsid wsp:val=&quot;00B76670&quot;/&gt;&lt;wsp:rsid wsp:val=&quot;00B7669C&quot;/&gt;&lt;wsp:rsid wsp:val=&quot;00B766FC&quot;/&gt;&lt;wsp:rsid wsp:val=&quot;00B76A96&quot;/&gt;&lt;wsp:rsid wsp:val=&quot;00B76C26&quot;/&gt;&lt;wsp:rsid wsp:val=&quot;00B76EAA&quot;/&gt;&lt;wsp:rsid wsp:val=&quot;00B76F46&quot;/&gt;&lt;wsp:rsid wsp:val=&quot;00B77056&quot;/&gt;&lt;wsp:rsid wsp:val=&quot;00B77115&quot;/&gt;&lt;wsp:rsid wsp:val=&quot;00B77766&quot;/&gt;&lt;wsp:rsid wsp:val=&quot;00B77C34&quot;/&gt;&lt;wsp:rsid wsp:val=&quot;00B77D5A&quot;/&gt;&lt;wsp:rsid wsp:val=&quot;00B77FFD&quot;/&gt;&lt;wsp:rsid wsp:val=&quot;00B8056D&quot;/&gt;&lt;wsp:rsid wsp:val=&quot;00B8069F&quot;/&gt;&lt;wsp:rsid wsp:val=&quot;00B807CC&quot;/&gt;&lt;wsp:rsid wsp:val=&quot;00B80829&quot;/&gt;&lt;wsp:rsid wsp:val=&quot;00B808FD&quot;/&gt;&lt;wsp:rsid wsp:val=&quot;00B80966&quot;/&gt;&lt;wsp:rsid wsp:val=&quot;00B809EC&quot;/&gt;&lt;wsp:rsid wsp:val=&quot;00B80A58&quot;/&gt;&lt;wsp:rsid wsp:val=&quot;00B80C07&quot;/&gt;&lt;wsp:rsid wsp:val=&quot;00B80D0C&quot;/&gt;&lt;wsp:rsid wsp:val=&quot;00B80E50&quot;/&gt;&lt;wsp:rsid wsp:val=&quot;00B80E94&quot;/&gt;&lt;wsp:rsid wsp:val=&quot;00B8112D&quot;/&gt;&lt;wsp:rsid wsp:val=&quot;00B81738&quot;/&gt;&lt;wsp:rsid wsp:val=&quot;00B81BD5&quot;/&gt;&lt;wsp:rsid wsp:val=&quot;00B81CE3&quot;/&gt;&lt;wsp:rsid wsp:val=&quot;00B81EEB&quot;/&gt;&lt;wsp:rsid wsp:val=&quot;00B820EF&quot;/&gt;&lt;wsp:rsid wsp:val=&quot;00B82225&quot;/&gt;&lt;wsp:rsid wsp:val=&quot;00B8230A&quot;/&gt;&lt;wsp:rsid wsp:val=&quot;00B82763&quot;/&gt;&lt;wsp:rsid wsp:val=&quot;00B8284C&quot;/&gt;&lt;wsp:rsid wsp:val=&quot;00B82A6C&quot;/&gt;&lt;wsp:rsid wsp:val=&quot;00B82A6F&quot;/&gt;&lt;wsp:rsid wsp:val=&quot;00B82ACB&quot;/&gt;&lt;wsp:rsid wsp:val=&quot;00B82DB5&quot;/&gt;&lt;wsp:rsid wsp:val=&quot;00B82E6F&quot;/&gt;&lt;wsp:rsid wsp:val=&quot;00B83102&quot;/&gt;&lt;wsp:rsid wsp:val=&quot;00B83324&quot;/&gt;&lt;wsp:rsid wsp:val=&quot;00B83567&quot;/&gt;&lt;wsp:rsid wsp:val=&quot;00B83590&quot;/&gt;&lt;wsp:rsid wsp:val=&quot;00B835EF&quot;/&gt;&lt;wsp:rsid wsp:val=&quot;00B83779&quot;/&gt;&lt;wsp:rsid wsp:val=&quot;00B839F0&quot;/&gt;&lt;wsp:rsid wsp:val=&quot;00B83D08&quot;/&gt;&lt;wsp:rsid wsp:val=&quot;00B83DAF&quot;/&gt;&lt;wsp:rsid wsp:val=&quot;00B843CB&quot;/&gt;&lt;wsp:rsid wsp:val=&quot;00B84439&quot;/&gt;&lt;wsp:rsid wsp:val=&quot;00B84771&quot;/&gt;&lt;wsp:rsid wsp:val=&quot;00B84F6E&quot;/&gt;&lt;wsp:rsid wsp:val=&quot;00B85026&quot;/&gt;&lt;wsp:rsid wsp:val=&quot;00B8522B&quot;/&gt;&lt;wsp:rsid wsp:val=&quot;00B85285&quot;/&gt;&lt;wsp:rsid wsp:val=&quot;00B8563A&quot;/&gt;&lt;wsp:rsid wsp:val=&quot;00B8565F&quot;/&gt;&lt;wsp:rsid wsp:val=&quot;00B856BC&quot;/&gt;&lt;wsp:rsid wsp:val=&quot;00B858B4&quot;/&gt;&lt;wsp:rsid wsp:val=&quot;00B85D4A&quot;/&gt;&lt;wsp:rsid wsp:val=&quot;00B85EFE&quot;/&gt;&lt;wsp:rsid wsp:val=&quot;00B8600E&quot;/&gt;&lt;wsp:rsid wsp:val=&quot;00B862EF&quot;/&gt;&lt;wsp:rsid wsp:val=&quot;00B8683B&quot;/&gt;&lt;wsp:rsid wsp:val=&quot;00B86C87&quot;/&gt;&lt;wsp:rsid wsp:val=&quot;00B86E5F&quot;/&gt;&lt;wsp:rsid wsp:val=&quot;00B87137&quot;/&gt;&lt;wsp:rsid wsp:val=&quot;00B87636&quot;/&gt;&lt;wsp:rsid wsp:val=&quot;00B877B1&quot;/&gt;&lt;wsp:rsid wsp:val=&quot;00B87B4F&quot;/&gt;&lt;wsp:rsid wsp:val=&quot;00B87C10&quot;/&gt;&lt;wsp:rsid wsp:val=&quot;00B87CCB&quot;/&gt;&lt;wsp:rsid wsp:val=&quot;00B87CD5&quot;/&gt;&lt;wsp:rsid wsp:val=&quot;00B87EBD&quot;/&gt;&lt;wsp:rsid wsp:val=&quot;00B87ED3&quot;/&gt;&lt;wsp:rsid wsp:val=&quot;00B90042&quot;/&gt;&lt;wsp:rsid wsp:val=&quot;00B90771&quot;/&gt;&lt;wsp:rsid wsp:val=&quot;00B9088B&quot;/&gt;&lt;wsp:rsid wsp:val=&quot;00B90E81&quot;/&gt;&lt;wsp:rsid wsp:val=&quot;00B91023&quot;/&gt;&lt;wsp:rsid wsp:val=&quot;00B910C1&quot;/&gt;&lt;wsp:rsid wsp:val=&quot;00B9114D&quot;/&gt;&lt;wsp:rsid wsp:val=&quot;00B914B0&quot;/&gt;&lt;wsp:rsid wsp:val=&quot;00B914D8&quot;/&gt;&lt;wsp:rsid wsp:val=&quot;00B91832&quot;/&gt;&lt;wsp:rsid wsp:val=&quot;00B91CC3&quot;/&gt;&lt;wsp:rsid wsp:val=&quot;00B91DD4&quot;/&gt;&lt;wsp:rsid wsp:val=&quot;00B91FB8&quot;/&gt;&lt;wsp:rsid wsp:val=&quot;00B9205D&quot;/&gt;&lt;wsp:rsid wsp:val=&quot;00B924B2&quot;/&gt;&lt;wsp:rsid wsp:val=&quot;00B925C1&quot;/&gt;&lt;wsp:rsid wsp:val=&quot;00B92778&quot;/&gt;&lt;wsp:rsid wsp:val=&quot;00B929AD&quot;/&gt;&lt;wsp:rsid wsp:val=&quot;00B92C0C&quot;/&gt;&lt;wsp:rsid wsp:val=&quot;00B93093&quot;/&gt;&lt;wsp:rsid wsp:val=&quot;00B93912&quot;/&gt;&lt;wsp:rsid wsp:val=&quot;00B93A4E&quot;/&gt;&lt;wsp:rsid wsp:val=&quot;00B93F28&quot;/&gt;&lt;wsp:rsid wsp:val=&quot;00B941FB&quot;/&gt;&lt;wsp:rsid wsp:val=&quot;00B943CA&quot;/&gt;&lt;wsp:rsid wsp:val=&quot;00B94C2D&quot;/&gt;&lt;wsp:rsid wsp:val=&quot;00B9507D&quot;/&gt;&lt;wsp:rsid wsp:val=&quot;00B955AA&quot;/&gt;&lt;wsp:rsid wsp:val=&quot;00B95600&quot;/&gt;&lt;wsp:rsid wsp:val=&quot;00B95707&quot;/&gt;&lt;wsp:rsid wsp:val=&quot;00B9583E&quot;/&gt;&lt;wsp:rsid wsp:val=&quot;00B95B07&quot;/&gt;&lt;wsp:rsid wsp:val=&quot;00B95F86&quot;/&gt;&lt;wsp:rsid wsp:val=&quot;00B96352&quot;/&gt;&lt;wsp:rsid wsp:val=&quot;00B96632&quot;/&gt;&lt;wsp:rsid wsp:val=&quot;00B96793&quot;/&gt;&lt;wsp:rsid wsp:val=&quot;00B967E1&quot;/&gt;&lt;wsp:rsid wsp:val=&quot;00B96947&quot;/&gt;&lt;wsp:rsid wsp:val=&quot;00B96A45&quot;/&gt;&lt;wsp:rsid wsp:val=&quot;00B96CFE&quot;/&gt;&lt;wsp:rsid wsp:val=&quot;00B972E1&quot;/&gt;&lt;wsp:rsid wsp:val=&quot;00B97307&quot;/&gt;&lt;wsp:rsid wsp:val=&quot;00B973E2&quot;/&gt;&lt;wsp:rsid wsp:val=&quot;00B9766B&quot;/&gt;&lt;wsp:rsid wsp:val=&quot;00B9768A&quot;/&gt;&lt;wsp:rsid wsp:val=&quot;00B9781B&quot;/&gt;&lt;wsp:rsid wsp:val=&quot;00B97943&quot;/&gt;&lt;wsp:rsid wsp:val=&quot;00B97B33&quot;/&gt;&lt;wsp:rsid wsp:val=&quot;00B97D11&quot;/&gt;&lt;wsp:rsid wsp:val=&quot;00B97D3C&quot;/&gt;&lt;wsp:rsid wsp:val=&quot;00B97D72&quot;/&gt;&lt;wsp:rsid wsp:val=&quot;00B97FCA&quot;/&gt;&lt;wsp:rsid wsp:val=&quot;00BA0053&quot;/&gt;&lt;wsp:rsid wsp:val=&quot;00BA00C7&quot;/&gt;&lt;wsp:rsid wsp:val=&quot;00BA029E&quot;/&gt;&lt;wsp:rsid wsp:val=&quot;00BA043D&quot;/&gt;&lt;wsp:rsid wsp:val=&quot;00BA07D2&quot;/&gt;&lt;wsp:rsid wsp:val=&quot;00BA0A1A&quot;/&gt;&lt;wsp:rsid wsp:val=&quot;00BA0E02&quot;/&gt;&lt;wsp:rsid wsp:val=&quot;00BA1546&quot;/&gt;&lt;wsp:rsid wsp:val=&quot;00BA178E&quot;/&gt;&lt;wsp:rsid wsp:val=&quot;00BA1867&quot;/&gt;&lt;wsp:rsid wsp:val=&quot;00BA19B8&quot;/&gt;&lt;wsp:rsid wsp:val=&quot;00BA1A28&quot;/&gt;&lt;wsp:rsid wsp:val=&quot;00BA1DFD&quot;/&gt;&lt;wsp:rsid wsp:val=&quot;00BA20EA&quot;/&gt;&lt;wsp:rsid wsp:val=&quot;00BA2220&quot;/&gt;&lt;wsp:rsid wsp:val=&quot;00BA2524&quot;/&gt;&lt;wsp:rsid wsp:val=&quot;00BA26D5&quot;/&gt;&lt;wsp:rsid wsp:val=&quot;00BA29EE&quot;/&gt;&lt;wsp:rsid wsp:val=&quot;00BA2AD9&quot;/&gt;&lt;wsp:rsid wsp:val=&quot;00BA2BCD&quot;/&gt;&lt;wsp:rsid wsp:val=&quot;00BA2F93&quot;/&gt;&lt;wsp:rsid wsp:val=&quot;00BA308E&quot;/&gt;&lt;wsp:rsid wsp:val=&quot;00BA323D&quot;/&gt;&lt;wsp:rsid wsp:val=&quot;00BA3547&quot;/&gt;&lt;wsp:rsid wsp:val=&quot;00BA3551&quot;/&gt;&lt;wsp:rsid wsp:val=&quot;00BA35F1&quot;/&gt;&lt;wsp:rsid wsp:val=&quot;00BA37D5&quot;/&gt;&lt;wsp:rsid wsp:val=&quot;00BA393D&quot;/&gt;&lt;wsp:rsid wsp:val=&quot;00BA3A59&quot;/&gt;&lt;wsp:rsid wsp:val=&quot;00BA3A94&quot;/&gt;&lt;wsp:rsid wsp:val=&quot;00BA3AC3&quot;/&gt;&lt;wsp:rsid wsp:val=&quot;00BA3B8A&quot;/&gt;&lt;wsp:rsid wsp:val=&quot;00BA3C2F&quot;/&gt;&lt;wsp:rsid wsp:val=&quot;00BA3DFF&quot;/&gt;&lt;wsp:rsid wsp:val=&quot;00BA3F9D&quot;/&gt;&lt;wsp:rsid wsp:val=&quot;00BA41FA&quot;/&gt;&lt;wsp:rsid wsp:val=&quot;00BA4D06&quot;/&gt;&lt;wsp:rsid wsp:val=&quot;00BA4ED7&quot;/&gt;&lt;wsp:rsid wsp:val=&quot;00BA4EFA&quot;/&gt;&lt;wsp:rsid wsp:val=&quot;00BA533B&quot;/&gt;&lt;wsp:rsid wsp:val=&quot;00BA579E&quot;/&gt;&lt;wsp:rsid wsp:val=&quot;00BA5882&quot;/&gt;&lt;wsp:rsid wsp:val=&quot;00BA59CA&quot;/&gt;&lt;wsp:rsid wsp:val=&quot;00BA5A51&quot;/&gt;&lt;wsp:rsid wsp:val=&quot;00BA5E70&quot;/&gt;&lt;wsp:rsid wsp:val=&quot;00BA5E7F&quot;/&gt;&lt;wsp:rsid wsp:val=&quot;00BA6702&quot;/&gt;&lt;wsp:rsid wsp:val=&quot;00BA6955&quot;/&gt;&lt;wsp:rsid wsp:val=&quot;00BA6BB7&quot;/&gt;&lt;wsp:rsid wsp:val=&quot;00BA6D40&quot;/&gt;&lt;wsp:rsid wsp:val=&quot;00BA6F78&quot;/&gt;&lt;wsp:rsid wsp:val=&quot;00BA7422&quot;/&gt;&lt;wsp:rsid wsp:val=&quot;00BA74B4&quot;/&gt;&lt;wsp:rsid wsp:val=&quot;00BA75E5&quot;/&gt;&lt;wsp:rsid wsp:val=&quot;00BA77CD&quot;/&gt;&lt;wsp:rsid wsp:val=&quot;00BA794C&quot;/&gt;&lt;wsp:rsid wsp:val=&quot;00BA7A30&quot;/&gt;&lt;wsp:rsid wsp:val=&quot;00BB002A&quot;/&gt;&lt;wsp:rsid wsp:val=&quot;00BB0100&quot;/&gt;&lt;wsp:rsid wsp:val=&quot;00BB0479&quot;/&gt;&lt;wsp:rsid wsp:val=&quot;00BB04BC&quot;/&gt;&lt;wsp:rsid wsp:val=&quot;00BB0763&quot;/&gt;&lt;wsp:rsid wsp:val=&quot;00BB0B27&quot;/&gt;&lt;wsp:rsid wsp:val=&quot;00BB0C33&quot;/&gt;&lt;wsp:rsid wsp:val=&quot;00BB0CAD&quot;/&gt;&lt;wsp:rsid wsp:val=&quot;00BB0F17&quot;/&gt;&lt;wsp:rsid wsp:val=&quot;00BB0FAA&quot;/&gt;&lt;wsp:rsid wsp:val=&quot;00BB116F&quot;/&gt;&lt;wsp:rsid wsp:val=&quot;00BB1288&quot;/&gt;&lt;wsp:rsid wsp:val=&quot;00BB17AD&quot;/&gt;&lt;wsp:rsid wsp:val=&quot;00BB1A22&quot;/&gt;&lt;wsp:rsid wsp:val=&quot;00BB1A9E&quot;/&gt;&lt;wsp:rsid wsp:val=&quot;00BB1F4E&quot;/&gt;&lt;wsp:rsid wsp:val=&quot;00BB1F90&quot;/&gt;&lt;wsp:rsid wsp:val=&quot;00BB2133&quot;/&gt;&lt;wsp:rsid wsp:val=&quot;00BB2323&quot;/&gt;&lt;wsp:rsid wsp:val=&quot;00BB2504&quot;/&gt;&lt;wsp:rsid wsp:val=&quot;00BB2562&quot;/&gt;&lt;wsp:rsid wsp:val=&quot;00BB25CD&quot;/&gt;&lt;wsp:rsid wsp:val=&quot;00BB26D6&quot;/&gt;&lt;wsp:rsid wsp:val=&quot;00BB2957&quot;/&gt;&lt;wsp:rsid wsp:val=&quot;00BB2AEB&quot;/&gt;&lt;wsp:rsid wsp:val=&quot;00BB2B4E&quot;/&gt;&lt;wsp:rsid wsp:val=&quot;00BB2CFA&quot;/&gt;&lt;wsp:rsid wsp:val=&quot;00BB2D25&quot;/&gt;&lt;wsp:rsid wsp:val=&quot;00BB2D56&quot;/&gt;&lt;wsp:rsid wsp:val=&quot;00BB2F57&quot;/&gt;&lt;wsp:rsid wsp:val=&quot;00BB2FAA&quot;/&gt;&lt;wsp:rsid wsp:val=&quot;00BB3272&quot;/&gt;&lt;wsp:rsid wsp:val=&quot;00BB32F5&quot;/&gt;&lt;wsp:rsid wsp:val=&quot;00BB3379&quot;/&gt;&lt;wsp:rsid wsp:val=&quot;00BB35CA&quot;/&gt;&lt;wsp:rsid wsp:val=&quot;00BB3FCB&quot;/&gt;&lt;wsp:rsid wsp:val=&quot;00BB44D4&quot;/&gt;&lt;wsp:rsid wsp:val=&quot;00BB491F&quot;/&gt;&lt;wsp:rsid wsp:val=&quot;00BB4B83&quot;/&gt;&lt;wsp:rsid wsp:val=&quot;00BB4D3C&quot;/&gt;&lt;wsp:rsid wsp:val=&quot;00BB4E2B&quot;/&gt;&lt;wsp:rsid wsp:val=&quot;00BB5876&quot;/&gt;&lt;wsp:rsid wsp:val=&quot;00BB5AB6&quot;/&gt;&lt;wsp:rsid wsp:val=&quot;00BB5B2B&quot;/&gt;&lt;wsp:rsid wsp:val=&quot;00BB5CD4&quot;/&gt;&lt;wsp:rsid wsp:val=&quot;00BB5D03&quot;/&gt;&lt;wsp:rsid wsp:val=&quot;00BB639D&quot;/&gt;&lt;wsp:rsid wsp:val=&quot;00BB6CEF&quot;/&gt;&lt;wsp:rsid wsp:val=&quot;00BB75D5&quot;/&gt;&lt;wsp:rsid wsp:val=&quot;00BB766D&quot;/&gt;&lt;wsp:rsid wsp:val=&quot;00BB78A5&quot;/&gt;&lt;wsp:rsid wsp:val=&quot;00BC009A&quot;/&gt;&lt;wsp:rsid wsp:val=&quot;00BC00FC&quot;/&gt;&lt;wsp:rsid wsp:val=&quot;00BC0104&quot;/&gt;&lt;wsp:rsid wsp:val=&quot;00BC038F&quot;/&gt;&lt;wsp:rsid wsp:val=&quot;00BC0683&quot;/&gt;&lt;wsp:rsid wsp:val=&quot;00BC0757&quot;/&gt;&lt;wsp:rsid wsp:val=&quot;00BC0804&quot;/&gt;&lt;wsp:rsid wsp:val=&quot;00BC09EB&quot;/&gt;&lt;wsp:rsid wsp:val=&quot;00BC0B74&quot;/&gt;&lt;wsp:rsid wsp:val=&quot;00BC0EF0&quot;/&gt;&lt;wsp:rsid wsp:val=&quot;00BC0F47&quot;/&gt;&lt;wsp:rsid wsp:val=&quot;00BC0F4E&quot;/&gt;&lt;wsp:rsid wsp:val=&quot;00BC1015&quot;/&gt;&lt;wsp:rsid wsp:val=&quot;00BC1553&quot;/&gt;&lt;wsp:rsid wsp:val=&quot;00BC1586&quot;/&gt;&lt;wsp:rsid wsp:val=&quot;00BC15A2&quot;/&gt;&lt;wsp:rsid wsp:val=&quot;00BC162E&quot;/&gt;&lt;wsp:rsid wsp:val=&quot;00BC1919&quot;/&gt;&lt;wsp:rsid wsp:val=&quot;00BC1F1A&quot;/&gt;&lt;wsp:rsid wsp:val=&quot;00BC1FF3&quot;/&gt;&lt;wsp:rsid wsp:val=&quot;00BC200E&quot;/&gt;&lt;wsp:rsid wsp:val=&quot;00BC21CE&quot;/&gt;&lt;wsp:rsid wsp:val=&quot;00BC2472&quot;/&gt;&lt;wsp:rsid wsp:val=&quot;00BC259F&quot;/&gt;&lt;wsp:rsid wsp:val=&quot;00BC297A&quot;/&gt;&lt;wsp:rsid wsp:val=&quot;00BC29B3&quot;/&gt;&lt;wsp:rsid wsp:val=&quot;00BC2D59&quot;/&gt;&lt;wsp:rsid wsp:val=&quot;00BC2E05&quot;/&gt;&lt;wsp:rsid wsp:val=&quot;00BC2F05&quot;/&gt;&lt;wsp:rsid wsp:val=&quot;00BC3101&quot;/&gt;&lt;wsp:rsid wsp:val=&quot;00BC31AC&quot;/&gt;&lt;wsp:rsid wsp:val=&quot;00BC323D&quot;/&gt;&lt;wsp:rsid wsp:val=&quot;00BC35DF&quot;/&gt;&lt;wsp:rsid wsp:val=&quot;00BC3A7B&quot;/&gt;&lt;wsp:rsid wsp:val=&quot;00BC3DEC&quot;/&gt;&lt;wsp:rsid wsp:val=&quot;00BC40BB&quot;/&gt;&lt;wsp:rsid wsp:val=&quot;00BC40C8&quot;/&gt;&lt;wsp:rsid wsp:val=&quot;00BC4741&quot;/&gt;&lt;wsp:rsid wsp:val=&quot;00BC491A&quot;/&gt;&lt;wsp:rsid wsp:val=&quot;00BC4966&quot;/&gt;&lt;wsp:rsid wsp:val=&quot;00BC4CE8&quot;/&gt;&lt;wsp:rsid wsp:val=&quot;00BC4FDA&quot;/&gt;&lt;wsp:rsid wsp:val=&quot;00BC507B&quot;/&gt;&lt;wsp:rsid wsp:val=&quot;00BC567A&quot;/&gt;&lt;wsp:rsid wsp:val=&quot;00BC5A3D&quot;/&gt;&lt;wsp:rsid wsp:val=&quot;00BC5A54&quot;/&gt;&lt;wsp:rsid wsp:val=&quot;00BC5DEB&quot;/&gt;&lt;wsp:rsid wsp:val=&quot;00BC6037&quot;/&gt;&lt;wsp:rsid wsp:val=&quot;00BC607B&quot;/&gt;&lt;wsp:rsid wsp:val=&quot;00BC62C6&quot;/&gt;&lt;wsp:rsid wsp:val=&quot;00BC63B6&quot;/&gt;&lt;wsp:rsid wsp:val=&quot;00BC694C&quot;/&gt;&lt;wsp:rsid wsp:val=&quot;00BC6AFD&quot;/&gt;&lt;wsp:rsid wsp:val=&quot;00BC6DE2&quot;/&gt;&lt;wsp:rsid wsp:val=&quot;00BC6E7C&quot;/&gt;&lt;wsp:rsid wsp:val=&quot;00BC6EC3&quot;/&gt;&lt;wsp:rsid wsp:val=&quot;00BC7444&quot;/&gt;&lt;wsp:rsid wsp:val=&quot;00BC764F&quot;/&gt;&lt;wsp:rsid wsp:val=&quot;00BC7AC8&quot;/&gt;&lt;wsp:rsid wsp:val=&quot;00BC7B1B&quot;/&gt;&lt;wsp:rsid wsp:val=&quot;00BC7F8B&quot;/&gt;&lt;wsp:rsid wsp:val=&quot;00BD00B3&quot;/&gt;&lt;wsp:rsid wsp:val=&quot;00BD07B6&quot;/&gt;&lt;wsp:rsid wsp:val=&quot;00BD0A98&quot;/&gt;&lt;wsp:rsid wsp:val=&quot;00BD0D2F&quot;/&gt;&lt;wsp:rsid wsp:val=&quot;00BD0DE7&quot;/&gt;&lt;wsp:rsid wsp:val=&quot;00BD115E&quot;/&gt;&lt;wsp:rsid wsp:val=&quot;00BD1316&quot;/&gt;&lt;wsp:rsid wsp:val=&quot;00BD1385&quot;/&gt;&lt;wsp:rsid wsp:val=&quot;00BD13D4&quot;/&gt;&lt;wsp:rsid wsp:val=&quot;00BD15D5&quot;/&gt;&lt;wsp:rsid wsp:val=&quot;00BD199F&quot;/&gt;&lt;wsp:rsid wsp:val=&quot;00BD19A1&quot;/&gt;&lt;wsp:rsid wsp:val=&quot;00BD1B0A&quot;/&gt;&lt;wsp:rsid wsp:val=&quot;00BD1D0A&quot;/&gt;&lt;wsp:rsid wsp:val=&quot;00BD1FD0&quot;/&gt;&lt;wsp:rsid wsp:val=&quot;00BD26D7&quot;/&gt;&lt;wsp:rsid wsp:val=&quot;00BD282A&quot;/&gt;&lt;wsp:rsid wsp:val=&quot;00BD2CB5&quot;/&gt;&lt;wsp:rsid wsp:val=&quot;00BD2D29&quot;/&gt;&lt;wsp:rsid wsp:val=&quot;00BD2EB9&quot;/&gt;&lt;wsp:rsid wsp:val=&quot;00BD3115&quot;/&gt;&lt;wsp:rsid wsp:val=&quot;00BD35A1&quot;/&gt;&lt;wsp:rsid wsp:val=&quot;00BD3637&quot;/&gt;&lt;wsp:rsid wsp:val=&quot;00BD36BE&quot;/&gt;&lt;wsp:rsid wsp:val=&quot;00BD36FC&quot;/&gt;&lt;wsp:rsid wsp:val=&quot;00BD3A2D&quot;/&gt;&lt;wsp:rsid wsp:val=&quot;00BD3D91&quot;/&gt;&lt;wsp:rsid wsp:val=&quot;00BD41B6&quot;/&gt;&lt;wsp:rsid wsp:val=&quot;00BD476C&quot;/&gt;&lt;wsp:rsid wsp:val=&quot;00BD47B5&quot;/&gt;&lt;wsp:rsid wsp:val=&quot;00BD49C1&quot;/&gt;&lt;wsp:rsid wsp:val=&quot;00BD4E86&quot;/&gt;&lt;wsp:rsid wsp:val=&quot;00BD4EDF&quot;/&gt;&lt;wsp:rsid wsp:val=&quot;00BD50B9&quot;/&gt;&lt;wsp:rsid wsp:val=&quot;00BD525D&quot;/&gt;&lt;wsp:rsid wsp:val=&quot;00BD5AAB&quot;/&gt;&lt;wsp:rsid wsp:val=&quot;00BD600C&quot;/&gt;&lt;wsp:rsid wsp:val=&quot;00BD64AA&quot;/&gt;&lt;wsp:rsid wsp:val=&quot;00BD6553&quot;/&gt;&lt;wsp:rsid wsp:val=&quot;00BD6752&quot;/&gt;&lt;wsp:rsid wsp:val=&quot;00BD6A63&quot;/&gt;&lt;wsp:rsid wsp:val=&quot;00BD6AC2&quot;/&gt;&lt;wsp:rsid wsp:val=&quot;00BD7217&quot;/&gt;&lt;wsp:rsid wsp:val=&quot;00BD728D&quot;/&gt;&lt;wsp:rsid wsp:val=&quot;00BD735F&quot;/&gt;&lt;wsp:rsid wsp:val=&quot;00BD74C3&quot;/&gt;&lt;wsp:rsid wsp:val=&quot;00BD74E3&quot;/&gt;&lt;wsp:rsid wsp:val=&quot;00BD7A65&quot;/&gt;&lt;wsp:rsid wsp:val=&quot;00BD7C39&quot;/&gt;&lt;wsp:rsid wsp:val=&quot;00BD7C7E&quot;/&gt;&lt;wsp:rsid wsp:val=&quot;00BE0048&quot;/&gt;&lt;wsp:rsid wsp:val=&quot;00BE0142&quot;/&gt;&lt;wsp:rsid wsp:val=&quot;00BE06AA&quot;/&gt;&lt;wsp:rsid wsp:val=&quot;00BE06AC&quot;/&gt;&lt;wsp:rsid wsp:val=&quot;00BE0749&quot;/&gt;&lt;wsp:rsid wsp:val=&quot;00BE0A54&quot;/&gt;&lt;wsp:rsid wsp:val=&quot;00BE0A7A&quot;/&gt;&lt;wsp:rsid wsp:val=&quot;00BE0DBF&quot;/&gt;&lt;wsp:rsid wsp:val=&quot;00BE0F9F&quot;/&gt;&lt;wsp:rsid wsp:val=&quot;00BE10DF&quot;/&gt;&lt;wsp:rsid wsp:val=&quot;00BE123E&quot;/&gt;&lt;wsp:rsid wsp:val=&quot;00BE1377&quot;/&gt;&lt;wsp:rsid wsp:val=&quot;00BE18F5&quot;/&gt;&lt;wsp:rsid wsp:val=&quot;00BE1924&quot;/&gt;&lt;wsp:rsid wsp:val=&quot;00BE195F&quot;/&gt;&lt;wsp:rsid wsp:val=&quot;00BE198A&quot;/&gt;&lt;wsp:rsid wsp:val=&quot;00BE1C1C&quot;/&gt;&lt;wsp:rsid wsp:val=&quot;00BE20A3&quot;/&gt;&lt;wsp:rsid wsp:val=&quot;00BE21BE&quot;/&gt;&lt;wsp:rsid wsp:val=&quot;00BE21E1&quot;/&gt;&lt;wsp:rsid wsp:val=&quot;00BE2579&quot;/&gt;&lt;wsp:rsid wsp:val=&quot;00BE28CA&quot;/&gt;&lt;wsp:rsid wsp:val=&quot;00BE2ACD&quot;/&gt;&lt;wsp:rsid wsp:val=&quot;00BE3118&quot;/&gt;&lt;wsp:rsid wsp:val=&quot;00BE342F&quot;/&gt;&lt;wsp:rsid wsp:val=&quot;00BE35B6&quot;/&gt;&lt;wsp:rsid wsp:val=&quot;00BE3718&quot;/&gt;&lt;wsp:rsid wsp:val=&quot;00BE37D7&quot;/&gt;&lt;wsp:rsid wsp:val=&quot;00BE393C&quot;/&gt;&lt;wsp:rsid wsp:val=&quot;00BE3974&quot;/&gt;&lt;wsp:rsid wsp:val=&quot;00BE3AC0&quot;/&gt;&lt;wsp:rsid wsp:val=&quot;00BE3AD3&quot;/&gt;&lt;wsp:rsid wsp:val=&quot;00BE3B86&quot;/&gt;&lt;wsp:rsid wsp:val=&quot;00BE3BA4&quot;/&gt;&lt;wsp:rsid wsp:val=&quot;00BE3EC1&quot;/&gt;&lt;wsp:rsid wsp:val=&quot;00BE4ABE&quot;/&gt;&lt;wsp:rsid wsp:val=&quot;00BE4DFA&quot;/&gt;&lt;wsp:rsid wsp:val=&quot;00BE5026&quot;/&gt;&lt;wsp:rsid wsp:val=&quot;00BE504C&quot;/&gt;&lt;wsp:rsid wsp:val=&quot;00BE5081&quot;/&gt;&lt;wsp:rsid wsp:val=&quot;00BE522E&quot;/&gt;&lt;wsp:rsid wsp:val=&quot;00BE52D8&quot;/&gt;&lt;wsp:rsid wsp:val=&quot;00BE5530&quot;/&gt;&lt;wsp:rsid wsp:val=&quot;00BE584E&quot;/&gt;&lt;wsp:rsid wsp:val=&quot;00BE598A&quot;/&gt;&lt;wsp:rsid wsp:val=&quot;00BE59F5&quot;/&gt;&lt;wsp:rsid wsp:val=&quot;00BE60BA&quot;/&gt;&lt;wsp:rsid wsp:val=&quot;00BE6126&quot;/&gt;&lt;wsp:rsid wsp:val=&quot;00BE63C5&quot;/&gt;&lt;wsp:rsid wsp:val=&quot;00BE644D&quot;/&gt;&lt;wsp:rsid wsp:val=&quot;00BE664F&quot;/&gt;&lt;wsp:rsid wsp:val=&quot;00BE66F4&quot;/&gt;&lt;wsp:rsid wsp:val=&quot;00BE67BF&quot;/&gt;&lt;wsp:rsid wsp:val=&quot;00BE6813&quot;/&gt;&lt;wsp:rsid wsp:val=&quot;00BE6878&quot;/&gt;&lt;wsp:rsid wsp:val=&quot;00BE6C4C&quot;/&gt;&lt;wsp:rsid wsp:val=&quot;00BE6DF2&quot;/&gt;&lt;wsp:rsid wsp:val=&quot;00BE6EE6&quot;/&gt;&lt;wsp:rsid wsp:val=&quot;00BE7017&quot;/&gt;&lt;wsp:rsid wsp:val=&quot;00BE7020&quot;/&gt;&lt;wsp:rsid wsp:val=&quot;00BE715A&quot;/&gt;&lt;wsp:rsid wsp:val=&quot;00BE7594&quot;/&gt;&lt;wsp:rsid wsp:val=&quot;00BE796D&quot;/&gt;&lt;wsp:rsid wsp:val=&quot;00BE7A02&quot;/&gt;&lt;wsp:rsid wsp:val=&quot;00BE7B06&quot;/&gt;&lt;wsp:rsid wsp:val=&quot;00BE7DD0&quot;/&gt;&lt;wsp:rsid wsp:val=&quot;00BE7E3F&quot;/&gt;&lt;wsp:rsid wsp:val=&quot;00BE7F36&quot;/&gt;&lt;wsp:rsid wsp:val=&quot;00BE7F75&quot;/&gt;&lt;wsp:rsid wsp:val=&quot;00BF0122&quot;/&gt;&lt;wsp:rsid wsp:val=&quot;00BF0169&quot;/&gt;&lt;wsp:rsid wsp:val=&quot;00BF0222&quot;/&gt;&lt;wsp:rsid wsp:val=&quot;00BF0268&quot;/&gt;&lt;wsp:rsid wsp:val=&quot;00BF036C&quot;/&gt;&lt;wsp:rsid wsp:val=&quot;00BF0726&quot;/&gt;&lt;wsp:rsid wsp:val=&quot;00BF0CC7&quot;/&gt;&lt;wsp:rsid wsp:val=&quot;00BF10CB&quot;/&gt;&lt;wsp:rsid wsp:val=&quot;00BF138B&quot;/&gt;&lt;wsp:rsid wsp:val=&quot;00BF1439&quot;/&gt;&lt;wsp:rsid wsp:val=&quot;00BF173B&quot;/&gt;&lt;wsp:rsid wsp:val=&quot;00BF1D8B&quot;/&gt;&lt;wsp:rsid wsp:val=&quot;00BF2191&quot;/&gt;&lt;wsp:rsid wsp:val=&quot;00BF224E&quot;/&gt;&lt;wsp:rsid wsp:val=&quot;00BF23EB&quot;/&gt;&lt;wsp:rsid wsp:val=&quot;00BF262A&quot;/&gt;&lt;wsp:rsid wsp:val=&quot;00BF2717&quot;/&gt;&lt;wsp:rsid wsp:val=&quot;00BF2874&quot;/&gt;&lt;wsp:rsid wsp:val=&quot;00BF2951&quot;/&gt;&lt;wsp:rsid wsp:val=&quot;00BF297B&quot;/&gt;&lt;wsp:rsid wsp:val=&quot;00BF3249&quot;/&gt;&lt;wsp:rsid wsp:val=&quot;00BF3292&quot;/&gt;&lt;wsp:rsid wsp:val=&quot;00BF32FC&quot;/&gt;&lt;wsp:rsid wsp:val=&quot;00BF3623&quot;/&gt;&lt;wsp:rsid wsp:val=&quot;00BF38B9&quot;/&gt;&lt;wsp:rsid wsp:val=&quot;00BF3B8E&quot;/&gt;&lt;wsp:rsid wsp:val=&quot;00BF3BA6&quot;/&gt;&lt;wsp:rsid wsp:val=&quot;00BF3EE1&quot;/&gt;&lt;wsp:rsid wsp:val=&quot;00BF430A&quot;/&gt;&lt;wsp:rsid wsp:val=&quot;00BF4550&quot;/&gt;&lt;wsp:rsid wsp:val=&quot;00BF478B&quot;/&gt;&lt;wsp:rsid wsp:val=&quot;00BF4879&quot;/&gt;&lt;wsp:rsid wsp:val=&quot;00BF4AA9&quot;/&gt;&lt;wsp:rsid wsp:val=&quot;00BF4BB9&quot;/&gt;&lt;wsp:rsid wsp:val=&quot;00BF4DD6&quot;/&gt;&lt;wsp:rsid wsp:val=&quot;00BF4E15&quot;/&gt;&lt;wsp:rsid wsp:val=&quot;00BF4EF5&quot;/&gt;&lt;wsp:rsid wsp:val=&quot;00BF4FA5&quot;/&gt;&lt;wsp:rsid wsp:val=&quot;00BF513D&quot;/&gt;&lt;wsp:rsid wsp:val=&quot;00BF5150&quot;/&gt;&lt;wsp:rsid wsp:val=&quot;00BF556A&quot;/&gt;&lt;wsp:rsid wsp:val=&quot;00BF5AD5&quot;/&gt;&lt;wsp:rsid wsp:val=&quot;00BF619C&quot;/&gt;&lt;wsp:rsid wsp:val=&quot;00BF638C&quot;/&gt;&lt;wsp:rsid wsp:val=&quot;00BF67C4&quot;/&gt;&lt;wsp:rsid wsp:val=&quot;00BF6E39&quot;/&gt;&lt;wsp:rsid wsp:val=&quot;00BF6F0F&quot;/&gt;&lt;wsp:rsid wsp:val=&quot;00BF6F35&quot;/&gt;&lt;wsp:rsid wsp:val=&quot;00BF6F41&quot;/&gt;&lt;wsp:rsid wsp:val=&quot;00BF70EF&quot;/&gt;&lt;wsp:rsid wsp:val=&quot;00BF7458&quot;/&gt;&lt;wsp:rsid wsp:val=&quot;00BF759A&quot;/&gt;&lt;wsp:rsid wsp:val=&quot;00BF76C4&quot;/&gt;&lt;wsp:rsid wsp:val=&quot;00BF7737&quot;/&gt;&lt;wsp:rsid wsp:val=&quot;00BF7A95&quot;/&gt;&lt;wsp:rsid wsp:val=&quot;00BF7ABC&quot;/&gt;&lt;wsp:rsid wsp:val=&quot;00BF7CA1&quot;/&gt;&lt;wsp:rsid wsp:val=&quot;00C00097&quot;/&gt;&lt;wsp:rsid wsp:val=&quot;00C001C0&quot;/&gt;&lt;wsp:rsid wsp:val=&quot;00C00A08&quot;/&gt;&lt;wsp:rsid wsp:val=&quot;00C00A99&quot;/&gt;&lt;wsp:rsid wsp:val=&quot;00C00F16&quot;/&gt;&lt;wsp:rsid wsp:val=&quot;00C010AD&quot;/&gt;&lt;wsp:rsid wsp:val=&quot;00C010C1&quot;/&gt;&lt;wsp:rsid wsp:val=&quot;00C01132&quot;/&gt;&lt;wsp:rsid wsp:val=&quot;00C01669&quot;/&gt;&lt;wsp:rsid wsp:val=&quot;00C01863&quot;/&gt;&lt;wsp:rsid wsp:val=&quot;00C0199B&quot;/&gt;&lt;wsp:rsid wsp:val=&quot;00C019D0&quot;/&gt;&lt;wsp:rsid wsp:val=&quot;00C01A5E&quot;/&gt;&lt;wsp:rsid wsp:val=&quot;00C01DB0&quot;/&gt;&lt;wsp:rsid wsp:val=&quot;00C01E68&quot;/&gt;&lt;wsp:rsid wsp:val=&quot;00C021BC&quot;/&gt;&lt;wsp:rsid wsp:val=&quot;00C022EB&quot;/&gt;&lt;wsp:rsid wsp:val=&quot;00C02341&quot;/&gt;&lt;wsp:rsid wsp:val=&quot;00C02406&quot;/&gt;&lt;wsp:rsid wsp:val=&quot;00C028C1&quot;/&gt;&lt;wsp:rsid wsp:val=&quot;00C02AA5&quot;/&gt;&lt;wsp:rsid wsp:val=&quot;00C02AC8&quot;/&gt;&lt;wsp:rsid wsp:val=&quot;00C02EE1&quot;/&gt;&lt;wsp:rsid wsp:val=&quot;00C03135&quot;/&gt;&lt;wsp:rsid wsp:val=&quot;00C0344D&quot;/&gt;&lt;wsp:rsid wsp:val=&quot;00C036B5&quot;/&gt;&lt;wsp:rsid wsp:val=&quot;00C036DD&quot;/&gt;&lt;wsp:rsid wsp:val=&quot;00C0383B&quot;/&gt;&lt;wsp:rsid wsp:val=&quot;00C0392B&quot;/&gt;&lt;wsp:rsid wsp:val=&quot;00C03A48&quot;/&gt;&lt;wsp:rsid wsp:val=&quot;00C03A62&quot;/&gt;&lt;wsp:rsid wsp:val=&quot;00C03DF9&quot;/&gt;&lt;wsp:rsid wsp:val=&quot;00C04D55&quot;/&gt;&lt;wsp:rsid wsp:val=&quot;00C04E25&quot;/&gt;&lt;wsp:rsid wsp:val=&quot;00C04F93&quot;/&gt;&lt;wsp:rsid wsp:val=&quot;00C05414&quot;/&gt;&lt;wsp:rsid wsp:val=&quot;00C05683&quot;/&gt;&lt;wsp:rsid wsp:val=&quot;00C059D3&quot;/&gt;&lt;wsp:rsid wsp:val=&quot;00C05A86&quot;/&gt;&lt;wsp:rsid wsp:val=&quot;00C05AF4&quot;/&gt;&lt;wsp:rsid wsp:val=&quot;00C05B9D&quot;/&gt;&lt;wsp:rsid wsp:val=&quot;00C05CB2&quot;/&gt;&lt;wsp:rsid wsp:val=&quot;00C05EF4&quot;/&gt;&lt;wsp:rsid wsp:val=&quot;00C05FBF&quot;/&gt;&lt;wsp:rsid wsp:val=&quot;00C06057&quot;/&gt;&lt;wsp:rsid wsp:val=&quot;00C0609B&quot;/&gt;&lt;wsp:rsid wsp:val=&quot;00C0609C&quot;/&gt;&lt;wsp:rsid wsp:val=&quot;00C0626F&quot;/&gt;&lt;wsp:rsid wsp:val=&quot;00C063B2&quot;/&gt;&lt;wsp:rsid wsp:val=&quot;00C06433&quot;/&gt;&lt;wsp:rsid wsp:val=&quot;00C064FB&quot;/&gt;&lt;wsp:rsid wsp:val=&quot;00C065ED&quot;/&gt;&lt;wsp:rsid wsp:val=&quot;00C06613&quot;/&gt;&lt;wsp:rsid wsp:val=&quot;00C06711&quot;/&gt;&lt;wsp:rsid wsp:val=&quot;00C06827&quot;/&gt;&lt;wsp:rsid wsp:val=&quot;00C0682A&quot;/&gt;&lt;wsp:rsid wsp:val=&quot;00C06A4A&quot;/&gt;&lt;wsp:rsid wsp:val=&quot;00C06A57&quot;/&gt;&lt;wsp:rsid wsp:val=&quot;00C06B04&quot;/&gt;&lt;wsp:rsid wsp:val=&quot;00C06B76&quot;/&gt;&lt;wsp:rsid wsp:val=&quot;00C06CF5&quot;/&gt;&lt;wsp:rsid wsp:val=&quot;00C0738F&quot;/&gt;&lt;wsp:rsid wsp:val=&quot;00C07A8C&quot;/&gt;&lt;wsp:rsid wsp:val=&quot;00C07B14&quot;/&gt;&lt;wsp:rsid wsp:val=&quot;00C100D7&quot;/&gt;&lt;wsp:rsid wsp:val=&quot;00C101E1&quot;/&gt;&lt;wsp:rsid wsp:val=&quot;00C104B1&quot;/&gt;&lt;wsp:rsid wsp:val=&quot;00C1065E&quot;/&gt;&lt;wsp:rsid wsp:val=&quot;00C10668&quot;/&gt;&lt;wsp:rsid wsp:val=&quot;00C107D6&quot;/&gt;&lt;wsp:rsid wsp:val=&quot;00C11265&quot;/&gt;&lt;wsp:rsid wsp:val=&quot;00C11821&quot;/&gt;&lt;wsp:rsid wsp:val=&quot;00C11DFA&quot;/&gt;&lt;wsp:rsid wsp:val=&quot;00C11E71&quot;/&gt;&lt;wsp:rsid wsp:val=&quot;00C1208A&quot;/&gt;&lt;wsp:rsid wsp:val=&quot;00C121CF&quot;/&gt;&lt;wsp:rsid wsp:val=&quot;00C12557&quot;/&gt;&lt;wsp:rsid wsp:val=&quot;00C125D0&quot;/&gt;&lt;wsp:rsid wsp:val=&quot;00C12726&quot;/&gt;&lt;wsp:rsid wsp:val=&quot;00C12B2E&quot;/&gt;&lt;wsp:rsid wsp:val=&quot;00C13064&quot;/&gt;&lt;wsp:rsid wsp:val=&quot;00C130BF&quot;/&gt;&lt;wsp:rsid wsp:val=&quot;00C13126&quot;/&gt;&lt;wsp:rsid wsp:val=&quot;00C131D9&quot;/&gt;&lt;wsp:rsid wsp:val=&quot;00C137A9&quot;/&gt;&lt;wsp:rsid wsp:val=&quot;00C13B49&quot;/&gt;&lt;wsp:rsid wsp:val=&quot;00C13C77&quot;/&gt;&lt;wsp:rsid wsp:val=&quot;00C14365&quot;/&gt;&lt;wsp:rsid wsp:val=&quot;00C14540&quot;/&gt;&lt;wsp:rsid wsp:val=&quot;00C14569&quot;/&gt;&lt;wsp:rsid wsp:val=&quot;00C1469C&quot;/&gt;&lt;wsp:rsid wsp:val=&quot;00C1596C&quot;/&gt;&lt;wsp:rsid wsp:val=&quot;00C159C6&quot;/&gt;&lt;wsp:rsid wsp:val=&quot;00C15ABA&quot;/&gt;&lt;wsp:rsid wsp:val=&quot;00C15AFF&quot;/&gt;&lt;wsp:rsid wsp:val=&quot;00C16066&quot;/&gt;&lt;wsp:rsid wsp:val=&quot;00C16476&quot;/&gt;&lt;wsp:rsid wsp:val=&quot;00C165C1&quot;/&gt;&lt;wsp:rsid wsp:val=&quot;00C16810&quot;/&gt;&lt;wsp:rsid wsp:val=&quot;00C16992&quot;/&gt;&lt;wsp:rsid wsp:val=&quot;00C16E33&quot;/&gt;&lt;wsp:rsid wsp:val=&quot;00C16E66&quot;/&gt;&lt;wsp:rsid wsp:val=&quot;00C17203&quot;/&gt;&lt;wsp:rsid wsp:val=&quot;00C17662&quot;/&gt;&lt;wsp:rsid wsp:val=&quot;00C17785&quot;/&gt;&lt;wsp:rsid wsp:val=&quot;00C177DD&quot;/&gt;&lt;wsp:rsid wsp:val=&quot;00C177E5&quot;/&gt;&lt;wsp:rsid wsp:val=&quot;00C179D1&quot;/&gt;&lt;wsp:rsid wsp:val=&quot;00C17E9B&quot;/&gt;&lt;wsp:rsid wsp:val=&quot;00C200EC&quot;/&gt;&lt;wsp:rsid wsp:val=&quot;00C20627&quot;/&gt;&lt;wsp:rsid wsp:val=&quot;00C206C2&quot;/&gt;&lt;wsp:rsid wsp:val=&quot;00C20908&quot;/&gt;&lt;wsp:rsid wsp:val=&quot;00C20963&quot;/&gt;&lt;wsp:rsid wsp:val=&quot;00C20A11&quot;/&gt;&lt;wsp:rsid wsp:val=&quot;00C20AE4&quot;/&gt;&lt;wsp:rsid wsp:val=&quot;00C20E5A&quot;/&gt;&lt;wsp:rsid wsp:val=&quot;00C20E85&quot;/&gt;&lt;wsp:rsid wsp:val=&quot;00C2107C&quot;/&gt;&lt;wsp:rsid wsp:val=&quot;00C2123E&quot;/&gt;&lt;wsp:rsid wsp:val=&quot;00C213A1&quot;/&gt;&lt;wsp:rsid wsp:val=&quot;00C213DC&quot;/&gt;&lt;wsp:rsid wsp:val=&quot;00C215C7&quot;/&gt;&lt;wsp:rsid wsp:val=&quot;00C21730&quot;/&gt;&lt;wsp:rsid wsp:val=&quot;00C21863&quot;/&gt;&lt;wsp:rsid wsp:val=&quot;00C221CB&quot;/&gt;&lt;wsp:rsid wsp:val=&quot;00C22B31&quot;/&gt;&lt;wsp:rsid wsp:val=&quot;00C22B74&quot;/&gt;&lt;wsp:rsid wsp:val=&quot;00C22D29&quot;/&gt;&lt;wsp:rsid wsp:val=&quot;00C22D8D&quot;/&gt;&lt;wsp:rsid wsp:val=&quot;00C22F1A&quot;/&gt;&lt;wsp:rsid wsp:val=&quot;00C23071&quot;/&gt;&lt;wsp:rsid wsp:val=&quot;00C233A5&quot;/&gt;&lt;wsp:rsid wsp:val=&quot;00C233E1&quot;/&gt;&lt;wsp:rsid wsp:val=&quot;00C235D9&quot;/&gt;&lt;wsp:rsid wsp:val=&quot;00C23BCF&quot;/&gt;&lt;wsp:rsid wsp:val=&quot;00C23FB5&quot;/&gt;&lt;wsp:rsid wsp:val=&quot;00C23FDA&quot;/&gt;&lt;wsp:rsid wsp:val=&quot;00C24193&quot;/&gt;&lt;wsp:rsid wsp:val=&quot;00C24605&quot;/&gt;&lt;wsp:rsid wsp:val=&quot;00C2477D&quot;/&gt;&lt;wsp:rsid wsp:val=&quot;00C2478D&quot;/&gt;&lt;wsp:rsid wsp:val=&quot;00C2479F&quot;/&gt;&lt;wsp:rsid wsp:val=&quot;00C24892&quot;/&gt;&lt;wsp:rsid wsp:val=&quot;00C24937&quot;/&gt;&lt;wsp:rsid wsp:val=&quot;00C24AA9&quot;/&gt;&lt;wsp:rsid wsp:val=&quot;00C24C11&quot;/&gt;&lt;wsp:rsid wsp:val=&quot;00C24DAE&quot;/&gt;&lt;wsp:rsid wsp:val=&quot;00C24E12&quot;/&gt;&lt;wsp:rsid wsp:val=&quot;00C24EF0&quot;/&gt;&lt;wsp:rsid wsp:val=&quot;00C24F83&quot;/&gt;&lt;wsp:rsid wsp:val=&quot;00C24F9C&quot;/&gt;&lt;wsp:rsid wsp:val=&quot;00C250BC&quot;/&gt;&lt;wsp:rsid wsp:val=&quot;00C2512F&quot;/&gt;&lt;wsp:rsid wsp:val=&quot;00C25138&quot;/&gt;&lt;wsp:rsid wsp:val=&quot;00C25478&quot;/&gt;&lt;wsp:rsid wsp:val=&quot;00C2547D&quot;/&gt;&lt;wsp:rsid wsp:val=&quot;00C254A6&quot;/&gt;&lt;wsp:rsid wsp:val=&quot;00C2551E&quot;/&gt;&lt;wsp:rsid wsp:val=&quot;00C25564&quot;/&gt;&lt;wsp:rsid wsp:val=&quot;00C255F9&quot;/&gt;&lt;wsp:rsid wsp:val=&quot;00C257C2&quot;/&gt;&lt;wsp:rsid wsp:val=&quot;00C25892&quot;/&gt;&lt;wsp:rsid wsp:val=&quot;00C258C9&quot;/&gt;&lt;wsp:rsid wsp:val=&quot;00C25B98&quot;/&gt;&lt;wsp:rsid wsp:val=&quot;00C25CAE&quot;/&gt;&lt;wsp:rsid wsp:val=&quot;00C25CC0&quot;/&gt;&lt;wsp:rsid wsp:val=&quot;00C26130&quot;/&gt;&lt;wsp:rsid wsp:val=&quot;00C263F8&quot;/&gt;&lt;wsp:rsid wsp:val=&quot;00C268F3&quot;/&gt;&lt;wsp:rsid wsp:val=&quot;00C26A45&quot;/&gt;&lt;wsp:rsid wsp:val=&quot;00C26ADD&quot;/&gt;&lt;wsp:rsid wsp:val=&quot;00C26D0C&quot;/&gt;&lt;wsp:rsid wsp:val=&quot;00C26F58&quot;/&gt;&lt;wsp:rsid wsp:val=&quot;00C27177&quot;/&gt;&lt;wsp:rsid wsp:val=&quot;00C271C7&quot;/&gt;&lt;wsp:rsid wsp:val=&quot;00C271F1&quot;/&gt;&lt;wsp:rsid wsp:val=&quot;00C27220&quot;/&gt;&lt;wsp:rsid wsp:val=&quot;00C276C0&quot;/&gt;&lt;wsp:rsid wsp:val=&quot;00C27718&quot;/&gt;&lt;wsp:rsid wsp:val=&quot;00C27769&quot;/&gt;&lt;wsp:rsid wsp:val=&quot;00C27775&quot;/&gt;&lt;wsp:rsid wsp:val=&quot;00C27E42&quot;/&gt;&lt;wsp:rsid wsp:val=&quot;00C27EE8&quot;/&gt;&lt;wsp:rsid wsp:val=&quot;00C27F8E&quot;/&gt;&lt;wsp:rsid wsp:val=&quot;00C30305&quot;/&gt;&lt;wsp:rsid wsp:val=&quot;00C3059D&quot;/&gt;&lt;wsp:rsid wsp:val=&quot;00C30A98&quot;/&gt;&lt;wsp:rsid wsp:val=&quot;00C31542&quot;/&gt;&lt;wsp:rsid wsp:val=&quot;00C315CF&quot;/&gt;&lt;wsp:rsid wsp:val=&quot;00C319D8&quot;/&gt;&lt;wsp:rsid wsp:val=&quot;00C31AFC&quot;/&gt;&lt;wsp:rsid wsp:val=&quot;00C31BE6&quot;/&gt;&lt;wsp:rsid wsp:val=&quot;00C31D1F&quot;/&gt;&lt;wsp:rsid wsp:val=&quot;00C32092&quot;/&gt;&lt;wsp:rsid wsp:val=&quot;00C32402&quot;/&gt;&lt;wsp:rsid wsp:val=&quot;00C32497&quot;/&gt;&lt;wsp:rsid wsp:val=&quot;00C32691&quot;/&gt;&lt;wsp:rsid wsp:val=&quot;00C329F6&quot;/&gt;&lt;wsp:rsid wsp:val=&quot;00C32AC4&quot;/&gt;&lt;wsp:rsid wsp:val=&quot;00C32B71&quot;/&gt;&lt;wsp:rsid wsp:val=&quot;00C32C34&quot;/&gt;&lt;wsp:rsid wsp:val=&quot;00C32C92&quot;/&gt;&lt;wsp:rsid wsp:val=&quot;00C32CA4&quot;/&gt;&lt;wsp:rsid wsp:val=&quot;00C32CE4&quot;/&gt;&lt;wsp:rsid wsp:val=&quot;00C331BA&quot;/&gt;&lt;wsp:rsid wsp:val=&quot;00C33386&quot;/&gt;&lt;wsp:rsid wsp:val=&quot;00C33575&quot;/&gt;&lt;wsp:rsid wsp:val=&quot;00C338B5&quot;/&gt;&lt;wsp:rsid wsp:val=&quot;00C33C23&quot;/&gt;&lt;wsp:rsid wsp:val=&quot;00C34069&quot;/&gt;&lt;wsp:rsid wsp:val=&quot;00C3406A&quot;/&gt;&lt;wsp:rsid wsp:val=&quot;00C347E6&quot;/&gt;&lt;wsp:rsid wsp:val=&quot;00C3494D&quot;/&gt;&lt;wsp:rsid wsp:val=&quot;00C3558D&quot;/&gt;&lt;wsp:rsid wsp:val=&quot;00C359D4&quot;/&gt;&lt;wsp:rsid wsp:val=&quot;00C35FC8&quot;/&gt;&lt;wsp:rsid wsp:val=&quot;00C3635A&quot;/&gt;&lt;wsp:rsid wsp:val=&quot;00C364E3&quot;/&gt;&lt;wsp:rsid wsp:val=&quot;00C365D1&quot;/&gt;&lt;wsp:rsid wsp:val=&quot;00C367F0&quot;/&gt;&lt;wsp:rsid wsp:val=&quot;00C36C64&quot;/&gt;&lt;wsp:rsid wsp:val=&quot;00C370A4&quot;/&gt;&lt;wsp:rsid wsp:val=&quot;00C372FB&quot;/&gt;&lt;wsp:rsid wsp:val=&quot;00C374B2&quot;/&gt;&lt;wsp:rsid wsp:val=&quot;00C37545&quot;/&gt;&lt;wsp:rsid wsp:val=&quot;00C3757E&quot;/&gt;&lt;wsp:rsid wsp:val=&quot;00C377BD&quot;/&gt;&lt;wsp:rsid wsp:val=&quot;00C3786F&quot;/&gt;&lt;wsp:rsid wsp:val=&quot;00C37A39&quot;/&gt;&lt;wsp:rsid wsp:val=&quot;00C37CC3&quot;/&gt;&lt;wsp:rsid wsp:val=&quot;00C40260&quot;/&gt;&lt;wsp:rsid wsp:val=&quot;00C402D1&quot;/&gt;&lt;wsp:rsid wsp:val=&quot;00C40D82&quot;/&gt;&lt;wsp:rsid wsp:val=&quot;00C40EF6&quot;/&gt;&lt;wsp:rsid wsp:val=&quot;00C40F22&quot;/&gt;&lt;wsp:rsid wsp:val=&quot;00C4117B&quot;/&gt;&lt;wsp:rsid wsp:val=&quot;00C41496&quot;/&gt;&lt;wsp:rsid wsp:val=&quot;00C419DF&quot;/&gt;&lt;wsp:rsid wsp:val=&quot;00C41B12&quot;/&gt;&lt;wsp:rsid wsp:val=&quot;00C41B45&quot;/&gt;&lt;wsp:rsid wsp:val=&quot;00C41FB4&quot;/&gt;&lt;wsp:rsid wsp:val=&quot;00C42226&quot;/&gt;&lt;wsp:rsid wsp:val=&quot;00C42270&quot;/&gt;&lt;wsp:rsid wsp:val=&quot;00C423D4&quot;/&gt;&lt;wsp:rsid wsp:val=&quot;00C424A5&quot;/&gt;&lt;wsp:rsid wsp:val=&quot;00C424CA&quot;/&gt;&lt;wsp:rsid wsp:val=&quot;00C4286C&quot;/&gt;&lt;wsp:rsid wsp:val=&quot;00C429E3&quot;/&gt;&lt;wsp:rsid wsp:val=&quot;00C42C0D&quot;/&gt;&lt;wsp:rsid wsp:val=&quot;00C42E38&quot;/&gt;&lt;wsp:rsid wsp:val=&quot;00C43043&quot;/&gt;&lt;wsp:rsid wsp:val=&quot;00C430B3&quot;/&gt;&lt;wsp:rsid wsp:val=&quot;00C431DB&quot;/&gt;&lt;wsp:rsid wsp:val=&quot;00C431FD&quot;/&gt;&lt;wsp:rsid wsp:val=&quot;00C43959&quot;/&gt;&lt;wsp:rsid wsp:val=&quot;00C43ABE&quot;/&gt;&lt;wsp:rsid wsp:val=&quot;00C43E54&quot;/&gt;&lt;wsp:rsid wsp:val=&quot;00C441E7&quot;/&gt;&lt;wsp:rsid wsp:val=&quot;00C443E8&quot;/&gt;&lt;wsp:rsid wsp:val=&quot;00C443F4&quot;/&gt;&lt;wsp:rsid wsp:val=&quot;00C4455E&quot;/&gt;&lt;wsp:rsid wsp:val=&quot;00C445F2&quot;/&gt;&lt;wsp:rsid wsp:val=&quot;00C446D1&quot;/&gt;&lt;wsp:rsid wsp:val=&quot;00C4470E&quot;/&gt;&lt;wsp:rsid wsp:val=&quot;00C44782&quot;/&gt;&lt;wsp:rsid wsp:val=&quot;00C44855&quot;/&gt;&lt;wsp:rsid wsp:val=&quot;00C44908&quot;/&gt;&lt;wsp:rsid wsp:val=&quot;00C44A54&quot;/&gt;&lt;wsp:rsid wsp:val=&quot;00C44CD4&quot;/&gt;&lt;wsp:rsid wsp:val=&quot;00C44F30&quot;/&gt;&lt;wsp:rsid wsp:val=&quot;00C45486&quot;/&gt;&lt;wsp:rsid wsp:val=&quot;00C45504&quot;/&gt;&lt;wsp:rsid wsp:val=&quot;00C45661&quot;/&gt;&lt;wsp:rsid wsp:val=&quot;00C458B3&quot;/&gt;&lt;wsp:rsid wsp:val=&quot;00C459A7&quot;/&gt;&lt;wsp:rsid wsp:val=&quot;00C46235&quot;/&gt;&lt;wsp:rsid wsp:val=&quot;00C46317&quot;/&gt;&lt;wsp:rsid wsp:val=&quot;00C46F7A&quot;/&gt;&lt;wsp:rsid wsp:val=&quot;00C47035&quot;/&gt;&lt;wsp:rsid wsp:val=&quot;00C4709E&quot;/&gt;&lt;wsp:rsid wsp:val=&quot;00C4721F&quot;/&gt;&lt;wsp:rsid wsp:val=&quot;00C47268&quot;/&gt;&lt;wsp:rsid wsp:val=&quot;00C472EA&quot;/&gt;&lt;wsp:rsid wsp:val=&quot;00C473CA&quot;/&gt;&lt;wsp:rsid wsp:val=&quot;00C4756D&quot;/&gt;&lt;wsp:rsid wsp:val=&quot;00C475E6&quot;/&gt;&lt;wsp:rsid wsp:val=&quot;00C478E1&quot;/&gt;&lt;wsp:rsid wsp:val=&quot;00C47961&quot;/&gt;&lt;wsp:rsid wsp:val=&quot;00C502AF&quot;/&gt;&lt;wsp:rsid wsp:val=&quot;00C5057B&quot;/&gt;&lt;wsp:rsid wsp:val=&quot;00C505BB&quot;/&gt;&lt;wsp:rsid wsp:val=&quot;00C506AB&quot;/&gt;&lt;wsp:rsid wsp:val=&quot;00C50C14&quot;/&gt;&lt;wsp:rsid wsp:val=&quot;00C50EE8&quot;/&gt;&lt;wsp:rsid wsp:val=&quot;00C51114&quot;/&gt;&lt;wsp:rsid wsp:val=&quot;00C51283&quot;/&gt;&lt;wsp:rsid wsp:val=&quot;00C5128D&quot;/&gt;&lt;wsp:rsid wsp:val=&quot;00C512C5&quot;/&gt;&lt;wsp:rsid wsp:val=&quot;00C5164E&quot;/&gt;&lt;wsp:rsid wsp:val=&quot;00C516BE&quot;/&gt;&lt;wsp:rsid wsp:val=&quot;00C51915&quot;/&gt;&lt;wsp:rsid wsp:val=&quot;00C51C78&quot;/&gt;&lt;wsp:rsid wsp:val=&quot;00C520E2&quot;/&gt;&lt;wsp:rsid wsp:val=&quot;00C521F5&quot;/&gt;&lt;wsp:rsid wsp:val=&quot;00C529DB&quot;/&gt;&lt;wsp:rsid wsp:val=&quot;00C52AF4&quot;/&gt;&lt;wsp:rsid wsp:val=&quot;00C52B61&quot;/&gt;&lt;wsp:rsid wsp:val=&quot;00C52C1A&quot;/&gt;&lt;wsp:rsid wsp:val=&quot;00C52D00&quot;/&gt;&lt;wsp:rsid wsp:val=&quot;00C52D6D&quot;/&gt;&lt;wsp:rsid wsp:val=&quot;00C52D75&quot;/&gt;&lt;wsp:rsid wsp:val=&quot;00C52E45&quot;/&gt;&lt;wsp:rsid wsp:val=&quot;00C531DC&quot;/&gt;&lt;wsp:rsid wsp:val=&quot;00C53272&quot;/&gt;&lt;wsp:rsid wsp:val=&quot;00C53308&quot;/&gt;&lt;wsp:rsid wsp:val=&quot;00C5341D&quot;/&gt;&lt;wsp:rsid wsp:val=&quot;00C53527&quot;/&gt;&lt;wsp:rsid wsp:val=&quot;00C53718&quot;/&gt;&lt;wsp:rsid wsp:val=&quot;00C5375D&quot;/&gt;&lt;wsp:rsid wsp:val=&quot;00C5397E&quot;/&gt;&lt;wsp:rsid wsp:val=&quot;00C539F2&quot;/&gt;&lt;wsp:rsid wsp:val=&quot;00C53CE7&quot;/&gt;&lt;wsp:rsid wsp:val=&quot;00C53FF4&quot;/&gt;&lt;wsp:rsid wsp:val=&quot;00C54047&quot;/&gt;&lt;wsp:rsid wsp:val=&quot;00C545D7&quot;/&gt;&lt;wsp:rsid wsp:val=&quot;00C545DA&quot;/&gt;&lt;wsp:rsid wsp:val=&quot;00C546D2&quot;/&gt;&lt;wsp:rsid wsp:val=&quot;00C54C09&quot;/&gt;&lt;wsp:rsid wsp:val=&quot;00C54D1E&quot;/&gt;&lt;wsp:rsid wsp:val=&quot;00C54D9B&quot;/&gt;&lt;wsp:rsid wsp:val=&quot;00C54E65&quot;/&gt;&lt;wsp:rsid wsp:val=&quot;00C550C7&quot;/&gt;&lt;wsp:rsid wsp:val=&quot;00C55199&quot;/&gt;&lt;wsp:rsid wsp:val=&quot;00C5532C&quot;/&gt;&lt;wsp:rsid wsp:val=&quot;00C555B6&quot;/&gt;&lt;wsp:rsid wsp:val=&quot;00C55A58&quot;/&gt;&lt;wsp:rsid wsp:val=&quot;00C55E33&quot;/&gt;&lt;wsp:rsid wsp:val=&quot;00C55F41&quot;/&gt;&lt;wsp:rsid wsp:val=&quot;00C5609C&quot;/&gt;&lt;wsp:rsid wsp:val=&quot;00C565B6&quot;/&gt;&lt;wsp:rsid wsp:val=&quot;00C5675A&quot;/&gt;&lt;wsp:rsid wsp:val=&quot;00C56836&quot;/&gt;&lt;wsp:rsid wsp:val=&quot;00C56B14&quot;/&gt;&lt;wsp:rsid wsp:val=&quot;00C56B82&quot;/&gt;&lt;wsp:rsid wsp:val=&quot;00C56C39&quot;/&gt;&lt;wsp:rsid wsp:val=&quot;00C571E2&quot;/&gt;&lt;wsp:rsid wsp:val=&quot;00C57273&quot;/&gt;&lt;wsp:rsid wsp:val=&quot;00C57350&quot;/&gt;&lt;wsp:rsid wsp:val=&quot;00C5738C&quot;/&gt;&lt;wsp:rsid wsp:val=&quot;00C57463&quot;/&gt;&lt;wsp:rsid wsp:val=&quot;00C57537&quot;/&gt;&lt;wsp:rsid wsp:val=&quot;00C577AC&quot;/&gt;&lt;wsp:rsid wsp:val=&quot;00C57AB1&quot;/&gt;&lt;wsp:rsid wsp:val=&quot;00C57D94&quot;/&gt;&lt;wsp:rsid wsp:val=&quot;00C57F4A&quot;/&gt;&lt;wsp:rsid wsp:val=&quot;00C57F99&quot;/&gt;&lt;wsp:rsid wsp:val=&quot;00C60077&quot;/&gt;&lt;wsp:rsid wsp:val=&quot;00C60226&quot;/&gt;&lt;wsp:rsid wsp:val=&quot;00C60427&quot;/&gt;&lt;wsp:rsid wsp:val=&quot;00C6069E&quot;/&gt;&lt;wsp:rsid wsp:val=&quot;00C606C2&quot;/&gt;&lt;wsp:rsid wsp:val=&quot;00C6081A&quot;/&gt;&lt;wsp:rsid wsp:val=&quot;00C60827&quot;/&gt;&lt;wsp:rsid wsp:val=&quot;00C60A36&quot;/&gt;&lt;wsp:rsid wsp:val=&quot;00C60E36&quot;/&gt;&lt;wsp:rsid wsp:val=&quot;00C61132&quot;/&gt;&lt;wsp:rsid wsp:val=&quot;00C6177A&quot;/&gt;&lt;wsp:rsid wsp:val=&quot;00C61C9D&quot;/&gt;&lt;wsp:rsid wsp:val=&quot;00C61DDB&quot;/&gt;&lt;wsp:rsid wsp:val=&quot;00C61DF5&quot;/&gt;&lt;wsp:rsid wsp:val=&quot;00C61E13&quot;/&gt;&lt;wsp:rsid wsp:val=&quot;00C61FED&quot;/&gt;&lt;wsp:rsid wsp:val=&quot;00C623A5&quot;/&gt;&lt;wsp:rsid wsp:val=&quot;00C62692&quot;/&gt;&lt;wsp:rsid wsp:val=&quot;00C62819&quot;/&gt;&lt;wsp:rsid wsp:val=&quot;00C62848&quot;/&gt;&lt;wsp:rsid wsp:val=&quot;00C628B6&quot;/&gt;&lt;wsp:rsid wsp:val=&quot;00C6296F&quot;/&gt;&lt;wsp:rsid wsp:val=&quot;00C62C96&quot;/&gt;&lt;wsp:rsid wsp:val=&quot;00C63008&quot;/&gt;&lt;wsp:rsid wsp:val=&quot;00C63389&quot;/&gt;&lt;wsp:rsid wsp:val=&quot;00C635E0&quot;/&gt;&lt;wsp:rsid wsp:val=&quot;00C63800&quot;/&gt;&lt;wsp:rsid wsp:val=&quot;00C63AD0&quot;/&gt;&lt;wsp:rsid wsp:val=&quot;00C63C9F&quot;/&gt;&lt;wsp:rsid wsp:val=&quot;00C63CDD&quot;/&gt;&lt;wsp:rsid wsp:val=&quot;00C63EDF&quot;/&gt;&lt;wsp:rsid wsp:val=&quot;00C645A4&quot;/&gt;&lt;wsp:rsid wsp:val=&quot;00C6484B&quot;/&gt;&lt;wsp:rsid wsp:val=&quot;00C648FE&quot;/&gt;&lt;wsp:rsid wsp:val=&quot;00C64E00&quot;/&gt;&lt;wsp:rsid wsp:val=&quot;00C64FA0&quot;/&gt;&lt;wsp:rsid wsp:val=&quot;00C65122&quot;/&gt;&lt;wsp:rsid wsp:val=&quot;00C65176&quot;/&gt;&lt;wsp:rsid wsp:val=&quot;00C651E7&quot;/&gt;&lt;wsp:rsid wsp:val=&quot;00C6520E&quot;/&gt;&lt;wsp:rsid wsp:val=&quot;00C65338&quot;/&gt;&lt;wsp:rsid wsp:val=&quot;00C65477&quot;/&gt;&lt;wsp:rsid wsp:val=&quot;00C65A41&quot;/&gt;&lt;wsp:rsid wsp:val=&quot;00C65C6D&quot;/&gt;&lt;wsp:rsid wsp:val=&quot;00C65D2C&quot;/&gt;&lt;wsp:rsid wsp:val=&quot;00C65F93&quot;/&gt;&lt;wsp:rsid wsp:val=&quot;00C65FFD&quot;/&gt;&lt;wsp:rsid wsp:val=&quot;00C66272&quot;/&gt;&lt;wsp:rsid wsp:val=&quot;00C66286&quot;/&gt;&lt;wsp:rsid wsp:val=&quot;00C6655C&quot;/&gt;&lt;wsp:rsid wsp:val=&quot;00C6671E&quot;/&gt;&lt;wsp:rsid wsp:val=&quot;00C66761&quot;/&gt;&lt;wsp:rsid wsp:val=&quot;00C66792&quot;/&gt;&lt;wsp:rsid wsp:val=&quot;00C66B1A&quot;/&gt;&lt;wsp:rsid wsp:val=&quot;00C66D0B&quot;/&gt;&lt;wsp:rsid wsp:val=&quot;00C673FE&quot;/&gt;&lt;wsp:rsid wsp:val=&quot;00C67857&quot;/&gt;&lt;wsp:rsid wsp:val=&quot;00C67B95&quot;/&gt;&lt;wsp:rsid wsp:val=&quot;00C67EDE&quot;/&gt;&lt;wsp:rsid wsp:val=&quot;00C67F9B&quot;/&gt;&lt;wsp:rsid wsp:val=&quot;00C7045D&quot;/&gt;&lt;wsp:rsid wsp:val=&quot;00C706A5&quot;/&gt;&lt;wsp:rsid wsp:val=&quot;00C707F5&quot;/&gt;&lt;wsp:rsid wsp:val=&quot;00C70AB0&quot;/&gt;&lt;wsp:rsid wsp:val=&quot;00C7135F&quot;/&gt;&lt;wsp:rsid wsp:val=&quot;00C71801&quot;/&gt;&lt;wsp:rsid wsp:val=&quot;00C71BAE&quot;/&gt;&lt;wsp:rsid wsp:val=&quot;00C71DC7&quot;/&gt;&lt;wsp:rsid wsp:val=&quot;00C71EEE&quot;/&gt;&lt;wsp:rsid wsp:val=&quot;00C71F0B&quot;/&gt;&lt;wsp:rsid wsp:val=&quot;00C71FED&quot;/&gt;&lt;wsp:rsid wsp:val=&quot;00C72033&quot;/&gt;&lt;wsp:rsid wsp:val=&quot;00C7203A&quot;/&gt;&lt;wsp:rsid wsp:val=&quot;00C72057&quot;/&gt;&lt;wsp:rsid wsp:val=&quot;00C72223&quot;/&gt;&lt;wsp:rsid wsp:val=&quot;00C72409&quot;/&gt;&lt;wsp:rsid wsp:val=&quot;00C7260E&quot;/&gt;&lt;wsp:rsid wsp:val=&quot;00C72738&quot;/&gt;&lt;wsp:rsid wsp:val=&quot;00C727D8&quot;/&gt;&lt;wsp:rsid wsp:val=&quot;00C72CA4&quot;/&gt;&lt;wsp:rsid wsp:val=&quot;00C72E32&quot;/&gt;&lt;wsp:rsid wsp:val=&quot;00C7341D&quot;/&gt;&lt;wsp:rsid wsp:val=&quot;00C7346C&quot;/&gt;&lt;wsp:rsid wsp:val=&quot;00C734BA&quot;/&gt;&lt;wsp:rsid wsp:val=&quot;00C7367D&quot;/&gt;&lt;wsp:rsid wsp:val=&quot;00C73778&quot;/&gt;&lt;wsp:rsid wsp:val=&quot;00C73A06&quot;/&gt;&lt;wsp:rsid wsp:val=&quot;00C73A07&quot;/&gt;&lt;wsp:rsid wsp:val=&quot;00C73B94&quot;/&gt;&lt;wsp:rsid wsp:val=&quot;00C73BE4&quot;/&gt;&lt;wsp:rsid wsp:val=&quot;00C73C7F&quot;/&gt;&lt;wsp:rsid wsp:val=&quot;00C73E14&quot;/&gt;&lt;wsp:rsid wsp:val=&quot;00C73E9D&quot;/&gt;&lt;wsp:rsid wsp:val=&quot;00C73FDB&quot;/&gt;&lt;wsp:rsid wsp:val=&quot;00C740DC&quot;/&gt;&lt;wsp:rsid wsp:val=&quot;00C74218&quot;/&gt;&lt;wsp:rsid wsp:val=&quot;00C74A85&quot;/&gt;&lt;wsp:rsid wsp:val=&quot;00C74C0C&quot;/&gt;&lt;wsp:rsid wsp:val=&quot;00C74C38&quot;/&gt;&lt;wsp:rsid wsp:val=&quot;00C750D1&quot;/&gt;&lt;wsp:rsid wsp:val=&quot;00C7552E&quot;/&gt;&lt;wsp:rsid wsp:val=&quot;00C755A4&quot;/&gt;&lt;wsp:rsid wsp:val=&quot;00C755E6&quot;/&gt;&lt;wsp:rsid wsp:val=&quot;00C75747&quot;/&gt;&lt;wsp:rsid wsp:val=&quot;00C75791&quot;/&gt;&lt;wsp:rsid wsp:val=&quot;00C7582F&quot;/&gt;&lt;wsp:rsid wsp:val=&quot;00C75AB3&quot;/&gt;&lt;wsp:rsid wsp:val=&quot;00C76519&quot;/&gt;&lt;wsp:rsid wsp:val=&quot;00C7659A&quot;/&gt;&lt;wsp:rsid wsp:val=&quot;00C76674&quot;/&gt;&lt;wsp:rsid wsp:val=&quot;00C76911&quot;/&gt;&lt;wsp:rsid wsp:val=&quot;00C76AFA&quot;/&gt;&lt;wsp:rsid wsp:val=&quot;00C76B08&quot;/&gt;&lt;wsp:rsid wsp:val=&quot;00C76D62&quot;/&gt;&lt;wsp:rsid wsp:val=&quot;00C770AA&quot;/&gt;&lt;wsp:rsid wsp:val=&quot;00C775DC&quot;/&gt;&lt;wsp:rsid wsp:val=&quot;00C77A64&quot;/&gt;&lt;wsp:rsid wsp:val=&quot;00C77C45&quot;/&gt;&lt;wsp:rsid wsp:val=&quot;00C801EC&quot;/&gt;&lt;wsp:rsid wsp:val=&quot;00C807A3&quot;/&gt;&lt;wsp:rsid wsp:val=&quot;00C80939&quot;/&gt;&lt;wsp:rsid wsp:val=&quot;00C80C67&quot;/&gt;&lt;wsp:rsid wsp:val=&quot;00C80C7E&quot;/&gt;&lt;wsp:rsid wsp:val=&quot;00C80E26&quot;/&gt;&lt;wsp:rsid wsp:val=&quot;00C80F16&quot;/&gt;&lt;wsp:rsid wsp:val=&quot;00C80FCE&quot;/&gt;&lt;wsp:rsid wsp:val=&quot;00C812F7&quot;/&gt;&lt;wsp:rsid wsp:val=&quot;00C81438&quot;/&gt;&lt;wsp:rsid wsp:val=&quot;00C81594&quot;/&gt;&lt;wsp:rsid wsp:val=&quot;00C81805&quot;/&gt;&lt;wsp:rsid wsp:val=&quot;00C81B75&quot;/&gt;&lt;wsp:rsid wsp:val=&quot;00C81CE0&quot;/&gt;&lt;wsp:rsid wsp:val=&quot;00C81F45&quot;/&gt;&lt;wsp:rsid wsp:val=&quot;00C8219B&quot;/&gt;&lt;wsp:rsid wsp:val=&quot;00C8255E&quot;/&gt;&lt;wsp:rsid wsp:val=&quot;00C82904&quot;/&gt;&lt;wsp:rsid wsp:val=&quot;00C82C14&quot;/&gt;&lt;wsp:rsid wsp:val=&quot;00C82D47&quot;/&gt;&lt;wsp:rsid wsp:val=&quot;00C82D9B&quot;/&gt;&lt;wsp:rsid wsp:val=&quot;00C830B2&quot;/&gt;&lt;wsp:rsid wsp:val=&quot;00C83150&quot;/&gt;&lt;wsp:rsid wsp:val=&quot;00C831E2&quot;/&gt;&lt;wsp:rsid wsp:val=&quot;00C8320C&quot;/&gt;&lt;wsp:rsid wsp:val=&quot;00C83303&quot;/&gt;&lt;wsp:rsid wsp:val=&quot;00C8331A&quot;/&gt;&lt;wsp:rsid wsp:val=&quot;00C834EF&quot;/&gt;&lt;wsp:rsid wsp:val=&quot;00C834F4&quot;/&gt;&lt;wsp:rsid wsp:val=&quot;00C8392D&quot;/&gt;&lt;wsp:rsid wsp:val=&quot;00C841D8&quot;/&gt;&lt;wsp:rsid wsp:val=&quot;00C8492B&quot;/&gt;&lt;wsp:rsid wsp:val=&quot;00C84B9E&quot;/&gt;&lt;wsp:rsid wsp:val=&quot;00C84CEA&quot;/&gt;&lt;wsp:rsid wsp:val=&quot;00C851AA&quot;/&gt;&lt;wsp:rsid wsp:val=&quot;00C853BE&quot;/&gt;&lt;wsp:rsid wsp:val=&quot;00C853C1&quot;/&gt;&lt;wsp:rsid wsp:val=&quot;00C8541F&quot;/&gt;&lt;wsp:rsid wsp:val=&quot;00C855C8&quot;/&gt;&lt;wsp:rsid wsp:val=&quot;00C85E5F&quot;/&gt;&lt;wsp:rsid wsp:val=&quot;00C85F71&quot;/&gt;&lt;wsp:rsid wsp:val=&quot;00C85FE5&quot;/&gt;&lt;wsp:rsid wsp:val=&quot;00C8626A&quot;/&gt;&lt;wsp:rsid wsp:val=&quot;00C863A3&quot;/&gt;&lt;wsp:rsid wsp:val=&quot;00C86434&quot;/&gt;&lt;wsp:rsid wsp:val=&quot;00C86C03&quot;/&gt;&lt;wsp:rsid wsp:val=&quot;00C873E0&quot;/&gt;&lt;wsp:rsid wsp:val=&quot;00C8747D&quot;/&gt;&lt;wsp:rsid wsp:val=&quot;00C875FF&quot;/&gt;&lt;wsp:rsid wsp:val=&quot;00C87627&quot;/&gt;&lt;wsp:rsid wsp:val=&quot;00C87C4D&quot;/&gt;&lt;wsp:rsid wsp:val=&quot;00C901E0&quot;/&gt;&lt;wsp:rsid wsp:val=&quot;00C9047D&quot;/&gt;&lt;wsp:rsid wsp:val=&quot;00C904E1&quot;/&gt;&lt;wsp:rsid wsp:val=&quot;00C90666&quot;/&gt;&lt;wsp:rsid wsp:val=&quot;00C9070D&quot;/&gt;&lt;wsp:rsid wsp:val=&quot;00C90921&quot;/&gt;&lt;wsp:rsid wsp:val=&quot;00C90DF3&quot;/&gt;&lt;wsp:rsid wsp:val=&quot;00C90E11&quot;/&gt;&lt;wsp:rsid wsp:val=&quot;00C90F29&quot;/&gt;&lt;wsp:rsid wsp:val=&quot;00C90F70&quot;/&gt;&lt;wsp:rsid wsp:val=&quot;00C90FE3&quot;/&gt;&lt;wsp:rsid wsp:val=&quot;00C9114E&quot;/&gt;&lt;wsp:rsid wsp:val=&quot;00C91352&quot;/&gt;&lt;wsp:rsid wsp:val=&quot;00C91769&quot;/&gt;&lt;wsp:rsid wsp:val=&quot;00C917FC&quot;/&gt;&lt;wsp:rsid wsp:val=&quot;00C91964&quot;/&gt;&lt;wsp:rsid wsp:val=&quot;00C92176&quot;/&gt;&lt;wsp:rsid wsp:val=&quot;00C9218A&quot;/&gt;&lt;wsp:rsid wsp:val=&quot;00C9244B&quot;/&gt;&lt;wsp:rsid wsp:val=&quot;00C92659&quot;/&gt;&lt;wsp:rsid wsp:val=&quot;00C928A7&quot;/&gt;&lt;wsp:rsid wsp:val=&quot;00C92B2C&quot;/&gt;&lt;wsp:rsid wsp:val=&quot;00C92CCB&quot;/&gt;&lt;wsp:rsid wsp:val=&quot;00C933F1&quot;/&gt;&lt;wsp:rsid wsp:val=&quot;00C9368D&quot;/&gt;&lt;wsp:rsid wsp:val=&quot;00C93ACF&quot;/&gt;&lt;wsp:rsid wsp:val=&quot;00C93AF6&quot;/&gt;&lt;wsp:rsid wsp:val=&quot;00C93C93&quot;/&gt;&lt;wsp:rsid wsp:val=&quot;00C93F46&quot;/&gt;&lt;wsp:rsid wsp:val=&quot;00C93FFB&quot;/&gt;&lt;wsp:rsid wsp:val=&quot;00C94163&quot;/&gt;&lt;wsp:rsid wsp:val=&quot;00C946F6&quot;/&gt;&lt;wsp:rsid wsp:val=&quot;00C94D42&quot;/&gt;&lt;wsp:rsid wsp:val=&quot;00C94F43&quot;/&gt;&lt;wsp:rsid wsp:val=&quot;00C9503C&quot;/&gt;&lt;wsp:rsid wsp:val=&quot;00C951E8&quot;/&gt;&lt;wsp:rsid wsp:val=&quot;00C953EE&quot;/&gt;&lt;wsp:rsid wsp:val=&quot;00C9593F&quot;/&gt;&lt;wsp:rsid wsp:val=&quot;00C95D33&quot;/&gt;&lt;wsp:rsid wsp:val=&quot;00C96535&quot;/&gt;&lt;wsp:rsid wsp:val=&quot;00C96AE9&quot;/&gt;&lt;wsp:rsid wsp:val=&quot;00C96BC9&quot;/&gt;&lt;wsp:rsid wsp:val=&quot;00C96C6B&quot;/&gt;&lt;wsp:rsid wsp:val=&quot;00C96FA5&quot;/&gt;&lt;wsp:rsid wsp:val=&quot;00C97181&quot;/&gt;&lt;wsp:rsid wsp:val=&quot;00C97201&quot;/&gt;&lt;wsp:rsid wsp:val=&quot;00C9722A&quot;/&gt;&lt;wsp:rsid wsp:val=&quot;00C9739E&quot;/&gt;&lt;wsp:rsid wsp:val=&quot;00C97634&quot;/&gt;&lt;wsp:rsid wsp:val=&quot;00C97855&quot;/&gt;&lt;wsp:rsid wsp:val=&quot;00C978CF&quot;/&gt;&lt;wsp:rsid wsp:val=&quot;00C97DC1&quot;/&gt;&lt;wsp:rsid wsp:val=&quot;00C97E27&quot;/&gt;&lt;wsp:rsid wsp:val=&quot;00CA0196&quot;/&gt;&lt;wsp:rsid wsp:val=&quot;00CA01EB&quot;/&gt;&lt;wsp:rsid wsp:val=&quot;00CA0225&quot;/&gt;&lt;wsp:rsid wsp:val=&quot;00CA0405&quot;/&gt;&lt;wsp:rsid wsp:val=&quot;00CA0965&quot;/&gt;&lt;wsp:rsid wsp:val=&quot;00CA0AEB&quot;/&gt;&lt;wsp:rsid wsp:val=&quot;00CA11D6&quot;/&gt;&lt;wsp:rsid wsp:val=&quot;00CA127E&quot;/&gt;&lt;wsp:rsid wsp:val=&quot;00CA16A3&quot;/&gt;&lt;wsp:rsid wsp:val=&quot;00CA1E2D&quot;/&gt;&lt;wsp:rsid wsp:val=&quot;00CA2136&quot;/&gt;&lt;wsp:rsid wsp:val=&quot;00CA21F6&quot;/&gt;&lt;wsp:rsid wsp:val=&quot;00CA2723&quot;/&gt;&lt;wsp:rsid wsp:val=&quot;00CA2B07&quot;/&gt;&lt;wsp:rsid wsp:val=&quot;00CA2E79&quot;/&gt;&lt;wsp:rsid wsp:val=&quot;00CA3050&quot;/&gt;&lt;wsp:rsid wsp:val=&quot;00CA31F7&quot;/&gt;&lt;wsp:rsid wsp:val=&quot;00CA3728&quot;/&gt;&lt;wsp:rsid wsp:val=&quot;00CA37E1&quot;/&gt;&lt;wsp:rsid wsp:val=&quot;00CA3A38&quot;/&gt;&lt;wsp:rsid wsp:val=&quot;00CA3AEB&quot;/&gt;&lt;wsp:rsid wsp:val=&quot;00CA3B19&quot;/&gt;&lt;wsp:rsid wsp:val=&quot;00CA3F2F&quot;/&gt;&lt;wsp:rsid wsp:val=&quot;00CA4848&quot;/&gt;&lt;wsp:rsid wsp:val=&quot;00CA4A68&quot;/&gt;&lt;wsp:rsid wsp:val=&quot;00CA4C34&quot;/&gt;&lt;wsp:rsid wsp:val=&quot;00CA5529&quot;/&gt;&lt;wsp:rsid wsp:val=&quot;00CA5D40&quot;/&gt;&lt;wsp:rsid wsp:val=&quot;00CA5D7C&quot;/&gt;&lt;wsp:rsid wsp:val=&quot;00CA5DCF&quot;/&gt;&lt;wsp:rsid wsp:val=&quot;00CA5FBB&quot;/&gt;&lt;wsp:rsid wsp:val=&quot;00CA61FE&quot;/&gt;&lt;wsp:rsid wsp:val=&quot;00CA6343&quot;/&gt;&lt;wsp:rsid wsp:val=&quot;00CA66D6&quot;/&gt;&lt;wsp:rsid wsp:val=&quot;00CA6900&quot;/&gt;&lt;wsp:rsid wsp:val=&quot;00CA690E&quot;/&gt;&lt;wsp:rsid wsp:val=&quot;00CA69CA&quot;/&gt;&lt;wsp:rsid wsp:val=&quot;00CA7088&quot;/&gt;&lt;wsp:rsid wsp:val=&quot;00CA7095&quot;/&gt;&lt;wsp:rsid wsp:val=&quot;00CA7158&quot;/&gt;&lt;wsp:rsid wsp:val=&quot;00CA7661&quot;/&gt;&lt;wsp:rsid wsp:val=&quot;00CA76D3&quot;/&gt;&lt;wsp:rsid wsp:val=&quot;00CA779D&quot;/&gt;&lt;wsp:rsid wsp:val=&quot;00CA7A99&quot;/&gt;&lt;wsp:rsid wsp:val=&quot;00CA7E0B&quot;/&gt;&lt;wsp:rsid wsp:val=&quot;00CB0099&quot;/&gt;&lt;wsp:rsid wsp:val=&quot;00CB0244&quot;/&gt;&lt;wsp:rsid wsp:val=&quot;00CB04B4&quot;/&gt;&lt;wsp:rsid wsp:val=&quot;00CB0535&quot;/&gt;&lt;wsp:rsid wsp:val=&quot;00CB0590&quot;/&gt;&lt;wsp:rsid wsp:val=&quot;00CB085A&quot;/&gt;&lt;wsp:rsid wsp:val=&quot;00CB0AEC&quot;/&gt;&lt;wsp:rsid wsp:val=&quot;00CB0B31&quot;/&gt;&lt;wsp:rsid wsp:val=&quot;00CB0DED&quot;/&gt;&lt;wsp:rsid wsp:val=&quot;00CB10EE&quot;/&gt;&lt;wsp:rsid wsp:val=&quot;00CB1769&quot;/&gt;&lt;wsp:rsid wsp:val=&quot;00CB1772&quot;/&gt;&lt;wsp:rsid wsp:val=&quot;00CB18D7&quot;/&gt;&lt;wsp:rsid wsp:val=&quot;00CB199F&quot;/&gt;&lt;wsp:rsid wsp:val=&quot;00CB1B60&quot;/&gt;&lt;wsp:rsid wsp:val=&quot;00CB1CAF&quot;/&gt;&lt;wsp:rsid wsp:val=&quot;00CB1F59&quot;/&gt;&lt;wsp:rsid wsp:val=&quot;00CB1F9D&quot;/&gt;&lt;wsp:rsid wsp:val=&quot;00CB1FD0&quot;/&gt;&lt;wsp:rsid wsp:val=&quot;00CB24BA&quot;/&gt;&lt;wsp:rsid wsp:val=&quot;00CB2644&quot;/&gt;&lt;wsp:rsid wsp:val=&quot;00CB2C97&quot;/&gt;&lt;wsp:rsid wsp:val=&quot;00CB2CBD&quot;/&gt;&lt;wsp:rsid wsp:val=&quot;00CB2DDE&quot;/&gt;&lt;wsp:rsid wsp:val=&quot;00CB3004&quot;/&gt;&lt;wsp:rsid wsp:val=&quot;00CB340D&quot;/&gt;&lt;wsp:rsid wsp:val=&quot;00CB363C&quot;/&gt;&lt;wsp:rsid wsp:val=&quot;00CB36EF&quot;/&gt;&lt;wsp:rsid wsp:val=&quot;00CB3DBC&quot;/&gt;&lt;wsp:rsid wsp:val=&quot;00CB3EFA&quot;/&gt;&lt;wsp:rsid wsp:val=&quot;00CB3F0A&quot;/&gt;&lt;wsp:rsid wsp:val=&quot;00CB46B4&quot;/&gt;&lt;wsp:rsid wsp:val=&quot;00CB46D8&quot;/&gt;&lt;wsp:rsid wsp:val=&quot;00CB4758&quot;/&gt;&lt;wsp:rsid wsp:val=&quot;00CB47E4&quot;/&gt;&lt;wsp:rsid wsp:val=&quot;00CB4FA4&quot;/&gt;&lt;wsp:rsid wsp:val=&quot;00CB4FF1&quot;/&gt;&lt;wsp:rsid wsp:val=&quot;00CB5319&quot;/&gt;&lt;wsp:rsid wsp:val=&quot;00CB57E3&quot;/&gt;&lt;wsp:rsid wsp:val=&quot;00CB5BD8&quot;/&gt;&lt;wsp:rsid wsp:val=&quot;00CB5D87&quot;/&gt;&lt;wsp:rsid wsp:val=&quot;00CB6124&quot;/&gt;&lt;wsp:rsid wsp:val=&quot;00CB641E&quot;/&gt;&lt;wsp:rsid wsp:val=&quot;00CB6673&quot;/&gt;&lt;wsp:rsid wsp:val=&quot;00CB6760&quot;/&gt;&lt;wsp:rsid wsp:val=&quot;00CB6AAD&quot;/&gt;&lt;wsp:rsid wsp:val=&quot;00CB738E&quot;/&gt;&lt;wsp:rsid wsp:val=&quot;00CB7499&quot;/&gt;&lt;wsp:rsid wsp:val=&quot;00CB7606&quot;/&gt;&lt;wsp:rsid wsp:val=&quot;00CB777A&quot;/&gt;&lt;wsp:rsid wsp:val=&quot;00CB7814&quot;/&gt;&lt;wsp:rsid wsp:val=&quot;00CB7867&quot;/&gt;&lt;wsp:rsid wsp:val=&quot;00CB7A60&quot;/&gt;&lt;wsp:rsid wsp:val=&quot;00CB7BF6&quot;/&gt;&lt;wsp:rsid wsp:val=&quot;00CB7D8F&quot;/&gt;&lt;wsp:rsid wsp:val=&quot;00CC0104&quot;/&gt;&lt;wsp:rsid wsp:val=&quot;00CC01C9&quot;/&gt;&lt;wsp:rsid wsp:val=&quot;00CC01EA&quot;/&gt;&lt;wsp:rsid wsp:val=&quot;00CC027C&quot;/&gt;&lt;wsp:rsid wsp:val=&quot;00CC055E&quot;/&gt;&lt;wsp:rsid wsp:val=&quot;00CC058F&quot;/&gt;&lt;wsp:rsid wsp:val=&quot;00CC0721&quot;/&gt;&lt;wsp:rsid wsp:val=&quot;00CC0D26&quot;/&gt;&lt;wsp:rsid wsp:val=&quot;00CC0DC5&quot;/&gt;&lt;wsp:rsid wsp:val=&quot;00CC0F89&quot;/&gt;&lt;wsp:rsid wsp:val=&quot;00CC1129&quot;/&gt;&lt;wsp:rsid wsp:val=&quot;00CC148C&quot;/&gt;&lt;wsp:rsid wsp:val=&quot;00CC1503&quot;/&gt;&lt;wsp:rsid wsp:val=&quot;00CC150C&quot;/&gt;&lt;wsp:rsid wsp:val=&quot;00CC16BA&quot;/&gt;&lt;wsp:rsid wsp:val=&quot;00CC18A5&quot;/&gt;&lt;wsp:rsid wsp:val=&quot;00CC1A82&quot;/&gt;&lt;wsp:rsid wsp:val=&quot;00CC1AD4&quot;/&gt;&lt;wsp:rsid wsp:val=&quot;00CC1B40&quot;/&gt;&lt;wsp:rsid wsp:val=&quot;00CC1BFC&quot;/&gt;&lt;wsp:rsid wsp:val=&quot;00CC1ECA&quot;/&gt;&lt;wsp:rsid wsp:val=&quot;00CC1FCA&quot;/&gt;&lt;wsp:rsid wsp:val=&quot;00CC25D2&quot;/&gt;&lt;wsp:rsid wsp:val=&quot;00CC26F9&quot;/&gt;&lt;wsp:rsid wsp:val=&quot;00CC27A8&quot;/&gt;&lt;wsp:rsid wsp:val=&quot;00CC2B4A&quot;/&gt;&lt;wsp:rsid wsp:val=&quot;00CC2B97&quot;/&gt;&lt;wsp:rsid wsp:val=&quot;00CC2EAC&quot;/&gt;&lt;wsp:rsid wsp:val=&quot;00CC2EFC&quot;/&gt;&lt;wsp:rsid wsp:val=&quot;00CC306E&quot;/&gt;&lt;wsp:rsid wsp:val=&quot;00CC3979&quot;/&gt;&lt;wsp:rsid wsp:val=&quot;00CC3BFC&quot;/&gt;&lt;wsp:rsid wsp:val=&quot;00CC3DA8&quot;/&gt;&lt;wsp:rsid wsp:val=&quot;00CC3E58&quot;/&gt;&lt;wsp:rsid wsp:val=&quot;00CC4189&quot;/&gt;&lt;wsp:rsid wsp:val=&quot;00CC4446&quot;/&gt;&lt;wsp:rsid wsp:val=&quot;00CC4858&quot;/&gt;&lt;wsp:rsid wsp:val=&quot;00CC48D5&quot;/&gt;&lt;wsp:rsid wsp:val=&quot;00CC49E0&quot;/&gt;&lt;wsp:rsid wsp:val=&quot;00CC49E1&quot;/&gt;&lt;wsp:rsid wsp:val=&quot;00CC4D13&quot;/&gt;&lt;wsp:rsid wsp:val=&quot;00CC4EA8&quot;/&gt;&lt;wsp:rsid wsp:val=&quot;00CC4FA2&quot;/&gt;&lt;wsp:rsid wsp:val=&quot;00CC5174&quot;/&gt;&lt;wsp:rsid wsp:val=&quot;00CC52D8&quot;/&gt;&lt;wsp:rsid wsp:val=&quot;00CC5450&quot;/&gt;&lt;wsp:rsid wsp:val=&quot;00CC56B5&quot;/&gt;&lt;wsp:rsid wsp:val=&quot;00CC5A20&quot;/&gt;&lt;wsp:rsid wsp:val=&quot;00CC61C5&quot;/&gt;&lt;wsp:rsid wsp:val=&quot;00CC65B5&quot;/&gt;&lt;wsp:rsid wsp:val=&quot;00CC65D2&quot;/&gt;&lt;wsp:rsid wsp:val=&quot;00CC6624&quot;/&gt;&lt;wsp:rsid wsp:val=&quot;00CC688A&quot;/&gt;&lt;wsp:rsid wsp:val=&quot;00CC695D&quot;/&gt;&lt;wsp:rsid wsp:val=&quot;00CC6A88&quot;/&gt;&lt;wsp:rsid wsp:val=&quot;00CC6E21&quot;/&gt;&lt;wsp:rsid wsp:val=&quot;00CC73B5&quot;/&gt;&lt;wsp:rsid wsp:val=&quot;00CC796B&quot;/&gt;&lt;wsp:rsid wsp:val=&quot;00CC7AD6&quot;/&gt;&lt;wsp:rsid wsp:val=&quot;00CC7B43&quot;/&gt;&lt;wsp:rsid wsp:val=&quot;00CC7CEA&quot;/&gt;&lt;wsp:rsid wsp:val=&quot;00CC7F8E&quot;/&gt;&lt;wsp:rsid wsp:val=&quot;00CD039A&quot;/&gt;&lt;wsp:rsid wsp:val=&quot;00CD04E2&quot;/&gt;&lt;wsp:rsid wsp:val=&quot;00CD07B1&quot;/&gt;&lt;wsp:rsid wsp:val=&quot;00CD0B12&quot;/&gt;&lt;wsp:rsid wsp:val=&quot;00CD0D22&quot;/&gt;&lt;wsp:rsid wsp:val=&quot;00CD14C2&quot;/&gt;&lt;wsp:rsid wsp:val=&quot;00CD1606&quot;/&gt;&lt;wsp:rsid wsp:val=&quot;00CD17E4&quot;/&gt;&lt;wsp:rsid wsp:val=&quot;00CD18AF&quot;/&gt;&lt;wsp:rsid wsp:val=&quot;00CD194B&quot;/&gt;&lt;wsp:rsid wsp:val=&quot;00CD1A47&quot;/&gt;&lt;wsp:rsid wsp:val=&quot;00CD1A7A&quot;/&gt;&lt;wsp:rsid wsp:val=&quot;00CD1B10&quot;/&gt;&lt;wsp:rsid wsp:val=&quot;00CD1E13&quot;/&gt;&lt;wsp:rsid wsp:val=&quot;00CD1E3B&quot;/&gt;&lt;wsp:rsid wsp:val=&quot;00CD2274&quot;/&gt;&lt;wsp:rsid wsp:val=&quot;00CD26A7&quot;/&gt;&lt;wsp:rsid wsp:val=&quot;00CD2765&quot;/&gt;&lt;wsp:rsid wsp:val=&quot;00CD2FFD&quot;/&gt;&lt;wsp:rsid wsp:val=&quot;00CD30E4&quot;/&gt;&lt;wsp:rsid wsp:val=&quot;00CD3113&quot;/&gt;&lt;wsp:rsid wsp:val=&quot;00CD32B1&quot;/&gt;&lt;wsp:rsid wsp:val=&quot;00CD32FA&quot;/&gt;&lt;wsp:rsid wsp:val=&quot;00CD3459&quot;/&gt;&lt;wsp:rsid wsp:val=&quot;00CD34AB&quot;/&gt;&lt;wsp:rsid wsp:val=&quot;00CD3699&quot;/&gt;&lt;wsp:rsid wsp:val=&quot;00CD3968&quot;/&gt;&lt;wsp:rsid wsp:val=&quot;00CD40CD&quot;/&gt;&lt;wsp:rsid wsp:val=&quot;00CD43EF&quot;/&gt;&lt;wsp:rsid wsp:val=&quot;00CD4843&quot;/&gt;&lt;wsp:rsid wsp:val=&quot;00CD4AD4&quot;/&gt;&lt;wsp:rsid wsp:val=&quot;00CD4B6D&quot;/&gt;&lt;wsp:rsid wsp:val=&quot;00CD4E47&quot;/&gt;&lt;wsp:rsid wsp:val=&quot;00CD4F8C&quot;/&gt;&lt;wsp:rsid wsp:val=&quot;00CD50AE&quot;/&gt;&lt;wsp:rsid wsp:val=&quot;00CD542E&quot;/&gt;&lt;wsp:rsid wsp:val=&quot;00CD555F&quot;/&gt;&lt;wsp:rsid wsp:val=&quot;00CD56E3&quot;/&gt;&lt;wsp:rsid wsp:val=&quot;00CD5711&quot;/&gt;&lt;wsp:rsid wsp:val=&quot;00CD591F&quot;/&gt;&lt;wsp:rsid wsp:val=&quot;00CD5D36&quot;/&gt;&lt;wsp:rsid wsp:val=&quot;00CD5DFC&quot;/&gt;&lt;wsp:rsid wsp:val=&quot;00CD5FB2&quot;/&gt;&lt;wsp:rsid wsp:val=&quot;00CD603B&quot;/&gt;&lt;wsp:rsid wsp:val=&quot;00CD60C2&quot;/&gt;&lt;wsp:rsid wsp:val=&quot;00CD68B6&quot;/&gt;&lt;wsp:rsid wsp:val=&quot;00CD69A1&quot;/&gt;&lt;wsp:rsid wsp:val=&quot;00CD6BC3&quot;/&gt;&lt;wsp:rsid wsp:val=&quot;00CD6E02&quot;/&gt;&lt;wsp:rsid wsp:val=&quot;00CD6E50&quot;/&gt;&lt;wsp:rsid wsp:val=&quot;00CD7286&quot;/&gt;&lt;wsp:rsid wsp:val=&quot;00CD7368&quot;/&gt;&lt;wsp:rsid wsp:val=&quot;00CD74AD&quot;/&gt;&lt;wsp:rsid wsp:val=&quot;00CD7681&quot;/&gt;&lt;wsp:rsid wsp:val=&quot;00CD797E&quot;/&gt;&lt;wsp:rsid wsp:val=&quot;00CD7CB7&quot;/&gt;&lt;wsp:rsid wsp:val=&quot;00CD7E64&quot;/&gt;&lt;wsp:rsid wsp:val=&quot;00CD7EC8&quot;/&gt;&lt;wsp:rsid wsp:val=&quot;00CD7EDA&quot;/&gt;&lt;wsp:rsid wsp:val=&quot;00CE02F7&quot;/&gt;&lt;wsp:rsid wsp:val=&quot;00CE0770&quot;/&gt;&lt;wsp:rsid wsp:val=&quot;00CE0778&quot;/&gt;&lt;wsp:rsid wsp:val=&quot;00CE0B52&quot;/&gt;&lt;wsp:rsid wsp:val=&quot;00CE0D3C&quot;/&gt;&lt;wsp:rsid wsp:val=&quot;00CE0DBB&quot;/&gt;&lt;wsp:rsid wsp:val=&quot;00CE10BA&quot;/&gt;&lt;wsp:rsid wsp:val=&quot;00CE11B2&quot;/&gt;&lt;wsp:rsid wsp:val=&quot;00CE124B&quot;/&gt;&lt;wsp:rsid wsp:val=&quot;00CE13F7&quot;/&gt;&lt;wsp:rsid wsp:val=&quot;00CE16C6&quot;/&gt;&lt;wsp:rsid wsp:val=&quot;00CE1819&quot;/&gt;&lt;wsp:rsid wsp:val=&quot;00CE1839&quot;/&gt;&lt;wsp:rsid wsp:val=&quot;00CE19CC&quot;/&gt;&lt;wsp:rsid wsp:val=&quot;00CE245F&quot;/&gt;&lt;wsp:rsid wsp:val=&quot;00CE26DE&quot;/&gt;&lt;wsp:rsid wsp:val=&quot;00CE2B80&quot;/&gt;&lt;wsp:rsid wsp:val=&quot;00CE2D9B&quot;/&gt;&lt;wsp:rsid wsp:val=&quot;00CE3200&quot;/&gt;&lt;wsp:rsid wsp:val=&quot;00CE36DE&quot;/&gt;&lt;wsp:rsid wsp:val=&quot;00CE3A4F&quot;/&gt;&lt;wsp:rsid wsp:val=&quot;00CE3FE6&quot;/&gt;&lt;wsp:rsid wsp:val=&quot;00CE4087&quot;/&gt;&lt;wsp:rsid wsp:val=&quot;00CE4479&quot;/&gt;&lt;wsp:rsid wsp:val=&quot;00CE4626&quot;/&gt;&lt;wsp:rsid wsp:val=&quot;00CE46FD&quot;/&gt;&lt;wsp:rsid wsp:val=&quot;00CE480B&quot;/&gt;&lt;wsp:rsid wsp:val=&quot;00CE4CA2&quot;/&gt;&lt;wsp:rsid wsp:val=&quot;00CE4D87&quot;/&gt;&lt;wsp:rsid wsp:val=&quot;00CE5029&quot;/&gt;&lt;wsp:rsid wsp:val=&quot;00CE581E&quot;/&gt;&lt;wsp:rsid wsp:val=&quot;00CE5A78&quot;/&gt;&lt;wsp:rsid wsp:val=&quot;00CE5C07&quot;/&gt;&lt;wsp:rsid wsp:val=&quot;00CE5F2F&quot;/&gt;&lt;wsp:rsid wsp:val=&quot;00CE6013&quot;/&gt;&lt;wsp:rsid wsp:val=&quot;00CE621D&quot;/&gt;&lt;wsp:rsid wsp:val=&quot;00CE63F3&quot;/&gt;&lt;wsp:rsid wsp:val=&quot;00CE6465&quot;/&gt;&lt;wsp:rsid wsp:val=&quot;00CE65FA&quot;/&gt;&lt;wsp:rsid wsp:val=&quot;00CE698C&quot;/&gt;&lt;wsp:rsid wsp:val=&quot;00CE6B73&quot;/&gt;&lt;wsp:rsid wsp:val=&quot;00CE720D&quot;/&gt;&lt;wsp:rsid wsp:val=&quot;00CE726D&quot;/&gt;&lt;wsp:rsid wsp:val=&quot;00CE75FA&quot;/&gt;&lt;wsp:rsid wsp:val=&quot;00CE7714&quot;/&gt;&lt;wsp:rsid wsp:val=&quot;00CE7848&quot;/&gt;&lt;wsp:rsid wsp:val=&quot;00CE78FB&quot;/&gt;&lt;wsp:rsid wsp:val=&quot;00CF0136&quot;/&gt;&lt;wsp:rsid wsp:val=&quot;00CF0148&quot;/&gt;&lt;wsp:rsid wsp:val=&quot;00CF0356&quot;/&gt;&lt;wsp:rsid wsp:val=&quot;00CF0602&quot;/&gt;&lt;wsp:rsid wsp:val=&quot;00CF0C16&quot;/&gt;&lt;wsp:rsid wsp:val=&quot;00CF0DD3&quot;/&gt;&lt;wsp:rsid wsp:val=&quot;00CF1599&quot;/&gt;&lt;wsp:rsid wsp:val=&quot;00CF1655&quot;/&gt;&lt;wsp:rsid wsp:val=&quot;00CF1840&quot;/&gt;&lt;wsp:rsid wsp:val=&quot;00CF1BBF&quot;/&gt;&lt;wsp:rsid wsp:val=&quot;00CF20BB&quot;/&gt;&lt;wsp:rsid wsp:val=&quot;00CF21F2&quot;/&gt;&lt;wsp:rsid wsp:val=&quot;00CF2311&quot;/&gt;&lt;wsp:rsid wsp:val=&quot;00CF2A27&quot;/&gt;&lt;wsp:rsid wsp:val=&quot;00CF2A4D&quot;/&gt;&lt;wsp:rsid wsp:val=&quot;00CF2A5A&quot;/&gt;&lt;wsp:rsid wsp:val=&quot;00CF2B2C&quot;/&gt;&lt;wsp:rsid wsp:val=&quot;00CF2F1C&quot;/&gt;&lt;wsp:rsid wsp:val=&quot;00CF2F9C&quot;/&gt;&lt;wsp:rsid wsp:val=&quot;00CF30C7&quot;/&gt;&lt;wsp:rsid wsp:val=&quot;00CF3184&quot;/&gt;&lt;wsp:rsid wsp:val=&quot;00CF32D7&quot;/&gt;&lt;wsp:rsid wsp:val=&quot;00CF35D6&quot;/&gt;&lt;wsp:rsid wsp:val=&quot;00CF37DC&quot;/&gt;&lt;wsp:rsid wsp:val=&quot;00CF38AC&quot;/&gt;&lt;wsp:rsid wsp:val=&quot;00CF3B93&quot;/&gt;&lt;wsp:rsid wsp:val=&quot;00CF3D2C&quot;/&gt;&lt;wsp:rsid wsp:val=&quot;00CF3FD9&quot;/&gt;&lt;wsp:rsid wsp:val=&quot;00CF417C&quot;/&gt;&lt;wsp:rsid wsp:val=&quot;00CF4474&quot;/&gt;&lt;wsp:rsid wsp:val=&quot;00CF456A&quot;/&gt;&lt;wsp:rsid wsp:val=&quot;00CF4CB4&quot;/&gt;&lt;wsp:rsid wsp:val=&quot;00CF4CFA&quot;/&gt;&lt;wsp:rsid wsp:val=&quot;00CF51FA&quot;/&gt;&lt;wsp:rsid wsp:val=&quot;00CF5425&quot;/&gt;&lt;wsp:rsid wsp:val=&quot;00CF5C38&quot;/&gt;&lt;wsp:rsid wsp:val=&quot;00CF5D15&quot;/&gt;&lt;wsp:rsid wsp:val=&quot;00CF60A2&quot;/&gt;&lt;wsp:rsid wsp:val=&quot;00CF62D8&quot;/&gt;&lt;wsp:rsid wsp:val=&quot;00CF639F&quot;/&gt;&lt;wsp:rsid wsp:val=&quot;00CF67E9&quot;/&gt;&lt;wsp:rsid wsp:val=&quot;00CF6D57&quot;/&gt;&lt;wsp:rsid wsp:val=&quot;00CF7302&quot;/&gt;&lt;wsp:rsid wsp:val=&quot;00CF7338&quot;/&gt;&lt;wsp:rsid wsp:val=&quot;00CF7974&quot;/&gt;&lt;wsp:rsid wsp:val=&quot;00CF7A10&quot;/&gt;&lt;wsp:rsid wsp:val=&quot;00CF7BB2&quot;/&gt;&lt;wsp:rsid wsp:val=&quot;00D000A5&quot;/&gt;&lt;wsp:rsid wsp:val=&quot;00D0021E&quot;/&gt;&lt;wsp:rsid wsp:val=&quot;00D0030D&quot;/&gt;&lt;wsp:rsid wsp:val=&quot;00D00EBB&quot;/&gt;&lt;wsp:rsid wsp:val=&quot;00D012FA&quot;/&gt;&lt;wsp:rsid wsp:val=&quot;00D01550&quot;/&gt;&lt;wsp:rsid wsp:val=&quot;00D015C0&quot;/&gt;&lt;wsp:rsid wsp:val=&quot;00D01909&quot;/&gt;&lt;wsp:rsid wsp:val=&quot;00D02006&quot;/&gt;&lt;wsp:rsid wsp:val=&quot;00D02187&quot;/&gt;&lt;wsp:rsid wsp:val=&quot;00D02259&quot;/&gt;&lt;wsp:rsid wsp:val=&quot;00D02574&quot;/&gt;&lt;wsp:rsid wsp:val=&quot;00D02668&quot;/&gt;&lt;wsp:rsid wsp:val=&quot;00D027B9&quot;/&gt;&lt;wsp:rsid wsp:val=&quot;00D02FA3&quot;/&gt;&lt;wsp:rsid wsp:val=&quot;00D0311E&quot;/&gt;&lt;wsp:rsid wsp:val=&quot;00D032E4&quot;/&gt;&lt;wsp:rsid wsp:val=&quot;00D035A8&quot;/&gt;&lt;wsp:rsid wsp:val=&quot;00D039B0&quot;/&gt;&lt;wsp:rsid wsp:val=&quot;00D03D4F&quot;/&gt;&lt;wsp:rsid wsp:val=&quot;00D03EC8&quot;/&gt;&lt;wsp:rsid wsp:val=&quot;00D03F0E&quot;/&gt;&lt;wsp:rsid wsp:val=&quot;00D0411E&quot;/&gt;&lt;wsp:rsid wsp:val=&quot;00D0457A&quot;/&gt;&lt;wsp:rsid wsp:val=&quot;00D04757&quot;/&gt;&lt;wsp:rsid wsp:val=&quot;00D047F1&quot;/&gt;&lt;wsp:rsid wsp:val=&quot;00D04BEF&quot;/&gt;&lt;wsp:rsid wsp:val=&quot;00D04DA8&quot;/&gt;&lt;wsp:rsid wsp:val=&quot;00D04F96&quot;/&gt;&lt;wsp:rsid wsp:val=&quot;00D050E6&quot;/&gt;&lt;wsp:rsid wsp:val=&quot;00D051B8&quot;/&gt;&lt;wsp:rsid wsp:val=&quot;00D052E8&quot;/&gt;&lt;wsp:rsid wsp:val=&quot;00D05863&quot;/&gt;&lt;wsp:rsid wsp:val=&quot;00D058B3&quot;/&gt;&lt;wsp:rsid wsp:val=&quot;00D05CCA&quot;/&gt;&lt;wsp:rsid wsp:val=&quot;00D05D0C&quot;/&gt;&lt;wsp:rsid wsp:val=&quot;00D05E26&quot;/&gt;&lt;wsp:rsid wsp:val=&quot;00D06086&quot;/&gt;&lt;wsp:rsid wsp:val=&quot;00D060F7&quot;/&gt;&lt;wsp:rsid wsp:val=&quot;00D06276&quot;/&gt;&lt;wsp:rsid wsp:val=&quot;00D06352&quot;/&gt;&lt;wsp:rsid wsp:val=&quot;00D06362&quot;/&gt;&lt;wsp:rsid wsp:val=&quot;00D065C9&quot;/&gt;&lt;wsp:rsid wsp:val=&quot;00D06ED7&quot;/&gt;&lt;wsp:rsid wsp:val=&quot;00D071D7&quot;/&gt;&lt;wsp:rsid wsp:val=&quot;00D071EF&quot;/&gt;&lt;wsp:rsid wsp:val=&quot;00D07247&quot;/&gt;&lt;wsp:rsid wsp:val=&quot;00D072F8&quot;/&gt;&lt;wsp:rsid wsp:val=&quot;00D077B8&quot;/&gt;&lt;wsp:rsid wsp:val=&quot;00D078BD&quot;/&gt;&lt;wsp:rsid wsp:val=&quot;00D07940&quot;/&gt;&lt;wsp:rsid wsp:val=&quot;00D07B93&quot;/&gt;&lt;wsp:rsid wsp:val=&quot;00D07D09&quot;/&gt;&lt;wsp:rsid wsp:val=&quot;00D07E78&quot;/&gt;&lt;wsp:rsid wsp:val=&quot;00D1006F&quot;/&gt;&lt;wsp:rsid wsp:val=&quot;00D10707&quot;/&gt;&lt;wsp:rsid wsp:val=&quot;00D107A6&quot;/&gt;&lt;wsp:rsid wsp:val=&quot;00D108C0&quot;/&gt;&lt;wsp:rsid wsp:val=&quot;00D10ABD&quot;/&gt;&lt;wsp:rsid wsp:val=&quot;00D10C11&quot;/&gt;&lt;wsp:rsid wsp:val=&quot;00D10C28&quot;/&gt;&lt;wsp:rsid wsp:val=&quot;00D10E53&quot;/&gt;&lt;wsp:rsid wsp:val=&quot;00D110E7&quot;/&gt;&lt;wsp:rsid wsp:val=&quot;00D1117F&quot;/&gt;&lt;wsp:rsid wsp:val=&quot;00D113C0&quot;/&gt;&lt;wsp:rsid wsp:val=&quot;00D11AC9&quot;/&gt;&lt;wsp:rsid wsp:val=&quot;00D11C04&quot;/&gt;&lt;wsp:rsid wsp:val=&quot;00D11D16&quot;/&gt;&lt;wsp:rsid wsp:val=&quot;00D11D75&quot;/&gt;&lt;wsp:rsid wsp:val=&quot;00D11E0C&quot;/&gt;&lt;wsp:rsid wsp:val=&quot;00D12362&quot;/&gt;&lt;wsp:rsid wsp:val=&quot;00D12E64&quot;/&gt;&lt;wsp:rsid wsp:val=&quot;00D1318A&quot;/&gt;&lt;wsp:rsid wsp:val=&quot;00D13286&quot;/&gt;&lt;wsp:rsid wsp:val=&quot;00D134D0&quot;/&gt;&lt;wsp:rsid wsp:val=&quot;00D1446D&quot;/&gt;&lt;wsp:rsid wsp:val=&quot;00D1466B&quot;/&gt;&lt;wsp:rsid wsp:val=&quot;00D14A04&quot;/&gt;&lt;wsp:rsid wsp:val=&quot;00D15053&quot;/&gt;&lt;wsp:rsid wsp:val=&quot;00D15094&quot;/&gt;&lt;wsp:rsid wsp:val=&quot;00D1509F&quot;/&gt;&lt;wsp:rsid wsp:val=&quot;00D15373&quot;/&gt;&lt;wsp:rsid wsp:val=&quot;00D1538A&quot;/&gt;&lt;wsp:rsid wsp:val=&quot;00D15523&quot;/&gt;&lt;wsp:rsid wsp:val=&quot;00D156F3&quot;/&gt;&lt;wsp:rsid wsp:val=&quot;00D159D1&quot;/&gt;&lt;wsp:rsid wsp:val=&quot;00D15CC8&quot;/&gt;&lt;wsp:rsid wsp:val=&quot;00D16250&quot;/&gt;&lt;wsp:rsid wsp:val=&quot;00D162A3&quot;/&gt;&lt;wsp:rsid wsp:val=&quot;00D16493&quot;/&gt;&lt;wsp:rsid wsp:val=&quot;00D167E6&quot;/&gt;&lt;wsp:rsid wsp:val=&quot;00D168BD&quot;/&gt;&lt;wsp:rsid wsp:val=&quot;00D16A69&quot;/&gt;&lt;wsp:rsid wsp:val=&quot;00D16B21&quot;/&gt;&lt;wsp:rsid wsp:val=&quot;00D16D8E&quot;/&gt;&lt;wsp:rsid wsp:val=&quot;00D16DF0&quot;/&gt;&lt;wsp:rsid wsp:val=&quot;00D16EC8&quot;/&gt;&lt;wsp:rsid wsp:val=&quot;00D16EDD&quot;/&gt;&lt;wsp:rsid wsp:val=&quot;00D17029&quot;/&gt;&lt;wsp:rsid wsp:val=&quot;00D170AB&quot;/&gt;&lt;wsp:rsid wsp:val=&quot;00D170B3&quot;/&gt;&lt;wsp:rsid wsp:val=&quot;00D17322&quot;/&gt;&lt;wsp:rsid wsp:val=&quot;00D1740C&quot;/&gt;&lt;wsp:rsid wsp:val=&quot;00D1786D&quot;/&gt;&lt;wsp:rsid wsp:val=&quot;00D178EE&quot;/&gt;&lt;wsp:rsid wsp:val=&quot;00D17AF7&quot;/&gt;&lt;wsp:rsid wsp:val=&quot;00D17CD4&quot;/&gt;&lt;wsp:rsid wsp:val=&quot;00D20C6E&quot;/&gt;&lt;wsp:rsid wsp:val=&quot;00D20FE8&quot;/&gt;&lt;wsp:rsid wsp:val=&quot;00D212C9&quot;/&gt;&lt;wsp:rsid wsp:val=&quot;00D2177B&quot;/&gt;&lt;wsp:rsid wsp:val=&quot;00D217B1&quot;/&gt;&lt;wsp:rsid wsp:val=&quot;00D220CB&quot;/&gt;&lt;wsp:rsid wsp:val=&quot;00D2221D&quot;/&gt;&lt;wsp:rsid wsp:val=&quot;00D22321&quot;/&gt;&lt;wsp:rsid wsp:val=&quot;00D226D5&quot;/&gt;&lt;wsp:rsid wsp:val=&quot;00D22779&quot;/&gt;&lt;wsp:rsid wsp:val=&quot;00D22928&quot;/&gt;&lt;wsp:rsid wsp:val=&quot;00D22984&quot;/&gt;&lt;wsp:rsid wsp:val=&quot;00D23728&quot;/&gt;&lt;wsp:rsid wsp:val=&quot;00D23A1E&quot;/&gt;&lt;wsp:rsid wsp:val=&quot;00D23BD8&quot;/&gt;&lt;wsp:rsid wsp:val=&quot;00D23CF1&quot;/&gt;&lt;wsp:rsid wsp:val=&quot;00D23D15&quot;/&gt;&lt;wsp:rsid wsp:val=&quot;00D24105&quot;/&gt;&lt;wsp:rsid wsp:val=&quot;00D243E6&quot;/&gt;&lt;wsp:rsid wsp:val=&quot;00D245FA&quot;/&gt;&lt;wsp:rsid wsp:val=&quot;00D2498A&quot;/&gt;&lt;wsp:rsid wsp:val=&quot;00D24C76&quot;/&gt;&lt;wsp:rsid wsp:val=&quot;00D24DD2&quot;/&gt;&lt;wsp:rsid wsp:val=&quot;00D24FDB&quot;/&gt;&lt;wsp:rsid wsp:val=&quot;00D25194&quot;/&gt;&lt;wsp:rsid wsp:val=&quot;00D25360&quot;/&gt;&lt;wsp:rsid wsp:val=&quot;00D25445&quot;/&gt;&lt;wsp:rsid wsp:val=&quot;00D25475&quot;/&gt;&lt;wsp:rsid wsp:val=&quot;00D255ED&quot;/&gt;&lt;wsp:rsid wsp:val=&quot;00D256FE&quot;/&gt;&lt;wsp:rsid wsp:val=&quot;00D25839&quot;/&gt;&lt;wsp:rsid wsp:val=&quot;00D25DF4&quot;/&gt;&lt;wsp:rsid wsp:val=&quot;00D25DFE&quot;/&gt;&lt;wsp:rsid wsp:val=&quot;00D25ECE&quot;/&gt;&lt;wsp:rsid wsp:val=&quot;00D25F1C&quot;/&gt;&lt;wsp:rsid wsp:val=&quot;00D25FB6&quot;/&gt;&lt;wsp:rsid wsp:val=&quot;00D263E1&quot;/&gt;&lt;wsp:rsid wsp:val=&quot;00D265D1&quot;/&gt;&lt;wsp:rsid wsp:val=&quot;00D266DB&quot;/&gt;&lt;wsp:rsid wsp:val=&quot;00D26856&quot;/&gt;&lt;wsp:rsid wsp:val=&quot;00D26ACC&quot;/&gt;&lt;wsp:rsid wsp:val=&quot;00D26DBE&quot;/&gt;&lt;wsp:rsid wsp:val=&quot;00D26DFB&quot;/&gt;&lt;wsp:rsid wsp:val=&quot;00D26FBD&quot;/&gt;&lt;wsp:rsid wsp:val=&quot;00D2706C&quot;/&gt;&lt;wsp:rsid wsp:val=&quot;00D27206&quot;/&gt;&lt;wsp:rsid wsp:val=&quot;00D272DD&quot;/&gt;&lt;wsp:rsid wsp:val=&quot;00D273CA&quot;/&gt;&lt;wsp:rsid wsp:val=&quot;00D27642&quot;/&gt;&lt;wsp:rsid wsp:val=&quot;00D27AB7&quot;/&gt;&lt;wsp:rsid wsp:val=&quot;00D27E9E&quot;/&gt;&lt;wsp:rsid wsp:val=&quot;00D3034E&quot;/&gt;&lt;wsp:rsid wsp:val=&quot;00D30C78&quot;/&gt;&lt;wsp:rsid wsp:val=&quot;00D312DC&quot;/&gt;&lt;wsp:rsid wsp:val=&quot;00D312FE&quot;/&gt;&lt;wsp:rsid wsp:val=&quot;00D31428&quot;/&gt;&lt;wsp:rsid wsp:val=&quot;00D3157C&quot;/&gt;&lt;wsp:rsid wsp:val=&quot;00D31669&quot;/&gt;&lt;wsp:rsid wsp:val=&quot;00D318E9&quot;/&gt;&lt;wsp:rsid wsp:val=&quot;00D31AEA&quot;/&gt;&lt;wsp:rsid wsp:val=&quot;00D31CF3&quot;/&gt;&lt;wsp:rsid wsp:val=&quot;00D32260&quot;/&gt;&lt;wsp:rsid wsp:val=&quot;00D3248F&quot;/&gt;&lt;wsp:rsid wsp:val=&quot;00D326F2&quot;/&gt;&lt;wsp:rsid wsp:val=&quot;00D3294D&quot;/&gt;&lt;wsp:rsid wsp:val=&quot;00D329F3&quot;/&gt;&lt;wsp:rsid wsp:val=&quot;00D32FD4&quot;/&gt;&lt;wsp:rsid wsp:val=&quot;00D33495&quot;/&gt;&lt;wsp:rsid wsp:val=&quot;00D334FB&quot;/&gt;&lt;wsp:rsid wsp:val=&quot;00D33648&quot;/&gt;&lt;wsp:rsid wsp:val=&quot;00D33850&quot;/&gt;&lt;wsp:rsid wsp:val=&quot;00D3397C&quot;/&gt;&lt;wsp:rsid wsp:val=&quot;00D33BBE&quot;/&gt;&lt;wsp:rsid wsp:val=&quot;00D345D8&quot;/&gt;&lt;wsp:rsid wsp:val=&quot;00D34666&quot;/&gt;&lt;wsp:rsid wsp:val=&quot;00D3491F&quot;/&gt;&lt;wsp:rsid wsp:val=&quot;00D34AA9&quot;/&gt;&lt;wsp:rsid wsp:val=&quot;00D34C7F&quot;/&gt;&lt;wsp:rsid wsp:val=&quot;00D3512D&quot;/&gt;&lt;wsp:rsid wsp:val=&quot;00D351D8&quot;/&gt;&lt;wsp:rsid wsp:val=&quot;00D35321&quot;/&gt;&lt;wsp:rsid wsp:val=&quot;00D3533D&quot;/&gt;&lt;wsp:rsid wsp:val=&quot;00D35479&quot;/&gt;&lt;wsp:rsid wsp:val=&quot;00D357E5&quot;/&gt;&lt;wsp:rsid wsp:val=&quot;00D357FE&quot;/&gt;&lt;wsp:rsid wsp:val=&quot;00D358A2&quot;/&gt;&lt;wsp:rsid wsp:val=&quot;00D358F7&quot;/&gt;&lt;wsp:rsid wsp:val=&quot;00D3592F&quot;/&gt;&lt;wsp:rsid wsp:val=&quot;00D35DCC&quot;/&gt;&lt;wsp:rsid wsp:val=&quot;00D35EC9&quot;/&gt;&lt;wsp:rsid wsp:val=&quot;00D361D7&quot;/&gt;&lt;wsp:rsid wsp:val=&quot;00D36301&quot;/&gt;&lt;wsp:rsid wsp:val=&quot;00D36333&quot;/&gt;&lt;wsp:rsid wsp:val=&quot;00D363B1&quot;/&gt;&lt;wsp:rsid wsp:val=&quot;00D364CC&quot;/&gt;&lt;wsp:rsid wsp:val=&quot;00D36AEE&quot;/&gt;&lt;wsp:rsid wsp:val=&quot;00D36B66&quot;/&gt;&lt;wsp:rsid wsp:val=&quot;00D36B9F&quot;/&gt;&lt;wsp:rsid wsp:val=&quot;00D36F6A&quot;/&gt;&lt;wsp:rsid wsp:val=&quot;00D37840&quot;/&gt;&lt;wsp:rsid wsp:val=&quot;00D37A56&quot;/&gt;&lt;wsp:rsid wsp:val=&quot;00D37AB2&quot;/&gt;&lt;wsp:rsid wsp:val=&quot;00D37B6E&quot;/&gt;&lt;wsp:rsid wsp:val=&quot;00D37EBC&quot;/&gt;&lt;wsp:rsid wsp:val=&quot;00D37FF7&quot;/&gt;&lt;wsp:rsid wsp:val=&quot;00D4021B&quot;/&gt;&lt;wsp:rsid wsp:val=&quot;00D405B1&quot;/&gt;&lt;wsp:rsid wsp:val=&quot;00D405C9&quot;/&gt;&lt;wsp:rsid wsp:val=&quot;00D40B20&quot;/&gt;&lt;wsp:rsid wsp:val=&quot;00D40E05&quot;/&gt;&lt;wsp:rsid wsp:val=&quot;00D40EDA&quot;/&gt;&lt;wsp:rsid wsp:val=&quot;00D40F81&quot;/&gt;&lt;wsp:rsid wsp:val=&quot;00D4102B&quot;/&gt;&lt;wsp:rsid wsp:val=&quot;00D41278&quot;/&gt;&lt;wsp:rsid wsp:val=&quot;00D41571&quot;/&gt;&lt;wsp:rsid wsp:val=&quot;00D41618&quot;/&gt;&lt;wsp:rsid wsp:val=&quot;00D41881&quot;/&gt;&lt;wsp:rsid wsp:val=&quot;00D419FA&quot;/&gt;&lt;wsp:rsid wsp:val=&quot;00D41DF0&quot;/&gt;&lt;wsp:rsid wsp:val=&quot;00D41F48&quot;/&gt;&lt;wsp:rsid wsp:val=&quot;00D420BD&quot;/&gt;&lt;wsp:rsid wsp:val=&quot;00D4223A&quot;/&gt;&lt;wsp:rsid wsp:val=&quot;00D42591&quot;/&gt;&lt;wsp:rsid wsp:val=&quot;00D42669&quot;/&gt;&lt;wsp:rsid wsp:val=&quot;00D426B8&quot;/&gt;&lt;wsp:rsid wsp:val=&quot;00D42D83&quot;/&gt;&lt;wsp:rsid wsp:val=&quot;00D42F46&quot;/&gt;&lt;wsp:rsid wsp:val=&quot;00D43112&quot;/&gt;&lt;wsp:rsid wsp:val=&quot;00D432F9&quot;/&gt;&lt;wsp:rsid wsp:val=&quot;00D43614&quot;/&gt;&lt;wsp:rsid wsp:val=&quot;00D43761&quot;/&gt;&lt;wsp:rsid wsp:val=&quot;00D43773&quot;/&gt;&lt;wsp:rsid wsp:val=&quot;00D438AB&quot;/&gt;&lt;wsp:rsid wsp:val=&quot;00D43D51&quot;/&gt;&lt;wsp:rsid wsp:val=&quot;00D43E7F&quot;/&gt;&lt;wsp:rsid wsp:val=&quot;00D43F1E&quot;/&gt;&lt;wsp:rsid wsp:val=&quot;00D43FC8&quot;/&gt;&lt;wsp:rsid wsp:val=&quot;00D44005&quot;/&gt;&lt;wsp:rsid wsp:val=&quot;00D44199&quot;/&gt;&lt;wsp:rsid wsp:val=&quot;00D4422D&quot;/&gt;&lt;wsp:rsid wsp:val=&quot;00D445A7&quot;/&gt;&lt;wsp:rsid wsp:val=&quot;00D447E0&quot;/&gt;&lt;wsp:rsid wsp:val=&quot;00D44984&quot;/&gt;&lt;wsp:rsid wsp:val=&quot;00D44D34&quot;/&gt;&lt;wsp:rsid wsp:val=&quot;00D452B2&quot;/&gt;&lt;wsp:rsid wsp:val=&quot;00D452E1&quot;/&gt;&lt;wsp:rsid wsp:val=&quot;00D455B8&quot;/&gt;&lt;wsp:rsid wsp:val=&quot;00D45715&quot;/&gt;&lt;wsp:rsid wsp:val=&quot;00D458A8&quot;/&gt;&lt;wsp:rsid wsp:val=&quot;00D4597B&quot;/&gt;&lt;wsp:rsid wsp:val=&quot;00D45A8E&quot;/&gt;&lt;wsp:rsid wsp:val=&quot;00D45B12&quot;/&gt;&lt;wsp:rsid wsp:val=&quot;00D45D31&quot;/&gt;&lt;wsp:rsid wsp:val=&quot;00D45E1E&quot;/&gt;&lt;wsp:rsid wsp:val=&quot;00D460B1&quot;/&gt;&lt;wsp:rsid wsp:val=&quot;00D46607&quot;/&gt;&lt;wsp:rsid wsp:val=&quot;00D46671&quot;/&gt;&lt;wsp:rsid wsp:val=&quot;00D467E6&quot;/&gt;&lt;wsp:rsid wsp:val=&quot;00D46D5C&quot;/&gt;&lt;wsp:rsid wsp:val=&quot;00D46DF8&quot;/&gt;&lt;wsp:rsid wsp:val=&quot;00D46F95&quot;/&gt;&lt;wsp:rsid wsp:val=&quot;00D47282&quot;/&gt;&lt;wsp:rsid wsp:val=&quot;00D47A43&quot;/&gt;&lt;wsp:rsid wsp:val=&quot;00D47DAF&quot;/&gt;&lt;wsp:rsid wsp:val=&quot;00D47F6F&quot;/&gt;&lt;wsp:rsid wsp:val=&quot;00D509BF&quot;/&gt;&lt;wsp:rsid wsp:val=&quot;00D50B08&quot;/&gt;&lt;wsp:rsid wsp:val=&quot;00D50E69&quot;/&gt;&lt;wsp:rsid wsp:val=&quot;00D50FC5&quot;/&gt;&lt;wsp:rsid wsp:val=&quot;00D50FF0&quot;/&gt;&lt;wsp:rsid wsp:val=&quot;00D5125A&quot;/&gt;&lt;wsp:rsid wsp:val=&quot;00D5130F&quot;/&gt;&lt;wsp:rsid wsp:val=&quot;00D5174E&quot;/&gt;&lt;wsp:rsid wsp:val=&quot;00D51954&quot;/&gt;&lt;wsp:rsid wsp:val=&quot;00D51BB0&quot;/&gt;&lt;wsp:rsid wsp:val=&quot;00D51CB7&quot;/&gt;&lt;wsp:rsid wsp:val=&quot;00D51FD7&quot;/&gt;&lt;wsp:rsid wsp:val=&quot;00D52029&quot;/&gt;&lt;wsp:rsid wsp:val=&quot;00D520F7&quot;/&gt;&lt;wsp:rsid wsp:val=&quot;00D527F8&quot;/&gt;&lt;wsp:rsid wsp:val=&quot;00D52877&quot;/&gt;&lt;wsp:rsid wsp:val=&quot;00D528DC&quot;/&gt;&lt;wsp:rsid wsp:val=&quot;00D52C06&quot;/&gt;&lt;wsp:rsid wsp:val=&quot;00D5354B&quot;/&gt;&lt;wsp:rsid wsp:val=&quot;00D53CEC&quot;/&gt;&lt;wsp:rsid wsp:val=&quot;00D53F29&quot;/&gt;&lt;wsp:rsid wsp:val=&quot;00D541FC&quot;/&gt;&lt;wsp:rsid wsp:val=&quot;00D54235&quot;/&gt;&lt;wsp:rsid wsp:val=&quot;00D542D4&quot;/&gt;&lt;wsp:rsid wsp:val=&quot;00D5449B&quot;/&gt;&lt;wsp:rsid wsp:val=&quot;00D546C1&quot;/&gt;&lt;wsp:rsid wsp:val=&quot;00D54740&quot;/&gt;&lt;wsp:rsid wsp:val=&quot;00D547F9&quot;/&gt;&lt;wsp:rsid wsp:val=&quot;00D54A82&quot;/&gt;&lt;wsp:rsid wsp:val=&quot;00D54BBF&quot;/&gt;&lt;wsp:rsid wsp:val=&quot;00D54F22&quot;/&gt;&lt;wsp:rsid wsp:val=&quot;00D5500E&quot;/&gt;&lt;wsp:rsid wsp:val=&quot;00D55131&quot;/&gt;&lt;wsp:rsid wsp:val=&quot;00D55264&quot;/&gt;&lt;wsp:rsid wsp:val=&quot;00D55666&quot;/&gt;&lt;wsp:rsid wsp:val=&quot;00D55B2D&quot;/&gt;&lt;wsp:rsid wsp:val=&quot;00D55EC1&quot;/&gt;&lt;wsp:rsid wsp:val=&quot;00D5619A&quot;/&gt;&lt;wsp:rsid wsp:val=&quot;00D5630B&quot;/&gt;&lt;wsp:rsid wsp:val=&quot;00D5657B&quot;/&gt;&lt;wsp:rsid wsp:val=&quot;00D56A4A&quot;/&gt;&lt;wsp:rsid wsp:val=&quot;00D56D6C&quot;/&gt;&lt;wsp:rsid wsp:val=&quot;00D5707E&quot;/&gt;&lt;wsp:rsid wsp:val=&quot;00D5716A&quot;/&gt;&lt;wsp:rsid wsp:val=&quot;00D573C6&quot;/&gt;&lt;wsp:rsid wsp:val=&quot;00D57C2A&quot;/&gt;&lt;wsp:rsid wsp:val=&quot;00D6031F&quot;/&gt;&lt;wsp:rsid wsp:val=&quot;00D603B3&quot;/&gt;&lt;wsp:rsid wsp:val=&quot;00D60603&quot;/&gt;&lt;wsp:rsid wsp:val=&quot;00D607DD&quot;/&gt;&lt;wsp:rsid wsp:val=&quot;00D609FC&quot;/&gt;&lt;wsp:rsid wsp:val=&quot;00D60B0A&quot;/&gt;&lt;wsp:rsid wsp:val=&quot;00D60B9E&quot;/&gt;&lt;wsp:rsid wsp:val=&quot;00D60E59&quot;/&gt;&lt;wsp:rsid wsp:val=&quot;00D60F37&quot;/&gt;&lt;wsp:rsid wsp:val=&quot;00D610AC&quot;/&gt;&lt;wsp:rsid wsp:val=&quot;00D61467&quot;/&gt;&lt;wsp:rsid wsp:val=&quot;00D614E3&quot;/&gt;&lt;wsp:rsid wsp:val=&quot;00D61783&quot;/&gt;&lt;wsp:rsid wsp:val=&quot;00D61DA1&quot;/&gt;&lt;wsp:rsid wsp:val=&quot;00D61DCD&quot;/&gt;&lt;wsp:rsid wsp:val=&quot;00D61E17&quot;/&gt;&lt;wsp:rsid wsp:val=&quot;00D61E7A&quot;/&gt;&lt;wsp:rsid wsp:val=&quot;00D62272&quot;/&gt;&lt;wsp:rsid wsp:val=&quot;00D62604&quot;/&gt;&lt;wsp:rsid wsp:val=&quot;00D62D10&quot;/&gt;&lt;wsp:rsid wsp:val=&quot;00D6314B&quot;/&gt;&lt;wsp:rsid wsp:val=&quot;00D635D5&quot;/&gt;&lt;wsp:rsid wsp:val=&quot;00D63784&quot;/&gt;&lt;wsp:rsid wsp:val=&quot;00D637FC&quot;/&gt;&lt;wsp:rsid wsp:val=&quot;00D63949&quot;/&gt;&lt;wsp:rsid wsp:val=&quot;00D63B6F&quot;/&gt;&lt;wsp:rsid wsp:val=&quot;00D63BD0&quot;/&gt;&lt;wsp:rsid wsp:val=&quot;00D63CFD&quot;/&gt;&lt;wsp:rsid wsp:val=&quot;00D63E43&quot;/&gt;&lt;wsp:rsid wsp:val=&quot;00D63F8A&quot;/&gt;&lt;wsp:rsid wsp:val=&quot;00D644F2&quot;/&gt;&lt;wsp:rsid wsp:val=&quot;00D6543C&quot;/&gt;&lt;wsp:rsid wsp:val=&quot;00D65625&quot;/&gt;&lt;wsp:rsid wsp:val=&quot;00D65931&quot;/&gt;&lt;wsp:rsid wsp:val=&quot;00D65B19&quot;/&gt;&lt;wsp:rsid wsp:val=&quot;00D65DBC&quot;/&gt;&lt;wsp:rsid wsp:val=&quot;00D6630C&quot;/&gt;&lt;wsp:rsid wsp:val=&quot;00D66FD6&quot;/&gt;&lt;wsp:rsid wsp:val=&quot;00D6713E&quot;/&gt;&lt;wsp:rsid wsp:val=&quot;00D6727D&quot;/&gt;&lt;wsp:rsid wsp:val=&quot;00D676DC&quot;/&gt;&lt;wsp:rsid wsp:val=&quot;00D67795&quot;/&gt;&lt;wsp:rsid wsp:val=&quot;00D6780D&quot;/&gt;&lt;wsp:rsid wsp:val=&quot;00D67939&quot;/&gt;&lt;wsp:rsid wsp:val=&quot;00D67952&quot;/&gt;&lt;wsp:rsid wsp:val=&quot;00D67B69&quot;/&gt;&lt;wsp:rsid wsp:val=&quot;00D67C9A&quot;/&gt;&lt;wsp:rsid wsp:val=&quot;00D67CC5&quot;/&gt;&lt;wsp:rsid wsp:val=&quot;00D67CEF&quot;/&gt;&lt;wsp:rsid wsp:val=&quot;00D7000F&quot;/&gt;&lt;wsp:rsid wsp:val=&quot;00D70919&quot;/&gt;&lt;wsp:rsid wsp:val=&quot;00D71261&quot;/&gt;&lt;wsp:rsid wsp:val=&quot;00D71431&quot;/&gt;&lt;wsp:rsid wsp:val=&quot;00D7188B&quot;/&gt;&lt;wsp:rsid wsp:val=&quot;00D718ED&quot;/&gt;&lt;wsp:rsid wsp:val=&quot;00D71A23&quot;/&gt;&lt;wsp:rsid wsp:val=&quot;00D71BA8&quot;/&gt;&lt;wsp:rsid wsp:val=&quot;00D71CEF&quot;/&gt;&lt;wsp:rsid wsp:val=&quot;00D71E4C&quot;/&gt;&lt;wsp:rsid wsp:val=&quot;00D72272&quot;/&gt;&lt;wsp:rsid wsp:val=&quot;00D72298&quot;/&gt;&lt;wsp:rsid wsp:val=&quot;00D725CF&quot;/&gt;&lt;wsp:rsid wsp:val=&quot;00D72896&quot;/&gt;&lt;wsp:rsid wsp:val=&quot;00D72C0B&quot;/&gt;&lt;wsp:rsid wsp:val=&quot;00D72D69&quot;/&gt;&lt;wsp:rsid wsp:val=&quot;00D72D99&quot;/&gt;&lt;wsp:rsid wsp:val=&quot;00D72DA1&quot;/&gt;&lt;wsp:rsid wsp:val=&quot;00D734F6&quot;/&gt;&lt;wsp:rsid wsp:val=&quot;00D736ED&quot;/&gt;&lt;wsp:rsid wsp:val=&quot;00D742E1&quot;/&gt;&lt;wsp:rsid wsp:val=&quot;00D74549&quot;/&gt;&lt;wsp:rsid wsp:val=&quot;00D74682&quot;/&gt;&lt;wsp:rsid wsp:val=&quot;00D7473E&quot;/&gt;&lt;wsp:rsid wsp:val=&quot;00D748F9&quot;/&gt;&lt;wsp:rsid wsp:val=&quot;00D74939&quot;/&gt;&lt;wsp:rsid wsp:val=&quot;00D74A05&quot;/&gt;&lt;wsp:rsid wsp:val=&quot;00D74E3E&quot;/&gt;&lt;wsp:rsid wsp:val=&quot;00D7522C&quot;/&gt;&lt;wsp:rsid wsp:val=&quot;00D75236&quot;/&gt;&lt;wsp:rsid wsp:val=&quot;00D7592E&quot;/&gt;&lt;wsp:rsid wsp:val=&quot;00D75939&quot;/&gt;&lt;wsp:rsid wsp:val=&quot;00D75A06&quot;/&gt;&lt;wsp:rsid wsp:val=&quot;00D7605F&quot;/&gt;&lt;wsp:rsid wsp:val=&quot;00D76299&quot;/&gt;&lt;wsp:rsid wsp:val=&quot;00D76318&quot;/&gt;&lt;wsp:rsid wsp:val=&quot;00D76486&quot;/&gt;&lt;wsp:rsid wsp:val=&quot;00D766C8&quot;/&gt;&lt;wsp:rsid wsp:val=&quot;00D7689F&quot;/&gt;&lt;wsp:rsid wsp:val=&quot;00D76983&quot;/&gt;&lt;wsp:rsid wsp:val=&quot;00D76C40&quot;/&gt;&lt;wsp:rsid wsp:val=&quot;00D76D9C&quot;/&gt;&lt;wsp:rsid wsp:val=&quot;00D77146&quot;/&gt;&lt;wsp:rsid wsp:val=&quot;00D774C6&quot;/&gt;&lt;wsp:rsid wsp:val=&quot;00D77520&quot;/&gt;&lt;wsp:rsid wsp:val=&quot;00D77729&quot;/&gt;&lt;wsp:rsid wsp:val=&quot;00D77741&quot;/&gt;&lt;wsp:rsid wsp:val=&quot;00D778C7&quot;/&gt;&lt;wsp:rsid wsp:val=&quot;00D779A7&quot;/&gt;&lt;wsp:rsid wsp:val=&quot;00D77A00&quot;/&gt;&lt;wsp:rsid wsp:val=&quot;00D77B58&quot;/&gt;&lt;wsp:rsid wsp:val=&quot;00D77B63&quot;/&gt;&lt;wsp:rsid wsp:val=&quot;00D77D03&quot;/&gt;&lt;wsp:rsid wsp:val=&quot;00D77F58&quot;/&gt;&lt;wsp:rsid wsp:val=&quot;00D77FA9&quot;/&gt;&lt;wsp:rsid wsp:val=&quot;00D80033&quot;/&gt;&lt;wsp:rsid wsp:val=&quot;00D802C7&quot;/&gt;&lt;wsp:rsid wsp:val=&quot;00D802D5&quot;/&gt;&lt;wsp:rsid wsp:val=&quot;00D8072F&quot;/&gt;&lt;wsp:rsid wsp:val=&quot;00D80751&quot;/&gt;&lt;wsp:rsid wsp:val=&quot;00D80843&quot;/&gt;&lt;wsp:rsid wsp:val=&quot;00D809DE&quot;/&gt;&lt;wsp:rsid wsp:val=&quot;00D80A72&quot;/&gt;&lt;wsp:rsid wsp:val=&quot;00D80A89&quot;/&gt;&lt;wsp:rsid wsp:val=&quot;00D80BB8&quot;/&gt;&lt;wsp:rsid wsp:val=&quot;00D80BF1&quot;/&gt;&lt;wsp:rsid wsp:val=&quot;00D81192&quot;/&gt;&lt;wsp:rsid wsp:val=&quot;00D811A6&quot;/&gt;&lt;wsp:rsid wsp:val=&quot;00D81242&quot;/&gt;&lt;wsp:rsid wsp:val=&quot;00D812CB&quot;/&gt;&lt;wsp:rsid wsp:val=&quot;00D813CD&quot;/&gt;&lt;wsp:rsid wsp:val=&quot;00D814F5&quot;/&gt;&lt;wsp:rsid wsp:val=&quot;00D819C0&quot;/&gt;&lt;wsp:rsid wsp:val=&quot;00D819C4&quot;/&gt;&lt;wsp:rsid wsp:val=&quot;00D81C3F&quot;/&gt;&lt;wsp:rsid wsp:val=&quot;00D81D9D&quot;/&gt;&lt;wsp:rsid wsp:val=&quot;00D81E7D&quot;/&gt;&lt;wsp:rsid wsp:val=&quot;00D82225&quot;/&gt;&lt;wsp:rsid wsp:val=&quot;00D82559&quot;/&gt;&lt;wsp:rsid wsp:val=&quot;00D828B3&quot;/&gt;&lt;wsp:rsid wsp:val=&quot;00D82A56&quot;/&gt;&lt;wsp:rsid wsp:val=&quot;00D82B00&quot;/&gt;&lt;wsp:rsid wsp:val=&quot;00D82CD7&quot;/&gt;&lt;wsp:rsid wsp:val=&quot;00D830F7&quot;/&gt;&lt;wsp:rsid wsp:val=&quot;00D837B9&quot;/&gt;&lt;wsp:rsid wsp:val=&quot;00D837EF&quot;/&gt;&lt;wsp:rsid wsp:val=&quot;00D83986&quot;/&gt;&lt;wsp:rsid wsp:val=&quot;00D83E3C&quot;/&gt;&lt;wsp:rsid wsp:val=&quot;00D8455C&quot;/&gt;&lt;wsp:rsid wsp:val=&quot;00D84BB8&quot;/&gt;&lt;wsp:rsid wsp:val=&quot;00D84C78&quot;/&gt;&lt;wsp:rsid wsp:val=&quot;00D84E17&quot;/&gt;&lt;wsp:rsid wsp:val=&quot;00D853A1&quot;/&gt;&lt;wsp:rsid wsp:val=&quot;00D857C5&quot;/&gt;&lt;wsp:rsid wsp:val=&quot;00D85AFB&quot;/&gt;&lt;wsp:rsid wsp:val=&quot;00D85CB7&quot;/&gt;&lt;wsp:rsid wsp:val=&quot;00D8687A&quot;/&gt;&lt;wsp:rsid wsp:val=&quot;00D86AB8&quot;/&gt;&lt;wsp:rsid wsp:val=&quot;00D86BAC&quot;/&gt;&lt;wsp:rsid wsp:val=&quot;00D86EE4&quot;/&gt;&lt;wsp:rsid wsp:val=&quot;00D873BB&quot;/&gt;&lt;wsp:rsid wsp:val=&quot;00D87695&quot;/&gt;&lt;wsp:rsid wsp:val=&quot;00D878BC&quot;/&gt;&lt;wsp:rsid wsp:val=&quot;00D878DA&quot;/&gt;&lt;wsp:rsid wsp:val=&quot;00D87B69&quot;/&gt;&lt;wsp:rsid wsp:val=&quot;00D87BC2&quot;/&gt;&lt;wsp:rsid wsp:val=&quot;00D87C45&quot;/&gt;&lt;wsp:rsid wsp:val=&quot;00D87F3F&quot;/&gt;&lt;wsp:rsid wsp:val=&quot;00D87FDF&quot;/&gt;&lt;wsp:rsid wsp:val=&quot;00D90113&quot;/&gt;&lt;wsp:rsid wsp:val=&quot;00D901DA&quot;/&gt;&lt;wsp:rsid wsp:val=&quot;00D906F8&quot;/&gt;&lt;wsp:rsid wsp:val=&quot;00D9080D&quot;/&gt;&lt;wsp:rsid wsp:val=&quot;00D908CD&quot;/&gt;&lt;wsp:rsid wsp:val=&quot;00D90A49&quot;/&gt;&lt;wsp:rsid wsp:val=&quot;00D90C4F&quot;/&gt;&lt;wsp:rsid wsp:val=&quot;00D90D2D&quot;/&gt;&lt;wsp:rsid wsp:val=&quot;00D91053&quot;/&gt;&lt;wsp:rsid wsp:val=&quot;00D9115E&quot;/&gt;&lt;wsp:rsid wsp:val=&quot;00D91569&quot;/&gt;&lt;wsp:rsid wsp:val=&quot;00D915DA&quot;/&gt;&lt;wsp:rsid wsp:val=&quot;00D926A1&quot;/&gt;&lt;wsp:rsid wsp:val=&quot;00D92738&quot;/&gt;&lt;wsp:rsid wsp:val=&quot;00D92D9D&quot;/&gt;&lt;wsp:rsid wsp:val=&quot;00D9378B&quot;/&gt;&lt;wsp:rsid wsp:val=&quot;00D943FB&quot;/&gt;&lt;wsp:rsid wsp:val=&quot;00D94645&quot;/&gt;&lt;wsp:rsid wsp:val=&quot;00D94724&quot;/&gt;&lt;wsp:rsid wsp:val=&quot;00D949BD&quot;/&gt;&lt;wsp:rsid wsp:val=&quot;00D951DF&quot;/&gt;&lt;wsp:rsid wsp:val=&quot;00D95298&quot;/&gt;&lt;wsp:rsid wsp:val=&quot;00D953CB&quot;/&gt;&lt;wsp:rsid wsp:val=&quot;00D955CD&quot;/&gt;&lt;wsp:rsid wsp:val=&quot;00D95AD2&quot;/&gt;&lt;wsp:rsid wsp:val=&quot;00D95BF6&quot;/&gt;&lt;wsp:rsid wsp:val=&quot;00D96013&quot;/&gt;&lt;wsp:rsid wsp:val=&quot;00D96129&quot;/&gt;&lt;wsp:rsid wsp:val=&quot;00D962D8&quot;/&gt;&lt;wsp:rsid wsp:val=&quot;00D962E7&quot;/&gt;&lt;wsp:rsid wsp:val=&quot;00D96367&quot;/&gt;&lt;wsp:rsid wsp:val=&quot;00D96444&quot;/&gt;&lt;wsp:rsid wsp:val=&quot;00D965FB&quot;/&gt;&lt;wsp:rsid wsp:val=&quot;00D9660C&quot;/&gt;&lt;wsp:rsid wsp:val=&quot;00D96668&quot;/&gt;&lt;wsp:rsid wsp:val=&quot;00D96A53&quot;/&gt;&lt;wsp:rsid wsp:val=&quot;00D96BF7&quot;/&gt;&lt;wsp:rsid wsp:val=&quot;00D975CA&quot;/&gt;&lt;wsp:rsid wsp:val=&quot;00D97644&quot;/&gt;&lt;wsp:rsid wsp:val=&quot;00D97844&quot;/&gt;&lt;wsp:rsid wsp:val=&quot;00D97990&quot;/&gt;&lt;wsp:rsid wsp:val=&quot;00D979D8&quot;/&gt;&lt;wsp:rsid wsp:val=&quot;00D97A32&quot;/&gt;&lt;wsp:rsid wsp:val=&quot;00D97CF7&quot;/&gt;&lt;wsp:rsid wsp:val=&quot;00DA01EF&quot;/&gt;&lt;wsp:rsid wsp:val=&quot;00DA045D&quot;/&gt;&lt;wsp:rsid wsp:val=&quot;00DA0625&quot;/&gt;&lt;wsp:rsid wsp:val=&quot;00DA06E2&quot;/&gt;&lt;wsp:rsid wsp:val=&quot;00DA0700&quot;/&gt;&lt;wsp:rsid wsp:val=&quot;00DA07D7&quot;/&gt;&lt;wsp:rsid wsp:val=&quot;00DA0AC3&quot;/&gt;&lt;wsp:rsid wsp:val=&quot;00DA0ADE&quot;/&gt;&lt;wsp:rsid wsp:val=&quot;00DA0E6A&quot;/&gt;&lt;wsp:rsid wsp:val=&quot;00DA123D&quot;/&gt;&lt;wsp:rsid wsp:val=&quot;00DA133D&quot;/&gt;&lt;wsp:rsid wsp:val=&quot;00DA1990&quot;/&gt;&lt;wsp:rsid wsp:val=&quot;00DA19D5&quot;/&gt;&lt;wsp:rsid wsp:val=&quot;00DA1A4D&quot;/&gt;&lt;wsp:rsid wsp:val=&quot;00DA1B3A&quot;/&gt;&lt;wsp:rsid wsp:val=&quot;00DA1B4B&quot;/&gt;&lt;wsp:rsid wsp:val=&quot;00DA1CE2&quot;/&gt;&lt;wsp:rsid wsp:val=&quot;00DA2127&quot;/&gt;&lt;wsp:rsid wsp:val=&quot;00DA22AD&quot;/&gt;&lt;wsp:rsid wsp:val=&quot;00DA29F1&quot;/&gt;&lt;wsp:rsid wsp:val=&quot;00DA2C80&quot;/&gt;&lt;wsp:rsid wsp:val=&quot;00DA2E4A&quot;/&gt;&lt;wsp:rsid wsp:val=&quot;00DA31DF&quot;/&gt;&lt;wsp:rsid wsp:val=&quot;00DA3314&quot;/&gt;&lt;wsp:rsid wsp:val=&quot;00DA372B&quot;/&gt;&lt;wsp:rsid wsp:val=&quot;00DA38C4&quot;/&gt;&lt;wsp:rsid wsp:val=&quot;00DA3AD8&quot;/&gt;&lt;wsp:rsid wsp:val=&quot;00DA3C05&quot;/&gt;&lt;wsp:rsid wsp:val=&quot;00DA4286&quot;/&gt;&lt;wsp:rsid wsp:val=&quot;00DA43A4&quot;/&gt;&lt;wsp:rsid wsp:val=&quot;00DA454B&quot;/&gt;&lt;wsp:rsid wsp:val=&quot;00DA45DE&quot;/&gt;&lt;wsp:rsid wsp:val=&quot;00DA4860&quot;/&gt;&lt;wsp:rsid wsp:val=&quot;00DA4D02&quot;/&gt;&lt;wsp:rsid wsp:val=&quot;00DA4DAE&quot;/&gt;&lt;wsp:rsid wsp:val=&quot;00DA53D4&quot;/&gt;&lt;wsp:rsid wsp:val=&quot;00DA5525&quot;/&gt;&lt;wsp:rsid wsp:val=&quot;00DA5662&quot;/&gt;&lt;wsp:rsid wsp:val=&quot;00DA5B20&quot;/&gt;&lt;wsp:rsid wsp:val=&quot;00DA5C8A&quot;/&gt;&lt;wsp:rsid wsp:val=&quot;00DA6106&quot;/&gt;&lt;wsp:rsid wsp:val=&quot;00DA622A&quot;/&gt;&lt;wsp:rsid wsp:val=&quot;00DA6643&quot;/&gt;&lt;wsp:rsid wsp:val=&quot;00DA66E0&quot;/&gt;&lt;wsp:rsid wsp:val=&quot;00DA6A3D&quot;/&gt;&lt;wsp:rsid wsp:val=&quot;00DA6BAC&quot;/&gt;&lt;wsp:rsid wsp:val=&quot;00DA6C4B&quot;/&gt;&lt;wsp:rsid wsp:val=&quot;00DA727D&quot;/&gt;&lt;wsp:rsid wsp:val=&quot;00DA74D1&quot;/&gt;&lt;wsp:rsid wsp:val=&quot;00DA7517&quot;/&gt;&lt;wsp:rsid wsp:val=&quot;00DA764E&quot;/&gt;&lt;wsp:rsid wsp:val=&quot;00DA76A2&quot;/&gt;&lt;wsp:rsid wsp:val=&quot;00DA781A&quot;/&gt;&lt;wsp:rsid wsp:val=&quot;00DA78D2&quot;/&gt;&lt;wsp:rsid wsp:val=&quot;00DA7D0E&quot;/&gt;&lt;wsp:rsid wsp:val=&quot;00DA7E34&quot;/&gt;&lt;wsp:rsid wsp:val=&quot;00DB00FA&quot;/&gt;&lt;wsp:rsid wsp:val=&quot;00DB0184&quot;/&gt;&lt;wsp:rsid wsp:val=&quot;00DB01A5&quot;/&gt;&lt;wsp:rsid wsp:val=&quot;00DB03AC&quot;/&gt;&lt;wsp:rsid wsp:val=&quot;00DB0431&quot;/&gt;&lt;wsp:rsid wsp:val=&quot;00DB049D&quot;/&gt;&lt;wsp:rsid wsp:val=&quot;00DB0666&quot;/&gt;&lt;wsp:rsid wsp:val=&quot;00DB081B&quot;/&gt;&lt;wsp:rsid wsp:val=&quot;00DB0849&quot;/&gt;&lt;wsp:rsid wsp:val=&quot;00DB0CA2&quot;/&gt;&lt;wsp:rsid wsp:val=&quot;00DB0CB7&quot;/&gt;&lt;wsp:rsid wsp:val=&quot;00DB0E23&quot;/&gt;&lt;wsp:rsid wsp:val=&quot;00DB13A5&quot;/&gt;&lt;wsp:rsid wsp:val=&quot;00DB1443&quot;/&gt;&lt;wsp:rsid wsp:val=&quot;00DB1554&quot;/&gt;&lt;wsp:rsid wsp:val=&quot;00DB1921&quot;/&gt;&lt;wsp:rsid wsp:val=&quot;00DB1970&quot;/&gt;&lt;wsp:rsid wsp:val=&quot;00DB1AD7&quot;/&gt;&lt;wsp:rsid wsp:val=&quot;00DB1CB5&quot;/&gt;&lt;wsp:rsid wsp:val=&quot;00DB2069&quot;/&gt;&lt;wsp:rsid wsp:val=&quot;00DB21B0&quot;/&gt;&lt;wsp:rsid wsp:val=&quot;00DB24FD&quot;/&gt;&lt;wsp:rsid wsp:val=&quot;00DB27A3&quot;/&gt;&lt;wsp:rsid wsp:val=&quot;00DB2AFC&quot;/&gt;&lt;wsp:rsid wsp:val=&quot;00DB2BE1&quot;/&gt;&lt;wsp:rsid wsp:val=&quot;00DB2C63&quot;/&gt;&lt;wsp:rsid wsp:val=&quot;00DB2CE2&quot;/&gt;&lt;wsp:rsid wsp:val=&quot;00DB327B&quot;/&gt;&lt;wsp:rsid wsp:val=&quot;00DB3433&quot;/&gt;&lt;wsp:rsid wsp:val=&quot;00DB3677&quot;/&gt;&lt;wsp:rsid wsp:val=&quot;00DB3CB5&quot;/&gt;&lt;wsp:rsid wsp:val=&quot;00DB4108&quot;/&gt;&lt;wsp:rsid wsp:val=&quot;00DB4261&quot;/&gt;&lt;wsp:rsid wsp:val=&quot;00DB42EF&quot;/&gt;&lt;wsp:rsid wsp:val=&quot;00DB4478&quot;/&gt;&lt;wsp:rsid wsp:val=&quot;00DB469D&quot;/&gt;&lt;wsp:rsid wsp:val=&quot;00DB47B4&quot;/&gt;&lt;wsp:rsid wsp:val=&quot;00DB4AE9&quot;/&gt;&lt;wsp:rsid wsp:val=&quot;00DB4D74&quot;/&gt;&lt;wsp:rsid wsp:val=&quot;00DB50ED&quot;/&gt;&lt;wsp:rsid wsp:val=&quot;00DB5383&quot;/&gt;&lt;wsp:rsid wsp:val=&quot;00DB5587&quot;/&gt;&lt;wsp:rsid wsp:val=&quot;00DB5E0E&quot;/&gt;&lt;wsp:rsid wsp:val=&quot;00DB6288&quot;/&gt;&lt;wsp:rsid wsp:val=&quot;00DB6474&quot;/&gt;&lt;wsp:rsid wsp:val=&quot;00DB68A4&quot;/&gt;&lt;wsp:rsid wsp:val=&quot;00DB6A0B&quot;/&gt;&lt;wsp:rsid wsp:val=&quot;00DB6B03&quot;/&gt;&lt;wsp:rsid wsp:val=&quot;00DB6E49&quot;/&gt;&lt;wsp:rsid wsp:val=&quot;00DB75A7&quot;/&gt;&lt;wsp:rsid wsp:val=&quot;00DB797A&quot;/&gt;&lt;wsp:rsid wsp:val=&quot;00DB7B5E&quot;/&gt;&lt;wsp:rsid wsp:val=&quot;00DB7D2E&quot;/&gt;&lt;wsp:rsid wsp:val=&quot;00DC02BF&quot;/&gt;&lt;wsp:rsid wsp:val=&quot;00DC051A&quot;/&gt;&lt;wsp:rsid wsp:val=&quot;00DC0A15&quot;/&gt;&lt;wsp:rsid wsp:val=&quot;00DC0A3C&quot;/&gt;&lt;wsp:rsid wsp:val=&quot;00DC0B73&quot;/&gt;&lt;wsp:rsid wsp:val=&quot;00DC0D06&quot;/&gt;&lt;wsp:rsid wsp:val=&quot;00DC0E8D&quot;/&gt;&lt;wsp:rsid wsp:val=&quot;00DC132C&quot;/&gt;&lt;wsp:rsid wsp:val=&quot;00DC13EA&quot;/&gt;&lt;wsp:rsid wsp:val=&quot;00DC1499&quot;/&gt;&lt;wsp:rsid wsp:val=&quot;00DC14DD&quot;/&gt;&lt;wsp:rsid wsp:val=&quot;00DC1886&quot;/&gt;&lt;wsp:rsid wsp:val=&quot;00DC18B7&quot;/&gt;&lt;wsp:rsid wsp:val=&quot;00DC1D41&quot;/&gt;&lt;wsp:rsid wsp:val=&quot;00DC1D55&quot;/&gt;&lt;wsp:rsid wsp:val=&quot;00DC210D&quot;/&gt;&lt;wsp:rsid wsp:val=&quot;00DC2456&quot;/&gt;&lt;wsp:rsid wsp:val=&quot;00DC2569&quot;/&gt;&lt;wsp:rsid wsp:val=&quot;00DC2597&quot;/&gt;&lt;wsp:rsid wsp:val=&quot;00DC2876&quot;/&gt;&lt;wsp:rsid wsp:val=&quot;00DC2C49&quot;/&gt;&lt;wsp:rsid wsp:val=&quot;00DC2D1C&quot;/&gt;&lt;wsp:rsid wsp:val=&quot;00DC2DAD&quot;/&gt;&lt;wsp:rsid wsp:val=&quot;00DC2FC2&quot;/&gt;&lt;wsp:rsid wsp:val=&quot;00DC3020&quot;/&gt;&lt;wsp:rsid wsp:val=&quot;00DC3288&quot;/&gt;&lt;wsp:rsid wsp:val=&quot;00DC3914&quot;/&gt;&lt;wsp:rsid wsp:val=&quot;00DC3A0B&quot;/&gt;&lt;wsp:rsid wsp:val=&quot;00DC3B71&quot;/&gt;&lt;wsp:rsid wsp:val=&quot;00DC4209&quot;/&gt;&lt;wsp:rsid wsp:val=&quot;00DC42B3&quot;/&gt;&lt;wsp:rsid wsp:val=&quot;00DC487F&quot;/&gt;&lt;wsp:rsid wsp:val=&quot;00DC4EDE&quot;/&gt;&lt;wsp:rsid wsp:val=&quot;00DC4F03&quot;/&gt;&lt;wsp:rsid wsp:val=&quot;00DC5146&quot;/&gt;&lt;wsp:rsid wsp:val=&quot;00DC53F4&quot;/&gt;&lt;wsp:rsid wsp:val=&quot;00DC5466&quot;/&gt;&lt;wsp:rsid wsp:val=&quot;00DC5470&quot;/&gt;&lt;wsp:rsid wsp:val=&quot;00DC5664&quot;/&gt;&lt;wsp:rsid wsp:val=&quot;00DC5720&quot;/&gt;&lt;wsp:rsid wsp:val=&quot;00DC58B8&quot;/&gt;&lt;wsp:rsid wsp:val=&quot;00DC5C36&quot;/&gt;&lt;wsp:rsid wsp:val=&quot;00DC5C3C&quot;/&gt;&lt;wsp:rsid wsp:val=&quot;00DC5DC2&quot;/&gt;&lt;wsp:rsid wsp:val=&quot;00DC5E91&quot;/&gt;&lt;wsp:rsid wsp:val=&quot;00DC625F&quot;/&gt;&lt;wsp:rsid wsp:val=&quot;00DC6491&quot;/&gt;&lt;wsp:rsid wsp:val=&quot;00DC6989&quot;/&gt;&lt;wsp:rsid wsp:val=&quot;00DC70BC&quot;/&gt;&lt;wsp:rsid wsp:val=&quot;00DC70C9&quot;/&gt;&lt;wsp:rsid wsp:val=&quot;00DC7456&quot;/&gt;&lt;wsp:rsid wsp:val=&quot;00DC74CD&quot;/&gt;&lt;wsp:rsid wsp:val=&quot;00DC75BB&quot;/&gt;&lt;wsp:rsid wsp:val=&quot;00DC776B&quot;/&gt;&lt;wsp:rsid wsp:val=&quot;00DC7F80&quot;/&gt;&lt;wsp:rsid wsp:val=&quot;00DD0310&quot;/&gt;&lt;wsp:rsid wsp:val=&quot;00DD06B2&quot;/&gt;&lt;wsp:rsid wsp:val=&quot;00DD07AA&quot;/&gt;&lt;wsp:rsid wsp:val=&quot;00DD07C4&quot;/&gt;&lt;wsp:rsid wsp:val=&quot;00DD0811&quot;/&gt;&lt;wsp:rsid wsp:val=&quot;00DD08A5&quot;/&gt;&lt;wsp:rsid wsp:val=&quot;00DD0900&quot;/&gt;&lt;wsp:rsid wsp:val=&quot;00DD0A63&quot;/&gt;&lt;wsp:rsid wsp:val=&quot;00DD0BBE&quot;/&gt;&lt;wsp:rsid wsp:val=&quot;00DD0C6C&quot;/&gt;&lt;wsp:rsid wsp:val=&quot;00DD11EF&quot;/&gt;&lt;wsp:rsid wsp:val=&quot;00DD12C4&quot;/&gt;&lt;wsp:rsid wsp:val=&quot;00DD15B4&quot;/&gt;&lt;wsp:rsid wsp:val=&quot;00DD1899&quot;/&gt;&lt;wsp:rsid wsp:val=&quot;00DD18A4&quot;/&gt;&lt;wsp:rsid wsp:val=&quot;00DD18E3&quot;/&gt;&lt;wsp:rsid wsp:val=&quot;00DD1ED1&quot;/&gt;&lt;wsp:rsid wsp:val=&quot;00DD21E2&quot;/&gt;&lt;wsp:rsid wsp:val=&quot;00DD22CD&quot;/&gt;&lt;wsp:rsid wsp:val=&quot;00DD2432&quot;/&gt;&lt;wsp:rsid wsp:val=&quot;00DD24A7&quot;/&gt;&lt;wsp:rsid wsp:val=&quot;00DD2544&quot;/&gt;&lt;wsp:rsid wsp:val=&quot;00DD2649&quot;/&gt;&lt;wsp:rsid wsp:val=&quot;00DD26C1&quot;/&gt;&lt;wsp:rsid wsp:val=&quot;00DD3136&quot;/&gt;&lt;wsp:rsid wsp:val=&quot;00DD3490&quot;/&gt;&lt;wsp:rsid wsp:val=&quot;00DD38F9&quot;/&gt;&lt;wsp:rsid wsp:val=&quot;00DD3B21&quot;/&gt;&lt;wsp:rsid wsp:val=&quot;00DD3BD6&quot;/&gt;&lt;wsp:rsid wsp:val=&quot;00DD3BE9&quot;/&gt;&lt;wsp:rsid wsp:val=&quot;00DD3BF1&quot;/&gt;&lt;wsp:rsid wsp:val=&quot;00DD3FC1&quot;/&gt;&lt;wsp:rsid wsp:val=&quot;00DD42DC&quot;/&gt;&lt;wsp:rsid wsp:val=&quot;00DD4629&quot;/&gt;&lt;wsp:rsid wsp:val=&quot;00DD46BE&quot;/&gt;&lt;wsp:rsid wsp:val=&quot;00DD48C3&quot;/&gt;&lt;wsp:rsid wsp:val=&quot;00DD4AD1&quot;/&gt;&lt;wsp:rsid wsp:val=&quot;00DD4F07&quot;/&gt;&lt;wsp:rsid wsp:val=&quot;00DD4F6B&quot;/&gt;&lt;wsp:rsid wsp:val=&quot;00DD58A2&quot;/&gt;&lt;wsp:rsid wsp:val=&quot;00DD58E2&quot;/&gt;&lt;wsp:rsid wsp:val=&quot;00DD5950&quot;/&gt;&lt;wsp:rsid wsp:val=&quot;00DD5B8F&quot;/&gt;&lt;wsp:rsid wsp:val=&quot;00DD5DE1&quot;/&gt;&lt;wsp:rsid wsp:val=&quot;00DD5E61&quot;/&gt;&lt;wsp:rsid wsp:val=&quot;00DD606B&quot;/&gt;&lt;wsp:rsid wsp:val=&quot;00DD619B&quot;/&gt;&lt;wsp:rsid wsp:val=&quot;00DD61CF&quot;/&gt;&lt;wsp:rsid wsp:val=&quot;00DD61FE&quot;/&gt;&lt;wsp:rsid wsp:val=&quot;00DD630B&quot;/&gt;&lt;wsp:rsid wsp:val=&quot;00DD6389&quot;/&gt;&lt;wsp:rsid wsp:val=&quot;00DD638B&quot;/&gt;&lt;wsp:rsid wsp:val=&quot;00DD63C5&quot;/&gt;&lt;wsp:rsid wsp:val=&quot;00DD6603&quot;/&gt;&lt;wsp:rsid wsp:val=&quot;00DD6771&quot;/&gt;&lt;wsp:rsid wsp:val=&quot;00DD69BD&quot;/&gt;&lt;wsp:rsid wsp:val=&quot;00DD6B44&quot;/&gt;&lt;wsp:rsid wsp:val=&quot;00DD6B63&quot;/&gt;&lt;wsp:rsid wsp:val=&quot;00DD6DFE&quot;/&gt;&lt;wsp:rsid wsp:val=&quot;00DD6E60&quot;/&gt;&lt;wsp:rsid wsp:val=&quot;00DD7337&quot;/&gt;&lt;wsp:rsid wsp:val=&quot;00DD7372&quot;/&gt;&lt;wsp:rsid wsp:val=&quot;00DD73A0&quot;/&gt;&lt;wsp:rsid wsp:val=&quot;00DD755A&quot;/&gt;&lt;wsp:rsid wsp:val=&quot;00DD76B6&quot;/&gt;&lt;wsp:rsid wsp:val=&quot;00DD7B35&quot;/&gt;&lt;wsp:rsid wsp:val=&quot;00DE0089&quot;/&gt;&lt;wsp:rsid wsp:val=&quot;00DE00BA&quot;/&gt;&lt;wsp:rsid wsp:val=&quot;00DE03DA&quot;/&gt;&lt;wsp:rsid wsp:val=&quot;00DE0680&quot;/&gt;&lt;wsp:rsid wsp:val=&quot;00DE085D&quot;/&gt;&lt;wsp:rsid wsp:val=&quot;00DE0BCA&quot;/&gt;&lt;wsp:rsid wsp:val=&quot;00DE0D52&quot;/&gt;&lt;wsp:rsid wsp:val=&quot;00DE1158&quot;/&gt;&lt;wsp:rsid wsp:val=&quot;00DE124B&quot;/&gt;&lt;wsp:rsid wsp:val=&quot;00DE137E&quot;/&gt;&lt;wsp:rsid wsp:val=&quot;00DE15A6&quot;/&gt;&lt;wsp:rsid wsp:val=&quot;00DE1A43&quot;/&gt;&lt;wsp:rsid wsp:val=&quot;00DE1A85&quot;/&gt;&lt;wsp:rsid wsp:val=&quot;00DE1BC7&quot;/&gt;&lt;wsp:rsid wsp:val=&quot;00DE1C95&quot;/&gt;&lt;wsp:rsid wsp:val=&quot;00DE1E0F&quot;/&gt;&lt;wsp:rsid wsp:val=&quot;00DE24D1&quot;/&gt;&lt;wsp:rsid wsp:val=&quot;00DE24F2&quot;/&gt;&lt;wsp:rsid wsp:val=&quot;00DE264F&quot;/&gt;&lt;wsp:rsid wsp:val=&quot;00DE293F&quot;/&gt;&lt;wsp:rsid wsp:val=&quot;00DE2A7A&quot;/&gt;&lt;wsp:rsid wsp:val=&quot;00DE2B64&quot;/&gt;&lt;wsp:rsid wsp:val=&quot;00DE2C6C&quot;/&gt;&lt;wsp:rsid wsp:val=&quot;00DE35F7&quot;/&gt;&lt;wsp:rsid wsp:val=&quot;00DE36A2&quot;/&gt;&lt;wsp:rsid wsp:val=&quot;00DE383E&quot;/&gt;&lt;wsp:rsid wsp:val=&quot;00DE3A18&quot;/&gt;&lt;wsp:rsid wsp:val=&quot;00DE3DEC&quot;/&gt;&lt;wsp:rsid wsp:val=&quot;00DE3ED0&quot;/&gt;&lt;wsp:rsid wsp:val=&quot;00DE41EA&quot;/&gt;&lt;wsp:rsid wsp:val=&quot;00DE42D9&quot;/&gt;&lt;wsp:rsid wsp:val=&quot;00DE4580&quot;/&gt;&lt;wsp:rsid wsp:val=&quot;00DE45B8&quot;/&gt;&lt;wsp:rsid wsp:val=&quot;00DE46DC&quot;/&gt;&lt;wsp:rsid wsp:val=&quot;00DE47AC&quot;/&gt;&lt;wsp:rsid wsp:val=&quot;00DE4B74&quot;/&gt;&lt;wsp:rsid wsp:val=&quot;00DE4FF8&quot;/&gt;&lt;wsp:rsid wsp:val=&quot;00DE51A5&quot;/&gt;&lt;wsp:rsid wsp:val=&quot;00DE521B&quot;/&gt;&lt;wsp:rsid wsp:val=&quot;00DE54CF&quot;/&gt;&lt;wsp:rsid wsp:val=&quot;00DE558B&quot;/&gt;&lt;wsp:rsid wsp:val=&quot;00DE5783&quot;/&gt;&lt;wsp:rsid wsp:val=&quot;00DE5A01&quot;/&gt;&lt;wsp:rsid wsp:val=&quot;00DE5AE5&quot;/&gt;&lt;wsp:rsid wsp:val=&quot;00DE5C0A&quot;/&gt;&lt;wsp:rsid wsp:val=&quot;00DE6082&quot;/&gt;&lt;wsp:rsid wsp:val=&quot;00DE6261&quot;/&gt;&lt;wsp:rsid wsp:val=&quot;00DE686A&quot;/&gt;&lt;wsp:rsid wsp:val=&quot;00DE6DCD&quot;/&gt;&lt;wsp:rsid wsp:val=&quot;00DE7061&quot;/&gt;&lt;wsp:rsid wsp:val=&quot;00DE7107&quot;/&gt;&lt;wsp:rsid wsp:val=&quot;00DE7369&quot;/&gt;&lt;wsp:rsid wsp:val=&quot;00DE774F&quot;/&gt;&lt;wsp:rsid wsp:val=&quot;00DE7A5F&quot;/&gt;&lt;wsp:rsid wsp:val=&quot;00DE7B47&quot;/&gt;&lt;wsp:rsid wsp:val=&quot;00DE7F1E&quot;/&gt;&lt;wsp:rsid wsp:val=&quot;00DE7F28&quot;/&gt;&lt;wsp:rsid wsp:val=&quot;00DF0150&quot;/&gt;&lt;wsp:rsid wsp:val=&quot;00DF02BF&quot;/&gt;&lt;wsp:rsid wsp:val=&quot;00DF02F6&quot;/&gt;&lt;wsp:rsid wsp:val=&quot;00DF0438&quot;/&gt;&lt;wsp:rsid wsp:val=&quot;00DF049D&quot;/&gt;&lt;wsp:rsid wsp:val=&quot;00DF0596&quot;/&gt;&lt;wsp:rsid wsp:val=&quot;00DF0742&quot;/&gt;&lt;wsp:rsid wsp:val=&quot;00DF09EF&quot;/&gt;&lt;wsp:rsid wsp:val=&quot;00DF0CD0&quot;/&gt;&lt;wsp:rsid wsp:val=&quot;00DF12CA&quot;/&gt;&lt;wsp:rsid wsp:val=&quot;00DF134F&quot;/&gt;&lt;wsp:rsid wsp:val=&quot;00DF13E1&quot;/&gt;&lt;wsp:rsid wsp:val=&quot;00DF144F&quot;/&gt;&lt;wsp:rsid wsp:val=&quot;00DF14FC&quot;/&gt;&lt;wsp:rsid wsp:val=&quot;00DF172B&quot;/&gt;&lt;wsp:rsid wsp:val=&quot;00DF1740&quot;/&gt;&lt;wsp:rsid wsp:val=&quot;00DF17FF&quot;/&gt;&lt;wsp:rsid wsp:val=&quot;00DF19E3&quot;/&gt;&lt;wsp:rsid wsp:val=&quot;00DF1A99&quot;/&gt;&lt;wsp:rsid wsp:val=&quot;00DF1C6D&quot;/&gt;&lt;wsp:rsid wsp:val=&quot;00DF1F8D&quot;/&gt;&lt;wsp:rsid wsp:val=&quot;00DF22E3&quot;/&gt;&lt;wsp:rsid wsp:val=&quot;00DF22E7&quot;/&gt;&lt;wsp:rsid wsp:val=&quot;00DF2464&quot;/&gt;&lt;wsp:rsid wsp:val=&quot;00DF2582&quot;/&gt;&lt;wsp:rsid wsp:val=&quot;00DF26B4&quot;/&gt;&lt;wsp:rsid wsp:val=&quot;00DF26D9&quot;/&gt;&lt;wsp:rsid wsp:val=&quot;00DF2914&quot;/&gt;&lt;wsp:rsid wsp:val=&quot;00DF298A&quot;/&gt;&lt;wsp:rsid wsp:val=&quot;00DF2BFC&quot;/&gt;&lt;wsp:rsid wsp:val=&quot;00DF2E64&quot;/&gt;&lt;wsp:rsid wsp:val=&quot;00DF2F23&quot;/&gt;&lt;wsp:rsid wsp:val=&quot;00DF320D&quot;/&gt;&lt;wsp:rsid wsp:val=&quot;00DF36C2&quot;/&gt;&lt;wsp:rsid wsp:val=&quot;00DF3874&quot;/&gt;&lt;wsp:rsid wsp:val=&quot;00DF3934&quot;/&gt;&lt;wsp:rsid wsp:val=&quot;00DF393F&quot;/&gt;&lt;wsp:rsid wsp:val=&quot;00DF3BC8&quot;/&gt;&lt;wsp:rsid wsp:val=&quot;00DF3CC6&quot;/&gt;&lt;wsp:rsid wsp:val=&quot;00DF3F3C&quot;/&gt;&lt;wsp:rsid wsp:val=&quot;00DF4044&quot;/&gt;&lt;wsp:rsid wsp:val=&quot;00DF40B1&quot;/&gt;&lt;wsp:rsid wsp:val=&quot;00DF4207&quot;/&gt;&lt;wsp:rsid wsp:val=&quot;00DF434C&quot;/&gt;&lt;wsp:rsid wsp:val=&quot;00DF46D3&quot;/&gt;&lt;wsp:rsid wsp:val=&quot;00DF4843&quot;/&gt;&lt;wsp:rsid wsp:val=&quot;00DF4917&quot;/&gt;&lt;wsp:rsid wsp:val=&quot;00DF4B6A&quot;/&gt;&lt;wsp:rsid wsp:val=&quot;00DF4FF6&quot;/&gt;&lt;wsp:rsid wsp:val=&quot;00DF5093&quot;/&gt;&lt;wsp:rsid wsp:val=&quot;00DF5A9F&quot;/&gt;&lt;wsp:rsid wsp:val=&quot;00DF5B29&quot;/&gt;&lt;wsp:rsid wsp:val=&quot;00DF5E38&quot;/&gt;&lt;wsp:rsid wsp:val=&quot;00DF5F4C&quot;/&gt;&lt;wsp:rsid wsp:val=&quot;00DF6738&quot;/&gt;&lt;wsp:rsid wsp:val=&quot;00DF67A8&quot;/&gt;&lt;wsp:rsid wsp:val=&quot;00DF684C&quot;/&gt;&lt;wsp:rsid wsp:val=&quot;00DF6E8C&quot;/&gt;&lt;wsp:rsid wsp:val=&quot;00DF7096&quot;/&gt;&lt;wsp:rsid wsp:val=&quot;00DF7291&quot;/&gt;&lt;wsp:rsid wsp:val=&quot;00DF7641&quot;/&gt;&lt;wsp:rsid wsp:val=&quot;00DF7B7A&quot;/&gt;&lt;wsp:rsid wsp:val=&quot;00DF7BD8&quot;/&gt;&lt;wsp:rsid wsp:val=&quot;00E000FC&quot;/&gt;&lt;wsp:rsid wsp:val=&quot;00E002D4&quot;/&gt;&lt;wsp:rsid wsp:val=&quot;00E003F0&quot;/&gt;&lt;wsp:rsid wsp:val=&quot;00E004BC&quot;/&gt;&lt;wsp:rsid wsp:val=&quot;00E004E3&quot;/&gt;&lt;wsp:rsid wsp:val=&quot;00E00546&quot;/&gt;&lt;wsp:rsid wsp:val=&quot;00E00C6C&quot;/&gt;&lt;wsp:rsid wsp:val=&quot;00E00D26&quot;/&gt;&lt;wsp:rsid wsp:val=&quot;00E01057&quot;/&gt;&lt;wsp:rsid wsp:val=&quot;00E0133E&quot;/&gt;&lt;wsp:rsid wsp:val=&quot;00E01382&quot;/&gt;&lt;wsp:rsid wsp:val=&quot;00E016D0&quot;/&gt;&lt;wsp:rsid wsp:val=&quot;00E01AF0&quot;/&gt;&lt;wsp:rsid wsp:val=&quot;00E01D18&quot;/&gt;&lt;wsp:rsid wsp:val=&quot;00E01E90&quot;/&gt;&lt;wsp:rsid wsp:val=&quot;00E02092&quot;/&gt;&lt;wsp:rsid wsp:val=&quot;00E023A5&quot;/&gt;&lt;wsp:rsid wsp:val=&quot;00E0275F&quot;/&gt;&lt;wsp:rsid wsp:val=&quot;00E02763&quot;/&gt;&lt;wsp:rsid wsp:val=&quot;00E02828&quot;/&gt;&lt;wsp:rsid wsp:val=&quot;00E02835&quot;/&gt;&lt;wsp:rsid wsp:val=&quot;00E02F64&quot;/&gt;&lt;wsp:rsid wsp:val=&quot;00E0306D&quot;/&gt;&lt;wsp:rsid wsp:val=&quot;00E032CD&quot;/&gt;&lt;wsp:rsid wsp:val=&quot;00E0403B&quot;/&gt;&lt;wsp:rsid wsp:val=&quot;00E041C6&quot;/&gt;&lt;wsp:rsid wsp:val=&quot;00E045A2&quot;/&gt;&lt;wsp:rsid wsp:val=&quot;00E04E31&quot;/&gt;&lt;wsp:rsid wsp:val=&quot;00E04F6E&quot;/&gt;&lt;wsp:rsid wsp:val=&quot;00E04FB3&quot;/&gt;&lt;wsp:rsid wsp:val=&quot;00E04FD2&quot;/&gt;&lt;wsp:rsid wsp:val=&quot;00E050AF&quot;/&gt;&lt;wsp:rsid wsp:val=&quot;00E05912&quot;/&gt;&lt;wsp:rsid wsp:val=&quot;00E05985&quot;/&gt;&lt;wsp:rsid wsp:val=&quot;00E05AEB&quot;/&gt;&lt;wsp:rsid wsp:val=&quot;00E05B29&quot;/&gt;&lt;wsp:rsid wsp:val=&quot;00E05DE8&quot;/&gt;&lt;wsp:rsid wsp:val=&quot;00E05FEC&quot;/&gt;&lt;wsp:rsid wsp:val=&quot;00E064AF&quot;/&gt;&lt;wsp:rsid wsp:val=&quot;00E065E4&quot;/&gt;&lt;wsp:rsid wsp:val=&quot;00E066BF&quot;/&gt;&lt;wsp:rsid wsp:val=&quot;00E070E3&quot;/&gt;&lt;wsp:rsid wsp:val=&quot;00E07178&quot;/&gt;&lt;wsp:rsid wsp:val=&quot;00E076FC&quot;/&gt;&lt;wsp:rsid wsp:val=&quot;00E07BD7&quot;/&gt;&lt;wsp:rsid wsp:val=&quot;00E07EB7&quot;/&gt;&lt;wsp:rsid wsp:val=&quot;00E102B4&quot;/&gt;&lt;wsp:rsid wsp:val=&quot;00E1052D&quot;/&gt;&lt;wsp:rsid wsp:val=&quot;00E10782&quot;/&gt;&lt;wsp:rsid wsp:val=&quot;00E10972&quot;/&gt;&lt;wsp:rsid wsp:val=&quot;00E10BC4&quot;/&gt;&lt;wsp:rsid wsp:val=&quot;00E10D82&quot;/&gt;&lt;wsp:rsid wsp:val=&quot;00E11087&quot;/&gt;&lt;wsp:rsid wsp:val=&quot;00E11230&quot;/&gt;&lt;wsp:rsid wsp:val=&quot;00E11857&quot;/&gt;&lt;wsp:rsid wsp:val=&quot;00E12456&quot;/&gt;&lt;wsp:rsid wsp:val=&quot;00E12984&quot;/&gt;&lt;wsp:rsid wsp:val=&quot;00E12A92&quot;/&gt;&lt;wsp:rsid wsp:val=&quot;00E12EF0&quot;/&gt;&lt;wsp:rsid wsp:val=&quot;00E13137&quot;/&gt;&lt;wsp:rsid wsp:val=&quot;00E13634&quot;/&gt;&lt;wsp:rsid wsp:val=&quot;00E136D9&quot;/&gt;&lt;wsp:rsid wsp:val=&quot;00E138F6&quot;/&gt;&lt;wsp:rsid wsp:val=&quot;00E13AE0&quot;/&gt;&lt;wsp:rsid wsp:val=&quot;00E13B06&quot;/&gt;&lt;wsp:rsid wsp:val=&quot;00E13BAD&quot;/&gt;&lt;wsp:rsid wsp:val=&quot;00E1411C&quot;/&gt;&lt;wsp:rsid wsp:val=&quot;00E142E1&quot;/&gt;&lt;wsp:rsid wsp:val=&quot;00E14408&quot;/&gt;&lt;wsp:rsid wsp:val=&quot;00E1447E&quot;/&gt;&lt;wsp:rsid wsp:val=&quot;00E14834&quot;/&gt;&lt;wsp:rsid wsp:val=&quot;00E14AF7&quot;/&gt;&lt;wsp:rsid wsp:val=&quot;00E14CD6&quot;/&gt;&lt;wsp:rsid wsp:val=&quot;00E1503B&quot;/&gt;&lt;wsp:rsid wsp:val=&quot;00E150D9&quot;/&gt;&lt;wsp:rsid wsp:val=&quot;00E150DB&quot;/&gt;&lt;wsp:rsid wsp:val=&quot;00E1511D&quot;/&gt;&lt;wsp:rsid wsp:val=&quot;00E15650&quot;/&gt;&lt;wsp:rsid wsp:val=&quot;00E15808&quot;/&gt;&lt;wsp:rsid wsp:val=&quot;00E1587D&quot;/&gt;&lt;wsp:rsid wsp:val=&quot;00E15AFB&quot;/&gt;&lt;wsp:rsid wsp:val=&quot;00E15CDF&quot;/&gt;&lt;wsp:rsid wsp:val=&quot;00E15EDF&quot;/&gt;&lt;wsp:rsid wsp:val=&quot;00E161E3&quot;/&gt;&lt;wsp:rsid wsp:val=&quot;00E16229&quot;/&gt;&lt;wsp:rsid wsp:val=&quot;00E16516&quot;/&gt;&lt;wsp:rsid wsp:val=&quot;00E16823&quot;/&gt;&lt;wsp:rsid wsp:val=&quot;00E16954&quot;/&gt;&lt;wsp:rsid wsp:val=&quot;00E169FC&quot;/&gt;&lt;wsp:rsid wsp:val=&quot;00E16A1C&quot;/&gt;&lt;wsp:rsid wsp:val=&quot;00E16BC6&quot;/&gt;&lt;wsp:rsid wsp:val=&quot;00E16C47&quot;/&gt;&lt;wsp:rsid wsp:val=&quot;00E16F33&quot;/&gt;&lt;wsp:rsid wsp:val=&quot;00E173C7&quot;/&gt;&lt;wsp:rsid wsp:val=&quot;00E174AF&quot;/&gt;&lt;wsp:rsid wsp:val=&quot;00E178E7&quot;/&gt;&lt;wsp:rsid wsp:val=&quot;00E17A0D&quot;/&gt;&lt;wsp:rsid wsp:val=&quot;00E17D43&quot;/&gt;&lt;wsp:rsid wsp:val=&quot;00E17D85&quot;/&gt;&lt;wsp:rsid wsp:val=&quot;00E17FCA&quot;/&gt;&lt;wsp:rsid wsp:val=&quot;00E200EA&quot;/&gt;&lt;wsp:rsid wsp:val=&quot;00E201A7&quot;/&gt;&lt;wsp:rsid wsp:val=&quot;00E2023E&quot;/&gt;&lt;wsp:rsid wsp:val=&quot;00E2038D&quot;/&gt;&lt;wsp:rsid wsp:val=&quot;00E207F2&quot;/&gt;&lt;wsp:rsid wsp:val=&quot;00E20EE9&quot;/&gt;&lt;wsp:rsid wsp:val=&quot;00E210ED&quot;/&gt;&lt;wsp:rsid wsp:val=&quot;00E21145&quot;/&gt;&lt;wsp:rsid wsp:val=&quot;00E213F6&quot;/&gt;&lt;wsp:rsid wsp:val=&quot;00E2161B&quot;/&gt;&lt;wsp:rsid wsp:val=&quot;00E2164C&quot;/&gt;&lt;wsp:rsid wsp:val=&quot;00E21696&quot;/&gt;&lt;wsp:rsid wsp:val=&quot;00E216ED&quot;/&gt;&lt;wsp:rsid wsp:val=&quot;00E21DAE&quot;/&gt;&lt;wsp:rsid wsp:val=&quot;00E21E19&quot;/&gt;&lt;wsp:rsid wsp:val=&quot;00E21EB8&quot;/&gt;&lt;wsp:rsid wsp:val=&quot;00E220DE&quot;/&gt;&lt;wsp:rsid wsp:val=&quot;00E22114&quot;/&gt;&lt;wsp:rsid wsp:val=&quot;00E222F4&quot;/&gt;&lt;wsp:rsid wsp:val=&quot;00E2236A&quot;/&gt;&lt;wsp:rsid wsp:val=&quot;00E22B35&quot;/&gt;&lt;wsp:rsid wsp:val=&quot;00E22B39&quot;/&gt;&lt;wsp:rsid wsp:val=&quot;00E22FEC&quot;/&gt;&lt;wsp:rsid wsp:val=&quot;00E2378D&quot;/&gt;&lt;wsp:rsid wsp:val=&quot;00E23896&quot;/&gt;&lt;wsp:rsid wsp:val=&quot;00E23A20&quot;/&gt;&lt;wsp:rsid wsp:val=&quot;00E23DDB&quot;/&gt;&lt;wsp:rsid wsp:val=&quot;00E23E54&quot;/&gt;&lt;wsp:rsid wsp:val=&quot;00E23F14&quot;/&gt;&lt;wsp:rsid wsp:val=&quot;00E23FAF&quot;/&gt;&lt;wsp:rsid wsp:val=&quot;00E24006&quot;/&gt;&lt;wsp:rsid wsp:val=&quot;00E2407B&quot;/&gt;&lt;wsp:rsid wsp:val=&quot;00E240F0&quot;/&gt;&lt;wsp:rsid wsp:val=&quot;00E24309&quot;/&gt;&lt;wsp:rsid wsp:val=&quot;00E24467&quot;/&gt;&lt;wsp:rsid wsp:val=&quot;00E2449F&quot;/&gt;&lt;wsp:rsid wsp:val=&quot;00E2458E&quot;/&gt;&lt;wsp:rsid wsp:val=&quot;00E247DC&quot;/&gt;&lt;wsp:rsid wsp:val=&quot;00E24A48&quot;/&gt;&lt;wsp:rsid wsp:val=&quot;00E24D4B&quot;/&gt;&lt;wsp:rsid wsp:val=&quot;00E25572&quot;/&gt;&lt;wsp:rsid wsp:val=&quot;00E2578E&quot;/&gt;&lt;wsp:rsid wsp:val=&quot;00E259CD&quot;/&gt;&lt;wsp:rsid wsp:val=&quot;00E25C3E&quot;/&gt;&lt;wsp:rsid wsp:val=&quot;00E25FD3&quot;/&gt;&lt;wsp:rsid wsp:val=&quot;00E265E6&quot;/&gt;&lt;wsp:rsid wsp:val=&quot;00E26A6E&quot;/&gt;&lt;wsp:rsid wsp:val=&quot;00E26A96&quot;/&gt;&lt;wsp:rsid wsp:val=&quot;00E26E03&quot;/&gt;&lt;wsp:rsid wsp:val=&quot;00E26E9C&quot;/&gt;&lt;wsp:rsid wsp:val=&quot;00E270AE&quot;/&gt;&lt;wsp:rsid wsp:val=&quot;00E270C2&quot;/&gt;&lt;wsp:rsid wsp:val=&quot;00E2737D&quot;/&gt;&lt;wsp:rsid wsp:val=&quot;00E2748D&quot;/&gt;&lt;wsp:rsid wsp:val=&quot;00E2751C&quot;/&gt;&lt;wsp:rsid wsp:val=&quot;00E278D8&quot;/&gt;&lt;wsp:rsid wsp:val=&quot;00E279CB&quot;/&gt;&lt;wsp:rsid wsp:val=&quot;00E27A68&quot;/&gt;&lt;wsp:rsid wsp:val=&quot;00E27B08&quot;/&gt;&lt;wsp:rsid wsp:val=&quot;00E27B9F&quot;/&gt;&lt;wsp:rsid wsp:val=&quot;00E27BE9&quot;/&gt;&lt;wsp:rsid wsp:val=&quot;00E3023C&quot;/&gt;&lt;wsp:rsid wsp:val=&quot;00E30628&quot;/&gt;&lt;wsp:rsid wsp:val=&quot;00E30934&quot;/&gt;&lt;wsp:rsid wsp:val=&quot;00E30C4F&quot;/&gt;&lt;wsp:rsid wsp:val=&quot;00E30F09&quot;/&gt;&lt;wsp:rsid wsp:val=&quot;00E30F16&quot;/&gt;&lt;wsp:rsid wsp:val=&quot;00E31120&quot;/&gt;&lt;wsp:rsid wsp:val=&quot;00E315AB&quot;/&gt;&lt;wsp:rsid wsp:val=&quot;00E3194B&quot;/&gt;&lt;wsp:rsid wsp:val=&quot;00E31AA9&quot;/&gt;&lt;wsp:rsid wsp:val=&quot;00E31B6B&quot;/&gt;&lt;wsp:rsid wsp:val=&quot;00E320E2&quot;/&gt;&lt;wsp:rsid wsp:val=&quot;00E32CD9&quot;/&gt;&lt;wsp:rsid wsp:val=&quot;00E32D47&quot;/&gt;&lt;wsp:rsid wsp:val=&quot;00E32E37&quot;/&gt;&lt;wsp:rsid wsp:val=&quot;00E32F7F&quot;/&gt;&lt;wsp:rsid wsp:val=&quot;00E3373D&quot;/&gt;&lt;wsp:rsid wsp:val=&quot;00E33967&quot;/&gt;&lt;wsp:rsid wsp:val=&quot;00E33D89&quot;/&gt;&lt;wsp:rsid wsp:val=&quot;00E33F67&quot;/&gt;&lt;wsp:rsid wsp:val=&quot;00E33F7A&quot;/&gt;&lt;wsp:rsid wsp:val=&quot;00E340D3&quot;/&gt;&lt;wsp:rsid wsp:val=&quot;00E340E5&quot;/&gt;&lt;wsp:rsid wsp:val=&quot;00E341A8&quot;/&gt;&lt;wsp:rsid wsp:val=&quot;00E3440B&quot;/&gt;&lt;wsp:rsid wsp:val=&quot;00E34614&quot;/&gt;&lt;wsp:rsid wsp:val=&quot;00E346D1&quot;/&gt;&lt;wsp:rsid wsp:val=&quot;00E3477C&quot;/&gt;&lt;wsp:rsid wsp:val=&quot;00E34810&quot;/&gt;&lt;wsp:rsid wsp:val=&quot;00E34B7E&quot;/&gt;&lt;wsp:rsid wsp:val=&quot;00E34BD2&quot;/&gt;&lt;wsp:rsid wsp:val=&quot;00E34E3D&quot;/&gt;&lt;wsp:rsid wsp:val=&quot;00E34F49&quot;/&gt;&lt;wsp:rsid wsp:val=&quot;00E34F4F&quot;/&gt;&lt;wsp:rsid wsp:val=&quot;00E3502D&quot;/&gt;&lt;wsp:rsid wsp:val=&quot;00E354FF&quot;/&gt;&lt;wsp:rsid wsp:val=&quot;00E360A9&quot;/&gt;&lt;wsp:rsid wsp:val=&quot;00E360D3&quot;/&gt;&lt;wsp:rsid wsp:val=&quot;00E361B5&quot;/&gt;&lt;wsp:rsid wsp:val=&quot;00E3623E&quot;/&gt;&lt;wsp:rsid wsp:val=&quot;00E362E7&quot;/&gt;&lt;wsp:rsid wsp:val=&quot;00E370AA&quot;/&gt;&lt;wsp:rsid wsp:val=&quot;00E372E7&quot;/&gt;&lt;wsp:rsid wsp:val=&quot;00E37568&quot;/&gt;&lt;wsp:rsid wsp:val=&quot;00E3756E&quot;/&gt;&lt;wsp:rsid wsp:val=&quot;00E37834&quot;/&gt;&lt;wsp:rsid wsp:val=&quot;00E37D2D&quot;/&gt;&lt;wsp:rsid wsp:val=&quot;00E40504&quot;/&gt;&lt;wsp:rsid wsp:val=&quot;00E407C4&quot;/&gt;&lt;wsp:rsid wsp:val=&quot;00E407FE&quot;/&gt;&lt;wsp:rsid wsp:val=&quot;00E40EFE&quot;/&gt;&lt;wsp:rsid wsp:val=&quot;00E40F82&quot;/&gt;&lt;wsp:rsid wsp:val=&quot;00E41286&quot;/&gt;&lt;wsp:rsid wsp:val=&quot;00E415AB&quot;/&gt;&lt;wsp:rsid wsp:val=&quot;00E41E75&quot;/&gt;&lt;wsp:rsid wsp:val=&quot;00E421A4&quot;/&gt;&lt;wsp:rsid wsp:val=&quot;00E421F1&quot;/&gt;&lt;wsp:rsid wsp:val=&quot;00E4221D&quot;/&gt;&lt;wsp:rsid wsp:val=&quot;00E422EA&quot;/&gt;&lt;wsp:rsid wsp:val=&quot;00E42875&quot;/&gt;&lt;wsp:rsid wsp:val=&quot;00E42D0E&quot;/&gt;&lt;wsp:rsid wsp:val=&quot;00E42E45&quot;/&gt;&lt;wsp:rsid wsp:val=&quot;00E42FFD&quot;/&gt;&lt;wsp:rsid wsp:val=&quot;00E43124&quot;/&gt;&lt;wsp:rsid wsp:val=&quot;00E43249&quot;/&gt;&lt;wsp:rsid wsp:val=&quot;00E43308&quot;/&gt;&lt;wsp:rsid wsp:val=&quot;00E433BE&quot;/&gt;&lt;wsp:rsid wsp:val=&quot;00E438BB&quot;/&gt;&lt;wsp:rsid wsp:val=&quot;00E43A00&quot;/&gt;&lt;wsp:rsid wsp:val=&quot;00E43B21&quot;/&gt;&lt;wsp:rsid wsp:val=&quot;00E43DB6&quot;/&gt;&lt;wsp:rsid wsp:val=&quot;00E4406B&quot;/&gt;&lt;wsp:rsid wsp:val=&quot;00E44467&quot;/&gt;&lt;wsp:rsid wsp:val=&quot;00E444E7&quot;/&gt;&lt;wsp:rsid wsp:val=&quot;00E444EC&quot;/&gt;&lt;wsp:rsid wsp:val=&quot;00E445F0&quot;/&gt;&lt;wsp:rsid wsp:val=&quot;00E44860&quot;/&gt;&lt;wsp:rsid wsp:val=&quot;00E448D4&quot;/&gt;&lt;wsp:rsid wsp:val=&quot;00E4495D&quot;/&gt;&lt;wsp:rsid wsp:val=&quot;00E44993&quot;/&gt;&lt;wsp:rsid wsp:val=&quot;00E44997&quot;/&gt;&lt;wsp:rsid wsp:val=&quot;00E449AB&quot;/&gt;&lt;wsp:rsid wsp:val=&quot;00E44A05&quot;/&gt;&lt;wsp:rsid wsp:val=&quot;00E44ACB&quot;/&gt;&lt;wsp:rsid wsp:val=&quot;00E44B32&quot;/&gt;&lt;wsp:rsid wsp:val=&quot;00E44BA9&quot;/&gt;&lt;wsp:rsid wsp:val=&quot;00E4536F&quot;/&gt;&lt;wsp:rsid wsp:val=&quot;00E45462&quot;/&gt;&lt;wsp:rsid wsp:val=&quot;00E454BB&quot;/&gt;&lt;wsp:rsid wsp:val=&quot;00E459AB&quot;/&gt;&lt;wsp:rsid wsp:val=&quot;00E45B3F&quot;/&gt;&lt;wsp:rsid wsp:val=&quot;00E46060&quot;/&gt;&lt;wsp:rsid wsp:val=&quot;00E4615F&quot;/&gt;&lt;wsp:rsid wsp:val=&quot;00E464EA&quot;/&gt;&lt;wsp:rsid wsp:val=&quot;00E46553&quot;/&gt;&lt;wsp:rsid wsp:val=&quot;00E4695B&quot;/&gt;&lt;wsp:rsid wsp:val=&quot;00E46B4D&quot;/&gt;&lt;wsp:rsid wsp:val=&quot;00E46C2B&quot;/&gt;&lt;wsp:rsid wsp:val=&quot;00E477EC&quot;/&gt;&lt;wsp:rsid wsp:val=&quot;00E47871&quot;/&gt;&lt;wsp:rsid wsp:val=&quot;00E4794B&quot;/&gt;&lt;wsp:rsid wsp:val=&quot;00E4796F&quot;/&gt;&lt;wsp:rsid wsp:val=&quot;00E47A0D&quot;/&gt;&lt;wsp:rsid wsp:val=&quot;00E47F57&quot;/&gt;&lt;wsp:rsid wsp:val=&quot;00E50129&quot;/&gt;&lt;wsp:rsid wsp:val=&quot;00E5019B&quot;/&gt;&lt;wsp:rsid wsp:val=&quot;00E50D52&quot;/&gt;&lt;wsp:rsid wsp:val=&quot;00E50DF6&quot;/&gt;&lt;wsp:rsid wsp:val=&quot;00E50EDE&quot;/&gt;&lt;wsp:rsid wsp:val=&quot;00E51085&quot;/&gt;&lt;wsp:rsid wsp:val=&quot;00E512B3&quot;/&gt;&lt;wsp:rsid wsp:val=&quot;00E51372&quot;/&gt;&lt;wsp:rsid wsp:val=&quot;00E51CB6&quot;/&gt;&lt;wsp:rsid wsp:val=&quot;00E51DA8&quot;/&gt;&lt;wsp:rsid wsp:val=&quot;00E520B3&quot;/&gt;&lt;wsp:rsid wsp:val=&quot;00E5217F&quot;/&gt;&lt;wsp:rsid wsp:val=&quot;00E5219A&quot;/&gt;&lt;wsp:rsid wsp:val=&quot;00E521DE&quot;/&gt;&lt;wsp:rsid wsp:val=&quot;00E52208&quot;/&gt;&lt;wsp:rsid wsp:val=&quot;00E52296&quot;/&gt;&lt;wsp:rsid wsp:val=&quot;00E525F7&quot;/&gt;&lt;wsp:rsid wsp:val=&quot;00E52A16&quot;/&gt;&lt;wsp:rsid wsp:val=&quot;00E533AA&quot;/&gt;&lt;wsp:rsid wsp:val=&quot;00E53519&quot;/&gt;&lt;wsp:rsid wsp:val=&quot;00E53772&quot;/&gt;&lt;wsp:rsid wsp:val=&quot;00E53B27&quot;/&gt;&lt;wsp:rsid wsp:val=&quot;00E53B75&quot;/&gt;&lt;wsp:rsid wsp:val=&quot;00E53BFA&quot;/&gt;&lt;wsp:rsid wsp:val=&quot;00E53F5E&quot;/&gt;&lt;wsp:rsid wsp:val=&quot;00E54159&quot;/&gt;&lt;wsp:rsid wsp:val=&quot;00E5416E&quot;/&gt;&lt;wsp:rsid wsp:val=&quot;00E541EF&quot;/&gt;&lt;wsp:rsid wsp:val=&quot;00E54220&quot;/&gt;&lt;wsp:rsid wsp:val=&quot;00E543A0&quot;/&gt;&lt;wsp:rsid wsp:val=&quot;00E5443D&quot;/&gt;&lt;wsp:rsid wsp:val=&quot;00E544D9&quot;/&gt;&lt;wsp:rsid wsp:val=&quot;00E54604&quot;/&gt;&lt;wsp:rsid wsp:val=&quot;00E54674&quot;/&gt;&lt;wsp:rsid wsp:val=&quot;00E54BFB&quot;/&gt;&lt;wsp:rsid wsp:val=&quot;00E54C86&quot;/&gt;&lt;wsp:rsid wsp:val=&quot;00E54D64&quot;/&gt;&lt;wsp:rsid wsp:val=&quot;00E54DA4&quot;/&gt;&lt;wsp:rsid wsp:val=&quot;00E54DC2&quot;/&gt;&lt;wsp:rsid wsp:val=&quot;00E54F5C&quot;/&gt;&lt;wsp:rsid wsp:val=&quot;00E5595D&quot;/&gt;&lt;wsp:rsid wsp:val=&quot;00E55CDD&quot;/&gt;&lt;wsp:rsid wsp:val=&quot;00E56549&quot;/&gt;&lt;wsp:rsid wsp:val=&quot;00E5669C&quot;/&gt;&lt;wsp:rsid wsp:val=&quot;00E56998&quot;/&gt;&lt;wsp:rsid wsp:val=&quot;00E56A88&quot;/&gt;&lt;wsp:rsid wsp:val=&quot;00E56BE2&quot;/&gt;&lt;wsp:rsid wsp:val=&quot;00E56C0E&quot;/&gt;&lt;wsp:rsid wsp:val=&quot;00E56D50&quot;/&gt;&lt;wsp:rsid wsp:val=&quot;00E56E5D&quot;/&gt;&lt;wsp:rsid wsp:val=&quot;00E57141&quot;/&gt;&lt;wsp:rsid wsp:val=&quot;00E574B8&quot;/&gt;&lt;wsp:rsid wsp:val=&quot;00E57A74&quot;/&gt;&lt;wsp:rsid wsp:val=&quot;00E57BD5&quot;/&gt;&lt;wsp:rsid wsp:val=&quot;00E607AF&quot;/&gt;&lt;wsp:rsid wsp:val=&quot;00E60990&quot;/&gt;&lt;wsp:rsid wsp:val=&quot;00E609AB&quot;/&gt;&lt;wsp:rsid wsp:val=&quot;00E60C6B&quot;/&gt;&lt;wsp:rsid wsp:val=&quot;00E60DB4&quot;/&gt;&lt;wsp:rsid wsp:val=&quot;00E610F1&quot;/&gt;&lt;wsp:rsid wsp:val=&quot;00E6134B&quot;/&gt;&lt;wsp:rsid wsp:val=&quot;00E61733&quot;/&gt;&lt;wsp:rsid wsp:val=&quot;00E6199E&quot;/&gt;&lt;wsp:rsid wsp:val=&quot;00E61B99&quot;/&gt;&lt;wsp:rsid wsp:val=&quot;00E61C40&quot;/&gt;&lt;wsp:rsid wsp:val=&quot;00E61D25&quot;/&gt;&lt;wsp:rsid wsp:val=&quot;00E6200A&quot;/&gt;&lt;wsp:rsid wsp:val=&quot;00E6229E&quot;/&gt;&lt;wsp:rsid wsp:val=&quot;00E62435&quot;/&gt;&lt;wsp:rsid wsp:val=&quot;00E62650&quot;/&gt;&lt;wsp:rsid wsp:val=&quot;00E626CF&quot;/&gt;&lt;wsp:rsid wsp:val=&quot;00E62A16&quot;/&gt;&lt;wsp:rsid wsp:val=&quot;00E62B61&quot;/&gt;&lt;wsp:rsid wsp:val=&quot;00E62D69&quot;/&gt;&lt;wsp:rsid wsp:val=&quot;00E62DAF&quot;/&gt;&lt;wsp:rsid wsp:val=&quot;00E63107&quot;/&gt;&lt;wsp:rsid wsp:val=&quot;00E631CD&quot;/&gt;&lt;wsp:rsid wsp:val=&quot;00E6331E&quot;/&gt;&lt;wsp:rsid wsp:val=&quot;00E63569&quot;/&gt;&lt;wsp:rsid wsp:val=&quot;00E6362F&quot;/&gt;&lt;wsp:rsid wsp:val=&quot;00E63C27&quot;/&gt;&lt;wsp:rsid wsp:val=&quot;00E63F7E&quot;/&gt;&lt;wsp:rsid wsp:val=&quot;00E64142&quot;/&gt;&lt;wsp:rsid wsp:val=&quot;00E64162&quot;/&gt;&lt;wsp:rsid wsp:val=&quot;00E64757&quot;/&gt;&lt;wsp:rsid wsp:val=&quot;00E64791&quot;/&gt;&lt;wsp:rsid wsp:val=&quot;00E64B4A&quot;/&gt;&lt;wsp:rsid wsp:val=&quot;00E64D6C&quot;/&gt;&lt;wsp:rsid wsp:val=&quot;00E65035&quot;/&gt;&lt;wsp:rsid wsp:val=&quot;00E65084&quot;/&gt;&lt;wsp:rsid wsp:val=&quot;00E65348&quot;/&gt;&lt;wsp:rsid wsp:val=&quot;00E6536E&quot;/&gt;&lt;wsp:rsid wsp:val=&quot;00E6591D&quot;/&gt;&lt;wsp:rsid wsp:val=&quot;00E66107&quot;/&gt;&lt;wsp:rsid wsp:val=&quot;00E665EB&quot;/&gt;&lt;wsp:rsid wsp:val=&quot;00E66642&quot;/&gt;&lt;wsp:rsid wsp:val=&quot;00E66AA0&quot;/&gt;&lt;wsp:rsid wsp:val=&quot;00E66ADC&quot;/&gt;&lt;wsp:rsid wsp:val=&quot;00E66B6B&quot;/&gt;&lt;wsp:rsid wsp:val=&quot;00E66EB2&quot;/&gt;&lt;wsp:rsid wsp:val=&quot;00E66F14&quot;/&gt;&lt;wsp:rsid wsp:val=&quot;00E66FCC&quot;/&gt;&lt;wsp:rsid wsp:val=&quot;00E67066&quot;/&gt;&lt;wsp:rsid wsp:val=&quot;00E672C5&quot;/&gt;&lt;wsp:rsid wsp:val=&quot;00E677EC&quot;/&gt;&lt;wsp:rsid wsp:val=&quot;00E67B38&quot;/&gt;&lt;wsp:rsid wsp:val=&quot;00E67B47&quot;/&gt;&lt;wsp:rsid wsp:val=&quot;00E70041&quot;/&gt;&lt;wsp:rsid wsp:val=&quot;00E703C4&quot;/&gt;&lt;wsp:rsid wsp:val=&quot;00E706D1&quot;/&gt;&lt;wsp:rsid wsp:val=&quot;00E7080C&quot;/&gt;&lt;wsp:rsid wsp:val=&quot;00E7090E&quot;/&gt;&lt;wsp:rsid wsp:val=&quot;00E70D2E&quot;/&gt;&lt;wsp:rsid wsp:val=&quot;00E70DA7&quot;/&gt;&lt;wsp:rsid wsp:val=&quot;00E70E01&quot;/&gt;&lt;wsp:rsid wsp:val=&quot;00E70F04&quot;/&gt;&lt;wsp:rsid wsp:val=&quot;00E7134B&quot;/&gt;&lt;wsp:rsid wsp:val=&quot;00E7159C&quot;/&gt;&lt;wsp:rsid wsp:val=&quot;00E71723&quot;/&gt;&lt;wsp:rsid wsp:val=&quot;00E718FB&quot;/&gt;&lt;wsp:rsid wsp:val=&quot;00E71E50&quot;/&gt;&lt;wsp:rsid wsp:val=&quot;00E71F0C&quot;/&gt;&lt;wsp:rsid wsp:val=&quot;00E72081&quot;/&gt;&lt;wsp:rsid wsp:val=&quot;00E72153&quot;/&gt;&lt;wsp:rsid wsp:val=&quot;00E7240F&quot;/&gt;&lt;wsp:rsid wsp:val=&quot;00E72486&quot;/&gt;&lt;wsp:rsid wsp:val=&quot;00E72676&quot;/&gt;&lt;wsp:rsid wsp:val=&quot;00E72A2B&quot;/&gt;&lt;wsp:rsid wsp:val=&quot;00E72A32&quot;/&gt;&lt;wsp:rsid wsp:val=&quot;00E72FD5&quot;/&gt;&lt;wsp:rsid wsp:val=&quot;00E72FF1&quot;/&gt;&lt;wsp:rsid wsp:val=&quot;00E730DE&quot;/&gt;&lt;wsp:rsid wsp:val=&quot;00E73304&quot;/&gt;&lt;wsp:rsid wsp:val=&quot;00E73445&quot;/&gt;&lt;wsp:rsid wsp:val=&quot;00E73449&quot;/&gt;&lt;wsp:rsid wsp:val=&quot;00E7344B&quot;/&gt;&lt;wsp:rsid wsp:val=&quot;00E73994&quot;/&gt;&lt;wsp:rsid wsp:val=&quot;00E73B86&quot;/&gt;&lt;wsp:rsid wsp:val=&quot;00E73C44&quot;/&gt;&lt;wsp:rsid wsp:val=&quot;00E74073&quot;/&gt;&lt;wsp:rsid wsp:val=&quot;00E74345&quot;/&gt;&lt;wsp:rsid wsp:val=&quot;00E746B1&quot;/&gt;&lt;wsp:rsid wsp:val=&quot;00E7482E&quot;/&gt;&lt;wsp:rsid wsp:val=&quot;00E7499E&quot;/&gt;&lt;wsp:rsid wsp:val=&quot;00E74BAE&quot;/&gt;&lt;wsp:rsid wsp:val=&quot;00E74BC6&quot;/&gt;&lt;wsp:rsid wsp:val=&quot;00E75070&quot;/&gt;&lt;wsp:rsid wsp:val=&quot;00E75AB5&quot;/&gt;&lt;wsp:rsid wsp:val=&quot;00E75BC3&quot;/&gt;&lt;wsp:rsid wsp:val=&quot;00E75C03&quot;/&gt;&lt;wsp:rsid wsp:val=&quot;00E75DD1&quot;/&gt;&lt;wsp:rsid wsp:val=&quot;00E75E3C&quot;/&gt;&lt;wsp:rsid wsp:val=&quot;00E76200&quot;/&gt;&lt;wsp:rsid wsp:val=&quot;00E7667C&quot;/&gt;&lt;wsp:rsid wsp:val=&quot;00E7684A&quot;/&gt;&lt;wsp:rsid wsp:val=&quot;00E76AE4&quot;/&gt;&lt;wsp:rsid wsp:val=&quot;00E76C2B&quot;/&gt;&lt;wsp:rsid wsp:val=&quot;00E76D9E&quot;/&gt;&lt;wsp:rsid wsp:val=&quot;00E770C5&quot;/&gt;&lt;wsp:rsid wsp:val=&quot;00E77148&quot;/&gt;&lt;wsp:rsid wsp:val=&quot;00E772B6&quot;/&gt;&lt;wsp:rsid wsp:val=&quot;00E775EB&quot;/&gt;&lt;wsp:rsid wsp:val=&quot;00E77609&quot;/&gt;&lt;wsp:rsid wsp:val=&quot;00E777A8&quot;/&gt;&lt;wsp:rsid wsp:val=&quot;00E777E7&quot;/&gt;&lt;wsp:rsid wsp:val=&quot;00E779CD&quot;/&gt;&lt;wsp:rsid wsp:val=&quot;00E77D4D&quot;/&gt;&lt;wsp:rsid wsp:val=&quot;00E77DFB&quot;/&gt;&lt;wsp:rsid wsp:val=&quot;00E8012A&quot;/&gt;&lt;wsp:rsid wsp:val=&quot;00E80206&quot;/&gt;&lt;wsp:rsid wsp:val=&quot;00E80338&quot;/&gt;&lt;wsp:rsid wsp:val=&quot;00E80633&quot;/&gt;&lt;wsp:rsid wsp:val=&quot;00E80DBE&quot;/&gt;&lt;wsp:rsid wsp:val=&quot;00E81061&quot;/&gt;&lt;wsp:rsid wsp:val=&quot;00E81424&quot;/&gt;&lt;wsp:rsid wsp:val=&quot;00E819E7&quot;/&gt;&lt;wsp:rsid wsp:val=&quot;00E81B49&quot;/&gt;&lt;wsp:rsid wsp:val=&quot;00E81DAB&quot;/&gt;&lt;wsp:rsid wsp:val=&quot;00E82318&quot;/&gt;&lt;wsp:rsid wsp:val=&quot;00E82726&quot;/&gt;&lt;wsp:rsid wsp:val=&quot;00E828C8&quot;/&gt;&lt;wsp:rsid wsp:val=&quot;00E82D91&quot;/&gt;&lt;wsp:rsid wsp:val=&quot;00E82F25&quot;/&gt;&lt;wsp:rsid wsp:val=&quot;00E82FCD&quot;/&gt;&lt;wsp:rsid wsp:val=&quot;00E832F7&quot;/&gt;&lt;wsp:rsid wsp:val=&quot;00E83390&quot;/&gt;&lt;wsp:rsid wsp:val=&quot;00E83417&quot;/&gt;&lt;wsp:rsid wsp:val=&quot;00E83697&quot;/&gt;&lt;wsp:rsid wsp:val=&quot;00E83702&quot;/&gt;&lt;wsp:rsid wsp:val=&quot;00E8377D&quot;/&gt;&lt;wsp:rsid wsp:val=&quot;00E837D7&quot;/&gt;&lt;wsp:rsid wsp:val=&quot;00E83A29&quot;/&gt;&lt;wsp:rsid wsp:val=&quot;00E83D33&quot;/&gt;&lt;wsp:rsid wsp:val=&quot;00E83D5C&quot;/&gt;&lt;wsp:rsid wsp:val=&quot;00E83EBE&quot;/&gt;&lt;wsp:rsid wsp:val=&quot;00E84291&quot;/&gt;&lt;wsp:rsid wsp:val=&quot;00E8429F&quot;/&gt;&lt;wsp:rsid wsp:val=&quot;00E84629&quot;/&gt;&lt;wsp:rsid wsp:val=&quot;00E846DC&quot;/&gt;&lt;wsp:rsid wsp:val=&quot;00E8472F&quot;/&gt;&lt;wsp:rsid wsp:val=&quot;00E847EA&quot;/&gt;&lt;wsp:rsid wsp:val=&quot;00E84858&quot;/&gt;&lt;wsp:rsid wsp:val=&quot;00E8486A&quot;/&gt;&lt;wsp:rsid wsp:val=&quot;00E852D1&quot;/&gt;&lt;wsp:rsid wsp:val=&quot;00E85B51&quot;/&gt;&lt;wsp:rsid wsp:val=&quot;00E85C60&quot;/&gt;&lt;wsp:rsid wsp:val=&quot;00E8605B&quot;/&gt;&lt;wsp:rsid wsp:val=&quot;00E8665A&quot;/&gt;&lt;wsp:rsid wsp:val=&quot;00E8666A&quot;/&gt;&lt;wsp:rsid wsp:val=&quot;00E8679B&quot;/&gt;&lt;wsp:rsid wsp:val=&quot;00E86AF3&quot;/&gt;&lt;wsp:rsid wsp:val=&quot;00E86DF1&quot;/&gt;&lt;wsp:rsid wsp:val=&quot;00E86F41&quot;/&gt;&lt;wsp:rsid wsp:val=&quot;00E87198&quot;/&gt;&lt;wsp:rsid wsp:val=&quot;00E87964&quot;/&gt;&lt;wsp:rsid wsp:val=&quot;00E87B7E&quot;/&gt;&lt;wsp:rsid wsp:val=&quot;00E87F01&quot;/&gt;&lt;wsp:rsid wsp:val=&quot;00E9069D&quot;/&gt;&lt;wsp:rsid wsp:val=&quot;00E9085B&quot;/&gt;&lt;wsp:rsid wsp:val=&quot;00E90E61&quot;/&gt;&lt;wsp:rsid wsp:val=&quot;00E90E7E&quot;/&gt;&lt;wsp:rsid wsp:val=&quot;00E90E96&quot;/&gt;&lt;wsp:rsid wsp:val=&quot;00E90F88&quot;/&gt;&lt;wsp:rsid wsp:val=&quot;00E91593&quot;/&gt;&lt;wsp:rsid wsp:val=&quot;00E91C6F&quot;/&gt;&lt;wsp:rsid wsp:val=&quot;00E91CB9&quot;/&gt;&lt;wsp:rsid wsp:val=&quot;00E91D7C&quot;/&gt;&lt;wsp:rsid wsp:val=&quot;00E91E40&quot;/&gt;&lt;wsp:rsid wsp:val=&quot;00E920FE&quot;/&gt;&lt;wsp:rsid wsp:val=&quot;00E92936&quot;/&gt;&lt;wsp:rsid wsp:val=&quot;00E92A5B&quot;/&gt;&lt;wsp:rsid wsp:val=&quot;00E92A8D&quot;/&gt;&lt;wsp:rsid wsp:val=&quot;00E92AB5&quot;/&gt;&lt;wsp:rsid wsp:val=&quot;00E92C75&quot;/&gt;&lt;wsp:rsid wsp:val=&quot;00E92F20&quot;/&gt;&lt;wsp:rsid wsp:val=&quot;00E931DC&quot;/&gt;&lt;wsp:rsid wsp:val=&quot;00E93323&quot;/&gt;&lt;wsp:rsid wsp:val=&quot;00E93394&quot;/&gt;&lt;wsp:rsid wsp:val=&quot;00E93495&quot;/&gt;&lt;wsp:rsid wsp:val=&quot;00E93543&quot;/&gt;&lt;wsp:rsid wsp:val=&quot;00E9358E&quot;/&gt;&lt;wsp:rsid wsp:val=&quot;00E93B98&quot;/&gt;&lt;wsp:rsid wsp:val=&quot;00E93CEA&quot;/&gt;&lt;wsp:rsid wsp:val=&quot;00E93D62&quot;/&gt;&lt;wsp:rsid wsp:val=&quot;00E93F08&quot;/&gt;&lt;wsp:rsid wsp:val=&quot;00E941CA&quot;/&gt;&lt;wsp:rsid wsp:val=&quot;00E948E5&quot;/&gt;&lt;wsp:rsid wsp:val=&quot;00E9495A&quot;/&gt;&lt;wsp:rsid wsp:val=&quot;00E94A0C&quot;/&gt;&lt;wsp:rsid wsp:val=&quot;00E94C20&quot;/&gt;&lt;wsp:rsid wsp:val=&quot;00E94C5B&quot;/&gt;&lt;wsp:rsid wsp:val=&quot;00E94DC2&quot;/&gt;&lt;wsp:rsid wsp:val=&quot;00E952FF&quot;/&gt;&lt;wsp:rsid wsp:val=&quot;00E955D1&quot;/&gt;&lt;wsp:rsid wsp:val=&quot;00E95A7C&quot;/&gt;&lt;wsp:rsid wsp:val=&quot;00E95B22&quot;/&gt;&lt;wsp:rsid wsp:val=&quot;00E95C94&quot;/&gt;&lt;wsp:rsid wsp:val=&quot;00E95D3F&quot;/&gt;&lt;wsp:rsid wsp:val=&quot;00E95DAC&quot;/&gt;&lt;wsp:rsid wsp:val=&quot;00E95F4C&quot;/&gt;&lt;wsp:rsid wsp:val=&quot;00E9602E&quot;/&gt;&lt;wsp:rsid wsp:val=&quot;00E96508&quot;/&gt;&lt;wsp:rsid wsp:val=&quot;00E9650B&quot;/&gt;&lt;wsp:rsid wsp:val=&quot;00E96692&quot;/&gt;&lt;wsp:rsid wsp:val=&quot;00E968E7&quot;/&gt;&lt;wsp:rsid wsp:val=&quot;00E96D6A&quot;/&gt;&lt;wsp:rsid wsp:val=&quot;00E96F77&quot;/&gt;&lt;wsp:rsid wsp:val=&quot;00E97187&quot;/&gt;&lt;wsp:rsid wsp:val=&quot;00E97271&quot;/&gt;&lt;wsp:rsid wsp:val=&quot;00E973ED&quot;/&gt;&lt;wsp:rsid wsp:val=&quot;00E97408&quot;/&gt;&lt;wsp:rsid wsp:val=&quot;00E97543&quot;/&gt;&lt;wsp:rsid wsp:val=&quot;00E9764F&quot;/&gt;&lt;wsp:rsid wsp:val=&quot;00E97675&quot;/&gt;&lt;wsp:rsid wsp:val=&quot;00E97817&quot;/&gt;&lt;wsp:rsid wsp:val=&quot;00E97A01&quot;/&gt;&lt;wsp:rsid wsp:val=&quot;00E97BC3&quot;/&gt;&lt;wsp:rsid wsp:val=&quot;00E97BCA&quot;/&gt;&lt;wsp:rsid wsp:val=&quot;00E97CB4&quot;/&gt;&lt;wsp:rsid wsp:val=&quot;00EA041C&quot;/&gt;&lt;wsp:rsid wsp:val=&quot;00EA046C&quot;/&gt;&lt;wsp:rsid wsp:val=&quot;00EA0728&quot;/&gt;&lt;wsp:rsid wsp:val=&quot;00EA0990&quot;/&gt;&lt;wsp:rsid wsp:val=&quot;00EA0C85&quot;/&gt;&lt;wsp:rsid wsp:val=&quot;00EA11B2&quot;/&gt;&lt;wsp:rsid wsp:val=&quot;00EA15E8&quot;/&gt;&lt;wsp:rsid wsp:val=&quot;00EA1AA7&quot;/&gt;&lt;wsp:rsid wsp:val=&quot;00EA1E31&quot;/&gt;&lt;wsp:rsid wsp:val=&quot;00EA1EB8&quot;/&gt;&lt;wsp:rsid wsp:val=&quot;00EA2032&quot;/&gt;&lt;wsp:rsid wsp:val=&quot;00EA25B0&quot;/&gt;&lt;wsp:rsid wsp:val=&quot;00EA2CAB&quot;/&gt;&lt;wsp:rsid wsp:val=&quot;00EA2E2E&quot;/&gt;&lt;wsp:rsid wsp:val=&quot;00EA2E39&quot;/&gt;&lt;wsp:rsid wsp:val=&quot;00EA30F0&quot;/&gt;&lt;wsp:rsid wsp:val=&quot;00EA38B3&quot;/&gt;&lt;wsp:rsid wsp:val=&quot;00EA3AB3&quot;/&gt;&lt;wsp:rsid wsp:val=&quot;00EA3CCE&quot;/&gt;&lt;wsp:rsid wsp:val=&quot;00EA3D7B&quot;/&gt;&lt;wsp:rsid wsp:val=&quot;00EA3E63&quot;/&gt;&lt;wsp:rsid wsp:val=&quot;00EA3F58&quot;/&gt;&lt;wsp:rsid wsp:val=&quot;00EA421C&quot;/&gt;&lt;wsp:rsid wsp:val=&quot;00EA421E&quot;/&gt;&lt;wsp:rsid wsp:val=&quot;00EA4271&quot;/&gt;&lt;wsp:rsid wsp:val=&quot;00EA42B2&quot;/&gt;&lt;wsp:rsid wsp:val=&quot;00EA4361&quot;/&gt;&lt;wsp:rsid wsp:val=&quot;00EA4984&quot;/&gt;&lt;wsp:rsid wsp:val=&quot;00EA4F87&quot;/&gt;&lt;wsp:rsid wsp:val=&quot;00EA5418&quot;/&gt;&lt;wsp:rsid wsp:val=&quot;00EA5558&quot;/&gt;&lt;wsp:rsid wsp:val=&quot;00EA55B6&quot;/&gt;&lt;wsp:rsid wsp:val=&quot;00EA5700&quot;/&gt;&lt;wsp:rsid wsp:val=&quot;00EA5CFE&quot;/&gt;&lt;wsp:rsid wsp:val=&quot;00EA5F53&quot;/&gt;&lt;wsp:rsid wsp:val=&quot;00EA6195&quot;/&gt;&lt;wsp:rsid wsp:val=&quot;00EA63B2&quot;/&gt;&lt;wsp:rsid wsp:val=&quot;00EA678F&quot;/&gt;&lt;wsp:rsid wsp:val=&quot;00EA67BB&quot;/&gt;&lt;wsp:rsid wsp:val=&quot;00EA6A4D&quot;/&gt;&lt;wsp:rsid wsp:val=&quot;00EA6B36&quot;/&gt;&lt;wsp:rsid wsp:val=&quot;00EA6C9D&quot;/&gt;&lt;wsp:rsid wsp:val=&quot;00EA6DDF&quot;/&gt;&lt;wsp:rsid wsp:val=&quot;00EA6FC9&quot;/&gt;&lt;wsp:rsid wsp:val=&quot;00EA6FDA&quot;/&gt;&lt;wsp:rsid wsp:val=&quot;00EA71A6&quot;/&gt;&lt;wsp:rsid wsp:val=&quot;00EA74F8&quot;/&gt;&lt;wsp:rsid wsp:val=&quot;00EA7592&quot;/&gt;&lt;wsp:rsid wsp:val=&quot;00EA7766&quot;/&gt;&lt;wsp:rsid wsp:val=&quot;00EA77AD&quot;/&gt;&lt;wsp:rsid wsp:val=&quot;00EA79A6&quot;/&gt;&lt;wsp:rsid wsp:val=&quot;00EA7EBE&quot;/&gt;&lt;wsp:rsid wsp:val=&quot;00EB0483&quot;/&gt;&lt;wsp:rsid wsp:val=&quot;00EB0B43&quot;/&gt;&lt;wsp:rsid wsp:val=&quot;00EB0F49&quot;/&gt;&lt;wsp:rsid wsp:val=&quot;00EB0FA1&quot;/&gt;&lt;wsp:rsid wsp:val=&quot;00EB105F&quot;/&gt;&lt;wsp:rsid wsp:val=&quot;00EB10E7&quot;/&gt;&lt;wsp:rsid wsp:val=&quot;00EB11D2&quot;/&gt;&lt;wsp:rsid wsp:val=&quot;00EB148D&quot;/&gt;&lt;wsp:rsid wsp:val=&quot;00EB14E0&quot;/&gt;&lt;wsp:rsid wsp:val=&quot;00EB17CE&quot;/&gt;&lt;wsp:rsid wsp:val=&quot;00EB1A0F&quot;/&gt;&lt;wsp:rsid wsp:val=&quot;00EB1A13&quot;/&gt;&lt;wsp:rsid wsp:val=&quot;00EB1CD4&quot;/&gt;&lt;wsp:rsid wsp:val=&quot;00EB1D38&quot;/&gt;&lt;wsp:rsid wsp:val=&quot;00EB1EA3&quot;/&gt;&lt;wsp:rsid wsp:val=&quot;00EB1EAE&quot;/&gt;&lt;wsp:rsid wsp:val=&quot;00EB2179&quot;/&gt;&lt;wsp:rsid wsp:val=&quot;00EB22ED&quot;/&gt;&lt;wsp:rsid wsp:val=&quot;00EB2589&quot;/&gt;&lt;wsp:rsid wsp:val=&quot;00EB26C7&quot;/&gt;&lt;wsp:rsid wsp:val=&quot;00EB274F&quot;/&gt;&lt;wsp:rsid wsp:val=&quot;00EB29D7&quot;/&gt;&lt;wsp:rsid wsp:val=&quot;00EB29F5&quot;/&gt;&lt;wsp:rsid wsp:val=&quot;00EB2C76&quot;/&gt;&lt;wsp:rsid wsp:val=&quot;00EB2E86&quot;/&gt;&lt;wsp:rsid wsp:val=&quot;00EB2F02&quot;/&gt;&lt;wsp:rsid wsp:val=&quot;00EB2F58&quot;/&gt;&lt;wsp:rsid wsp:val=&quot;00EB303E&quot;/&gt;&lt;wsp:rsid wsp:val=&quot;00EB31D9&quot;/&gt;&lt;wsp:rsid wsp:val=&quot;00EB3237&quot;/&gt;&lt;wsp:rsid wsp:val=&quot;00EB323B&quot;/&gt;&lt;wsp:rsid wsp:val=&quot;00EB350F&quot;/&gt;&lt;wsp:rsid wsp:val=&quot;00EB3652&quot;/&gt;&lt;wsp:rsid wsp:val=&quot;00EB3788&quot;/&gt;&lt;wsp:rsid wsp:val=&quot;00EB38AF&quot;/&gt;&lt;wsp:rsid wsp:val=&quot;00EB3AC2&quot;/&gt;&lt;wsp:rsid wsp:val=&quot;00EB40FA&quot;/&gt;&lt;wsp:rsid wsp:val=&quot;00EB49D2&quot;/&gt;&lt;wsp:rsid wsp:val=&quot;00EB4CBB&quot;/&gt;&lt;wsp:rsid wsp:val=&quot;00EB4FD6&quot;/&gt;&lt;wsp:rsid wsp:val=&quot;00EB5308&quot;/&gt;&lt;wsp:rsid wsp:val=&quot;00EB5574&quot;/&gt;&lt;wsp:rsid wsp:val=&quot;00EB5952&quot;/&gt;&lt;wsp:rsid wsp:val=&quot;00EB5E97&quot;/&gt;&lt;wsp:rsid wsp:val=&quot;00EB5F41&quot;/&gt;&lt;wsp:rsid wsp:val=&quot;00EB61B5&quot;/&gt;&lt;wsp:rsid wsp:val=&quot;00EB695C&quot;/&gt;&lt;wsp:rsid wsp:val=&quot;00EB6B58&quot;/&gt;&lt;wsp:rsid wsp:val=&quot;00EB6C6B&quot;/&gt;&lt;wsp:rsid wsp:val=&quot;00EB7014&quot;/&gt;&lt;wsp:rsid wsp:val=&quot;00EB75CC&quot;/&gt;&lt;wsp:rsid wsp:val=&quot;00EB7C86&quot;/&gt;&lt;wsp:rsid wsp:val=&quot;00EB7D2C&quot;/&gt;&lt;wsp:rsid wsp:val=&quot;00EB7F86&quot;/&gt;&lt;wsp:rsid wsp:val=&quot;00EC02EE&quot;/&gt;&lt;wsp:rsid wsp:val=&quot;00EC071A&quot;/&gt;&lt;wsp:rsid wsp:val=&quot;00EC0732&quot;/&gt;&lt;wsp:rsid wsp:val=&quot;00EC091F&quot;/&gt;&lt;wsp:rsid wsp:val=&quot;00EC09F8&quot;/&gt;&lt;wsp:rsid wsp:val=&quot;00EC0A6E&quot;/&gt;&lt;wsp:rsid wsp:val=&quot;00EC0B71&quot;/&gt;&lt;wsp:rsid wsp:val=&quot;00EC0F0C&quot;/&gt;&lt;wsp:rsid wsp:val=&quot;00EC0FDA&quot;/&gt;&lt;wsp:rsid wsp:val=&quot;00EC101B&quot;/&gt;&lt;wsp:rsid wsp:val=&quot;00EC1047&quot;/&gt;&lt;wsp:rsid wsp:val=&quot;00EC143A&quot;/&gt;&lt;wsp:rsid wsp:val=&quot;00EC14DD&quot;/&gt;&lt;wsp:rsid wsp:val=&quot;00EC1756&quot;/&gt;&lt;wsp:rsid wsp:val=&quot;00EC17AD&quot;/&gt;&lt;wsp:rsid wsp:val=&quot;00EC18CA&quot;/&gt;&lt;wsp:rsid wsp:val=&quot;00EC1D96&quot;/&gt;&lt;wsp:rsid wsp:val=&quot;00EC200A&quot;/&gt;&lt;wsp:rsid wsp:val=&quot;00EC24B6&quot;/&gt;&lt;wsp:rsid wsp:val=&quot;00EC258A&quot;/&gt;&lt;wsp:rsid wsp:val=&quot;00EC2E68&quot;/&gt;&lt;wsp:rsid wsp:val=&quot;00EC30D2&quot;/&gt;&lt;wsp:rsid wsp:val=&quot;00EC3137&quot;/&gt;&lt;wsp:rsid wsp:val=&quot;00EC3281&quot;/&gt;&lt;wsp:rsid wsp:val=&quot;00EC3534&quot;/&gt;&lt;wsp:rsid wsp:val=&quot;00EC35E6&quot;/&gt;&lt;wsp:rsid wsp:val=&quot;00EC37A9&quot;/&gt;&lt;wsp:rsid wsp:val=&quot;00EC3917&quot;/&gt;&lt;wsp:rsid wsp:val=&quot;00EC3C86&quot;/&gt;&lt;wsp:rsid wsp:val=&quot;00EC3CDB&quot;/&gt;&lt;wsp:rsid wsp:val=&quot;00EC3E3A&quot;/&gt;&lt;wsp:rsid wsp:val=&quot;00EC3ED8&quot;/&gt;&lt;wsp:rsid wsp:val=&quot;00EC406A&quot;/&gt;&lt;wsp:rsid wsp:val=&quot;00EC41C0&quot;/&gt;&lt;wsp:rsid wsp:val=&quot;00EC4630&quot;/&gt;&lt;wsp:rsid wsp:val=&quot;00EC488F&quot;/&gt;&lt;wsp:rsid wsp:val=&quot;00EC4948&quot;/&gt;&lt;wsp:rsid wsp:val=&quot;00EC4D11&quot;/&gt;&lt;wsp:rsid wsp:val=&quot;00EC4E0A&quot;/&gt;&lt;wsp:rsid wsp:val=&quot;00EC4FCC&quot;/&gt;&lt;wsp:rsid wsp:val=&quot;00EC526C&quot;/&gt;&lt;wsp:rsid wsp:val=&quot;00EC5340&quot;/&gt;&lt;wsp:rsid wsp:val=&quot;00EC552C&quot;/&gt;&lt;wsp:rsid wsp:val=&quot;00EC5AF0&quot;/&gt;&lt;wsp:rsid wsp:val=&quot;00EC5CCD&quot;/&gt;&lt;wsp:rsid wsp:val=&quot;00EC620C&quot;/&gt;&lt;wsp:rsid wsp:val=&quot;00EC622D&quot;/&gt;&lt;wsp:rsid wsp:val=&quot;00EC64E5&quot;/&gt;&lt;wsp:rsid wsp:val=&quot;00EC65A3&quot;/&gt;&lt;wsp:rsid wsp:val=&quot;00EC67A3&quot;/&gt;&lt;wsp:rsid wsp:val=&quot;00EC6CE1&quot;/&gt;&lt;wsp:rsid wsp:val=&quot;00EC6EA9&quot;/&gt;&lt;wsp:rsid wsp:val=&quot;00EC79E7&quot;/&gt;&lt;wsp:rsid wsp:val=&quot;00EC7D0E&quot;/&gt;&lt;wsp:rsid wsp:val=&quot;00EC7D87&quot;/&gt;&lt;wsp:rsid wsp:val=&quot;00ED0029&quot;/&gt;&lt;wsp:rsid wsp:val=&quot;00ED066B&quot;/&gt;&lt;wsp:rsid wsp:val=&quot;00ED0719&quot;/&gt;&lt;wsp:rsid wsp:val=&quot;00ED0794&quot;/&gt;&lt;wsp:rsid wsp:val=&quot;00ED0AFD&quot;/&gt;&lt;wsp:rsid wsp:val=&quot;00ED0B6C&quot;/&gt;&lt;wsp:rsid wsp:val=&quot;00ED0CD1&quot;/&gt;&lt;wsp:rsid wsp:val=&quot;00ED0DDD&quot;/&gt;&lt;wsp:rsid wsp:val=&quot;00ED0F55&quot;/&gt;&lt;wsp:rsid wsp:val=&quot;00ED0F5F&quot;/&gt;&lt;wsp:rsid wsp:val=&quot;00ED1143&quot;/&gt;&lt;wsp:rsid wsp:val=&quot;00ED1564&quot;/&gt;&lt;wsp:rsid wsp:val=&quot;00ED15AC&quot;/&gt;&lt;wsp:rsid wsp:val=&quot;00ED1AE0&quot;/&gt;&lt;wsp:rsid wsp:val=&quot;00ED1DF6&quot;/&gt;&lt;wsp:rsid wsp:val=&quot;00ED1F02&quot;/&gt;&lt;wsp:rsid wsp:val=&quot;00ED2134&quot;/&gt;&lt;wsp:rsid wsp:val=&quot;00ED2159&quot;/&gt;&lt;wsp:rsid wsp:val=&quot;00ED2298&quot;/&gt;&lt;wsp:rsid wsp:val=&quot;00ED231B&quot;/&gt;&lt;wsp:rsid wsp:val=&quot;00ED25FC&quot;/&gt;&lt;wsp:rsid wsp:val=&quot;00ED2B29&quot;/&gt;&lt;wsp:rsid wsp:val=&quot;00ED2C74&quot;/&gt;&lt;wsp:rsid wsp:val=&quot;00ED2E32&quot;/&gt;&lt;wsp:rsid wsp:val=&quot;00ED2E52&quot;/&gt;&lt;wsp:rsid wsp:val=&quot;00ED3364&quot;/&gt;&lt;wsp:rsid wsp:val=&quot;00ED3396&quot;/&gt;&lt;wsp:rsid wsp:val=&quot;00ED3797&quot;/&gt;&lt;wsp:rsid wsp:val=&quot;00ED3B48&quot;/&gt;&lt;wsp:rsid wsp:val=&quot;00ED3B6A&quot;/&gt;&lt;wsp:rsid wsp:val=&quot;00ED3DEA&quot;/&gt;&lt;wsp:rsid wsp:val=&quot;00ED3EB7&quot;/&gt;&lt;wsp:rsid wsp:val=&quot;00ED3FEF&quot;/&gt;&lt;wsp:rsid wsp:val=&quot;00ED43FA&quot;/&gt;&lt;wsp:rsid wsp:val=&quot;00ED4533&quot;/&gt;&lt;wsp:rsid wsp:val=&quot;00ED47C1&quot;/&gt;&lt;wsp:rsid wsp:val=&quot;00ED4DC9&quot;/&gt;&lt;wsp:rsid wsp:val=&quot;00ED4E13&quot;/&gt;&lt;wsp:rsid wsp:val=&quot;00ED4F08&quot;/&gt;&lt;wsp:rsid wsp:val=&quot;00ED51BE&quot;/&gt;&lt;wsp:rsid wsp:val=&quot;00ED52CA&quot;/&gt;&lt;wsp:rsid wsp:val=&quot;00ED579A&quot;/&gt;&lt;wsp:rsid wsp:val=&quot;00ED5A99&quot;/&gt;&lt;wsp:rsid wsp:val=&quot;00ED5AE3&quot;/&gt;&lt;wsp:rsid wsp:val=&quot;00ED5BB9&quot;/&gt;&lt;wsp:rsid wsp:val=&quot;00ED5C3D&quot;/&gt;&lt;wsp:rsid wsp:val=&quot;00ED5EED&quot;/&gt;&lt;wsp:rsid wsp:val=&quot;00ED61F5&quot;/&gt;&lt;wsp:rsid wsp:val=&quot;00ED67B4&quot;/&gt;&lt;wsp:rsid wsp:val=&quot;00ED6891&quot;/&gt;&lt;wsp:rsid wsp:val=&quot;00ED6C1C&quot;/&gt;&lt;wsp:rsid wsp:val=&quot;00ED6CFC&quot;/&gt;&lt;wsp:rsid wsp:val=&quot;00ED6D05&quot;/&gt;&lt;wsp:rsid wsp:val=&quot;00ED6E4B&quot;/&gt;&lt;wsp:rsid wsp:val=&quot;00ED6E63&quot;/&gt;&lt;wsp:rsid wsp:val=&quot;00ED6F1F&quot;/&gt;&lt;wsp:rsid wsp:val=&quot;00ED7081&quot;/&gt;&lt;wsp:rsid wsp:val=&quot;00ED72EA&quot;/&gt;&lt;wsp:rsid wsp:val=&quot;00ED7429&quot;/&gt;&lt;wsp:rsid wsp:val=&quot;00ED746C&quot;/&gt;&lt;wsp:rsid wsp:val=&quot;00ED752E&quot;/&gt;&lt;wsp:rsid wsp:val=&quot;00ED768D&quot;/&gt;&lt;wsp:rsid wsp:val=&quot;00ED78B3&quot;/&gt;&lt;wsp:rsid wsp:val=&quot;00ED7B46&quot;/&gt;&lt;wsp:rsid wsp:val=&quot;00ED7F5C&quot;/&gt;&lt;wsp:rsid wsp:val=&quot;00EE0473&quot;/&gt;&lt;wsp:rsid wsp:val=&quot;00EE0741&quot;/&gt;&lt;wsp:rsid wsp:val=&quot;00EE0BC6&quot;/&gt;&lt;wsp:rsid wsp:val=&quot;00EE0CC6&quot;/&gt;&lt;wsp:rsid wsp:val=&quot;00EE0D23&quot;/&gt;&lt;wsp:rsid wsp:val=&quot;00EE0FDC&quot;/&gt;&lt;wsp:rsid wsp:val=&quot;00EE11A3&quot;/&gt;&lt;wsp:rsid wsp:val=&quot;00EE12A9&quot;/&gt;&lt;wsp:rsid wsp:val=&quot;00EE13A8&quot;/&gt;&lt;wsp:rsid wsp:val=&quot;00EE1A75&quot;/&gt;&lt;wsp:rsid wsp:val=&quot;00EE1B26&quot;/&gt;&lt;wsp:rsid wsp:val=&quot;00EE1B8A&quot;/&gt;&lt;wsp:rsid wsp:val=&quot;00EE1C2B&quot;/&gt;&lt;wsp:rsid wsp:val=&quot;00EE1DBA&quot;/&gt;&lt;wsp:rsid wsp:val=&quot;00EE1DDA&quot;/&gt;&lt;wsp:rsid wsp:val=&quot;00EE1E4B&quot;/&gt;&lt;wsp:rsid wsp:val=&quot;00EE2A21&quot;/&gt;&lt;wsp:rsid wsp:val=&quot;00EE2AB4&quot;/&gt;&lt;wsp:rsid wsp:val=&quot;00EE2B2B&quot;/&gt;&lt;wsp:rsid wsp:val=&quot;00EE2EC3&quot;/&gt;&lt;wsp:rsid wsp:val=&quot;00EE34BE&quot;/&gt;&lt;wsp:rsid wsp:val=&quot;00EE36AC&quot;/&gt;&lt;wsp:rsid wsp:val=&quot;00EE36B6&quot;/&gt;&lt;wsp:rsid wsp:val=&quot;00EE3A5B&quot;/&gt;&lt;wsp:rsid wsp:val=&quot;00EE3C15&quot;/&gt;&lt;wsp:rsid wsp:val=&quot;00EE3D9B&quot;/&gt;&lt;wsp:rsid wsp:val=&quot;00EE3DA1&quot;/&gt;&lt;wsp:rsid wsp:val=&quot;00EE3E5A&quot;/&gt;&lt;wsp:rsid wsp:val=&quot;00EE3F23&quot;/&gt;&lt;wsp:rsid wsp:val=&quot;00EE3FC6&quot;/&gt;&lt;wsp:rsid wsp:val=&quot;00EE4130&quot;/&gt;&lt;wsp:rsid wsp:val=&quot;00EE4E8A&quot;/&gt;&lt;wsp:rsid wsp:val=&quot;00EE4ED6&quot;/&gt;&lt;wsp:rsid wsp:val=&quot;00EE51E6&quot;/&gt;&lt;wsp:rsid wsp:val=&quot;00EE5306&quot;/&gt;&lt;wsp:rsid wsp:val=&quot;00EE54F2&quot;/&gt;&lt;wsp:rsid wsp:val=&quot;00EE56AE&quot;/&gt;&lt;wsp:rsid wsp:val=&quot;00EE58CC&quot;/&gt;&lt;wsp:rsid wsp:val=&quot;00EE5B93&quot;/&gt;&lt;wsp:rsid wsp:val=&quot;00EE5DA6&quot;/&gt;&lt;wsp:rsid wsp:val=&quot;00EE60C0&quot;/&gt;&lt;wsp:rsid wsp:val=&quot;00EE6132&quot;/&gt;&lt;wsp:rsid wsp:val=&quot;00EE65A3&quot;/&gt;&lt;wsp:rsid wsp:val=&quot;00EE65DF&quot;/&gt;&lt;wsp:rsid wsp:val=&quot;00EE6602&quot;/&gt;&lt;wsp:rsid wsp:val=&quot;00EE6775&quot;/&gt;&lt;wsp:rsid wsp:val=&quot;00EE688E&quot;/&gt;&lt;wsp:rsid wsp:val=&quot;00EE6C2F&quot;/&gt;&lt;wsp:rsid wsp:val=&quot;00EE6CC0&quot;/&gt;&lt;wsp:rsid wsp:val=&quot;00EE6D3C&quot;/&gt;&lt;wsp:rsid wsp:val=&quot;00EE6EE0&quot;/&gt;&lt;wsp:rsid wsp:val=&quot;00EE6FB9&quot;/&gt;&lt;wsp:rsid wsp:val=&quot;00EE7111&quot;/&gt;&lt;wsp:rsid wsp:val=&quot;00EE7140&quot;/&gt;&lt;wsp:rsid wsp:val=&quot;00EE71B6&quot;/&gt;&lt;wsp:rsid wsp:val=&quot;00EE727A&quot;/&gt;&lt;wsp:rsid wsp:val=&quot;00EE72C6&quot;/&gt;&lt;wsp:rsid wsp:val=&quot;00EE73AE&quot;/&gt;&lt;wsp:rsid wsp:val=&quot;00EE7474&quot;/&gt;&lt;wsp:rsid wsp:val=&quot;00EE769C&quot;/&gt;&lt;wsp:rsid wsp:val=&quot;00EE76EC&quot;/&gt;&lt;wsp:rsid wsp:val=&quot;00EE797A&quot;/&gt;&lt;wsp:rsid wsp:val=&quot;00EF006F&quot;/&gt;&lt;wsp:rsid wsp:val=&quot;00EF0137&quot;/&gt;&lt;wsp:rsid wsp:val=&quot;00EF01FE&quot;/&gt;&lt;wsp:rsid wsp:val=&quot;00EF0451&quot;/&gt;&lt;wsp:rsid wsp:val=&quot;00EF0500&quot;/&gt;&lt;wsp:rsid wsp:val=&quot;00EF0671&quot;/&gt;&lt;wsp:rsid wsp:val=&quot;00EF06C2&quot;/&gt;&lt;wsp:rsid wsp:val=&quot;00EF09DB&quot;/&gt;&lt;wsp:rsid wsp:val=&quot;00EF0B0A&quot;/&gt;&lt;wsp:rsid wsp:val=&quot;00EF0C12&quot;/&gt;&lt;wsp:rsid wsp:val=&quot;00EF0FB5&quot;/&gt;&lt;wsp:rsid wsp:val=&quot;00EF1325&quot;/&gt;&lt;wsp:rsid wsp:val=&quot;00EF139A&quot;/&gt;&lt;wsp:rsid wsp:val=&quot;00EF15E6&quot;/&gt;&lt;wsp:rsid wsp:val=&quot;00EF1956&quot;/&gt;&lt;wsp:rsid wsp:val=&quot;00EF1B30&quot;/&gt;&lt;wsp:rsid wsp:val=&quot;00EF1B31&quot;/&gt;&lt;wsp:rsid wsp:val=&quot;00EF2350&quot;/&gt;&lt;wsp:rsid wsp:val=&quot;00EF236B&quot;/&gt;&lt;wsp:rsid wsp:val=&quot;00EF252D&quot;/&gt;&lt;wsp:rsid wsp:val=&quot;00EF2913&quot;/&gt;&lt;wsp:rsid wsp:val=&quot;00EF298E&quot;/&gt;&lt;wsp:rsid wsp:val=&quot;00EF2C30&quot;/&gt;&lt;wsp:rsid wsp:val=&quot;00EF2C9B&quot;/&gt;&lt;wsp:rsid wsp:val=&quot;00EF2E2A&quot;/&gt;&lt;wsp:rsid wsp:val=&quot;00EF315C&quot;/&gt;&lt;wsp:rsid wsp:val=&quot;00EF3266&quot;/&gt;&lt;wsp:rsid wsp:val=&quot;00EF32B1&quot;/&gt;&lt;wsp:rsid wsp:val=&quot;00EF3357&quot;/&gt;&lt;wsp:rsid wsp:val=&quot;00EF34BD&quot;/&gt;&lt;wsp:rsid wsp:val=&quot;00EF3CA6&quot;/&gt;&lt;wsp:rsid wsp:val=&quot;00EF4063&quot;/&gt;&lt;wsp:rsid wsp:val=&quot;00EF4193&quot;/&gt;&lt;wsp:rsid wsp:val=&quot;00EF424F&quot;/&gt;&lt;wsp:rsid wsp:val=&quot;00EF42A9&quot;/&gt;&lt;wsp:rsid wsp:val=&quot;00EF4518&quot;/&gt;&lt;wsp:rsid wsp:val=&quot;00EF460E&quot;/&gt;&lt;wsp:rsid wsp:val=&quot;00EF48D6&quot;/&gt;&lt;wsp:rsid wsp:val=&quot;00EF4908&quot;/&gt;&lt;wsp:rsid wsp:val=&quot;00EF4BA4&quot;/&gt;&lt;wsp:rsid wsp:val=&quot;00EF4D69&quot;/&gt;&lt;wsp:rsid wsp:val=&quot;00EF4DF2&quot;/&gt;&lt;wsp:rsid wsp:val=&quot;00EF5240&quot;/&gt;&lt;wsp:rsid wsp:val=&quot;00EF5355&quot;/&gt;&lt;wsp:rsid wsp:val=&quot;00EF5383&quot;/&gt;&lt;wsp:rsid wsp:val=&quot;00EF5547&quot;/&gt;&lt;wsp:rsid wsp:val=&quot;00EF56E8&quot;/&gt;&lt;wsp:rsid wsp:val=&quot;00EF65CD&quot;/&gt;&lt;wsp:rsid wsp:val=&quot;00EF6601&quot;/&gt;&lt;wsp:rsid wsp:val=&quot;00EF66A0&quot;/&gt;&lt;wsp:rsid wsp:val=&quot;00EF69D1&quot;/&gt;&lt;wsp:rsid wsp:val=&quot;00EF6A73&quot;/&gt;&lt;wsp:rsid wsp:val=&quot;00EF6DA2&quot;/&gt;&lt;wsp:rsid wsp:val=&quot;00EF70A7&quot;/&gt;&lt;wsp:rsid wsp:val=&quot;00EF73A4&quot;/&gt;&lt;wsp:rsid wsp:val=&quot;00EF73C1&quot;/&gt;&lt;wsp:rsid wsp:val=&quot;00EF76E6&quot;/&gt;&lt;wsp:rsid wsp:val=&quot;00EF7ADF&quot;/&gt;&lt;wsp:rsid wsp:val=&quot;00EF7CCC&quot;/&gt;&lt;wsp:rsid wsp:val=&quot;00EF7DAB&quot;/&gt;&lt;wsp:rsid wsp:val=&quot;00EF7E63&quot;/&gt;&lt;wsp:rsid wsp:val=&quot;00EF7EDB&quot;/&gt;&lt;wsp:rsid wsp:val=&quot;00F00095&quot;/&gt;&lt;wsp:rsid wsp:val=&quot;00F000B7&quot;/&gt;&lt;wsp:rsid wsp:val=&quot;00F00231&quot;/&gt;&lt;wsp:rsid wsp:val=&quot;00F00278&quot;/&gt;&lt;wsp:rsid wsp:val=&quot;00F002FB&quot;/&gt;&lt;wsp:rsid wsp:val=&quot;00F003E8&quot;/&gt;&lt;wsp:rsid wsp:val=&quot;00F006F9&quot;/&gt;&lt;wsp:rsid wsp:val=&quot;00F00F5D&quot;/&gt;&lt;wsp:rsid wsp:val=&quot;00F00FF4&quot;/&gt;&lt;wsp:rsid wsp:val=&quot;00F01024&quot;/&gt;&lt;wsp:rsid wsp:val=&quot;00F015B2&quot;/&gt;&lt;wsp:rsid wsp:val=&quot;00F01C57&quot;/&gt;&lt;wsp:rsid wsp:val=&quot;00F0218D&quot;/&gt;&lt;wsp:rsid wsp:val=&quot;00F023E7&quot;/&gt;&lt;wsp:rsid wsp:val=&quot;00F02618&quot;/&gt;&lt;wsp:rsid wsp:val=&quot;00F02749&quot;/&gt;&lt;wsp:rsid wsp:val=&quot;00F02928&quot;/&gt;&lt;wsp:rsid wsp:val=&quot;00F02C8A&quot;/&gt;&lt;wsp:rsid wsp:val=&quot;00F02DBA&quot;/&gt;&lt;wsp:rsid wsp:val=&quot;00F02F06&quot;/&gt;&lt;wsp:rsid wsp:val=&quot;00F03345&quot;/&gt;&lt;wsp:rsid wsp:val=&quot;00F033B2&quot;/&gt;&lt;wsp:rsid wsp:val=&quot;00F0383F&quot;/&gt;&lt;wsp:rsid wsp:val=&quot;00F03B5F&quot;/&gt;&lt;wsp:rsid wsp:val=&quot;00F0407D&quot;/&gt;&lt;wsp:rsid wsp:val=&quot;00F04705&quot;/&gt;&lt;wsp:rsid wsp:val=&quot;00F04FFA&quot;/&gt;&lt;wsp:rsid wsp:val=&quot;00F0508A&quot;/&gt;&lt;wsp:rsid wsp:val=&quot;00F051A5&quot;/&gt;&lt;wsp:rsid wsp:val=&quot;00F05295&quot;/&gt;&lt;wsp:rsid wsp:val=&quot;00F05353&quot;/&gt;&lt;wsp:rsid wsp:val=&quot;00F05366&quot;/&gt;&lt;wsp:rsid wsp:val=&quot;00F054DE&quot;/&gt;&lt;wsp:rsid wsp:val=&quot;00F0558D&quot;/&gt;&lt;wsp:rsid wsp:val=&quot;00F05609&quot;/&gt;&lt;wsp:rsid wsp:val=&quot;00F05A7F&quot;/&gt;&lt;wsp:rsid wsp:val=&quot;00F05E38&quot;/&gt;&lt;wsp:rsid wsp:val=&quot;00F06327&quot;/&gt;&lt;wsp:rsid wsp:val=&quot;00F064B4&quot;/&gt;&lt;wsp:rsid wsp:val=&quot;00F064D0&quot;/&gt;&lt;wsp:rsid wsp:val=&quot;00F0663C&quot;/&gt;&lt;wsp:rsid wsp:val=&quot;00F06C8D&quot;/&gt;&lt;wsp:rsid wsp:val=&quot;00F06EC5&quot;/&gt;&lt;wsp:rsid wsp:val=&quot;00F071F1&quot;/&gt;&lt;wsp:rsid wsp:val=&quot;00F07215&quot;/&gt;&lt;wsp:rsid wsp:val=&quot;00F077B3&quot;/&gt;&lt;wsp:rsid wsp:val=&quot;00F07B5D&quot;/&gt;&lt;wsp:rsid wsp:val=&quot;00F07E5C&quot;/&gt;&lt;wsp:rsid wsp:val=&quot;00F102B1&quot;/&gt;&lt;wsp:rsid wsp:val=&quot;00F1032A&quot;/&gt;&lt;wsp:rsid wsp:val=&quot;00F1080D&quot;/&gt;&lt;wsp:rsid wsp:val=&quot;00F1131B&quot;/&gt;&lt;wsp:rsid wsp:val=&quot;00F11959&quot;/&gt;&lt;wsp:rsid wsp:val=&quot;00F11BEA&quot;/&gt;&lt;wsp:rsid wsp:val=&quot;00F11E99&quot;/&gt;&lt;wsp:rsid wsp:val=&quot;00F11F90&quot;/&gt;&lt;wsp:rsid wsp:val=&quot;00F120EC&quot;/&gt;&lt;wsp:rsid wsp:val=&quot;00F122F0&quot;/&gt;&lt;wsp:rsid wsp:val=&quot;00F1230D&quot;/&gt;&lt;wsp:rsid wsp:val=&quot;00F1243B&quot;/&gt;&lt;wsp:rsid wsp:val=&quot;00F124C2&quot;/&gt;&lt;wsp:rsid wsp:val=&quot;00F12708&quot;/&gt;&lt;wsp:rsid wsp:val=&quot;00F1291E&quot;/&gt;&lt;wsp:rsid wsp:val=&quot;00F12A6D&quot;/&gt;&lt;wsp:rsid wsp:val=&quot;00F12CBD&quot;/&gt;&lt;wsp:rsid wsp:val=&quot;00F12D4C&quot;/&gt;&lt;wsp:rsid wsp:val=&quot;00F12FBC&quot;/&gt;&lt;wsp:rsid wsp:val=&quot;00F131D6&quot;/&gt;&lt;wsp:rsid wsp:val=&quot;00F13947&quot;/&gt;&lt;wsp:rsid wsp:val=&quot;00F139F8&quot;/&gt;&lt;wsp:rsid wsp:val=&quot;00F13BD7&quot;/&gt;&lt;wsp:rsid wsp:val=&quot;00F13C15&quot;/&gt;&lt;wsp:rsid wsp:val=&quot;00F13F0F&quot;/&gt;&lt;wsp:rsid wsp:val=&quot;00F14728&quot;/&gt;&lt;wsp:rsid wsp:val=&quot;00F147C3&quot;/&gt;&lt;wsp:rsid wsp:val=&quot;00F14BBB&quot;/&gt;&lt;wsp:rsid wsp:val=&quot;00F14BC2&quot;/&gt;&lt;wsp:rsid wsp:val=&quot;00F15234&quot;/&gt;&lt;wsp:rsid wsp:val=&quot;00F1524D&quot;/&gt;&lt;wsp:rsid wsp:val=&quot;00F157FE&quot;/&gt;&lt;wsp:rsid wsp:val=&quot;00F158F6&quot;/&gt;&lt;wsp:rsid wsp:val=&quot;00F15B31&quot;/&gt;&lt;wsp:rsid wsp:val=&quot;00F15B9F&quot;/&gt;&lt;wsp:rsid wsp:val=&quot;00F15DD8&quot;/&gt;&lt;wsp:rsid wsp:val=&quot;00F161CB&quot;/&gt;&lt;wsp:rsid wsp:val=&quot;00F16634&quot;/&gt;&lt;wsp:rsid wsp:val=&quot;00F16855&quot;/&gt;&lt;wsp:rsid wsp:val=&quot;00F17972&quot;/&gt;&lt;wsp:rsid wsp:val=&quot;00F17BFC&quot;/&gt;&lt;wsp:rsid wsp:val=&quot;00F17D45&quot;/&gt;&lt;wsp:rsid wsp:val=&quot;00F17EBE&quot;/&gt;&lt;wsp:rsid wsp:val=&quot;00F201FC&quot;/&gt;&lt;wsp:rsid wsp:val=&quot;00F2066B&quot;/&gt;&lt;wsp:rsid wsp:val=&quot;00F206B9&quot;/&gt;&lt;wsp:rsid wsp:val=&quot;00F206E8&quot;/&gt;&lt;wsp:rsid wsp:val=&quot;00F208FF&quot;/&gt;&lt;wsp:rsid wsp:val=&quot;00F20A9F&quot;/&gt;&lt;wsp:rsid wsp:val=&quot;00F20B55&quot;/&gt;&lt;wsp:rsid wsp:val=&quot;00F20C09&quot;/&gt;&lt;wsp:rsid wsp:val=&quot;00F2126C&quot;/&gt;&lt;wsp:rsid wsp:val=&quot;00F213EA&quot;/&gt;&lt;wsp:rsid wsp:val=&quot;00F213FB&quot;/&gt;&lt;wsp:rsid wsp:val=&quot;00F215E8&quot;/&gt;&lt;wsp:rsid wsp:val=&quot;00F2189B&quot;/&gt;&lt;wsp:rsid wsp:val=&quot;00F21A57&quot;/&gt;&lt;wsp:rsid wsp:val=&quot;00F2205F&quot;/&gt;&lt;wsp:rsid wsp:val=&quot;00F2243D&quot;/&gt;&lt;wsp:rsid wsp:val=&quot;00F22779&quot;/&gt;&lt;wsp:rsid wsp:val=&quot;00F2279E&quot;/&gt;&lt;wsp:rsid wsp:val=&quot;00F22824&quot;/&gt;&lt;wsp:rsid wsp:val=&quot;00F22BA8&quot;/&gt;&lt;wsp:rsid wsp:val=&quot;00F22D84&quot;/&gt;&lt;wsp:rsid wsp:val=&quot;00F23289&quot;/&gt;&lt;wsp:rsid wsp:val=&quot;00F2349C&quot;/&gt;&lt;wsp:rsid wsp:val=&quot;00F2353D&quot;/&gt;&lt;wsp:rsid wsp:val=&quot;00F236C2&quot;/&gt;&lt;wsp:rsid wsp:val=&quot;00F23724&quot;/&gt;&lt;wsp:rsid wsp:val=&quot;00F23777&quot;/&gt;&lt;wsp:rsid wsp:val=&quot;00F23B41&quot;/&gt;&lt;wsp:rsid wsp:val=&quot;00F242C2&quot;/&gt;&lt;wsp:rsid wsp:val=&quot;00F248C5&quot;/&gt;&lt;wsp:rsid wsp:val=&quot;00F249F4&quot;/&gt;&lt;wsp:rsid wsp:val=&quot;00F24BC4&quot;/&gt;&lt;wsp:rsid wsp:val=&quot;00F24C48&quot;/&gt;&lt;wsp:rsid wsp:val=&quot;00F24DB8&quot;/&gt;&lt;wsp:rsid wsp:val=&quot;00F24DEC&quot;/&gt;&lt;wsp:rsid wsp:val=&quot;00F2503D&quot;/&gt;&lt;wsp:rsid wsp:val=&quot;00F251D3&quot;/&gt;&lt;wsp:rsid wsp:val=&quot;00F2546D&quot;/&gt;&lt;wsp:rsid wsp:val=&quot;00F259AA&quot;/&gt;&lt;wsp:rsid wsp:val=&quot;00F2608B&quot;/&gt;&lt;wsp:rsid wsp:val=&quot;00F2614F&quot;/&gt;&lt;wsp:rsid wsp:val=&quot;00F262F3&quot;/&gt;&lt;wsp:rsid wsp:val=&quot;00F263A7&quot;/&gt;&lt;wsp:rsid wsp:val=&quot;00F265AB&quot;/&gt;&lt;wsp:rsid wsp:val=&quot;00F2665F&quot;/&gt;&lt;wsp:rsid wsp:val=&quot;00F26B1E&quot;/&gt;&lt;wsp:rsid wsp:val=&quot;00F26E41&quot;/&gt;&lt;wsp:rsid wsp:val=&quot;00F26E93&quot;/&gt;&lt;wsp:rsid wsp:val=&quot;00F26F3B&quot;/&gt;&lt;wsp:rsid wsp:val=&quot;00F26F6C&quot;/&gt;&lt;wsp:rsid wsp:val=&quot;00F26F71&quot;/&gt;&lt;wsp:rsid wsp:val=&quot;00F26FA0&quot;/&gt;&lt;wsp:rsid wsp:val=&quot;00F27128&quot;/&gt;&lt;wsp:rsid wsp:val=&quot;00F271E3&quot;/&gt;&lt;wsp:rsid wsp:val=&quot;00F272EE&quot;/&gt;&lt;wsp:rsid wsp:val=&quot;00F273F1&quot;/&gt;&lt;wsp:rsid wsp:val=&quot;00F273FA&quot;/&gt;&lt;wsp:rsid wsp:val=&quot;00F27564&quot;/&gt;&lt;wsp:rsid wsp:val=&quot;00F278AB&quot;/&gt;&lt;wsp:rsid wsp:val=&quot;00F27A12&quot;/&gt;&lt;wsp:rsid wsp:val=&quot;00F27C1C&quot;/&gt;&lt;wsp:rsid wsp:val=&quot;00F27D03&quot;/&gt;&lt;wsp:rsid wsp:val=&quot;00F300E0&quot;/&gt;&lt;wsp:rsid wsp:val=&quot;00F3047B&quot;/&gt;&lt;wsp:rsid wsp:val=&quot;00F3055B&quot;/&gt;&lt;wsp:rsid wsp:val=&quot;00F3097E&quot;/&gt;&lt;wsp:rsid wsp:val=&quot;00F309E1&quot;/&gt;&lt;wsp:rsid wsp:val=&quot;00F30BDD&quot;/&gt;&lt;wsp:rsid wsp:val=&quot;00F30D75&quot;/&gt;&lt;wsp:rsid wsp:val=&quot;00F30EF5&quot;/&gt;&lt;wsp:rsid wsp:val=&quot;00F310D2&quot;/&gt;&lt;wsp:rsid wsp:val=&quot;00F31797&quot;/&gt;&lt;wsp:rsid wsp:val=&quot;00F317CF&quot;/&gt;&lt;wsp:rsid wsp:val=&quot;00F31835&quot;/&gt;&lt;wsp:rsid wsp:val=&quot;00F3192D&quot;/&gt;&lt;wsp:rsid wsp:val=&quot;00F31987&quot;/&gt;&lt;wsp:rsid wsp:val=&quot;00F31A39&quot;/&gt;&lt;wsp:rsid wsp:val=&quot;00F31E3F&quot;/&gt;&lt;wsp:rsid wsp:val=&quot;00F32009&quot;/&gt;&lt;wsp:rsid wsp:val=&quot;00F32241&quot;/&gt;&lt;wsp:rsid wsp:val=&quot;00F323E2&quot;/&gt;&lt;wsp:rsid wsp:val=&quot;00F32C34&quot;/&gt;&lt;wsp:rsid wsp:val=&quot;00F32D60&quot;/&gt;&lt;wsp:rsid wsp:val=&quot;00F332CF&quot;/&gt;&lt;wsp:rsid wsp:val=&quot;00F33337&quot;/&gt;&lt;wsp:rsid wsp:val=&quot;00F33422&quot;/&gt;&lt;wsp:rsid wsp:val=&quot;00F33A63&quot;/&gt;&lt;wsp:rsid wsp:val=&quot;00F33E98&quot;/&gt;&lt;wsp:rsid wsp:val=&quot;00F3420A&quot;/&gt;&lt;wsp:rsid wsp:val=&quot;00F34240&quot;/&gt;&lt;wsp:rsid wsp:val=&quot;00F34335&quot;/&gt;&lt;wsp:rsid wsp:val=&quot;00F3479B&quot;/&gt;&lt;wsp:rsid wsp:val=&quot;00F349B9&quot;/&gt;&lt;wsp:rsid wsp:val=&quot;00F34D8E&quot;/&gt;&lt;wsp:rsid wsp:val=&quot;00F34EF5&quot;/&gt;&lt;wsp:rsid wsp:val=&quot;00F34FA8&quot;/&gt;&lt;wsp:rsid wsp:val=&quot;00F34FFC&quot;/&gt;&lt;wsp:rsid wsp:val=&quot;00F3529B&quot;/&gt;&lt;wsp:rsid wsp:val=&quot;00F352C8&quot;/&gt;&lt;wsp:rsid wsp:val=&quot;00F357CF&quot;/&gt;&lt;wsp:rsid wsp:val=&quot;00F358C5&quot;/&gt;&lt;wsp:rsid wsp:val=&quot;00F359D9&quot;/&gt;&lt;wsp:rsid wsp:val=&quot;00F35A79&quot;/&gt;&lt;wsp:rsid wsp:val=&quot;00F35B35&quot;/&gt;&lt;wsp:rsid wsp:val=&quot;00F3635C&quot;/&gt;&lt;wsp:rsid wsp:val=&quot;00F363EE&quot;/&gt;&lt;wsp:rsid wsp:val=&quot;00F3642C&quot;/&gt;&lt;wsp:rsid wsp:val=&quot;00F365FB&quot;/&gt;&lt;wsp:rsid wsp:val=&quot;00F36688&quot;/&gt;&lt;wsp:rsid wsp:val=&quot;00F36E15&quot;/&gt;&lt;wsp:rsid wsp:val=&quot;00F370A2&quot;/&gt;&lt;wsp:rsid wsp:val=&quot;00F37109&quot;/&gt;&lt;wsp:rsid wsp:val=&quot;00F3730B&quot;/&gt;&lt;wsp:rsid wsp:val=&quot;00F37469&quot;/&gt;&lt;wsp:rsid wsp:val=&quot;00F3783E&quot;/&gt;&lt;wsp:rsid wsp:val=&quot;00F3796F&quot;/&gt;&lt;wsp:rsid wsp:val=&quot;00F402EF&quot;/&gt;&lt;wsp:rsid wsp:val=&quot;00F408C5&quot;/&gt;&lt;wsp:rsid wsp:val=&quot;00F40A8B&quot;/&gt;&lt;wsp:rsid wsp:val=&quot;00F40BB9&quot;/&gt;&lt;wsp:rsid wsp:val=&quot;00F4187A&quot;/&gt;&lt;wsp:rsid wsp:val=&quot;00F419D3&quot;/&gt;&lt;wsp:rsid wsp:val=&quot;00F419FB&quot;/&gt;&lt;wsp:rsid wsp:val=&quot;00F41CDF&quot;/&gt;&lt;wsp:rsid wsp:val=&quot;00F41CF9&quot;/&gt;&lt;wsp:rsid wsp:val=&quot;00F4245E&quot;/&gt;&lt;wsp:rsid wsp:val=&quot;00F4267E&quot;/&gt;&lt;wsp:rsid wsp:val=&quot;00F426F7&quot;/&gt;&lt;wsp:rsid wsp:val=&quot;00F4273E&quot;/&gt;&lt;wsp:rsid wsp:val=&quot;00F42A68&quot;/&gt;&lt;wsp:rsid wsp:val=&quot;00F42CF4&quot;/&gt;&lt;wsp:rsid wsp:val=&quot;00F42E66&quot;/&gt;&lt;wsp:rsid wsp:val=&quot;00F42E79&quot;/&gt;&lt;wsp:rsid wsp:val=&quot;00F42F10&quot;/&gt;&lt;wsp:rsid wsp:val=&quot;00F433B5&quot;/&gt;&lt;wsp:rsid wsp:val=&quot;00F434BA&quot;/&gt;&lt;wsp:rsid wsp:val=&quot;00F43545&quot;/&gt;&lt;wsp:rsid wsp:val=&quot;00F43598&quot;/&gt;&lt;wsp:rsid wsp:val=&quot;00F43999&quot;/&gt;&lt;wsp:rsid wsp:val=&quot;00F43EF8&quot;/&gt;&lt;wsp:rsid wsp:val=&quot;00F44220&quot;/&gt;&lt;wsp:rsid wsp:val=&quot;00F44358&quot;/&gt;&lt;wsp:rsid wsp:val=&quot;00F44461&quot;/&gt;&lt;wsp:rsid wsp:val=&quot;00F4449E&quot;/&gt;&lt;wsp:rsid wsp:val=&quot;00F449B0&quot;/&gt;&lt;wsp:rsid wsp:val=&quot;00F44C98&quot;/&gt;&lt;wsp:rsid wsp:val=&quot;00F44EC9&quot;/&gt;&lt;wsp:rsid wsp:val=&quot;00F44F47&quot;/&gt;&lt;wsp:rsid wsp:val=&quot;00F4531D&quot;/&gt;&lt;wsp:rsid wsp:val=&quot;00F45671&quot;/&gt;&lt;wsp:rsid wsp:val=&quot;00F45990&quot;/&gt;&lt;wsp:rsid wsp:val=&quot;00F459A5&quot;/&gt;&lt;wsp:rsid wsp:val=&quot;00F45A65&quot;/&gt;&lt;wsp:rsid wsp:val=&quot;00F45D87&quot;/&gt;&lt;wsp:rsid wsp:val=&quot;00F460ED&quot;/&gt;&lt;wsp:rsid wsp:val=&quot;00F4659E&quot;/&gt;&lt;wsp:rsid wsp:val=&quot;00F46727&quot;/&gt;&lt;wsp:rsid wsp:val=&quot;00F46BBB&quot;/&gt;&lt;wsp:rsid wsp:val=&quot;00F46D7A&quot;/&gt;&lt;wsp:rsid wsp:val=&quot;00F46DC9&quot;/&gt;&lt;wsp:rsid wsp:val=&quot;00F46E1A&quot;/&gt;&lt;wsp:rsid wsp:val=&quot;00F470C7&quot;/&gt;&lt;wsp:rsid wsp:val=&quot;00F470D6&quot;/&gt;&lt;wsp:rsid wsp:val=&quot;00F4778D&quot;/&gt;&lt;wsp:rsid wsp:val=&quot;00F47963&quot;/&gt;&lt;wsp:rsid wsp:val=&quot;00F47B85&quot;/&gt;&lt;wsp:rsid wsp:val=&quot;00F50278&quot;/&gt;&lt;wsp:rsid wsp:val=&quot;00F503F4&quot;/&gt;&lt;wsp:rsid wsp:val=&quot;00F5048F&quot;/&gt;&lt;wsp:rsid wsp:val=&quot;00F507F5&quot;/&gt;&lt;wsp:rsid wsp:val=&quot;00F50AD5&quot;/&gt;&lt;wsp:rsid wsp:val=&quot;00F50B35&quot;/&gt;&lt;wsp:rsid wsp:val=&quot;00F50D30&quot;/&gt;&lt;wsp:rsid wsp:val=&quot;00F50F2B&quot;/&gt;&lt;wsp:rsid wsp:val=&quot;00F50FCF&quot;/&gt;&lt;wsp:rsid wsp:val=&quot;00F511AC&quot;/&gt;&lt;wsp:rsid wsp:val=&quot;00F51405&quot;/&gt;&lt;wsp:rsid wsp:val=&quot;00F51674&quot;/&gt;&lt;wsp:rsid wsp:val=&quot;00F516CA&quot;/&gt;&lt;wsp:rsid wsp:val=&quot;00F51949&quot;/&gt;&lt;wsp:rsid wsp:val=&quot;00F51A36&quot;/&gt;&lt;wsp:rsid wsp:val=&quot;00F51AD5&quot;/&gt;&lt;wsp:rsid wsp:val=&quot;00F51BAA&quot;/&gt;&lt;wsp:rsid wsp:val=&quot;00F51D33&quot;/&gt;&lt;wsp:rsid wsp:val=&quot;00F51DA9&quot;/&gt;&lt;wsp:rsid wsp:val=&quot;00F51E0A&quot;/&gt;&lt;wsp:rsid wsp:val=&quot;00F5221F&quot;/&gt;&lt;wsp:rsid wsp:val=&quot;00F523BB&quot;/&gt;&lt;wsp:rsid wsp:val=&quot;00F5252E&quot;/&gt;&lt;wsp:rsid wsp:val=&quot;00F52540&quot;/&gt;&lt;wsp:rsid wsp:val=&quot;00F528E2&quot;/&gt;&lt;wsp:rsid wsp:val=&quot;00F52A75&quot;/&gt;&lt;wsp:rsid wsp:val=&quot;00F52AE4&quot;/&gt;&lt;wsp:rsid wsp:val=&quot;00F52CAE&quot;/&gt;&lt;wsp:rsid wsp:val=&quot;00F52EE0&quot;/&gt;&lt;wsp:rsid wsp:val=&quot;00F5309B&quot;/&gt;&lt;wsp:rsid wsp:val=&quot;00F53475&quot;/&gt;&lt;wsp:rsid wsp:val=&quot;00F53D1C&quot;/&gt;&lt;wsp:rsid wsp:val=&quot;00F53E7E&quot;/&gt;&lt;wsp:rsid wsp:val=&quot;00F54372&quot;/&gt;&lt;wsp:rsid wsp:val=&quot;00F543AE&quot;/&gt;&lt;wsp:rsid wsp:val=&quot;00F548A5&quot;/&gt;&lt;wsp:rsid wsp:val=&quot;00F54DE9&quot;/&gt;&lt;wsp:rsid wsp:val=&quot;00F55050&quot;/&gt;&lt;wsp:rsid wsp:val=&quot;00F551C3&quot;/&gt;&lt;wsp:rsid wsp:val=&quot;00F551F9&quot;/&gt;&lt;wsp:rsid wsp:val=&quot;00F559BD&quot;/&gt;&lt;wsp:rsid wsp:val=&quot;00F55A87&quot;/&gt;&lt;wsp:rsid wsp:val=&quot;00F55BE4&quot;/&gt;&lt;wsp:rsid wsp:val=&quot;00F55E83&quot;/&gt;&lt;wsp:rsid wsp:val=&quot;00F56589&quot;/&gt;&lt;wsp:rsid wsp:val=&quot;00F566CF&quot;/&gt;&lt;wsp:rsid wsp:val=&quot;00F56AD1&quot;/&gt;&lt;wsp:rsid wsp:val=&quot;00F56B73&quot;/&gt;&lt;wsp:rsid wsp:val=&quot;00F56EB2&quot;/&gt;&lt;wsp:rsid wsp:val=&quot;00F56F1A&quot;/&gt;&lt;wsp:rsid wsp:val=&quot;00F57349&quot;/&gt;&lt;wsp:rsid wsp:val=&quot;00F57431&quot;/&gt;&lt;wsp:rsid wsp:val=&quot;00F5761C&quot;/&gt;&lt;wsp:rsid wsp:val=&quot;00F577A5&quot;/&gt;&lt;wsp:rsid wsp:val=&quot;00F578D0&quot;/&gt;&lt;wsp:rsid wsp:val=&quot;00F57D61&quot;/&gt;&lt;wsp:rsid wsp:val=&quot;00F60238&quot;/&gt;&lt;wsp:rsid wsp:val=&quot;00F6033B&quot;/&gt;&lt;wsp:rsid wsp:val=&quot;00F6050B&quot;/&gt;&lt;wsp:rsid wsp:val=&quot;00F6073D&quot;/&gt;&lt;wsp:rsid wsp:val=&quot;00F60B99&quot;/&gt;&lt;wsp:rsid wsp:val=&quot;00F60D57&quot;/&gt;&lt;wsp:rsid wsp:val=&quot;00F60DE7&quot;/&gt;&lt;wsp:rsid wsp:val=&quot;00F61049&quot;/&gt;&lt;wsp:rsid wsp:val=&quot;00F6130A&quot;/&gt;&lt;wsp:rsid wsp:val=&quot;00F6154F&quot;/&gt;&lt;wsp:rsid wsp:val=&quot;00F618E3&quot;/&gt;&lt;wsp:rsid wsp:val=&quot;00F61B76&quot;/&gt;&lt;wsp:rsid wsp:val=&quot;00F61CCB&quot;/&gt;&lt;wsp:rsid wsp:val=&quot;00F61CE5&quot;/&gt;&lt;wsp:rsid wsp:val=&quot;00F61D93&quot;/&gt;&lt;wsp:rsid wsp:val=&quot;00F61EF0&quot;/&gt;&lt;wsp:rsid wsp:val=&quot;00F625B6&quot;/&gt;&lt;wsp:rsid wsp:val=&quot;00F62694&quot;/&gt;&lt;wsp:rsid wsp:val=&quot;00F6277C&quot;/&gt;&lt;wsp:rsid wsp:val=&quot;00F62859&quot;/&gt;&lt;wsp:rsid wsp:val=&quot;00F62A70&quot;/&gt;&lt;wsp:rsid wsp:val=&quot;00F62ABF&quot;/&gt;&lt;wsp:rsid wsp:val=&quot;00F62B05&quot;/&gt;&lt;wsp:rsid wsp:val=&quot;00F62BE2&quot;/&gt;&lt;wsp:rsid wsp:val=&quot;00F63118&quot;/&gt;&lt;wsp:rsid wsp:val=&quot;00F63198&quot;/&gt;&lt;wsp:rsid wsp:val=&quot;00F63E15&quot;/&gt;&lt;wsp:rsid wsp:val=&quot;00F63E2E&quot;/&gt;&lt;wsp:rsid wsp:val=&quot;00F643A7&quot;/&gt;&lt;wsp:rsid wsp:val=&quot;00F645B4&quot;/&gt;&lt;wsp:rsid wsp:val=&quot;00F64ED0&quot;/&gt;&lt;wsp:rsid wsp:val=&quot;00F64FCF&quot;/&gt;&lt;wsp:rsid wsp:val=&quot;00F65339&quot;/&gt;&lt;wsp:rsid wsp:val=&quot;00F6558F&quot;/&gt;&lt;wsp:rsid wsp:val=&quot;00F658D9&quot;/&gt;&lt;wsp:rsid wsp:val=&quot;00F65B0D&quot;/&gt;&lt;wsp:rsid wsp:val=&quot;00F65CD3&quot;/&gt;&lt;wsp:rsid wsp:val=&quot;00F65CE7&quot;/&gt;&lt;wsp:rsid wsp:val=&quot;00F6645E&quot;/&gt;&lt;wsp:rsid wsp:val=&quot;00F664B6&quot;/&gt;&lt;wsp:rsid wsp:val=&quot;00F664E1&quot;/&gt;&lt;wsp:rsid wsp:val=&quot;00F66598&quot;/&gt;&lt;wsp:rsid wsp:val=&quot;00F665AC&quot;/&gt;&lt;wsp:rsid wsp:val=&quot;00F666C9&quot;/&gt;&lt;wsp:rsid wsp:val=&quot;00F66A3F&quot;/&gt;&lt;wsp:rsid wsp:val=&quot;00F66B97&quot;/&gt;&lt;wsp:rsid wsp:val=&quot;00F66BFB&quot;/&gt;&lt;wsp:rsid wsp:val=&quot;00F66E19&quot;/&gt;&lt;wsp:rsid wsp:val=&quot;00F66E26&quot;/&gt;&lt;wsp:rsid wsp:val=&quot;00F66F68&quot;/&gt;&lt;wsp:rsid wsp:val=&quot;00F67096&quot;/&gt;&lt;wsp:rsid wsp:val=&quot;00F67515&quot;/&gt;&lt;wsp:rsid wsp:val=&quot;00F6775D&quot;/&gt;&lt;wsp:rsid wsp:val=&quot;00F677F3&quot;/&gt;&lt;wsp:rsid wsp:val=&quot;00F67DA5&quot;/&gt;&lt;wsp:rsid wsp:val=&quot;00F67E65&quot;/&gt;&lt;wsp:rsid wsp:val=&quot;00F67FBB&quot;/&gt;&lt;wsp:rsid wsp:val=&quot;00F70011&quot;/&gt;&lt;wsp:rsid wsp:val=&quot;00F7082B&quot;/&gt;&lt;wsp:rsid wsp:val=&quot;00F70A43&quot;/&gt;&lt;wsp:rsid wsp:val=&quot;00F70A49&quot;/&gt;&lt;wsp:rsid wsp:val=&quot;00F70A65&quot;/&gt;&lt;wsp:rsid wsp:val=&quot;00F713D6&quot;/&gt;&lt;wsp:rsid wsp:val=&quot;00F717EB&quot;/&gt;&lt;wsp:rsid wsp:val=&quot;00F71BF7&quot;/&gt;&lt;wsp:rsid wsp:val=&quot;00F71FB1&quot;/&gt;&lt;wsp:rsid wsp:val=&quot;00F71FC1&quot;/&gt;&lt;wsp:rsid wsp:val=&quot;00F71FE3&quot;/&gt;&lt;wsp:rsid wsp:val=&quot;00F72084&quot;/&gt;&lt;wsp:rsid wsp:val=&quot;00F72504&quot;/&gt;&lt;wsp:rsid wsp:val=&quot;00F72805&quot;/&gt;&lt;wsp:rsid wsp:val=&quot;00F729D3&quot;/&gt;&lt;wsp:rsid wsp:val=&quot;00F72F41&quot;/&gt;&lt;wsp:rsid wsp:val=&quot;00F72F62&quot;/&gt;&lt;wsp:rsid wsp:val=&quot;00F73090&quot;/&gt;&lt;wsp:rsid wsp:val=&quot;00F7313D&quot;/&gt;&lt;wsp:rsid wsp:val=&quot;00F732A3&quot;/&gt;&lt;wsp:rsid wsp:val=&quot;00F7387F&quot;/&gt;&lt;wsp:rsid wsp:val=&quot;00F7397B&quot;/&gt;&lt;wsp:rsid wsp:val=&quot;00F73A06&quot;/&gt;&lt;wsp:rsid wsp:val=&quot;00F73A68&quot;/&gt;&lt;wsp:rsid wsp:val=&quot;00F73D5F&quot;/&gt;&lt;wsp:rsid wsp:val=&quot;00F74266&quot;/&gt;&lt;wsp:rsid wsp:val=&quot;00F743C7&quot;/&gt;&lt;wsp:rsid wsp:val=&quot;00F744A6&quot;/&gt;&lt;wsp:rsid wsp:val=&quot;00F7459F&quot;/&gt;&lt;wsp:rsid wsp:val=&quot;00F74C18&quot;/&gt;&lt;wsp:rsid wsp:val=&quot;00F74D70&quot;/&gt;&lt;wsp:rsid wsp:val=&quot;00F74E64&quot;/&gt;&lt;wsp:rsid wsp:val=&quot;00F74FFB&quot;/&gt;&lt;wsp:rsid wsp:val=&quot;00F753BF&quot;/&gt;&lt;wsp:rsid wsp:val=&quot;00F75413&quot;/&gt;&lt;wsp:rsid wsp:val=&quot;00F7561E&quot;/&gt;&lt;wsp:rsid wsp:val=&quot;00F75BBF&quot;/&gt;&lt;wsp:rsid wsp:val=&quot;00F75C1E&quot;/&gt;&lt;wsp:rsid wsp:val=&quot;00F75D81&quot;/&gt;&lt;wsp:rsid wsp:val=&quot;00F761FD&quot;/&gt;&lt;wsp:rsid wsp:val=&quot;00F76286&quot;/&gt;&lt;wsp:rsid wsp:val=&quot;00F765BE&quot;/&gt;&lt;wsp:rsid wsp:val=&quot;00F76998&quot;/&gt;&lt;wsp:rsid wsp:val=&quot;00F76A15&quot;/&gt;&lt;wsp:rsid wsp:val=&quot;00F76A36&quot;/&gt;&lt;wsp:rsid wsp:val=&quot;00F76C44&quot;/&gt;&lt;wsp:rsid wsp:val=&quot;00F76EC9&quot;/&gt;&lt;wsp:rsid wsp:val=&quot;00F77081&quot;/&gt;&lt;wsp:rsid wsp:val=&quot;00F7716A&quot;/&gt;&lt;wsp:rsid wsp:val=&quot;00F771DB&quot;/&gt;&lt;wsp:rsid wsp:val=&quot;00F77310&quot;/&gt;&lt;wsp:rsid wsp:val=&quot;00F7743C&quot;/&gt;&lt;wsp:rsid wsp:val=&quot;00F7780C&quot;/&gt;&lt;wsp:rsid wsp:val=&quot;00F77839&quot;/&gt;&lt;wsp:rsid wsp:val=&quot;00F77AFA&quot;/&gt;&lt;wsp:rsid wsp:val=&quot;00F77B90&quot;/&gt;&lt;wsp:rsid wsp:val=&quot;00F77D3F&quot;/&gt;&lt;wsp:rsid wsp:val=&quot;00F8001B&quot;/&gt;&lt;wsp:rsid wsp:val=&quot;00F80035&quot;/&gt;&lt;wsp:rsid wsp:val=&quot;00F80307&quot;/&gt;&lt;wsp:rsid wsp:val=&quot;00F80472&quot;/&gt;&lt;wsp:rsid wsp:val=&quot;00F80A47&quot;/&gt;&lt;wsp:rsid wsp:val=&quot;00F80B4C&quot;/&gt;&lt;wsp:rsid wsp:val=&quot;00F80BBC&quot;/&gt;&lt;wsp:rsid wsp:val=&quot;00F81156&quot;/&gt;&lt;wsp:rsid wsp:val=&quot;00F812ED&quot;/&gt;&lt;wsp:rsid wsp:val=&quot;00F818DC&quot;/&gt;&lt;wsp:rsid wsp:val=&quot;00F81927&quot;/&gt;&lt;wsp:rsid wsp:val=&quot;00F81D7E&quot;/&gt;&lt;wsp:rsid wsp:val=&quot;00F81F54&quot;/&gt;&lt;wsp:rsid wsp:val=&quot;00F821B0&quot;/&gt;&lt;wsp:rsid wsp:val=&quot;00F82328&quot;/&gt;&lt;wsp:rsid wsp:val=&quot;00F828A1&quot;/&gt;&lt;wsp:rsid wsp:val=&quot;00F82B61&quot;/&gt;&lt;wsp:rsid wsp:val=&quot;00F82BF2&quot;/&gt;&lt;wsp:rsid wsp:val=&quot;00F82D8E&quot;/&gt;&lt;wsp:rsid wsp:val=&quot;00F830D9&quot;/&gt;&lt;wsp:rsid wsp:val=&quot;00F83261&quot;/&gt;&lt;wsp:rsid wsp:val=&quot;00F8327F&quot;/&gt;&lt;wsp:rsid wsp:val=&quot;00F83361&quot;/&gt;&lt;wsp:rsid wsp:val=&quot;00F833A7&quot;/&gt;&lt;wsp:rsid wsp:val=&quot;00F833A8&quot;/&gt;&lt;wsp:rsid wsp:val=&quot;00F8379D&quot;/&gt;&lt;wsp:rsid wsp:val=&quot;00F8384D&quot;/&gt;&lt;wsp:rsid wsp:val=&quot;00F83853&quot;/&gt;&lt;wsp:rsid wsp:val=&quot;00F83B96&quot;/&gt;&lt;wsp:rsid wsp:val=&quot;00F83C5C&quot;/&gt;&lt;wsp:rsid wsp:val=&quot;00F83D93&quot;/&gt;&lt;wsp:rsid wsp:val=&quot;00F8400E&quot;/&gt;&lt;wsp:rsid wsp:val=&quot;00F8403A&quot;/&gt;&lt;wsp:rsid wsp:val=&quot;00F84244&quot;/&gt;&lt;wsp:rsid wsp:val=&quot;00F8456E&quot;/&gt;&lt;wsp:rsid wsp:val=&quot;00F84576&quot;/&gt;&lt;wsp:rsid wsp:val=&quot;00F84702&quot;/&gt;&lt;wsp:rsid wsp:val=&quot;00F8484B&quot;/&gt;&lt;wsp:rsid wsp:val=&quot;00F848EA&quot;/&gt;&lt;wsp:rsid wsp:val=&quot;00F848F7&quot;/&gt;&lt;wsp:rsid wsp:val=&quot;00F84A25&quot;/&gt;&lt;wsp:rsid wsp:val=&quot;00F84CE5&quot;/&gt;&lt;wsp:rsid wsp:val=&quot;00F85473&quot;/&gt;&lt;wsp:rsid wsp:val=&quot;00F8566B&quot;/&gt;&lt;wsp:rsid wsp:val=&quot;00F857FE&quot;/&gt;&lt;wsp:rsid wsp:val=&quot;00F85A55&quot;/&gt;&lt;wsp:rsid wsp:val=&quot;00F85D6A&quot;/&gt;&lt;wsp:rsid wsp:val=&quot;00F85FCC&quot;/&gt;&lt;wsp:rsid wsp:val=&quot;00F85FFE&quot;/&gt;&lt;wsp:rsid wsp:val=&quot;00F8610B&quot;/&gt;&lt;wsp:rsid wsp:val=&quot;00F861B2&quot;/&gt;&lt;wsp:rsid wsp:val=&quot;00F8668B&quot;/&gt;&lt;wsp:rsid wsp:val=&quot;00F869E8&quot;/&gt;&lt;wsp:rsid wsp:val=&quot;00F872D4&quot;/&gt;&lt;wsp:rsid wsp:val=&quot;00F87413&quot;/&gt;&lt;wsp:rsid wsp:val=&quot;00F87629&quot;/&gt;&lt;wsp:rsid wsp:val=&quot;00F904F2&quot;/&gt;&lt;wsp:rsid wsp:val=&quot;00F9087B&quot;/&gt;&lt;wsp:rsid wsp:val=&quot;00F909BE&quot;/&gt;&lt;wsp:rsid wsp:val=&quot;00F90C6C&quot;/&gt;&lt;wsp:rsid wsp:val=&quot;00F90DDD&quot;/&gt;&lt;wsp:rsid wsp:val=&quot;00F90EAE&quot;/&gt;&lt;wsp:rsid wsp:val=&quot;00F910CC&quot;/&gt;&lt;wsp:rsid wsp:val=&quot;00F9137D&quot;/&gt;&lt;wsp:rsid wsp:val=&quot;00F913C7&quot;/&gt;&lt;wsp:rsid wsp:val=&quot;00F91805&quot;/&gt;&lt;wsp:rsid wsp:val=&quot;00F9180A&quot;/&gt;&lt;wsp:rsid wsp:val=&quot;00F9185F&quot;/&gt;&lt;wsp:rsid wsp:val=&quot;00F918C6&quot;/&gt;&lt;wsp:rsid wsp:val=&quot;00F91A03&quot;/&gt;&lt;wsp:rsid wsp:val=&quot;00F91E10&quot;/&gt;&lt;wsp:rsid wsp:val=&quot;00F92174&quot;/&gt;&lt;wsp:rsid wsp:val=&quot;00F92368&quot;/&gt;&lt;wsp:rsid wsp:val=&quot;00F92599&quot;/&gt;&lt;wsp:rsid wsp:val=&quot;00F9278C&quot;/&gt;&lt;wsp:rsid wsp:val=&quot;00F92B0A&quot;/&gt;&lt;wsp:rsid wsp:val=&quot;00F92B8A&quot;/&gt;&lt;wsp:rsid wsp:val=&quot;00F92DCC&quot;/&gt;&lt;wsp:rsid wsp:val=&quot;00F93064&quot;/&gt;&lt;wsp:rsid wsp:val=&quot;00F93393&quot;/&gt;&lt;wsp:rsid wsp:val=&quot;00F9339B&quot;/&gt;&lt;wsp:rsid wsp:val=&quot;00F936E5&quot;/&gt;&lt;wsp:rsid wsp:val=&quot;00F9382C&quot;/&gt;&lt;wsp:rsid wsp:val=&quot;00F93857&quot;/&gt;&lt;wsp:rsid wsp:val=&quot;00F938B0&quot;/&gt;&lt;wsp:rsid wsp:val=&quot;00F93958&quot;/&gt;&lt;wsp:rsid wsp:val=&quot;00F939FF&quot;/&gt;&lt;wsp:rsid wsp:val=&quot;00F93DF0&quot;/&gt;&lt;wsp:rsid wsp:val=&quot;00F94127&quot;/&gt;&lt;wsp:rsid wsp:val=&quot;00F94162&quot;/&gt;&lt;wsp:rsid wsp:val=&quot;00F9421A&quot;/&gt;&lt;wsp:rsid wsp:val=&quot;00F942CE&quot;/&gt;&lt;wsp:rsid wsp:val=&quot;00F9446F&quot;/&gt;&lt;wsp:rsid wsp:val=&quot;00F945DA&quot;/&gt;&lt;wsp:rsid wsp:val=&quot;00F947BF&quot;/&gt;&lt;wsp:rsid wsp:val=&quot;00F949EE&quot;/&gt;&lt;wsp:rsid wsp:val=&quot;00F94A3C&quot;/&gt;&lt;wsp:rsid wsp:val=&quot;00F94AC9&quot;/&gt;&lt;wsp:rsid wsp:val=&quot;00F94C9B&quot;/&gt;&lt;wsp:rsid wsp:val=&quot;00F95040&quot;/&gt;&lt;wsp:rsid wsp:val=&quot;00F953B2&quot;/&gt;&lt;wsp:rsid wsp:val=&quot;00F955D9&quot;/&gt;&lt;wsp:rsid wsp:val=&quot;00F956A7&quot;/&gt;&lt;wsp:rsid wsp:val=&quot;00F95727&quot;/&gt;&lt;wsp:rsid wsp:val=&quot;00F95ACD&quot;/&gt;&lt;wsp:rsid wsp:val=&quot;00F95CC2&quot;/&gt;&lt;wsp:rsid wsp:val=&quot;00F95DDB&quot;/&gt;&lt;wsp:rsid wsp:val=&quot;00F96017&quot;/&gt;&lt;wsp:rsid wsp:val=&quot;00F960DB&quot;/&gt;&lt;wsp:rsid wsp:val=&quot;00F961F6&quot;/&gt;&lt;wsp:rsid wsp:val=&quot;00F96439&quot;/&gt;&lt;wsp:rsid wsp:val=&quot;00F966B5&quot;/&gt;&lt;wsp:rsid wsp:val=&quot;00F96ECC&quot;/&gt;&lt;wsp:rsid wsp:val=&quot;00F96F6C&quot;/&gt;&lt;wsp:rsid wsp:val=&quot;00F9708C&quot;/&gt;&lt;wsp:rsid wsp:val=&quot;00F979A7&quot;/&gt;&lt;wsp:rsid wsp:val=&quot;00F97A98&quot;/&gt;&lt;wsp:rsid wsp:val=&quot;00FA0067&quot;/&gt;&lt;wsp:rsid wsp:val=&quot;00FA0121&quot;/&gt;&lt;wsp:rsid wsp:val=&quot;00FA0200&quot;/&gt;&lt;wsp:rsid wsp:val=&quot;00FA0352&quot;/&gt;&lt;wsp:rsid wsp:val=&quot;00FA0434&quot;/&gt;&lt;wsp:rsid wsp:val=&quot;00FA05FC&quot;/&gt;&lt;wsp:rsid wsp:val=&quot;00FA0837&quot;/&gt;&lt;wsp:rsid wsp:val=&quot;00FA08FE&quot;/&gt;&lt;wsp:rsid wsp:val=&quot;00FA0E39&quot;/&gt;&lt;wsp:rsid wsp:val=&quot;00FA0EB8&quot;/&gt;&lt;wsp:rsid wsp:val=&quot;00FA113D&quot;/&gt;&lt;wsp:rsid wsp:val=&quot;00FA1199&quot;/&gt;&lt;wsp:rsid wsp:val=&quot;00FA139F&quot;/&gt;&lt;wsp:rsid wsp:val=&quot;00FA15BD&quot;/&gt;&lt;wsp:rsid wsp:val=&quot;00FA16DB&quot;/&gt;&lt;wsp:rsid wsp:val=&quot;00FA19A0&quot;/&gt;&lt;wsp:rsid wsp:val=&quot;00FA1A18&quot;/&gt;&lt;wsp:rsid wsp:val=&quot;00FA1A89&quot;/&gt;&lt;wsp:rsid wsp:val=&quot;00FA1D17&quot;/&gt;&lt;wsp:rsid wsp:val=&quot;00FA1D2C&quot;/&gt;&lt;wsp:rsid wsp:val=&quot;00FA215C&quot;/&gt;&lt;wsp:rsid wsp:val=&quot;00FA223B&quot;/&gt;&lt;wsp:rsid wsp:val=&quot;00FA24CD&quot;/&gt;&lt;wsp:rsid wsp:val=&quot;00FA29DA&quot;/&gt;&lt;wsp:rsid wsp:val=&quot;00FA2D00&quot;/&gt;&lt;wsp:rsid wsp:val=&quot;00FA2D42&quot;/&gt;&lt;wsp:rsid wsp:val=&quot;00FA2ECF&quot;/&gt;&lt;wsp:rsid wsp:val=&quot;00FA2F83&quot;/&gt;&lt;wsp:rsid wsp:val=&quot;00FA3376&quot;/&gt;&lt;wsp:rsid wsp:val=&quot;00FA33F0&quot;/&gt;&lt;wsp:rsid wsp:val=&quot;00FA34E7&quot;/&gt;&lt;wsp:rsid wsp:val=&quot;00FA3A2B&quot;/&gt;&lt;wsp:rsid wsp:val=&quot;00FA3C5F&quot;/&gt;&lt;wsp:rsid wsp:val=&quot;00FA3CB0&quot;/&gt;&lt;wsp:rsid wsp:val=&quot;00FA3CF0&quot;/&gt;&lt;wsp:rsid wsp:val=&quot;00FA4518&quot;/&gt;&lt;wsp:rsid wsp:val=&quot;00FA4A95&quot;/&gt;&lt;wsp:rsid wsp:val=&quot;00FA4AC8&quot;/&gt;&lt;wsp:rsid wsp:val=&quot;00FA4DD0&quot;/&gt;&lt;wsp:rsid wsp:val=&quot;00FA4E15&quot;/&gt;&lt;wsp:rsid wsp:val=&quot;00FA52E9&quot;/&gt;&lt;wsp:rsid wsp:val=&quot;00FA5309&quot;/&gt;&lt;wsp:rsid wsp:val=&quot;00FA5660&quot;/&gt;&lt;wsp:rsid wsp:val=&quot;00FA5721&quot;/&gt;&lt;wsp:rsid wsp:val=&quot;00FA5AB0&quot;/&gt;&lt;wsp:rsid wsp:val=&quot;00FA5AD5&quot;/&gt;&lt;wsp:rsid wsp:val=&quot;00FA5D0F&quot;/&gt;&lt;wsp:rsid wsp:val=&quot;00FA60FE&quot;/&gt;&lt;wsp:rsid wsp:val=&quot;00FA64F9&quot;/&gt;&lt;wsp:rsid wsp:val=&quot;00FA6A6F&quot;/&gt;&lt;wsp:rsid wsp:val=&quot;00FA6E9A&quot;/&gt;&lt;wsp:rsid wsp:val=&quot;00FA70AB&quot;/&gt;&lt;wsp:rsid wsp:val=&quot;00FA777D&quot;/&gt;&lt;wsp:rsid wsp:val=&quot;00FA7B05&quot;/&gt;&lt;wsp:rsid wsp:val=&quot;00FA7B53&quot;/&gt;&lt;wsp:rsid wsp:val=&quot;00FA7EF8&quot;/&gt;&lt;wsp:rsid wsp:val=&quot;00FB01B2&quot;/&gt;&lt;wsp:rsid wsp:val=&quot;00FB01F3&quot;/&gt;&lt;wsp:rsid wsp:val=&quot;00FB104B&quot;/&gt;&lt;wsp:rsid wsp:val=&quot;00FB139A&quot;/&gt;&lt;wsp:rsid wsp:val=&quot;00FB13E7&quot;/&gt;&lt;wsp:rsid wsp:val=&quot;00FB1483&quot;/&gt;&lt;wsp:rsid wsp:val=&quot;00FB17EF&quot;/&gt;&lt;wsp:rsid wsp:val=&quot;00FB1E07&quot;/&gt;&lt;wsp:rsid wsp:val=&quot;00FB1FD7&quot;/&gt;&lt;wsp:rsid wsp:val=&quot;00FB28C3&quot;/&gt;&lt;wsp:rsid wsp:val=&quot;00FB2B5D&quot;/&gt;&lt;wsp:rsid wsp:val=&quot;00FB2BC0&quot;/&gt;&lt;wsp:rsid wsp:val=&quot;00FB2E70&quot;/&gt;&lt;wsp:rsid wsp:val=&quot;00FB2F39&quot;/&gt;&lt;wsp:rsid wsp:val=&quot;00FB3123&quot;/&gt;&lt;wsp:rsid wsp:val=&quot;00FB316F&quot;/&gt;&lt;wsp:rsid wsp:val=&quot;00FB319E&quot;/&gt;&lt;wsp:rsid wsp:val=&quot;00FB3480&quot;/&gt;&lt;wsp:rsid wsp:val=&quot;00FB421E&quot;/&gt;&lt;wsp:rsid wsp:val=&quot;00FB42B5&quot;/&gt;&lt;wsp:rsid wsp:val=&quot;00FB4381&quot;/&gt;&lt;wsp:rsid wsp:val=&quot;00FB43EE&quot;/&gt;&lt;wsp:rsid wsp:val=&quot;00FB4B48&quot;/&gt;&lt;wsp:rsid wsp:val=&quot;00FB4F5F&quot;/&gt;&lt;wsp:rsid wsp:val=&quot;00FB5041&quot;/&gt;&lt;wsp:rsid wsp:val=&quot;00FB5557&quot;/&gt;&lt;wsp:rsid wsp:val=&quot;00FB590C&quot;/&gt;&lt;wsp:rsid wsp:val=&quot;00FB5B08&quot;/&gt;&lt;wsp:rsid wsp:val=&quot;00FB5FC6&quot;/&gt;&lt;wsp:rsid wsp:val=&quot;00FB62F7&quot;/&gt;&lt;wsp:rsid wsp:val=&quot;00FB6389&quot;/&gt;&lt;wsp:rsid wsp:val=&quot;00FB6779&quot;/&gt;&lt;wsp:rsid wsp:val=&quot;00FB69DE&quot;/&gt;&lt;wsp:rsid wsp:val=&quot;00FB6DD7&quot;/&gt;&lt;wsp:rsid wsp:val=&quot;00FB70AD&quot;/&gt;&lt;wsp:rsid wsp:val=&quot;00FB71DE&quot;/&gt;&lt;wsp:rsid wsp:val=&quot;00FB7395&quot;/&gt;&lt;wsp:rsid wsp:val=&quot;00FB7416&quot;/&gt;&lt;wsp:rsid wsp:val=&quot;00FB74E3&quot;/&gt;&lt;wsp:rsid wsp:val=&quot;00FB7579&quot;/&gt;&lt;wsp:rsid wsp:val=&quot;00FB7598&quot;/&gt;&lt;wsp:rsid wsp:val=&quot;00FB778C&quot;/&gt;&lt;wsp:rsid wsp:val=&quot;00FB783A&quot;/&gt;&lt;wsp:rsid wsp:val=&quot;00FB7AE3&quot;/&gt;&lt;wsp:rsid wsp:val=&quot;00FB7B6D&quot;/&gt;&lt;wsp:rsid wsp:val=&quot;00FB7E6D&quot;/&gt;&lt;wsp:rsid wsp:val=&quot;00FC0211&quot;/&gt;&lt;wsp:rsid wsp:val=&quot;00FC02A0&quot;/&gt;&lt;wsp:rsid wsp:val=&quot;00FC0468&quot;/&gt;&lt;wsp:rsid wsp:val=&quot;00FC0620&quot;/&gt;&lt;wsp:rsid wsp:val=&quot;00FC0880&quot;/&gt;&lt;wsp:rsid wsp:val=&quot;00FC0BA6&quot;/&gt;&lt;wsp:rsid wsp:val=&quot;00FC0DE5&quot;/&gt;&lt;wsp:rsid wsp:val=&quot;00FC107B&quot;/&gt;&lt;wsp:rsid wsp:val=&quot;00FC12AA&quot;/&gt;&lt;wsp:rsid wsp:val=&quot;00FC1469&quot;/&gt;&lt;wsp:rsid wsp:val=&quot;00FC1538&quot;/&gt;&lt;wsp:rsid wsp:val=&quot;00FC1546&quot;/&gt;&lt;wsp:rsid wsp:val=&quot;00FC1604&quot;/&gt;&lt;wsp:rsid wsp:val=&quot;00FC16D1&quot;/&gt;&lt;wsp:rsid wsp:val=&quot;00FC1A05&quot;/&gt;&lt;wsp:rsid wsp:val=&quot;00FC1A18&quot;/&gt;&lt;wsp:rsid wsp:val=&quot;00FC1A8F&quot;/&gt;&lt;wsp:rsid wsp:val=&quot;00FC1E4F&quot;/&gt;&lt;wsp:rsid wsp:val=&quot;00FC1F22&quot;/&gt;&lt;wsp:rsid wsp:val=&quot;00FC2212&quot;/&gt;&lt;wsp:rsid wsp:val=&quot;00FC2588&quot;/&gt;&lt;wsp:rsid wsp:val=&quot;00FC2609&quot;/&gt;&lt;wsp:rsid wsp:val=&quot;00FC2899&quot;/&gt;&lt;wsp:rsid wsp:val=&quot;00FC2916&quot;/&gt;&lt;wsp:rsid wsp:val=&quot;00FC2B0B&quot;/&gt;&lt;wsp:rsid wsp:val=&quot;00FC30F5&quot;/&gt;&lt;wsp:rsid wsp:val=&quot;00FC32C7&quot;/&gt;&lt;wsp:rsid wsp:val=&quot;00FC33A1&quot;/&gt;&lt;wsp:rsid wsp:val=&quot;00FC3550&quot;/&gt;&lt;wsp:rsid wsp:val=&quot;00FC3AC5&quot;/&gt;&lt;wsp:rsid wsp:val=&quot;00FC3B3C&quot;/&gt;&lt;wsp:rsid wsp:val=&quot;00FC3C2D&quot;/&gt;&lt;wsp:rsid wsp:val=&quot;00FC3E26&quot;/&gt;&lt;wsp:rsid wsp:val=&quot;00FC4165&quot;/&gt;&lt;wsp:rsid wsp:val=&quot;00FC44D1&quot;/&gt;&lt;wsp:rsid wsp:val=&quot;00FC482A&quot;/&gt;&lt;wsp:rsid wsp:val=&quot;00FC4EE0&quot;/&gt;&lt;wsp:rsid wsp:val=&quot;00FC4F21&quot;/&gt;&lt;wsp:rsid wsp:val=&quot;00FC503B&quot;/&gt;&lt;wsp:rsid wsp:val=&quot;00FC50A5&quot;/&gt;&lt;wsp:rsid wsp:val=&quot;00FC5306&quot;/&gt;&lt;wsp:rsid wsp:val=&quot;00FC5480&quot;/&gt;&lt;wsp:rsid wsp:val=&quot;00FC549A&quot;/&gt;&lt;wsp:rsid wsp:val=&quot;00FC54F6&quot;/&gt;&lt;wsp:rsid wsp:val=&quot;00FC5531&quot;/&gt;&lt;wsp:rsid wsp:val=&quot;00FC5799&quot;/&gt;&lt;wsp:rsid wsp:val=&quot;00FC5CA0&quot;/&gt;&lt;wsp:rsid wsp:val=&quot;00FC5CA8&quot;/&gt;&lt;wsp:rsid wsp:val=&quot;00FC5DF7&quot;/&gt;&lt;wsp:rsid wsp:val=&quot;00FC6089&quot;/&gt;&lt;wsp:rsid wsp:val=&quot;00FC60F0&quot;/&gt;&lt;wsp:rsid wsp:val=&quot;00FC64D3&quot;/&gt;&lt;wsp:rsid wsp:val=&quot;00FC65F6&quot;/&gt;&lt;wsp:rsid wsp:val=&quot;00FC6724&quot;/&gt;&lt;wsp:rsid wsp:val=&quot;00FC6953&quot;/&gt;&lt;wsp:rsid wsp:val=&quot;00FC6B5E&quot;/&gt;&lt;wsp:rsid wsp:val=&quot;00FC6F30&quot;/&gt;&lt;wsp:rsid wsp:val=&quot;00FC703B&quot;/&gt;&lt;wsp:rsid wsp:val=&quot;00FC74B3&quot;/&gt;&lt;wsp:rsid wsp:val=&quot;00FC7525&quot;/&gt;&lt;wsp:rsid wsp:val=&quot;00FC7D0E&quot;/&gt;&lt;wsp:rsid wsp:val=&quot;00FC7D71&quot;/&gt;&lt;wsp:rsid wsp:val=&quot;00FC7EA3&quot;/&gt;&lt;wsp:rsid wsp:val=&quot;00FC7EFB&quot;/&gt;&lt;wsp:rsid wsp:val=&quot;00FC7FFA&quot;/&gt;&lt;wsp:rsid wsp:val=&quot;00FD007F&quot;/&gt;&lt;wsp:rsid wsp:val=&quot;00FD0502&quot;/&gt;&lt;wsp:rsid wsp:val=&quot;00FD0665&quot;/&gt;&lt;wsp:rsid wsp:val=&quot;00FD08E0&quot;/&gt;&lt;wsp:rsid wsp:val=&quot;00FD101C&quot;/&gt;&lt;wsp:rsid wsp:val=&quot;00FD1565&quot;/&gt;&lt;wsp:rsid wsp:val=&quot;00FD164E&quot;/&gt;&lt;wsp:rsid wsp:val=&quot;00FD17D1&quot;/&gt;&lt;wsp:rsid wsp:val=&quot;00FD1BB8&quot;/&gt;&lt;wsp:rsid wsp:val=&quot;00FD1DCE&quot;/&gt;&lt;wsp:rsid wsp:val=&quot;00FD29B1&quot;/&gt;&lt;wsp:rsid wsp:val=&quot;00FD2B0D&quot;/&gt;&lt;wsp:rsid wsp:val=&quot;00FD2FCB&quot;/&gt;&lt;wsp:rsid wsp:val=&quot;00FD311C&quot;/&gt;&lt;wsp:rsid wsp:val=&quot;00FD3473&quot;/&gt;&lt;wsp:rsid wsp:val=&quot;00FD3814&quot;/&gt;&lt;wsp:rsid wsp:val=&quot;00FD3F9E&quot;/&gt;&lt;wsp:rsid wsp:val=&quot;00FD412A&quot;/&gt;&lt;wsp:rsid wsp:val=&quot;00FD43C0&quot;/&gt;&lt;wsp:rsid wsp:val=&quot;00FD468B&quot;/&gt;&lt;wsp:rsid wsp:val=&quot;00FD46F0&quot;/&gt;&lt;wsp:rsid wsp:val=&quot;00FD491E&quot;/&gt;&lt;wsp:rsid wsp:val=&quot;00FD4C35&quot;/&gt;&lt;wsp:rsid wsp:val=&quot;00FD4D2B&quot;/&gt;&lt;wsp:rsid wsp:val=&quot;00FD5057&quot;/&gt;&lt;wsp:rsid wsp:val=&quot;00FD5099&quot;/&gt;&lt;wsp:rsid wsp:val=&quot;00FD51A4&quot;/&gt;&lt;wsp:rsid wsp:val=&quot;00FD55AA&quot;/&gt;&lt;wsp:rsid wsp:val=&quot;00FD60E0&quot;/&gt;&lt;wsp:rsid wsp:val=&quot;00FD6440&quot;/&gt;&lt;wsp:rsid wsp:val=&quot;00FD6539&quot;/&gt;&lt;wsp:rsid wsp:val=&quot;00FD653C&quot;/&gt;&lt;wsp:rsid wsp:val=&quot;00FD65AE&quot;/&gt;&lt;wsp:rsid wsp:val=&quot;00FD65CB&quot;/&gt;&lt;wsp:rsid wsp:val=&quot;00FD66DB&quot;/&gt;&lt;wsp:rsid wsp:val=&quot;00FD6797&quot;/&gt;&lt;wsp:rsid wsp:val=&quot;00FD68B1&quot;/&gt;&lt;wsp:rsid wsp:val=&quot;00FD68EF&quot;/&gt;&lt;wsp:rsid wsp:val=&quot;00FD69D2&quot;/&gt;&lt;wsp:rsid wsp:val=&quot;00FD69F4&quot;/&gt;&lt;wsp:rsid wsp:val=&quot;00FD6B4F&quot;/&gt;&lt;wsp:rsid wsp:val=&quot;00FD6EB0&quot;/&gt;&lt;wsp:rsid wsp:val=&quot;00FD6FA8&quot;/&gt;&lt;wsp:rsid wsp:val=&quot;00FD73BA&quot;/&gt;&lt;wsp:rsid wsp:val=&quot;00FD73C6&quot;/&gt;&lt;wsp:rsid wsp:val=&quot;00FD7440&quot;/&gt;&lt;wsp:rsid wsp:val=&quot;00FD7999&quot;/&gt;&lt;wsp:rsid wsp:val=&quot;00FD7ADE&quot;/&gt;&lt;wsp:rsid wsp:val=&quot;00FD7C0A&quot;/&gt;&lt;wsp:rsid wsp:val=&quot;00FD7E4F&quot;/&gt;&lt;wsp:rsid wsp:val=&quot;00FD7E89&quot;/&gt;&lt;wsp:rsid wsp:val=&quot;00FD7F63&quot;/&gt;&lt;wsp:rsid wsp:val=&quot;00FD7F7B&quot;/&gt;&lt;wsp:rsid wsp:val=&quot;00FE01C5&quot;/&gt;&lt;wsp:rsid wsp:val=&quot;00FE0361&quot;/&gt;&lt;wsp:rsid wsp:val=&quot;00FE0445&quot;/&gt;&lt;wsp:rsid wsp:val=&quot;00FE047D&quot;/&gt;&lt;wsp:rsid wsp:val=&quot;00FE05DA&quot;/&gt;&lt;wsp:rsid wsp:val=&quot;00FE0621&quot;/&gt;&lt;wsp:rsid wsp:val=&quot;00FE068D&quot;/&gt;&lt;wsp:rsid wsp:val=&quot;00FE0799&quot;/&gt;&lt;wsp:rsid wsp:val=&quot;00FE09B4&quot;/&gt;&lt;wsp:rsid wsp:val=&quot;00FE0B64&quot;/&gt;&lt;wsp:rsid wsp:val=&quot;00FE0CD8&quot;/&gt;&lt;wsp:rsid wsp:val=&quot;00FE0D10&quot;/&gt;&lt;wsp:rsid wsp:val=&quot;00FE0E92&quot;/&gt;&lt;wsp:rsid wsp:val=&quot;00FE0EF3&quot;/&gt;&lt;wsp:rsid wsp:val=&quot;00FE113A&quot;/&gt;&lt;wsp:rsid wsp:val=&quot;00FE12D7&quot;/&gt;&lt;wsp:rsid wsp:val=&quot;00FE12EC&quot;/&gt;&lt;wsp:rsid wsp:val=&quot;00FE159C&quot;/&gt;&lt;wsp:rsid wsp:val=&quot;00FE1810&quot;/&gt;&lt;wsp:rsid wsp:val=&quot;00FE1940&quot;/&gt;&lt;wsp:rsid wsp:val=&quot;00FE19FB&quot;/&gt;&lt;wsp:rsid wsp:val=&quot;00FE1B9B&quot;/&gt;&lt;wsp:rsid wsp:val=&quot;00FE1E34&quot;/&gt;&lt;wsp:rsid wsp:val=&quot;00FE1E94&quot;/&gt;&lt;wsp:rsid wsp:val=&quot;00FE1EE2&quot;/&gt;&lt;wsp:rsid wsp:val=&quot;00FE2272&quot;/&gt;&lt;wsp:rsid wsp:val=&quot;00FE22A0&quot;/&gt;&lt;wsp:rsid wsp:val=&quot;00FE22FB&quot;/&gt;&lt;wsp:rsid wsp:val=&quot;00FE2413&quot;/&gt;&lt;wsp:rsid wsp:val=&quot;00FE253F&quot;/&gt;&lt;wsp:rsid wsp:val=&quot;00FE27E4&quot;/&gt;&lt;wsp:rsid wsp:val=&quot;00FE2A90&quot;/&gt;&lt;wsp:rsid wsp:val=&quot;00FE2E78&quot;/&gt;&lt;wsp:rsid wsp:val=&quot;00FE3163&quot;/&gt;&lt;wsp:rsid wsp:val=&quot;00FE3179&quot;/&gt;&lt;wsp:rsid wsp:val=&quot;00FE38DF&quot;/&gt;&lt;wsp:rsid wsp:val=&quot;00FE394F&quot;/&gt;&lt;wsp:rsid wsp:val=&quot;00FE3E3A&quot;/&gt;&lt;wsp:rsid wsp:val=&quot;00FE3EE5&quot;/&gt;&lt;wsp:rsid wsp:val=&quot;00FE3F66&quot;/&gt;&lt;wsp:rsid wsp:val=&quot;00FE3FCE&quot;/&gt;&lt;wsp:rsid wsp:val=&quot;00FE40F3&quot;/&gt;&lt;wsp:rsid wsp:val=&quot;00FE424E&quot;/&gt;&lt;wsp:rsid wsp:val=&quot;00FE453F&quot;/&gt;&lt;wsp:rsid wsp:val=&quot;00FE4654&quot;/&gt;&lt;wsp:rsid wsp:val=&quot;00FE4A2E&quot;/&gt;&lt;wsp:rsid wsp:val=&quot;00FE4E08&quot;/&gt;&lt;wsp:rsid wsp:val=&quot;00FE56D3&quot;/&gt;&lt;wsp:rsid wsp:val=&quot;00FE5859&quot;/&gt;&lt;wsp:rsid wsp:val=&quot;00FE5ACE&quot;/&gt;&lt;wsp:rsid wsp:val=&quot;00FE5B70&quot;/&gt;&lt;wsp:rsid wsp:val=&quot;00FE5D62&quot;/&gt;&lt;wsp:rsid wsp:val=&quot;00FE5E07&quot;/&gt;&lt;wsp:rsid wsp:val=&quot;00FE5F53&quot;/&gt;&lt;wsp:rsid wsp:val=&quot;00FE6651&quot;/&gt;&lt;wsp:rsid wsp:val=&quot;00FE67A9&quot;/&gt;&lt;wsp:rsid wsp:val=&quot;00FE6F05&quot;/&gt;&lt;wsp:rsid wsp:val=&quot;00FE6F89&quot;/&gt;&lt;wsp:rsid wsp:val=&quot;00FE706B&quot;/&gt;&lt;wsp:rsid wsp:val=&quot;00FE7148&quot;/&gt;&lt;wsp:rsid wsp:val=&quot;00FE71ED&quot;/&gt;&lt;wsp:rsid wsp:val=&quot;00FE73B2&quot;/&gt;&lt;wsp:rsid wsp:val=&quot;00FE73D0&quot;/&gt;&lt;wsp:rsid wsp:val=&quot;00FE774E&quot;/&gt;&lt;wsp:rsid wsp:val=&quot;00FE79A9&quot;/&gt;&lt;wsp:rsid wsp:val=&quot;00FE7B07&quot;/&gt;&lt;wsp:rsid wsp:val=&quot;00FE7BC4&quot;/&gt;&lt;wsp:rsid wsp:val=&quot;00FF0002&quot;/&gt;&lt;wsp:rsid wsp:val=&quot;00FF027B&quot;/&gt;&lt;wsp:rsid wsp:val=&quot;00FF034E&quot;/&gt;&lt;wsp:rsid wsp:val=&quot;00FF0CEA&quot;/&gt;&lt;wsp:rsid wsp:val=&quot;00FF0DAF&quot;/&gt;&lt;wsp:rsid wsp:val=&quot;00FF0E96&quot;/&gt;&lt;wsp:rsid wsp:val=&quot;00FF0F77&quot;/&gt;&lt;wsp:rsid wsp:val=&quot;00FF0F80&quot;/&gt;&lt;wsp:rsid wsp:val=&quot;00FF106E&quot;/&gt;&lt;wsp:rsid wsp:val=&quot;00FF12C8&quot;/&gt;&lt;wsp:rsid wsp:val=&quot;00FF14A3&quot;/&gt;&lt;wsp:rsid wsp:val=&quot;00FF1A10&quot;/&gt;&lt;wsp:rsid wsp:val=&quot;00FF1B27&quot;/&gt;&lt;wsp:rsid wsp:val=&quot;00FF21ED&quot;/&gt;&lt;wsp:rsid wsp:val=&quot;00FF2406&quot;/&gt;&lt;wsp:rsid wsp:val=&quot;00FF2453&quot;/&gt;&lt;wsp:rsid wsp:val=&quot;00FF248C&quot;/&gt;&lt;wsp:rsid wsp:val=&quot;00FF2496&quot;/&gt;&lt;wsp:rsid wsp:val=&quot;00FF2888&quot;/&gt;&lt;wsp:rsid wsp:val=&quot;00FF2DF7&quot;/&gt;&lt;wsp:rsid wsp:val=&quot;00FF36F2&quot;/&gt;&lt;wsp:rsid wsp:val=&quot;00FF4019&quot;/&gt;&lt;wsp:rsid wsp:val=&quot;00FF430B&quot;/&gt;&lt;wsp:rsid wsp:val=&quot;00FF43CC&quot;/&gt;&lt;wsp:rsid wsp:val=&quot;00FF4412&quot;/&gt;&lt;wsp:rsid wsp:val=&quot;00FF4589&quot;/&gt;&lt;wsp:rsid wsp:val=&quot;00FF46A9&quot;/&gt;&lt;wsp:rsid wsp:val=&quot;00FF484E&quot;/&gt;&lt;wsp:rsid wsp:val=&quot;00FF492D&quot;/&gt;&lt;wsp:rsid wsp:val=&quot;00FF4984&quot;/&gt;&lt;wsp:rsid wsp:val=&quot;00FF4BA9&quot;/&gt;&lt;wsp:rsid wsp:val=&quot;00FF4BE3&quot;/&gt;&lt;wsp:rsid wsp:val=&quot;00FF4CEA&quot;/&gt;&lt;wsp:rsid wsp:val=&quot;00FF4D44&quot;/&gt;&lt;wsp:rsid wsp:val=&quot;00FF5313&quot;/&gt;&lt;wsp:rsid wsp:val=&quot;00FF54B6&quot;/&gt;&lt;wsp:rsid wsp:val=&quot;00FF55C5&quot;/&gt;&lt;wsp:rsid wsp:val=&quot;00FF577A&quot;/&gt;&lt;wsp:rsid wsp:val=&quot;00FF5A62&quot;/&gt;&lt;wsp:rsid wsp:val=&quot;00FF5BEE&quot;/&gt;&lt;wsp:rsid wsp:val=&quot;00FF5C94&quot;/&gt;&lt;wsp:rsid wsp:val=&quot;00FF5EE3&quot;/&gt;&lt;wsp:rsid wsp:val=&quot;00FF5F51&quot;/&gt;&lt;wsp:rsid wsp:val=&quot;00FF60AD&quot;/&gt;&lt;wsp:rsid wsp:val=&quot;00FF6251&quot;/&gt;&lt;wsp:rsid wsp:val=&quot;00FF68C2&quot;/&gt;&lt;wsp:rsid wsp:val=&quot;00FF6952&quot;/&gt;&lt;wsp:rsid wsp:val=&quot;00FF6B76&quot;/&gt;&lt;wsp:rsid wsp:val=&quot;00FF6C28&quot;/&gt;&lt;wsp:rsid wsp:val=&quot;00FF6E35&quot;/&gt;&lt;wsp:rsid wsp:val=&quot;00FF7312&quot;/&gt;&lt;wsp:rsid wsp:val=&quot;00FF764C&quot;/&gt;&lt;wsp:rsid wsp:val=&quot;00FF79EC&quot;/&gt;&lt;wsp:rsid wsp:val=&quot;00FF7A2C&quot;/&gt;&lt;wsp:rsid wsp:val=&quot;00FF7A6A&quot;/&gt;&lt;wsp:rsid wsp:val=&quot;00FF7EA4&quot;/&gt;&lt;/wsp:rsids&gt;&lt;/w:docPr&gt;&lt;w:body&gt;&lt;wx:sect&gt;&lt;w:p wsp:rsidR=&quot;00000000&quot; wsp:rsidRDefault=&quot;00642974&quot; wsp:rsidP=&quot;00642974&quot;&gt;&lt;m:oMathPara&gt;&lt;m:oMath&gt;&lt;m:sSub&gt;&lt;m:sSubPr&gt;&lt;m:ctrlPr&gt;&lt;w:rPr&gt;&lt;w:rFonts w:ascii=&quot;Cambria Math&quot; w:h-ansi=&quot;Cambria Math&quot;/&gt;&lt;wx:font wx:val=&quot;Cambria Math&quot;/&gt;&lt;w:i/&gt;&lt;w:sz-cs w:val=&quot;22&quot;/&gt;&lt;w:lang w:val=&quot;ZH-CN&quot;/&gt;&lt;/w:rPr&gt;&lt;/m:ctrlPr&gt;&lt;/m:sSubPr&gt;&lt;m:e&gt;&lt;m:r&gt;&lt;m:rPr&gt;&lt;m:sty m:val=&quot;p&quot;/&gt;&lt;/m:rPr&gt;&lt;w:rPr&gt;&lt;w:rFonts w:ascii=&quot;Cambria Math&quot; w:h-ansi=&quot;Cambria Math&quot; w:hint=&quot;fareast&quot;/&gt;&lt;wx:font wx:val=&quot;宋体&quot;/&gt;&lt;/w:rPr&gt;&lt;m:t&gt;ρ&lt;/m:t&gt;&lt;/m:r&gt;&lt;/m:e&gt;&lt;m:sub&gt;&lt;m:r&gt;&lt;w:rPr&gt;&lt;w:rFonts w:ascii=&quot;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Ca-CNmbria Math&quot; w:h-ansi=&quot;Cambria Math&quot;/&gt;&lt;wx:font wx:val=&quot;Cambria Math&quot;/&gt;&lt;w:i/&gt;&lt;/w:rPr&gt;&lt;m:t&gt;a&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Pr="002B55E9">
        <w:rPr>
          <w:bCs/>
          <w:sz w:val="24"/>
          <w:szCs w:val="22"/>
          <w:lang w:val="zh-CN" w:bidi="ne-NP"/>
        </w:rPr>
        <w:instrText xml:space="preserve"> </w:instrText>
      </w:r>
      <w:r w:rsidRPr="002B55E9">
        <w:rPr>
          <w:bCs/>
          <w:sz w:val="24"/>
          <w:szCs w:val="22"/>
          <w:lang w:val="zh-CN" w:bidi="ne-NP"/>
        </w:rPr>
        <w:fldChar w:fldCharType="separate"/>
      </w:r>
      <w:r w:rsidR="003E2FA0">
        <w:rPr>
          <w:bCs/>
          <w:snapToGrid w:val="0"/>
          <w:position w:val="-24"/>
          <w:sz w:val="24"/>
        </w:rPr>
        <w:pict w14:anchorId="3D3DF383">
          <v:shape id="_x0000_i1039" type="#_x0000_t75" style="width:21.75pt;height:26.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hideGrammaticalErrors/&gt;&lt;w:activeWritingStyle w:lang=&quot;EN-US&quot; w:vendorID=&quot;64&quot; w:dllVersion=&quot;5&quot; w:nlCheck=&quot;on&quot; w:optionSet=&quot;1&quot;/&gt;&lt;w:activeWritingStyle w:lang=&quot;ZH-CN&quot; w:vendorID=&quot;64&quot; w:dllVersion=&quot;5&quot; w:nlCheck=&quot;on&quot; w:optionSet=&quot;1&quot;/&gt;&lt;w:activeWritingStyle w:lang=&quot;EN-US&quot; w:vendorID=&quot;64&quot; w:dllVersion=&quot;6&quot; w:nlCheck=&quot;on&quot; w:optionSet=&quot;0&quot;/&gt;&lt;w:activeWritingStyle w:lang=&quot;EN-GB&quot; w:vendorID=&quot;64&quot; w:dllVersion=&quot;6&quot; w:nlCheck=&quot;on&quot; w:optionSet=&quot;0&quot;/&gt;&lt;w:activeWritingStyle w:lang=&quot;EN-GB&quot; w:vendorID=&quot;64&quot; w:dllVersion=&quot;5&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stylePaneFormatFilter w:val=&quot;1F08&quot;/&gt;&lt;w:defaultTabStop w:val=&quot;210&quot;/&gt;&lt;w:drawingGridHorizontalSpacing w:val=&quot;105&quot;/&gt;&lt;w:drawingGridVerticalSpacing w:val=&quot;2&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92738&quot;/&gt;&lt;wsp:rsid wsp:val=&quot;0000006D&quot;/&gt;&lt;wsp:rsid wsp:val=&quot;000004D2&quot;/&gt;&lt;wsp:rsid wsp:val=&quot;00000B74&quot;/&gt;&lt;wsp:rsid wsp:val=&quot;00000C9C&quot;/&gt;&lt;wsp:rsid wsp:val=&quot;00000E77&quot;/&gt;&lt;wsp:rsid wsp:val=&quot;0000119A&quot;/&gt;&lt;wsp:rsid wsp:val=&quot;0000187F&quot;/&gt;&lt;wsp:rsid wsp:val=&quot;000019E8&quot;/&gt;&lt;wsp:rsid wsp:val=&quot;00001A79&quot;/&gt;&lt;wsp:rsid wsp:val=&quot;00001A85&quot;/&gt;&lt;wsp:rsid wsp:val=&quot;00001E16&quot;/&gt;&lt;wsp:rsid wsp:val=&quot;00001FE4&quot;/&gt;&lt;wsp:rsid wsp:val=&quot;00002092&quot;/&gt;&lt;wsp:rsid wsp:val=&quot;000021CB&quot;/&gt;&lt;wsp:rsid wsp:val=&quot;00002362&quot;/&gt;&lt;wsp:rsid wsp:val=&quot;000028B3&quot;/&gt;&lt;wsp:rsid wsp:val=&quot;00002988&quot;/&gt;&lt;wsp:rsid wsp:val=&quot;00002B8C&quot;/&gt;&lt;wsp:rsid wsp:val=&quot;00002F2D&quot;/&gt;&lt;wsp:rsid wsp:val=&quot;00003649&quot;/&gt;&lt;wsp:rsid wsp:val=&quot;000040AE&quot;/&gt;&lt;wsp:rsid wsp:val=&quot;000045BE&quot;/&gt;&lt;wsp:rsid wsp:val=&quot;00004694&quot;/&gt;&lt;wsp:rsid wsp:val=&quot;000047FE&quot;/&gt;&lt;wsp:rsid wsp:val=&quot;00004A61&quot;/&gt;&lt;wsp:rsid wsp:val=&quot;00004B36&quot;/&gt;&lt;wsp:rsid wsp:val=&quot;00004CA7&quot;/&gt;&lt;wsp:rsid wsp:val=&quot;00004CE1&quot;/&gt;&lt;wsp:rsid wsp:val=&quot;00004E3E&quot;/&gt;&lt;wsp:rsid wsp:val=&quot;00005131&quot;/&gt;&lt;wsp:rsid wsp:val=&quot;000051B4&quot;/&gt;&lt;wsp:rsid wsp:val=&quot;00005491&quot;/&gt;&lt;wsp:rsid wsp:val=&quot;00005535&quot;/&gt;&lt;wsp:rsid wsp:val=&quot;00005E0A&quot;/&gt;&lt;wsp:rsid wsp:val=&quot;00006076&quot;/&gt;&lt;wsp:rsid wsp:val=&quot;00006129&quot;/&gt;&lt;wsp:rsid wsp:val=&quot;000061C5&quot;/&gt;&lt;wsp:rsid wsp:val=&quot;00006267&quot;/&gt;&lt;wsp:rsid wsp:val=&quot;0000632D&quot;/&gt;&lt;wsp:rsid wsp:val=&quot;0000640B&quot;/&gt;&lt;wsp:rsid wsp:val=&quot;00006A32&quot;/&gt;&lt;wsp:rsid wsp:val=&quot;00006A72&quot;/&gt;&lt;wsp:rsid wsp:val=&quot;00006C24&quot;/&gt;&lt;wsp:rsid wsp:val=&quot;00006EAA&quot;/&gt;&lt;wsp:rsid wsp:val=&quot;000070C3&quot;/&gt;&lt;wsp:rsid wsp:val=&quot;00007501&quot;/&gt;&lt;wsp:rsid wsp:val=&quot;000075B5&quot;/&gt;&lt;wsp:rsid wsp:val=&quot;0000763A&quot;/&gt;&lt;wsp:rsid wsp:val=&quot;0000763C&quot;/&gt;&lt;wsp:rsid wsp:val=&quot;00007661&quot;/&gt;&lt;wsp:rsid wsp:val=&quot;00010000&quot;/&gt;&lt;wsp:rsid wsp:val=&quot;00010950&quot;/&gt;&lt;wsp:rsid wsp:val=&quot;000109DB&quot;/&gt;&lt;wsp:rsid wsp:val=&quot;00010E3E&quot;/&gt;&lt;wsp:rsid wsp:val=&quot;00010E64&quot;/&gt;&lt;wsp:rsid wsp:val=&quot;000111A5&quot;/&gt;&lt;wsp:rsid wsp:val=&quot;000118BD&quot;/&gt;&lt;wsp:rsid wsp:val=&quot;000118E6&quot;/&gt;&lt;wsp:rsid wsp:val=&quot;00011A00&quot;/&gt;&lt;wsp:rsid wsp:val=&quot;00011A44&quot;/&gt;&lt;wsp:rsid wsp:val=&quot;00011CF1&quot;/&gt;&lt;wsp:rsid wsp:val=&quot;000122FC&quot;/&gt;&lt;wsp:rsid wsp:val=&quot;00012464&quot;/&gt;&lt;wsp:rsid wsp:val=&quot;0001253F&quot;/&gt;&lt;wsp:rsid wsp:val=&quot;00012ACA&quot;/&gt;&lt;wsp:rsid wsp:val=&quot;00012C70&quot;/&gt;&lt;wsp:rsid wsp:val=&quot;00012D1B&quot;/&gt;&lt;wsp:rsid wsp:val=&quot;00012F03&quot;/&gt;&lt;wsp:rsid wsp:val=&quot;00013225&quot;/&gt;&lt;wsp:rsid wsp:val=&quot;0001328B&quot;/&gt;&lt;wsp:rsid wsp:val=&quot;00013817&quot;/&gt;&lt;wsp:rsid wsp:val=&quot;00013B98&quot;/&gt;&lt;wsp:rsid wsp:val=&quot;000142E2&quot;/&gt;&lt;wsp:rsid wsp:val=&quot;00014824&quot;/&gt;&lt;wsp:rsid wsp:val=&quot;00014EA2&quot;/&gt;&lt;wsp:rsid wsp:val=&quot;00014F95&quot;/&gt;&lt;wsp:rsid wsp:val=&quot;00015040&quot;/&gt;&lt;wsp:rsid wsp:val=&quot;0001547F&quot;/&gt;&lt;wsp:rsid wsp:val=&quot;000159D7&quot;/&gt;&lt;wsp:rsid wsp:val=&quot;00015C4B&quot;/&gt;&lt;wsp:rsid wsp:val=&quot;00015EA1&quot;/&gt;&lt;wsp:rsid wsp:val=&quot;00015EB9&quot;/&gt;&lt;wsp:rsid wsp:val=&quot;00015FBE&quot;/&gt;&lt;wsp:rsid wsp:val=&quot;000162E8&quot;/&gt;&lt;wsp:rsid wsp:val=&quot;00016782&quot;/&gt;&lt;wsp:rsid wsp:val=&quot;00016785&quot;/&gt;&lt;wsp:rsid wsp:val=&quot;0001678F&quot;/&gt;&lt;wsp:rsid wsp:val=&quot;000168B7&quot;/&gt;&lt;wsp:rsid wsp:val=&quot;00016932&quot;/&gt;&lt;wsp:rsid wsp:val=&quot;00016A53&quot;/&gt;&lt;wsp:rsid wsp:val=&quot;00016DF3&quot;/&gt;&lt;wsp:rsid wsp:val=&quot;00016F55&quot;/&gt;&lt;wsp:rsid wsp:val=&quot;00016F86&quot;/&gt;&lt;wsp:rsid wsp:val=&quot;000175AA&quot;/&gt;&lt;wsp:rsid wsp:val=&quot;00017667&quot;/&gt;&lt;wsp:rsid wsp:val=&quot;0001777B&quot;/&gt;&lt;wsp:rsid wsp:val=&quot;000179BA&quot;/&gt;&lt;wsp:rsid wsp:val=&quot;00017BF9&quot;/&gt;&lt;wsp:rsid wsp:val=&quot;00017C1B&quot;/&gt;&lt;wsp:rsid wsp:val=&quot;00017F59&quot;/&gt;&lt;wsp:rsid wsp:val=&quot;000202E1&quot;/&gt;&lt;wsp:rsid wsp:val=&quot;00020302&quot;/&gt;&lt;wsp:rsid wsp:val=&quot;0002046B&quot;/&gt;&lt;wsp:rsid wsp:val=&quot;000204F7&quot;/&gt;&lt;wsp:rsid wsp:val=&quot;00020646&quot;/&gt;&lt;wsp:rsid wsp:val=&quot;00020932&quot;/&gt;&lt;wsp:rsid wsp:val=&quot;0002122D&quot;/&gt;&lt;wsp:rsid wsp:val=&quot;000212CA&quot;/&gt;&lt;wsp:rsid wsp:val=&quot;000213D9&quot;/&gt;&lt;wsp:rsid wsp:val=&quot;000214AD&quot;/&gt;&lt;wsp:rsid wsp:val=&quot;0002178A&quot;/&gt;&lt;wsp:rsid wsp:val=&quot;00021870&quot;/&gt;&lt;wsp:rsid wsp:val=&quot;00021CC9&quot;/&gt;&lt;wsp:rsid wsp:val=&quot;00021EE7&quot;/&gt;&lt;wsp:rsid wsp:val=&quot;0002246E&quot;/&gt;&lt;wsp:rsid wsp:val=&quot;00022475&quot;/&gt;&lt;wsp:rsid wsp:val=&quot;000224D3&quot;/&gt;&lt;wsp:rsid wsp:val=&quot;00022582&quot;/&gt;&lt;wsp:rsid wsp:val=&quot;00022C49&quot;/&gt;&lt;wsp:rsid wsp:val=&quot;00022C7F&quot;/&gt;&lt;wsp:rsid wsp:val=&quot;00022D40&quot;/&gt;&lt;wsp:rsid wsp:val=&quot;00022EE5&quot;/&gt;&lt;wsp:rsid wsp:val=&quot;00023016&quot;/&gt;&lt;wsp:rsid wsp:val=&quot;00023071&quot;/&gt;&lt;wsp:rsid wsp:val=&quot;00023267&quot;/&gt;&lt;wsp:rsid wsp:val=&quot;000237B4&quot;/&gt;&lt;wsp:rsid wsp:val=&quot;00023819&quot;/&gt;&lt;wsp:rsid wsp:val=&quot;00023C75&quot;/&gt;&lt;wsp:rsid wsp:val=&quot;00023D50&quot;/&gt;&lt;wsp:rsid wsp:val=&quot;00023F32&quot;/&gt;&lt;wsp:rsid wsp:val=&quot;00023F65&quot;/&gt;&lt;wsp:rsid wsp:val=&quot;00023FE7&quot;/&gt;&lt;wsp:rsid wsp:val=&quot;000240C2&quot;/&gt;&lt;wsp:rsid wsp:val=&quot;000240DB&quot;/&gt;&lt;wsp:rsid wsp:val=&quot;000241A1&quot;/&gt;&lt;wsp:rsid wsp:val=&quot;00024371&quot;/&gt;&lt;wsp:rsid wsp:val=&quot;00024525&quot;/&gt;&lt;wsp:rsid wsp:val=&quot;000248D8&quot;/&gt;&lt;wsp:rsid wsp:val=&quot;000249DA&quot;/&gt;&lt;wsp:rsid wsp:val=&quot;00024B3C&quot;/&gt;&lt;wsp:rsid wsp:val=&quot;00025046&quot;/&gt;&lt;wsp:rsid wsp:val=&quot;000252A8&quot;/&gt;&lt;wsp:rsid wsp:val=&quot;00025320&quot;/&gt;&lt;wsp:rsid wsp:val=&quot;0002544D&quot;/&gt;&lt;wsp:rsid wsp:val=&quot;0002562B&quot;/&gt;&lt;wsp:rsid wsp:val=&quot;000256DB&quot;/&gt;&lt;wsp:rsid wsp:val=&quot;00025806&quot;/&gt;&lt;wsp:rsid wsp:val=&quot;00025E7C&quot;/&gt;&lt;wsp:rsid wsp:val=&quot;0002627E&quot;/&gt;&lt;wsp:rsid wsp:val=&quot;00026528&quot;/&gt;&lt;wsp:rsid wsp:val=&quot;0002673C&quot;/&gt;&lt;wsp:rsid wsp:val=&quot;000269C9&quot;/&gt;&lt;wsp:rsid wsp:val=&quot;00026BAA&quot;/&gt;&lt;wsp:rsid wsp:val=&quot;00026DAF&quot;/&gt;&lt;wsp:rsid wsp:val=&quot;000270A2&quot;/&gt;&lt;wsp:rsid wsp:val=&quot;000270F4&quot;/&gt;&lt;wsp:rsid wsp:val=&quot;0002714C&quot;/&gt;&lt;wsp:rsid wsp:val=&quot;000272C4&quot;/&gt;&lt;wsp:rsid wsp:val=&quot;00027344&quot;/&gt;&lt;wsp:rsid wsp:val=&quot;00027469&quot;/&gt;&lt;wsp:rsid wsp:val=&quot;0002749E&quot;/&gt;&lt;wsp:rsid wsp:val=&quot;00027826&quot;/&gt;&lt;wsp:rsid wsp:val=&quot;0002790D&quot;/&gt;&lt;wsp:rsid wsp:val=&quot;00027921&quot;/&gt;&lt;wsp:rsid wsp:val=&quot;00027962&quot;/&gt;&lt;wsp:rsid wsp:val=&quot;00027AAC&quot;/&gt;&lt;wsp:rsid wsp:val=&quot;00027CC8&quot;/&gt;&lt;wsp:rsid wsp:val=&quot;00030778&quot;/&gt;&lt;wsp:rsid wsp:val=&quot;0003077B&quot;/&gt;&lt;wsp:rsid wsp:val=&quot;000309CA&quot;/&gt;&lt;wsp:rsid wsp:val=&quot;00030B81&quot;/&gt;&lt;wsp:rsid wsp:val=&quot;00030C03&quot;/&gt;&lt;wsp:rsid wsp:val=&quot;00030C40&quot;/&gt;&lt;wsp:rsid wsp:val=&quot;00030CCF&quot;/&gt;&lt;wsp:rsid wsp:val=&quot;00030E0B&quot;/&gt;&lt;wsp:rsid wsp:val=&quot;00031347&quot;/&gt;&lt;wsp:rsid wsp:val=&quot;0003168E&quot;/&gt;&lt;wsp:rsid wsp:val=&quot;0003183C&quot;/&gt;&lt;wsp:rsid wsp:val=&quot;0003188F&quot;/&gt;&lt;wsp:rsid wsp:val=&quot;00031A03&quot;/&gt;&lt;wsp:rsid wsp:val=&quot;00031B68&quot;/&gt;&lt;wsp:rsid wsp:val=&quot;00031C7A&quot;/&gt;&lt;wsp:rsid wsp:val=&quot;00031D0A&quot;/&gt;&lt;wsp:rsid wsp:val=&quot;00031EDC&quot;/&gt;&lt;wsp:rsid wsp:val=&quot;00032739&quot;/&gt;&lt;wsp:rsid wsp:val=&quot;00032766&quot;/&gt;&lt;wsp:rsid wsp:val=&quot;00032778&quot;/&gt;&lt;wsp:rsid wsp:val=&quot;00032BB0&quot;/&gt;&lt;wsp:rsid wsp:val=&quot;00032BD3&quot;/&gt;&lt;wsp:rsid wsp:val=&quot;00032FFD&quot;/&gt;&lt;wsp:rsid wsp:val=&quot;0003320F&quot;/&gt;&lt;wsp:rsid wsp:val=&quot;00033356&quot;/&gt;&lt;wsp:rsid wsp:val=&quot;00033453&quot;/&gt;&lt;wsp:rsid wsp:val=&quot;00033810&quot;/&gt;&lt;wsp:rsid wsp:val=&quot;000339A6&quot;/&gt;&lt;wsp:rsid wsp:val=&quot;00033B65&quot;/&gt;&lt;wsp:rsid wsp:val=&quot;00033B79&quot;/&gt;&lt;wsp:rsid wsp:val=&quot;00033EC8&quot;/&gt;&lt;wsp:rsid wsp:val=&quot;00033FE5&quot;/&gt;&lt;wsp:rsid wsp:val=&quot;00034048&quot;/&gt;&lt;wsp:rsid wsp:val=&quot;000340B1&quot;/&gt;&lt;wsp:rsid wsp:val=&quot;00034440&quot;/&gt;&lt;wsp:rsid wsp:val=&quot;000344F0&quot;/&gt;&lt;wsp:rsid wsp:val=&quot;00034806&quot;/&gt;&lt;wsp:rsid wsp:val=&quot;00034B58&quot;/&gt;&lt;wsp:rsid wsp:val=&quot;00034C04&quot;/&gt;&lt;wsp:rsid wsp:val=&quot;00034C56&quot;/&gt;&lt;wsp:rsid wsp:val=&quot;00034D05&quot;/&gt;&lt;wsp:rsid wsp:val=&quot;00034F6C&quot;/&gt;&lt;wsp:rsid wsp:val=&quot;00035332&quot;/&gt;&lt;wsp:rsid wsp:val=&quot;000354CC&quot;/&gt;&lt;wsp:rsid wsp:val=&quot;00035741&quot;/&gt;&lt;wsp:rsid wsp:val=&quot;000359BB&quot;/&gt;&lt;wsp:rsid wsp:val=&quot;00035D13&quot;/&gt;&lt;wsp:rsid wsp:val=&quot;00035EF2&quot;/&gt;&lt;wsp:rsid wsp:val=&quot;00035F88&quot;/&gt;&lt;wsp:rsid wsp:val=&quot;0003623F&quot;/&gt;&lt;wsp:rsid wsp:val=&quot;000362AD&quot;/&gt;&lt;wsp:rsid wsp:val=&quot;0003637C&quot;/&gt;&lt;wsp:rsid wsp:val=&quot;0003660F&quot;/&gt;&lt;wsp:rsid wsp:val=&quot;0003674C&quot;/&gt;&lt;wsp:rsid wsp:val=&quot;00036858&quot;/&gt;&lt;wsp:rsid wsp:val=&quot;00036879&quot;/&gt;&lt;wsp:rsid wsp:val=&quot;00036927&quot;/&gt;&lt;wsp:rsid wsp:val=&quot;00036BA6&quot;/&gt;&lt;wsp:rsid wsp:val=&quot;00036DDB&quot;/&gt;&lt;wsp:rsid wsp:val=&quot;00036EE1&quot;/&gt;&lt;wsp:rsid wsp:val=&quot;00036F69&quot;/&gt;&lt;wsp:rsid wsp:val=&quot;00036F9A&quot;/&gt;&lt;wsp:rsid wsp:val=&quot;00037226&quot;/&gt;&lt;wsp:rsid wsp:val=&quot;00037958&quot;/&gt;&lt;wsp:rsid wsp:val=&quot;000379F1&quot;/&gt;&lt;wsp:rsid wsp:val=&quot;00037C3A&quot;/&gt;&lt;wsp:rsid wsp:val=&quot;000402C0&quot;/&gt;&lt;wsp:rsid wsp:val=&quot;000402CF&quot;/&gt;&lt;wsp:rsid wsp:val=&quot;00040374&quot;/&gt;&lt;wsp:rsid wsp:val=&quot;000403AB&quot;/&gt;&lt;wsp:rsid wsp:val=&quot;00040480&quot;/&gt;&lt;wsp:rsid wsp:val=&quot;000404FC&quot;/&gt;&lt;wsp:rsid wsp:val=&quot;000405C1&quot;/&gt;&lt;wsp:rsid wsp:val=&quot;00040B9C&quot;/&gt;&lt;wsp:rsid wsp:val=&quot;00040D5F&quot;/&gt;&lt;wsp:rsid wsp:val=&quot;000411E5&quot;/&gt;&lt;wsp:rsid wsp:val=&quot;000417F9&quot;/&gt;&lt;wsp:rsid wsp:val=&quot;00041BEE&quot;/&gt;&lt;wsp:rsid wsp:val=&quot;00041BF2&quot;/&gt;&lt;wsp:rsid wsp:val=&quot;00042019&quot;/&gt;&lt;wsp:rsid wsp:val=&quot;00042028&quot;/&gt;&lt;wsp:rsid wsp:val=&quot;00042046&quot;/&gt;&lt;wsp:rsid wsp:val=&quot;00042119&quot;/&gt;&lt;wsp:rsid wsp:val=&quot;000422BD&quot;/&gt;&lt;wsp:rsid wsp:val=&quot;000427F7&quot;/&gt;&lt;wsp:rsid wsp:val=&quot;000429E9&quot;/&gt;&lt;wsp:rsid wsp:val=&quot;00042C96&quot;/&gt;&lt;wsp:rsid wsp:val=&quot;00042D4F&quot;/&gt;&lt;wsp:rsid wsp:val=&quot;00042E01&quot;/&gt;&lt;wsp:rsid wsp:val=&quot;00042EE0&quot;/&gt;&lt;wsp:rsid wsp:val=&quot;00042F6C&quot;/&gt;&lt;wsp:rsid wsp:val=&quot;0004301F&quot;/&gt;&lt;wsp:rsid wsp:val=&quot;000437D7&quot;/&gt;&lt;wsp:rsid wsp:val=&quot;000439D5&quot;/&gt;&lt;wsp:rsid wsp:val=&quot;00043B2E&quot;/&gt;&lt;wsp:rsid wsp:val=&quot;00043EAC&quot;/&gt;&lt;wsp:rsid wsp:val=&quot;00044260&quot;/&gt;&lt;wsp:rsid wsp:val=&quot;00044329&quot;/&gt;&lt;wsp:rsid wsp:val=&quot;00044548&quot;/&gt;&lt;wsp:rsid wsp:val=&quot;000446A1&quot;/&gt;&lt;wsp:rsid wsp:val=&quot;00044713&quot;/&gt;&lt;wsp:rsid wsp:val=&quot;00044C34&quot;/&gt;&lt;wsp:rsid wsp:val=&quot;00044C47&quot;/&gt;&lt;wsp:rsid wsp:val=&quot;00044DEF&quot;/&gt;&lt;wsp:rsid wsp:val=&quot;00044E51&quot;/&gt;&lt;wsp:rsid wsp:val=&quot;0004530D&quot;/&gt;&lt;wsp:rsid wsp:val=&quot;00045455&quot;/&gt;&lt;wsp:rsid wsp:val=&quot;0004552F&quot;/&gt;&lt;wsp:rsid wsp:val=&quot;00045687&quot;/&gt;&lt;wsp:rsid wsp:val=&quot;00045A1C&quot;/&gt;&lt;wsp:rsid wsp:val=&quot;00045D77&quot;/&gt;&lt;wsp:rsid wsp:val=&quot;00045EEF&quot;/&gt;&lt;wsp:rsid wsp:val=&quot;00046045&quot;/&gt;&lt;wsp:rsid wsp:val=&quot;00046111&quot;/&gt;&lt;wsp:rsid wsp:val=&quot;000462E7&quot;/&gt;&lt;wsp:rsid wsp:val=&quot;0004632E&quot;/&gt;&lt;wsp:rsid wsp:val=&quot;00046422&quot;/&gt;&lt;wsp:rsid wsp:val=&quot;00046592&quot;/&gt;&lt;wsp:rsid wsp:val=&quot;0004684E&quot;/&gt;&lt;wsp:rsid wsp:val=&quot;00046978&quot;/&gt;&lt;wsp:rsid wsp:val=&quot;00046CD9&quot;/&gt;&lt;wsp:rsid wsp:val=&quot;00046E4E&quot;/&gt;&lt;wsp:rsid wsp:val=&quot;00046F4C&quot;/&gt;&lt;wsp:rsid wsp:val=&quot;00047274&quot;/&gt;&lt;wsp:rsid wsp:val=&quot;00047BC8&quot;/&gt;&lt;wsp:rsid wsp:val=&quot;00047C9A&quot;/&gt;&lt;wsp:rsid wsp:val=&quot;00047FBF&quot;/&gt;&lt;wsp:rsid wsp:val=&quot;00050255&quot;/&gt;&lt;wsp:rsid wsp:val=&quot;00050357&quot;/&gt;&lt;wsp:rsid wsp:val=&quot;00050452&quot;/&gt;&lt;wsp:rsid wsp:val=&quot;000506D2&quot;/&gt;&lt;wsp:rsid wsp:val=&quot;00050A1C&quot;/&gt;&lt;wsp:rsid wsp:val=&quot;00050B6D&quot;/&gt;&lt;wsp:rsid wsp:val=&quot;00050CAA&quot;/&gt;&lt;wsp:rsid wsp:val=&quot;00050CCB&quot;/&gt;&lt;wsp:rsid wsp:val=&quot;00050CD7&quot;/&gt;&lt;wsp:rsid wsp:val=&quot;000517F8&quot;/&gt;&lt;wsp:rsid wsp:val=&quot;0005185E&quot;/&gt;&lt;wsp:rsid wsp:val=&quot;00051BD8&quot;/&gt;&lt;wsp:rsid wsp:val=&quot;000521C0&quot;/&gt;&lt;wsp:rsid wsp:val=&quot;00052591&quot;/&gt;&lt;wsp:rsid wsp:val=&quot;000526A3&quot;/&gt;&lt;wsp:rsid wsp:val=&quot;00052AB6&quot;/&gt;&lt;wsp:rsid wsp:val=&quot;00052AF9&quot;/&gt;&lt;wsp:rsid wsp:val=&quot;00052CE0&quot;/&gt;&lt;wsp:rsid wsp:val=&quot;000532EF&quot;/&gt;&lt;wsp:rsid wsp:val=&quot;00053527&quot;/&gt;&lt;wsp:rsid wsp:val=&quot;0005363B&quot;/&gt;&lt;wsp:rsid wsp:val=&quot;000536CC&quot;/&gt;&lt;wsp:rsid wsp:val=&quot;00053721&quot;/&gt;&lt;wsp:rsid wsp:val=&quot;0005397E&quot;/&gt;&lt;wsp:rsid wsp:val=&quot;00053A48&quot;/&gt;&lt;wsp:rsid wsp:val=&quot;00053B18&quot;/&gt;&lt;wsp:rsid wsp:val=&quot;00053B2C&quot;/&gt;&lt;wsp:rsid wsp:val=&quot;00053D6C&quot;/&gt;&lt;wsp:rsid wsp:val=&quot;00054079&quot;/&gt;&lt;wsp:rsid wsp:val=&quot;0005416F&quot;/&gt;&lt;wsp:rsid wsp:val=&quot;00054290&quot;/&gt;&lt;wsp:rsid wsp:val=&quot;000543BD&quot;/&gt;&lt;wsp:rsid wsp:val=&quot;000543E3&quot;/&gt;&lt;wsp:rsid wsp:val=&quot;00054CBF&quot;/&gt;&lt;wsp:rsid wsp:val=&quot;00055108&quot;/&gt;&lt;wsp:rsid wsp:val=&quot;0005516A&quot;/&gt;&lt;wsp:rsid wsp:val=&quot;00055190&quot;/&gt;&lt;wsp:rsid wsp:val=&quot;000553C6&quot;/&gt;&lt;wsp:rsid wsp:val=&quot;0005546B&quot;/&gt;&lt;wsp:rsid wsp:val=&quot;000555AB&quot;/&gt;&lt;wsp:rsid wsp:val=&quot;0005563C&quot;/&gt;&lt;wsp:rsid wsp:val=&quot;00055AE5&quot;/&gt;&lt;wsp:rsid wsp:val=&quot;00055E7A&quot;/&gt;&lt;wsp:rsid wsp:val=&quot;0005622E&quot;/&gt;&lt;wsp:rsid wsp:val=&quot;00056774&quot;/&gt;&lt;wsp:rsid wsp:val=&quot;0005697C&quot;/&gt;&lt;wsp:rsid wsp:val=&quot;00056AF5&quot;/&gt;&lt;wsp:rsid wsp:val=&quot;00056C0B&quot;/&gt;&lt;wsp:rsid wsp:val=&quot;00056CA4&quot;/&gt;&lt;wsp:rsid wsp:val=&quot;00056D7C&quot;/&gt;&lt;wsp:rsid wsp:val=&quot;00056DAB&quot;/&gt;&lt;wsp:rsid wsp:val=&quot;00056DAE&quot;/&gt;&lt;wsp:rsid wsp:val=&quot;00056F76&quot;/&gt;&lt;wsp:rsid wsp:val=&quot;00056FC1&quot;/&gt;&lt;wsp:rsid wsp:val=&quot;000570AF&quot;/&gt;&lt;wsp:rsid wsp:val=&quot;00057385&quot;/&gt;&lt;wsp:rsid wsp:val=&quot;000573B8&quot;/&gt;&lt;wsp:rsid wsp:val=&quot;000574F7&quot;/&gt;&lt;wsp:rsid wsp:val=&quot;000576CD&quot;/&gt;&lt;wsp:rsid wsp:val=&quot;00057D71&quot;/&gt;&lt;wsp:rsid wsp:val=&quot;00057D7E&quot;/&gt;&lt;wsp:rsid wsp:val=&quot;00057E83&quot;/&gt;&lt;wsp:rsid wsp:val=&quot;00057EB6&quot;/&gt;&lt;wsp:rsid wsp:val=&quot;000603DC&quot;/&gt;&lt;wsp:rsid wsp:val=&quot;000605F1&quot;/&gt;&lt;wsp:rsid wsp:val=&quot;000607A3&quot;/&gt;&lt;wsp:rsid wsp:val=&quot;00060D4B&quot;/&gt;&lt;wsp:rsid wsp:val=&quot;00060DF7&quot;/&gt;&lt;wsp:rsid wsp:val=&quot;00060E74&quot;/&gt;&lt;wsp:rsid wsp:val=&quot;0006103F&quot;/&gt;&lt;wsp:rsid wsp:val=&quot;0006106D&quot;/&gt;&lt;wsp:rsid wsp:val=&quot;0006118D&quot;/&gt;&lt;wsp:rsid wsp:val=&quot;000612D8&quot;/&gt;&lt;wsp:rsid wsp:val=&quot;000614D2&quot;/&gt;&lt;wsp:rsid wsp:val=&quot;00061AB7&quot;/&gt;&lt;wsp:rsid wsp:val=&quot;00061B46&quot;/&gt;&lt;wsp:rsid wsp:val=&quot;00062099&quot;/&gt;&lt;wsp:rsid wsp:val=&quot;0006244C&quot;/&gt;&lt;wsp:rsid wsp:val=&quot;00062548&quot;/&gt;&lt;wsp:rsid wsp:val=&quot;000625E8&quot;/&gt;&lt;wsp:rsid wsp:val=&quot;00062AEB&quot;/&gt;&lt;wsp:rsid wsp:val=&quot;00062BB2&quot;/&gt;&lt;wsp:rsid wsp:val=&quot;00063298&quot;/&gt;&lt;wsp:rsid wsp:val=&quot;00063552&quot;/&gt;&lt;wsp:rsid wsp:val=&quot;0006357F&quot;/&gt;&lt;wsp:rsid wsp:val=&quot;00063C41&quot;/&gt;&lt;wsp:rsid wsp:val=&quot;00063EDF&quot;/&gt;&lt;wsp:rsid wsp:val=&quot;00063EE0&quot;/&gt;&lt;wsp:rsid wsp:val=&quot;000642C7&quot;/&gt;&lt;wsp:rsid wsp:val=&quot;000646EC&quot;/&gt;&lt;wsp:rsid wsp:val=&quot;000649F8&quot;/&gt;&lt;wsp:rsid wsp:val=&quot;00064CD2&quot;/&gt;&lt;wsp:rsid wsp:val=&quot;00064F8D&quot;/&gt;&lt;wsp:rsid wsp:val=&quot;0006543A&quot;/&gt;&lt;wsp:rsid wsp:val=&quot;000654BE&quot;/&gt;&lt;wsp:rsid wsp:val=&quot;0006572E&quot;/&gt;&lt;wsp:rsid wsp:val=&quot;0006574B&quot;/&gt;&lt;wsp:rsid wsp:val=&quot;00065F98&quot;/&gt;&lt;wsp:rsid wsp:val=&quot;00066234&quot;/&gt;&lt;wsp:rsid wsp:val=&quot;000663D4&quot;/&gt;&lt;wsp:rsid wsp:val=&quot;000664F2&quot;/&gt;&lt;wsp:rsid wsp:val=&quot;0006663E&quot;/&gt;&lt;wsp:rsid wsp:val=&quot;00066984&quot;/&gt;&lt;wsp:rsid wsp:val=&quot;00066E67&quot;/&gt;&lt;wsp:rsid wsp:val=&quot;00066F6E&quot;/&gt;&lt;wsp:rsid wsp:val=&quot;00066F8D&quot;/&gt;&lt;wsp:rsid wsp:val=&quot;000670C8&quot;/&gt;&lt;wsp:rsid wsp:val=&quot;0006739A&quot;/&gt;&lt;wsp:rsid wsp:val=&quot;00067C40&quot;/&gt;&lt;wsp:rsid wsp:val=&quot;00067C54&quot;/&gt;&lt;wsp:rsid wsp:val=&quot;00067E5E&quot;/&gt;&lt;wsp:rsid wsp:val=&quot;00067FDD&quot;/&gt;&lt;wsp:rsid wsp:val=&quot;000707EF&quot;/&gt;&lt;wsp:rsid wsp:val=&quot;00070D4A&quot;/&gt;&lt;wsp:rsid wsp:val=&quot;0007105F&quot;/&gt;&lt;wsp:rsid wsp:val=&quot;000711E6&quot;/&gt;&lt;wsp:rsid wsp:val=&quot;0007133F&quot;/&gt;&lt;wsp:rsid wsp:val=&quot;00071465&quot;/&gt;&lt;wsp:rsid wsp:val=&quot;0007146A&quot;/&gt;&lt;wsp:rsid wsp:val=&quot;0007198E&quot;/&gt;&lt;wsp:rsid wsp:val=&quot;00071B7B&quot;/&gt;&lt;wsp:rsid wsp:val=&quot;00071B9F&quot;/&gt;&lt;wsp:rsid wsp:val=&quot;0007207A&quot;/&gt;&lt;wsp:rsid wsp:val=&quot;000722DC&quot;/&gt;&lt;wsp:rsid wsp:val=&quot;000725E4&quot;/&gt;&lt;wsp:rsid wsp:val=&quot;000725ED&quot;/&gt;&lt;wsp:rsid wsp:val=&quot;0007296F&quot;/&gt;&lt;wsp:rsid wsp:val=&quot;00072A67&quot;/&gt;&lt;wsp:rsid wsp:val=&quot;00072E1D&quot;/&gt;&lt;wsp:rsid wsp:val=&quot;00073176&quot;/&gt;&lt;wsp:rsid wsp:val=&quot;0007317A&quot;/&gt;&lt;wsp:rsid wsp:val=&quot;000734DE&quot;/&gt;&lt;wsp:rsid wsp:val=&quot;0007391A&quot;/&gt;&lt;wsp:rsid wsp:val=&quot;0007393C&quot;/&gt;&lt;wsp:rsid wsp:val=&quot;000739D4&quot;/&gt;&lt;wsp:rsid wsp:val=&quot;00073AE8&quot;/&gt;&lt;wsp:rsid wsp:val=&quot;00073D00&quot;/&gt;&lt;wsp:rsid wsp:val=&quot;00073D9E&quot;/&gt;&lt;wsp:rsid wsp:val=&quot;00074017&quot;/&gt;&lt;wsp:rsid wsp:val=&quot;00074258&quot;/&gt;&lt;wsp:rsid wsp:val=&quot;00074BC8&quot;/&gt;&lt;wsp:rsid wsp:val=&quot;00074CA1&quot;/&gt;&lt;wsp:rsid wsp:val=&quot;00074DBF&quot;/&gt;&lt;wsp:rsid wsp:val=&quot;00074E4E&quot;/&gt;&lt;wsp:rsid wsp:val=&quot;000754B8&quot;/&gt;&lt;wsp:rsid wsp:val=&quot;00075569&quot;/&gt;&lt;wsp:rsid wsp:val=&quot;00075596&quot;/&gt;&lt;wsp:rsid wsp:val=&quot;00075953&quot;/&gt;&lt;wsp:rsid wsp:val=&quot;00075A1F&quot;/&gt;&lt;wsp:rsid wsp:val=&quot;00075C91&quot;/&gt;&lt;wsp:rsid wsp:val=&quot;00075EA8&quot;/&gt;&lt;wsp:rsid wsp:val=&quot;00075F0F&quot;/&gt;&lt;wsp:rsid wsp:val=&quot;00075F90&quot;/&gt;&lt;wsp:rsid wsp:val=&quot;00076556&quot;/&gt;&lt;wsp:rsid wsp:val=&quot;00076E41&quot;/&gt;&lt;wsp:rsid wsp:val=&quot;00076E64&quot;/&gt;&lt;wsp:rsid wsp:val=&quot;00076FEF&quot;/&gt;&lt;wsp:rsid wsp:val=&quot;0007723F&quot;/&gt;&lt;wsp:rsid wsp:val=&quot;000774FA&quot;/&gt;&lt;wsp:rsid wsp:val=&quot;0007758A&quot;/&gt;&lt;wsp:rsid wsp:val=&quot;00077665&quot;/&gt;&lt;wsp:rsid wsp:val=&quot;000776B5&quot;/&gt;&lt;wsp:rsid wsp:val=&quot;000777A1&quot;/&gt;&lt;wsp:rsid wsp:val=&quot;0007793B&quot;/&gt;&lt;wsp:rsid wsp:val=&quot;00077C9D&quot;/&gt;&lt;wsp:rsid wsp:val=&quot;00077CD8&quot;/&gt;&lt;wsp:rsid wsp:val=&quot;00077D17&quot;/&gt;&lt;wsp:rsid wsp:val=&quot;00077EB6&quot;/&gt;&lt;wsp:rsid wsp:val=&quot;0008008C&quot;/&gt;&lt;wsp:rsid wsp:val=&quot;0008026A&quot;/&gt;&lt;wsp:rsid wsp:val=&quot;00080292&quot;/&gt;&lt;wsp:rsid wsp:val=&quot;00080A44&quot;/&gt;&lt;wsp:rsid wsp:val=&quot;00080CD8&quot;/&gt;&lt;wsp:rsid wsp:val=&quot;000810AC&quot;/&gt;&lt;wsp:rsid wsp:val=&quot;000811A9&quot;/&gt;&lt;wsp:rsid wsp:val=&quot;000811ED&quot;/&gt;&lt;wsp:rsid wsp:val=&quot;0008191C&quot;/&gt;&lt;wsp:rsid wsp:val=&quot;00081A47&quot;/&gt;&lt;wsp:rsid wsp:val=&quot;00081C9A&quot;/&gt;&lt;wsp:rsid wsp:val=&quot;00081CBA&quot;/&gt;&lt;wsp:rsid wsp:val=&quot;00081CCC&quot;/&gt;&lt;wsp:rsid wsp:val=&quot;00081DC6&quot;/&gt;&lt;wsp:rsid wsp:val=&quot;00081E93&quot;/&gt;&lt;wsp:rsid wsp:val=&quot;00081F13&quot;/&gt;&lt;wsp:rsid wsp:val=&quot;00082145&quot;/&gt;&lt;wsp:rsid wsp:val=&quot;000823DA&quot;/&gt;&lt;wsp:rsid wsp:val=&quot;00082562&quot;/&gt;&lt;wsp:rsid wsp:val=&quot;000828B1&quot;/&gt;&lt;wsp:rsid wsp:val=&quot;00082B28&quot;/&gt;&lt;wsp:rsid wsp:val=&quot;00082BEB&quot;/&gt;&lt;wsp:rsid wsp:val=&quot;00082D42&quot;/&gt;&lt;wsp:rsid wsp:val=&quot;00082D51&quot;/&gt;&lt;wsp:rsid wsp:val=&quot;00082D79&quot;/&gt;&lt;wsp:rsid wsp:val=&quot;00082E87&quot;/&gt;&lt;wsp:rsid wsp:val=&quot;00083037&quot;/&gt;&lt;wsp:rsid wsp:val=&quot;00083089&quot;/&gt;&lt;wsp:rsid wsp:val=&quot;000831EF&quot;/&gt;&lt;wsp:rsid wsp:val=&quot;00083487&quot;/&gt;&lt;wsp:rsid wsp:val=&quot;0008358F&quot;/&gt;&lt;wsp:rsid wsp:val=&quot;000836A3&quot;/&gt;&lt;wsp:rsid wsp:val=&quot;000837C1&quot;/&gt;&lt;wsp:rsid wsp:val=&quot;00083BD3&quot;/&gt;&lt;wsp:rsid wsp:val=&quot;00083D85&quot;/&gt;&lt;wsp:rsid wsp:val=&quot;00083F1A&quot;/&gt;&lt;wsp:rsid wsp:val=&quot;000841BC&quot;/&gt;&lt;wsp:rsid wsp:val=&quot;000842A7&quot;/&gt;&lt;wsp:rsid wsp:val=&quot;000844FD&quot;/&gt;&lt;wsp:rsid wsp:val=&quot;000846CB&quot;/&gt;&lt;wsp:rsid wsp:val=&quot;0008471E&quot;/&gt;&lt;wsp:rsid wsp:val=&quot;00084F2B&quot;/&gt;&lt;wsp:rsid wsp:val=&quot;00085136&quot;/&gt;&lt;wsp:rsid wsp:val=&quot;0008522C&quot;/&gt;&lt;wsp:rsid wsp:val=&quot;0008526E&quot;/&gt;&lt;wsp:rsid wsp:val=&quot;00085B96&quot;/&gt;&lt;wsp:rsid wsp:val=&quot;0008603B&quot;/&gt;&lt;wsp:rsid wsp:val=&quot;00086240&quot;/&gt;&lt;wsp:rsid wsp:val=&quot;000862AC&quot;/&gt;&lt;wsp:rsid wsp:val=&quot;00086370&quot;/&gt;&lt;wsp:rsid wsp:val=&quot;00086975&quot;/&gt;&lt;wsp:rsid wsp:val=&quot;00086990&quot;/&gt;&lt;wsp:rsid wsp:val=&quot;00086C54&quot;/&gt;&lt;wsp:rsid wsp:val=&quot;00086D56&quot;/&gt;&lt;wsp:rsid wsp:val=&quot;00086D7A&quot;/&gt;&lt;wsp:rsid wsp:val=&quot;00086D7B&quot;/&gt;&lt;wsp:rsid wsp:val=&quot;0008705E&quot;/&gt;&lt;wsp:rsid wsp:val=&quot;00087316&quot;/&gt;&lt;wsp:rsid wsp:val=&quot;00087434&quot;/&gt;&lt;wsp:rsid wsp:val=&quot;000875D2&quot;/&gt;&lt;wsp:rsid wsp:val=&quot;000876C9&quot;/&gt;&lt;wsp:rsid wsp:val=&quot;000878F1&quot;/&gt;&lt;wsp:rsid wsp:val=&quot;00087C3C&quot;/&gt;&lt;wsp:rsid wsp:val=&quot;00087D8D&quot;/&gt;&lt;wsp:rsid wsp:val=&quot;000905E8&quot;/&gt;&lt;wsp:rsid wsp:val=&quot;00090813&quot;/&gt;&lt;wsp:rsid wsp:val=&quot;00090A18&quot;/&gt;&lt;wsp:rsid wsp:val=&quot;00090AC8&quot;/&gt;&lt;wsp:rsid wsp:val=&quot;00090CF4&quot;/&gt;&lt;wsp:rsid wsp:val=&quot;000913AE&quot;/&gt;&lt;wsp:rsid wsp:val=&quot;000914F2&quot;/&gt;&lt;wsp:rsid wsp:val=&quot;00091514&quot;/&gt;&lt;wsp:rsid wsp:val=&quot;00091557&quot;/&gt;&lt;wsp:rsid wsp:val=&quot;00091602&quot;/&gt;&lt;wsp:rsid wsp:val=&quot;00091625&quot;/&gt;&lt;wsp:rsid wsp:val=&quot;00091626&quot;/&gt;&lt;wsp:rsid wsp:val=&quot;00091837&quot;/&gt;&lt;wsp:rsid wsp:val=&quot;00091B14&quot;/&gt;&lt;wsp:rsid wsp:val=&quot;00091EEC&quot;/&gt;&lt;wsp:rsid wsp:val=&quot;00092224&quot;/&gt;&lt;wsp:rsid wsp:val=&quot;000924C4&quot;/&gt;&lt;wsp:rsid wsp:val=&quot;000924CE&quot;/&gt;&lt;wsp:rsid wsp:val=&quot;000927FB&quot;/&gt;&lt;wsp:rsid wsp:val=&quot;000929EB&quot;/&gt;&lt;wsp:rsid wsp:val=&quot;00092C69&quot;/&gt;&lt;wsp:rsid wsp:val=&quot;00092F22&quot;/&gt;&lt;wsp:rsid wsp:val=&quot;00093090&quot;/&gt;&lt;wsp:rsid wsp:val=&quot;0009336D&quot;/&gt;&lt;wsp:rsid wsp:val=&quot;000933F1&quot;/&gt;&lt;wsp:rsid wsp:val=&quot;0009340B&quot;/&gt;&lt;wsp:rsid wsp:val=&quot;0009354C&quot;/&gt;&lt;wsp:rsid wsp:val=&quot;00093598&quot;/&gt;&lt;wsp:rsid wsp:val=&quot;000937DA&quot;/&gt;&lt;wsp:rsid wsp:val=&quot;0009385E&quot;/&gt;&lt;wsp:rsid wsp:val=&quot;000939B0&quot;/&gt;&lt;wsp:rsid wsp:val=&quot;00093AED&quot;/&gt;&lt;wsp:rsid wsp:val=&quot;00093BE1&quot;/&gt;&lt;wsp:rsid wsp:val=&quot;00093E99&quot;/&gt;&lt;wsp:rsid wsp:val=&quot;00094557&quot;/&gt;&lt;wsp:rsid wsp:val=&quot;000945F6&quot;/&gt;&lt;wsp:rsid wsp:val=&quot;00094778&quot;/&gt;&lt;wsp:rsid wsp:val=&quot;00094FA3&quot;/&gt;&lt;wsp:rsid wsp:val=&quot;00094FAD&quot;/&gt;&lt;wsp:rsid wsp:val=&quot;00095351&quot;/&gt;&lt;wsp:rsid wsp:val=&quot;000958F8&quot;/&gt;&lt;wsp:rsid wsp:val=&quot;00095B50&quot;/&gt;&lt;wsp:rsid wsp:val=&quot;00096171&quot;/&gt;&lt;wsp:rsid wsp:val=&quot;000962D6&quot;/&gt;&lt;wsp:rsid wsp:val=&quot;0009632E&quot;/&gt;&lt;wsp:rsid wsp:val=&quot;0009639C&quot;/&gt;&lt;wsp:rsid wsp:val=&quot;000965F0&quot;/&gt;&lt;wsp:rsid wsp:val=&quot;00096756&quot;/&gt;&lt;wsp:rsid wsp:val=&quot;00096799&quot;/&gt;&lt;wsp:rsid wsp:val=&quot;00097069&quot;/&gt;&lt;wsp:rsid wsp:val=&quot;000974FF&quot;/&gt;&lt;wsp:rsid wsp:val=&quot;00097517&quot;/&gt;&lt;wsp:rsid wsp:val=&quot;000976FE&quot;/&gt;&lt;wsp:rsid wsp:val=&quot;00097BA3&quot;/&gt;&lt;wsp:rsid wsp:val=&quot;00097C02&quot;/&gt;&lt;wsp:rsid wsp:val=&quot;00097EB6&quot;/&gt;&lt;wsp:rsid wsp:val=&quot;00097F4D&quot;/&gt;&lt;wsp:rsid wsp:val=&quot;000A025E&quot;/&gt;&lt;wsp:rsid wsp:val=&quot;000A0353&quot;/&gt;&lt;wsp:rsid wsp:val=&quot;000A06E5&quot;/&gt;&lt;wsp:rsid wsp:val=&quot;000A09A8&quot;/&gt;&lt;wsp:rsid wsp:val=&quot;000A0DAB&quot;/&gt;&lt;wsp:rsid wsp:val=&quot;000A0F2E&quot;/&gt;&lt;wsp:rsid wsp:val=&quot;000A11CB&quot;/&gt;&lt;wsp:rsid wsp:val=&quot;000A12A2&quot;/&gt;&lt;wsp:rsid wsp:val=&quot;000A13EF&quot;/&gt;&lt;wsp:rsid wsp:val=&quot;000A154F&quot;/&gt;&lt;wsp:rsid wsp:val=&quot;000A1575&quot;/&gt;&lt;wsp:rsid wsp:val=&quot;000A18A2&quot;/&gt;&lt;wsp:rsid wsp:val=&quot;000A18F6&quot;/&gt;&lt;wsp:rsid wsp:val=&quot;000A1C6B&quot;/&gt;&lt;wsp:rsid wsp:val=&quot;000A1D6E&quot;/&gt;&lt;wsp:rsid wsp:val=&quot;000A20FA&quot;/&gt;&lt;wsp:rsid wsp:val=&quot;000A21A3&quot;/&gt;&lt;wsp:rsid wsp:val=&quot;000A21DA&quot;/&gt;&lt;wsp:rsid wsp:val=&quot;000A2553&quot;/&gt;&lt;wsp:rsid wsp:val=&quot;000A26C4&quot;/&gt;&lt;wsp:rsid wsp:val=&quot;000A2743&quot;/&gt;&lt;wsp:rsid wsp:val=&quot;000A2928&quot;/&gt;&lt;wsp:rsid wsp:val=&quot;000A29AD&quot;/&gt;&lt;wsp:rsid wsp:val=&quot;000A3054&quot;/&gt;&lt;wsp:rsid wsp:val=&quot;000A3BA8&quot;/&gt;&lt;wsp:rsid wsp:val=&quot;000A3EA2&quot;/&gt;&lt;wsp:rsid wsp:val=&quot;000A3FFB&quot;/&gt;&lt;wsp:rsid wsp:val=&quot;000A42E1&quot;/&gt;&lt;wsp:rsid wsp:val=&quot;000A4552&quot;/&gt;&lt;wsp:rsid wsp:val=&quot;000A4AE6&quot;/&gt;&lt;wsp:rsid wsp:val=&quot;000A4F83&quot;/&gt;&lt;wsp:rsid wsp:val=&quot;000A51CF&quot;/&gt;&lt;wsp:rsid wsp:val=&quot;000A5294&quot;/&gt;&lt;wsp:rsid wsp:val=&quot;000A544B&quot;/&gt;&lt;wsp:rsid wsp:val=&quot;000A572A&quot;/&gt;&lt;wsp:rsid wsp:val=&quot;000A58B9&quot;/&gt;&lt;wsp:rsid wsp:val=&quot;000A5932&quot;/&gt;&lt;wsp:rsid wsp:val=&quot;000A5D1D&quot;/&gt;&lt;wsp:rsid wsp:val=&quot;000A5FF2&quot;/&gt;&lt;wsp:rsid wsp:val=&quot;000A603D&quot;/&gt;&lt;wsp:rsid wsp:val=&quot;000A62BB&quot;/&gt;&lt;wsp:rsid wsp:val=&quot;000A6491&quot;/&gt;&lt;wsp:rsid wsp:val=&quot;000A6813&quot;/&gt;&lt;wsp:rsid wsp:val=&quot;000A6ECC&quot;/&gt;&lt;wsp:rsid wsp:val=&quot;000A743E&quot;/&gt;&lt;wsp:rsid wsp:val=&quot;000A749F&quot;/&gt;&lt;wsp:rsid wsp:val=&quot;000A75C0&quot;/&gt;&lt;wsp:rsid wsp:val=&quot;000A76A8&quot;/&gt;&lt;wsp:rsid wsp:val=&quot;000A7A9B&quot;/&gt;&lt;wsp:rsid wsp:val=&quot;000A7BED&quot;/&gt;&lt;wsp:rsid wsp:val=&quot;000A7C11&quot;/&gt;&lt;wsp:rsid wsp:val=&quot;000A7C8D&quot;/&gt;&lt;wsp:rsid wsp:val=&quot;000A7D08&quot;/&gt;&lt;wsp:rsid wsp:val=&quot;000A7E36&quot;/&gt;&lt;wsp:rsid wsp:val=&quot;000A7E91&quot;/&gt;&lt;wsp:rsid wsp:val=&quot;000A7F98&quot;/&gt;&lt;wsp:rsid wsp:val=&quot;000B0585&quot;/&gt;&lt;wsp:rsid wsp:val=&quot;000B082A&quot;/&gt;&lt;wsp:rsid wsp:val=&quot;000B0977&quot;/&gt;&lt;wsp:rsid wsp:val=&quot;000B0CEF&quot;/&gt;&lt;wsp:rsid wsp:val=&quot;000B11D6&quot;/&gt;&lt;wsp:rsid wsp:val=&quot;000B1547&quot;/&gt;&lt;wsp:rsid wsp:val=&quot;000B1840&quot;/&gt;&lt;wsp:rsid wsp:val=&quot;000B185A&quot;/&gt;&lt;wsp:rsid wsp:val=&quot;000B188D&quot;/&gt;&lt;wsp:rsid wsp:val=&quot;000B1DC1&quot;/&gt;&lt;wsp:rsid wsp:val=&quot;000B22FC&quot;/&gt;&lt;wsp:rsid wsp:val=&quot;000B2680&quot;/&gt;&lt;wsp:rsid wsp:val=&quot;000B2917&quot;/&gt;&lt;wsp:rsid wsp:val=&quot;000B29EC&quot;/&gt;&lt;wsp:rsid wsp:val=&quot;000B2A02&quot;/&gt;&lt;wsp:rsid wsp:val=&quot;000B2A05&quot;/&gt;&lt;wsp:rsid wsp:val=&quot;000B2ADC&quot;/&gt;&lt;wsp:rsid wsp:val=&quot;000B2DD1&quot;/&gt;&lt;wsp:rsid wsp:val=&quot;000B2E58&quot;/&gt;&lt;wsp:rsid wsp:val=&quot;000B2F57&quot;/&gt;&lt;wsp:rsid wsp:val=&quot;000B30D3&quot;/&gt;&lt;wsp:rsid wsp:val=&quot;000B31DB&quot;/&gt;&lt;wsp:rsid wsp:val=&quot;000B38CB&quot;/&gt;&lt;wsp:rsid wsp:val=&quot;000B41FF&quot;/&gt;&lt;wsp:rsid wsp:val=&quot;000B46A3&quot;/&gt;&lt;wsp:rsid wsp:val=&quot;000B4BB2&quot;/&gt;&lt;wsp:rsid wsp:val=&quot;000B4EAF&quot;/&gt;&lt;wsp:rsid wsp:val=&quot;000B5053&quot;/&gt;&lt;wsp:rsid wsp:val=&quot;000B5149&quot;/&gt;&lt;wsp:rsid wsp:val=&quot;000B516F&quot;/&gt;&lt;wsp:rsid wsp:val=&quot;000B5277&quot;/&gt;&lt;wsp:rsid wsp:val=&quot;000B54BD&quot;/&gt;&lt;wsp:rsid wsp:val=&quot;000B56A7&quot;/&gt;&lt;wsp:rsid wsp:val=&quot;000B5874&quot;/&gt;&lt;wsp:rsid wsp:val=&quot;000B59ED&quot;/&gt;&lt;wsp:rsid wsp:val=&quot;000B5BC9&quot;/&gt;&lt;wsp:rsid wsp:val=&quot;000B5D35&quot;/&gt;&lt;wsp:rsid wsp:val=&quot;000B5E8B&quot;/&gt;&lt;wsp:rsid wsp:val=&quot;000B6114&quot;/&gt;&lt;wsp:rsid wsp:val=&quot;000B611D&quot;/&gt;&lt;wsp:rsid wsp:val=&quot;000B6209&quot;/&gt;&lt;wsp:rsid wsp:val=&quot;000B6753&quot;/&gt;&lt;wsp:rsid wsp:val=&quot;000B68FC&quot;/&gt;&lt;wsp:rsid wsp:val=&quot;000B6A4C&quot;/&gt;&lt;wsp:rsid wsp:val=&quot;000B6AD8&quot;/&gt;&lt;wsp:rsid wsp:val=&quot;000B6B7B&quot;/&gt;&lt;wsp:rsid wsp:val=&quot;000B6CE3&quot;/&gt;&lt;wsp:rsid wsp:val=&quot;000B6EE8&quot;/&gt;&lt;wsp:rsid wsp:val=&quot;000B7670&quot;/&gt;&lt;wsp:rsid wsp:val=&quot;000B77D7&quot;/&gt;&lt;wsp:rsid wsp:val=&quot;000B781A&quot;/&gt;&lt;wsp:rsid wsp:val=&quot;000B7C55&quot;/&gt;&lt;wsp:rsid wsp:val=&quot;000B7E0C&quot;/&gt;&lt;wsp:rsid wsp:val=&quot;000B7E87&quot;/&gt;&lt;wsp:rsid wsp:val=&quot;000C0915&quot;/&gt;&lt;wsp:rsid wsp:val=&quot;000C0BF8&quot;/&gt;&lt;wsp:rsid wsp:val=&quot;000C0CC6&quot;/&gt;&lt;wsp:rsid wsp:val=&quot;000C1049&quot;/&gt;&lt;wsp:rsid wsp:val=&quot;000C15D5&quot;/&gt;&lt;wsp:rsid wsp:val=&quot;000C1CE0&quot;/&gt;&lt;wsp:rsid wsp:val=&quot;000C209A&quot;/&gt;&lt;wsp:rsid wsp:val=&quot;000C2172&quot;/&gt;&lt;wsp:rsid wsp:val=&quot;000C2179&quot;/&gt;&lt;wsp:rsid wsp:val=&quot;000C2191&quot;/&gt;&lt;wsp:rsid wsp:val=&quot;000C22A1&quot;/&gt;&lt;wsp:rsid wsp:val=&quot;000C24BD&quot;/&gt;&lt;wsp:rsid wsp:val=&quot;000C253F&quot;/&gt;&lt;wsp:rsid wsp:val=&quot;000C29A0&quot;/&gt;&lt;wsp:rsid wsp:val=&quot;000C29AF&quot;/&gt;&lt;wsp:rsid wsp:val=&quot;000C310B&quot;/&gt;&lt;wsp:rsid wsp:val=&quot;000C3212&quot;/&gt;&lt;wsp:rsid wsp:val=&quot;000C3338&quot;/&gt;&lt;wsp:rsid wsp:val=&quot;000C367B&quot;/&gt;&lt;wsp:rsid wsp:val=&quot;000C38A6&quot;/&gt;&lt;wsp:rsid wsp:val=&quot;000C38F7&quot;/&gt;&lt;wsp:rsid wsp:val=&quot;000C40C8&quot;/&gt;&lt;wsp:rsid wsp:val=&quot;000C4145&quot;/&gt;&lt;wsp:rsid wsp:val=&quot;000C441D&quot;/&gt;&lt;wsp:rsid wsp:val=&quot;000C45EE&quot;/&gt;&lt;wsp:rsid wsp:val=&quot;000C4686&quot;/&gt;&lt;wsp:rsid wsp:val=&quot;000C487B&quot;/&gt;&lt;wsp:rsid wsp:val=&quot;000C4906&quot;/&gt;&lt;wsp:rsid wsp:val=&quot;000C4A06&quot;/&gt;&lt;wsp:rsid wsp:val=&quot;000C4F4B&quot;/&gt;&lt;wsp:rsid wsp:val=&quot;000C5503&quot;/&gt;&lt;wsp:rsid wsp:val=&quot;000C5792&quot;/&gt;&lt;wsp:rsid wsp:val=&quot;000C5B98&quot;/&gt;&lt;wsp:rsid wsp:val=&quot;000C5BD6&quot;/&gt;&lt;wsp:rsid wsp:val=&quot;000C5D26&quot;/&gt;&lt;wsp:rsid wsp:val=&quot;000C5D6B&quot;/&gt;&lt;wsp:rsid wsp:val=&quot;000C5DC7&quot;/&gt;&lt;wsp:rsid wsp:val=&quot;000C5F22&quot;/&gt;&lt;wsp:rsid wsp:val=&quot;000C6447&quot;/&gt;&lt;wsp:rsid wsp:val=&quot;000C644C&quot;/&gt;&lt;wsp:rsid wsp:val=&quot;000C6650&quot;/&gt;&lt;wsp:rsid wsp:val=&quot;000C6787&quot;/&gt;&lt;wsp:rsid wsp:val=&quot;000C67D0&quot;/&gt;&lt;wsp:rsid wsp:val=&quot;000C6CC0&quot;/&gt;&lt;wsp:rsid wsp:val=&quot;000C7007&quot;/&gt;&lt;wsp:rsid wsp:val=&quot;000C7018&quot;/&gt;&lt;wsp:rsid wsp:val=&quot;000C7244&quot;/&gt;&lt;wsp:rsid wsp:val=&quot;000C724E&quot;/&gt;&lt;wsp:rsid wsp:val=&quot;000C728B&quot;/&gt;&lt;wsp:rsid wsp:val=&quot;000C7457&quot;/&gt;&lt;wsp:rsid wsp:val=&quot;000C747F&quot;/&gt;&lt;wsp:rsid wsp:val=&quot;000C74EA&quot;/&gt;&lt;wsp:rsid wsp:val=&quot;000C74F2&quot;/&gt;&lt;wsp:rsid wsp:val=&quot;000C74F4&quot;/&gt;&lt;wsp:rsid wsp:val=&quot;000C77D3&quot;/&gt;&lt;wsp:rsid wsp:val=&quot;000C77DA&quot;/&gt;&lt;wsp:rsid wsp:val=&quot;000C7A00&quot;/&gt;&lt;wsp:rsid wsp:val=&quot;000C7B7A&quot;/&gt;&lt;wsp:rsid wsp:val=&quot;000C7E5A&quot;/&gt;&lt;wsp:rsid wsp:val=&quot;000C7E79&quot;/&gt;&lt;wsp:rsid wsp:val=&quot;000C7F68&quot;/&gt;&lt;wsp:rsid wsp:val=&quot;000C7FB6&quot;/&gt;&lt;wsp:rsid wsp:val=&quot;000D0468&quot;/&gt;&lt;wsp:rsid wsp:val=&quot;000D0922&quot;/&gt;&lt;wsp:rsid wsp:val=&quot;000D09E5&quot;/&gt;&lt;wsp:rsid wsp:val=&quot;000D0F30&quot;/&gt;&lt;wsp:rsid wsp:val=&quot;000D13FF&quot;/&gt;&lt;wsp:rsid wsp:val=&quot;000D15B0&quot;/&gt;&lt;wsp:rsid wsp:val=&quot;000D1605&quot;/&gt;&lt;wsp:rsid wsp:val=&quot;000D1786&quot;/&gt;&lt;wsp:rsid wsp:val=&quot;000D21C1&quot;/&gt;&lt;wsp:rsid wsp:val=&quot;000D23D9&quot;/&gt;&lt;wsp:rsid wsp:val=&quot;000D2640&quot;/&gt;&lt;wsp:rsid wsp:val=&quot;000D2673&quot;/&gt;&lt;wsp:rsid wsp:val=&quot;000D2764&quot;/&gt;&lt;wsp:rsid wsp:val=&quot;000D29E1&quot;/&gt;&lt;wsp:rsid wsp:val=&quot;000D2D74&quot;/&gt;&lt;wsp:rsid wsp:val=&quot;000D2F23&quot;/&gt;&lt;wsp:rsid wsp:val=&quot;000D337C&quot;/&gt;&lt;wsp:rsid wsp:val=&quot;000D33EB&quot;/&gt;&lt;wsp:rsid wsp:val=&quot;000D34A8&quot;/&gt;&lt;wsp:rsid wsp:val=&quot;000D35DD&quot;/&gt;&lt;wsp:rsid wsp:val=&quot;000D3602&quot;/&gt;&lt;wsp:rsid wsp:val=&quot;000D3A9C&quot;/&gt;&lt;wsp:rsid wsp:val=&quot;000D3F77&quot;/&gt;&lt;wsp:rsid wsp:val=&quot;000D41D6&quot;/&gt;&lt;wsp:rsid wsp:val=&quot;000D435F&quot;/&gt;&lt;wsp:rsid wsp:val=&quot;000D4535&quot;/&gt;&lt;wsp:rsid wsp:val=&quot;000D47AB&quot;/&gt;&lt;wsp:rsid wsp:val=&quot;000D4B16&quot;/&gt;&lt;wsp:rsid wsp:val=&quot;000D4B6C&quot;/&gt;&lt;wsp:rsid wsp:val=&quot;000D4C5A&quot;/&gt;&lt;wsp:rsid wsp:val=&quot;000D541E&quot;/&gt;&lt;wsp:rsid wsp:val=&quot;000D55DC&quot;/&gt;&lt;wsp:rsid wsp:val=&quot;000D567C&quot;/&gt;&lt;wsp:rsid wsp:val=&quot;000D5744&quot;/&gt;&lt;wsp:rsid wsp:val=&quot;000D5931&quot;/&gt;&lt;wsp:rsid wsp:val=&quot;000D59DC&quot;/&gt;&lt;wsp:rsid wsp:val=&quot;000D5A6B&quot;/&gt;&lt;wsp:rsid wsp:val=&quot;000D5B5E&quot;/&gt;&lt;wsp:rsid wsp:val=&quot;000D5CCF&quot;/&gt;&lt;wsp:rsid wsp:val=&quot;000D5DDD&quot;/&gt;&lt;wsp:rsid wsp:val=&quot;000D64EE&quot;/&gt;&lt;wsp:rsid wsp:val=&quot;000D6AF7&quot;/&gt;&lt;wsp:rsid wsp:val=&quot;000D6CF5&quot;/&gt;&lt;wsp:rsid wsp:val=&quot;000D6E3B&quot;/&gt;&lt;wsp:rsid wsp:val=&quot;000D6F83&quot;/&gt;&lt;wsp:rsid wsp:val=&quot;000D6FD0&quot;/&gt;&lt;wsp:rsid wsp:val=&quot;000D7233&quot;/&gt;&lt;wsp:rsid wsp:val=&quot;000D72B5&quot;/&gt;&lt;wsp:rsid wsp:val=&quot;000D7333&quot;/&gt;&lt;wsp:rsid wsp:val=&quot;000D7476&quot;/&gt;&lt;wsp:rsid wsp:val=&quot;000D7ABE&quot;/&gt;&lt;wsp:rsid wsp:val=&quot;000D7B65&quot;/&gt;&lt;wsp:rsid wsp:val=&quot;000D7FAF&quot;/&gt;&lt;wsp:rsid wsp:val=&quot;000E06C3&quot;/&gt;&lt;wsp:rsid wsp:val=&quot;000E06EA&quot;/&gt;&lt;wsp:rsid wsp:val=&quot;000E130E&quot;/&gt;&lt;wsp:rsid wsp:val=&quot;000E14A9&quot;/&gt;&lt;wsp:rsid wsp:val=&quot;000E1540&quot;/&gt;&lt;wsp:rsid wsp:val=&quot;000E17F4&quot;/&gt;&lt;wsp:rsid wsp:val=&quot;000E1A35&quot;/&gt;&lt;wsp:rsid wsp:val=&quot;000E1C2E&quot;/&gt;&lt;wsp:rsid wsp:val=&quot;000E20EC&quot;/&gt;&lt;wsp:rsid wsp:val=&quot;000E2629&quot;/&gt;&lt;wsp:rsid wsp:val=&quot;000E28F1&quot;/&gt;&lt;wsp:rsid wsp:val=&quot;000E2945&quot;/&gt;&lt;wsp:rsid wsp:val=&quot;000E2986&quot;/&gt;&lt;wsp:rsid wsp:val=&quot;000E2BBC&quot;/&gt;&lt;wsp:rsid wsp:val=&quot;000E2D6E&quot;/&gt;&lt;wsp:rsid wsp:val=&quot;000E2F18&quot;/&gt;&lt;wsp:rsid wsp:val=&quot;000E30F5&quot;/&gt;&lt;wsp:rsid wsp:val=&quot;000E33E4&quot;/&gt;&lt;wsp:rsid wsp:val=&quot;000E352A&quot;/&gt;&lt;wsp:rsid wsp:val=&quot;000E39C9&quot;/&gt;&lt;wsp:rsid wsp:val=&quot;000E3A8F&quot;/&gt;&lt;wsp:rsid wsp:val=&quot;000E3B05&quot;/&gt;&lt;wsp:rsid wsp:val=&quot;000E3B5D&quot;/&gt;&lt;wsp:rsid wsp:val=&quot;000E3DE4&quot;/&gt;&lt;wsp:rsid wsp:val=&quot;000E3DF5&quot;/&gt;&lt;wsp:rsid wsp:val=&quot;000E43A5&quot;/&gt;&lt;wsp:rsid wsp:val=&quot;000E464E&quot;/&gt;&lt;wsp:rsid wsp:val=&quot;000E47AD&quot;/&gt;&lt;wsp:rsid wsp:val=&quot;000E4A98&quot;/&gt;&lt;wsp:rsid wsp:val=&quot;000E4D35&quot;/&gt;&lt;wsp:rsid wsp:val=&quot;000E4E55&quot;/&gt;&lt;wsp:rsid wsp:val=&quot;000E51CD&quot;/&gt;&lt;wsp:rsid wsp:val=&quot;000E552B&quot;/&gt;&lt;wsp:rsid wsp:val=&quot;000E56A4&quot;/&gt;&lt;wsp:rsid wsp:val=&quot;000E5A4A&quot;/&gt;&lt;wsp:rsid wsp:val=&quot;000E5AA0&quot;/&gt;&lt;wsp:rsid wsp:val=&quot;000E63EB&quot;/&gt;&lt;wsp:rsid wsp:val=&quot;000E66BB&quot;/&gt;&lt;wsp:rsid wsp:val=&quot;000E67F4&quot;/&gt;&lt;wsp:rsid wsp:val=&quot;000E6BDD&quot;/&gt;&lt;wsp:rsid wsp:val=&quot;000E6E9D&quot;/&gt;&lt;wsp:rsid wsp:val=&quot;000E6F53&quot;/&gt;&lt;wsp:rsid wsp:val=&quot;000E71B6&quot;/&gt;&lt;wsp:rsid wsp:val=&quot;000E7560&quot;/&gt;&lt;wsp:rsid wsp:val=&quot;000E7884&quot;/&gt;&lt;wsp:rsid wsp:val=&quot;000E7A4E&quot;/&gt;&lt;wsp:rsid wsp:val=&quot;000E7CF6&quot;/&gt;&lt;wsp:rsid wsp:val=&quot;000E7CF7&quot;/&gt;&lt;wsp:rsid wsp:val=&quot;000E7EAC&quot;/&gt;&lt;wsp:rsid wsp:val=&quot;000E7F60&quot;/&gt;&lt;wsp:rsid wsp:val=&quot;000E7FAD&quot;/&gt;&lt;wsp:rsid wsp:val=&quot;000F0191&quot;/&gt;&lt;wsp:rsid wsp:val=&quot;000F01B3&quot;/&gt;&lt;wsp:rsid wsp:val=&quot;000F0B69&quot;/&gt;&lt;wsp:rsid wsp:val=&quot;000F0C6F&quot;/&gt;&lt;wsp:rsid wsp:val=&quot;000F12DB&quot;/&gt;&lt;wsp:rsid wsp:val=&quot;000F15C2&quot;/&gt;&lt;wsp:rsid wsp:val=&quot;000F161C&quot;/&gt;&lt;wsp:rsid wsp:val=&quot;000F164E&quot;/&gt;&lt;wsp:rsid wsp:val=&quot;000F17B2&quot;/&gt;&lt;wsp:rsid wsp:val=&quot;000F180B&quot;/&gt;&lt;wsp:rsid wsp:val=&quot;000F1A4B&quot;/&gt;&lt;wsp:rsid wsp:val=&quot;000F1C3B&quot;/&gt;&lt;wsp:rsid wsp:val=&quot;000F1D18&quot;/&gt;&lt;wsp:rsid wsp:val=&quot;000F1EEF&quot;/&gt;&lt;wsp:rsid wsp:val=&quot;000F2013&quot;/&gt;&lt;wsp:rsid wsp:val=&quot;000F233D&quot;/&gt;&lt;wsp:rsid wsp:val=&quot;000F23D5&quot;/&gt;&lt;wsp:rsid wsp:val=&quot;000F24AF&quot;/&gt;&lt;wsp:rsid wsp:val=&quot;000F2616&quot;/&gt;&lt;wsp:rsid wsp:val=&quot;000F2624&quot;/&gt;&lt;wsp:rsid wsp:val=&quot;000F27AE&quot;/&gt;&lt;wsp:rsid wsp:val=&quot;000F2F6D&quot;/&gt;&lt;wsp:rsid wsp:val=&quot;000F3129&quot;/&gt;&lt;wsp:rsid wsp:val=&quot;000F3281&quot;/&gt;&lt;wsp:rsid wsp:val=&quot;000F3335&quot;/&gt;&lt;wsp:rsid wsp:val=&quot;000F3482&quot;/&gt;&lt;wsp:rsid wsp:val=&quot;000F3B79&quot;/&gt;&lt;wsp:rsid wsp:val=&quot;000F3BBC&quot;/&gt;&lt;wsp:rsid wsp:val=&quot;000F3BBE&quot;/&gt;&lt;wsp:rsid wsp:val=&quot;000F3DE1&quot;/&gt;&lt;wsp:rsid wsp:val=&quot;000F41A1&quot;/&gt;&lt;wsp:rsid wsp:val=&quot;000F47FC&quot;/&gt;&lt;wsp:rsid wsp:val=&quot;000F487C&quot;/&gt;&lt;wsp:rsid wsp:val=&quot;000F497F&quot;/&gt;&lt;wsp:rsid wsp:val=&quot;000F4A99&quot;/&gt;&lt;wsp:rsid wsp:val=&quot;000F4B7C&quot;/&gt;&lt;wsp:rsid wsp:val=&quot;000F4BD2&quot;/&gt;&lt;wsp:rsid wsp:val=&quot;000F4D2F&quot;/&gt;&lt;wsp:rsid wsp:val=&quot;000F4D4C&quot;/&gt;&lt;wsp:rsid wsp:val=&quot;000F5404&quot;/&gt;&lt;wsp:rsid wsp:val=&quot;000F5414&quot;/&gt;&lt;wsp:rsid wsp:val=&quot;000F54DE&quot;/&gt;&lt;wsp:rsid wsp:val=&quot;000F5539&quot;/&gt;&lt;wsp:rsid wsp:val=&quot;000F5A38&quot;/&gt;&lt;wsp:rsid wsp:val=&quot;000F5A96&quot;/&gt;&lt;wsp:rsid wsp:val=&quot;000F5AB5&quot;/&gt;&lt;wsp:rsid wsp:val=&quot;000F5BD8&quot;/&gt;&lt;wsp:rsid wsp:val=&quot;000F5CE8&quot;/&gt;&lt;wsp:rsid wsp:val=&quot;000F5D52&quot;/&gt;&lt;wsp:rsid wsp:val=&quot;000F614F&quot;/&gt;&lt;wsp:rsid wsp:val=&quot;000F65A8&quot;/&gt;&lt;wsp:rsid wsp:val=&quot;000F674F&quot;/&gt;&lt;wsp:rsid wsp:val=&quot;000F695E&quot;/&gt;&lt;wsp:rsid wsp:val=&quot;000F6A45&quot;/&gt;&lt;wsp:rsid wsp:val=&quot;000F6AC1&quot;/&gt;&lt;wsp:rsid wsp:val=&quot;000F6CAF&quot;/&gt;&lt;wsp:rsid wsp:val=&quot;000F6D04&quot;/&gt;&lt;wsp:rsid wsp:val=&quot;000F6DC9&quot;/&gt;&lt;wsp:rsid wsp:val=&quot;000F6F6B&quot;/&gt;&lt;wsp:rsid wsp:val=&quot;000F6FF1&quot;/&gt;&lt;wsp:rsid wsp:val=&quot;000F7367&quot;/&gt;&lt;wsp:rsid wsp:val=&quot;000F7774&quot;/&gt;&lt;wsp:rsid wsp:val=&quot;000F78A8&quot;/&gt;&lt;wsp:rsid wsp:val=&quot;000F7BD3&quot;/&gt;&lt;wsp:rsid wsp:val=&quot;000F7DE5&quot;/&gt;&lt;wsp:rsid wsp:val=&quot;000F7DF6&quot;/&gt;&lt;wsp:rsid wsp:val=&quot;000F7FFA&quot;/&gt;&lt;wsp:rsid wsp:val=&quot;00100687&quot;/&gt;&lt;wsp:rsid wsp:val=&quot;00100699&quot;/&gt;&lt;wsp:rsid wsp:val=&quot;001007C3&quot;/&gt;&lt;wsp:rsid wsp:val=&quot;001007E7&quot;/&gt;&lt;wsp:rsid wsp:val=&quot;00100809&quot;/&gt;&lt;wsp:rsid wsp:val=&quot;00100988&quot;/&gt;&lt;wsp:rsid wsp:val=&quot;00100D63&quot;/&gt;&lt;wsp:rsid wsp:val=&quot;00100E98&quot;/&gt;&lt;wsp:rsid wsp:val=&quot;00100F55&quot;/&gt;&lt;wsp:rsid wsp:val=&quot;00101471&quot;/&gt;&lt;wsp:rsid wsp:val=&quot;00101515&quot;/&gt;&lt;wsp:rsid wsp:val=&quot;001015D8&quot;/&gt;&lt;wsp:rsid wsp:val=&quot;00101640&quot;/&gt;&lt;wsp:rsid wsp:val=&quot;00101731&quot;/&gt;&lt;wsp:rsid wsp:val=&quot;0010178C&quot;/&gt;&lt;wsp:rsid wsp:val=&quot;001018F7&quot;/&gt;&lt;wsp:rsid wsp:val=&quot;00101C97&quot;/&gt;&lt;wsp:rsid wsp:val=&quot;00101F6A&quot;/&gt;&lt;wsp:rsid wsp:val=&quot;0010225C&quot;/&gt;&lt;wsp:rsid wsp:val=&quot;00102434&quot;/&gt;&lt;wsp:rsid wsp:val=&quot;00102781&quot;/&gt;&lt;wsp:rsid wsp:val=&quot;0010282F&quot;/&gt;&lt;wsp:rsid wsp:val=&quot;00102872&quot;/&gt;&lt;wsp:rsid wsp:val=&quot;001028C2&quot;/&gt;&lt;wsp:rsid wsp:val=&quot;001028C7&quot;/&gt;&lt;wsp:rsid wsp:val=&quot;00102B88&quot;/&gt;&lt;wsp:rsid wsp:val=&quot;00102CAC&quot;/&gt;&lt;wsp:rsid wsp:val=&quot;00102D47&quot;/&gt;&lt;wsp:rsid wsp:val=&quot;00102E89&quot;/&gt;&lt;wsp:rsid wsp:val=&quot;00102F01&quot;/&gt;&lt;wsp:rsid wsp:val=&quot;00103081&quot;/&gt;&lt;wsp:rsid wsp:val=&quot;001031EF&quot;/&gt;&lt;wsp:rsid wsp:val=&quot;001032DA&quot;/&gt;&lt;wsp:rsid wsp:val=&quot;001033F5&quot;/&gt;&lt;wsp:rsid wsp:val=&quot;001034BD&quot;/&gt;&lt;wsp:rsid wsp:val=&quot;00103E4C&quot;/&gt;&lt;wsp:rsid wsp:val=&quot;00103F6B&quot;/&gt;&lt;wsp:rsid wsp:val=&quot;001045BE&quot;/&gt;&lt;wsp:rsid wsp:val=&quot;001048DC&quot;/&gt;&lt;wsp:rsid wsp:val=&quot;001049D5&quot;/&gt;&lt;wsp:rsid wsp:val=&quot;00104B3E&quot;/&gt;&lt;wsp:rsid wsp:val=&quot;00104B66&quot;/&gt;&lt;wsp:rsid wsp:val=&quot;00104D8E&quot;/&gt;&lt;wsp:rsid wsp:val=&quot;00104E13&quot;/&gt;&lt;wsp:rsid wsp:val=&quot;00104FA2&quot;/&gt;&lt;wsp:rsid wsp:val=&quot;0010510D&quot;/&gt;&lt;wsp:rsid wsp:val=&quot;001053EB&quot;/&gt;&lt;wsp:rsid wsp:val=&quot;00105452&quot;/&gt;&lt;wsp:rsid wsp:val=&quot;00105524&quot;/&gt;&lt;wsp:rsid wsp:val=&quot;001056F8&quot;/&gt;&lt;wsp:rsid wsp:val=&quot;00105718&quot;/&gt;&lt;wsp:rsid wsp:val=&quot;00105E50&quot;/&gt;&lt;wsp:rsid wsp:val=&quot;00105F54&quot;/&gt;&lt;wsp:rsid wsp:val=&quot;0010611D&quot;/&gt;&lt;wsp:rsid wsp:val=&quot;00106577&quot;/&gt;&lt;wsp:rsid wsp:val=&quot;001066F8&quot;/&gt;&lt;wsp:rsid wsp:val=&quot;001067A9&quot;/&gt;&lt;wsp:rsid wsp:val=&quot;00106A26&quot;/&gt;&lt;wsp:rsid wsp:val=&quot;00106BAF&quot;/&gt;&lt;wsp:rsid wsp:val=&quot;00106C99&quot;/&gt;&lt;wsp:rsid wsp:val=&quot;00106D32&quot;/&gt;&lt;wsp:rsid wsp:val=&quot;00106E62&quot;/&gt;&lt;wsp:rsid wsp:val=&quot;001072E3&quot;/&gt;&lt;wsp:rsid wsp:val=&quot;00107354&quot;/&gt;&lt;wsp:rsid wsp:val=&quot;0010736F&quot;/&gt;&lt;wsp:rsid wsp:val=&quot;001073BF&quot;/&gt;&lt;wsp:rsid wsp:val=&quot;001073EF&quot;/&gt;&lt;wsp:rsid wsp:val=&quot;001073F0&quot;/&gt;&lt;wsp:rsid wsp:val=&quot;00107ACA&quot;/&gt;&lt;wsp:rsid wsp:val=&quot;00107F39&quot;/&gt;&lt;wsp:rsid wsp:val=&quot;00107F79&quot;/&gt;&lt;wsp:rsid wsp:val=&quot;00107FA2&quot;/&gt;&lt;wsp:rsid wsp:val=&quot;00110158&quot;/&gt;&lt;wsp:rsid wsp:val=&quot;001104BB&quot;/&gt;&lt;wsp:rsid wsp:val=&quot;001109CC&quot;/&gt;&lt;wsp:rsid wsp:val=&quot;00110B6A&quot;/&gt;&lt;wsp:rsid wsp:val=&quot;00110C37&quot;/&gt;&lt;wsp:rsid wsp:val=&quot;0011109C&quot;/&gt;&lt;wsp:rsid wsp:val=&quot;0011110E&quot;/&gt;&lt;wsp:rsid wsp:val=&quot;00111482&quot;/&gt;&lt;wsp:rsid wsp:val=&quot;0011153D&quot;/&gt;&lt;wsp:rsid wsp:val=&quot;00111849&quot;/&gt;&lt;wsp:rsid wsp:val=&quot;00111A67&quot;/&gt;&lt;wsp:rsid wsp:val=&quot;00111B7F&quot;/&gt;&lt;wsp:rsid wsp:val=&quot;00111E44&quot;/&gt;&lt;wsp:rsid wsp:val=&quot;0011205D&quot;/&gt;&lt;wsp:rsid wsp:val=&quot;00112174&quot;/&gt;&lt;wsp:rsid wsp:val=&quot;001121C6&quot;/&gt;&lt;wsp:rsid wsp:val=&quot;00112257&quot;/&gt;&lt;wsp:rsid wsp:val=&quot;00112A2F&quot;/&gt;&lt;wsp:rsid wsp:val=&quot;00112CA1&quot;/&gt;&lt;wsp:rsid wsp:val=&quot;00112EA3&quot;/&gt;&lt;wsp:rsid wsp:val=&quot;00112F36&quot;/&gt;&lt;wsp:rsid wsp:val=&quot;00112F39&quot;/&gt;&lt;wsp:rsid wsp:val=&quot;001136BD&quot;/&gt;&lt;wsp:rsid wsp:val=&quot;0011377B&quot;/&gt;&lt;wsp:rsid wsp:val=&quot;001137DF&quot;/&gt;&lt;wsp:rsid wsp:val=&quot;00113937&quot;/&gt;&lt;wsp:rsid wsp:val=&quot;00113A8D&quot;/&gt;&lt;wsp:rsid wsp:val=&quot;00113B17&quot;/&gt;&lt;wsp:rsid wsp:val=&quot;00113FFC&quot;/&gt;&lt;wsp:rsid wsp:val=&quot;00114098&quot;/&gt;&lt;wsp:rsid wsp:val=&quot;001141BE&quot;/&gt;&lt;wsp:rsid wsp:val=&quot;00114575&quot;/&gt;&lt;wsp:rsid wsp:val=&quot;001146DC&quot;/&gt;&lt;wsp:rsid wsp:val=&quot;00114B91&quot;/&gt;&lt;wsp:rsid wsp:val=&quot;00114C1B&quot;/&gt;&lt;wsp:rsid wsp:val=&quot;00114D9F&quot;/&gt;&lt;wsp:rsid wsp:val=&quot;00114E05&quot;/&gt;&lt;wsp:rsid wsp:val=&quot;00114E79&quot;/&gt;&lt;wsp:rsid wsp:val=&quot;001150CC&quot;/&gt;&lt;wsp:rsid wsp:val=&quot;00115712&quot;/&gt;&lt;wsp:rsid wsp:val=&quot;001159E3&quot;/&gt;&lt;wsp:rsid wsp:val=&quot;00115A1A&quot;/&gt;&lt;wsp:rsid wsp:val=&quot;00115E03&quot;/&gt;&lt;wsp:rsid wsp:val=&quot;00116083&quot;/&gt;&lt;wsp:rsid wsp:val=&quot;001163F9&quot;/&gt;&lt;wsp:rsid wsp:val=&quot;00116614&quot;/&gt;&lt;wsp:rsid wsp:val=&quot;0011668F&quot;/&gt;&lt;wsp:rsid wsp:val=&quot;00116938&quot;/&gt;&lt;wsp:rsid wsp:val=&quot;00116B9C&quot;/&gt;&lt;wsp:rsid wsp:val=&quot;00116C42&quot;/&gt;&lt;wsp:rsid wsp:val=&quot;0011721F&quot;/&gt;&lt;wsp:rsid wsp:val=&quot;001174F4&quot;/&gt;&lt;wsp:rsid wsp:val=&quot;00117578&quot;/&gt;&lt;wsp:rsid wsp:val=&quot;0011761E&quot;/&gt;&lt;wsp:rsid wsp:val=&quot;00117642&quot;/&gt;&lt;wsp:rsid wsp:val=&quot;00117B8D&quot;/&gt;&lt;wsp:rsid wsp:val=&quot;00117C0B&quot;/&gt;&lt;wsp:rsid wsp:val=&quot;00117E14&quot;/&gt;&lt;wsp:rsid wsp:val=&quot;00117E93&quot;/&gt;&lt;wsp:rsid wsp:val=&quot;00117F31&quot;/&gt;&lt;wsp:rsid wsp:val=&quot;00117F83&quot;/&gt;&lt;wsp:rsid wsp:val=&quot;001203F2&quot;/&gt;&lt;wsp:rsid wsp:val=&quot;00120458&quot;/&gt;&lt;wsp:rsid wsp:val=&quot;00120468&quot;/&gt;&lt;wsp:rsid wsp:val=&quot;00120A88&quot;/&gt;&lt;wsp:rsid wsp:val=&quot;00120B20&quot;/&gt;&lt;wsp:rsid wsp:val=&quot;00120D8D&quot;/&gt;&lt;wsp:rsid wsp:val=&quot;00120DEA&quot;/&gt;&lt;wsp:rsid wsp:val=&quot;00120EF3&quot;/&gt;&lt;wsp:rsid wsp:val=&quot;00121AA6&quot;/&gt;&lt;wsp:rsid wsp:val=&quot;00121C7F&quot;/&gt;&lt;wsp:rsid wsp:val=&quot;00121CA7&quot;/&gt;&lt;wsp:rsid wsp:val=&quot;00121D0A&quot;/&gt;&lt;wsp:rsid wsp:val=&quot;00121E09&quot;/&gt;&lt;wsp:rsid wsp:val=&quot;0012200A&quot;/&gt;&lt;wsp:rsid wsp:val=&quot;00122022&quot;/&gt;&lt;wsp:rsid wsp:val=&quot;0012204B&quot;/&gt;&lt;wsp:rsid wsp:val=&quot;00122078&quot;/&gt;&lt;wsp:rsid wsp:val=&quot;001223B3&quot;/&gt;&lt;wsp:rsid wsp:val=&quot;0012271B&quot;/&gt;&lt;wsp:rsid wsp:val=&quot;00122D7C&quot;/&gt;&lt;wsp:rsid wsp:val=&quot;00122DEE&quot;/&gt;&lt;wsp:rsid wsp:val=&quot;00122FB1&quot;/&gt;&lt;wsp:rsid wsp:val=&quot;00122FC9&quot;/&gt;&lt;wsp:rsid wsp:val=&quot;0012340E&quot;/&gt;&lt;wsp:rsid wsp:val=&quot;00123578&quot;/&gt;&lt;wsp:rsid wsp:val=&quot;0012368F&quot;/&gt;&lt;wsp:rsid wsp:val=&quot;001238B7&quot;/&gt;&lt;wsp:rsid wsp:val=&quot;00123911&quot;/&gt;&lt;wsp:rsid wsp:val=&quot;00123F0A&quot;/&gt;&lt;wsp:rsid wsp:val=&quot;001242C5&quot;/&gt;&lt;wsp:rsid wsp:val=&quot;001243EE&quot;/&gt;&lt;wsp:rsid wsp:val=&quot;001246B4&quot;/&gt;&lt;wsp:rsid wsp:val=&quot;00124837&quot;/&gt;&lt;wsp:rsid wsp:val=&quot;0012486E&quot;/&gt;&lt;wsp:rsid wsp:val=&quot;00124B99&quot;/&gt;&lt;wsp:rsid wsp:val=&quot;00124C26&quot;/&gt;&lt;wsp:rsid wsp:val=&quot;00124D6D&quot;/&gt;&lt;wsp:rsid wsp:val=&quot;00124DC7&quot;/&gt;&lt;wsp:rsid wsp:val=&quot;00125222&quot;/&gt;&lt;wsp:rsid wsp:val=&quot;00125264&quot;/&gt;&lt;wsp:rsid wsp:val=&quot;0012554A&quot;/&gt;&lt;wsp:rsid wsp:val=&quot;00125686&quot;/&gt;&lt;wsp:rsid wsp:val=&quot;00125E24&quot;/&gt;&lt;wsp:rsid wsp:val=&quot;001263E8&quot;/&gt;&lt;wsp:rsid wsp:val=&quot;0012641A&quot;/&gt;&lt;wsp:rsid wsp:val=&quot;0012654A&quot;/&gt;&lt;wsp:rsid wsp:val=&quot;001265EE&quot;/&gt;&lt;wsp:rsid wsp:val=&quot;001266E7&quot;/&gt;&lt;wsp:rsid wsp:val=&quot;0012688B&quot;/&gt;&lt;wsp:rsid wsp:val=&quot;00126A90&quot;/&gt;&lt;wsp:rsid wsp:val=&quot;00126AEC&quot;/&gt;&lt;wsp:rsid wsp:val=&quot;001273A9&quot;/&gt;&lt;wsp:rsid wsp:val=&quot;00127557&quot;/&gt;&lt;wsp:rsid wsp:val=&quot;001275C4&quot;/&gt;&lt;wsp:rsid wsp:val=&quot;0012772D&quot;/&gt;&lt;wsp:rsid wsp:val=&quot;001277AB&quot;/&gt;&lt;wsp:rsid wsp:val=&quot;00127C6A&quot;/&gt;&lt;wsp:rsid wsp:val=&quot;00127DC3&quot;/&gt;&lt;wsp:rsid wsp:val=&quot;00127E6F&quot;/&gt;&lt;wsp:rsid wsp:val=&quot;00130484&quot;/&gt;&lt;wsp:rsid wsp:val=&quot;001304F8&quot;/&gt;&lt;wsp:rsid wsp:val=&quot;00130703&quot;/&gt;&lt;wsp:rsid wsp:val=&quot;00130AB0&quot;/&gt;&lt;wsp:rsid wsp:val=&quot;00130ACB&quot;/&gt;&lt;wsp:rsid wsp:val=&quot;00130C75&quot;/&gt;&lt;wsp:rsid wsp:val=&quot;00130CC1&quot;/&gt;&lt;wsp:rsid wsp:val=&quot;00131041&quot;/&gt;&lt;wsp:rsid wsp:val=&quot;001313B8&quot;/&gt;&lt;wsp:rsid wsp:val=&quot;0013144C&quot;/&gt;&lt;wsp:rsid wsp:val=&quot;00131818&quot;/&gt;&lt;wsp:rsid wsp:val=&quot;00131B0A&quot;/&gt;&lt;wsp:rsid wsp:val=&quot;00131C41&quot;/&gt;&lt;wsp:rsid wsp:val=&quot;00131DC0&quot;/&gt;&lt;wsp:rsid wsp:val=&quot;00131F54&quot;/&gt;&lt;wsp:rsid wsp:val=&quot;00132044&quot;/&gt;&lt;wsp:rsid wsp:val=&quot;001321CF&quot;/&gt;&lt;wsp:rsid wsp:val=&quot;00132293&quot;/&gt;&lt;wsp:rsid wsp:val=&quot;001325E4&quot;/&gt;&lt;wsp:rsid wsp:val=&quot;00132606&quot;/&gt;&lt;wsp:rsid wsp:val=&quot;00132711&quot;/&gt;&lt;wsp:rsid wsp:val=&quot;0013297E&quot;/&gt;&lt;wsp:rsid wsp:val=&quot;00132BBD&quot;/&gt;&lt;wsp:rsid wsp:val=&quot;00132D6D&quot;/&gt;&lt;wsp:rsid wsp:val=&quot;001333D2&quot;/&gt;&lt;wsp:rsid wsp:val=&quot;0013374F&quot;/&gt;&lt;wsp:rsid wsp:val=&quot;001337C9&quot;/&gt;&lt;wsp:rsid wsp:val=&quot;00133AC8&quot;/&gt;&lt;wsp:rsid wsp:val=&quot;00133F2A&quot;/&gt;&lt;wsp:rsid wsp:val=&quot;001343C8&quot;/&gt;&lt;wsp:rsid wsp:val=&quot;00134515&quot;/&gt;&lt;wsp:rsid wsp:val=&quot;0013462E&quot;/&gt;&lt;wsp:rsid wsp:val=&quot;0013475F&quot;/&gt;&lt;wsp:rsid wsp:val=&quot;00134A3A&quot;/&gt;&lt;wsp:rsid wsp:val=&quot;00134D63&quot;/&gt;&lt;wsp:rsid wsp:val=&quot;00134E35&quot;/&gt;&lt;wsp:rsid wsp:val=&quot;00135130&quot;/&gt;&lt;wsp:rsid wsp:val=&quot;001355E4&quot;/&gt;&lt;wsp:rsid wsp:val=&quot;00135940&quot;/&gt;&lt;wsp:rsid wsp:val=&quot;00135B29&quot;/&gt;&lt;wsp:rsid wsp:val=&quot;00135DDA&quot;/&gt;&lt;wsp:rsid wsp:val=&quot;001360AF&quot;/&gt;&lt;wsp:rsid wsp:val=&quot;00136441&quot;/&gt;&lt;wsp:rsid wsp:val=&quot;001368EE&quot;/&gt;&lt;wsp:rsid wsp:val=&quot;00136903&quot;/&gt;&lt;wsp:rsid wsp:val=&quot;001369F4&quot;/&gt;&lt;wsp:rsid wsp:val=&quot;00136BB8&quot;/&gt;&lt;wsp:rsid wsp:val=&quot;00136CF8&quot;/&gt;&lt;wsp:rsid wsp:val=&quot;00136FDA&quot;/&gt;&lt;wsp:rsid wsp:val=&quot;001371AB&quot;/&gt;&lt;wsp:rsid wsp:val=&quot;00137316&quot;/&gt;&lt;wsp:rsid wsp:val=&quot;001373BE&quot;/&gt;&lt;wsp:rsid wsp:val=&quot;001376E6&quot;/&gt;&lt;wsp:rsid wsp:val=&quot;00137810&quot;/&gt;&lt;wsp:rsid wsp:val=&quot;00137F21&quot;/&gt;&lt;wsp:rsid wsp:val=&quot;00137FCC&quot;/&gt;&lt;wsp:rsid wsp:val=&quot;00140138&quot;/&gt;&lt;wsp:rsid wsp:val=&quot;001402E3&quot;/&gt;&lt;wsp:rsid wsp:val=&quot;001405FE&quot;/&gt;&lt;wsp:rsid wsp:val=&quot;00140728&quot;/&gt;&lt;wsp:rsid wsp:val=&quot;00140DC9&quot;/&gt;&lt;wsp:rsid wsp:val=&quot;00141074&quot;/&gt;&lt;wsp:rsid wsp:val=&quot;0014141B&quot;/&gt;&lt;wsp:rsid wsp:val=&quot;00141AC7&quot;/&gt;&lt;wsp:rsid wsp:val=&quot;00141C59&quot;/&gt;&lt;wsp:rsid wsp:val=&quot;00141DC8&quot;/&gt;&lt;wsp:rsid wsp:val=&quot;00141EC4&quot;/&gt;&lt;wsp:rsid wsp:val=&quot;00141F27&quot;/&gt;&lt;wsp:rsid wsp:val=&quot;001422FE&quot;/&gt;&lt;wsp:rsid wsp:val=&quot;00142315&quot;/&gt;&lt;wsp:rsid wsp:val=&quot;00142646&quot;/&gt;&lt;wsp:rsid wsp:val=&quot;0014293D&quot;/&gt;&lt;wsp:rsid wsp:val=&quot;00142A18&quot;/&gt;&lt;wsp:rsid wsp:val=&quot;00142FDE&quot;/&gt;&lt;wsp:rsid wsp:val=&quot;00143249&quot;/&gt;&lt;wsp:rsid wsp:val=&quot;001432F2&quot;/&gt;&lt;wsp:rsid wsp:val=&quot;00143584&quot;/&gt;&lt;wsp:rsid wsp:val=&quot;00143B50&quot;/&gt;&lt;wsp:rsid wsp:val=&quot;00143DDA&quot;/&gt;&lt;wsp:rsid wsp:val=&quot;0014420C&quot;/&gt;&lt;wsp:rsid wsp:val=&quot;00144215&quot;/&gt;&lt;wsp:rsid wsp:val=&quot;0014444F&quot;/&gt;&lt;wsp:rsid wsp:val=&quot;00144BE3&quot;/&gt;&lt;wsp:rsid wsp:val=&quot;00144F47&quot;/&gt;&lt;wsp:rsid wsp:val=&quot;00145284&quot;/&gt;&lt;wsp:rsid wsp:val=&quot;00145939&quot;/&gt;&lt;wsp:rsid wsp:val=&quot;0014593A&quot;/&gt;&lt;wsp:rsid wsp:val=&quot;00145AFD&quot;/&gt;&lt;wsp:rsid wsp:val=&quot;00145C2D&quot;/&gt;&lt;wsp:rsid wsp:val=&quot;0014602C&quot;/&gt;&lt;wsp:rsid wsp:val=&quot;00146071&quot;/&gt;&lt;wsp:rsid wsp:val=&quot;001460CE&quot;/&gt;&lt;wsp:rsid wsp:val=&quot;00146196&quot;/&gt;&lt;wsp:rsid wsp:val=&quot;001461F8&quot;/&gt;&lt;wsp:rsid wsp:val=&quot;00146267&quot;/&gt;&lt;wsp:rsid wsp:val=&quot;00146564&quot;/&gt;&lt;wsp:rsid wsp:val=&quot;00146775&quot;/&gt;&lt;wsp:rsid wsp:val=&quot;00146F42&quot;/&gt;&lt;wsp:rsid wsp:val=&quot;00147217&quot;/&gt;&lt;wsp:rsid wsp:val=&quot;0014726D&quot;/&gt;&lt;wsp:rsid wsp:val=&quot;0014731A&quot;/&gt;&lt;wsp:rsid wsp:val=&quot;00147335&quot;/&gt;&lt;wsp:rsid wsp:val=&quot;00147588&quot;/&gt;&lt;wsp:rsid wsp:val=&quot;00147903&quot;/&gt;&lt;wsp:rsid wsp:val=&quot;00147B57&quot;/&gt;&lt;wsp:rsid wsp:val=&quot;00147BFA&quot;/&gt;&lt;wsp:rsid wsp:val=&quot;00147DEF&quot;/&gt;&lt;wsp:rsid wsp:val=&quot;00147E81&quot;/&gt;&lt;wsp:rsid wsp:val=&quot;00147F10&quot;/&gt;&lt;wsp:rsid wsp:val=&quot;00147F6F&quot;/&gt;&lt;wsp:rsid wsp:val=&quot;0015001B&quot;/&gt;&lt;wsp:rsid wsp:val=&quot;001502C4&quot;/&gt;&lt;wsp:rsid wsp:val=&quot;001502EB&quot;/&gt;&lt;wsp:rsid wsp:val=&quot;00150548&quot;/&gt;&lt;wsp:rsid wsp:val=&quot;00150573&quot;/&gt;&lt;wsp:rsid wsp:val=&quot;001507C7&quot;/&gt;&lt;wsp:rsid wsp:val=&quot;0015083F&quot;/&gt;&lt;wsp:rsid wsp:val=&quot;001508F2&quot;/&gt;&lt;wsp:rsid wsp:val=&quot;0015095B&quot;/&gt;&lt;wsp:rsid wsp:val=&quot;00150FF5&quot;/&gt;&lt;wsp:rsid wsp:val=&quot;0015105E&quot;/&gt;&lt;wsp:rsid wsp:val=&quot;001510FF&quot;/&gt;&lt;wsp:rsid wsp:val=&quot;00151367&quot;/&gt;&lt;wsp:rsid wsp:val=&quot;001515D8&quot;/&gt;&lt;wsp:rsid wsp:val=&quot;001518A3&quot;/&gt;&lt;wsp:rsid wsp:val=&quot;00151E06&quot;/&gt;&lt;wsp:rsid wsp:val=&quot;00152490&quot;/&gt;&lt;wsp:rsid wsp:val=&quot;001527DE&quot;/&gt;&lt;wsp:rsid wsp:val=&quot;00152901&quot;/&gt;&lt;wsp:rsid wsp:val=&quot;00153147&quot;/&gt;&lt;wsp:rsid wsp:val=&quot;0015369A&quot;/&gt;&lt;wsp:rsid wsp:val=&quot;001537B9&quot;/&gt;&lt;wsp:rsid wsp:val=&quot;00153B5C&quot;/&gt;&lt;wsp:rsid wsp:val=&quot;00153D04&quot;/&gt;&lt;wsp:rsid wsp:val=&quot;00153F85&quot;/&gt;&lt;wsp:rsid wsp:val=&quot;00154329&quot;/&gt;&lt;wsp:rsid wsp:val=&quot;00154B94&quot;/&gt;&lt;wsp:rsid wsp:val=&quot;00154D15&quot;/&gt;&lt;wsp:rsid wsp:val=&quot;00154F0D&quot;/&gt;&lt;wsp:rsid wsp:val=&quot;00155342&quot;/&gt;&lt;wsp:rsid wsp:val=&quot;00155881&quot;/&gt;&lt;wsp:rsid wsp:val=&quot;001558FF&quot;/&gt;&lt;wsp:rsid wsp:val=&quot;001559DE&quot;/&gt;&lt;wsp:rsid wsp:val=&quot;00155C97&quot;/&gt;&lt;wsp:rsid wsp:val=&quot;00155D24&quot;/&gt;&lt;wsp:rsid wsp:val=&quot;00155D8C&quot;/&gt;&lt;wsp:rsid wsp:val=&quot;00155E2A&quot;/&gt;&lt;wsp:rsid wsp:val=&quot;00155ECD&quot;/&gt;&lt;wsp:rsid wsp:val=&quot;00156272&quot;/&gt;&lt;wsp:rsid wsp:val=&quot;001562B0&quot;/&gt;&lt;wsp:rsid wsp:val=&quot;00156665&quot;/&gt;&lt;wsp:rsid wsp:val=&quot;0015666A&quot;/&gt;&lt;wsp:rsid wsp:val=&quot;00156847&quot;/&gt;&lt;wsp:rsid wsp:val=&quot;00156A64&quot;/&gt;&lt;wsp:rsid wsp:val=&quot;00156B68&quot;/&gt;&lt;wsp:rsid wsp:val=&quot;00156EE8&quot;/&gt;&lt;wsp:rsid wsp:val=&quot;00157508&quot;/&gt;&lt;wsp:rsid wsp:val=&quot;001576CD&quot;/&gt;&lt;wsp:rsid wsp:val=&quot;00157719&quot;/&gt;&lt;wsp:rsid wsp:val=&quot;00157E60&quot;/&gt;&lt;wsp:rsid wsp:val=&quot;0016049F&quot;/&gt;&lt;wsp:rsid wsp:val=&quot;0016061D&quot;/&gt;&lt;wsp:rsid wsp:val=&quot;00160693&quot;/&gt;&lt;wsp:rsid wsp:val=&quot;00160883&quot;/&gt;&lt;wsp:rsid wsp:val=&quot;00160922&quot;/&gt;&lt;wsp:rsid wsp:val=&quot;00160A65&quot;/&gt;&lt;wsp:rsid wsp:val=&quot;001610AB&quot;/&gt;&lt;wsp:rsid wsp:val=&quot;001610DF&quot;/&gt;&lt;wsp:rsid wsp:val=&quot;0016127A&quot;/&gt;&lt;wsp:rsid wsp:val=&quot;00161388&quot;/&gt;&lt;wsp:rsid wsp:val=&quot;00161CD4&quot;/&gt;&lt;wsp:rsid wsp:val=&quot;00161CE7&quot;/&gt;&lt;wsp:rsid wsp:val=&quot;00161DC5&quot;/&gt;&lt;wsp:rsid wsp:val=&quot;0016225C&quot;/&gt;&lt;wsp:rsid wsp:val=&quot;001626F1&quot;/&gt;&lt;wsp:rsid wsp:val=&quot;00162BD8&quot;/&gt;&lt;wsp:rsid wsp:val=&quot;00162D2A&quot;/&gt;&lt;wsp:rsid wsp:val=&quot;00162ECF&quot;/&gt;&lt;wsp:rsid wsp:val=&quot;00162EEA&quot;/&gt;&lt;wsp:rsid wsp:val=&quot;00163006&quot;/&gt;&lt;wsp:rsid wsp:val=&quot;00163749&quot;/&gt;&lt;wsp:rsid wsp:val=&quot;00163D77&quot;/&gt;&lt;wsp:rsid wsp:val=&quot;00163D98&quot;/&gt;&lt;wsp:rsid wsp:val=&quot;00164060&quot;/&gt;&lt;wsp:rsid wsp:val=&quot;00164516&quot;/&gt;&lt;wsp:rsid wsp:val=&quot;0016460F&quot;/&gt;&lt;wsp:rsid wsp:val=&quot;0016467D&quot;/&gt;&lt;wsp:rsid wsp:val=&quot;001646AA&quot;/&gt;&lt;wsp:rsid wsp:val=&quot;001649FB&quot;/&gt;&lt;wsp:rsid wsp:val=&quot;00164A05&quot;/&gt;&lt;wsp:rsid wsp:val=&quot;001650EB&quot;/&gt;&lt;wsp:rsid wsp:val=&quot;0016522D&quot;/&gt;&lt;wsp:rsid wsp:val=&quot;0016523E&quot;/&gt;&lt;wsp:rsid wsp:val=&quot;00165737&quot;/&gt;&lt;wsp:rsid wsp:val=&quot;00165951&quot;/&gt;&lt;wsp:rsid wsp:val=&quot;00165D63&quot;/&gt;&lt;wsp:rsid wsp:val=&quot;00166029&quot;/&gt;&lt;wsp:rsid wsp:val=&quot;0016615A&quot;/&gt;&lt;wsp:rsid wsp:val=&quot;00166265&quot;/&gt;&lt;wsp:rsid wsp:val=&quot;001665D2&quot;/&gt;&lt;wsp:rsid wsp:val=&quot;00166662&quot;/&gt;&lt;wsp:rsid wsp:val=&quot;0016666F&quot;/&gt;&lt;wsp:rsid wsp:val=&quot;001669A6&quot;/&gt;&lt;wsp:rsid wsp:val=&quot;00167077&quot;/&gt;&lt;wsp:rsid wsp:val=&quot;0016720B&quot;/&gt;&lt;wsp:rsid wsp:val=&quot;00167215&quot;/&gt;&lt;wsp:rsid wsp:val=&quot;001673A5&quot;/&gt;&lt;wsp:rsid wsp:val=&quot;00167436&quot;/&gt;&lt;wsp:rsid wsp:val=&quot;00167507&quot;/&gt;&lt;wsp:rsid wsp:val=&quot;001676C3&quot;/&gt;&lt;wsp:rsid wsp:val=&quot;001676C7&quot;/&gt;&lt;wsp:rsid wsp:val=&quot;001678DA&quot;/&gt;&lt;wsp:rsid wsp:val=&quot;001679F8&quot;/&gt;&lt;wsp:rsid wsp:val=&quot;00167B0A&quot;/&gt;&lt;wsp:rsid wsp:val=&quot;00167D65&quot;/&gt;&lt;wsp:rsid wsp:val=&quot;00167EA0&quot;/&gt;&lt;wsp:rsid wsp:val=&quot;00167FF0&quot;/&gt;&lt;wsp:rsid wsp:val=&quot;0017013D&quot;/&gt;&lt;wsp:rsid wsp:val=&quot;00170902&quot;/&gt;&lt;wsp:rsid wsp:val=&quot;00170A62&quot;/&gt;&lt;wsp:rsid wsp:val=&quot;00170BD7&quot;/&gt;&lt;wsp:rsid wsp:val=&quot;00170BEE&quot;/&gt;&lt;wsp:rsid wsp:val=&quot;00170D24&quot;/&gt;&lt;wsp:rsid wsp:val=&quot;00170E81&quot;/&gt;&lt;wsp:rsid wsp:val=&quot;00170EB3&quot;/&gt;&lt;wsp:rsid wsp:val=&quot;00171294&quot;/&gt;&lt;wsp:rsid wsp:val=&quot;001715CA&quot;/&gt;&lt;wsp:rsid wsp:val=&quot;00171854&quot;/&gt;&lt;wsp:rsid wsp:val=&quot;00171DE1&quot;/&gt;&lt;wsp:rsid wsp:val=&quot;001720DE&quot;/&gt;&lt;wsp:rsid wsp:val=&quot;001721F6&quot;/&gt;&lt;wsp:rsid wsp:val=&quot;00172706&quot;/&gt;&lt;wsp:rsid wsp:val=&quot;001727A0&quot;/&gt;&lt;wsp:rsid wsp:val=&quot;00172910&quot;/&gt;&lt;wsp:rsid wsp:val=&quot;00172A12&quot;/&gt;&lt;wsp:rsid wsp:val=&quot;00172B76&quot;/&gt;&lt;wsp:rsid wsp:val=&quot;00172C79&quot;/&gt;&lt;wsp:rsid wsp:val=&quot;00173138&quot;/&gt;&lt;wsp:rsid wsp:val=&quot;00173452&quot;/&gt;&lt;wsp:rsid wsp:val=&quot;001737BF&quot;/&gt;&lt;wsp:rsid wsp:val=&quot;00173B07&quot;/&gt;&lt;wsp:rsid wsp:val=&quot;00173BFE&quot;/&gt;&lt;wsp:rsid wsp:val=&quot;00174180&quot;/&gt;&lt;wsp:rsid wsp:val=&quot;00174834&quot;/&gt;&lt;wsp:rsid wsp:val=&quot;001748D7&quot;/&gt;&lt;wsp:rsid wsp:val=&quot;00174B0E&quot;/&gt;&lt;wsp:rsid wsp:val=&quot;00174EC4&quot;/&gt;&lt;wsp:rsid wsp:val=&quot;001753A2&quot;/&gt;&lt;wsp:rsid wsp:val=&quot;001753D4&quot;/&gt;&lt;wsp:rsid wsp:val=&quot;001756B6&quot;/&gt;&lt;wsp:rsid wsp:val=&quot;00175959&quot;/&gt;&lt;wsp:rsid wsp:val=&quot;00175A9A&quot;/&gt;&lt;wsp:rsid wsp:val=&quot;00175B15&quot;/&gt;&lt;wsp:rsid wsp:val=&quot;00175B39&quot;/&gt;&lt;wsp:rsid wsp:val=&quot;00175D64&quot;/&gt;&lt;wsp:rsid wsp:val=&quot;00175DFB&quot;/&gt;&lt;wsp:rsid wsp:val=&quot;00175EC3&quot;/&gt;&lt;wsp:rsid wsp:val=&quot;00176020&quot;/&gt;&lt;wsp:rsid wsp:val=&quot;00176032&quot;/&gt;&lt;wsp:rsid wsp:val=&quot;001760F1&quot;/&gt;&lt;wsp:rsid wsp:val=&quot;001764D1&quot;/&gt;&lt;wsp:rsid wsp:val=&quot;00176572&quot;/&gt;&lt;wsp:rsid wsp:val=&quot;001768D8&quot;/&gt;&lt;wsp:rsid wsp:val=&quot;0017691B&quot;/&gt;&lt;wsp:rsid wsp:val=&quot;00176977&quot;/&gt;&lt;wsp:rsid wsp:val=&quot;00176A09&quot;/&gt;&lt;wsp:rsid wsp:val=&quot;00176AE2&quot;/&gt;&lt;wsp:rsid wsp:val=&quot;00176B89&quot;/&gt;&lt;wsp:rsid wsp:val=&quot;00176CB2&quot;/&gt;&lt;wsp:rsid wsp:val=&quot;00177290&quot;/&gt;&lt;wsp:rsid wsp:val=&quot;001778DB&quot;/&gt;&lt;wsp:rsid wsp:val=&quot;0017797E&quot;/&gt;&lt;wsp:rsid wsp:val=&quot;001779F4&quot;/&gt;&lt;wsp:rsid wsp:val=&quot;001803E6&quot;/&gt;&lt;wsp:rsid wsp:val=&quot;001804E0&quot;/&gt;&lt;wsp:rsid wsp:val=&quot;001806D3&quot;/&gt;&lt;wsp:rsid wsp:val=&quot;001809E6&quot;/&gt;&lt;wsp:rsid wsp:val=&quot;00180A86&quot;/&gt;&lt;wsp:rsid wsp:val=&quot;00180B51&quot;/&gt;&lt;wsp:rsid wsp:val=&quot;00181265&quot;/&gt;&lt;wsp:rsid wsp:val=&quot;00181440&quot;/&gt;&lt;wsp:rsid wsp:val=&quot;0018199B&quot;/&gt;&lt;wsp:rsid wsp:val=&quot;001819E5&quot;/&gt;&lt;wsp:rsid wsp:val=&quot;00181A6A&quot;/&gt;&lt;wsp:rsid wsp:val=&quot;00181B08&quot;/&gt;&lt;wsp:rsid wsp:val=&quot;00181D27&quot;/&gt;&lt;wsp:rsid wsp:val=&quot;001820C2&quot;/&gt;&lt;wsp:rsid wsp:val=&quot;00182247&quot;/&gt;&lt;wsp:rsid wsp:val=&quot;00182777&quot;/&gt;&lt;wsp:rsid wsp:val=&quot;001827A3&quot;/&gt;&lt;wsp:rsid wsp:val=&quot;001827FC&quot;/&gt;&lt;wsp:rsid wsp:val=&quot;00182AFA&quot;/&gt;&lt;wsp:rsid wsp:val=&quot;00182C50&quot;/&gt;&lt;wsp:rsid wsp:val=&quot;001833A7&quot;/&gt;&lt;wsp:rsid wsp:val=&quot;001836A3&quot;/&gt;&lt;wsp:rsid wsp:val=&quot;0018371A&quot;/&gt;&lt;wsp:rsid wsp:val=&quot;00183A54&quot;/&gt;&lt;wsp:rsid wsp:val=&quot;00183B72&quot;/&gt;&lt;wsp:rsid wsp:val=&quot;00183B77&quot;/&gt;&lt;wsp:rsid wsp:val=&quot;00183CDF&quot;/&gt;&lt;wsp:rsid wsp:val=&quot;00183D16&quot;/&gt;&lt;wsp:rsid wsp:val=&quot;00183DB3&quot;/&gt;&lt;wsp:rsid wsp:val=&quot;00183E50&quot;/&gt;&lt;wsp:rsid wsp:val=&quot;00183FD1&quot;/&gt;&lt;wsp:rsid wsp:val=&quot;00184300&quot;/&gt;&lt;wsp:rsid wsp:val=&quot;001843FD&quot;/&gt;&lt;wsp:rsid wsp:val=&quot;0018456A&quot;/&gt;&lt;wsp:rsid wsp:val=&quot;00184DD7&quot;/&gt;&lt;wsp:rsid wsp:val=&quot;00185273&quot;/&gt;&lt;wsp:rsid wsp:val=&quot;001853D0&quot;/&gt;&lt;wsp:rsid wsp:val=&quot;0018583A&quot;/&gt;&lt;wsp:rsid wsp:val=&quot;001858DA&quot;/&gt;&lt;wsp:rsid wsp:val=&quot;00185A12&quot;/&gt;&lt;wsp:rsid wsp:val=&quot;00185A6B&quot;/&gt;&lt;wsp:rsid wsp:val=&quot;00185AF5&quot;/&gt;&lt;wsp:rsid wsp:val=&quot;00185B39&quot;/&gt;&lt;wsp:rsid wsp:val=&quot;00185BA9&quot;/&gt;&lt;wsp:rsid wsp:val=&quot;00185D6C&quot;/&gt;&lt;wsp:rsid wsp:val=&quot;00185DF1&quot;/&gt;&lt;wsp:rsid wsp:val=&quot;00185F84&quot;/&gt;&lt;wsp:rsid wsp:val=&quot;001860C4&quot;/&gt;&lt;wsp:rsid wsp:val=&quot;0018629A&quot;/&gt;&lt;wsp:rsid wsp:val=&quot;0018633F&quot;/&gt;&lt;wsp:rsid wsp:val=&quot;001864C1&quot;/&gt;&lt;wsp:rsid wsp:val=&quot;00186556&quot;/&gt;&lt;wsp:rsid wsp:val=&quot;0018663B&quot;/&gt;&lt;wsp:rsid wsp:val=&quot;001867B0&quot;/&gt;&lt;wsp:rsid wsp:val=&quot;001867CD&quot;/&gt;&lt;wsp:rsid wsp:val=&quot;001869A4&quot;/&gt;&lt;wsp:rsid wsp:val=&quot;001869BD&quot;/&gt;&lt;wsp:rsid wsp:val=&quot;00186B44&quot;/&gt;&lt;wsp:rsid wsp:val=&quot;00186B51&quot;/&gt;&lt;wsp:rsid wsp:val=&quot;00186C1D&quot;/&gt;&lt;wsp:rsid wsp:val=&quot;00187284&quot;/&gt;&lt;wsp:rsid wsp:val=&quot;001877A2&quot;/&gt;&lt;wsp:rsid wsp:val=&quot;001879A0&quot;/&gt;&lt;wsp:rsid wsp:val=&quot;00187B2D&quot;/&gt;&lt;wsp:rsid wsp:val=&quot;0019009C&quot;/&gt;&lt;wsp:rsid wsp:val=&quot;00190433&quot;/&gt;&lt;wsp:rsid wsp:val=&quot;001907A6&quot;/&gt;&lt;wsp:rsid wsp:val=&quot;001907ED&quot;/&gt;&lt;wsp:rsid wsp:val=&quot;00190CEA&quot;/&gt;&lt;wsp:rsid wsp:val=&quot;00190D5E&quot;/&gt;&lt;wsp:rsid wsp:val=&quot;00190E44&quot;/&gt;&lt;wsp:rsid wsp:val=&quot;00190F21&quot;/&gt;&lt;wsp:rsid wsp:val=&quot;001912DF&quot;/&gt;&lt;wsp:rsid wsp:val=&quot;001915A4&quot;/&gt;&lt;wsp:rsid wsp:val=&quot;001915AD&quot;/&gt;&lt;wsp:rsid wsp:val=&quot;001919A4&quot;/&gt;&lt;wsp:rsid wsp:val=&quot;00191E44&quot;/&gt;&lt;wsp:rsid wsp:val=&quot;00192061&quot;/&gt;&lt;wsp:rsid wsp:val=&quot;00192069&quot;/&gt;&lt;wsp:rsid wsp:val=&quot;001920B1&quot;/&gt;&lt;wsp:rsid wsp:val=&quot;00192364&quot;/&gt;&lt;wsp:rsid wsp:val=&quot;0019276A&quot;/&gt;&lt;wsp:rsid wsp:val=&quot;001927A8&quot;/&gt;&lt;wsp:rsid wsp:val=&quot;001927DF&quot;/&gt;&lt;wsp:rsid wsp:val=&quot;00192A4B&quot;/&gt;&lt;wsp:rsid wsp:val=&quot;00192BF2&quot;/&gt;&lt;wsp:rsid wsp:val=&quot;00192D80&quot;/&gt;&lt;wsp:rsid wsp:val=&quot;00192E0F&quot;/&gt;&lt;wsp:rsid wsp:val=&quot;00192ECC&quot;/&gt;&lt;wsp:rsid wsp:val=&quot;00192F1C&quot;/&gt;&lt;wsp:rsid wsp:val=&quot;001936BD&quot;/&gt;&lt;wsp:rsid wsp:val=&quot;001938A2&quot;/&gt;&lt;wsp:rsid wsp:val=&quot;00193CF3&quot;/&gt;&lt;wsp:rsid wsp:val=&quot;0019425F&quot;/&gt;&lt;wsp:rsid wsp:val=&quot;001949CD&quot;/&gt;&lt;wsp:rsid wsp:val=&quot;00194A52&quot;/&gt;&lt;wsp:rsid wsp:val=&quot;00194F1B&quot;/&gt;&lt;wsp:rsid wsp:val=&quot;00194FC7&quot;/&gt;&lt;wsp:rsid wsp:val=&quot;00195084&quot;/&gt;&lt;wsp:rsid wsp:val=&quot;00195126&quot;/&gt;&lt;wsp:rsid wsp:val=&quot;00195872&quot;/&gt;&lt;wsp:rsid wsp:val=&quot;00195D97&quot;/&gt;&lt;wsp:rsid wsp:val=&quot;00196A05&quot;/&gt;&lt;wsp:rsid wsp:val=&quot;00196A8B&quot;/&gt;&lt;wsp:rsid wsp:val=&quot;00196BBA&quot;/&gt;&lt;wsp:rsid wsp:val=&quot;00196CC7&quot;/&gt;&lt;wsp:rsid wsp:val=&quot;00196E90&quot;/&gt;&lt;wsp:rsid wsp:val=&quot;001970BE&quot;/&gt;&lt;wsp:rsid wsp:val=&quot;001971F8&quot;/&gt;&lt;wsp:rsid wsp:val=&quot;0019759A&quot;/&gt;&lt;wsp:rsid wsp:val=&quot;00197600&quot;/&gt;&lt;wsp:rsid wsp:val=&quot;00197836&quot;/&gt;&lt;wsp:rsid wsp:val=&quot;00197F47&quot;/&gt;&lt;wsp:rsid wsp:val=&quot;001A017D&quot;/&gt;&lt;wsp:rsid wsp:val=&quot;001A0518&quot;/&gt;&lt;wsp:rsid wsp:val=&quot;001A054A&quot;/&gt;&lt;wsp:rsid wsp:val=&quot;001A05A9&quot;/&gt;&lt;wsp:rsid wsp:val=&quot;001A0A2B&quot;/&gt;&lt;wsp:rsid wsp:val=&quot;001A0C7C&quot;/&gt;&lt;wsp:rsid wsp:val=&quot;001A0CA7&quot;/&gt;&lt;wsp:rsid wsp:val=&quot;001A0ED7&quot;/&gt;&lt;wsp:rsid wsp:val=&quot;001A10F6&quot;/&gt;&lt;wsp:rsid wsp:val=&quot;001A1451&quot;/&gt;&lt;wsp:rsid wsp:val=&quot;001A15AE&quot;/&gt;&lt;wsp:rsid wsp:val=&quot;001A16F0&quot;/&gt;&lt;wsp:rsid wsp:val=&quot;001A1EFF&quot;/&gt;&lt;wsp:rsid wsp:val=&quot;001A2168&quot;/&gt;&lt;wsp:rsid wsp:val=&quot;001A26AE&quot;/&gt;&lt;wsp:rsid wsp:val=&quot;001A2DE5&quot;/&gt;&lt;wsp:rsid wsp:val=&quot;001A3389&quot;/&gt;&lt;wsp:rsid wsp:val=&quot;001A3497&quot;/&gt;&lt;wsp:rsid wsp:val=&quot;001A34F8&quot;/&gt;&lt;wsp:rsid wsp:val=&quot;001A355F&quot;/&gt;&lt;wsp:rsid wsp:val=&quot;001A3BE2&quot;/&gt;&lt;wsp:rsid wsp:val=&quot;001A3EEC&quot;/&gt;&lt;wsp:rsid wsp:val=&quot;001A4840&quot;/&gt;&lt;wsp:rsid wsp:val=&quot;001A4B86&quot;/&gt;&lt;wsp:rsid wsp:val=&quot;001A52EB&quot;/&gt;&lt;wsp:rsid wsp:val=&quot;001A55F6&quot;/&gt;&lt;wsp:rsid wsp:val=&quot;001A5738&quot;/&gt;&lt;wsp:rsid wsp:val=&quot;001A5D31&quot;/&gt;&lt;wsp:rsid wsp:val=&quot;001A5FA3&quot;/&gt;&lt;wsp:rsid wsp:val=&quot;001A601F&quot;/&gt;&lt;wsp:rsid wsp:val=&quot;001A60A8&quot;/&gt;&lt;wsp:rsid wsp:val=&quot;001A63B3&quot;/&gt;&lt;wsp:rsid wsp:val=&quot;001A664C&quot;/&gt;&lt;wsp:rsid wsp:val=&quot;001A6808&quot;/&gt;&lt;wsp:rsid wsp:val=&quot;001A6FA3&quot;/&gt;&lt;wsp:rsid wsp:val=&quot;001A72BF&quot;/&gt;&lt;wsp:rsid wsp:val=&quot;001A7510&quot;/&gt;&lt;wsp:rsid wsp:val=&quot;001A77AA&quot;/&gt;&lt;wsp:rsid wsp:val=&quot;001A7A6F&quot;/&gt;&lt;wsp:rsid wsp:val=&quot;001A7B61&quot;/&gt;&lt;wsp:rsid wsp:val=&quot;001B02F5&quot;/&gt;&lt;wsp:rsid wsp:val=&quot;001B041A&quot;/&gt;&lt;wsp:rsid wsp:val=&quot;001B062C&quot;/&gt;&lt;wsp:rsid wsp:val=&quot;001B065C&quot;/&gt;&lt;wsp:rsid wsp:val=&quot;001B1148&quot;/&gt;&lt;wsp:rsid wsp:val=&quot;001B123B&quot;/&gt;&lt;wsp:rsid wsp:val=&quot;001B1375&quot;/&gt;&lt;wsp:rsid wsp:val=&quot;001B1599&quot;/&gt;&lt;wsp:rsid wsp:val=&quot;001B170C&quot;/&gt;&lt;wsp:rsid wsp:val=&quot;001B1D1E&quot;/&gt;&lt;wsp:rsid wsp:val=&quot;001B20F1&quot;/&gt;&lt;wsp:rsid wsp:val=&quot;001B2202&quot;/&gt;&lt;wsp:rsid wsp:val=&quot;001B2589&quot;/&gt;&lt;wsp:rsid wsp:val=&quot;001B270B&quot;/&gt;&lt;wsp:rsid wsp:val=&quot;001B2780&quot;/&gt;&lt;wsp:rsid wsp:val=&quot;001B288F&quot;/&gt;&lt;wsp:rsid wsp:val=&quot;001B28BB&quot;/&gt;&lt;wsp:rsid wsp:val=&quot;001B2AD1&quot;/&gt;&lt;wsp:rsid wsp:val=&quot;001B2B0B&quot;/&gt;&lt;wsp:rsid wsp:val=&quot;001B2B0E&quot;/&gt;&lt;wsp:rsid wsp:val=&quot;001B2C1E&quot;/&gt;&lt;wsp:rsid wsp:val=&quot;001B2C7C&quot;/&gt;&lt;wsp:rsid wsp:val=&quot;001B2CA6&quot;/&gt;&lt;wsp:rsid wsp:val=&quot;001B2DA7&quot;/&gt;&lt;wsp:rsid wsp:val=&quot;001B2E61&quot;/&gt;&lt;wsp:rsid wsp:val=&quot;001B3118&quot;/&gt;&lt;wsp:rsid wsp:val=&quot;001B354A&quot;/&gt;&lt;wsp:rsid wsp:val=&quot;001B3602&quot;/&gt;&lt;wsp:rsid wsp:val=&quot;001B381F&quot;/&gt;&lt;wsp:rsid wsp:val=&quot;001B3879&quot;/&gt;&lt;wsp:rsid wsp:val=&quot;001B3928&quot;/&gt;&lt;wsp:rsid wsp:val=&quot;001B396F&quot;/&gt;&lt;wsp:rsid wsp:val=&quot;001B39DC&quot;/&gt;&lt;wsp:rsid wsp:val=&quot;001B3A9F&quot;/&gt;&lt;wsp:rsid wsp:val=&quot;001B3BF0&quot;/&gt;&lt;wsp:rsid wsp:val=&quot;001B3EE6&quot;/&gt;&lt;wsp:rsid wsp:val=&quot;001B3F57&quot;/&gt;&lt;wsp:rsid wsp:val=&quot;001B4038&quot;/&gt;&lt;wsp:rsid wsp:val=&quot;001B4366&quot;/&gt;&lt;wsp:rsid wsp:val=&quot;001B4B7C&quot;/&gt;&lt;wsp:rsid wsp:val=&quot;001B4C67&quot;/&gt;&lt;wsp:rsid wsp:val=&quot;001B4E8A&quot;/&gt;&lt;wsp:rsid wsp:val=&quot;001B52A8&quot;/&gt;&lt;wsp:rsid wsp:val=&quot;001B52AB&quot;/&gt;&lt;wsp:rsid wsp:val=&quot;001B54CA&quot;/&gt;&lt;wsp:rsid wsp:val=&quot;001B5AF8&quot;/&gt;&lt;wsp:rsid wsp:val=&quot;001B5C5C&quot;/&gt;&lt;wsp:rsid wsp:val=&quot;001B60F2&quot;/&gt;&lt;wsp:rsid wsp:val=&quot;001B6BC6&quot;/&gt;&lt;wsp:rsid wsp:val=&quot;001B6D34&quot;/&gt;&lt;wsp:rsid wsp:val=&quot;001B6EAF&quot;/&gt;&lt;wsp:rsid wsp:val=&quot;001B72A6&quot;/&gt;&lt;wsp:rsid wsp:val=&quot;001B7677&quot;/&gt;&lt;wsp:rsid wsp:val=&quot;001B76EE&quot;/&gt;&lt;wsp:rsid wsp:val=&quot;001B7850&quot;/&gt;&lt;wsp:rsid wsp:val=&quot;001B79CD&quot;/&gt;&lt;wsp:rsid wsp:val=&quot;001B7E69&quot;/&gt;&lt;wsp:rsid wsp:val=&quot;001C028A&quot;/&gt;&lt;wsp:rsid wsp:val=&quot;001C04E2&quot;/&gt;&lt;wsp:rsid wsp:val=&quot;001C093E&quot;/&gt;&lt;wsp:rsid wsp:val=&quot;001C0C7D&quot;/&gt;&lt;wsp:rsid wsp:val=&quot;001C0E19&quot;/&gt;&lt;wsp:rsid wsp:val=&quot;001C0F65&quot;/&gt;&lt;wsp:rsid wsp:val=&quot;001C109E&quot;/&gt;&lt;wsp:rsid wsp:val=&quot;001C10FD&quot;/&gt;&lt;wsp:rsid wsp:val=&quot;001C15C1&quot;/&gt;&lt;wsp:rsid wsp:val=&quot;001C166F&quot;/&gt;&lt;wsp:rsid wsp:val=&quot;001C17BD&quot;/&gt;&lt;wsp:rsid wsp:val=&quot;001C1C0B&quot;/&gt;&lt;wsp:rsid wsp:val=&quot;001C1D78&quot;/&gt;&lt;wsp:rsid wsp:val=&quot;001C1E57&quot;/&gt;&lt;wsp:rsid wsp:val=&quot;001C1FA8&quot;/&gt;&lt;wsp:rsid wsp:val=&quot;001C2597&quot;/&gt;&lt;wsp:rsid wsp:val=&quot;001C259D&quot;/&gt;&lt;wsp:rsid wsp:val=&quot;001C2AB5&quot;/&gt;&lt;wsp:rsid wsp:val=&quot;001C2C1C&quot;/&gt;&lt;wsp:rsid wsp:val=&quot;001C2CF1&quot;/&gt;&lt;wsp:rsid wsp:val=&quot;001C2D35&quot;/&gt;&lt;wsp:rsid wsp:val=&quot;001C2DB6&quot;/&gt;&lt;wsp:rsid wsp:val=&quot;001C30D5&quot;/&gt;&lt;wsp:rsid wsp:val=&quot;001C31BA&quot;/&gt;&lt;wsp:rsid wsp:val=&quot;001C3A67&quot;/&gt;&lt;wsp:rsid wsp:val=&quot;001C3A75&quot;/&gt;&lt;wsp:rsid wsp:val=&quot;001C3A7D&quot;/&gt;&lt;wsp:rsid wsp:val=&quot;001C3ABF&quot;/&gt;&lt;wsp:rsid wsp:val=&quot;001C3EA8&quot;/&gt;&lt;wsp:rsid wsp:val=&quot;001C4098&quot;/&gt;&lt;wsp:rsid wsp:val=&quot;001C40F0&quot;/&gt;&lt;wsp:rsid wsp:val=&quot;001C41DF&quot;/&gt;&lt;wsp:rsid wsp:val=&quot;001C4A4B&quot;/&gt;&lt;wsp:rsid wsp:val=&quot;001C4C9A&quot;/&gt;&lt;wsp:rsid wsp:val=&quot;001C4DDE&quot;/&gt;&lt;wsp:rsid wsp:val=&quot;001C4E0D&quot;/&gt;&lt;wsp:rsid wsp:val=&quot;001C5006&quot;/&gt;&lt;wsp:rsid wsp:val=&quot;001C5399&quot;/&gt;&lt;wsp:rsid wsp:val=&quot;001C54C3&quot;/&gt;&lt;wsp:rsid wsp:val=&quot;001C55D1&quot;/&gt;&lt;wsp:rsid wsp:val=&quot;001C57B5&quot;/&gt;&lt;wsp:rsid wsp:val=&quot;001C5C07&quot;/&gt;&lt;wsp:rsid wsp:val=&quot;001C5C7D&quot;/&gt;&lt;wsp:rsid wsp:val=&quot;001C5DD3&quot;/&gt;&lt;wsp:rsid wsp:val=&quot;001C62C8&quot;/&gt;&lt;wsp:rsid wsp:val=&quot;001C64D9&quot;/&gt;&lt;wsp:rsid wsp:val=&quot;001C6501&quot;/&gt;&lt;wsp:rsid wsp:val=&quot;001C68F6&quot;/&gt;&lt;wsp:rsid wsp:val=&quot;001C69AB&quot;/&gt;&lt;wsp:rsid wsp:val=&quot;001C6D16&quot;/&gt;&lt;wsp:rsid wsp:val=&quot;001C6F8F&quot;/&gt;&lt;wsp:rsid wsp:val=&quot;001C7B16&quot;/&gt;&lt;wsp:rsid wsp:val=&quot;001C7DCC&quot;/&gt;&lt;wsp:rsid wsp:val=&quot;001C7DD9&quot;/&gt;&lt;wsp:rsid wsp:val=&quot;001D0937&quot;/&gt;&lt;wsp:rsid wsp:val=&quot;001D0B3F&quot;/&gt;&lt;wsp:rsid wsp:val=&quot;001D0D56&quot;/&gt;&lt;wsp:rsid wsp:val=&quot;001D0FBA&quot;/&gt;&lt;wsp:rsid wsp:val=&quot;001D1107&quot;/&gt;&lt;wsp:rsid wsp:val=&quot;001D1250&quot;/&gt;&lt;wsp:rsid wsp:val=&quot;001D1820&quot;/&gt;&lt;wsp:rsid wsp:val=&quot;001D1993&quot;/&gt;&lt;wsp:rsid wsp:val=&quot;001D1AAD&quot;/&gt;&lt;wsp:rsid wsp:val=&quot;001D1AC5&quot;/&gt;&lt;wsp:rsid wsp:val=&quot;001D1BA9&quot;/&gt;&lt;wsp:rsid wsp:val=&quot;001D1E67&quot;/&gt;&lt;wsp:rsid wsp:val=&quot;001D246B&quot;/&gt;&lt;wsp:rsid wsp:val=&quot;001D255C&quot;/&gt;&lt;wsp:rsid wsp:val=&quot;001D263B&quot;/&gt;&lt;wsp:rsid wsp:val=&quot;001D2721&quot;/&gt;&lt;wsp:rsid wsp:val=&quot;001D2819&quot;/&gt;&lt;wsp:rsid wsp:val=&quot;001D2834&quot;/&gt;&lt;wsp:rsid wsp:val=&quot;001D29B9&quot;/&gt;&lt;wsp:rsid wsp:val=&quot;001D2BF6&quot;/&gt;&lt;wsp:rsid wsp:val=&quot;001D2E00&quot;/&gt;&lt;wsp:rsid wsp:val=&quot;001D2E7A&quot;/&gt;&lt;wsp:rsid wsp:val=&quot;001D310C&quot;/&gt;&lt;wsp:rsid wsp:val=&quot;001D321E&quot;/&gt;&lt;wsp:rsid wsp:val=&quot;001D338B&quot;/&gt;&lt;wsp:rsid wsp:val=&quot;001D33EB&quot;/&gt;&lt;wsp:rsid wsp:val=&quot;001D342A&quot;/&gt;&lt;wsp:rsid wsp:val=&quot;001D342B&quot;/&gt;&lt;wsp:rsid wsp:val=&quot;001D3520&quot;/&gt;&lt;wsp:rsid wsp:val=&quot;001D352A&quot;/&gt;&lt;wsp:rsid wsp:val=&quot;001D3733&quot;/&gt;&lt;wsp:rsid wsp:val=&quot;001D3A24&quot;/&gt;&lt;wsp:rsid wsp:val=&quot;001D3EB5&quot;/&gt;&lt;wsp:rsid wsp:val=&quot;001D3FAF&quot;/&gt;&lt;wsp:rsid wsp:val=&quot;001D4119&quot;/&gt;&lt;wsp:rsid wsp:val=&quot;001D42D8&quot;/&gt;&lt;wsp:rsid wsp:val=&quot;001D4310&quot;/&gt;&lt;wsp:rsid wsp:val=&quot;001D4499&quot;/&gt;&lt;wsp:rsid wsp:val=&quot;001D44B2&quot;/&gt;&lt;wsp:rsid wsp:val=&quot;001D44B5&quot;/&gt;&lt;wsp:rsid wsp:val=&quot;001D46FA&quot;/&gt;&lt;wsp:rsid wsp:val=&quot;001D4733&quot;/&gt;&lt;wsp:rsid wsp:val=&quot;001D4D81&quot;/&gt;&lt;wsp:rsid wsp:val=&quot;001D52FA&quot;/&gt;&lt;wsp:rsid wsp:val=&quot;001D58AC&quot;/&gt;&lt;wsp:rsid wsp:val=&quot;001D5A62&quot;/&gt;&lt;wsp:rsid wsp:val=&quot;001D5AEF&quot;/&gt;&lt;wsp:rsid wsp:val=&quot;001D5B50&quot;/&gt;&lt;wsp:rsid wsp:val=&quot;001D5FE1&quot;/&gt;&lt;wsp:rsid wsp:val=&quot;001D6467&quot;/&gt;&lt;wsp:rsid wsp:val=&quot;001D6597&quot;/&gt;&lt;wsp:rsid wsp:val=&quot;001D673A&quot;/&gt;&lt;wsp:rsid wsp:val=&quot;001D6756&quot;/&gt;&lt;wsp:rsid wsp:val=&quot;001D686E&quot;/&gt;&lt;wsp:rsid wsp:val=&quot;001D6CCA&quot;/&gt;&lt;wsp:rsid wsp:val=&quot;001D6D8C&quot;/&gt;&lt;wsp:rsid wsp:val=&quot;001D6EB8&quot;/&gt;&lt;wsp:rsid wsp:val=&quot;001D7182&quot;/&gt;&lt;wsp:rsid wsp:val=&quot;001D7493&quot;/&gt;&lt;wsp:rsid wsp:val=&quot;001D769C&quot;/&gt;&lt;wsp:rsid wsp:val=&quot;001D76D7&quot;/&gt;&lt;wsp:rsid wsp:val=&quot;001D79AE&quot;/&gt;&lt;wsp:rsid wsp:val=&quot;001D7EAB&quot;/&gt;&lt;wsp:rsid wsp:val=&quot;001E0172&quot;/&gt;&lt;wsp:rsid wsp:val=&quot;001E037B&quot;/&gt;&lt;wsp:rsid wsp:val=&quot;001E03A4&quot;/&gt;&lt;wsp:rsid wsp:val=&quot;001E0486&quot;/&gt;&lt;wsp:rsid wsp:val=&quot;001E0526&quot;/&gt;&lt;wsp:rsid wsp:val=&quot;001E06A9&quot;/&gt;&lt;wsp:rsid wsp:val=&quot;001E08A8&quot;/&gt;&lt;wsp:rsid wsp:val=&quot;001E0D9E&quot;/&gt;&lt;wsp:rsid wsp:val=&quot;001E11C3&quot;/&gt;&lt;wsp:rsid wsp:val=&quot;001E13A9&quot;/&gt;&lt;wsp:rsid wsp:val=&quot;001E1677&quot;/&gt;&lt;wsp:rsid wsp:val=&quot;001E17A9&quot;/&gt;&lt;wsp:rsid wsp:val=&quot;001E17F3&quot;/&gt;&lt;wsp:rsid wsp:val=&quot;001E192A&quot;/&gt;&lt;wsp:rsid wsp:val=&quot;001E1AC4&quot;/&gt;&lt;wsp:rsid wsp:val=&quot;001E1AF5&quot;/&gt;&lt;wsp:rsid wsp:val=&quot;001E1B96&quot;/&gt;&lt;wsp:rsid wsp:val=&quot;001E1C33&quot;/&gt;&lt;wsp:rsid wsp:val=&quot;001E1E69&quot;/&gt;&lt;wsp:rsid wsp:val=&quot;001E2004&quot;/&gt;&lt;wsp:rsid wsp:val=&quot;001E2076&quot;/&gt;&lt;wsp:rsid wsp:val=&quot;001E2119&quot;/&gt;&lt;wsp:rsid wsp:val=&quot;001E26DF&quot;/&gt;&lt;wsp:rsid wsp:val=&quot;001E2888&quot;/&gt;&lt;wsp:rsid wsp:val=&quot;001E2CA6&quot;/&gt;&lt;wsp:rsid wsp:val=&quot;001E2D47&quot;/&gt;&lt;wsp:rsid wsp:val=&quot;001E2E12&quot;/&gt;&lt;wsp:rsid wsp:val=&quot;001E30EB&quot;/&gt;&lt;wsp:rsid wsp:val=&quot;001E3324&quot;/&gt;&lt;wsp:rsid wsp:val=&quot;001E332A&quot;/&gt;&lt;wsp:rsid wsp:val=&quot;001E390B&quot;/&gt;&lt;wsp:rsid wsp:val=&quot;001E3C5F&quot;/&gt;&lt;wsp:rsid wsp:val=&quot;001E3D84&quot;/&gt;&lt;wsp:rsid wsp:val=&quot;001E404C&quot;/&gt;&lt;wsp:rsid wsp:val=&quot;001E41CF&quot;/&gt;&lt;wsp:rsid wsp:val=&quot;001E441E&quot;/&gt;&lt;wsp:rsid wsp:val=&quot;001E4548&quot;/&gt;&lt;wsp:rsid wsp:val=&quot;001E48D8&quot;/&gt;&lt;wsp:rsid wsp:val=&quot;001E4B42&quot;/&gt;&lt;wsp:rsid wsp:val=&quot;001E4BA3&quot;/&gt;&lt;wsp:rsid wsp:val=&quot;001E4D0E&quot;/&gt;&lt;wsp:rsid wsp:val=&quot;001E4E51&quot;/&gt;&lt;wsp:rsid wsp:val=&quot;001E4F58&quot;/&gt;&lt;wsp:rsid wsp:val=&quot;001E51DB&quot;/&gt;&lt;wsp:rsid wsp:val=&quot;001E5379&quot;/&gt;&lt;wsp:rsid wsp:val=&quot;001E53D2&quot;/&gt;&lt;wsp:rsid wsp:val=&quot;001E5442&quot;/&gt;&lt;wsp:rsid wsp:val=&quot;001E55C8&quot;/&gt;&lt;wsp:rsid wsp:val=&quot;001E5830&quot;/&gt;&lt;wsp:rsid wsp:val=&quot;001E5905&quot;/&gt;&lt;wsp:rsid wsp:val=&quot;001E5AF1&quot;/&gt;&lt;wsp:rsid wsp:val=&quot;001E5E46&quot;/&gt;&lt;wsp:rsid wsp:val=&quot;001E66D3&quot;/&gt;&lt;wsp:rsid wsp:val=&quot;001E6903&quot;/&gt;&lt;wsp:rsid wsp:val=&quot;001E6976&quot;/&gt;&lt;wsp:rsid wsp:val=&quot;001E6A00&quot;/&gt;&lt;wsp:rsid wsp:val=&quot;001E6A5A&quot;/&gt;&lt;wsp:rsid wsp:val=&quot;001E6BE6&quot;/&gt;&lt;wsp:rsid wsp:val=&quot;001E6C06&quot;/&gt;&lt;wsp:rsid wsp:val=&quot;001E6EB2&quot;/&gt;&lt;wsp:rsid wsp:val=&quot;001E73D5&quot;/&gt;&lt;wsp:rsid wsp:val=&quot;001E7605&quot;/&gt;&lt;wsp:rsid wsp:val=&quot;001E7893&quot;/&gt;&lt;wsp:rsid wsp:val=&quot;001E7935&quot;/&gt;&lt;wsp:rsid wsp:val=&quot;001E7A7C&quot;/&gt;&lt;wsp:rsid wsp:val=&quot;001F02C6&quot;/&gt;&lt;wsp:rsid wsp:val=&quot;001F0464&quot;/&gt;&lt;wsp:rsid wsp:val=&quot;001F0CAB&quot;/&gt;&lt;wsp:rsid wsp:val=&quot;001F10B5&quot;/&gt;&lt;wsp:rsid wsp:val=&quot;001F155A&quot;/&gt;&lt;wsp:rsid wsp:val=&quot;001F16C2&quot;/&gt;&lt;wsp:rsid wsp:val=&quot;001F178E&quot;/&gt;&lt;wsp:rsid wsp:val=&quot;001F183C&quot;/&gt;&lt;wsp:rsid wsp:val=&quot;001F1865&quot;/&gt;&lt;wsp:rsid wsp:val=&quot;001F1886&quot;/&gt;&lt;wsp:rsid wsp:val=&quot;001F1888&quot;/&gt;&lt;wsp:rsid wsp:val=&quot;001F1971&quot;/&gt;&lt;wsp:rsid wsp:val=&quot;001F21DA&quot;/&gt;&lt;wsp:rsid wsp:val=&quot;001F2496&quot;/&gt;&lt;wsp:rsid wsp:val=&quot;001F25CD&quot;/&gt;&lt;wsp:rsid wsp:val=&quot;001F309F&quot;/&gt;&lt;wsp:rsid wsp:val=&quot;001F3115&quot;/&gt;&lt;wsp:rsid wsp:val=&quot;001F3224&quot;/&gt;&lt;wsp:rsid wsp:val=&quot;001F3474&quot;/&gt;&lt;wsp:rsid wsp:val=&quot;001F35FF&quot;/&gt;&lt;wsp:rsid wsp:val=&quot;001F392F&quot;/&gt;&lt;wsp:rsid wsp:val=&quot;001F3BF6&quot;/&gt;&lt;wsp:rsid wsp:val=&quot;001F3C31&quot;/&gt;&lt;wsp:rsid wsp:val=&quot;001F4164&quot;/&gt;&lt;wsp:rsid wsp:val=&quot;001F422A&quot;/&gt;&lt;wsp:rsid wsp:val=&quot;001F45BE&quot;/&gt;&lt;wsp:rsid wsp:val=&quot;001F4603&quot;/&gt;&lt;wsp:rsid wsp:val=&quot;001F4703&quot;/&gt;&lt;wsp:rsid wsp:val=&quot;001F4704&quot;/&gt;&lt;wsp:rsid wsp:val=&quot;001F4B92&quot;/&gt;&lt;wsp:rsid wsp:val=&quot;001F4E45&quot;/&gt;&lt;wsp:rsid wsp:val=&quot;001F4EF0&quot;/&gt;&lt;wsp:rsid wsp:val=&quot;001F50CC&quot;/&gt;&lt;wsp:rsid wsp:val=&quot;001F51FF&quot;/&gt;&lt;wsp:rsid wsp:val=&quot;001F5581&quot;/&gt;&lt;wsp:rsid wsp:val=&quot;001F592C&quot;/&gt;&lt;wsp:rsid wsp:val=&quot;001F5A0B&quot;/&gt;&lt;wsp:rsid wsp:val=&quot;001F5B83&quot;/&gt;&lt;wsp:rsid wsp:val=&quot;001F5C72&quot;/&gt;&lt;wsp:rsid wsp:val=&quot;001F5C84&quot;/&gt;&lt;wsp:rsid wsp:val=&quot;001F5DE3&quot;/&gt;&lt;wsp:rsid wsp:val=&quot;001F602C&quot;/&gt;&lt;wsp:rsid wsp:val=&quot;001F6371&quot;/&gt;&lt;wsp:rsid wsp:val=&quot;001F646C&quot;/&gt;&lt;wsp:rsid wsp:val=&quot;001F6596&quot;/&gt;&lt;wsp:rsid wsp:val=&quot;001F67D0&quot;/&gt;&lt;wsp:rsid wsp:val=&quot;001F67E5&quot;/&gt;&lt;wsp:rsid wsp:val=&quot;001F6AA3&quot;/&gt;&lt;wsp:rsid wsp:val=&quot;001F6B75&quot;/&gt;&lt;wsp:rsid wsp:val=&quot;001F6C54&quot;/&gt;&lt;wsp:rsid wsp:val=&quot;001F6E7F&quot;/&gt;&lt;wsp:rsid wsp:val=&quot;001F6FDE&quot;/&gt;&lt;wsp:rsid wsp:val=&quot;001F7095&quot;/&gt;&lt;wsp:rsid wsp:val=&quot;001F71D7&quot;/&gt;&lt;wsp:rsid wsp:val=&quot;001F72C0&quot;/&gt;&lt;wsp:rsid wsp:val=&quot;001F7D0A&quot;/&gt;&lt;wsp:rsid wsp:val=&quot;001F7F17&quot;/&gt;&lt;wsp:rsid wsp:val=&quot;00200067&quot;/&gt;&lt;wsp:rsid wsp:val=&quot;002001C6&quot;/&gt;&lt;wsp:rsid wsp:val=&quot;0020084E&quot;/&gt;&lt;wsp:rsid wsp:val=&quot;0020091E&quot;/&gt;&lt;wsp:rsid wsp:val=&quot;00200F48&quot;/&gt;&lt;wsp:rsid wsp:val=&quot;00201088&quot;/&gt;&lt;wsp:rsid wsp:val=&quot;0020143B&quot;/&gt;&lt;wsp:rsid wsp:val=&quot;0020160E&quot;/&gt;&lt;wsp:rsid wsp:val=&quot;0020169E&quot;/&gt;&lt;wsp:rsid wsp:val=&quot;00201845&quot;/&gt;&lt;wsp:rsid wsp:val=&quot;0020193E&quot;/&gt;&lt;wsp:rsid wsp:val=&quot;00201B48&quot;/&gt;&lt;wsp:rsid wsp:val=&quot;00201CCB&quot;/&gt;&lt;wsp:rsid wsp:val=&quot;00202134&quot;/&gt;&lt;wsp:rsid wsp:val=&quot;0020221D&quot;/&gt;&lt;wsp:rsid wsp:val=&quot;00202326&quot;/&gt;&lt;wsp:rsid wsp:val=&quot;0020255B&quot;/&gt;&lt;wsp:rsid wsp:val=&quot;00202601&quot;/&gt;&lt;wsp:rsid wsp:val=&quot;00202770&quot;/&gt;&lt;wsp:rsid wsp:val=&quot;002029B2&quot;/&gt;&lt;wsp:rsid wsp:val=&quot;00202A7F&quot;/&gt;&lt;wsp:rsid wsp:val=&quot;00202B84&quot;/&gt;&lt;wsp:rsid wsp:val=&quot;0020327A&quot;/&gt;&lt;wsp:rsid wsp:val=&quot;0020335F&quot;/&gt;&lt;wsp:rsid wsp:val=&quot;00203709&quot;/&gt;&lt;wsp:rsid wsp:val=&quot;002037C0&quot;/&gt;&lt;wsp:rsid wsp:val=&quot;002037DB&quot;/&gt;&lt;wsp:rsid wsp:val=&quot;00203915&quot;/&gt;&lt;wsp:rsid wsp:val=&quot;00203966&quot;/&gt;&lt;wsp:rsid wsp:val=&quot;00203AAA&quot;/&gt;&lt;wsp:rsid wsp:val=&quot;00203B36&quot;/&gt;&lt;wsp:rsid wsp:val=&quot;00204120&quot;/&gt;&lt;wsp:rsid wsp:val=&quot;0020463D&quot;/&gt;&lt;wsp:rsid wsp:val=&quot;00204A20&quot;/&gt;&lt;wsp:rsid wsp:val=&quot;00204C56&quot;/&gt;&lt;wsp:rsid wsp:val=&quot;00204CCF&quot;/&gt;&lt;wsp:rsid wsp:val=&quot;00204EBE&quot;/&gt;&lt;wsp:rsid wsp:val=&quot;00204ED0&quot;/&gt;&lt;wsp:rsid wsp:val=&quot;0020502A&quot;/&gt;&lt;wsp:rsid wsp:val=&quot;00205091&quot;/&gt;&lt;wsp:rsid wsp:val=&quot;00205117&quot;/&gt;&lt;wsp:rsid wsp:val=&quot;00205380&quot;/&gt;&lt;wsp:rsid wsp:val=&quot;002057E0&quot;/&gt;&lt;wsp:rsid wsp:val=&quot;00205826&quot;/&gt;&lt;wsp:rsid wsp:val=&quot;00205894&quot;/&gt;&lt;wsp:rsid wsp:val=&quot;00205946&quot;/&gt;&lt;wsp:rsid wsp:val=&quot;00205C0D&quot;/&gt;&lt;wsp:rsid wsp:val=&quot;00205EED&quot;/&gt;&lt;wsp:rsid wsp:val=&quot;002060CD&quot;/&gt;&lt;wsp:rsid wsp:val=&quot;00206123&quot;/&gt;&lt;wsp:rsid wsp:val=&quot;0020634A&quot;/&gt;&lt;wsp:rsid wsp:val=&quot;002064AD&quot;/&gt;&lt;wsp:rsid wsp:val=&quot;00206822&quot;/&gt;&lt;wsp:rsid wsp:val=&quot;00206EA0&quot;/&gt;&lt;wsp:rsid wsp:val=&quot;0020701D&quot;/&gt;&lt;wsp:rsid wsp:val=&quot;0020706A&quot;/&gt;&lt;wsp:rsid wsp:val=&quot;00207348&quot;/&gt;&lt;wsp:rsid wsp:val=&quot;002074F5&quot;/&gt;&lt;wsp:rsid wsp:val=&quot;00207586&quot;/&gt;&lt;wsp:rsid wsp:val=&quot;00207AB8&quot;/&gt;&lt;wsp:rsid wsp:val=&quot;0021002A&quot;/&gt;&lt;wsp:rsid wsp:val=&quot;0021050B&quot;/&gt;&lt;wsp:rsid wsp:val=&quot;002106BC&quot;/&gt;&lt;wsp:rsid wsp:val=&quot;00210C3E&quot;/&gt;&lt;wsp:rsid wsp:val=&quot;0021102C&quot;/&gt;&lt;wsp:rsid wsp:val=&quot;00211231&quot;/&gt;&lt;wsp:rsid wsp:val=&quot;00211597&quot;/&gt;&lt;wsp:rsid wsp:val=&quot;002119C2&quot;/&gt;&lt;wsp:rsid wsp:val=&quot;00211AF6&quot;/&gt;&lt;wsp:rsid wsp:val=&quot;00211B15&quot;/&gt;&lt;wsp:rsid wsp:val=&quot;00211BE8&quot;/&gt;&lt;wsp:rsid wsp:val=&quot;00211D2B&quot;/&gt;&lt;wsp:rsid wsp:val=&quot;00211E81&quot;/&gt;&lt;wsp:rsid wsp:val=&quot;00211F80&quot;/&gt;&lt;wsp:rsid wsp:val=&quot;00212235&quot;/&gt;&lt;wsp:rsid wsp:val=&quot;0021234A&quot;/&gt;&lt;wsp:rsid wsp:val=&quot;00212654&quot;/&gt;&lt;wsp:rsid wsp:val=&quot;00212677&quot;/&gt;&lt;wsp:rsid wsp:val=&quot;00212749&quot;/&gt;&lt;wsp:rsid wsp:val=&quot;002128BB&quot;/&gt;&lt;wsp:rsid wsp:val=&quot;00212AA3&quot;/&gt;&lt;wsp:rsid wsp:val=&quot;00212D8E&quot;/&gt;&lt;wsp:rsid wsp:val=&quot;00212DCD&quot;/&gt;&lt;wsp:rsid wsp:val=&quot;00212E00&quot;/&gt;&lt;wsp:rsid wsp:val=&quot;0021321D&quot;/&gt;&lt;wsp:rsid wsp:val=&quot;002132AD&quot;/&gt;&lt;wsp:rsid wsp:val=&quot;00213390&quot;/&gt;&lt;wsp:rsid wsp:val=&quot;002133DA&quot;/&gt;&lt;wsp:rsid wsp:val=&quot;002133FB&quot;/&gt;&lt;wsp:rsid wsp:val=&quot;002135C0&quot;/&gt;&lt;wsp:rsid wsp:val=&quot;002137BB&quot;/&gt;&lt;wsp:rsid wsp:val=&quot;00213A4E&quot;/&gt;&lt;wsp:rsid wsp:val=&quot;00213A8A&quot;/&gt;&lt;wsp:rsid wsp:val=&quot;00213C3B&quot;/&gt;&lt;wsp:rsid wsp:val=&quot;00213DA1&quot;/&gt;&lt;wsp:rsid wsp:val=&quot;00213F67&quot;/&gt;&lt;wsp:rsid wsp:val=&quot;00213F8C&quot;/&gt;&lt;wsp:rsid wsp:val=&quot;00213FEF&quot;/&gt;&lt;wsp:rsid wsp:val=&quot;00214191&quot;/&gt;&lt;wsp:rsid wsp:val=&quot;0021442B&quot;/&gt;&lt;wsp:rsid wsp:val=&quot;00214450&quot;/&gt;&lt;wsp:rsid wsp:val=&quot;0021446C&quot;/&gt;&lt;wsp:rsid wsp:val=&quot;00214609&quot;/&gt;&lt;wsp:rsid wsp:val=&quot;0021474F&quot;/&gt;&lt;wsp:rsid wsp:val=&quot;00214BC9&quot;/&gt;&lt;wsp:rsid wsp:val=&quot;00214FC7&quot;/&gt;&lt;wsp:rsid wsp:val=&quot;0021556D&quot;/&gt;&lt;wsp:rsid wsp:val=&quot;002156D4&quot;/&gt;&lt;wsp:rsid wsp:val=&quot;002159BE&quot;/&gt;&lt;wsp:rsid wsp:val=&quot;002159D9&quot;/&gt;&lt;wsp:rsid wsp:val=&quot;00215F89&quot;/&gt;&lt;wsp:rsid wsp:val=&quot;00216291&quot;/&gt;&lt;wsp:rsid wsp:val=&quot;0021699B&quot;/&gt;&lt;wsp:rsid wsp:val=&quot;00216BEC&quot;/&gt;&lt;wsp:rsid wsp:val=&quot;00216E6B&quot;/&gt;&lt;wsp:rsid wsp:val=&quot;00217013&quot;/&gt;&lt;wsp:rsid wsp:val=&quot;002173C0&quot;/&gt;&lt;wsp:rsid wsp:val=&quot;00217489&quot;/&gt;&lt;wsp:rsid wsp:val=&quot;00217809&quot;/&gt;&lt;wsp:rsid wsp:val=&quot;002179D5&quot;/&gt;&lt;wsp:rsid wsp:val=&quot;00217A97&quot;/&gt;&lt;wsp:rsid wsp:val=&quot;00217A9A&quot;/&gt;&lt;wsp:rsid wsp:val=&quot;00217CB7&quot;/&gt;&lt;wsp:rsid wsp:val=&quot;00217D93&quot;/&gt;&lt;wsp:rsid wsp:val=&quot;00217E00&quot;/&gt;&lt;wsp:rsid wsp:val=&quot;0022001A&quot;/&gt;&lt;wsp:rsid wsp:val=&quot;002201B6&quot;/&gt;&lt;wsp:rsid wsp:val=&quot;002204BC&quot;/&gt;&lt;wsp:rsid wsp:val=&quot;002207F9&quot;/&gt;&lt;wsp:rsid wsp:val=&quot;00220892&quot;/&gt;&lt;wsp:rsid wsp:val=&quot;00220A13&quot;/&gt;&lt;wsp:rsid wsp:val=&quot;00220AFB&quot;/&gt;&lt;wsp:rsid wsp:val=&quot;00221071&quot;/&gt;&lt;wsp:rsid wsp:val=&quot;002214C0&quot;/&gt;&lt;wsp:rsid wsp:val=&quot;002217B2&quot;/&gt;&lt;wsp:rsid wsp:val=&quot;00221906&quot;/&gt;&lt;wsp:rsid wsp:val=&quot;00221FE6&quot;/&gt;&lt;wsp:rsid wsp:val=&quot;002224B4&quot;/&gt;&lt;wsp:rsid wsp:val=&quot;00222537&quot;/&gt;&lt;wsp:rsid wsp:val=&quot;002225DF&quot;/&gt;&lt;wsp:rsid wsp:val=&quot;00222F0D&quot;/&gt;&lt;wsp:rsid wsp:val=&quot;00223556&quot;/&gt;&lt;wsp:rsid wsp:val=&quot;0022364B&quot;/&gt;&lt;wsp:rsid wsp:val=&quot;002237B4&quot;/&gt;&lt;wsp:rsid wsp:val=&quot;002237D0&quot;/&gt;&lt;wsp:rsid wsp:val=&quot;00223A29&quot;/&gt;&lt;wsp:rsid wsp:val=&quot;00223BB9&quot;/&gt;&lt;wsp:rsid wsp:val=&quot;00223C4A&quot;/&gt;&lt;wsp:rsid wsp:val=&quot;00223EB6&quot;/&gt;&lt;wsp:rsid wsp:val=&quot;00224082&quot;/&gt;&lt;wsp:rsid wsp:val=&quot;002242A9&quot;/&gt;&lt;wsp:rsid wsp:val=&quot;00224425&quot;/&gt;&lt;wsp:rsid wsp:val=&quot;00224569&quot;/&gt;&lt;wsp:rsid wsp:val=&quot;002245B8&quot;/&gt;&lt;wsp:rsid wsp:val=&quot;00224B50&quot;/&gt;&lt;wsp:rsid wsp:val=&quot;00224F76&quot;/&gt;&lt;wsp:rsid wsp:val=&quot;0022506D&quot;/&gt;&lt;wsp:rsid wsp:val=&quot;00225118&quot;/&gt;&lt;wsp:rsid wsp:val=&quot;00225373&quot;/&gt;&lt;wsp:rsid wsp:val=&quot;002253C0&quot;/&gt;&lt;wsp:rsid wsp:val=&quot;002255D8&quot;/&gt;&lt;wsp:rsid wsp:val=&quot;002257CF&quot;/&gt;&lt;wsp:rsid wsp:val=&quot;0022584C&quot;/&gt;&lt;wsp:rsid wsp:val=&quot;00225ABF&quot;/&gt;&lt;wsp:rsid wsp:val=&quot;00225EBC&quot;/&gt;&lt;wsp:rsid wsp:val=&quot;00225EF9&quot;/&gt;&lt;wsp:rsid wsp:val=&quot;00226067&quot;/&gt;&lt;wsp:rsid wsp:val=&quot;0022620C&quot;/&gt;&lt;wsp:rsid wsp:val=&quot;0022632F&quot;/&gt;&lt;wsp:rsid wsp:val=&quot;00226721&quot;/&gt;&lt;wsp:rsid wsp:val=&quot;00226799&quot;/&gt;&lt;wsp:rsid wsp:val=&quot;00226829&quot;/&gt;&lt;wsp:rsid wsp:val=&quot;0022682A&quot;/&gt;&lt;wsp:rsid wsp:val=&quot;00226A5B&quot;/&gt;&lt;wsp:rsid wsp:val=&quot;00226BCC&quot;/&gt;&lt;wsp:rsid wsp:val=&quot;00226CB1&quot;/&gt;&lt;wsp:rsid wsp:val=&quot;00226E61&quot;/&gt;&lt;wsp:rsid wsp:val=&quot;002272C5&quot;/&gt;&lt;wsp:rsid wsp:val=&quot;00227383&quot;/&gt;&lt;wsp:rsid wsp:val=&quot;00227982&quot;/&gt;&lt;wsp:rsid wsp:val=&quot;00227E40&quot;/&gt;&lt;wsp:rsid wsp:val=&quot;00227F18&quot;/&gt;&lt;wsp:rsid wsp:val=&quot;00227F30&quot;/&gt;&lt;wsp:rsid wsp:val=&quot;00230182&quot;/&gt;&lt;wsp:rsid wsp:val=&quot;002302C1&quot;/&gt;&lt;wsp:rsid wsp:val=&quot;00230931&quot;/&gt;&lt;wsp:rsid wsp:val=&quot;00230EC6&quot;/&gt;&lt;wsp:rsid wsp:val=&quot;00231568&quot;/&gt;&lt;wsp:rsid wsp:val=&quot;0023156A&quot;/&gt;&lt;wsp:rsid wsp:val=&quot;00231A2A&quot;/&gt;&lt;wsp:rsid wsp:val=&quot;00231AAB&quot;/&gt;&lt;wsp:rsid wsp:val=&quot;00231D8D&quot;/&gt;&lt;wsp:rsid wsp:val=&quot;00231FBE&quot;/&gt;&lt;wsp:rsid wsp:val=&quot;002324AC&quot;/&gt;&lt;wsp:rsid wsp:val=&quot;0023261B&quot;/&gt;&lt;wsp:rsid wsp:val=&quot;00232976&quot;/&gt;&lt;wsp:rsid wsp:val=&quot;00232A5B&quot;/&gt;&lt;wsp:rsid wsp:val=&quot;00232BC9&quot;/&gt;&lt;wsp:rsid wsp:val=&quot;00232D5B&quot;/&gt;&lt;wsp:rsid wsp:val=&quot;00232E13&quot;/&gt;&lt;wsp:rsid wsp:val=&quot;00232F48&quot;/&gt;&lt;wsp:rsid wsp:val=&quot;00233057&quot;/&gt;&lt;wsp:rsid wsp:val=&quot;002332D9&quot;/&gt;&lt;wsp:rsid wsp:val=&quot;0023335F&quot;/&gt;&lt;wsp:rsid wsp:val=&quot;002338E5&quot;/&gt;&lt;wsp:rsid wsp:val=&quot;0023398B&quot;/&gt;&lt;wsp:rsid wsp:val=&quot;002341D5&quot;/&gt;&lt;wsp:rsid wsp:val=&quot;002346D3&quot;/&gt;&lt;wsp:rsid wsp:val=&quot;00234752&quot;/&gt;&lt;wsp:rsid wsp:val=&quot;0023479B&quot;/&gt;&lt;wsp:rsid wsp:val=&quot;00234C00&quot;/&gt;&lt;wsp:rsid wsp:val=&quot;00234ED0&quot;/&gt;&lt;wsp:rsid wsp:val=&quot;0023501E&quot;/&gt;&lt;wsp:rsid wsp:val=&quot;00235394&quot;/&gt;&lt;wsp:rsid wsp:val=&quot;0023549A&quot;/&gt;&lt;wsp:rsid wsp:val=&quot;0023561A&quot;/&gt;&lt;wsp:rsid wsp:val=&quot;002357C9&quot;/&gt;&lt;wsp:rsid wsp:val=&quot;002359AB&quot;/&gt;&lt;wsp:rsid wsp:val=&quot;00235B23&quot;/&gt;&lt;wsp:rsid wsp:val=&quot;00235B59&quot;/&gt;&lt;wsp:rsid wsp:val=&quot;00236253&quot;/&gt;&lt;wsp:rsid wsp:val=&quot;002363FA&quot;/&gt;&lt;wsp:rsid wsp:val=&quot;002370F6&quot;/&gt;&lt;wsp:rsid wsp:val=&quot;002371BD&quot;/&gt;&lt;wsp:rsid wsp:val=&quot;00237460&quot;/&gt;&lt;wsp:rsid wsp:val=&quot;00237479&quot;/&gt;&lt;wsp:rsid wsp:val=&quot;002378A7&quot;/&gt;&lt;wsp:rsid wsp:val=&quot;00237B71&quot;/&gt;&lt;wsp:rsid wsp:val=&quot;00237D1B&quot;/&gt;&lt;wsp:rsid wsp:val=&quot;00237E99&quot;/&gt;&lt;wsp:rsid wsp:val=&quot;0024005F&quot;/&gt;&lt;wsp:rsid wsp:val=&quot;00240263&quot;/&gt;&lt;wsp:rsid wsp:val=&quot;00240324&quot;/&gt;&lt;wsp:rsid wsp:val=&quot;00240327&quot;/&gt;&lt;wsp:rsid wsp:val=&quot;00240372&quot;/&gt;&lt;wsp:rsid wsp:val=&quot;002405A2&quot;/&gt;&lt;wsp:rsid wsp:val=&quot;0024069F&quot;/&gt;&lt;wsp:rsid wsp:val=&quot;002409F5&quot;/&gt;&lt;wsp:rsid wsp:val=&quot;00240B5D&quot;/&gt;&lt;wsp:rsid wsp:val=&quot;00240FB5&quot;/&gt;&lt;wsp:rsid wsp:val=&quot;00240FD6&quot;/&gt;&lt;wsp:rsid wsp:val=&quot;0024100F&quot;/&gt;&lt;wsp:rsid wsp:val=&quot;0024136B&quot;/&gt;&lt;wsp:rsid wsp:val=&quot;002416D0&quot;/&gt;&lt;wsp:rsid wsp:val=&quot;00241777&quot;/&gt;&lt;wsp:rsid wsp:val=&quot;002419AE&quot;/&gt;&lt;wsp:rsid wsp:val=&quot;00241BFB&quot;/&gt;&lt;wsp:rsid wsp:val=&quot;00241F39&quot;/&gt;&lt;wsp:rsid wsp:val=&quot;0024208F&quot;/&gt;&lt;wsp:rsid wsp:val=&quot;0024215C&quot;/&gt;&lt;wsp:rsid wsp:val=&quot;0024236D&quot;/&gt;&lt;wsp:rsid wsp:val=&quot;002424A7&quot;/&gt;&lt;wsp:rsid wsp:val=&quot;0024256B&quot;/&gt;&lt;wsp:rsid wsp:val=&quot;002426FF&quot;/&gt;&lt;wsp:rsid wsp:val=&quot;002428A6&quot;/&gt;&lt;wsp:rsid wsp:val=&quot;002429FA&quot;/&gt;&lt;wsp:rsid wsp:val=&quot;00242C69&quot;/&gt;&lt;wsp:rsid wsp:val=&quot;00242F6E&quot;/&gt;&lt;wsp:rsid wsp:val=&quot;002431C7&quot;/&gt;&lt;wsp:rsid wsp:val=&quot;0024365E&quot;/&gt;&lt;wsp:rsid wsp:val=&quot;002439C5&quot;/&gt;&lt;wsp:rsid wsp:val=&quot;002439D0&quot;/&gt;&lt;wsp:rsid wsp:val=&quot;00243A41&quot;/&gt;&lt;wsp:rsid wsp:val=&quot;00243BD9&quot;/&gt;&lt;wsp:rsid wsp:val=&quot;00243D3D&quot;/&gt;&lt;wsp:rsid wsp:val=&quot;0024417C&quot;/&gt;&lt;wsp:rsid wsp:val=&quot;002444E7&quot;/&gt;&lt;wsp:rsid wsp:val=&quot;002447A8&quot;/&gt;&lt;wsp:rsid wsp:val=&quot;00244956&quot;/&gt;&lt;wsp:rsid wsp:val=&quot;00244986&quot;/&gt;&lt;wsp:rsid wsp:val=&quot;002449C9&quot;/&gt;&lt;wsp:rsid wsp:val=&quot;00244A5E&quot;/&gt;&lt;wsp:rsid wsp:val=&quot;00244AF3&quot;/&gt;&lt;wsp:rsid wsp:val=&quot;00244C3F&quot;/&gt;&lt;wsp:rsid wsp:val=&quot;00244C5D&quot;/&gt;&lt;wsp:rsid wsp:val=&quot;00245007&quot;/&gt;&lt;wsp:rsid wsp:val=&quot;00245079&quot;/&gt;&lt;wsp:rsid wsp:val=&quot;002450E7&quot;/&gt;&lt;wsp:rsid wsp:val=&quot;0024522C&quot;/&gt;&lt;wsp:rsid wsp:val=&quot;00245256&quot;/&gt;&lt;wsp:rsid wsp:val=&quot;002454C5&quot;/&gt;&lt;wsp:rsid wsp:val=&quot;002455B1&quot;/&gt;&lt;wsp:rsid wsp:val=&quot;00245EB1&quot;/&gt;&lt;wsp:rsid wsp:val=&quot;00245EBE&quot;/&gt;&lt;wsp:rsid wsp:val=&quot;00245ED8&quot;/&gt;&lt;wsp:rsid wsp:val=&quot;00246125&quot;/&gt;&lt;wsp:rsid wsp:val=&quot;00246B24&quot;/&gt;&lt;wsp:rsid wsp:val=&quot;00246BC2&quot;/&gt;&lt;wsp:rsid wsp:val=&quot;0024724E&quot;/&gt;&lt;wsp:rsid wsp:val=&quot;00247F5F&quot;/&gt;&lt;wsp:rsid wsp:val=&quot;002504AF&quot;/&gt;&lt;wsp:rsid wsp:val=&quot;00250771&quot;/&gt;&lt;wsp:rsid wsp:val=&quot;00250818&quot;/&gt;&lt;wsp:rsid wsp:val=&quot;002509FD&quot;/&gt;&lt;wsp:rsid wsp:val=&quot;00250CF6&quot;/&gt;&lt;wsp:rsid wsp:val=&quot;00250EE3&quot;/&gt;&lt;wsp:rsid wsp:val=&quot;00250F8F&quot;/&gt;&lt;wsp:rsid wsp:val=&quot;00250F98&quot;/&gt;&lt;wsp:rsid wsp:val=&quot;002510DA&quot;/&gt;&lt;wsp:rsid wsp:val=&quot;00251333&quot;/&gt;&lt;wsp:rsid wsp:val=&quot;0025144C&quot;/&gt;&lt;wsp:rsid wsp:val=&quot;002514AF&quot;/&gt;&lt;wsp:rsid wsp:val=&quot;002514E1&quot;/&gt;&lt;wsp:rsid wsp:val=&quot;00251722&quot;/&gt;&lt;wsp:rsid wsp:val=&quot;00251CD7&quot;/&gt;&lt;wsp:rsid wsp:val=&quot;00251F1D&quot;/&gt;&lt;wsp:rsid wsp:val=&quot;0025219B&quot;/&gt;&lt;wsp:rsid wsp:val=&quot;0025264B&quot;/&gt;&lt;wsp:rsid wsp:val=&quot;0025268E&quot;/&gt;&lt;wsp:rsid wsp:val=&quot;00252794&quot;/&gt;&lt;wsp:rsid wsp:val=&quot;00252907&quot;/&gt;&lt;wsp:rsid wsp:val=&quot;002531D8&quot;/&gt;&lt;wsp:rsid wsp:val=&quot;002535BF&quot;/&gt;&lt;wsp:rsid wsp:val=&quot;00253624&quot;/&gt;&lt;wsp:rsid wsp:val=&quot;00253742&quot;/&gt;&lt;wsp:rsid wsp:val=&quot;002537A4&quot;/&gt;&lt;wsp:rsid wsp:val=&quot;002537B8&quot;/&gt;&lt;wsp:rsid wsp:val=&quot;00253A1E&quot;/&gt;&lt;wsp:rsid wsp:val=&quot;00253F8C&quot;/&gt;&lt;wsp:rsid wsp:val=&quot;0025456B&quot;/&gt;&lt;wsp:rsid wsp:val=&quot;002548D1&quot;/&gt;&lt;wsp:rsid wsp:val=&quot;00254A1D&quot;/&gt;&lt;wsp:rsid wsp:val=&quot;00254A70&quot;/&gt;&lt;wsp:rsid wsp:val=&quot;00254B43&quot;/&gt;&lt;wsp:rsid wsp:val=&quot;00254B89&quot;/&gt;&lt;wsp:rsid wsp:val=&quot;00254BB9&quot;/&gt;&lt;wsp:rsid wsp:val=&quot;00254E4D&quot;/&gt;&lt;wsp:rsid wsp:val=&quot;002551F6&quot;/&gt;&lt;wsp:rsid wsp:val=&quot;002555F5&quot;/&gt;&lt;wsp:rsid wsp:val=&quot;002558F3&quot;/&gt;&lt;wsp:rsid wsp:val=&quot;002558FD&quot;/&gt;&lt;wsp:rsid wsp:val=&quot;002559F8&quot;/&gt;&lt;wsp:rsid wsp:val=&quot;00255BBD&quot;/&gt;&lt;wsp:rsid wsp:val=&quot;00255C63&quot;/&gt;&lt;wsp:rsid wsp:val=&quot;00255DF1&quot;/&gt;&lt;wsp:rsid wsp:val=&quot;00255E61&quot;/&gt;&lt;wsp:rsid wsp:val=&quot;002562A8&quot;/&gt;&lt;wsp:rsid wsp:val=&quot;002566D1&quot;/&gt;&lt;wsp:rsid wsp:val=&quot;002566E4&quot;/&gt;&lt;wsp:rsid wsp:val=&quot;00256707&quot;/&gt;&lt;wsp:rsid wsp:val=&quot;002567DD&quot;/&gt;&lt;wsp:rsid wsp:val=&quot;00256BE8&quot;/&gt;&lt;wsp:rsid wsp:val=&quot;00257117&quot;/&gt;&lt;wsp:rsid wsp:val=&quot;00257321&quot;/&gt;&lt;wsp:rsid wsp:val=&quot;00257335&quot;/&gt;&lt;wsp:rsid wsp:val=&quot;00257BD0&quot;/&gt;&lt;wsp:rsid wsp:val=&quot;00257CA7&quot;/&gt;&lt;wsp:rsid wsp:val=&quot;00260349&quot;/&gt;&lt;wsp:rsid wsp:val=&quot;002603AB&quot;/&gt;&lt;wsp:rsid wsp:val=&quot;002606CC&quot;/&gt;&lt;wsp:rsid wsp:val=&quot;002608EE&quot;/&gt;&lt;wsp:rsid wsp:val=&quot;00260997&quot;/&gt;&lt;wsp:rsid wsp:val=&quot;00260C31&quot;/&gt;&lt;wsp:rsid wsp:val=&quot;00260F64&quot;/&gt;&lt;wsp:rsid wsp:val=&quot;00260FCB&quot;/&gt;&lt;wsp:rsid wsp:val=&quot;002618BF&quot;/&gt;&lt;wsp:rsid wsp:val=&quot;00261C2E&quot;/&gt;&lt;wsp:rsid wsp:val=&quot;00261E1D&quot;/&gt;&lt;wsp:rsid wsp:val=&quot;00261E74&quot;/&gt;&lt;wsp:rsid wsp:val=&quot;002626CD&quot;/&gt;&lt;wsp:rsid wsp:val=&quot;0026283E&quot;/&gt;&lt;wsp:rsid wsp:val=&quot;002628DB&quot;/&gt;&lt;wsp:rsid wsp:val=&quot;00262ABA&quot;/&gt;&lt;wsp:rsid wsp:val=&quot;00262B80&quot;/&gt;&lt;wsp:rsid wsp:val=&quot;00262DF5&quot;/&gt;&lt;wsp:rsid wsp:val=&quot;00262E2D&quot;/&gt;&lt;wsp:rsid wsp:val=&quot;00262FE2&quot;/&gt;&lt;wsp:rsid wsp:val=&quot;0026315B&quot;/&gt;&lt;wsp:rsid wsp:val=&quot;0026330C&quot;/&gt;&lt;wsp:rsid wsp:val=&quot;0026350B&quot;/&gt;&lt;wsp:rsid wsp:val=&quot;002637CE&quot;/&gt;&lt;wsp:rsid wsp:val=&quot;00263823&quot;/&gt;&lt;wsp:rsid wsp:val=&quot;00263A79&quot;/&gt;&lt;wsp:rsid wsp:val=&quot;00263E4B&quot;/&gt;&lt;wsp:rsid wsp:val=&quot;00264519&quot;/&gt;&lt;wsp:rsid wsp:val=&quot;0026479F&quot;/&gt;&lt;wsp:rsid wsp:val=&quot;00264BBD&quot;/&gt;&lt;wsp:rsid wsp:val=&quot;00264CFA&quot;/&gt;&lt;wsp:rsid wsp:val=&quot;0026519A&quot;/&gt;&lt;wsp:rsid wsp:val=&quot;00265236&quot;/&gt;&lt;wsp:rsid wsp:val=&quot;002653F7&quot;/&gt;&lt;wsp:rsid wsp:val=&quot;0026572E&quot;/&gt;&lt;wsp:rsid wsp:val=&quot;00265767&quot;/&gt;&lt;wsp:rsid wsp:val=&quot;00265C68&quot;/&gt;&lt;wsp:rsid wsp:val=&quot;00265F3A&quot;/&gt;&lt;wsp:rsid wsp:val=&quot;002666DE&quot;/&gt;&lt;wsp:rsid wsp:val=&quot;0026678E&quot;/&gt;&lt;wsp:rsid wsp:val=&quot;002668EB&quot;/&gt;&lt;wsp:rsid wsp:val=&quot;002669FC&quot;/&gt;&lt;wsp:rsid wsp:val=&quot;00266E69&quot;/&gt;&lt;wsp:rsid wsp:val=&quot;002672ED&quot;/&gt;&lt;wsp:rsid wsp:val=&quot;00267517&quot;/&gt;&lt;wsp:rsid wsp:val=&quot;002676BE&quot;/&gt;&lt;wsp:rsid wsp:val=&quot;00267786&quot;/&gt;&lt;wsp:rsid wsp:val=&quot;0026788C&quot;/&gt;&lt;wsp:rsid wsp:val=&quot;00267896&quot;/&gt;&lt;wsp:rsid wsp:val=&quot;00267A1F&quot;/&gt;&lt;wsp:rsid wsp:val=&quot;00267C43&quot;/&gt;&lt;wsp:rsid wsp:val=&quot;00267DD6&quot;/&gt;&lt;wsp:rsid wsp:val=&quot;00267F17&quot;/&gt;&lt;wsp:rsid wsp:val=&quot;002703EA&quot;/&gt;&lt;wsp:rsid wsp:val=&quot;002704D0&quot;/&gt;&lt;wsp:rsid wsp:val=&quot;002708D8&quot;/&gt;&lt;wsp:rsid wsp:val=&quot;00270A80&quot;/&gt;&lt;wsp:rsid wsp:val=&quot;00270AC2&quot;/&gt;&lt;wsp:rsid wsp:val=&quot;00270D2D&quot;/&gt;&lt;wsp:rsid wsp:val=&quot;0027102D&quot;/&gt;&lt;wsp:rsid wsp:val=&quot;00271050&quot;/&gt;&lt;wsp:rsid wsp:val=&quot;002712D1&quot;/&gt;&lt;wsp:rsid wsp:val=&quot;00271559&quot;/&gt;&lt;wsp:rsid wsp:val=&quot;00271A40&quot;/&gt;&lt;wsp:rsid wsp:val=&quot;00271AD6&quot;/&gt;&lt;wsp:rsid wsp:val=&quot;00271E83&quot;/&gt;&lt;wsp:rsid wsp:val=&quot;002720B1&quot;/&gt;&lt;wsp:rsid wsp:val=&quot;00272248&quot;/&gt;&lt;wsp:rsid wsp:val=&quot;0027259D&quot;/&gt;&lt;wsp:rsid wsp:val=&quot;00272EAD&quot;/&gt;&lt;wsp:rsid wsp:val=&quot;00272F0C&quot;/&gt;&lt;wsp:rsid wsp:val=&quot;00272FFD&quot;/&gt;&lt;wsp:rsid wsp:val=&quot;002734B5&quot;/&gt;&lt;wsp:rsid wsp:val=&quot;002734B7&quot;/&gt;&lt;wsp:rsid wsp:val=&quot;00273678&quot;/&gt;&lt;wsp:rsid wsp:val=&quot;002737E8&quot;/&gt;&lt;wsp:rsid wsp:val=&quot;00273D7C&quot;/&gt;&lt;wsp:rsid wsp:val=&quot;00273E1B&quot;/&gt;&lt;wsp:rsid wsp:val=&quot;00274152&quot;/&gt;&lt;wsp:rsid wsp:val=&quot;00274220&quot;/&gt;&lt;wsp:rsid wsp:val=&quot;002743FD&quot;/&gt;&lt;wsp:rsid wsp:val=&quot;0027444D&quot;/&gt;&lt;wsp:rsid wsp:val=&quot;0027454A&quot;/&gt;&lt;wsp:rsid wsp:val=&quot;002746B6&quot;/&gt;&lt;wsp:rsid wsp:val=&quot;002747C8&quot;/&gt;&lt;wsp:rsid wsp:val=&quot;00274856&quot;/&gt;&lt;wsp:rsid wsp:val=&quot;00274CFB&quot;/&gt;&lt;wsp:rsid wsp:val=&quot;00274DDB&quot;/&gt;&lt;wsp:rsid wsp:val=&quot;00274E8A&quot;/&gt;&lt;wsp:rsid wsp:val=&quot;00274EF4&quot;/&gt;&lt;wsp:rsid wsp:val=&quot;00275151&quot;/&gt;&lt;wsp:rsid wsp:val=&quot;002751F7&quot;/&gt;&lt;wsp:rsid wsp:val=&quot;002755E3&quot;/&gt;&lt;wsp:rsid wsp:val=&quot;0027588A&quot;/&gt;&lt;wsp:rsid wsp:val=&quot;00275D67&quot;/&gt;&lt;wsp:rsid wsp:val=&quot;00276019&quot;/&gt;&lt;wsp:rsid wsp:val=&quot;002763DA&quot;/&gt;&lt;wsp:rsid wsp:val=&quot;002766E0&quot;/&gt;&lt;wsp:rsid wsp:val=&quot;002769FD&quot;/&gt;&lt;wsp:rsid wsp:val=&quot;00276DDB&quot;/&gt;&lt;wsp:rsid wsp:val=&quot;00276E5B&quot;/&gt;&lt;wsp:rsid wsp:val=&quot;0027700A&quot;/&gt;&lt;wsp:rsid wsp:val=&quot;00277571&quot;/&gt;&lt;wsp:rsid wsp:val=&quot;00277932&quot;/&gt;&lt;wsp:rsid wsp:val=&quot;00277E1F&quot;/&gt;&lt;wsp:rsid wsp:val=&quot;00277F07&quot;/&gt;&lt;wsp:rsid wsp:val=&quot;00277F0F&quot;/&gt;&lt;wsp:rsid wsp:val=&quot;0028013A&quot;/&gt;&lt;wsp:rsid wsp:val=&quot;0028031A&quot;/&gt;&lt;wsp:rsid wsp:val=&quot;00280384&quot;/&gt;&lt;wsp:rsid wsp:val=&quot;00280620&quot;/&gt;&lt;wsp:rsid wsp:val=&quot;00280767&quot;/&gt;&lt;wsp:rsid wsp:val=&quot;0028089D&quot;/&gt;&lt;wsp:rsid wsp:val=&quot;00281169&quot;/&gt;&lt;wsp:rsid wsp:val=&quot;0028118B&quot;/&gt;&lt;wsp:rsid wsp:val=&quot;0028154C&quot;/&gt;&lt;wsp:rsid wsp:val=&quot;002817F9&quot;/&gt;&lt;wsp:rsid wsp:val=&quot;002818A5&quot;/&gt;&lt;wsp:rsid wsp:val=&quot;002819AA&quot;/&gt;&lt;wsp:rsid wsp:val=&quot;00281BC8&quot;/&gt;&lt;wsp:rsid wsp:val=&quot;00281BD0&quot;/&gt;&lt;wsp:rsid wsp:val=&quot;00281BDA&quot;/&gt;&lt;wsp:rsid wsp:val=&quot;00281E7A&quot;/&gt;&lt;wsp:rsid wsp:val=&quot;00281F42&quot;/&gt;&lt;wsp:rsid wsp:val=&quot;0028243C&quot;/&gt;&lt;wsp:rsid wsp:val=&quot;0028257F&quot;/&gt;&lt;wsp:rsid wsp:val=&quot;0028259C&quot;/&gt;&lt;wsp:rsid wsp:val=&quot;002826CE&quot;/&gt;&lt;wsp:rsid wsp:val=&quot;0028276F&quot;/&gt;&lt;wsp:rsid wsp:val=&quot;00282828&quot;/&gt;&lt;wsp:rsid wsp:val=&quot;00282874&quot;/&gt;&lt;wsp:rsid wsp:val=&quot;002828F2&quot;/&gt;&lt;wsp:rsid wsp:val=&quot;00282B48&quot;/&gt;&lt;wsp:rsid wsp:val=&quot;00282CCC&quot;/&gt;&lt;wsp:rsid wsp:val=&quot;00283676&quot;/&gt;&lt;wsp:rsid wsp:val=&quot;002836C1&quot;/&gt;&lt;wsp:rsid wsp:val=&quot;002836F9&quot;/&gt;&lt;wsp:rsid wsp:val=&quot;002837B5&quot;/&gt;&lt;wsp:rsid wsp:val=&quot;002837BB&quot;/&gt;&lt;wsp:rsid wsp:val=&quot;00283F94&quot;/&gt;&lt;wsp:rsid wsp:val=&quot;0028412E&quot;/&gt;&lt;wsp:rsid wsp:val=&quot;00284285&quot;/&gt;&lt;wsp:rsid wsp:val=&quot;0028476A&quot;/&gt;&lt;wsp:rsid wsp:val=&quot;00284F3A&quot;/&gt;&lt;wsp:rsid wsp:val=&quot;0028501D&quot;/&gt;&lt;wsp:rsid wsp:val=&quot;002852E5&quot;/&gt;&lt;wsp:rsid wsp:val=&quot;00285303&quot;/&gt;&lt;wsp:rsid wsp:val=&quot;00285EB9&quot;/&gt;&lt;wsp:rsid wsp:val=&quot;00286342&quot;/&gt;&lt;wsp:rsid wsp:val=&quot;0028636D&quot;/&gt;&lt;wsp:rsid wsp:val=&quot;0028638A&quot;/&gt;&lt;wsp:rsid wsp:val=&quot;002869AC&quot;/&gt;&lt;wsp:rsid wsp:val=&quot;00286D59&quot;/&gt;&lt;wsp:rsid wsp:val=&quot;00286F41&quot;/&gt;&lt;wsp:rsid wsp:val=&quot;0028701A&quot;/&gt;&lt;wsp:rsid wsp:val=&quot;00287110&quot;/&gt;&lt;wsp:rsid wsp:val=&quot;00287639&quot;/&gt;&lt;wsp:rsid wsp:val=&quot;002879EB&quot;/&gt;&lt;wsp:rsid wsp:val=&quot;00287C57&quot;/&gt;&lt;wsp:rsid wsp:val=&quot;002900AA&quot;/&gt;&lt;wsp:rsid wsp:val=&quot;00290232&quot;/&gt;&lt;wsp:rsid wsp:val=&quot;00290358&quot;/&gt;&lt;wsp:rsid wsp:val=&quot;002903DB&quot;/&gt;&lt;wsp:rsid wsp:val=&quot;0029050C&quot;/&gt;&lt;wsp:rsid wsp:val=&quot;00290DC6&quot;/&gt;&lt;wsp:rsid wsp:val=&quot;00290E3E&quot;/&gt;&lt;wsp:rsid wsp:val=&quot;00290F83&quot;/&gt;&lt;wsp:rsid wsp:val=&quot;00290FA8&quot;/&gt;&lt;wsp:rsid wsp:val=&quot;00291065&quot;/&gt;&lt;wsp:rsid wsp:val=&quot;002913FD&quot;/&gt;&lt;wsp:rsid wsp:val=&quot;00291888&quot;/&gt;&lt;wsp:rsid wsp:val=&quot;00291E49&quot;/&gt;&lt;wsp:rsid wsp:val=&quot;00291F2E&quot;/&gt;&lt;wsp:rsid wsp:val=&quot;00292042&quot;/&gt;&lt;wsp:rsid wsp:val=&quot;0029221D&quot;/&gt;&lt;wsp:rsid wsp:val=&quot;00292403&quot;/&gt;&lt;wsp:rsid wsp:val=&quot;002927CE&quot;/&gt;&lt;wsp:rsid wsp:val=&quot;002927D7&quot;/&gt;&lt;wsp:rsid wsp:val=&quot;00292994&quot;/&gt;&lt;wsp:rsid wsp:val=&quot;00292ADF&quot;/&gt;&lt;wsp:rsid wsp:val=&quot;00292CB2&quot;/&gt;&lt;wsp:rsid wsp:val=&quot;00292D79&quot;/&gt;&lt;wsp:rsid wsp:val=&quot;0029318A&quot;/&gt;&lt;wsp:rsid wsp:val=&quot;00293210&quot;/&gt;&lt;wsp:rsid wsp:val=&quot;00293563&quot;/&gt;&lt;wsp:rsid wsp:val=&quot;00293C02&quot;/&gt;&lt;wsp:rsid wsp:val=&quot;00293DB6&quot;/&gt;&lt;wsp:rsid wsp:val=&quot;00293EA0&quot;/&gt;&lt;wsp:rsid wsp:val=&quot;00294045&quot;/&gt;&lt;wsp:rsid wsp:val=&quot;00294262&quot;/&gt;&lt;wsp:rsid wsp:val=&quot;002942B6&quot;/&gt;&lt;wsp:rsid wsp:val=&quot;002942E8&quot;/&gt;&lt;wsp:rsid wsp:val=&quot;0029475A&quot;/&gt;&lt;wsp:rsid wsp:val=&quot;0029494A&quot;/&gt;&lt;wsp:rsid wsp:val=&quot;00294985&quot;/&gt;&lt;wsp:rsid wsp:val=&quot;00294A7A&quot;/&gt;&lt;wsp:rsid wsp:val=&quot;00294C0A&quot;/&gt;&lt;wsp:rsid wsp:val=&quot;00294D09&quot;/&gt;&lt;wsp:rsid wsp:val=&quot;00295063&quot;/&gt;&lt;wsp:rsid wsp:val=&quot;002950CC&quot;/&gt;&lt;wsp:rsid wsp:val=&quot;0029522B&quot;/&gt;&lt;wsp:rsid wsp:val=&quot;00295699&quot;/&gt;&lt;wsp:rsid wsp:val=&quot;0029585F&quot;/&gt;&lt;wsp:rsid wsp:val=&quot;002959B3&quot;/&gt;&lt;wsp:rsid wsp:val=&quot;00295F8E&quot;/&gt;&lt;wsp:rsid wsp:val=&quot;00296070&quot;/&gt;&lt;wsp:rsid wsp:val=&quot;002962D6&quot;/&gt;&lt;wsp:rsid wsp:val=&quot;002962EE&quot;/&gt;&lt;wsp:rsid wsp:val=&quot;0029638E&quot;/&gt;&lt;wsp:rsid wsp:val=&quot;00296583&quot;/&gt;&lt;wsp:rsid wsp:val=&quot;00296635&quot;/&gt;&lt;wsp:rsid wsp:val=&quot;00296813&quot;/&gt;&lt;wsp:rsid wsp:val=&quot;00296817&quot;/&gt;&lt;wsp:rsid wsp:val=&quot;00296A66&quot;/&gt;&lt;wsp:rsid wsp:val=&quot;00296BA6&quot;/&gt;&lt;wsp:rsid wsp:val=&quot;00296C68&quot;/&gt;&lt;wsp:rsid wsp:val=&quot;00296CCA&quot;/&gt;&lt;wsp:rsid wsp:val=&quot;00296E92&quot;/&gt;&lt;wsp:rsid wsp:val=&quot;00296EEC&quot;/&gt;&lt;wsp:rsid wsp:val=&quot;00296F59&quot;/&gt;&lt;wsp:rsid wsp:val=&quot;002970D7&quot;/&gt;&lt;wsp:rsid wsp:val=&quot;002970E8&quot;/&gt;&lt;wsp:rsid wsp:val=&quot;002977E1&quot;/&gt;&lt;wsp:rsid wsp:val=&quot;00297FAF&quot;/&gt;&lt;wsp:rsid wsp:val=&quot;002A0130&quot;/&gt;&lt;wsp:rsid wsp:val=&quot;002A0192&quot;/&gt;&lt;wsp:rsid wsp:val=&quot;002A01BB&quot;/&gt;&lt;wsp:rsid wsp:val=&quot;002A02CB&quot;/&gt;&lt;wsp:rsid wsp:val=&quot;002A04ED&quot;/&gt;&lt;wsp:rsid wsp:val=&quot;002A09C4&quot;/&gt;&lt;wsp:rsid wsp:val=&quot;002A0B3D&quot;/&gt;&lt;wsp:rsid wsp:val=&quot;002A112E&quot;/&gt;&lt;wsp:rsid wsp:val=&quot;002A145A&quot;/&gt;&lt;wsp:rsid wsp:val=&quot;002A1572&quot;/&gt;&lt;wsp:rsid wsp:val=&quot;002A174E&quot;/&gt;&lt;wsp:rsid wsp:val=&quot;002A1783&quot;/&gt;&lt;wsp:rsid wsp:val=&quot;002A18DF&quot;/&gt;&lt;wsp:rsid wsp:val=&quot;002A1919&quot;/&gt;&lt;wsp:rsid wsp:val=&quot;002A1998&quot;/&gt;&lt;wsp:rsid wsp:val=&quot;002A1C35&quot;/&gt;&lt;wsp:rsid wsp:val=&quot;002A1C72&quot;/&gt;&lt;wsp:rsid wsp:val=&quot;002A1CCF&quot;/&gt;&lt;wsp:rsid wsp:val=&quot;002A2609&quot;/&gt;&lt;wsp:rsid wsp:val=&quot;002A2664&quot;/&gt;&lt;wsp:rsid wsp:val=&quot;002A274F&quot;/&gt;&lt;wsp:rsid wsp:val=&quot;002A2764&quot;/&gt;&lt;wsp:rsid wsp:val=&quot;002A2A19&quot;/&gt;&lt;wsp:rsid wsp:val=&quot;002A2B5A&quot;/&gt;&lt;wsp:rsid wsp:val=&quot;002A2BC9&quot;/&gt;&lt;wsp:rsid wsp:val=&quot;002A2CC5&quot;/&gt;&lt;wsp:rsid wsp:val=&quot;002A2DBD&quot;/&gt;&lt;wsp:rsid wsp:val=&quot;002A2FC2&quot;/&gt;&lt;wsp:rsid wsp:val=&quot;002A2FED&quot;/&gt;&lt;wsp:rsid wsp:val=&quot;002A3143&quot;/&gt;&lt;wsp:rsid wsp:val=&quot;002A3151&quot;/&gt;&lt;wsp:rsid wsp:val=&quot;002A36DA&quot;/&gt;&lt;wsp:rsid wsp:val=&quot;002A3E1E&quot;/&gt;&lt;wsp:rsid wsp:val=&quot;002A4083&quot;/&gt;&lt;wsp:rsid wsp:val=&quot;002A40C4&quot;/&gt;&lt;wsp:rsid wsp:val=&quot;002A4325&quot;/&gt;&lt;wsp:rsid wsp:val=&quot;002A47F5&quot;/&gt;&lt;wsp:rsid wsp:val=&quot;002A4861&quot;/&gt;&lt;wsp:rsid wsp:val=&quot;002A4FE2&quot;/&gt;&lt;wsp:rsid wsp:val=&quot;002A555B&quot;/&gt;&lt;wsp:rsid wsp:val=&quot;002A56FD&quot;/&gt;&lt;wsp:rsid wsp:val=&quot;002A59D6&quot;/&gt;&lt;wsp:rsid wsp:val=&quot;002A5A02&quot;/&gt;&lt;wsp:rsid wsp:val=&quot;002A5C1B&quot;/&gt;&lt;wsp:rsid wsp:val=&quot;002A5CD0&quot;/&gt;&lt;wsp:rsid wsp:val=&quot;002A61DD&quot;/&gt;&lt;wsp:rsid wsp:val=&quot;002A65E7&quot;/&gt;&lt;wsp:rsid wsp:val=&quot;002A6CF8&quot;/&gt;&lt;wsp:rsid wsp:val=&quot;002A6EEE&quot;/&gt;&lt;wsp:rsid wsp:val=&quot;002A72C9&quot;/&gt;&lt;wsp:rsid wsp:val=&quot;002A74E9&quot;/&gt;&lt;wsp:rsid wsp:val=&quot;002A7AFB&quot;/&gt;&lt;wsp:rsid wsp:val=&quot;002A7B62&quot;/&gt;&lt;wsp:rsid wsp:val=&quot;002A7D70&quot;/&gt;&lt;wsp:rsid wsp:val=&quot;002B0209&quot;/&gt;&lt;wsp:rsid wsp:val=&quot;002B02FD&quot;/&gt;&lt;wsp:rsid wsp:val=&quot;002B05EE&quot;/&gt;&lt;wsp:rsid wsp:val=&quot;002B06DC&quot;/&gt;&lt;wsp:rsid wsp:val=&quot;002B0B89&quot;/&gt;&lt;wsp:rsid wsp:val=&quot;002B0D26&quot;/&gt;&lt;wsp:rsid wsp:val=&quot;002B0E50&quot;/&gt;&lt;wsp:rsid wsp:val=&quot;002B103C&quot;/&gt;&lt;wsp:rsid wsp:val=&quot;002B1108&quot;/&gt;&lt;wsp:rsid wsp:val=&quot;002B1377&quot;/&gt;&lt;wsp:rsid wsp:val=&quot;002B173C&quot;/&gt;&lt;wsp:rsid wsp:val=&quot;002B19F4&quot;/&gt;&lt;wsp:rsid wsp:val=&quot;002B1A1A&quot;/&gt;&lt;wsp:rsid wsp:val=&quot;002B1E58&quot;/&gt;&lt;wsp:rsid wsp:val=&quot;002B2007&quot;/&gt;&lt;wsp:rsid wsp:val=&quot;002B208B&quot;/&gt;&lt;wsp:rsid wsp:val=&quot;002B20B2&quot;/&gt;&lt;wsp:rsid wsp:val=&quot;002B2276&quot;/&gt;&lt;wsp:rsid wsp:val=&quot;002B227A&quot;/&gt;&lt;wsp:rsid wsp:val=&quot;002B237E&quot;/&gt;&lt;wsp:rsid wsp:val=&quot;002B2503&quot;/&gt;&lt;wsp:rsid wsp:val=&quot;002B28C1&quot;/&gt;&lt;wsp:rsid wsp:val=&quot;002B2B21&quot;/&gt;&lt;wsp:rsid wsp:val=&quot;002B2C11&quot;/&gt;&lt;wsp:rsid wsp:val=&quot;002B2DEC&quot;/&gt;&lt;wsp:rsid wsp:val=&quot;002B2E5B&quot;/&gt;&lt;wsp:rsid wsp:val=&quot;002B2E74&quot;/&gt;&lt;wsp:rsid wsp:val=&quot;002B2E75&quot;/&gt;&lt;wsp:rsid wsp:val=&quot;002B2E78&quot;/&gt;&lt;wsp:rsid wsp:val=&quot;002B2EAA&quot;/&gt;&lt;wsp:rsid wsp:val=&quot;002B2FE4&quot;/&gt;&lt;wsp:rsid wsp:val=&quot;002B3170&quot;/&gt;&lt;wsp:rsid wsp:val=&quot;002B32FA&quot;/&gt;&lt;wsp:rsid wsp:val=&quot;002B333D&quot;/&gt;&lt;wsp:rsid wsp:val=&quot;002B3381&quot;/&gt;&lt;wsp:rsid wsp:val=&quot;002B3D03&quot;/&gt;&lt;wsp:rsid wsp:val=&quot;002B3EB9&quot;/&gt;&lt;wsp:rsid wsp:val=&quot;002B406A&quot;/&gt;&lt;wsp:rsid wsp:val=&quot;002B4328&quot;/&gt;&lt;wsp:rsid wsp:val=&quot;002B449D&quot;/&gt;&lt;wsp:rsid wsp:val=&quot;002B4530&quot;/&gt;&lt;wsp:rsid wsp:val=&quot;002B475A&quot;/&gt;&lt;wsp:rsid wsp:val=&quot;002B4777&quot;/&gt;&lt;wsp:rsid wsp:val=&quot;002B4A85&quot;/&gt;&lt;wsp:rsid wsp:val=&quot;002B4B03&quot;/&gt;&lt;wsp:rsid wsp:val=&quot;002B4B05&quot;/&gt;&lt;wsp:rsid wsp:val=&quot;002B4B94&quot;/&gt;&lt;wsp:rsid wsp:val=&quot;002B4FAD&quot;/&gt;&lt;wsp:rsid wsp:val=&quot;002B4FB6&quot;/&gt;&lt;wsp:rsid wsp:val=&quot;002B521C&quot;/&gt;&lt;wsp:rsid wsp:val=&quot;002B54DC&quot;/&gt;&lt;wsp:rsid wsp:val=&quot;002B5A54&quot;/&gt;&lt;wsp:rsid wsp:val=&quot;002B5AC6&quot;/&gt;&lt;wsp:rsid wsp:val=&quot;002B5D1F&quot;/&gt;&lt;wsp:rsid wsp:val=&quot;002B618B&quot;/&gt;&lt;wsp:rsid wsp:val=&quot;002B64E0&quot;/&gt;&lt;wsp:rsid wsp:val=&quot;002B69B8&quot;/&gt;&lt;wsp:rsid wsp:val=&quot;002B6ABF&quot;/&gt;&lt;wsp:rsid wsp:val=&quot;002B6B97&quot;/&gt;&lt;wsp:rsid wsp:val=&quot;002B71E3&quot;/&gt;&lt;wsp:rsid wsp:val=&quot;002B72FB&quot;/&gt;&lt;wsp:rsid wsp:val=&quot;002B7391&quot;/&gt;&lt;wsp:rsid wsp:val=&quot;002B747B&quot;/&gt;&lt;wsp:rsid wsp:val=&quot;002B7755&quot;/&gt;&lt;wsp:rsid wsp:val=&quot;002B7930&quot;/&gt;&lt;wsp:rsid wsp:val=&quot;002B798D&quot;/&gt;&lt;wsp:rsid wsp:val=&quot;002B79A1&quot;/&gt;&lt;wsp:rsid wsp:val=&quot;002B7B2A&quot;/&gt;&lt;wsp:rsid wsp:val=&quot;002B7CA9&quot;/&gt;&lt;wsp:rsid wsp:val=&quot;002B7E33&quot;/&gt;&lt;wsp:rsid wsp:val=&quot;002B7F9A&quot;/&gt;&lt;wsp:rsid wsp:val=&quot;002C0105&quot;/&gt;&lt;wsp:rsid wsp:val=&quot;002C016C&quot;/&gt;&lt;wsp:rsid wsp:val=&quot;002C024A&quot;/&gt;&lt;wsp:rsid wsp:val=&quot;002C09B8&quot;/&gt;&lt;wsp:rsid wsp:val=&quot;002C0D8B&quot;/&gt;&lt;wsp:rsid wsp:val=&quot;002C0FA6&quot;/&gt;&lt;wsp:rsid wsp:val=&quot;002C1085&quot;/&gt;&lt;wsp:rsid wsp:val=&quot;002C11C8&quot;/&gt;&lt;wsp:rsid wsp:val=&quot;002C17E1&quot;/&gt;&lt;wsp:rsid wsp:val=&quot;002C1B93&quot;/&gt;&lt;wsp:rsid wsp:val=&quot;002C1D41&quot;/&gt;&lt;wsp:rsid wsp:val=&quot;002C1EEE&quot;/&gt;&lt;wsp:rsid wsp:val=&quot;002C1F06&quot;/&gt;&lt;wsp:rsid wsp:val=&quot;002C213B&quot;/&gt;&lt;wsp:rsid wsp:val=&quot;002C2149&quot;/&gt;&lt;wsp:rsid wsp:val=&quot;002C21FC&quot;/&gt;&lt;wsp:rsid wsp:val=&quot;002C2273&quot;/&gt;&lt;wsp:rsid wsp:val=&quot;002C227F&quot;/&gt;&lt;wsp:rsid wsp:val=&quot;002C255A&quot;/&gt;&lt;wsp:rsid wsp:val=&quot;002C2607&quot;/&gt;&lt;wsp:rsid wsp:val=&quot;002C2898&quot;/&gt;&lt;wsp:rsid wsp:val=&quot;002C2AF7&quot;/&gt;&lt;wsp:rsid wsp:val=&quot;002C2D14&quot;/&gt;&lt;wsp:rsid wsp:val=&quot;002C2E00&quot;/&gt;&lt;wsp:rsid wsp:val=&quot;002C2E6C&quot;/&gt;&lt;wsp:rsid wsp:val=&quot;002C3192&quot;/&gt;&lt;wsp:rsid wsp:val=&quot;002C31BC&quot;/&gt;&lt;wsp:rsid wsp:val=&quot;002C361D&quot;/&gt;&lt;wsp:rsid wsp:val=&quot;002C36A7&quot;/&gt;&lt;wsp:rsid wsp:val=&quot;002C3701&quot;/&gt;&lt;wsp:rsid wsp:val=&quot;002C3905&quot;/&gt;&lt;wsp:rsid wsp:val=&quot;002C3B4A&quot;/&gt;&lt;wsp:rsid wsp:val=&quot;002C3CF1&quot;/&gt;&lt;wsp:rsid wsp:val=&quot;002C3D0A&quot;/&gt;&lt;wsp:rsid wsp:val=&quot;002C3DEB&quot;/&gt;&lt;wsp:rsid wsp:val=&quot;002C4173&quot;/&gt;&lt;wsp:rsid wsp:val=&quot;002C4545&quot;/&gt;&lt;wsp:rsid wsp:val=&quot;002C46D0&quot;/&gt;&lt;wsp:rsid wsp:val=&quot;002C4ADD&quot;/&gt;&lt;wsp:rsid wsp:val=&quot;002C4D25&quot;/&gt;&lt;wsp:rsid wsp:val=&quot;002C4F55&quot;/&gt;&lt;wsp:rsid wsp:val=&quot;002C4FA4&quot;/&gt;&lt;wsp:rsid wsp:val=&quot;002C515B&quot;/&gt;&lt;wsp:rsid wsp:val=&quot;002C51C4&quot;/&gt;&lt;wsp:rsid wsp:val=&quot;002C5377&quot;/&gt;&lt;wsp:rsid wsp:val=&quot;002C5397&quot;/&gt;&lt;wsp:rsid wsp:val=&quot;002C5408&quot;/&gt;&lt;wsp:rsid wsp:val=&quot;002C55E0&quot;/&gt;&lt;wsp:rsid wsp:val=&quot;002C58F1&quot;/&gt;&lt;wsp:rsid wsp:val=&quot;002C5A3D&quot;/&gt;&lt;wsp:rsid wsp:val=&quot;002C5D1C&quot;/&gt;&lt;wsp:rsid wsp:val=&quot;002C5EE9&quot;/&gt;&lt;wsp:rsid wsp:val=&quot;002C60BF&quot;/&gt;&lt;wsp:rsid wsp:val=&quot;002C6727&quot;/&gt;&lt;wsp:rsid wsp:val=&quot;002C6747&quot;/&gt;&lt;wsp:rsid wsp:val=&quot;002C79F0&quot;/&gt;&lt;wsp:rsid wsp:val=&quot;002C7A44&quot;/&gt;&lt;wsp:rsid wsp:val=&quot;002C7BF1&quot;/&gt;&lt;wsp:rsid wsp:val=&quot;002C7EA9&quot;/&gt;&lt;wsp:rsid wsp:val=&quot;002C7F35&quot;/&gt;&lt;wsp:rsid wsp:val=&quot;002D0191&quot;/&gt;&lt;wsp:rsid wsp:val=&quot;002D040D&quot;/&gt;&lt;wsp:rsid wsp:val=&quot;002D0778&quot;/&gt;&lt;wsp:rsid wsp:val=&quot;002D087B&quot;/&gt;&lt;wsp:rsid wsp:val=&quot;002D0DC7&quot;/&gt;&lt;wsp:rsid wsp:val=&quot;002D0DE7&quot;/&gt;&lt;wsp:rsid wsp:val=&quot;002D0FE0&quot;/&gt;&lt;wsp:rsid wsp:val=&quot;002D1413&quot;/&gt;&lt;wsp:rsid wsp:val=&quot;002D1466&quot;/&gt;&lt;wsp:rsid wsp:val=&quot;002D18CE&quot;/&gt;&lt;wsp:rsid wsp:val=&quot;002D18D0&quot;/&gt;&lt;wsp:rsid wsp:val=&quot;002D18E2&quot;/&gt;&lt;wsp:rsid wsp:val=&quot;002D1E6F&quot;/&gt;&lt;wsp:rsid wsp:val=&quot;002D1EB4&quot;/&gt;&lt;wsp:rsid wsp:val=&quot;002D200F&quot;/&gt;&lt;wsp:rsid wsp:val=&quot;002D205A&quot;/&gt;&lt;wsp:rsid wsp:val=&quot;002D20EE&quot;/&gt;&lt;wsp:rsid wsp:val=&quot;002D216F&quot;/&gt;&lt;wsp:rsid wsp:val=&quot;002D244D&quot;/&gt;&lt;wsp:rsid wsp:val=&quot;002D24F3&quot;/&gt;&lt;wsp:rsid wsp:val=&quot;002D25C6&quot;/&gt;&lt;wsp:rsid wsp:val=&quot;002D2F4F&quot;/&gt;&lt;wsp:rsid wsp:val=&quot;002D3167&quot;/&gt;&lt;wsp:rsid wsp:val=&quot;002D36E0&quot;/&gt;&lt;wsp:rsid wsp:val=&quot;002D3A00&quot;/&gt;&lt;wsp:rsid wsp:val=&quot;002D3B05&quot;/&gt;&lt;wsp:rsid wsp:val=&quot;002D3BB1&quot;/&gt;&lt;wsp:rsid wsp:val=&quot;002D3BBB&quot;/&gt;&lt;wsp:rsid wsp:val=&quot;002D3C98&quot;/&gt;&lt;wsp:rsid wsp:val=&quot;002D3FB5&quot;/&gt;&lt;wsp:rsid wsp:val=&quot;002D407A&quot;/&gt;&lt;wsp:rsid wsp:val=&quot;002D4514&quot;/&gt;&lt;wsp:rsid wsp:val=&quot;002D45AA&quot;/&gt;&lt;wsp:rsid wsp:val=&quot;002D48FE&quot;/&gt;&lt;wsp:rsid wsp:val=&quot;002D49EE&quot;/&gt;&lt;wsp:rsid wsp:val=&quot;002D4A72&quot;/&gt;&lt;wsp:rsid wsp:val=&quot;002D4CAF&quot;/&gt;&lt;wsp:rsid wsp:val=&quot;002D4CC8&quot;/&gt;&lt;wsp:rsid wsp:val=&quot;002D4D5F&quot;/&gt;&lt;wsp:rsid wsp:val=&quot;002D4DB0&quot;/&gt;&lt;wsp:rsid wsp:val=&quot;002D5087&quot;/&gt;&lt;wsp:rsid wsp:val=&quot;002D513B&quot;/&gt;&lt;wsp:rsid wsp:val=&quot;002D51DC&quot;/&gt;&lt;wsp:rsid wsp:val=&quot;002D54AC&quot;/&gt;&lt;wsp:rsid wsp:val=&quot;002D55E6&quot;/&gt;&lt;wsp:rsid wsp:val=&quot;002D583C&quot;/&gt;&lt;wsp:rsid wsp:val=&quot;002D5C4B&quot;/&gt;&lt;wsp:rsid wsp:val=&quot;002D5CE3&quot;/&gt;&lt;wsp:rsid wsp:val=&quot;002D64E0&quot;/&gt;&lt;wsp:rsid wsp:val=&quot;002D6603&quot;/&gt;&lt;wsp:rsid wsp:val=&quot;002D660B&quot;/&gt;&lt;wsp:rsid wsp:val=&quot;002D6760&quot;/&gt;&lt;wsp:rsid wsp:val=&quot;002D6860&quot;/&gt;&lt;wsp:rsid wsp:val=&quot;002D6AE6&quot;/&gt;&lt;wsp:rsid wsp:val=&quot;002D6B80&quot;/&gt;&lt;wsp:rsid wsp:val=&quot;002D6C6C&quot;/&gt;&lt;wsp:rsid wsp:val=&quot;002D70A0&quot;/&gt;&lt;wsp:rsid wsp:val=&quot;002D73CB&quot;/&gt;&lt;wsp:rsid wsp:val=&quot;002D7AF5&quot;/&gt;&lt;wsp:rsid wsp:val=&quot;002D7B5E&quot;/&gt;&lt;wsp:rsid wsp:val=&quot;002E0070&quot;/&gt;&lt;wsp:rsid wsp:val=&quot;002E02F8&quot;/&gt;&lt;wsp:rsid wsp:val=&quot;002E0B01&quot;/&gt;&lt;wsp:rsid wsp:val=&quot;002E0B18&quot;/&gt;&lt;wsp:rsid wsp:val=&quot;002E16AB&quot;/&gt;&lt;wsp:rsid wsp:val=&quot;002E1754&quot;/&gt;&lt;wsp:rsid wsp:val=&quot;002E18E8&quot;/&gt;&lt;wsp:rsid wsp:val=&quot;002E1A90&quot;/&gt;&lt;wsp:rsid wsp:val=&quot;002E1DDF&quot;/&gt;&lt;wsp:rsid wsp:val=&quot;002E214F&quot;/&gt;&lt;wsp:rsid wsp:val=&quot;002E22C9&quot;/&gt;&lt;wsp:rsid wsp:val=&quot;002E2403&quot;/&gt;&lt;wsp:rsid wsp:val=&quot;002E2AC3&quot;/&gt;&lt;wsp:rsid wsp:val=&quot;002E2B34&quot;/&gt;&lt;wsp:rsid wsp:val=&quot;002E2C63&quot;/&gt;&lt;wsp:rsid wsp:val=&quot;002E2E19&quot;/&gt;&lt;wsp:rsid wsp:val=&quot;002E2F74&quot;/&gt;&lt;wsp:rsid wsp:val=&quot;002E30A6&quot;/&gt;&lt;wsp:rsid wsp:val=&quot;002E3221&quot;/&gt;&lt;wsp:rsid wsp:val=&quot;002E343B&quot;/&gt;&lt;wsp:rsid wsp:val=&quot;002E36D7&quot;/&gt;&lt;wsp:rsid wsp:val=&quot;002E37F3&quot;/&gt;&lt;wsp:rsid wsp:val=&quot;002E3AA7&quot;/&gt;&lt;wsp:rsid wsp:val=&quot;002E3BAA&quot;/&gt;&lt;wsp:rsid wsp:val=&quot;002E3E36&quot;/&gt;&lt;wsp:rsid wsp:val=&quot;002E449C&quot;/&gt;&lt;wsp:rsid wsp:val=&quot;002E44A3&quot;/&gt;&lt;wsp:rsid wsp:val=&quot;002E4933&quot;/&gt;&lt;wsp:rsid wsp:val=&quot;002E4A67&quot;/&gt;&lt;wsp:rsid wsp:val=&quot;002E54BE&quot;/&gt;&lt;wsp:rsid wsp:val=&quot;002E5920&quot;/&gt;&lt;wsp:rsid wsp:val=&quot;002E5D12&quot;/&gt;&lt;wsp:rsid wsp:val=&quot;002E5D26&quot;/&gt;&lt;wsp:rsid wsp:val=&quot;002E6352&quot;/&gt;&lt;wsp:rsid wsp:val=&quot;002E64E9&quot;/&gt;&lt;wsp:rsid wsp:val=&quot;002E6A75&quot;/&gt;&lt;wsp:rsid wsp:val=&quot;002E6D22&quot;/&gt;&lt;wsp:rsid wsp:val=&quot;002E762D&quot;/&gt;&lt;wsp:rsid wsp:val=&quot;002E780D&quot;/&gt;&lt;wsp:rsid wsp:val=&quot;002E7832&quot;/&gt;&lt;wsp:rsid wsp:val=&quot;002E78AC&quot;/&gt;&lt;wsp:rsid wsp:val=&quot;002E7CC4&quot;/&gt;&lt;wsp:rsid wsp:val=&quot;002F01EC&quot;/&gt;&lt;wsp:rsid wsp:val=&quot;002F027B&quot;/&gt;&lt;wsp:rsid wsp:val=&quot;002F0307&quot;/&gt;&lt;wsp:rsid wsp:val=&quot;002F03F2&quot;/&gt;&lt;wsp:rsid wsp:val=&quot;002F08E5&quot;/&gt;&lt;wsp:rsid wsp:val=&quot;002F0915&quot;/&gt;&lt;wsp:rsid wsp:val=&quot;002F1074&quot;/&gt;&lt;wsp:rsid wsp:val=&quot;002F155C&quot;/&gt;&lt;wsp:rsid wsp:val=&quot;002F1700&quot;/&gt;&lt;wsp:rsid wsp:val=&quot;002F1740&quot;/&gt;&lt;wsp:rsid wsp:val=&quot;002F19C5&quot;/&gt;&lt;wsp:rsid wsp:val=&quot;002F1C6F&quot;/&gt;&lt;wsp:rsid wsp:val=&quot;002F227E&quot;/&gt;&lt;wsp:rsid wsp:val=&quot;002F26D8&quot;/&gt;&lt;wsp:rsid wsp:val=&quot;002F2E26&quot;/&gt;&lt;wsp:rsid wsp:val=&quot;002F32F2&quot;/&gt;&lt;wsp:rsid wsp:val=&quot;002F3592&quot;/&gt;&lt;wsp:rsid wsp:val=&quot;002F3A08&quot;/&gt;&lt;wsp:rsid wsp:val=&quot;002F3ADB&quot;/&gt;&lt;wsp:rsid wsp:val=&quot;002F3AFA&quot;/&gt;&lt;wsp:rsid wsp:val=&quot;002F3C5B&quot;/&gt;&lt;wsp:rsid wsp:val=&quot;002F3DC6&quot;/&gt;&lt;wsp:rsid wsp:val=&quot;002F3EE4&quot;/&gt;&lt;wsp:rsid wsp:val=&quot;002F3EF3&quot;/&gt;&lt;wsp:rsid wsp:val=&quot;002F4120&quot;/&gt;&lt;wsp:rsid wsp:val=&quot;002F434F&quot;/&gt;&lt;wsp:rsid wsp:val=&quot;002F44D7&quot;/&gt;&lt;wsp:rsid wsp:val=&quot;002F45B2&quot;/&gt;&lt;wsp:rsid wsp:val=&quot;002F4A39&quot;/&gt;&lt;wsp:rsid wsp:val=&quot;002F4E8C&quot;/&gt;&lt;wsp:rsid wsp:val=&quot;002F4F54&quot;/&gt;&lt;wsp:rsid wsp:val=&quot;002F5134&quot;/&gt;&lt;wsp:rsid wsp:val=&quot;002F5297&quot;/&gt;&lt;wsp:rsid wsp:val=&quot;002F5351&quot;/&gt;&lt;wsp:rsid wsp:val=&quot;002F54AD&quot;/&gt;&lt;wsp:rsid wsp:val=&quot;002F587A&quot;/&gt;&lt;wsp:rsid wsp:val=&quot;002F589A&quot;/&gt;&lt;wsp:rsid wsp:val=&quot;002F5BB0&quot;/&gt;&lt;wsp:rsid wsp:val=&quot;002F5D35&quot;/&gt;&lt;wsp:rsid wsp:val=&quot;002F5F32&quot;/&gt;&lt;wsp:rsid wsp:val=&quot;002F60B5&quot;/&gt;&lt;wsp:rsid wsp:val=&quot;002F61F4&quot;/&gt;&lt;wsp:rsid wsp:val=&quot;002F62D7&quot;/&gt;&lt;wsp:rsid wsp:val=&quot;002F677A&quot;/&gt;&lt;wsp:rsid wsp:val=&quot;002F686D&quot;/&gt;&lt;wsp:rsid wsp:val=&quot;002F69CC&quot;/&gt;&lt;wsp:rsid wsp:val=&quot;002F6E7F&quot;/&gt;&lt;wsp:rsid wsp:val=&quot;002F71CD&quot;/&gt;&lt;wsp:rsid wsp:val=&quot;002F7201&quot;/&gt;&lt;wsp:rsid wsp:val=&quot;002F720C&quot;/&gt;&lt;wsp:rsid wsp:val=&quot;002F7403&quot;/&gt;&lt;wsp:rsid wsp:val=&quot;002F7600&quot;/&gt;&lt;wsp:rsid wsp:val=&quot;002F7674&quot;/&gt;&lt;wsp:rsid wsp:val=&quot;002F7697&quot;/&gt;&lt;wsp:rsid wsp:val=&quot;002F783C&quot;/&gt;&lt;wsp:rsid wsp:val=&quot;002F7854&quot;/&gt;&lt;wsp:rsid wsp:val=&quot;002F7B03&quot;/&gt;&lt;wsp:rsid wsp:val=&quot;002F7FFE&quot;/&gt;&lt;wsp:rsid wsp:val=&quot;00300246&quot;/&gt;&lt;wsp:rsid wsp:val=&quot;0030056B&quot;/&gt;&lt;wsp:rsid wsp:val=&quot;0030056D&quot;/&gt;&lt;wsp:rsid wsp:val=&quot;00300811&quot;/&gt;&lt;wsp:rsid wsp:val=&quot;003009C6&quot;/&gt;&lt;wsp:rsid wsp:val=&quot;00300A21&quot;/&gt;&lt;wsp:rsid wsp:val=&quot;00300F6A&quot;/&gt;&lt;wsp:rsid wsp:val=&quot;00301279&quot;/&gt;&lt;wsp:rsid wsp:val=&quot;00301296&quot;/&gt;&lt;wsp:rsid wsp:val=&quot;003012C7&quot;/&gt;&lt;wsp:rsid wsp:val=&quot;0030134D&quot;/&gt;&lt;wsp:rsid wsp:val=&quot;00301352&quot;/&gt;&lt;wsp:rsid wsp:val=&quot;0030138C&quot;/&gt;&lt;wsp:rsid wsp:val=&quot;0030181C&quot;/&gt;&lt;wsp:rsid wsp:val=&quot;003018DE&quot;/&gt;&lt;wsp:rsid wsp:val=&quot;00301D13&quot;/&gt;&lt;wsp:rsid wsp:val=&quot;00301F4F&quot;/&gt;&lt;wsp:rsid wsp:val=&quot;00301FBB&quot;/&gt;&lt;wsp:rsid wsp:val=&quot;0030211F&quot;/&gt;&lt;wsp:rsid wsp:val=&quot;00302999&quot;/&gt;&lt;wsp:rsid wsp:val=&quot;00302BA7&quot;/&gt;&lt;wsp:rsid wsp:val=&quot;00302CC4&quot;/&gt;&lt;wsp:rsid wsp:val=&quot;00302FE7&quot;/&gt;&lt;wsp:rsid wsp:val=&quot;003032A8&quot;/&gt;&lt;wsp:rsid wsp:val=&quot;003036D9&quot;/&gt;&lt;wsp:rsid wsp:val=&quot;00303760&quot;/&gt;&lt;wsp:rsid wsp:val=&quot;00303BFF&quot;/&gt;&lt;wsp:rsid wsp:val=&quot;00303D2A&quot;/&gt;&lt;wsp:rsid wsp:val=&quot;00303D66&quot;/&gt;&lt;wsp:rsid wsp:val=&quot;00303E2C&quot;/&gt;&lt;wsp:rsid wsp:val=&quot;003040AE&quot;/&gt;&lt;wsp:rsid wsp:val=&quot;00304205&quot;/&gt;&lt;wsp:rsid wsp:val=&quot;00304509&quot;/&gt;&lt;wsp:rsid wsp:val=&quot;00304870&quot;/&gt;&lt;wsp:rsid wsp:val=&quot;00304B55&quot;/&gt;&lt;wsp:rsid wsp:val=&quot;00305006&quot;/&gt;&lt;wsp:rsid wsp:val=&quot;003050CC&quot;/&gt;&lt;wsp:rsid wsp:val=&quot;00305511&quot;/&gt;&lt;wsp:rsid wsp:val=&quot;00305566&quot;/&gt;&lt;wsp:rsid wsp:val=&quot;00305710&quot;/&gt;&lt;wsp:rsid wsp:val=&quot;0030588A&quot;/&gt;&lt;wsp:rsid wsp:val=&quot;00305B5D&quot;/&gt;&lt;wsp:rsid wsp:val=&quot;00305BE3&quot;/&gt;&lt;wsp:rsid wsp:val=&quot;00305CDF&quot;/&gt;&lt;wsp:rsid wsp:val=&quot;003060FB&quot;/&gt;&lt;wsp:rsid wsp:val=&quot;00306339&quot;/&gt;&lt;wsp:rsid wsp:val=&quot;00306489&quot;/&gt;&lt;wsp:rsid wsp:val=&quot;00306538&quot;/&gt;&lt;wsp:rsid wsp:val=&quot;00306554&quot;/&gt;&lt;wsp:rsid wsp:val=&quot;00306663&quot;/&gt;&lt;wsp:rsid wsp:val=&quot;0030671C&quot;/&gt;&lt;wsp:rsid wsp:val=&quot;00306ABE&quot;/&gt;&lt;wsp:rsid wsp:val=&quot;00306BD4&quot;/&gt;&lt;wsp:rsid wsp:val=&quot;00306C5A&quot;/&gt;&lt;wsp:rsid wsp:val=&quot;00306CCB&quot;/&gt;&lt;wsp:rsid wsp:val=&quot;00307159&quot;/&gt;&lt;wsp:rsid wsp:val=&quot;0030715E&quot;/&gt;&lt;wsp:rsid wsp:val=&quot;00307622&quot;/&gt;&lt;wsp:rsid wsp:val=&quot;00307AC0&quot;/&gt;&lt;wsp:rsid wsp:val=&quot;00310175&quot;/&gt;&lt;wsp:rsid wsp:val=&quot;00310298&quot;/&gt;&lt;wsp:rsid wsp:val=&quot;003102DE&quot;/&gt;&lt;wsp:rsid wsp:val=&quot;003105D5&quot;/&gt;&lt;wsp:rsid wsp:val=&quot;003105FE&quot;/&gt;&lt;wsp:rsid wsp:val=&quot;00310819&quot;/&gt;&lt;wsp:rsid wsp:val=&quot;00310931&quot;/&gt;&lt;wsp:rsid wsp:val=&quot;00310A6F&quot;/&gt;&lt;wsp:rsid wsp:val=&quot;00310AF5&quot;/&gt;&lt;wsp:rsid wsp:val=&quot;00310D74&quot;/&gt;&lt;wsp:rsid wsp:val=&quot;0031101F&quot;/&gt;&lt;wsp:rsid wsp:val=&quot;00311396&quot;/&gt;&lt;wsp:rsid wsp:val=&quot;0031164E&quot;/&gt;&lt;wsp:rsid wsp:val=&quot;003116EF&quot;/&gt;&lt;wsp:rsid wsp:val=&quot;003117AE&quot;/&gt;&lt;wsp:rsid wsp:val=&quot;00311832&quot;/&gt;&lt;wsp:rsid wsp:val=&quot;00312092&quot;/&gt;&lt;wsp:rsid wsp:val=&quot;00312414&quot;/&gt;&lt;wsp:rsid wsp:val=&quot;003124FA&quot;/&gt;&lt;wsp:rsid wsp:val=&quot;0031258C&quot;/&gt;&lt;wsp:rsid wsp:val=&quot;00312755&quot;/&gt;&lt;wsp:rsid wsp:val=&quot;00312756&quot;/&gt;&lt;wsp:rsid wsp:val=&quot;003127C9&quot;/&gt;&lt;wsp:rsid wsp:val=&quot;00312FDB&quot;/&gt;&lt;wsp:rsid wsp:val=&quot;003130AC&quot;/&gt;&lt;wsp:rsid wsp:val=&quot;0031337D&quot;/&gt;&lt;wsp:rsid wsp:val=&quot;00313870&quot;/&gt;&lt;wsp:rsid wsp:val=&quot;003138C8&quot;/&gt;&lt;wsp:rsid wsp:val=&quot;00313BE0&quot;/&gt;&lt;wsp:rsid wsp:val=&quot;00313DFA&quot;/&gt;&lt;wsp:rsid wsp:val=&quot;00313E34&quot;/&gt;&lt;wsp:rsid wsp:val=&quot;00313FCA&quot;/&gt;&lt;wsp:rsid wsp:val=&quot;00314129&quot;/&gt;&lt;wsp:rsid wsp:val=&quot;00314656&quot;/&gt;&lt;wsp:rsid wsp:val=&quot;003146F2&quot;/&gt;&lt;wsp:rsid wsp:val=&quot;00314725&quot;/&gt;&lt;wsp:rsid wsp:val=&quot;003147F4&quot;/&gt;&lt;wsp:rsid wsp:val=&quot;003149A9&quot;/&gt;&lt;wsp:rsid wsp:val=&quot;00314B2B&quot;/&gt;&lt;wsp:rsid wsp:val=&quot;00314C5A&quot;/&gt;&lt;wsp:rsid wsp:val=&quot;00314CAA&quot;/&gt;&lt;wsp:rsid wsp:val=&quot;00314D84&quot;/&gt;&lt;wsp:rsid wsp:val=&quot;00314DCA&quot;/&gt;&lt;wsp:rsid wsp:val=&quot;003150BF&quot;/&gt;&lt;wsp:rsid wsp:val=&quot;003151C6&quot;/&gt;&lt;wsp:rsid wsp:val=&quot;0031569E&quot;/&gt;&lt;wsp:rsid wsp:val=&quot;00315D2C&quot;/&gt;&lt;wsp:rsid wsp:val=&quot;00315D79&quot;/&gt;&lt;wsp:rsid wsp:val=&quot;00315F0E&quot;/&gt;&lt;wsp:rsid wsp:val=&quot;0031621F&quot;/&gt;&lt;wsp:rsid wsp:val=&quot;003162B6&quot;/&gt;&lt;wsp:rsid wsp:val=&quot;00316AB0&quot;/&gt;&lt;wsp:rsid wsp:val=&quot;00316BD1&quot;/&gt;&lt;wsp:rsid wsp:val=&quot;00316EF2&quot;/&gt;&lt;wsp:rsid wsp:val=&quot;00316FE4&quot;/&gt;&lt;wsp:rsid wsp:val=&quot;00317190&quot;/&gt;&lt;wsp:rsid wsp:val=&quot;003173E6&quot;/&gt;&lt;wsp:rsid wsp:val=&quot;00317439&quot;/&gt;&lt;wsp:rsid wsp:val=&quot;003175BE&quot;/&gt;&lt;wsp:rsid wsp:val=&quot;00317AC6&quot;/&gt;&lt;wsp:rsid wsp:val=&quot;00317AF7&quot;/&gt;&lt;wsp:rsid wsp:val=&quot;00317EC7&quot;/&gt;&lt;wsp:rsid wsp:val=&quot;00317FFC&quot;/&gt;&lt;wsp:rsid wsp:val=&quot;00320005&quot;/&gt;&lt;wsp:rsid wsp:val=&quot;0032015C&quot;/&gt;&lt;wsp:rsid wsp:val=&quot;003205B7&quot;/&gt;&lt;wsp:rsid wsp:val=&quot;003206E9&quot;/&gt;&lt;wsp:rsid wsp:val=&quot;0032087E&quot;/&gt;&lt;wsp:rsid wsp:val=&quot;00320EC2&quot;/&gt;&lt;wsp:rsid wsp:val=&quot;00320F4A&quot;/&gt;&lt;wsp:rsid wsp:val=&quot;00320FB3&quot;/&gt;&lt;wsp:rsid wsp:val=&quot;00320FC6&quot;/&gt;&lt;wsp:rsid wsp:val=&quot;0032103B&quot;/&gt;&lt;wsp:rsid wsp:val=&quot;00321104&quot;/&gt;&lt;wsp:rsid wsp:val=&quot;0032119D&quot;/&gt;&lt;wsp:rsid wsp:val=&quot;003214C8&quot;/&gt;&lt;wsp:rsid wsp:val=&quot;003216F6&quot;/&gt;&lt;wsp:rsid wsp:val=&quot;00321755&quot;/&gt;&lt;wsp:rsid wsp:val=&quot;00321AAB&quot;/&gt;&lt;wsp:rsid wsp:val=&quot;00321E62&quot;/&gt;&lt;wsp:rsid wsp:val=&quot;00321EA4&quot;/&gt;&lt;wsp:rsid wsp:val=&quot;00322006&quot;/&gt;&lt;wsp:rsid wsp:val=&quot;003223D7&quot;/&gt;&lt;wsp:rsid wsp:val=&quot;00322501&quot;/&gt;&lt;wsp:rsid wsp:val=&quot;003226EC&quot;/&gt;&lt;wsp:rsid wsp:val=&quot;00322903&quot;/&gt;&lt;wsp:rsid wsp:val=&quot;00323096&quot;/&gt;&lt;wsp:rsid wsp:val=&quot;0032379B&quot;/&gt;&lt;wsp:rsid wsp:val=&quot;0032386D&quot;/&gt;&lt;wsp:rsid wsp:val=&quot;00323A29&quot;/&gt;&lt;wsp:rsid wsp:val=&quot;00323D45&quot;/&gt;&lt;wsp:rsid wsp:val=&quot;00323E6F&quot;/&gt;&lt;wsp:rsid wsp:val=&quot;00324115&quot;/&gt;&lt;wsp:rsid wsp:val=&quot;003241EB&quot;/&gt;&lt;wsp:rsid wsp:val=&quot;0032496E&quot;/&gt;&lt;wsp:rsid wsp:val=&quot;0032498B&quot;/&gt;&lt;wsp:rsid wsp:val=&quot;00324EE3&quot;/&gt;&lt;wsp:rsid wsp:val=&quot;00324F49&quot;/&gt;&lt;wsp:rsid wsp:val=&quot;00324F8A&quot;/&gt;&lt;wsp:rsid wsp:val=&quot;003258C3&quot;/&gt;&lt;wsp:rsid wsp:val=&quot;00325D21&quot;/&gt;&lt;wsp:rsid wsp:val=&quot;00325E06&quot;/&gt;&lt;wsp:rsid wsp:val=&quot;00325E28&quot;/&gt;&lt;wsp:rsid wsp:val=&quot;003263B9&quot;/&gt;&lt;wsp:rsid wsp:val=&quot;0032687D&quot;/&gt;&lt;wsp:rsid wsp:val=&quot;00326907&quot;/&gt;&lt;wsp:rsid wsp:val=&quot;00326ABF&quot;/&gt;&lt;wsp:rsid wsp:val=&quot;00326C84&quot;/&gt;&lt;wsp:rsid wsp:val=&quot;00326E81&quot;/&gt;&lt;wsp:rsid wsp:val=&quot;00327175&quot;/&gt;&lt;wsp:rsid wsp:val=&quot;0032747E&quot;/&gt;&lt;wsp:rsid wsp:val=&quot;00327701&quot;/&gt;&lt;wsp:rsid wsp:val=&quot;00327A22&quot;/&gt;&lt;wsp:rsid wsp:val=&quot;00327B21&quot;/&gt;&lt;wsp:rsid wsp:val=&quot;00327B96&quot;/&gt;&lt;wsp:rsid wsp:val=&quot;00327DC0&quot;/&gt;&lt;wsp:rsid wsp:val=&quot;00327FB4&quot;/&gt;&lt;wsp:rsid wsp:val=&quot;00330059&quot;/&gt;&lt;wsp:rsid wsp:val=&quot;00330211&quot;/&gt;&lt;wsp:rsid wsp:val=&quot;0033077D&quot;/&gt;&lt;wsp:rsid wsp:val=&quot;00330C3C&quot;/&gt;&lt;wsp:rsid wsp:val=&quot;00330F83&quot;/&gt;&lt;wsp:rsid wsp:val=&quot;00331483&quot;/&gt;&lt;wsp:rsid wsp:val=&quot;003314F7&quot;/&gt;&lt;wsp:rsid wsp:val=&quot;003316C2&quot;/&gt;&lt;wsp:rsid wsp:val=&quot;00331712&quot;/&gt;&lt;wsp:rsid wsp:val=&quot;00331897&quot;/&gt;&lt;wsp:rsid wsp:val=&quot;00331EEE&quot;/&gt;&lt;wsp:rsid wsp:val=&quot;0033207F&quot;/&gt;&lt;wsp:rsid wsp:val=&quot;003320C5&quot;/&gt;&lt;wsp:rsid wsp:val=&quot;003320F6&quot;/&gt;&lt;wsp:rsid wsp:val=&quot;00332751&quot;/&gt;&lt;wsp:rsid wsp:val=&quot;00332BD6&quot;/&gt;&lt;wsp:rsid wsp:val=&quot;00332BF1&quot;/&gt;&lt;wsp:rsid wsp:val=&quot;00332D8B&quot;/&gt;&lt;wsp:rsid wsp:val=&quot;00332DAE&quot;/&gt;&lt;wsp:rsid wsp:val=&quot;00332FB1&quot;/&gt;&lt;wsp:rsid wsp:val=&quot;003331C7&quot;/&gt;&lt;wsp:rsid wsp:val=&quot;0033384F&quot;/&gt;&lt;wsp:rsid wsp:val=&quot;00333853&quot;/&gt;&lt;wsp:rsid wsp:val=&quot;00333910&quot;/&gt;&lt;wsp:rsid wsp:val=&quot;00333B04&quot;/&gt;&lt;wsp:rsid wsp:val=&quot;00333CFD&quot;/&gt;&lt;wsp:rsid wsp:val=&quot;00335258&quot;/&gt;&lt;wsp:rsid wsp:val=&quot;003353BE&quot;/&gt;&lt;wsp:rsid wsp:val=&quot;00335529&quot;/&gt;&lt;wsp:rsid wsp:val=&quot;00335A7E&quot;/&gt;&lt;wsp:rsid wsp:val=&quot;00335DA5&quot;/&gt;&lt;wsp:rsid wsp:val=&quot;00336586&quot;/&gt;&lt;wsp:rsid wsp:val=&quot;003367E6&quot;/&gt;&lt;wsp:rsid wsp:val=&quot;0033695A&quot;/&gt;&lt;wsp:rsid wsp:val=&quot;00336D55&quot;/&gt;&lt;wsp:rsid wsp:val=&quot;00336F46&quot;/&gt;&lt;wsp:rsid wsp:val=&quot;00337392&quot;/&gt;&lt;wsp:rsid wsp:val=&quot;003379C2&quot;/&gt;&lt;wsp:rsid wsp:val=&quot;003379F0&quot;/&gt;&lt;wsp:rsid wsp:val=&quot;00337A14&quot;/&gt;&lt;wsp:rsid wsp:val=&quot;00337DCF&quot;/&gt;&lt;wsp:rsid wsp:val=&quot;003400E7&quot;/&gt;&lt;wsp:rsid wsp:val=&quot;003403F9&quot;/&gt;&lt;wsp:rsid wsp:val=&quot;0034084D&quot;/&gt;&lt;wsp:rsid wsp:val=&quot;0034094D&quot;/&gt;&lt;wsp:rsid wsp:val=&quot;00340A56&quot;/&gt;&lt;wsp:rsid wsp:val=&quot;00340B8E&quot;/&gt;&lt;wsp:rsid wsp:val=&quot;00340CCC&quot;/&gt;&lt;wsp:rsid wsp:val=&quot;00340E2E&quot;/&gt;&lt;wsp:rsid wsp:val=&quot;00340E6A&quot;/&gt;&lt;wsp:rsid wsp:val=&quot;00341035&quot;/&gt;&lt;wsp:rsid wsp:val=&quot;0034129D&quot;/&gt;&lt;wsp:rsid wsp:val=&quot;00341342&quot;/&gt;&lt;wsp:rsid wsp:val=&quot;003413CD&quot;/&gt;&lt;wsp:rsid wsp:val=&quot;00341823&quot;/&gt;&lt;wsp:rsid wsp:val=&quot;00341841&quot;/&gt;&lt;wsp:rsid wsp:val=&quot;00341AE2&quot;/&gt;&lt;wsp:rsid wsp:val=&quot;00342358&quot;/&gt;&lt;wsp:rsid wsp:val=&quot;003423CA&quot;/&gt;&lt;wsp:rsid wsp:val=&quot;0034245A&quot;/&gt;&lt;wsp:rsid wsp:val=&quot;00342600&quot;/&gt;&lt;wsp:rsid wsp:val=&quot;00342DE5&quot;/&gt;&lt;wsp:rsid wsp:val=&quot;00342E50&quot;/&gt;&lt;wsp:rsid wsp:val=&quot;00342FB4&quot;/&gt;&lt;wsp:rsid wsp:val=&quot;00342FC8&quot;/&gt;&lt;wsp:rsid wsp:val=&quot;0034358B&quot;/&gt;&lt;wsp:rsid wsp:val=&quot;00343B7C&quot;/&gt;&lt;wsp:rsid wsp:val=&quot;00343D34&quot;/&gt;&lt;wsp:rsid wsp:val=&quot;00343F3D&quot;/&gt;&lt;wsp:rsid wsp:val=&quot;003440D0&quot;/&gt;&lt;wsp:rsid wsp:val=&quot;0034427C&quot;/&gt;&lt;wsp:rsid wsp:val=&quot;00344378&quot;/&gt;&lt;wsp:rsid wsp:val=&quot;0034459C&quot;/&gt;&lt;wsp:rsid wsp:val=&quot;00344738&quot;/&gt;&lt;wsp:rsid wsp:val=&quot;0034475E&quot;/&gt;&lt;wsp:rsid wsp:val=&quot;00344797&quot;/&gt;&lt;wsp:rsid wsp:val=&quot;00344B4B&quot;/&gt;&lt;wsp:rsid wsp:val=&quot;00344F87&quot;/&gt;&lt;wsp:rsid wsp:val=&quot;00344FDF&quot;/&gt;&lt;wsp:rsid wsp:val=&quot;0034529A&quot;/&gt;&lt;wsp:rsid wsp:val=&quot;0034530B&quot;/&gt;&lt;wsp:rsid wsp:val=&quot;00345463&quot;/&gt;&lt;wsp:rsid wsp:val=&quot;0034548D&quot;/&gt;&lt;wsp:rsid wsp:val=&quot;00345D66&quot;/&gt;&lt;wsp:rsid wsp:val=&quot;00346035&quot;/&gt;&lt;wsp:rsid wsp:val=&quot;003461B9&quot;/&gt;&lt;wsp:rsid wsp:val=&quot;003462AF&quot;/&gt;&lt;wsp:rsid wsp:val=&quot;00346503&quot;/&gt;&lt;wsp:rsid wsp:val=&quot;0034683A&quot;/&gt;&lt;wsp:rsid wsp:val=&quot;0034687C&quot;/&gt;&lt;wsp:rsid wsp:val=&quot;00346A15&quot;/&gt;&lt;wsp:rsid wsp:val=&quot;00346F1D&quot;/&gt;&lt;wsp:rsid wsp:val=&quot;00346FC1&quot;/&gt;&lt;wsp:rsid wsp:val=&quot;00347152&quot;/&gt;&lt;wsp:rsid wsp:val=&quot;0034716E&quot;/&gt;&lt;wsp:rsid wsp:val=&quot;003471E1&quot;/&gt;&lt;wsp:rsid wsp:val=&quot;003471F0&quot;/&gt;&lt;wsp:rsid wsp:val=&quot;003473F5&quot;/&gt;&lt;wsp:rsid wsp:val=&quot;003473FA&quot;/&gt;&lt;wsp:rsid wsp:val=&quot;00347440&quot;/&gt;&lt;wsp:rsid wsp:val=&quot;003475A5&quot;/&gt;&lt;wsp:rsid wsp:val=&quot;00347752&quot;/&gt;&lt;wsp:rsid wsp:val=&quot;003477D5&quot;/&gt;&lt;wsp:rsid wsp:val=&quot;0034795D&quot;/&gt;&lt;wsp:rsid wsp:val=&quot;00347AFE&quot;/&gt;&lt;wsp:rsid wsp:val=&quot;00347E10&quot;/&gt;&lt;wsp:rsid wsp:val=&quot;003505A6&quot;/&gt;&lt;wsp:rsid wsp:val=&quot;00350898&quot;/&gt;&lt;wsp:rsid wsp:val=&quot;0035099A&quot;/&gt;&lt;wsp:rsid wsp:val=&quot;00350C17&quot;/&gt;&lt;wsp:rsid wsp:val=&quot;00351265&quot;/&gt;&lt;wsp:rsid wsp:val=&quot;003514FF&quot;/&gt;&lt;wsp:rsid wsp:val=&quot;0035176A&quot;/&gt;&lt;wsp:rsid wsp:val=&quot;00351AD6&quot;/&gt;&lt;wsp:rsid wsp:val=&quot;00351BCF&quot;/&gt;&lt;wsp:rsid wsp:val=&quot;00351CAC&quot;/&gt;&lt;wsp:rsid wsp:val=&quot;00351DD5&quot;/&gt;&lt;wsp:rsid wsp:val=&quot;003521EB&quot;/&gt;&lt;wsp:rsid wsp:val=&quot;00352280&quot;/&gt;&lt;wsp:rsid wsp:val=&quot;0035260A&quot;/&gt;&lt;wsp:rsid wsp:val=&quot;0035268A&quot;/&gt;&lt;wsp:rsid wsp:val=&quot;00352740&quot;/&gt;&lt;wsp:rsid wsp:val=&quot;00352C45&quot;/&gt;&lt;wsp:rsid wsp:val=&quot;00352DD9&quot;/&gt;&lt;wsp:rsid wsp:val=&quot;00352F63&quot;/&gt;&lt;wsp:rsid wsp:val=&quot;003530AC&quot;/&gt;&lt;wsp:rsid wsp:val=&quot;00353233&quot;/&gt;&lt;wsp:rsid wsp:val=&quot;00353A35&quot;/&gt;&lt;wsp:rsid wsp:val=&quot;00353E59&quot;/&gt;&lt;wsp:rsid wsp:val=&quot;00353FD4&quot;/&gt;&lt;wsp:rsid wsp:val=&quot;00354070&quot;/&gt;&lt;wsp:rsid wsp:val=&quot;0035438D&quot;/&gt;&lt;wsp:rsid wsp:val=&quot;00354475&quot;/&gt;&lt;wsp:rsid wsp:val=&quot;003544F5&quot;/&gt;&lt;wsp:rsid wsp:val=&quot;00354727&quot;/&gt;&lt;wsp:rsid wsp:val=&quot;0035487A&quot;/&gt;&lt;wsp:rsid wsp:val=&quot;0035523C&quot;/&gt;&lt;wsp:rsid wsp:val=&quot;003552EE&quot;/&gt;&lt;wsp:rsid wsp:val=&quot;0035551C&quot;/&gt;&lt;wsp:rsid wsp:val=&quot;00355606&quot;/&gt;&lt;wsp:rsid wsp:val=&quot;00355BC9&quot;/&gt;&lt;wsp:rsid wsp:val=&quot;00355E83&quot;/&gt;&lt;wsp:rsid wsp:val=&quot;00355F28&quot;/&gt;&lt;wsp:rsid wsp:val=&quot;00356450&quot;/&gt;&lt;wsp:rsid wsp:val=&quot;00356542&quot;/&gt;&lt;wsp:rsid wsp:val=&quot;00356828&quot;/&gt;&lt;wsp:rsid wsp:val=&quot;00356C64&quot;/&gt;&lt;wsp:rsid wsp:val=&quot;00356E23&quot;/&gt;&lt;wsp:rsid wsp:val=&quot;00356F0A&quot;/&gt;&lt;wsp:rsid wsp:val=&quot;003572D5&quot;/&gt;&lt;wsp:rsid wsp:val=&quot;00357511&quot;/&gt;&lt;wsp:rsid wsp:val=&quot;003576B9&quot;/&gt;&lt;wsp:rsid wsp:val=&quot;00357902&quot;/&gt;&lt;wsp:rsid wsp:val=&quot;00357AA9&quot;/&gt;&lt;wsp:rsid wsp:val=&quot;00357AD1&quot;/&gt;&lt;wsp:rsid wsp:val=&quot;00357B70&quot;/&gt;&lt;wsp:rsid wsp:val=&quot;00357D53&quot;/&gt;&lt;wsp:rsid wsp:val=&quot;00360247&quot;/&gt;&lt;wsp:rsid wsp:val=&quot;0036069C&quot;/&gt;&lt;wsp:rsid wsp:val=&quot;0036072C&quot;/&gt;&lt;wsp:rsid wsp:val=&quot;00360A1D&quot;/&gt;&lt;wsp:rsid wsp:val=&quot;0036104A&quot;/&gt;&lt;wsp:rsid wsp:val=&quot;00361642&quot;/&gt;&lt;wsp:rsid wsp:val=&quot;003618B4&quot;/&gt;&lt;wsp:rsid wsp:val=&quot;00361E32&quot;/&gt;&lt;wsp:rsid wsp:val=&quot;003625BF&quot;/&gt;&lt;wsp:rsid wsp:val=&quot;00362D0E&quot;/&gt;&lt;wsp:rsid wsp:val=&quot;00362D4F&quot;/&gt;&lt;wsp:rsid wsp:val=&quot;0036306C&quot;/&gt;&lt;wsp:rsid wsp:val=&quot;00363446&quot;/&gt;&lt;wsp:rsid wsp:val=&quot;00363481&quot;/&gt;&lt;wsp:rsid wsp:val=&quot;0036357F&quot;/&gt;&lt;wsp:rsid wsp:val=&quot;003635CF&quot;/&gt;&lt;wsp:rsid wsp:val=&quot;003638A3&quot;/&gt;&lt;wsp:rsid wsp:val=&quot;003639B5&quot;/&gt;&lt;wsp:rsid wsp:val=&quot;00363A58&quot;/&gt;&lt;wsp:rsid wsp:val=&quot;00363B60&quot;/&gt;&lt;wsp:rsid wsp:val=&quot;003640F2&quot;/&gt;&lt;wsp:rsid wsp:val=&quot;003641BB&quot;/&gt;&lt;wsp:rsid wsp:val=&quot;00364636&quot;/&gt;&lt;wsp:rsid wsp:val=&quot;00364B65&quot;/&gt;&lt;wsp:rsid wsp:val=&quot;00364C7D&quot;/&gt;&lt;wsp:rsid wsp:val=&quot;00364D4E&quot;/&gt;&lt;wsp:rsid wsp:val=&quot;00364E1B&quot;/&gt;&lt;wsp:rsid wsp:val=&quot;00365108&quot;/&gt;&lt;wsp:rsid wsp:val=&quot;00365338&quot;/&gt;&lt;wsp:rsid wsp:val=&quot;00365591&quot;/&gt;&lt;wsp:rsid wsp:val=&quot;00365650&quot;/&gt;&lt;wsp:rsid wsp:val=&quot;003659C1&quot;/&gt;&lt;wsp:rsid wsp:val=&quot;00365D70&quot;/&gt;&lt;wsp:rsid wsp:val=&quot;00365FCF&quot;/&gt;&lt;wsp:rsid wsp:val=&quot;0036691E&quot;/&gt;&lt;wsp:rsid wsp:val=&quot;003669AF&quot;/&gt;&lt;wsp:rsid wsp:val=&quot;00366BD7&quot;/&gt;&lt;wsp:rsid wsp:val=&quot;00366D90&quot;/&gt;&lt;wsp:rsid wsp:val=&quot;00366F46&quot;/&gt;&lt;wsp:rsid wsp:val=&quot;00366F9A&quot;/&gt;&lt;wsp:rsid wsp:val=&quot;00367CA9&quot;/&gt;&lt;wsp:rsid wsp:val=&quot;00367CB2&quot;/&gt;&lt;wsp:rsid wsp:val=&quot;003700B5&quot;/&gt;&lt;wsp:rsid wsp:val=&quot;0037070E&quot;/&gt;&lt;wsp:rsid wsp:val=&quot;003709B9&quot;/&gt;&lt;wsp:rsid wsp:val=&quot;00370B1C&quot;/&gt;&lt;wsp:rsid wsp:val=&quot;00370EBA&quot;/&gt;&lt;wsp:rsid wsp:val=&quot;00370F0A&quot;/&gt;&lt;wsp:rsid wsp:val=&quot;00370F52&quot;/&gt;&lt;wsp:rsid wsp:val=&quot;003711E2&quot;/&gt;&lt;wsp:rsid wsp:val=&quot;0037138A&quot;/&gt;&lt;wsp:rsid wsp:val=&quot;0037157D&quot;/&gt;&lt;wsp:rsid wsp:val=&quot;0037184B&quot;/&gt;&lt;wsp:rsid wsp:val=&quot;003718C2&quot;/&gt;&lt;wsp:rsid wsp:val=&quot;00371B0D&quot;/&gt;&lt;wsp:rsid wsp:val=&quot;00371CD7&quot;/&gt;&lt;wsp:rsid wsp:val=&quot;00371D87&quot;/&gt;&lt;wsp:rsid wsp:val=&quot;00371D91&quot;/&gt;&lt;wsp:rsid wsp:val=&quot;00371EE7&quot;/&gt;&lt;wsp:rsid wsp:val=&quot;0037213B&quot;/&gt;&lt;wsp:rsid wsp:val=&quot;00372141&quot;/&gt;&lt;wsp:rsid wsp:val=&quot;00372537&quot;/&gt;&lt;wsp:rsid wsp:val=&quot;003725A2&quot;/&gt;&lt;wsp:rsid wsp:val=&quot;00372CD5&quot;/&gt;&lt;wsp:rsid wsp:val=&quot;00372F40&quot;/&gt;&lt;wsp:rsid wsp:val=&quot;00372F72&quot;/&gt;&lt;wsp:rsid wsp:val=&quot;00373439&quot;/&gt;&lt;wsp:rsid wsp:val=&quot;00373581&quot;/&gt;&lt;wsp:rsid wsp:val=&quot;003735D4&quot;/&gt;&lt;wsp:rsid wsp:val=&quot;00373A5B&quot;/&gt;&lt;wsp:rsid wsp:val=&quot;00373D7C&quot;/&gt;&lt;wsp:rsid wsp:val=&quot;00373DC1&quot;/&gt;&lt;wsp:rsid wsp:val=&quot;00373E52&quot;/&gt;&lt;wsp:rsid wsp:val=&quot;00373FDC&quot;/&gt;&lt;wsp:rsid wsp:val=&quot;003744AB&quot;/&gt;&lt;wsp:rsid wsp:val=&quot;0037465E&quot;/&gt;&lt;wsp:rsid wsp:val=&quot;00374713&quot;/&gt;&lt;wsp:rsid wsp:val=&quot;00374798&quot;/&gt;&lt;wsp:rsid wsp:val=&quot;003748CB&quot;/&gt;&lt;wsp:rsid wsp:val=&quot;003749E9&quot;/&gt;&lt;wsp:rsid wsp:val=&quot;00374D69&quot;/&gt;&lt;wsp:rsid wsp:val=&quot;0037505F&quot;/&gt;&lt;wsp:rsid wsp:val=&quot;003755BE&quot;/&gt;&lt;wsp:rsid wsp:val=&quot;003757FA&quot;/&gt;&lt;wsp:rsid wsp:val=&quot;00375885&quot;/&gt;&lt;wsp:rsid wsp:val=&quot;00375B63&quot;/&gt;&lt;wsp:rsid wsp:val=&quot;00375E34&quot;/&gt;&lt;wsp:rsid wsp:val=&quot;003765EE&quot;/&gt;&lt;wsp:rsid wsp:val=&quot;00376834&quot;/&gt;&lt;wsp:rsid wsp:val=&quot;003768DF&quot;/&gt;&lt;wsp:rsid wsp:val=&quot;00376AD3&quot;/&gt;&lt;wsp:rsid wsp:val=&quot;00376DA0&quot;/&gt;&lt;wsp:rsid wsp:val=&quot;00377236&quot;/&gt;&lt;wsp:rsid wsp:val=&quot;0037735B&quot;/&gt;&lt;wsp:rsid wsp:val=&quot;0037785B&quot;/&gt;&lt;wsp:rsid wsp:val=&quot;00377B50&quot;/&gt;&lt;wsp:rsid wsp:val=&quot;003807E0&quot;/&gt;&lt;wsp:rsid wsp:val=&quot;003807EF&quot;/&gt;&lt;wsp:rsid wsp:val=&quot;00380AFC&quot;/&gt;&lt;wsp:rsid wsp:val=&quot;00380F77&quot;/&gt;&lt;wsp:rsid wsp:val=&quot;00381059&quot;/&gt;&lt;wsp:rsid wsp:val=&quot;0038114E&quot;/&gt;&lt;wsp:rsid wsp:val=&quot;00381280&quot;/&gt;&lt;wsp:rsid wsp:val=&quot;00381483&quot;/&gt;&lt;wsp:rsid wsp:val=&quot;003815AE&quot;/&gt;&lt;wsp:rsid wsp:val=&quot;003816C0&quot;/&gt;&lt;wsp:rsid wsp:val=&quot;003818BD&quot;/&gt;&lt;wsp:rsid wsp:val=&quot;00381C15&quot;/&gt;&lt;wsp:rsid wsp:val=&quot;00381D61&quot;/&gt;&lt;wsp:rsid wsp:val=&quot;00381FB2&quot;/&gt;&lt;wsp:rsid wsp:val=&quot;003821D7&quot;/&gt;&lt;wsp:rsid wsp:val=&quot;0038230D&quot;/&gt;&lt;wsp:rsid wsp:val=&quot;00382327&quot;/&gt;&lt;wsp:rsid wsp:val=&quot;003828B5&quot;/&gt;&lt;wsp:rsid wsp:val=&quot;00382D55&quot;/&gt;&lt;wsp:rsid wsp:val=&quot;00382D7C&quot;/&gt;&lt;wsp:rsid wsp:val=&quot;00382DAF&quot;/&gt;&lt;wsp:rsid wsp:val=&quot;00382E1D&quot;/&gt;&lt;wsp:rsid wsp:val=&quot;00383088&quot;/&gt;&lt;wsp:rsid wsp:val=&quot;003830F7&quot;/&gt;&lt;wsp:rsid wsp:val=&quot;00383221&quot;/&gt;&lt;wsp:rsid wsp:val=&quot;003839D8&quot;/&gt;&lt;wsp:rsid wsp:val=&quot;0038409C&quot;/&gt;&lt;wsp:rsid wsp:val=&quot;003842D8&quot;/&gt;&lt;wsp:rsid wsp:val=&quot;003844D3&quot;/&gt;&lt;wsp:rsid wsp:val=&quot;00384538&quot;/&gt;&lt;wsp:rsid wsp:val=&quot;003846CC&quot;/&gt;&lt;wsp:rsid wsp:val=&quot;003848D6&quot;/&gt;&lt;wsp:rsid wsp:val=&quot;00384929&quot;/&gt;&lt;wsp:rsid wsp:val=&quot;00384C50&quot;/&gt;&lt;wsp:rsid wsp:val=&quot;00384FBB&quot;/&gt;&lt;wsp:rsid wsp:val=&quot;00385486&quot;/&gt;&lt;wsp:rsid wsp:val=&quot;0038552A&quot;/&gt;&lt;wsp:rsid wsp:val=&quot;003856B7&quot;/&gt;&lt;wsp:rsid wsp:val=&quot;00385B62&quot;/&gt;&lt;wsp:rsid wsp:val=&quot;00385BC6&quot;/&gt;&lt;wsp:rsid wsp:val=&quot;00385EEA&quot;/&gt;&lt;wsp:rsid wsp:val=&quot;00386476&quot;/&gt;&lt;wsp:rsid wsp:val=&quot;00386877&quot;/&gt;&lt;wsp:rsid wsp:val=&quot;0038690B&quot;/&gt;&lt;wsp:rsid wsp:val=&quot;00386993&quot;/&gt;&lt;wsp:rsid wsp:val=&quot;00386ADB&quot;/&gt;&lt;wsp:rsid wsp:val=&quot;00386EEC&quot;/&gt;&lt;wsp:rsid wsp:val=&quot;0038704C&quot;/&gt;&lt;wsp:rsid wsp:val=&quot;003871DF&quot;/&gt;&lt;wsp:rsid wsp:val=&quot;00387233&quot;/&gt;&lt;wsp:rsid wsp:val=&quot;003877B3&quot;/&gt;&lt;wsp:rsid wsp:val=&quot;00387AE9&quot;/&gt;&lt;wsp:rsid wsp:val=&quot;00387B18&quot;/&gt;&lt;wsp:rsid wsp:val=&quot;00387BB0&quot;/&gt;&lt;wsp:rsid wsp:val=&quot;00387D5D&quot;/&gt;&lt;wsp:rsid wsp:val=&quot;00387E24&quot;/&gt;&lt;wsp:rsid wsp:val=&quot;00387ED8&quot;/&gt;&lt;wsp:rsid wsp:val=&quot;003900B6&quot;/&gt;&lt;wsp:rsid wsp:val=&quot;003906AA&quot;/&gt;&lt;wsp:rsid wsp:val=&quot;00390D78&quot;/&gt;&lt;wsp:rsid wsp:val=&quot;00390E83&quot;/&gt;&lt;wsp:rsid wsp:val=&quot;00391005&quot;/&gt;&lt;wsp:rsid wsp:val=&quot;00391079&quot;/&gt;&lt;wsp:rsid wsp:val=&quot;00391366&quot;/&gt;&lt;wsp:rsid wsp:val=&quot;003919C8&quot;/&gt;&lt;wsp:rsid wsp:val=&quot;00391A56&quot;/&gt;&lt;wsp:rsid wsp:val=&quot;00391FA0&quot;/&gt;&lt;wsp:rsid wsp:val=&quot;00392065&quot;/&gt;&lt;wsp:rsid wsp:val=&quot;003922BC&quot;/&gt;&lt;wsp:rsid wsp:val=&quot;003927F5&quot;/&gt;&lt;wsp:rsid wsp:val=&quot;00392B04&quot;/&gt;&lt;wsp:rsid wsp:val=&quot;00392B8D&quot;/&gt;&lt;wsp:rsid wsp:val=&quot;00392D8B&quot;/&gt;&lt;wsp:rsid wsp:val=&quot;00393053&quot;/&gt;&lt;wsp:rsid wsp:val=&quot;00393215&quot;/&gt;&lt;wsp:rsid wsp:val=&quot;00393646&quot;/&gt;&lt;wsp:rsid wsp:val=&quot;00393664&quot;/&gt;&lt;wsp:rsid wsp:val=&quot;00393946&quot;/&gt;&lt;wsp:rsid wsp:val=&quot;00393E2C&quot;/&gt;&lt;wsp:rsid wsp:val=&quot;00394038&quot;/&gt;&lt;wsp:rsid wsp:val=&quot;003943C2&quot;/&gt;&lt;wsp:rsid wsp:val=&quot;0039498F&quot;/&gt;&lt;wsp:rsid wsp:val=&quot;00394A45&quot;/&gt;&lt;wsp:rsid wsp:val=&quot;00395438&quot;/&gt;&lt;wsp:rsid wsp:val=&quot;0039543D&quot;/&gt;&lt;wsp:rsid wsp:val=&quot;003955E9&quot;/&gt;&lt;wsp:rsid wsp:val=&quot;003959B5&quot;/&gt;&lt;wsp:rsid wsp:val=&quot;00395C84&quot;/&gt;&lt;wsp:rsid wsp:val=&quot;00395EFA&quot;/&gt;&lt;wsp:rsid wsp:val=&quot;00396014&quot;/&gt;&lt;wsp:rsid wsp:val=&quot;00396045&quot;/&gt;&lt;wsp:rsid wsp:val=&quot;003964CE&quot;/&gt;&lt;wsp:rsid wsp:val=&quot;0039669B&quot;/&gt;&lt;wsp:rsid wsp:val=&quot;003966A9&quot;/&gt;&lt;wsp:rsid wsp:val=&quot;0039673A&quot;/&gt;&lt;wsp:rsid wsp:val=&quot;0039694D&quot;/&gt;&lt;wsp:rsid wsp:val=&quot;00396C5E&quot;/&gt;&lt;wsp:rsid wsp:val=&quot;00396F92&quot;/&gt;&lt;wsp:rsid wsp:val=&quot;00397020&quot;/&gt;&lt;wsp:rsid wsp:val=&quot;003970D9&quot;/&gt;&lt;wsp:rsid wsp:val=&quot;0039715A&quot;/&gt;&lt;wsp:rsid wsp:val=&quot;00397266&quot;/&gt;&lt;wsp:rsid wsp:val=&quot;00397474&quot;/&gt;&lt;wsp:rsid wsp:val=&quot;0039750B&quot;/&gt;&lt;wsp:rsid wsp:val=&quot;0039759F&quot;/&gt;&lt;wsp:rsid wsp:val=&quot;00397838&quot;/&gt;&lt;wsp:rsid wsp:val=&quot;00397B50&quot;/&gt;&lt;wsp:rsid wsp:val=&quot;00397B63&quot;/&gt;&lt;wsp:rsid wsp:val=&quot;00397C87&quot;/&gt;&lt;wsp:rsid wsp:val=&quot;00397EA9&quot;/&gt;&lt;wsp:rsid wsp:val=&quot;00397F6A&quot;/&gt;&lt;wsp:rsid wsp:val=&quot;003A0427&quot;/&gt;&lt;wsp:rsid wsp:val=&quot;003A061E&quot;/&gt;&lt;wsp:rsid wsp:val=&quot;003A0C2C&quot;/&gt;&lt;wsp:rsid wsp:val=&quot;003A0DD6&quot;/&gt;&lt;wsp:rsid wsp:val=&quot;003A0DE6&quot;/&gt;&lt;wsp:rsid wsp:val=&quot;003A0FB8&quot;/&gt;&lt;wsp:rsid wsp:val=&quot;003A1573&quot;/&gt;&lt;wsp:rsid wsp:val=&quot;003A1F7B&quot;/&gt;&lt;wsp:rsid wsp:val=&quot;003A21D9&quot;/&gt;&lt;wsp:rsid wsp:val=&quot;003A2742&quot;/&gt;&lt;wsp:rsid wsp:val=&quot;003A2F37&quot;/&gt;&lt;wsp:rsid wsp:val=&quot;003A2F88&quot;/&gt;&lt;wsp:rsid wsp:val=&quot;003A32C2&quot;/&gt;&lt;wsp:rsid wsp:val=&quot;003A336D&quot;/&gt;&lt;wsp:rsid wsp:val=&quot;003A33B4&quot;/&gt;&lt;wsp:rsid wsp:val=&quot;003A352B&quot;/&gt;&lt;wsp:rsid wsp:val=&quot;003A360C&quot;/&gt;&lt;wsp:rsid wsp:val=&quot;003A370F&quot;/&gt;&lt;wsp:rsid wsp:val=&quot;003A37B7&quot;/&gt;&lt;wsp:rsid wsp:val=&quot;003A3881&quot;/&gt;&lt;wsp:rsid wsp:val=&quot;003A3D9F&quot;/&gt;&lt;wsp:rsid wsp:val=&quot;003A3DE8&quot;/&gt;&lt;wsp:rsid wsp:val=&quot;003A4285&quot;/&gt;&lt;wsp:rsid wsp:val=&quot;003A454C&quot;/&gt;&lt;wsp:rsid wsp:val=&quot;003A4775&quot;/&gt;&lt;wsp:rsid wsp:val=&quot;003A4885&quot;/&gt;&lt;wsp:rsid wsp:val=&quot;003A4DC3&quot;/&gt;&lt;wsp:rsid wsp:val=&quot;003A4FAF&quot;/&gt;&lt;wsp:rsid wsp:val=&quot;003A5031&quot;/&gt;&lt;wsp:rsid wsp:val=&quot;003A515B&quot;/&gt;&lt;wsp:rsid wsp:val=&quot;003A51F6&quot;/&gt;&lt;wsp:rsid wsp:val=&quot;003A5223&quot;/&gt;&lt;wsp:rsid wsp:val=&quot;003A533F&quot;/&gt;&lt;wsp:rsid wsp:val=&quot;003A57A8&quot;/&gt;&lt;wsp:rsid wsp:val=&quot;003A5847&quot;/&gt;&lt;wsp:rsid wsp:val=&quot;003A60A0&quot;/&gt;&lt;wsp:rsid wsp:val=&quot;003A6165&quot;/&gt;&lt;wsp:rsid wsp:val=&quot;003A6710&quot;/&gt;&lt;wsp:rsid wsp:val=&quot;003A6BD0&quot;/&gt;&lt;wsp:rsid wsp:val=&quot;003A74C6&quot;/&gt;&lt;wsp:rsid wsp:val=&quot;003A7D4F&quot;/&gt;&lt;wsp:rsid wsp:val=&quot;003B08A1&quot;/&gt;&lt;wsp:rsid wsp:val=&quot;003B1055&quot;/&gt;&lt;wsp:rsid wsp:val=&quot;003B1372&quot;/&gt;&lt;wsp:rsid wsp:val=&quot;003B1477&quot;/&gt;&lt;wsp:rsid wsp:val=&quot;003B148A&quot;/&gt;&lt;wsp:rsid wsp:val=&quot;003B14CA&quot;/&gt;&lt;wsp:rsid wsp:val=&quot;003B14D4&quot;/&gt;&lt;wsp:rsid wsp:val=&quot;003B190D&quot;/&gt;&lt;wsp:rsid wsp:val=&quot;003B1D83&quot;/&gt;&lt;wsp:rsid wsp:val=&quot;003B1EB5&quot;/&gt;&lt;wsp:rsid wsp:val=&quot;003B206E&quot;/&gt;&lt;wsp:rsid wsp:val=&quot;003B21BC&quot;/&gt;&lt;wsp:rsid wsp:val=&quot;003B27DE&quot;/&gt;&lt;wsp:rsid wsp:val=&quot;003B2A04&quot;/&gt;&lt;wsp:rsid wsp:val=&quot;003B2B9C&quot;/&gt;&lt;wsp:rsid wsp:val=&quot;003B2C31&quot;/&gt;&lt;wsp:rsid wsp:val=&quot;003B2CDD&quot;/&gt;&lt;wsp:rsid wsp:val=&quot;003B2F53&quot;/&gt;&lt;wsp:rsid wsp:val=&quot;003B2FFB&quot;/&gt;&lt;wsp:rsid wsp:val=&quot;003B314E&quot;/&gt;&lt;wsp:rsid wsp:val=&quot;003B315C&quot;/&gt;&lt;wsp:rsid wsp:val=&quot;003B324F&quot;/&gt;&lt;wsp:rsid wsp:val=&quot;003B348B&quot;/&gt;&lt;wsp:rsid wsp:val=&quot;003B3555&quot;/&gt;&lt;wsp:rsid wsp:val=&quot;003B3846&quot;/&gt;&lt;wsp:rsid wsp:val=&quot;003B3B19&quot;/&gt;&lt;wsp:rsid wsp:val=&quot;003B3CFB&quot;/&gt;&lt;wsp:rsid wsp:val=&quot;003B3F4F&quot;/&gt;&lt;wsp:rsid wsp:val=&quot;003B403B&quot;/&gt;&lt;wsp:rsid wsp:val=&quot;003B42CE&quot;/&gt;&lt;wsp:rsid wsp:val=&quot;003B43CA&quot;/&gt;&lt;wsp:rsid wsp:val=&quot;003B44CA&quot;/&gt;&lt;wsp:rsid wsp:val=&quot;003B44FA&quot;/&gt;&lt;wsp:rsid wsp:val=&quot;003B46D5&quot;/&gt;&lt;wsp:rsid wsp:val=&quot;003B4797&quot;/&gt;&lt;wsp:rsid wsp:val=&quot;003B47A4&quot;/&gt;&lt;wsp:rsid wsp:val=&quot;003B47A9&quot;/&gt;&lt;wsp:rsid wsp:val=&quot;003B4A4A&quot;/&gt;&lt;wsp:rsid wsp:val=&quot;003B4AFD&quot;/&gt;&lt;wsp:rsid wsp:val=&quot;003B4BF5&quot;/&gt;&lt;wsp:rsid wsp:val=&quot;003B4F54&quot;/&gt;&lt;wsp:rsid wsp:val=&quot;003B5544&quot;/&gt;&lt;wsp:rsid wsp:val=&quot;003B5C6F&quot;/&gt;&lt;wsp:rsid wsp:val=&quot;003B5D3C&quot;/&gt;&lt;wsp:rsid wsp:val=&quot;003B606B&quot;/&gt;&lt;wsp:rsid wsp:val=&quot;003B621D&quot;/&gt;&lt;wsp:rsid wsp:val=&quot;003B693E&quot;/&gt;&lt;wsp:rsid wsp:val=&quot;003B6AC7&quot;/&gt;&lt;wsp:rsid wsp:val=&quot;003B6BD8&quot;/&gt;&lt;wsp:rsid wsp:val=&quot;003B6F1F&quot;/&gt;&lt;wsp:rsid wsp:val=&quot;003B7409&quot;/&gt;&lt;wsp:rsid wsp:val=&quot;003B74F5&quot;/&gt;&lt;wsp:rsid wsp:val=&quot;003B75E2&quot;/&gt;&lt;wsp:rsid wsp:val=&quot;003B76EB&quot;/&gt;&lt;wsp:rsid wsp:val=&quot;003B7992&quot;/&gt;&lt;wsp:rsid wsp:val=&quot;003B7C52&quot;/&gt;&lt;wsp:rsid wsp:val=&quot;003B7F40&quot;/&gt;&lt;wsp:rsid wsp:val=&quot;003B7F93&quot;/&gt;&lt;wsp:rsid wsp:val=&quot;003B7FB5&quot;/&gt;&lt;wsp:rsid wsp:val=&quot;003C0279&quot;/&gt;&lt;wsp:rsid wsp:val=&quot;003C040B&quot;/&gt;&lt;wsp:rsid wsp:val=&quot;003C047D&quot;/&gt;&lt;wsp:rsid wsp:val=&quot;003C06D5&quot;/&gt;&lt;wsp:rsid wsp:val=&quot;003C071F&quot;/&gt;&lt;wsp:rsid wsp:val=&quot;003C0917&quot;/&gt;&lt;wsp:rsid wsp:val=&quot;003C09B8&quot;/&gt;&lt;wsp:rsid wsp:val=&quot;003C0D2F&quot;/&gt;&lt;wsp:rsid wsp:val=&quot;003C0E1C&quot;/&gt;&lt;wsp:rsid wsp:val=&quot;003C12DD&quot;/&gt;&lt;wsp:rsid wsp:val=&quot;003C1307&quot;/&gt;&lt;wsp:rsid wsp:val=&quot;003C1346&quot;/&gt;&lt;wsp:rsid wsp:val=&quot;003C1520&quot;/&gt;&lt;wsp:rsid wsp:val=&quot;003C1C80&quot;/&gt;&lt;wsp:rsid wsp:val=&quot;003C1EF2&quot;/&gt;&lt;wsp:rsid wsp:val=&quot;003C20B9&quot;/&gt;&lt;wsp:rsid wsp:val=&quot;003C232A&quot;/&gt;&lt;wsp:rsid wsp:val=&quot;003C25A2&quot;/&gt;&lt;wsp:rsid wsp:val=&quot;003C2AFA&quot;/&gt;&lt;wsp:rsid wsp:val=&quot;003C2B41&quot;/&gt;&lt;wsp:rsid wsp:val=&quot;003C2C6D&quot;/&gt;&lt;wsp:rsid wsp:val=&quot;003C35CB&quot;/&gt;&lt;wsp:rsid wsp:val=&quot;003C39EE&quot;/&gt;&lt;wsp:rsid wsp:val=&quot;003C3A50&quot;/&gt;&lt;wsp:rsid wsp:val=&quot;003C4162&quot;/&gt;&lt;wsp:rsid wsp:val=&quot;003C418D&quot;/&gt;&lt;wsp:rsid wsp:val=&quot;003C43C2&quot;/&gt;&lt;wsp:rsid wsp:val=&quot;003C449B&quot;/&gt;&lt;wsp:rsid wsp:val=&quot;003C4757&quot;/&gt;&lt;wsp:rsid wsp:val=&quot;003C48EE&quot;/&gt;&lt;wsp:rsid wsp:val=&quot;003C4A2A&quot;/&gt;&lt;wsp:rsid wsp:val=&quot;003C4B05&quot;/&gt;&lt;wsp:rsid wsp:val=&quot;003C4C8C&quot;/&gt;&lt;wsp:rsid wsp:val=&quot;003C4EAB&quot;/&gt;&lt;wsp:rsid wsp:val=&quot;003C4F1C&quot;/&gt;&lt;wsp:rsid wsp:val=&quot;003C4FAF&quot;/&gt;&lt;wsp:rsid wsp:val=&quot;003C505A&quot;/&gt;&lt;wsp:rsid wsp:val=&quot;003C5150&quot;/&gt;&lt;wsp:rsid wsp:val=&quot;003C5159&quot;/&gt;&lt;wsp:rsid wsp:val=&quot;003C53DC&quot;/&gt;&lt;wsp:rsid wsp:val=&quot;003C5530&quot;/&gt;&lt;wsp:rsid wsp:val=&quot;003C560C&quot;/&gt;&lt;wsp:rsid wsp:val=&quot;003C5727&quot;/&gt;&lt;wsp:rsid wsp:val=&quot;003C5C84&quot;/&gt;&lt;wsp:rsid wsp:val=&quot;003C5DAF&quot;/&gt;&lt;wsp:rsid wsp:val=&quot;003C5E5B&quot;/&gt;&lt;wsp:rsid wsp:val=&quot;003C5F97&quot;/&gt;&lt;wsp:rsid wsp:val=&quot;003C6422&quot;/&gt;&lt;wsp:rsid wsp:val=&quot;003C6579&quot;/&gt;&lt;wsp:rsid wsp:val=&quot;003C661F&quot;/&gt;&lt;wsp:rsid wsp:val=&quot;003C681C&quot;/&gt;&lt;wsp:rsid wsp:val=&quot;003C6AAC&quot;/&gt;&lt;wsp:rsid wsp:val=&quot;003C6DDD&quot;/&gt;&lt;wsp:rsid wsp:val=&quot;003C6E53&quot;/&gt;&lt;wsp:rsid wsp:val=&quot;003C6F63&quot;/&gt;&lt;wsp:rsid wsp:val=&quot;003C7220&quot;/&gt;&lt;wsp:rsid wsp:val=&quot;003C7240&quot;/&gt;&lt;wsp:rsid wsp:val=&quot;003C7504&quot;/&gt;&lt;wsp:rsid wsp:val=&quot;003C7622&quot;/&gt;&lt;wsp:rsid wsp:val=&quot;003C7730&quot;/&gt;&lt;wsp:rsid wsp:val=&quot;003C779D&quot;/&gt;&lt;wsp:rsid wsp:val=&quot;003C7967&quot;/&gt;&lt;wsp:rsid wsp:val=&quot;003C797E&quot;/&gt;&lt;wsp:rsid wsp:val=&quot;003D0568&quot;/&gt;&lt;wsp:rsid wsp:val=&quot;003D05A2&quot;/&gt;&lt;wsp:rsid wsp:val=&quot;003D0905&quot;/&gt;&lt;wsp:rsid wsp:val=&quot;003D0960&quot;/&gt;&lt;wsp:rsid wsp:val=&quot;003D0961&quot;/&gt;&lt;wsp:rsid wsp:val=&quot;003D0983&quot;/&gt;&lt;wsp:rsid wsp:val=&quot;003D0AAE&quot;/&gt;&lt;wsp:rsid wsp:val=&quot;003D0ACA&quot;/&gt;&lt;wsp:rsid wsp:val=&quot;003D0C0F&quot;/&gt;&lt;wsp:rsid wsp:val=&quot;003D10FE&quot;/&gt;&lt;wsp:rsid wsp:val=&quot;003D1391&quot;/&gt;&lt;wsp:rsid wsp:val=&quot;003D13BD&quot;/&gt;&lt;wsp:rsid wsp:val=&quot;003D1448&quot;/&gt;&lt;wsp:rsid wsp:val=&quot;003D14A4&quot;/&gt;&lt;wsp:rsid wsp:val=&quot;003D16AC&quot;/&gt;&lt;wsp:rsid wsp:val=&quot;003D19B1&quot;/&gt;&lt;wsp:rsid wsp:val=&quot;003D1CB1&quot;/&gt;&lt;wsp:rsid wsp:val=&quot;003D1E1E&quot;/&gt;&lt;wsp:rsid wsp:val=&quot;003D1EBD&quot;/&gt;&lt;wsp:rsid wsp:val=&quot;003D20AF&quot;/&gt;&lt;wsp:rsid wsp:val=&quot;003D20CD&quot;/&gt;&lt;wsp:rsid wsp:val=&quot;003D2346&quot;/&gt;&lt;wsp:rsid wsp:val=&quot;003D25EE&quot;/&gt;&lt;wsp:rsid wsp:val=&quot;003D27C1&quot;/&gt;&lt;wsp:rsid wsp:val=&quot;003D2912&quot;/&gt;&lt;wsp:rsid wsp:val=&quot;003D2D51&quot;/&gt;&lt;wsp:rsid wsp:val=&quot;003D2E1C&quot;/&gt;&lt;wsp:rsid wsp:val=&quot;003D2EE9&quot;/&gt;&lt;wsp:rsid wsp:val=&quot;003D3396&quot;/&gt;&lt;wsp:rsid wsp:val=&quot;003D3604&quot;/&gt;&lt;wsp:rsid wsp:val=&quot;003D388F&quot;/&gt;&lt;wsp:rsid wsp:val=&quot;003D39CB&quot;/&gt;&lt;wsp:rsid wsp:val=&quot;003D3EB9&quot;/&gt;&lt;wsp:rsid wsp:val=&quot;003D3F50&quot;/&gt;&lt;wsp:rsid wsp:val=&quot;003D4361&quot;/&gt;&lt;wsp:rsid wsp:val=&quot;003D43FC&quot;/&gt;&lt;wsp:rsid wsp:val=&quot;003D45BC&quot;/&gt;&lt;wsp:rsid wsp:val=&quot;003D4759&quot;/&gt;&lt;wsp:rsid wsp:val=&quot;003D4987&quot;/&gt;&lt;wsp:rsid wsp:val=&quot;003D49AB&quot;/&gt;&lt;wsp:rsid wsp:val=&quot;003D4D9F&quot;/&gt;&lt;wsp:rsid wsp:val=&quot;003D4DF7&quot;/&gt;&lt;wsp:rsid wsp:val=&quot;003D515D&quot;/&gt;&lt;wsp:rsid wsp:val=&quot;003D5524&quot;/&gt;&lt;wsp:rsid wsp:val=&quot;003D57AE&quot;/&gt;&lt;wsp:rsid wsp:val=&quot;003D62D6&quot;/&gt;&lt;wsp:rsid wsp:val=&quot;003D6A6B&quot;/&gt;&lt;wsp:rsid wsp:val=&quot;003D6D52&quot;/&gt;&lt;wsp:rsid wsp:val=&quot;003D73C3&quot;/&gt;&lt;wsp:rsid wsp:val=&quot;003D75BE&quot;/&gt;&lt;wsp:rsid wsp:val=&quot;003D7867&quot;/&gt;&lt;wsp:rsid wsp:val=&quot;003D7970&quot;/&gt;&lt;wsp:rsid wsp:val=&quot;003D799D&quot;/&gt;&lt;wsp:rsid wsp:val=&quot;003D7AFC&quot;/&gt;&lt;wsp:rsid wsp:val=&quot;003D7ECF&quot;/&gt;&lt;wsp:rsid wsp:val=&quot;003E01C1&quot;/&gt;&lt;wsp:rsid wsp:val=&quot;003E02AD&quot;/&gt;&lt;wsp:rsid wsp:val=&quot;003E035F&quot;/&gt;&lt;wsp:rsid wsp:val=&quot;003E03B5&quot;/&gt;&lt;wsp:rsid wsp:val=&quot;003E04A2&quot;/&gt;&lt;wsp:rsid wsp:val=&quot;003E060F&quot;/&gt;&lt;wsp:rsid wsp:val=&quot;003E06BE&quot;/&gt;&lt;wsp:rsid wsp:val=&quot;003E06EB&quot;/&gt;&lt;wsp:rsid wsp:val=&quot;003E075D&quot;/&gt;&lt;wsp:rsid wsp:val=&quot;003E077B&quot;/&gt;&lt;wsp:rsid wsp:val=&quot;003E08E0&quot;/&gt;&lt;wsp:rsid wsp:val=&quot;003E1073&quot;/&gt;&lt;wsp:rsid wsp:val=&quot;003E1091&quot;/&gt;&lt;wsp:rsid wsp:val=&quot;003E1157&quot;/&gt;&lt;wsp:rsid wsp:val=&quot;003E1956&quot;/&gt;&lt;wsp:rsid wsp:val=&quot;003E1A4B&quot;/&gt;&lt;wsp:rsid wsp:val=&quot;003E1B61&quot;/&gt;&lt;wsp:rsid wsp:val=&quot;003E1D07&quot;/&gt;&lt;wsp:rsid wsp:val=&quot;003E20CE&quot;/&gt;&lt;wsp:rsid wsp:val=&quot;003E27E0&quot;/&gt;&lt;wsp:rsid wsp:val=&quot;003E2B4B&quot;/&gt;&lt;wsp:rsid wsp:val=&quot;003E2B5F&quot;/&gt;&lt;wsp:rsid wsp:val=&quot;003E2BD4&quot;/&gt;&lt;wsp:rsid wsp:val=&quot;003E2D21&quot;/&gt;&lt;wsp:rsid wsp:val=&quot;003E2EE7&quot;/&gt;&lt;wsp:rsid wsp:val=&quot;003E3030&quot;/&gt;&lt;wsp:rsid wsp:val=&quot;003E3102&quot;/&gt;&lt;wsp:rsid wsp:val=&quot;003E32D6&quot;/&gt;&lt;wsp:rsid wsp:val=&quot;003E34D7&quot;/&gt;&lt;wsp:rsid wsp:val=&quot;003E36AA&quot;/&gt;&lt;wsp:rsid wsp:val=&quot;003E398B&quot;/&gt;&lt;wsp:rsid wsp:val=&quot;003E39C4&quot;/&gt;&lt;wsp:rsid wsp:val=&quot;003E3A7F&quot;/&gt;&lt;wsp:rsid wsp:val=&quot;003E3ACF&quot;/&gt;&lt;wsp:rsid wsp:val=&quot;003E3AD1&quot;/&gt;&lt;wsp:rsid wsp:val=&quot;003E3C2C&quot;/&gt;&lt;wsp:rsid wsp:val=&quot;003E3E2A&quot;/&gt;&lt;wsp:rsid wsp:val=&quot;003E40DE&quot;/&gt;&lt;wsp:rsid wsp:val=&quot;003E419A&quot;/&gt;&lt;wsp:rsid wsp:val=&quot;003E41D4&quot;/&gt;&lt;wsp:rsid wsp:val=&quot;003E41E6&quot;/&gt;&lt;wsp:rsid wsp:val=&quot;003E426B&quot;/&gt;&lt;wsp:rsid wsp:val=&quot;003E43ED&quot;/&gt;&lt;wsp:rsid wsp:val=&quot;003E43F3&quot;/&gt;&lt;wsp:rsid wsp:val=&quot;003E448E&quot;/&gt;&lt;wsp:rsid wsp:val=&quot;003E48CA&quot;/&gt;&lt;wsp:rsid wsp:val=&quot;003E4CF0&quot;/&gt;&lt;wsp:rsid wsp:val=&quot;003E4DE9&quot;/&gt;&lt;wsp:rsid wsp:val=&quot;003E52D4&quot;/&gt;&lt;wsp:rsid wsp:val=&quot;003E550F&quot;/&gt;&lt;wsp:rsid wsp:val=&quot;003E578C&quot;/&gt;&lt;wsp:rsid wsp:val=&quot;003E5A75&quot;/&gt;&lt;wsp:rsid wsp:val=&quot;003E5CF9&quot;/&gt;&lt;wsp:rsid wsp:val=&quot;003E5D3F&quot;/&gt;&lt;wsp:rsid wsp:val=&quot;003E5D64&quot;/&gt;&lt;wsp:rsid wsp:val=&quot;003E5D9D&quot;/&gt;&lt;wsp:rsid wsp:val=&quot;003E5DD4&quot;/&gt;&lt;wsp:rsid wsp:val=&quot;003E5FA0&quot;/&gt;&lt;wsp:rsid wsp:val=&quot;003E5FA5&quot;/&gt;&lt;wsp:rsid wsp:val=&quot;003E6218&quot;/&gt;&lt;wsp:rsid wsp:val=&quot;003E623F&quot;/&gt;&lt;wsp:rsid wsp:val=&quot;003E6402&quot;/&gt;&lt;wsp:rsid wsp:val=&quot;003E6777&quot;/&gt;&lt;wsp:rsid wsp:val=&quot;003E67FE&quot;/&gt;&lt;wsp:rsid wsp:val=&quot;003E68EC&quot;/&gt;&lt;wsp:rsid wsp:val=&quot;003E69E2&quot;/&gt;&lt;wsp:rsid wsp:val=&quot;003E6AE2&quot;/&gt;&lt;wsp:rsid wsp:val=&quot;003E6D78&quot;/&gt;&lt;wsp:rsid wsp:val=&quot;003E6DF0&quot;/&gt;&lt;wsp:rsid wsp:val=&quot;003E6E12&quot;/&gt;&lt;wsp:rsid wsp:val=&quot;003E713A&quot;/&gt;&lt;wsp:rsid wsp:val=&quot;003E7564&quot;/&gt;&lt;wsp:rsid wsp:val=&quot;003E75D6&quot;/&gt;&lt;wsp:rsid wsp:val=&quot;003E7653&quot;/&gt;&lt;wsp:rsid wsp:val=&quot;003E76A9&quot;/&gt;&lt;wsp:rsid wsp:val=&quot;003E7770&quot;/&gt;&lt;wsp:rsid wsp:val=&quot;003E7D12&quot;/&gt;&lt;wsp:rsid wsp:val=&quot;003E7DA7&quot;/&gt;&lt;wsp:rsid wsp:val=&quot;003E7DBD&quot;/&gt;&lt;wsp:rsid wsp:val=&quot;003F00D7&quot;/&gt;&lt;wsp:rsid wsp:val=&quot;003F0307&quot;/&gt;&lt;wsp:rsid wsp:val=&quot;003F031D&quot;/&gt;&lt;wsp:rsid wsp:val=&quot;003F03BD&quot;/&gt;&lt;wsp:rsid wsp:val=&quot;003F040B&quot;/&gt;&lt;wsp:rsid wsp:val=&quot;003F0643&quot;/&gt;&lt;wsp:rsid wsp:val=&quot;003F0AEA&quot;/&gt;&lt;wsp:rsid wsp:val=&quot;003F0C68&quot;/&gt;&lt;wsp:rsid wsp:val=&quot;003F0D96&quot;/&gt;&lt;wsp:rsid wsp:val=&quot;003F0EE3&quot;/&gt;&lt;wsp:rsid wsp:val=&quot;003F0EF8&quot;/&gt;&lt;wsp:rsid wsp:val=&quot;003F1192&quot;/&gt;&lt;wsp:rsid wsp:val=&quot;003F11D4&quot;/&gt;&lt;wsp:rsid wsp:val=&quot;003F1501&quot;/&gt;&lt;wsp:rsid wsp:val=&quot;003F156D&quot;/&gt;&lt;wsp:rsid wsp:val=&quot;003F16A3&quot;/&gt;&lt;wsp:rsid wsp:val=&quot;003F182B&quot;/&gt;&lt;wsp:rsid wsp:val=&quot;003F192A&quot;/&gt;&lt;wsp:rsid wsp:val=&quot;003F1B14&quot;/&gt;&lt;wsp:rsid wsp:val=&quot;003F1C17&quot;/&gt;&lt;wsp:rsid wsp:val=&quot;003F2539&quot;/&gt;&lt;wsp:rsid wsp:val=&quot;003F2561&quot;/&gt;&lt;wsp:rsid wsp:val=&quot;003F2876&quot;/&gt;&lt;wsp:rsid wsp:val=&quot;003F2991&quot;/&gt;&lt;wsp:rsid wsp:val=&quot;003F2EE6&quot;/&gt;&lt;wsp:rsid wsp:val=&quot;003F2F8E&quot;/&gt;&lt;wsp:rsid wsp:val=&quot;003F31E4&quot;/&gt;&lt;wsp:rsid wsp:val=&quot;003F383F&quot;/&gt;&lt;wsp:rsid wsp:val=&quot;003F3A28&quot;/&gt;&lt;wsp:rsid wsp:val=&quot;003F3CAE&quot;/&gt;&lt;wsp:rsid wsp:val=&quot;003F3E3A&quot;/&gt;&lt;wsp:rsid wsp:val=&quot;003F3F2C&quot;/&gt;&lt;wsp:rsid wsp:val=&quot;003F4077&quot;/&gt;&lt;wsp:rsid wsp:val=&quot;003F4088&quot;/&gt;&lt;wsp:rsid wsp:val=&quot;003F43B3&quot;/&gt;&lt;wsp:rsid wsp:val=&quot;003F43C6&quot;/&gt;&lt;wsp:rsid wsp:val=&quot;003F4450&quot;/&gt;&lt;wsp:rsid wsp:val=&quot;003F44CD&quot;/&gt;&lt;wsp:rsid wsp:val=&quot;003F44D1&quot;/&gt;&lt;wsp:rsid wsp:val=&quot;003F46E2&quot;/&gt;&lt;wsp:rsid wsp:val=&quot;003F47CF&quot;/&gt;&lt;wsp:rsid wsp:val=&quot;003F48A9&quot;/&gt;&lt;wsp:rsid wsp:val=&quot;003F53E5&quot;/&gt;&lt;wsp:rsid wsp:val=&quot;003F551E&quot;/&gt;&lt;wsp:rsid wsp:val=&quot;003F56D5&quot;/&gt;&lt;wsp:rsid wsp:val=&quot;003F56F8&quot;/&gt;&lt;wsp:rsid wsp:val=&quot;003F5738&quot;/&gt;&lt;wsp:rsid wsp:val=&quot;003F59A3&quot;/&gt;&lt;wsp:rsid wsp:val=&quot;003F59EF&quot;/&gt;&lt;wsp:rsid wsp:val=&quot;003F5BA8&quot;/&gt;&lt;wsp:rsid wsp:val=&quot;003F5EF1&quot;/&gt;&lt;wsp:rsid wsp:val=&quot;003F63F1&quot;/&gt;&lt;wsp:rsid wsp:val=&quot;003F644F&quot;/&gt;&lt;wsp:rsid wsp:val=&quot;003F6594&quot;/&gt;&lt;wsp:rsid wsp:val=&quot;003F65E9&quot;/&gt;&lt;wsp:rsid wsp:val=&quot;003F66AE&quot;/&gt;&lt;wsp:rsid wsp:val=&quot;003F6779&quot;/&gt;&lt;wsp:rsid wsp:val=&quot;003F6D16&quot;/&gt;&lt;wsp:rsid wsp:val=&quot;003F6F83&quot;/&gt;&lt;wsp:rsid wsp:val=&quot;003F6FB4&quot;/&gt;&lt;wsp:rsid wsp:val=&quot;003F7365&quot;/&gt;&lt;wsp:rsid wsp:val=&quot;003F73F6&quot;/&gt;&lt;wsp:rsid wsp:val=&quot;003F74E3&quot;/&gt;&lt;wsp:rsid wsp:val=&quot;003F7524&quot;/&gt;&lt;wsp:rsid wsp:val=&quot;003F7577&quot;/&gt;&lt;wsp:rsid wsp:val=&quot;003F7635&quot;/&gt;&lt;wsp:rsid wsp:val=&quot;003F7931&quot;/&gt;&lt;wsp:rsid wsp:val=&quot;003F7966&quot;/&gt;&lt;wsp:rsid wsp:val=&quot;003F79EA&quot;/&gt;&lt;wsp:rsid wsp:val=&quot;003F7B16&quot;/&gt;&lt;wsp:rsid wsp:val=&quot;003F7D40&quot;/&gt;&lt;wsp:rsid wsp:val=&quot;003F7D73&quot;/&gt;&lt;wsp:rsid wsp:val=&quot;003F7E2F&quot;/&gt;&lt;wsp:rsid wsp:val=&quot;0040012A&quot;/&gt;&lt;wsp:rsid wsp:val=&quot;004001F7&quot;/&gt;&lt;wsp:rsid wsp:val=&quot;00400226&quot;/&gt;&lt;wsp:rsid wsp:val=&quot;004002D6&quot;/&gt;&lt;wsp:rsid wsp:val=&quot;00400487&quot;/&gt;&lt;wsp:rsid wsp:val=&quot;00400887&quot;/&gt;&lt;wsp:rsid wsp:val=&quot;004012DA&quot;/&gt;&lt;wsp:rsid wsp:val=&quot;00401336&quot;/&gt;&lt;wsp:rsid wsp:val=&quot;0040161F&quot;/&gt;&lt;wsp:rsid wsp:val=&quot;0040175A&quot;/&gt;&lt;wsp:rsid wsp:val=&quot;00401A25&quot;/&gt;&lt;wsp:rsid wsp:val=&quot;00401A4E&quot;/&gt;&lt;wsp:rsid wsp:val=&quot;00401DD0&quot;/&gt;&lt;wsp:rsid wsp:val=&quot;00401F2D&quot;/&gt;&lt;wsp:rsid wsp:val=&quot;00402173&quot;/&gt;&lt;wsp:rsid wsp:val=&quot;004029E8&quot;/&gt;&lt;wsp:rsid wsp:val=&quot;00402A4B&quot;/&gt;&lt;wsp:rsid wsp:val=&quot;00402A54&quot;/&gt;&lt;wsp:rsid wsp:val=&quot;00402B34&quot;/&gt;&lt;wsp:rsid wsp:val=&quot;00402DBA&quot;/&gt;&lt;wsp:rsid wsp:val=&quot;00403211&quot;/&gt;&lt;wsp:rsid wsp:val=&quot;004032F8&quot;/&gt;&lt;wsp:rsid wsp:val=&quot;004035DA&quot;/&gt;&lt;wsp:rsid wsp:val=&quot;004035FC&quot;/&gt;&lt;wsp:rsid wsp:val=&quot;00403989&quot;/&gt;&lt;wsp:rsid wsp:val=&quot;00403A06&quot;/&gt;&lt;wsp:rsid wsp:val=&quot;00403AE7&quot;/&gt;&lt;wsp:rsid wsp:val=&quot;00403D7C&quot;/&gt;&lt;wsp:rsid wsp:val=&quot;00403F5B&quot;/&gt;&lt;wsp:rsid wsp:val=&quot;00403FF6&quot;/&gt;&lt;wsp:rsid wsp:val=&quot;00404140&quot;/&gt;&lt;wsp:rsid wsp:val=&quot;00404374&quot;/&gt;&lt;wsp:rsid wsp:val=&quot;00404718&quot;/&gt;&lt;wsp:rsid wsp:val=&quot;00404785&quot;/&gt;&lt;wsp:rsid wsp:val=&quot;004047D7&quot;/&gt;&lt;wsp:rsid wsp:val=&quot;004048E1&quot;/&gt;&lt;wsp:rsid wsp:val=&quot;00404942&quot;/&gt;&lt;wsp:rsid wsp:val=&quot;00404BCF&quot;/&gt;&lt;wsp:rsid wsp:val=&quot;00405333&quot;/&gt;&lt;wsp:rsid wsp:val=&quot;00405370&quot;/&gt;&lt;wsp:rsid wsp:val=&quot;0040537B&quot;/&gt;&lt;wsp:rsid wsp:val=&quot;00405389&quot;/&gt;&lt;wsp:rsid wsp:val=&quot;00405545&quot;/&gt;&lt;wsp:rsid wsp:val=&quot;004056FB&quot;/&gt;&lt;wsp:rsid wsp:val=&quot;004058DC&quot;/&gt;&lt;wsp:rsid wsp:val=&quot;00405A32&quot;/&gt;&lt;wsp:rsid wsp:val=&quot;00405CBA&quot;/&gt;&lt;wsp:rsid wsp:val=&quot;00405D7C&quot;/&gt;&lt;wsp:rsid wsp:val=&quot;00405F81&quot;/&gt;&lt;wsp:rsid wsp:val=&quot;00406462&quot;/&gt;&lt;wsp:rsid wsp:val=&quot;00406488&quot;/&gt;&lt;wsp:rsid wsp:val=&quot;004065EA&quot;/&gt;&lt;wsp:rsid wsp:val=&quot;0040680E&quot;/&gt;&lt;wsp:rsid wsp:val=&quot;00406857&quot;/&gt;&lt;wsp:rsid wsp:val=&quot;00406D1F&quot;/&gt;&lt;wsp:rsid wsp:val=&quot;00406D2A&quot;/&gt;&lt;wsp:rsid wsp:val=&quot;00406D40&quot;/&gt;&lt;wsp:rsid wsp:val=&quot;00406D48&quot;/&gt;&lt;wsp:rsid wsp:val=&quot;00407018&quot;/&gt;&lt;wsp:rsid wsp:val=&quot;004070B8&quot;/&gt;&lt;wsp:rsid wsp:val=&quot;004073AD&quot;/&gt;&lt;wsp:rsid wsp:val=&quot;00407803&quot;/&gt;&lt;wsp:rsid wsp:val=&quot;00407AEB&quot;/&gt;&lt;wsp:rsid wsp:val=&quot;00407C02&quot;/&gt;&lt;wsp:rsid wsp:val=&quot;00407D6C&quot;/&gt;&lt;wsp:rsid wsp:val=&quot;00410409&quot;/&gt;&lt;wsp:rsid wsp:val=&quot;004104D6&quot;/&gt;&lt;wsp:rsid wsp:val=&quot;004104FB&quot;/&gt;&lt;wsp:rsid wsp:val=&quot;004106C8&quot;/&gt;&lt;wsp:rsid wsp:val=&quot;00410B4F&quot;/&gt;&lt;wsp:rsid wsp:val=&quot;00410C54&quot;/&gt;&lt;wsp:rsid wsp:val=&quot;00410EDC&quot;/&gt;&lt;wsp:rsid wsp:val=&quot;00411305&quot;/&gt;&lt;wsp:rsid wsp:val=&quot;004113EB&quot;/&gt;&lt;wsp:rsid wsp:val=&quot;0041144A&quot;/&gt;&lt;wsp:rsid wsp:val=&quot;00411648&quot;/&gt;&lt;wsp:rsid wsp:val=&quot;00411671&quot;/&gt;&lt;wsp:rsid wsp:val=&quot;004118D6&quot;/&gt;&lt;wsp:rsid wsp:val=&quot;00411EC6&quot;/&gt;&lt;wsp:rsid wsp:val=&quot;00412042&quot;/&gt;&lt;wsp:rsid wsp:val=&quot;00412497&quot;/&gt;&lt;wsp:rsid wsp:val=&quot;0041256D&quot;/&gt;&lt;wsp:rsid wsp:val=&quot;00412B25&quot;/&gt;&lt;wsp:rsid wsp:val=&quot;00412CB5&quot;/&gt;&lt;wsp:rsid wsp:val=&quot;00412D40&quot;/&gt;&lt;wsp:rsid wsp:val=&quot;00412DED&quot;/&gt;&lt;wsp:rsid wsp:val=&quot;0041315D&quot;/&gt;&lt;wsp:rsid wsp:val=&quot;00413300&quot;/&gt;&lt;wsp:rsid wsp:val=&quot;00413905&quot;/&gt;&lt;wsp:rsid wsp:val=&quot;00414076&quot;/&gt;&lt;wsp:rsid wsp:val=&quot;004146D0&quot;/&gt;&lt;wsp:rsid wsp:val=&quot;004148D6&quot;/&gt;&lt;wsp:rsid wsp:val=&quot;004148DF&quot;/&gt;&lt;wsp:rsid wsp:val=&quot;00414C56&quot;/&gt;&lt;wsp:rsid wsp:val=&quot;00414F34&quot;/&gt;&lt;wsp:rsid wsp:val=&quot;0041508C&quot;/&gt;&lt;wsp:rsid wsp:val=&quot;00415644&quot;/&gt;&lt;wsp:rsid wsp:val=&quot;004157CE&quot;/&gt;&lt;wsp:rsid wsp:val=&quot;0041585E&quot;/&gt;&lt;wsp:rsid wsp:val=&quot;00415B5F&quot;/&gt;&lt;wsp:rsid wsp:val=&quot;00415B75&quot;/&gt;&lt;wsp:rsid wsp:val=&quot;00415F6D&quot;/&gt;&lt;wsp:rsid wsp:val=&quot;00416512&quot;/&gt;&lt;wsp:rsid wsp:val=&quot;00416648&quot;/&gt;&lt;wsp:rsid wsp:val=&quot;00416683&quot;/&gt;&lt;wsp:rsid wsp:val=&quot;0041684A&quot;/&gt;&lt;wsp:rsid wsp:val=&quot;004169FA&quot;/&gt;&lt;wsp:rsid wsp:val=&quot;00416B95&quot;/&gt;&lt;wsp:rsid wsp:val=&quot;00416BC9&quot;/&gt;&lt;wsp:rsid wsp:val=&quot;00416C87&quot;/&gt;&lt;wsp:rsid wsp:val=&quot;004170B6&quot;/&gt;&lt;wsp:rsid wsp:val=&quot;004171F7&quot;/&gt;&lt;wsp:rsid wsp:val=&quot;00417224&quot;/&gt;&lt;wsp:rsid wsp:val=&quot;00417240&quot;/&gt;&lt;wsp:rsid wsp:val=&quot;00417348&quot;/&gt;&lt;wsp:rsid wsp:val=&quot;00417470&quot;/&gt;&lt;wsp:rsid wsp:val=&quot;004179C8&quot;/&gt;&lt;wsp:rsid wsp:val=&quot;00417AFF&quot;/&gt;&lt;wsp:rsid wsp:val=&quot;00417C3B&quot;/&gt;&lt;wsp:rsid wsp:val=&quot;00420052&quot;/&gt;&lt;wsp:rsid wsp:val=&quot;004204B4&quot;/&gt;&lt;wsp:rsid wsp:val=&quot;0042055F&quot;/&gt;&lt;wsp:rsid wsp:val=&quot;00420951&quot;/&gt;&lt;wsp:rsid wsp:val=&quot;00420A35&quot;/&gt;&lt;wsp:rsid wsp:val=&quot;00420B5C&quot;/&gt;&lt;wsp:rsid wsp:val=&quot;00420CBF&quot;/&gt;&lt;wsp:rsid wsp:val=&quot;00421178&quot;/&gt;&lt;wsp:rsid wsp:val=&quot;004211CA&quot;/&gt;&lt;wsp:rsid wsp:val=&quot;004214B1&quot;/&gt;&lt;wsp:rsid wsp:val=&quot;00421867&quot;/&gt;&lt;wsp:rsid wsp:val=&quot;0042187B&quot;/&gt;&lt;wsp:rsid wsp:val=&quot;00421969&quot;/&gt;&lt;wsp:rsid wsp:val=&quot;00421E25&quot;/&gt;&lt;wsp:rsid wsp:val=&quot;004222BC&quot;/&gt;&lt;wsp:rsid wsp:val=&quot;0042246F&quot;/&gt;&lt;wsp:rsid wsp:val=&quot;0042254A&quot;/&gt;&lt;wsp:rsid wsp:val=&quot;004226C6&quot;/&gt;&lt;wsp:rsid wsp:val=&quot;00423131&quot;/&gt;&lt;wsp:rsid wsp:val=&quot;004231CD&quot;/&gt;&lt;wsp:rsid wsp:val=&quot;0042336E&quot;/&gt;&lt;wsp:rsid wsp:val=&quot;004235E3&quot;/&gt;&lt;wsp:rsid wsp:val=&quot;0042363D&quot;/&gt;&lt;wsp:rsid wsp:val=&quot;004239C9&quot;/&gt;&lt;wsp:rsid wsp:val=&quot;00423A53&quot;/&gt;&lt;wsp:rsid wsp:val=&quot;00423A76&quot;/&gt;&lt;wsp:rsid wsp:val=&quot;00423D50&quot;/&gt;&lt;wsp:rsid wsp:val=&quot;004241ED&quot;/&gt;&lt;wsp:rsid wsp:val=&quot;00424519&quot;/&gt;&lt;wsp:rsid wsp:val=&quot;0042456A&quot;/&gt;&lt;wsp:rsid wsp:val=&quot;004245B7&quot;/&gt;&lt;wsp:rsid wsp:val=&quot;004245FB&quot;/&gt;&lt;wsp:rsid wsp:val=&quot;004246BC&quot;/&gt;&lt;wsp:rsid wsp:val=&quot;00424963&quot;/&gt;&lt;wsp:rsid wsp:val=&quot;00424B64&quot;/&gt;&lt;wsp:rsid wsp:val=&quot;00424C00&quot;/&gt;&lt;wsp:rsid wsp:val=&quot;00424C21&quot;/&gt;&lt;wsp:rsid wsp:val=&quot;00424D0D&quot;/&gt;&lt;wsp:rsid wsp:val=&quot;00424DD2&quot;/&gt;&lt;wsp:rsid wsp:val=&quot;00425094&quot;/&gt;&lt;wsp:rsid wsp:val=&quot;0042515C&quot;/&gt;&lt;wsp:rsid wsp:val=&quot;00425270&quot;/&gt;&lt;wsp:rsid wsp:val=&quot;004253EE&quot;/&gt;&lt;wsp:rsid wsp:val=&quot;0042541A&quot;/&gt;&lt;wsp:rsid wsp:val=&quot;0042550D&quot;/&gt;&lt;wsp:rsid wsp:val=&quot;00425A02&quot;/&gt;&lt;wsp:rsid wsp:val=&quot;00425A50&quot;/&gt;&lt;wsp:rsid wsp:val=&quot;00425C7D&quot;/&gt;&lt;wsp:rsid wsp:val=&quot;00425D5A&quot;/&gt;&lt;wsp:rsid wsp:val=&quot;00425D68&quot;/&gt;&lt;wsp:rsid wsp:val=&quot;00425F14&quot;/&gt;&lt;wsp:rsid wsp:val=&quot;0042624D&quot;/&gt;&lt;wsp:rsid wsp:val=&quot;00426315&quot;/&gt;&lt;wsp:rsid wsp:val=&quot;0042638F&quot;/&gt;&lt;wsp:rsid wsp:val=&quot;00426442&quot;/&gt;&lt;wsp:rsid wsp:val=&quot;00426BBD&quot;/&gt;&lt;wsp:rsid wsp:val=&quot;0042709C&quot;/&gt;&lt;wsp:rsid wsp:val=&quot;00427296&quot;/&gt;&lt;wsp:rsid wsp:val=&quot;004272FB&quot;/&gt;&lt;wsp:rsid wsp:val=&quot;004275BB&quot;/&gt;&lt;wsp:rsid wsp:val=&quot;0042772A&quot;/&gt;&lt;wsp:rsid wsp:val=&quot;0042774D&quot;/&gt;&lt;wsp:rsid wsp:val=&quot;00427884&quot;/&gt;&lt;wsp:rsid wsp:val=&quot;004278BD&quot;/&gt;&lt;wsp:rsid wsp:val=&quot;004278DF&quot;/&gt;&lt;wsp:rsid wsp:val=&quot;00427AD1&quot;/&gt;&lt;wsp:rsid wsp:val=&quot;00427C47&quot;/&gt;&lt;wsp:rsid wsp:val=&quot;00427FF2&quot;/&gt;&lt;wsp:rsid wsp:val=&quot;00430229&quot;/&gt;&lt;wsp:rsid wsp:val=&quot;004306C2&quot;/&gt;&lt;wsp:rsid wsp:val=&quot;00430A2D&quot;/&gt;&lt;wsp:rsid wsp:val=&quot;00430A79&quot;/&gt;&lt;wsp:rsid wsp:val=&quot;00430AC3&quot;/&gt;&lt;wsp:rsid wsp:val=&quot;00430AD8&quot;/&gt;&lt;wsp:rsid wsp:val=&quot;00430C3C&quot;/&gt;&lt;wsp:rsid wsp:val=&quot;00430DFB&quot;/&gt;&lt;wsp:rsid wsp:val=&quot;00430F78&quot;/&gt;&lt;wsp:rsid wsp:val=&quot;00431236&quot;/&gt;&lt;wsp:rsid wsp:val=&quot;0043148D&quot;/&gt;&lt;wsp:rsid wsp:val=&quot;00431673&quot;/&gt;&lt;wsp:rsid wsp:val=&quot;004318EE&quot;/&gt;&lt;wsp:rsid wsp:val=&quot;004319E4&quot;/&gt;&lt;wsp:rsid wsp:val=&quot;00431CC5&quot;/&gt;&lt;wsp:rsid wsp:val=&quot;00431DD2&quot;/&gt;&lt;wsp:rsid wsp:val=&quot;00431E2E&quot;/&gt;&lt;wsp:rsid wsp:val=&quot;00431F8A&quot;/&gt;&lt;wsp:rsid wsp:val=&quot;00431FA0&quot;/&gt;&lt;wsp:rsid wsp:val=&quot;0043222A&quot;/&gt;&lt;wsp:rsid wsp:val=&quot;004322EB&quot;/&gt;&lt;wsp:rsid wsp:val=&quot;004323FF&quot;/&gt;&lt;wsp:rsid wsp:val=&quot;0043244D&quot;/&gt;&lt;wsp:rsid wsp:val=&quot;004324BD&quot;/&gt;&lt;wsp:rsid wsp:val=&quot;0043254D&quot;/&gt;&lt;wsp:rsid wsp:val=&quot;004325EA&quot;/&gt;&lt;wsp:rsid wsp:val=&quot;004326D5&quot;/&gt;&lt;wsp:rsid wsp:val=&quot;004326EC&quot;/&gt;&lt;wsp:rsid wsp:val=&quot;0043276E&quot;/&gt;&lt;wsp:rsid wsp:val=&quot;00432D2C&quot;/&gt;&lt;wsp:rsid wsp:val=&quot;00432E30&quot;/&gt;&lt;wsp:rsid wsp:val=&quot;004331BD&quot;/&gt;&lt;wsp:rsid wsp:val=&quot;004331ED&quot;/&gt;&lt;wsp:rsid wsp:val=&quot;0043324B&quot;/&gt;&lt;wsp:rsid wsp:val=&quot;004334CF&quot;/&gt;&lt;wsp:rsid wsp:val=&quot;004335A1&quot;/&gt;&lt;wsp:rsid wsp:val=&quot;0043367D&quot;/&gt;&lt;wsp:rsid wsp:val=&quot;00433811&quot;/&gt;&lt;wsp:rsid wsp:val=&quot;004339FF&quot;/&gt;&lt;wsp:rsid wsp:val=&quot;00433B61&quot;/&gt;&lt;wsp:rsid wsp:val=&quot;00433BB2&quot;/&gt;&lt;wsp:rsid wsp:val=&quot;00433F2F&quot;/&gt;&lt;wsp:rsid wsp:val=&quot;00434380&quot;/&gt;&lt;wsp:rsid wsp:val=&quot;004349E6&quot;/&gt;&lt;wsp:rsid wsp:val=&quot;00434A4B&quot;/&gt;&lt;wsp:rsid wsp:val=&quot;00434B67&quot;/&gt;&lt;wsp:rsid wsp:val=&quot;00434B96&quot;/&gt;&lt;wsp:rsid wsp:val=&quot;0043500A&quot;/&gt;&lt;wsp:rsid wsp:val=&quot;004354F4&quot;/&gt;&lt;wsp:rsid wsp:val=&quot;004357EE&quot;/&gt;&lt;wsp:rsid wsp:val=&quot;004357F2&quot;/&gt;&lt;wsp:rsid wsp:val=&quot;00435A48&quot;/&gt;&lt;wsp:rsid wsp:val=&quot;004363D9&quot;/&gt;&lt;wsp:rsid wsp:val=&quot;00436401&quot;/&gt;&lt;wsp:rsid wsp:val=&quot;00436468&quot;/&gt;&lt;wsp:rsid wsp:val=&quot;004365AD&quot;/&gt;&lt;wsp:rsid wsp:val=&quot;0043684B&quot;/&gt;&lt;wsp:rsid wsp:val=&quot;00436874&quot;/&gt;&lt;wsp:rsid wsp:val=&quot;004368FF&quot;/&gt;&lt;wsp:rsid wsp:val=&quot;00436A82&quot;/&gt;&lt;wsp:rsid wsp:val=&quot;00436E0F&quot;/&gt;&lt;wsp:rsid wsp:val=&quot;00436FB0&quot;/&gt;&lt;wsp:rsid wsp:val=&quot;004374F4&quot;/&gt;&lt;wsp:rsid wsp:val=&quot;004376F9&quot;/&gt;&lt;wsp:rsid wsp:val=&quot;004377DE&quot;/&gt;&lt;wsp:rsid wsp:val=&quot;00440001&quot;/&gt;&lt;wsp:rsid wsp:val=&quot;0044045C&quot;/&gt;&lt;wsp:rsid wsp:val=&quot;004404E9&quot;/&gt;&lt;wsp:rsid wsp:val=&quot;004407B3&quot;/&gt;&lt;wsp:rsid wsp:val=&quot;00440BB3&quot;/&gt;&lt;wsp:rsid wsp:val=&quot;00440CE6&quot;/&gt;&lt;wsp:rsid wsp:val=&quot;00440D82&quot;/&gt;&lt;wsp:rsid wsp:val=&quot;00440DDC&quot;/&gt;&lt;wsp:rsid wsp:val=&quot;00440E13&quot;/&gt;&lt;wsp:rsid wsp:val=&quot;004410DC&quot;/&gt;&lt;wsp:rsid wsp:val=&quot;0044116C&quot;/&gt;&lt;wsp:rsid wsp:val=&quot;0044147F&quot;/&gt;&lt;wsp:rsid wsp:val=&quot;0044150D&quot;/&gt;&lt;wsp:rsid wsp:val=&quot;00441C7E&quot;/&gt;&lt;wsp:rsid wsp:val=&quot;0044209A&quot;/&gt;&lt;wsp:rsid wsp:val=&quot;00442242&quot;/&gt;&lt;wsp:rsid wsp:val=&quot;0044234C&quot;/&gt;&lt;wsp:rsid wsp:val=&quot;004424EF&quot;/&gt;&lt;wsp:rsid wsp:val=&quot;00442D56&quot;/&gt;&lt;wsp:rsid wsp:val=&quot;004431DD&quot;/&gt;&lt;wsp:rsid wsp:val=&quot;00443582&quot;/&gt;&lt;wsp:rsid wsp:val=&quot;004436DD&quot;/&gt;&lt;wsp:rsid wsp:val=&quot;00443908&quot;/&gt;&lt;wsp:rsid wsp:val=&quot;004439BE&quot;/&gt;&lt;wsp:rsid wsp:val=&quot;004439E7&quot;/&gt;&lt;wsp:rsid wsp:val=&quot;00443AC4&quot;/&gt;&lt;wsp:rsid wsp:val=&quot;00443EDD&quot;/&gt;&lt;wsp:rsid wsp:val=&quot;00444072&quot;/&gt;&lt;wsp:rsid wsp:val=&quot;00444292&quot;/&gt;&lt;wsp:rsid wsp:val=&quot;004443A0&quot;/&gt;&lt;wsp:rsid wsp:val=&quot;00444592&quot;/&gt;&lt;wsp:rsid wsp:val=&quot;0044469A&quot;/&gt;&lt;wsp:rsid wsp:val=&quot;00444827&quot;/&gt;&lt;wsp:rsid wsp:val=&quot;004448AF&quot;/&gt;&lt;wsp:rsid wsp:val=&quot;00444AD4&quot;/&gt;&lt;wsp:rsid wsp:val=&quot;00444C5E&quot;/&gt;&lt;wsp:rsid wsp:val=&quot;00444D33&quot;/&gt;&lt;wsp:rsid wsp:val=&quot;00444E05&quot;/&gt;&lt;wsp:rsid wsp:val=&quot;00445196&quot;/&gt;&lt;wsp:rsid wsp:val=&quot;004454F8&quot;/&gt;&lt;wsp:rsid wsp:val=&quot;00445588&quot;/&gt;&lt;wsp:rsid wsp:val=&quot;00445757&quot;/&gt;&lt;wsp:rsid wsp:val=&quot;00445A88&quot;/&gt;&lt;wsp:rsid wsp:val=&quot;00445C1F&quot;/&gt;&lt;wsp:rsid wsp:val=&quot;00445C93&quot;/&gt;&lt;wsp:rsid wsp:val=&quot;0044675B&quot;/&gt;&lt;wsp:rsid wsp:val=&quot;00446D0D&quot;/&gt;&lt;wsp:rsid wsp:val=&quot;00446D4A&quot;/&gt;&lt;wsp:rsid wsp:val=&quot;00446FBA&quot;/&gt;&lt;wsp:rsid wsp:val=&quot;0044705D&quot;/&gt;&lt;wsp:rsid wsp:val=&quot;004474D4&quot;/&gt;&lt;wsp:rsid wsp:val=&quot;00447698&quot;/&gt;&lt;wsp:rsid wsp:val=&quot;00447751&quot;/&gt;&lt;wsp:rsid wsp:val=&quot;00447E08&quot;/&gt;&lt;wsp:rsid wsp:val=&quot;00450040&quot;/&gt;&lt;wsp:rsid wsp:val=&quot;004505D3&quot;/&gt;&lt;wsp:rsid wsp:val=&quot;004505F9&quot;/&gt;&lt;wsp:rsid wsp:val=&quot;004509F2&quot;/&gt;&lt;wsp:rsid wsp:val=&quot;00450F8A&quot;/&gt;&lt;wsp:rsid wsp:val=&quot;004510BF&quot;/&gt;&lt;wsp:rsid wsp:val=&quot;004510CB&quot;/&gt;&lt;wsp:rsid wsp:val=&quot;00451182&quot;/&gt;&lt;wsp:rsid wsp:val=&quot;004515FE&quot;/&gt;&lt;wsp:rsid wsp:val=&quot;00451673&quot;/&gt;&lt;wsp:rsid wsp:val=&quot;00451978&quot;/&gt;&lt;wsp:rsid wsp:val=&quot;004519AB&quot;/&gt;&lt;wsp:rsid wsp:val=&quot;00451ACB&quot;/&gt;&lt;wsp:rsid wsp:val=&quot;00451C05&quot;/&gt;&lt;wsp:rsid wsp:val=&quot;00451C7B&quot;/&gt;&lt;wsp:rsid wsp:val=&quot;00452234&quot;/&gt;&lt;wsp:rsid wsp:val=&quot;00452505&quot;/&gt;&lt;wsp:rsid wsp:val=&quot;0045258B&quot;/&gt;&lt;wsp:rsid wsp:val=&quot;00452637&quot;/&gt;&lt;wsp:rsid wsp:val=&quot;004529E4&quot;/&gt;&lt;wsp:rsid wsp:val=&quot;00452A5A&quot;/&gt;&lt;wsp:rsid wsp:val=&quot;00452D34&quot;/&gt;&lt;wsp:rsid wsp:val=&quot;00452D76&quot;/&gt;&lt;wsp:rsid wsp:val=&quot;00452E5B&quot;/&gt;&lt;wsp:rsid wsp:val=&quot;00452E64&quot;/&gt;&lt;wsp:rsid wsp:val=&quot;00453158&quot;/&gt;&lt;wsp:rsid wsp:val=&quot;0045343A&quot;/&gt;&lt;wsp:rsid wsp:val=&quot;004534AC&quot;/&gt;&lt;wsp:rsid wsp:val=&quot;00453874&quot;/&gt;&lt;wsp:rsid wsp:val=&quot;00453D1F&quot;/&gt;&lt;wsp:rsid wsp:val=&quot;00453D34&quot;/&gt;&lt;wsp:rsid wsp:val=&quot;00453EB2&quot;/&gt;&lt;wsp:rsid wsp:val=&quot;00453F5B&quot;/&gt;&lt;wsp:rsid wsp:val=&quot;00453FFC&quot;/&gt;&lt;wsp:rsid wsp:val=&quot;0045413A&quot;/&gt;&lt;wsp:rsid wsp:val=&quot;004543DF&quot;/&gt;&lt;wsp:rsid wsp:val=&quot;00454804&quot;/&gt;&lt;wsp:rsid wsp:val=&quot;00454873&quot;/&gt;&lt;wsp:rsid wsp:val=&quot;004549A3&quot;/&gt;&lt;wsp:rsid wsp:val=&quot;00454A04&quot;/&gt;&lt;wsp:rsid wsp:val=&quot;00454BD6&quot;/&gt;&lt;wsp:rsid wsp:val=&quot;00454C04&quot;/&gt;&lt;wsp:rsid wsp:val=&quot;00454DC7&quot;/&gt;&lt;wsp:rsid wsp:val=&quot;0045509C&quot;/&gt;&lt;wsp:rsid wsp:val=&quot;00455200&quot;/&gt;&lt;wsp:rsid wsp:val=&quot;0045532E&quot;/&gt;&lt;wsp:rsid wsp:val=&quot;00455344&quot;/&gt;&lt;wsp:rsid wsp:val=&quot;004555B2&quot;/&gt;&lt;wsp:rsid wsp:val=&quot;004557EA&quot;/&gt;&lt;wsp:rsid wsp:val=&quot;0045586D&quot;/&gt;&lt;wsp:rsid wsp:val=&quot;004558F2&quot;/&gt;&lt;wsp:rsid wsp:val=&quot;00455993&quot;/&gt;&lt;wsp:rsid wsp:val=&quot;004559AC&quot;/&gt;&lt;wsp:rsid wsp:val=&quot;00455AC7&quot;/&gt;&lt;wsp:rsid wsp:val=&quot;00455C69&quot;/&gt;&lt;wsp:rsid wsp:val=&quot;00455DC9&quot;/&gt;&lt;wsp:rsid wsp:val=&quot;00456410&quot;/&gt;&lt;wsp:rsid wsp:val=&quot;00456505&quot;/&gt;&lt;wsp:rsid wsp:val=&quot;0045656E&quot;/&gt;&lt;wsp:rsid wsp:val=&quot;004567B8&quot;/&gt;&lt;wsp:rsid wsp:val=&quot;004567F0&quot;/&gt;&lt;wsp:rsid wsp:val=&quot;00456877&quot;/&gt;&lt;wsp:rsid wsp:val=&quot;00456A4B&quot;/&gt;&lt;wsp:rsid wsp:val=&quot;00456AA6&quot;/&gt;&lt;wsp:rsid wsp:val=&quot;004572CF&quot;/&gt;&lt;wsp:rsid wsp:val=&quot;0045747B&quot;/&gt;&lt;wsp:rsid wsp:val=&quot;0045760A&quot;/&gt;&lt;wsp:rsid wsp:val=&quot;00457925&quot;/&gt;&lt;wsp:rsid wsp:val=&quot;00457962&quot;/&gt;&lt;wsp:rsid wsp:val=&quot;004579F9&quot;/&gt;&lt;wsp:rsid wsp:val=&quot;00457B3F&quot;/&gt;&lt;wsp:rsid wsp:val=&quot;00457C0E&quot;/&gt;&lt;wsp:rsid wsp:val=&quot;00457CD3&quot;/&gt;&lt;wsp:rsid wsp:val=&quot;00457F43&quot;/&gt;&lt;wsp:rsid wsp:val=&quot;004603AE&quot;/&gt;&lt;wsp:rsid wsp:val=&quot;00460594&quot;/&gt;&lt;wsp:rsid wsp:val=&quot;00460B11&quot;/&gt;&lt;wsp:rsid wsp:val=&quot;00460C32&quot;/&gt;&lt;wsp:rsid wsp:val=&quot;00460C3F&quot;/&gt;&lt;wsp:rsid wsp:val=&quot;00460D38&quot;/&gt;&lt;wsp:rsid wsp:val=&quot;004613D0&quot;/&gt;&lt;wsp:rsid wsp:val=&quot;0046142A&quot;/&gt;&lt;wsp:rsid wsp:val=&quot;0046150F&quot;/&gt;&lt;wsp:rsid wsp:val=&quot;00461985&quot;/&gt;&lt;wsp:rsid wsp:val=&quot;00461A5F&quot;/&gt;&lt;wsp:rsid wsp:val=&quot;00461DD2&quot;/&gt;&lt;wsp:rsid wsp:val=&quot;00462120&quot;/&gt;&lt;wsp:rsid wsp:val=&quot;0046212E&quot;/&gt;&lt;wsp:rsid wsp:val=&quot;00462273&quot;/&gt;&lt;wsp:rsid wsp:val=&quot;004624C3&quot;/&gt;&lt;wsp:rsid wsp:val=&quot;0046268E&quot;/&gt;&lt;wsp:rsid wsp:val=&quot;00462762&quot;/&gt;&lt;wsp:rsid wsp:val=&quot;0046278B&quot;/&gt;&lt;wsp:rsid wsp:val=&quot;004627ED&quot;/&gt;&lt;wsp:rsid wsp:val=&quot;00462944&quot;/&gt;&lt;wsp:rsid wsp:val=&quot;00462A86&quot;/&gt;&lt;wsp:rsid wsp:val=&quot;00462CD7&quot;/&gt;&lt;wsp:rsid wsp:val=&quot;00462EAE&quot;/&gt;&lt;wsp:rsid wsp:val=&quot;00462F83&quot;/&gt;&lt;wsp:rsid wsp:val=&quot;004635DE&quot;/&gt;&lt;wsp:rsid wsp:val=&quot;00463675&quot;/&gt;&lt;wsp:rsid wsp:val=&quot;0046383D&quot;/&gt;&lt;wsp:rsid wsp:val=&quot;00463BA5&quot;/&gt;&lt;wsp:rsid wsp:val=&quot;00463C41&quot;/&gt;&lt;wsp:rsid wsp:val=&quot;00463C6B&quot;/&gt;&lt;wsp:rsid wsp:val=&quot;004644FA&quot;/&gt;&lt;wsp:rsid wsp:val=&quot;0046479B&quot;/&gt;&lt;wsp:rsid wsp:val=&quot;00464D6F&quot;/&gt;&lt;wsp:rsid wsp:val=&quot;00464E0B&quot;/&gt;&lt;wsp:rsid wsp:val=&quot;0046550B&quot;/&gt;&lt;wsp:rsid wsp:val=&quot;00465665&quot;/&gt;&lt;wsp:rsid wsp:val=&quot;00465B12&quot;/&gt;&lt;wsp:rsid wsp:val=&quot;00465BB9&quot;/&gt;&lt;wsp:rsid wsp:val=&quot;00465D41&quot;/&gt;&lt;wsp:rsid wsp:val=&quot;00465E9C&quot;/&gt;&lt;wsp:rsid wsp:val=&quot;00465EA2&quot;/&gt;&lt;wsp:rsid wsp:val=&quot;00466115&quot;/&gt;&lt;wsp:rsid wsp:val=&quot;004662A3&quot;/&gt;&lt;wsp:rsid wsp:val=&quot;004667D1&quot;/&gt;&lt;wsp:rsid wsp:val=&quot;0046688F&quot;/&gt;&lt;wsp:rsid wsp:val=&quot;00466D1A&quot;/&gt;&lt;wsp:rsid wsp:val=&quot;00467262&quot;/&gt;&lt;wsp:rsid wsp:val=&quot;0046729A&quot;/&gt;&lt;wsp:rsid wsp:val=&quot;004672A6&quot;/&gt;&lt;wsp:rsid wsp:val=&quot;004672F9&quot;/&gt;&lt;wsp:rsid wsp:val=&quot;004673F8&quot;/&gt;&lt;wsp:rsid wsp:val=&quot;004674A1&quot;/&gt;&lt;wsp:rsid wsp:val=&quot;004678A5&quot;/&gt;&lt;wsp:rsid wsp:val=&quot;004679B6&quot;/&gt;&lt;wsp:rsid wsp:val=&quot;00467C56&quot;/&gt;&lt;wsp:rsid wsp:val=&quot;0047054D&quot;/&gt;&lt;wsp:rsid wsp:val=&quot;00470586&quot;/&gt;&lt;wsp:rsid wsp:val=&quot;004709D9&quot;/&gt;&lt;wsp:rsid wsp:val=&quot;00471AE1&quot;/&gt;&lt;wsp:rsid wsp:val=&quot;00471D8D&quot;/&gt;&lt;wsp:rsid wsp:val=&quot;00471DC5&quot;/&gt;&lt;wsp:rsid wsp:val=&quot;00471E91&quot;/&gt;&lt;wsp:rsid wsp:val=&quot;004722C7&quot;/&gt;&lt;wsp:rsid wsp:val=&quot;00472316&quot;/&gt;&lt;wsp:rsid wsp:val=&quot;004724E6&quot;/&gt;&lt;wsp:rsid wsp:val=&quot;004727D5&quot;/&gt;&lt;wsp:rsid wsp:val=&quot;004733C6&quot;/&gt;&lt;wsp:rsid wsp:val=&quot;004734CE&quot;/&gt;&lt;wsp:rsid wsp:val=&quot;004734FC&quot;/&gt;&lt;wsp:rsid wsp:val=&quot;0047361B&quot;/&gt;&lt;wsp:rsid wsp:val=&quot;00473752&quot;/&gt;&lt;wsp:rsid wsp:val=&quot;004738DC&quot;/&gt;&lt;wsp:rsid wsp:val=&quot;004738F1&quot;/&gt;&lt;wsp:rsid wsp:val=&quot;00473CBC&quot;/&gt;&lt;wsp:rsid wsp:val=&quot;00473F84&quot;/&gt;&lt;wsp:rsid wsp:val=&quot;00473F8F&quot;/&gt;&lt;wsp:rsid wsp:val=&quot;0047404B&quot;/&gt;&lt;wsp:rsid wsp:val=&quot;00474230&quot;/&gt;&lt;wsp:rsid wsp:val=&quot;00474404&quot;/&gt;&lt;wsp:rsid wsp:val=&quot;0047471D&quot;/&gt;&lt;wsp:rsid wsp:val=&quot;004748CA&quot;/&gt;&lt;wsp:rsid wsp:val=&quot;00474BE4&quot;/&gt;&lt;wsp:rsid wsp:val=&quot;00474CF3&quot;/&gt;&lt;wsp:rsid wsp:val=&quot;00475579&quot;/&gt;&lt;wsp:rsid wsp:val=&quot;004755BB&quot;/&gt;&lt;wsp:rsid wsp:val=&quot;0047573D&quot;/&gt;&lt;wsp:rsid wsp:val=&quot;0047634C&quot;/&gt;&lt;wsp:rsid wsp:val=&quot;00476581&quot;/&gt;&lt;wsp:rsid wsp:val=&quot;00476702&quot;/&gt;&lt;wsp:rsid wsp:val=&quot;00476960&quot;/&gt;&lt;wsp:rsid wsp:val=&quot;00476A17&quot;/&gt;&lt;wsp:rsid wsp:val=&quot;00476EBD&quot;/&gt;&lt;wsp:rsid wsp:val=&quot;00476FC7&quot;/&gt;&lt;wsp:rsid wsp:val=&quot;00477314&quot;/&gt;&lt;wsp:rsid wsp:val=&quot;0047742D&quot;/&gt;&lt;wsp:rsid wsp:val=&quot;004777BD&quot;/&gt;&lt;wsp:rsid wsp:val=&quot;0048018A&quot;/&gt;&lt;wsp:rsid wsp:val=&quot;004802F4&quot;/&gt;&lt;wsp:rsid wsp:val=&quot;0048037E&quot;/&gt;&lt;wsp:rsid wsp:val=&quot;00480D16&quot;/&gt;&lt;wsp:rsid wsp:val=&quot;00481073&quot;/&gt;&lt;wsp:rsid wsp:val=&quot;004811E9&quot;/&gt;&lt;wsp:rsid wsp:val=&quot;00481473&quot;/&gt;&lt;wsp:rsid wsp:val=&quot;004815D0&quot;/&gt;&lt;wsp:rsid wsp:val=&quot;00481707&quot;/&gt;&lt;wsp:rsid wsp:val=&quot;00481778&quot;/&gt;&lt;wsp:rsid wsp:val=&quot;00481902&quot;/&gt;&lt;wsp:rsid wsp:val=&quot;00481E47&quot;/&gt;&lt;wsp:rsid wsp:val=&quot;00481E66&quot;/&gt;&lt;wsp:rsid wsp:val=&quot;004822A5&quot;/&gt;&lt;wsp:rsid wsp:val=&quot;00482454&quot;/&gt;&lt;wsp:rsid wsp:val=&quot;004825B4&quot;/&gt;&lt;wsp:rsid wsp:val=&quot;00482600&quot;/&gt;&lt;wsp:rsid wsp:val=&quot;00482659&quot;/&gt;&lt;wsp:rsid wsp:val=&quot;00482734&quot;/&gt;&lt;wsp:rsid wsp:val=&quot;004828AA&quot;/&gt;&lt;wsp:rsid wsp:val=&quot;00482BDF&quot;/&gt;&lt;wsp:rsid wsp:val=&quot;00482C1B&quot;/&gt;&lt;wsp:rsid wsp:val=&quot;00482C27&quot;/&gt;&lt;wsp:rsid wsp:val=&quot;00482C58&quot;/&gt;&lt;wsp:rsid wsp:val=&quot;004835CC&quot;/&gt;&lt;wsp:rsid wsp:val=&quot;004836FA&quot;/&gt;&lt;wsp:rsid wsp:val=&quot;00483DA3&quot;/&gt;&lt;wsp:rsid wsp:val=&quot;00484195&quot;/&gt;&lt;wsp:rsid wsp:val=&quot;004843CE&quot;/&gt;&lt;wsp:rsid wsp:val=&quot;0048453B&quot;/&gt;&lt;wsp:rsid wsp:val=&quot;004846CE&quot;/&gt;&lt;wsp:rsid wsp:val=&quot;00484733&quot;/&gt;&lt;wsp:rsid wsp:val=&quot;0048475C&quot;/&gt;&lt;wsp:rsid wsp:val=&quot;0048482A&quot;/&gt;&lt;wsp:rsid wsp:val=&quot;0048492E&quot;/&gt;&lt;wsp:rsid wsp:val=&quot;004849E9&quot;/&gt;&lt;wsp:rsid wsp:val=&quot;00484B07&quot;/&gt;&lt;wsp:rsid wsp:val=&quot;00484DC1&quot;/&gt;&lt;wsp:rsid wsp:val=&quot;00485177&quot;/&gt;&lt;wsp:rsid wsp:val=&quot;00485559&quot;/&gt;&lt;wsp:rsid wsp:val=&quot;00485883&quot;/&gt;&lt;wsp:rsid wsp:val=&quot;00485A30&quot;/&gt;&lt;wsp:rsid wsp:val=&quot;00485C89&quot;/&gt;&lt;wsp:rsid wsp:val=&quot;00485D3B&quot;/&gt;&lt;wsp:rsid wsp:val=&quot;00485E8F&quot;/&gt;&lt;wsp:rsid wsp:val=&quot;00486428&quot;/&gt;&lt;wsp:rsid wsp:val=&quot;004865E0&quot;/&gt;&lt;wsp:rsid wsp:val=&quot;00486853&quot;/&gt;&lt;wsp:rsid wsp:val=&quot;00486860&quot;/&gt;&lt;wsp:rsid wsp:val=&quot;004869F6&quot;/&gt;&lt;wsp:rsid wsp:val=&quot;004872F5&quot;/&gt;&lt;wsp:rsid wsp:val=&quot;0048752B&quot;/&gt;&lt;wsp:rsid wsp:val=&quot;00487611&quot;/&gt;&lt;wsp:rsid wsp:val=&quot;00487722&quot;/&gt;&lt;wsp:rsid wsp:val=&quot;00487899&quot;/&gt;&lt;wsp:rsid wsp:val=&quot;00487BEB&quot;/&gt;&lt;wsp:rsid wsp:val=&quot;00487E99&quot;/&gt;&lt;wsp:rsid wsp:val=&quot;00487FDC&quot;/&gt;&lt;wsp:rsid wsp:val=&quot;0049009C&quot;/&gt;&lt;wsp:rsid wsp:val=&quot;004900CE&quot;/&gt;&lt;wsp:rsid wsp:val=&quot;004902D4&quot;/&gt;&lt;wsp:rsid wsp:val=&quot;004907F9&quot;/&gt;&lt;wsp:rsid wsp:val=&quot;004908DB&quot;/&gt;&lt;wsp:rsid wsp:val=&quot;00490A8A&quot;/&gt;&lt;wsp:rsid wsp:val=&quot;00490A9B&quot;/&gt;&lt;wsp:rsid wsp:val=&quot;00490C6B&quot;/&gt;&lt;wsp:rsid wsp:val=&quot;00490CAA&quot;/&gt;&lt;wsp:rsid wsp:val=&quot;0049108B&quot;/&gt;&lt;wsp:rsid wsp:val=&quot;004911E7&quot;/&gt;&lt;wsp:rsid wsp:val=&quot;004915EB&quot;/&gt;&lt;wsp:rsid wsp:val=&quot;00491819&quot;/&gt;&lt;wsp:rsid wsp:val=&quot;00491D4E&quot;/&gt;&lt;wsp:rsid wsp:val=&quot;00491E06&quot;/&gt;&lt;wsp:rsid wsp:val=&quot;00492120&quot;/&gt;&lt;wsp:rsid wsp:val=&quot;004927DD&quot;/&gt;&lt;wsp:rsid wsp:val=&quot;00492A46&quot;/&gt;&lt;wsp:rsid wsp:val=&quot;00492A97&quot;/&gt;&lt;wsp:rsid wsp:val=&quot;00492F1D&quot;/&gt;&lt;wsp:rsid wsp:val=&quot;004933D6&quot;/&gt;&lt;wsp:rsid wsp:val=&quot;0049358F&quot;/&gt;&lt;wsp:rsid wsp:val=&quot;00493592&quot;/&gt;&lt;wsp:rsid wsp:val=&quot;00493614&quot;/&gt;&lt;wsp:rsid wsp:val=&quot;004940AE&quot;/&gt;&lt;wsp:rsid wsp:val=&quot;0049459B&quot;/&gt;&lt;wsp:rsid wsp:val=&quot;004949D7&quot;/&gt;&lt;wsp:rsid wsp:val=&quot;00494E20&quot;/&gt;&lt;wsp:rsid wsp:val=&quot;00494E7B&quot;/&gt;&lt;wsp:rsid wsp:val=&quot;00494FB7&quot;/&gt;&lt;wsp:rsid wsp:val=&quot;00495398&quot;/&gt;&lt;wsp:rsid wsp:val=&quot;00495415&quot;/&gt;&lt;wsp:rsid wsp:val=&quot;00495485&quot;/&gt;&lt;wsp:rsid wsp:val=&quot;00495488&quot;/&gt;&lt;wsp:rsid wsp:val=&quot;00495641&quot;/&gt;&lt;wsp:rsid wsp:val=&quot;004956EE&quot;/&gt;&lt;wsp:rsid wsp:val=&quot;004959F6&quot;/&gt;&lt;wsp:rsid wsp:val=&quot;00495E89&quot;/&gt;&lt;wsp:rsid wsp:val=&quot;00495EDC&quot;/&gt;&lt;wsp:rsid wsp:val=&quot;00495FFA&quot;/&gt;&lt;wsp:rsid wsp:val=&quot;00495FFF&quot;/&gt;&lt;wsp:rsid wsp:val=&quot;00496070&quot;/&gt;&lt;wsp:rsid wsp:val=&quot;00496152&quot;/&gt;&lt;wsp:rsid wsp:val=&quot;00496217&quot;/&gt;&lt;wsp:rsid wsp:val=&quot;0049627C&quot;/&gt;&lt;wsp:rsid wsp:val=&quot;0049638A&quot;/&gt;&lt;wsp:rsid wsp:val=&quot;0049649F&quot;/&gt;&lt;wsp:rsid wsp:val=&quot;004965D1&quot;/&gt;&lt;wsp:rsid wsp:val=&quot;0049667B&quot;/&gt;&lt;wsp:rsid wsp:val=&quot;004969F5&quot;/&gt;&lt;wsp:rsid wsp:val=&quot;00496A85&quot;/&gt;&lt;wsp:rsid wsp:val=&quot;00496D8D&quot;/&gt;&lt;wsp:rsid wsp:val=&quot;004974CA&quot;/&gt;&lt;wsp:rsid wsp:val=&quot;0049753A&quot;/&gt;&lt;wsp:rsid wsp:val=&quot;00497C26&quot;/&gt;&lt;wsp:rsid wsp:val=&quot;00497C62&quot;/&gt;&lt;wsp:rsid wsp:val=&quot;00497F05&quot;/&gt;&lt;wsp:rsid wsp:val=&quot;004A060C&quot;/&gt;&lt;wsp:rsid wsp:val=&quot;004A07B1&quot;/&gt;&lt;wsp:rsid wsp:val=&quot;004A0846&quot;/&gt;&lt;wsp:rsid wsp:val=&quot;004A0905&quot;/&gt;&lt;wsp:rsid wsp:val=&quot;004A0B59&quot;/&gt;&lt;wsp:rsid wsp:val=&quot;004A0CAC&quot;/&gt;&lt;wsp:rsid wsp:val=&quot;004A1388&quot;/&gt;&lt;wsp:rsid wsp:val=&quot;004A13F1&quot;/&gt;&lt;wsp:rsid wsp:val=&quot;004A16DC&quot;/&gt;&lt;wsp:rsid wsp:val=&quot;004A2257&quot;/&gt;&lt;wsp:rsid wsp:val=&quot;004A2406&quot;/&gt;&lt;wsp:rsid wsp:val=&quot;004A272A&quot;/&gt;&lt;wsp:rsid wsp:val=&quot;004A272C&quot;/&gt;&lt;wsp:rsid wsp:val=&quot;004A2871&quot;/&gt;&lt;wsp:rsid wsp:val=&quot;004A28DE&quot;/&gt;&lt;wsp:rsid wsp:val=&quot;004A2F37&quot;/&gt;&lt;wsp:rsid wsp:val=&quot;004A34BD&quot;/&gt;&lt;wsp:rsid wsp:val=&quot;004A382E&quot;/&gt;&lt;wsp:rsid wsp:val=&quot;004A3BDF&quot;/&gt;&lt;wsp:rsid wsp:val=&quot;004A3C92&quot;/&gt;&lt;wsp:rsid wsp:val=&quot;004A3EA9&quot;/&gt;&lt;wsp:rsid wsp:val=&quot;004A4064&quot;/&gt;&lt;wsp:rsid wsp:val=&quot;004A41D2&quot;/&gt;&lt;wsp:rsid wsp:val=&quot;004A42E7&quot;/&gt;&lt;wsp:rsid wsp:val=&quot;004A465F&quot;/&gt;&lt;wsp:rsid wsp:val=&quot;004A46F2&quot;/&gt;&lt;wsp:rsid wsp:val=&quot;004A5036&quot;/&gt;&lt;wsp:rsid wsp:val=&quot;004A506C&quot;/&gt;&lt;wsp:rsid wsp:val=&quot;004A5B07&quot;/&gt;&lt;wsp:rsid wsp:val=&quot;004A5B8B&quot;/&gt;&lt;wsp:rsid wsp:val=&quot;004A64EB&quot;/&gt;&lt;wsp:rsid wsp:val=&quot;004A664B&quot;/&gt;&lt;wsp:rsid wsp:val=&quot;004A6D0C&quot;/&gt;&lt;wsp:rsid wsp:val=&quot;004A6F5C&quot;/&gt;&lt;wsp:rsid wsp:val=&quot;004A6FD7&quot;/&gt;&lt;wsp:rsid wsp:val=&quot;004A76BE&quot;/&gt;&lt;wsp:rsid wsp:val=&quot;004A779F&quot;/&gt;&lt;wsp:rsid wsp:val=&quot;004A7B05&quot;/&gt;&lt;wsp:rsid wsp:val=&quot;004A7D31&quot;/&gt;&lt;wsp:rsid wsp:val=&quot;004B01E9&quot;/&gt;&lt;wsp:rsid wsp:val=&quot;004B0233&quot;/&gt;&lt;wsp:rsid wsp:val=&quot;004B0290&quot;/&gt;&lt;wsp:rsid wsp:val=&quot;004B0583&quot;/&gt;&lt;wsp:rsid wsp:val=&quot;004B06AA&quot;/&gt;&lt;wsp:rsid wsp:val=&quot;004B0DF5&quot;/&gt;&lt;wsp:rsid wsp:val=&quot;004B10E8&quot;/&gt;&lt;wsp:rsid wsp:val=&quot;004B1231&quot;/&gt;&lt;wsp:rsid wsp:val=&quot;004B13D9&quot;/&gt;&lt;wsp:rsid wsp:val=&quot;004B142C&quot;/&gt;&lt;wsp:rsid wsp:val=&quot;004B1520&quot;/&gt;&lt;wsp:rsid wsp:val=&quot;004B164C&quot;/&gt;&lt;wsp:rsid wsp:val=&quot;004B19B9&quot;/&gt;&lt;wsp:rsid wsp:val=&quot;004B1B18&quot;/&gt;&lt;wsp:rsid wsp:val=&quot;004B1DF6&quot;/&gt;&lt;wsp:rsid wsp:val=&quot;004B1F29&quot;/&gt;&lt;wsp:rsid wsp:val=&quot;004B1FE0&quot;/&gt;&lt;wsp:rsid wsp:val=&quot;004B207A&quot;/&gt;&lt;wsp:rsid wsp:val=&quot;004B209D&quot;/&gt;&lt;wsp:rsid wsp:val=&quot;004B22BC&quot;/&gt;&lt;wsp:rsid wsp:val=&quot;004B2471&quot;/&gt;&lt;wsp:rsid wsp:val=&quot;004B2837&quot;/&gt;&lt;wsp:rsid wsp:val=&quot;004B2C54&quot;/&gt;&lt;wsp:rsid wsp:val=&quot;004B336D&quot;/&gt;&lt;wsp:rsid wsp:val=&quot;004B337D&quot;/&gt;&lt;wsp:rsid wsp:val=&quot;004B37BB&quot;/&gt;&lt;wsp:rsid wsp:val=&quot;004B4100&quot;/&gt;&lt;wsp:rsid wsp:val=&quot;004B4319&quot;/&gt;&lt;wsp:rsid wsp:val=&quot;004B44F7&quot;/&gt;&lt;wsp:rsid wsp:val=&quot;004B459C&quot;/&gt;&lt;wsp:rsid wsp:val=&quot;004B4892&quot;/&gt;&lt;wsp:rsid wsp:val=&quot;004B491C&quot;/&gt;&lt;wsp:rsid wsp:val=&quot;004B4A02&quot;/&gt;&lt;wsp:rsid wsp:val=&quot;004B4D49&quot;/&gt;&lt;wsp:rsid wsp:val=&quot;004B4DFD&quot;/&gt;&lt;wsp:rsid wsp:val=&quot;004B5209&quot;/&gt;&lt;wsp:rsid wsp:val=&quot;004B58AA&quot;/&gt;&lt;wsp:rsid wsp:val=&quot;004B5A15&quot;/&gt;&lt;wsp:rsid wsp:val=&quot;004B5FCC&quot;/&gt;&lt;wsp:rsid wsp:val=&quot;004B603F&quot;/&gt;&lt;wsp:rsid wsp:val=&quot;004B605C&quot;/&gt;&lt;wsp:rsid wsp:val=&quot;004B6068&quot;/&gt;&lt;wsp:rsid wsp:val=&quot;004B60B7&quot;/&gt;&lt;wsp:rsid wsp:val=&quot;004B6224&quot;/&gt;&lt;wsp:rsid wsp:val=&quot;004B6782&quot;/&gt;&lt;wsp:rsid wsp:val=&quot;004B6A4B&quot;/&gt;&lt;wsp:rsid wsp:val=&quot;004B6C27&quot;/&gt;&lt;wsp:rsid wsp:val=&quot;004B6C6A&quot;/&gt;&lt;wsp:rsid wsp:val=&quot;004B6D4A&quot;/&gt;&lt;wsp:rsid wsp:val=&quot;004B6E7C&quot;/&gt;&lt;wsp:rsid wsp:val=&quot;004B7295&quot;/&gt;&lt;wsp:rsid wsp:val=&quot;004B72FF&quot;/&gt;&lt;wsp:rsid wsp:val=&quot;004B75D0&quot;/&gt;&lt;wsp:rsid wsp:val=&quot;004B76C6&quot;/&gt;&lt;wsp:rsid wsp:val=&quot;004C0439&quot;/&gt;&lt;wsp:rsid wsp:val=&quot;004C050C&quot;/&gt;&lt;wsp:rsid wsp:val=&quot;004C051E&quot;/&gt;&lt;wsp:rsid wsp:val=&quot;004C0735&quot;/&gt;&lt;wsp:rsid wsp:val=&quot;004C0944&quot;/&gt;&lt;wsp:rsid wsp:val=&quot;004C0B11&quot;/&gt;&lt;wsp:rsid wsp:val=&quot;004C0B9C&quot;/&gt;&lt;wsp:rsid wsp:val=&quot;004C0D95&quot;/&gt;&lt;wsp:rsid wsp:val=&quot;004C0F15&quot;/&gt;&lt;wsp:rsid wsp:val=&quot;004C1018&quot;/&gt;&lt;wsp:rsid wsp:val=&quot;004C1617&quot;/&gt;&lt;wsp:rsid wsp:val=&quot;004C174C&quot;/&gt;&lt;wsp:rsid wsp:val=&quot;004C185D&quot;/&gt;&lt;wsp:rsid wsp:val=&quot;004C1D28&quot;/&gt;&lt;wsp:rsid wsp:val=&quot;004C1ED0&quot;/&gt;&lt;wsp:rsid wsp:val=&quot;004C1ED3&quot;/&gt;&lt;wsp:rsid wsp:val=&quot;004C21E3&quot;/&gt;&lt;wsp:rsid wsp:val=&quot;004C2224&quot;/&gt;&lt;wsp:rsid wsp:val=&quot;004C2724&quot;/&gt;&lt;wsp:rsid wsp:val=&quot;004C292C&quot;/&gt;&lt;wsp:rsid wsp:val=&quot;004C2D2B&quot;/&gt;&lt;wsp:rsid wsp:val=&quot;004C2F4F&quot;/&gt;&lt;wsp:rsid wsp:val=&quot;004C341C&quot;/&gt;&lt;wsp:rsid wsp:val=&quot;004C35E3&quot;/&gt;&lt;wsp:rsid wsp:val=&quot;004C3899&quot;/&gt;&lt;wsp:rsid wsp:val=&quot;004C4075&quot;/&gt;&lt;wsp:rsid wsp:val=&quot;004C4482&quot;/&gt;&lt;wsp:rsid wsp:val=&quot;004C4F4B&quot;/&gt;&lt;wsp:rsid wsp:val=&quot;004C5163&quot;/&gt;&lt;wsp:rsid wsp:val=&quot;004C5286&quot;/&gt;&lt;wsp:rsid wsp:val=&quot;004C5753&quot;/&gt;&lt;wsp:rsid wsp:val=&quot;004C57DE&quot;/&gt;&lt;wsp:rsid wsp:val=&quot;004C5916&quot;/&gt;&lt;wsp:rsid wsp:val=&quot;004C6333&quot;/&gt;&lt;wsp:rsid wsp:val=&quot;004C6383&quot;/&gt;&lt;wsp:rsid wsp:val=&quot;004C64AA&quot;/&gt;&lt;wsp:rsid wsp:val=&quot;004C6530&quot;/&gt;&lt;wsp:rsid wsp:val=&quot;004C697D&quot;/&gt;&lt;wsp:rsid wsp:val=&quot;004C6DF8&quot;/&gt;&lt;wsp:rsid wsp:val=&quot;004C717B&quot;/&gt;&lt;wsp:rsid wsp:val=&quot;004C7639&quot;/&gt;&lt;wsp:rsid wsp:val=&quot;004C7769&quot;/&gt;&lt;wsp:rsid wsp:val=&quot;004C79CE&quot;/&gt;&lt;wsp:rsid wsp:val=&quot;004C7E9B&quot;/&gt;&lt;wsp:rsid wsp:val=&quot;004C7F8C&quot;/&gt;&lt;wsp:rsid wsp:val=&quot;004C7FD4&quot;/&gt;&lt;wsp:rsid wsp:val=&quot;004D0224&quot;/&gt;&lt;wsp:rsid wsp:val=&quot;004D0401&quot;/&gt;&lt;wsp:rsid wsp:val=&quot;004D0830&quot;/&gt;&lt;wsp:rsid wsp:val=&quot;004D0D4D&quot;/&gt;&lt;wsp:rsid wsp:val=&quot;004D0E43&quot;/&gt;&lt;wsp:rsid wsp:val=&quot;004D1019&quot;/&gt;&lt;wsp:rsid wsp:val=&quot;004D13DC&quot;/&gt;&lt;wsp:rsid wsp:val=&quot;004D1488&quot;/&gt;&lt;wsp:rsid wsp:val=&quot;004D1561&quot;/&gt;&lt;wsp:rsid wsp:val=&quot;004D17D8&quot;/&gt;&lt;wsp:rsid wsp:val=&quot;004D1B73&quot;/&gt;&lt;wsp:rsid wsp:val=&quot;004D1B94&quot;/&gt;&lt;wsp:rsid wsp:val=&quot;004D1BF8&quot;/&gt;&lt;wsp:rsid wsp:val=&quot;004D1E06&quot;/&gt;&lt;wsp:rsid wsp:val=&quot;004D1F64&quot;/&gt;&lt;wsp:rsid wsp:val=&quot;004D1FCB&quot;/&gt;&lt;wsp:rsid wsp:val=&quot;004D2367&quot;/&gt;&lt;wsp:rsid wsp:val=&quot;004D240E&quot;/&gt;&lt;wsp:rsid wsp:val=&quot;004D2677&quot;/&gt;&lt;wsp:rsid wsp:val=&quot;004D2694&quot;/&gt;&lt;wsp:rsid wsp:val=&quot;004D26A7&quot;/&gt;&lt;wsp:rsid wsp:val=&quot;004D26BE&quot;/&gt;&lt;wsp:rsid wsp:val=&quot;004D26C3&quot;/&gt;&lt;wsp:rsid wsp:val=&quot;004D2901&quot;/&gt;&lt;wsp:rsid wsp:val=&quot;004D2AAC&quot;/&gt;&lt;wsp:rsid wsp:val=&quot;004D2B38&quot;/&gt;&lt;wsp:rsid wsp:val=&quot;004D2CA5&quot;/&gt;&lt;wsp:rsid wsp:val=&quot;004D2F48&quot;/&gt;&lt;wsp:rsid wsp:val=&quot;004D3118&quot;/&gt;&lt;wsp:rsid wsp:val=&quot;004D3536&quot;/&gt;&lt;wsp:rsid wsp:val=&quot;004D358A&quot;/&gt;&lt;wsp:rsid wsp:val=&quot;004D380A&quot;/&gt;&lt;wsp:rsid wsp:val=&quot;004D39CA&quot;/&gt;&lt;wsp:rsid wsp:val=&quot;004D3FA8&quot;/&gt;&lt;wsp:rsid wsp:val=&quot;004D4448&quot;/&gt;&lt;wsp:rsid wsp:val=&quot;004D452F&quot;/&gt;&lt;wsp:rsid wsp:val=&quot;004D4818&quot;/&gt;&lt;wsp:rsid wsp:val=&quot;004D49C0&quot;/&gt;&lt;wsp:rsid wsp:val=&quot;004D4A05&quot;/&gt;&lt;wsp:rsid wsp:val=&quot;004D4C72&quot;/&gt;&lt;wsp:rsid wsp:val=&quot;004D4FB7&quot;/&gt;&lt;wsp:rsid wsp:val=&quot;004D5371&quot;/&gt;&lt;wsp:rsid wsp:val=&quot;004D5415&quot;/&gt;&lt;wsp:rsid wsp:val=&quot;004D683E&quot;/&gt;&lt;wsp:rsid wsp:val=&quot;004D6A81&quot;/&gt;&lt;wsp:rsid wsp:val=&quot;004D7054&quot;/&gt;&lt;wsp:rsid wsp:val=&quot;004D7138&quot;/&gt;&lt;wsp:rsid wsp:val=&quot;004D7376&quot;/&gt;&lt;wsp:rsid wsp:val=&quot;004D79DD&quot;/&gt;&lt;wsp:rsid wsp:val=&quot;004D7BB1&quot;/&gt;&lt;wsp:rsid wsp:val=&quot;004D7BB7&quot;/&gt;&lt;wsp:rsid wsp:val=&quot;004E0012&quot;/&gt;&lt;wsp:rsid wsp:val=&quot;004E00D4&quot;/&gt;&lt;wsp:rsid wsp:val=&quot;004E02D3&quot;/&gt;&lt;wsp:rsid wsp:val=&quot;004E04D2&quot;/&gt;&lt;wsp:rsid wsp:val=&quot;004E09CD&quot;/&gt;&lt;wsp:rsid wsp:val=&quot;004E09F0&quot;/&gt;&lt;wsp:rsid wsp:val=&quot;004E0AA7&quot;/&gt;&lt;wsp:rsid wsp:val=&quot;004E0B48&quot;/&gt;&lt;wsp:rsid wsp:val=&quot;004E0E0F&quot;/&gt;&lt;wsp:rsid wsp:val=&quot;004E103B&quot;/&gt;&lt;wsp:rsid wsp:val=&quot;004E1116&quot;/&gt;&lt;wsp:rsid wsp:val=&quot;004E11AD&quot;/&gt;&lt;wsp:rsid wsp:val=&quot;004E12E9&quot;/&gt;&lt;wsp:rsid wsp:val=&quot;004E15AC&quot;/&gt;&lt;wsp:rsid wsp:val=&quot;004E1769&quot;/&gt;&lt;wsp:rsid wsp:val=&quot;004E1948&quot;/&gt;&lt;wsp:rsid wsp:val=&quot;004E1BFE&quot;/&gt;&lt;wsp:rsid wsp:val=&quot;004E1E5B&quot;/&gt;&lt;wsp:rsid wsp:val=&quot;004E2364&quot;/&gt;&lt;wsp:rsid wsp:val=&quot;004E24D3&quot;/&gt;&lt;wsp:rsid wsp:val=&quot;004E2616&quot;/&gt;&lt;wsp:rsid wsp:val=&quot;004E2B00&quot;/&gt;&lt;wsp:rsid wsp:val=&quot;004E3110&quot;/&gt;&lt;wsp:rsid wsp:val=&quot;004E318E&quot;/&gt;&lt;wsp:rsid wsp:val=&quot;004E32BC&quot;/&gt;&lt;wsp:rsid wsp:val=&quot;004E3311&quot;/&gt;&lt;wsp:rsid wsp:val=&quot;004E3327&quot;/&gt;&lt;wsp:rsid wsp:val=&quot;004E33B3&quot;/&gt;&lt;wsp:rsid wsp:val=&quot;004E34A3&quot;/&gt;&lt;wsp:rsid wsp:val=&quot;004E34CB&quot;/&gt;&lt;wsp:rsid wsp:val=&quot;004E3988&quot;/&gt;&lt;wsp:rsid wsp:val=&quot;004E3FF2&quot;/&gt;&lt;wsp:rsid wsp:val=&quot;004E41EF&quot;/&gt;&lt;wsp:rsid wsp:val=&quot;004E48A7&quot;/&gt;&lt;wsp:rsid wsp:val=&quot;004E4951&quot;/&gt;&lt;wsp:rsid wsp:val=&quot;004E4A0D&quot;/&gt;&lt;wsp:rsid wsp:val=&quot;004E4B4E&quot;/&gt;&lt;wsp:rsid wsp:val=&quot;004E4C10&quot;/&gt;&lt;wsp:rsid wsp:val=&quot;004E51E8&quot;/&gt;&lt;wsp:rsid wsp:val=&quot;004E521B&quot;/&gt;&lt;wsp:rsid wsp:val=&quot;004E5553&quot;/&gt;&lt;wsp:rsid wsp:val=&quot;004E5655&quot;/&gt;&lt;wsp:rsid wsp:val=&quot;004E568A&quot;/&gt;&lt;wsp:rsid wsp:val=&quot;004E580A&quot;/&gt;&lt;wsp:rsid wsp:val=&quot;004E5837&quot;/&gt;&lt;wsp:rsid wsp:val=&quot;004E5865&quot;/&gt;&lt;wsp:rsid wsp:val=&quot;004E5DE0&quot;/&gt;&lt;wsp:rsid wsp:val=&quot;004E5ED9&quot;/&gt;&lt;wsp:rsid wsp:val=&quot;004E6090&quot;/&gt;&lt;wsp:rsid wsp:val=&quot;004E60F5&quot;/&gt;&lt;wsp:rsid wsp:val=&quot;004E68ED&quot;/&gt;&lt;wsp:rsid wsp:val=&quot;004E6AC5&quot;/&gt;&lt;wsp:rsid wsp:val=&quot;004E6DB8&quot;/&gt;&lt;wsp:rsid wsp:val=&quot;004E6EB5&quot;/&gt;&lt;wsp:rsid wsp:val=&quot;004E6F14&quot;/&gt;&lt;wsp:rsid wsp:val=&quot;004E7636&quot;/&gt;&lt;wsp:rsid wsp:val=&quot;004E790F&quot;/&gt;&lt;wsp:rsid wsp:val=&quot;004E7962&quot;/&gt;&lt;wsp:rsid wsp:val=&quot;004E7DE8&quot;/&gt;&lt;wsp:rsid wsp:val=&quot;004E7F18&quot;/&gt;&lt;wsp:rsid wsp:val=&quot;004F01D4&quot;/&gt;&lt;wsp:rsid wsp:val=&quot;004F0294&quot;/&gt;&lt;wsp:rsid wsp:val=&quot;004F06EE&quot;/&gt;&lt;wsp:rsid wsp:val=&quot;004F09D6&quot;/&gt;&lt;wsp:rsid wsp:val=&quot;004F0BF0&quot;/&gt;&lt;wsp:rsid wsp:val=&quot;004F0C2B&quot;/&gt;&lt;wsp:rsid wsp:val=&quot;004F0D8E&quot;/&gt;&lt;wsp:rsid wsp:val=&quot;004F0F2E&quot;/&gt;&lt;wsp:rsid wsp:val=&quot;004F1090&quot;/&gt;&lt;wsp:rsid wsp:val=&quot;004F1172&quot;/&gt;&lt;wsp:rsid wsp:val=&quot;004F131F&quot;/&gt;&lt;wsp:rsid wsp:val=&quot;004F17F4&quot;/&gt;&lt;wsp:rsid wsp:val=&quot;004F1A5C&quot;/&gt;&lt;wsp:rsid wsp:val=&quot;004F1A89&quot;/&gt;&lt;wsp:rsid wsp:val=&quot;004F1B37&quot;/&gt;&lt;wsp:rsid wsp:val=&quot;004F1CFC&quot;/&gt;&lt;wsp:rsid wsp:val=&quot;004F1DEE&quot;/&gt;&lt;wsp:rsid wsp:val=&quot;004F227E&quot;/&gt;&lt;wsp:rsid wsp:val=&quot;004F22E5&quot;/&gt;&lt;wsp:rsid wsp:val=&quot;004F22EB&quot;/&gt;&lt;wsp:rsid wsp:val=&quot;004F2880&quot;/&gt;&lt;wsp:rsid wsp:val=&quot;004F2922&quot;/&gt;&lt;wsp:rsid wsp:val=&quot;004F2B46&quot;/&gt;&lt;wsp:rsid wsp:val=&quot;004F2F67&quot;/&gt;&lt;wsp:rsid wsp:val=&quot;004F2FC6&quot;/&gt;&lt;wsp:rsid wsp:val=&quot;004F3090&quot;/&gt;&lt;wsp:rsid wsp:val=&quot;004F3270&quot;/&gt;&lt;wsp:rsid wsp:val=&quot;004F3352&quot;/&gt;&lt;wsp:rsid wsp:val=&quot;004F3B06&quot;/&gt;&lt;wsp:rsid wsp:val=&quot;004F3BED&quot;/&gt;&lt;wsp:rsid wsp:val=&quot;004F3DFA&quot;/&gt;&lt;wsp:rsid wsp:val=&quot;004F4128&quot;/&gt;&lt;wsp:rsid wsp:val=&quot;004F453C&quot;/&gt;&lt;wsp:rsid wsp:val=&quot;004F496C&quot;/&gt;&lt;wsp:rsid wsp:val=&quot;004F4BDF&quot;/&gt;&lt;wsp:rsid wsp:val=&quot;004F5296&quot;/&gt;&lt;wsp:rsid wsp:val=&quot;004F53CC&quot;/&gt;&lt;wsp:rsid wsp:val=&quot;004F540B&quot;/&gt;&lt;wsp:rsid wsp:val=&quot;004F5440&quot;/&gt;&lt;wsp:rsid wsp:val=&quot;004F5453&quot;/&gt;&lt;wsp:rsid wsp:val=&quot;004F58FE&quot;/&gt;&lt;wsp:rsid wsp:val=&quot;004F5E85&quot;/&gt;&lt;wsp:rsid wsp:val=&quot;004F62DA&quot;/&gt;&lt;wsp:rsid wsp:val=&quot;004F636C&quot;/&gt;&lt;wsp:rsid wsp:val=&quot;004F6513&quot;/&gt;&lt;wsp:rsid wsp:val=&quot;004F66BC&quot;/&gt;&lt;wsp:rsid wsp:val=&quot;004F6B3B&quot;/&gt;&lt;wsp:rsid wsp:val=&quot;004F6BE0&quot;/&gt;&lt;wsp:rsid wsp:val=&quot;004F6CEB&quot;/&gt;&lt;wsp:rsid wsp:val=&quot;004F6FE1&quot;/&gt;&lt;wsp:rsid wsp:val=&quot;004F7033&quot;/&gt;&lt;wsp:rsid wsp:val=&quot;004F71DE&quot;/&gt;&lt;wsp:rsid wsp:val=&quot;004F7423&quot;/&gt;&lt;wsp:rsid wsp:val=&quot;004F76D2&quot;/&gt;&lt;wsp:rsid wsp:val=&quot;004F783A&quot;/&gt;&lt;wsp:rsid wsp:val=&quot;004F78CF&quot;/&gt;&lt;wsp:rsid wsp:val=&quot;004F78E7&quot;/&gt;&lt;wsp:rsid wsp:val=&quot;004F7918&quot;/&gt;&lt;wsp:rsid wsp:val=&quot;004F7B15&quot;/&gt;&lt;wsp:rsid wsp:val=&quot;004F7E0D&quot;/&gt;&lt;wsp:rsid wsp:val=&quot;004F7E2E&quot;/&gt;&lt;wsp:rsid wsp:val=&quot;005005DA&quot;/&gt;&lt;wsp:rsid wsp:val=&quot;00500659&quot;/&gt;&lt;wsp:rsid wsp:val=&quot;00500685&quot;/&gt;&lt;wsp:rsid wsp:val=&quot;00500A5A&quot;/&gt;&lt;wsp:rsid wsp:val=&quot;00500C3F&quot;/&gt;&lt;wsp:rsid wsp:val=&quot;00501123&quot;/&gt;&lt;wsp:rsid wsp:val=&quot;00501179&quot;/&gt;&lt;wsp:rsid wsp:val=&quot;0050171F&quot;/&gt;&lt;wsp:rsid wsp:val=&quot;0050184A&quot;/&gt;&lt;wsp:rsid wsp:val=&quot;00501896&quot;/&gt;&lt;wsp:rsid wsp:val=&quot;00501A91&quot;/&gt;&lt;wsp:rsid wsp:val=&quot;00501C29&quot;/&gt;&lt;wsp:rsid wsp:val=&quot;00501C78&quot;/&gt;&lt;wsp:rsid wsp:val=&quot;00501DFD&quot;/&gt;&lt;wsp:rsid wsp:val=&quot;00502006&quot;/&gt;&lt;wsp:rsid wsp:val=&quot;005020B8&quot;/&gt;&lt;wsp:rsid wsp:val=&quot;005022B2&quot;/&gt;&lt;wsp:rsid wsp:val=&quot;00502D37&quot;/&gt;&lt;wsp:rsid wsp:val=&quot;0050314E&quot;/&gt;&lt;wsp:rsid wsp:val=&quot;00503154&quot;/&gt;&lt;wsp:rsid wsp:val=&quot;005032F4&quot;/&gt;&lt;wsp:rsid wsp:val=&quot;0050336A&quot;/&gt;&lt;wsp:rsid wsp:val=&quot;00503435&quot;/&gt;&lt;wsp:rsid wsp:val=&quot;00503481&quot;/&gt;&lt;wsp:rsid wsp:val=&quot;0050369E&quot;/&gt;&lt;wsp:rsid wsp:val=&quot;0050378B&quot;/&gt;&lt;wsp:rsid wsp:val=&quot;00503B10&quot;/&gt;&lt;wsp:rsid wsp:val=&quot;00503B50&quot;/&gt;&lt;wsp:rsid wsp:val=&quot;005041D6&quot;/&gt;&lt;wsp:rsid wsp:val=&quot;00504A94&quot;/&gt;&lt;wsp:rsid wsp:val=&quot;00504F99&quot;/&gt;&lt;wsp:rsid wsp:val=&quot;0050520C&quot;/&gt;&lt;wsp:rsid wsp:val=&quot;00505585&quot;/&gt;&lt;wsp:rsid wsp:val=&quot;00505675&quot;/&gt;&lt;wsp:rsid wsp:val=&quot;00505C48&quot;/&gt;&lt;wsp:rsid wsp:val=&quot;00505C4B&quot;/&gt;&lt;wsp:rsid wsp:val=&quot;00505E67&quot;/&gt;&lt;wsp:rsid wsp:val=&quot;00505EA8&quot;/&gt;&lt;wsp:rsid wsp:val=&quot;00505F1B&quot;/&gt;&lt;wsp:rsid wsp:val=&quot;00506129&quot;/&gt;&lt;wsp:rsid wsp:val=&quot;00506280&quot;/&gt;&lt;wsp:rsid wsp:val=&quot;0050628A&quot;/&gt;&lt;wsp:rsid wsp:val=&quot;005062BC&quot;/&gt;&lt;wsp:rsid wsp:val=&quot;00506357&quot;/&gt;&lt;wsp:rsid wsp:val=&quot;00506775&quot;/&gt;&lt;wsp:rsid wsp:val=&quot;0050684D&quot;/&gt;&lt;wsp:rsid wsp:val=&quot;00506A79&quot;/&gt;&lt;wsp:rsid wsp:val=&quot;00506BF5&quot;/&gt;&lt;wsp:rsid wsp:val=&quot;00506D25&quot;/&gt;&lt;wsp:rsid wsp:val=&quot;0050707D&quot;/&gt;&lt;wsp:rsid wsp:val=&quot;005071DC&quot;/&gt;&lt;wsp:rsid wsp:val=&quot;00507E65&quot;/&gt;&lt;wsp:rsid wsp:val=&quot;00507E8E&quot;/&gt;&lt;wsp:rsid wsp:val=&quot;00510025&quot;/&gt;&lt;wsp:rsid wsp:val=&quot;00510335&quot;/&gt;&lt;wsp:rsid wsp:val=&quot;0051059D&quot;/&gt;&lt;wsp:rsid wsp:val=&quot;00510747&quot;/&gt;&lt;wsp:rsid wsp:val=&quot;005109EA&quot;/&gt;&lt;wsp:rsid wsp:val=&quot;00510B16&quot;/&gt;&lt;wsp:rsid wsp:val=&quot;00510CA6&quot;/&gt;&lt;wsp:rsid wsp:val=&quot;00510D55&quot;/&gt;&lt;wsp:rsid wsp:val=&quot;00510DC9&quot;/&gt;&lt;wsp:rsid wsp:val=&quot;00512133&quot;/&gt;&lt;wsp:rsid wsp:val=&quot;005123AC&quot;/&gt;&lt;wsp:rsid wsp:val=&quot;005124EC&quot;/&gt;&lt;wsp:rsid wsp:val=&quot;00512609&quot;/&gt;&lt;wsp:rsid wsp:val=&quot;00512694&quot;/&gt;&lt;wsp:rsid wsp:val=&quot;00512BDC&quot;/&gt;&lt;wsp:rsid wsp:val=&quot;005134E6&quot;/&gt;&lt;wsp:rsid wsp:val=&quot;005134EB&quot;/&gt;&lt;wsp:rsid wsp:val=&quot;005135B5&quot;/&gt;&lt;wsp:rsid wsp:val=&quot;00513944&quot;/&gt;&lt;wsp:rsid wsp:val=&quot;00513D21&quot;/&gt;&lt;wsp:rsid wsp:val=&quot;00513DC2&quot;/&gt;&lt;wsp:rsid wsp:val=&quot;00513E59&quot;/&gt;&lt;wsp:rsid wsp:val=&quot;0051414B&quot;/&gt;&lt;wsp:rsid wsp:val=&quot;00514333&quot;/&gt;&lt;wsp:rsid wsp:val=&quot;005143F7&quot;/&gt;&lt;wsp:rsid wsp:val=&quot;005144B5&quot;/&gt;&lt;wsp:rsid wsp:val=&quot;0051463C&quot;/&gt;&lt;wsp:rsid wsp:val=&quot;005146E0&quot;/&gt;&lt;wsp:rsid wsp:val=&quot;00514891&quot;/&gt;&lt;wsp:rsid wsp:val=&quot;00514BC0&quot;/&gt;&lt;wsp:rsid wsp:val=&quot;005150C5&quot;/&gt;&lt;wsp:rsid wsp:val=&quot;005151BA&quot;/&gt;&lt;wsp:rsid wsp:val=&quot;0051526E&quot;/&gt;&lt;wsp:rsid wsp:val=&quot;00515378&quot;/&gt;&lt;wsp:rsid wsp:val=&quot;005153E2&quot;/&gt;&lt;wsp:rsid wsp:val=&quot;005158B9&quot;/&gt;&lt;wsp:rsid wsp:val=&quot;00515BAE&quot;/&gt;&lt;wsp:rsid wsp:val=&quot;005161B3&quot;/&gt;&lt;wsp:rsid wsp:val=&quot;005165EC&quot;/&gt;&lt;wsp:rsid wsp:val=&quot;00516E70&quot;/&gt;&lt;wsp:rsid wsp:val=&quot;00516FEF&quot;/&gt;&lt;wsp:rsid wsp:val=&quot;005172BF&quot;/&gt;&lt;wsp:rsid wsp:val=&quot;005174B4&quot;/&gt;&lt;wsp:rsid wsp:val=&quot;005177F8&quot;/&gt;&lt;wsp:rsid wsp:val=&quot;005179F6&quot;/&gt;&lt;wsp:rsid wsp:val=&quot;00517D6B&quot;/&gt;&lt;wsp:rsid wsp:val=&quot;00517F14&quot;/&gt;&lt;wsp:rsid wsp:val=&quot;00517FBD&quot;/&gt;&lt;wsp:rsid wsp:val=&quot;005201AF&quot;/&gt;&lt;wsp:rsid wsp:val=&quot;005203E0&quot;/&gt;&lt;wsp:rsid wsp:val=&quot;00520791&quot;/&gt;&lt;wsp:rsid wsp:val=&quot;00520D15&quot;/&gt;&lt;wsp:rsid wsp:val=&quot;0052136F&quot;/&gt;&lt;wsp:rsid wsp:val=&quot;005213F7&quot;/&gt;&lt;wsp:rsid wsp:val=&quot;00521433&quot;/&gt;&lt;wsp:rsid wsp:val=&quot;00521C0C&quot;/&gt;&lt;wsp:rsid wsp:val=&quot;00521C2C&quot;/&gt;&lt;wsp:rsid wsp:val=&quot;00521CD6&quot;/&gt;&lt;wsp:rsid wsp:val=&quot;00521D84&quot;/&gt;&lt;wsp:rsid wsp:val=&quot;00521F42&quot;/&gt;&lt;wsp:rsid wsp:val=&quot;00522065&quot;/&gt;&lt;wsp:rsid wsp:val=&quot;00522132&quot;/&gt;&lt;wsp:rsid wsp:val=&quot;005221D1&quot;/&gt;&lt;wsp:rsid wsp:val=&quot;005224CC&quot;/&gt;&lt;wsp:rsid wsp:val=&quot;00522595&quot;/&gt;&lt;wsp:rsid wsp:val=&quot;005225A1&quot;/&gt;&lt;wsp:rsid wsp:val=&quot;005225D6&quot;/&gt;&lt;wsp:rsid wsp:val=&quot;00522F0F&quot;/&gt;&lt;wsp:rsid wsp:val=&quot;005230AE&quot;/&gt;&lt;wsp:rsid wsp:val=&quot;0052351B&quot;/&gt;&lt;wsp:rsid wsp:val=&quot;00523B4E&quot;/&gt;&lt;wsp:rsid wsp:val=&quot;0052418C&quot;/&gt;&lt;wsp:rsid wsp:val=&quot;005241CF&quot;/&gt;&lt;wsp:rsid wsp:val=&quot;005248E9&quot;/&gt;&lt;wsp:rsid wsp:val=&quot;005249D2&quot;/&gt;&lt;wsp:rsid wsp:val=&quot;00524AC2&quot;/&gt;&lt;wsp:rsid wsp:val=&quot;00524BF5&quot;/&gt;&lt;wsp:rsid wsp:val=&quot;00524BFF&quot;/&gt;&lt;wsp:rsid wsp:val=&quot;005250E6&quot;/&gt;&lt;wsp:rsid wsp:val=&quot;00525171&quot;/&gt;&lt;wsp:rsid wsp:val=&quot;00525298&quot;/&gt;&lt;wsp:rsid wsp:val=&quot;0052533A&quot;/&gt;&lt;wsp:rsid wsp:val=&quot;005256B3&quot;/&gt;&lt;wsp:rsid wsp:val=&quot;0052584B&quot;/&gt;&lt;wsp:rsid wsp:val=&quot;00525CD5&quot;/&gt;&lt;wsp:rsid wsp:val=&quot;00526406&quot;/&gt;&lt;wsp:rsid wsp:val=&quot;005264E5&quot;/&gt;&lt;wsp:rsid wsp:val=&quot;00526560&quot;/&gt;&lt;wsp:rsid wsp:val=&quot;00526683&quot;/&gt;&lt;wsp:rsid wsp:val=&quot;005267DE&quot;/&gt;&lt;wsp:rsid wsp:val=&quot;00526D20&quot;/&gt;&lt;wsp:rsid wsp:val=&quot;00526F9F&quot;/&gt;&lt;wsp:rsid wsp:val=&quot;0052704F&quot;/&gt;&lt;wsp:rsid wsp:val=&quot;00527276&quot;/&gt;&lt;wsp:rsid wsp:val=&quot;00527B48&quot;/&gt;&lt;wsp:rsid wsp:val=&quot;00527BCF&quot;/&gt;&lt;wsp:rsid wsp:val=&quot;00527E9A&quot;/&gt;&lt;wsp:rsid wsp:val=&quot;00527EC2&quot;/&gt;&lt;wsp:rsid wsp:val=&quot;00527FCC&quot;/&gt;&lt;wsp:rsid wsp:val=&quot;0053070B&quot;/&gt;&lt;wsp:rsid wsp:val=&quot;00530791&quot;/&gt;&lt;wsp:rsid wsp:val=&quot;005308B4&quot;/&gt;&lt;wsp:rsid wsp:val=&quot;00530AA4&quot;/&gt;&lt;wsp:rsid wsp:val=&quot;00530BF0&quot;/&gt;&lt;wsp:rsid wsp:val=&quot;00530C9B&quot;/&gt;&lt;wsp:rsid wsp:val=&quot;00530D9B&quot;/&gt;&lt;wsp:rsid wsp:val=&quot;00530DE3&quot;/&gt;&lt;wsp:rsid wsp:val=&quot;005312E8&quot;/&gt;&lt;wsp:rsid wsp:val=&quot;0053143C&quot;/&gt;&lt;wsp:rsid wsp:val=&quot;00531C0A&quot;/&gt;&lt;wsp:rsid wsp:val=&quot;00532235&quot;/&gt;&lt;wsp:rsid wsp:val=&quot;00532278&quot;/&gt;&lt;wsp:rsid wsp:val=&quot;005322C3&quot;/&gt;&lt;wsp:rsid wsp:val=&quot;0053230D&quot;/&gt;&lt;wsp:rsid wsp:val=&quot;00532462&quot;/&gt;&lt;wsp:rsid wsp:val=&quot;0053262C&quot;/&gt;&lt;wsp:rsid wsp:val=&quot;005326AD&quot;/&gt;&lt;wsp:rsid wsp:val=&quot;005326D3&quot;/&gt;&lt;wsp:rsid wsp:val=&quot;0053276D&quot;/&gt;&lt;wsp:rsid wsp:val=&quot;00532B21&quot;/&gt;&lt;wsp:rsid wsp:val=&quot;00532B45&quot;/&gt;&lt;wsp:rsid wsp:val=&quot;00532C8F&quot;/&gt;&lt;wsp:rsid wsp:val=&quot;00532CD9&quot;/&gt;&lt;wsp:rsid wsp:val=&quot;00532F99&quot;/&gt;&lt;wsp:rsid wsp:val=&quot;005333A3&quot;/&gt;&lt;wsp:rsid wsp:val=&quot;00533614&quot;/&gt;&lt;wsp:rsid wsp:val=&quot;0053367B&quot;/&gt;&lt;wsp:rsid wsp:val=&quot;005338A0&quot;/&gt;&lt;wsp:rsid wsp:val=&quot;00533D2D&quot;/&gt;&lt;wsp:rsid wsp:val=&quot;00533DDE&quot;/&gt;&lt;wsp:rsid wsp:val=&quot;00533F2C&quot;/&gt;&lt;wsp:rsid wsp:val=&quot;005340A1&quot;/&gt;&lt;wsp:rsid wsp:val=&quot;00534327&quot;/&gt;&lt;wsp:rsid wsp:val=&quot;00534495&quot;/&gt;&lt;wsp:rsid wsp:val=&quot;005345BE&quot;/&gt;&lt;wsp:rsid wsp:val=&quot;0053490F&quot;/&gt;&lt;wsp:rsid wsp:val=&quot;005349C1&quot;/&gt;&lt;wsp:rsid wsp:val=&quot;00534A14&quot;/&gt;&lt;wsp:rsid wsp:val=&quot;00534CC1&quot;/&gt;&lt;wsp:rsid wsp:val=&quot;00535011&quot;/&gt;&lt;wsp:rsid wsp:val=&quot;0053524E&quot;/&gt;&lt;wsp:rsid wsp:val=&quot;0053598A&quot;/&gt;&lt;wsp:rsid wsp:val=&quot;00535A1F&quot;/&gt;&lt;wsp:rsid wsp:val=&quot;00535A26&quot;/&gt;&lt;wsp:rsid wsp:val=&quot;00535AA4&quot;/&gt;&lt;wsp:rsid wsp:val=&quot;00535AB3&quot;/&gt;&lt;wsp:rsid wsp:val=&quot;00536136&quot;/&gt;&lt;wsp:rsid wsp:val=&quot;005361DB&quot;/&gt;&lt;wsp:rsid wsp:val=&quot;00536459&quot;/&gt;&lt;wsp:rsid wsp:val=&quot;0053656E&quot;/&gt;&lt;wsp:rsid wsp:val=&quot;00536590&quot;/&gt;&lt;wsp:rsid wsp:val=&quot;00536827&quot;/&gt;&lt;wsp:rsid wsp:val=&quot;00536AF3&quot;/&gt;&lt;wsp:rsid wsp:val=&quot;00536B42&quot;/&gt;&lt;wsp:rsid wsp:val=&quot;00536DCB&quot;/&gt;&lt;wsp:rsid wsp:val=&quot;005371D2&quot;/&gt;&lt;wsp:rsid wsp:val=&quot;0053726B&quot;/&gt;&lt;wsp:rsid wsp:val=&quot;00537284&quot;/&gt;&lt;wsp:rsid wsp:val=&quot;005372FD&quot;/&gt;&lt;wsp:rsid wsp:val=&quot;005373D9&quot;/&gt;&lt;wsp:rsid wsp:val=&quot;005376B5&quot;/&gt;&lt;wsp:rsid wsp:val=&quot;005377D0&quot;/&gt;&lt;wsp:rsid wsp:val=&quot;00537862&quot;/&gt;&lt;wsp:rsid wsp:val=&quot;00537921&quot;/&gt;&lt;wsp:rsid wsp:val=&quot;0053797D&quot;/&gt;&lt;wsp:rsid wsp:val=&quot;00537A84&quot;/&gt;&lt;wsp:rsid wsp:val=&quot;00537EA5&quot;/&gt;&lt;wsp:rsid wsp:val=&quot;00537EB3&quot;/&gt;&lt;wsp:rsid wsp:val=&quot;00537F84&quot;/&gt;&lt;wsp:rsid wsp:val=&quot;005400D4&quot;/&gt;&lt;wsp:rsid wsp:val=&quot;00540465&quot;/&gt;&lt;wsp:rsid wsp:val=&quot;0054047D&quot;/&gt;&lt;wsp:rsid wsp:val=&quot;005405E9&quot;/&gt;&lt;wsp:rsid wsp:val=&quot;00540A88&quot;/&gt;&lt;wsp:rsid wsp:val=&quot;00540EB6&quot;/&gt;&lt;wsp:rsid wsp:val=&quot;00540F1F&quot;/&gt;&lt;wsp:rsid wsp:val=&quot;005410A4&quot;/&gt;&lt;wsp:rsid wsp:val=&quot;0054115F&quot;/&gt;&lt;wsp:rsid wsp:val=&quot;0054146B&quot;/&gt;&lt;wsp:rsid wsp:val=&quot;005415BE&quot;/&gt;&lt;wsp:rsid wsp:val=&quot;005416F9&quot;/&gt;&lt;wsp:rsid wsp:val=&quot;005417AF&quot;/&gt;&lt;wsp:rsid wsp:val=&quot;00541921&quot;/&gt;&lt;wsp:rsid wsp:val=&quot;00541C38&quot;/&gt;&lt;wsp:rsid wsp:val=&quot;00541CBB&quot;/&gt;&lt;wsp:rsid wsp:val=&quot;00541F14&quot;/&gt;&lt;wsp:rsid wsp:val=&quot;00542058&quot;/&gt;&lt;wsp:rsid wsp:val=&quot;0054207E&quot;/&gt;&lt;wsp:rsid wsp:val=&quot;005420CC&quot;/&gt;&lt;wsp:rsid wsp:val=&quot;0054214C&quot;/&gt;&lt;wsp:rsid wsp:val=&quot;005424E0&quot;/&gt;&lt;wsp:rsid wsp:val=&quot;005425AD&quot;/&gt;&lt;wsp:rsid wsp:val=&quot;00542812&quot;/&gt;&lt;wsp:rsid wsp:val=&quot;00542DC0&quot;/&gt;&lt;wsp:rsid wsp:val=&quot;00542E7D&quot;/&gt;&lt;wsp:rsid wsp:val=&quot;00542EC2&quot;/&gt;&lt;wsp:rsid wsp:val=&quot;00542FBD&quot;/&gt;&lt;wsp:rsid wsp:val=&quot;00543395&quot;/&gt;&lt;wsp:rsid wsp:val=&quot;005433B3&quot;/&gt;&lt;wsp:rsid wsp:val=&quot;00543750&quot;/&gt;&lt;wsp:rsid wsp:val=&quot;00543797&quot;/&gt;&lt;wsp:rsid wsp:val=&quot;005437EF&quot;/&gt;&lt;wsp:rsid wsp:val=&quot;00543926&quot;/&gt;&lt;wsp:rsid wsp:val=&quot;00543937&quot;/&gt;&lt;wsp:rsid wsp:val=&quot;00543A6D&quot;/&gt;&lt;wsp:rsid wsp:val=&quot;00543D25&quot;/&gt;&lt;wsp:rsid wsp:val=&quot;00543D29&quot;/&gt;&lt;wsp:rsid wsp:val=&quot;005442B2&quot;/&gt;&lt;wsp:rsid wsp:val=&quot;00544456&quot;/&gt;&lt;wsp:rsid wsp:val=&quot;00544576&quot;/&gt;&lt;wsp:rsid wsp:val=&quot;005445FC&quot;/&gt;&lt;wsp:rsid wsp:val=&quot;005447DC&quot;/&gt;&lt;wsp:rsid wsp:val=&quot;005449D5&quot;/&gt;&lt;wsp:rsid wsp:val=&quot;00544C69&quot;/&gt;&lt;wsp:rsid wsp:val=&quot;00544EF7&quot;/&gt;&lt;wsp:rsid wsp:val=&quot;005455EE&quot;/&gt;&lt;wsp:rsid wsp:val=&quot;0054589C&quot;/&gt;&lt;wsp:rsid wsp:val=&quot;00545A2B&quot;/&gt;&lt;wsp:rsid wsp:val=&quot;00545B2F&quot;/&gt;&lt;wsp:rsid wsp:val=&quot;00545CF0&quot;/&gt;&lt;wsp:rsid wsp:val=&quot;0054624B&quot;/&gt;&lt;wsp:rsid wsp:val=&quot;00546285&quot;/&gt;&lt;wsp:rsid wsp:val=&quot;0054639D&quot;/&gt;&lt;wsp:rsid wsp:val=&quot;005463C8&quot;/&gt;&lt;wsp:rsid wsp:val=&quot;00546774&quot;/&gt;&lt;wsp:rsid wsp:val=&quot;00546B9A&quot;/&gt;&lt;wsp:rsid wsp:val=&quot;00546D5C&quot;/&gt;&lt;wsp:rsid wsp:val=&quot;00547142&quot;/&gt;&lt;wsp:rsid wsp:val=&quot;00547241&quot;/&gt;&lt;wsp:rsid wsp:val=&quot;005476E3&quot;/&gt;&lt;wsp:rsid wsp:val=&quot;00547A95&quot;/&gt;&lt;wsp:rsid wsp:val=&quot;00547AB3&quot;/&gt;&lt;wsp:rsid wsp:val=&quot;00547D90&quot;/&gt;&lt;wsp:rsid wsp:val=&quot;00547DBD&quot;/&gt;&lt;wsp:rsid wsp:val=&quot;00547F12&quot;/&gt;&lt;wsp:rsid wsp:val=&quot;00547F4D&quot;/&gt;&lt;wsp:rsid wsp:val=&quot;00550352&quot;/&gt;&lt;wsp:rsid wsp:val=&quot;005503D9&quot;/&gt;&lt;wsp:rsid wsp:val=&quot;00550425&quot;/&gt;&lt;wsp:rsid wsp:val=&quot;00550627&quot;/&gt;&lt;wsp:rsid wsp:val=&quot;005508D6&quot;/&gt;&lt;wsp:rsid wsp:val=&quot;00550919&quot;/&gt;&lt;wsp:rsid wsp:val=&quot;00550CB2&quot;/&gt;&lt;wsp:rsid wsp:val=&quot;00550D69&quot;/&gt;&lt;wsp:rsid wsp:val=&quot;00550D70&quot;/&gt;&lt;wsp:rsid wsp:val=&quot;00551060&quot;/&gt;&lt;wsp:rsid wsp:val=&quot;005510AC&quot;/&gt;&lt;wsp:rsid wsp:val=&quot;005510F8&quot;/&gt;&lt;wsp:rsid wsp:val=&quot;00551157&quot;/&gt;&lt;wsp:rsid wsp:val=&quot;00551422&quot;/&gt;&lt;wsp:rsid wsp:val=&quot;00551E39&quot;/&gt;&lt;wsp:rsid wsp:val=&quot;00551E6C&quot;/&gt;&lt;wsp:rsid wsp:val=&quot;00551FC2&quot;/&gt;&lt;wsp:rsid wsp:val=&quot;005520BA&quot;/&gt;&lt;wsp:rsid wsp:val=&quot;00552948&quot;/&gt;&lt;wsp:rsid wsp:val=&quot;00552AB2&quot;/&gt;&lt;wsp:rsid wsp:val=&quot;00552BC2&quot;/&gt;&lt;wsp:rsid wsp:val=&quot;00552C6E&quot;/&gt;&lt;wsp:rsid wsp:val=&quot;00552E04&quot;/&gt;&lt;wsp:rsid wsp:val=&quot;00552F9B&quot;/&gt;&lt;wsp:rsid wsp:val=&quot;0055335E&quot;/&gt;&lt;wsp:rsid wsp:val=&quot;00553555&quot;/&gt;&lt;wsp:rsid wsp:val=&quot;00553652&quot;/&gt;&lt;wsp:rsid wsp:val=&quot;005536D3&quot;/&gt;&lt;wsp:rsid wsp:val=&quot;00553845&quot;/&gt;&lt;wsp:rsid wsp:val=&quot;00553903&quot;/&gt;&lt;wsp:rsid wsp:val=&quot;00553D04&quot;/&gt;&lt;wsp:rsid wsp:val=&quot;00553FC5&quot;/&gt;&lt;wsp:rsid wsp:val=&quot;00554130&quot;/&gt;&lt;wsp:rsid wsp:val=&quot;0055414F&quot;/&gt;&lt;wsp:rsid wsp:val=&quot;00554810&quot;/&gt;&lt;wsp:rsid wsp:val=&quot;0055489E&quot;/&gt;&lt;wsp:rsid wsp:val=&quot;00554CB0&quot;/&gt;&lt;wsp:rsid wsp:val=&quot;00555144&quot;/&gt;&lt;wsp:rsid wsp:val=&quot;00555677&quot;/&gt;&lt;wsp:rsid wsp:val=&quot;0055579E&quot;/&gt;&lt;wsp:rsid wsp:val=&quot;00555B4E&quot;/&gt;&lt;wsp:rsid wsp:val=&quot;00555D11&quot;/&gt;&lt;wsp:rsid wsp:val=&quot;00555E74&quot;/&gt;&lt;wsp:rsid wsp:val=&quot;005563A5&quot;/&gt;&lt;wsp:rsid wsp:val=&quot;005563F9&quot;/&gt;&lt;wsp:rsid wsp:val=&quot;0055646B&quot;/&gt;&lt;wsp:rsid wsp:val=&quot;00556920&quot;/&gt;&lt;wsp:rsid wsp:val=&quot;00556A3D&quot;/&gt;&lt;wsp:rsid wsp:val=&quot;00556B74&quot;/&gt;&lt;wsp:rsid wsp:val=&quot;00556CE8&quot;/&gt;&lt;wsp:rsid wsp:val=&quot;00556FBE&quot;/&gt;&lt;wsp:rsid wsp:val=&quot;00557524&quot;/&gt;&lt;wsp:rsid wsp:val=&quot;005577D0&quot;/&gt;&lt;wsp:rsid wsp:val=&quot;005578F5&quot;/&gt;&lt;wsp:rsid wsp:val=&quot;00557993&quot;/&gt;&lt;wsp:rsid wsp:val=&quot;00557EBF&quot;/&gt;&lt;wsp:rsid wsp:val=&quot;005603C4&quot;/&gt;&lt;wsp:rsid wsp:val=&quot;005603D5&quot;/&gt;&lt;wsp:rsid wsp:val=&quot;005605BC&quot;/&gt;&lt;wsp:rsid wsp:val=&quot;00560668&quot;/&gt;&lt;wsp:rsid wsp:val=&quot;00560696&quot;/&gt;&lt;wsp:rsid wsp:val=&quot;005606E3&quot;/&gt;&lt;wsp:rsid wsp:val=&quot;00560A5B&quot;/&gt;&lt;wsp:rsid wsp:val=&quot;00560ACC&quot;/&gt;&lt;wsp:rsid wsp:val=&quot;00560D12&quot;/&gt;&lt;wsp:rsid wsp:val=&quot;005610C0&quot;/&gt;&lt;wsp:rsid wsp:val=&quot;0056111A&quot;/&gt;&lt;wsp:rsid wsp:val=&quot;005612EE&quot;/&gt;&lt;wsp:rsid wsp:val=&quot;005612F5&quot;/&gt;&lt;wsp:rsid wsp:val=&quot;005618A6&quot;/&gt;&lt;wsp:rsid wsp:val=&quot;00561943&quot;/&gt;&lt;wsp:rsid wsp:val=&quot;005620C2&quot;/&gt;&lt;wsp:rsid wsp:val=&quot;00562381&quot;/&gt;&lt;wsp:rsid wsp:val=&quot;005626BF&quot;/&gt;&lt;wsp:rsid wsp:val=&quot;00562DF6&quot;/&gt;&lt;wsp:rsid wsp:val=&quot;005630E8&quot;/&gt;&lt;wsp:rsid wsp:val=&quot;005636AA&quot;/&gt;&lt;wsp:rsid wsp:val=&quot;00563727&quot;/&gt;&lt;wsp:rsid wsp:val=&quot;00563841&quot;/&gt;&lt;wsp:rsid wsp:val=&quot;0056386E&quot;/&gt;&lt;wsp:rsid wsp:val=&quot;00563881&quot;/&gt;&lt;wsp:rsid wsp:val=&quot;0056411E&quot;/&gt;&lt;wsp:rsid wsp:val=&quot;00564583&quot;/&gt;&lt;wsp:rsid wsp:val=&quot;00564D4A&quot;/&gt;&lt;wsp:rsid wsp:val=&quot;00564E6E&quot;/&gt;&lt;wsp:rsid wsp:val=&quot;00565209&quot;/&gt;&lt;wsp:rsid wsp:val=&quot;005653BD&quot;/&gt;&lt;wsp:rsid wsp:val=&quot;00565549&quot;/&gt;&lt;wsp:rsid wsp:val=&quot;00565758&quot;/&gt;&lt;wsp:rsid wsp:val=&quot;00565B2D&quot;/&gt;&lt;wsp:rsid wsp:val=&quot;00565BFD&quot;/&gt;&lt;wsp:rsid wsp:val=&quot;00565D74&quot;/&gt;&lt;wsp:rsid wsp:val=&quot;00566242&quot;/&gt;&lt;wsp:rsid wsp:val=&quot;00566722&quot;/&gt;&lt;wsp:rsid wsp:val=&quot;00566D0B&quot;/&gt;&lt;wsp:rsid wsp:val=&quot;00566F7C&quot;/&gt;&lt;wsp:rsid wsp:val=&quot;00567295&quot;/&gt;&lt;wsp:rsid wsp:val=&quot;00567471&quot;/&gt;&lt;wsp:rsid wsp:val=&quot;0056787D&quot;/&gt;&lt;wsp:rsid wsp:val=&quot;00567C59&quot;/&gt;&lt;wsp:rsid wsp:val=&quot;00567DC6&quot;/&gt;&lt;wsp:rsid wsp:val=&quot;00570208&quot;/&gt;&lt;wsp:rsid wsp:val=&quot;0057038E&quot;/&gt;&lt;wsp:rsid wsp:val=&quot;005704D7&quot;/&gt;&lt;wsp:rsid wsp:val=&quot;00570519&quot;/&gt;&lt;wsp:rsid wsp:val=&quot;0057059F&quot;/&gt;&lt;wsp:rsid wsp:val=&quot;005706FB&quot;/&gt;&lt;wsp:rsid wsp:val=&quot;005707AB&quot;/&gt;&lt;wsp:rsid wsp:val=&quot;00570BB8&quot;/&gt;&lt;wsp:rsid wsp:val=&quot;00570D13&quot;/&gt;&lt;wsp:rsid wsp:val=&quot;00570D8E&quot;/&gt;&lt;wsp:rsid wsp:val=&quot;00570F1B&quot;/&gt;&lt;wsp:rsid wsp:val=&quot;005714B2&quot;/&gt;&lt;wsp:rsid wsp:val=&quot;005714F0&quot;/&gt;&lt;wsp:rsid wsp:val=&quot;005717C5&quot;/&gt;&lt;wsp:rsid wsp:val=&quot;0057197B&quot;/&gt;&lt;wsp:rsid wsp:val=&quot;00571C5E&quot;/&gt;&lt;wsp:rsid wsp:val=&quot;00571D72&quot;/&gt;&lt;wsp:rsid wsp:val=&quot;00571F19&quot;/&gt;&lt;wsp:rsid wsp:val=&quot;00572165&quot;/&gt;&lt;wsp:rsid wsp:val=&quot;005721A6&quot;/&gt;&lt;wsp:rsid wsp:val=&quot;005724F3&quot;/&gt;&lt;wsp:rsid wsp:val=&quot;005727AE&quot;/&gt;&lt;wsp:rsid wsp:val=&quot;00572A9A&quot;/&gt;&lt;wsp:rsid wsp:val=&quot;00572ABB&quot;/&gt;&lt;wsp:rsid wsp:val=&quot;00572AF9&quot;/&gt;&lt;wsp:rsid wsp:val=&quot;00572DFF&quot;/&gt;&lt;wsp:rsid wsp:val=&quot;00572E9B&quot;/&gt;&lt;wsp:rsid wsp:val=&quot;00572FFB&quot;/&gt;&lt;wsp:rsid wsp:val=&quot;00573237&quot;/&gt;&lt;wsp:rsid wsp:val=&quot;005732D6&quot;/&gt;&lt;wsp:rsid wsp:val=&quot;0057340F&quot;/&gt;&lt;wsp:rsid wsp:val=&quot;00573613&quot;/&gt;&lt;wsp:rsid wsp:val=&quot;005737FD&quot;/&gt;&lt;wsp:rsid wsp:val=&quot;0057386B&quot;/&gt;&lt;wsp:rsid wsp:val=&quot;00573E63&quot;/&gt;&lt;wsp:rsid wsp:val=&quot;00574090&quot;/&gt;&lt;wsp:rsid wsp:val=&quot;00574110&quot;/&gt;&lt;wsp:rsid wsp:val=&quot;005743A0&quot;/&gt;&lt;wsp:rsid wsp:val=&quot;005743B3&quot;/&gt;&lt;wsp:rsid wsp:val=&quot;005744D9&quot;/&gt;&lt;wsp:rsid wsp:val=&quot;005744DA&quot;/&gt;&lt;wsp:rsid wsp:val=&quot;0057477A&quot;/&gt;&lt;wsp:rsid wsp:val=&quot;00574CAF&quot;/&gt;&lt;wsp:rsid wsp:val=&quot;00574CD8&quot;/&gt;&lt;wsp:rsid wsp:val=&quot;00574D51&quot;/&gt;&lt;wsp:rsid wsp:val=&quot;00575342&quot;/&gt;&lt;wsp:rsid wsp:val=&quot;005755E5&quot;/&gt;&lt;wsp:rsid wsp:val=&quot;00575968&quot;/&gt;&lt;wsp:rsid wsp:val=&quot;00575AAD&quot;/&gt;&lt;wsp:rsid wsp:val=&quot;00575ABD&quot;/&gt;&lt;wsp:rsid wsp:val=&quot;00575E70&quot;/&gt;&lt;wsp:rsid wsp:val=&quot;0057629E&quot;/&gt;&lt;wsp:rsid wsp:val=&quot;00576BE0&quot;/&gt;&lt;wsp:rsid wsp:val=&quot;00576C98&quot;/&gt;&lt;wsp:rsid wsp:val=&quot;0057702E&quot;/&gt;&lt;wsp:rsid wsp:val=&quot;00577112&quot;/&gt;&lt;wsp:rsid wsp:val=&quot;00577250&quot;/&gt;&lt;wsp:rsid wsp:val=&quot;0057743A&quot;/&gt;&lt;wsp:rsid wsp:val=&quot;0057744C&quot;/&gt;&lt;wsp:rsid wsp:val=&quot;005777DF&quot;/&gt;&lt;wsp:rsid wsp:val=&quot;0057783D&quot;/&gt;&lt;wsp:rsid wsp:val=&quot;00577F5F&quot;/&gt;&lt;wsp:rsid wsp:val=&quot;00577FCD&quot;/&gt;&lt;wsp:rsid wsp:val=&quot;00580803&quot;/&gt;&lt;wsp:rsid wsp:val=&quot;005809D8&quot;/&gt;&lt;wsp:rsid wsp:val=&quot;00580B16&quot;/&gt;&lt;wsp:rsid wsp:val=&quot;00580D77&quot;/&gt;&lt;wsp:rsid wsp:val=&quot;005813DB&quot;/&gt;&lt;wsp:rsid wsp:val=&quot;005815EE&quot;/&gt;&lt;wsp:rsid wsp:val=&quot;00581636&quot;/&gt;&lt;wsp:rsid wsp:val=&quot;005816A4&quot;/&gt;&lt;wsp:rsid wsp:val=&quot;00581A5E&quot;/&gt;&lt;wsp:rsid wsp:val=&quot;0058218F&quot;/&gt;&lt;wsp:rsid wsp:val=&quot;00582219&quot;/&gt;&lt;wsp:rsid wsp:val=&quot;005829FF&quot;/&gt;&lt;wsp:rsid wsp:val=&quot;00582A14&quot;/&gt;&lt;wsp:rsid wsp:val=&quot;00582A59&quot;/&gt;&lt;wsp:rsid wsp:val=&quot;00582B48&quot;/&gt;&lt;wsp:rsid wsp:val=&quot;00582CA0&quot;/&gt;&lt;wsp:rsid wsp:val=&quot;00582EB4&quot;/&gt;&lt;wsp:rsid wsp:val=&quot;00583137&quot;/&gt;&lt;wsp:rsid wsp:val=&quot;0058365A&quot;/&gt;&lt;wsp:rsid wsp:val=&quot;00583B8A&quot;/&gt;&lt;wsp:rsid wsp:val=&quot;00583D2A&quot;/&gt;&lt;wsp:rsid wsp:val=&quot;00583DDB&quot;/&gt;&lt;wsp:rsid wsp:val=&quot;0058445A&quot;/&gt;&lt;wsp:rsid wsp:val=&quot;005845B8&quot;/&gt;&lt;wsp:rsid wsp:val=&quot;00584746&quot;/&gt;&lt;wsp:rsid wsp:val=&quot;0058485D&quot;/&gt;&lt;wsp:rsid wsp:val=&quot;00584933&quot;/&gt;&lt;wsp:rsid wsp:val=&quot;00584B55&quot;/&gt;&lt;wsp:rsid wsp:val=&quot;00584CD1&quot;/&gt;&lt;wsp:rsid wsp:val=&quot;00584D59&quot;/&gt;&lt;wsp:rsid wsp:val=&quot;00585921&quot;/&gt;&lt;wsp:rsid wsp:val=&quot;00585A16&quot;/&gt;&lt;wsp:rsid wsp:val=&quot;00585D26&quot;/&gt;&lt;wsp:rsid wsp:val=&quot;00585F50&quot;/&gt;&lt;wsp:rsid wsp:val=&quot;00585FD1&quot;/&gt;&lt;wsp:rsid wsp:val=&quot;0058602B&quot;/&gt;&lt;wsp:rsid wsp:val=&quot;0058608A&quot;/&gt;&lt;wsp:rsid wsp:val=&quot;005865C7&quot;/&gt;&lt;wsp:rsid wsp:val=&quot;0058688B&quot;/&gt;&lt;wsp:rsid wsp:val=&quot;0058704B&quot;/&gt;&lt;wsp:rsid wsp:val=&quot;00587281&quot;/&gt;&lt;wsp:rsid wsp:val=&quot;005874CD&quot;/&gt;&lt;wsp:rsid wsp:val=&quot;005875B9&quot;/&gt;&lt;wsp:rsid wsp:val=&quot;0058761F&quot;/&gt;&lt;wsp:rsid wsp:val=&quot;005879A6&quot;/&gt;&lt;wsp:rsid wsp:val=&quot;00587B60&quot;/&gt;&lt;wsp:rsid wsp:val=&quot;00587CAC&quot;/&gt;&lt;wsp:rsid wsp:val=&quot;00587DA4&quot;/&gt;&lt;wsp:rsid wsp:val=&quot;00590011&quot;/&gt;&lt;wsp:rsid wsp:val=&quot;005901D7&quot;/&gt;&lt;wsp:rsid wsp:val=&quot;00590239&quot;/&gt;&lt;wsp:rsid wsp:val=&quot;005903B7&quot;/&gt;&lt;wsp:rsid wsp:val=&quot;00590506&quot;/&gt;&lt;wsp:rsid wsp:val=&quot;00590850&quot;/&gt;&lt;wsp:rsid wsp:val=&quot;00590A09&quot;/&gt;&lt;wsp:rsid wsp:val=&quot;00590A5B&quot;/&gt;&lt;wsp:rsid wsp:val=&quot;00590A83&quot;/&gt;&lt;wsp:rsid wsp:val=&quot;00590B48&quot;/&gt;&lt;wsp:rsid wsp:val=&quot;00590C9C&quot;/&gt;&lt;wsp:rsid wsp:val=&quot;00590CA3&quot;/&gt;&lt;wsp:rsid wsp:val=&quot;00590DB6&quot;/&gt;&lt;wsp:rsid wsp:val=&quot;00590DF3&quot;/&gt;&lt;wsp:rsid wsp:val=&quot;00590F34&quot;/&gt;&lt;wsp:rsid wsp:val=&quot;00591101&quot;/&gt;&lt;wsp:rsid wsp:val=&quot;005914F6&quot;/&gt;&lt;wsp:rsid wsp:val=&quot;0059169F&quot;/&gt;&lt;wsp:rsid wsp:val=&quot;00591738&quot;/&gt;&lt;wsp:rsid wsp:val=&quot;00591793&quot;/&gt;&lt;wsp:rsid wsp:val=&quot;00591E8C&quot;/&gt;&lt;wsp:rsid wsp:val=&quot;0059213D&quot;/&gt;&lt;wsp:rsid wsp:val=&quot;00592257&quot;/&gt;&lt;wsp:rsid wsp:val=&quot;00592286&quot;/&gt;&lt;wsp:rsid wsp:val=&quot;00592304&quot;/&gt;&lt;wsp:rsid wsp:val=&quot;00592498&quot;/&gt;&lt;wsp:rsid wsp:val=&quot;00592B06&quot;/&gt;&lt;wsp:rsid wsp:val=&quot;00592D54&quot;/&gt;&lt;wsp:rsid wsp:val=&quot;00593211&quot;/&gt;&lt;wsp:rsid wsp:val=&quot;00593502&quot;/&gt;&lt;wsp:rsid wsp:val=&quot;00593733&quot;/&gt;&lt;wsp:rsid wsp:val=&quot;00593782&quot;/&gt;&lt;wsp:rsid wsp:val=&quot;0059393E&quot;/&gt;&lt;wsp:rsid wsp:val=&quot;00593C42&quot;/&gt;&lt;wsp:rsid wsp:val=&quot;00593C9A&quot;/&gt;&lt;wsp:rsid wsp:val=&quot;00594086&quot;/&gt;&lt;wsp:rsid wsp:val=&quot;00594455&quot;/&gt;&lt;wsp:rsid wsp:val=&quot;00594483&quot;/&gt;&lt;wsp:rsid wsp:val=&quot;00594495&quot;/&gt;&lt;wsp:rsid wsp:val=&quot;00594DCA&quot;/&gt;&lt;wsp:rsid wsp:val=&quot;0059514D&quot;/&gt;&lt;wsp:rsid wsp:val=&quot;0059542F&quot;/&gt;&lt;wsp:rsid wsp:val=&quot;00595597&quot;/&gt;&lt;wsp:rsid wsp:val=&quot;00595A52&quot;/&gt;&lt;wsp:rsid wsp:val=&quot;00595A7C&quot;/&gt;&lt;wsp:rsid wsp:val=&quot;00595AA0&quot;/&gt;&lt;wsp:rsid wsp:val=&quot;00595EBD&quot;/&gt;&lt;wsp:rsid wsp:val=&quot;00595F94&quot;/&gt;&lt;wsp:rsid wsp:val=&quot;00596AF4&quot;/&gt;&lt;wsp:rsid wsp:val=&quot;00596C5E&quot;/&gt;&lt;wsp:rsid wsp:val=&quot;00596D74&quot;/&gt;&lt;wsp:rsid wsp:val=&quot;00596FA0&quot;/&gt;&lt;wsp:rsid wsp:val=&quot;00597191&quot;/&gt;&lt;wsp:rsid wsp:val=&quot;0059779D&quot;/&gt;&lt;wsp:rsid wsp:val=&quot;00597844&quot;/&gt;&lt;wsp:rsid wsp:val=&quot;00597B3B&quot;/&gt;&lt;wsp:rsid wsp:val=&quot;00597B86&quot;/&gt;&lt;wsp:rsid wsp:val=&quot;00597BBD&quot;/&gt;&lt;wsp:rsid wsp:val=&quot;005A0228&quot;/&gt;&lt;wsp:rsid wsp:val=&quot;005A0802&quot;/&gt;&lt;wsp:rsid wsp:val=&quot;005A08F8&quot;/&gt;&lt;wsp:rsid wsp:val=&quot;005A09CE&quot;/&gt;&lt;wsp:rsid wsp:val=&quot;005A1366&quot;/&gt;&lt;wsp:rsid wsp:val=&quot;005A155F&quot;/&gt;&lt;wsp:rsid wsp:val=&quot;005A1817&quot;/&gt;&lt;wsp:rsid wsp:val=&quot;005A1BDD&quot;/&gt;&lt;wsp:rsid wsp:val=&quot;005A1D17&quot;/&gt;&lt;wsp:rsid wsp:val=&quot;005A1E58&quot;/&gt;&lt;wsp:rsid wsp:val=&quot;005A205C&quot;/&gt;&lt;wsp:rsid wsp:val=&quot;005A25CF&quot;/&gt;&lt;wsp:rsid wsp:val=&quot;005A26C6&quot;/&gt;&lt;wsp:rsid wsp:val=&quot;005A2735&quot;/&gt;&lt;wsp:rsid wsp:val=&quot;005A277D&quot;/&gt;&lt;wsp:rsid wsp:val=&quot;005A320D&quot;/&gt;&lt;wsp:rsid wsp:val=&quot;005A3447&quot;/&gt;&lt;wsp:rsid wsp:val=&quot;005A37F0&quot;/&gt;&lt;wsp:rsid wsp:val=&quot;005A3A4B&quot;/&gt;&lt;wsp:rsid wsp:val=&quot;005A3C0F&quot;/&gt;&lt;wsp:rsid wsp:val=&quot;005A40CA&quot;/&gt;&lt;wsp:rsid wsp:val=&quot;005A4199&quot;/&gt;&lt;wsp:rsid wsp:val=&quot;005A43E7&quot;/&gt;&lt;wsp:rsid wsp:val=&quot;005A49AF&quot;/&gt;&lt;wsp:rsid wsp:val=&quot;005A4BDC&quot;/&gt;&lt;wsp:rsid wsp:val=&quot;005A4D65&quot;/&gt;&lt;wsp:rsid wsp:val=&quot;005A5510&quot;/&gt;&lt;wsp:rsid wsp:val=&quot;005A568A&quot;/&gt;&lt;wsp:rsid wsp:val=&quot;005A6243&quot;/&gt;&lt;wsp:rsid wsp:val=&quot;005A63BF&quot;/&gt;&lt;wsp:rsid wsp:val=&quot;005A63DF&quot;/&gt;&lt;wsp:rsid wsp:val=&quot;005A644D&quot;/&gt;&lt;wsp:rsid wsp:val=&quot;005A65B0&quot;/&gt;&lt;wsp:rsid wsp:val=&quot;005A666C&quot;/&gt;&lt;wsp:rsid wsp:val=&quot;005A668D&quot;/&gt;&lt;wsp:rsid wsp:val=&quot;005A681E&quot;/&gt;&lt;wsp:rsid wsp:val=&quot;005A6898&quot;/&gt;&lt;wsp:rsid wsp:val=&quot;005A6A8C&quot;/&gt;&lt;wsp:rsid wsp:val=&quot;005A6D5F&quot;/&gt;&lt;wsp:rsid wsp:val=&quot;005A6DB6&quot;/&gt;&lt;wsp:rsid wsp:val=&quot;005A6E25&quot;/&gt;&lt;wsp:rsid wsp:val=&quot;005A736D&quot;/&gt;&lt;wsp:rsid wsp:val=&quot;005A75BB&quot;/&gt;&lt;wsp:rsid wsp:val=&quot;005A771F&quot;/&gt;&lt;wsp:rsid wsp:val=&quot;005A773B&quot;/&gt;&lt;wsp:rsid wsp:val=&quot;005A7D3A&quot;/&gt;&lt;wsp:rsid wsp:val=&quot;005B0267&quot;/&gt;&lt;wsp:rsid wsp:val=&quot;005B0398&quot;/&gt;&lt;wsp:rsid wsp:val=&quot;005B068E&quot;/&gt;&lt;wsp:rsid wsp:val=&quot;005B0700&quot;/&gt;&lt;wsp:rsid wsp:val=&quot;005B09A5&quot;/&gt;&lt;wsp:rsid wsp:val=&quot;005B09C8&quot;/&gt;&lt;wsp:rsid wsp:val=&quot;005B0A73&quot;/&gt;&lt;wsp:rsid wsp:val=&quot;005B0F0F&quot;/&gt;&lt;wsp:rsid wsp:val=&quot;005B11A2&quot;/&gt;&lt;wsp:rsid wsp:val=&quot;005B1273&quot;/&gt;&lt;wsp:rsid wsp:val=&quot;005B130E&quot;/&gt;&lt;wsp:rsid wsp:val=&quot;005B1453&quot;/&gt;&lt;wsp:rsid wsp:val=&quot;005B17A4&quot;/&gt;&lt;wsp:rsid wsp:val=&quot;005B1F14&quot;/&gt;&lt;wsp:rsid wsp:val=&quot;005B1F99&quot;/&gt;&lt;wsp:rsid wsp:val=&quot;005B2000&quot;/&gt;&lt;wsp:rsid wsp:val=&quot;005B256D&quot;/&gt;&lt;wsp:rsid wsp:val=&quot;005B2892&quot;/&gt;&lt;wsp:rsid wsp:val=&quot;005B2AAC&quot;/&gt;&lt;wsp:rsid wsp:val=&quot;005B2D50&quot;/&gt;&lt;wsp:rsid wsp:val=&quot;005B2E7B&quot;/&gt;&lt;wsp:rsid wsp:val=&quot;005B2E7D&quot;/&gt;&lt;wsp:rsid wsp:val=&quot;005B3119&quot;/&gt;&lt;wsp:rsid wsp:val=&quot;005B31F5&quot;/&gt;&lt;wsp:rsid wsp:val=&quot;005B32A2&quot;/&gt;&lt;wsp:rsid wsp:val=&quot;005B34CF&quot;/&gt;&lt;wsp:rsid wsp:val=&quot;005B3639&quot;/&gt;&lt;wsp:rsid wsp:val=&quot;005B3844&quot;/&gt;&lt;wsp:rsid wsp:val=&quot;005B392A&quot;/&gt;&lt;wsp:rsid wsp:val=&quot;005B3AD5&quot;/&gt;&lt;wsp:rsid wsp:val=&quot;005B3D34&quot;/&gt;&lt;wsp:rsid wsp:val=&quot;005B3DEF&quot;/&gt;&lt;wsp:rsid wsp:val=&quot;005B3E0D&quot;/&gt;&lt;wsp:rsid wsp:val=&quot;005B413B&quot;/&gt;&lt;wsp:rsid wsp:val=&quot;005B47DA&quot;/&gt;&lt;wsp:rsid wsp:val=&quot;005B4D02&quot;/&gt;&lt;wsp:rsid wsp:val=&quot;005B4D0A&quot;/&gt;&lt;wsp:rsid wsp:val=&quot;005B4D29&quot;/&gt;&lt;wsp:rsid wsp:val=&quot;005B4F35&quot;/&gt;&lt;wsp:rsid wsp:val=&quot;005B5500&quot;/&gt;&lt;wsp:rsid wsp:val=&quot;005B5A6A&quot;/&gt;&lt;wsp:rsid wsp:val=&quot;005B5AB8&quot;/&gt;&lt;wsp:rsid wsp:val=&quot;005B5B66&quot;/&gt;&lt;wsp:rsid wsp:val=&quot;005B5D50&quot;/&gt;&lt;wsp:rsid wsp:val=&quot;005B5F89&quot;/&gt;&lt;wsp:rsid wsp:val=&quot;005B6039&quot;/&gt;&lt;wsp:rsid wsp:val=&quot;005B61ED&quot;/&gt;&lt;wsp:rsid wsp:val=&quot;005B642F&quot;/&gt;&lt;wsp:rsid wsp:val=&quot;005B64A6&quot;/&gt;&lt;wsp:rsid wsp:val=&quot;005B65A5&quot;/&gt;&lt;wsp:rsid wsp:val=&quot;005B677E&quot;/&gt;&lt;wsp:rsid wsp:val=&quot;005B67C4&quot;/&gt;&lt;wsp:rsid wsp:val=&quot;005B6915&quot;/&gt;&lt;wsp:rsid wsp:val=&quot;005B6A11&quot;/&gt;&lt;wsp:rsid wsp:val=&quot;005B7010&quot;/&gt;&lt;wsp:rsid wsp:val=&quot;005B7052&quot;/&gt;&lt;wsp:rsid wsp:val=&quot;005B71D6&quot;/&gt;&lt;wsp:rsid wsp:val=&quot;005B7551&quot;/&gt;&lt;wsp:rsid wsp:val=&quot;005B787D&quot;/&gt;&lt;wsp:rsid wsp:val=&quot;005B7E99&quot;/&gt;&lt;wsp:rsid wsp:val=&quot;005C00C3&quot;/&gt;&lt;wsp:rsid wsp:val=&quot;005C05E7&quot;/&gt;&lt;wsp:rsid wsp:val=&quot;005C0811&quot;/&gt;&lt;wsp:rsid wsp:val=&quot;005C0896&quot;/&gt;&lt;wsp:rsid wsp:val=&quot;005C0993&quot;/&gt;&lt;wsp:rsid wsp:val=&quot;005C0AD1&quot;/&gt;&lt;wsp:rsid wsp:val=&quot;005C0C89&quot;/&gt;&lt;wsp:rsid wsp:val=&quot;005C0F15&quot;/&gt;&lt;wsp:rsid wsp:val=&quot;005C1324&quot;/&gt;&lt;wsp:rsid wsp:val=&quot;005C164D&quot;/&gt;&lt;wsp:rsid wsp:val=&quot;005C18FC&quot;/&gt;&lt;wsp:rsid wsp:val=&quot;005C19AF&quot;/&gt;&lt;wsp:rsid wsp:val=&quot;005C19C2&quot;/&gt;&lt;wsp:rsid wsp:val=&quot;005C1C8C&quot;/&gt;&lt;wsp:rsid wsp:val=&quot;005C1CAB&quot;/&gt;&lt;wsp:rsid wsp:val=&quot;005C20C0&quot;/&gt;&lt;wsp:rsid wsp:val=&quot;005C2455&quot;/&gt;&lt;wsp:rsid wsp:val=&quot;005C252B&quot;/&gt;&lt;wsp:rsid wsp:val=&quot;005C2651&quot;/&gt;&lt;wsp:rsid wsp:val=&quot;005C26C3&quot;/&gt;&lt;wsp:rsid wsp:val=&quot;005C27AE&quot;/&gt;&lt;wsp:rsid wsp:val=&quot;005C28F9&quot;/&gt;&lt;wsp:rsid wsp:val=&quot;005C291F&quot;/&gt;&lt;wsp:rsid wsp:val=&quot;005C2A5B&quot;/&gt;&lt;wsp:rsid wsp:val=&quot;005C2C77&quot;/&gt;&lt;wsp:rsid wsp:val=&quot;005C2D77&quot;/&gt;&lt;wsp:rsid wsp:val=&quot;005C2E16&quot;/&gt;&lt;wsp:rsid wsp:val=&quot;005C307B&quot;/&gt;&lt;wsp:rsid wsp:val=&quot;005C30A3&quot;/&gt;&lt;wsp:rsid wsp:val=&quot;005C3184&quot;/&gt;&lt;wsp:rsid wsp:val=&quot;005C3274&quot;/&gt;&lt;wsp:rsid wsp:val=&quot;005C34E3&quot;/&gt;&lt;wsp:rsid wsp:val=&quot;005C354A&quot;/&gt;&lt;wsp:rsid wsp:val=&quot;005C3670&quot;/&gt;&lt;wsp:rsid wsp:val=&quot;005C36A6&quot;/&gt;&lt;wsp:rsid wsp:val=&quot;005C379A&quot;/&gt;&lt;wsp:rsid wsp:val=&quot;005C388A&quot;/&gt;&lt;wsp:rsid wsp:val=&quot;005C3B06&quot;/&gt;&lt;wsp:rsid wsp:val=&quot;005C3CE0&quot;/&gt;&lt;wsp:rsid wsp:val=&quot;005C41FC&quot;/&gt;&lt;wsp:rsid wsp:val=&quot;005C4222&quot;/&gt;&lt;wsp:rsid wsp:val=&quot;005C431E&quot;/&gt;&lt;wsp:rsid wsp:val=&quot;005C44B0&quot;/&gt;&lt;wsp:rsid wsp:val=&quot;005C44C5&quot;/&gt;&lt;wsp:rsid wsp:val=&quot;005C48A3&quot;/&gt;&lt;wsp:rsid wsp:val=&quot;005C4BA0&quot;/&gt;&lt;wsp:rsid wsp:val=&quot;005C4C05&quot;/&gt;&lt;wsp:rsid wsp:val=&quot;005C4C50&quot;/&gt;&lt;wsp:rsid wsp:val=&quot;005C4D37&quot;/&gt;&lt;wsp:rsid wsp:val=&quot;005C4D3E&quot;/&gt;&lt;wsp:rsid wsp:val=&quot;005C54EC&quot;/&gt;&lt;wsp:rsid wsp:val=&quot;005C585A&quot;/&gt;&lt;wsp:rsid wsp:val=&quot;005C5E06&quot;/&gt;&lt;wsp:rsid wsp:val=&quot;005C5F73&quot;/&gt;&lt;wsp:rsid wsp:val=&quot;005C60FA&quot;/&gt;&lt;wsp:rsid wsp:val=&quot;005C6138&quot;/&gt;&lt;wsp:rsid wsp:val=&quot;005C6519&quot;/&gt;&lt;wsp:rsid wsp:val=&quot;005C668B&quot;/&gt;&lt;wsp:rsid wsp:val=&quot;005C66AF&quot;/&gt;&lt;wsp:rsid wsp:val=&quot;005C6872&quot;/&gt;&lt;wsp:rsid wsp:val=&quot;005C6B52&quot;/&gt;&lt;wsp:rsid wsp:val=&quot;005C6BF9&quot;/&gt;&lt;wsp:rsid wsp:val=&quot;005C6ED8&quot;/&gt;&lt;wsp:rsid wsp:val=&quot;005C7339&quot;/&gt;&lt;wsp:rsid wsp:val=&quot;005C73F4&quot;/&gt;&lt;wsp:rsid wsp:val=&quot;005C74A3&quot;/&gt;&lt;wsp:rsid wsp:val=&quot;005C74E1&quot;/&gt;&lt;wsp:rsid wsp:val=&quot;005C76E2&quot;/&gt;&lt;wsp:rsid wsp:val=&quot;005C7C0B&quot;/&gt;&lt;wsp:rsid wsp:val=&quot;005D02E1&quot;/&gt;&lt;wsp:rsid wsp:val=&quot;005D0338&quot;/&gt;&lt;wsp:rsid wsp:val=&quot;005D03F1&quot;/&gt;&lt;wsp:rsid wsp:val=&quot;005D0562&quot;/&gt;&lt;wsp:rsid wsp:val=&quot;005D094D&quot;/&gt;&lt;wsp:rsid wsp:val=&quot;005D09CB&quot;/&gt;&lt;wsp:rsid wsp:val=&quot;005D0A28&quot;/&gt;&lt;wsp:rsid wsp:val=&quot;005D0BF5&quot;/&gt;&lt;wsp:rsid wsp:val=&quot;005D0D9E&quot;/&gt;&lt;wsp:rsid wsp:val=&quot;005D0DE0&quot;/&gt;&lt;wsp:rsid wsp:val=&quot;005D1422&quot;/&gt;&lt;wsp:rsid wsp:val=&quot;005D17EB&quot;/&gt;&lt;wsp:rsid wsp:val=&quot;005D1865&quot;/&gt;&lt;wsp:rsid wsp:val=&quot;005D1AB4&quot;/&gt;&lt;wsp:rsid wsp:val=&quot;005D1AD9&quot;/&gt;&lt;wsp:rsid wsp:val=&quot;005D1E71&quot;/&gt;&lt;wsp:rsid wsp:val=&quot;005D20C3&quot;/&gt;&lt;wsp:rsid wsp:val=&quot;005D22AB&quot;/&gt;&lt;wsp:rsid wsp:val=&quot;005D2415&quot;/&gt;&lt;wsp:rsid wsp:val=&quot;005D27A1&quot;/&gt;&lt;wsp:rsid wsp:val=&quot;005D27E6&quot;/&gt;&lt;wsp:rsid wsp:val=&quot;005D2CA4&quot;/&gt;&lt;wsp:rsid wsp:val=&quot;005D2EFC&quot;/&gt;&lt;wsp:rsid wsp:val=&quot;005D2FA9&quot;/&gt;&lt;wsp:rsid wsp:val=&quot;005D33CB&quot;/&gt;&lt;wsp:rsid wsp:val=&quot;005D3400&quot;/&gt;&lt;wsp:rsid wsp:val=&quot;005D3827&quot;/&gt;&lt;wsp:rsid wsp:val=&quot;005D4269&quot;/&gt;&lt;wsp:rsid wsp:val=&quot;005D459F&quot;/&gt;&lt;wsp:rsid wsp:val=&quot;005D47D1&quot;/&gt;&lt;wsp:rsid wsp:val=&quot;005D4880&quot;/&gt;&lt;wsp:rsid wsp:val=&quot;005D49BE&quot;/&gt;&lt;wsp:rsid wsp:val=&quot;005D4E19&quot;/&gt;&lt;wsp:rsid wsp:val=&quot;005D4FD7&quot;/&gt;&lt;wsp:rsid wsp:val=&quot;005D5087&quot;/&gt;&lt;wsp:rsid wsp:val=&quot;005D5200&quot;/&gt;&lt;wsp:rsid wsp:val=&quot;005D543E&quot;/&gt;&lt;wsp:rsid wsp:val=&quot;005D5A77&quot;/&gt;&lt;wsp:rsid wsp:val=&quot;005D5DFA&quot;/&gt;&lt;wsp:rsid wsp:val=&quot;005D603F&quot;/&gt;&lt;wsp:rsid wsp:val=&quot;005D6465&quot;/&gt;&lt;wsp:rsid wsp:val=&quot;005D6501&quot;/&gt;&lt;wsp:rsid wsp:val=&quot;005D66DC&quot;/&gt;&lt;wsp:rsid wsp:val=&quot;005D6993&quot;/&gt;&lt;wsp:rsid wsp:val=&quot;005D6BE2&quot;/&gt;&lt;wsp:rsid wsp:val=&quot;005D6CEC&quot;/&gt;&lt;wsp:rsid wsp:val=&quot;005D6D01&quot;/&gt;&lt;wsp:rsid wsp:val=&quot;005D6DE6&quot;/&gt;&lt;wsp:rsid wsp:val=&quot;005D6E29&quot;/&gt;&lt;wsp:rsid wsp:val=&quot;005D726E&quot;/&gt;&lt;wsp:rsid wsp:val=&quot;005D730F&quot;/&gt;&lt;wsp:rsid wsp:val=&quot;005D733F&quot;/&gt;&lt;wsp:rsid wsp:val=&quot;005D76E1&quot;/&gt;&lt;wsp:rsid wsp:val=&quot;005D76EA&quot;/&gt;&lt;wsp:rsid wsp:val=&quot;005D77AF&quot;/&gt;&lt;wsp:rsid wsp:val=&quot;005D7807&quot;/&gt;&lt;wsp:rsid wsp:val=&quot;005D7837&quot;/&gt;&lt;wsp:rsid wsp:val=&quot;005D7A5B&quot;/&gt;&lt;wsp:rsid wsp:val=&quot;005D7C0C&quot;/&gt;&lt;wsp:rsid wsp:val=&quot;005D7C63&quot;/&gt;&lt;wsp:rsid wsp:val=&quot;005E01F5&quot;/&gt;&lt;wsp:rsid wsp:val=&quot;005E02A8&quot;/&gt;&lt;wsp:rsid wsp:val=&quot;005E03EB&quot;/&gt;&lt;wsp:rsid wsp:val=&quot;005E0A39&quot;/&gt;&lt;wsp:rsid wsp:val=&quot;005E0AB2&quot;/&gt;&lt;wsp:rsid wsp:val=&quot;005E0F79&quot;/&gt;&lt;wsp:rsid wsp:val=&quot;005E1748&quot;/&gt;&lt;wsp:rsid wsp:val=&quot;005E181A&quot;/&gt;&lt;wsp:rsid wsp:val=&quot;005E19BA&quot;/&gt;&lt;wsp:rsid wsp:val=&quot;005E1A1F&quot;/&gt;&lt;wsp:rsid wsp:val=&quot;005E1B39&quot;/&gt;&lt;wsp:rsid wsp:val=&quot;005E1B7C&quot;/&gt;&lt;wsp:rsid wsp:val=&quot;005E2081&quot;/&gt;&lt;wsp:rsid wsp:val=&quot;005E21AD&quot;/&gt;&lt;wsp:rsid wsp:val=&quot;005E284B&quot;/&gt;&lt;wsp:rsid wsp:val=&quot;005E2969&quot;/&gt;&lt;wsp:rsid wsp:val=&quot;005E2A7F&quot;/&gt;&lt;wsp:rsid wsp:val=&quot;005E2A8F&quot;/&gt;&lt;wsp:rsid wsp:val=&quot;005E2BDA&quot;/&gt;&lt;wsp:rsid wsp:val=&quot;005E2C7B&quot;/&gt;&lt;wsp:rsid wsp:val=&quot;005E320A&quot;/&gt;&lt;wsp:rsid wsp:val=&quot;005E3428&quot;/&gt;&lt;wsp:rsid wsp:val=&quot;005E36D9&quot;/&gt;&lt;wsp:rsid wsp:val=&quot;005E3A17&quot;/&gt;&lt;wsp:rsid wsp:val=&quot;005E3A74&quot;/&gt;&lt;wsp:rsid wsp:val=&quot;005E4715&quot;/&gt;&lt;wsp:rsid wsp:val=&quot;005E4740&quot;/&gt;&lt;wsp:rsid wsp:val=&quot;005E484B&quot;/&gt;&lt;wsp:rsid wsp:val=&quot;005E485E&quot;/&gt;&lt;wsp:rsid wsp:val=&quot;005E497E&quot;/&gt;&lt;wsp:rsid wsp:val=&quot;005E49F5&quot;/&gt;&lt;wsp:rsid wsp:val=&quot;005E4B5C&quot;/&gt;&lt;wsp:rsid wsp:val=&quot;005E4B7D&quot;/&gt;&lt;wsp:rsid wsp:val=&quot;005E4D33&quot;/&gt;&lt;wsp:rsid wsp:val=&quot;005E4E03&quot;/&gt;&lt;wsp:rsid wsp:val=&quot;005E4FD7&quot;/&gt;&lt;wsp:rsid wsp:val=&quot;005E4FE9&quot;/&gt;&lt;wsp:rsid wsp:val=&quot;005E50D6&quot;/&gt;&lt;wsp:rsid wsp:val=&quot;005E520F&quot;/&gt;&lt;wsp:rsid wsp:val=&quot;005E5245&quot;/&gt;&lt;wsp:rsid wsp:val=&quot;005E534E&quot;/&gt;&lt;wsp:rsid wsp:val=&quot;005E555A&quot;/&gt;&lt;wsp:rsid wsp:val=&quot;005E5672&quot;/&gt;&lt;wsp:rsid wsp:val=&quot;005E5893&quot;/&gt;&lt;wsp:rsid wsp:val=&quot;005E5C96&quot;/&gt;&lt;wsp:rsid wsp:val=&quot;005E5E30&quot;/&gt;&lt;wsp:rsid wsp:val=&quot;005E5E74&quot;/&gt;&lt;wsp:rsid wsp:val=&quot;005E640E&quot;/&gt;&lt;wsp:rsid wsp:val=&quot;005E65A9&quot;/&gt;&lt;wsp:rsid wsp:val=&quot;005E6A03&quot;/&gt;&lt;wsp:rsid wsp:val=&quot;005E6ACF&quot;/&gt;&lt;wsp:rsid wsp:val=&quot;005E6BE5&quot;/&gt;&lt;wsp:rsid wsp:val=&quot;005E6CD2&quot;/&gt;&lt;wsp:rsid wsp:val=&quot;005E6D02&quot;/&gt;&lt;wsp:rsid wsp:val=&quot;005E72D1&quot;/&gt;&lt;wsp:rsid wsp:val=&quot;005E75D1&quot;/&gt;&lt;wsp:rsid wsp:val=&quot;005E7926&quot;/&gt;&lt;wsp:rsid wsp:val=&quot;005E79AA&quot;/&gt;&lt;wsp:rsid wsp:val=&quot;005E7C62&quot;/&gt;&lt;wsp:rsid wsp:val=&quot;005E7D4A&quot;/&gt;&lt;wsp:rsid wsp:val=&quot;005E7F0E&quot;/&gt;&lt;wsp:rsid wsp:val=&quot;005E7F44&quot;/&gt;&lt;wsp:rsid wsp:val=&quot;005F0003&quot;/&gt;&lt;wsp:rsid wsp:val=&quot;005F004B&quot;/&gt;&lt;wsp:rsid wsp:val=&quot;005F0168&quot;/&gt;&lt;wsp:rsid wsp:val=&quot;005F01D1&quot;/&gt;&lt;wsp:rsid wsp:val=&quot;005F04D8&quot;/&gt;&lt;wsp:rsid wsp:val=&quot;005F09A3&quot;/&gt;&lt;wsp:rsid wsp:val=&quot;005F0A1D&quot;/&gt;&lt;wsp:rsid wsp:val=&quot;005F0BFF&quot;/&gt;&lt;wsp:rsid wsp:val=&quot;005F0D97&quot;/&gt;&lt;wsp:rsid wsp:val=&quot;005F0DAF&quot;/&gt;&lt;wsp:rsid wsp:val=&quot;005F0FDF&quot;/&gt;&lt;wsp:rsid wsp:val=&quot;005F182E&quot;/&gt;&lt;wsp:rsid wsp:val=&quot;005F192B&quot;/&gt;&lt;wsp:rsid wsp:val=&quot;005F1E86&quot;/&gt;&lt;wsp:rsid wsp:val=&quot;005F2131&quot;/&gt;&lt;wsp:rsid wsp:val=&quot;005F29F4&quot;/&gt;&lt;wsp:rsid wsp:val=&quot;005F2A61&quot;/&gt;&lt;wsp:rsid wsp:val=&quot;005F2C79&quot;/&gt;&lt;wsp:rsid wsp:val=&quot;005F2C9A&quot;/&gt;&lt;wsp:rsid wsp:val=&quot;005F2DCE&quot;/&gt;&lt;wsp:rsid wsp:val=&quot;005F304F&quot;/&gt;&lt;wsp:rsid wsp:val=&quot;005F33A8&quot;/&gt;&lt;wsp:rsid wsp:val=&quot;005F3619&quot;/&gt;&lt;wsp:rsid wsp:val=&quot;005F37D1&quot;/&gt;&lt;wsp:rsid wsp:val=&quot;005F3C98&quot;/&gt;&lt;wsp:rsid wsp:val=&quot;005F3CDD&quot;/&gt;&lt;wsp:rsid wsp:val=&quot;005F3D4F&quot;/&gt;&lt;wsp:rsid wsp:val=&quot;005F42E9&quot;/&gt;&lt;wsp:rsid wsp:val=&quot;005F432B&quot;/&gt;&lt;wsp:rsid wsp:val=&quot;005F4417&quot;/&gt;&lt;wsp:rsid wsp:val=&quot;005F4895&quot;/&gt;&lt;wsp:rsid wsp:val=&quot;005F4CDF&quot;/&gt;&lt;wsp:rsid wsp:val=&quot;005F4DBB&quot;/&gt;&lt;wsp:rsid wsp:val=&quot;005F4ECE&quot;/&gt;&lt;wsp:rsid wsp:val=&quot;005F4FB0&quot;/&gt;&lt;wsp:rsid wsp:val=&quot;005F5002&quot;/&gt;&lt;wsp:rsid wsp:val=&quot;005F51B7&quot;/&gt;&lt;wsp:rsid wsp:val=&quot;005F52DB&quot;/&gt;&lt;wsp:rsid wsp:val=&quot;005F5995&quot;/&gt;&lt;wsp:rsid wsp:val=&quot;005F5B3B&quot;/&gt;&lt;wsp:rsid wsp:val=&quot;005F60A3&quot;/&gt;&lt;wsp:rsid wsp:val=&quot;005F659D&quot;/&gt;&lt;wsp:rsid wsp:val=&quot;005F688A&quot;/&gt;&lt;wsp:rsid wsp:val=&quot;005F6C3F&quot;/&gt;&lt;wsp:rsid wsp:val=&quot;005F7A20&quot;/&gt;&lt;wsp:rsid wsp:val=&quot;005F7B91&quot;/&gt;&lt;wsp:rsid wsp:val=&quot;005F7BDD&quot;/&gt;&lt;wsp:rsid wsp:val=&quot;005F7CB3&quot;/&gt;&lt;wsp:rsid wsp:val=&quot;005F7CF7&quot;/&gt;&lt;wsp:rsid wsp:val=&quot;006000DF&quot;/&gt;&lt;wsp:rsid wsp:val=&quot;006002DC&quot;/&gt;&lt;wsp:rsid wsp:val=&quot;00600314&quot;/&gt;&lt;wsp:rsid wsp:val=&quot;00600360&quot;/&gt;&lt;wsp:rsid wsp:val=&quot;00600463&quot;/&gt;&lt;wsp:rsid wsp:val=&quot;0060046F&quot;/&gt;&lt;wsp:rsid wsp:val=&quot;00600C36&quot;/&gt;&lt;wsp:rsid wsp:val=&quot;00600EF6&quot;/&gt;&lt;wsp:rsid wsp:val=&quot;00600FE9&quot;/&gt;&lt;wsp:rsid wsp:val=&quot;0060192D&quot;/&gt;&lt;wsp:rsid wsp:val=&quot;006019FD&quot;/&gt;&lt;wsp:rsid wsp:val=&quot;00601B85&quot;/&gt;&lt;wsp:rsid wsp:val=&quot;00602366&quot;/&gt;&lt;wsp:rsid wsp:val=&quot;00602B25&quot;/&gt;&lt;wsp:rsid wsp:val=&quot;00602B4E&quot;/&gt;&lt;wsp:rsid wsp:val=&quot;00602BFE&quot;/&gt;&lt;wsp:rsid wsp:val=&quot;00602C2F&quot;/&gt;&lt;wsp:rsid wsp:val=&quot;00602DC8&quot;/&gt;&lt;wsp:rsid wsp:val=&quot;00602EC7&quot;/&gt;&lt;wsp:rsid wsp:val=&quot;00602F8C&quot;/&gt;&lt;wsp:rsid wsp:val=&quot;006032E1&quot;/&gt;&lt;wsp:rsid wsp:val=&quot;006033C3&quot;/&gt;&lt;wsp:rsid wsp:val=&quot;006037D9&quot;/&gt;&lt;wsp:rsid wsp:val=&quot;006037FA&quot;/&gt;&lt;wsp:rsid wsp:val=&quot;00603865&quot;/&gt;&lt;wsp:rsid wsp:val=&quot;00603F4E&quot;/&gt;&lt;wsp:rsid wsp:val=&quot;0060426E&quot;/&gt;&lt;wsp:rsid wsp:val=&quot;0060453C&quot;/&gt;&lt;wsp:rsid wsp:val=&quot;006049BD&quot;/&gt;&lt;wsp:rsid wsp:val=&quot;00604A0F&quot;/&gt;&lt;wsp:rsid wsp:val=&quot;00604A9E&quot;/&gt;&lt;wsp:rsid wsp:val=&quot;00604C53&quot;/&gt;&lt;wsp:rsid wsp:val=&quot;00604C95&quot;/&gt;&lt;wsp:rsid wsp:val=&quot;00604EB0&quot;/&gt;&lt;wsp:rsid wsp:val=&quot;00604F8D&quot;/&gt;&lt;wsp:rsid wsp:val=&quot;00605102&quot;/&gt;&lt;wsp:rsid wsp:val=&quot;00605103&quot;/&gt;&lt;wsp:rsid wsp:val=&quot;006051FE&quot;/&gt;&lt;wsp:rsid wsp:val=&quot;00605248&quot;/&gt;&lt;wsp:rsid wsp:val=&quot;006053F8&quot;/&gt;&lt;wsp:rsid wsp:val=&quot;0060557A&quot;/&gt;&lt;wsp:rsid wsp:val=&quot;00605592&quot;/&gt;&lt;wsp:rsid wsp:val=&quot;0060562E&quot;/&gt;&lt;wsp:rsid wsp:val=&quot;00605880&quot;/&gt;&lt;wsp:rsid wsp:val=&quot;00605947&quot;/&gt;&lt;wsp:rsid wsp:val=&quot;00605E09&quot;/&gt;&lt;wsp:rsid wsp:val=&quot;00606053&quot;/&gt;&lt;wsp:rsid wsp:val=&quot;00606128&quot;/&gt;&lt;wsp:rsid wsp:val=&quot;0060624F&quot;/&gt;&lt;wsp:rsid wsp:val=&quot;006064EA&quot;/&gt;&lt;wsp:rsid wsp:val=&quot;00606842&quot;/&gt;&lt;wsp:rsid wsp:val=&quot;00606A4A&quot;/&gt;&lt;wsp:rsid wsp:val=&quot;00606C09&quot;/&gt;&lt;wsp:rsid wsp:val=&quot;00606C1A&quot;/&gt;&lt;wsp:rsid wsp:val=&quot;00606EDD&quot;/&gt;&lt;wsp:rsid wsp:val=&quot;00606F14&quot;/&gt;&lt;wsp:rsid wsp:val=&quot;0060739D&quot;/&gt;&lt;wsp:rsid wsp:val=&quot;00607402&quot;/&gt;&lt;wsp:rsid wsp:val=&quot;006077CE&quot;/&gt;&lt;wsp:rsid wsp:val=&quot;006077D1&quot;/&gt;&lt;wsp:rsid wsp:val=&quot;00607A89&quot;/&gt;&lt;wsp:rsid wsp:val=&quot;00607B0D&quot;/&gt;&lt;wsp:rsid wsp:val=&quot;00607B15&quot;/&gt;&lt;wsp:rsid wsp:val=&quot;00607F20&quot;/&gt;&lt;wsp:rsid wsp:val=&quot;00607F89&quot;/&gt;&lt;wsp:rsid wsp:val=&quot;0061031F&quot;/&gt;&lt;wsp:rsid wsp:val=&quot;006103FB&quot;/&gt;&lt;wsp:rsid wsp:val=&quot;006105E7&quot;/&gt;&lt;wsp:rsid wsp:val=&quot;00610609&quot;/&gt;&lt;wsp:rsid wsp:val=&quot;00610690&quot;/&gt;&lt;wsp:rsid wsp:val=&quot;00610937&quot;/&gt;&lt;wsp:rsid wsp:val=&quot;006114F0&quot;/&gt;&lt;wsp:rsid wsp:val=&quot;0061150A&quot;/&gt;&lt;wsp:rsid wsp:val=&quot;006115F0&quot;/&gt;&lt;wsp:rsid wsp:val=&quot;0061165C&quot;/&gt;&lt;wsp:rsid wsp:val=&quot;00611ABE&quot;/&gt;&lt;wsp:rsid wsp:val=&quot;00611BED&quot;/&gt;&lt;wsp:rsid wsp:val=&quot;006121A5&quot;/&gt;&lt;wsp:rsid wsp:val=&quot;006123F3&quot;/&gt;&lt;wsp:rsid wsp:val=&quot;00612518&quot;/&gt;&lt;wsp:rsid wsp:val=&quot;00612835&quot;/&gt;&lt;wsp:rsid wsp:val=&quot;00612B25&quot;/&gt;&lt;wsp:rsid wsp:val=&quot;00612C31&quot;/&gt;&lt;wsp:rsid wsp:val=&quot;00612E64&quot;/&gt;&lt;wsp:rsid wsp:val=&quot;00612EBD&quot;/&gt;&lt;wsp:rsid wsp:val=&quot;006135D0&quot;/&gt;&lt;wsp:rsid wsp:val=&quot;00613855&quot;/&gt;&lt;wsp:rsid wsp:val=&quot;006139B9&quot;/&gt;&lt;wsp:rsid wsp:val=&quot;006139D4&quot;/&gt;&lt;wsp:rsid wsp:val=&quot;00613B1A&quot;/&gt;&lt;wsp:rsid wsp:val=&quot;00613BC5&quot;/&gt;&lt;wsp:rsid wsp:val=&quot;00613D62&quot;/&gt;&lt;wsp:rsid wsp:val=&quot;00613EA3&quot;/&gt;&lt;wsp:rsid wsp:val=&quot;006141F8&quot;/&gt;&lt;wsp:rsid wsp:val=&quot;00614662&quot;/&gt;&lt;wsp:rsid wsp:val=&quot;0061466A&quot;/&gt;&lt;wsp:rsid wsp:val=&quot;006147B1&quot;/&gt;&lt;wsp:rsid wsp:val=&quot;00614959&quot;/&gt;&lt;wsp:rsid wsp:val=&quot;00614A97&quot;/&gt;&lt;wsp:rsid wsp:val=&quot;00614ADA&quot;/&gt;&lt;wsp:rsid wsp:val=&quot;00614B51&quot;/&gt;&lt;wsp:rsid wsp:val=&quot;00614D95&quot;/&gt;&lt;wsp:rsid wsp:val=&quot;00614F86&quot;/&gt;&lt;wsp:rsid wsp:val=&quot;00615080&quot;/&gt;&lt;wsp:rsid wsp:val=&quot;00615399&quot;/&gt;&lt;wsp:rsid wsp:val=&quot;006157EE&quot;/&gt;&lt;wsp:rsid wsp:val=&quot;006159AC&quot;/&gt;&lt;wsp:rsid wsp:val=&quot;00615A02&quot;/&gt;&lt;wsp:rsid wsp:val=&quot;00615F62&quot;/&gt;&lt;wsp:rsid wsp:val=&quot;0061612E&quot;/&gt;&lt;wsp:rsid wsp:val=&quot;006162CF&quot;/&gt;&lt;wsp:rsid wsp:val=&quot;00616563&quot;/&gt;&lt;wsp:rsid wsp:val=&quot;00616612&quot;/&gt;&lt;wsp:rsid wsp:val=&quot;00616984&quot;/&gt;&lt;wsp:rsid wsp:val=&quot;00616B85&quot;/&gt;&lt;wsp:rsid wsp:val=&quot;00616BC1&quot;/&gt;&lt;wsp:rsid wsp:val=&quot;00616CAE&quot;/&gt;&lt;wsp:rsid wsp:val=&quot;00616EA7&quot;/&gt;&lt;wsp:rsid wsp:val=&quot;00616ECB&quot;/&gt;&lt;wsp:rsid wsp:val=&quot;00617234&quot;/&gt;&lt;wsp:rsid wsp:val=&quot;00617379&quot;/&gt;&lt;wsp:rsid wsp:val=&quot;00617593&quot;/&gt;&lt;wsp:rsid wsp:val=&quot;006177AD&quot;/&gt;&lt;wsp:rsid wsp:val=&quot;0061799B&quot;/&gt;&lt;wsp:rsid wsp:val=&quot;00617A85&quot;/&gt;&lt;wsp:rsid wsp:val=&quot;00617E40&quot;/&gt;&lt;wsp:rsid wsp:val=&quot;00617E5A&quot;/&gt;&lt;wsp:rsid wsp:val=&quot;00617F59&quot;/&gt;&lt;wsp:rsid wsp:val=&quot;00620338&quot;/&gt;&lt;wsp:rsid wsp:val=&quot;006203E7&quot;/&gt;&lt;wsp:rsid wsp:val=&quot;00620462&quot;/&gt;&lt;wsp:rsid wsp:val=&quot;006205E2&quot;/&gt;&lt;wsp:rsid wsp:val=&quot;006208CC&quot;/&gt;&lt;wsp:rsid wsp:val=&quot;0062092A&quot;/&gt;&lt;wsp:rsid wsp:val=&quot;00620977&quot;/&gt;&lt;wsp:rsid wsp:val=&quot;00620DF4&quot;/&gt;&lt;wsp:rsid wsp:val=&quot;0062161D&quot;/&gt;&lt;wsp:rsid wsp:val=&quot;00621BE0&quot;/&gt;&lt;wsp:rsid wsp:val=&quot;00621CA3&quot;/&gt;&lt;wsp:rsid wsp:val=&quot;006222C6&quot;/&gt;&lt;wsp:rsid wsp:val=&quot;006227A7&quot;/&gt;&lt;wsp:rsid wsp:val=&quot;006227C9&quot;/&gt;&lt;wsp:rsid wsp:val=&quot;006228EB&quot;/&gt;&lt;wsp:rsid wsp:val=&quot;006228EE&quot;/&gt;&lt;wsp:rsid wsp:val=&quot;00622B60&quot;/&gt;&lt;wsp:rsid wsp:val=&quot;00622BBB&quot;/&gt;&lt;wsp:rsid wsp:val=&quot;00623133&quot;/&gt;&lt;wsp:rsid wsp:val=&quot;0062322D&quot;/&gt;&lt;wsp:rsid wsp:val=&quot;00623624&quot;/&gt;&lt;wsp:rsid wsp:val=&quot;006238F9&quot;/&gt;&lt;wsp:rsid wsp:val=&quot;00623B1F&quot;/&gt;&lt;wsp:rsid wsp:val=&quot;00623FC9&quot;/&gt;&lt;wsp:rsid wsp:val=&quot;006240D7&quot;/&gt;&lt;wsp:rsid wsp:val=&quot;0062431B&quot;/&gt;&lt;wsp:rsid wsp:val=&quot;006249F4&quot;/&gt;&lt;wsp:rsid wsp:val=&quot;00624B2F&quot;/&gt;&lt;wsp:rsid wsp:val=&quot;00624C26&quot;/&gt;&lt;wsp:rsid wsp:val=&quot;00624E8D&quot;/&gt;&lt;wsp:rsid wsp:val=&quot;00624E93&quot;/&gt;&lt;wsp:rsid wsp:val=&quot;0062503F&quot;/&gt;&lt;wsp:rsid wsp:val=&quot;00625890&quot;/&gt;&lt;wsp:rsid wsp:val=&quot;00625E9F&quot;/&gt;&lt;wsp:rsid wsp:val=&quot;00625EDC&quot;/&gt;&lt;wsp:rsid wsp:val=&quot;00626050&quot;/&gt;&lt;wsp:rsid wsp:val=&quot;00626355&quot;/&gt;&lt;wsp:rsid wsp:val=&quot;006263D7&quot;/&gt;&lt;wsp:rsid wsp:val=&quot;006263F6&quot;/&gt;&lt;wsp:rsid wsp:val=&quot;00626DA9&quot;/&gt;&lt;wsp:rsid wsp:val=&quot;00626DBC&quot;/&gt;&lt;wsp:rsid wsp:val=&quot;0062701B&quot;/&gt;&lt;wsp:rsid wsp:val=&quot;006273D2&quot;/&gt;&lt;wsp:rsid wsp:val=&quot;0062775A&quot;/&gt;&lt;wsp:rsid wsp:val=&quot;0062778B&quot;/&gt;&lt;wsp:rsid wsp:val=&quot;0062782B&quot;/&gt;&lt;wsp:rsid wsp:val=&quot;006279F4&quot;/&gt;&lt;wsp:rsid wsp:val=&quot;00627BC0&quot;/&gt;&lt;wsp:rsid wsp:val=&quot;00627C20&quot;/&gt;&lt;wsp:rsid wsp:val=&quot;0063028E&quot;/&gt;&lt;wsp:rsid wsp:val=&quot;00630658&quot;/&gt;&lt;wsp:rsid wsp:val=&quot;006306D3&quot;/&gt;&lt;wsp:rsid wsp:val=&quot;00630A11&quot;/&gt;&lt;wsp:rsid wsp:val=&quot;00630BB6&quot;/&gt;&lt;wsp:rsid wsp:val=&quot;00630BB9&quot;/&gt;&lt;wsp:rsid wsp:val=&quot;00630E84&quot;/&gt;&lt;wsp:rsid wsp:val=&quot;00630FA2&quot;/&gt;&lt;wsp:rsid wsp:val=&quot;006312C8&quot;/&gt;&lt;wsp:rsid wsp:val=&quot;0063165A&quot;/&gt;&lt;wsp:rsid wsp:val=&quot;006316B3&quot;/&gt;&lt;wsp:rsid wsp:val=&quot;00631731&quot;/&gt;&lt;wsp:rsid wsp:val=&quot;0063196E&quot;/&gt;&lt;wsp:rsid wsp:val=&quot;00631A2B&quot;/&gt;&lt;wsp:rsid wsp:val=&quot;00631B95&quot;/&gt;&lt;wsp:rsid wsp:val=&quot;00631FB1&quot;/&gt;&lt;wsp:rsid wsp:val=&quot;00632027&quot;/&gt;&lt;wsp:rsid wsp:val=&quot;00632096&quot;/&gt;&lt;wsp:rsid wsp:val=&quot;00632401&quot;/&gt;&lt;wsp:rsid wsp:val=&quot;0063260A&quot;/&gt;&lt;wsp:rsid wsp:val=&quot;00632919&quot;/&gt;&lt;wsp:rsid wsp:val=&quot;00632B0D&quot;/&gt;&lt;wsp:rsid wsp:val=&quot;00632B2E&quot;/&gt;&lt;wsp:rsid wsp:val=&quot;00632C80&quot;/&gt;&lt;wsp:rsid wsp:val=&quot;00632D05&quot;/&gt;&lt;wsp:rsid wsp:val=&quot;00632E78&quot;/&gt;&lt;wsp:rsid wsp:val=&quot;006334C5&quot;/&gt;&lt;wsp:rsid wsp:val=&quot;006335EA&quot;/&gt;&lt;wsp:rsid wsp:val=&quot;006339B5&quot;/&gt;&lt;wsp:rsid wsp:val=&quot;00633C5F&quot;/&gt;&lt;wsp:rsid wsp:val=&quot;00633F3B&quot;/&gt;&lt;wsp:rsid wsp:val=&quot;00633FDD&quot;/&gt;&lt;wsp:rsid wsp:val=&quot;006340DD&quot;/&gt;&lt;wsp:rsid wsp:val=&quot;00634103&quot;/&gt;&lt;wsp:rsid wsp:val=&quot;006346CD&quot;/&gt;&lt;wsp:rsid wsp:val=&quot;00634732&quot;/&gt;&lt;wsp:rsid wsp:val=&quot;00634951&quot;/&gt;&lt;wsp:rsid wsp:val=&quot;00634E10&quot;/&gt;&lt;wsp:rsid wsp:val=&quot;00634FE8&quot;/&gt;&lt;wsp:rsid wsp:val=&quot;006354BE&quot;/&gt;&lt;wsp:rsid wsp:val=&quot;00635698&quot;/&gt;&lt;wsp:rsid wsp:val=&quot;00635A2D&quot;/&gt;&lt;wsp:rsid wsp:val=&quot;00635BD5&quot;/&gt;&lt;wsp:rsid wsp:val=&quot;00635E52&quot;/&gt;&lt;wsp:rsid wsp:val=&quot;00636060&quot;/&gt;&lt;wsp:rsid wsp:val=&quot;00636077&quot;/&gt;&lt;wsp:rsid wsp:val=&quot;00636217&quot;/&gt;&lt;wsp:rsid wsp:val=&quot;00636682&quot;/&gt;&lt;wsp:rsid wsp:val=&quot;00636775&quot;/&gt;&lt;wsp:rsid wsp:val=&quot;0063685B&quot;/&gt;&lt;wsp:rsid wsp:val=&quot;00636E16&quot;/&gt;&lt;wsp:rsid wsp:val=&quot;00636FBF&quot;/&gt;&lt;wsp:rsid wsp:val=&quot;006375E3&quot;/&gt;&lt;wsp:rsid wsp:val=&quot;00637C42&quot;/&gt;&lt;wsp:rsid wsp:val=&quot;00637DDE&quot;/&gt;&lt;wsp:rsid wsp:val=&quot;00640141&quot;/&gt;&lt;wsp:rsid wsp:val=&quot;006401BF&quot;/&gt;&lt;wsp:rsid wsp:val=&quot;00640212&quot;/&gt;&lt;wsp:rsid wsp:val=&quot;006402DA&quot;/&gt;&lt;wsp:rsid wsp:val=&quot;0064046A&quot;/&gt;&lt;wsp:rsid wsp:val=&quot;00640863&quot;/&gt;&lt;wsp:rsid wsp:val=&quot;00640873&quot;/&gt;&lt;wsp:rsid wsp:val=&quot;00640FCD&quot;/&gt;&lt;wsp:rsid wsp:val=&quot;0064115D&quot;/&gt;&lt;wsp:rsid wsp:val=&quot;0064190B&quot;/&gt;&lt;wsp:rsid wsp:val=&quot;00641D06&quot;/&gt;&lt;wsp:rsid wsp:val=&quot;00641DEF&quot;/&gt;&lt;wsp:rsid wsp:val=&quot;00641E54&quot;/&gt;&lt;wsp:rsid wsp:val=&quot;0064209D&quot;/&gt;&lt;wsp:rsid wsp:val=&quot;006421BA&quot;/&gt;&lt;wsp:rsid wsp:val=&quot;00642530&quot;/&gt;&lt;wsp:rsid wsp:val=&quot;00642839&quot;/&gt;&lt;wsp:rsid wsp:val=&quot;00642974&quot;/&gt;&lt;wsp:rsid wsp:val=&quot;00642DC5&quot;/&gt;&lt;wsp:rsid wsp:val=&quot;00642E38&quot;/&gt;&lt;wsp:rsid wsp:val=&quot;006431B1&quot;/&gt;&lt;wsp:rsid wsp:val=&quot;00643331&quot;/&gt;&lt;wsp:rsid wsp:val=&quot;006434EF&quot;/&gt;&lt;wsp:rsid wsp:val=&quot;006436D6&quot;/&gt;&lt;wsp:rsid wsp:val=&quot;006437E7&quot;/&gt;&lt;wsp:rsid wsp:val=&quot;00643D28&quot;/&gt;&lt;wsp:rsid wsp:val=&quot;00643DF5&quot;/&gt;&lt;wsp:rsid wsp:val=&quot;00644062&quot;/&gt;&lt;wsp:rsid wsp:val=&quot;006443A6&quot;/&gt;&lt;wsp:rsid wsp:val=&quot;00644565&quot;/&gt;&lt;wsp:rsid wsp:val=&quot;00644672&quot;/&gt;&lt;wsp:rsid wsp:val=&quot;0064467F&quot;/&gt;&lt;wsp:rsid wsp:val=&quot;00644CCD&quot;/&gt;&lt;wsp:rsid wsp:val=&quot;006454C0&quot;/&gt;&lt;wsp:rsid wsp:val=&quot;00645642&quot;/&gt;&lt;wsp:rsid wsp:val=&quot;0064570C&quot;/&gt;&lt;wsp:rsid wsp:val=&quot;00645DCF&quot;/&gt;&lt;wsp:rsid wsp:val=&quot;00645E05&quot;/&gt;&lt;wsp:rsid wsp:val=&quot;00645E47&quot;/&gt;&lt;wsp:rsid wsp:val=&quot;0064626F&quot;/&gt;&lt;wsp:rsid wsp:val=&quot;006462A0&quot;/&gt;&lt;wsp:rsid wsp:val=&quot;00646B2C&quot;/&gt;&lt;wsp:rsid wsp:val=&quot;00646BCB&quot;/&gt;&lt;wsp:rsid wsp:val=&quot;00646DD4&quot;/&gt;&lt;wsp:rsid wsp:val=&quot;00647047&quot;/&gt;&lt;wsp:rsid wsp:val=&quot;006470F9&quot;/&gt;&lt;wsp:rsid wsp:val=&quot;00647224&quot;/&gt;&lt;wsp:rsid wsp:val=&quot;00647469&quot;/&gt;&lt;wsp:rsid wsp:val=&quot;00647826&quot;/&gt;&lt;wsp:rsid wsp:val=&quot;00647827&quot;/&gt;&lt;wsp:rsid wsp:val=&quot;00647E11&quot;/&gt;&lt;wsp:rsid wsp:val=&quot;00647E3A&quot;/&gt;&lt;wsp:rsid wsp:val=&quot;00647F81&quot;/&gt;&lt;wsp:rsid wsp:val=&quot;00647F84&quot;/&gt;&lt;wsp:rsid wsp:val=&quot;006504D9&quot;/&gt;&lt;wsp:rsid wsp:val=&quot;0065087D&quot;/&gt;&lt;wsp:rsid wsp:val=&quot;00650931&quot;/&gt;&lt;wsp:rsid wsp:val=&quot;00650BC3&quot;/&gt;&lt;wsp:rsid wsp:val=&quot;00650F4A&quot;/&gt;&lt;wsp:rsid wsp:val=&quot;00651352&quot;/&gt;&lt;wsp:rsid wsp:val=&quot;006515AD&quot;/&gt;&lt;wsp:rsid wsp:val=&quot;0065179F&quot;/&gt;&lt;wsp:rsid wsp:val=&quot;00651A09&quot;/&gt;&lt;wsp:rsid wsp:val=&quot;00651C19&quot;/&gt;&lt;wsp:rsid wsp:val=&quot;00651EF3&quot;/&gt;&lt;wsp:rsid wsp:val=&quot;0065218F&quot;/&gt;&lt;wsp:rsid wsp:val=&quot;006522CC&quot;/&gt;&lt;wsp:rsid wsp:val=&quot;00652404&quot;/&gt;&lt;wsp:rsid wsp:val=&quot;0065244D&quot;/&gt;&lt;wsp:rsid wsp:val=&quot;006525E7&quot;/&gt;&lt;wsp:rsid wsp:val=&quot;0065286F&quot;/&gt;&lt;wsp:rsid wsp:val=&quot;00652B47&quot;/&gt;&lt;wsp:rsid wsp:val=&quot;00652B5A&quot;/&gt;&lt;wsp:rsid wsp:val=&quot;00652BCF&quot;/&gt;&lt;wsp:rsid wsp:val=&quot;00652CD2&quot;/&gt;&lt;wsp:rsid wsp:val=&quot;00653397&quot;/&gt;&lt;wsp:rsid wsp:val=&quot;006534D6&quot;/&gt;&lt;wsp:rsid wsp:val=&quot;0065363A&quot;/&gt;&lt;wsp:rsid wsp:val=&quot;00653B1D&quot;/&gt;&lt;wsp:rsid wsp:val=&quot;00653F60&quot;/&gt;&lt;wsp:rsid wsp:val=&quot;00654134&quot;/&gt;&lt;wsp:rsid wsp:val=&quot;006542A0&quot;/&gt;&lt;wsp:rsid wsp:val=&quot;00654436&quot;/&gt;&lt;wsp:rsid wsp:val=&quot;00654605&quot;/&gt;&lt;wsp:rsid wsp:val=&quot;006547D8&quot;/&gt;&lt;wsp:rsid wsp:val=&quot;00654949&quot;/&gt;&lt;wsp:rsid wsp:val=&quot;00654A28&quot;/&gt;&lt;wsp:rsid wsp:val=&quot;00654BBE&quot;/&gt;&lt;wsp:rsid wsp:val=&quot;00654E9F&quot;/&gt;&lt;wsp:rsid wsp:val=&quot;00654FB7&quot;/&gt;&lt;wsp:rsid wsp:val=&quot;006553DA&quot;/&gt;&lt;wsp:rsid wsp:val=&quot;006555F0&quot;/&gt;&lt;wsp:rsid wsp:val=&quot;00655642&quot;/&gt;&lt;wsp:rsid wsp:val=&quot;006557CF&quot;/&gt;&lt;wsp:rsid wsp:val=&quot;00655860&quot;/&gt;&lt;wsp:rsid wsp:val=&quot;00655AFD&quot;/&gt;&lt;wsp:rsid wsp:val=&quot;00655CB7&quot;/&gt;&lt;wsp:rsid wsp:val=&quot;00655E49&quot;/&gt;&lt;wsp:rsid wsp:val=&quot;006566AE&quot;/&gt;&lt;wsp:rsid wsp:val=&quot;00656A1A&quot;/&gt;&lt;wsp:rsid wsp:val=&quot;00656C50&quot;/&gt;&lt;wsp:rsid wsp:val=&quot;00656C90&quot;/&gt;&lt;wsp:rsid wsp:val=&quot;00656C93&quot;/&gt;&lt;wsp:rsid wsp:val=&quot;00656E51&quot;/&gt;&lt;wsp:rsid wsp:val=&quot;00656FB9&quot;/&gt;&lt;wsp:rsid wsp:val=&quot;00657076&quot;/&gt;&lt;wsp:rsid wsp:val=&quot;00657107&quot;/&gt;&lt;wsp:rsid wsp:val=&quot;0065713F&quot;/&gt;&lt;wsp:rsid wsp:val=&quot;006574C5&quot;/&gt;&lt;wsp:rsid wsp:val=&quot;00657654&quot;/&gt;&lt;wsp:rsid wsp:val=&quot;0065778E&quot;/&gt;&lt;wsp:rsid wsp:val=&quot;0065786C&quot;/&gt;&lt;wsp:rsid wsp:val=&quot;00657F47&quot;/&gt;&lt;wsp:rsid wsp:val=&quot;0066010B&quot;/&gt;&lt;wsp:rsid wsp:val=&quot;00660129&quot;/&gt;&lt;wsp:rsid wsp:val=&quot;00660160&quot;/&gt;&lt;wsp:rsid wsp:val=&quot;006607F2&quot;/&gt;&lt;wsp:rsid wsp:val=&quot;00660812&quot;/&gt;&lt;wsp:rsid wsp:val=&quot;0066088C&quot;/&gt;&lt;wsp:rsid wsp:val=&quot;00660C43&quot;/&gt;&lt;wsp:rsid wsp:val=&quot;00660D3F&quot;/&gt;&lt;wsp:rsid wsp:val=&quot;00660F20&quot;/&gt;&lt;wsp:rsid wsp:val=&quot;00660F99&quot;/&gt;&lt;wsp:rsid wsp:val=&quot;00661247&quot;/&gt;&lt;wsp:rsid wsp:val=&quot;00661824&quot;/&gt;&lt;wsp:rsid wsp:val=&quot;0066184E&quot;/&gt;&lt;wsp:rsid wsp:val=&quot;00661AFB&quot;/&gt;&lt;wsp:rsid wsp:val=&quot;00661BAB&quot;/&gt;&lt;wsp:rsid wsp:val=&quot;00661E0E&quot;/&gt;&lt;wsp:rsid wsp:val=&quot;00662028&quot;/&gt;&lt;wsp:rsid wsp:val=&quot;00662507&quot;/&gt;&lt;wsp:rsid wsp:val=&quot;006626B3&quot;/&gt;&lt;wsp:rsid wsp:val=&quot;006627EE&quot;/&gt;&lt;wsp:rsid wsp:val=&quot;0066287C&quot;/&gt;&lt;wsp:rsid wsp:val=&quot;00662972&quot;/&gt;&lt;wsp:rsid wsp:val=&quot;00662BAC&quot;/&gt;&lt;wsp:rsid wsp:val=&quot;00663057&quot;/&gt;&lt;wsp:rsid wsp:val=&quot;006630CD&quot;/&gt;&lt;wsp:rsid wsp:val=&quot;006631A2&quot;/&gt;&lt;wsp:rsid wsp:val=&quot;0066357B&quot;/&gt;&lt;wsp:rsid wsp:val=&quot;00663774&quot;/&gt;&lt;wsp:rsid wsp:val=&quot;00664434&quot;/&gt;&lt;wsp:rsid wsp:val=&quot;006644D8&quot;/&gt;&lt;wsp:rsid wsp:val=&quot;00664582&quot;/&gt;&lt;wsp:rsid wsp:val=&quot;00664765&quot;/&gt;&lt;wsp:rsid wsp:val=&quot;0066495A&quot;/&gt;&lt;wsp:rsid wsp:val=&quot;00664BBB&quot;/&gt;&lt;wsp:rsid wsp:val=&quot;00664F83&quot;/&gt;&lt;wsp:rsid wsp:val=&quot;00665221&quot;/&gt;&lt;wsp:rsid wsp:val=&quot;0066563A&quot;/&gt;&lt;wsp:rsid wsp:val=&quot;006656B1&quot;/&gt;&lt;wsp:rsid wsp:val=&quot;006658C0&quot;/&gt;&lt;wsp:rsid wsp:val=&quot;0066591E&quot;/&gt;&lt;wsp:rsid wsp:val=&quot;00665B6A&quot;/&gt;&lt;wsp:rsid wsp:val=&quot;00665C78&quot;/&gt;&lt;wsp:rsid wsp:val=&quot;00665F8A&quot;/&gt;&lt;wsp:rsid wsp:val=&quot;00666047&quot;/&gt;&lt;wsp:rsid wsp:val=&quot;006660B1&quot;/&gt;&lt;wsp:rsid wsp:val=&quot;006664F1&quot;/&gt;&lt;wsp:rsid wsp:val=&quot;006666F9&quot;/&gt;&lt;wsp:rsid wsp:val=&quot;00666970&quot;/&gt;&lt;wsp:rsid wsp:val=&quot;00666E07&quot;/&gt;&lt;wsp:rsid wsp:val=&quot;006672A9&quot;/&gt;&lt;wsp:rsid wsp:val=&quot;0066732C&quot;/&gt;&lt;wsp:rsid wsp:val=&quot;006673C9&quot;/&gt;&lt;wsp:rsid wsp:val=&quot;006673F9&quot;/&gt;&lt;wsp:rsid wsp:val=&quot;00667805&quot;/&gt;&lt;wsp:rsid wsp:val=&quot;00667CF7&quot;/&gt;&lt;wsp:rsid wsp:val=&quot;00667E58&quot;/&gt;&lt;wsp:rsid wsp:val=&quot;00667FD9&quot;/&gt;&lt;wsp:rsid wsp:val=&quot;006701A1&quot;/&gt;&lt;wsp:rsid wsp:val=&quot;006705BC&quot;/&gt;&lt;wsp:rsid wsp:val=&quot;006706BC&quot;/&gt;&lt;wsp:rsid wsp:val=&quot;00670900&quot;/&gt;&lt;wsp:rsid wsp:val=&quot;00670C7F&quot;/&gt;&lt;wsp:rsid wsp:val=&quot;00670C8D&quot;/&gt;&lt;wsp:rsid wsp:val=&quot;00670D02&quot;/&gt;&lt;wsp:rsid wsp:val=&quot;00670D8A&quot;/&gt;&lt;wsp:rsid wsp:val=&quot;00670E37&quot;/&gt;&lt;wsp:rsid wsp:val=&quot;00670FFD&quot;/&gt;&lt;wsp:rsid wsp:val=&quot;00671000&quot;/&gt;&lt;wsp:rsid wsp:val=&quot;0067100F&quot;/&gt;&lt;wsp:rsid wsp:val=&quot;006715D3&quot;/&gt;&lt;wsp:rsid wsp:val=&quot;00671D60&quot;/&gt;&lt;wsp:rsid wsp:val=&quot;00671EB0&quot;/&gt;&lt;wsp:rsid wsp:val=&quot;00671FC7&quot;/&gt;&lt;wsp:rsid wsp:val=&quot;00672418&quot;/&gt;&lt;wsp:rsid wsp:val=&quot;006728AF&quot;/&gt;&lt;wsp:rsid wsp:val=&quot;006728C8&quot;/&gt;&lt;wsp:rsid wsp:val=&quot;006728E5&quot;/&gt;&lt;wsp:rsid wsp:val=&quot;00672910&quot;/&gt;&lt;wsp:rsid wsp:val=&quot;00672A7B&quot;/&gt;&lt;wsp:rsid wsp:val=&quot;00672B1D&quot;/&gt;&lt;wsp:rsid wsp:val=&quot;00672C7A&quot;/&gt;&lt;wsp:rsid wsp:val=&quot;00672DF3&quot;/&gt;&lt;wsp:rsid wsp:val=&quot;00672FD8&quot;/&gt;&lt;wsp:rsid wsp:val=&quot;00673258&quot;/&gt;&lt;wsp:rsid wsp:val=&quot;0067334E&quot;/&gt;&lt;wsp:rsid wsp:val=&quot;006738CB&quot;/&gt;&lt;wsp:rsid wsp:val=&quot;00673A34&quot;/&gt;&lt;wsp:rsid wsp:val=&quot;00673E52&quot;/&gt;&lt;wsp:rsid wsp:val=&quot;006740D1&quot;/&gt;&lt;wsp:rsid wsp:val=&quot;006744F0&quot;/&gt;&lt;wsp:rsid wsp:val=&quot;0067492E&quot;/&gt;&lt;wsp:rsid wsp:val=&quot;00674B0E&quot;/&gt;&lt;wsp:rsid wsp:val=&quot;00674C6F&quot;/&gt;&lt;wsp:rsid wsp:val=&quot;00674ED8&quot;/&gt;&lt;wsp:rsid wsp:val=&quot;006751D5&quot;/&gt;&lt;wsp:rsid wsp:val=&quot;00675470&quot;/&gt;&lt;wsp:rsid wsp:val=&quot;00675490&quot;/&gt;&lt;wsp:rsid wsp:val=&quot;006755B1&quot;/&gt;&lt;wsp:rsid wsp:val=&quot;006758A2&quot;/&gt;&lt;wsp:rsid wsp:val=&quot;00675AE6&quot;/&gt;&lt;wsp:rsid wsp:val=&quot;00675E62&quot;/&gt;&lt;wsp:rsid wsp:val=&quot;00675EE8&quot;/&gt;&lt;wsp:rsid wsp:val=&quot;00676240&quot;/&gt;&lt;wsp:rsid wsp:val=&quot;00676B2D&quot;/&gt;&lt;wsp:rsid wsp:val=&quot;00676B36&quot;/&gt;&lt;wsp:rsid wsp:val=&quot;00676B43&quot;/&gt;&lt;wsp:rsid wsp:val=&quot;00676CDC&quot;/&gt;&lt;wsp:rsid wsp:val=&quot;00676EC4&quot;/&gt;&lt;wsp:rsid wsp:val=&quot;00676EF2&quot;/&gt;&lt;wsp:rsid wsp:val=&quot;00677497&quot;/&gt;&lt;wsp:rsid wsp:val=&quot;00677924&quot;/&gt;&lt;wsp:rsid wsp:val=&quot;006779AA&quot;/&gt;&lt;wsp:rsid wsp:val=&quot;00677A58&quot;/&gt;&lt;wsp:rsid wsp:val=&quot;00677BA1&quot;/&gt;&lt;wsp:rsid wsp:val=&quot;00677DD1&quot;/&gt;&lt;wsp:rsid wsp:val=&quot;00677FE0&quot;/&gt;&lt;wsp:rsid wsp:val=&quot;0068032F&quot;/&gt;&lt;wsp:rsid wsp:val=&quot;006808FE&quot;/&gt;&lt;wsp:rsid wsp:val=&quot;00680B84&quot;/&gt;&lt;wsp:rsid wsp:val=&quot;00680E92&quot;/&gt;&lt;wsp:rsid wsp:val=&quot;00681271&quot;/&gt;&lt;wsp:rsid wsp:val=&quot;0068160B&quot;/&gt;&lt;wsp:rsid wsp:val=&quot;006817F0&quot;/&gt;&lt;wsp:rsid wsp:val=&quot;006819EF&quot;/&gt;&lt;wsp:rsid wsp:val=&quot;0068255E&quot;/&gt;&lt;wsp:rsid wsp:val=&quot;006828AF&quot;/&gt;&lt;wsp:rsid wsp:val=&quot;00682CB9&quot;/&gt;&lt;wsp:rsid wsp:val=&quot;006832F6&quot;/&gt;&lt;wsp:rsid wsp:val=&quot;006833C5&quot;/&gt;&lt;wsp:rsid wsp:val=&quot;00683472&quot;/&gt;&lt;wsp:rsid wsp:val=&quot;00683482&quot;/&gt;&lt;wsp:rsid wsp:val=&quot;00683A81&quot;/&gt;&lt;wsp:rsid wsp:val=&quot;006842B9&quot;/&gt;&lt;wsp:rsid wsp:val=&quot;00684499&quot;/&gt;&lt;wsp:rsid wsp:val=&quot;00684B09&quot;/&gt;&lt;wsp:rsid wsp:val=&quot;00684BEA&quot;/&gt;&lt;wsp:rsid wsp:val=&quot;00684CC3&quot;/&gt;&lt;wsp:rsid wsp:val=&quot;006851F3&quot;/&gt;&lt;wsp:rsid wsp:val=&quot;00685244&quot;/&gt;&lt;wsp:rsid wsp:val=&quot;006852DC&quot;/&gt;&lt;wsp:rsid wsp:val=&quot;00685312&quot;/&gt;&lt;wsp:rsid wsp:val=&quot;006856D5&quot;/&gt;&lt;wsp:rsid wsp:val=&quot;006857D5&quot;/&gt;&lt;wsp:rsid wsp:val=&quot;0068580E&quot;/&gt;&lt;wsp:rsid wsp:val=&quot;00685F45&quot;/&gt;&lt;wsp:rsid wsp:val=&quot;00686249&quot;/&gt;&lt;wsp:rsid wsp:val=&quot;00686376&quot;/&gt;&lt;wsp:rsid wsp:val=&quot;0068640D&quot;/&gt;&lt;wsp:rsid wsp:val=&quot;006864EE&quot;/&gt;&lt;wsp:rsid wsp:val=&quot;006868C1&quot;/&gt;&lt;wsp:rsid wsp:val=&quot;00686C5B&quot;/&gt;&lt;wsp:rsid wsp:val=&quot;00686EC6&quot;/&gt;&lt;wsp:rsid wsp:val=&quot;006870D5&quot;/&gt;&lt;wsp:rsid wsp:val=&quot;0068729C&quot;/&gt;&lt;wsp:rsid wsp:val=&quot;006872FB&quot;/&gt;&lt;wsp:rsid wsp:val=&quot;00687875&quot;/&gt;&lt;wsp:rsid wsp:val=&quot;00687904&quot;/&gt;&lt;wsp:rsid wsp:val=&quot;006879E0&quot;/&gt;&lt;wsp:rsid wsp:val=&quot;00687D52&quot;/&gt;&lt;wsp:rsid wsp:val=&quot;00690080&quot;/&gt;&lt;wsp:rsid wsp:val=&quot;006902EA&quot;/&gt;&lt;wsp:rsid wsp:val=&quot;006904BF&quot;/&gt;&lt;wsp:rsid wsp:val=&quot;0069055E&quot;/&gt;&lt;wsp:rsid wsp:val=&quot;0069086B&quot;/&gt;&lt;wsp:rsid wsp:val=&quot;006908F9&quot;/&gt;&lt;wsp:rsid wsp:val=&quot;006909A8&quot;/&gt;&lt;wsp:rsid wsp:val=&quot;00690A5E&quot;/&gt;&lt;wsp:rsid wsp:val=&quot;00690D7A&quot;/&gt;&lt;wsp:rsid wsp:val=&quot;00690E6B&quot;/&gt;&lt;wsp:rsid wsp:val=&quot;00691130&quot;/&gt;&lt;wsp:rsid wsp:val=&quot;00691402&quot;/&gt;&lt;wsp:rsid wsp:val=&quot;006916AC&quot;/&gt;&lt;wsp:rsid wsp:val=&quot;00691A54&quot;/&gt;&lt;wsp:rsid wsp:val=&quot;00691A9A&quot;/&gt;&lt;wsp:rsid wsp:val=&quot;00691D49&quot;/&gt;&lt;wsp:rsid wsp:val=&quot;00691FC8&quot;/&gt;&lt;wsp:rsid wsp:val=&quot;00691FFB&quot;/&gt;&lt;wsp:rsid wsp:val=&quot;0069206C&quot;/&gt;&lt;wsp:rsid wsp:val=&quot;0069206D&quot;/&gt;&lt;wsp:rsid wsp:val=&quot;00692136&quot;/&gt;&lt;wsp:rsid wsp:val=&quot;00692A76&quot;/&gt;&lt;wsp:rsid wsp:val=&quot;00692C12&quot;/&gt;&lt;wsp:rsid wsp:val=&quot;00692C4D&quot;/&gt;&lt;wsp:rsid wsp:val=&quot;00692C5F&quot;/&gt;&lt;wsp:rsid wsp:val=&quot;00692D5D&quot;/&gt;&lt;wsp:rsid wsp:val=&quot;0069319E&quot;/&gt;&lt;wsp:rsid wsp:val=&quot;006931BC&quot;/&gt;&lt;wsp:rsid wsp:val=&quot;0069342E&quot;/&gt;&lt;wsp:rsid wsp:val=&quot;006934CC&quot;/&gt;&lt;wsp:rsid wsp:val=&quot;00693AD7&quot;/&gt;&lt;wsp:rsid wsp:val=&quot;00693CAA&quot;/&gt;&lt;wsp:rsid wsp:val=&quot;00693DAB&quot;/&gt;&lt;wsp:rsid wsp:val=&quot;00693E41&quot;/&gt;&lt;wsp:rsid wsp:val=&quot;00693EF2&quot;/&gt;&lt;wsp:rsid wsp:val=&quot;0069424C&quot;/&gt;&lt;wsp:rsid wsp:val=&quot;006943CA&quot;/&gt;&lt;wsp:rsid wsp:val=&quot;006944C6&quot;/&gt;&lt;wsp:rsid wsp:val=&quot;00694771&quot;/&gt;&lt;wsp:rsid wsp:val=&quot;00694C4D&quot;/&gt;&lt;wsp:rsid wsp:val=&quot;00694E9D&quot;/&gt;&lt;wsp:rsid wsp:val=&quot;00694F9C&quot;/&gt;&lt;wsp:rsid wsp:val=&quot;00695173&quot;/&gt;&lt;wsp:rsid wsp:val=&quot;006951F6&quot;/&gt;&lt;wsp:rsid wsp:val=&quot;006954C4&quot;/&gt;&lt;wsp:rsid wsp:val=&quot;006957BB&quot;/&gt;&lt;wsp:rsid wsp:val=&quot;0069612C&quot;/&gt;&lt;wsp:rsid wsp:val=&quot;0069650E&quot;/&gt;&lt;wsp:rsid wsp:val=&quot;00696A54&quot;/&gt;&lt;wsp:rsid wsp:val=&quot;00696C15&quot;/&gt;&lt;wsp:rsid wsp:val=&quot;00696CBB&quot;/&gt;&lt;wsp:rsid wsp:val=&quot;00696E87&quot;/&gt;&lt;wsp:rsid wsp:val=&quot;00696ED8&quot;/&gt;&lt;wsp:rsid wsp:val=&quot;006972F1&quot;/&gt;&lt;wsp:rsid wsp:val=&quot;00697421&quot;/&gt;&lt;wsp:rsid wsp:val=&quot;00697474&quot;/&gt;&lt;wsp:rsid wsp:val=&quot;00697534&quot;/&gt;&lt;wsp:rsid wsp:val=&quot;0069762B&quot;/&gt;&lt;wsp:rsid wsp:val=&quot;006978A3&quot;/&gt;&lt;wsp:rsid wsp:val=&quot;006979CF&quot;/&gt;&lt;wsp:rsid wsp:val=&quot;00697A2D&quot;/&gt;&lt;wsp:rsid wsp:val=&quot;00697EFB&quot;/&gt;&lt;wsp:rsid wsp:val=&quot;00697FD3&quot;/&gt;&lt;wsp:rsid wsp:val=&quot;006A09FA&quot;/&gt;&lt;wsp:rsid wsp:val=&quot;006A0C1C&quot;/&gt;&lt;wsp:rsid wsp:val=&quot;006A10FD&quot;/&gt;&lt;wsp:rsid wsp:val=&quot;006A1632&quot;/&gt;&lt;wsp:rsid wsp:val=&quot;006A17A3&quot;/&gt;&lt;wsp:rsid wsp:val=&quot;006A1A47&quot;/&gt;&lt;wsp:rsid wsp:val=&quot;006A1AC7&quot;/&gt;&lt;wsp:rsid wsp:val=&quot;006A1AF7&quot;/&gt;&lt;wsp:rsid wsp:val=&quot;006A1AF9&quot;/&gt;&lt;wsp:rsid wsp:val=&quot;006A1BFB&quot;/&gt;&lt;wsp:rsid wsp:val=&quot;006A22E7&quot;/&gt;&lt;wsp:rsid wsp:val=&quot;006A2398&quot;/&gt;&lt;wsp:rsid wsp:val=&quot;006A2793&quot;/&gt;&lt;wsp:rsid wsp:val=&quot;006A28EE&quot;/&gt;&lt;wsp:rsid wsp:val=&quot;006A305E&quot;/&gt;&lt;wsp:rsid wsp:val=&quot;006A3063&quot;/&gt;&lt;wsp:rsid wsp:val=&quot;006A3500&quot;/&gt;&lt;wsp:rsid wsp:val=&quot;006A37DA&quot;/&gt;&lt;wsp:rsid wsp:val=&quot;006A39E0&quot;/&gt;&lt;wsp:rsid wsp:val=&quot;006A3E4C&quot;/&gt;&lt;wsp:rsid wsp:val=&quot;006A3EC3&quot;/&gt;&lt;wsp:rsid wsp:val=&quot;006A407F&quot;/&gt;&lt;wsp:rsid wsp:val=&quot;006A438E&quot;/&gt;&lt;wsp:rsid wsp:val=&quot;006A4915&quot;/&gt;&lt;wsp:rsid wsp:val=&quot;006A4E92&quot;/&gt;&lt;wsp:rsid wsp:val=&quot;006A542F&quot;/&gt;&lt;wsp:rsid wsp:val=&quot;006A59D0&quot;/&gt;&lt;wsp:rsid wsp:val=&quot;006A5C2A&quot;/&gt;&lt;wsp:rsid wsp:val=&quot;006A5C4F&quot;/&gt;&lt;wsp:rsid wsp:val=&quot;006A6350&quot;/&gt;&lt;wsp:rsid wsp:val=&quot;006A6B5A&quot;/&gt;&lt;wsp:rsid wsp:val=&quot;006A6DE5&quot;/&gt;&lt;wsp:rsid wsp:val=&quot;006A7010&quot;/&gt;&lt;wsp:rsid wsp:val=&quot;006A701F&quot;/&gt;&lt;wsp:rsid wsp:val=&quot;006A702C&quot;/&gt;&lt;wsp:rsid wsp:val=&quot;006A71FA&quot;/&gt;&lt;wsp:rsid wsp:val=&quot;006A7314&quot;/&gt;&lt;wsp:rsid wsp:val=&quot;006A739E&quot;/&gt;&lt;wsp:rsid wsp:val=&quot;006A7557&quot;/&gt;&lt;wsp:rsid wsp:val=&quot;006A75E4&quot;/&gt;&lt;wsp:rsid wsp:val=&quot;006A7838&quot;/&gt;&lt;wsp:rsid wsp:val=&quot;006A792D&quot;/&gt;&lt;wsp:rsid wsp:val=&quot;006A7940&quot;/&gt;&lt;wsp:rsid wsp:val=&quot;006A7AEF&quot;/&gt;&lt;wsp:rsid wsp:val=&quot;006A7E33&quot;/&gt;&lt;wsp:rsid wsp:val=&quot;006B06EA&quot;/&gt;&lt;wsp:rsid wsp:val=&quot;006B0A8B&quot;/&gt;&lt;wsp:rsid wsp:val=&quot;006B0C90&quot;/&gt;&lt;wsp:rsid wsp:val=&quot;006B0F5D&quot;/&gt;&lt;wsp:rsid wsp:val=&quot;006B15FD&quot;/&gt;&lt;wsp:rsid wsp:val=&quot;006B1696&quot;/&gt;&lt;wsp:rsid wsp:val=&quot;006B1930&quot;/&gt;&lt;wsp:rsid wsp:val=&quot;006B1D2E&quot;/&gt;&lt;wsp:rsid wsp:val=&quot;006B1F26&quot;/&gt;&lt;wsp:rsid wsp:val=&quot;006B26FE&quot;/&gt;&lt;wsp:rsid wsp:val=&quot;006B2819&quot;/&gt;&lt;wsp:rsid wsp:val=&quot;006B3130&quot;/&gt;&lt;wsp:rsid wsp:val=&quot;006B317D&quot;/&gt;&lt;wsp:rsid wsp:val=&quot;006B318A&quot;/&gt;&lt;wsp:rsid wsp:val=&quot;006B3317&quot;/&gt;&lt;wsp:rsid wsp:val=&quot;006B34E8&quot;/&gt;&lt;wsp:rsid wsp:val=&quot;006B3927&quot;/&gt;&lt;wsp:rsid wsp:val=&quot;006B3A78&quot;/&gt;&lt;wsp:rsid wsp:val=&quot;006B3ABF&quot;/&gt;&lt;wsp:rsid wsp:val=&quot;006B41FD&quot;/&gt;&lt;wsp:rsid wsp:val=&quot;006B4465&quot;/&gt;&lt;wsp:rsid wsp:val=&quot;006B4758&quot;/&gt;&lt;wsp:rsid wsp:val=&quot;006B47EE&quot;/&gt;&lt;wsp:rsid wsp:val=&quot;006B488E&quot;/&gt;&lt;wsp:rsid wsp:val=&quot;006B490B&quot;/&gt;&lt;wsp:rsid wsp:val=&quot;006B4D9E&quot;/&gt;&lt;wsp:rsid wsp:val=&quot;006B5178&quot;/&gt;&lt;wsp:rsid wsp:val=&quot;006B5B6D&quot;/&gt;&lt;wsp:rsid wsp:val=&quot;006B6279&quot;/&gt;&lt;wsp:rsid wsp:val=&quot;006B63A5&quot;/&gt;&lt;wsp:rsid wsp:val=&quot;006B6796&quot;/&gt;&lt;wsp:rsid wsp:val=&quot;006B6A7D&quot;/&gt;&lt;wsp:rsid wsp:val=&quot;006B6AB6&quot;/&gt;&lt;wsp:rsid wsp:val=&quot;006B6AE1&quot;/&gt;&lt;wsp:rsid wsp:val=&quot;006B6BFE&quot;/&gt;&lt;wsp:rsid wsp:val=&quot;006B6CC4&quot;/&gt;&lt;wsp:rsid wsp:val=&quot;006B6E28&quot;/&gt;&lt;wsp:rsid wsp:val=&quot;006B6E9C&quot;/&gt;&lt;wsp:rsid wsp:val=&quot;006B726B&quot;/&gt;&lt;wsp:rsid wsp:val=&quot;006B75D7&quot;/&gt;&lt;wsp:rsid wsp:val=&quot;006B76A9&quot;/&gt;&lt;wsp:rsid wsp:val=&quot;006C01A7&quot;/&gt;&lt;wsp:rsid wsp:val=&quot;006C08A7&quot;/&gt;&lt;wsp:rsid wsp:val=&quot;006C09CC&quot;/&gt;&lt;wsp:rsid wsp:val=&quot;006C0BA1&quot;/&gt;&lt;wsp:rsid wsp:val=&quot;006C0F97&quot;/&gt;&lt;wsp:rsid wsp:val=&quot;006C10C8&quot;/&gt;&lt;wsp:rsid wsp:val=&quot;006C1554&quot;/&gt;&lt;wsp:rsid wsp:val=&quot;006C1B75&quot;/&gt;&lt;wsp:rsid wsp:val=&quot;006C1FA0&quot;/&gt;&lt;wsp:rsid wsp:val=&quot;006C2055&quot;/&gt;&lt;wsp:rsid wsp:val=&quot;006C20D7&quot;/&gt;&lt;wsp:rsid wsp:val=&quot;006C23FA&quot;/&gt;&lt;wsp:rsid wsp:val=&quot;006C2506&quot;/&gt;&lt;wsp:rsid wsp:val=&quot;006C2749&quot;/&gt;&lt;wsp:rsid wsp:val=&quot;006C27E2&quot;/&gt;&lt;wsp:rsid wsp:val=&quot;006C2931&quot;/&gt;&lt;wsp:rsid wsp:val=&quot;006C2B4D&quot;/&gt;&lt;wsp:rsid wsp:val=&quot;006C2B50&quot;/&gt;&lt;wsp:rsid wsp:val=&quot;006C2CBA&quot;/&gt;&lt;wsp:rsid wsp:val=&quot;006C303C&quot;/&gt;&lt;wsp:rsid wsp:val=&quot;006C348B&quot;/&gt;&lt;wsp:rsid wsp:val=&quot;006C3638&quot;/&gt;&lt;wsp:rsid wsp:val=&quot;006C38B0&quot;/&gt;&lt;wsp:rsid wsp:val=&quot;006C3B7E&quot;/&gt;&lt;wsp:rsid wsp:val=&quot;006C3C50&quot;/&gt;&lt;wsp:rsid wsp:val=&quot;006C3E41&quot;/&gt;&lt;wsp:rsid wsp:val=&quot;006C3F05&quot;/&gt;&lt;wsp:rsid wsp:val=&quot;006C407F&quot;/&gt;&lt;wsp:rsid wsp:val=&quot;006C42BB&quot;/&gt;&lt;wsp:rsid wsp:val=&quot;006C4502&quot;/&gt;&lt;wsp:rsid wsp:val=&quot;006C47AB&quot;/&gt;&lt;wsp:rsid wsp:val=&quot;006C4802&quot;/&gt;&lt;wsp:rsid wsp:val=&quot;006C4A03&quot;/&gt;&lt;wsp:rsid wsp:val=&quot;006C4A09&quot;/&gt;&lt;wsp:rsid wsp:val=&quot;006C4D10&quot;/&gt;&lt;wsp:rsid wsp:val=&quot;006C4F9F&quot;/&gt;&lt;wsp:rsid wsp:val=&quot;006C5143&quot;/&gt;&lt;wsp:rsid wsp:val=&quot;006C51B1&quot;/&gt;&lt;wsp:rsid wsp:val=&quot;006C51CE&quot;/&gt;&lt;wsp:rsid wsp:val=&quot;006C525D&quot;/&gt;&lt;wsp:rsid wsp:val=&quot;006C53E2&quot;/&gt;&lt;wsp:rsid wsp:val=&quot;006C5A89&quot;/&gt;&lt;wsp:rsid wsp:val=&quot;006C5D06&quot;/&gt;&lt;wsp:rsid wsp:val=&quot;006C5DEA&quot;/&gt;&lt;wsp:rsid wsp:val=&quot;006C5F67&quot;/&gt;&lt;wsp:rsid wsp:val=&quot;006C61C6&quot;/&gt;&lt;wsp:rsid wsp:val=&quot;006C61E0&quot;/&gt;&lt;wsp:rsid wsp:val=&quot;006C68D1&quot;/&gt;&lt;wsp:rsid wsp:val=&quot;006C6CB6&quot;/&gt;&lt;wsp:rsid wsp:val=&quot;006C7EC1&quot;/&gt;&lt;wsp:rsid wsp:val=&quot;006C7F9A&quot;/&gt;&lt;wsp:rsid wsp:val=&quot;006D03EF&quot;/&gt;&lt;wsp:rsid wsp:val=&quot;006D081C&quot;/&gt;&lt;wsp:rsid wsp:val=&quot;006D0F95&quot;/&gt;&lt;wsp:rsid wsp:val=&quot;006D143B&quot;/&gt;&lt;wsp:rsid wsp:val=&quot;006D1464&quot;/&gt;&lt;wsp:rsid wsp:val=&quot;006D1631&quot;/&gt;&lt;wsp:rsid wsp:val=&quot;006D173C&quot;/&gt;&lt;wsp:rsid wsp:val=&quot;006D17FD&quot;/&gt;&lt;wsp:rsid wsp:val=&quot;006D1958&quot;/&gt;&lt;wsp:rsid wsp:val=&quot;006D19FD&quot;/&gt;&lt;wsp:rsid wsp:val=&quot;006D1A36&quot;/&gt;&lt;wsp:rsid wsp:val=&quot;006D1B02&quot;/&gt;&lt;wsp:rsid wsp:val=&quot;006D1C25&quot;/&gt;&lt;wsp:rsid wsp:val=&quot;006D1D77&quot;/&gt;&lt;wsp:rsid wsp:val=&quot;006D1DBE&quot;/&gt;&lt;wsp:rsid wsp:val=&quot;006D2058&quot;/&gt;&lt;wsp:rsid wsp:val=&quot;006D21BB&quot;/&gt;&lt;wsp:rsid wsp:val=&quot;006D238D&quot;/&gt;&lt;wsp:rsid wsp:val=&quot;006D2674&quot;/&gt;&lt;wsp:rsid wsp:val=&quot;006D2736&quot;/&gt;&lt;wsp:rsid wsp:val=&quot;006D2806&quot;/&gt;&lt;wsp:rsid wsp:val=&quot;006D2910&quot;/&gt;&lt;wsp:rsid wsp:val=&quot;006D2B62&quot;/&gt;&lt;wsp:rsid wsp:val=&quot;006D2D85&quot;/&gt;&lt;wsp:rsid wsp:val=&quot;006D2E31&quot;/&gt;&lt;wsp:rsid wsp:val=&quot;006D2EE4&quot;/&gt;&lt;wsp:rsid wsp:val=&quot;006D3014&quot;/&gt;&lt;wsp:rsid wsp:val=&quot;006D30AC&quot;/&gt;&lt;wsp:rsid wsp:val=&quot;006D32BC&quot;/&gt;&lt;wsp:rsid wsp:val=&quot;006D34F0&quot;/&gt;&lt;wsp:rsid wsp:val=&quot;006D362C&quot;/&gt;&lt;wsp:rsid wsp:val=&quot;006D3699&quot;/&gt;&lt;wsp:rsid wsp:val=&quot;006D375F&quot;/&gt;&lt;wsp:rsid wsp:val=&quot;006D38C4&quot;/&gt;&lt;wsp:rsid wsp:val=&quot;006D39EE&quot;/&gt;&lt;wsp:rsid wsp:val=&quot;006D3B48&quot;/&gt;&lt;wsp:rsid wsp:val=&quot;006D3B91&quot;/&gt;&lt;wsp:rsid wsp:val=&quot;006D428C&quot;/&gt;&lt;wsp:rsid wsp:val=&quot;006D44EF&quot;/&gt;&lt;wsp:rsid wsp:val=&quot;006D4A16&quot;/&gt;&lt;wsp:rsid wsp:val=&quot;006D4AE9&quot;/&gt;&lt;wsp:rsid wsp:val=&quot;006D4D6D&quot;/&gt;&lt;wsp:rsid wsp:val=&quot;006D4F32&quot;/&gt;&lt;wsp:rsid wsp:val=&quot;006D50E9&quot;/&gt;&lt;wsp:rsid wsp:val=&quot;006D54F4&quot;/&gt;&lt;wsp:rsid wsp:val=&quot;006D5707&quot;/&gt;&lt;wsp:rsid wsp:val=&quot;006D5868&quot;/&gt;&lt;wsp:rsid wsp:val=&quot;006D5979&quot;/&gt;&lt;wsp:rsid wsp:val=&quot;006D5A38&quot;/&gt;&lt;wsp:rsid wsp:val=&quot;006D5B02&quot;/&gt;&lt;wsp:rsid wsp:val=&quot;006D5B1D&quot;/&gt;&lt;wsp:rsid wsp:val=&quot;006D5B7E&quot;/&gt;&lt;wsp:rsid wsp:val=&quot;006D5FCA&quot;/&gt;&lt;wsp:rsid wsp:val=&quot;006D6235&quot;/&gt;&lt;wsp:rsid wsp:val=&quot;006D634C&quot;/&gt;&lt;wsp:rsid wsp:val=&quot;006D6953&quot;/&gt;&lt;wsp:rsid wsp:val=&quot;006D6A43&quot;/&gt;&lt;wsp:rsid wsp:val=&quot;006D6B47&quot;/&gt;&lt;wsp:rsid wsp:val=&quot;006D6C7D&quot;/&gt;&lt;wsp:rsid wsp:val=&quot;006D6D55&quot;/&gt;&lt;wsp:rsid wsp:val=&quot;006D6F3B&quot;/&gt;&lt;wsp:rsid wsp:val=&quot;006D6F41&quot;/&gt;&lt;wsp:rsid wsp:val=&quot;006D7085&quot;/&gt;&lt;wsp:rsid wsp:val=&quot;006D71E3&quot;/&gt;&lt;wsp:rsid wsp:val=&quot;006D73A2&quot;/&gt;&lt;wsp:rsid wsp:val=&quot;006D7827&quot;/&gt;&lt;wsp:rsid wsp:val=&quot;006D79E0&quot;/&gt;&lt;wsp:rsid wsp:val=&quot;006D7C48&quot;/&gt;&lt;wsp:rsid wsp:val=&quot;006D7CF9&quot;/&gt;&lt;wsp:rsid wsp:val=&quot;006D7D94&quot;/&gt;&lt;wsp:rsid wsp:val=&quot;006D7F04&quot;/&gt;&lt;wsp:rsid wsp:val=&quot;006E0479&quot;/&gt;&lt;wsp:rsid wsp:val=&quot;006E0776&quot;/&gt;&lt;wsp:rsid wsp:val=&quot;006E0875&quot;/&gt;&lt;wsp:rsid wsp:val=&quot;006E094C&quot;/&gt;&lt;wsp:rsid wsp:val=&quot;006E1081&quot;/&gt;&lt;wsp:rsid wsp:val=&quot;006E1123&quot;/&gt;&lt;wsp:rsid wsp:val=&quot;006E16E1&quot;/&gt;&lt;wsp:rsid wsp:val=&quot;006E171C&quot;/&gt;&lt;wsp:rsid wsp:val=&quot;006E1BAB&quot;/&gt;&lt;wsp:rsid wsp:val=&quot;006E1C2F&quot;/&gt;&lt;wsp:rsid wsp:val=&quot;006E1C5C&quot;/&gt;&lt;wsp:rsid wsp:val=&quot;006E1CC6&quot;/&gt;&lt;wsp:rsid wsp:val=&quot;006E1DD1&quot;/&gt;&lt;wsp:rsid wsp:val=&quot;006E1E81&quot;/&gt;&lt;wsp:rsid wsp:val=&quot;006E2190&quot;/&gt;&lt;wsp:rsid wsp:val=&quot;006E22BD&quot;/&gt;&lt;wsp:rsid wsp:val=&quot;006E242D&quot;/&gt;&lt;wsp:rsid wsp:val=&quot;006E242E&quot;/&gt;&lt;wsp:rsid wsp:val=&quot;006E275A&quot;/&gt;&lt;wsp:rsid wsp:val=&quot;006E29BE&quot;/&gt;&lt;wsp:rsid wsp:val=&quot;006E2EB3&quot;/&gt;&lt;wsp:rsid wsp:val=&quot;006E3021&quot;/&gt;&lt;wsp:rsid wsp:val=&quot;006E3058&quot;/&gt;&lt;wsp:rsid wsp:val=&quot;006E3121&quot;/&gt;&lt;wsp:rsid wsp:val=&quot;006E33DC&quot;/&gt;&lt;wsp:rsid wsp:val=&quot;006E3F62&quot;/&gt;&lt;wsp:rsid wsp:val=&quot;006E43D3&quot;/&gt;&lt;wsp:rsid wsp:val=&quot;006E450E&quot;/&gt;&lt;wsp:rsid wsp:val=&quot;006E46D9&quot;/&gt;&lt;wsp:rsid wsp:val=&quot;006E4E9C&quot;/&gt;&lt;wsp:rsid wsp:val=&quot;006E52D0&quot;/&gt;&lt;wsp:rsid wsp:val=&quot;006E52D5&quot;/&gt;&lt;wsp:rsid wsp:val=&quot;006E53EE&quot;/&gt;&lt;wsp:rsid wsp:val=&quot;006E54A5&quot;/&gt;&lt;wsp:rsid wsp:val=&quot;006E575D&quot;/&gt;&lt;wsp:rsid wsp:val=&quot;006E5C77&quot;/&gt;&lt;wsp:rsid wsp:val=&quot;006E5CBC&quot;/&gt;&lt;wsp:rsid wsp:val=&quot;006E5CE7&quot;/&gt;&lt;wsp:rsid wsp:val=&quot;006E6013&quot;/&gt;&lt;wsp:rsid wsp:val=&quot;006E60FF&quot;/&gt;&lt;wsp:rsid wsp:val=&quot;006E62E8&quot;/&gt;&lt;wsp:rsid wsp:val=&quot;006E6617&quot;/&gt;&lt;wsp:rsid wsp:val=&quot;006E6878&quot;/&gt;&lt;wsp:rsid wsp:val=&quot;006E6CAA&quot;/&gt;&lt;wsp:rsid wsp:val=&quot;006E6FE1&quot;/&gt;&lt;wsp:rsid wsp:val=&quot;006E744D&quot;/&gt;&lt;wsp:rsid wsp:val=&quot;006E74CA&quot;/&gt;&lt;wsp:rsid wsp:val=&quot;006E74FA&quot;/&gt;&lt;wsp:rsid wsp:val=&quot;006E7710&quot;/&gt;&lt;wsp:rsid wsp:val=&quot;006E7AC2&quot;/&gt;&lt;wsp:rsid wsp:val=&quot;006E7DE3&quot;/&gt;&lt;wsp:rsid wsp:val=&quot;006E7EE7&quot;/&gt;&lt;wsp:rsid wsp:val=&quot;006F0183&quot;/&gt;&lt;wsp:rsid wsp:val=&quot;006F029F&quot;/&gt;&lt;wsp:rsid wsp:val=&quot;006F02AC&quot;/&gt;&lt;wsp:rsid wsp:val=&quot;006F0808&quot;/&gt;&lt;wsp:rsid wsp:val=&quot;006F08C8&quot;/&gt;&lt;wsp:rsid wsp:val=&quot;006F0957&quot;/&gt;&lt;wsp:rsid wsp:val=&quot;006F1291&quot;/&gt;&lt;wsp:rsid wsp:val=&quot;006F1383&quot;/&gt;&lt;wsp:rsid wsp:val=&quot;006F1C9C&quot;/&gt;&lt;wsp:rsid wsp:val=&quot;006F20DA&quot;/&gt;&lt;wsp:rsid wsp:val=&quot;006F294F&quot;/&gt;&lt;wsp:rsid wsp:val=&quot;006F34C2&quot;/&gt;&lt;wsp:rsid wsp:val=&quot;006F3695&quot;/&gt;&lt;wsp:rsid wsp:val=&quot;006F3923&quot;/&gt;&lt;wsp:rsid wsp:val=&quot;006F3964&quot;/&gt;&lt;wsp:rsid wsp:val=&quot;006F3EE2&quot;/&gt;&lt;wsp:rsid wsp:val=&quot;006F40A2&quot;/&gt;&lt;wsp:rsid wsp:val=&quot;006F48AF&quot;/&gt;&lt;wsp:rsid wsp:val=&quot;006F49C3&quot;/&gt;&lt;wsp:rsid wsp:val=&quot;006F49C9&quot;/&gt;&lt;wsp:rsid wsp:val=&quot;006F4DE1&quot;/&gt;&lt;wsp:rsid wsp:val=&quot;006F5012&quot;/&gt;&lt;wsp:rsid wsp:val=&quot;006F5237&quot;/&gt;&lt;wsp:rsid wsp:val=&quot;006F52F5&quot;/&gt;&lt;wsp:rsid wsp:val=&quot;006F5343&quot;/&gt;&lt;wsp:rsid wsp:val=&quot;006F53B2&quot;/&gt;&lt;wsp:rsid wsp:val=&quot;006F54C8&quot;/&gt;&lt;wsp:rsid wsp:val=&quot;006F559A&quot;/&gt;&lt;wsp:rsid wsp:val=&quot;006F55D0&quot;/&gt;&lt;wsp:rsid wsp:val=&quot;006F562D&quot;/&gt;&lt;wsp:rsid wsp:val=&quot;006F634F&quot;/&gt;&lt;wsp:rsid wsp:val=&quot;006F63E7&quot;/&gt;&lt;wsp:rsid wsp:val=&quot;006F6840&quot;/&gt;&lt;wsp:rsid wsp:val=&quot;006F6B7A&quot;/&gt;&lt;wsp:rsid wsp:val=&quot;006F6BA4&quot;/&gt;&lt;wsp:rsid wsp:val=&quot;006F6D28&quot;/&gt;&lt;wsp:rsid wsp:val=&quot;006F6E4C&quot;/&gt;&lt;wsp:rsid wsp:val=&quot;006F71CD&quot;/&gt;&lt;wsp:rsid wsp:val=&quot;006F73D9&quot;/&gt;&lt;wsp:rsid wsp:val=&quot;006F7973&quot;/&gt;&lt;wsp:rsid wsp:val=&quot;006F797F&quot;/&gt;&lt;wsp:rsid wsp:val=&quot;006F7AF5&quot;/&gt;&lt;wsp:rsid wsp:val=&quot;006F7AFE&quot;/&gt;&lt;wsp:rsid wsp:val=&quot;006F7BA0&quot;/&gt;&lt;wsp:rsid wsp:val=&quot;006F7D20&quot;/&gt;&lt;wsp:rsid wsp:val=&quot;007000DB&quot;/&gt;&lt;wsp:rsid wsp:val=&quot;0070056B&quot;/&gt;&lt;wsp:rsid wsp:val=&quot;00700AC5&quot;/&gt;&lt;wsp:rsid wsp:val=&quot;00700B18&quot;/&gt;&lt;wsp:rsid wsp:val=&quot;00700BE1&quot;/&gt;&lt;wsp:rsid wsp:val=&quot;0070113B&quot;/&gt;&lt;wsp:rsid wsp:val=&quot;007012C0&quot;/&gt;&lt;wsp:rsid wsp:val=&quot;007013C4&quot;/&gt;&lt;wsp:rsid wsp:val=&quot;007014CE&quot;/&gt;&lt;wsp:rsid wsp:val=&quot;007017C8&quot;/&gt;&lt;wsp:rsid wsp:val=&quot;00701802&quot;/&gt;&lt;wsp:rsid wsp:val=&quot;007019A7&quot;/&gt;&lt;wsp:rsid wsp:val=&quot;00702060&quot;/&gt;&lt;wsp:rsid wsp:val=&quot;00702193&quot;/&gt;&lt;wsp:rsid wsp:val=&quot;0070225A&quot;/&gt;&lt;wsp:rsid wsp:val=&quot;007025AE&quot;/&gt;&lt;wsp:rsid wsp:val=&quot;00702FAF&quot;/&gt;&lt;wsp:rsid wsp:val=&quot;00703168&quot;/&gt;&lt;wsp:rsid wsp:val=&quot;00703229&quot;/&gt;&lt;wsp:rsid wsp:val=&quot;00703328&quot;/&gt;&lt;wsp:rsid wsp:val=&quot;007033D2&quot;/&gt;&lt;wsp:rsid wsp:val=&quot;007035DA&quot;/&gt;&lt;wsp:rsid wsp:val=&quot;00703A1E&quot;/&gt;&lt;wsp:rsid wsp:val=&quot;00703B33&quot;/&gt;&lt;wsp:rsid wsp:val=&quot;00703D05&quot;/&gt;&lt;wsp:rsid wsp:val=&quot;00703D44&quot;/&gt;&lt;wsp:rsid wsp:val=&quot;00703E84&quot;/&gt;&lt;wsp:rsid wsp:val=&quot;00703FC4&quot;/&gt;&lt;wsp:rsid wsp:val=&quot;00704036&quot;/&gt;&lt;wsp:rsid wsp:val=&quot;007040B8&quot;/&gt;&lt;wsp:rsid wsp:val=&quot;007040DE&quot;/&gt;&lt;wsp:rsid wsp:val=&quot;007041F9&quot;/&gt;&lt;wsp:rsid wsp:val=&quot;00704398&quot;/&gt;&lt;wsp:rsid wsp:val=&quot;007046EE&quot;/&gt;&lt;wsp:rsid wsp:val=&quot;007047DE&quot;/&gt;&lt;wsp:rsid wsp:val=&quot;00704EFF&quot;/&gt;&lt;wsp:rsid wsp:val=&quot;0070514A&quot;/&gt;&lt;wsp:rsid wsp:val=&quot;00705243&quot;/&gt;&lt;wsp:rsid wsp:val=&quot;00705407&quot;/&gt;&lt;wsp:rsid wsp:val=&quot;0070549A&quot;/&gt;&lt;wsp:rsid wsp:val=&quot;00705827&quot;/&gt;&lt;wsp:rsid wsp:val=&quot;00705953&quot;/&gt;&lt;wsp:rsid wsp:val=&quot;0070596F&quot;/&gt;&lt;wsp:rsid wsp:val=&quot;00705E05&quot;/&gt;&lt;wsp:rsid wsp:val=&quot;00705EDE&quot;/&gt;&lt;wsp:rsid wsp:val=&quot;0070614A&quot;/&gt;&lt;wsp:rsid wsp:val=&quot;0070616C&quot;/&gt;&lt;wsp:rsid wsp:val=&quot;007062BF&quot;/&gt;&lt;wsp:rsid wsp:val=&quot;007062E8&quot;/&gt;&lt;wsp:rsid wsp:val=&quot;00706749&quot;/&gt;&lt;wsp:rsid wsp:val=&quot;00706876&quot;/&gt;&lt;wsp:rsid wsp:val=&quot;00706982&quot;/&gt;&lt;wsp:rsid wsp:val=&quot;00706F4F&quot;/&gt;&lt;wsp:rsid wsp:val=&quot;00707029&quot;/&gt;&lt;wsp:rsid wsp:val=&quot;0070757F&quot;/&gt;&lt;wsp:rsid wsp:val=&quot;0070769D&quot;/&gt;&lt;wsp:rsid wsp:val=&quot;0070796B&quot;/&gt;&lt;wsp:rsid wsp:val=&quot;007079DA&quot;/&gt;&lt;wsp:rsid wsp:val=&quot;00707A40&quot;/&gt;&lt;wsp:rsid wsp:val=&quot;00707B26&quot;/&gt;&lt;wsp:rsid wsp:val=&quot;00707C93&quot;/&gt;&lt;wsp:rsid wsp:val=&quot;00710012&quot;/&gt;&lt;wsp:rsid wsp:val=&quot;007100D9&quot;/&gt;&lt;wsp:rsid wsp:val=&quot;007105A7&quot;/&gt;&lt;wsp:rsid wsp:val=&quot;0071067D&quot;/&gt;&lt;wsp:rsid wsp:val=&quot;00710796&quot;/&gt;&lt;wsp:rsid wsp:val=&quot;007109D4&quot;/&gt;&lt;wsp:rsid wsp:val=&quot;00710D5E&quot;/&gt;&lt;wsp:rsid wsp:val=&quot;00710E5A&quot;/&gt;&lt;wsp:rsid wsp:val=&quot;00711021&quot;/&gt;&lt;wsp:rsid wsp:val=&quot;007117BB&quot;/&gt;&lt;wsp:rsid wsp:val=&quot;00711AA0&quot;/&gt;&lt;wsp:rsid wsp:val=&quot;00711CB8&quot;/&gt;&lt;wsp:rsid wsp:val=&quot;00711D10&quot;/&gt;&lt;wsp:rsid wsp:val=&quot;00712241&quot;/&gt;&lt;wsp:rsid wsp:val=&quot;0071242C&quot;/&gt;&lt;wsp:rsid wsp:val=&quot;00712561&quot;/&gt;&lt;wsp:rsid wsp:val=&quot;00712673&quot;/&gt;&lt;wsp:rsid wsp:val=&quot;007127B0&quot;/&gt;&lt;wsp:rsid wsp:val=&quot;00712BF8&quot;/&gt;&lt;wsp:rsid wsp:val=&quot;00712DF9&quot;/&gt;&lt;wsp:rsid wsp:val=&quot;00713057&quot;/&gt;&lt;wsp:rsid wsp:val=&quot;007132AA&quot;/&gt;&lt;wsp:rsid wsp:val=&quot;00713311&quot;/&gt;&lt;wsp:rsid wsp:val=&quot;00713335&quot;/&gt;&lt;wsp:rsid wsp:val=&quot;0071335B&quot;/&gt;&lt;wsp:rsid wsp:val=&quot;00713BA0&quot;/&gt;&lt;wsp:rsid wsp:val=&quot;00713D06&quot;/&gt;&lt;wsp:rsid wsp:val=&quot;00713DFB&quot;/&gt;&lt;wsp:rsid wsp:val=&quot;007140D9&quot;/&gt;&lt;wsp:rsid wsp:val=&quot;00714121&quot;/&gt;&lt;wsp:rsid wsp:val=&quot;00714144&quot;/&gt;&lt;wsp:rsid wsp:val=&quot;007148C6&quot;/&gt;&lt;wsp:rsid wsp:val=&quot;0071497B&quot;/&gt;&lt;wsp:rsid wsp:val=&quot;00714AAD&quot;/&gt;&lt;wsp:rsid wsp:val=&quot;00714B81&quot;/&gt;&lt;wsp:rsid wsp:val=&quot;00714B88&quot;/&gt;&lt;wsp:rsid wsp:val=&quot;00714B89&quot;/&gt;&lt;wsp:rsid wsp:val=&quot;00714C40&quot;/&gt;&lt;wsp:rsid wsp:val=&quot;00714D85&quot;/&gt;&lt;wsp:rsid wsp:val=&quot;00714F25&quot;/&gt;&lt;wsp:rsid wsp:val=&quot;007151D1&quot;/&gt;&lt;wsp:rsid wsp:val=&quot;00715261&quot;/&gt;&lt;wsp:rsid wsp:val=&quot;00715523&quot;/&gt;&lt;wsp:rsid wsp:val=&quot;00715685&quot;/&gt;&lt;wsp:rsid wsp:val=&quot;00715687&quot;/&gt;&lt;wsp:rsid wsp:val=&quot;0071587A&quot;/&gt;&lt;wsp:rsid wsp:val=&quot;00715B2A&quot;/&gt;&lt;wsp:rsid wsp:val=&quot;00715BF1&quot;/&gt;&lt;wsp:rsid wsp:val=&quot;00715C0C&quot;/&gt;&lt;wsp:rsid wsp:val=&quot;00715D9E&quot;/&gt;&lt;wsp:rsid wsp:val=&quot;00715DA8&quot;/&gt;&lt;wsp:rsid wsp:val=&quot;00715DFA&quot;/&gt;&lt;wsp:rsid wsp:val=&quot;0071610D&quot;/&gt;&lt;wsp:rsid wsp:val=&quot;007161D8&quot;/&gt;&lt;wsp:rsid wsp:val=&quot;00716452&quot;/&gt;&lt;wsp:rsid wsp:val=&quot;007165E4&quot;/&gt;&lt;wsp:rsid wsp:val=&quot;00716905&quot;/&gt;&lt;wsp:rsid wsp:val=&quot;00716934&quot;/&gt;&lt;wsp:rsid wsp:val=&quot;00716B4E&quot;/&gt;&lt;wsp:rsid wsp:val=&quot;00716DA7&quot;/&gt;&lt;wsp:rsid wsp:val=&quot;00716E56&quot;/&gt;&lt;wsp:rsid wsp:val=&quot;00716E70&quot;/&gt;&lt;wsp:rsid wsp:val=&quot;00717090&quot;/&gt;&lt;wsp:rsid wsp:val=&quot;0071712B&quot;/&gt;&lt;wsp:rsid wsp:val=&quot;0071715E&quot;/&gt;&lt;wsp:rsid wsp:val=&quot;00717294&quot;/&gt;&lt;wsp:rsid wsp:val=&quot;00717762&quot;/&gt;&lt;wsp:rsid wsp:val=&quot;00717846&quot;/&gt;&lt;wsp:rsid wsp:val=&quot;00717A79&quot;/&gt;&lt;wsp:rsid wsp:val=&quot;00717BBE&quot;/&gt;&lt;wsp:rsid wsp:val=&quot;00717C4E&quot;/&gt;&lt;wsp:rsid wsp:val=&quot;00717CD0&quot;/&gt;&lt;wsp:rsid wsp:val=&quot;00717D42&quot;/&gt;&lt;wsp:rsid wsp:val=&quot;00717DB4&quot;/&gt;&lt;wsp:rsid wsp:val=&quot;00720080&quot;/&gt;&lt;wsp:rsid wsp:val=&quot;00720293&quot;/&gt;&lt;wsp:rsid wsp:val=&quot;00720433&quot;/&gt;&lt;wsp:rsid wsp:val=&quot;0072065F&quot;/&gt;&lt;wsp:rsid wsp:val=&quot;00720B12&quot;/&gt;&lt;wsp:rsid wsp:val=&quot;00720F16&quot;/&gt;&lt;wsp:rsid wsp:val=&quot;00720FC3&quot;/&gt;&lt;wsp:rsid wsp:val=&quot;007212FF&quot;/&gt;&lt;wsp:rsid wsp:val=&quot;00721400&quot;/&gt;&lt;wsp:rsid wsp:val=&quot;0072187C&quot;/&gt;&lt;wsp:rsid wsp:val=&quot;00721ECF&quot;/&gt;&lt;wsp:rsid wsp:val=&quot;00722283&quot;/&gt;&lt;wsp:rsid wsp:val=&quot;00722389&quot;/&gt;&lt;wsp:rsid wsp:val=&quot;007226F2&quot;/&gt;&lt;wsp:rsid wsp:val=&quot;00722D60&quot;/&gt;&lt;wsp:rsid wsp:val=&quot;007230E9&quot;/&gt;&lt;wsp:rsid wsp:val=&quot;0072316D&quot;/&gt;&lt;wsp:rsid wsp:val=&quot;00723286&quot;/&gt;&lt;wsp:rsid wsp:val=&quot;007232FA&quot;/&gt;&lt;wsp:rsid wsp:val=&quot;00723A6F&quot;/&gt;&lt;wsp:rsid wsp:val=&quot;00723BE7&quot;/&gt;&lt;wsp:rsid wsp:val=&quot;00723CA6&quot;/&gt;&lt;wsp:rsid wsp:val=&quot;00724019&quot;/&gt;&lt;wsp:rsid wsp:val=&quot;00724028&quot;/&gt;&lt;wsp:rsid wsp:val=&quot;007241F8&quot;/&gt;&lt;wsp:rsid wsp:val=&quot;007242DE&quot;/&gt;&lt;wsp:rsid wsp:val=&quot;00724380&quot;/&gt;&lt;wsp:rsid wsp:val=&quot;007247EF&quot;/&gt;&lt;wsp:rsid wsp:val=&quot;00724924&quot;/&gt;&lt;wsp:rsid wsp:val=&quot;00724969&quot;/&gt;&lt;wsp:rsid wsp:val=&quot;00724A25&quot;/&gt;&lt;wsp:rsid wsp:val=&quot;00724A56&quot;/&gt;&lt;wsp:rsid wsp:val=&quot;00724A8C&quot;/&gt;&lt;wsp:rsid wsp:val=&quot;00724D71&quot;/&gt;&lt;wsp:rsid wsp:val=&quot;00724ECD&quot;/&gt;&lt;wsp:rsid wsp:val=&quot;0072527B&quot;/&gt;&lt;wsp:rsid wsp:val=&quot;0072527F&quot;/&gt;&lt;wsp:rsid wsp:val=&quot;007252B5&quot;/&gt;&lt;wsp:rsid wsp:val=&quot;007256D2&quot;/&gt;&lt;wsp:rsid wsp:val=&quot;0072594B&quot;/&gt;&lt;wsp:rsid wsp:val=&quot;007259B4&quot;/&gt;&lt;wsp:rsid wsp:val=&quot;00725ADA&quot;/&gt;&lt;wsp:rsid wsp:val=&quot;00725AF6&quot;/&gt;&lt;wsp:rsid wsp:val=&quot;00725C60&quot;/&gt;&lt;wsp:rsid wsp:val=&quot;00725C8E&quot;/&gt;&lt;wsp:rsid wsp:val=&quot;00725EF2&quot;/&gt;&lt;wsp:rsid wsp:val=&quot;00726348&quot;/&gt;&lt;wsp:rsid wsp:val=&quot;007263AD&quot;/&gt;&lt;wsp:rsid wsp:val=&quot;0072641C&quot;/&gt;&lt;wsp:rsid wsp:val=&quot;00726441&quot;/&gt;&lt;wsp:rsid wsp:val=&quot;00726A6D&quot;/&gt;&lt;wsp:rsid wsp:val=&quot;00726CEB&quot;/&gt;&lt;wsp:rsid wsp:val=&quot;00726ED1&quot;/&gt;&lt;wsp:rsid wsp:val=&quot;007274C8&quot;/&gt;&lt;wsp:rsid wsp:val=&quot;00727829&quot;/&gt;&lt;wsp:rsid wsp:val=&quot;00727A1E&quot;/&gt;&lt;wsp:rsid wsp:val=&quot;00727AC5&quot;/&gt;&lt;wsp:rsid wsp:val=&quot;00727E81&quot;/&gt;&lt;wsp:rsid wsp:val=&quot;0073012A&quot;/&gt;&lt;wsp:rsid wsp:val=&quot;007304B3&quot;/&gt;&lt;wsp:rsid wsp:val=&quot;0073074D&quot;/&gt;&lt;wsp:rsid wsp:val=&quot;007308E5&quot;/&gt;&lt;wsp:rsid wsp:val=&quot;00730CAE&quot;/&gt;&lt;wsp:rsid wsp:val=&quot;00730E66&quot;/&gt;&lt;wsp:rsid wsp:val=&quot;0073114A&quot;/&gt;&lt;wsp:rsid wsp:val=&quot;007319A5&quot;/&gt;&lt;wsp:rsid wsp:val=&quot;00731CE2&quot;/&gt;&lt;wsp:rsid wsp:val=&quot;00731FD7&quot;/&gt;&lt;wsp:rsid wsp:val=&quot;00732128&quot;/&gt;&lt;wsp:rsid wsp:val=&quot;007327B8&quot;/&gt;&lt;wsp:rsid wsp:val=&quot;00732893&quot;/&gt;&lt;wsp:rsid wsp:val=&quot;0073296E&quot;/&gt;&lt;wsp:rsid wsp:val=&quot;007329B1&quot;/&gt;&lt;wsp:rsid wsp:val=&quot;00732A2D&quot;/&gt;&lt;wsp:rsid wsp:val=&quot;00732A77&quot;/&gt;&lt;wsp:rsid wsp:val=&quot;00732C8B&quot;/&gt;&lt;wsp:rsid wsp:val=&quot;00732DF1&quot;/&gt;&lt;wsp:rsid wsp:val=&quot;00732EEB&quot;/&gt;&lt;wsp:rsid wsp:val=&quot;007331F2&quot;/&gt;&lt;wsp:rsid wsp:val=&quot;00733487&quot;/&gt;&lt;wsp:rsid wsp:val=&quot;00733A86&quot;/&gt;&lt;wsp:rsid wsp:val=&quot;00733E70&quot;/&gt;&lt;wsp:rsid wsp:val=&quot;00733EB5&quot;/&gt;&lt;wsp:rsid wsp:val=&quot;00733F1A&quot;/&gt;&lt;wsp:rsid wsp:val=&quot;00733FFF&quot;/&gt;&lt;wsp:rsid wsp:val=&quot;0073451D&quot;/&gt;&lt;wsp:rsid wsp:val=&quot;00734595&quot;/&gt;&lt;wsp:rsid wsp:val=&quot;00734882&quot;/&gt;&lt;wsp:rsid wsp:val=&quot;00734BF8&quot;/&gt;&lt;wsp:rsid wsp:val=&quot;00734D2F&quot;/&gt;&lt;wsp:rsid wsp:val=&quot;00734E7B&quot;/&gt;&lt;wsp:rsid wsp:val=&quot;00734FD6&quot;/&gt;&lt;wsp:rsid wsp:val=&quot;007350F0&quot;/&gt;&lt;wsp:rsid wsp:val=&quot;00735206&quot;/&gt;&lt;wsp:rsid wsp:val=&quot;007353FC&quot;/&gt;&lt;wsp:rsid wsp:val=&quot;0073545D&quot;/&gt;&lt;wsp:rsid wsp:val=&quot;00735846&quot;/&gt;&lt;wsp:rsid wsp:val=&quot;00735968&quot;/&gt;&lt;wsp:rsid wsp:val=&quot;00735B3D&quot;/&gt;&lt;wsp:rsid wsp:val=&quot;00735C73&quot;/&gt;&lt;wsp:rsid wsp:val=&quot;00735CE2&quot;/&gt;&lt;wsp:rsid wsp:val=&quot;00735DB8&quot;/&gt;&lt;wsp:rsid wsp:val=&quot;00735EF2&quot;/&gt;&lt;wsp:rsid wsp:val=&quot;00735FFF&quot;/&gt;&lt;wsp:rsid wsp:val=&quot;0073638A&quot;/&gt;&lt;wsp:rsid wsp:val=&quot;0073657B&quot;/&gt;&lt;wsp:rsid wsp:val=&quot;00736623&quot;/&gt;&lt;wsp:rsid wsp:val=&quot;00736671&quot;/&gt;&lt;wsp:rsid wsp:val=&quot;00736696&quot;/&gt;&lt;wsp:rsid wsp:val=&quot;007366D7&quot;/&gt;&lt;wsp:rsid wsp:val=&quot;00736B5F&quot;/&gt;&lt;wsp:rsid wsp:val=&quot;00736C5E&quot;/&gt;&lt;wsp:rsid wsp:val=&quot;00736D61&quot;/&gt;&lt;wsp:rsid wsp:val=&quot;00737803&quot;/&gt;&lt;wsp:rsid wsp:val=&quot;007378F9&quot;/&gt;&lt;wsp:rsid wsp:val=&quot;00737C06&quot;/&gt;&lt;wsp:rsid wsp:val=&quot;00737C17&quot;/&gt;&lt;wsp:rsid wsp:val=&quot;00737CFF&quot;/&gt;&lt;wsp:rsid wsp:val=&quot;00737D27&quot;/&gt;&lt;wsp:rsid wsp:val=&quot;00737F6F&quot;/&gt;&lt;wsp:rsid wsp:val=&quot;0074028A&quot;/&gt;&lt;wsp:rsid wsp:val=&quot;00740433&quot;/&gt;&lt;wsp:rsid wsp:val=&quot;00740667&quot;/&gt;&lt;wsp:rsid wsp:val=&quot;007407B1&quot;/&gt;&lt;wsp:rsid wsp:val=&quot;007407F2&quot;/&gt;&lt;wsp:rsid wsp:val=&quot;007409DF&quot;/&gt;&lt;wsp:rsid wsp:val=&quot;00740C24&quot;/&gt;&lt;wsp:rsid wsp:val=&quot;00740C89&quot;/&gt;&lt;wsp:rsid wsp:val=&quot;00740DC5&quot;/&gt;&lt;wsp:rsid wsp:val=&quot;00740EB7&quot;/&gt;&lt;wsp:rsid wsp:val=&quot;007411ED&quot;/&gt;&lt;wsp:rsid wsp:val=&quot;007412AF&quot;/&gt;&lt;wsp:rsid wsp:val=&quot;00741E41&quot;/&gt;&lt;wsp:rsid wsp:val=&quot;00741F54&quot;/&gt;&lt;wsp:rsid wsp:val=&quot;00742310&quot;/&gt;&lt;wsp:rsid wsp:val=&quot;00742637&quot;/&gt;&lt;wsp:rsid wsp:val=&quot;00742888&quot;/&gt;&lt;wsp:rsid wsp:val=&quot;00742B0C&quot;/&gt;&lt;wsp:rsid wsp:val=&quot;00742D37&quot;/&gt;&lt;wsp:rsid wsp:val=&quot;00742EA7&quot;/&gt;&lt;wsp:rsid wsp:val=&quot;00743393&quot;/&gt;&lt;wsp:rsid wsp:val=&quot;0074384D&quot;/&gt;&lt;wsp:rsid wsp:val=&quot;0074391B&quot;/&gt;&lt;wsp:rsid wsp:val=&quot;00743C12&quot;/&gt;&lt;wsp:rsid wsp:val=&quot;00743E3E&quot;/&gt;&lt;wsp:rsid wsp:val=&quot;00743F2B&quot;/&gt;&lt;wsp:rsid wsp:val=&quot;007440CB&quot;/&gt;&lt;wsp:rsid wsp:val=&quot;00744211&quot;/&gt;&lt;wsp:rsid wsp:val=&quot;007443C9&quot;/&gt;&lt;wsp:rsid wsp:val=&quot;00744497&quot;/&gt;&lt;wsp:rsid wsp:val=&quot;00744613&quot;/&gt;&lt;wsp:rsid wsp:val=&quot;00744664&quot;/&gt;&lt;wsp:rsid wsp:val=&quot;007446A6&quot;/&gt;&lt;wsp:rsid wsp:val=&quot;00744985&quot;/&gt;&lt;wsp:rsid wsp:val=&quot;00744A34&quot;/&gt;&lt;wsp:rsid wsp:val=&quot;00744C0F&quot;/&gt;&lt;wsp:rsid wsp:val=&quot;00744E07&quot;/&gt;&lt;wsp:rsid wsp:val=&quot;00744FA5&quot;/&gt;&lt;wsp:rsid wsp:val=&quot;007450AD&quot;/&gt;&lt;wsp:rsid wsp:val=&quot;00745537&quot;/&gt;&lt;wsp:rsid wsp:val=&quot;0074571A&quot;/&gt;&lt;wsp:rsid wsp:val=&quot;007457BE&quot;/&gt;&lt;wsp:rsid wsp:val=&quot;00745B0E&quot;/&gt;&lt;wsp:rsid wsp:val=&quot;00745BC5&quot;/&gt;&lt;wsp:rsid wsp:val=&quot;00745DDA&quot;/&gt;&lt;wsp:rsid wsp:val=&quot;00746132&quot;/&gt;&lt;wsp:rsid wsp:val=&quot;00746311&quot;/&gt;&lt;wsp:rsid wsp:val=&quot;00746475&quot;/&gt;&lt;wsp:rsid wsp:val=&quot;0074647E&quot;/&gt;&lt;wsp:rsid wsp:val=&quot;00746A62&quot;/&gt;&lt;wsp:rsid wsp:val=&quot;00746C8F&quot;/&gt;&lt;wsp:rsid wsp:val=&quot;00746D81&quot;/&gt;&lt;wsp:rsid wsp:val=&quot;00746D82&quot;/&gt;&lt;wsp:rsid wsp:val=&quot;00746E17&quot;/&gt;&lt;wsp:rsid wsp:val=&quot;00746F97&quot;/&gt;&lt;wsp:rsid wsp:val=&quot;00747186&quot;/&gt;&lt;wsp:rsid wsp:val=&quot;007500EF&quot;/&gt;&lt;wsp:rsid wsp:val=&quot;00750166&quot;/&gt;&lt;wsp:rsid wsp:val=&quot;00750424&quot;/&gt;&lt;wsp:rsid wsp:val=&quot;007506C1&quot;/&gt;&lt;wsp:rsid wsp:val=&quot;007508D3&quot;/&gt;&lt;wsp:rsid wsp:val=&quot;00750A47&quot;/&gt;&lt;wsp:rsid wsp:val=&quot;00750B95&quot;/&gt;&lt;wsp:rsid wsp:val=&quot;00750CCC&quot;/&gt;&lt;wsp:rsid wsp:val=&quot;00750CFB&quot;/&gt;&lt;wsp:rsid wsp:val=&quot;00751005&quot;/&gt;&lt;wsp:rsid wsp:val=&quot;007518F1&quot;/&gt;&lt;wsp:rsid wsp:val=&quot;00751D07&quot;/&gt;&lt;wsp:rsid wsp:val=&quot;00751E80&quot;/&gt;&lt;wsp:rsid wsp:val=&quot;00752757&quot;/&gt;&lt;wsp:rsid wsp:val=&quot;00752794&quot;/&gt;&lt;wsp:rsid wsp:val=&quot;00752E1A&quot;/&gt;&lt;wsp:rsid wsp:val=&quot;00752E2C&quot;/&gt;&lt;wsp:rsid wsp:val=&quot;00753019&quot;/&gt;&lt;wsp:rsid wsp:val=&quot;00753044&quot;/&gt;&lt;wsp:rsid wsp:val=&quot;00753057&quot;/&gt;&lt;wsp:rsid wsp:val=&quot;007530BD&quot;/&gt;&lt;wsp:rsid wsp:val=&quot;0075327F&quot;/&gt;&lt;wsp:rsid wsp:val=&quot;007532AA&quot;/&gt;&lt;wsp:rsid wsp:val=&quot;00753335&quot;/&gt;&lt;wsp:rsid wsp:val=&quot;00753753&quot;/&gt;&lt;wsp:rsid wsp:val=&quot;00753AA8&quot;/&gt;&lt;wsp:rsid wsp:val=&quot;00753AB6&quot;/&gt;&lt;wsp:rsid wsp:val=&quot;00753B22&quot;/&gt;&lt;wsp:rsid wsp:val=&quot;00753F6D&quot;/&gt;&lt;wsp:rsid wsp:val=&quot;007540CD&quot;/&gt;&lt;wsp:rsid wsp:val=&quot;00754178&quot;/&gt;&lt;wsp:rsid wsp:val=&quot;00754222&quot;/&gt;&lt;wsp:rsid wsp:val=&quot;007542FD&quot;/&gt;&lt;wsp:rsid wsp:val=&quot;007544F8&quot;/&gt;&lt;wsp:rsid wsp:val=&quot;0075455D&quot;/&gt;&lt;wsp:rsid wsp:val=&quot;0075459A&quot;/&gt;&lt;wsp:rsid wsp:val=&quot;007548B2&quot;/&gt;&lt;wsp:rsid wsp:val=&quot;007549D3&quot;/&gt;&lt;wsp:rsid wsp:val=&quot;00754A72&quot;/&gt;&lt;wsp:rsid wsp:val=&quot;00754B2A&quot;/&gt;&lt;wsp:rsid wsp:val=&quot;00754F36&quot;/&gt;&lt;wsp:rsid wsp:val=&quot;00754F5C&quot;/&gt;&lt;wsp:rsid wsp:val=&quot;0075511A&quot;/&gt;&lt;wsp:rsid wsp:val=&quot;007554B0&quot;/&gt;&lt;wsp:rsid wsp:val=&quot;007554DA&quot;/&gt;&lt;wsp:rsid wsp:val=&quot;007556DA&quot;/&gt;&lt;wsp:rsid wsp:val=&quot;0075587A&quot;/&gt;&lt;wsp:rsid wsp:val=&quot;0075597A&quot;/&gt;&lt;wsp:rsid wsp:val=&quot;00755A12&quot;/&gt;&lt;wsp:rsid wsp:val=&quot;00755AEE&quot;/&gt;&lt;wsp:rsid wsp:val=&quot;00755C46&quot;/&gt;&lt;wsp:rsid wsp:val=&quot;00755CAA&quot;/&gt;&lt;wsp:rsid wsp:val=&quot;00756761&quot;/&gt;&lt;wsp:rsid wsp:val=&quot;007568EC&quot;/&gt;&lt;wsp:rsid wsp:val=&quot;00756A2B&quot;/&gt;&lt;wsp:rsid wsp:val=&quot;00756D1F&quot;/&gt;&lt;wsp:rsid wsp:val=&quot;00756E58&quot;/&gt;&lt;wsp:rsid wsp:val=&quot;00756FF4&quot;/&gt;&lt;wsp:rsid wsp:val=&quot;007573F6&quot;/&gt;&lt;wsp:rsid wsp:val=&quot;007576A3&quot;/&gt;&lt;wsp:rsid wsp:val=&quot;007577AD&quot;/&gt;&lt;wsp:rsid wsp:val=&quot;00757883&quot;/&gt;&lt;wsp:rsid wsp:val=&quot;00757ACA&quot;/&gt;&lt;wsp:rsid wsp:val=&quot;00757B40&quot;/&gt;&lt;wsp:rsid wsp:val=&quot;00757D0C&quot;/&gt;&lt;wsp:rsid wsp:val=&quot;00757D9D&quot;/&gt;&lt;wsp:rsid wsp:val=&quot;00757EE2&quot;/&gt;&lt;wsp:rsid wsp:val=&quot;00760186&quot;/&gt;&lt;wsp:rsid wsp:val=&quot;00760613&quot;/&gt;&lt;wsp:rsid wsp:val=&quot;00760666&quot;/&gt;&lt;wsp:rsid wsp:val=&quot;007609DE&quot;/&gt;&lt;wsp:rsid wsp:val=&quot;00760EFC&quot;/&gt;&lt;wsp:rsid wsp:val=&quot;007612FE&quot;/&gt;&lt;wsp:rsid wsp:val=&quot;007613E7&quot;/&gt;&lt;wsp:rsid wsp:val=&quot;00761619&quot;/&gt;&lt;wsp:rsid wsp:val=&quot;007619D5&quot;/&gt;&lt;wsp:rsid wsp:val=&quot;00761AB3&quot;/&gt;&lt;wsp:rsid wsp:val=&quot;00761E86&quot;/&gt;&lt;wsp:rsid wsp:val=&quot;007620CC&quot;/&gt;&lt;wsp:rsid wsp:val=&quot;00762325&quot;/&gt;&lt;wsp:rsid wsp:val=&quot;0076246F&quot;/&gt;&lt;wsp:rsid wsp:val=&quot;0076248D&quot;/&gt;&lt;wsp:rsid wsp:val=&quot;00762896&quot;/&gt;&lt;wsp:rsid wsp:val=&quot;00762BCD&quot;/&gt;&lt;wsp:rsid wsp:val=&quot;00762F1D&quot;/&gt;&lt;wsp:rsid wsp:val=&quot;0076379F&quot;/&gt;&lt;wsp:rsid wsp:val=&quot;00763A60&quot;/&gt;&lt;wsp:rsid wsp:val=&quot;00763B8D&quot;/&gt;&lt;wsp:rsid wsp:val=&quot;00763BFE&quot;/&gt;&lt;wsp:rsid wsp:val=&quot;00763D5E&quot;/&gt;&lt;wsp:rsid wsp:val=&quot;0076463E&quot;/&gt;&lt;wsp:rsid wsp:val=&quot;00764B7A&quot;/&gt;&lt;wsp:rsid wsp:val=&quot;00764C48&quot;/&gt;&lt;wsp:rsid wsp:val=&quot;00764D4A&quot;/&gt;&lt;wsp:rsid wsp:val=&quot;00764F35&quot;/&gt;&lt;wsp:rsid wsp:val=&quot;007652B2&quot;/&gt;&lt;wsp:rsid wsp:val=&quot;00765323&quot;/&gt;&lt;wsp:rsid wsp:val=&quot;00765327&quot;/&gt;&lt;wsp:rsid wsp:val=&quot;0076597B&quot;/&gt;&lt;wsp:rsid wsp:val=&quot;00765E7A&quot;/&gt;&lt;wsp:rsid wsp:val=&quot;007663B2&quot;/&gt;&lt;wsp:rsid wsp:val=&quot;0076648C&quot;/&gt;&lt;wsp:rsid wsp:val=&quot;00766511&quot;/&gt;&lt;wsp:rsid wsp:val=&quot;007665AD&quot;/&gt;&lt;wsp:rsid wsp:val=&quot;007666F7&quot;/&gt;&lt;wsp:rsid wsp:val=&quot;00766756&quot;/&gt;&lt;wsp:rsid wsp:val=&quot;0076699F&quot;/&gt;&lt;wsp:rsid wsp:val=&quot;007669D9&quot;/&gt;&lt;wsp:rsid wsp:val=&quot;00766B00&quot;/&gt;&lt;wsp:rsid wsp:val=&quot;00766CAB&quot;/&gt;&lt;wsp:rsid wsp:val=&quot;00766E08&quot;/&gt;&lt;wsp:rsid wsp:val=&quot;00767385&quot;/&gt;&lt;wsp:rsid wsp:val=&quot;007673B6&quot;/&gt;&lt;wsp:rsid wsp:val=&quot;0076746C&quot;/&gt;&lt;wsp:rsid wsp:val=&quot;00767E17&quot;/&gt;&lt;wsp:rsid wsp:val=&quot;00767EC6&quot;/&gt;&lt;wsp:rsid wsp:val=&quot;00767F2A&quot;/&gt;&lt;wsp:rsid wsp:val=&quot;00767FDC&quot;/&gt;&lt;wsp:rsid wsp:val=&quot;0077033B&quot;/&gt;&lt;wsp:rsid wsp:val=&quot;007707AF&quot;/&gt;&lt;wsp:rsid wsp:val=&quot;00770B6E&quot;/&gt;&lt;wsp:rsid wsp:val=&quot;007711F5&quot;/&gt;&lt;wsp:rsid wsp:val=&quot;00771210&quot;/&gt;&lt;wsp:rsid wsp:val=&quot;0077131D&quot;/&gt;&lt;wsp:rsid wsp:val=&quot;007717E9&quot;/&gt;&lt;wsp:rsid wsp:val=&quot;00771CFF&quot;/&gt;&lt;wsp:rsid wsp:val=&quot;00771E42&quot;/&gt;&lt;wsp:rsid wsp:val=&quot;00771E7E&quot;/&gt;&lt;wsp:rsid wsp:val=&quot;00771F9A&quot;/&gt;&lt;wsp:rsid wsp:val=&quot;007722F9&quot;/&gt;&lt;wsp:rsid wsp:val=&quot;0077239F&quot;/&gt;&lt;wsp:rsid wsp:val=&quot;0077268C&quot;/&gt;&lt;wsp:rsid wsp:val=&quot;007727CB&quot;/&gt;&lt;wsp:rsid wsp:val=&quot;00772813&quot;/&gt;&lt;wsp:rsid wsp:val=&quot;00772BEC&quot;/&gt;&lt;wsp:rsid wsp:val=&quot;0077308B&quot;/&gt;&lt;wsp:rsid wsp:val=&quot;007730D3&quot;/&gt;&lt;wsp:rsid wsp:val=&quot;007735DF&quot;/&gt;&lt;wsp:rsid wsp:val=&quot;007736E1&quot;/&gt;&lt;wsp:rsid wsp:val=&quot;00773C52&quot;/&gt;&lt;wsp:rsid wsp:val=&quot;00773D11&quot;/&gt;&lt;wsp:rsid wsp:val=&quot;00773D66&quot;/&gt;&lt;wsp:rsid wsp:val=&quot;00773DF8&quot;/&gt;&lt;wsp:rsid wsp:val=&quot;0077402B&quot;/&gt;&lt;wsp:rsid wsp:val=&quot;007740FA&quot;/&gt;&lt;wsp:rsid wsp:val=&quot;00774139&quot;/&gt;&lt;wsp:rsid wsp:val=&quot;007746A0&quot;/&gt;&lt;wsp:rsid wsp:val=&quot;00774757&quot;/&gt;&lt;wsp:rsid wsp:val=&quot;00774918&quot;/&gt;&lt;wsp:rsid wsp:val=&quot;00774AA7&quot;/&gt;&lt;wsp:rsid wsp:val=&quot;00774B36&quot;/&gt;&lt;wsp:rsid wsp:val=&quot;00774EC5&quot;/&gt;&lt;wsp:rsid wsp:val=&quot;007753E1&quot;/&gt;&lt;wsp:rsid wsp:val=&quot;007756C7&quot;/&gt;&lt;wsp:rsid wsp:val=&quot;00775983&quot;/&gt;&lt;wsp:rsid wsp:val=&quot;00775B8E&quot;/&gt;&lt;wsp:rsid wsp:val=&quot;00775C7D&quot;/&gt;&lt;wsp:rsid wsp:val=&quot;00775CB6&quot;/&gt;&lt;wsp:rsid wsp:val=&quot;00775D66&quot;/&gt;&lt;wsp:rsid wsp:val=&quot;00775E6E&quot;/&gt;&lt;wsp:rsid wsp:val=&quot;00775E7B&quot;/&gt;&lt;wsp:rsid wsp:val=&quot;00776438&quot;/&gt;&lt;wsp:rsid wsp:val=&quot;0077663F&quot;/&gt;&lt;wsp:rsid wsp:val=&quot;0077668A&quot;/&gt;&lt;wsp:rsid wsp:val=&quot;007766DF&quot;/&gt;&lt;wsp:rsid wsp:val=&quot;00776AF2&quot;/&gt;&lt;wsp:rsid wsp:val=&quot;00776C96&quot;/&gt;&lt;wsp:rsid wsp:val=&quot;007776BF&quot;/&gt;&lt;wsp:rsid wsp:val=&quot;00777881&quot;/&gt;&lt;wsp:rsid wsp:val=&quot;0077792A&quot;/&gt;&lt;wsp:rsid wsp:val=&quot;00777AAE&quot;/&gt;&lt;wsp:rsid wsp:val=&quot;00777B33&quot;/&gt;&lt;wsp:rsid wsp:val=&quot;00777B9B&quot;/&gt;&lt;wsp:rsid wsp:val=&quot;00777E09&quot;/&gt;&lt;wsp:rsid wsp:val=&quot;00777E5D&quot;/&gt;&lt;wsp:rsid wsp:val=&quot;00777E68&quot;/&gt;&lt;wsp:rsid wsp:val=&quot;007804E4&quot;/&gt;&lt;wsp:rsid wsp:val=&quot;00780524&quot;/&gt;&lt;wsp:rsid wsp:val=&quot;007805A2&quot;/&gt;&lt;wsp:rsid wsp:val=&quot;00780775&quot;/&gt;&lt;wsp:rsid wsp:val=&quot;007809ED&quot;/&gt;&lt;wsp:rsid wsp:val=&quot;00780AE2&quot;/&gt;&lt;wsp:rsid wsp:val=&quot;00780E10&quot;/&gt;&lt;wsp:rsid wsp:val=&quot;00780E38&quot;/&gt;&lt;wsp:rsid wsp:val=&quot;00781060&quot;/&gt;&lt;wsp:rsid wsp:val=&quot;00781199&quot;/&gt;&lt;wsp:rsid wsp:val=&quot;007812B8&quot;/&gt;&lt;wsp:rsid wsp:val=&quot;0078167F&quot;/&gt;&lt;wsp:rsid wsp:val=&quot;00781759&quot;/&gt;&lt;wsp:rsid wsp:val=&quot;00781B60&quot;/&gt;&lt;wsp:rsid wsp:val=&quot;0078227A&quot;/&gt;&lt;wsp:rsid wsp:val=&quot;00782335&quot;/&gt;&lt;wsp:rsid wsp:val=&quot;0078279A&quot;/&gt;&lt;wsp:rsid wsp:val=&quot;00782C3F&quot;/&gt;&lt;wsp:rsid wsp:val=&quot;00783058&quot;/&gt;&lt;wsp:rsid wsp:val=&quot;00783134&quot;/&gt;&lt;wsp:rsid wsp:val=&quot;007832D9&quot;/&gt;&lt;wsp:rsid wsp:val=&quot;007835D2&quot;/&gt;&lt;wsp:rsid wsp:val=&quot;007837DA&quot;/&gt;&lt;wsp:rsid wsp:val=&quot;00783827&quot;/&gt;&lt;wsp:rsid wsp:val=&quot;0078385B&quot;/&gt;&lt;wsp:rsid wsp:val=&quot;00783A96&quot;/&gt;&lt;wsp:rsid wsp:val=&quot;00783B08&quot;/&gt;&lt;wsp:rsid wsp:val=&quot;00783BA2&quot;/&gt;&lt;wsp:rsid wsp:val=&quot;00783C2F&quot;/&gt;&lt;wsp:rsid wsp:val=&quot;00783D16&quot;/&gt;&lt;wsp:rsid wsp:val=&quot;00783DF1&quot;/&gt;&lt;wsp:rsid wsp:val=&quot;0078401E&quot;/&gt;&lt;wsp:rsid wsp:val=&quot;007840AA&quot;/&gt;&lt;wsp:rsid wsp:val=&quot;007842E8&quot;/&gt;&lt;wsp:rsid wsp:val=&quot;007847A4&quot;/&gt;&lt;wsp:rsid wsp:val=&quot;007847BD&quot;/&gt;&lt;wsp:rsid wsp:val=&quot;00784A73&quot;/&gt;&lt;wsp:rsid wsp:val=&quot;00784AF4&quot;/&gt;&lt;wsp:rsid wsp:val=&quot;00785248&quot;/&gt;&lt;wsp:rsid wsp:val=&quot;00785A4F&quot;/&gt;&lt;wsp:rsid wsp:val=&quot;00785BDA&quot;/&gt;&lt;wsp:rsid wsp:val=&quot;00785C48&quot;/&gt;&lt;wsp:rsid wsp:val=&quot;00786039&quot;/&gt;&lt;wsp:rsid wsp:val=&quot;0078606B&quot;/&gt;&lt;wsp:rsid wsp:val=&quot;0078649A&quot;/&gt;&lt;wsp:rsid wsp:val=&quot;0078661A&quot;/&gt;&lt;wsp:rsid wsp:val=&quot;00786729&quot;/&gt;&lt;wsp:rsid wsp:val=&quot;00786A15&quot;/&gt;&lt;wsp:rsid wsp:val=&quot;00786A50&quot;/&gt;&lt;wsp:rsid wsp:val=&quot;00786B23&quot;/&gt;&lt;wsp:rsid wsp:val=&quot;00786B2D&quot;/&gt;&lt;wsp:rsid wsp:val=&quot;007870D4&quot;/&gt;&lt;wsp:rsid wsp:val=&quot;0078725E&quot;/&gt;&lt;wsp:rsid wsp:val=&quot;007875B5&quot;/&gt;&lt;wsp:rsid wsp:val=&quot;0078762A&quot;/&gt;&lt;wsp:rsid wsp:val=&quot;007878CE&quot;/&gt;&lt;wsp:rsid wsp:val=&quot;007879A5&quot;/&gt;&lt;wsp:rsid wsp:val=&quot;0079012C&quot;/&gt;&lt;wsp:rsid wsp:val=&quot;007901EE&quot;/&gt;&lt;wsp:rsid wsp:val=&quot;0079033A&quot;/&gt;&lt;wsp:rsid wsp:val=&quot;00790597&quot;/&gt;&lt;wsp:rsid wsp:val=&quot;0079078C&quot;/&gt;&lt;wsp:rsid wsp:val=&quot;0079093B&quot;/&gt;&lt;wsp:rsid wsp:val=&quot;00790B27&quot;/&gt;&lt;wsp:rsid wsp:val=&quot;00790C7B&quot;/&gt;&lt;wsp:rsid wsp:val=&quot;00791136&quot;/&gt;&lt;wsp:rsid wsp:val=&quot;007912E7&quot;/&gt;&lt;wsp:rsid wsp:val=&quot;007918F0&quot;/&gt;&lt;wsp:rsid wsp:val=&quot;00791922&quot;/&gt;&lt;wsp:rsid wsp:val=&quot;00791949&quot;/&gt;&lt;wsp:rsid wsp:val=&quot;00791ADD&quot;/&gt;&lt;wsp:rsid wsp:val=&quot;00791FCA&quot;/&gt;&lt;wsp:rsid wsp:val=&quot;00792293&quot;/&gt;&lt;wsp:rsid wsp:val=&quot;007925DF&quot;/&gt;&lt;wsp:rsid wsp:val=&quot;007925FE&quot;/&gt;&lt;wsp:rsid wsp:val=&quot;007926DE&quot;/&gt;&lt;wsp:rsid wsp:val=&quot;007929AA&quot;/&gt;&lt;wsp:rsid wsp:val=&quot;00792BE2&quot;/&gt;&lt;wsp:rsid wsp:val=&quot;00792BF2&quot;/&gt;&lt;wsp:rsid wsp:val=&quot;00792EF6&quot;/&gt;&lt;wsp:rsid wsp:val=&quot;00793647&quot;/&gt;&lt;wsp:rsid wsp:val=&quot;00793F30&quot;/&gt;&lt;wsp:rsid wsp:val=&quot;00794008&quot;/&gt;&lt;wsp:rsid wsp:val=&quot;00794303&quot;/&gt;&lt;wsp:rsid wsp:val=&quot;0079451C&quot;/&gt;&lt;wsp:rsid wsp:val=&quot;007945AD&quot;/&gt;&lt;wsp:rsid wsp:val=&quot;00794696&quot;/&gt;&lt;wsp:rsid wsp:val=&quot;0079475F&quot;/&gt;&lt;wsp:rsid wsp:val=&quot;007947B0&quot;/&gt;&lt;wsp:rsid wsp:val=&quot;00794877&quot;/&gt;&lt;wsp:rsid wsp:val=&quot;00794995&quot;/&gt;&lt;wsp:rsid wsp:val=&quot;00794AE6&quot;/&gt;&lt;wsp:rsid wsp:val=&quot;00794B8B&quot;/&gt;&lt;wsp:rsid wsp:val=&quot;0079502B&quot;/&gt;&lt;wsp:rsid wsp:val=&quot;007951ED&quot;/&gt;&lt;wsp:rsid wsp:val=&quot;0079523F&quot;/&gt;&lt;wsp:rsid wsp:val=&quot;007956BD&quot;/&gt;&lt;wsp:rsid wsp:val=&quot;00795886&quot;/&gt;&lt;wsp:rsid wsp:val=&quot;00796032&quot;/&gt;&lt;wsp:rsid wsp:val=&quot;00796147&quot;/&gt;&lt;wsp:rsid wsp:val=&quot;00796512&quot;/&gt;&lt;wsp:rsid wsp:val=&quot;00796719&quot;/&gt;&lt;wsp:rsid wsp:val=&quot;00796ED4&quot;/&gt;&lt;wsp:rsid wsp:val=&quot;00797115&quot;/&gt;&lt;wsp:rsid wsp:val=&quot;007976D5&quot;/&gt;&lt;wsp:rsid wsp:val=&quot;0079786C&quot;/&gt;&lt;wsp:rsid wsp:val=&quot;00797899&quot;/&gt;&lt;wsp:rsid wsp:val=&quot;00797DC9&quot;/&gt;&lt;wsp:rsid wsp:val=&quot;007A0177&quot;/&gt;&lt;wsp:rsid wsp:val=&quot;007A0321&quot;/&gt;&lt;wsp:rsid wsp:val=&quot;007A0470&quot;/&gt;&lt;wsp:rsid wsp:val=&quot;007A072F&quot;/&gt;&lt;wsp:rsid wsp:val=&quot;007A0AE1&quot;/&gt;&lt;wsp:rsid wsp:val=&quot;007A0C27&quot;/&gt;&lt;wsp:rsid wsp:val=&quot;007A0E2D&quot;/&gt;&lt;wsp:rsid wsp:val=&quot;007A1953&quot;/&gt;&lt;wsp:rsid wsp:val=&quot;007A198F&quot;/&gt;&lt;wsp:rsid wsp:val=&quot;007A19AD&quot;/&gt;&lt;wsp:rsid wsp:val=&quot;007A1B64&quot;/&gt;&lt;wsp:rsid wsp:val=&quot;007A1B70&quot;/&gt;&lt;wsp:rsid wsp:val=&quot;007A1D46&quot;/&gt;&lt;wsp:rsid wsp:val=&quot;007A1D68&quot;/&gt;&lt;wsp:rsid wsp:val=&quot;007A20BF&quot;/&gt;&lt;wsp:rsid wsp:val=&quot;007A20FC&quot;/&gt;&lt;wsp:rsid wsp:val=&quot;007A22A7&quot;/&gt;&lt;wsp:rsid wsp:val=&quot;007A2519&quot;/&gt;&lt;wsp:rsid wsp:val=&quot;007A2889&quot;/&gt;&lt;wsp:rsid wsp:val=&quot;007A288F&quot;/&gt;&lt;wsp:rsid wsp:val=&quot;007A28A9&quot;/&gt;&lt;wsp:rsid wsp:val=&quot;007A2E27&quot;/&gt;&lt;wsp:rsid wsp:val=&quot;007A2E9F&quot;/&gt;&lt;wsp:rsid wsp:val=&quot;007A2FD5&quot;/&gt;&lt;wsp:rsid wsp:val=&quot;007A30D0&quot;/&gt;&lt;wsp:rsid wsp:val=&quot;007A3413&quot;/&gt;&lt;wsp:rsid wsp:val=&quot;007A36C3&quot;/&gt;&lt;wsp:rsid wsp:val=&quot;007A37B9&quot;/&gt;&lt;wsp:rsid wsp:val=&quot;007A3A46&quot;/&gt;&lt;wsp:rsid wsp:val=&quot;007A3C25&quot;/&gt;&lt;wsp:rsid wsp:val=&quot;007A3D68&quot;/&gt;&lt;wsp:rsid wsp:val=&quot;007A3E97&quot;/&gt;&lt;wsp:rsid wsp:val=&quot;007A3F57&quot;/&gt;&lt;wsp:rsid wsp:val=&quot;007A4013&quot;/&gt;&lt;wsp:rsid wsp:val=&quot;007A446F&quot;/&gt;&lt;wsp:rsid wsp:val=&quot;007A46E5&quot;/&gt;&lt;wsp:rsid wsp:val=&quot;007A484B&quot;/&gt;&lt;wsp:rsid wsp:val=&quot;007A488C&quot;/&gt;&lt;wsp:rsid wsp:val=&quot;007A48BF&quot;/&gt;&lt;wsp:rsid wsp:val=&quot;007A4C70&quot;/&gt;&lt;wsp:rsid wsp:val=&quot;007A50BE&quot;/&gt;&lt;wsp:rsid wsp:val=&quot;007A50E0&quot;/&gt;&lt;wsp:rsid wsp:val=&quot;007A51A4&quot;/&gt;&lt;wsp:rsid wsp:val=&quot;007A51B6&quot;/&gt;&lt;wsp:rsid wsp:val=&quot;007A51F8&quot;/&gt;&lt;wsp:rsid wsp:val=&quot;007A5270&quot;/&gt;&lt;wsp:rsid wsp:val=&quot;007A56FF&quot;/&gt;&lt;wsp:rsid wsp:val=&quot;007A5833&quot;/&gt;&lt;wsp:rsid wsp:val=&quot;007A5A9C&quot;/&gt;&lt;wsp:rsid wsp:val=&quot;007A5C34&quot;/&gt;&lt;wsp:rsid wsp:val=&quot;007A5C6D&quot;/&gt;&lt;wsp:rsid wsp:val=&quot;007A5DF0&quot;/&gt;&lt;wsp:rsid wsp:val=&quot;007A5EA9&quot;/&gt;&lt;wsp:rsid wsp:val=&quot;007A61DD&quot;/&gt;&lt;wsp:rsid wsp:val=&quot;007A650A&quot;/&gt;&lt;wsp:rsid wsp:val=&quot;007A66AE&quot;/&gt;&lt;wsp:rsid wsp:val=&quot;007A66ED&quot;/&gt;&lt;wsp:rsid wsp:val=&quot;007A6886&quot;/&gt;&lt;wsp:rsid wsp:val=&quot;007A6980&quot;/&gt;&lt;wsp:rsid wsp:val=&quot;007A6BDC&quot;/&gt;&lt;wsp:rsid wsp:val=&quot;007A6E62&quot;/&gt;&lt;wsp:rsid wsp:val=&quot;007A6FDC&quot;/&gt;&lt;wsp:rsid wsp:val=&quot;007A71EF&quot;/&gt;&lt;wsp:rsid wsp:val=&quot;007A7719&quot;/&gt;&lt;wsp:rsid wsp:val=&quot;007A7767&quot;/&gt;&lt;wsp:rsid wsp:val=&quot;007A785A&quot;/&gt;&lt;wsp:rsid wsp:val=&quot;007A799E&quot;/&gt;&lt;wsp:rsid wsp:val=&quot;007A7B06&quot;/&gt;&lt;wsp:rsid wsp:val=&quot;007A7C71&quot;/&gt;&lt;wsp:rsid wsp:val=&quot;007A7DE7&quot;/&gt;&lt;wsp:rsid wsp:val=&quot;007A7DFD&quot;/&gt;&lt;wsp:rsid wsp:val=&quot;007A7EB7&quot;/&gt;&lt;wsp:rsid wsp:val=&quot;007A7EDC&quot;/&gt;&lt;wsp:rsid wsp:val=&quot;007B0110&quot;/&gt;&lt;wsp:rsid wsp:val=&quot;007B0690&quot;/&gt;&lt;wsp:rsid wsp:val=&quot;007B0773&quot;/&gt;&lt;wsp:rsid wsp:val=&quot;007B09F3&quot;/&gt;&lt;wsp:rsid wsp:val=&quot;007B0B8C&quot;/&gt;&lt;wsp:rsid wsp:val=&quot;007B0FDC&quot;/&gt;&lt;wsp:rsid wsp:val=&quot;007B10DA&quot;/&gt;&lt;wsp:rsid wsp:val=&quot;007B147C&quot;/&gt;&lt;wsp:rsid wsp:val=&quot;007B14CB&quot;/&gt;&lt;wsp:rsid wsp:val=&quot;007B186E&quot;/&gt;&lt;wsp:rsid wsp:val=&quot;007B1F50&quot;/&gt;&lt;wsp:rsid wsp:val=&quot;007B2135&quot;/&gt;&lt;wsp:rsid wsp:val=&quot;007B2265&quot;/&gt;&lt;wsp:rsid wsp:val=&quot;007B23A5&quot;/&gt;&lt;wsp:rsid wsp:val=&quot;007B2BC0&quot;/&gt;&lt;wsp:rsid wsp:val=&quot;007B2D55&quot;/&gt;&lt;wsp:rsid wsp:val=&quot;007B2DC3&quot;/&gt;&lt;wsp:rsid wsp:val=&quot;007B2DCB&quot;/&gt;&lt;wsp:rsid wsp:val=&quot;007B321E&quot;/&gt;&lt;wsp:rsid wsp:val=&quot;007B3233&quot;/&gt;&lt;wsp:rsid wsp:val=&quot;007B3A65&quot;/&gt;&lt;wsp:rsid wsp:val=&quot;007B3B44&quot;/&gt;&lt;wsp:rsid wsp:val=&quot;007B3D4A&quot;/&gt;&lt;wsp:rsid wsp:val=&quot;007B3DD0&quot;/&gt;&lt;wsp:rsid wsp:val=&quot;007B4475&quot;/&gt;&lt;wsp:rsid wsp:val=&quot;007B4499&quot;/&gt;&lt;wsp:rsid wsp:val=&quot;007B4576&quot;/&gt;&lt;wsp:rsid wsp:val=&quot;007B46CB&quot;/&gt;&lt;wsp:rsid wsp:val=&quot;007B46F7&quot;/&gt;&lt;wsp:rsid wsp:val=&quot;007B4951&quot;/&gt;&lt;wsp:rsid wsp:val=&quot;007B4D0F&quot;/&gt;&lt;wsp:rsid wsp:val=&quot;007B4E7E&quot;/&gt;&lt;wsp:rsid wsp:val=&quot;007B4FC1&quot;/&gt;&lt;wsp:rsid wsp:val=&quot;007B5180&quot;/&gt;&lt;wsp:rsid wsp:val=&quot;007B51B3&quot;/&gt;&lt;wsp:rsid wsp:val=&quot;007B567C&quot;/&gt;&lt;wsp:rsid wsp:val=&quot;007B58C9&quot;/&gt;&lt;wsp:rsid wsp:val=&quot;007B597D&quot;/&gt;&lt;wsp:rsid wsp:val=&quot;007B5E32&quot;/&gt;&lt;wsp:rsid wsp:val=&quot;007B6224&quot;/&gt;&lt;wsp:rsid wsp:val=&quot;007B6411&quot;/&gt;&lt;wsp:rsid wsp:val=&quot;007B673C&quot;/&gt;&lt;wsp:rsid wsp:val=&quot;007B6A49&quot;/&gt;&lt;wsp:rsid wsp:val=&quot;007B6B87&quot;/&gt;&lt;wsp:rsid wsp:val=&quot;007B6DE9&quot;/&gt;&lt;wsp:rsid wsp:val=&quot;007B6E04&quot;/&gt;&lt;wsp:rsid wsp:val=&quot;007B7062&quot;/&gt;&lt;wsp:rsid wsp:val=&quot;007B77F3&quot;/&gt;&lt;wsp:rsid wsp:val=&quot;007B7ACB&quot;/&gt;&lt;wsp:rsid wsp:val=&quot;007B7C57&quot;/&gt;&lt;wsp:rsid wsp:val=&quot;007B7F0E&quot;/&gt;&lt;wsp:rsid wsp:val=&quot;007C01CD&quot;/&gt;&lt;wsp:rsid wsp:val=&quot;007C066C&quot;/&gt;&lt;wsp:rsid wsp:val=&quot;007C06C4&quot;/&gt;&lt;wsp:rsid wsp:val=&quot;007C07CE&quot;/&gt;&lt;wsp:rsid wsp:val=&quot;007C09B5&quot;/&gt;&lt;wsp:rsid wsp:val=&quot;007C0A45&quot;/&gt;&lt;wsp:rsid wsp:val=&quot;007C124C&quot;/&gt;&lt;wsp:rsid wsp:val=&quot;007C12B3&quot;/&gt;&lt;wsp:rsid wsp:val=&quot;007C12BB&quot;/&gt;&lt;wsp:rsid wsp:val=&quot;007C141E&quot;/&gt;&lt;wsp:rsid wsp:val=&quot;007C14B0&quot;/&gt;&lt;wsp:rsid wsp:val=&quot;007C1548&quot;/&gt;&lt;wsp:rsid wsp:val=&quot;007C1D75&quot;/&gt;&lt;wsp:rsid wsp:val=&quot;007C1E60&quot;/&gt;&lt;wsp:rsid wsp:val=&quot;007C1EDB&quot;/&gt;&lt;wsp:rsid wsp:val=&quot;007C1F1E&quot;/&gt;&lt;wsp:rsid wsp:val=&quot;007C1F91&quot;/&gt;&lt;wsp:rsid wsp:val=&quot;007C2096&quot;/&gt;&lt;wsp:rsid wsp:val=&quot;007C20EC&quot;/&gt;&lt;wsp:rsid wsp:val=&quot;007C2284&quot;/&gt;&lt;wsp:rsid wsp:val=&quot;007C27DE&quot;/&gt;&lt;wsp:rsid wsp:val=&quot;007C2D21&quot;/&gt;&lt;wsp:rsid wsp:val=&quot;007C2D28&quot;/&gt;&lt;wsp:rsid wsp:val=&quot;007C2D49&quot;/&gt;&lt;wsp:rsid wsp:val=&quot;007C2F02&quot;/&gt;&lt;wsp:rsid wsp:val=&quot;007C3170&quot;/&gt;&lt;wsp:rsid wsp:val=&quot;007C32F4&quot;/&gt;&lt;wsp:rsid wsp:val=&quot;007C33D3&quot;/&gt;&lt;wsp:rsid wsp:val=&quot;007C3524&quot;/&gt;&lt;wsp:rsid wsp:val=&quot;007C3675&quot;/&gt;&lt;wsp:rsid wsp:val=&quot;007C37F6&quot;/&gt;&lt;wsp:rsid wsp:val=&quot;007C3874&quot;/&gt;&lt;wsp:rsid wsp:val=&quot;007C3947&quot;/&gt;&lt;wsp:rsid wsp:val=&quot;007C3BB6&quot;/&gt;&lt;wsp:rsid wsp:val=&quot;007C4249&quot;/&gt;&lt;wsp:rsid wsp:val=&quot;007C42BD&quot;/&gt;&lt;wsp:rsid wsp:val=&quot;007C439B&quot;/&gt;&lt;wsp:rsid wsp:val=&quot;007C4714&quot;/&gt;&lt;wsp:rsid wsp:val=&quot;007C4C27&quot;/&gt;&lt;wsp:rsid wsp:val=&quot;007C5267&quot;/&gt;&lt;wsp:rsid wsp:val=&quot;007C53BF&quot;/&gt;&lt;wsp:rsid wsp:val=&quot;007C5B10&quot;/&gt;&lt;wsp:rsid wsp:val=&quot;007C5BE3&quot;/&gt;&lt;wsp:rsid wsp:val=&quot;007C5EC0&quot;/&gt;&lt;wsp:rsid wsp:val=&quot;007C67AC&quot;/&gt;&lt;wsp:rsid wsp:val=&quot;007C67B0&quot;/&gt;&lt;wsp:rsid wsp:val=&quot;007C696C&quot;/&gt;&lt;wsp:rsid wsp:val=&quot;007C6C8E&quot;/&gt;&lt;wsp:rsid wsp:val=&quot;007C6FA4&quot;/&gt;&lt;wsp:rsid wsp:val=&quot;007C710F&quot;/&gt;&lt;wsp:rsid wsp:val=&quot;007C74D3&quot;/&gt;&lt;wsp:rsid wsp:val=&quot;007C76BF&quot;/&gt;&lt;wsp:rsid wsp:val=&quot;007C77F5&quot;/&gt;&lt;wsp:rsid wsp:val=&quot;007C7832&quot;/&gt;&lt;wsp:rsid wsp:val=&quot;007C7AF9&quot;/&gt;&lt;wsp:rsid wsp:val=&quot;007C7D83&quot;/&gt;&lt;wsp:rsid wsp:val=&quot;007D0020&quot;/&gt;&lt;wsp:rsid wsp:val=&quot;007D0226&quot;/&gt;&lt;wsp:rsid wsp:val=&quot;007D04F3&quot;/&gt;&lt;wsp:rsid wsp:val=&quot;007D08C4&quot;/&gt;&lt;wsp:rsid wsp:val=&quot;007D0F45&quot;/&gt;&lt;wsp:rsid wsp:val=&quot;007D1127&quot;/&gt;&lt;wsp:rsid wsp:val=&quot;007D1354&quot;/&gt;&lt;wsp:rsid wsp:val=&quot;007D147B&quot;/&gt;&lt;wsp:rsid wsp:val=&quot;007D16AF&quot;/&gt;&lt;wsp:rsid wsp:val=&quot;007D1902&quot;/&gt;&lt;wsp:rsid wsp:val=&quot;007D1A39&quot;/&gt;&lt;wsp:rsid wsp:val=&quot;007D2056&quot;/&gt;&lt;wsp:rsid wsp:val=&quot;007D2356&quot;/&gt;&lt;wsp:rsid wsp:val=&quot;007D263E&quot;/&gt;&lt;wsp:rsid wsp:val=&quot;007D2BDF&quot;/&gt;&lt;wsp:rsid wsp:val=&quot;007D2D04&quot;/&gt;&lt;wsp:rsid wsp:val=&quot;007D2DAB&quot;/&gt;&lt;wsp:rsid wsp:val=&quot;007D2F2D&quot;/&gt;&lt;wsp:rsid wsp:val=&quot;007D3178&quot;/&gt;&lt;wsp:rsid wsp:val=&quot;007D32C7&quot;/&gt;&lt;wsp:rsid wsp:val=&quot;007D3351&quot;/&gt;&lt;wsp:rsid wsp:val=&quot;007D3936&quot;/&gt;&lt;wsp:rsid wsp:val=&quot;007D3B3E&quot;/&gt;&lt;wsp:rsid wsp:val=&quot;007D3BD0&quot;/&gt;&lt;wsp:rsid wsp:val=&quot;007D3C16&quot;/&gt;&lt;wsp:rsid wsp:val=&quot;007D3CBF&quot;/&gt;&lt;wsp:rsid wsp:val=&quot;007D3E65&quot;/&gt;&lt;wsp:rsid wsp:val=&quot;007D42AE&quot;/&gt;&lt;wsp:rsid wsp:val=&quot;007D42C0&quot;/&gt;&lt;wsp:rsid wsp:val=&quot;007D4303&quot;/&gt;&lt;wsp:rsid wsp:val=&quot;007D4363&quot;/&gt;&lt;wsp:rsid wsp:val=&quot;007D4402&quot;/&gt;&lt;wsp:rsid wsp:val=&quot;007D4417&quot;/&gt;&lt;wsp:rsid wsp:val=&quot;007D472D&quot;/&gt;&lt;wsp:rsid wsp:val=&quot;007D4AED&quot;/&gt;&lt;wsp:rsid wsp:val=&quot;007D4F66&quot;/&gt;&lt;wsp:rsid wsp:val=&quot;007D565B&quot;/&gt;&lt;wsp:rsid wsp:val=&quot;007D56CC&quot;/&gt;&lt;wsp:rsid wsp:val=&quot;007D584C&quot;/&gt;&lt;wsp:rsid wsp:val=&quot;007D599A&quot;/&gt;&lt;wsp:rsid wsp:val=&quot;007D59C4&quot;/&gt;&lt;wsp:rsid wsp:val=&quot;007D5A71&quot;/&gt;&lt;wsp:rsid wsp:val=&quot;007D6072&quot;/&gt;&lt;wsp:rsid wsp:val=&quot;007D60B7&quot;/&gt;&lt;wsp:rsid wsp:val=&quot;007D646B&quot;/&gt;&lt;wsp:rsid wsp:val=&quot;007D69E5&quot;/&gt;&lt;wsp:rsid wsp:val=&quot;007D70EA&quot;/&gt;&lt;wsp:rsid wsp:val=&quot;007D72D6&quot;/&gt;&lt;wsp:rsid wsp:val=&quot;007D7989&quot;/&gt;&lt;wsp:rsid wsp:val=&quot;007E0064&quot;/&gt;&lt;wsp:rsid wsp:val=&quot;007E0065&quot;/&gt;&lt;wsp:rsid wsp:val=&quot;007E009C&quot;/&gt;&lt;wsp:rsid wsp:val=&quot;007E00B7&quot;/&gt;&lt;wsp:rsid wsp:val=&quot;007E0452&quot;/&gt;&lt;wsp:rsid wsp:val=&quot;007E046F&quot;/&gt;&lt;wsp:rsid wsp:val=&quot;007E0752&quot;/&gt;&lt;wsp:rsid wsp:val=&quot;007E0831&quot;/&gt;&lt;wsp:rsid wsp:val=&quot;007E0B62&quot;/&gt;&lt;wsp:rsid wsp:val=&quot;007E0B66&quot;/&gt;&lt;wsp:rsid wsp:val=&quot;007E0B81&quot;/&gt;&lt;wsp:rsid wsp:val=&quot;007E0DDC&quot;/&gt;&lt;wsp:rsid wsp:val=&quot;007E0E14&quot;/&gt;&lt;wsp:rsid wsp:val=&quot;007E0F92&quot;/&gt;&lt;wsp:rsid wsp:val=&quot;007E100E&quot;/&gt;&lt;wsp:rsid wsp:val=&quot;007E1062&quot;/&gt;&lt;wsp:rsid wsp:val=&quot;007E11D4&quot;/&gt;&lt;wsp:rsid wsp:val=&quot;007E1259&quot;/&gt;&lt;wsp:rsid wsp:val=&quot;007E12BC&quot;/&gt;&lt;wsp:rsid wsp:val=&quot;007E1558&quot;/&gt;&lt;wsp:rsid wsp:val=&quot;007E1568&quot;/&gt;&lt;wsp:rsid wsp:val=&quot;007E1580&quot;/&gt;&lt;wsp:rsid wsp:val=&quot;007E17BB&quot;/&gt;&lt;wsp:rsid wsp:val=&quot;007E1D5D&quot;/&gt;&lt;wsp:rsid wsp:val=&quot;007E1F60&quot;/&gt;&lt;wsp:rsid wsp:val=&quot;007E232D&quot;/&gt;&lt;wsp:rsid wsp:val=&quot;007E2835&quot;/&gt;&lt;wsp:rsid wsp:val=&quot;007E296A&quot;/&gt;&lt;wsp:rsid wsp:val=&quot;007E2F1A&quot;/&gt;&lt;wsp:rsid wsp:val=&quot;007E3922&quot;/&gt;&lt;wsp:rsid wsp:val=&quot;007E3AB4&quot;/&gt;&lt;wsp:rsid wsp:val=&quot;007E3DA6&quot;/&gt;&lt;wsp:rsid wsp:val=&quot;007E3E9F&quot;/&gt;&lt;wsp:rsid wsp:val=&quot;007E408B&quot;/&gt;&lt;wsp:rsid wsp:val=&quot;007E4383&quot;/&gt;&lt;wsp:rsid wsp:val=&quot;007E4803&quot;/&gt;&lt;wsp:rsid wsp:val=&quot;007E48A3&quot;/&gt;&lt;wsp:rsid wsp:val=&quot;007E49D4&quot;/&gt;&lt;wsp:rsid wsp:val=&quot;007E4AC4&quot;/&gt;&lt;wsp:rsid wsp:val=&quot;007E4B4C&quot;/&gt;&lt;wsp:rsid wsp:val=&quot;007E4CDE&quot;/&gt;&lt;wsp:rsid wsp:val=&quot;007E4DF0&quot;/&gt;&lt;wsp:rsid wsp:val=&quot;007E4E3A&quot;/&gt;&lt;wsp:rsid wsp:val=&quot;007E4F6B&quot;/&gt;&lt;wsp:rsid wsp:val=&quot;007E5235&quot;/&gt;&lt;wsp:rsid wsp:val=&quot;007E548D&quot;/&gt;&lt;wsp:rsid wsp:val=&quot;007E5892&quot;/&gt;&lt;wsp:rsid wsp:val=&quot;007E5AA5&quot;/&gt;&lt;wsp:rsid wsp:val=&quot;007E5C5C&quot;/&gt;&lt;wsp:rsid wsp:val=&quot;007E5C9A&quot;/&gt;&lt;wsp:rsid wsp:val=&quot;007E6002&quot;/&gt;&lt;wsp:rsid wsp:val=&quot;007E6482&quot;/&gt;&lt;wsp:rsid wsp:val=&quot;007E64B6&quot;/&gt;&lt;wsp:rsid wsp:val=&quot;007E6587&quot;/&gt;&lt;wsp:rsid wsp:val=&quot;007E6F8E&quot;/&gt;&lt;wsp:rsid wsp:val=&quot;007E72EB&quot;/&gt;&lt;wsp:rsid wsp:val=&quot;007F0050&quot;/&gt;&lt;wsp:rsid wsp:val=&quot;007F03EB&quot;/&gt;&lt;wsp:rsid wsp:val=&quot;007F0573&quot;/&gt;&lt;wsp:rsid wsp:val=&quot;007F096B&quot;/&gt;&lt;wsp:rsid wsp:val=&quot;007F0F83&quot;/&gt;&lt;wsp:rsid wsp:val=&quot;007F1085&quot;/&gt;&lt;wsp:rsid wsp:val=&quot;007F1156&quot;/&gt;&lt;wsp:rsid wsp:val=&quot;007F1175&quot;/&gt;&lt;wsp:rsid wsp:val=&quot;007F13BF&quot;/&gt;&lt;wsp:rsid wsp:val=&quot;007F159B&quot;/&gt;&lt;wsp:rsid wsp:val=&quot;007F1962&quot;/&gt;&lt;wsp:rsid wsp:val=&quot;007F1A2E&quot;/&gt;&lt;wsp:rsid wsp:val=&quot;007F1B02&quot;/&gt;&lt;wsp:rsid wsp:val=&quot;007F1B46&quot;/&gt;&lt;wsp:rsid wsp:val=&quot;007F1FEE&quot;/&gt;&lt;wsp:rsid wsp:val=&quot;007F22F1&quot;/&gt;&lt;wsp:rsid wsp:val=&quot;007F23EA&quot;/&gt;&lt;wsp:rsid wsp:val=&quot;007F2568&quot;/&gt;&lt;wsp:rsid wsp:val=&quot;007F25BD&quot;/&gt;&lt;wsp:rsid wsp:val=&quot;007F2887&quot;/&gt;&lt;wsp:rsid wsp:val=&quot;007F29DA&quot;/&gt;&lt;wsp:rsid wsp:val=&quot;007F2B3C&quot;/&gt;&lt;wsp:rsid wsp:val=&quot;007F2CC4&quot;/&gt;&lt;wsp:rsid wsp:val=&quot;007F2D07&quot;/&gt;&lt;wsp:rsid wsp:val=&quot;007F2DC9&quot;/&gt;&lt;wsp:rsid wsp:val=&quot;007F30AD&quot;/&gt;&lt;wsp:rsid wsp:val=&quot;007F35C6&quot;/&gt;&lt;wsp:rsid wsp:val=&quot;007F35E6&quot;/&gt;&lt;wsp:rsid wsp:val=&quot;007F3616&quot;/&gt;&lt;wsp:rsid wsp:val=&quot;007F384B&quot;/&gt;&lt;wsp:rsid wsp:val=&quot;007F3A2E&quot;/&gt;&lt;wsp:rsid wsp:val=&quot;007F3B3A&quot;/&gt;&lt;wsp:rsid wsp:val=&quot;007F3C78&quot;/&gt;&lt;wsp:rsid wsp:val=&quot;007F3CC2&quot;/&gt;&lt;wsp:rsid wsp:val=&quot;007F3D62&quot;/&gt;&lt;wsp:rsid wsp:val=&quot;007F448D&quot;/&gt;&lt;wsp:rsid wsp:val=&quot;007F4D3D&quot;/&gt;&lt;wsp:rsid wsp:val=&quot;007F4E18&quot;/&gt;&lt;wsp:rsid wsp:val=&quot;007F4EEF&quot;/&gt;&lt;wsp:rsid wsp:val=&quot;007F50B0&quot;/&gt;&lt;wsp:rsid wsp:val=&quot;007F5884&quot;/&gt;&lt;wsp:rsid wsp:val=&quot;007F5A35&quot;/&gt;&lt;wsp:rsid wsp:val=&quot;007F5B18&quot;/&gt;&lt;wsp:rsid wsp:val=&quot;007F5C5E&quot;/&gt;&lt;wsp:rsid wsp:val=&quot;007F5FE1&quot;/&gt;&lt;wsp:rsid wsp:val=&quot;007F67FA&quot;/&gt;&lt;wsp:rsid wsp:val=&quot;007F6813&quot;/&gt;&lt;wsp:rsid wsp:val=&quot;007F6A1A&quot;/&gt;&lt;wsp:rsid wsp:val=&quot;007F6BEF&quot;/&gt;&lt;wsp:rsid wsp:val=&quot;007F6C51&quot;/&gt;&lt;wsp:rsid wsp:val=&quot;007F6D30&quot;/&gt;&lt;wsp:rsid wsp:val=&quot;007F6D8F&quot;/&gt;&lt;wsp:rsid wsp:val=&quot;007F70D2&quot;/&gt;&lt;wsp:rsid wsp:val=&quot;007F7108&quot;/&gt;&lt;wsp:rsid wsp:val=&quot;007F7158&quot;/&gt;&lt;wsp:rsid wsp:val=&quot;007F716D&quot;/&gt;&lt;wsp:rsid wsp:val=&quot;007F7330&quot;/&gt;&lt;wsp:rsid wsp:val=&quot;007F75AA&quot;/&gt;&lt;wsp:rsid wsp:val=&quot;007F7808&quot;/&gt;&lt;wsp:rsid wsp:val=&quot;007F7892&quot;/&gt;&lt;wsp:rsid wsp:val=&quot;007F7A06&quot;/&gt;&lt;wsp:rsid wsp:val=&quot;007F7A43&quot;/&gt;&lt;wsp:rsid wsp:val=&quot;007F7BF6&quot;/&gt;&lt;wsp:rsid wsp:val=&quot;007F7D9F&quot;/&gt;&lt;wsp:rsid wsp:val=&quot;007F7DCD&quot;/&gt;&lt;wsp:rsid wsp:val=&quot;007F7E24&quot;/&gt;&lt;wsp:rsid wsp:val=&quot;008001D8&quot;/&gt;&lt;wsp:rsid wsp:val=&quot;008001F8&quot;/&gt;&lt;wsp:rsid wsp:val=&quot;00800362&quot;/&gt;&lt;wsp:rsid wsp:val=&quot;0080045B&quot;/&gt;&lt;wsp:rsid wsp:val=&quot;00800510&quot;/&gt;&lt;wsp:rsid wsp:val=&quot;0080086A&quot;/&gt;&lt;wsp:rsid wsp:val=&quot;008009BC&quot;/&gt;&lt;wsp:rsid wsp:val=&quot;008009DB&quot;/&gt;&lt;wsp:rsid wsp:val=&quot;00800A3E&quot;/&gt;&lt;wsp:rsid wsp:val=&quot;008012B5&quot;/&gt;&lt;wsp:rsid wsp:val=&quot;008016AD&quot;/&gt;&lt;wsp:rsid wsp:val=&quot;00801774&quot;/&gt;&lt;wsp:rsid wsp:val=&quot;00801794&quot;/&gt;&lt;wsp:rsid wsp:val=&quot;00801795&quot;/&gt;&lt;wsp:rsid wsp:val=&quot;0080182A&quot;/&gt;&lt;wsp:rsid wsp:val=&quot;00801CA2&quot;/&gt;&lt;wsp:rsid wsp:val=&quot;00801D7A&quot;/&gt;&lt;wsp:rsid wsp:val=&quot;00801E9B&quot;/&gt;&lt;wsp:rsid wsp:val=&quot;00801FD8&quot;/&gt;&lt;wsp:rsid wsp:val=&quot;00802416&quot;/&gt;&lt;wsp:rsid wsp:val=&quot;00802430&quot;/&gt;&lt;wsp:rsid wsp:val=&quot;008026DA&quot;/&gt;&lt;wsp:rsid wsp:val=&quot;008028E0&quot;/&gt;&lt;wsp:rsid wsp:val=&quot;00802B5C&quot;/&gt;&lt;wsp:rsid wsp:val=&quot;00802CFA&quot;/&gt;&lt;wsp:rsid wsp:val=&quot;00802F01&quot;/&gt;&lt;wsp:rsid wsp:val=&quot;00803564&quot;/&gt;&lt;wsp:rsid wsp:val=&quot;008036CB&quot;/&gt;&lt;wsp:rsid wsp:val=&quot;00803786&quot;/&gt;&lt;wsp:rsid wsp:val=&quot;00803A85&quot;/&gt;&lt;wsp:rsid wsp:val=&quot;0080454C&quot;/&gt;&lt;wsp:rsid wsp:val=&quot;008045F3&quot;/&gt;&lt;wsp:rsid wsp:val=&quot;008048BD&quot;/&gt;&lt;wsp:rsid wsp:val=&quot;0080490B&quot;/&gt;&lt;wsp:rsid wsp:val=&quot;00804E56&quot;/&gt;&lt;wsp:rsid wsp:val=&quot;00804E86&quot;/&gt;&lt;wsp:rsid wsp:val=&quot;00804F0A&quot;/&gt;&lt;wsp:rsid wsp:val=&quot;00805137&quot;/&gt;&lt;wsp:rsid wsp:val=&quot;00805562&quot;/&gt;&lt;wsp:rsid wsp:val=&quot;00806102&quot;/&gt;&lt;wsp:rsid wsp:val=&quot;00806155&quot;/&gt;&lt;wsp:rsid wsp:val=&quot;00806410&quot;/&gt;&lt;wsp:rsid wsp:val=&quot;008065D0&quot;/&gt;&lt;wsp:rsid wsp:val=&quot;00806839&quot;/&gt;&lt;wsp:rsid wsp:val=&quot;0080691B&quot;/&gt;&lt;wsp:rsid wsp:val=&quot;00806A9E&quot;/&gt;&lt;wsp:rsid wsp:val=&quot;00806CCC&quot;/&gt;&lt;wsp:rsid wsp:val=&quot;008074D8&quot;/&gt;&lt;wsp:rsid wsp:val=&quot;008077E6&quot;/&gt;&lt;wsp:rsid wsp:val=&quot;00807B82&quot;/&gt;&lt;wsp:rsid wsp:val=&quot;00807E0C&quot;/&gt;&lt;wsp:rsid wsp:val=&quot;00807FD9&quot;/&gt;&lt;wsp:rsid wsp:val=&quot;00810000&quot;/&gt;&lt;wsp:rsid wsp:val=&quot;00810810&quot;/&gt;&lt;wsp:rsid wsp:val=&quot;00810AAB&quot;/&gt;&lt;wsp:rsid wsp:val=&quot;00810AE9&quot;/&gt;&lt;wsp:rsid wsp:val=&quot;00810F27&quot;/&gt;&lt;wsp:rsid wsp:val=&quot;0081138D&quot;/&gt;&lt;wsp:rsid wsp:val=&quot;008114A2&quot;/&gt;&lt;wsp:rsid wsp:val=&quot;008115DD&quot;/&gt;&lt;wsp:rsid wsp:val=&quot;0081185B&quot;/&gt;&lt;wsp:rsid wsp:val=&quot;00811F62&quot;/&gt;&lt;wsp:rsid wsp:val=&quot;00812224&quot;/&gt;&lt;wsp:rsid wsp:val=&quot;00812690&quot;/&gt;&lt;wsp:rsid wsp:val=&quot;00812926&quot;/&gt;&lt;wsp:rsid wsp:val=&quot;00812A38&quot;/&gt;&lt;wsp:rsid wsp:val=&quot;00812BB0&quot;/&gt;&lt;wsp:rsid wsp:val=&quot;0081334D&quot;/&gt;&lt;wsp:rsid wsp:val=&quot;008134D1&quot;/&gt;&lt;wsp:rsid wsp:val=&quot;008135A3&quot;/&gt;&lt;wsp:rsid wsp:val=&quot;008135F2&quot;/&gt;&lt;wsp:rsid wsp:val=&quot;00813760&quot;/&gt;&lt;wsp:rsid wsp:val=&quot;0081376A&quot;/&gt;&lt;wsp:rsid wsp:val=&quot;008139DB&quot;/&gt;&lt;wsp:rsid wsp:val=&quot;00813E8C&quot;/&gt;&lt;wsp:rsid wsp:val=&quot;00813E95&quot;/&gt;&lt;wsp:rsid wsp:val=&quot;00813FF4&quot;/&gt;&lt;wsp:rsid wsp:val=&quot;008142F7&quot;/&gt;&lt;wsp:rsid wsp:val=&quot;008143F1&quot;/&gt;&lt;wsp:rsid wsp:val=&quot;00814564&quot;/&gt;&lt;wsp:rsid wsp:val=&quot;00814A18&quot;/&gt;&lt;wsp:rsid wsp:val=&quot;00814C63&quot;/&gt;&lt;wsp:rsid wsp:val=&quot;00814F14&quot;/&gt;&lt;wsp:rsid wsp:val=&quot;00815135&quot;/&gt;&lt;wsp:rsid wsp:val=&quot;008151AE&quot;/&gt;&lt;wsp:rsid wsp:val=&quot;0081547C&quot;/&gt;&lt;wsp:rsid wsp:val=&quot;00815529&quot;/&gt;&lt;wsp:rsid wsp:val=&quot;0081580F&quot;/&gt;&lt;wsp:rsid wsp:val=&quot;00815877&quot;/&gt;&lt;wsp:rsid wsp:val=&quot;0081587A&quot;/&gt;&lt;wsp:rsid wsp:val=&quot;00815904&quot;/&gt;&lt;wsp:rsid wsp:val=&quot;0081595C&quot;/&gt;&lt;wsp:rsid wsp:val=&quot;00815B34&quot;/&gt;&lt;wsp:rsid wsp:val=&quot;00815E0A&quot;/&gt;&lt;wsp:rsid wsp:val=&quot;0081605E&quot;/&gt;&lt;wsp:rsid wsp:val=&quot;00816113&quot;/&gt;&lt;wsp:rsid wsp:val=&quot;00816201&quot;/&gt;&lt;wsp:rsid wsp:val=&quot;008164EE&quot;/&gt;&lt;wsp:rsid wsp:val=&quot;00816661&quot;/&gt;&lt;wsp:rsid wsp:val=&quot;00816804&quot;/&gt;&lt;wsp:rsid wsp:val=&quot;00816B0D&quot;/&gt;&lt;wsp:rsid wsp:val=&quot;00816D4A&quot;/&gt;&lt;wsp:rsid wsp:val=&quot;00816F91&quot;/&gt;&lt;wsp:rsid wsp:val=&quot;0081702D&quot;/&gt;&lt;wsp:rsid wsp:val=&quot;008171B2&quot;/&gt;&lt;wsp:rsid wsp:val=&quot;00817224&quot;/&gt;&lt;wsp:rsid wsp:val=&quot;008172D9&quot;/&gt;&lt;wsp:rsid wsp:val=&quot;00817318&quot;/&gt;&lt;wsp:rsid wsp:val=&quot;00817355&quot;/&gt;&lt;wsp:rsid wsp:val=&quot;00817A37&quot;/&gt;&lt;wsp:rsid wsp:val=&quot;00817DCF&quot;/&gt;&lt;wsp:rsid wsp:val=&quot;008202BB&quot;/&gt;&lt;wsp:rsid wsp:val=&quot;00820380&quot;/&gt;&lt;wsp:rsid wsp:val=&quot;0082070D&quot;/&gt;&lt;wsp:rsid wsp:val=&quot;008208E7&quot;/&gt;&lt;wsp:rsid wsp:val=&quot;00820963&quot;/&gt;&lt;wsp:rsid wsp:val=&quot;00820971&quot;/&gt;&lt;wsp:rsid wsp:val=&quot;00820AFF&quot;/&gt;&lt;wsp:rsid wsp:val=&quot;00820D76&quot;/&gt;&lt;wsp:rsid wsp:val=&quot;00820EBC&quot;/&gt;&lt;wsp:rsid wsp:val=&quot;00821260&quot;/&gt;&lt;wsp:rsid wsp:val=&quot;00821C9A&quot;/&gt;&lt;wsp:rsid wsp:val=&quot;0082218D&quot;/&gt;&lt;wsp:rsid wsp:val=&quot;0082224D&quot;/&gt;&lt;wsp:rsid wsp:val=&quot;008222D0&quot;/&gt;&lt;wsp:rsid wsp:val=&quot;0082234B&quot;/&gt;&lt;wsp:rsid wsp:val=&quot;008228C9&quot;/&gt;&lt;wsp:rsid wsp:val=&quot;00822D3F&quot;/&gt;&lt;wsp:rsid wsp:val=&quot;00822EAD&quot;/&gt;&lt;wsp:rsid wsp:val=&quot;00823452&quot;/&gt;&lt;wsp:rsid wsp:val=&quot;00823480&quot;/&gt;&lt;wsp:rsid wsp:val=&quot;0082358F&quot;/&gt;&lt;wsp:rsid wsp:val=&quot;0082368E&quot;/&gt;&lt;wsp:rsid wsp:val=&quot;00823814&quot;/&gt;&lt;wsp:rsid wsp:val=&quot;00823882&quot;/&gt;&lt;wsp:rsid wsp:val=&quot;00823913&quot;/&gt;&lt;wsp:rsid wsp:val=&quot;00823AB9&quot;/&gt;&lt;wsp:rsid wsp:val=&quot;00823FD3&quot;/&gt;&lt;wsp:rsid wsp:val=&quot;00824109&quot;/&gt;&lt;wsp:rsid wsp:val=&quot;0082444D&quot;/&gt;&lt;wsp:rsid wsp:val=&quot;008246B2&quot;/&gt;&lt;wsp:rsid wsp:val=&quot;00824817&quot;/&gt;&lt;wsp:rsid wsp:val=&quot;00824E59&quot;/&gt;&lt;wsp:rsid wsp:val=&quot;008251B7&quot;/&gt;&lt;wsp:rsid wsp:val=&quot;00825270&quot;/&gt;&lt;wsp:rsid wsp:val=&quot;0082535A&quot;/&gt;&lt;wsp:rsid wsp:val=&quot;008253EC&quot;/&gt;&lt;wsp:rsid wsp:val=&quot;00825452&quot;/&gt;&lt;wsp:rsid wsp:val=&quot;0082561D&quot;/&gt;&lt;wsp:rsid wsp:val=&quot;008258B7&quot;/&gt;&lt;wsp:rsid wsp:val=&quot;00825A34&quot;/&gt;&lt;wsp:rsid wsp:val=&quot;00825C73&quot;/&gt;&lt;wsp:rsid wsp:val=&quot;00825D79&quot;/&gt;&lt;wsp:rsid wsp:val=&quot;008262FD&quot;/&gt;&lt;wsp:rsid wsp:val=&quot;00826320&quot;/&gt;&lt;wsp:rsid wsp:val=&quot;00826407&quot;/&gt;&lt;wsp:rsid wsp:val=&quot;0082673A&quot;/&gt;&lt;wsp:rsid wsp:val=&quot;008269AB&quot;/&gt;&lt;wsp:rsid wsp:val=&quot;00826A89&quot;/&gt;&lt;wsp:rsid wsp:val=&quot;00826BD0&quot;/&gt;&lt;wsp:rsid wsp:val=&quot;00826E1A&quot;/&gt;&lt;wsp:rsid wsp:val=&quot;008276E3&quot;/&gt;&lt;wsp:rsid wsp:val=&quot;00827A0A&quot;/&gt;&lt;wsp:rsid wsp:val=&quot;00827B4D&quot;/&gt;&lt;wsp:rsid wsp:val=&quot;00827E08&quot;/&gt;&lt;wsp:rsid wsp:val=&quot;00827EA1&quot;/&gt;&lt;wsp:rsid wsp:val=&quot;00830217&quot;/&gt;&lt;wsp:rsid wsp:val=&quot;00830695&quot;/&gt;&lt;wsp:rsid wsp:val=&quot;00830717&quot;/&gt;&lt;wsp:rsid wsp:val=&quot;0083072C&quot;/&gt;&lt;wsp:rsid wsp:val=&quot;00830741&quot;/&gt;&lt;wsp:rsid wsp:val=&quot;0083080C&quot;/&gt;&lt;wsp:rsid wsp:val=&quot;00830A01&quot;/&gt;&lt;wsp:rsid wsp:val=&quot;00830E61&quot;/&gt;&lt;wsp:rsid wsp:val=&quot;0083137E&quot;/&gt;&lt;wsp:rsid wsp:val=&quot;00831665&quot;/&gt;&lt;wsp:rsid wsp:val=&quot;0083170A&quot;/&gt;&lt;wsp:rsid wsp:val=&quot;008318DF&quot;/&gt;&lt;wsp:rsid wsp:val=&quot;00831930&quot;/&gt;&lt;wsp:rsid wsp:val=&quot;00831B6F&quot;/&gt;&lt;wsp:rsid wsp:val=&quot;00831C11&quot;/&gt;&lt;wsp:rsid wsp:val=&quot;00831C48&quot;/&gt;&lt;wsp:rsid wsp:val=&quot;00831D2C&quot;/&gt;&lt;wsp:rsid wsp:val=&quot;00831D33&quot;/&gt;&lt;wsp:rsid wsp:val=&quot;00831E2D&quot;/&gt;&lt;wsp:rsid wsp:val=&quot;00831ED1&quot;/&gt;&lt;wsp:rsid wsp:val=&quot;00831F15&quot;/&gt;&lt;wsp:rsid wsp:val=&quot;00832012&quot;/&gt;&lt;wsp:rsid wsp:val=&quot;00832424&quot;/&gt;&lt;wsp:rsid wsp:val=&quot;008326B8&quot;/&gt;&lt;wsp:rsid wsp:val=&quot;00832952&quot;/&gt;&lt;wsp:rsid wsp:val=&quot;00832C17&quot;/&gt;&lt;wsp:rsid wsp:val=&quot;00832D28&quot;/&gt;&lt;wsp:rsid wsp:val=&quot;00832E9C&quot;/&gt;&lt;wsp:rsid wsp:val=&quot;00832F45&quot;/&gt;&lt;wsp:rsid wsp:val=&quot;00833107&quot;/&gt;&lt;wsp:rsid wsp:val=&quot;0083354C&quot;/&gt;&lt;wsp:rsid wsp:val=&quot;0083369E&quot;/&gt;&lt;wsp:rsid wsp:val=&quot;008336D1&quot;/&gt;&lt;wsp:rsid wsp:val=&quot;0083393D&quot;/&gt;&lt;wsp:rsid wsp:val=&quot;00833A57&quot;/&gt;&lt;wsp:rsid wsp:val=&quot;00833A72&quot;/&gt;&lt;wsp:rsid wsp:val=&quot;00833B7F&quot;/&gt;&lt;wsp:rsid wsp:val=&quot;00833DA0&quot;/&gt;&lt;wsp:rsid wsp:val=&quot;00833F17&quot;/&gt;&lt;wsp:rsid wsp:val=&quot;008340B9&quot;/&gt;&lt;wsp:rsid wsp:val=&quot;0083439C&quot;/&gt;&lt;wsp:rsid wsp:val=&quot;008344EF&quot;/&gt;&lt;wsp:rsid wsp:val=&quot;008345ED&quot;/&gt;&lt;wsp:rsid wsp:val=&quot;008346B7&quot;/&gt;&lt;wsp:rsid wsp:val=&quot;0083494C&quot;/&gt;&lt;wsp:rsid wsp:val=&quot;0083504C&quot;/&gt;&lt;wsp:rsid wsp:val=&quot;008350D2&quot;/&gt;&lt;wsp:rsid wsp:val=&quot;0083541A&quot;/&gt;&lt;wsp:rsid wsp:val=&quot;008354B7&quot;/&gt;&lt;wsp:rsid wsp:val=&quot;00835879&quot;/&gt;&lt;wsp:rsid wsp:val=&quot;00835884&quot;/&gt;&lt;wsp:rsid wsp:val=&quot;00835949&quot;/&gt;&lt;wsp:rsid wsp:val=&quot;008359EA&quot;/&gt;&lt;wsp:rsid wsp:val=&quot;00835A3B&quot;/&gt;&lt;wsp:rsid wsp:val=&quot;00835BC1&quot;/&gt;&lt;wsp:rsid wsp:val=&quot;00835E05&quot;/&gt;&lt;wsp:rsid wsp:val=&quot;0083619C&quot;/&gt;&lt;wsp:rsid wsp:val=&quot;008362C5&quot;/&gt;&lt;wsp:rsid wsp:val=&quot;00836491&quot;/&gt;&lt;wsp:rsid wsp:val=&quot;0083655F&quot;/&gt;&lt;wsp:rsid wsp:val=&quot;00836560&quot;/&gt;&lt;wsp:rsid wsp:val=&quot;008369E2&quot;/&gt;&lt;wsp:rsid wsp:val=&quot;00836A64&quot;/&gt;&lt;wsp:rsid wsp:val=&quot;00836E00&quot;/&gt;&lt;wsp:rsid wsp:val=&quot;00837249&quot;/&gt;&lt;wsp:rsid wsp:val=&quot;00837304&quot;/&gt;&lt;wsp:rsid wsp:val=&quot;008375F0&quot;/&gt;&lt;wsp:rsid wsp:val=&quot;00837742&quot;/&gt;&lt;wsp:rsid wsp:val=&quot;008377CD&quot;/&gt;&lt;wsp:rsid wsp:val=&quot;008379D2&quot;/&gt;&lt;wsp:rsid wsp:val=&quot;008379D8&quot;/&gt;&lt;wsp:rsid wsp:val=&quot;00837B7A&quot;/&gt;&lt;wsp:rsid wsp:val=&quot;00837D1C&quot;/&gt;&lt;wsp:rsid wsp:val=&quot;00837DC7&quot;/&gt;&lt;wsp:rsid wsp:val=&quot;008400FE&quot;/&gt;&lt;wsp:rsid wsp:val=&quot;00840120&quot;/&gt;&lt;wsp:rsid wsp:val=&quot;008402F3&quot;/&gt;&lt;wsp:rsid wsp:val=&quot;00840720&quot;/&gt;&lt;wsp:rsid wsp:val=&quot;00840766&quot;/&gt;&lt;wsp:rsid wsp:val=&quot;00840BD8&quot;/&gt;&lt;wsp:rsid wsp:val=&quot;00840BED&quot;/&gt;&lt;wsp:rsid wsp:val=&quot;00840F0F&quot;/&gt;&lt;wsp:rsid wsp:val=&quot;00840F70&quot;/&gt;&lt;wsp:rsid wsp:val=&quot;00841230&quot;/&gt;&lt;wsp:rsid wsp:val=&quot;00841617&quot;/&gt;&lt;wsp:rsid wsp:val=&quot;00841711&quot;/&gt;&lt;wsp:rsid wsp:val=&quot;00841913&quot;/&gt;&lt;wsp:rsid wsp:val=&quot;00841A3B&quot;/&gt;&lt;wsp:rsid wsp:val=&quot;00841B75&quot;/&gt;&lt;wsp:rsid wsp:val=&quot;00841DD5&quot;/&gt;&lt;wsp:rsid wsp:val=&quot;00841F0F&quot;/&gt;&lt;wsp:rsid wsp:val=&quot;00841FCA&quot;/&gt;&lt;wsp:rsid wsp:val=&quot;008421C7&quot;/&gt;&lt;wsp:rsid wsp:val=&quot;008423A8&quot;/&gt;&lt;wsp:rsid wsp:val=&quot;0084241C&quot;/&gt;&lt;wsp:rsid wsp:val=&quot;0084242D&quot;/&gt;&lt;wsp:rsid wsp:val=&quot;008427B3&quot;/&gt;&lt;wsp:rsid wsp:val=&quot;00842D80&quot;/&gt;&lt;wsp:rsid wsp:val=&quot;00843043&quot;/&gt;&lt;wsp:rsid wsp:val=&quot;00843A37&quot;/&gt;&lt;wsp:rsid wsp:val=&quot;00843C51&quot;/&gt;&lt;wsp:rsid wsp:val=&quot;00843D80&quot;/&gt;&lt;wsp:rsid wsp:val=&quot;00843D94&quot;/&gt;&lt;wsp:rsid wsp:val=&quot;0084420B&quot;/&gt;&lt;wsp:rsid wsp:val=&quot;00844293&quot;/&gt;&lt;wsp:rsid wsp:val=&quot;00844456&quot;/&gt;&lt;wsp:rsid wsp:val=&quot;008447F1&quot;/&gt;&lt;wsp:rsid wsp:val=&quot;008448F6&quot;/&gt;&lt;wsp:rsid wsp:val=&quot;00844A59&quot;/&gt;&lt;wsp:rsid wsp:val=&quot;00844E0D&quot;/&gt;&lt;wsp:rsid wsp:val=&quot;008450D3&quot;/&gt;&lt;wsp:rsid wsp:val=&quot;00845552&quot;/&gt;&lt;wsp:rsid wsp:val=&quot;008457FD&quot;/&gt;&lt;wsp:rsid wsp:val=&quot;00845B47&quot;/&gt;&lt;wsp:rsid wsp:val=&quot;00845BFB&quot;/&gt;&lt;wsp:rsid wsp:val=&quot;00845D29&quot;/&gt;&lt;wsp:rsid wsp:val=&quot;0084612F&quot;/&gt;&lt;wsp:rsid wsp:val=&quot;008461FF&quot;/&gt;&lt;wsp:rsid wsp:val=&quot;00846460&quot;/&gt;&lt;wsp:rsid wsp:val=&quot;0084649F&quot;/&gt;&lt;wsp:rsid wsp:val=&quot;0084695B&quot;/&gt;&lt;wsp:rsid wsp:val=&quot;008470C1&quot;/&gt;&lt;wsp:rsid wsp:val=&quot;00847272&quot;/&gt;&lt;wsp:rsid wsp:val=&quot;00847324&quot;/&gt;&lt;wsp:rsid wsp:val=&quot;0084748D&quot;/&gt;&lt;wsp:rsid wsp:val=&quot;0084788E&quot;/&gt;&lt;wsp:rsid wsp:val=&quot;00847B47&quot;/&gt;&lt;wsp:rsid wsp:val=&quot;00847BD9&quot;/&gt;&lt;wsp:rsid wsp:val=&quot;00847CCE&quot;/&gt;&lt;wsp:rsid wsp:val=&quot;00847E1D&quot;/&gt;&lt;wsp:rsid wsp:val=&quot;00847EB7&quot;/&gt;&lt;wsp:rsid wsp:val=&quot;00847EF9&quot;/&gt;&lt;wsp:rsid wsp:val=&quot;008503A2&quot;/&gt;&lt;wsp:rsid wsp:val=&quot;00850E54&quot;/&gt;&lt;wsp:rsid wsp:val=&quot;008512AF&quot;/&gt;&lt;wsp:rsid wsp:val=&quot;00851587&quot;/&gt;&lt;wsp:rsid wsp:val=&quot;0085191D&quot;/&gt;&lt;wsp:rsid wsp:val=&quot;0085197D&quot;/&gt;&lt;wsp:rsid wsp:val=&quot;00851B2D&quot;/&gt;&lt;wsp:rsid wsp:val=&quot;00851CCF&quot;/&gt;&lt;wsp:rsid wsp:val=&quot;00851D0C&quot;/&gt;&lt;wsp:rsid wsp:val=&quot;0085222E&quot;/&gt;&lt;wsp:rsid wsp:val=&quot;00852444&quot;/&gt;&lt;wsp:rsid wsp:val=&quot;008527A7&quot;/&gt;&lt;wsp:rsid wsp:val=&quot;00852981&quot;/&gt;&lt;wsp:rsid wsp:val=&quot;00852A50&quot;/&gt;&lt;wsp:rsid wsp:val=&quot;00852AEE&quot;/&gt;&lt;wsp:rsid wsp:val=&quot;00852CCA&quot;/&gt;&lt;wsp:rsid wsp:val=&quot;00853369&quot;/&gt;&lt;wsp:rsid wsp:val=&quot;008534DC&quot;/&gt;&lt;wsp:rsid wsp:val=&quot;00853741&quot;/&gt;&lt;wsp:rsid wsp:val=&quot;00853C2A&quot;/&gt;&lt;wsp:rsid wsp:val=&quot;00853E04&quot;/&gt;&lt;wsp:rsid wsp:val=&quot;00854086&quot;/&gt;&lt;wsp:rsid wsp:val=&quot;0085421F&quot;/&gt;&lt;wsp:rsid wsp:val=&quot;008545E8&quot;/&gt;&lt;wsp:rsid wsp:val=&quot;0085478E&quot;/&gt;&lt;wsp:rsid wsp:val=&quot;00854C73&quot;/&gt;&lt;wsp:rsid wsp:val=&quot;00854D2B&quot;/&gt;&lt;wsp:rsid wsp:val=&quot;008550E2&quot;/&gt;&lt;wsp:rsid wsp:val=&quot;0085526C&quot;/&gt;&lt;wsp:rsid wsp:val=&quot;00855477&quot;/&gt;&lt;wsp:rsid wsp:val=&quot;00855872&quot;/&gt;&lt;wsp:rsid wsp:val=&quot;0085591C&quot;/&gt;&lt;wsp:rsid wsp:val=&quot;008559EF&quot;/&gt;&lt;wsp:rsid wsp:val=&quot;00855CFB&quot;/&gt;&lt;wsp:rsid wsp:val=&quot;00855F93&quot;/&gt;&lt;wsp:rsid wsp:val=&quot;0085616D&quot;/&gt;&lt;wsp:rsid wsp:val=&quot;008561D9&quot;/&gt;&lt;wsp:rsid wsp:val=&quot;0085642B&quot;/&gt;&lt;wsp:rsid wsp:val=&quot;00856CAB&quot;/&gt;&lt;wsp:rsid wsp:val=&quot;00856EC4&quot;/&gt;&lt;wsp:rsid wsp:val=&quot;00857004&quot;/&gt;&lt;wsp:rsid wsp:val=&quot;00857028&quot;/&gt;&lt;wsp:rsid wsp:val=&quot;00857038&quot;/&gt;&lt;wsp:rsid wsp:val=&quot;008570A9&quot;/&gt;&lt;wsp:rsid wsp:val=&quot;008570AA&quot;/&gt;&lt;wsp:rsid wsp:val=&quot;008571C0&quot;/&gt;&lt;wsp:rsid wsp:val=&quot;008576F0&quot;/&gt;&lt;wsp:rsid wsp:val=&quot;00857E98&quot;/&gt;&lt;wsp:rsid wsp:val=&quot;00857F24&quot;/&gt;&lt;wsp:rsid wsp:val=&quot;008600A3&quot;/&gt;&lt;wsp:rsid wsp:val=&quot;008602CF&quot;/&gt;&lt;wsp:rsid wsp:val=&quot;0086092B&quot;/&gt;&lt;wsp:rsid wsp:val=&quot;00860B70&quot;/&gt;&lt;wsp:rsid wsp:val=&quot;00860E6F&quot;/&gt;&lt;wsp:rsid wsp:val=&quot;00860F63&quot;/&gt;&lt;wsp:rsid wsp:val=&quot;00860FC5&quot;/&gt;&lt;wsp:rsid wsp:val=&quot;00860FD9&quot;/&gt;&lt;wsp:rsid wsp:val=&quot;00861058&quot;/&gt;&lt;wsp:rsid wsp:val=&quot;00861060&quot;/&gt;&lt;wsp:rsid wsp:val=&quot;00861062&quot;/&gt;&lt;wsp:rsid wsp:val=&quot;008610CD&quot;/&gt;&lt;wsp:rsid wsp:val=&quot;008611D0&quot;/&gt;&lt;wsp:rsid wsp:val=&quot;0086145B&quot;/&gt;&lt;wsp:rsid wsp:val=&quot;00861C56&quot;/&gt;&lt;wsp:rsid wsp:val=&quot;00861F8A&quot;/&gt;&lt;wsp:rsid wsp:val=&quot;00862080&quot;/&gt;&lt;wsp:rsid wsp:val=&quot;00862441&quot;/&gt;&lt;wsp:rsid wsp:val=&quot;00862ADE&quot;/&gt;&lt;wsp:rsid wsp:val=&quot;00862B37&quot;/&gt;&lt;wsp:rsid wsp:val=&quot;00862F07&quot;/&gt;&lt;wsp:rsid wsp:val=&quot;00862FC3&quot;/&gt;&lt;wsp:rsid wsp:val=&quot;008635D6&quot;/&gt;&lt;wsp:rsid wsp:val=&quot;00863A6A&quot;/&gt;&lt;wsp:rsid wsp:val=&quot;00863C48&quot;/&gt;&lt;wsp:rsid wsp:val=&quot;008640E6&quot;/&gt;&lt;wsp:rsid wsp:val=&quot;00864223&quot;/&gt;&lt;wsp:rsid wsp:val=&quot;0086423E&quot;/&gt;&lt;wsp:rsid wsp:val=&quot;008644D2&quot;/&gt;&lt;wsp:rsid wsp:val=&quot;0086472E&quot;/&gt;&lt;wsp:rsid wsp:val=&quot;0086477A&quot;/&gt;&lt;wsp:rsid wsp:val=&quot;008648E2&quot;/&gt;&lt;wsp:rsid wsp:val=&quot;00864F2F&quot;/&gt;&lt;wsp:rsid wsp:val=&quot;00865195&quot;/&gt;&lt;wsp:rsid wsp:val=&quot;0086539F&quot;/&gt;&lt;wsp:rsid wsp:val=&quot;00865402&quot;/&gt;&lt;wsp:rsid wsp:val=&quot;008655DC&quot;/&gt;&lt;wsp:rsid wsp:val=&quot;008656B8&quot;/&gt;&lt;wsp:rsid wsp:val=&quot;00865CE8&quot;/&gt;&lt;wsp:rsid wsp:val=&quot;00865F05&quot;/&gt;&lt;wsp:rsid wsp:val=&quot;00865FDB&quot;/&gt;&lt;wsp:rsid wsp:val=&quot;00865FFA&quot;/&gt;&lt;wsp:rsid wsp:val=&quot;008664B8&quot;/&gt;&lt;wsp:rsid wsp:val=&quot;008664D0&quot;/&gt;&lt;wsp:rsid wsp:val=&quot;008666F0&quot;/&gt;&lt;wsp:rsid wsp:val=&quot;008669E1&quot;/&gt;&lt;wsp:rsid wsp:val=&quot;00866D00&quot;/&gt;&lt;wsp:rsid wsp:val=&quot;00867265&quot;/&gt;&lt;wsp:rsid wsp:val=&quot;008673A8&quot;/&gt;&lt;wsp:rsid wsp:val=&quot;00867772&quot;/&gt;&lt;wsp:rsid wsp:val=&quot;00867837&quot;/&gt;&lt;wsp:rsid wsp:val=&quot;008679AF&quot;/&gt;&lt;wsp:rsid wsp:val=&quot;00867B6F&quot;/&gt;&lt;wsp:rsid wsp:val=&quot;00867B77&quot;/&gt;&lt;wsp:rsid wsp:val=&quot;00870231&quot;/&gt;&lt;wsp:rsid wsp:val=&quot;0087054E&quot;/&gt;&lt;wsp:rsid wsp:val=&quot;008706AC&quot;/&gt;&lt;wsp:rsid wsp:val=&quot;00870789&quot;/&gt;&lt;wsp:rsid wsp:val=&quot;008707B5&quot;/&gt;&lt;wsp:rsid wsp:val=&quot;00870965&quot;/&gt;&lt;wsp:rsid wsp:val=&quot;008709AB&quot;/&gt;&lt;wsp:rsid wsp:val=&quot;008710CF&quot;/&gt;&lt;wsp:rsid wsp:val=&quot;00871138&quot;/&gt;&lt;wsp:rsid wsp:val=&quot;008712C5&quot;/&gt;&lt;wsp:rsid wsp:val=&quot;00871876&quot;/&gt;&lt;wsp:rsid wsp:val=&quot;00871D55&quot;/&gt;&lt;wsp:rsid wsp:val=&quot;00871D5F&quot;/&gt;&lt;wsp:rsid wsp:val=&quot;00871DDD&quot;/&gt;&lt;wsp:rsid wsp:val=&quot;00871DF1&quot;/&gt;&lt;wsp:rsid wsp:val=&quot;00871E27&quot;/&gt;&lt;wsp:rsid wsp:val=&quot;00872057&quot;/&gt;&lt;wsp:rsid wsp:val=&quot;00872517&quot;/&gt;&lt;wsp:rsid wsp:val=&quot;00872688&quot;/&gt;&lt;wsp:rsid wsp:val=&quot;008726FD&quot;/&gt;&lt;wsp:rsid wsp:val=&quot;00872834&quot;/&gt;&lt;wsp:rsid wsp:val=&quot;00872835&quot;/&gt;&lt;wsp:rsid wsp:val=&quot;00872C74&quot;/&gt;&lt;wsp:rsid wsp:val=&quot;00872CEB&quot;/&gt;&lt;wsp:rsid wsp:val=&quot;00873138&quot;/&gt;&lt;wsp:rsid wsp:val=&quot;00873534&quot;/&gt;&lt;wsp:rsid wsp:val=&quot;008736BC&quot;/&gt;&lt;wsp:rsid wsp:val=&quot;008738A2&quot;/&gt;&lt;wsp:rsid wsp:val=&quot;00873EE2&quot;/&gt;&lt;wsp:rsid wsp:val=&quot;00873EF0&quot;/&gt;&lt;wsp:rsid wsp:val=&quot;00873F5E&quot;/&gt;&lt;wsp:rsid wsp:val=&quot;00873F99&quot;/&gt;&lt;wsp:rsid wsp:val=&quot;00873FF3&quot;/&gt;&lt;wsp:rsid wsp:val=&quot;0087406B&quot;/&gt;&lt;wsp:rsid wsp:val=&quot;00874726&quot;/&gt;&lt;wsp:rsid wsp:val=&quot;008748E3&quot;/&gt;&lt;wsp:rsid wsp:val=&quot;00874A51&quot;/&gt;&lt;wsp:rsid wsp:val=&quot;00874E3A&quot;/&gt;&lt;wsp:rsid wsp:val=&quot;00874FC4&quot;/&gt;&lt;wsp:rsid wsp:val=&quot;00875151&quot;/&gt;&lt;wsp:rsid wsp:val=&quot;0087532F&quot;/&gt;&lt;wsp:rsid wsp:val=&quot;00875386&quot;/&gt;&lt;wsp:rsid wsp:val=&quot;0087554E&quot;/&gt;&lt;wsp:rsid wsp:val=&quot;0087561F&quot;/&gt;&lt;wsp:rsid wsp:val=&quot;00875B25&quot;/&gt;&lt;wsp:rsid wsp:val=&quot;00875B83&quot;/&gt;&lt;wsp:rsid wsp:val=&quot;00875DE0&quot;/&gt;&lt;wsp:rsid wsp:val=&quot;00876313&quot;/&gt;&lt;wsp:rsid wsp:val=&quot;00876AD7&quot;/&gt;&lt;wsp:rsid wsp:val=&quot;00876CFF&quot;/&gt;&lt;wsp:rsid wsp:val=&quot;00876D6E&quot;/&gt;&lt;wsp:rsid wsp:val=&quot;00876FDC&quot;/&gt;&lt;wsp:rsid wsp:val=&quot;008770BF&quot;/&gt;&lt;wsp:rsid wsp:val=&quot;008772D1&quot;/&gt;&lt;wsp:rsid wsp:val=&quot;00877304&quot;/&gt;&lt;wsp:rsid wsp:val=&quot;00877A30&quot;/&gt;&lt;wsp:rsid wsp:val=&quot;00877DBE&quot;/&gt;&lt;wsp:rsid wsp:val=&quot;00880058&quot;/&gt;&lt;wsp:rsid wsp:val=&quot;00880343&quot;/&gt;&lt;wsp:rsid wsp:val=&quot;008806A6&quot;/&gt;&lt;wsp:rsid wsp:val=&quot;00881101&quot;/&gt;&lt;wsp:rsid wsp:val=&quot;0088121C&quot;/&gt;&lt;wsp:rsid wsp:val=&quot;00881245&quot;/&gt;&lt;wsp:rsid wsp:val=&quot;0088145C&quot;/&gt;&lt;wsp:rsid wsp:val=&quot;00881644&quot;/&gt;&lt;wsp:rsid wsp:val=&quot;008816F7&quot;/&gt;&lt;wsp:rsid wsp:val=&quot;00881D85&quot;/&gt;&lt;wsp:rsid wsp:val=&quot;0088229F&quot;/&gt;&lt;wsp:rsid wsp:val=&quot;008822A1&quot;/&gt;&lt;wsp:rsid wsp:val=&quot;0088242F&quot;/&gt;&lt;wsp:rsid wsp:val=&quot;0088263B&quot;/&gt;&lt;wsp:rsid wsp:val=&quot;008826E2&quot;/&gt;&lt;wsp:rsid wsp:val=&quot;00882762&quot;/&gt;&lt;wsp:rsid wsp:val=&quot;008828ED&quot;/&gt;&lt;wsp:rsid wsp:val=&quot;00882D98&quot;/&gt;&lt;wsp:rsid wsp:val=&quot;00882DAC&quot;/&gt;&lt;wsp:rsid wsp:val=&quot;00882E03&quot;/&gt;&lt;wsp:rsid wsp:val=&quot;0088338D&quot;/&gt;&lt;wsp:rsid wsp:val=&quot;00883614&quot;/&gt;&lt;wsp:rsid wsp:val=&quot;00883740&quot;/&gt;&lt;wsp:rsid wsp:val=&quot;008837E0&quot;/&gt;&lt;wsp:rsid wsp:val=&quot;0088384E&quot;/&gt;&lt;wsp:rsid wsp:val=&quot;00883938&quot;/&gt;&lt;wsp:rsid wsp:val=&quot;00883C43&quot;/&gt;&lt;wsp:rsid wsp:val=&quot;00884095&quot;/&gt;&lt;wsp:rsid wsp:val=&quot;0088426B&quot;/&gt;&lt;wsp:rsid wsp:val=&quot;00884499&quot;/&gt;&lt;wsp:rsid wsp:val=&quot;00884534&quot;/&gt;&lt;wsp:rsid wsp:val=&quot;0088474B&quot;/&gt;&lt;wsp:rsid wsp:val=&quot;00884840&quot;/&gt;&lt;wsp:rsid wsp:val=&quot;00884D0D&quot;/&gt;&lt;wsp:rsid wsp:val=&quot;00884FF4&quot;/&gt;&lt;wsp:rsid wsp:val=&quot;008851E9&quot;/&gt;&lt;wsp:rsid wsp:val=&quot;00885A5A&quot;/&gt;&lt;wsp:rsid wsp:val=&quot;00885EFD&quot;/&gt;&lt;wsp:rsid wsp:val=&quot;00886125&quot;/&gt;&lt;wsp:rsid wsp:val=&quot;00886691&quot;/&gt;&lt;wsp:rsid wsp:val=&quot;008867AB&quot;/&gt;&lt;wsp:rsid wsp:val=&quot;008869A6&quot;/&gt;&lt;wsp:rsid wsp:val=&quot;008870DF&quot;/&gt;&lt;wsp:rsid wsp:val=&quot;008871AF&quot;/&gt;&lt;wsp:rsid wsp:val=&quot;008871B8&quot;/&gt;&lt;wsp:rsid wsp:val=&quot;0088749D&quot;/&gt;&lt;wsp:rsid wsp:val=&quot;00887537&quot;/&gt;&lt;wsp:rsid wsp:val=&quot;008877AB&quot;/&gt;&lt;wsp:rsid wsp:val=&quot;0088795E&quot;/&gt;&lt;wsp:rsid wsp:val=&quot;00887AC8&quot;/&gt;&lt;wsp:rsid wsp:val=&quot;00887B6A&quot;/&gt;&lt;wsp:rsid wsp:val=&quot;008902B2&quot;/&gt;&lt;wsp:rsid wsp:val=&quot;00890331&quot;/&gt;&lt;wsp:rsid wsp:val=&quot;0089049D&quot;/&gt;&lt;wsp:rsid wsp:val=&quot;008907B5&quot;/&gt;&lt;wsp:rsid wsp:val=&quot;0089126C&quot;/&gt;&lt;wsp:rsid wsp:val=&quot;00891318&quot;/&gt;&lt;wsp:rsid wsp:val=&quot;00891329&quot;/&gt;&lt;wsp:rsid wsp:val=&quot;008915CD&quot;/&gt;&lt;wsp:rsid wsp:val=&quot;008916FD&quot;/&gt;&lt;wsp:rsid wsp:val=&quot;00891DAD&quot;/&gt;&lt;wsp:rsid wsp:val=&quot;008922EF&quot;/&gt;&lt;wsp:rsid wsp:val=&quot;0089232A&quot;/&gt;&lt;wsp:rsid wsp:val=&quot;00892569&quot;/&gt;&lt;wsp:rsid wsp:val=&quot;00892864&quot;/&gt;&lt;wsp:rsid wsp:val=&quot;00892D02&quot;/&gt;&lt;wsp:rsid wsp:val=&quot;00892D60&quot;/&gt;&lt;wsp:rsid wsp:val=&quot;008930DE&quot;/&gt;&lt;wsp:rsid wsp:val=&quot;008933C1&quot;/&gt;&lt;wsp:rsid wsp:val=&quot;008939B7&quot;/&gt;&lt;wsp:rsid wsp:val=&quot;00893A27&quot;/&gt;&lt;wsp:rsid wsp:val=&quot;00893B46&quot;/&gt;&lt;wsp:rsid wsp:val=&quot;00893C37&quot;/&gt;&lt;wsp:rsid wsp:val=&quot;00893D53&quot;/&gt;&lt;wsp:rsid wsp:val=&quot;00893D91&quot;/&gt;&lt;wsp:rsid wsp:val=&quot;00893E4D&quot;/&gt;&lt;wsp:rsid wsp:val=&quot;00894178&quot;/&gt;&lt;wsp:rsid wsp:val=&quot;008943A6&quot;/&gt;&lt;wsp:rsid wsp:val=&quot;008945D0&quot;/&gt;&lt;wsp:rsid wsp:val=&quot;008945D9&quot;/&gt;&lt;wsp:rsid wsp:val=&quot;0089504C&quot;/&gt;&lt;wsp:rsid wsp:val=&quot;008950EE&quot;/&gt;&lt;wsp:rsid wsp:val=&quot;0089512A&quot;/&gt;&lt;wsp:rsid wsp:val=&quot;00895421&quot;/&gt;&lt;wsp:rsid wsp:val=&quot;008954BB&quot;/&gt;&lt;wsp:rsid wsp:val=&quot;008958AE&quot;/&gt;&lt;wsp:rsid wsp:val=&quot;00895DDC&quot;/&gt;&lt;wsp:rsid wsp:val=&quot;00895FA0&quot;/&gt;&lt;wsp:rsid wsp:val=&quot;00895FAB&quot;/&gt;&lt;wsp:rsid wsp:val=&quot;008960BB&quot;/&gt;&lt;wsp:rsid wsp:val=&quot;00896592&quot;/&gt;&lt;wsp:rsid wsp:val=&quot;008966DB&quot;/&gt;&lt;wsp:rsid wsp:val=&quot;00896AE9&quot;/&gt;&lt;wsp:rsid wsp:val=&quot;00896B11&quot;/&gt;&lt;wsp:rsid wsp:val=&quot;00896B14&quot;/&gt;&lt;wsp:rsid wsp:val=&quot;00896F94&quot;/&gt;&lt;wsp:rsid wsp:val=&quot;008971EA&quot;/&gt;&lt;wsp:rsid wsp:val=&quot;008972D2&quot;/&gt;&lt;wsp:rsid wsp:val=&quot;00897345&quot;/&gt;&lt;wsp:rsid wsp:val=&quot;008974A0&quot;/&gt;&lt;wsp:rsid wsp:val=&quot;008975B3&quot;/&gt;&lt;wsp:rsid wsp:val=&quot;008979C0&quot;/&gt;&lt;wsp:rsid wsp:val=&quot;00897B20&quot;/&gt;&lt;wsp:rsid wsp:val=&quot;00897B41&quot;/&gt;&lt;wsp:rsid wsp:val=&quot;008A028B&quot;/&gt;&lt;wsp:rsid wsp:val=&quot;008A0296&quot;/&gt;&lt;wsp:rsid wsp:val=&quot;008A02CC&quot;/&gt;&lt;wsp:rsid wsp:val=&quot;008A07D9&quot;/&gt;&lt;wsp:rsid wsp:val=&quot;008A0A36&quot;/&gt;&lt;wsp:rsid wsp:val=&quot;008A14EE&quot;/&gt;&lt;wsp:rsid wsp:val=&quot;008A14FD&quot;/&gt;&lt;wsp:rsid wsp:val=&quot;008A16E0&quot;/&gt;&lt;wsp:rsid wsp:val=&quot;008A1B33&quot;/&gt;&lt;wsp:rsid wsp:val=&quot;008A216C&quot;/&gt;&lt;wsp:rsid wsp:val=&quot;008A21DC&quot;/&gt;&lt;wsp:rsid wsp:val=&quot;008A22E3&quot;/&gt;&lt;wsp:rsid wsp:val=&quot;008A23AD&quot;/&gt;&lt;wsp:rsid wsp:val=&quot;008A269D&quot;/&gt;&lt;wsp:rsid wsp:val=&quot;008A2833&quot;/&gt;&lt;wsp:rsid wsp:val=&quot;008A2AB8&quot;/&gt;&lt;wsp:rsid wsp:val=&quot;008A2B8A&quot;/&gt;&lt;wsp:rsid wsp:val=&quot;008A2C06&quot;/&gt;&lt;wsp:rsid wsp:val=&quot;008A2FFB&quot;/&gt;&lt;wsp:rsid wsp:val=&quot;008A330C&quot;/&gt;&lt;wsp:rsid wsp:val=&quot;008A3466&quot;/&gt;&lt;wsp:rsid wsp:val=&quot;008A3971&quot;/&gt;&lt;wsp:rsid wsp:val=&quot;008A39EA&quot;/&gt;&lt;wsp:rsid wsp:val=&quot;008A3A77&quot;/&gt;&lt;wsp:rsid wsp:val=&quot;008A413F&quot;/&gt;&lt;wsp:rsid wsp:val=&quot;008A42E8&quot;/&gt;&lt;wsp:rsid wsp:val=&quot;008A4328&quot;/&gt;&lt;wsp:rsid wsp:val=&quot;008A4451&quot;/&gt;&lt;wsp:rsid wsp:val=&quot;008A4468&quot;/&gt;&lt;wsp:rsid wsp:val=&quot;008A4500&quot;/&gt;&lt;wsp:rsid wsp:val=&quot;008A48C7&quot;/&gt;&lt;wsp:rsid wsp:val=&quot;008A4C37&quot;/&gt;&lt;wsp:rsid wsp:val=&quot;008A52D5&quot;/&gt;&lt;wsp:rsid wsp:val=&quot;008A5413&quot;/&gt;&lt;wsp:rsid wsp:val=&quot;008A59A7&quot;/&gt;&lt;wsp:rsid wsp:val=&quot;008A5A52&quot;/&gt;&lt;wsp:rsid wsp:val=&quot;008A60CE&quot;/&gt;&lt;wsp:rsid wsp:val=&quot;008A619F&quot;/&gt;&lt;wsp:rsid wsp:val=&quot;008A6434&quot;/&gt;&lt;wsp:rsid wsp:val=&quot;008A6450&quot;/&gt;&lt;wsp:rsid wsp:val=&quot;008A649F&quot;/&gt;&lt;wsp:rsid wsp:val=&quot;008A64B8&quot;/&gt;&lt;wsp:rsid wsp:val=&quot;008A6509&quot;/&gt;&lt;wsp:rsid wsp:val=&quot;008A67DF&quot;/&gt;&lt;wsp:rsid wsp:val=&quot;008A696F&quot;/&gt;&lt;wsp:rsid wsp:val=&quot;008A6BA0&quot;/&gt;&lt;wsp:rsid wsp:val=&quot;008A6BA1&quot;/&gt;&lt;wsp:rsid wsp:val=&quot;008A7060&quot;/&gt;&lt;wsp:rsid wsp:val=&quot;008A7330&quot;/&gt;&lt;wsp:rsid wsp:val=&quot;008A7625&quot;/&gt;&lt;wsp:rsid wsp:val=&quot;008A797F&quot;/&gt;&lt;wsp:rsid wsp:val=&quot;008A79A6&quot;/&gt;&lt;wsp:rsid wsp:val=&quot;008A7B4F&quot;/&gt;&lt;wsp:rsid wsp:val=&quot;008B0075&quot;/&gt;&lt;wsp:rsid wsp:val=&quot;008B01EA&quot;/&gt;&lt;wsp:rsid wsp:val=&quot;008B043F&quot;/&gt;&lt;wsp:rsid wsp:val=&quot;008B0478&quot;/&gt;&lt;wsp:rsid wsp:val=&quot;008B049E&quot;/&gt;&lt;wsp:rsid wsp:val=&quot;008B05CD&quot;/&gt;&lt;wsp:rsid wsp:val=&quot;008B09B4&quot;/&gt;&lt;wsp:rsid wsp:val=&quot;008B0C6A&quot;/&gt;&lt;wsp:rsid wsp:val=&quot;008B0D2A&quot;/&gt;&lt;wsp:rsid wsp:val=&quot;008B0DE3&quot;/&gt;&lt;wsp:rsid wsp:val=&quot;008B0EA7&quot;/&gt;&lt;wsp:rsid wsp:val=&quot;008B0FD2&quot;/&gt;&lt;wsp:rsid wsp:val=&quot;008B1193&quot;/&gt;&lt;wsp:rsid wsp:val=&quot;008B13BF&quot;/&gt;&lt;wsp:rsid wsp:val=&quot;008B155A&quot;/&gt;&lt;wsp:rsid wsp:val=&quot;008B1582&quot;/&gt;&lt;wsp:rsid wsp:val=&quot;008B19E2&quot;/&gt;&lt;wsp:rsid wsp:val=&quot;008B1AF8&quot;/&gt;&lt;wsp:rsid wsp:val=&quot;008B2139&quot;/&gt;&lt;wsp:rsid wsp:val=&quot;008B2197&quot;/&gt;&lt;wsp:rsid wsp:val=&quot;008B23DF&quot;/&gt;&lt;wsp:rsid wsp:val=&quot;008B23F4&quot;/&gt;&lt;wsp:rsid wsp:val=&quot;008B259B&quot;/&gt;&lt;wsp:rsid wsp:val=&quot;008B2635&quot;/&gt;&lt;wsp:rsid wsp:val=&quot;008B280A&quot;/&gt;&lt;wsp:rsid wsp:val=&quot;008B2877&quot;/&gt;&lt;wsp:rsid wsp:val=&quot;008B2911&quot;/&gt;&lt;wsp:rsid wsp:val=&quot;008B2BF1&quot;/&gt;&lt;wsp:rsid wsp:val=&quot;008B2DAB&quot;/&gt;&lt;wsp:rsid wsp:val=&quot;008B3043&quot;/&gt;&lt;wsp:rsid wsp:val=&quot;008B3537&quot;/&gt;&lt;wsp:rsid wsp:val=&quot;008B36C8&quot;/&gt;&lt;wsp:rsid wsp:val=&quot;008B3A05&quot;/&gt;&lt;wsp:rsid wsp:val=&quot;008B3C23&quot;/&gt;&lt;wsp:rsid wsp:val=&quot;008B3C95&quot;/&gt;&lt;wsp:rsid wsp:val=&quot;008B3ED0&quot;/&gt;&lt;wsp:rsid wsp:val=&quot;008B40E7&quot;/&gt;&lt;wsp:rsid wsp:val=&quot;008B416B&quot;/&gt;&lt;wsp:rsid wsp:val=&quot;008B42DB&quot;/&gt;&lt;wsp:rsid wsp:val=&quot;008B4543&quot;/&gt;&lt;wsp:rsid wsp:val=&quot;008B4982&quot;/&gt;&lt;wsp:rsid wsp:val=&quot;008B4A11&quot;/&gt;&lt;wsp:rsid wsp:val=&quot;008B4AA1&quot;/&gt;&lt;wsp:rsid wsp:val=&quot;008B4D24&quot;/&gt;&lt;wsp:rsid wsp:val=&quot;008B4DC9&quot;/&gt;&lt;wsp:rsid wsp:val=&quot;008B4E4A&quot;/&gt;&lt;wsp:rsid wsp:val=&quot;008B4F96&quot;/&gt;&lt;wsp:rsid wsp:val=&quot;008B56F0&quot;/&gt;&lt;wsp:rsid wsp:val=&quot;008B57D5&quot;/&gt;&lt;wsp:rsid wsp:val=&quot;008B5AD0&quot;/&gt;&lt;wsp:rsid wsp:val=&quot;008B5B26&quot;/&gt;&lt;wsp:rsid wsp:val=&quot;008B5D5C&quot;/&gt;&lt;wsp:rsid wsp:val=&quot;008B5E0F&quot;/&gt;&lt;wsp:rsid wsp:val=&quot;008B5E67&quot;/&gt;&lt;wsp:rsid wsp:val=&quot;008B5FC2&quot;/&gt;&lt;wsp:rsid wsp:val=&quot;008B6230&quot;/&gt;&lt;wsp:rsid wsp:val=&quot;008B67B2&quot;/&gt;&lt;wsp:rsid wsp:val=&quot;008B69A8&quot;/&gt;&lt;wsp:rsid wsp:val=&quot;008B6ABA&quot;/&gt;&lt;wsp:rsid wsp:val=&quot;008B6C02&quot;/&gt;&lt;wsp:rsid wsp:val=&quot;008B71BC&quot;/&gt;&lt;wsp:rsid wsp:val=&quot;008B71C9&quot;/&gt;&lt;wsp:rsid wsp:val=&quot;008B71ED&quot;/&gt;&lt;wsp:rsid wsp:val=&quot;008B76E8&quot;/&gt;&lt;wsp:rsid wsp:val=&quot;008B7C3E&quot;/&gt;&lt;wsp:rsid wsp:val=&quot;008B7D24&quot;/&gt;&lt;wsp:rsid wsp:val=&quot;008B7EAB&quot;/&gt;&lt;wsp:rsid wsp:val=&quot;008C005B&quot;/&gt;&lt;wsp:rsid wsp:val=&quot;008C01EB&quot;/&gt;&lt;wsp:rsid wsp:val=&quot;008C037C&quot;/&gt;&lt;wsp:rsid wsp:val=&quot;008C0590&quot;/&gt;&lt;wsp:rsid wsp:val=&quot;008C09A4&quot;/&gt;&lt;wsp:rsid wsp:val=&quot;008C0A1B&quot;/&gt;&lt;wsp:rsid wsp:val=&quot;008C0A49&quot;/&gt;&lt;wsp:rsid wsp:val=&quot;008C0CD9&quot;/&gt;&lt;wsp:rsid wsp:val=&quot;008C0F41&quot;/&gt;&lt;wsp:rsid wsp:val=&quot;008C11FC&quot;/&gt;&lt;wsp:rsid wsp:val=&quot;008C13B5&quot;/&gt;&lt;wsp:rsid wsp:val=&quot;008C1424&quot;/&gt;&lt;wsp:rsid wsp:val=&quot;008C149B&quot;/&gt;&lt;wsp:rsid wsp:val=&quot;008C1979&quot;/&gt;&lt;wsp:rsid wsp:val=&quot;008C1A6D&quot;/&gt;&lt;wsp:rsid wsp:val=&quot;008C1B58&quot;/&gt;&lt;wsp:rsid wsp:val=&quot;008C1C52&quot;/&gt;&lt;wsp:rsid wsp:val=&quot;008C1EE9&quot;/&gt;&lt;wsp:rsid wsp:val=&quot;008C2046&quot;/&gt;&lt;wsp:rsid wsp:val=&quot;008C219C&quot;/&gt;&lt;wsp:rsid wsp:val=&quot;008C21D3&quot;/&gt;&lt;wsp:rsid wsp:val=&quot;008C2300&quot;/&gt;&lt;wsp:rsid wsp:val=&quot;008C26DA&quot;/&gt;&lt;wsp:rsid wsp:val=&quot;008C2B08&quot;/&gt;&lt;wsp:rsid wsp:val=&quot;008C2C41&quot;/&gt;&lt;wsp:rsid wsp:val=&quot;008C31BE&quot;/&gt;&lt;wsp:rsid wsp:val=&quot;008C329F&quot;/&gt;&lt;wsp:rsid wsp:val=&quot;008C3769&quot;/&gt;&lt;wsp:rsid wsp:val=&quot;008C3CEB&quot;/&gt;&lt;wsp:rsid wsp:val=&quot;008C4195&quot;/&gt;&lt;wsp:rsid wsp:val=&quot;008C4657&quot;/&gt;&lt;wsp:rsid wsp:val=&quot;008C4B3B&quot;/&gt;&lt;wsp:rsid wsp:val=&quot;008C4EB4&quot;/&gt;&lt;wsp:rsid wsp:val=&quot;008C4F02&quot;/&gt;&lt;wsp:rsid wsp:val=&quot;008C5171&quot;/&gt;&lt;wsp:rsid wsp:val=&quot;008C51BD&quot;/&gt;&lt;wsp:rsid wsp:val=&quot;008C527E&quot;/&gt;&lt;wsp:rsid wsp:val=&quot;008C5355&quot;/&gt;&lt;wsp:rsid wsp:val=&quot;008C55B0&quot;/&gt;&lt;wsp:rsid wsp:val=&quot;008C55E4&quot;/&gt;&lt;wsp:rsid wsp:val=&quot;008C59CD&quot;/&gt;&lt;wsp:rsid wsp:val=&quot;008C5E71&quot;/&gt;&lt;wsp:rsid wsp:val=&quot;008C5F03&quot;/&gt;&lt;wsp:rsid wsp:val=&quot;008C5F2F&quot;/&gt;&lt;wsp:rsid wsp:val=&quot;008C6235&quot;/&gt;&lt;wsp:rsid wsp:val=&quot;008C62E3&quot;/&gt;&lt;wsp:rsid wsp:val=&quot;008C6542&quot;/&gt;&lt;wsp:rsid wsp:val=&quot;008C65B3&quot;/&gt;&lt;wsp:rsid wsp:val=&quot;008C6A38&quot;/&gt;&lt;wsp:rsid wsp:val=&quot;008C6B51&quot;/&gt;&lt;wsp:rsid wsp:val=&quot;008C6EA5&quot;/&gt;&lt;wsp:rsid wsp:val=&quot;008C7313&quot;/&gt;&lt;wsp:rsid wsp:val=&quot;008C738A&quot;/&gt;&lt;wsp:rsid wsp:val=&quot;008C742C&quot;/&gt;&lt;wsp:rsid wsp:val=&quot;008C751F&quot;/&gt;&lt;wsp:rsid wsp:val=&quot;008C766A&quot;/&gt;&lt;wsp:rsid wsp:val=&quot;008C76D2&quot;/&gt;&lt;wsp:rsid wsp:val=&quot;008C79BB&quot;/&gt;&lt;wsp:rsid wsp:val=&quot;008C7D30&quot;/&gt;&lt;wsp:rsid wsp:val=&quot;008C7E55&quot;/&gt;&lt;wsp:rsid wsp:val=&quot;008C7EB0&quot;/&gt;&lt;wsp:rsid wsp:val=&quot;008D0030&quot;/&gt;&lt;wsp:rsid wsp:val=&quot;008D03DB&quot;/&gt;&lt;wsp:rsid wsp:val=&quot;008D0587&quot;/&gt;&lt;wsp:rsid wsp:val=&quot;008D0776&quot;/&gt;&lt;wsp:rsid wsp:val=&quot;008D07BF&quot;/&gt;&lt;wsp:rsid wsp:val=&quot;008D08B4&quot;/&gt;&lt;wsp:rsid wsp:val=&quot;008D08F8&quot;/&gt;&lt;wsp:rsid wsp:val=&quot;008D09DA&quot;/&gt;&lt;wsp:rsid wsp:val=&quot;008D0A2E&quot;/&gt;&lt;wsp:rsid wsp:val=&quot;008D0B10&quot;/&gt;&lt;wsp:rsid wsp:val=&quot;008D0C00&quot;/&gt;&lt;wsp:rsid wsp:val=&quot;008D0C79&quot;/&gt;&lt;wsp:rsid wsp:val=&quot;008D0E5B&quot;/&gt;&lt;wsp:rsid wsp:val=&quot;008D104A&quot;/&gt;&lt;wsp:rsid wsp:val=&quot;008D1143&quot;/&gt;&lt;wsp:rsid wsp:val=&quot;008D1220&quot;/&gt;&lt;wsp:rsid wsp:val=&quot;008D1530&quot;/&gt;&lt;wsp:rsid wsp:val=&quot;008D16B1&quot;/&gt;&lt;wsp:rsid wsp:val=&quot;008D1720&quot;/&gt;&lt;wsp:rsid wsp:val=&quot;008D17D0&quot;/&gt;&lt;wsp:rsid wsp:val=&quot;008D182C&quot;/&gt;&lt;wsp:rsid wsp:val=&quot;008D1983&quot;/&gt;&lt;wsp:rsid wsp:val=&quot;008D1BDD&quot;/&gt;&lt;wsp:rsid wsp:val=&quot;008D1C32&quot;/&gt;&lt;wsp:rsid wsp:val=&quot;008D2004&quot;/&gt;&lt;wsp:rsid wsp:val=&quot;008D22EE&quot;/&gt;&lt;wsp:rsid wsp:val=&quot;008D2465&quot;/&gt;&lt;wsp:rsid wsp:val=&quot;008D2CD1&quot;/&gt;&lt;wsp:rsid wsp:val=&quot;008D315D&quot;/&gt;&lt;wsp:rsid wsp:val=&quot;008D321E&quot;/&gt;&lt;wsp:rsid wsp:val=&quot;008D3303&quot;/&gt;&lt;wsp:rsid wsp:val=&quot;008D3351&quot;/&gt;&lt;wsp:rsid wsp:val=&quot;008D3788&quot;/&gt;&lt;wsp:rsid wsp:val=&quot;008D3E99&quot;/&gt;&lt;wsp:rsid wsp:val=&quot;008D414C&quot;/&gt;&lt;wsp:rsid wsp:val=&quot;008D420B&quot;/&gt;&lt;wsp:rsid wsp:val=&quot;008D45B2&quot;/&gt;&lt;wsp:rsid wsp:val=&quot;008D4807&quot;/&gt;&lt;wsp:rsid wsp:val=&quot;008D4880&quot;/&gt;&lt;wsp:rsid wsp:val=&quot;008D492E&quot;/&gt;&lt;wsp:rsid wsp:val=&quot;008D4C1A&quot;/&gt;&lt;wsp:rsid wsp:val=&quot;008D5205&quot;/&gt;&lt;wsp:rsid wsp:val=&quot;008D5404&quot;/&gt;&lt;wsp:rsid wsp:val=&quot;008D56AF&quot;/&gt;&lt;wsp:rsid wsp:val=&quot;008D5AE9&quot;/&gt;&lt;wsp:rsid wsp:val=&quot;008D5BC9&quot;/&gt;&lt;wsp:rsid wsp:val=&quot;008D5F94&quot;/&gt;&lt;wsp:rsid wsp:val=&quot;008D68E5&quot;/&gt;&lt;wsp:rsid wsp:val=&quot;008D6C04&quot;/&gt;&lt;wsp:rsid wsp:val=&quot;008D7158&quot;/&gt;&lt;wsp:rsid wsp:val=&quot;008D7318&quot;/&gt;&lt;wsp:rsid wsp:val=&quot;008D75AE&quot;/&gt;&lt;wsp:rsid wsp:val=&quot;008D79FB&quot;/&gt;&lt;wsp:rsid wsp:val=&quot;008D7BCA&quot;/&gt;&lt;wsp:rsid wsp:val=&quot;008D7C20&quot;/&gt;&lt;wsp:rsid wsp:val=&quot;008E024B&quot;/&gt;&lt;wsp:rsid wsp:val=&quot;008E0312&quot;/&gt;&lt;wsp:rsid wsp:val=&quot;008E0942&quot;/&gt;&lt;wsp:rsid wsp:val=&quot;008E0A82&quot;/&gt;&lt;wsp:rsid wsp:val=&quot;008E0C09&quot;/&gt;&lt;wsp:rsid wsp:val=&quot;008E0C0E&quot;/&gt;&lt;wsp:rsid wsp:val=&quot;008E0E9B&quot;/&gt;&lt;wsp:rsid wsp:val=&quot;008E1588&quot;/&gt;&lt;wsp:rsid wsp:val=&quot;008E171C&quot;/&gt;&lt;wsp:rsid wsp:val=&quot;008E17C5&quot;/&gt;&lt;wsp:rsid wsp:val=&quot;008E1AEA&quot;/&gt;&lt;wsp:rsid wsp:val=&quot;008E2620&quot;/&gt;&lt;wsp:rsid wsp:val=&quot;008E29CE&quot;/&gt;&lt;wsp:rsid wsp:val=&quot;008E2EB3&quot;/&gt;&lt;wsp:rsid wsp:val=&quot;008E3189&quot;/&gt;&lt;wsp:rsid wsp:val=&quot;008E31FB&quot;/&gt;&lt;wsp:rsid wsp:val=&quot;008E32C5&quot;/&gt;&lt;wsp:rsid wsp:val=&quot;008E3B36&quot;/&gt;&lt;wsp:rsid wsp:val=&quot;008E3BFF&quot;/&gt;&lt;wsp:rsid wsp:val=&quot;008E3C06&quot;/&gt;&lt;wsp:rsid wsp:val=&quot;008E3C8B&quot;/&gt;&lt;wsp:rsid wsp:val=&quot;008E3D22&quot;/&gt;&lt;wsp:rsid wsp:val=&quot;008E4036&quot;/&gt;&lt;wsp:rsid wsp:val=&quot;008E4068&quot;/&gt;&lt;wsp:rsid wsp:val=&quot;008E449D&quot;/&gt;&lt;wsp:rsid wsp:val=&quot;008E4711&quot;/&gt;&lt;wsp:rsid wsp:val=&quot;008E4751&quot;/&gt;&lt;wsp:rsid wsp:val=&quot;008E4DEB&quot;/&gt;&lt;wsp:rsid wsp:val=&quot;008E4E45&quot;/&gt;&lt;wsp:rsid wsp:val=&quot;008E4E71&quot;/&gt;&lt;wsp:rsid wsp:val=&quot;008E4F0C&quot;/&gt;&lt;wsp:rsid wsp:val=&quot;008E5374&quot;/&gt;&lt;wsp:rsid wsp:val=&quot;008E5716&quot;/&gt;&lt;wsp:rsid wsp:val=&quot;008E5740&quot;/&gt;&lt;wsp:rsid wsp:val=&quot;008E585B&quot;/&gt;&lt;wsp:rsid wsp:val=&quot;008E5860&quot;/&gt;&lt;wsp:rsid wsp:val=&quot;008E59A4&quot;/&gt;&lt;wsp:rsid wsp:val=&quot;008E5ADD&quot;/&gt;&lt;wsp:rsid wsp:val=&quot;008E5C12&quot;/&gt;&lt;wsp:rsid wsp:val=&quot;008E5F28&quot;/&gt;&lt;wsp:rsid wsp:val=&quot;008E604E&quot;/&gt;&lt;wsp:rsid wsp:val=&quot;008E66C5&quot;/&gt;&lt;wsp:rsid wsp:val=&quot;008E69D1&quot;/&gt;&lt;wsp:rsid wsp:val=&quot;008E6AF6&quot;/&gt;&lt;wsp:rsid wsp:val=&quot;008E6B99&quot;/&gt;&lt;wsp:rsid wsp:val=&quot;008E6C98&quot;/&gt;&lt;wsp:rsid wsp:val=&quot;008E6CA6&quot;/&gt;&lt;wsp:rsid wsp:val=&quot;008E6D45&quot;/&gt;&lt;wsp:rsid wsp:val=&quot;008E7000&quot;/&gt;&lt;wsp:rsid wsp:val=&quot;008E7153&quot;/&gt;&lt;wsp:rsid wsp:val=&quot;008E71A0&quot;/&gt;&lt;wsp:rsid wsp:val=&quot;008E72C5&quot;/&gt;&lt;wsp:rsid wsp:val=&quot;008E74DC&quot;/&gt;&lt;wsp:rsid wsp:val=&quot;008E759C&quot;/&gt;&lt;wsp:rsid wsp:val=&quot;008E76B7&quot;/&gt;&lt;wsp:rsid wsp:val=&quot;008E7787&quot;/&gt;&lt;wsp:rsid wsp:val=&quot;008E78A9&quot;/&gt;&lt;wsp:rsid wsp:val=&quot;008E78D3&quot;/&gt;&lt;wsp:rsid wsp:val=&quot;008E79E0&quot;/&gt;&lt;wsp:rsid wsp:val=&quot;008E7C22&quot;/&gt;&lt;wsp:rsid wsp:val=&quot;008E7E74&quot;/&gt;&lt;wsp:rsid wsp:val=&quot;008F00D3&quot;/&gt;&lt;wsp:rsid wsp:val=&quot;008F016A&quot;/&gt;&lt;wsp:rsid wsp:val=&quot;008F01A1&quot;/&gt;&lt;wsp:rsid wsp:val=&quot;008F0399&quot;/&gt;&lt;wsp:rsid wsp:val=&quot;008F069C&quot;/&gt;&lt;wsp:rsid wsp:val=&quot;008F073A&quot;/&gt;&lt;wsp:rsid wsp:val=&quot;008F0752&quot;/&gt;&lt;wsp:rsid wsp:val=&quot;008F0782&quot;/&gt;&lt;wsp:rsid wsp:val=&quot;008F0CE0&quot;/&gt;&lt;wsp:rsid wsp:val=&quot;008F0D54&quot;/&gt;&lt;wsp:rsid wsp:val=&quot;008F104B&quot;/&gt;&lt;wsp:rsid wsp:val=&quot;008F1335&quot;/&gt;&lt;wsp:rsid wsp:val=&quot;008F135D&quot;/&gt;&lt;wsp:rsid wsp:val=&quot;008F1471&quot;/&gt;&lt;wsp:rsid wsp:val=&quot;008F169C&quot;/&gt;&lt;wsp:rsid wsp:val=&quot;008F1746&quot;/&gt;&lt;wsp:rsid wsp:val=&quot;008F17A2&quot;/&gt;&lt;wsp:rsid wsp:val=&quot;008F17C9&quot;/&gt;&lt;wsp:rsid wsp:val=&quot;008F1920&quot;/&gt;&lt;wsp:rsid wsp:val=&quot;008F1953&quot;/&gt;&lt;wsp:rsid wsp:val=&quot;008F1DF3&quot;/&gt;&lt;wsp:rsid wsp:val=&quot;008F1E99&quot;/&gt;&lt;wsp:rsid wsp:val=&quot;008F205E&quot;/&gt;&lt;wsp:rsid wsp:val=&quot;008F2182&quot;/&gt;&lt;wsp:rsid wsp:val=&quot;008F2610&quot;/&gt;&lt;wsp:rsid wsp:val=&quot;008F2893&quot;/&gt;&lt;wsp:rsid wsp:val=&quot;008F2C7A&quot;/&gt;&lt;wsp:rsid wsp:val=&quot;008F2D37&quot;/&gt;&lt;wsp:rsid wsp:val=&quot;008F2D78&quot;/&gt;&lt;wsp:rsid wsp:val=&quot;008F2DA3&quot;/&gt;&lt;wsp:rsid wsp:val=&quot;008F31CC&quot;/&gt;&lt;wsp:rsid wsp:val=&quot;008F3277&quot;/&gt;&lt;wsp:rsid wsp:val=&quot;008F349A&quot;/&gt;&lt;wsp:rsid wsp:val=&quot;008F359B&quot;/&gt;&lt;wsp:rsid wsp:val=&quot;008F3C18&quot;/&gt;&lt;wsp:rsid wsp:val=&quot;008F3E9E&quot;/&gt;&lt;wsp:rsid wsp:val=&quot;008F402A&quot;/&gt;&lt;wsp:rsid wsp:val=&quot;008F4053&quot;/&gt;&lt;wsp:rsid wsp:val=&quot;008F41C0&quot;/&gt;&lt;wsp:rsid wsp:val=&quot;008F449E&quot;/&gt;&lt;wsp:rsid wsp:val=&quot;008F4671&quot;/&gt;&lt;wsp:rsid wsp:val=&quot;008F4AB5&quot;/&gt;&lt;wsp:rsid wsp:val=&quot;008F4F0C&quot;/&gt;&lt;wsp:rsid wsp:val=&quot;008F55BC&quot;/&gt;&lt;wsp:rsid wsp:val=&quot;008F5816&quot;/&gt;&lt;wsp:rsid wsp:val=&quot;008F59B3&quot;/&gt;&lt;wsp:rsid wsp:val=&quot;008F5CEE&quot;/&gt;&lt;wsp:rsid wsp:val=&quot;008F5DA7&quot;/&gt;&lt;wsp:rsid wsp:val=&quot;008F5E07&quot;/&gt;&lt;wsp:rsid wsp:val=&quot;008F5FB7&quot;/&gt;&lt;wsp:rsid wsp:val=&quot;008F6114&quot;/&gt;&lt;wsp:rsid wsp:val=&quot;008F6256&quot;/&gt;&lt;wsp:rsid wsp:val=&quot;008F6506&quot;/&gt;&lt;wsp:rsid wsp:val=&quot;008F665F&quot;/&gt;&lt;wsp:rsid wsp:val=&quot;008F689F&quot;/&gt;&lt;wsp:rsid wsp:val=&quot;008F6968&quot;/&gt;&lt;wsp:rsid wsp:val=&quot;008F69C5&quot;/&gt;&lt;wsp:rsid wsp:val=&quot;008F6E15&quot;/&gt;&lt;wsp:rsid wsp:val=&quot;008F7025&quot;/&gt;&lt;wsp:rsid wsp:val=&quot;008F733E&quot;/&gt;&lt;wsp:rsid wsp:val=&quot;008F7963&quot;/&gt;&lt;wsp:rsid wsp:val=&quot;008F7CA8&quot;/&gt;&lt;wsp:rsid wsp:val=&quot;008F7F53&quot;/&gt;&lt;wsp:rsid wsp:val=&quot;008F7F82&quot;/&gt;&lt;wsp:rsid wsp:val=&quot;009002BC&quot;/&gt;&lt;wsp:rsid wsp:val=&quot;00900857&quot;/&gt;&lt;wsp:rsid wsp:val=&quot;0090085F&quot;/&gt;&lt;wsp:rsid wsp:val=&quot;009008E0&quot;/&gt;&lt;wsp:rsid wsp:val=&quot;00900B3A&quot;/&gt;&lt;wsp:rsid wsp:val=&quot;00900D5F&quot;/&gt;&lt;wsp:rsid wsp:val=&quot;00900E2D&quot;/&gt;&lt;wsp:rsid wsp:val=&quot;00900E6D&quot;/&gt;&lt;wsp:rsid wsp:val=&quot;00900EED&quot;/&gt;&lt;wsp:rsid wsp:val=&quot;00901207&quot;/&gt;&lt;wsp:rsid wsp:val=&quot;009014E5&quot;/&gt;&lt;wsp:rsid wsp:val=&quot;00901520&quot;/&gt;&lt;wsp:rsid wsp:val=&quot;00901A56&quot;/&gt;&lt;wsp:rsid wsp:val=&quot;00901E85&quot;/&gt;&lt;wsp:rsid wsp:val=&quot;0090218C&quot;/&gt;&lt;wsp:rsid wsp:val=&quot;00902A15&quot;/&gt;&lt;wsp:rsid wsp:val=&quot;00902CE8&quot;/&gt;&lt;wsp:rsid wsp:val=&quot;00902DCF&quot;/&gt;&lt;wsp:rsid wsp:val=&quot;00902FBF&quot;/&gt;&lt;wsp:rsid wsp:val=&quot;00903055&quot;/&gt;&lt;wsp:rsid wsp:val=&quot;0090310B&quot;/&gt;&lt;wsp:rsid wsp:val=&quot;00903353&quot;/&gt;&lt;wsp:rsid wsp:val=&quot;00903CCA&quot;/&gt;&lt;wsp:rsid wsp:val=&quot;00903CD9&quot;/&gt;&lt;wsp:rsid wsp:val=&quot;0090404B&quot;/&gt;&lt;wsp:rsid wsp:val=&quot;00904179&quot;/&gt;&lt;wsp:rsid wsp:val=&quot;00904313&quot;/&gt;&lt;wsp:rsid wsp:val=&quot;009046BD&quot;/&gt;&lt;wsp:rsid wsp:val=&quot;0090480B&quot;/&gt;&lt;wsp:rsid wsp:val=&quot;00904BC4&quot;/&gt;&lt;wsp:rsid wsp:val=&quot;00904DA6&quot;/&gt;&lt;wsp:rsid wsp:val=&quot;00904DF3&quot;/&gt;&lt;wsp:rsid wsp:val=&quot;00904E20&quot;/&gt;&lt;wsp:rsid wsp:val=&quot;00904E52&quot;/&gt;&lt;wsp:rsid wsp:val=&quot;009053B4&quot;/&gt;&lt;wsp:rsid wsp:val=&quot;009053B9&quot;/&gt;&lt;wsp:rsid wsp:val=&quot;009053C9&quot;/&gt;&lt;wsp:rsid wsp:val=&quot;00905642&quot;/&gt;&lt;wsp:rsid wsp:val=&quot;0090587F&quot;/&gt;&lt;wsp:rsid wsp:val=&quot;0090596E&quot;/&gt;&lt;wsp:rsid wsp:val=&quot;009059CE&quot;/&gt;&lt;wsp:rsid wsp:val=&quot;00905A5E&quot;/&gt;&lt;wsp:rsid wsp:val=&quot;00905B3F&quot;/&gt;&lt;wsp:rsid wsp:val=&quot;00905BBB&quot;/&gt;&lt;wsp:rsid wsp:val=&quot;009062AA&quot;/&gt;&lt;wsp:rsid wsp:val=&quot;00906447&quot;/&gt;&lt;wsp:rsid wsp:val=&quot;00906600&quot;/&gt;&lt;wsp:rsid wsp:val=&quot;0090668A&quot;/&gt;&lt;wsp:rsid wsp:val=&quot;009069EC&quot;/&gt;&lt;wsp:rsid wsp:val=&quot;00906A6A&quot;/&gt;&lt;wsp:rsid wsp:val=&quot;00906C80&quot;/&gt;&lt;wsp:rsid wsp:val=&quot;00906D4D&quot;/&gt;&lt;wsp:rsid wsp:val=&quot;009071DB&quot;/&gt;&lt;wsp:rsid wsp:val=&quot;00907289&quot;/&gt;&lt;wsp:rsid wsp:val=&quot;0090755A&quot;/&gt;&lt;wsp:rsid wsp:val=&quot;00907643&quot;/&gt;&lt;wsp:rsid wsp:val=&quot;00907822&quot;/&gt;&lt;wsp:rsid wsp:val=&quot;009079EE&quot;/&gt;&lt;wsp:rsid wsp:val=&quot;00907AE1&quot;/&gt;&lt;wsp:rsid wsp:val=&quot;00907BE6&quot;/&gt;&lt;wsp:rsid wsp:val=&quot;00907C76&quot;/&gt;&lt;wsp:rsid wsp:val=&quot;00907EAA&quot;/&gt;&lt;wsp:rsid wsp:val=&quot;00907F69&quot;/&gt;&lt;wsp:rsid wsp:val=&quot;00910098&quot;/&gt;&lt;wsp:rsid wsp:val=&quot;009100A0&quot;/&gt;&lt;wsp:rsid wsp:val=&quot;00910343&quot;/&gt;&lt;wsp:rsid wsp:val=&quot;0091052B&quot;/&gt;&lt;wsp:rsid wsp:val=&quot;0091072D&quot;/&gt;&lt;wsp:rsid wsp:val=&quot;00910AA0&quot;/&gt;&lt;wsp:rsid wsp:val=&quot;00910C21&quot;/&gt;&lt;wsp:rsid wsp:val=&quot;00910C3A&quot;/&gt;&lt;wsp:rsid wsp:val=&quot;00910D71&quot;/&gt;&lt;wsp:rsid wsp:val=&quot;00910D98&quot;/&gt;&lt;wsp:rsid wsp:val=&quot;009110E4&quot;/&gt;&lt;wsp:rsid wsp:val=&quot;009112FC&quot;/&gt;&lt;wsp:rsid wsp:val=&quot;0091179F&quot;/&gt;&lt;wsp:rsid wsp:val=&quot;009117BB&quot;/&gt;&lt;wsp:rsid wsp:val=&quot;00911DA0&quot;/&gt;&lt;wsp:rsid wsp:val=&quot;00911F88&quot;/&gt;&lt;wsp:rsid wsp:val=&quot;009121AA&quot;/&gt;&lt;wsp:rsid wsp:val=&quot;00912343&quot;/&gt;&lt;wsp:rsid wsp:val=&quot;0091235A&quot;/&gt;&lt;wsp:rsid wsp:val=&quot;0091245E&quot;/&gt;&lt;wsp:rsid wsp:val=&quot;0091254A&quot;/&gt;&lt;wsp:rsid wsp:val=&quot;00912599&quot;/&gt;&lt;wsp:rsid wsp:val=&quot;00912C58&quot;/&gt;&lt;wsp:rsid wsp:val=&quot;00912CE3&quot;/&gt;&lt;wsp:rsid wsp:val=&quot;0091310B&quot;/&gt;&lt;wsp:rsid wsp:val=&quot;0091359A&quot;/&gt;&lt;wsp:rsid wsp:val=&quot;00913600&quot;/&gt;&lt;wsp:rsid wsp:val=&quot;00913799&quot;/&gt;&lt;wsp:rsid wsp:val=&quot;00913CAB&quot;/&gt;&lt;wsp:rsid wsp:val=&quot;00913EBE&quot;/&gt;&lt;wsp:rsid wsp:val=&quot;0091403B&quot;/&gt;&lt;wsp:rsid wsp:val=&quot;00914116&quot;/&gt;&lt;wsp:rsid wsp:val=&quot;0091443C&quot;/&gt;&lt;wsp:rsid wsp:val=&quot;009144D3&quot;/&gt;&lt;wsp:rsid wsp:val=&quot;0091458B&quot;/&gt;&lt;wsp:rsid wsp:val=&quot;00914A1C&quot;/&gt;&lt;wsp:rsid wsp:val=&quot;00914B47&quot;/&gt;&lt;wsp:rsid wsp:val=&quot;00914C54&quot;/&gt;&lt;wsp:rsid wsp:val=&quot;00914D87&quot;/&gt;&lt;wsp:rsid wsp:val=&quot;00914F3B&quot;/&gt;&lt;wsp:rsid wsp:val=&quot;00914FC8&quot;/&gt;&lt;wsp:rsid wsp:val=&quot;0091510F&quot;/&gt;&lt;wsp:rsid wsp:val=&quot;009152CF&quot;/&gt;&lt;wsp:rsid wsp:val=&quot;0091579C&quot;/&gt;&lt;wsp:rsid wsp:val=&quot;00915A66&quot;/&gt;&lt;wsp:rsid wsp:val=&quot;00915F96&quot;/&gt;&lt;wsp:rsid wsp:val=&quot;00916418&quot;/&gt;&lt;wsp:rsid wsp:val=&quot;0091669E&quot;/&gt;&lt;wsp:rsid wsp:val=&quot;009166F9&quot;/&gt;&lt;wsp:rsid wsp:val=&quot;00916724&quot;/&gt;&lt;wsp:rsid wsp:val=&quot;009169B6&quot;/&gt;&lt;wsp:rsid wsp:val=&quot;00916C6F&quot;/&gt;&lt;wsp:rsid wsp:val=&quot;00916EA6&quot;/&gt;&lt;wsp:rsid wsp:val=&quot;009170BA&quot;/&gt;&lt;wsp:rsid wsp:val=&quot;00917378&quot;/&gt;&lt;wsp:rsid wsp:val=&quot;00917992&quot;/&gt;&lt;wsp:rsid wsp:val=&quot;00917BE0&quot;/&gt;&lt;wsp:rsid wsp:val=&quot;00917C62&quot;/&gt;&lt;wsp:rsid wsp:val=&quot;00917C69&quot;/&gt;&lt;wsp:rsid wsp:val=&quot;009203BC&quot;/&gt;&lt;wsp:rsid wsp:val=&quot;00920799&quot;/&gt;&lt;wsp:rsid wsp:val=&quot;00920916&quot;/&gt;&lt;wsp:rsid wsp:val=&quot;00920B34&quot;/&gt;&lt;wsp:rsid wsp:val=&quot;00920B70&quot;/&gt;&lt;wsp:rsid wsp:val=&quot;00920C7C&quot;/&gt;&lt;wsp:rsid wsp:val=&quot;00920E98&quot;/&gt;&lt;wsp:rsid wsp:val=&quot;00920F8A&quot;/&gt;&lt;wsp:rsid wsp:val=&quot;00920FF7&quot;/&gt;&lt;wsp:rsid wsp:val=&quot;009214F7&quot;/&gt;&lt;wsp:rsid wsp:val=&quot;0092170F&quot;/&gt;&lt;wsp:rsid wsp:val=&quot;00921733&quot;/&gt;&lt;wsp:rsid wsp:val=&quot;00921763&quot;/&gt;&lt;wsp:rsid wsp:val=&quot;00921794&quot;/&gt;&lt;wsp:rsid wsp:val=&quot;009217FA&quot;/&gt;&lt;wsp:rsid wsp:val=&quot;009217FD&quot;/&gt;&lt;wsp:rsid wsp:val=&quot;0092182A&quot;/&gt;&lt;wsp:rsid wsp:val=&quot;00921C29&quot;/&gt;&lt;wsp:rsid wsp:val=&quot;0092214F&quot;/&gt;&lt;wsp:rsid wsp:val=&quot;00922538&quot;/&gt;&lt;wsp:rsid wsp:val=&quot;00922765&quot;/&gt;&lt;wsp:rsid wsp:val=&quot;00922905&quot;/&gt;&lt;wsp:rsid wsp:val=&quot;009229B0&quot;/&gt;&lt;wsp:rsid wsp:val=&quot;00922C90&quot;/&gt;&lt;wsp:rsid wsp:val=&quot;00922D30&quot;/&gt;&lt;wsp:rsid wsp:val=&quot;00922FE7&quot;/&gt;&lt;wsp:rsid wsp:val=&quot;0092300D&quot;/&gt;&lt;wsp:rsid wsp:val=&quot;009230D8&quot;/&gt;&lt;wsp:rsid wsp:val=&quot;009232BB&quot;/&gt;&lt;wsp:rsid wsp:val=&quot;00923778&quot;/&gt;&lt;wsp:rsid wsp:val=&quot;00923808&quot;/&gt;&lt;wsp:rsid wsp:val=&quot;009239DF&quot;/&gt;&lt;wsp:rsid wsp:val=&quot;00923A14&quot;/&gt;&lt;wsp:rsid wsp:val=&quot;009240AD&quot;/&gt;&lt;wsp:rsid wsp:val=&quot;009242B1&quot;/&gt;&lt;wsp:rsid wsp:val=&quot;00924616&quot;/&gt;&lt;wsp:rsid wsp:val=&quot;0092465E&quot;/&gt;&lt;wsp:rsid wsp:val=&quot;00924859&quot;/&gt;&lt;wsp:rsid wsp:val=&quot;00924868&quot;/&gt;&lt;wsp:rsid wsp:val=&quot;00924938&quot;/&gt;&lt;wsp:rsid wsp:val=&quot;00924A78&quot;/&gt;&lt;wsp:rsid wsp:val=&quot;00924B09&quot;/&gt;&lt;wsp:rsid wsp:val=&quot;00924CE4&quot;/&gt;&lt;wsp:rsid wsp:val=&quot;00924E0D&quot;/&gt;&lt;wsp:rsid wsp:val=&quot;00924F0B&quot;/&gt;&lt;wsp:rsid wsp:val=&quot;00924FD2&quot;/&gt;&lt;wsp:rsid wsp:val=&quot;0092518E&quot;/&gt;&lt;wsp:rsid wsp:val=&quot;009254CF&quot;/&gt;&lt;wsp:rsid wsp:val=&quot;009255C1&quot;/&gt;&lt;wsp:rsid wsp:val=&quot;009258E2&quot;/&gt;&lt;wsp:rsid wsp:val=&quot;00925C1D&quot;/&gt;&lt;wsp:rsid wsp:val=&quot;0092600B&quot;/&gt;&lt;wsp:rsid wsp:val=&quot;009262CC&quot;/&gt;&lt;wsp:rsid wsp:val=&quot;00926623&quot;/&gt;&lt;wsp:rsid wsp:val=&quot;009268B9&quot;/&gt;&lt;wsp:rsid wsp:val=&quot;00926A18&quot;/&gt;&lt;wsp:rsid wsp:val=&quot;00927109&quot;/&gt;&lt;wsp:rsid wsp:val=&quot;00927139&quot;/&gt;&lt;wsp:rsid wsp:val=&quot;00927942&quot;/&gt;&lt;wsp:rsid wsp:val=&quot;0092796F&quot;/&gt;&lt;wsp:rsid wsp:val=&quot;00927B2E&quot;/&gt;&lt;wsp:rsid wsp:val=&quot;00927C53&quot;/&gt;&lt;wsp:rsid wsp:val=&quot;00927D26&quot;/&gt;&lt;wsp:rsid wsp:val=&quot;00927FC5&quot;/&gt;&lt;wsp:rsid wsp:val=&quot;009301ED&quot;/&gt;&lt;wsp:rsid wsp:val=&quot;00930205&quot;/&gt;&lt;wsp:rsid wsp:val=&quot;009302BE&quot;/&gt;&lt;wsp:rsid wsp:val=&quot;00930485&quot;/&gt;&lt;wsp:rsid wsp:val=&quot;009304BB&quot;/&gt;&lt;wsp:rsid wsp:val=&quot;00930789&quot;/&gt;&lt;wsp:rsid wsp:val=&quot;00930BF6&quot;/&gt;&lt;wsp:rsid wsp:val=&quot;00930D5C&quot;/&gt;&lt;wsp:rsid wsp:val=&quot;00930DC9&quot;/&gt;&lt;wsp:rsid wsp:val=&quot;00931579&quot;/&gt;&lt;wsp:rsid wsp:val=&quot;00931656&quot;/&gt;&lt;wsp:rsid wsp:val=&quot;00931A13&quot;/&gt;&lt;wsp:rsid wsp:val=&quot;00931EEE&quot;/&gt;&lt;wsp:rsid wsp:val=&quot;009322F2&quot;/&gt;&lt;wsp:rsid wsp:val=&quot;00932678&quot;/&gt;&lt;wsp:rsid wsp:val=&quot;00932DC3&quot;/&gt;&lt;wsp:rsid wsp:val=&quot;00932E0B&quot;/&gt;&lt;wsp:rsid wsp:val=&quot;00932F1B&quot;/&gt;&lt;wsp:rsid wsp:val=&quot;00933087&quot;/&gt;&lt;wsp:rsid wsp:val=&quot;009333C0&quot;/&gt;&lt;wsp:rsid wsp:val=&quot;00933509&quot;/&gt;&lt;wsp:rsid wsp:val=&quot;00933BE2&quot;/&gt;&lt;wsp:rsid wsp:val=&quot;00933ED2&quot;/&gt;&lt;wsp:rsid wsp:val=&quot;009343D3&quot;/&gt;&lt;wsp:rsid wsp:val=&quot;009345EE&quot;/&gt;&lt;wsp:rsid wsp:val=&quot;00934667&quot;/&gt;&lt;wsp:rsid wsp:val=&quot;00934706&quot;/&gt;&lt;wsp:rsid wsp:val=&quot;009347CE&quot;/&gt;&lt;wsp:rsid wsp:val=&quot;009348AE&quot;/&gt;&lt;wsp:rsid wsp:val=&quot;00934C76&quot;/&gt;&lt;wsp:rsid wsp:val=&quot;009358ED&quot;/&gt;&lt;wsp:rsid wsp:val=&quot;009359CB&quot;/&gt;&lt;wsp:rsid wsp:val=&quot;00935D27&quot;/&gt;&lt;wsp:rsid wsp:val=&quot;00935D62&quot;/&gt;&lt;wsp:rsid wsp:val=&quot;00935F8F&quot;/&gt;&lt;wsp:rsid wsp:val=&quot;009366A6&quot;/&gt;&lt;wsp:rsid wsp:val=&quot;009366C2&quot;/&gt;&lt;wsp:rsid wsp:val=&quot;009368C6&quot;/&gt;&lt;wsp:rsid wsp:val=&quot;00936993&quot;/&gt;&lt;wsp:rsid wsp:val=&quot;00936C13&quot;/&gt;&lt;wsp:rsid wsp:val=&quot;00936C89&quot;/&gt;&lt;wsp:rsid wsp:val=&quot;00936CB2&quot;/&gt;&lt;wsp:rsid wsp:val=&quot;00936DF5&quot;/&gt;&lt;wsp:rsid wsp:val=&quot;009374D5&quot;/&gt;&lt;wsp:rsid wsp:val=&quot;00937661&quot;/&gt;&lt;wsp:rsid wsp:val=&quot;009376A3&quot;/&gt;&lt;wsp:rsid wsp:val=&quot;00937B12&quot;/&gt;&lt;wsp:rsid wsp:val=&quot;00937B67&quot;/&gt;&lt;wsp:rsid wsp:val=&quot;00937DF4&quot;/&gt;&lt;wsp:rsid wsp:val=&quot;00937E4A&quot;/&gt;&lt;wsp:rsid wsp:val=&quot;00937E4C&quot;/&gt;&lt;wsp:rsid wsp:val=&quot;00940707&quot;/&gt;&lt;wsp:rsid wsp:val=&quot;009409E6&quot;/&gt;&lt;wsp:rsid wsp:val=&quot;00940A15&quot;/&gt;&lt;wsp:rsid wsp:val=&quot;00940BAE&quot;/&gt;&lt;wsp:rsid wsp:val=&quot;00940CBD&quot;/&gt;&lt;wsp:rsid wsp:val=&quot;00940E87&quot;/&gt;&lt;wsp:rsid wsp:val=&quot;0094141D&quot;/&gt;&lt;wsp:rsid wsp:val=&quot;0094164D&quot;/&gt;&lt;wsp:rsid wsp:val=&quot;009417DF&quot;/&gt;&lt;wsp:rsid wsp:val=&quot;00941994&quot;/&gt;&lt;wsp:rsid wsp:val=&quot;00941BC9&quot;/&gt;&lt;wsp:rsid wsp:val=&quot;00941C2F&quot;/&gt;&lt;wsp:rsid wsp:val=&quot;00941CF5&quot;/&gt;&lt;wsp:rsid wsp:val=&quot;00942155&quot;/&gt;&lt;wsp:rsid wsp:val=&quot;00942194&quot;/&gt;&lt;wsp:rsid wsp:val=&quot;00942397&quot;/&gt;&lt;wsp:rsid wsp:val=&quot;0094272A&quot;/&gt;&lt;wsp:rsid wsp:val=&quot;009428C5&quot;/&gt;&lt;wsp:rsid wsp:val=&quot;009428F7&quot;/&gt;&lt;wsp:rsid wsp:val=&quot;00942C18&quot;/&gt;&lt;wsp:rsid wsp:val=&quot;00942CAD&quot;/&gt;&lt;wsp:rsid wsp:val=&quot;0094307A&quot;/&gt;&lt;wsp:rsid wsp:val=&quot;00943084&quot;/&gt;&lt;wsp:rsid wsp:val=&quot;0094313A&quot;/&gt;&lt;wsp:rsid wsp:val=&quot;009433F0&quot;/&gt;&lt;wsp:rsid wsp:val=&quot;009436AC&quot;/&gt;&lt;wsp:rsid wsp:val=&quot;009438A1&quot;/&gt;&lt;wsp:rsid wsp:val=&quot;00943A75&quot;/&gt;&lt;wsp:rsid wsp:val=&quot;00943C19&quot;/&gt;&lt;wsp:rsid wsp:val=&quot;00943D23&quot;/&gt;&lt;wsp:rsid wsp:val=&quot;00943ED0&quot;/&gt;&lt;wsp:rsid wsp:val=&quot;009440EF&quot;/&gt;&lt;wsp:rsid wsp:val=&quot;009442B1&quot;/&gt;&lt;wsp:rsid wsp:val=&quot;009443A7&quot;/&gt;&lt;wsp:rsid wsp:val=&quot;009444EB&quot;/&gt;&lt;wsp:rsid wsp:val=&quot;009448F9&quot;/&gt;&lt;wsp:rsid wsp:val=&quot;00944927&quot;/&gt;&lt;wsp:rsid wsp:val=&quot;00944A3D&quot;/&gt;&lt;wsp:rsid wsp:val=&quot;00944D01&quot;/&gt;&lt;wsp:rsid wsp:val=&quot;00944E12&quot;/&gt;&lt;wsp:rsid wsp:val=&quot;00944E52&quot;/&gt;&lt;wsp:rsid wsp:val=&quot;00944F16&quot;/&gt;&lt;wsp:rsid wsp:val=&quot;00944FB0&quot;/&gt;&lt;wsp:rsid wsp:val=&quot;0094542E&quot;/&gt;&lt;wsp:rsid wsp:val=&quot;0094590E&quot;/&gt;&lt;wsp:rsid wsp:val=&quot;009459BC&quot;/&gt;&lt;wsp:rsid wsp:val=&quot;00946477&quot;/&gt;&lt;wsp:rsid wsp:val=&quot;00946524&quot;/&gt;&lt;wsp:rsid wsp:val=&quot;00946621&quot;/&gt;&lt;wsp:rsid wsp:val=&quot;009466D5&quot;/&gt;&lt;wsp:rsid wsp:val=&quot;0094670B&quot;/&gt;&lt;wsp:rsid wsp:val=&quot;00946CF1&quot;/&gt;&lt;wsp:rsid wsp:val=&quot;00946D62&quot;/&gt;&lt;wsp:rsid wsp:val=&quot;00946F0A&quot;/&gt;&lt;wsp:rsid wsp:val=&quot;0094733E&quot;/&gt;&lt;wsp:rsid wsp:val=&quot;0094739D&quot;/&gt;&lt;wsp:rsid wsp:val=&quot;0094750D&quot;/&gt;&lt;wsp:rsid wsp:val=&quot;00947519&quot;/&gt;&lt;wsp:rsid wsp:val=&quot;009477BA&quot;/&gt;&lt;wsp:rsid wsp:val=&quot;00947A3C&quot;/&gt;&lt;wsp:rsid wsp:val=&quot;00947A86&quot;/&gt;&lt;wsp:rsid wsp:val=&quot;00947C50&quot;/&gt;&lt;wsp:rsid wsp:val=&quot;00947D28&quot;/&gt;&lt;wsp:rsid wsp:val=&quot;00947E9C&quot;/&gt;&lt;wsp:rsid wsp:val=&quot;009500E2&quot;/&gt;&lt;wsp:rsid wsp:val=&quot;009500F1&quot;/&gt;&lt;wsp:rsid wsp:val=&quot;0095013C&quot;/&gt;&lt;wsp:rsid wsp:val=&quot;009505A8&quot;/&gt;&lt;wsp:rsid wsp:val=&quot;00950684&quot;/&gt;&lt;wsp:rsid wsp:val=&quot;00950770&quot;/&gt;&lt;wsp:rsid wsp:val=&quot;0095077F&quot;/&gt;&lt;wsp:rsid wsp:val=&quot;00950E26&quot;/&gt;&lt;wsp:rsid wsp:val=&quot;00950E5D&quot;/&gt;&lt;wsp:rsid wsp:val=&quot;009512EA&quot;/&gt;&lt;wsp:rsid wsp:val=&quot;009515EB&quot;/&gt;&lt;wsp:rsid wsp:val=&quot;00951758&quot;/&gt;&lt;wsp:rsid wsp:val=&quot;0095208A&quot;/&gt;&lt;wsp:rsid wsp:val=&quot;00952216&quot;/&gt;&lt;wsp:rsid wsp:val=&quot;0095242E&quot;/&gt;&lt;wsp:rsid wsp:val=&quot;0095249B&quot;/&gt;&lt;wsp:rsid wsp:val=&quot;0095298C&quot;/&gt;&lt;wsp:rsid wsp:val=&quot;009529F3&quot;/&gt;&lt;wsp:rsid wsp:val=&quot;00952A3B&quot;/&gt;&lt;wsp:rsid wsp:val=&quot;00952B3A&quot;/&gt;&lt;wsp:rsid wsp:val=&quot;00952BFB&quot;/&gt;&lt;wsp:rsid wsp:val=&quot;00952C06&quot;/&gt;&lt;wsp:rsid wsp:val=&quot;00953439&quot;/&gt;&lt;wsp:rsid wsp:val=&quot;00953472&quot;/&gt;&lt;wsp:rsid wsp:val=&quot;009538A1&quot;/&gt;&lt;wsp:rsid wsp:val=&quot;00953B5B&quot;/&gt;&lt;wsp:rsid wsp:val=&quot;00953B83&quot;/&gt;&lt;wsp:rsid wsp:val=&quot;00953E55&quot;/&gt;&lt;wsp:rsid wsp:val=&quot;00953FFC&quot;/&gt;&lt;wsp:rsid wsp:val=&quot;009544F5&quot;/&gt;&lt;wsp:rsid wsp:val=&quot;0095455E&quot;/&gt;&lt;wsp:rsid wsp:val=&quot;00954B9C&quot;/&gt;&lt;wsp:rsid wsp:val=&quot;00955067&quot;/&gt;&lt;wsp:rsid wsp:val=&quot;00955313&quot;/&gt;&lt;wsp:rsid wsp:val=&quot;009554B6&quot;/&gt;&lt;wsp:rsid wsp:val=&quot;009555F7&quot;/&gt;&lt;wsp:rsid wsp:val=&quot;0095569E&quot;/&gt;&lt;wsp:rsid wsp:val=&quot;009556CD&quot;/&gt;&lt;wsp:rsid wsp:val=&quot;00955715&quot;/&gt;&lt;wsp:rsid wsp:val=&quot;00955888&quot;/&gt;&lt;wsp:rsid wsp:val=&quot;00955FC1&quot;/&gt;&lt;wsp:rsid wsp:val=&quot;009560C8&quot;/&gt;&lt;wsp:rsid wsp:val=&quot;009562B3&quot;/&gt;&lt;wsp:rsid wsp:val=&quot;009563A0&quot;/&gt;&lt;wsp:rsid wsp:val=&quot;009565D5&quot;/&gt;&lt;wsp:rsid wsp:val=&quot;00956821&quot;/&gt;&lt;wsp:rsid wsp:val=&quot;00956921&quot;/&gt;&lt;wsp:rsid wsp:val=&quot;00956D99&quot;/&gt;&lt;wsp:rsid wsp:val=&quot;00956E79&quot;/&gt;&lt;wsp:rsid wsp:val=&quot;009577B2&quot;/&gt;&lt;wsp:rsid wsp:val=&quot;00957AA6&quot;/&gt;&lt;wsp:rsid wsp:val=&quot;00957D60&quot;/&gt;&lt;wsp:rsid wsp:val=&quot;00957E9A&quot;/&gt;&lt;wsp:rsid wsp:val=&quot;00957F23&quot;/&gt;&lt;wsp:rsid wsp:val=&quot;0096032E&quot;/&gt;&lt;wsp:rsid wsp:val=&quot;009603F1&quot;/&gt;&lt;wsp:rsid wsp:val=&quot;0096045B&quot;/&gt;&lt;wsp:rsid wsp:val=&quot;009604C2&quot;/&gt;&lt;wsp:rsid wsp:val=&quot;009605B7&quot;/&gt;&lt;wsp:rsid wsp:val=&quot;00960640&quot;/&gt;&lt;wsp:rsid wsp:val=&quot;0096072F&quot;/&gt;&lt;wsp:rsid wsp:val=&quot;00960975&quot;/&gt;&lt;wsp:rsid wsp:val=&quot;00960DA7&quot;/&gt;&lt;wsp:rsid wsp:val=&quot;00960EDE&quot;/&gt;&lt;wsp:rsid wsp:val=&quot;00960FC5&quot;/&gt;&lt;wsp:rsid wsp:val=&quot;009611C8&quot;/&gt;&lt;wsp:rsid wsp:val=&quot;009614FA&quot;/&gt;&lt;wsp:rsid wsp:val=&quot;00961AC1&quot;/&gt;&lt;wsp:rsid wsp:val=&quot;00961CB9&quot;/&gt;&lt;wsp:rsid wsp:val=&quot;00961F3D&quot;/&gt;&lt;wsp:rsid wsp:val=&quot;00961FF6&quot;/&gt;&lt;wsp:rsid wsp:val=&quot;00962264&quot;/&gt;&lt;wsp:rsid wsp:val=&quot;0096232A&quot;/&gt;&lt;wsp:rsid wsp:val=&quot;009624C5&quot;/&gt;&lt;wsp:rsid wsp:val=&quot;0096270E&quot;/&gt;&lt;wsp:rsid wsp:val=&quot;00962E4F&quot;/&gt;&lt;wsp:rsid wsp:val=&quot;00962E67&quot;/&gt;&lt;wsp:rsid wsp:val=&quot;00962F00&quot;/&gt;&lt;wsp:rsid wsp:val=&quot;0096316A&quot;/&gt;&lt;wsp:rsid wsp:val=&quot;009631BC&quot;/&gt;&lt;wsp:rsid wsp:val=&quot;009631CE&quot;/&gt;&lt;wsp:rsid wsp:val=&quot;0096332A&quot;/&gt;&lt;wsp:rsid wsp:val=&quot;00963574&quot;/&gt;&lt;wsp:rsid wsp:val=&quot;0096389F&quot;/&gt;&lt;wsp:rsid wsp:val=&quot;00963A67&quot;/&gt;&lt;wsp:rsid wsp:val=&quot;00963A91&quot;/&gt;&lt;wsp:rsid wsp:val=&quot;00963E2A&quot;/&gt;&lt;wsp:rsid wsp:val=&quot;009641F3&quot;/&gt;&lt;wsp:rsid wsp:val=&quot;0096422A&quot;/&gt;&lt;wsp:rsid wsp:val=&quot;00964334&quot;/&gt;&lt;wsp:rsid wsp:val=&quot;009644DE&quot;/&gt;&lt;wsp:rsid wsp:val=&quot;009645D8&quot;/&gt;&lt;wsp:rsid wsp:val=&quot;0096497D&quot;/&gt;&lt;wsp:rsid wsp:val=&quot;00964D36&quot;/&gt;&lt;wsp:rsid wsp:val=&quot;00964F27&quot;/&gt;&lt;wsp:rsid wsp:val=&quot;00965008&quot;/&gt;&lt;wsp:rsid wsp:val=&quot;00965218&quot;/&gt;&lt;wsp:rsid wsp:val=&quot;00965219&quot;/&gt;&lt;wsp:rsid wsp:val=&quot;00965488&quot;/&gt;&lt;wsp:rsid wsp:val=&quot;00965960&quot;/&gt;&lt;wsp:rsid wsp:val=&quot;00965F03&quot;/&gt;&lt;wsp:rsid wsp:val=&quot;00966416&quot;/&gt;&lt;wsp:rsid wsp:val=&quot;00966578&quot;/&gt;&lt;wsp:rsid wsp:val=&quot;00966F6F&quot;/&gt;&lt;wsp:rsid wsp:val=&quot;00967041&quot;/&gt;&lt;wsp:rsid wsp:val=&quot;009672F1&quot;/&gt;&lt;wsp:rsid wsp:val=&quot;00967311&quot;/&gt;&lt;wsp:rsid wsp:val=&quot;009673D4&quot;/&gt;&lt;wsp:rsid wsp:val=&quot;009673DF&quot;/&gt;&lt;wsp:rsid wsp:val=&quot;00967550&quot;/&gt;&lt;wsp:rsid wsp:val=&quot;0096757F&quot;/&gt;&lt;wsp:rsid wsp:val=&quot;009676CF&quot;/&gt;&lt;wsp:rsid wsp:val=&quot;0096789F&quot;/&gt;&lt;wsp:rsid wsp:val=&quot;009678BD&quot;/&gt;&lt;wsp:rsid wsp:val=&quot;009679BF&quot;/&gt;&lt;wsp:rsid wsp:val=&quot;00967D07&quot;/&gt;&lt;wsp:rsid wsp:val=&quot;00970829&quot;/&gt;&lt;wsp:rsid wsp:val=&quot;0097090F&quot;/&gt;&lt;wsp:rsid wsp:val=&quot;00970F46&quot;/&gt;&lt;wsp:rsid wsp:val=&quot;00971026&quot;/&gt;&lt;wsp:rsid wsp:val=&quot;00971120&quot;/&gt;&lt;wsp:rsid wsp:val=&quot;009711D4&quot;/&gt;&lt;wsp:rsid wsp:val=&quot;0097148A&quot;/&gt;&lt;wsp:rsid wsp:val=&quot;00971525&quot;/&gt;&lt;wsp:rsid wsp:val=&quot;0097197C&quot;/&gt;&lt;wsp:rsid wsp:val=&quot;00971985&quot;/&gt;&lt;wsp:rsid wsp:val=&quot;009719A5&quot;/&gt;&lt;wsp:rsid wsp:val=&quot;00971E55&quot;/&gt;&lt;wsp:rsid wsp:val=&quot;009722B5&quot;/&gt;&lt;wsp:rsid wsp:val=&quot;00972334&quot;/&gt;&lt;wsp:rsid wsp:val=&quot;0097258E&quot;/&gt;&lt;wsp:rsid wsp:val=&quot;0097293F&quot;/&gt;&lt;wsp:rsid wsp:val=&quot;00972B30&quot;/&gt;&lt;wsp:rsid wsp:val=&quot;00972FBF&quot;/&gt;&lt;wsp:rsid wsp:val=&quot;00972FCF&quot;/&gt;&lt;wsp:rsid wsp:val=&quot;00973268&quot;/&gt;&lt;wsp:rsid wsp:val=&quot;009733A7&quot;/&gt;&lt;wsp:rsid wsp:val=&quot;00973730&quot;/&gt;&lt;wsp:rsid wsp:val=&quot;009738F8&quot;/&gt;&lt;wsp:rsid wsp:val=&quot;00973D1A&quot;/&gt;&lt;wsp:rsid wsp:val=&quot;00973E75&quot;/&gt;&lt;wsp:rsid wsp:val=&quot;00973E9D&quot;/&gt;&lt;wsp:rsid wsp:val=&quot;009742CF&quot;/&gt;&lt;wsp:rsid wsp:val=&quot;00974314&quot;/&gt;&lt;wsp:rsid wsp:val=&quot;00974374&quot;/&gt;&lt;wsp:rsid wsp:val=&quot;0097448E&quot;/&gt;&lt;wsp:rsid wsp:val=&quot;00974A66&quot;/&gt;&lt;wsp:rsid wsp:val=&quot;00974CDF&quot;/&gt;&lt;wsp:rsid wsp:val=&quot;00974D29&quot;/&gt;&lt;wsp:rsid wsp:val=&quot;00974E1A&quot;/&gt;&lt;wsp:rsid wsp:val=&quot;00975057&quot;/&gt;&lt;wsp:rsid wsp:val=&quot;009750C8&quot;/&gt;&lt;wsp:rsid wsp:val=&quot;00975677&quot;/&gt;&lt;wsp:rsid wsp:val=&quot;009758AB&quot;/&gt;&lt;wsp:rsid wsp:val=&quot;009758DB&quot;/&gt;&lt;wsp:rsid wsp:val=&quot;00976307&quot;/&gt;&lt;wsp:rsid wsp:val=&quot;009763AC&quot;/&gt;&lt;wsp:rsid wsp:val=&quot;00976423&quot;/&gt;&lt;wsp:rsid wsp:val=&quot;00976516&quot;/&gt;&lt;wsp:rsid wsp:val=&quot;0097652D&quot;/&gt;&lt;wsp:rsid wsp:val=&quot;00976705&quot;/&gt;&lt;wsp:rsid wsp:val=&quot;00976730&quot;/&gt;&lt;wsp:rsid wsp:val=&quot;00976F10&quot;/&gt;&lt;wsp:rsid wsp:val=&quot;00976F8D&quot;/&gt;&lt;wsp:rsid wsp:val=&quot;00977047&quot;/&gt;&lt;wsp:rsid wsp:val=&quot;00977099&quot;/&gt;&lt;wsp:rsid wsp:val=&quot;009775ED&quot;/&gt;&lt;wsp:rsid wsp:val=&quot;00977700&quot;/&gt;&lt;wsp:rsid wsp:val=&quot;00977945&quot;/&gt;&lt;wsp:rsid wsp:val=&quot;00977B8C&quot;/&gt;&lt;wsp:rsid wsp:val=&quot;00977C33&quot;/&gt;&lt;wsp:rsid wsp:val=&quot;00977CAC&quot;/&gt;&lt;wsp:rsid wsp:val=&quot;00977CE0&quot;/&gt;&lt;wsp:rsid wsp:val=&quot;00977DD7&quot;/&gt;&lt;wsp:rsid wsp:val=&quot;00977FAF&quot;/&gt;&lt;wsp:rsid wsp:val=&quot;009800F0&quot;/&gt;&lt;wsp:rsid wsp:val=&quot;009802E6&quot;/&gt;&lt;wsp:rsid wsp:val=&quot;0098035C&quot;/&gt;&lt;wsp:rsid wsp:val=&quot;009807D5&quot;/&gt;&lt;wsp:rsid wsp:val=&quot;009809AD&quot;/&gt;&lt;wsp:rsid wsp:val=&quot;00980A70&quot;/&gt;&lt;wsp:rsid wsp:val=&quot;00980B9C&quot;/&gt;&lt;wsp:rsid wsp:val=&quot;00980DE5&quot;/&gt;&lt;wsp:rsid wsp:val=&quot;00981203&quot;/&gt;&lt;wsp:rsid wsp:val=&quot;00981745&quot;/&gt;&lt;wsp:rsid wsp:val=&quot;0098176A&quot;/&gt;&lt;wsp:rsid wsp:val=&quot;0098176E&quot;/&gt;&lt;wsp:rsid wsp:val=&quot;00981B03&quot;/&gt;&lt;wsp:rsid wsp:val=&quot;00981D0B&quot;/&gt;&lt;wsp:rsid wsp:val=&quot;00981D47&quot;/&gt;&lt;wsp:rsid wsp:val=&quot;00981FF6&quot;/&gt;&lt;wsp:rsid wsp:val=&quot;00982133&quot;/&gt;&lt;wsp:rsid wsp:val=&quot;0098252D&quot;/&gt;&lt;wsp:rsid wsp:val=&quot;00982624&quot;/&gt;&lt;wsp:rsid wsp:val=&quot;009829E1&quot;/&gt;&lt;wsp:rsid wsp:val=&quot;00982C0E&quot;/&gt;&lt;wsp:rsid wsp:val=&quot;00982F63&quot;/&gt;&lt;wsp:rsid wsp:val=&quot;00982F9E&quot;/&gt;&lt;wsp:rsid wsp:val=&quot;0098388F&quot;/&gt;&lt;wsp:rsid wsp:val=&quot;009838DC&quot;/&gt;&lt;wsp:rsid wsp:val=&quot;00983943&quot;/&gt;&lt;wsp:rsid wsp:val=&quot;00983DED&quot;/&gt;&lt;wsp:rsid wsp:val=&quot;00983EF7&quot;/&gt;&lt;wsp:rsid wsp:val=&quot;00984288&quot;/&gt;&lt;wsp:rsid wsp:val=&quot;009842F6&quot;/&gt;&lt;wsp:rsid wsp:val=&quot;00984308&quot;/&gt;&lt;wsp:rsid wsp:val=&quot;0098437E&quot;/&gt;&lt;wsp:rsid wsp:val=&quot;009843F8&quot;/&gt;&lt;wsp:rsid wsp:val=&quot;00984561&quot;/&gt;&lt;wsp:rsid wsp:val=&quot;00984691&quot;/&gt;&lt;wsp:rsid wsp:val=&quot;0098470C&quot;/&gt;&lt;wsp:rsid wsp:val=&quot;00984A3B&quot;/&gt;&lt;wsp:rsid wsp:val=&quot;00984BB2&quot;/&gt;&lt;wsp:rsid wsp:val=&quot;00984EDB&quot;/&gt;&lt;wsp:rsid wsp:val=&quot;0098506E&quot;/&gt;&lt;wsp:rsid wsp:val=&quot;00985101&quot;/&gt;&lt;wsp:rsid wsp:val=&quot;009852DF&quot;/&gt;&lt;wsp:rsid wsp:val=&quot;00985335&quot;/&gt;&lt;wsp:rsid wsp:val=&quot;00985735&quot;/&gt;&lt;wsp:rsid wsp:val=&quot;00985C62&quot;/&gt;&lt;wsp:rsid wsp:val=&quot;00985C68&quot;/&gt;&lt;wsp:rsid wsp:val=&quot;00985CEC&quot;/&gt;&lt;wsp:rsid wsp:val=&quot;00986830&quot;/&gt;&lt;wsp:rsid wsp:val=&quot;00986888&quot;/&gt;&lt;wsp:rsid wsp:val=&quot;009869AB&quot;/&gt;&lt;wsp:rsid wsp:val=&quot;00986ECE&quot;/&gt;&lt;wsp:rsid wsp:val=&quot;00987097&quot;/&gt;&lt;wsp:rsid wsp:val=&quot;009870FB&quot;/&gt;&lt;wsp:rsid wsp:val=&quot;00987110&quot;/&gt;&lt;wsp:rsid wsp:val=&quot;009872CE&quot;/&gt;&lt;wsp:rsid wsp:val=&quot;009878FD&quot;/&gt;&lt;wsp:rsid wsp:val=&quot;00987BD5&quot;/&gt;&lt;wsp:rsid wsp:val=&quot;00987C00&quot;/&gt;&lt;wsp:rsid wsp:val=&quot;00987CDC&quot;/&gt;&lt;wsp:rsid wsp:val=&quot;0099021A&quot;/&gt;&lt;wsp:rsid wsp:val=&quot;009902D7&quot;/&gt;&lt;wsp:rsid wsp:val=&quot;0099033F&quot;/&gt;&lt;wsp:rsid wsp:val=&quot;00990487&quot;/&gt;&lt;wsp:rsid wsp:val=&quot;0099058F&quot;/&gt;&lt;wsp:rsid wsp:val=&quot;009905C9&quot;/&gt;&lt;wsp:rsid wsp:val=&quot;009905CC&quot;/&gt;&lt;wsp:rsid wsp:val=&quot;0099083E&quot;/&gt;&lt;wsp:rsid wsp:val=&quot;00990E6A&quot;/&gt;&lt;wsp:rsid wsp:val=&quot;00990E8E&quot;/&gt;&lt;wsp:rsid wsp:val=&quot;00991246&quot;/&gt;&lt;wsp:rsid wsp:val=&quot;00991459&quot;/&gt;&lt;wsp:rsid wsp:val=&quot;00991852&quot;/&gt;&lt;wsp:rsid wsp:val=&quot;00991D06&quot;/&gt;&lt;wsp:rsid wsp:val=&quot;009922C2&quot;/&gt;&lt;wsp:rsid wsp:val=&quot;009923F2&quot;/&gt;&lt;wsp:rsid wsp:val=&quot;00992555&quot;/&gt;&lt;wsp:rsid wsp:val=&quot;0099257D&quot;/&gt;&lt;wsp:rsid wsp:val=&quot;00992942&quot;/&gt;&lt;wsp:rsid wsp:val=&quot;00992A92&quot;/&gt;&lt;wsp:rsid wsp:val=&quot;00992B0A&quot;/&gt;&lt;wsp:rsid wsp:val=&quot;00992C56&quot;/&gt;&lt;wsp:rsid wsp:val=&quot;00992D37&quot;/&gt;&lt;wsp:rsid wsp:val=&quot;00992DA9&quot;/&gt;&lt;wsp:rsid wsp:val=&quot;00993033&quot;/&gt;&lt;wsp:rsid wsp:val=&quot;009930DC&quot;/&gt;&lt;wsp:rsid wsp:val=&quot;00993115&quot;/&gt;&lt;wsp:rsid wsp:val=&quot;009933C8&quot;/&gt;&lt;wsp:rsid wsp:val=&quot;00993876&quot;/&gt;&lt;wsp:rsid wsp:val=&quot;00993DEF&quot;/&gt;&lt;wsp:rsid wsp:val=&quot;00993DF5&quot;/&gt;&lt;wsp:rsid wsp:val=&quot;009941D7&quot;/&gt;&lt;wsp:rsid wsp:val=&quot;009941D8&quot;/&gt;&lt;wsp:rsid wsp:val=&quot;009942C8&quot;/&gt;&lt;wsp:rsid wsp:val=&quot;00994734&quot;/&gt;&lt;wsp:rsid wsp:val=&quot;00994755&quot;/&gt;&lt;wsp:rsid wsp:val=&quot;009947FC&quot;/&gt;&lt;wsp:rsid wsp:val=&quot;009948AD&quot;/&gt;&lt;wsp:rsid wsp:val=&quot;00994C52&quot;/&gt;&lt;wsp:rsid wsp:val=&quot;00994C96&quot;/&gt;&lt;wsp:rsid wsp:val=&quot;00995037&quot;/&gt;&lt;wsp:rsid wsp:val=&quot;00995460&quot;/&gt;&lt;wsp:rsid wsp:val=&quot;00995570&quot;/&gt;&lt;wsp:rsid wsp:val=&quot;00995797&quot;/&gt;&lt;wsp:rsid wsp:val=&quot;009959E7&quot;/&gt;&lt;wsp:rsid wsp:val=&quot;00995BDC&quot;/&gt;&lt;wsp:rsid wsp:val=&quot;00996307&quot;/&gt;&lt;wsp:rsid wsp:val=&quot;00996694&quot;/&gt;&lt;wsp:rsid wsp:val=&quot;009969D9&quot;/&gt;&lt;wsp:rsid wsp:val=&quot;00996D36&quot;/&gt;&lt;wsp:rsid wsp:val=&quot;00996D7D&quot;/&gt;&lt;wsp:rsid wsp:val=&quot;00996F65&quot;/&gt;&lt;wsp:rsid wsp:val=&quot;00997046&quot;/&gt;&lt;wsp:rsid wsp:val=&quot;00997175&quot;/&gt;&lt;wsp:rsid wsp:val=&quot;009975CC&quot;/&gt;&lt;wsp:rsid wsp:val=&quot;00997613&quot;/&gt;&lt;wsp:rsid wsp:val=&quot;00997F74&quot;/&gt;&lt;wsp:rsid wsp:val=&quot;009A00A2&quot;/&gt;&lt;wsp:rsid wsp:val=&quot;009A0655&quot;/&gt;&lt;wsp:rsid wsp:val=&quot;009A0892&quot;/&gt;&lt;wsp:rsid wsp:val=&quot;009A0AD8&quot;/&gt;&lt;wsp:rsid wsp:val=&quot;009A0DE5&quot;/&gt;&lt;wsp:rsid wsp:val=&quot;009A1191&quot;/&gt;&lt;wsp:rsid wsp:val=&quot;009A11AA&quot;/&gt;&lt;wsp:rsid wsp:val=&quot;009A1342&quot;/&gt;&lt;wsp:rsid wsp:val=&quot;009A14A5&quot;/&gt;&lt;wsp:rsid wsp:val=&quot;009A14CE&quot;/&gt;&lt;wsp:rsid wsp:val=&quot;009A1641&quot;/&gt;&lt;wsp:rsid wsp:val=&quot;009A1699&quot;/&gt;&lt;wsp:rsid wsp:val=&quot;009A1927&quot;/&gt;&lt;wsp:rsid wsp:val=&quot;009A1994&quot;/&gt;&lt;wsp:rsid wsp:val=&quot;009A1998&quot;/&gt;&lt;wsp:rsid wsp:val=&quot;009A1C03&quot;/&gt;&lt;wsp:rsid wsp:val=&quot;009A1E9D&quot;/&gt;&lt;wsp:rsid wsp:val=&quot;009A2028&quot;/&gt;&lt;wsp:rsid wsp:val=&quot;009A2032&quot;/&gt;&lt;wsp:rsid wsp:val=&quot;009A227C&quot;/&gt;&lt;wsp:rsid wsp:val=&quot;009A22F6&quot;/&gt;&lt;wsp:rsid wsp:val=&quot;009A26D4&quot;/&gt;&lt;wsp:rsid wsp:val=&quot;009A281D&quot;/&gt;&lt;wsp:rsid wsp:val=&quot;009A28F3&quot;/&gt;&lt;wsp:rsid wsp:val=&quot;009A2966&quot;/&gt;&lt;wsp:rsid wsp:val=&quot;009A29ED&quot;/&gt;&lt;wsp:rsid wsp:val=&quot;009A2E40&quot;/&gt;&lt;wsp:rsid wsp:val=&quot;009A2F97&quot;/&gt;&lt;wsp:rsid wsp:val=&quot;009A31A2&quot;/&gt;&lt;wsp:rsid wsp:val=&quot;009A31CC&quot;/&gt;&lt;wsp:rsid wsp:val=&quot;009A332F&quot;/&gt;&lt;wsp:rsid wsp:val=&quot;009A3645&quot;/&gt;&lt;wsp:rsid wsp:val=&quot;009A36DD&quot;/&gt;&lt;wsp:rsid wsp:val=&quot;009A3C9E&quot;/&gt;&lt;wsp:rsid wsp:val=&quot;009A40A5&quot;/&gt;&lt;wsp:rsid wsp:val=&quot;009A410D&quot;/&gt;&lt;wsp:rsid wsp:val=&quot;009A4437&quot;/&gt;&lt;wsp:rsid wsp:val=&quot;009A4697&quot;/&gt;&lt;wsp:rsid wsp:val=&quot;009A469B&quot;/&gt;&lt;wsp:rsid wsp:val=&quot;009A481A&quot;/&gt;&lt;wsp:rsid wsp:val=&quot;009A486B&quot;/&gt;&lt;wsp:rsid wsp:val=&quot;009A4991&quot;/&gt;&lt;wsp:rsid wsp:val=&quot;009A4E8C&quot;/&gt;&lt;wsp:rsid wsp:val=&quot;009A4FE5&quot;/&gt;&lt;wsp:rsid wsp:val=&quot;009A5045&quot;/&gt;&lt;wsp:rsid wsp:val=&quot;009A528B&quot;/&gt;&lt;wsp:rsid wsp:val=&quot;009A53DA&quot;/&gt;&lt;wsp:rsid wsp:val=&quot;009A56BE&quot;/&gt;&lt;wsp:rsid wsp:val=&quot;009A5927&quot;/&gt;&lt;wsp:rsid wsp:val=&quot;009A5A41&quot;/&gt;&lt;wsp:rsid wsp:val=&quot;009A5C42&quot;/&gt;&lt;wsp:rsid wsp:val=&quot;009A5D9C&quot;/&gt;&lt;wsp:rsid wsp:val=&quot;009A5DB4&quot;/&gt;&lt;wsp:rsid wsp:val=&quot;009A5FD5&quot;/&gt;&lt;wsp:rsid wsp:val=&quot;009A6181&quot;/&gt;&lt;wsp:rsid wsp:val=&quot;009A6481&quot;/&gt;&lt;wsp:rsid wsp:val=&quot;009A6528&quot;/&gt;&lt;wsp:rsid wsp:val=&quot;009A713A&quot;/&gt;&lt;wsp:rsid wsp:val=&quot;009A718C&quot;/&gt;&lt;wsp:rsid wsp:val=&quot;009A73A7&quot;/&gt;&lt;wsp:rsid wsp:val=&quot;009A79BB&quot;/&gt;&lt;wsp:rsid wsp:val=&quot;009A7AE9&quot;/&gt;&lt;wsp:rsid wsp:val=&quot;009A7B41&quot;/&gt;&lt;wsp:rsid wsp:val=&quot;009A7BDD&quot;/&gt;&lt;wsp:rsid wsp:val=&quot;009A7C03&quot;/&gt;&lt;wsp:rsid wsp:val=&quot;009B0021&quot;/&gt;&lt;wsp:rsid wsp:val=&quot;009B0668&quot;/&gt;&lt;wsp:rsid wsp:val=&quot;009B06C1&quot;/&gt;&lt;wsp:rsid wsp:val=&quot;009B072B&quot;/&gt;&lt;wsp:rsid wsp:val=&quot;009B0739&quot;/&gt;&lt;wsp:rsid wsp:val=&quot;009B0A49&quot;/&gt;&lt;wsp:rsid wsp:val=&quot;009B0D24&quot;/&gt;&lt;wsp:rsid wsp:val=&quot;009B0E20&quot;/&gt;&lt;wsp:rsid wsp:val=&quot;009B1A70&quot;/&gt;&lt;wsp:rsid wsp:val=&quot;009B1A76&quot;/&gt;&lt;wsp:rsid wsp:val=&quot;009B1B7F&quot;/&gt;&lt;wsp:rsid wsp:val=&quot;009B1B80&quot;/&gt;&lt;wsp:rsid wsp:val=&quot;009B1D51&quot;/&gt;&lt;wsp:rsid wsp:val=&quot;009B1F1C&quot;/&gt;&lt;wsp:rsid wsp:val=&quot;009B1F68&quot;/&gt;&lt;wsp:rsid wsp:val=&quot;009B22A8&quot;/&gt;&lt;wsp:rsid wsp:val=&quot;009B22EA&quot;/&gt;&lt;wsp:rsid wsp:val=&quot;009B23A0&quot;/&gt;&lt;wsp:rsid wsp:val=&quot;009B2607&quot;/&gt;&lt;wsp:rsid wsp:val=&quot;009B2653&quot;/&gt;&lt;wsp:rsid wsp:val=&quot;009B2723&quot;/&gt;&lt;wsp:rsid wsp:val=&quot;009B28EA&quot;/&gt;&lt;wsp:rsid wsp:val=&quot;009B2A17&quot;/&gt;&lt;wsp:rsid wsp:val=&quot;009B2DAF&quot;/&gt;&lt;wsp:rsid wsp:val=&quot;009B3275&quot;/&gt;&lt;wsp:rsid wsp:val=&quot;009B340E&quot;/&gt;&lt;wsp:rsid wsp:val=&quot;009B3550&quot;/&gt;&lt;wsp:rsid wsp:val=&quot;009B3567&quot;/&gt;&lt;wsp:rsid wsp:val=&quot;009B3768&quot;/&gt;&lt;wsp:rsid wsp:val=&quot;009B3837&quot;/&gt;&lt;wsp:rsid wsp:val=&quot;009B38B0&quot;/&gt;&lt;wsp:rsid wsp:val=&quot;009B38D5&quot;/&gt;&lt;wsp:rsid wsp:val=&quot;009B3AC4&quot;/&gt;&lt;wsp:rsid wsp:val=&quot;009B3CA2&quot;/&gt;&lt;wsp:rsid wsp:val=&quot;009B419D&quot;/&gt;&lt;wsp:rsid wsp:val=&quot;009B45CB&quot;/&gt;&lt;wsp:rsid wsp:val=&quot;009B466F&quot;/&gt;&lt;wsp:rsid wsp:val=&quot;009B4893&quot;/&gt;&lt;wsp:rsid wsp:val=&quot;009B4E0F&quot;/&gt;&lt;wsp:rsid wsp:val=&quot;009B51E3&quot;/&gt;&lt;wsp:rsid wsp:val=&quot;009B53A3&quot;/&gt;&lt;wsp:rsid wsp:val=&quot;009B56A1&quot;/&gt;&lt;wsp:rsid wsp:val=&quot;009B5D2C&quot;/&gt;&lt;wsp:rsid wsp:val=&quot;009B6295&quot;/&gt;&lt;wsp:rsid wsp:val=&quot;009B6418&quot;/&gt;&lt;wsp:rsid wsp:val=&quot;009B6551&quot;/&gt;&lt;wsp:rsid wsp:val=&quot;009B6744&quot;/&gt;&lt;wsp:rsid wsp:val=&quot;009B6876&quot;/&gt;&lt;wsp:rsid wsp:val=&quot;009B6AB7&quot;/&gt;&lt;wsp:rsid wsp:val=&quot;009B6DF2&quot;/&gt;&lt;wsp:rsid wsp:val=&quot;009B6FB4&quot;/&gt;&lt;wsp:rsid wsp:val=&quot;009B716C&quot;/&gt;&lt;wsp:rsid wsp:val=&quot;009B75DB&quot;/&gt;&lt;wsp:rsid wsp:val=&quot;009B7B18&quot;/&gt;&lt;wsp:rsid wsp:val=&quot;009B7B5C&quot;/&gt;&lt;wsp:rsid wsp:val=&quot;009B7E5F&quot;/&gt;&lt;wsp:rsid wsp:val=&quot;009C0240&quot;/&gt;&lt;wsp:rsid wsp:val=&quot;009C07C7&quot;/&gt;&lt;wsp:rsid wsp:val=&quot;009C07E1&quot;/&gt;&lt;wsp:rsid wsp:val=&quot;009C09D5&quot;/&gt;&lt;wsp:rsid wsp:val=&quot;009C0AB5&quot;/&gt;&lt;wsp:rsid wsp:val=&quot;009C0DE1&quot;/&gt;&lt;wsp:rsid wsp:val=&quot;009C0F38&quot;/&gt;&lt;wsp:rsid wsp:val=&quot;009C13BC&quot;/&gt;&lt;wsp:rsid wsp:val=&quot;009C1458&quot;/&gt;&lt;wsp:rsid wsp:val=&quot;009C15F0&quot;/&gt;&lt;wsp:rsid wsp:val=&quot;009C1A74&quot;/&gt;&lt;wsp:rsid wsp:val=&quot;009C1F29&quot;/&gt;&lt;wsp:rsid wsp:val=&quot;009C1FAF&quot;/&gt;&lt;wsp:rsid wsp:val=&quot;009C24FE&quot;/&gt;&lt;wsp:rsid wsp:val=&quot;009C2551&quot;/&gt;&lt;wsp:rsid wsp:val=&quot;009C29FE&quot;/&gt;&lt;wsp:rsid wsp:val=&quot;009C2AEC&quot;/&gt;&lt;wsp:rsid wsp:val=&quot;009C2DE6&quot;/&gt;&lt;wsp:rsid wsp:val=&quot;009C33EB&quot;/&gt;&lt;wsp:rsid wsp:val=&quot;009C37C8&quot;/&gt;&lt;wsp:rsid wsp:val=&quot;009C3884&quot;/&gt;&lt;wsp:rsid wsp:val=&quot;009C38B4&quot;/&gt;&lt;wsp:rsid wsp:val=&quot;009C3ADA&quot;/&gt;&lt;wsp:rsid wsp:val=&quot;009C4CE3&quot;/&gt;&lt;wsp:rsid wsp:val=&quot;009C503E&quot;/&gt;&lt;wsp:rsid wsp:val=&quot;009C50F2&quot;/&gt;&lt;wsp:rsid wsp:val=&quot;009C5596&quot;/&gt;&lt;wsp:rsid wsp:val=&quot;009C5AEA&quot;/&gt;&lt;wsp:rsid wsp:val=&quot;009C5BA9&quot;/&gt;&lt;wsp:rsid wsp:val=&quot;009C5DA3&quot;/&gt;&lt;wsp:rsid wsp:val=&quot;009C5F37&quot;/&gt;&lt;wsp:rsid wsp:val=&quot;009C5FDF&quot;/&gt;&lt;wsp:rsid wsp:val=&quot;009C6216&quot;/&gt;&lt;wsp:rsid wsp:val=&quot;009C626A&quot;/&gt;&lt;wsp:rsid wsp:val=&quot;009C652D&quot;/&gt;&lt;wsp:rsid wsp:val=&quot;009C6723&quot;/&gt;&lt;wsp:rsid wsp:val=&quot;009C6B10&quot;/&gt;&lt;wsp:rsid wsp:val=&quot;009C6C63&quot;/&gt;&lt;wsp:rsid wsp:val=&quot;009C7036&quot;/&gt;&lt;wsp:rsid wsp:val=&quot;009C706E&quot;/&gt;&lt;wsp:rsid wsp:val=&quot;009C7089&quot;/&gt;&lt;wsp:rsid wsp:val=&quot;009C7185&quot;/&gt;&lt;wsp:rsid wsp:val=&quot;009C74D4&quot;/&gt;&lt;wsp:rsid wsp:val=&quot;009C7A75&quot;/&gt;&lt;wsp:rsid wsp:val=&quot;009C7CB0&quot;/&gt;&lt;wsp:rsid wsp:val=&quot;009C7F96&quot;/&gt;&lt;wsp:rsid wsp:val=&quot;009D013D&quot;/&gt;&lt;wsp:rsid wsp:val=&quot;009D0384&quot;/&gt;&lt;wsp:rsid wsp:val=&quot;009D0502&quot;/&gt;&lt;wsp:rsid wsp:val=&quot;009D05D8&quot;/&gt;&lt;wsp:rsid wsp:val=&quot;009D0A1E&quot;/&gt;&lt;wsp:rsid wsp:val=&quot;009D0B78&quot;/&gt;&lt;wsp:rsid wsp:val=&quot;009D0D53&quot;/&gt;&lt;wsp:rsid wsp:val=&quot;009D1276&quot;/&gt;&lt;wsp:rsid wsp:val=&quot;009D151E&quot;/&gt;&lt;wsp:rsid wsp:val=&quot;009D15F8&quot;/&gt;&lt;wsp:rsid wsp:val=&quot;009D1745&quot;/&gt;&lt;wsp:rsid wsp:val=&quot;009D1B62&quot;/&gt;&lt;wsp:rsid wsp:val=&quot;009D1C06&quot;/&gt;&lt;wsp:rsid wsp:val=&quot;009D1C4E&quot;/&gt;&lt;wsp:rsid wsp:val=&quot;009D1EF1&quot;/&gt;&lt;wsp:rsid wsp:val=&quot;009D2187&quot;/&gt;&lt;wsp:rsid wsp:val=&quot;009D21BA&quot;/&gt;&lt;wsp:rsid wsp:val=&quot;009D2A7E&quot;/&gt;&lt;wsp:rsid wsp:val=&quot;009D2B6E&quot;/&gt;&lt;wsp:rsid wsp:val=&quot;009D2F61&quot;/&gt;&lt;wsp:rsid wsp:val=&quot;009D31DD&quot;/&gt;&lt;wsp:rsid wsp:val=&quot;009D32CC&quot;/&gt;&lt;wsp:rsid wsp:val=&quot;009D35CD&quot;/&gt;&lt;wsp:rsid wsp:val=&quot;009D37C1&quot;/&gt;&lt;wsp:rsid wsp:val=&quot;009D3A17&quot;/&gt;&lt;wsp:rsid wsp:val=&quot;009D3B06&quot;/&gt;&lt;wsp:rsid wsp:val=&quot;009D3BCE&quot;/&gt;&lt;wsp:rsid wsp:val=&quot;009D3E2B&quot;/&gt;&lt;wsp:rsid wsp:val=&quot;009D3F6E&quot;/&gt;&lt;wsp:rsid wsp:val=&quot;009D4132&quot;/&gt;&lt;wsp:rsid wsp:val=&quot;009D41CC&quot;/&gt;&lt;wsp:rsid wsp:val=&quot;009D4347&quot;/&gt;&lt;wsp:rsid wsp:val=&quot;009D4359&quot;/&gt;&lt;wsp:rsid wsp:val=&quot;009D45CC&quot;/&gt;&lt;wsp:rsid wsp:val=&quot;009D488B&quot;/&gt;&lt;wsp:rsid wsp:val=&quot;009D494D&quot;/&gt;&lt;wsp:rsid wsp:val=&quot;009D4C88&quot;/&gt;&lt;wsp:rsid wsp:val=&quot;009D4CAB&quot;/&gt;&lt;wsp:rsid wsp:val=&quot;009D4CEE&quot;/&gt;&lt;wsp:rsid wsp:val=&quot;009D50DF&quot;/&gt;&lt;wsp:rsid wsp:val=&quot;009D534E&quot;/&gt;&lt;wsp:rsid wsp:val=&quot;009D53C9&quot;/&gt;&lt;wsp:rsid wsp:val=&quot;009D556A&quot;/&gt;&lt;wsp:rsid wsp:val=&quot;009D6016&quot;/&gt;&lt;wsp:rsid wsp:val=&quot;009D667C&quot;/&gt;&lt;wsp:rsid wsp:val=&quot;009D6A12&quot;/&gt;&lt;wsp:rsid wsp:val=&quot;009D6A49&quot;/&gt;&lt;wsp:rsid wsp:val=&quot;009D6B23&quot;/&gt;&lt;wsp:rsid wsp:val=&quot;009D6B2B&quot;/&gt;&lt;wsp:rsid wsp:val=&quot;009D6CA6&quot;/&gt;&lt;wsp:rsid wsp:val=&quot;009D6FB0&quot;/&gt;&lt;wsp:rsid wsp:val=&quot;009D7403&quot;/&gt;&lt;wsp:rsid wsp:val=&quot;009D757F&quot;/&gt;&lt;wsp:rsid wsp:val=&quot;009D7960&quot;/&gt;&lt;wsp:rsid wsp:val=&quot;009D7C43&quot;/&gt;&lt;wsp:rsid wsp:val=&quot;009D7EAD&quot;/&gt;&lt;wsp:rsid wsp:val=&quot;009E003A&quot;/&gt;&lt;wsp:rsid wsp:val=&quot;009E00CE&quot;/&gt;&lt;wsp:rsid wsp:val=&quot;009E0216&quot;/&gt;&lt;wsp:rsid wsp:val=&quot;009E038B&quot;/&gt;&lt;wsp:rsid wsp:val=&quot;009E06BD&quot;/&gt;&lt;wsp:rsid wsp:val=&quot;009E0B03&quot;/&gt;&lt;wsp:rsid wsp:val=&quot;009E0BDB&quot;/&gt;&lt;wsp:rsid wsp:val=&quot;009E0CCA&quot;/&gt;&lt;wsp:rsid wsp:val=&quot;009E0DF8&quot;/&gt;&lt;wsp:rsid wsp:val=&quot;009E1247&quot;/&gt;&lt;wsp:rsid wsp:val=&quot;009E17B3&quot;/&gt;&lt;wsp:rsid wsp:val=&quot;009E1BD1&quot;/&gt;&lt;wsp:rsid wsp:val=&quot;009E20DE&quot;/&gt;&lt;wsp:rsid wsp:val=&quot;009E21F7&quot;/&gt;&lt;wsp:rsid wsp:val=&quot;009E2754&quot;/&gt;&lt;wsp:rsid wsp:val=&quot;009E2AF9&quot;/&gt;&lt;wsp:rsid wsp:val=&quot;009E2B5F&quot;/&gt;&lt;wsp:rsid wsp:val=&quot;009E2BD6&quot;/&gt;&lt;wsp:rsid wsp:val=&quot;009E2E35&quot;/&gt;&lt;wsp:rsid wsp:val=&quot;009E3478&quot;/&gt;&lt;wsp:rsid wsp:val=&quot;009E3CB1&quot;/&gt;&lt;wsp:rsid wsp:val=&quot;009E3D39&quot;/&gt;&lt;wsp:rsid wsp:val=&quot;009E42E8&quot;/&gt;&lt;wsp:rsid wsp:val=&quot;009E46F7&quot;/&gt;&lt;wsp:rsid wsp:val=&quot;009E49E2&quot;/&gt;&lt;wsp:rsid wsp:val=&quot;009E5131&quot;/&gt;&lt;wsp:rsid wsp:val=&quot;009E5717&quot;/&gt;&lt;wsp:rsid wsp:val=&quot;009E58FB&quot;/&gt;&lt;wsp:rsid wsp:val=&quot;009E5913&quot;/&gt;&lt;wsp:rsid wsp:val=&quot;009E59F0&quot;/&gt;&lt;wsp:rsid wsp:val=&quot;009E5A61&quot;/&gt;&lt;wsp:rsid wsp:val=&quot;009E5BFD&quot;/&gt;&lt;wsp:rsid wsp:val=&quot;009E5D53&quot;/&gt;&lt;wsp:rsid wsp:val=&quot;009E5EBD&quot;/&gt;&lt;wsp:rsid wsp:val=&quot;009E5FB3&quot;/&gt;&lt;wsp:rsid wsp:val=&quot;009E60EE&quot;/&gt;&lt;wsp:rsid wsp:val=&quot;009E624B&quot;/&gt;&lt;wsp:rsid wsp:val=&quot;009E62A1&quot;/&gt;&lt;wsp:rsid wsp:val=&quot;009E64CA&quot;/&gt;&lt;wsp:rsid wsp:val=&quot;009E6549&quot;/&gt;&lt;wsp:rsid wsp:val=&quot;009E6C07&quot;/&gt;&lt;wsp:rsid wsp:val=&quot;009E6DCE&quot;/&gt;&lt;wsp:rsid wsp:val=&quot;009E6EA3&quot;/&gt;&lt;wsp:rsid wsp:val=&quot;009E7037&quot;/&gt;&lt;wsp:rsid wsp:val=&quot;009E796C&quot;/&gt;&lt;wsp:rsid wsp:val=&quot;009E799F&quot;/&gt;&lt;wsp:rsid wsp:val=&quot;009E7A2E&quot;/&gt;&lt;wsp:rsid wsp:val=&quot;009E7F59&quot;/&gt;&lt;wsp:rsid wsp:val=&quot;009E7FB8&quot;/&gt;&lt;wsp:rsid wsp:val=&quot;009F0105&quot;/&gt;&lt;wsp:rsid wsp:val=&quot;009F0322&quot;/&gt;&lt;wsp:rsid wsp:val=&quot;009F12A3&quot;/&gt;&lt;wsp:rsid wsp:val=&quot;009F140F&quot;/&gt;&lt;wsp:rsid wsp:val=&quot;009F1445&quot;/&gt;&lt;wsp:rsid wsp:val=&quot;009F159B&quot;/&gt;&lt;wsp:rsid wsp:val=&quot;009F1786&quot;/&gt;&lt;wsp:rsid wsp:val=&quot;009F197F&quot;/&gt;&lt;wsp:rsid wsp:val=&quot;009F1B67&quot;/&gt;&lt;wsp:rsid wsp:val=&quot;009F1D81&quot;/&gt;&lt;wsp:rsid wsp:val=&quot;009F1DA8&quot;/&gt;&lt;wsp:rsid wsp:val=&quot;009F2301&quot;/&gt;&lt;wsp:rsid wsp:val=&quot;009F2374&quot;/&gt;&lt;wsp:rsid wsp:val=&quot;009F2EDC&quot;/&gt;&lt;wsp:rsid wsp:val=&quot;009F37A9&quot;/&gt;&lt;wsp:rsid wsp:val=&quot;009F3A42&quot;/&gt;&lt;wsp:rsid wsp:val=&quot;009F3DE8&quot;/&gt;&lt;wsp:rsid wsp:val=&quot;009F3F5E&quot;/&gt;&lt;wsp:rsid wsp:val=&quot;009F3F65&quot;/&gt;&lt;wsp:rsid wsp:val=&quot;009F449A&quot;/&gt;&lt;wsp:rsid wsp:val=&quot;009F46DB&quot;/&gt;&lt;wsp:rsid wsp:val=&quot;009F4D92&quot;/&gt;&lt;wsp:rsid wsp:val=&quot;009F4E37&quot;/&gt;&lt;wsp:rsid wsp:val=&quot;009F5271&quot;/&gt;&lt;wsp:rsid wsp:val=&quot;009F5563&quot;/&gt;&lt;wsp:rsid wsp:val=&quot;009F5954&quot;/&gt;&lt;wsp:rsid wsp:val=&quot;009F5B93&quot;/&gt;&lt;wsp:rsid wsp:val=&quot;009F5BE0&quot;/&gt;&lt;wsp:rsid wsp:val=&quot;009F5D80&quot;/&gt;&lt;wsp:rsid wsp:val=&quot;009F5E39&quot;/&gt;&lt;wsp:rsid wsp:val=&quot;009F60BD&quot;/&gt;&lt;wsp:rsid wsp:val=&quot;009F630A&quot;/&gt;&lt;wsp:rsid wsp:val=&quot;009F635B&quot;/&gt;&lt;wsp:rsid wsp:val=&quot;009F64A0&quot;/&gt;&lt;wsp:rsid wsp:val=&quot;009F6595&quot;/&gt;&lt;wsp:rsid wsp:val=&quot;009F668C&quot;/&gt;&lt;wsp:rsid wsp:val=&quot;009F67F0&quot;/&gt;&lt;wsp:rsid wsp:val=&quot;009F69E2&quot;/&gt;&lt;wsp:rsid wsp:val=&quot;009F6D8D&quot;/&gt;&lt;wsp:rsid wsp:val=&quot;009F6D94&quot;/&gt;&lt;wsp:rsid wsp:val=&quot;009F7B85&quot;/&gt;&lt;wsp:rsid wsp:val=&quot;00A000EA&quot;/&gt;&lt;wsp:rsid wsp:val=&quot;00A004A3&quot;/&gt;&lt;wsp:rsid wsp:val=&quot;00A006D8&quot;/&gt;&lt;wsp:rsid wsp:val=&quot;00A00BAC&quot;/&gt;&lt;wsp:rsid wsp:val=&quot;00A011CC&quot;/&gt;&lt;wsp:rsid wsp:val=&quot;00A01245&quot;/&gt;&lt;wsp:rsid wsp:val=&quot;00A01443&quot;/&gt;&lt;wsp:rsid wsp:val=&quot;00A01471&quot;/&gt;&lt;wsp:rsid wsp:val=&quot;00A014A0&quot;/&gt;&lt;wsp:rsid wsp:val=&quot;00A0167E&quot;/&gt;&lt;wsp:rsid wsp:val=&quot;00A01687&quot;/&gt;&lt;wsp:rsid wsp:val=&quot;00A01723&quot;/&gt;&lt;wsp:rsid wsp:val=&quot;00A018A2&quot;/&gt;&lt;wsp:rsid wsp:val=&quot;00A01B2E&quot;/&gt;&lt;wsp:rsid wsp:val=&quot;00A02267&quot;/&gt;&lt;wsp:rsid wsp:val=&quot;00A02385&quot;/&gt;&lt;wsp:rsid wsp:val=&quot;00A0251F&quot;/&gt;&lt;wsp:rsid wsp:val=&quot;00A028B3&quot;/&gt;&lt;wsp:rsid wsp:val=&quot;00A0297D&quot;/&gt;&lt;wsp:rsid wsp:val=&quot;00A029EE&quot;/&gt;&lt;wsp:rsid wsp:val=&quot;00A02BBF&quot;/&gt;&lt;wsp:rsid wsp:val=&quot;00A02ECB&quot;/&gt;&lt;wsp:rsid wsp:val=&quot;00A030B6&quot;/&gt;&lt;wsp:rsid wsp:val=&quot;00A03192&quot;/&gt;&lt;wsp:rsid wsp:val=&quot;00A036AB&quot;/&gt;&lt;wsp:rsid wsp:val=&quot;00A03C7F&quot;/&gt;&lt;wsp:rsid wsp:val=&quot;00A03DEF&quot;/&gt;&lt;wsp:rsid wsp:val=&quot;00A0408E&quot;/&gt;&lt;wsp:rsid wsp:val=&quot;00A040E5&quot;/&gt;&lt;wsp:rsid wsp:val=&quot;00A04134&quot;/&gt;&lt;wsp:rsid wsp:val=&quot;00A04966&quot;/&gt;&lt;wsp:rsid wsp:val=&quot;00A04F85&quot;/&gt;&lt;wsp:rsid wsp:val=&quot;00A054A1&quot;/&gt;&lt;wsp:rsid wsp:val=&quot;00A05687&quot;/&gt;&lt;wsp:rsid wsp:val=&quot;00A05B3F&quot;/&gt;&lt;wsp:rsid wsp:val=&quot;00A05F7A&quot;/&gt;&lt;wsp:rsid wsp:val=&quot;00A06006&quot;/&gt;&lt;wsp:rsid wsp:val=&quot;00A062BC&quot;/&gt;&lt;wsp:rsid wsp:val=&quot;00A064D4&quot;/&gt;&lt;wsp:rsid wsp:val=&quot;00A06664&quot;/&gt;&lt;wsp:rsid wsp:val=&quot;00A06795&quot;/&gt;&lt;wsp:rsid wsp:val=&quot;00A067DB&quot;/&gt;&lt;wsp:rsid wsp:val=&quot;00A06A68&quot;/&gt;&lt;wsp:rsid wsp:val=&quot;00A06BF4&quot;/&gt;&lt;wsp:rsid wsp:val=&quot;00A06CDE&quot;/&gt;&lt;wsp:rsid wsp:val=&quot;00A06D41&quot;/&gt;&lt;wsp:rsid wsp:val=&quot;00A06E78&quot;/&gt;&lt;wsp:rsid wsp:val=&quot;00A06F64&quot;/&gt;&lt;wsp:rsid wsp:val=&quot;00A070F3&quot;/&gt;&lt;wsp:rsid wsp:val=&quot;00A0712B&quot;/&gt;&lt;wsp:rsid wsp:val=&quot;00A07414&quot;/&gt;&lt;wsp:rsid wsp:val=&quot;00A075F8&quot;/&gt;&lt;wsp:rsid wsp:val=&quot;00A076F5&quot;/&gt;&lt;wsp:rsid wsp:val=&quot;00A079DC&quot;/&gt;&lt;wsp:rsid wsp:val=&quot;00A07ACE&quot;/&gt;&lt;wsp:rsid wsp:val=&quot;00A07FC2&quot;/&gt;&lt;wsp:rsid wsp:val=&quot;00A07FCD&quot;/&gt;&lt;wsp:rsid wsp:val=&quot;00A104AF&quot;/&gt;&lt;wsp:rsid wsp:val=&quot;00A106AA&quot;/&gt;&lt;wsp:rsid wsp:val=&quot;00A1096F&quot;/&gt;&lt;wsp:rsid wsp:val=&quot;00A10AE7&quot;/&gt;&lt;wsp:rsid wsp:val=&quot;00A11509&quot;/&gt;&lt;wsp:rsid wsp:val=&quot;00A115FB&quot;/&gt;&lt;wsp:rsid wsp:val=&quot;00A119A7&quot;/&gt;&lt;wsp:rsid wsp:val=&quot;00A11DE4&quot;/&gt;&lt;wsp:rsid wsp:val=&quot;00A11EA0&quot;/&gt;&lt;wsp:rsid wsp:val=&quot;00A120C3&quot;/&gt;&lt;wsp:rsid wsp:val=&quot;00A1219F&quot;/&gt;&lt;wsp:rsid wsp:val=&quot;00A121EC&quot;/&gt;&lt;wsp:rsid wsp:val=&quot;00A122E1&quot;/&gt;&lt;wsp:rsid wsp:val=&quot;00A12446&quot;/&gt;&lt;wsp:rsid wsp:val=&quot;00A12896&quot;/&gt;&lt;wsp:rsid wsp:val=&quot;00A12C1C&quot;/&gt;&lt;wsp:rsid wsp:val=&quot;00A12E67&quot;/&gt;&lt;wsp:rsid wsp:val=&quot;00A12FD6&quot;/&gt;&lt;wsp:rsid wsp:val=&quot;00A136E3&quot;/&gt;&lt;wsp:rsid wsp:val=&quot;00A13851&quot;/&gt;&lt;wsp:rsid wsp:val=&quot;00A13AAF&quot;/&gt;&lt;wsp:rsid wsp:val=&quot;00A142B0&quot;/&gt;&lt;wsp:rsid wsp:val=&quot;00A1431E&quot;/&gt;&lt;wsp:rsid wsp:val=&quot;00A147A1&quot;/&gt;&lt;wsp:rsid wsp:val=&quot;00A14F53&quot;/&gt;&lt;wsp:rsid wsp:val=&quot;00A150D0&quot;/&gt;&lt;wsp:rsid wsp:val=&quot;00A153A6&quot;/&gt;&lt;wsp:rsid wsp:val=&quot;00A15865&quot;/&gt;&lt;wsp:rsid wsp:val=&quot;00A15D9D&quot;/&gt;&lt;wsp:rsid wsp:val=&quot;00A16018&quot;/&gt;&lt;wsp:rsid wsp:val=&quot;00A1622D&quot;/&gt;&lt;wsp:rsid wsp:val=&quot;00A16808&quot;/&gt;&lt;wsp:rsid wsp:val=&quot;00A16BB9&quot;/&gt;&lt;wsp:rsid wsp:val=&quot;00A16BC5&quot;/&gt;&lt;wsp:rsid wsp:val=&quot;00A17111&quot;/&gt;&lt;wsp:rsid wsp:val=&quot;00A1760D&quot;/&gt;&lt;wsp:rsid wsp:val=&quot;00A17740&quot;/&gt;&lt;wsp:rsid wsp:val=&quot;00A17BC1&quot;/&gt;&lt;wsp:rsid wsp:val=&quot;00A17C5B&quot;/&gt;&lt;wsp:rsid wsp:val=&quot;00A17F92&quot;/&gt;&lt;wsp:rsid wsp:val=&quot;00A20072&quot;/&gt;&lt;wsp:rsid wsp:val=&quot;00A205BF&quot;/&gt;&lt;wsp:rsid wsp:val=&quot;00A20733&quot;/&gt;&lt;wsp:rsid wsp:val=&quot;00A20A1A&quot;/&gt;&lt;wsp:rsid wsp:val=&quot;00A20AEE&quot;/&gt;&lt;wsp:rsid wsp:val=&quot;00A20D77&quot;/&gt;&lt;wsp:rsid wsp:val=&quot;00A214E8&quot;/&gt;&lt;wsp:rsid wsp:val=&quot;00A2183E&quot;/&gt;&lt;wsp:rsid wsp:val=&quot;00A218CA&quot;/&gt;&lt;wsp:rsid wsp:val=&quot;00A21F64&quot;/&gt;&lt;wsp:rsid wsp:val=&quot;00A225BE&quot;/&gt;&lt;wsp:rsid wsp:val=&quot;00A2271F&quot;/&gt;&lt;wsp:rsid wsp:val=&quot;00A22B12&quot;/&gt;&lt;wsp:rsid wsp:val=&quot;00A22B17&quot;/&gt;&lt;wsp:rsid wsp:val=&quot;00A22EBB&quot;/&gt;&lt;wsp:rsid wsp:val=&quot;00A22F1E&quot;/&gt;&lt;wsp:rsid wsp:val=&quot;00A22F45&quot;/&gt;&lt;wsp:rsid wsp:val=&quot;00A2304A&quot;/&gt;&lt;wsp:rsid wsp:val=&quot;00A231BA&quot;/&gt;&lt;wsp:rsid wsp:val=&quot;00A231D0&quot;/&gt;&lt;wsp:rsid wsp:val=&quot;00A2328C&quot;/&gt;&lt;wsp:rsid wsp:val=&quot;00A233B6&quot;/&gt;&lt;wsp:rsid wsp:val=&quot;00A2353F&quot;/&gt;&lt;wsp:rsid wsp:val=&quot;00A23816&quot;/&gt;&lt;wsp:rsid wsp:val=&quot;00A23A87&quot;/&gt;&lt;wsp:rsid wsp:val=&quot;00A23BBB&quot;/&gt;&lt;wsp:rsid wsp:val=&quot;00A23EDE&quot;/&gt;&lt;wsp:rsid wsp:val=&quot;00A24295&quot;/&gt;&lt;wsp:rsid wsp:val=&quot;00A2431E&quot;/&gt;&lt;wsp:rsid wsp:val=&quot;00A2439C&quot;/&gt;&lt;wsp:rsid wsp:val=&quot;00A24469&quot;/&gt;&lt;wsp:rsid wsp:val=&quot;00A244AF&quot;/&gt;&lt;wsp:rsid wsp:val=&quot;00A2457A&quot;/&gt;&lt;wsp:rsid wsp:val=&quot;00A248B6&quot;/&gt;&lt;wsp:rsid wsp:val=&quot;00A24A37&quot;/&gt;&lt;wsp:rsid wsp:val=&quot;00A24A6B&quot;/&gt;&lt;wsp:rsid wsp:val=&quot;00A24C05&quot;/&gt;&lt;wsp:rsid wsp:val=&quot;00A24E0D&quot;/&gt;&lt;wsp:rsid wsp:val=&quot;00A250F4&quot;/&gt;&lt;wsp:rsid wsp:val=&quot;00A2549F&quot;/&gt;&lt;wsp:rsid wsp:val=&quot;00A25E35&quot;/&gt;&lt;wsp:rsid wsp:val=&quot;00A25F02&quot;/&gt;&lt;wsp:rsid wsp:val=&quot;00A26542&quot;/&gt;&lt;wsp:rsid wsp:val=&quot;00A267F8&quot;/&gt;&lt;wsp:rsid wsp:val=&quot;00A26871&quot;/&gt;&lt;wsp:rsid wsp:val=&quot;00A26950&quot;/&gt;&lt;wsp:rsid wsp:val=&quot;00A26D2F&quot;/&gt;&lt;wsp:rsid wsp:val=&quot;00A271B8&quot;/&gt;&lt;wsp:rsid wsp:val=&quot;00A2728E&quot;/&gt;&lt;wsp:rsid wsp:val=&quot;00A272FC&quot;/&gt;&lt;wsp:rsid wsp:val=&quot;00A279FE&quot;/&gt;&lt;wsp:rsid wsp:val=&quot;00A27D72&quot;/&gt;&lt;wsp:rsid wsp:val=&quot;00A27FF1&quot;/&gt;&lt;wsp:rsid wsp:val=&quot;00A3034F&quot;/&gt;&lt;wsp:rsid wsp:val=&quot;00A30538&quot;/&gt;&lt;wsp:rsid wsp:val=&quot;00A30A8B&quot;/&gt;&lt;wsp:rsid wsp:val=&quot;00A30C4B&quot;/&gt;&lt;wsp:rsid wsp:val=&quot;00A30DDB&quot;/&gt;&lt;wsp:rsid wsp:val=&quot;00A30F3D&quot;/&gt;&lt;wsp:rsid wsp:val=&quot;00A30FF3&quot;/&gt;&lt;wsp:rsid wsp:val=&quot;00A31151&quot;/&gt;&lt;wsp:rsid wsp:val=&quot;00A315C0&quot;/&gt;&lt;wsp:rsid wsp:val=&quot;00A31728&quot;/&gt;&lt;wsp:rsid wsp:val=&quot;00A317D6&quot;/&gt;&lt;wsp:rsid wsp:val=&quot;00A31830&quot;/&gt;&lt;wsp:rsid wsp:val=&quot;00A318CD&quot;/&gt;&lt;wsp:rsid wsp:val=&quot;00A31970&quot;/&gt;&lt;wsp:rsid wsp:val=&quot;00A31A6D&quot;/&gt;&lt;wsp:rsid wsp:val=&quot;00A31AF3&quot;/&gt;&lt;wsp:rsid wsp:val=&quot;00A31E1F&quot;/&gt;&lt;wsp:rsid wsp:val=&quot;00A3210F&quot;/&gt;&lt;wsp:rsid wsp:val=&quot;00A32309&quot;/&gt;&lt;wsp:rsid wsp:val=&quot;00A32710&quot;/&gt;&lt;wsp:rsid wsp:val=&quot;00A3276B&quot;/&gt;&lt;wsp:rsid wsp:val=&quot;00A32874&quot;/&gt;&lt;wsp:rsid wsp:val=&quot;00A32CD0&quot;/&gt;&lt;wsp:rsid wsp:val=&quot;00A32D33&quot;/&gt;&lt;wsp:rsid wsp:val=&quot;00A3305A&quot;/&gt;&lt;wsp:rsid wsp:val=&quot;00A331EC&quot;/&gt;&lt;wsp:rsid wsp:val=&quot;00A332A6&quot;/&gt;&lt;wsp:rsid wsp:val=&quot;00A3330D&quot;/&gt;&lt;wsp:rsid wsp:val=&quot;00A334A6&quot;/&gt;&lt;wsp:rsid wsp:val=&quot;00A334C0&quot;/&gt;&lt;wsp:rsid wsp:val=&quot;00A3361E&quot;/&gt;&lt;wsp:rsid wsp:val=&quot;00A337BE&quot;/&gt;&lt;wsp:rsid wsp:val=&quot;00A33996&quot;/&gt;&lt;wsp:rsid wsp:val=&quot;00A33B11&quot;/&gt;&lt;wsp:rsid wsp:val=&quot;00A33BCE&quot;/&gt;&lt;wsp:rsid wsp:val=&quot;00A33C5A&quot;/&gt;&lt;wsp:rsid wsp:val=&quot;00A33C6F&quot;/&gt;&lt;wsp:rsid wsp:val=&quot;00A33C9D&quot;/&gt;&lt;wsp:rsid wsp:val=&quot;00A34261&quot;/&gt;&lt;wsp:rsid wsp:val=&quot;00A345C8&quot;/&gt;&lt;wsp:rsid wsp:val=&quot;00A349D1&quot;/&gt;&lt;wsp:rsid wsp:val=&quot;00A34BD7&quot;/&gt;&lt;wsp:rsid wsp:val=&quot;00A34FD3&quot;/&gt;&lt;wsp:rsid wsp:val=&quot;00A35017&quot;/&gt;&lt;wsp:rsid wsp:val=&quot;00A350B5&quot;/&gt;&lt;wsp:rsid wsp:val=&quot;00A35144&quot;/&gt;&lt;wsp:rsid wsp:val=&quot;00A35191&quot;/&gt;&lt;wsp:rsid wsp:val=&quot;00A3524A&quot;/&gt;&lt;wsp:rsid wsp:val=&quot;00A35446&quot;/&gt;&lt;wsp:rsid wsp:val=&quot;00A3565A&quot;/&gt;&lt;wsp:rsid wsp:val=&quot;00A3582F&quot;/&gt;&lt;wsp:rsid wsp:val=&quot;00A3588A&quot;/&gt;&lt;wsp:rsid wsp:val=&quot;00A35D3F&quot;/&gt;&lt;wsp:rsid wsp:val=&quot;00A362DB&quot;/&gt;&lt;wsp:rsid wsp:val=&quot;00A36CC4&quot;/&gt;&lt;wsp:rsid wsp:val=&quot;00A36E3E&quot;/&gt;&lt;wsp:rsid wsp:val=&quot;00A36E68&quot;/&gt;&lt;wsp:rsid wsp:val=&quot;00A370AA&quot;/&gt;&lt;wsp:rsid wsp:val=&quot;00A3741A&quot;/&gt;&lt;wsp:rsid wsp:val=&quot;00A377EC&quot;/&gt;&lt;wsp:rsid wsp:val=&quot;00A37B56&quot;/&gt;&lt;wsp:rsid wsp:val=&quot;00A37D2B&quot;/&gt;&lt;wsp:rsid wsp:val=&quot;00A37D6F&quot;/&gt;&lt;wsp:rsid wsp:val=&quot;00A37DDD&quot;/&gt;&lt;wsp:rsid wsp:val=&quot;00A37F4E&quot;/&gt;&lt;wsp:rsid wsp:val=&quot;00A409DE&quot;/&gt;&lt;wsp:rsid wsp:val=&quot;00A40BCE&quot;/&gt;&lt;wsp:rsid wsp:val=&quot;00A40BFC&quot;/&gt;&lt;wsp:rsid wsp:val=&quot;00A40D21&quot;/&gt;&lt;wsp:rsid wsp:val=&quot;00A40F7F&quot;/&gt;&lt;wsp:rsid wsp:val=&quot;00A410FB&quot;/&gt;&lt;wsp:rsid wsp:val=&quot;00A418E4&quot;/&gt;&lt;wsp:rsid wsp:val=&quot;00A419B2&quot;/&gt;&lt;wsp:rsid wsp:val=&quot;00A419ED&quot;/&gt;&lt;wsp:rsid wsp:val=&quot;00A41CAD&quot;/&gt;&lt;wsp:rsid wsp:val=&quot;00A41E81&quot;/&gt;&lt;wsp:rsid wsp:val=&quot;00A420F4&quot;/&gt;&lt;wsp:rsid wsp:val=&quot;00A42101&quot;/&gt;&lt;wsp:rsid wsp:val=&quot;00A4213D&quot;/&gt;&lt;wsp:rsid wsp:val=&quot;00A4223B&quot;/&gt;&lt;wsp:rsid wsp:val=&quot;00A42293&quot;/&gt;&lt;wsp:rsid wsp:val=&quot;00A42341&quot;/&gt;&lt;wsp:rsid wsp:val=&quot;00A42474&quot;/&gt;&lt;wsp:rsid wsp:val=&quot;00A4264B&quot;/&gt;&lt;wsp:rsid wsp:val=&quot;00A42727&quot;/&gt;&lt;wsp:rsid wsp:val=&quot;00A429C5&quot;/&gt;&lt;wsp:rsid wsp:val=&quot;00A42A52&quot;/&gt;&lt;wsp:rsid wsp:val=&quot;00A42D03&quot;/&gt;&lt;wsp:rsid wsp:val=&quot;00A432AB&quot;/&gt;&lt;wsp:rsid wsp:val=&quot;00A43343&quot;/&gt;&lt;wsp:rsid wsp:val=&quot;00A433D1&quot;/&gt;&lt;wsp:rsid wsp:val=&quot;00A43919&quot;/&gt;&lt;wsp:rsid wsp:val=&quot;00A43A6F&quot;/&gt;&lt;wsp:rsid wsp:val=&quot;00A43ACB&quot;/&gt;&lt;wsp:rsid wsp:val=&quot;00A44048&quot;/&gt;&lt;wsp:rsid wsp:val=&quot;00A446BA&quot;/&gt;&lt;wsp:rsid wsp:val=&quot;00A448C8&quot;/&gt;&lt;wsp:rsid wsp:val=&quot;00A44CBA&quot;/&gt;&lt;wsp:rsid wsp:val=&quot;00A44F75&quot;/&gt;&lt;wsp:rsid wsp:val=&quot;00A44FF9&quot;/&gt;&lt;wsp:rsid wsp:val=&quot;00A4517D&quot;/&gt;&lt;wsp:rsid wsp:val=&quot;00A45311&quot;/&gt;&lt;wsp:rsid wsp:val=&quot;00A45394&quot;/&gt;&lt;wsp:rsid wsp:val=&quot;00A4566B&quot;/&gt;&lt;wsp:rsid wsp:val=&quot;00A4567E&quot;/&gt;&lt;wsp:rsid wsp:val=&quot;00A4574C&quot;/&gt;&lt;wsp:rsid wsp:val=&quot;00A45865&quot;/&gt;&lt;wsp:rsid wsp:val=&quot;00A45D3B&quot;/&gt;&lt;wsp:rsid wsp:val=&quot;00A46005&quot;/&gt;&lt;wsp:rsid wsp:val=&quot;00A46584&quot;/&gt;&lt;wsp:rsid wsp:val=&quot;00A46680&quot;/&gt;&lt;wsp:rsid wsp:val=&quot;00A466F4&quot;/&gt;&lt;wsp:rsid wsp:val=&quot;00A468B9&quot;/&gt;&lt;wsp:rsid wsp:val=&quot;00A470DA&quot;/&gt;&lt;wsp:rsid wsp:val=&quot;00A474A0&quot;/&gt;&lt;wsp:rsid wsp:val=&quot;00A4767B&quot;/&gt;&lt;wsp:rsid wsp:val=&quot;00A4767C&quot;/&gt;&lt;wsp:rsid wsp:val=&quot;00A477CC&quot;/&gt;&lt;wsp:rsid wsp:val=&quot;00A4783B&quot;/&gt;&lt;wsp:rsid wsp:val=&quot;00A478DF&quot;/&gt;&lt;wsp:rsid wsp:val=&quot;00A47E27&quot;/&gt;&lt;wsp:rsid wsp:val=&quot;00A47E31&quot;/&gt;&lt;wsp:rsid wsp:val=&quot;00A47EE6&quot;/&gt;&lt;wsp:rsid wsp:val=&quot;00A5024A&quot;/&gt;&lt;wsp:rsid wsp:val=&quot;00A502A4&quot;/&gt;&lt;wsp:rsid wsp:val=&quot;00A5062E&quot;/&gt;&lt;wsp:rsid wsp:val=&quot;00A5063E&quot;/&gt;&lt;wsp:rsid wsp:val=&quot;00A50765&quot;/&gt;&lt;wsp:rsid wsp:val=&quot;00A507D1&quot;/&gt;&lt;wsp:rsid wsp:val=&quot;00A5098B&quot;/&gt;&lt;wsp:rsid wsp:val=&quot;00A509A3&quot;/&gt;&lt;wsp:rsid wsp:val=&quot;00A50C32&quot;/&gt;&lt;wsp:rsid wsp:val=&quot;00A50EA4&quot;/&gt;&lt;wsp:rsid wsp:val=&quot;00A50ECC&quot;/&gt;&lt;wsp:rsid wsp:val=&quot;00A50F8E&quot;/&gt;&lt;wsp:rsid wsp:val=&quot;00A51A0B&quot;/&gt;&lt;wsp:rsid wsp:val=&quot;00A51AF6&quot;/&gt;&lt;wsp:rsid wsp:val=&quot;00A51CC3&quot;/&gt;&lt;wsp:rsid wsp:val=&quot;00A51EFC&quot;/&gt;&lt;wsp:rsid wsp:val=&quot;00A52096&quot;/&gt;&lt;wsp:rsid wsp:val=&quot;00A520B4&quot;/&gt;&lt;wsp:rsid wsp:val=&quot;00A522CB&quot;/&gt;&lt;wsp:rsid wsp:val=&quot;00A52680&quot;/&gt;&lt;wsp:rsid wsp:val=&quot;00A52789&quot;/&gt;&lt;wsp:rsid wsp:val=&quot;00A527BA&quot;/&gt;&lt;wsp:rsid wsp:val=&quot;00A52C3A&quot;/&gt;&lt;wsp:rsid wsp:val=&quot;00A52FD0&quot;/&gt;&lt;wsp:rsid wsp:val=&quot;00A530BD&quot;/&gt;&lt;wsp:rsid wsp:val=&quot;00A531FF&quot;/&gt;&lt;wsp:rsid wsp:val=&quot;00A53536&quot;/&gt;&lt;wsp:rsid wsp:val=&quot;00A536CE&quot;/&gt;&lt;wsp:rsid wsp:val=&quot;00A53A7A&quot;/&gt;&lt;wsp:rsid wsp:val=&quot;00A53C3C&quot;/&gt;&lt;wsp:rsid wsp:val=&quot;00A53E6F&quot;/&gt;&lt;wsp:rsid wsp:val=&quot;00A5457C&quot;/&gt;&lt;wsp:rsid wsp:val=&quot;00A54631&quot;/&gt;&lt;wsp:rsid wsp:val=&quot;00A548BA&quot;/&gt;&lt;wsp:rsid wsp:val=&quot;00A5497A&quot;/&gt;&lt;wsp:rsid wsp:val=&quot;00A54D5C&quot;/&gt;&lt;wsp:rsid wsp:val=&quot;00A54E17&quot;/&gt;&lt;wsp:rsid wsp:val=&quot;00A5525A&quot;/&gt;&lt;wsp:rsid wsp:val=&quot;00A553AA&quot;/&gt;&lt;wsp:rsid wsp:val=&quot;00A55474&quot;/&gt;&lt;wsp:rsid wsp:val=&quot;00A557F8&quot;/&gt;&lt;wsp:rsid wsp:val=&quot;00A559C3&quot;/&gt;&lt;wsp:rsid wsp:val=&quot;00A55C3C&quot;/&gt;&lt;wsp:rsid wsp:val=&quot;00A55EFC&quot;/&gt;&lt;wsp:rsid wsp:val=&quot;00A55F2A&quot;/&gt;&lt;wsp:rsid wsp:val=&quot;00A55FDF&quot;/&gt;&lt;wsp:rsid wsp:val=&quot;00A56A02&quot;/&gt;&lt;wsp:rsid wsp:val=&quot;00A56AE0&quot;/&gt;&lt;wsp:rsid wsp:val=&quot;00A56BFB&quot;/&gt;&lt;wsp:rsid wsp:val=&quot;00A56CFD&quot;/&gt;&lt;wsp:rsid wsp:val=&quot;00A56E29&quot;/&gt;&lt;wsp:rsid wsp:val=&quot;00A56F6F&quot;/&gt;&lt;wsp:rsid wsp:val=&quot;00A57178&quot;/&gt;&lt;wsp:rsid wsp:val=&quot;00A5751A&quot;/&gt;&lt;wsp:rsid wsp:val=&quot;00A57592&quot;/&gt;&lt;wsp:rsid wsp:val=&quot;00A577A4&quot;/&gt;&lt;wsp:rsid wsp:val=&quot;00A57A54&quot;/&gt;&lt;wsp:rsid wsp:val=&quot;00A57D39&quot;/&gt;&lt;wsp:rsid wsp:val=&quot;00A57D40&quot;/&gt;&lt;wsp:rsid wsp:val=&quot;00A60002&quot;/&gt;&lt;wsp:rsid wsp:val=&quot;00A601B9&quot;/&gt;&lt;wsp:rsid wsp:val=&quot;00A602CE&quot;/&gt;&lt;wsp:rsid wsp:val=&quot;00A603C7&quot;/&gt;&lt;wsp:rsid wsp:val=&quot;00A60822&quot;/&gt;&lt;wsp:rsid wsp:val=&quot;00A608E5&quot;/&gt;&lt;wsp:rsid wsp:val=&quot;00A60A5F&quot;/&gt;&lt;wsp:rsid wsp:val=&quot;00A60B6C&quot;/&gt;&lt;wsp:rsid wsp:val=&quot;00A60C4C&quot;/&gt;&lt;wsp:rsid wsp:val=&quot;00A60CB4&quot;/&gt;&lt;wsp:rsid wsp:val=&quot;00A60E02&quot;/&gt;&lt;wsp:rsid wsp:val=&quot;00A60E88&quot;/&gt;&lt;wsp:rsid wsp:val=&quot;00A612DC&quot;/&gt;&lt;wsp:rsid wsp:val=&quot;00A61D33&quot;/&gt;&lt;wsp:rsid wsp:val=&quot;00A61D8F&quot;/&gt;&lt;wsp:rsid wsp:val=&quot;00A62116&quot;/&gt;&lt;wsp:rsid wsp:val=&quot;00A623EF&quot;/&gt;&lt;wsp:rsid wsp:val=&quot;00A6298A&quot;/&gt;&lt;wsp:rsid wsp:val=&quot;00A629FE&quot;/&gt;&lt;wsp:rsid wsp:val=&quot;00A6308D&quot;/&gt;&lt;wsp:rsid wsp:val=&quot;00A6326C&quot;/&gt;&lt;wsp:rsid wsp:val=&quot;00A636FA&quot;/&gt;&lt;wsp:rsid wsp:val=&quot;00A63E2B&quot;/&gt;&lt;wsp:rsid wsp:val=&quot;00A640C2&quot;/&gt;&lt;wsp:rsid wsp:val=&quot;00A64101&quot;/&gt;&lt;wsp:rsid wsp:val=&quot;00A641AC&quot;/&gt;&lt;wsp:rsid wsp:val=&quot;00A64372&quot;/&gt;&lt;wsp:rsid wsp:val=&quot;00A643C9&quot;/&gt;&lt;wsp:rsid wsp:val=&quot;00A645F7&quot;/&gt;&lt;wsp:rsid wsp:val=&quot;00A64779&quot;/&gt;&lt;wsp:rsid wsp:val=&quot;00A64B6E&quot;/&gt;&lt;wsp:rsid wsp:val=&quot;00A64D2D&quot;/&gt;&lt;wsp:rsid wsp:val=&quot;00A64D9C&quot;/&gt;&lt;wsp:rsid wsp:val=&quot;00A65233&quot;/&gt;&lt;wsp:rsid wsp:val=&quot;00A653A3&quot;/&gt;&lt;wsp:rsid wsp:val=&quot;00A65492&quot;/&gt;&lt;wsp:rsid wsp:val=&quot;00A654E6&quot;/&gt;&lt;wsp:rsid wsp:val=&quot;00A65519&quot;/&gt;&lt;wsp:rsid wsp:val=&quot;00A65930&quot;/&gt;&lt;wsp:rsid wsp:val=&quot;00A65B0D&quot;/&gt;&lt;wsp:rsid wsp:val=&quot;00A65F26&quot;/&gt;&lt;wsp:rsid wsp:val=&quot;00A66144&quot;/&gt;&lt;wsp:rsid wsp:val=&quot;00A667C1&quot;/&gt;&lt;wsp:rsid wsp:val=&quot;00A6681D&quot;/&gt;&lt;wsp:rsid wsp:val=&quot;00A66904&quot;/&gt;&lt;wsp:rsid wsp:val=&quot;00A66AB7&quot;/&gt;&lt;wsp:rsid wsp:val=&quot;00A66D01&quot;/&gt;&lt;wsp:rsid wsp:val=&quot;00A66D93&quot;/&gt;&lt;wsp:rsid wsp:val=&quot;00A66E58&quot;/&gt;&lt;wsp:rsid wsp:val=&quot;00A67119&quot;/&gt;&lt;wsp:rsid wsp:val=&quot;00A671A7&quot;/&gt;&lt;wsp:rsid wsp:val=&quot;00A674F3&quot;/&gt;&lt;wsp:rsid wsp:val=&quot;00A67A51&quot;/&gt;&lt;wsp:rsid wsp:val=&quot;00A67EA7&quot;/&gt;&lt;wsp:rsid wsp:val=&quot;00A67F63&quot;/&gt;&lt;wsp:rsid wsp:val=&quot;00A700E2&quot;/&gt;&lt;wsp:rsid wsp:val=&quot;00A701F0&quot;/&gt;&lt;wsp:rsid wsp:val=&quot;00A706AB&quot;/&gt;&lt;wsp:rsid wsp:val=&quot;00A70834&quot;/&gt;&lt;wsp:rsid wsp:val=&quot;00A7099E&quot;/&gt;&lt;wsp:rsid wsp:val=&quot;00A70DEC&quot;/&gt;&lt;wsp:rsid wsp:val=&quot;00A70EC0&quot;/&gt;&lt;wsp:rsid wsp:val=&quot;00A70EF1&quot;/&gt;&lt;wsp:rsid wsp:val=&quot;00A70F89&quot;/&gt;&lt;wsp:rsid wsp:val=&quot;00A7101B&quot;/&gt;&lt;wsp:rsid wsp:val=&quot;00A712DC&quot;/&gt;&lt;wsp:rsid wsp:val=&quot;00A713A1&quot;/&gt;&lt;wsp:rsid wsp:val=&quot;00A713BE&quot;/&gt;&lt;wsp:rsid wsp:val=&quot;00A7151D&quot;/&gt;&lt;wsp:rsid wsp:val=&quot;00A71704&quot;/&gt;&lt;wsp:rsid wsp:val=&quot;00A71764&quot;/&gt;&lt;wsp:rsid wsp:val=&quot;00A71843&quot;/&gt;&lt;wsp:rsid wsp:val=&quot;00A71AA5&quot;/&gt;&lt;wsp:rsid wsp:val=&quot;00A71E06&quot;/&gt;&lt;wsp:rsid wsp:val=&quot;00A71E82&quot;/&gt;&lt;wsp:rsid wsp:val=&quot;00A71E86&quot;/&gt;&lt;wsp:rsid wsp:val=&quot;00A71F2E&quot;/&gt;&lt;wsp:rsid wsp:val=&quot;00A72AD5&quot;/&gt;&lt;wsp:rsid wsp:val=&quot;00A72B90&quot;/&gt;&lt;wsp:rsid wsp:val=&quot;00A72C06&quot;/&gt;&lt;wsp:rsid wsp:val=&quot;00A72DFF&quot;/&gt;&lt;wsp:rsid wsp:val=&quot;00A72E95&quot;/&gt;&lt;wsp:rsid wsp:val=&quot;00A72F47&quot;/&gt;&lt;wsp:rsid wsp:val=&quot;00A72FA4&quot;/&gt;&lt;wsp:rsid wsp:val=&quot;00A730F4&quot;/&gt;&lt;wsp:rsid wsp:val=&quot;00A73314&quot;/&gt;&lt;wsp:rsid wsp:val=&quot;00A7341F&quot;/&gt;&lt;wsp:rsid wsp:val=&quot;00A736A3&quot;/&gt;&lt;wsp:rsid wsp:val=&quot;00A73848&quot;/&gt;&lt;wsp:rsid wsp:val=&quot;00A73858&quot;/&gt;&lt;wsp:rsid wsp:val=&quot;00A73876&quot;/&gt;&lt;wsp:rsid wsp:val=&quot;00A74035&quot;/&gt;&lt;wsp:rsid wsp:val=&quot;00A7429B&quot;/&gt;&lt;wsp:rsid wsp:val=&quot;00A745C8&quot;/&gt;&lt;wsp:rsid wsp:val=&quot;00A74D4B&quot;/&gt;&lt;wsp:rsid wsp:val=&quot;00A750A6&quot;/&gt;&lt;wsp:rsid wsp:val=&quot;00A7548F&quot;/&gt;&lt;wsp:rsid wsp:val=&quot;00A756F3&quot;/&gt;&lt;wsp:rsid wsp:val=&quot;00A75A38&quot;/&gt;&lt;wsp:rsid wsp:val=&quot;00A75AB6&quot;/&gt;&lt;wsp:rsid wsp:val=&quot;00A75B1E&quot;/&gt;&lt;wsp:rsid wsp:val=&quot;00A75DCC&quot;/&gt;&lt;wsp:rsid wsp:val=&quot;00A75F7D&quot;/&gt;&lt;wsp:rsid wsp:val=&quot;00A76191&quot;/&gt;&lt;wsp:rsid wsp:val=&quot;00A7683B&quot;/&gt;&lt;wsp:rsid wsp:val=&quot;00A768E4&quot;/&gt;&lt;wsp:rsid wsp:val=&quot;00A76E8A&quot;/&gt;&lt;wsp:rsid wsp:val=&quot;00A76F1D&quot;/&gt;&lt;wsp:rsid wsp:val=&quot;00A7715D&quot;/&gt;&lt;wsp:rsid wsp:val=&quot;00A7726A&quot;/&gt;&lt;wsp:rsid wsp:val=&quot;00A773DF&quot;/&gt;&lt;wsp:rsid wsp:val=&quot;00A77557&quot;/&gt;&lt;wsp:rsid wsp:val=&quot;00A776E5&quot;/&gt;&lt;wsp:rsid wsp:val=&quot;00A778D4&quot;/&gt;&lt;wsp:rsid wsp:val=&quot;00A77C0F&quot;/&gt;&lt;wsp:rsid wsp:val=&quot;00A77CA5&quot;/&gt;&lt;wsp:rsid wsp:val=&quot;00A77E71&quot;/&gt;&lt;wsp:rsid wsp:val=&quot;00A8013D&quot;/&gt;&lt;wsp:rsid wsp:val=&quot;00A805EE&quot;/&gt;&lt;wsp:rsid wsp:val=&quot;00A8073C&quot;/&gt;&lt;wsp:rsid wsp:val=&quot;00A80982&quot;/&gt;&lt;wsp:rsid wsp:val=&quot;00A80B22&quot;/&gt;&lt;wsp:rsid wsp:val=&quot;00A80C45&quot;/&gt;&lt;wsp:rsid wsp:val=&quot;00A8116A&quot;/&gt;&lt;wsp:rsid wsp:val=&quot;00A81253&quot;/&gt;&lt;wsp:rsid wsp:val=&quot;00A81266&quot;/&gt;&lt;wsp:rsid wsp:val=&quot;00A81290&quot;/&gt;&lt;wsp:rsid wsp:val=&quot;00A81353&quot;/&gt;&lt;wsp:rsid wsp:val=&quot;00A81541&quot;/&gt;&lt;wsp:rsid wsp:val=&quot;00A815A9&quot;/&gt;&lt;wsp:rsid wsp:val=&quot;00A81A9C&quot;/&gt;&lt;wsp:rsid wsp:val=&quot;00A81D07&quot;/&gt;&lt;wsp:rsid wsp:val=&quot;00A81D43&quot;/&gt;&lt;wsp:rsid wsp:val=&quot;00A820B8&quot;/&gt;&lt;wsp:rsid wsp:val=&quot;00A82139&quot;/&gt;&lt;wsp:rsid wsp:val=&quot;00A82905&quot;/&gt;&lt;wsp:rsid wsp:val=&quot;00A82B16&quot;/&gt;&lt;wsp:rsid wsp:val=&quot;00A82C2F&quot;/&gt;&lt;wsp:rsid wsp:val=&quot;00A82DF0&quot;/&gt;&lt;wsp:rsid wsp:val=&quot;00A82FE1&quot;/&gt;&lt;wsp:rsid wsp:val=&quot;00A8308F&quot;/&gt;&lt;wsp:rsid wsp:val=&quot;00A83188&quot;/&gt;&lt;wsp:rsid wsp:val=&quot;00A8343E&quot;/&gt;&lt;wsp:rsid wsp:val=&quot;00A835FF&quot;/&gt;&lt;wsp:rsid wsp:val=&quot;00A838A0&quot;/&gt;&lt;wsp:rsid wsp:val=&quot;00A83DF5&quot;/&gt;&lt;wsp:rsid wsp:val=&quot;00A8404A&quot;/&gt;&lt;wsp:rsid wsp:val=&quot;00A840EE&quot;/&gt;&lt;wsp:rsid wsp:val=&quot;00A84340&quot;/&gt;&lt;wsp:rsid wsp:val=&quot;00A843BF&quot;/&gt;&lt;wsp:rsid wsp:val=&quot;00A84A92&quot;/&gt;&lt;wsp:rsid wsp:val=&quot;00A84AF2&quot;/&gt;&lt;wsp:rsid wsp:val=&quot;00A84BC7&quot;/&gt;&lt;wsp:rsid wsp:val=&quot;00A84D42&quot;/&gt;&lt;wsp:rsid wsp:val=&quot;00A84DD3&quot;/&gt;&lt;wsp:rsid wsp:val=&quot;00A850BD&quot;/&gt;&lt;wsp:rsid wsp:val=&quot;00A851B7&quot;/&gt;&lt;wsp:rsid wsp:val=&quot;00A853E3&quot;/&gt;&lt;wsp:rsid wsp:val=&quot;00A855E1&quot;/&gt;&lt;wsp:rsid wsp:val=&quot;00A858F4&quot;/&gt;&lt;wsp:rsid wsp:val=&quot;00A85A3C&quot;/&gt;&lt;wsp:rsid wsp:val=&quot;00A85C00&quot;/&gt;&lt;wsp:rsid wsp:val=&quot;00A85DEF&quot;/&gt;&lt;wsp:rsid wsp:val=&quot;00A85F4B&quot;/&gt;&lt;wsp:rsid wsp:val=&quot;00A85FDB&quot;/&gt;&lt;wsp:rsid wsp:val=&quot;00A8626B&quot;/&gt;&lt;wsp:rsid wsp:val=&quot;00A8626D&quot;/&gt;&lt;wsp:rsid wsp:val=&quot;00A8643C&quot;/&gt;&lt;wsp:rsid wsp:val=&quot;00A864F8&quot;/&gt;&lt;wsp:rsid wsp:val=&quot;00A86656&quot;/&gt;&lt;wsp:rsid wsp:val=&quot;00A866D8&quot;/&gt;&lt;wsp:rsid wsp:val=&quot;00A86810&quot;/&gt;&lt;wsp:rsid wsp:val=&quot;00A86947&quot;/&gt;&lt;wsp:rsid wsp:val=&quot;00A86968&quot;/&gt;&lt;wsp:rsid wsp:val=&quot;00A86A80&quot;/&gt;&lt;wsp:rsid wsp:val=&quot;00A86B8A&quot;/&gt;&lt;wsp:rsid wsp:val=&quot;00A86FA1&quot;/&gt;&lt;wsp:rsid wsp:val=&quot;00A87244&quot;/&gt;&lt;wsp:rsid wsp:val=&quot;00A8776C&quot;/&gt;&lt;wsp:rsid wsp:val=&quot;00A87989&quot;/&gt;&lt;wsp:rsid wsp:val=&quot;00A87B2B&quot;/&gt;&lt;wsp:rsid wsp:val=&quot;00A87BBB&quot;/&gt;&lt;wsp:rsid wsp:val=&quot;00A87EB8&quot;/&gt;&lt;wsp:rsid wsp:val=&quot;00A87FDF&quot;/&gt;&lt;wsp:rsid wsp:val=&quot;00A90088&quot;/&gt;&lt;wsp:rsid wsp:val=&quot;00A901B1&quot;/&gt;&lt;wsp:rsid wsp:val=&quot;00A90618&quot;/&gt;&lt;wsp:rsid wsp:val=&quot;00A90DB6&quot;/&gt;&lt;wsp:rsid wsp:val=&quot;00A9105C&quot;/&gt;&lt;wsp:rsid wsp:val=&quot;00A9138C&quot;/&gt;&lt;wsp:rsid wsp:val=&quot;00A914A2&quot;/&gt;&lt;wsp:rsid wsp:val=&quot;00A91628&quot;/&gt;&lt;wsp:rsid wsp:val=&quot;00A91CEB&quot;/&gt;&lt;wsp:rsid wsp:val=&quot;00A91D5E&quot;/&gt;&lt;wsp:rsid wsp:val=&quot;00A92062&quot;/&gt;&lt;wsp:rsid wsp:val=&quot;00A9293D&quot;/&gt;&lt;wsp:rsid wsp:val=&quot;00A92982&quot;/&gt;&lt;wsp:rsid wsp:val=&quot;00A92B3C&quot;/&gt;&lt;wsp:rsid wsp:val=&quot;00A92CA9&quot;/&gt;&lt;wsp:rsid wsp:val=&quot;00A92E0F&quot;/&gt;&lt;wsp:rsid wsp:val=&quot;00A92F22&quot;/&gt;&lt;wsp:rsid wsp:val=&quot;00A934CB&quot;/&gt;&lt;wsp:rsid wsp:val=&quot;00A9374D&quot;/&gt;&lt;wsp:rsid wsp:val=&quot;00A93816&quot;/&gt;&lt;wsp:rsid wsp:val=&quot;00A93818&quot;/&gt;&lt;wsp:rsid wsp:val=&quot;00A9383B&quot;/&gt;&lt;wsp:rsid wsp:val=&quot;00A939B4&quot;/&gt;&lt;wsp:rsid wsp:val=&quot;00A939E2&quot;/&gt;&lt;wsp:rsid wsp:val=&quot;00A93B37&quot;/&gt;&lt;wsp:rsid wsp:val=&quot;00A93DDA&quot;/&gt;&lt;wsp:rsid wsp:val=&quot;00A93EC7&quot;/&gt;&lt;wsp:rsid wsp:val=&quot;00A93EEC&quot;/&gt;&lt;wsp:rsid wsp:val=&quot;00A94056&quot;/&gt;&lt;wsp:rsid wsp:val=&quot;00A9417A&quot;/&gt;&lt;wsp:rsid wsp:val=&quot;00A9499D&quot;/&gt;&lt;wsp:rsid wsp:val=&quot;00A94B15&quot;/&gt;&lt;wsp:rsid wsp:val=&quot;00A94DD3&quot;/&gt;&lt;wsp:rsid wsp:val=&quot;00A94DF7&quot;/&gt;&lt;wsp:rsid wsp:val=&quot;00A94E70&quot;/&gt;&lt;wsp:rsid wsp:val=&quot;00A94F60&quot;/&gt;&lt;wsp:rsid wsp:val=&quot;00A95095&quot;/&gt;&lt;wsp:rsid wsp:val=&quot;00A9578F&quot;/&gt;&lt;wsp:rsid wsp:val=&quot;00A95C20&quot;/&gt;&lt;wsp:rsid wsp:val=&quot;00A95C77&quot;/&gt;&lt;wsp:rsid wsp:val=&quot;00A95DD5&quot;/&gt;&lt;wsp:rsid wsp:val=&quot;00A95E1A&quot;/&gt;&lt;wsp:rsid wsp:val=&quot;00A96031&quot;/&gt;&lt;wsp:rsid wsp:val=&quot;00A960CA&quot;/&gt;&lt;wsp:rsid wsp:val=&quot;00A962E9&quot;/&gt;&lt;wsp:rsid wsp:val=&quot;00A96413&quot;/&gt;&lt;wsp:rsid wsp:val=&quot;00A9683D&quot;/&gt;&lt;wsp:rsid wsp:val=&quot;00A96DEE&quot;/&gt;&lt;wsp:rsid wsp:val=&quot;00A96EF0&quot;/&gt;&lt;wsp:rsid wsp:val=&quot;00A96F4D&quot;/&gt;&lt;wsp:rsid wsp:val=&quot;00A970A8&quot;/&gt;&lt;wsp:rsid wsp:val=&quot;00A97566&quot;/&gt;&lt;wsp:rsid wsp:val=&quot;00A975D8&quot;/&gt;&lt;wsp:rsid wsp:val=&quot;00A976A1&quot;/&gt;&lt;wsp:rsid wsp:val=&quot;00A97972&quot;/&gt;&lt;wsp:rsid wsp:val=&quot;00A97A5B&quot;/&gt;&lt;wsp:rsid wsp:val=&quot;00A97BA4&quot;/&gt;&lt;wsp:rsid wsp:val=&quot;00A97BF3&quot;/&gt;&lt;wsp:rsid wsp:val=&quot;00A97CC9&quot;/&gt;&lt;wsp:rsid wsp:val=&quot;00A97DBF&quot;/&gt;&lt;wsp:rsid wsp:val=&quot;00AA0095&quot;/&gt;&lt;wsp:rsid wsp:val=&quot;00AA0176&quot;/&gt;&lt;wsp:rsid wsp:val=&quot;00AA01A8&quot;/&gt;&lt;wsp:rsid wsp:val=&quot;00AA0384&quot;/&gt;&lt;wsp:rsid wsp:val=&quot;00AA05BC&quot;/&gt;&lt;wsp:rsid wsp:val=&quot;00AA080A&quot;/&gt;&lt;wsp:rsid wsp:val=&quot;00AA0C3D&quot;/&gt;&lt;wsp:rsid wsp:val=&quot;00AA1085&quot;/&gt;&lt;wsp:rsid wsp:val=&quot;00AA1434&quot;/&gt;&lt;wsp:rsid wsp:val=&quot;00AA158C&quot;/&gt;&lt;wsp:rsid wsp:val=&quot;00AA1652&quot;/&gt;&lt;wsp:rsid wsp:val=&quot;00AA18FA&quot;/&gt;&lt;wsp:rsid wsp:val=&quot;00AA19FB&quot;/&gt;&lt;wsp:rsid wsp:val=&quot;00AA258E&quot;/&gt;&lt;wsp:rsid wsp:val=&quot;00AA259C&quot;/&gt;&lt;wsp:rsid wsp:val=&quot;00AA27E0&quot;/&gt;&lt;wsp:rsid wsp:val=&quot;00AA2837&quot;/&gt;&lt;wsp:rsid wsp:val=&quot;00AA2866&quot;/&gt;&lt;wsp:rsid wsp:val=&quot;00AA2D52&quot;/&gt;&lt;wsp:rsid wsp:val=&quot;00AA2F21&quot;/&gt;&lt;wsp:rsid wsp:val=&quot;00AA3090&quot;/&gt;&lt;wsp:rsid wsp:val=&quot;00AA340A&quot;/&gt;&lt;wsp:rsid wsp:val=&quot;00AA34B0&quot;/&gt;&lt;wsp:rsid wsp:val=&quot;00AA372F&quot;/&gt;&lt;wsp:rsid wsp:val=&quot;00AA3B5D&quot;/&gt;&lt;wsp:rsid wsp:val=&quot;00AA3D26&quot;/&gt;&lt;wsp:rsid wsp:val=&quot;00AA3F9E&quot;/&gt;&lt;wsp:rsid wsp:val=&quot;00AA41C3&quot;/&gt;&lt;wsp:rsid wsp:val=&quot;00AA4212&quot;/&gt;&lt;wsp:rsid wsp:val=&quot;00AA421B&quot;/&gt;&lt;wsp:rsid wsp:val=&quot;00AA436D&quot;/&gt;&lt;wsp:rsid wsp:val=&quot;00AA45A5&quot;/&gt;&lt;wsp:rsid wsp:val=&quot;00AA49DA&quot;/&gt;&lt;wsp:rsid wsp:val=&quot;00AA4B20&quot;/&gt;&lt;wsp:rsid wsp:val=&quot;00AA4C83&quot;/&gt;&lt;wsp:rsid wsp:val=&quot;00AA4F99&quot;/&gt;&lt;wsp:rsid wsp:val=&quot;00AA4FA1&quot;/&gt;&lt;wsp:rsid wsp:val=&quot;00AA5068&quot;/&gt;&lt;wsp:rsid wsp:val=&quot;00AA5A3C&quot;/&gt;&lt;wsp:rsid wsp:val=&quot;00AA5A7E&quot;/&gt;&lt;wsp:rsid wsp:val=&quot;00AA5ACE&quot;/&gt;&lt;wsp:rsid wsp:val=&quot;00AA6823&quot;/&gt;&lt;wsp:rsid wsp:val=&quot;00AA68E2&quot;/&gt;&lt;wsp:rsid wsp:val=&quot;00AA6968&quot;/&gt;&lt;wsp:rsid wsp:val=&quot;00AA6AA6&quot;/&gt;&lt;wsp:rsid wsp:val=&quot;00AA6AA8&quot;/&gt;&lt;wsp:rsid wsp:val=&quot;00AA6ADC&quot;/&gt;&lt;wsp:rsid wsp:val=&quot;00AA7807&quot;/&gt;&lt;wsp:rsid wsp:val=&quot;00AA7F4F&quot;/&gt;&lt;wsp:rsid wsp:val=&quot;00AA7FCE&quot;/&gt;&lt;wsp:rsid wsp:val=&quot;00AB045D&quot;/&gt;&lt;wsp:rsid wsp:val=&quot;00AB088A&quot;/&gt;&lt;wsp:rsid wsp:val=&quot;00AB09BF&quot;/&gt;&lt;wsp:rsid wsp:val=&quot;00AB0CBE&quot;/&gt;&lt;wsp:rsid wsp:val=&quot;00AB0E6C&quot;/&gt;&lt;wsp:rsid wsp:val=&quot;00AB1174&quot;/&gt;&lt;wsp:rsid wsp:val=&quot;00AB1459&quot;/&gt;&lt;wsp:rsid wsp:val=&quot;00AB16B9&quot;/&gt;&lt;wsp:rsid wsp:val=&quot;00AB1736&quot;/&gt;&lt;wsp:rsid wsp:val=&quot;00AB17FD&quot;/&gt;&lt;wsp:rsid wsp:val=&quot;00AB1CB5&quot;/&gt;&lt;wsp:rsid wsp:val=&quot;00AB1ECD&quot;/&gt;&lt;wsp:rsid wsp:val=&quot;00AB220E&quot;/&gt;&lt;wsp:rsid wsp:val=&quot;00AB2404&quot;/&gt;&lt;wsp:rsid wsp:val=&quot;00AB25BF&quot;/&gt;&lt;wsp:rsid wsp:val=&quot;00AB25F6&quot;/&gt;&lt;wsp:rsid wsp:val=&quot;00AB2603&quot;/&gt;&lt;wsp:rsid wsp:val=&quot;00AB28FD&quot;/&gt;&lt;wsp:rsid wsp:val=&quot;00AB2BC5&quot;/&gt;&lt;wsp:rsid wsp:val=&quot;00AB2C0F&quot;/&gt;&lt;wsp:rsid wsp:val=&quot;00AB2F25&quot;/&gt;&lt;wsp:rsid wsp:val=&quot;00AB3393&quot;/&gt;&lt;wsp:rsid wsp:val=&quot;00AB387D&quot;/&gt;&lt;wsp:rsid wsp:val=&quot;00AB396F&quot;/&gt;&lt;wsp:rsid wsp:val=&quot;00AB3A31&quot;/&gt;&lt;wsp:rsid wsp:val=&quot;00AB3BBE&quot;/&gt;&lt;wsp:rsid wsp:val=&quot;00AB3D04&quot;/&gt;&lt;wsp:rsid wsp:val=&quot;00AB4134&quot;/&gt;&lt;wsp:rsid wsp:val=&quot;00AB417C&quot;/&gt;&lt;wsp:rsid wsp:val=&quot;00AB4523&quot;/&gt;&lt;wsp:rsid wsp:val=&quot;00AB4548&quot;/&gt;&lt;wsp:rsid wsp:val=&quot;00AB477C&quot;/&gt;&lt;wsp:rsid wsp:val=&quot;00AB48C0&quot;/&gt;&lt;wsp:rsid wsp:val=&quot;00AB4D22&quot;/&gt;&lt;wsp:rsid wsp:val=&quot;00AB5101&quot;/&gt;&lt;wsp:rsid wsp:val=&quot;00AB521B&quot;/&gt;&lt;wsp:rsid wsp:val=&quot;00AB52A9&quot;/&gt;&lt;wsp:rsid wsp:val=&quot;00AB5608&quot;/&gt;&lt;wsp:rsid wsp:val=&quot;00AB595C&quot;/&gt;&lt;wsp:rsid wsp:val=&quot;00AB5AFA&quot;/&gt;&lt;wsp:rsid wsp:val=&quot;00AB5DCF&quot;/&gt;&lt;wsp:rsid wsp:val=&quot;00AB63F5&quot;/&gt;&lt;wsp:rsid wsp:val=&quot;00AB6B0F&quot;/&gt;&lt;wsp:rsid wsp:val=&quot;00AB6C3C&quot;/&gt;&lt;wsp:rsid wsp:val=&quot;00AB6C78&quot;/&gt;&lt;wsp:rsid wsp:val=&quot;00AB6E84&quot;/&gt;&lt;wsp:rsid wsp:val=&quot;00AB6F09&quot;/&gt;&lt;wsp:rsid wsp:val=&quot;00AB767E&quot;/&gt;&lt;wsp:rsid wsp:val=&quot;00AB7DD0&quot;/&gt;&lt;wsp:rsid wsp:val=&quot;00AC0062&quot;/&gt;&lt;wsp:rsid wsp:val=&quot;00AC01C5&quot;/&gt;&lt;wsp:rsid wsp:val=&quot;00AC029F&quot;/&gt;&lt;wsp:rsid wsp:val=&quot;00AC03B0&quot;/&gt;&lt;wsp:rsid wsp:val=&quot;00AC0429&quot;/&gt;&lt;wsp:rsid wsp:val=&quot;00AC0434&quot;/&gt;&lt;wsp:rsid wsp:val=&quot;00AC0550&quot;/&gt;&lt;wsp:rsid wsp:val=&quot;00AC0CEB&quot;/&gt;&lt;wsp:rsid wsp:val=&quot;00AC0EB4&quot;/&gt;&lt;wsp:rsid wsp:val=&quot;00AC0EBE&quot;/&gt;&lt;wsp:rsid wsp:val=&quot;00AC0F55&quot;/&gt;&lt;wsp:rsid wsp:val=&quot;00AC1237&quot;/&gt;&lt;wsp:rsid wsp:val=&quot;00AC15F8&quot;/&gt;&lt;wsp:rsid wsp:val=&quot;00AC1961&quot;/&gt;&lt;wsp:rsid wsp:val=&quot;00AC1B00&quot;/&gt;&lt;wsp:rsid wsp:val=&quot;00AC1FC7&quot;/&gt;&lt;wsp:rsid wsp:val=&quot;00AC20A8&quot;/&gt;&lt;wsp:rsid wsp:val=&quot;00AC20E9&quot;/&gt;&lt;wsp:rsid wsp:val=&quot;00AC21C3&quot;/&gt;&lt;wsp:rsid wsp:val=&quot;00AC2714&quot;/&gt;&lt;wsp:rsid wsp:val=&quot;00AC2F06&quot;/&gt;&lt;wsp:rsid wsp:val=&quot;00AC2FC2&quot;/&gt;&lt;wsp:rsid wsp:val=&quot;00AC301B&quot;/&gt;&lt;wsp:rsid wsp:val=&quot;00AC3116&quot;/&gt;&lt;wsp:rsid wsp:val=&quot;00AC3589&quot;/&gt;&lt;wsp:rsid wsp:val=&quot;00AC35F7&quot;/&gt;&lt;wsp:rsid wsp:val=&quot;00AC3A06&quot;/&gt;&lt;wsp:rsid wsp:val=&quot;00AC3DBC&quot;/&gt;&lt;wsp:rsid wsp:val=&quot;00AC40F4&quot;/&gt;&lt;wsp:rsid wsp:val=&quot;00AC4264&quot;/&gt;&lt;wsp:rsid wsp:val=&quot;00AC438D&quot;/&gt;&lt;wsp:rsid wsp:val=&quot;00AC445B&quot;/&gt;&lt;wsp:rsid wsp:val=&quot;00AC46ED&quot;/&gt;&lt;wsp:rsid wsp:val=&quot;00AC475C&quot;/&gt;&lt;wsp:rsid wsp:val=&quot;00AC4DBE&quot;/&gt;&lt;wsp:rsid wsp:val=&quot;00AC4EC6&quot;/&gt;&lt;wsp:rsid wsp:val=&quot;00AC515F&quot;/&gt;&lt;wsp:rsid wsp:val=&quot;00AC51DC&quot;/&gt;&lt;wsp:rsid wsp:val=&quot;00AC5207&quot;/&gt;&lt;wsp:rsid wsp:val=&quot;00AC544E&quot;/&gt;&lt;wsp:rsid wsp:val=&quot;00AC5496&quot;/&gt;&lt;wsp:rsid wsp:val=&quot;00AC569E&quot;/&gt;&lt;wsp:rsid wsp:val=&quot;00AC58D1&quot;/&gt;&lt;wsp:rsid wsp:val=&quot;00AC592C&quot;/&gt;&lt;wsp:rsid wsp:val=&quot;00AC5C6B&quot;/&gt;&lt;wsp:rsid wsp:val=&quot;00AC5CE3&quot;/&gt;&lt;wsp:rsid wsp:val=&quot;00AC5DF3&quot;/&gt;&lt;wsp:rsid wsp:val=&quot;00AC6209&quot;/&gt;&lt;wsp:rsid wsp:val=&quot;00AC6238&quot;/&gt;&lt;wsp:rsid wsp:val=&quot;00AC6395&quot;/&gt;&lt;wsp:rsid wsp:val=&quot;00AC640C&quot;/&gt;&lt;wsp:rsid wsp:val=&quot;00AC64FC&quot;/&gt;&lt;wsp:rsid wsp:val=&quot;00AC6637&quot;/&gt;&lt;wsp:rsid wsp:val=&quot;00AC6772&quot;/&gt;&lt;wsp:rsid wsp:val=&quot;00AC6A4C&quot;/&gt;&lt;wsp:rsid wsp:val=&quot;00AC6B91&quot;/&gt;&lt;wsp:rsid wsp:val=&quot;00AC6D80&quot;/&gt;&lt;wsp:rsid wsp:val=&quot;00AC6EBD&quot;/&gt;&lt;wsp:rsid wsp:val=&quot;00AC7044&quot;/&gt;&lt;wsp:rsid wsp:val=&quot;00AC7200&quot;/&gt;&lt;wsp:rsid wsp:val=&quot;00AC7263&quot;/&gt;&lt;wsp:rsid wsp:val=&quot;00AC72E3&quot;/&gt;&lt;wsp:rsid wsp:val=&quot;00AC79B4&quot;/&gt;&lt;wsp:rsid wsp:val=&quot;00AC7AC2&quot;/&gt;&lt;wsp:rsid wsp:val=&quot;00AC7B90&quot;/&gt;&lt;wsp:rsid wsp:val=&quot;00AC7BC8&quot;/&gt;&lt;wsp:rsid wsp:val=&quot;00AD0451&quot;/&gt;&lt;wsp:rsid wsp:val=&quot;00AD0519&quot;/&gt;&lt;wsp:rsid wsp:val=&quot;00AD0542&quot;/&gt;&lt;wsp:rsid wsp:val=&quot;00AD0684&quot;/&gt;&lt;wsp:rsid wsp:val=&quot;00AD0961&quot;/&gt;&lt;wsp:rsid wsp:val=&quot;00AD096D&quot;/&gt;&lt;wsp:rsid wsp:val=&quot;00AD0B0F&quot;/&gt;&lt;wsp:rsid wsp:val=&quot;00AD0B1C&quot;/&gt;&lt;wsp:rsid wsp:val=&quot;00AD1BA5&quot;/&gt;&lt;wsp:rsid wsp:val=&quot;00AD1C20&quot;/&gt;&lt;wsp:rsid wsp:val=&quot;00AD1DD5&quot;/&gt;&lt;wsp:rsid wsp:val=&quot;00AD1F02&quot;/&gt;&lt;wsp:rsid wsp:val=&quot;00AD1F2D&quot;/&gt;&lt;wsp:rsid wsp:val=&quot;00AD217A&quot;/&gt;&lt;wsp:rsid wsp:val=&quot;00AD225A&quot;/&gt;&lt;wsp:rsid wsp:val=&quot;00AD249C&quot;/&gt;&lt;wsp:rsid wsp:val=&quot;00AD2553&quot;/&gt;&lt;wsp:rsid wsp:val=&quot;00AD2602&quot;/&gt;&lt;wsp:rsid wsp:val=&quot;00AD2711&quot;/&gt;&lt;wsp:rsid wsp:val=&quot;00AD2831&quot;/&gt;&lt;wsp:rsid wsp:val=&quot;00AD2A02&quot;/&gt;&lt;wsp:rsid wsp:val=&quot;00AD2A11&quot;/&gt;&lt;wsp:rsid wsp:val=&quot;00AD2DF6&quot;/&gt;&lt;wsp:rsid wsp:val=&quot;00AD2E8F&quot;/&gt;&lt;wsp:rsid wsp:val=&quot;00AD2E9C&quot;/&gt;&lt;wsp:rsid wsp:val=&quot;00AD2EBD&quot;/&gt;&lt;wsp:rsid wsp:val=&quot;00AD3473&quot;/&gt;&lt;wsp:rsid wsp:val=&quot;00AD352F&quot;/&gt;&lt;wsp:rsid wsp:val=&quot;00AD3848&quot;/&gt;&lt;wsp:rsid wsp:val=&quot;00AD3A32&quot;/&gt;&lt;wsp:rsid wsp:val=&quot;00AD3E67&quot;/&gt;&lt;wsp:rsid wsp:val=&quot;00AD45A2&quot;/&gt;&lt;wsp:rsid wsp:val=&quot;00AD492B&quot;/&gt;&lt;wsp:rsid wsp:val=&quot;00AD4A7B&quot;/&gt;&lt;wsp:rsid wsp:val=&quot;00AD4CAB&quot;/&gt;&lt;wsp:rsid wsp:val=&quot;00AD4E1C&quot;/&gt;&lt;wsp:rsid wsp:val=&quot;00AD4E4D&quot;/&gt;&lt;wsp:rsid wsp:val=&quot;00AD4E9B&quot;/&gt;&lt;wsp:rsid wsp:val=&quot;00AD4EF4&quot;/&gt;&lt;wsp:rsid wsp:val=&quot;00AD507B&quot;/&gt;&lt;wsp:rsid wsp:val=&quot;00AD5116&quot;/&gt;&lt;wsp:rsid wsp:val=&quot;00AD547B&quot;/&gt;&lt;wsp:rsid wsp:val=&quot;00AD5488&quot;/&gt;&lt;wsp:rsid wsp:val=&quot;00AD55C7&quot;/&gt;&lt;wsp:rsid wsp:val=&quot;00AD561C&quot;/&gt;&lt;wsp:rsid wsp:val=&quot;00AD5A1A&quot;/&gt;&lt;wsp:rsid wsp:val=&quot;00AD5B9F&quot;/&gt;&lt;wsp:rsid wsp:val=&quot;00AD602B&quot;/&gt;&lt;wsp:rsid wsp:val=&quot;00AD6210&quot;/&gt;&lt;wsp:rsid wsp:val=&quot;00AD696E&quot;/&gt;&lt;wsp:rsid wsp:val=&quot;00AD7309&quot;/&gt;&lt;wsp:rsid wsp:val=&quot;00AD73F3&quot;/&gt;&lt;wsp:rsid wsp:val=&quot;00AD74F0&quot;/&gt;&lt;wsp:rsid wsp:val=&quot;00AD75B8&quot;/&gt;&lt;wsp:rsid wsp:val=&quot;00AD7A90&quot;/&gt;&lt;wsp:rsid wsp:val=&quot;00AD7EC5&quot;/&gt;&lt;wsp:rsid wsp:val=&quot;00AE0156&quot;/&gt;&lt;wsp:rsid wsp:val=&quot;00AE0588&quot;/&gt;&lt;wsp:rsid wsp:val=&quot;00AE0F66&quot;/&gt;&lt;wsp:rsid wsp:val=&quot;00AE1B00&quot;/&gt;&lt;wsp:rsid wsp:val=&quot;00AE1C87&quot;/&gt;&lt;wsp:rsid wsp:val=&quot;00AE210C&quot;/&gt;&lt;wsp:rsid wsp:val=&quot;00AE22BC&quot;/&gt;&lt;wsp:rsid wsp:val=&quot;00AE22EC&quot;/&gt;&lt;wsp:rsid wsp:val=&quot;00AE26C9&quot;/&gt;&lt;wsp:rsid wsp:val=&quot;00AE2EAD&quot;/&gt;&lt;wsp:rsid wsp:val=&quot;00AE2F90&quot;/&gt;&lt;wsp:rsid wsp:val=&quot;00AE31FE&quot;/&gt;&lt;wsp:rsid wsp:val=&quot;00AE3B7D&quot;/&gt;&lt;wsp:rsid wsp:val=&quot;00AE3C7A&quot;/&gt;&lt;wsp:rsid wsp:val=&quot;00AE3C84&quot;/&gt;&lt;wsp:rsid wsp:val=&quot;00AE4019&quot;/&gt;&lt;wsp:rsid wsp:val=&quot;00AE4236&quot;/&gt;&lt;wsp:rsid wsp:val=&quot;00AE42D5&quot;/&gt;&lt;wsp:rsid wsp:val=&quot;00AE4332&quot;/&gt;&lt;wsp:rsid wsp:val=&quot;00AE4396&quot;/&gt;&lt;wsp:rsid wsp:val=&quot;00AE4586&quot;/&gt;&lt;wsp:rsid wsp:val=&quot;00AE4A15&quot;/&gt;&lt;wsp:rsid wsp:val=&quot;00AE4B39&quot;/&gt;&lt;wsp:rsid wsp:val=&quot;00AE4FD6&quot;/&gt;&lt;wsp:rsid wsp:val=&quot;00AE5071&quot;/&gt;&lt;wsp:rsid wsp:val=&quot;00AE50A6&quot;/&gt;&lt;wsp:rsid wsp:val=&quot;00AE528B&quot;/&gt;&lt;wsp:rsid wsp:val=&quot;00AE53D8&quot;/&gt;&lt;wsp:rsid wsp:val=&quot;00AE55C9&quot;/&gt;&lt;wsp:rsid wsp:val=&quot;00AE569E&quot;/&gt;&lt;wsp:rsid wsp:val=&quot;00AE56B1&quot;/&gt;&lt;wsp:rsid wsp:val=&quot;00AE581B&quot;/&gt;&lt;wsp:rsid wsp:val=&quot;00AE58F6&quot;/&gt;&lt;wsp:rsid wsp:val=&quot;00AE5AC5&quot;/&gt;&lt;wsp:rsid wsp:val=&quot;00AE5AF6&quot;/&gt;&lt;wsp:rsid wsp:val=&quot;00AE5EE0&quot;/&gt;&lt;wsp:rsid wsp:val=&quot;00AE6074&quot;/&gt;&lt;wsp:rsid wsp:val=&quot;00AE60A5&quot;/&gt;&lt;wsp:rsid wsp:val=&quot;00AE60F1&quot;/&gt;&lt;wsp:rsid wsp:val=&quot;00AE661E&quot;/&gt;&lt;wsp:rsid wsp:val=&quot;00AE67AB&quot;/&gt;&lt;wsp:rsid wsp:val=&quot;00AE681E&quot;/&gt;&lt;wsp:rsid wsp:val=&quot;00AE698E&quot;/&gt;&lt;wsp:rsid wsp:val=&quot;00AE7211&quot;/&gt;&lt;wsp:rsid wsp:val=&quot;00AE7222&quot;/&gt;&lt;wsp:rsid wsp:val=&quot;00AE7634&quot;/&gt;&lt;wsp:rsid wsp:val=&quot;00AE7912&quot;/&gt;&lt;wsp:rsid wsp:val=&quot;00AE7A82&quot;/&gt;&lt;wsp:rsid wsp:val=&quot;00AE7F52&quot;/&gt;&lt;wsp:rsid wsp:val=&quot;00AE7F9E&quot;/&gt;&lt;wsp:rsid wsp:val=&quot;00AF03D9&quot;/&gt;&lt;wsp:rsid wsp:val=&quot;00AF0474&quot;/&gt;&lt;wsp:rsid wsp:val=&quot;00AF05A0&quot;/&gt;&lt;wsp:rsid wsp:val=&quot;00AF05EB&quot;/&gt;&lt;wsp:rsid wsp:val=&quot;00AF0864&quot;/&gt;&lt;wsp:rsid wsp:val=&quot;00AF08A6&quot;/&gt;&lt;wsp:rsid wsp:val=&quot;00AF0C15&quot;/&gt;&lt;wsp:rsid wsp:val=&quot;00AF0EA2&quot;/&gt;&lt;wsp:rsid wsp:val=&quot;00AF1024&quot;/&gt;&lt;wsp:rsid wsp:val=&quot;00AF17A7&quot;/&gt;&lt;wsp:rsid wsp:val=&quot;00AF19C2&quot;/&gt;&lt;wsp:rsid wsp:val=&quot;00AF1A13&quot;/&gt;&lt;wsp:rsid wsp:val=&quot;00AF1C35&quot;/&gt;&lt;wsp:rsid wsp:val=&quot;00AF1CCE&quot;/&gt;&lt;wsp:rsid wsp:val=&quot;00AF1CF9&quot;/&gt;&lt;wsp:rsid wsp:val=&quot;00AF1D85&quot;/&gt;&lt;wsp:rsid wsp:val=&quot;00AF2315&quot;/&gt;&lt;wsp:rsid wsp:val=&quot;00AF237C&quot;/&gt;&lt;wsp:rsid wsp:val=&quot;00AF252A&quot;/&gt;&lt;wsp:rsid wsp:val=&quot;00AF25CE&quot;/&gt;&lt;wsp:rsid wsp:val=&quot;00AF27F8&quot;/&gt;&lt;wsp:rsid wsp:val=&quot;00AF28C5&quot;/&gt;&lt;wsp:rsid wsp:val=&quot;00AF28FA&quot;/&gt;&lt;wsp:rsid wsp:val=&quot;00AF29CB&quot;/&gt;&lt;wsp:rsid wsp:val=&quot;00AF2DFF&quot;/&gt;&lt;wsp:rsid wsp:val=&quot;00AF3101&quot;/&gt;&lt;wsp:rsid wsp:val=&quot;00AF3280&quot;/&gt;&lt;wsp:rsid wsp:val=&quot;00AF32C5&quot;/&gt;&lt;wsp:rsid wsp:val=&quot;00AF3A86&quot;/&gt;&lt;wsp:rsid wsp:val=&quot;00AF3C40&quot;/&gt;&lt;wsp:rsid wsp:val=&quot;00AF3DBB&quot;/&gt;&lt;wsp:rsid wsp:val=&quot;00AF3F6B&quot;/&gt;&lt;wsp:rsid wsp:val=&quot;00AF3FDA&quot;/&gt;&lt;wsp:rsid wsp:val=&quot;00AF419F&quot;/&gt;&lt;wsp:rsid wsp:val=&quot;00AF423C&quot;/&gt;&lt;wsp:rsid wsp:val=&quot;00AF443D&quot;/&gt;&lt;wsp:rsid wsp:val=&quot;00AF4645&quot;/&gt;&lt;wsp:rsid wsp:val=&quot;00AF4CB4&quot;/&gt;&lt;wsp:rsid wsp:val=&quot;00AF4FD9&quot;/&gt;&lt;wsp:rsid wsp:val=&quot;00AF54FD&quot;/&gt;&lt;wsp:rsid wsp:val=&quot;00AF553E&quot;/&gt;&lt;wsp:rsid wsp:val=&quot;00AF5553&quot;/&gt;&lt;wsp:rsid wsp:val=&quot;00AF56D8&quot;/&gt;&lt;wsp:rsid wsp:val=&quot;00AF571E&quot;/&gt;&lt;wsp:rsid wsp:val=&quot;00AF5A50&quot;/&gt;&lt;wsp:rsid wsp:val=&quot;00AF5EA7&quot;/&gt;&lt;wsp:rsid wsp:val=&quot;00AF63CC&quot;/&gt;&lt;wsp:rsid wsp:val=&quot;00AF6755&quot;/&gt;&lt;wsp:rsid wsp:val=&quot;00AF68A8&quot;/&gt;&lt;wsp:rsid wsp:val=&quot;00AF692C&quot;/&gt;&lt;wsp:rsid wsp:val=&quot;00AF6C05&quot;/&gt;&lt;wsp:rsid wsp:val=&quot;00AF6C60&quot;/&gt;&lt;wsp:rsid wsp:val=&quot;00AF6E49&quot;/&gt;&lt;wsp:rsid wsp:val=&quot;00AF6EB2&quot;/&gt;&lt;wsp:rsid wsp:val=&quot;00AF6FC4&quot;/&gt;&lt;wsp:rsid wsp:val=&quot;00AF70CA&quot;/&gt;&lt;wsp:rsid wsp:val=&quot;00AF7182&quot;/&gt;&lt;wsp:rsid wsp:val=&quot;00AF7BE0&quot;/&gt;&lt;wsp:rsid wsp:val=&quot;00B00231&quot;/&gt;&lt;wsp:rsid wsp:val=&quot;00B00273&quot;/&gt;&lt;wsp:rsid wsp:val=&quot;00B0070D&quot;/&gt;&lt;wsp:rsid wsp:val=&quot;00B00783&quot;/&gt;&lt;wsp:rsid wsp:val=&quot;00B009D1&quot;/&gt;&lt;wsp:rsid wsp:val=&quot;00B00B45&quot;/&gt;&lt;wsp:rsid wsp:val=&quot;00B012F4&quot;/&gt;&lt;wsp:rsid wsp:val=&quot;00B013AE&quot;/&gt;&lt;wsp:rsid wsp:val=&quot;00B013CF&quot;/&gt;&lt;wsp:rsid wsp:val=&quot;00B014E3&quot;/&gt;&lt;wsp:rsid wsp:val=&quot;00B0166C&quot;/&gt;&lt;wsp:rsid wsp:val=&quot;00B01A84&quot;/&gt;&lt;wsp:rsid wsp:val=&quot;00B0201A&quot;/&gt;&lt;wsp:rsid wsp:val=&quot;00B02154&quot;/&gt;&lt;wsp:rsid wsp:val=&quot;00B02295&quot;/&gt;&lt;wsp:rsid wsp:val=&quot;00B024C8&quot;/&gt;&lt;wsp:rsid wsp:val=&quot;00B027A0&quot;/&gt;&lt;wsp:rsid wsp:val=&quot;00B02C10&quot;/&gt;&lt;wsp:rsid wsp:val=&quot;00B02E2F&quot;/&gt;&lt;wsp:rsid wsp:val=&quot;00B035B3&quot;/&gt;&lt;wsp:rsid wsp:val=&quot;00B03EC0&quot;/&gt;&lt;wsp:rsid wsp:val=&quot;00B04A55&quot;/&gt;&lt;wsp:rsid wsp:val=&quot;00B04B17&quot;/&gt;&lt;wsp:rsid wsp:val=&quot;00B054B9&quot;/&gt;&lt;wsp:rsid wsp:val=&quot;00B05970&quot;/&gt;&lt;wsp:rsid wsp:val=&quot;00B05AEE&quot;/&gt;&lt;wsp:rsid wsp:val=&quot;00B05B11&quot;/&gt;&lt;wsp:rsid wsp:val=&quot;00B05BC4&quot;/&gt;&lt;wsp:rsid wsp:val=&quot;00B05BE5&quot;/&gt;&lt;wsp:rsid wsp:val=&quot;00B05E71&quot;/&gt;&lt;wsp:rsid wsp:val=&quot;00B05F4F&quot;/&gt;&lt;wsp:rsid wsp:val=&quot;00B0666E&quot;/&gt;&lt;wsp:rsid wsp:val=&quot;00B06A5A&quot;/&gt;&lt;wsp:rsid wsp:val=&quot;00B07011&quot;/&gt;&lt;wsp:rsid wsp:val=&quot;00B0722E&quot;/&gt;&lt;wsp:rsid wsp:val=&quot;00B072E2&quot;/&gt;&lt;wsp:rsid wsp:val=&quot;00B0742B&quot;/&gt;&lt;wsp:rsid wsp:val=&quot;00B07430&quot;/&gt;&lt;wsp:rsid wsp:val=&quot;00B07449&quot;/&gt;&lt;wsp:rsid wsp:val=&quot;00B07541&quot;/&gt;&lt;wsp:rsid wsp:val=&quot;00B0774F&quot;/&gt;&lt;wsp:rsid wsp:val=&quot;00B077D2&quot;/&gt;&lt;wsp:rsid wsp:val=&quot;00B07B34&quot;/&gt;&lt;wsp:rsid wsp:val=&quot;00B07C83&quot;/&gt;&lt;wsp:rsid wsp:val=&quot;00B07D8F&quot;/&gt;&lt;wsp:rsid wsp:val=&quot;00B10424&quot;/&gt;&lt;wsp:rsid wsp:val=&quot;00B10425&quot;/&gt;&lt;wsp:rsid wsp:val=&quot;00B10548&quot;/&gt;&lt;wsp:rsid wsp:val=&quot;00B10566&quot;/&gt;&lt;wsp:rsid wsp:val=&quot;00B1057C&quot;/&gt;&lt;wsp:rsid wsp:val=&quot;00B10656&quot;/&gt;&lt;wsp:rsid wsp:val=&quot;00B1093E&quot;/&gt;&lt;wsp:rsid wsp:val=&quot;00B10956&quot;/&gt;&lt;wsp:rsid wsp:val=&quot;00B10BD3&quot;/&gt;&lt;wsp:rsid wsp:val=&quot;00B10CC0&quot;/&gt;&lt;wsp:rsid wsp:val=&quot;00B10F44&quot;/&gt;&lt;wsp:rsid wsp:val=&quot;00B11188&quot;/&gt;&lt;wsp:rsid wsp:val=&quot;00B11394&quot;/&gt;&lt;wsp:rsid wsp:val=&quot;00B113CE&quot;/&gt;&lt;wsp:rsid wsp:val=&quot;00B11402&quot;/&gt;&lt;wsp:rsid wsp:val=&quot;00B114BB&quot;/&gt;&lt;wsp:rsid wsp:val=&quot;00B1171F&quot;/&gt;&lt;wsp:rsid wsp:val=&quot;00B119F1&quot;/&gt;&lt;wsp:rsid wsp:val=&quot;00B11DAC&quot;/&gt;&lt;wsp:rsid wsp:val=&quot;00B11DED&quot;/&gt;&lt;wsp:rsid wsp:val=&quot;00B11FB8&quot;/&gt;&lt;wsp:rsid wsp:val=&quot;00B1200D&quot;/&gt;&lt;wsp:rsid wsp:val=&quot;00B120D4&quot;/&gt;&lt;wsp:rsid wsp:val=&quot;00B1252C&quot;/&gt;&lt;wsp:rsid wsp:val=&quot;00B12555&quot;/&gt;&lt;wsp:rsid wsp:val=&quot;00B126A2&quot;/&gt;&lt;wsp:rsid wsp:val=&quot;00B1279E&quot;/&gt;&lt;wsp:rsid wsp:val=&quot;00B12B4F&quot;/&gt;&lt;wsp:rsid wsp:val=&quot;00B12EC9&quot;/&gt;&lt;wsp:rsid wsp:val=&quot;00B13435&quot;/&gt;&lt;wsp:rsid wsp:val=&quot;00B13448&quot;/&gt;&lt;wsp:rsid wsp:val=&quot;00B135C1&quot;/&gt;&lt;wsp:rsid wsp:val=&quot;00B136FD&quot;/&gt;&lt;wsp:rsid wsp:val=&quot;00B13760&quot;/&gt;&lt;wsp:rsid wsp:val=&quot;00B13986&quot;/&gt;&lt;wsp:rsid wsp:val=&quot;00B13A0C&quot;/&gt;&lt;wsp:rsid wsp:val=&quot;00B13B9E&quot;/&gt;&lt;wsp:rsid wsp:val=&quot;00B13D68&quot;/&gt;&lt;wsp:rsid wsp:val=&quot;00B13EE0&quot;/&gt;&lt;wsp:rsid wsp:val=&quot;00B13F6F&quot;/&gt;&lt;wsp:rsid wsp:val=&quot;00B1474B&quot;/&gt;&lt;wsp:rsid wsp:val=&quot;00B1481C&quot;/&gt;&lt;wsp:rsid wsp:val=&quot;00B14911&quot;/&gt;&lt;wsp:rsid wsp:val=&quot;00B14E0B&quot;/&gt;&lt;wsp:rsid wsp:val=&quot;00B150C9&quot;/&gt;&lt;wsp:rsid wsp:val=&quot;00B15162&quot;/&gt;&lt;wsp:rsid wsp:val=&quot;00B1516C&quot;/&gt;&lt;wsp:rsid wsp:val=&quot;00B15462&quot;/&gt;&lt;wsp:rsid wsp:val=&quot;00B1557A&quot;/&gt;&lt;wsp:rsid wsp:val=&quot;00B15C55&quot;/&gt;&lt;wsp:rsid wsp:val=&quot;00B161D2&quot;/&gt;&lt;wsp:rsid wsp:val=&quot;00B168BC&quot;/&gt;&lt;wsp:rsid wsp:val=&quot;00B16AB2&quot;/&gt;&lt;wsp:rsid wsp:val=&quot;00B16CC0&quot;/&gt;&lt;wsp:rsid wsp:val=&quot;00B16CD0&quot;/&gt;&lt;wsp:rsid wsp:val=&quot;00B16EA6&quot;/&gt;&lt;wsp:rsid wsp:val=&quot;00B16F9E&quot;/&gt;&lt;wsp:rsid wsp:val=&quot;00B16FB0&quot;/&gt;&lt;wsp:rsid wsp:val=&quot;00B172D9&quot;/&gt;&lt;wsp:rsid wsp:val=&quot;00B175F2&quot;/&gt;&lt;wsp:rsid wsp:val=&quot;00B17D25&quot;/&gt;&lt;wsp:rsid wsp:val=&quot;00B17DAA&quot;/&gt;&lt;wsp:rsid wsp:val=&quot;00B2015D&quot;/&gt;&lt;wsp:rsid wsp:val=&quot;00B2043C&quot;/&gt;&lt;wsp:rsid wsp:val=&quot;00B209C3&quot;/&gt;&lt;wsp:rsid wsp:val=&quot;00B20E28&quot;/&gt;&lt;wsp:rsid wsp:val=&quot;00B20EC9&quot;/&gt;&lt;wsp:rsid wsp:val=&quot;00B20F51&quot;/&gt;&lt;wsp:rsid wsp:val=&quot;00B2103F&quot;/&gt;&lt;wsp:rsid wsp:val=&quot;00B21079&quot;/&gt;&lt;wsp:rsid wsp:val=&quot;00B2143D&quot;/&gt;&lt;wsp:rsid wsp:val=&quot;00B214A4&quot;/&gt;&lt;wsp:rsid wsp:val=&quot;00B21621&quot;/&gt;&lt;wsp:rsid wsp:val=&quot;00B21702&quot;/&gt;&lt;wsp:rsid wsp:val=&quot;00B2194E&quot;/&gt;&lt;wsp:rsid wsp:val=&quot;00B21959&quot;/&gt;&lt;wsp:rsid wsp:val=&quot;00B21D8D&quot;/&gt;&lt;wsp:rsid wsp:val=&quot;00B21DA6&quot;/&gt;&lt;wsp:rsid wsp:val=&quot;00B21E78&quot;/&gt;&lt;wsp:rsid wsp:val=&quot;00B21EAE&quot;/&gt;&lt;wsp:rsid wsp:val=&quot;00B21ECA&quot;/&gt;&lt;wsp:rsid wsp:val=&quot;00B21FD0&quot;/&gt;&lt;wsp:rsid wsp:val=&quot;00B221D9&quot;/&gt;&lt;wsp:rsid wsp:val=&quot;00B22529&quot;/&gt;&lt;wsp:rsid wsp:val=&quot;00B225B4&quot;/&gt;&lt;wsp:rsid wsp:val=&quot;00B225CB&quot;/&gt;&lt;wsp:rsid wsp:val=&quot;00B22B2C&quot;/&gt;&lt;wsp:rsid wsp:val=&quot;00B22C18&quot;/&gt;&lt;wsp:rsid wsp:val=&quot;00B22CAA&quot;/&gt;&lt;wsp:rsid wsp:val=&quot;00B22CB4&quot;/&gt;&lt;wsp:rsid wsp:val=&quot;00B22D19&quot;/&gt;&lt;wsp:rsid wsp:val=&quot;00B23616&quot;/&gt;&lt;wsp:rsid wsp:val=&quot;00B236BB&quot;/&gt;&lt;wsp:rsid wsp:val=&quot;00B238D4&quot;/&gt;&lt;wsp:rsid wsp:val=&quot;00B23982&quot;/&gt;&lt;wsp:rsid wsp:val=&quot;00B23DC9&quot;/&gt;&lt;wsp:rsid wsp:val=&quot;00B23E22&quot;/&gt;&lt;wsp:rsid wsp:val=&quot;00B241D0&quot;/&gt;&lt;wsp:rsid wsp:val=&quot;00B242F4&quot;/&gt;&lt;wsp:rsid wsp:val=&quot;00B24379&quot;/&gt;&lt;wsp:rsid wsp:val=&quot;00B24460&quot;/&gt;&lt;wsp:rsid wsp:val=&quot;00B24474&quot;/&gt;&lt;wsp:rsid wsp:val=&quot;00B24580&quot;/&gt;&lt;wsp:rsid wsp:val=&quot;00B24728&quot;/&gt;&lt;wsp:rsid wsp:val=&quot;00B24B33&quot;/&gt;&lt;wsp:rsid wsp:val=&quot;00B25008&quot;/&gt;&lt;wsp:rsid wsp:val=&quot;00B25046&quot;/&gt;&lt;wsp:rsid wsp:val=&quot;00B2509C&quot;/&gt;&lt;wsp:rsid wsp:val=&quot;00B25135&quot;/&gt;&lt;wsp:rsid wsp:val=&quot;00B25301&quot;/&gt;&lt;wsp:rsid wsp:val=&quot;00B25647&quot;/&gt;&lt;wsp:rsid wsp:val=&quot;00B258A4&quot;/&gt;&lt;wsp:rsid wsp:val=&quot;00B25C38&quot;/&gt;&lt;wsp:rsid wsp:val=&quot;00B25C89&quot;/&gt;&lt;wsp:rsid wsp:val=&quot;00B25CB4&quot;/&gt;&lt;wsp:rsid wsp:val=&quot;00B261B9&quot;/&gt;&lt;wsp:rsid wsp:val=&quot;00B2648A&quot;/&gt;&lt;wsp:rsid wsp:val=&quot;00B265DA&quot;/&gt;&lt;wsp:rsid wsp:val=&quot;00B26612&quot;/&gt;&lt;wsp:rsid wsp:val=&quot;00B269C3&quot;/&gt;&lt;wsp:rsid wsp:val=&quot;00B26D31&quot;/&gt;&lt;wsp:rsid wsp:val=&quot;00B277A2&quot;/&gt;&lt;wsp:rsid wsp:val=&quot;00B27992&quot;/&gt;&lt;wsp:rsid wsp:val=&quot;00B30055&quot;/&gt;&lt;wsp:rsid wsp:val=&quot;00B30134&quot;/&gt;&lt;wsp:rsid wsp:val=&quot;00B30A68&quot;/&gt;&lt;wsp:rsid wsp:val=&quot;00B312D2&quot;/&gt;&lt;wsp:rsid wsp:val=&quot;00B31435&quot;/&gt;&lt;wsp:rsid wsp:val=&quot;00B3148A&quot;/&gt;&lt;wsp:rsid wsp:val=&quot;00B31847&quot;/&gt;&lt;wsp:rsid wsp:val=&quot;00B31867&quot;/&gt;&lt;wsp:rsid wsp:val=&quot;00B318F6&quot;/&gt;&lt;wsp:rsid wsp:val=&quot;00B31992&quot;/&gt;&lt;wsp:rsid wsp:val=&quot;00B31ACF&quot;/&gt;&lt;wsp:rsid wsp:val=&quot;00B31DE0&quot;/&gt;&lt;wsp:rsid wsp:val=&quot;00B31E92&quot;/&gt;&lt;wsp:rsid wsp:val=&quot;00B31FF5&quot;/&gt;&lt;wsp:rsid wsp:val=&quot;00B3216E&quot;/&gt;&lt;wsp:rsid wsp:val=&quot;00B32552&quot;/&gt;&lt;wsp:rsid wsp:val=&quot;00B3267F&quot;/&gt;&lt;wsp:rsid wsp:val=&quot;00B32704&quot;/&gt;&lt;wsp:rsid wsp:val=&quot;00B32791&quot;/&gt;&lt;wsp:rsid wsp:val=&quot;00B327E3&quot;/&gt;&lt;wsp:rsid wsp:val=&quot;00B32A08&quot;/&gt;&lt;wsp:rsid wsp:val=&quot;00B32ABC&quot;/&gt;&lt;wsp:rsid wsp:val=&quot;00B32B21&quot;/&gt;&lt;wsp:rsid wsp:val=&quot;00B33498&quot;/&gt;&lt;wsp:rsid wsp:val=&quot;00B33A56&quot;/&gt;&lt;wsp:rsid wsp:val=&quot;00B33A78&quot;/&gt;&lt;wsp:rsid wsp:val=&quot;00B33A94&quot;/&gt;&lt;wsp:rsid wsp:val=&quot;00B33B8B&quot;/&gt;&lt;wsp:rsid wsp:val=&quot;00B33BDC&quot;/&gt;&lt;wsp:rsid wsp:val=&quot;00B33D49&quot;/&gt;&lt;wsp:rsid wsp:val=&quot;00B33EA4&quot;/&gt;&lt;wsp:rsid wsp:val=&quot;00B34407&quot;/&gt;&lt;wsp:rsid wsp:val=&quot;00B34A4F&quot;/&gt;&lt;wsp:rsid wsp:val=&quot;00B34BF0&quot;/&gt;&lt;wsp:rsid wsp:val=&quot;00B35527&quot;/&gt;&lt;wsp:rsid wsp:val=&quot;00B35917&quot;/&gt;&lt;wsp:rsid wsp:val=&quot;00B35D66&quot;/&gt;&lt;wsp:rsid wsp:val=&quot;00B35DF6&quot;/&gt;&lt;wsp:rsid wsp:val=&quot;00B3621E&quot;/&gt;&lt;wsp:rsid wsp:val=&quot;00B36311&quot;/&gt;&lt;wsp:rsid wsp:val=&quot;00B364CE&quot;/&gt;&lt;wsp:rsid wsp:val=&quot;00B365D4&quot;/&gt;&lt;wsp:rsid wsp:val=&quot;00B3688C&quot;/&gt;&lt;wsp:rsid wsp:val=&quot;00B36A33&quot;/&gt;&lt;wsp:rsid wsp:val=&quot;00B36EC4&quot;/&gt;&lt;wsp:rsid wsp:val=&quot;00B370C9&quot;/&gt;&lt;wsp:rsid wsp:val=&quot;00B371C8&quot;/&gt;&lt;wsp:rsid wsp:val=&quot;00B3722B&quot;/&gt;&lt;wsp:rsid wsp:val=&quot;00B3737F&quot;/&gt;&lt;wsp:rsid wsp:val=&quot;00B37CB1&quot;/&gt;&lt;wsp:rsid wsp:val=&quot;00B37D15&quot;/&gt;&lt;wsp:rsid wsp:val=&quot;00B37EED&quot;/&gt;&lt;wsp:rsid wsp:val=&quot;00B40004&quot;/&gt;&lt;wsp:rsid wsp:val=&quot;00B4015C&quot;/&gt;&lt;wsp:rsid wsp:val=&quot;00B40870&quot;/&gt;&lt;wsp:rsid wsp:val=&quot;00B40AEF&quot;/&gt;&lt;wsp:rsid wsp:val=&quot;00B40B74&quot;/&gt;&lt;wsp:rsid wsp:val=&quot;00B40D9F&quot;/&gt;&lt;wsp:rsid wsp:val=&quot;00B40EEE&quot;/&gt;&lt;wsp:rsid wsp:val=&quot;00B4117A&quot;/&gt;&lt;wsp:rsid wsp:val=&quot;00B413B0&quot;/&gt;&lt;wsp:rsid wsp:val=&quot;00B41726&quot;/&gt;&lt;wsp:rsid wsp:val=&quot;00B41930&quot;/&gt;&lt;wsp:rsid wsp:val=&quot;00B41C02&quot;/&gt;&lt;wsp:rsid wsp:val=&quot;00B41C4E&quot;/&gt;&lt;wsp:rsid wsp:val=&quot;00B41D77&quot;/&gt;&lt;wsp:rsid wsp:val=&quot;00B41DC0&quot;/&gt;&lt;wsp:rsid wsp:val=&quot;00B41F2F&quot;/&gt;&lt;wsp:rsid wsp:val=&quot;00B423C5&quot;/&gt;&lt;wsp:rsid wsp:val=&quot;00B42489&quot;/&gt;&lt;wsp:rsid wsp:val=&quot;00B42584&quot;/&gt;&lt;wsp:rsid wsp:val=&quot;00B426B4&quot;/&gt;&lt;wsp:rsid wsp:val=&quot;00B42D9C&quot;/&gt;&lt;wsp:rsid wsp:val=&quot;00B42DE4&quot;/&gt;&lt;wsp:rsid wsp:val=&quot;00B43079&quot;/&gt;&lt;wsp:rsid wsp:val=&quot;00B4307D&quot;/&gt;&lt;wsp:rsid wsp:val=&quot;00B431F6&quot;/&gt;&lt;wsp:rsid wsp:val=&quot;00B432EE&quot;/&gt;&lt;wsp:rsid wsp:val=&quot;00B43429&quot;/&gt;&lt;wsp:rsid wsp:val=&quot;00B4361D&quot;/&gt;&lt;wsp:rsid wsp:val=&quot;00B43A4A&quot;/&gt;&lt;wsp:rsid wsp:val=&quot;00B43D14&quot;/&gt;&lt;wsp:rsid wsp:val=&quot;00B43D46&quot;/&gt;&lt;wsp:rsid wsp:val=&quot;00B43FF4&quot;/&gt;&lt;wsp:rsid wsp:val=&quot;00B4406E&quot;/&gt;&lt;wsp:rsid wsp:val=&quot;00B44281&quot;/&gt;&lt;wsp:rsid wsp:val=&quot;00B44670&quot;/&gt;&lt;wsp:rsid wsp:val=&quot;00B44CB1&quot;/&gt;&lt;wsp:rsid wsp:val=&quot;00B44F8D&quot;/&gt;&lt;wsp:rsid wsp:val=&quot;00B45150&quot;/&gt;&lt;wsp:rsid wsp:val=&quot;00B453D6&quot;/&gt;&lt;wsp:rsid wsp:val=&quot;00B4595E&quot;/&gt;&lt;wsp:rsid wsp:val=&quot;00B45A55&quot;/&gt;&lt;wsp:rsid wsp:val=&quot;00B45B45&quot;/&gt;&lt;wsp:rsid wsp:val=&quot;00B45B87&quot;/&gt;&lt;wsp:rsid wsp:val=&quot;00B460C8&quot;/&gt;&lt;wsp:rsid wsp:val=&quot;00B4667A&quot;/&gt;&lt;wsp:rsid wsp:val=&quot;00B46698&quot;/&gt;&lt;wsp:rsid wsp:val=&quot;00B466E6&quot;/&gt;&lt;wsp:rsid wsp:val=&quot;00B468EF&quot;/&gt;&lt;wsp:rsid wsp:val=&quot;00B46927&quot;/&gt;&lt;wsp:rsid wsp:val=&quot;00B46C3F&quot;/&gt;&lt;wsp:rsid wsp:val=&quot;00B471D5&quot;/&gt;&lt;wsp:rsid wsp:val=&quot;00B47815&quot;/&gt;&lt;wsp:rsid wsp:val=&quot;00B47884&quot;/&gt;&lt;wsp:rsid wsp:val=&quot;00B47AE2&quot;/&gt;&lt;wsp:rsid wsp:val=&quot;00B47BBC&quot;/&gt;&lt;wsp:rsid wsp:val=&quot;00B47BF2&quot;/&gt;&lt;wsp:rsid wsp:val=&quot;00B500F6&quot;/&gt;&lt;wsp:rsid wsp:val=&quot;00B50324&quot;/&gt;&lt;wsp:rsid wsp:val=&quot;00B504C2&quot;/&gt;&lt;wsp:rsid wsp:val=&quot;00B5050C&quot;/&gt;&lt;wsp:rsid wsp:val=&quot;00B50872&quot;/&gt;&lt;wsp:rsid wsp:val=&quot;00B50AA4&quot;/&gt;&lt;wsp:rsid wsp:val=&quot;00B50CA2&quot;/&gt;&lt;wsp:rsid wsp:val=&quot;00B51004&quot;/&gt;&lt;wsp:rsid wsp:val=&quot;00B51132&quot;/&gt;&lt;wsp:rsid wsp:val=&quot;00B51335&quot;/&gt;&lt;wsp:rsid wsp:val=&quot;00B51BBE&quot;/&gt;&lt;wsp:rsid wsp:val=&quot;00B51E7B&quot;/&gt;&lt;wsp:rsid wsp:val=&quot;00B5223B&quot;/&gt;&lt;wsp:rsid wsp:val=&quot;00B52347&quot;/&gt;&lt;wsp:rsid wsp:val=&quot;00B523E3&quot;/&gt;&lt;wsp:rsid wsp:val=&quot;00B5242F&quot;/&gt;&lt;wsp:rsid wsp:val=&quot;00B52456&quot;/&gt;&lt;wsp:rsid wsp:val=&quot;00B526B6&quot;/&gt;&lt;wsp:rsid wsp:val=&quot;00B52793&quot;/&gt;&lt;wsp:rsid wsp:val=&quot;00B52CFA&quot;/&gt;&lt;wsp:rsid wsp:val=&quot;00B52EA3&quot;/&gt;&lt;wsp:rsid wsp:val=&quot;00B53039&quot;/&gt;&lt;wsp:rsid wsp:val=&quot;00B53188&quot;/&gt;&lt;wsp:rsid wsp:val=&quot;00B5347B&quot;/&gt;&lt;wsp:rsid wsp:val=&quot;00B535DB&quot;/&gt;&lt;wsp:rsid wsp:val=&quot;00B5361A&quot;/&gt;&lt;wsp:rsid wsp:val=&quot;00B537A2&quot;/&gt;&lt;wsp:rsid wsp:val=&quot;00B539EC&quot;/&gt;&lt;wsp:rsid wsp:val=&quot;00B53F59&quot;/&gt;&lt;wsp:rsid wsp:val=&quot;00B540FC&quot;/&gt;&lt;wsp:rsid wsp:val=&quot;00B543A6&quot;/&gt;&lt;wsp:rsid wsp:val=&quot;00B5463C&quot;/&gt;&lt;wsp:rsid wsp:val=&quot;00B5471E&quot;/&gt;&lt;wsp:rsid wsp:val=&quot;00B54748&quot;/&gt;&lt;wsp:rsid wsp:val=&quot;00B547B2&quot;/&gt;&lt;wsp:rsid wsp:val=&quot;00B55546&quot;/&gt;&lt;wsp:rsid wsp:val=&quot;00B559BE&quot;/&gt;&lt;wsp:rsid wsp:val=&quot;00B55B12&quot;/&gt;&lt;wsp:rsid wsp:val=&quot;00B55E98&quot;/&gt;&lt;wsp:rsid wsp:val=&quot;00B56096&quot;/&gt;&lt;wsp:rsid wsp:val=&quot;00B56147&quot;/&gt;&lt;wsp:rsid wsp:val=&quot;00B561EC&quot;/&gt;&lt;wsp:rsid wsp:val=&quot;00B56201&quot;/&gt;&lt;wsp:rsid wsp:val=&quot;00B565C4&quot;/&gt;&lt;wsp:rsid wsp:val=&quot;00B56777&quot;/&gt;&lt;wsp:rsid wsp:val=&quot;00B569D8&quot;/&gt;&lt;wsp:rsid wsp:val=&quot;00B56FFE&quot;/&gt;&lt;wsp:rsid wsp:val=&quot;00B5710C&quot;/&gt;&lt;wsp:rsid wsp:val=&quot;00B57123&quot;/&gt;&lt;wsp:rsid wsp:val=&quot;00B57186&quot;/&gt;&lt;wsp:rsid wsp:val=&quot;00B572F3&quot;/&gt;&lt;wsp:rsid wsp:val=&quot;00B5739A&quot;/&gt;&lt;wsp:rsid wsp:val=&quot;00B573CA&quot;/&gt;&lt;wsp:rsid wsp:val=&quot;00B57529&quot;/&gt;&lt;wsp:rsid wsp:val=&quot;00B57534&quot;/&gt;&lt;wsp:rsid wsp:val=&quot;00B57724&quot;/&gt;&lt;wsp:rsid wsp:val=&quot;00B5796E&quot;/&gt;&lt;wsp:rsid wsp:val=&quot;00B57AA1&quot;/&gt;&lt;wsp:rsid wsp:val=&quot;00B57BD8&quot;/&gt;&lt;wsp:rsid wsp:val=&quot;00B57D33&quot;/&gt;&lt;wsp:rsid wsp:val=&quot;00B57E48&quot;/&gt;&lt;wsp:rsid wsp:val=&quot;00B57F5A&quot;/&gt;&lt;wsp:rsid wsp:val=&quot;00B60025&quot;/&gt;&lt;wsp:rsid wsp:val=&quot;00B60401&quot;/&gt;&lt;wsp:rsid wsp:val=&quot;00B60934&quot;/&gt;&lt;wsp:rsid wsp:val=&quot;00B60A2B&quot;/&gt;&lt;wsp:rsid wsp:val=&quot;00B60BC4&quot;/&gt;&lt;wsp:rsid wsp:val=&quot;00B60D7F&quot;/&gt;&lt;wsp:rsid wsp:val=&quot;00B612B8&quot;/&gt;&lt;wsp:rsid wsp:val=&quot;00B6134C&quot;/&gt;&lt;wsp:rsid wsp:val=&quot;00B6135B&quot;/&gt;&lt;wsp:rsid wsp:val=&quot;00B6138D&quot;/&gt;&lt;wsp:rsid wsp:val=&quot;00B6166D&quot;/&gt;&lt;wsp:rsid wsp:val=&quot;00B61948&quot;/&gt;&lt;wsp:rsid wsp:val=&quot;00B61A9C&quot;/&gt;&lt;wsp:rsid wsp:val=&quot;00B61B4F&quot;/&gt;&lt;wsp:rsid wsp:val=&quot;00B624F6&quot;/&gt;&lt;wsp:rsid wsp:val=&quot;00B6251E&quot;/&gt;&lt;wsp:rsid wsp:val=&quot;00B6281B&quot;/&gt;&lt;wsp:rsid wsp:val=&quot;00B62B8B&quot;/&gt;&lt;wsp:rsid wsp:val=&quot;00B630FB&quot;/&gt;&lt;wsp:rsid wsp:val=&quot;00B631EC&quot;/&gt;&lt;wsp:rsid wsp:val=&quot;00B63305&quot;/&gt;&lt;wsp:rsid wsp:val=&quot;00B638FF&quot;/&gt;&lt;wsp:rsid wsp:val=&quot;00B63B62&quot;/&gt;&lt;wsp:rsid wsp:val=&quot;00B63D12&quot;/&gt;&lt;wsp:rsid wsp:val=&quot;00B64016&quot;/&gt;&lt;wsp:rsid wsp:val=&quot;00B6452B&quot;/&gt;&lt;wsp:rsid wsp:val=&quot;00B645CF&quot;/&gt;&lt;wsp:rsid wsp:val=&quot;00B64FE2&quot;/&gt;&lt;wsp:rsid wsp:val=&quot;00B650E6&quot;/&gt;&lt;wsp:rsid wsp:val=&quot;00B6544D&quot;/&gt;&lt;wsp:rsid wsp:val=&quot;00B6549C&quot;/&gt;&lt;wsp:rsid wsp:val=&quot;00B657B1&quot;/&gt;&lt;wsp:rsid wsp:val=&quot;00B6580E&quot;/&gt;&lt;wsp:rsid wsp:val=&quot;00B6589E&quot;/&gt;&lt;wsp:rsid wsp:val=&quot;00B658D1&quot;/&gt;&lt;wsp:rsid wsp:val=&quot;00B659E1&quot;/&gt;&lt;wsp:rsid wsp:val=&quot;00B65CF5&quot;/&gt;&lt;wsp:rsid wsp:val=&quot;00B65E85&quot;/&gt;&lt;wsp:rsid wsp:val=&quot;00B660FB&quot;/&gt;&lt;wsp:rsid wsp:val=&quot;00B6648F&quot;/&gt;&lt;wsp:rsid wsp:val=&quot;00B665E6&quot;/&gt;&lt;wsp:rsid wsp:val=&quot;00B66841&quot;/&gt;&lt;wsp:rsid wsp:val=&quot;00B668DD&quot;/&gt;&lt;wsp:rsid wsp:val=&quot;00B66B77&quot;/&gt;&lt;wsp:rsid wsp:val=&quot;00B66C2E&quot;/&gt;&lt;wsp:rsid wsp:val=&quot;00B66FBD&quot;/&gt;&lt;wsp:rsid wsp:val=&quot;00B6760A&quot;/&gt;&lt;wsp:rsid wsp:val=&quot;00B67BE8&quot;/&gt;&lt;wsp:rsid wsp:val=&quot;00B67C10&quot;/&gt;&lt;wsp:rsid wsp:val=&quot;00B67C99&quot;/&gt;&lt;wsp:rsid wsp:val=&quot;00B67E4E&quot;/&gt;&lt;wsp:rsid wsp:val=&quot;00B67FAD&quot;/&gt;&lt;wsp:rsid wsp:val=&quot;00B70008&quot;/&gt;&lt;wsp:rsid wsp:val=&quot;00B70343&quot;/&gt;&lt;wsp:rsid wsp:val=&quot;00B7034D&quot;/&gt;&lt;wsp:rsid wsp:val=&quot;00B705B5&quot;/&gt;&lt;wsp:rsid wsp:val=&quot;00B70663&quot;/&gt;&lt;wsp:rsid wsp:val=&quot;00B70931&quot;/&gt;&lt;wsp:rsid wsp:val=&quot;00B70A20&quot;/&gt;&lt;wsp:rsid wsp:val=&quot;00B70C64&quot;/&gt;&lt;wsp:rsid wsp:val=&quot;00B70CF6&quot;/&gt;&lt;wsp:rsid wsp:val=&quot;00B70CF8&quot;/&gt;&lt;wsp:rsid wsp:val=&quot;00B70D10&quot;/&gt;&lt;wsp:rsid wsp:val=&quot;00B70D5E&quot;/&gt;&lt;wsp:rsid wsp:val=&quot;00B71008&quot;/&gt;&lt;wsp:rsid wsp:val=&quot;00B71278&quot;/&gt;&lt;wsp:rsid wsp:val=&quot;00B713A8&quot;/&gt;&lt;wsp:rsid wsp:val=&quot;00B715BF&quot;/&gt;&lt;wsp:rsid wsp:val=&quot;00B716D4&quot;/&gt;&lt;wsp:rsid wsp:val=&quot;00B71868&quot;/&gt;&lt;wsp:rsid wsp:val=&quot;00B7219D&quot;/&gt;&lt;wsp:rsid wsp:val=&quot;00B7232D&quot;/&gt;&lt;wsp:rsid wsp:val=&quot;00B7272B&quot;/&gt;&lt;wsp:rsid wsp:val=&quot;00B72F71&quot;/&gt;&lt;wsp:rsid wsp:val=&quot;00B72FA2&quot;/&gt;&lt;wsp:rsid wsp:val=&quot;00B730D0&quot;/&gt;&lt;wsp:rsid wsp:val=&quot;00B731C9&quot;/&gt;&lt;wsp:rsid wsp:val=&quot;00B732D5&quot;/&gt;&lt;wsp:rsid wsp:val=&quot;00B73342&quot;/&gt;&lt;wsp:rsid wsp:val=&quot;00B734D0&quot;/&gt;&lt;wsp:rsid wsp:val=&quot;00B735A9&quot;/&gt;&lt;wsp:rsid wsp:val=&quot;00B737B3&quot;/&gt;&lt;wsp:rsid wsp:val=&quot;00B73964&quot;/&gt;&lt;wsp:rsid wsp:val=&quot;00B73B05&quot;/&gt;&lt;wsp:rsid wsp:val=&quot;00B73B4B&quot;/&gt;&lt;wsp:rsid wsp:val=&quot;00B73EAC&quot;/&gt;&lt;wsp:rsid wsp:val=&quot;00B73F47&quot;/&gt;&lt;wsp:rsid wsp:val=&quot;00B7413B&quot;/&gt;&lt;wsp:rsid wsp:val=&quot;00B7416D&quot;/&gt;&lt;wsp:rsid wsp:val=&quot;00B74484&quot;/&gt;&lt;wsp:rsid wsp:val=&quot;00B74825&quot;/&gt;&lt;wsp:rsid wsp:val=&quot;00B74B8D&quot;/&gt;&lt;wsp:rsid wsp:val=&quot;00B74D5A&quot;/&gt;&lt;wsp:rsid wsp:val=&quot;00B74EF8&quot;/&gt;&lt;wsp:rsid wsp:val=&quot;00B750A4&quot;/&gt;&lt;wsp:rsid wsp:val=&quot;00B75287&quot;/&gt;&lt;wsp:rsid wsp:val=&quot;00B753C4&quot;/&gt;&lt;wsp:rsid wsp:val=&quot;00B75499&quot;/&gt;&lt;wsp:rsid wsp:val=&quot;00B754F0&quot;/&gt;&lt;wsp:rsid wsp:val=&quot;00B75605&quot;/&gt;&lt;wsp:rsid wsp:val=&quot;00B75618&quot;/&gt;&lt;wsp:rsid wsp:val=&quot;00B75715&quot;/&gt;&lt;wsp:rsid wsp:val=&quot;00B75731&quot;/&gt;&lt;wsp:rsid wsp:val=&quot;00B7576D&quot;/&gt;&lt;wsp:rsid wsp:val=&quot;00B75A6C&quot;/&gt;&lt;wsp:rsid wsp:val=&quot;00B75A88&quot;/&gt;&lt;wsp:rsid wsp:val=&quot;00B75B1F&quot;/&gt;&lt;wsp:rsid wsp:val=&quot;00B7609B&quot;/&gt;&lt;wsp:rsid wsp:val=&quot;00B76365&quot;/&gt;&lt;wsp:rsid wsp:val=&quot;00B76451&quot;/&gt;&lt;wsp:rsid wsp:val=&quot;00B76670&quot;/&gt;&lt;wsp:rsid wsp:val=&quot;00B7669C&quot;/&gt;&lt;wsp:rsid wsp:val=&quot;00B766FC&quot;/&gt;&lt;wsp:rsid wsp:val=&quot;00B76A96&quot;/&gt;&lt;wsp:rsid wsp:val=&quot;00B76C26&quot;/&gt;&lt;wsp:rsid wsp:val=&quot;00B76EAA&quot;/&gt;&lt;wsp:rsid wsp:val=&quot;00B76F46&quot;/&gt;&lt;wsp:rsid wsp:val=&quot;00B77056&quot;/&gt;&lt;wsp:rsid wsp:val=&quot;00B77115&quot;/&gt;&lt;wsp:rsid wsp:val=&quot;00B77766&quot;/&gt;&lt;wsp:rsid wsp:val=&quot;00B77C34&quot;/&gt;&lt;wsp:rsid wsp:val=&quot;00B77D5A&quot;/&gt;&lt;wsp:rsid wsp:val=&quot;00B77FFD&quot;/&gt;&lt;wsp:rsid wsp:val=&quot;00B8056D&quot;/&gt;&lt;wsp:rsid wsp:val=&quot;00B8069F&quot;/&gt;&lt;wsp:rsid wsp:val=&quot;00B807CC&quot;/&gt;&lt;wsp:rsid wsp:val=&quot;00B80829&quot;/&gt;&lt;wsp:rsid wsp:val=&quot;00B808FD&quot;/&gt;&lt;wsp:rsid wsp:val=&quot;00B80966&quot;/&gt;&lt;wsp:rsid wsp:val=&quot;00B809EC&quot;/&gt;&lt;wsp:rsid wsp:val=&quot;00B80A58&quot;/&gt;&lt;wsp:rsid wsp:val=&quot;00B80C07&quot;/&gt;&lt;wsp:rsid wsp:val=&quot;00B80D0C&quot;/&gt;&lt;wsp:rsid wsp:val=&quot;00B80E50&quot;/&gt;&lt;wsp:rsid wsp:val=&quot;00B80E94&quot;/&gt;&lt;wsp:rsid wsp:val=&quot;00B8112D&quot;/&gt;&lt;wsp:rsid wsp:val=&quot;00B81738&quot;/&gt;&lt;wsp:rsid wsp:val=&quot;00B81BD5&quot;/&gt;&lt;wsp:rsid wsp:val=&quot;00B81CE3&quot;/&gt;&lt;wsp:rsid wsp:val=&quot;00B81EEB&quot;/&gt;&lt;wsp:rsid wsp:val=&quot;00B820EF&quot;/&gt;&lt;wsp:rsid wsp:val=&quot;00B82225&quot;/&gt;&lt;wsp:rsid wsp:val=&quot;00B8230A&quot;/&gt;&lt;wsp:rsid wsp:val=&quot;00B82763&quot;/&gt;&lt;wsp:rsid wsp:val=&quot;00B8284C&quot;/&gt;&lt;wsp:rsid wsp:val=&quot;00B82A6C&quot;/&gt;&lt;wsp:rsid wsp:val=&quot;00B82A6F&quot;/&gt;&lt;wsp:rsid wsp:val=&quot;00B82ACB&quot;/&gt;&lt;wsp:rsid wsp:val=&quot;00B82DB5&quot;/&gt;&lt;wsp:rsid wsp:val=&quot;00B82E6F&quot;/&gt;&lt;wsp:rsid wsp:val=&quot;00B83102&quot;/&gt;&lt;wsp:rsid wsp:val=&quot;00B83324&quot;/&gt;&lt;wsp:rsid wsp:val=&quot;00B83567&quot;/&gt;&lt;wsp:rsid wsp:val=&quot;00B83590&quot;/&gt;&lt;wsp:rsid wsp:val=&quot;00B835EF&quot;/&gt;&lt;wsp:rsid wsp:val=&quot;00B83779&quot;/&gt;&lt;wsp:rsid wsp:val=&quot;00B839F0&quot;/&gt;&lt;wsp:rsid wsp:val=&quot;00B83D08&quot;/&gt;&lt;wsp:rsid wsp:val=&quot;00B83DAF&quot;/&gt;&lt;wsp:rsid wsp:val=&quot;00B843CB&quot;/&gt;&lt;wsp:rsid wsp:val=&quot;00B84439&quot;/&gt;&lt;wsp:rsid wsp:val=&quot;00B84771&quot;/&gt;&lt;wsp:rsid wsp:val=&quot;00B84F6E&quot;/&gt;&lt;wsp:rsid wsp:val=&quot;00B85026&quot;/&gt;&lt;wsp:rsid wsp:val=&quot;00B8522B&quot;/&gt;&lt;wsp:rsid wsp:val=&quot;00B85285&quot;/&gt;&lt;wsp:rsid wsp:val=&quot;00B8563A&quot;/&gt;&lt;wsp:rsid wsp:val=&quot;00B8565F&quot;/&gt;&lt;wsp:rsid wsp:val=&quot;00B856BC&quot;/&gt;&lt;wsp:rsid wsp:val=&quot;00B858B4&quot;/&gt;&lt;wsp:rsid wsp:val=&quot;00B85D4A&quot;/&gt;&lt;wsp:rsid wsp:val=&quot;00B85EFE&quot;/&gt;&lt;wsp:rsid wsp:val=&quot;00B8600E&quot;/&gt;&lt;wsp:rsid wsp:val=&quot;00B862EF&quot;/&gt;&lt;wsp:rsid wsp:val=&quot;00B8683B&quot;/&gt;&lt;wsp:rsid wsp:val=&quot;00B86C87&quot;/&gt;&lt;wsp:rsid wsp:val=&quot;00B86E5F&quot;/&gt;&lt;wsp:rsid wsp:val=&quot;00B87137&quot;/&gt;&lt;wsp:rsid wsp:val=&quot;00B87636&quot;/&gt;&lt;wsp:rsid wsp:val=&quot;00B877B1&quot;/&gt;&lt;wsp:rsid wsp:val=&quot;00B87B4F&quot;/&gt;&lt;wsp:rsid wsp:val=&quot;00B87C10&quot;/&gt;&lt;wsp:rsid wsp:val=&quot;00B87CCB&quot;/&gt;&lt;wsp:rsid wsp:val=&quot;00B87CD5&quot;/&gt;&lt;wsp:rsid wsp:val=&quot;00B87EBD&quot;/&gt;&lt;wsp:rsid wsp:val=&quot;00B87ED3&quot;/&gt;&lt;wsp:rsid wsp:val=&quot;00B90042&quot;/&gt;&lt;wsp:rsid wsp:val=&quot;00B90771&quot;/&gt;&lt;wsp:rsid wsp:val=&quot;00B9088B&quot;/&gt;&lt;wsp:rsid wsp:val=&quot;00B90E81&quot;/&gt;&lt;wsp:rsid wsp:val=&quot;00B91023&quot;/&gt;&lt;wsp:rsid wsp:val=&quot;00B910C1&quot;/&gt;&lt;wsp:rsid wsp:val=&quot;00B9114D&quot;/&gt;&lt;wsp:rsid wsp:val=&quot;00B914B0&quot;/&gt;&lt;wsp:rsid wsp:val=&quot;00B914D8&quot;/&gt;&lt;wsp:rsid wsp:val=&quot;00B91832&quot;/&gt;&lt;wsp:rsid wsp:val=&quot;00B91CC3&quot;/&gt;&lt;wsp:rsid wsp:val=&quot;00B91DD4&quot;/&gt;&lt;wsp:rsid wsp:val=&quot;00B91FB8&quot;/&gt;&lt;wsp:rsid wsp:val=&quot;00B9205D&quot;/&gt;&lt;wsp:rsid wsp:val=&quot;00B924B2&quot;/&gt;&lt;wsp:rsid wsp:val=&quot;00B925C1&quot;/&gt;&lt;wsp:rsid wsp:val=&quot;00B92778&quot;/&gt;&lt;wsp:rsid wsp:val=&quot;00B929AD&quot;/&gt;&lt;wsp:rsid wsp:val=&quot;00B92C0C&quot;/&gt;&lt;wsp:rsid wsp:val=&quot;00B93093&quot;/&gt;&lt;wsp:rsid wsp:val=&quot;00B93912&quot;/&gt;&lt;wsp:rsid wsp:val=&quot;00B93A4E&quot;/&gt;&lt;wsp:rsid wsp:val=&quot;00B93F28&quot;/&gt;&lt;wsp:rsid wsp:val=&quot;00B941FB&quot;/&gt;&lt;wsp:rsid wsp:val=&quot;00B943CA&quot;/&gt;&lt;wsp:rsid wsp:val=&quot;00B94C2D&quot;/&gt;&lt;wsp:rsid wsp:val=&quot;00B9507D&quot;/&gt;&lt;wsp:rsid wsp:val=&quot;00B955AA&quot;/&gt;&lt;wsp:rsid wsp:val=&quot;00B95600&quot;/&gt;&lt;wsp:rsid wsp:val=&quot;00B95707&quot;/&gt;&lt;wsp:rsid wsp:val=&quot;00B9583E&quot;/&gt;&lt;wsp:rsid wsp:val=&quot;00B95B07&quot;/&gt;&lt;wsp:rsid wsp:val=&quot;00B95F86&quot;/&gt;&lt;wsp:rsid wsp:val=&quot;00B96352&quot;/&gt;&lt;wsp:rsid wsp:val=&quot;00B96632&quot;/&gt;&lt;wsp:rsid wsp:val=&quot;00B96793&quot;/&gt;&lt;wsp:rsid wsp:val=&quot;00B967E1&quot;/&gt;&lt;wsp:rsid wsp:val=&quot;00B96947&quot;/&gt;&lt;wsp:rsid wsp:val=&quot;00B96A45&quot;/&gt;&lt;wsp:rsid wsp:val=&quot;00B96CFE&quot;/&gt;&lt;wsp:rsid wsp:val=&quot;00B972E1&quot;/&gt;&lt;wsp:rsid wsp:val=&quot;00B97307&quot;/&gt;&lt;wsp:rsid wsp:val=&quot;00B973E2&quot;/&gt;&lt;wsp:rsid wsp:val=&quot;00B9766B&quot;/&gt;&lt;wsp:rsid wsp:val=&quot;00B9768A&quot;/&gt;&lt;wsp:rsid wsp:val=&quot;00B9781B&quot;/&gt;&lt;wsp:rsid wsp:val=&quot;00B97943&quot;/&gt;&lt;wsp:rsid wsp:val=&quot;00B97B33&quot;/&gt;&lt;wsp:rsid wsp:val=&quot;00B97D11&quot;/&gt;&lt;wsp:rsid wsp:val=&quot;00B97D3C&quot;/&gt;&lt;wsp:rsid wsp:val=&quot;00B97D72&quot;/&gt;&lt;wsp:rsid wsp:val=&quot;00B97FCA&quot;/&gt;&lt;wsp:rsid wsp:val=&quot;00BA0053&quot;/&gt;&lt;wsp:rsid wsp:val=&quot;00BA00C7&quot;/&gt;&lt;wsp:rsid wsp:val=&quot;00BA029E&quot;/&gt;&lt;wsp:rsid wsp:val=&quot;00BA043D&quot;/&gt;&lt;wsp:rsid wsp:val=&quot;00BA07D2&quot;/&gt;&lt;wsp:rsid wsp:val=&quot;00BA0A1A&quot;/&gt;&lt;wsp:rsid wsp:val=&quot;00BA0E02&quot;/&gt;&lt;wsp:rsid wsp:val=&quot;00BA1546&quot;/&gt;&lt;wsp:rsid wsp:val=&quot;00BA178E&quot;/&gt;&lt;wsp:rsid wsp:val=&quot;00BA1867&quot;/&gt;&lt;wsp:rsid wsp:val=&quot;00BA19B8&quot;/&gt;&lt;wsp:rsid wsp:val=&quot;00BA1A28&quot;/&gt;&lt;wsp:rsid wsp:val=&quot;00BA1DFD&quot;/&gt;&lt;wsp:rsid wsp:val=&quot;00BA20EA&quot;/&gt;&lt;wsp:rsid wsp:val=&quot;00BA2220&quot;/&gt;&lt;wsp:rsid wsp:val=&quot;00BA2524&quot;/&gt;&lt;wsp:rsid wsp:val=&quot;00BA26D5&quot;/&gt;&lt;wsp:rsid wsp:val=&quot;00BA29EE&quot;/&gt;&lt;wsp:rsid wsp:val=&quot;00BA2AD9&quot;/&gt;&lt;wsp:rsid wsp:val=&quot;00BA2BCD&quot;/&gt;&lt;wsp:rsid wsp:val=&quot;00BA2F93&quot;/&gt;&lt;wsp:rsid wsp:val=&quot;00BA308E&quot;/&gt;&lt;wsp:rsid wsp:val=&quot;00BA323D&quot;/&gt;&lt;wsp:rsid wsp:val=&quot;00BA3547&quot;/&gt;&lt;wsp:rsid wsp:val=&quot;00BA3551&quot;/&gt;&lt;wsp:rsid wsp:val=&quot;00BA35F1&quot;/&gt;&lt;wsp:rsid wsp:val=&quot;00BA37D5&quot;/&gt;&lt;wsp:rsid wsp:val=&quot;00BA393D&quot;/&gt;&lt;wsp:rsid wsp:val=&quot;00BA3A59&quot;/&gt;&lt;wsp:rsid wsp:val=&quot;00BA3A94&quot;/&gt;&lt;wsp:rsid wsp:val=&quot;00BA3AC3&quot;/&gt;&lt;wsp:rsid wsp:val=&quot;00BA3B8A&quot;/&gt;&lt;wsp:rsid wsp:val=&quot;00BA3C2F&quot;/&gt;&lt;wsp:rsid wsp:val=&quot;00BA3DFF&quot;/&gt;&lt;wsp:rsid wsp:val=&quot;00BA3F9D&quot;/&gt;&lt;wsp:rsid wsp:val=&quot;00BA41FA&quot;/&gt;&lt;wsp:rsid wsp:val=&quot;00BA4D06&quot;/&gt;&lt;wsp:rsid wsp:val=&quot;00BA4ED7&quot;/&gt;&lt;wsp:rsid wsp:val=&quot;00BA4EFA&quot;/&gt;&lt;wsp:rsid wsp:val=&quot;00BA533B&quot;/&gt;&lt;wsp:rsid wsp:val=&quot;00BA579E&quot;/&gt;&lt;wsp:rsid wsp:val=&quot;00BA5882&quot;/&gt;&lt;wsp:rsid wsp:val=&quot;00BA59CA&quot;/&gt;&lt;wsp:rsid wsp:val=&quot;00BA5A51&quot;/&gt;&lt;wsp:rsid wsp:val=&quot;00BA5E70&quot;/&gt;&lt;wsp:rsid wsp:val=&quot;00BA5E7F&quot;/&gt;&lt;wsp:rsid wsp:val=&quot;00BA6702&quot;/&gt;&lt;wsp:rsid wsp:val=&quot;00BA6955&quot;/&gt;&lt;wsp:rsid wsp:val=&quot;00BA6BB7&quot;/&gt;&lt;wsp:rsid wsp:val=&quot;00BA6D40&quot;/&gt;&lt;wsp:rsid wsp:val=&quot;00BA6F78&quot;/&gt;&lt;wsp:rsid wsp:val=&quot;00BA7422&quot;/&gt;&lt;wsp:rsid wsp:val=&quot;00BA74B4&quot;/&gt;&lt;wsp:rsid wsp:val=&quot;00BA75E5&quot;/&gt;&lt;wsp:rsid wsp:val=&quot;00BA77CD&quot;/&gt;&lt;wsp:rsid wsp:val=&quot;00BA794C&quot;/&gt;&lt;wsp:rsid wsp:val=&quot;00BA7A30&quot;/&gt;&lt;wsp:rsid wsp:val=&quot;00BB002A&quot;/&gt;&lt;wsp:rsid wsp:val=&quot;00BB0100&quot;/&gt;&lt;wsp:rsid wsp:val=&quot;00BB0479&quot;/&gt;&lt;wsp:rsid wsp:val=&quot;00BB04BC&quot;/&gt;&lt;wsp:rsid wsp:val=&quot;00BB0763&quot;/&gt;&lt;wsp:rsid wsp:val=&quot;00BB0B27&quot;/&gt;&lt;wsp:rsid wsp:val=&quot;00BB0C33&quot;/&gt;&lt;wsp:rsid wsp:val=&quot;00BB0CAD&quot;/&gt;&lt;wsp:rsid wsp:val=&quot;00BB0F17&quot;/&gt;&lt;wsp:rsid wsp:val=&quot;00BB0FAA&quot;/&gt;&lt;wsp:rsid wsp:val=&quot;00BB116F&quot;/&gt;&lt;wsp:rsid wsp:val=&quot;00BB1288&quot;/&gt;&lt;wsp:rsid wsp:val=&quot;00BB17AD&quot;/&gt;&lt;wsp:rsid wsp:val=&quot;00BB1A22&quot;/&gt;&lt;wsp:rsid wsp:val=&quot;00BB1A9E&quot;/&gt;&lt;wsp:rsid wsp:val=&quot;00BB1F4E&quot;/&gt;&lt;wsp:rsid wsp:val=&quot;00BB1F90&quot;/&gt;&lt;wsp:rsid wsp:val=&quot;00BB2133&quot;/&gt;&lt;wsp:rsid wsp:val=&quot;00BB2323&quot;/&gt;&lt;wsp:rsid wsp:val=&quot;00BB2504&quot;/&gt;&lt;wsp:rsid wsp:val=&quot;00BB2562&quot;/&gt;&lt;wsp:rsid wsp:val=&quot;00BB25CD&quot;/&gt;&lt;wsp:rsid wsp:val=&quot;00BB26D6&quot;/&gt;&lt;wsp:rsid wsp:val=&quot;00BB2957&quot;/&gt;&lt;wsp:rsid wsp:val=&quot;00BB2AEB&quot;/&gt;&lt;wsp:rsid wsp:val=&quot;00BB2B4E&quot;/&gt;&lt;wsp:rsid wsp:val=&quot;00BB2CFA&quot;/&gt;&lt;wsp:rsid wsp:val=&quot;00BB2D25&quot;/&gt;&lt;wsp:rsid wsp:val=&quot;00BB2D56&quot;/&gt;&lt;wsp:rsid wsp:val=&quot;00BB2F57&quot;/&gt;&lt;wsp:rsid wsp:val=&quot;00BB2FAA&quot;/&gt;&lt;wsp:rsid wsp:val=&quot;00BB3272&quot;/&gt;&lt;wsp:rsid wsp:val=&quot;00BB32F5&quot;/&gt;&lt;wsp:rsid wsp:val=&quot;00BB3379&quot;/&gt;&lt;wsp:rsid wsp:val=&quot;00BB35CA&quot;/&gt;&lt;wsp:rsid wsp:val=&quot;00BB3FCB&quot;/&gt;&lt;wsp:rsid wsp:val=&quot;00BB44D4&quot;/&gt;&lt;wsp:rsid wsp:val=&quot;00BB491F&quot;/&gt;&lt;wsp:rsid wsp:val=&quot;00BB4B83&quot;/&gt;&lt;wsp:rsid wsp:val=&quot;00BB4D3C&quot;/&gt;&lt;wsp:rsid wsp:val=&quot;00BB4E2B&quot;/&gt;&lt;wsp:rsid wsp:val=&quot;00BB5876&quot;/&gt;&lt;wsp:rsid wsp:val=&quot;00BB5AB6&quot;/&gt;&lt;wsp:rsid wsp:val=&quot;00BB5B2B&quot;/&gt;&lt;wsp:rsid wsp:val=&quot;00BB5CD4&quot;/&gt;&lt;wsp:rsid wsp:val=&quot;00BB5D03&quot;/&gt;&lt;wsp:rsid wsp:val=&quot;00BB639D&quot;/&gt;&lt;wsp:rsid wsp:val=&quot;00BB6CEF&quot;/&gt;&lt;wsp:rsid wsp:val=&quot;00BB75D5&quot;/&gt;&lt;wsp:rsid wsp:val=&quot;00BB766D&quot;/&gt;&lt;wsp:rsid wsp:val=&quot;00BB78A5&quot;/&gt;&lt;wsp:rsid wsp:val=&quot;00BC009A&quot;/&gt;&lt;wsp:rsid wsp:val=&quot;00BC00FC&quot;/&gt;&lt;wsp:rsid wsp:val=&quot;00BC0104&quot;/&gt;&lt;wsp:rsid wsp:val=&quot;00BC038F&quot;/&gt;&lt;wsp:rsid wsp:val=&quot;00BC0683&quot;/&gt;&lt;wsp:rsid wsp:val=&quot;00BC0757&quot;/&gt;&lt;wsp:rsid wsp:val=&quot;00BC0804&quot;/&gt;&lt;wsp:rsid wsp:val=&quot;00BC09EB&quot;/&gt;&lt;wsp:rsid wsp:val=&quot;00BC0B74&quot;/&gt;&lt;wsp:rsid wsp:val=&quot;00BC0EF0&quot;/&gt;&lt;wsp:rsid wsp:val=&quot;00BC0F47&quot;/&gt;&lt;wsp:rsid wsp:val=&quot;00BC0F4E&quot;/&gt;&lt;wsp:rsid wsp:val=&quot;00BC1015&quot;/&gt;&lt;wsp:rsid wsp:val=&quot;00BC1553&quot;/&gt;&lt;wsp:rsid wsp:val=&quot;00BC1586&quot;/&gt;&lt;wsp:rsid wsp:val=&quot;00BC15A2&quot;/&gt;&lt;wsp:rsid wsp:val=&quot;00BC162E&quot;/&gt;&lt;wsp:rsid wsp:val=&quot;00BC1919&quot;/&gt;&lt;wsp:rsid wsp:val=&quot;00BC1F1A&quot;/&gt;&lt;wsp:rsid wsp:val=&quot;00BC1FF3&quot;/&gt;&lt;wsp:rsid wsp:val=&quot;00BC200E&quot;/&gt;&lt;wsp:rsid wsp:val=&quot;00BC21CE&quot;/&gt;&lt;wsp:rsid wsp:val=&quot;00BC2472&quot;/&gt;&lt;wsp:rsid wsp:val=&quot;00BC259F&quot;/&gt;&lt;wsp:rsid wsp:val=&quot;00BC297A&quot;/&gt;&lt;wsp:rsid wsp:val=&quot;00BC29B3&quot;/&gt;&lt;wsp:rsid wsp:val=&quot;00BC2D59&quot;/&gt;&lt;wsp:rsid wsp:val=&quot;00BC2E05&quot;/&gt;&lt;wsp:rsid wsp:val=&quot;00BC2F05&quot;/&gt;&lt;wsp:rsid wsp:val=&quot;00BC3101&quot;/&gt;&lt;wsp:rsid wsp:val=&quot;00BC31AC&quot;/&gt;&lt;wsp:rsid wsp:val=&quot;00BC323D&quot;/&gt;&lt;wsp:rsid wsp:val=&quot;00BC35DF&quot;/&gt;&lt;wsp:rsid wsp:val=&quot;00BC3A7B&quot;/&gt;&lt;wsp:rsid wsp:val=&quot;00BC3DEC&quot;/&gt;&lt;wsp:rsid wsp:val=&quot;00BC40BB&quot;/&gt;&lt;wsp:rsid wsp:val=&quot;00BC40C8&quot;/&gt;&lt;wsp:rsid wsp:val=&quot;00BC4741&quot;/&gt;&lt;wsp:rsid wsp:val=&quot;00BC491A&quot;/&gt;&lt;wsp:rsid wsp:val=&quot;00BC4966&quot;/&gt;&lt;wsp:rsid wsp:val=&quot;00BC4CE8&quot;/&gt;&lt;wsp:rsid wsp:val=&quot;00BC4FDA&quot;/&gt;&lt;wsp:rsid wsp:val=&quot;00BC507B&quot;/&gt;&lt;wsp:rsid wsp:val=&quot;00BC567A&quot;/&gt;&lt;wsp:rsid wsp:val=&quot;00BC5A3D&quot;/&gt;&lt;wsp:rsid wsp:val=&quot;00BC5A54&quot;/&gt;&lt;wsp:rsid wsp:val=&quot;00BC5DEB&quot;/&gt;&lt;wsp:rsid wsp:val=&quot;00BC6037&quot;/&gt;&lt;wsp:rsid wsp:val=&quot;00BC607B&quot;/&gt;&lt;wsp:rsid wsp:val=&quot;00BC62C6&quot;/&gt;&lt;wsp:rsid wsp:val=&quot;00BC63B6&quot;/&gt;&lt;wsp:rsid wsp:val=&quot;00BC694C&quot;/&gt;&lt;wsp:rsid wsp:val=&quot;00BC6AFD&quot;/&gt;&lt;wsp:rsid wsp:val=&quot;00BC6DE2&quot;/&gt;&lt;wsp:rsid wsp:val=&quot;00BC6E7C&quot;/&gt;&lt;wsp:rsid wsp:val=&quot;00BC6EC3&quot;/&gt;&lt;wsp:rsid wsp:val=&quot;00BC7444&quot;/&gt;&lt;wsp:rsid wsp:val=&quot;00BC764F&quot;/&gt;&lt;wsp:rsid wsp:val=&quot;00BC7AC8&quot;/&gt;&lt;wsp:rsid wsp:val=&quot;00BC7B1B&quot;/&gt;&lt;wsp:rsid wsp:val=&quot;00BC7F8B&quot;/&gt;&lt;wsp:rsid wsp:val=&quot;00BD00B3&quot;/&gt;&lt;wsp:rsid wsp:val=&quot;00BD07B6&quot;/&gt;&lt;wsp:rsid wsp:val=&quot;00BD0A98&quot;/&gt;&lt;wsp:rsid wsp:val=&quot;00BD0D2F&quot;/&gt;&lt;wsp:rsid wsp:val=&quot;00BD0DE7&quot;/&gt;&lt;wsp:rsid wsp:val=&quot;00BD115E&quot;/&gt;&lt;wsp:rsid wsp:val=&quot;00BD1316&quot;/&gt;&lt;wsp:rsid wsp:val=&quot;00BD1385&quot;/&gt;&lt;wsp:rsid wsp:val=&quot;00BD13D4&quot;/&gt;&lt;wsp:rsid wsp:val=&quot;00BD15D5&quot;/&gt;&lt;wsp:rsid wsp:val=&quot;00BD199F&quot;/&gt;&lt;wsp:rsid wsp:val=&quot;00BD19A1&quot;/&gt;&lt;wsp:rsid wsp:val=&quot;00BD1B0A&quot;/&gt;&lt;wsp:rsid wsp:val=&quot;00BD1D0A&quot;/&gt;&lt;wsp:rsid wsp:val=&quot;00BD1FD0&quot;/&gt;&lt;wsp:rsid wsp:val=&quot;00BD26D7&quot;/&gt;&lt;wsp:rsid wsp:val=&quot;00BD282A&quot;/&gt;&lt;wsp:rsid wsp:val=&quot;00BD2CB5&quot;/&gt;&lt;wsp:rsid wsp:val=&quot;00BD2D29&quot;/&gt;&lt;wsp:rsid wsp:val=&quot;00BD2EB9&quot;/&gt;&lt;wsp:rsid wsp:val=&quot;00BD3115&quot;/&gt;&lt;wsp:rsid wsp:val=&quot;00BD35A1&quot;/&gt;&lt;wsp:rsid wsp:val=&quot;00BD3637&quot;/&gt;&lt;wsp:rsid wsp:val=&quot;00BD36BE&quot;/&gt;&lt;wsp:rsid wsp:val=&quot;00BD36FC&quot;/&gt;&lt;wsp:rsid wsp:val=&quot;00BD3A2D&quot;/&gt;&lt;wsp:rsid wsp:val=&quot;00BD3D91&quot;/&gt;&lt;wsp:rsid wsp:val=&quot;00BD41B6&quot;/&gt;&lt;wsp:rsid wsp:val=&quot;00BD476C&quot;/&gt;&lt;wsp:rsid wsp:val=&quot;00BD47B5&quot;/&gt;&lt;wsp:rsid wsp:val=&quot;00BD49C1&quot;/&gt;&lt;wsp:rsid wsp:val=&quot;00BD4E86&quot;/&gt;&lt;wsp:rsid wsp:val=&quot;00BD4EDF&quot;/&gt;&lt;wsp:rsid wsp:val=&quot;00BD50B9&quot;/&gt;&lt;wsp:rsid wsp:val=&quot;00BD525D&quot;/&gt;&lt;wsp:rsid wsp:val=&quot;00BD5AAB&quot;/&gt;&lt;wsp:rsid wsp:val=&quot;00BD600C&quot;/&gt;&lt;wsp:rsid wsp:val=&quot;00BD64AA&quot;/&gt;&lt;wsp:rsid wsp:val=&quot;00BD6553&quot;/&gt;&lt;wsp:rsid wsp:val=&quot;00BD6752&quot;/&gt;&lt;wsp:rsid wsp:val=&quot;00BD6A63&quot;/&gt;&lt;wsp:rsid wsp:val=&quot;00BD6AC2&quot;/&gt;&lt;wsp:rsid wsp:val=&quot;00BD7217&quot;/&gt;&lt;wsp:rsid wsp:val=&quot;00BD728D&quot;/&gt;&lt;wsp:rsid wsp:val=&quot;00BD735F&quot;/&gt;&lt;wsp:rsid wsp:val=&quot;00BD74C3&quot;/&gt;&lt;wsp:rsid wsp:val=&quot;00BD74E3&quot;/&gt;&lt;wsp:rsid wsp:val=&quot;00BD7A65&quot;/&gt;&lt;wsp:rsid wsp:val=&quot;00BD7C39&quot;/&gt;&lt;wsp:rsid wsp:val=&quot;00BD7C7E&quot;/&gt;&lt;wsp:rsid wsp:val=&quot;00BE0048&quot;/&gt;&lt;wsp:rsid wsp:val=&quot;00BE0142&quot;/&gt;&lt;wsp:rsid wsp:val=&quot;00BE06AA&quot;/&gt;&lt;wsp:rsid wsp:val=&quot;00BE06AC&quot;/&gt;&lt;wsp:rsid wsp:val=&quot;00BE0749&quot;/&gt;&lt;wsp:rsid wsp:val=&quot;00BE0A54&quot;/&gt;&lt;wsp:rsid wsp:val=&quot;00BE0A7A&quot;/&gt;&lt;wsp:rsid wsp:val=&quot;00BE0DBF&quot;/&gt;&lt;wsp:rsid wsp:val=&quot;00BE0F9F&quot;/&gt;&lt;wsp:rsid wsp:val=&quot;00BE10DF&quot;/&gt;&lt;wsp:rsid wsp:val=&quot;00BE123E&quot;/&gt;&lt;wsp:rsid wsp:val=&quot;00BE1377&quot;/&gt;&lt;wsp:rsid wsp:val=&quot;00BE18F5&quot;/&gt;&lt;wsp:rsid wsp:val=&quot;00BE1924&quot;/&gt;&lt;wsp:rsid wsp:val=&quot;00BE195F&quot;/&gt;&lt;wsp:rsid wsp:val=&quot;00BE198A&quot;/&gt;&lt;wsp:rsid wsp:val=&quot;00BE1C1C&quot;/&gt;&lt;wsp:rsid wsp:val=&quot;00BE20A3&quot;/&gt;&lt;wsp:rsid wsp:val=&quot;00BE21BE&quot;/&gt;&lt;wsp:rsid wsp:val=&quot;00BE21E1&quot;/&gt;&lt;wsp:rsid wsp:val=&quot;00BE2579&quot;/&gt;&lt;wsp:rsid wsp:val=&quot;00BE28CA&quot;/&gt;&lt;wsp:rsid wsp:val=&quot;00BE2ACD&quot;/&gt;&lt;wsp:rsid wsp:val=&quot;00BE3118&quot;/&gt;&lt;wsp:rsid wsp:val=&quot;00BE342F&quot;/&gt;&lt;wsp:rsid wsp:val=&quot;00BE35B6&quot;/&gt;&lt;wsp:rsid wsp:val=&quot;00BE3718&quot;/&gt;&lt;wsp:rsid wsp:val=&quot;00BE37D7&quot;/&gt;&lt;wsp:rsid wsp:val=&quot;00BE393C&quot;/&gt;&lt;wsp:rsid wsp:val=&quot;00BE3974&quot;/&gt;&lt;wsp:rsid wsp:val=&quot;00BE3AC0&quot;/&gt;&lt;wsp:rsid wsp:val=&quot;00BE3AD3&quot;/&gt;&lt;wsp:rsid wsp:val=&quot;00BE3B86&quot;/&gt;&lt;wsp:rsid wsp:val=&quot;00BE3BA4&quot;/&gt;&lt;wsp:rsid wsp:val=&quot;00BE3EC1&quot;/&gt;&lt;wsp:rsid wsp:val=&quot;00BE4ABE&quot;/&gt;&lt;wsp:rsid wsp:val=&quot;00BE4DFA&quot;/&gt;&lt;wsp:rsid wsp:val=&quot;00BE5026&quot;/&gt;&lt;wsp:rsid wsp:val=&quot;00BE504C&quot;/&gt;&lt;wsp:rsid wsp:val=&quot;00BE5081&quot;/&gt;&lt;wsp:rsid wsp:val=&quot;00BE522E&quot;/&gt;&lt;wsp:rsid wsp:val=&quot;00BE52D8&quot;/&gt;&lt;wsp:rsid wsp:val=&quot;00BE5530&quot;/&gt;&lt;wsp:rsid wsp:val=&quot;00BE584E&quot;/&gt;&lt;wsp:rsid wsp:val=&quot;00BE598A&quot;/&gt;&lt;wsp:rsid wsp:val=&quot;00BE59F5&quot;/&gt;&lt;wsp:rsid wsp:val=&quot;00BE60BA&quot;/&gt;&lt;wsp:rsid wsp:val=&quot;00BE6126&quot;/&gt;&lt;wsp:rsid wsp:val=&quot;00BE63C5&quot;/&gt;&lt;wsp:rsid wsp:val=&quot;00BE644D&quot;/&gt;&lt;wsp:rsid wsp:val=&quot;00BE664F&quot;/&gt;&lt;wsp:rsid wsp:val=&quot;00BE66F4&quot;/&gt;&lt;wsp:rsid wsp:val=&quot;00BE67BF&quot;/&gt;&lt;wsp:rsid wsp:val=&quot;00BE6813&quot;/&gt;&lt;wsp:rsid wsp:val=&quot;00BE6878&quot;/&gt;&lt;wsp:rsid wsp:val=&quot;00BE6C4C&quot;/&gt;&lt;wsp:rsid wsp:val=&quot;00BE6DF2&quot;/&gt;&lt;wsp:rsid wsp:val=&quot;00BE6EE6&quot;/&gt;&lt;wsp:rsid wsp:val=&quot;00BE7017&quot;/&gt;&lt;wsp:rsid wsp:val=&quot;00BE7020&quot;/&gt;&lt;wsp:rsid wsp:val=&quot;00BE715A&quot;/&gt;&lt;wsp:rsid wsp:val=&quot;00BE7594&quot;/&gt;&lt;wsp:rsid wsp:val=&quot;00BE796D&quot;/&gt;&lt;wsp:rsid wsp:val=&quot;00BE7A02&quot;/&gt;&lt;wsp:rsid wsp:val=&quot;00BE7B06&quot;/&gt;&lt;wsp:rsid wsp:val=&quot;00BE7DD0&quot;/&gt;&lt;wsp:rsid wsp:val=&quot;00BE7E3F&quot;/&gt;&lt;wsp:rsid wsp:val=&quot;00BE7F36&quot;/&gt;&lt;wsp:rsid wsp:val=&quot;00BE7F75&quot;/&gt;&lt;wsp:rsid wsp:val=&quot;00BF0122&quot;/&gt;&lt;wsp:rsid wsp:val=&quot;00BF0169&quot;/&gt;&lt;wsp:rsid wsp:val=&quot;00BF0222&quot;/&gt;&lt;wsp:rsid wsp:val=&quot;00BF0268&quot;/&gt;&lt;wsp:rsid wsp:val=&quot;00BF036C&quot;/&gt;&lt;wsp:rsid wsp:val=&quot;00BF0726&quot;/&gt;&lt;wsp:rsid wsp:val=&quot;00BF0CC7&quot;/&gt;&lt;wsp:rsid wsp:val=&quot;00BF10CB&quot;/&gt;&lt;wsp:rsid wsp:val=&quot;00BF138B&quot;/&gt;&lt;wsp:rsid wsp:val=&quot;00BF1439&quot;/&gt;&lt;wsp:rsid wsp:val=&quot;00BF173B&quot;/&gt;&lt;wsp:rsid wsp:val=&quot;00BF1D8B&quot;/&gt;&lt;wsp:rsid wsp:val=&quot;00BF2191&quot;/&gt;&lt;wsp:rsid wsp:val=&quot;00BF224E&quot;/&gt;&lt;wsp:rsid wsp:val=&quot;00BF23EB&quot;/&gt;&lt;wsp:rsid wsp:val=&quot;00BF262A&quot;/&gt;&lt;wsp:rsid wsp:val=&quot;00BF2717&quot;/&gt;&lt;wsp:rsid wsp:val=&quot;00BF2874&quot;/&gt;&lt;wsp:rsid wsp:val=&quot;00BF2951&quot;/&gt;&lt;wsp:rsid wsp:val=&quot;00BF297B&quot;/&gt;&lt;wsp:rsid wsp:val=&quot;00BF3249&quot;/&gt;&lt;wsp:rsid wsp:val=&quot;00BF3292&quot;/&gt;&lt;wsp:rsid wsp:val=&quot;00BF32FC&quot;/&gt;&lt;wsp:rsid wsp:val=&quot;00BF3623&quot;/&gt;&lt;wsp:rsid wsp:val=&quot;00BF38B9&quot;/&gt;&lt;wsp:rsid wsp:val=&quot;00BF3B8E&quot;/&gt;&lt;wsp:rsid wsp:val=&quot;00BF3BA6&quot;/&gt;&lt;wsp:rsid wsp:val=&quot;00BF3EE1&quot;/&gt;&lt;wsp:rsid wsp:val=&quot;00BF430A&quot;/&gt;&lt;wsp:rsid wsp:val=&quot;00BF4550&quot;/&gt;&lt;wsp:rsid wsp:val=&quot;00BF478B&quot;/&gt;&lt;wsp:rsid wsp:val=&quot;00BF4879&quot;/&gt;&lt;wsp:rsid wsp:val=&quot;00BF4AA9&quot;/&gt;&lt;wsp:rsid wsp:val=&quot;00BF4BB9&quot;/&gt;&lt;wsp:rsid wsp:val=&quot;00BF4DD6&quot;/&gt;&lt;wsp:rsid wsp:val=&quot;00BF4E15&quot;/&gt;&lt;wsp:rsid wsp:val=&quot;00BF4EF5&quot;/&gt;&lt;wsp:rsid wsp:val=&quot;00BF4FA5&quot;/&gt;&lt;wsp:rsid wsp:val=&quot;00BF513D&quot;/&gt;&lt;wsp:rsid wsp:val=&quot;00BF5150&quot;/&gt;&lt;wsp:rsid wsp:val=&quot;00BF556A&quot;/&gt;&lt;wsp:rsid wsp:val=&quot;00BF5AD5&quot;/&gt;&lt;wsp:rsid wsp:val=&quot;00BF619C&quot;/&gt;&lt;wsp:rsid wsp:val=&quot;00BF638C&quot;/&gt;&lt;wsp:rsid wsp:val=&quot;00BF67C4&quot;/&gt;&lt;wsp:rsid wsp:val=&quot;00BF6E39&quot;/&gt;&lt;wsp:rsid wsp:val=&quot;00BF6F0F&quot;/&gt;&lt;wsp:rsid wsp:val=&quot;00BF6F35&quot;/&gt;&lt;wsp:rsid wsp:val=&quot;00BF6F41&quot;/&gt;&lt;wsp:rsid wsp:val=&quot;00BF70EF&quot;/&gt;&lt;wsp:rsid wsp:val=&quot;00BF7458&quot;/&gt;&lt;wsp:rsid wsp:val=&quot;00BF759A&quot;/&gt;&lt;wsp:rsid wsp:val=&quot;00BF76C4&quot;/&gt;&lt;wsp:rsid wsp:val=&quot;00BF7737&quot;/&gt;&lt;wsp:rsid wsp:val=&quot;00BF7A95&quot;/&gt;&lt;wsp:rsid wsp:val=&quot;00BF7ABC&quot;/&gt;&lt;wsp:rsid wsp:val=&quot;00BF7CA1&quot;/&gt;&lt;wsp:rsid wsp:val=&quot;00C00097&quot;/&gt;&lt;wsp:rsid wsp:val=&quot;00C001C0&quot;/&gt;&lt;wsp:rsid wsp:val=&quot;00C00A08&quot;/&gt;&lt;wsp:rsid wsp:val=&quot;00C00A99&quot;/&gt;&lt;wsp:rsid wsp:val=&quot;00C00F16&quot;/&gt;&lt;wsp:rsid wsp:val=&quot;00C010AD&quot;/&gt;&lt;wsp:rsid wsp:val=&quot;00C010C1&quot;/&gt;&lt;wsp:rsid wsp:val=&quot;00C01132&quot;/&gt;&lt;wsp:rsid wsp:val=&quot;00C01669&quot;/&gt;&lt;wsp:rsid wsp:val=&quot;00C01863&quot;/&gt;&lt;wsp:rsid wsp:val=&quot;00C0199B&quot;/&gt;&lt;wsp:rsid wsp:val=&quot;00C019D0&quot;/&gt;&lt;wsp:rsid wsp:val=&quot;00C01A5E&quot;/&gt;&lt;wsp:rsid wsp:val=&quot;00C01DB0&quot;/&gt;&lt;wsp:rsid wsp:val=&quot;00C01E68&quot;/&gt;&lt;wsp:rsid wsp:val=&quot;00C021BC&quot;/&gt;&lt;wsp:rsid wsp:val=&quot;00C022EB&quot;/&gt;&lt;wsp:rsid wsp:val=&quot;00C02341&quot;/&gt;&lt;wsp:rsid wsp:val=&quot;00C02406&quot;/&gt;&lt;wsp:rsid wsp:val=&quot;00C028C1&quot;/&gt;&lt;wsp:rsid wsp:val=&quot;00C02AA5&quot;/&gt;&lt;wsp:rsid wsp:val=&quot;00C02AC8&quot;/&gt;&lt;wsp:rsid wsp:val=&quot;00C02EE1&quot;/&gt;&lt;wsp:rsid wsp:val=&quot;00C03135&quot;/&gt;&lt;wsp:rsid wsp:val=&quot;00C0344D&quot;/&gt;&lt;wsp:rsid wsp:val=&quot;00C036B5&quot;/&gt;&lt;wsp:rsid wsp:val=&quot;00C036DD&quot;/&gt;&lt;wsp:rsid wsp:val=&quot;00C0383B&quot;/&gt;&lt;wsp:rsid wsp:val=&quot;00C0392B&quot;/&gt;&lt;wsp:rsid wsp:val=&quot;00C03A48&quot;/&gt;&lt;wsp:rsid wsp:val=&quot;00C03A62&quot;/&gt;&lt;wsp:rsid wsp:val=&quot;00C03DF9&quot;/&gt;&lt;wsp:rsid wsp:val=&quot;00C04D55&quot;/&gt;&lt;wsp:rsid wsp:val=&quot;00C04E25&quot;/&gt;&lt;wsp:rsid wsp:val=&quot;00C04F93&quot;/&gt;&lt;wsp:rsid wsp:val=&quot;00C05414&quot;/&gt;&lt;wsp:rsid wsp:val=&quot;00C05683&quot;/&gt;&lt;wsp:rsid wsp:val=&quot;00C059D3&quot;/&gt;&lt;wsp:rsid wsp:val=&quot;00C05A86&quot;/&gt;&lt;wsp:rsid wsp:val=&quot;00C05AF4&quot;/&gt;&lt;wsp:rsid wsp:val=&quot;00C05B9D&quot;/&gt;&lt;wsp:rsid wsp:val=&quot;00C05CB2&quot;/&gt;&lt;wsp:rsid wsp:val=&quot;00C05EF4&quot;/&gt;&lt;wsp:rsid wsp:val=&quot;00C05FBF&quot;/&gt;&lt;wsp:rsid wsp:val=&quot;00C06057&quot;/&gt;&lt;wsp:rsid wsp:val=&quot;00C0609B&quot;/&gt;&lt;wsp:rsid wsp:val=&quot;00C0609C&quot;/&gt;&lt;wsp:rsid wsp:val=&quot;00C0626F&quot;/&gt;&lt;wsp:rsid wsp:val=&quot;00C063B2&quot;/&gt;&lt;wsp:rsid wsp:val=&quot;00C06433&quot;/&gt;&lt;wsp:rsid wsp:val=&quot;00C064FB&quot;/&gt;&lt;wsp:rsid wsp:val=&quot;00C065ED&quot;/&gt;&lt;wsp:rsid wsp:val=&quot;00C06613&quot;/&gt;&lt;wsp:rsid wsp:val=&quot;00C06711&quot;/&gt;&lt;wsp:rsid wsp:val=&quot;00C06827&quot;/&gt;&lt;wsp:rsid wsp:val=&quot;00C0682A&quot;/&gt;&lt;wsp:rsid wsp:val=&quot;00C06A4A&quot;/&gt;&lt;wsp:rsid wsp:val=&quot;00C06A57&quot;/&gt;&lt;wsp:rsid wsp:val=&quot;00C06B04&quot;/&gt;&lt;wsp:rsid wsp:val=&quot;00C06B76&quot;/&gt;&lt;wsp:rsid wsp:val=&quot;00C06CF5&quot;/&gt;&lt;wsp:rsid wsp:val=&quot;00C0738F&quot;/&gt;&lt;wsp:rsid wsp:val=&quot;00C07A8C&quot;/&gt;&lt;wsp:rsid wsp:val=&quot;00C07B14&quot;/&gt;&lt;wsp:rsid wsp:val=&quot;00C100D7&quot;/&gt;&lt;wsp:rsid wsp:val=&quot;00C101E1&quot;/&gt;&lt;wsp:rsid wsp:val=&quot;00C104B1&quot;/&gt;&lt;wsp:rsid wsp:val=&quot;00C1065E&quot;/&gt;&lt;wsp:rsid wsp:val=&quot;00C10668&quot;/&gt;&lt;wsp:rsid wsp:val=&quot;00C107D6&quot;/&gt;&lt;wsp:rsid wsp:val=&quot;00C11265&quot;/&gt;&lt;wsp:rsid wsp:val=&quot;00C11821&quot;/&gt;&lt;wsp:rsid wsp:val=&quot;00C11DFA&quot;/&gt;&lt;wsp:rsid wsp:val=&quot;00C11E71&quot;/&gt;&lt;wsp:rsid wsp:val=&quot;00C1208A&quot;/&gt;&lt;wsp:rsid wsp:val=&quot;00C121CF&quot;/&gt;&lt;wsp:rsid wsp:val=&quot;00C12557&quot;/&gt;&lt;wsp:rsid wsp:val=&quot;00C125D0&quot;/&gt;&lt;wsp:rsid wsp:val=&quot;00C12726&quot;/&gt;&lt;wsp:rsid wsp:val=&quot;00C12B2E&quot;/&gt;&lt;wsp:rsid wsp:val=&quot;00C13064&quot;/&gt;&lt;wsp:rsid wsp:val=&quot;00C130BF&quot;/&gt;&lt;wsp:rsid wsp:val=&quot;00C13126&quot;/&gt;&lt;wsp:rsid wsp:val=&quot;00C131D9&quot;/&gt;&lt;wsp:rsid wsp:val=&quot;00C137A9&quot;/&gt;&lt;wsp:rsid wsp:val=&quot;00C13B49&quot;/&gt;&lt;wsp:rsid wsp:val=&quot;00C13C77&quot;/&gt;&lt;wsp:rsid wsp:val=&quot;00C14365&quot;/&gt;&lt;wsp:rsid wsp:val=&quot;00C14540&quot;/&gt;&lt;wsp:rsid wsp:val=&quot;00C14569&quot;/&gt;&lt;wsp:rsid wsp:val=&quot;00C1469C&quot;/&gt;&lt;wsp:rsid wsp:val=&quot;00C1596C&quot;/&gt;&lt;wsp:rsid wsp:val=&quot;00C159C6&quot;/&gt;&lt;wsp:rsid wsp:val=&quot;00C15ABA&quot;/&gt;&lt;wsp:rsid wsp:val=&quot;00C15AFF&quot;/&gt;&lt;wsp:rsid wsp:val=&quot;00C16066&quot;/&gt;&lt;wsp:rsid wsp:val=&quot;00C16476&quot;/&gt;&lt;wsp:rsid wsp:val=&quot;00C165C1&quot;/&gt;&lt;wsp:rsid wsp:val=&quot;00C16810&quot;/&gt;&lt;wsp:rsid wsp:val=&quot;00C16992&quot;/&gt;&lt;wsp:rsid wsp:val=&quot;00C16E33&quot;/&gt;&lt;wsp:rsid wsp:val=&quot;00C16E66&quot;/&gt;&lt;wsp:rsid wsp:val=&quot;00C17203&quot;/&gt;&lt;wsp:rsid wsp:val=&quot;00C17662&quot;/&gt;&lt;wsp:rsid wsp:val=&quot;00C17785&quot;/&gt;&lt;wsp:rsid wsp:val=&quot;00C177DD&quot;/&gt;&lt;wsp:rsid wsp:val=&quot;00C177E5&quot;/&gt;&lt;wsp:rsid wsp:val=&quot;00C179D1&quot;/&gt;&lt;wsp:rsid wsp:val=&quot;00C17E9B&quot;/&gt;&lt;wsp:rsid wsp:val=&quot;00C200EC&quot;/&gt;&lt;wsp:rsid wsp:val=&quot;00C20627&quot;/&gt;&lt;wsp:rsid wsp:val=&quot;00C206C2&quot;/&gt;&lt;wsp:rsid wsp:val=&quot;00C20908&quot;/&gt;&lt;wsp:rsid wsp:val=&quot;00C20963&quot;/&gt;&lt;wsp:rsid wsp:val=&quot;00C20A11&quot;/&gt;&lt;wsp:rsid wsp:val=&quot;00C20AE4&quot;/&gt;&lt;wsp:rsid wsp:val=&quot;00C20E5A&quot;/&gt;&lt;wsp:rsid wsp:val=&quot;00C20E85&quot;/&gt;&lt;wsp:rsid wsp:val=&quot;00C2107C&quot;/&gt;&lt;wsp:rsid wsp:val=&quot;00C2123E&quot;/&gt;&lt;wsp:rsid wsp:val=&quot;00C213A1&quot;/&gt;&lt;wsp:rsid wsp:val=&quot;00C213DC&quot;/&gt;&lt;wsp:rsid wsp:val=&quot;00C215C7&quot;/&gt;&lt;wsp:rsid wsp:val=&quot;00C21730&quot;/&gt;&lt;wsp:rsid wsp:val=&quot;00C21863&quot;/&gt;&lt;wsp:rsid wsp:val=&quot;00C221CB&quot;/&gt;&lt;wsp:rsid wsp:val=&quot;00C22B31&quot;/&gt;&lt;wsp:rsid wsp:val=&quot;00C22B74&quot;/&gt;&lt;wsp:rsid wsp:val=&quot;00C22D29&quot;/&gt;&lt;wsp:rsid wsp:val=&quot;00C22D8D&quot;/&gt;&lt;wsp:rsid wsp:val=&quot;00C22F1A&quot;/&gt;&lt;wsp:rsid wsp:val=&quot;00C23071&quot;/&gt;&lt;wsp:rsid wsp:val=&quot;00C233A5&quot;/&gt;&lt;wsp:rsid wsp:val=&quot;00C233E1&quot;/&gt;&lt;wsp:rsid wsp:val=&quot;00C235D9&quot;/&gt;&lt;wsp:rsid wsp:val=&quot;00C23BCF&quot;/&gt;&lt;wsp:rsid wsp:val=&quot;00C23FB5&quot;/&gt;&lt;wsp:rsid wsp:val=&quot;00C23FDA&quot;/&gt;&lt;wsp:rsid wsp:val=&quot;00C24193&quot;/&gt;&lt;wsp:rsid wsp:val=&quot;00C24605&quot;/&gt;&lt;wsp:rsid wsp:val=&quot;00C2477D&quot;/&gt;&lt;wsp:rsid wsp:val=&quot;00C2478D&quot;/&gt;&lt;wsp:rsid wsp:val=&quot;00C2479F&quot;/&gt;&lt;wsp:rsid wsp:val=&quot;00C24892&quot;/&gt;&lt;wsp:rsid wsp:val=&quot;00C24937&quot;/&gt;&lt;wsp:rsid wsp:val=&quot;00C24AA9&quot;/&gt;&lt;wsp:rsid wsp:val=&quot;00C24C11&quot;/&gt;&lt;wsp:rsid wsp:val=&quot;00C24DAE&quot;/&gt;&lt;wsp:rsid wsp:val=&quot;00C24E12&quot;/&gt;&lt;wsp:rsid wsp:val=&quot;00C24EF0&quot;/&gt;&lt;wsp:rsid wsp:val=&quot;00C24F83&quot;/&gt;&lt;wsp:rsid wsp:val=&quot;00C24F9C&quot;/&gt;&lt;wsp:rsid wsp:val=&quot;00C250BC&quot;/&gt;&lt;wsp:rsid wsp:val=&quot;00C2512F&quot;/&gt;&lt;wsp:rsid wsp:val=&quot;00C25138&quot;/&gt;&lt;wsp:rsid wsp:val=&quot;00C25478&quot;/&gt;&lt;wsp:rsid wsp:val=&quot;00C2547D&quot;/&gt;&lt;wsp:rsid wsp:val=&quot;00C254A6&quot;/&gt;&lt;wsp:rsid wsp:val=&quot;00C2551E&quot;/&gt;&lt;wsp:rsid wsp:val=&quot;00C25564&quot;/&gt;&lt;wsp:rsid wsp:val=&quot;00C255F9&quot;/&gt;&lt;wsp:rsid wsp:val=&quot;00C257C2&quot;/&gt;&lt;wsp:rsid wsp:val=&quot;00C25892&quot;/&gt;&lt;wsp:rsid wsp:val=&quot;00C258C9&quot;/&gt;&lt;wsp:rsid wsp:val=&quot;00C25B98&quot;/&gt;&lt;wsp:rsid wsp:val=&quot;00C25CAE&quot;/&gt;&lt;wsp:rsid wsp:val=&quot;00C25CC0&quot;/&gt;&lt;wsp:rsid wsp:val=&quot;00C26130&quot;/&gt;&lt;wsp:rsid wsp:val=&quot;00C263F8&quot;/&gt;&lt;wsp:rsid wsp:val=&quot;00C268F3&quot;/&gt;&lt;wsp:rsid wsp:val=&quot;00C26A45&quot;/&gt;&lt;wsp:rsid wsp:val=&quot;00C26ADD&quot;/&gt;&lt;wsp:rsid wsp:val=&quot;00C26D0C&quot;/&gt;&lt;wsp:rsid wsp:val=&quot;00C26F58&quot;/&gt;&lt;wsp:rsid wsp:val=&quot;00C27177&quot;/&gt;&lt;wsp:rsid wsp:val=&quot;00C271C7&quot;/&gt;&lt;wsp:rsid wsp:val=&quot;00C271F1&quot;/&gt;&lt;wsp:rsid wsp:val=&quot;00C27220&quot;/&gt;&lt;wsp:rsid wsp:val=&quot;00C276C0&quot;/&gt;&lt;wsp:rsid wsp:val=&quot;00C27718&quot;/&gt;&lt;wsp:rsid wsp:val=&quot;00C27769&quot;/&gt;&lt;wsp:rsid wsp:val=&quot;00C27775&quot;/&gt;&lt;wsp:rsid wsp:val=&quot;00C27E42&quot;/&gt;&lt;wsp:rsid wsp:val=&quot;00C27EE8&quot;/&gt;&lt;wsp:rsid wsp:val=&quot;00C27F8E&quot;/&gt;&lt;wsp:rsid wsp:val=&quot;00C30305&quot;/&gt;&lt;wsp:rsid wsp:val=&quot;00C3059D&quot;/&gt;&lt;wsp:rsid wsp:val=&quot;00C30A98&quot;/&gt;&lt;wsp:rsid wsp:val=&quot;00C31542&quot;/&gt;&lt;wsp:rsid wsp:val=&quot;00C315CF&quot;/&gt;&lt;wsp:rsid wsp:val=&quot;00C319D8&quot;/&gt;&lt;wsp:rsid wsp:val=&quot;00C31AFC&quot;/&gt;&lt;wsp:rsid wsp:val=&quot;00C31BE6&quot;/&gt;&lt;wsp:rsid wsp:val=&quot;00C31D1F&quot;/&gt;&lt;wsp:rsid wsp:val=&quot;00C32092&quot;/&gt;&lt;wsp:rsid wsp:val=&quot;00C32402&quot;/&gt;&lt;wsp:rsid wsp:val=&quot;00C32497&quot;/&gt;&lt;wsp:rsid wsp:val=&quot;00C32691&quot;/&gt;&lt;wsp:rsid wsp:val=&quot;00C329F6&quot;/&gt;&lt;wsp:rsid wsp:val=&quot;00C32AC4&quot;/&gt;&lt;wsp:rsid wsp:val=&quot;00C32B71&quot;/&gt;&lt;wsp:rsid wsp:val=&quot;00C32C34&quot;/&gt;&lt;wsp:rsid wsp:val=&quot;00C32C92&quot;/&gt;&lt;wsp:rsid wsp:val=&quot;00C32CA4&quot;/&gt;&lt;wsp:rsid wsp:val=&quot;00C32CE4&quot;/&gt;&lt;wsp:rsid wsp:val=&quot;00C331BA&quot;/&gt;&lt;wsp:rsid wsp:val=&quot;00C33386&quot;/&gt;&lt;wsp:rsid wsp:val=&quot;00C33575&quot;/&gt;&lt;wsp:rsid wsp:val=&quot;00C338B5&quot;/&gt;&lt;wsp:rsid wsp:val=&quot;00C33C23&quot;/&gt;&lt;wsp:rsid wsp:val=&quot;00C34069&quot;/&gt;&lt;wsp:rsid wsp:val=&quot;00C3406A&quot;/&gt;&lt;wsp:rsid wsp:val=&quot;00C347E6&quot;/&gt;&lt;wsp:rsid wsp:val=&quot;00C3494D&quot;/&gt;&lt;wsp:rsid wsp:val=&quot;00C3558D&quot;/&gt;&lt;wsp:rsid wsp:val=&quot;00C359D4&quot;/&gt;&lt;wsp:rsid wsp:val=&quot;00C35FC8&quot;/&gt;&lt;wsp:rsid wsp:val=&quot;00C3635A&quot;/&gt;&lt;wsp:rsid wsp:val=&quot;00C364E3&quot;/&gt;&lt;wsp:rsid wsp:val=&quot;00C365D1&quot;/&gt;&lt;wsp:rsid wsp:val=&quot;00C367F0&quot;/&gt;&lt;wsp:rsid wsp:val=&quot;00C36C64&quot;/&gt;&lt;wsp:rsid wsp:val=&quot;00C370A4&quot;/&gt;&lt;wsp:rsid wsp:val=&quot;00C372FB&quot;/&gt;&lt;wsp:rsid wsp:val=&quot;00C374B2&quot;/&gt;&lt;wsp:rsid wsp:val=&quot;00C37545&quot;/&gt;&lt;wsp:rsid wsp:val=&quot;00C3757E&quot;/&gt;&lt;wsp:rsid wsp:val=&quot;00C377BD&quot;/&gt;&lt;wsp:rsid wsp:val=&quot;00C3786F&quot;/&gt;&lt;wsp:rsid wsp:val=&quot;00C37A39&quot;/&gt;&lt;wsp:rsid wsp:val=&quot;00C37CC3&quot;/&gt;&lt;wsp:rsid wsp:val=&quot;00C40260&quot;/&gt;&lt;wsp:rsid wsp:val=&quot;00C402D1&quot;/&gt;&lt;wsp:rsid wsp:val=&quot;00C40D82&quot;/&gt;&lt;wsp:rsid wsp:val=&quot;00C40EF6&quot;/&gt;&lt;wsp:rsid wsp:val=&quot;00C40F22&quot;/&gt;&lt;wsp:rsid wsp:val=&quot;00C4117B&quot;/&gt;&lt;wsp:rsid wsp:val=&quot;00C41496&quot;/&gt;&lt;wsp:rsid wsp:val=&quot;00C419DF&quot;/&gt;&lt;wsp:rsid wsp:val=&quot;00C41B12&quot;/&gt;&lt;wsp:rsid wsp:val=&quot;00C41B45&quot;/&gt;&lt;wsp:rsid wsp:val=&quot;00C41FB4&quot;/&gt;&lt;wsp:rsid wsp:val=&quot;00C42226&quot;/&gt;&lt;wsp:rsid wsp:val=&quot;00C42270&quot;/&gt;&lt;wsp:rsid wsp:val=&quot;00C423D4&quot;/&gt;&lt;wsp:rsid wsp:val=&quot;00C424A5&quot;/&gt;&lt;wsp:rsid wsp:val=&quot;00C424CA&quot;/&gt;&lt;wsp:rsid wsp:val=&quot;00C4286C&quot;/&gt;&lt;wsp:rsid wsp:val=&quot;00C429E3&quot;/&gt;&lt;wsp:rsid wsp:val=&quot;00C42C0D&quot;/&gt;&lt;wsp:rsid wsp:val=&quot;00C42E38&quot;/&gt;&lt;wsp:rsid wsp:val=&quot;00C43043&quot;/&gt;&lt;wsp:rsid wsp:val=&quot;00C430B3&quot;/&gt;&lt;wsp:rsid wsp:val=&quot;00C431DB&quot;/&gt;&lt;wsp:rsid wsp:val=&quot;00C431FD&quot;/&gt;&lt;wsp:rsid wsp:val=&quot;00C43959&quot;/&gt;&lt;wsp:rsid wsp:val=&quot;00C43ABE&quot;/&gt;&lt;wsp:rsid wsp:val=&quot;00C43E54&quot;/&gt;&lt;wsp:rsid wsp:val=&quot;00C441E7&quot;/&gt;&lt;wsp:rsid wsp:val=&quot;00C443E8&quot;/&gt;&lt;wsp:rsid wsp:val=&quot;00C443F4&quot;/&gt;&lt;wsp:rsid wsp:val=&quot;00C4455E&quot;/&gt;&lt;wsp:rsid wsp:val=&quot;00C445F2&quot;/&gt;&lt;wsp:rsid wsp:val=&quot;00C446D1&quot;/&gt;&lt;wsp:rsid wsp:val=&quot;00C4470E&quot;/&gt;&lt;wsp:rsid wsp:val=&quot;00C44782&quot;/&gt;&lt;wsp:rsid wsp:val=&quot;00C44855&quot;/&gt;&lt;wsp:rsid wsp:val=&quot;00C44908&quot;/&gt;&lt;wsp:rsid wsp:val=&quot;00C44A54&quot;/&gt;&lt;wsp:rsid wsp:val=&quot;00C44CD4&quot;/&gt;&lt;wsp:rsid wsp:val=&quot;00C44F30&quot;/&gt;&lt;wsp:rsid wsp:val=&quot;00C45486&quot;/&gt;&lt;wsp:rsid wsp:val=&quot;00C45504&quot;/&gt;&lt;wsp:rsid wsp:val=&quot;00C45661&quot;/&gt;&lt;wsp:rsid wsp:val=&quot;00C458B3&quot;/&gt;&lt;wsp:rsid wsp:val=&quot;00C459A7&quot;/&gt;&lt;wsp:rsid wsp:val=&quot;00C46235&quot;/&gt;&lt;wsp:rsid wsp:val=&quot;00C46317&quot;/&gt;&lt;wsp:rsid wsp:val=&quot;00C46F7A&quot;/&gt;&lt;wsp:rsid wsp:val=&quot;00C47035&quot;/&gt;&lt;wsp:rsid wsp:val=&quot;00C4709E&quot;/&gt;&lt;wsp:rsid wsp:val=&quot;00C4721F&quot;/&gt;&lt;wsp:rsid wsp:val=&quot;00C47268&quot;/&gt;&lt;wsp:rsid wsp:val=&quot;00C472EA&quot;/&gt;&lt;wsp:rsid wsp:val=&quot;00C473CA&quot;/&gt;&lt;wsp:rsid wsp:val=&quot;00C4756D&quot;/&gt;&lt;wsp:rsid wsp:val=&quot;00C475E6&quot;/&gt;&lt;wsp:rsid wsp:val=&quot;00C478E1&quot;/&gt;&lt;wsp:rsid wsp:val=&quot;00C47961&quot;/&gt;&lt;wsp:rsid wsp:val=&quot;00C502AF&quot;/&gt;&lt;wsp:rsid wsp:val=&quot;00C5057B&quot;/&gt;&lt;wsp:rsid wsp:val=&quot;00C505BB&quot;/&gt;&lt;wsp:rsid wsp:val=&quot;00C506AB&quot;/&gt;&lt;wsp:rsid wsp:val=&quot;00C50C14&quot;/&gt;&lt;wsp:rsid wsp:val=&quot;00C50EE8&quot;/&gt;&lt;wsp:rsid wsp:val=&quot;00C51114&quot;/&gt;&lt;wsp:rsid wsp:val=&quot;00C51283&quot;/&gt;&lt;wsp:rsid wsp:val=&quot;00C5128D&quot;/&gt;&lt;wsp:rsid wsp:val=&quot;00C512C5&quot;/&gt;&lt;wsp:rsid wsp:val=&quot;00C5164E&quot;/&gt;&lt;wsp:rsid wsp:val=&quot;00C516BE&quot;/&gt;&lt;wsp:rsid wsp:val=&quot;00C51915&quot;/&gt;&lt;wsp:rsid wsp:val=&quot;00C51C78&quot;/&gt;&lt;wsp:rsid wsp:val=&quot;00C520E2&quot;/&gt;&lt;wsp:rsid wsp:val=&quot;00C521F5&quot;/&gt;&lt;wsp:rsid wsp:val=&quot;00C529DB&quot;/&gt;&lt;wsp:rsid wsp:val=&quot;00C52AF4&quot;/&gt;&lt;wsp:rsid wsp:val=&quot;00C52B61&quot;/&gt;&lt;wsp:rsid wsp:val=&quot;00C52C1A&quot;/&gt;&lt;wsp:rsid wsp:val=&quot;00C52D00&quot;/&gt;&lt;wsp:rsid wsp:val=&quot;00C52D6D&quot;/&gt;&lt;wsp:rsid wsp:val=&quot;00C52D75&quot;/&gt;&lt;wsp:rsid wsp:val=&quot;00C52E45&quot;/&gt;&lt;wsp:rsid wsp:val=&quot;00C531DC&quot;/&gt;&lt;wsp:rsid wsp:val=&quot;00C53272&quot;/&gt;&lt;wsp:rsid wsp:val=&quot;00C53308&quot;/&gt;&lt;wsp:rsid wsp:val=&quot;00C5341D&quot;/&gt;&lt;wsp:rsid wsp:val=&quot;00C53527&quot;/&gt;&lt;wsp:rsid wsp:val=&quot;00C53718&quot;/&gt;&lt;wsp:rsid wsp:val=&quot;00C5375D&quot;/&gt;&lt;wsp:rsid wsp:val=&quot;00C5397E&quot;/&gt;&lt;wsp:rsid wsp:val=&quot;00C539F2&quot;/&gt;&lt;wsp:rsid wsp:val=&quot;00C53CE7&quot;/&gt;&lt;wsp:rsid wsp:val=&quot;00C53FF4&quot;/&gt;&lt;wsp:rsid wsp:val=&quot;00C54047&quot;/&gt;&lt;wsp:rsid wsp:val=&quot;00C545D7&quot;/&gt;&lt;wsp:rsid wsp:val=&quot;00C545DA&quot;/&gt;&lt;wsp:rsid wsp:val=&quot;00C546D2&quot;/&gt;&lt;wsp:rsid wsp:val=&quot;00C54C09&quot;/&gt;&lt;wsp:rsid wsp:val=&quot;00C54D1E&quot;/&gt;&lt;wsp:rsid wsp:val=&quot;00C54D9B&quot;/&gt;&lt;wsp:rsid wsp:val=&quot;00C54E65&quot;/&gt;&lt;wsp:rsid wsp:val=&quot;00C550C7&quot;/&gt;&lt;wsp:rsid wsp:val=&quot;00C55199&quot;/&gt;&lt;wsp:rsid wsp:val=&quot;00C5532C&quot;/&gt;&lt;wsp:rsid wsp:val=&quot;00C555B6&quot;/&gt;&lt;wsp:rsid wsp:val=&quot;00C55A58&quot;/&gt;&lt;wsp:rsid wsp:val=&quot;00C55E33&quot;/&gt;&lt;wsp:rsid wsp:val=&quot;00C55F41&quot;/&gt;&lt;wsp:rsid wsp:val=&quot;00C5609C&quot;/&gt;&lt;wsp:rsid wsp:val=&quot;00C565B6&quot;/&gt;&lt;wsp:rsid wsp:val=&quot;00C5675A&quot;/&gt;&lt;wsp:rsid wsp:val=&quot;00C56836&quot;/&gt;&lt;wsp:rsid wsp:val=&quot;00C56B14&quot;/&gt;&lt;wsp:rsid wsp:val=&quot;00C56B82&quot;/&gt;&lt;wsp:rsid wsp:val=&quot;00C56C39&quot;/&gt;&lt;wsp:rsid wsp:val=&quot;00C571E2&quot;/&gt;&lt;wsp:rsid wsp:val=&quot;00C57273&quot;/&gt;&lt;wsp:rsid wsp:val=&quot;00C57350&quot;/&gt;&lt;wsp:rsid wsp:val=&quot;00C5738C&quot;/&gt;&lt;wsp:rsid wsp:val=&quot;00C57463&quot;/&gt;&lt;wsp:rsid wsp:val=&quot;00C57537&quot;/&gt;&lt;wsp:rsid wsp:val=&quot;00C577AC&quot;/&gt;&lt;wsp:rsid wsp:val=&quot;00C57AB1&quot;/&gt;&lt;wsp:rsid wsp:val=&quot;00C57D94&quot;/&gt;&lt;wsp:rsid wsp:val=&quot;00C57F4A&quot;/&gt;&lt;wsp:rsid wsp:val=&quot;00C57F99&quot;/&gt;&lt;wsp:rsid wsp:val=&quot;00C60077&quot;/&gt;&lt;wsp:rsid wsp:val=&quot;00C60226&quot;/&gt;&lt;wsp:rsid wsp:val=&quot;00C60427&quot;/&gt;&lt;wsp:rsid wsp:val=&quot;00C6069E&quot;/&gt;&lt;wsp:rsid wsp:val=&quot;00C606C2&quot;/&gt;&lt;wsp:rsid wsp:val=&quot;00C6081A&quot;/&gt;&lt;wsp:rsid wsp:val=&quot;00C60827&quot;/&gt;&lt;wsp:rsid wsp:val=&quot;00C60A36&quot;/&gt;&lt;wsp:rsid wsp:val=&quot;00C60E36&quot;/&gt;&lt;wsp:rsid wsp:val=&quot;00C61132&quot;/&gt;&lt;wsp:rsid wsp:val=&quot;00C6177A&quot;/&gt;&lt;wsp:rsid wsp:val=&quot;00C61C9D&quot;/&gt;&lt;wsp:rsid wsp:val=&quot;00C61DDB&quot;/&gt;&lt;wsp:rsid wsp:val=&quot;00C61DF5&quot;/&gt;&lt;wsp:rsid wsp:val=&quot;00C61E13&quot;/&gt;&lt;wsp:rsid wsp:val=&quot;00C61FED&quot;/&gt;&lt;wsp:rsid wsp:val=&quot;00C623A5&quot;/&gt;&lt;wsp:rsid wsp:val=&quot;00C62692&quot;/&gt;&lt;wsp:rsid wsp:val=&quot;00C62819&quot;/&gt;&lt;wsp:rsid wsp:val=&quot;00C62848&quot;/&gt;&lt;wsp:rsid wsp:val=&quot;00C628B6&quot;/&gt;&lt;wsp:rsid wsp:val=&quot;00C6296F&quot;/&gt;&lt;wsp:rsid wsp:val=&quot;00C62C96&quot;/&gt;&lt;wsp:rsid wsp:val=&quot;00C63008&quot;/&gt;&lt;wsp:rsid wsp:val=&quot;00C63389&quot;/&gt;&lt;wsp:rsid wsp:val=&quot;00C635E0&quot;/&gt;&lt;wsp:rsid wsp:val=&quot;00C63800&quot;/&gt;&lt;wsp:rsid wsp:val=&quot;00C63AD0&quot;/&gt;&lt;wsp:rsid wsp:val=&quot;00C63C9F&quot;/&gt;&lt;wsp:rsid wsp:val=&quot;00C63CDD&quot;/&gt;&lt;wsp:rsid wsp:val=&quot;00C63EDF&quot;/&gt;&lt;wsp:rsid wsp:val=&quot;00C645A4&quot;/&gt;&lt;wsp:rsid wsp:val=&quot;00C6484B&quot;/&gt;&lt;wsp:rsid wsp:val=&quot;00C648FE&quot;/&gt;&lt;wsp:rsid wsp:val=&quot;00C64E00&quot;/&gt;&lt;wsp:rsid wsp:val=&quot;00C64FA0&quot;/&gt;&lt;wsp:rsid wsp:val=&quot;00C65122&quot;/&gt;&lt;wsp:rsid wsp:val=&quot;00C65176&quot;/&gt;&lt;wsp:rsid wsp:val=&quot;00C651E7&quot;/&gt;&lt;wsp:rsid wsp:val=&quot;00C6520E&quot;/&gt;&lt;wsp:rsid wsp:val=&quot;00C65338&quot;/&gt;&lt;wsp:rsid wsp:val=&quot;00C65477&quot;/&gt;&lt;wsp:rsid wsp:val=&quot;00C65A41&quot;/&gt;&lt;wsp:rsid wsp:val=&quot;00C65C6D&quot;/&gt;&lt;wsp:rsid wsp:val=&quot;00C65D2C&quot;/&gt;&lt;wsp:rsid wsp:val=&quot;00C65F93&quot;/&gt;&lt;wsp:rsid wsp:val=&quot;00C65FFD&quot;/&gt;&lt;wsp:rsid wsp:val=&quot;00C66272&quot;/&gt;&lt;wsp:rsid wsp:val=&quot;00C66286&quot;/&gt;&lt;wsp:rsid wsp:val=&quot;00C6655C&quot;/&gt;&lt;wsp:rsid wsp:val=&quot;00C6671E&quot;/&gt;&lt;wsp:rsid wsp:val=&quot;00C66761&quot;/&gt;&lt;wsp:rsid wsp:val=&quot;00C66792&quot;/&gt;&lt;wsp:rsid wsp:val=&quot;00C66B1A&quot;/&gt;&lt;wsp:rsid wsp:val=&quot;00C66D0B&quot;/&gt;&lt;wsp:rsid wsp:val=&quot;00C673FE&quot;/&gt;&lt;wsp:rsid wsp:val=&quot;00C67857&quot;/&gt;&lt;wsp:rsid wsp:val=&quot;00C67B95&quot;/&gt;&lt;wsp:rsid wsp:val=&quot;00C67EDE&quot;/&gt;&lt;wsp:rsid wsp:val=&quot;00C67F9B&quot;/&gt;&lt;wsp:rsid wsp:val=&quot;00C7045D&quot;/&gt;&lt;wsp:rsid wsp:val=&quot;00C706A5&quot;/&gt;&lt;wsp:rsid wsp:val=&quot;00C707F5&quot;/&gt;&lt;wsp:rsid wsp:val=&quot;00C70AB0&quot;/&gt;&lt;wsp:rsid wsp:val=&quot;00C7135F&quot;/&gt;&lt;wsp:rsid wsp:val=&quot;00C71801&quot;/&gt;&lt;wsp:rsid wsp:val=&quot;00C71BAE&quot;/&gt;&lt;wsp:rsid wsp:val=&quot;00C71DC7&quot;/&gt;&lt;wsp:rsid wsp:val=&quot;00C71EEE&quot;/&gt;&lt;wsp:rsid wsp:val=&quot;00C71F0B&quot;/&gt;&lt;wsp:rsid wsp:val=&quot;00C71FED&quot;/&gt;&lt;wsp:rsid wsp:val=&quot;00C72033&quot;/&gt;&lt;wsp:rsid wsp:val=&quot;00C7203A&quot;/&gt;&lt;wsp:rsid wsp:val=&quot;00C72057&quot;/&gt;&lt;wsp:rsid wsp:val=&quot;00C72223&quot;/&gt;&lt;wsp:rsid wsp:val=&quot;00C72409&quot;/&gt;&lt;wsp:rsid wsp:val=&quot;00C7260E&quot;/&gt;&lt;wsp:rsid wsp:val=&quot;00C72738&quot;/&gt;&lt;wsp:rsid wsp:val=&quot;00C727D8&quot;/&gt;&lt;wsp:rsid wsp:val=&quot;00C72CA4&quot;/&gt;&lt;wsp:rsid wsp:val=&quot;00C72E32&quot;/&gt;&lt;wsp:rsid wsp:val=&quot;00C7341D&quot;/&gt;&lt;wsp:rsid wsp:val=&quot;00C7346C&quot;/&gt;&lt;wsp:rsid wsp:val=&quot;00C734BA&quot;/&gt;&lt;wsp:rsid wsp:val=&quot;00C7367D&quot;/&gt;&lt;wsp:rsid wsp:val=&quot;00C73778&quot;/&gt;&lt;wsp:rsid wsp:val=&quot;00C73A06&quot;/&gt;&lt;wsp:rsid wsp:val=&quot;00C73A07&quot;/&gt;&lt;wsp:rsid wsp:val=&quot;00C73B94&quot;/&gt;&lt;wsp:rsid wsp:val=&quot;00C73BE4&quot;/&gt;&lt;wsp:rsid wsp:val=&quot;00C73C7F&quot;/&gt;&lt;wsp:rsid wsp:val=&quot;00C73E14&quot;/&gt;&lt;wsp:rsid wsp:val=&quot;00C73E9D&quot;/&gt;&lt;wsp:rsid wsp:val=&quot;00C73FDB&quot;/&gt;&lt;wsp:rsid wsp:val=&quot;00C740DC&quot;/&gt;&lt;wsp:rsid wsp:val=&quot;00C74218&quot;/&gt;&lt;wsp:rsid wsp:val=&quot;00C74A85&quot;/&gt;&lt;wsp:rsid wsp:val=&quot;00C74C0C&quot;/&gt;&lt;wsp:rsid wsp:val=&quot;00C74C38&quot;/&gt;&lt;wsp:rsid wsp:val=&quot;00C750D1&quot;/&gt;&lt;wsp:rsid wsp:val=&quot;00C7552E&quot;/&gt;&lt;wsp:rsid wsp:val=&quot;00C755A4&quot;/&gt;&lt;wsp:rsid wsp:val=&quot;00C755E6&quot;/&gt;&lt;wsp:rsid wsp:val=&quot;00C75747&quot;/&gt;&lt;wsp:rsid wsp:val=&quot;00C75791&quot;/&gt;&lt;wsp:rsid wsp:val=&quot;00C7582F&quot;/&gt;&lt;wsp:rsid wsp:val=&quot;00C75AB3&quot;/&gt;&lt;wsp:rsid wsp:val=&quot;00C76519&quot;/&gt;&lt;wsp:rsid wsp:val=&quot;00C7659A&quot;/&gt;&lt;wsp:rsid wsp:val=&quot;00C76674&quot;/&gt;&lt;wsp:rsid wsp:val=&quot;00C76911&quot;/&gt;&lt;wsp:rsid wsp:val=&quot;00C76AFA&quot;/&gt;&lt;wsp:rsid wsp:val=&quot;00C76B08&quot;/&gt;&lt;wsp:rsid wsp:val=&quot;00C76D62&quot;/&gt;&lt;wsp:rsid wsp:val=&quot;00C770AA&quot;/&gt;&lt;wsp:rsid wsp:val=&quot;00C775DC&quot;/&gt;&lt;wsp:rsid wsp:val=&quot;00C77A64&quot;/&gt;&lt;wsp:rsid wsp:val=&quot;00C77C45&quot;/&gt;&lt;wsp:rsid wsp:val=&quot;00C801EC&quot;/&gt;&lt;wsp:rsid wsp:val=&quot;00C807A3&quot;/&gt;&lt;wsp:rsid wsp:val=&quot;00C80939&quot;/&gt;&lt;wsp:rsid wsp:val=&quot;00C80C67&quot;/&gt;&lt;wsp:rsid wsp:val=&quot;00C80C7E&quot;/&gt;&lt;wsp:rsid wsp:val=&quot;00C80E26&quot;/&gt;&lt;wsp:rsid wsp:val=&quot;00C80F16&quot;/&gt;&lt;wsp:rsid wsp:val=&quot;00C80FCE&quot;/&gt;&lt;wsp:rsid wsp:val=&quot;00C812F7&quot;/&gt;&lt;wsp:rsid wsp:val=&quot;00C81438&quot;/&gt;&lt;wsp:rsid wsp:val=&quot;00C81594&quot;/&gt;&lt;wsp:rsid wsp:val=&quot;00C81805&quot;/&gt;&lt;wsp:rsid wsp:val=&quot;00C81B75&quot;/&gt;&lt;wsp:rsid wsp:val=&quot;00C81CE0&quot;/&gt;&lt;wsp:rsid wsp:val=&quot;00C81F45&quot;/&gt;&lt;wsp:rsid wsp:val=&quot;00C8219B&quot;/&gt;&lt;wsp:rsid wsp:val=&quot;00C8255E&quot;/&gt;&lt;wsp:rsid wsp:val=&quot;00C82904&quot;/&gt;&lt;wsp:rsid wsp:val=&quot;00C82C14&quot;/&gt;&lt;wsp:rsid wsp:val=&quot;00C82D47&quot;/&gt;&lt;wsp:rsid wsp:val=&quot;00C82D9B&quot;/&gt;&lt;wsp:rsid wsp:val=&quot;00C830B2&quot;/&gt;&lt;wsp:rsid wsp:val=&quot;00C83150&quot;/&gt;&lt;wsp:rsid wsp:val=&quot;00C831E2&quot;/&gt;&lt;wsp:rsid wsp:val=&quot;00C8320C&quot;/&gt;&lt;wsp:rsid wsp:val=&quot;00C83303&quot;/&gt;&lt;wsp:rsid wsp:val=&quot;00C8331A&quot;/&gt;&lt;wsp:rsid wsp:val=&quot;00C834EF&quot;/&gt;&lt;wsp:rsid wsp:val=&quot;00C834F4&quot;/&gt;&lt;wsp:rsid wsp:val=&quot;00C8392D&quot;/&gt;&lt;wsp:rsid wsp:val=&quot;00C841D8&quot;/&gt;&lt;wsp:rsid wsp:val=&quot;00C8492B&quot;/&gt;&lt;wsp:rsid wsp:val=&quot;00C84B9E&quot;/&gt;&lt;wsp:rsid wsp:val=&quot;00C84CEA&quot;/&gt;&lt;wsp:rsid wsp:val=&quot;00C851AA&quot;/&gt;&lt;wsp:rsid wsp:val=&quot;00C853BE&quot;/&gt;&lt;wsp:rsid wsp:val=&quot;00C853C1&quot;/&gt;&lt;wsp:rsid wsp:val=&quot;00C8541F&quot;/&gt;&lt;wsp:rsid wsp:val=&quot;00C855C8&quot;/&gt;&lt;wsp:rsid wsp:val=&quot;00C85E5F&quot;/&gt;&lt;wsp:rsid wsp:val=&quot;00C85F71&quot;/&gt;&lt;wsp:rsid wsp:val=&quot;00C85FE5&quot;/&gt;&lt;wsp:rsid wsp:val=&quot;00C8626A&quot;/&gt;&lt;wsp:rsid wsp:val=&quot;00C863A3&quot;/&gt;&lt;wsp:rsid wsp:val=&quot;00C86434&quot;/&gt;&lt;wsp:rsid wsp:val=&quot;00C86C03&quot;/&gt;&lt;wsp:rsid wsp:val=&quot;00C873E0&quot;/&gt;&lt;wsp:rsid wsp:val=&quot;00C8747D&quot;/&gt;&lt;wsp:rsid wsp:val=&quot;00C875FF&quot;/&gt;&lt;wsp:rsid wsp:val=&quot;00C87627&quot;/&gt;&lt;wsp:rsid wsp:val=&quot;00C87C4D&quot;/&gt;&lt;wsp:rsid wsp:val=&quot;00C901E0&quot;/&gt;&lt;wsp:rsid wsp:val=&quot;00C9047D&quot;/&gt;&lt;wsp:rsid wsp:val=&quot;00C904E1&quot;/&gt;&lt;wsp:rsid wsp:val=&quot;00C90666&quot;/&gt;&lt;wsp:rsid wsp:val=&quot;00C9070D&quot;/&gt;&lt;wsp:rsid wsp:val=&quot;00C90921&quot;/&gt;&lt;wsp:rsid wsp:val=&quot;00C90DF3&quot;/&gt;&lt;wsp:rsid wsp:val=&quot;00C90E11&quot;/&gt;&lt;wsp:rsid wsp:val=&quot;00C90F29&quot;/&gt;&lt;wsp:rsid wsp:val=&quot;00C90F70&quot;/&gt;&lt;wsp:rsid wsp:val=&quot;00C90FE3&quot;/&gt;&lt;wsp:rsid wsp:val=&quot;00C9114E&quot;/&gt;&lt;wsp:rsid wsp:val=&quot;00C91352&quot;/&gt;&lt;wsp:rsid wsp:val=&quot;00C91769&quot;/&gt;&lt;wsp:rsid wsp:val=&quot;00C917FC&quot;/&gt;&lt;wsp:rsid wsp:val=&quot;00C91964&quot;/&gt;&lt;wsp:rsid wsp:val=&quot;00C92176&quot;/&gt;&lt;wsp:rsid wsp:val=&quot;00C9218A&quot;/&gt;&lt;wsp:rsid wsp:val=&quot;00C9244B&quot;/&gt;&lt;wsp:rsid wsp:val=&quot;00C92659&quot;/&gt;&lt;wsp:rsid wsp:val=&quot;00C928A7&quot;/&gt;&lt;wsp:rsid wsp:val=&quot;00C92B2C&quot;/&gt;&lt;wsp:rsid wsp:val=&quot;00C92CCB&quot;/&gt;&lt;wsp:rsid wsp:val=&quot;00C933F1&quot;/&gt;&lt;wsp:rsid wsp:val=&quot;00C9368D&quot;/&gt;&lt;wsp:rsid wsp:val=&quot;00C93ACF&quot;/&gt;&lt;wsp:rsid wsp:val=&quot;00C93AF6&quot;/&gt;&lt;wsp:rsid wsp:val=&quot;00C93C93&quot;/&gt;&lt;wsp:rsid wsp:val=&quot;00C93F46&quot;/&gt;&lt;wsp:rsid wsp:val=&quot;00C93FFB&quot;/&gt;&lt;wsp:rsid wsp:val=&quot;00C94163&quot;/&gt;&lt;wsp:rsid wsp:val=&quot;00C946F6&quot;/&gt;&lt;wsp:rsid wsp:val=&quot;00C94D42&quot;/&gt;&lt;wsp:rsid wsp:val=&quot;00C94F43&quot;/&gt;&lt;wsp:rsid wsp:val=&quot;00C9503C&quot;/&gt;&lt;wsp:rsid wsp:val=&quot;00C951E8&quot;/&gt;&lt;wsp:rsid wsp:val=&quot;00C953EE&quot;/&gt;&lt;wsp:rsid wsp:val=&quot;00C9593F&quot;/&gt;&lt;wsp:rsid wsp:val=&quot;00C95D33&quot;/&gt;&lt;wsp:rsid wsp:val=&quot;00C96535&quot;/&gt;&lt;wsp:rsid wsp:val=&quot;00C96AE9&quot;/&gt;&lt;wsp:rsid wsp:val=&quot;00C96BC9&quot;/&gt;&lt;wsp:rsid wsp:val=&quot;00C96C6B&quot;/&gt;&lt;wsp:rsid wsp:val=&quot;00C96FA5&quot;/&gt;&lt;wsp:rsid wsp:val=&quot;00C97181&quot;/&gt;&lt;wsp:rsid wsp:val=&quot;00C97201&quot;/&gt;&lt;wsp:rsid wsp:val=&quot;00C9722A&quot;/&gt;&lt;wsp:rsid wsp:val=&quot;00C9739E&quot;/&gt;&lt;wsp:rsid wsp:val=&quot;00C97634&quot;/&gt;&lt;wsp:rsid wsp:val=&quot;00C97855&quot;/&gt;&lt;wsp:rsid wsp:val=&quot;00C978CF&quot;/&gt;&lt;wsp:rsid wsp:val=&quot;00C97DC1&quot;/&gt;&lt;wsp:rsid wsp:val=&quot;00C97E27&quot;/&gt;&lt;wsp:rsid wsp:val=&quot;00CA0196&quot;/&gt;&lt;wsp:rsid wsp:val=&quot;00CA01EB&quot;/&gt;&lt;wsp:rsid wsp:val=&quot;00CA0225&quot;/&gt;&lt;wsp:rsid wsp:val=&quot;00CA0405&quot;/&gt;&lt;wsp:rsid wsp:val=&quot;00CA0965&quot;/&gt;&lt;wsp:rsid wsp:val=&quot;00CA0AEB&quot;/&gt;&lt;wsp:rsid wsp:val=&quot;00CA11D6&quot;/&gt;&lt;wsp:rsid wsp:val=&quot;00CA127E&quot;/&gt;&lt;wsp:rsid wsp:val=&quot;00CA16A3&quot;/&gt;&lt;wsp:rsid wsp:val=&quot;00CA1E2D&quot;/&gt;&lt;wsp:rsid wsp:val=&quot;00CA2136&quot;/&gt;&lt;wsp:rsid wsp:val=&quot;00CA21F6&quot;/&gt;&lt;wsp:rsid wsp:val=&quot;00CA2723&quot;/&gt;&lt;wsp:rsid wsp:val=&quot;00CA2B07&quot;/&gt;&lt;wsp:rsid wsp:val=&quot;00CA2E79&quot;/&gt;&lt;wsp:rsid wsp:val=&quot;00CA3050&quot;/&gt;&lt;wsp:rsid wsp:val=&quot;00CA31F7&quot;/&gt;&lt;wsp:rsid wsp:val=&quot;00CA3728&quot;/&gt;&lt;wsp:rsid wsp:val=&quot;00CA37E1&quot;/&gt;&lt;wsp:rsid wsp:val=&quot;00CA3A38&quot;/&gt;&lt;wsp:rsid wsp:val=&quot;00CA3AEB&quot;/&gt;&lt;wsp:rsid wsp:val=&quot;00CA3B19&quot;/&gt;&lt;wsp:rsid wsp:val=&quot;00CA3F2F&quot;/&gt;&lt;wsp:rsid wsp:val=&quot;00CA4848&quot;/&gt;&lt;wsp:rsid wsp:val=&quot;00CA4A68&quot;/&gt;&lt;wsp:rsid wsp:val=&quot;00CA4C34&quot;/&gt;&lt;wsp:rsid wsp:val=&quot;00CA5529&quot;/&gt;&lt;wsp:rsid wsp:val=&quot;00CA5D40&quot;/&gt;&lt;wsp:rsid wsp:val=&quot;00CA5D7C&quot;/&gt;&lt;wsp:rsid wsp:val=&quot;00CA5DCF&quot;/&gt;&lt;wsp:rsid wsp:val=&quot;00CA5FBB&quot;/&gt;&lt;wsp:rsid wsp:val=&quot;00CA61FE&quot;/&gt;&lt;wsp:rsid wsp:val=&quot;00CA6343&quot;/&gt;&lt;wsp:rsid wsp:val=&quot;00CA66D6&quot;/&gt;&lt;wsp:rsid wsp:val=&quot;00CA6900&quot;/&gt;&lt;wsp:rsid wsp:val=&quot;00CA690E&quot;/&gt;&lt;wsp:rsid wsp:val=&quot;00CA69CA&quot;/&gt;&lt;wsp:rsid wsp:val=&quot;00CA7088&quot;/&gt;&lt;wsp:rsid wsp:val=&quot;00CA7095&quot;/&gt;&lt;wsp:rsid wsp:val=&quot;00CA7158&quot;/&gt;&lt;wsp:rsid wsp:val=&quot;00CA7661&quot;/&gt;&lt;wsp:rsid wsp:val=&quot;00CA76D3&quot;/&gt;&lt;wsp:rsid wsp:val=&quot;00CA779D&quot;/&gt;&lt;wsp:rsid wsp:val=&quot;00CA7A99&quot;/&gt;&lt;wsp:rsid wsp:val=&quot;00CA7E0B&quot;/&gt;&lt;wsp:rsid wsp:val=&quot;00CB0099&quot;/&gt;&lt;wsp:rsid wsp:val=&quot;00CB0244&quot;/&gt;&lt;wsp:rsid wsp:val=&quot;00CB04B4&quot;/&gt;&lt;wsp:rsid wsp:val=&quot;00CB0535&quot;/&gt;&lt;wsp:rsid wsp:val=&quot;00CB0590&quot;/&gt;&lt;wsp:rsid wsp:val=&quot;00CB085A&quot;/&gt;&lt;wsp:rsid wsp:val=&quot;00CB0AEC&quot;/&gt;&lt;wsp:rsid wsp:val=&quot;00CB0B31&quot;/&gt;&lt;wsp:rsid wsp:val=&quot;00CB0DED&quot;/&gt;&lt;wsp:rsid wsp:val=&quot;00CB10EE&quot;/&gt;&lt;wsp:rsid wsp:val=&quot;00CB1769&quot;/&gt;&lt;wsp:rsid wsp:val=&quot;00CB1772&quot;/&gt;&lt;wsp:rsid wsp:val=&quot;00CB18D7&quot;/&gt;&lt;wsp:rsid wsp:val=&quot;00CB199F&quot;/&gt;&lt;wsp:rsid wsp:val=&quot;00CB1B60&quot;/&gt;&lt;wsp:rsid wsp:val=&quot;00CB1CAF&quot;/&gt;&lt;wsp:rsid wsp:val=&quot;00CB1F59&quot;/&gt;&lt;wsp:rsid wsp:val=&quot;00CB1F9D&quot;/&gt;&lt;wsp:rsid wsp:val=&quot;00CB1FD0&quot;/&gt;&lt;wsp:rsid wsp:val=&quot;00CB24BA&quot;/&gt;&lt;wsp:rsid wsp:val=&quot;00CB2644&quot;/&gt;&lt;wsp:rsid wsp:val=&quot;00CB2C97&quot;/&gt;&lt;wsp:rsid wsp:val=&quot;00CB2CBD&quot;/&gt;&lt;wsp:rsid wsp:val=&quot;00CB2DDE&quot;/&gt;&lt;wsp:rsid wsp:val=&quot;00CB3004&quot;/&gt;&lt;wsp:rsid wsp:val=&quot;00CB340D&quot;/&gt;&lt;wsp:rsid wsp:val=&quot;00CB363C&quot;/&gt;&lt;wsp:rsid wsp:val=&quot;00CB36EF&quot;/&gt;&lt;wsp:rsid wsp:val=&quot;00CB3DBC&quot;/&gt;&lt;wsp:rsid wsp:val=&quot;00CB3EFA&quot;/&gt;&lt;wsp:rsid wsp:val=&quot;00CB3F0A&quot;/&gt;&lt;wsp:rsid wsp:val=&quot;00CB46B4&quot;/&gt;&lt;wsp:rsid wsp:val=&quot;00CB46D8&quot;/&gt;&lt;wsp:rsid wsp:val=&quot;00CB4758&quot;/&gt;&lt;wsp:rsid wsp:val=&quot;00CB47E4&quot;/&gt;&lt;wsp:rsid wsp:val=&quot;00CB4FA4&quot;/&gt;&lt;wsp:rsid wsp:val=&quot;00CB4FF1&quot;/&gt;&lt;wsp:rsid wsp:val=&quot;00CB5319&quot;/&gt;&lt;wsp:rsid wsp:val=&quot;00CB57E3&quot;/&gt;&lt;wsp:rsid wsp:val=&quot;00CB5BD8&quot;/&gt;&lt;wsp:rsid wsp:val=&quot;00CB5D87&quot;/&gt;&lt;wsp:rsid wsp:val=&quot;00CB6124&quot;/&gt;&lt;wsp:rsid wsp:val=&quot;00CB641E&quot;/&gt;&lt;wsp:rsid wsp:val=&quot;00CB6673&quot;/&gt;&lt;wsp:rsid wsp:val=&quot;00CB6760&quot;/&gt;&lt;wsp:rsid wsp:val=&quot;00CB6AAD&quot;/&gt;&lt;wsp:rsid wsp:val=&quot;00CB738E&quot;/&gt;&lt;wsp:rsid wsp:val=&quot;00CB7499&quot;/&gt;&lt;wsp:rsid wsp:val=&quot;00CB7606&quot;/&gt;&lt;wsp:rsid wsp:val=&quot;00CB777A&quot;/&gt;&lt;wsp:rsid wsp:val=&quot;00CB7814&quot;/&gt;&lt;wsp:rsid wsp:val=&quot;00CB7867&quot;/&gt;&lt;wsp:rsid wsp:val=&quot;00CB7A60&quot;/&gt;&lt;wsp:rsid wsp:val=&quot;00CB7BF6&quot;/&gt;&lt;wsp:rsid wsp:val=&quot;00CB7D8F&quot;/&gt;&lt;wsp:rsid wsp:val=&quot;00CC0104&quot;/&gt;&lt;wsp:rsid wsp:val=&quot;00CC01C9&quot;/&gt;&lt;wsp:rsid wsp:val=&quot;00CC01EA&quot;/&gt;&lt;wsp:rsid wsp:val=&quot;00CC027C&quot;/&gt;&lt;wsp:rsid wsp:val=&quot;00CC055E&quot;/&gt;&lt;wsp:rsid wsp:val=&quot;00CC058F&quot;/&gt;&lt;wsp:rsid wsp:val=&quot;00CC0721&quot;/&gt;&lt;wsp:rsid wsp:val=&quot;00CC0D26&quot;/&gt;&lt;wsp:rsid wsp:val=&quot;00CC0DC5&quot;/&gt;&lt;wsp:rsid wsp:val=&quot;00CC0F89&quot;/&gt;&lt;wsp:rsid wsp:val=&quot;00CC1129&quot;/&gt;&lt;wsp:rsid wsp:val=&quot;00CC148C&quot;/&gt;&lt;wsp:rsid wsp:val=&quot;00CC1503&quot;/&gt;&lt;wsp:rsid wsp:val=&quot;00CC150C&quot;/&gt;&lt;wsp:rsid wsp:val=&quot;00CC16BA&quot;/&gt;&lt;wsp:rsid wsp:val=&quot;00CC18A5&quot;/&gt;&lt;wsp:rsid wsp:val=&quot;00CC1A82&quot;/&gt;&lt;wsp:rsid wsp:val=&quot;00CC1AD4&quot;/&gt;&lt;wsp:rsid wsp:val=&quot;00CC1B40&quot;/&gt;&lt;wsp:rsid wsp:val=&quot;00CC1BFC&quot;/&gt;&lt;wsp:rsid wsp:val=&quot;00CC1ECA&quot;/&gt;&lt;wsp:rsid wsp:val=&quot;00CC1FCA&quot;/&gt;&lt;wsp:rsid wsp:val=&quot;00CC25D2&quot;/&gt;&lt;wsp:rsid wsp:val=&quot;00CC26F9&quot;/&gt;&lt;wsp:rsid wsp:val=&quot;00CC27A8&quot;/&gt;&lt;wsp:rsid wsp:val=&quot;00CC2B4A&quot;/&gt;&lt;wsp:rsid wsp:val=&quot;00CC2B97&quot;/&gt;&lt;wsp:rsid wsp:val=&quot;00CC2EAC&quot;/&gt;&lt;wsp:rsid wsp:val=&quot;00CC2EFC&quot;/&gt;&lt;wsp:rsid wsp:val=&quot;00CC306E&quot;/&gt;&lt;wsp:rsid wsp:val=&quot;00CC3979&quot;/&gt;&lt;wsp:rsid wsp:val=&quot;00CC3BFC&quot;/&gt;&lt;wsp:rsid wsp:val=&quot;00CC3DA8&quot;/&gt;&lt;wsp:rsid wsp:val=&quot;00CC3E58&quot;/&gt;&lt;wsp:rsid wsp:val=&quot;00CC4189&quot;/&gt;&lt;wsp:rsid wsp:val=&quot;00CC4446&quot;/&gt;&lt;wsp:rsid wsp:val=&quot;00CC4858&quot;/&gt;&lt;wsp:rsid wsp:val=&quot;00CC48D5&quot;/&gt;&lt;wsp:rsid wsp:val=&quot;00CC49E0&quot;/&gt;&lt;wsp:rsid wsp:val=&quot;00CC49E1&quot;/&gt;&lt;wsp:rsid wsp:val=&quot;00CC4D13&quot;/&gt;&lt;wsp:rsid wsp:val=&quot;00CC4EA8&quot;/&gt;&lt;wsp:rsid wsp:val=&quot;00CC4FA2&quot;/&gt;&lt;wsp:rsid wsp:val=&quot;00CC5174&quot;/&gt;&lt;wsp:rsid wsp:val=&quot;00CC52D8&quot;/&gt;&lt;wsp:rsid wsp:val=&quot;00CC5450&quot;/&gt;&lt;wsp:rsid wsp:val=&quot;00CC56B5&quot;/&gt;&lt;wsp:rsid wsp:val=&quot;00CC5A20&quot;/&gt;&lt;wsp:rsid wsp:val=&quot;00CC61C5&quot;/&gt;&lt;wsp:rsid wsp:val=&quot;00CC65B5&quot;/&gt;&lt;wsp:rsid wsp:val=&quot;00CC65D2&quot;/&gt;&lt;wsp:rsid wsp:val=&quot;00CC6624&quot;/&gt;&lt;wsp:rsid wsp:val=&quot;00CC688A&quot;/&gt;&lt;wsp:rsid wsp:val=&quot;00CC695D&quot;/&gt;&lt;wsp:rsid wsp:val=&quot;00CC6A88&quot;/&gt;&lt;wsp:rsid wsp:val=&quot;00CC6E21&quot;/&gt;&lt;wsp:rsid wsp:val=&quot;00CC73B5&quot;/&gt;&lt;wsp:rsid wsp:val=&quot;00CC796B&quot;/&gt;&lt;wsp:rsid wsp:val=&quot;00CC7AD6&quot;/&gt;&lt;wsp:rsid wsp:val=&quot;00CC7B43&quot;/&gt;&lt;wsp:rsid wsp:val=&quot;00CC7CEA&quot;/&gt;&lt;wsp:rsid wsp:val=&quot;00CC7F8E&quot;/&gt;&lt;wsp:rsid wsp:val=&quot;00CD039A&quot;/&gt;&lt;wsp:rsid wsp:val=&quot;00CD04E2&quot;/&gt;&lt;wsp:rsid wsp:val=&quot;00CD07B1&quot;/&gt;&lt;wsp:rsid wsp:val=&quot;00CD0B12&quot;/&gt;&lt;wsp:rsid wsp:val=&quot;00CD0D22&quot;/&gt;&lt;wsp:rsid wsp:val=&quot;00CD14C2&quot;/&gt;&lt;wsp:rsid wsp:val=&quot;00CD1606&quot;/&gt;&lt;wsp:rsid wsp:val=&quot;00CD17E4&quot;/&gt;&lt;wsp:rsid wsp:val=&quot;00CD18AF&quot;/&gt;&lt;wsp:rsid wsp:val=&quot;00CD194B&quot;/&gt;&lt;wsp:rsid wsp:val=&quot;00CD1A47&quot;/&gt;&lt;wsp:rsid wsp:val=&quot;00CD1A7A&quot;/&gt;&lt;wsp:rsid wsp:val=&quot;00CD1B10&quot;/&gt;&lt;wsp:rsid wsp:val=&quot;00CD1E13&quot;/&gt;&lt;wsp:rsid wsp:val=&quot;00CD1E3B&quot;/&gt;&lt;wsp:rsid wsp:val=&quot;00CD2274&quot;/&gt;&lt;wsp:rsid wsp:val=&quot;00CD26A7&quot;/&gt;&lt;wsp:rsid wsp:val=&quot;00CD2765&quot;/&gt;&lt;wsp:rsid wsp:val=&quot;00CD2FFD&quot;/&gt;&lt;wsp:rsid wsp:val=&quot;00CD30E4&quot;/&gt;&lt;wsp:rsid wsp:val=&quot;00CD3113&quot;/&gt;&lt;wsp:rsid wsp:val=&quot;00CD32B1&quot;/&gt;&lt;wsp:rsid wsp:val=&quot;00CD32FA&quot;/&gt;&lt;wsp:rsid wsp:val=&quot;00CD3459&quot;/&gt;&lt;wsp:rsid wsp:val=&quot;00CD34AB&quot;/&gt;&lt;wsp:rsid wsp:val=&quot;00CD3699&quot;/&gt;&lt;wsp:rsid wsp:val=&quot;00CD3968&quot;/&gt;&lt;wsp:rsid wsp:val=&quot;00CD40CD&quot;/&gt;&lt;wsp:rsid wsp:val=&quot;00CD43EF&quot;/&gt;&lt;wsp:rsid wsp:val=&quot;00CD4843&quot;/&gt;&lt;wsp:rsid wsp:val=&quot;00CD4AD4&quot;/&gt;&lt;wsp:rsid wsp:val=&quot;00CD4B6D&quot;/&gt;&lt;wsp:rsid wsp:val=&quot;00CD4E47&quot;/&gt;&lt;wsp:rsid wsp:val=&quot;00CD4F8C&quot;/&gt;&lt;wsp:rsid wsp:val=&quot;00CD50AE&quot;/&gt;&lt;wsp:rsid wsp:val=&quot;00CD542E&quot;/&gt;&lt;wsp:rsid wsp:val=&quot;00CD555F&quot;/&gt;&lt;wsp:rsid wsp:val=&quot;00CD56E3&quot;/&gt;&lt;wsp:rsid wsp:val=&quot;00CD5711&quot;/&gt;&lt;wsp:rsid wsp:val=&quot;00CD591F&quot;/&gt;&lt;wsp:rsid wsp:val=&quot;00CD5D36&quot;/&gt;&lt;wsp:rsid wsp:val=&quot;00CD5DFC&quot;/&gt;&lt;wsp:rsid wsp:val=&quot;00CD5FB2&quot;/&gt;&lt;wsp:rsid wsp:val=&quot;00CD603B&quot;/&gt;&lt;wsp:rsid wsp:val=&quot;00CD60C2&quot;/&gt;&lt;wsp:rsid wsp:val=&quot;00CD68B6&quot;/&gt;&lt;wsp:rsid wsp:val=&quot;00CD69A1&quot;/&gt;&lt;wsp:rsid wsp:val=&quot;00CD6BC3&quot;/&gt;&lt;wsp:rsid wsp:val=&quot;00CD6E02&quot;/&gt;&lt;wsp:rsid wsp:val=&quot;00CD6E50&quot;/&gt;&lt;wsp:rsid wsp:val=&quot;00CD7286&quot;/&gt;&lt;wsp:rsid wsp:val=&quot;00CD7368&quot;/&gt;&lt;wsp:rsid wsp:val=&quot;00CD74AD&quot;/&gt;&lt;wsp:rsid wsp:val=&quot;00CD7681&quot;/&gt;&lt;wsp:rsid wsp:val=&quot;00CD797E&quot;/&gt;&lt;wsp:rsid wsp:val=&quot;00CD7CB7&quot;/&gt;&lt;wsp:rsid wsp:val=&quot;00CD7E64&quot;/&gt;&lt;wsp:rsid wsp:val=&quot;00CD7EC8&quot;/&gt;&lt;wsp:rsid wsp:val=&quot;00CD7EDA&quot;/&gt;&lt;wsp:rsid wsp:val=&quot;00CE02F7&quot;/&gt;&lt;wsp:rsid wsp:val=&quot;00CE0770&quot;/&gt;&lt;wsp:rsid wsp:val=&quot;00CE0778&quot;/&gt;&lt;wsp:rsid wsp:val=&quot;00CE0B52&quot;/&gt;&lt;wsp:rsid wsp:val=&quot;00CE0D3C&quot;/&gt;&lt;wsp:rsid wsp:val=&quot;00CE0DBB&quot;/&gt;&lt;wsp:rsid wsp:val=&quot;00CE10BA&quot;/&gt;&lt;wsp:rsid wsp:val=&quot;00CE11B2&quot;/&gt;&lt;wsp:rsid wsp:val=&quot;00CE124B&quot;/&gt;&lt;wsp:rsid wsp:val=&quot;00CE13F7&quot;/&gt;&lt;wsp:rsid wsp:val=&quot;00CE16C6&quot;/&gt;&lt;wsp:rsid wsp:val=&quot;00CE1819&quot;/&gt;&lt;wsp:rsid wsp:val=&quot;00CE1839&quot;/&gt;&lt;wsp:rsid wsp:val=&quot;00CE19CC&quot;/&gt;&lt;wsp:rsid wsp:val=&quot;00CE245F&quot;/&gt;&lt;wsp:rsid wsp:val=&quot;00CE26DE&quot;/&gt;&lt;wsp:rsid wsp:val=&quot;00CE2B80&quot;/&gt;&lt;wsp:rsid wsp:val=&quot;00CE2D9B&quot;/&gt;&lt;wsp:rsid wsp:val=&quot;00CE3200&quot;/&gt;&lt;wsp:rsid wsp:val=&quot;00CE36DE&quot;/&gt;&lt;wsp:rsid wsp:val=&quot;00CE3A4F&quot;/&gt;&lt;wsp:rsid wsp:val=&quot;00CE3FE6&quot;/&gt;&lt;wsp:rsid wsp:val=&quot;00CE4087&quot;/&gt;&lt;wsp:rsid wsp:val=&quot;00CE4479&quot;/&gt;&lt;wsp:rsid wsp:val=&quot;00CE4626&quot;/&gt;&lt;wsp:rsid wsp:val=&quot;00CE46FD&quot;/&gt;&lt;wsp:rsid wsp:val=&quot;00CE480B&quot;/&gt;&lt;wsp:rsid wsp:val=&quot;00CE4CA2&quot;/&gt;&lt;wsp:rsid wsp:val=&quot;00CE4D87&quot;/&gt;&lt;wsp:rsid wsp:val=&quot;00CE5029&quot;/&gt;&lt;wsp:rsid wsp:val=&quot;00CE581E&quot;/&gt;&lt;wsp:rsid wsp:val=&quot;00CE5A78&quot;/&gt;&lt;wsp:rsid wsp:val=&quot;00CE5C07&quot;/&gt;&lt;wsp:rsid wsp:val=&quot;00CE5F2F&quot;/&gt;&lt;wsp:rsid wsp:val=&quot;00CE6013&quot;/&gt;&lt;wsp:rsid wsp:val=&quot;00CE621D&quot;/&gt;&lt;wsp:rsid wsp:val=&quot;00CE63F3&quot;/&gt;&lt;wsp:rsid wsp:val=&quot;00CE6465&quot;/&gt;&lt;wsp:rsid wsp:val=&quot;00CE65FA&quot;/&gt;&lt;wsp:rsid wsp:val=&quot;00CE698C&quot;/&gt;&lt;wsp:rsid wsp:val=&quot;00CE6B73&quot;/&gt;&lt;wsp:rsid wsp:val=&quot;00CE720D&quot;/&gt;&lt;wsp:rsid wsp:val=&quot;00CE726D&quot;/&gt;&lt;wsp:rsid wsp:val=&quot;00CE75FA&quot;/&gt;&lt;wsp:rsid wsp:val=&quot;00CE7714&quot;/&gt;&lt;wsp:rsid wsp:val=&quot;00CE7848&quot;/&gt;&lt;wsp:rsid wsp:val=&quot;00CE78FB&quot;/&gt;&lt;wsp:rsid wsp:val=&quot;00CF0136&quot;/&gt;&lt;wsp:rsid wsp:val=&quot;00CF0148&quot;/&gt;&lt;wsp:rsid wsp:val=&quot;00CF0356&quot;/&gt;&lt;wsp:rsid wsp:val=&quot;00CF0602&quot;/&gt;&lt;wsp:rsid wsp:val=&quot;00CF0C16&quot;/&gt;&lt;wsp:rsid wsp:val=&quot;00CF0DD3&quot;/&gt;&lt;wsp:rsid wsp:val=&quot;00CF1599&quot;/&gt;&lt;wsp:rsid wsp:val=&quot;00CF1655&quot;/&gt;&lt;wsp:rsid wsp:val=&quot;00CF1840&quot;/&gt;&lt;wsp:rsid wsp:val=&quot;00CF1BBF&quot;/&gt;&lt;wsp:rsid wsp:val=&quot;00CF20BB&quot;/&gt;&lt;wsp:rsid wsp:val=&quot;00CF21F2&quot;/&gt;&lt;wsp:rsid wsp:val=&quot;00CF2311&quot;/&gt;&lt;wsp:rsid wsp:val=&quot;00CF2A27&quot;/&gt;&lt;wsp:rsid wsp:val=&quot;00CF2A4D&quot;/&gt;&lt;wsp:rsid wsp:val=&quot;00CF2A5A&quot;/&gt;&lt;wsp:rsid wsp:val=&quot;00CF2B2C&quot;/&gt;&lt;wsp:rsid wsp:val=&quot;00CF2F1C&quot;/&gt;&lt;wsp:rsid wsp:val=&quot;00CF2F9C&quot;/&gt;&lt;wsp:rsid wsp:val=&quot;00CF30C7&quot;/&gt;&lt;wsp:rsid wsp:val=&quot;00CF3184&quot;/&gt;&lt;wsp:rsid wsp:val=&quot;00CF32D7&quot;/&gt;&lt;wsp:rsid wsp:val=&quot;00CF35D6&quot;/&gt;&lt;wsp:rsid wsp:val=&quot;00CF37DC&quot;/&gt;&lt;wsp:rsid wsp:val=&quot;00CF38AC&quot;/&gt;&lt;wsp:rsid wsp:val=&quot;00CF3B93&quot;/&gt;&lt;wsp:rsid wsp:val=&quot;00CF3D2C&quot;/&gt;&lt;wsp:rsid wsp:val=&quot;00CF3FD9&quot;/&gt;&lt;wsp:rsid wsp:val=&quot;00CF417C&quot;/&gt;&lt;wsp:rsid wsp:val=&quot;00CF4474&quot;/&gt;&lt;wsp:rsid wsp:val=&quot;00CF456A&quot;/&gt;&lt;wsp:rsid wsp:val=&quot;00CF4CB4&quot;/&gt;&lt;wsp:rsid wsp:val=&quot;00CF4CFA&quot;/&gt;&lt;wsp:rsid wsp:val=&quot;00CF51FA&quot;/&gt;&lt;wsp:rsid wsp:val=&quot;00CF5425&quot;/&gt;&lt;wsp:rsid wsp:val=&quot;00CF5C38&quot;/&gt;&lt;wsp:rsid wsp:val=&quot;00CF5D15&quot;/&gt;&lt;wsp:rsid wsp:val=&quot;00CF60A2&quot;/&gt;&lt;wsp:rsid wsp:val=&quot;00CF62D8&quot;/&gt;&lt;wsp:rsid wsp:val=&quot;00CF639F&quot;/&gt;&lt;wsp:rsid wsp:val=&quot;00CF67E9&quot;/&gt;&lt;wsp:rsid wsp:val=&quot;00CF6D57&quot;/&gt;&lt;wsp:rsid wsp:val=&quot;00CF7302&quot;/&gt;&lt;wsp:rsid wsp:val=&quot;00CF7338&quot;/&gt;&lt;wsp:rsid wsp:val=&quot;00CF7974&quot;/&gt;&lt;wsp:rsid wsp:val=&quot;00CF7A10&quot;/&gt;&lt;wsp:rsid wsp:val=&quot;00CF7BB2&quot;/&gt;&lt;wsp:rsid wsp:val=&quot;00D000A5&quot;/&gt;&lt;wsp:rsid wsp:val=&quot;00D0021E&quot;/&gt;&lt;wsp:rsid wsp:val=&quot;00D0030D&quot;/&gt;&lt;wsp:rsid wsp:val=&quot;00D00EBB&quot;/&gt;&lt;wsp:rsid wsp:val=&quot;00D012FA&quot;/&gt;&lt;wsp:rsid wsp:val=&quot;00D01550&quot;/&gt;&lt;wsp:rsid wsp:val=&quot;00D015C0&quot;/&gt;&lt;wsp:rsid wsp:val=&quot;00D01909&quot;/&gt;&lt;wsp:rsid wsp:val=&quot;00D02006&quot;/&gt;&lt;wsp:rsid wsp:val=&quot;00D02187&quot;/&gt;&lt;wsp:rsid wsp:val=&quot;00D02259&quot;/&gt;&lt;wsp:rsid wsp:val=&quot;00D02574&quot;/&gt;&lt;wsp:rsid wsp:val=&quot;00D02668&quot;/&gt;&lt;wsp:rsid wsp:val=&quot;00D027B9&quot;/&gt;&lt;wsp:rsid wsp:val=&quot;00D02FA3&quot;/&gt;&lt;wsp:rsid wsp:val=&quot;00D0311E&quot;/&gt;&lt;wsp:rsid wsp:val=&quot;00D032E4&quot;/&gt;&lt;wsp:rsid wsp:val=&quot;00D035A8&quot;/&gt;&lt;wsp:rsid wsp:val=&quot;00D039B0&quot;/&gt;&lt;wsp:rsid wsp:val=&quot;00D03D4F&quot;/&gt;&lt;wsp:rsid wsp:val=&quot;00D03EC8&quot;/&gt;&lt;wsp:rsid wsp:val=&quot;00D03F0E&quot;/&gt;&lt;wsp:rsid wsp:val=&quot;00D0411E&quot;/&gt;&lt;wsp:rsid wsp:val=&quot;00D0457A&quot;/&gt;&lt;wsp:rsid wsp:val=&quot;00D04757&quot;/&gt;&lt;wsp:rsid wsp:val=&quot;00D047F1&quot;/&gt;&lt;wsp:rsid wsp:val=&quot;00D04BEF&quot;/&gt;&lt;wsp:rsid wsp:val=&quot;00D04DA8&quot;/&gt;&lt;wsp:rsid wsp:val=&quot;00D04F96&quot;/&gt;&lt;wsp:rsid wsp:val=&quot;00D050E6&quot;/&gt;&lt;wsp:rsid wsp:val=&quot;00D051B8&quot;/&gt;&lt;wsp:rsid wsp:val=&quot;00D052E8&quot;/&gt;&lt;wsp:rsid wsp:val=&quot;00D05863&quot;/&gt;&lt;wsp:rsid wsp:val=&quot;00D058B3&quot;/&gt;&lt;wsp:rsid wsp:val=&quot;00D05CCA&quot;/&gt;&lt;wsp:rsid wsp:val=&quot;00D05D0C&quot;/&gt;&lt;wsp:rsid wsp:val=&quot;00D05E26&quot;/&gt;&lt;wsp:rsid wsp:val=&quot;00D06086&quot;/&gt;&lt;wsp:rsid wsp:val=&quot;00D060F7&quot;/&gt;&lt;wsp:rsid wsp:val=&quot;00D06276&quot;/&gt;&lt;wsp:rsid wsp:val=&quot;00D06352&quot;/&gt;&lt;wsp:rsid wsp:val=&quot;00D06362&quot;/&gt;&lt;wsp:rsid wsp:val=&quot;00D065C9&quot;/&gt;&lt;wsp:rsid wsp:val=&quot;00D06ED7&quot;/&gt;&lt;wsp:rsid wsp:val=&quot;00D071D7&quot;/&gt;&lt;wsp:rsid wsp:val=&quot;00D071EF&quot;/&gt;&lt;wsp:rsid wsp:val=&quot;00D07247&quot;/&gt;&lt;wsp:rsid wsp:val=&quot;00D072F8&quot;/&gt;&lt;wsp:rsid wsp:val=&quot;00D077B8&quot;/&gt;&lt;wsp:rsid wsp:val=&quot;00D078BD&quot;/&gt;&lt;wsp:rsid wsp:val=&quot;00D07940&quot;/&gt;&lt;wsp:rsid wsp:val=&quot;00D07B93&quot;/&gt;&lt;wsp:rsid wsp:val=&quot;00D07D09&quot;/&gt;&lt;wsp:rsid wsp:val=&quot;00D07E78&quot;/&gt;&lt;wsp:rsid wsp:val=&quot;00D1006F&quot;/&gt;&lt;wsp:rsid wsp:val=&quot;00D10707&quot;/&gt;&lt;wsp:rsid wsp:val=&quot;00D107A6&quot;/&gt;&lt;wsp:rsid wsp:val=&quot;00D108C0&quot;/&gt;&lt;wsp:rsid wsp:val=&quot;00D10ABD&quot;/&gt;&lt;wsp:rsid wsp:val=&quot;00D10C11&quot;/&gt;&lt;wsp:rsid wsp:val=&quot;00D10C28&quot;/&gt;&lt;wsp:rsid wsp:val=&quot;00D10E53&quot;/&gt;&lt;wsp:rsid wsp:val=&quot;00D110E7&quot;/&gt;&lt;wsp:rsid wsp:val=&quot;00D1117F&quot;/&gt;&lt;wsp:rsid wsp:val=&quot;00D113C0&quot;/&gt;&lt;wsp:rsid wsp:val=&quot;00D11AC9&quot;/&gt;&lt;wsp:rsid wsp:val=&quot;00D11C04&quot;/&gt;&lt;wsp:rsid wsp:val=&quot;00D11D16&quot;/&gt;&lt;wsp:rsid wsp:val=&quot;00D11D75&quot;/&gt;&lt;wsp:rsid wsp:val=&quot;00D11E0C&quot;/&gt;&lt;wsp:rsid wsp:val=&quot;00D12362&quot;/&gt;&lt;wsp:rsid wsp:val=&quot;00D12E64&quot;/&gt;&lt;wsp:rsid wsp:val=&quot;00D1318A&quot;/&gt;&lt;wsp:rsid wsp:val=&quot;00D13286&quot;/&gt;&lt;wsp:rsid wsp:val=&quot;00D134D0&quot;/&gt;&lt;wsp:rsid wsp:val=&quot;00D1446D&quot;/&gt;&lt;wsp:rsid wsp:val=&quot;00D1466B&quot;/&gt;&lt;wsp:rsid wsp:val=&quot;00D14A04&quot;/&gt;&lt;wsp:rsid wsp:val=&quot;00D15053&quot;/&gt;&lt;wsp:rsid wsp:val=&quot;00D15094&quot;/&gt;&lt;wsp:rsid wsp:val=&quot;00D1509F&quot;/&gt;&lt;wsp:rsid wsp:val=&quot;00D15373&quot;/&gt;&lt;wsp:rsid wsp:val=&quot;00D1538A&quot;/&gt;&lt;wsp:rsid wsp:val=&quot;00D15523&quot;/&gt;&lt;wsp:rsid wsp:val=&quot;00D156F3&quot;/&gt;&lt;wsp:rsid wsp:val=&quot;00D159D1&quot;/&gt;&lt;wsp:rsid wsp:val=&quot;00D15CC8&quot;/&gt;&lt;wsp:rsid wsp:val=&quot;00D16250&quot;/&gt;&lt;wsp:rsid wsp:val=&quot;00D162A3&quot;/&gt;&lt;wsp:rsid wsp:val=&quot;00D16493&quot;/&gt;&lt;wsp:rsid wsp:val=&quot;00D167E6&quot;/&gt;&lt;wsp:rsid wsp:val=&quot;00D168BD&quot;/&gt;&lt;wsp:rsid wsp:val=&quot;00D16A69&quot;/&gt;&lt;wsp:rsid wsp:val=&quot;00D16B21&quot;/&gt;&lt;wsp:rsid wsp:val=&quot;00D16D8E&quot;/&gt;&lt;wsp:rsid wsp:val=&quot;00D16DF0&quot;/&gt;&lt;wsp:rsid wsp:val=&quot;00D16EC8&quot;/&gt;&lt;wsp:rsid wsp:val=&quot;00D16EDD&quot;/&gt;&lt;wsp:rsid wsp:val=&quot;00D17029&quot;/&gt;&lt;wsp:rsid wsp:val=&quot;00D170AB&quot;/&gt;&lt;wsp:rsid wsp:val=&quot;00D170B3&quot;/&gt;&lt;wsp:rsid wsp:val=&quot;00D17322&quot;/&gt;&lt;wsp:rsid wsp:val=&quot;00D1740C&quot;/&gt;&lt;wsp:rsid wsp:val=&quot;00D1786D&quot;/&gt;&lt;wsp:rsid wsp:val=&quot;00D178EE&quot;/&gt;&lt;wsp:rsid wsp:val=&quot;00D17AF7&quot;/&gt;&lt;wsp:rsid wsp:val=&quot;00D17CD4&quot;/&gt;&lt;wsp:rsid wsp:val=&quot;00D20C6E&quot;/&gt;&lt;wsp:rsid wsp:val=&quot;00D20FE8&quot;/&gt;&lt;wsp:rsid wsp:val=&quot;00D212C9&quot;/&gt;&lt;wsp:rsid wsp:val=&quot;00D2177B&quot;/&gt;&lt;wsp:rsid wsp:val=&quot;00D217B1&quot;/&gt;&lt;wsp:rsid wsp:val=&quot;00D220CB&quot;/&gt;&lt;wsp:rsid wsp:val=&quot;00D2221D&quot;/&gt;&lt;wsp:rsid wsp:val=&quot;00D22321&quot;/&gt;&lt;wsp:rsid wsp:val=&quot;00D226D5&quot;/&gt;&lt;wsp:rsid wsp:val=&quot;00D22779&quot;/&gt;&lt;wsp:rsid wsp:val=&quot;00D22928&quot;/&gt;&lt;wsp:rsid wsp:val=&quot;00D22984&quot;/&gt;&lt;wsp:rsid wsp:val=&quot;00D23728&quot;/&gt;&lt;wsp:rsid wsp:val=&quot;00D23A1E&quot;/&gt;&lt;wsp:rsid wsp:val=&quot;00D23BD8&quot;/&gt;&lt;wsp:rsid wsp:val=&quot;00D23CF1&quot;/&gt;&lt;wsp:rsid wsp:val=&quot;00D23D15&quot;/&gt;&lt;wsp:rsid wsp:val=&quot;00D24105&quot;/&gt;&lt;wsp:rsid wsp:val=&quot;00D243E6&quot;/&gt;&lt;wsp:rsid wsp:val=&quot;00D245FA&quot;/&gt;&lt;wsp:rsid wsp:val=&quot;00D2498A&quot;/&gt;&lt;wsp:rsid wsp:val=&quot;00D24C76&quot;/&gt;&lt;wsp:rsid wsp:val=&quot;00D24DD2&quot;/&gt;&lt;wsp:rsid wsp:val=&quot;00D24FDB&quot;/&gt;&lt;wsp:rsid wsp:val=&quot;00D25194&quot;/&gt;&lt;wsp:rsid wsp:val=&quot;00D25360&quot;/&gt;&lt;wsp:rsid wsp:val=&quot;00D25445&quot;/&gt;&lt;wsp:rsid wsp:val=&quot;00D25475&quot;/&gt;&lt;wsp:rsid wsp:val=&quot;00D255ED&quot;/&gt;&lt;wsp:rsid wsp:val=&quot;00D256FE&quot;/&gt;&lt;wsp:rsid wsp:val=&quot;00D25839&quot;/&gt;&lt;wsp:rsid wsp:val=&quot;00D25DF4&quot;/&gt;&lt;wsp:rsid wsp:val=&quot;00D25DFE&quot;/&gt;&lt;wsp:rsid wsp:val=&quot;00D25ECE&quot;/&gt;&lt;wsp:rsid wsp:val=&quot;00D25F1C&quot;/&gt;&lt;wsp:rsid wsp:val=&quot;00D25FB6&quot;/&gt;&lt;wsp:rsid wsp:val=&quot;00D263E1&quot;/&gt;&lt;wsp:rsid wsp:val=&quot;00D265D1&quot;/&gt;&lt;wsp:rsid wsp:val=&quot;00D266DB&quot;/&gt;&lt;wsp:rsid wsp:val=&quot;00D26856&quot;/&gt;&lt;wsp:rsid wsp:val=&quot;00D26ACC&quot;/&gt;&lt;wsp:rsid wsp:val=&quot;00D26DBE&quot;/&gt;&lt;wsp:rsid wsp:val=&quot;00D26DFB&quot;/&gt;&lt;wsp:rsid wsp:val=&quot;00D26FBD&quot;/&gt;&lt;wsp:rsid wsp:val=&quot;00D2706C&quot;/&gt;&lt;wsp:rsid wsp:val=&quot;00D27206&quot;/&gt;&lt;wsp:rsid wsp:val=&quot;00D272DD&quot;/&gt;&lt;wsp:rsid wsp:val=&quot;00D273CA&quot;/&gt;&lt;wsp:rsid wsp:val=&quot;00D27642&quot;/&gt;&lt;wsp:rsid wsp:val=&quot;00D27AB7&quot;/&gt;&lt;wsp:rsid wsp:val=&quot;00D27E9E&quot;/&gt;&lt;wsp:rsid wsp:val=&quot;00D3034E&quot;/&gt;&lt;wsp:rsid wsp:val=&quot;00D30C78&quot;/&gt;&lt;wsp:rsid wsp:val=&quot;00D312DC&quot;/&gt;&lt;wsp:rsid wsp:val=&quot;00D312FE&quot;/&gt;&lt;wsp:rsid wsp:val=&quot;00D31428&quot;/&gt;&lt;wsp:rsid wsp:val=&quot;00D3157C&quot;/&gt;&lt;wsp:rsid wsp:val=&quot;00D31669&quot;/&gt;&lt;wsp:rsid wsp:val=&quot;00D318E9&quot;/&gt;&lt;wsp:rsid wsp:val=&quot;00D31AEA&quot;/&gt;&lt;wsp:rsid wsp:val=&quot;00D31CF3&quot;/&gt;&lt;wsp:rsid wsp:val=&quot;00D32260&quot;/&gt;&lt;wsp:rsid wsp:val=&quot;00D3248F&quot;/&gt;&lt;wsp:rsid wsp:val=&quot;00D326F2&quot;/&gt;&lt;wsp:rsid wsp:val=&quot;00D3294D&quot;/&gt;&lt;wsp:rsid wsp:val=&quot;00D329F3&quot;/&gt;&lt;wsp:rsid wsp:val=&quot;00D32FD4&quot;/&gt;&lt;wsp:rsid wsp:val=&quot;00D33495&quot;/&gt;&lt;wsp:rsid wsp:val=&quot;00D334FB&quot;/&gt;&lt;wsp:rsid wsp:val=&quot;00D33648&quot;/&gt;&lt;wsp:rsid wsp:val=&quot;00D33850&quot;/&gt;&lt;wsp:rsid wsp:val=&quot;00D3397C&quot;/&gt;&lt;wsp:rsid wsp:val=&quot;00D33BBE&quot;/&gt;&lt;wsp:rsid wsp:val=&quot;00D345D8&quot;/&gt;&lt;wsp:rsid wsp:val=&quot;00D34666&quot;/&gt;&lt;wsp:rsid wsp:val=&quot;00D3491F&quot;/&gt;&lt;wsp:rsid wsp:val=&quot;00D34AA9&quot;/&gt;&lt;wsp:rsid wsp:val=&quot;00D34C7F&quot;/&gt;&lt;wsp:rsid wsp:val=&quot;00D3512D&quot;/&gt;&lt;wsp:rsid wsp:val=&quot;00D351D8&quot;/&gt;&lt;wsp:rsid wsp:val=&quot;00D35321&quot;/&gt;&lt;wsp:rsid wsp:val=&quot;00D3533D&quot;/&gt;&lt;wsp:rsid wsp:val=&quot;00D35479&quot;/&gt;&lt;wsp:rsid wsp:val=&quot;00D357E5&quot;/&gt;&lt;wsp:rsid wsp:val=&quot;00D357FE&quot;/&gt;&lt;wsp:rsid wsp:val=&quot;00D358A2&quot;/&gt;&lt;wsp:rsid wsp:val=&quot;00D358F7&quot;/&gt;&lt;wsp:rsid wsp:val=&quot;00D3592F&quot;/&gt;&lt;wsp:rsid wsp:val=&quot;00D35DCC&quot;/&gt;&lt;wsp:rsid wsp:val=&quot;00D35EC9&quot;/&gt;&lt;wsp:rsid wsp:val=&quot;00D361D7&quot;/&gt;&lt;wsp:rsid wsp:val=&quot;00D36301&quot;/&gt;&lt;wsp:rsid wsp:val=&quot;00D36333&quot;/&gt;&lt;wsp:rsid wsp:val=&quot;00D363B1&quot;/&gt;&lt;wsp:rsid wsp:val=&quot;00D364CC&quot;/&gt;&lt;wsp:rsid wsp:val=&quot;00D36AEE&quot;/&gt;&lt;wsp:rsid wsp:val=&quot;00D36B66&quot;/&gt;&lt;wsp:rsid wsp:val=&quot;00D36B9F&quot;/&gt;&lt;wsp:rsid wsp:val=&quot;00D36F6A&quot;/&gt;&lt;wsp:rsid wsp:val=&quot;00D37840&quot;/&gt;&lt;wsp:rsid wsp:val=&quot;00D37A56&quot;/&gt;&lt;wsp:rsid wsp:val=&quot;00D37AB2&quot;/&gt;&lt;wsp:rsid wsp:val=&quot;00D37B6E&quot;/&gt;&lt;wsp:rsid wsp:val=&quot;00D37EBC&quot;/&gt;&lt;wsp:rsid wsp:val=&quot;00D37FF7&quot;/&gt;&lt;wsp:rsid wsp:val=&quot;00D4021B&quot;/&gt;&lt;wsp:rsid wsp:val=&quot;00D405B1&quot;/&gt;&lt;wsp:rsid wsp:val=&quot;00D405C9&quot;/&gt;&lt;wsp:rsid wsp:val=&quot;00D40B20&quot;/&gt;&lt;wsp:rsid wsp:val=&quot;00D40E05&quot;/&gt;&lt;wsp:rsid wsp:val=&quot;00D40EDA&quot;/&gt;&lt;wsp:rsid wsp:val=&quot;00D40F81&quot;/&gt;&lt;wsp:rsid wsp:val=&quot;00D4102B&quot;/&gt;&lt;wsp:rsid wsp:val=&quot;00D41278&quot;/&gt;&lt;wsp:rsid wsp:val=&quot;00D41571&quot;/&gt;&lt;wsp:rsid wsp:val=&quot;00D41618&quot;/&gt;&lt;wsp:rsid wsp:val=&quot;00D41881&quot;/&gt;&lt;wsp:rsid wsp:val=&quot;00D419FA&quot;/&gt;&lt;wsp:rsid wsp:val=&quot;00D41DF0&quot;/&gt;&lt;wsp:rsid wsp:val=&quot;00D41F48&quot;/&gt;&lt;wsp:rsid wsp:val=&quot;00D420BD&quot;/&gt;&lt;wsp:rsid wsp:val=&quot;00D4223A&quot;/&gt;&lt;wsp:rsid wsp:val=&quot;00D42591&quot;/&gt;&lt;wsp:rsid wsp:val=&quot;00D42669&quot;/&gt;&lt;wsp:rsid wsp:val=&quot;00D426B8&quot;/&gt;&lt;wsp:rsid wsp:val=&quot;00D42D83&quot;/&gt;&lt;wsp:rsid wsp:val=&quot;00D42F46&quot;/&gt;&lt;wsp:rsid wsp:val=&quot;00D43112&quot;/&gt;&lt;wsp:rsid wsp:val=&quot;00D432F9&quot;/&gt;&lt;wsp:rsid wsp:val=&quot;00D43614&quot;/&gt;&lt;wsp:rsid wsp:val=&quot;00D43761&quot;/&gt;&lt;wsp:rsid wsp:val=&quot;00D43773&quot;/&gt;&lt;wsp:rsid wsp:val=&quot;00D438AB&quot;/&gt;&lt;wsp:rsid wsp:val=&quot;00D43D51&quot;/&gt;&lt;wsp:rsid wsp:val=&quot;00D43E7F&quot;/&gt;&lt;wsp:rsid wsp:val=&quot;00D43F1E&quot;/&gt;&lt;wsp:rsid wsp:val=&quot;00D43FC8&quot;/&gt;&lt;wsp:rsid wsp:val=&quot;00D44005&quot;/&gt;&lt;wsp:rsid wsp:val=&quot;00D44199&quot;/&gt;&lt;wsp:rsid wsp:val=&quot;00D4422D&quot;/&gt;&lt;wsp:rsid wsp:val=&quot;00D445A7&quot;/&gt;&lt;wsp:rsid wsp:val=&quot;00D447E0&quot;/&gt;&lt;wsp:rsid wsp:val=&quot;00D44984&quot;/&gt;&lt;wsp:rsid wsp:val=&quot;00D44D34&quot;/&gt;&lt;wsp:rsid wsp:val=&quot;00D452B2&quot;/&gt;&lt;wsp:rsid wsp:val=&quot;00D452E1&quot;/&gt;&lt;wsp:rsid wsp:val=&quot;00D455B8&quot;/&gt;&lt;wsp:rsid wsp:val=&quot;00D45715&quot;/&gt;&lt;wsp:rsid wsp:val=&quot;00D458A8&quot;/&gt;&lt;wsp:rsid wsp:val=&quot;00D4597B&quot;/&gt;&lt;wsp:rsid wsp:val=&quot;00D45A8E&quot;/&gt;&lt;wsp:rsid wsp:val=&quot;00D45B12&quot;/&gt;&lt;wsp:rsid wsp:val=&quot;00D45D31&quot;/&gt;&lt;wsp:rsid wsp:val=&quot;00D45E1E&quot;/&gt;&lt;wsp:rsid wsp:val=&quot;00D460B1&quot;/&gt;&lt;wsp:rsid wsp:val=&quot;00D46607&quot;/&gt;&lt;wsp:rsid wsp:val=&quot;00D46671&quot;/&gt;&lt;wsp:rsid wsp:val=&quot;00D467E6&quot;/&gt;&lt;wsp:rsid wsp:val=&quot;00D46D5C&quot;/&gt;&lt;wsp:rsid wsp:val=&quot;00D46DF8&quot;/&gt;&lt;wsp:rsid wsp:val=&quot;00D46F95&quot;/&gt;&lt;wsp:rsid wsp:val=&quot;00D47282&quot;/&gt;&lt;wsp:rsid wsp:val=&quot;00D47A43&quot;/&gt;&lt;wsp:rsid wsp:val=&quot;00D47DAF&quot;/&gt;&lt;wsp:rsid wsp:val=&quot;00D47F6F&quot;/&gt;&lt;wsp:rsid wsp:val=&quot;00D509BF&quot;/&gt;&lt;wsp:rsid wsp:val=&quot;00D50B08&quot;/&gt;&lt;wsp:rsid wsp:val=&quot;00D50E69&quot;/&gt;&lt;wsp:rsid wsp:val=&quot;00D50FC5&quot;/&gt;&lt;wsp:rsid wsp:val=&quot;00D50FF0&quot;/&gt;&lt;wsp:rsid wsp:val=&quot;00D5125A&quot;/&gt;&lt;wsp:rsid wsp:val=&quot;00D5130F&quot;/&gt;&lt;wsp:rsid wsp:val=&quot;00D5174E&quot;/&gt;&lt;wsp:rsid wsp:val=&quot;00D51954&quot;/&gt;&lt;wsp:rsid wsp:val=&quot;00D51BB0&quot;/&gt;&lt;wsp:rsid wsp:val=&quot;00D51CB7&quot;/&gt;&lt;wsp:rsid wsp:val=&quot;00D51FD7&quot;/&gt;&lt;wsp:rsid wsp:val=&quot;00D52029&quot;/&gt;&lt;wsp:rsid wsp:val=&quot;00D520F7&quot;/&gt;&lt;wsp:rsid wsp:val=&quot;00D527F8&quot;/&gt;&lt;wsp:rsid wsp:val=&quot;00D52877&quot;/&gt;&lt;wsp:rsid wsp:val=&quot;00D528DC&quot;/&gt;&lt;wsp:rsid wsp:val=&quot;00D52C06&quot;/&gt;&lt;wsp:rsid wsp:val=&quot;00D5354B&quot;/&gt;&lt;wsp:rsid wsp:val=&quot;00D53CEC&quot;/&gt;&lt;wsp:rsid wsp:val=&quot;00D53F29&quot;/&gt;&lt;wsp:rsid wsp:val=&quot;00D541FC&quot;/&gt;&lt;wsp:rsid wsp:val=&quot;00D54235&quot;/&gt;&lt;wsp:rsid wsp:val=&quot;00D542D4&quot;/&gt;&lt;wsp:rsid wsp:val=&quot;00D5449B&quot;/&gt;&lt;wsp:rsid wsp:val=&quot;00D546C1&quot;/&gt;&lt;wsp:rsid wsp:val=&quot;00D54740&quot;/&gt;&lt;wsp:rsid wsp:val=&quot;00D547F9&quot;/&gt;&lt;wsp:rsid wsp:val=&quot;00D54A82&quot;/&gt;&lt;wsp:rsid wsp:val=&quot;00D54BBF&quot;/&gt;&lt;wsp:rsid wsp:val=&quot;00D54F22&quot;/&gt;&lt;wsp:rsid wsp:val=&quot;00D5500E&quot;/&gt;&lt;wsp:rsid wsp:val=&quot;00D55131&quot;/&gt;&lt;wsp:rsid wsp:val=&quot;00D55264&quot;/&gt;&lt;wsp:rsid wsp:val=&quot;00D55666&quot;/&gt;&lt;wsp:rsid wsp:val=&quot;00D55B2D&quot;/&gt;&lt;wsp:rsid wsp:val=&quot;00D55EC1&quot;/&gt;&lt;wsp:rsid wsp:val=&quot;00D5619A&quot;/&gt;&lt;wsp:rsid wsp:val=&quot;00D5630B&quot;/&gt;&lt;wsp:rsid wsp:val=&quot;00D5657B&quot;/&gt;&lt;wsp:rsid wsp:val=&quot;00D56A4A&quot;/&gt;&lt;wsp:rsid wsp:val=&quot;00D56D6C&quot;/&gt;&lt;wsp:rsid wsp:val=&quot;00D5707E&quot;/&gt;&lt;wsp:rsid wsp:val=&quot;00D5716A&quot;/&gt;&lt;wsp:rsid wsp:val=&quot;00D573C6&quot;/&gt;&lt;wsp:rsid wsp:val=&quot;00D57C2A&quot;/&gt;&lt;wsp:rsid wsp:val=&quot;00D6031F&quot;/&gt;&lt;wsp:rsid wsp:val=&quot;00D603B3&quot;/&gt;&lt;wsp:rsid wsp:val=&quot;00D60603&quot;/&gt;&lt;wsp:rsid wsp:val=&quot;00D607DD&quot;/&gt;&lt;wsp:rsid wsp:val=&quot;00D609FC&quot;/&gt;&lt;wsp:rsid wsp:val=&quot;00D60B0A&quot;/&gt;&lt;wsp:rsid wsp:val=&quot;00D60B9E&quot;/&gt;&lt;wsp:rsid wsp:val=&quot;00D60E59&quot;/&gt;&lt;wsp:rsid wsp:val=&quot;00D60F37&quot;/&gt;&lt;wsp:rsid wsp:val=&quot;00D610AC&quot;/&gt;&lt;wsp:rsid wsp:val=&quot;00D61467&quot;/&gt;&lt;wsp:rsid wsp:val=&quot;00D614E3&quot;/&gt;&lt;wsp:rsid wsp:val=&quot;00D61783&quot;/&gt;&lt;wsp:rsid wsp:val=&quot;00D61DA1&quot;/&gt;&lt;wsp:rsid wsp:val=&quot;00D61DCD&quot;/&gt;&lt;wsp:rsid wsp:val=&quot;00D61E17&quot;/&gt;&lt;wsp:rsid wsp:val=&quot;00D61E7A&quot;/&gt;&lt;wsp:rsid wsp:val=&quot;00D62272&quot;/&gt;&lt;wsp:rsid wsp:val=&quot;00D62604&quot;/&gt;&lt;wsp:rsid wsp:val=&quot;00D62D10&quot;/&gt;&lt;wsp:rsid wsp:val=&quot;00D6314B&quot;/&gt;&lt;wsp:rsid wsp:val=&quot;00D635D5&quot;/&gt;&lt;wsp:rsid wsp:val=&quot;00D63784&quot;/&gt;&lt;wsp:rsid wsp:val=&quot;00D637FC&quot;/&gt;&lt;wsp:rsid wsp:val=&quot;00D63949&quot;/&gt;&lt;wsp:rsid wsp:val=&quot;00D63B6F&quot;/&gt;&lt;wsp:rsid wsp:val=&quot;00D63BD0&quot;/&gt;&lt;wsp:rsid wsp:val=&quot;00D63CFD&quot;/&gt;&lt;wsp:rsid wsp:val=&quot;00D63E43&quot;/&gt;&lt;wsp:rsid wsp:val=&quot;00D63F8A&quot;/&gt;&lt;wsp:rsid wsp:val=&quot;00D644F2&quot;/&gt;&lt;wsp:rsid wsp:val=&quot;00D6543C&quot;/&gt;&lt;wsp:rsid wsp:val=&quot;00D65625&quot;/&gt;&lt;wsp:rsid wsp:val=&quot;00D65931&quot;/&gt;&lt;wsp:rsid wsp:val=&quot;00D65B19&quot;/&gt;&lt;wsp:rsid wsp:val=&quot;00D65DBC&quot;/&gt;&lt;wsp:rsid wsp:val=&quot;00D6630C&quot;/&gt;&lt;wsp:rsid wsp:val=&quot;00D66FD6&quot;/&gt;&lt;wsp:rsid wsp:val=&quot;00D6713E&quot;/&gt;&lt;wsp:rsid wsp:val=&quot;00D6727D&quot;/&gt;&lt;wsp:rsid wsp:val=&quot;00D676DC&quot;/&gt;&lt;wsp:rsid wsp:val=&quot;00D67795&quot;/&gt;&lt;wsp:rsid wsp:val=&quot;00D6780D&quot;/&gt;&lt;wsp:rsid wsp:val=&quot;00D67939&quot;/&gt;&lt;wsp:rsid wsp:val=&quot;00D67952&quot;/&gt;&lt;wsp:rsid wsp:val=&quot;00D67B69&quot;/&gt;&lt;wsp:rsid wsp:val=&quot;00D67C9A&quot;/&gt;&lt;wsp:rsid wsp:val=&quot;00D67CC5&quot;/&gt;&lt;wsp:rsid wsp:val=&quot;00D67CEF&quot;/&gt;&lt;wsp:rsid wsp:val=&quot;00D7000F&quot;/&gt;&lt;wsp:rsid wsp:val=&quot;00D70919&quot;/&gt;&lt;wsp:rsid wsp:val=&quot;00D71261&quot;/&gt;&lt;wsp:rsid wsp:val=&quot;00D71431&quot;/&gt;&lt;wsp:rsid wsp:val=&quot;00D7188B&quot;/&gt;&lt;wsp:rsid wsp:val=&quot;00D718ED&quot;/&gt;&lt;wsp:rsid wsp:val=&quot;00D71A23&quot;/&gt;&lt;wsp:rsid wsp:val=&quot;00D71BA8&quot;/&gt;&lt;wsp:rsid wsp:val=&quot;00D71CEF&quot;/&gt;&lt;wsp:rsid wsp:val=&quot;00D71E4C&quot;/&gt;&lt;wsp:rsid wsp:val=&quot;00D72272&quot;/&gt;&lt;wsp:rsid wsp:val=&quot;00D72298&quot;/&gt;&lt;wsp:rsid wsp:val=&quot;00D725CF&quot;/&gt;&lt;wsp:rsid wsp:val=&quot;00D72896&quot;/&gt;&lt;wsp:rsid wsp:val=&quot;00D72C0B&quot;/&gt;&lt;wsp:rsid wsp:val=&quot;00D72D69&quot;/&gt;&lt;wsp:rsid wsp:val=&quot;00D72D99&quot;/&gt;&lt;wsp:rsid wsp:val=&quot;00D72DA1&quot;/&gt;&lt;wsp:rsid wsp:val=&quot;00D734F6&quot;/&gt;&lt;wsp:rsid wsp:val=&quot;00D736ED&quot;/&gt;&lt;wsp:rsid wsp:val=&quot;00D742E1&quot;/&gt;&lt;wsp:rsid wsp:val=&quot;00D74549&quot;/&gt;&lt;wsp:rsid wsp:val=&quot;00D74682&quot;/&gt;&lt;wsp:rsid wsp:val=&quot;00D7473E&quot;/&gt;&lt;wsp:rsid wsp:val=&quot;00D748F9&quot;/&gt;&lt;wsp:rsid wsp:val=&quot;00D74939&quot;/&gt;&lt;wsp:rsid wsp:val=&quot;00D74A05&quot;/&gt;&lt;wsp:rsid wsp:val=&quot;00D74E3E&quot;/&gt;&lt;wsp:rsid wsp:val=&quot;00D7522C&quot;/&gt;&lt;wsp:rsid wsp:val=&quot;00D75236&quot;/&gt;&lt;wsp:rsid wsp:val=&quot;00D7592E&quot;/&gt;&lt;wsp:rsid wsp:val=&quot;00D75939&quot;/&gt;&lt;wsp:rsid wsp:val=&quot;00D75A06&quot;/&gt;&lt;wsp:rsid wsp:val=&quot;00D7605F&quot;/&gt;&lt;wsp:rsid wsp:val=&quot;00D76299&quot;/&gt;&lt;wsp:rsid wsp:val=&quot;00D76318&quot;/&gt;&lt;wsp:rsid wsp:val=&quot;00D76486&quot;/&gt;&lt;wsp:rsid wsp:val=&quot;00D766C8&quot;/&gt;&lt;wsp:rsid wsp:val=&quot;00D7689F&quot;/&gt;&lt;wsp:rsid wsp:val=&quot;00D76983&quot;/&gt;&lt;wsp:rsid wsp:val=&quot;00D76C40&quot;/&gt;&lt;wsp:rsid wsp:val=&quot;00D76D9C&quot;/&gt;&lt;wsp:rsid wsp:val=&quot;00D77146&quot;/&gt;&lt;wsp:rsid wsp:val=&quot;00D774C6&quot;/&gt;&lt;wsp:rsid wsp:val=&quot;00D77520&quot;/&gt;&lt;wsp:rsid wsp:val=&quot;00D77729&quot;/&gt;&lt;wsp:rsid wsp:val=&quot;00D77741&quot;/&gt;&lt;wsp:rsid wsp:val=&quot;00D778C7&quot;/&gt;&lt;wsp:rsid wsp:val=&quot;00D779A7&quot;/&gt;&lt;wsp:rsid wsp:val=&quot;00D77A00&quot;/&gt;&lt;wsp:rsid wsp:val=&quot;00D77B58&quot;/&gt;&lt;wsp:rsid wsp:val=&quot;00D77B63&quot;/&gt;&lt;wsp:rsid wsp:val=&quot;00D77D03&quot;/&gt;&lt;wsp:rsid wsp:val=&quot;00D77F58&quot;/&gt;&lt;wsp:rsid wsp:val=&quot;00D77FA9&quot;/&gt;&lt;wsp:rsid wsp:val=&quot;00D80033&quot;/&gt;&lt;wsp:rsid wsp:val=&quot;00D802C7&quot;/&gt;&lt;wsp:rsid wsp:val=&quot;00D802D5&quot;/&gt;&lt;wsp:rsid wsp:val=&quot;00D8072F&quot;/&gt;&lt;wsp:rsid wsp:val=&quot;00D80751&quot;/&gt;&lt;wsp:rsid wsp:val=&quot;00D80843&quot;/&gt;&lt;wsp:rsid wsp:val=&quot;00D809DE&quot;/&gt;&lt;wsp:rsid wsp:val=&quot;00D80A72&quot;/&gt;&lt;wsp:rsid wsp:val=&quot;00D80A89&quot;/&gt;&lt;wsp:rsid wsp:val=&quot;00D80BB8&quot;/&gt;&lt;wsp:rsid wsp:val=&quot;00D80BF1&quot;/&gt;&lt;wsp:rsid wsp:val=&quot;00D81192&quot;/&gt;&lt;wsp:rsid wsp:val=&quot;00D811A6&quot;/&gt;&lt;wsp:rsid wsp:val=&quot;00D81242&quot;/&gt;&lt;wsp:rsid wsp:val=&quot;00D812CB&quot;/&gt;&lt;wsp:rsid wsp:val=&quot;00D813CD&quot;/&gt;&lt;wsp:rsid wsp:val=&quot;00D814F5&quot;/&gt;&lt;wsp:rsid wsp:val=&quot;00D819C0&quot;/&gt;&lt;wsp:rsid wsp:val=&quot;00D819C4&quot;/&gt;&lt;wsp:rsid wsp:val=&quot;00D81C3F&quot;/&gt;&lt;wsp:rsid wsp:val=&quot;00D81D9D&quot;/&gt;&lt;wsp:rsid wsp:val=&quot;00D81E7D&quot;/&gt;&lt;wsp:rsid wsp:val=&quot;00D82225&quot;/&gt;&lt;wsp:rsid wsp:val=&quot;00D82559&quot;/&gt;&lt;wsp:rsid wsp:val=&quot;00D828B3&quot;/&gt;&lt;wsp:rsid wsp:val=&quot;00D82A56&quot;/&gt;&lt;wsp:rsid wsp:val=&quot;00D82B00&quot;/&gt;&lt;wsp:rsid wsp:val=&quot;00D82CD7&quot;/&gt;&lt;wsp:rsid wsp:val=&quot;00D830F7&quot;/&gt;&lt;wsp:rsid wsp:val=&quot;00D837B9&quot;/&gt;&lt;wsp:rsid wsp:val=&quot;00D837EF&quot;/&gt;&lt;wsp:rsid wsp:val=&quot;00D83986&quot;/&gt;&lt;wsp:rsid wsp:val=&quot;00D83E3C&quot;/&gt;&lt;wsp:rsid wsp:val=&quot;00D8455C&quot;/&gt;&lt;wsp:rsid wsp:val=&quot;00D84BB8&quot;/&gt;&lt;wsp:rsid wsp:val=&quot;00D84C78&quot;/&gt;&lt;wsp:rsid wsp:val=&quot;00D84E17&quot;/&gt;&lt;wsp:rsid wsp:val=&quot;00D853A1&quot;/&gt;&lt;wsp:rsid wsp:val=&quot;00D857C5&quot;/&gt;&lt;wsp:rsid wsp:val=&quot;00D85AFB&quot;/&gt;&lt;wsp:rsid wsp:val=&quot;00D85CB7&quot;/&gt;&lt;wsp:rsid wsp:val=&quot;00D8687A&quot;/&gt;&lt;wsp:rsid wsp:val=&quot;00D86AB8&quot;/&gt;&lt;wsp:rsid wsp:val=&quot;00D86BAC&quot;/&gt;&lt;wsp:rsid wsp:val=&quot;00D86EE4&quot;/&gt;&lt;wsp:rsid wsp:val=&quot;00D873BB&quot;/&gt;&lt;wsp:rsid wsp:val=&quot;00D87695&quot;/&gt;&lt;wsp:rsid wsp:val=&quot;00D878BC&quot;/&gt;&lt;wsp:rsid wsp:val=&quot;00D878DA&quot;/&gt;&lt;wsp:rsid wsp:val=&quot;00D87B69&quot;/&gt;&lt;wsp:rsid wsp:val=&quot;00D87BC2&quot;/&gt;&lt;wsp:rsid wsp:val=&quot;00D87C45&quot;/&gt;&lt;wsp:rsid wsp:val=&quot;00D87F3F&quot;/&gt;&lt;wsp:rsid wsp:val=&quot;00D87FDF&quot;/&gt;&lt;wsp:rsid wsp:val=&quot;00D90113&quot;/&gt;&lt;wsp:rsid wsp:val=&quot;00D901DA&quot;/&gt;&lt;wsp:rsid wsp:val=&quot;00D906F8&quot;/&gt;&lt;wsp:rsid wsp:val=&quot;00D9080D&quot;/&gt;&lt;wsp:rsid wsp:val=&quot;00D908CD&quot;/&gt;&lt;wsp:rsid wsp:val=&quot;00D90A49&quot;/&gt;&lt;wsp:rsid wsp:val=&quot;00D90C4F&quot;/&gt;&lt;wsp:rsid wsp:val=&quot;00D90D2D&quot;/&gt;&lt;wsp:rsid wsp:val=&quot;00D91053&quot;/&gt;&lt;wsp:rsid wsp:val=&quot;00D9115E&quot;/&gt;&lt;wsp:rsid wsp:val=&quot;00D91569&quot;/&gt;&lt;wsp:rsid wsp:val=&quot;00D915DA&quot;/&gt;&lt;wsp:rsid wsp:val=&quot;00D926A1&quot;/&gt;&lt;wsp:rsid wsp:val=&quot;00D92738&quot;/&gt;&lt;wsp:rsid wsp:val=&quot;00D92D9D&quot;/&gt;&lt;wsp:rsid wsp:val=&quot;00D9378B&quot;/&gt;&lt;wsp:rsid wsp:val=&quot;00D943FB&quot;/&gt;&lt;wsp:rsid wsp:val=&quot;00D94645&quot;/&gt;&lt;wsp:rsid wsp:val=&quot;00D94724&quot;/&gt;&lt;wsp:rsid wsp:val=&quot;00D949BD&quot;/&gt;&lt;wsp:rsid wsp:val=&quot;00D951DF&quot;/&gt;&lt;wsp:rsid wsp:val=&quot;00D95298&quot;/&gt;&lt;wsp:rsid wsp:val=&quot;00D953CB&quot;/&gt;&lt;wsp:rsid wsp:val=&quot;00D955CD&quot;/&gt;&lt;wsp:rsid wsp:val=&quot;00D95AD2&quot;/&gt;&lt;wsp:rsid wsp:val=&quot;00D95BF6&quot;/&gt;&lt;wsp:rsid wsp:val=&quot;00D96013&quot;/&gt;&lt;wsp:rsid wsp:val=&quot;00D96129&quot;/&gt;&lt;wsp:rsid wsp:val=&quot;00D962D8&quot;/&gt;&lt;wsp:rsid wsp:val=&quot;00D962E7&quot;/&gt;&lt;wsp:rsid wsp:val=&quot;00D96367&quot;/&gt;&lt;wsp:rsid wsp:val=&quot;00D96444&quot;/&gt;&lt;wsp:rsid wsp:val=&quot;00D965FB&quot;/&gt;&lt;wsp:rsid wsp:val=&quot;00D9660C&quot;/&gt;&lt;wsp:rsid wsp:val=&quot;00D96668&quot;/&gt;&lt;wsp:rsid wsp:val=&quot;00D96A53&quot;/&gt;&lt;wsp:rsid wsp:val=&quot;00D96BF7&quot;/&gt;&lt;wsp:rsid wsp:val=&quot;00D975CA&quot;/&gt;&lt;wsp:rsid wsp:val=&quot;00D97644&quot;/&gt;&lt;wsp:rsid wsp:val=&quot;00D97844&quot;/&gt;&lt;wsp:rsid wsp:val=&quot;00D97990&quot;/&gt;&lt;wsp:rsid wsp:val=&quot;00D979D8&quot;/&gt;&lt;wsp:rsid wsp:val=&quot;00D97A32&quot;/&gt;&lt;wsp:rsid wsp:val=&quot;00D97CF7&quot;/&gt;&lt;wsp:rsid wsp:val=&quot;00DA01EF&quot;/&gt;&lt;wsp:rsid wsp:val=&quot;00DA045D&quot;/&gt;&lt;wsp:rsid wsp:val=&quot;00DA0625&quot;/&gt;&lt;wsp:rsid wsp:val=&quot;00DA06E2&quot;/&gt;&lt;wsp:rsid wsp:val=&quot;00DA0700&quot;/&gt;&lt;wsp:rsid wsp:val=&quot;00DA07D7&quot;/&gt;&lt;wsp:rsid wsp:val=&quot;00DA0AC3&quot;/&gt;&lt;wsp:rsid wsp:val=&quot;00DA0ADE&quot;/&gt;&lt;wsp:rsid wsp:val=&quot;00DA0E6A&quot;/&gt;&lt;wsp:rsid wsp:val=&quot;00DA123D&quot;/&gt;&lt;wsp:rsid wsp:val=&quot;00DA133D&quot;/&gt;&lt;wsp:rsid wsp:val=&quot;00DA1990&quot;/&gt;&lt;wsp:rsid wsp:val=&quot;00DA19D5&quot;/&gt;&lt;wsp:rsid wsp:val=&quot;00DA1A4D&quot;/&gt;&lt;wsp:rsid wsp:val=&quot;00DA1B3A&quot;/&gt;&lt;wsp:rsid wsp:val=&quot;00DA1B4B&quot;/&gt;&lt;wsp:rsid wsp:val=&quot;00DA1CE2&quot;/&gt;&lt;wsp:rsid wsp:val=&quot;00DA2127&quot;/&gt;&lt;wsp:rsid wsp:val=&quot;00DA22AD&quot;/&gt;&lt;wsp:rsid wsp:val=&quot;00DA29F1&quot;/&gt;&lt;wsp:rsid wsp:val=&quot;00DA2C80&quot;/&gt;&lt;wsp:rsid wsp:val=&quot;00DA2E4A&quot;/&gt;&lt;wsp:rsid wsp:val=&quot;00DA31DF&quot;/&gt;&lt;wsp:rsid wsp:val=&quot;00DA3314&quot;/&gt;&lt;wsp:rsid wsp:val=&quot;00DA372B&quot;/&gt;&lt;wsp:rsid wsp:val=&quot;00DA38C4&quot;/&gt;&lt;wsp:rsid wsp:val=&quot;00DA3AD8&quot;/&gt;&lt;wsp:rsid wsp:val=&quot;00DA3C05&quot;/&gt;&lt;wsp:rsid wsp:val=&quot;00DA4286&quot;/&gt;&lt;wsp:rsid wsp:val=&quot;00DA43A4&quot;/&gt;&lt;wsp:rsid wsp:val=&quot;00DA454B&quot;/&gt;&lt;wsp:rsid wsp:val=&quot;00DA45DE&quot;/&gt;&lt;wsp:rsid wsp:val=&quot;00DA4860&quot;/&gt;&lt;wsp:rsid wsp:val=&quot;00DA4D02&quot;/&gt;&lt;wsp:rsid wsp:val=&quot;00DA4DAE&quot;/&gt;&lt;wsp:rsid wsp:val=&quot;00DA53D4&quot;/&gt;&lt;wsp:rsid wsp:val=&quot;00DA5525&quot;/&gt;&lt;wsp:rsid wsp:val=&quot;00DA5662&quot;/&gt;&lt;wsp:rsid wsp:val=&quot;00DA5B20&quot;/&gt;&lt;wsp:rsid wsp:val=&quot;00DA5C8A&quot;/&gt;&lt;wsp:rsid wsp:val=&quot;00DA6106&quot;/&gt;&lt;wsp:rsid wsp:val=&quot;00DA622A&quot;/&gt;&lt;wsp:rsid wsp:val=&quot;00DA6643&quot;/&gt;&lt;wsp:rsid wsp:val=&quot;00DA66E0&quot;/&gt;&lt;wsp:rsid wsp:val=&quot;00DA6A3D&quot;/&gt;&lt;wsp:rsid wsp:val=&quot;00DA6BAC&quot;/&gt;&lt;wsp:rsid wsp:val=&quot;00DA6C4B&quot;/&gt;&lt;wsp:rsid wsp:val=&quot;00DA727D&quot;/&gt;&lt;wsp:rsid wsp:val=&quot;00DA74D1&quot;/&gt;&lt;wsp:rsid wsp:val=&quot;00DA7517&quot;/&gt;&lt;wsp:rsid wsp:val=&quot;00DA764E&quot;/&gt;&lt;wsp:rsid wsp:val=&quot;00DA76A2&quot;/&gt;&lt;wsp:rsid wsp:val=&quot;00DA781A&quot;/&gt;&lt;wsp:rsid wsp:val=&quot;00DA78D2&quot;/&gt;&lt;wsp:rsid wsp:val=&quot;00DA7D0E&quot;/&gt;&lt;wsp:rsid wsp:val=&quot;00DA7E34&quot;/&gt;&lt;wsp:rsid wsp:val=&quot;00DB00FA&quot;/&gt;&lt;wsp:rsid wsp:val=&quot;00DB0184&quot;/&gt;&lt;wsp:rsid wsp:val=&quot;00DB01A5&quot;/&gt;&lt;wsp:rsid wsp:val=&quot;00DB03AC&quot;/&gt;&lt;wsp:rsid wsp:val=&quot;00DB0431&quot;/&gt;&lt;wsp:rsid wsp:val=&quot;00DB049D&quot;/&gt;&lt;wsp:rsid wsp:val=&quot;00DB0666&quot;/&gt;&lt;wsp:rsid wsp:val=&quot;00DB081B&quot;/&gt;&lt;wsp:rsid wsp:val=&quot;00DB0849&quot;/&gt;&lt;wsp:rsid wsp:val=&quot;00DB0CA2&quot;/&gt;&lt;wsp:rsid wsp:val=&quot;00DB0CB7&quot;/&gt;&lt;wsp:rsid wsp:val=&quot;00DB0E23&quot;/&gt;&lt;wsp:rsid wsp:val=&quot;00DB13A5&quot;/&gt;&lt;wsp:rsid wsp:val=&quot;00DB1443&quot;/&gt;&lt;wsp:rsid wsp:val=&quot;00DB1554&quot;/&gt;&lt;wsp:rsid wsp:val=&quot;00DB1921&quot;/&gt;&lt;wsp:rsid wsp:val=&quot;00DB1970&quot;/&gt;&lt;wsp:rsid wsp:val=&quot;00DB1AD7&quot;/&gt;&lt;wsp:rsid wsp:val=&quot;00DB1CB5&quot;/&gt;&lt;wsp:rsid wsp:val=&quot;00DB2069&quot;/&gt;&lt;wsp:rsid wsp:val=&quot;00DB21B0&quot;/&gt;&lt;wsp:rsid wsp:val=&quot;00DB24FD&quot;/&gt;&lt;wsp:rsid wsp:val=&quot;00DB27A3&quot;/&gt;&lt;wsp:rsid wsp:val=&quot;00DB2AFC&quot;/&gt;&lt;wsp:rsid wsp:val=&quot;00DB2BE1&quot;/&gt;&lt;wsp:rsid wsp:val=&quot;00DB2C63&quot;/&gt;&lt;wsp:rsid wsp:val=&quot;00DB2CE2&quot;/&gt;&lt;wsp:rsid wsp:val=&quot;00DB327B&quot;/&gt;&lt;wsp:rsid wsp:val=&quot;00DB3433&quot;/&gt;&lt;wsp:rsid wsp:val=&quot;00DB3677&quot;/&gt;&lt;wsp:rsid wsp:val=&quot;00DB3CB5&quot;/&gt;&lt;wsp:rsid wsp:val=&quot;00DB4108&quot;/&gt;&lt;wsp:rsid wsp:val=&quot;00DB4261&quot;/&gt;&lt;wsp:rsid wsp:val=&quot;00DB42EF&quot;/&gt;&lt;wsp:rsid wsp:val=&quot;00DB4478&quot;/&gt;&lt;wsp:rsid wsp:val=&quot;00DB469D&quot;/&gt;&lt;wsp:rsid wsp:val=&quot;00DB47B4&quot;/&gt;&lt;wsp:rsid wsp:val=&quot;00DB4AE9&quot;/&gt;&lt;wsp:rsid wsp:val=&quot;00DB4D74&quot;/&gt;&lt;wsp:rsid wsp:val=&quot;00DB50ED&quot;/&gt;&lt;wsp:rsid wsp:val=&quot;00DB5383&quot;/&gt;&lt;wsp:rsid wsp:val=&quot;00DB5587&quot;/&gt;&lt;wsp:rsid wsp:val=&quot;00DB5E0E&quot;/&gt;&lt;wsp:rsid wsp:val=&quot;00DB6288&quot;/&gt;&lt;wsp:rsid wsp:val=&quot;00DB6474&quot;/&gt;&lt;wsp:rsid wsp:val=&quot;00DB68A4&quot;/&gt;&lt;wsp:rsid wsp:val=&quot;00DB6A0B&quot;/&gt;&lt;wsp:rsid wsp:val=&quot;00DB6B03&quot;/&gt;&lt;wsp:rsid wsp:val=&quot;00DB6E49&quot;/&gt;&lt;wsp:rsid wsp:val=&quot;00DB75A7&quot;/&gt;&lt;wsp:rsid wsp:val=&quot;00DB797A&quot;/&gt;&lt;wsp:rsid wsp:val=&quot;00DB7B5E&quot;/&gt;&lt;wsp:rsid wsp:val=&quot;00DB7D2E&quot;/&gt;&lt;wsp:rsid wsp:val=&quot;00DC02BF&quot;/&gt;&lt;wsp:rsid wsp:val=&quot;00DC051A&quot;/&gt;&lt;wsp:rsid wsp:val=&quot;00DC0A15&quot;/&gt;&lt;wsp:rsid wsp:val=&quot;00DC0A3C&quot;/&gt;&lt;wsp:rsid wsp:val=&quot;00DC0B73&quot;/&gt;&lt;wsp:rsid wsp:val=&quot;00DC0D06&quot;/&gt;&lt;wsp:rsid wsp:val=&quot;00DC0E8D&quot;/&gt;&lt;wsp:rsid wsp:val=&quot;00DC132C&quot;/&gt;&lt;wsp:rsid wsp:val=&quot;00DC13EA&quot;/&gt;&lt;wsp:rsid wsp:val=&quot;00DC1499&quot;/&gt;&lt;wsp:rsid wsp:val=&quot;00DC14DD&quot;/&gt;&lt;wsp:rsid wsp:val=&quot;00DC1886&quot;/&gt;&lt;wsp:rsid wsp:val=&quot;00DC18B7&quot;/&gt;&lt;wsp:rsid wsp:val=&quot;00DC1D41&quot;/&gt;&lt;wsp:rsid wsp:val=&quot;00DC1D55&quot;/&gt;&lt;wsp:rsid wsp:val=&quot;00DC210D&quot;/&gt;&lt;wsp:rsid wsp:val=&quot;00DC2456&quot;/&gt;&lt;wsp:rsid wsp:val=&quot;00DC2569&quot;/&gt;&lt;wsp:rsid wsp:val=&quot;00DC2597&quot;/&gt;&lt;wsp:rsid wsp:val=&quot;00DC2876&quot;/&gt;&lt;wsp:rsid wsp:val=&quot;00DC2C49&quot;/&gt;&lt;wsp:rsid wsp:val=&quot;00DC2D1C&quot;/&gt;&lt;wsp:rsid wsp:val=&quot;00DC2DAD&quot;/&gt;&lt;wsp:rsid wsp:val=&quot;00DC2FC2&quot;/&gt;&lt;wsp:rsid wsp:val=&quot;00DC3020&quot;/&gt;&lt;wsp:rsid wsp:val=&quot;00DC3288&quot;/&gt;&lt;wsp:rsid wsp:val=&quot;00DC3914&quot;/&gt;&lt;wsp:rsid wsp:val=&quot;00DC3A0B&quot;/&gt;&lt;wsp:rsid wsp:val=&quot;00DC3B71&quot;/&gt;&lt;wsp:rsid wsp:val=&quot;00DC4209&quot;/&gt;&lt;wsp:rsid wsp:val=&quot;00DC42B3&quot;/&gt;&lt;wsp:rsid wsp:val=&quot;00DC487F&quot;/&gt;&lt;wsp:rsid wsp:val=&quot;00DC4EDE&quot;/&gt;&lt;wsp:rsid wsp:val=&quot;00DC4F03&quot;/&gt;&lt;wsp:rsid wsp:val=&quot;00DC5146&quot;/&gt;&lt;wsp:rsid wsp:val=&quot;00DC53F4&quot;/&gt;&lt;wsp:rsid wsp:val=&quot;00DC5466&quot;/&gt;&lt;wsp:rsid wsp:val=&quot;00DC5470&quot;/&gt;&lt;wsp:rsid wsp:val=&quot;00DC5664&quot;/&gt;&lt;wsp:rsid wsp:val=&quot;00DC5720&quot;/&gt;&lt;wsp:rsid wsp:val=&quot;00DC58B8&quot;/&gt;&lt;wsp:rsid wsp:val=&quot;00DC5C36&quot;/&gt;&lt;wsp:rsid wsp:val=&quot;00DC5C3C&quot;/&gt;&lt;wsp:rsid wsp:val=&quot;00DC5DC2&quot;/&gt;&lt;wsp:rsid wsp:val=&quot;00DC5E91&quot;/&gt;&lt;wsp:rsid wsp:val=&quot;00DC625F&quot;/&gt;&lt;wsp:rsid wsp:val=&quot;00DC6491&quot;/&gt;&lt;wsp:rsid wsp:val=&quot;00DC6989&quot;/&gt;&lt;wsp:rsid wsp:val=&quot;00DC70BC&quot;/&gt;&lt;wsp:rsid wsp:val=&quot;00DC70C9&quot;/&gt;&lt;wsp:rsid wsp:val=&quot;00DC7456&quot;/&gt;&lt;wsp:rsid wsp:val=&quot;00DC74CD&quot;/&gt;&lt;wsp:rsid wsp:val=&quot;00DC75BB&quot;/&gt;&lt;wsp:rsid wsp:val=&quot;00DC776B&quot;/&gt;&lt;wsp:rsid wsp:val=&quot;00DC7F80&quot;/&gt;&lt;wsp:rsid wsp:val=&quot;00DD0310&quot;/&gt;&lt;wsp:rsid wsp:val=&quot;00DD06B2&quot;/&gt;&lt;wsp:rsid wsp:val=&quot;00DD07AA&quot;/&gt;&lt;wsp:rsid wsp:val=&quot;00DD07C4&quot;/&gt;&lt;wsp:rsid wsp:val=&quot;00DD0811&quot;/&gt;&lt;wsp:rsid wsp:val=&quot;00DD08A5&quot;/&gt;&lt;wsp:rsid wsp:val=&quot;00DD0900&quot;/&gt;&lt;wsp:rsid wsp:val=&quot;00DD0A63&quot;/&gt;&lt;wsp:rsid wsp:val=&quot;00DD0BBE&quot;/&gt;&lt;wsp:rsid wsp:val=&quot;00DD0C6C&quot;/&gt;&lt;wsp:rsid wsp:val=&quot;00DD11EF&quot;/&gt;&lt;wsp:rsid wsp:val=&quot;00DD12C4&quot;/&gt;&lt;wsp:rsid wsp:val=&quot;00DD15B4&quot;/&gt;&lt;wsp:rsid wsp:val=&quot;00DD1899&quot;/&gt;&lt;wsp:rsid wsp:val=&quot;00DD18A4&quot;/&gt;&lt;wsp:rsid wsp:val=&quot;00DD18E3&quot;/&gt;&lt;wsp:rsid wsp:val=&quot;00DD1ED1&quot;/&gt;&lt;wsp:rsid wsp:val=&quot;00DD21E2&quot;/&gt;&lt;wsp:rsid wsp:val=&quot;00DD22CD&quot;/&gt;&lt;wsp:rsid wsp:val=&quot;00DD2432&quot;/&gt;&lt;wsp:rsid wsp:val=&quot;00DD24A7&quot;/&gt;&lt;wsp:rsid wsp:val=&quot;00DD2544&quot;/&gt;&lt;wsp:rsid wsp:val=&quot;00DD2649&quot;/&gt;&lt;wsp:rsid wsp:val=&quot;00DD26C1&quot;/&gt;&lt;wsp:rsid wsp:val=&quot;00DD3136&quot;/&gt;&lt;wsp:rsid wsp:val=&quot;00DD3490&quot;/&gt;&lt;wsp:rsid wsp:val=&quot;00DD38F9&quot;/&gt;&lt;wsp:rsid wsp:val=&quot;00DD3B21&quot;/&gt;&lt;wsp:rsid wsp:val=&quot;00DD3BD6&quot;/&gt;&lt;wsp:rsid wsp:val=&quot;00DD3BE9&quot;/&gt;&lt;wsp:rsid wsp:val=&quot;00DD3BF1&quot;/&gt;&lt;wsp:rsid wsp:val=&quot;00DD3FC1&quot;/&gt;&lt;wsp:rsid wsp:val=&quot;00DD42DC&quot;/&gt;&lt;wsp:rsid wsp:val=&quot;00DD4629&quot;/&gt;&lt;wsp:rsid wsp:val=&quot;00DD46BE&quot;/&gt;&lt;wsp:rsid wsp:val=&quot;00DD48C3&quot;/&gt;&lt;wsp:rsid wsp:val=&quot;00DD4AD1&quot;/&gt;&lt;wsp:rsid wsp:val=&quot;00DD4F07&quot;/&gt;&lt;wsp:rsid wsp:val=&quot;00DD4F6B&quot;/&gt;&lt;wsp:rsid wsp:val=&quot;00DD58A2&quot;/&gt;&lt;wsp:rsid wsp:val=&quot;00DD58E2&quot;/&gt;&lt;wsp:rsid wsp:val=&quot;00DD5950&quot;/&gt;&lt;wsp:rsid wsp:val=&quot;00DD5B8F&quot;/&gt;&lt;wsp:rsid wsp:val=&quot;00DD5DE1&quot;/&gt;&lt;wsp:rsid wsp:val=&quot;00DD5E61&quot;/&gt;&lt;wsp:rsid wsp:val=&quot;00DD606B&quot;/&gt;&lt;wsp:rsid wsp:val=&quot;00DD619B&quot;/&gt;&lt;wsp:rsid wsp:val=&quot;00DD61CF&quot;/&gt;&lt;wsp:rsid wsp:val=&quot;00DD61FE&quot;/&gt;&lt;wsp:rsid wsp:val=&quot;00DD630B&quot;/&gt;&lt;wsp:rsid wsp:val=&quot;00DD6389&quot;/&gt;&lt;wsp:rsid wsp:val=&quot;00DD638B&quot;/&gt;&lt;wsp:rsid wsp:val=&quot;00DD63C5&quot;/&gt;&lt;wsp:rsid wsp:val=&quot;00DD6603&quot;/&gt;&lt;wsp:rsid wsp:val=&quot;00DD6771&quot;/&gt;&lt;wsp:rsid wsp:val=&quot;00DD69BD&quot;/&gt;&lt;wsp:rsid wsp:val=&quot;00DD6B44&quot;/&gt;&lt;wsp:rsid wsp:val=&quot;00DD6B63&quot;/&gt;&lt;wsp:rsid wsp:val=&quot;00DD6DFE&quot;/&gt;&lt;wsp:rsid wsp:val=&quot;00DD6E60&quot;/&gt;&lt;wsp:rsid wsp:val=&quot;00DD7337&quot;/&gt;&lt;wsp:rsid wsp:val=&quot;00DD7372&quot;/&gt;&lt;wsp:rsid wsp:val=&quot;00DD73A0&quot;/&gt;&lt;wsp:rsid wsp:val=&quot;00DD755A&quot;/&gt;&lt;wsp:rsid wsp:val=&quot;00DD76B6&quot;/&gt;&lt;wsp:rsid wsp:val=&quot;00DD7B35&quot;/&gt;&lt;wsp:rsid wsp:val=&quot;00DE0089&quot;/&gt;&lt;wsp:rsid wsp:val=&quot;00DE00BA&quot;/&gt;&lt;wsp:rsid wsp:val=&quot;00DE03DA&quot;/&gt;&lt;wsp:rsid wsp:val=&quot;00DE0680&quot;/&gt;&lt;wsp:rsid wsp:val=&quot;00DE085D&quot;/&gt;&lt;wsp:rsid wsp:val=&quot;00DE0BCA&quot;/&gt;&lt;wsp:rsid wsp:val=&quot;00DE0D52&quot;/&gt;&lt;wsp:rsid wsp:val=&quot;00DE1158&quot;/&gt;&lt;wsp:rsid wsp:val=&quot;00DE124B&quot;/&gt;&lt;wsp:rsid wsp:val=&quot;00DE137E&quot;/&gt;&lt;wsp:rsid wsp:val=&quot;00DE15A6&quot;/&gt;&lt;wsp:rsid wsp:val=&quot;00DE1A43&quot;/&gt;&lt;wsp:rsid wsp:val=&quot;00DE1A85&quot;/&gt;&lt;wsp:rsid wsp:val=&quot;00DE1BC7&quot;/&gt;&lt;wsp:rsid wsp:val=&quot;00DE1C95&quot;/&gt;&lt;wsp:rsid wsp:val=&quot;00DE1E0F&quot;/&gt;&lt;wsp:rsid wsp:val=&quot;00DE24D1&quot;/&gt;&lt;wsp:rsid wsp:val=&quot;00DE24F2&quot;/&gt;&lt;wsp:rsid wsp:val=&quot;00DE264F&quot;/&gt;&lt;wsp:rsid wsp:val=&quot;00DE293F&quot;/&gt;&lt;wsp:rsid wsp:val=&quot;00DE2A7A&quot;/&gt;&lt;wsp:rsid wsp:val=&quot;00DE2B64&quot;/&gt;&lt;wsp:rsid wsp:val=&quot;00DE2C6C&quot;/&gt;&lt;wsp:rsid wsp:val=&quot;00DE35F7&quot;/&gt;&lt;wsp:rsid wsp:val=&quot;00DE36A2&quot;/&gt;&lt;wsp:rsid wsp:val=&quot;00DE383E&quot;/&gt;&lt;wsp:rsid wsp:val=&quot;00DE3A18&quot;/&gt;&lt;wsp:rsid wsp:val=&quot;00DE3DEC&quot;/&gt;&lt;wsp:rsid wsp:val=&quot;00DE3ED0&quot;/&gt;&lt;wsp:rsid wsp:val=&quot;00DE41EA&quot;/&gt;&lt;wsp:rsid wsp:val=&quot;00DE42D9&quot;/&gt;&lt;wsp:rsid wsp:val=&quot;00DE4580&quot;/&gt;&lt;wsp:rsid wsp:val=&quot;00DE45B8&quot;/&gt;&lt;wsp:rsid wsp:val=&quot;00DE46DC&quot;/&gt;&lt;wsp:rsid wsp:val=&quot;00DE47AC&quot;/&gt;&lt;wsp:rsid wsp:val=&quot;00DE4B74&quot;/&gt;&lt;wsp:rsid wsp:val=&quot;00DE4FF8&quot;/&gt;&lt;wsp:rsid wsp:val=&quot;00DE51A5&quot;/&gt;&lt;wsp:rsid wsp:val=&quot;00DE521B&quot;/&gt;&lt;wsp:rsid wsp:val=&quot;00DE54CF&quot;/&gt;&lt;wsp:rsid wsp:val=&quot;00DE558B&quot;/&gt;&lt;wsp:rsid wsp:val=&quot;00DE5783&quot;/&gt;&lt;wsp:rsid wsp:val=&quot;00DE5A01&quot;/&gt;&lt;wsp:rsid wsp:val=&quot;00DE5AE5&quot;/&gt;&lt;wsp:rsid wsp:val=&quot;00DE5C0A&quot;/&gt;&lt;wsp:rsid wsp:val=&quot;00DE6082&quot;/&gt;&lt;wsp:rsid wsp:val=&quot;00DE6261&quot;/&gt;&lt;wsp:rsid wsp:val=&quot;00DE686A&quot;/&gt;&lt;wsp:rsid wsp:val=&quot;00DE6DCD&quot;/&gt;&lt;wsp:rsid wsp:val=&quot;00DE7061&quot;/&gt;&lt;wsp:rsid wsp:val=&quot;00DE7107&quot;/&gt;&lt;wsp:rsid wsp:val=&quot;00DE7369&quot;/&gt;&lt;wsp:rsid wsp:val=&quot;00DE774F&quot;/&gt;&lt;wsp:rsid wsp:val=&quot;00DE7A5F&quot;/&gt;&lt;wsp:rsid wsp:val=&quot;00DE7B47&quot;/&gt;&lt;wsp:rsid wsp:val=&quot;00DE7F1E&quot;/&gt;&lt;wsp:rsid wsp:val=&quot;00DE7F28&quot;/&gt;&lt;wsp:rsid wsp:val=&quot;00DF0150&quot;/&gt;&lt;wsp:rsid wsp:val=&quot;00DF02BF&quot;/&gt;&lt;wsp:rsid wsp:val=&quot;00DF02F6&quot;/&gt;&lt;wsp:rsid wsp:val=&quot;00DF0438&quot;/&gt;&lt;wsp:rsid wsp:val=&quot;00DF049D&quot;/&gt;&lt;wsp:rsid wsp:val=&quot;00DF0596&quot;/&gt;&lt;wsp:rsid wsp:val=&quot;00DF0742&quot;/&gt;&lt;wsp:rsid wsp:val=&quot;00DF09EF&quot;/&gt;&lt;wsp:rsid wsp:val=&quot;00DF0CD0&quot;/&gt;&lt;wsp:rsid wsp:val=&quot;00DF12CA&quot;/&gt;&lt;wsp:rsid wsp:val=&quot;00DF134F&quot;/&gt;&lt;wsp:rsid wsp:val=&quot;00DF13E1&quot;/&gt;&lt;wsp:rsid wsp:val=&quot;00DF144F&quot;/&gt;&lt;wsp:rsid wsp:val=&quot;00DF14FC&quot;/&gt;&lt;wsp:rsid wsp:val=&quot;00DF172B&quot;/&gt;&lt;wsp:rsid wsp:val=&quot;00DF1740&quot;/&gt;&lt;wsp:rsid wsp:val=&quot;00DF17FF&quot;/&gt;&lt;wsp:rsid wsp:val=&quot;00DF19E3&quot;/&gt;&lt;wsp:rsid wsp:val=&quot;00DF1A99&quot;/&gt;&lt;wsp:rsid wsp:val=&quot;00DF1C6D&quot;/&gt;&lt;wsp:rsid wsp:val=&quot;00DF1F8D&quot;/&gt;&lt;wsp:rsid wsp:val=&quot;00DF22E3&quot;/&gt;&lt;wsp:rsid wsp:val=&quot;00DF22E7&quot;/&gt;&lt;wsp:rsid wsp:val=&quot;00DF2464&quot;/&gt;&lt;wsp:rsid wsp:val=&quot;00DF2582&quot;/&gt;&lt;wsp:rsid wsp:val=&quot;00DF26B4&quot;/&gt;&lt;wsp:rsid wsp:val=&quot;00DF26D9&quot;/&gt;&lt;wsp:rsid wsp:val=&quot;00DF2914&quot;/&gt;&lt;wsp:rsid wsp:val=&quot;00DF298A&quot;/&gt;&lt;wsp:rsid wsp:val=&quot;00DF2BFC&quot;/&gt;&lt;wsp:rsid wsp:val=&quot;00DF2E64&quot;/&gt;&lt;wsp:rsid wsp:val=&quot;00DF2F23&quot;/&gt;&lt;wsp:rsid wsp:val=&quot;00DF320D&quot;/&gt;&lt;wsp:rsid wsp:val=&quot;00DF36C2&quot;/&gt;&lt;wsp:rsid wsp:val=&quot;00DF3874&quot;/&gt;&lt;wsp:rsid wsp:val=&quot;00DF3934&quot;/&gt;&lt;wsp:rsid wsp:val=&quot;00DF393F&quot;/&gt;&lt;wsp:rsid wsp:val=&quot;00DF3BC8&quot;/&gt;&lt;wsp:rsid wsp:val=&quot;00DF3CC6&quot;/&gt;&lt;wsp:rsid wsp:val=&quot;00DF3F3C&quot;/&gt;&lt;wsp:rsid wsp:val=&quot;00DF4044&quot;/&gt;&lt;wsp:rsid wsp:val=&quot;00DF40B1&quot;/&gt;&lt;wsp:rsid wsp:val=&quot;00DF4207&quot;/&gt;&lt;wsp:rsid wsp:val=&quot;00DF434C&quot;/&gt;&lt;wsp:rsid wsp:val=&quot;00DF46D3&quot;/&gt;&lt;wsp:rsid wsp:val=&quot;00DF4843&quot;/&gt;&lt;wsp:rsid wsp:val=&quot;00DF4917&quot;/&gt;&lt;wsp:rsid wsp:val=&quot;00DF4B6A&quot;/&gt;&lt;wsp:rsid wsp:val=&quot;00DF4FF6&quot;/&gt;&lt;wsp:rsid wsp:val=&quot;00DF5093&quot;/&gt;&lt;wsp:rsid wsp:val=&quot;00DF5A9F&quot;/&gt;&lt;wsp:rsid wsp:val=&quot;00DF5B29&quot;/&gt;&lt;wsp:rsid wsp:val=&quot;00DF5E38&quot;/&gt;&lt;wsp:rsid wsp:val=&quot;00DF5F4C&quot;/&gt;&lt;wsp:rsid wsp:val=&quot;00DF6738&quot;/&gt;&lt;wsp:rsid wsp:val=&quot;00DF67A8&quot;/&gt;&lt;wsp:rsid wsp:val=&quot;00DF684C&quot;/&gt;&lt;wsp:rsid wsp:val=&quot;00DF6E8C&quot;/&gt;&lt;wsp:rsid wsp:val=&quot;00DF7096&quot;/&gt;&lt;wsp:rsid wsp:val=&quot;00DF7291&quot;/&gt;&lt;wsp:rsid wsp:val=&quot;00DF7641&quot;/&gt;&lt;wsp:rsid wsp:val=&quot;00DF7B7A&quot;/&gt;&lt;wsp:rsid wsp:val=&quot;00DF7BD8&quot;/&gt;&lt;wsp:rsid wsp:val=&quot;00E000FC&quot;/&gt;&lt;wsp:rsid wsp:val=&quot;00E002D4&quot;/&gt;&lt;wsp:rsid wsp:val=&quot;00E003F0&quot;/&gt;&lt;wsp:rsid wsp:val=&quot;00E004BC&quot;/&gt;&lt;wsp:rsid wsp:val=&quot;00E004E3&quot;/&gt;&lt;wsp:rsid wsp:val=&quot;00E00546&quot;/&gt;&lt;wsp:rsid wsp:val=&quot;00E00C6C&quot;/&gt;&lt;wsp:rsid wsp:val=&quot;00E00D26&quot;/&gt;&lt;wsp:rsid wsp:val=&quot;00E01057&quot;/&gt;&lt;wsp:rsid wsp:val=&quot;00E0133E&quot;/&gt;&lt;wsp:rsid wsp:val=&quot;00E01382&quot;/&gt;&lt;wsp:rsid wsp:val=&quot;00E016D0&quot;/&gt;&lt;wsp:rsid wsp:val=&quot;00E01AF0&quot;/&gt;&lt;wsp:rsid wsp:val=&quot;00E01D18&quot;/&gt;&lt;wsp:rsid wsp:val=&quot;00E01E90&quot;/&gt;&lt;wsp:rsid wsp:val=&quot;00E02092&quot;/&gt;&lt;wsp:rsid wsp:val=&quot;00E023A5&quot;/&gt;&lt;wsp:rsid wsp:val=&quot;00E0275F&quot;/&gt;&lt;wsp:rsid wsp:val=&quot;00E02763&quot;/&gt;&lt;wsp:rsid wsp:val=&quot;00E02828&quot;/&gt;&lt;wsp:rsid wsp:val=&quot;00E02835&quot;/&gt;&lt;wsp:rsid wsp:val=&quot;00E02F64&quot;/&gt;&lt;wsp:rsid wsp:val=&quot;00E0306D&quot;/&gt;&lt;wsp:rsid wsp:val=&quot;00E032CD&quot;/&gt;&lt;wsp:rsid wsp:val=&quot;00E0403B&quot;/&gt;&lt;wsp:rsid wsp:val=&quot;00E041C6&quot;/&gt;&lt;wsp:rsid wsp:val=&quot;00E045A2&quot;/&gt;&lt;wsp:rsid wsp:val=&quot;00E04E31&quot;/&gt;&lt;wsp:rsid wsp:val=&quot;00E04F6E&quot;/&gt;&lt;wsp:rsid wsp:val=&quot;00E04FB3&quot;/&gt;&lt;wsp:rsid wsp:val=&quot;00E04FD2&quot;/&gt;&lt;wsp:rsid wsp:val=&quot;00E050AF&quot;/&gt;&lt;wsp:rsid wsp:val=&quot;00E05912&quot;/&gt;&lt;wsp:rsid wsp:val=&quot;00E05985&quot;/&gt;&lt;wsp:rsid wsp:val=&quot;00E05AEB&quot;/&gt;&lt;wsp:rsid wsp:val=&quot;00E05B29&quot;/&gt;&lt;wsp:rsid wsp:val=&quot;00E05DE8&quot;/&gt;&lt;wsp:rsid wsp:val=&quot;00E05FEC&quot;/&gt;&lt;wsp:rsid wsp:val=&quot;00E064AF&quot;/&gt;&lt;wsp:rsid wsp:val=&quot;00E065E4&quot;/&gt;&lt;wsp:rsid wsp:val=&quot;00E066BF&quot;/&gt;&lt;wsp:rsid wsp:val=&quot;00E070E3&quot;/&gt;&lt;wsp:rsid wsp:val=&quot;00E07178&quot;/&gt;&lt;wsp:rsid wsp:val=&quot;00E076FC&quot;/&gt;&lt;wsp:rsid wsp:val=&quot;00E07BD7&quot;/&gt;&lt;wsp:rsid wsp:val=&quot;00E07EB7&quot;/&gt;&lt;wsp:rsid wsp:val=&quot;00E102B4&quot;/&gt;&lt;wsp:rsid wsp:val=&quot;00E1052D&quot;/&gt;&lt;wsp:rsid wsp:val=&quot;00E10782&quot;/&gt;&lt;wsp:rsid wsp:val=&quot;00E10972&quot;/&gt;&lt;wsp:rsid wsp:val=&quot;00E10BC4&quot;/&gt;&lt;wsp:rsid wsp:val=&quot;00E10D82&quot;/&gt;&lt;wsp:rsid wsp:val=&quot;00E11087&quot;/&gt;&lt;wsp:rsid wsp:val=&quot;00E11230&quot;/&gt;&lt;wsp:rsid wsp:val=&quot;00E11857&quot;/&gt;&lt;wsp:rsid wsp:val=&quot;00E12456&quot;/&gt;&lt;wsp:rsid wsp:val=&quot;00E12984&quot;/&gt;&lt;wsp:rsid wsp:val=&quot;00E12A92&quot;/&gt;&lt;wsp:rsid wsp:val=&quot;00E12EF0&quot;/&gt;&lt;wsp:rsid wsp:val=&quot;00E13137&quot;/&gt;&lt;wsp:rsid wsp:val=&quot;00E13634&quot;/&gt;&lt;wsp:rsid wsp:val=&quot;00E136D9&quot;/&gt;&lt;wsp:rsid wsp:val=&quot;00E138F6&quot;/&gt;&lt;wsp:rsid wsp:val=&quot;00E13AE0&quot;/&gt;&lt;wsp:rsid wsp:val=&quot;00E13B06&quot;/&gt;&lt;wsp:rsid wsp:val=&quot;00E13BAD&quot;/&gt;&lt;wsp:rsid wsp:val=&quot;00E1411C&quot;/&gt;&lt;wsp:rsid wsp:val=&quot;00E142E1&quot;/&gt;&lt;wsp:rsid wsp:val=&quot;00E14408&quot;/&gt;&lt;wsp:rsid wsp:val=&quot;00E1447E&quot;/&gt;&lt;wsp:rsid wsp:val=&quot;00E14834&quot;/&gt;&lt;wsp:rsid wsp:val=&quot;00E14AF7&quot;/&gt;&lt;wsp:rsid wsp:val=&quot;00E14CD6&quot;/&gt;&lt;wsp:rsid wsp:val=&quot;00E1503B&quot;/&gt;&lt;wsp:rsid wsp:val=&quot;00E150D9&quot;/&gt;&lt;wsp:rsid wsp:val=&quot;00E150DB&quot;/&gt;&lt;wsp:rsid wsp:val=&quot;00E1511D&quot;/&gt;&lt;wsp:rsid wsp:val=&quot;00E15650&quot;/&gt;&lt;wsp:rsid wsp:val=&quot;00E15808&quot;/&gt;&lt;wsp:rsid wsp:val=&quot;00E1587D&quot;/&gt;&lt;wsp:rsid wsp:val=&quot;00E15AFB&quot;/&gt;&lt;wsp:rsid wsp:val=&quot;00E15CDF&quot;/&gt;&lt;wsp:rsid wsp:val=&quot;00E15EDF&quot;/&gt;&lt;wsp:rsid wsp:val=&quot;00E161E3&quot;/&gt;&lt;wsp:rsid wsp:val=&quot;00E16229&quot;/&gt;&lt;wsp:rsid wsp:val=&quot;00E16516&quot;/&gt;&lt;wsp:rsid wsp:val=&quot;00E16823&quot;/&gt;&lt;wsp:rsid wsp:val=&quot;00E16954&quot;/&gt;&lt;wsp:rsid wsp:val=&quot;00E169FC&quot;/&gt;&lt;wsp:rsid wsp:val=&quot;00E16A1C&quot;/&gt;&lt;wsp:rsid wsp:val=&quot;00E16BC6&quot;/&gt;&lt;wsp:rsid wsp:val=&quot;00E16C47&quot;/&gt;&lt;wsp:rsid wsp:val=&quot;00E16F33&quot;/&gt;&lt;wsp:rsid wsp:val=&quot;00E173C7&quot;/&gt;&lt;wsp:rsid wsp:val=&quot;00E174AF&quot;/&gt;&lt;wsp:rsid wsp:val=&quot;00E178E7&quot;/&gt;&lt;wsp:rsid wsp:val=&quot;00E17A0D&quot;/&gt;&lt;wsp:rsid wsp:val=&quot;00E17D43&quot;/&gt;&lt;wsp:rsid wsp:val=&quot;00E17D85&quot;/&gt;&lt;wsp:rsid wsp:val=&quot;00E17FCA&quot;/&gt;&lt;wsp:rsid wsp:val=&quot;00E200EA&quot;/&gt;&lt;wsp:rsid wsp:val=&quot;00E201A7&quot;/&gt;&lt;wsp:rsid wsp:val=&quot;00E2023E&quot;/&gt;&lt;wsp:rsid wsp:val=&quot;00E2038D&quot;/&gt;&lt;wsp:rsid wsp:val=&quot;00E207F2&quot;/&gt;&lt;wsp:rsid wsp:val=&quot;00E20EE9&quot;/&gt;&lt;wsp:rsid wsp:val=&quot;00E210ED&quot;/&gt;&lt;wsp:rsid wsp:val=&quot;00E21145&quot;/&gt;&lt;wsp:rsid wsp:val=&quot;00E213F6&quot;/&gt;&lt;wsp:rsid wsp:val=&quot;00E2161B&quot;/&gt;&lt;wsp:rsid wsp:val=&quot;00E2164C&quot;/&gt;&lt;wsp:rsid wsp:val=&quot;00E21696&quot;/&gt;&lt;wsp:rsid wsp:val=&quot;00E216ED&quot;/&gt;&lt;wsp:rsid wsp:val=&quot;00E21DAE&quot;/&gt;&lt;wsp:rsid wsp:val=&quot;00E21E19&quot;/&gt;&lt;wsp:rsid wsp:val=&quot;00E21EB8&quot;/&gt;&lt;wsp:rsid wsp:val=&quot;00E220DE&quot;/&gt;&lt;wsp:rsid wsp:val=&quot;00E22114&quot;/&gt;&lt;wsp:rsid wsp:val=&quot;00E222F4&quot;/&gt;&lt;wsp:rsid wsp:val=&quot;00E2236A&quot;/&gt;&lt;wsp:rsid wsp:val=&quot;00E22B35&quot;/&gt;&lt;wsp:rsid wsp:val=&quot;00E22B39&quot;/&gt;&lt;wsp:rsid wsp:val=&quot;00E22FEC&quot;/&gt;&lt;wsp:rsid wsp:val=&quot;00E2378D&quot;/&gt;&lt;wsp:rsid wsp:val=&quot;00E23896&quot;/&gt;&lt;wsp:rsid wsp:val=&quot;00E23A20&quot;/&gt;&lt;wsp:rsid wsp:val=&quot;00E23DDB&quot;/&gt;&lt;wsp:rsid wsp:val=&quot;00E23E54&quot;/&gt;&lt;wsp:rsid wsp:val=&quot;00E23F14&quot;/&gt;&lt;wsp:rsid wsp:val=&quot;00E23FAF&quot;/&gt;&lt;wsp:rsid wsp:val=&quot;00E24006&quot;/&gt;&lt;wsp:rsid wsp:val=&quot;00E2407B&quot;/&gt;&lt;wsp:rsid wsp:val=&quot;00E240F0&quot;/&gt;&lt;wsp:rsid wsp:val=&quot;00E24309&quot;/&gt;&lt;wsp:rsid wsp:val=&quot;00E24467&quot;/&gt;&lt;wsp:rsid wsp:val=&quot;00E2449F&quot;/&gt;&lt;wsp:rsid wsp:val=&quot;00E2458E&quot;/&gt;&lt;wsp:rsid wsp:val=&quot;00E247DC&quot;/&gt;&lt;wsp:rsid wsp:val=&quot;00E24A48&quot;/&gt;&lt;wsp:rsid wsp:val=&quot;00E24D4B&quot;/&gt;&lt;wsp:rsid wsp:val=&quot;00E25572&quot;/&gt;&lt;wsp:rsid wsp:val=&quot;00E2578E&quot;/&gt;&lt;wsp:rsid wsp:val=&quot;00E259CD&quot;/&gt;&lt;wsp:rsid wsp:val=&quot;00E25C3E&quot;/&gt;&lt;wsp:rsid wsp:val=&quot;00E25FD3&quot;/&gt;&lt;wsp:rsid wsp:val=&quot;00E265E6&quot;/&gt;&lt;wsp:rsid wsp:val=&quot;00E26A6E&quot;/&gt;&lt;wsp:rsid wsp:val=&quot;00E26A96&quot;/&gt;&lt;wsp:rsid wsp:val=&quot;00E26E03&quot;/&gt;&lt;wsp:rsid wsp:val=&quot;00E26E9C&quot;/&gt;&lt;wsp:rsid wsp:val=&quot;00E270AE&quot;/&gt;&lt;wsp:rsid wsp:val=&quot;00E270C2&quot;/&gt;&lt;wsp:rsid wsp:val=&quot;00E2737D&quot;/&gt;&lt;wsp:rsid wsp:val=&quot;00E2748D&quot;/&gt;&lt;wsp:rsid wsp:val=&quot;00E2751C&quot;/&gt;&lt;wsp:rsid wsp:val=&quot;00E278D8&quot;/&gt;&lt;wsp:rsid wsp:val=&quot;00E279CB&quot;/&gt;&lt;wsp:rsid wsp:val=&quot;00E27A68&quot;/&gt;&lt;wsp:rsid wsp:val=&quot;00E27B08&quot;/&gt;&lt;wsp:rsid wsp:val=&quot;00E27B9F&quot;/&gt;&lt;wsp:rsid wsp:val=&quot;00E27BE9&quot;/&gt;&lt;wsp:rsid wsp:val=&quot;00E3023C&quot;/&gt;&lt;wsp:rsid wsp:val=&quot;00E30628&quot;/&gt;&lt;wsp:rsid wsp:val=&quot;00E30934&quot;/&gt;&lt;wsp:rsid wsp:val=&quot;00E30C4F&quot;/&gt;&lt;wsp:rsid wsp:val=&quot;00E30F09&quot;/&gt;&lt;wsp:rsid wsp:val=&quot;00E30F16&quot;/&gt;&lt;wsp:rsid wsp:val=&quot;00E31120&quot;/&gt;&lt;wsp:rsid wsp:val=&quot;00E315AB&quot;/&gt;&lt;wsp:rsid wsp:val=&quot;00E3194B&quot;/&gt;&lt;wsp:rsid wsp:val=&quot;00E31AA9&quot;/&gt;&lt;wsp:rsid wsp:val=&quot;00E31B6B&quot;/&gt;&lt;wsp:rsid wsp:val=&quot;00E320E2&quot;/&gt;&lt;wsp:rsid wsp:val=&quot;00E32CD9&quot;/&gt;&lt;wsp:rsid wsp:val=&quot;00E32D47&quot;/&gt;&lt;wsp:rsid wsp:val=&quot;00E32E37&quot;/&gt;&lt;wsp:rsid wsp:val=&quot;00E32F7F&quot;/&gt;&lt;wsp:rsid wsp:val=&quot;00E3373D&quot;/&gt;&lt;wsp:rsid wsp:val=&quot;00E33967&quot;/&gt;&lt;wsp:rsid wsp:val=&quot;00E33D89&quot;/&gt;&lt;wsp:rsid wsp:val=&quot;00E33F67&quot;/&gt;&lt;wsp:rsid wsp:val=&quot;00E33F7A&quot;/&gt;&lt;wsp:rsid wsp:val=&quot;00E340D3&quot;/&gt;&lt;wsp:rsid wsp:val=&quot;00E340E5&quot;/&gt;&lt;wsp:rsid wsp:val=&quot;00E341A8&quot;/&gt;&lt;wsp:rsid wsp:val=&quot;00E3440B&quot;/&gt;&lt;wsp:rsid wsp:val=&quot;00E34614&quot;/&gt;&lt;wsp:rsid wsp:val=&quot;00E346D1&quot;/&gt;&lt;wsp:rsid wsp:val=&quot;00E3477C&quot;/&gt;&lt;wsp:rsid wsp:val=&quot;00E34810&quot;/&gt;&lt;wsp:rsid wsp:val=&quot;00E34B7E&quot;/&gt;&lt;wsp:rsid wsp:val=&quot;00E34BD2&quot;/&gt;&lt;wsp:rsid wsp:val=&quot;00E34E3D&quot;/&gt;&lt;wsp:rsid wsp:val=&quot;00E34F49&quot;/&gt;&lt;wsp:rsid wsp:val=&quot;00E34F4F&quot;/&gt;&lt;wsp:rsid wsp:val=&quot;00E3502D&quot;/&gt;&lt;wsp:rsid wsp:val=&quot;00E354FF&quot;/&gt;&lt;wsp:rsid wsp:val=&quot;00E360A9&quot;/&gt;&lt;wsp:rsid wsp:val=&quot;00E360D3&quot;/&gt;&lt;wsp:rsid wsp:val=&quot;00E361B5&quot;/&gt;&lt;wsp:rsid wsp:val=&quot;00E3623E&quot;/&gt;&lt;wsp:rsid wsp:val=&quot;00E362E7&quot;/&gt;&lt;wsp:rsid wsp:val=&quot;00E370AA&quot;/&gt;&lt;wsp:rsid wsp:val=&quot;00E372E7&quot;/&gt;&lt;wsp:rsid wsp:val=&quot;00E37568&quot;/&gt;&lt;wsp:rsid wsp:val=&quot;00E3756E&quot;/&gt;&lt;wsp:rsid wsp:val=&quot;00E37834&quot;/&gt;&lt;wsp:rsid wsp:val=&quot;00E37D2D&quot;/&gt;&lt;wsp:rsid wsp:val=&quot;00E40504&quot;/&gt;&lt;wsp:rsid wsp:val=&quot;00E407C4&quot;/&gt;&lt;wsp:rsid wsp:val=&quot;00E407FE&quot;/&gt;&lt;wsp:rsid wsp:val=&quot;00E40EFE&quot;/&gt;&lt;wsp:rsid wsp:val=&quot;00E40F82&quot;/&gt;&lt;wsp:rsid wsp:val=&quot;00E41286&quot;/&gt;&lt;wsp:rsid wsp:val=&quot;00E415AB&quot;/&gt;&lt;wsp:rsid wsp:val=&quot;00E41E75&quot;/&gt;&lt;wsp:rsid wsp:val=&quot;00E421A4&quot;/&gt;&lt;wsp:rsid wsp:val=&quot;00E421F1&quot;/&gt;&lt;wsp:rsid wsp:val=&quot;00E4221D&quot;/&gt;&lt;wsp:rsid wsp:val=&quot;00E422EA&quot;/&gt;&lt;wsp:rsid wsp:val=&quot;00E42875&quot;/&gt;&lt;wsp:rsid wsp:val=&quot;00E42D0E&quot;/&gt;&lt;wsp:rsid wsp:val=&quot;00E42E45&quot;/&gt;&lt;wsp:rsid wsp:val=&quot;00E42FFD&quot;/&gt;&lt;wsp:rsid wsp:val=&quot;00E43124&quot;/&gt;&lt;wsp:rsid wsp:val=&quot;00E43249&quot;/&gt;&lt;wsp:rsid wsp:val=&quot;00E43308&quot;/&gt;&lt;wsp:rsid wsp:val=&quot;00E433BE&quot;/&gt;&lt;wsp:rsid wsp:val=&quot;00E438BB&quot;/&gt;&lt;wsp:rsid wsp:val=&quot;00E43A00&quot;/&gt;&lt;wsp:rsid wsp:val=&quot;00E43B21&quot;/&gt;&lt;wsp:rsid wsp:val=&quot;00E43DB6&quot;/&gt;&lt;wsp:rsid wsp:val=&quot;00E4406B&quot;/&gt;&lt;wsp:rsid wsp:val=&quot;00E44467&quot;/&gt;&lt;wsp:rsid wsp:val=&quot;00E444E7&quot;/&gt;&lt;wsp:rsid wsp:val=&quot;00E444EC&quot;/&gt;&lt;wsp:rsid wsp:val=&quot;00E445F0&quot;/&gt;&lt;wsp:rsid wsp:val=&quot;00E44860&quot;/&gt;&lt;wsp:rsid wsp:val=&quot;00E448D4&quot;/&gt;&lt;wsp:rsid wsp:val=&quot;00E4495D&quot;/&gt;&lt;wsp:rsid wsp:val=&quot;00E44993&quot;/&gt;&lt;wsp:rsid wsp:val=&quot;00E44997&quot;/&gt;&lt;wsp:rsid wsp:val=&quot;00E449AB&quot;/&gt;&lt;wsp:rsid wsp:val=&quot;00E44A05&quot;/&gt;&lt;wsp:rsid wsp:val=&quot;00E44ACB&quot;/&gt;&lt;wsp:rsid wsp:val=&quot;00E44B32&quot;/&gt;&lt;wsp:rsid wsp:val=&quot;00E44BA9&quot;/&gt;&lt;wsp:rsid wsp:val=&quot;00E4536F&quot;/&gt;&lt;wsp:rsid wsp:val=&quot;00E45462&quot;/&gt;&lt;wsp:rsid wsp:val=&quot;00E454BB&quot;/&gt;&lt;wsp:rsid wsp:val=&quot;00E459AB&quot;/&gt;&lt;wsp:rsid wsp:val=&quot;00E45B3F&quot;/&gt;&lt;wsp:rsid wsp:val=&quot;00E46060&quot;/&gt;&lt;wsp:rsid wsp:val=&quot;00E4615F&quot;/&gt;&lt;wsp:rsid wsp:val=&quot;00E464EA&quot;/&gt;&lt;wsp:rsid wsp:val=&quot;00E46553&quot;/&gt;&lt;wsp:rsid wsp:val=&quot;00E4695B&quot;/&gt;&lt;wsp:rsid wsp:val=&quot;00E46B4D&quot;/&gt;&lt;wsp:rsid wsp:val=&quot;00E46C2B&quot;/&gt;&lt;wsp:rsid wsp:val=&quot;00E477EC&quot;/&gt;&lt;wsp:rsid wsp:val=&quot;00E47871&quot;/&gt;&lt;wsp:rsid wsp:val=&quot;00E4794B&quot;/&gt;&lt;wsp:rsid wsp:val=&quot;00E4796F&quot;/&gt;&lt;wsp:rsid wsp:val=&quot;00E47A0D&quot;/&gt;&lt;wsp:rsid wsp:val=&quot;00E47F57&quot;/&gt;&lt;wsp:rsid wsp:val=&quot;00E50129&quot;/&gt;&lt;wsp:rsid wsp:val=&quot;00E5019B&quot;/&gt;&lt;wsp:rsid wsp:val=&quot;00E50D52&quot;/&gt;&lt;wsp:rsid wsp:val=&quot;00E50DF6&quot;/&gt;&lt;wsp:rsid wsp:val=&quot;00E50EDE&quot;/&gt;&lt;wsp:rsid wsp:val=&quot;00E51085&quot;/&gt;&lt;wsp:rsid wsp:val=&quot;00E512B3&quot;/&gt;&lt;wsp:rsid wsp:val=&quot;00E51372&quot;/&gt;&lt;wsp:rsid wsp:val=&quot;00E51CB6&quot;/&gt;&lt;wsp:rsid wsp:val=&quot;00E51DA8&quot;/&gt;&lt;wsp:rsid wsp:val=&quot;00E520B3&quot;/&gt;&lt;wsp:rsid wsp:val=&quot;00E5217F&quot;/&gt;&lt;wsp:rsid wsp:val=&quot;00E5219A&quot;/&gt;&lt;wsp:rsid wsp:val=&quot;00E521DE&quot;/&gt;&lt;wsp:rsid wsp:val=&quot;00E52208&quot;/&gt;&lt;wsp:rsid wsp:val=&quot;00E52296&quot;/&gt;&lt;wsp:rsid wsp:val=&quot;00E525F7&quot;/&gt;&lt;wsp:rsid wsp:val=&quot;00E52A16&quot;/&gt;&lt;wsp:rsid wsp:val=&quot;00E533AA&quot;/&gt;&lt;wsp:rsid wsp:val=&quot;00E53519&quot;/&gt;&lt;wsp:rsid wsp:val=&quot;00E53772&quot;/&gt;&lt;wsp:rsid wsp:val=&quot;00E53B27&quot;/&gt;&lt;wsp:rsid wsp:val=&quot;00E53B75&quot;/&gt;&lt;wsp:rsid wsp:val=&quot;00E53BFA&quot;/&gt;&lt;wsp:rsid wsp:val=&quot;00E53F5E&quot;/&gt;&lt;wsp:rsid wsp:val=&quot;00E54159&quot;/&gt;&lt;wsp:rsid wsp:val=&quot;00E5416E&quot;/&gt;&lt;wsp:rsid wsp:val=&quot;00E541EF&quot;/&gt;&lt;wsp:rsid wsp:val=&quot;00E54220&quot;/&gt;&lt;wsp:rsid wsp:val=&quot;00E543A0&quot;/&gt;&lt;wsp:rsid wsp:val=&quot;00E5443D&quot;/&gt;&lt;wsp:rsid wsp:val=&quot;00E544D9&quot;/&gt;&lt;wsp:rsid wsp:val=&quot;00E54604&quot;/&gt;&lt;wsp:rsid wsp:val=&quot;00E54674&quot;/&gt;&lt;wsp:rsid wsp:val=&quot;00E54BFB&quot;/&gt;&lt;wsp:rsid wsp:val=&quot;00E54C86&quot;/&gt;&lt;wsp:rsid wsp:val=&quot;00E54D64&quot;/&gt;&lt;wsp:rsid wsp:val=&quot;00E54DA4&quot;/&gt;&lt;wsp:rsid wsp:val=&quot;00E54DC2&quot;/&gt;&lt;wsp:rsid wsp:val=&quot;00E54F5C&quot;/&gt;&lt;wsp:rsid wsp:val=&quot;00E5595D&quot;/&gt;&lt;wsp:rsid wsp:val=&quot;00E55CDD&quot;/&gt;&lt;wsp:rsid wsp:val=&quot;00E56549&quot;/&gt;&lt;wsp:rsid wsp:val=&quot;00E5669C&quot;/&gt;&lt;wsp:rsid wsp:val=&quot;00E56998&quot;/&gt;&lt;wsp:rsid wsp:val=&quot;00E56A88&quot;/&gt;&lt;wsp:rsid wsp:val=&quot;00E56BE2&quot;/&gt;&lt;wsp:rsid wsp:val=&quot;00E56C0E&quot;/&gt;&lt;wsp:rsid wsp:val=&quot;00E56D50&quot;/&gt;&lt;wsp:rsid wsp:val=&quot;00E56E5D&quot;/&gt;&lt;wsp:rsid wsp:val=&quot;00E57141&quot;/&gt;&lt;wsp:rsid wsp:val=&quot;00E574B8&quot;/&gt;&lt;wsp:rsid wsp:val=&quot;00E57A74&quot;/&gt;&lt;wsp:rsid wsp:val=&quot;00E57BD5&quot;/&gt;&lt;wsp:rsid wsp:val=&quot;00E607AF&quot;/&gt;&lt;wsp:rsid wsp:val=&quot;00E60990&quot;/&gt;&lt;wsp:rsid wsp:val=&quot;00E609AB&quot;/&gt;&lt;wsp:rsid wsp:val=&quot;00E60C6B&quot;/&gt;&lt;wsp:rsid wsp:val=&quot;00E60DB4&quot;/&gt;&lt;wsp:rsid wsp:val=&quot;00E610F1&quot;/&gt;&lt;wsp:rsid wsp:val=&quot;00E6134B&quot;/&gt;&lt;wsp:rsid wsp:val=&quot;00E61733&quot;/&gt;&lt;wsp:rsid wsp:val=&quot;00E6199E&quot;/&gt;&lt;wsp:rsid wsp:val=&quot;00E61B99&quot;/&gt;&lt;wsp:rsid wsp:val=&quot;00E61C40&quot;/&gt;&lt;wsp:rsid wsp:val=&quot;00E61D25&quot;/&gt;&lt;wsp:rsid wsp:val=&quot;00E6200A&quot;/&gt;&lt;wsp:rsid wsp:val=&quot;00E6229E&quot;/&gt;&lt;wsp:rsid wsp:val=&quot;00E62435&quot;/&gt;&lt;wsp:rsid wsp:val=&quot;00E62650&quot;/&gt;&lt;wsp:rsid wsp:val=&quot;00E626CF&quot;/&gt;&lt;wsp:rsid wsp:val=&quot;00E62A16&quot;/&gt;&lt;wsp:rsid wsp:val=&quot;00E62B61&quot;/&gt;&lt;wsp:rsid wsp:val=&quot;00E62D69&quot;/&gt;&lt;wsp:rsid wsp:val=&quot;00E62DAF&quot;/&gt;&lt;wsp:rsid wsp:val=&quot;00E63107&quot;/&gt;&lt;wsp:rsid wsp:val=&quot;00E631CD&quot;/&gt;&lt;wsp:rsid wsp:val=&quot;00E6331E&quot;/&gt;&lt;wsp:rsid wsp:val=&quot;00E63569&quot;/&gt;&lt;wsp:rsid wsp:val=&quot;00E6362F&quot;/&gt;&lt;wsp:rsid wsp:val=&quot;00E63C27&quot;/&gt;&lt;wsp:rsid wsp:val=&quot;00E63F7E&quot;/&gt;&lt;wsp:rsid wsp:val=&quot;00E64142&quot;/&gt;&lt;wsp:rsid wsp:val=&quot;00E64162&quot;/&gt;&lt;wsp:rsid wsp:val=&quot;00E64757&quot;/&gt;&lt;wsp:rsid wsp:val=&quot;00E64791&quot;/&gt;&lt;wsp:rsid wsp:val=&quot;00E64B4A&quot;/&gt;&lt;wsp:rsid wsp:val=&quot;00E64D6C&quot;/&gt;&lt;wsp:rsid wsp:val=&quot;00E65035&quot;/&gt;&lt;wsp:rsid wsp:val=&quot;00E65084&quot;/&gt;&lt;wsp:rsid wsp:val=&quot;00E65348&quot;/&gt;&lt;wsp:rsid wsp:val=&quot;00E6536E&quot;/&gt;&lt;wsp:rsid wsp:val=&quot;00E6591D&quot;/&gt;&lt;wsp:rsid wsp:val=&quot;00E66107&quot;/&gt;&lt;wsp:rsid wsp:val=&quot;00E665EB&quot;/&gt;&lt;wsp:rsid wsp:val=&quot;00E66642&quot;/&gt;&lt;wsp:rsid wsp:val=&quot;00E66AA0&quot;/&gt;&lt;wsp:rsid wsp:val=&quot;00E66ADC&quot;/&gt;&lt;wsp:rsid wsp:val=&quot;00E66B6B&quot;/&gt;&lt;wsp:rsid wsp:val=&quot;00E66EB2&quot;/&gt;&lt;wsp:rsid wsp:val=&quot;00E66F14&quot;/&gt;&lt;wsp:rsid wsp:val=&quot;00E66FCC&quot;/&gt;&lt;wsp:rsid wsp:val=&quot;00E67066&quot;/&gt;&lt;wsp:rsid wsp:val=&quot;00E672C5&quot;/&gt;&lt;wsp:rsid wsp:val=&quot;00E677EC&quot;/&gt;&lt;wsp:rsid wsp:val=&quot;00E67B38&quot;/&gt;&lt;wsp:rsid wsp:val=&quot;00E67B47&quot;/&gt;&lt;wsp:rsid wsp:val=&quot;00E70041&quot;/&gt;&lt;wsp:rsid wsp:val=&quot;00E703C4&quot;/&gt;&lt;wsp:rsid wsp:val=&quot;00E706D1&quot;/&gt;&lt;wsp:rsid wsp:val=&quot;00E7080C&quot;/&gt;&lt;wsp:rsid wsp:val=&quot;00E7090E&quot;/&gt;&lt;wsp:rsid wsp:val=&quot;00E70D2E&quot;/&gt;&lt;wsp:rsid wsp:val=&quot;00E70DA7&quot;/&gt;&lt;wsp:rsid wsp:val=&quot;00E70E01&quot;/&gt;&lt;wsp:rsid wsp:val=&quot;00E70F04&quot;/&gt;&lt;wsp:rsid wsp:val=&quot;00E7134B&quot;/&gt;&lt;wsp:rsid wsp:val=&quot;00E7159C&quot;/&gt;&lt;wsp:rsid wsp:val=&quot;00E71723&quot;/&gt;&lt;wsp:rsid wsp:val=&quot;00E718FB&quot;/&gt;&lt;wsp:rsid wsp:val=&quot;00E71E50&quot;/&gt;&lt;wsp:rsid wsp:val=&quot;00E71F0C&quot;/&gt;&lt;wsp:rsid wsp:val=&quot;00E72081&quot;/&gt;&lt;wsp:rsid wsp:val=&quot;00E72153&quot;/&gt;&lt;wsp:rsid wsp:val=&quot;00E7240F&quot;/&gt;&lt;wsp:rsid wsp:val=&quot;00E72486&quot;/&gt;&lt;wsp:rsid wsp:val=&quot;00E72676&quot;/&gt;&lt;wsp:rsid wsp:val=&quot;00E72A2B&quot;/&gt;&lt;wsp:rsid wsp:val=&quot;00E72A32&quot;/&gt;&lt;wsp:rsid wsp:val=&quot;00E72FD5&quot;/&gt;&lt;wsp:rsid wsp:val=&quot;00E72FF1&quot;/&gt;&lt;wsp:rsid wsp:val=&quot;00E730DE&quot;/&gt;&lt;wsp:rsid wsp:val=&quot;00E73304&quot;/&gt;&lt;wsp:rsid wsp:val=&quot;00E73445&quot;/&gt;&lt;wsp:rsid wsp:val=&quot;00E73449&quot;/&gt;&lt;wsp:rsid wsp:val=&quot;00E7344B&quot;/&gt;&lt;wsp:rsid wsp:val=&quot;00E73994&quot;/&gt;&lt;wsp:rsid wsp:val=&quot;00E73B86&quot;/&gt;&lt;wsp:rsid wsp:val=&quot;00E73C44&quot;/&gt;&lt;wsp:rsid wsp:val=&quot;00E74073&quot;/&gt;&lt;wsp:rsid wsp:val=&quot;00E74345&quot;/&gt;&lt;wsp:rsid wsp:val=&quot;00E746B1&quot;/&gt;&lt;wsp:rsid wsp:val=&quot;00E7482E&quot;/&gt;&lt;wsp:rsid wsp:val=&quot;00E7499E&quot;/&gt;&lt;wsp:rsid wsp:val=&quot;00E74BAE&quot;/&gt;&lt;wsp:rsid wsp:val=&quot;00E74BC6&quot;/&gt;&lt;wsp:rsid wsp:val=&quot;00E75070&quot;/&gt;&lt;wsp:rsid wsp:val=&quot;00E75AB5&quot;/&gt;&lt;wsp:rsid wsp:val=&quot;00E75BC3&quot;/&gt;&lt;wsp:rsid wsp:val=&quot;00E75C03&quot;/&gt;&lt;wsp:rsid wsp:val=&quot;00E75DD1&quot;/&gt;&lt;wsp:rsid wsp:val=&quot;00E75E3C&quot;/&gt;&lt;wsp:rsid wsp:val=&quot;00E76200&quot;/&gt;&lt;wsp:rsid wsp:val=&quot;00E7667C&quot;/&gt;&lt;wsp:rsid wsp:val=&quot;00E7684A&quot;/&gt;&lt;wsp:rsid wsp:val=&quot;00E76AE4&quot;/&gt;&lt;wsp:rsid wsp:val=&quot;00E76C2B&quot;/&gt;&lt;wsp:rsid wsp:val=&quot;00E76D9E&quot;/&gt;&lt;wsp:rsid wsp:val=&quot;00E770C5&quot;/&gt;&lt;wsp:rsid wsp:val=&quot;00E77148&quot;/&gt;&lt;wsp:rsid wsp:val=&quot;00E772B6&quot;/&gt;&lt;wsp:rsid wsp:val=&quot;00E775EB&quot;/&gt;&lt;wsp:rsid wsp:val=&quot;00E77609&quot;/&gt;&lt;wsp:rsid wsp:val=&quot;00E777A8&quot;/&gt;&lt;wsp:rsid wsp:val=&quot;00E777E7&quot;/&gt;&lt;wsp:rsid wsp:val=&quot;00E779CD&quot;/&gt;&lt;wsp:rsid wsp:val=&quot;00E77D4D&quot;/&gt;&lt;wsp:rsid wsp:val=&quot;00E77DFB&quot;/&gt;&lt;wsp:rsid wsp:val=&quot;00E8012A&quot;/&gt;&lt;wsp:rsid wsp:val=&quot;00E80206&quot;/&gt;&lt;wsp:rsid wsp:val=&quot;00E80338&quot;/&gt;&lt;wsp:rsid wsp:val=&quot;00E80633&quot;/&gt;&lt;wsp:rsid wsp:val=&quot;00E80DBE&quot;/&gt;&lt;wsp:rsid wsp:val=&quot;00E81061&quot;/&gt;&lt;wsp:rsid wsp:val=&quot;00E81424&quot;/&gt;&lt;wsp:rsid wsp:val=&quot;00E819E7&quot;/&gt;&lt;wsp:rsid wsp:val=&quot;00E81B49&quot;/&gt;&lt;wsp:rsid wsp:val=&quot;00E81DAB&quot;/&gt;&lt;wsp:rsid wsp:val=&quot;00E82318&quot;/&gt;&lt;wsp:rsid wsp:val=&quot;00E82726&quot;/&gt;&lt;wsp:rsid wsp:val=&quot;00E828C8&quot;/&gt;&lt;wsp:rsid wsp:val=&quot;00E82D91&quot;/&gt;&lt;wsp:rsid wsp:val=&quot;00E82F25&quot;/&gt;&lt;wsp:rsid wsp:val=&quot;00E82FCD&quot;/&gt;&lt;wsp:rsid wsp:val=&quot;00E832F7&quot;/&gt;&lt;wsp:rsid wsp:val=&quot;00E83390&quot;/&gt;&lt;wsp:rsid wsp:val=&quot;00E83417&quot;/&gt;&lt;wsp:rsid wsp:val=&quot;00E83697&quot;/&gt;&lt;wsp:rsid wsp:val=&quot;00E83702&quot;/&gt;&lt;wsp:rsid wsp:val=&quot;00E8377D&quot;/&gt;&lt;wsp:rsid wsp:val=&quot;00E837D7&quot;/&gt;&lt;wsp:rsid wsp:val=&quot;00E83A29&quot;/&gt;&lt;wsp:rsid wsp:val=&quot;00E83D33&quot;/&gt;&lt;wsp:rsid wsp:val=&quot;00E83D5C&quot;/&gt;&lt;wsp:rsid wsp:val=&quot;00E83EBE&quot;/&gt;&lt;wsp:rsid wsp:val=&quot;00E84291&quot;/&gt;&lt;wsp:rsid wsp:val=&quot;00E8429F&quot;/&gt;&lt;wsp:rsid wsp:val=&quot;00E84629&quot;/&gt;&lt;wsp:rsid wsp:val=&quot;00E846DC&quot;/&gt;&lt;wsp:rsid wsp:val=&quot;00E8472F&quot;/&gt;&lt;wsp:rsid wsp:val=&quot;00E847EA&quot;/&gt;&lt;wsp:rsid wsp:val=&quot;00E84858&quot;/&gt;&lt;wsp:rsid wsp:val=&quot;00E8486A&quot;/&gt;&lt;wsp:rsid wsp:val=&quot;00E852D1&quot;/&gt;&lt;wsp:rsid wsp:val=&quot;00E85B51&quot;/&gt;&lt;wsp:rsid wsp:val=&quot;00E85C60&quot;/&gt;&lt;wsp:rsid wsp:val=&quot;00E8605B&quot;/&gt;&lt;wsp:rsid wsp:val=&quot;00E8665A&quot;/&gt;&lt;wsp:rsid wsp:val=&quot;00E8666A&quot;/&gt;&lt;wsp:rsid wsp:val=&quot;00E8679B&quot;/&gt;&lt;wsp:rsid wsp:val=&quot;00E86AF3&quot;/&gt;&lt;wsp:rsid wsp:val=&quot;00E86DF1&quot;/&gt;&lt;wsp:rsid wsp:val=&quot;00E86F41&quot;/&gt;&lt;wsp:rsid wsp:val=&quot;00E87198&quot;/&gt;&lt;wsp:rsid wsp:val=&quot;00E87964&quot;/&gt;&lt;wsp:rsid wsp:val=&quot;00E87B7E&quot;/&gt;&lt;wsp:rsid wsp:val=&quot;00E87F01&quot;/&gt;&lt;wsp:rsid wsp:val=&quot;00E9069D&quot;/&gt;&lt;wsp:rsid wsp:val=&quot;00E9085B&quot;/&gt;&lt;wsp:rsid wsp:val=&quot;00E90E61&quot;/&gt;&lt;wsp:rsid wsp:val=&quot;00E90E7E&quot;/&gt;&lt;wsp:rsid wsp:val=&quot;00E90E96&quot;/&gt;&lt;wsp:rsid wsp:val=&quot;00E90F88&quot;/&gt;&lt;wsp:rsid wsp:val=&quot;00E91593&quot;/&gt;&lt;wsp:rsid wsp:val=&quot;00E91C6F&quot;/&gt;&lt;wsp:rsid wsp:val=&quot;00E91CB9&quot;/&gt;&lt;wsp:rsid wsp:val=&quot;00E91D7C&quot;/&gt;&lt;wsp:rsid wsp:val=&quot;00E91E40&quot;/&gt;&lt;wsp:rsid wsp:val=&quot;00E920FE&quot;/&gt;&lt;wsp:rsid wsp:val=&quot;00E92936&quot;/&gt;&lt;wsp:rsid wsp:val=&quot;00E92A5B&quot;/&gt;&lt;wsp:rsid wsp:val=&quot;00E92A8D&quot;/&gt;&lt;wsp:rsid wsp:val=&quot;00E92AB5&quot;/&gt;&lt;wsp:rsid wsp:val=&quot;00E92C75&quot;/&gt;&lt;wsp:rsid wsp:val=&quot;00E92F20&quot;/&gt;&lt;wsp:rsid wsp:val=&quot;00E931DC&quot;/&gt;&lt;wsp:rsid wsp:val=&quot;00E93323&quot;/&gt;&lt;wsp:rsid wsp:val=&quot;00E93394&quot;/&gt;&lt;wsp:rsid wsp:val=&quot;00E93495&quot;/&gt;&lt;wsp:rsid wsp:val=&quot;00E93543&quot;/&gt;&lt;wsp:rsid wsp:val=&quot;00E9358E&quot;/&gt;&lt;wsp:rsid wsp:val=&quot;00E93B98&quot;/&gt;&lt;wsp:rsid wsp:val=&quot;00E93CEA&quot;/&gt;&lt;wsp:rsid wsp:val=&quot;00E93D62&quot;/&gt;&lt;wsp:rsid wsp:val=&quot;00E93F08&quot;/&gt;&lt;wsp:rsid wsp:val=&quot;00E941CA&quot;/&gt;&lt;wsp:rsid wsp:val=&quot;00E948E5&quot;/&gt;&lt;wsp:rsid wsp:val=&quot;00E9495A&quot;/&gt;&lt;wsp:rsid wsp:val=&quot;00E94A0C&quot;/&gt;&lt;wsp:rsid wsp:val=&quot;00E94C20&quot;/&gt;&lt;wsp:rsid wsp:val=&quot;00E94C5B&quot;/&gt;&lt;wsp:rsid wsp:val=&quot;00E94DC2&quot;/&gt;&lt;wsp:rsid wsp:val=&quot;00E952FF&quot;/&gt;&lt;wsp:rsid wsp:val=&quot;00E955D1&quot;/&gt;&lt;wsp:rsid wsp:val=&quot;00E95A7C&quot;/&gt;&lt;wsp:rsid wsp:val=&quot;00E95B22&quot;/&gt;&lt;wsp:rsid wsp:val=&quot;00E95C94&quot;/&gt;&lt;wsp:rsid wsp:val=&quot;00E95D3F&quot;/&gt;&lt;wsp:rsid wsp:val=&quot;00E95DAC&quot;/&gt;&lt;wsp:rsid wsp:val=&quot;00E95F4C&quot;/&gt;&lt;wsp:rsid wsp:val=&quot;00E9602E&quot;/&gt;&lt;wsp:rsid wsp:val=&quot;00E96508&quot;/&gt;&lt;wsp:rsid wsp:val=&quot;00E9650B&quot;/&gt;&lt;wsp:rsid wsp:val=&quot;00E96692&quot;/&gt;&lt;wsp:rsid wsp:val=&quot;00E968E7&quot;/&gt;&lt;wsp:rsid wsp:val=&quot;00E96D6A&quot;/&gt;&lt;wsp:rsid wsp:val=&quot;00E96F77&quot;/&gt;&lt;wsp:rsid wsp:val=&quot;00E97187&quot;/&gt;&lt;wsp:rsid wsp:val=&quot;00E97271&quot;/&gt;&lt;wsp:rsid wsp:val=&quot;00E973ED&quot;/&gt;&lt;wsp:rsid wsp:val=&quot;00E97408&quot;/&gt;&lt;wsp:rsid wsp:val=&quot;00E97543&quot;/&gt;&lt;wsp:rsid wsp:val=&quot;00E9764F&quot;/&gt;&lt;wsp:rsid wsp:val=&quot;00E97675&quot;/&gt;&lt;wsp:rsid wsp:val=&quot;00E97817&quot;/&gt;&lt;wsp:rsid wsp:val=&quot;00E97A01&quot;/&gt;&lt;wsp:rsid wsp:val=&quot;00E97BC3&quot;/&gt;&lt;wsp:rsid wsp:val=&quot;00E97BCA&quot;/&gt;&lt;wsp:rsid wsp:val=&quot;00E97CB4&quot;/&gt;&lt;wsp:rsid wsp:val=&quot;00EA041C&quot;/&gt;&lt;wsp:rsid wsp:val=&quot;00EA046C&quot;/&gt;&lt;wsp:rsid wsp:val=&quot;00EA0728&quot;/&gt;&lt;wsp:rsid wsp:val=&quot;00EA0990&quot;/&gt;&lt;wsp:rsid wsp:val=&quot;00EA0C85&quot;/&gt;&lt;wsp:rsid wsp:val=&quot;00EA11B2&quot;/&gt;&lt;wsp:rsid wsp:val=&quot;00EA15E8&quot;/&gt;&lt;wsp:rsid wsp:val=&quot;00EA1AA7&quot;/&gt;&lt;wsp:rsid wsp:val=&quot;00EA1E31&quot;/&gt;&lt;wsp:rsid wsp:val=&quot;00EA1EB8&quot;/&gt;&lt;wsp:rsid wsp:val=&quot;00EA2032&quot;/&gt;&lt;wsp:rsid wsp:val=&quot;00EA25B0&quot;/&gt;&lt;wsp:rsid wsp:val=&quot;00EA2CAB&quot;/&gt;&lt;wsp:rsid wsp:val=&quot;00EA2E2E&quot;/&gt;&lt;wsp:rsid wsp:val=&quot;00EA2E39&quot;/&gt;&lt;wsp:rsid wsp:val=&quot;00EA30F0&quot;/&gt;&lt;wsp:rsid wsp:val=&quot;00EA38B3&quot;/&gt;&lt;wsp:rsid wsp:val=&quot;00EA3AB3&quot;/&gt;&lt;wsp:rsid wsp:val=&quot;00EA3CCE&quot;/&gt;&lt;wsp:rsid wsp:val=&quot;00EA3D7B&quot;/&gt;&lt;wsp:rsid wsp:val=&quot;00EA3E63&quot;/&gt;&lt;wsp:rsid wsp:val=&quot;00EA3F58&quot;/&gt;&lt;wsp:rsid wsp:val=&quot;00EA421C&quot;/&gt;&lt;wsp:rsid wsp:val=&quot;00EA421E&quot;/&gt;&lt;wsp:rsid wsp:val=&quot;00EA4271&quot;/&gt;&lt;wsp:rsid wsp:val=&quot;00EA42B2&quot;/&gt;&lt;wsp:rsid wsp:val=&quot;00EA4361&quot;/&gt;&lt;wsp:rsid wsp:val=&quot;00EA4984&quot;/&gt;&lt;wsp:rsid wsp:val=&quot;00EA4F87&quot;/&gt;&lt;wsp:rsid wsp:val=&quot;00EA5418&quot;/&gt;&lt;wsp:rsid wsp:val=&quot;00EA5558&quot;/&gt;&lt;wsp:rsid wsp:val=&quot;00EA55B6&quot;/&gt;&lt;wsp:rsid wsp:val=&quot;00EA5700&quot;/&gt;&lt;wsp:rsid wsp:val=&quot;00EA5CFE&quot;/&gt;&lt;wsp:rsid wsp:val=&quot;00EA5F53&quot;/&gt;&lt;wsp:rsid wsp:val=&quot;00EA6195&quot;/&gt;&lt;wsp:rsid wsp:val=&quot;00EA63B2&quot;/&gt;&lt;wsp:rsid wsp:val=&quot;00EA678F&quot;/&gt;&lt;wsp:rsid wsp:val=&quot;00EA67BB&quot;/&gt;&lt;wsp:rsid wsp:val=&quot;00EA6A4D&quot;/&gt;&lt;wsp:rsid wsp:val=&quot;00EA6B36&quot;/&gt;&lt;wsp:rsid wsp:val=&quot;00EA6C9D&quot;/&gt;&lt;wsp:rsid wsp:val=&quot;00EA6DDF&quot;/&gt;&lt;wsp:rsid wsp:val=&quot;00EA6FC9&quot;/&gt;&lt;wsp:rsid wsp:val=&quot;00EA6FDA&quot;/&gt;&lt;wsp:rsid wsp:val=&quot;00EA71A6&quot;/&gt;&lt;wsp:rsid wsp:val=&quot;00EA74F8&quot;/&gt;&lt;wsp:rsid wsp:val=&quot;00EA7592&quot;/&gt;&lt;wsp:rsid wsp:val=&quot;00EA7766&quot;/&gt;&lt;wsp:rsid wsp:val=&quot;00EA77AD&quot;/&gt;&lt;wsp:rsid wsp:val=&quot;00EA79A6&quot;/&gt;&lt;wsp:rsid wsp:val=&quot;00EA7EBE&quot;/&gt;&lt;wsp:rsid wsp:val=&quot;00EB0483&quot;/&gt;&lt;wsp:rsid wsp:val=&quot;00EB0B43&quot;/&gt;&lt;wsp:rsid wsp:val=&quot;00EB0F49&quot;/&gt;&lt;wsp:rsid wsp:val=&quot;00EB0FA1&quot;/&gt;&lt;wsp:rsid wsp:val=&quot;00EB105F&quot;/&gt;&lt;wsp:rsid wsp:val=&quot;00EB10E7&quot;/&gt;&lt;wsp:rsid wsp:val=&quot;00EB11D2&quot;/&gt;&lt;wsp:rsid wsp:val=&quot;00EB148D&quot;/&gt;&lt;wsp:rsid wsp:val=&quot;00EB14E0&quot;/&gt;&lt;wsp:rsid wsp:val=&quot;00EB17CE&quot;/&gt;&lt;wsp:rsid wsp:val=&quot;00EB1A0F&quot;/&gt;&lt;wsp:rsid wsp:val=&quot;00EB1A13&quot;/&gt;&lt;wsp:rsid wsp:val=&quot;00EB1CD4&quot;/&gt;&lt;wsp:rsid wsp:val=&quot;00EB1D38&quot;/&gt;&lt;wsp:rsid wsp:val=&quot;00EB1EA3&quot;/&gt;&lt;wsp:rsid wsp:val=&quot;00EB1EAE&quot;/&gt;&lt;wsp:rsid wsp:val=&quot;00EB2179&quot;/&gt;&lt;wsp:rsid wsp:val=&quot;00EB22ED&quot;/&gt;&lt;wsp:rsid wsp:val=&quot;00EB2589&quot;/&gt;&lt;wsp:rsid wsp:val=&quot;00EB26C7&quot;/&gt;&lt;wsp:rsid wsp:val=&quot;00EB274F&quot;/&gt;&lt;wsp:rsid wsp:val=&quot;00EB29D7&quot;/&gt;&lt;wsp:rsid wsp:val=&quot;00EB29F5&quot;/&gt;&lt;wsp:rsid wsp:val=&quot;00EB2C76&quot;/&gt;&lt;wsp:rsid wsp:val=&quot;00EB2E86&quot;/&gt;&lt;wsp:rsid wsp:val=&quot;00EB2F02&quot;/&gt;&lt;wsp:rsid wsp:val=&quot;00EB2F58&quot;/&gt;&lt;wsp:rsid wsp:val=&quot;00EB303E&quot;/&gt;&lt;wsp:rsid wsp:val=&quot;00EB31D9&quot;/&gt;&lt;wsp:rsid wsp:val=&quot;00EB3237&quot;/&gt;&lt;wsp:rsid wsp:val=&quot;00EB323B&quot;/&gt;&lt;wsp:rsid wsp:val=&quot;00EB350F&quot;/&gt;&lt;wsp:rsid wsp:val=&quot;00EB3652&quot;/&gt;&lt;wsp:rsid wsp:val=&quot;00EB3788&quot;/&gt;&lt;wsp:rsid wsp:val=&quot;00EB38AF&quot;/&gt;&lt;wsp:rsid wsp:val=&quot;00EB3AC2&quot;/&gt;&lt;wsp:rsid wsp:val=&quot;00EB40FA&quot;/&gt;&lt;wsp:rsid wsp:val=&quot;00EB49D2&quot;/&gt;&lt;wsp:rsid wsp:val=&quot;00EB4CBB&quot;/&gt;&lt;wsp:rsid wsp:val=&quot;00EB4FD6&quot;/&gt;&lt;wsp:rsid wsp:val=&quot;00EB5308&quot;/&gt;&lt;wsp:rsid wsp:val=&quot;00EB5574&quot;/&gt;&lt;wsp:rsid wsp:val=&quot;00EB5952&quot;/&gt;&lt;wsp:rsid wsp:val=&quot;00EB5E97&quot;/&gt;&lt;wsp:rsid wsp:val=&quot;00EB5F41&quot;/&gt;&lt;wsp:rsid wsp:val=&quot;00EB61B5&quot;/&gt;&lt;wsp:rsid wsp:val=&quot;00EB695C&quot;/&gt;&lt;wsp:rsid wsp:val=&quot;00EB6B58&quot;/&gt;&lt;wsp:rsid wsp:val=&quot;00EB6C6B&quot;/&gt;&lt;wsp:rsid wsp:val=&quot;00EB7014&quot;/&gt;&lt;wsp:rsid wsp:val=&quot;00EB75CC&quot;/&gt;&lt;wsp:rsid wsp:val=&quot;00EB7C86&quot;/&gt;&lt;wsp:rsid wsp:val=&quot;00EB7D2C&quot;/&gt;&lt;wsp:rsid wsp:val=&quot;00EB7F86&quot;/&gt;&lt;wsp:rsid wsp:val=&quot;00EC02EE&quot;/&gt;&lt;wsp:rsid wsp:val=&quot;00EC071A&quot;/&gt;&lt;wsp:rsid wsp:val=&quot;00EC0732&quot;/&gt;&lt;wsp:rsid wsp:val=&quot;00EC091F&quot;/&gt;&lt;wsp:rsid wsp:val=&quot;00EC09F8&quot;/&gt;&lt;wsp:rsid wsp:val=&quot;00EC0A6E&quot;/&gt;&lt;wsp:rsid wsp:val=&quot;00EC0B71&quot;/&gt;&lt;wsp:rsid wsp:val=&quot;00EC0F0C&quot;/&gt;&lt;wsp:rsid wsp:val=&quot;00EC0FDA&quot;/&gt;&lt;wsp:rsid wsp:val=&quot;00EC101B&quot;/&gt;&lt;wsp:rsid wsp:val=&quot;00EC1047&quot;/&gt;&lt;wsp:rsid wsp:val=&quot;00EC143A&quot;/&gt;&lt;wsp:rsid wsp:val=&quot;00EC14DD&quot;/&gt;&lt;wsp:rsid wsp:val=&quot;00EC1756&quot;/&gt;&lt;wsp:rsid wsp:val=&quot;00EC17AD&quot;/&gt;&lt;wsp:rsid wsp:val=&quot;00EC18CA&quot;/&gt;&lt;wsp:rsid wsp:val=&quot;00EC1D96&quot;/&gt;&lt;wsp:rsid wsp:val=&quot;00EC200A&quot;/&gt;&lt;wsp:rsid wsp:val=&quot;00EC24B6&quot;/&gt;&lt;wsp:rsid wsp:val=&quot;00EC258A&quot;/&gt;&lt;wsp:rsid wsp:val=&quot;00EC2E68&quot;/&gt;&lt;wsp:rsid wsp:val=&quot;00EC30D2&quot;/&gt;&lt;wsp:rsid wsp:val=&quot;00EC3137&quot;/&gt;&lt;wsp:rsid wsp:val=&quot;00EC3281&quot;/&gt;&lt;wsp:rsid wsp:val=&quot;00EC3534&quot;/&gt;&lt;wsp:rsid wsp:val=&quot;00EC35E6&quot;/&gt;&lt;wsp:rsid wsp:val=&quot;00EC37A9&quot;/&gt;&lt;wsp:rsid wsp:val=&quot;00EC3917&quot;/&gt;&lt;wsp:rsid wsp:val=&quot;00EC3C86&quot;/&gt;&lt;wsp:rsid wsp:val=&quot;00EC3CDB&quot;/&gt;&lt;wsp:rsid wsp:val=&quot;00EC3E3A&quot;/&gt;&lt;wsp:rsid wsp:val=&quot;00EC3ED8&quot;/&gt;&lt;wsp:rsid wsp:val=&quot;00EC406A&quot;/&gt;&lt;wsp:rsid wsp:val=&quot;00EC41C0&quot;/&gt;&lt;wsp:rsid wsp:val=&quot;00EC4630&quot;/&gt;&lt;wsp:rsid wsp:val=&quot;00EC488F&quot;/&gt;&lt;wsp:rsid wsp:val=&quot;00EC4948&quot;/&gt;&lt;wsp:rsid wsp:val=&quot;00EC4D11&quot;/&gt;&lt;wsp:rsid wsp:val=&quot;00EC4E0A&quot;/&gt;&lt;wsp:rsid wsp:val=&quot;00EC4FCC&quot;/&gt;&lt;wsp:rsid wsp:val=&quot;00EC526C&quot;/&gt;&lt;wsp:rsid wsp:val=&quot;00EC5340&quot;/&gt;&lt;wsp:rsid wsp:val=&quot;00EC552C&quot;/&gt;&lt;wsp:rsid wsp:val=&quot;00EC5AF0&quot;/&gt;&lt;wsp:rsid wsp:val=&quot;00EC5CCD&quot;/&gt;&lt;wsp:rsid wsp:val=&quot;00EC620C&quot;/&gt;&lt;wsp:rsid wsp:val=&quot;00EC622D&quot;/&gt;&lt;wsp:rsid wsp:val=&quot;00EC64E5&quot;/&gt;&lt;wsp:rsid wsp:val=&quot;00EC65A3&quot;/&gt;&lt;wsp:rsid wsp:val=&quot;00EC67A3&quot;/&gt;&lt;wsp:rsid wsp:val=&quot;00EC6CE1&quot;/&gt;&lt;wsp:rsid wsp:val=&quot;00EC6EA9&quot;/&gt;&lt;wsp:rsid wsp:val=&quot;00EC79E7&quot;/&gt;&lt;wsp:rsid wsp:val=&quot;00EC7D0E&quot;/&gt;&lt;wsp:rsid wsp:val=&quot;00EC7D87&quot;/&gt;&lt;wsp:rsid wsp:val=&quot;00ED0029&quot;/&gt;&lt;wsp:rsid wsp:val=&quot;00ED066B&quot;/&gt;&lt;wsp:rsid wsp:val=&quot;00ED0719&quot;/&gt;&lt;wsp:rsid wsp:val=&quot;00ED0794&quot;/&gt;&lt;wsp:rsid wsp:val=&quot;00ED0AFD&quot;/&gt;&lt;wsp:rsid wsp:val=&quot;00ED0B6C&quot;/&gt;&lt;wsp:rsid wsp:val=&quot;00ED0CD1&quot;/&gt;&lt;wsp:rsid wsp:val=&quot;00ED0DDD&quot;/&gt;&lt;wsp:rsid wsp:val=&quot;00ED0F55&quot;/&gt;&lt;wsp:rsid wsp:val=&quot;00ED0F5F&quot;/&gt;&lt;wsp:rsid wsp:val=&quot;00ED1143&quot;/&gt;&lt;wsp:rsid wsp:val=&quot;00ED1564&quot;/&gt;&lt;wsp:rsid wsp:val=&quot;00ED15AC&quot;/&gt;&lt;wsp:rsid wsp:val=&quot;00ED1AE0&quot;/&gt;&lt;wsp:rsid wsp:val=&quot;00ED1DF6&quot;/&gt;&lt;wsp:rsid wsp:val=&quot;00ED1F02&quot;/&gt;&lt;wsp:rsid wsp:val=&quot;00ED2134&quot;/&gt;&lt;wsp:rsid wsp:val=&quot;00ED2159&quot;/&gt;&lt;wsp:rsid wsp:val=&quot;00ED2298&quot;/&gt;&lt;wsp:rsid wsp:val=&quot;00ED231B&quot;/&gt;&lt;wsp:rsid wsp:val=&quot;00ED25FC&quot;/&gt;&lt;wsp:rsid wsp:val=&quot;00ED2B29&quot;/&gt;&lt;wsp:rsid wsp:val=&quot;00ED2C74&quot;/&gt;&lt;wsp:rsid wsp:val=&quot;00ED2E32&quot;/&gt;&lt;wsp:rsid wsp:val=&quot;00ED2E52&quot;/&gt;&lt;wsp:rsid wsp:val=&quot;00ED3364&quot;/&gt;&lt;wsp:rsid wsp:val=&quot;00ED3396&quot;/&gt;&lt;wsp:rsid wsp:val=&quot;00ED3797&quot;/&gt;&lt;wsp:rsid wsp:val=&quot;00ED3B48&quot;/&gt;&lt;wsp:rsid wsp:val=&quot;00ED3B6A&quot;/&gt;&lt;wsp:rsid wsp:val=&quot;00ED3DEA&quot;/&gt;&lt;wsp:rsid wsp:val=&quot;00ED3EB7&quot;/&gt;&lt;wsp:rsid wsp:val=&quot;00ED3FEF&quot;/&gt;&lt;wsp:rsid wsp:val=&quot;00ED43FA&quot;/&gt;&lt;wsp:rsid wsp:val=&quot;00ED4533&quot;/&gt;&lt;wsp:rsid wsp:val=&quot;00ED47C1&quot;/&gt;&lt;wsp:rsid wsp:val=&quot;00ED4DC9&quot;/&gt;&lt;wsp:rsid wsp:val=&quot;00ED4E13&quot;/&gt;&lt;wsp:rsid wsp:val=&quot;00ED4F08&quot;/&gt;&lt;wsp:rsid wsp:val=&quot;00ED51BE&quot;/&gt;&lt;wsp:rsid wsp:val=&quot;00ED52CA&quot;/&gt;&lt;wsp:rsid wsp:val=&quot;00ED579A&quot;/&gt;&lt;wsp:rsid wsp:val=&quot;00ED5A99&quot;/&gt;&lt;wsp:rsid wsp:val=&quot;00ED5AE3&quot;/&gt;&lt;wsp:rsid wsp:val=&quot;00ED5BB9&quot;/&gt;&lt;wsp:rsid wsp:val=&quot;00ED5C3D&quot;/&gt;&lt;wsp:rsid wsp:val=&quot;00ED5EED&quot;/&gt;&lt;wsp:rsid wsp:val=&quot;00ED61F5&quot;/&gt;&lt;wsp:rsid wsp:val=&quot;00ED67B4&quot;/&gt;&lt;wsp:rsid wsp:val=&quot;00ED6891&quot;/&gt;&lt;wsp:rsid wsp:val=&quot;00ED6C1C&quot;/&gt;&lt;wsp:rsid wsp:val=&quot;00ED6CFC&quot;/&gt;&lt;wsp:rsid wsp:val=&quot;00ED6D05&quot;/&gt;&lt;wsp:rsid wsp:val=&quot;00ED6E4B&quot;/&gt;&lt;wsp:rsid wsp:val=&quot;00ED6E63&quot;/&gt;&lt;wsp:rsid wsp:val=&quot;00ED6F1F&quot;/&gt;&lt;wsp:rsid wsp:val=&quot;00ED7081&quot;/&gt;&lt;wsp:rsid wsp:val=&quot;00ED72EA&quot;/&gt;&lt;wsp:rsid wsp:val=&quot;00ED7429&quot;/&gt;&lt;wsp:rsid wsp:val=&quot;00ED746C&quot;/&gt;&lt;wsp:rsid wsp:val=&quot;00ED752E&quot;/&gt;&lt;wsp:rsid wsp:val=&quot;00ED768D&quot;/&gt;&lt;wsp:rsid wsp:val=&quot;00ED78B3&quot;/&gt;&lt;wsp:rsid wsp:val=&quot;00ED7B46&quot;/&gt;&lt;wsp:rsid wsp:val=&quot;00ED7F5C&quot;/&gt;&lt;wsp:rsid wsp:val=&quot;00EE0473&quot;/&gt;&lt;wsp:rsid wsp:val=&quot;00EE0741&quot;/&gt;&lt;wsp:rsid wsp:val=&quot;00EE0BC6&quot;/&gt;&lt;wsp:rsid wsp:val=&quot;00EE0CC6&quot;/&gt;&lt;wsp:rsid wsp:val=&quot;00EE0D23&quot;/&gt;&lt;wsp:rsid wsp:val=&quot;00EE0FDC&quot;/&gt;&lt;wsp:rsid wsp:val=&quot;00EE11A3&quot;/&gt;&lt;wsp:rsid wsp:val=&quot;00EE12A9&quot;/&gt;&lt;wsp:rsid wsp:val=&quot;00EE13A8&quot;/&gt;&lt;wsp:rsid wsp:val=&quot;00EE1A75&quot;/&gt;&lt;wsp:rsid wsp:val=&quot;00EE1B26&quot;/&gt;&lt;wsp:rsid wsp:val=&quot;00EE1B8A&quot;/&gt;&lt;wsp:rsid wsp:val=&quot;00EE1C2B&quot;/&gt;&lt;wsp:rsid wsp:val=&quot;00EE1DBA&quot;/&gt;&lt;wsp:rsid wsp:val=&quot;00EE1DDA&quot;/&gt;&lt;wsp:rsid wsp:val=&quot;00EE1E4B&quot;/&gt;&lt;wsp:rsid wsp:val=&quot;00EE2A21&quot;/&gt;&lt;wsp:rsid wsp:val=&quot;00EE2AB4&quot;/&gt;&lt;wsp:rsid wsp:val=&quot;00EE2B2B&quot;/&gt;&lt;wsp:rsid wsp:val=&quot;00EE2EC3&quot;/&gt;&lt;wsp:rsid wsp:val=&quot;00EE34BE&quot;/&gt;&lt;wsp:rsid wsp:val=&quot;00EE36AC&quot;/&gt;&lt;wsp:rsid wsp:val=&quot;00EE36B6&quot;/&gt;&lt;wsp:rsid wsp:val=&quot;00EE3A5B&quot;/&gt;&lt;wsp:rsid wsp:val=&quot;00EE3C15&quot;/&gt;&lt;wsp:rsid wsp:val=&quot;00EE3D9B&quot;/&gt;&lt;wsp:rsid wsp:val=&quot;00EE3DA1&quot;/&gt;&lt;wsp:rsid wsp:val=&quot;00EE3E5A&quot;/&gt;&lt;wsp:rsid wsp:val=&quot;00EE3F23&quot;/&gt;&lt;wsp:rsid wsp:val=&quot;00EE3FC6&quot;/&gt;&lt;wsp:rsid wsp:val=&quot;00EE4130&quot;/&gt;&lt;wsp:rsid wsp:val=&quot;00EE4E8A&quot;/&gt;&lt;wsp:rsid wsp:val=&quot;00EE4ED6&quot;/&gt;&lt;wsp:rsid wsp:val=&quot;00EE51E6&quot;/&gt;&lt;wsp:rsid wsp:val=&quot;00EE5306&quot;/&gt;&lt;wsp:rsid wsp:val=&quot;00EE54F2&quot;/&gt;&lt;wsp:rsid wsp:val=&quot;00EE56AE&quot;/&gt;&lt;wsp:rsid wsp:val=&quot;00EE58CC&quot;/&gt;&lt;wsp:rsid wsp:val=&quot;00EE5B93&quot;/&gt;&lt;wsp:rsid wsp:val=&quot;00EE5DA6&quot;/&gt;&lt;wsp:rsid wsp:val=&quot;00EE60C0&quot;/&gt;&lt;wsp:rsid wsp:val=&quot;00EE6132&quot;/&gt;&lt;wsp:rsid wsp:val=&quot;00EE65A3&quot;/&gt;&lt;wsp:rsid wsp:val=&quot;00EE65DF&quot;/&gt;&lt;wsp:rsid wsp:val=&quot;00EE6602&quot;/&gt;&lt;wsp:rsid wsp:val=&quot;00EE6775&quot;/&gt;&lt;wsp:rsid wsp:val=&quot;00EE688E&quot;/&gt;&lt;wsp:rsid wsp:val=&quot;00EE6C2F&quot;/&gt;&lt;wsp:rsid wsp:val=&quot;00EE6CC0&quot;/&gt;&lt;wsp:rsid wsp:val=&quot;00EE6D3C&quot;/&gt;&lt;wsp:rsid wsp:val=&quot;00EE6EE0&quot;/&gt;&lt;wsp:rsid wsp:val=&quot;00EE6FB9&quot;/&gt;&lt;wsp:rsid wsp:val=&quot;00EE7111&quot;/&gt;&lt;wsp:rsid wsp:val=&quot;00EE7140&quot;/&gt;&lt;wsp:rsid wsp:val=&quot;00EE71B6&quot;/&gt;&lt;wsp:rsid wsp:val=&quot;00EE727A&quot;/&gt;&lt;wsp:rsid wsp:val=&quot;00EE72C6&quot;/&gt;&lt;wsp:rsid wsp:val=&quot;00EE73AE&quot;/&gt;&lt;wsp:rsid wsp:val=&quot;00EE7474&quot;/&gt;&lt;wsp:rsid wsp:val=&quot;00EE769C&quot;/&gt;&lt;wsp:rsid wsp:val=&quot;00EE76EC&quot;/&gt;&lt;wsp:rsid wsp:val=&quot;00EE797A&quot;/&gt;&lt;wsp:rsid wsp:val=&quot;00EF006F&quot;/&gt;&lt;wsp:rsid wsp:val=&quot;00EF0137&quot;/&gt;&lt;wsp:rsid wsp:val=&quot;00EF01FE&quot;/&gt;&lt;wsp:rsid wsp:val=&quot;00EF0451&quot;/&gt;&lt;wsp:rsid wsp:val=&quot;00EF0500&quot;/&gt;&lt;wsp:rsid wsp:val=&quot;00EF0671&quot;/&gt;&lt;wsp:rsid wsp:val=&quot;00EF06C2&quot;/&gt;&lt;wsp:rsid wsp:val=&quot;00EF09DB&quot;/&gt;&lt;wsp:rsid wsp:val=&quot;00EF0B0A&quot;/&gt;&lt;wsp:rsid wsp:val=&quot;00EF0C12&quot;/&gt;&lt;wsp:rsid wsp:val=&quot;00EF0FB5&quot;/&gt;&lt;wsp:rsid wsp:val=&quot;00EF1325&quot;/&gt;&lt;wsp:rsid wsp:val=&quot;00EF139A&quot;/&gt;&lt;wsp:rsid wsp:val=&quot;00EF15E6&quot;/&gt;&lt;wsp:rsid wsp:val=&quot;00EF1956&quot;/&gt;&lt;wsp:rsid wsp:val=&quot;00EF1B30&quot;/&gt;&lt;wsp:rsid wsp:val=&quot;00EF1B31&quot;/&gt;&lt;wsp:rsid wsp:val=&quot;00EF2350&quot;/&gt;&lt;wsp:rsid wsp:val=&quot;00EF236B&quot;/&gt;&lt;wsp:rsid wsp:val=&quot;00EF252D&quot;/&gt;&lt;wsp:rsid wsp:val=&quot;00EF2913&quot;/&gt;&lt;wsp:rsid wsp:val=&quot;00EF298E&quot;/&gt;&lt;wsp:rsid wsp:val=&quot;00EF2C30&quot;/&gt;&lt;wsp:rsid wsp:val=&quot;00EF2C9B&quot;/&gt;&lt;wsp:rsid wsp:val=&quot;00EF2E2A&quot;/&gt;&lt;wsp:rsid wsp:val=&quot;00EF315C&quot;/&gt;&lt;wsp:rsid wsp:val=&quot;00EF3266&quot;/&gt;&lt;wsp:rsid wsp:val=&quot;00EF32B1&quot;/&gt;&lt;wsp:rsid wsp:val=&quot;00EF3357&quot;/&gt;&lt;wsp:rsid wsp:val=&quot;00EF34BD&quot;/&gt;&lt;wsp:rsid wsp:val=&quot;00EF3CA6&quot;/&gt;&lt;wsp:rsid wsp:val=&quot;00EF4063&quot;/&gt;&lt;wsp:rsid wsp:val=&quot;00EF4193&quot;/&gt;&lt;wsp:rsid wsp:val=&quot;00EF424F&quot;/&gt;&lt;wsp:rsid wsp:val=&quot;00EF42A9&quot;/&gt;&lt;wsp:rsid wsp:val=&quot;00EF4518&quot;/&gt;&lt;wsp:rsid wsp:val=&quot;00EF460E&quot;/&gt;&lt;wsp:rsid wsp:val=&quot;00EF48D6&quot;/&gt;&lt;wsp:rsid wsp:val=&quot;00EF4908&quot;/&gt;&lt;wsp:rsid wsp:val=&quot;00EF4BA4&quot;/&gt;&lt;wsp:rsid wsp:val=&quot;00EF4D69&quot;/&gt;&lt;wsp:rsid wsp:val=&quot;00EF4DF2&quot;/&gt;&lt;wsp:rsid wsp:val=&quot;00EF5240&quot;/&gt;&lt;wsp:rsid wsp:val=&quot;00EF5355&quot;/&gt;&lt;wsp:rsid wsp:val=&quot;00EF5383&quot;/&gt;&lt;wsp:rsid wsp:val=&quot;00EF5547&quot;/&gt;&lt;wsp:rsid wsp:val=&quot;00EF56E8&quot;/&gt;&lt;wsp:rsid wsp:val=&quot;00EF65CD&quot;/&gt;&lt;wsp:rsid wsp:val=&quot;00EF6601&quot;/&gt;&lt;wsp:rsid wsp:val=&quot;00EF66A0&quot;/&gt;&lt;wsp:rsid wsp:val=&quot;00EF69D1&quot;/&gt;&lt;wsp:rsid wsp:val=&quot;00EF6A73&quot;/&gt;&lt;wsp:rsid wsp:val=&quot;00EF6DA2&quot;/&gt;&lt;wsp:rsid wsp:val=&quot;00EF70A7&quot;/&gt;&lt;wsp:rsid wsp:val=&quot;00EF73A4&quot;/&gt;&lt;wsp:rsid wsp:val=&quot;00EF73C1&quot;/&gt;&lt;wsp:rsid wsp:val=&quot;00EF76E6&quot;/&gt;&lt;wsp:rsid wsp:val=&quot;00EF7ADF&quot;/&gt;&lt;wsp:rsid wsp:val=&quot;00EF7CCC&quot;/&gt;&lt;wsp:rsid wsp:val=&quot;00EF7DAB&quot;/&gt;&lt;wsp:rsid wsp:val=&quot;00EF7E63&quot;/&gt;&lt;wsp:rsid wsp:val=&quot;00EF7EDB&quot;/&gt;&lt;wsp:rsid wsp:val=&quot;00F00095&quot;/&gt;&lt;wsp:rsid wsp:val=&quot;00F000B7&quot;/&gt;&lt;wsp:rsid wsp:val=&quot;00F00231&quot;/&gt;&lt;wsp:rsid wsp:val=&quot;00F00278&quot;/&gt;&lt;wsp:rsid wsp:val=&quot;00F002FB&quot;/&gt;&lt;wsp:rsid wsp:val=&quot;00F003E8&quot;/&gt;&lt;wsp:rsid wsp:val=&quot;00F006F9&quot;/&gt;&lt;wsp:rsid wsp:val=&quot;00F00F5D&quot;/&gt;&lt;wsp:rsid wsp:val=&quot;00F00FF4&quot;/&gt;&lt;wsp:rsid wsp:val=&quot;00F01024&quot;/&gt;&lt;wsp:rsid wsp:val=&quot;00F015B2&quot;/&gt;&lt;wsp:rsid wsp:val=&quot;00F01C57&quot;/&gt;&lt;wsp:rsid wsp:val=&quot;00F0218D&quot;/&gt;&lt;wsp:rsid wsp:val=&quot;00F023E7&quot;/&gt;&lt;wsp:rsid wsp:val=&quot;00F02618&quot;/&gt;&lt;wsp:rsid wsp:val=&quot;00F02749&quot;/&gt;&lt;wsp:rsid wsp:val=&quot;00F02928&quot;/&gt;&lt;wsp:rsid wsp:val=&quot;00F02C8A&quot;/&gt;&lt;wsp:rsid wsp:val=&quot;00F02DBA&quot;/&gt;&lt;wsp:rsid wsp:val=&quot;00F02F06&quot;/&gt;&lt;wsp:rsid wsp:val=&quot;00F03345&quot;/&gt;&lt;wsp:rsid wsp:val=&quot;00F033B2&quot;/&gt;&lt;wsp:rsid wsp:val=&quot;00F0383F&quot;/&gt;&lt;wsp:rsid wsp:val=&quot;00F03B5F&quot;/&gt;&lt;wsp:rsid wsp:val=&quot;00F0407D&quot;/&gt;&lt;wsp:rsid wsp:val=&quot;00F04705&quot;/&gt;&lt;wsp:rsid wsp:val=&quot;00F04FFA&quot;/&gt;&lt;wsp:rsid wsp:val=&quot;00F0508A&quot;/&gt;&lt;wsp:rsid wsp:val=&quot;00F051A5&quot;/&gt;&lt;wsp:rsid wsp:val=&quot;00F05295&quot;/&gt;&lt;wsp:rsid wsp:val=&quot;00F05353&quot;/&gt;&lt;wsp:rsid wsp:val=&quot;00F05366&quot;/&gt;&lt;wsp:rsid wsp:val=&quot;00F054DE&quot;/&gt;&lt;wsp:rsid wsp:val=&quot;00F0558D&quot;/&gt;&lt;wsp:rsid wsp:val=&quot;00F05609&quot;/&gt;&lt;wsp:rsid wsp:val=&quot;00F05A7F&quot;/&gt;&lt;wsp:rsid wsp:val=&quot;00F05E38&quot;/&gt;&lt;wsp:rsid wsp:val=&quot;00F06327&quot;/&gt;&lt;wsp:rsid wsp:val=&quot;00F064B4&quot;/&gt;&lt;wsp:rsid wsp:val=&quot;00F064D0&quot;/&gt;&lt;wsp:rsid wsp:val=&quot;00F0663C&quot;/&gt;&lt;wsp:rsid wsp:val=&quot;00F06C8D&quot;/&gt;&lt;wsp:rsid wsp:val=&quot;00F06EC5&quot;/&gt;&lt;wsp:rsid wsp:val=&quot;00F071F1&quot;/&gt;&lt;wsp:rsid wsp:val=&quot;00F07215&quot;/&gt;&lt;wsp:rsid wsp:val=&quot;00F077B3&quot;/&gt;&lt;wsp:rsid wsp:val=&quot;00F07B5D&quot;/&gt;&lt;wsp:rsid wsp:val=&quot;00F07E5C&quot;/&gt;&lt;wsp:rsid wsp:val=&quot;00F102B1&quot;/&gt;&lt;wsp:rsid wsp:val=&quot;00F1032A&quot;/&gt;&lt;wsp:rsid wsp:val=&quot;00F1080D&quot;/&gt;&lt;wsp:rsid wsp:val=&quot;00F1131B&quot;/&gt;&lt;wsp:rsid wsp:val=&quot;00F11959&quot;/&gt;&lt;wsp:rsid wsp:val=&quot;00F11BEA&quot;/&gt;&lt;wsp:rsid wsp:val=&quot;00F11E99&quot;/&gt;&lt;wsp:rsid wsp:val=&quot;00F11F90&quot;/&gt;&lt;wsp:rsid wsp:val=&quot;00F120EC&quot;/&gt;&lt;wsp:rsid wsp:val=&quot;00F122F0&quot;/&gt;&lt;wsp:rsid wsp:val=&quot;00F1230D&quot;/&gt;&lt;wsp:rsid wsp:val=&quot;00F1243B&quot;/&gt;&lt;wsp:rsid wsp:val=&quot;00F124C2&quot;/&gt;&lt;wsp:rsid wsp:val=&quot;00F12708&quot;/&gt;&lt;wsp:rsid wsp:val=&quot;00F1291E&quot;/&gt;&lt;wsp:rsid wsp:val=&quot;00F12A6D&quot;/&gt;&lt;wsp:rsid wsp:val=&quot;00F12CBD&quot;/&gt;&lt;wsp:rsid wsp:val=&quot;00F12D4C&quot;/&gt;&lt;wsp:rsid wsp:val=&quot;00F12FBC&quot;/&gt;&lt;wsp:rsid wsp:val=&quot;00F131D6&quot;/&gt;&lt;wsp:rsid wsp:val=&quot;00F13947&quot;/&gt;&lt;wsp:rsid wsp:val=&quot;00F139F8&quot;/&gt;&lt;wsp:rsid wsp:val=&quot;00F13BD7&quot;/&gt;&lt;wsp:rsid wsp:val=&quot;00F13C15&quot;/&gt;&lt;wsp:rsid wsp:val=&quot;00F13F0F&quot;/&gt;&lt;wsp:rsid wsp:val=&quot;00F14728&quot;/&gt;&lt;wsp:rsid wsp:val=&quot;00F147C3&quot;/&gt;&lt;wsp:rsid wsp:val=&quot;00F14BBB&quot;/&gt;&lt;wsp:rsid wsp:val=&quot;00F14BC2&quot;/&gt;&lt;wsp:rsid wsp:val=&quot;00F15234&quot;/&gt;&lt;wsp:rsid wsp:val=&quot;00F1524D&quot;/&gt;&lt;wsp:rsid wsp:val=&quot;00F157FE&quot;/&gt;&lt;wsp:rsid wsp:val=&quot;00F158F6&quot;/&gt;&lt;wsp:rsid wsp:val=&quot;00F15B31&quot;/&gt;&lt;wsp:rsid wsp:val=&quot;00F15B9F&quot;/&gt;&lt;wsp:rsid wsp:val=&quot;00F15DD8&quot;/&gt;&lt;wsp:rsid wsp:val=&quot;00F161CB&quot;/&gt;&lt;wsp:rsid wsp:val=&quot;00F16634&quot;/&gt;&lt;wsp:rsid wsp:val=&quot;00F16855&quot;/&gt;&lt;wsp:rsid wsp:val=&quot;00F17972&quot;/&gt;&lt;wsp:rsid wsp:val=&quot;00F17BFC&quot;/&gt;&lt;wsp:rsid wsp:val=&quot;00F17D45&quot;/&gt;&lt;wsp:rsid wsp:val=&quot;00F17EBE&quot;/&gt;&lt;wsp:rsid wsp:val=&quot;00F201FC&quot;/&gt;&lt;wsp:rsid wsp:val=&quot;00F2066B&quot;/&gt;&lt;wsp:rsid wsp:val=&quot;00F206B9&quot;/&gt;&lt;wsp:rsid wsp:val=&quot;00F206E8&quot;/&gt;&lt;wsp:rsid wsp:val=&quot;00F208FF&quot;/&gt;&lt;wsp:rsid wsp:val=&quot;00F20A9F&quot;/&gt;&lt;wsp:rsid wsp:val=&quot;00F20B55&quot;/&gt;&lt;wsp:rsid wsp:val=&quot;00F20C09&quot;/&gt;&lt;wsp:rsid wsp:val=&quot;00F2126C&quot;/&gt;&lt;wsp:rsid wsp:val=&quot;00F213EA&quot;/&gt;&lt;wsp:rsid wsp:val=&quot;00F213FB&quot;/&gt;&lt;wsp:rsid wsp:val=&quot;00F215E8&quot;/&gt;&lt;wsp:rsid wsp:val=&quot;00F2189B&quot;/&gt;&lt;wsp:rsid wsp:val=&quot;00F21A57&quot;/&gt;&lt;wsp:rsid wsp:val=&quot;00F2205F&quot;/&gt;&lt;wsp:rsid wsp:val=&quot;00F2243D&quot;/&gt;&lt;wsp:rsid wsp:val=&quot;00F22779&quot;/&gt;&lt;wsp:rsid wsp:val=&quot;00F2279E&quot;/&gt;&lt;wsp:rsid wsp:val=&quot;00F22824&quot;/&gt;&lt;wsp:rsid wsp:val=&quot;00F22BA8&quot;/&gt;&lt;wsp:rsid wsp:val=&quot;00F22D84&quot;/&gt;&lt;wsp:rsid wsp:val=&quot;00F23289&quot;/&gt;&lt;wsp:rsid wsp:val=&quot;00F2349C&quot;/&gt;&lt;wsp:rsid wsp:val=&quot;00F2353D&quot;/&gt;&lt;wsp:rsid wsp:val=&quot;00F236C2&quot;/&gt;&lt;wsp:rsid wsp:val=&quot;00F23724&quot;/&gt;&lt;wsp:rsid wsp:val=&quot;00F23777&quot;/&gt;&lt;wsp:rsid wsp:val=&quot;00F23B41&quot;/&gt;&lt;wsp:rsid wsp:val=&quot;00F242C2&quot;/&gt;&lt;wsp:rsid wsp:val=&quot;00F248C5&quot;/&gt;&lt;wsp:rsid wsp:val=&quot;00F249F4&quot;/&gt;&lt;wsp:rsid wsp:val=&quot;00F24BC4&quot;/&gt;&lt;wsp:rsid wsp:val=&quot;00F24C48&quot;/&gt;&lt;wsp:rsid wsp:val=&quot;00F24DB8&quot;/&gt;&lt;wsp:rsid wsp:val=&quot;00F24DEC&quot;/&gt;&lt;wsp:rsid wsp:val=&quot;00F2503D&quot;/&gt;&lt;wsp:rsid wsp:val=&quot;00F251D3&quot;/&gt;&lt;wsp:rsid wsp:val=&quot;00F2546D&quot;/&gt;&lt;wsp:rsid wsp:val=&quot;00F259AA&quot;/&gt;&lt;wsp:rsid wsp:val=&quot;00F2608B&quot;/&gt;&lt;wsp:rsid wsp:val=&quot;00F2614F&quot;/&gt;&lt;wsp:rsid wsp:val=&quot;00F262F3&quot;/&gt;&lt;wsp:rsid wsp:val=&quot;00F263A7&quot;/&gt;&lt;wsp:rsid wsp:val=&quot;00F265AB&quot;/&gt;&lt;wsp:rsid wsp:val=&quot;00F2665F&quot;/&gt;&lt;wsp:rsid wsp:val=&quot;00F26B1E&quot;/&gt;&lt;wsp:rsid wsp:val=&quot;00F26E41&quot;/&gt;&lt;wsp:rsid wsp:val=&quot;00F26E93&quot;/&gt;&lt;wsp:rsid wsp:val=&quot;00F26F3B&quot;/&gt;&lt;wsp:rsid wsp:val=&quot;00F26F6C&quot;/&gt;&lt;wsp:rsid wsp:val=&quot;00F26F71&quot;/&gt;&lt;wsp:rsid wsp:val=&quot;00F26FA0&quot;/&gt;&lt;wsp:rsid wsp:val=&quot;00F27128&quot;/&gt;&lt;wsp:rsid wsp:val=&quot;00F271E3&quot;/&gt;&lt;wsp:rsid wsp:val=&quot;00F272EE&quot;/&gt;&lt;wsp:rsid wsp:val=&quot;00F273F1&quot;/&gt;&lt;wsp:rsid wsp:val=&quot;00F273FA&quot;/&gt;&lt;wsp:rsid wsp:val=&quot;00F27564&quot;/&gt;&lt;wsp:rsid wsp:val=&quot;00F278AB&quot;/&gt;&lt;wsp:rsid wsp:val=&quot;00F27A12&quot;/&gt;&lt;wsp:rsid wsp:val=&quot;00F27C1C&quot;/&gt;&lt;wsp:rsid wsp:val=&quot;00F27D03&quot;/&gt;&lt;wsp:rsid wsp:val=&quot;00F300E0&quot;/&gt;&lt;wsp:rsid wsp:val=&quot;00F3047B&quot;/&gt;&lt;wsp:rsid wsp:val=&quot;00F3055B&quot;/&gt;&lt;wsp:rsid wsp:val=&quot;00F3097E&quot;/&gt;&lt;wsp:rsid wsp:val=&quot;00F309E1&quot;/&gt;&lt;wsp:rsid wsp:val=&quot;00F30BDD&quot;/&gt;&lt;wsp:rsid wsp:val=&quot;00F30D75&quot;/&gt;&lt;wsp:rsid wsp:val=&quot;00F30EF5&quot;/&gt;&lt;wsp:rsid wsp:val=&quot;00F310D2&quot;/&gt;&lt;wsp:rsid wsp:val=&quot;00F31797&quot;/&gt;&lt;wsp:rsid wsp:val=&quot;00F317CF&quot;/&gt;&lt;wsp:rsid wsp:val=&quot;00F31835&quot;/&gt;&lt;wsp:rsid wsp:val=&quot;00F3192D&quot;/&gt;&lt;wsp:rsid wsp:val=&quot;00F31987&quot;/&gt;&lt;wsp:rsid wsp:val=&quot;00F31A39&quot;/&gt;&lt;wsp:rsid wsp:val=&quot;00F31E3F&quot;/&gt;&lt;wsp:rsid wsp:val=&quot;00F32009&quot;/&gt;&lt;wsp:rsid wsp:val=&quot;00F32241&quot;/&gt;&lt;wsp:rsid wsp:val=&quot;00F323E2&quot;/&gt;&lt;wsp:rsid wsp:val=&quot;00F32C34&quot;/&gt;&lt;wsp:rsid wsp:val=&quot;00F32D60&quot;/&gt;&lt;wsp:rsid wsp:val=&quot;00F332CF&quot;/&gt;&lt;wsp:rsid wsp:val=&quot;00F33337&quot;/&gt;&lt;wsp:rsid wsp:val=&quot;00F33422&quot;/&gt;&lt;wsp:rsid wsp:val=&quot;00F33A63&quot;/&gt;&lt;wsp:rsid wsp:val=&quot;00F33E98&quot;/&gt;&lt;wsp:rsid wsp:val=&quot;00F3420A&quot;/&gt;&lt;wsp:rsid wsp:val=&quot;00F34240&quot;/&gt;&lt;wsp:rsid wsp:val=&quot;00F34335&quot;/&gt;&lt;wsp:rsid wsp:val=&quot;00F3479B&quot;/&gt;&lt;wsp:rsid wsp:val=&quot;00F349B9&quot;/&gt;&lt;wsp:rsid wsp:val=&quot;00F34D8E&quot;/&gt;&lt;wsp:rsid wsp:val=&quot;00F34EF5&quot;/&gt;&lt;wsp:rsid wsp:val=&quot;00F34FA8&quot;/&gt;&lt;wsp:rsid wsp:val=&quot;00F34FFC&quot;/&gt;&lt;wsp:rsid wsp:val=&quot;00F3529B&quot;/&gt;&lt;wsp:rsid wsp:val=&quot;00F352C8&quot;/&gt;&lt;wsp:rsid wsp:val=&quot;00F357CF&quot;/&gt;&lt;wsp:rsid wsp:val=&quot;00F358C5&quot;/&gt;&lt;wsp:rsid wsp:val=&quot;00F359D9&quot;/&gt;&lt;wsp:rsid wsp:val=&quot;00F35A79&quot;/&gt;&lt;wsp:rsid wsp:val=&quot;00F35B35&quot;/&gt;&lt;wsp:rsid wsp:val=&quot;00F3635C&quot;/&gt;&lt;wsp:rsid wsp:val=&quot;00F363EE&quot;/&gt;&lt;wsp:rsid wsp:val=&quot;00F3642C&quot;/&gt;&lt;wsp:rsid wsp:val=&quot;00F365FB&quot;/&gt;&lt;wsp:rsid wsp:val=&quot;00F36688&quot;/&gt;&lt;wsp:rsid wsp:val=&quot;00F36E15&quot;/&gt;&lt;wsp:rsid wsp:val=&quot;00F370A2&quot;/&gt;&lt;wsp:rsid wsp:val=&quot;00F37109&quot;/&gt;&lt;wsp:rsid wsp:val=&quot;00F3730B&quot;/&gt;&lt;wsp:rsid wsp:val=&quot;00F37469&quot;/&gt;&lt;wsp:rsid wsp:val=&quot;00F3783E&quot;/&gt;&lt;wsp:rsid wsp:val=&quot;00F3796F&quot;/&gt;&lt;wsp:rsid wsp:val=&quot;00F402EF&quot;/&gt;&lt;wsp:rsid wsp:val=&quot;00F408C5&quot;/&gt;&lt;wsp:rsid wsp:val=&quot;00F40A8B&quot;/&gt;&lt;wsp:rsid wsp:val=&quot;00F40BB9&quot;/&gt;&lt;wsp:rsid wsp:val=&quot;00F4187A&quot;/&gt;&lt;wsp:rsid wsp:val=&quot;00F419D3&quot;/&gt;&lt;wsp:rsid wsp:val=&quot;00F419FB&quot;/&gt;&lt;wsp:rsid wsp:val=&quot;00F41CDF&quot;/&gt;&lt;wsp:rsid wsp:val=&quot;00F41CF9&quot;/&gt;&lt;wsp:rsid wsp:val=&quot;00F4245E&quot;/&gt;&lt;wsp:rsid wsp:val=&quot;00F4267E&quot;/&gt;&lt;wsp:rsid wsp:val=&quot;00F426F7&quot;/&gt;&lt;wsp:rsid wsp:val=&quot;00F4273E&quot;/&gt;&lt;wsp:rsid wsp:val=&quot;00F42A68&quot;/&gt;&lt;wsp:rsid wsp:val=&quot;00F42CF4&quot;/&gt;&lt;wsp:rsid wsp:val=&quot;00F42E66&quot;/&gt;&lt;wsp:rsid wsp:val=&quot;00F42E79&quot;/&gt;&lt;wsp:rsid wsp:val=&quot;00F42F10&quot;/&gt;&lt;wsp:rsid wsp:val=&quot;00F433B5&quot;/&gt;&lt;wsp:rsid wsp:val=&quot;00F434BA&quot;/&gt;&lt;wsp:rsid wsp:val=&quot;00F43545&quot;/&gt;&lt;wsp:rsid wsp:val=&quot;00F43598&quot;/&gt;&lt;wsp:rsid wsp:val=&quot;00F43999&quot;/&gt;&lt;wsp:rsid wsp:val=&quot;00F43EF8&quot;/&gt;&lt;wsp:rsid wsp:val=&quot;00F44220&quot;/&gt;&lt;wsp:rsid wsp:val=&quot;00F44358&quot;/&gt;&lt;wsp:rsid wsp:val=&quot;00F44461&quot;/&gt;&lt;wsp:rsid wsp:val=&quot;00F4449E&quot;/&gt;&lt;wsp:rsid wsp:val=&quot;00F449B0&quot;/&gt;&lt;wsp:rsid wsp:val=&quot;00F44C98&quot;/&gt;&lt;wsp:rsid wsp:val=&quot;00F44EC9&quot;/&gt;&lt;wsp:rsid wsp:val=&quot;00F44F47&quot;/&gt;&lt;wsp:rsid wsp:val=&quot;00F4531D&quot;/&gt;&lt;wsp:rsid wsp:val=&quot;00F45671&quot;/&gt;&lt;wsp:rsid wsp:val=&quot;00F45990&quot;/&gt;&lt;wsp:rsid wsp:val=&quot;00F459A5&quot;/&gt;&lt;wsp:rsid wsp:val=&quot;00F45A65&quot;/&gt;&lt;wsp:rsid wsp:val=&quot;00F45D87&quot;/&gt;&lt;wsp:rsid wsp:val=&quot;00F460ED&quot;/&gt;&lt;wsp:rsid wsp:val=&quot;00F4659E&quot;/&gt;&lt;wsp:rsid wsp:val=&quot;00F46727&quot;/&gt;&lt;wsp:rsid wsp:val=&quot;00F46BBB&quot;/&gt;&lt;wsp:rsid wsp:val=&quot;00F46D7A&quot;/&gt;&lt;wsp:rsid wsp:val=&quot;00F46DC9&quot;/&gt;&lt;wsp:rsid wsp:val=&quot;00F46E1A&quot;/&gt;&lt;wsp:rsid wsp:val=&quot;00F470C7&quot;/&gt;&lt;wsp:rsid wsp:val=&quot;00F470D6&quot;/&gt;&lt;wsp:rsid wsp:val=&quot;00F4778D&quot;/&gt;&lt;wsp:rsid wsp:val=&quot;00F47963&quot;/&gt;&lt;wsp:rsid wsp:val=&quot;00F47B85&quot;/&gt;&lt;wsp:rsid wsp:val=&quot;00F50278&quot;/&gt;&lt;wsp:rsid wsp:val=&quot;00F503F4&quot;/&gt;&lt;wsp:rsid wsp:val=&quot;00F5048F&quot;/&gt;&lt;wsp:rsid wsp:val=&quot;00F507F5&quot;/&gt;&lt;wsp:rsid wsp:val=&quot;00F50AD5&quot;/&gt;&lt;wsp:rsid wsp:val=&quot;00F50B35&quot;/&gt;&lt;wsp:rsid wsp:val=&quot;00F50D30&quot;/&gt;&lt;wsp:rsid wsp:val=&quot;00F50F2B&quot;/&gt;&lt;wsp:rsid wsp:val=&quot;00F50FCF&quot;/&gt;&lt;wsp:rsid wsp:val=&quot;00F511AC&quot;/&gt;&lt;wsp:rsid wsp:val=&quot;00F51405&quot;/&gt;&lt;wsp:rsid wsp:val=&quot;00F51674&quot;/&gt;&lt;wsp:rsid wsp:val=&quot;00F516CA&quot;/&gt;&lt;wsp:rsid wsp:val=&quot;00F51949&quot;/&gt;&lt;wsp:rsid wsp:val=&quot;00F51A36&quot;/&gt;&lt;wsp:rsid wsp:val=&quot;00F51AD5&quot;/&gt;&lt;wsp:rsid wsp:val=&quot;00F51BAA&quot;/&gt;&lt;wsp:rsid wsp:val=&quot;00F51D33&quot;/&gt;&lt;wsp:rsid wsp:val=&quot;00F51DA9&quot;/&gt;&lt;wsp:rsid wsp:val=&quot;00F51E0A&quot;/&gt;&lt;wsp:rsid wsp:val=&quot;00F5221F&quot;/&gt;&lt;wsp:rsid wsp:val=&quot;00F523BB&quot;/&gt;&lt;wsp:rsid wsp:val=&quot;00F5252E&quot;/&gt;&lt;wsp:rsid wsp:val=&quot;00F52540&quot;/&gt;&lt;wsp:rsid wsp:val=&quot;00F528E2&quot;/&gt;&lt;wsp:rsid wsp:val=&quot;00F52A75&quot;/&gt;&lt;wsp:rsid wsp:val=&quot;00F52AE4&quot;/&gt;&lt;wsp:rsid wsp:val=&quot;00F52CAE&quot;/&gt;&lt;wsp:rsid wsp:val=&quot;00F52EE0&quot;/&gt;&lt;wsp:rsid wsp:val=&quot;00F5309B&quot;/&gt;&lt;wsp:rsid wsp:val=&quot;00F53475&quot;/&gt;&lt;wsp:rsid wsp:val=&quot;00F53D1C&quot;/&gt;&lt;wsp:rsid wsp:val=&quot;00F53E7E&quot;/&gt;&lt;wsp:rsid wsp:val=&quot;00F54372&quot;/&gt;&lt;wsp:rsid wsp:val=&quot;00F543AE&quot;/&gt;&lt;wsp:rsid wsp:val=&quot;00F548A5&quot;/&gt;&lt;wsp:rsid wsp:val=&quot;00F54DE9&quot;/&gt;&lt;wsp:rsid wsp:val=&quot;00F55050&quot;/&gt;&lt;wsp:rsid wsp:val=&quot;00F551C3&quot;/&gt;&lt;wsp:rsid wsp:val=&quot;00F551F9&quot;/&gt;&lt;wsp:rsid wsp:val=&quot;00F559BD&quot;/&gt;&lt;wsp:rsid wsp:val=&quot;00F55A87&quot;/&gt;&lt;wsp:rsid wsp:val=&quot;00F55BE4&quot;/&gt;&lt;wsp:rsid wsp:val=&quot;00F55E83&quot;/&gt;&lt;wsp:rsid wsp:val=&quot;00F56589&quot;/&gt;&lt;wsp:rsid wsp:val=&quot;00F566CF&quot;/&gt;&lt;wsp:rsid wsp:val=&quot;00F56AD1&quot;/&gt;&lt;wsp:rsid wsp:val=&quot;00F56B73&quot;/&gt;&lt;wsp:rsid wsp:val=&quot;00F56EB2&quot;/&gt;&lt;wsp:rsid wsp:val=&quot;00F56F1A&quot;/&gt;&lt;wsp:rsid wsp:val=&quot;00F57349&quot;/&gt;&lt;wsp:rsid wsp:val=&quot;00F57431&quot;/&gt;&lt;wsp:rsid wsp:val=&quot;00F5761C&quot;/&gt;&lt;wsp:rsid wsp:val=&quot;00F577A5&quot;/&gt;&lt;wsp:rsid wsp:val=&quot;00F578D0&quot;/&gt;&lt;wsp:rsid wsp:val=&quot;00F57D61&quot;/&gt;&lt;wsp:rsid wsp:val=&quot;00F60238&quot;/&gt;&lt;wsp:rsid wsp:val=&quot;00F6033B&quot;/&gt;&lt;wsp:rsid wsp:val=&quot;00F6050B&quot;/&gt;&lt;wsp:rsid wsp:val=&quot;00F6073D&quot;/&gt;&lt;wsp:rsid wsp:val=&quot;00F60B99&quot;/&gt;&lt;wsp:rsid wsp:val=&quot;00F60D57&quot;/&gt;&lt;wsp:rsid wsp:val=&quot;00F60DE7&quot;/&gt;&lt;wsp:rsid wsp:val=&quot;00F61049&quot;/&gt;&lt;wsp:rsid wsp:val=&quot;00F6130A&quot;/&gt;&lt;wsp:rsid wsp:val=&quot;00F6154F&quot;/&gt;&lt;wsp:rsid wsp:val=&quot;00F618E3&quot;/&gt;&lt;wsp:rsid wsp:val=&quot;00F61B76&quot;/&gt;&lt;wsp:rsid wsp:val=&quot;00F61CCB&quot;/&gt;&lt;wsp:rsid wsp:val=&quot;00F61CE5&quot;/&gt;&lt;wsp:rsid wsp:val=&quot;00F61D93&quot;/&gt;&lt;wsp:rsid wsp:val=&quot;00F61EF0&quot;/&gt;&lt;wsp:rsid wsp:val=&quot;00F625B6&quot;/&gt;&lt;wsp:rsid wsp:val=&quot;00F62694&quot;/&gt;&lt;wsp:rsid wsp:val=&quot;00F6277C&quot;/&gt;&lt;wsp:rsid wsp:val=&quot;00F62859&quot;/&gt;&lt;wsp:rsid wsp:val=&quot;00F62A70&quot;/&gt;&lt;wsp:rsid wsp:val=&quot;00F62ABF&quot;/&gt;&lt;wsp:rsid wsp:val=&quot;00F62B05&quot;/&gt;&lt;wsp:rsid wsp:val=&quot;00F62BE2&quot;/&gt;&lt;wsp:rsid wsp:val=&quot;00F63118&quot;/&gt;&lt;wsp:rsid wsp:val=&quot;00F63198&quot;/&gt;&lt;wsp:rsid wsp:val=&quot;00F63E15&quot;/&gt;&lt;wsp:rsid wsp:val=&quot;00F63E2E&quot;/&gt;&lt;wsp:rsid wsp:val=&quot;00F643A7&quot;/&gt;&lt;wsp:rsid wsp:val=&quot;00F645B4&quot;/&gt;&lt;wsp:rsid wsp:val=&quot;00F64ED0&quot;/&gt;&lt;wsp:rsid wsp:val=&quot;00F64FCF&quot;/&gt;&lt;wsp:rsid wsp:val=&quot;00F65339&quot;/&gt;&lt;wsp:rsid wsp:val=&quot;00F6558F&quot;/&gt;&lt;wsp:rsid wsp:val=&quot;00F658D9&quot;/&gt;&lt;wsp:rsid wsp:val=&quot;00F65B0D&quot;/&gt;&lt;wsp:rsid wsp:val=&quot;00F65CD3&quot;/&gt;&lt;wsp:rsid wsp:val=&quot;00F65CE7&quot;/&gt;&lt;wsp:rsid wsp:val=&quot;00F6645E&quot;/&gt;&lt;wsp:rsid wsp:val=&quot;00F664B6&quot;/&gt;&lt;wsp:rsid wsp:val=&quot;00F664E1&quot;/&gt;&lt;wsp:rsid wsp:val=&quot;00F66598&quot;/&gt;&lt;wsp:rsid wsp:val=&quot;00F665AC&quot;/&gt;&lt;wsp:rsid wsp:val=&quot;00F666C9&quot;/&gt;&lt;wsp:rsid wsp:val=&quot;00F66A3F&quot;/&gt;&lt;wsp:rsid wsp:val=&quot;00F66B97&quot;/&gt;&lt;wsp:rsid wsp:val=&quot;00F66BFB&quot;/&gt;&lt;wsp:rsid wsp:val=&quot;00F66E19&quot;/&gt;&lt;wsp:rsid wsp:val=&quot;00F66E26&quot;/&gt;&lt;wsp:rsid wsp:val=&quot;00F66F68&quot;/&gt;&lt;wsp:rsid wsp:val=&quot;00F67096&quot;/&gt;&lt;wsp:rsid wsp:val=&quot;00F67515&quot;/&gt;&lt;wsp:rsid wsp:val=&quot;00F6775D&quot;/&gt;&lt;wsp:rsid wsp:val=&quot;00F677F3&quot;/&gt;&lt;wsp:rsid wsp:val=&quot;00F67DA5&quot;/&gt;&lt;wsp:rsid wsp:val=&quot;00F67E65&quot;/&gt;&lt;wsp:rsid wsp:val=&quot;00F67FBB&quot;/&gt;&lt;wsp:rsid wsp:val=&quot;00F70011&quot;/&gt;&lt;wsp:rsid wsp:val=&quot;00F7082B&quot;/&gt;&lt;wsp:rsid wsp:val=&quot;00F70A43&quot;/&gt;&lt;wsp:rsid wsp:val=&quot;00F70A49&quot;/&gt;&lt;wsp:rsid wsp:val=&quot;00F70A65&quot;/&gt;&lt;wsp:rsid wsp:val=&quot;00F713D6&quot;/&gt;&lt;wsp:rsid wsp:val=&quot;00F717EB&quot;/&gt;&lt;wsp:rsid wsp:val=&quot;00F71BF7&quot;/&gt;&lt;wsp:rsid wsp:val=&quot;00F71FB1&quot;/&gt;&lt;wsp:rsid wsp:val=&quot;00F71FC1&quot;/&gt;&lt;wsp:rsid wsp:val=&quot;00F71FE3&quot;/&gt;&lt;wsp:rsid wsp:val=&quot;00F72084&quot;/&gt;&lt;wsp:rsid wsp:val=&quot;00F72504&quot;/&gt;&lt;wsp:rsid wsp:val=&quot;00F72805&quot;/&gt;&lt;wsp:rsid wsp:val=&quot;00F729D3&quot;/&gt;&lt;wsp:rsid wsp:val=&quot;00F72F41&quot;/&gt;&lt;wsp:rsid wsp:val=&quot;00F72F62&quot;/&gt;&lt;wsp:rsid wsp:val=&quot;00F73090&quot;/&gt;&lt;wsp:rsid wsp:val=&quot;00F7313D&quot;/&gt;&lt;wsp:rsid wsp:val=&quot;00F732A3&quot;/&gt;&lt;wsp:rsid wsp:val=&quot;00F7387F&quot;/&gt;&lt;wsp:rsid wsp:val=&quot;00F7397B&quot;/&gt;&lt;wsp:rsid wsp:val=&quot;00F73A06&quot;/&gt;&lt;wsp:rsid wsp:val=&quot;00F73A68&quot;/&gt;&lt;wsp:rsid wsp:val=&quot;00F73D5F&quot;/&gt;&lt;wsp:rsid wsp:val=&quot;00F74266&quot;/&gt;&lt;wsp:rsid wsp:val=&quot;00F743C7&quot;/&gt;&lt;wsp:rsid wsp:val=&quot;00F744A6&quot;/&gt;&lt;wsp:rsid wsp:val=&quot;00F7459F&quot;/&gt;&lt;wsp:rsid wsp:val=&quot;00F74C18&quot;/&gt;&lt;wsp:rsid wsp:val=&quot;00F74D70&quot;/&gt;&lt;wsp:rsid wsp:val=&quot;00F74E64&quot;/&gt;&lt;wsp:rsid wsp:val=&quot;00F74FFB&quot;/&gt;&lt;wsp:rsid wsp:val=&quot;00F753BF&quot;/&gt;&lt;wsp:rsid wsp:val=&quot;00F75413&quot;/&gt;&lt;wsp:rsid wsp:val=&quot;00F7561E&quot;/&gt;&lt;wsp:rsid wsp:val=&quot;00F75BBF&quot;/&gt;&lt;wsp:rsid wsp:val=&quot;00F75C1E&quot;/&gt;&lt;wsp:rsid wsp:val=&quot;00F75D81&quot;/&gt;&lt;wsp:rsid wsp:val=&quot;00F761FD&quot;/&gt;&lt;wsp:rsid wsp:val=&quot;00F76286&quot;/&gt;&lt;wsp:rsid wsp:val=&quot;00F765BE&quot;/&gt;&lt;wsp:rsid wsp:val=&quot;00F76998&quot;/&gt;&lt;wsp:rsid wsp:val=&quot;00F76A15&quot;/&gt;&lt;wsp:rsid wsp:val=&quot;00F76A36&quot;/&gt;&lt;wsp:rsid wsp:val=&quot;00F76C44&quot;/&gt;&lt;wsp:rsid wsp:val=&quot;00F76EC9&quot;/&gt;&lt;wsp:rsid wsp:val=&quot;00F77081&quot;/&gt;&lt;wsp:rsid wsp:val=&quot;00F7716A&quot;/&gt;&lt;wsp:rsid wsp:val=&quot;00F771DB&quot;/&gt;&lt;wsp:rsid wsp:val=&quot;00F77310&quot;/&gt;&lt;wsp:rsid wsp:val=&quot;00F7743C&quot;/&gt;&lt;wsp:rsid wsp:val=&quot;00F7780C&quot;/&gt;&lt;wsp:rsid wsp:val=&quot;00F77839&quot;/&gt;&lt;wsp:rsid wsp:val=&quot;00F77AFA&quot;/&gt;&lt;wsp:rsid wsp:val=&quot;00F77B90&quot;/&gt;&lt;wsp:rsid wsp:val=&quot;00F77D3F&quot;/&gt;&lt;wsp:rsid wsp:val=&quot;00F8001B&quot;/&gt;&lt;wsp:rsid wsp:val=&quot;00F80035&quot;/&gt;&lt;wsp:rsid wsp:val=&quot;00F80307&quot;/&gt;&lt;wsp:rsid wsp:val=&quot;00F80472&quot;/&gt;&lt;wsp:rsid wsp:val=&quot;00F80A47&quot;/&gt;&lt;wsp:rsid wsp:val=&quot;00F80B4C&quot;/&gt;&lt;wsp:rsid wsp:val=&quot;00F80BBC&quot;/&gt;&lt;wsp:rsid wsp:val=&quot;00F81156&quot;/&gt;&lt;wsp:rsid wsp:val=&quot;00F812ED&quot;/&gt;&lt;wsp:rsid wsp:val=&quot;00F818DC&quot;/&gt;&lt;wsp:rsid wsp:val=&quot;00F81927&quot;/&gt;&lt;wsp:rsid wsp:val=&quot;00F81D7E&quot;/&gt;&lt;wsp:rsid wsp:val=&quot;00F81F54&quot;/&gt;&lt;wsp:rsid wsp:val=&quot;00F821B0&quot;/&gt;&lt;wsp:rsid wsp:val=&quot;00F82328&quot;/&gt;&lt;wsp:rsid wsp:val=&quot;00F828A1&quot;/&gt;&lt;wsp:rsid wsp:val=&quot;00F82B61&quot;/&gt;&lt;wsp:rsid wsp:val=&quot;00F82BF2&quot;/&gt;&lt;wsp:rsid wsp:val=&quot;00F82D8E&quot;/&gt;&lt;wsp:rsid wsp:val=&quot;00F830D9&quot;/&gt;&lt;wsp:rsid wsp:val=&quot;00F83261&quot;/&gt;&lt;wsp:rsid wsp:val=&quot;00F8327F&quot;/&gt;&lt;wsp:rsid wsp:val=&quot;00F83361&quot;/&gt;&lt;wsp:rsid wsp:val=&quot;00F833A7&quot;/&gt;&lt;wsp:rsid wsp:val=&quot;00F833A8&quot;/&gt;&lt;wsp:rsid wsp:val=&quot;00F8379D&quot;/&gt;&lt;wsp:rsid wsp:val=&quot;00F8384D&quot;/&gt;&lt;wsp:rsid wsp:val=&quot;00F83853&quot;/&gt;&lt;wsp:rsid wsp:val=&quot;00F83B96&quot;/&gt;&lt;wsp:rsid wsp:val=&quot;00F83C5C&quot;/&gt;&lt;wsp:rsid wsp:val=&quot;00F83D93&quot;/&gt;&lt;wsp:rsid wsp:val=&quot;00F8400E&quot;/&gt;&lt;wsp:rsid wsp:val=&quot;00F8403A&quot;/&gt;&lt;wsp:rsid wsp:val=&quot;00F84244&quot;/&gt;&lt;wsp:rsid wsp:val=&quot;00F8456E&quot;/&gt;&lt;wsp:rsid wsp:val=&quot;00F84576&quot;/&gt;&lt;wsp:rsid wsp:val=&quot;00F84702&quot;/&gt;&lt;wsp:rsid wsp:val=&quot;00F8484B&quot;/&gt;&lt;wsp:rsid wsp:val=&quot;00F848EA&quot;/&gt;&lt;wsp:rsid wsp:val=&quot;00F848F7&quot;/&gt;&lt;wsp:rsid wsp:val=&quot;00F84A25&quot;/&gt;&lt;wsp:rsid wsp:val=&quot;00F84CE5&quot;/&gt;&lt;wsp:rsid wsp:val=&quot;00F85473&quot;/&gt;&lt;wsp:rsid wsp:val=&quot;00F8566B&quot;/&gt;&lt;wsp:rsid wsp:val=&quot;00F857FE&quot;/&gt;&lt;wsp:rsid wsp:val=&quot;00F85A55&quot;/&gt;&lt;wsp:rsid wsp:val=&quot;00F85D6A&quot;/&gt;&lt;wsp:rsid wsp:val=&quot;00F85FCC&quot;/&gt;&lt;wsp:rsid wsp:val=&quot;00F85FFE&quot;/&gt;&lt;wsp:rsid wsp:val=&quot;00F8610B&quot;/&gt;&lt;wsp:rsid wsp:val=&quot;00F861B2&quot;/&gt;&lt;wsp:rsid wsp:val=&quot;00F8668B&quot;/&gt;&lt;wsp:rsid wsp:val=&quot;00F869E8&quot;/&gt;&lt;wsp:rsid wsp:val=&quot;00F872D4&quot;/&gt;&lt;wsp:rsid wsp:val=&quot;00F87413&quot;/&gt;&lt;wsp:rsid wsp:val=&quot;00F87629&quot;/&gt;&lt;wsp:rsid wsp:val=&quot;00F904F2&quot;/&gt;&lt;wsp:rsid wsp:val=&quot;00F9087B&quot;/&gt;&lt;wsp:rsid wsp:val=&quot;00F909BE&quot;/&gt;&lt;wsp:rsid wsp:val=&quot;00F90C6C&quot;/&gt;&lt;wsp:rsid wsp:val=&quot;00F90DDD&quot;/&gt;&lt;wsp:rsid wsp:val=&quot;00F90EAE&quot;/&gt;&lt;wsp:rsid wsp:val=&quot;00F910CC&quot;/&gt;&lt;wsp:rsid wsp:val=&quot;00F9137D&quot;/&gt;&lt;wsp:rsid wsp:val=&quot;00F913C7&quot;/&gt;&lt;wsp:rsid wsp:val=&quot;00F91805&quot;/&gt;&lt;wsp:rsid wsp:val=&quot;00F9180A&quot;/&gt;&lt;wsp:rsid wsp:val=&quot;00F9185F&quot;/&gt;&lt;wsp:rsid wsp:val=&quot;00F918C6&quot;/&gt;&lt;wsp:rsid wsp:val=&quot;00F91A03&quot;/&gt;&lt;wsp:rsid wsp:val=&quot;00F91E10&quot;/&gt;&lt;wsp:rsid wsp:val=&quot;00F92174&quot;/&gt;&lt;wsp:rsid wsp:val=&quot;00F92368&quot;/&gt;&lt;wsp:rsid wsp:val=&quot;00F92599&quot;/&gt;&lt;wsp:rsid wsp:val=&quot;00F9278C&quot;/&gt;&lt;wsp:rsid wsp:val=&quot;00F92B0A&quot;/&gt;&lt;wsp:rsid wsp:val=&quot;00F92B8A&quot;/&gt;&lt;wsp:rsid wsp:val=&quot;00F92DCC&quot;/&gt;&lt;wsp:rsid wsp:val=&quot;00F93064&quot;/&gt;&lt;wsp:rsid wsp:val=&quot;00F93393&quot;/&gt;&lt;wsp:rsid wsp:val=&quot;00F9339B&quot;/&gt;&lt;wsp:rsid wsp:val=&quot;00F936E5&quot;/&gt;&lt;wsp:rsid wsp:val=&quot;00F9382C&quot;/&gt;&lt;wsp:rsid wsp:val=&quot;00F93857&quot;/&gt;&lt;wsp:rsid wsp:val=&quot;00F938B0&quot;/&gt;&lt;wsp:rsid wsp:val=&quot;00F93958&quot;/&gt;&lt;wsp:rsid wsp:val=&quot;00F939FF&quot;/&gt;&lt;wsp:rsid wsp:val=&quot;00F93DF0&quot;/&gt;&lt;wsp:rsid wsp:val=&quot;00F94127&quot;/&gt;&lt;wsp:rsid wsp:val=&quot;00F94162&quot;/&gt;&lt;wsp:rsid wsp:val=&quot;00F9421A&quot;/&gt;&lt;wsp:rsid wsp:val=&quot;00F942CE&quot;/&gt;&lt;wsp:rsid wsp:val=&quot;00F9446F&quot;/&gt;&lt;wsp:rsid wsp:val=&quot;00F945DA&quot;/&gt;&lt;wsp:rsid wsp:val=&quot;00F947BF&quot;/&gt;&lt;wsp:rsid wsp:val=&quot;00F949EE&quot;/&gt;&lt;wsp:rsid wsp:val=&quot;00F94A3C&quot;/&gt;&lt;wsp:rsid wsp:val=&quot;00F94AC9&quot;/&gt;&lt;wsp:rsid wsp:val=&quot;00F94C9B&quot;/&gt;&lt;wsp:rsid wsp:val=&quot;00F95040&quot;/&gt;&lt;wsp:rsid wsp:val=&quot;00F953B2&quot;/&gt;&lt;wsp:rsid wsp:val=&quot;00F955D9&quot;/&gt;&lt;wsp:rsid wsp:val=&quot;00F956A7&quot;/&gt;&lt;wsp:rsid wsp:val=&quot;00F95727&quot;/&gt;&lt;wsp:rsid wsp:val=&quot;00F95ACD&quot;/&gt;&lt;wsp:rsid wsp:val=&quot;00F95CC2&quot;/&gt;&lt;wsp:rsid wsp:val=&quot;00F95DDB&quot;/&gt;&lt;wsp:rsid wsp:val=&quot;00F96017&quot;/&gt;&lt;wsp:rsid wsp:val=&quot;00F960DB&quot;/&gt;&lt;wsp:rsid wsp:val=&quot;00F961F6&quot;/&gt;&lt;wsp:rsid wsp:val=&quot;00F96439&quot;/&gt;&lt;wsp:rsid wsp:val=&quot;00F966B5&quot;/&gt;&lt;wsp:rsid wsp:val=&quot;00F96ECC&quot;/&gt;&lt;wsp:rsid wsp:val=&quot;00F96F6C&quot;/&gt;&lt;wsp:rsid wsp:val=&quot;00F9708C&quot;/&gt;&lt;wsp:rsid wsp:val=&quot;00F979A7&quot;/&gt;&lt;wsp:rsid wsp:val=&quot;00F97A98&quot;/&gt;&lt;wsp:rsid wsp:val=&quot;00FA0067&quot;/&gt;&lt;wsp:rsid wsp:val=&quot;00FA0121&quot;/&gt;&lt;wsp:rsid wsp:val=&quot;00FA0200&quot;/&gt;&lt;wsp:rsid wsp:val=&quot;00FA0352&quot;/&gt;&lt;wsp:rsid wsp:val=&quot;00FA0434&quot;/&gt;&lt;wsp:rsid wsp:val=&quot;00FA05FC&quot;/&gt;&lt;wsp:rsid wsp:val=&quot;00FA0837&quot;/&gt;&lt;wsp:rsid wsp:val=&quot;00FA08FE&quot;/&gt;&lt;wsp:rsid wsp:val=&quot;00FA0E39&quot;/&gt;&lt;wsp:rsid wsp:val=&quot;00FA0EB8&quot;/&gt;&lt;wsp:rsid wsp:val=&quot;00FA113D&quot;/&gt;&lt;wsp:rsid wsp:val=&quot;00FA1199&quot;/&gt;&lt;wsp:rsid wsp:val=&quot;00FA139F&quot;/&gt;&lt;wsp:rsid wsp:val=&quot;00FA15BD&quot;/&gt;&lt;wsp:rsid wsp:val=&quot;00FA16DB&quot;/&gt;&lt;wsp:rsid wsp:val=&quot;00FA19A0&quot;/&gt;&lt;wsp:rsid wsp:val=&quot;00FA1A18&quot;/&gt;&lt;wsp:rsid wsp:val=&quot;00FA1A89&quot;/&gt;&lt;wsp:rsid wsp:val=&quot;00FA1D17&quot;/&gt;&lt;wsp:rsid wsp:val=&quot;00FA1D2C&quot;/&gt;&lt;wsp:rsid wsp:val=&quot;00FA215C&quot;/&gt;&lt;wsp:rsid wsp:val=&quot;00FA223B&quot;/&gt;&lt;wsp:rsid wsp:val=&quot;00FA24CD&quot;/&gt;&lt;wsp:rsid wsp:val=&quot;00FA29DA&quot;/&gt;&lt;wsp:rsid wsp:val=&quot;00FA2D00&quot;/&gt;&lt;wsp:rsid wsp:val=&quot;00FA2D42&quot;/&gt;&lt;wsp:rsid wsp:val=&quot;00FA2ECF&quot;/&gt;&lt;wsp:rsid wsp:val=&quot;00FA2F83&quot;/&gt;&lt;wsp:rsid wsp:val=&quot;00FA3376&quot;/&gt;&lt;wsp:rsid wsp:val=&quot;00FA33F0&quot;/&gt;&lt;wsp:rsid wsp:val=&quot;00FA34E7&quot;/&gt;&lt;wsp:rsid wsp:val=&quot;00FA3A2B&quot;/&gt;&lt;wsp:rsid wsp:val=&quot;00FA3C5F&quot;/&gt;&lt;wsp:rsid wsp:val=&quot;00FA3CB0&quot;/&gt;&lt;wsp:rsid wsp:val=&quot;00FA3CF0&quot;/&gt;&lt;wsp:rsid wsp:val=&quot;00FA4518&quot;/&gt;&lt;wsp:rsid wsp:val=&quot;00FA4A95&quot;/&gt;&lt;wsp:rsid wsp:val=&quot;00FA4AC8&quot;/&gt;&lt;wsp:rsid wsp:val=&quot;00FA4DD0&quot;/&gt;&lt;wsp:rsid wsp:val=&quot;00FA4E15&quot;/&gt;&lt;wsp:rsid wsp:val=&quot;00FA52E9&quot;/&gt;&lt;wsp:rsid wsp:val=&quot;00FA5309&quot;/&gt;&lt;wsp:rsid wsp:val=&quot;00FA5660&quot;/&gt;&lt;wsp:rsid wsp:val=&quot;00FA5721&quot;/&gt;&lt;wsp:rsid wsp:val=&quot;00FA5AB0&quot;/&gt;&lt;wsp:rsid wsp:val=&quot;00FA5AD5&quot;/&gt;&lt;wsp:rsid wsp:val=&quot;00FA5D0F&quot;/&gt;&lt;wsp:rsid wsp:val=&quot;00FA60FE&quot;/&gt;&lt;wsp:rsid wsp:val=&quot;00FA64F9&quot;/&gt;&lt;wsp:rsid wsp:val=&quot;00FA6A6F&quot;/&gt;&lt;wsp:rsid wsp:val=&quot;00FA6E9A&quot;/&gt;&lt;wsp:rsid wsp:val=&quot;00FA70AB&quot;/&gt;&lt;wsp:rsid wsp:val=&quot;00FA777D&quot;/&gt;&lt;wsp:rsid wsp:val=&quot;00FA7B05&quot;/&gt;&lt;wsp:rsid wsp:val=&quot;00FA7B53&quot;/&gt;&lt;wsp:rsid wsp:val=&quot;00FA7EF8&quot;/&gt;&lt;wsp:rsid wsp:val=&quot;00FB01B2&quot;/&gt;&lt;wsp:rsid wsp:val=&quot;00FB01F3&quot;/&gt;&lt;wsp:rsid wsp:val=&quot;00FB104B&quot;/&gt;&lt;wsp:rsid wsp:val=&quot;00FB139A&quot;/&gt;&lt;wsp:rsid wsp:val=&quot;00FB13E7&quot;/&gt;&lt;wsp:rsid wsp:val=&quot;00FB1483&quot;/&gt;&lt;wsp:rsid wsp:val=&quot;00FB17EF&quot;/&gt;&lt;wsp:rsid wsp:val=&quot;00FB1E07&quot;/&gt;&lt;wsp:rsid wsp:val=&quot;00FB1FD7&quot;/&gt;&lt;wsp:rsid wsp:val=&quot;00FB28C3&quot;/&gt;&lt;wsp:rsid wsp:val=&quot;00FB2B5D&quot;/&gt;&lt;wsp:rsid wsp:val=&quot;00FB2BC0&quot;/&gt;&lt;wsp:rsid wsp:val=&quot;00FB2E70&quot;/&gt;&lt;wsp:rsid wsp:val=&quot;00FB2F39&quot;/&gt;&lt;wsp:rsid wsp:val=&quot;00FB3123&quot;/&gt;&lt;wsp:rsid wsp:val=&quot;00FB316F&quot;/&gt;&lt;wsp:rsid wsp:val=&quot;00FB319E&quot;/&gt;&lt;wsp:rsid wsp:val=&quot;00FB3480&quot;/&gt;&lt;wsp:rsid wsp:val=&quot;00FB421E&quot;/&gt;&lt;wsp:rsid wsp:val=&quot;00FB42B5&quot;/&gt;&lt;wsp:rsid wsp:val=&quot;00FB4381&quot;/&gt;&lt;wsp:rsid wsp:val=&quot;00FB43EE&quot;/&gt;&lt;wsp:rsid wsp:val=&quot;00FB4B48&quot;/&gt;&lt;wsp:rsid wsp:val=&quot;00FB4F5F&quot;/&gt;&lt;wsp:rsid wsp:val=&quot;00FB5041&quot;/&gt;&lt;wsp:rsid wsp:val=&quot;00FB5557&quot;/&gt;&lt;wsp:rsid wsp:val=&quot;00FB590C&quot;/&gt;&lt;wsp:rsid wsp:val=&quot;00FB5B08&quot;/&gt;&lt;wsp:rsid wsp:val=&quot;00FB5FC6&quot;/&gt;&lt;wsp:rsid wsp:val=&quot;00FB62F7&quot;/&gt;&lt;wsp:rsid wsp:val=&quot;00FB6389&quot;/&gt;&lt;wsp:rsid wsp:val=&quot;00FB6779&quot;/&gt;&lt;wsp:rsid wsp:val=&quot;00FB69DE&quot;/&gt;&lt;wsp:rsid wsp:val=&quot;00FB6DD7&quot;/&gt;&lt;wsp:rsid wsp:val=&quot;00FB70AD&quot;/&gt;&lt;wsp:rsid wsp:val=&quot;00FB71DE&quot;/&gt;&lt;wsp:rsid wsp:val=&quot;00FB7395&quot;/&gt;&lt;wsp:rsid wsp:val=&quot;00FB7416&quot;/&gt;&lt;wsp:rsid wsp:val=&quot;00FB74E3&quot;/&gt;&lt;wsp:rsid wsp:val=&quot;00FB7579&quot;/&gt;&lt;wsp:rsid wsp:val=&quot;00FB7598&quot;/&gt;&lt;wsp:rsid wsp:val=&quot;00FB778C&quot;/&gt;&lt;wsp:rsid wsp:val=&quot;00FB783A&quot;/&gt;&lt;wsp:rsid wsp:val=&quot;00FB7AE3&quot;/&gt;&lt;wsp:rsid wsp:val=&quot;00FB7B6D&quot;/&gt;&lt;wsp:rsid wsp:val=&quot;00FB7E6D&quot;/&gt;&lt;wsp:rsid wsp:val=&quot;00FC0211&quot;/&gt;&lt;wsp:rsid wsp:val=&quot;00FC02A0&quot;/&gt;&lt;wsp:rsid wsp:val=&quot;00FC0468&quot;/&gt;&lt;wsp:rsid wsp:val=&quot;00FC0620&quot;/&gt;&lt;wsp:rsid wsp:val=&quot;00FC0880&quot;/&gt;&lt;wsp:rsid wsp:val=&quot;00FC0BA6&quot;/&gt;&lt;wsp:rsid wsp:val=&quot;00FC0DE5&quot;/&gt;&lt;wsp:rsid wsp:val=&quot;00FC107B&quot;/&gt;&lt;wsp:rsid wsp:val=&quot;00FC12AA&quot;/&gt;&lt;wsp:rsid wsp:val=&quot;00FC1469&quot;/&gt;&lt;wsp:rsid wsp:val=&quot;00FC1538&quot;/&gt;&lt;wsp:rsid wsp:val=&quot;00FC1546&quot;/&gt;&lt;wsp:rsid wsp:val=&quot;00FC1604&quot;/&gt;&lt;wsp:rsid wsp:val=&quot;00FC16D1&quot;/&gt;&lt;wsp:rsid wsp:val=&quot;00FC1A05&quot;/&gt;&lt;wsp:rsid wsp:val=&quot;00FC1A18&quot;/&gt;&lt;wsp:rsid wsp:val=&quot;00FC1A8F&quot;/&gt;&lt;wsp:rsid wsp:val=&quot;00FC1E4F&quot;/&gt;&lt;wsp:rsid wsp:val=&quot;00FC1F22&quot;/&gt;&lt;wsp:rsid wsp:val=&quot;00FC2212&quot;/&gt;&lt;wsp:rsid wsp:val=&quot;00FC2588&quot;/&gt;&lt;wsp:rsid wsp:val=&quot;00FC2609&quot;/&gt;&lt;wsp:rsid wsp:val=&quot;00FC2899&quot;/&gt;&lt;wsp:rsid wsp:val=&quot;00FC2916&quot;/&gt;&lt;wsp:rsid wsp:val=&quot;00FC2B0B&quot;/&gt;&lt;wsp:rsid wsp:val=&quot;00FC30F5&quot;/&gt;&lt;wsp:rsid wsp:val=&quot;00FC32C7&quot;/&gt;&lt;wsp:rsid wsp:val=&quot;00FC33A1&quot;/&gt;&lt;wsp:rsid wsp:val=&quot;00FC3550&quot;/&gt;&lt;wsp:rsid wsp:val=&quot;00FC3AC5&quot;/&gt;&lt;wsp:rsid wsp:val=&quot;00FC3B3C&quot;/&gt;&lt;wsp:rsid wsp:val=&quot;00FC3C2D&quot;/&gt;&lt;wsp:rsid wsp:val=&quot;00FC3E26&quot;/&gt;&lt;wsp:rsid wsp:val=&quot;00FC4165&quot;/&gt;&lt;wsp:rsid wsp:val=&quot;00FC44D1&quot;/&gt;&lt;wsp:rsid wsp:val=&quot;00FC482A&quot;/&gt;&lt;wsp:rsid wsp:val=&quot;00FC4EE0&quot;/&gt;&lt;wsp:rsid wsp:val=&quot;00FC4F21&quot;/&gt;&lt;wsp:rsid wsp:val=&quot;00FC503B&quot;/&gt;&lt;wsp:rsid wsp:val=&quot;00FC50A5&quot;/&gt;&lt;wsp:rsid wsp:val=&quot;00FC5306&quot;/&gt;&lt;wsp:rsid wsp:val=&quot;00FC5480&quot;/&gt;&lt;wsp:rsid wsp:val=&quot;00FC549A&quot;/&gt;&lt;wsp:rsid wsp:val=&quot;00FC54F6&quot;/&gt;&lt;wsp:rsid wsp:val=&quot;00FC5531&quot;/&gt;&lt;wsp:rsid wsp:val=&quot;00FC5799&quot;/&gt;&lt;wsp:rsid wsp:val=&quot;00FC5CA0&quot;/&gt;&lt;wsp:rsid wsp:val=&quot;00FC5CA8&quot;/&gt;&lt;wsp:rsid wsp:val=&quot;00FC5DF7&quot;/&gt;&lt;wsp:rsid wsp:val=&quot;00FC6089&quot;/&gt;&lt;wsp:rsid wsp:val=&quot;00FC60F0&quot;/&gt;&lt;wsp:rsid wsp:val=&quot;00FC64D3&quot;/&gt;&lt;wsp:rsid wsp:val=&quot;00FC65F6&quot;/&gt;&lt;wsp:rsid wsp:val=&quot;00FC6724&quot;/&gt;&lt;wsp:rsid wsp:val=&quot;00FC6953&quot;/&gt;&lt;wsp:rsid wsp:val=&quot;00FC6B5E&quot;/&gt;&lt;wsp:rsid wsp:val=&quot;00FC6F30&quot;/&gt;&lt;wsp:rsid wsp:val=&quot;00FC703B&quot;/&gt;&lt;wsp:rsid wsp:val=&quot;00FC74B3&quot;/&gt;&lt;wsp:rsid wsp:val=&quot;00FC7525&quot;/&gt;&lt;wsp:rsid wsp:val=&quot;00FC7D0E&quot;/&gt;&lt;wsp:rsid wsp:val=&quot;00FC7D71&quot;/&gt;&lt;wsp:rsid wsp:val=&quot;00FC7EA3&quot;/&gt;&lt;wsp:rsid wsp:val=&quot;00FC7EFB&quot;/&gt;&lt;wsp:rsid wsp:val=&quot;00FC7FFA&quot;/&gt;&lt;wsp:rsid wsp:val=&quot;00FD007F&quot;/&gt;&lt;wsp:rsid wsp:val=&quot;00FD0502&quot;/&gt;&lt;wsp:rsid wsp:val=&quot;00FD0665&quot;/&gt;&lt;wsp:rsid wsp:val=&quot;00FD08E0&quot;/&gt;&lt;wsp:rsid wsp:val=&quot;00FD101C&quot;/&gt;&lt;wsp:rsid wsp:val=&quot;00FD1565&quot;/&gt;&lt;wsp:rsid wsp:val=&quot;00FD164E&quot;/&gt;&lt;wsp:rsid wsp:val=&quot;00FD17D1&quot;/&gt;&lt;wsp:rsid wsp:val=&quot;00FD1BB8&quot;/&gt;&lt;wsp:rsid wsp:val=&quot;00FD1DCE&quot;/&gt;&lt;wsp:rsid wsp:val=&quot;00FD29B1&quot;/&gt;&lt;wsp:rsid wsp:val=&quot;00FD2B0D&quot;/&gt;&lt;wsp:rsid wsp:val=&quot;00FD2FCB&quot;/&gt;&lt;wsp:rsid wsp:val=&quot;00FD311C&quot;/&gt;&lt;wsp:rsid wsp:val=&quot;00FD3473&quot;/&gt;&lt;wsp:rsid wsp:val=&quot;00FD3814&quot;/&gt;&lt;wsp:rsid wsp:val=&quot;00FD3F9E&quot;/&gt;&lt;wsp:rsid wsp:val=&quot;00FD412A&quot;/&gt;&lt;wsp:rsid wsp:val=&quot;00FD43C0&quot;/&gt;&lt;wsp:rsid wsp:val=&quot;00FD468B&quot;/&gt;&lt;wsp:rsid wsp:val=&quot;00FD46F0&quot;/&gt;&lt;wsp:rsid wsp:val=&quot;00FD491E&quot;/&gt;&lt;wsp:rsid wsp:val=&quot;00FD4C35&quot;/&gt;&lt;wsp:rsid wsp:val=&quot;00FD4D2B&quot;/&gt;&lt;wsp:rsid wsp:val=&quot;00FD5057&quot;/&gt;&lt;wsp:rsid wsp:val=&quot;00FD5099&quot;/&gt;&lt;wsp:rsid wsp:val=&quot;00FD51A4&quot;/&gt;&lt;wsp:rsid wsp:val=&quot;00FD55AA&quot;/&gt;&lt;wsp:rsid wsp:val=&quot;00FD60E0&quot;/&gt;&lt;wsp:rsid wsp:val=&quot;00FD6440&quot;/&gt;&lt;wsp:rsid wsp:val=&quot;00FD6539&quot;/&gt;&lt;wsp:rsid wsp:val=&quot;00FD653C&quot;/&gt;&lt;wsp:rsid wsp:val=&quot;00FD65AE&quot;/&gt;&lt;wsp:rsid wsp:val=&quot;00FD65CB&quot;/&gt;&lt;wsp:rsid wsp:val=&quot;00FD66DB&quot;/&gt;&lt;wsp:rsid wsp:val=&quot;00FD6797&quot;/&gt;&lt;wsp:rsid wsp:val=&quot;00FD68B1&quot;/&gt;&lt;wsp:rsid wsp:val=&quot;00FD68EF&quot;/&gt;&lt;wsp:rsid wsp:val=&quot;00FD69D2&quot;/&gt;&lt;wsp:rsid wsp:val=&quot;00FD69F4&quot;/&gt;&lt;wsp:rsid wsp:val=&quot;00FD6B4F&quot;/&gt;&lt;wsp:rsid wsp:val=&quot;00FD6EB0&quot;/&gt;&lt;wsp:rsid wsp:val=&quot;00FD6FA8&quot;/&gt;&lt;wsp:rsid wsp:val=&quot;00FD73BA&quot;/&gt;&lt;wsp:rsid wsp:val=&quot;00FD73C6&quot;/&gt;&lt;wsp:rsid wsp:val=&quot;00FD7440&quot;/&gt;&lt;wsp:rsid wsp:val=&quot;00FD7999&quot;/&gt;&lt;wsp:rsid wsp:val=&quot;00FD7ADE&quot;/&gt;&lt;wsp:rsid wsp:val=&quot;00FD7C0A&quot;/&gt;&lt;wsp:rsid wsp:val=&quot;00FD7E4F&quot;/&gt;&lt;wsp:rsid wsp:val=&quot;00FD7E89&quot;/&gt;&lt;wsp:rsid wsp:val=&quot;00FD7F63&quot;/&gt;&lt;wsp:rsid wsp:val=&quot;00FD7F7B&quot;/&gt;&lt;wsp:rsid wsp:val=&quot;00FE01C5&quot;/&gt;&lt;wsp:rsid wsp:val=&quot;00FE0361&quot;/&gt;&lt;wsp:rsid wsp:val=&quot;00FE0445&quot;/&gt;&lt;wsp:rsid wsp:val=&quot;00FE047D&quot;/&gt;&lt;wsp:rsid wsp:val=&quot;00FE05DA&quot;/&gt;&lt;wsp:rsid wsp:val=&quot;00FE0621&quot;/&gt;&lt;wsp:rsid wsp:val=&quot;00FE068D&quot;/&gt;&lt;wsp:rsid wsp:val=&quot;00FE0799&quot;/&gt;&lt;wsp:rsid wsp:val=&quot;00FE09B4&quot;/&gt;&lt;wsp:rsid wsp:val=&quot;00FE0B64&quot;/&gt;&lt;wsp:rsid wsp:val=&quot;00FE0CD8&quot;/&gt;&lt;wsp:rsid wsp:val=&quot;00FE0D10&quot;/&gt;&lt;wsp:rsid wsp:val=&quot;00FE0E92&quot;/&gt;&lt;wsp:rsid wsp:val=&quot;00FE0EF3&quot;/&gt;&lt;wsp:rsid wsp:val=&quot;00FE113A&quot;/&gt;&lt;wsp:rsid wsp:val=&quot;00FE12D7&quot;/&gt;&lt;wsp:rsid wsp:val=&quot;00FE12EC&quot;/&gt;&lt;wsp:rsid wsp:val=&quot;00FE159C&quot;/&gt;&lt;wsp:rsid wsp:val=&quot;00FE1810&quot;/&gt;&lt;wsp:rsid wsp:val=&quot;00FE1940&quot;/&gt;&lt;wsp:rsid wsp:val=&quot;00FE19FB&quot;/&gt;&lt;wsp:rsid wsp:val=&quot;00FE1B9B&quot;/&gt;&lt;wsp:rsid wsp:val=&quot;00FE1E34&quot;/&gt;&lt;wsp:rsid wsp:val=&quot;00FE1E94&quot;/&gt;&lt;wsp:rsid wsp:val=&quot;00FE1EE2&quot;/&gt;&lt;wsp:rsid wsp:val=&quot;00FE2272&quot;/&gt;&lt;wsp:rsid wsp:val=&quot;00FE22A0&quot;/&gt;&lt;wsp:rsid wsp:val=&quot;00FE22FB&quot;/&gt;&lt;wsp:rsid wsp:val=&quot;00FE2413&quot;/&gt;&lt;wsp:rsid wsp:val=&quot;00FE253F&quot;/&gt;&lt;wsp:rsid wsp:val=&quot;00FE27E4&quot;/&gt;&lt;wsp:rsid wsp:val=&quot;00FE2A90&quot;/&gt;&lt;wsp:rsid wsp:val=&quot;00FE2E78&quot;/&gt;&lt;wsp:rsid wsp:val=&quot;00FE3163&quot;/&gt;&lt;wsp:rsid wsp:val=&quot;00FE3179&quot;/&gt;&lt;wsp:rsid wsp:val=&quot;00FE38DF&quot;/&gt;&lt;wsp:rsid wsp:val=&quot;00FE394F&quot;/&gt;&lt;wsp:rsid wsp:val=&quot;00FE3E3A&quot;/&gt;&lt;wsp:rsid wsp:val=&quot;00FE3EE5&quot;/&gt;&lt;wsp:rsid wsp:val=&quot;00FE3F66&quot;/&gt;&lt;wsp:rsid wsp:val=&quot;00FE3FCE&quot;/&gt;&lt;wsp:rsid wsp:val=&quot;00FE40F3&quot;/&gt;&lt;wsp:rsid wsp:val=&quot;00FE424E&quot;/&gt;&lt;wsp:rsid wsp:val=&quot;00FE453F&quot;/&gt;&lt;wsp:rsid wsp:val=&quot;00FE4654&quot;/&gt;&lt;wsp:rsid wsp:val=&quot;00FE4A2E&quot;/&gt;&lt;wsp:rsid wsp:val=&quot;00FE4E08&quot;/&gt;&lt;wsp:rsid wsp:val=&quot;00FE56D3&quot;/&gt;&lt;wsp:rsid wsp:val=&quot;00FE5859&quot;/&gt;&lt;wsp:rsid wsp:val=&quot;00FE5ACE&quot;/&gt;&lt;wsp:rsid wsp:val=&quot;00FE5B70&quot;/&gt;&lt;wsp:rsid wsp:val=&quot;00FE5D62&quot;/&gt;&lt;wsp:rsid wsp:val=&quot;00FE5E07&quot;/&gt;&lt;wsp:rsid wsp:val=&quot;00FE5F53&quot;/&gt;&lt;wsp:rsid wsp:val=&quot;00FE6651&quot;/&gt;&lt;wsp:rsid wsp:val=&quot;00FE67A9&quot;/&gt;&lt;wsp:rsid wsp:val=&quot;00FE6F05&quot;/&gt;&lt;wsp:rsid wsp:val=&quot;00FE6F89&quot;/&gt;&lt;wsp:rsid wsp:val=&quot;00FE706B&quot;/&gt;&lt;wsp:rsid wsp:val=&quot;00FE7148&quot;/&gt;&lt;wsp:rsid wsp:val=&quot;00FE71ED&quot;/&gt;&lt;wsp:rsid wsp:val=&quot;00FE73B2&quot;/&gt;&lt;wsp:rsid wsp:val=&quot;00FE73D0&quot;/&gt;&lt;wsp:rsid wsp:val=&quot;00FE774E&quot;/&gt;&lt;wsp:rsid wsp:val=&quot;00FE79A9&quot;/&gt;&lt;wsp:rsid wsp:val=&quot;00FE7B07&quot;/&gt;&lt;wsp:rsid wsp:val=&quot;00FE7BC4&quot;/&gt;&lt;wsp:rsid wsp:val=&quot;00FF0002&quot;/&gt;&lt;wsp:rsid wsp:val=&quot;00FF027B&quot;/&gt;&lt;wsp:rsid wsp:val=&quot;00FF034E&quot;/&gt;&lt;wsp:rsid wsp:val=&quot;00FF0CEA&quot;/&gt;&lt;wsp:rsid wsp:val=&quot;00FF0DAF&quot;/&gt;&lt;wsp:rsid wsp:val=&quot;00FF0E96&quot;/&gt;&lt;wsp:rsid wsp:val=&quot;00FF0F77&quot;/&gt;&lt;wsp:rsid wsp:val=&quot;00FF0F80&quot;/&gt;&lt;wsp:rsid wsp:val=&quot;00FF106E&quot;/&gt;&lt;wsp:rsid wsp:val=&quot;00FF12C8&quot;/&gt;&lt;wsp:rsid wsp:val=&quot;00FF14A3&quot;/&gt;&lt;wsp:rsid wsp:val=&quot;00FF1A10&quot;/&gt;&lt;wsp:rsid wsp:val=&quot;00FF1B27&quot;/&gt;&lt;wsp:rsid wsp:val=&quot;00FF21ED&quot;/&gt;&lt;wsp:rsid wsp:val=&quot;00FF2406&quot;/&gt;&lt;wsp:rsid wsp:val=&quot;00FF2453&quot;/&gt;&lt;wsp:rsid wsp:val=&quot;00FF248C&quot;/&gt;&lt;wsp:rsid wsp:val=&quot;00FF2496&quot;/&gt;&lt;wsp:rsid wsp:val=&quot;00FF2888&quot;/&gt;&lt;wsp:rsid wsp:val=&quot;00FF2DF7&quot;/&gt;&lt;wsp:rsid wsp:val=&quot;00FF36F2&quot;/&gt;&lt;wsp:rsid wsp:val=&quot;00FF4019&quot;/&gt;&lt;wsp:rsid wsp:val=&quot;00FF430B&quot;/&gt;&lt;wsp:rsid wsp:val=&quot;00FF43CC&quot;/&gt;&lt;wsp:rsid wsp:val=&quot;00FF4412&quot;/&gt;&lt;wsp:rsid wsp:val=&quot;00FF4589&quot;/&gt;&lt;wsp:rsid wsp:val=&quot;00FF46A9&quot;/&gt;&lt;wsp:rsid wsp:val=&quot;00FF484E&quot;/&gt;&lt;wsp:rsid wsp:val=&quot;00FF492D&quot;/&gt;&lt;wsp:rsid wsp:val=&quot;00FF4984&quot;/&gt;&lt;wsp:rsid wsp:val=&quot;00FF4BA9&quot;/&gt;&lt;wsp:rsid wsp:val=&quot;00FF4BE3&quot;/&gt;&lt;wsp:rsid wsp:val=&quot;00FF4CEA&quot;/&gt;&lt;wsp:rsid wsp:val=&quot;00FF4D44&quot;/&gt;&lt;wsp:rsid wsp:val=&quot;00FF5313&quot;/&gt;&lt;wsp:rsid wsp:val=&quot;00FF54B6&quot;/&gt;&lt;wsp:rsid wsp:val=&quot;00FF55C5&quot;/&gt;&lt;wsp:rsid wsp:val=&quot;00FF577A&quot;/&gt;&lt;wsp:rsid wsp:val=&quot;00FF5A62&quot;/&gt;&lt;wsp:rsid wsp:val=&quot;00FF5BEE&quot;/&gt;&lt;wsp:rsid wsp:val=&quot;00FF5C94&quot;/&gt;&lt;wsp:rsid wsp:val=&quot;00FF5EE3&quot;/&gt;&lt;wsp:rsid wsp:val=&quot;00FF5F51&quot;/&gt;&lt;wsp:rsid wsp:val=&quot;00FF60AD&quot;/&gt;&lt;wsp:rsid wsp:val=&quot;00FF6251&quot;/&gt;&lt;wsp:rsid wsp:val=&quot;00FF68C2&quot;/&gt;&lt;wsp:rsid wsp:val=&quot;00FF6952&quot;/&gt;&lt;wsp:rsid wsp:val=&quot;00FF6B76&quot;/&gt;&lt;wsp:rsid wsp:val=&quot;00FF6C28&quot;/&gt;&lt;wsp:rsid wsp:val=&quot;00FF6E35&quot;/&gt;&lt;wsp:rsid wsp:val=&quot;00FF7312&quot;/&gt;&lt;wsp:rsid wsp:val=&quot;00FF764C&quot;/&gt;&lt;wsp:rsid wsp:val=&quot;00FF79EC&quot;/&gt;&lt;wsp:rsid wsp:val=&quot;00FF7A2C&quot;/&gt;&lt;wsp:rsid wsp:val=&quot;00FF7A6A&quot;/&gt;&lt;wsp:rsid wsp:val=&quot;00FF7EA4&quot;/&gt;&lt;/wsp:rsids&gt;&lt;/w:docPr&gt;&lt;w:body&gt;&lt;wx:sect&gt;&lt;w:p wsp:rsidR=&quot;00000000&quot; wsp:rsidRDefault=&quot;00642974&quot; wsp:rsidP=&quot;00642974&quot;&gt;&lt;m:oMathPara&gt;&lt;m:oMath&gt;&lt;m:sSub&gt;&lt;m:sSubPr&gt;&lt;m:ctrlPr&gt;&lt;w:rPr&gt;&lt;w:rFonts w:ascii=&quot;Cambria Math&quot; w:h-ansi=&quot;Cambria Math&quot;/&gt;&lt;wx:font wx:val=&quot;Cambria Math&quot;/&gt;&lt;w:i/&gt;&lt;w:sz-cs w:val=&quot;22&quot;/&gt;&lt;w:lang w:val=&quot;ZH-CN&quot;/&gt;&lt;/w:rPr&gt;&lt;/m:ctrlPr&gt;&lt;/m:sSubPr&gt;&lt;m:e&gt;&lt;m:r&gt;&lt;m:rPr&gt;&lt;m:sty m:val=&quot;p&quot;/&gt;&lt;/m:rPr&gt;&lt;w:rPr&gt;&lt;w:rFonts w:ascii=&quot;Cambria Math&quot; w:h-ansi=&quot;Cambria Math&quot; w:hint=&quot;fareast&quot;/&gt;&lt;wx:font wx:val=&quot;宋体&quot;/&gt;&lt;/w:rPr&gt;&lt;m:t&gt;ρ&lt;/m:t&gt;&lt;/m:r&gt;&lt;/m:e&gt;&lt;m:sub&gt;&lt;m:r&gt;&lt;w:rPr&gt;&lt;w:rFonts w:ascii=&quot;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ZH-Ca-CNmbria Math&quot; w:h-ansi=&quot;Cambria Math&quot;/&gt;&lt;wx:font wx:val=&quot;Cambria Math&quot;/&gt;&lt;w:i/&gt;&lt;/w:rPr&gt;&lt;m:t&gt;a&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Pr="002B55E9">
        <w:rPr>
          <w:bCs/>
          <w:sz w:val="24"/>
          <w:szCs w:val="22"/>
          <w:lang w:val="zh-CN" w:bidi="ne-NP"/>
        </w:rPr>
        <w:fldChar w:fldCharType="end"/>
      </w:r>
      <w:r w:rsidRPr="002B55E9">
        <w:rPr>
          <w:rFonts w:hint="eastAsia"/>
          <w:bCs/>
          <w:sz w:val="24"/>
          <w:szCs w:val="22"/>
          <w:lang w:val="zh-CN" w:bidi="ne-NP"/>
        </w:rPr>
        <w:t>——环境空气</w:t>
      </w:r>
      <w:r w:rsidRPr="002B55E9">
        <w:rPr>
          <w:bCs/>
          <w:sz w:val="24"/>
          <w:szCs w:val="22"/>
          <w:lang w:val="zh-CN" w:bidi="ne-NP"/>
        </w:rPr>
        <w:t>始密度，</w:t>
      </w:r>
      <w:r w:rsidRPr="002B55E9">
        <w:rPr>
          <w:bCs/>
          <w:sz w:val="24"/>
          <w:szCs w:val="22"/>
          <w:lang w:val="zh-CN" w:bidi="ne-NP"/>
        </w:rPr>
        <w:t>kg/m</w:t>
      </w:r>
      <w:r w:rsidRPr="002B55E9">
        <w:rPr>
          <w:bCs/>
          <w:sz w:val="24"/>
          <w:szCs w:val="22"/>
          <w:vertAlign w:val="superscript"/>
          <w:lang w:val="zh-CN" w:bidi="ne-NP"/>
        </w:rPr>
        <w:t>3</w:t>
      </w:r>
      <w:r w:rsidRPr="002B55E9">
        <w:rPr>
          <w:bCs/>
          <w:sz w:val="24"/>
          <w:szCs w:val="22"/>
          <w:lang w:val="zh-CN" w:bidi="ne-NP"/>
        </w:rPr>
        <w:t>；</w:t>
      </w:r>
    </w:p>
    <w:p w14:paraId="2EDCA487" w14:textId="77777777" w:rsidR="00D170E5" w:rsidRPr="002B55E9" w:rsidRDefault="00EF27AD">
      <w:pPr>
        <w:spacing w:after="60" w:line="360" w:lineRule="auto"/>
        <w:ind w:firstLineChars="200" w:firstLine="480"/>
        <w:rPr>
          <w:bCs/>
          <w:sz w:val="24"/>
          <w:szCs w:val="22"/>
          <w:lang w:val="zh-CN" w:bidi="ne-NP"/>
        </w:rPr>
      </w:pPr>
      <w:r w:rsidRPr="002B55E9">
        <w:rPr>
          <w:bCs/>
          <w:sz w:val="24"/>
          <w:szCs w:val="22"/>
          <w:lang w:val="zh-CN" w:bidi="ne-NP"/>
        </w:rPr>
        <w:t>Q——</w:t>
      </w:r>
      <w:r w:rsidRPr="002B55E9">
        <w:rPr>
          <w:rFonts w:hint="eastAsia"/>
          <w:bCs/>
          <w:sz w:val="24"/>
          <w:szCs w:val="22"/>
          <w:lang w:val="zh-CN" w:bidi="ne-NP"/>
        </w:rPr>
        <w:t>连续排放</w:t>
      </w:r>
      <w:r w:rsidRPr="002B55E9">
        <w:rPr>
          <w:bCs/>
          <w:sz w:val="24"/>
          <w:szCs w:val="22"/>
          <w:lang w:val="zh-CN" w:bidi="ne-NP"/>
        </w:rPr>
        <w:t>烟羽的排放速率，</w:t>
      </w:r>
      <w:r w:rsidRPr="002B55E9">
        <w:rPr>
          <w:bCs/>
          <w:sz w:val="24"/>
          <w:szCs w:val="22"/>
          <w:lang w:val="zh-CN" w:bidi="ne-NP"/>
        </w:rPr>
        <w:t>kg/s</w:t>
      </w:r>
      <w:r w:rsidRPr="002B55E9">
        <w:rPr>
          <w:bCs/>
          <w:sz w:val="24"/>
          <w:szCs w:val="22"/>
          <w:lang w:val="zh-CN" w:bidi="ne-NP"/>
        </w:rPr>
        <w:t>；</w:t>
      </w:r>
    </w:p>
    <w:p w14:paraId="61A09CF7" w14:textId="77777777" w:rsidR="00D170E5" w:rsidRPr="002B55E9" w:rsidRDefault="00EF27AD">
      <w:pPr>
        <w:spacing w:after="60" w:line="360" w:lineRule="auto"/>
        <w:ind w:firstLineChars="200" w:firstLine="480"/>
        <w:rPr>
          <w:bCs/>
          <w:sz w:val="24"/>
          <w:szCs w:val="22"/>
          <w:lang w:val="zh-CN" w:bidi="ne-NP"/>
        </w:rPr>
      </w:pPr>
      <w:r w:rsidRPr="002B55E9">
        <w:rPr>
          <w:bCs/>
          <w:sz w:val="24"/>
          <w:szCs w:val="22"/>
          <w:lang w:val="zh-CN" w:bidi="ne-NP"/>
        </w:rPr>
        <w:t>Q</w:t>
      </w:r>
      <w:r w:rsidRPr="002B55E9">
        <w:rPr>
          <w:bCs/>
          <w:sz w:val="24"/>
          <w:szCs w:val="22"/>
          <w:vertAlign w:val="subscript"/>
          <w:lang w:val="zh-CN" w:bidi="ne-NP"/>
        </w:rPr>
        <w:t>t</w:t>
      </w:r>
      <w:r w:rsidRPr="002B55E9">
        <w:rPr>
          <w:bCs/>
          <w:sz w:val="24"/>
          <w:szCs w:val="22"/>
          <w:lang w:val="zh-CN" w:bidi="ne-NP"/>
        </w:rPr>
        <w:t>——</w:t>
      </w:r>
      <w:r w:rsidRPr="002B55E9">
        <w:rPr>
          <w:rFonts w:hint="eastAsia"/>
          <w:bCs/>
          <w:sz w:val="24"/>
          <w:szCs w:val="22"/>
          <w:lang w:val="zh-CN" w:bidi="ne-NP"/>
        </w:rPr>
        <w:t>瞬时排放</w:t>
      </w:r>
      <w:r w:rsidRPr="002B55E9">
        <w:rPr>
          <w:bCs/>
          <w:sz w:val="24"/>
          <w:szCs w:val="22"/>
          <w:lang w:val="zh-CN" w:bidi="ne-NP"/>
        </w:rPr>
        <w:t>的物质质量，</w:t>
      </w:r>
      <w:r w:rsidRPr="002B55E9">
        <w:rPr>
          <w:bCs/>
          <w:sz w:val="24"/>
          <w:szCs w:val="22"/>
          <w:lang w:val="zh-CN" w:bidi="ne-NP"/>
        </w:rPr>
        <w:t>kg</w:t>
      </w:r>
      <w:r w:rsidRPr="002B55E9">
        <w:rPr>
          <w:bCs/>
          <w:sz w:val="24"/>
          <w:szCs w:val="22"/>
          <w:lang w:val="zh-CN" w:bidi="ne-NP"/>
        </w:rPr>
        <w:t>；</w:t>
      </w:r>
    </w:p>
    <w:p w14:paraId="69B2AC56" w14:textId="77777777" w:rsidR="00D170E5" w:rsidRPr="002B55E9" w:rsidRDefault="00EF27AD">
      <w:pPr>
        <w:spacing w:after="60" w:line="360" w:lineRule="auto"/>
        <w:ind w:firstLineChars="200" w:firstLine="480"/>
        <w:rPr>
          <w:bCs/>
          <w:sz w:val="24"/>
          <w:szCs w:val="22"/>
          <w:lang w:val="zh-CN" w:bidi="ne-NP"/>
        </w:rPr>
      </w:pPr>
      <w:r w:rsidRPr="002B55E9">
        <w:rPr>
          <w:bCs/>
          <w:sz w:val="24"/>
          <w:szCs w:val="22"/>
          <w:lang w:val="zh-CN" w:bidi="ne-NP"/>
        </w:rPr>
        <w:t>D</w:t>
      </w:r>
      <w:r w:rsidRPr="002B55E9">
        <w:rPr>
          <w:bCs/>
          <w:sz w:val="24"/>
          <w:szCs w:val="22"/>
          <w:vertAlign w:val="subscript"/>
          <w:lang w:val="zh-CN" w:bidi="ne-NP"/>
        </w:rPr>
        <w:t>rel</w:t>
      </w:r>
      <w:r w:rsidRPr="002B55E9">
        <w:rPr>
          <w:bCs/>
          <w:sz w:val="24"/>
          <w:szCs w:val="22"/>
          <w:lang w:val="zh-CN" w:bidi="ne-NP"/>
        </w:rPr>
        <w:t>——</w:t>
      </w:r>
      <w:r w:rsidRPr="002B55E9">
        <w:rPr>
          <w:bCs/>
          <w:sz w:val="24"/>
          <w:szCs w:val="22"/>
          <w:lang w:val="zh-CN" w:bidi="ne-NP"/>
        </w:rPr>
        <w:t>初始的</w:t>
      </w:r>
      <w:r w:rsidRPr="002B55E9">
        <w:rPr>
          <w:rFonts w:hint="eastAsia"/>
          <w:bCs/>
          <w:sz w:val="24"/>
          <w:szCs w:val="22"/>
          <w:lang w:val="zh-CN" w:bidi="ne-NP"/>
        </w:rPr>
        <w:t>烟团</w:t>
      </w:r>
      <w:r w:rsidRPr="002B55E9">
        <w:rPr>
          <w:bCs/>
          <w:sz w:val="24"/>
          <w:szCs w:val="22"/>
          <w:lang w:val="zh-CN" w:bidi="ne-NP"/>
        </w:rPr>
        <w:t>宽度，即</w:t>
      </w:r>
      <w:r w:rsidRPr="002B55E9">
        <w:rPr>
          <w:rFonts w:hint="eastAsia"/>
          <w:bCs/>
          <w:sz w:val="24"/>
          <w:szCs w:val="22"/>
          <w:lang w:val="zh-CN" w:bidi="ne-NP"/>
        </w:rPr>
        <w:t>源直径</w:t>
      </w:r>
      <w:r w:rsidRPr="002B55E9">
        <w:rPr>
          <w:bCs/>
          <w:sz w:val="24"/>
          <w:szCs w:val="22"/>
          <w:lang w:val="zh-CN" w:bidi="ne-NP"/>
        </w:rPr>
        <w:t>，</w:t>
      </w:r>
      <w:r w:rsidRPr="002B55E9">
        <w:rPr>
          <w:bCs/>
          <w:sz w:val="24"/>
          <w:szCs w:val="22"/>
          <w:lang w:val="zh-CN" w:bidi="ne-NP"/>
        </w:rPr>
        <w:t>m</w:t>
      </w:r>
      <w:r w:rsidRPr="002B55E9">
        <w:rPr>
          <w:bCs/>
          <w:sz w:val="24"/>
          <w:szCs w:val="22"/>
          <w:lang w:val="zh-CN" w:bidi="ne-NP"/>
        </w:rPr>
        <w:t>；</w:t>
      </w:r>
    </w:p>
    <w:p w14:paraId="068A3BB5" w14:textId="77777777" w:rsidR="00D170E5" w:rsidRPr="002B55E9" w:rsidRDefault="00EF27AD">
      <w:pPr>
        <w:spacing w:after="60" w:line="360" w:lineRule="auto"/>
        <w:ind w:firstLineChars="200" w:firstLine="480"/>
        <w:rPr>
          <w:bCs/>
          <w:sz w:val="24"/>
          <w:szCs w:val="22"/>
          <w:lang w:val="zh-CN" w:bidi="ne-NP"/>
        </w:rPr>
      </w:pPr>
      <w:r w:rsidRPr="002B55E9">
        <w:rPr>
          <w:bCs/>
          <w:sz w:val="24"/>
          <w:szCs w:val="22"/>
          <w:lang w:val="zh-CN" w:bidi="ne-NP"/>
        </w:rPr>
        <w:t>U</w:t>
      </w:r>
      <w:r w:rsidRPr="002B55E9">
        <w:rPr>
          <w:bCs/>
          <w:sz w:val="24"/>
          <w:szCs w:val="22"/>
          <w:vertAlign w:val="subscript"/>
          <w:lang w:val="zh-CN" w:bidi="ne-NP"/>
        </w:rPr>
        <w:t>r</w:t>
      </w:r>
      <w:r w:rsidRPr="002B55E9">
        <w:rPr>
          <w:bCs/>
          <w:sz w:val="24"/>
          <w:szCs w:val="22"/>
          <w:lang w:val="zh-CN" w:bidi="ne-NP"/>
        </w:rPr>
        <w:t>——10m</w:t>
      </w:r>
      <w:r w:rsidRPr="002B55E9">
        <w:rPr>
          <w:rFonts w:hint="eastAsia"/>
          <w:bCs/>
          <w:sz w:val="24"/>
          <w:szCs w:val="22"/>
          <w:lang w:val="zh-CN" w:bidi="ne-NP"/>
        </w:rPr>
        <w:t>高出</w:t>
      </w:r>
      <w:r w:rsidRPr="002B55E9">
        <w:rPr>
          <w:bCs/>
          <w:sz w:val="24"/>
          <w:szCs w:val="22"/>
          <w:lang w:val="zh-CN" w:bidi="ne-NP"/>
        </w:rPr>
        <w:t>风速，</w:t>
      </w:r>
      <w:r w:rsidRPr="002B55E9">
        <w:rPr>
          <w:bCs/>
          <w:sz w:val="24"/>
          <w:szCs w:val="22"/>
          <w:lang w:val="zh-CN" w:bidi="ne-NP"/>
        </w:rPr>
        <w:t>m/s</w:t>
      </w:r>
      <w:r w:rsidRPr="002B55E9">
        <w:rPr>
          <w:bCs/>
          <w:sz w:val="24"/>
          <w:szCs w:val="22"/>
          <w:lang w:val="zh-CN" w:bidi="ne-NP"/>
        </w:rPr>
        <w:t>。</w:t>
      </w:r>
    </w:p>
    <w:p w14:paraId="002147C7"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判定</w:t>
      </w:r>
      <w:r w:rsidRPr="002B55E9">
        <w:rPr>
          <w:bCs/>
          <w:snapToGrid w:val="0"/>
          <w:sz w:val="24"/>
          <w:lang w:val="zh-CN"/>
        </w:rPr>
        <w:t>连续排放还是瞬时排放。可以通过</w:t>
      </w:r>
      <w:r w:rsidRPr="002B55E9">
        <w:rPr>
          <w:rFonts w:hint="eastAsia"/>
          <w:bCs/>
          <w:snapToGrid w:val="0"/>
          <w:sz w:val="24"/>
          <w:lang w:val="zh-CN"/>
        </w:rPr>
        <w:t>对比排放</w:t>
      </w:r>
      <w:r w:rsidRPr="002B55E9">
        <w:rPr>
          <w:bCs/>
          <w:snapToGrid w:val="0"/>
          <w:sz w:val="24"/>
          <w:lang w:val="zh-CN"/>
        </w:rPr>
        <w:t>时间</w:t>
      </w:r>
      <w:r w:rsidRPr="002B55E9">
        <w:rPr>
          <w:rFonts w:hint="eastAsia"/>
          <w:bCs/>
          <w:snapToGrid w:val="0"/>
          <w:sz w:val="24"/>
          <w:lang w:val="zh-CN"/>
        </w:rPr>
        <w:t>T</w:t>
      </w:r>
      <w:r w:rsidRPr="002B55E9">
        <w:rPr>
          <w:bCs/>
          <w:snapToGrid w:val="0"/>
          <w:sz w:val="24"/>
          <w:lang w:val="zh-CN"/>
        </w:rPr>
        <w:t>d</w:t>
      </w:r>
      <w:r w:rsidRPr="002B55E9">
        <w:rPr>
          <w:bCs/>
          <w:snapToGrid w:val="0"/>
          <w:sz w:val="24"/>
          <w:lang w:val="zh-CN"/>
        </w:rPr>
        <w:t>和污染物到达最近的受体点（</w:t>
      </w:r>
      <w:r w:rsidRPr="002B55E9">
        <w:rPr>
          <w:rFonts w:hint="eastAsia"/>
          <w:bCs/>
          <w:snapToGrid w:val="0"/>
          <w:sz w:val="24"/>
          <w:lang w:val="zh-CN"/>
        </w:rPr>
        <w:t>网格点</w:t>
      </w:r>
      <w:r w:rsidRPr="002B55E9">
        <w:rPr>
          <w:bCs/>
          <w:snapToGrid w:val="0"/>
          <w:sz w:val="24"/>
          <w:lang w:val="zh-CN"/>
        </w:rPr>
        <w:t>或敏感点）</w:t>
      </w:r>
      <w:r w:rsidRPr="002B55E9">
        <w:rPr>
          <w:rFonts w:hint="eastAsia"/>
          <w:bCs/>
          <w:snapToGrid w:val="0"/>
          <w:sz w:val="24"/>
          <w:lang w:val="zh-CN"/>
        </w:rPr>
        <w:t>的</w:t>
      </w:r>
      <w:r w:rsidRPr="002B55E9">
        <w:rPr>
          <w:bCs/>
          <w:snapToGrid w:val="0"/>
          <w:sz w:val="24"/>
          <w:lang w:val="zh-CN"/>
        </w:rPr>
        <w:t>时间</w:t>
      </w:r>
      <w:r w:rsidRPr="002B55E9">
        <w:rPr>
          <w:rFonts w:hint="eastAsia"/>
          <w:bCs/>
          <w:snapToGrid w:val="0"/>
          <w:sz w:val="24"/>
          <w:lang w:val="zh-CN"/>
        </w:rPr>
        <w:t>T</w:t>
      </w:r>
      <w:r w:rsidRPr="002B55E9">
        <w:rPr>
          <w:rFonts w:hint="eastAsia"/>
          <w:bCs/>
          <w:snapToGrid w:val="0"/>
          <w:sz w:val="24"/>
          <w:lang w:val="zh-CN"/>
        </w:rPr>
        <w:t>确定</w:t>
      </w:r>
      <w:r w:rsidRPr="002B55E9">
        <w:rPr>
          <w:bCs/>
          <w:snapToGrid w:val="0"/>
          <w:sz w:val="24"/>
          <w:lang w:val="zh-CN"/>
        </w:rPr>
        <w:t>：</w:t>
      </w:r>
    </w:p>
    <w:p w14:paraId="17CB598A" w14:textId="77777777" w:rsidR="00D170E5" w:rsidRPr="002B55E9" w:rsidRDefault="00EF27AD">
      <w:pPr>
        <w:pStyle w:val="affffffffffffffffff6"/>
        <w:rPr>
          <w:snapToGrid w:val="0"/>
          <w:sz w:val="24"/>
          <w:lang w:val="zh-CN"/>
        </w:rPr>
      </w:pPr>
      <w:r w:rsidRPr="002B55E9">
        <w:rPr>
          <w:snapToGrid w:val="0"/>
          <w:sz w:val="24"/>
          <w:lang w:val="zh-CN"/>
        </w:rPr>
        <w:lastRenderedPageBreak/>
        <w:t>T=2X/U</w:t>
      </w:r>
      <w:r w:rsidRPr="002B55E9">
        <w:rPr>
          <w:snapToGrid w:val="0"/>
          <w:sz w:val="24"/>
          <w:vertAlign w:val="subscript"/>
          <w:lang w:val="zh-CN"/>
        </w:rPr>
        <w:t>r</w:t>
      </w:r>
    </w:p>
    <w:p w14:paraId="6F36B81B"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式中</w:t>
      </w:r>
      <w:r w:rsidRPr="002B55E9">
        <w:rPr>
          <w:bCs/>
          <w:snapToGrid w:val="0"/>
          <w:sz w:val="24"/>
          <w:lang w:val="zh-CN"/>
        </w:rPr>
        <w:t>：</w:t>
      </w:r>
      <w:r w:rsidRPr="002B55E9">
        <w:rPr>
          <w:rFonts w:hint="eastAsia"/>
          <w:bCs/>
          <w:snapToGrid w:val="0"/>
          <w:sz w:val="24"/>
          <w:lang w:val="zh-CN"/>
        </w:rPr>
        <w:t>X</w:t>
      </w:r>
      <w:r w:rsidRPr="002B55E9">
        <w:rPr>
          <w:rFonts w:hint="eastAsia"/>
          <w:bCs/>
          <w:snapToGrid w:val="0"/>
          <w:sz w:val="24"/>
          <w:lang w:val="zh-CN"/>
        </w:rPr>
        <w:t>——</w:t>
      </w:r>
      <w:r w:rsidRPr="002B55E9">
        <w:rPr>
          <w:bCs/>
          <w:snapToGrid w:val="0"/>
          <w:sz w:val="24"/>
          <w:lang w:val="zh-CN"/>
        </w:rPr>
        <w:t>事故发生地与计算点的距离，</w:t>
      </w:r>
      <w:r w:rsidRPr="002B55E9">
        <w:rPr>
          <w:bCs/>
          <w:snapToGrid w:val="0"/>
          <w:sz w:val="24"/>
          <w:lang w:val="zh-CN"/>
        </w:rPr>
        <w:t>m</w:t>
      </w:r>
      <w:r w:rsidRPr="002B55E9">
        <w:rPr>
          <w:bCs/>
          <w:snapToGrid w:val="0"/>
          <w:sz w:val="24"/>
          <w:lang w:val="zh-CN"/>
        </w:rPr>
        <w:t>；</w:t>
      </w:r>
    </w:p>
    <w:p w14:paraId="2141DC20" w14:textId="77777777" w:rsidR="00D170E5" w:rsidRPr="002B55E9" w:rsidRDefault="00EF27AD">
      <w:pPr>
        <w:spacing w:after="60" w:line="360" w:lineRule="auto"/>
        <w:ind w:firstLineChars="200" w:firstLine="480"/>
        <w:rPr>
          <w:bCs/>
          <w:snapToGrid w:val="0"/>
          <w:sz w:val="24"/>
          <w:lang w:val="zh-CN"/>
        </w:rPr>
      </w:pPr>
      <w:r w:rsidRPr="002B55E9">
        <w:rPr>
          <w:bCs/>
          <w:snapToGrid w:val="0"/>
          <w:sz w:val="24"/>
          <w:lang w:val="zh-CN"/>
        </w:rPr>
        <w:t>U</w:t>
      </w:r>
      <w:r w:rsidRPr="002B55E9">
        <w:rPr>
          <w:bCs/>
          <w:snapToGrid w:val="0"/>
          <w:sz w:val="24"/>
          <w:vertAlign w:val="subscript"/>
          <w:lang w:val="zh-CN"/>
        </w:rPr>
        <w:t>r</w:t>
      </w:r>
      <w:r w:rsidRPr="002B55E9">
        <w:rPr>
          <w:bCs/>
          <w:snapToGrid w:val="0"/>
          <w:sz w:val="24"/>
          <w:lang w:val="zh-CN"/>
        </w:rPr>
        <w:t>——10m</w:t>
      </w:r>
      <w:r w:rsidRPr="002B55E9">
        <w:rPr>
          <w:bCs/>
          <w:snapToGrid w:val="0"/>
          <w:sz w:val="24"/>
          <w:lang w:val="zh-CN"/>
        </w:rPr>
        <w:t>高处风速，</w:t>
      </w:r>
      <w:r w:rsidRPr="002B55E9">
        <w:rPr>
          <w:bCs/>
          <w:snapToGrid w:val="0"/>
          <w:sz w:val="24"/>
          <w:lang w:val="zh-CN"/>
        </w:rPr>
        <w:t>m/s</w:t>
      </w:r>
      <w:r w:rsidRPr="002B55E9">
        <w:rPr>
          <w:bCs/>
          <w:snapToGrid w:val="0"/>
          <w:sz w:val="24"/>
          <w:lang w:val="zh-CN"/>
        </w:rPr>
        <w:t>。假设风速和</w:t>
      </w:r>
      <w:r w:rsidRPr="002B55E9">
        <w:rPr>
          <w:rFonts w:hint="eastAsia"/>
          <w:bCs/>
          <w:snapToGrid w:val="0"/>
          <w:sz w:val="24"/>
          <w:lang w:val="zh-CN"/>
        </w:rPr>
        <w:t>风向</w:t>
      </w:r>
      <w:r w:rsidRPr="002B55E9">
        <w:rPr>
          <w:bCs/>
          <w:snapToGrid w:val="0"/>
          <w:sz w:val="24"/>
          <w:lang w:val="zh-CN"/>
        </w:rPr>
        <w:t>在</w:t>
      </w:r>
      <w:r w:rsidRPr="002B55E9">
        <w:rPr>
          <w:rFonts w:hint="eastAsia"/>
          <w:bCs/>
          <w:snapToGrid w:val="0"/>
          <w:sz w:val="24"/>
          <w:lang w:val="zh-CN"/>
        </w:rPr>
        <w:t>T</w:t>
      </w:r>
      <w:r w:rsidRPr="002B55E9">
        <w:rPr>
          <w:rFonts w:hint="eastAsia"/>
          <w:bCs/>
          <w:snapToGrid w:val="0"/>
          <w:sz w:val="24"/>
          <w:lang w:val="zh-CN"/>
        </w:rPr>
        <w:t>时间</w:t>
      </w:r>
      <w:r w:rsidRPr="002B55E9">
        <w:rPr>
          <w:bCs/>
          <w:snapToGrid w:val="0"/>
          <w:sz w:val="24"/>
          <w:lang w:val="zh-CN"/>
        </w:rPr>
        <w:t>段内保持不变</w:t>
      </w:r>
      <w:r w:rsidRPr="002B55E9">
        <w:rPr>
          <w:rFonts w:hint="eastAsia"/>
          <w:bCs/>
          <w:snapToGrid w:val="0"/>
          <w:sz w:val="24"/>
          <w:lang w:val="zh-CN"/>
        </w:rPr>
        <w:t>。</w:t>
      </w:r>
    </w:p>
    <w:p w14:paraId="76A68E7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判断标准</w:t>
      </w:r>
      <w:r w:rsidRPr="002B55E9">
        <w:rPr>
          <w:bCs/>
          <w:snapToGrid w:val="0"/>
          <w:sz w:val="24"/>
        </w:rPr>
        <w:t>：对于连续排放，</w:t>
      </w:r>
      <w:r w:rsidRPr="002B55E9">
        <w:rPr>
          <w:bCs/>
          <w:snapToGrid w:val="0"/>
          <w:sz w:val="24"/>
        </w:rPr>
        <w:t>R</w:t>
      </w:r>
      <w:r w:rsidRPr="002B55E9">
        <w:rPr>
          <w:bCs/>
          <w:snapToGrid w:val="0"/>
          <w:sz w:val="24"/>
          <w:vertAlign w:val="subscript"/>
        </w:rPr>
        <w:t>i</w:t>
      </w:r>
      <w:r w:rsidRPr="002B55E9">
        <w:rPr>
          <w:rFonts w:hint="eastAsia"/>
          <w:bCs/>
          <w:snapToGrid w:val="0"/>
          <w:sz w:val="24"/>
        </w:rPr>
        <w:t>≥</w:t>
      </w:r>
      <w:r w:rsidRPr="002B55E9">
        <w:rPr>
          <w:rFonts w:hint="eastAsia"/>
          <w:bCs/>
          <w:snapToGrid w:val="0"/>
          <w:sz w:val="24"/>
        </w:rPr>
        <w:t>1/6</w:t>
      </w:r>
      <w:r w:rsidRPr="002B55E9">
        <w:rPr>
          <w:rFonts w:hint="eastAsia"/>
          <w:bCs/>
          <w:snapToGrid w:val="0"/>
          <w:sz w:val="24"/>
        </w:rPr>
        <w:t>为重质气体</w:t>
      </w:r>
      <w:r w:rsidRPr="002B55E9">
        <w:rPr>
          <w:bCs/>
          <w:snapToGrid w:val="0"/>
          <w:sz w:val="24"/>
        </w:rPr>
        <w:t>，</w:t>
      </w:r>
      <w:r w:rsidRPr="002B55E9">
        <w:rPr>
          <w:bCs/>
          <w:snapToGrid w:val="0"/>
          <w:sz w:val="24"/>
        </w:rPr>
        <w:t>R</w:t>
      </w:r>
      <w:r w:rsidRPr="002B55E9">
        <w:rPr>
          <w:bCs/>
          <w:snapToGrid w:val="0"/>
          <w:sz w:val="24"/>
          <w:vertAlign w:val="subscript"/>
        </w:rPr>
        <w:t>i</w:t>
      </w:r>
      <w:r w:rsidRPr="002B55E9">
        <w:rPr>
          <w:bCs/>
          <w:snapToGrid w:val="0"/>
          <w:sz w:val="24"/>
        </w:rPr>
        <w:t>＜</w:t>
      </w:r>
      <w:r w:rsidRPr="002B55E9">
        <w:rPr>
          <w:rFonts w:hint="eastAsia"/>
          <w:bCs/>
          <w:snapToGrid w:val="0"/>
          <w:sz w:val="24"/>
        </w:rPr>
        <w:t>1/6</w:t>
      </w:r>
      <w:r w:rsidRPr="002B55E9">
        <w:rPr>
          <w:rFonts w:hint="eastAsia"/>
          <w:bCs/>
          <w:snapToGrid w:val="0"/>
          <w:sz w:val="24"/>
        </w:rPr>
        <w:t>为</w:t>
      </w:r>
      <w:r w:rsidRPr="002B55E9">
        <w:rPr>
          <w:bCs/>
          <w:snapToGrid w:val="0"/>
          <w:sz w:val="24"/>
        </w:rPr>
        <w:t>轻质气体；对于瞬时排放，</w:t>
      </w:r>
      <w:r w:rsidRPr="002B55E9">
        <w:rPr>
          <w:bCs/>
          <w:snapToGrid w:val="0"/>
          <w:sz w:val="24"/>
        </w:rPr>
        <w:t>R</w:t>
      </w:r>
      <w:r w:rsidRPr="002B55E9">
        <w:rPr>
          <w:bCs/>
          <w:snapToGrid w:val="0"/>
          <w:sz w:val="24"/>
          <w:vertAlign w:val="subscript"/>
        </w:rPr>
        <w:t>i</w:t>
      </w:r>
      <w:r w:rsidRPr="002B55E9">
        <w:rPr>
          <w:rFonts w:hint="eastAsia"/>
          <w:bCs/>
          <w:snapToGrid w:val="0"/>
          <w:sz w:val="24"/>
        </w:rPr>
        <w:t>＞</w:t>
      </w:r>
      <w:r w:rsidRPr="002B55E9">
        <w:rPr>
          <w:rFonts w:hint="eastAsia"/>
          <w:bCs/>
          <w:snapToGrid w:val="0"/>
          <w:sz w:val="24"/>
        </w:rPr>
        <w:t>0.04</w:t>
      </w:r>
      <w:r w:rsidRPr="002B55E9">
        <w:rPr>
          <w:rFonts w:hint="eastAsia"/>
          <w:bCs/>
          <w:snapToGrid w:val="0"/>
          <w:sz w:val="24"/>
        </w:rPr>
        <w:t>为</w:t>
      </w:r>
      <w:r w:rsidRPr="002B55E9">
        <w:rPr>
          <w:bCs/>
          <w:snapToGrid w:val="0"/>
          <w:sz w:val="24"/>
        </w:rPr>
        <w:t>重质气体，</w:t>
      </w:r>
      <w:r w:rsidRPr="002B55E9">
        <w:rPr>
          <w:bCs/>
          <w:snapToGrid w:val="0"/>
          <w:sz w:val="24"/>
        </w:rPr>
        <w:t>R</w:t>
      </w:r>
      <w:r w:rsidRPr="002B55E9">
        <w:rPr>
          <w:bCs/>
          <w:snapToGrid w:val="0"/>
          <w:sz w:val="24"/>
          <w:vertAlign w:val="subscript"/>
        </w:rPr>
        <w:t>i</w:t>
      </w:r>
      <w:r w:rsidRPr="002B55E9">
        <w:rPr>
          <w:bCs/>
          <w:snapToGrid w:val="0"/>
          <w:sz w:val="24"/>
        </w:rPr>
        <w:t>≤0.04</w:t>
      </w:r>
      <w:r w:rsidRPr="002B55E9">
        <w:rPr>
          <w:rFonts w:hint="eastAsia"/>
          <w:bCs/>
          <w:snapToGrid w:val="0"/>
          <w:sz w:val="24"/>
        </w:rPr>
        <w:t>为</w:t>
      </w:r>
      <w:r w:rsidRPr="002B55E9">
        <w:rPr>
          <w:bCs/>
          <w:snapToGrid w:val="0"/>
          <w:sz w:val="24"/>
        </w:rPr>
        <w:t>轻质气体。</w:t>
      </w:r>
    </w:p>
    <w:p w14:paraId="6EB4591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AFTOX</w:t>
      </w:r>
      <w:r w:rsidRPr="002B55E9">
        <w:rPr>
          <w:rFonts w:hint="eastAsia"/>
          <w:bCs/>
          <w:snapToGrid w:val="0"/>
          <w:sz w:val="24"/>
        </w:rPr>
        <w:t>模型</w:t>
      </w:r>
      <w:r w:rsidRPr="002B55E9">
        <w:rPr>
          <w:bCs/>
          <w:snapToGrid w:val="0"/>
          <w:sz w:val="24"/>
        </w:rPr>
        <w:t>适用于平坦地形下中性气体和轻质气体排放以及液池蒸发气体的扩散模拟。</w:t>
      </w:r>
      <w:r w:rsidRPr="002B55E9">
        <w:rPr>
          <w:rFonts w:hint="eastAsia"/>
          <w:bCs/>
          <w:snapToGrid w:val="0"/>
          <w:sz w:val="24"/>
        </w:rPr>
        <w:t>AFTOX</w:t>
      </w:r>
      <w:r w:rsidRPr="002B55E9">
        <w:rPr>
          <w:rFonts w:hint="eastAsia"/>
          <w:bCs/>
          <w:snapToGrid w:val="0"/>
          <w:sz w:val="24"/>
        </w:rPr>
        <w:t>模型可</w:t>
      </w:r>
      <w:r w:rsidRPr="002B55E9">
        <w:rPr>
          <w:bCs/>
          <w:snapToGrid w:val="0"/>
          <w:sz w:val="24"/>
        </w:rPr>
        <w:t>模拟连续排放</w:t>
      </w:r>
      <w:r w:rsidRPr="002B55E9">
        <w:rPr>
          <w:rFonts w:hint="eastAsia"/>
          <w:bCs/>
          <w:snapToGrid w:val="0"/>
          <w:sz w:val="24"/>
        </w:rPr>
        <w:t>和</w:t>
      </w:r>
      <w:r w:rsidRPr="002B55E9">
        <w:rPr>
          <w:bCs/>
          <w:snapToGrid w:val="0"/>
          <w:sz w:val="24"/>
        </w:rPr>
        <w:t>瞬时排放，液体或气体，地面源或高架源，点源或面源的指定位置浓度</w:t>
      </w:r>
      <w:r w:rsidRPr="002B55E9">
        <w:rPr>
          <w:rFonts w:hint="eastAsia"/>
          <w:bCs/>
          <w:snapToGrid w:val="0"/>
          <w:sz w:val="24"/>
        </w:rPr>
        <w:t>、</w:t>
      </w:r>
      <w:r w:rsidRPr="002B55E9">
        <w:rPr>
          <w:bCs/>
          <w:snapToGrid w:val="0"/>
          <w:sz w:val="24"/>
        </w:rPr>
        <w:t>下风向最大浓度及其位置等。</w:t>
      </w:r>
    </w:p>
    <w:p w14:paraId="17CA12D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SLAB</w:t>
      </w:r>
      <w:r w:rsidRPr="002B55E9">
        <w:rPr>
          <w:rFonts w:hint="eastAsia"/>
          <w:bCs/>
          <w:snapToGrid w:val="0"/>
          <w:sz w:val="24"/>
        </w:rPr>
        <w:t>模型适用于平坦地形下重质气体排放的扩散模型，其排放类型包括地面水平挥发池、抬升水平喷射、烟囱或抬升垂直喷射以及瞬时体源。</w:t>
      </w:r>
      <w:r w:rsidRPr="002B55E9">
        <w:rPr>
          <w:rFonts w:hint="eastAsia"/>
          <w:bCs/>
          <w:snapToGrid w:val="0"/>
          <w:sz w:val="24"/>
        </w:rPr>
        <w:t>SLAB</w:t>
      </w:r>
      <w:r w:rsidRPr="002B55E9">
        <w:rPr>
          <w:rFonts w:hint="eastAsia"/>
          <w:bCs/>
          <w:snapToGrid w:val="0"/>
          <w:sz w:val="24"/>
        </w:rPr>
        <w:t>模型可以在一次运行中模拟多组象条件，但模型不适用于实时气象数据输入。</w:t>
      </w:r>
    </w:p>
    <w:p w14:paraId="3E4142A1"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szCs w:val="22"/>
        </w:rPr>
        <w:t>本次本次预测情景预测模式选择如下表所示：</w:t>
      </w:r>
    </w:p>
    <w:p w14:paraId="68A5FEBD"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6</w:t>
      </w:r>
      <w:r w:rsidRPr="002B55E9">
        <w:rPr>
          <w:rFonts w:eastAsia="黑体" w:hint="eastAsia"/>
          <w:b/>
          <w:sz w:val="24"/>
        </w:rPr>
        <w:t xml:space="preserve">  </w:t>
      </w:r>
      <w:r w:rsidRPr="002B55E9">
        <w:rPr>
          <w:rFonts w:eastAsia="黑体" w:hint="eastAsia"/>
          <w:b/>
          <w:sz w:val="24"/>
        </w:rPr>
        <w:t>本次预测情景预测模式选择</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2"/>
        <w:gridCol w:w="1560"/>
        <w:gridCol w:w="2244"/>
        <w:gridCol w:w="1607"/>
        <w:gridCol w:w="1607"/>
        <w:gridCol w:w="1607"/>
      </w:tblGrid>
      <w:tr w:rsidR="00C60999" w:rsidRPr="002B55E9" w14:paraId="05761F9D" w14:textId="77777777">
        <w:trPr>
          <w:trHeight w:val="284"/>
          <w:jc w:val="center"/>
        </w:trPr>
        <w:tc>
          <w:tcPr>
            <w:tcW w:w="1012" w:type="dxa"/>
            <w:tcBorders>
              <w:top w:val="single" w:sz="12" w:space="0" w:color="auto"/>
              <w:bottom w:val="single" w:sz="12" w:space="0" w:color="auto"/>
            </w:tcBorders>
            <w:vAlign w:val="center"/>
          </w:tcPr>
          <w:p w14:paraId="432A9A36" w14:textId="77777777" w:rsidR="00D170E5" w:rsidRPr="002B55E9" w:rsidRDefault="00EF27AD">
            <w:pPr>
              <w:pStyle w:val="affffffffffffffffff6"/>
              <w:ind w:left="-40" w:right="-40"/>
            </w:pPr>
            <w:r w:rsidRPr="002B55E9">
              <w:rPr>
                <w:rFonts w:hint="eastAsia"/>
              </w:rPr>
              <w:t>序号</w:t>
            </w:r>
          </w:p>
        </w:tc>
        <w:tc>
          <w:tcPr>
            <w:tcW w:w="1560" w:type="dxa"/>
            <w:tcBorders>
              <w:top w:val="single" w:sz="12" w:space="0" w:color="auto"/>
              <w:bottom w:val="single" w:sz="12" w:space="0" w:color="auto"/>
            </w:tcBorders>
            <w:vAlign w:val="center"/>
          </w:tcPr>
          <w:p w14:paraId="546AE5A1" w14:textId="77777777" w:rsidR="00D170E5" w:rsidRPr="002B55E9" w:rsidRDefault="00EF27AD">
            <w:pPr>
              <w:pStyle w:val="affffffffffffffffff6"/>
              <w:ind w:left="-40" w:right="-40"/>
            </w:pPr>
            <w:r w:rsidRPr="002B55E9">
              <w:rPr>
                <w:rFonts w:hint="eastAsia"/>
              </w:rPr>
              <w:t>危险物质</w:t>
            </w:r>
          </w:p>
        </w:tc>
        <w:tc>
          <w:tcPr>
            <w:tcW w:w="2244" w:type="dxa"/>
            <w:tcBorders>
              <w:top w:val="single" w:sz="12" w:space="0" w:color="auto"/>
              <w:bottom w:val="single" w:sz="12" w:space="0" w:color="auto"/>
            </w:tcBorders>
            <w:vAlign w:val="center"/>
          </w:tcPr>
          <w:p w14:paraId="23F82D6D" w14:textId="77777777" w:rsidR="00D170E5" w:rsidRPr="002B55E9" w:rsidRDefault="00EF27AD">
            <w:pPr>
              <w:pStyle w:val="affffffffffffffffff6"/>
              <w:ind w:left="-40" w:right="-40"/>
            </w:pPr>
            <w:r w:rsidRPr="002B55E9">
              <w:rPr>
                <w:rFonts w:hint="eastAsia"/>
              </w:rPr>
              <w:t>情形</w:t>
            </w:r>
          </w:p>
        </w:tc>
        <w:tc>
          <w:tcPr>
            <w:tcW w:w="1607" w:type="dxa"/>
            <w:tcBorders>
              <w:top w:val="single" w:sz="12" w:space="0" w:color="auto"/>
              <w:bottom w:val="single" w:sz="12" w:space="0" w:color="auto"/>
            </w:tcBorders>
            <w:vAlign w:val="center"/>
          </w:tcPr>
          <w:p w14:paraId="02F38392" w14:textId="77777777" w:rsidR="00D170E5" w:rsidRPr="002B55E9" w:rsidRDefault="00EF27AD">
            <w:pPr>
              <w:pStyle w:val="affffffffffffffffff6"/>
              <w:ind w:left="-40" w:right="-40"/>
            </w:pPr>
            <w:r w:rsidRPr="002B55E9">
              <w:rPr>
                <w:rFonts w:hint="eastAsia"/>
              </w:rPr>
              <w:t>R</w:t>
            </w:r>
            <w:r w:rsidRPr="002B55E9">
              <w:t>i</w:t>
            </w:r>
          </w:p>
        </w:tc>
        <w:tc>
          <w:tcPr>
            <w:tcW w:w="1607" w:type="dxa"/>
            <w:tcBorders>
              <w:top w:val="single" w:sz="12" w:space="0" w:color="auto"/>
              <w:bottom w:val="single" w:sz="12" w:space="0" w:color="auto"/>
            </w:tcBorders>
            <w:vAlign w:val="center"/>
          </w:tcPr>
          <w:p w14:paraId="530B2AC4" w14:textId="77777777" w:rsidR="00D170E5" w:rsidRPr="002B55E9" w:rsidRDefault="00EF27AD">
            <w:pPr>
              <w:pStyle w:val="affffffffffffffffff6"/>
              <w:ind w:left="-40" w:right="-40"/>
            </w:pPr>
            <w:r w:rsidRPr="002B55E9">
              <w:rPr>
                <w:rFonts w:hint="eastAsia"/>
              </w:rPr>
              <w:t>气体类型</w:t>
            </w:r>
          </w:p>
        </w:tc>
        <w:tc>
          <w:tcPr>
            <w:tcW w:w="1607" w:type="dxa"/>
            <w:tcBorders>
              <w:top w:val="single" w:sz="12" w:space="0" w:color="auto"/>
              <w:bottom w:val="single" w:sz="12" w:space="0" w:color="auto"/>
            </w:tcBorders>
            <w:vAlign w:val="center"/>
          </w:tcPr>
          <w:p w14:paraId="6E7479EB" w14:textId="77777777" w:rsidR="00D170E5" w:rsidRPr="002B55E9" w:rsidRDefault="00EF27AD">
            <w:pPr>
              <w:pStyle w:val="affffffffffffffffff6"/>
              <w:ind w:left="-40" w:right="-40"/>
            </w:pPr>
            <w:r w:rsidRPr="002B55E9">
              <w:rPr>
                <w:rFonts w:hint="eastAsia"/>
              </w:rPr>
              <w:t>预测模型</w:t>
            </w:r>
          </w:p>
        </w:tc>
      </w:tr>
      <w:tr w:rsidR="00C60999" w:rsidRPr="002B55E9" w14:paraId="58C1275A" w14:textId="77777777">
        <w:trPr>
          <w:trHeight w:val="284"/>
          <w:jc w:val="center"/>
        </w:trPr>
        <w:tc>
          <w:tcPr>
            <w:tcW w:w="1012" w:type="dxa"/>
            <w:tcBorders>
              <w:top w:val="single" w:sz="12" w:space="0" w:color="auto"/>
            </w:tcBorders>
            <w:vAlign w:val="center"/>
          </w:tcPr>
          <w:p w14:paraId="1FA78B9A" w14:textId="77777777" w:rsidR="00D170E5" w:rsidRPr="002B55E9" w:rsidRDefault="00EF27AD">
            <w:pPr>
              <w:pStyle w:val="affffffffffffffffff6"/>
              <w:ind w:left="-40" w:right="-40"/>
            </w:pPr>
            <w:r w:rsidRPr="002B55E9">
              <w:t>1</w:t>
            </w:r>
          </w:p>
        </w:tc>
        <w:tc>
          <w:tcPr>
            <w:tcW w:w="1560" w:type="dxa"/>
            <w:tcBorders>
              <w:top w:val="single" w:sz="12" w:space="0" w:color="auto"/>
            </w:tcBorders>
            <w:vAlign w:val="center"/>
          </w:tcPr>
          <w:p w14:paraId="79A343F2" w14:textId="77777777" w:rsidR="00D170E5" w:rsidRPr="002B55E9" w:rsidRDefault="00EF27AD">
            <w:pPr>
              <w:pStyle w:val="affffffffffffffffff6"/>
              <w:ind w:left="-40" w:right="-40"/>
            </w:pPr>
            <w:r w:rsidRPr="002B55E9">
              <w:rPr>
                <w:rFonts w:hint="eastAsia"/>
              </w:rPr>
              <w:t>乙酸</w:t>
            </w:r>
          </w:p>
        </w:tc>
        <w:tc>
          <w:tcPr>
            <w:tcW w:w="2244" w:type="dxa"/>
            <w:tcBorders>
              <w:top w:val="single" w:sz="12" w:space="0" w:color="auto"/>
            </w:tcBorders>
            <w:vAlign w:val="center"/>
          </w:tcPr>
          <w:p w14:paraId="0772932E" w14:textId="77777777" w:rsidR="00D170E5" w:rsidRPr="002B55E9" w:rsidRDefault="00EF27AD">
            <w:pPr>
              <w:pStyle w:val="affffffffffffffffff6"/>
              <w:ind w:left="-40" w:right="-40"/>
            </w:pPr>
            <w:r w:rsidRPr="002B55E9">
              <w:rPr>
                <w:rFonts w:hint="eastAsia"/>
              </w:rPr>
              <w:t>最不利气象</w:t>
            </w:r>
          </w:p>
        </w:tc>
        <w:tc>
          <w:tcPr>
            <w:tcW w:w="1607" w:type="dxa"/>
            <w:tcBorders>
              <w:top w:val="single" w:sz="12" w:space="0" w:color="auto"/>
            </w:tcBorders>
            <w:vAlign w:val="center"/>
          </w:tcPr>
          <w:p w14:paraId="5184ED5A" w14:textId="77777777" w:rsidR="00D170E5" w:rsidRPr="002B55E9" w:rsidRDefault="00EF27AD">
            <w:pPr>
              <w:pStyle w:val="affffffffffffffffff6"/>
              <w:ind w:left="-40" w:right="-40"/>
              <w:rPr>
                <w:vertAlign w:val="superscript"/>
              </w:rPr>
            </w:pPr>
            <w:r w:rsidRPr="002B55E9">
              <w:rPr>
                <w:rFonts w:hint="eastAsia"/>
              </w:rPr>
              <w:t>＜</w:t>
            </w:r>
            <w:r w:rsidRPr="002B55E9">
              <w:rPr>
                <w:rFonts w:hint="eastAsia"/>
              </w:rPr>
              <w:t>1/6</w:t>
            </w:r>
          </w:p>
        </w:tc>
        <w:tc>
          <w:tcPr>
            <w:tcW w:w="1607" w:type="dxa"/>
            <w:tcBorders>
              <w:top w:val="single" w:sz="12" w:space="0" w:color="auto"/>
            </w:tcBorders>
            <w:vAlign w:val="center"/>
          </w:tcPr>
          <w:p w14:paraId="739284E3" w14:textId="77777777" w:rsidR="00D170E5" w:rsidRPr="002B55E9" w:rsidRDefault="00EF27AD">
            <w:pPr>
              <w:pStyle w:val="affffffffffffffffff6"/>
              <w:ind w:left="-40" w:right="-40"/>
            </w:pPr>
            <w:r w:rsidRPr="002B55E9">
              <w:rPr>
                <w:rFonts w:hint="eastAsia"/>
              </w:rPr>
              <w:t>轻质</w:t>
            </w:r>
            <w:r w:rsidRPr="002B55E9">
              <w:t>气体</w:t>
            </w:r>
          </w:p>
        </w:tc>
        <w:tc>
          <w:tcPr>
            <w:tcW w:w="1607" w:type="dxa"/>
            <w:tcBorders>
              <w:top w:val="single" w:sz="12" w:space="0" w:color="auto"/>
            </w:tcBorders>
            <w:vAlign w:val="center"/>
          </w:tcPr>
          <w:p w14:paraId="5700E795" w14:textId="77777777" w:rsidR="00D170E5" w:rsidRPr="002B55E9" w:rsidRDefault="00EF27AD">
            <w:pPr>
              <w:pStyle w:val="affffffffffffffffff6"/>
              <w:ind w:left="-40" w:right="-40"/>
            </w:pPr>
            <w:r w:rsidRPr="002B55E9">
              <w:rPr>
                <w:rFonts w:hint="eastAsia"/>
              </w:rPr>
              <w:t>AFTOX</w:t>
            </w:r>
          </w:p>
        </w:tc>
      </w:tr>
      <w:tr w:rsidR="00C60999" w:rsidRPr="002B55E9" w14:paraId="383D72FC" w14:textId="77777777">
        <w:trPr>
          <w:trHeight w:val="284"/>
          <w:jc w:val="center"/>
        </w:trPr>
        <w:tc>
          <w:tcPr>
            <w:tcW w:w="1012" w:type="dxa"/>
            <w:vAlign w:val="center"/>
          </w:tcPr>
          <w:p w14:paraId="050F9AF0" w14:textId="77777777" w:rsidR="00D170E5" w:rsidRPr="002B55E9" w:rsidRDefault="00EF27AD">
            <w:pPr>
              <w:pStyle w:val="affffffffffffffffff6"/>
              <w:ind w:left="-40" w:right="-40"/>
            </w:pPr>
            <w:r w:rsidRPr="002B55E9">
              <w:rPr>
                <w:rFonts w:hint="eastAsia"/>
              </w:rPr>
              <w:t>2</w:t>
            </w:r>
          </w:p>
        </w:tc>
        <w:tc>
          <w:tcPr>
            <w:tcW w:w="1560" w:type="dxa"/>
            <w:vAlign w:val="center"/>
          </w:tcPr>
          <w:p w14:paraId="42B7AA9A" w14:textId="77777777" w:rsidR="00D170E5" w:rsidRPr="002B55E9" w:rsidRDefault="00EF27AD">
            <w:pPr>
              <w:pStyle w:val="affffffffffffffffff6"/>
              <w:ind w:left="-40" w:right="-40"/>
            </w:pPr>
            <w:r w:rsidRPr="002B55E9">
              <w:rPr>
                <w:rFonts w:hint="eastAsia"/>
              </w:rPr>
              <w:t>过氧乙酸</w:t>
            </w:r>
          </w:p>
        </w:tc>
        <w:tc>
          <w:tcPr>
            <w:tcW w:w="2244" w:type="dxa"/>
            <w:vAlign w:val="center"/>
          </w:tcPr>
          <w:p w14:paraId="1B189F61" w14:textId="77777777" w:rsidR="00D170E5" w:rsidRPr="002B55E9" w:rsidRDefault="00EF27AD">
            <w:pPr>
              <w:pStyle w:val="affffffffffffffffff6"/>
              <w:ind w:left="-40" w:right="-40"/>
            </w:pPr>
            <w:r w:rsidRPr="002B55E9">
              <w:t>最不利气象</w:t>
            </w:r>
          </w:p>
        </w:tc>
        <w:tc>
          <w:tcPr>
            <w:tcW w:w="1607" w:type="dxa"/>
            <w:vAlign w:val="center"/>
          </w:tcPr>
          <w:p w14:paraId="1AA70004" w14:textId="77777777" w:rsidR="00D170E5" w:rsidRPr="002B55E9" w:rsidRDefault="00EF27AD">
            <w:pPr>
              <w:pStyle w:val="affffffffffffffffff6"/>
              <w:ind w:left="-40" w:right="-40"/>
            </w:pPr>
            <w:r w:rsidRPr="002B55E9">
              <w:rPr>
                <w:rFonts w:hint="eastAsia"/>
              </w:rPr>
              <w:t>＜</w:t>
            </w:r>
            <w:r w:rsidRPr="002B55E9">
              <w:rPr>
                <w:rFonts w:hint="eastAsia"/>
              </w:rPr>
              <w:t>1/6</w:t>
            </w:r>
          </w:p>
        </w:tc>
        <w:tc>
          <w:tcPr>
            <w:tcW w:w="1607" w:type="dxa"/>
            <w:vAlign w:val="center"/>
          </w:tcPr>
          <w:p w14:paraId="13B860A3" w14:textId="77777777" w:rsidR="00D170E5" w:rsidRPr="002B55E9" w:rsidRDefault="00EF27AD">
            <w:pPr>
              <w:pStyle w:val="affffffffffffffffff6"/>
              <w:ind w:left="-40" w:right="-40"/>
            </w:pPr>
            <w:r w:rsidRPr="002B55E9">
              <w:rPr>
                <w:rFonts w:hint="eastAsia"/>
              </w:rPr>
              <w:t>轻质</w:t>
            </w:r>
            <w:r w:rsidRPr="002B55E9">
              <w:t>气体</w:t>
            </w:r>
          </w:p>
        </w:tc>
        <w:tc>
          <w:tcPr>
            <w:tcW w:w="1607" w:type="dxa"/>
            <w:vAlign w:val="center"/>
          </w:tcPr>
          <w:p w14:paraId="2360161F" w14:textId="77777777" w:rsidR="00D170E5" w:rsidRPr="002B55E9" w:rsidRDefault="00EF27AD">
            <w:pPr>
              <w:pStyle w:val="affffffffffffffffff6"/>
              <w:ind w:left="-40" w:right="-40"/>
            </w:pPr>
            <w:r w:rsidRPr="002B55E9">
              <w:rPr>
                <w:rFonts w:hint="eastAsia"/>
              </w:rPr>
              <w:t>AFTOX</w:t>
            </w:r>
          </w:p>
        </w:tc>
      </w:tr>
    </w:tbl>
    <w:p w14:paraId="28711194" w14:textId="77777777" w:rsidR="00D170E5" w:rsidRPr="002B55E9" w:rsidRDefault="00EF27AD">
      <w:pPr>
        <w:numPr>
          <w:ilvl w:val="0"/>
          <w:numId w:val="31"/>
        </w:numPr>
        <w:spacing w:after="60" w:line="360" w:lineRule="auto"/>
        <w:rPr>
          <w:b/>
          <w:snapToGrid w:val="0"/>
          <w:sz w:val="24"/>
        </w:rPr>
      </w:pPr>
      <w:r w:rsidRPr="002B55E9">
        <w:rPr>
          <w:rFonts w:hint="eastAsia"/>
          <w:b/>
          <w:snapToGrid w:val="0"/>
          <w:sz w:val="24"/>
        </w:rPr>
        <w:t>预测模型参数</w:t>
      </w:r>
    </w:p>
    <w:p w14:paraId="14BC210D"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w:t>
      </w:r>
      <w:r w:rsidRPr="002B55E9">
        <w:rPr>
          <w:bCs/>
          <w:snapToGrid w:val="0"/>
          <w:sz w:val="24"/>
        </w:rPr>
        <w:t>《</w:t>
      </w:r>
      <w:r w:rsidRPr="002B55E9">
        <w:rPr>
          <w:rFonts w:hint="eastAsia"/>
          <w:bCs/>
          <w:snapToGrid w:val="0"/>
          <w:sz w:val="24"/>
        </w:rPr>
        <w:t>建设</w:t>
      </w:r>
      <w:r w:rsidRPr="002B55E9">
        <w:rPr>
          <w:bCs/>
          <w:snapToGrid w:val="0"/>
          <w:sz w:val="24"/>
        </w:rPr>
        <w:t>项目环境风险评价技术导则》</w:t>
      </w:r>
      <w:r w:rsidRPr="002B55E9">
        <w:rPr>
          <w:rFonts w:hint="eastAsia"/>
          <w:bCs/>
          <w:snapToGrid w:val="0"/>
          <w:sz w:val="24"/>
        </w:rPr>
        <w:t>（</w:t>
      </w:r>
      <w:r w:rsidRPr="002B55E9">
        <w:rPr>
          <w:rFonts w:hint="eastAsia"/>
          <w:bCs/>
          <w:snapToGrid w:val="0"/>
          <w:sz w:val="24"/>
        </w:rPr>
        <w:t>HJ169-2018</w:t>
      </w:r>
      <w:r w:rsidRPr="002B55E9">
        <w:rPr>
          <w:rFonts w:hint="eastAsia"/>
          <w:bCs/>
          <w:snapToGrid w:val="0"/>
          <w:sz w:val="24"/>
        </w:rPr>
        <w:t>）</w:t>
      </w:r>
      <w:r w:rsidRPr="002B55E9">
        <w:rPr>
          <w:rFonts w:hint="eastAsia"/>
          <w:bCs/>
          <w:snapToGrid w:val="0"/>
          <w:sz w:val="24"/>
        </w:rPr>
        <w:t>4.5.1</w:t>
      </w:r>
      <w:r w:rsidRPr="002B55E9">
        <w:rPr>
          <w:rFonts w:hint="eastAsia"/>
          <w:bCs/>
          <w:snapToGrid w:val="0"/>
          <w:sz w:val="24"/>
        </w:rPr>
        <w:t>大气</w:t>
      </w:r>
      <w:r w:rsidRPr="002B55E9">
        <w:rPr>
          <w:bCs/>
          <w:snapToGrid w:val="0"/>
          <w:sz w:val="24"/>
        </w:rPr>
        <w:t>评价</w:t>
      </w:r>
      <w:r w:rsidRPr="002B55E9">
        <w:rPr>
          <w:rFonts w:hint="eastAsia"/>
          <w:bCs/>
          <w:snapToGrid w:val="0"/>
          <w:sz w:val="24"/>
        </w:rPr>
        <w:t>范围</w:t>
      </w:r>
      <w:r w:rsidRPr="002B55E9">
        <w:rPr>
          <w:bCs/>
          <w:snapToGrid w:val="0"/>
          <w:sz w:val="24"/>
        </w:rPr>
        <w:t>：一级、二级评价距</w:t>
      </w:r>
      <w:r w:rsidRPr="002B55E9">
        <w:rPr>
          <w:rFonts w:hint="eastAsia"/>
          <w:bCs/>
          <w:snapToGrid w:val="0"/>
          <w:sz w:val="24"/>
        </w:rPr>
        <w:t>建设</w:t>
      </w:r>
      <w:r w:rsidRPr="002B55E9">
        <w:rPr>
          <w:bCs/>
          <w:snapToGrid w:val="0"/>
          <w:sz w:val="24"/>
        </w:rPr>
        <w:t>项目边界一般不低于</w:t>
      </w:r>
      <w:r w:rsidRPr="002B55E9">
        <w:rPr>
          <w:rFonts w:hint="eastAsia"/>
          <w:bCs/>
          <w:snapToGrid w:val="0"/>
          <w:sz w:val="24"/>
        </w:rPr>
        <w:t>5</w:t>
      </w:r>
      <w:r w:rsidRPr="002B55E9">
        <w:rPr>
          <w:bCs/>
          <w:snapToGrid w:val="0"/>
          <w:sz w:val="24"/>
        </w:rPr>
        <w:t>km</w:t>
      </w:r>
      <w:r w:rsidRPr="002B55E9">
        <w:rPr>
          <w:bCs/>
          <w:snapToGrid w:val="0"/>
          <w:sz w:val="24"/>
        </w:rPr>
        <w:t>，</w:t>
      </w:r>
      <w:r w:rsidRPr="002B55E9">
        <w:rPr>
          <w:rFonts w:hint="eastAsia"/>
          <w:bCs/>
          <w:snapToGrid w:val="0"/>
          <w:sz w:val="24"/>
        </w:rPr>
        <w:t>本项目风险预测为二级评价，因此预测范围取距建设项目边界</w:t>
      </w:r>
      <w:r w:rsidRPr="002B55E9">
        <w:rPr>
          <w:rFonts w:hint="eastAsia"/>
          <w:bCs/>
          <w:snapToGrid w:val="0"/>
          <w:sz w:val="24"/>
        </w:rPr>
        <w:t>5km</w:t>
      </w:r>
      <w:r w:rsidRPr="002B55E9">
        <w:rPr>
          <w:rFonts w:hint="eastAsia"/>
          <w:bCs/>
          <w:snapToGrid w:val="0"/>
          <w:sz w:val="24"/>
        </w:rPr>
        <w:t>的范围，选取最不利气象条件进行后果预测。最不利气象条件根据《建设项目环境风险评价技术导则》（</w:t>
      </w:r>
      <w:r w:rsidRPr="002B55E9">
        <w:rPr>
          <w:rFonts w:hint="eastAsia"/>
          <w:bCs/>
          <w:snapToGrid w:val="0"/>
          <w:sz w:val="24"/>
        </w:rPr>
        <w:t>HJ169-2018</w:t>
      </w:r>
      <w:r w:rsidRPr="002B55E9">
        <w:rPr>
          <w:rFonts w:hint="eastAsia"/>
          <w:bCs/>
          <w:snapToGrid w:val="0"/>
          <w:sz w:val="24"/>
        </w:rPr>
        <w:t>）中</w:t>
      </w:r>
      <w:r w:rsidRPr="002B55E9">
        <w:rPr>
          <w:rFonts w:hint="eastAsia"/>
          <w:bCs/>
          <w:snapToGrid w:val="0"/>
          <w:sz w:val="24"/>
        </w:rPr>
        <w:t>9.1.1.4</w:t>
      </w:r>
      <w:r w:rsidRPr="002B55E9">
        <w:rPr>
          <w:rFonts w:hint="eastAsia"/>
          <w:bCs/>
          <w:snapToGrid w:val="0"/>
          <w:sz w:val="24"/>
        </w:rPr>
        <w:t>条设定。</w:t>
      </w:r>
      <w:r w:rsidRPr="002B55E9">
        <w:rPr>
          <w:bCs/>
          <w:snapToGrid w:val="0"/>
          <w:sz w:val="24"/>
        </w:rPr>
        <w:t>最不利</w:t>
      </w:r>
      <w:r w:rsidRPr="002B55E9">
        <w:rPr>
          <w:rFonts w:hint="eastAsia"/>
          <w:bCs/>
          <w:snapToGrid w:val="0"/>
          <w:sz w:val="24"/>
        </w:rPr>
        <w:t>气象条件取</w:t>
      </w:r>
      <w:r w:rsidRPr="002B55E9">
        <w:rPr>
          <w:rFonts w:hint="eastAsia"/>
          <w:bCs/>
          <w:snapToGrid w:val="0"/>
          <w:sz w:val="24"/>
        </w:rPr>
        <w:t>F</w:t>
      </w:r>
      <w:r w:rsidRPr="002B55E9">
        <w:rPr>
          <w:rFonts w:hint="eastAsia"/>
          <w:bCs/>
          <w:snapToGrid w:val="0"/>
          <w:sz w:val="24"/>
        </w:rPr>
        <w:t>类稳定度、</w:t>
      </w:r>
      <w:r w:rsidRPr="002B55E9">
        <w:rPr>
          <w:rFonts w:hint="eastAsia"/>
          <w:bCs/>
          <w:snapToGrid w:val="0"/>
          <w:sz w:val="24"/>
        </w:rPr>
        <w:t>1.5</w:t>
      </w:r>
      <w:r w:rsidRPr="002B55E9">
        <w:rPr>
          <w:bCs/>
          <w:snapToGrid w:val="0"/>
          <w:sz w:val="24"/>
        </w:rPr>
        <w:t>m/s</w:t>
      </w:r>
      <w:r w:rsidRPr="002B55E9">
        <w:rPr>
          <w:bCs/>
          <w:snapToGrid w:val="0"/>
          <w:sz w:val="24"/>
        </w:rPr>
        <w:t>风速，温度</w:t>
      </w:r>
      <w:r w:rsidRPr="002B55E9">
        <w:rPr>
          <w:rFonts w:hint="eastAsia"/>
          <w:bCs/>
          <w:snapToGrid w:val="0"/>
          <w:sz w:val="24"/>
        </w:rPr>
        <w:t>25</w:t>
      </w:r>
      <w:r w:rsidRPr="002B55E9">
        <w:rPr>
          <w:rFonts w:hint="eastAsia"/>
          <w:bCs/>
          <w:snapToGrid w:val="0"/>
          <w:sz w:val="24"/>
        </w:rPr>
        <w:t>℃</w:t>
      </w:r>
      <w:r w:rsidRPr="002B55E9">
        <w:rPr>
          <w:bCs/>
          <w:snapToGrid w:val="0"/>
          <w:sz w:val="24"/>
        </w:rPr>
        <w:t>，相对湿度</w:t>
      </w:r>
      <w:r w:rsidRPr="002B55E9">
        <w:rPr>
          <w:rFonts w:hint="eastAsia"/>
          <w:bCs/>
          <w:snapToGrid w:val="0"/>
          <w:sz w:val="24"/>
        </w:rPr>
        <w:t>50</w:t>
      </w:r>
      <w:r w:rsidRPr="002B55E9">
        <w:rPr>
          <w:bCs/>
          <w:snapToGrid w:val="0"/>
          <w:sz w:val="24"/>
        </w:rPr>
        <w:t>%</w:t>
      </w:r>
      <w:r w:rsidRPr="002B55E9">
        <w:rPr>
          <w:rFonts w:hint="eastAsia"/>
          <w:bCs/>
          <w:snapToGrid w:val="0"/>
          <w:sz w:val="24"/>
        </w:rPr>
        <w:t>。根据本项目周边环境敏感目标分布情况，西北方向环境敏感目标人数较多</w:t>
      </w:r>
      <w:r w:rsidRPr="002B55E9">
        <w:rPr>
          <w:bCs/>
          <w:snapToGrid w:val="0"/>
          <w:sz w:val="24"/>
        </w:rPr>
        <w:t>且距离较近</w:t>
      </w:r>
      <w:r w:rsidRPr="002B55E9">
        <w:rPr>
          <w:rFonts w:hint="eastAsia"/>
          <w:bCs/>
          <w:snapToGrid w:val="0"/>
          <w:sz w:val="24"/>
        </w:rPr>
        <w:t>，因此风险预测风向取东南。</w:t>
      </w:r>
    </w:p>
    <w:p w14:paraId="104CB1BD"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大气风险预测模型主要参数见下表所示：</w:t>
      </w:r>
    </w:p>
    <w:p w14:paraId="694B541C"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-7</w:t>
      </w:r>
      <w:r w:rsidRPr="002B55E9">
        <w:rPr>
          <w:rFonts w:eastAsia="黑体" w:hint="eastAsia"/>
          <w:b/>
          <w:sz w:val="24"/>
        </w:rPr>
        <w:t xml:space="preserve">  </w:t>
      </w:r>
      <w:r w:rsidRPr="002B55E9">
        <w:rPr>
          <w:rFonts w:eastAsia="黑体" w:hint="eastAsia"/>
          <w:b/>
          <w:sz w:val="24"/>
        </w:rPr>
        <w:t>大气风险预测模型主要参数</w:t>
      </w:r>
    </w:p>
    <w:tbl>
      <w:tblPr>
        <w:tblW w:w="9638"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03"/>
        <w:gridCol w:w="2416"/>
        <w:gridCol w:w="4819"/>
      </w:tblGrid>
      <w:tr w:rsidR="00C60999" w:rsidRPr="002B55E9" w14:paraId="79513324" w14:textId="77777777">
        <w:trPr>
          <w:trHeight w:val="284"/>
        </w:trPr>
        <w:tc>
          <w:tcPr>
            <w:tcW w:w="2403" w:type="dxa"/>
            <w:tcBorders>
              <w:top w:val="single" w:sz="12" w:space="0" w:color="auto"/>
              <w:bottom w:val="single" w:sz="12" w:space="0" w:color="auto"/>
            </w:tcBorders>
            <w:vAlign w:val="center"/>
          </w:tcPr>
          <w:p w14:paraId="09E695B6" w14:textId="77777777" w:rsidR="00D170E5" w:rsidRPr="002B55E9" w:rsidRDefault="00EF27AD">
            <w:pPr>
              <w:pStyle w:val="affffffffffffffffff6"/>
              <w:ind w:left="-40" w:right="-40"/>
            </w:pPr>
            <w:r w:rsidRPr="002B55E9">
              <w:rPr>
                <w:rFonts w:hint="eastAsia"/>
              </w:rPr>
              <w:t>参数类型</w:t>
            </w:r>
          </w:p>
        </w:tc>
        <w:tc>
          <w:tcPr>
            <w:tcW w:w="2416" w:type="dxa"/>
            <w:tcBorders>
              <w:top w:val="single" w:sz="12" w:space="0" w:color="auto"/>
              <w:bottom w:val="single" w:sz="12" w:space="0" w:color="auto"/>
            </w:tcBorders>
            <w:vAlign w:val="center"/>
          </w:tcPr>
          <w:p w14:paraId="6E0A0AEE" w14:textId="77777777" w:rsidR="00D170E5" w:rsidRPr="002B55E9" w:rsidRDefault="00EF27AD">
            <w:pPr>
              <w:pStyle w:val="affffffffffffffffff6"/>
              <w:ind w:left="-40" w:right="-40"/>
            </w:pPr>
            <w:r w:rsidRPr="002B55E9">
              <w:rPr>
                <w:rFonts w:hint="eastAsia"/>
              </w:rPr>
              <w:t>选项</w:t>
            </w:r>
          </w:p>
        </w:tc>
        <w:tc>
          <w:tcPr>
            <w:tcW w:w="4819" w:type="dxa"/>
            <w:tcBorders>
              <w:top w:val="single" w:sz="12" w:space="0" w:color="auto"/>
              <w:bottom w:val="single" w:sz="12" w:space="0" w:color="auto"/>
            </w:tcBorders>
            <w:vAlign w:val="center"/>
          </w:tcPr>
          <w:p w14:paraId="125245EC" w14:textId="77777777" w:rsidR="00D170E5" w:rsidRPr="002B55E9" w:rsidRDefault="00EF27AD">
            <w:pPr>
              <w:pStyle w:val="affffffffffffffffff6"/>
              <w:ind w:left="-40" w:right="-40"/>
            </w:pPr>
            <w:r w:rsidRPr="002B55E9">
              <w:rPr>
                <w:rFonts w:hint="eastAsia"/>
              </w:rPr>
              <w:t>参数</w:t>
            </w:r>
          </w:p>
        </w:tc>
      </w:tr>
      <w:tr w:rsidR="00C60999" w:rsidRPr="002B55E9" w14:paraId="1C131854" w14:textId="77777777">
        <w:trPr>
          <w:trHeight w:val="284"/>
        </w:trPr>
        <w:tc>
          <w:tcPr>
            <w:tcW w:w="2403" w:type="dxa"/>
            <w:vMerge w:val="restart"/>
            <w:tcBorders>
              <w:top w:val="single" w:sz="12" w:space="0" w:color="auto"/>
            </w:tcBorders>
            <w:vAlign w:val="center"/>
          </w:tcPr>
          <w:p w14:paraId="3B23E610" w14:textId="77777777" w:rsidR="00D170E5" w:rsidRPr="002B55E9" w:rsidRDefault="00EF27AD">
            <w:pPr>
              <w:pStyle w:val="affffffffffffffffff6"/>
              <w:ind w:left="-40" w:right="-40"/>
            </w:pPr>
            <w:r w:rsidRPr="002B55E9">
              <w:rPr>
                <w:rFonts w:hint="eastAsia"/>
              </w:rPr>
              <w:t>基本情况</w:t>
            </w:r>
          </w:p>
        </w:tc>
        <w:tc>
          <w:tcPr>
            <w:tcW w:w="2416" w:type="dxa"/>
            <w:tcBorders>
              <w:top w:val="single" w:sz="12" w:space="0" w:color="auto"/>
            </w:tcBorders>
            <w:vAlign w:val="center"/>
          </w:tcPr>
          <w:p w14:paraId="6B3DC28F" w14:textId="77777777" w:rsidR="00D170E5" w:rsidRPr="002B55E9" w:rsidRDefault="00EF27AD">
            <w:pPr>
              <w:pStyle w:val="affffffffffffffffff6"/>
              <w:ind w:left="-40" w:right="-40"/>
            </w:pPr>
            <w:r w:rsidRPr="002B55E9">
              <w:rPr>
                <w:rFonts w:hint="eastAsia"/>
              </w:rPr>
              <w:t>事故源经度（°）</w:t>
            </w:r>
          </w:p>
        </w:tc>
        <w:tc>
          <w:tcPr>
            <w:tcW w:w="4819" w:type="dxa"/>
            <w:tcBorders>
              <w:top w:val="single" w:sz="12" w:space="0" w:color="auto"/>
            </w:tcBorders>
            <w:vAlign w:val="center"/>
          </w:tcPr>
          <w:p w14:paraId="3B5DE47B" w14:textId="77777777" w:rsidR="00D170E5" w:rsidRPr="002B55E9" w:rsidRDefault="00EF27AD">
            <w:pPr>
              <w:pStyle w:val="affffffffffffffffff6"/>
              <w:ind w:left="-40" w:right="-40"/>
            </w:pPr>
            <w:r w:rsidRPr="002B55E9">
              <w:t>113.99235964</w:t>
            </w:r>
          </w:p>
        </w:tc>
      </w:tr>
      <w:tr w:rsidR="00C60999" w:rsidRPr="002B55E9" w14:paraId="2CF9656F" w14:textId="77777777">
        <w:trPr>
          <w:trHeight w:val="284"/>
        </w:trPr>
        <w:tc>
          <w:tcPr>
            <w:tcW w:w="2403" w:type="dxa"/>
            <w:vMerge/>
            <w:vAlign w:val="center"/>
          </w:tcPr>
          <w:p w14:paraId="23991999" w14:textId="77777777" w:rsidR="00D170E5" w:rsidRPr="002B55E9" w:rsidRDefault="00D170E5">
            <w:pPr>
              <w:pStyle w:val="affffffffffffffffff6"/>
              <w:ind w:left="-40" w:right="-40"/>
            </w:pPr>
          </w:p>
        </w:tc>
        <w:tc>
          <w:tcPr>
            <w:tcW w:w="2416" w:type="dxa"/>
            <w:vAlign w:val="center"/>
          </w:tcPr>
          <w:p w14:paraId="4377B635" w14:textId="77777777" w:rsidR="00D170E5" w:rsidRPr="002B55E9" w:rsidRDefault="00EF27AD">
            <w:pPr>
              <w:pStyle w:val="affffffffffffffffff6"/>
              <w:ind w:left="-40" w:right="-40"/>
            </w:pPr>
            <w:r w:rsidRPr="002B55E9">
              <w:rPr>
                <w:rFonts w:hint="eastAsia"/>
              </w:rPr>
              <w:t>事故源纬度（°）</w:t>
            </w:r>
          </w:p>
        </w:tc>
        <w:tc>
          <w:tcPr>
            <w:tcW w:w="4819" w:type="dxa"/>
            <w:vAlign w:val="center"/>
          </w:tcPr>
          <w:p w14:paraId="6295EEDC" w14:textId="77777777" w:rsidR="00D170E5" w:rsidRPr="002B55E9" w:rsidRDefault="00EF27AD">
            <w:pPr>
              <w:pStyle w:val="affffffffffffffffff6"/>
              <w:ind w:left="-40" w:right="-40"/>
            </w:pPr>
            <w:r w:rsidRPr="002B55E9">
              <w:t>30.67551240</w:t>
            </w:r>
          </w:p>
        </w:tc>
      </w:tr>
      <w:tr w:rsidR="00C60999" w:rsidRPr="002B55E9" w14:paraId="06675FE5" w14:textId="77777777">
        <w:trPr>
          <w:trHeight w:val="284"/>
        </w:trPr>
        <w:tc>
          <w:tcPr>
            <w:tcW w:w="2403" w:type="dxa"/>
            <w:vMerge/>
            <w:vAlign w:val="center"/>
          </w:tcPr>
          <w:p w14:paraId="76B5224C" w14:textId="77777777" w:rsidR="00D170E5" w:rsidRPr="002B55E9" w:rsidRDefault="00D170E5">
            <w:pPr>
              <w:pStyle w:val="affffffffffffffffff6"/>
              <w:ind w:left="-40" w:right="-40"/>
            </w:pPr>
          </w:p>
        </w:tc>
        <w:tc>
          <w:tcPr>
            <w:tcW w:w="2416" w:type="dxa"/>
            <w:vAlign w:val="center"/>
          </w:tcPr>
          <w:p w14:paraId="1DF1A8AF" w14:textId="77777777" w:rsidR="00D170E5" w:rsidRPr="002B55E9" w:rsidRDefault="00EF27AD">
            <w:pPr>
              <w:pStyle w:val="affffffffffffffffff6"/>
              <w:ind w:left="-40" w:right="-40"/>
            </w:pPr>
            <w:r w:rsidRPr="002B55E9">
              <w:rPr>
                <w:rFonts w:hint="eastAsia"/>
              </w:rPr>
              <w:t>事故源类型</w:t>
            </w:r>
          </w:p>
        </w:tc>
        <w:tc>
          <w:tcPr>
            <w:tcW w:w="4819" w:type="dxa"/>
            <w:vAlign w:val="center"/>
          </w:tcPr>
          <w:p w14:paraId="5AE10AC7" w14:textId="77777777" w:rsidR="00D170E5" w:rsidRPr="002B55E9" w:rsidRDefault="00EF27AD">
            <w:pPr>
              <w:pStyle w:val="affffffffffffffffff6"/>
              <w:ind w:left="-40" w:right="-40"/>
            </w:pPr>
            <w:r w:rsidRPr="002B55E9">
              <w:rPr>
                <w:rFonts w:hint="eastAsia"/>
              </w:rPr>
              <w:t>泄漏</w:t>
            </w:r>
          </w:p>
        </w:tc>
      </w:tr>
      <w:tr w:rsidR="00C60999" w:rsidRPr="002B55E9" w14:paraId="134228E9" w14:textId="77777777">
        <w:trPr>
          <w:trHeight w:val="284"/>
        </w:trPr>
        <w:tc>
          <w:tcPr>
            <w:tcW w:w="2403" w:type="dxa"/>
            <w:vMerge w:val="restart"/>
            <w:vAlign w:val="center"/>
          </w:tcPr>
          <w:p w14:paraId="46D68160" w14:textId="77777777" w:rsidR="00D170E5" w:rsidRPr="002B55E9" w:rsidRDefault="00EF27AD">
            <w:pPr>
              <w:pStyle w:val="affffffffffffffffff6"/>
              <w:ind w:left="-40" w:right="-40"/>
            </w:pPr>
            <w:r w:rsidRPr="002B55E9">
              <w:rPr>
                <w:rFonts w:hint="eastAsia"/>
              </w:rPr>
              <w:t>气象参数</w:t>
            </w:r>
          </w:p>
        </w:tc>
        <w:tc>
          <w:tcPr>
            <w:tcW w:w="2416" w:type="dxa"/>
            <w:vAlign w:val="center"/>
          </w:tcPr>
          <w:p w14:paraId="2E2E07A8" w14:textId="77777777" w:rsidR="00D170E5" w:rsidRPr="002B55E9" w:rsidRDefault="00EF27AD">
            <w:pPr>
              <w:pStyle w:val="affffffffffffffffff6"/>
              <w:ind w:left="-40" w:right="-40"/>
            </w:pPr>
            <w:r w:rsidRPr="002B55E9">
              <w:rPr>
                <w:rFonts w:hint="eastAsia"/>
              </w:rPr>
              <w:t>气象条件类型</w:t>
            </w:r>
          </w:p>
        </w:tc>
        <w:tc>
          <w:tcPr>
            <w:tcW w:w="4819" w:type="dxa"/>
            <w:vAlign w:val="center"/>
          </w:tcPr>
          <w:p w14:paraId="36E89252" w14:textId="77777777" w:rsidR="00D170E5" w:rsidRPr="002B55E9" w:rsidRDefault="00EF27AD">
            <w:pPr>
              <w:pStyle w:val="affffffffffffffffff6"/>
              <w:ind w:left="-40" w:right="-40"/>
            </w:pPr>
            <w:r w:rsidRPr="002B55E9">
              <w:rPr>
                <w:rFonts w:hint="eastAsia"/>
              </w:rPr>
              <w:t>最不利气象</w:t>
            </w:r>
          </w:p>
        </w:tc>
      </w:tr>
      <w:tr w:rsidR="00C60999" w:rsidRPr="002B55E9" w14:paraId="74C815A2" w14:textId="77777777">
        <w:trPr>
          <w:trHeight w:val="284"/>
        </w:trPr>
        <w:tc>
          <w:tcPr>
            <w:tcW w:w="2403" w:type="dxa"/>
            <w:vMerge/>
            <w:vAlign w:val="center"/>
          </w:tcPr>
          <w:p w14:paraId="6C28334E" w14:textId="77777777" w:rsidR="00D170E5" w:rsidRPr="002B55E9" w:rsidRDefault="00D170E5">
            <w:pPr>
              <w:pStyle w:val="affffffffffffffffff6"/>
              <w:ind w:left="-40" w:right="-40"/>
            </w:pPr>
          </w:p>
        </w:tc>
        <w:tc>
          <w:tcPr>
            <w:tcW w:w="2416" w:type="dxa"/>
            <w:vAlign w:val="center"/>
          </w:tcPr>
          <w:p w14:paraId="5D452E2C" w14:textId="77777777" w:rsidR="00D170E5" w:rsidRPr="002B55E9" w:rsidRDefault="00EF27AD">
            <w:pPr>
              <w:pStyle w:val="affffffffffffffffff6"/>
              <w:ind w:left="-40" w:right="-40"/>
            </w:pPr>
            <w:r w:rsidRPr="002B55E9">
              <w:rPr>
                <w:rFonts w:hint="eastAsia"/>
              </w:rPr>
              <w:t>风速（</w:t>
            </w:r>
            <w:r w:rsidRPr="002B55E9">
              <w:rPr>
                <w:rFonts w:hint="eastAsia"/>
              </w:rPr>
              <w:t>m/s</w:t>
            </w:r>
            <w:r w:rsidRPr="002B55E9">
              <w:rPr>
                <w:rFonts w:hint="eastAsia"/>
              </w:rPr>
              <w:t>）</w:t>
            </w:r>
          </w:p>
        </w:tc>
        <w:tc>
          <w:tcPr>
            <w:tcW w:w="4819" w:type="dxa"/>
            <w:vAlign w:val="center"/>
          </w:tcPr>
          <w:p w14:paraId="42092B1F" w14:textId="77777777" w:rsidR="00D170E5" w:rsidRPr="002B55E9" w:rsidRDefault="00EF27AD">
            <w:pPr>
              <w:pStyle w:val="affffffffffffffffff6"/>
              <w:ind w:left="-40" w:right="-40"/>
            </w:pPr>
            <w:r w:rsidRPr="002B55E9">
              <w:rPr>
                <w:rFonts w:hint="eastAsia"/>
              </w:rPr>
              <w:t>1.5</w:t>
            </w:r>
          </w:p>
        </w:tc>
      </w:tr>
      <w:tr w:rsidR="00C60999" w:rsidRPr="002B55E9" w14:paraId="3D58B11E" w14:textId="77777777">
        <w:trPr>
          <w:trHeight w:val="284"/>
        </w:trPr>
        <w:tc>
          <w:tcPr>
            <w:tcW w:w="2403" w:type="dxa"/>
            <w:vMerge/>
            <w:vAlign w:val="center"/>
          </w:tcPr>
          <w:p w14:paraId="3AF2CBBB" w14:textId="77777777" w:rsidR="00D170E5" w:rsidRPr="002B55E9" w:rsidRDefault="00D170E5">
            <w:pPr>
              <w:pStyle w:val="affffffffffffffffff6"/>
              <w:ind w:left="-40" w:right="-40"/>
            </w:pPr>
          </w:p>
        </w:tc>
        <w:tc>
          <w:tcPr>
            <w:tcW w:w="2416" w:type="dxa"/>
            <w:vAlign w:val="center"/>
          </w:tcPr>
          <w:p w14:paraId="0F7EA3B9" w14:textId="77777777" w:rsidR="00D170E5" w:rsidRPr="002B55E9" w:rsidRDefault="00EF27AD">
            <w:pPr>
              <w:pStyle w:val="affffffffffffffffff6"/>
              <w:ind w:left="-40" w:right="-40"/>
            </w:pPr>
            <w:r w:rsidRPr="002B55E9">
              <w:rPr>
                <w:rFonts w:hint="eastAsia"/>
              </w:rPr>
              <w:t>环境温度（℃）</w:t>
            </w:r>
          </w:p>
        </w:tc>
        <w:tc>
          <w:tcPr>
            <w:tcW w:w="4819" w:type="dxa"/>
            <w:vAlign w:val="center"/>
          </w:tcPr>
          <w:p w14:paraId="085B9B12" w14:textId="77777777" w:rsidR="00D170E5" w:rsidRPr="002B55E9" w:rsidRDefault="00EF27AD">
            <w:pPr>
              <w:pStyle w:val="affffffffffffffffff6"/>
              <w:ind w:left="-40" w:right="-40"/>
            </w:pPr>
            <w:r w:rsidRPr="002B55E9">
              <w:rPr>
                <w:rFonts w:hint="eastAsia"/>
              </w:rPr>
              <w:t>25</w:t>
            </w:r>
          </w:p>
        </w:tc>
      </w:tr>
      <w:tr w:rsidR="00C60999" w:rsidRPr="002B55E9" w14:paraId="1068F3C7" w14:textId="77777777">
        <w:trPr>
          <w:trHeight w:val="284"/>
        </w:trPr>
        <w:tc>
          <w:tcPr>
            <w:tcW w:w="2403" w:type="dxa"/>
            <w:vMerge/>
            <w:vAlign w:val="center"/>
          </w:tcPr>
          <w:p w14:paraId="0E8FB2DA" w14:textId="77777777" w:rsidR="00D170E5" w:rsidRPr="002B55E9" w:rsidRDefault="00D170E5">
            <w:pPr>
              <w:pStyle w:val="affffffffffffffffff6"/>
              <w:ind w:left="-40" w:right="-40"/>
            </w:pPr>
          </w:p>
        </w:tc>
        <w:tc>
          <w:tcPr>
            <w:tcW w:w="2416" w:type="dxa"/>
            <w:vAlign w:val="center"/>
          </w:tcPr>
          <w:p w14:paraId="39CD1EB3" w14:textId="77777777" w:rsidR="00D170E5" w:rsidRPr="002B55E9" w:rsidRDefault="00EF27AD">
            <w:pPr>
              <w:pStyle w:val="affffffffffffffffff6"/>
              <w:ind w:left="-40" w:right="-40"/>
            </w:pPr>
            <w:r w:rsidRPr="002B55E9">
              <w:rPr>
                <w:rFonts w:hint="eastAsia"/>
              </w:rPr>
              <w:t>相对湿度（</w:t>
            </w:r>
            <w:r w:rsidRPr="002B55E9">
              <w:rPr>
                <w:rFonts w:hint="eastAsia"/>
              </w:rPr>
              <w:t>%</w:t>
            </w:r>
            <w:r w:rsidRPr="002B55E9">
              <w:rPr>
                <w:rFonts w:hint="eastAsia"/>
              </w:rPr>
              <w:t>）</w:t>
            </w:r>
          </w:p>
        </w:tc>
        <w:tc>
          <w:tcPr>
            <w:tcW w:w="4819" w:type="dxa"/>
            <w:vAlign w:val="center"/>
          </w:tcPr>
          <w:p w14:paraId="0D1F9A23" w14:textId="77777777" w:rsidR="00D170E5" w:rsidRPr="002B55E9" w:rsidRDefault="00EF27AD">
            <w:pPr>
              <w:pStyle w:val="affffffffffffffffff6"/>
              <w:ind w:left="-40" w:right="-40"/>
            </w:pPr>
            <w:r w:rsidRPr="002B55E9">
              <w:rPr>
                <w:rFonts w:hint="eastAsia"/>
              </w:rPr>
              <w:t>50</w:t>
            </w:r>
          </w:p>
        </w:tc>
      </w:tr>
      <w:tr w:rsidR="00C60999" w:rsidRPr="002B55E9" w14:paraId="53154E74" w14:textId="77777777">
        <w:trPr>
          <w:trHeight w:val="284"/>
        </w:trPr>
        <w:tc>
          <w:tcPr>
            <w:tcW w:w="2403" w:type="dxa"/>
            <w:vMerge/>
            <w:vAlign w:val="center"/>
          </w:tcPr>
          <w:p w14:paraId="255CE293" w14:textId="77777777" w:rsidR="00D170E5" w:rsidRPr="002B55E9" w:rsidRDefault="00D170E5">
            <w:pPr>
              <w:pStyle w:val="affffffffffffffffff6"/>
              <w:ind w:left="-40" w:right="-40"/>
            </w:pPr>
          </w:p>
        </w:tc>
        <w:tc>
          <w:tcPr>
            <w:tcW w:w="2416" w:type="dxa"/>
            <w:tcBorders>
              <w:bottom w:val="single" w:sz="4" w:space="0" w:color="auto"/>
            </w:tcBorders>
            <w:vAlign w:val="center"/>
          </w:tcPr>
          <w:p w14:paraId="776CED9A" w14:textId="77777777" w:rsidR="00D170E5" w:rsidRPr="002B55E9" w:rsidRDefault="00EF27AD">
            <w:pPr>
              <w:pStyle w:val="affffffffffffffffff6"/>
              <w:ind w:left="-40" w:right="-40"/>
            </w:pPr>
            <w:r w:rsidRPr="002B55E9">
              <w:rPr>
                <w:rFonts w:hint="eastAsia"/>
              </w:rPr>
              <w:t>稳定度</w:t>
            </w:r>
          </w:p>
        </w:tc>
        <w:tc>
          <w:tcPr>
            <w:tcW w:w="4819" w:type="dxa"/>
            <w:tcBorders>
              <w:bottom w:val="single" w:sz="4" w:space="0" w:color="auto"/>
            </w:tcBorders>
            <w:vAlign w:val="center"/>
          </w:tcPr>
          <w:p w14:paraId="28E422BC" w14:textId="77777777" w:rsidR="00D170E5" w:rsidRPr="002B55E9" w:rsidRDefault="00EF27AD">
            <w:pPr>
              <w:pStyle w:val="affffffffffffffffff6"/>
              <w:ind w:left="-40" w:right="-40"/>
            </w:pPr>
            <w:r w:rsidRPr="002B55E9">
              <w:rPr>
                <w:rFonts w:hint="eastAsia"/>
              </w:rPr>
              <w:t>F</w:t>
            </w:r>
          </w:p>
        </w:tc>
      </w:tr>
      <w:tr w:rsidR="00C60999" w:rsidRPr="002B55E9" w14:paraId="5012350F" w14:textId="77777777">
        <w:trPr>
          <w:trHeight w:val="284"/>
        </w:trPr>
        <w:tc>
          <w:tcPr>
            <w:tcW w:w="2403" w:type="dxa"/>
            <w:vMerge/>
            <w:tcBorders>
              <w:bottom w:val="single" w:sz="4" w:space="0" w:color="auto"/>
            </w:tcBorders>
            <w:vAlign w:val="center"/>
          </w:tcPr>
          <w:p w14:paraId="736F8EE8" w14:textId="77777777" w:rsidR="00D170E5" w:rsidRPr="002B55E9" w:rsidRDefault="00D170E5">
            <w:pPr>
              <w:pStyle w:val="affffffffffffffffff6"/>
              <w:ind w:left="-40" w:right="-40"/>
            </w:pPr>
          </w:p>
        </w:tc>
        <w:tc>
          <w:tcPr>
            <w:tcW w:w="2416" w:type="dxa"/>
            <w:tcBorders>
              <w:bottom w:val="single" w:sz="4" w:space="0" w:color="auto"/>
            </w:tcBorders>
            <w:vAlign w:val="center"/>
          </w:tcPr>
          <w:p w14:paraId="19CA4129" w14:textId="77777777" w:rsidR="00D170E5" w:rsidRPr="002B55E9" w:rsidRDefault="00EF27AD">
            <w:pPr>
              <w:pStyle w:val="affffffffffffffffff6"/>
              <w:ind w:left="-40" w:right="-40"/>
            </w:pPr>
            <w:r w:rsidRPr="002B55E9">
              <w:rPr>
                <w:rFonts w:hint="eastAsia"/>
              </w:rPr>
              <w:t>风向</w:t>
            </w:r>
          </w:p>
        </w:tc>
        <w:tc>
          <w:tcPr>
            <w:tcW w:w="4819" w:type="dxa"/>
            <w:tcBorders>
              <w:bottom w:val="single" w:sz="4" w:space="0" w:color="auto"/>
            </w:tcBorders>
            <w:vAlign w:val="center"/>
          </w:tcPr>
          <w:p w14:paraId="7F328481" w14:textId="77777777" w:rsidR="00D170E5" w:rsidRPr="002B55E9" w:rsidRDefault="00EF27AD">
            <w:pPr>
              <w:pStyle w:val="affffffffffffffffff6"/>
              <w:ind w:left="-40" w:right="-40"/>
            </w:pPr>
            <w:r w:rsidRPr="002B55E9">
              <w:rPr>
                <w:rFonts w:hint="eastAsia"/>
              </w:rPr>
              <w:t>SE</w:t>
            </w:r>
          </w:p>
        </w:tc>
      </w:tr>
      <w:tr w:rsidR="00C60999" w:rsidRPr="002B55E9" w14:paraId="33872D0E" w14:textId="77777777">
        <w:trPr>
          <w:trHeight w:val="284"/>
        </w:trPr>
        <w:tc>
          <w:tcPr>
            <w:tcW w:w="2403" w:type="dxa"/>
            <w:vMerge w:val="restart"/>
            <w:tcBorders>
              <w:top w:val="single" w:sz="4" w:space="0" w:color="auto"/>
              <w:bottom w:val="single" w:sz="4" w:space="0" w:color="auto"/>
            </w:tcBorders>
            <w:vAlign w:val="center"/>
          </w:tcPr>
          <w:p w14:paraId="658A6560" w14:textId="77777777" w:rsidR="00D170E5" w:rsidRPr="002B55E9" w:rsidRDefault="00EF27AD">
            <w:pPr>
              <w:pStyle w:val="affffffffffffffffff6"/>
              <w:ind w:left="-40" w:right="-40"/>
            </w:pPr>
            <w:r w:rsidRPr="002B55E9">
              <w:rPr>
                <w:rFonts w:hint="eastAsia"/>
              </w:rPr>
              <w:lastRenderedPageBreak/>
              <w:t>其他参数</w:t>
            </w:r>
          </w:p>
        </w:tc>
        <w:tc>
          <w:tcPr>
            <w:tcW w:w="2416" w:type="dxa"/>
            <w:tcBorders>
              <w:top w:val="single" w:sz="4" w:space="0" w:color="auto"/>
              <w:bottom w:val="single" w:sz="4" w:space="0" w:color="auto"/>
            </w:tcBorders>
            <w:vAlign w:val="center"/>
          </w:tcPr>
          <w:p w14:paraId="0960076B" w14:textId="77777777" w:rsidR="00D170E5" w:rsidRPr="002B55E9" w:rsidRDefault="00EF27AD">
            <w:pPr>
              <w:pStyle w:val="affffffffffffffffff6"/>
              <w:ind w:left="-40" w:right="-40"/>
            </w:pPr>
            <w:r w:rsidRPr="002B55E9">
              <w:rPr>
                <w:rFonts w:hint="eastAsia"/>
              </w:rPr>
              <w:t>地表粗糙度（</w:t>
            </w:r>
            <w:r w:rsidRPr="002B55E9">
              <w:rPr>
                <w:rFonts w:hint="eastAsia"/>
              </w:rPr>
              <w:t>m</w:t>
            </w:r>
            <w:r w:rsidRPr="002B55E9">
              <w:rPr>
                <w:rFonts w:hint="eastAsia"/>
              </w:rPr>
              <w:t>）</w:t>
            </w:r>
          </w:p>
        </w:tc>
        <w:tc>
          <w:tcPr>
            <w:tcW w:w="4819" w:type="dxa"/>
            <w:tcBorders>
              <w:top w:val="single" w:sz="4" w:space="0" w:color="auto"/>
              <w:bottom w:val="single" w:sz="4" w:space="0" w:color="auto"/>
            </w:tcBorders>
            <w:vAlign w:val="center"/>
          </w:tcPr>
          <w:p w14:paraId="44094ACB" w14:textId="77777777" w:rsidR="00D170E5" w:rsidRPr="002B55E9" w:rsidRDefault="00EF27AD">
            <w:pPr>
              <w:pStyle w:val="affffffffffffffffff6"/>
              <w:ind w:left="-40" w:right="-40"/>
            </w:pPr>
            <w:r w:rsidRPr="002B55E9">
              <w:t>0.01</w:t>
            </w:r>
          </w:p>
        </w:tc>
      </w:tr>
      <w:tr w:rsidR="00C60999" w:rsidRPr="002B55E9" w14:paraId="4436642C" w14:textId="77777777">
        <w:trPr>
          <w:trHeight w:val="284"/>
        </w:trPr>
        <w:tc>
          <w:tcPr>
            <w:tcW w:w="2403" w:type="dxa"/>
            <w:vMerge/>
            <w:tcBorders>
              <w:top w:val="single" w:sz="4" w:space="0" w:color="auto"/>
              <w:bottom w:val="single" w:sz="4" w:space="0" w:color="auto"/>
            </w:tcBorders>
            <w:vAlign w:val="center"/>
          </w:tcPr>
          <w:p w14:paraId="63D84DB9" w14:textId="77777777" w:rsidR="00D170E5" w:rsidRPr="002B55E9" w:rsidRDefault="00D170E5">
            <w:pPr>
              <w:pStyle w:val="affffffffffffffffff6"/>
              <w:ind w:left="-40" w:right="-40"/>
            </w:pPr>
          </w:p>
        </w:tc>
        <w:tc>
          <w:tcPr>
            <w:tcW w:w="2416" w:type="dxa"/>
            <w:tcBorders>
              <w:top w:val="single" w:sz="4" w:space="0" w:color="auto"/>
              <w:bottom w:val="single" w:sz="4" w:space="0" w:color="auto"/>
            </w:tcBorders>
            <w:vAlign w:val="center"/>
          </w:tcPr>
          <w:p w14:paraId="7C2A91AA" w14:textId="77777777" w:rsidR="00D170E5" w:rsidRPr="002B55E9" w:rsidRDefault="00EF27AD">
            <w:pPr>
              <w:pStyle w:val="affffffffffffffffff6"/>
              <w:ind w:left="-40" w:right="-40"/>
            </w:pPr>
            <w:r w:rsidRPr="002B55E9">
              <w:rPr>
                <w:rFonts w:hint="eastAsia"/>
              </w:rPr>
              <w:t>是否考虑地形</w:t>
            </w:r>
          </w:p>
        </w:tc>
        <w:tc>
          <w:tcPr>
            <w:tcW w:w="4819" w:type="dxa"/>
            <w:tcBorders>
              <w:top w:val="single" w:sz="4" w:space="0" w:color="auto"/>
              <w:bottom w:val="single" w:sz="4" w:space="0" w:color="auto"/>
            </w:tcBorders>
            <w:vAlign w:val="center"/>
          </w:tcPr>
          <w:p w14:paraId="08231056" w14:textId="77777777" w:rsidR="00D170E5" w:rsidRPr="002B55E9" w:rsidRDefault="00EF27AD">
            <w:pPr>
              <w:pStyle w:val="affffffffffffffffff6"/>
              <w:ind w:left="-40" w:right="-40"/>
            </w:pPr>
            <w:r w:rsidRPr="002B55E9">
              <w:rPr>
                <w:rFonts w:hint="eastAsia"/>
              </w:rPr>
              <w:t>是</w:t>
            </w:r>
          </w:p>
        </w:tc>
      </w:tr>
      <w:tr w:rsidR="00C60999" w:rsidRPr="002B55E9" w14:paraId="45B8783E" w14:textId="77777777">
        <w:trPr>
          <w:trHeight w:val="284"/>
        </w:trPr>
        <w:tc>
          <w:tcPr>
            <w:tcW w:w="2403" w:type="dxa"/>
            <w:vMerge/>
            <w:tcBorders>
              <w:top w:val="single" w:sz="4" w:space="0" w:color="auto"/>
              <w:bottom w:val="single" w:sz="12" w:space="0" w:color="auto"/>
            </w:tcBorders>
            <w:vAlign w:val="center"/>
          </w:tcPr>
          <w:p w14:paraId="75ADB6E9" w14:textId="77777777" w:rsidR="00D170E5" w:rsidRPr="002B55E9" w:rsidRDefault="00D170E5">
            <w:pPr>
              <w:pStyle w:val="affffffffffffffffff6"/>
              <w:ind w:left="-40" w:right="-40"/>
            </w:pPr>
          </w:p>
        </w:tc>
        <w:tc>
          <w:tcPr>
            <w:tcW w:w="2416" w:type="dxa"/>
            <w:tcBorders>
              <w:top w:val="single" w:sz="4" w:space="0" w:color="auto"/>
              <w:bottom w:val="single" w:sz="12" w:space="0" w:color="auto"/>
            </w:tcBorders>
            <w:vAlign w:val="center"/>
          </w:tcPr>
          <w:p w14:paraId="244EFB10" w14:textId="77777777" w:rsidR="00D170E5" w:rsidRPr="002B55E9" w:rsidRDefault="00EF27AD">
            <w:pPr>
              <w:pStyle w:val="affffffffffffffffff6"/>
              <w:ind w:left="-40" w:right="-40"/>
            </w:pPr>
            <w:r w:rsidRPr="002B55E9">
              <w:rPr>
                <w:rFonts w:hint="eastAsia"/>
              </w:rPr>
              <w:t>地形数据精度（</w:t>
            </w:r>
            <w:r w:rsidRPr="002B55E9">
              <w:rPr>
                <w:rFonts w:hint="eastAsia"/>
              </w:rPr>
              <w:t>m</w:t>
            </w:r>
            <w:r w:rsidRPr="002B55E9">
              <w:rPr>
                <w:rFonts w:hint="eastAsia"/>
              </w:rPr>
              <w:t>）</w:t>
            </w:r>
          </w:p>
        </w:tc>
        <w:tc>
          <w:tcPr>
            <w:tcW w:w="4819" w:type="dxa"/>
            <w:tcBorders>
              <w:top w:val="single" w:sz="4" w:space="0" w:color="auto"/>
              <w:bottom w:val="single" w:sz="12" w:space="0" w:color="auto"/>
            </w:tcBorders>
            <w:vAlign w:val="center"/>
          </w:tcPr>
          <w:p w14:paraId="05025661" w14:textId="77777777" w:rsidR="00D170E5" w:rsidRPr="002B55E9" w:rsidRDefault="00EF27AD">
            <w:pPr>
              <w:pStyle w:val="affffffffffffffffff6"/>
              <w:ind w:left="-40" w:right="-40"/>
            </w:pPr>
            <w:r w:rsidRPr="002B55E9">
              <w:rPr>
                <w:rFonts w:hint="eastAsia"/>
              </w:rPr>
              <w:t>/</w:t>
            </w:r>
          </w:p>
        </w:tc>
      </w:tr>
    </w:tbl>
    <w:p w14:paraId="50E9B46B" w14:textId="77777777" w:rsidR="00D170E5" w:rsidRPr="002B55E9" w:rsidRDefault="00EF27AD">
      <w:pPr>
        <w:numPr>
          <w:ilvl w:val="0"/>
          <w:numId w:val="32"/>
        </w:numPr>
        <w:spacing w:after="60" w:line="360" w:lineRule="auto"/>
        <w:rPr>
          <w:bCs/>
          <w:snapToGrid w:val="0"/>
          <w:sz w:val="24"/>
        </w:rPr>
      </w:pPr>
      <w:r w:rsidRPr="002B55E9">
        <w:rPr>
          <w:bCs/>
          <w:snapToGrid w:val="0"/>
          <w:sz w:val="24"/>
        </w:rPr>
        <w:t>预测结果</w:t>
      </w:r>
    </w:p>
    <w:p w14:paraId="30BB5B2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最不利气象条件情景下就醋胚</w:t>
      </w:r>
      <w:r w:rsidRPr="002B55E9">
        <w:rPr>
          <w:bCs/>
          <w:snapToGrid w:val="0"/>
          <w:sz w:val="24"/>
        </w:rPr>
        <w:t>（</w:t>
      </w:r>
      <w:r w:rsidRPr="002B55E9">
        <w:rPr>
          <w:rFonts w:hint="eastAsia"/>
          <w:bCs/>
          <w:snapToGrid w:val="0"/>
          <w:sz w:val="24"/>
        </w:rPr>
        <w:t>乙酸）</w:t>
      </w:r>
      <w:r w:rsidRPr="002B55E9">
        <w:rPr>
          <w:bCs/>
          <w:snapToGrid w:val="0"/>
          <w:sz w:val="24"/>
        </w:rPr>
        <w:t>、过氧乙酸</w:t>
      </w:r>
      <w:r w:rsidRPr="002B55E9">
        <w:rPr>
          <w:rFonts w:hint="eastAsia"/>
          <w:bCs/>
          <w:snapToGrid w:val="0"/>
          <w:sz w:val="24"/>
        </w:rPr>
        <w:t>泄漏对环境的影响及出现各大气毒性终点浓度的最远距离进行预测。</w:t>
      </w:r>
    </w:p>
    <w:p w14:paraId="1EA5427C" w14:textId="77777777" w:rsidR="00D170E5" w:rsidRPr="002B55E9" w:rsidRDefault="00EF27AD">
      <w:pPr>
        <w:numPr>
          <w:ilvl w:val="0"/>
          <w:numId w:val="33"/>
        </w:numPr>
        <w:spacing w:line="360" w:lineRule="auto"/>
        <w:ind w:firstLineChars="200" w:firstLine="480"/>
        <w:jc w:val="left"/>
        <w:rPr>
          <w:bCs/>
          <w:snapToGrid w:val="0"/>
          <w:sz w:val="24"/>
          <w:szCs w:val="22"/>
        </w:rPr>
      </w:pPr>
      <w:r w:rsidRPr="002B55E9">
        <w:rPr>
          <w:rFonts w:hint="eastAsia"/>
          <w:bCs/>
          <w:snapToGrid w:val="0"/>
          <w:sz w:val="24"/>
          <w:szCs w:val="22"/>
        </w:rPr>
        <w:t>醋胚泄漏</w:t>
      </w:r>
      <w:r w:rsidRPr="002B55E9">
        <w:rPr>
          <w:bCs/>
          <w:snapToGrid w:val="0"/>
          <w:sz w:val="24"/>
          <w:szCs w:val="22"/>
        </w:rPr>
        <w:t>影响</w:t>
      </w:r>
      <w:r w:rsidRPr="002B55E9">
        <w:rPr>
          <w:rFonts w:hint="eastAsia"/>
          <w:bCs/>
          <w:snapToGrid w:val="0"/>
          <w:sz w:val="24"/>
          <w:szCs w:val="22"/>
        </w:rPr>
        <w:t>预测</w:t>
      </w:r>
    </w:p>
    <w:p w14:paraId="44F45BEC"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rPr>
        <w:t>醋胚泄漏具体情况见下表。</w:t>
      </w:r>
    </w:p>
    <w:p w14:paraId="6D775482"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8</w:t>
      </w:r>
      <w:r w:rsidRPr="002B55E9">
        <w:rPr>
          <w:rFonts w:eastAsia="黑体" w:hint="eastAsia"/>
          <w:b/>
          <w:sz w:val="24"/>
        </w:rPr>
        <w:t xml:space="preserve">  </w:t>
      </w:r>
      <w:r w:rsidRPr="002B55E9">
        <w:rPr>
          <w:rFonts w:eastAsia="黑体" w:hint="eastAsia"/>
          <w:b/>
          <w:sz w:val="24"/>
        </w:rPr>
        <w:t>不同气象条件下泄露下风向不同距离预测结果</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97"/>
        <w:gridCol w:w="3216"/>
        <w:gridCol w:w="3224"/>
      </w:tblGrid>
      <w:tr w:rsidR="00C60999" w:rsidRPr="002B55E9" w14:paraId="7D6B6CF4" w14:textId="77777777">
        <w:trPr>
          <w:trHeight w:val="284"/>
        </w:trPr>
        <w:tc>
          <w:tcPr>
            <w:tcW w:w="9637" w:type="dxa"/>
            <w:gridSpan w:val="3"/>
            <w:shd w:val="clear" w:color="auto" w:fill="auto"/>
            <w:vAlign w:val="center"/>
          </w:tcPr>
          <w:p w14:paraId="15F1EF06" w14:textId="77777777" w:rsidR="00D170E5" w:rsidRPr="002B55E9" w:rsidRDefault="00EF27AD">
            <w:pPr>
              <w:pStyle w:val="affffffffffffffffff6"/>
              <w:ind w:left="-40" w:right="-40"/>
              <w:rPr>
                <w:szCs w:val="18"/>
              </w:rPr>
            </w:pPr>
            <w:r w:rsidRPr="002B55E9">
              <w:rPr>
                <w:szCs w:val="18"/>
              </w:rPr>
              <w:t>最不利气象条件</w:t>
            </w:r>
          </w:p>
        </w:tc>
      </w:tr>
      <w:tr w:rsidR="00C60999" w:rsidRPr="002B55E9" w14:paraId="5DCFCD1C" w14:textId="77777777">
        <w:trPr>
          <w:trHeight w:val="284"/>
        </w:trPr>
        <w:tc>
          <w:tcPr>
            <w:tcW w:w="3197" w:type="dxa"/>
            <w:shd w:val="clear" w:color="auto" w:fill="auto"/>
            <w:vAlign w:val="center"/>
          </w:tcPr>
          <w:p w14:paraId="1D3FBA30" w14:textId="77777777" w:rsidR="00D170E5" w:rsidRPr="002B55E9" w:rsidRDefault="00EF27AD">
            <w:pPr>
              <w:pStyle w:val="affffffffffffffffff6"/>
              <w:ind w:left="-40" w:right="-40"/>
              <w:rPr>
                <w:szCs w:val="18"/>
              </w:rPr>
            </w:pPr>
            <w:r w:rsidRPr="002B55E9">
              <w:rPr>
                <w:szCs w:val="18"/>
              </w:rPr>
              <w:t>距离（</w:t>
            </w:r>
            <w:r w:rsidRPr="002B55E9">
              <w:rPr>
                <w:szCs w:val="18"/>
              </w:rPr>
              <w:t>m</w:t>
            </w:r>
            <w:r w:rsidRPr="002B55E9">
              <w:rPr>
                <w:szCs w:val="18"/>
              </w:rPr>
              <w:t>）</w:t>
            </w:r>
          </w:p>
        </w:tc>
        <w:tc>
          <w:tcPr>
            <w:tcW w:w="3216" w:type="dxa"/>
            <w:shd w:val="clear" w:color="auto" w:fill="auto"/>
            <w:vAlign w:val="center"/>
          </w:tcPr>
          <w:p w14:paraId="30D68C7E" w14:textId="77777777" w:rsidR="00D170E5" w:rsidRPr="002B55E9" w:rsidRDefault="00EF27AD">
            <w:pPr>
              <w:pStyle w:val="affffffffffffffffff6"/>
              <w:ind w:left="-40" w:right="-40"/>
              <w:rPr>
                <w:szCs w:val="18"/>
              </w:rPr>
            </w:pPr>
            <w:r w:rsidRPr="002B55E9">
              <w:rPr>
                <w:szCs w:val="18"/>
              </w:rPr>
              <w:t>最大时间</w:t>
            </w:r>
            <w:r w:rsidRPr="002B55E9">
              <w:rPr>
                <w:szCs w:val="18"/>
              </w:rPr>
              <w:t>(min)</w:t>
            </w:r>
          </w:p>
        </w:tc>
        <w:tc>
          <w:tcPr>
            <w:tcW w:w="3224" w:type="dxa"/>
            <w:shd w:val="clear" w:color="auto" w:fill="auto"/>
            <w:vAlign w:val="center"/>
          </w:tcPr>
          <w:p w14:paraId="31D89B6F" w14:textId="77777777" w:rsidR="00D170E5" w:rsidRPr="002B55E9" w:rsidRDefault="00EF27AD">
            <w:pPr>
              <w:pStyle w:val="affffffffffffffffff6"/>
              <w:ind w:left="-40" w:right="-40"/>
              <w:rPr>
                <w:szCs w:val="18"/>
              </w:rPr>
            </w:pPr>
            <w:r w:rsidRPr="002B55E9">
              <w:rPr>
                <w:szCs w:val="18"/>
              </w:rPr>
              <w:t>最大浓度（</w:t>
            </w:r>
            <w:r w:rsidRPr="002B55E9">
              <w:rPr>
                <w:szCs w:val="18"/>
              </w:rPr>
              <w:t>mg/m</w:t>
            </w:r>
            <w:r w:rsidRPr="002B55E9">
              <w:rPr>
                <w:szCs w:val="18"/>
                <w:vertAlign w:val="superscript"/>
              </w:rPr>
              <w:t>3</w:t>
            </w:r>
            <w:r w:rsidRPr="002B55E9">
              <w:rPr>
                <w:szCs w:val="18"/>
              </w:rPr>
              <w:t>）</w:t>
            </w:r>
          </w:p>
        </w:tc>
      </w:tr>
      <w:tr w:rsidR="00C60999" w:rsidRPr="002B55E9" w14:paraId="684CF194" w14:textId="77777777">
        <w:trPr>
          <w:trHeight w:val="284"/>
        </w:trPr>
        <w:tc>
          <w:tcPr>
            <w:tcW w:w="3197" w:type="dxa"/>
            <w:shd w:val="clear" w:color="auto" w:fill="auto"/>
            <w:vAlign w:val="center"/>
          </w:tcPr>
          <w:p w14:paraId="07FC9892" w14:textId="77777777" w:rsidR="00D170E5" w:rsidRPr="002B55E9" w:rsidRDefault="00EF27AD">
            <w:pPr>
              <w:pStyle w:val="affffffffffffffffff6"/>
              <w:ind w:left="-40" w:right="-40"/>
              <w:rPr>
                <w:szCs w:val="18"/>
              </w:rPr>
            </w:pPr>
            <w:r w:rsidRPr="002B55E9">
              <w:rPr>
                <w:rFonts w:hint="eastAsia"/>
                <w:szCs w:val="18"/>
              </w:rPr>
              <w:t>10</w:t>
            </w:r>
          </w:p>
        </w:tc>
        <w:tc>
          <w:tcPr>
            <w:tcW w:w="3216" w:type="dxa"/>
            <w:shd w:val="clear" w:color="auto" w:fill="auto"/>
            <w:vAlign w:val="center"/>
          </w:tcPr>
          <w:p w14:paraId="0075D403" w14:textId="77777777" w:rsidR="00D170E5" w:rsidRPr="002B55E9" w:rsidRDefault="00EF27AD">
            <w:pPr>
              <w:pStyle w:val="affffffffffffffffff6"/>
              <w:ind w:left="-40" w:right="-40"/>
              <w:rPr>
                <w:szCs w:val="18"/>
                <w:vertAlign w:val="superscript"/>
              </w:rPr>
            </w:pPr>
            <w:r w:rsidRPr="002B55E9">
              <w:rPr>
                <w:rFonts w:hint="eastAsia"/>
                <w:szCs w:val="18"/>
              </w:rPr>
              <w:t>8.33</w:t>
            </w:r>
            <w:r w:rsidRPr="002B55E9">
              <w:rPr>
                <w:rFonts w:hint="eastAsia"/>
                <w:szCs w:val="18"/>
              </w:rPr>
              <w:t>×</w:t>
            </w:r>
            <w:r w:rsidRPr="002B55E9">
              <w:rPr>
                <w:rFonts w:hint="eastAsia"/>
                <w:szCs w:val="18"/>
              </w:rPr>
              <w:t>10</w:t>
            </w:r>
            <w:r w:rsidRPr="002B55E9">
              <w:rPr>
                <w:szCs w:val="18"/>
                <w:vertAlign w:val="superscript"/>
              </w:rPr>
              <w:t>-2</w:t>
            </w:r>
          </w:p>
        </w:tc>
        <w:tc>
          <w:tcPr>
            <w:tcW w:w="3224" w:type="dxa"/>
            <w:shd w:val="clear" w:color="auto" w:fill="auto"/>
            <w:vAlign w:val="center"/>
          </w:tcPr>
          <w:p w14:paraId="435328B1" w14:textId="77777777" w:rsidR="00D170E5" w:rsidRPr="002B55E9" w:rsidRDefault="00EF27AD">
            <w:pPr>
              <w:pStyle w:val="affffffffffffffffff6"/>
              <w:ind w:left="-40" w:right="-40"/>
              <w:rPr>
                <w:szCs w:val="18"/>
              </w:rPr>
            </w:pPr>
            <w:r w:rsidRPr="002B55E9">
              <w:rPr>
                <w:rFonts w:hint="eastAsia"/>
                <w:szCs w:val="18"/>
              </w:rPr>
              <w:t>3.033</w:t>
            </w:r>
          </w:p>
        </w:tc>
      </w:tr>
      <w:tr w:rsidR="00C60999" w:rsidRPr="002B55E9" w14:paraId="6ACA3F9A" w14:textId="77777777">
        <w:trPr>
          <w:trHeight w:val="284"/>
        </w:trPr>
        <w:tc>
          <w:tcPr>
            <w:tcW w:w="3197" w:type="dxa"/>
            <w:shd w:val="clear" w:color="auto" w:fill="auto"/>
            <w:vAlign w:val="center"/>
          </w:tcPr>
          <w:p w14:paraId="6ADCB9EB" w14:textId="77777777" w:rsidR="00D170E5" w:rsidRPr="002B55E9" w:rsidRDefault="00EF27AD">
            <w:pPr>
              <w:pStyle w:val="affffffffffffffffff6"/>
              <w:ind w:left="-40" w:right="-40"/>
              <w:rPr>
                <w:szCs w:val="18"/>
              </w:rPr>
            </w:pPr>
            <w:r w:rsidRPr="002B55E9">
              <w:rPr>
                <w:szCs w:val="18"/>
              </w:rPr>
              <w:t>50</w:t>
            </w:r>
          </w:p>
        </w:tc>
        <w:tc>
          <w:tcPr>
            <w:tcW w:w="3216" w:type="dxa"/>
            <w:shd w:val="clear" w:color="auto" w:fill="auto"/>
            <w:vAlign w:val="center"/>
          </w:tcPr>
          <w:p w14:paraId="30D54F94" w14:textId="77777777" w:rsidR="00D170E5" w:rsidRPr="002B55E9" w:rsidRDefault="00EF27AD">
            <w:pPr>
              <w:pStyle w:val="affffffffffffffffff6"/>
              <w:ind w:left="-40" w:right="-40"/>
              <w:rPr>
                <w:szCs w:val="18"/>
              </w:rPr>
            </w:pPr>
            <w:r w:rsidRPr="002B55E9">
              <w:rPr>
                <w:rFonts w:hint="eastAsia"/>
                <w:szCs w:val="18"/>
              </w:rPr>
              <w:t>0.416</w:t>
            </w:r>
          </w:p>
        </w:tc>
        <w:tc>
          <w:tcPr>
            <w:tcW w:w="3224" w:type="dxa"/>
            <w:shd w:val="clear" w:color="auto" w:fill="auto"/>
            <w:vAlign w:val="center"/>
          </w:tcPr>
          <w:p w14:paraId="025AA721" w14:textId="77777777" w:rsidR="00D170E5" w:rsidRPr="002B55E9" w:rsidRDefault="00EF27AD">
            <w:pPr>
              <w:pStyle w:val="affffffffffffffffff6"/>
              <w:ind w:left="-40" w:right="-40"/>
              <w:rPr>
                <w:szCs w:val="18"/>
              </w:rPr>
            </w:pPr>
            <w:r w:rsidRPr="002B55E9">
              <w:rPr>
                <w:rFonts w:hint="eastAsia"/>
                <w:szCs w:val="18"/>
              </w:rPr>
              <w:t>8.176</w:t>
            </w:r>
          </w:p>
        </w:tc>
      </w:tr>
      <w:tr w:rsidR="00C60999" w:rsidRPr="002B55E9" w14:paraId="13567335" w14:textId="77777777">
        <w:trPr>
          <w:trHeight w:val="284"/>
        </w:trPr>
        <w:tc>
          <w:tcPr>
            <w:tcW w:w="3197" w:type="dxa"/>
            <w:shd w:val="clear" w:color="auto" w:fill="auto"/>
            <w:vAlign w:val="center"/>
          </w:tcPr>
          <w:p w14:paraId="6BF6F400" w14:textId="77777777" w:rsidR="00D170E5" w:rsidRPr="002B55E9" w:rsidRDefault="00EF27AD">
            <w:pPr>
              <w:pStyle w:val="affffffffffffffffff6"/>
              <w:ind w:left="-40" w:right="-40"/>
              <w:rPr>
                <w:szCs w:val="18"/>
              </w:rPr>
            </w:pPr>
            <w:r w:rsidRPr="002B55E9">
              <w:rPr>
                <w:szCs w:val="18"/>
              </w:rPr>
              <w:t>100</w:t>
            </w:r>
          </w:p>
        </w:tc>
        <w:tc>
          <w:tcPr>
            <w:tcW w:w="3216" w:type="dxa"/>
            <w:shd w:val="clear" w:color="auto" w:fill="auto"/>
            <w:vAlign w:val="center"/>
          </w:tcPr>
          <w:p w14:paraId="7BFB9AE8" w14:textId="77777777" w:rsidR="00D170E5" w:rsidRPr="002B55E9" w:rsidRDefault="00EF27AD">
            <w:pPr>
              <w:pStyle w:val="affffffffffffffffff6"/>
              <w:ind w:left="-40" w:right="-40"/>
              <w:rPr>
                <w:szCs w:val="18"/>
              </w:rPr>
            </w:pPr>
            <w:r w:rsidRPr="002B55E9">
              <w:rPr>
                <w:rFonts w:hint="eastAsia"/>
                <w:szCs w:val="18"/>
              </w:rPr>
              <w:t>0.833</w:t>
            </w:r>
          </w:p>
        </w:tc>
        <w:tc>
          <w:tcPr>
            <w:tcW w:w="3224" w:type="dxa"/>
            <w:shd w:val="clear" w:color="auto" w:fill="auto"/>
            <w:vAlign w:val="center"/>
          </w:tcPr>
          <w:p w14:paraId="7E72C0AC" w14:textId="77777777" w:rsidR="00D170E5" w:rsidRPr="002B55E9" w:rsidRDefault="00EF27AD">
            <w:pPr>
              <w:pStyle w:val="affffffffffffffffff6"/>
              <w:ind w:left="-40" w:right="-40"/>
              <w:rPr>
                <w:szCs w:val="18"/>
              </w:rPr>
            </w:pPr>
            <w:r w:rsidRPr="002B55E9">
              <w:rPr>
                <w:rFonts w:hint="eastAsia"/>
                <w:szCs w:val="18"/>
              </w:rPr>
              <w:t>3.568</w:t>
            </w:r>
          </w:p>
        </w:tc>
      </w:tr>
      <w:tr w:rsidR="00C60999" w:rsidRPr="002B55E9" w14:paraId="30206864" w14:textId="77777777">
        <w:trPr>
          <w:trHeight w:val="284"/>
        </w:trPr>
        <w:tc>
          <w:tcPr>
            <w:tcW w:w="3197" w:type="dxa"/>
            <w:shd w:val="clear" w:color="auto" w:fill="auto"/>
            <w:vAlign w:val="center"/>
          </w:tcPr>
          <w:p w14:paraId="768E814E" w14:textId="77777777" w:rsidR="00D170E5" w:rsidRPr="002B55E9" w:rsidRDefault="00EF27AD">
            <w:pPr>
              <w:pStyle w:val="affffffffffffffffff6"/>
              <w:ind w:left="-40" w:right="-40"/>
              <w:rPr>
                <w:szCs w:val="18"/>
              </w:rPr>
            </w:pPr>
            <w:r w:rsidRPr="002B55E9">
              <w:rPr>
                <w:szCs w:val="18"/>
              </w:rPr>
              <w:t>200</w:t>
            </w:r>
          </w:p>
        </w:tc>
        <w:tc>
          <w:tcPr>
            <w:tcW w:w="3216" w:type="dxa"/>
            <w:shd w:val="clear" w:color="auto" w:fill="auto"/>
            <w:vAlign w:val="center"/>
          </w:tcPr>
          <w:p w14:paraId="5403915C" w14:textId="77777777" w:rsidR="00D170E5" w:rsidRPr="002B55E9" w:rsidRDefault="00EF27AD">
            <w:pPr>
              <w:pStyle w:val="affffffffffffffffff6"/>
              <w:ind w:left="-40" w:right="-40"/>
              <w:rPr>
                <w:szCs w:val="18"/>
              </w:rPr>
            </w:pPr>
            <w:r w:rsidRPr="002B55E9">
              <w:rPr>
                <w:rFonts w:hint="eastAsia"/>
                <w:szCs w:val="18"/>
              </w:rPr>
              <w:t>1.67</w:t>
            </w:r>
          </w:p>
        </w:tc>
        <w:tc>
          <w:tcPr>
            <w:tcW w:w="3224" w:type="dxa"/>
            <w:shd w:val="clear" w:color="auto" w:fill="auto"/>
            <w:vAlign w:val="center"/>
          </w:tcPr>
          <w:p w14:paraId="27EC525C" w14:textId="77777777" w:rsidR="00D170E5" w:rsidRPr="002B55E9" w:rsidRDefault="00EF27AD">
            <w:pPr>
              <w:pStyle w:val="affffffffffffffffff6"/>
              <w:ind w:left="-40" w:right="-40"/>
              <w:rPr>
                <w:szCs w:val="18"/>
              </w:rPr>
            </w:pPr>
            <w:r w:rsidRPr="002B55E9">
              <w:rPr>
                <w:rFonts w:hint="eastAsia"/>
                <w:szCs w:val="18"/>
              </w:rPr>
              <w:t>2.186</w:t>
            </w:r>
          </w:p>
        </w:tc>
      </w:tr>
      <w:tr w:rsidR="00C60999" w:rsidRPr="002B55E9" w14:paraId="59CCC869" w14:textId="77777777">
        <w:trPr>
          <w:trHeight w:val="284"/>
        </w:trPr>
        <w:tc>
          <w:tcPr>
            <w:tcW w:w="3197" w:type="dxa"/>
            <w:shd w:val="clear" w:color="auto" w:fill="auto"/>
            <w:vAlign w:val="center"/>
          </w:tcPr>
          <w:p w14:paraId="66519D6A" w14:textId="77777777" w:rsidR="00D170E5" w:rsidRPr="002B55E9" w:rsidRDefault="00EF27AD">
            <w:pPr>
              <w:pStyle w:val="affffffffffffffffff6"/>
              <w:ind w:left="-40" w:right="-40"/>
              <w:rPr>
                <w:szCs w:val="18"/>
              </w:rPr>
            </w:pPr>
            <w:r w:rsidRPr="002B55E9">
              <w:rPr>
                <w:szCs w:val="18"/>
              </w:rPr>
              <w:t>300</w:t>
            </w:r>
          </w:p>
        </w:tc>
        <w:tc>
          <w:tcPr>
            <w:tcW w:w="3216" w:type="dxa"/>
            <w:shd w:val="clear" w:color="auto" w:fill="auto"/>
            <w:vAlign w:val="center"/>
          </w:tcPr>
          <w:p w14:paraId="6410EA96" w14:textId="77777777" w:rsidR="00D170E5" w:rsidRPr="002B55E9" w:rsidRDefault="00EF27AD">
            <w:pPr>
              <w:pStyle w:val="affffffffffffffffff6"/>
              <w:ind w:left="-40" w:right="-40"/>
              <w:rPr>
                <w:szCs w:val="18"/>
              </w:rPr>
            </w:pPr>
            <w:r w:rsidRPr="002B55E9">
              <w:rPr>
                <w:rFonts w:hint="eastAsia"/>
                <w:szCs w:val="18"/>
              </w:rPr>
              <w:t>2.5</w:t>
            </w:r>
          </w:p>
        </w:tc>
        <w:tc>
          <w:tcPr>
            <w:tcW w:w="3224" w:type="dxa"/>
            <w:shd w:val="clear" w:color="auto" w:fill="auto"/>
            <w:vAlign w:val="center"/>
          </w:tcPr>
          <w:p w14:paraId="780458BA" w14:textId="77777777" w:rsidR="00D170E5" w:rsidRPr="002B55E9" w:rsidRDefault="00EF27AD">
            <w:pPr>
              <w:pStyle w:val="affffffffffffffffff6"/>
              <w:ind w:left="-40" w:right="-40"/>
              <w:rPr>
                <w:szCs w:val="18"/>
              </w:rPr>
            </w:pPr>
            <w:r w:rsidRPr="002B55E9">
              <w:rPr>
                <w:rFonts w:hint="eastAsia"/>
                <w:szCs w:val="18"/>
              </w:rPr>
              <w:t>0.658</w:t>
            </w:r>
          </w:p>
        </w:tc>
      </w:tr>
      <w:tr w:rsidR="00C60999" w:rsidRPr="002B55E9" w14:paraId="7EED4B1B" w14:textId="77777777">
        <w:trPr>
          <w:trHeight w:val="284"/>
        </w:trPr>
        <w:tc>
          <w:tcPr>
            <w:tcW w:w="3197" w:type="dxa"/>
            <w:shd w:val="clear" w:color="auto" w:fill="auto"/>
            <w:vAlign w:val="center"/>
          </w:tcPr>
          <w:p w14:paraId="20315344" w14:textId="77777777" w:rsidR="00D170E5" w:rsidRPr="002B55E9" w:rsidRDefault="00EF27AD">
            <w:pPr>
              <w:pStyle w:val="affffffffffffffffff6"/>
              <w:ind w:left="-40" w:right="-40"/>
              <w:rPr>
                <w:szCs w:val="18"/>
              </w:rPr>
            </w:pPr>
            <w:r w:rsidRPr="002B55E9">
              <w:rPr>
                <w:szCs w:val="18"/>
              </w:rPr>
              <w:t>400</w:t>
            </w:r>
          </w:p>
        </w:tc>
        <w:tc>
          <w:tcPr>
            <w:tcW w:w="3216" w:type="dxa"/>
            <w:shd w:val="clear" w:color="auto" w:fill="auto"/>
            <w:vAlign w:val="center"/>
          </w:tcPr>
          <w:p w14:paraId="1F54197E" w14:textId="77777777" w:rsidR="00D170E5" w:rsidRPr="002B55E9" w:rsidRDefault="00EF27AD">
            <w:pPr>
              <w:pStyle w:val="affffffffffffffffff6"/>
              <w:ind w:left="-40" w:right="-40"/>
              <w:rPr>
                <w:szCs w:val="18"/>
              </w:rPr>
            </w:pPr>
            <w:r w:rsidRPr="002B55E9">
              <w:rPr>
                <w:rFonts w:hint="eastAsia"/>
                <w:szCs w:val="18"/>
              </w:rPr>
              <w:t>3.33</w:t>
            </w:r>
          </w:p>
        </w:tc>
        <w:tc>
          <w:tcPr>
            <w:tcW w:w="3224" w:type="dxa"/>
            <w:shd w:val="clear" w:color="auto" w:fill="auto"/>
            <w:vAlign w:val="center"/>
          </w:tcPr>
          <w:p w14:paraId="7862BCAE" w14:textId="77777777" w:rsidR="00D170E5" w:rsidRPr="002B55E9" w:rsidRDefault="00EF27AD">
            <w:pPr>
              <w:pStyle w:val="affffffffffffffffff6"/>
              <w:ind w:left="-40" w:right="-40"/>
              <w:rPr>
                <w:szCs w:val="18"/>
              </w:rPr>
            </w:pPr>
            <w:r w:rsidRPr="002B55E9">
              <w:rPr>
                <w:rFonts w:hint="eastAsia"/>
                <w:szCs w:val="18"/>
              </w:rPr>
              <w:t>0.411</w:t>
            </w:r>
          </w:p>
        </w:tc>
      </w:tr>
      <w:tr w:rsidR="00C60999" w:rsidRPr="002B55E9" w14:paraId="3DC82700" w14:textId="77777777">
        <w:trPr>
          <w:trHeight w:val="284"/>
        </w:trPr>
        <w:tc>
          <w:tcPr>
            <w:tcW w:w="3197" w:type="dxa"/>
            <w:shd w:val="clear" w:color="auto" w:fill="auto"/>
            <w:vAlign w:val="center"/>
          </w:tcPr>
          <w:p w14:paraId="70673A39" w14:textId="77777777" w:rsidR="00D170E5" w:rsidRPr="002B55E9" w:rsidRDefault="00EF27AD">
            <w:pPr>
              <w:pStyle w:val="affffffffffffffffff6"/>
              <w:ind w:left="-40" w:right="-40"/>
              <w:rPr>
                <w:szCs w:val="18"/>
              </w:rPr>
            </w:pPr>
            <w:r w:rsidRPr="002B55E9">
              <w:rPr>
                <w:szCs w:val="18"/>
              </w:rPr>
              <w:t>500</w:t>
            </w:r>
          </w:p>
        </w:tc>
        <w:tc>
          <w:tcPr>
            <w:tcW w:w="3216" w:type="dxa"/>
            <w:shd w:val="clear" w:color="auto" w:fill="auto"/>
            <w:vAlign w:val="center"/>
          </w:tcPr>
          <w:p w14:paraId="4331A0CE" w14:textId="77777777" w:rsidR="00D170E5" w:rsidRPr="002B55E9" w:rsidRDefault="00EF27AD">
            <w:pPr>
              <w:pStyle w:val="affffffffffffffffff6"/>
              <w:ind w:left="-40" w:right="-40"/>
              <w:rPr>
                <w:szCs w:val="18"/>
              </w:rPr>
            </w:pPr>
            <w:r w:rsidRPr="002B55E9">
              <w:rPr>
                <w:rFonts w:hint="eastAsia"/>
                <w:szCs w:val="18"/>
              </w:rPr>
              <w:t>4.167</w:t>
            </w:r>
          </w:p>
        </w:tc>
        <w:tc>
          <w:tcPr>
            <w:tcW w:w="3224" w:type="dxa"/>
            <w:shd w:val="clear" w:color="auto" w:fill="auto"/>
            <w:vAlign w:val="center"/>
          </w:tcPr>
          <w:p w14:paraId="61F2E1AA" w14:textId="77777777" w:rsidR="00D170E5" w:rsidRPr="002B55E9" w:rsidRDefault="00EF27AD">
            <w:pPr>
              <w:pStyle w:val="affffffffffffffffff6"/>
              <w:ind w:left="-40" w:right="-40"/>
              <w:rPr>
                <w:szCs w:val="18"/>
              </w:rPr>
            </w:pPr>
            <w:r w:rsidRPr="002B55E9">
              <w:rPr>
                <w:rFonts w:hint="eastAsia"/>
                <w:szCs w:val="18"/>
              </w:rPr>
              <w:t>0</w:t>
            </w:r>
            <w:r w:rsidRPr="002B55E9">
              <w:rPr>
                <w:szCs w:val="18"/>
              </w:rPr>
              <w:t>.285</w:t>
            </w:r>
          </w:p>
        </w:tc>
      </w:tr>
      <w:tr w:rsidR="00C60999" w:rsidRPr="002B55E9" w14:paraId="04D2F5F1" w14:textId="77777777">
        <w:trPr>
          <w:trHeight w:val="284"/>
        </w:trPr>
        <w:tc>
          <w:tcPr>
            <w:tcW w:w="3197" w:type="dxa"/>
            <w:shd w:val="clear" w:color="auto" w:fill="auto"/>
            <w:vAlign w:val="center"/>
          </w:tcPr>
          <w:p w14:paraId="428D0896" w14:textId="77777777" w:rsidR="00D170E5" w:rsidRPr="002B55E9" w:rsidRDefault="00EF27AD">
            <w:pPr>
              <w:pStyle w:val="affffffffffffffffff6"/>
              <w:ind w:left="-40" w:right="-40"/>
              <w:rPr>
                <w:szCs w:val="18"/>
              </w:rPr>
            </w:pPr>
            <w:r w:rsidRPr="002B55E9">
              <w:rPr>
                <w:szCs w:val="18"/>
              </w:rPr>
              <w:t>1000</w:t>
            </w:r>
          </w:p>
        </w:tc>
        <w:tc>
          <w:tcPr>
            <w:tcW w:w="3216" w:type="dxa"/>
            <w:shd w:val="clear" w:color="auto" w:fill="auto"/>
            <w:vAlign w:val="center"/>
          </w:tcPr>
          <w:p w14:paraId="378F3750" w14:textId="77777777" w:rsidR="00D170E5" w:rsidRPr="002B55E9" w:rsidRDefault="00EF27AD">
            <w:pPr>
              <w:pStyle w:val="affffffffffffffffff6"/>
              <w:ind w:left="-40" w:right="-40"/>
              <w:rPr>
                <w:szCs w:val="18"/>
              </w:rPr>
            </w:pPr>
            <w:r w:rsidRPr="002B55E9">
              <w:rPr>
                <w:rFonts w:hint="eastAsia"/>
                <w:szCs w:val="18"/>
              </w:rPr>
              <w:t>8.33</w:t>
            </w:r>
          </w:p>
        </w:tc>
        <w:tc>
          <w:tcPr>
            <w:tcW w:w="3224" w:type="dxa"/>
            <w:shd w:val="clear" w:color="auto" w:fill="auto"/>
            <w:vAlign w:val="center"/>
          </w:tcPr>
          <w:p w14:paraId="0C49C338" w14:textId="77777777" w:rsidR="00D170E5" w:rsidRPr="002B55E9" w:rsidRDefault="00EF27AD">
            <w:pPr>
              <w:pStyle w:val="affffffffffffffffff6"/>
              <w:ind w:left="-40" w:right="-40"/>
              <w:rPr>
                <w:szCs w:val="18"/>
              </w:rPr>
            </w:pPr>
            <w:r w:rsidRPr="002B55E9">
              <w:rPr>
                <w:rFonts w:hint="eastAsia"/>
                <w:szCs w:val="18"/>
              </w:rPr>
              <w:t>0.0898</w:t>
            </w:r>
          </w:p>
        </w:tc>
      </w:tr>
      <w:tr w:rsidR="00C60999" w:rsidRPr="002B55E9" w14:paraId="578FB232" w14:textId="77777777">
        <w:trPr>
          <w:trHeight w:val="284"/>
        </w:trPr>
        <w:tc>
          <w:tcPr>
            <w:tcW w:w="3197" w:type="dxa"/>
            <w:shd w:val="clear" w:color="auto" w:fill="auto"/>
            <w:vAlign w:val="center"/>
          </w:tcPr>
          <w:p w14:paraId="2C31D3AD" w14:textId="77777777" w:rsidR="00D170E5" w:rsidRPr="002B55E9" w:rsidRDefault="00EF27AD">
            <w:pPr>
              <w:pStyle w:val="affffffffffffffffff6"/>
              <w:ind w:left="-40" w:right="-40"/>
              <w:rPr>
                <w:szCs w:val="18"/>
              </w:rPr>
            </w:pPr>
            <w:r w:rsidRPr="002B55E9">
              <w:rPr>
                <w:szCs w:val="18"/>
              </w:rPr>
              <w:t>2000</w:t>
            </w:r>
          </w:p>
        </w:tc>
        <w:tc>
          <w:tcPr>
            <w:tcW w:w="3216" w:type="dxa"/>
            <w:shd w:val="clear" w:color="auto" w:fill="auto"/>
            <w:vAlign w:val="center"/>
          </w:tcPr>
          <w:p w14:paraId="0E92655F" w14:textId="77777777" w:rsidR="00D170E5" w:rsidRPr="002B55E9" w:rsidRDefault="00EF27AD">
            <w:pPr>
              <w:pStyle w:val="affffffffffffffffff6"/>
              <w:ind w:left="-40" w:right="-40"/>
              <w:rPr>
                <w:szCs w:val="18"/>
              </w:rPr>
            </w:pPr>
            <w:r w:rsidRPr="002B55E9">
              <w:rPr>
                <w:rFonts w:hint="eastAsia"/>
                <w:szCs w:val="18"/>
              </w:rPr>
              <w:t>16.7</w:t>
            </w:r>
          </w:p>
        </w:tc>
        <w:tc>
          <w:tcPr>
            <w:tcW w:w="3224" w:type="dxa"/>
            <w:shd w:val="clear" w:color="auto" w:fill="auto"/>
            <w:vAlign w:val="center"/>
          </w:tcPr>
          <w:p w14:paraId="2147B8F7" w14:textId="77777777" w:rsidR="00D170E5" w:rsidRPr="002B55E9" w:rsidRDefault="00EF27AD">
            <w:pPr>
              <w:pStyle w:val="affffffffffffffffff6"/>
              <w:ind w:left="-40" w:right="-40"/>
              <w:rPr>
                <w:szCs w:val="18"/>
              </w:rPr>
            </w:pPr>
            <w:r w:rsidRPr="002B55E9">
              <w:rPr>
                <w:rFonts w:hint="eastAsia"/>
                <w:szCs w:val="18"/>
              </w:rPr>
              <w:t>3.16</w:t>
            </w:r>
            <w:r w:rsidRPr="002B55E9">
              <w:rPr>
                <w:rFonts w:hint="eastAsia"/>
                <w:szCs w:val="18"/>
              </w:rPr>
              <w:t>×</w:t>
            </w:r>
            <w:r w:rsidRPr="002B55E9">
              <w:rPr>
                <w:rFonts w:hint="eastAsia"/>
                <w:szCs w:val="18"/>
              </w:rPr>
              <w:t>10</w:t>
            </w:r>
            <w:r w:rsidRPr="002B55E9">
              <w:rPr>
                <w:szCs w:val="18"/>
                <w:vertAlign w:val="superscript"/>
              </w:rPr>
              <w:t>-2</w:t>
            </w:r>
          </w:p>
        </w:tc>
      </w:tr>
      <w:tr w:rsidR="00C60999" w:rsidRPr="002B55E9" w14:paraId="6FAF6D49" w14:textId="77777777">
        <w:trPr>
          <w:trHeight w:val="284"/>
        </w:trPr>
        <w:tc>
          <w:tcPr>
            <w:tcW w:w="3197" w:type="dxa"/>
            <w:shd w:val="clear" w:color="auto" w:fill="auto"/>
            <w:vAlign w:val="center"/>
          </w:tcPr>
          <w:p w14:paraId="3EB41988" w14:textId="77777777" w:rsidR="00D170E5" w:rsidRPr="002B55E9" w:rsidRDefault="00EF27AD">
            <w:pPr>
              <w:pStyle w:val="affffffffffffffffff6"/>
              <w:ind w:left="-40" w:right="-40"/>
              <w:rPr>
                <w:szCs w:val="18"/>
              </w:rPr>
            </w:pPr>
            <w:r w:rsidRPr="002B55E9">
              <w:rPr>
                <w:szCs w:val="18"/>
              </w:rPr>
              <w:t>3000</w:t>
            </w:r>
          </w:p>
        </w:tc>
        <w:tc>
          <w:tcPr>
            <w:tcW w:w="3216" w:type="dxa"/>
            <w:shd w:val="clear" w:color="auto" w:fill="auto"/>
            <w:vAlign w:val="center"/>
          </w:tcPr>
          <w:p w14:paraId="1E44496E" w14:textId="77777777" w:rsidR="00D170E5" w:rsidRPr="002B55E9" w:rsidRDefault="00EF27AD">
            <w:pPr>
              <w:pStyle w:val="affffffffffffffffff6"/>
              <w:ind w:left="-40" w:right="-40"/>
              <w:rPr>
                <w:szCs w:val="18"/>
              </w:rPr>
            </w:pPr>
            <w:r w:rsidRPr="002B55E9">
              <w:rPr>
                <w:rFonts w:hint="eastAsia"/>
                <w:szCs w:val="18"/>
              </w:rPr>
              <w:t>25</w:t>
            </w:r>
          </w:p>
        </w:tc>
        <w:tc>
          <w:tcPr>
            <w:tcW w:w="3224" w:type="dxa"/>
            <w:shd w:val="clear" w:color="auto" w:fill="auto"/>
            <w:vAlign w:val="center"/>
          </w:tcPr>
          <w:p w14:paraId="3CC1BE54" w14:textId="77777777" w:rsidR="00D170E5" w:rsidRPr="002B55E9" w:rsidRDefault="00EF27AD">
            <w:pPr>
              <w:pStyle w:val="affffffffffffffffff6"/>
              <w:ind w:left="-40" w:right="-40"/>
              <w:rPr>
                <w:szCs w:val="18"/>
              </w:rPr>
            </w:pPr>
            <w:r w:rsidRPr="002B55E9">
              <w:rPr>
                <w:rFonts w:hint="eastAsia"/>
                <w:szCs w:val="18"/>
              </w:rPr>
              <w:t>1.84</w:t>
            </w:r>
            <w:r w:rsidRPr="002B55E9">
              <w:rPr>
                <w:rFonts w:hint="eastAsia"/>
                <w:szCs w:val="18"/>
              </w:rPr>
              <w:t>×</w:t>
            </w:r>
            <w:r w:rsidRPr="002B55E9">
              <w:rPr>
                <w:rFonts w:hint="eastAsia"/>
                <w:szCs w:val="18"/>
              </w:rPr>
              <w:t>10</w:t>
            </w:r>
            <w:r w:rsidRPr="002B55E9">
              <w:rPr>
                <w:szCs w:val="18"/>
                <w:vertAlign w:val="superscript"/>
              </w:rPr>
              <w:t>-2</w:t>
            </w:r>
          </w:p>
        </w:tc>
      </w:tr>
      <w:tr w:rsidR="00C60999" w:rsidRPr="002B55E9" w14:paraId="34532A3C" w14:textId="77777777">
        <w:trPr>
          <w:trHeight w:val="284"/>
        </w:trPr>
        <w:tc>
          <w:tcPr>
            <w:tcW w:w="3197" w:type="dxa"/>
            <w:shd w:val="clear" w:color="auto" w:fill="auto"/>
            <w:vAlign w:val="center"/>
          </w:tcPr>
          <w:p w14:paraId="38008261" w14:textId="77777777" w:rsidR="00D170E5" w:rsidRPr="002B55E9" w:rsidRDefault="00EF27AD">
            <w:pPr>
              <w:pStyle w:val="affffffffffffffffff6"/>
              <w:ind w:left="-40" w:right="-40"/>
              <w:rPr>
                <w:szCs w:val="18"/>
              </w:rPr>
            </w:pPr>
            <w:r w:rsidRPr="002B55E9">
              <w:rPr>
                <w:szCs w:val="18"/>
              </w:rPr>
              <w:t>4000</w:t>
            </w:r>
          </w:p>
        </w:tc>
        <w:tc>
          <w:tcPr>
            <w:tcW w:w="3216" w:type="dxa"/>
            <w:shd w:val="clear" w:color="auto" w:fill="auto"/>
            <w:vAlign w:val="center"/>
          </w:tcPr>
          <w:p w14:paraId="06969CA2" w14:textId="77777777" w:rsidR="00D170E5" w:rsidRPr="002B55E9" w:rsidRDefault="00EF27AD">
            <w:pPr>
              <w:pStyle w:val="affffffffffffffffff6"/>
              <w:ind w:left="-40" w:right="-40"/>
              <w:rPr>
                <w:szCs w:val="18"/>
              </w:rPr>
            </w:pPr>
            <w:r w:rsidRPr="002B55E9">
              <w:rPr>
                <w:rFonts w:hint="eastAsia"/>
                <w:szCs w:val="18"/>
              </w:rPr>
              <w:t>39.3</w:t>
            </w:r>
          </w:p>
        </w:tc>
        <w:tc>
          <w:tcPr>
            <w:tcW w:w="3224" w:type="dxa"/>
            <w:shd w:val="clear" w:color="auto" w:fill="auto"/>
            <w:vAlign w:val="center"/>
          </w:tcPr>
          <w:p w14:paraId="5B039AB6" w14:textId="77777777" w:rsidR="00D170E5" w:rsidRPr="002B55E9" w:rsidRDefault="00EF27AD">
            <w:pPr>
              <w:pStyle w:val="affffffffffffffffff6"/>
              <w:ind w:left="-40" w:right="-40"/>
              <w:rPr>
                <w:szCs w:val="18"/>
              </w:rPr>
            </w:pPr>
            <w:r w:rsidRPr="002B55E9">
              <w:rPr>
                <w:rFonts w:hint="eastAsia"/>
                <w:szCs w:val="18"/>
              </w:rPr>
              <w:t>1.25</w:t>
            </w:r>
            <w:r w:rsidRPr="002B55E9">
              <w:rPr>
                <w:rFonts w:hint="eastAsia"/>
                <w:szCs w:val="18"/>
              </w:rPr>
              <w:t>×</w:t>
            </w:r>
            <w:r w:rsidRPr="002B55E9">
              <w:rPr>
                <w:rFonts w:hint="eastAsia"/>
                <w:szCs w:val="18"/>
              </w:rPr>
              <w:t>10</w:t>
            </w:r>
            <w:r w:rsidRPr="002B55E9">
              <w:rPr>
                <w:szCs w:val="18"/>
                <w:vertAlign w:val="superscript"/>
              </w:rPr>
              <w:t>-2</w:t>
            </w:r>
          </w:p>
        </w:tc>
      </w:tr>
      <w:tr w:rsidR="00C60999" w:rsidRPr="002B55E9" w14:paraId="5912FE37" w14:textId="77777777">
        <w:trPr>
          <w:trHeight w:val="284"/>
        </w:trPr>
        <w:tc>
          <w:tcPr>
            <w:tcW w:w="3197" w:type="dxa"/>
            <w:shd w:val="clear" w:color="auto" w:fill="auto"/>
            <w:vAlign w:val="center"/>
          </w:tcPr>
          <w:p w14:paraId="75880BC5" w14:textId="77777777" w:rsidR="00D170E5" w:rsidRPr="002B55E9" w:rsidRDefault="00EF27AD">
            <w:pPr>
              <w:pStyle w:val="affffffffffffffffff6"/>
              <w:ind w:left="-40" w:right="-40"/>
              <w:rPr>
                <w:szCs w:val="18"/>
              </w:rPr>
            </w:pPr>
            <w:r w:rsidRPr="002B55E9">
              <w:rPr>
                <w:szCs w:val="18"/>
              </w:rPr>
              <w:t>5000</w:t>
            </w:r>
          </w:p>
        </w:tc>
        <w:tc>
          <w:tcPr>
            <w:tcW w:w="3216" w:type="dxa"/>
            <w:shd w:val="clear" w:color="auto" w:fill="auto"/>
            <w:vAlign w:val="center"/>
          </w:tcPr>
          <w:p w14:paraId="7F388BCF" w14:textId="77777777" w:rsidR="00D170E5" w:rsidRPr="002B55E9" w:rsidRDefault="00EF27AD">
            <w:pPr>
              <w:pStyle w:val="affffffffffffffffff6"/>
              <w:ind w:left="-40" w:right="-40"/>
              <w:rPr>
                <w:szCs w:val="18"/>
              </w:rPr>
            </w:pPr>
            <w:r w:rsidRPr="002B55E9">
              <w:rPr>
                <w:rFonts w:hint="eastAsia"/>
                <w:szCs w:val="18"/>
              </w:rPr>
              <w:t>48.7</w:t>
            </w:r>
          </w:p>
        </w:tc>
        <w:tc>
          <w:tcPr>
            <w:tcW w:w="3224" w:type="dxa"/>
            <w:shd w:val="clear" w:color="auto" w:fill="auto"/>
            <w:vAlign w:val="center"/>
          </w:tcPr>
          <w:p w14:paraId="37587F28" w14:textId="77777777" w:rsidR="00D170E5" w:rsidRPr="002B55E9" w:rsidRDefault="00EF27AD">
            <w:pPr>
              <w:pStyle w:val="affffffffffffffffff6"/>
              <w:ind w:left="-40" w:right="-40"/>
              <w:rPr>
                <w:szCs w:val="18"/>
              </w:rPr>
            </w:pPr>
            <w:r w:rsidRPr="002B55E9">
              <w:rPr>
                <w:rFonts w:hint="eastAsia"/>
                <w:szCs w:val="18"/>
              </w:rPr>
              <w:t>9.29</w:t>
            </w:r>
            <w:r w:rsidRPr="002B55E9">
              <w:rPr>
                <w:rFonts w:hint="eastAsia"/>
                <w:szCs w:val="18"/>
              </w:rPr>
              <w:t>×</w:t>
            </w:r>
            <w:r w:rsidRPr="002B55E9">
              <w:rPr>
                <w:rFonts w:hint="eastAsia"/>
                <w:szCs w:val="18"/>
              </w:rPr>
              <w:t>10</w:t>
            </w:r>
            <w:r w:rsidRPr="002B55E9">
              <w:rPr>
                <w:szCs w:val="18"/>
                <w:vertAlign w:val="superscript"/>
              </w:rPr>
              <w:t>-3</w:t>
            </w:r>
          </w:p>
        </w:tc>
      </w:tr>
      <w:tr w:rsidR="00C60999" w:rsidRPr="002B55E9" w14:paraId="088F442A" w14:textId="77777777">
        <w:trPr>
          <w:trHeight w:val="284"/>
        </w:trPr>
        <w:tc>
          <w:tcPr>
            <w:tcW w:w="6413" w:type="dxa"/>
            <w:gridSpan w:val="2"/>
            <w:shd w:val="clear" w:color="auto" w:fill="auto"/>
            <w:vAlign w:val="center"/>
          </w:tcPr>
          <w:p w14:paraId="48AF7845" w14:textId="77777777" w:rsidR="00D170E5" w:rsidRPr="002B55E9" w:rsidRDefault="00EF27AD">
            <w:pPr>
              <w:pStyle w:val="affffffffffffffffff6"/>
              <w:ind w:left="-40" w:right="-40"/>
              <w:rPr>
                <w:szCs w:val="18"/>
              </w:rPr>
            </w:pPr>
            <w:r w:rsidRPr="002B55E9">
              <w:rPr>
                <w:rFonts w:hint="eastAsia"/>
                <w:szCs w:val="18"/>
              </w:rPr>
              <w:t>乙酸</w:t>
            </w:r>
            <w:r w:rsidRPr="002B55E9">
              <w:rPr>
                <w:szCs w:val="18"/>
              </w:rPr>
              <w:t>毒性终点浓度</w:t>
            </w:r>
            <w:r w:rsidRPr="002B55E9">
              <w:rPr>
                <w:szCs w:val="18"/>
              </w:rPr>
              <w:t>1</w:t>
            </w:r>
          </w:p>
        </w:tc>
        <w:tc>
          <w:tcPr>
            <w:tcW w:w="3224" w:type="dxa"/>
            <w:shd w:val="clear" w:color="auto" w:fill="auto"/>
            <w:vAlign w:val="center"/>
          </w:tcPr>
          <w:p w14:paraId="0EA5C550" w14:textId="77777777" w:rsidR="00D170E5" w:rsidRPr="002B55E9" w:rsidRDefault="00EF27AD">
            <w:pPr>
              <w:pStyle w:val="affffffffffffffffff6"/>
              <w:ind w:left="-40" w:right="-40"/>
              <w:rPr>
                <w:szCs w:val="18"/>
              </w:rPr>
            </w:pPr>
            <w:r w:rsidRPr="002B55E9">
              <w:rPr>
                <w:rFonts w:hint="eastAsia"/>
                <w:szCs w:val="18"/>
              </w:rPr>
              <w:t>610</w:t>
            </w:r>
          </w:p>
        </w:tc>
      </w:tr>
      <w:tr w:rsidR="00C60999" w:rsidRPr="002B55E9" w14:paraId="5C5A4A64" w14:textId="77777777">
        <w:trPr>
          <w:trHeight w:val="284"/>
        </w:trPr>
        <w:tc>
          <w:tcPr>
            <w:tcW w:w="6413" w:type="dxa"/>
            <w:gridSpan w:val="2"/>
            <w:shd w:val="clear" w:color="auto" w:fill="auto"/>
            <w:vAlign w:val="center"/>
          </w:tcPr>
          <w:p w14:paraId="7B36B846" w14:textId="77777777" w:rsidR="00D170E5" w:rsidRPr="002B55E9" w:rsidRDefault="00EF27AD">
            <w:pPr>
              <w:pStyle w:val="affffffffffffffffff6"/>
              <w:ind w:left="-40" w:right="-40"/>
              <w:rPr>
                <w:szCs w:val="18"/>
              </w:rPr>
            </w:pPr>
            <w:r w:rsidRPr="002B55E9">
              <w:rPr>
                <w:rFonts w:hint="eastAsia"/>
                <w:szCs w:val="18"/>
              </w:rPr>
              <w:t>乙酸</w:t>
            </w:r>
            <w:r w:rsidRPr="002B55E9">
              <w:rPr>
                <w:szCs w:val="18"/>
              </w:rPr>
              <w:t>毒性终点浓度</w:t>
            </w:r>
            <w:r w:rsidRPr="002B55E9">
              <w:rPr>
                <w:szCs w:val="18"/>
              </w:rPr>
              <w:t>2</w:t>
            </w:r>
          </w:p>
        </w:tc>
        <w:tc>
          <w:tcPr>
            <w:tcW w:w="3224" w:type="dxa"/>
            <w:shd w:val="clear" w:color="auto" w:fill="auto"/>
            <w:vAlign w:val="center"/>
          </w:tcPr>
          <w:p w14:paraId="7D485E65" w14:textId="77777777" w:rsidR="00D170E5" w:rsidRPr="002B55E9" w:rsidRDefault="00EF27AD">
            <w:pPr>
              <w:pStyle w:val="affffffffffffffffff6"/>
              <w:ind w:left="-40" w:right="-40"/>
              <w:rPr>
                <w:szCs w:val="18"/>
              </w:rPr>
            </w:pPr>
            <w:r w:rsidRPr="002B55E9">
              <w:rPr>
                <w:rFonts w:hint="eastAsia"/>
                <w:szCs w:val="18"/>
              </w:rPr>
              <w:t>86</w:t>
            </w:r>
          </w:p>
        </w:tc>
      </w:tr>
    </w:tbl>
    <w:p w14:paraId="0EE4C85B"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rPr>
        <w:t>根据</w:t>
      </w:r>
      <w:r w:rsidRPr="002B55E9">
        <w:rPr>
          <w:bCs/>
          <w:snapToGrid w:val="0"/>
          <w:sz w:val="24"/>
        </w:rPr>
        <w:t>预测结果，</w:t>
      </w:r>
      <w:r w:rsidRPr="002B55E9">
        <w:rPr>
          <w:rFonts w:hint="eastAsia"/>
          <w:bCs/>
          <w:snapToGrid w:val="0"/>
          <w:sz w:val="24"/>
        </w:rPr>
        <w:t>醋胚</w:t>
      </w:r>
      <w:r w:rsidRPr="002B55E9">
        <w:rPr>
          <w:bCs/>
          <w:snapToGrid w:val="0"/>
          <w:sz w:val="24"/>
        </w:rPr>
        <w:t>储罐泄漏事故发生</w:t>
      </w:r>
      <w:r w:rsidRPr="002B55E9">
        <w:rPr>
          <w:rFonts w:hint="eastAsia"/>
          <w:bCs/>
          <w:snapToGrid w:val="0"/>
          <w:sz w:val="24"/>
        </w:rPr>
        <w:t>时</w:t>
      </w:r>
      <w:r w:rsidRPr="002B55E9">
        <w:rPr>
          <w:bCs/>
          <w:snapToGrid w:val="0"/>
          <w:sz w:val="24"/>
        </w:rPr>
        <w:t>，乙酸在最不利气象条件下（</w:t>
      </w:r>
      <w:r w:rsidRPr="002B55E9">
        <w:rPr>
          <w:rFonts w:hint="eastAsia"/>
          <w:bCs/>
          <w:snapToGrid w:val="0"/>
          <w:sz w:val="24"/>
        </w:rPr>
        <w:t>稳定度</w:t>
      </w:r>
      <w:r w:rsidRPr="002B55E9">
        <w:rPr>
          <w:rFonts w:hint="eastAsia"/>
          <w:bCs/>
          <w:snapToGrid w:val="0"/>
          <w:sz w:val="24"/>
        </w:rPr>
        <w:t>F</w:t>
      </w:r>
      <w:r w:rsidRPr="002B55E9">
        <w:rPr>
          <w:rFonts w:hint="eastAsia"/>
          <w:bCs/>
          <w:snapToGrid w:val="0"/>
          <w:sz w:val="24"/>
        </w:rPr>
        <w:t>，</w:t>
      </w:r>
      <w:r w:rsidRPr="002B55E9">
        <w:rPr>
          <w:bCs/>
          <w:snapToGrid w:val="0"/>
          <w:sz w:val="24"/>
        </w:rPr>
        <w:t>风速</w:t>
      </w:r>
      <w:r w:rsidRPr="002B55E9">
        <w:rPr>
          <w:rFonts w:hint="eastAsia"/>
          <w:bCs/>
          <w:snapToGrid w:val="0"/>
          <w:sz w:val="24"/>
        </w:rPr>
        <w:t>1.5</w:t>
      </w:r>
      <w:r w:rsidRPr="002B55E9">
        <w:rPr>
          <w:bCs/>
          <w:snapToGrid w:val="0"/>
          <w:sz w:val="24"/>
        </w:rPr>
        <w:t>m/s</w:t>
      </w:r>
      <w:r w:rsidRPr="002B55E9">
        <w:rPr>
          <w:bCs/>
          <w:snapToGrid w:val="0"/>
          <w:sz w:val="24"/>
        </w:rPr>
        <w:t>）</w:t>
      </w:r>
      <w:r w:rsidRPr="002B55E9">
        <w:rPr>
          <w:rFonts w:hint="eastAsia"/>
          <w:bCs/>
          <w:snapToGrid w:val="0"/>
          <w:sz w:val="24"/>
        </w:rPr>
        <w:t>扩散</w:t>
      </w:r>
      <w:r w:rsidRPr="002B55E9">
        <w:rPr>
          <w:bCs/>
          <w:snapToGrid w:val="0"/>
          <w:sz w:val="24"/>
        </w:rPr>
        <w:t>过程中，最大浓度未</w:t>
      </w:r>
      <w:r w:rsidRPr="002B55E9">
        <w:rPr>
          <w:rFonts w:hint="eastAsia"/>
          <w:bCs/>
          <w:snapToGrid w:val="0"/>
          <w:sz w:val="24"/>
        </w:rPr>
        <w:t>超过</w:t>
      </w:r>
      <w:r w:rsidRPr="002B55E9">
        <w:rPr>
          <w:bCs/>
          <w:snapToGrid w:val="0"/>
          <w:sz w:val="24"/>
        </w:rPr>
        <w:t>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1</w:t>
      </w:r>
      <w:r w:rsidRPr="002B55E9">
        <w:rPr>
          <w:rFonts w:hint="eastAsia"/>
          <w:bCs/>
          <w:snapToGrid w:val="0"/>
          <w:sz w:val="24"/>
        </w:rPr>
        <w:t>（</w:t>
      </w:r>
      <w:r w:rsidRPr="002B55E9">
        <w:rPr>
          <w:rFonts w:hint="eastAsia"/>
          <w:bCs/>
          <w:snapToGrid w:val="0"/>
          <w:sz w:val="24"/>
        </w:rPr>
        <w:t>610</w:t>
      </w:r>
      <w:r w:rsidRPr="002B55E9">
        <w:rPr>
          <w:bCs/>
          <w:snapToGrid w:val="0"/>
          <w:sz w:val="24"/>
        </w:rPr>
        <w:t>mg/m</w:t>
      </w:r>
      <w:r w:rsidRPr="002B55E9">
        <w:rPr>
          <w:bCs/>
          <w:snapToGrid w:val="0"/>
          <w:sz w:val="24"/>
          <w:vertAlign w:val="superscript"/>
        </w:rPr>
        <w:t>3</w:t>
      </w:r>
      <w:r w:rsidRPr="002B55E9">
        <w:rPr>
          <w:rFonts w:hint="eastAsia"/>
          <w:bCs/>
          <w:snapToGrid w:val="0"/>
          <w:sz w:val="24"/>
        </w:rPr>
        <w:t>）和</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86</w:t>
      </w:r>
      <w:r w:rsidRPr="002B55E9">
        <w:rPr>
          <w:bCs/>
          <w:snapToGrid w:val="0"/>
          <w:sz w:val="24"/>
        </w:rPr>
        <w:t>mg/m</w:t>
      </w:r>
      <w:r w:rsidRPr="002B55E9">
        <w:rPr>
          <w:bCs/>
          <w:snapToGrid w:val="0"/>
          <w:sz w:val="24"/>
          <w:vertAlign w:val="superscript"/>
        </w:rPr>
        <w:t>3</w:t>
      </w:r>
      <w:r w:rsidRPr="002B55E9">
        <w:rPr>
          <w:rFonts w:hint="eastAsia"/>
          <w:bCs/>
          <w:snapToGrid w:val="0"/>
          <w:sz w:val="24"/>
        </w:rPr>
        <w:t>）。</w:t>
      </w:r>
    </w:p>
    <w:p w14:paraId="79E6FF5B" w14:textId="77777777" w:rsidR="00D170E5" w:rsidRPr="002B55E9" w:rsidRDefault="00EF27AD">
      <w:pPr>
        <w:pStyle w:val="lgy-"/>
        <w:rPr>
          <w:snapToGrid w:val="0"/>
          <w:sz w:val="24"/>
        </w:rPr>
      </w:pPr>
      <w:r w:rsidRPr="002B55E9">
        <w:rPr>
          <w:noProof/>
        </w:rPr>
        <w:drawing>
          <wp:inline distT="0" distB="0" distL="0" distR="0" wp14:anchorId="0CB3B5B2" wp14:editId="654E1D9E">
            <wp:extent cx="5399405" cy="2749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6"/>
                    <a:stretch>
                      <a:fillRect/>
                    </a:stretch>
                  </pic:blipFill>
                  <pic:spPr>
                    <a:xfrm>
                      <a:off x="0" y="0"/>
                      <a:ext cx="5400000" cy="2749590"/>
                    </a:xfrm>
                    <a:prstGeom prst="rect">
                      <a:avLst/>
                    </a:prstGeom>
                  </pic:spPr>
                </pic:pic>
              </a:graphicData>
            </a:graphic>
          </wp:inline>
        </w:drawing>
      </w:r>
    </w:p>
    <w:p w14:paraId="2DDF3E05" w14:textId="77777777" w:rsidR="00D170E5" w:rsidRPr="002B55E9" w:rsidRDefault="00EF27AD">
      <w:pPr>
        <w:pStyle w:val="lgy-"/>
        <w:rPr>
          <w:snapToGrid w:val="0"/>
          <w:sz w:val="24"/>
        </w:rPr>
      </w:pPr>
      <w:r w:rsidRPr="002B55E9">
        <w:rPr>
          <w:noProof/>
        </w:rPr>
        <w:lastRenderedPageBreak/>
        <w:drawing>
          <wp:inline distT="0" distB="0" distL="0" distR="0" wp14:anchorId="00D319D5" wp14:editId="3D92B547">
            <wp:extent cx="5399405" cy="2395855"/>
            <wp:effectExtent l="0" t="0" r="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7"/>
                    <a:srcRect b="24606"/>
                    <a:stretch>
                      <a:fillRect/>
                    </a:stretch>
                  </pic:blipFill>
                  <pic:spPr>
                    <a:xfrm>
                      <a:off x="0" y="0"/>
                      <a:ext cx="5400000" cy="2396223"/>
                    </a:xfrm>
                    <a:prstGeom prst="rect">
                      <a:avLst/>
                    </a:prstGeom>
                    <a:ln>
                      <a:noFill/>
                    </a:ln>
                  </pic:spPr>
                </pic:pic>
              </a:graphicData>
            </a:graphic>
          </wp:inline>
        </w:drawing>
      </w:r>
    </w:p>
    <w:p w14:paraId="685B184F" w14:textId="77777777" w:rsidR="00D170E5" w:rsidRPr="002B55E9" w:rsidRDefault="00EF27AD">
      <w:pPr>
        <w:spacing w:line="360" w:lineRule="auto"/>
        <w:ind w:firstLineChars="200" w:firstLine="482"/>
        <w:jc w:val="center"/>
        <w:rPr>
          <w:b/>
          <w:bCs/>
          <w:snapToGrid w:val="0"/>
          <w:sz w:val="24"/>
        </w:rPr>
      </w:pPr>
      <w:r w:rsidRPr="002B55E9">
        <w:rPr>
          <w:rFonts w:hint="eastAsia"/>
          <w:b/>
          <w:bCs/>
          <w:snapToGrid w:val="0"/>
          <w:sz w:val="24"/>
        </w:rPr>
        <w:t>图</w:t>
      </w:r>
      <w:r w:rsidRPr="002B55E9">
        <w:rPr>
          <w:rFonts w:hint="eastAsia"/>
          <w:b/>
          <w:bCs/>
          <w:snapToGrid w:val="0"/>
          <w:sz w:val="24"/>
        </w:rPr>
        <w:t xml:space="preserve"> </w:t>
      </w:r>
      <w:r w:rsidRPr="002B55E9">
        <w:rPr>
          <w:b/>
          <w:bCs/>
          <w:snapToGrid w:val="0"/>
          <w:sz w:val="24"/>
        </w:rPr>
        <w:t>6-5-1</w:t>
      </w:r>
      <w:r w:rsidRPr="002B55E9">
        <w:rPr>
          <w:rFonts w:hint="eastAsia"/>
          <w:b/>
          <w:bCs/>
          <w:snapToGrid w:val="0"/>
          <w:sz w:val="24"/>
        </w:rPr>
        <w:t xml:space="preserve"> </w:t>
      </w:r>
      <w:r w:rsidRPr="002B55E9">
        <w:rPr>
          <w:rFonts w:hint="eastAsia"/>
          <w:b/>
          <w:bCs/>
          <w:snapToGrid w:val="0"/>
          <w:sz w:val="24"/>
        </w:rPr>
        <w:t>乙酸泄漏</w:t>
      </w:r>
      <w:r w:rsidRPr="002B55E9">
        <w:rPr>
          <w:b/>
          <w:bCs/>
          <w:snapToGrid w:val="0"/>
          <w:sz w:val="24"/>
        </w:rPr>
        <w:t>后最不利气象条件下预测结果</w:t>
      </w:r>
    </w:p>
    <w:p w14:paraId="09C08E61" w14:textId="77777777" w:rsidR="00D170E5" w:rsidRPr="002B55E9" w:rsidRDefault="00EF27AD">
      <w:pPr>
        <w:spacing w:line="360" w:lineRule="auto"/>
        <w:ind w:firstLine="482"/>
        <w:rPr>
          <w:sz w:val="24"/>
        </w:rPr>
      </w:pPr>
      <w:r w:rsidRPr="002B55E9">
        <w:rPr>
          <w:rFonts w:hint="eastAsia"/>
          <w:sz w:val="24"/>
        </w:rPr>
        <w:t>（</w:t>
      </w:r>
      <w:r w:rsidRPr="002B55E9">
        <w:rPr>
          <w:rFonts w:hint="eastAsia"/>
          <w:sz w:val="24"/>
        </w:rPr>
        <w:t>2</w:t>
      </w:r>
      <w:r w:rsidRPr="002B55E9">
        <w:rPr>
          <w:rFonts w:hint="eastAsia"/>
          <w:sz w:val="24"/>
        </w:rPr>
        <w:t>）过氧</w:t>
      </w:r>
      <w:r w:rsidRPr="002B55E9">
        <w:rPr>
          <w:sz w:val="24"/>
        </w:rPr>
        <w:t>乙酸</w:t>
      </w:r>
      <w:r w:rsidRPr="002B55E9">
        <w:rPr>
          <w:rFonts w:hint="eastAsia"/>
          <w:sz w:val="24"/>
        </w:rPr>
        <w:t>泄漏</w:t>
      </w:r>
      <w:r w:rsidRPr="002B55E9">
        <w:rPr>
          <w:sz w:val="24"/>
        </w:rPr>
        <w:t>影响预测</w:t>
      </w:r>
    </w:p>
    <w:p w14:paraId="3B22E67F"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rPr>
        <w:t>过氧乙酸泄漏具体情况见下表。</w:t>
      </w:r>
    </w:p>
    <w:p w14:paraId="44F16603"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8</w:t>
      </w:r>
      <w:r w:rsidRPr="002B55E9">
        <w:rPr>
          <w:rFonts w:eastAsia="黑体" w:hint="eastAsia"/>
          <w:b/>
          <w:sz w:val="24"/>
        </w:rPr>
        <w:t xml:space="preserve">  </w:t>
      </w:r>
      <w:r w:rsidRPr="002B55E9">
        <w:rPr>
          <w:rFonts w:eastAsia="黑体" w:hint="eastAsia"/>
          <w:b/>
          <w:sz w:val="24"/>
        </w:rPr>
        <w:t>不同气象条件下泄露下风向不同距离预测结果</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97"/>
        <w:gridCol w:w="3216"/>
        <w:gridCol w:w="3224"/>
      </w:tblGrid>
      <w:tr w:rsidR="00C60999" w:rsidRPr="002B55E9" w14:paraId="5A0206B4" w14:textId="77777777">
        <w:trPr>
          <w:trHeight w:val="284"/>
        </w:trPr>
        <w:tc>
          <w:tcPr>
            <w:tcW w:w="9637" w:type="dxa"/>
            <w:gridSpan w:val="3"/>
            <w:shd w:val="clear" w:color="auto" w:fill="auto"/>
            <w:vAlign w:val="center"/>
          </w:tcPr>
          <w:p w14:paraId="7BE34CB0" w14:textId="77777777" w:rsidR="00D170E5" w:rsidRPr="002B55E9" w:rsidRDefault="00EF27AD">
            <w:pPr>
              <w:pStyle w:val="affffffffffffffffff6"/>
              <w:ind w:left="-40" w:right="-40"/>
              <w:rPr>
                <w:szCs w:val="18"/>
              </w:rPr>
            </w:pPr>
            <w:r w:rsidRPr="002B55E9">
              <w:rPr>
                <w:szCs w:val="18"/>
              </w:rPr>
              <w:t>最不利气象条件</w:t>
            </w:r>
          </w:p>
        </w:tc>
      </w:tr>
      <w:tr w:rsidR="00C60999" w:rsidRPr="002B55E9" w14:paraId="057C431F" w14:textId="77777777">
        <w:trPr>
          <w:trHeight w:val="284"/>
        </w:trPr>
        <w:tc>
          <w:tcPr>
            <w:tcW w:w="3197" w:type="dxa"/>
            <w:shd w:val="clear" w:color="auto" w:fill="auto"/>
            <w:vAlign w:val="center"/>
          </w:tcPr>
          <w:p w14:paraId="1AC81085" w14:textId="77777777" w:rsidR="00D170E5" w:rsidRPr="002B55E9" w:rsidRDefault="00EF27AD">
            <w:pPr>
              <w:pStyle w:val="affffffffffffffffff6"/>
              <w:ind w:left="-40" w:right="-40"/>
              <w:rPr>
                <w:szCs w:val="18"/>
              </w:rPr>
            </w:pPr>
            <w:r w:rsidRPr="002B55E9">
              <w:rPr>
                <w:szCs w:val="18"/>
              </w:rPr>
              <w:t>距离（</w:t>
            </w:r>
            <w:r w:rsidRPr="002B55E9">
              <w:rPr>
                <w:szCs w:val="18"/>
              </w:rPr>
              <w:t>m</w:t>
            </w:r>
            <w:r w:rsidRPr="002B55E9">
              <w:rPr>
                <w:szCs w:val="18"/>
              </w:rPr>
              <w:t>）</w:t>
            </w:r>
          </w:p>
        </w:tc>
        <w:tc>
          <w:tcPr>
            <w:tcW w:w="3216" w:type="dxa"/>
            <w:shd w:val="clear" w:color="auto" w:fill="auto"/>
            <w:vAlign w:val="center"/>
          </w:tcPr>
          <w:p w14:paraId="082E6BBA" w14:textId="77777777" w:rsidR="00D170E5" w:rsidRPr="002B55E9" w:rsidRDefault="00EF27AD">
            <w:pPr>
              <w:pStyle w:val="affffffffffffffffff6"/>
              <w:ind w:left="-40" w:right="-40"/>
              <w:rPr>
                <w:szCs w:val="18"/>
              </w:rPr>
            </w:pPr>
            <w:r w:rsidRPr="002B55E9">
              <w:rPr>
                <w:szCs w:val="18"/>
              </w:rPr>
              <w:t>最大时间</w:t>
            </w:r>
            <w:r w:rsidRPr="002B55E9">
              <w:rPr>
                <w:szCs w:val="18"/>
              </w:rPr>
              <w:t>(min)</w:t>
            </w:r>
          </w:p>
        </w:tc>
        <w:tc>
          <w:tcPr>
            <w:tcW w:w="3224" w:type="dxa"/>
            <w:shd w:val="clear" w:color="auto" w:fill="auto"/>
            <w:vAlign w:val="center"/>
          </w:tcPr>
          <w:p w14:paraId="77E774E4" w14:textId="77777777" w:rsidR="00D170E5" w:rsidRPr="002B55E9" w:rsidRDefault="00EF27AD">
            <w:pPr>
              <w:pStyle w:val="affffffffffffffffff6"/>
              <w:ind w:left="-40" w:right="-40"/>
              <w:rPr>
                <w:szCs w:val="18"/>
              </w:rPr>
            </w:pPr>
            <w:r w:rsidRPr="002B55E9">
              <w:rPr>
                <w:szCs w:val="18"/>
              </w:rPr>
              <w:t>最大浓度（</w:t>
            </w:r>
            <w:r w:rsidRPr="002B55E9">
              <w:rPr>
                <w:szCs w:val="18"/>
              </w:rPr>
              <w:t>mg/m</w:t>
            </w:r>
            <w:r w:rsidRPr="002B55E9">
              <w:rPr>
                <w:szCs w:val="18"/>
                <w:vertAlign w:val="superscript"/>
              </w:rPr>
              <w:t>3</w:t>
            </w:r>
            <w:r w:rsidRPr="002B55E9">
              <w:rPr>
                <w:szCs w:val="18"/>
              </w:rPr>
              <w:t>）</w:t>
            </w:r>
          </w:p>
        </w:tc>
      </w:tr>
      <w:tr w:rsidR="00C60999" w:rsidRPr="002B55E9" w14:paraId="25B74890" w14:textId="77777777">
        <w:trPr>
          <w:trHeight w:val="284"/>
        </w:trPr>
        <w:tc>
          <w:tcPr>
            <w:tcW w:w="3197" w:type="dxa"/>
            <w:shd w:val="clear" w:color="auto" w:fill="auto"/>
            <w:vAlign w:val="center"/>
          </w:tcPr>
          <w:p w14:paraId="0B27AC25" w14:textId="77777777" w:rsidR="00D170E5" w:rsidRPr="002B55E9" w:rsidRDefault="00EF27AD">
            <w:pPr>
              <w:pStyle w:val="affffffffffffffffff6"/>
              <w:ind w:left="-40" w:right="-40"/>
              <w:rPr>
                <w:szCs w:val="18"/>
              </w:rPr>
            </w:pPr>
            <w:r w:rsidRPr="002B55E9">
              <w:rPr>
                <w:rFonts w:hint="eastAsia"/>
                <w:szCs w:val="18"/>
              </w:rPr>
              <w:t>10</w:t>
            </w:r>
          </w:p>
        </w:tc>
        <w:tc>
          <w:tcPr>
            <w:tcW w:w="3216" w:type="dxa"/>
            <w:shd w:val="clear" w:color="auto" w:fill="auto"/>
            <w:vAlign w:val="center"/>
          </w:tcPr>
          <w:p w14:paraId="0C03BD8B" w14:textId="77777777" w:rsidR="00D170E5" w:rsidRPr="002B55E9" w:rsidRDefault="00EF27AD">
            <w:pPr>
              <w:pStyle w:val="affffffffffffffffff6"/>
              <w:ind w:left="-40" w:right="-40"/>
              <w:rPr>
                <w:szCs w:val="18"/>
              </w:rPr>
            </w:pPr>
            <w:r w:rsidRPr="002B55E9">
              <w:rPr>
                <w:rFonts w:hint="eastAsia"/>
                <w:szCs w:val="18"/>
              </w:rPr>
              <w:t>0.11</w:t>
            </w:r>
          </w:p>
        </w:tc>
        <w:tc>
          <w:tcPr>
            <w:tcW w:w="3224" w:type="dxa"/>
            <w:shd w:val="clear" w:color="auto" w:fill="auto"/>
            <w:vAlign w:val="center"/>
          </w:tcPr>
          <w:p w14:paraId="068B3685" w14:textId="77777777" w:rsidR="00D170E5" w:rsidRPr="002B55E9" w:rsidRDefault="00EF27AD">
            <w:pPr>
              <w:pStyle w:val="affffffffffffffffff6"/>
              <w:ind w:left="-40" w:right="-40"/>
              <w:rPr>
                <w:szCs w:val="18"/>
              </w:rPr>
            </w:pPr>
            <w:r w:rsidRPr="002B55E9">
              <w:rPr>
                <w:rFonts w:hint="eastAsia"/>
                <w:szCs w:val="18"/>
              </w:rPr>
              <w:t>3.97</w:t>
            </w:r>
          </w:p>
        </w:tc>
      </w:tr>
      <w:tr w:rsidR="00C60999" w:rsidRPr="002B55E9" w14:paraId="13FC7E9B" w14:textId="77777777">
        <w:trPr>
          <w:trHeight w:val="284"/>
        </w:trPr>
        <w:tc>
          <w:tcPr>
            <w:tcW w:w="3197" w:type="dxa"/>
            <w:shd w:val="clear" w:color="auto" w:fill="auto"/>
            <w:vAlign w:val="center"/>
          </w:tcPr>
          <w:p w14:paraId="0367714A" w14:textId="77777777" w:rsidR="00D170E5" w:rsidRPr="002B55E9" w:rsidRDefault="00EF27AD">
            <w:pPr>
              <w:pStyle w:val="affffffffffffffffff6"/>
              <w:ind w:left="-40" w:right="-40"/>
              <w:rPr>
                <w:szCs w:val="18"/>
              </w:rPr>
            </w:pPr>
            <w:r w:rsidRPr="002B55E9">
              <w:rPr>
                <w:szCs w:val="18"/>
              </w:rPr>
              <w:t>50</w:t>
            </w:r>
          </w:p>
        </w:tc>
        <w:tc>
          <w:tcPr>
            <w:tcW w:w="3216" w:type="dxa"/>
            <w:shd w:val="clear" w:color="auto" w:fill="auto"/>
            <w:vAlign w:val="center"/>
          </w:tcPr>
          <w:p w14:paraId="3271E778" w14:textId="77777777" w:rsidR="00D170E5" w:rsidRPr="002B55E9" w:rsidRDefault="00EF27AD">
            <w:pPr>
              <w:pStyle w:val="affffffffffffffffff6"/>
              <w:ind w:left="-40" w:right="-40"/>
              <w:rPr>
                <w:szCs w:val="18"/>
              </w:rPr>
            </w:pPr>
            <w:r w:rsidRPr="002B55E9">
              <w:rPr>
                <w:rFonts w:hint="eastAsia"/>
                <w:szCs w:val="18"/>
              </w:rPr>
              <w:t>0.55</w:t>
            </w:r>
          </w:p>
        </w:tc>
        <w:tc>
          <w:tcPr>
            <w:tcW w:w="3224" w:type="dxa"/>
            <w:shd w:val="clear" w:color="auto" w:fill="auto"/>
            <w:vAlign w:val="center"/>
          </w:tcPr>
          <w:p w14:paraId="56C9BA4A" w14:textId="77777777" w:rsidR="00D170E5" w:rsidRPr="002B55E9" w:rsidRDefault="00EF27AD">
            <w:pPr>
              <w:pStyle w:val="affffffffffffffffff6"/>
              <w:ind w:left="-40" w:right="-40"/>
              <w:rPr>
                <w:szCs w:val="18"/>
              </w:rPr>
            </w:pPr>
            <w:r w:rsidRPr="002B55E9">
              <w:rPr>
                <w:rFonts w:hint="eastAsia"/>
                <w:szCs w:val="18"/>
              </w:rPr>
              <w:t>1.9</w:t>
            </w:r>
          </w:p>
        </w:tc>
      </w:tr>
      <w:tr w:rsidR="00C60999" w:rsidRPr="002B55E9" w14:paraId="29253171" w14:textId="77777777">
        <w:trPr>
          <w:trHeight w:val="284"/>
        </w:trPr>
        <w:tc>
          <w:tcPr>
            <w:tcW w:w="3197" w:type="dxa"/>
            <w:shd w:val="clear" w:color="auto" w:fill="auto"/>
            <w:vAlign w:val="center"/>
          </w:tcPr>
          <w:p w14:paraId="5891ABFE" w14:textId="77777777" w:rsidR="00D170E5" w:rsidRPr="002B55E9" w:rsidRDefault="00EF27AD">
            <w:pPr>
              <w:pStyle w:val="affffffffffffffffff6"/>
              <w:ind w:left="-40" w:right="-40"/>
              <w:rPr>
                <w:szCs w:val="18"/>
              </w:rPr>
            </w:pPr>
            <w:r w:rsidRPr="002B55E9">
              <w:rPr>
                <w:szCs w:val="18"/>
              </w:rPr>
              <w:t>100</w:t>
            </w:r>
          </w:p>
        </w:tc>
        <w:tc>
          <w:tcPr>
            <w:tcW w:w="3216" w:type="dxa"/>
            <w:shd w:val="clear" w:color="auto" w:fill="auto"/>
            <w:vAlign w:val="center"/>
          </w:tcPr>
          <w:p w14:paraId="67800524" w14:textId="77777777" w:rsidR="00D170E5" w:rsidRPr="002B55E9" w:rsidRDefault="00EF27AD">
            <w:pPr>
              <w:pStyle w:val="affffffffffffffffff6"/>
              <w:ind w:left="-40" w:right="-40"/>
              <w:rPr>
                <w:szCs w:val="18"/>
              </w:rPr>
            </w:pPr>
            <w:r w:rsidRPr="002B55E9">
              <w:rPr>
                <w:rFonts w:hint="eastAsia"/>
                <w:szCs w:val="18"/>
              </w:rPr>
              <w:t>1.11</w:t>
            </w:r>
          </w:p>
        </w:tc>
        <w:tc>
          <w:tcPr>
            <w:tcW w:w="3224" w:type="dxa"/>
            <w:shd w:val="clear" w:color="auto" w:fill="auto"/>
            <w:vAlign w:val="center"/>
          </w:tcPr>
          <w:p w14:paraId="35521610" w14:textId="77777777" w:rsidR="00D170E5" w:rsidRPr="002B55E9" w:rsidRDefault="00EF27AD">
            <w:pPr>
              <w:pStyle w:val="affffffffffffffffff6"/>
              <w:ind w:left="-40" w:right="-40"/>
              <w:rPr>
                <w:szCs w:val="18"/>
              </w:rPr>
            </w:pPr>
            <w:r w:rsidRPr="002B55E9">
              <w:rPr>
                <w:rFonts w:hint="eastAsia"/>
                <w:szCs w:val="18"/>
              </w:rPr>
              <w:t>0.83</w:t>
            </w:r>
          </w:p>
        </w:tc>
      </w:tr>
      <w:tr w:rsidR="00C60999" w:rsidRPr="002B55E9" w14:paraId="2B80B3E5" w14:textId="77777777">
        <w:trPr>
          <w:trHeight w:val="284"/>
        </w:trPr>
        <w:tc>
          <w:tcPr>
            <w:tcW w:w="3197" w:type="dxa"/>
            <w:shd w:val="clear" w:color="auto" w:fill="auto"/>
            <w:vAlign w:val="center"/>
          </w:tcPr>
          <w:p w14:paraId="12E6766C" w14:textId="77777777" w:rsidR="00D170E5" w:rsidRPr="002B55E9" w:rsidRDefault="00EF27AD">
            <w:pPr>
              <w:pStyle w:val="affffffffffffffffff6"/>
              <w:ind w:left="-40" w:right="-40"/>
              <w:rPr>
                <w:szCs w:val="18"/>
              </w:rPr>
            </w:pPr>
            <w:r w:rsidRPr="002B55E9">
              <w:rPr>
                <w:szCs w:val="18"/>
              </w:rPr>
              <w:t>200</w:t>
            </w:r>
          </w:p>
        </w:tc>
        <w:tc>
          <w:tcPr>
            <w:tcW w:w="3216" w:type="dxa"/>
            <w:shd w:val="clear" w:color="auto" w:fill="auto"/>
            <w:vAlign w:val="center"/>
          </w:tcPr>
          <w:p w14:paraId="2E59D3D1" w14:textId="77777777" w:rsidR="00D170E5" w:rsidRPr="002B55E9" w:rsidRDefault="00EF27AD">
            <w:pPr>
              <w:pStyle w:val="affffffffffffffffff6"/>
              <w:ind w:left="-40" w:right="-40"/>
              <w:rPr>
                <w:szCs w:val="18"/>
              </w:rPr>
            </w:pPr>
            <w:r w:rsidRPr="002B55E9">
              <w:rPr>
                <w:rFonts w:hint="eastAsia"/>
                <w:szCs w:val="18"/>
              </w:rPr>
              <w:t>2.33</w:t>
            </w:r>
          </w:p>
        </w:tc>
        <w:tc>
          <w:tcPr>
            <w:tcW w:w="3224" w:type="dxa"/>
            <w:shd w:val="clear" w:color="auto" w:fill="auto"/>
            <w:vAlign w:val="center"/>
          </w:tcPr>
          <w:p w14:paraId="471FD6D0" w14:textId="77777777" w:rsidR="00D170E5" w:rsidRPr="002B55E9" w:rsidRDefault="00EF27AD">
            <w:pPr>
              <w:pStyle w:val="affffffffffffffffff6"/>
              <w:ind w:left="-40" w:right="-40"/>
              <w:rPr>
                <w:szCs w:val="18"/>
              </w:rPr>
            </w:pPr>
            <w:r w:rsidRPr="002B55E9">
              <w:rPr>
                <w:rFonts w:hint="eastAsia"/>
                <w:szCs w:val="18"/>
              </w:rPr>
              <w:t>0.3</w:t>
            </w:r>
          </w:p>
        </w:tc>
      </w:tr>
      <w:tr w:rsidR="00C60999" w:rsidRPr="002B55E9" w14:paraId="5F642167" w14:textId="77777777">
        <w:trPr>
          <w:trHeight w:val="284"/>
        </w:trPr>
        <w:tc>
          <w:tcPr>
            <w:tcW w:w="3197" w:type="dxa"/>
            <w:shd w:val="clear" w:color="auto" w:fill="auto"/>
            <w:vAlign w:val="center"/>
          </w:tcPr>
          <w:p w14:paraId="038212DD" w14:textId="77777777" w:rsidR="00D170E5" w:rsidRPr="002B55E9" w:rsidRDefault="00EF27AD">
            <w:pPr>
              <w:pStyle w:val="affffffffffffffffff6"/>
              <w:ind w:left="-40" w:right="-40"/>
              <w:rPr>
                <w:szCs w:val="18"/>
              </w:rPr>
            </w:pPr>
            <w:r w:rsidRPr="002B55E9">
              <w:rPr>
                <w:szCs w:val="18"/>
              </w:rPr>
              <w:t>300</w:t>
            </w:r>
          </w:p>
        </w:tc>
        <w:tc>
          <w:tcPr>
            <w:tcW w:w="3216" w:type="dxa"/>
            <w:shd w:val="clear" w:color="auto" w:fill="auto"/>
            <w:vAlign w:val="center"/>
          </w:tcPr>
          <w:p w14:paraId="301A6461" w14:textId="77777777" w:rsidR="00D170E5" w:rsidRPr="002B55E9" w:rsidRDefault="00EF27AD">
            <w:pPr>
              <w:pStyle w:val="affffffffffffffffff6"/>
              <w:ind w:left="-40" w:right="-40"/>
              <w:rPr>
                <w:szCs w:val="18"/>
              </w:rPr>
            </w:pPr>
            <w:r w:rsidRPr="002B55E9">
              <w:rPr>
                <w:rFonts w:hint="eastAsia"/>
                <w:szCs w:val="18"/>
              </w:rPr>
              <w:t>3.33</w:t>
            </w:r>
          </w:p>
        </w:tc>
        <w:tc>
          <w:tcPr>
            <w:tcW w:w="3224" w:type="dxa"/>
            <w:shd w:val="clear" w:color="auto" w:fill="auto"/>
            <w:vAlign w:val="center"/>
          </w:tcPr>
          <w:p w14:paraId="7F89AAA3" w14:textId="77777777" w:rsidR="00D170E5" w:rsidRPr="002B55E9" w:rsidRDefault="00EF27AD">
            <w:pPr>
              <w:pStyle w:val="affffffffffffffffff6"/>
              <w:ind w:left="-40" w:right="-40"/>
              <w:rPr>
                <w:szCs w:val="18"/>
              </w:rPr>
            </w:pPr>
            <w:r w:rsidRPr="002B55E9">
              <w:rPr>
                <w:rFonts w:hint="eastAsia"/>
                <w:szCs w:val="18"/>
              </w:rPr>
              <w:t>0.16</w:t>
            </w:r>
          </w:p>
        </w:tc>
      </w:tr>
      <w:tr w:rsidR="00C60999" w:rsidRPr="002B55E9" w14:paraId="2395C00E" w14:textId="77777777">
        <w:trPr>
          <w:trHeight w:val="284"/>
        </w:trPr>
        <w:tc>
          <w:tcPr>
            <w:tcW w:w="3197" w:type="dxa"/>
            <w:shd w:val="clear" w:color="auto" w:fill="auto"/>
            <w:vAlign w:val="center"/>
          </w:tcPr>
          <w:p w14:paraId="1F6265BB" w14:textId="77777777" w:rsidR="00D170E5" w:rsidRPr="002B55E9" w:rsidRDefault="00EF27AD">
            <w:pPr>
              <w:pStyle w:val="affffffffffffffffff6"/>
              <w:ind w:left="-40" w:right="-40"/>
              <w:rPr>
                <w:szCs w:val="18"/>
              </w:rPr>
            </w:pPr>
            <w:r w:rsidRPr="002B55E9">
              <w:rPr>
                <w:szCs w:val="18"/>
              </w:rPr>
              <w:t>400</w:t>
            </w:r>
          </w:p>
        </w:tc>
        <w:tc>
          <w:tcPr>
            <w:tcW w:w="3216" w:type="dxa"/>
            <w:shd w:val="clear" w:color="auto" w:fill="auto"/>
            <w:vAlign w:val="center"/>
          </w:tcPr>
          <w:p w14:paraId="1CE56D56" w14:textId="77777777" w:rsidR="00D170E5" w:rsidRPr="002B55E9" w:rsidRDefault="00EF27AD">
            <w:pPr>
              <w:pStyle w:val="affffffffffffffffff6"/>
              <w:ind w:left="-40" w:right="-40"/>
              <w:rPr>
                <w:szCs w:val="18"/>
              </w:rPr>
            </w:pPr>
            <w:r w:rsidRPr="002B55E9">
              <w:rPr>
                <w:rFonts w:hint="eastAsia"/>
                <w:szCs w:val="18"/>
              </w:rPr>
              <w:t>4.44</w:t>
            </w:r>
          </w:p>
        </w:tc>
        <w:tc>
          <w:tcPr>
            <w:tcW w:w="3224" w:type="dxa"/>
            <w:shd w:val="clear" w:color="auto" w:fill="auto"/>
            <w:vAlign w:val="center"/>
          </w:tcPr>
          <w:p w14:paraId="28A02AC6" w14:textId="77777777" w:rsidR="00D170E5" w:rsidRPr="002B55E9" w:rsidRDefault="00EF27AD">
            <w:pPr>
              <w:pStyle w:val="affffffffffffffffff6"/>
              <w:ind w:left="-40" w:right="-40"/>
              <w:rPr>
                <w:szCs w:val="18"/>
              </w:rPr>
            </w:pPr>
            <w:r w:rsidRPr="002B55E9">
              <w:rPr>
                <w:rFonts w:hint="eastAsia"/>
                <w:szCs w:val="18"/>
              </w:rPr>
              <w:t>0.099</w:t>
            </w:r>
          </w:p>
        </w:tc>
      </w:tr>
      <w:tr w:rsidR="00C60999" w:rsidRPr="002B55E9" w14:paraId="19660287" w14:textId="77777777">
        <w:trPr>
          <w:trHeight w:val="284"/>
        </w:trPr>
        <w:tc>
          <w:tcPr>
            <w:tcW w:w="3197" w:type="dxa"/>
            <w:shd w:val="clear" w:color="auto" w:fill="auto"/>
            <w:vAlign w:val="center"/>
          </w:tcPr>
          <w:p w14:paraId="42F58F8F" w14:textId="77777777" w:rsidR="00D170E5" w:rsidRPr="002B55E9" w:rsidRDefault="00EF27AD">
            <w:pPr>
              <w:pStyle w:val="affffffffffffffffff6"/>
              <w:ind w:left="-40" w:right="-40"/>
              <w:rPr>
                <w:szCs w:val="18"/>
              </w:rPr>
            </w:pPr>
            <w:r w:rsidRPr="002B55E9">
              <w:rPr>
                <w:szCs w:val="18"/>
              </w:rPr>
              <w:t>500</w:t>
            </w:r>
          </w:p>
        </w:tc>
        <w:tc>
          <w:tcPr>
            <w:tcW w:w="3216" w:type="dxa"/>
            <w:shd w:val="clear" w:color="auto" w:fill="auto"/>
            <w:vAlign w:val="center"/>
          </w:tcPr>
          <w:p w14:paraId="61913CCF" w14:textId="77777777" w:rsidR="00D170E5" w:rsidRPr="002B55E9" w:rsidRDefault="00EF27AD">
            <w:pPr>
              <w:pStyle w:val="affffffffffffffffff6"/>
              <w:ind w:left="-40" w:right="-40"/>
              <w:rPr>
                <w:szCs w:val="18"/>
              </w:rPr>
            </w:pPr>
            <w:r w:rsidRPr="002B55E9">
              <w:rPr>
                <w:rFonts w:hint="eastAsia"/>
                <w:szCs w:val="18"/>
              </w:rPr>
              <w:t>5.55</w:t>
            </w:r>
          </w:p>
        </w:tc>
        <w:tc>
          <w:tcPr>
            <w:tcW w:w="3224" w:type="dxa"/>
            <w:shd w:val="clear" w:color="auto" w:fill="auto"/>
            <w:vAlign w:val="center"/>
          </w:tcPr>
          <w:p w14:paraId="1BD6C591" w14:textId="77777777" w:rsidR="00D170E5" w:rsidRPr="002B55E9" w:rsidRDefault="00EF27AD">
            <w:pPr>
              <w:pStyle w:val="affffffffffffffffff6"/>
              <w:ind w:left="-40" w:right="-40"/>
              <w:rPr>
                <w:szCs w:val="18"/>
              </w:rPr>
            </w:pPr>
            <w:r w:rsidRPr="002B55E9">
              <w:rPr>
                <w:rFonts w:hint="eastAsia"/>
                <w:szCs w:val="18"/>
              </w:rPr>
              <w:t>0.0069</w:t>
            </w:r>
          </w:p>
        </w:tc>
      </w:tr>
      <w:tr w:rsidR="00C60999" w:rsidRPr="002B55E9" w14:paraId="30EDE9E3" w14:textId="77777777">
        <w:trPr>
          <w:trHeight w:val="284"/>
        </w:trPr>
        <w:tc>
          <w:tcPr>
            <w:tcW w:w="3197" w:type="dxa"/>
            <w:shd w:val="clear" w:color="auto" w:fill="auto"/>
            <w:vAlign w:val="center"/>
          </w:tcPr>
          <w:p w14:paraId="797BA704" w14:textId="77777777" w:rsidR="00D170E5" w:rsidRPr="002B55E9" w:rsidRDefault="00EF27AD">
            <w:pPr>
              <w:pStyle w:val="affffffffffffffffff6"/>
              <w:ind w:left="-40" w:right="-40"/>
              <w:rPr>
                <w:szCs w:val="18"/>
              </w:rPr>
            </w:pPr>
            <w:r w:rsidRPr="002B55E9">
              <w:rPr>
                <w:szCs w:val="18"/>
              </w:rPr>
              <w:t>1000</w:t>
            </w:r>
          </w:p>
        </w:tc>
        <w:tc>
          <w:tcPr>
            <w:tcW w:w="3216" w:type="dxa"/>
            <w:shd w:val="clear" w:color="auto" w:fill="auto"/>
            <w:vAlign w:val="center"/>
          </w:tcPr>
          <w:p w14:paraId="17C34A94" w14:textId="77777777" w:rsidR="00D170E5" w:rsidRPr="002B55E9" w:rsidRDefault="00EF27AD">
            <w:pPr>
              <w:pStyle w:val="affffffffffffffffff6"/>
              <w:ind w:left="-40" w:right="-40"/>
              <w:rPr>
                <w:szCs w:val="18"/>
              </w:rPr>
            </w:pPr>
            <w:r w:rsidRPr="002B55E9">
              <w:rPr>
                <w:rFonts w:hint="eastAsia"/>
                <w:szCs w:val="18"/>
              </w:rPr>
              <w:t>11.11</w:t>
            </w:r>
          </w:p>
        </w:tc>
        <w:tc>
          <w:tcPr>
            <w:tcW w:w="3224" w:type="dxa"/>
            <w:shd w:val="clear" w:color="auto" w:fill="auto"/>
            <w:vAlign w:val="center"/>
          </w:tcPr>
          <w:p w14:paraId="3A10C8A3" w14:textId="77777777" w:rsidR="00D170E5" w:rsidRPr="002B55E9" w:rsidRDefault="00EF27AD">
            <w:pPr>
              <w:pStyle w:val="affffffffffffffffff6"/>
              <w:ind w:left="-40" w:right="-40"/>
              <w:rPr>
                <w:szCs w:val="18"/>
              </w:rPr>
            </w:pPr>
            <w:r w:rsidRPr="002B55E9">
              <w:rPr>
                <w:rFonts w:hint="eastAsia"/>
                <w:szCs w:val="18"/>
              </w:rPr>
              <w:t>0.022</w:t>
            </w:r>
          </w:p>
        </w:tc>
      </w:tr>
      <w:tr w:rsidR="00C60999" w:rsidRPr="002B55E9" w14:paraId="3D290EAB" w14:textId="77777777">
        <w:trPr>
          <w:trHeight w:val="284"/>
        </w:trPr>
        <w:tc>
          <w:tcPr>
            <w:tcW w:w="3197" w:type="dxa"/>
            <w:shd w:val="clear" w:color="auto" w:fill="auto"/>
            <w:vAlign w:val="center"/>
          </w:tcPr>
          <w:p w14:paraId="323266AF" w14:textId="77777777" w:rsidR="00D170E5" w:rsidRPr="002B55E9" w:rsidRDefault="00EF27AD">
            <w:pPr>
              <w:pStyle w:val="affffffffffffffffff6"/>
              <w:ind w:left="-40" w:right="-40"/>
              <w:rPr>
                <w:szCs w:val="18"/>
              </w:rPr>
            </w:pPr>
            <w:r w:rsidRPr="002B55E9">
              <w:rPr>
                <w:szCs w:val="18"/>
              </w:rPr>
              <w:t>2000</w:t>
            </w:r>
          </w:p>
        </w:tc>
        <w:tc>
          <w:tcPr>
            <w:tcW w:w="3216" w:type="dxa"/>
            <w:shd w:val="clear" w:color="auto" w:fill="auto"/>
            <w:vAlign w:val="center"/>
          </w:tcPr>
          <w:p w14:paraId="529A0A69" w14:textId="77777777" w:rsidR="00D170E5" w:rsidRPr="002B55E9" w:rsidRDefault="00EF27AD">
            <w:pPr>
              <w:pStyle w:val="affffffffffffffffff6"/>
              <w:ind w:left="-40" w:right="-40"/>
              <w:rPr>
                <w:szCs w:val="18"/>
              </w:rPr>
            </w:pPr>
            <w:r w:rsidRPr="002B55E9">
              <w:rPr>
                <w:rFonts w:hint="eastAsia"/>
                <w:szCs w:val="18"/>
              </w:rPr>
              <w:t>22.22</w:t>
            </w:r>
          </w:p>
        </w:tc>
        <w:tc>
          <w:tcPr>
            <w:tcW w:w="3224" w:type="dxa"/>
            <w:shd w:val="clear" w:color="auto" w:fill="auto"/>
            <w:vAlign w:val="center"/>
          </w:tcPr>
          <w:p w14:paraId="7A8E38E1" w14:textId="77777777" w:rsidR="00D170E5" w:rsidRPr="002B55E9" w:rsidRDefault="00EF27AD">
            <w:pPr>
              <w:pStyle w:val="affffffffffffffffff6"/>
              <w:ind w:left="-40" w:right="-40"/>
              <w:rPr>
                <w:szCs w:val="18"/>
              </w:rPr>
            </w:pPr>
            <w:r w:rsidRPr="002B55E9">
              <w:rPr>
                <w:rFonts w:hint="eastAsia"/>
                <w:szCs w:val="18"/>
              </w:rPr>
              <w:t>0.0077</w:t>
            </w:r>
          </w:p>
        </w:tc>
      </w:tr>
      <w:tr w:rsidR="00C60999" w:rsidRPr="002B55E9" w14:paraId="38D45C67" w14:textId="77777777">
        <w:trPr>
          <w:trHeight w:val="284"/>
        </w:trPr>
        <w:tc>
          <w:tcPr>
            <w:tcW w:w="3197" w:type="dxa"/>
            <w:shd w:val="clear" w:color="auto" w:fill="auto"/>
            <w:vAlign w:val="center"/>
          </w:tcPr>
          <w:p w14:paraId="6B248492" w14:textId="77777777" w:rsidR="00D170E5" w:rsidRPr="002B55E9" w:rsidRDefault="00EF27AD">
            <w:pPr>
              <w:pStyle w:val="affffffffffffffffff6"/>
              <w:ind w:left="-40" w:right="-40"/>
              <w:rPr>
                <w:szCs w:val="18"/>
              </w:rPr>
            </w:pPr>
            <w:r w:rsidRPr="002B55E9">
              <w:rPr>
                <w:szCs w:val="18"/>
              </w:rPr>
              <w:t>3000</w:t>
            </w:r>
          </w:p>
        </w:tc>
        <w:tc>
          <w:tcPr>
            <w:tcW w:w="3216" w:type="dxa"/>
            <w:shd w:val="clear" w:color="auto" w:fill="auto"/>
            <w:vAlign w:val="center"/>
          </w:tcPr>
          <w:p w14:paraId="72FEB5B2" w14:textId="77777777" w:rsidR="00D170E5" w:rsidRPr="002B55E9" w:rsidRDefault="00EF27AD">
            <w:pPr>
              <w:pStyle w:val="affffffffffffffffff6"/>
              <w:ind w:left="-40" w:right="-40"/>
              <w:rPr>
                <w:szCs w:val="18"/>
              </w:rPr>
            </w:pPr>
            <w:r w:rsidRPr="002B55E9">
              <w:rPr>
                <w:rFonts w:hint="eastAsia"/>
                <w:szCs w:val="18"/>
              </w:rPr>
              <w:t>37.33</w:t>
            </w:r>
          </w:p>
        </w:tc>
        <w:tc>
          <w:tcPr>
            <w:tcW w:w="3224" w:type="dxa"/>
            <w:shd w:val="clear" w:color="auto" w:fill="auto"/>
            <w:vAlign w:val="center"/>
          </w:tcPr>
          <w:p w14:paraId="308D53CB" w14:textId="77777777" w:rsidR="00D170E5" w:rsidRPr="002B55E9" w:rsidRDefault="00EF27AD">
            <w:pPr>
              <w:pStyle w:val="affffffffffffffffff6"/>
              <w:ind w:left="-40" w:right="-40"/>
              <w:rPr>
                <w:szCs w:val="18"/>
              </w:rPr>
            </w:pPr>
            <w:r w:rsidRPr="002B55E9">
              <w:rPr>
                <w:rFonts w:hint="eastAsia"/>
                <w:szCs w:val="18"/>
              </w:rPr>
              <w:t>0.0045</w:t>
            </w:r>
          </w:p>
        </w:tc>
      </w:tr>
      <w:tr w:rsidR="00C60999" w:rsidRPr="002B55E9" w14:paraId="537B9774" w14:textId="77777777">
        <w:trPr>
          <w:trHeight w:val="284"/>
        </w:trPr>
        <w:tc>
          <w:tcPr>
            <w:tcW w:w="3197" w:type="dxa"/>
            <w:shd w:val="clear" w:color="auto" w:fill="auto"/>
            <w:vAlign w:val="center"/>
          </w:tcPr>
          <w:p w14:paraId="45E9A419" w14:textId="77777777" w:rsidR="00D170E5" w:rsidRPr="002B55E9" w:rsidRDefault="00EF27AD">
            <w:pPr>
              <w:pStyle w:val="affffffffffffffffff6"/>
              <w:ind w:left="-40" w:right="-40"/>
              <w:rPr>
                <w:szCs w:val="18"/>
              </w:rPr>
            </w:pPr>
            <w:r w:rsidRPr="002B55E9">
              <w:rPr>
                <w:szCs w:val="18"/>
              </w:rPr>
              <w:t>4000</w:t>
            </w:r>
          </w:p>
        </w:tc>
        <w:tc>
          <w:tcPr>
            <w:tcW w:w="3216" w:type="dxa"/>
            <w:shd w:val="clear" w:color="auto" w:fill="auto"/>
            <w:vAlign w:val="center"/>
          </w:tcPr>
          <w:p w14:paraId="2F493444" w14:textId="77777777" w:rsidR="00D170E5" w:rsidRPr="002B55E9" w:rsidRDefault="00EF27AD">
            <w:pPr>
              <w:pStyle w:val="affffffffffffffffff6"/>
              <w:ind w:left="-40" w:right="-40"/>
              <w:rPr>
                <w:szCs w:val="18"/>
              </w:rPr>
            </w:pPr>
            <w:r w:rsidRPr="002B55E9">
              <w:rPr>
                <w:rFonts w:hint="eastAsia"/>
                <w:szCs w:val="18"/>
              </w:rPr>
              <w:t>49.78</w:t>
            </w:r>
          </w:p>
        </w:tc>
        <w:tc>
          <w:tcPr>
            <w:tcW w:w="3224" w:type="dxa"/>
            <w:shd w:val="clear" w:color="auto" w:fill="auto"/>
            <w:vAlign w:val="center"/>
          </w:tcPr>
          <w:p w14:paraId="2666DEBC" w14:textId="77777777" w:rsidR="00D170E5" w:rsidRPr="002B55E9" w:rsidRDefault="00EF27AD">
            <w:pPr>
              <w:pStyle w:val="affffffffffffffffff6"/>
              <w:ind w:left="-40" w:right="-40"/>
              <w:rPr>
                <w:szCs w:val="18"/>
              </w:rPr>
            </w:pPr>
            <w:r w:rsidRPr="002B55E9">
              <w:rPr>
                <w:rFonts w:hint="eastAsia"/>
                <w:szCs w:val="18"/>
              </w:rPr>
              <w:t>0.003</w:t>
            </w:r>
          </w:p>
        </w:tc>
      </w:tr>
      <w:tr w:rsidR="00C60999" w:rsidRPr="002B55E9" w14:paraId="4305BA6E" w14:textId="77777777">
        <w:trPr>
          <w:trHeight w:val="284"/>
        </w:trPr>
        <w:tc>
          <w:tcPr>
            <w:tcW w:w="3197" w:type="dxa"/>
            <w:shd w:val="clear" w:color="auto" w:fill="auto"/>
            <w:vAlign w:val="center"/>
          </w:tcPr>
          <w:p w14:paraId="476E3015" w14:textId="77777777" w:rsidR="00D170E5" w:rsidRPr="002B55E9" w:rsidRDefault="00EF27AD">
            <w:pPr>
              <w:pStyle w:val="affffffffffffffffff6"/>
              <w:ind w:left="-40" w:right="-40"/>
              <w:rPr>
                <w:szCs w:val="18"/>
              </w:rPr>
            </w:pPr>
            <w:r w:rsidRPr="002B55E9">
              <w:rPr>
                <w:szCs w:val="18"/>
              </w:rPr>
              <w:t>5000</w:t>
            </w:r>
          </w:p>
        </w:tc>
        <w:tc>
          <w:tcPr>
            <w:tcW w:w="3216" w:type="dxa"/>
            <w:shd w:val="clear" w:color="auto" w:fill="auto"/>
            <w:vAlign w:val="center"/>
          </w:tcPr>
          <w:p w14:paraId="69376187" w14:textId="77777777" w:rsidR="00D170E5" w:rsidRPr="002B55E9" w:rsidRDefault="00EF27AD">
            <w:pPr>
              <w:pStyle w:val="affffffffffffffffff6"/>
              <w:ind w:left="-40" w:right="-40"/>
              <w:rPr>
                <w:szCs w:val="18"/>
              </w:rPr>
            </w:pPr>
            <w:r w:rsidRPr="002B55E9">
              <w:rPr>
                <w:rFonts w:hint="eastAsia"/>
                <w:szCs w:val="18"/>
              </w:rPr>
              <w:t>60.55</w:t>
            </w:r>
          </w:p>
        </w:tc>
        <w:tc>
          <w:tcPr>
            <w:tcW w:w="3224" w:type="dxa"/>
            <w:shd w:val="clear" w:color="auto" w:fill="auto"/>
            <w:vAlign w:val="center"/>
          </w:tcPr>
          <w:p w14:paraId="0CA57853" w14:textId="77777777" w:rsidR="00D170E5" w:rsidRPr="002B55E9" w:rsidRDefault="00EF27AD">
            <w:pPr>
              <w:pStyle w:val="affffffffffffffffff6"/>
              <w:ind w:left="-40" w:right="-40"/>
              <w:rPr>
                <w:szCs w:val="18"/>
              </w:rPr>
            </w:pPr>
            <w:r w:rsidRPr="002B55E9">
              <w:rPr>
                <w:rFonts w:hint="eastAsia"/>
                <w:szCs w:val="18"/>
              </w:rPr>
              <w:t>0.0026</w:t>
            </w:r>
          </w:p>
        </w:tc>
      </w:tr>
      <w:tr w:rsidR="00C60999" w:rsidRPr="002B55E9" w14:paraId="1CCDAA81" w14:textId="77777777">
        <w:trPr>
          <w:trHeight w:val="284"/>
        </w:trPr>
        <w:tc>
          <w:tcPr>
            <w:tcW w:w="6413" w:type="dxa"/>
            <w:gridSpan w:val="2"/>
            <w:shd w:val="clear" w:color="auto" w:fill="auto"/>
            <w:vAlign w:val="center"/>
          </w:tcPr>
          <w:p w14:paraId="4DCDE33B" w14:textId="77777777" w:rsidR="00D170E5" w:rsidRPr="002B55E9" w:rsidRDefault="00EF27AD">
            <w:pPr>
              <w:pStyle w:val="affffffffffffffffff6"/>
              <w:ind w:left="-40" w:right="-40"/>
              <w:rPr>
                <w:szCs w:val="18"/>
              </w:rPr>
            </w:pPr>
            <w:r w:rsidRPr="002B55E9">
              <w:rPr>
                <w:rFonts w:hint="eastAsia"/>
                <w:szCs w:val="18"/>
              </w:rPr>
              <w:t>过氧乙酸</w:t>
            </w:r>
            <w:r w:rsidRPr="002B55E9">
              <w:rPr>
                <w:szCs w:val="18"/>
              </w:rPr>
              <w:t>毒性终点浓度</w:t>
            </w:r>
            <w:r w:rsidRPr="002B55E9">
              <w:rPr>
                <w:szCs w:val="18"/>
              </w:rPr>
              <w:t>1</w:t>
            </w:r>
          </w:p>
        </w:tc>
        <w:tc>
          <w:tcPr>
            <w:tcW w:w="3224" w:type="dxa"/>
            <w:shd w:val="clear" w:color="auto" w:fill="auto"/>
            <w:vAlign w:val="center"/>
          </w:tcPr>
          <w:p w14:paraId="6E931D08" w14:textId="77777777" w:rsidR="00D170E5" w:rsidRPr="002B55E9" w:rsidRDefault="00EF27AD">
            <w:pPr>
              <w:pStyle w:val="affffffffffffffffff6"/>
              <w:ind w:left="-40" w:right="-40"/>
              <w:rPr>
                <w:szCs w:val="18"/>
              </w:rPr>
            </w:pPr>
            <w:r w:rsidRPr="002B55E9">
              <w:rPr>
                <w:rFonts w:hint="eastAsia"/>
                <w:szCs w:val="18"/>
              </w:rPr>
              <w:t>1</w:t>
            </w:r>
            <w:r w:rsidRPr="002B55E9">
              <w:rPr>
                <w:szCs w:val="18"/>
              </w:rPr>
              <w:t>5</w:t>
            </w:r>
          </w:p>
        </w:tc>
      </w:tr>
      <w:tr w:rsidR="00C60999" w:rsidRPr="002B55E9" w14:paraId="752E287E" w14:textId="77777777">
        <w:trPr>
          <w:trHeight w:val="284"/>
        </w:trPr>
        <w:tc>
          <w:tcPr>
            <w:tcW w:w="6413" w:type="dxa"/>
            <w:gridSpan w:val="2"/>
            <w:shd w:val="clear" w:color="auto" w:fill="auto"/>
            <w:vAlign w:val="center"/>
          </w:tcPr>
          <w:p w14:paraId="1912CE3D" w14:textId="77777777" w:rsidR="00D170E5" w:rsidRPr="002B55E9" w:rsidRDefault="00EF27AD">
            <w:pPr>
              <w:pStyle w:val="affffffffffffffffff6"/>
              <w:ind w:left="-40" w:right="-40"/>
              <w:rPr>
                <w:szCs w:val="18"/>
              </w:rPr>
            </w:pPr>
            <w:r w:rsidRPr="002B55E9">
              <w:rPr>
                <w:rFonts w:hint="eastAsia"/>
                <w:szCs w:val="18"/>
              </w:rPr>
              <w:t>过氧乙酸</w:t>
            </w:r>
            <w:r w:rsidRPr="002B55E9">
              <w:rPr>
                <w:szCs w:val="18"/>
              </w:rPr>
              <w:t>毒性终点浓度</w:t>
            </w:r>
            <w:r w:rsidRPr="002B55E9">
              <w:rPr>
                <w:szCs w:val="18"/>
              </w:rPr>
              <w:t>2</w:t>
            </w:r>
          </w:p>
        </w:tc>
        <w:tc>
          <w:tcPr>
            <w:tcW w:w="3224" w:type="dxa"/>
            <w:shd w:val="clear" w:color="auto" w:fill="auto"/>
            <w:vAlign w:val="center"/>
          </w:tcPr>
          <w:p w14:paraId="017EB68E" w14:textId="77777777" w:rsidR="00D170E5" w:rsidRPr="002B55E9" w:rsidRDefault="00EF27AD">
            <w:pPr>
              <w:pStyle w:val="affffffffffffffffff6"/>
              <w:ind w:left="-40" w:right="-40"/>
              <w:rPr>
                <w:szCs w:val="18"/>
              </w:rPr>
            </w:pPr>
            <w:r w:rsidRPr="002B55E9">
              <w:rPr>
                <w:rFonts w:hint="eastAsia"/>
                <w:szCs w:val="18"/>
              </w:rPr>
              <w:t>1</w:t>
            </w:r>
            <w:r w:rsidRPr="002B55E9">
              <w:rPr>
                <w:szCs w:val="18"/>
              </w:rPr>
              <w:t>.6</w:t>
            </w:r>
          </w:p>
        </w:tc>
      </w:tr>
    </w:tbl>
    <w:p w14:paraId="06D471D9"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rPr>
        <w:t>根据</w:t>
      </w:r>
      <w:r w:rsidRPr="002B55E9">
        <w:rPr>
          <w:bCs/>
          <w:snapToGrid w:val="0"/>
          <w:sz w:val="24"/>
        </w:rPr>
        <w:t>预测结果，</w:t>
      </w:r>
      <w:r w:rsidRPr="002B55E9">
        <w:rPr>
          <w:rFonts w:hint="eastAsia"/>
          <w:bCs/>
          <w:snapToGrid w:val="0"/>
          <w:sz w:val="24"/>
        </w:rPr>
        <w:t>过氧乙酸</w:t>
      </w:r>
      <w:r w:rsidRPr="002B55E9">
        <w:rPr>
          <w:bCs/>
          <w:snapToGrid w:val="0"/>
          <w:sz w:val="24"/>
        </w:rPr>
        <w:t>泄漏事故发生</w:t>
      </w:r>
      <w:r w:rsidRPr="002B55E9">
        <w:rPr>
          <w:rFonts w:hint="eastAsia"/>
          <w:bCs/>
          <w:snapToGrid w:val="0"/>
          <w:sz w:val="24"/>
        </w:rPr>
        <w:t>时</w:t>
      </w:r>
      <w:r w:rsidRPr="002B55E9">
        <w:rPr>
          <w:bCs/>
          <w:snapToGrid w:val="0"/>
          <w:sz w:val="24"/>
        </w:rPr>
        <w:t>，</w:t>
      </w:r>
      <w:r w:rsidRPr="002B55E9">
        <w:rPr>
          <w:rFonts w:hint="eastAsia"/>
          <w:bCs/>
          <w:snapToGrid w:val="0"/>
          <w:sz w:val="24"/>
        </w:rPr>
        <w:t>过氧乙酸</w:t>
      </w:r>
      <w:r w:rsidRPr="002B55E9">
        <w:rPr>
          <w:bCs/>
          <w:snapToGrid w:val="0"/>
          <w:sz w:val="24"/>
        </w:rPr>
        <w:t>在最不利气象条件下（</w:t>
      </w:r>
      <w:r w:rsidRPr="002B55E9">
        <w:rPr>
          <w:rFonts w:hint="eastAsia"/>
          <w:bCs/>
          <w:snapToGrid w:val="0"/>
          <w:sz w:val="24"/>
        </w:rPr>
        <w:t>稳定度</w:t>
      </w:r>
      <w:r w:rsidRPr="002B55E9">
        <w:rPr>
          <w:rFonts w:hint="eastAsia"/>
          <w:bCs/>
          <w:snapToGrid w:val="0"/>
          <w:sz w:val="24"/>
        </w:rPr>
        <w:t>F</w:t>
      </w:r>
      <w:r w:rsidRPr="002B55E9">
        <w:rPr>
          <w:rFonts w:hint="eastAsia"/>
          <w:bCs/>
          <w:snapToGrid w:val="0"/>
          <w:sz w:val="24"/>
        </w:rPr>
        <w:t>，</w:t>
      </w:r>
      <w:r w:rsidRPr="002B55E9">
        <w:rPr>
          <w:bCs/>
          <w:snapToGrid w:val="0"/>
          <w:sz w:val="24"/>
        </w:rPr>
        <w:t>风速</w:t>
      </w:r>
      <w:r w:rsidRPr="002B55E9">
        <w:rPr>
          <w:rFonts w:hint="eastAsia"/>
          <w:bCs/>
          <w:snapToGrid w:val="0"/>
          <w:sz w:val="24"/>
        </w:rPr>
        <w:t>1.5</w:t>
      </w:r>
      <w:r w:rsidRPr="002B55E9">
        <w:rPr>
          <w:bCs/>
          <w:snapToGrid w:val="0"/>
          <w:sz w:val="24"/>
        </w:rPr>
        <w:t>m/s</w:t>
      </w:r>
      <w:r w:rsidRPr="002B55E9">
        <w:rPr>
          <w:bCs/>
          <w:snapToGrid w:val="0"/>
          <w:sz w:val="24"/>
        </w:rPr>
        <w:t>）</w:t>
      </w:r>
      <w:r w:rsidRPr="002B55E9">
        <w:rPr>
          <w:rFonts w:hint="eastAsia"/>
          <w:bCs/>
          <w:snapToGrid w:val="0"/>
          <w:sz w:val="24"/>
        </w:rPr>
        <w:t>扩散</w:t>
      </w:r>
      <w:r w:rsidRPr="002B55E9">
        <w:rPr>
          <w:bCs/>
          <w:snapToGrid w:val="0"/>
          <w:sz w:val="24"/>
        </w:rPr>
        <w:t>过程中，最大浓度</w:t>
      </w:r>
      <w:r w:rsidRPr="002B55E9">
        <w:rPr>
          <w:rFonts w:hint="eastAsia"/>
          <w:bCs/>
          <w:snapToGrid w:val="0"/>
          <w:sz w:val="24"/>
        </w:rPr>
        <w:t>超过</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1.6</w:t>
      </w:r>
      <w:r w:rsidRPr="002B55E9">
        <w:rPr>
          <w:bCs/>
          <w:snapToGrid w:val="0"/>
          <w:sz w:val="24"/>
        </w:rPr>
        <w:t>mg/m</w:t>
      </w:r>
      <w:r w:rsidRPr="002B55E9">
        <w:rPr>
          <w:bCs/>
          <w:snapToGrid w:val="0"/>
          <w:sz w:val="24"/>
          <w:vertAlign w:val="superscript"/>
        </w:rPr>
        <w:t>3</w:t>
      </w:r>
      <w:r w:rsidRPr="002B55E9">
        <w:rPr>
          <w:rFonts w:hint="eastAsia"/>
          <w:bCs/>
          <w:snapToGrid w:val="0"/>
          <w:sz w:val="24"/>
        </w:rPr>
        <w:t>），</w:t>
      </w:r>
      <w:r w:rsidRPr="002B55E9">
        <w:rPr>
          <w:bCs/>
          <w:snapToGrid w:val="0"/>
          <w:sz w:val="24"/>
        </w:rPr>
        <w:t>距离为</w:t>
      </w:r>
      <w:r w:rsidRPr="002B55E9">
        <w:rPr>
          <w:rFonts w:hint="eastAsia"/>
          <w:bCs/>
          <w:snapToGrid w:val="0"/>
          <w:sz w:val="24"/>
        </w:rPr>
        <w:t>50</w:t>
      </w:r>
      <w:r w:rsidRPr="002B55E9">
        <w:rPr>
          <w:bCs/>
          <w:snapToGrid w:val="0"/>
          <w:sz w:val="24"/>
        </w:rPr>
        <w:t>m</w:t>
      </w:r>
      <w:r w:rsidRPr="002B55E9">
        <w:rPr>
          <w:rFonts w:hint="eastAsia"/>
          <w:bCs/>
          <w:snapToGrid w:val="0"/>
          <w:sz w:val="24"/>
        </w:rPr>
        <w:t>，</w:t>
      </w:r>
      <w:r w:rsidRPr="002B55E9">
        <w:rPr>
          <w:bCs/>
          <w:snapToGrid w:val="0"/>
          <w:sz w:val="24"/>
        </w:rPr>
        <w:t>未达到大气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1</w:t>
      </w:r>
      <w:r w:rsidRPr="002B55E9">
        <w:rPr>
          <w:rFonts w:hint="eastAsia"/>
          <w:bCs/>
          <w:snapToGrid w:val="0"/>
          <w:sz w:val="24"/>
        </w:rPr>
        <w:t>（</w:t>
      </w:r>
      <w:r w:rsidRPr="002B55E9">
        <w:rPr>
          <w:bCs/>
          <w:snapToGrid w:val="0"/>
          <w:sz w:val="24"/>
        </w:rPr>
        <w:t>15mg/m</w:t>
      </w:r>
      <w:r w:rsidRPr="002B55E9">
        <w:rPr>
          <w:bCs/>
          <w:snapToGrid w:val="0"/>
          <w:sz w:val="24"/>
          <w:vertAlign w:val="superscript"/>
        </w:rPr>
        <w:t>3</w:t>
      </w:r>
      <w:r w:rsidRPr="002B55E9">
        <w:rPr>
          <w:rFonts w:hint="eastAsia"/>
          <w:bCs/>
          <w:snapToGrid w:val="0"/>
          <w:sz w:val="24"/>
        </w:rPr>
        <w:t>）。大气</w:t>
      </w:r>
      <w:r w:rsidRPr="002B55E9">
        <w:rPr>
          <w:bCs/>
          <w:snapToGrid w:val="0"/>
          <w:sz w:val="24"/>
        </w:rPr>
        <w:t>毒性终点浓度</w:t>
      </w:r>
      <w:r w:rsidRPr="002B55E9">
        <w:rPr>
          <w:rFonts w:hint="eastAsia"/>
          <w:bCs/>
          <w:snapToGrid w:val="0"/>
          <w:sz w:val="24"/>
        </w:rPr>
        <w:t>2</w:t>
      </w:r>
      <w:r w:rsidRPr="002B55E9">
        <w:rPr>
          <w:rFonts w:hint="eastAsia"/>
          <w:bCs/>
          <w:snapToGrid w:val="0"/>
          <w:sz w:val="24"/>
        </w:rPr>
        <w:t>范围未</w:t>
      </w:r>
      <w:r w:rsidRPr="002B55E9">
        <w:rPr>
          <w:bCs/>
          <w:snapToGrid w:val="0"/>
          <w:sz w:val="24"/>
        </w:rPr>
        <w:t>超出</w:t>
      </w:r>
      <w:r w:rsidRPr="002B55E9">
        <w:rPr>
          <w:rFonts w:hint="eastAsia"/>
          <w:bCs/>
          <w:snapToGrid w:val="0"/>
          <w:sz w:val="24"/>
        </w:rPr>
        <w:t>厂界</w:t>
      </w:r>
      <w:r w:rsidRPr="002B55E9">
        <w:rPr>
          <w:bCs/>
          <w:snapToGrid w:val="0"/>
          <w:sz w:val="24"/>
        </w:rPr>
        <w:t>，无居民</w:t>
      </w:r>
      <w:r w:rsidRPr="002B55E9">
        <w:rPr>
          <w:rFonts w:hint="eastAsia"/>
          <w:bCs/>
          <w:snapToGrid w:val="0"/>
          <w:sz w:val="24"/>
        </w:rPr>
        <w:t>等敏感点。</w:t>
      </w:r>
    </w:p>
    <w:p w14:paraId="1F204B74" w14:textId="77777777" w:rsidR="00D170E5" w:rsidRPr="002B55E9" w:rsidRDefault="00EF27AD">
      <w:pPr>
        <w:pStyle w:val="lgy-"/>
        <w:rPr>
          <w:snapToGrid w:val="0"/>
          <w:sz w:val="24"/>
        </w:rPr>
      </w:pPr>
      <w:r w:rsidRPr="002B55E9">
        <w:rPr>
          <w:noProof/>
        </w:rPr>
        <w:lastRenderedPageBreak/>
        <w:drawing>
          <wp:inline distT="0" distB="0" distL="0" distR="0" wp14:anchorId="404147C6" wp14:editId="236B5A36">
            <wp:extent cx="5399405" cy="27444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8"/>
                    <a:stretch>
                      <a:fillRect/>
                    </a:stretch>
                  </pic:blipFill>
                  <pic:spPr>
                    <a:xfrm>
                      <a:off x="0" y="0"/>
                      <a:ext cx="5400000" cy="2744547"/>
                    </a:xfrm>
                    <a:prstGeom prst="rect">
                      <a:avLst/>
                    </a:prstGeom>
                  </pic:spPr>
                </pic:pic>
              </a:graphicData>
            </a:graphic>
          </wp:inline>
        </w:drawing>
      </w:r>
    </w:p>
    <w:p w14:paraId="34FB6EC4" w14:textId="77777777" w:rsidR="00D170E5" w:rsidRPr="002B55E9" w:rsidRDefault="00EF27AD">
      <w:pPr>
        <w:pStyle w:val="lgy-"/>
        <w:rPr>
          <w:snapToGrid w:val="0"/>
          <w:sz w:val="24"/>
        </w:rPr>
      </w:pPr>
      <w:r w:rsidRPr="002B55E9">
        <w:rPr>
          <w:noProof/>
        </w:rPr>
        <w:drawing>
          <wp:inline distT="0" distB="0" distL="0" distR="0" wp14:anchorId="687096F1" wp14:editId="425B86C6">
            <wp:extent cx="5399405" cy="360616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9"/>
                    <a:stretch>
                      <a:fillRect/>
                    </a:stretch>
                  </pic:blipFill>
                  <pic:spPr>
                    <a:xfrm>
                      <a:off x="0" y="0"/>
                      <a:ext cx="5400000" cy="3606351"/>
                    </a:xfrm>
                    <a:prstGeom prst="rect">
                      <a:avLst/>
                    </a:prstGeom>
                  </pic:spPr>
                </pic:pic>
              </a:graphicData>
            </a:graphic>
          </wp:inline>
        </w:drawing>
      </w:r>
    </w:p>
    <w:p w14:paraId="2CD535F0" w14:textId="77777777" w:rsidR="00D170E5" w:rsidRPr="002B55E9" w:rsidRDefault="00EF27AD">
      <w:pPr>
        <w:spacing w:line="360" w:lineRule="auto"/>
        <w:ind w:firstLineChars="200" w:firstLine="482"/>
        <w:jc w:val="center"/>
        <w:rPr>
          <w:b/>
          <w:bCs/>
          <w:snapToGrid w:val="0"/>
          <w:sz w:val="24"/>
        </w:rPr>
      </w:pPr>
      <w:r w:rsidRPr="002B55E9">
        <w:rPr>
          <w:rFonts w:hint="eastAsia"/>
          <w:b/>
          <w:bCs/>
          <w:snapToGrid w:val="0"/>
          <w:sz w:val="24"/>
        </w:rPr>
        <w:t>图</w:t>
      </w:r>
      <w:r w:rsidRPr="002B55E9">
        <w:rPr>
          <w:rFonts w:hint="eastAsia"/>
          <w:b/>
          <w:bCs/>
          <w:snapToGrid w:val="0"/>
          <w:sz w:val="24"/>
        </w:rPr>
        <w:t xml:space="preserve">6-5-2  </w:t>
      </w:r>
      <w:r w:rsidRPr="002B55E9">
        <w:rPr>
          <w:rFonts w:hint="eastAsia"/>
          <w:b/>
          <w:bCs/>
          <w:snapToGrid w:val="0"/>
          <w:sz w:val="24"/>
        </w:rPr>
        <w:t>过氧乙酸泄漏</w:t>
      </w:r>
      <w:r w:rsidRPr="002B55E9">
        <w:rPr>
          <w:b/>
          <w:bCs/>
          <w:snapToGrid w:val="0"/>
          <w:sz w:val="24"/>
        </w:rPr>
        <w:t>后最不利气象条件下预测结果</w:t>
      </w:r>
    </w:p>
    <w:p w14:paraId="0A82FEC6" w14:textId="77777777" w:rsidR="00D170E5" w:rsidRPr="002B55E9" w:rsidRDefault="00EF27AD">
      <w:pPr>
        <w:spacing w:line="360" w:lineRule="auto"/>
        <w:ind w:firstLine="482"/>
        <w:rPr>
          <w:sz w:val="24"/>
        </w:rPr>
      </w:pPr>
      <w:r w:rsidRPr="002B55E9">
        <w:rPr>
          <w:rFonts w:hint="eastAsia"/>
          <w:sz w:val="24"/>
        </w:rPr>
        <w:t>（</w:t>
      </w:r>
      <w:r w:rsidRPr="002B55E9">
        <w:rPr>
          <w:rFonts w:hint="eastAsia"/>
          <w:sz w:val="24"/>
        </w:rPr>
        <w:t>3</w:t>
      </w:r>
      <w:r w:rsidRPr="002B55E9">
        <w:rPr>
          <w:rFonts w:hint="eastAsia"/>
          <w:sz w:val="24"/>
        </w:rPr>
        <w:t>）火灾伴生</w:t>
      </w:r>
      <w:r w:rsidRPr="002B55E9">
        <w:rPr>
          <w:rFonts w:hint="eastAsia"/>
          <w:sz w:val="24"/>
        </w:rPr>
        <w:t>/</w:t>
      </w:r>
      <w:r w:rsidRPr="002B55E9">
        <w:rPr>
          <w:rFonts w:hint="eastAsia"/>
          <w:sz w:val="24"/>
        </w:rPr>
        <w:t>次生污染影响预测</w:t>
      </w:r>
    </w:p>
    <w:p w14:paraId="5E74A973" w14:textId="77777777" w:rsidR="00D170E5" w:rsidRPr="002B55E9" w:rsidRDefault="00EF27AD">
      <w:pPr>
        <w:numPr>
          <w:ilvl w:val="0"/>
          <w:numId w:val="32"/>
        </w:numPr>
        <w:spacing w:after="60" w:line="360" w:lineRule="auto"/>
        <w:rPr>
          <w:bCs/>
          <w:snapToGrid w:val="0"/>
          <w:sz w:val="24"/>
        </w:rPr>
      </w:pPr>
      <w:r w:rsidRPr="002B55E9">
        <w:rPr>
          <w:rFonts w:hint="eastAsia"/>
          <w:bCs/>
          <w:snapToGrid w:val="0"/>
          <w:sz w:val="24"/>
        </w:rPr>
        <w:t>预测模式</w:t>
      </w:r>
    </w:p>
    <w:p w14:paraId="3C959178"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根据《建设项目环境风险评价技术导则》（</w:t>
      </w:r>
      <w:r w:rsidRPr="002B55E9">
        <w:rPr>
          <w:rFonts w:hint="eastAsia"/>
          <w:bCs/>
          <w:snapToGrid w:val="0"/>
          <w:sz w:val="24"/>
        </w:rPr>
        <w:t>HJ/T169-2018</w:t>
      </w:r>
      <w:r w:rsidRPr="002B55E9">
        <w:rPr>
          <w:rFonts w:hint="eastAsia"/>
          <w:bCs/>
          <w:snapToGrid w:val="0"/>
          <w:sz w:val="24"/>
        </w:rPr>
        <w:t>），使用风险源强估算模式进行模型筛选，</w:t>
      </w:r>
      <w:r w:rsidRPr="002B55E9">
        <w:rPr>
          <w:rFonts w:hint="eastAsia"/>
          <w:bCs/>
          <w:snapToGrid w:val="0"/>
          <w:sz w:val="24"/>
        </w:rPr>
        <w:t>CO</w:t>
      </w:r>
      <w:r w:rsidRPr="002B55E9">
        <w:rPr>
          <w:rFonts w:hint="eastAsia"/>
          <w:bCs/>
          <w:snapToGrid w:val="0"/>
          <w:sz w:val="24"/>
        </w:rPr>
        <w:t>的理查德森数</w:t>
      </w:r>
      <w:r w:rsidRPr="002B55E9">
        <w:rPr>
          <w:rFonts w:hint="eastAsia"/>
          <w:bCs/>
          <w:snapToGrid w:val="0"/>
          <w:sz w:val="24"/>
        </w:rPr>
        <w:t>Ri&lt;1/6</w:t>
      </w:r>
      <w:r w:rsidRPr="002B55E9">
        <w:rPr>
          <w:rFonts w:hint="eastAsia"/>
          <w:bCs/>
          <w:snapToGrid w:val="0"/>
          <w:sz w:val="24"/>
        </w:rPr>
        <w:t>，为轻质气体。</w:t>
      </w:r>
    </w:p>
    <w:p w14:paraId="50FA89A0" w14:textId="77777777" w:rsidR="00D170E5" w:rsidRPr="002B55E9" w:rsidRDefault="00EF27AD">
      <w:pPr>
        <w:numPr>
          <w:ilvl w:val="0"/>
          <w:numId w:val="32"/>
        </w:numPr>
        <w:spacing w:after="60" w:line="360" w:lineRule="auto"/>
        <w:rPr>
          <w:bCs/>
          <w:snapToGrid w:val="0"/>
          <w:sz w:val="24"/>
        </w:rPr>
      </w:pPr>
      <w:r w:rsidRPr="002B55E9">
        <w:rPr>
          <w:rFonts w:hint="eastAsia"/>
          <w:bCs/>
          <w:snapToGrid w:val="0"/>
          <w:sz w:val="24"/>
        </w:rPr>
        <w:t>评价标准</w:t>
      </w:r>
    </w:p>
    <w:p w14:paraId="367EA19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根据《建设项目环境风险评价技术导则》（</w:t>
      </w:r>
      <w:r w:rsidRPr="002B55E9">
        <w:rPr>
          <w:rFonts w:hint="eastAsia"/>
          <w:bCs/>
          <w:snapToGrid w:val="0"/>
          <w:sz w:val="24"/>
        </w:rPr>
        <w:t>HJ 169-2018</w:t>
      </w:r>
      <w:r w:rsidRPr="002B55E9">
        <w:rPr>
          <w:rFonts w:hint="eastAsia"/>
          <w:bCs/>
          <w:snapToGrid w:val="0"/>
          <w:sz w:val="24"/>
        </w:rPr>
        <w:t>），大气毒性终点浓度即预测评价标准。根据导则附录</w:t>
      </w:r>
      <w:r w:rsidRPr="002B55E9">
        <w:rPr>
          <w:rFonts w:hint="eastAsia"/>
          <w:bCs/>
          <w:snapToGrid w:val="0"/>
          <w:sz w:val="24"/>
        </w:rPr>
        <w:t>H</w:t>
      </w:r>
      <w:r w:rsidRPr="002B55E9">
        <w:rPr>
          <w:rFonts w:hint="eastAsia"/>
          <w:bCs/>
          <w:snapToGrid w:val="0"/>
          <w:sz w:val="24"/>
        </w:rPr>
        <w:t>中，</w:t>
      </w:r>
      <w:r w:rsidRPr="002B55E9">
        <w:rPr>
          <w:rFonts w:hint="eastAsia"/>
          <w:bCs/>
          <w:snapToGrid w:val="0"/>
          <w:sz w:val="24"/>
        </w:rPr>
        <w:t>CO</w:t>
      </w:r>
      <w:r w:rsidRPr="002B55E9">
        <w:rPr>
          <w:rFonts w:hint="eastAsia"/>
          <w:bCs/>
          <w:snapToGrid w:val="0"/>
          <w:sz w:val="24"/>
        </w:rPr>
        <w:t>毒性终点浓度</w:t>
      </w:r>
      <w:r w:rsidRPr="002B55E9">
        <w:rPr>
          <w:rFonts w:hint="eastAsia"/>
          <w:bCs/>
          <w:snapToGrid w:val="0"/>
          <w:sz w:val="24"/>
        </w:rPr>
        <w:t>-1</w:t>
      </w:r>
      <w:r w:rsidRPr="002B55E9">
        <w:rPr>
          <w:rFonts w:hint="eastAsia"/>
          <w:bCs/>
          <w:snapToGrid w:val="0"/>
          <w:sz w:val="24"/>
        </w:rPr>
        <w:t>为</w:t>
      </w:r>
      <w:r w:rsidRPr="002B55E9">
        <w:rPr>
          <w:rFonts w:hint="eastAsia"/>
          <w:bCs/>
          <w:snapToGrid w:val="0"/>
          <w:sz w:val="24"/>
        </w:rPr>
        <w:t>380mg/m</w:t>
      </w:r>
      <w:r w:rsidRPr="002B55E9">
        <w:rPr>
          <w:rFonts w:hint="eastAsia"/>
          <w:bCs/>
          <w:snapToGrid w:val="0"/>
          <w:sz w:val="24"/>
          <w:vertAlign w:val="superscript"/>
        </w:rPr>
        <w:t>3</w:t>
      </w:r>
      <w:r w:rsidRPr="002B55E9">
        <w:rPr>
          <w:rFonts w:hint="eastAsia"/>
          <w:bCs/>
          <w:snapToGrid w:val="0"/>
          <w:sz w:val="24"/>
        </w:rPr>
        <w:t>，毒性终点浓度</w:t>
      </w:r>
      <w:r w:rsidRPr="002B55E9">
        <w:rPr>
          <w:rFonts w:hint="eastAsia"/>
          <w:bCs/>
          <w:snapToGrid w:val="0"/>
          <w:sz w:val="24"/>
        </w:rPr>
        <w:t>-2</w:t>
      </w:r>
      <w:r w:rsidRPr="002B55E9">
        <w:rPr>
          <w:rFonts w:hint="eastAsia"/>
          <w:bCs/>
          <w:snapToGrid w:val="0"/>
          <w:sz w:val="24"/>
        </w:rPr>
        <w:t>为</w:t>
      </w:r>
      <w:r w:rsidRPr="002B55E9">
        <w:rPr>
          <w:rFonts w:hint="eastAsia"/>
          <w:bCs/>
          <w:snapToGrid w:val="0"/>
          <w:sz w:val="24"/>
        </w:rPr>
        <w:t>95mg/m</w:t>
      </w:r>
      <w:r w:rsidRPr="002B55E9">
        <w:rPr>
          <w:rFonts w:hint="eastAsia"/>
          <w:bCs/>
          <w:snapToGrid w:val="0"/>
          <w:sz w:val="24"/>
          <w:vertAlign w:val="superscript"/>
        </w:rPr>
        <w:t>3</w:t>
      </w:r>
      <w:r w:rsidRPr="002B55E9">
        <w:rPr>
          <w:rFonts w:hint="eastAsia"/>
          <w:bCs/>
          <w:snapToGrid w:val="0"/>
          <w:sz w:val="24"/>
        </w:rPr>
        <w:t>。</w:t>
      </w:r>
    </w:p>
    <w:p w14:paraId="33099E88"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lastRenderedPageBreak/>
        <w:t>（</w:t>
      </w:r>
      <w:r w:rsidRPr="002B55E9">
        <w:rPr>
          <w:rFonts w:hint="eastAsia"/>
          <w:bCs/>
          <w:snapToGrid w:val="0"/>
          <w:sz w:val="24"/>
        </w:rPr>
        <w:t>3</w:t>
      </w:r>
      <w:r w:rsidRPr="002B55E9">
        <w:rPr>
          <w:rFonts w:hint="eastAsia"/>
          <w:bCs/>
          <w:snapToGrid w:val="0"/>
          <w:sz w:val="24"/>
        </w:rPr>
        <w:t>）预测结果及影响分析</w:t>
      </w:r>
    </w:p>
    <w:p w14:paraId="1313933D" w14:textId="77777777" w:rsidR="00D170E5" w:rsidRPr="002B55E9" w:rsidRDefault="00EF27AD">
      <w:pPr>
        <w:spacing w:after="60" w:line="360" w:lineRule="auto"/>
        <w:ind w:firstLineChars="200" w:firstLine="480"/>
        <w:rPr>
          <w:bCs/>
          <w:snapToGrid w:val="0"/>
          <w:sz w:val="24"/>
        </w:rPr>
      </w:pPr>
      <w:r w:rsidRPr="002B55E9">
        <w:rPr>
          <w:bCs/>
          <w:snapToGrid w:val="0"/>
          <w:sz w:val="24"/>
        </w:rPr>
        <w:t>预测结果见</w:t>
      </w:r>
      <w:r w:rsidRPr="002B55E9">
        <w:rPr>
          <w:rFonts w:hint="eastAsia"/>
          <w:bCs/>
          <w:snapToGrid w:val="0"/>
          <w:sz w:val="24"/>
        </w:rPr>
        <w:t>下</w:t>
      </w:r>
      <w:r w:rsidRPr="002B55E9">
        <w:rPr>
          <w:bCs/>
          <w:snapToGrid w:val="0"/>
          <w:sz w:val="24"/>
        </w:rPr>
        <w:t>表</w:t>
      </w:r>
      <w:r w:rsidRPr="002B55E9">
        <w:rPr>
          <w:rFonts w:hint="eastAsia"/>
          <w:bCs/>
          <w:snapToGrid w:val="0"/>
          <w:sz w:val="24"/>
        </w:rPr>
        <w:t>。</w:t>
      </w:r>
    </w:p>
    <w:p w14:paraId="710437BD" w14:textId="77777777" w:rsidR="00D170E5" w:rsidRPr="002B55E9" w:rsidRDefault="00EF27AD">
      <w:pPr>
        <w:spacing w:line="360" w:lineRule="auto"/>
        <w:ind w:firstLineChars="200" w:firstLine="480"/>
        <w:jc w:val="left"/>
        <w:rPr>
          <w:bCs/>
          <w:snapToGrid w:val="0"/>
          <w:sz w:val="24"/>
        </w:rPr>
      </w:pPr>
      <w:r w:rsidRPr="002B55E9">
        <w:rPr>
          <w:rFonts w:hint="eastAsia"/>
          <w:bCs/>
          <w:snapToGrid w:val="0"/>
          <w:sz w:val="24"/>
        </w:rPr>
        <w:t>C</w:t>
      </w:r>
      <w:r w:rsidRPr="002B55E9">
        <w:rPr>
          <w:bCs/>
          <w:snapToGrid w:val="0"/>
          <w:sz w:val="24"/>
        </w:rPr>
        <w:t>O</w:t>
      </w:r>
      <w:r w:rsidRPr="002B55E9">
        <w:rPr>
          <w:rFonts w:hint="eastAsia"/>
          <w:bCs/>
          <w:snapToGrid w:val="0"/>
          <w:sz w:val="24"/>
        </w:rPr>
        <w:t>扩散具体情况见下表。</w:t>
      </w:r>
    </w:p>
    <w:p w14:paraId="49DB50C9" w14:textId="77777777" w:rsidR="00D170E5" w:rsidRPr="002B55E9" w:rsidRDefault="00EF27AD">
      <w:pPr>
        <w:spacing w:beforeLines="50" w:before="120"/>
        <w:jc w:val="center"/>
        <w:rPr>
          <w:rFonts w:eastAsia="黑体"/>
          <w:b/>
          <w:sz w:val="24"/>
        </w:rPr>
      </w:pPr>
      <w:r w:rsidRPr="002B55E9">
        <w:rPr>
          <w:rFonts w:eastAsia="黑体"/>
          <w:b/>
          <w:sz w:val="24"/>
        </w:rPr>
        <w:t>表</w:t>
      </w:r>
      <w:r w:rsidRPr="002B55E9">
        <w:rPr>
          <w:rFonts w:eastAsia="黑体"/>
          <w:b/>
          <w:sz w:val="24"/>
        </w:rPr>
        <w:t>6</w:t>
      </w:r>
      <w:r w:rsidRPr="002B55E9">
        <w:rPr>
          <w:rFonts w:eastAsia="黑体" w:hint="eastAsia"/>
          <w:b/>
          <w:sz w:val="24"/>
        </w:rPr>
        <w:t>-5-</w:t>
      </w:r>
      <w:r w:rsidRPr="002B55E9">
        <w:rPr>
          <w:rFonts w:eastAsia="黑体"/>
          <w:b/>
          <w:sz w:val="24"/>
        </w:rPr>
        <w:t>8</w:t>
      </w:r>
      <w:r w:rsidRPr="002B55E9">
        <w:rPr>
          <w:rFonts w:eastAsia="黑体" w:hint="eastAsia"/>
          <w:b/>
          <w:sz w:val="24"/>
        </w:rPr>
        <w:t xml:space="preserve">  </w:t>
      </w:r>
      <w:r w:rsidRPr="002B55E9">
        <w:rPr>
          <w:rFonts w:eastAsia="黑体" w:hint="eastAsia"/>
          <w:b/>
          <w:sz w:val="24"/>
        </w:rPr>
        <w:t>泄露下风向不同距离预测结果</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97"/>
        <w:gridCol w:w="3216"/>
        <w:gridCol w:w="3224"/>
      </w:tblGrid>
      <w:tr w:rsidR="00C60999" w:rsidRPr="002B55E9" w14:paraId="7123B9DE" w14:textId="77777777">
        <w:trPr>
          <w:trHeight w:val="284"/>
        </w:trPr>
        <w:tc>
          <w:tcPr>
            <w:tcW w:w="9637" w:type="dxa"/>
            <w:gridSpan w:val="3"/>
            <w:shd w:val="clear" w:color="auto" w:fill="auto"/>
            <w:vAlign w:val="center"/>
          </w:tcPr>
          <w:p w14:paraId="7DB7040F" w14:textId="77777777" w:rsidR="00D170E5" w:rsidRPr="002B55E9" w:rsidRDefault="00EF27AD">
            <w:pPr>
              <w:pStyle w:val="affffffffffffffffff6"/>
              <w:ind w:left="-40" w:right="-40"/>
              <w:rPr>
                <w:szCs w:val="18"/>
              </w:rPr>
            </w:pPr>
            <w:r w:rsidRPr="002B55E9">
              <w:rPr>
                <w:szCs w:val="18"/>
              </w:rPr>
              <w:t>最不利气象条件</w:t>
            </w:r>
          </w:p>
        </w:tc>
      </w:tr>
      <w:tr w:rsidR="00C60999" w:rsidRPr="002B55E9" w14:paraId="67271FF6" w14:textId="77777777">
        <w:trPr>
          <w:trHeight w:val="284"/>
        </w:trPr>
        <w:tc>
          <w:tcPr>
            <w:tcW w:w="3197" w:type="dxa"/>
            <w:shd w:val="clear" w:color="auto" w:fill="auto"/>
            <w:vAlign w:val="center"/>
          </w:tcPr>
          <w:p w14:paraId="029E74C2" w14:textId="77777777" w:rsidR="00D170E5" w:rsidRPr="002B55E9" w:rsidRDefault="00EF27AD">
            <w:pPr>
              <w:pStyle w:val="affffffffffffffffff6"/>
              <w:ind w:left="-40" w:right="-40"/>
              <w:rPr>
                <w:szCs w:val="18"/>
              </w:rPr>
            </w:pPr>
            <w:r w:rsidRPr="002B55E9">
              <w:rPr>
                <w:szCs w:val="18"/>
              </w:rPr>
              <w:t>距离（</w:t>
            </w:r>
            <w:r w:rsidRPr="002B55E9">
              <w:rPr>
                <w:szCs w:val="18"/>
              </w:rPr>
              <w:t>m</w:t>
            </w:r>
            <w:r w:rsidRPr="002B55E9">
              <w:rPr>
                <w:szCs w:val="18"/>
              </w:rPr>
              <w:t>）</w:t>
            </w:r>
          </w:p>
        </w:tc>
        <w:tc>
          <w:tcPr>
            <w:tcW w:w="3216" w:type="dxa"/>
            <w:shd w:val="clear" w:color="auto" w:fill="auto"/>
            <w:vAlign w:val="center"/>
          </w:tcPr>
          <w:p w14:paraId="13F1FABD" w14:textId="77777777" w:rsidR="00D170E5" w:rsidRPr="002B55E9" w:rsidRDefault="00EF27AD">
            <w:pPr>
              <w:pStyle w:val="affffffffffffffffff6"/>
              <w:ind w:left="-40" w:right="-40"/>
              <w:rPr>
                <w:szCs w:val="18"/>
              </w:rPr>
            </w:pPr>
            <w:r w:rsidRPr="002B55E9">
              <w:rPr>
                <w:szCs w:val="18"/>
              </w:rPr>
              <w:t>最大时间</w:t>
            </w:r>
            <w:r w:rsidRPr="002B55E9">
              <w:rPr>
                <w:szCs w:val="18"/>
              </w:rPr>
              <w:t>(min)</w:t>
            </w:r>
          </w:p>
        </w:tc>
        <w:tc>
          <w:tcPr>
            <w:tcW w:w="3224" w:type="dxa"/>
            <w:shd w:val="clear" w:color="auto" w:fill="auto"/>
            <w:vAlign w:val="center"/>
          </w:tcPr>
          <w:p w14:paraId="452CEA59" w14:textId="77777777" w:rsidR="00D170E5" w:rsidRPr="002B55E9" w:rsidRDefault="00EF27AD">
            <w:pPr>
              <w:pStyle w:val="affffffffffffffffff6"/>
              <w:ind w:left="-40" w:right="-40"/>
              <w:rPr>
                <w:szCs w:val="18"/>
              </w:rPr>
            </w:pPr>
            <w:r w:rsidRPr="002B55E9">
              <w:rPr>
                <w:szCs w:val="18"/>
              </w:rPr>
              <w:t>最大浓度（</w:t>
            </w:r>
            <w:r w:rsidRPr="002B55E9">
              <w:rPr>
                <w:szCs w:val="18"/>
              </w:rPr>
              <w:t>mg/m</w:t>
            </w:r>
            <w:r w:rsidRPr="002B55E9">
              <w:rPr>
                <w:szCs w:val="18"/>
                <w:vertAlign w:val="superscript"/>
              </w:rPr>
              <w:t>3</w:t>
            </w:r>
            <w:r w:rsidRPr="002B55E9">
              <w:rPr>
                <w:szCs w:val="18"/>
              </w:rPr>
              <w:t>）</w:t>
            </w:r>
          </w:p>
        </w:tc>
      </w:tr>
      <w:tr w:rsidR="00C60999" w:rsidRPr="002B55E9" w14:paraId="4D5789F4" w14:textId="77777777">
        <w:trPr>
          <w:trHeight w:val="284"/>
        </w:trPr>
        <w:tc>
          <w:tcPr>
            <w:tcW w:w="3197" w:type="dxa"/>
            <w:shd w:val="clear" w:color="auto" w:fill="auto"/>
            <w:vAlign w:val="center"/>
          </w:tcPr>
          <w:p w14:paraId="63021315" w14:textId="77777777" w:rsidR="00D170E5" w:rsidRPr="002B55E9" w:rsidRDefault="00EF27AD">
            <w:pPr>
              <w:pStyle w:val="affffffffffffffffff6"/>
              <w:ind w:left="-40" w:right="-40"/>
              <w:rPr>
                <w:szCs w:val="18"/>
              </w:rPr>
            </w:pPr>
            <w:r w:rsidRPr="002B55E9">
              <w:rPr>
                <w:rFonts w:hint="eastAsia"/>
                <w:szCs w:val="18"/>
              </w:rPr>
              <w:t>10</w:t>
            </w:r>
          </w:p>
        </w:tc>
        <w:tc>
          <w:tcPr>
            <w:tcW w:w="3216" w:type="dxa"/>
            <w:shd w:val="clear" w:color="auto" w:fill="auto"/>
            <w:vAlign w:val="center"/>
          </w:tcPr>
          <w:p w14:paraId="61A2E9FD" w14:textId="77777777" w:rsidR="00D170E5" w:rsidRPr="002B55E9" w:rsidRDefault="00EF27AD">
            <w:pPr>
              <w:pStyle w:val="affffffffffffffffff6"/>
              <w:ind w:left="-40" w:right="-40"/>
              <w:rPr>
                <w:szCs w:val="18"/>
              </w:rPr>
            </w:pPr>
            <w:r w:rsidRPr="002B55E9">
              <w:rPr>
                <w:szCs w:val="18"/>
              </w:rPr>
              <w:t>0.11</w:t>
            </w:r>
          </w:p>
        </w:tc>
        <w:tc>
          <w:tcPr>
            <w:tcW w:w="3224" w:type="dxa"/>
            <w:shd w:val="clear" w:color="auto" w:fill="auto"/>
            <w:vAlign w:val="center"/>
          </w:tcPr>
          <w:p w14:paraId="41F77530" w14:textId="77777777" w:rsidR="00D170E5" w:rsidRPr="002B55E9" w:rsidRDefault="00EF27AD">
            <w:pPr>
              <w:pStyle w:val="affffffffffffffffff6"/>
              <w:ind w:left="-40" w:right="-40"/>
              <w:rPr>
                <w:szCs w:val="18"/>
              </w:rPr>
            </w:pPr>
            <w:r w:rsidRPr="002B55E9">
              <w:rPr>
                <w:szCs w:val="18"/>
              </w:rPr>
              <w:t>0.001</w:t>
            </w:r>
          </w:p>
        </w:tc>
      </w:tr>
      <w:tr w:rsidR="00C60999" w:rsidRPr="002B55E9" w14:paraId="0524513A" w14:textId="77777777">
        <w:trPr>
          <w:trHeight w:val="284"/>
        </w:trPr>
        <w:tc>
          <w:tcPr>
            <w:tcW w:w="3197" w:type="dxa"/>
            <w:shd w:val="clear" w:color="auto" w:fill="auto"/>
            <w:vAlign w:val="center"/>
          </w:tcPr>
          <w:p w14:paraId="3254357A" w14:textId="77777777" w:rsidR="00D170E5" w:rsidRPr="002B55E9" w:rsidRDefault="00EF27AD">
            <w:pPr>
              <w:pStyle w:val="affffffffffffffffff6"/>
              <w:ind w:left="-40" w:right="-40"/>
              <w:rPr>
                <w:szCs w:val="18"/>
              </w:rPr>
            </w:pPr>
            <w:r w:rsidRPr="002B55E9">
              <w:rPr>
                <w:szCs w:val="18"/>
              </w:rPr>
              <w:t>50</w:t>
            </w:r>
          </w:p>
        </w:tc>
        <w:tc>
          <w:tcPr>
            <w:tcW w:w="3216" w:type="dxa"/>
            <w:shd w:val="clear" w:color="auto" w:fill="auto"/>
            <w:vAlign w:val="center"/>
          </w:tcPr>
          <w:p w14:paraId="63944902" w14:textId="77777777" w:rsidR="00D170E5" w:rsidRPr="002B55E9" w:rsidRDefault="00EF27AD">
            <w:pPr>
              <w:pStyle w:val="affffffffffffffffff6"/>
              <w:ind w:left="-40" w:right="-40"/>
              <w:rPr>
                <w:szCs w:val="18"/>
              </w:rPr>
            </w:pPr>
            <w:r w:rsidRPr="002B55E9">
              <w:rPr>
                <w:rFonts w:hint="eastAsia"/>
                <w:szCs w:val="18"/>
              </w:rPr>
              <w:t>0.555</w:t>
            </w:r>
          </w:p>
        </w:tc>
        <w:tc>
          <w:tcPr>
            <w:tcW w:w="3224" w:type="dxa"/>
            <w:shd w:val="clear" w:color="auto" w:fill="auto"/>
            <w:vAlign w:val="center"/>
          </w:tcPr>
          <w:p w14:paraId="4AC1BAB3" w14:textId="77777777" w:rsidR="00D170E5" w:rsidRPr="002B55E9" w:rsidRDefault="00EF27AD">
            <w:pPr>
              <w:pStyle w:val="affffffffffffffffff6"/>
              <w:ind w:left="-40" w:right="-40"/>
              <w:rPr>
                <w:szCs w:val="18"/>
              </w:rPr>
            </w:pPr>
            <w:r w:rsidRPr="002B55E9">
              <w:rPr>
                <w:rFonts w:hint="eastAsia"/>
                <w:szCs w:val="18"/>
              </w:rPr>
              <w:t>15.6</w:t>
            </w:r>
          </w:p>
        </w:tc>
      </w:tr>
      <w:tr w:rsidR="00C60999" w:rsidRPr="002B55E9" w14:paraId="5AE51158" w14:textId="77777777">
        <w:trPr>
          <w:trHeight w:val="284"/>
        </w:trPr>
        <w:tc>
          <w:tcPr>
            <w:tcW w:w="3197" w:type="dxa"/>
            <w:shd w:val="clear" w:color="auto" w:fill="auto"/>
            <w:vAlign w:val="center"/>
          </w:tcPr>
          <w:p w14:paraId="5D4CDCA2" w14:textId="77777777" w:rsidR="00D170E5" w:rsidRPr="002B55E9" w:rsidRDefault="00EF27AD">
            <w:pPr>
              <w:pStyle w:val="affffffffffffffffff6"/>
              <w:ind w:left="-40" w:right="-40"/>
              <w:rPr>
                <w:szCs w:val="18"/>
              </w:rPr>
            </w:pPr>
            <w:r w:rsidRPr="002B55E9">
              <w:rPr>
                <w:szCs w:val="18"/>
              </w:rPr>
              <w:t>100</w:t>
            </w:r>
          </w:p>
        </w:tc>
        <w:tc>
          <w:tcPr>
            <w:tcW w:w="3216" w:type="dxa"/>
            <w:shd w:val="clear" w:color="auto" w:fill="auto"/>
            <w:vAlign w:val="center"/>
          </w:tcPr>
          <w:p w14:paraId="68B92664" w14:textId="77777777" w:rsidR="00D170E5" w:rsidRPr="002B55E9" w:rsidRDefault="00EF27AD">
            <w:pPr>
              <w:pStyle w:val="affffffffffffffffff6"/>
              <w:ind w:left="-40" w:right="-40"/>
              <w:rPr>
                <w:szCs w:val="18"/>
              </w:rPr>
            </w:pPr>
            <w:r w:rsidRPr="002B55E9">
              <w:rPr>
                <w:rFonts w:hint="eastAsia"/>
                <w:szCs w:val="18"/>
              </w:rPr>
              <w:t>1.11</w:t>
            </w:r>
          </w:p>
        </w:tc>
        <w:tc>
          <w:tcPr>
            <w:tcW w:w="3224" w:type="dxa"/>
            <w:shd w:val="clear" w:color="auto" w:fill="auto"/>
            <w:vAlign w:val="center"/>
          </w:tcPr>
          <w:p w14:paraId="2202A79E" w14:textId="77777777" w:rsidR="00D170E5" w:rsidRPr="002B55E9" w:rsidRDefault="00EF27AD">
            <w:pPr>
              <w:pStyle w:val="affffffffffffffffff6"/>
              <w:ind w:left="-40" w:right="-40"/>
              <w:rPr>
                <w:szCs w:val="18"/>
              </w:rPr>
            </w:pPr>
            <w:r w:rsidRPr="002B55E9">
              <w:rPr>
                <w:rFonts w:hint="eastAsia"/>
                <w:szCs w:val="18"/>
              </w:rPr>
              <w:t>12.06</w:t>
            </w:r>
          </w:p>
        </w:tc>
      </w:tr>
      <w:tr w:rsidR="00C60999" w:rsidRPr="002B55E9" w14:paraId="4CF78A95" w14:textId="77777777">
        <w:trPr>
          <w:trHeight w:val="284"/>
        </w:trPr>
        <w:tc>
          <w:tcPr>
            <w:tcW w:w="3197" w:type="dxa"/>
            <w:shd w:val="clear" w:color="auto" w:fill="auto"/>
            <w:vAlign w:val="center"/>
          </w:tcPr>
          <w:p w14:paraId="20D7389C" w14:textId="77777777" w:rsidR="00D170E5" w:rsidRPr="002B55E9" w:rsidRDefault="00EF27AD">
            <w:pPr>
              <w:pStyle w:val="affffffffffffffffff6"/>
              <w:ind w:left="-40" w:right="-40"/>
              <w:rPr>
                <w:szCs w:val="18"/>
              </w:rPr>
            </w:pPr>
            <w:r w:rsidRPr="002B55E9">
              <w:rPr>
                <w:szCs w:val="18"/>
              </w:rPr>
              <w:t>200</w:t>
            </w:r>
          </w:p>
        </w:tc>
        <w:tc>
          <w:tcPr>
            <w:tcW w:w="3216" w:type="dxa"/>
            <w:shd w:val="clear" w:color="auto" w:fill="auto"/>
            <w:vAlign w:val="center"/>
          </w:tcPr>
          <w:p w14:paraId="7BA371C4" w14:textId="77777777" w:rsidR="00D170E5" w:rsidRPr="002B55E9" w:rsidRDefault="00EF27AD">
            <w:pPr>
              <w:pStyle w:val="affffffffffffffffff6"/>
              <w:ind w:left="-40" w:right="-40"/>
              <w:rPr>
                <w:szCs w:val="18"/>
              </w:rPr>
            </w:pPr>
            <w:r w:rsidRPr="002B55E9">
              <w:rPr>
                <w:rFonts w:hint="eastAsia"/>
                <w:szCs w:val="18"/>
              </w:rPr>
              <w:t>2.22</w:t>
            </w:r>
          </w:p>
        </w:tc>
        <w:tc>
          <w:tcPr>
            <w:tcW w:w="3224" w:type="dxa"/>
            <w:shd w:val="clear" w:color="auto" w:fill="auto"/>
            <w:vAlign w:val="center"/>
          </w:tcPr>
          <w:p w14:paraId="485055C7" w14:textId="77777777" w:rsidR="00D170E5" w:rsidRPr="002B55E9" w:rsidRDefault="00EF27AD">
            <w:pPr>
              <w:pStyle w:val="affffffffffffffffff6"/>
              <w:ind w:left="-40" w:right="-40"/>
              <w:rPr>
                <w:szCs w:val="18"/>
              </w:rPr>
            </w:pPr>
            <w:r w:rsidRPr="002B55E9">
              <w:rPr>
                <w:rFonts w:hint="eastAsia"/>
                <w:szCs w:val="18"/>
              </w:rPr>
              <w:t>6.38</w:t>
            </w:r>
          </w:p>
        </w:tc>
      </w:tr>
      <w:tr w:rsidR="00C60999" w:rsidRPr="002B55E9" w14:paraId="141A9AEA" w14:textId="77777777">
        <w:trPr>
          <w:trHeight w:val="284"/>
        </w:trPr>
        <w:tc>
          <w:tcPr>
            <w:tcW w:w="3197" w:type="dxa"/>
            <w:shd w:val="clear" w:color="auto" w:fill="auto"/>
            <w:vAlign w:val="center"/>
          </w:tcPr>
          <w:p w14:paraId="4F8C676B" w14:textId="77777777" w:rsidR="00D170E5" w:rsidRPr="002B55E9" w:rsidRDefault="00EF27AD">
            <w:pPr>
              <w:pStyle w:val="affffffffffffffffff6"/>
              <w:ind w:left="-40" w:right="-40"/>
              <w:rPr>
                <w:szCs w:val="18"/>
              </w:rPr>
            </w:pPr>
            <w:r w:rsidRPr="002B55E9">
              <w:rPr>
                <w:szCs w:val="18"/>
              </w:rPr>
              <w:t>300</w:t>
            </w:r>
          </w:p>
        </w:tc>
        <w:tc>
          <w:tcPr>
            <w:tcW w:w="3216" w:type="dxa"/>
            <w:shd w:val="clear" w:color="auto" w:fill="auto"/>
            <w:vAlign w:val="center"/>
          </w:tcPr>
          <w:p w14:paraId="58686649" w14:textId="77777777" w:rsidR="00D170E5" w:rsidRPr="002B55E9" w:rsidRDefault="00EF27AD">
            <w:pPr>
              <w:pStyle w:val="affffffffffffffffff6"/>
              <w:ind w:left="-40" w:right="-40"/>
              <w:rPr>
                <w:szCs w:val="18"/>
              </w:rPr>
            </w:pPr>
            <w:r w:rsidRPr="002B55E9">
              <w:rPr>
                <w:rFonts w:hint="eastAsia"/>
                <w:szCs w:val="18"/>
              </w:rPr>
              <w:t>3.33</w:t>
            </w:r>
          </w:p>
        </w:tc>
        <w:tc>
          <w:tcPr>
            <w:tcW w:w="3224" w:type="dxa"/>
            <w:shd w:val="clear" w:color="auto" w:fill="auto"/>
            <w:vAlign w:val="center"/>
          </w:tcPr>
          <w:p w14:paraId="3828E65F" w14:textId="77777777" w:rsidR="00D170E5" w:rsidRPr="002B55E9" w:rsidRDefault="00EF27AD">
            <w:pPr>
              <w:pStyle w:val="affffffffffffffffff6"/>
              <w:ind w:left="-40" w:right="-40"/>
              <w:rPr>
                <w:szCs w:val="18"/>
              </w:rPr>
            </w:pPr>
            <w:r w:rsidRPr="002B55E9">
              <w:rPr>
                <w:rFonts w:hint="eastAsia"/>
                <w:szCs w:val="18"/>
              </w:rPr>
              <w:t>3.8</w:t>
            </w:r>
          </w:p>
        </w:tc>
      </w:tr>
      <w:tr w:rsidR="00C60999" w:rsidRPr="002B55E9" w14:paraId="274AB1AF" w14:textId="77777777">
        <w:trPr>
          <w:trHeight w:val="284"/>
        </w:trPr>
        <w:tc>
          <w:tcPr>
            <w:tcW w:w="3197" w:type="dxa"/>
            <w:shd w:val="clear" w:color="auto" w:fill="auto"/>
            <w:vAlign w:val="center"/>
          </w:tcPr>
          <w:p w14:paraId="5BB5B2A9" w14:textId="77777777" w:rsidR="00D170E5" w:rsidRPr="002B55E9" w:rsidRDefault="00EF27AD">
            <w:pPr>
              <w:pStyle w:val="affffffffffffffffff6"/>
              <w:ind w:left="-40" w:right="-40"/>
              <w:rPr>
                <w:szCs w:val="18"/>
              </w:rPr>
            </w:pPr>
            <w:r w:rsidRPr="002B55E9">
              <w:rPr>
                <w:szCs w:val="18"/>
              </w:rPr>
              <w:t>400</w:t>
            </w:r>
          </w:p>
        </w:tc>
        <w:tc>
          <w:tcPr>
            <w:tcW w:w="3216" w:type="dxa"/>
            <w:shd w:val="clear" w:color="auto" w:fill="auto"/>
            <w:vAlign w:val="center"/>
          </w:tcPr>
          <w:p w14:paraId="6493EB50" w14:textId="77777777" w:rsidR="00D170E5" w:rsidRPr="002B55E9" w:rsidRDefault="00EF27AD">
            <w:pPr>
              <w:pStyle w:val="affffffffffffffffff6"/>
              <w:ind w:left="-40" w:right="-40"/>
              <w:rPr>
                <w:szCs w:val="18"/>
              </w:rPr>
            </w:pPr>
            <w:r w:rsidRPr="002B55E9">
              <w:rPr>
                <w:rFonts w:hint="eastAsia"/>
                <w:szCs w:val="18"/>
              </w:rPr>
              <w:t>4.44</w:t>
            </w:r>
          </w:p>
        </w:tc>
        <w:tc>
          <w:tcPr>
            <w:tcW w:w="3224" w:type="dxa"/>
            <w:shd w:val="clear" w:color="auto" w:fill="auto"/>
            <w:vAlign w:val="center"/>
          </w:tcPr>
          <w:p w14:paraId="19B747D0" w14:textId="77777777" w:rsidR="00D170E5" w:rsidRPr="002B55E9" w:rsidRDefault="00EF27AD">
            <w:pPr>
              <w:pStyle w:val="affffffffffffffffff6"/>
              <w:ind w:left="-40" w:right="-40"/>
              <w:rPr>
                <w:szCs w:val="18"/>
              </w:rPr>
            </w:pPr>
            <w:r w:rsidRPr="002B55E9">
              <w:rPr>
                <w:rFonts w:hint="eastAsia"/>
                <w:szCs w:val="18"/>
              </w:rPr>
              <w:t>2.52</w:t>
            </w:r>
          </w:p>
        </w:tc>
      </w:tr>
      <w:tr w:rsidR="00C60999" w:rsidRPr="002B55E9" w14:paraId="190BD65F" w14:textId="77777777">
        <w:trPr>
          <w:trHeight w:val="284"/>
        </w:trPr>
        <w:tc>
          <w:tcPr>
            <w:tcW w:w="3197" w:type="dxa"/>
            <w:shd w:val="clear" w:color="auto" w:fill="auto"/>
            <w:vAlign w:val="center"/>
          </w:tcPr>
          <w:p w14:paraId="778F461C" w14:textId="77777777" w:rsidR="00D170E5" w:rsidRPr="002B55E9" w:rsidRDefault="00EF27AD">
            <w:pPr>
              <w:pStyle w:val="affffffffffffffffff6"/>
              <w:ind w:left="-40" w:right="-40"/>
              <w:rPr>
                <w:szCs w:val="18"/>
              </w:rPr>
            </w:pPr>
            <w:r w:rsidRPr="002B55E9">
              <w:rPr>
                <w:szCs w:val="18"/>
              </w:rPr>
              <w:t>500</w:t>
            </w:r>
          </w:p>
        </w:tc>
        <w:tc>
          <w:tcPr>
            <w:tcW w:w="3216" w:type="dxa"/>
            <w:shd w:val="clear" w:color="auto" w:fill="auto"/>
            <w:vAlign w:val="center"/>
          </w:tcPr>
          <w:p w14:paraId="4E81A193" w14:textId="77777777" w:rsidR="00D170E5" w:rsidRPr="002B55E9" w:rsidRDefault="00EF27AD">
            <w:pPr>
              <w:pStyle w:val="affffffffffffffffff6"/>
              <w:ind w:left="-40" w:right="-40"/>
              <w:rPr>
                <w:szCs w:val="18"/>
              </w:rPr>
            </w:pPr>
            <w:r w:rsidRPr="002B55E9">
              <w:rPr>
                <w:rFonts w:hint="eastAsia"/>
                <w:szCs w:val="18"/>
              </w:rPr>
              <w:t>5.56</w:t>
            </w:r>
          </w:p>
        </w:tc>
        <w:tc>
          <w:tcPr>
            <w:tcW w:w="3224" w:type="dxa"/>
            <w:shd w:val="clear" w:color="auto" w:fill="auto"/>
            <w:vAlign w:val="center"/>
          </w:tcPr>
          <w:p w14:paraId="5E20528D" w14:textId="77777777" w:rsidR="00D170E5" w:rsidRPr="002B55E9" w:rsidRDefault="00EF27AD">
            <w:pPr>
              <w:pStyle w:val="affffffffffffffffff6"/>
              <w:ind w:left="-40" w:right="-40"/>
              <w:rPr>
                <w:szCs w:val="18"/>
              </w:rPr>
            </w:pPr>
            <w:r w:rsidRPr="002B55E9">
              <w:rPr>
                <w:rFonts w:hint="eastAsia"/>
                <w:szCs w:val="18"/>
              </w:rPr>
              <w:t>1.8</w:t>
            </w:r>
          </w:p>
        </w:tc>
      </w:tr>
      <w:tr w:rsidR="00C60999" w:rsidRPr="002B55E9" w14:paraId="745BF6FF" w14:textId="77777777">
        <w:trPr>
          <w:trHeight w:val="284"/>
        </w:trPr>
        <w:tc>
          <w:tcPr>
            <w:tcW w:w="3197" w:type="dxa"/>
            <w:shd w:val="clear" w:color="auto" w:fill="auto"/>
            <w:vAlign w:val="center"/>
          </w:tcPr>
          <w:p w14:paraId="762BCA9B" w14:textId="77777777" w:rsidR="00D170E5" w:rsidRPr="002B55E9" w:rsidRDefault="00EF27AD">
            <w:pPr>
              <w:pStyle w:val="affffffffffffffffff6"/>
              <w:ind w:left="-40" w:right="-40"/>
              <w:rPr>
                <w:szCs w:val="18"/>
              </w:rPr>
            </w:pPr>
            <w:r w:rsidRPr="002B55E9">
              <w:rPr>
                <w:szCs w:val="18"/>
              </w:rPr>
              <w:t>1000</w:t>
            </w:r>
          </w:p>
        </w:tc>
        <w:tc>
          <w:tcPr>
            <w:tcW w:w="3216" w:type="dxa"/>
            <w:shd w:val="clear" w:color="auto" w:fill="auto"/>
            <w:vAlign w:val="center"/>
          </w:tcPr>
          <w:p w14:paraId="0908A32F" w14:textId="77777777" w:rsidR="00D170E5" w:rsidRPr="002B55E9" w:rsidRDefault="00EF27AD">
            <w:pPr>
              <w:pStyle w:val="affffffffffffffffff6"/>
              <w:ind w:left="-40" w:right="-40"/>
              <w:rPr>
                <w:szCs w:val="18"/>
              </w:rPr>
            </w:pPr>
            <w:r w:rsidRPr="002B55E9">
              <w:rPr>
                <w:rFonts w:hint="eastAsia"/>
                <w:szCs w:val="18"/>
              </w:rPr>
              <w:t>11.1</w:t>
            </w:r>
          </w:p>
        </w:tc>
        <w:tc>
          <w:tcPr>
            <w:tcW w:w="3224" w:type="dxa"/>
            <w:shd w:val="clear" w:color="auto" w:fill="auto"/>
            <w:vAlign w:val="center"/>
          </w:tcPr>
          <w:p w14:paraId="2B68F3C1" w14:textId="77777777" w:rsidR="00D170E5" w:rsidRPr="002B55E9" w:rsidRDefault="00EF27AD">
            <w:pPr>
              <w:pStyle w:val="affffffffffffffffff6"/>
              <w:ind w:left="-40" w:right="-40"/>
              <w:rPr>
                <w:szCs w:val="18"/>
              </w:rPr>
            </w:pPr>
            <w:r w:rsidRPr="002B55E9">
              <w:rPr>
                <w:rFonts w:hint="eastAsia"/>
                <w:szCs w:val="18"/>
              </w:rPr>
              <w:t>0.6</w:t>
            </w:r>
          </w:p>
        </w:tc>
      </w:tr>
      <w:tr w:rsidR="00C60999" w:rsidRPr="002B55E9" w14:paraId="7960F8AC" w14:textId="77777777">
        <w:trPr>
          <w:trHeight w:val="284"/>
        </w:trPr>
        <w:tc>
          <w:tcPr>
            <w:tcW w:w="3197" w:type="dxa"/>
            <w:shd w:val="clear" w:color="auto" w:fill="auto"/>
            <w:vAlign w:val="center"/>
          </w:tcPr>
          <w:p w14:paraId="071F8435" w14:textId="77777777" w:rsidR="00D170E5" w:rsidRPr="002B55E9" w:rsidRDefault="00EF27AD">
            <w:pPr>
              <w:pStyle w:val="affffffffffffffffff6"/>
              <w:ind w:left="-40" w:right="-40"/>
              <w:rPr>
                <w:szCs w:val="18"/>
              </w:rPr>
            </w:pPr>
            <w:r w:rsidRPr="002B55E9">
              <w:rPr>
                <w:szCs w:val="18"/>
              </w:rPr>
              <w:t>2000</w:t>
            </w:r>
          </w:p>
        </w:tc>
        <w:tc>
          <w:tcPr>
            <w:tcW w:w="3216" w:type="dxa"/>
            <w:shd w:val="clear" w:color="auto" w:fill="auto"/>
            <w:vAlign w:val="center"/>
          </w:tcPr>
          <w:p w14:paraId="5F1FAA90" w14:textId="77777777" w:rsidR="00D170E5" w:rsidRPr="002B55E9" w:rsidRDefault="00EF27AD">
            <w:pPr>
              <w:pStyle w:val="affffffffffffffffff6"/>
              <w:ind w:left="-40" w:right="-40"/>
              <w:rPr>
                <w:szCs w:val="18"/>
              </w:rPr>
            </w:pPr>
            <w:r w:rsidRPr="002B55E9">
              <w:rPr>
                <w:rFonts w:hint="eastAsia"/>
                <w:szCs w:val="18"/>
              </w:rPr>
              <w:t>22.2</w:t>
            </w:r>
          </w:p>
        </w:tc>
        <w:tc>
          <w:tcPr>
            <w:tcW w:w="3224" w:type="dxa"/>
            <w:shd w:val="clear" w:color="auto" w:fill="auto"/>
            <w:vAlign w:val="center"/>
          </w:tcPr>
          <w:p w14:paraId="5CDF30D3" w14:textId="77777777" w:rsidR="00D170E5" w:rsidRPr="002B55E9" w:rsidRDefault="00EF27AD">
            <w:pPr>
              <w:pStyle w:val="affffffffffffffffff6"/>
              <w:ind w:left="-40" w:right="-40"/>
              <w:rPr>
                <w:szCs w:val="18"/>
              </w:rPr>
            </w:pPr>
            <w:r w:rsidRPr="002B55E9">
              <w:rPr>
                <w:rFonts w:hint="eastAsia"/>
                <w:szCs w:val="18"/>
              </w:rPr>
              <w:t>0.214</w:t>
            </w:r>
          </w:p>
        </w:tc>
      </w:tr>
      <w:tr w:rsidR="00C60999" w:rsidRPr="002B55E9" w14:paraId="48FF5B0D" w14:textId="77777777">
        <w:trPr>
          <w:trHeight w:val="284"/>
        </w:trPr>
        <w:tc>
          <w:tcPr>
            <w:tcW w:w="3197" w:type="dxa"/>
            <w:shd w:val="clear" w:color="auto" w:fill="auto"/>
            <w:vAlign w:val="center"/>
          </w:tcPr>
          <w:p w14:paraId="1830DF83" w14:textId="77777777" w:rsidR="00D170E5" w:rsidRPr="002B55E9" w:rsidRDefault="00EF27AD">
            <w:pPr>
              <w:pStyle w:val="affffffffffffffffff6"/>
              <w:ind w:left="-40" w:right="-40"/>
              <w:rPr>
                <w:szCs w:val="18"/>
              </w:rPr>
            </w:pPr>
            <w:r w:rsidRPr="002B55E9">
              <w:rPr>
                <w:szCs w:val="18"/>
              </w:rPr>
              <w:t>3000</w:t>
            </w:r>
          </w:p>
        </w:tc>
        <w:tc>
          <w:tcPr>
            <w:tcW w:w="3216" w:type="dxa"/>
            <w:shd w:val="clear" w:color="auto" w:fill="auto"/>
            <w:vAlign w:val="center"/>
          </w:tcPr>
          <w:p w14:paraId="25FB7657" w14:textId="77777777" w:rsidR="00D170E5" w:rsidRPr="002B55E9" w:rsidRDefault="00EF27AD">
            <w:pPr>
              <w:pStyle w:val="affffffffffffffffff6"/>
              <w:ind w:left="-40" w:right="-40"/>
              <w:rPr>
                <w:szCs w:val="18"/>
              </w:rPr>
            </w:pPr>
            <w:r w:rsidRPr="002B55E9">
              <w:rPr>
                <w:rFonts w:hint="eastAsia"/>
                <w:szCs w:val="18"/>
              </w:rPr>
              <w:t>39.3</w:t>
            </w:r>
          </w:p>
        </w:tc>
        <w:tc>
          <w:tcPr>
            <w:tcW w:w="3224" w:type="dxa"/>
            <w:shd w:val="clear" w:color="auto" w:fill="auto"/>
            <w:vAlign w:val="center"/>
          </w:tcPr>
          <w:p w14:paraId="3AF7A19A" w14:textId="77777777" w:rsidR="00D170E5" w:rsidRPr="002B55E9" w:rsidRDefault="00EF27AD">
            <w:pPr>
              <w:pStyle w:val="affffffffffffffffff6"/>
              <w:ind w:left="-40" w:right="-40"/>
              <w:rPr>
                <w:szCs w:val="18"/>
              </w:rPr>
            </w:pPr>
            <w:r w:rsidRPr="002B55E9">
              <w:rPr>
                <w:rFonts w:hint="eastAsia"/>
                <w:szCs w:val="18"/>
              </w:rPr>
              <w:t>0</w:t>
            </w:r>
            <w:r w:rsidRPr="002B55E9">
              <w:rPr>
                <w:szCs w:val="18"/>
              </w:rPr>
              <w:t>.125</w:t>
            </w:r>
          </w:p>
        </w:tc>
      </w:tr>
      <w:tr w:rsidR="00C60999" w:rsidRPr="002B55E9" w14:paraId="2280B04F" w14:textId="77777777">
        <w:trPr>
          <w:trHeight w:val="284"/>
        </w:trPr>
        <w:tc>
          <w:tcPr>
            <w:tcW w:w="3197" w:type="dxa"/>
            <w:shd w:val="clear" w:color="auto" w:fill="auto"/>
            <w:vAlign w:val="center"/>
          </w:tcPr>
          <w:p w14:paraId="0754CDDB" w14:textId="77777777" w:rsidR="00D170E5" w:rsidRPr="002B55E9" w:rsidRDefault="00EF27AD">
            <w:pPr>
              <w:pStyle w:val="affffffffffffffffff6"/>
              <w:ind w:left="-40" w:right="-40"/>
              <w:rPr>
                <w:szCs w:val="18"/>
              </w:rPr>
            </w:pPr>
            <w:r w:rsidRPr="002B55E9">
              <w:rPr>
                <w:szCs w:val="18"/>
              </w:rPr>
              <w:t>4000</w:t>
            </w:r>
          </w:p>
        </w:tc>
        <w:tc>
          <w:tcPr>
            <w:tcW w:w="3216" w:type="dxa"/>
            <w:shd w:val="clear" w:color="auto" w:fill="auto"/>
            <w:vAlign w:val="center"/>
          </w:tcPr>
          <w:p w14:paraId="5B69ECA6" w14:textId="77777777" w:rsidR="00D170E5" w:rsidRPr="002B55E9" w:rsidRDefault="00EF27AD">
            <w:pPr>
              <w:pStyle w:val="affffffffffffffffff6"/>
              <w:ind w:left="-40" w:right="-40"/>
              <w:rPr>
                <w:szCs w:val="18"/>
              </w:rPr>
            </w:pPr>
            <w:r w:rsidRPr="002B55E9">
              <w:rPr>
                <w:rFonts w:hint="eastAsia"/>
                <w:szCs w:val="18"/>
              </w:rPr>
              <w:t>51.4</w:t>
            </w:r>
          </w:p>
        </w:tc>
        <w:tc>
          <w:tcPr>
            <w:tcW w:w="3224" w:type="dxa"/>
            <w:shd w:val="clear" w:color="auto" w:fill="auto"/>
            <w:vAlign w:val="center"/>
          </w:tcPr>
          <w:p w14:paraId="09A88EF3" w14:textId="77777777" w:rsidR="00D170E5" w:rsidRPr="002B55E9" w:rsidRDefault="00EF27AD">
            <w:pPr>
              <w:pStyle w:val="affffffffffffffffff6"/>
              <w:ind w:left="-40" w:right="-40"/>
              <w:rPr>
                <w:szCs w:val="18"/>
              </w:rPr>
            </w:pPr>
            <w:r w:rsidRPr="002B55E9">
              <w:rPr>
                <w:rFonts w:hint="eastAsia"/>
                <w:szCs w:val="18"/>
              </w:rPr>
              <w:t>0.085</w:t>
            </w:r>
          </w:p>
        </w:tc>
      </w:tr>
      <w:tr w:rsidR="00C60999" w:rsidRPr="002B55E9" w14:paraId="5373034B" w14:textId="77777777">
        <w:trPr>
          <w:trHeight w:val="284"/>
        </w:trPr>
        <w:tc>
          <w:tcPr>
            <w:tcW w:w="3197" w:type="dxa"/>
            <w:shd w:val="clear" w:color="auto" w:fill="auto"/>
            <w:vAlign w:val="center"/>
          </w:tcPr>
          <w:p w14:paraId="3DF88ABC" w14:textId="77777777" w:rsidR="00D170E5" w:rsidRPr="002B55E9" w:rsidRDefault="00EF27AD">
            <w:pPr>
              <w:pStyle w:val="affffffffffffffffff6"/>
              <w:ind w:left="-40" w:right="-40"/>
              <w:rPr>
                <w:szCs w:val="18"/>
              </w:rPr>
            </w:pPr>
            <w:r w:rsidRPr="002B55E9">
              <w:rPr>
                <w:szCs w:val="18"/>
              </w:rPr>
              <w:t>5000</w:t>
            </w:r>
          </w:p>
        </w:tc>
        <w:tc>
          <w:tcPr>
            <w:tcW w:w="3216" w:type="dxa"/>
            <w:shd w:val="clear" w:color="auto" w:fill="auto"/>
            <w:vAlign w:val="center"/>
          </w:tcPr>
          <w:p w14:paraId="02EF2571" w14:textId="77777777" w:rsidR="00D170E5" w:rsidRPr="002B55E9" w:rsidRDefault="00EF27AD">
            <w:pPr>
              <w:pStyle w:val="affffffffffffffffff6"/>
              <w:ind w:left="-40" w:right="-40"/>
              <w:rPr>
                <w:szCs w:val="18"/>
              </w:rPr>
            </w:pPr>
            <w:r w:rsidRPr="002B55E9">
              <w:rPr>
                <w:rFonts w:hint="eastAsia"/>
                <w:szCs w:val="18"/>
              </w:rPr>
              <w:t>64.5</w:t>
            </w:r>
          </w:p>
        </w:tc>
        <w:tc>
          <w:tcPr>
            <w:tcW w:w="3224" w:type="dxa"/>
            <w:shd w:val="clear" w:color="auto" w:fill="auto"/>
            <w:vAlign w:val="center"/>
          </w:tcPr>
          <w:p w14:paraId="2B7C1D0B" w14:textId="77777777" w:rsidR="00D170E5" w:rsidRPr="002B55E9" w:rsidRDefault="00EF27AD">
            <w:pPr>
              <w:pStyle w:val="affffffffffffffffff6"/>
              <w:ind w:left="-40" w:right="-40"/>
              <w:rPr>
                <w:szCs w:val="18"/>
              </w:rPr>
            </w:pPr>
            <w:r w:rsidRPr="002B55E9">
              <w:rPr>
                <w:rFonts w:hint="eastAsia"/>
                <w:szCs w:val="18"/>
              </w:rPr>
              <w:t>0.0634</w:t>
            </w:r>
          </w:p>
        </w:tc>
      </w:tr>
      <w:tr w:rsidR="00C60999" w:rsidRPr="002B55E9" w14:paraId="7117655B" w14:textId="77777777">
        <w:trPr>
          <w:trHeight w:val="284"/>
        </w:trPr>
        <w:tc>
          <w:tcPr>
            <w:tcW w:w="6413" w:type="dxa"/>
            <w:gridSpan w:val="2"/>
            <w:shd w:val="clear" w:color="auto" w:fill="auto"/>
            <w:vAlign w:val="center"/>
          </w:tcPr>
          <w:p w14:paraId="7E522BFC" w14:textId="77777777" w:rsidR="00D170E5" w:rsidRPr="002B55E9" w:rsidRDefault="00EF27AD">
            <w:pPr>
              <w:pStyle w:val="affffffffffffffffff6"/>
              <w:ind w:left="-40" w:right="-40"/>
              <w:rPr>
                <w:szCs w:val="18"/>
              </w:rPr>
            </w:pPr>
            <w:r w:rsidRPr="002B55E9">
              <w:rPr>
                <w:rFonts w:hint="eastAsia"/>
                <w:szCs w:val="18"/>
              </w:rPr>
              <w:t>C</w:t>
            </w:r>
            <w:r w:rsidRPr="002B55E9">
              <w:rPr>
                <w:szCs w:val="18"/>
              </w:rPr>
              <w:t>O</w:t>
            </w:r>
            <w:r w:rsidRPr="002B55E9">
              <w:rPr>
                <w:szCs w:val="18"/>
              </w:rPr>
              <w:t>毒性终点浓度</w:t>
            </w:r>
            <w:r w:rsidRPr="002B55E9">
              <w:rPr>
                <w:szCs w:val="18"/>
              </w:rPr>
              <w:t>1</w:t>
            </w:r>
          </w:p>
        </w:tc>
        <w:tc>
          <w:tcPr>
            <w:tcW w:w="3224" w:type="dxa"/>
            <w:shd w:val="clear" w:color="auto" w:fill="auto"/>
            <w:vAlign w:val="center"/>
          </w:tcPr>
          <w:p w14:paraId="316E5749" w14:textId="77777777" w:rsidR="00D170E5" w:rsidRPr="002B55E9" w:rsidRDefault="00EF27AD">
            <w:pPr>
              <w:pStyle w:val="affffffffffffffffff6"/>
              <w:ind w:left="-40" w:right="-40"/>
              <w:rPr>
                <w:szCs w:val="18"/>
              </w:rPr>
            </w:pPr>
            <w:r w:rsidRPr="002B55E9">
              <w:rPr>
                <w:rFonts w:hint="eastAsia"/>
                <w:szCs w:val="18"/>
              </w:rPr>
              <w:t>380</w:t>
            </w:r>
          </w:p>
        </w:tc>
      </w:tr>
      <w:tr w:rsidR="00C60999" w:rsidRPr="002B55E9" w14:paraId="2DABD624" w14:textId="77777777">
        <w:trPr>
          <w:trHeight w:val="284"/>
        </w:trPr>
        <w:tc>
          <w:tcPr>
            <w:tcW w:w="6413" w:type="dxa"/>
            <w:gridSpan w:val="2"/>
            <w:shd w:val="clear" w:color="auto" w:fill="auto"/>
            <w:vAlign w:val="center"/>
          </w:tcPr>
          <w:p w14:paraId="29984C18" w14:textId="77777777" w:rsidR="00D170E5" w:rsidRPr="002B55E9" w:rsidRDefault="00EF27AD">
            <w:pPr>
              <w:pStyle w:val="affffffffffffffffff6"/>
              <w:ind w:left="-40" w:right="-40"/>
              <w:rPr>
                <w:szCs w:val="18"/>
              </w:rPr>
            </w:pPr>
            <w:r w:rsidRPr="002B55E9">
              <w:rPr>
                <w:rFonts w:hint="eastAsia"/>
                <w:szCs w:val="18"/>
              </w:rPr>
              <w:t>C</w:t>
            </w:r>
            <w:r w:rsidRPr="002B55E9">
              <w:rPr>
                <w:szCs w:val="18"/>
              </w:rPr>
              <w:t>O</w:t>
            </w:r>
            <w:r w:rsidRPr="002B55E9">
              <w:rPr>
                <w:szCs w:val="18"/>
              </w:rPr>
              <w:t>毒性终点浓度</w:t>
            </w:r>
            <w:r w:rsidRPr="002B55E9">
              <w:rPr>
                <w:szCs w:val="18"/>
              </w:rPr>
              <w:t>2</w:t>
            </w:r>
          </w:p>
        </w:tc>
        <w:tc>
          <w:tcPr>
            <w:tcW w:w="3224" w:type="dxa"/>
            <w:shd w:val="clear" w:color="auto" w:fill="auto"/>
            <w:vAlign w:val="center"/>
          </w:tcPr>
          <w:p w14:paraId="52AC0E42" w14:textId="77777777" w:rsidR="00D170E5" w:rsidRPr="002B55E9" w:rsidRDefault="00EF27AD">
            <w:pPr>
              <w:pStyle w:val="affffffffffffffffff6"/>
              <w:ind w:left="-40" w:right="-40"/>
              <w:rPr>
                <w:szCs w:val="18"/>
              </w:rPr>
            </w:pPr>
            <w:r w:rsidRPr="002B55E9">
              <w:rPr>
                <w:rFonts w:hint="eastAsia"/>
                <w:szCs w:val="18"/>
              </w:rPr>
              <w:t>95</w:t>
            </w:r>
          </w:p>
        </w:tc>
      </w:tr>
    </w:tbl>
    <w:p w14:paraId="3442E697" w14:textId="77777777" w:rsidR="00D170E5" w:rsidRPr="002B55E9" w:rsidRDefault="00EF27AD">
      <w:pPr>
        <w:spacing w:line="360" w:lineRule="auto"/>
        <w:ind w:firstLineChars="200" w:firstLine="480"/>
        <w:rPr>
          <w:bCs/>
          <w:snapToGrid w:val="0"/>
          <w:sz w:val="24"/>
        </w:rPr>
      </w:pPr>
      <w:r w:rsidRPr="002B55E9">
        <w:rPr>
          <w:rFonts w:hint="eastAsia"/>
          <w:bCs/>
          <w:snapToGrid w:val="0"/>
          <w:sz w:val="24"/>
        </w:rPr>
        <w:t>根据</w:t>
      </w:r>
      <w:r w:rsidRPr="002B55E9">
        <w:rPr>
          <w:bCs/>
          <w:snapToGrid w:val="0"/>
          <w:sz w:val="24"/>
        </w:rPr>
        <w:t>预测结果，</w:t>
      </w:r>
      <w:r w:rsidRPr="002B55E9">
        <w:rPr>
          <w:rFonts w:hint="eastAsia"/>
          <w:bCs/>
          <w:snapToGrid w:val="0"/>
          <w:sz w:val="24"/>
        </w:rPr>
        <w:t>过氧乙酸</w:t>
      </w:r>
      <w:r w:rsidRPr="002B55E9">
        <w:rPr>
          <w:bCs/>
          <w:snapToGrid w:val="0"/>
          <w:sz w:val="24"/>
        </w:rPr>
        <w:t>泄漏</w:t>
      </w:r>
      <w:r w:rsidRPr="002B55E9">
        <w:rPr>
          <w:rFonts w:hint="eastAsia"/>
          <w:bCs/>
          <w:snapToGrid w:val="0"/>
          <w:sz w:val="24"/>
        </w:rPr>
        <w:t>引发</w:t>
      </w:r>
      <w:r w:rsidRPr="002B55E9">
        <w:rPr>
          <w:bCs/>
          <w:snapToGrid w:val="0"/>
          <w:sz w:val="24"/>
        </w:rPr>
        <w:t>火灾爆炸</w:t>
      </w:r>
      <w:r w:rsidRPr="002B55E9">
        <w:rPr>
          <w:rFonts w:hint="eastAsia"/>
          <w:bCs/>
          <w:snapToGrid w:val="0"/>
          <w:sz w:val="24"/>
        </w:rPr>
        <w:t>事故</w:t>
      </w:r>
      <w:r w:rsidRPr="002B55E9">
        <w:rPr>
          <w:bCs/>
          <w:snapToGrid w:val="0"/>
          <w:sz w:val="24"/>
        </w:rPr>
        <w:t>伴生</w:t>
      </w:r>
      <w:r w:rsidRPr="002B55E9">
        <w:rPr>
          <w:rFonts w:hint="eastAsia"/>
          <w:bCs/>
          <w:snapToGrid w:val="0"/>
          <w:sz w:val="24"/>
        </w:rPr>
        <w:t>/</w:t>
      </w:r>
      <w:r w:rsidRPr="002B55E9">
        <w:rPr>
          <w:rFonts w:hint="eastAsia"/>
          <w:bCs/>
          <w:snapToGrid w:val="0"/>
          <w:sz w:val="24"/>
        </w:rPr>
        <w:t>次生</w:t>
      </w:r>
      <w:r w:rsidRPr="002B55E9">
        <w:rPr>
          <w:rFonts w:hint="eastAsia"/>
          <w:bCs/>
          <w:snapToGrid w:val="0"/>
          <w:sz w:val="24"/>
        </w:rPr>
        <w:t>CO</w:t>
      </w:r>
      <w:r w:rsidRPr="002B55E9">
        <w:rPr>
          <w:rFonts w:hint="eastAsia"/>
          <w:bCs/>
          <w:snapToGrid w:val="0"/>
          <w:sz w:val="24"/>
        </w:rPr>
        <w:t>扩散后</w:t>
      </w:r>
      <w:r w:rsidRPr="002B55E9">
        <w:rPr>
          <w:bCs/>
          <w:snapToGrid w:val="0"/>
          <w:sz w:val="24"/>
        </w:rPr>
        <w:t>，</w:t>
      </w:r>
      <w:r w:rsidRPr="002B55E9">
        <w:rPr>
          <w:rFonts w:hint="eastAsia"/>
          <w:bCs/>
          <w:snapToGrid w:val="0"/>
          <w:sz w:val="24"/>
        </w:rPr>
        <w:t>在</w:t>
      </w:r>
      <w:r w:rsidRPr="002B55E9">
        <w:rPr>
          <w:bCs/>
          <w:snapToGrid w:val="0"/>
          <w:sz w:val="24"/>
        </w:rPr>
        <w:t>最不利气象条件下（</w:t>
      </w:r>
      <w:r w:rsidRPr="002B55E9">
        <w:rPr>
          <w:rFonts w:hint="eastAsia"/>
          <w:bCs/>
          <w:snapToGrid w:val="0"/>
          <w:sz w:val="24"/>
        </w:rPr>
        <w:t>稳定度</w:t>
      </w:r>
      <w:r w:rsidRPr="002B55E9">
        <w:rPr>
          <w:rFonts w:hint="eastAsia"/>
          <w:bCs/>
          <w:snapToGrid w:val="0"/>
          <w:sz w:val="24"/>
        </w:rPr>
        <w:t>F</w:t>
      </w:r>
      <w:r w:rsidRPr="002B55E9">
        <w:rPr>
          <w:rFonts w:hint="eastAsia"/>
          <w:bCs/>
          <w:snapToGrid w:val="0"/>
          <w:sz w:val="24"/>
        </w:rPr>
        <w:t>，</w:t>
      </w:r>
      <w:r w:rsidRPr="002B55E9">
        <w:rPr>
          <w:bCs/>
          <w:snapToGrid w:val="0"/>
          <w:sz w:val="24"/>
        </w:rPr>
        <w:t>风速</w:t>
      </w:r>
      <w:r w:rsidRPr="002B55E9">
        <w:rPr>
          <w:rFonts w:hint="eastAsia"/>
          <w:bCs/>
          <w:snapToGrid w:val="0"/>
          <w:sz w:val="24"/>
        </w:rPr>
        <w:t>1.5</w:t>
      </w:r>
      <w:r w:rsidRPr="002B55E9">
        <w:rPr>
          <w:bCs/>
          <w:snapToGrid w:val="0"/>
          <w:sz w:val="24"/>
        </w:rPr>
        <w:t>m/s</w:t>
      </w:r>
      <w:r w:rsidRPr="002B55E9">
        <w:rPr>
          <w:bCs/>
          <w:snapToGrid w:val="0"/>
          <w:sz w:val="24"/>
        </w:rPr>
        <w:t>）</w:t>
      </w:r>
      <w:r w:rsidRPr="002B55E9">
        <w:rPr>
          <w:rFonts w:hint="eastAsia"/>
          <w:bCs/>
          <w:snapToGrid w:val="0"/>
          <w:sz w:val="24"/>
        </w:rPr>
        <w:t>扩散</w:t>
      </w:r>
      <w:r w:rsidRPr="002B55E9">
        <w:rPr>
          <w:bCs/>
          <w:snapToGrid w:val="0"/>
          <w:sz w:val="24"/>
        </w:rPr>
        <w:t>过程中，最大浓度未达到</w:t>
      </w:r>
      <w:r w:rsidRPr="002B55E9">
        <w:rPr>
          <w:rFonts w:hint="eastAsia"/>
          <w:bCs/>
          <w:snapToGrid w:val="0"/>
          <w:sz w:val="24"/>
        </w:rPr>
        <w:t>CO</w:t>
      </w:r>
      <w:r w:rsidRPr="002B55E9">
        <w:rPr>
          <w:bCs/>
          <w:snapToGrid w:val="0"/>
          <w:sz w:val="24"/>
        </w:rPr>
        <w:t>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380</w:t>
      </w:r>
      <w:r w:rsidRPr="002B55E9">
        <w:rPr>
          <w:bCs/>
          <w:snapToGrid w:val="0"/>
          <w:sz w:val="24"/>
        </w:rPr>
        <w:t>mg/m</w:t>
      </w:r>
      <w:r w:rsidRPr="002B55E9">
        <w:rPr>
          <w:bCs/>
          <w:snapToGrid w:val="0"/>
          <w:sz w:val="24"/>
          <w:vertAlign w:val="superscript"/>
        </w:rPr>
        <w:t>3</w:t>
      </w:r>
      <w:r w:rsidRPr="002B55E9">
        <w:rPr>
          <w:rFonts w:hint="eastAsia"/>
          <w:bCs/>
          <w:snapToGrid w:val="0"/>
          <w:sz w:val="24"/>
        </w:rPr>
        <w:t>）和</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95</w:t>
      </w:r>
      <w:r w:rsidRPr="002B55E9">
        <w:rPr>
          <w:bCs/>
          <w:snapToGrid w:val="0"/>
          <w:sz w:val="24"/>
        </w:rPr>
        <w:t>mg/m</w:t>
      </w:r>
      <w:r w:rsidRPr="002B55E9">
        <w:rPr>
          <w:bCs/>
          <w:snapToGrid w:val="0"/>
          <w:sz w:val="24"/>
          <w:vertAlign w:val="superscript"/>
        </w:rPr>
        <w:t>3</w:t>
      </w:r>
      <w:r w:rsidRPr="002B55E9">
        <w:rPr>
          <w:rFonts w:hint="eastAsia"/>
          <w:bCs/>
          <w:snapToGrid w:val="0"/>
          <w:sz w:val="24"/>
        </w:rPr>
        <w:t>）。</w:t>
      </w:r>
    </w:p>
    <w:p w14:paraId="0594FB96" w14:textId="77777777" w:rsidR="00D170E5" w:rsidRPr="002B55E9" w:rsidRDefault="00EF27AD">
      <w:pPr>
        <w:pStyle w:val="lgy-"/>
        <w:rPr>
          <w:snapToGrid w:val="0"/>
          <w:sz w:val="24"/>
        </w:rPr>
      </w:pPr>
      <w:r w:rsidRPr="002B55E9">
        <w:rPr>
          <w:noProof/>
        </w:rPr>
        <w:drawing>
          <wp:inline distT="0" distB="0" distL="0" distR="0" wp14:anchorId="4C4E30FF" wp14:editId="6EBA8305">
            <wp:extent cx="5399405" cy="2723515"/>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0"/>
                    <a:stretch>
                      <a:fillRect/>
                    </a:stretch>
                  </pic:blipFill>
                  <pic:spPr>
                    <a:xfrm>
                      <a:off x="0" y="0"/>
                      <a:ext cx="5400000" cy="2723814"/>
                    </a:xfrm>
                    <a:prstGeom prst="rect">
                      <a:avLst/>
                    </a:prstGeom>
                  </pic:spPr>
                </pic:pic>
              </a:graphicData>
            </a:graphic>
          </wp:inline>
        </w:drawing>
      </w:r>
    </w:p>
    <w:p w14:paraId="3F845CF8" w14:textId="77777777" w:rsidR="00D170E5" w:rsidRPr="002B55E9" w:rsidRDefault="00EF27AD">
      <w:pPr>
        <w:pStyle w:val="lgy-"/>
        <w:rPr>
          <w:snapToGrid w:val="0"/>
          <w:sz w:val="24"/>
        </w:rPr>
      </w:pPr>
      <w:r w:rsidRPr="002B55E9">
        <w:rPr>
          <w:noProof/>
        </w:rPr>
        <w:lastRenderedPageBreak/>
        <w:drawing>
          <wp:inline distT="0" distB="0" distL="0" distR="0" wp14:anchorId="04415599" wp14:editId="597D8EF2">
            <wp:extent cx="5399405" cy="284035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1"/>
                    <a:stretch>
                      <a:fillRect/>
                    </a:stretch>
                  </pic:blipFill>
                  <pic:spPr>
                    <a:xfrm>
                      <a:off x="0" y="0"/>
                      <a:ext cx="5400000" cy="2840365"/>
                    </a:xfrm>
                    <a:prstGeom prst="rect">
                      <a:avLst/>
                    </a:prstGeom>
                  </pic:spPr>
                </pic:pic>
              </a:graphicData>
            </a:graphic>
          </wp:inline>
        </w:drawing>
      </w:r>
    </w:p>
    <w:p w14:paraId="53EF67C4" w14:textId="77777777" w:rsidR="00D170E5" w:rsidRPr="002B55E9" w:rsidRDefault="00EF27AD">
      <w:pPr>
        <w:spacing w:line="360" w:lineRule="auto"/>
        <w:ind w:firstLineChars="200" w:firstLine="482"/>
        <w:jc w:val="center"/>
        <w:rPr>
          <w:b/>
          <w:bCs/>
          <w:snapToGrid w:val="0"/>
          <w:sz w:val="24"/>
        </w:rPr>
      </w:pPr>
      <w:r w:rsidRPr="002B55E9">
        <w:rPr>
          <w:rFonts w:hint="eastAsia"/>
          <w:b/>
          <w:bCs/>
          <w:snapToGrid w:val="0"/>
          <w:sz w:val="24"/>
        </w:rPr>
        <w:t>图</w:t>
      </w:r>
      <w:r w:rsidRPr="002B55E9">
        <w:rPr>
          <w:rFonts w:hint="eastAsia"/>
          <w:b/>
          <w:bCs/>
          <w:snapToGrid w:val="0"/>
          <w:sz w:val="24"/>
        </w:rPr>
        <w:t xml:space="preserve">6-5-3  </w:t>
      </w:r>
      <w:r w:rsidRPr="002B55E9">
        <w:rPr>
          <w:rFonts w:hint="eastAsia"/>
          <w:b/>
          <w:bCs/>
          <w:snapToGrid w:val="0"/>
          <w:sz w:val="24"/>
        </w:rPr>
        <w:t>火灾次生</w:t>
      </w:r>
      <w:r w:rsidRPr="002B55E9">
        <w:rPr>
          <w:b/>
          <w:bCs/>
          <w:snapToGrid w:val="0"/>
          <w:sz w:val="24"/>
        </w:rPr>
        <w:t>物</w:t>
      </w:r>
      <w:r w:rsidRPr="002B55E9">
        <w:rPr>
          <w:b/>
          <w:bCs/>
          <w:snapToGrid w:val="0"/>
          <w:sz w:val="24"/>
        </w:rPr>
        <w:t>CO</w:t>
      </w:r>
      <w:r w:rsidRPr="002B55E9">
        <w:rPr>
          <w:b/>
          <w:bCs/>
          <w:snapToGrid w:val="0"/>
          <w:sz w:val="24"/>
        </w:rPr>
        <w:t>最不利气象条件下预测结果</w:t>
      </w:r>
    </w:p>
    <w:p w14:paraId="226CA398" w14:textId="77777777" w:rsidR="00D170E5" w:rsidRPr="002B55E9" w:rsidRDefault="00EF27AD">
      <w:pPr>
        <w:pStyle w:val="4"/>
        <w:numPr>
          <w:ilvl w:val="3"/>
          <w:numId w:val="28"/>
        </w:numPr>
        <w:rPr>
          <w:color w:val="auto"/>
        </w:rPr>
      </w:pPr>
      <w:r w:rsidRPr="002B55E9">
        <w:rPr>
          <w:rFonts w:hint="eastAsia"/>
          <w:color w:val="auto"/>
        </w:rPr>
        <w:t>地表水环境风险预测</w:t>
      </w:r>
    </w:p>
    <w:p w14:paraId="3CCCCC72" w14:textId="77777777" w:rsidR="00D170E5" w:rsidRPr="002B55E9" w:rsidRDefault="00EF27AD">
      <w:pPr>
        <w:pStyle w:val="affff7"/>
        <w:snapToGrid w:val="0"/>
        <w:spacing w:after="0"/>
        <w:rPr>
          <w:szCs w:val="24"/>
        </w:rPr>
      </w:pPr>
      <w:r w:rsidRPr="002B55E9">
        <w:rPr>
          <w:rFonts w:hint="eastAsia"/>
          <w:szCs w:val="24"/>
        </w:rPr>
        <w:t>本项目</w:t>
      </w:r>
      <w:r w:rsidRPr="002B55E9">
        <w:rPr>
          <w:bCs w:val="0"/>
        </w:rPr>
        <w:t>地</w:t>
      </w:r>
      <w:r w:rsidRPr="002B55E9">
        <w:rPr>
          <w:rFonts w:hint="eastAsia"/>
          <w:bCs w:val="0"/>
        </w:rPr>
        <w:t>表水</w:t>
      </w:r>
      <w:r w:rsidRPr="002B55E9">
        <w:rPr>
          <w:bCs w:val="0"/>
        </w:rPr>
        <w:t>环境风险评价工作等级为</w:t>
      </w:r>
      <w:r w:rsidRPr="002B55E9">
        <w:rPr>
          <w:rFonts w:hint="eastAsia"/>
          <w:bCs w:val="0"/>
        </w:rPr>
        <w:t>简单分析，</w:t>
      </w:r>
      <w:r w:rsidRPr="002B55E9">
        <w:rPr>
          <w:szCs w:val="24"/>
        </w:rPr>
        <w:t>醋胚、超立克等</w:t>
      </w:r>
      <w:r w:rsidRPr="002B55E9">
        <w:rPr>
          <w:rFonts w:hint="eastAsia"/>
          <w:szCs w:val="24"/>
        </w:rPr>
        <w:t>液态</w:t>
      </w:r>
      <w:r w:rsidRPr="002B55E9">
        <w:rPr>
          <w:szCs w:val="24"/>
        </w:rPr>
        <w:t>物料均</w:t>
      </w:r>
      <w:r w:rsidRPr="002B55E9">
        <w:rPr>
          <w:rFonts w:hint="eastAsia"/>
          <w:szCs w:val="24"/>
        </w:rPr>
        <w:t>使用</w:t>
      </w:r>
      <w:r w:rsidRPr="002B55E9">
        <w:rPr>
          <w:szCs w:val="24"/>
        </w:rPr>
        <w:t>储罐储存，罐区设有围堰，</w:t>
      </w:r>
      <w:r w:rsidRPr="002B55E9">
        <w:rPr>
          <w:rFonts w:hint="eastAsia"/>
          <w:szCs w:val="24"/>
        </w:rPr>
        <w:t>其</w:t>
      </w:r>
      <w:r w:rsidRPr="002B55E9">
        <w:rPr>
          <w:szCs w:val="24"/>
        </w:rPr>
        <w:t>容积能确保收集泄漏物料，</w:t>
      </w:r>
      <w:r w:rsidRPr="002B55E9">
        <w:rPr>
          <w:rFonts w:hint="eastAsia"/>
          <w:szCs w:val="24"/>
        </w:rPr>
        <w:t>项目</w:t>
      </w:r>
      <w:r w:rsidRPr="002B55E9">
        <w:rPr>
          <w:szCs w:val="24"/>
        </w:rPr>
        <w:t>所依托的佛山市海天（</w:t>
      </w:r>
      <w:r w:rsidRPr="002B55E9">
        <w:rPr>
          <w:rFonts w:hint="eastAsia"/>
          <w:szCs w:val="24"/>
        </w:rPr>
        <w:t>武汉</w:t>
      </w:r>
      <w:r w:rsidRPr="002B55E9">
        <w:rPr>
          <w:szCs w:val="24"/>
        </w:rPr>
        <w:t>）</w:t>
      </w:r>
      <w:r w:rsidRPr="002B55E9">
        <w:rPr>
          <w:rFonts w:hint="eastAsia"/>
          <w:szCs w:val="24"/>
        </w:rPr>
        <w:t>调味</w:t>
      </w:r>
      <w:r w:rsidRPr="002B55E9">
        <w:rPr>
          <w:szCs w:val="24"/>
        </w:rPr>
        <w:t>食品有限公司污水处理站旁设有</w:t>
      </w:r>
      <w:r w:rsidRPr="002B55E9">
        <w:rPr>
          <w:rFonts w:hint="eastAsia"/>
          <w:szCs w:val="24"/>
        </w:rPr>
        <w:t>事故</w:t>
      </w:r>
      <w:r w:rsidRPr="002B55E9">
        <w:rPr>
          <w:szCs w:val="24"/>
        </w:rPr>
        <w:t>应急池，确保火灾爆炸情况下事故废水和可能进入系统的雨水</w:t>
      </w:r>
      <w:r w:rsidRPr="002B55E9">
        <w:rPr>
          <w:rFonts w:hint="eastAsia"/>
          <w:szCs w:val="24"/>
        </w:rPr>
        <w:t>能通过</w:t>
      </w:r>
      <w:r w:rsidRPr="002B55E9">
        <w:rPr>
          <w:szCs w:val="24"/>
        </w:rPr>
        <w:t>污水管道转运至应急事故池中暂存</w:t>
      </w:r>
      <w:r w:rsidRPr="002B55E9">
        <w:rPr>
          <w:rFonts w:hint="eastAsia"/>
          <w:szCs w:val="24"/>
        </w:rPr>
        <w:t>。因此本项目发生事故时危险物质无直接进入地表水环境的途径，发生事故时对地表水环境的风险可控。</w:t>
      </w:r>
    </w:p>
    <w:p w14:paraId="17CBFD2B" w14:textId="77777777" w:rsidR="00D170E5" w:rsidRPr="002B55E9" w:rsidRDefault="00EF27AD">
      <w:pPr>
        <w:pStyle w:val="4"/>
        <w:rPr>
          <w:color w:val="auto"/>
        </w:rPr>
      </w:pPr>
      <w:r w:rsidRPr="002B55E9">
        <w:rPr>
          <w:rFonts w:hint="eastAsia"/>
          <w:color w:val="auto"/>
        </w:rPr>
        <w:t>地下水</w:t>
      </w:r>
      <w:r w:rsidRPr="002B55E9">
        <w:rPr>
          <w:color w:val="auto"/>
        </w:rPr>
        <w:t>环境</w:t>
      </w:r>
      <w:r w:rsidRPr="002B55E9">
        <w:rPr>
          <w:rFonts w:hint="eastAsia"/>
          <w:color w:val="auto"/>
        </w:rPr>
        <w:t>风险预测</w:t>
      </w:r>
    </w:p>
    <w:p w14:paraId="07BC269A" w14:textId="77777777" w:rsidR="00D170E5" w:rsidRPr="002B55E9" w:rsidRDefault="00EF27AD">
      <w:pPr>
        <w:spacing w:after="60" w:line="360" w:lineRule="auto"/>
        <w:ind w:firstLineChars="200" w:firstLine="480"/>
        <w:rPr>
          <w:bCs/>
          <w:snapToGrid w:val="0"/>
          <w:sz w:val="24"/>
          <w:lang w:bidi="ar"/>
        </w:rPr>
      </w:pPr>
      <w:r w:rsidRPr="002B55E9">
        <w:rPr>
          <w:rFonts w:hint="eastAsia"/>
          <w:bCs/>
          <w:snapToGrid w:val="0"/>
          <w:sz w:val="24"/>
          <w:lang w:bidi="ar"/>
        </w:rPr>
        <w:t>本项目地下水环境风险评价工作等级为简单分析，项目造成地下水污染的事故类型主要有储存物料的储罐发生全口径破裂，致使储罐内危险物质大量泄露。对照</w:t>
      </w:r>
      <w:r w:rsidRPr="002B55E9">
        <w:rPr>
          <w:bCs/>
          <w:snapToGrid w:val="0"/>
          <w:sz w:val="24"/>
          <w:lang w:bidi="ar"/>
        </w:rPr>
        <w:t>《地下水质量标准》（</w:t>
      </w:r>
      <w:r w:rsidRPr="002B55E9">
        <w:rPr>
          <w:bCs/>
          <w:snapToGrid w:val="0"/>
          <w:sz w:val="24"/>
          <w:lang w:bidi="ar"/>
        </w:rPr>
        <w:t>GB/T14848-2017</w:t>
      </w:r>
      <w:r w:rsidRPr="002B55E9">
        <w:rPr>
          <w:bCs/>
          <w:snapToGrid w:val="0"/>
          <w:sz w:val="24"/>
          <w:lang w:bidi="ar"/>
        </w:rPr>
        <w:t>）</w:t>
      </w:r>
      <w:r w:rsidRPr="002B55E9">
        <w:rPr>
          <w:rFonts w:hint="eastAsia"/>
          <w:bCs/>
          <w:snapToGrid w:val="0"/>
          <w:sz w:val="24"/>
          <w:lang w:bidi="ar"/>
        </w:rPr>
        <w:t>，本项目涉及到的地下水特征因子为</w:t>
      </w:r>
      <w:r w:rsidRPr="002B55E9">
        <w:rPr>
          <w:bCs/>
          <w:snapToGrid w:val="0"/>
          <w:sz w:val="24"/>
          <w:lang w:bidi="ar"/>
        </w:rPr>
        <w:t>硝酸盐</w:t>
      </w:r>
      <w:r w:rsidRPr="002B55E9">
        <w:rPr>
          <w:rFonts w:hint="eastAsia"/>
          <w:bCs/>
          <w:snapToGrid w:val="0"/>
          <w:sz w:val="24"/>
          <w:lang w:bidi="ar"/>
        </w:rPr>
        <w:t>，来源于</w:t>
      </w:r>
      <w:r w:rsidRPr="002B55E9">
        <w:rPr>
          <w:bCs/>
          <w:snapToGrid w:val="0"/>
          <w:sz w:val="24"/>
          <w:lang w:bidi="ar"/>
        </w:rPr>
        <w:t>超立克储罐中的硝酸</w:t>
      </w:r>
      <w:r w:rsidRPr="002B55E9">
        <w:rPr>
          <w:rFonts w:hint="eastAsia"/>
          <w:bCs/>
          <w:snapToGrid w:val="0"/>
          <w:sz w:val="24"/>
          <w:lang w:bidi="ar"/>
        </w:rPr>
        <w:t>，故储罐泄露事故的预测因子拟定为硝酸盐。</w:t>
      </w:r>
    </w:p>
    <w:p w14:paraId="58219C7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lang w:bidi="ar"/>
        </w:rPr>
        <w:t>超立克储罐泄露作为瞬时泄露考虑，预测模型选用一维模式瞬时泄露。非正常工况下，储罐发生瞬时泄露，</w:t>
      </w:r>
      <w:r w:rsidRPr="002B55E9">
        <w:rPr>
          <w:bCs/>
          <w:snapToGrid w:val="0"/>
          <w:sz w:val="24"/>
          <w:lang w:bidi="ar"/>
        </w:rPr>
        <w:t>100</w:t>
      </w:r>
      <w:r w:rsidRPr="002B55E9">
        <w:rPr>
          <w:rFonts w:hint="eastAsia"/>
          <w:bCs/>
          <w:snapToGrid w:val="0"/>
          <w:sz w:val="24"/>
          <w:lang w:bidi="ar"/>
        </w:rPr>
        <w:t>天、</w:t>
      </w:r>
      <w:r w:rsidRPr="002B55E9">
        <w:rPr>
          <w:bCs/>
          <w:snapToGrid w:val="0"/>
          <w:sz w:val="24"/>
          <w:lang w:bidi="ar"/>
        </w:rPr>
        <w:t>1000</w:t>
      </w:r>
      <w:r w:rsidRPr="002B55E9">
        <w:rPr>
          <w:rFonts w:hint="eastAsia"/>
          <w:bCs/>
          <w:snapToGrid w:val="0"/>
          <w:sz w:val="24"/>
          <w:lang w:bidi="ar"/>
        </w:rPr>
        <w:t>天、</w:t>
      </w:r>
      <w:r w:rsidRPr="002B55E9">
        <w:rPr>
          <w:bCs/>
          <w:snapToGrid w:val="0"/>
          <w:sz w:val="24"/>
          <w:lang w:bidi="ar"/>
        </w:rPr>
        <w:t>5</w:t>
      </w:r>
      <w:r w:rsidRPr="002B55E9">
        <w:rPr>
          <w:rFonts w:hint="eastAsia"/>
          <w:bCs/>
          <w:snapToGrid w:val="0"/>
          <w:sz w:val="24"/>
          <w:lang w:bidi="ar"/>
        </w:rPr>
        <w:t>年、</w:t>
      </w:r>
      <w:r w:rsidRPr="002B55E9">
        <w:rPr>
          <w:bCs/>
          <w:snapToGrid w:val="0"/>
          <w:sz w:val="24"/>
          <w:lang w:bidi="ar"/>
        </w:rPr>
        <w:t>10</w:t>
      </w:r>
      <w:r w:rsidRPr="002B55E9">
        <w:rPr>
          <w:rFonts w:hint="eastAsia"/>
          <w:bCs/>
          <w:snapToGrid w:val="0"/>
          <w:sz w:val="24"/>
          <w:lang w:bidi="ar"/>
        </w:rPr>
        <w:t>年和</w:t>
      </w:r>
      <w:r w:rsidRPr="002B55E9">
        <w:rPr>
          <w:bCs/>
          <w:snapToGrid w:val="0"/>
          <w:sz w:val="24"/>
          <w:lang w:bidi="ar"/>
        </w:rPr>
        <w:t>20</w:t>
      </w:r>
      <w:r w:rsidRPr="002B55E9">
        <w:rPr>
          <w:rFonts w:hint="eastAsia"/>
          <w:bCs/>
          <w:snapToGrid w:val="0"/>
          <w:sz w:val="24"/>
          <w:lang w:bidi="ar"/>
        </w:rPr>
        <w:t>年后，在叠加现状影响的前提下，硝酸盐的超标扩散距离和最大运移距离计算结果见下表。</w:t>
      </w:r>
    </w:p>
    <w:p w14:paraId="1C7C55C1"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lang w:bidi="ar"/>
        </w:rPr>
        <w:t>表</w:t>
      </w:r>
      <w:r w:rsidRPr="002B55E9">
        <w:rPr>
          <w:rFonts w:eastAsia="黑体"/>
          <w:b/>
          <w:sz w:val="24"/>
          <w:szCs w:val="28"/>
          <w:lang w:bidi="ar"/>
        </w:rPr>
        <w:t xml:space="preserve">6-5-9  </w:t>
      </w:r>
      <w:r w:rsidRPr="002B55E9">
        <w:rPr>
          <w:rFonts w:eastAsia="黑体" w:hint="eastAsia"/>
          <w:b/>
          <w:sz w:val="24"/>
          <w:szCs w:val="28"/>
          <w:lang w:bidi="ar"/>
        </w:rPr>
        <w:t>污染物在非正常工况下运移的超标扩散距离预测结果表</w:t>
      </w:r>
    </w:p>
    <w:tbl>
      <w:tblPr>
        <w:tblW w:w="9854"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2"/>
        <w:gridCol w:w="1072"/>
        <w:gridCol w:w="1072"/>
        <w:gridCol w:w="1072"/>
        <w:gridCol w:w="1072"/>
        <w:gridCol w:w="1072"/>
        <w:gridCol w:w="1253"/>
        <w:gridCol w:w="1072"/>
        <w:gridCol w:w="1097"/>
      </w:tblGrid>
      <w:tr w:rsidR="00C60999" w:rsidRPr="002B55E9" w14:paraId="038F420A" w14:textId="77777777">
        <w:trPr>
          <w:trHeight w:val="284"/>
        </w:trPr>
        <w:tc>
          <w:tcPr>
            <w:tcW w:w="1072" w:type="dxa"/>
            <w:vMerge w:val="restart"/>
            <w:shd w:val="clear" w:color="auto" w:fill="auto"/>
            <w:vAlign w:val="center"/>
          </w:tcPr>
          <w:p w14:paraId="68F27C64" w14:textId="77777777" w:rsidR="00D170E5" w:rsidRPr="002B55E9" w:rsidRDefault="00EF27AD">
            <w:pPr>
              <w:pStyle w:val="affffffffffffffffff6"/>
              <w:ind w:left="-40" w:right="-40"/>
            </w:pPr>
            <w:r w:rsidRPr="002B55E9">
              <w:rPr>
                <w:rFonts w:hint="eastAsia"/>
                <w:lang w:bidi="ar"/>
              </w:rPr>
              <w:t>污染物种类</w:t>
            </w:r>
          </w:p>
        </w:tc>
        <w:tc>
          <w:tcPr>
            <w:tcW w:w="1072" w:type="dxa"/>
            <w:vMerge w:val="restart"/>
            <w:shd w:val="clear" w:color="auto" w:fill="auto"/>
            <w:vAlign w:val="center"/>
          </w:tcPr>
          <w:p w14:paraId="399AF9C5" w14:textId="77777777" w:rsidR="00D170E5" w:rsidRPr="002B55E9" w:rsidRDefault="00EF27AD">
            <w:pPr>
              <w:pStyle w:val="affffffffffffffffff6"/>
              <w:ind w:left="-40" w:right="-40"/>
            </w:pPr>
            <w:r w:rsidRPr="002B55E9">
              <w:rPr>
                <w:rFonts w:hint="eastAsia"/>
                <w:lang w:bidi="ar"/>
              </w:rPr>
              <w:t>地下水</w:t>
            </w:r>
            <w:r w:rsidRPr="002B55E9">
              <w:rPr>
                <w:rFonts w:ascii="宋体" w:hAnsi="宋体" w:cs="宋体" w:hint="eastAsia"/>
                <w:lang w:bidi="ar"/>
              </w:rPr>
              <w:t>Ⅳ</w:t>
            </w:r>
            <w:r w:rsidRPr="002B55E9">
              <w:rPr>
                <w:rFonts w:hint="eastAsia"/>
                <w:lang w:bidi="ar"/>
              </w:rPr>
              <w:t>类标准值</w:t>
            </w:r>
            <w:r w:rsidRPr="002B55E9">
              <w:rPr>
                <w:lang w:bidi="ar"/>
              </w:rPr>
              <w:t>mg/L</w:t>
            </w:r>
          </w:p>
        </w:tc>
        <w:tc>
          <w:tcPr>
            <w:tcW w:w="1072" w:type="dxa"/>
            <w:vMerge w:val="restart"/>
            <w:shd w:val="clear" w:color="auto" w:fill="auto"/>
            <w:vAlign w:val="center"/>
          </w:tcPr>
          <w:p w14:paraId="096CD48F" w14:textId="77777777" w:rsidR="00D170E5" w:rsidRPr="002B55E9" w:rsidRDefault="00EF27AD">
            <w:pPr>
              <w:pStyle w:val="affffffffffffffffff6"/>
              <w:ind w:left="-40" w:right="-40"/>
            </w:pPr>
            <w:r w:rsidRPr="002B55E9">
              <w:rPr>
                <w:rFonts w:hint="eastAsia"/>
                <w:lang w:bidi="ar"/>
              </w:rPr>
              <w:t>检出限，</w:t>
            </w:r>
            <w:r w:rsidRPr="002B55E9">
              <w:rPr>
                <w:lang w:bidi="ar"/>
              </w:rPr>
              <w:t>mg/L</w:t>
            </w:r>
          </w:p>
        </w:tc>
        <w:tc>
          <w:tcPr>
            <w:tcW w:w="1072" w:type="dxa"/>
            <w:vMerge w:val="restart"/>
            <w:shd w:val="clear" w:color="auto" w:fill="auto"/>
            <w:vAlign w:val="center"/>
          </w:tcPr>
          <w:p w14:paraId="2F232B32" w14:textId="77777777" w:rsidR="00D170E5" w:rsidRPr="002B55E9" w:rsidRDefault="00EF27AD">
            <w:pPr>
              <w:pStyle w:val="affffffffffffffffff6"/>
              <w:ind w:left="-40" w:right="-40"/>
            </w:pPr>
            <w:r w:rsidRPr="002B55E9">
              <w:rPr>
                <w:rFonts w:hint="eastAsia"/>
                <w:lang w:bidi="ar"/>
              </w:rPr>
              <w:t>计算值</w:t>
            </w:r>
          </w:p>
        </w:tc>
        <w:tc>
          <w:tcPr>
            <w:tcW w:w="5566" w:type="dxa"/>
            <w:gridSpan w:val="5"/>
            <w:shd w:val="clear" w:color="auto" w:fill="auto"/>
            <w:vAlign w:val="center"/>
          </w:tcPr>
          <w:p w14:paraId="733CEE4F" w14:textId="77777777" w:rsidR="00D170E5" w:rsidRPr="002B55E9" w:rsidRDefault="00EF27AD">
            <w:pPr>
              <w:pStyle w:val="affffffffffffffffff6"/>
              <w:ind w:left="-40" w:right="-40"/>
            </w:pPr>
            <w:r w:rsidRPr="002B55E9">
              <w:rPr>
                <w:rFonts w:hint="eastAsia"/>
                <w:lang w:bidi="ar"/>
              </w:rPr>
              <w:t>污染物运移的超标扩散距离</w:t>
            </w:r>
            <w:r w:rsidRPr="002B55E9">
              <w:rPr>
                <w:lang w:bidi="ar"/>
              </w:rPr>
              <w:t>(m)</w:t>
            </w:r>
          </w:p>
        </w:tc>
      </w:tr>
      <w:tr w:rsidR="00C60999" w:rsidRPr="002B55E9" w14:paraId="363349A5" w14:textId="77777777">
        <w:trPr>
          <w:trHeight w:val="284"/>
        </w:trPr>
        <w:tc>
          <w:tcPr>
            <w:tcW w:w="1072" w:type="dxa"/>
            <w:vMerge/>
            <w:shd w:val="clear" w:color="auto" w:fill="auto"/>
            <w:vAlign w:val="center"/>
          </w:tcPr>
          <w:p w14:paraId="29E53E7E" w14:textId="77777777" w:rsidR="00D170E5" w:rsidRPr="002B55E9" w:rsidRDefault="00D170E5">
            <w:pPr>
              <w:pStyle w:val="affffffffffffffffff6"/>
              <w:ind w:left="-40" w:right="-40"/>
              <w:rPr>
                <w:sz w:val="20"/>
                <w:szCs w:val="20"/>
              </w:rPr>
            </w:pPr>
          </w:p>
        </w:tc>
        <w:tc>
          <w:tcPr>
            <w:tcW w:w="1072" w:type="dxa"/>
            <w:vMerge/>
            <w:shd w:val="clear" w:color="auto" w:fill="auto"/>
            <w:vAlign w:val="center"/>
          </w:tcPr>
          <w:p w14:paraId="5A9B3ED7" w14:textId="77777777" w:rsidR="00D170E5" w:rsidRPr="002B55E9" w:rsidRDefault="00D170E5">
            <w:pPr>
              <w:pStyle w:val="affffffffffffffffff6"/>
              <w:ind w:left="-40" w:right="-40"/>
              <w:rPr>
                <w:sz w:val="20"/>
                <w:szCs w:val="20"/>
              </w:rPr>
            </w:pPr>
          </w:p>
        </w:tc>
        <w:tc>
          <w:tcPr>
            <w:tcW w:w="1072" w:type="dxa"/>
            <w:vMerge/>
            <w:shd w:val="clear" w:color="auto" w:fill="auto"/>
            <w:vAlign w:val="center"/>
          </w:tcPr>
          <w:p w14:paraId="10C69A7F" w14:textId="77777777" w:rsidR="00D170E5" w:rsidRPr="002B55E9" w:rsidRDefault="00D170E5">
            <w:pPr>
              <w:pStyle w:val="affffffffffffffffff6"/>
              <w:ind w:left="-40" w:right="-40"/>
              <w:rPr>
                <w:sz w:val="20"/>
                <w:szCs w:val="20"/>
              </w:rPr>
            </w:pPr>
          </w:p>
        </w:tc>
        <w:tc>
          <w:tcPr>
            <w:tcW w:w="1072" w:type="dxa"/>
            <w:vMerge/>
            <w:shd w:val="clear" w:color="auto" w:fill="auto"/>
            <w:vAlign w:val="center"/>
          </w:tcPr>
          <w:p w14:paraId="2E21AC31" w14:textId="77777777" w:rsidR="00D170E5" w:rsidRPr="002B55E9" w:rsidRDefault="00D170E5">
            <w:pPr>
              <w:pStyle w:val="affffffffffffffffff6"/>
              <w:ind w:left="-40" w:right="-40"/>
              <w:rPr>
                <w:sz w:val="20"/>
                <w:szCs w:val="20"/>
              </w:rPr>
            </w:pPr>
          </w:p>
        </w:tc>
        <w:tc>
          <w:tcPr>
            <w:tcW w:w="1072" w:type="dxa"/>
            <w:shd w:val="clear" w:color="auto" w:fill="auto"/>
            <w:vAlign w:val="center"/>
          </w:tcPr>
          <w:p w14:paraId="5CD7942A" w14:textId="77777777" w:rsidR="00D170E5" w:rsidRPr="002B55E9" w:rsidRDefault="00EF27AD">
            <w:pPr>
              <w:pStyle w:val="affffffffffffffffff6"/>
              <w:ind w:left="-40" w:right="-40"/>
            </w:pPr>
            <w:r w:rsidRPr="002B55E9">
              <w:rPr>
                <w:lang w:bidi="ar"/>
              </w:rPr>
              <w:t>100</w:t>
            </w:r>
            <w:r w:rsidRPr="002B55E9">
              <w:rPr>
                <w:rFonts w:hint="eastAsia"/>
                <w:lang w:bidi="ar"/>
              </w:rPr>
              <w:t>天</w:t>
            </w:r>
          </w:p>
        </w:tc>
        <w:tc>
          <w:tcPr>
            <w:tcW w:w="1072" w:type="dxa"/>
            <w:shd w:val="clear" w:color="auto" w:fill="auto"/>
            <w:vAlign w:val="center"/>
          </w:tcPr>
          <w:p w14:paraId="555BEA38" w14:textId="77777777" w:rsidR="00D170E5" w:rsidRPr="002B55E9" w:rsidRDefault="00EF27AD">
            <w:pPr>
              <w:pStyle w:val="affffffffffffffffff6"/>
              <w:ind w:left="-40" w:right="-40"/>
            </w:pPr>
            <w:r w:rsidRPr="002B55E9">
              <w:rPr>
                <w:lang w:bidi="ar"/>
              </w:rPr>
              <w:t>1000</w:t>
            </w:r>
            <w:r w:rsidRPr="002B55E9">
              <w:rPr>
                <w:rFonts w:hint="eastAsia"/>
                <w:lang w:bidi="ar"/>
              </w:rPr>
              <w:t>天</w:t>
            </w:r>
          </w:p>
        </w:tc>
        <w:tc>
          <w:tcPr>
            <w:tcW w:w="1253" w:type="dxa"/>
            <w:shd w:val="clear" w:color="auto" w:fill="auto"/>
            <w:vAlign w:val="center"/>
          </w:tcPr>
          <w:p w14:paraId="423553D0" w14:textId="77777777" w:rsidR="00D170E5" w:rsidRPr="002B55E9" w:rsidRDefault="00EF27AD">
            <w:pPr>
              <w:pStyle w:val="affffffffffffffffff6"/>
              <w:ind w:left="-40" w:right="-40"/>
            </w:pPr>
            <w:r w:rsidRPr="002B55E9">
              <w:rPr>
                <w:lang w:bidi="ar"/>
              </w:rPr>
              <w:t>5</w:t>
            </w:r>
            <w:r w:rsidRPr="002B55E9">
              <w:rPr>
                <w:rFonts w:hint="eastAsia"/>
                <w:lang w:bidi="ar"/>
              </w:rPr>
              <w:t>年</w:t>
            </w:r>
          </w:p>
        </w:tc>
        <w:tc>
          <w:tcPr>
            <w:tcW w:w="1072" w:type="dxa"/>
            <w:shd w:val="clear" w:color="auto" w:fill="auto"/>
            <w:vAlign w:val="center"/>
          </w:tcPr>
          <w:p w14:paraId="12DD3ADE" w14:textId="77777777" w:rsidR="00D170E5" w:rsidRPr="002B55E9" w:rsidRDefault="00EF27AD">
            <w:pPr>
              <w:pStyle w:val="affffffffffffffffff6"/>
              <w:ind w:left="-40" w:right="-40"/>
            </w:pPr>
            <w:r w:rsidRPr="002B55E9">
              <w:rPr>
                <w:lang w:bidi="ar"/>
              </w:rPr>
              <w:t>10</w:t>
            </w:r>
            <w:r w:rsidRPr="002B55E9">
              <w:rPr>
                <w:rFonts w:hint="eastAsia"/>
                <w:lang w:bidi="ar"/>
              </w:rPr>
              <w:t>年</w:t>
            </w:r>
          </w:p>
        </w:tc>
        <w:tc>
          <w:tcPr>
            <w:tcW w:w="1097" w:type="dxa"/>
            <w:shd w:val="clear" w:color="auto" w:fill="auto"/>
            <w:vAlign w:val="center"/>
          </w:tcPr>
          <w:p w14:paraId="4C280421" w14:textId="77777777" w:rsidR="00D170E5" w:rsidRPr="002B55E9" w:rsidRDefault="00EF27AD">
            <w:pPr>
              <w:pStyle w:val="affffffffffffffffff6"/>
              <w:ind w:left="-40" w:right="-40"/>
            </w:pPr>
            <w:r w:rsidRPr="002B55E9">
              <w:rPr>
                <w:lang w:bidi="ar"/>
              </w:rPr>
              <w:t>20</w:t>
            </w:r>
            <w:r w:rsidRPr="002B55E9">
              <w:rPr>
                <w:rFonts w:hint="eastAsia"/>
                <w:lang w:bidi="ar"/>
              </w:rPr>
              <w:t>年</w:t>
            </w:r>
          </w:p>
        </w:tc>
      </w:tr>
      <w:tr w:rsidR="00C60999" w:rsidRPr="002B55E9" w14:paraId="3CC650F4" w14:textId="77777777">
        <w:trPr>
          <w:trHeight w:val="284"/>
        </w:trPr>
        <w:tc>
          <w:tcPr>
            <w:tcW w:w="1072" w:type="dxa"/>
            <w:vMerge w:val="restart"/>
            <w:shd w:val="clear" w:color="auto" w:fill="auto"/>
            <w:vAlign w:val="center"/>
          </w:tcPr>
          <w:p w14:paraId="689D08BE" w14:textId="77777777" w:rsidR="00D170E5" w:rsidRPr="002B55E9" w:rsidRDefault="00EF27AD">
            <w:pPr>
              <w:pStyle w:val="affffffffffffffffff6"/>
              <w:ind w:left="-40" w:right="-40"/>
              <w:rPr>
                <w:lang w:bidi="ar"/>
              </w:rPr>
            </w:pPr>
            <w:r w:rsidRPr="002B55E9">
              <w:rPr>
                <w:rFonts w:hint="eastAsia"/>
                <w:lang w:bidi="ar"/>
              </w:rPr>
              <w:t>硝酸盐</w:t>
            </w:r>
          </w:p>
        </w:tc>
        <w:tc>
          <w:tcPr>
            <w:tcW w:w="1072" w:type="dxa"/>
            <w:vMerge w:val="restart"/>
            <w:shd w:val="clear" w:color="auto" w:fill="auto"/>
            <w:vAlign w:val="center"/>
          </w:tcPr>
          <w:p w14:paraId="6B655E00" w14:textId="77777777" w:rsidR="00D170E5" w:rsidRPr="002B55E9" w:rsidRDefault="00EF27AD">
            <w:pPr>
              <w:pStyle w:val="affffffffffffffffff6"/>
              <w:ind w:left="-40" w:right="-40"/>
              <w:rPr>
                <w:lang w:bidi="ar"/>
              </w:rPr>
            </w:pPr>
            <w:r w:rsidRPr="002B55E9">
              <w:rPr>
                <w:lang w:bidi="ar"/>
              </w:rPr>
              <w:t>≤30</w:t>
            </w:r>
          </w:p>
        </w:tc>
        <w:tc>
          <w:tcPr>
            <w:tcW w:w="1072" w:type="dxa"/>
            <w:vMerge w:val="restart"/>
            <w:shd w:val="clear" w:color="auto" w:fill="auto"/>
            <w:vAlign w:val="center"/>
          </w:tcPr>
          <w:p w14:paraId="2AD4254E" w14:textId="77777777" w:rsidR="00D170E5" w:rsidRPr="002B55E9" w:rsidRDefault="00EF27AD">
            <w:pPr>
              <w:pStyle w:val="affffffffffffffffff6"/>
              <w:ind w:left="-40" w:right="-40"/>
            </w:pPr>
            <w:r w:rsidRPr="002B55E9">
              <w:rPr>
                <w:lang w:bidi="ar"/>
              </w:rPr>
              <w:t>0.016</w:t>
            </w:r>
          </w:p>
        </w:tc>
        <w:tc>
          <w:tcPr>
            <w:tcW w:w="1072" w:type="dxa"/>
            <w:shd w:val="clear" w:color="auto" w:fill="auto"/>
            <w:vAlign w:val="center"/>
          </w:tcPr>
          <w:p w14:paraId="27A7EC31" w14:textId="77777777" w:rsidR="00D170E5" w:rsidRPr="002B55E9" w:rsidRDefault="00EF27AD">
            <w:pPr>
              <w:pStyle w:val="affffffffffffffffff6"/>
              <w:ind w:left="-40" w:right="-40"/>
            </w:pPr>
            <w:r w:rsidRPr="002B55E9">
              <w:rPr>
                <w:rFonts w:hint="eastAsia"/>
                <w:lang w:bidi="ar"/>
              </w:rPr>
              <w:t>超标距离</w:t>
            </w:r>
          </w:p>
        </w:tc>
        <w:tc>
          <w:tcPr>
            <w:tcW w:w="1072" w:type="dxa"/>
            <w:shd w:val="clear" w:color="auto" w:fill="auto"/>
            <w:noWrap/>
            <w:vAlign w:val="center"/>
          </w:tcPr>
          <w:p w14:paraId="701CD8E2" w14:textId="77777777" w:rsidR="00D170E5" w:rsidRPr="002B55E9" w:rsidRDefault="00EF27AD">
            <w:pPr>
              <w:pStyle w:val="affffffffffffffffff6"/>
              <w:ind w:left="-40" w:right="-40"/>
            </w:pPr>
            <w:r w:rsidRPr="002B55E9">
              <w:rPr>
                <w:rFonts w:hint="eastAsia"/>
              </w:rPr>
              <w:t>12</w:t>
            </w:r>
          </w:p>
        </w:tc>
        <w:tc>
          <w:tcPr>
            <w:tcW w:w="1072" w:type="dxa"/>
            <w:shd w:val="clear" w:color="auto" w:fill="auto"/>
            <w:noWrap/>
            <w:vAlign w:val="center"/>
          </w:tcPr>
          <w:p w14:paraId="1DB94213" w14:textId="77777777" w:rsidR="00D170E5" w:rsidRPr="002B55E9" w:rsidRDefault="00EF27AD">
            <w:pPr>
              <w:pStyle w:val="affffffffffffffffff6"/>
              <w:ind w:left="-40" w:right="-40"/>
            </w:pPr>
            <w:r w:rsidRPr="002B55E9">
              <w:rPr>
                <w:rFonts w:hint="eastAsia"/>
              </w:rPr>
              <w:t>37</w:t>
            </w:r>
          </w:p>
        </w:tc>
        <w:tc>
          <w:tcPr>
            <w:tcW w:w="1253" w:type="dxa"/>
            <w:shd w:val="clear" w:color="auto" w:fill="auto"/>
            <w:noWrap/>
            <w:vAlign w:val="center"/>
          </w:tcPr>
          <w:p w14:paraId="6728A300" w14:textId="77777777" w:rsidR="00D170E5" w:rsidRPr="002B55E9" w:rsidRDefault="00EF27AD">
            <w:pPr>
              <w:pStyle w:val="affffffffffffffffff6"/>
              <w:ind w:left="-40" w:right="-40"/>
            </w:pPr>
            <w:r w:rsidRPr="002B55E9">
              <w:rPr>
                <w:rFonts w:hint="eastAsia"/>
              </w:rPr>
              <w:t>50</w:t>
            </w:r>
          </w:p>
        </w:tc>
        <w:tc>
          <w:tcPr>
            <w:tcW w:w="1072" w:type="dxa"/>
            <w:shd w:val="clear" w:color="auto" w:fill="auto"/>
            <w:noWrap/>
            <w:vAlign w:val="center"/>
          </w:tcPr>
          <w:p w14:paraId="1D021783" w14:textId="77777777" w:rsidR="00D170E5" w:rsidRPr="002B55E9" w:rsidRDefault="00EF27AD">
            <w:pPr>
              <w:pStyle w:val="affffffffffffffffff6"/>
              <w:ind w:left="-40" w:right="-40"/>
            </w:pPr>
            <w:r w:rsidRPr="002B55E9">
              <w:rPr>
                <w:rFonts w:hint="eastAsia"/>
              </w:rPr>
              <w:t>72</w:t>
            </w:r>
          </w:p>
        </w:tc>
        <w:tc>
          <w:tcPr>
            <w:tcW w:w="1097" w:type="dxa"/>
            <w:shd w:val="clear" w:color="auto" w:fill="auto"/>
            <w:noWrap/>
            <w:vAlign w:val="center"/>
          </w:tcPr>
          <w:p w14:paraId="744CAE44" w14:textId="77777777" w:rsidR="00D170E5" w:rsidRPr="002B55E9" w:rsidRDefault="00EF27AD">
            <w:pPr>
              <w:pStyle w:val="affffffffffffffffff6"/>
              <w:ind w:left="-40" w:right="-40"/>
            </w:pPr>
            <w:r w:rsidRPr="002B55E9">
              <w:rPr>
                <w:rFonts w:hint="eastAsia"/>
              </w:rPr>
              <w:t>105</w:t>
            </w:r>
          </w:p>
        </w:tc>
      </w:tr>
      <w:tr w:rsidR="00C60999" w:rsidRPr="002B55E9" w14:paraId="79647224" w14:textId="77777777">
        <w:trPr>
          <w:trHeight w:val="284"/>
        </w:trPr>
        <w:tc>
          <w:tcPr>
            <w:tcW w:w="1072" w:type="dxa"/>
            <w:vMerge/>
            <w:shd w:val="clear" w:color="auto" w:fill="auto"/>
            <w:vAlign w:val="center"/>
          </w:tcPr>
          <w:p w14:paraId="1F1C69FF" w14:textId="77777777" w:rsidR="00D170E5" w:rsidRPr="002B55E9" w:rsidRDefault="00D170E5">
            <w:pPr>
              <w:pStyle w:val="affffffffffffffffff6"/>
              <w:ind w:left="-40" w:right="-40"/>
              <w:rPr>
                <w:lang w:bidi="ar"/>
              </w:rPr>
            </w:pPr>
          </w:p>
        </w:tc>
        <w:tc>
          <w:tcPr>
            <w:tcW w:w="1072" w:type="dxa"/>
            <w:vMerge/>
            <w:shd w:val="clear" w:color="auto" w:fill="auto"/>
            <w:vAlign w:val="center"/>
          </w:tcPr>
          <w:p w14:paraId="201B2ECF" w14:textId="77777777" w:rsidR="00D170E5" w:rsidRPr="002B55E9" w:rsidRDefault="00D170E5">
            <w:pPr>
              <w:pStyle w:val="affffffffffffffffff6"/>
              <w:ind w:left="-40" w:right="-40"/>
              <w:rPr>
                <w:lang w:bidi="ar"/>
              </w:rPr>
            </w:pPr>
          </w:p>
        </w:tc>
        <w:tc>
          <w:tcPr>
            <w:tcW w:w="1072" w:type="dxa"/>
            <w:vMerge/>
            <w:shd w:val="clear" w:color="auto" w:fill="auto"/>
            <w:vAlign w:val="center"/>
          </w:tcPr>
          <w:p w14:paraId="4DDF8680" w14:textId="77777777" w:rsidR="00D170E5" w:rsidRPr="002B55E9" w:rsidRDefault="00D170E5">
            <w:pPr>
              <w:pStyle w:val="affffffffffffffffff6"/>
              <w:ind w:left="-40" w:right="-40"/>
              <w:rPr>
                <w:sz w:val="20"/>
                <w:szCs w:val="20"/>
              </w:rPr>
            </w:pPr>
          </w:p>
        </w:tc>
        <w:tc>
          <w:tcPr>
            <w:tcW w:w="1072" w:type="dxa"/>
            <w:shd w:val="clear" w:color="auto" w:fill="auto"/>
            <w:vAlign w:val="center"/>
          </w:tcPr>
          <w:p w14:paraId="1337CB66" w14:textId="77777777" w:rsidR="00D170E5" w:rsidRPr="002B55E9" w:rsidRDefault="00EF27AD">
            <w:pPr>
              <w:pStyle w:val="affffffffffffffffff6"/>
              <w:ind w:left="-40" w:right="-40"/>
            </w:pPr>
            <w:r w:rsidRPr="002B55E9">
              <w:rPr>
                <w:rFonts w:hint="eastAsia"/>
                <w:lang w:bidi="ar"/>
              </w:rPr>
              <w:t>影响距离</w:t>
            </w:r>
          </w:p>
        </w:tc>
        <w:tc>
          <w:tcPr>
            <w:tcW w:w="1072" w:type="dxa"/>
            <w:shd w:val="clear" w:color="auto" w:fill="auto"/>
            <w:noWrap/>
            <w:vAlign w:val="center"/>
          </w:tcPr>
          <w:p w14:paraId="5E82B4EF" w14:textId="77777777" w:rsidR="00D170E5" w:rsidRPr="002B55E9" w:rsidRDefault="00EF27AD">
            <w:pPr>
              <w:pStyle w:val="affffffffffffffffff6"/>
              <w:ind w:left="-40" w:right="-40"/>
            </w:pPr>
            <w:r w:rsidRPr="002B55E9">
              <w:rPr>
                <w:rFonts w:hint="eastAsia"/>
              </w:rPr>
              <w:t>18</w:t>
            </w:r>
          </w:p>
        </w:tc>
        <w:tc>
          <w:tcPr>
            <w:tcW w:w="1072" w:type="dxa"/>
            <w:shd w:val="clear" w:color="auto" w:fill="auto"/>
            <w:noWrap/>
            <w:vAlign w:val="center"/>
          </w:tcPr>
          <w:p w14:paraId="57642D75" w14:textId="77777777" w:rsidR="00D170E5" w:rsidRPr="002B55E9" w:rsidRDefault="00EF27AD">
            <w:pPr>
              <w:pStyle w:val="affffffffffffffffff6"/>
              <w:ind w:left="-40" w:right="-40"/>
            </w:pPr>
            <w:r w:rsidRPr="002B55E9">
              <w:rPr>
                <w:rFonts w:hint="eastAsia"/>
              </w:rPr>
              <w:t>57</w:t>
            </w:r>
          </w:p>
        </w:tc>
        <w:tc>
          <w:tcPr>
            <w:tcW w:w="1253" w:type="dxa"/>
            <w:shd w:val="clear" w:color="auto" w:fill="auto"/>
            <w:noWrap/>
            <w:vAlign w:val="center"/>
          </w:tcPr>
          <w:p w14:paraId="3930CC47" w14:textId="77777777" w:rsidR="00D170E5" w:rsidRPr="002B55E9" w:rsidRDefault="00EF27AD">
            <w:pPr>
              <w:pStyle w:val="affffffffffffffffff6"/>
              <w:ind w:left="-40" w:right="-40"/>
            </w:pPr>
            <w:r w:rsidRPr="002B55E9">
              <w:rPr>
                <w:rFonts w:hint="eastAsia"/>
              </w:rPr>
              <w:t>78</w:t>
            </w:r>
          </w:p>
        </w:tc>
        <w:tc>
          <w:tcPr>
            <w:tcW w:w="1072" w:type="dxa"/>
            <w:shd w:val="clear" w:color="auto" w:fill="auto"/>
            <w:noWrap/>
            <w:vAlign w:val="center"/>
          </w:tcPr>
          <w:p w14:paraId="2019936A" w14:textId="77777777" w:rsidR="00D170E5" w:rsidRPr="002B55E9" w:rsidRDefault="00EF27AD">
            <w:pPr>
              <w:pStyle w:val="affffffffffffffffff6"/>
              <w:ind w:left="-40" w:right="-40"/>
            </w:pPr>
            <w:r w:rsidRPr="002B55E9">
              <w:rPr>
                <w:rFonts w:hint="eastAsia"/>
              </w:rPr>
              <w:t>113</w:t>
            </w:r>
          </w:p>
        </w:tc>
        <w:tc>
          <w:tcPr>
            <w:tcW w:w="1097" w:type="dxa"/>
            <w:shd w:val="clear" w:color="auto" w:fill="auto"/>
            <w:noWrap/>
            <w:vAlign w:val="center"/>
          </w:tcPr>
          <w:p w14:paraId="10391843" w14:textId="77777777" w:rsidR="00D170E5" w:rsidRPr="002B55E9" w:rsidRDefault="00EF27AD">
            <w:pPr>
              <w:pStyle w:val="affffffffffffffffff6"/>
              <w:ind w:left="-40" w:right="-40"/>
            </w:pPr>
            <w:r w:rsidRPr="002B55E9">
              <w:rPr>
                <w:rFonts w:hint="eastAsia"/>
              </w:rPr>
              <w:t>164</w:t>
            </w:r>
          </w:p>
        </w:tc>
      </w:tr>
    </w:tbl>
    <w:p w14:paraId="1D7BCAF0" w14:textId="77777777" w:rsidR="00D170E5" w:rsidRPr="002B55E9" w:rsidRDefault="00EF27AD">
      <w:pPr>
        <w:pStyle w:val="affff7"/>
        <w:snapToGrid w:val="0"/>
        <w:spacing w:after="0"/>
        <w:ind w:firstLineChars="0" w:firstLine="0"/>
        <w:jc w:val="center"/>
        <w:rPr>
          <w:szCs w:val="24"/>
        </w:rPr>
      </w:pPr>
      <w:r w:rsidRPr="002B55E9">
        <w:rPr>
          <w:noProof/>
          <w:snapToGrid/>
        </w:rPr>
        <w:lastRenderedPageBreak/>
        <w:drawing>
          <wp:inline distT="0" distB="0" distL="0" distR="0" wp14:anchorId="40E1B4E1" wp14:editId="2DE4E2D9">
            <wp:extent cx="5252085" cy="2903220"/>
            <wp:effectExtent l="0" t="0" r="0" b="0"/>
            <wp:docPr id="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1251668" w14:textId="77777777" w:rsidR="00D170E5" w:rsidRPr="002B55E9" w:rsidRDefault="00EF27AD">
      <w:pPr>
        <w:spacing w:after="60" w:line="360" w:lineRule="auto"/>
        <w:jc w:val="center"/>
        <w:rPr>
          <w:bCs/>
          <w:snapToGrid w:val="0"/>
          <w:sz w:val="24"/>
          <w:lang w:bidi="ar"/>
        </w:rPr>
      </w:pPr>
      <w:r w:rsidRPr="002B55E9">
        <w:rPr>
          <w:rFonts w:eastAsia="黑体" w:hint="eastAsia"/>
          <w:b/>
          <w:sz w:val="24"/>
        </w:rPr>
        <w:t>图</w:t>
      </w:r>
      <w:r w:rsidRPr="002B55E9">
        <w:rPr>
          <w:rFonts w:eastAsia="黑体" w:hint="eastAsia"/>
          <w:b/>
          <w:sz w:val="24"/>
        </w:rPr>
        <w:t>6-</w:t>
      </w:r>
      <w:r w:rsidRPr="002B55E9">
        <w:rPr>
          <w:rFonts w:eastAsia="黑体"/>
          <w:b/>
          <w:sz w:val="24"/>
        </w:rPr>
        <w:t>5</w:t>
      </w:r>
      <w:r w:rsidRPr="002B55E9">
        <w:rPr>
          <w:rFonts w:eastAsia="黑体" w:hint="eastAsia"/>
          <w:b/>
          <w:sz w:val="24"/>
        </w:rPr>
        <w:t>-</w:t>
      </w:r>
      <w:r w:rsidRPr="002B55E9">
        <w:rPr>
          <w:rFonts w:eastAsia="黑体"/>
          <w:b/>
          <w:sz w:val="24"/>
        </w:rPr>
        <w:t>4</w:t>
      </w:r>
      <w:r w:rsidRPr="002B55E9">
        <w:rPr>
          <w:rFonts w:eastAsia="黑体" w:hint="eastAsia"/>
          <w:b/>
          <w:sz w:val="24"/>
        </w:rPr>
        <w:t xml:space="preserve">  </w:t>
      </w:r>
      <w:r w:rsidRPr="002B55E9">
        <w:rPr>
          <w:rFonts w:eastAsia="黑体" w:hint="eastAsia"/>
          <w:b/>
          <w:sz w:val="24"/>
        </w:rPr>
        <w:t>污染物在非正常工况下运移的超标扩散距离预测结果</w:t>
      </w:r>
    </w:p>
    <w:p w14:paraId="76D9569D" w14:textId="77777777" w:rsidR="00D170E5" w:rsidRPr="002B55E9" w:rsidRDefault="00EF27AD">
      <w:pPr>
        <w:pStyle w:val="affff7"/>
        <w:snapToGrid w:val="0"/>
        <w:spacing w:after="0"/>
        <w:rPr>
          <w:szCs w:val="24"/>
        </w:rPr>
      </w:pPr>
      <w:r w:rsidRPr="002B55E9">
        <w:rPr>
          <w:rFonts w:hint="eastAsia"/>
          <w:lang w:bidi="ar"/>
        </w:rPr>
        <w:t>根据以上分析计算可知，在事故状态下，污染物的超标扩散距离随着时间越来越大。污染物在</w:t>
      </w:r>
      <w:r w:rsidRPr="002B55E9">
        <w:rPr>
          <w:lang w:bidi="ar"/>
        </w:rPr>
        <w:t>10</w:t>
      </w:r>
      <w:r w:rsidRPr="002B55E9">
        <w:rPr>
          <w:rFonts w:hint="eastAsia"/>
          <w:lang w:bidi="ar"/>
        </w:rPr>
        <w:t>年内的超标扩散超标距离为</w:t>
      </w:r>
      <w:r w:rsidRPr="002B55E9">
        <w:rPr>
          <w:lang w:bidi="ar"/>
        </w:rPr>
        <w:t>72m</w:t>
      </w:r>
      <w:r w:rsidRPr="002B55E9">
        <w:rPr>
          <w:rFonts w:hint="eastAsia"/>
          <w:lang w:bidi="ar"/>
        </w:rPr>
        <w:t>，如果未被发现或得到及时控制，污染物将形成持续污染源，</w:t>
      </w:r>
      <w:r w:rsidRPr="002B55E9">
        <w:rPr>
          <w:lang w:bidi="ar"/>
        </w:rPr>
        <w:t>20</w:t>
      </w:r>
      <w:r w:rsidRPr="002B55E9">
        <w:rPr>
          <w:rFonts w:hint="eastAsia"/>
          <w:lang w:bidi="ar"/>
        </w:rPr>
        <w:t>年后，各项因子的超标扩散距离均较大，影响距离最大值为</w:t>
      </w:r>
      <w:r w:rsidRPr="002B55E9">
        <w:rPr>
          <w:lang w:bidi="ar"/>
        </w:rPr>
        <w:t>105m</w:t>
      </w:r>
      <w:r w:rsidRPr="002B55E9">
        <w:rPr>
          <w:rFonts w:hint="eastAsia"/>
          <w:lang w:bidi="ar"/>
        </w:rPr>
        <w:t>，污染物将会对项目厂区附近的地下水水体造成不同程度的污染。</w:t>
      </w:r>
    </w:p>
    <w:p w14:paraId="0ADCC624" w14:textId="77777777" w:rsidR="00D170E5" w:rsidRPr="002B55E9" w:rsidRDefault="00EF27AD">
      <w:pPr>
        <w:pStyle w:val="4"/>
        <w:rPr>
          <w:color w:val="auto"/>
        </w:rPr>
      </w:pPr>
      <w:r w:rsidRPr="002B55E9">
        <w:rPr>
          <w:rFonts w:hint="eastAsia"/>
          <w:color w:val="auto"/>
        </w:rPr>
        <w:t>环境</w:t>
      </w:r>
      <w:r w:rsidRPr="002B55E9">
        <w:rPr>
          <w:color w:val="auto"/>
        </w:rPr>
        <w:t>风险评价</w:t>
      </w:r>
    </w:p>
    <w:p w14:paraId="52AA055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根据环境</w:t>
      </w:r>
      <w:r w:rsidRPr="002B55E9">
        <w:rPr>
          <w:bCs/>
          <w:snapToGrid w:val="0"/>
          <w:sz w:val="24"/>
        </w:rPr>
        <w:t>风险预测分析结果，</w:t>
      </w:r>
      <w:r w:rsidRPr="002B55E9">
        <w:rPr>
          <w:rFonts w:hint="eastAsia"/>
          <w:bCs/>
          <w:snapToGrid w:val="0"/>
          <w:sz w:val="24"/>
        </w:rPr>
        <w:t>罐区</w:t>
      </w:r>
      <w:r w:rsidRPr="002B55E9">
        <w:rPr>
          <w:bCs/>
          <w:snapToGrid w:val="0"/>
          <w:sz w:val="24"/>
        </w:rPr>
        <w:t>醋胚（</w:t>
      </w:r>
      <w:r w:rsidRPr="002B55E9">
        <w:rPr>
          <w:rFonts w:hint="eastAsia"/>
          <w:bCs/>
          <w:snapToGrid w:val="0"/>
          <w:sz w:val="24"/>
        </w:rPr>
        <w:t>乙酸</w:t>
      </w:r>
      <w:r w:rsidRPr="002B55E9">
        <w:rPr>
          <w:bCs/>
          <w:snapToGrid w:val="0"/>
          <w:sz w:val="24"/>
        </w:rPr>
        <w:t>）</w:t>
      </w:r>
      <w:r w:rsidRPr="002B55E9">
        <w:rPr>
          <w:rFonts w:hint="eastAsia"/>
          <w:bCs/>
          <w:snapToGrid w:val="0"/>
          <w:sz w:val="24"/>
        </w:rPr>
        <w:t>泄漏事故</w:t>
      </w:r>
      <w:r w:rsidRPr="002B55E9">
        <w:rPr>
          <w:bCs/>
          <w:snapToGrid w:val="0"/>
          <w:sz w:val="24"/>
        </w:rPr>
        <w:t>发生后，在最不利气象条件下扩散</w:t>
      </w:r>
      <w:r w:rsidRPr="002B55E9">
        <w:rPr>
          <w:rFonts w:hint="eastAsia"/>
          <w:bCs/>
          <w:snapToGrid w:val="0"/>
          <w:sz w:val="24"/>
        </w:rPr>
        <w:t>过程</w:t>
      </w:r>
      <w:r w:rsidRPr="002B55E9">
        <w:rPr>
          <w:bCs/>
          <w:snapToGrid w:val="0"/>
          <w:sz w:val="24"/>
        </w:rPr>
        <w:t>中未</w:t>
      </w:r>
      <w:r w:rsidRPr="002B55E9">
        <w:rPr>
          <w:rFonts w:hint="eastAsia"/>
          <w:bCs/>
          <w:snapToGrid w:val="0"/>
          <w:sz w:val="24"/>
        </w:rPr>
        <w:t>超过</w:t>
      </w:r>
      <w:r w:rsidRPr="002B55E9">
        <w:rPr>
          <w:bCs/>
          <w:snapToGrid w:val="0"/>
          <w:sz w:val="24"/>
        </w:rPr>
        <w:t>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1</w:t>
      </w:r>
      <w:r w:rsidRPr="002B55E9">
        <w:rPr>
          <w:rFonts w:hint="eastAsia"/>
          <w:bCs/>
          <w:snapToGrid w:val="0"/>
          <w:sz w:val="24"/>
        </w:rPr>
        <w:t>（</w:t>
      </w:r>
      <w:r w:rsidRPr="002B55E9">
        <w:rPr>
          <w:rFonts w:hint="eastAsia"/>
          <w:bCs/>
          <w:snapToGrid w:val="0"/>
          <w:sz w:val="24"/>
        </w:rPr>
        <w:t>610</w:t>
      </w:r>
      <w:r w:rsidRPr="002B55E9">
        <w:rPr>
          <w:bCs/>
          <w:snapToGrid w:val="0"/>
          <w:sz w:val="24"/>
        </w:rPr>
        <w:t>mg/m</w:t>
      </w:r>
      <w:r w:rsidRPr="002B55E9">
        <w:rPr>
          <w:bCs/>
          <w:snapToGrid w:val="0"/>
          <w:sz w:val="24"/>
          <w:vertAlign w:val="superscript"/>
        </w:rPr>
        <w:t>3</w:t>
      </w:r>
      <w:r w:rsidRPr="002B55E9">
        <w:rPr>
          <w:rFonts w:hint="eastAsia"/>
          <w:bCs/>
          <w:snapToGrid w:val="0"/>
          <w:sz w:val="24"/>
        </w:rPr>
        <w:t>）和</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86</w:t>
      </w:r>
      <w:r w:rsidRPr="002B55E9">
        <w:rPr>
          <w:bCs/>
          <w:snapToGrid w:val="0"/>
          <w:sz w:val="24"/>
        </w:rPr>
        <w:t>mg/m</w:t>
      </w:r>
      <w:r w:rsidRPr="002B55E9">
        <w:rPr>
          <w:bCs/>
          <w:snapToGrid w:val="0"/>
          <w:sz w:val="24"/>
          <w:vertAlign w:val="superscript"/>
        </w:rPr>
        <w:t>3</w:t>
      </w:r>
      <w:r w:rsidRPr="002B55E9">
        <w:rPr>
          <w:rFonts w:hint="eastAsia"/>
          <w:bCs/>
          <w:snapToGrid w:val="0"/>
          <w:sz w:val="24"/>
        </w:rPr>
        <w:t>）。</w:t>
      </w:r>
      <w:r w:rsidRPr="002B55E9">
        <w:rPr>
          <w:bCs/>
          <w:snapToGrid w:val="0"/>
          <w:sz w:val="24"/>
        </w:rPr>
        <w:t>过氧乙酸泄漏事故发生后，在最不利气象条件下</w:t>
      </w:r>
      <w:r w:rsidRPr="002B55E9">
        <w:rPr>
          <w:rFonts w:hint="eastAsia"/>
          <w:bCs/>
          <w:snapToGrid w:val="0"/>
          <w:sz w:val="24"/>
        </w:rPr>
        <w:t>扩散</w:t>
      </w:r>
      <w:r w:rsidRPr="002B55E9">
        <w:rPr>
          <w:bCs/>
          <w:snapToGrid w:val="0"/>
          <w:sz w:val="24"/>
        </w:rPr>
        <w:t>过程中，最大浓度</w:t>
      </w:r>
      <w:r w:rsidRPr="002B55E9">
        <w:rPr>
          <w:rFonts w:hint="eastAsia"/>
          <w:bCs/>
          <w:snapToGrid w:val="0"/>
          <w:sz w:val="24"/>
        </w:rPr>
        <w:t>超过</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1.6</w:t>
      </w:r>
      <w:r w:rsidRPr="002B55E9">
        <w:rPr>
          <w:bCs/>
          <w:snapToGrid w:val="0"/>
          <w:sz w:val="24"/>
        </w:rPr>
        <w:t>mg/m</w:t>
      </w:r>
      <w:r w:rsidRPr="002B55E9">
        <w:rPr>
          <w:bCs/>
          <w:snapToGrid w:val="0"/>
          <w:sz w:val="24"/>
          <w:vertAlign w:val="superscript"/>
        </w:rPr>
        <w:t>3</w:t>
      </w:r>
      <w:r w:rsidRPr="002B55E9">
        <w:rPr>
          <w:rFonts w:hint="eastAsia"/>
          <w:bCs/>
          <w:snapToGrid w:val="0"/>
          <w:sz w:val="24"/>
        </w:rPr>
        <w:t>），</w:t>
      </w:r>
      <w:r w:rsidRPr="002B55E9">
        <w:rPr>
          <w:bCs/>
          <w:snapToGrid w:val="0"/>
          <w:sz w:val="24"/>
        </w:rPr>
        <w:t>距离为</w:t>
      </w:r>
      <w:r w:rsidRPr="002B55E9">
        <w:rPr>
          <w:rFonts w:hint="eastAsia"/>
          <w:bCs/>
          <w:snapToGrid w:val="0"/>
          <w:sz w:val="24"/>
        </w:rPr>
        <w:t>50</w:t>
      </w:r>
      <w:r w:rsidRPr="002B55E9">
        <w:rPr>
          <w:bCs/>
          <w:snapToGrid w:val="0"/>
          <w:sz w:val="24"/>
        </w:rPr>
        <w:t>m</w:t>
      </w:r>
      <w:r w:rsidRPr="002B55E9">
        <w:rPr>
          <w:rFonts w:hint="eastAsia"/>
          <w:bCs/>
          <w:snapToGrid w:val="0"/>
          <w:sz w:val="24"/>
        </w:rPr>
        <w:t>，</w:t>
      </w:r>
      <w:r w:rsidRPr="002B55E9">
        <w:rPr>
          <w:bCs/>
          <w:snapToGrid w:val="0"/>
          <w:sz w:val="24"/>
        </w:rPr>
        <w:t>未达到大气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1</w:t>
      </w:r>
      <w:r w:rsidRPr="002B55E9">
        <w:rPr>
          <w:rFonts w:hint="eastAsia"/>
          <w:bCs/>
          <w:snapToGrid w:val="0"/>
          <w:sz w:val="24"/>
        </w:rPr>
        <w:t>（</w:t>
      </w:r>
      <w:r w:rsidRPr="002B55E9">
        <w:rPr>
          <w:bCs/>
          <w:snapToGrid w:val="0"/>
          <w:sz w:val="24"/>
        </w:rPr>
        <w:t>15mg/m</w:t>
      </w:r>
      <w:r w:rsidRPr="002B55E9">
        <w:rPr>
          <w:bCs/>
          <w:snapToGrid w:val="0"/>
          <w:sz w:val="24"/>
          <w:vertAlign w:val="superscript"/>
        </w:rPr>
        <w:t>3</w:t>
      </w:r>
      <w:r w:rsidRPr="002B55E9">
        <w:rPr>
          <w:rFonts w:hint="eastAsia"/>
          <w:bCs/>
          <w:snapToGrid w:val="0"/>
          <w:sz w:val="24"/>
        </w:rPr>
        <w:t>），大气</w:t>
      </w:r>
      <w:r w:rsidRPr="002B55E9">
        <w:rPr>
          <w:bCs/>
          <w:snapToGrid w:val="0"/>
          <w:sz w:val="24"/>
        </w:rPr>
        <w:t>毒性终点浓度</w:t>
      </w:r>
      <w:r w:rsidRPr="002B55E9">
        <w:rPr>
          <w:rFonts w:hint="eastAsia"/>
          <w:bCs/>
          <w:snapToGrid w:val="0"/>
          <w:sz w:val="24"/>
        </w:rPr>
        <w:t>2</w:t>
      </w:r>
      <w:r w:rsidRPr="002B55E9">
        <w:rPr>
          <w:rFonts w:hint="eastAsia"/>
          <w:bCs/>
          <w:snapToGrid w:val="0"/>
          <w:sz w:val="24"/>
        </w:rPr>
        <w:t>范围未</w:t>
      </w:r>
      <w:r w:rsidRPr="002B55E9">
        <w:rPr>
          <w:bCs/>
          <w:snapToGrid w:val="0"/>
          <w:sz w:val="24"/>
        </w:rPr>
        <w:t>超出</w:t>
      </w:r>
      <w:r w:rsidRPr="002B55E9">
        <w:rPr>
          <w:rFonts w:hint="eastAsia"/>
          <w:bCs/>
          <w:snapToGrid w:val="0"/>
          <w:sz w:val="24"/>
        </w:rPr>
        <w:t>厂界</w:t>
      </w:r>
      <w:r w:rsidRPr="002B55E9">
        <w:rPr>
          <w:bCs/>
          <w:snapToGrid w:val="0"/>
          <w:sz w:val="24"/>
        </w:rPr>
        <w:t>，</w:t>
      </w:r>
      <w:r w:rsidRPr="002B55E9">
        <w:rPr>
          <w:rFonts w:hint="eastAsia"/>
          <w:bCs/>
          <w:snapToGrid w:val="0"/>
          <w:sz w:val="24"/>
        </w:rPr>
        <w:t>范围</w:t>
      </w:r>
      <w:r w:rsidRPr="002B55E9">
        <w:rPr>
          <w:bCs/>
          <w:snapToGrid w:val="0"/>
          <w:sz w:val="24"/>
        </w:rPr>
        <w:t>内无居民</w:t>
      </w:r>
      <w:r w:rsidRPr="002B55E9">
        <w:rPr>
          <w:rFonts w:hint="eastAsia"/>
          <w:bCs/>
          <w:snapToGrid w:val="0"/>
          <w:sz w:val="24"/>
        </w:rPr>
        <w:t>等敏感点。过氧乙酸</w:t>
      </w:r>
      <w:r w:rsidRPr="002B55E9">
        <w:rPr>
          <w:bCs/>
          <w:snapToGrid w:val="0"/>
          <w:sz w:val="24"/>
        </w:rPr>
        <w:t>泄漏</w:t>
      </w:r>
      <w:r w:rsidRPr="002B55E9">
        <w:rPr>
          <w:rFonts w:hint="eastAsia"/>
          <w:bCs/>
          <w:snapToGrid w:val="0"/>
          <w:sz w:val="24"/>
        </w:rPr>
        <w:t>引发</w:t>
      </w:r>
      <w:r w:rsidRPr="002B55E9">
        <w:rPr>
          <w:bCs/>
          <w:snapToGrid w:val="0"/>
          <w:sz w:val="24"/>
        </w:rPr>
        <w:t>火灾爆炸</w:t>
      </w:r>
      <w:r w:rsidRPr="002B55E9">
        <w:rPr>
          <w:rFonts w:hint="eastAsia"/>
          <w:bCs/>
          <w:snapToGrid w:val="0"/>
          <w:sz w:val="24"/>
        </w:rPr>
        <w:t>事故</w:t>
      </w:r>
      <w:r w:rsidRPr="002B55E9">
        <w:rPr>
          <w:bCs/>
          <w:snapToGrid w:val="0"/>
          <w:sz w:val="24"/>
        </w:rPr>
        <w:t>伴生</w:t>
      </w:r>
      <w:r w:rsidRPr="002B55E9">
        <w:rPr>
          <w:rFonts w:hint="eastAsia"/>
          <w:bCs/>
          <w:snapToGrid w:val="0"/>
          <w:sz w:val="24"/>
        </w:rPr>
        <w:t>/</w:t>
      </w:r>
      <w:r w:rsidRPr="002B55E9">
        <w:rPr>
          <w:rFonts w:hint="eastAsia"/>
          <w:bCs/>
          <w:snapToGrid w:val="0"/>
          <w:sz w:val="24"/>
        </w:rPr>
        <w:t>次生</w:t>
      </w:r>
      <w:r w:rsidRPr="002B55E9">
        <w:rPr>
          <w:rFonts w:hint="eastAsia"/>
          <w:bCs/>
          <w:snapToGrid w:val="0"/>
          <w:sz w:val="24"/>
        </w:rPr>
        <w:t>CO</w:t>
      </w:r>
      <w:r w:rsidRPr="002B55E9">
        <w:rPr>
          <w:rFonts w:hint="eastAsia"/>
          <w:bCs/>
          <w:snapToGrid w:val="0"/>
          <w:sz w:val="24"/>
        </w:rPr>
        <w:t>扩散后</w:t>
      </w:r>
      <w:r w:rsidRPr="002B55E9">
        <w:rPr>
          <w:bCs/>
          <w:snapToGrid w:val="0"/>
          <w:sz w:val="24"/>
        </w:rPr>
        <w:t>，</w:t>
      </w:r>
      <w:r w:rsidRPr="002B55E9">
        <w:rPr>
          <w:rFonts w:hint="eastAsia"/>
          <w:bCs/>
          <w:snapToGrid w:val="0"/>
          <w:sz w:val="24"/>
        </w:rPr>
        <w:t>在</w:t>
      </w:r>
      <w:r w:rsidRPr="002B55E9">
        <w:rPr>
          <w:bCs/>
          <w:snapToGrid w:val="0"/>
          <w:sz w:val="24"/>
        </w:rPr>
        <w:t>最不利气象条件下（</w:t>
      </w:r>
      <w:r w:rsidRPr="002B55E9">
        <w:rPr>
          <w:rFonts w:hint="eastAsia"/>
          <w:bCs/>
          <w:snapToGrid w:val="0"/>
          <w:sz w:val="24"/>
        </w:rPr>
        <w:t>稳定度</w:t>
      </w:r>
      <w:r w:rsidRPr="002B55E9">
        <w:rPr>
          <w:rFonts w:hint="eastAsia"/>
          <w:bCs/>
          <w:snapToGrid w:val="0"/>
          <w:sz w:val="24"/>
        </w:rPr>
        <w:t>F</w:t>
      </w:r>
      <w:r w:rsidRPr="002B55E9">
        <w:rPr>
          <w:rFonts w:hint="eastAsia"/>
          <w:bCs/>
          <w:snapToGrid w:val="0"/>
          <w:sz w:val="24"/>
        </w:rPr>
        <w:t>，</w:t>
      </w:r>
      <w:r w:rsidRPr="002B55E9">
        <w:rPr>
          <w:bCs/>
          <w:snapToGrid w:val="0"/>
          <w:sz w:val="24"/>
        </w:rPr>
        <w:t>风速</w:t>
      </w:r>
      <w:r w:rsidRPr="002B55E9">
        <w:rPr>
          <w:rFonts w:hint="eastAsia"/>
          <w:bCs/>
          <w:snapToGrid w:val="0"/>
          <w:sz w:val="24"/>
        </w:rPr>
        <w:t>1.5</w:t>
      </w:r>
      <w:r w:rsidRPr="002B55E9">
        <w:rPr>
          <w:bCs/>
          <w:snapToGrid w:val="0"/>
          <w:sz w:val="24"/>
        </w:rPr>
        <w:t>m/s</w:t>
      </w:r>
      <w:r w:rsidRPr="002B55E9">
        <w:rPr>
          <w:bCs/>
          <w:snapToGrid w:val="0"/>
          <w:sz w:val="24"/>
        </w:rPr>
        <w:t>）</w:t>
      </w:r>
      <w:r w:rsidRPr="002B55E9">
        <w:rPr>
          <w:rFonts w:hint="eastAsia"/>
          <w:bCs/>
          <w:snapToGrid w:val="0"/>
          <w:sz w:val="24"/>
        </w:rPr>
        <w:t>扩散</w:t>
      </w:r>
      <w:r w:rsidRPr="002B55E9">
        <w:rPr>
          <w:bCs/>
          <w:snapToGrid w:val="0"/>
          <w:sz w:val="24"/>
        </w:rPr>
        <w:t>过程中，最大浓度未达到</w:t>
      </w:r>
      <w:r w:rsidRPr="002B55E9">
        <w:rPr>
          <w:rFonts w:hint="eastAsia"/>
          <w:bCs/>
          <w:snapToGrid w:val="0"/>
          <w:sz w:val="24"/>
        </w:rPr>
        <w:t>CO</w:t>
      </w:r>
      <w:r w:rsidRPr="002B55E9">
        <w:rPr>
          <w:bCs/>
          <w:snapToGrid w:val="0"/>
          <w:sz w:val="24"/>
        </w:rPr>
        <w:t>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w:t>
      </w:r>
      <w:r w:rsidRPr="002B55E9">
        <w:rPr>
          <w:rFonts w:hint="eastAsia"/>
          <w:bCs/>
          <w:snapToGrid w:val="0"/>
          <w:sz w:val="24"/>
        </w:rPr>
        <w:t>380</w:t>
      </w:r>
      <w:r w:rsidRPr="002B55E9">
        <w:rPr>
          <w:bCs/>
          <w:snapToGrid w:val="0"/>
          <w:sz w:val="24"/>
        </w:rPr>
        <w:t>mg/m</w:t>
      </w:r>
      <w:r w:rsidRPr="002B55E9">
        <w:rPr>
          <w:bCs/>
          <w:snapToGrid w:val="0"/>
          <w:sz w:val="24"/>
          <w:vertAlign w:val="superscript"/>
        </w:rPr>
        <w:t>3</w:t>
      </w:r>
      <w:r w:rsidRPr="002B55E9">
        <w:rPr>
          <w:rFonts w:hint="eastAsia"/>
          <w:bCs/>
          <w:snapToGrid w:val="0"/>
          <w:sz w:val="24"/>
        </w:rPr>
        <w:t>）和</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95</w:t>
      </w:r>
      <w:r w:rsidRPr="002B55E9">
        <w:rPr>
          <w:bCs/>
          <w:snapToGrid w:val="0"/>
          <w:sz w:val="24"/>
        </w:rPr>
        <w:t>mg/m</w:t>
      </w:r>
      <w:r w:rsidRPr="002B55E9">
        <w:rPr>
          <w:bCs/>
          <w:snapToGrid w:val="0"/>
          <w:sz w:val="24"/>
          <w:vertAlign w:val="superscript"/>
        </w:rPr>
        <w:t>3</w:t>
      </w:r>
      <w:r w:rsidRPr="002B55E9">
        <w:rPr>
          <w:rFonts w:hint="eastAsia"/>
          <w:bCs/>
          <w:snapToGrid w:val="0"/>
          <w:sz w:val="24"/>
        </w:rPr>
        <w:t>）。</w:t>
      </w:r>
    </w:p>
    <w:p w14:paraId="5F9C4953" w14:textId="77777777" w:rsidR="00D170E5" w:rsidRPr="002B55E9" w:rsidRDefault="00EF27AD">
      <w:pPr>
        <w:pStyle w:val="affff7"/>
        <w:snapToGrid w:val="0"/>
        <w:spacing w:after="0"/>
        <w:rPr>
          <w:lang w:bidi="ar"/>
        </w:rPr>
      </w:pPr>
      <w:r w:rsidRPr="002B55E9">
        <w:rPr>
          <w:rFonts w:hint="eastAsia"/>
          <w:szCs w:val="24"/>
        </w:rPr>
        <w:t>拟建</w:t>
      </w:r>
      <w:r w:rsidRPr="002B55E9">
        <w:rPr>
          <w:szCs w:val="24"/>
        </w:rPr>
        <w:t>项目醋胚、超立克等</w:t>
      </w:r>
      <w:r w:rsidRPr="002B55E9">
        <w:rPr>
          <w:rFonts w:hint="eastAsia"/>
          <w:szCs w:val="24"/>
        </w:rPr>
        <w:t>液态</w:t>
      </w:r>
      <w:r w:rsidRPr="002B55E9">
        <w:rPr>
          <w:szCs w:val="24"/>
        </w:rPr>
        <w:t>物料均</w:t>
      </w:r>
      <w:r w:rsidRPr="002B55E9">
        <w:rPr>
          <w:rFonts w:hint="eastAsia"/>
          <w:szCs w:val="24"/>
        </w:rPr>
        <w:t>使用</w:t>
      </w:r>
      <w:r w:rsidRPr="002B55E9">
        <w:rPr>
          <w:szCs w:val="24"/>
        </w:rPr>
        <w:t>储罐储存，罐区设有</w:t>
      </w:r>
      <w:r w:rsidRPr="002B55E9">
        <w:rPr>
          <w:rFonts w:hint="eastAsia"/>
          <w:szCs w:val="24"/>
        </w:rPr>
        <w:t>围堰</w:t>
      </w:r>
      <w:r w:rsidRPr="002B55E9">
        <w:rPr>
          <w:szCs w:val="24"/>
        </w:rPr>
        <w:t>，</w:t>
      </w:r>
      <w:r w:rsidRPr="002B55E9">
        <w:rPr>
          <w:rFonts w:hint="eastAsia"/>
          <w:szCs w:val="24"/>
        </w:rPr>
        <w:t>其</w:t>
      </w:r>
      <w:r w:rsidRPr="002B55E9">
        <w:rPr>
          <w:szCs w:val="24"/>
        </w:rPr>
        <w:t>容积能确保收集泄漏物料，</w:t>
      </w:r>
      <w:r w:rsidRPr="002B55E9">
        <w:rPr>
          <w:rFonts w:hint="eastAsia"/>
          <w:szCs w:val="24"/>
        </w:rPr>
        <w:t>项目</w:t>
      </w:r>
      <w:r w:rsidRPr="002B55E9">
        <w:rPr>
          <w:szCs w:val="24"/>
        </w:rPr>
        <w:t>所依托的佛山市海天（</w:t>
      </w:r>
      <w:r w:rsidRPr="002B55E9">
        <w:rPr>
          <w:rFonts w:hint="eastAsia"/>
          <w:szCs w:val="24"/>
        </w:rPr>
        <w:t>武汉</w:t>
      </w:r>
      <w:r w:rsidRPr="002B55E9">
        <w:rPr>
          <w:szCs w:val="24"/>
        </w:rPr>
        <w:t>）</w:t>
      </w:r>
      <w:r w:rsidRPr="002B55E9">
        <w:rPr>
          <w:rFonts w:hint="eastAsia"/>
          <w:szCs w:val="24"/>
        </w:rPr>
        <w:t>调味</w:t>
      </w:r>
      <w:r w:rsidRPr="002B55E9">
        <w:rPr>
          <w:szCs w:val="24"/>
        </w:rPr>
        <w:t>食品有限公司污水处理站旁设有</w:t>
      </w:r>
      <w:r w:rsidRPr="002B55E9">
        <w:rPr>
          <w:rFonts w:hint="eastAsia"/>
          <w:szCs w:val="24"/>
        </w:rPr>
        <w:t>事故</w:t>
      </w:r>
      <w:r w:rsidRPr="002B55E9">
        <w:rPr>
          <w:szCs w:val="24"/>
        </w:rPr>
        <w:t>应急池，确保火灾爆炸情况下事故废水和可能进入系统的雨水</w:t>
      </w:r>
      <w:r w:rsidRPr="002B55E9">
        <w:rPr>
          <w:rFonts w:hint="eastAsia"/>
          <w:szCs w:val="24"/>
        </w:rPr>
        <w:t>能通过</w:t>
      </w:r>
      <w:r w:rsidRPr="002B55E9">
        <w:rPr>
          <w:szCs w:val="24"/>
        </w:rPr>
        <w:t>污水管道转运至应急事故池中暂存</w:t>
      </w:r>
      <w:r w:rsidRPr="002B55E9">
        <w:rPr>
          <w:rFonts w:hint="eastAsia"/>
          <w:szCs w:val="24"/>
        </w:rPr>
        <w:t>，</w:t>
      </w:r>
      <w:r w:rsidRPr="002B55E9">
        <w:rPr>
          <w:szCs w:val="24"/>
        </w:rPr>
        <w:t>因此</w:t>
      </w:r>
      <w:r w:rsidRPr="002B55E9">
        <w:rPr>
          <w:rFonts w:hint="eastAsia"/>
          <w:szCs w:val="24"/>
        </w:rPr>
        <w:t>发生</w:t>
      </w:r>
      <w:r w:rsidRPr="002B55E9">
        <w:rPr>
          <w:szCs w:val="24"/>
        </w:rPr>
        <w:t>事故池对地表水</w:t>
      </w:r>
      <w:r w:rsidRPr="002B55E9">
        <w:rPr>
          <w:rFonts w:hint="eastAsia"/>
          <w:szCs w:val="24"/>
        </w:rPr>
        <w:t>环境</w:t>
      </w:r>
      <w:r w:rsidRPr="002B55E9">
        <w:rPr>
          <w:szCs w:val="24"/>
        </w:rPr>
        <w:t>的风险可控。</w:t>
      </w:r>
    </w:p>
    <w:p w14:paraId="09B5EA1E" w14:textId="77777777" w:rsidR="00D170E5" w:rsidRPr="002B55E9" w:rsidRDefault="00EF27AD">
      <w:pPr>
        <w:pStyle w:val="affff7"/>
        <w:snapToGrid w:val="0"/>
        <w:spacing w:after="0"/>
        <w:rPr>
          <w:lang w:bidi="ar"/>
        </w:rPr>
      </w:pPr>
      <w:r w:rsidRPr="002B55E9">
        <w:rPr>
          <w:rFonts w:hint="eastAsia"/>
          <w:lang w:bidi="ar"/>
        </w:rPr>
        <w:t>发生超立克</w:t>
      </w:r>
      <w:r w:rsidRPr="002B55E9">
        <w:rPr>
          <w:lang w:bidi="ar"/>
        </w:rPr>
        <w:t>泄漏事故时</w:t>
      </w:r>
      <w:r w:rsidRPr="002B55E9">
        <w:rPr>
          <w:rFonts w:hint="eastAsia"/>
          <w:lang w:bidi="ar"/>
        </w:rPr>
        <w:t>，</w:t>
      </w:r>
      <w:r w:rsidRPr="002B55E9">
        <w:rPr>
          <w:rFonts w:hint="eastAsia"/>
          <w:lang w:bidi="ar"/>
        </w:rPr>
        <w:t>20</w:t>
      </w:r>
      <w:r w:rsidRPr="002B55E9">
        <w:rPr>
          <w:rFonts w:hint="eastAsia"/>
          <w:lang w:bidi="ar"/>
        </w:rPr>
        <w:t>年</w:t>
      </w:r>
      <w:r w:rsidRPr="002B55E9">
        <w:rPr>
          <w:lang w:bidi="ar"/>
        </w:rPr>
        <w:t>后，</w:t>
      </w:r>
      <w:r w:rsidRPr="002B55E9">
        <w:rPr>
          <w:rFonts w:hint="eastAsia"/>
          <w:lang w:bidi="ar"/>
        </w:rPr>
        <w:t>地下水</w:t>
      </w:r>
      <w:r w:rsidRPr="002B55E9">
        <w:rPr>
          <w:lang w:bidi="ar"/>
        </w:rPr>
        <w:t>中污染因子的超标</w:t>
      </w:r>
      <w:r w:rsidRPr="002B55E9">
        <w:t>扩散距离</w:t>
      </w:r>
      <w:r w:rsidRPr="002B55E9">
        <w:rPr>
          <w:rFonts w:hint="eastAsia"/>
        </w:rPr>
        <w:t>最大值为</w:t>
      </w:r>
      <w:r w:rsidRPr="002B55E9">
        <w:t>105</w:t>
      </w:r>
      <w:r w:rsidRPr="002B55E9">
        <w:rPr>
          <w:rFonts w:hint="eastAsia"/>
        </w:rPr>
        <w:t>m</w:t>
      </w:r>
      <w:r w:rsidRPr="002B55E9">
        <w:t>，</w:t>
      </w:r>
      <w:r w:rsidRPr="002B55E9">
        <w:rPr>
          <w:rFonts w:hint="eastAsia"/>
        </w:rPr>
        <w:t>污染物</w:t>
      </w:r>
      <w:r w:rsidRPr="002B55E9">
        <w:t>将会对</w:t>
      </w:r>
      <w:r w:rsidRPr="002B55E9">
        <w:rPr>
          <w:rFonts w:hint="eastAsia"/>
        </w:rPr>
        <w:t>项目厂区</w:t>
      </w:r>
      <w:r w:rsidRPr="002B55E9">
        <w:t>附近的地下水水体造成不同程度的污染</w:t>
      </w:r>
      <w:r w:rsidRPr="002B55E9">
        <w:rPr>
          <w:rFonts w:hint="eastAsia"/>
          <w:lang w:val="zh-CN" w:bidi="ne-NP"/>
        </w:rPr>
        <w:t>。</w:t>
      </w:r>
    </w:p>
    <w:p w14:paraId="22E34922" w14:textId="77777777" w:rsidR="00D170E5" w:rsidRPr="002B55E9" w:rsidRDefault="00EF27AD">
      <w:pPr>
        <w:pStyle w:val="3"/>
      </w:pPr>
      <w:bookmarkStart w:id="246" w:name="_Toc119309006"/>
      <w:r w:rsidRPr="002B55E9">
        <w:rPr>
          <w:rFonts w:hint="eastAsia"/>
        </w:rPr>
        <w:t>环境风险管理</w:t>
      </w:r>
      <w:bookmarkEnd w:id="246"/>
    </w:p>
    <w:p w14:paraId="047954BA" w14:textId="77777777" w:rsidR="00D170E5" w:rsidRPr="002B55E9" w:rsidRDefault="00EF27AD">
      <w:pPr>
        <w:pStyle w:val="4"/>
        <w:rPr>
          <w:color w:val="auto"/>
        </w:rPr>
      </w:pPr>
      <w:r w:rsidRPr="002B55E9">
        <w:rPr>
          <w:rFonts w:hint="eastAsia"/>
          <w:color w:val="auto"/>
        </w:rPr>
        <w:t>环境风险管理目标</w:t>
      </w:r>
    </w:p>
    <w:p w14:paraId="3DB41FF7"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lastRenderedPageBreak/>
        <w:t>环境风险管理目标是采用最低合理可行原则</w:t>
      </w:r>
      <w:r w:rsidRPr="002B55E9">
        <w:rPr>
          <w:rFonts w:hint="eastAsia"/>
          <w:bCs/>
          <w:snapToGrid w:val="0"/>
          <w:sz w:val="24"/>
        </w:rPr>
        <w:t>（</w:t>
      </w:r>
      <w:r w:rsidRPr="002B55E9">
        <w:rPr>
          <w:bCs/>
          <w:snapToGrid w:val="0"/>
          <w:sz w:val="24"/>
        </w:rPr>
        <w:t>as low as reasonable practicable</w:t>
      </w:r>
      <w:r w:rsidRPr="002B55E9">
        <w:rPr>
          <w:bCs/>
          <w:snapToGrid w:val="0"/>
          <w:sz w:val="24"/>
        </w:rPr>
        <w:t>，</w:t>
      </w:r>
      <w:r w:rsidRPr="002B55E9">
        <w:rPr>
          <w:bCs/>
          <w:snapToGrid w:val="0"/>
          <w:sz w:val="24"/>
        </w:rPr>
        <w:t>ALARP</w:t>
      </w:r>
      <w:r w:rsidRPr="002B55E9">
        <w:rPr>
          <w:bCs/>
          <w:snapToGrid w:val="0"/>
          <w:sz w:val="24"/>
        </w:rPr>
        <w:t>）</w:t>
      </w:r>
      <w:r w:rsidRPr="002B55E9">
        <w:rPr>
          <w:bCs/>
          <w:snapToGrid w:val="0"/>
          <w:sz w:val="24"/>
          <w:lang w:val="zh-CN"/>
        </w:rPr>
        <w:t>管控环</w:t>
      </w:r>
      <w:r w:rsidRPr="002B55E9">
        <w:rPr>
          <w:rFonts w:hint="eastAsia"/>
          <w:bCs/>
          <w:snapToGrid w:val="0"/>
          <w:sz w:val="24"/>
          <w:lang w:val="zh-CN"/>
        </w:rPr>
        <w:t>境风险。采取的环境风险防范措施应与社会经济技术发展水平相适应，运用科学的技术手段和管理方法，对环境风险进行有效的预防、监控、响应。</w:t>
      </w:r>
    </w:p>
    <w:p w14:paraId="423B09A4" w14:textId="77777777" w:rsidR="00D170E5" w:rsidRPr="002B55E9" w:rsidRDefault="00EF27AD">
      <w:pPr>
        <w:pStyle w:val="4"/>
        <w:rPr>
          <w:color w:val="auto"/>
        </w:rPr>
      </w:pPr>
      <w:r w:rsidRPr="002B55E9">
        <w:rPr>
          <w:rFonts w:hint="eastAsia"/>
          <w:color w:val="auto"/>
        </w:rPr>
        <w:t>环境风险防范措施</w:t>
      </w:r>
    </w:p>
    <w:p w14:paraId="6DEDBA48" w14:textId="77777777" w:rsidR="00D170E5" w:rsidRPr="002B55E9" w:rsidRDefault="00EF27AD">
      <w:pPr>
        <w:pStyle w:val="5"/>
      </w:pPr>
      <w:r w:rsidRPr="002B55E9">
        <w:rPr>
          <w:rFonts w:hint="eastAsia"/>
        </w:rPr>
        <w:t>生产</w:t>
      </w:r>
      <w:r w:rsidRPr="002B55E9">
        <w:t>事故预防措施</w:t>
      </w:r>
    </w:p>
    <w:p w14:paraId="541056F6" w14:textId="77777777" w:rsidR="00D170E5" w:rsidRPr="002B55E9" w:rsidRDefault="00EF27AD">
      <w:pPr>
        <w:pStyle w:val="affff7"/>
        <w:snapToGrid w:val="0"/>
      </w:pPr>
      <w:r w:rsidRPr="002B55E9">
        <w:rPr>
          <w:rFonts w:hint="eastAsia"/>
        </w:rPr>
        <w:t>（</w:t>
      </w:r>
      <w:r w:rsidRPr="002B55E9">
        <w:rPr>
          <w:rFonts w:hint="eastAsia"/>
        </w:rPr>
        <w:t>1</w:t>
      </w:r>
      <w:r w:rsidRPr="002B55E9">
        <w:rPr>
          <w:rFonts w:hint="eastAsia"/>
        </w:rPr>
        <w:t>）总图布置事故预防措施</w:t>
      </w:r>
    </w:p>
    <w:p w14:paraId="11E5107C" w14:textId="77777777" w:rsidR="00D170E5" w:rsidRPr="002B55E9" w:rsidRDefault="00EF27AD">
      <w:pPr>
        <w:pStyle w:val="affff7"/>
        <w:snapToGrid w:val="0"/>
      </w:pPr>
      <w:r w:rsidRPr="002B55E9">
        <w:rPr>
          <w:rFonts w:hint="eastAsia"/>
        </w:rPr>
        <w:t>①项目总平面布置做到功能分区明确，分区内部相互之间保持一定的通道和间距；</w:t>
      </w:r>
    </w:p>
    <w:p w14:paraId="1BB614DB" w14:textId="77777777" w:rsidR="00D170E5" w:rsidRPr="002B55E9" w:rsidRDefault="00EF27AD">
      <w:pPr>
        <w:pStyle w:val="affff7"/>
        <w:snapToGrid w:val="0"/>
      </w:pPr>
      <w:r w:rsidRPr="002B55E9">
        <w:rPr>
          <w:rFonts w:hint="eastAsia"/>
        </w:rPr>
        <w:t>②危险部位应有醒目的安全警示标志和危害告知牌（包括名称、特性、灭火方法、急救措施等）；</w:t>
      </w:r>
    </w:p>
    <w:p w14:paraId="334AC4B1" w14:textId="77777777" w:rsidR="00D170E5" w:rsidRPr="002B55E9" w:rsidRDefault="00EF27AD">
      <w:pPr>
        <w:pStyle w:val="affff7"/>
        <w:snapToGrid w:val="0"/>
      </w:pPr>
      <w:r w:rsidRPr="002B55E9">
        <w:rPr>
          <w:rFonts w:hint="eastAsia"/>
        </w:rPr>
        <w:t>③在设计中应严格划分生产危险区域，在工艺、电气、仪表和土建设计中，严格按照规定的危险区域的防火防爆等级进行设备选型和建</w:t>
      </w:r>
      <w:r w:rsidRPr="002B55E9">
        <w:rPr>
          <w:rFonts w:hint="eastAsia"/>
        </w:rPr>
        <w:t>(</w:t>
      </w:r>
      <w:r w:rsidRPr="002B55E9">
        <w:rPr>
          <w:rFonts w:hint="eastAsia"/>
        </w:rPr>
        <w:t>构</w:t>
      </w:r>
      <w:r w:rsidRPr="002B55E9">
        <w:rPr>
          <w:rFonts w:hint="eastAsia"/>
        </w:rPr>
        <w:t>)</w:t>
      </w:r>
      <w:r w:rsidRPr="002B55E9">
        <w:rPr>
          <w:rFonts w:hint="eastAsia"/>
        </w:rPr>
        <w:t>筑物的设计，建筑物设置的门窗能满足疏散、卸爆、通风要求；</w:t>
      </w:r>
    </w:p>
    <w:p w14:paraId="56687771" w14:textId="77777777" w:rsidR="00D170E5" w:rsidRPr="002B55E9" w:rsidRDefault="00EF27AD">
      <w:pPr>
        <w:pStyle w:val="affff7"/>
        <w:snapToGrid w:val="0"/>
      </w:pPr>
      <w:r w:rsidRPr="002B55E9">
        <w:rPr>
          <w:rFonts w:hint="eastAsia"/>
        </w:rPr>
        <w:t>④应按照《工业企业照明设计规范》的规定设计厂区照明。有火灾爆炸危险、毒物危害的作业场所等重要部门，应设置可延时工作的事故照明装置；</w:t>
      </w:r>
    </w:p>
    <w:p w14:paraId="00BB0C49" w14:textId="77777777" w:rsidR="00D170E5" w:rsidRPr="002B55E9" w:rsidRDefault="00EF27AD">
      <w:pPr>
        <w:pStyle w:val="affff7"/>
        <w:snapToGrid w:val="0"/>
      </w:pPr>
      <w:r w:rsidRPr="002B55E9">
        <w:rPr>
          <w:rFonts w:hint="eastAsia"/>
        </w:rPr>
        <w:t>⑤生产车间应设计环形的消防通道，并保证生产装置区内的消防通道畅通；</w:t>
      </w:r>
    </w:p>
    <w:p w14:paraId="22D30504" w14:textId="77777777" w:rsidR="00D170E5" w:rsidRPr="002B55E9" w:rsidRDefault="00EF27AD">
      <w:pPr>
        <w:pStyle w:val="affff7"/>
        <w:snapToGrid w:val="0"/>
      </w:pPr>
      <w:r w:rsidRPr="002B55E9">
        <w:rPr>
          <w:rFonts w:hint="eastAsia"/>
        </w:rPr>
        <w:t>⑥根据《控制室设计规范》（</w:t>
      </w:r>
      <w:r w:rsidRPr="002B55E9">
        <w:rPr>
          <w:rFonts w:hint="eastAsia"/>
        </w:rPr>
        <w:t>HG20508-2014</w:t>
      </w:r>
      <w:r w:rsidRPr="002B55E9">
        <w:rPr>
          <w:rFonts w:hint="eastAsia"/>
        </w:rPr>
        <w:t>）的规定，控制室应按以下要求设置：</w:t>
      </w:r>
      <w:r w:rsidRPr="002B55E9">
        <w:rPr>
          <w:rFonts w:hint="eastAsia"/>
        </w:rPr>
        <w:t>a.</w:t>
      </w:r>
      <w:r w:rsidRPr="002B55E9">
        <w:rPr>
          <w:rFonts w:hint="eastAsia"/>
        </w:rPr>
        <w:t>控制室应位于爆炸危险区域外；</w:t>
      </w:r>
      <w:r w:rsidRPr="002B55E9">
        <w:rPr>
          <w:rFonts w:hint="eastAsia"/>
        </w:rPr>
        <w:t>b.</w:t>
      </w:r>
      <w:r w:rsidRPr="002B55E9">
        <w:rPr>
          <w:rFonts w:hint="eastAsia"/>
        </w:rPr>
        <w:t>控制室应采用抗爆结构设计；</w:t>
      </w:r>
      <w:r w:rsidRPr="002B55E9">
        <w:rPr>
          <w:rFonts w:hint="eastAsia"/>
        </w:rPr>
        <w:t>c.</w:t>
      </w:r>
      <w:r w:rsidRPr="002B55E9">
        <w:rPr>
          <w:rFonts w:hint="eastAsia"/>
        </w:rPr>
        <w:t>控制室宜采用人工照明；</w:t>
      </w:r>
      <w:r w:rsidRPr="002B55E9">
        <w:rPr>
          <w:rFonts w:hint="eastAsia"/>
        </w:rPr>
        <w:t>d.</w:t>
      </w:r>
      <w:r w:rsidRPr="002B55E9">
        <w:rPr>
          <w:rFonts w:hint="eastAsia"/>
        </w:rPr>
        <w:t>控制室内应设置火灾自动报警装置，并应符合</w:t>
      </w:r>
      <w:r w:rsidRPr="002B55E9">
        <w:rPr>
          <w:rFonts w:hint="eastAsia"/>
        </w:rPr>
        <w:t>GB50116</w:t>
      </w:r>
      <w:r w:rsidRPr="002B55E9">
        <w:rPr>
          <w:rFonts w:hint="eastAsia"/>
        </w:rPr>
        <w:t>《火灾自动报警系统设计规范》的规定；</w:t>
      </w:r>
      <w:r w:rsidRPr="002B55E9">
        <w:rPr>
          <w:rFonts w:hint="eastAsia"/>
        </w:rPr>
        <w:t>e.</w:t>
      </w:r>
      <w:r w:rsidRPr="002B55E9">
        <w:rPr>
          <w:rFonts w:hint="eastAsia"/>
        </w:rPr>
        <w:t>控制室内应设置灭火器等消防设施。</w:t>
      </w:r>
    </w:p>
    <w:p w14:paraId="147442A6" w14:textId="77777777" w:rsidR="00D170E5" w:rsidRPr="002B55E9" w:rsidRDefault="00EF27AD">
      <w:pPr>
        <w:pStyle w:val="affff7"/>
        <w:snapToGrid w:val="0"/>
      </w:pPr>
      <w:r w:rsidRPr="002B55E9">
        <w:rPr>
          <w:rFonts w:hint="eastAsia"/>
        </w:rPr>
        <w:t>（</w:t>
      </w:r>
      <w:r w:rsidRPr="002B55E9">
        <w:rPr>
          <w:rFonts w:hint="eastAsia"/>
        </w:rPr>
        <w:t>2</w:t>
      </w:r>
      <w:r w:rsidRPr="002B55E9">
        <w:rPr>
          <w:rFonts w:hint="eastAsia"/>
        </w:rPr>
        <w:t>）技术、工艺和设备设施事故预防措施</w:t>
      </w:r>
    </w:p>
    <w:p w14:paraId="4B2D9144" w14:textId="77777777" w:rsidR="00D170E5" w:rsidRPr="002B55E9" w:rsidRDefault="00EF27AD">
      <w:pPr>
        <w:pStyle w:val="affff7"/>
        <w:snapToGrid w:val="0"/>
      </w:pPr>
      <w:r w:rsidRPr="002B55E9">
        <w:rPr>
          <w:rFonts w:hint="eastAsia"/>
        </w:rPr>
        <w:t>①工艺、作业和施工过程的设计、组织和实施时应对具有或能产生危险和有害因素的工艺、作业、施工过程，应采用综合机械化、自动化或其他措施，实现自控或隔离操作；</w:t>
      </w:r>
    </w:p>
    <w:p w14:paraId="2E2AAD51" w14:textId="77777777" w:rsidR="00D170E5" w:rsidRPr="002B55E9" w:rsidRDefault="00EF27AD">
      <w:pPr>
        <w:pStyle w:val="affff7"/>
        <w:snapToGrid w:val="0"/>
      </w:pPr>
      <w:r w:rsidRPr="002B55E9">
        <w:rPr>
          <w:rFonts w:hint="eastAsia"/>
        </w:rPr>
        <w:t>②所有的生产设备应选用正规生产厂家的标准产品，不得使用国家限制、淘汰的落后设备设施，专用设备应选择有资质单位进行设计、制造、安装及调试，进口设备应符合我国的安全标准；</w:t>
      </w:r>
    </w:p>
    <w:p w14:paraId="3647C2DC" w14:textId="77777777" w:rsidR="00D170E5" w:rsidRPr="002B55E9" w:rsidRDefault="00EF27AD">
      <w:pPr>
        <w:pStyle w:val="affff7"/>
        <w:snapToGrid w:val="0"/>
      </w:pPr>
      <w:r w:rsidRPr="002B55E9">
        <w:rPr>
          <w:rFonts w:hint="eastAsia"/>
        </w:rPr>
        <w:t>③在使用易燃易爆化学危险物品，散发有害气体的工艺段，设计中应注意几点：一是该区域应设置单独的事故排风系统；二是送风系统设置防倒灌措施，排风风机应选用防爆型；三是便于操作的地点应设置事故排风装置的控制开关；</w:t>
      </w:r>
    </w:p>
    <w:p w14:paraId="7A0B41DE" w14:textId="77777777" w:rsidR="00D170E5" w:rsidRPr="002B55E9" w:rsidRDefault="00EF27AD">
      <w:pPr>
        <w:pStyle w:val="affff7"/>
        <w:snapToGrid w:val="0"/>
      </w:pPr>
      <w:r w:rsidRPr="002B55E9">
        <w:rPr>
          <w:rFonts w:hint="eastAsia"/>
        </w:rPr>
        <w:lastRenderedPageBreak/>
        <w:t>④具有火灾爆炸危险和处于腐蚀性生产环境中的电气设备应根据规定要求分别采用防爆型或采用密封式结构，防止腐蚀性气体的侵入，尽量减少裸露的带电体，采用防腐阻燃型电缆和耐高温电缆；</w:t>
      </w:r>
    </w:p>
    <w:p w14:paraId="1CEADA96" w14:textId="77777777" w:rsidR="00D170E5" w:rsidRPr="002B55E9" w:rsidRDefault="00EF27AD">
      <w:pPr>
        <w:pStyle w:val="affff7"/>
        <w:snapToGrid w:val="0"/>
      </w:pPr>
      <w:r w:rsidRPr="002B55E9">
        <w:rPr>
          <w:rFonts w:hint="eastAsia"/>
        </w:rPr>
        <w:t>⑤严格执行进厂设备、备件、材料的质量检查验收制度，防止不合格设备、备件、材料进入生产装置投入生产，消除设备本身的不安全因素；</w:t>
      </w:r>
    </w:p>
    <w:p w14:paraId="78D0668F" w14:textId="77777777" w:rsidR="00D170E5" w:rsidRPr="002B55E9" w:rsidRDefault="00EF27AD">
      <w:pPr>
        <w:pStyle w:val="affff7"/>
        <w:snapToGrid w:val="0"/>
      </w:pPr>
      <w:r w:rsidRPr="002B55E9">
        <w:rPr>
          <w:rFonts w:hint="eastAsia"/>
        </w:rPr>
        <w:t>⑥生产区域应设置安全门和安全疏散通道；</w:t>
      </w:r>
    </w:p>
    <w:p w14:paraId="6DFB7362" w14:textId="77777777" w:rsidR="00D170E5" w:rsidRPr="002B55E9" w:rsidRDefault="00EF27AD">
      <w:pPr>
        <w:pStyle w:val="affff7"/>
        <w:snapToGrid w:val="0"/>
      </w:pPr>
      <w:r w:rsidRPr="002B55E9">
        <w:rPr>
          <w:rFonts w:hint="eastAsia"/>
        </w:rPr>
        <w:t>⑦工艺管线的防雷电、暴雨、洪水、冰雹等自然灾害以及防静电等安全措施，应符合有关标准的要求；</w:t>
      </w:r>
    </w:p>
    <w:p w14:paraId="6286651E" w14:textId="77777777" w:rsidR="00D170E5" w:rsidRPr="002B55E9" w:rsidRDefault="00EF27AD">
      <w:pPr>
        <w:pStyle w:val="affff7"/>
        <w:snapToGrid w:val="0"/>
      </w:pPr>
      <w:r w:rsidRPr="002B55E9">
        <w:rPr>
          <w:rFonts w:hint="eastAsia"/>
        </w:rPr>
        <w:t>⑧生产设备、管道的设计应根据生产过程的特点和物料的性质选择合适的材料；</w:t>
      </w:r>
    </w:p>
    <w:p w14:paraId="58E22D1A" w14:textId="77777777" w:rsidR="00D170E5" w:rsidRPr="002B55E9" w:rsidRDefault="00EF27AD">
      <w:pPr>
        <w:pStyle w:val="affff7"/>
        <w:snapToGrid w:val="0"/>
      </w:pPr>
      <w:r w:rsidRPr="002B55E9">
        <w:rPr>
          <w:rFonts w:hint="eastAsia"/>
        </w:rPr>
        <w:t>⑨</w:t>
      </w:r>
      <w:r w:rsidRPr="002B55E9">
        <w:rPr>
          <w:rFonts w:ascii="宋体" w:hAnsi="宋体" w:cs="宋体" w:hint="eastAsia"/>
        </w:rPr>
        <w:t>易燃液体的设备和管道均应作可靠的防静电设计，建筑物做总等电位连接；</w:t>
      </w:r>
    </w:p>
    <w:p w14:paraId="77E92C49" w14:textId="77777777" w:rsidR="00D170E5" w:rsidRPr="002B55E9" w:rsidRDefault="00EF27AD">
      <w:pPr>
        <w:pStyle w:val="affff7"/>
        <w:snapToGrid w:val="0"/>
      </w:pPr>
      <w:r w:rsidRPr="002B55E9">
        <w:rPr>
          <w:rFonts w:hint="eastAsia"/>
        </w:rPr>
        <w:t>⑩</w:t>
      </w:r>
      <w:r w:rsidRPr="002B55E9">
        <w:rPr>
          <w:rFonts w:ascii="宋体" w:hAnsi="宋体" w:cs="宋体" w:hint="eastAsia"/>
        </w:rPr>
        <w:t>有突然超压或发生瞬时分解爆炸危险物料的设备应设置泄压阀、安全膜（保险片）等安全泄放装置，并保证安全膜在超过允许的压力时爆破而迅速泄压，达到安全生产的目的；</w:t>
      </w:r>
    </w:p>
    <w:p w14:paraId="4754F7A9" w14:textId="77777777" w:rsidR="00D170E5" w:rsidRPr="002B55E9" w:rsidRDefault="00EF27AD">
      <w:pPr>
        <w:pStyle w:val="affff7"/>
        <w:snapToGrid w:val="0"/>
      </w:pPr>
      <w:r w:rsidRPr="002B55E9">
        <w:rPr>
          <w:rFonts w:ascii="Cambria Math" w:eastAsia="等线 Light" w:hAnsi="Cambria Math" w:cs="Cambria Math"/>
        </w:rPr>
        <w:t>⑪</w:t>
      </w:r>
      <w:r w:rsidRPr="002B55E9">
        <w:rPr>
          <w:rFonts w:ascii="宋体" w:hAnsi="宋体" w:cs="宋体" w:hint="eastAsia"/>
        </w:rPr>
        <w:t>该项目中所有高空作业平台</w:t>
      </w:r>
      <w:r w:rsidRPr="002B55E9">
        <w:rPr>
          <w:rFonts w:hint="eastAsia"/>
        </w:rPr>
        <w:t>均应设置安全防护栏杆。风机、泵等转动设备应设计防护罩、防护网、挡板等，这些安全防护设施应特别注意在今后运行期间的检查和维护；</w:t>
      </w:r>
    </w:p>
    <w:p w14:paraId="21ADF413" w14:textId="77777777" w:rsidR="00D170E5" w:rsidRPr="002B55E9" w:rsidRDefault="00EF27AD">
      <w:pPr>
        <w:pStyle w:val="affff7"/>
        <w:widowControl w:val="0"/>
        <w:snapToGrid w:val="0"/>
      </w:pPr>
      <w:r w:rsidRPr="002B55E9">
        <w:rPr>
          <w:rFonts w:ascii="Cambria Math" w:hAnsi="Cambria Math" w:cs="Cambria Math"/>
        </w:rPr>
        <w:t>⑫</w:t>
      </w:r>
      <w:r w:rsidRPr="002B55E9">
        <w:rPr>
          <w:rFonts w:ascii="宋体" w:hAnsi="宋体" w:cs="宋体" w:hint="eastAsia"/>
        </w:rPr>
        <w:t>生产过程工艺参数自动检测与控制系统、报警仪器仪表与控制器件应选用灵敏可靠、优质安全的定点厂商合格产品，并且定期检定校验，以确保数据准确，控制灵敏稳妥、安全可靠；</w:t>
      </w:r>
    </w:p>
    <w:p w14:paraId="29794309" w14:textId="77777777" w:rsidR="00D170E5" w:rsidRPr="002B55E9" w:rsidRDefault="00EF27AD">
      <w:pPr>
        <w:pStyle w:val="affff7"/>
        <w:snapToGrid w:val="0"/>
      </w:pPr>
      <w:r w:rsidRPr="002B55E9">
        <w:rPr>
          <w:rFonts w:ascii="Cambria Math" w:hAnsi="Cambria Math" w:cs="Cambria Math"/>
        </w:rPr>
        <w:t>⑬</w:t>
      </w:r>
      <w:r w:rsidRPr="002B55E9">
        <w:rPr>
          <w:rFonts w:ascii="宋体" w:hAnsi="宋体" w:cs="宋体" w:hint="eastAsia"/>
        </w:rPr>
        <w:t>可燃液体的汽车装卸站应符合下列规定：</w:t>
      </w:r>
      <w:r w:rsidRPr="002B55E9">
        <w:t>a.</w:t>
      </w:r>
      <w:r w:rsidRPr="002B55E9">
        <w:rPr>
          <w:rFonts w:hint="eastAsia"/>
        </w:rPr>
        <w:t>装卸车场应采用现浇混凝土地面；</w:t>
      </w:r>
      <w:r w:rsidRPr="002B55E9">
        <w:t>b.</w:t>
      </w:r>
      <w:r w:rsidRPr="002B55E9">
        <w:rPr>
          <w:rFonts w:hint="eastAsia"/>
        </w:rPr>
        <w:t>站内无缓冲罐时，在距装卸车鹤位</w:t>
      </w:r>
      <w:r w:rsidRPr="002B55E9">
        <w:t>10m</w:t>
      </w:r>
      <w:r w:rsidRPr="002B55E9">
        <w:rPr>
          <w:rFonts w:hint="eastAsia"/>
        </w:rPr>
        <w:t>以外的装卸管道上应设便于操作的紧急切断阀；</w:t>
      </w:r>
    </w:p>
    <w:p w14:paraId="2C0D8AB6" w14:textId="77777777" w:rsidR="00D170E5" w:rsidRPr="002B55E9" w:rsidRDefault="00EF27AD">
      <w:pPr>
        <w:pStyle w:val="affff7"/>
        <w:snapToGrid w:val="0"/>
      </w:pPr>
      <w:r w:rsidRPr="002B55E9">
        <w:rPr>
          <w:rFonts w:ascii="Cambria Math" w:hAnsi="Cambria Math" w:cs="Cambria Math"/>
        </w:rPr>
        <w:t>⑭</w:t>
      </w:r>
      <w:r w:rsidRPr="002B55E9">
        <w:rPr>
          <w:rFonts w:ascii="宋体" w:hAnsi="宋体" w:cs="宋体" w:hint="eastAsia"/>
        </w:rPr>
        <w:t>应当在有较大危险因素的生产储存场所和有关设施、设备上，设置明显的安全警示标志；</w:t>
      </w:r>
    </w:p>
    <w:p w14:paraId="1E8F24D0" w14:textId="77777777" w:rsidR="00D170E5" w:rsidRPr="002B55E9" w:rsidRDefault="00EF27AD">
      <w:pPr>
        <w:pStyle w:val="affff7"/>
        <w:snapToGrid w:val="0"/>
      </w:pPr>
      <w:r w:rsidRPr="002B55E9">
        <w:rPr>
          <w:rFonts w:ascii="Cambria Math" w:hAnsi="Cambria Math" w:cs="Cambria Math"/>
        </w:rPr>
        <w:t>⑮</w:t>
      </w:r>
      <w:r w:rsidRPr="002B55E9">
        <w:rPr>
          <w:rFonts w:ascii="宋体" w:hAnsi="宋体" w:cs="宋体" w:hint="eastAsia"/>
        </w:rPr>
        <w:t>加强特种设备的安全使用、管理，严格遵守《压力容器》等相关法律、法规、标准的要求，设置可靠的温度、压力、流量、液位等工艺参数的控制仪表和完善的安全附件，建立完善的设备管理台帐及特种设备技术档案，并定期进行检验、更换；</w:t>
      </w:r>
    </w:p>
    <w:p w14:paraId="7483F7FB" w14:textId="77777777" w:rsidR="00D170E5" w:rsidRPr="002B55E9" w:rsidRDefault="00EF27AD">
      <w:pPr>
        <w:pStyle w:val="affff7"/>
        <w:snapToGrid w:val="0"/>
      </w:pPr>
      <w:r w:rsidRPr="002B55E9">
        <w:rPr>
          <w:rFonts w:hint="eastAsia"/>
        </w:rPr>
        <w:t>（</w:t>
      </w:r>
      <w:r w:rsidRPr="002B55E9">
        <w:rPr>
          <w:rFonts w:hint="eastAsia"/>
        </w:rPr>
        <w:t>3</w:t>
      </w:r>
      <w:r w:rsidRPr="002B55E9">
        <w:rPr>
          <w:rFonts w:hint="eastAsia"/>
        </w:rPr>
        <w:t>）危险化学品储存及使用过程事故预防措施</w:t>
      </w:r>
    </w:p>
    <w:p w14:paraId="05CD4FC6" w14:textId="77777777" w:rsidR="00D170E5" w:rsidRPr="002B55E9" w:rsidRDefault="00EF27AD">
      <w:pPr>
        <w:pStyle w:val="affff7"/>
        <w:snapToGrid w:val="0"/>
      </w:pPr>
      <w:r w:rsidRPr="002B55E9">
        <w:rPr>
          <w:rFonts w:hint="eastAsia"/>
        </w:rPr>
        <w:t>①危险化学品应根据危险品性能分区、分类、分库贮存。各类危险品不得与禁忌物料混合贮存。易燃液体、遇湿易燃物品、易燃固体不得与氧化剂混合贮存，具有还原性氧化剂应单独存放。有毒物品应贮存在阴凉、通风、干燥的场所，不要露天存放，不要接近酸类物质；</w:t>
      </w:r>
    </w:p>
    <w:p w14:paraId="307A0E83" w14:textId="77777777" w:rsidR="00D170E5" w:rsidRPr="002B55E9" w:rsidRDefault="00EF27AD">
      <w:pPr>
        <w:pStyle w:val="affff7"/>
        <w:snapToGrid w:val="0"/>
      </w:pPr>
      <w:r w:rsidRPr="002B55E9">
        <w:rPr>
          <w:rFonts w:hint="eastAsia"/>
        </w:rPr>
        <w:t>②对仓库中出现的任何问题或事故隐患，都要立即报告，及时解决；</w:t>
      </w:r>
    </w:p>
    <w:p w14:paraId="558B782D" w14:textId="77777777" w:rsidR="00D170E5" w:rsidRPr="002B55E9" w:rsidRDefault="00EF27AD">
      <w:pPr>
        <w:pStyle w:val="affff7"/>
        <w:snapToGrid w:val="0"/>
      </w:pPr>
      <w:r w:rsidRPr="002B55E9">
        <w:rPr>
          <w:rFonts w:hint="eastAsia"/>
        </w:rPr>
        <w:lastRenderedPageBreak/>
        <w:t>③腐蚀性物品，包装必须严密，不允许泄漏，严禁与液化气体和其它物品共存；</w:t>
      </w:r>
    </w:p>
    <w:p w14:paraId="628E4637" w14:textId="77777777" w:rsidR="00D170E5" w:rsidRPr="002B55E9" w:rsidRDefault="00EF27AD">
      <w:pPr>
        <w:pStyle w:val="affff7"/>
        <w:snapToGrid w:val="0"/>
      </w:pPr>
      <w:r w:rsidRPr="002B55E9">
        <w:rPr>
          <w:rFonts w:hint="eastAsia"/>
        </w:rPr>
        <w:t>④物品入库严格按验收要求，核对进库物品规格、质量、危险标识和数量后方可入库。对无检验合格证和无危险标识的物品不得入库；危险品库每天都要进行登记核实</w:t>
      </w:r>
      <w:r w:rsidRPr="002B55E9">
        <w:rPr>
          <w:rFonts w:hint="eastAsia"/>
        </w:rPr>
        <w:t>,</w:t>
      </w:r>
      <w:r w:rsidRPr="002B55E9">
        <w:rPr>
          <w:rFonts w:hint="eastAsia"/>
        </w:rPr>
        <w:t>做到出入无差错，帐物相符；</w:t>
      </w:r>
    </w:p>
    <w:p w14:paraId="07288D17" w14:textId="77777777" w:rsidR="00D170E5" w:rsidRPr="002B55E9" w:rsidRDefault="00EF27AD">
      <w:pPr>
        <w:pStyle w:val="affff7"/>
        <w:snapToGrid w:val="0"/>
      </w:pPr>
      <w:r w:rsidRPr="002B55E9">
        <w:rPr>
          <w:rFonts w:hint="eastAsia"/>
        </w:rPr>
        <w:t>⑤危险化学品入库后应根据商品的特性采取适当的养护措施，在储存期内定期检查，做到一目两检，并做好检查记录。发现其品质变化、包装破损、渗漏、稳定剂短缺等及时处理；</w:t>
      </w:r>
    </w:p>
    <w:p w14:paraId="39B96E6B" w14:textId="77777777" w:rsidR="00D170E5" w:rsidRPr="002B55E9" w:rsidRDefault="00EF27AD">
      <w:pPr>
        <w:pStyle w:val="affff7"/>
        <w:snapToGrid w:val="0"/>
      </w:pPr>
      <w:r w:rsidRPr="002B55E9">
        <w:rPr>
          <w:rFonts w:hint="eastAsia"/>
        </w:rPr>
        <w:t>⑥化学品仓库同一防火分区内只能贮存同一类危险化学品，不同品种分堆存放；不能超量贮存，并应有一定的安全距离并保证道路通畅；</w:t>
      </w:r>
    </w:p>
    <w:p w14:paraId="19CDC827" w14:textId="77777777" w:rsidR="00D170E5" w:rsidRPr="002B55E9" w:rsidRDefault="00EF27AD">
      <w:pPr>
        <w:pStyle w:val="affff7"/>
        <w:snapToGrid w:val="0"/>
      </w:pPr>
      <w:r w:rsidRPr="002B55E9">
        <w:rPr>
          <w:rFonts w:hint="eastAsia"/>
        </w:rPr>
        <w:t>⑦在有毒和腐蚀性作业场所应设置必要的淋洗器、洗眼器等卫生防护设施，其服务半径小于</w:t>
      </w:r>
      <w:r w:rsidRPr="002B55E9">
        <w:rPr>
          <w:rFonts w:hint="eastAsia"/>
        </w:rPr>
        <w:t>15m</w:t>
      </w:r>
      <w:r w:rsidRPr="002B55E9">
        <w:rPr>
          <w:rFonts w:hint="eastAsia"/>
        </w:rPr>
        <w:t>。配置事故柜、急救箱和个人防护用品。过滤式防毒面罩的数量应与操作人员数量相等，隔离式防毒面具的数量应与抢险人员数量相等；</w:t>
      </w:r>
    </w:p>
    <w:p w14:paraId="06844C60" w14:textId="77777777" w:rsidR="00D170E5" w:rsidRPr="002B55E9" w:rsidRDefault="00EF27AD">
      <w:pPr>
        <w:pStyle w:val="affff7"/>
        <w:snapToGrid w:val="0"/>
      </w:pPr>
      <w:r w:rsidRPr="002B55E9">
        <w:rPr>
          <w:rFonts w:hint="eastAsia"/>
        </w:rPr>
        <w:t>⑧装卸易燃易爆物料时，装卸人员应穿工作服，戴手套、口罩等必需的防护用具，操作中轻搬轻放、防止摩擦和撞击；</w:t>
      </w:r>
    </w:p>
    <w:p w14:paraId="1C72A7F0" w14:textId="77777777" w:rsidR="00D170E5" w:rsidRPr="002B55E9" w:rsidRDefault="00EF27AD">
      <w:pPr>
        <w:pStyle w:val="affff7"/>
        <w:snapToGrid w:val="0"/>
      </w:pPr>
      <w:r w:rsidRPr="002B55E9">
        <w:rPr>
          <w:rFonts w:hint="eastAsia"/>
        </w:rPr>
        <w:t>⑨设备、管道、阀门等应加强计划检修，使设备处于良好的密封状态，消除跑、冒、滴、漏现象；</w:t>
      </w:r>
    </w:p>
    <w:p w14:paraId="75A16A57" w14:textId="77777777" w:rsidR="00D170E5" w:rsidRPr="002B55E9" w:rsidRDefault="00EF27AD">
      <w:pPr>
        <w:pStyle w:val="affff7"/>
        <w:snapToGrid w:val="0"/>
      </w:pPr>
      <w:r w:rsidRPr="002B55E9">
        <w:rPr>
          <w:rFonts w:hint="eastAsia"/>
        </w:rPr>
        <w:t>⑨仓库地面等涉及到腐蚀性物质的场所应做地面地基防腐处理，并配备防渗漏套装等防渗装置以达到安全状态；</w:t>
      </w:r>
    </w:p>
    <w:p w14:paraId="4C7988BC" w14:textId="77777777" w:rsidR="00D170E5" w:rsidRPr="002B55E9" w:rsidRDefault="00EF27AD">
      <w:pPr>
        <w:pStyle w:val="affff7"/>
        <w:snapToGrid w:val="0"/>
      </w:pPr>
      <w:r w:rsidRPr="002B55E9">
        <w:rPr>
          <w:rFonts w:hint="eastAsia"/>
        </w:rPr>
        <w:t>⑩装卸毒害品人员应具有操作毒害品的一般知识。操作时轻拿轻放，不得碰撞、倒置，防止包装破损商品外溢。作业人员应佩带手套和相应的防毒口罩或面具，穿防护服；</w:t>
      </w:r>
    </w:p>
    <w:p w14:paraId="6D7F7B52" w14:textId="77777777" w:rsidR="00D170E5" w:rsidRPr="002B55E9" w:rsidRDefault="00EF27AD">
      <w:pPr>
        <w:pStyle w:val="affff7"/>
        <w:snapToGrid w:val="0"/>
      </w:pPr>
      <w:r w:rsidRPr="002B55E9">
        <w:rPr>
          <w:rFonts w:ascii="Cambria Math" w:hAnsi="Cambria Math" w:cs="Cambria Math"/>
        </w:rPr>
        <w:t>⑪</w:t>
      </w:r>
      <w:r w:rsidRPr="002B55E9">
        <w:rPr>
          <w:rFonts w:ascii="宋体" w:hAnsi="宋体" w:cs="宋体" w:hint="eastAsia"/>
        </w:rPr>
        <w:t>设置危险化学品安全警示牌和安全告知牌。将危险区域、危险性以及防护、应急处理等信</w:t>
      </w:r>
      <w:r w:rsidRPr="002B55E9">
        <w:rPr>
          <w:rFonts w:hint="eastAsia"/>
        </w:rPr>
        <w:t>息以标签或图示的形式醒目地表示出来，以达到警示作业人员、管理人员和应急救援人员作业时进行正确预防和防护的作用，可实现在紧急状态下，明晰现场情况，科学地进行应急救援，保障安全和减少损失；</w:t>
      </w:r>
    </w:p>
    <w:p w14:paraId="4EAAEFA0" w14:textId="77777777" w:rsidR="00D170E5" w:rsidRPr="002B55E9" w:rsidRDefault="00EF27AD">
      <w:pPr>
        <w:pStyle w:val="affff7"/>
        <w:snapToGrid w:val="0"/>
      </w:pPr>
      <w:r w:rsidRPr="002B55E9">
        <w:rPr>
          <w:rFonts w:ascii="Cambria Math" w:hAnsi="Cambria Math" w:cs="Cambria Math"/>
        </w:rPr>
        <w:t>⑫</w:t>
      </w:r>
      <w:r w:rsidRPr="002B55E9">
        <w:rPr>
          <w:rFonts w:ascii="宋体" w:hAnsi="宋体" w:cs="宋体" w:hint="eastAsia"/>
        </w:rPr>
        <w:t>严禁将混合后可能发生化学反应并形成爆炸性混合气体的气体混合排放。</w:t>
      </w:r>
    </w:p>
    <w:p w14:paraId="0EB7AA44" w14:textId="77777777" w:rsidR="00D170E5" w:rsidRPr="002B55E9" w:rsidRDefault="00EF27AD">
      <w:pPr>
        <w:pStyle w:val="affff7"/>
        <w:snapToGrid w:val="0"/>
      </w:pPr>
      <w:r w:rsidRPr="002B55E9">
        <w:rPr>
          <w:rFonts w:hint="eastAsia"/>
        </w:rPr>
        <w:t>（</w:t>
      </w:r>
      <w:r w:rsidRPr="002B55E9">
        <w:rPr>
          <w:rFonts w:hint="eastAsia"/>
        </w:rPr>
        <w:t>4</w:t>
      </w:r>
      <w:r w:rsidRPr="002B55E9">
        <w:rPr>
          <w:rFonts w:hint="eastAsia"/>
        </w:rPr>
        <w:t>）主要生产装置、设备、设施的布局事故预防措施</w:t>
      </w:r>
    </w:p>
    <w:p w14:paraId="370B9DB6" w14:textId="77777777" w:rsidR="00D170E5" w:rsidRPr="002B55E9" w:rsidRDefault="00EF27AD">
      <w:pPr>
        <w:pStyle w:val="affff7"/>
        <w:snapToGrid w:val="0"/>
      </w:pPr>
      <w:r w:rsidRPr="002B55E9">
        <w:rPr>
          <w:rFonts w:hint="eastAsia"/>
        </w:rPr>
        <w:t>①生产装置的设备、管道、建（构）筑物之间保持一定的距离，满足安装、操作、检修和防火的要求。必须有足够的操作、通行及检修需要的空间，才能保证安全生产；</w:t>
      </w:r>
    </w:p>
    <w:p w14:paraId="53AE32FF" w14:textId="77777777" w:rsidR="00D170E5" w:rsidRPr="002B55E9" w:rsidRDefault="00EF27AD">
      <w:pPr>
        <w:pStyle w:val="affff7"/>
        <w:snapToGrid w:val="0"/>
      </w:pPr>
      <w:r w:rsidRPr="002B55E9">
        <w:rPr>
          <w:rFonts w:hint="eastAsia"/>
        </w:rPr>
        <w:t>②在设备、设施、管线上有发生坠落危险的部位，应配置便于人员操作、检查和维修的扶梯、平台、围栏和系挂装置等附属设施，设计布置时要尽可能地缩短设备间的管线；</w:t>
      </w:r>
    </w:p>
    <w:p w14:paraId="5CE73F58" w14:textId="77777777" w:rsidR="00D170E5" w:rsidRPr="002B55E9" w:rsidRDefault="00EF27AD">
      <w:pPr>
        <w:pStyle w:val="affff7"/>
        <w:snapToGrid w:val="0"/>
      </w:pPr>
      <w:r w:rsidRPr="002B55E9">
        <w:rPr>
          <w:rFonts w:hint="eastAsia"/>
        </w:rPr>
        <w:lastRenderedPageBreak/>
        <w:t>③厂房内部布置时要留有堆放原料、成品和包装材料的空间，以及必要的安全运输通道；</w:t>
      </w:r>
    </w:p>
    <w:p w14:paraId="2E760396" w14:textId="77777777" w:rsidR="00D170E5" w:rsidRPr="002B55E9" w:rsidRDefault="00EF27AD">
      <w:pPr>
        <w:pStyle w:val="affff7"/>
        <w:snapToGrid w:val="0"/>
      </w:pPr>
      <w:r w:rsidRPr="002B55E9">
        <w:rPr>
          <w:rFonts w:hint="eastAsia"/>
        </w:rPr>
        <w:t>④施工现场设置安全警示标志，落实好施工各工种的安全技术操作规程。</w:t>
      </w:r>
    </w:p>
    <w:p w14:paraId="00746B8F" w14:textId="77777777" w:rsidR="00D170E5" w:rsidRPr="002B55E9" w:rsidRDefault="00EF27AD">
      <w:pPr>
        <w:pStyle w:val="5"/>
      </w:pPr>
      <w:r w:rsidRPr="002B55E9">
        <w:rPr>
          <w:rFonts w:hint="eastAsia"/>
        </w:rPr>
        <w:t>环境</w:t>
      </w:r>
      <w:r w:rsidRPr="002B55E9">
        <w:t>风险应急措施</w:t>
      </w:r>
    </w:p>
    <w:p w14:paraId="0D4F0D2B"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w:t>
      </w:r>
      <w:r w:rsidRPr="002B55E9">
        <w:rPr>
          <w:rFonts w:hint="eastAsia"/>
          <w:bCs/>
          <w:snapToGrid w:val="0"/>
          <w:sz w:val="24"/>
          <w:lang w:val="zh-CN"/>
        </w:rPr>
        <w:t>1</w:t>
      </w:r>
      <w:r w:rsidRPr="002B55E9">
        <w:rPr>
          <w:rFonts w:hint="eastAsia"/>
          <w:bCs/>
          <w:snapToGrid w:val="0"/>
          <w:sz w:val="24"/>
          <w:lang w:val="zh-CN"/>
        </w:rPr>
        <w:t>）大气环境风险应急措施</w:t>
      </w:r>
    </w:p>
    <w:p w14:paraId="2CB8D149"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大气环境风险防范措施重在事故的预防、减缓、控制。根据环境风险识别及源项分析，当发生危险物质泄漏事故时，首先应尽快对泄漏源采取切断和封堵措施，同时尽快对已经发生泄漏的危险物质进行妥善处置，防止事故扩大造成更不利影响，当发生有毒有害物质泄漏时，应尽快将影响范围内的人员疏散到安全区域。</w:t>
      </w:r>
    </w:p>
    <w:p w14:paraId="4941B85F" w14:textId="77777777" w:rsidR="00D170E5" w:rsidRPr="002B55E9" w:rsidRDefault="00EF27AD">
      <w:pPr>
        <w:spacing w:after="60" w:line="360" w:lineRule="auto"/>
        <w:ind w:firstLineChars="200" w:firstLine="480"/>
        <w:rPr>
          <w:rFonts w:hAnsi="宋体"/>
          <w:bCs/>
          <w:snapToGrid w:val="0"/>
          <w:sz w:val="24"/>
        </w:rPr>
      </w:pPr>
      <w:r w:rsidRPr="002B55E9">
        <w:rPr>
          <w:rFonts w:hint="eastAsia"/>
          <w:bCs/>
          <w:snapToGrid w:val="0"/>
          <w:sz w:val="24"/>
        </w:rPr>
        <w:t>事故发生后</w:t>
      </w:r>
      <w:r w:rsidRPr="002B55E9">
        <w:rPr>
          <w:rFonts w:hAnsi="宋体" w:hint="eastAsia"/>
          <w:bCs/>
          <w:snapToGrid w:val="0"/>
          <w:sz w:val="24"/>
        </w:rPr>
        <w:t>企业定期对全厂各大气监测点的污染物浓度进行有效地监控。事故应急救援中心根据事故、火灾的情况和指挥部的要求，设定紧急隔离危险区的距离，紧急隔离危险区边界警戒线为黄黑带，划分疏散区、下风向疏散区，在事故现场周围设防，加强警戒和巡逻；对在紧急隔离危险区内的交通道路进行管制，劝服通行车辆和人员绕道而行。</w:t>
      </w:r>
    </w:p>
    <w:p w14:paraId="794AE458"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w:t>
      </w:r>
      <w:r w:rsidRPr="002B55E9">
        <w:rPr>
          <w:rFonts w:hint="eastAsia"/>
          <w:bCs/>
          <w:snapToGrid w:val="0"/>
          <w:sz w:val="24"/>
        </w:rPr>
        <w:t>2</w:t>
      </w:r>
      <w:r w:rsidRPr="002B55E9">
        <w:rPr>
          <w:rFonts w:hint="eastAsia"/>
          <w:bCs/>
          <w:snapToGrid w:val="0"/>
          <w:sz w:val="24"/>
        </w:rPr>
        <w:t>）事故废水环境风险应急措施</w:t>
      </w:r>
    </w:p>
    <w:p w14:paraId="49270598" w14:textId="77777777" w:rsidR="00D170E5" w:rsidRPr="002B55E9" w:rsidRDefault="00EF27AD">
      <w:pPr>
        <w:spacing w:after="60" w:line="360" w:lineRule="auto"/>
        <w:ind w:firstLineChars="200" w:firstLine="480"/>
        <w:rPr>
          <w:rFonts w:hAnsi="宋体"/>
          <w:bCs/>
          <w:snapToGrid w:val="0"/>
          <w:sz w:val="24"/>
        </w:rPr>
      </w:pPr>
      <w:r w:rsidRPr="002B55E9">
        <w:rPr>
          <w:rFonts w:hint="eastAsia"/>
          <w:bCs/>
          <w:snapToGrid w:val="0"/>
          <w:sz w:val="24"/>
        </w:rPr>
        <w:t>参考《事故状态下水体污染的预防与控制技术要求》（中国石油天然气集团公司企业标准</w:t>
      </w:r>
      <w:r w:rsidRPr="002B55E9">
        <w:rPr>
          <w:bCs/>
          <w:snapToGrid w:val="0"/>
          <w:sz w:val="24"/>
        </w:rPr>
        <w:t>Q/SY 1190-2013</w:t>
      </w:r>
      <w:r w:rsidRPr="002B55E9">
        <w:rPr>
          <w:rFonts w:hint="eastAsia"/>
          <w:bCs/>
          <w:snapToGrid w:val="0"/>
          <w:sz w:val="24"/>
        </w:rPr>
        <w:t>），一级预防与控制体系的功能是防止可能产生的轻微环境污染风险；二级预防与控制体系的功能是防止可能产生的较大环境污染风险；三级预防与控制体系的功能是防止可能产生的重大环境污染风险。水污染事故三级预防与控制体系主要包括装置围堰、罐区围堰、雨排水切断系统、拦污坝、防漫流及导流设施、必要的中间事故缓冲设施及末端事故缓冲设施等。一级预防与控制体系包括装置围堰、罐区围堰及其配套设施。二级预防与控制体系包括事故缓冲设施、拦污坝及其配套设施三级预防与控制体系包括末端事故缓冲设施及其配套设施。</w:t>
      </w:r>
    </w:p>
    <w:p w14:paraId="790E7B59" w14:textId="77777777" w:rsidR="00D170E5" w:rsidRPr="002B55E9" w:rsidRDefault="00EF27AD">
      <w:pPr>
        <w:pStyle w:val="afffffff"/>
        <w:widowControl/>
        <w:numPr>
          <w:ilvl w:val="0"/>
          <w:numId w:val="34"/>
        </w:numPr>
        <w:topLinePunct/>
        <w:adjustRightInd w:val="0"/>
        <w:spacing w:after="60" w:line="360" w:lineRule="auto"/>
        <w:contextualSpacing w:val="0"/>
        <w:textAlignment w:val="baseline"/>
        <w:rPr>
          <w:bCs w:val="0"/>
          <w:snapToGrid w:val="0"/>
        </w:rPr>
      </w:pPr>
      <w:r w:rsidRPr="002B55E9">
        <w:rPr>
          <w:rFonts w:hint="eastAsia"/>
          <w:snapToGrid w:val="0"/>
        </w:rPr>
        <w:t>拟建项目环境风险事故水污染三级防控体系</w:t>
      </w:r>
    </w:p>
    <w:p w14:paraId="3B9EEB16" w14:textId="77777777" w:rsidR="00D170E5" w:rsidRPr="002B55E9" w:rsidRDefault="00EF27AD">
      <w:pPr>
        <w:spacing w:after="60" w:line="360" w:lineRule="auto"/>
        <w:ind w:firstLineChars="200" w:firstLine="480"/>
        <w:rPr>
          <w:bCs/>
          <w:snapToGrid w:val="0"/>
          <w:sz w:val="24"/>
        </w:rPr>
      </w:pPr>
      <w:r w:rsidRPr="002B55E9">
        <w:rPr>
          <w:bCs/>
          <w:snapToGrid w:val="0"/>
          <w:sz w:val="24"/>
        </w:rPr>
        <w:t>A</w:t>
      </w:r>
      <w:r w:rsidRPr="002B55E9">
        <w:rPr>
          <w:rFonts w:hint="eastAsia"/>
          <w:bCs/>
          <w:snapToGrid w:val="0"/>
          <w:sz w:val="24"/>
        </w:rPr>
        <w:t>、一级风险防范措施——地沟及围堰</w:t>
      </w:r>
    </w:p>
    <w:p w14:paraId="5AAD783E"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必须建设罐区围堰及其配套设施（如储液池、导流设施、清污水切换设施等），防止污染雨水和轻微事故泄漏造成的环境污染；设置车间事故废水、废液的收集系统。项目各车间内建有地沟，储罐设置围堰，地沟及围堰内设泵、管线与厂区事故应急池相连，实现物料回收或将废水导排至事故应急池。若化学品储罐发生泄漏，首先将泄漏物料收集在围堰内，待事故妥善处理后将可回收部分进行回收利用，不可回收部分收集后作为</w:t>
      </w:r>
      <w:r w:rsidRPr="002B55E9">
        <w:rPr>
          <w:bCs/>
          <w:snapToGrid w:val="0"/>
          <w:sz w:val="24"/>
        </w:rPr>
        <w:t>危险废物</w:t>
      </w:r>
      <w:r w:rsidRPr="002B55E9">
        <w:rPr>
          <w:rFonts w:hint="eastAsia"/>
          <w:bCs/>
          <w:snapToGrid w:val="0"/>
          <w:sz w:val="24"/>
        </w:rPr>
        <w:t>交由</w:t>
      </w:r>
      <w:r w:rsidRPr="002B55E9">
        <w:rPr>
          <w:bCs/>
          <w:snapToGrid w:val="0"/>
          <w:sz w:val="24"/>
        </w:rPr>
        <w:t>有资质单位处理</w:t>
      </w:r>
      <w:r w:rsidRPr="002B55E9">
        <w:rPr>
          <w:rFonts w:hint="eastAsia"/>
          <w:bCs/>
          <w:snapToGrid w:val="0"/>
          <w:sz w:val="24"/>
        </w:rPr>
        <w:t>。当多个储罐装置同时发生泄漏事故，根据突发环境事件对应的应急等级启动应急程序，必要时可向园区应急处理指挥部门请求援助。</w:t>
      </w:r>
    </w:p>
    <w:p w14:paraId="4BEAC6C7" w14:textId="77777777" w:rsidR="00D170E5" w:rsidRPr="002B55E9" w:rsidRDefault="00EF27AD">
      <w:pPr>
        <w:spacing w:after="60" w:line="360" w:lineRule="auto"/>
        <w:ind w:firstLineChars="200" w:firstLine="480"/>
        <w:rPr>
          <w:bCs/>
          <w:snapToGrid w:val="0"/>
          <w:sz w:val="24"/>
        </w:rPr>
      </w:pPr>
      <w:r w:rsidRPr="002B55E9">
        <w:rPr>
          <w:bCs/>
          <w:snapToGrid w:val="0"/>
          <w:sz w:val="24"/>
        </w:rPr>
        <w:lastRenderedPageBreak/>
        <w:t>B</w:t>
      </w:r>
      <w:r w:rsidRPr="002B55E9">
        <w:rPr>
          <w:rFonts w:hint="eastAsia"/>
          <w:bCs/>
          <w:snapToGrid w:val="0"/>
          <w:sz w:val="24"/>
        </w:rPr>
        <w:t>、二级风险防范措施——事故应急池</w:t>
      </w:r>
    </w:p>
    <w:p w14:paraId="08D89B7C"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第二级防控为厂区内事故应急池。发生事故时，生产区</w:t>
      </w:r>
      <w:r w:rsidRPr="002B55E9">
        <w:rPr>
          <w:bCs/>
          <w:snapToGrid w:val="0"/>
          <w:sz w:val="24"/>
        </w:rPr>
        <w:t>、辅助区</w:t>
      </w:r>
      <w:r w:rsidRPr="002B55E9">
        <w:rPr>
          <w:rFonts w:hint="eastAsia"/>
          <w:bCs/>
          <w:snapToGrid w:val="0"/>
          <w:sz w:val="24"/>
        </w:rPr>
        <w:t>域雨水总排口关闭，雨水都将进入该收集系统，并配备相应的切换装置及水泵，事故状态下，及时泵至厂区事故应急池内。建设单位在施工图设计阶段应密切关注上述切换装置及收集管道的设计落实。正常情况下，应保证事故池内不能存放废水，降水时可能积聚的少量雨水应及时排空。</w:t>
      </w:r>
    </w:p>
    <w:p w14:paraId="78D199B1" w14:textId="77777777" w:rsidR="00D170E5" w:rsidRPr="002B55E9" w:rsidRDefault="00EF27AD">
      <w:pPr>
        <w:spacing w:after="60" w:line="360" w:lineRule="auto"/>
        <w:ind w:firstLineChars="200" w:firstLine="480"/>
        <w:rPr>
          <w:bCs/>
          <w:snapToGrid w:val="0"/>
          <w:sz w:val="24"/>
        </w:rPr>
      </w:pPr>
      <w:r w:rsidRPr="002B55E9">
        <w:rPr>
          <w:bCs/>
          <w:snapToGrid w:val="0"/>
          <w:sz w:val="24"/>
        </w:rPr>
        <w:t>C</w:t>
      </w:r>
      <w:r w:rsidRPr="002B55E9">
        <w:rPr>
          <w:rFonts w:hint="eastAsia"/>
          <w:bCs/>
          <w:snapToGrid w:val="0"/>
          <w:sz w:val="24"/>
        </w:rPr>
        <w:t>、三级风险防范措施——雨水废水排口闸阀</w:t>
      </w:r>
    </w:p>
    <w:p w14:paraId="1C021D9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一般情况下，事故发生后，一级、二级风险防范措施即能够将事故控制在厂内，不会对地表水环境造成不良影响，但由于自然灾害等强烈不可抗力造成的危害则更加难以控制。</w:t>
      </w:r>
    </w:p>
    <w:p w14:paraId="183671FE"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项目在厂区雨水和废水排口设置闸阀，一旦由于自然灾害等强烈不可抗力造成物料或污水泄漏，停产后一级、二级风险防范措施未能全部储存物料或污水，应立即关闭厂区</w:t>
      </w:r>
      <w:r w:rsidRPr="002B55E9">
        <w:rPr>
          <w:bCs/>
          <w:snapToGrid w:val="0"/>
          <w:sz w:val="24"/>
        </w:rPr>
        <w:t>所有雨水排口</w:t>
      </w:r>
      <w:r w:rsidRPr="002B55E9">
        <w:rPr>
          <w:rFonts w:hint="eastAsia"/>
          <w:bCs/>
          <w:snapToGrid w:val="0"/>
          <w:sz w:val="24"/>
        </w:rPr>
        <w:t>闸阀，避免事故废水由雨水排口进入外环境，最大限度避免事故废水进入地表水体。</w:t>
      </w:r>
    </w:p>
    <w:p w14:paraId="7BBFD6F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事故情形下，事故生产废水可直接进入事故池进行暂存，若发生储罐</w:t>
      </w:r>
      <w:r w:rsidRPr="002B55E9">
        <w:rPr>
          <w:bCs/>
          <w:snapToGrid w:val="0"/>
          <w:sz w:val="24"/>
        </w:rPr>
        <w:t>/</w:t>
      </w:r>
      <w:r w:rsidRPr="002B55E9">
        <w:rPr>
          <w:rFonts w:hint="eastAsia"/>
          <w:bCs/>
          <w:snapToGrid w:val="0"/>
          <w:sz w:val="24"/>
        </w:rPr>
        <w:t>储槽泄漏事故，泄漏物料首先由围堰进行收集，后导入事故池等待处理；受污染雨水经雨水沟闸板阀截留后进入事故池暂存，后分批进入污水处理站处理，雨水管网排口设有闸阀，一旦生产事故废水（如池体溢流）、消防废水等混入雨水管网，可关闭闸阀避免事故废水通过雨水管网进入外环境。</w:t>
      </w:r>
    </w:p>
    <w:p w14:paraId="77D73E09" w14:textId="61DB6AF7" w:rsidR="00591298" w:rsidRPr="002B55E9" w:rsidRDefault="00EF27AD">
      <w:pPr>
        <w:spacing w:after="60" w:line="360" w:lineRule="auto"/>
        <w:ind w:firstLineChars="200" w:firstLine="480"/>
        <w:rPr>
          <w:bCs/>
          <w:snapToGrid w:val="0"/>
          <w:sz w:val="24"/>
        </w:rPr>
      </w:pPr>
      <w:r w:rsidRPr="002B55E9">
        <w:rPr>
          <w:rFonts w:hint="eastAsia"/>
          <w:bCs/>
          <w:snapToGrid w:val="0"/>
          <w:sz w:val="24"/>
        </w:rPr>
        <w:t>同时，本项目建议在雨水排口安装</w:t>
      </w:r>
      <w:r w:rsidR="003E2FA0">
        <w:rPr>
          <w:rFonts w:hint="eastAsia"/>
          <w:bCs/>
          <w:snapToGrid w:val="0"/>
          <w:sz w:val="24"/>
        </w:rPr>
        <w:t>摄像头</w:t>
      </w:r>
      <w:r w:rsidRPr="002B55E9">
        <w:rPr>
          <w:rFonts w:hint="eastAsia"/>
          <w:bCs/>
          <w:snapToGrid w:val="0"/>
          <w:sz w:val="24"/>
        </w:rPr>
        <w:t>监控设施，对外排雨水进行监控，若有危险物料泄漏至雨水系统，可通过</w:t>
      </w:r>
      <w:r w:rsidR="003E2FA0">
        <w:rPr>
          <w:rFonts w:hint="eastAsia"/>
          <w:bCs/>
          <w:snapToGrid w:val="0"/>
          <w:sz w:val="24"/>
        </w:rPr>
        <w:t>摄像头</w:t>
      </w:r>
      <w:r w:rsidRPr="002B55E9">
        <w:rPr>
          <w:rFonts w:hint="eastAsia"/>
          <w:bCs/>
          <w:snapToGrid w:val="0"/>
          <w:sz w:val="24"/>
        </w:rPr>
        <w:t>进行监控，可及时切换阀门，确保将泄漏的危险物料控制在厂内，不外排入外环境。</w:t>
      </w:r>
    </w:p>
    <w:tbl>
      <w:tblPr>
        <w:tblStyle w:val="afff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27"/>
      </w:tblGrid>
      <w:tr w:rsidR="00C60999" w:rsidRPr="002B55E9" w14:paraId="4021883A" w14:textId="77777777" w:rsidTr="00765632">
        <w:tc>
          <w:tcPr>
            <w:tcW w:w="9627" w:type="dxa"/>
          </w:tcPr>
          <w:p w14:paraId="682720C8" w14:textId="7D0D256A" w:rsidR="00765632" w:rsidRPr="002B55E9" w:rsidRDefault="00765632" w:rsidP="00765632">
            <w:pPr>
              <w:pStyle w:val="lgy-"/>
              <w:rPr>
                <w:snapToGrid w:val="0"/>
              </w:rPr>
            </w:pPr>
            <w:r w:rsidRPr="002B55E9">
              <w:rPr>
                <w:noProof/>
              </w:rPr>
              <w:lastRenderedPageBreak/>
              <w:drawing>
                <wp:inline distT="0" distB="0" distL="0" distR="0" wp14:anchorId="7C614B77" wp14:editId="3B990D17">
                  <wp:extent cx="5544541" cy="35095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45617" cy="3510248"/>
                          </a:xfrm>
                          <a:prstGeom prst="rect">
                            <a:avLst/>
                          </a:prstGeom>
                          <a:noFill/>
                          <a:ln>
                            <a:noFill/>
                          </a:ln>
                        </pic:spPr>
                      </pic:pic>
                    </a:graphicData>
                  </a:graphic>
                </wp:inline>
              </w:drawing>
            </w:r>
          </w:p>
        </w:tc>
      </w:tr>
    </w:tbl>
    <w:p w14:paraId="603F3EB9" w14:textId="01732B88" w:rsidR="00591298" w:rsidRPr="002B55E9" w:rsidRDefault="00765632" w:rsidP="00765632">
      <w:pPr>
        <w:jc w:val="center"/>
        <w:rPr>
          <w:rFonts w:ascii="黑体" w:eastAsia="黑体" w:hAnsi="黑体"/>
          <w:b/>
          <w:snapToGrid w:val="0"/>
          <w:sz w:val="24"/>
        </w:rPr>
      </w:pPr>
      <w:r w:rsidRPr="002B55E9">
        <w:rPr>
          <w:rFonts w:ascii="黑体" w:eastAsia="黑体" w:hAnsi="黑体" w:hint="eastAsia"/>
          <w:b/>
          <w:snapToGrid w:val="0"/>
          <w:sz w:val="24"/>
        </w:rPr>
        <w:t>图6</w:t>
      </w:r>
      <w:r w:rsidRPr="002B55E9">
        <w:rPr>
          <w:rFonts w:ascii="黑体" w:eastAsia="黑体" w:hAnsi="黑体"/>
          <w:b/>
          <w:snapToGrid w:val="0"/>
          <w:sz w:val="24"/>
        </w:rPr>
        <w:t xml:space="preserve">-6-1  </w:t>
      </w:r>
      <w:r w:rsidRPr="002B55E9">
        <w:rPr>
          <w:rFonts w:ascii="黑体" w:eastAsia="黑体" w:hAnsi="黑体" w:hint="eastAsia"/>
          <w:b/>
          <w:snapToGrid w:val="0"/>
          <w:sz w:val="24"/>
        </w:rPr>
        <w:t>项目“三级防控”系统图</w:t>
      </w:r>
    </w:p>
    <w:p w14:paraId="5CA1889F" w14:textId="77777777" w:rsidR="00D170E5" w:rsidRPr="002B55E9" w:rsidRDefault="00EF27AD">
      <w:pPr>
        <w:numPr>
          <w:ilvl w:val="0"/>
          <w:numId w:val="35"/>
        </w:numPr>
        <w:spacing w:after="60" w:line="360" w:lineRule="auto"/>
        <w:rPr>
          <w:bCs/>
          <w:snapToGrid w:val="0"/>
          <w:sz w:val="24"/>
        </w:rPr>
      </w:pPr>
      <w:r w:rsidRPr="002B55E9">
        <w:rPr>
          <w:rFonts w:hint="eastAsia"/>
          <w:bCs/>
          <w:snapToGrid w:val="0"/>
          <w:sz w:val="24"/>
        </w:rPr>
        <w:t>风险事故收集系统所需容积计算</w:t>
      </w:r>
    </w:p>
    <w:p w14:paraId="3C03300D" w14:textId="77777777" w:rsidR="00D170E5" w:rsidRPr="002B55E9" w:rsidRDefault="00EF27AD">
      <w:pPr>
        <w:spacing w:after="60" w:line="360" w:lineRule="auto"/>
        <w:ind w:firstLineChars="200" w:firstLine="480"/>
        <w:rPr>
          <w:bCs/>
          <w:snapToGrid w:val="0"/>
          <w:sz w:val="24"/>
        </w:rPr>
      </w:pPr>
      <w:r w:rsidRPr="002B55E9">
        <w:rPr>
          <w:bCs/>
          <w:snapToGrid w:val="0"/>
          <w:sz w:val="24"/>
        </w:rPr>
        <w:t>风险事故收集系统所需容积参照中石化集团编制的《水体污染防控紧急措施设计导则》中的</w:t>
      </w:r>
      <w:r w:rsidRPr="002B55E9">
        <w:rPr>
          <w:bCs/>
          <w:snapToGrid w:val="0"/>
          <w:sz w:val="24"/>
        </w:rPr>
        <w:t>“</w:t>
      </w:r>
      <w:r w:rsidRPr="002B55E9">
        <w:rPr>
          <w:bCs/>
          <w:snapToGrid w:val="0"/>
          <w:sz w:val="24"/>
        </w:rPr>
        <w:t>事故储存设施总有效容积</w:t>
      </w:r>
      <w:r w:rsidRPr="002B55E9">
        <w:rPr>
          <w:bCs/>
          <w:snapToGrid w:val="0"/>
          <w:sz w:val="24"/>
        </w:rPr>
        <w:t>”</w:t>
      </w:r>
      <w:r w:rsidRPr="002B55E9">
        <w:rPr>
          <w:bCs/>
          <w:snapToGrid w:val="0"/>
          <w:sz w:val="24"/>
        </w:rPr>
        <w:t>计算公式确定，事故储存设施包括事故池、事故罐、围堰内或围堰内区域等。事故储存设施容积计算公式如下：</w:t>
      </w:r>
    </w:p>
    <w:p w14:paraId="615738F7" w14:textId="77777777" w:rsidR="00D170E5" w:rsidRPr="002B55E9" w:rsidRDefault="00EF27AD">
      <w:pPr>
        <w:spacing w:after="60" w:line="360" w:lineRule="auto"/>
        <w:ind w:firstLineChars="200" w:firstLine="480"/>
        <w:jc w:val="center"/>
        <w:rPr>
          <w:bCs/>
          <w:snapToGrid w:val="0"/>
          <w:sz w:val="24"/>
          <w:vertAlign w:val="subscript"/>
        </w:rPr>
      </w:pPr>
      <w:r w:rsidRPr="002B55E9">
        <w:rPr>
          <w:bCs/>
          <w:snapToGrid w:val="0"/>
          <w:sz w:val="24"/>
        </w:rPr>
        <w:t>V</w:t>
      </w:r>
      <w:r w:rsidRPr="002B55E9">
        <w:rPr>
          <w:bCs/>
          <w:snapToGrid w:val="0"/>
          <w:sz w:val="24"/>
          <w:vertAlign w:val="subscript"/>
        </w:rPr>
        <w:t>总</w:t>
      </w:r>
      <w:r w:rsidRPr="002B55E9">
        <w:rPr>
          <w:bCs/>
          <w:snapToGrid w:val="0"/>
          <w:sz w:val="24"/>
        </w:rPr>
        <w:t xml:space="preserve">= </w:t>
      </w:r>
      <w:r w:rsidRPr="002B55E9">
        <w:rPr>
          <w:bCs/>
          <w:snapToGrid w:val="0"/>
          <w:sz w:val="24"/>
        </w:rPr>
        <w:t>（</w:t>
      </w:r>
      <w:r w:rsidRPr="002B55E9">
        <w:rPr>
          <w:bCs/>
          <w:snapToGrid w:val="0"/>
          <w:sz w:val="24"/>
        </w:rPr>
        <w:t>V</w:t>
      </w:r>
      <w:r w:rsidRPr="002B55E9">
        <w:rPr>
          <w:bCs/>
          <w:snapToGrid w:val="0"/>
          <w:sz w:val="24"/>
          <w:vertAlign w:val="subscript"/>
        </w:rPr>
        <w:t>1</w:t>
      </w:r>
      <w:r w:rsidRPr="002B55E9">
        <w:rPr>
          <w:bCs/>
          <w:snapToGrid w:val="0"/>
          <w:sz w:val="24"/>
        </w:rPr>
        <w:t>+ V</w:t>
      </w:r>
      <w:r w:rsidRPr="002B55E9">
        <w:rPr>
          <w:bCs/>
          <w:snapToGrid w:val="0"/>
          <w:sz w:val="24"/>
          <w:vertAlign w:val="subscript"/>
        </w:rPr>
        <w:t>2</w:t>
      </w:r>
      <w:r w:rsidRPr="002B55E9">
        <w:rPr>
          <w:bCs/>
          <w:snapToGrid w:val="0"/>
          <w:sz w:val="24"/>
        </w:rPr>
        <w:t>- V</w:t>
      </w:r>
      <w:r w:rsidRPr="002B55E9">
        <w:rPr>
          <w:bCs/>
          <w:snapToGrid w:val="0"/>
          <w:sz w:val="24"/>
          <w:vertAlign w:val="subscript"/>
        </w:rPr>
        <w:t>3</w:t>
      </w:r>
      <w:r w:rsidRPr="002B55E9">
        <w:rPr>
          <w:bCs/>
          <w:snapToGrid w:val="0"/>
          <w:sz w:val="24"/>
        </w:rPr>
        <w:t>）</w:t>
      </w:r>
      <w:r w:rsidRPr="002B55E9">
        <w:rPr>
          <w:bCs/>
          <w:snapToGrid w:val="0"/>
          <w:sz w:val="24"/>
          <w:vertAlign w:val="subscript"/>
        </w:rPr>
        <w:t xml:space="preserve">max </w:t>
      </w:r>
      <w:r w:rsidRPr="002B55E9">
        <w:rPr>
          <w:bCs/>
          <w:snapToGrid w:val="0"/>
          <w:sz w:val="24"/>
        </w:rPr>
        <w:t>+ V</w:t>
      </w:r>
      <w:r w:rsidRPr="002B55E9">
        <w:rPr>
          <w:bCs/>
          <w:snapToGrid w:val="0"/>
          <w:sz w:val="24"/>
          <w:vertAlign w:val="subscript"/>
        </w:rPr>
        <w:t>4</w:t>
      </w:r>
      <w:r w:rsidRPr="002B55E9">
        <w:rPr>
          <w:bCs/>
          <w:snapToGrid w:val="0"/>
          <w:sz w:val="24"/>
        </w:rPr>
        <w:t>+ V</w:t>
      </w:r>
      <w:r w:rsidRPr="002B55E9">
        <w:rPr>
          <w:bCs/>
          <w:snapToGrid w:val="0"/>
          <w:sz w:val="24"/>
          <w:vertAlign w:val="subscript"/>
        </w:rPr>
        <w:t>5</w:t>
      </w:r>
    </w:p>
    <w:p w14:paraId="6A313831" w14:textId="77777777" w:rsidR="00D170E5" w:rsidRPr="002B55E9" w:rsidRDefault="00EF27AD">
      <w:pPr>
        <w:spacing w:after="60" w:line="360" w:lineRule="auto"/>
        <w:ind w:firstLineChars="200" w:firstLine="480"/>
        <w:rPr>
          <w:bCs/>
          <w:snapToGrid w:val="0"/>
          <w:sz w:val="24"/>
        </w:rPr>
      </w:pPr>
      <w:r w:rsidRPr="002B55E9">
        <w:rPr>
          <w:bCs/>
          <w:snapToGrid w:val="0"/>
          <w:sz w:val="24"/>
        </w:rPr>
        <w:t>注：（</w:t>
      </w:r>
      <w:r w:rsidRPr="002B55E9">
        <w:rPr>
          <w:bCs/>
          <w:snapToGrid w:val="0"/>
          <w:sz w:val="24"/>
        </w:rPr>
        <w:t>V</w:t>
      </w:r>
      <w:r w:rsidRPr="002B55E9">
        <w:rPr>
          <w:bCs/>
          <w:snapToGrid w:val="0"/>
          <w:sz w:val="24"/>
          <w:vertAlign w:val="subscript"/>
        </w:rPr>
        <w:t>1</w:t>
      </w:r>
      <w:r w:rsidRPr="002B55E9">
        <w:rPr>
          <w:bCs/>
          <w:snapToGrid w:val="0"/>
          <w:sz w:val="24"/>
        </w:rPr>
        <w:t>+ V</w:t>
      </w:r>
      <w:r w:rsidRPr="002B55E9">
        <w:rPr>
          <w:bCs/>
          <w:snapToGrid w:val="0"/>
          <w:sz w:val="24"/>
          <w:vertAlign w:val="subscript"/>
        </w:rPr>
        <w:t>2</w:t>
      </w:r>
      <w:r w:rsidRPr="002B55E9">
        <w:rPr>
          <w:bCs/>
          <w:snapToGrid w:val="0"/>
          <w:sz w:val="24"/>
        </w:rPr>
        <w:t>- V</w:t>
      </w:r>
      <w:r w:rsidRPr="002B55E9">
        <w:rPr>
          <w:bCs/>
          <w:snapToGrid w:val="0"/>
          <w:sz w:val="24"/>
          <w:vertAlign w:val="subscript"/>
        </w:rPr>
        <w:t>3</w:t>
      </w:r>
      <w:r w:rsidRPr="002B55E9">
        <w:rPr>
          <w:bCs/>
          <w:snapToGrid w:val="0"/>
          <w:sz w:val="24"/>
        </w:rPr>
        <w:t>）</w:t>
      </w:r>
      <w:r w:rsidRPr="002B55E9">
        <w:rPr>
          <w:bCs/>
          <w:snapToGrid w:val="0"/>
          <w:sz w:val="24"/>
          <w:vertAlign w:val="subscript"/>
        </w:rPr>
        <w:t>max</w:t>
      </w:r>
      <w:r w:rsidRPr="002B55E9">
        <w:rPr>
          <w:bCs/>
          <w:snapToGrid w:val="0"/>
          <w:sz w:val="24"/>
        </w:rPr>
        <w:t>是指对收集系统范围内不同罐组或装置分别计算</w:t>
      </w:r>
      <w:r w:rsidRPr="002B55E9">
        <w:rPr>
          <w:bCs/>
          <w:snapToGrid w:val="0"/>
          <w:sz w:val="24"/>
        </w:rPr>
        <w:t>V</w:t>
      </w:r>
      <w:r w:rsidRPr="002B55E9">
        <w:rPr>
          <w:bCs/>
          <w:snapToGrid w:val="0"/>
          <w:sz w:val="24"/>
          <w:vertAlign w:val="subscript"/>
        </w:rPr>
        <w:t>1</w:t>
      </w:r>
      <w:r w:rsidRPr="002B55E9">
        <w:rPr>
          <w:bCs/>
          <w:snapToGrid w:val="0"/>
          <w:sz w:val="24"/>
        </w:rPr>
        <w:t>+ V</w:t>
      </w:r>
      <w:r w:rsidRPr="002B55E9">
        <w:rPr>
          <w:bCs/>
          <w:snapToGrid w:val="0"/>
          <w:sz w:val="24"/>
          <w:vertAlign w:val="subscript"/>
        </w:rPr>
        <w:t>2</w:t>
      </w:r>
      <w:r w:rsidRPr="002B55E9">
        <w:rPr>
          <w:bCs/>
          <w:snapToGrid w:val="0"/>
          <w:sz w:val="24"/>
        </w:rPr>
        <w:t>- V</w:t>
      </w:r>
      <w:r w:rsidRPr="002B55E9">
        <w:rPr>
          <w:bCs/>
          <w:snapToGrid w:val="0"/>
          <w:sz w:val="24"/>
          <w:vertAlign w:val="subscript"/>
        </w:rPr>
        <w:t>3</w:t>
      </w:r>
      <w:r w:rsidRPr="002B55E9">
        <w:rPr>
          <w:bCs/>
          <w:snapToGrid w:val="0"/>
          <w:sz w:val="24"/>
        </w:rPr>
        <w:t>，取其中最大值。</w:t>
      </w:r>
    </w:p>
    <w:p w14:paraId="7D458F2E" w14:textId="77777777" w:rsidR="00D170E5" w:rsidRPr="002B55E9" w:rsidRDefault="00EF27AD">
      <w:pPr>
        <w:spacing w:after="60" w:line="360" w:lineRule="auto"/>
        <w:ind w:firstLineChars="200" w:firstLine="464"/>
        <w:rPr>
          <w:bCs/>
          <w:snapToGrid w:val="0"/>
          <w:spacing w:val="-8"/>
          <w:sz w:val="24"/>
        </w:rPr>
      </w:pPr>
      <w:r w:rsidRPr="002B55E9">
        <w:rPr>
          <w:bCs/>
          <w:snapToGrid w:val="0"/>
          <w:spacing w:val="-8"/>
          <w:sz w:val="24"/>
        </w:rPr>
        <w:t>V</w:t>
      </w:r>
      <w:r w:rsidRPr="002B55E9">
        <w:rPr>
          <w:bCs/>
          <w:snapToGrid w:val="0"/>
          <w:spacing w:val="-8"/>
          <w:sz w:val="24"/>
          <w:vertAlign w:val="subscript"/>
        </w:rPr>
        <w:t>1</w:t>
      </w:r>
      <w:r w:rsidRPr="002B55E9">
        <w:rPr>
          <w:bCs/>
          <w:snapToGrid w:val="0"/>
          <w:spacing w:val="-8"/>
          <w:sz w:val="24"/>
        </w:rPr>
        <w:t>——</w:t>
      </w:r>
      <w:r w:rsidRPr="002B55E9">
        <w:rPr>
          <w:bCs/>
          <w:snapToGrid w:val="0"/>
          <w:spacing w:val="-8"/>
          <w:sz w:val="24"/>
        </w:rPr>
        <w:t>收集系统范围内发生事故的一个罐组或一套装置的物料量。</w:t>
      </w:r>
    </w:p>
    <w:p w14:paraId="7092E0AD" w14:textId="77777777" w:rsidR="00D170E5" w:rsidRPr="002B55E9" w:rsidRDefault="00EF27AD">
      <w:pPr>
        <w:spacing w:after="60" w:line="360" w:lineRule="auto"/>
        <w:ind w:firstLineChars="200" w:firstLine="480"/>
        <w:rPr>
          <w:bCs/>
          <w:snapToGrid w:val="0"/>
          <w:sz w:val="24"/>
        </w:rPr>
      </w:pPr>
      <w:r w:rsidRPr="002B55E9">
        <w:rPr>
          <w:bCs/>
          <w:snapToGrid w:val="0"/>
          <w:sz w:val="24"/>
        </w:rPr>
        <w:t>注：储存相同物料的罐组按一个最大储罐计，装置物料量按存留最大物料量的一台反应器或中间储罐计；</w:t>
      </w:r>
    </w:p>
    <w:p w14:paraId="4DC24E8C" w14:textId="77777777" w:rsidR="00D170E5" w:rsidRPr="002B55E9" w:rsidRDefault="00EF27AD">
      <w:pPr>
        <w:spacing w:after="60" w:line="360" w:lineRule="auto"/>
        <w:ind w:firstLineChars="200" w:firstLine="480"/>
        <w:rPr>
          <w:bCs/>
          <w:snapToGrid w:val="0"/>
          <w:sz w:val="24"/>
        </w:rPr>
      </w:pPr>
      <w:r w:rsidRPr="002B55E9">
        <w:rPr>
          <w:bCs/>
          <w:snapToGrid w:val="0"/>
          <w:sz w:val="24"/>
        </w:rPr>
        <w:t>V</w:t>
      </w:r>
      <w:r w:rsidRPr="002B55E9">
        <w:rPr>
          <w:bCs/>
          <w:snapToGrid w:val="0"/>
          <w:sz w:val="24"/>
          <w:vertAlign w:val="subscript"/>
        </w:rPr>
        <w:t>2</w:t>
      </w:r>
      <w:r w:rsidRPr="002B55E9">
        <w:rPr>
          <w:bCs/>
          <w:snapToGrid w:val="0"/>
          <w:sz w:val="24"/>
        </w:rPr>
        <w:t>——</w:t>
      </w:r>
      <w:r w:rsidRPr="002B55E9">
        <w:rPr>
          <w:bCs/>
          <w:snapToGrid w:val="0"/>
          <w:sz w:val="24"/>
        </w:rPr>
        <w:t>发生事故的储罐或装置的消防水量，</w:t>
      </w:r>
      <w:r w:rsidRPr="002B55E9">
        <w:rPr>
          <w:bCs/>
          <w:snapToGrid w:val="0"/>
          <w:sz w:val="24"/>
        </w:rPr>
        <w:t>m</w:t>
      </w:r>
      <w:r w:rsidRPr="002B55E9">
        <w:rPr>
          <w:bCs/>
          <w:snapToGrid w:val="0"/>
          <w:sz w:val="24"/>
          <w:vertAlign w:val="superscript"/>
        </w:rPr>
        <w:t>3</w:t>
      </w:r>
      <w:r w:rsidRPr="002B55E9">
        <w:rPr>
          <w:bCs/>
          <w:snapToGrid w:val="0"/>
          <w:sz w:val="24"/>
        </w:rPr>
        <w:t>；</w:t>
      </w:r>
    </w:p>
    <w:p w14:paraId="324C3AE2" w14:textId="77777777" w:rsidR="00D170E5" w:rsidRPr="002B55E9" w:rsidRDefault="00EF27AD">
      <w:pPr>
        <w:spacing w:after="60" w:line="360" w:lineRule="auto"/>
        <w:ind w:firstLineChars="200" w:firstLine="480"/>
        <w:jc w:val="center"/>
        <w:rPr>
          <w:bCs/>
          <w:snapToGrid w:val="0"/>
          <w:sz w:val="24"/>
        </w:rPr>
      </w:pPr>
      <w:r w:rsidRPr="002B55E9">
        <w:rPr>
          <w:bCs/>
          <w:snapToGrid w:val="0"/>
          <w:sz w:val="24"/>
        </w:rPr>
        <w:t>V</w:t>
      </w:r>
      <w:r w:rsidRPr="002B55E9">
        <w:rPr>
          <w:bCs/>
          <w:snapToGrid w:val="0"/>
          <w:sz w:val="24"/>
          <w:vertAlign w:val="subscript"/>
        </w:rPr>
        <w:t>2</w:t>
      </w:r>
      <w:r w:rsidRPr="002B55E9">
        <w:rPr>
          <w:bCs/>
          <w:snapToGrid w:val="0"/>
          <w:sz w:val="24"/>
        </w:rPr>
        <w:t>=∑Q</w:t>
      </w:r>
      <w:r w:rsidRPr="002B55E9">
        <w:rPr>
          <w:bCs/>
          <w:snapToGrid w:val="0"/>
          <w:sz w:val="24"/>
          <w:vertAlign w:val="subscript"/>
        </w:rPr>
        <w:t>消</w:t>
      </w:r>
      <w:r w:rsidRPr="002B55E9">
        <w:rPr>
          <w:bCs/>
          <w:snapToGrid w:val="0"/>
          <w:sz w:val="24"/>
        </w:rPr>
        <w:t>t</w:t>
      </w:r>
      <w:r w:rsidRPr="002B55E9">
        <w:rPr>
          <w:bCs/>
          <w:snapToGrid w:val="0"/>
          <w:sz w:val="24"/>
          <w:vertAlign w:val="subscript"/>
        </w:rPr>
        <w:t>消</w:t>
      </w:r>
    </w:p>
    <w:p w14:paraId="317BCAC4"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消</w:t>
      </w:r>
      <w:r w:rsidRPr="002B55E9">
        <w:rPr>
          <w:bCs/>
          <w:snapToGrid w:val="0"/>
          <w:sz w:val="24"/>
        </w:rPr>
        <w:t>——</w:t>
      </w:r>
      <w:r w:rsidRPr="002B55E9">
        <w:rPr>
          <w:bCs/>
          <w:snapToGrid w:val="0"/>
          <w:sz w:val="24"/>
        </w:rPr>
        <w:t>发生事故的储罐或装置的同时使用的消防设施给水流量，</w:t>
      </w:r>
      <w:r w:rsidRPr="002B55E9">
        <w:rPr>
          <w:bCs/>
          <w:snapToGrid w:val="0"/>
          <w:sz w:val="24"/>
        </w:rPr>
        <w:t>m</w:t>
      </w:r>
      <w:r w:rsidRPr="002B55E9">
        <w:rPr>
          <w:bCs/>
          <w:snapToGrid w:val="0"/>
          <w:sz w:val="24"/>
          <w:vertAlign w:val="superscript"/>
        </w:rPr>
        <w:t>3</w:t>
      </w:r>
      <w:r w:rsidRPr="002B55E9">
        <w:rPr>
          <w:bCs/>
          <w:snapToGrid w:val="0"/>
          <w:sz w:val="24"/>
        </w:rPr>
        <w:t>/h</w:t>
      </w:r>
      <w:r w:rsidRPr="002B55E9">
        <w:rPr>
          <w:bCs/>
          <w:snapToGrid w:val="0"/>
          <w:sz w:val="24"/>
        </w:rPr>
        <w:t>；</w:t>
      </w:r>
    </w:p>
    <w:p w14:paraId="751E92CC" w14:textId="77777777" w:rsidR="00D170E5" w:rsidRPr="002B55E9" w:rsidRDefault="00EF27AD">
      <w:pPr>
        <w:spacing w:after="60" w:line="360" w:lineRule="auto"/>
        <w:ind w:firstLineChars="200" w:firstLine="480"/>
        <w:rPr>
          <w:bCs/>
          <w:snapToGrid w:val="0"/>
          <w:sz w:val="24"/>
        </w:rPr>
      </w:pPr>
      <w:r w:rsidRPr="002B55E9">
        <w:rPr>
          <w:bCs/>
          <w:snapToGrid w:val="0"/>
          <w:sz w:val="24"/>
        </w:rPr>
        <w:t>t</w:t>
      </w:r>
      <w:r w:rsidRPr="002B55E9">
        <w:rPr>
          <w:bCs/>
          <w:snapToGrid w:val="0"/>
          <w:sz w:val="24"/>
          <w:vertAlign w:val="subscript"/>
        </w:rPr>
        <w:t>消</w:t>
      </w:r>
      <w:r w:rsidRPr="002B55E9">
        <w:rPr>
          <w:bCs/>
          <w:snapToGrid w:val="0"/>
          <w:sz w:val="24"/>
        </w:rPr>
        <w:t>——</w:t>
      </w:r>
      <w:r w:rsidRPr="002B55E9">
        <w:rPr>
          <w:bCs/>
          <w:snapToGrid w:val="0"/>
          <w:sz w:val="24"/>
        </w:rPr>
        <w:t>消防设施对应的设计消防历时，</w:t>
      </w:r>
      <w:r w:rsidRPr="002B55E9">
        <w:rPr>
          <w:bCs/>
          <w:snapToGrid w:val="0"/>
          <w:sz w:val="24"/>
        </w:rPr>
        <w:t>h</w:t>
      </w:r>
      <w:r w:rsidRPr="002B55E9">
        <w:rPr>
          <w:bCs/>
          <w:snapToGrid w:val="0"/>
          <w:sz w:val="24"/>
        </w:rPr>
        <w:t>；</w:t>
      </w:r>
    </w:p>
    <w:p w14:paraId="30F294E5" w14:textId="77777777" w:rsidR="00D170E5" w:rsidRPr="002B55E9" w:rsidRDefault="00EF27AD">
      <w:pPr>
        <w:spacing w:after="60" w:line="360" w:lineRule="auto"/>
        <w:ind w:firstLineChars="200" w:firstLine="468"/>
        <w:rPr>
          <w:bCs/>
          <w:snapToGrid w:val="0"/>
          <w:spacing w:val="-6"/>
          <w:sz w:val="24"/>
        </w:rPr>
      </w:pPr>
      <w:r w:rsidRPr="002B55E9">
        <w:rPr>
          <w:bCs/>
          <w:snapToGrid w:val="0"/>
          <w:spacing w:val="-6"/>
          <w:sz w:val="24"/>
        </w:rPr>
        <w:t>V</w:t>
      </w:r>
      <w:r w:rsidRPr="002B55E9">
        <w:rPr>
          <w:bCs/>
          <w:snapToGrid w:val="0"/>
          <w:spacing w:val="-6"/>
          <w:sz w:val="24"/>
          <w:vertAlign w:val="subscript"/>
        </w:rPr>
        <w:t>3</w:t>
      </w:r>
      <w:r w:rsidRPr="002B55E9">
        <w:rPr>
          <w:bCs/>
          <w:snapToGrid w:val="0"/>
          <w:spacing w:val="-6"/>
          <w:sz w:val="24"/>
        </w:rPr>
        <w:t>——</w:t>
      </w:r>
      <w:r w:rsidRPr="002B55E9">
        <w:rPr>
          <w:bCs/>
          <w:snapToGrid w:val="0"/>
          <w:spacing w:val="-6"/>
          <w:sz w:val="24"/>
        </w:rPr>
        <w:t>发生事故时可以转输到其他储存或处理设施的物料量，</w:t>
      </w:r>
      <w:r w:rsidRPr="002B55E9">
        <w:rPr>
          <w:bCs/>
          <w:snapToGrid w:val="0"/>
          <w:spacing w:val="-6"/>
          <w:sz w:val="24"/>
        </w:rPr>
        <w:t>m</w:t>
      </w:r>
      <w:r w:rsidRPr="002B55E9">
        <w:rPr>
          <w:bCs/>
          <w:snapToGrid w:val="0"/>
          <w:spacing w:val="-6"/>
          <w:sz w:val="24"/>
          <w:vertAlign w:val="superscript"/>
        </w:rPr>
        <w:t>3</w:t>
      </w:r>
      <w:r w:rsidRPr="002B55E9">
        <w:rPr>
          <w:bCs/>
          <w:snapToGrid w:val="0"/>
          <w:spacing w:val="-6"/>
          <w:sz w:val="24"/>
        </w:rPr>
        <w:t>；</w:t>
      </w:r>
    </w:p>
    <w:p w14:paraId="6546E789" w14:textId="77777777" w:rsidR="00D170E5" w:rsidRPr="002B55E9" w:rsidRDefault="00EF27AD">
      <w:pPr>
        <w:spacing w:after="60" w:line="360" w:lineRule="auto"/>
        <w:ind w:firstLineChars="200" w:firstLine="480"/>
        <w:rPr>
          <w:bCs/>
          <w:snapToGrid w:val="0"/>
          <w:sz w:val="24"/>
        </w:rPr>
      </w:pPr>
      <w:r w:rsidRPr="002B55E9">
        <w:rPr>
          <w:bCs/>
          <w:snapToGrid w:val="0"/>
          <w:sz w:val="24"/>
        </w:rPr>
        <w:t>V</w:t>
      </w:r>
      <w:r w:rsidRPr="002B55E9">
        <w:rPr>
          <w:bCs/>
          <w:snapToGrid w:val="0"/>
          <w:sz w:val="24"/>
          <w:vertAlign w:val="subscript"/>
        </w:rPr>
        <w:t>4</w:t>
      </w:r>
      <w:r w:rsidRPr="002B55E9">
        <w:rPr>
          <w:bCs/>
          <w:snapToGrid w:val="0"/>
          <w:sz w:val="24"/>
        </w:rPr>
        <w:t>——</w:t>
      </w:r>
      <w:r w:rsidRPr="002B55E9">
        <w:rPr>
          <w:bCs/>
          <w:snapToGrid w:val="0"/>
          <w:sz w:val="24"/>
        </w:rPr>
        <w:t>发生事故时仍必须进入该收集系统的生产废水量，</w:t>
      </w:r>
      <w:r w:rsidRPr="002B55E9">
        <w:rPr>
          <w:bCs/>
          <w:snapToGrid w:val="0"/>
          <w:sz w:val="24"/>
        </w:rPr>
        <w:t>m</w:t>
      </w:r>
      <w:r w:rsidRPr="002B55E9">
        <w:rPr>
          <w:bCs/>
          <w:snapToGrid w:val="0"/>
          <w:sz w:val="24"/>
          <w:vertAlign w:val="superscript"/>
        </w:rPr>
        <w:t>3</w:t>
      </w:r>
      <w:r w:rsidRPr="002B55E9">
        <w:rPr>
          <w:bCs/>
          <w:snapToGrid w:val="0"/>
          <w:sz w:val="24"/>
        </w:rPr>
        <w:t>；</w:t>
      </w:r>
    </w:p>
    <w:p w14:paraId="6C2D6482" w14:textId="77777777" w:rsidR="00D170E5" w:rsidRPr="002B55E9" w:rsidRDefault="00EF27AD">
      <w:pPr>
        <w:spacing w:after="60" w:line="360" w:lineRule="auto"/>
        <w:ind w:firstLineChars="200" w:firstLine="480"/>
        <w:rPr>
          <w:bCs/>
          <w:snapToGrid w:val="0"/>
          <w:sz w:val="24"/>
        </w:rPr>
      </w:pPr>
      <w:r w:rsidRPr="002B55E9">
        <w:rPr>
          <w:bCs/>
          <w:snapToGrid w:val="0"/>
          <w:sz w:val="24"/>
        </w:rPr>
        <w:t>V</w:t>
      </w:r>
      <w:r w:rsidRPr="002B55E9">
        <w:rPr>
          <w:bCs/>
          <w:snapToGrid w:val="0"/>
          <w:sz w:val="24"/>
          <w:vertAlign w:val="subscript"/>
        </w:rPr>
        <w:t>5</w:t>
      </w:r>
      <w:r w:rsidRPr="002B55E9">
        <w:rPr>
          <w:bCs/>
          <w:snapToGrid w:val="0"/>
          <w:sz w:val="24"/>
        </w:rPr>
        <w:t>——</w:t>
      </w:r>
      <w:r w:rsidRPr="002B55E9">
        <w:rPr>
          <w:bCs/>
          <w:snapToGrid w:val="0"/>
          <w:sz w:val="24"/>
        </w:rPr>
        <w:t>发生事故时可能进入该收集系统的降雨量，</w:t>
      </w:r>
      <w:r w:rsidRPr="002B55E9">
        <w:rPr>
          <w:bCs/>
          <w:snapToGrid w:val="0"/>
          <w:sz w:val="24"/>
        </w:rPr>
        <w:t>m</w:t>
      </w:r>
      <w:r w:rsidRPr="002B55E9">
        <w:rPr>
          <w:bCs/>
          <w:snapToGrid w:val="0"/>
          <w:sz w:val="24"/>
          <w:vertAlign w:val="superscript"/>
        </w:rPr>
        <w:t>3</w:t>
      </w:r>
      <w:r w:rsidRPr="002B55E9">
        <w:rPr>
          <w:bCs/>
          <w:snapToGrid w:val="0"/>
          <w:sz w:val="24"/>
        </w:rPr>
        <w:t>；</w:t>
      </w:r>
    </w:p>
    <w:p w14:paraId="2475C517" w14:textId="77777777" w:rsidR="00D170E5" w:rsidRPr="002B55E9" w:rsidRDefault="00EF27AD">
      <w:pPr>
        <w:spacing w:after="60" w:line="360" w:lineRule="auto"/>
        <w:ind w:firstLineChars="200" w:firstLine="480"/>
        <w:jc w:val="center"/>
        <w:rPr>
          <w:bCs/>
          <w:snapToGrid w:val="0"/>
          <w:sz w:val="24"/>
        </w:rPr>
      </w:pPr>
      <w:r w:rsidRPr="002B55E9">
        <w:rPr>
          <w:bCs/>
          <w:snapToGrid w:val="0"/>
          <w:sz w:val="24"/>
        </w:rPr>
        <w:lastRenderedPageBreak/>
        <w:t>V</w:t>
      </w:r>
      <w:r w:rsidRPr="002B55E9">
        <w:rPr>
          <w:bCs/>
          <w:snapToGrid w:val="0"/>
          <w:sz w:val="24"/>
          <w:vertAlign w:val="subscript"/>
        </w:rPr>
        <w:t>5</w:t>
      </w:r>
      <w:r w:rsidRPr="002B55E9">
        <w:rPr>
          <w:bCs/>
          <w:snapToGrid w:val="0"/>
          <w:sz w:val="24"/>
        </w:rPr>
        <w:t>=10qF</w:t>
      </w:r>
    </w:p>
    <w:p w14:paraId="5516D28E"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rPr>
        <w:t>降雨强度，</w:t>
      </w:r>
      <w:r w:rsidRPr="002B55E9">
        <w:rPr>
          <w:bCs/>
          <w:snapToGrid w:val="0"/>
          <w:sz w:val="24"/>
        </w:rPr>
        <w:t>mm</w:t>
      </w:r>
      <w:r w:rsidRPr="002B55E9">
        <w:rPr>
          <w:bCs/>
          <w:snapToGrid w:val="0"/>
          <w:sz w:val="24"/>
        </w:rPr>
        <w:t>；按平均日降雨量；</w:t>
      </w:r>
    </w:p>
    <w:p w14:paraId="67986B33" w14:textId="77777777" w:rsidR="00D170E5" w:rsidRPr="002B55E9" w:rsidRDefault="00EF27AD">
      <w:pPr>
        <w:spacing w:after="60" w:line="360" w:lineRule="auto"/>
        <w:ind w:firstLineChars="200" w:firstLine="480"/>
        <w:rPr>
          <w:bCs/>
          <w:snapToGrid w:val="0"/>
          <w:sz w:val="24"/>
        </w:rPr>
      </w:pPr>
      <w:r w:rsidRPr="002B55E9">
        <w:rPr>
          <w:bCs/>
          <w:snapToGrid w:val="0"/>
          <w:sz w:val="24"/>
        </w:rPr>
        <w:t>q=q</w:t>
      </w:r>
      <w:r w:rsidRPr="002B55E9">
        <w:rPr>
          <w:bCs/>
          <w:snapToGrid w:val="0"/>
          <w:sz w:val="24"/>
          <w:vertAlign w:val="subscript"/>
        </w:rPr>
        <w:t>a</w:t>
      </w:r>
      <w:r w:rsidRPr="002B55E9">
        <w:rPr>
          <w:bCs/>
          <w:snapToGrid w:val="0"/>
          <w:sz w:val="24"/>
        </w:rPr>
        <w:t>/n</w:t>
      </w:r>
    </w:p>
    <w:p w14:paraId="5D5566A8"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a</w:t>
      </w:r>
      <w:r w:rsidRPr="002B55E9">
        <w:rPr>
          <w:bCs/>
          <w:snapToGrid w:val="0"/>
          <w:sz w:val="24"/>
        </w:rPr>
        <w:t>——</w:t>
      </w:r>
      <w:r w:rsidRPr="002B55E9">
        <w:rPr>
          <w:bCs/>
          <w:snapToGrid w:val="0"/>
          <w:sz w:val="24"/>
        </w:rPr>
        <w:t>年平均降雨量，</w:t>
      </w:r>
      <w:r w:rsidRPr="002B55E9">
        <w:rPr>
          <w:bCs/>
          <w:snapToGrid w:val="0"/>
          <w:sz w:val="24"/>
        </w:rPr>
        <w:t>mm</w:t>
      </w:r>
      <w:r w:rsidRPr="002B55E9">
        <w:rPr>
          <w:bCs/>
          <w:snapToGrid w:val="0"/>
          <w:sz w:val="24"/>
        </w:rPr>
        <w:t>；</w:t>
      </w:r>
    </w:p>
    <w:p w14:paraId="305020C9" w14:textId="77777777" w:rsidR="00D170E5" w:rsidRPr="002B55E9" w:rsidRDefault="00EF27AD">
      <w:pPr>
        <w:spacing w:after="60" w:line="360" w:lineRule="auto"/>
        <w:ind w:firstLineChars="200" w:firstLine="480"/>
        <w:rPr>
          <w:bCs/>
          <w:snapToGrid w:val="0"/>
          <w:sz w:val="24"/>
        </w:rPr>
      </w:pPr>
      <w:r w:rsidRPr="002B55E9">
        <w:rPr>
          <w:bCs/>
          <w:snapToGrid w:val="0"/>
          <w:sz w:val="24"/>
        </w:rPr>
        <w:t>n——</w:t>
      </w:r>
      <w:r w:rsidRPr="002B55E9">
        <w:rPr>
          <w:bCs/>
          <w:snapToGrid w:val="0"/>
          <w:sz w:val="24"/>
        </w:rPr>
        <w:t>年平均降雨日数</w:t>
      </w:r>
      <w:r w:rsidRPr="002B55E9">
        <w:rPr>
          <w:rFonts w:hint="eastAsia"/>
          <w:bCs/>
          <w:snapToGrid w:val="0"/>
          <w:sz w:val="24"/>
        </w:rPr>
        <w:t>；</w:t>
      </w:r>
    </w:p>
    <w:p w14:paraId="0D068C20" w14:textId="77777777" w:rsidR="00D170E5" w:rsidRPr="002B55E9" w:rsidRDefault="00EF27AD">
      <w:pPr>
        <w:spacing w:after="60" w:line="360" w:lineRule="auto"/>
        <w:ind w:firstLineChars="200" w:firstLine="480"/>
        <w:rPr>
          <w:bCs/>
          <w:snapToGrid w:val="0"/>
          <w:sz w:val="24"/>
        </w:rPr>
      </w:pPr>
      <w:r w:rsidRPr="002B55E9">
        <w:rPr>
          <w:bCs/>
          <w:snapToGrid w:val="0"/>
          <w:sz w:val="24"/>
        </w:rPr>
        <w:t>F——</w:t>
      </w:r>
      <w:r w:rsidRPr="002B55E9">
        <w:rPr>
          <w:bCs/>
          <w:snapToGrid w:val="0"/>
          <w:sz w:val="24"/>
        </w:rPr>
        <w:t>必须进入事故废水收集系统的雨水汇水面积，</w:t>
      </w:r>
      <w:r w:rsidRPr="002B55E9">
        <w:rPr>
          <w:bCs/>
          <w:snapToGrid w:val="0"/>
          <w:sz w:val="24"/>
        </w:rPr>
        <w:t>ha</w:t>
      </w:r>
      <w:r w:rsidRPr="002B55E9">
        <w:rPr>
          <w:bCs/>
          <w:snapToGrid w:val="0"/>
          <w:sz w:val="24"/>
        </w:rPr>
        <w:t>；</w:t>
      </w:r>
    </w:p>
    <w:p w14:paraId="4F3A5794" w14:textId="77777777" w:rsidR="00D170E5" w:rsidRPr="002B55E9" w:rsidRDefault="00EF27AD">
      <w:pPr>
        <w:numPr>
          <w:ilvl w:val="0"/>
          <w:numId w:val="36"/>
        </w:numPr>
        <w:spacing w:after="60" w:line="360" w:lineRule="auto"/>
        <w:rPr>
          <w:bCs/>
          <w:snapToGrid w:val="0"/>
          <w:sz w:val="24"/>
        </w:rPr>
      </w:pPr>
      <w:r w:rsidRPr="002B55E9">
        <w:rPr>
          <w:rFonts w:hint="eastAsia"/>
          <w:bCs/>
          <w:snapToGrid w:val="0"/>
          <w:sz w:val="24"/>
        </w:rPr>
        <w:t>泄漏物料量计算（</w:t>
      </w:r>
      <w:r w:rsidRPr="002B55E9">
        <w:rPr>
          <w:rFonts w:hint="eastAsia"/>
          <w:bCs/>
          <w:snapToGrid w:val="0"/>
          <w:sz w:val="24"/>
        </w:rPr>
        <w:t>V</w:t>
      </w:r>
      <w:r w:rsidRPr="002B55E9">
        <w:rPr>
          <w:rFonts w:hint="eastAsia"/>
          <w:bCs/>
          <w:snapToGrid w:val="0"/>
          <w:sz w:val="24"/>
          <w:vertAlign w:val="subscript"/>
        </w:rPr>
        <w:t>1</w:t>
      </w:r>
      <w:r w:rsidRPr="002B55E9">
        <w:rPr>
          <w:rFonts w:hint="eastAsia"/>
          <w:bCs/>
          <w:snapToGrid w:val="0"/>
          <w:sz w:val="24"/>
        </w:rPr>
        <w:t>）</w:t>
      </w:r>
    </w:p>
    <w:p w14:paraId="0C3EAC3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根据项目风险</w:t>
      </w:r>
      <w:r w:rsidRPr="002B55E9">
        <w:rPr>
          <w:bCs/>
          <w:snapToGrid w:val="0"/>
          <w:sz w:val="24"/>
        </w:rPr>
        <w:t>物质</w:t>
      </w:r>
      <w:r w:rsidRPr="002B55E9">
        <w:rPr>
          <w:rFonts w:hint="eastAsia"/>
          <w:bCs/>
          <w:snapToGrid w:val="0"/>
          <w:sz w:val="24"/>
        </w:rPr>
        <w:t>储存分布情况，罐区三单个储罐最大容积为</w:t>
      </w:r>
      <w:r w:rsidRPr="002B55E9">
        <w:rPr>
          <w:bCs/>
          <w:snapToGrid w:val="0"/>
          <w:sz w:val="24"/>
        </w:rPr>
        <w:t>600</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w:t>
      </w:r>
      <w:r w:rsidRPr="002B55E9">
        <w:rPr>
          <w:bCs/>
          <w:snapToGrid w:val="0"/>
          <w:sz w:val="24"/>
        </w:rPr>
        <w:t>酒精罐区</w:t>
      </w:r>
      <w:r w:rsidRPr="002B55E9">
        <w:rPr>
          <w:rFonts w:hint="eastAsia"/>
          <w:bCs/>
          <w:snapToGrid w:val="0"/>
          <w:sz w:val="24"/>
        </w:rPr>
        <w:t>单个最储罐大</w:t>
      </w:r>
      <w:r w:rsidRPr="002B55E9">
        <w:rPr>
          <w:bCs/>
          <w:snapToGrid w:val="0"/>
          <w:sz w:val="24"/>
        </w:rPr>
        <w:t>容积</w:t>
      </w:r>
      <w:r w:rsidRPr="002B55E9">
        <w:rPr>
          <w:rFonts w:hint="eastAsia"/>
          <w:bCs/>
          <w:snapToGrid w:val="0"/>
          <w:sz w:val="24"/>
        </w:rPr>
        <w:t>2</w:t>
      </w:r>
      <w:r w:rsidRPr="002B55E9">
        <w:rPr>
          <w:bCs/>
          <w:snapToGrid w:val="0"/>
          <w:sz w:val="24"/>
        </w:rPr>
        <w:t>60</w:t>
      </w:r>
      <w:r w:rsidRPr="002B55E9">
        <w:rPr>
          <w:rFonts w:hint="eastAsia"/>
          <w:bCs/>
          <w:snapToGrid w:val="0"/>
          <w:sz w:val="24"/>
        </w:rPr>
        <w:t xml:space="preserve"> m</w:t>
      </w:r>
      <w:r w:rsidRPr="002B55E9">
        <w:rPr>
          <w:rFonts w:hint="eastAsia"/>
          <w:bCs/>
          <w:snapToGrid w:val="0"/>
          <w:sz w:val="24"/>
          <w:vertAlign w:val="superscript"/>
        </w:rPr>
        <w:t>3</w:t>
      </w:r>
      <w:r w:rsidRPr="002B55E9">
        <w:rPr>
          <w:rFonts w:hint="eastAsia"/>
          <w:bCs/>
          <w:snapToGrid w:val="0"/>
          <w:sz w:val="24"/>
        </w:rPr>
        <w:t>，十三车间</w:t>
      </w:r>
      <w:r w:rsidRPr="002B55E9">
        <w:rPr>
          <w:bCs/>
          <w:snapToGrid w:val="0"/>
          <w:sz w:val="24"/>
        </w:rPr>
        <w:t>单个</w:t>
      </w:r>
      <w:r w:rsidRPr="002B55E9">
        <w:rPr>
          <w:rFonts w:hint="eastAsia"/>
          <w:bCs/>
          <w:snapToGrid w:val="0"/>
          <w:sz w:val="24"/>
        </w:rPr>
        <w:t>装置</w:t>
      </w:r>
      <w:r w:rsidRPr="002B55E9">
        <w:rPr>
          <w:bCs/>
          <w:snapToGrid w:val="0"/>
          <w:sz w:val="24"/>
        </w:rPr>
        <w:t>最大</w:t>
      </w:r>
      <w:r w:rsidRPr="002B55E9">
        <w:rPr>
          <w:rFonts w:hint="eastAsia"/>
          <w:bCs/>
          <w:snapToGrid w:val="0"/>
          <w:sz w:val="24"/>
        </w:rPr>
        <w:t>容积</w:t>
      </w:r>
      <w:r w:rsidRPr="002B55E9">
        <w:rPr>
          <w:bCs/>
          <w:snapToGrid w:val="0"/>
          <w:sz w:val="24"/>
        </w:rPr>
        <w:t>为</w:t>
      </w:r>
      <w:r w:rsidRPr="002B55E9">
        <w:rPr>
          <w:bCs/>
          <w:snapToGrid w:val="0"/>
          <w:sz w:val="24"/>
        </w:rPr>
        <w:t>80</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，十一车间单个储罐最大容积</w:t>
      </w:r>
      <w:r w:rsidRPr="002B55E9">
        <w:rPr>
          <w:bCs/>
          <w:snapToGrid w:val="0"/>
          <w:sz w:val="24"/>
        </w:rPr>
        <w:t>20</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。按</w:t>
      </w:r>
      <w:r w:rsidRPr="002B55E9">
        <w:rPr>
          <w:bCs/>
          <w:snapToGrid w:val="0"/>
          <w:sz w:val="24"/>
        </w:rPr>
        <w:t>最不利情况储罐满载计，</w:t>
      </w:r>
      <w:r w:rsidRPr="002B55E9">
        <w:rPr>
          <w:rFonts w:hint="eastAsia"/>
          <w:bCs/>
          <w:snapToGrid w:val="0"/>
          <w:sz w:val="24"/>
        </w:rPr>
        <w:t>则泄漏物料量分别按照罐区</w:t>
      </w:r>
      <w:r w:rsidRPr="002B55E9">
        <w:rPr>
          <w:bCs/>
          <w:snapToGrid w:val="0"/>
          <w:sz w:val="24"/>
        </w:rPr>
        <w:t>600</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、酒精</w:t>
      </w:r>
      <w:r w:rsidRPr="002B55E9">
        <w:rPr>
          <w:bCs/>
          <w:snapToGrid w:val="0"/>
          <w:sz w:val="24"/>
        </w:rPr>
        <w:t>储罐</w:t>
      </w:r>
      <w:r w:rsidRPr="002B55E9">
        <w:rPr>
          <w:rFonts w:hint="eastAsia"/>
          <w:bCs/>
          <w:snapToGrid w:val="0"/>
          <w:sz w:val="24"/>
        </w:rPr>
        <w:t>260 m</w:t>
      </w:r>
      <w:r w:rsidRPr="002B55E9">
        <w:rPr>
          <w:rFonts w:hint="eastAsia"/>
          <w:bCs/>
          <w:snapToGrid w:val="0"/>
          <w:sz w:val="24"/>
          <w:vertAlign w:val="superscript"/>
        </w:rPr>
        <w:t>3</w:t>
      </w:r>
      <w:r w:rsidRPr="002B55E9">
        <w:rPr>
          <w:rFonts w:hint="eastAsia"/>
          <w:bCs/>
          <w:snapToGrid w:val="0"/>
          <w:sz w:val="24"/>
        </w:rPr>
        <w:t>、十一车间</w:t>
      </w:r>
      <w:r w:rsidRPr="002B55E9">
        <w:rPr>
          <w:rFonts w:hint="eastAsia"/>
          <w:bCs/>
          <w:snapToGrid w:val="0"/>
          <w:sz w:val="24"/>
        </w:rPr>
        <w:t>20m</w:t>
      </w:r>
      <w:r w:rsidRPr="002B55E9">
        <w:rPr>
          <w:rFonts w:hint="eastAsia"/>
          <w:bCs/>
          <w:snapToGrid w:val="0"/>
          <w:sz w:val="24"/>
          <w:vertAlign w:val="superscript"/>
        </w:rPr>
        <w:t>3</w:t>
      </w:r>
      <w:r w:rsidRPr="002B55E9">
        <w:rPr>
          <w:rFonts w:hint="eastAsia"/>
          <w:bCs/>
          <w:snapToGrid w:val="0"/>
          <w:sz w:val="24"/>
        </w:rPr>
        <w:t>、十三</w:t>
      </w:r>
      <w:r w:rsidRPr="002B55E9">
        <w:rPr>
          <w:bCs/>
          <w:snapToGrid w:val="0"/>
          <w:sz w:val="24"/>
        </w:rPr>
        <w:t>车间</w:t>
      </w:r>
      <w:r w:rsidRPr="002B55E9">
        <w:rPr>
          <w:rFonts w:hint="eastAsia"/>
          <w:bCs/>
          <w:snapToGrid w:val="0"/>
          <w:sz w:val="24"/>
        </w:rPr>
        <w:t>80 m</w:t>
      </w:r>
      <w:r w:rsidRPr="002B55E9">
        <w:rPr>
          <w:rFonts w:hint="eastAsia"/>
          <w:bCs/>
          <w:snapToGrid w:val="0"/>
          <w:sz w:val="24"/>
          <w:vertAlign w:val="superscript"/>
        </w:rPr>
        <w:t>3</w:t>
      </w:r>
      <w:r w:rsidRPr="002B55E9">
        <w:rPr>
          <w:rFonts w:hint="eastAsia"/>
          <w:bCs/>
          <w:snapToGrid w:val="0"/>
          <w:sz w:val="24"/>
        </w:rPr>
        <w:t>。</w:t>
      </w:r>
    </w:p>
    <w:p w14:paraId="5B60D56D"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本项目各个火灾发生区域的物料泄露情况如下表所示。</w:t>
      </w:r>
    </w:p>
    <w:p w14:paraId="2CE89994" w14:textId="77777777" w:rsidR="00D170E5" w:rsidRPr="002B55E9" w:rsidRDefault="00EF27AD">
      <w:pPr>
        <w:autoSpaceDE w:val="0"/>
        <w:autoSpaceDN w:val="0"/>
        <w:adjustRightInd w:val="0"/>
        <w:jc w:val="center"/>
        <w:rPr>
          <w:rFonts w:eastAsia="黑体"/>
          <w:b/>
          <w:sz w:val="24"/>
          <w:szCs w:val="28"/>
        </w:rPr>
      </w:pPr>
      <w:r w:rsidRPr="002B55E9">
        <w:rPr>
          <w:rFonts w:eastAsia="黑体" w:hint="eastAsia"/>
          <w:b/>
          <w:sz w:val="24"/>
          <w:szCs w:val="28"/>
        </w:rPr>
        <w:t>表</w:t>
      </w:r>
      <w:r w:rsidRPr="002B55E9">
        <w:rPr>
          <w:rFonts w:eastAsia="黑体" w:hint="eastAsia"/>
          <w:b/>
          <w:sz w:val="24"/>
          <w:szCs w:val="28"/>
        </w:rPr>
        <w:t>6-6</w:t>
      </w:r>
      <w:r w:rsidRPr="002B55E9">
        <w:rPr>
          <w:rFonts w:eastAsia="黑体"/>
          <w:b/>
          <w:sz w:val="24"/>
          <w:szCs w:val="28"/>
        </w:rPr>
        <w:t>-</w:t>
      </w:r>
      <w:r w:rsidRPr="002B55E9">
        <w:rPr>
          <w:rFonts w:eastAsia="黑体" w:hint="eastAsia"/>
          <w:b/>
          <w:sz w:val="24"/>
          <w:szCs w:val="28"/>
        </w:rPr>
        <w:t xml:space="preserve">1  </w:t>
      </w:r>
      <w:r w:rsidRPr="002B55E9">
        <w:rPr>
          <w:rFonts w:eastAsia="黑体" w:hint="eastAsia"/>
          <w:b/>
          <w:sz w:val="24"/>
          <w:szCs w:val="28"/>
        </w:rPr>
        <w:t>收集系统范围内发生事故的</w:t>
      </w:r>
      <w:r w:rsidRPr="002B55E9">
        <w:rPr>
          <w:rFonts w:eastAsia="黑体"/>
          <w:b/>
          <w:sz w:val="24"/>
          <w:szCs w:val="28"/>
        </w:rPr>
        <w:t>泄漏物</w:t>
      </w:r>
      <w:r w:rsidRPr="002B55E9">
        <w:rPr>
          <w:rFonts w:eastAsia="黑体" w:hint="eastAsia"/>
          <w:b/>
          <w:sz w:val="24"/>
          <w:szCs w:val="28"/>
        </w:rPr>
        <w:t>料</w:t>
      </w:r>
      <w:r w:rsidRPr="002B55E9">
        <w:rPr>
          <w:rFonts w:eastAsia="黑体"/>
          <w:b/>
          <w:sz w:val="24"/>
          <w:szCs w:val="28"/>
        </w:rPr>
        <w:t>量</w:t>
      </w:r>
    </w:p>
    <w:tbl>
      <w:tblPr>
        <w:tblStyle w:val="lgy2"/>
        <w:tblW w:w="5000" w:type="pct"/>
        <w:tblLayout w:type="fixed"/>
        <w:tblCellMar>
          <w:left w:w="28" w:type="dxa"/>
          <w:right w:w="28" w:type="dxa"/>
        </w:tblCellMar>
        <w:tblLook w:val="04A0" w:firstRow="1" w:lastRow="0" w:firstColumn="1" w:lastColumn="0" w:noHBand="0" w:noVBand="1"/>
      </w:tblPr>
      <w:tblGrid>
        <w:gridCol w:w="1752"/>
        <w:gridCol w:w="4026"/>
        <w:gridCol w:w="3915"/>
      </w:tblGrid>
      <w:tr w:rsidR="00C60999" w:rsidRPr="002B55E9" w14:paraId="4AF8CD06"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1742" w:type="dxa"/>
            <w:noWrap/>
          </w:tcPr>
          <w:p w14:paraId="72589A94" w14:textId="77777777" w:rsidR="00D170E5" w:rsidRPr="002B55E9" w:rsidRDefault="00EF27AD">
            <w:pPr>
              <w:pStyle w:val="lgy-"/>
            </w:pPr>
            <w:r w:rsidRPr="002B55E9">
              <w:rPr>
                <w:rFonts w:eastAsia="宋体"/>
                <w:lang w:bidi="ar"/>
              </w:rPr>
              <w:t>序号</w:t>
            </w:r>
          </w:p>
        </w:tc>
        <w:tc>
          <w:tcPr>
            <w:tcW w:w="4003" w:type="dxa"/>
          </w:tcPr>
          <w:p w14:paraId="4C2F1B79" w14:textId="77777777" w:rsidR="00D170E5" w:rsidRPr="002B55E9" w:rsidRDefault="00EF27AD" w:rsidP="00712630">
            <w:pPr>
              <w:pStyle w:val="lgy-"/>
            </w:pPr>
            <w:r w:rsidRPr="002B55E9">
              <w:rPr>
                <w:rFonts w:eastAsia="宋体"/>
                <w:lang w:bidi="ar"/>
              </w:rPr>
              <w:t>火灾发生区域</w:t>
            </w:r>
          </w:p>
        </w:tc>
        <w:tc>
          <w:tcPr>
            <w:tcW w:w="3892" w:type="dxa"/>
          </w:tcPr>
          <w:p w14:paraId="463DC69A" w14:textId="77777777" w:rsidR="00D170E5" w:rsidRPr="002B55E9" w:rsidRDefault="00EF27AD">
            <w:pPr>
              <w:pStyle w:val="lgy-"/>
              <w:rPr>
                <w:rFonts w:eastAsia="宋体"/>
              </w:rPr>
            </w:pPr>
            <w:r w:rsidRPr="002B55E9">
              <w:rPr>
                <w:rFonts w:eastAsia="宋体"/>
                <w:lang w:bidi="ar"/>
              </w:rPr>
              <w:t>泄漏物料量</w:t>
            </w:r>
            <w:r w:rsidRPr="002B55E9">
              <w:rPr>
                <w:rFonts w:eastAsia="宋体"/>
                <w:lang w:bidi="ar"/>
              </w:rPr>
              <w:t>V1</w:t>
            </w:r>
            <w:r w:rsidRPr="002B55E9">
              <w:rPr>
                <w:rFonts w:eastAsia="宋体"/>
                <w:lang w:bidi="ar"/>
              </w:rPr>
              <w:t>（</w:t>
            </w:r>
            <w:r w:rsidRPr="002B55E9">
              <w:rPr>
                <w:rFonts w:eastAsia="宋体"/>
                <w:lang w:bidi="ar"/>
              </w:rPr>
              <w:t>m</w:t>
            </w:r>
            <w:r w:rsidRPr="002B55E9">
              <w:rPr>
                <w:rFonts w:eastAsia="宋体"/>
                <w:vertAlign w:val="superscript"/>
                <w:lang w:bidi="ar"/>
              </w:rPr>
              <w:t>3</w:t>
            </w:r>
            <w:r w:rsidRPr="002B55E9">
              <w:rPr>
                <w:rFonts w:eastAsia="宋体"/>
                <w:lang w:bidi="ar"/>
              </w:rPr>
              <w:t>）</w:t>
            </w:r>
          </w:p>
        </w:tc>
      </w:tr>
      <w:tr w:rsidR="00C60999" w:rsidRPr="002B55E9" w14:paraId="11C7E12E" w14:textId="77777777" w:rsidTr="00712630">
        <w:trPr>
          <w:trHeight w:val="283"/>
        </w:trPr>
        <w:tc>
          <w:tcPr>
            <w:tcW w:w="1742" w:type="dxa"/>
            <w:noWrap/>
          </w:tcPr>
          <w:p w14:paraId="45DE392B" w14:textId="77777777" w:rsidR="00D170E5" w:rsidRPr="002B55E9" w:rsidRDefault="00EF27AD">
            <w:pPr>
              <w:pStyle w:val="lgy-"/>
            </w:pPr>
            <w:r w:rsidRPr="002B55E9">
              <w:rPr>
                <w:rFonts w:eastAsia="宋体"/>
                <w:lang w:bidi="ar"/>
              </w:rPr>
              <w:t>1</w:t>
            </w:r>
          </w:p>
        </w:tc>
        <w:tc>
          <w:tcPr>
            <w:tcW w:w="4003" w:type="dxa"/>
            <w:noWrap/>
          </w:tcPr>
          <w:p w14:paraId="7944063A" w14:textId="77777777" w:rsidR="00D170E5" w:rsidRPr="002B55E9" w:rsidRDefault="00EF27AD">
            <w:pPr>
              <w:pStyle w:val="lgy-"/>
            </w:pPr>
            <w:r w:rsidRPr="002B55E9">
              <w:rPr>
                <w:rFonts w:eastAsia="宋体" w:hint="eastAsia"/>
              </w:rPr>
              <w:t>十一</w:t>
            </w:r>
            <w:r w:rsidRPr="002B55E9">
              <w:rPr>
                <w:rFonts w:eastAsia="宋体"/>
              </w:rPr>
              <w:t>车间</w:t>
            </w:r>
          </w:p>
        </w:tc>
        <w:tc>
          <w:tcPr>
            <w:tcW w:w="3892" w:type="dxa"/>
            <w:noWrap/>
          </w:tcPr>
          <w:p w14:paraId="41AFD695" w14:textId="77777777" w:rsidR="00D170E5" w:rsidRPr="002B55E9" w:rsidRDefault="00EF27AD">
            <w:pPr>
              <w:pStyle w:val="lgy-"/>
              <w:rPr>
                <w:rFonts w:eastAsia="宋体"/>
              </w:rPr>
            </w:pPr>
            <w:r w:rsidRPr="002B55E9">
              <w:rPr>
                <w:rFonts w:eastAsia="宋体"/>
              </w:rPr>
              <w:t>20</w:t>
            </w:r>
          </w:p>
        </w:tc>
      </w:tr>
      <w:tr w:rsidR="00C60999" w:rsidRPr="002B55E9" w14:paraId="15039709" w14:textId="77777777" w:rsidTr="00712630">
        <w:trPr>
          <w:trHeight w:val="283"/>
        </w:trPr>
        <w:tc>
          <w:tcPr>
            <w:tcW w:w="1742" w:type="dxa"/>
            <w:noWrap/>
          </w:tcPr>
          <w:p w14:paraId="3C166D64" w14:textId="77777777" w:rsidR="00D170E5" w:rsidRPr="002B55E9" w:rsidRDefault="00EF27AD">
            <w:pPr>
              <w:pStyle w:val="lgy-"/>
            </w:pPr>
            <w:r w:rsidRPr="002B55E9">
              <w:rPr>
                <w:rFonts w:eastAsia="宋体"/>
                <w:lang w:bidi="ar"/>
              </w:rPr>
              <w:t>2</w:t>
            </w:r>
          </w:p>
        </w:tc>
        <w:tc>
          <w:tcPr>
            <w:tcW w:w="4003" w:type="dxa"/>
            <w:noWrap/>
          </w:tcPr>
          <w:p w14:paraId="436F5A56" w14:textId="77777777" w:rsidR="00D170E5" w:rsidRPr="002B55E9" w:rsidRDefault="00EF27AD">
            <w:pPr>
              <w:pStyle w:val="lgy-"/>
            </w:pPr>
            <w:r w:rsidRPr="002B55E9">
              <w:rPr>
                <w:rFonts w:eastAsia="宋体" w:hint="eastAsia"/>
              </w:rPr>
              <w:t>十三车间</w:t>
            </w:r>
          </w:p>
        </w:tc>
        <w:tc>
          <w:tcPr>
            <w:tcW w:w="3892" w:type="dxa"/>
            <w:noWrap/>
          </w:tcPr>
          <w:p w14:paraId="21E97A3F" w14:textId="77777777" w:rsidR="00D170E5" w:rsidRPr="002B55E9" w:rsidRDefault="00EF27AD">
            <w:pPr>
              <w:pStyle w:val="lgy-"/>
              <w:rPr>
                <w:rFonts w:eastAsia="宋体"/>
              </w:rPr>
            </w:pPr>
            <w:r w:rsidRPr="002B55E9">
              <w:rPr>
                <w:rFonts w:eastAsia="宋体"/>
              </w:rPr>
              <w:t>80</w:t>
            </w:r>
          </w:p>
        </w:tc>
      </w:tr>
      <w:tr w:rsidR="00C60999" w:rsidRPr="002B55E9" w14:paraId="28D62882" w14:textId="77777777" w:rsidTr="00712630">
        <w:trPr>
          <w:trHeight w:val="283"/>
        </w:trPr>
        <w:tc>
          <w:tcPr>
            <w:tcW w:w="1742" w:type="dxa"/>
            <w:noWrap/>
          </w:tcPr>
          <w:p w14:paraId="45C5E712" w14:textId="77777777" w:rsidR="00D170E5" w:rsidRPr="002B55E9" w:rsidRDefault="00EF27AD">
            <w:pPr>
              <w:pStyle w:val="lgy-"/>
            </w:pPr>
            <w:r w:rsidRPr="002B55E9">
              <w:rPr>
                <w:rFonts w:eastAsia="宋体"/>
                <w:lang w:bidi="ar"/>
              </w:rPr>
              <w:t>3</w:t>
            </w:r>
          </w:p>
        </w:tc>
        <w:tc>
          <w:tcPr>
            <w:tcW w:w="4003" w:type="dxa"/>
            <w:noWrap/>
          </w:tcPr>
          <w:p w14:paraId="543E7D39" w14:textId="77777777" w:rsidR="00D170E5" w:rsidRPr="002B55E9" w:rsidRDefault="00EF27AD">
            <w:pPr>
              <w:pStyle w:val="lgy-"/>
            </w:pPr>
            <w:r w:rsidRPr="002B55E9">
              <w:rPr>
                <w:rFonts w:eastAsia="宋体" w:hint="eastAsia"/>
              </w:rPr>
              <w:t>罐区三</w:t>
            </w:r>
          </w:p>
        </w:tc>
        <w:tc>
          <w:tcPr>
            <w:tcW w:w="3892" w:type="dxa"/>
            <w:noWrap/>
          </w:tcPr>
          <w:p w14:paraId="7C56CBD2" w14:textId="77777777" w:rsidR="00D170E5" w:rsidRPr="002B55E9" w:rsidRDefault="00EF27AD">
            <w:pPr>
              <w:pStyle w:val="lgy-"/>
              <w:rPr>
                <w:rFonts w:eastAsia="宋体"/>
              </w:rPr>
            </w:pPr>
            <w:r w:rsidRPr="002B55E9">
              <w:rPr>
                <w:rFonts w:eastAsia="宋体" w:hint="eastAsia"/>
              </w:rPr>
              <w:t>6</w:t>
            </w:r>
            <w:r w:rsidRPr="002B55E9">
              <w:rPr>
                <w:rFonts w:eastAsia="宋体"/>
              </w:rPr>
              <w:t>00</w:t>
            </w:r>
          </w:p>
        </w:tc>
      </w:tr>
      <w:tr w:rsidR="00C60999" w:rsidRPr="002B55E9" w14:paraId="7BEF5CF7" w14:textId="77777777" w:rsidTr="00712630">
        <w:trPr>
          <w:trHeight w:val="283"/>
        </w:trPr>
        <w:tc>
          <w:tcPr>
            <w:tcW w:w="1742" w:type="dxa"/>
            <w:noWrap/>
          </w:tcPr>
          <w:p w14:paraId="3ADCC863" w14:textId="77777777" w:rsidR="00D170E5" w:rsidRPr="002B55E9" w:rsidRDefault="00EF27AD">
            <w:pPr>
              <w:pStyle w:val="lgy-"/>
            </w:pPr>
            <w:r w:rsidRPr="002B55E9">
              <w:rPr>
                <w:rFonts w:eastAsia="宋体"/>
                <w:lang w:bidi="ar"/>
              </w:rPr>
              <w:t>4</w:t>
            </w:r>
          </w:p>
        </w:tc>
        <w:tc>
          <w:tcPr>
            <w:tcW w:w="4003" w:type="dxa"/>
            <w:noWrap/>
          </w:tcPr>
          <w:p w14:paraId="43004A8B" w14:textId="77777777" w:rsidR="00D170E5" w:rsidRPr="002B55E9" w:rsidRDefault="00EF27AD">
            <w:pPr>
              <w:pStyle w:val="lgy-"/>
            </w:pPr>
            <w:r w:rsidRPr="002B55E9">
              <w:rPr>
                <w:rFonts w:eastAsia="宋体" w:hint="eastAsia"/>
              </w:rPr>
              <w:t>酒精罐区</w:t>
            </w:r>
          </w:p>
        </w:tc>
        <w:tc>
          <w:tcPr>
            <w:tcW w:w="3892" w:type="dxa"/>
            <w:noWrap/>
          </w:tcPr>
          <w:p w14:paraId="7D388265" w14:textId="77777777" w:rsidR="00D170E5" w:rsidRPr="002B55E9" w:rsidRDefault="00EF27AD">
            <w:pPr>
              <w:pStyle w:val="lgy-"/>
              <w:rPr>
                <w:rFonts w:eastAsia="宋体"/>
              </w:rPr>
            </w:pPr>
            <w:r w:rsidRPr="002B55E9">
              <w:rPr>
                <w:rFonts w:eastAsia="宋体" w:hint="eastAsia"/>
              </w:rPr>
              <w:t>2</w:t>
            </w:r>
            <w:r w:rsidRPr="002B55E9">
              <w:rPr>
                <w:rFonts w:eastAsia="宋体"/>
              </w:rPr>
              <w:t>60</w:t>
            </w:r>
          </w:p>
        </w:tc>
      </w:tr>
    </w:tbl>
    <w:p w14:paraId="28CE6EBC" w14:textId="77777777" w:rsidR="00D170E5" w:rsidRPr="002B55E9" w:rsidRDefault="00EF27AD">
      <w:pPr>
        <w:numPr>
          <w:ilvl w:val="0"/>
          <w:numId w:val="36"/>
        </w:numPr>
        <w:spacing w:after="60" w:line="360" w:lineRule="auto"/>
        <w:rPr>
          <w:bCs/>
          <w:snapToGrid w:val="0"/>
          <w:sz w:val="24"/>
        </w:rPr>
      </w:pPr>
      <w:r w:rsidRPr="002B55E9">
        <w:rPr>
          <w:rFonts w:hint="eastAsia"/>
          <w:bCs/>
          <w:snapToGrid w:val="0"/>
          <w:sz w:val="24"/>
        </w:rPr>
        <w:t>消防水量计算（</w:t>
      </w:r>
      <w:r w:rsidRPr="002B55E9">
        <w:rPr>
          <w:rFonts w:hint="eastAsia"/>
          <w:bCs/>
          <w:snapToGrid w:val="0"/>
          <w:sz w:val="24"/>
        </w:rPr>
        <w:t>V</w:t>
      </w:r>
      <w:r w:rsidRPr="002B55E9">
        <w:rPr>
          <w:rFonts w:hint="eastAsia"/>
          <w:bCs/>
          <w:snapToGrid w:val="0"/>
          <w:sz w:val="24"/>
          <w:vertAlign w:val="subscript"/>
        </w:rPr>
        <w:t>2</w:t>
      </w:r>
      <w:r w:rsidRPr="002B55E9">
        <w:rPr>
          <w:rFonts w:hint="eastAsia"/>
          <w:bCs/>
          <w:snapToGrid w:val="0"/>
          <w:sz w:val="24"/>
        </w:rPr>
        <w:t>）</w:t>
      </w:r>
    </w:p>
    <w:p w14:paraId="127AF7A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根据企业消防设计，本项目同一时间内火灾次数按</w:t>
      </w:r>
      <w:r w:rsidRPr="002B55E9">
        <w:rPr>
          <w:bCs/>
          <w:snapToGrid w:val="0"/>
          <w:sz w:val="24"/>
        </w:rPr>
        <w:t>1</w:t>
      </w:r>
      <w:r w:rsidRPr="002B55E9">
        <w:rPr>
          <w:bCs/>
          <w:snapToGrid w:val="0"/>
          <w:sz w:val="24"/>
        </w:rPr>
        <w:t>次计，消防水量按照消防用水量最大建筑或装置进行计算</w:t>
      </w:r>
      <w:r w:rsidRPr="002B55E9">
        <w:rPr>
          <w:rFonts w:hint="eastAsia"/>
          <w:bCs/>
          <w:snapToGrid w:val="0"/>
          <w:sz w:val="24"/>
        </w:rPr>
        <w:t>，</w:t>
      </w:r>
      <w:r w:rsidRPr="002B55E9">
        <w:rPr>
          <w:bCs/>
          <w:snapToGrid w:val="0"/>
          <w:sz w:val="24"/>
        </w:rPr>
        <w:t>罐区三</w:t>
      </w:r>
      <w:r w:rsidRPr="002B55E9">
        <w:rPr>
          <w:rFonts w:hint="eastAsia"/>
          <w:bCs/>
          <w:snapToGrid w:val="0"/>
          <w:sz w:val="24"/>
        </w:rPr>
        <w:t>储存</w:t>
      </w:r>
      <w:r w:rsidRPr="002B55E9">
        <w:rPr>
          <w:bCs/>
          <w:snapToGrid w:val="0"/>
          <w:sz w:val="24"/>
        </w:rPr>
        <w:t>物料均为不可</w:t>
      </w:r>
      <w:r w:rsidRPr="002B55E9">
        <w:rPr>
          <w:rFonts w:hint="eastAsia"/>
          <w:bCs/>
          <w:snapToGrid w:val="0"/>
          <w:sz w:val="24"/>
        </w:rPr>
        <w:t>燃</w:t>
      </w:r>
      <w:r w:rsidRPr="002B55E9">
        <w:rPr>
          <w:bCs/>
          <w:snapToGrid w:val="0"/>
          <w:sz w:val="24"/>
        </w:rPr>
        <w:t>物料。依据《消防给水及消火栓系统技术规范》（</w:t>
      </w:r>
      <w:r w:rsidRPr="002B55E9">
        <w:rPr>
          <w:bCs/>
          <w:snapToGrid w:val="0"/>
          <w:sz w:val="24"/>
        </w:rPr>
        <w:t>GB50974-2014</w:t>
      </w:r>
      <w:r w:rsidRPr="002B55E9">
        <w:rPr>
          <w:bCs/>
          <w:snapToGrid w:val="0"/>
          <w:sz w:val="24"/>
        </w:rPr>
        <w:t>）</w:t>
      </w:r>
      <w:r w:rsidRPr="002B55E9">
        <w:rPr>
          <w:rFonts w:hint="eastAsia"/>
          <w:bCs/>
          <w:snapToGrid w:val="0"/>
          <w:sz w:val="24"/>
        </w:rPr>
        <w:t>的相关要求，</w:t>
      </w:r>
      <w:r w:rsidR="00DA7812" w:rsidRPr="002B55E9">
        <w:rPr>
          <w:bCs/>
          <w:snapToGrid w:val="0"/>
          <w:sz w:val="24"/>
        </w:rPr>
        <w:t>其消防用水计算如下</w:t>
      </w:r>
      <w:r w:rsidR="00DA7812" w:rsidRPr="002B55E9">
        <w:rPr>
          <w:rFonts w:hint="eastAsia"/>
          <w:bCs/>
          <w:snapToGrid w:val="0"/>
          <w:sz w:val="24"/>
        </w:rPr>
        <w:t>。</w:t>
      </w:r>
    </w:p>
    <w:p w14:paraId="127B2426" w14:textId="77777777" w:rsidR="00DA7812" w:rsidRPr="002B55E9" w:rsidRDefault="00DA7812">
      <w:pPr>
        <w:spacing w:after="60" w:line="360" w:lineRule="auto"/>
        <w:ind w:firstLineChars="200" w:firstLine="480"/>
        <w:rPr>
          <w:bCs/>
          <w:snapToGrid w:val="0"/>
          <w:sz w:val="24"/>
        </w:rPr>
      </w:pPr>
    </w:p>
    <w:p w14:paraId="192689EB" w14:textId="77777777" w:rsidR="00DA7812" w:rsidRPr="002B55E9" w:rsidRDefault="00DA7812">
      <w:pPr>
        <w:spacing w:after="60" w:line="360" w:lineRule="auto"/>
        <w:ind w:firstLineChars="200" w:firstLine="480"/>
        <w:rPr>
          <w:bCs/>
          <w:snapToGrid w:val="0"/>
          <w:sz w:val="24"/>
        </w:rPr>
      </w:pPr>
    </w:p>
    <w:p w14:paraId="7685B41D" w14:textId="77777777" w:rsidR="00D170E5" w:rsidRPr="002B55E9" w:rsidRDefault="00EF27AD">
      <w:pPr>
        <w:jc w:val="center"/>
        <w:rPr>
          <w:rFonts w:eastAsia="黑体"/>
          <w:b/>
          <w:sz w:val="24"/>
        </w:rPr>
      </w:pPr>
      <w:r w:rsidRPr="002B55E9">
        <w:rPr>
          <w:rFonts w:eastAsia="黑体" w:hint="eastAsia"/>
          <w:b/>
          <w:sz w:val="24"/>
        </w:rPr>
        <w:t>表</w:t>
      </w:r>
      <w:r w:rsidRPr="002B55E9">
        <w:rPr>
          <w:rFonts w:eastAsia="黑体" w:hint="eastAsia"/>
          <w:b/>
          <w:sz w:val="24"/>
        </w:rPr>
        <w:t xml:space="preserve">6-6-2  </w:t>
      </w:r>
      <w:r w:rsidRPr="002B55E9">
        <w:rPr>
          <w:rFonts w:eastAsia="黑体" w:hint="eastAsia"/>
          <w:b/>
          <w:sz w:val="24"/>
        </w:rPr>
        <w:t>发生事故的储罐或装置的消防水量</w:t>
      </w:r>
    </w:p>
    <w:tbl>
      <w:tblPr>
        <w:tblStyle w:val="lgy2"/>
        <w:tblW w:w="5000" w:type="pct"/>
        <w:tblLayout w:type="fixed"/>
        <w:tblCellMar>
          <w:left w:w="28" w:type="dxa"/>
          <w:right w:w="28" w:type="dxa"/>
        </w:tblCellMar>
        <w:tblLook w:val="04A0" w:firstRow="1" w:lastRow="0" w:firstColumn="1" w:lastColumn="0" w:noHBand="0" w:noVBand="1"/>
      </w:tblPr>
      <w:tblGrid>
        <w:gridCol w:w="713"/>
        <w:gridCol w:w="1426"/>
        <w:gridCol w:w="1853"/>
        <w:gridCol w:w="1569"/>
        <w:gridCol w:w="1714"/>
        <w:gridCol w:w="1027"/>
        <w:gridCol w:w="1391"/>
      </w:tblGrid>
      <w:tr w:rsidR="00C60999" w:rsidRPr="002B55E9" w14:paraId="0894A4D0"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709" w:type="dxa"/>
            <w:noWrap/>
          </w:tcPr>
          <w:p w14:paraId="025BC223" w14:textId="77777777" w:rsidR="00D170E5" w:rsidRPr="002B55E9" w:rsidRDefault="00EF27AD">
            <w:pPr>
              <w:pStyle w:val="lgy-"/>
            </w:pPr>
            <w:r w:rsidRPr="002B55E9">
              <w:rPr>
                <w:rFonts w:eastAsia="宋体"/>
                <w:lang w:bidi="ar"/>
              </w:rPr>
              <w:t>序号</w:t>
            </w:r>
          </w:p>
        </w:tc>
        <w:tc>
          <w:tcPr>
            <w:tcW w:w="1418" w:type="dxa"/>
            <w:noWrap/>
          </w:tcPr>
          <w:p w14:paraId="15336719" w14:textId="77777777" w:rsidR="00D170E5" w:rsidRPr="002B55E9" w:rsidRDefault="00EF27AD">
            <w:pPr>
              <w:pStyle w:val="lgy-"/>
            </w:pPr>
            <w:r w:rsidRPr="002B55E9">
              <w:rPr>
                <w:rFonts w:eastAsia="宋体"/>
                <w:lang w:bidi="ar"/>
              </w:rPr>
              <w:t>建筑单元</w:t>
            </w:r>
          </w:p>
        </w:tc>
        <w:tc>
          <w:tcPr>
            <w:tcW w:w="1842" w:type="dxa"/>
            <w:noWrap/>
          </w:tcPr>
          <w:p w14:paraId="7006EE44" w14:textId="77777777" w:rsidR="00D170E5" w:rsidRPr="002B55E9" w:rsidRDefault="00EF27AD" w:rsidP="00712630">
            <w:pPr>
              <w:pStyle w:val="lgy-"/>
            </w:pPr>
            <w:r w:rsidRPr="002B55E9">
              <w:rPr>
                <w:rFonts w:eastAsia="宋体"/>
                <w:lang w:bidi="ar"/>
              </w:rPr>
              <w:t>单元类型</w:t>
            </w:r>
          </w:p>
        </w:tc>
        <w:tc>
          <w:tcPr>
            <w:tcW w:w="1560" w:type="dxa"/>
            <w:noWrap/>
          </w:tcPr>
          <w:p w14:paraId="54EFA2C9" w14:textId="77777777" w:rsidR="00D170E5" w:rsidRPr="002B55E9" w:rsidRDefault="00EF27AD">
            <w:pPr>
              <w:pStyle w:val="lgy-"/>
            </w:pPr>
            <w:r w:rsidRPr="002B55E9">
              <w:rPr>
                <w:rFonts w:eastAsia="宋体"/>
                <w:lang w:bidi="ar"/>
              </w:rPr>
              <w:t>室外消火栓设计流量（</w:t>
            </w:r>
            <w:r w:rsidRPr="002B55E9">
              <w:rPr>
                <w:rFonts w:eastAsia="宋体"/>
                <w:lang w:bidi="ar"/>
              </w:rPr>
              <w:t>L/S)</w:t>
            </w:r>
          </w:p>
        </w:tc>
        <w:tc>
          <w:tcPr>
            <w:tcW w:w="1704" w:type="dxa"/>
            <w:noWrap/>
          </w:tcPr>
          <w:p w14:paraId="0844CB12" w14:textId="77777777" w:rsidR="00D170E5" w:rsidRPr="002B55E9" w:rsidRDefault="00EF27AD">
            <w:pPr>
              <w:pStyle w:val="lgy-"/>
              <w:rPr>
                <w:lang w:bidi="ar"/>
              </w:rPr>
            </w:pPr>
            <w:r w:rsidRPr="002B55E9">
              <w:rPr>
                <w:rFonts w:eastAsia="宋体"/>
                <w:lang w:bidi="ar"/>
              </w:rPr>
              <w:t>室内消火栓设计流量（</w:t>
            </w:r>
            <w:r w:rsidRPr="002B55E9">
              <w:rPr>
                <w:rFonts w:eastAsia="宋体"/>
                <w:lang w:bidi="ar"/>
              </w:rPr>
              <w:t>L/S)</w:t>
            </w:r>
          </w:p>
        </w:tc>
        <w:tc>
          <w:tcPr>
            <w:tcW w:w="1021" w:type="dxa"/>
            <w:noWrap/>
          </w:tcPr>
          <w:p w14:paraId="522F210B" w14:textId="77777777" w:rsidR="00D170E5" w:rsidRPr="002B55E9" w:rsidRDefault="00EF27AD">
            <w:pPr>
              <w:pStyle w:val="lgy-"/>
            </w:pPr>
            <w:r w:rsidRPr="002B55E9">
              <w:rPr>
                <w:rFonts w:eastAsia="宋体"/>
                <w:lang w:bidi="ar"/>
              </w:rPr>
              <w:t>火灾延续时间（</w:t>
            </w:r>
            <w:r w:rsidRPr="002B55E9">
              <w:rPr>
                <w:rFonts w:eastAsia="宋体"/>
                <w:lang w:bidi="ar"/>
              </w:rPr>
              <w:t>h</w:t>
            </w:r>
            <w:r w:rsidRPr="002B55E9">
              <w:rPr>
                <w:rFonts w:eastAsia="宋体"/>
                <w:lang w:bidi="ar"/>
              </w:rPr>
              <w:t>）</w:t>
            </w:r>
          </w:p>
        </w:tc>
        <w:tc>
          <w:tcPr>
            <w:tcW w:w="1383" w:type="dxa"/>
          </w:tcPr>
          <w:p w14:paraId="751382FA" w14:textId="77777777" w:rsidR="00D170E5" w:rsidRPr="002B55E9" w:rsidRDefault="00EF27AD">
            <w:pPr>
              <w:pStyle w:val="lgy-"/>
              <w:rPr>
                <w:rFonts w:eastAsia="宋体"/>
              </w:rPr>
            </w:pPr>
            <w:r w:rsidRPr="002B55E9">
              <w:rPr>
                <w:rFonts w:eastAsia="宋体"/>
                <w:lang w:bidi="ar"/>
              </w:rPr>
              <w:t>消防水量</w:t>
            </w:r>
            <w:r w:rsidRPr="002B55E9">
              <w:rPr>
                <w:rFonts w:eastAsia="宋体" w:hint="eastAsia"/>
                <w:lang w:bidi="ar"/>
              </w:rPr>
              <w:t>V2</w:t>
            </w:r>
            <w:r w:rsidRPr="002B55E9">
              <w:rPr>
                <w:rFonts w:eastAsia="宋体"/>
                <w:lang w:bidi="ar"/>
              </w:rPr>
              <w:t>（</w:t>
            </w:r>
            <w:r w:rsidRPr="002B55E9">
              <w:rPr>
                <w:rFonts w:eastAsia="宋体"/>
                <w:lang w:bidi="ar"/>
              </w:rPr>
              <w:t>m</w:t>
            </w:r>
            <w:r w:rsidRPr="002B55E9">
              <w:rPr>
                <w:rFonts w:eastAsia="宋体"/>
                <w:vertAlign w:val="superscript"/>
                <w:lang w:bidi="ar"/>
              </w:rPr>
              <w:t>3</w:t>
            </w:r>
            <w:r w:rsidRPr="002B55E9">
              <w:rPr>
                <w:rFonts w:eastAsia="宋体"/>
                <w:lang w:bidi="ar"/>
              </w:rPr>
              <w:t>）</w:t>
            </w:r>
          </w:p>
        </w:tc>
      </w:tr>
      <w:tr w:rsidR="00C60999" w:rsidRPr="002B55E9" w14:paraId="7921420A" w14:textId="77777777" w:rsidTr="00712630">
        <w:trPr>
          <w:trHeight w:val="283"/>
        </w:trPr>
        <w:tc>
          <w:tcPr>
            <w:tcW w:w="709" w:type="dxa"/>
            <w:noWrap/>
          </w:tcPr>
          <w:p w14:paraId="498379EE" w14:textId="77777777" w:rsidR="00D170E5" w:rsidRPr="002B55E9" w:rsidRDefault="00EF27AD">
            <w:pPr>
              <w:pStyle w:val="lgy-"/>
            </w:pPr>
            <w:r w:rsidRPr="002B55E9">
              <w:rPr>
                <w:rFonts w:eastAsia="宋体"/>
                <w:lang w:bidi="ar"/>
              </w:rPr>
              <w:t>1</w:t>
            </w:r>
          </w:p>
        </w:tc>
        <w:tc>
          <w:tcPr>
            <w:tcW w:w="1418" w:type="dxa"/>
            <w:noWrap/>
          </w:tcPr>
          <w:p w14:paraId="53E98C68" w14:textId="77777777" w:rsidR="00D170E5" w:rsidRPr="002B55E9" w:rsidRDefault="00EF27AD">
            <w:pPr>
              <w:pStyle w:val="lgy-"/>
            </w:pPr>
            <w:r w:rsidRPr="002B55E9">
              <w:rPr>
                <w:rFonts w:eastAsia="宋体" w:hint="eastAsia"/>
              </w:rPr>
              <w:t>十三车间</w:t>
            </w:r>
          </w:p>
        </w:tc>
        <w:tc>
          <w:tcPr>
            <w:tcW w:w="1842" w:type="dxa"/>
            <w:noWrap/>
          </w:tcPr>
          <w:p w14:paraId="41BC4FAB" w14:textId="0E2C80D9" w:rsidR="00D170E5" w:rsidRPr="002B55E9" w:rsidRDefault="0008532B">
            <w:pPr>
              <w:pStyle w:val="lgy-"/>
            </w:pPr>
            <w:r w:rsidRPr="002B55E9">
              <w:rPr>
                <w:rFonts w:eastAsia="宋体" w:hint="eastAsia"/>
                <w:lang w:bidi="ar"/>
              </w:rPr>
              <w:t>丁</w:t>
            </w:r>
            <w:r w:rsidRPr="002B55E9">
              <w:rPr>
                <w:rFonts w:eastAsia="宋体"/>
                <w:lang w:bidi="ar"/>
              </w:rPr>
              <w:t>类</w:t>
            </w:r>
            <w:r w:rsidR="00EF27AD" w:rsidRPr="002B55E9">
              <w:rPr>
                <w:rFonts w:eastAsia="宋体" w:hint="eastAsia"/>
                <w:lang w:bidi="ar"/>
              </w:rPr>
              <w:t>、</w:t>
            </w:r>
            <w:r w:rsidR="00EF27AD" w:rsidRPr="002B55E9">
              <w:rPr>
                <w:rFonts w:eastAsia="宋体"/>
                <w:lang w:bidi="ar"/>
              </w:rPr>
              <w:t>二级耐火</w:t>
            </w:r>
          </w:p>
        </w:tc>
        <w:tc>
          <w:tcPr>
            <w:tcW w:w="1560" w:type="dxa"/>
            <w:noWrap/>
          </w:tcPr>
          <w:p w14:paraId="70491D73" w14:textId="77777777" w:rsidR="00D170E5" w:rsidRPr="002B55E9" w:rsidRDefault="00EF27AD">
            <w:pPr>
              <w:pStyle w:val="lgy-"/>
            </w:pPr>
            <w:r w:rsidRPr="002B55E9">
              <w:rPr>
                <w:rFonts w:eastAsia="宋体"/>
                <w:lang w:bidi="ar"/>
              </w:rPr>
              <w:t>20</w:t>
            </w:r>
          </w:p>
        </w:tc>
        <w:tc>
          <w:tcPr>
            <w:tcW w:w="1704" w:type="dxa"/>
            <w:noWrap/>
          </w:tcPr>
          <w:p w14:paraId="3FFBA5CF" w14:textId="77777777" w:rsidR="00D170E5" w:rsidRPr="002B55E9" w:rsidRDefault="00EF27AD">
            <w:pPr>
              <w:pStyle w:val="lgy-"/>
              <w:rPr>
                <w:lang w:bidi="ar"/>
              </w:rPr>
            </w:pPr>
            <w:r w:rsidRPr="002B55E9">
              <w:rPr>
                <w:rFonts w:eastAsia="宋体"/>
                <w:lang w:bidi="ar"/>
              </w:rPr>
              <w:t>10</w:t>
            </w:r>
          </w:p>
        </w:tc>
        <w:tc>
          <w:tcPr>
            <w:tcW w:w="1021" w:type="dxa"/>
            <w:noWrap/>
          </w:tcPr>
          <w:p w14:paraId="3414D8BB" w14:textId="77777777" w:rsidR="00D170E5" w:rsidRPr="002B55E9" w:rsidRDefault="00EF27AD">
            <w:pPr>
              <w:pStyle w:val="lgy-"/>
            </w:pPr>
            <w:r w:rsidRPr="002B55E9">
              <w:rPr>
                <w:rFonts w:eastAsia="宋体"/>
                <w:lang w:bidi="ar"/>
              </w:rPr>
              <w:t>2</w:t>
            </w:r>
          </w:p>
        </w:tc>
        <w:tc>
          <w:tcPr>
            <w:tcW w:w="1383" w:type="dxa"/>
            <w:noWrap/>
          </w:tcPr>
          <w:p w14:paraId="1ECB524E" w14:textId="77777777" w:rsidR="00D170E5" w:rsidRPr="002B55E9" w:rsidRDefault="00EF27AD">
            <w:pPr>
              <w:pStyle w:val="lgy-"/>
              <w:rPr>
                <w:rFonts w:eastAsia="宋体"/>
              </w:rPr>
            </w:pPr>
            <w:r w:rsidRPr="002B55E9">
              <w:rPr>
                <w:rFonts w:eastAsia="宋体"/>
              </w:rPr>
              <w:t>216</w:t>
            </w:r>
          </w:p>
        </w:tc>
      </w:tr>
      <w:tr w:rsidR="00C60999" w:rsidRPr="002B55E9" w14:paraId="53A8F42B" w14:textId="77777777" w:rsidTr="00712630">
        <w:trPr>
          <w:trHeight w:val="283"/>
        </w:trPr>
        <w:tc>
          <w:tcPr>
            <w:tcW w:w="709" w:type="dxa"/>
            <w:noWrap/>
          </w:tcPr>
          <w:p w14:paraId="0BEF7352" w14:textId="77777777" w:rsidR="00D170E5" w:rsidRPr="002B55E9" w:rsidRDefault="00EF27AD">
            <w:pPr>
              <w:pStyle w:val="lgy-"/>
            </w:pPr>
            <w:r w:rsidRPr="002B55E9">
              <w:rPr>
                <w:rFonts w:eastAsia="宋体"/>
                <w:lang w:bidi="ar"/>
              </w:rPr>
              <w:t>2</w:t>
            </w:r>
          </w:p>
        </w:tc>
        <w:tc>
          <w:tcPr>
            <w:tcW w:w="1418" w:type="dxa"/>
            <w:noWrap/>
          </w:tcPr>
          <w:p w14:paraId="7C27C3A9" w14:textId="77777777" w:rsidR="00D170E5" w:rsidRPr="002B55E9" w:rsidRDefault="00EF27AD">
            <w:pPr>
              <w:pStyle w:val="lgy-"/>
            </w:pPr>
            <w:r w:rsidRPr="002B55E9">
              <w:rPr>
                <w:rFonts w:eastAsia="宋体" w:hint="eastAsia"/>
              </w:rPr>
              <w:t>十一车间</w:t>
            </w:r>
          </w:p>
        </w:tc>
        <w:tc>
          <w:tcPr>
            <w:tcW w:w="1842" w:type="dxa"/>
            <w:noWrap/>
          </w:tcPr>
          <w:p w14:paraId="1C8A3769" w14:textId="77777777" w:rsidR="00D170E5" w:rsidRPr="002B55E9" w:rsidRDefault="00EF27AD">
            <w:pPr>
              <w:pStyle w:val="lgy-"/>
            </w:pPr>
            <w:r w:rsidRPr="002B55E9">
              <w:rPr>
                <w:rFonts w:eastAsia="宋体" w:hint="eastAsia"/>
                <w:lang w:bidi="ar"/>
              </w:rPr>
              <w:t>丁</w:t>
            </w:r>
            <w:r w:rsidRPr="002B55E9">
              <w:rPr>
                <w:rFonts w:eastAsia="宋体"/>
                <w:lang w:bidi="ar"/>
              </w:rPr>
              <w:t>类</w:t>
            </w:r>
            <w:r w:rsidRPr="002B55E9">
              <w:rPr>
                <w:rFonts w:eastAsia="宋体" w:hint="eastAsia"/>
                <w:lang w:bidi="ar"/>
              </w:rPr>
              <w:t>、</w:t>
            </w:r>
            <w:r w:rsidRPr="002B55E9">
              <w:rPr>
                <w:rFonts w:eastAsia="宋体"/>
                <w:lang w:bidi="ar"/>
              </w:rPr>
              <w:t>二级耐火</w:t>
            </w:r>
          </w:p>
        </w:tc>
        <w:tc>
          <w:tcPr>
            <w:tcW w:w="1560" w:type="dxa"/>
            <w:noWrap/>
          </w:tcPr>
          <w:p w14:paraId="7D7C8B49" w14:textId="77777777" w:rsidR="00D170E5" w:rsidRPr="002B55E9" w:rsidRDefault="00EF27AD">
            <w:pPr>
              <w:pStyle w:val="lgy-"/>
            </w:pPr>
            <w:r w:rsidRPr="002B55E9">
              <w:rPr>
                <w:rFonts w:eastAsia="宋体"/>
                <w:lang w:bidi="ar"/>
              </w:rPr>
              <w:t>20</w:t>
            </w:r>
          </w:p>
        </w:tc>
        <w:tc>
          <w:tcPr>
            <w:tcW w:w="1704" w:type="dxa"/>
            <w:noWrap/>
          </w:tcPr>
          <w:p w14:paraId="2DF86F0D" w14:textId="77777777" w:rsidR="00D170E5" w:rsidRPr="002B55E9" w:rsidRDefault="00EF27AD">
            <w:pPr>
              <w:pStyle w:val="lgy-"/>
              <w:rPr>
                <w:lang w:bidi="ar"/>
              </w:rPr>
            </w:pPr>
            <w:r w:rsidRPr="002B55E9">
              <w:rPr>
                <w:rFonts w:eastAsia="宋体"/>
                <w:lang w:bidi="ar"/>
              </w:rPr>
              <w:t>10</w:t>
            </w:r>
          </w:p>
        </w:tc>
        <w:tc>
          <w:tcPr>
            <w:tcW w:w="1021" w:type="dxa"/>
            <w:noWrap/>
          </w:tcPr>
          <w:p w14:paraId="2EC8FF32" w14:textId="77777777" w:rsidR="00D170E5" w:rsidRPr="002B55E9" w:rsidRDefault="00EF27AD">
            <w:pPr>
              <w:pStyle w:val="lgy-"/>
            </w:pPr>
            <w:r w:rsidRPr="002B55E9">
              <w:rPr>
                <w:rFonts w:eastAsia="宋体"/>
                <w:lang w:bidi="ar"/>
              </w:rPr>
              <w:t>2</w:t>
            </w:r>
          </w:p>
        </w:tc>
        <w:tc>
          <w:tcPr>
            <w:tcW w:w="1383" w:type="dxa"/>
            <w:noWrap/>
          </w:tcPr>
          <w:p w14:paraId="6FF2E0DA" w14:textId="77777777" w:rsidR="00D170E5" w:rsidRPr="002B55E9" w:rsidRDefault="00EF27AD">
            <w:pPr>
              <w:pStyle w:val="lgy-"/>
              <w:rPr>
                <w:rFonts w:eastAsia="宋体"/>
              </w:rPr>
            </w:pPr>
            <w:r w:rsidRPr="002B55E9">
              <w:rPr>
                <w:rFonts w:eastAsia="宋体"/>
                <w:lang w:bidi="ar"/>
              </w:rPr>
              <w:t>216</w:t>
            </w:r>
          </w:p>
        </w:tc>
      </w:tr>
      <w:tr w:rsidR="00C60999" w:rsidRPr="002B55E9" w14:paraId="4800672B" w14:textId="77777777" w:rsidTr="00712630">
        <w:trPr>
          <w:trHeight w:val="283"/>
        </w:trPr>
        <w:tc>
          <w:tcPr>
            <w:tcW w:w="709" w:type="dxa"/>
            <w:noWrap/>
          </w:tcPr>
          <w:p w14:paraId="13AC01E5" w14:textId="77777777" w:rsidR="00D170E5" w:rsidRPr="002B55E9" w:rsidRDefault="00EF27AD">
            <w:pPr>
              <w:pStyle w:val="lgy-"/>
            </w:pPr>
            <w:r w:rsidRPr="002B55E9">
              <w:rPr>
                <w:rFonts w:eastAsia="宋体"/>
                <w:lang w:bidi="ar"/>
              </w:rPr>
              <w:t>3</w:t>
            </w:r>
          </w:p>
        </w:tc>
        <w:tc>
          <w:tcPr>
            <w:tcW w:w="1418" w:type="dxa"/>
            <w:noWrap/>
          </w:tcPr>
          <w:p w14:paraId="48D173BA" w14:textId="77777777" w:rsidR="00D170E5" w:rsidRPr="002B55E9" w:rsidRDefault="00EF27AD">
            <w:pPr>
              <w:pStyle w:val="lgy-"/>
            </w:pPr>
            <w:r w:rsidRPr="002B55E9">
              <w:rPr>
                <w:rFonts w:eastAsia="宋体" w:hint="eastAsia"/>
              </w:rPr>
              <w:t>罐区三</w:t>
            </w:r>
          </w:p>
        </w:tc>
        <w:tc>
          <w:tcPr>
            <w:tcW w:w="1842" w:type="dxa"/>
            <w:noWrap/>
          </w:tcPr>
          <w:p w14:paraId="26516FA1" w14:textId="77777777" w:rsidR="00D170E5" w:rsidRPr="002B55E9" w:rsidRDefault="00EF27AD">
            <w:pPr>
              <w:pStyle w:val="lgy-"/>
            </w:pPr>
            <w:r w:rsidRPr="002B55E9">
              <w:rPr>
                <w:rFonts w:eastAsia="宋体"/>
                <w:lang w:bidi="ar"/>
              </w:rPr>
              <w:t>地上立式储罐</w:t>
            </w:r>
          </w:p>
        </w:tc>
        <w:tc>
          <w:tcPr>
            <w:tcW w:w="1560" w:type="dxa"/>
            <w:noWrap/>
          </w:tcPr>
          <w:p w14:paraId="1D342ACA" w14:textId="77777777" w:rsidR="00D170E5" w:rsidRPr="002B55E9" w:rsidRDefault="00EF27AD">
            <w:pPr>
              <w:pStyle w:val="lgy-"/>
            </w:pPr>
            <w:r w:rsidRPr="002B55E9">
              <w:rPr>
                <w:rFonts w:eastAsia="宋体" w:hint="eastAsia"/>
              </w:rPr>
              <w:t>/</w:t>
            </w:r>
          </w:p>
        </w:tc>
        <w:tc>
          <w:tcPr>
            <w:tcW w:w="1704" w:type="dxa"/>
            <w:noWrap/>
          </w:tcPr>
          <w:p w14:paraId="755A3CCE" w14:textId="77777777" w:rsidR="00D170E5" w:rsidRPr="002B55E9" w:rsidRDefault="00EF27AD">
            <w:pPr>
              <w:pStyle w:val="lgy-"/>
              <w:rPr>
                <w:lang w:bidi="ar"/>
              </w:rPr>
            </w:pPr>
            <w:r w:rsidRPr="002B55E9">
              <w:rPr>
                <w:rFonts w:eastAsia="宋体" w:hint="eastAsia"/>
                <w:lang w:bidi="ar"/>
              </w:rPr>
              <w:t>/</w:t>
            </w:r>
          </w:p>
        </w:tc>
        <w:tc>
          <w:tcPr>
            <w:tcW w:w="1021" w:type="dxa"/>
            <w:noWrap/>
          </w:tcPr>
          <w:p w14:paraId="21DB983C" w14:textId="77777777" w:rsidR="00D170E5" w:rsidRPr="002B55E9" w:rsidRDefault="00EF27AD">
            <w:pPr>
              <w:pStyle w:val="lgy-"/>
            </w:pPr>
            <w:r w:rsidRPr="002B55E9">
              <w:rPr>
                <w:rFonts w:eastAsia="宋体" w:hint="eastAsia"/>
              </w:rPr>
              <w:t>/</w:t>
            </w:r>
          </w:p>
        </w:tc>
        <w:tc>
          <w:tcPr>
            <w:tcW w:w="1383" w:type="dxa"/>
            <w:noWrap/>
          </w:tcPr>
          <w:p w14:paraId="006BF0C5" w14:textId="77777777" w:rsidR="00D170E5" w:rsidRPr="002B55E9" w:rsidRDefault="00EF27AD">
            <w:pPr>
              <w:pStyle w:val="lgy-"/>
              <w:rPr>
                <w:rFonts w:eastAsia="宋体"/>
              </w:rPr>
            </w:pPr>
            <w:r w:rsidRPr="002B55E9">
              <w:rPr>
                <w:rFonts w:eastAsia="宋体" w:hint="eastAsia"/>
              </w:rPr>
              <w:t>/</w:t>
            </w:r>
          </w:p>
        </w:tc>
      </w:tr>
      <w:tr w:rsidR="00C60999" w:rsidRPr="002B55E9" w14:paraId="17158308" w14:textId="77777777" w:rsidTr="00712630">
        <w:trPr>
          <w:trHeight w:val="283"/>
        </w:trPr>
        <w:tc>
          <w:tcPr>
            <w:tcW w:w="709" w:type="dxa"/>
            <w:noWrap/>
          </w:tcPr>
          <w:p w14:paraId="5282BFE7" w14:textId="77777777" w:rsidR="00D170E5" w:rsidRPr="002B55E9" w:rsidRDefault="00EF27AD">
            <w:pPr>
              <w:pStyle w:val="lgy-"/>
            </w:pPr>
            <w:r w:rsidRPr="002B55E9">
              <w:rPr>
                <w:rFonts w:eastAsia="宋体"/>
                <w:lang w:bidi="ar"/>
              </w:rPr>
              <w:t>4</w:t>
            </w:r>
          </w:p>
        </w:tc>
        <w:tc>
          <w:tcPr>
            <w:tcW w:w="1418" w:type="dxa"/>
            <w:noWrap/>
          </w:tcPr>
          <w:p w14:paraId="7D08D9B4" w14:textId="77777777" w:rsidR="00D170E5" w:rsidRPr="002B55E9" w:rsidRDefault="00EF27AD">
            <w:pPr>
              <w:pStyle w:val="lgy-"/>
            </w:pPr>
            <w:r w:rsidRPr="002B55E9">
              <w:rPr>
                <w:rFonts w:eastAsia="宋体" w:hint="eastAsia"/>
              </w:rPr>
              <w:t>酒精罐区</w:t>
            </w:r>
          </w:p>
        </w:tc>
        <w:tc>
          <w:tcPr>
            <w:tcW w:w="1842" w:type="dxa"/>
            <w:noWrap/>
          </w:tcPr>
          <w:p w14:paraId="5794D7F5" w14:textId="77777777" w:rsidR="00D170E5" w:rsidRPr="002B55E9" w:rsidRDefault="00EF27AD">
            <w:pPr>
              <w:pStyle w:val="lgy-"/>
            </w:pPr>
            <w:r w:rsidRPr="002B55E9">
              <w:rPr>
                <w:rFonts w:eastAsia="宋体"/>
                <w:lang w:bidi="ar"/>
              </w:rPr>
              <w:t>地上立式储罐</w:t>
            </w:r>
          </w:p>
        </w:tc>
        <w:tc>
          <w:tcPr>
            <w:tcW w:w="1560" w:type="dxa"/>
            <w:noWrap/>
          </w:tcPr>
          <w:p w14:paraId="042DBEBB" w14:textId="77777777" w:rsidR="00D170E5" w:rsidRPr="002B55E9" w:rsidRDefault="00EF27AD">
            <w:pPr>
              <w:pStyle w:val="lgy-"/>
            </w:pPr>
            <w:r w:rsidRPr="002B55E9">
              <w:rPr>
                <w:rFonts w:eastAsia="宋体"/>
                <w:lang w:bidi="ar"/>
              </w:rPr>
              <w:t>15</w:t>
            </w:r>
          </w:p>
        </w:tc>
        <w:tc>
          <w:tcPr>
            <w:tcW w:w="1704" w:type="dxa"/>
            <w:noWrap/>
          </w:tcPr>
          <w:p w14:paraId="69FAAE8C" w14:textId="77777777" w:rsidR="00D170E5" w:rsidRPr="002B55E9" w:rsidRDefault="00EF27AD">
            <w:pPr>
              <w:pStyle w:val="lgy-"/>
              <w:rPr>
                <w:lang w:bidi="ar"/>
              </w:rPr>
            </w:pPr>
            <w:r w:rsidRPr="002B55E9">
              <w:rPr>
                <w:rFonts w:eastAsia="宋体" w:hint="eastAsia"/>
                <w:lang w:bidi="ar"/>
              </w:rPr>
              <w:t>/</w:t>
            </w:r>
          </w:p>
        </w:tc>
        <w:tc>
          <w:tcPr>
            <w:tcW w:w="1021" w:type="dxa"/>
            <w:noWrap/>
          </w:tcPr>
          <w:p w14:paraId="51072DEA" w14:textId="77777777" w:rsidR="00D170E5" w:rsidRPr="002B55E9" w:rsidRDefault="00EF27AD">
            <w:pPr>
              <w:pStyle w:val="lgy-"/>
            </w:pPr>
            <w:r w:rsidRPr="002B55E9">
              <w:rPr>
                <w:rFonts w:eastAsia="宋体"/>
                <w:lang w:bidi="ar"/>
              </w:rPr>
              <w:t>4</w:t>
            </w:r>
          </w:p>
        </w:tc>
        <w:tc>
          <w:tcPr>
            <w:tcW w:w="1383" w:type="dxa"/>
            <w:noWrap/>
          </w:tcPr>
          <w:p w14:paraId="1B7949EB" w14:textId="77777777" w:rsidR="00D170E5" w:rsidRPr="002B55E9" w:rsidRDefault="00EF27AD">
            <w:pPr>
              <w:pStyle w:val="lgy-"/>
              <w:rPr>
                <w:rFonts w:eastAsia="宋体"/>
              </w:rPr>
            </w:pPr>
            <w:r w:rsidRPr="002B55E9">
              <w:rPr>
                <w:rFonts w:eastAsia="宋体"/>
                <w:lang w:bidi="ar"/>
              </w:rPr>
              <w:t>216</w:t>
            </w:r>
          </w:p>
        </w:tc>
      </w:tr>
    </w:tbl>
    <w:p w14:paraId="2F508866" w14:textId="77777777" w:rsidR="00D170E5" w:rsidRPr="002B55E9" w:rsidRDefault="00EF27AD">
      <w:pPr>
        <w:numPr>
          <w:ilvl w:val="0"/>
          <w:numId w:val="36"/>
        </w:numPr>
        <w:spacing w:after="60" w:line="360" w:lineRule="auto"/>
        <w:rPr>
          <w:bCs/>
          <w:snapToGrid w:val="0"/>
          <w:sz w:val="24"/>
        </w:rPr>
      </w:pPr>
      <w:r w:rsidRPr="002B55E9">
        <w:rPr>
          <w:bCs/>
          <w:snapToGrid w:val="0"/>
          <w:spacing w:val="-6"/>
          <w:sz w:val="24"/>
        </w:rPr>
        <w:t>发生事故时可以转输到其他储存或处理设施的物料量</w:t>
      </w:r>
      <w:r w:rsidRPr="002B55E9">
        <w:rPr>
          <w:rFonts w:hint="eastAsia"/>
          <w:bCs/>
          <w:snapToGrid w:val="0"/>
          <w:sz w:val="24"/>
        </w:rPr>
        <w:t>（</w:t>
      </w:r>
      <w:r w:rsidRPr="002B55E9">
        <w:rPr>
          <w:rFonts w:hint="eastAsia"/>
          <w:bCs/>
          <w:snapToGrid w:val="0"/>
          <w:sz w:val="24"/>
        </w:rPr>
        <w:t>V</w:t>
      </w:r>
      <w:r w:rsidRPr="002B55E9">
        <w:rPr>
          <w:rFonts w:hint="eastAsia"/>
          <w:bCs/>
          <w:snapToGrid w:val="0"/>
          <w:sz w:val="24"/>
          <w:vertAlign w:val="subscript"/>
        </w:rPr>
        <w:t>3</w:t>
      </w:r>
      <w:r w:rsidRPr="002B55E9">
        <w:rPr>
          <w:rFonts w:hint="eastAsia"/>
          <w:bCs/>
          <w:snapToGrid w:val="0"/>
          <w:sz w:val="24"/>
        </w:rPr>
        <w:t>）</w:t>
      </w:r>
    </w:p>
    <w:p w14:paraId="3F8D774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项目</w:t>
      </w:r>
      <w:r w:rsidRPr="002B55E9">
        <w:rPr>
          <w:bCs/>
          <w:snapToGrid w:val="0"/>
          <w:sz w:val="24"/>
        </w:rPr>
        <w:t>罐区三</w:t>
      </w:r>
      <w:r w:rsidRPr="002B55E9">
        <w:rPr>
          <w:rFonts w:hint="eastAsia"/>
          <w:bCs/>
          <w:snapToGrid w:val="0"/>
          <w:sz w:val="24"/>
        </w:rPr>
        <w:t>和</w:t>
      </w:r>
      <w:r w:rsidRPr="002B55E9">
        <w:rPr>
          <w:bCs/>
          <w:snapToGrid w:val="0"/>
          <w:sz w:val="24"/>
        </w:rPr>
        <w:t>酒精罐区均设有</w:t>
      </w:r>
      <w:r w:rsidRPr="002B55E9">
        <w:rPr>
          <w:rFonts w:hint="eastAsia"/>
          <w:bCs/>
          <w:snapToGrid w:val="0"/>
          <w:sz w:val="24"/>
        </w:rPr>
        <w:t>整体</w:t>
      </w:r>
      <w:r w:rsidRPr="002B55E9">
        <w:rPr>
          <w:bCs/>
          <w:snapToGrid w:val="0"/>
          <w:sz w:val="24"/>
        </w:rPr>
        <w:t>的围堰，罐区三</w:t>
      </w:r>
      <w:r w:rsidRPr="002B55E9">
        <w:rPr>
          <w:rFonts w:hint="eastAsia"/>
          <w:bCs/>
          <w:snapToGrid w:val="0"/>
          <w:sz w:val="24"/>
        </w:rPr>
        <w:t>围堰有效</w:t>
      </w:r>
      <w:r w:rsidRPr="002B55E9">
        <w:rPr>
          <w:bCs/>
          <w:snapToGrid w:val="0"/>
          <w:sz w:val="24"/>
        </w:rPr>
        <w:t>高度为</w:t>
      </w:r>
      <w:r w:rsidRPr="002B55E9">
        <w:rPr>
          <w:rFonts w:hint="eastAsia"/>
          <w:bCs/>
          <w:snapToGrid w:val="0"/>
          <w:sz w:val="24"/>
        </w:rPr>
        <w:t>0.4</w:t>
      </w:r>
      <w:r w:rsidRPr="002B55E9">
        <w:rPr>
          <w:bCs/>
          <w:snapToGrid w:val="0"/>
          <w:sz w:val="24"/>
        </w:rPr>
        <w:t>m</w:t>
      </w:r>
      <w:r w:rsidRPr="002B55E9">
        <w:rPr>
          <w:bCs/>
          <w:snapToGrid w:val="0"/>
          <w:sz w:val="24"/>
        </w:rPr>
        <w:t>，有效容积</w:t>
      </w:r>
      <w:r w:rsidRPr="002B55E9">
        <w:rPr>
          <w:bCs/>
          <w:snapToGrid w:val="0"/>
          <w:sz w:val="24"/>
        </w:rPr>
        <w:t>387</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，酒精</w:t>
      </w:r>
      <w:r w:rsidRPr="002B55E9">
        <w:rPr>
          <w:bCs/>
          <w:snapToGrid w:val="0"/>
          <w:sz w:val="24"/>
        </w:rPr>
        <w:t>罐区</w:t>
      </w:r>
      <w:r w:rsidRPr="002B55E9">
        <w:rPr>
          <w:rFonts w:hint="eastAsia"/>
          <w:bCs/>
          <w:snapToGrid w:val="0"/>
          <w:sz w:val="24"/>
        </w:rPr>
        <w:t>围堰有效</w:t>
      </w:r>
      <w:r w:rsidRPr="002B55E9">
        <w:rPr>
          <w:bCs/>
          <w:snapToGrid w:val="0"/>
          <w:sz w:val="24"/>
        </w:rPr>
        <w:t>高度</w:t>
      </w:r>
      <w:r w:rsidRPr="002B55E9">
        <w:rPr>
          <w:rFonts w:hint="eastAsia"/>
          <w:bCs/>
          <w:snapToGrid w:val="0"/>
          <w:sz w:val="24"/>
        </w:rPr>
        <w:t>1</w:t>
      </w:r>
      <w:r w:rsidRPr="002B55E9">
        <w:rPr>
          <w:bCs/>
          <w:snapToGrid w:val="0"/>
          <w:sz w:val="24"/>
        </w:rPr>
        <w:t>m</w:t>
      </w:r>
      <w:r w:rsidRPr="002B55E9">
        <w:rPr>
          <w:rFonts w:hint="eastAsia"/>
          <w:bCs/>
          <w:snapToGrid w:val="0"/>
          <w:sz w:val="24"/>
        </w:rPr>
        <w:t>，有效</w:t>
      </w:r>
      <w:r w:rsidRPr="002B55E9">
        <w:rPr>
          <w:bCs/>
          <w:snapToGrid w:val="0"/>
          <w:sz w:val="24"/>
        </w:rPr>
        <w:t>容积为</w:t>
      </w:r>
      <w:r w:rsidRPr="002B55E9">
        <w:rPr>
          <w:bCs/>
          <w:snapToGrid w:val="0"/>
          <w:sz w:val="24"/>
        </w:rPr>
        <w:t>580</w:t>
      </w:r>
      <w:r w:rsidRPr="002B55E9">
        <w:rPr>
          <w:rFonts w:hint="eastAsia"/>
          <w:bCs/>
          <w:snapToGrid w:val="0"/>
          <w:sz w:val="24"/>
        </w:rPr>
        <w:t xml:space="preserve"> m</w:t>
      </w:r>
      <w:r w:rsidRPr="002B55E9">
        <w:rPr>
          <w:rFonts w:hint="eastAsia"/>
          <w:bCs/>
          <w:snapToGrid w:val="0"/>
          <w:sz w:val="24"/>
          <w:vertAlign w:val="superscript"/>
        </w:rPr>
        <w:t>3</w:t>
      </w:r>
      <w:r w:rsidRPr="002B55E9">
        <w:rPr>
          <w:rFonts w:hint="eastAsia"/>
          <w:bCs/>
          <w:snapToGrid w:val="0"/>
          <w:sz w:val="24"/>
        </w:rPr>
        <w:t>。</w:t>
      </w:r>
    </w:p>
    <w:p w14:paraId="312526BF" w14:textId="77777777" w:rsidR="00D170E5" w:rsidRPr="002B55E9" w:rsidRDefault="00EF27AD">
      <w:pPr>
        <w:numPr>
          <w:ilvl w:val="0"/>
          <w:numId w:val="36"/>
        </w:numPr>
        <w:spacing w:after="60" w:line="360" w:lineRule="auto"/>
        <w:rPr>
          <w:bCs/>
          <w:snapToGrid w:val="0"/>
          <w:sz w:val="24"/>
        </w:rPr>
      </w:pPr>
      <w:r w:rsidRPr="002B55E9">
        <w:rPr>
          <w:rFonts w:hint="eastAsia"/>
          <w:bCs/>
          <w:snapToGrid w:val="0"/>
          <w:sz w:val="24"/>
        </w:rPr>
        <w:lastRenderedPageBreak/>
        <w:t>发生事故时仍必须进入该收集系统的生产废水量</w:t>
      </w:r>
      <w:r w:rsidRPr="002B55E9">
        <w:rPr>
          <w:rFonts w:hint="eastAsia"/>
          <w:bCs/>
          <w:snapToGrid w:val="0"/>
          <w:sz w:val="24"/>
        </w:rPr>
        <w:t>V</w:t>
      </w:r>
      <w:r w:rsidRPr="002B55E9">
        <w:rPr>
          <w:rFonts w:hint="eastAsia"/>
          <w:bCs/>
          <w:snapToGrid w:val="0"/>
          <w:sz w:val="24"/>
          <w:vertAlign w:val="subscript"/>
        </w:rPr>
        <w:t>4</w:t>
      </w:r>
    </w:p>
    <w:p w14:paraId="794C4C51" w14:textId="77777777" w:rsidR="00D170E5" w:rsidRPr="002B55E9" w:rsidRDefault="00EF27AD">
      <w:pPr>
        <w:spacing w:line="360" w:lineRule="auto"/>
        <w:ind w:firstLineChars="200" w:firstLine="480"/>
        <w:jc w:val="left"/>
        <w:rPr>
          <w:rFonts w:ascii="Calibri" w:hAnsi="Calibri"/>
          <w:sz w:val="24"/>
          <w:szCs w:val="22"/>
        </w:rPr>
      </w:pPr>
      <w:r w:rsidRPr="002B55E9">
        <w:rPr>
          <w:rFonts w:ascii="Calibri" w:hAnsi="Calibri" w:hint="eastAsia"/>
          <w:sz w:val="24"/>
          <w:szCs w:val="22"/>
        </w:rPr>
        <w:t>本项目发生事故时无必须进入该收集系统的生产废水量。</w:t>
      </w:r>
    </w:p>
    <w:p w14:paraId="7F18C4F2" w14:textId="77777777" w:rsidR="00D170E5" w:rsidRPr="002B55E9" w:rsidRDefault="00EF27AD">
      <w:pPr>
        <w:numPr>
          <w:ilvl w:val="0"/>
          <w:numId w:val="36"/>
        </w:numPr>
        <w:spacing w:after="60" w:line="360" w:lineRule="auto"/>
        <w:rPr>
          <w:bCs/>
          <w:snapToGrid w:val="0"/>
          <w:sz w:val="24"/>
        </w:rPr>
      </w:pPr>
      <w:r w:rsidRPr="002B55E9">
        <w:rPr>
          <w:rFonts w:hint="eastAsia"/>
          <w:bCs/>
          <w:snapToGrid w:val="0"/>
          <w:sz w:val="24"/>
        </w:rPr>
        <w:t>发生事故时可能进入的雨水量计算</w:t>
      </w:r>
      <w:r w:rsidRPr="002B55E9">
        <w:rPr>
          <w:rFonts w:hint="eastAsia"/>
          <w:bCs/>
          <w:snapToGrid w:val="0"/>
          <w:sz w:val="24"/>
        </w:rPr>
        <w:t>V</w:t>
      </w:r>
      <w:r w:rsidRPr="002B55E9">
        <w:rPr>
          <w:rFonts w:hint="eastAsia"/>
          <w:bCs/>
          <w:snapToGrid w:val="0"/>
          <w:sz w:val="24"/>
          <w:vertAlign w:val="subscript"/>
        </w:rPr>
        <w:t>5</w:t>
      </w:r>
    </w:p>
    <w:p w14:paraId="74486C20" w14:textId="77777777" w:rsidR="00D170E5" w:rsidRPr="002B55E9" w:rsidRDefault="00EF27AD">
      <w:pPr>
        <w:spacing w:after="60" w:line="360" w:lineRule="auto"/>
        <w:ind w:firstLineChars="200" w:firstLine="480"/>
        <w:jc w:val="center"/>
        <w:rPr>
          <w:bCs/>
          <w:snapToGrid w:val="0"/>
          <w:sz w:val="24"/>
        </w:rPr>
      </w:pPr>
      <w:r w:rsidRPr="002B55E9">
        <w:rPr>
          <w:bCs/>
          <w:snapToGrid w:val="0"/>
          <w:sz w:val="24"/>
        </w:rPr>
        <w:t>V</w:t>
      </w:r>
      <w:r w:rsidRPr="002B55E9">
        <w:rPr>
          <w:bCs/>
          <w:snapToGrid w:val="0"/>
          <w:sz w:val="24"/>
          <w:vertAlign w:val="subscript"/>
        </w:rPr>
        <w:t>5</w:t>
      </w:r>
      <w:r w:rsidRPr="002B55E9">
        <w:rPr>
          <w:bCs/>
          <w:snapToGrid w:val="0"/>
          <w:sz w:val="24"/>
        </w:rPr>
        <w:t>=10qF</w:t>
      </w:r>
    </w:p>
    <w:p w14:paraId="1968FD57"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rPr>
        <w:t>降雨强度，</w:t>
      </w:r>
      <w:r w:rsidRPr="002B55E9">
        <w:rPr>
          <w:bCs/>
          <w:snapToGrid w:val="0"/>
          <w:sz w:val="24"/>
        </w:rPr>
        <w:t>mm</w:t>
      </w:r>
      <w:r w:rsidRPr="002B55E9">
        <w:rPr>
          <w:bCs/>
          <w:snapToGrid w:val="0"/>
          <w:sz w:val="24"/>
        </w:rPr>
        <w:t>；按平均日降雨量；</w:t>
      </w:r>
    </w:p>
    <w:p w14:paraId="6BCBB3DE" w14:textId="77777777" w:rsidR="00D170E5" w:rsidRPr="002B55E9" w:rsidRDefault="00EF27AD">
      <w:pPr>
        <w:spacing w:after="60" w:line="360" w:lineRule="auto"/>
        <w:ind w:firstLineChars="200" w:firstLine="480"/>
        <w:jc w:val="center"/>
        <w:rPr>
          <w:bCs/>
          <w:snapToGrid w:val="0"/>
          <w:sz w:val="24"/>
        </w:rPr>
      </w:pPr>
      <w:r w:rsidRPr="002B55E9">
        <w:rPr>
          <w:bCs/>
          <w:snapToGrid w:val="0"/>
          <w:sz w:val="24"/>
        </w:rPr>
        <w:t>q=q</w:t>
      </w:r>
      <w:r w:rsidRPr="002B55E9">
        <w:rPr>
          <w:bCs/>
          <w:snapToGrid w:val="0"/>
          <w:sz w:val="24"/>
          <w:vertAlign w:val="subscript"/>
        </w:rPr>
        <w:t>a</w:t>
      </w:r>
      <w:r w:rsidRPr="002B55E9">
        <w:rPr>
          <w:bCs/>
          <w:snapToGrid w:val="0"/>
          <w:sz w:val="24"/>
        </w:rPr>
        <w:t>/n</w:t>
      </w:r>
    </w:p>
    <w:p w14:paraId="00C02D82" w14:textId="77777777" w:rsidR="00D170E5" w:rsidRPr="002B55E9" w:rsidRDefault="00EF27AD">
      <w:pPr>
        <w:spacing w:after="60" w:line="360" w:lineRule="auto"/>
        <w:ind w:firstLineChars="200" w:firstLine="480"/>
        <w:rPr>
          <w:bCs/>
          <w:snapToGrid w:val="0"/>
          <w:sz w:val="24"/>
        </w:rPr>
      </w:pPr>
      <w:r w:rsidRPr="002B55E9">
        <w:rPr>
          <w:bCs/>
          <w:snapToGrid w:val="0"/>
          <w:sz w:val="24"/>
        </w:rPr>
        <w:t>q</w:t>
      </w:r>
      <w:r w:rsidRPr="002B55E9">
        <w:rPr>
          <w:bCs/>
          <w:snapToGrid w:val="0"/>
          <w:sz w:val="24"/>
          <w:vertAlign w:val="subscript"/>
        </w:rPr>
        <w:t>a</w:t>
      </w:r>
      <w:r w:rsidRPr="002B55E9">
        <w:rPr>
          <w:bCs/>
          <w:snapToGrid w:val="0"/>
          <w:sz w:val="24"/>
        </w:rPr>
        <w:t>——</w:t>
      </w:r>
      <w:r w:rsidRPr="002B55E9">
        <w:rPr>
          <w:bCs/>
          <w:snapToGrid w:val="0"/>
          <w:sz w:val="24"/>
        </w:rPr>
        <w:t>年平均降雨量，</w:t>
      </w:r>
      <w:r w:rsidRPr="002B55E9">
        <w:rPr>
          <w:bCs/>
          <w:snapToGrid w:val="0"/>
          <w:sz w:val="24"/>
        </w:rPr>
        <w:t>mm</w:t>
      </w:r>
      <w:r w:rsidRPr="002B55E9">
        <w:rPr>
          <w:bCs/>
          <w:snapToGrid w:val="0"/>
          <w:sz w:val="24"/>
        </w:rPr>
        <w:t>；</w:t>
      </w:r>
      <w:r w:rsidRPr="002B55E9">
        <w:rPr>
          <w:rFonts w:hint="eastAsia"/>
          <w:bCs/>
          <w:snapToGrid w:val="0"/>
          <w:sz w:val="24"/>
        </w:rPr>
        <w:t>武汉</w:t>
      </w:r>
      <w:r w:rsidRPr="002B55E9">
        <w:rPr>
          <w:bCs/>
          <w:snapToGrid w:val="0"/>
          <w:sz w:val="24"/>
        </w:rPr>
        <w:t>取</w:t>
      </w:r>
      <w:r w:rsidRPr="002B55E9">
        <w:rPr>
          <w:bCs/>
          <w:snapToGrid w:val="0"/>
          <w:sz w:val="24"/>
        </w:rPr>
        <w:t>1295.3mm</w:t>
      </w:r>
      <w:r w:rsidRPr="002B55E9">
        <w:rPr>
          <w:bCs/>
          <w:snapToGrid w:val="0"/>
          <w:sz w:val="24"/>
        </w:rPr>
        <w:t>。</w:t>
      </w:r>
    </w:p>
    <w:p w14:paraId="679E9064" w14:textId="77777777" w:rsidR="00D170E5" w:rsidRPr="002B55E9" w:rsidRDefault="00EF27AD">
      <w:pPr>
        <w:spacing w:after="60" w:line="360" w:lineRule="auto"/>
        <w:ind w:firstLineChars="200" w:firstLine="480"/>
        <w:rPr>
          <w:bCs/>
          <w:snapToGrid w:val="0"/>
          <w:sz w:val="24"/>
        </w:rPr>
      </w:pPr>
      <w:r w:rsidRPr="002B55E9">
        <w:rPr>
          <w:bCs/>
          <w:snapToGrid w:val="0"/>
          <w:sz w:val="24"/>
        </w:rPr>
        <w:t>n——</w:t>
      </w:r>
      <w:r w:rsidRPr="002B55E9">
        <w:rPr>
          <w:bCs/>
          <w:snapToGrid w:val="0"/>
          <w:sz w:val="24"/>
        </w:rPr>
        <w:t>年平均降雨日数。</w:t>
      </w:r>
      <w:r w:rsidRPr="002B55E9">
        <w:rPr>
          <w:rFonts w:hint="eastAsia"/>
          <w:bCs/>
          <w:snapToGrid w:val="0"/>
          <w:sz w:val="24"/>
        </w:rPr>
        <w:t>武汉</w:t>
      </w:r>
      <w:r w:rsidRPr="002B55E9">
        <w:rPr>
          <w:bCs/>
          <w:snapToGrid w:val="0"/>
          <w:sz w:val="24"/>
        </w:rPr>
        <w:t>取</w:t>
      </w:r>
      <w:r w:rsidRPr="002B55E9">
        <w:rPr>
          <w:bCs/>
          <w:snapToGrid w:val="0"/>
          <w:sz w:val="24"/>
        </w:rPr>
        <w:t>125</w:t>
      </w:r>
      <w:r w:rsidRPr="002B55E9">
        <w:rPr>
          <w:bCs/>
          <w:snapToGrid w:val="0"/>
          <w:sz w:val="24"/>
        </w:rPr>
        <w:t>天。</w:t>
      </w:r>
    </w:p>
    <w:p w14:paraId="49164710" w14:textId="77777777" w:rsidR="00D170E5" w:rsidRPr="002B55E9" w:rsidRDefault="00EF27AD">
      <w:pPr>
        <w:spacing w:after="60" w:line="360" w:lineRule="auto"/>
        <w:ind w:firstLineChars="200" w:firstLine="480"/>
        <w:rPr>
          <w:bCs/>
          <w:snapToGrid w:val="0"/>
          <w:sz w:val="24"/>
        </w:rPr>
      </w:pPr>
      <w:r w:rsidRPr="002B55E9">
        <w:rPr>
          <w:bCs/>
          <w:snapToGrid w:val="0"/>
          <w:sz w:val="24"/>
        </w:rPr>
        <w:t>F——</w:t>
      </w:r>
      <w:r w:rsidRPr="002B55E9">
        <w:rPr>
          <w:bCs/>
          <w:snapToGrid w:val="0"/>
          <w:sz w:val="24"/>
        </w:rPr>
        <w:t>必须进入事故废水收集系统的雨水汇水面积，</w:t>
      </w:r>
      <w:r w:rsidRPr="002B55E9">
        <w:rPr>
          <w:bCs/>
          <w:snapToGrid w:val="0"/>
          <w:sz w:val="24"/>
        </w:rPr>
        <w:t>ha</w:t>
      </w:r>
      <w:r w:rsidRPr="002B55E9">
        <w:rPr>
          <w:bCs/>
          <w:snapToGrid w:val="0"/>
          <w:sz w:val="24"/>
        </w:rPr>
        <w:t>；</w:t>
      </w:r>
    </w:p>
    <w:p w14:paraId="76B103FB"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十一</w:t>
      </w:r>
      <w:r w:rsidRPr="002B55E9">
        <w:rPr>
          <w:bCs/>
          <w:snapToGrid w:val="0"/>
          <w:sz w:val="24"/>
        </w:rPr>
        <w:t>车间、十三车间</w:t>
      </w:r>
      <w:r w:rsidRPr="002B55E9">
        <w:rPr>
          <w:rFonts w:hint="eastAsia"/>
          <w:bCs/>
          <w:snapToGrid w:val="0"/>
          <w:sz w:val="24"/>
        </w:rPr>
        <w:t>均为</w:t>
      </w:r>
      <w:r w:rsidRPr="002B55E9">
        <w:rPr>
          <w:bCs/>
          <w:snapToGrid w:val="0"/>
          <w:sz w:val="24"/>
        </w:rPr>
        <w:t>室内生产，事故状态下产生的事故废水</w:t>
      </w:r>
      <w:r w:rsidRPr="002B55E9">
        <w:rPr>
          <w:rFonts w:hint="eastAsia"/>
          <w:bCs/>
          <w:snapToGrid w:val="0"/>
          <w:sz w:val="24"/>
        </w:rPr>
        <w:t>可</w:t>
      </w:r>
      <w:r w:rsidRPr="002B55E9">
        <w:rPr>
          <w:bCs/>
          <w:snapToGrid w:val="0"/>
          <w:sz w:val="24"/>
        </w:rPr>
        <w:t>控制在室内并</w:t>
      </w:r>
      <w:r w:rsidRPr="002B55E9">
        <w:rPr>
          <w:rFonts w:hint="eastAsia"/>
          <w:bCs/>
          <w:snapToGrid w:val="0"/>
          <w:sz w:val="24"/>
        </w:rPr>
        <w:t>可</w:t>
      </w:r>
      <w:r w:rsidRPr="002B55E9">
        <w:rPr>
          <w:bCs/>
          <w:snapToGrid w:val="0"/>
          <w:sz w:val="24"/>
        </w:rPr>
        <w:t>通过污水管网</w:t>
      </w:r>
      <w:r w:rsidRPr="002B55E9">
        <w:rPr>
          <w:rFonts w:hint="eastAsia"/>
          <w:bCs/>
          <w:snapToGrid w:val="0"/>
          <w:sz w:val="24"/>
        </w:rPr>
        <w:t>输送</w:t>
      </w:r>
      <w:r w:rsidRPr="002B55E9">
        <w:rPr>
          <w:bCs/>
          <w:snapToGrid w:val="0"/>
          <w:sz w:val="24"/>
        </w:rPr>
        <w:t>至</w:t>
      </w:r>
      <w:r w:rsidRPr="002B55E9">
        <w:rPr>
          <w:rFonts w:hint="eastAsia"/>
          <w:bCs/>
          <w:snapToGrid w:val="0"/>
          <w:sz w:val="24"/>
        </w:rPr>
        <w:t>应急</w:t>
      </w:r>
      <w:r w:rsidRPr="002B55E9">
        <w:rPr>
          <w:bCs/>
          <w:snapToGrid w:val="0"/>
          <w:sz w:val="24"/>
        </w:rPr>
        <w:t>事故池内，不会外溢污染雨水，</w:t>
      </w:r>
      <w:r w:rsidRPr="002B55E9">
        <w:rPr>
          <w:rFonts w:hint="eastAsia"/>
          <w:bCs/>
          <w:snapToGrid w:val="0"/>
          <w:sz w:val="24"/>
        </w:rPr>
        <w:t>根据</w:t>
      </w:r>
      <w:r w:rsidRPr="002B55E9">
        <w:rPr>
          <w:bCs/>
          <w:snapToGrid w:val="0"/>
          <w:sz w:val="24"/>
        </w:rPr>
        <w:t>设计单位提供的雨污管</w:t>
      </w:r>
      <w:r w:rsidRPr="002B55E9">
        <w:rPr>
          <w:rFonts w:hint="eastAsia"/>
          <w:bCs/>
          <w:snapToGrid w:val="0"/>
          <w:sz w:val="24"/>
        </w:rPr>
        <w:t>资料</w:t>
      </w:r>
      <w:r w:rsidRPr="002B55E9">
        <w:rPr>
          <w:bCs/>
          <w:snapToGrid w:val="0"/>
          <w:sz w:val="24"/>
        </w:rPr>
        <w:t>网图</w:t>
      </w:r>
      <w:r w:rsidRPr="002B55E9">
        <w:rPr>
          <w:rFonts w:hint="eastAsia"/>
          <w:bCs/>
          <w:snapToGrid w:val="0"/>
          <w:sz w:val="24"/>
        </w:rPr>
        <w:t>及</w:t>
      </w:r>
      <w:r w:rsidRPr="002B55E9">
        <w:rPr>
          <w:bCs/>
          <w:snapToGrid w:val="0"/>
          <w:sz w:val="24"/>
        </w:rPr>
        <w:t>雨水分区情况</w:t>
      </w:r>
      <w:r w:rsidRPr="002B55E9">
        <w:rPr>
          <w:rFonts w:hint="eastAsia"/>
          <w:bCs/>
          <w:snapToGrid w:val="0"/>
          <w:sz w:val="24"/>
        </w:rPr>
        <w:t>，</w:t>
      </w:r>
      <w:r w:rsidRPr="002B55E9">
        <w:rPr>
          <w:bCs/>
          <w:snapToGrid w:val="0"/>
          <w:sz w:val="24"/>
        </w:rPr>
        <w:t>V</w:t>
      </w:r>
      <w:r w:rsidRPr="002B55E9">
        <w:rPr>
          <w:bCs/>
          <w:snapToGrid w:val="0"/>
          <w:sz w:val="24"/>
          <w:vertAlign w:val="subscript"/>
        </w:rPr>
        <w:t>5</w:t>
      </w:r>
      <w:r w:rsidRPr="002B55E9">
        <w:rPr>
          <w:bCs/>
          <w:snapToGrid w:val="0"/>
          <w:sz w:val="24"/>
        </w:rPr>
        <w:t>计算结果见</w:t>
      </w:r>
      <w:r w:rsidRPr="002B55E9">
        <w:rPr>
          <w:rFonts w:hint="eastAsia"/>
          <w:bCs/>
          <w:snapToGrid w:val="0"/>
          <w:sz w:val="24"/>
        </w:rPr>
        <w:t>下</w:t>
      </w:r>
      <w:r w:rsidRPr="002B55E9">
        <w:rPr>
          <w:bCs/>
          <w:snapToGrid w:val="0"/>
          <w:sz w:val="24"/>
        </w:rPr>
        <w:t>表</w:t>
      </w:r>
      <w:r w:rsidRPr="002B55E9">
        <w:rPr>
          <w:rFonts w:hint="eastAsia"/>
          <w:bCs/>
          <w:snapToGrid w:val="0"/>
          <w:sz w:val="24"/>
        </w:rPr>
        <w:t>。</w:t>
      </w:r>
    </w:p>
    <w:p w14:paraId="7FF2A5D9" w14:textId="77777777" w:rsidR="00D170E5" w:rsidRPr="002B55E9" w:rsidRDefault="00EF27AD">
      <w:pPr>
        <w:jc w:val="center"/>
        <w:rPr>
          <w:bCs/>
          <w:snapToGrid w:val="0"/>
          <w:sz w:val="24"/>
        </w:rPr>
      </w:pPr>
      <w:r w:rsidRPr="002B55E9">
        <w:rPr>
          <w:rFonts w:eastAsia="黑体" w:hint="eastAsia"/>
          <w:b/>
          <w:sz w:val="24"/>
        </w:rPr>
        <w:t>表</w:t>
      </w:r>
      <w:r w:rsidRPr="002B55E9">
        <w:rPr>
          <w:rFonts w:eastAsia="黑体" w:hint="eastAsia"/>
          <w:b/>
          <w:sz w:val="24"/>
        </w:rPr>
        <w:t xml:space="preserve">6-6-3  </w:t>
      </w:r>
      <w:r w:rsidRPr="002B55E9">
        <w:rPr>
          <w:rFonts w:eastAsia="黑体" w:hint="eastAsia"/>
          <w:b/>
          <w:sz w:val="24"/>
        </w:rPr>
        <w:t>发生事故时可能进入的雨水量</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87"/>
        <w:gridCol w:w="2407"/>
        <w:gridCol w:w="1797"/>
        <w:gridCol w:w="1923"/>
        <w:gridCol w:w="1923"/>
      </w:tblGrid>
      <w:tr w:rsidR="00C60999" w:rsidRPr="002B55E9" w14:paraId="01D3923A" w14:textId="77777777">
        <w:trPr>
          <w:trHeight w:val="284"/>
        </w:trPr>
        <w:tc>
          <w:tcPr>
            <w:tcW w:w="1587" w:type="dxa"/>
            <w:shd w:val="clear" w:color="auto" w:fill="auto"/>
            <w:noWrap/>
            <w:vAlign w:val="center"/>
          </w:tcPr>
          <w:p w14:paraId="1AD164CE" w14:textId="77777777" w:rsidR="00D170E5" w:rsidRPr="002B55E9" w:rsidRDefault="00EF27AD">
            <w:pPr>
              <w:pStyle w:val="affffffffffffffffff6"/>
              <w:ind w:left="-40" w:right="-40"/>
            </w:pPr>
            <w:r w:rsidRPr="002B55E9">
              <w:rPr>
                <w:rFonts w:hint="eastAsia"/>
              </w:rPr>
              <w:t>序号</w:t>
            </w:r>
          </w:p>
        </w:tc>
        <w:tc>
          <w:tcPr>
            <w:tcW w:w="2407" w:type="dxa"/>
            <w:shd w:val="clear" w:color="auto" w:fill="auto"/>
            <w:noWrap/>
            <w:vAlign w:val="center"/>
          </w:tcPr>
          <w:p w14:paraId="6E14E6C2" w14:textId="77777777" w:rsidR="00D170E5" w:rsidRPr="002B55E9" w:rsidRDefault="00EF27AD">
            <w:pPr>
              <w:pStyle w:val="affffffffffffffffff6"/>
              <w:ind w:left="-40" w:right="-40"/>
            </w:pPr>
            <w:r w:rsidRPr="002B55E9">
              <w:rPr>
                <w:rFonts w:hint="eastAsia"/>
              </w:rPr>
              <w:t>建筑单元</w:t>
            </w:r>
          </w:p>
        </w:tc>
        <w:tc>
          <w:tcPr>
            <w:tcW w:w="1797" w:type="dxa"/>
            <w:shd w:val="clear" w:color="auto" w:fill="auto"/>
            <w:vAlign w:val="center"/>
          </w:tcPr>
          <w:p w14:paraId="32E59BF6" w14:textId="77777777" w:rsidR="00D170E5" w:rsidRPr="002B55E9" w:rsidRDefault="00EF27AD">
            <w:pPr>
              <w:pStyle w:val="affffffffffffffffff6"/>
              <w:ind w:left="-40" w:right="-40"/>
            </w:pPr>
            <w:r w:rsidRPr="002B55E9">
              <w:rPr>
                <w:rFonts w:hint="eastAsia"/>
              </w:rPr>
              <w:t>雨水汇水面积（</w:t>
            </w:r>
            <w:r w:rsidRPr="002B55E9">
              <w:t>ha</w:t>
            </w:r>
            <w:r w:rsidRPr="002B55E9">
              <w:rPr>
                <w:rFonts w:hint="eastAsia"/>
              </w:rPr>
              <w:t>）</w:t>
            </w:r>
          </w:p>
        </w:tc>
        <w:tc>
          <w:tcPr>
            <w:tcW w:w="1923" w:type="dxa"/>
            <w:vAlign w:val="center"/>
          </w:tcPr>
          <w:p w14:paraId="2D9CED08" w14:textId="77777777" w:rsidR="00D170E5" w:rsidRPr="002B55E9" w:rsidRDefault="00EF27AD">
            <w:pPr>
              <w:pStyle w:val="affffffffffffffffff6"/>
              <w:ind w:left="-40" w:right="-40"/>
            </w:pPr>
            <w:r w:rsidRPr="002B55E9">
              <w:rPr>
                <w:rFonts w:hint="eastAsia"/>
              </w:rPr>
              <w:t>降雨</w:t>
            </w:r>
            <w:r w:rsidRPr="002B55E9">
              <w:t>强度</w:t>
            </w:r>
            <w:r w:rsidRPr="002B55E9">
              <w:rPr>
                <w:rFonts w:hint="eastAsia"/>
              </w:rPr>
              <w:t>（</w:t>
            </w:r>
            <w:r w:rsidRPr="002B55E9">
              <w:rPr>
                <w:rFonts w:hint="eastAsia"/>
              </w:rPr>
              <w:t>mm</w:t>
            </w:r>
            <w:r w:rsidRPr="002B55E9">
              <w:rPr>
                <w:rFonts w:hint="eastAsia"/>
              </w:rPr>
              <w:t>）</w:t>
            </w:r>
          </w:p>
        </w:tc>
        <w:tc>
          <w:tcPr>
            <w:tcW w:w="1923" w:type="dxa"/>
            <w:shd w:val="clear" w:color="auto" w:fill="auto"/>
            <w:noWrap/>
            <w:vAlign w:val="center"/>
          </w:tcPr>
          <w:p w14:paraId="783E1C60" w14:textId="77777777" w:rsidR="00D170E5" w:rsidRPr="002B55E9" w:rsidRDefault="00EF27AD">
            <w:pPr>
              <w:pStyle w:val="affffffffffffffffff6"/>
              <w:ind w:left="-40" w:right="-40"/>
            </w:pPr>
            <w:r w:rsidRPr="002B55E9">
              <w:t>V5</w:t>
            </w:r>
            <w:r w:rsidRPr="002B55E9">
              <w:rPr>
                <w:rFonts w:hint="eastAsia"/>
              </w:rPr>
              <w:t>（</w:t>
            </w:r>
            <w:r w:rsidRPr="002B55E9">
              <w:t>m</w:t>
            </w:r>
            <w:r w:rsidRPr="002B55E9">
              <w:rPr>
                <w:vertAlign w:val="superscript"/>
              </w:rPr>
              <w:t>3</w:t>
            </w:r>
            <w:r w:rsidRPr="002B55E9">
              <w:rPr>
                <w:rFonts w:hint="eastAsia"/>
              </w:rPr>
              <w:t>）</w:t>
            </w:r>
          </w:p>
        </w:tc>
      </w:tr>
      <w:tr w:rsidR="00C60999" w:rsidRPr="002B55E9" w14:paraId="717518B6" w14:textId="77777777">
        <w:trPr>
          <w:trHeight w:val="284"/>
        </w:trPr>
        <w:tc>
          <w:tcPr>
            <w:tcW w:w="1587" w:type="dxa"/>
            <w:shd w:val="clear" w:color="auto" w:fill="auto"/>
            <w:noWrap/>
            <w:vAlign w:val="center"/>
          </w:tcPr>
          <w:p w14:paraId="2C9D7E95" w14:textId="77777777" w:rsidR="00D170E5" w:rsidRPr="002B55E9" w:rsidRDefault="00EF27AD">
            <w:pPr>
              <w:pStyle w:val="affffffffffffffffff6"/>
              <w:ind w:left="-40" w:right="-40"/>
            </w:pPr>
            <w:r w:rsidRPr="002B55E9">
              <w:rPr>
                <w:rFonts w:hint="eastAsia"/>
              </w:rPr>
              <w:t>1</w:t>
            </w:r>
          </w:p>
        </w:tc>
        <w:tc>
          <w:tcPr>
            <w:tcW w:w="2407" w:type="dxa"/>
            <w:shd w:val="clear" w:color="auto" w:fill="auto"/>
            <w:noWrap/>
            <w:vAlign w:val="center"/>
          </w:tcPr>
          <w:p w14:paraId="310DE6DC" w14:textId="77777777" w:rsidR="00D170E5" w:rsidRPr="002B55E9" w:rsidRDefault="00EF27AD">
            <w:pPr>
              <w:pStyle w:val="affffffffffffffffff6"/>
              <w:ind w:left="-40" w:right="-40"/>
            </w:pPr>
            <w:r w:rsidRPr="002B55E9">
              <w:rPr>
                <w:rFonts w:hint="eastAsia"/>
              </w:rPr>
              <w:t>罐区三</w:t>
            </w:r>
          </w:p>
        </w:tc>
        <w:tc>
          <w:tcPr>
            <w:tcW w:w="1797" w:type="dxa"/>
            <w:shd w:val="clear" w:color="auto" w:fill="auto"/>
            <w:noWrap/>
            <w:vAlign w:val="center"/>
          </w:tcPr>
          <w:p w14:paraId="7D5E5066" w14:textId="77777777" w:rsidR="00D170E5" w:rsidRPr="002B55E9" w:rsidRDefault="00EF27AD">
            <w:pPr>
              <w:pStyle w:val="affffffffffffffffff6"/>
              <w:ind w:left="-40" w:right="-40"/>
            </w:pPr>
            <w:r w:rsidRPr="002B55E9">
              <w:t>0.1841</w:t>
            </w:r>
          </w:p>
        </w:tc>
        <w:tc>
          <w:tcPr>
            <w:tcW w:w="1923" w:type="dxa"/>
            <w:vMerge w:val="restart"/>
            <w:vAlign w:val="center"/>
          </w:tcPr>
          <w:p w14:paraId="263F4807" w14:textId="77777777" w:rsidR="00D170E5" w:rsidRPr="002B55E9" w:rsidRDefault="00EF27AD">
            <w:pPr>
              <w:pStyle w:val="affffffffffffffffff6"/>
              <w:ind w:left="-40" w:right="-40"/>
            </w:pPr>
            <w:r w:rsidRPr="002B55E9">
              <w:rPr>
                <w:rFonts w:hint="eastAsia"/>
              </w:rPr>
              <w:t>10.36</w:t>
            </w:r>
          </w:p>
        </w:tc>
        <w:tc>
          <w:tcPr>
            <w:tcW w:w="1923" w:type="dxa"/>
            <w:shd w:val="clear" w:color="auto" w:fill="auto"/>
            <w:noWrap/>
            <w:vAlign w:val="center"/>
          </w:tcPr>
          <w:p w14:paraId="64BAE877" w14:textId="77777777" w:rsidR="00D170E5" w:rsidRPr="002B55E9" w:rsidRDefault="00EF27AD">
            <w:pPr>
              <w:pStyle w:val="affffffffffffffffff6"/>
              <w:ind w:left="-40" w:right="-40"/>
            </w:pPr>
            <w:r w:rsidRPr="002B55E9">
              <w:t>19.1</w:t>
            </w:r>
          </w:p>
        </w:tc>
      </w:tr>
      <w:tr w:rsidR="00C60999" w:rsidRPr="002B55E9" w14:paraId="635DA5B9" w14:textId="77777777">
        <w:trPr>
          <w:trHeight w:val="284"/>
        </w:trPr>
        <w:tc>
          <w:tcPr>
            <w:tcW w:w="1587" w:type="dxa"/>
            <w:shd w:val="clear" w:color="auto" w:fill="auto"/>
            <w:noWrap/>
            <w:vAlign w:val="center"/>
          </w:tcPr>
          <w:p w14:paraId="3441E525" w14:textId="77777777" w:rsidR="00D170E5" w:rsidRPr="002B55E9" w:rsidRDefault="00EF27AD">
            <w:pPr>
              <w:pStyle w:val="affffffffffffffffff6"/>
              <w:ind w:left="-40" w:right="-40"/>
            </w:pPr>
            <w:r w:rsidRPr="002B55E9">
              <w:rPr>
                <w:rFonts w:hint="eastAsia"/>
              </w:rPr>
              <w:t>2</w:t>
            </w:r>
          </w:p>
        </w:tc>
        <w:tc>
          <w:tcPr>
            <w:tcW w:w="2407" w:type="dxa"/>
            <w:shd w:val="clear" w:color="auto" w:fill="auto"/>
            <w:noWrap/>
            <w:vAlign w:val="center"/>
          </w:tcPr>
          <w:p w14:paraId="5F008CFD" w14:textId="77777777" w:rsidR="00D170E5" w:rsidRPr="002B55E9" w:rsidRDefault="00EF27AD">
            <w:pPr>
              <w:pStyle w:val="affffffffffffffffff6"/>
              <w:ind w:left="-40" w:right="-40"/>
            </w:pPr>
            <w:r w:rsidRPr="002B55E9">
              <w:rPr>
                <w:rFonts w:hint="eastAsia"/>
              </w:rPr>
              <w:t>酒精</w:t>
            </w:r>
            <w:r w:rsidRPr="002B55E9">
              <w:t>罐区</w:t>
            </w:r>
          </w:p>
        </w:tc>
        <w:tc>
          <w:tcPr>
            <w:tcW w:w="1797" w:type="dxa"/>
            <w:shd w:val="clear" w:color="auto" w:fill="auto"/>
            <w:noWrap/>
            <w:vAlign w:val="center"/>
          </w:tcPr>
          <w:p w14:paraId="332DA9DE" w14:textId="77777777" w:rsidR="00D170E5" w:rsidRPr="002B55E9" w:rsidRDefault="00EF27AD">
            <w:pPr>
              <w:pStyle w:val="affffffffffffffffff6"/>
              <w:ind w:left="-40" w:right="-40"/>
            </w:pPr>
            <w:r w:rsidRPr="002B55E9">
              <w:t>0.0713</w:t>
            </w:r>
          </w:p>
        </w:tc>
        <w:tc>
          <w:tcPr>
            <w:tcW w:w="1923" w:type="dxa"/>
            <w:vMerge/>
            <w:vAlign w:val="center"/>
          </w:tcPr>
          <w:p w14:paraId="79DA68F6" w14:textId="77777777" w:rsidR="00D170E5" w:rsidRPr="002B55E9" w:rsidRDefault="00D170E5">
            <w:pPr>
              <w:pStyle w:val="affffffffffffffffff6"/>
              <w:ind w:left="-40" w:right="-40"/>
            </w:pPr>
          </w:p>
        </w:tc>
        <w:tc>
          <w:tcPr>
            <w:tcW w:w="1923" w:type="dxa"/>
            <w:shd w:val="clear" w:color="auto" w:fill="auto"/>
            <w:noWrap/>
            <w:vAlign w:val="center"/>
          </w:tcPr>
          <w:p w14:paraId="4AF991DD" w14:textId="77777777" w:rsidR="00D170E5" w:rsidRPr="002B55E9" w:rsidRDefault="00EF27AD">
            <w:pPr>
              <w:pStyle w:val="affffffffffffffffff6"/>
              <w:ind w:left="-40" w:right="-40"/>
            </w:pPr>
            <w:r w:rsidRPr="002B55E9">
              <w:t>7.4</w:t>
            </w:r>
          </w:p>
        </w:tc>
      </w:tr>
    </w:tbl>
    <w:p w14:paraId="1AAB8D44"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w:t>
      </w:r>
      <w:r w:rsidRPr="002B55E9">
        <w:rPr>
          <w:rFonts w:hint="eastAsia"/>
          <w:bCs/>
          <w:snapToGrid w:val="0"/>
          <w:sz w:val="24"/>
        </w:rPr>
        <w:t>6</w:t>
      </w:r>
      <w:r w:rsidRPr="002B55E9">
        <w:rPr>
          <w:rFonts w:hint="eastAsia"/>
          <w:bCs/>
          <w:snapToGrid w:val="0"/>
          <w:sz w:val="24"/>
        </w:rPr>
        <w:t>）事故池计算结果</w:t>
      </w:r>
    </w:p>
    <w:p w14:paraId="42572220" w14:textId="77777777" w:rsidR="00D170E5" w:rsidRPr="002B55E9" w:rsidRDefault="00EF27AD">
      <w:pPr>
        <w:spacing w:after="60" w:line="360" w:lineRule="auto"/>
        <w:ind w:firstLineChars="200" w:firstLine="480"/>
        <w:rPr>
          <w:bCs/>
          <w:snapToGrid w:val="0"/>
          <w:sz w:val="24"/>
        </w:rPr>
      </w:pPr>
      <w:r w:rsidRPr="002B55E9">
        <w:rPr>
          <w:bCs/>
          <w:snapToGrid w:val="0"/>
          <w:sz w:val="24"/>
        </w:rPr>
        <w:t>根据以上情况，项目事故存储设施和事故池计算结果见</w:t>
      </w:r>
      <w:r w:rsidRPr="002B55E9">
        <w:rPr>
          <w:rFonts w:hint="eastAsia"/>
          <w:bCs/>
          <w:snapToGrid w:val="0"/>
          <w:sz w:val="24"/>
        </w:rPr>
        <w:t>下</w:t>
      </w:r>
      <w:r w:rsidRPr="002B55E9">
        <w:rPr>
          <w:bCs/>
          <w:snapToGrid w:val="0"/>
          <w:sz w:val="24"/>
        </w:rPr>
        <w:t>表。</w:t>
      </w:r>
    </w:p>
    <w:p w14:paraId="23C4F6D9" w14:textId="77777777" w:rsidR="00D170E5" w:rsidRPr="002B55E9" w:rsidRDefault="00EF27AD">
      <w:pPr>
        <w:spacing w:before="120"/>
        <w:jc w:val="center"/>
        <w:rPr>
          <w:rFonts w:eastAsia="黑体"/>
          <w:b/>
          <w:sz w:val="24"/>
        </w:rPr>
      </w:pPr>
      <w:r w:rsidRPr="002B55E9">
        <w:rPr>
          <w:rFonts w:eastAsia="黑体"/>
          <w:b/>
          <w:sz w:val="24"/>
        </w:rPr>
        <w:t>表</w:t>
      </w:r>
      <w:r w:rsidRPr="002B55E9">
        <w:rPr>
          <w:rFonts w:eastAsia="黑体"/>
          <w:b/>
          <w:sz w:val="24"/>
        </w:rPr>
        <w:t xml:space="preserve">6-6-4  </w:t>
      </w:r>
      <w:r w:rsidRPr="002B55E9">
        <w:rPr>
          <w:rFonts w:eastAsia="黑体"/>
          <w:b/>
          <w:sz w:val="24"/>
        </w:rPr>
        <w:t>事故存储设施和事故池计算结果一览表</w:t>
      </w:r>
    </w:p>
    <w:tbl>
      <w:tblPr>
        <w:tblW w:w="9637"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41"/>
        <w:gridCol w:w="992"/>
        <w:gridCol w:w="993"/>
        <w:gridCol w:w="993"/>
        <w:gridCol w:w="993"/>
        <w:gridCol w:w="993"/>
        <w:gridCol w:w="1417"/>
        <w:gridCol w:w="1415"/>
      </w:tblGrid>
      <w:tr w:rsidR="00C60999" w:rsidRPr="002B55E9" w14:paraId="05337914" w14:textId="77777777">
        <w:trPr>
          <w:trHeight w:val="284"/>
        </w:trPr>
        <w:tc>
          <w:tcPr>
            <w:tcW w:w="1841" w:type="dxa"/>
            <w:shd w:val="clear" w:color="auto" w:fill="auto"/>
            <w:noWrap/>
            <w:vAlign w:val="center"/>
          </w:tcPr>
          <w:p w14:paraId="563EB8C6" w14:textId="77777777" w:rsidR="00D170E5" w:rsidRPr="002B55E9" w:rsidRDefault="00EF27AD">
            <w:pPr>
              <w:pStyle w:val="affffffffffffffffff6"/>
              <w:ind w:left="-40" w:right="-40"/>
            </w:pPr>
            <w:r w:rsidRPr="002B55E9">
              <w:rPr>
                <w:rFonts w:hint="eastAsia"/>
                <w:lang w:bidi="ar"/>
              </w:rPr>
              <w:t>火灾发生区域</w:t>
            </w:r>
          </w:p>
        </w:tc>
        <w:tc>
          <w:tcPr>
            <w:tcW w:w="992" w:type="dxa"/>
            <w:shd w:val="clear" w:color="auto" w:fill="auto"/>
            <w:noWrap/>
            <w:vAlign w:val="center"/>
          </w:tcPr>
          <w:p w14:paraId="3F436AE2" w14:textId="77777777" w:rsidR="00D170E5" w:rsidRPr="002B55E9" w:rsidRDefault="00EF27AD">
            <w:pPr>
              <w:pStyle w:val="affffffffffffffffff6"/>
              <w:ind w:left="-40" w:right="-40"/>
            </w:pPr>
            <w:r w:rsidRPr="002B55E9">
              <w:rPr>
                <w:lang w:bidi="ar"/>
              </w:rPr>
              <w:t>V</w:t>
            </w:r>
            <w:r w:rsidRPr="002B55E9">
              <w:rPr>
                <w:vertAlign w:val="subscript"/>
                <w:lang w:bidi="ar"/>
              </w:rPr>
              <w:t>1</w:t>
            </w:r>
            <w:r w:rsidRPr="002B55E9">
              <w:rPr>
                <w:rFonts w:hint="eastAsia"/>
                <w:lang w:bidi="ar"/>
              </w:rPr>
              <w:t>（</w:t>
            </w:r>
            <w:r w:rsidRPr="002B55E9">
              <w:rPr>
                <w:lang w:bidi="ar"/>
              </w:rPr>
              <w:t>m</w:t>
            </w:r>
            <w:r w:rsidRPr="002B55E9">
              <w:rPr>
                <w:vertAlign w:val="superscript"/>
                <w:lang w:bidi="ar"/>
              </w:rPr>
              <w:t>3</w:t>
            </w:r>
            <w:r w:rsidRPr="002B55E9">
              <w:rPr>
                <w:rFonts w:hint="eastAsia"/>
                <w:lang w:bidi="ar"/>
              </w:rPr>
              <w:t>）</w:t>
            </w:r>
          </w:p>
        </w:tc>
        <w:tc>
          <w:tcPr>
            <w:tcW w:w="993" w:type="dxa"/>
            <w:shd w:val="clear" w:color="auto" w:fill="auto"/>
            <w:noWrap/>
            <w:vAlign w:val="center"/>
          </w:tcPr>
          <w:p w14:paraId="1868299C" w14:textId="77777777" w:rsidR="00D170E5" w:rsidRPr="002B55E9" w:rsidRDefault="00EF27AD">
            <w:pPr>
              <w:pStyle w:val="affffffffffffffffff6"/>
              <w:ind w:left="-40" w:right="-40"/>
            </w:pPr>
            <w:r w:rsidRPr="002B55E9">
              <w:rPr>
                <w:lang w:bidi="ar"/>
              </w:rPr>
              <w:t>V</w:t>
            </w:r>
            <w:r w:rsidRPr="002B55E9">
              <w:rPr>
                <w:vertAlign w:val="subscript"/>
                <w:lang w:bidi="ar"/>
              </w:rPr>
              <w:t>2</w:t>
            </w:r>
            <w:r w:rsidRPr="002B55E9">
              <w:rPr>
                <w:rFonts w:hint="eastAsia"/>
                <w:lang w:bidi="ar"/>
              </w:rPr>
              <w:t>（</w:t>
            </w:r>
            <w:r w:rsidRPr="002B55E9">
              <w:rPr>
                <w:lang w:bidi="ar"/>
              </w:rPr>
              <w:t>m</w:t>
            </w:r>
            <w:r w:rsidRPr="002B55E9">
              <w:rPr>
                <w:vertAlign w:val="superscript"/>
                <w:lang w:bidi="ar"/>
              </w:rPr>
              <w:t>3</w:t>
            </w:r>
            <w:r w:rsidRPr="002B55E9">
              <w:rPr>
                <w:rFonts w:hint="eastAsia"/>
                <w:lang w:bidi="ar"/>
              </w:rPr>
              <w:t>）</w:t>
            </w:r>
          </w:p>
        </w:tc>
        <w:tc>
          <w:tcPr>
            <w:tcW w:w="993" w:type="dxa"/>
            <w:shd w:val="clear" w:color="auto" w:fill="auto"/>
            <w:noWrap/>
            <w:vAlign w:val="center"/>
          </w:tcPr>
          <w:p w14:paraId="6F11006A" w14:textId="77777777" w:rsidR="00D170E5" w:rsidRPr="002B55E9" w:rsidRDefault="00EF27AD">
            <w:pPr>
              <w:pStyle w:val="affffffffffffffffff6"/>
              <w:ind w:left="-40" w:right="-40"/>
            </w:pPr>
            <w:r w:rsidRPr="002B55E9">
              <w:rPr>
                <w:lang w:bidi="ar"/>
              </w:rPr>
              <w:t>V</w:t>
            </w:r>
            <w:r w:rsidRPr="002B55E9">
              <w:rPr>
                <w:vertAlign w:val="subscript"/>
                <w:lang w:bidi="ar"/>
              </w:rPr>
              <w:t>3</w:t>
            </w:r>
            <w:r w:rsidRPr="002B55E9">
              <w:rPr>
                <w:rFonts w:hint="eastAsia"/>
                <w:lang w:bidi="ar"/>
              </w:rPr>
              <w:t>（</w:t>
            </w:r>
            <w:r w:rsidRPr="002B55E9">
              <w:rPr>
                <w:lang w:bidi="ar"/>
              </w:rPr>
              <w:t>m</w:t>
            </w:r>
            <w:r w:rsidRPr="002B55E9">
              <w:rPr>
                <w:vertAlign w:val="superscript"/>
                <w:lang w:bidi="ar"/>
              </w:rPr>
              <w:t>3</w:t>
            </w:r>
            <w:r w:rsidRPr="002B55E9">
              <w:rPr>
                <w:rFonts w:hint="eastAsia"/>
                <w:lang w:bidi="ar"/>
              </w:rPr>
              <w:t>）</w:t>
            </w:r>
          </w:p>
        </w:tc>
        <w:tc>
          <w:tcPr>
            <w:tcW w:w="993" w:type="dxa"/>
            <w:shd w:val="clear" w:color="auto" w:fill="auto"/>
            <w:noWrap/>
            <w:vAlign w:val="center"/>
          </w:tcPr>
          <w:p w14:paraId="7A49CBEE" w14:textId="77777777" w:rsidR="00D170E5" w:rsidRPr="002B55E9" w:rsidRDefault="00EF27AD">
            <w:pPr>
              <w:pStyle w:val="affffffffffffffffff6"/>
              <w:ind w:left="-40" w:right="-40"/>
            </w:pPr>
            <w:r w:rsidRPr="002B55E9">
              <w:rPr>
                <w:lang w:bidi="ar"/>
              </w:rPr>
              <w:t>V</w:t>
            </w:r>
            <w:r w:rsidRPr="002B55E9">
              <w:rPr>
                <w:vertAlign w:val="subscript"/>
                <w:lang w:bidi="ar"/>
              </w:rPr>
              <w:t>4</w:t>
            </w:r>
            <w:r w:rsidRPr="002B55E9">
              <w:rPr>
                <w:rFonts w:hint="eastAsia"/>
                <w:lang w:bidi="ar"/>
              </w:rPr>
              <w:t>（</w:t>
            </w:r>
            <w:r w:rsidRPr="002B55E9">
              <w:rPr>
                <w:lang w:bidi="ar"/>
              </w:rPr>
              <w:t>m</w:t>
            </w:r>
            <w:r w:rsidRPr="002B55E9">
              <w:rPr>
                <w:vertAlign w:val="superscript"/>
                <w:lang w:bidi="ar"/>
              </w:rPr>
              <w:t>3</w:t>
            </w:r>
            <w:r w:rsidRPr="002B55E9">
              <w:rPr>
                <w:rFonts w:hint="eastAsia"/>
                <w:lang w:bidi="ar"/>
              </w:rPr>
              <w:t>）</w:t>
            </w:r>
          </w:p>
        </w:tc>
        <w:tc>
          <w:tcPr>
            <w:tcW w:w="993" w:type="dxa"/>
            <w:shd w:val="clear" w:color="auto" w:fill="auto"/>
            <w:noWrap/>
            <w:vAlign w:val="center"/>
          </w:tcPr>
          <w:p w14:paraId="7C21592D" w14:textId="77777777" w:rsidR="00D170E5" w:rsidRPr="002B55E9" w:rsidRDefault="00EF27AD">
            <w:pPr>
              <w:pStyle w:val="affffffffffffffffff6"/>
              <w:ind w:left="-40" w:right="-40"/>
            </w:pPr>
            <w:r w:rsidRPr="002B55E9">
              <w:rPr>
                <w:lang w:bidi="ar"/>
              </w:rPr>
              <w:t>V</w:t>
            </w:r>
            <w:r w:rsidRPr="002B55E9">
              <w:rPr>
                <w:vertAlign w:val="subscript"/>
                <w:lang w:bidi="ar"/>
              </w:rPr>
              <w:t>5</w:t>
            </w:r>
            <w:r w:rsidRPr="002B55E9">
              <w:rPr>
                <w:rFonts w:hint="eastAsia"/>
                <w:lang w:bidi="ar"/>
              </w:rPr>
              <w:t>（</w:t>
            </w:r>
            <w:r w:rsidRPr="002B55E9">
              <w:rPr>
                <w:lang w:bidi="ar"/>
              </w:rPr>
              <w:t>m</w:t>
            </w:r>
            <w:r w:rsidRPr="002B55E9">
              <w:rPr>
                <w:vertAlign w:val="superscript"/>
                <w:lang w:bidi="ar"/>
              </w:rPr>
              <w:t>3</w:t>
            </w:r>
            <w:r w:rsidRPr="002B55E9">
              <w:rPr>
                <w:rFonts w:hint="eastAsia"/>
                <w:lang w:bidi="ar"/>
              </w:rPr>
              <w:t>）</w:t>
            </w:r>
          </w:p>
        </w:tc>
        <w:tc>
          <w:tcPr>
            <w:tcW w:w="1417" w:type="dxa"/>
            <w:shd w:val="clear" w:color="auto" w:fill="auto"/>
            <w:vAlign w:val="center"/>
          </w:tcPr>
          <w:p w14:paraId="26670CF5" w14:textId="77777777" w:rsidR="00D170E5" w:rsidRPr="002B55E9" w:rsidRDefault="00EF27AD">
            <w:pPr>
              <w:pStyle w:val="affffffffffffffffff6"/>
              <w:ind w:left="-40" w:right="-40"/>
            </w:pPr>
            <w:r w:rsidRPr="002B55E9">
              <w:rPr>
                <w:rFonts w:hint="eastAsia"/>
                <w:lang w:bidi="ar"/>
              </w:rPr>
              <w:t>建议事故池容积（</w:t>
            </w:r>
            <w:r w:rsidRPr="002B55E9">
              <w:rPr>
                <w:lang w:bidi="ar"/>
              </w:rPr>
              <w:t>m</w:t>
            </w:r>
            <w:r w:rsidRPr="002B55E9">
              <w:rPr>
                <w:vertAlign w:val="superscript"/>
                <w:lang w:bidi="ar"/>
              </w:rPr>
              <w:t>3</w:t>
            </w:r>
            <w:r w:rsidRPr="002B55E9">
              <w:rPr>
                <w:rFonts w:hint="eastAsia"/>
                <w:lang w:bidi="ar"/>
              </w:rPr>
              <w:t>）</w:t>
            </w:r>
          </w:p>
        </w:tc>
        <w:tc>
          <w:tcPr>
            <w:tcW w:w="1415" w:type="dxa"/>
            <w:shd w:val="clear" w:color="auto" w:fill="auto"/>
            <w:noWrap/>
            <w:vAlign w:val="center"/>
          </w:tcPr>
          <w:p w14:paraId="5A68E559" w14:textId="77777777" w:rsidR="00D170E5" w:rsidRPr="002B55E9" w:rsidRDefault="00EF27AD">
            <w:pPr>
              <w:pStyle w:val="affffffffffffffffff6"/>
              <w:ind w:left="-40" w:right="-40"/>
            </w:pPr>
            <w:r w:rsidRPr="002B55E9">
              <w:rPr>
                <w:rFonts w:hint="eastAsia"/>
                <w:lang w:bidi="ar"/>
              </w:rPr>
              <w:t>企业事故应急水池（</w:t>
            </w:r>
            <w:r w:rsidRPr="002B55E9">
              <w:rPr>
                <w:lang w:bidi="ar"/>
              </w:rPr>
              <w:t>m</w:t>
            </w:r>
            <w:r w:rsidRPr="002B55E9">
              <w:rPr>
                <w:vertAlign w:val="superscript"/>
                <w:lang w:bidi="ar"/>
              </w:rPr>
              <w:t>3</w:t>
            </w:r>
            <w:r w:rsidRPr="002B55E9">
              <w:rPr>
                <w:rFonts w:hint="eastAsia"/>
                <w:lang w:bidi="ar"/>
              </w:rPr>
              <w:t>）</w:t>
            </w:r>
          </w:p>
        </w:tc>
      </w:tr>
      <w:tr w:rsidR="00C60999" w:rsidRPr="002B55E9" w14:paraId="42AEB2D1" w14:textId="77777777">
        <w:trPr>
          <w:trHeight w:val="284"/>
        </w:trPr>
        <w:tc>
          <w:tcPr>
            <w:tcW w:w="1841" w:type="dxa"/>
            <w:shd w:val="clear" w:color="auto" w:fill="auto"/>
            <w:noWrap/>
            <w:vAlign w:val="center"/>
          </w:tcPr>
          <w:p w14:paraId="22B89D67" w14:textId="77777777" w:rsidR="00D170E5" w:rsidRPr="002B55E9" w:rsidRDefault="00EF27AD">
            <w:pPr>
              <w:pStyle w:val="affffffffffffffffff6"/>
              <w:ind w:left="-40" w:right="-40"/>
            </w:pPr>
            <w:r w:rsidRPr="002B55E9">
              <w:rPr>
                <w:rFonts w:hint="eastAsia"/>
              </w:rPr>
              <w:t>十三车间</w:t>
            </w:r>
          </w:p>
        </w:tc>
        <w:tc>
          <w:tcPr>
            <w:tcW w:w="992" w:type="dxa"/>
            <w:shd w:val="clear" w:color="auto" w:fill="auto"/>
            <w:noWrap/>
            <w:vAlign w:val="center"/>
          </w:tcPr>
          <w:p w14:paraId="1F7B478B" w14:textId="77777777" w:rsidR="00D170E5" w:rsidRPr="002B55E9" w:rsidRDefault="00EF27AD">
            <w:pPr>
              <w:pStyle w:val="affffffffffffffffff6"/>
              <w:ind w:left="-40" w:right="-40"/>
            </w:pPr>
            <w:r w:rsidRPr="002B55E9">
              <w:t>80</w:t>
            </w:r>
          </w:p>
        </w:tc>
        <w:tc>
          <w:tcPr>
            <w:tcW w:w="993" w:type="dxa"/>
            <w:shd w:val="clear" w:color="auto" w:fill="auto"/>
            <w:noWrap/>
            <w:vAlign w:val="center"/>
          </w:tcPr>
          <w:p w14:paraId="57747224" w14:textId="77777777" w:rsidR="00D170E5" w:rsidRPr="002B55E9" w:rsidRDefault="00EF27AD">
            <w:pPr>
              <w:pStyle w:val="affffffffffffffffff6"/>
              <w:ind w:left="-40" w:right="-40"/>
            </w:pPr>
            <w:r w:rsidRPr="002B55E9">
              <w:rPr>
                <w:lang w:bidi="ar"/>
              </w:rPr>
              <w:t>216</w:t>
            </w:r>
          </w:p>
        </w:tc>
        <w:tc>
          <w:tcPr>
            <w:tcW w:w="993" w:type="dxa"/>
            <w:shd w:val="clear" w:color="auto" w:fill="auto"/>
            <w:noWrap/>
            <w:vAlign w:val="center"/>
          </w:tcPr>
          <w:p w14:paraId="294BB655" w14:textId="77777777" w:rsidR="00D170E5" w:rsidRPr="002B55E9" w:rsidRDefault="00EF27AD">
            <w:pPr>
              <w:pStyle w:val="affffffffffffffffff6"/>
              <w:ind w:left="-40" w:right="-40"/>
            </w:pPr>
            <w:r w:rsidRPr="002B55E9">
              <w:rPr>
                <w:rFonts w:hint="eastAsia"/>
              </w:rPr>
              <w:t>0</w:t>
            </w:r>
          </w:p>
        </w:tc>
        <w:tc>
          <w:tcPr>
            <w:tcW w:w="993" w:type="dxa"/>
            <w:shd w:val="clear" w:color="auto" w:fill="auto"/>
            <w:noWrap/>
            <w:vAlign w:val="center"/>
          </w:tcPr>
          <w:p w14:paraId="589E99E4" w14:textId="77777777" w:rsidR="00D170E5" w:rsidRPr="002B55E9" w:rsidRDefault="00EF27AD">
            <w:pPr>
              <w:pStyle w:val="affffffffffffffffff6"/>
              <w:ind w:left="-40" w:right="-40"/>
            </w:pPr>
            <w:r w:rsidRPr="002B55E9">
              <w:rPr>
                <w:lang w:bidi="ar"/>
              </w:rPr>
              <w:t>0</w:t>
            </w:r>
          </w:p>
        </w:tc>
        <w:tc>
          <w:tcPr>
            <w:tcW w:w="993" w:type="dxa"/>
            <w:shd w:val="clear" w:color="auto" w:fill="auto"/>
            <w:noWrap/>
            <w:vAlign w:val="center"/>
          </w:tcPr>
          <w:p w14:paraId="5782B6D0" w14:textId="77777777" w:rsidR="00D170E5" w:rsidRPr="002B55E9" w:rsidRDefault="00EF27AD">
            <w:pPr>
              <w:pStyle w:val="affffffffffffffffff6"/>
              <w:ind w:left="-40" w:right="-40"/>
            </w:pPr>
            <w:r w:rsidRPr="002B55E9">
              <w:rPr>
                <w:rFonts w:hint="eastAsia"/>
              </w:rPr>
              <w:t>0</w:t>
            </w:r>
          </w:p>
        </w:tc>
        <w:tc>
          <w:tcPr>
            <w:tcW w:w="1417" w:type="dxa"/>
            <w:shd w:val="clear" w:color="auto" w:fill="auto"/>
            <w:vAlign w:val="center"/>
          </w:tcPr>
          <w:p w14:paraId="4CAC347C" w14:textId="77777777" w:rsidR="00D170E5" w:rsidRPr="002B55E9" w:rsidRDefault="00EF27AD">
            <w:pPr>
              <w:pStyle w:val="affffffffffffffffff6"/>
              <w:ind w:left="-40" w:right="-40"/>
            </w:pPr>
            <w:r w:rsidRPr="002B55E9">
              <w:t>296</w:t>
            </w:r>
          </w:p>
        </w:tc>
        <w:tc>
          <w:tcPr>
            <w:tcW w:w="1415" w:type="dxa"/>
            <w:vMerge w:val="restart"/>
            <w:shd w:val="clear" w:color="auto" w:fill="auto"/>
            <w:noWrap/>
            <w:vAlign w:val="center"/>
          </w:tcPr>
          <w:p w14:paraId="05665A9B" w14:textId="77777777" w:rsidR="00D170E5" w:rsidRPr="002B55E9" w:rsidRDefault="00EF27AD">
            <w:pPr>
              <w:pStyle w:val="affffffffffffffffff6"/>
              <w:ind w:left="-40" w:right="-40"/>
            </w:pPr>
            <w:r w:rsidRPr="002B55E9">
              <w:rPr>
                <w:lang w:bidi="ar"/>
              </w:rPr>
              <w:t>296</w:t>
            </w:r>
          </w:p>
        </w:tc>
      </w:tr>
      <w:tr w:rsidR="00C60999" w:rsidRPr="002B55E9" w14:paraId="7C5A69F1" w14:textId="77777777">
        <w:trPr>
          <w:trHeight w:val="284"/>
        </w:trPr>
        <w:tc>
          <w:tcPr>
            <w:tcW w:w="1841" w:type="dxa"/>
            <w:shd w:val="clear" w:color="auto" w:fill="auto"/>
            <w:noWrap/>
            <w:vAlign w:val="center"/>
          </w:tcPr>
          <w:p w14:paraId="430ED2D8" w14:textId="77777777" w:rsidR="00D170E5" w:rsidRPr="002B55E9" w:rsidRDefault="00EF27AD">
            <w:pPr>
              <w:pStyle w:val="affffffffffffffffff6"/>
              <w:ind w:left="-40" w:right="-40"/>
            </w:pPr>
            <w:r w:rsidRPr="002B55E9">
              <w:rPr>
                <w:rFonts w:hint="eastAsia"/>
              </w:rPr>
              <w:t>十一车间</w:t>
            </w:r>
          </w:p>
        </w:tc>
        <w:tc>
          <w:tcPr>
            <w:tcW w:w="992" w:type="dxa"/>
            <w:shd w:val="clear" w:color="auto" w:fill="auto"/>
            <w:noWrap/>
            <w:vAlign w:val="center"/>
          </w:tcPr>
          <w:p w14:paraId="2ABB76EC" w14:textId="77777777" w:rsidR="00D170E5" w:rsidRPr="002B55E9" w:rsidRDefault="00EF27AD">
            <w:pPr>
              <w:pStyle w:val="affffffffffffffffff6"/>
              <w:ind w:left="-40" w:right="-40"/>
            </w:pPr>
            <w:r w:rsidRPr="002B55E9">
              <w:rPr>
                <w:rFonts w:hint="eastAsia"/>
              </w:rPr>
              <w:t>20</w:t>
            </w:r>
          </w:p>
        </w:tc>
        <w:tc>
          <w:tcPr>
            <w:tcW w:w="993" w:type="dxa"/>
            <w:shd w:val="clear" w:color="auto" w:fill="auto"/>
            <w:noWrap/>
            <w:vAlign w:val="center"/>
          </w:tcPr>
          <w:p w14:paraId="74CDF607" w14:textId="77777777" w:rsidR="00D170E5" w:rsidRPr="002B55E9" w:rsidRDefault="00EF27AD">
            <w:pPr>
              <w:pStyle w:val="affffffffffffffffff6"/>
              <w:ind w:left="-40" w:right="-40"/>
            </w:pPr>
            <w:r w:rsidRPr="002B55E9">
              <w:rPr>
                <w:lang w:bidi="ar"/>
              </w:rPr>
              <w:t>216</w:t>
            </w:r>
          </w:p>
        </w:tc>
        <w:tc>
          <w:tcPr>
            <w:tcW w:w="993" w:type="dxa"/>
            <w:shd w:val="clear" w:color="auto" w:fill="auto"/>
            <w:noWrap/>
            <w:vAlign w:val="center"/>
          </w:tcPr>
          <w:p w14:paraId="1C645086" w14:textId="77777777" w:rsidR="00D170E5" w:rsidRPr="002B55E9" w:rsidRDefault="00EF27AD">
            <w:pPr>
              <w:pStyle w:val="affffffffffffffffff6"/>
              <w:ind w:left="-40" w:right="-40"/>
            </w:pPr>
            <w:r w:rsidRPr="002B55E9">
              <w:rPr>
                <w:rFonts w:hint="eastAsia"/>
              </w:rPr>
              <w:t>0</w:t>
            </w:r>
          </w:p>
        </w:tc>
        <w:tc>
          <w:tcPr>
            <w:tcW w:w="993" w:type="dxa"/>
            <w:shd w:val="clear" w:color="auto" w:fill="auto"/>
            <w:noWrap/>
            <w:vAlign w:val="center"/>
          </w:tcPr>
          <w:p w14:paraId="4F71E066" w14:textId="77777777" w:rsidR="00D170E5" w:rsidRPr="002B55E9" w:rsidRDefault="00EF27AD">
            <w:pPr>
              <w:pStyle w:val="affffffffffffffffff6"/>
              <w:ind w:left="-40" w:right="-40"/>
            </w:pPr>
            <w:r w:rsidRPr="002B55E9">
              <w:rPr>
                <w:lang w:bidi="ar"/>
              </w:rPr>
              <w:t>0</w:t>
            </w:r>
          </w:p>
        </w:tc>
        <w:tc>
          <w:tcPr>
            <w:tcW w:w="993" w:type="dxa"/>
            <w:shd w:val="clear" w:color="auto" w:fill="auto"/>
            <w:noWrap/>
            <w:vAlign w:val="center"/>
          </w:tcPr>
          <w:p w14:paraId="5EBA79FA" w14:textId="77777777" w:rsidR="00D170E5" w:rsidRPr="002B55E9" w:rsidRDefault="00EF27AD">
            <w:pPr>
              <w:pStyle w:val="affffffffffffffffff6"/>
              <w:ind w:left="-40" w:right="-40"/>
            </w:pPr>
            <w:r w:rsidRPr="002B55E9">
              <w:rPr>
                <w:rFonts w:hint="eastAsia"/>
              </w:rPr>
              <w:t>0</w:t>
            </w:r>
          </w:p>
        </w:tc>
        <w:tc>
          <w:tcPr>
            <w:tcW w:w="1417" w:type="dxa"/>
            <w:shd w:val="clear" w:color="auto" w:fill="auto"/>
            <w:vAlign w:val="center"/>
          </w:tcPr>
          <w:p w14:paraId="32E64C41" w14:textId="77777777" w:rsidR="00D170E5" w:rsidRPr="002B55E9" w:rsidRDefault="00EF27AD">
            <w:pPr>
              <w:pStyle w:val="affffffffffffffffff6"/>
              <w:ind w:left="-40" w:right="-40"/>
            </w:pPr>
            <w:r w:rsidRPr="002B55E9">
              <w:rPr>
                <w:rFonts w:hint="eastAsia"/>
              </w:rPr>
              <w:t>236</w:t>
            </w:r>
          </w:p>
        </w:tc>
        <w:tc>
          <w:tcPr>
            <w:tcW w:w="1415" w:type="dxa"/>
            <w:vMerge/>
            <w:shd w:val="clear" w:color="auto" w:fill="auto"/>
            <w:noWrap/>
            <w:vAlign w:val="center"/>
          </w:tcPr>
          <w:p w14:paraId="48082AAF" w14:textId="77777777" w:rsidR="00D170E5" w:rsidRPr="002B55E9" w:rsidRDefault="00D170E5">
            <w:pPr>
              <w:pStyle w:val="affffffffffffffffff6"/>
              <w:ind w:left="-40" w:right="-40"/>
            </w:pPr>
          </w:p>
        </w:tc>
      </w:tr>
      <w:tr w:rsidR="00C60999" w:rsidRPr="002B55E9" w14:paraId="500C5995" w14:textId="77777777">
        <w:trPr>
          <w:trHeight w:val="284"/>
        </w:trPr>
        <w:tc>
          <w:tcPr>
            <w:tcW w:w="1841" w:type="dxa"/>
            <w:shd w:val="clear" w:color="auto" w:fill="auto"/>
            <w:noWrap/>
            <w:vAlign w:val="center"/>
          </w:tcPr>
          <w:p w14:paraId="339F31BF" w14:textId="77777777" w:rsidR="00D170E5" w:rsidRPr="002B55E9" w:rsidRDefault="00EF27AD">
            <w:pPr>
              <w:pStyle w:val="affffffffffffffffff6"/>
              <w:ind w:left="-40" w:right="-40"/>
            </w:pPr>
            <w:r w:rsidRPr="002B55E9">
              <w:rPr>
                <w:rFonts w:hint="eastAsia"/>
              </w:rPr>
              <w:t>罐区三</w:t>
            </w:r>
          </w:p>
        </w:tc>
        <w:tc>
          <w:tcPr>
            <w:tcW w:w="992" w:type="dxa"/>
            <w:shd w:val="clear" w:color="auto" w:fill="auto"/>
            <w:noWrap/>
            <w:vAlign w:val="center"/>
          </w:tcPr>
          <w:p w14:paraId="7D443524" w14:textId="77777777" w:rsidR="00D170E5" w:rsidRPr="002B55E9" w:rsidRDefault="00EF27AD">
            <w:pPr>
              <w:pStyle w:val="affffffffffffffffff6"/>
              <w:ind w:left="-40" w:right="-40"/>
            </w:pPr>
            <w:r w:rsidRPr="002B55E9">
              <w:rPr>
                <w:rFonts w:hint="eastAsia"/>
              </w:rPr>
              <w:t>600</w:t>
            </w:r>
          </w:p>
        </w:tc>
        <w:tc>
          <w:tcPr>
            <w:tcW w:w="993" w:type="dxa"/>
            <w:shd w:val="clear" w:color="auto" w:fill="auto"/>
            <w:noWrap/>
            <w:vAlign w:val="center"/>
          </w:tcPr>
          <w:p w14:paraId="3CB78E3B" w14:textId="77777777" w:rsidR="00D170E5" w:rsidRPr="002B55E9" w:rsidRDefault="00EF27AD">
            <w:pPr>
              <w:pStyle w:val="affffffffffffffffff6"/>
              <w:ind w:left="-40" w:right="-40"/>
            </w:pPr>
            <w:r w:rsidRPr="002B55E9">
              <w:rPr>
                <w:lang w:bidi="ar"/>
              </w:rPr>
              <w:t>0</w:t>
            </w:r>
          </w:p>
        </w:tc>
        <w:tc>
          <w:tcPr>
            <w:tcW w:w="993" w:type="dxa"/>
            <w:shd w:val="clear" w:color="auto" w:fill="auto"/>
            <w:noWrap/>
            <w:vAlign w:val="center"/>
          </w:tcPr>
          <w:p w14:paraId="68D8337D" w14:textId="77777777" w:rsidR="00D170E5" w:rsidRPr="002B55E9" w:rsidRDefault="00EF27AD">
            <w:pPr>
              <w:pStyle w:val="affffffffffffffffff6"/>
              <w:ind w:left="-40" w:right="-40"/>
            </w:pPr>
            <w:r w:rsidRPr="002B55E9">
              <w:t>387</w:t>
            </w:r>
          </w:p>
        </w:tc>
        <w:tc>
          <w:tcPr>
            <w:tcW w:w="993" w:type="dxa"/>
            <w:shd w:val="clear" w:color="auto" w:fill="auto"/>
            <w:noWrap/>
            <w:vAlign w:val="center"/>
          </w:tcPr>
          <w:p w14:paraId="493C3C3E" w14:textId="77777777" w:rsidR="00D170E5" w:rsidRPr="002B55E9" w:rsidRDefault="00EF27AD">
            <w:pPr>
              <w:pStyle w:val="affffffffffffffffff6"/>
              <w:ind w:left="-40" w:right="-40"/>
            </w:pPr>
            <w:r w:rsidRPr="002B55E9">
              <w:rPr>
                <w:lang w:bidi="ar"/>
              </w:rPr>
              <w:t>0</w:t>
            </w:r>
          </w:p>
        </w:tc>
        <w:tc>
          <w:tcPr>
            <w:tcW w:w="993" w:type="dxa"/>
            <w:shd w:val="clear" w:color="auto" w:fill="auto"/>
            <w:noWrap/>
            <w:vAlign w:val="center"/>
          </w:tcPr>
          <w:p w14:paraId="26DFFDB4" w14:textId="77777777" w:rsidR="00D170E5" w:rsidRPr="002B55E9" w:rsidRDefault="00EF27AD">
            <w:pPr>
              <w:pStyle w:val="affffffffffffffffff6"/>
              <w:ind w:left="-40" w:right="-40"/>
            </w:pPr>
            <w:r w:rsidRPr="002B55E9">
              <w:t>19.1</w:t>
            </w:r>
          </w:p>
        </w:tc>
        <w:tc>
          <w:tcPr>
            <w:tcW w:w="1417" w:type="dxa"/>
            <w:shd w:val="clear" w:color="auto" w:fill="auto"/>
            <w:vAlign w:val="center"/>
          </w:tcPr>
          <w:p w14:paraId="7A149A6F" w14:textId="77777777" w:rsidR="00D170E5" w:rsidRPr="002B55E9" w:rsidRDefault="00EF27AD">
            <w:pPr>
              <w:pStyle w:val="affffffffffffffffff6"/>
              <w:ind w:left="-40" w:right="-40"/>
            </w:pPr>
            <w:r w:rsidRPr="002B55E9">
              <w:t>232</w:t>
            </w:r>
          </w:p>
        </w:tc>
        <w:tc>
          <w:tcPr>
            <w:tcW w:w="1415" w:type="dxa"/>
            <w:vMerge/>
            <w:shd w:val="clear" w:color="auto" w:fill="auto"/>
            <w:noWrap/>
            <w:vAlign w:val="center"/>
          </w:tcPr>
          <w:p w14:paraId="03758F6F" w14:textId="77777777" w:rsidR="00D170E5" w:rsidRPr="002B55E9" w:rsidRDefault="00D170E5">
            <w:pPr>
              <w:pStyle w:val="affffffffffffffffff6"/>
              <w:ind w:left="-40" w:right="-40"/>
            </w:pPr>
          </w:p>
        </w:tc>
      </w:tr>
      <w:tr w:rsidR="00C60999" w:rsidRPr="002B55E9" w14:paraId="5926AAD6" w14:textId="77777777">
        <w:trPr>
          <w:trHeight w:val="284"/>
        </w:trPr>
        <w:tc>
          <w:tcPr>
            <w:tcW w:w="1841" w:type="dxa"/>
            <w:shd w:val="clear" w:color="auto" w:fill="auto"/>
            <w:noWrap/>
            <w:vAlign w:val="center"/>
          </w:tcPr>
          <w:p w14:paraId="04D5952E" w14:textId="77777777" w:rsidR="00D170E5" w:rsidRPr="002B55E9" w:rsidRDefault="00EF27AD">
            <w:pPr>
              <w:pStyle w:val="affffffffffffffffff6"/>
              <w:ind w:left="-40" w:right="-40"/>
            </w:pPr>
            <w:r w:rsidRPr="002B55E9">
              <w:rPr>
                <w:rFonts w:hint="eastAsia"/>
              </w:rPr>
              <w:t>酒精罐区</w:t>
            </w:r>
          </w:p>
        </w:tc>
        <w:tc>
          <w:tcPr>
            <w:tcW w:w="992" w:type="dxa"/>
            <w:shd w:val="clear" w:color="auto" w:fill="auto"/>
            <w:noWrap/>
            <w:vAlign w:val="center"/>
          </w:tcPr>
          <w:p w14:paraId="10C8B658" w14:textId="77777777" w:rsidR="00D170E5" w:rsidRPr="002B55E9" w:rsidRDefault="00EF27AD">
            <w:pPr>
              <w:pStyle w:val="affffffffffffffffff6"/>
              <w:ind w:left="-40" w:right="-40"/>
            </w:pPr>
            <w:r w:rsidRPr="002B55E9">
              <w:rPr>
                <w:rFonts w:hint="eastAsia"/>
              </w:rPr>
              <w:t>260</w:t>
            </w:r>
          </w:p>
        </w:tc>
        <w:tc>
          <w:tcPr>
            <w:tcW w:w="993" w:type="dxa"/>
            <w:shd w:val="clear" w:color="auto" w:fill="auto"/>
            <w:noWrap/>
            <w:vAlign w:val="center"/>
          </w:tcPr>
          <w:p w14:paraId="7F07FD05" w14:textId="77777777" w:rsidR="00D170E5" w:rsidRPr="002B55E9" w:rsidRDefault="00EF27AD">
            <w:pPr>
              <w:pStyle w:val="affffffffffffffffff6"/>
              <w:ind w:left="-40" w:right="-40"/>
            </w:pPr>
            <w:r w:rsidRPr="002B55E9">
              <w:rPr>
                <w:lang w:bidi="ar"/>
              </w:rPr>
              <w:t>216</w:t>
            </w:r>
          </w:p>
        </w:tc>
        <w:tc>
          <w:tcPr>
            <w:tcW w:w="993" w:type="dxa"/>
            <w:shd w:val="clear" w:color="auto" w:fill="auto"/>
            <w:noWrap/>
            <w:vAlign w:val="center"/>
          </w:tcPr>
          <w:p w14:paraId="7082ABB7" w14:textId="77777777" w:rsidR="00D170E5" w:rsidRPr="002B55E9" w:rsidRDefault="00EF27AD">
            <w:pPr>
              <w:pStyle w:val="affffffffffffffffff6"/>
              <w:ind w:left="-40" w:right="-40"/>
            </w:pPr>
            <w:r w:rsidRPr="002B55E9">
              <w:t>580</w:t>
            </w:r>
          </w:p>
        </w:tc>
        <w:tc>
          <w:tcPr>
            <w:tcW w:w="993" w:type="dxa"/>
            <w:shd w:val="clear" w:color="auto" w:fill="auto"/>
            <w:noWrap/>
            <w:vAlign w:val="center"/>
          </w:tcPr>
          <w:p w14:paraId="600271E8" w14:textId="77777777" w:rsidR="00D170E5" w:rsidRPr="002B55E9" w:rsidRDefault="00EF27AD">
            <w:pPr>
              <w:pStyle w:val="affffffffffffffffff6"/>
              <w:ind w:left="-40" w:right="-40"/>
            </w:pPr>
            <w:r w:rsidRPr="002B55E9">
              <w:rPr>
                <w:lang w:bidi="ar"/>
              </w:rPr>
              <w:t>0</w:t>
            </w:r>
          </w:p>
        </w:tc>
        <w:tc>
          <w:tcPr>
            <w:tcW w:w="993" w:type="dxa"/>
            <w:shd w:val="clear" w:color="auto" w:fill="auto"/>
            <w:noWrap/>
            <w:vAlign w:val="center"/>
          </w:tcPr>
          <w:p w14:paraId="58D8B6CF" w14:textId="77777777" w:rsidR="00D170E5" w:rsidRPr="002B55E9" w:rsidRDefault="00EF27AD">
            <w:pPr>
              <w:pStyle w:val="affffffffffffffffff6"/>
              <w:ind w:left="-40" w:right="-40"/>
            </w:pPr>
            <w:r w:rsidRPr="002B55E9">
              <w:t>7.4</w:t>
            </w:r>
          </w:p>
        </w:tc>
        <w:tc>
          <w:tcPr>
            <w:tcW w:w="1417" w:type="dxa"/>
            <w:shd w:val="clear" w:color="auto" w:fill="auto"/>
            <w:vAlign w:val="center"/>
          </w:tcPr>
          <w:p w14:paraId="0CEA01C3" w14:textId="77777777" w:rsidR="00D170E5" w:rsidRPr="002B55E9" w:rsidRDefault="00EF27AD">
            <w:pPr>
              <w:pStyle w:val="affffffffffffffffff6"/>
              <w:ind w:left="-40" w:right="-40"/>
            </w:pPr>
            <w:r w:rsidRPr="002B55E9">
              <w:t>0</w:t>
            </w:r>
          </w:p>
        </w:tc>
        <w:tc>
          <w:tcPr>
            <w:tcW w:w="1415" w:type="dxa"/>
            <w:vMerge/>
            <w:shd w:val="clear" w:color="auto" w:fill="auto"/>
            <w:noWrap/>
            <w:vAlign w:val="center"/>
          </w:tcPr>
          <w:p w14:paraId="08525229" w14:textId="77777777" w:rsidR="00D170E5" w:rsidRPr="002B55E9" w:rsidRDefault="00D170E5">
            <w:pPr>
              <w:pStyle w:val="affffffffffffffffff6"/>
              <w:ind w:left="-40" w:right="-40"/>
            </w:pPr>
          </w:p>
        </w:tc>
      </w:tr>
    </w:tbl>
    <w:p w14:paraId="3B74B992" w14:textId="77777777" w:rsidR="00D170E5" w:rsidRPr="002B55E9" w:rsidRDefault="00EF27AD">
      <w:pPr>
        <w:spacing w:after="60" w:line="360" w:lineRule="auto"/>
        <w:ind w:firstLineChars="200" w:firstLine="480"/>
        <w:rPr>
          <w:bCs/>
          <w:snapToGrid w:val="0"/>
          <w:sz w:val="24"/>
        </w:rPr>
      </w:pPr>
      <w:r w:rsidRPr="002B55E9">
        <w:rPr>
          <w:bCs/>
          <w:snapToGrid w:val="0"/>
          <w:sz w:val="24"/>
        </w:rPr>
        <w:t>根据上表计算结果，</w:t>
      </w:r>
      <w:r w:rsidRPr="002B55E9">
        <w:rPr>
          <w:rFonts w:hint="eastAsia"/>
          <w:bCs/>
          <w:snapToGrid w:val="0"/>
          <w:sz w:val="24"/>
        </w:rPr>
        <w:t>企业需设置的事故应急水池有效容积不小于</w:t>
      </w:r>
      <w:r w:rsidRPr="002B55E9">
        <w:rPr>
          <w:bCs/>
          <w:snapToGrid w:val="0"/>
          <w:sz w:val="24"/>
        </w:rPr>
        <w:t>296</w:t>
      </w:r>
      <w:r w:rsidRPr="002B55E9">
        <w:rPr>
          <w:rFonts w:hint="eastAsia"/>
          <w:bCs/>
          <w:snapToGrid w:val="0"/>
          <w:sz w:val="24"/>
        </w:rPr>
        <w:t>m</w:t>
      </w:r>
      <w:r w:rsidRPr="002B55E9">
        <w:rPr>
          <w:rFonts w:hint="eastAsia"/>
          <w:bCs/>
          <w:snapToGrid w:val="0"/>
          <w:sz w:val="24"/>
          <w:vertAlign w:val="superscript"/>
        </w:rPr>
        <w:t>3</w:t>
      </w:r>
      <w:r w:rsidRPr="002B55E9">
        <w:rPr>
          <w:rFonts w:hint="eastAsia"/>
          <w:bCs/>
          <w:snapToGrid w:val="0"/>
          <w:sz w:val="24"/>
        </w:rPr>
        <w:t>，本项目</w:t>
      </w:r>
      <w:r w:rsidRPr="002B55E9">
        <w:rPr>
          <w:bCs/>
          <w:snapToGrid w:val="0"/>
          <w:sz w:val="24"/>
        </w:rPr>
        <w:t>依托佛山市海天（</w:t>
      </w:r>
      <w:r w:rsidRPr="002B55E9">
        <w:rPr>
          <w:rFonts w:hint="eastAsia"/>
          <w:bCs/>
          <w:snapToGrid w:val="0"/>
          <w:sz w:val="24"/>
        </w:rPr>
        <w:t>武汉</w:t>
      </w:r>
      <w:r w:rsidRPr="002B55E9">
        <w:rPr>
          <w:bCs/>
          <w:snapToGrid w:val="0"/>
          <w:sz w:val="24"/>
        </w:rPr>
        <w:t>）</w:t>
      </w:r>
      <w:r w:rsidRPr="002B55E9">
        <w:rPr>
          <w:rFonts w:hint="eastAsia"/>
          <w:bCs/>
          <w:snapToGrid w:val="0"/>
          <w:sz w:val="24"/>
        </w:rPr>
        <w:t>调味食品</w:t>
      </w:r>
      <w:r w:rsidRPr="002B55E9">
        <w:rPr>
          <w:bCs/>
          <w:snapToGrid w:val="0"/>
          <w:sz w:val="24"/>
        </w:rPr>
        <w:t>有限公司于污水</w:t>
      </w:r>
      <w:r w:rsidRPr="002B55E9">
        <w:rPr>
          <w:rFonts w:hint="eastAsia"/>
          <w:bCs/>
          <w:snapToGrid w:val="0"/>
          <w:sz w:val="24"/>
        </w:rPr>
        <w:t>处理站</w:t>
      </w:r>
      <w:r w:rsidRPr="002B55E9">
        <w:rPr>
          <w:bCs/>
          <w:snapToGrid w:val="0"/>
          <w:sz w:val="24"/>
        </w:rPr>
        <w:t>设置的</w:t>
      </w:r>
      <w:r w:rsidRPr="002B55E9">
        <w:rPr>
          <w:rFonts w:hint="eastAsia"/>
          <w:bCs/>
          <w:snapToGrid w:val="0"/>
          <w:sz w:val="24"/>
        </w:rPr>
        <w:t>338</w:t>
      </w:r>
      <w:r w:rsidRPr="002B55E9">
        <w:rPr>
          <w:bCs/>
          <w:snapToGrid w:val="0"/>
          <w:sz w:val="24"/>
        </w:rPr>
        <w:t>m</w:t>
      </w:r>
      <w:r w:rsidRPr="002B55E9">
        <w:rPr>
          <w:bCs/>
          <w:snapToGrid w:val="0"/>
          <w:sz w:val="24"/>
          <w:vertAlign w:val="superscript"/>
        </w:rPr>
        <w:t>3</w:t>
      </w:r>
      <w:r w:rsidRPr="002B55E9">
        <w:rPr>
          <w:rFonts w:hint="eastAsia"/>
          <w:bCs/>
          <w:snapToGrid w:val="0"/>
          <w:sz w:val="24"/>
        </w:rPr>
        <w:t>应急</w:t>
      </w:r>
      <w:r w:rsidRPr="002B55E9">
        <w:rPr>
          <w:bCs/>
          <w:snapToGrid w:val="0"/>
          <w:sz w:val="24"/>
        </w:rPr>
        <w:t>事故池，</w:t>
      </w:r>
      <w:r w:rsidRPr="002B55E9">
        <w:rPr>
          <w:rFonts w:hint="eastAsia"/>
          <w:bCs/>
          <w:snapToGrid w:val="0"/>
          <w:sz w:val="24"/>
        </w:rPr>
        <w:t>能够满足事故废水收集储存的要求。</w:t>
      </w:r>
    </w:p>
    <w:p w14:paraId="07FFEA1D" w14:textId="77777777" w:rsidR="00D170E5" w:rsidRPr="002B55E9" w:rsidRDefault="00EF27AD">
      <w:pPr>
        <w:numPr>
          <w:ilvl w:val="0"/>
          <w:numId w:val="35"/>
        </w:numPr>
        <w:spacing w:after="60" w:line="360" w:lineRule="auto"/>
        <w:rPr>
          <w:bCs/>
          <w:snapToGrid w:val="0"/>
          <w:sz w:val="24"/>
          <w:lang w:bidi="ne-NP"/>
        </w:rPr>
      </w:pPr>
      <w:r w:rsidRPr="002B55E9">
        <w:rPr>
          <w:bCs/>
          <w:snapToGrid w:val="0"/>
          <w:sz w:val="24"/>
          <w:lang w:bidi="ne-NP"/>
        </w:rPr>
        <w:t>环境风险事故池设置要求</w:t>
      </w:r>
    </w:p>
    <w:p w14:paraId="7FC5065D" w14:textId="77777777" w:rsidR="00D170E5" w:rsidRPr="002B55E9" w:rsidRDefault="00EF27AD">
      <w:pPr>
        <w:spacing w:after="60" w:line="360" w:lineRule="auto"/>
        <w:ind w:firstLineChars="200" w:firstLine="480"/>
        <w:rPr>
          <w:bCs/>
          <w:snapToGrid w:val="0"/>
          <w:sz w:val="24"/>
          <w:lang w:bidi="ne-NP"/>
        </w:rPr>
      </w:pPr>
      <w:r w:rsidRPr="002B55E9">
        <w:rPr>
          <w:rFonts w:hint="eastAsia"/>
          <w:bCs/>
          <w:snapToGrid w:val="0"/>
          <w:sz w:val="24"/>
          <w:lang w:bidi="ne-NP"/>
        </w:rPr>
        <w:t>项目环境风险事故池设置和使用要求如下：</w:t>
      </w:r>
    </w:p>
    <w:p w14:paraId="449227F4"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1</w:t>
      </w:r>
      <w:r w:rsidRPr="002B55E9">
        <w:rPr>
          <w:bCs/>
          <w:snapToGrid w:val="0"/>
          <w:sz w:val="24"/>
          <w:lang w:bidi="ne-NP"/>
        </w:rPr>
        <w:t>）事故处置过程中未受污染的排水不宜进入储存设施；</w:t>
      </w:r>
    </w:p>
    <w:p w14:paraId="36139362"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2</w:t>
      </w:r>
      <w:r w:rsidRPr="002B55E9">
        <w:rPr>
          <w:bCs/>
          <w:snapToGrid w:val="0"/>
          <w:sz w:val="24"/>
          <w:lang w:bidi="ne-NP"/>
        </w:rPr>
        <w:t>）事故池可能收集挥发性有害物质时应采取安全措施；</w:t>
      </w:r>
    </w:p>
    <w:p w14:paraId="2809E4F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3</w:t>
      </w:r>
      <w:r w:rsidRPr="002B55E9">
        <w:rPr>
          <w:bCs/>
          <w:snapToGrid w:val="0"/>
          <w:sz w:val="24"/>
          <w:lang w:bidi="ne-NP"/>
        </w:rPr>
        <w:t>）事故池非事故状态下需占用时，占用容积不得超过</w:t>
      </w:r>
      <w:r w:rsidRPr="002B55E9">
        <w:rPr>
          <w:bCs/>
          <w:snapToGrid w:val="0"/>
          <w:sz w:val="24"/>
          <w:lang w:bidi="ne-NP"/>
        </w:rPr>
        <w:t>1/3</w:t>
      </w:r>
      <w:r w:rsidRPr="002B55E9">
        <w:rPr>
          <w:bCs/>
          <w:snapToGrid w:val="0"/>
          <w:sz w:val="24"/>
          <w:lang w:bidi="ne-NP"/>
        </w:rPr>
        <w:t>，并应设有在事故时可以紧急</w:t>
      </w:r>
      <w:r w:rsidRPr="002B55E9">
        <w:rPr>
          <w:bCs/>
          <w:snapToGrid w:val="0"/>
          <w:sz w:val="24"/>
          <w:lang w:bidi="ne-NP"/>
        </w:rPr>
        <w:lastRenderedPageBreak/>
        <w:t>排空的技术措施；</w:t>
      </w:r>
    </w:p>
    <w:p w14:paraId="1EA22483"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4</w:t>
      </w:r>
      <w:r w:rsidRPr="002B55E9">
        <w:rPr>
          <w:bCs/>
          <w:snapToGrid w:val="0"/>
          <w:sz w:val="24"/>
          <w:lang w:bidi="ne-NP"/>
        </w:rPr>
        <w:t>）自流进水的事故池内最高液位不应高于该收集系统范围内的最低地面标高，并留有适当的保护高度；</w:t>
      </w:r>
    </w:p>
    <w:p w14:paraId="4D5F7953"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5</w:t>
      </w:r>
      <w:r w:rsidRPr="002B55E9">
        <w:rPr>
          <w:bCs/>
          <w:snapToGrid w:val="0"/>
          <w:sz w:val="24"/>
          <w:lang w:bidi="ne-NP"/>
        </w:rPr>
        <w:t>）当自流进入的事故池容积不能满足事故排水储存容量要求，须加压外排到其它储存设施时，用电设备的电源应满足现行国家标准《供配电系统设计规范》所规定的一级负荷供电要求。</w:t>
      </w:r>
    </w:p>
    <w:p w14:paraId="62BE46C8" w14:textId="77777777" w:rsidR="00D170E5" w:rsidRPr="002B55E9" w:rsidRDefault="00EF27AD">
      <w:pPr>
        <w:pStyle w:val="3"/>
      </w:pPr>
      <w:bookmarkStart w:id="247" w:name="_Toc119309007"/>
      <w:bookmarkEnd w:id="240"/>
      <w:r w:rsidRPr="002B55E9">
        <w:rPr>
          <w:rFonts w:hint="eastAsia"/>
        </w:rPr>
        <w:t>制定突发环境事件应急预案</w:t>
      </w:r>
      <w:bookmarkEnd w:id="247"/>
    </w:p>
    <w:p w14:paraId="38AE5A7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根据《突发环境事件应急管理办法》（部令第</w:t>
      </w:r>
      <w:r w:rsidRPr="002B55E9">
        <w:rPr>
          <w:rFonts w:hint="eastAsia"/>
          <w:kern w:val="2"/>
          <w:sz w:val="24"/>
          <w:szCs w:val="22"/>
        </w:rPr>
        <w:t>34</w:t>
      </w:r>
      <w:r w:rsidRPr="002B55E9">
        <w:rPr>
          <w:rFonts w:hint="eastAsia"/>
          <w:kern w:val="2"/>
          <w:sz w:val="24"/>
          <w:szCs w:val="22"/>
        </w:rPr>
        <w:t>号），企业事业单位应当按照国务院环境保护主管部门的规定，在开展突发环境事件风险评估和应急资源调查的基础上制定突发环境事件应急预案，并按照分类分级管理的原则，报县级以上环境保护主管部门备案。企业在建成后应按照相关规定制定突发环境事件应急预案并报青山区生态环境局备案。</w:t>
      </w:r>
    </w:p>
    <w:p w14:paraId="13D28CEF"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预防是防止事故发生的根本措施，但也应有应急措施，一旦发生事故，处置是否得当，关系到事故蔓延的范围和损失大小。工程建成后，应建立健全该工程事故应急救援网络。本评价要求企业要和该工程在重大事故时可能造成不良影响的周边环境敏感点、园区以及上级管理部门组成联合事故应急网络和突发性事故应急预案联动机制，厂内抢险用具配置、急救方案确定中均要求同时考虑，必须备有充足的应急设施、设备、器材和其他物资（包括堵漏收集器材、安全和消防器材），在进行各种演习中必须有周边环境敏感点居民、园区相关部门以及上级主管部门共同参加。</w:t>
      </w:r>
    </w:p>
    <w:p w14:paraId="0F757BA7"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对可能发生的事故，应制订应急计划与预案，使各部门在事故发生后能有步骤、有秩序地采取各项应急措施。</w:t>
      </w:r>
    </w:p>
    <w:p w14:paraId="29156C71" w14:textId="77777777" w:rsidR="00D170E5" w:rsidRPr="002B55E9" w:rsidRDefault="00EF27AD">
      <w:pPr>
        <w:pStyle w:val="4"/>
        <w:numPr>
          <w:ilvl w:val="3"/>
          <w:numId w:val="28"/>
        </w:numPr>
        <w:rPr>
          <w:color w:val="auto"/>
        </w:rPr>
      </w:pPr>
      <w:r w:rsidRPr="002B55E9">
        <w:rPr>
          <w:rFonts w:hint="eastAsia"/>
          <w:color w:val="auto"/>
        </w:rPr>
        <w:t>突发环境事件应急预案编制要求</w:t>
      </w:r>
    </w:p>
    <w:p w14:paraId="35EDFC6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根据环发</w:t>
      </w:r>
      <w:r w:rsidRPr="002B55E9">
        <w:rPr>
          <w:rFonts w:hint="eastAsia"/>
          <w:kern w:val="2"/>
          <w:sz w:val="24"/>
          <w:szCs w:val="22"/>
        </w:rPr>
        <w:t>[2015]4</w:t>
      </w:r>
      <w:r w:rsidRPr="002B55E9">
        <w:rPr>
          <w:rFonts w:hint="eastAsia"/>
          <w:kern w:val="2"/>
          <w:sz w:val="24"/>
          <w:szCs w:val="22"/>
        </w:rPr>
        <w:t>号《关于印发</w:t>
      </w:r>
      <w:r w:rsidRPr="002B55E9">
        <w:rPr>
          <w:rFonts w:hint="eastAsia"/>
          <w:kern w:val="2"/>
          <w:sz w:val="24"/>
          <w:szCs w:val="22"/>
        </w:rPr>
        <w:t>&lt;</w:t>
      </w:r>
      <w:r w:rsidRPr="002B55E9">
        <w:rPr>
          <w:rFonts w:hint="eastAsia"/>
          <w:kern w:val="2"/>
          <w:sz w:val="24"/>
          <w:szCs w:val="22"/>
        </w:rPr>
        <w:t>企业事业单位突发环境事件应急预案管理暂行办法（试行）</w:t>
      </w:r>
      <w:r w:rsidRPr="002B55E9">
        <w:rPr>
          <w:rFonts w:hint="eastAsia"/>
          <w:kern w:val="2"/>
          <w:sz w:val="24"/>
          <w:szCs w:val="22"/>
        </w:rPr>
        <w:t>&gt;</w:t>
      </w:r>
      <w:r w:rsidRPr="002B55E9">
        <w:rPr>
          <w:rFonts w:hint="eastAsia"/>
          <w:kern w:val="2"/>
          <w:sz w:val="24"/>
          <w:szCs w:val="22"/>
        </w:rPr>
        <w:t>的通知》附件第八条：企业是制定环境应急预案的责任主体，根据应对突发环境事件的需要，开展环境应急预案制定工作，对环境应急预案内容的真实性和可操作性负责。</w:t>
      </w:r>
    </w:p>
    <w:p w14:paraId="05F99F1E"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企业可以自行编制环境应急预案，也可以委托相关专业技术服务机构编制环境应急预案。委托相关专业技术服务机构编制的，企业指定有关人员全程参与。</w:t>
      </w:r>
    </w:p>
    <w:p w14:paraId="5459FA3E"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第十二条：企业结合环境应急预案实施情况，至少每三年对环境应急预案进行一次回顾性评估。有下列情形之一的，及时修订：</w:t>
      </w:r>
    </w:p>
    <w:p w14:paraId="1AE20D25"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（一）面临的环境风险发生重大变化，需要重新进行环境风险评估的；</w:t>
      </w:r>
    </w:p>
    <w:p w14:paraId="6D1EF824"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（二）应急管理组织指挥体系与职责发生重大变化的；</w:t>
      </w:r>
    </w:p>
    <w:p w14:paraId="582263A7"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lastRenderedPageBreak/>
        <w:t>（三）环境应急监测预警及报告机制、应对流程和措施、应急保障措施发生重大变化的；</w:t>
      </w:r>
    </w:p>
    <w:p w14:paraId="3A55F12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（四）重要应急资源发生重大变化的；</w:t>
      </w:r>
    </w:p>
    <w:p w14:paraId="0E107BA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（五）在突发事件实际应对和应急演练中发现问题，需要对环境应急预案作出重大调整的；</w:t>
      </w:r>
    </w:p>
    <w:p w14:paraId="2965328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（六）其他需要修订的情况。</w:t>
      </w:r>
    </w:p>
    <w:p w14:paraId="2A51267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对环境应急预案进行重大修订的，修订工作参照环境应急预案制定步骤进行。对环境应急预案个别内容进行调整的，修订工作可适当简化。</w:t>
      </w:r>
    </w:p>
    <w:p w14:paraId="063E460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本评价建议拟建项目建成投入运行前，建设单位应及时制定应急预案。</w:t>
      </w:r>
    </w:p>
    <w:p w14:paraId="1E11525C" w14:textId="77777777" w:rsidR="00D170E5" w:rsidRPr="002B55E9" w:rsidRDefault="00EF27AD">
      <w:pPr>
        <w:pStyle w:val="4"/>
        <w:rPr>
          <w:color w:val="auto"/>
        </w:rPr>
      </w:pPr>
      <w:r w:rsidRPr="002B55E9">
        <w:rPr>
          <w:rFonts w:hint="eastAsia"/>
          <w:color w:val="auto"/>
        </w:rPr>
        <w:t>应急机构</w:t>
      </w:r>
    </w:p>
    <w:p w14:paraId="199168C5"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1</w:t>
      </w:r>
      <w:r w:rsidRPr="002B55E9">
        <w:rPr>
          <w:bCs/>
          <w:snapToGrid w:val="0"/>
          <w:sz w:val="24"/>
          <w:lang w:bidi="ne-NP"/>
        </w:rPr>
        <w:t>）机构组成</w:t>
      </w:r>
    </w:p>
    <w:p w14:paraId="7A6CFCC5"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企业成立环境风险事故应急救援</w:t>
      </w:r>
      <w:r w:rsidRPr="002B55E9">
        <w:rPr>
          <w:bCs/>
          <w:snapToGrid w:val="0"/>
          <w:sz w:val="24"/>
          <w:lang w:bidi="ne-NP"/>
        </w:rPr>
        <w:t>“</w:t>
      </w:r>
      <w:r w:rsidRPr="002B55E9">
        <w:rPr>
          <w:bCs/>
          <w:snapToGrid w:val="0"/>
          <w:sz w:val="24"/>
          <w:lang w:bidi="ne-NP"/>
        </w:rPr>
        <w:t>指挥领导小组</w:t>
      </w:r>
      <w:r w:rsidRPr="002B55E9">
        <w:rPr>
          <w:bCs/>
          <w:snapToGrid w:val="0"/>
          <w:sz w:val="24"/>
          <w:lang w:bidi="ne-NP"/>
        </w:rPr>
        <w:t>”</w:t>
      </w:r>
      <w:r w:rsidRPr="002B55E9">
        <w:rPr>
          <w:bCs/>
          <w:snapToGrid w:val="0"/>
          <w:sz w:val="24"/>
          <w:lang w:bidi="ne-NP"/>
        </w:rPr>
        <w:t>，由总经理、有关副总经理及生产、安全、环保、保卫等部门领导组成，下设应急救援办公室，日常工作由安全和环保部门兼管。发生重大事故时，以指挥领导小组为基础，立即成立风险事故应急救援指挥部，总经理任总指挥，有关副总经理任副总指挥，负责全厂应急救援工作的组织和指挥，指挥部可设在生产调度室。如若总经理和分管副总经理不在企业时，由安全、环保部门负责人为临时总指挥，全权负责应急救援工作。</w:t>
      </w:r>
    </w:p>
    <w:p w14:paraId="4229FC0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2</w:t>
      </w:r>
      <w:r w:rsidRPr="002B55E9">
        <w:rPr>
          <w:bCs/>
          <w:snapToGrid w:val="0"/>
          <w:sz w:val="24"/>
          <w:lang w:bidi="ne-NP"/>
        </w:rPr>
        <w:t>）机构职责</w:t>
      </w:r>
    </w:p>
    <w:p w14:paraId="5FB6E9D1"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指挥领导小组：负责单位</w:t>
      </w:r>
      <w:r w:rsidRPr="002B55E9">
        <w:rPr>
          <w:bCs/>
          <w:snapToGrid w:val="0"/>
          <w:sz w:val="24"/>
          <w:lang w:bidi="ne-NP"/>
        </w:rPr>
        <w:t>“</w:t>
      </w:r>
      <w:r w:rsidRPr="002B55E9">
        <w:rPr>
          <w:bCs/>
          <w:snapToGrid w:val="0"/>
          <w:sz w:val="24"/>
          <w:lang w:bidi="ne-NP"/>
        </w:rPr>
        <w:t>预案</w:t>
      </w:r>
      <w:r w:rsidRPr="002B55E9">
        <w:rPr>
          <w:bCs/>
          <w:snapToGrid w:val="0"/>
          <w:sz w:val="24"/>
          <w:lang w:bidi="ne-NP"/>
        </w:rPr>
        <w:t>”</w:t>
      </w:r>
      <w:r w:rsidRPr="002B55E9">
        <w:rPr>
          <w:bCs/>
          <w:snapToGrid w:val="0"/>
          <w:sz w:val="24"/>
          <w:lang w:bidi="ne-NP"/>
        </w:rPr>
        <w:t>的制定、修订；组建应急救援专业队伍，组织实施和演练；检查督促做好重大事故的预防措施和应急救援的各项准备工作。</w:t>
      </w:r>
    </w:p>
    <w:p w14:paraId="0734DD22"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指挥部：发生重大事故时，由指挥部发布和解除应急救援命令、信号；组织指挥救援队伍实施救援行动；向上级汇报和向友邻单位通报事故情况，必要时向有关单位发出救援请求；组织事故调查，总结应急救援经验教训。</w:t>
      </w:r>
    </w:p>
    <w:p w14:paraId="12140B8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3</w:t>
      </w:r>
      <w:r w:rsidRPr="002B55E9">
        <w:rPr>
          <w:bCs/>
          <w:snapToGrid w:val="0"/>
          <w:sz w:val="24"/>
          <w:lang w:bidi="ne-NP"/>
        </w:rPr>
        <w:t>）人员分工</w:t>
      </w:r>
    </w:p>
    <w:p w14:paraId="260B6AB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总指挥组织指挥全厂的应急救援；副总指挥协助总指挥负责应急救援的具体指挥工作。安全科长协助总指挥做好事故报警、情况通报及事故处置工作；环保科长负责事故现场及有害物质扩散区域内的洗消、监测工作，必要时代表指挥部对外发布有关信息；保卫科长负责灭火、警戒、治安保卫、疏散、道路管制工作；生产科长</w:t>
      </w:r>
      <w:r w:rsidRPr="002B55E9">
        <w:rPr>
          <w:bCs/>
          <w:snapToGrid w:val="0"/>
          <w:sz w:val="24"/>
          <w:lang w:bidi="ne-NP"/>
        </w:rPr>
        <w:t>(</w:t>
      </w:r>
      <w:r w:rsidRPr="002B55E9">
        <w:rPr>
          <w:bCs/>
          <w:snapToGrid w:val="0"/>
          <w:sz w:val="24"/>
          <w:lang w:bidi="ne-NP"/>
        </w:rPr>
        <w:t>或调度长</w:t>
      </w:r>
      <w:r w:rsidRPr="002B55E9">
        <w:rPr>
          <w:bCs/>
          <w:snapToGrid w:val="0"/>
          <w:sz w:val="24"/>
          <w:lang w:bidi="ne-NP"/>
        </w:rPr>
        <w:t>)</w:t>
      </w:r>
      <w:r w:rsidRPr="002B55E9">
        <w:rPr>
          <w:bCs/>
          <w:snapToGrid w:val="0"/>
          <w:sz w:val="24"/>
          <w:lang w:bidi="ne-NP"/>
        </w:rPr>
        <w:t>负责事故处置时生产系统、开停车调度工作；事故现场通讯联络和对外联系。</w:t>
      </w:r>
    </w:p>
    <w:p w14:paraId="1F0A20E3"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4</w:t>
      </w:r>
      <w:r w:rsidRPr="002B55E9">
        <w:rPr>
          <w:bCs/>
          <w:snapToGrid w:val="0"/>
          <w:sz w:val="24"/>
          <w:lang w:bidi="ne-NP"/>
        </w:rPr>
        <w:t>）专业救援队伍</w:t>
      </w:r>
    </w:p>
    <w:p w14:paraId="629C6A99" w14:textId="77777777" w:rsidR="00D170E5" w:rsidRPr="002B55E9" w:rsidRDefault="00EF27AD">
      <w:pPr>
        <w:pStyle w:val="affff7"/>
        <w:snapToGrid w:val="0"/>
        <w:spacing w:after="0"/>
        <w:rPr>
          <w:szCs w:val="24"/>
        </w:rPr>
      </w:pPr>
      <w:r w:rsidRPr="002B55E9">
        <w:rPr>
          <w:lang w:bidi="ne-NP"/>
        </w:rPr>
        <w:lastRenderedPageBreak/>
        <w:t>企业内设不脱产的专业救援队伍，由各部门职工经培训后组成，分为抢险抢修队、医疗救护队、消防队、通讯保障队、环境监测队，负责事故控制、救援和善后处理工作</w:t>
      </w:r>
    </w:p>
    <w:p w14:paraId="25B24A06" w14:textId="77777777" w:rsidR="00D170E5" w:rsidRPr="002B55E9" w:rsidRDefault="00EF27AD">
      <w:pPr>
        <w:pStyle w:val="4"/>
        <w:rPr>
          <w:color w:val="auto"/>
        </w:rPr>
      </w:pPr>
      <w:r w:rsidRPr="002B55E9">
        <w:rPr>
          <w:rFonts w:hint="eastAsia"/>
          <w:color w:val="auto"/>
        </w:rPr>
        <w:t>应急程序</w:t>
      </w:r>
    </w:p>
    <w:p w14:paraId="43CE84DF"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企业应当事先制定应急程序，当发生环境事故或紧急情况后，事故的当事人或发现人采取应急措施防止事故扩大并立即向指挥领导小组报告。指挥领导小组指挥专业救援队伍对环境事故或紧急情况按本单位应急措施进行处理。</w:t>
      </w:r>
    </w:p>
    <w:p w14:paraId="64CC3DCB"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在事故现场的救援中，由现场指挥部集中统一指挥，灾情和救援活动情况由指挥部各向指挥领导小组报告。如事故影响较大，本单位抢险抢救力量不足或有可能危及社会安全时，则由指挥领导小组向安监局和环保局报警，接到报警后，启动应急预案。</w:t>
      </w:r>
    </w:p>
    <w:p w14:paraId="0A6B8C5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企业所使用的化学品等在运输过程中发生灾害事故时，应按就近救援的原则，先由运输人员自救，同时请示事故所在地的社会救援部门组织救援，并同时向单位报告，由企业应急组织进一步协调处理。</w:t>
      </w:r>
    </w:p>
    <w:p w14:paraId="5AF36ED2" w14:textId="77777777" w:rsidR="00D170E5" w:rsidRPr="002B55E9" w:rsidRDefault="00EF27AD">
      <w:pPr>
        <w:pStyle w:val="4"/>
        <w:rPr>
          <w:color w:val="auto"/>
        </w:rPr>
      </w:pPr>
      <w:r w:rsidRPr="002B55E9">
        <w:rPr>
          <w:rFonts w:hint="eastAsia"/>
          <w:color w:val="auto"/>
        </w:rPr>
        <w:t>应急设施</w:t>
      </w:r>
    </w:p>
    <w:p w14:paraId="47EF553E"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生产装置：防火灾，爆炸事故的应急设施，设备与材料，主要为消防器材、消防服等；防有毒有害物质外溢，扩散，主要是喷淋设备、防毒服和一些作业工具；烧伤、中毒人员急救所用的一些药品</w:t>
      </w:r>
      <w:r w:rsidRPr="002B55E9">
        <w:rPr>
          <w:bCs/>
          <w:snapToGrid w:val="0"/>
          <w:sz w:val="24"/>
          <w:lang w:bidi="ne-NP"/>
        </w:rPr>
        <w:t>,</w:t>
      </w:r>
      <w:r w:rsidRPr="002B55E9">
        <w:rPr>
          <w:bCs/>
          <w:snapToGrid w:val="0"/>
          <w:sz w:val="24"/>
          <w:lang w:bidi="ne-NP"/>
        </w:rPr>
        <w:t>器材。</w:t>
      </w:r>
    </w:p>
    <w:p w14:paraId="43A5F507"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临界地区：烧伤、中毒人员急救所用的一些药品、器材。</w:t>
      </w:r>
    </w:p>
    <w:p w14:paraId="50B5EEA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此外，还应配备应急通信系统，应急电源、照明。</w:t>
      </w:r>
    </w:p>
    <w:p w14:paraId="6E913FB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所有应急设施平时要专人维护、保管、检验，确保器材始终处于完好状态，保证能有效使用。对各种通讯工具、警报及事故信号，平时必须做出明确规定；报警方法、联络号码和信号使用规定要置于明显位置，使每一位值班人员熟练掌握。</w:t>
      </w:r>
    </w:p>
    <w:p w14:paraId="5546B236" w14:textId="77777777" w:rsidR="00D170E5" w:rsidRPr="002B55E9" w:rsidRDefault="00EF27AD">
      <w:pPr>
        <w:pStyle w:val="4"/>
        <w:rPr>
          <w:color w:val="auto"/>
        </w:rPr>
      </w:pPr>
      <w:r w:rsidRPr="002B55E9">
        <w:rPr>
          <w:rFonts w:hint="eastAsia"/>
          <w:color w:val="auto"/>
        </w:rPr>
        <w:t>应急环境监测</w:t>
      </w:r>
    </w:p>
    <w:p w14:paraId="142FB45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由环境监测队伍对环境风险事故现场进行应急监测，对事故性质，严重程度等所造成的环境危害后果进行评估，吸取经验教训免再次发生事故，为指挥部门提供决策依据。</w:t>
      </w:r>
    </w:p>
    <w:p w14:paraId="0525FE3E" w14:textId="77777777" w:rsidR="00D170E5" w:rsidRPr="002B55E9" w:rsidRDefault="00EF27AD">
      <w:pPr>
        <w:pStyle w:val="4"/>
        <w:rPr>
          <w:color w:val="auto"/>
        </w:rPr>
      </w:pPr>
      <w:r w:rsidRPr="002B55E9">
        <w:rPr>
          <w:rFonts w:hint="eastAsia"/>
          <w:color w:val="auto"/>
        </w:rPr>
        <w:t>清除泄露措施</w:t>
      </w:r>
    </w:p>
    <w:p w14:paraId="1D975071"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环境事故或紧急情况得到控制后，应立即清除环境污染。对于能收集的固体和液体污染物，收集在桶内或塑料袋内。收集不起来的，用水冲进污水管道内，送入事故应急池待后处理。</w:t>
      </w:r>
    </w:p>
    <w:p w14:paraId="50F5B034" w14:textId="77777777" w:rsidR="00D170E5" w:rsidRPr="002B55E9" w:rsidRDefault="00EF27AD">
      <w:pPr>
        <w:pStyle w:val="4"/>
        <w:rPr>
          <w:color w:val="auto"/>
        </w:rPr>
      </w:pPr>
      <w:r w:rsidRPr="002B55E9">
        <w:rPr>
          <w:rFonts w:hint="eastAsia"/>
          <w:color w:val="auto"/>
        </w:rPr>
        <w:t>安全防护</w:t>
      </w:r>
    </w:p>
    <w:p w14:paraId="7C759AB8"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lastRenderedPageBreak/>
        <w:t>（</w:t>
      </w:r>
      <w:r w:rsidRPr="002B55E9">
        <w:rPr>
          <w:bCs/>
          <w:snapToGrid w:val="0"/>
          <w:sz w:val="24"/>
          <w:lang w:bidi="ne-NP"/>
        </w:rPr>
        <w:t>1</w:t>
      </w:r>
      <w:r w:rsidRPr="002B55E9">
        <w:rPr>
          <w:bCs/>
          <w:snapToGrid w:val="0"/>
          <w:sz w:val="24"/>
          <w:lang w:bidi="ne-NP"/>
        </w:rPr>
        <w:t>）应急人员的安全防护</w:t>
      </w:r>
    </w:p>
    <w:p w14:paraId="46BD9142"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现场处置人员应根据不同类型环境事件的特点，配备相应的专业防护装备，采取安全防护措施，严格执行应急人员出入事发现场程序。</w:t>
      </w:r>
    </w:p>
    <w:p w14:paraId="717A7A19"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2</w:t>
      </w:r>
      <w:r w:rsidRPr="002B55E9">
        <w:rPr>
          <w:bCs/>
          <w:snapToGrid w:val="0"/>
          <w:sz w:val="24"/>
          <w:lang w:bidi="ne-NP"/>
        </w:rPr>
        <w:t>）受灾群众的安全防护</w:t>
      </w:r>
    </w:p>
    <w:p w14:paraId="02AB0B38"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现场应急救援指挥部负责组织群众的安全防护工作，主要工作内容是：</w:t>
      </w:r>
    </w:p>
    <w:p w14:paraId="76DA19D0"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①</w:t>
      </w:r>
      <w:r w:rsidRPr="002B55E9">
        <w:rPr>
          <w:bCs/>
          <w:snapToGrid w:val="0"/>
          <w:sz w:val="24"/>
          <w:lang w:bidi="ne-NP"/>
        </w:rPr>
        <w:t>根据突发环境事件的性质、特点，告知群众应采取的安全防护措施；</w:t>
      </w:r>
    </w:p>
    <w:p w14:paraId="281D42CB"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②</w:t>
      </w:r>
      <w:r w:rsidRPr="002B55E9">
        <w:rPr>
          <w:bCs/>
          <w:snapToGrid w:val="0"/>
          <w:sz w:val="24"/>
          <w:lang w:bidi="ne-NP"/>
        </w:rPr>
        <w:t>根据事发时当地的气象、地理环境、人员密集度等，确定群众疏散的方式。</w:t>
      </w:r>
    </w:p>
    <w:p w14:paraId="05982477" w14:textId="77777777" w:rsidR="00D170E5" w:rsidRPr="002B55E9" w:rsidRDefault="00EF27AD">
      <w:pPr>
        <w:pStyle w:val="4"/>
        <w:rPr>
          <w:color w:val="auto"/>
        </w:rPr>
      </w:pPr>
      <w:r w:rsidRPr="002B55E9">
        <w:rPr>
          <w:rFonts w:hint="eastAsia"/>
          <w:color w:val="auto"/>
        </w:rPr>
        <w:t>应急终止</w:t>
      </w:r>
    </w:p>
    <w:p w14:paraId="38BB9DFB"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1</w:t>
      </w:r>
      <w:r w:rsidRPr="002B55E9">
        <w:rPr>
          <w:bCs/>
          <w:snapToGrid w:val="0"/>
          <w:sz w:val="24"/>
          <w:lang w:bidi="ne-NP"/>
        </w:rPr>
        <w:t>）应急终止的条件</w:t>
      </w:r>
    </w:p>
    <w:p w14:paraId="10A87B3B"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①</w:t>
      </w:r>
      <w:r w:rsidRPr="002B55E9">
        <w:rPr>
          <w:bCs/>
          <w:snapToGrid w:val="0"/>
          <w:sz w:val="24"/>
          <w:lang w:bidi="ne-NP"/>
        </w:rPr>
        <w:t>事件现场得到控制，事件条件已经消除；</w:t>
      </w:r>
    </w:p>
    <w:p w14:paraId="2A8C4021"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②</w:t>
      </w:r>
      <w:r w:rsidRPr="002B55E9">
        <w:rPr>
          <w:bCs/>
          <w:snapToGrid w:val="0"/>
          <w:sz w:val="24"/>
          <w:lang w:bidi="ne-NP"/>
        </w:rPr>
        <w:t>污染源的泄漏或释放已降至规定限值以内；</w:t>
      </w:r>
    </w:p>
    <w:p w14:paraId="61850695"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③</w:t>
      </w:r>
      <w:r w:rsidRPr="002B55E9">
        <w:rPr>
          <w:bCs/>
          <w:snapToGrid w:val="0"/>
          <w:sz w:val="24"/>
          <w:lang w:bidi="ne-NP"/>
        </w:rPr>
        <w:t>事件所造成的危害已经被彻底消除，无继发可能；</w:t>
      </w:r>
    </w:p>
    <w:p w14:paraId="475A5EBD"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④</w:t>
      </w:r>
      <w:r w:rsidRPr="002B55E9">
        <w:rPr>
          <w:bCs/>
          <w:snapToGrid w:val="0"/>
          <w:sz w:val="24"/>
          <w:lang w:bidi="ne-NP"/>
        </w:rPr>
        <w:t>事件现场的各种专业应急处置行动已无继续的必要；</w:t>
      </w:r>
    </w:p>
    <w:p w14:paraId="70F165FA"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⑤</w:t>
      </w:r>
      <w:r w:rsidRPr="002B55E9">
        <w:rPr>
          <w:bCs/>
          <w:snapToGrid w:val="0"/>
          <w:sz w:val="24"/>
          <w:lang w:bidi="ne-NP"/>
        </w:rPr>
        <w:t>采取了必要的防护措施以保护公众免受再次危害，并使事件可能引起的中长期影响趋于合理且尽量低的水平。</w:t>
      </w:r>
    </w:p>
    <w:p w14:paraId="77E2288B"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2</w:t>
      </w:r>
      <w:r w:rsidRPr="002B55E9">
        <w:rPr>
          <w:bCs/>
          <w:snapToGrid w:val="0"/>
          <w:sz w:val="24"/>
          <w:lang w:bidi="ne-NP"/>
        </w:rPr>
        <w:t>）应急终止的程序</w:t>
      </w:r>
    </w:p>
    <w:p w14:paraId="3A3A5F19"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①</w:t>
      </w:r>
      <w:r w:rsidRPr="002B55E9">
        <w:rPr>
          <w:bCs/>
          <w:snapToGrid w:val="0"/>
          <w:sz w:val="24"/>
          <w:lang w:bidi="ne-NP"/>
        </w:rPr>
        <w:t>现场救援指挥部确认终止时机或事件责任单位提出，经现场救援指挥部批准；</w:t>
      </w:r>
    </w:p>
    <w:p w14:paraId="6C5F0CA2"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②</w:t>
      </w:r>
      <w:r w:rsidRPr="002B55E9">
        <w:rPr>
          <w:bCs/>
          <w:snapToGrid w:val="0"/>
          <w:sz w:val="24"/>
          <w:lang w:bidi="ne-NP"/>
        </w:rPr>
        <w:t>现场救援指挥部向所属各专业应急救援队伍下达应急终止命令。</w:t>
      </w:r>
    </w:p>
    <w:p w14:paraId="157498CB"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w:t>
      </w:r>
      <w:r w:rsidRPr="002B55E9">
        <w:rPr>
          <w:bCs/>
          <w:snapToGrid w:val="0"/>
          <w:sz w:val="24"/>
          <w:lang w:bidi="ne-NP"/>
        </w:rPr>
        <w:t>3</w:t>
      </w:r>
      <w:r w:rsidRPr="002B55E9">
        <w:rPr>
          <w:bCs/>
          <w:snapToGrid w:val="0"/>
          <w:sz w:val="24"/>
          <w:lang w:bidi="ne-NP"/>
        </w:rPr>
        <w:t>）应急终止后的行动</w:t>
      </w:r>
    </w:p>
    <w:p w14:paraId="351653A0"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①</w:t>
      </w:r>
      <w:r w:rsidRPr="002B55E9">
        <w:rPr>
          <w:bCs/>
          <w:snapToGrid w:val="0"/>
          <w:sz w:val="24"/>
          <w:lang w:bidi="ne-NP"/>
        </w:rPr>
        <w:t>有关部门及突发环境事件单位查找事件原因，防止类似问题的重复出现。</w:t>
      </w:r>
    </w:p>
    <w:p w14:paraId="3492FD96"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②</w:t>
      </w:r>
      <w:r w:rsidRPr="002B55E9">
        <w:rPr>
          <w:bCs/>
          <w:snapToGrid w:val="0"/>
          <w:sz w:val="24"/>
          <w:lang w:bidi="ne-NP"/>
        </w:rPr>
        <w:t>对应急事故进行记录、建立档案。并根据实践经验，一级应急机构组织有关类别环境事件专业部门对应急预案进行评估，并及时修订环境应急预案。</w:t>
      </w:r>
    </w:p>
    <w:p w14:paraId="061742E1" w14:textId="77777777" w:rsidR="00D170E5" w:rsidRPr="002B55E9" w:rsidRDefault="00EF27AD">
      <w:pPr>
        <w:spacing w:after="60" w:line="360" w:lineRule="auto"/>
        <w:ind w:firstLineChars="200" w:firstLine="480"/>
        <w:rPr>
          <w:bCs/>
          <w:snapToGrid w:val="0"/>
          <w:sz w:val="24"/>
          <w:lang w:bidi="ne-NP"/>
        </w:rPr>
      </w:pPr>
      <w:r w:rsidRPr="002B55E9">
        <w:rPr>
          <w:rFonts w:ascii="宋体" w:hAnsi="宋体" w:cs="宋体" w:hint="eastAsia"/>
          <w:bCs/>
          <w:snapToGrid w:val="0"/>
          <w:sz w:val="24"/>
          <w:lang w:bidi="ne-NP"/>
        </w:rPr>
        <w:t>③</w:t>
      </w:r>
      <w:r w:rsidRPr="002B55E9">
        <w:rPr>
          <w:bCs/>
          <w:snapToGrid w:val="0"/>
          <w:sz w:val="24"/>
          <w:lang w:bidi="ne-NP"/>
        </w:rPr>
        <w:t>参加应急行动的部门负责组织、指导环境应急队伍维护、保养应急仪器设备，使之始终保持良好的技术</w:t>
      </w:r>
      <w:r w:rsidRPr="002B55E9">
        <w:rPr>
          <w:rFonts w:hint="eastAsia"/>
          <w:bCs/>
          <w:snapToGrid w:val="0"/>
          <w:sz w:val="24"/>
          <w:lang w:bidi="ne-NP"/>
        </w:rPr>
        <w:t>状态</w:t>
      </w:r>
      <w:r w:rsidRPr="002B55E9">
        <w:rPr>
          <w:bCs/>
          <w:snapToGrid w:val="0"/>
          <w:sz w:val="24"/>
          <w:lang w:bidi="ne-NP"/>
        </w:rPr>
        <w:t>。</w:t>
      </w:r>
    </w:p>
    <w:p w14:paraId="456D6DFB" w14:textId="77777777" w:rsidR="00D170E5" w:rsidRPr="002B55E9" w:rsidRDefault="00EF27AD">
      <w:pPr>
        <w:pStyle w:val="4"/>
        <w:rPr>
          <w:color w:val="auto"/>
        </w:rPr>
      </w:pPr>
      <w:r w:rsidRPr="002B55E9">
        <w:rPr>
          <w:rFonts w:hint="eastAsia"/>
          <w:color w:val="auto"/>
        </w:rPr>
        <w:t>应急演习和应急技术培训</w:t>
      </w:r>
    </w:p>
    <w:p w14:paraId="1221118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对于环保管理人员和有关操作人员应建立</w:t>
      </w:r>
      <w:r w:rsidRPr="002B55E9">
        <w:rPr>
          <w:bCs/>
          <w:snapToGrid w:val="0"/>
          <w:sz w:val="24"/>
          <w:lang w:bidi="ne-NP"/>
        </w:rPr>
        <w:t>“</w:t>
      </w:r>
      <w:r w:rsidRPr="002B55E9">
        <w:rPr>
          <w:bCs/>
          <w:snapToGrid w:val="0"/>
          <w:sz w:val="24"/>
          <w:lang w:bidi="ne-NP"/>
        </w:rPr>
        <w:t>先培训、后上岗</w:t>
      </w:r>
      <w:r w:rsidRPr="002B55E9">
        <w:rPr>
          <w:bCs/>
          <w:snapToGrid w:val="0"/>
          <w:sz w:val="24"/>
          <w:lang w:bidi="ne-NP"/>
        </w:rPr>
        <w:t>”</w:t>
      </w:r>
      <w:r w:rsidRPr="002B55E9">
        <w:rPr>
          <w:bCs/>
          <w:snapToGrid w:val="0"/>
          <w:sz w:val="24"/>
          <w:lang w:bidi="ne-NP"/>
        </w:rPr>
        <w:t>、</w:t>
      </w:r>
      <w:r w:rsidRPr="002B55E9">
        <w:rPr>
          <w:bCs/>
          <w:snapToGrid w:val="0"/>
          <w:sz w:val="24"/>
          <w:lang w:bidi="ne-NP"/>
        </w:rPr>
        <w:t>“</w:t>
      </w:r>
      <w:r w:rsidRPr="002B55E9">
        <w:rPr>
          <w:bCs/>
          <w:snapToGrid w:val="0"/>
          <w:sz w:val="24"/>
          <w:lang w:bidi="ne-NP"/>
        </w:rPr>
        <w:t>定期培训安全和环保法规、知识以及突发性事故应急处理技术</w:t>
      </w:r>
      <w:r w:rsidRPr="002B55E9">
        <w:rPr>
          <w:bCs/>
          <w:snapToGrid w:val="0"/>
          <w:sz w:val="24"/>
          <w:lang w:bidi="ne-NP"/>
        </w:rPr>
        <w:t>”</w:t>
      </w:r>
      <w:r w:rsidRPr="002B55E9">
        <w:rPr>
          <w:bCs/>
          <w:snapToGrid w:val="0"/>
          <w:sz w:val="24"/>
          <w:lang w:bidi="ne-NP"/>
        </w:rPr>
        <w:t>的制度。应急机构应定期对机构内成员单位的有关人员进行应急技术培训和考核，并每年进行一次模拟演习，以提高应急队伍的实战能力，并</w:t>
      </w:r>
      <w:r w:rsidRPr="002B55E9">
        <w:rPr>
          <w:bCs/>
          <w:snapToGrid w:val="0"/>
          <w:sz w:val="24"/>
          <w:lang w:bidi="ne-NP"/>
        </w:rPr>
        <w:lastRenderedPageBreak/>
        <w:t>积累经验。</w:t>
      </w:r>
    </w:p>
    <w:p w14:paraId="19AA0545"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每一次演练后，企业应核对事故应急处理预案规定的内容是否都被检查，并找出不足和缺点。检查主要包括下列内容：</w:t>
      </w:r>
    </w:p>
    <w:p w14:paraId="2A98D56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(1)</w:t>
      </w:r>
      <w:r w:rsidRPr="002B55E9">
        <w:rPr>
          <w:bCs/>
          <w:snapToGrid w:val="0"/>
          <w:sz w:val="24"/>
          <w:lang w:bidi="ne-NP"/>
        </w:rPr>
        <w:t>事故期间通讯系统是否能运作；</w:t>
      </w:r>
    </w:p>
    <w:p w14:paraId="443F7FC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(2)</w:t>
      </w:r>
      <w:r w:rsidRPr="002B55E9">
        <w:rPr>
          <w:bCs/>
          <w:snapToGrid w:val="0"/>
          <w:sz w:val="24"/>
          <w:lang w:bidi="ne-NP"/>
        </w:rPr>
        <w:t>人员是否能安全撤离；</w:t>
      </w:r>
    </w:p>
    <w:p w14:paraId="5315A0FA"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(3)</w:t>
      </w:r>
      <w:r w:rsidRPr="002B55E9">
        <w:rPr>
          <w:bCs/>
          <w:snapToGrid w:val="0"/>
          <w:sz w:val="24"/>
          <w:lang w:bidi="ne-NP"/>
        </w:rPr>
        <w:t>应急服务机构能否及时参与事故抢救；</w:t>
      </w:r>
    </w:p>
    <w:p w14:paraId="7FCD6CAF"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(4)</w:t>
      </w:r>
      <w:r w:rsidRPr="002B55E9">
        <w:rPr>
          <w:bCs/>
          <w:snapToGrid w:val="0"/>
          <w:sz w:val="24"/>
          <w:lang w:bidi="ne-NP"/>
        </w:rPr>
        <w:t>能否有效控制事故进一步扩大。</w:t>
      </w:r>
    </w:p>
    <w:p w14:paraId="06CF7BED"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(5)</w:t>
      </w:r>
      <w:r w:rsidRPr="002B55E9">
        <w:rPr>
          <w:bCs/>
          <w:snapToGrid w:val="0"/>
          <w:sz w:val="24"/>
          <w:lang w:bidi="ne-NP"/>
        </w:rPr>
        <w:t>企业应把在演习中发现的问题及时提出解决方案，对事故应急预案进行修订完善；</w:t>
      </w:r>
    </w:p>
    <w:p w14:paraId="60D1DA6F"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(6)</w:t>
      </w:r>
      <w:r w:rsidRPr="002B55E9">
        <w:rPr>
          <w:bCs/>
          <w:snapToGrid w:val="0"/>
          <w:sz w:val="24"/>
          <w:lang w:bidi="ne-NP"/>
        </w:rPr>
        <w:t>企业应在现场危险设施和危险源发生变化时及时修改事故应急处理预案；</w:t>
      </w:r>
    </w:p>
    <w:p w14:paraId="6DB5BC06" w14:textId="77777777" w:rsidR="00D170E5" w:rsidRPr="002B55E9" w:rsidRDefault="00EF27AD">
      <w:pPr>
        <w:spacing w:after="60" w:line="360" w:lineRule="auto"/>
        <w:ind w:firstLineChars="200" w:firstLine="480"/>
        <w:rPr>
          <w:bCs/>
          <w:snapToGrid w:val="0"/>
          <w:sz w:val="24"/>
          <w:lang w:bidi="ne-NP"/>
        </w:rPr>
      </w:pPr>
      <w:r w:rsidRPr="002B55E9">
        <w:rPr>
          <w:bCs/>
          <w:snapToGrid w:val="0"/>
          <w:sz w:val="24"/>
          <w:lang w:bidi="ne-NP"/>
        </w:rPr>
        <w:t>(7)</w:t>
      </w:r>
      <w:r w:rsidRPr="002B55E9">
        <w:rPr>
          <w:bCs/>
          <w:snapToGrid w:val="0"/>
          <w:sz w:val="24"/>
          <w:lang w:bidi="ne-NP"/>
        </w:rPr>
        <w:t>应把对事故应急处理预案的修改情况及时通知所有与事故应急处理预案有关的人员。</w:t>
      </w:r>
    </w:p>
    <w:p w14:paraId="6FFB1B00" w14:textId="77777777" w:rsidR="00D170E5" w:rsidRPr="002B55E9" w:rsidRDefault="00EF27AD">
      <w:pPr>
        <w:pStyle w:val="4"/>
        <w:rPr>
          <w:color w:val="auto"/>
        </w:rPr>
      </w:pPr>
      <w:r w:rsidRPr="002B55E9">
        <w:rPr>
          <w:rFonts w:hint="eastAsia"/>
          <w:color w:val="auto"/>
        </w:rPr>
        <w:t>环境风险区域联动</w:t>
      </w:r>
    </w:p>
    <w:p w14:paraId="0F47D3B4" w14:textId="77777777" w:rsidR="00D170E5" w:rsidRPr="002B55E9" w:rsidRDefault="00EF27AD">
      <w:pPr>
        <w:spacing w:after="60" w:line="360" w:lineRule="auto"/>
        <w:ind w:firstLineChars="200" w:firstLine="480"/>
        <w:rPr>
          <w:bCs/>
          <w:snapToGrid w:val="0"/>
          <w:sz w:val="14"/>
          <w:szCs w:val="14"/>
        </w:rPr>
      </w:pPr>
      <w:r w:rsidRPr="002B55E9">
        <w:rPr>
          <w:bCs/>
          <w:snapToGrid w:val="0"/>
          <w:sz w:val="24"/>
        </w:rPr>
        <w:t>为提高应对突发环境事件的能力，保证环境应急工作有序开展，及时、妥善处置突发环境事件，湖北省制定了《湖北省突发环境事件应急预案》（鄂政办</w:t>
      </w:r>
      <w:r w:rsidRPr="002B55E9">
        <w:rPr>
          <w:rFonts w:hint="eastAsia"/>
          <w:bCs/>
          <w:snapToGrid w:val="0"/>
          <w:sz w:val="24"/>
        </w:rPr>
        <w:t>函</w:t>
      </w:r>
      <w:r w:rsidRPr="002B55E9">
        <w:rPr>
          <w:bCs/>
          <w:snapToGrid w:val="0"/>
          <w:sz w:val="24"/>
        </w:rPr>
        <w:t>[2021]1</w:t>
      </w:r>
      <w:r w:rsidRPr="002B55E9">
        <w:rPr>
          <w:bCs/>
          <w:snapToGrid w:val="0"/>
          <w:sz w:val="24"/>
        </w:rPr>
        <w:t>号）、《湖北省突发公共事件总体应急预案》、《湖北省危险化学品特大事故应急救援预案》、《</w:t>
      </w:r>
      <w:r w:rsidRPr="002B55E9">
        <w:rPr>
          <w:rFonts w:hint="eastAsia"/>
          <w:bCs/>
          <w:snapToGrid w:val="0"/>
          <w:sz w:val="24"/>
        </w:rPr>
        <w:t>湖北省态环境厅突发</w:t>
      </w:r>
      <w:r w:rsidRPr="002B55E9">
        <w:rPr>
          <w:bCs/>
          <w:snapToGrid w:val="0"/>
          <w:sz w:val="24"/>
        </w:rPr>
        <w:t>环境事件应急预案》（鄂</w:t>
      </w:r>
      <w:r w:rsidRPr="002B55E9">
        <w:rPr>
          <w:rFonts w:hint="eastAsia"/>
          <w:bCs/>
          <w:snapToGrid w:val="0"/>
          <w:sz w:val="24"/>
        </w:rPr>
        <w:t>政</w:t>
      </w:r>
      <w:r w:rsidRPr="002B55E9">
        <w:rPr>
          <w:bCs/>
          <w:snapToGrid w:val="0"/>
          <w:sz w:val="24"/>
        </w:rPr>
        <w:t>办</w:t>
      </w:r>
      <w:r w:rsidRPr="002B55E9">
        <w:rPr>
          <w:bCs/>
          <w:snapToGrid w:val="0"/>
          <w:sz w:val="24"/>
        </w:rPr>
        <w:t>[2021]80</w:t>
      </w:r>
      <w:r w:rsidRPr="002B55E9">
        <w:rPr>
          <w:bCs/>
          <w:snapToGrid w:val="0"/>
          <w:sz w:val="24"/>
        </w:rPr>
        <w:t>号）。在制定的</w:t>
      </w:r>
      <w:r w:rsidRPr="002B55E9">
        <w:rPr>
          <w:rFonts w:hint="eastAsia"/>
          <w:bCs/>
          <w:snapToGrid w:val="0"/>
          <w:sz w:val="24"/>
        </w:rPr>
        <w:t>突发环境事件</w:t>
      </w:r>
      <w:r w:rsidRPr="002B55E9">
        <w:rPr>
          <w:bCs/>
          <w:snapToGrid w:val="0"/>
          <w:sz w:val="24"/>
        </w:rPr>
        <w:t>应急预案中应考虑上级联动相应系统，寻求社会支援。</w:t>
      </w:r>
    </w:p>
    <w:p w14:paraId="519147E1" w14:textId="77777777" w:rsidR="00D170E5" w:rsidRPr="002B55E9" w:rsidRDefault="00EF27AD">
      <w:pPr>
        <w:pStyle w:val="3"/>
      </w:pPr>
      <w:bookmarkStart w:id="248" w:name="_Toc224829300"/>
      <w:bookmarkStart w:id="249" w:name="_Toc225244515"/>
      <w:bookmarkStart w:id="250" w:name="_Toc247186201"/>
      <w:bookmarkStart w:id="251" w:name="_Toc224362753"/>
      <w:bookmarkStart w:id="252" w:name="_Toc171486942"/>
      <w:bookmarkStart w:id="253" w:name="_Toc46930698"/>
      <w:bookmarkStart w:id="254" w:name="_Toc173081358"/>
      <w:bookmarkStart w:id="255" w:name="_Toc119309008"/>
      <w:r w:rsidRPr="002B55E9">
        <w:t>风险评价结论</w:t>
      </w:r>
      <w:bookmarkEnd w:id="248"/>
      <w:bookmarkEnd w:id="249"/>
      <w:bookmarkEnd w:id="250"/>
      <w:bookmarkEnd w:id="251"/>
      <w:bookmarkEnd w:id="252"/>
      <w:bookmarkEnd w:id="253"/>
      <w:bookmarkEnd w:id="254"/>
      <w:r w:rsidRPr="002B55E9">
        <w:rPr>
          <w:rFonts w:hint="eastAsia"/>
        </w:rPr>
        <w:t>与建议</w:t>
      </w:r>
      <w:bookmarkEnd w:id="255"/>
    </w:p>
    <w:p w14:paraId="4D7F5203" w14:textId="77777777" w:rsidR="00D170E5" w:rsidRPr="002B55E9" w:rsidRDefault="00EF27AD">
      <w:pPr>
        <w:pStyle w:val="4"/>
        <w:rPr>
          <w:color w:val="auto"/>
        </w:rPr>
      </w:pPr>
      <w:r w:rsidRPr="002B55E9">
        <w:rPr>
          <w:rFonts w:hint="eastAsia"/>
          <w:color w:val="auto"/>
        </w:rPr>
        <w:t>项目</w:t>
      </w:r>
      <w:r w:rsidRPr="002B55E9">
        <w:rPr>
          <w:color w:val="auto"/>
        </w:rPr>
        <w:t>危险因素</w:t>
      </w:r>
    </w:p>
    <w:p w14:paraId="287A1DAD" w14:textId="77777777" w:rsidR="00D170E5" w:rsidRPr="002B55E9" w:rsidRDefault="00EF27AD">
      <w:pPr>
        <w:spacing w:after="60" w:line="360" w:lineRule="auto"/>
        <w:ind w:firstLineChars="200" w:firstLine="480"/>
        <w:rPr>
          <w:sz w:val="24"/>
        </w:rPr>
      </w:pPr>
      <w:r w:rsidRPr="002B55E9">
        <w:rPr>
          <w:rFonts w:hint="eastAsia"/>
          <w:sz w:val="24"/>
          <w:lang w:val="zh-CN"/>
        </w:rPr>
        <w:t>本项目包含</w:t>
      </w:r>
      <w:r w:rsidRPr="002B55E9">
        <w:rPr>
          <w:rFonts w:hint="eastAsia"/>
          <w:sz w:val="24"/>
        </w:rPr>
        <w:t>多</w:t>
      </w:r>
      <w:r w:rsidRPr="002B55E9">
        <w:rPr>
          <w:rFonts w:hint="eastAsia"/>
          <w:sz w:val="24"/>
          <w:lang w:val="zh-CN"/>
        </w:rPr>
        <w:t>种危险化学品，危险物质数量与临界量的比值</w:t>
      </w:r>
      <w:r w:rsidRPr="002B55E9">
        <w:rPr>
          <w:rFonts w:hint="eastAsia"/>
          <w:sz w:val="24"/>
          <w:lang w:val="zh-CN"/>
        </w:rPr>
        <w:t>Q</w:t>
      </w:r>
      <w:r w:rsidRPr="002B55E9">
        <w:rPr>
          <w:rFonts w:hint="eastAsia"/>
          <w:sz w:val="24"/>
          <w:lang w:val="zh-CN"/>
        </w:rPr>
        <w:t>为</w:t>
      </w:r>
      <w:r w:rsidRPr="002B55E9">
        <w:rPr>
          <w:sz w:val="24"/>
          <w:lang w:val="zh-CN"/>
        </w:rPr>
        <w:t>46.28</w:t>
      </w:r>
      <w:r w:rsidRPr="002B55E9">
        <w:rPr>
          <w:rFonts w:hint="eastAsia"/>
          <w:sz w:val="24"/>
          <w:lang w:val="zh-CN"/>
        </w:rPr>
        <w:t>，其中</w:t>
      </w:r>
      <w:r w:rsidRPr="002B55E9">
        <w:rPr>
          <w:rFonts w:hint="eastAsia"/>
          <w:sz w:val="24"/>
          <w:lang w:val="zh-CN"/>
        </w:rPr>
        <w:t>Q</w:t>
      </w:r>
      <w:r w:rsidRPr="002B55E9">
        <w:rPr>
          <w:rFonts w:hint="eastAsia"/>
          <w:sz w:val="24"/>
          <w:lang w:val="zh-CN"/>
        </w:rPr>
        <w:t>值较大的风险物质为醋胚中含有的乙酸</w:t>
      </w:r>
      <w:r w:rsidRPr="002B55E9">
        <w:rPr>
          <w:rFonts w:hint="eastAsia"/>
          <w:sz w:val="24"/>
        </w:rPr>
        <w:t>。本项目危险物质主要分布在生产车间和罐区，分别视为独立的危险单元。本项目危险因素包括生产车间、罐区的危险物质泄漏，以及车间过氧乙酸消毒剂等危险物质火灾爆炸导致伴生</w:t>
      </w:r>
      <w:r w:rsidRPr="002B55E9">
        <w:rPr>
          <w:rFonts w:hint="eastAsia"/>
          <w:sz w:val="24"/>
        </w:rPr>
        <w:t>/</w:t>
      </w:r>
      <w:r w:rsidRPr="002B55E9">
        <w:rPr>
          <w:rFonts w:hint="eastAsia"/>
          <w:sz w:val="24"/>
        </w:rPr>
        <w:t>次生污染物排放。</w:t>
      </w:r>
      <w:r w:rsidRPr="002B55E9">
        <w:rPr>
          <w:sz w:val="24"/>
          <w:lang w:val="zh-CN"/>
        </w:rPr>
        <w:t>项目总平面布置功能分区明确，分区内部相互之间保持一定的</w:t>
      </w:r>
      <w:r w:rsidRPr="002B55E9">
        <w:rPr>
          <w:rFonts w:hint="eastAsia"/>
          <w:sz w:val="24"/>
          <w:lang w:val="zh-CN"/>
        </w:rPr>
        <w:t>通道和间距。</w:t>
      </w:r>
    </w:p>
    <w:p w14:paraId="6FD12E7E" w14:textId="77777777" w:rsidR="00D170E5" w:rsidRPr="002B55E9" w:rsidRDefault="00EF27AD">
      <w:pPr>
        <w:pStyle w:val="4"/>
        <w:rPr>
          <w:color w:val="auto"/>
        </w:rPr>
      </w:pPr>
      <w:r w:rsidRPr="002B55E9">
        <w:rPr>
          <w:rFonts w:hint="eastAsia"/>
          <w:color w:val="auto"/>
        </w:rPr>
        <w:t>环境</w:t>
      </w:r>
      <w:r w:rsidRPr="002B55E9">
        <w:rPr>
          <w:color w:val="auto"/>
        </w:rPr>
        <w:t>敏感性及事故</w:t>
      </w:r>
      <w:r w:rsidRPr="002B55E9">
        <w:rPr>
          <w:rFonts w:hint="eastAsia"/>
          <w:color w:val="auto"/>
        </w:rPr>
        <w:t>环境影响</w:t>
      </w:r>
    </w:p>
    <w:p w14:paraId="46F17DE7" w14:textId="77777777" w:rsidR="00D170E5" w:rsidRPr="002B55E9" w:rsidRDefault="00EF27AD">
      <w:pPr>
        <w:spacing w:after="60" w:line="360" w:lineRule="auto"/>
        <w:ind w:firstLineChars="200" w:firstLine="480"/>
        <w:rPr>
          <w:bCs/>
          <w:snapToGrid w:val="0"/>
          <w:sz w:val="24"/>
        </w:rPr>
      </w:pPr>
      <w:r w:rsidRPr="002B55E9">
        <w:rPr>
          <w:sz w:val="24"/>
        </w:rPr>
        <w:t>本</w:t>
      </w:r>
      <w:r w:rsidRPr="002B55E9">
        <w:rPr>
          <w:rFonts w:hint="eastAsia"/>
          <w:sz w:val="24"/>
        </w:rPr>
        <w:t>项目</w:t>
      </w:r>
      <w:r w:rsidRPr="002B55E9">
        <w:rPr>
          <w:sz w:val="24"/>
        </w:rPr>
        <w:t>大气环境</w:t>
      </w:r>
      <w:r w:rsidRPr="002B55E9">
        <w:rPr>
          <w:rFonts w:hint="eastAsia"/>
          <w:sz w:val="24"/>
        </w:rPr>
        <w:t>敏感</w:t>
      </w:r>
      <w:r w:rsidRPr="002B55E9">
        <w:rPr>
          <w:sz w:val="24"/>
        </w:rPr>
        <w:t>程度为</w:t>
      </w:r>
      <w:r w:rsidRPr="002B55E9">
        <w:rPr>
          <w:sz w:val="24"/>
        </w:rPr>
        <w:t>E</w:t>
      </w:r>
      <w:r w:rsidRPr="002B55E9">
        <w:rPr>
          <w:rFonts w:hint="eastAsia"/>
          <w:sz w:val="24"/>
        </w:rPr>
        <w:t>1</w:t>
      </w:r>
      <w:r w:rsidRPr="002B55E9">
        <w:rPr>
          <w:rFonts w:hint="eastAsia"/>
          <w:sz w:val="24"/>
        </w:rPr>
        <w:t>环境高度</w:t>
      </w:r>
      <w:r w:rsidRPr="002B55E9">
        <w:rPr>
          <w:sz w:val="24"/>
        </w:rPr>
        <w:t>敏感区</w:t>
      </w:r>
      <w:r w:rsidRPr="002B55E9">
        <w:rPr>
          <w:rFonts w:hint="eastAsia"/>
          <w:sz w:val="24"/>
        </w:rPr>
        <w:t>，地表水</w:t>
      </w:r>
      <w:r w:rsidRPr="002B55E9">
        <w:rPr>
          <w:sz w:val="24"/>
        </w:rPr>
        <w:t>、地</w:t>
      </w:r>
      <w:r w:rsidRPr="002B55E9">
        <w:rPr>
          <w:rFonts w:hint="eastAsia"/>
          <w:sz w:val="24"/>
        </w:rPr>
        <w:t>下</w:t>
      </w:r>
      <w:r w:rsidRPr="002B55E9">
        <w:rPr>
          <w:sz w:val="24"/>
        </w:rPr>
        <w:t>水环境</w:t>
      </w:r>
      <w:r w:rsidRPr="002B55E9">
        <w:rPr>
          <w:rFonts w:hint="eastAsia"/>
          <w:sz w:val="24"/>
        </w:rPr>
        <w:t>敏感</w:t>
      </w:r>
      <w:r w:rsidRPr="002B55E9">
        <w:rPr>
          <w:sz w:val="24"/>
        </w:rPr>
        <w:t>程度为</w:t>
      </w:r>
      <w:r w:rsidRPr="002B55E9">
        <w:rPr>
          <w:rFonts w:hint="eastAsia"/>
          <w:sz w:val="24"/>
        </w:rPr>
        <w:t>E</w:t>
      </w:r>
      <w:r w:rsidRPr="002B55E9">
        <w:rPr>
          <w:sz w:val="24"/>
        </w:rPr>
        <w:t>3</w:t>
      </w:r>
      <w:r w:rsidRPr="002B55E9">
        <w:rPr>
          <w:rFonts w:hint="eastAsia"/>
          <w:sz w:val="24"/>
        </w:rPr>
        <w:t>环境低度</w:t>
      </w:r>
      <w:r w:rsidRPr="002B55E9">
        <w:rPr>
          <w:sz w:val="24"/>
        </w:rPr>
        <w:t>敏感区。</w:t>
      </w:r>
      <w:r w:rsidRPr="002B55E9">
        <w:rPr>
          <w:rFonts w:hint="eastAsia"/>
          <w:bCs/>
          <w:snapToGrid w:val="0"/>
          <w:sz w:val="24"/>
          <w:lang w:val="zh-CN"/>
        </w:rPr>
        <w:t>根据环境风险预测分析结果，乙酸</w:t>
      </w:r>
      <w:r w:rsidRPr="002B55E9">
        <w:rPr>
          <w:rFonts w:hint="eastAsia"/>
          <w:bCs/>
          <w:snapToGrid w:val="0"/>
          <w:sz w:val="24"/>
        </w:rPr>
        <w:t>发生泄漏事故时，最大落地</w:t>
      </w:r>
      <w:r w:rsidRPr="002B55E9">
        <w:rPr>
          <w:bCs/>
          <w:snapToGrid w:val="0"/>
          <w:sz w:val="24"/>
        </w:rPr>
        <w:t>浓度范围内</w:t>
      </w:r>
      <w:r w:rsidRPr="002B55E9">
        <w:rPr>
          <w:rFonts w:hint="eastAsia"/>
          <w:bCs/>
          <w:snapToGrid w:val="0"/>
          <w:sz w:val="24"/>
        </w:rPr>
        <w:t>均未</w:t>
      </w:r>
      <w:r w:rsidRPr="002B55E9">
        <w:rPr>
          <w:bCs/>
          <w:snapToGrid w:val="0"/>
          <w:sz w:val="24"/>
        </w:rPr>
        <w:t>超过</w:t>
      </w:r>
      <w:r w:rsidRPr="002B55E9">
        <w:rPr>
          <w:rFonts w:hint="eastAsia"/>
          <w:bCs/>
          <w:snapToGrid w:val="0"/>
          <w:sz w:val="24"/>
        </w:rPr>
        <w:t>其</w:t>
      </w:r>
      <w:r w:rsidRPr="002B55E9">
        <w:rPr>
          <w:bCs/>
          <w:snapToGrid w:val="0"/>
          <w:sz w:val="24"/>
        </w:rPr>
        <w:t>大气毒性终点浓度</w:t>
      </w:r>
      <w:r w:rsidRPr="002B55E9">
        <w:rPr>
          <w:bCs/>
          <w:snapToGrid w:val="0"/>
          <w:sz w:val="24"/>
        </w:rPr>
        <w:t>1</w:t>
      </w:r>
      <w:r w:rsidRPr="002B55E9">
        <w:rPr>
          <w:rFonts w:hint="eastAsia"/>
          <w:bCs/>
          <w:snapToGrid w:val="0"/>
          <w:sz w:val="24"/>
        </w:rPr>
        <w:t>和</w:t>
      </w:r>
      <w:r w:rsidRPr="002B55E9">
        <w:rPr>
          <w:bCs/>
          <w:snapToGrid w:val="0"/>
          <w:sz w:val="24"/>
        </w:rPr>
        <w:t>大气毒性终点浓度</w:t>
      </w:r>
      <w:r w:rsidRPr="002B55E9">
        <w:rPr>
          <w:bCs/>
          <w:snapToGrid w:val="0"/>
          <w:sz w:val="24"/>
        </w:rPr>
        <w:t>2</w:t>
      </w:r>
      <w:r w:rsidRPr="002B55E9">
        <w:rPr>
          <w:bCs/>
          <w:snapToGrid w:val="0"/>
          <w:sz w:val="24"/>
        </w:rPr>
        <w:t>。</w:t>
      </w:r>
      <w:r w:rsidRPr="002B55E9">
        <w:rPr>
          <w:rFonts w:hint="eastAsia"/>
          <w:bCs/>
          <w:snapToGrid w:val="0"/>
          <w:sz w:val="24"/>
        </w:rPr>
        <w:t>过氧乙酸</w:t>
      </w:r>
      <w:r w:rsidRPr="002B55E9">
        <w:rPr>
          <w:bCs/>
          <w:snapToGrid w:val="0"/>
          <w:sz w:val="24"/>
        </w:rPr>
        <w:t>发生泄漏事故时，</w:t>
      </w:r>
      <w:r w:rsidRPr="002B55E9">
        <w:rPr>
          <w:rFonts w:hint="eastAsia"/>
          <w:bCs/>
          <w:snapToGrid w:val="0"/>
          <w:sz w:val="24"/>
        </w:rPr>
        <w:t>最大落地</w:t>
      </w:r>
      <w:r w:rsidRPr="002B55E9">
        <w:rPr>
          <w:bCs/>
          <w:snapToGrid w:val="0"/>
          <w:sz w:val="24"/>
        </w:rPr>
        <w:t>浓度范围内</w:t>
      </w:r>
      <w:r w:rsidRPr="002B55E9">
        <w:rPr>
          <w:rFonts w:hint="eastAsia"/>
          <w:bCs/>
          <w:snapToGrid w:val="0"/>
          <w:sz w:val="24"/>
        </w:rPr>
        <w:t>均未</w:t>
      </w:r>
      <w:r w:rsidRPr="002B55E9">
        <w:rPr>
          <w:bCs/>
          <w:snapToGrid w:val="0"/>
          <w:sz w:val="24"/>
        </w:rPr>
        <w:t>超过</w:t>
      </w:r>
      <w:r w:rsidRPr="002B55E9">
        <w:rPr>
          <w:rFonts w:hint="eastAsia"/>
          <w:bCs/>
          <w:snapToGrid w:val="0"/>
          <w:sz w:val="24"/>
        </w:rPr>
        <w:t>其</w:t>
      </w:r>
      <w:r w:rsidRPr="002B55E9">
        <w:rPr>
          <w:bCs/>
          <w:snapToGrid w:val="0"/>
          <w:sz w:val="24"/>
        </w:rPr>
        <w:t>大气毒性终点浓度</w:t>
      </w:r>
      <w:r w:rsidRPr="002B55E9">
        <w:rPr>
          <w:bCs/>
          <w:snapToGrid w:val="0"/>
          <w:sz w:val="24"/>
        </w:rPr>
        <w:t>1</w:t>
      </w:r>
      <w:r w:rsidRPr="002B55E9">
        <w:rPr>
          <w:bCs/>
          <w:snapToGrid w:val="0"/>
          <w:sz w:val="24"/>
        </w:rPr>
        <w:t>级限值</w:t>
      </w:r>
      <w:r w:rsidRPr="002B55E9">
        <w:rPr>
          <w:rFonts w:hint="eastAsia"/>
          <w:bCs/>
          <w:snapToGrid w:val="0"/>
          <w:sz w:val="24"/>
        </w:rPr>
        <w:t>和</w:t>
      </w:r>
      <w:r w:rsidRPr="002B55E9">
        <w:rPr>
          <w:bCs/>
          <w:snapToGrid w:val="0"/>
          <w:sz w:val="24"/>
        </w:rPr>
        <w:t>大气毒性终点浓度</w:t>
      </w:r>
      <w:r w:rsidRPr="002B55E9">
        <w:rPr>
          <w:bCs/>
          <w:snapToGrid w:val="0"/>
          <w:sz w:val="24"/>
        </w:rPr>
        <w:t>2</w:t>
      </w:r>
      <w:r w:rsidRPr="002B55E9">
        <w:rPr>
          <w:bCs/>
          <w:snapToGrid w:val="0"/>
          <w:sz w:val="24"/>
        </w:rPr>
        <w:t>。</w:t>
      </w:r>
    </w:p>
    <w:p w14:paraId="3977D09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当过氧乙酸火灾爆炸事故发生时，范围内出现超过其伴生次生污染物</w:t>
      </w:r>
      <w:r w:rsidRPr="002B55E9">
        <w:rPr>
          <w:rFonts w:hint="eastAsia"/>
          <w:bCs/>
          <w:snapToGrid w:val="0"/>
          <w:sz w:val="24"/>
        </w:rPr>
        <w:t>CO</w:t>
      </w:r>
      <w:r w:rsidRPr="002B55E9">
        <w:rPr>
          <w:rFonts w:hint="eastAsia"/>
          <w:bCs/>
          <w:snapToGrid w:val="0"/>
          <w:sz w:val="24"/>
        </w:rPr>
        <w:t>的大气毒性终</w:t>
      </w:r>
      <w:r w:rsidRPr="002B55E9">
        <w:rPr>
          <w:rFonts w:hint="eastAsia"/>
          <w:bCs/>
          <w:snapToGrid w:val="0"/>
          <w:sz w:val="24"/>
        </w:rPr>
        <w:lastRenderedPageBreak/>
        <w:t>点浓度</w:t>
      </w:r>
      <w:r w:rsidRPr="002B55E9">
        <w:rPr>
          <w:rFonts w:hint="eastAsia"/>
          <w:bCs/>
          <w:snapToGrid w:val="0"/>
          <w:sz w:val="24"/>
        </w:rPr>
        <w:t>1</w:t>
      </w:r>
      <w:r w:rsidRPr="002B55E9">
        <w:rPr>
          <w:rFonts w:hint="eastAsia"/>
          <w:bCs/>
          <w:snapToGrid w:val="0"/>
          <w:sz w:val="24"/>
        </w:rPr>
        <w:t>限值的情况，该范围内无敏感点。范围内出现超过其伴生次生污染物</w:t>
      </w:r>
      <w:r w:rsidRPr="002B55E9">
        <w:rPr>
          <w:rFonts w:hint="eastAsia"/>
          <w:bCs/>
          <w:snapToGrid w:val="0"/>
          <w:sz w:val="24"/>
        </w:rPr>
        <w:t>CO</w:t>
      </w:r>
      <w:r w:rsidRPr="002B55E9">
        <w:rPr>
          <w:rFonts w:hint="eastAsia"/>
          <w:bCs/>
          <w:snapToGrid w:val="0"/>
          <w:sz w:val="24"/>
        </w:rPr>
        <w:t>的大气毒性终点浓度</w:t>
      </w:r>
      <w:r w:rsidRPr="002B55E9">
        <w:rPr>
          <w:rFonts w:hint="eastAsia"/>
          <w:bCs/>
          <w:snapToGrid w:val="0"/>
          <w:sz w:val="24"/>
        </w:rPr>
        <w:t>2</w:t>
      </w:r>
      <w:r w:rsidRPr="002B55E9">
        <w:rPr>
          <w:rFonts w:hint="eastAsia"/>
          <w:bCs/>
          <w:snapToGrid w:val="0"/>
          <w:sz w:val="24"/>
        </w:rPr>
        <w:t>级限值的情况，该范围内无敏感点。</w:t>
      </w:r>
    </w:p>
    <w:p w14:paraId="4489601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同时，在发生过氧乙酸等有毒有害物质泄漏等环境风险事故时，企业应迅速启动环境风险应急预案，并在发现事故的第一时间通知周边村委会或居委会，并配合和指导其做好疏散工作，在</w:t>
      </w:r>
      <w:r w:rsidRPr="002B55E9">
        <w:rPr>
          <w:rFonts w:hint="eastAsia"/>
          <w:bCs/>
          <w:snapToGrid w:val="0"/>
          <w:sz w:val="24"/>
        </w:rPr>
        <w:t>1</w:t>
      </w:r>
      <w:r w:rsidRPr="002B55E9">
        <w:rPr>
          <w:rFonts w:hint="eastAsia"/>
          <w:bCs/>
          <w:snapToGrid w:val="0"/>
          <w:sz w:val="24"/>
        </w:rPr>
        <w:t>小时内将居民疏散到安全范围，以减少对周边人群身体健康危害。</w:t>
      </w:r>
    </w:p>
    <w:p w14:paraId="6537E6CF"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bidi="ne-NP"/>
        </w:rPr>
        <w:t>当发生</w:t>
      </w:r>
      <w:r w:rsidRPr="002B55E9">
        <w:rPr>
          <w:bCs/>
          <w:snapToGrid w:val="0"/>
          <w:sz w:val="24"/>
          <w:lang w:val="zh-CN" w:bidi="ne-NP"/>
        </w:rPr>
        <w:t>地下水污染</w:t>
      </w:r>
      <w:r w:rsidRPr="002B55E9">
        <w:rPr>
          <w:rFonts w:hint="eastAsia"/>
          <w:bCs/>
          <w:snapToGrid w:val="0"/>
          <w:sz w:val="24"/>
          <w:lang w:val="zh-CN" w:bidi="ne-NP"/>
        </w:rPr>
        <w:t>事故</w:t>
      </w:r>
      <w:r w:rsidRPr="002B55E9">
        <w:rPr>
          <w:bCs/>
          <w:snapToGrid w:val="0"/>
          <w:sz w:val="24"/>
          <w:lang w:val="zh-CN" w:bidi="ne-NP"/>
        </w:rPr>
        <w:t>情景</w:t>
      </w:r>
      <w:r w:rsidRPr="002B55E9">
        <w:rPr>
          <w:rFonts w:hint="eastAsia"/>
          <w:bCs/>
          <w:snapToGrid w:val="0"/>
          <w:sz w:val="24"/>
          <w:lang w:val="zh-CN" w:bidi="ne-NP"/>
        </w:rPr>
        <w:t>时</w:t>
      </w:r>
      <w:r w:rsidRPr="002B55E9">
        <w:rPr>
          <w:rFonts w:hint="eastAsia"/>
          <w:bCs/>
          <w:snapToGrid w:val="0"/>
          <w:sz w:val="24"/>
          <w:lang w:bidi="ne-NP"/>
        </w:rPr>
        <w:t>，超立克</w:t>
      </w:r>
      <w:r w:rsidRPr="002B55E9">
        <w:rPr>
          <w:bCs/>
          <w:snapToGrid w:val="0"/>
          <w:sz w:val="24"/>
          <w:lang w:bidi="ne-NP"/>
        </w:rPr>
        <w:t>泄漏</w:t>
      </w:r>
      <w:r w:rsidRPr="002B55E9">
        <w:rPr>
          <w:bCs/>
          <w:snapToGrid w:val="0"/>
          <w:sz w:val="24"/>
        </w:rPr>
        <w:t>20</w:t>
      </w:r>
      <w:r w:rsidRPr="002B55E9">
        <w:rPr>
          <w:bCs/>
          <w:snapToGrid w:val="0"/>
          <w:sz w:val="24"/>
        </w:rPr>
        <w:t>年后，</w:t>
      </w:r>
      <w:r w:rsidRPr="002B55E9">
        <w:rPr>
          <w:rFonts w:hint="eastAsia"/>
          <w:bCs/>
          <w:snapToGrid w:val="0"/>
          <w:sz w:val="24"/>
        </w:rPr>
        <w:t>硝酸盐</w:t>
      </w:r>
      <w:r w:rsidRPr="002B55E9">
        <w:rPr>
          <w:bCs/>
          <w:snapToGrid w:val="0"/>
          <w:sz w:val="24"/>
        </w:rPr>
        <w:t>的超标扩散距离</w:t>
      </w:r>
      <w:r w:rsidRPr="002B55E9">
        <w:rPr>
          <w:rFonts w:hint="eastAsia"/>
          <w:bCs/>
          <w:snapToGrid w:val="0"/>
          <w:sz w:val="24"/>
        </w:rPr>
        <w:t>最大值为</w:t>
      </w:r>
      <w:r w:rsidRPr="002B55E9">
        <w:rPr>
          <w:bCs/>
          <w:snapToGrid w:val="0"/>
          <w:sz w:val="24"/>
        </w:rPr>
        <w:t>105</w:t>
      </w:r>
      <w:r w:rsidRPr="002B55E9">
        <w:rPr>
          <w:rFonts w:hint="eastAsia"/>
          <w:bCs/>
          <w:snapToGrid w:val="0"/>
          <w:sz w:val="24"/>
        </w:rPr>
        <w:t>m</w:t>
      </w:r>
      <w:r w:rsidRPr="002B55E9">
        <w:rPr>
          <w:bCs/>
          <w:snapToGrid w:val="0"/>
          <w:sz w:val="24"/>
        </w:rPr>
        <w:t>，</w:t>
      </w:r>
      <w:r w:rsidRPr="002B55E9">
        <w:rPr>
          <w:rFonts w:hint="eastAsia"/>
          <w:bCs/>
          <w:snapToGrid w:val="0"/>
          <w:sz w:val="24"/>
        </w:rPr>
        <w:t>污染物</w:t>
      </w:r>
      <w:r w:rsidRPr="002B55E9">
        <w:rPr>
          <w:bCs/>
          <w:snapToGrid w:val="0"/>
          <w:sz w:val="24"/>
        </w:rPr>
        <w:t>将会对</w:t>
      </w:r>
      <w:r w:rsidRPr="002B55E9">
        <w:rPr>
          <w:rFonts w:hint="eastAsia"/>
          <w:bCs/>
          <w:snapToGrid w:val="0"/>
          <w:sz w:val="24"/>
        </w:rPr>
        <w:t>项目厂区</w:t>
      </w:r>
      <w:r w:rsidRPr="002B55E9">
        <w:rPr>
          <w:bCs/>
          <w:snapToGrid w:val="0"/>
          <w:sz w:val="24"/>
        </w:rPr>
        <w:t>附近的地下水水体造成不同程度的污染。</w:t>
      </w:r>
      <w:r w:rsidRPr="002B55E9">
        <w:rPr>
          <w:rFonts w:hint="eastAsia"/>
          <w:bCs/>
          <w:snapToGrid w:val="0"/>
          <w:sz w:val="24"/>
        </w:rPr>
        <w:t>由于项目周围无地下水敏感区域，故</w:t>
      </w:r>
      <w:r w:rsidRPr="002B55E9">
        <w:rPr>
          <w:rFonts w:hint="eastAsia"/>
          <w:bCs/>
          <w:snapToGrid w:val="0"/>
          <w:sz w:val="24"/>
          <w:lang w:val="zh-CN" w:bidi="ne-NP"/>
        </w:rPr>
        <w:t>发生事故时对地下水环境的风险可控。</w:t>
      </w:r>
    </w:p>
    <w:p w14:paraId="2C9E8398" w14:textId="77777777" w:rsidR="00D170E5" w:rsidRPr="002B55E9" w:rsidRDefault="00EF27AD">
      <w:pPr>
        <w:pStyle w:val="4"/>
        <w:rPr>
          <w:color w:val="auto"/>
        </w:rPr>
      </w:pPr>
      <w:r w:rsidRPr="002B55E9">
        <w:rPr>
          <w:rFonts w:hint="eastAsia"/>
          <w:color w:val="auto"/>
        </w:rPr>
        <w:t>环境风险防范</w:t>
      </w:r>
      <w:r w:rsidRPr="002B55E9">
        <w:rPr>
          <w:color w:val="auto"/>
        </w:rPr>
        <w:t>措施及应急预案</w:t>
      </w:r>
    </w:p>
    <w:p w14:paraId="582B2360"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环境风险防范措施主要包括生产事故预防措施、风险应急措施。</w:t>
      </w:r>
    </w:p>
    <w:p w14:paraId="09F90CD2"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rPr>
        <w:t>生产事故预防措施主要包括总图布置事故预防措施、</w:t>
      </w:r>
      <w:r w:rsidRPr="002B55E9">
        <w:rPr>
          <w:rFonts w:hint="eastAsia"/>
          <w:bCs/>
          <w:snapToGrid w:val="0"/>
          <w:sz w:val="24"/>
          <w:lang w:val="zh-CN"/>
        </w:rPr>
        <w:t>技术工艺和设备设施事故预防措施、危险化学品储存及使用过程事故预防措施以及主要生产装置、设备、设施的布局事故预防措施。</w:t>
      </w:r>
    </w:p>
    <w:p w14:paraId="326D79D4"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rPr>
        <w:t>总图布置事故预防措施主要包括：（</w:t>
      </w:r>
      <w:r w:rsidRPr="002B55E9">
        <w:rPr>
          <w:rFonts w:hint="eastAsia"/>
          <w:bCs/>
          <w:snapToGrid w:val="0"/>
          <w:sz w:val="24"/>
        </w:rPr>
        <w:t>1</w:t>
      </w:r>
      <w:r w:rsidRPr="002B55E9">
        <w:rPr>
          <w:rFonts w:hint="eastAsia"/>
          <w:bCs/>
          <w:snapToGrid w:val="0"/>
          <w:sz w:val="24"/>
        </w:rPr>
        <w:t>）</w:t>
      </w:r>
      <w:r w:rsidRPr="002B55E9">
        <w:rPr>
          <w:bCs/>
          <w:snapToGrid w:val="0"/>
          <w:sz w:val="24"/>
          <w:lang w:val="zh-CN"/>
        </w:rPr>
        <w:t>平面布置功能分区明确</w:t>
      </w:r>
      <w:r w:rsidRPr="002B55E9">
        <w:rPr>
          <w:rFonts w:hint="eastAsia"/>
          <w:bCs/>
          <w:snapToGrid w:val="0"/>
          <w:sz w:val="24"/>
          <w:lang w:val="zh-CN"/>
        </w:rPr>
        <w:t>，（</w:t>
      </w:r>
      <w:r w:rsidRPr="002B55E9">
        <w:rPr>
          <w:rFonts w:hint="eastAsia"/>
          <w:bCs/>
          <w:snapToGrid w:val="0"/>
          <w:sz w:val="24"/>
          <w:lang w:val="zh-CN"/>
        </w:rPr>
        <w:t>2</w:t>
      </w:r>
      <w:r w:rsidRPr="002B55E9">
        <w:rPr>
          <w:rFonts w:hint="eastAsia"/>
          <w:bCs/>
          <w:snapToGrid w:val="0"/>
          <w:sz w:val="24"/>
          <w:lang w:val="zh-CN"/>
        </w:rPr>
        <w:t>）</w:t>
      </w:r>
      <w:r w:rsidRPr="002B55E9">
        <w:rPr>
          <w:bCs/>
          <w:snapToGrid w:val="0"/>
          <w:sz w:val="24"/>
          <w:lang w:val="zh-CN"/>
        </w:rPr>
        <w:t>有爆炸危险</w:t>
      </w:r>
      <w:r w:rsidRPr="002B55E9">
        <w:rPr>
          <w:rFonts w:hint="eastAsia"/>
          <w:bCs/>
          <w:snapToGrid w:val="0"/>
          <w:sz w:val="24"/>
          <w:lang w:val="zh-CN"/>
        </w:rPr>
        <w:t>、</w:t>
      </w:r>
      <w:r w:rsidRPr="002B55E9">
        <w:rPr>
          <w:bCs/>
          <w:snapToGrid w:val="0"/>
          <w:sz w:val="24"/>
          <w:lang w:val="zh-CN"/>
        </w:rPr>
        <w:t>生产危险区域的厂房</w:t>
      </w:r>
      <w:r w:rsidRPr="002B55E9">
        <w:rPr>
          <w:rFonts w:hint="eastAsia"/>
          <w:bCs/>
          <w:snapToGrid w:val="0"/>
          <w:sz w:val="24"/>
          <w:lang w:val="zh-CN"/>
        </w:rPr>
        <w:t>建设需满足防火防爆、采光、通风等要求，（</w:t>
      </w:r>
      <w:r w:rsidRPr="002B55E9">
        <w:rPr>
          <w:rFonts w:hint="eastAsia"/>
          <w:bCs/>
          <w:snapToGrid w:val="0"/>
          <w:sz w:val="24"/>
          <w:lang w:val="zh-CN"/>
        </w:rPr>
        <w:t>3</w:t>
      </w:r>
      <w:r w:rsidRPr="002B55E9">
        <w:rPr>
          <w:rFonts w:hint="eastAsia"/>
          <w:bCs/>
          <w:snapToGrid w:val="0"/>
          <w:sz w:val="24"/>
          <w:lang w:val="zh-CN"/>
        </w:rPr>
        <w:t>）</w:t>
      </w:r>
      <w:r w:rsidRPr="002B55E9">
        <w:rPr>
          <w:bCs/>
          <w:snapToGrid w:val="0"/>
          <w:sz w:val="24"/>
          <w:lang w:val="zh-CN"/>
        </w:rPr>
        <w:t>危险部位</w:t>
      </w:r>
      <w:r w:rsidRPr="002B55E9">
        <w:rPr>
          <w:rFonts w:hint="eastAsia"/>
          <w:bCs/>
          <w:snapToGrid w:val="0"/>
          <w:sz w:val="24"/>
          <w:lang w:val="zh-CN"/>
        </w:rPr>
        <w:t>设相应</w:t>
      </w:r>
      <w:r w:rsidRPr="002B55E9">
        <w:rPr>
          <w:bCs/>
          <w:snapToGrid w:val="0"/>
          <w:sz w:val="24"/>
          <w:lang w:val="zh-CN"/>
        </w:rPr>
        <w:t>标志</w:t>
      </w:r>
      <w:r w:rsidRPr="002B55E9">
        <w:rPr>
          <w:rFonts w:hint="eastAsia"/>
          <w:bCs/>
          <w:snapToGrid w:val="0"/>
          <w:sz w:val="24"/>
          <w:lang w:val="zh-CN"/>
        </w:rPr>
        <w:t>等；</w:t>
      </w:r>
    </w:p>
    <w:p w14:paraId="2CE793EE"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技术工艺和设备设施事故预防措施</w:t>
      </w:r>
      <w:r w:rsidRPr="002B55E9">
        <w:rPr>
          <w:rFonts w:hint="eastAsia"/>
          <w:bCs/>
          <w:snapToGrid w:val="0"/>
          <w:sz w:val="24"/>
        </w:rPr>
        <w:t>主要包括：（</w:t>
      </w:r>
      <w:r w:rsidRPr="002B55E9">
        <w:rPr>
          <w:rFonts w:hint="eastAsia"/>
          <w:bCs/>
          <w:snapToGrid w:val="0"/>
          <w:sz w:val="24"/>
        </w:rPr>
        <w:t>1</w:t>
      </w:r>
      <w:r w:rsidRPr="002B55E9">
        <w:rPr>
          <w:rFonts w:hint="eastAsia"/>
          <w:bCs/>
          <w:snapToGrid w:val="0"/>
          <w:sz w:val="24"/>
        </w:rPr>
        <w:t>）</w:t>
      </w:r>
      <w:r w:rsidRPr="002B55E9">
        <w:rPr>
          <w:bCs/>
          <w:snapToGrid w:val="0"/>
          <w:sz w:val="24"/>
          <w:lang w:val="zh-CN"/>
        </w:rPr>
        <w:t>产生危</w:t>
      </w:r>
      <w:r w:rsidRPr="002B55E9">
        <w:rPr>
          <w:rFonts w:hint="eastAsia"/>
          <w:bCs/>
          <w:snapToGrid w:val="0"/>
          <w:sz w:val="24"/>
          <w:lang w:val="zh-CN"/>
        </w:rPr>
        <w:t>险和有害因素的相关作业实现自控或隔离操作，（</w:t>
      </w:r>
      <w:r w:rsidRPr="002B55E9">
        <w:rPr>
          <w:rFonts w:hint="eastAsia"/>
          <w:bCs/>
          <w:snapToGrid w:val="0"/>
          <w:sz w:val="24"/>
          <w:lang w:val="zh-CN"/>
        </w:rPr>
        <w:t>2</w:t>
      </w:r>
      <w:r w:rsidRPr="002B55E9">
        <w:rPr>
          <w:rFonts w:hint="eastAsia"/>
          <w:bCs/>
          <w:snapToGrid w:val="0"/>
          <w:sz w:val="24"/>
          <w:lang w:val="zh-CN"/>
        </w:rPr>
        <w:t>）</w:t>
      </w:r>
      <w:r w:rsidRPr="002B55E9">
        <w:rPr>
          <w:bCs/>
          <w:snapToGrid w:val="0"/>
          <w:sz w:val="24"/>
          <w:lang w:val="zh-CN"/>
        </w:rPr>
        <w:t>生产设备</w:t>
      </w:r>
      <w:r w:rsidRPr="002B55E9">
        <w:rPr>
          <w:rFonts w:hint="eastAsia"/>
          <w:bCs/>
          <w:snapToGrid w:val="0"/>
          <w:sz w:val="24"/>
          <w:lang w:val="zh-CN"/>
        </w:rPr>
        <w:t>符合相应标准，（</w:t>
      </w:r>
      <w:r w:rsidRPr="002B55E9">
        <w:rPr>
          <w:rFonts w:hint="eastAsia"/>
          <w:bCs/>
          <w:snapToGrid w:val="0"/>
          <w:sz w:val="24"/>
          <w:lang w:val="zh-CN"/>
        </w:rPr>
        <w:t>3</w:t>
      </w:r>
      <w:r w:rsidRPr="002B55E9">
        <w:rPr>
          <w:rFonts w:hint="eastAsia"/>
          <w:bCs/>
          <w:snapToGrid w:val="0"/>
          <w:sz w:val="24"/>
          <w:lang w:val="zh-CN"/>
        </w:rPr>
        <w:t>）</w:t>
      </w:r>
      <w:r w:rsidRPr="002B55E9">
        <w:rPr>
          <w:bCs/>
          <w:snapToGrid w:val="0"/>
          <w:sz w:val="24"/>
          <w:lang w:val="zh-CN"/>
        </w:rPr>
        <w:t>易燃易爆化学危险物品</w:t>
      </w:r>
      <w:r w:rsidRPr="002B55E9">
        <w:rPr>
          <w:rFonts w:hint="eastAsia"/>
          <w:bCs/>
          <w:snapToGrid w:val="0"/>
          <w:sz w:val="24"/>
          <w:lang w:val="zh-CN"/>
        </w:rPr>
        <w:t>设置单独的事故排风系统、防倒灌措施等。</w:t>
      </w:r>
    </w:p>
    <w:p w14:paraId="4B22EA1A"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rPr>
        <w:t>危险化学品储存及使用过程事故预防措施</w:t>
      </w:r>
      <w:r w:rsidRPr="002B55E9">
        <w:rPr>
          <w:rFonts w:hint="eastAsia"/>
          <w:bCs/>
          <w:snapToGrid w:val="0"/>
          <w:sz w:val="24"/>
        </w:rPr>
        <w:t>主要包括：（</w:t>
      </w:r>
      <w:r w:rsidRPr="002B55E9">
        <w:rPr>
          <w:rFonts w:hint="eastAsia"/>
          <w:bCs/>
          <w:snapToGrid w:val="0"/>
          <w:sz w:val="24"/>
        </w:rPr>
        <w:t>1</w:t>
      </w:r>
      <w:r w:rsidRPr="002B55E9">
        <w:rPr>
          <w:rFonts w:hint="eastAsia"/>
          <w:bCs/>
          <w:snapToGrid w:val="0"/>
          <w:sz w:val="24"/>
        </w:rPr>
        <w:t>）</w:t>
      </w:r>
      <w:r w:rsidRPr="002B55E9">
        <w:rPr>
          <w:bCs/>
          <w:snapToGrid w:val="0"/>
          <w:sz w:val="24"/>
          <w:lang w:val="zh-CN"/>
        </w:rPr>
        <w:t>危险化学品分区、分类、分库贮存</w:t>
      </w:r>
      <w:r w:rsidRPr="002B55E9">
        <w:rPr>
          <w:rFonts w:hint="eastAsia"/>
          <w:bCs/>
          <w:snapToGrid w:val="0"/>
          <w:sz w:val="24"/>
          <w:lang w:val="zh-CN"/>
        </w:rPr>
        <w:t>，（</w:t>
      </w:r>
      <w:r w:rsidRPr="002B55E9">
        <w:rPr>
          <w:rFonts w:hint="eastAsia"/>
          <w:bCs/>
          <w:snapToGrid w:val="0"/>
          <w:sz w:val="24"/>
          <w:lang w:val="zh-CN"/>
        </w:rPr>
        <w:t>2</w:t>
      </w:r>
      <w:r w:rsidRPr="002B55E9">
        <w:rPr>
          <w:rFonts w:hint="eastAsia"/>
          <w:bCs/>
          <w:snapToGrid w:val="0"/>
          <w:sz w:val="24"/>
          <w:lang w:val="zh-CN"/>
        </w:rPr>
        <w:t>）</w:t>
      </w:r>
      <w:r w:rsidRPr="002B55E9">
        <w:rPr>
          <w:bCs/>
          <w:snapToGrid w:val="0"/>
          <w:sz w:val="24"/>
          <w:lang w:val="zh-CN"/>
        </w:rPr>
        <w:t>液体仓库应设置防止液体流散的设施</w:t>
      </w:r>
      <w:r w:rsidRPr="002B55E9">
        <w:rPr>
          <w:rFonts w:hint="eastAsia"/>
          <w:bCs/>
          <w:snapToGrid w:val="0"/>
          <w:sz w:val="24"/>
          <w:lang w:val="zh-CN"/>
        </w:rPr>
        <w:t>等。</w:t>
      </w:r>
    </w:p>
    <w:p w14:paraId="157BBCB7"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lang w:val="zh-CN"/>
        </w:rPr>
        <w:t>主要生产装置、设备、设施的布局事故预防措施</w:t>
      </w:r>
      <w:r w:rsidRPr="002B55E9">
        <w:rPr>
          <w:rFonts w:hint="eastAsia"/>
          <w:bCs/>
          <w:snapToGrid w:val="0"/>
          <w:sz w:val="24"/>
        </w:rPr>
        <w:t>主要包括：（</w:t>
      </w:r>
      <w:r w:rsidRPr="002B55E9">
        <w:rPr>
          <w:rFonts w:hint="eastAsia"/>
          <w:bCs/>
          <w:snapToGrid w:val="0"/>
          <w:sz w:val="24"/>
        </w:rPr>
        <w:t>1</w:t>
      </w:r>
      <w:r w:rsidRPr="002B55E9">
        <w:rPr>
          <w:rFonts w:hint="eastAsia"/>
          <w:bCs/>
          <w:snapToGrid w:val="0"/>
          <w:sz w:val="24"/>
        </w:rPr>
        <w:t>）</w:t>
      </w:r>
      <w:r w:rsidRPr="002B55E9">
        <w:rPr>
          <w:bCs/>
          <w:snapToGrid w:val="0"/>
          <w:sz w:val="24"/>
          <w:lang w:val="zh-CN"/>
        </w:rPr>
        <w:t>设备、管道、建（构）筑物之间保持一定的距离</w:t>
      </w:r>
      <w:r w:rsidRPr="002B55E9">
        <w:rPr>
          <w:rFonts w:hint="eastAsia"/>
          <w:bCs/>
          <w:snapToGrid w:val="0"/>
          <w:sz w:val="24"/>
          <w:lang w:val="zh-CN"/>
        </w:rPr>
        <w:t>，</w:t>
      </w:r>
      <w:r w:rsidRPr="002B55E9">
        <w:rPr>
          <w:bCs/>
          <w:snapToGrid w:val="0"/>
          <w:sz w:val="24"/>
          <w:lang w:val="zh-CN"/>
        </w:rPr>
        <w:t>发生坠落危险的部位，应配置便于</w:t>
      </w:r>
      <w:r w:rsidRPr="002B55E9">
        <w:rPr>
          <w:rFonts w:hint="eastAsia"/>
          <w:bCs/>
          <w:snapToGrid w:val="0"/>
          <w:sz w:val="24"/>
          <w:lang w:val="zh-CN"/>
        </w:rPr>
        <w:t>检查和维修的附属设施等。</w:t>
      </w:r>
    </w:p>
    <w:p w14:paraId="47038715"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风险应急措施主要包括</w:t>
      </w:r>
      <w:r w:rsidRPr="002B55E9">
        <w:rPr>
          <w:rFonts w:hint="eastAsia"/>
          <w:bCs/>
          <w:snapToGrid w:val="0"/>
          <w:sz w:val="24"/>
          <w:lang w:val="zh-CN"/>
        </w:rPr>
        <w:t>大气环境风险应急措施、</w:t>
      </w:r>
      <w:r w:rsidRPr="002B55E9">
        <w:rPr>
          <w:rFonts w:hint="eastAsia"/>
          <w:bCs/>
          <w:snapToGrid w:val="0"/>
          <w:sz w:val="24"/>
        </w:rPr>
        <w:t>事故废水环境风险应急措施。</w:t>
      </w:r>
    </w:p>
    <w:p w14:paraId="6D61F8DB" w14:textId="77777777" w:rsidR="00D170E5" w:rsidRPr="002B55E9" w:rsidRDefault="00EF27AD">
      <w:pPr>
        <w:spacing w:after="60" w:line="360" w:lineRule="auto"/>
        <w:ind w:firstLineChars="200" w:firstLine="480"/>
        <w:rPr>
          <w:rFonts w:hAnsi="宋体"/>
          <w:bCs/>
          <w:snapToGrid w:val="0"/>
          <w:sz w:val="24"/>
        </w:rPr>
      </w:pPr>
      <w:r w:rsidRPr="002B55E9">
        <w:rPr>
          <w:rFonts w:hint="eastAsia"/>
          <w:bCs/>
          <w:snapToGrid w:val="0"/>
          <w:sz w:val="24"/>
          <w:lang w:val="zh-CN"/>
        </w:rPr>
        <w:t>大气环境风险应急措施：主要为当发生危险物质泄漏事故时，采取切断和封堵措施，对已经发生泄漏的危险物质进行妥善处置，将人员疏散到安全区域。</w:t>
      </w:r>
      <w:r w:rsidRPr="002B55E9">
        <w:rPr>
          <w:rFonts w:hint="eastAsia"/>
          <w:bCs/>
          <w:snapToGrid w:val="0"/>
          <w:sz w:val="24"/>
        </w:rPr>
        <w:t>事故发生后</w:t>
      </w:r>
      <w:r w:rsidRPr="002B55E9">
        <w:rPr>
          <w:rFonts w:hAnsi="宋体" w:hint="eastAsia"/>
          <w:bCs/>
          <w:snapToGrid w:val="0"/>
          <w:sz w:val="24"/>
        </w:rPr>
        <w:t>定期进行有效地监控，设定紧急隔离危险区的距离等。</w:t>
      </w:r>
    </w:p>
    <w:p w14:paraId="6294EDA8"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事故废水环境风险应急措施：企业生产车间</w:t>
      </w:r>
      <w:r w:rsidRPr="002B55E9">
        <w:rPr>
          <w:bCs/>
          <w:snapToGrid w:val="0"/>
          <w:sz w:val="24"/>
        </w:rPr>
        <w:t>内</w:t>
      </w:r>
      <w:r w:rsidRPr="002B55E9">
        <w:rPr>
          <w:rFonts w:hint="eastAsia"/>
          <w:bCs/>
          <w:snapToGrid w:val="0"/>
          <w:sz w:val="24"/>
        </w:rPr>
        <w:t>设置有污水</w:t>
      </w:r>
      <w:r w:rsidRPr="002B55E9">
        <w:rPr>
          <w:bCs/>
          <w:snapToGrid w:val="0"/>
          <w:sz w:val="24"/>
        </w:rPr>
        <w:t>收集</w:t>
      </w:r>
      <w:r w:rsidRPr="002B55E9">
        <w:rPr>
          <w:rFonts w:hint="eastAsia"/>
          <w:bCs/>
          <w:snapToGrid w:val="0"/>
          <w:sz w:val="24"/>
        </w:rPr>
        <w:t>沟，罐区三外围设置有</w:t>
      </w:r>
      <w:r w:rsidRPr="002B55E9">
        <w:rPr>
          <w:rFonts w:hint="eastAsia"/>
          <w:bCs/>
          <w:snapToGrid w:val="0"/>
          <w:sz w:val="24"/>
        </w:rPr>
        <w:t>0.4</w:t>
      </w:r>
      <w:r w:rsidRPr="002B55E9">
        <w:rPr>
          <w:bCs/>
          <w:snapToGrid w:val="0"/>
          <w:sz w:val="24"/>
        </w:rPr>
        <w:t>m</w:t>
      </w:r>
      <w:r w:rsidRPr="002B55E9">
        <w:rPr>
          <w:bCs/>
          <w:snapToGrid w:val="0"/>
          <w:sz w:val="24"/>
        </w:rPr>
        <w:t>高</w:t>
      </w:r>
      <w:r w:rsidRPr="002B55E9">
        <w:rPr>
          <w:rFonts w:hint="eastAsia"/>
          <w:bCs/>
          <w:snapToGrid w:val="0"/>
          <w:sz w:val="24"/>
        </w:rPr>
        <w:t>的</w:t>
      </w:r>
      <w:r w:rsidRPr="002B55E9">
        <w:rPr>
          <w:bCs/>
          <w:snapToGrid w:val="0"/>
          <w:sz w:val="24"/>
        </w:rPr>
        <w:t>围堰，</w:t>
      </w:r>
      <w:r w:rsidRPr="002B55E9">
        <w:rPr>
          <w:rFonts w:hint="eastAsia"/>
          <w:bCs/>
          <w:snapToGrid w:val="0"/>
          <w:sz w:val="24"/>
        </w:rPr>
        <w:t>酒精</w:t>
      </w:r>
      <w:r w:rsidRPr="002B55E9">
        <w:rPr>
          <w:bCs/>
          <w:snapToGrid w:val="0"/>
          <w:sz w:val="24"/>
        </w:rPr>
        <w:t>罐区设有</w:t>
      </w:r>
      <w:r w:rsidRPr="002B55E9">
        <w:rPr>
          <w:rFonts w:hint="eastAsia"/>
          <w:bCs/>
          <w:snapToGrid w:val="0"/>
          <w:sz w:val="24"/>
        </w:rPr>
        <w:t>1</w:t>
      </w:r>
      <w:r w:rsidRPr="002B55E9">
        <w:rPr>
          <w:bCs/>
          <w:snapToGrid w:val="0"/>
          <w:sz w:val="24"/>
        </w:rPr>
        <w:t>m</w:t>
      </w:r>
      <w:r w:rsidRPr="002B55E9">
        <w:rPr>
          <w:bCs/>
          <w:snapToGrid w:val="0"/>
          <w:sz w:val="24"/>
        </w:rPr>
        <w:t>高围堰，</w:t>
      </w:r>
      <w:r w:rsidRPr="002B55E9">
        <w:rPr>
          <w:rFonts w:hint="eastAsia"/>
          <w:bCs/>
          <w:snapToGrid w:val="0"/>
          <w:sz w:val="24"/>
        </w:rPr>
        <w:t>发生</w:t>
      </w:r>
      <w:r w:rsidRPr="002B55E9">
        <w:rPr>
          <w:bCs/>
          <w:snapToGrid w:val="0"/>
          <w:sz w:val="24"/>
        </w:rPr>
        <w:t>事故时，车间</w:t>
      </w:r>
      <w:r w:rsidRPr="002B55E9">
        <w:rPr>
          <w:rFonts w:hint="eastAsia"/>
          <w:bCs/>
          <w:snapToGrid w:val="0"/>
          <w:sz w:val="24"/>
        </w:rPr>
        <w:t>内的</w:t>
      </w:r>
      <w:r w:rsidRPr="002B55E9">
        <w:rPr>
          <w:bCs/>
          <w:snapToGrid w:val="0"/>
          <w:sz w:val="24"/>
        </w:rPr>
        <w:t>事故废水可经过车间污水管网</w:t>
      </w:r>
      <w:r w:rsidRPr="002B55E9">
        <w:rPr>
          <w:rFonts w:hint="eastAsia"/>
          <w:bCs/>
          <w:snapToGrid w:val="0"/>
          <w:sz w:val="24"/>
        </w:rPr>
        <w:t>输送至</w:t>
      </w:r>
      <w:r w:rsidRPr="002B55E9">
        <w:rPr>
          <w:bCs/>
          <w:snapToGrid w:val="0"/>
          <w:sz w:val="24"/>
        </w:rPr>
        <w:t>应急事故池，</w:t>
      </w:r>
      <w:r w:rsidRPr="002B55E9">
        <w:rPr>
          <w:rFonts w:hint="eastAsia"/>
          <w:bCs/>
          <w:snapToGrid w:val="0"/>
          <w:sz w:val="24"/>
        </w:rPr>
        <w:t>罐区</w:t>
      </w:r>
      <w:r w:rsidRPr="002B55E9">
        <w:rPr>
          <w:bCs/>
          <w:snapToGrid w:val="0"/>
          <w:sz w:val="24"/>
        </w:rPr>
        <w:t>泄漏物料、消防水、</w:t>
      </w:r>
      <w:r w:rsidRPr="002B55E9">
        <w:rPr>
          <w:rFonts w:hint="eastAsia"/>
          <w:bCs/>
          <w:snapToGrid w:val="0"/>
          <w:sz w:val="24"/>
        </w:rPr>
        <w:t>受污染</w:t>
      </w:r>
      <w:r w:rsidRPr="002B55E9">
        <w:rPr>
          <w:bCs/>
          <w:snapToGrid w:val="0"/>
          <w:sz w:val="24"/>
        </w:rPr>
        <w:t>的雨水</w:t>
      </w:r>
      <w:r w:rsidRPr="002B55E9">
        <w:rPr>
          <w:rFonts w:hint="eastAsia"/>
          <w:bCs/>
          <w:snapToGrid w:val="0"/>
          <w:sz w:val="24"/>
        </w:rPr>
        <w:t>经</w:t>
      </w:r>
      <w:r w:rsidRPr="002B55E9">
        <w:rPr>
          <w:bCs/>
          <w:snapToGrid w:val="0"/>
          <w:sz w:val="24"/>
        </w:rPr>
        <w:t>罐区围堰</w:t>
      </w:r>
      <w:r w:rsidRPr="002B55E9">
        <w:rPr>
          <w:rFonts w:hint="eastAsia"/>
          <w:bCs/>
          <w:snapToGrid w:val="0"/>
          <w:sz w:val="24"/>
        </w:rPr>
        <w:t>收集后</w:t>
      </w:r>
      <w:r w:rsidRPr="002B55E9">
        <w:rPr>
          <w:bCs/>
          <w:snapToGrid w:val="0"/>
          <w:sz w:val="24"/>
        </w:rPr>
        <w:t>通过</w:t>
      </w:r>
      <w:r w:rsidRPr="002B55E9">
        <w:rPr>
          <w:rFonts w:hint="eastAsia"/>
          <w:bCs/>
          <w:snapToGrid w:val="0"/>
          <w:sz w:val="24"/>
        </w:rPr>
        <w:t>管道</w:t>
      </w:r>
      <w:r w:rsidRPr="002B55E9">
        <w:rPr>
          <w:rFonts w:hint="eastAsia"/>
          <w:bCs/>
          <w:snapToGrid w:val="0"/>
          <w:sz w:val="24"/>
        </w:rPr>
        <w:lastRenderedPageBreak/>
        <w:t>排入佛山市海天</w:t>
      </w:r>
      <w:r w:rsidRPr="002B55E9">
        <w:rPr>
          <w:bCs/>
          <w:snapToGrid w:val="0"/>
          <w:sz w:val="24"/>
        </w:rPr>
        <w:t>（</w:t>
      </w:r>
      <w:r w:rsidRPr="002B55E9">
        <w:rPr>
          <w:rFonts w:hint="eastAsia"/>
          <w:bCs/>
          <w:snapToGrid w:val="0"/>
          <w:sz w:val="24"/>
        </w:rPr>
        <w:t>武汉</w:t>
      </w:r>
      <w:r w:rsidRPr="002B55E9">
        <w:rPr>
          <w:bCs/>
          <w:snapToGrid w:val="0"/>
          <w:sz w:val="24"/>
        </w:rPr>
        <w:t>）</w:t>
      </w:r>
      <w:r w:rsidRPr="002B55E9">
        <w:rPr>
          <w:rFonts w:hint="eastAsia"/>
          <w:bCs/>
          <w:snapToGrid w:val="0"/>
          <w:sz w:val="24"/>
        </w:rPr>
        <w:t>调味</w:t>
      </w:r>
      <w:r w:rsidRPr="002B55E9">
        <w:rPr>
          <w:bCs/>
          <w:snapToGrid w:val="0"/>
          <w:sz w:val="24"/>
        </w:rPr>
        <w:t>食品有限公司应急事故水池暂存</w:t>
      </w:r>
      <w:r w:rsidRPr="002B55E9">
        <w:rPr>
          <w:rFonts w:hint="eastAsia"/>
          <w:bCs/>
          <w:snapToGrid w:val="0"/>
          <w:sz w:val="24"/>
        </w:rPr>
        <w:t>，经污水处理站处理达标后排放</w:t>
      </w:r>
      <w:r w:rsidRPr="002B55E9">
        <w:rPr>
          <w:bCs/>
          <w:snapToGrid w:val="0"/>
          <w:sz w:val="24"/>
        </w:rPr>
        <w:t>。</w:t>
      </w:r>
    </w:p>
    <w:p w14:paraId="066E28DE" w14:textId="77777777" w:rsidR="00D170E5" w:rsidRPr="002B55E9" w:rsidRDefault="00EF27AD">
      <w:pPr>
        <w:pStyle w:val="4"/>
        <w:rPr>
          <w:color w:val="auto"/>
        </w:rPr>
      </w:pPr>
      <w:r w:rsidRPr="002B55E9">
        <w:rPr>
          <w:rFonts w:hint="eastAsia"/>
          <w:color w:val="auto"/>
        </w:rPr>
        <w:t>环境风险评价</w:t>
      </w:r>
      <w:r w:rsidRPr="002B55E9">
        <w:rPr>
          <w:color w:val="auto"/>
        </w:rPr>
        <w:t>结论及建议</w:t>
      </w:r>
    </w:p>
    <w:p w14:paraId="4B22702A" w14:textId="77777777" w:rsidR="00D170E5" w:rsidRPr="002B55E9" w:rsidRDefault="00EF27AD">
      <w:pPr>
        <w:pStyle w:val="affff7"/>
        <w:snapToGrid w:val="0"/>
        <w:rPr>
          <w:lang w:val="zh-CN"/>
        </w:rPr>
      </w:pPr>
      <w:r w:rsidRPr="002B55E9">
        <w:rPr>
          <w:rFonts w:hint="eastAsia"/>
          <w:lang w:val="zh-CN"/>
        </w:rPr>
        <w:t>综上所述，尽管本项目风险事故影响范围有限，但要从建设、生产、贮运等各方面积极采取防护措施，是确保安全的根本措施。当出现事故时，要采取紧急的工程应急措施和社会应急措施，以控制事故和减少对环境造成的危害。</w:t>
      </w:r>
    </w:p>
    <w:p w14:paraId="0335D8D9" w14:textId="77777777" w:rsidR="00D170E5" w:rsidRPr="002B55E9" w:rsidRDefault="00D170E5">
      <w:pPr>
        <w:pStyle w:val="affff7"/>
        <w:snapToGrid w:val="0"/>
        <w:spacing w:after="0"/>
      </w:pPr>
    </w:p>
    <w:p w14:paraId="43CCAB4A" w14:textId="77777777" w:rsidR="00D170E5" w:rsidRPr="002B55E9" w:rsidRDefault="00D170E5">
      <w:pPr>
        <w:pStyle w:val="affff7"/>
        <w:sectPr w:rsidR="00D170E5" w:rsidRPr="002B55E9">
          <w:headerReference w:type="default" r:id="rId104"/>
          <w:pgSz w:w="11905" w:h="16838"/>
          <w:pgMar w:top="1134" w:right="1134" w:bottom="1134" w:left="1134" w:header="737" w:footer="624" w:gutter="0"/>
          <w:cols w:space="720"/>
          <w:docGrid w:linePitch="312"/>
        </w:sectPr>
      </w:pPr>
    </w:p>
    <w:p w14:paraId="1DD4010A" w14:textId="77777777" w:rsidR="00D170E5" w:rsidRPr="002B55E9" w:rsidRDefault="00EF27AD">
      <w:pPr>
        <w:pStyle w:val="2"/>
      </w:pPr>
      <w:bookmarkStart w:id="256" w:name="_Toc121711646"/>
      <w:bookmarkStart w:id="257" w:name="_Toc124238117"/>
      <w:bookmarkStart w:id="258" w:name="_Toc169616487"/>
      <w:bookmarkStart w:id="259" w:name="_Toc119309009"/>
      <w:bookmarkStart w:id="260" w:name="_Toc199925128"/>
      <w:r w:rsidRPr="002B55E9">
        <w:lastRenderedPageBreak/>
        <w:t>污染防治措施分析</w:t>
      </w:r>
      <w:bookmarkEnd w:id="256"/>
      <w:bookmarkEnd w:id="257"/>
      <w:bookmarkEnd w:id="258"/>
      <w:bookmarkEnd w:id="259"/>
      <w:bookmarkEnd w:id="260"/>
    </w:p>
    <w:p w14:paraId="6938AE3A" w14:textId="77777777" w:rsidR="00D170E5" w:rsidRPr="002B55E9" w:rsidRDefault="00EF27AD">
      <w:pPr>
        <w:pStyle w:val="3"/>
      </w:pPr>
      <w:bookmarkStart w:id="261" w:name="_Toc139440633"/>
      <w:bookmarkStart w:id="262" w:name="_Toc141528292"/>
      <w:bookmarkStart w:id="263" w:name="_Toc247186203"/>
      <w:bookmarkStart w:id="264" w:name="_Toc119309010"/>
      <w:r w:rsidRPr="002B55E9">
        <w:t>施工期污染防治措施</w:t>
      </w:r>
      <w:bookmarkEnd w:id="261"/>
      <w:bookmarkEnd w:id="262"/>
      <w:bookmarkEnd w:id="263"/>
      <w:bookmarkEnd w:id="264"/>
    </w:p>
    <w:p w14:paraId="3E80DFDB" w14:textId="77777777" w:rsidR="00D170E5" w:rsidRPr="002B55E9" w:rsidRDefault="00EF27AD">
      <w:pPr>
        <w:pStyle w:val="affff7"/>
      </w:pPr>
      <w:r w:rsidRPr="002B55E9">
        <w:t>施工扬尘污染是施工期间重要的污染因素，项目挖掘过程以及施工建设期间，不可避免地会产生一些地面扬尘，这些扬尘尽管是短期行为，但会对附近区域带来不利的影响，所以在施工期间，应采取积极的措施来尽量减少扬尘的产生，如喷水，保持湿润，及时外运等。施工过程应严格遵守</w:t>
      </w:r>
      <w:r w:rsidRPr="002B55E9">
        <w:t>HJ/T 393-2007</w:t>
      </w:r>
      <w:r w:rsidRPr="002B55E9">
        <w:t>《防治城市扬尘污染技术规范》的相关规定；在风力大于</w:t>
      </w:r>
      <w:r w:rsidRPr="002B55E9">
        <w:t>4</w:t>
      </w:r>
      <w:r w:rsidRPr="002B55E9">
        <w:t>级的情况下应停止土方作业，同时作业处应覆以防尘网。施工单位应负责实施下列减缓措施以防止施工扬尘污染</w:t>
      </w:r>
      <w:r w:rsidRPr="002B55E9">
        <w:rPr>
          <w:rFonts w:hint="eastAsia"/>
        </w:rPr>
        <w:t>。</w:t>
      </w:r>
    </w:p>
    <w:p w14:paraId="7118A6E7" w14:textId="77777777" w:rsidR="00D170E5" w:rsidRPr="002B55E9" w:rsidRDefault="00EF27AD">
      <w:pPr>
        <w:pStyle w:val="5"/>
      </w:pPr>
      <w:r w:rsidRPr="002B55E9">
        <w:rPr>
          <w:rFonts w:hint="eastAsia"/>
        </w:rPr>
        <w:t>依法申报</w:t>
      </w:r>
    </w:p>
    <w:p w14:paraId="59C7DDA8" w14:textId="77777777" w:rsidR="00D170E5" w:rsidRPr="002B55E9" w:rsidRDefault="00EF27AD">
      <w:pPr>
        <w:pStyle w:val="affff7"/>
      </w:pPr>
      <w:r w:rsidRPr="002B55E9">
        <w:rPr>
          <w:lang w:bidi="ne-NP"/>
        </w:rPr>
        <w:t>工程建设单位应按照《中华人民共和国环境影响评价法》和《建设项目环境保护管理条例》</w:t>
      </w:r>
      <w:r w:rsidRPr="002B55E9">
        <w:rPr>
          <w:rFonts w:hint="eastAsia"/>
          <w:lang w:bidi="ne-NP"/>
        </w:rPr>
        <w:t>等</w:t>
      </w:r>
      <w:r w:rsidRPr="002B55E9">
        <w:rPr>
          <w:lang w:bidi="ne-NP"/>
        </w:rPr>
        <w:t>的相关规定，向当地环境保护行政主管部门提供施工扬尘防治实施方案，并提请排污申报。工程建设单位应制定施工扬尘污染防治方案，根据施工工序编制施工期内扬尘污染防治任务书，实施扬尘防治全过程管理，责任到每个施工工序</w:t>
      </w:r>
      <w:r w:rsidRPr="002B55E9">
        <w:rPr>
          <w:rFonts w:hint="eastAsia"/>
          <w:lang w:bidi="ne-NP"/>
        </w:rPr>
        <w:t>。</w:t>
      </w:r>
    </w:p>
    <w:p w14:paraId="638F6C0B" w14:textId="77777777" w:rsidR="00D170E5" w:rsidRPr="002B55E9" w:rsidRDefault="00EF27AD">
      <w:pPr>
        <w:pStyle w:val="5"/>
      </w:pPr>
      <w:r w:rsidRPr="002B55E9">
        <w:rPr>
          <w:rFonts w:hint="eastAsia"/>
        </w:rPr>
        <w:t>扬尘污染防治</w:t>
      </w:r>
    </w:p>
    <w:p w14:paraId="1030BF0F" w14:textId="77777777" w:rsidR="00D170E5" w:rsidRPr="002B55E9" w:rsidRDefault="00EF27AD">
      <w:pPr>
        <w:pStyle w:val="affff7"/>
        <w:snapToGrid w:val="0"/>
        <w:spacing w:after="0"/>
        <w:rPr>
          <w:lang w:bidi="ne-NP"/>
        </w:rPr>
      </w:pPr>
      <w:r w:rsidRPr="002B55E9">
        <w:rPr>
          <w:rFonts w:hint="eastAsia"/>
          <w:lang w:bidi="ne-NP"/>
        </w:rPr>
        <w:t>施工期主要为清理场地、基础施工与装修过程中施工场地作业面的二次扬尘及粉状物料在搬运、使用过程中的二次扬尘，对之应采取以下防治措施：</w:t>
      </w:r>
    </w:p>
    <w:p w14:paraId="391E6CDB" w14:textId="77777777" w:rsidR="00D170E5" w:rsidRPr="002B55E9" w:rsidRDefault="00EF27AD">
      <w:pPr>
        <w:pStyle w:val="affff7"/>
        <w:snapToGrid w:val="0"/>
        <w:spacing w:after="0"/>
        <w:rPr>
          <w:lang w:bidi="ne-NP"/>
        </w:rPr>
      </w:pPr>
      <w:r w:rsidRPr="002B55E9">
        <w:rPr>
          <w:rFonts w:hint="eastAsia"/>
          <w:lang w:bidi="ne-NP"/>
        </w:rPr>
        <w:t>（</w:t>
      </w:r>
      <w:r w:rsidRPr="002B55E9">
        <w:rPr>
          <w:rFonts w:hint="eastAsia"/>
          <w:lang w:bidi="ne-NP"/>
        </w:rPr>
        <w:t>1</w:t>
      </w:r>
      <w:r w:rsidRPr="002B55E9">
        <w:rPr>
          <w:rFonts w:hint="eastAsia"/>
          <w:lang w:bidi="ne-NP"/>
        </w:rPr>
        <w:t>）晴天或无降水时，对施工场地易产生二次扬尘的作业面（点）和道路洒水，对进出车辆限速，以不产生二次扬尘为宜。</w:t>
      </w:r>
    </w:p>
    <w:p w14:paraId="5F42CF32" w14:textId="77777777" w:rsidR="00D170E5" w:rsidRPr="002B55E9" w:rsidRDefault="00EF27AD">
      <w:pPr>
        <w:pStyle w:val="affff7"/>
        <w:snapToGrid w:val="0"/>
        <w:spacing w:after="0"/>
        <w:rPr>
          <w:lang w:bidi="ne-NP"/>
        </w:rPr>
      </w:pPr>
      <w:r w:rsidRPr="002B55E9">
        <w:rPr>
          <w:rFonts w:hint="eastAsia"/>
          <w:lang w:bidi="ne-NP"/>
        </w:rPr>
        <w:t>（</w:t>
      </w:r>
      <w:r w:rsidRPr="002B55E9">
        <w:rPr>
          <w:rFonts w:hint="eastAsia"/>
          <w:lang w:bidi="ne-NP"/>
        </w:rPr>
        <w:t>2</w:t>
      </w:r>
      <w:r w:rsidRPr="002B55E9">
        <w:rPr>
          <w:rFonts w:hint="eastAsia"/>
          <w:lang w:bidi="ne-NP"/>
        </w:rPr>
        <w:t>）加强粉状物料转运、使用的管理，合理装卸、规范操作。</w:t>
      </w:r>
    </w:p>
    <w:p w14:paraId="21138F80" w14:textId="77777777" w:rsidR="00D170E5" w:rsidRPr="002B55E9" w:rsidRDefault="00EF27AD">
      <w:pPr>
        <w:pStyle w:val="affff7"/>
        <w:snapToGrid w:val="0"/>
        <w:spacing w:after="0"/>
        <w:rPr>
          <w:sz w:val="20"/>
          <w:lang w:bidi="ne-NP"/>
        </w:rPr>
      </w:pPr>
      <w:r w:rsidRPr="002B55E9">
        <w:rPr>
          <w:rFonts w:hint="eastAsia"/>
          <w:lang w:bidi="ne-NP"/>
        </w:rPr>
        <w:t>（</w:t>
      </w:r>
      <w:r w:rsidRPr="002B55E9">
        <w:rPr>
          <w:rFonts w:hint="eastAsia"/>
          <w:lang w:bidi="ne-NP"/>
        </w:rPr>
        <w:t>3</w:t>
      </w:r>
      <w:r w:rsidRPr="002B55E9">
        <w:rPr>
          <w:rFonts w:hint="eastAsia"/>
          <w:lang w:bidi="ne-NP"/>
        </w:rPr>
        <w:t>）设置施工卫生屏障或砖砌篱笆围墙。</w:t>
      </w:r>
    </w:p>
    <w:p w14:paraId="0674EF48" w14:textId="77777777" w:rsidR="00D170E5" w:rsidRPr="002B55E9" w:rsidRDefault="00EF27AD">
      <w:pPr>
        <w:pStyle w:val="4"/>
        <w:rPr>
          <w:color w:val="auto"/>
        </w:rPr>
      </w:pPr>
      <w:r w:rsidRPr="002B55E9">
        <w:rPr>
          <w:color w:val="auto"/>
        </w:rPr>
        <w:t>噪声和振动防治措施</w:t>
      </w:r>
    </w:p>
    <w:p w14:paraId="4F0C3F19" w14:textId="77777777" w:rsidR="00D170E5" w:rsidRPr="002B55E9" w:rsidRDefault="00EF27AD">
      <w:pPr>
        <w:pStyle w:val="affff7"/>
        <w:snapToGrid w:val="0"/>
      </w:pPr>
      <w:r w:rsidRPr="002B55E9">
        <w:t>本项目在工程建设期间建筑施工噪声对周围声环境质量有一定影响，根据《中华人民共和国环境噪声污染防治法》第</w:t>
      </w:r>
      <w:r w:rsidRPr="002B55E9">
        <w:t>28</w:t>
      </w:r>
      <w:r w:rsidRPr="002B55E9">
        <w:t>条规定</w:t>
      </w:r>
      <w:r w:rsidRPr="002B55E9">
        <w:t>“</w:t>
      </w:r>
      <w:r w:rsidRPr="002B55E9">
        <w:rPr>
          <w:rFonts w:hint="eastAsia"/>
        </w:rPr>
        <w:t>在城市市区范围内向周围生活环境排放建筑施工噪声的，应当符合国家规定的建筑施工场界环境噪声排放标准。</w:t>
      </w:r>
      <w:r w:rsidRPr="002B55E9">
        <w:t>”</w:t>
      </w:r>
      <w:r w:rsidRPr="002B55E9">
        <w:t>，尽管施工期产生噪声干扰无法完全避免，但还是可以使周围环境受到的噪声影响降低到一定程度。</w:t>
      </w:r>
    </w:p>
    <w:p w14:paraId="23DD86CA" w14:textId="77777777" w:rsidR="00D170E5" w:rsidRPr="002B55E9" w:rsidRDefault="00EF27AD">
      <w:pPr>
        <w:pStyle w:val="affff7"/>
        <w:snapToGrid w:val="0"/>
      </w:pPr>
      <w:r w:rsidRPr="002B55E9">
        <w:lastRenderedPageBreak/>
        <w:t>建筑施工由于各阶段使用的机械设备组合情况不同，所以噪声辐射影响的程度也不尽相同。在主体施工阶段，噪声特点是持续时间长，强度高。相比之下，装饰期间的噪声相对较弱，主要是一些噪声较强的木工机械可搬入已建成的主体建筑内进行操作。由于建筑施工是在露天作业，流动性和间歇性较强，对各生产环节中的噪声治理具有一定难度，下面结合施工特点，对一些重点噪声设备和声源，提出一些治理措施：</w:t>
      </w:r>
    </w:p>
    <w:p w14:paraId="0488ABA8" w14:textId="77777777" w:rsidR="00D170E5" w:rsidRPr="002B55E9" w:rsidRDefault="00EF27AD">
      <w:pPr>
        <w:pStyle w:val="affff7"/>
        <w:snapToGrid w:val="0"/>
      </w:pPr>
      <w:r w:rsidRPr="002B55E9">
        <w:t>（</w:t>
      </w:r>
      <w:r w:rsidRPr="002B55E9">
        <w:t>1</w:t>
      </w:r>
      <w:r w:rsidRPr="002B55E9">
        <w:t>）选用低噪声设备及施工工艺：采用低噪声施工机械设备和先进的施工技术是控制施工期噪声有效手段之一，如本工程拟采用静压、喷注式打桩机进行桩基工程，相对于冲击式打桩机，其噪声值可降低</w:t>
      </w:r>
      <w:r w:rsidRPr="002B55E9">
        <w:t>10~20dB</w:t>
      </w:r>
      <w:r w:rsidRPr="002B55E9">
        <w:t>（</w:t>
      </w:r>
      <w:r w:rsidRPr="002B55E9">
        <w:t>A</w:t>
      </w:r>
      <w:r w:rsidRPr="002B55E9">
        <w:t>）。其他施工机械进场应得到环保或有关部门的批准，对落后的施工设备进行淘汰。</w:t>
      </w:r>
    </w:p>
    <w:p w14:paraId="0A2E0F52" w14:textId="77777777" w:rsidR="00D170E5" w:rsidRPr="002B55E9" w:rsidRDefault="00EF27AD">
      <w:pPr>
        <w:pStyle w:val="affff7"/>
        <w:snapToGrid w:val="0"/>
      </w:pPr>
      <w:r w:rsidRPr="002B55E9">
        <w:t>（</w:t>
      </w:r>
      <w:r w:rsidRPr="002B55E9">
        <w:t>2</w:t>
      </w:r>
      <w:r w:rsidRPr="002B55E9">
        <w:t>）合理安排施工时间：施工单位合理安排好施工时间，除工程必须，并取得环保部门批准外，严禁在</w:t>
      </w:r>
      <w:r w:rsidRPr="002B55E9">
        <w:t>22</w:t>
      </w:r>
      <w:r w:rsidRPr="002B55E9">
        <w:t>：</w:t>
      </w:r>
      <w:r w:rsidRPr="002B55E9">
        <w:t>00~6</w:t>
      </w:r>
      <w:r w:rsidRPr="002B55E9">
        <w:t>：</w:t>
      </w:r>
      <w:r w:rsidRPr="002B55E9">
        <w:t>00</w:t>
      </w:r>
      <w:r w:rsidRPr="002B55E9">
        <w:t>期间施工。</w:t>
      </w:r>
    </w:p>
    <w:p w14:paraId="240E749D" w14:textId="77777777" w:rsidR="00D170E5" w:rsidRPr="002B55E9" w:rsidRDefault="00EF27AD">
      <w:pPr>
        <w:pStyle w:val="affff7"/>
        <w:snapToGrid w:val="0"/>
      </w:pPr>
      <w:r w:rsidRPr="002B55E9">
        <w:t>（</w:t>
      </w:r>
      <w:r w:rsidRPr="002B55E9">
        <w:t>3</w:t>
      </w:r>
      <w:r w:rsidRPr="002B55E9">
        <w:t>）合理布置噪声源设备，对固定的机械设备尽量入棚操作。</w:t>
      </w:r>
    </w:p>
    <w:p w14:paraId="599C6ADF" w14:textId="77777777" w:rsidR="00D170E5" w:rsidRPr="002B55E9" w:rsidRDefault="00EF27AD">
      <w:pPr>
        <w:pStyle w:val="affff7"/>
        <w:snapToGrid w:val="0"/>
      </w:pPr>
      <w:r w:rsidRPr="002B55E9">
        <w:t>（</w:t>
      </w:r>
      <w:r w:rsidRPr="002B55E9">
        <w:t>4</w:t>
      </w:r>
      <w:r w:rsidRPr="002B55E9">
        <w:t>）在施工过程中，采用商品混凝土和成品窗；大型建筑构件，应在施工现场外预制，然后运到施工现场再行安装。</w:t>
      </w:r>
    </w:p>
    <w:p w14:paraId="60BCE3EC" w14:textId="77777777" w:rsidR="00D170E5" w:rsidRPr="002B55E9" w:rsidRDefault="00EF27AD">
      <w:pPr>
        <w:pStyle w:val="affff7"/>
        <w:snapToGrid w:val="0"/>
      </w:pPr>
      <w:r w:rsidRPr="002B55E9">
        <w:t>（</w:t>
      </w:r>
      <w:r w:rsidRPr="002B55E9">
        <w:t>5</w:t>
      </w:r>
      <w:r w:rsidRPr="002B55E9">
        <w:t>）对于确需夜间施工的施工活动，施工单位必须事前报经武汉市人民政府批准，同时执行建筑施工噪声申报登记制度，在工程开工</w:t>
      </w:r>
      <w:r w:rsidRPr="002B55E9">
        <w:t>15</w:t>
      </w:r>
      <w:r w:rsidRPr="002B55E9">
        <w:t>日前填写《建筑施工场地噪声管理审批表》，向当地环境保护主管部门申报。</w:t>
      </w:r>
    </w:p>
    <w:p w14:paraId="4980B8B0" w14:textId="77777777" w:rsidR="00D170E5" w:rsidRPr="002B55E9" w:rsidRDefault="00EF27AD">
      <w:pPr>
        <w:pStyle w:val="affff7"/>
        <w:snapToGrid w:val="0"/>
      </w:pPr>
      <w:r w:rsidRPr="002B55E9">
        <w:t>（</w:t>
      </w:r>
      <w:r w:rsidRPr="002B55E9">
        <w:t>6</w:t>
      </w:r>
      <w:r w:rsidRPr="002B55E9">
        <w:t>）运输车辆进出施工现场控制或禁止鸣喇叭，减少交通噪声。</w:t>
      </w:r>
    </w:p>
    <w:p w14:paraId="6A3A1D9D" w14:textId="77777777" w:rsidR="00D170E5" w:rsidRPr="002B55E9" w:rsidRDefault="00EF27AD">
      <w:pPr>
        <w:pStyle w:val="affff7"/>
        <w:snapToGrid w:val="0"/>
      </w:pPr>
      <w:r w:rsidRPr="002B55E9">
        <w:t>（</w:t>
      </w:r>
      <w:r w:rsidRPr="002B55E9">
        <w:t>7</w:t>
      </w:r>
      <w:r w:rsidRPr="002B55E9">
        <w:t>）制定施工噪声控制备用应急方案，重视噪声源头的治理工作。当常规噪声控制措施不能满足要求，出现噪声扰民情况，应及时对产生噪声的设备和施工工艺停止施工，并检查噪声防治措施的可靠性。</w:t>
      </w:r>
    </w:p>
    <w:p w14:paraId="528EFC88" w14:textId="77777777" w:rsidR="00D170E5" w:rsidRPr="002B55E9" w:rsidRDefault="00EF27AD">
      <w:pPr>
        <w:pStyle w:val="affff7"/>
        <w:snapToGrid w:val="0"/>
      </w:pPr>
      <w:r w:rsidRPr="002B55E9">
        <w:t>总之，建设单位必须全面落实上述要求，施工各阶段的场界噪声符合《建筑施工场界环境噪声排放标准》</w:t>
      </w:r>
      <w:r w:rsidRPr="002B55E9">
        <w:rPr>
          <w:rFonts w:hint="eastAsia"/>
        </w:rPr>
        <w:t>（</w:t>
      </w:r>
      <w:r w:rsidRPr="002B55E9">
        <w:t>GB12523-2011</w:t>
      </w:r>
      <w:r w:rsidRPr="002B55E9">
        <w:rPr>
          <w:rFonts w:hint="eastAsia"/>
        </w:rPr>
        <w:t>）</w:t>
      </w:r>
      <w:r w:rsidRPr="002B55E9">
        <w:t>中的规定。</w:t>
      </w:r>
    </w:p>
    <w:p w14:paraId="527AC7D8" w14:textId="77777777" w:rsidR="00D170E5" w:rsidRPr="002B55E9" w:rsidRDefault="00EF27AD">
      <w:pPr>
        <w:pStyle w:val="4"/>
        <w:rPr>
          <w:color w:val="auto"/>
        </w:rPr>
      </w:pPr>
      <w:r w:rsidRPr="002B55E9">
        <w:rPr>
          <w:color w:val="auto"/>
        </w:rPr>
        <w:t>污水防治措施</w:t>
      </w:r>
    </w:p>
    <w:p w14:paraId="4B518C86" w14:textId="77777777" w:rsidR="00D170E5" w:rsidRPr="002B55E9" w:rsidRDefault="00EF27AD">
      <w:pPr>
        <w:pStyle w:val="affff7"/>
        <w:snapToGrid w:val="0"/>
        <w:spacing w:after="0"/>
      </w:pPr>
      <w:r w:rsidRPr="002B55E9">
        <w:t>施工期废水主要有施工废水和生活污水，施工单位将采取下列减缓措施，以使施工活动对水环境的影响减少到最小限度。</w:t>
      </w:r>
    </w:p>
    <w:p w14:paraId="1288CF78" w14:textId="77777777" w:rsidR="00D170E5" w:rsidRPr="002B55E9" w:rsidRDefault="00EF27AD">
      <w:pPr>
        <w:pStyle w:val="affff7"/>
        <w:snapToGrid w:val="0"/>
        <w:spacing w:after="0"/>
      </w:pPr>
      <w:r w:rsidRPr="002B55E9">
        <w:t>（</w:t>
      </w:r>
      <w:r w:rsidRPr="002B55E9">
        <w:t>1</w:t>
      </w:r>
      <w:r w:rsidRPr="002B55E9">
        <w:t>）严禁施工废水乱排、乱流。</w:t>
      </w:r>
    </w:p>
    <w:p w14:paraId="258BD974" w14:textId="77777777" w:rsidR="00D170E5" w:rsidRPr="002B55E9" w:rsidRDefault="00EF27AD">
      <w:pPr>
        <w:pStyle w:val="affff7"/>
        <w:snapToGrid w:val="0"/>
        <w:spacing w:after="0"/>
      </w:pPr>
      <w:r w:rsidRPr="002B55E9">
        <w:t>（</w:t>
      </w:r>
      <w:r w:rsidRPr="002B55E9">
        <w:t>2</w:t>
      </w:r>
      <w:r w:rsidRPr="002B55E9">
        <w:t>）施工场地应及时清理，施工废水由于</w:t>
      </w:r>
      <w:r w:rsidRPr="002B55E9">
        <w:t>SS</w:t>
      </w:r>
      <w:r w:rsidRPr="002B55E9">
        <w:t>含量较高，必须经临时沉砂池处理后进行回用，主要用于场地周边道路及绿化洒水。</w:t>
      </w:r>
    </w:p>
    <w:p w14:paraId="01220D16" w14:textId="77777777" w:rsidR="00D170E5" w:rsidRPr="002B55E9" w:rsidRDefault="00EF27AD">
      <w:pPr>
        <w:pStyle w:val="affff7"/>
        <w:snapToGrid w:val="0"/>
        <w:spacing w:after="0"/>
      </w:pPr>
      <w:r w:rsidRPr="002B55E9">
        <w:lastRenderedPageBreak/>
        <w:t>（</w:t>
      </w:r>
      <w:r w:rsidRPr="002B55E9">
        <w:t>3</w:t>
      </w:r>
      <w:r w:rsidRPr="002B55E9">
        <w:t>）对于地基开挖后汇集的雨水，基坑内应每隔</w:t>
      </w:r>
      <w:r w:rsidRPr="002B55E9">
        <w:t>50m</w:t>
      </w:r>
      <w:r w:rsidRPr="002B55E9">
        <w:t>左右设一集水井，采用离心泵抽排，也可作为施工期道路浇洒、车辆清洗以及抑尘用水。若基坑发生渗水现象，建设单位应及时进行封堵，渗水可通过离心泵抽排。</w:t>
      </w:r>
    </w:p>
    <w:p w14:paraId="125CC595" w14:textId="77777777" w:rsidR="00D170E5" w:rsidRPr="002B55E9" w:rsidRDefault="00EF27AD">
      <w:pPr>
        <w:pStyle w:val="affff7"/>
        <w:snapToGrid w:val="0"/>
        <w:spacing w:after="0"/>
      </w:pPr>
      <w:r w:rsidRPr="002B55E9">
        <w:t>（</w:t>
      </w:r>
      <w:r w:rsidRPr="002B55E9">
        <w:t>4</w:t>
      </w:r>
      <w:r w:rsidRPr="002B55E9">
        <w:t>）施工期间产生的溢流泥水，可修建临时导流渠进行收集，作为配料用水回用。</w:t>
      </w:r>
    </w:p>
    <w:p w14:paraId="0C14AEA3" w14:textId="77777777" w:rsidR="00D170E5" w:rsidRPr="002B55E9" w:rsidRDefault="00EF27AD">
      <w:pPr>
        <w:pStyle w:val="affff7"/>
        <w:snapToGrid w:val="0"/>
        <w:spacing w:after="0"/>
      </w:pPr>
      <w:r w:rsidRPr="002B55E9">
        <w:t>（</w:t>
      </w:r>
      <w:r w:rsidRPr="002B55E9">
        <w:t>5</w:t>
      </w:r>
      <w:r w:rsidRPr="002B55E9">
        <w:t>）施工期生活废水经</w:t>
      </w:r>
      <w:r w:rsidRPr="002B55E9">
        <w:rPr>
          <w:rFonts w:hint="eastAsia"/>
        </w:rPr>
        <w:t>临时</w:t>
      </w:r>
      <w:r w:rsidRPr="002B55E9">
        <w:t>化粪池处理后接入市政污水管网。</w:t>
      </w:r>
    </w:p>
    <w:p w14:paraId="107C6977" w14:textId="77777777" w:rsidR="00D170E5" w:rsidRPr="002B55E9" w:rsidRDefault="00EF27AD">
      <w:pPr>
        <w:pStyle w:val="affff7"/>
        <w:snapToGrid w:val="0"/>
        <w:spacing w:after="0"/>
      </w:pPr>
      <w:r w:rsidRPr="002B55E9">
        <w:t>（</w:t>
      </w:r>
      <w:r w:rsidRPr="002B55E9">
        <w:t>6</w:t>
      </w:r>
      <w:r w:rsidRPr="002B55E9">
        <w:t>）施工单位除加强对生产废水和生活污水的排放管理外，应对员工进行基本环保知识培训，提高环保意识和责任。</w:t>
      </w:r>
    </w:p>
    <w:p w14:paraId="0FE6A594" w14:textId="77777777" w:rsidR="00D170E5" w:rsidRPr="002B55E9" w:rsidRDefault="00EF27AD">
      <w:pPr>
        <w:pStyle w:val="4"/>
        <w:rPr>
          <w:color w:val="auto"/>
        </w:rPr>
      </w:pPr>
      <w:r w:rsidRPr="002B55E9">
        <w:rPr>
          <w:color w:val="auto"/>
        </w:rPr>
        <w:t>施工</w:t>
      </w:r>
      <w:r w:rsidRPr="002B55E9">
        <w:rPr>
          <w:rFonts w:hint="eastAsia"/>
          <w:color w:val="auto"/>
        </w:rPr>
        <w:t>固废</w:t>
      </w:r>
      <w:r w:rsidRPr="002B55E9">
        <w:rPr>
          <w:color w:val="auto"/>
        </w:rPr>
        <w:t>防治措施</w:t>
      </w:r>
    </w:p>
    <w:p w14:paraId="1E6AE876" w14:textId="77777777" w:rsidR="00D170E5" w:rsidRPr="002B55E9" w:rsidRDefault="00EF27AD">
      <w:pPr>
        <w:pStyle w:val="affff7"/>
      </w:pPr>
      <w:r w:rsidRPr="002B55E9">
        <w:rPr>
          <w:rFonts w:hint="eastAsia"/>
        </w:rPr>
        <w:t>拟建项目施工期固废主要为土方，富余</w:t>
      </w:r>
      <w:r w:rsidRPr="002B55E9">
        <w:t>土方的表层土</w:t>
      </w:r>
      <w:r w:rsidRPr="002B55E9">
        <w:rPr>
          <w:rFonts w:hint="eastAsia"/>
        </w:rPr>
        <w:t>优先</w:t>
      </w:r>
      <w:r w:rsidRPr="002B55E9">
        <w:t>用于项目绿化、造景，其余土方有施工单位</w:t>
      </w:r>
      <w:r w:rsidRPr="002B55E9">
        <w:rPr>
          <w:rFonts w:hint="eastAsia"/>
        </w:rPr>
        <w:t>按</w:t>
      </w:r>
      <w:r w:rsidRPr="002B55E9">
        <w:t>要求运至政府</w:t>
      </w:r>
      <w:r w:rsidRPr="002B55E9">
        <w:rPr>
          <w:rFonts w:hint="eastAsia"/>
        </w:rPr>
        <w:t>指定</w:t>
      </w:r>
      <w:r w:rsidRPr="002B55E9">
        <w:t>场所</w:t>
      </w:r>
      <w:r w:rsidRPr="002B55E9">
        <w:rPr>
          <w:rFonts w:hint="eastAsia"/>
        </w:rPr>
        <w:t>。</w:t>
      </w:r>
    </w:p>
    <w:p w14:paraId="0664AFDB" w14:textId="77777777" w:rsidR="00D170E5" w:rsidRPr="002B55E9" w:rsidRDefault="00EF27AD">
      <w:pPr>
        <w:pStyle w:val="affff7"/>
      </w:pPr>
      <w:r w:rsidRPr="002B55E9">
        <w:rPr>
          <w:rFonts w:hint="eastAsia"/>
        </w:rPr>
        <w:t>在进行主体结构及装修阶段的施工垃圾，主要为建筑材料的废边角作料等。对这部分施工垃圾应集中收集后由市政环卫部门统一处理，分类进行综合利用和妥善处置，不得造成二次污染</w:t>
      </w:r>
      <w:r w:rsidRPr="002B55E9">
        <w:t>。</w:t>
      </w:r>
    </w:p>
    <w:p w14:paraId="5FBB0A22" w14:textId="77777777" w:rsidR="00D170E5" w:rsidRPr="002B55E9" w:rsidRDefault="00EF27AD">
      <w:pPr>
        <w:pStyle w:val="3"/>
      </w:pPr>
      <w:bookmarkStart w:id="265" w:name="_Toc119309011"/>
      <w:bookmarkStart w:id="266" w:name="_Toc139440634"/>
      <w:bookmarkStart w:id="267" w:name="_Toc141528293"/>
      <w:r w:rsidRPr="002B55E9">
        <w:t>运营期</w:t>
      </w:r>
      <w:r w:rsidRPr="002B55E9">
        <w:rPr>
          <w:rFonts w:hint="eastAsia"/>
        </w:rPr>
        <w:t>大气污染防治措施</w:t>
      </w:r>
      <w:bookmarkEnd w:id="265"/>
    </w:p>
    <w:p w14:paraId="2580AAEF" w14:textId="77777777" w:rsidR="00D170E5" w:rsidRPr="002B55E9" w:rsidRDefault="00EF27AD">
      <w:pPr>
        <w:pStyle w:val="4"/>
        <w:rPr>
          <w:color w:val="auto"/>
        </w:rPr>
      </w:pPr>
      <w:r w:rsidRPr="002B55E9">
        <w:rPr>
          <w:rFonts w:hint="eastAsia"/>
          <w:color w:val="auto"/>
        </w:rPr>
        <w:t>废气集中收集处理情况概述</w:t>
      </w:r>
    </w:p>
    <w:p w14:paraId="542A5642" w14:textId="77777777" w:rsidR="00D170E5" w:rsidRPr="002B55E9" w:rsidRDefault="00EF27AD">
      <w:pPr>
        <w:pStyle w:val="aa"/>
        <w:snapToGrid w:val="0"/>
      </w:pPr>
      <w:r w:rsidRPr="002B55E9">
        <w:rPr>
          <w:rFonts w:hint="eastAsia"/>
        </w:rPr>
        <w:t>对照《排污许可证申请与核发技术规范</w:t>
      </w:r>
      <w:r w:rsidRPr="002B55E9">
        <w:rPr>
          <w:rFonts w:hint="eastAsia"/>
        </w:rPr>
        <w:t xml:space="preserve"> </w:t>
      </w:r>
      <w:r w:rsidRPr="002B55E9">
        <w:rPr>
          <w:rFonts w:hint="eastAsia"/>
        </w:rPr>
        <w:t>食品制造工业—调味品、发酵制品制造工业》（</w:t>
      </w:r>
      <w:r w:rsidRPr="002B55E9">
        <w:rPr>
          <w:rFonts w:hint="eastAsia"/>
        </w:rPr>
        <w:t>H</w:t>
      </w:r>
      <w:r w:rsidRPr="002B55E9">
        <w:t>J1030.2-2019</w:t>
      </w:r>
      <w:r w:rsidRPr="002B55E9">
        <w:rPr>
          <w:rFonts w:hint="eastAsia"/>
        </w:rPr>
        <w:t>），项目采取的废气环保设施可行性具体见下表：</w:t>
      </w:r>
    </w:p>
    <w:p w14:paraId="773C0E18" w14:textId="77777777" w:rsidR="00D170E5" w:rsidRPr="002B55E9" w:rsidRDefault="00EF27AD">
      <w:pPr>
        <w:pStyle w:val="aa"/>
        <w:spacing w:line="240" w:lineRule="auto"/>
        <w:ind w:firstLine="0"/>
        <w:jc w:val="center"/>
        <w:rPr>
          <w:rFonts w:eastAsia="黑体"/>
          <w:b/>
        </w:rPr>
      </w:pPr>
      <w:r w:rsidRPr="002B55E9">
        <w:rPr>
          <w:rFonts w:eastAsia="黑体"/>
          <w:b/>
        </w:rPr>
        <w:t>表</w:t>
      </w:r>
      <w:r w:rsidRPr="002B55E9">
        <w:rPr>
          <w:rFonts w:eastAsia="黑体" w:hint="eastAsia"/>
          <w:b/>
        </w:rPr>
        <w:t>7-2</w:t>
      </w:r>
      <w:r w:rsidRPr="002B55E9">
        <w:rPr>
          <w:rFonts w:eastAsia="黑体"/>
          <w:b/>
        </w:rPr>
        <w:t xml:space="preserve">-1  </w:t>
      </w:r>
      <w:r w:rsidRPr="002B55E9">
        <w:rPr>
          <w:rFonts w:eastAsia="黑体"/>
          <w:b/>
        </w:rPr>
        <w:t>拟建项目各类废气产生来源及采取的环保措施一览表</w:t>
      </w:r>
    </w:p>
    <w:tbl>
      <w:tblPr>
        <w:tblW w:w="963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50"/>
        <w:gridCol w:w="1550"/>
        <w:gridCol w:w="1128"/>
        <w:gridCol w:w="2396"/>
        <w:gridCol w:w="987"/>
        <w:gridCol w:w="927"/>
        <w:gridCol w:w="1274"/>
        <w:gridCol w:w="925"/>
      </w:tblGrid>
      <w:tr w:rsidR="00C60999" w:rsidRPr="002B55E9" w14:paraId="7F459F92" w14:textId="77777777">
        <w:trPr>
          <w:trHeight w:val="170"/>
          <w:jc w:val="center"/>
        </w:trPr>
        <w:tc>
          <w:tcPr>
            <w:tcW w:w="450" w:type="dxa"/>
            <w:tcBorders>
              <w:bottom w:val="single" w:sz="12" w:space="0" w:color="auto"/>
            </w:tcBorders>
            <w:vAlign w:val="center"/>
          </w:tcPr>
          <w:p w14:paraId="55F5B30B" w14:textId="77777777" w:rsidR="00D170E5" w:rsidRPr="002B55E9" w:rsidRDefault="00EF27AD">
            <w:pPr>
              <w:jc w:val="center"/>
              <w:rPr>
                <w:sz w:val="18"/>
                <w:szCs w:val="18"/>
              </w:rPr>
            </w:pPr>
            <w:r w:rsidRPr="002B55E9">
              <w:rPr>
                <w:sz w:val="18"/>
                <w:szCs w:val="18"/>
              </w:rPr>
              <w:t>序号</w:t>
            </w:r>
          </w:p>
        </w:tc>
        <w:tc>
          <w:tcPr>
            <w:tcW w:w="1550" w:type="dxa"/>
            <w:tcBorders>
              <w:bottom w:val="single" w:sz="12" w:space="0" w:color="auto"/>
            </w:tcBorders>
            <w:vAlign w:val="center"/>
          </w:tcPr>
          <w:p w14:paraId="4DE27E71" w14:textId="77777777" w:rsidR="00D170E5" w:rsidRPr="002B55E9" w:rsidRDefault="00EF27AD">
            <w:pPr>
              <w:jc w:val="center"/>
              <w:rPr>
                <w:sz w:val="18"/>
                <w:szCs w:val="18"/>
              </w:rPr>
            </w:pPr>
            <w:r w:rsidRPr="002B55E9">
              <w:rPr>
                <w:sz w:val="18"/>
                <w:szCs w:val="18"/>
              </w:rPr>
              <w:t>产排污环节</w:t>
            </w:r>
          </w:p>
        </w:tc>
        <w:tc>
          <w:tcPr>
            <w:tcW w:w="1128" w:type="dxa"/>
            <w:tcBorders>
              <w:bottom w:val="single" w:sz="12" w:space="0" w:color="auto"/>
            </w:tcBorders>
            <w:vAlign w:val="center"/>
          </w:tcPr>
          <w:p w14:paraId="05199FE7" w14:textId="77777777" w:rsidR="00D170E5" w:rsidRPr="002B55E9" w:rsidRDefault="00EF27AD">
            <w:pPr>
              <w:jc w:val="center"/>
              <w:rPr>
                <w:sz w:val="18"/>
                <w:szCs w:val="18"/>
              </w:rPr>
            </w:pPr>
            <w:r w:rsidRPr="002B55E9">
              <w:rPr>
                <w:sz w:val="18"/>
                <w:szCs w:val="18"/>
              </w:rPr>
              <w:t>污染物</w:t>
            </w:r>
          </w:p>
        </w:tc>
        <w:tc>
          <w:tcPr>
            <w:tcW w:w="2396" w:type="dxa"/>
            <w:tcBorders>
              <w:bottom w:val="single" w:sz="12" w:space="0" w:color="auto"/>
            </w:tcBorders>
            <w:vAlign w:val="center"/>
          </w:tcPr>
          <w:p w14:paraId="43181525" w14:textId="77777777" w:rsidR="00D170E5" w:rsidRPr="002B55E9" w:rsidRDefault="00EF27AD">
            <w:pPr>
              <w:jc w:val="center"/>
              <w:rPr>
                <w:sz w:val="18"/>
                <w:szCs w:val="18"/>
              </w:rPr>
            </w:pPr>
            <w:r w:rsidRPr="002B55E9">
              <w:rPr>
                <w:sz w:val="18"/>
                <w:szCs w:val="18"/>
              </w:rPr>
              <w:t>本项目拟采取措施</w:t>
            </w:r>
          </w:p>
        </w:tc>
        <w:tc>
          <w:tcPr>
            <w:tcW w:w="987" w:type="dxa"/>
            <w:tcBorders>
              <w:bottom w:val="single" w:sz="12" w:space="0" w:color="auto"/>
            </w:tcBorders>
            <w:vAlign w:val="center"/>
          </w:tcPr>
          <w:p w14:paraId="0DEFF713" w14:textId="77777777" w:rsidR="00D170E5" w:rsidRPr="002B55E9" w:rsidRDefault="00EF27AD">
            <w:pPr>
              <w:jc w:val="center"/>
              <w:rPr>
                <w:sz w:val="18"/>
                <w:szCs w:val="18"/>
              </w:rPr>
            </w:pPr>
            <w:r w:rsidRPr="002B55E9">
              <w:rPr>
                <w:rFonts w:hint="eastAsia"/>
                <w:sz w:val="18"/>
                <w:szCs w:val="18"/>
              </w:rPr>
              <w:t>收集效率</w:t>
            </w:r>
          </w:p>
        </w:tc>
        <w:tc>
          <w:tcPr>
            <w:tcW w:w="927" w:type="dxa"/>
            <w:tcBorders>
              <w:bottom w:val="single" w:sz="12" w:space="0" w:color="auto"/>
            </w:tcBorders>
            <w:vAlign w:val="center"/>
          </w:tcPr>
          <w:p w14:paraId="49E64415" w14:textId="77777777" w:rsidR="00D170E5" w:rsidRPr="002B55E9" w:rsidRDefault="00EF27AD">
            <w:pPr>
              <w:jc w:val="center"/>
              <w:rPr>
                <w:sz w:val="18"/>
                <w:szCs w:val="18"/>
              </w:rPr>
            </w:pPr>
            <w:r w:rsidRPr="002B55E9">
              <w:rPr>
                <w:rFonts w:hint="eastAsia"/>
                <w:sz w:val="18"/>
                <w:szCs w:val="18"/>
              </w:rPr>
              <w:t>处理效率</w:t>
            </w:r>
          </w:p>
        </w:tc>
        <w:tc>
          <w:tcPr>
            <w:tcW w:w="1274" w:type="dxa"/>
            <w:tcBorders>
              <w:bottom w:val="single" w:sz="12" w:space="0" w:color="auto"/>
            </w:tcBorders>
            <w:vAlign w:val="center"/>
          </w:tcPr>
          <w:p w14:paraId="21CEAB9A" w14:textId="77777777" w:rsidR="00D170E5" w:rsidRPr="002B55E9" w:rsidRDefault="00EF27AD">
            <w:pPr>
              <w:jc w:val="center"/>
              <w:rPr>
                <w:sz w:val="18"/>
                <w:szCs w:val="18"/>
              </w:rPr>
            </w:pPr>
            <w:r w:rsidRPr="002B55E9">
              <w:rPr>
                <w:sz w:val="18"/>
                <w:szCs w:val="18"/>
              </w:rPr>
              <w:t>“</w:t>
            </w:r>
            <w:r w:rsidRPr="002B55E9">
              <w:rPr>
                <w:sz w:val="18"/>
                <w:szCs w:val="18"/>
              </w:rPr>
              <w:t>核发规范</w:t>
            </w:r>
            <w:r w:rsidRPr="002B55E9">
              <w:rPr>
                <w:sz w:val="18"/>
                <w:szCs w:val="18"/>
              </w:rPr>
              <w:t>”</w:t>
            </w:r>
            <w:r w:rsidRPr="002B55E9">
              <w:rPr>
                <w:sz w:val="18"/>
                <w:szCs w:val="18"/>
              </w:rPr>
              <w:t>可行技术</w:t>
            </w:r>
          </w:p>
        </w:tc>
        <w:tc>
          <w:tcPr>
            <w:tcW w:w="925" w:type="dxa"/>
            <w:tcBorders>
              <w:bottom w:val="single" w:sz="12" w:space="0" w:color="auto"/>
            </w:tcBorders>
            <w:vAlign w:val="center"/>
          </w:tcPr>
          <w:p w14:paraId="109A01D9" w14:textId="77777777" w:rsidR="00D170E5" w:rsidRPr="002B55E9" w:rsidRDefault="00EF27AD">
            <w:pPr>
              <w:jc w:val="center"/>
              <w:rPr>
                <w:sz w:val="18"/>
                <w:szCs w:val="18"/>
              </w:rPr>
            </w:pPr>
            <w:r w:rsidRPr="002B55E9">
              <w:rPr>
                <w:sz w:val="18"/>
                <w:szCs w:val="18"/>
              </w:rPr>
              <w:t>是否为可行技术</w:t>
            </w:r>
          </w:p>
        </w:tc>
      </w:tr>
      <w:tr w:rsidR="00C60999" w:rsidRPr="002B55E9" w14:paraId="1C143E4F" w14:textId="77777777">
        <w:trPr>
          <w:trHeight w:val="170"/>
          <w:jc w:val="center"/>
        </w:trPr>
        <w:tc>
          <w:tcPr>
            <w:tcW w:w="450" w:type="dxa"/>
            <w:tcBorders>
              <w:top w:val="single" w:sz="12" w:space="0" w:color="auto"/>
            </w:tcBorders>
            <w:vAlign w:val="center"/>
          </w:tcPr>
          <w:p w14:paraId="2D0797A8" w14:textId="77777777" w:rsidR="00D170E5" w:rsidRPr="002B55E9" w:rsidRDefault="00EF27AD">
            <w:pPr>
              <w:jc w:val="center"/>
              <w:rPr>
                <w:sz w:val="18"/>
                <w:szCs w:val="18"/>
              </w:rPr>
            </w:pPr>
            <w:r w:rsidRPr="002B55E9">
              <w:rPr>
                <w:sz w:val="18"/>
                <w:szCs w:val="18"/>
              </w:rPr>
              <w:t>1</w:t>
            </w:r>
          </w:p>
        </w:tc>
        <w:tc>
          <w:tcPr>
            <w:tcW w:w="1550" w:type="dxa"/>
            <w:tcBorders>
              <w:top w:val="single" w:sz="12" w:space="0" w:color="auto"/>
            </w:tcBorders>
            <w:vAlign w:val="center"/>
          </w:tcPr>
          <w:p w14:paraId="1751C600" w14:textId="77777777" w:rsidR="00D170E5" w:rsidRPr="002B55E9" w:rsidRDefault="00EF27AD">
            <w:pPr>
              <w:pStyle w:val="affff6"/>
              <w:spacing w:line="0" w:lineRule="atLeast"/>
              <w:rPr>
                <w:bCs/>
                <w:szCs w:val="18"/>
              </w:rPr>
            </w:pPr>
            <w:r w:rsidRPr="002B55E9">
              <w:rPr>
                <w:rFonts w:hint="eastAsia"/>
                <w:bCs/>
                <w:szCs w:val="18"/>
              </w:rPr>
              <w:t>香辛料破碎</w:t>
            </w:r>
          </w:p>
        </w:tc>
        <w:tc>
          <w:tcPr>
            <w:tcW w:w="1128" w:type="dxa"/>
            <w:tcBorders>
              <w:top w:val="single" w:sz="12" w:space="0" w:color="auto"/>
            </w:tcBorders>
            <w:vAlign w:val="center"/>
          </w:tcPr>
          <w:p w14:paraId="3725A9CB" w14:textId="77777777" w:rsidR="00D170E5" w:rsidRPr="002B55E9" w:rsidRDefault="00EF27AD">
            <w:pPr>
              <w:jc w:val="center"/>
              <w:rPr>
                <w:sz w:val="18"/>
                <w:szCs w:val="18"/>
              </w:rPr>
            </w:pPr>
            <w:r w:rsidRPr="002B55E9">
              <w:rPr>
                <w:rFonts w:hint="eastAsia"/>
                <w:sz w:val="18"/>
                <w:szCs w:val="18"/>
              </w:rPr>
              <w:t>颗粒物</w:t>
            </w:r>
          </w:p>
        </w:tc>
        <w:tc>
          <w:tcPr>
            <w:tcW w:w="2396" w:type="dxa"/>
            <w:tcBorders>
              <w:top w:val="single" w:sz="12" w:space="0" w:color="auto"/>
            </w:tcBorders>
            <w:vAlign w:val="center"/>
          </w:tcPr>
          <w:p w14:paraId="3AEFA8A3" w14:textId="77777777" w:rsidR="00D170E5" w:rsidRPr="002B55E9" w:rsidRDefault="00EF27AD">
            <w:pPr>
              <w:pStyle w:val="affff6"/>
              <w:spacing w:line="0" w:lineRule="atLeast"/>
              <w:rPr>
                <w:szCs w:val="18"/>
              </w:rPr>
            </w:pPr>
            <w:r w:rsidRPr="002B55E9">
              <w:rPr>
                <w:rFonts w:hint="eastAsia"/>
                <w:szCs w:val="18"/>
              </w:rPr>
              <w:t>经粉碎机自带袋式除尘器处理后于车间通过</w:t>
            </w:r>
            <w:r w:rsidRPr="002B55E9">
              <w:rPr>
                <w:szCs w:val="18"/>
              </w:rPr>
              <w:t>18m</w:t>
            </w:r>
            <w:r w:rsidRPr="002B55E9">
              <w:rPr>
                <w:szCs w:val="18"/>
              </w:rPr>
              <w:t>排气筒</w:t>
            </w:r>
            <w:r w:rsidRPr="002B55E9">
              <w:rPr>
                <w:rFonts w:hint="eastAsia"/>
                <w:szCs w:val="18"/>
              </w:rPr>
              <w:t>（</w:t>
            </w:r>
            <w:r w:rsidRPr="002B55E9">
              <w:rPr>
                <w:rFonts w:hint="eastAsia"/>
                <w:szCs w:val="18"/>
              </w:rPr>
              <w:t>D</w:t>
            </w:r>
            <w:r w:rsidRPr="002B55E9">
              <w:rPr>
                <w:szCs w:val="18"/>
              </w:rPr>
              <w:t>A001</w:t>
            </w:r>
            <w:r w:rsidRPr="002B55E9">
              <w:rPr>
                <w:rFonts w:hint="eastAsia"/>
                <w:szCs w:val="18"/>
              </w:rPr>
              <w:t>）排放</w:t>
            </w:r>
          </w:p>
        </w:tc>
        <w:tc>
          <w:tcPr>
            <w:tcW w:w="987" w:type="dxa"/>
            <w:tcBorders>
              <w:top w:val="single" w:sz="12" w:space="0" w:color="auto"/>
            </w:tcBorders>
            <w:vAlign w:val="center"/>
          </w:tcPr>
          <w:p w14:paraId="17255188" w14:textId="77777777" w:rsidR="00D170E5" w:rsidRPr="002B55E9" w:rsidRDefault="00EF27AD">
            <w:pPr>
              <w:pStyle w:val="affff6"/>
              <w:spacing w:line="0" w:lineRule="atLeast"/>
              <w:rPr>
                <w:szCs w:val="18"/>
              </w:rPr>
            </w:pPr>
            <w:r w:rsidRPr="002B55E9">
              <w:rPr>
                <w:szCs w:val="18"/>
              </w:rPr>
              <w:t>90%</w:t>
            </w:r>
          </w:p>
        </w:tc>
        <w:tc>
          <w:tcPr>
            <w:tcW w:w="927" w:type="dxa"/>
            <w:tcBorders>
              <w:top w:val="single" w:sz="12" w:space="0" w:color="auto"/>
            </w:tcBorders>
            <w:vAlign w:val="center"/>
          </w:tcPr>
          <w:p w14:paraId="0DB5797E" w14:textId="77777777" w:rsidR="00D170E5" w:rsidRPr="002B55E9" w:rsidRDefault="00EF27AD">
            <w:pPr>
              <w:jc w:val="center"/>
              <w:rPr>
                <w:sz w:val="18"/>
                <w:szCs w:val="18"/>
              </w:rPr>
            </w:pPr>
            <w:r w:rsidRPr="002B55E9">
              <w:rPr>
                <w:sz w:val="18"/>
                <w:szCs w:val="18"/>
              </w:rPr>
              <w:t>60%</w:t>
            </w:r>
          </w:p>
        </w:tc>
        <w:tc>
          <w:tcPr>
            <w:tcW w:w="1274" w:type="dxa"/>
            <w:tcBorders>
              <w:top w:val="single" w:sz="12" w:space="0" w:color="auto"/>
            </w:tcBorders>
            <w:vAlign w:val="center"/>
          </w:tcPr>
          <w:p w14:paraId="06029B43" w14:textId="77777777" w:rsidR="00D170E5" w:rsidRPr="002B55E9" w:rsidRDefault="00EF27AD">
            <w:pPr>
              <w:jc w:val="center"/>
              <w:rPr>
                <w:sz w:val="18"/>
                <w:szCs w:val="18"/>
              </w:rPr>
            </w:pPr>
            <w:r w:rsidRPr="002B55E9">
              <w:rPr>
                <w:rFonts w:hint="eastAsia"/>
                <w:sz w:val="18"/>
                <w:szCs w:val="18"/>
              </w:rPr>
              <w:t>旋风除尘、袋式除尘、水膜除尘、除尘组合工艺、其他</w:t>
            </w:r>
          </w:p>
        </w:tc>
        <w:tc>
          <w:tcPr>
            <w:tcW w:w="925" w:type="dxa"/>
            <w:tcBorders>
              <w:top w:val="single" w:sz="12" w:space="0" w:color="auto"/>
            </w:tcBorders>
            <w:vAlign w:val="center"/>
          </w:tcPr>
          <w:p w14:paraId="2D0B0D91" w14:textId="77777777" w:rsidR="00D170E5" w:rsidRPr="002B55E9" w:rsidRDefault="00EF27AD">
            <w:pPr>
              <w:jc w:val="center"/>
              <w:rPr>
                <w:sz w:val="18"/>
                <w:szCs w:val="18"/>
              </w:rPr>
            </w:pPr>
            <w:r w:rsidRPr="002B55E9">
              <w:rPr>
                <w:rFonts w:hint="eastAsia"/>
                <w:sz w:val="18"/>
                <w:szCs w:val="18"/>
              </w:rPr>
              <w:t>可行</w:t>
            </w:r>
          </w:p>
        </w:tc>
      </w:tr>
      <w:tr w:rsidR="00C60999" w:rsidRPr="002B55E9" w14:paraId="5E6F699E" w14:textId="77777777">
        <w:trPr>
          <w:trHeight w:val="170"/>
          <w:jc w:val="center"/>
        </w:trPr>
        <w:tc>
          <w:tcPr>
            <w:tcW w:w="450" w:type="dxa"/>
            <w:vAlign w:val="center"/>
          </w:tcPr>
          <w:p w14:paraId="4FA70CE1" w14:textId="77777777" w:rsidR="00D170E5" w:rsidRPr="002B55E9" w:rsidRDefault="00EF27AD">
            <w:pPr>
              <w:jc w:val="center"/>
              <w:rPr>
                <w:sz w:val="18"/>
                <w:szCs w:val="18"/>
              </w:rPr>
            </w:pPr>
            <w:r w:rsidRPr="002B55E9">
              <w:rPr>
                <w:sz w:val="18"/>
                <w:szCs w:val="18"/>
              </w:rPr>
              <w:t>2</w:t>
            </w:r>
          </w:p>
        </w:tc>
        <w:tc>
          <w:tcPr>
            <w:tcW w:w="1550" w:type="dxa"/>
            <w:vAlign w:val="center"/>
          </w:tcPr>
          <w:p w14:paraId="56A5E5B5" w14:textId="77777777" w:rsidR="00D170E5" w:rsidRPr="002B55E9" w:rsidRDefault="00EF27AD">
            <w:pPr>
              <w:pStyle w:val="affff6"/>
              <w:spacing w:line="0" w:lineRule="atLeast"/>
              <w:rPr>
                <w:bCs/>
                <w:szCs w:val="18"/>
              </w:rPr>
            </w:pPr>
            <w:r w:rsidRPr="002B55E9">
              <w:rPr>
                <w:rFonts w:hint="eastAsia"/>
                <w:bCs/>
                <w:szCs w:val="18"/>
              </w:rPr>
              <w:t>料酒生产线浸提、过滤、调配混合</w:t>
            </w:r>
          </w:p>
        </w:tc>
        <w:tc>
          <w:tcPr>
            <w:tcW w:w="1128" w:type="dxa"/>
            <w:vAlign w:val="center"/>
          </w:tcPr>
          <w:p w14:paraId="356A4605" w14:textId="0614E19D" w:rsidR="00D170E5" w:rsidRPr="002B55E9" w:rsidRDefault="00924AFA">
            <w:pPr>
              <w:spacing w:line="0" w:lineRule="atLeast"/>
              <w:jc w:val="center"/>
              <w:rPr>
                <w:bCs/>
                <w:sz w:val="18"/>
                <w:szCs w:val="18"/>
              </w:rPr>
            </w:pPr>
            <w:r w:rsidRPr="002B55E9">
              <w:rPr>
                <w:rFonts w:hint="eastAsia"/>
                <w:bCs/>
                <w:sz w:val="18"/>
                <w:szCs w:val="18"/>
              </w:rPr>
              <w:t>非甲烷总烃</w:t>
            </w:r>
          </w:p>
        </w:tc>
        <w:tc>
          <w:tcPr>
            <w:tcW w:w="2396" w:type="dxa"/>
            <w:vAlign w:val="center"/>
          </w:tcPr>
          <w:p w14:paraId="490CEB8F" w14:textId="64214D31" w:rsidR="00D170E5" w:rsidRPr="002B55E9" w:rsidRDefault="00EF27AD">
            <w:pPr>
              <w:pStyle w:val="affff6"/>
              <w:spacing w:line="0" w:lineRule="atLeast"/>
              <w:rPr>
                <w:szCs w:val="18"/>
              </w:rPr>
            </w:pPr>
            <w:r w:rsidRPr="002B55E9">
              <w:rPr>
                <w:rFonts w:hint="eastAsia"/>
                <w:szCs w:val="18"/>
              </w:rPr>
              <w:t>密闭管道收集，经</w:t>
            </w:r>
            <w:r w:rsidRPr="002B55E9">
              <w:rPr>
                <w:rFonts w:hint="eastAsia"/>
                <w:szCs w:val="18"/>
              </w:rPr>
              <w:t>1</w:t>
            </w:r>
            <w:r w:rsidRPr="002B55E9">
              <w:rPr>
                <w:rFonts w:hint="eastAsia"/>
                <w:szCs w:val="18"/>
              </w:rPr>
              <w:t>套</w:t>
            </w:r>
            <w:r w:rsidR="00CE536C" w:rsidRPr="002B55E9">
              <w:rPr>
                <w:rFonts w:hint="eastAsia"/>
                <w:szCs w:val="18"/>
              </w:rPr>
              <w:t>二级碱喷淋</w:t>
            </w:r>
            <w:r w:rsidR="00CE536C" w:rsidRPr="002B55E9">
              <w:rPr>
                <w:rFonts w:hint="eastAsia"/>
                <w:szCs w:val="18"/>
              </w:rPr>
              <w:t>+</w:t>
            </w:r>
            <w:r w:rsidR="00CE536C" w:rsidRPr="002B55E9">
              <w:rPr>
                <w:rFonts w:hint="eastAsia"/>
                <w:szCs w:val="18"/>
              </w:rPr>
              <w:t>水喷淋</w:t>
            </w:r>
            <w:r w:rsidRPr="002B55E9">
              <w:rPr>
                <w:rFonts w:hint="eastAsia"/>
                <w:szCs w:val="18"/>
              </w:rPr>
              <w:t>装置处理后由</w:t>
            </w:r>
            <w:r w:rsidRPr="002B55E9">
              <w:rPr>
                <w:rFonts w:hint="eastAsia"/>
                <w:szCs w:val="18"/>
              </w:rPr>
              <w:t>18m</w:t>
            </w:r>
            <w:r w:rsidRPr="002B55E9">
              <w:rPr>
                <w:rFonts w:hint="eastAsia"/>
                <w:szCs w:val="18"/>
              </w:rPr>
              <w:t>高排气筒（</w:t>
            </w:r>
            <w:r w:rsidRPr="002B55E9">
              <w:rPr>
                <w:rFonts w:hint="eastAsia"/>
                <w:szCs w:val="18"/>
              </w:rPr>
              <w:t>DA002</w:t>
            </w:r>
            <w:r w:rsidRPr="002B55E9">
              <w:rPr>
                <w:rFonts w:hint="eastAsia"/>
                <w:szCs w:val="18"/>
              </w:rPr>
              <w:t>）排放</w:t>
            </w:r>
          </w:p>
        </w:tc>
        <w:tc>
          <w:tcPr>
            <w:tcW w:w="987" w:type="dxa"/>
            <w:vAlign w:val="center"/>
          </w:tcPr>
          <w:p w14:paraId="0FB59A34" w14:textId="77777777" w:rsidR="00D170E5" w:rsidRPr="002B55E9" w:rsidRDefault="00EF27AD">
            <w:pPr>
              <w:pStyle w:val="affff6"/>
              <w:spacing w:line="0" w:lineRule="atLeast"/>
              <w:rPr>
                <w:szCs w:val="18"/>
              </w:rPr>
            </w:pPr>
            <w:r w:rsidRPr="002B55E9">
              <w:rPr>
                <w:rFonts w:hint="eastAsia"/>
                <w:szCs w:val="18"/>
              </w:rPr>
              <w:t>1</w:t>
            </w:r>
            <w:r w:rsidRPr="002B55E9">
              <w:rPr>
                <w:szCs w:val="18"/>
              </w:rPr>
              <w:t>00%</w:t>
            </w:r>
          </w:p>
        </w:tc>
        <w:tc>
          <w:tcPr>
            <w:tcW w:w="927" w:type="dxa"/>
            <w:vAlign w:val="center"/>
          </w:tcPr>
          <w:p w14:paraId="44E97AC8" w14:textId="3FF73D4B" w:rsidR="00D170E5" w:rsidRPr="002B55E9" w:rsidRDefault="00EF27AD">
            <w:pPr>
              <w:spacing w:line="0" w:lineRule="atLeast"/>
              <w:jc w:val="center"/>
              <w:rPr>
                <w:sz w:val="18"/>
                <w:szCs w:val="18"/>
              </w:rPr>
            </w:pPr>
            <w:r w:rsidRPr="002B55E9">
              <w:rPr>
                <w:sz w:val="18"/>
                <w:szCs w:val="18"/>
              </w:rPr>
              <w:t>8</w:t>
            </w:r>
            <w:r w:rsidR="00382309" w:rsidRPr="002B55E9">
              <w:rPr>
                <w:sz w:val="18"/>
                <w:szCs w:val="18"/>
              </w:rPr>
              <w:t>5</w:t>
            </w:r>
            <w:r w:rsidRPr="002B55E9">
              <w:rPr>
                <w:sz w:val="18"/>
                <w:szCs w:val="18"/>
              </w:rPr>
              <w:t>%</w:t>
            </w:r>
          </w:p>
        </w:tc>
        <w:tc>
          <w:tcPr>
            <w:tcW w:w="1274" w:type="dxa"/>
            <w:vAlign w:val="center"/>
          </w:tcPr>
          <w:p w14:paraId="4C1825D8" w14:textId="77777777" w:rsidR="00D170E5" w:rsidRPr="002B55E9" w:rsidRDefault="00EF27AD">
            <w:pPr>
              <w:jc w:val="center"/>
              <w:rPr>
                <w:sz w:val="18"/>
                <w:szCs w:val="18"/>
              </w:rPr>
            </w:pPr>
            <w:r w:rsidRPr="002B55E9">
              <w:rPr>
                <w:rFonts w:hint="eastAsia"/>
                <w:sz w:val="18"/>
                <w:szCs w:val="18"/>
              </w:rPr>
              <w:t>/</w:t>
            </w:r>
          </w:p>
        </w:tc>
        <w:tc>
          <w:tcPr>
            <w:tcW w:w="925" w:type="dxa"/>
            <w:vAlign w:val="center"/>
          </w:tcPr>
          <w:p w14:paraId="5570AB7B" w14:textId="77777777" w:rsidR="00D170E5" w:rsidRPr="002B55E9" w:rsidRDefault="00EF27AD">
            <w:pPr>
              <w:jc w:val="center"/>
              <w:rPr>
                <w:sz w:val="18"/>
                <w:szCs w:val="18"/>
              </w:rPr>
            </w:pPr>
            <w:r w:rsidRPr="002B55E9">
              <w:rPr>
                <w:rFonts w:hint="eastAsia"/>
                <w:sz w:val="18"/>
                <w:szCs w:val="18"/>
              </w:rPr>
              <w:t>/</w:t>
            </w:r>
          </w:p>
        </w:tc>
      </w:tr>
      <w:tr w:rsidR="00C60999" w:rsidRPr="002B55E9" w14:paraId="445F6E84" w14:textId="77777777">
        <w:trPr>
          <w:trHeight w:val="170"/>
          <w:jc w:val="center"/>
        </w:trPr>
        <w:tc>
          <w:tcPr>
            <w:tcW w:w="450" w:type="dxa"/>
            <w:vAlign w:val="center"/>
          </w:tcPr>
          <w:p w14:paraId="7333CDBA" w14:textId="77777777" w:rsidR="00D170E5" w:rsidRPr="002B55E9" w:rsidRDefault="00EF27AD">
            <w:pPr>
              <w:jc w:val="center"/>
              <w:rPr>
                <w:sz w:val="18"/>
                <w:szCs w:val="18"/>
              </w:rPr>
            </w:pPr>
            <w:r w:rsidRPr="002B55E9">
              <w:rPr>
                <w:rFonts w:hint="eastAsia"/>
                <w:sz w:val="18"/>
                <w:szCs w:val="18"/>
              </w:rPr>
              <w:t>3</w:t>
            </w:r>
          </w:p>
        </w:tc>
        <w:tc>
          <w:tcPr>
            <w:tcW w:w="1550" w:type="dxa"/>
            <w:vAlign w:val="center"/>
          </w:tcPr>
          <w:p w14:paraId="25685806" w14:textId="77777777" w:rsidR="00D170E5" w:rsidRPr="002B55E9" w:rsidRDefault="00EF27AD">
            <w:pPr>
              <w:pStyle w:val="affff6"/>
              <w:spacing w:line="0" w:lineRule="atLeast"/>
              <w:rPr>
                <w:bCs/>
                <w:szCs w:val="18"/>
              </w:rPr>
            </w:pPr>
            <w:r w:rsidRPr="002B55E9">
              <w:rPr>
                <w:rFonts w:hint="eastAsia"/>
                <w:bCs/>
                <w:szCs w:val="18"/>
              </w:rPr>
              <w:t>白米醋生产线酒液调配、醋酸发酵、混合</w:t>
            </w:r>
          </w:p>
        </w:tc>
        <w:tc>
          <w:tcPr>
            <w:tcW w:w="1128" w:type="dxa"/>
            <w:vAlign w:val="center"/>
          </w:tcPr>
          <w:p w14:paraId="2F05B6F9" w14:textId="68DC02D6" w:rsidR="00D170E5" w:rsidRPr="002B55E9" w:rsidRDefault="00924AFA">
            <w:pPr>
              <w:spacing w:line="0" w:lineRule="atLeast"/>
              <w:jc w:val="center"/>
              <w:rPr>
                <w:bCs/>
                <w:sz w:val="18"/>
                <w:szCs w:val="18"/>
              </w:rPr>
            </w:pPr>
            <w:r w:rsidRPr="002B55E9">
              <w:rPr>
                <w:rFonts w:hint="eastAsia"/>
                <w:bCs/>
                <w:sz w:val="18"/>
                <w:szCs w:val="18"/>
              </w:rPr>
              <w:t>非甲烷总烃</w:t>
            </w:r>
          </w:p>
        </w:tc>
        <w:tc>
          <w:tcPr>
            <w:tcW w:w="2396" w:type="dxa"/>
            <w:vAlign w:val="center"/>
          </w:tcPr>
          <w:p w14:paraId="09492B4D" w14:textId="0AAE2648" w:rsidR="00D170E5" w:rsidRPr="002B55E9" w:rsidRDefault="00EF27AD">
            <w:pPr>
              <w:pStyle w:val="affff6"/>
              <w:spacing w:line="0" w:lineRule="atLeast"/>
              <w:rPr>
                <w:szCs w:val="18"/>
              </w:rPr>
            </w:pPr>
            <w:r w:rsidRPr="002B55E9">
              <w:rPr>
                <w:rFonts w:hint="eastAsia"/>
                <w:szCs w:val="18"/>
              </w:rPr>
              <w:t>密闭管道收集，经</w:t>
            </w:r>
            <w:r w:rsidRPr="002B55E9">
              <w:rPr>
                <w:rFonts w:hint="eastAsia"/>
                <w:szCs w:val="18"/>
              </w:rPr>
              <w:t>1</w:t>
            </w:r>
            <w:r w:rsidRPr="002B55E9">
              <w:rPr>
                <w:rFonts w:hint="eastAsia"/>
                <w:szCs w:val="18"/>
              </w:rPr>
              <w:t>套</w:t>
            </w:r>
            <w:r w:rsidR="00CE536C" w:rsidRPr="002B55E9">
              <w:rPr>
                <w:rFonts w:hint="eastAsia"/>
                <w:szCs w:val="18"/>
              </w:rPr>
              <w:t>二级碱喷淋</w:t>
            </w:r>
            <w:r w:rsidR="00CE536C" w:rsidRPr="002B55E9">
              <w:rPr>
                <w:rFonts w:hint="eastAsia"/>
                <w:szCs w:val="18"/>
              </w:rPr>
              <w:t>+</w:t>
            </w:r>
            <w:r w:rsidR="00CE536C" w:rsidRPr="002B55E9">
              <w:rPr>
                <w:rFonts w:hint="eastAsia"/>
                <w:szCs w:val="18"/>
              </w:rPr>
              <w:t>水喷淋</w:t>
            </w:r>
            <w:r w:rsidRPr="002B55E9">
              <w:rPr>
                <w:rFonts w:hint="eastAsia"/>
                <w:szCs w:val="18"/>
              </w:rPr>
              <w:t>装置处理后由</w:t>
            </w:r>
            <w:r w:rsidRPr="002B55E9">
              <w:rPr>
                <w:rFonts w:hint="eastAsia"/>
                <w:szCs w:val="18"/>
              </w:rPr>
              <w:t>18m</w:t>
            </w:r>
            <w:r w:rsidRPr="002B55E9">
              <w:rPr>
                <w:rFonts w:hint="eastAsia"/>
                <w:szCs w:val="18"/>
              </w:rPr>
              <w:t>高排气筒（</w:t>
            </w:r>
            <w:r w:rsidRPr="002B55E9">
              <w:rPr>
                <w:rFonts w:hint="eastAsia"/>
                <w:szCs w:val="18"/>
              </w:rPr>
              <w:t>DA002</w:t>
            </w:r>
            <w:r w:rsidRPr="002B55E9">
              <w:rPr>
                <w:rFonts w:hint="eastAsia"/>
                <w:szCs w:val="18"/>
              </w:rPr>
              <w:t>）排放</w:t>
            </w:r>
          </w:p>
        </w:tc>
        <w:tc>
          <w:tcPr>
            <w:tcW w:w="987" w:type="dxa"/>
            <w:vAlign w:val="center"/>
          </w:tcPr>
          <w:p w14:paraId="570EEF54" w14:textId="77777777" w:rsidR="00D170E5" w:rsidRPr="002B55E9" w:rsidRDefault="00EF27AD">
            <w:pPr>
              <w:pStyle w:val="affff6"/>
              <w:spacing w:line="0" w:lineRule="atLeast"/>
              <w:rPr>
                <w:szCs w:val="18"/>
              </w:rPr>
            </w:pPr>
            <w:r w:rsidRPr="002B55E9">
              <w:rPr>
                <w:rFonts w:hint="eastAsia"/>
                <w:szCs w:val="18"/>
              </w:rPr>
              <w:t>1</w:t>
            </w:r>
            <w:r w:rsidRPr="002B55E9">
              <w:rPr>
                <w:szCs w:val="18"/>
              </w:rPr>
              <w:t>00%</w:t>
            </w:r>
          </w:p>
        </w:tc>
        <w:tc>
          <w:tcPr>
            <w:tcW w:w="927" w:type="dxa"/>
            <w:vAlign w:val="center"/>
          </w:tcPr>
          <w:p w14:paraId="730058DB" w14:textId="4B0ED5E7" w:rsidR="00D170E5" w:rsidRPr="002B55E9" w:rsidRDefault="00EF27AD">
            <w:pPr>
              <w:spacing w:line="0" w:lineRule="atLeast"/>
              <w:jc w:val="center"/>
              <w:rPr>
                <w:sz w:val="18"/>
                <w:szCs w:val="18"/>
              </w:rPr>
            </w:pPr>
            <w:r w:rsidRPr="002B55E9">
              <w:rPr>
                <w:sz w:val="18"/>
                <w:szCs w:val="18"/>
              </w:rPr>
              <w:t>8</w:t>
            </w:r>
            <w:r w:rsidR="00382309" w:rsidRPr="002B55E9">
              <w:rPr>
                <w:sz w:val="18"/>
                <w:szCs w:val="18"/>
              </w:rPr>
              <w:t>5</w:t>
            </w:r>
            <w:r w:rsidRPr="002B55E9">
              <w:rPr>
                <w:sz w:val="18"/>
                <w:szCs w:val="18"/>
              </w:rPr>
              <w:t>%</w:t>
            </w:r>
          </w:p>
        </w:tc>
        <w:tc>
          <w:tcPr>
            <w:tcW w:w="1274" w:type="dxa"/>
            <w:vAlign w:val="center"/>
          </w:tcPr>
          <w:p w14:paraId="6F5DC69D" w14:textId="77777777" w:rsidR="00D170E5" w:rsidRPr="002B55E9" w:rsidRDefault="00EF27AD">
            <w:pPr>
              <w:jc w:val="center"/>
              <w:rPr>
                <w:sz w:val="18"/>
                <w:szCs w:val="18"/>
              </w:rPr>
            </w:pPr>
            <w:r w:rsidRPr="002B55E9">
              <w:rPr>
                <w:rFonts w:hint="eastAsia"/>
                <w:sz w:val="18"/>
                <w:szCs w:val="18"/>
              </w:rPr>
              <w:t>/</w:t>
            </w:r>
          </w:p>
        </w:tc>
        <w:tc>
          <w:tcPr>
            <w:tcW w:w="925" w:type="dxa"/>
            <w:vAlign w:val="center"/>
          </w:tcPr>
          <w:p w14:paraId="7B995504" w14:textId="77777777" w:rsidR="00D170E5" w:rsidRPr="002B55E9" w:rsidRDefault="00EF27AD">
            <w:pPr>
              <w:jc w:val="center"/>
              <w:rPr>
                <w:sz w:val="18"/>
                <w:szCs w:val="18"/>
              </w:rPr>
            </w:pPr>
            <w:r w:rsidRPr="002B55E9">
              <w:rPr>
                <w:rFonts w:hint="eastAsia"/>
                <w:sz w:val="18"/>
                <w:szCs w:val="18"/>
              </w:rPr>
              <w:t>/</w:t>
            </w:r>
          </w:p>
        </w:tc>
      </w:tr>
      <w:tr w:rsidR="00C60999" w:rsidRPr="002B55E9" w14:paraId="5411595C" w14:textId="77777777">
        <w:trPr>
          <w:trHeight w:val="170"/>
          <w:jc w:val="center"/>
        </w:trPr>
        <w:tc>
          <w:tcPr>
            <w:tcW w:w="450" w:type="dxa"/>
            <w:vAlign w:val="center"/>
          </w:tcPr>
          <w:p w14:paraId="1C1FA5BB" w14:textId="77777777" w:rsidR="00D170E5" w:rsidRPr="002B55E9" w:rsidRDefault="00EF27AD">
            <w:pPr>
              <w:jc w:val="center"/>
              <w:rPr>
                <w:sz w:val="18"/>
                <w:szCs w:val="18"/>
              </w:rPr>
            </w:pPr>
            <w:r w:rsidRPr="002B55E9">
              <w:rPr>
                <w:rFonts w:hint="eastAsia"/>
                <w:sz w:val="18"/>
                <w:szCs w:val="18"/>
              </w:rPr>
              <w:t>4</w:t>
            </w:r>
          </w:p>
        </w:tc>
        <w:tc>
          <w:tcPr>
            <w:tcW w:w="1550" w:type="dxa"/>
            <w:vAlign w:val="center"/>
          </w:tcPr>
          <w:p w14:paraId="0525C05E" w14:textId="77777777" w:rsidR="00D170E5" w:rsidRPr="002B55E9" w:rsidRDefault="00EF27AD">
            <w:pPr>
              <w:pStyle w:val="affff6"/>
              <w:spacing w:line="0" w:lineRule="atLeast"/>
              <w:rPr>
                <w:bCs/>
                <w:szCs w:val="18"/>
              </w:rPr>
            </w:pPr>
            <w:r w:rsidRPr="002B55E9">
              <w:rPr>
                <w:rFonts w:hint="eastAsia"/>
                <w:bCs/>
                <w:szCs w:val="18"/>
              </w:rPr>
              <w:t>检验分析</w:t>
            </w:r>
          </w:p>
        </w:tc>
        <w:tc>
          <w:tcPr>
            <w:tcW w:w="1128" w:type="dxa"/>
            <w:vAlign w:val="center"/>
          </w:tcPr>
          <w:p w14:paraId="145189ED" w14:textId="2C83E5D4" w:rsidR="00D170E5" w:rsidRPr="002B55E9" w:rsidRDefault="00924AFA">
            <w:pPr>
              <w:spacing w:line="0" w:lineRule="atLeast"/>
              <w:jc w:val="center"/>
              <w:rPr>
                <w:bCs/>
                <w:sz w:val="18"/>
                <w:szCs w:val="18"/>
              </w:rPr>
            </w:pPr>
            <w:r w:rsidRPr="002B55E9">
              <w:rPr>
                <w:rFonts w:hint="eastAsia"/>
                <w:bCs/>
                <w:sz w:val="18"/>
                <w:szCs w:val="18"/>
              </w:rPr>
              <w:t>非甲烷总烃</w:t>
            </w:r>
            <w:r w:rsidR="00EF27AD" w:rsidRPr="002B55E9">
              <w:rPr>
                <w:rFonts w:hint="eastAsia"/>
                <w:bCs/>
                <w:sz w:val="18"/>
                <w:szCs w:val="18"/>
              </w:rPr>
              <w:t>、硫酸、甲醛、氯化氢等</w:t>
            </w:r>
          </w:p>
        </w:tc>
        <w:tc>
          <w:tcPr>
            <w:tcW w:w="2396" w:type="dxa"/>
            <w:vAlign w:val="center"/>
          </w:tcPr>
          <w:p w14:paraId="17251048" w14:textId="77777777" w:rsidR="00D170E5" w:rsidRPr="002B55E9" w:rsidRDefault="00EF27AD">
            <w:pPr>
              <w:pStyle w:val="affff6"/>
              <w:spacing w:line="0" w:lineRule="atLeast"/>
              <w:rPr>
                <w:szCs w:val="18"/>
              </w:rPr>
            </w:pPr>
            <w:r w:rsidRPr="002B55E9">
              <w:rPr>
                <w:rFonts w:hint="eastAsia"/>
                <w:szCs w:val="18"/>
              </w:rPr>
              <w:t>经活性炭吸附处理后通过</w:t>
            </w:r>
            <w:r w:rsidRPr="002B55E9">
              <w:rPr>
                <w:szCs w:val="18"/>
              </w:rPr>
              <w:t>18</w:t>
            </w:r>
            <w:r w:rsidRPr="002B55E9">
              <w:rPr>
                <w:rFonts w:hint="eastAsia"/>
                <w:szCs w:val="18"/>
              </w:rPr>
              <w:t>m</w:t>
            </w:r>
            <w:r w:rsidRPr="002B55E9">
              <w:rPr>
                <w:rFonts w:hint="eastAsia"/>
                <w:szCs w:val="18"/>
              </w:rPr>
              <w:t>排气筒高空排放（</w:t>
            </w:r>
            <w:r w:rsidRPr="002B55E9">
              <w:rPr>
                <w:rFonts w:hint="eastAsia"/>
                <w:szCs w:val="18"/>
              </w:rPr>
              <w:t>D</w:t>
            </w:r>
            <w:r w:rsidRPr="002B55E9">
              <w:rPr>
                <w:szCs w:val="18"/>
              </w:rPr>
              <w:t>A003</w:t>
            </w:r>
            <w:r w:rsidRPr="002B55E9">
              <w:rPr>
                <w:rFonts w:hint="eastAsia"/>
                <w:szCs w:val="18"/>
              </w:rPr>
              <w:t>）</w:t>
            </w:r>
          </w:p>
        </w:tc>
        <w:tc>
          <w:tcPr>
            <w:tcW w:w="987" w:type="dxa"/>
            <w:vAlign w:val="center"/>
          </w:tcPr>
          <w:p w14:paraId="03EE6311" w14:textId="3495F9F8" w:rsidR="00D170E5" w:rsidRPr="002B55E9" w:rsidRDefault="00EF27AD">
            <w:pPr>
              <w:pStyle w:val="affff6"/>
              <w:spacing w:line="0" w:lineRule="atLeast"/>
              <w:rPr>
                <w:szCs w:val="18"/>
              </w:rPr>
            </w:pPr>
            <w:r w:rsidRPr="002B55E9">
              <w:rPr>
                <w:szCs w:val="18"/>
              </w:rPr>
              <w:t>9</w:t>
            </w:r>
            <w:r w:rsidR="00D60CAE" w:rsidRPr="002B55E9">
              <w:rPr>
                <w:szCs w:val="18"/>
              </w:rPr>
              <w:t>8</w:t>
            </w:r>
            <w:r w:rsidRPr="002B55E9">
              <w:rPr>
                <w:szCs w:val="18"/>
              </w:rPr>
              <w:t>%</w:t>
            </w:r>
          </w:p>
        </w:tc>
        <w:tc>
          <w:tcPr>
            <w:tcW w:w="927" w:type="dxa"/>
            <w:vAlign w:val="center"/>
          </w:tcPr>
          <w:p w14:paraId="6B5B2C89" w14:textId="77777777" w:rsidR="00D170E5" w:rsidRPr="002B55E9" w:rsidRDefault="00EF27AD">
            <w:pPr>
              <w:spacing w:line="0" w:lineRule="atLeast"/>
              <w:jc w:val="center"/>
              <w:rPr>
                <w:sz w:val="18"/>
                <w:szCs w:val="18"/>
              </w:rPr>
            </w:pPr>
            <w:r w:rsidRPr="002B55E9">
              <w:rPr>
                <w:sz w:val="18"/>
                <w:szCs w:val="18"/>
              </w:rPr>
              <w:t>30%</w:t>
            </w:r>
          </w:p>
        </w:tc>
        <w:tc>
          <w:tcPr>
            <w:tcW w:w="1274" w:type="dxa"/>
            <w:vAlign w:val="center"/>
          </w:tcPr>
          <w:p w14:paraId="23C867CD" w14:textId="77777777" w:rsidR="00D170E5" w:rsidRPr="002B55E9" w:rsidRDefault="00EF27AD">
            <w:pPr>
              <w:jc w:val="center"/>
              <w:rPr>
                <w:sz w:val="18"/>
                <w:szCs w:val="18"/>
              </w:rPr>
            </w:pPr>
            <w:r w:rsidRPr="002B55E9">
              <w:rPr>
                <w:rFonts w:hint="eastAsia"/>
                <w:sz w:val="18"/>
                <w:szCs w:val="18"/>
              </w:rPr>
              <w:t>/</w:t>
            </w:r>
          </w:p>
        </w:tc>
        <w:tc>
          <w:tcPr>
            <w:tcW w:w="925" w:type="dxa"/>
            <w:vAlign w:val="center"/>
          </w:tcPr>
          <w:p w14:paraId="5A42E9D4" w14:textId="77777777" w:rsidR="00D170E5" w:rsidRPr="002B55E9" w:rsidRDefault="00EF27AD">
            <w:pPr>
              <w:jc w:val="center"/>
              <w:rPr>
                <w:sz w:val="18"/>
                <w:szCs w:val="18"/>
              </w:rPr>
            </w:pPr>
            <w:r w:rsidRPr="002B55E9">
              <w:rPr>
                <w:rFonts w:hint="eastAsia"/>
                <w:sz w:val="18"/>
                <w:szCs w:val="18"/>
              </w:rPr>
              <w:t>/</w:t>
            </w:r>
          </w:p>
        </w:tc>
      </w:tr>
    </w:tbl>
    <w:p w14:paraId="389DF51D" w14:textId="555160BA" w:rsidR="00D170E5" w:rsidRPr="002B55E9" w:rsidRDefault="00EF27AD">
      <w:pPr>
        <w:pStyle w:val="aa"/>
        <w:snapToGrid w:val="0"/>
      </w:pPr>
      <w:r w:rsidRPr="002B55E9">
        <w:rPr>
          <w:rFonts w:hint="eastAsia"/>
        </w:rPr>
        <w:t>由上表可知，香辛料破碎粉尘采用袋式除尘器属于《排污许可证申请与核发技术规范</w:t>
      </w:r>
      <w:r w:rsidRPr="002B55E9">
        <w:rPr>
          <w:rFonts w:hint="eastAsia"/>
        </w:rPr>
        <w:t xml:space="preserve"> </w:t>
      </w:r>
      <w:r w:rsidRPr="002B55E9">
        <w:rPr>
          <w:rFonts w:hint="eastAsia"/>
        </w:rPr>
        <w:t>食品制造工业—调味品、发酵制品制造工业》（</w:t>
      </w:r>
      <w:r w:rsidRPr="002B55E9">
        <w:rPr>
          <w:rFonts w:hint="eastAsia"/>
        </w:rPr>
        <w:t>H</w:t>
      </w:r>
      <w:r w:rsidRPr="002B55E9">
        <w:t>J1030.2-2019</w:t>
      </w:r>
      <w:r w:rsidRPr="002B55E9">
        <w:rPr>
          <w:rFonts w:hint="eastAsia"/>
        </w:rPr>
        <w:t>）中的可行技术，《排污许可证申请与核发技术规范</w:t>
      </w:r>
      <w:r w:rsidRPr="002B55E9">
        <w:rPr>
          <w:rFonts w:hint="eastAsia"/>
        </w:rPr>
        <w:t xml:space="preserve"> </w:t>
      </w:r>
      <w:r w:rsidRPr="002B55E9">
        <w:rPr>
          <w:rFonts w:hint="eastAsia"/>
        </w:rPr>
        <w:t>食品制造工业—调味品、发酵制品制造工业》（</w:t>
      </w:r>
      <w:r w:rsidRPr="002B55E9">
        <w:rPr>
          <w:rFonts w:hint="eastAsia"/>
        </w:rPr>
        <w:t>H</w:t>
      </w:r>
      <w:r w:rsidRPr="002B55E9">
        <w:t>J1030.2-2019</w:t>
      </w:r>
      <w:r w:rsidRPr="002B55E9">
        <w:rPr>
          <w:rFonts w:hint="eastAsia"/>
        </w:rPr>
        <w:t>）未对料酒、白米醋等生产环节产生的挥发性有机废气提出控制要求。</w:t>
      </w:r>
    </w:p>
    <w:p w14:paraId="03319A48" w14:textId="305E3949" w:rsidR="00892B01" w:rsidRPr="002B55E9" w:rsidRDefault="009B4684" w:rsidP="00892B01">
      <w:pPr>
        <w:pStyle w:val="aa"/>
      </w:pPr>
      <w:r w:rsidRPr="002B55E9">
        <w:rPr>
          <w:rFonts w:hint="eastAsia"/>
          <w:bCs/>
        </w:rPr>
        <w:t>参照海天醋业集团公司宿迁厂区，该厂区已建成年产</w:t>
      </w:r>
      <w:r w:rsidRPr="002B55E9">
        <w:rPr>
          <w:rFonts w:hint="eastAsia"/>
          <w:bCs/>
        </w:rPr>
        <w:t>140</w:t>
      </w:r>
      <w:r w:rsidRPr="002B55E9">
        <w:rPr>
          <w:rFonts w:hint="eastAsia"/>
          <w:bCs/>
        </w:rPr>
        <w:t>万吨调味品和</w:t>
      </w:r>
      <w:r w:rsidRPr="002B55E9">
        <w:rPr>
          <w:rFonts w:hint="eastAsia"/>
          <w:bCs/>
        </w:rPr>
        <w:t>2</w:t>
      </w:r>
      <w:r w:rsidRPr="002B55E9">
        <w:rPr>
          <w:rFonts w:hint="eastAsia"/>
          <w:bCs/>
        </w:rPr>
        <w:t>万吨黄酒项目，</w:t>
      </w:r>
      <w:r w:rsidRPr="002B55E9">
        <w:rPr>
          <w:rFonts w:hint="eastAsia"/>
          <w:bCs/>
        </w:rPr>
        <w:lastRenderedPageBreak/>
        <w:t>包括年产蚝油</w:t>
      </w:r>
      <w:r w:rsidRPr="002B55E9">
        <w:rPr>
          <w:rFonts w:hint="eastAsia"/>
          <w:bCs/>
        </w:rPr>
        <w:t>80</w:t>
      </w:r>
      <w:r w:rsidRPr="002B55E9">
        <w:rPr>
          <w:rFonts w:hint="eastAsia"/>
          <w:bCs/>
        </w:rPr>
        <w:t>万吨，年产醋</w:t>
      </w:r>
      <w:r w:rsidRPr="002B55E9">
        <w:rPr>
          <w:rFonts w:hint="eastAsia"/>
          <w:bCs/>
        </w:rPr>
        <w:t>30</w:t>
      </w:r>
      <w:r w:rsidRPr="002B55E9">
        <w:rPr>
          <w:rFonts w:hint="eastAsia"/>
          <w:bCs/>
        </w:rPr>
        <w:t>万吨，年产料酒</w:t>
      </w:r>
      <w:r w:rsidRPr="002B55E9">
        <w:rPr>
          <w:rFonts w:hint="eastAsia"/>
          <w:bCs/>
        </w:rPr>
        <w:t>30</w:t>
      </w:r>
      <w:r w:rsidRPr="002B55E9">
        <w:rPr>
          <w:rFonts w:hint="eastAsia"/>
          <w:bCs/>
        </w:rPr>
        <w:t>万吨，年产黄酒</w:t>
      </w:r>
      <w:r w:rsidRPr="002B55E9">
        <w:rPr>
          <w:rFonts w:hint="eastAsia"/>
          <w:bCs/>
        </w:rPr>
        <w:t>2</w:t>
      </w:r>
      <w:r w:rsidRPr="002B55E9">
        <w:rPr>
          <w:rFonts w:hint="eastAsia"/>
          <w:bCs/>
        </w:rPr>
        <w:t>万吨。其料酒生产线</w:t>
      </w:r>
      <w:r w:rsidR="0069394E" w:rsidRPr="002B55E9">
        <w:rPr>
          <w:rFonts w:hint="eastAsia"/>
          <w:bCs/>
        </w:rPr>
        <w:t>香辛料</w:t>
      </w:r>
      <w:r w:rsidR="0069394E" w:rsidRPr="002B55E9">
        <w:rPr>
          <w:bCs/>
        </w:rPr>
        <w:t>破碎、</w:t>
      </w:r>
      <w:r w:rsidRPr="002B55E9">
        <w:rPr>
          <w:rFonts w:hint="eastAsia"/>
          <w:bCs/>
        </w:rPr>
        <w:t>浸提、过滤、调配混合以及白米醋生产线酒液调配、醋酸发酵、混合均未设置废气收集设施</w:t>
      </w:r>
      <w:r w:rsidR="006D6080" w:rsidRPr="002B55E9">
        <w:rPr>
          <w:rFonts w:hint="eastAsia"/>
          <w:bCs/>
        </w:rPr>
        <w:t>，废气均为无组织排放</w:t>
      </w:r>
      <w:r w:rsidRPr="002B55E9">
        <w:rPr>
          <w:rFonts w:hint="eastAsia"/>
          <w:bCs/>
        </w:rPr>
        <w:t>。</w:t>
      </w:r>
      <w:r w:rsidRPr="002B55E9">
        <w:rPr>
          <w:rFonts w:hint="eastAsia"/>
        </w:rPr>
        <w:t>根据海天醋业集团有限公司第二季度《海天醋业集团有限公司（西厂区）检测报告》（报告编号：</w:t>
      </w:r>
      <w:r w:rsidRPr="002B55E9">
        <w:rPr>
          <w:rFonts w:hint="eastAsia"/>
        </w:rPr>
        <w:t>JSHJ-2022S-11902-0</w:t>
      </w:r>
      <w:r w:rsidRPr="002B55E9">
        <w:t>3</w:t>
      </w:r>
      <w:r w:rsidRPr="002B55E9">
        <w:rPr>
          <w:rFonts w:hint="eastAsia"/>
        </w:rPr>
        <w:t>）</w:t>
      </w:r>
      <w:r w:rsidR="00892B01" w:rsidRPr="002B55E9">
        <w:rPr>
          <w:rFonts w:hint="eastAsia"/>
        </w:rPr>
        <w:t>、《海天醋业集团有限公司（西厂区）检测报告》（报告编号：</w:t>
      </w:r>
      <w:r w:rsidR="00892B01" w:rsidRPr="002B55E9">
        <w:rPr>
          <w:rFonts w:hint="eastAsia"/>
        </w:rPr>
        <w:t>JSHJ-2022S-11902-01</w:t>
      </w:r>
      <w:r w:rsidR="00892B01" w:rsidRPr="002B55E9">
        <w:rPr>
          <w:rFonts w:hint="eastAsia"/>
        </w:rPr>
        <w:t>），厂界无组织废气乙酸、乙醇的监测结果最大值均为</w:t>
      </w:r>
      <w:r w:rsidR="00892B01" w:rsidRPr="002B55E9">
        <w:rPr>
          <w:rFonts w:hint="eastAsia"/>
        </w:rPr>
        <w:t>N</w:t>
      </w:r>
      <w:r w:rsidR="00892B01" w:rsidRPr="002B55E9">
        <w:t>D</w:t>
      </w:r>
      <w:r w:rsidR="00892B01" w:rsidRPr="002B55E9">
        <w:t>，</w:t>
      </w:r>
      <w:r w:rsidR="00892B01" w:rsidRPr="002B55E9">
        <w:rPr>
          <w:rFonts w:hint="eastAsia"/>
        </w:rPr>
        <w:t>臭气浓度最大值</w:t>
      </w:r>
      <w:r w:rsidR="00892B01" w:rsidRPr="002B55E9">
        <w:t>均为＜</w:t>
      </w:r>
      <w:r w:rsidR="00892B01" w:rsidRPr="002B55E9">
        <w:rPr>
          <w:rFonts w:hint="eastAsia"/>
        </w:rPr>
        <w:t>10</w:t>
      </w:r>
      <w:r w:rsidR="00892B01" w:rsidRPr="002B55E9">
        <w:rPr>
          <w:rFonts w:hint="eastAsia"/>
        </w:rPr>
        <w:t>，</w:t>
      </w:r>
      <w:r w:rsidR="00892B01" w:rsidRPr="002B55E9">
        <w:t>对周边</w:t>
      </w:r>
      <w:r w:rsidR="00892B01" w:rsidRPr="002B55E9">
        <w:rPr>
          <w:rFonts w:hint="eastAsia"/>
        </w:rPr>
        <w:t>环境影响较小。</w:t>
      </w:r>
    </w:p>
    <w:p w14:paraId="2C5A5C78" w14:textId="279305F9" w:rsidR="006D6080" w:rsidRPr="002B55E9" w:rsidRDefault="006D6080" w:rsidP="00892B01">
      <w:pPr>
        <w:pStyle w:val="aa"/>
      </w:pPr>
      <w:r w:rsidRPr="002B55E9">
        <w:rPr>
          <w:rFonts w:hint="eastAsia"/>
        </w:rPr>
        <w:t>故本项目生产工艺废气经二级碱喷淋</w:t>
      </w:r>
      <w:r w:rsidRPr="002B55E9">
        <w:rPr>
          <w:rFonts w:hint="eastAsia"/>
        </w:rPr>
        <w:t>+</w:t>
      </w:r>
      <w:r w:rsidRPr="002B55E9">
        <w:t>水喷淋</w:t>
      </w:r>
      <w:r w:rsidRPr="002B55E9">
        <w:rPr>
          <w:rFonts w:hint="eastAsia"/>
        </w:rPr>
        <w:t>设施处理后，废气可达标排放，对周边环境影响较小。</w:t>
      </w:r>
    </w:p>
    <w:p w14:paraId="4E58DB60" w14:textId="4C26553C" w:rsidR="00365EB6" w:rsidRPr="002B55E9" w:rsidRDefault="00365EB6" w:rsidP="00892B01">
      <w:pPr>
        <w:pStyle w:val="aa"/>
      </w:pPr>
      <w:r w:rsidRPr="002B55E9">
        <w:rPr>
          <w:rFonts w:hint="eastAsia"/>
        </w:rPr>
        <w:t>拟建</w:t>
      </w:r>
      <w:r w:rsidRPr="002B55E9">
        <w:t>项目</w:t>
      </w:r>
      <w:r w:rsidRPr="002B55E9">
        <w:rPr>
          <w:rFonts w:hint="eastAsia"/>
        </w:rPr>
        <w:t>十三车间</w:t>
      </w:r>
      <w:r w:rsidRPr="002B55E9">
        <w:t>废气收集风量分配详见下表。</w:t>
      </w:r>
    </w:p>
    <w:p w14:paraId="7F423319" w14:textId="371A9B27" w:rsidR="00365EB6" w:rsidRPr="002B55E9" w:rsidRDefault="00365EB6" w:rsidP="00365EB6">
      <w:pPr>
        <w:pStyle w:val="aa"/>
        <w:spacing w:line="240" w:lineRule="auto"/>
        <w:ind w:firstLine="0"/>
        <w:jc w:val="center"/>
      </w:pPr>
      <w:r w:rsidRPr="002B55E9">
        <w:rPr>
          <w:rFonts w:eastAsia="黑体"/>
          <w:b/>
        </w:rPr>
        <w:t>表</w:t>
      </w:r>
      <w:r w:rsidRPr="002B55E9">
        <w:rPr>
          <w:rFonts w:eastAsia="黑体" w:hint="eastAsia"/>
          <w:b/>
        </w:rPr>
        <w:t>7-2</w:t>
      </w:r>
      <w:r w:rsidRPr="002B55E9">
        <w:rPr>
          <w:rFonts w:eastAsia="黑体"/>
          <w:b/>
        </w:rPr>
        <w:t xml:space="preserve">-2  </w:t>
      </w:r>
      <w:r w:rsidRPr="002B55E9">
        <w:rPr>
          <w:rFonts w:eastAsia="黑体"/>
          <w:b/>
        </w:rPr>
        <w:t>拟建项目</w:t>
      </w:r>
      <w:r w:rsidRPr="002B55E9">
        <w:rPr>
          <w:rFonts w:eastAsia="黑体" w:hint="eastAsia"/>
          <w:b/>
        </w:rPr>
        <w:t>十三车间各产气</w:t>
      </w:r>
      <w:r w:rsidRPr="002B55E9">
        <w:rPr>
          <w:rFonts w:eastAsia="黑体"/>
          <w:b/>
        </w:rPr>
        <w:t>设备风量分配一览表</w:t>
      </w:r>
    </w:p>
    <w:tbl>
      <w:tblPr>
        <w:tblStyle w:val="lgy2"/>
        <w:tblW w:w="5000" w:type="pct"/>
        <w:tblCellMar>
          <w:left w:w="28" w:type="dxa"/>
          <w:right w:w="28" w:type="dxa"/>
        </w:tblCellMar>
        <w:tblLook w:val="04A0" w:firstRow="1" w:lastRow="0" w:firstColumn="1" w:lastColumn="0" w:noHBand="0" w:noVBand="1"/>
      </w:tblPr>
      <w:tblGrid>
        <w:gridCol w:w="849"/>
        <w:gridCol w:w="1778"/>
        <w:gridCol w:w="1462"/>
        <w:gridCol w:w="1620"/>
        <w:gridCol w:w="1515"/>
        <w:gridCol w:w="1620"/>
        <w:gridCol w:w="849"/>
      </w:tblGrid>
      <w:tr w:rsidR="00C60999" w:rsidRPr="002B55E9" w14:paraId="08F3A0B0" w14:textId="77777777" w:rsidTr="00365EB6">
        <w:trPr>
          <w:cnfStyle w:val="100000000000" w:firstRow="1" w:lastRow="0" w:firstColumn="0" w:lastColumn="0" w:oddVBand="0" w:evenVBand="0" w:oddHBand="0" w:evenHBand="0" w:firstRowFirstColumn="0" w:firstRowLastColumn="0" w:lastRowFirstColumn="0" w:lastRowLastColumn="0"/>
          <w:trHeight w:val="283"/>
        </w:trPr>
        <w:tc>
          <w:tcPr>
            <w:tcW w:w="843" w:type="dxa"/>
            <w:noWrap/>
            <w:hideMark/>
          </w:tcPr>
          <w:p w14:paraId="49AD3514" w14:textId="77777777" w:rsidR="00365EB6" w:rsidRPr="002B55E9" w:rsidRDefault="00365EB6" w:rsidP="00365EB6">
            <w:pPr>
              <w:pStyle w:val="lgy-"/>
              <w:rPr>
                <w:rFonts w:eastAsia="宋体"/>
              </w:rPr>
            </w:pPr>
            <w:r w:rsidRPr="002B55E9">
              <w:rPr>
                <w:rFonts w:eastAsia="宋体"/>
              </w:rPr>
              <w:t>序号</w:t>
            </w:r>
          </w:p>
        </w:tc>
        <w:tc>
          <w:tcPr>
            <w:tcW w:w="1768" w:type="dxa"/>
            <w:noWrap/>
            <w:hideMark/>
          </w:tcPr>
          <w:p w14:paraId="14DA2798" w14:textId="77777777" w:rsidR="00365EB6" w:rsidRPr="002B55E9" w:rsidRDefault="00365EB6" w:rsidP="00365EB6">
            <w:pPr>
              <w:pStyle w:val="lgy-"/>
              <w:rPr>
                <w:rFonts w:eastAsia="宋体"/>
              </w:rPr>
            </w:pPr>
            <w:r w:rsidRPr="002B55E9">
              <w:rPr>
                <w:rFonts w:eastAsia="宋体"/>
              </w:rPr>
              <w:t>区域</w:t>
            </w:r>
          </w:p>
        </w:tc>
        <w:tc>
          <w:tcPr>
            <w:tcW w:w="1454" w:type="dxa"/>
            <w:noWrap/>
            <w:hideMark/>
          </w:tcPr>
          <w:p w14:paraId="102DB834" w14:textId="77777777" w:rsidR="00365EB6" w:rsidRPr="002B55E9" w:rsidRDefault="00365EB6" w:rsidP="00365EB6">
            <w:pPr>
              <w:pStyle w:val="lgy-"/>
              <w:rPr>
                <w:rFonts w:eastAsia="宋体"/>
              </w:rPr>
            </w:pPr>
            <w:r w:rsidRPr="002B55E9">
              <w:rPr>
                <w:rFonts w:eastAsia="宋体"/>
              </w:rPr>
              <w:t>设备名称</w:t>
            </w:r>
          </w:p>
        </w:tc>
        <w:tc>
          <w:tcPr>
            <w:tcW w:w="1611" w:type="dxa"/>
            <w:hideMark/>
          </w:tcPr>
          <w:p w14:paraId="45006F64" w14:textId="545D644F" w:rsidR="00365EB6" w:rsidRPr="002B55E9" w:rsidRDefault="00365EB6" w:rsidP="00365EB6">
            <w:pPr>
              <w:pStyle w:val="lgy-"/>
              <w:rPr>
                <w:rFonts w:eastAsia="宋体"/>
              </w:rPr>
            </w:pPr>
            <w:r w:rsidRPr="002B55E9">
              <w:rPr>
                <w:rFonts w:eastAsia="宋体"/>
              </w:rPr>
              <w:t>单个</w:t>
            </w:r>
            <w:r w:rsidRPr="002B55E9">
              <w:rPr>
                <w:rFonts w:eastAsia="宋体" w:hint="eastAsia"/>
              </w:rPr>
              <w:t>风</w:t>
            </w:r>
            <w:r w:rsidRPr="002B55E9">
              <w:rPr>
                <w:rFonts w:eastAsia="宋体"/>
              </w:rPr>
              <w:t>量</w:t>
            </w:r>
            <w:r w:rsidRPr="002B55E9">
              <w:rPr>
                <w:rFonts w:eastAsia="宋体"/>
              </w:rPr>
              <w:t>m³/h</w:t>
            </w:r>
          </w:p>
        </w:tc>
        <w:tc>
          <w:tcPr>
            <w:tcW w:w="1506" w:type="dxa"/>
            <w:noWrap/>
            <w:hideMark/>
          </w:tcPr>
          <w:p w14:paraId="3CBE3AA0" w14:textId="01562704" w:rsidR="00365EB6" w:rsidRPr="002B55E9" w:rsidRDefault="00365EB6" w:rsidP="00365EB6">
            <w:pPr>
              <w:pStyle w:val="lgy-"/>
              <w:rPr>
                <w:rFonts w:eastAsia="宋体"/>
              </w:rPr>
            </w:pPr>
            <w:r w:rsidRPr="002B55E9">
              <w:rPr>
                <w:rFonts w:eastAsia="宋体"/>
              </w:rPr>
              <w:t>设备数量</w:t>
            </w:r>
            <w:r w:rsidRPr="002B55E9">
              <w:rPr>
                <w:rFonts w:eastAsia="宋体" w:hint="eastAsia"/>
              </w:rPr>
              <w:t>（</w:t>
            </w:r>
            <w:r w:rsidRPr="002B55E9">
              <w:rPr>
                <w:rFonts w:eastAsia="宋体"/>
              </w:rPr>
              <w:t>台</w:t>
            </w:r>
            <w:r w:rsidRPr="002B55E9">
              <w:rPr>
                <w:rFonts w:eastAsia="宋体" w:hint="eastAsia"/>
              </w:rPr>
              <w:t>）</w:t>
            </w:r>
          </w:p>
        </w:tc>
        <w:tc>
          <w:tcPr>
            <w:tcW w:w="1611" w:type="dxa"/>
            <w:hideMark/>
          </w:tcPr>
          <w:p w14:paraId="68DBEA28" w14:textId="78AF8A36" w:rsidR="00365EB6" w:rsidRPr="002B55E9" w:rsidRDefault="00365EB6" w:rsidP="00365EB6">
            <w:pPr>
              <w:pStyle w:val="lgy-"/>
              <w:rPr>
                <w:rFonts w:eastAsia="宋体"/>
              </w:rPr>
            </w:pPr>
            <w:r w:rsidRPr="002B55E9">
              <w:rPr>
                <w:rFonts w:eastAsia="宋体" w:hint="eastAsia"/>
              </w:rPr>
              <w:t>风</w:t>
            </w:r>
            <w:r w:rsidRPr="002B55E9">
              <w:rPr>
                <w:rFonts w:eastAsia="宋体"/>
              </w:rPr>
              <w:t>量</w:t>
            </w:r>
            <w:r w:rsidRPr="002B55E9">
              <w:rPr>
                <w:rFonts w:eastAsia="宋体"/>
              </w:rPr>
              <w:t>m³/h</w:t>
            </w:r>
          </w:p>
        </w:tc>
        <w:tc>
          <w:tcPr>
            <w:tcW w:w="844" w:type="dxa"/>
            <w:noWrap/>
            <w:hideMark/>
          </w:tcPr>
          <w:p w14:paraId="57B2FF29" w14:textId="77777777" w:rsidR="00365EB6" w:rsidRPr="002B55E9" w:rsidRDefault="00365EB6" w:rsidP="00365EB6">
            <w:pPr>
              <w:pStyle w:val="lgy-"/>
              <w:rPr>
                <w:rFonts w:eastAsia="宋体"/>
              </w:rPr>
            </w:pPr>
            <w:r w:rsidRPr="002B55E9">
              <w:rPr>
                <w:rFonts w:eastAsia="宋体"/>
              </w:rPr>
              <w:t>备注</w:t>
            </w:r>
          </w:p>
        </w:tc>
      </w:tr>
      <w:tr w:rsidR="00C60999" w:rsidRPr="002B55E9" w14:paraId="03797F19" w14:textId="77777777" w:rsidTr="00365EB6">
        <w:trPr>
          <w:trHeight w:val="283"/>
        </w:trPr>
        <w:tc>
          <w:tcPr>
            <w:tcW w:w="843" w:type="dxa"/>
            <w:noWrap/>
            <w:hideMark/>
          </w:tcPr>
          <w:p w14:paraId="5B2ABED1" w14:textId="77777777" w:rsidR="00365EB6" w:rsidRPr="002B55E9" w:rsidRDefault="00365EB6" w:rsidP="00365EB6">
            <w:pPr>
              <w:pStyle w:val="lgy-"/>
              <w:rPr>
                <w:rFonts w:eastAsia="宋体"/>
              </w:rPr>
            </w:pPr>
            <w:r w:rsidRPr="002B55E9">
              <w:rPr>
                <w:rFonts w:eastAsia="宋体"/>
              </w:rPr>
              <w:t>1</w:t>
            </w:r>
          </w:p>
        </w:tc>
        <w:tc>
          <w:tcPr>
            <w:tcW w:w="1768" w:type="dxa"/>
            <w:noWrap/>
            <w:hideMark/>
          </w:tcPr>
          <w:p w14:paraId="11E736DD" w14:textId="77777777" w:rsidR="00365EB6" w:rsidRPr="002B55E9" w:rsidRDefault="00365EB6" w:rsidP="00365EB6">
            <w:pPr>
              <w:pStyle w:val="lgy-"/>
              <w:rPr>
                <w:rFonts w:eastAsia="宋体"/>
              </w:rPr>
            </w:pPr>
            <w:r w:rsidRPr="002B55E9">
              <w:rPr>
                <w:rFonts w:eastAsia="宋体" w:hint="eastAsia"/>
              </w:rPr>
              <w:t>酒精发酵</w:t>
            </w:r>
          </w:p>
        </w:tc>
        <w:tc>
          <w:tcPr>
            <w:tcW w:w="1454" w:type="dxa"/>
            <w:noWrap/>
            <w:hideMark/>
          </w:tcPr>
          <w:p w14:paraId="6E307514" w14:textId="77777777" w:rsidR="00365EB6" w:rsidRPr="002B55E9" w:rsidRDefault="00365EB6" w:rsidP="00365EB6">
            <w:pPr>
              <w:pStyle w:val="lgy-"/>
              <w:rPr>
                <w:rFonts w:eastAsia="宋体"/>
              </w:rPr>
            </w:pPr>
            <w:r w:rsidRPr="002B55E9">
              <w:rPr>
                <w:rFonts w:eastAsia="宋体"/>
              </w:rPr>
              <w:t>60m³</w:t>
            </w:r>
            <w:r w:rsidRPr="002B55E9">
              <w:rPr>
                <w:rFonts w:eastAsia="宋体"/>
              </w:rPr>
              <w:t>罐</w:t>
            </w:r>
          </w:p>
        </w:tc>
        <w:tc>
          <w:tcPr>
            <w:tcW w:w="1611" w:type="dxa"/>
            <w:hideMark/>
          </w:tcPr>
          <w:p w14:paraId="54087454" w14:textId="77777777" w:rsidR="00365EB6" w:rsidRPr="002B55E9" w:rsidRDefault="00365EB6" w:rsidP="00365EB6">
            <w:pPr>
              <w:pStyle w:val="lgy-"/>
              <w:rPr>
                <w:rFonts w:eastAsia="宋体"/>
              </w:rPr>
            </w:pPr>
            <w:r w:rsidRPr="002B55E9">
              <w:rPr>
                <w:rFonts w:eastAsia="宋体"/>
              </w:rPr>
              <w:t>300</w:t>
            </w:r>
          </w:p>
        </w:tc>
        <w:tc>
          <w:tcPr>
            <w:tcW w:w="1506" w:type="dxa"/>
            <w:noWrap/>
            <w:hideMark/>
          </w:tcPr>
          <w:p w14:paraId="6363A24A" w14:textId="77777777" w:rsidR="00365EB6" w:rsidRPr="002B55E9" w:rsidRDefault="00365EB6" w:rsidP="00365EB6">
            <w:pPr>
              <w:pStyle w:val="lgy-"/>
              <w:rPr>
                <w:rFonts w:eastAsia="宋体"/>
              </w:rPr>
            </w:pPr>
            <w:r w:rsidRPr="002B55E9">
              <w:rPr>
                <w:rFonts w:eastAsia="宋体"/>
              </w:rPr>
              <w:t>3</w:t>
            </w:r>
          </w:p>
        </w:tc>
        <w:tc>
          <w:tcPr>
            <w:tcW w:w="1611" w:type="dxa"/>
            <w:hideMark/>
          </w:tcPr>
          <w:p w14:paraId="0055E0AE" w14:textId="77777777" w:rsidR="00365EB6" w:rsidRPr="002B55E9" w:rsidRDefault="00365EB6" w:rsidP="00365EB6">
            <w:pPr>
              <w:pStyle w:val="lgy-"/>
              <w:rPr>
                <w:rFonts w:eastAsia="宋体"/>
              </w:rPr>
            </w:pPr>
            <w:r w:rsidRPr="002B55E9">
              <w:rPr>
                <w:rFonts w:eastAsia="宋体"/>
              </w:rPr>
              <w:t>900</w:t>
            </w:r>
          </w:p>
        </w:tc>
        <w:tc>
          <w:tcPr>
            <w:tcW w:w="844" w:type="dxa"/>
            <w:noWrap/>
            <w:hideMark/>
          </w:tcPr>
          <w:p w14:paraId="799926FC" w14:textId="77777777" w:rsidR="00365EB6" w:rsidRPr="002B55E9" w:rsidRDefault="00365EB6" w:rsidP="00365EB6">
            <w:pPr>
              <w:pStyle w:val="lgy-"/>
              <w:rPr>
                <w:rFonts w:eastAsia="宋体"/>
              </w:rPr>
            </w:pPr>
            <w:r w:rsidRPr="002B55E9">
              <w:rPr>
                <w:rFonts w:eastAsia="宋体"/>
              </w:rPr>
              <w:t xml:space="preserve">　</w:t>
            </w:r>
          </w:p>
        </w:tc>
      </w:tr>
      <w:tr w:rsidR="00C60999" w:rsidRPr="002B55E9" w14:paraId="7410982E" w14:textId="77777777" w:rsidTr="00365EB6">
        <w:trPr>
          <w:trHeight w:val="283"/>
        </w:trPr>
        <w:tc>
          <w:tcPr>
            <w:tcW w:w="843" w:type="dxa"/>
            <w:noWrap/>
            <w:hideMark/>
          </w:tcPr>
          <w:p w14:paraId="670D9302" w14:textId="77777777" w:rsidR="00365EB6" w:rsidRPr="002B55E9" w:rsidRDefault="00365EB6" w:rsidP="00365EB6">
            <w:pPr>
              <w:pStyle w:val="lgy-"/>
              <w:rPr>
                <w:rFonts w:eastAsia="宋体"/>
              </w:rPr>
            </w:pPr>
            <w:r w:rsidRPr="002B55E9">
              <w:rPr>
                <w:rFonts w:eastAsia="宋体"/>
              </w:rPr>
              <w:t>2</w:t>
            </w:r>
          </w:p>
        </w:tc>
        <w:tc>
          <w:tcPr>
            <w:tcW w:w="1768" w:type="dxa"/>
            <w:vMerge w:val="restart"/>
            <w:noWrap/>
            <w:hideMark/>
          </w:tcPr>
          <w:p w14:paraId="0ECDA505" w14:textId="77777777" w:rsidR="00365EB6" w:rsidRPr="002B55E9" w:rsidRDefault="00365EB6" w:rsidP="00365EB6">
            <w:pPr>
              <w:pStyle w:val="lgy-"/>
              <w:rPr>
                <w:rFonts w:eastAsia="宋体"/>
              </w:rPr>
            </w:pPr>
            <w:r w:rsidRPr="002B55E9">
              <w:rPr>
                <w:rFonts w:eastAsia="宋体"/>
              </w:rPr>
              <w:t>醋发酵罐</w:t>
            </w:r>
          </w:p>
        </w:tc>
        <w:tc>
          <w:tcPr>
            <w:tcW w:w="1454" w:type="dxa"/>
            <w:noWrap/>
            <w:hideMark/>
          </w:tcPr>
          <w:p w14:paraId="02407CDF" w14:textId="77777777" w:rsidR="00365EB6" w:rsidRPr="002B55E9" w:rsidRDefault="00365EB6" w:rsidP="00365EB6">
            <w:pPr>
              <w:pStyle w:val="lgy-"/>
              <w:rPr>
                <w:rFonts w:eastAsia="宋体"/>
              </w:rPr>
            </w:pPr>
            <w:r w:rsidRPr="002B55E9">
              <w:rPr>
                <w:rFonts w:eastAsia="宋体"/>
              </w:rPr>
              <w:t>V600</w:t>
            </w:r>
          </w:p>
        </w:tc>
        <w:tc>
          <w:tcPr>
            <w:tcW w:w="1611" w:type="dxa"/>
            <w:noWrap/>
            <w:hideMark/>
          </w:tcPr>
          <w:p w14:paraId="7F03387F" w14:textId="77777777" w:rsidR="00365EB6" w:rsidRPr="002B55E9" w:rsidRDefault="00365EB6" w:rsidP="00365EB6">
            <w:pPr>
              <w:pStyle w:val="lgy-"/>
              <w:rPr>
                <w:rFonts w:eastAsia="宋体"/>
              </w:rPr>
            </w:pPr>
            <w:r w:rsidRPr="002B55E9">
              <w:rPr>
                <w:rFonts w:eastAsia="宋体"/>
              </w:rPr>
              <w:t>120</w:t>
            </w:r>
          </w:p>
        </w:tc>
        <w:tc>
          <w:tcPr>
            <w:tcW w:w="1506" w:type="dxa"/>
            <w:noWrap/>
            <w:hideMark/>
          </w:tcPr>
          <w:p w14:paraId="399B56E7" w14:textId="77777777" w:rsidR="00365EB6" w:rsidRPr="002B55E9" w:rsidRDefault="00365EB6" w:rsidP="00365EB6">
            <w:pPr>
              <w:pStyle w:val="lgy-"/>
              <w:rPr>
                <w:rFonts w:eastAsia="宋体"/>
              </w:rPr>
            </w:pPr>
            <w:r w:rsidRPr="002B55E9">
              <w:rPr>
                <w:rFonts w:eastAsia="宋体"/>
              </w:rPr>
              <w:t>1</w:t>
            </w:r>
          </w:p>
        </w:tc>
        <w:tc>
          <w:tcPr>
            <w:tcW w:w="1611" w:type="dxa"/>
            <w:noWrap/>
            <w:hideMark/>
          </w:tcPr>
          <w:p w14:paraId="1761A294" w14:textId="77777777" w:rsidR="00365EB6" w:rsidRPr="002B55E9" w:rsidRDefault="00365EB6" w:rsidP="00365EB6">
            <w:pPr>
              <w:pStyle w:val="lgy-"/>
              <w:rPr>
                <w:rFonts w:eastAsia="宋体"/>
              </w:rPr>
            </w:pPr>
            <w:r w:rsidRPr="002B55E9">
              <w:rPr>
                <w:rFonts w:eastAsia="宋体"/>
              </w:rPr>
              <w:t>120</w:t>
            </w:r>
          </w:p>
        </w:tc>
        <w:tc>
          <w:tcPr>
            <w:tcW w:w="844" w:type="dxa"/>
            <w:vMerge w:val="restart"/>
            <w:hideMark/>
          </w:tcPr>
          <w:p w14:paraId="17A6C642" w14:textId="56718249" w:rsidR="00365EB6" w:rsidRPr="002B55E9" w:rsidRDefault="00365EB6" w:rsidP="00365EB6">
            <w:pPr>
              <w:pStyle w:val="lgy-"/>
              <w:rPr>
                <w:rFonts w:eastAsia="宋体"/>
              </w:rPr>
            </w:pPr>
            <w:r w:rsidRPr="002B55E9">
              <w:rPr>
                <w:rFonts w:eastAsia="宋体"/>
              </w:rPr>
              <w:t>风量按发酵供气量峰值设计</w:t>
            </w:r>
          </w:p>
        </w:tc>
      </w:tr>
      <w:tr w:rsidR="00C60999" w:rsidRPr="002B55E9" w14:paraId="1914FBD6" w14:textId="77777777" w:rsidTr="00365EB6">
        <w:trPr>
          <w:trHeight w:val="283"/>
        </w:trPr>
        <w:tc>
          <w:tcPr>
            <w:tcW w:w="843" w:type="dxa"/>
            <w:noWrap/>
            <w:hideMark/>
          </w:tcPr>
          <w:p w14:paraId="3BAB247B" w14:textId="77777777" w:rsidR="00365EB6" w:rsidRPr="002B55E9" w:rsidRDefault="00365EB6" w:rsidP="00365EB6">
            <w:pPr>
              <w:pStyle w:val="lgy-"/>
              <w:rPr>
                <w:rFonts w:eastAsia="宋体"/>
              </w:rPr>
            </w:pPr>
            <w:r w:rsidRPr="002B55E9">
              <w:rPr>
                <w:rFonts w:eastAsia="宋体"/>
              </w:rPr>
              <w:t>3</w:t>
            </w:r>
          </w:p>
        </w:tc>
        <w:tc>
          <w:tcPr>
            <w:tcW w:w="1768" w:type="dxa"/>
            <w:vMerge/>
            <w:hideMark/>
          </w:tcPr>
          <w:p w14:paraId="2FA3619E" w14:textId="77777777" w:rsidR="00365EB6" w:rsidRPr="002B55E9" w:rsidRDefault="00365EB6" w:rsidP="00365EB6">
            <w:pPr>
              <w:pStyle w:val="lgy-"/>
              <w:rPr>
                <w:rFonts w:eastAsia="宋体"/>
              </w:rPr>
            </w:pPr>
          </w:p>
        </w:tc>
        <w:tc>
          <w:tcPr>
            <w:tcW w:w="1454" w:type="dxa"/>
            <w:noWrap/>
            <w:hideMark/>
          </w:tcPr>
          <w:p w14:paraId="29E4C98F" w14:textId="77777777" w:rsidR="00365EB6" w:rsidRPr="002B55E9" w:rsidRDefault="00365EB6" w:rsidP="00365EB6">
            <w:pPr>
              <w:pStyle w:val="lgy-"/>
              <w:rPr>
                <w:rFonts w:eastAsia="宋体"/>
              </w:rPr>
            </w:pPr>
            <w:r w:rsidRPr="002B55E9">
              <w:rPr>
                <w:rFonts w:eastAsia="宋体"/>
              </w:rPr>
              <w:t>V1800</w:t>
            </w:r>
          </w:p>
        </w:tc>
        <w:tc>
          <w:tcPr>
            <w:tcW w:w="1611" w:type="dxa"/>
            <w:noWrap/>
            <w:hideMark/>
          </w:tcPr>
          <w:p w14:paraId="491540A6" w14:textId="77777777" w:rsidR="00365EB6" w:rsidRPr="002B55E9" w:rsidRDefault="00365EB6" w:rsidP="00365EB6">
            <w:pPr>
              <w:pStyle w:val="lgy-"/>
              <w:rPr>
                <w:rFonts w:eastAsia="宋体"/>
              </w:rPr>
            </w:pPr>
            <w:r w:rsidRPr="002B55E9">
              <w:rPr>
                <w:rFonts w:eastAsia="宋体"/>
              </w:rPr>
              <w:t>500</w:t>
            </w:r>
          </w:p>
        </w:tc>
        <w:tc>
          <w:tcPr>
            <w:tcW w:w="1506" w:type="dxa"/>
            <w:noWrap/>
            <w:hideMark/>
          </w:tcPr>
          <w:p w14:paraId="4F5E0801" w14:textId="77777777" w:rsidR="00365EB6" w:rsidRPr="002B55E9" w:rsidRDefault="00365EB6" w:rsidP="00365EB6">
            <w:pPr>
              <w:pStyle w:val="lgy-"/>
              <w:rPr>
                <w:rFonts w:eastAsia="宋体"/>
              </w:rPr>
            </w:pPr>
            <w:r w:rsidRPr="002B55E9">
              <w:rPr>
                <w:rFonts w:eastAsia="宋体"/>
              </w:rPr>
              <w:t>1</w:t>
            </w:r>
          </w:p>
        </w:tc>
        <w:tc>
          <w:tcPr>
            <w:tcW w:w="1611" w:type="dxa"/>
            <w:noWrap/>
            <w:hideMark/>
          </w:tcPr>
          <w:p w14:paraId="6565F730" w14:textId="77777777" w:rsidR="00365EB6" w:rsidRPr="002B55E9" w:rsidRDefault="00365EB6" w:rsidP="00365EB6">
            <w:pPr>
              <w:pStyle w:val="lgy-"/>
              <w:rPr>
                <w:rFonts w:eastAsia="宋体"/>
              </w:rPr>
            </w:pPr>
            <w:r w:rsidRPr="002B55E9">
              <w:rPr>
                <w:rFonts w:eastAsia="宋体"/>
              </w:rPr>
              <w:t>500</w:t>
            </w:r>
          </w:p>
        </w:tc>
        <w:tc>
          <w:tcPr>
            <w:tcW w:w="844" w:type="dxa"/>
            <w:vMerge/>
            <w:hideMark/>
          </w:tcPr>
          <w:p w14:paraId="13C8CAB3" w14:textId="77777777" w:rsidR="00365EB6" w:rsidRPr="002B55E9" w:rsidRDefault="00365EB6" w:rsidP="00365EB6">
            <w:pPr>
              <w:pStyle w:val="lgy-"/>
              <w:rPr>
                <w:rFonts w:eastAsia="宋体"/>
              </w:rPr>
            </w:pPr>
          </w:p>
        </w:tc>
      </w:tr>
      <w:tr w:rsidR="00C60999" w:rsidRPr="002B55E9" w14:paraId="59D66D64" w14:textId="77777777" w:rsidTr="00365EB6">
        <w:trPr>
          <w:trHeight w:val="283"/>
        </w:trPr>
        <w:tc>
          <w:tcPr>
            <w:tcW w:w="843" w:type="dxa"/>
            <w:noWrap/>
            <w:hideMark/>
          </w:tcPr>
          <w:p w14:paraId="550E0D2B" w14:textId="77777777" w:rsidR="00365EB6" w:rsidRPr="002B55E9" w:rsidRDefault="00365EB6" w:rsidP="00365EB6">
            <w:pPr>
              <w:pStyle w:val="lgy-"/>
              <w:rPr>
                <w:rFonts w:eastAsia="宋体"/>
              </w:rPr>
            </w:pPr>
            <w:r w:rsidRPr="002B55E9">
              <w:rPr>
                <w:rFonts w:eastAsia="宋体"/>
              </w:rPr>
              <w:t>4</w:t>
            </w:r>
          </w:p>
        </w:tc>
        <w:tc>
          <w:tcPr>
            <w:tcW w:w="1768" w:type="dxa"/>
            <w:vMerge/>
            <w:hideMark/>
          </w:tcPr>
          <w:p w14:paraId="171C0EF4" w14:textId="77777777" w:rsidR="00365EB6" w:rsidRPr="002B55E9" w:rsidRDefault="00365EB6" w:rsidP="00365EB6">
            <w:pPr>
              <w:pStyle w:val="lgy-"/>
              <w:rPr>
                <w:rFonts w:eastAsia="宋体"/>
              </w:rPr>
            </w:pPr>
          </w:p>
        </w:tc>
        <w:tc>
          <w:tcPr>
            <w:tcW w:w="1454" w:type="dxa"/>
            <w:noWrap/>
            <w:hideMark/>
          </w:tcPr>
          <w:p w14:paraId="2A76626F" w14:textId="77777777" w:rsidR="00365EB6" w:rsidRPr="002B55E9" w:rsidRDefault="00365EB6" w:rsidP="00365EB6">
            <w:pPr>
              <w:pStyle w:val="lgy-"/>
              <w:rPr>
                <w:rFonts w:eastAsia="宋体"/>
              </w:rPr>
            </w:pPr>
            <w:r w:rsidRPr="002B55E9">
              <w:rPr>
                <w:rFonts w:eastAsia="宋体"/>
              </w:rPr>
              <w:t>V2400</w:t>
            </w:r>
          </w:p>
        </w:tc>
        <w:tc>
          <w:tcPr>
            <w:tcW w:w="1611" w:type="dxa"/>
            <w:noWrap/>
            <w:hideMark/>
          </w:tcPr>
          <w:p w14:paraId="1AAB1438" w14:textId="77777777" w:rsidR="00365EB6" w:rsidRPr="002B55E9" w:rsidRDefault="00365EB6" w:rsidP="00365EB6">
            <w:pPr>
              <w:pStyle w:val="lgy-"/>
              <w:rPr>
                <w:rFonts w:eastAsia="宋体"/>
              </w:rPr>
            </w:pPr>
            <w:r w:rsidRPr="002B55E9">
              <w:rPr>
                <w:rFonts w:eastAsia="宋体"/>
              </w:rPr>
              <w:t>1000</w:t>
            </w:r>
          </w:p>
        </w:tc>
        <w:tc>
          <w:tcPr>
            <w:tcW w:w="1506" w:type="dxa"/>
            <w:noWrap/>
            <w:hideMark/>
          </w:tcPr>
          <w:p w14:paraId="30335E4B" w14:textId="77777777" w:rsidR="00365EB6" w:rsidRPr="002B55E9" w:rsidRDefault="00365EB6" w:rsidP="00365EB6">
            <w:pPr>
              <w:pStyle w:val="lgy-"/>
              <w:rPr>
                <w:rFonts w:eastAsia="宋体"/>
              </w:rPr>
            </w:pPr>
            <w:r w:rsidRPr="002B55E9">
              <w:rPr>
                <w:rFonts w:eastAsia="宋体"/>
              </w:rPr>
              <w:t>1</w:t>
            </w:r>
          </w:p>
        </w:tc>
        <w:tc>
          <w:tcPr>
            <w:tcW w:w="1611" w:type="dxa"/>
            <w:noWrap/>
            <w:hideMark/>
          </w:tcPr>
          <w:p w14:paraId="3DB534B2" w14:textId="77777777" w:rsidR="00365EB6" w:rsidRPr="002B55E9" w:rsidRDefault="00365EB6" w:rsidP="00365EB6">
            <w:pPr>
              <w:pStyle w:val="lgy-"/>
              <w:rPr>
                <w:rFonts w:eastAsia="宋体"/>
              </w:rPr>
            </w:pPr>
            <w:r w:rsidRPr="002B55E9">
              <w:rPr>
                <w:rFonts w:eastAsia="宋体"/>
              </w:rPr>
              <w:t>1000</w:t>
            </w:r>
          </w:p>
        </w:tc>
        <w:tc>
          <w:tcPr>
            <w:tcW w:w="844" w:type="dxa"/>
            <w:vMerge/>
            <w:hideMark/>
          </w:tcPr>
          <w:p w14:paraId="6BB35525" w14:textId="77777777" w:rsidR="00365EB6" w:rsidRPr="002B55E9" w:rsidRDefault="00365EB6" w:rsidP="00365EB6">
            <w:pPr>
              <w:pStyle w:val="lgy-"/>
              <w:rPr>
                <w:rFonts w:eastAsia="宋体"/>
              </w:rPr>
            </w:pPr>
          </w:p>
        </w:tc>
      </w:tr>
      <w:tr w:rsidR="00C60999" w:rsidRPr="002B55E9" w14:paraId="5F369780" w14:textId="77777777" w:rsidTr="00365EB6">
        <w:trPr>
          <w:trHeight w:val="283"/>
        </w:trPr>
        <w:tc>
          <w:tcPr>
            <w:tcW w:w="843" w:type="dxa"/>
            <w:noWrap/>
            <w:hideMark/>
          </w:tcPr>
          <w:p w14:paraId="122F8666" w14:textId="77777777" w:rsidR="00365EB6" w:rsidRPr="002B55E9" w:rsidRDefault="00365EB6" w:rsidP="00365EB6">
            <w:pPr>
              <w:pStyle w:val="lgy-"/>
              <w:rPr>
                <w:rFonts w:eastAsia="宋体"/>
              </w:rPr>
            </w:pPr>
            <w:r w:rsidRPr="002B55E9">
              <w:rPr>
                <w:rFonts w:eastAsia="宋体"/>
              </w:rPr>
              <w:t>5</w:t>
            </w:r>
          </w:p>
        </w:tc>
        <w:tc>
          <w:tcPr>
            <w:tcW w:w="1768" w:type="dxa"/>
            <w:noWrap/>
            <w:hideMark/>
          </w:tcPr>
          <w:p w14:paraId="4443AE34" w14:textId="77777777" w:rsidR="00365EB6" w:rsidRPr="002B55E9" w:rsidRDefault="00365EB6" w:rsidP="00365EB6">
            <w:pPr>
              <w:pStyle w:val="lgy-"/>
              <w:rPr>
                <w:rFonts w:eastAsia="宋体"/>
              </w:rPr>
            </w:pPr>
            <w:r w:rsidRPr="002B55E9">
              <w:rPr>
                <w:rFonts w:eastAsia="宋体"/>
              </w:rPr>
              <w:t>配兑罐区</w:t>
            </w:r>
          </w:p>
        </w:tc>
        <w:tc>
          <w:tcPr>
            <w:tcW w:w="1454" w:type="dxa"/>
            <w:noWrap/>
            <w:hideMark/>
          </w:tcPr>
          <w:p w14:paraId="737ECEBD" w14:textId="77777777" w:rsidR="00365EB6" w:rsidRPr="002B55E9" w:rsidRDefault="00365EB6" w:rsidP="00365EB6">
            <w:pPr>
              <w:pStyle w:val="lgy-"/>
              <w:rPr>
                <w:rFonts w:eastAsia="宋体"/>
              </w:rPr>
            </w:pPr>
            <w:r w:rsidRPr="002B55E9">
              <w:rPr>
                <w:rFonts w:eastAsia="宋体"/>
              </w:rPr>
              <w:t>80m³</w:t>
            </w:r>
            <w:r w:rsidRPr="002B55E9">
              <w:rPr>
                <w:rFonts w:eastAsia="宋体"/>
              </w:rPr>
              <w:t>配兑罐</w:t>
            </w:r>
          </w:p>
        </w:tc>
        <w:tc>
          <w:tcPr>
            <w:tcW w:w="1611" w:type="dxa"/>
            <w:noWrap/>
            <w:hideMark/>
          </w:tcPr>
          <w:p w14:paraId="62CE1E4C" w14:textId="77777777" w:rsidR="00365EB6" w:rsidRPr="002B55E9" w:rsidRDefault="00365EB6" w:rsidP="00365EB6">
            <w:pPr>
              <w:pStyle w:val="lgy-"/>
              <w:rPr>
                <w:rFonts w:eastAsia="宋体"/>
              </w:rPr>
            </w:pPr>
            <w:r w:rsidRPr="002B55E9">
              <w:rPr>
                <w:rFonts w:eastAsia="宋体"/>
              </w:rPr>
              <w:t>240</w:t>
            </w:r>
          </w:p>
        </w:tc>
        <w:tc>
          <w:tcPr>
            <w:tcW w:w="1506" w:type="dxa"/>
            <w:noWrap/>
            <w:hideMark/>
          </w:tcPr>
          <w:p w14:paraId="186D2A58" w14:textId="77777777" w:rsidR="00365EB6" w:rsidRPr="002B55E9" w:rsidRDefault="00365EB6" w:rsidP="00365EB6">
            <w:pPr>
              <w:pStyle w:val="lgy-"/>
              <w:rPr>
                <w:rFonts w:eastAsia="宋体"/>
              </w:rPr>
            </w:pPr>
            <w:r w:rsidRPr="002B55E9">
              <w:rPr>
                <w:rFonts w:eastAsia="宋体"/>
              </w:rPr>
              <w:t>6</w:t>
            </w:r>
          </w:p>
        </w:tc>
        <w:tc>
          <w:tcPr>
            <w:tcW w:w="1611" w:type="dxa"/>
            <w:noWrap/>
            <w:hideMark/>
          </w:tcPr>
          <w:p w14:paraId="2EFE388D" w14:textId="77777777" w:rsidR="00365EB6" w:rsidRPr="002B55E9" w:rsidRDefault="00365EB6" w:rsidP="00365EB6">
            <w:pPr>
              <w:pStyle w:val="lgy-"/>
              <w:rPr>
                <w:rFonts w:eastAsia="宋体"/>
              </w:rPr>
            </w:pPr>
            <w:r w:rsidRPr="002B55E9">
              <w:rPr>
                <w:rFonts w:eastAsia="宋体"/>
              </w:rPr>
              <w:t>1440</w:t>
            </w:r>
          </w:p>
        </w:tc>
        <w:tc>
          <w:tcPr>
            <w:tcW w:w="844" w:type="dxa"/>
            <w:vMerge w:val="restart"/>
            <w:hideMark/>
          </w:tcPr>
          <w:p w14:paraId="69CC571B" w14:textId="41604AFC" w:rsidR="00365EB6" w:rsidRPr="002B55E9" w:rsidRDefault="00365EB6" w:rsidP="00365EB6">
            <w:pPr>
              <w:pStyle w:val="lgy-"/>
              <w:rPr>
                <w:rFonts w:eastAsia="宋体"/>
              </w:rPr>
            </w:pPr>
            <w:r w:rsidRPr="002B55E9">
              <w:rPr>
                <w:rFonts w:eastAsia="宋体"/>
              </w:rPr>
              <w:t>每小时抽风量按罐的</w:t>
            </w:r>
            <w:r w:rsidRPr="002B55E9">
              <w:rPr>
                <w:rFonts w:eastAsia="宋体"/>
              </w:rPr>
              <w:t>3</w:t>
            </w:r>
            <w:r w:rsidRPr="002B55E9">
              <w:rPr>
                <w:rFonts w:eastAsia="宋体"/>
              </w:rPr>
              <w:t>倍体积设计</w:t>
            </w:r>
          </w:p>
        </w:tc>
      </w:tr>
      <w:tr w:rsidR="00C60999" w:rsidRPr="002B55E9" w14:paraId="2CE25CAE" w14:textId="77777777" w:rsidTr="00365EB6">
        <w:trPr>
          <w:trHeight w:val="283"/>
        </w:trPr>
        <w:tc>
          <w:tcPr>
            <w:tcW w:w="843" w:type="dxa"/>
            <w:noWrap/>
            <w:hideMark/>
          </w:tcPr>
          <w:p w14:paraId="4C5EEA88" w14:textId="77777777" w:rsidR="00365EB6" w:rsidRPr="002B55E9" w:rsidRDefault="00365EB6" w:rsidP="00365EB6">
            <w:pPr>
              <w:pStyle w:val="lgy-"/>
              <w:rPr>
                <w:rFonts w:eastAsia="宋体"/>
              </w:rPr>
            </w:pPr>
            <w:r w:rsidRPr="002B55E9">
              <w:rPr>
                <w:rFonts w:eastAsia="宋体"/>
              </w:rPr>
              <w:t>6</w:t>
            </w:r>
          </w:p>
        </w:tc>
        <w:tc>
          <w:tcPr>
            <w:tcW w:w="1768" w:type="dxa"/>
            <w:noWrap/>
            <w:hideMark/>
          </w:tcPr>
          <w:p w14:paraId="705845DC" w14:textId="77777777" w:rsidR="00365EB6" w:rsidRPr="002B55E9" w:rsidRDefault="00365EB6" w:rsidP="00365EB6">
            <w:pPr>
              <w:pStyle w:val="lgy-"/>
              <w:rPr>
                <w:rFonts w:eastAsia="宋体"/>
              </w:rPr>
            </w:pPr>
            <w:r w:rsidRPr="002B55E9">
              <w:rPr>
                <w:rFonts w:eastAsia="宋体"/>
              </w:rPr>
              <w:t>过滤罐区</w:t>
            </w:r>
          </w:p>
        </w:tc>
        <w:tc>
          <w:tcPr>
            <w:tcW w:w="1454" w:type="dxa"/>
            <w:noWrap/>
            <w:hideMark/>
          </w:tcPr>
          <w:p w14:paraId="057CFCB1" w14:textId="77777777" w:rsidR="00365EB6" w:rsidRPr="002B55E9" w:rsidRDefault="00365EB6" w:rsidP="00365EB6">
            <w:pPr>
              <w:pStyle w:val="lgy-"/>
              <w:rPr>
                <w:rFonts w:eastAsia="宋体"/>
              </w:rPr>
            </w:pPr>
            <w:r w:rsidRPr="002B55E9">
              <w:rPr>
                <w:rFonts w:eastAsia="宋体"/>
              </w:rPr>
              <w:t>60m³</w:t>
            </w:r>
            <w:r w:rsidRPr="002B55E9">
              <w:rPr>
                <w:rFonts w:eastAsia="宋体"/>
              </w:rPr>
              <w:t>罐</w:t>
            </w:r>
          </w:p>
        </w:tc>
        <w:tc>
          <w:tcPr>
            <w:tcW w:w="1611" w:type="dxa"/>
            <w:noWrap/>
            <w:hideMark/>
          </w:tcPr>
          <w:p w14:paraId="26F6B7D7" w14:textId="77777777" w:rsidR="00365EB6" w:rsidRPr="002B55E9" w:rsidRDefault="00365EB6" w:rsidP="00365EB6">
            <w:pPr>
              <w:pStyle w:val="lgy-"/>
              <w:rPr>
                <w:rFonts w:eastAsia="宋体"/>
              </w:rPr>
            </w:pPr>
            <w:r w:rsidRPr="002B55E9">
              <w:rPr>
                <w:rFonts w:eastAsia="宋体"/>
              </w:rPr>
              <w:t>180</w:t>
            </w:r>
          </w:p>
        </w:tc>
        <w:tc>
          <w:tcPr>
            <w:tcW w:w="1506" w:type="dxa"/>
            <w:noWrap/>
            <w:hideMark/>
          </w:tcPr>
          <w:p w14:paraId="61F78D05" w14:textId="77777777" w:rsidR="00365EB6" w:rsidRPr="002B55E9" w:rsidRDefault="00365EB6" w:rsidP="00365EB6">
            <w:pPr>
              <w:pStyle w:val="lgy-"/>
              <w:rPr>
                <w:rFonts w:eastAsia="宋体"/>
              </w:rPr>
            </w:pPr>
            <w:r w:rsidRPr="002B55E9">
              <w:rPr>
                <w:rFonts w:eastAsia="宋体"/>
              </w:rPr>
              <w:t>4</w:t>
            </w:r>
          </w:p>
        </w:tc>
        <w:tc>
          <w:tcPr>
            <w:tcW w:w="1611" w:type="dxa"/>
            <w:noWrap/>
            <w:hideMark/>
          </w:tcPr>
          <w:p w14:paraId="70E9D174" w14:textId="77777777" w:rsidR="00365EB6" w:rsidRPr="002B55E9" w:rsidRDefault="00365EB6" w:rsidP="00365EB6">
            <w:pPr>
              <w:pStyle w:val="lgy-"/>
              <w:rPr>
                <w:rFonts w:eastAsia="宋体"/>
              </w:rPr>
            </w:pPr>
            <w:r w:rsidRPr="002B55E9">
              <w:rPr>
                <w:rFonts w:eastAsia="宋体"/>
              </w:rPr>
              <w:t>720</w:t>
            </w:r>
          </w:p>
        </w:tc>
        <w:tc>
          <w:tcPr>
            <w:tcW w:w="844" w:type="dxa"/>
            <w:vMerge/>
            <w:hideMark/>
          </w:tcPr>
          <w:p w14:paraId="55154AC5" w14:textId="77777777" w:rsidR="00365EB6" w:rsidRPr="002B55E9" w:rsidRDefault="00365EB6" w:rsidP="00365EB6">
            <w:pPr>
              <w:pStyle w:val="lgy-"/>
              <w:rPr>
                <w:rFonts w:eastAsia="宋体"/>
              </w:rPr>
            </w:pPr>
          </w:p>
        </w:tc>
      </w:tr>
      <w:tr w:rsidR="00C60999" w:rsidRPr="002B55E9" w14:paraId="023F4C02" w14:textId="77777777" w:rsidTr="00365EB6">
        <w:trPr>
          <w:trHeight w:val="283"/>
        </w:trPr>
        <w:tc>
          <w:tcPr>
            <w:tcW w:w="843" w:type="dxa"/>
            <w:noWrap/>
            <w:hideMark/>
          </w:tcPr>
          <w:p w14:paraId="030A5562" w14:textId="77777777" w:rsidR="00365EB6" w:rsidRPr="002B55E9" w:rsidRDefault="00365EB6" w:rsidP="00365EB6">
            <w:pPr>
              <w:pStyle w:val="lgy-"/>
              <w:rPr>
                <w:rFonts w:eastAsia="宋体"/>
              </w:rPr>
            </w:pPr>
            <w:r w:rsidRPr="002B55E9">
              <w:rPr>
                <w:rFonts w:eastAsia="宋体"/>
              </w:rPr>
              <w:t>7</w:t>
            </w:r>
          </w:p>
        </w:tc>
        <w:tc>
          <w:tcPr>
            <w:tcW w:w="1768" w:type="dxa"/>
            <w:vMerge w:val="restart"/>
            <w:noWrap/>
            <w:hideMark/>
          </w:tcPr>
          <w:p w14:paraId="3E7A3FBB" w14:textId="77777777" w:rsidR="00365EB6" w:rsidRPr="002B55E9" w:rsidRDefault="00365EB6" w:rsidP="00365EB6">
            <w:pPr>
              <w:pStyle w:val="lgy-"/>
              <w:rPr>
                <w:rFonts w:eastAsia="宋体"/>
              </w:rPr>
            </w:pPr>
            <w:r w:rsidRPr="002B55E9">
              <w:rPr>
                <w:rFonts w:eastAsia="宋体"/>
              </w:rPr>
              <w:t>提取罐区</w:t>
            </w:r>
          </w:p>
        </w:tc>
        <w:tc>
          <w:tcPr>
            <w:tcW w:w="1454" w:type="dxa"/>
            <w:noWrap/>
            <w:hideMark/>
          </w:tcPr>
          <w:p w14:paraId="72EBCC70" w14:textId="77777777" w:rsidR="00365EB6" w:rsidRPr="002B55E9" w:rsidRDefault="00365EB6" w:rsidP="00365EB6">
            <w:pPr>
              <w:pStyle w:val="lgy-"/>
              <w:rPr>
                <w:rFonts w:eastAsia="宋体"/>
              </w:rPr>
            </w:pPr>
            <w:r w:rsidRPr="002B55E9">
              <w:rPr>
                <w:rFonts w:eastAsia="宋体"/>
              </w:rPr>
              <w:t>60m³</w:t>
            </w:r>
            <w:r w:rsidRPr="002B55E9">
              <w:rPr>
                <w:rFonts w:eastAsia="宋体"/>
              </w:rPr>
              <w:t>罐</w:t>
            </w:r>
          </w:p>
        </w:tc>
        <w:tc>
          <w:tcPr>
            <w:tcW w:w="1611" w:type="dxa"/>
            <w:noWrap/>
            <w:hideMark/>
          </w:tcPr>
          <w:p w14:paraId="5B0EDDEC" w14:textId="77777777" w:rsidR="00365EB6" w:rsidRPr="002B55E9" w:rsidRDefault="00365EB6" w:rsidP="00365EB6">
            <w:pPr>
              <w:pStyle w:val="lgy-"/>
              <w:rPr>
                <w:rFonts w:eastAsia="宋体"/>
              </w:rPr>
            </w:pPr>
            <w:r w:rsidRPr="002B55E9">
              <w:rPr>
                <w:rFonts w:eastAsia="宋体"/>
              </w:rPr>
              <w:t>180</w:t>
            </w:r>
          </w:p>
        </w:tc>
        <w:tc>
          <w:tcPr>
            <w:tcW w:w="1506" w:type="dxa"/>
            <w:noWrap/>
            <w:hideMark/>
          </w:tcPr>
          <w:p w14:paraId="64647CAD" w14:textId="77777777" w:rsidR="00365EB6" w:rsidRPr="002B55E9" w:rsidRDefault="00365EB6" w:rsidP="00365EB6">
            <w:pPr>
              <w:pStyle w:val="lgy-"/>
              <w:rPr>
                <w:rFonts w:eastAsia="宋体"/>
              </w:rPr>
            </w:pPr>
            <w:r w:rsidRPr="002B55E9">
              <w:rPr>
                <w:rFonts w:eastAsia="宋体"/>
              </w:rPr>
              <w:t>4</w:t>
            </w:r>
          </w:p>
        </w:tc>
        <w:tc>
          <w:tcPr>
            <w:tcW w:w="1611" w:type="dxa"/>
            <w:noWrap/>
            <w:hideMark/>
          </w:tcPr>
          <w:p w14:paraId="7E0FDFCC" w14:textId="77777777" w:rsidR="00365EB6" w:rsidRPr="002B55E9" w:rsidRDefault="00365EB6" w:rsidP="00365EB6">
            <w:pPr>
              <w:pStyle w:val="lgy-"/>
              <w:rPr>
                <w:rFonts w:eastAsia="宋体"/>
              </w:rPr>
            </w:pPr>
            <w:r w:rsidRPr="002B55E9">
              <w:rPr>
                <w:rFonts w:eastAsia="宋体"/>
              </w:rPr>
              <w:t>720</w:t>
            </w:r>
          </w:p>
        </w:tc>
        <w:tc>
          <w:tcPr>
            <w:tcW w:w="844" w:type="dxa"/>
            <w:vMerge/>
            <w:hideMark/>
          </w:tcPr>
          <w:p w14:paraId="420984FA" w14:textId="77777777" w:rsidR="00365EB6" w:rsidRPr="002B55E9" w:rsidRDefault="00365EB6" w:rsidP="00365EB6">
            <w:pPr>
              <w:pStyle w:val="lgy-"/>
              <w:rPr>
                <w:rFonts w:eastAsia="宋体"/>
              </w:rPr>
            </w:pPr>
          </w:p>
        </w:tc>
      </w:tr>
      <w:tr w:rsidR="00C60999" w:rsidRPr="002B55E9" w14:paraId="35BC7EEB" w14:textId="77777777" w:rsidTr="00365EB6">
        <w:trPr>
          <w:trHeight w:val="283"/>
        </w:trPr>
        <w:tc>
          <w:tcPr>
            <w:tcW w:w="843" w:type="dxa"/>
            <w:noWrap/>
            <w:hideMark/>
          </w:tcPr>
          <w:p w14:paraId="51538C64" w14:textId="77777777" w:rsidR="00365EB6" w:rsidRPr="002B55E9" w:rsidRDefault="00365EB6" w:rsidP="00365EB6">
            <w:pPr>
              <w:pStyle w:val="lgy-"/>
              <w:rPr>
                <w:rFonts w:eastAsia="宋体"/>
              </w:rPr>
            </w:pPr>
            <w:r w:rsidRPr="002B55E9">
              <w:rPr>
                <w:rFonts w:eastAsia="宋体"/>
              </w:rPr>
              <w:t>8</w:t>
            </w:r>
          </w:p>
        </w:tc>
        <w:tc>
          <w:tcPr>
            <w:tcW w:w="1768" w:type="dxa"/>
            <w:vMerge/>
            <w:hideMark/>
          </w:tcPr>
          <w:p w14:paraId="0D3DC3DB" w14:textId="77777777" w:rsidR="00365EB6" w:rsidRPr="002B55E9" w:rsidRDefault="00365EB6" w:rsidP="00365EB6">
            <w:pPr>
              <w:pStyle w:val="lgy-"/>
              <w:rPr>
                <w:rFonts w:eastAsia="宋体"/>
              </w:rPr>
            </w:pPr>
          </w:p>
        </w:tc>
        <w:tc>
          <w:tcPr>
            <w:tcW w:w="1454" w:type="dxa"/>
            <w:noWrap/>
            <w:hideMark/>
          </w:tcPr>
          <w:p w14:paraId="158F65C7" w14:textId="77777777" w:rsidR="00365EB6" w:rsidRPr="002B55E9" w:rsidRDefault="00365EB6" w:rsidP="00365EB6">
            <w:pPr>
              <w:pStyle w:val="lgy-"/>
              <w:rPr>
                <w:rFonts w:eastAsia="宋体"/>
              </w:rPr>
            </w:pPr>
            <w:r w:rsidRPr="002B55E9">
              <w:rPr>
                <w:rFonts w:eastAsia="宋体"/>
              </w:rPr>
              <w:t>40m³</w:t>
            </w:r>
            <w:r w:rsidRPr="002B55E9">
              <w:rPr>
                <w:rFonts w:eastAsia="宋体"/>
              </w:rPr>
              <w:t>罐</w:t>
            </w:r>
          </w:p>
        </w:tc>
        <w:tc>
          <w:tcPr>
            <w:tcW w:w="1611" w:type="dxa"/>
            <w:noWrap/>
            <w:hideMark/>
          </w:tcPr>
          <w:p w14:paraId="39404621" w14:textId="77777777" w:rsidR="00365EB6" w:rsidRPr="002B55E9" w:rsidRDefault="00365EB6" w:rsidP="00365EB6">
            <w:pPr>
              <w:pStyle w:val="lgy-"/>
              <w:rPr>
                <w:rFonts w:eastAsia="宋体"/>
              </w:rPr>
            </w:pPr>
            <w:r w:rsidRPr="002B55E9">
              <w:rPr>
                <w:rFonts w:eastAsia="宋体"/>
              </w:rPr>
              <w:t>120</w:t>
            </w:r>
          </w:p>
        </w:tc>
        <w:tc>
          <w:tcPr>
            <w:tcW w:w="1506" w:type="dxa"/>
            <w:noWrap/>
            <w:hideMark/>
          </w:tcPr>
          <w:p w14:paraId="71CF3AB9" w14:textId="77777777" w:rsidR="00365EB6" w:rsidRPr="002B55E9" w:rsidRDefault="00365EB6" w:rsidP="00365EB6">
            <w:pPr>
              <w:pStyle w:val="lgy-"/>
              <w:rPr>
                <w:rFonts w:eastAsia="宋体"/>
              </w:rPr>
            </w:pPr>
            <w:r w:rsidRPr="002B55E9">
              <w:rPr>
                <w:rFonts w:eastAsia="宋体"/>
              </w:rPr>
              <w:t>2</w:t>
            </w:r>
          </w:p>
        </w:tc>
        <w:tc>
          <w:tcPr>
            <w:tcW w:w="1611" w:type="dxa"/>
            <w:noWrap/>
            <w:hideMark/>
          </w:tcPr>
          <w:p w14:paraId="360CCA23" w14:textId="77777777" w:rsidR="00365EB6" w:rsidRPr="002B55E9" w:rsidRDefault="00365EB6" w:rsidP="00365EB6">
            <w:pPr>
              <w:pStyle w:val="lgy-"/>
              <w:rPr>
                <w:rFonts w:eastAsia="宋体"/>
              </w:rPr>
            </w:pPr>
            <w:r w:rsidRPr="002B55E9">
              <w:rPr>
                <w:rFonts w:eastAsia="宋体"/>
              </w:rPr>
              <w:t>240</w:t>
            </w:r>
          </w:p>
        </w:tc>
        <w:tc>
          <w:tcPr>
            <w:tcW w:w="844" w:type="dxa"/>
            <w:vMerge/>
            <w:hideMark/>
          </w:tcPr>
          <w:p w14:paraId="23B36F2B" w14:textId="77777777" w:rsidR="00365EB6" w:rsidRPr="002B55E9" w:rsidRDefault="00365EB6" w:rsidP="00365EB6">
            <w:pPr>
              <w:pStyle w:val="lgy-"/>
              <w:rPr>
                <w:rFonts w:eastAsia="宋体"/>
              </w:rPr>
            </w:pPr>
          </w:p>
        </w:tc>
      </w:tr>
      <w:tr w:rsidR="00C60999" w:rsidRPr="002B55E9" w14:paraId="398B3B52" w14:textId="77777777" w:rsidTr="00365EB6">
        <w:trPr>
          <w:trHeight w:val="283"/>
        </w:trPr>
        <w:tc>
          <w:tcPr>
            <w:tcW w:w="843" w:type="dxa"/>
            <w:noWrap/>
            <w:hideMark/>
          </w:tcPr>
          <w:p w14:paraId="1B5DBCFD" w14:textId="77777777" w:rsidR="00365EB6" w:rsidRPr="002B55E9" w:rsidRDefault="00365EB6" w:rsidP="00365EB6">
            <w:pPr>
              <w:pStyle w:val="lgy-"/>
              <w:rPr>
                <w:rFonts w:eastAsia="宋体"/>
              </w:rPr>
            </w:pPr>
            <w:r w:rsidRPr="002B55E9">
              <w:rPr>
                <w:rFonts w:eastAsia="宋体"/>
              </w:rPr>
              <w:t>9</w:t>
            </w:r>
          </w:p>
        </w:tc>
        <w:tc>
          <w:tcPr>
            <w:tcW w:w="1768" w:type="dxa"/>
            <w:vMerge/>
            <w:hideMark/>
          </w:tcPr>
          <w:p w14:paraId="7627F18D" w14:textId="77777777" w:rsidR="00365EB6" w:rsidRPr="002B55E9" w:rsidRDefault="00365EB6" w:rsidP="00365EB6">
            <w:pPr>
              <w:pStyle w:val="lgy-"/>
              <w:rPr>
                <w:rFonts w:eastAsia="宋体"/>
              </w:rPr>
            </w:pPr>
          </w:p>
        </w:tc>
        <w:tc>
          <w:tcPr>
            <w:tcW w:w="1454" w:type="dxa"/>
            <w:noWrap/>
            <w:hideMark/>
          </w:tcPr>
          <w:p w14:paraId="756A9E8A" w14:textId="77777777" w:rsidR="00365EB6" w:rsidRPr="002B55E9" w:rsidRDefault="00365EB6" w:rsidP="00365EB6">
            <w:pPr>
              <w:pStyle w:val="lgy-"/>
              <w:rPr>
                <w:rFonts w:eastAsia="宋体"/>
              </w:rPr>
            </w:pPr>
            <w:r w:rsidRPr="002B55E9">
              <w:rPr>
                <w:rFonts w:eastAsia="宋体"/>
              </w:rPr>
              <w:t>30m³</w:t>
            </w:r>
            <w:r w:rsidRPr="002B55E9">
              <w:rPr>
                <w:rFonts w:eastAsia="宋体"/>
              </w:rPr>
              <w:t>罐</w:t>
            </w:r>
          </w:p>
        </w:tc>
        <w:tc>
          <w:tcPr>
            <w:tcW w:w="1611" w:type="dxa"/>
            <w:noWrap/>
            <w:hideMark/>
          </w:tcPr>
          <w:p w14:paraId="1650F8C4" w14:textId="77777777" w:rsidR="00365EB6" w:rsidRPr="002B55E9" w:rsidRDefault="00365EB6" w:rsidP="00365EB6">
            <w:pPr>
              <w:pStyle w:val="lgy-"/>
              <w:rPr>
                <w:rFonts w:eastAsia="宋体"/>
              </w:rPr>
            </w:pPr>
            <w:r w:rsidRPr="002B55E9">
              <w:rPr>
                <w:rFonts w:eastAsia="宋体"/>
              </w:rPr>
              <w:t>90</w:t>
            </w:r>
          </w:p>
        </w:tc>
        <w:tc>
          <w:tcPr>
            <w:tcW w:w="1506" w:type="dxa"/>
            <w:noWrap/>
            <w:hideMark/>
          </w:tcPr>
          <w:p w14:paraId="3B642895" w14:textId="77777777" w:rsidR="00365EB6" w:rsidRPr="002B55E9" w:rsidRDefault="00365EB6" w:rsidP="00365EB6">
            <w:pPr>
              <w:pStyle w:val="lgy-"/>
              <w:rPr>
                <w:rFonts w:eastAsia="宋体"/>
              </w:rPr>
            </w:pPr>
            <w:r w:rsidRPr="002B55E9">
              <w:rPr>
                <w:rFonts w:eastAsia="宋体"/>
              </w:rPr>
              <w:t>2</w:t>
            </w:r>
          </w:p>
        </w:tc>
        <w:tc>
          <w:tcPr>
            <w:tcW w:w="1611" w:type="dxa"/>
            <w:noWrap/>
            <w:hideMark/>
          </w:tcPr>
          <w:p w14:paraId="0C75AA82" w14:textId="77777777" w:rsidR="00365EB6" w:rsidRPr="002B55E9" w:rsidRDefault="00365EB6" w:rsidP="00365EB6">
            <w:pPr>
              <w:pStyle w:val="lgy-"/>
              <w:rPr>
                <w:rFonts w:eastAsia="宋体"/>
              </w:rPr>
            </w:pPr>
            <w:r w:rsidRPr="002B55E9">
              <w:rPr>
                <w:rFonts w:eastAsia="宋体"/>
              </w:rPr>
              <w:t>180</w:t>
            </w:r>
          </w:p>
        </w:tc>
        <w:tc>
          <w:tcPr>
            <w:tcW w:w="844" w:type="dxa"/>
            <w:vMerge/>
            <w:hideMark/>
          </w:tcPr>
          <w:p w14:paraId="191AF08E" w14:textId="77777777" w:rsidR="00365EB6" w:rsidRPr="002B55E9" w:rsidRDefault="00365EB6" w:rsidP="00365EB6">
            <w:pPr>
              <w:pStyle w:val="lgy-"/>
              <w:rPr>
                <w:rFonts w:eastAsia="宋体"/>
              </w:rPr>
            </w:pPr>
          </w:p>
        </w:tc>
      </w:tr>
      <w:tr w:rsidR="00C60999" w:rsidRPr="002B55E9" w14:paraId="1A35239E" w14:textId="77777777" w:rsidTr="00365EB6">
        <w:trPr>
          <w:trHeight w:val="283"/>
        </w:trPr>
        <w:tc>
          <w:tcPr>
            <w:tcW w:w="843" w:type="dxa"/>
            <w:noWrap/>
            <w:hideMark/>
          </w:tcPr>
          <w:p w14:paraId="2D6F9A6C" w14:textId="77777777" w:rsidR="00365EB6" w:rsidRPr="002B55E9" w:rsidRDefault="00365EB6" w:rsidP="00365EB6">
            <w:pPr>
              <w:pStyle w:val="lgy-"/>
              <w:rPr>
                <w:rFonts w:eastAsia="宋体"/>
              </w:rPr>
            </w:pPr>
            <w:r w:rsidRPr="002B55E9">
              <w:rPr>
                <w:rFonts w:eastAsia="宋体"/>
              </w:rPr>
              <w:t>10</w:t>
            </w:r>
          </w:p>
        </w:tc>
        <w:tc>
          <w:tcPr>
            <w:tcW w:w="1768" w:type="dxa"/>
            <w:vMerge/>
            <w:hideMark/>
          </w:tcPr>
          <w:p w14:paraId="2D83EEB6" w14:textId="77777777" w:rsidR="00365EB6" w:rsidRPr="002B55E9" w:rsidRDefault="00365EB6" w:rsidP="00365EB6">
            <w:pPr>
              <w:pStyle w:val="lgy-"/>
              <w:rPr>
                <w:rFonts w:eastAsia="宋体"/>
              </w:rPr>
            </w:pPr>
          </w:p>
        </w:tc>
        <w:tc>
          <w:tcPr>
            <w:tcW w:w="1454" w:type="dxa"/>
            <w:noWrap/>
            <w:hideMark/>
          </w:tcPr>
          <w:p w14:paraId="39698EEA" w14:textId="77777777" w:rsidR="00365EB6" w:rsidRPr="002B55E9" w:rsidRDefault="00365EB6" w:rsidP="00365EB6">
            <w:pPr>
              <w:pStyle w:val="lgy-"/>
              <w:rPr>
                <w:rFonts w:eastAsia="宋体"/>
              </w:rPr>
            </w:pPr>
            <w:r w:rsidRPr="002B55E9">
              <w:rPr>
                <w:rFonts w:eastAsia="宋体"/>
              </w:rPr>
              <w:t>20m³</w:t>
            </w:r>
            <w:r w:rsidRPr="002B55E9">
              <w:rPr>
                <w:rFonts w:eastAsia="宋体"/>
              </w:rPr>
              <w:t>罐</w:t>
            </w:r>
          </w:p>
        </w:tc>
        <w:tc>
          <w:tcPr>
            <w:tcW w:w="1611" w:type="dxa"/>
            <w:noWrap/>
            <w:hideMark/>
          </w:tcPr>
          <w:p w14:paraId="219C75D6" w14:textId="77777777" w:rsidR="00365EB6" w:rsidRPr="002B55E9" w:rsidRDefault="00365EB6" w:rsidP="00365EB6">
            <w:pPr>
              <w:pStyle w:val="lgy-"/>
              <w:rPr>
                <w:rFonts w:eastAsia="宋体"/>
              </w:rPr>
            </w:pPr>
            <w:r w:rsidRPr="002B55E9">
              <w:rPr>
                <w:rFonts w:eastAsia="宋体"/>
              </w:rPr>
              <w:t>60</w:t>
            </w:r>
          </w:p>
        </w:tc>
        <w:tc>
          <w:tcPr>
            <w:tcW w:w="1506" w:type="dxa"/>
            <w:noWrap/>
            <w:hideMark/>
          </w:tcPr>
          <w:p w14:paraId="0A614985" w14:textId="77777777" w:rsidR="00365EB6" w:rsidRPr="002B55E9" w:rsidRDefault="00365EB6" w:rsidP="00365EB6">
            <w:pPr>
              <w:pStyle w:val="lgy-"/>
              <w:rPr>
                <w:rFonts w:eastAsia="宋体"/>
              </w:rPr>
            </w:pPr>
            <w:r w:rsidRPr="002B55E9">
              <w:rPr>
                <w:rFonts w:eastAsia="宋体"/>
              </w:rPr>
              <w:t>1</w:t>
            </w:r>
          </w:p>
        </w:tc>
        <w:tc>
          <w:tcPr>
            <w:tcW w:w="1611" w:type="dxa"/>
            <w:noWrap/>
            <w:hideMark/>
          </w:tcPr>
          <w:p w14:paraId="514E1E53" w14:textId="77777777" w:rsidR="00365EB6" w:rsidRPr="002B55E9" w:rsidRDefault="00365EB6" w:rsidP="00365EB6">
            <w:pPr>
              <w:pStyle w:val="lgy-"/>
              <w:rPr>
                <w:rFonts w:eastAsia="宋体"/>
              </w:rPr>
            </w:pPr>
            <w:r w:rsidRPr="002B55E9">
              <w:rPr>
                <w:rFonts w:eastAsia="宋体"/>
              </w:rPr>
              <w:t>60</w:t>
            </w:r>
          </w:p>
        </w:tc>
        <w:tc>
          <w:tcPr>
            <w:tcW w:w="844" w:type="dxa"/>
            <w:vMerge/>
            <w:hideMark/>
          </w:tcPr>
          <w:p w14:paraId="3CEE3A08" w14:textId="77777777" w:rsidR="00365EB6" w:rsidRPr="002B55E9" w:rsidRDefault="00365EB6" w:rsidP="00365EB6">
            <w:pPr>
              <w:pStyle w:val="lgy-"/>
              <w:rPr>
                <w:rFonts w:eastAsia="宋体"/>
              </w:rPr>
            </w:pPr>
          </w:p>
        </w:tc>
      </w:tr>
      <w:tr w:rsidR="00C60999" w:rsidRPr="002B55E9" w14:paraId="3C619B68" w14:textId="77777777" w:rsidTr="00365EB6">
        <w:trPr>
          <w:trHeight w:val="283"/>
        </w:trPr>
        <w:tc>
          <w:tcPr>
            <w:tcW w:w="843" w:type="dxa"/>
            <w:noWrap/>
            <w:hideMark/>
          </w:tcPr>
          <w:p w14:paraId="03A42EA8" w14:textId="77777777" w:rsidR="00365EB6" w:rsidRPr="002B55E9" w:rsidRDefault="00365EB6" w:rsidP="00365EB6">
            <w:pPr>
              <w:pStyle w:val="lgy-"/>
              <w:rPr>
                <w:rFonts w:eastAsia="宋体"/>
              </w:rPr>
            </w:pPr>
            <w:r w:rsidRPr="002B55E9">
              <w:rPr>
                <w:rFonts w:eastAsia="宋体"/>
              </w:rPr>
              <w:t>11</w:t>
            </w:r>
          </w:p>
        </w:tc>
        <w:tc>
          <w:tcPr>
            <w:tcW w:w="1768" w:type="dxa"/>
            <w:noWrap/>
            <w:hideMark/>
          </w:tcPr>
          <w:p w14:paraId="4C9E96BB" w14:textId="77777777" w:rsidR="00365EB6" w:rsidRPr="002B55E9" w:rsidRDefault="00365EB6" w:rsidP="00365EB6">
            <w:pPr>
              <w:pStyle w:val="lgy-"/>
              <w:rPr>
                <w:rFonts w:eastAsia="宋体"/>
              </w:rPr>
            </w:pPr>
            <w:r w:rsidRPr="002B55E9">
              <w:rPr>
                <w:rFonts w:eastAsia="宋体" w:hint="eastAsia"/>
              </w:rPr>
              <w:t>出渣、提取间</w:t>
            </w:r>
          </w:p>
        </w:tc>
        <w:tc>
          <w:tcPr>
            <w:tcW w:w="1454" w:type="dxa"/>
            <w:noWrap/>
            <w:hideMark/>
          </w:tcPr>
          <w:p w14:paraId="7B096A82" w14:textId="77777777" w:rsidR="00365EB6" w:rsidRPr="002B55E9" w:rsidRDefault="00365EB6" w:rsidP="00365EB6">
            <w:pPr>
              <w:pStyle w:val="lgy-"/>
              <w:rPr>
                <w:rFonts w:eastAsia="宋体"/>
              </w:rPr>
            </w:pPr>
            <w:r w:rsidRPr="002B55E9">
              <w:rPr>
                <w:rFonts w:eastAsia="宋体"/>
              </w:rPr>
              <w:t>房间空间</w:t>
            </w:r>
          </w:p>
        </w:tc>
        <w:tc>
          <w:tcPr>
            <w:tcW w:w="1611" w:type="dxa"/>
            <w:noWrap/>
            <w:hideMark/>
          </w:tcPr>
          <w:p w14:paraId="3347F09E" w14:textId="39A37A9F" w:rsidR="00365EB6" w:rsidRPr="002B55E9" w:rsidRDefault="003E2FA0" w:rsidP="00365EB6">
            <w:pPr>
              <w:pStyle w:val="lgy-"/>
              <w:rPr>
                <w:rFonts w:eastAsia="宋体"/>
              </w:rPr>
            </w:pPr>
            <w:r>
              <w:rPr>
                <w:rFonts w:eastAsia="宋体" w:hint="eastAsia"/>
              </w:rPr>
              <w:t>6120</w:t>
            </w:r>
          </w:p>
        </w:tc>
        <w:tc>
          <w:tcPr>
            <w:tcW w:w="1506" w:type="dxa"/>
            <w:noWrap/>
            <w:hideMark/>
          </w:tcPr>
          <w:p w14:paraId="69E6ACBF" w14:textId="77777777" w:rsidR="00365EB6" w:rsidRPr="002B55E9" w:rsidRDefault="00365EB6" w:rsidP="00365EB6">
            <w:pPr>
              <w:pStyle w:val="lgy-"/>
              <w:rPr>
                <w:rFonts w:eastAsia="宋体"/>
              </w:rPr>
            </w:pPr>
            <w:r w:rsidRPr="002B55E9">
              <w:rPr>
                <w:rFonts w:eastAsia="宋体"/>
              </w:rPr>
              <w:t>1</w:t>
            </w:r>
          </w:p>
        </w:tc>
        <w:tc>
          <w:tcPr>
            <w:tcW w:w="1611" w:type="dxa"/>
            <w:noWrap/>
            <w:hideMark/>
          </w:tcPr>
          <w:p w14:paraId="517E02F0" w14:textId="77777777" w:rsidR="00365EB6" w:rsidRPr="002B55E9" w:rsidRDefault="00365EB6" w:rsidP="00365EB6">
            <w:pPr>
              <w:pStyle w:val="lgy-"/>
              <w:rPr>
                <w:rFonts w:eastAsia="宋体"/>
              </w:rPr>
            </w:pPr>
            <w:r w:rsidRPr="002B55E9">
              <w:rPr>
                <w:rFonts w:eastAsia="宋体"/>
              </w:rPr>
              <w:t>6120</w:t>
            </w:r>
          </w:p>
        </w:tc>
        <w:tc>
          <w:tcPr>
            <w:tcW w:w="844" w:type="dxa"/>
            <w:noWrap/>
            <w:hideMark/>
          </w:tcPr>
          <w:p w14:paraId="6A438C13" w14:textId="77777777" w:rsidR="00365EB6" w:rsidRPr="002B55E9" w:rsidRDefault="00365EB6" w:rsidP="00365EB6">
            <w:pPr>
              <w:pStyle w:val="lgy-"/>
              <w:rPr>
                <w:rFonts w:eastAsia="宋体"/>
              </w:rPr>
            </w:pPr>
            <w:r w:rsidRPr="002B55E9">
              <w:rPr>
                <w:rFonts w:eastAsia="宋体"/>
              </w:rPr>
              <w:t xml:space="preserve">　</w:t>
            </w:r>
          </w:p>
        </w:tc>
      </w:tr>
      <w:tr w:rsidR="00C60999" w:rsidRPr="002B55E9" w14:paraId="6F3D4D7D" w14:textId="77777777" w:rsidTr="00365EB6">
        <w:trPr>
          <w:trHeight w:val="283"/>
        </w:trPr>
        <w:tc>
          <w:tcPr>
            <w:tcW w:w="843" w:type="dxa"/>
            <w:noWrap/>
            <w:hideMark/>
          </w:tcPr>
          <w:p w14:paraId="0793AAD8" w14:textId="77777777" w:rsidR="00365EB6" w:rsidRPr="002B55E9" w:rsidRDefault="00365EB6" w:rsidP="00365EB6">
            <w:pPr>
              <w:pStyle w:val="lgy-"/>
              <w:rPr>
                <w:rFonts w:eastAsia="宋体"/>
              </w:rPr>
            </w:pPr>
            <w:r w:rsidRPr="002B55E9">
              <w:rPr>
                <w:rFonts w:eastAsia="宋体"/>
              </w:rPr>
              <w:t>12</w:t>
            </w:r>
          </w:p>
        </w:tc>
        <w:tc>
          <w:tcPr>
            <w:tcW w:w="1768" w:type="dxa"/>
            <w:noWrap/>
            <w:hideMark/>
          </w:tcPr>
          <w:p w14:paraId="470DCD93" w14:textId="77777777" w:rsidR="00365EB6" w:rsidRPr="002B55E9" w:rsidRDefault="00365EB6" w:rsidP="00365EB6">
            <w:pPr>
              <w:pStyle w:val="lgy-"/>
              <w:rPr>
                <w:rFonts w:eastAsia="宋体"/>
              </w:rPr>
            </w:pPr>
            <w:r w:rsidRPr="002B55E9">
              <w:rPr>
                <w:rFonts w:eastAsia="宋体"/>
              </w:rPr>
              <w:t>合计：</w:t>
            </w:r>
          </w:p>
        </w:tc>
        <w:tc>
          <w:tcPr>
            <w:tcW w:w="1454" w:type="dxa"/>
            <w:noWrap/>
            <w:hideMark/>
          </w:tcPr>
          <w:p w14:paraId="77946793" w14:textId="77777777" w:rsidR="00365EB6" w:rsidRPr="002B55E9" w:rsidRDefault="00365EB6" w:rsidP="00365EB6">
            <w:pPr>
              <w:pStyle w:val="lgy-"/>
              <w:rPr>
                <w:rFonts w:eastAsia="宋体"/>
              </w:rPr>
            </w:pPr>
            <w:r w:rsidRPr="002B55E9">
              <w:rPr>
                <w:rFonts w:eastAsia="宋体"/>
              </w:rPr>
              <w:t xml:space="preserve">　</w:t>
            </w:r>
          </w:p>
        </w:tc>
        <w:tc>
          <w:tcPr>
            <w:tcW w:w="1611" w:type="dxa"/>
            <w:noWrap/>
            <w:hideMark/>
          </w:tcPr>
          <w:p w14:paraId="1356772E" w14:textId="77777777" w:rsidR="00365EB6" w:rsidRPr="002B55E9" w:rsidRDefault="00365EB6" w:rsidP="00365EB6">
            <w:pPr>
              <w:pStyle w:val="lgy-"/>
              <w:rPr>
                <w:rFonts w:eastAsia="宋体"/>
              </w:rPr>
            </w:pPr>
            <w:r w:rsidRPr="002B55E9">
              <w:rPr>
                <w:rFonts w:eastAsia="宋体"/>
              </w:rPr>
              <w:t xml:space="preserve">　</w:t>
            </w:r>
          </w:p>
        </w:tc>
        <w:tc>
          <w:tcPr>
            <w:tcW w:w="1506" w:type="dxa"/>
            <w:noWrap/>
            <w:hideMark/>
          </w:tcPr>
          <w:p w14:paraId="7726CE17" w14:textId="77777777" w:rsidR="00365EB6" w:rsidRPr="002B55E9" w:rsidRDefault="00365EB6" w:rsidP="00365EB6">
            <w:pPr>
              <w:pStyle w:val="lgy-"/>
              <w:rPr>
                <w:rFonts w:eastAsia="宋体"/>
              </w:rPr>
            </w:pPr>
            <w:r w:rsidRPr="002B55E9">
              <w:rPr>
                <w:rFonts w:eastAsia="宋体"/>
              </w:rPr>
              <w:t xml:space="preserve">　</w:t>
            </w:r>
          </w:p>
        </w:tc>
        <w:tc>
          <w:tcPr>
            <w:tcW w:w="1611" w:type="dxa"/>
            <w:noWrap/>
            <w:hideMark/>
          </w:tcPr>
          <w:p w14:paraId="26BD32E8" w14:textId="77777777" w:rsidR="00365EB6" w:rsidRPr="002B55E9" w:rsidRDefault="00365EB6" w:rsidP="00365EB6">
            <w:pPr>
              <w:pStyle w:val="lgy-"/>
              <w:rPr>
                <w:rFonts w:eastAsia="宋体"/>
              </w:rPr>
            </w:pPr>
            <w:r w:rsidRPr="002B55E9">
              <w:rPr>
                <w:rFonts w:eastAsia="宋体"/>
              </w:rPr>
              <w:t>12000</w:t>
            </w:r>
          </w:p>
        </w:tc>
        <w:tc>
          <w:tcPr>
            <w:tcW w:w="844" w:type="dxa"/>
            <w:noWrap/>
            <w:hideMark/>
          </w:tcPr>
          <w:p w14:paraId="4356AD25" w14:textId="77777777" w:rsidR="00365EB6" w:rsidRPr="002B55E9" w:rsidRDefault="00365EB6" w:rsidP="00365EB6">
            <w:pPr>
              <w:pStyle w:val="lgy-"/>
              <w:rPr>
                <w:rFonts w:eastAsia="宋体"/>
              </w:rPr>
            </w:pPr>
            <w:r w:rsidRPr="002B55E9">
              <w:rPr>
                <w:rFonts w:eastAsia="宋体"/>
              </w:rPr>
              <w:t xml:space="preserve">　</w:t>
            </w:r>
          </w:p>
        </w:tc>
      </w:tr>
    </w:tbl>
    <w:p w14:paraId="1ED13972" w14:textId="77777777" w:rsidR="00D170E5" w:rsidRPr="002B55E9" w:rsidRDefault="00EF27AD">
      <w:pPr>
        <w:pStyle w:val="4"/>
        <w:rPr>
          <w:color w:val="auto"/>
        </w:rPr>
      </w:pPr>
      <w:r w:rsidRPr="002B55E9">
        <w:rPr>
          <w:rFonts w:hint="eastAsia"/>
          <w:color w:val="auto"/>
        </w:rPr>
        <w:t>工艺废气污染防治措施工作原理</w:t>
      </w:r>
    </w:p>
    <w:p w14:paraId="5B959112" w14:textId="77777777" w:rsidR="00D170E5" w:rsidRPr="002B55E9" w:rsidRDefault="00EF27AD">
      <w:pPr>
        <w:keepNext/>
        <w:numPr>
          <w:ilvl w:val="4"/>
          <w:numId w:val="1"/>
        </w:numPr>
        <w:spacing w:after="60" w:line="360" w:lineRule="auto"/>
        <w:outlineLvl w:val="4"/>
        <w:rPr>
          <w:b/>
          <w:sz w:val="24"/>
        </w:rPr>
      </w:pPr>
      <w:r w:rsidRPr="002B55E9">
        <w:rPr>
          <w:rFonts w:hint="eastAsia"/>
          <w:b/>
          <w:sz w:val="24"/>
        </w:rPr>
        <w:t>袋式</w:t>
      </w:r>
      <w:r w:rsidRPr="002B55E9">
        <w:rPr>
          <w:b/>
          <w:sz w:val="24"/>
        </w:rPr>
        <w:t>除尘</w:t>
      </w:r>
      <w:r w:rsidRPr="002B55E9">
        <w:rPr>
          <w:rFonts w:hint="eastAsia"/>
          <w:b/>
          <w:sz w:val="24"/>
        </w:rPr>
        <w:t>设施</w:t>
      </w:r>
    </w:p>
    <w:p w14:paraId="13EB4465" w14:textId="77777777" w:rsidR="00D170E5" w:rsidRPr="002B55E9" w:rsidRDefault="00EF27AD">
      <w:pPr>
        <w:pStyle w:val="aa"/>
      </w:pPr>
      <w:r w:rsidRPr="002B55E9">
        <w:rPr>
          <w:rFonts w:hint="eastAsia"/>
        </w:rPr>
        <w:t>项目料酒生产线香辛料破碎过程中会产生粉尘，经自带袋式除尘器处理后经</w:t>
      </w:r>
      <w:r w:rsidRPr="002B55E9">
        <w:rPr>
          <w:rFonts w:hint="eastAsia"/>
        </w:rPr>
        <w:t>1</w:t>
      </w:r>
      <w:r w:rsidRPr="002B55E9">
        <w:t>8</w:t>
      </w:r>
      <w:r w:rsidRPr="002B55E9">
        <w:rPr>
          <w:rFonts w:hint="eastAsia"/>
        </w:rPr>
        <w:t>m</w:t>
      </w:r>
      <w:r w:rsidRPr="002B55E9">
        <w:rPr>
          <w:rFonts w:hint="eastAsia"/>
        </w:rPr>
        <w:t>高排气筒（</w:t>
      </w:r>
      <w:r w:rsidRPr="002B55E9">
        <w:rPr>
          <w:rFonts w:hint="eastAsia"/>
        </w:rPr>
        <w:t>D</w:t>
      </w:r>
      <w:r w:rsidRPr="002B55E9">
        <w:t>A001</w:t>
      </w:r>
      <w:r w:rsidRPr="002B55E9">
        <w:rPr>
          <w:rFonts w:hint="eastAsia"/>
        </w:rPr>
        <w:t>）排放。袋式</w:t>
      </w:r>
      <w:r w:rsidRPr="002B55E9">
        <w:t>除尘器是一种干式过滤除尘装置，适用于捕</w:t>
      </w:r>
      <w:r w:rsidRPr="002B55E9">
        <w:rPr>
          <w:rFonts w:hint="eastAsia"/>
        </w:rPr>
        <w:t>集细小</w:t>
      </w:r>
      <w:r w:rsidRPr="002B55E9">
        <w:t>、干燥、非纤维性粉尘。滤袋</w:t>
      </w:r>
      <w:r w:rsidRPr="002B55E9">
        <w:rPr>
          <w:rFonts w:hint="eastAsia"/>
        </w:rPr>
        <w:t>采用</w:t>
      </w:r>
      <w:r w:rsidRPr="002B55E9">
        <w:t>纺织的</w:t>
      </w:r>
      <w:r w:rsidRPr="002B55E9">
        <w:rPr>
          <w:rFonts w:hint="eastAsia"/>
        </w:rPr>
        <w:t>滤布</w:t>
      </w:r>
      <w:r w:rsidRPr="002B55E9">
        <w:t>或非纺织的毡制成，利用纤维织物的过滤作用对含尘气体进行过滤</w:t>
      </w:r>
      <w:r w:rsidRPr="002B55E9">
        <w:rPr>
          <w:rFonts w:hint="eastAsia"/>
        </w:rPr>
        <w:t>，当</w:t>
      </w:r>
      <w:r w:rsidRPr="002B55E9">
        <w:t>袋式除尘器</w:t>
      </w:r>
      <w:r w:rsidRPr="002B55E9">
        <w:rPr>
          <w:rFonts w:hint="eastAsia"/>
        </w:rPr>
        <w:t>滤料</w:t>
      </w:r>
      <w:r w:rsidRPr="002B55E9">
        <w:t>使用一段时间后，由于筛</w:t>
      </w:r>
      <w:r w:rsidRPr="002B55E9">
        <w:rPr>
          <w:rFonts w:hint="eastAsia"/>
        </w:rPr>
        <w:t>滤</w:t>
      </w:r>
      <w:r w:rsidRPr="002B55E9">
        <w:t>、碰撞、滞留、扩散、静电等效应，滤袋表面</w:t>
      </w:r>
      <w:r w:rsidRPr="002B55E9">
        <w:rPr>
          <w:rFonts w:hint="eastAsia"/>
        </w:rPr>
        <w:t>积</w:t>
      </w:r>
      <w:r w:rsidRPr="002B55E9">
        <w:t>聚了</w:t>
      </w:r>
      <w:r w:rsidRPr="002B55E9">
        <w:rPr>
          <w:rFonts w:hint="eastAsia"/>
        </w:rPr>
        <w:t>一层</w:t>
      </w:r>
      <w:r w:rsidRPr="002B55E9">
        <w:t>粉尘，这层粉尘称为</w:t>
      </w:r>
      <w:r w:rsidRPr="002B55E9">
        <w:rPr>
          <w:rFonts w:hint="eastAsia"/>
        </w:rPr>
        <w:t>初</w:t>
      </w:r>
      <w:r w:rsidRPr="002B55E9">
        <w:t>层，在此以后，初层</w:t>
      </w:r>
      <w:r w:rsidRPr="002B55E9">
        <w:rPr>
          <w:rFonts w:hint="eastAsia"/>
        </w:rPr>
        <w:t>成为</w:t>
      </w:r>
      <w:r w:rsidRPr="002B55E9">
        <w:t>了滤料的主要过滤层，除尘器的效率也随之提高。袋式除尘器的</w:t>
      </w:r>
      <w:r w:rsidRPr="002B55E9">
        <w:rPr>
          <w:rFonts w:hint="eastAsia"/>
        </w:rPr>
        <w:t>优点在于</w:t>
      </w:r>
      <w:r w:rsidRPr="002B55E9">
        <w:t>除尘效率高，针对产生浓度较高的含尘废气其处理效率可达</w:t>
      </w:r>
      <w:r w:rsidRPr="002B55E9">
        <w:rPr>
          <w:rFonts w:hint="eastAsia"/>
        </w:rPr>
        <w:t>99</w:t>
      </w:r>
      <w:r w:rsidRPr="002B55E9">
        <w:t>%</w:t>
      </w:r>
      <w:r w:rsidRPr="002B55E9">
        <w:t>以上，</w:t>
      </w:r>
      <w:r w:rsidRPr="002B55E9">
        <w:rPr>
          <w:rFonts w:hint="eastAsia"/>
        </w:rPr>
        <w:t>同时</w:t>
      </w:r>
      <w:r w:rsidRPr="002B55E9">
        <w:t>其结构简单，维护操作方便</w:t>
      </w:r>
      <w:r w:rsidRPr="002B55E9">
        <w:rPr>
          <w:rFonts w:hint="eastAsia"/>
        </w:rPr>
        <w:t>。</w:t>
      </w:r>
    </w:p>
    <w:p w14:paraId="43AB9CE6" w14:textId="77777777" w:rsidR="00D170E5" w:rsidRPr="002B55E9" w:rsidRDefault="00EF27AD">
      <w:pPr>
        <w:pStyle w:val="aa"/>
      </w:pPr>
      <w:r w:rsidRPr="002B55E9">
        <w:rPr>
          <w:rFonts w:hint="eastAsia"/>
        </w:rPr>
        <w:t>根据前述工程分析，</w:t>
      </w:r>
      <w:r w:rsidRPr="002B55E9">
        <w:rPr>
          <w:rFonts w:hint="eastAsia"/>
        </w:rPr>
        <w:t>D</w:t>
      </w:r>
      <w:r w:rsidRPr="002B55E9">
        <w:t>A</w:t>
      </w:r>
      <w:r w:rsidRPr="002B55E9">
        <w:rPr>
          <w:rFonts w:hint="eastAsia"/>
        </w:rPr>
        <w:t>0</w:t>
      </w:r>
      <w:r w:rsidRPr="002B55E9">
        <w:t>01</w:t>
      </w:r>
      <w:r w:rsidRPr="002B55E9">
        <w:rPr>
          <w:rFonts w:hint="eastAsia"/>
        </w:rPr>
        <w:t>排放</w:t>
      </w:r>
      <w:r w:rsidRPr="002B55E9">
        <w:t>的</w:t>
      </w:r>
      <w:r w:rsidRPr="002B55E9">
        <w:rPr>
          <w:rFonts w:hint="eastAsia"/>
        </w:rPr>
        <w:t>颗粒物能</w:t>
      </w:r>
      <w:r w:rsidRPr="002B55E9">
        <w:t>满足《</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）中</w:t>
      </w:r>
      <w:r w:rsidRPr="002B55E9">
        <w:t>的</w:t>
      </w:r>
      <w:r w:rsidRPr="002B55E9">
        <w:rPr>
          <w:rFonts w:hint="eastAsia"/>
        </w:rPr>
        <w:t>限值</w:t>
      </w:r>
      <w:r w:rsidRPr="002B55E9">
        <w:t>要求</w:t>
      </w:r>
      <w:r w:rsidRPr="002B55E9">
        <w:rPr>
          <w:rFonts w:hint="eastAsia"/>
          <w:kern w:val="2"/>
          <w:szCs w:val="24"/>
        </w:rPr>
        <w:t>，废气污染防治措施可行。</w:t>
      </w:r>
    </w:p>
    <w:p w14:paraId="29AF04F7" w14:textId="332777A9" w:rsidR="00D170E5" w:rsidRPr="002B55E9" w:rsidRDefault="00CE536C">
      <w:pPr>
        <w:keepNext/>
        <w:numPr>
          <w:ilvl w:val="4"/>
          <w:numId w:val="1"/>
        </w:numPr>
        <w:spacing w:after="60" w:line="360" w:lineRule="auto"/>
        <w:outlineLvl w:val="4"/>
        <w:rPr>
          <w:b/>
          <w:sz w:val="24"/>
        </w:rPr>
      </w:pPr>
      <w:r w:rsidRPr="002B55E9">
        <w:rPr>
          <w:rFonts w:hint="eastAsia"/>
          <w:b/>
          <w:sz w:val="24"/>
        </w:rPr>
        <w:t>二级碱喷淋</w:t>
      </w:r>
      <w:r w:rsidRPr="002B55E9">
        <w:rPr>
          <w:rFonts w:hint="eastAsia"/>
          <w:b/>
          <w:sz w:val="24"/>
        </w:rPr>
        <w:t>+</w:t>
      </w:r>
      <w:r w:rsidRPr="002B55E9">
        <w:rPr>
          <w:rFonts w:hint="eastAsia"/>
          <w:b/>
          <w:sz w:val="24"/>
        </w:rPr>
        <w:t>水喷淋</w:t>
      </w:r>
      <w:r w:rsidR="00EF27AD" w:rsidRPr="002B55E9">
        <w:rPr>
          <w:rFonts w:hint="eastAsia"/>
          <w:b/>
          <w:sz w:val="24"/>
        </w:rPr>
        <w:t>设施</w:t>
      </w:r>
    </w:p>
    <w:p w14:paraId="3A5E304D" w14:textId="664B5580" w:rsidR="00D170E5" w:rsidRPr="002B55E9" w:rsidRDefault="00EF27AD">
      <w:pPr>
        <w:spacing w:after="60" w:line="360" w:lineRule="auto"/>
        <w:ind w:firstLineChars="200" w:firstLine="480"/>
        <w:rPr>
          <w:kern w:val="2"/>
          <w:sz w:val="24"/>
          <w:szCs w:val="24"/>
        </w:rPr>
      </w:pPr>
      <w:r w:rsidRPr="002B55E9">
        <w:rPr>
          <w:rFonts w:hint="eastAsia"/>
          <w:kern w:val="2"/>
          <w:sz w:val="24"/>
          <w:szCs w:val="24"/>
        </w:rPr>
        <w:t>项目料酒、白米醋生产时会产生少量挥发性有机废气，主要成分为乙醇、乙酸等，拟采</w:t>
      </w:r>
      <w:r w:rsidRPr="002B55E9">
        <w:rPr>
          <w:rFonts w:hint="eastAsia"/>
          <w:kern w:val="2"/>
          <w:sz w:val="24"/>
          <w:szCs w:val="24"/>
        </w:rPr>
        <w:lastRenderedPageBreak/>
        <w:t>用</w:t>
      </w:r>
      <w:r w:rsidR="00CE536C" w:rsidRPr="002B55E9">
        <w:rPr>
          <w:rFonts w:hint="eastAsia"/>
          <w:kern w:val="2"/>
          <w:sz w:val="24"/>
          <w:szCs w:val="24"/>
        </w:rPr>
        <w:t>二级碱喷淋</w:t>
      </w:r>
      <w:r w:rsidR="00CE536C" w:rsidRPr="002B55E9">
        <w:rPr>
          <w:rFonts w:hint="eastAsia"/>
          <w:kern w:val="2"/>
          <w:sz w:val="24"/>
          <w:szCs w:val="24"/>
        </w:rPr>
        <w:t>+</w:t>
      </w:r>
      <w:r w:rsidR="00CE536C" w:rsidRPr="002B55E9">
        <w:rPr>
          <w:rFonts w:hint="eastAsia"/>
          <w:kern w:val="2"/>
          <w:sz w:val="24"/>
          <w:szCs w:val="24"/>
        </w:rPr>
        <w:t>水喷淋</w:t>
      </w:r>
      <w:r w:rsidRPr="002B55E9">
        <w:rPr>
          <w:rFonts w:hint="eastAsia"/>
          <w:kern w:val="2"/>
          <w:sz w:val="24"/>
          <w:szCs w:val="24"/>
        </w:rPr>
        <w:t>对有机废气进行吸收，喷淋液从吸收塔顶部经喷嘴进入，气体由塔底向塔顶释放，在逆向流动中，气体中的乙醇、乙酸等被吸收形成，废气得到净化，处理后的废气经</w:t>
      </w:r>
      <w:r w:rsidRPr="002B55E9">
        <w:rPr>
          <w:kern w:val="2"/>
          <w:sz w:val="24"/>
          <w:szCs w:val="24"/>
        </w:rPr>
        <w:t>18m</w:t>
      </w:r>
      <w:r w:rsidRPr="002B55E9">
        <w:rPr>
          <w:rFonts w:hint="eastAsia"/>
          <w:kern w:val="2"/>
          <w:sz w:val="24"/>
          <w:szCs w:val="24"/>
        </w:rPr>
        <w:t>高排气筒（</w:t>
      </w:r>
      <w:r w:rsidRPr="002B55E9">
        <w:rPr>
          <w:rFonts w:hint="eastAsia"/>
          <w:kern w:val="2"/>
          <w:sz w:val="24"/>
          <w:szCs w:val="24"/>
        </w:rPr>
        <w:t>D</w:t>
      </w:r>
      <w:r w:rsidRPr="002B55E9">
        <w:rPr>
          <w:kern w:val="2"/>
          <w:sz w:val="24"/>
          <w:szCs w:val="24"/>
        </w:rPr>
        <w:t>A002</w:t>
      </w:r>
      <w:r w:rsidRPr="002B55E9">
        <w:rPr>
          <w:rFonts w:hint="eastAsia"/>
          <w:kern w:val="2"/>
          <w:sz w:val="24"/>
          <w:szCs w:val="24"/>
        </w:rPr>
        <w:t>）排放。吸收液在塔底经水泵增压后在塔顶喷淋而下，经过填料层，最后回流至塔底循环使用，定期排放。乙醇、乙酸等极易溶于水，在逆向流动中，与喷淋水充分接触，均被吸收形成溶液，废气得到净化，</w:t>
      </w:r>
      <w:r w:rsidR="00AE5254" w:rsidRPr="002B55E9">
        <w:rPr>
          <w:rFonts w:hint="eastAsia"/>
          <w:kern w:val="2"/>
          <w:sz w:val="24"/>
          <w:szCs w:val="24"/>
        </w:rPr>
        <w:t>三</w:t>
      </w:r>
      <w:r w:rsidRPr="002B55E9">
        <w:rPr>
          <w:rFonts w:hint="eastAsia"/>
          <w:kern w:val="2"/>
          <w:sz w:val="24"/>
          <w:szCs w:val="24"/>
        </w:rPr>
        <w:t>极联用</w:t>
      </w:r>
      <w:r w:rsidRPr="002B55E9">
        <w:rPr>
          <w:rFonts w:hint="eastAsia"/>
          <w:bCs/>
          <w:kern w:val="2"/>
          <w:sz w:val="24"/>
          <w:szCs w:val="24"/>
        </w:rPr>
        <w:t>净化效率可达</w:t>
      </w:r>
      <w:r w:rsidR="00AE5254" w:rsidRPr="002B55E9">
        <w:rPr>
          <w:bCs/>
          <w:kern w:val="2"/>
          <w:sz w:val="24"/>
          <w:szCs w:val="24"/>
        </w:rPr>
        <w:t>85</w:t>
      </w:r>
      <w:r w:rsidRPr="002B55E9">
        <w:rPr>
          <w:bCs/>
          <w:kern w:val="2"/>
          <w:sz w:val="24"/>
          <w:szCs w:val="24"/>
        </w:rPr>
        <w:t>%</w:t>
      </w:r>
      <w:r w:rsidRPr="002B55E9">
        <w:rPr>
          <w:rFonts w:hint="eastAsia"/>
          <w:bCs/>
          <w:kern w:val="2"/>
          <w:sz w:val="24"/>
          <w:szCs w:val="24"/>
        </w:rPr>
        <w:t>以上</w:t>
      </w:r>
      <w:r w:rsidRPr="002B55E9">
        <w:rPr>
          <w:rFonts w:hint="eastAsia"/>
          <w:kern w:val="2"/>
          <w:sz w:val="24"/>
          <w:szCs w:val="24"/>
        </w:rPr>
        <w:t>。</w:t>
      </w:r>
    </w:p>
    <w:p w14:paraId="4A6FD922" w14:textId="5EDC7D8A" w:rsidR="00D170E5" w:rsidRPr="002B55E9" w:rsidRDefault="00EF27AD">
      <w:pPr>
        <w:spacing w:after="60" w:line="360" w:lineRule="auto"/>
        <w:ind w:firstLineChars="200" w:firstLine="480"/>
        <w:rPr>
          <w:kern w:val="2"/>
          <w:sz w:val="24"/>
          <w:szCs w:val="24"/>
        </w:rPr>
      </w:pPr>
      <w:r w:rsidRPr="002B55E9">
        <w:rPr>
          <w:rFonts w:hint="eastAsia"/>
          <w:kern w:val="2"/>
          <w:sz w:val="24"/>
          <w:szCs w:val="24"/>
        </w:rPr>
        <w:t>项目吸收塔采用聚丙烯全塑料制作，由塔体、泵喷淋系统、引风机、水箱组成，为立式，采用两相逆流接触，废气通过填料层段和液相接触吸附中和，从而达到净化效果。</w:t>
      </w:r>
    </w:p>
    <w:p w14:paraId="3FE9BB0D" w14:textId="15B9DB68" w:rsidR="00D170E5" w:rsidRPr="002B55E9" w:rsidRDefault="00EF27AD">
      <w:pPr>
        <w:spacing w:after="60" w:line="360" w:lineRule="auto"/>
        <w:ind w:firstLineChars="200" w:firstLine="480"/>
        <w:rPr>
          <w:kern w:val="2"/>
          <w:szCs w:val="24"/>
        </w:rPr>
      </w:pPr>
      <w:r w:rsidRPr="002B55E9">
        <w:rPr>
          <w:rFonts w:hint="eastAsia"/>
          <w:kern w:val="2"/>
          <w:sz w:val="24"/>
          <w:szCs w:val="24"/>
        </w:rPr>
        <w:t>根据前述工程分析，</w:t>
      </w:r>
      <w:r w:rsidRPr="002B55E9">
        <w:rPr>
          <w:rFonts w:hint="eastAsia"/>
          <w:kern w:val="2"/>
          <w:sz w:val="24"/>
          <w:szCs w:val="24"/>
        </w:rPr>
        <w:t>D</w:t>
      </w:r>
      <w:r w:rsidRPr="002B55E9">
        <w:rPr>
          <w:kern w:val="2"/>
          <w:sz w:val="24"/>
          <w:szCs w:val="24"/>
        </w:rPr>
        <w:t>A</w:t>
      </w:r>
      <w:r w:rsidRPr="002B55E9">
        <w:rPr>
          <w:rFonts w:hint="eastAsia"/>
          <w:kern w:val="2"/>
          <w:sz w:val="24"/>
          <w:szCs w:val="24"/>
        </w:rPr>
        <w:t>0</w:t>
      </w:r>
      <w:r w:rsidRPr="002B55E9">
        <w:rPr>
          <w:kern w:val="2"/>
          <w:sz w:val="24"/>
          <w:szCs w:val="24"/>
        </w:rPr>
        <w:t>02</w:t>
      </w:r>
      <w:r w:rsidRPr="002B55E9">
        <w:rPr>
          <w:rFonts w:hint="eastAsia"/>
          <w:kern w:val="2"/>
          <w:sz w:val="24"/>
          <w:szCs w:val="24"/>
        </w:rPr>
        <w:t>排放</w:t>
      </w:r>
      <w:r w:rsidRPr="002B55E9">
        <w:rPr>
          <w:kern w:val="2"/>
          <w:sz w:val="24"/>
          <w:szCs w:val="24"/>
        </w:rPr>
        <w:t>的</w:t>
      </w:r>
      <w:r w:rsidR="00924AFA" w:rsidRPr="002B55E9">
        <w:rPr>
          <w:rFonts w:hint="eastAsia"/>
          <w:kern w:val="2"/>
          <w:sz w:val="24"/>
          <w:szCs w:val="24"/>
        </w:rPr>
        <w:t>非甲烷总烃</w:t>
      </w:r>
      <w:r w:rsidRPr="002B55E9">
        <w:rPr>
          <w:rFonts w:hint="eastAsia"/>
          <w:kern w:val="2"/>
          <w:sz w:val="24"/>
          <w:szCs w:val="24"/>
        </w:rPr>
        <w:t>能</w:t>
      </w:r>
      <w:r w:rsidRPr="002B55E9">
        <w:rPr>
          <w:kern w:val="2"/>
          <w:sz w:val="24"/>
          <w:szCs w:val="24"/>
        </w:rPr>
        <w:t>满足</w:t>
      </w:r>
      <w:r w:rsidRPr="002B55E9">
        <w:rPr>
          <w:rFonts w:hint="eastAsia"/>
          <w:kern w:val="2"/>
          <w:sz w:val="24"/>
          <w:szCs w:val="24"/>
        </w:rPr>
        <w:t>《市人民政府关于印发武汉市</w:t>
      </w:r>
      <w:r w:rsidRPr="002B55E9">
        <w:rPr>
          <w:rFonts w:hint="eastAsia"/>
          <w:kern w:val="2"/>
          <w:sz w:val="24"/>
          <w:szCs w:val="24"/>
        </w:rPr>
        <w:t>2022</w:t>
      </w:r>
      <w:r w:rsidRPr="002B55E9">
        <w:rPr>
          <w:rFonts w:hint="eastAsia"/>
          <w:kern w:val="2"/>
          <w:sz w:val="24"/>
          <w:szCs w:val="24"/>
        </w:rPr>
        <w:t>年改善空气质量攻坚方案的通知》（武政规</w:t>
      </w:r>
      <w:r w:rsidRPr="002B55E9">
        <w:rPr>
          <w:rFonts w:hint="eastAsia"/>
          <w:kern w:val="2"/>
          <w:sz w:val="24"/>
          <w:szCs w:val="24"/>
        </w:rPr>
        <w:t>[2022]10</w:t>
      </w:r>
      <w:r w:rsidRPr="002B55E9">
        <w:rPr>
          <w:rFonts w:hint="eastAsia"/>
          <w:kern w:val="2"/>
          <w:sz w:val="24"/>
          <w:szCs w:val="24"/>
        </w:rPr>
        <w:t>号）中限值要求，废气污染防治措施可行。</w:t>
      </w:r>
    </w:p>
    <w:p w14:paraId="04B9C96D" w14:textId="77777777" w:rsidR="00D170E5" w:rsidRPr="002B55E9" w:rsidRDefault="00EF27AD">
      <w:pPr>
        <w:keepNext/>
        <w:numPr>
          <w:ilvl w:val="4"/>
          <w:numId w:val="1"/>
        </w:numPr>
        <w:spacing w:after="60" w:line="360" w:lineRule="auto"/>
        <w:outlineLvl w:val="4"/>
        <w:rPr>
          <w:b/>
          <w:sz w:val="24"/>
        </w:rPr>
      </w:pPr>
      <w:r w:rsidRPr="002B55E9">
        <w:rPr>
          <w:rFonts w:hint="eastAsia"/>
          <w:b/>
          <w:sz w:val="24"/>
        </w:rPr>
        <w:t>活性炭吸附设施</w:t>
      </w:r>
    </w:p>
    <w:p w14:paraId="66711D0F" w14:textId="77777777" w:rsidR="00D170E5" w:rsidRPr="002B55E9" w:rsidRDefault="00EF27AD">
      <w:pPr>
        <w:pStyle w:val="affff7"/>
        <w:adjustRightInd w:val="0"/>
        <w:snapToGrid w:val="0"/>
        <w:rPr>
          <w:szCs w:val="24"/>
        </w:rPr>
      </w:pPr>
      <w:r w:rsidRPr="002B55E9">
        <w:rPr>
          <w:szCs w:val="24"/>
        </w:rPr>
        <w:t>活性炭吸附原理：活性炭是一种黑色粉状、粒状或丸状的无定形具有多孔的炭。主要成分为炭，还含有少量氧、氢、硫、氮、氯，也具有石墨那样的精细结构，只是晶粒较小，层层不规则堆积。具有较大的表面积（</w:t>
      </w:r>
      <w:r w:rsidRPr="002B55E9">
        <w:rPr>
          <w:szCs w:val="24"/>
        </w:rPr>
        <w:t>500</w:t>
      </w:r>
      <w:r w:rsidRPr="002B55E9">
        <w:rPr>
          <w:szCs w:val="24"/>
        </w:rPr>
        <w:t>～</w:t>
      </w:r>
      <w:r w:rsidRPr="002B55E9">
        <w:rPr>
          <w:szCs w:val="24"/>
        </w:rPr>
        <w:t>1000m</w:t>
      </w:r>
      <w:r w:rsidRPr="002B55E9">
        <w:rPr>
          <w:szCs w:val="24"/>
          <w:vertAlign w:val="superscript"/>
        </w:rPr>
        <w:t>2</w:t>
      </w:r>
      <w:r w:rsidRPr="002B55E9">
        <w:rPr>
          <w:szCs w:val="24"/>
        </w:rPr>
        <w:t>/g</w:t>
      </w:r>
      <w:r w:rsidRPr="002B55E9">
        <w:rPr>
          <w:szCs w:val="24"/>
        </w:rPr>
        <w:t>）。有很强的吸附能力，能在它的表面上吸附气体，液体或胶态固体。对于气、液的吸附可接近于活性炭本身的质量的。其吸附作用具有选择性，非极性物质比极性物质更易于吸附。在同一系列物质中，沸点越高的物质越容易被吸附，压力越大、温度越低，浓度越高，吸附量越大，反之，减压、升温有利气体的解吸。</w:t>
      </w:r>
    </w:p>
    <w:p w14:paraId="1C74A6B6" w14:textId="44D3E0F2" w:rsidR="00D170E5" w:rsidRPr="002B55E9" w:rsidRDefault="00EF27AD">
      <w:pPr>
        <w:pStyle w:val="affff7"/>
        <w:adjustRightInd w:val="0"/>
        <w:snapToGrid w:val="0"/>
        <w:spacing w:after="0"/>
        <w:rPr>
          <w:szCs w:val="24"/>
        </w:rPr>
      </w:pPr>
      <w:r w:rsidRPr="002B55E9">
        <w:rPr>
          <w:rFonts w:hint="eastAsia"/>
          <w:szCs w:val="24"/>
        </w:rPr>
        <w:t>活性炭吸附塔的工作原理：有机废气由风机提供动力，正压或负压进入活性炭吸附器塔体，由于活性炭固体表面上存在着未平衡和未饱和的分子引力或化学健力，因此，当此固体表面与气体接触时，就能吸引气体分子，使其浓聚并保持在固体表面，污染物质从而被吸附，废气经过滤器后，进入设备排尘系统，净化气体高空达标排放。活性炭吸附塔或吸附器产品结构见下图：</w:t>
      </w:r>
      <w:r w:rsidRPr="002B55E9">
        <w:rPr>
          <w:szCs w:val="24"/>
        </w:rPr>
        <w:t>。活性炭吸附系统构造见</w:t>
      </w:r>
      <w:r w:rsidR="007D6F87" w:rsidRPr="002B55E9">
        <w:rPr>
          <w:rFonts w:hint="eastAsia"/>
          <w:szCs w:val="24"/>
        </w:rPr>
        <w:t>下</w:t>
      </w:r>
      <w:r w:rsidRPr="002B55E9">
        <w:rPr>
          <w:szCs w:val="24"/>
        </w:rPr>
        <w:t>图</w:t>
      </w:r>
      <w:r w:rsidRPr="002B55E9">
        <w:rPr>
          <w:rFonts w:hint="eastAsia"/>
          <w:szCs w:val="24"/>
        </w:rPr>
        <w:t>。</w:t>
      </w:r>
    </w:p>
    <w:p w14:paraId="422C5AED" w14:textId="77777777" w:rsidR="00D170E5" w:rsidRPr="002B55E9" w:rsidRDefault="00EF27AD">
      <w:pPr>
        <w:pStyle w:val="affff7"/>
        <w:spacing w:after="0"/>
        <w:ind w:firstLineChars="0" w:firstLine="0"/>
        <w:jc w:val="center"/>
      </w:pPr>
      <w:r w:rsidRPr="002B55E9">
        <w:rPr>
          <w:noProof/>
          <w:snapToGrid/>
        </w:rPr>
        <w:drawing>
          <wp:inline distT="0" distB="0" distL="0" distR="0" wp14:anchorId="40DF60C5" wp14:editId="54903969">
            <wp:extent cx="4126865" cy="2069465"/>
            <wp:effectExtent l="0" t="0" r="0" b="0"/>
            <wp:docPr id="81" name="图片 167" descr="C:\Users\ADMINI~1\AppData\Local\Temp\ksohtml101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7" descr="C:\Users\ADMINI~1\AppData\Local\Temp\ksohtml10132\wps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126865" cy="2069465"/>
                    </a:xfrm>
                    <a:prstGeom prst="rect">
                      <a:avLst/>
                    </a:prstGeom>
                    <a:noFill/>
                    <a:ln>
                      <a:noFill/>
                    </a:ln>
                  </pic:spPr>
                </pic:pic>
              </a:graphicData>
            </a:graphic>
          </wp:inline>
        </w:drawing>
      </w:r>
    </w:p>
    <w:p w14:paraId="3AA90286" w14:textId="77777777" w:rsidR="00D170E5" w:rsidRPr="002B55E9" w:rsidRDefault="00EF27AD">
      <w:pPr>
        <w:pStyle w:val="affff7"/>
        <w:spacing w:after="0"/>
        <w:ind w:firstLineChars="0" w:firstLine="0"/>
        <w:jc w:val="center"/>
        <w:rPr>
          <w:b/>
          <w:bCs w:val="0"/>
          <w:szCs w:val="24"/>
        </w:rPr>
      </w:pPr>
      <w:r w:rsidRPr="002B55E9">
        <w:rPr>
          <w:b/>
          <w:bCs w:val="0"/>
          <w:szCs w:val="24"/>
        </w:rPr>
        <w:lastRenderedPageBreak/>
        <w:t>图</w:t>
      </w:r>
      <w:r w:rsidRPr="002B55E9">
        <w:rPr>
          <w:b/>
          <w:bCs w:val="0"/>
          <w:szCs w:val="24"/>
        </w:rPr>
        <w:t xml:space="preserve">7-2-1  </w:t>
      </w:r>
      <w:r w:rsidRPr="002B55E9">
        <w:rPr>
          <w:b/>
          <w:bCs w:val="0"/>
          <w:szCs w:val="24"/>
        </w:rPr>
        <w:t>活性炭吸附系统构造示意图</w:t>
      </w:r>
    </w:p>
    <w:p w14:paraId="00D2B303" w14:textId="4D1176BF" w:rsidR="00D170E5" w:rsidRPr="002B55E9" w:rsidRDefault="00EF27AD">
      <w:pPr>
        <w:pStyle w:val="affff7"/>
        <w:snapToGrid w:val="0"/>
        <w:spacing w:after="0"/>
        <w:rPr>
          <w:szCs w:val="24"/>
        </w:rPr>
      </w:pPr>
      <w:r w:rsidRPr="002B55E9">
        <w:rPr>
          <w:szCs w:val="24"/>
        </w:rPr>
        <w:t>活性炭吸附系统是一种过滤吸附有害、异味气体的环保设备，活性炭吸附装置具有吸附效率高、适用面广、维护方便、能同时处理多种混合废气等优点，活性炭吸附回收装置适用于大风量、低浓度的有机废气治理。</w:t>
      </w:r>
    </w:p>
    <w:p w14:paraId="2E2A35E2" w14:textId="38D26C16" w:rsidR="00D170E5" w:rsidRPr="002B55E9" w:rsidRDefault="007D6F87" w:rsidP="007D6F87">
      <w:pPr>
        <w:pStyle w:val="affff7"/>
        <w:rPr>
          <w:szCs w:val="24"/>
        </w:rPr>
      </w:pPr>
      <w:r w:rsidRPr="002B55E9">
        <w:rPr>
          <w:rFonts w:hint="eastAsia"/>
          <w:szCs w:val="24"/>
        </w:rPr>
        <w:t>根据</w:t>
      </w:r>
      <w:r w:rsidRPr="002B55E9">
        <w:rPr>
          <w:szCs w:val="24"/>
        </w:rPr>
        <w:t>前述工程分析，</w:t>
      </w:r>
      <w:r w:rsidRPr="002B55E9">
        <w:rPr>
          <w:rFonts w:hint="eastAsia"/>
          <w:szCs w:val="24"/>
        </w:rPr>
        <w:t>DA003</w:t>
      </w:r>
      <w:r w:rsidRPr="002B55E9">
        <w:rPr>
          <w:rFonts w:hint="eastAsia"/>
          <w:szCs w:val="24"/>
        </w:rPr>
        <w:t>排气筒排放</w:t>
      </w:r>
      <w:r w:rsidRPr="002B55E9">
        <w:rPr>
          <w:szCs w:val="24"/>
        </w:rPr>
        <w:t>的</w:t>
      </w:r>
      <w:r w:rsidRPr="002B55E9">
        <w:rPr>
          <w:rFonts w:hint="eastAsia"/>
          <w:szCs w:val="24"/>
        </w:rPr>
        <w:t>非甲烷总烃能</w:t>
      </w:r>
      <w:r w:rsidRPr="002B55E9">
        <w:rPr>
          <w:szCs w:val="24"/>
        </w:rPr>
        <w:t>满足</w:t>
      </w:r>
      <w:r w:rsidRPr="002B55E9">
        <w:rPr>
          <w:rFonts w:hint="eastAsia"/>
          <w:szCs w:val="24"/>
        </w:rPr>
        <w:t>《市人民政府关于印发武汉市</w:t>
      </w:r>
      <w:r w:rsidRPr="002B55E9">
        <w:rPr>
          <w:rFonts w:hint="eastAsia"/>
          <w:szCs w:val="24"/>
        </w:rPr>
        <w:t>2022</w:t>
      </w:r>
      <w:r w:rsidRPr="002B55E9">
        <w:rPr>
          <w:rFonts w:hint="eastAsia"/>
          <w:szCs w:val="24"/>
        </w:rPr>
        <w:t>年改善空气质量攻坚方案的通知》（武政规</w:t>
      </w:r>
      <w:r w:rsidRPr="002B55E9">
        <w:rPr>
          <w:rFonts w:hint="eastAsia"/>
          <w:szCs w:val="24"/>
        </w:rPr>
        <w:t>[2022]10</w:t>
      </w:r>
      <w:r w:rsidRPr="002B55E9">
        <w:rPr>
          <w:rFonts w:hint="eastAsia"/>
          <w:szCs w:val="24"/>
        </w:rPr>
        <w:t>号）中限值要求，</w:t>
      </w:r>
      <w:r w:rsidRPr="002B55E9">
        <w:rPr>
          <w:szCs w:val="24"/>
        </w:rPr>
        <w:t>甲醛、氯化氢、</w:t>
      </w:r>
      <w:r w:rsidRPr="002B55E9">
        <w:rPr>
          <w:rFonts w:hint="eastAsia"/>
          <w:szCs w:val="24"/>
        </w:rPr>
        <w:t>硫酸雾</w:t>
      </w:r>
      <w:r w:rsidRPr="002B55E9">
        <w:rPr>
          <w:szCs w:val="24"/>
        </w:rPr>
        <w:t>等</w:t>
      </w:r>
      <w:r w:rsidRPr="002B55E9">
        <w:rPr>
          <w:rFonts w:hint="eastAsia"/>
          <w:szCs w:val="24"/>
        </w:rPr>
        <w:t>污染物</w:t>
      </w:r>
      <w:r w:rsidRPr="002B55E9">
        <w:rPr>
          <w:szCs w:val="24"/>
        </w:rPr>
        <w:t>均能满足《</w:t>
      </w:r>
      <w:r w:rsidRPr="002B55E9">
        <w:rPr>
          <w:rFonts w:hint="eastAsia"/>
          <w:szCs w:val="24"/>
        </w:rPr>
        <w:t>大气</w:t>
      </w:r>
      <w:r w:rsidRPr="002B55E9">
        <w:rPr>
          <w:szCs w:val="24"/>
        </w:rPr>
        <w:t>污染物综合排放标准》</w:t>
      </w:r>
      <w:r w:rsidRPr="002B55E9">
        <w:rPr>
          <w:rFonts w:hint="eastAsia"/>
          <w:szCs w:val="24"/>
        </w:rPr>
        <w:t>（</w:t>
      </w:r>
      <w:r w:rsidRPr="002B55E9">
        <w:rPr>
          <w:rFonts w:hint="eastAsia"/>
          <w:szCs w:val="24"/>
        </w:rPr>
        <w:t>GB16297</w:t>
      </w:r>
      <w:r w:rsidRPr="002B55E9">
        <w:rPr>
          <w:szCs w:val="24"/>
        </w:rPr>
        <w:t>-1996</w:t>
      </w:r>
      <w:r w:rsidRPr="002B55E9">
        <w:rPr>
          <w:rFonts w:hint="eastAsia"/>
          <w:szCs w:val="24"/>
        </w:rPr>
        <w:t>）中</w:t>
      </w:r>
      <w:r w:rsidRPr="002B55E9">
        <w:rPr>
          <w:szCs w:val="24"/>
        </w:rPr>
        <w:t>的</w:t>
      </w:r>
      <w:r w:rsidRPr="002B55E9">
        <w:rPr>
          <w:rFonts w:hint="eastAsia"/>
          <w:szCs w:val="24"/>
        </w:rPr>
        <w:t>限值</w:t>
      </w:r>
      <w:r w:rsidRPr="002B55E9">
        <w:rPr>
          <w:szCs w:val="24"/>
        </w:rPr>
        <w:t>要求。</w:t>
      </w:r>
      <w:r w:rsidR="00EF27AD" w:rsidRPr="002B55E9">
        <w:rPr>
          <w:rFonts w:hint="eastAsia"/>
          <w:szCs w:val="24"/>
        </w:rPr>
        <w:t>本次对建设单位后期活性炭吸附设施要求如下：</w:t>
      </w:r>
    </w:p>
    <w:p w14:paraId="2461F6FF" w14:textId="77777777" w:rsidR="00D170E5" w:rsidRPr="002B55E9" w:rsidRDefault="00EF27AD">
      <w:pPr>
        <w:pStyle w:val="affff7"/>
        <w:snapToGrid w:val="0"/>
        <w:rPr>
          <w:szCs w:val="24"/>
        </w:rPr>
      </w:pPr>
      <w:r w:rsidRPr="002B55E9">
        <w:rPr>
          <w:rFonts w:hint="eastAsia"/>
          <w:szCs w:val="24"/>
        </w:rPr>
        <w:t>①活性炭吸附单元在设备箱体内分层抽屉式安装，能够非常方便从两侧的检查门取出。</w:t>
      </w:r>
    </w:p>
    <w:p w14:paraId="5D4D5616" w14:textId="77777777" w:rsidR="00D170E5" w:rsidRPr="002B55E9" w:rsidRDefault="00EF27AD">
      <w:pPr>
        <w:pStyle w:val="affff7"/>
        <w:snapToGrid w:val="0"/>
        <w:rPr>
          <w:szCs w:val="24"/>
        </w:rPr>
      </w:pPr>
      <w:r w:rsidRPr="002B55E9">
        <w:rPr>
          <w:rFonts w:hint="eastAsia"/>
          <w:szCs w:val="24"/>
        </w:rPr>
        <w:t>②检查门开启方便、密封严密。可以分别打开，单独取下。</w:t>
      </w:r>
    </w:p>
    <w:p w14:paraId="7AEC6A16" w14:textId="77777777" w:rsidR="00D170E5" w:rsidRPr="002B55E9" w:rsidRDefault="00EF27AD">
      <w:pPr>
        <w:pStyle w:val="affff7"/>
        <w:snapToGrid w:val="0"/>
        <w:rPr>
          <w:szCs w:val="24"/>
        </w:rPr>
      </w:pPr>
      <w:r w:rsidRPr="002B55E9">
        <w:rPr>
          <w:rFonts w:hint="eastAsia"/>
          <w:szCs w:val="24"/>
        </w:rPr>
        <w:t>③基架用槽钢制作，坚固的基架可以保证设备安装和运输的要求。</w:t>
      </w:r>
    </w:p>
    <w:p w14:paraId="5AAEB94A" w14:textId="77777777" w:rsidR="00D170E5" w:rsidRPr="002B55E9" w:rsidRDefault="00EF27AD">
      <w:pPr>
        <w:pStyle w:val="affff7"/>
        <w:snapToGrid w:val="0"/>
        <w:rPr>
          <w:szCs w:val="24"/>
        </w:rPr>
      </w:pPr>
      <w:r w:rsidRPr="002B55E9">
        <w:rPr>
          <w:rFonts w:hint="eastAsia"/>
          <w:szCs w:val="24"/>
        </w:rPr>
        <w:t>④进（出）气口是法兰式接口，可以连接风管。可以根据实际要求安排尺寸、位置、方向。例设箱体顶部或侧面。</w:t>
      </w:r>
    </w:p>
    <w:p w14:paraId="7C0729EA" w14:textId="77777777" w:rsidR="00D170E5" w:rsidRPr="002B55E9" w:rsidRDefault="00EF27AD">
      <w:pPr>
        <w:pStyle w:val="affff7"/>
        <w:snapToGrid w:val="0"/>
        <w:rPr>
          <w:szCs w:val="24"/>
        </w:rPr>
      </w:pPr>
      <w:r w:rsidRPr="002B55E9">
        <w:rPr>
          <w:rFonts w:hint="eastAsia"/>
          <w:szCs w:val="24"/>
        </w:rPr>
        <w:t>⑤含尘有机废气需经预处理设备后方可进入活性炭吸附器净化达标排放。</w:t>
      </w:r>
    </w:p>
    <w:p w14:paraId="39DFF4A3" w14:textId="77777777" w:rsidR="00D170E5" w:rsidRPr="002B55E9" w:rsidRDefault="00EF27AD">
      <w:pPr>
        <w:pStyle w:val="affff7"/>
        <w:snapToGrid w:val="0"/>
        <w:rPr>
          <w:szCs w:val="24"/>
        </w:rPr>
      </w:pPr>
      <w:r w:rsidRPr="002B55E9">
        <w:rPr>
          <w:rFonts w:hint="eastAsia"/>
          <w:szCs w:val="24"/>
        </w:rPr>
        <w:t>⑥活性炭吸附设备可根据不同的废气性质选用不同材质，主体可选用不锈钢、炭钢、镀锌板、</w:t>
      </w:r>
      <w:r w:rsidRPr="002B55E9">
        <w:rPr>
          <w:rFonts w:hint="eastAsia"/>
          <w:szCs w:val="24"/>
        </w:rPr>
        <w:t>PP</w:t>
      </w:r>
      <w:r w:rsidRPr="002B55E9">
        <w:rPr>
          <w:rFonts w:hint="eastAsia"/>
          <w:szCs w:val="24"/>
        </w:rPr>
        <w:t>板等。</w:t>
      </w:r>
    </w:p>
    <w:p w14:paraId="29D6D142" w14:textId="4ED6D7DF" w:rsidR="007D6F87" w:rsidRPr="002B55E9" w:rsidRDefault="00EF27AD">
      <w:pPr>
        <w:pStyle w:val="affff7"/>
        <w:snapToGrid w:val="0"/>
        <w:spacing w:after="0"/>
        <w:rPr>
          <w:szCs w:val="24"/>
        </w:rPr>
      </w:pPr>
      <w:r w:rsidRPr="002B55E9">
        <w:rPr>
          <w:rFonts w:hint="eastAsia"/>
          <w:szCs w:val="24"/>
        </w:rPr>
        <w:t>⑦拟建项目新增的活性炭吸附设备应选择碘值不低于</w:t>
      </w:r>
      <w:r w:rsidRPr="002B55E9">
        <w:rPr>
          <w:rFonts w:hint="eastAsia"/>
          <w:szCs w:val="24"/>
        </w:rPr>
        <w:t>800mg/g</w:t>
      </w:r>
      <w:r w:rsidR="007D6F87" w:rsidRPr="002B55E9">
        <w:rPr>
          <w:rFonts w:hint="eastAsia"/>
          <w:szCs w:val="24"/>
        </w:rPr>
        <w:t>的活性炭装置，活性炭</w:t>
      </w:r>
      <w:r w:rsidR="007D6F87" w:rsidRPr="002B55E9">
        <w:rPr>
          <w:szCs w:val="24"/>
        </w:rPr>
        <w:t>一次装填量</w:t>
      </w:r>
      <w:r w:rsidR="007D6F87" w:rsidRPr="002B55E9">
        <w:rPr>
          <w:rFonts w:hint="eastAsia"/>
          <w:szCs w:val="24"/>
        </w:rPr>
        <w:t>不小于</w:t>
      </w:r>
      <w:r w:rsidR="007D6F87" w:rsidRPr="002B55E9">
        <w:rPr>
          <w:rFonts w:hint="eastAsia"/>
          <w:szCs w:val="24"/>
        </w:rPr>
        <w:t>1m</w:t>
      </w:r>
      <w:r w:rsidR="007D6F87" w:rsidRPr="002B55E9">
        <w:rPr>
          <w:rFonts w:hint="eastAsia"/>
          <w:szCs w:val="24"/>
          <w:vertAlign w:val="superscript"/>
        </w:rPr>
        <w:t>3</w:t>
      </w:r>
      <w:r w:rsidR="002444E9" w:rsidRPr="002B55E9">
        <w:rPr>
          <w:rFonts w:hint="eastAsia"/>
          <w:szCs w:val="24"/>
        </w:rPr>
        <w:t>，活性炭更换周期一般不应超过累计运行</w:t>
      </w:r>
      <w:r w:rsidR="002444E9" w:rsidRPr="002B55E9">
        <w:rPr>
          <w:rFonts w:hint="eastAsia"/>
          <w:szCs w:val="24"/>
        </w:rPr>
        <w:t>500</w:t>
      </w:r>
      <w:r w:rsidR="002444E9" w:rsidRPr="002B55E9">
        <w:rPr>
          <w:rFonts w:hint="eastAsia"/>
          <w:szCs w:val="24"/>
        </w:rPr>
        <w:t>小时或</w:t>
      </w:r>
      <w:r w:rsidR="002444E9" w:rsidRPr="002B55E9">
        <w:rPr>
          <w:rFonts w:hint="eastAsia"/>
          <w:szCs w:val="24"/>
        </w:rPr>
        <w:t>3</w:t>
      </w:r>
      <w:r w:rsidR="002444E9" w:rsidRPr="002B55E9">
        <w:rPr>
          <w:rFonts w:hint="eastAsia"/>
          <w:szCs w:val="24"/>
        </w:rPr>
        <w:t>个月。</w:t>
      </w:r>
    </w:p>
    <w:p w14:paraId="70BE485D" w14:textId="3F893BA6" w:rsidR="00763040" w:rsidRPr="002B55E9" w:rsidRDefault="00763040" w:rsidP="00763040">
      <w:pPr>
        <w:numPr>
          <w:ilvl w:val="3"/>
          <w:numId w:val="1"/>
        </w:numPr>
        <w:spacing w:after="60" w:line="360" w:lineRule="auto"/>
        <w:outlineLvl w:val="3"/>
        <w:rPr>
          <w:b/>
          <w:sz w:val="24"/>
        </w:rPr>
      </w:pPr>
      <w:r w:rsidRPr="002B55E9">
        <w:rPr>
          <w:rFonts w:hint="eastAsia"/>
          <w:b/>
          <w:sz w:val="24"/>
        </w:rPr>
        <w:t>无组织废气排放防治措施</w:t>
      </w:r>
    </w:p>
    <w:p w14:paraId="656A5FB9" w14:textId="1DEA1314" w:rsidR="00763040" w:rsidRPr="002B55E9" w:rsidRDefault="00763040" w:rsidP="00763040">
      <w:pPr>
        <w:pStyle w:val="affff7"/>
        <w:spacing w:after="0"/>
        <w:rPr>
          <w:szCs w:val="24"/>
        </w:rPr>
      </w:pPr>
      <w:r w:rsidRPr="002B55E9">
        <w:rPr>
          <w:rFonts w:hint="eastAsia"/>
          <w:szCs w:val="24"/>
        </w:rPr>
        <w:t>对于无组织废气的污染防治，目前主要以强化管理为主，以管促治，预防为主，防治结合，其主要的防治措施如下：</w:t>
      </w:r>
    </w:p>
    <w:p w14:paraId="3CE722A2" w14:textId="77777777" w:rsidR="00763040" w:rsidRPr="002B55E9" w:rsidRDefault="00763040" w:rsidP="00763040">
      <w:pPr>
        <w:pStyle w:val="affff7"/>
        <w:spacing w:after="0"/>
        <w:rPr>
          <w:szCs w:val="24"/>
        </w:rPr>
      </w:pPr>
      <w:r w:rsidRPr="002B55E9">
        <w:rPr>
          <w:rFonts w:hint="eastAsia"/>
          <w:szCs w:val="24"/>
        </w:rPr>
        <w:t>（</w:t>
      </w:r>
      <w:r w:rsidRPr="002B55E9">
        <w:rPr>
          <w:rFonts w:hint="eastAsia"/>
          <w:szCs w:val="24"/>
        </w:rPr>
        <w:t>1</w:t>
      </w:r>
      <w:r w:rsidRPr="002B55E9">
        <w:rPr>
          <w:rFonts w:hint="eastAsia"/>
          <w:szCs w:val="24"/>
        </w:rPr>
        <w:t>）规范生产操作</w:t>
      </w:r>
    </w:p>
    <w:p w14:paraId="0A28864F" w14:textId="77777777" w:rsidR="00763040" w:rsidRPr="002B55E9" w:rsidRDefault="00763040" w:rsidP="00763040">
      <w:pPr>
        <w:pStyle w:val="affff7"/>
        <w:spacing w:after="0"/>
        <w:rPr>
          <w:szCs w:val="24"/>
        </w:rPr>
      </w:pPr>
      <w:r w:rsidRPr="002B55E9">
        <w:rPr>
          <w:rFonts w:hint="eastAsia"/>
          <w:szCs w:val="24"/>
        </w:rPr>
        <w:t>①增强企业领导和企业员工的环保意识，严格执行无组织废气排放的各项标准和规定。加强环保和安全意识教育，严格执行生产操作规程，预防污染事故的发生。</w:t>
      </w:r>
    </w:p>
    <w:p w14:paraId="4FB535ED" w14:textId="77777777" w:rsidR="00763040" w:rsidRPr="002B55E9" w:rsidRDefault="00763040" w:rsidP="00763040">
      <w:pPr>
        <w:pStyle w:val="affff7"/>
        <w:spacing w:after="0"/>
        <w:rPr>
          <w:szCs w:val="24"/>
        </w:rPr>
      </w:pPr>
      <w:r w:rsidRPr="002B55E9">
        <w:rPr>
          <w:rFonts w:hint="eastAsia"/>
          <w:szCs w:val="24"/>
        </w:rPr>
        <w:t>②积极推进清洁生产技术和制度的实施，加强企业领导和技术人员对清洁生产的认识，让企业自发加强生产管理，减少“跑、冒、滴、漏”，使无组织废气排放最小化。</w:t>
      </w:r>
    </w:p>
    <w:p w14:paraId="75E2ABE5" w14:textId="77777777" w:rsidR="00763040" w:rsidRPr="002B55E9" w:rsidRDefault="00763040" w:rsidP="00763040">
      <w:pPr>
        <w:pStyle w:val="affff7"/>
        <w:spacing w:after="0"/>
        <w:rPr>
          <w:szCs w:val="24"/>
        </w:rPr>
      </w:pPr>
      <w:r w:rsidRPr="002B55E9">
        <w:rPr>
          <w:rFonts w:hint="eastAsia"/>
          <w:szCs w:val="24"/>
        </w:rPr>
        <w:t>③定期对生产装置、设备进行检查维修，减少挥发性有机物的无组织排放，杜绝事故隐患，确保安全生产。</w:t>
      </w:r>
    </w:p>
    <w:p w14:paraId="13E9787D" w14:textId="3F8E8EE2" w:rsidR="00763040" w:rsidRPr="002B55E9" w:rsidRDefault="00763040" w:rsidP="00763040">
      <w:pPr>
        <w:pStyle w:val="affff7"/>
        <w:spacing w:after="0"/>
        <w:rPr>
          <w:szCs w:val="24"/>
        </w:rPr>
      </w:pPr>
      <w:r w:rsidRPr="002B55E9">
        <w:rPr>
          <w:rFonts w:hint="eastAsia"/>
          <w:szCs w:val="24"/>
        </w:rPr>
        <w:lastRenderedPageBreak/>
        <w:t>④项目生产设备类型繁多，管道纵横交错，对输送挥发性有机液体的设备或管线组件，如泵、取样连接系统、阀门、法兰或其它缝隙接合处，应加强日常管理和巡查，防止有机物泄漏造成污染，并做好维护管理的登记。</w:t>
      </w:r>
    </w:p>
    <w:p w14:paraId="7EC01678" w14:textId="77777777" w:rsidR="00763040" w:rsidRPr="002B55E9" w:rsidRDefault="00763040" w:rsidP="00763040">
      <w:pPr>
        <w:pStyle w:val="affff7"/>
        <w:spacing w:after="0"/>
        <w:rPr>
          <w:szCs w:val="24"/>
        </w:rPr>
      </w:pPr>
      <w:r w:rsidRPr="002B55E9">
        <w:rPr>
          <w:rFonts w:hint="eastAsia"/>
          <w:szCs w:val="24"/>
        </w:rPr>
        <w:t>⑤加强厂区内通风措施。设计充分考虑各种无组织排放源的自然通风措施，用以改善工作卫生环境条件，当满足不了要求时，进行有组织的机械通风。</w:t>
      </w:r>
    </w:p>
    <w:p w14:paraId="2A2AE93D" w14:textId="77777777" w:rsidR="00763040" w:rsidRPr="002B55E9" w:rsidRDefault="00763040" w:rsidP="00763040">
      <w:pPr>
        <w:pStyle w:val="affff7"/>
        <w:spacing w:after="0"/>
        <w:rPr>
          <w:szCs w:val="24"/>
        </w:rPr>
      </w:pPr>
      <w:r w:rsidRPr="002B55E9">
        <w:rPr>
          <w:rFonts w:hint="eastAsia"/>
          <w:szCs w:val="24"/>
        </w:rPr>
        <w:t>⑥气温较高季节，增加废水处理频次减少废水在收集池中停留时间。</w:t>
      </w:r>
    </w:p>
    <w:p w14:paraId="71E71DAD" w14:textId="023966AD" w:rsidR="00763040" w:rsidRPr="002B55E9" w:rsidRDefault="00763040" w:rsidP="00763040">
      <w:pPr>
        <w:pStyle w:val="affff7"/>
        <w:spacing w:after="0"/>
        <w:rPr>
          <w:szCs w:val="24"/>
        </w:rPr>
      </w:pPr>
      <w:r w:rsidRPr="002B55E9">
        <w:rPr>
          <w:rFonts w:hint="eastAsia"/>
          <w:szCs w:val="24"/>
        </w:rPr>
        <w:t>类比调查证明，以上各项措施可以有效地减少无组织排放气体的产生量，防止造成环境污染。</w:t>
      </w:r>
    </w:p>
    <w:p w14:paraId="53FBCB4F" w14:textId="77777777" w:rsidR="00D170E5" w:rsidRPr="002B55E9" w:rsidRDefault="00EF27AD">
      <w:pPr>
        <w:numPr>
          <w:ilvl w:val="3"/>
          <w:numId w:val="1"/>
        </w:numPr>
        <w:spacing w:after="60" w:line="360" w:lineRule="auto"/>
        <w:outlineLvl w:val="3"/>
        <w:rPr>
          <w:b/>
          <w:sz w:val="24"/>
        </w:rPr>
      </w:pPr>
      <w:r w:rsidRPr="002B55E9">
        <w:rPr>
          <w:b/>
          <w:sz w:val="24"/>
        </w:rPr>
        <w:t>排气筒合理性分析</w:t>
      </w:r>
    </w:p>
    <w:p w14:paraId="7DB37A2D" w14:textId="77777777" w:rsidR="00D170E5" w:rsidRPr="002B55E9" w:rsidRDefault="00EF27AD">
      <w:pPr>
        <w:keepNext/>
        <w:numPr>
          <w:ilvl w:val="4"/>
          <w:numId w:val="1"/>
        </w:numPr>
        <w:spacing w:after="60" w:line="360" w:lineRule="auto"/>
        <w:outlineLvl w:val="4"/>
        <w:rPr>
          <w:b/>
          <w:sz w:val="24"/>
        </w:rPr>
      </w:pPr>
      <w:r w:rsidRPr="002B55E9">
        <w:rPr>
          <w:b/>
          <w:sz w:val="24"/>
        </w:rPr>
        <w:t>排气筒烟气流速合理性分析</w:t>
      </w:r>
    </w:p>
    <w:p w14:paraId="69630070" w14:textId="77777777" w:rsidR="00D170E5" w:rsidRPr="002B55E9" w:rsidRDefault="00EF27AD">
      <w:pPr>
        <w:widowControl/>
        <w:adjustRightInd w:val="0"/>
        <w:snapToGrid w:val="0"/>
        <w:spacing w:line="360" w:lineRule="auto"/>
        <w:ind w:firstLineChars="200" w:firstLine="480"/>
        <w:rPr>
          <w:bCs/>
          <w:snapToGrid w:val="0"/>
          <w:sz w:val="24"/>
        </w:rPr>
      </w:pPr>
      <w:r w:rsidRPr="002B55E9">
        <w:rPr>
          <w:rFonts w:hint="eastAsia"/>
          <w:bCs/>
          <w:snapToGrid w:val="0"/>
          <w:sz w:val="24"/>
        </w:rPr>
        <w:t>拟建项目共新增</w:t>
      </w:r>
      <w:r w:rsidRPr="002B55E9">
        <w:rPr>
          <w:bCs/>
          <w:snapToGrid w:val="0"/>
          <w:sz w:val="24"/>
        </w:rPr>
        <w:t>3</w:t>
      </w:r>
      <w:r w:rsidRPr="002B55E9">
        <w:rPr>
          <w:rFonts w:hint="eastAsia"/>
          <w:bCs/>
          <w:snapToGrid w:val="0"/>
          <w:sz w:val="24"/>
        </w:rPr>
        <w:t>根排气筒，排气筒情况见下表所示：</w:t>
      </w:r>
    </w:p>
    <w:p w14:paraId="1614BEB4" w14:textId="77777777" w:rsidR="00D170E5" w:rsidRPr="002B55E9" w:rsidRDefault="00EF27AD">
      <w:pPr>
        <w:widowControl/>
        <w:snapToGrid w:val="0"/>
        <w:ind w:firstLineChars="199" w:firstLine="479"/>
        <w:jc w:val="center"/>
        <w:rPr>
          <w:b/>
          <w:snapToGrid w:val="0"/>
          <w:sz w:val="24"/>
        </w:rPr>
      </w:pPr>
      <w:r w:rsidRPr="002B55E9">
        <w:rPr>
          <w:rFonts w:hint="eastAsia"/>
          <w:b/>
          <w:snapToGrid w:val="0"/>
          <w:sz w:val="24"/>
        </w:rPr>
        <w:t>表</w:t>
      </w:r>
      <w:r w:rsidRPr="002B55E9">
        <w:rPr>
          <w:b/>
          <w:snapToGrid w:val="0"/>
          <w:sz w:val="24"/>
        </w:rPr>
        <w:t xml:space="preserve">7-2-2  </w:t>
      </w:r>
      <w:r w:rsidRPr="002B55E9">
        <w:rPr>
          <w:rFonts w:hint="eastAsia"/>
          <w:b/>
          <w:snapToGrid w:val="0"/>
          <w:sz w:val="24"/>
        </w:rPr>
        <w:t>拟建项目主要排气筒情况一览表</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77"/>
        <w:gridCol w:w="2234"/>
        <w:gridCol w:w="1276"/>
        <w:gridCol w:w="1735"/>
        <w:gridCol w:w="1632"/>
      </w:tblGrid>
      <w:tr w:rsidR="00C60999" w:rsidRPr="002B55E9" w14:paraId="6281D1A7" w14:textId="77777777">
        <w:trPr>
          <w:trHeight w:val="284"/>
          <w:jc w:val="center"/>
        </w:trPr>
        <w:tc>
          <w:tcPr>
            <w:tcW w:w="2977" w:type="dxa"/>
            <w:tcBorders>
              <w:top w:val="single" w:sz="12" w:space="0" w:color="auto"/>
              <w:bottom w:val="single" w:sz="12" w:space="0" w:color="auto"/>
            </w:tcBorders>
            <w:vAlign w:val="center"/>
          </w:tcPr>
          <w:p w14:paraId="34E4B617" w14:textId="77777777" w:rsidR="00D170E5" w:rsidRPr="002B55E9" w:rsidRDefault="00EF27AD">
            <w:pPr>
              <w:jc w:val="center"/>
              <w:rPr>
                <w:sz w:val="18"/>
              </w:rPr>
            </w:pPr>
            <w:r w:rsidRPr="002B55E9">
              <w:rPr>
                <w:sz w:val="18"/>
              </w:rPr>
              <w:t>排气筒名称</w:t>
            </w:r>
          </w:p>
        </w:tc>
        <w:tc>
          <w:tcPr>
            <w:tcW w:w="2234" w:type="dxa"/>
            <w:tcBorders>
              <w:top w:val="single" w:sz="12" w:space="0" w:color="auto"/>
              <w:bottom w:val="single" w:sz="12" w:space="0" w:color="auto"/>
            </w:tcBorders>
            <w:vAlign w:val="center"/>
          </w:tcPr>
          <w:p w14:paraId="452A5AC2" w14:textId="77777777" w:rsidR="00D170E5" w:rsidRPr="002B55E9" w:rsidRDefault="00EF27AD">
            <w:pPr>
              <w:jc w:val="center"/>
              <w:rPr>
                <w:sz w:val="18"/>
              </w:rPr>
            </w:pPr>
            <w:r w:rsidRPr="002B55E9">
              <w:rPr>
                <w:sz w:val="18"/>
              </w:rPr>
              <w:t>排气筒编号</w:t>
            </w:r>
          </w:p>
        </w:tc>
        <w:tc>
          <w:tcPr>
            <w:tcW w:w="1276" w:type="dxa"/>
            <w:tcBorders>
              <w:top w:val="single" w:sz="12" w:space="0" w:color="auto"/>
              <w:bottom w:val="single" w:sz="12" w:space="0" w:color="auto"/>
            </w:tcBorders>
            <w:vAlign w:val="center"/>
          </w:tcPr>
          <w:p w14:paraId="04E8AC7B" w14:textId="77777777" w:rsidR="00D170E5" w:rsidRPr="002B55E9" w:rsidRDefault="00EF27AD">
            <w:pPr>
              <w:jc w:val="center"/>
              <w:rPr>
                <w:sz w:val="18"/>
              </w:rPr>
            </w:pPr>
            <w:r w:rsidRPr="002B55E9">
              <w:rPr>
                <w:sz w:val="18"/>
              </w:rPr>
              <w:t>排气筒高度</w:t>
            </w:r>
          </w:p>
        </w:tc>
        <w:tc>
          <w:tcPr>
            <w:tcW w:w="1735" w:type="dxa"/>
            <w:tcBorders>
              <w:top w:val="single" w:sz="12" w:space="0" w:color="auto"/>
              <w:bottom w:val="single" w:sz="12" w:space="0" w:color="auto"/>
            </w:tcBorders>
            <w:vAlign w:val="center"/>
          </w:tcPr>
          <w:p w14:paraId="6D2DA2A7" w14:textId="77777777" w:rsidR="00D170E5" w:rsidRPr="002B55E9" w:rsidRDefault="00EF27AD">
            <w:pPr>
              <w:jc w:val="center"/>
              <w:rPr>
                <w:sz w:val="18"/>
              </w:rPr>
            </w:pPr>
            <w:r w:rsidRPr="002B55E9">
              <w:rPr>
                <w:sz w:val="18"/>
              </w:rPr>
              <w:t>废气量（</w:t>
            </w:r>
            <w:r w:rsidRPr="002B55E9">
              <w:rPr>
                <w:sz w:val="18"/>
              </w:rPr>
              <w:t>Nm</w:t>
            </w:r>
            <w:r w:rsidRPr="002B55E9">
              <w:rPr>
                <w:sz w:val="18"/>
                <w:vertAlign w:val="superscript"/>
              </w:rPr>
              <w:t>3</w:t>
            </w:r>
            <w:r w:rsidRPr="002B55E9">
              <w:rPr>
                <w:sz w:val="18"/>
              </w:rPr>
              <w:t>/h</w:t>
            </w:r>
            <w:r w:rsidRPr="002B55E9">
              <w:rPr>
                <w:sz w:val="18"/>
              </w:rPr>
              <w:t>）</w:t>
            </w:r>
          </w:p>
        </w:tc>
        <w:tc>
          <w:tcPr>
            <w:tcW w:w="1632" w:type="dxa"/>
            <w:tcBorders>
              <w:top w:val="single" w:sz="12" w:space="0" w:color="auto"/>
              <w:bottom w:val="single" w:sz="12" w:space="0" w:color="auto"/>
            </w:tcBorders>
            <w:vAlign w:val="center"/>
          </w:tcPr>
          <w:p w14:paraId="0AC5D4CF" w14:textId="77777777" w:rsidR="00D170E5" w:rsidRPr="002B55E9" w:rsidRDefault="00EF27AD">
            <w:pPr>
              <w:jc w:val="center"/>
              <w:rPr>
                <w:sz w:val="18"/>
              </w:rPr>
            </w:pPr>
            <w:r w:rsidRPr="002B55E9">
              <w:rPr>
                <w:sz w:val="18"/>
                <w:lang w:val="zh-CN"/>
              </w:rPr>
              <w:t>出口内径（</w:t>
            </w:r>
            <w:r w:rsidRPr="002B55E9">
              <w:rPr>
                <w:sz w:val="18"/>
              </w:rPr>
              <w:t>m</w:t>
            </w:r>
            <w:r w:rsidRPr="002B55E9">
              <w:rPr>
                <w:sz w:val="18"/>
              </w:rPr>
              <w:t>）</w:t>
            </w:r>
          </w:p>
        </w:tc>
      </w:tr>
      <w:tr w:rsidR="00C60999" w:rsidRPr="002B55E9" w14:paraId="345E3064" w14:textId="77777777">
        <w:trPr>
          <w:trHeight w:val="284"/>
          <w:jc w:val="center"/>
        </w:trPr>
        <w:tc>
          <w:tcPr>
            <w:tcW w:w="2977" w:type="dxa"/>
            <w:tcBorders>
              <w:top w:val="single" w:sz="12" w:space="0" w:color="auto"/>
            </w:tcBorders>
            <w:vAlign w:val="center"/>
          </w:tcPr>
          <w:p w14:paraId="2954E64F" w14:textId="77777777" w:rsidR="00D170E5" w:rsidRPr="002B55E9" w:rsidRDefault="00EF27AD">
            <w:pPr>
              <w:jc w:val="center"/>
              <w:rPr>
                <w:sz w:val="18"/>
              </w:rPr>
            </w:pPr>
            <w:r w:rsidRPr="002B55E9">
              <w:rPr>
                <w:sz w:val="18"/>
              </w:rPr>
              <w:t>破碎粉尘</w:t>
            </w:r>
            <w:r w:rsidRPr="002B55E9">
              <w:rPr>
                <w:rFonts w:hint="eastAsia"/>
                <w:sz w:val="18"/>
              </w:rPr>
              <w:t>排气筒</w:t>
            </w:r>
          </w:p>
        </w:tc>
        <w:tc>
          <w:tcPr>
            <w:tcW w:w="2234" w:type="dxa"/>
            <w:tcBorders>
              <w:top w:val="single" w:sz="12" w:space="0" w:color="auto"/>
            </w:tcBorders>
            <w:vAlign w:val="center"/>
          </w:tcPr>
          <w:p w14:paraId="39143B18" w14:textId="77777777" w:rsidR="00D170E5" w:rsidRPr="002B55E9" w:rsidRDefault="00EF27AD">
            <w:pPr>
              <w:jc w:val="center"/>
              <w:rPr>
                <w:sz w:val="18"/>
              </w:rPr>
            </w:pPr>
            <w:r w:rsidRPr="002B55E9">
              <w:rPr>
                <w:rFonts w:hint="eastAsia"/>
                <w:sz w:val="18"/>
              </w:rPr>
              <w:t>DA001</w:t>
            </w:r>
          </w:p>
        </w:tc>
        <w:tc>
          <w:tcPr>
            <w:tcW w:w="1276" w:type="dxa"/>
            <w:tcBorders>
              <w:top w:val="single" w:sz="12" w:space="0" w:color="auto"/>
            </w:tcBorders>
            <w:vAlign w:val="center"/>
          </w:tcPr>
          <w:p w14:paraId="582BCBC1" w14:textId="77777777" w:rsidR="00D170E5" w:rsidRPr="002B55E9" w:rsidRDefault="00EF27AD">
            <w:pPr>
              <w:jc w:val="center"/>
              <w:rPr>
                <w:sz w:val="18"/>
                <w:szCs w:val="18"/>
              </w:rPr>
            </w:pPr>
            <w:r w:rsidRPr="002B55E9">
              <w:rPr>
                <w:rFonts w:hint="eastAsia"/>
                <w:sz w:val="18"/>
                <w:szCs w:val="18"/>
              </w:rPr>
              <w:t>1</w:t>
            </w:r>
            <w:r w:rsidRPr="002B55E9">
              <w:rPr>
                <w:sz w:val="18"/>
                <w:szCs w:val="18"/>
              </w:rPr>
              <w:t>8</w:t>
            </w:r>
          </w:p>
        </w:tc>
        <w:tc>
          <w:tcPr>
            <w:tcW w:w="1735" w:type="dxa"/>
            <w:tcBorders>
              <w:top w:val="single" w:sz="12" w:space="0" w:color="auto"/>
            </w:tcBorders>
            <w:vAlign w:val="center"/>
          </w:tcPr>
          <w:p w14:paraId="23348242" w14:textId="77777777" w:rsidR="00D170E5" w:rsidRPr="002B55E9" w:rsidRDefault="00EF27AD">
            <w:pPr>
              <w:ind w:leftChars="-50" w:left="-100" w:rightChars="-50" w:right="-100"/>
              <w:jc w:val="center"/>
              <w:rPr>
                <w:kern w:val="24"/>
                <w:sz w:val="18"/>
              </w:rPr>
            </w:pPr>
            <w:r w:rsidRPr="002B55E9">
              <w:rPr>
                <w:kern w:val="24"/>
                <w:sz w:val="18"/>
              </w:rPr>
              <w:t>5000</w:t>
            </w:r>
          </w:p>
        </w:tc>
        <w:tc>
          <w:tcPr>
            <w:tcW w:w="1632" w:type="dxa"/>
            <w:tcBorders>
              <w:top w:val="single" w:sz="12" w:space="0" w:color="auto"/>
            </w:tcBorders>
            <w:vAlign w:val="center"/>
          </w:tcPr>
          <w:p w14:paraId="3075DAF8" w14:textId="77777777" w:rsidR="00D170E5" w:rsidRPr="002B55E9" w:rsidRDefault="00EF27AD">
            <w:pPr>
              <w:ind w:leftChars="-50" w:left="-100" w:rightChars="-50" w:right="-100"/>
              <w:jc w:val="center"/>
              <w:rPr>
                <w:sz w:val="18"/>
              </w:rPr>
            </w:pPr>
            <w:r w:rsidRPr="002B55E9">
              <w:rPr>
                <w:rFonts w:hint="eastAsia"/>
                <w:sz w:val="18"/>
                <w:lang w:val="zh-CN"/>
              </w:rPr>
              <w:t>0.4</w:t>
            </w:r>
          </w:p>
        </w:tc>
      </w:tr>
      <w:tr w:rsidR="00C60999" w:rsidRPr="002B55E9" w14:paraId="3A03F128" w14:textId="77777777">
        <w:trPr>
          <w:trHeight w:val="284"/>
          <w:jc w:val="center"/>
        </w:trPr>
        <w:tc>
          <w:tcPr>
            <w:tcW w:w="2977" w:type="dxa"/>
            <w:vAlign w:val="center"/>
          </w:tcPr>
          <w:p w14:paraId="1C732D12" w14:textId="77777777" w:rsidR="00D170E5" w:rsidRPr="002B55E9" w:rsidRDefault="00EF27AD">
            <w:pPr>
              <w:jc w:val="center"/>
              <w:rPr>
                <w:sz w:val="18"/>
              </w:rPr>
            </w:pPr>
            <w:r w:rsidRPr="002B55E9">
              <w:rPr>
                <w:rFonts w:hint="eastAsia"/>
                <w:sz w:val="18"/>
              </w:rPr>
              <w:t>工艺废气排气筒</w:t>
            </w:r>
          </w:p>
        </w:tc>
        <w:tc>
          <w:tcPr>
            <w:tcW w:w="2234" w:type="dxa"/>
            <w:vAlign w:val="center"/>
          </w:tcPr>
          <w:p w14:paraId="0994BC9F" w14:textId="77777777" w:rsidR="00D170E5" w:rsidRPr="002B55E9" w:rsidRDefault="00EF27AD">
            <w:pPr>
              <w:jc w:val="center"/>
              <w:rPr>
                <w:sz w:val="18"/>
                <w:szCs w:val="18"/>
              </w:rPr>
            </w:pPr>
            <w:r w:rsidRPr="002B55E9">
              <w:rPr>
                <w:rFonts w:hint="eastAsia"/>
                <w:sz w:val="18"/>
                <w:szCs w:val="18"/>
              </w:rPr>
              <w:t>DA002</w:t>
            </w:r>
          </w:p>
        </w:tc>
        <w:tc>
          <w:tcPr>
            <w:tcW w:w="1276" w:type="dxa"/>
            <w:vAlign w:val="center"/>
          </w:tcPr>
          <w:p w14:paraId="2A14D244" w14:textId="77777777" w:rsidR="00D170E5" w:rsidRPr="002B55E9" w:rsidRDefault="00EF27AD">
            <w:pPr>
              <w:jc w:val="center"/>
              <w:rPr>
                <w:sz w:val="18"/>
                <w:szCs w:val="18"/>
              </w:rPr>
            </w:pPr>
            <w:r w:rsidRPr="002B55E9">
              <w:rPr>
                <w:rFonts w:hint="eastAsia"/>
                <w:sz w:val="18"/>
                <w:szCs w:val="18"/>
              </w:rPr>
              <w:t>1</w:t>
            </w:r>
            <w:r w:rsidRPr="002B55E9">
              <w:rPr>
                <w:sz w:val="18"/>
                <w:szCs w:val="18"/>
              </w:rPr>
              <w:t>8</w:t>
            </w:r>
          </w:p>
        </w:tc>
        <w:tc>
          <w:tcPr>
            <w:tcW w:w="1735" w:type="dxa"/>
            <w:vAlign w:val="center"/>
          </w:tcPr>
          <w:p w14:paraId="7BD33E83" w14:textId="77777777" w:rsidR="00D170E5" w:rsidRPr="002B55E9" w:rsidRDefault="00EF27AD">
            <w:pPr>
              <w:jc w:val="center"/>
              <w:rPr>
                <w:sz w:val="18"/>
              </w:rPr>
            </w:pPr>
            <w:r w:rsidRPr="002B55E9">
              <w:rPr>
                <w:rFonts w:hint="eastAsia"/>
                <w:sz w:val="18"/>
              </w:rPr>
              <w:t>1</w:t>
            </w:r>
            <w:r w:rsidRPr="002B55E9">
              <w:rPr>
                <w:sz w:val="18"/>
              </w:rPr>
              <w:t>2000</w:t>
            </w:r>
          </w:p>
        </w:tc>
        <w:tc>
          <w:tcPr>
            <w:tcW w:w="1632" w:type="dxa"/>
            <w:vAlign w:val="center"/>
          </w:tcPr>
          <w:p w14:paraId="72121030" w14:textId="77777777" w:rsidR="00D170E5" w:rsidRPr="002B55E9" w:rsidRDefault="00EF27AD">
            <w:pPr>
              <w:jc w:val="center"/>
              <w:rPr>
                <w:sz w:val="18"/>
                <w:lang w:val="zh-CN"/>
              </w:rPr>
            </w:pPr>
            <w:r w:rsidRPr="002B55E9">
              <w:rPr>
                <w:sz w:val="18"/>
              </w:rPr>
              <w:t>0.5</w:t>
            </w:r>
          </w:p>
        </w:tc>
      </w:tr>
      <w:tr w:rsidR="00C60999" w:rsidRPr="002B55E9" w14:paraId="26095E67" w14:textId="77777777">
        <w:trPr>
          <w:trHeight w:val="284"/>
          <w:jc w:val="center"/>
        </w:trPr>
        <w:tc>
          <w:tcPr>
            <w:tcW w:w="2977" w:type="dxa"/>
            <w:vAlign w:val="center"/>
          </w:tcPr>
          <w:p w14:paraId="44475EC7" w14:textId="77777777" w:rsidR="00D170E5" w:rsidRPr="002B55E9" w:rsidRDefault="00EF27AD">
            <w:pPr>
              <w:jc w:val="center"/>
              <w:rPr>
                <w:sz w:val="18"/>
              </w:rPr>
            </w:pPr>
            <w:r w:rsidRPr="002B55E9">
              <w:rPr>
                <w:rFonts w:hint="eastAsia"/>
                <w:sz w:val="18"/>
              </w:rPr>
              <w:t>化验室废</w:t>
            </w:r>
            <w:r w:rsidRPr="002B55E9">
              <w:rPr>
                <w:sz w:val="18"/>
              </w:rPr>
              <w:t>气</w:t>
            </w:r>
            <w:r w:rsidRPr="002B55E9">
              <w:rPr>
                <w:rFonts w:hint="eastAsia"/>
                <w:sz w:val="18"/>
              </w:rPr>
              <w:t>排气筒</w:t>
            </w:r>
          </w:p>
        </w:tc>
        <w:tc>
          <w:tcPr>
            <w:tcW w:w="2234" w:type="dxa"/>
            <w:vAlign w:val="center"/>
          </w:tcPr>
          <w:p w14:paraId="010BCA92" w14:textId="77777777" w:rsidR="00D170E5" w:rsidRPr="002B55E9" w:rsidRDefault="00EF27AD">
            <w:pPr>
              <w:jc w:val="center"/>
              <w:rPr>
                <w:sz w:val="18"/>
                <w:szCs w:val="18"/>
              </w:rPr>
            </w:pPr>
            <w:r w:rsidRPr="002B55E9">
              <w:rPr>
                <w:rFonts w:hint="eastAsia"/>
                <w:sz w:val="18"/>
                <w:szCs w:val="18"/>
              </w:rPr>
              <w:t>DA00</w:t>
            </w:r>
            <w:r w:rsidRPr="002B55E9">
              <w:rPr>
                <w:sz w:val="18"/>
                <w:szCs w:val="18"/>
              </w:rPr>
              <w:t>3</w:t>
            </w:r>
          </w:p>
        </w:tc>
        <w:tc>
          <w:tcPr>
            <w:tcW w:w="1276" w:type="dxa"/>
            <w:vAlign w:val="center"/>
          </w:tcPr>
          <w:p w14:paraId="3C66E116" w14:textId="77777777" w:rsidR="00D170E5" w:rsidRPr="002B55E9" w:rsidRDefault="00EF27AD">
            <w:pPr>
              <w:jc w:val="center"/>
              <w:rPr>
                <w:sz w:val="18"/>
                <w:szCs w:val="18"/>
              </w:rPr>
            </w:pPr>
            <w:r w:rsidRPr="002B55E9">
              <w:rPr>
                <w:rFonts w:hint="eastAsia"/>
                <w:sz w:val="18"/>
                <w:szCs w:val="18"/>
              </w:rPr>
              <w:t>1</w:t>
            </w:r>
            <w:r w:rsidRPr="002B55E9">
              <w:rPr>
                <w:sz w:val="18"/>
                <w:szCs w:val="18"/>
              </w:rPr>
              <w:t>8</w:t>
            </w:r>
          </w:p>
        </w:tc>
        <w:tc>
          <w:tcPr>
            <w:tcW w:w="1735" w:type="dxa"/>
            <w:vAlign w:val="center"/>
          </w:tcPr>
          <w:p w14:paraId="51D5DC9D" w14:textId="77777777" w:rsidR="00D170E5" w:rsidRPr="002B55E9" w:rsidRDefault="00EF27AD">
            <w:pPr>
              <w:jc w:val="center"/>
              <w:rPr>
                <w:sz w:val="18"/>
              </w:rPr>
            </w:pPr>
            <w:r w:rsidRPr="002B55E9">
              <w:rPr>
                <w:rFonts w:hint="eastAsia"/>
                <w:sz w:val="18"/>
              </w:rPr>
              <w:t>4000</w:t>
            </w:r>
          </w:p>
        </w:tc>
        <w:tc>
          <w:tcPr>
            <w:tcW w:w="1632" w:type="dxa"/>
            <w:vAlign w:val="center"/>
          </w:tcPr>
          <w:p w14:paraId="147D4D40" w14:textId="77777777" w:rsidR="00D170E5" w:rsidRPr="002B55E9" w:rsidRDefault="00EF27AD">
            <w:pPr>
              <w:jc w:val="center"/>
              <w:rPr>
                <w:sz w:val="18"/>
                <w:lang w:val="zh-CN"/>
              </w:rPr>
            </w:pPr>
            <w:r w:rsidRPr="002B55E9">
              <w:rPr>
                <w:rFonts w:hint="eastAsia"/>
                <w:sz w:val="18"/>
                <w:lang w:val="zh-CN"/>
              </w:rPr>
              <w:t>0</w:t>
            </w:r>
            <w:r w:rsidRPr="002B55E9">
              <w:rPr>
                <w:sz w:val="18"/>
                <w:lang w:val="zh-CN"/>
              </w:rPr>
              <w:t>.3</w:t>
            </w:r>
          </w:p>
        </w:tc>
      </w:tr>
    </w:tbl>
    <w:p w14:paraId="50775A34" w14:textId="77777777" w:rsidR="00D170E5" w:rsidRPr="002B55E9" w:rsidRDefault="00EF27AD">
      <w:pPr>
        <w:spacing w:line="360" w:lineRule="auto"/>
        <w:ind w:firstLineChars="200" w:firstLine="480"/>
        <w:rPr>
          <w:sz w:val="24"/>
        </w:rPr>
      </w:pPr>
      <w:r w:rsidRPr="002B55E9">
        <w:rPr>
          <w:sz w:val="24"/>
        </w:rPr>
        <w:t>根据</w:t>
      </w:r>
      <w:r w:rsidRPr="002B55E9">
        <w:rPr>
          <w:rFonts w:hint="eastAsia"/>
          <w:sz w:val="24"/>
        </w:rPr>
        <w:t>《制定地方大气污染物排放标准的技术方法》（</w:t>
      </w:r>
      <w:r w:rsidRPr="002B55E9">
        <w:rPr>
          <w:rFonts w:hint="eastAsia"/>
          <w:sz w:val="24"/>
        </w:rPr>
        <w:t>GB/T13201-91</w:t>
      </w:r>
      <w:r w:rsidRPr="002B55E9">
        <w:rPr>
          <w:rFonts w:hint="eastAsia"/>
          <w:sz w:val="24"/>
        </w:rPr>
        <w:t>）</w:t>
      </w:r>
      <w:r w:rsidRPr="002B55E9">
        <w:rPr>
          <w:sz w:val="24"/>
        </w:rPr>
        <w:t>第</w:t>
      </w:r>
      <w:r w:rsidRPr="002B55E9">
        <w:rPr>
          <w:sz w:val="24"/>
        </w:rPr>
        <w:t>5.6.1</w:t>
      </w:r>
      <w:r w:rsidRPr="002B55E9">
        <w:rPr>
          <w:sz w:val="24"/>
        </w:rPr>
        <w:t>条规定，排气筒出口处烟气速度不得小于按下式计算出的速度</w:t>
      </w:r>
      <w:r w:rsidRPr="002B55E9">
        <w:rPr>
          <w:sz w:val="24"/>
        </w:rPr>
        <w:t>V</w:t>
      </w:r>
      <w:r w:rsidRPr="002B55E9">
        <w:rPr>
          <w:sz w:val="24"/>
          <w:vertAlign w:val="subscript"/>
        </w:rPr>
        <w:t>c</w:t>
      </w:r>
      <w:r w:rsidRPr="002B55E9">
        <w:rPr>
          <w:sz w:val="24"/>
        </w:rPr>
        <w:t>的</w:t>
      </w:r>
      <w:r w:rsidRPr="002B55E9">
        <w:rPr>
          <w:sz w:val="24"/>
        </w:rPr>
        <w:t>1.5</w:t>
      </w:r>
      <w:r w:rsidRPr="002B55E9">
        <w:rPr>
          <w:sz w:val="24"/>
        </w:rPr>
        <w:t>倍。</w:t>
      </w:r>
    </w:p>
    <w:p w14:paraId="0DCC4CFE" w14:textId="77777777" w:rsidR="00D170E5" w:rsidRPr="002B55E9" w:rsidRDefault="00EF27AD">
      <w:pPr>
        <w:widowControl/>
        <w:spacing w:before="120" w:after="120"/>
        <w:ind w:firstLineChars="600" w:firstLine="1440"/>
        <w:rPr>
          <w:bCs/>
          <w:snapToGrid w:val="0"/>
          <w:sz w:val="24"/>
        </w:rPr>
      </w:pPr>
      <w:r w:rsidRPr="002B55E9">
        <w:rPr>
          <w:bCs/>
          <w:noProof/>
          <w:snapToGrid w:val="0"/>
          <w:position w:val="-24"/>
          <w:sz w:val="24"/>
        </w:rPr>
        <w:drawing>
          <wp:inline distT="0" distB="0" distL="0" distR="0" wp14:anchorId="3BF754CD" wp14:editId="1A7D0648">
            <wp:extent cx="2201545" cy="4514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201545" cy="451485"/>
                    </a:xfrm>
                    <a:prstGeom prst="rect">
                      <a:avLst/>
                    </a:prstGeom>
                    <a:noFill/>
                    <a:ln>
                      <a:noFill/>
                    </a:ln>
                  </pic:spPr>
                </pic:pic>
              </a:graphicData>
            </a:graphic>
          </wp:inline>
        </w:drawing>
      </w:r>
    </w:p>
    <w:p w14:paraId="71B2666A" w14:textId="77777777" w:rsidR="00D170E5" w:rsidRPr="002B55E9" w:rsidRDefault="00EF27AD">
      <w:pPr>
        <w:widowControl/>
        <w:spacing w:before="120" w:after="120"/>
        <w:ind w:firstLineChars="600" w:firstLine="1440"/>
        <w:rPr>
          <w:bCs/>
          <w:snapToGrid w:val="0"/>
          <w:sz w:val="24"/>
        </w:rPr>
      </w:pPr>
      <w:r w:rsidRPr="002B55E9">
        <w:rPr>
          <w:bCs/>
          <w:noProof/>
          <w:snapToGrid w:val="0"/>
          <w:position w:val="-6"/>
          <w:sz w:val="24"/>
        </w:rPr>
        <w:drawing>
          <wp:inline distT="0" distB="0" distL="0" distR="0" wp14:anchorId="4966A869" wp14:editId="02579D17">
            <wp:extent cx="1600200" cy="24638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600200" cy="246380"/>
                    </a:xfrm>
                    <a:prstGeom prst="rect">
                      <a:avLst/>
                    </a:prstGeom>
                    <a:noFill/>
                    <a:ln>
                      <a:noFill/>
                    </a:ln>
                  </pic:spPr>
                </pic:pic>
              </a:graphicData>
            </a:graphic>
          </wp:inline>
        </w:drawing>
      </w:r>
    </w:p>
    <w:p w14:paraId="640FEEE9" w14:textId="77777777" w:rsidR="00D170E5" w:rsidRPr="002B55E9" w:rsidRDefault="00EF27AD">
      <w:pPr>
        <w:widowControl/>
        <w:spacing w:before="120" w:after="120"/>
        <w:ind w:firstLineChars="600" w:firstLine="1440"/>
        <w:rPr>
          <w:bCs/>
          <w:snapToGrid w:val="0"/>
          <w:sz w:val="24"/>
        </w:rPr>
      </w:pPr>
      <w:r w:rsidRPr="002B55E9">
        <w:rPr>
          <w:bCs/>
          <w:noProof/>
          <w:snapToGrid w:val="0"/>
          <w:position w:val="-26"/>
          <w:sz w:val="24"/>
        </w:rPr>
        <w:drawing>
          <wp:inline distT="0" distB="0" distL="0" distR="0" wp14:anchorId="76321FC5" wp14:editId="7BF9AD0B">
            <wp:extent cx="1227455" cy="48704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227455" cy="487045"/>
                    </a:xfrm>
                    <a:prstGeom prst="rect">
                      <a:avLst/>
                    </a:prstGeom>
                    <a:noFill/>
                    <a:ln>
                      <a:noFill/>
                    </a:ln>
                  </pic:spPr>
                </pic:pic>
              </a:graphicData>
            </a:graphic>
          </wp:inline>
        </w:drawing>
      </w:r>
    </w:p>
    <w:p w14:paraId="524D4AF8" w14:textId="77777777" w:rsidR="00D170E5" w:rsidRPr="002B55E9" w:rsidRDefault="00EF27AD">
      <w:pPr>
        <w:widowControl/>
        <w:spacing w:before="120" w:after="120" w:line="360" w:lineRule="auto"/>
        <w:ind w:firstLineChars="200" w:firstLine="480"/>
        <w:rPr>
          <w:bCs/>
          <w:snapToGrid w:val="0"/>
          <w:sz w:val="24"/>
        </w:rPr>
      </w:pPr>
      <w:r w:rsidRPr="002B55E9">
        <w:rPr>
          <w:bCs/>
          <w:snapToGrid w:val="0"/>
          <w:sz w:val="24"/>
        </w:rPr>
        <w:t>式中：</w:t>
      </w:r>
      <w:r w:rsidRPr="002B55E9">
        <w:rPr>
          <w:bCs/>
          <w:i/>
          <w:iCs/>
          <w:snapToGrid w:val="0"/>
          <w:sz w:val="24"/>
        </w:rPr>
        <w:t>V</w:t>
      </w:r>
      <w:r w:rsidRPr="002B55E9">
        <w:rPr>
          <w:bCs/>
          <w:i/>
          <w:iCs/>
          <w:snapToGrid w:val="0"/>
          <w:sz w:val="24"/>
          <w:vertAlign w:val="subscript"/>
        </w:rPr>
        <w:t>10</w:t>
      </w:r>
      <w:r w:rsidRPr="002B55E9">
        <w:rPr>
          <w:bCs/>
          <w:snapToGrid w:val="0"/>
          <w:sz w:val="24"/>
        </w:rPr>
        <w:t>——10m</w:t>
      </w:r>
      <w:r w:rsidRPr="002B55E9">
        <w:rPr>
          <w:bCs/>
          <w:snapToGrid w:val="0"/>
          <w:sz w:val="24"/>
        </w:rPr>
        <w:t>高处环境风速的多年平均值；</w:t>
      </w:r>
    </w:p>
    <w:p w14:paraId="7A41DC44" w14:textId="77777777" w:rsidR="00D170E5" w:rsidRPr="002B55E9" w:rsidRDefault="00EF27AD">
      <w:pPr>
        <w:widowControl/>
        <w:spacing w:before="120" w:after="120" w:line="360" w:lineRule="auto"/>
        <w:ind w:firstLineChars="200" w:firstLine="480"/>
        <w:rPr>
          <w:bCs/>
          <w:snapToGrid w:val="0"/>
          <w:sz w:val="24"/>
          <w:lang w:val="pt-BR"/>
        </w:rPr>
      </w:pPr>
      <w:r w:rsidRPr="002B55E9">
        <w:rPr>
          <w:bCs/>
          <w:snapToGrid w:val="0"/>
          <w:sz w:val="24"/>
        </w:rPr>
        <w:t xml:space="preserve">      </w:t>
      </w:r>
      <w:r w:rsidRPr="002B55E9">
        <w:rPr>
          <w:bCs/>
          <w:i/>
          <w:iCs/>
          <w:snapToGrid w:val="0"/>
          <w:sz w:val="24"/>
          <w:lang w:val="pt-BR"/>
        </w:rPr>
        <w:t>H</w:t>
      </w:r>
      <w:r w:rsidRPr="002B55E9">
        <w:rPr>
          <w:bCs/>
          <w:snapToGrid w:val="0"/>
          <w:sz w:val="24"/>
          <w:lang w:val="pt-BR"/>
        </w:rPr>
        <w:t>——</w:t>
      </w:r>
      <w:r w:rsidRPr="002B55E9">
        <w:rPr>
          <w:bCs/>
          <w:snapToGrid w:val="0"/>
          <w:sz w:val="24"/>
        </w:rPr>
        <w:t>排气筒高度</w:t>
      </w:r>
      <w:r w:rsidRPr="002B55E9">
        <w:rPr>
          <w:bCs/>
          <w:snapToGrid w:val="0"/>
          <w:sz w:val="24"/>
          <w:lang w:val="pt-BR"/>
        </w:rPr>
        <w:t>，</w:t>
      </w:r>
      <w:r w:rsidRPr="002B55E9">
        <w:rPr>
          <w:bCs/>
          <w:snapToGrid w:val="0"/>
          <w:sz w:val="24"/>
          <w:lang w:val="pt-BR"/>
        </w:rPr>
        <w:t>m</w:t>
      </w:r>
      <w:r w:rsidRPr="002B55E9">
        <w:rPr>
          <w:bCs/>
          <w:snapToGrid w:val="0"/>
          <w:sz w:val="24"/>
          <w:lang w:val="pt-BR"/>
        </w:rPr>
        <w:t>；</w:t>
      </w:r>
    </w:p>
    <w:p w14:paraId="4BAC042E" w14:textId="77777777" w:rsidR="00D170E5" w:rsidRPr="002B55E9" w:rsidRDefault="00EF27AD">
      <w:pPr>
        <w:widowControl/>
        <w:adjustRightInd w:val="0"/>
        <w:snapToGrid w:val="0"/>
        <w:spacing w:line="360" w:lineRule="auto"/>
        <w:ind w:firstLineChars="200" w:firstLine="480"/>
        <w:rPr>
          <w:bCs/>
          <w:snapToGrid w:val="0"/>
          <w:sz w:val="24"/>
        </w:rPr>
      </w:pPr>
      <w:r w:rsidRPr="002B55E9">
        <w:rPr>
          <w:bCs/>
          <w:snapToGrid w:val="0"/>
          <w:sz w:val="24"/>
          <w:lang w:val="pt-BR"/>
        </w:rPr>
        <w:t xml:space="preserve">      </w:t>
      </w:r>
      <w:r w:rsidRPr="002B55E9">
        <w:rPr>
          <w:bCs/>
          <w:i/>
          <w:iCs/>
          <w:snapToGrid w:val="0"/>
          <w:sz w:val="24"/>
        </w:rPr>
        <w:t>P</w:t>
      </w:r>
      <w:r w:rsidRPr="002B55E9">
        <w:rPr>
          <w:bCs/>
          <w:snapToGrid w:val="0"/>
          <w:sz w:val="24"/>
        </w:rPr>
        <w:t>——</w:t>
      </w:r>
      <w:r w:rsidRPr="002B55E9">
        <w:rPr>
          <w:bCs/>
          <w:snapToGrid w:val="0"/>
          <w:sz w:val="24"/>
        </w:rPr>
        <w:t>风廓线指数，取</w:t>
      </w:r>
      <w:r w:rsidRPr="002B55E9">
        <w:rPr>
          <w:bCs/>
          <w:snapToGrid w:val="0"/>
          <w:sz w:val="24"/>
        </w:rPr>
        <w:t>0.25</w:t>
      </w:r>
      <w:r w:rsidRPr="002B55E9">
        <w:rPr>
          <w:bCs/>
          <w:snapToGrid w:val="0"/>
          <w:sz w:val="24"/>
        </w:rPr>
        <w:t>。</w:t>
      </w:r>
    </w:p>
    <w:p w14:paraId="21292CB5" w14:textId="77777777" w:rsidR="00D170E5" w:rsidRPr="002B55E9" w:rsidRDefault="00EF27AD">
      <w:pPr>
        <w:widowControl/>
        <w:adjustRightInd w:val="0"/>
        <w:snapToGrid w:val="0"/>
        <w:spacing w:line="360" w:lineRule="auto"/>
        <w:ind w:firstLineChars="200" w:firstLine="480"/>
        <w:rPr>
          <w:bCs/>
          <w:snapToGrid w:val="0"/>
          <w:sz w:val="24"/>
        </w:rPr>
      </w:pPr>
      <w:r w:rsidRPr="002B55E9">
        <w:rPr>
          <w:bCs/>
          <w:snapToGrid w:val="0"/>
          <w:sz w:val="24"/>
        </w:rPr>
        <w:t>根据武汉市近</w:t>
      </w:r>
      <w:r w:rsidRPr="002B55E9">
        <w:rPr>
          <w:bCs/>
          <w:snapToGrid w:val="0"/>
          <w:sz w:val="24"/>
        </w:rPr>
        <w:t>20</w:t>
      </w:r>
      <w:r w:rsidRPr="002B55E9">
        <w:rPr>
          <w:bCs/>
          <w:snapToGrid w:val="0"/>
          <w:sz w:val="24"/>
        </w:rPr>
        <w:t>年（</w:t>
      </w:r>
      <w:r w:rsidRPr="002B55E9">
        <w:rPr>
          <w:bCs/>
          <w:snapToGrid w:val="0"/>
          <w:sz w:val="24"/>
        </w:rPr>
        <w:t>2001-2020</w:t>
      </w:r>
      <w:r w:rsidRPr="002B55E9">
        <w:rPr>
          <w:bCs/>
          <w:snapToGrid w:val="0"/>
          <w:sz w:val="24"/>
        </w:rPr>
        <w:t>年）年平均风速资料，近</w:t>
      </w:r>
      <w:r w:rsidRPr="002B55E9">
        <w:rPr>
          <w:bCs/>
          <w:snapToGrid w:val="0"/>
          <w:sz w:val="24"/>
        </w:rPr>
        <w:t>20</w:t>
      </w:r>
      <w:r w:rsidRPr="002B55E9">
        <w:rPr>
          <w:bCs/>
          <w:snapToGrid w:val="0"/>
          <w:sz w:val="24"/>
        </w:rPr>
        <w:t>年年平均风速为</w:t>
      </w:r>
      <w:r w:rsidRPr="002B55E9">
        <w:rPr>
          <w:bCs/>
          <w:snapToGrid w:val="0"/>
          <w:sz w:val="24"/>
        </w:rPr>
        <w:t>1.5m/s</w:t>
      </w:r>
      <w:r w:rsidRPr="002B55E9">
        <w:rPr>
          <w:bCs/>
          <w:snapToGrid w:val="0"/>
          <w:sz w:val="24"/>
        </w:rPr>
        <w:t>。计算结果及排气筒出口烟气流速合理性分析见</w:t>
      </w:r>
      <w:r w:rsidRPr="002B55E9">
        <w:rPr>
          <w:rFonts w:hint="eastAsia"/>
          <w:bCs/>
          <w:snapToGrid w:val="0"/>
          <w:sz w:val="24"/>
        </w:rPr>
        <w:t>下</w:t>
      </w:r>
      <w:r w:rsidRPr="002B55E9">
        <w:rPr>
          <w:bCs/>
          <w:snapToGrid w:val="0"/>
          <w:sz w:val="24"/>
        </w:rPr>
        <w:t>表。</w:t>
      </w:r>
    </w:p>
    <w:p w14:paraId="43A4E6FB" w14:textId="77777777" w:rsidR="00D170E5" w:rsidRPr="002B55E9" w:rsidRDefault="00EF27AD">
      <w:pPr>
        <w:snapToGrid w:val="0"/>
        <w:jc w:val="center"/>
        <w:rPr>
          <w:rFonts w:eastAsia="黑体"/>
          <w:b/>
          <w:sz w:val="24"/>
        </w:rPr>
      </w:pPr>
      <w:r w:rsidRPr="002B55E9">
        <w:rPr>
          <w:rFonts w:eastAsia="黑体" w:hint="eastAsia"/>
          <w:b/>
          <w:sz w:val="24"/>
        </w:rPr>
        <w:t>表</w:t>
      </w:r>
      <w:r w:rsidRPr="002B55E9">
        <w:rPr>
          <w:rFonts w:eastAsia="黑体"/>
          <w:b/>
          <w:sz w:val="24"/>
        </w:rPr>
        <w:t xml:space="preserve">7-2-3  </w:t>
      </w:r>
      <w:r w:rsidRPr="002B55E9">
        <w:rPr>
          <w:rFonts w:eastAsia="黑体" w:hint="eastAsia"/>
          <w:b/>
          <w:sz w:val="24"/>
        </w:rPr>
        <w:t>排气筒出口烟气流速合理性分析一览表</w:t>
      </w:r>
    </w:p>
    <w:tbl>
      <w:tblPr>
        <w:tblStyle w:val="lgy2"/>
        <w:tblW w:w="5000" w:type="pct"/>
        <w:tblLayout w:type="fixed"/>
        <w:tblCellMar>
          <w:left w:w="28" w:type="dxa"/>
          <w:right w:w="28" w:type="dxa"/>
        </w:tblCellMar>
        <w:tblLook w:val="04A0" w:firstRow="1" w:lastRow="0" w:firstColumn="1" w:lastColumn="0" w:noHBand="0" w:noVBand="1"/>
      </w:tblPr>
      <w:tblGrid>
        <w:gridCol w:w="1570"/>
        <w:gridCol w:w="1141"/>
        <w:gridCol w:w="1613"/>
        <w:gridCol w:w="1623"/>
        <w:gridCol w:w="1183"/>
        <w:gridCol w:w="1634"/>
        <w:gridCol w:w="929"/>
      </w:tblGrid>
      <w:tr w:rsidR="00C60999" w:rsidRPr="002B55E9" w14:paraId="69B7514F"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1560" w:type="dxa"/>
          </w:tcPr>
          <w:p w14:paraId="283E131C" w14:textId="77777777" w:rsidR="00D170E5" w:rsidRPr="002B55E9" w:rsidRDefault="00EF27AD" w:rsidP="00712630">
            <w:pPr>
              <w:pStyle w:val="lgy-"/>
            </w:pPr>
            <w:r w:rsidRPr="002B55E9">
              <w:rPr>
                <w:rFonts w:eastAsia="宋体"/>
              </w:rPr>
              <w:t>排气筒名称</w:t>
            </w:r>
          </w:p>
        </w:tc>
        <w:tc>
          <w:tcPr>
            <w:tcW w:w="1134" w:type="dxa"/>
          </w:tcPr>
          <w:p w14:paraId="706FF089" w14:textId="77777777" w:rsidR="00D170E5" w:rsidRPr="002B55E9" w:rsidRDefault="00EF27AD">
            <w:pPr>
              <w:pStyle w:val="lgy-"/>
            </w:pPr>
            <w:r w:rsidRPr="002B55E9">
              <w:rPr>
                <w:rFonts w:eastAsia="宋体"/>
              </w:rPr>
              <w:t>排气筒编号</w:t>
            </w:r>
          </w:p>
        </w:tc>
        <w:tc>
          <w:tcPr>
            <w:tcW w:w="1604" w:type="dxa"/>
          </w:tcPr>
          <w:p w14:paraId="116BB008" w14:textId="77777777" w:rsidR="00D170E5" w:rsidRPr="002B55E9" w:rsidRDefault="00EF27AD">
            <w:pPr>
              <w:pStyle w:val="lgy-"/>
            </w:pPr>
            <w:r w:rsidRPr="002B55E9">
              <w:rPr>
                <w:rFonts w:eastAsia="宋体"/>
              </w:rPr>
              <w:t>1.5Vc</w:t>
            </w:r>
            <w:r w:rsidRPr="002B55E9">
              <w:rPr>
                <w:rFonts w:eastAsia="宋体"/>
              </w:rPr>
              <w:t>（</w:t>
            </w:r>
            <w:r w:rsidRPr="002B55E9">
              <w:rPr>
                <w:rFonts w:eastAsia="宋体"/>
              </w:rPr>
              <w:t>m/s</w:t>
            </w:r>
            <w:r w:rsidRPr="002B55E9">
              <w:rPr>
                <w:rFonts w:eastAsia="宋体"/>
              </w:rPr>
              <w:t>）</w:t>
            </w:r>
          </w:p>
        </w:tc>
        <w:tc>
          <w:tcPr>
            <w:tcW w:w="1614" w:type="dxa"/>
          </w:tcPr>
          <w:p w14:paraId="6B4CEAE9" w14:textId="77777777" w:rsidR="00D170E5" w:rsidRPr="002B55E9" w:rsidRDefault="00EF27AD">
            <w:pPr>
              <w:pStyle w:val="lgy-"/>
            </w:pPr>
            <w:r w:rsidRPr="002B55E9">
              <w:rPr>
                <w:rFonts w:eastAsia="宋体"/>
              </w:rPr>
              <w:t>废气量（</w:t>
            </w:r>
            <w:r w:rsidRPr="002B55E9">
              <w:rPr>
                <w:rFonts w:eastAsia="宋体"/>
              </w:rPr>
              <w:t>Nm</w:t>
            </w:r>
            <w:r w:rsidRPr="002B55E9">
              <w:rPr>
                <w:rFonts w:eastAsia="宋体"/>
                <w:vertAlign w:val="superscript"/>
              </w:rPr>
              <w:t>3</w:t>
            </w:r>
            <w:r w:rsidRPr="002B55E9">
              <w:rPr>
                <w:rFonts w:eastAsia="宋体"/>
              </w:rPr>
              <w:t>/h</w:t>
            </w:r>
            <w:r w:rsidRPr="002B55E9">
              <w:rPr>
                <w:rFonts w:eastAsia="宋体"/>
              </w:rPr>
              <w:t>）</w:t>
            </w:r>
          </w:p>
        </w:tc>
        <w:tc>
          <w:tcPr>
            <w:tcW w:w="1176" w:type="dxa"/>
          </w:tcPr>
          <w:p w14:paraId="00DCDBD8" w14:textId="77777777" w:rsidR="00D170E5" w:rsidRPr="002B55E9" w:rsidRDefault="00EF27AD">
            <w:pPr>
              <w:pStyle w:val="lgy-"/>
            </w:pPr>
            <w:r w:rsidRPr="002B55E9">
              <w:rPr>
                <w:rFonts w:eastAsia="宋体"/>
                <w:lang w:val="zh-CN"/>
              </w:rPr>
              <w:t>内径（</w:t>
            </w:r>
            <w:r w:rsidRPr="002B55E9">
              <w:rPr>
                <w:rFonts w:eastAsia="宋体"/>
              </w:rPr>
              <w:t>m</w:t>
            </w:r>
            <w:r w:rsidRPr="002B55E9">
              <w:rPr>
                <w:rFonts w:eastAsia="宋体"/>
              </w:rPr>
              <w:t>）</w:t>
            </w:r>
          </w:p>
        </w:tc>
        <w:tc>
          <w:tcPr>
            <w:tcW w:w="1625" w:type="dxa"/>
          </w:tcPr>
          <w:p w14:paraId="33EA8FDD" w14:textId="77777777" w:rsidR="00D170E5" w:rsidRPr="002B55E9" w:rsidRDefault="00EF27AD">
            <w:pPr>
              <w:pStyle w:val="lgy-"/>
              <w:rPr>
                <w:lang w:val="zh-CN"/>
              </w:rPr>
            </w:pPr>
            <w:r w:rsidRPr="002B55E9">
              <w:rPr>
                <w:rFonts w:eastAsia="宋体"/>
              </w:rPr>
              <w:t>烟气流速（</w:t>
            </w:r>
            <w:r w:rsidRPr="002B55E9">
              <w:rPr>
                <w:rFonts w:eastAsia="宋体"/>
              </w:rPr>
              <w:t>m/s</w:t>
            </w:r>
            <w:r w:rsidRPr="002B55E9">
              <w:rPr>
                <w:rFonts w:eastAsia="宋体"/>
              </w:rPr>
              <w:t>）</w:t>
            </w:r>
          </w:p>
        </w:tc>
        <w:tc>
          <w:tcPr>
            <w:tcW w:w="924" w:type="dxa"/>
          </w:tcPr>
          <w:p w14:paraId="489DD313" w14:textId="77777777" w:rsidR="00D170E5" w:rsidRPr="002B55E9" w:rsidRDefault="00EF27AD">
            <w:pPr>
              <w:pStyle w:val="lgy-"/>
              <w:rPr>
                <w:rFonts w:eastAsia="宋体"/>
              </w:rPr>
            </w:pPr>
            <w:r w:rsidRPr="002B55E9">
              <w:rPr>
                <w:rFonts w:eastAsia="宋体" w:hint="eastAsia"/>
              </w:rPr>
              <w:t>是否符合</w:t>
            </w:r>
          </w:p>
        </w:tc>
      </w:tr>
      <w:tr w:rsidR="00C60999" w:rsidRPr="002B55E9" w14:paraId="03D55F20" w14:textId="77777777" w:rsidTr="00712630">
        <w:trPr>
          <w:trHeight w:val="283"/>
        </w:trPr>
        <w:tc>
          <w:tcPr>
            <w:tcW w:w="1560" w:type="dxa"/>
          </w:tcPr>
          <w:p w14:paraId="38B73E48" w14:textId="77777777" w:rsidR="00D170E5" w:rsidRPr="002B55E9" w:rsidRDefault="00EF27AD">
            <w:pPr>
              <w:pStyle w:val="lgy-"/>
            </w:pPr>
            <w:r w:rsidRPr="002B55E9">
              <w:rPr>
                <w:rFonts w:eastAsia="宋体"/>
              </w:rPr>
              <w:t>破碎粉尘</w:t>
            </w:r>
            <w:r w:rsidRPr="002B55E9">
              <w:rPr>
                <w:rFonts w:eastAsia="宋体" w:hint="eastAsia"/>
              </w:rPr>
              <w:t>排气筒</w:t>
            </w:r>
          </w:p>
        </w:tc>
        <w:tc>
          <w:tcPr>
            <w:tcW w:w="1134" w:type="dxa"/>
          </w:tcPr>
          <w:p w14:paraId="68DD3049" w14:textId="77777777" w:rsidR="00D170E5" w:rsidRPr="002B55E9" w:rsidRDefault="00EF27AD">
            <w:pPr>
              <w:pStyle w:val="lgy-"/>
            </w:pPr>
            <w:r w:rsidRPr="002B55E9">
              <w:rPr>
                <w:rFonts w:eastAsia="宋体" w:hint="eastAsia"/>
              </w:rPr>
              <w:t>DA001</w:t>
            </w:r>
          </w:p>
        </w:tc>
        <w:tc>
          <w:tcPr>
            <w:tcW w:w="1604" w:type="dxa"/>
          </w:tcPr>
          <w:p w14:paraId="08926273" w14:textId="77777777" w:rsidR="00D170E5" w:rsidRPr="002B55E9" w:rsidRDefault="00EF27AD">
            <w:pPr>
              <w:pStyle w:val="lgy-"/>
            </w:pPr>
            <w:r w:rsidRPr="002B55E9">
              <w:rPr>
                <w:rFonts w:eastAsia="宋体" w:hint="eastAsia"/>
              </w:rPr>
              <w:t>5</w:t>
            </w:r>
            <w:r w:rsidRPr="002B55E9">
              <w:rPr>
                <w:rFonts w:eastAsia="宋体"/>
              </w:rPr>
              <w:t>.83</w:t>
            </w:r>
          </w:p>
        </w:tc>
        <w:tc>
          <w:tcPr>
            <w:tcW w:w="1614" w:type="dxa"/>
          </w:tcPr>
          <w:p w14:paraId="72D787E7" w14:textId="77777777" w:rsidR="00D170E5" w:rsidRPr="002B55E9" w:rsidRDefault="00EF27AD">
            <w:pPr>
              <w:pStyle w:val="lgy-"/>
              <w:rPr>
                <w:kern w:val="24"/>
              </w:rPr>
            </w:pPr>
            <w:r w:rsidRPr="002B55E9">
              <w:rPr>
                <w:rFonts w:eastAsia="宋体"/>
                <w:kern w:val="24"/>
              </w:rPr>
              <w:t>5000</w:t>
            </w:r>
          </w:p>
        </w:tc>
        <w:tc>
          <w:tcPr>
            <w:tcW w:w="1176" w:type="dxa"/>
          </w:tcPr>
          <w:p w14:paraId="5185969D" w14:textId="77777777" w:rsidR="00D170E5" w:rsidRPr="002B55E9" w:rsidRDefault="00EF27AD">
            <w:pPr>
              <w:pStyle w:val="lgy-"/>
            </w:pPr>
            <w:r w:rsidRPr="002B55E9">
              <w:rPr>
                <w:rFonts w:eastAsia="宋体" w:hint="eastAsia"/>
                <w:lang w:val="zh-CN"/>
              </w:rPr>
              <w:t>0.4</w:t>
            </w:r>
          </w:p>
        </w:tc>
        <w:tc>
          <w:tcPr>
            <w:tcW w:w="1625" w:type="dxa"/>
          </w:tcPr>
          <w:p w14:paraId="0CEFDBE1" w14:textId="77777777" w:rsidR="00D170E5" w:rsidRPr="002B55E9" w:rsidRDefault="00EF27AD">
            <w:pPr>
              <w:pStyle w:val="lgy-"/>
            </w:pPr>
            <w:r w:rsidRPr="002B55E9">
              <w:rPr>
                <w:rFonts w:eastAsia="宋体" w:hint="eastAsia"/>
                <w:szCs w:val="22"/>
              </w:rPr>
              <w:t>11.1</w:t>
            </w:r>
          </w:p>
        </w:tc>
        <w:tc>
          <w:tcPr>
            <w:tcW w:w="924" w:type="dxa"/>
          </w:tcPr>
          <w:p w14:paraId="68D30E38" w14:textId="77777777" w:rsidR="00D170E5" w:rsidRPr="002B55E9" w:rsidRDefault="00EF27AD">
            <w:pPr>
              <w:pStyle w:val="lgy-"/>
              <w:rPr>
                <w:rFonts w:eastAsia="宋体"/>
                <w:lang w:val="zh-CN"/>
              </w:rPr>
            </w:pPr>
            <w:r w:rsidRPr="002B55E9">
              <w:rPr>
                <w:rFonts w:eastAsia="宋体" w:hint="eastAsia"/>
              </w:rPr>
              <w:t>符合</w:t>
            </w:r>
          </w:p>
        </w:tc>
      </w:tr>
      <w:tr w:rsidR="00C60999" w:rsidRPr="002B55E9" w14:paraId="3DD01B34" w14:textId="77777777" w:rsidTr="00712630">
        <w:trPr>
          <w:trHeight w:val="283"/>
        </w:trPr>
        <w:tc>
          <w:tcPr>
            <w:tcW w:w="1560" w:type="dxa"/>
          </w:tcPr>
          <w:p w14:paraId="2BAF0DDE" w14:textId="77777777" w:rsidR="00D170E5" w:rsidRPr="002B55E9" w:rsidRDefault="00EF27AD">
            <w:pPr>
              <w:pStyle w:val="lgy-"/>
            </w:pPr>
            <w:r w:rsidRPr="002B55E9">
              <w:rPr>
                <w:rFonts w:eastAsia="宋体" w:hint="eastAsia"/>
              </w:rPr>
              <w:t>工艺废气排气筒</w:t>
            </w:r>
          </w:p>
        </w:tc>
        <w:tc>
          <w:tcPr>
            <w:tcW w:w="1134" w:type="dxa"/>
          </w:tcPr>
          <w:p w14:paraId="75B3BCCF" w14:textId="77777777" w:rsidR="00D170E5" w:rsidRPr="002B55E9" w:rsidRDefault="00EF27AD">
            <w:pPr>
              <w:pStyle w:val="lgy-"/>
            </w:pPr>
            <w:r w:rsidRPr="002B55E9">
              <w:rPr>
                <w:rFonts w:eastAsia="宋体" w:hint="eastAsia"/>
              </w:rPr>
              <w:t>DA002</w:t>
            </w:r>
          </w:p>
        </w:tc>
        <w:tc>
          <w:tcPr>
            <w:tcW w:w="1604" w:type="dxa"/>
          </w:tcPr>
          <w:p w14:paraId="0B5F5620" w14:textId="77777777" w:rsidR="00D170E5" w:rsidRPr="002B55E9" w:rsidRDefault="00EF27AD">
            <w:pPr>
              <w:pStyle w:val="lgy-"/>
            </w:pPr>
            <w:r w:rsidRPr="002B55E9">
              <w:rPr>
                <w:rFonts w:eastAsia="宋体" w:hint="eastAsia"/>
              </w:rPr>
              <w:t>5</w:t>
            </w:r>
            <w:r w:rsidRPr="002B55E9">
              <w:rPr>
                <w:rFonts w:eastAsia="宋体"/>
              </w:rPr>
              <w:t>.83</w:t>
            </w:r>
          </w:p>
        </w:tc>
        <w:tc>
          <w:tcPr>
            <w:tcW w:w="1614" w:type="dxa"/>
          </w:tcPr>
          <w:p w14:paraId="6377C617" w14:textId="77777777" w:rsidR="00D170E5" w:rsidRPr="002B55E9" w:rsidRDefault="00EF27AD">
            <w:pPr>
              <w:pStyle w:val="lgy-"/>
              <w:rPr>
                <w:kern w:val="24"/>
              </w:rPr>
            </w:pPr>
            <w:r w:rsidRPr="002B55E9">
              <w:rPr>
                <w:rFonts w:eastAsia="宋体" w:hint="eastAsia"/>
              </w:rPr>
              <w:t>1</w:t>
            </w:r>
            <w:r w:rsidRPr="002B55E9">
              <w:rPr>
                <w:rFonts w:eastAsia="宋体"/>
              </w:rPr>
              <w:t>2000</w:t>
            </w:r>
          </w:p>
        </w:tc>
        <w:tc>
          <w:tcPr>
            <w:tcW w:w="1176" w:type="dxa"/>
          </w:tcPr>
          <w:p w14:paraId="04F7509A" w14:textId="77777777" w:rsidR="00D170E5" w:rsidRPr="002B55E9" w:rsidRDefault="00EF27AD">
            <w:pPr>
              <w:pStyle w:val="lgy-"/>
            </w:pPr>
            <w:r w:rsidRPr="002B55E9">
              <w:rPr>
                <w:rFonts w:eastAsia="宋体"/>
              </w:rPr>
              <w:t>0.5</w:t>
            </w:r>
          </w:p>
        </w:tc>
        <w:tc>
          <w:tcPr>
            <w:tcW w:w="1625" w:type="dxa"/>
          </w:tcPr>
          <w:p w14:paraId="1EDBDB2B" w14:textId="77777777" w:rsidR="00D170E5" w:rsidRPr="002B55E9" w:rsidRDefault="00EF27AD">
            <w:pPr>
              <w:pStyle w:val="lgy-"/>
            </w:pPr>
            <w:r w:rsidRPr="002B55E9">
              <w:rPr>
                <w:rFonts w:eastAsia="宋体"/>
                <w:szCs w:val="22"/>
              </w:rPr>
              <w:t>17.0</w:t>
            </w:r>
          </w:p>
        </w:tc>
        <w:tc>
          <w:tcPr>
            <w:tcW w:w="924" w:type="dxa"/>
          </w:tcPr>
          <w:p w14:paraId="7373D570" w14:textId="77777777" w:rsidR="00D170E5" w:rsidRPr="002B55E9" w:rsidRDefault="00EF27AD">
            <w:pPr>
              <w:pStyle w:val="lgy-"/>
              <w:rPr>
                <w:rFonts w:eastAsia="宋体"/>
              </w:rPr>
            </w:pPr>
            <w:r w:rsidRPr="002B55E9">
              <w:rPr>
                <w:rFonts w:eastAsia="宋体" w:hint="eastAsia"/>
              </w:rPr>
              <w:t>符合</w:t>
            </w:r>
          </w:p>
        </w:tc>
      </w:tr>
      <w:tr w:rsidR="00C60999" w:rsidRPr="002B55E9" w14:paraId="524DBF2D" w14:textId="77777777" w:rsidTr="00712630">
        <w:trPr>
          <w:trHeight w:val="283"/>
        </w:trPr>
        <w:tc>
          <w:tcPr>
            <w:tcW w:w="1560" w:type="dxa"/>
          </w:tcPr>
          <w:p w14:paraId="73B07AEC" w14:textId="77777777" w:rsidR="00D170E5" w:rsidRPr="002B55E9" w:rsidRDefault="00EF27AD">
            <w:pPr>
              <w:pStyle w:val="lgy-"/>
            </w:pPr>
            <w:r w:rsidRPr="002B55E9">
              <w:rPr>
                <w:rFonts w:eastAsia="宋体" w:hint="eastAsia"/>
              </w:rPr>
              <w:t>化验室废</w:t>
            </w:r>
            <w:r w:rsidRPr="002B55E9">
              <w:rPr>
                <w:rFonts w:eastAsia="宋体"/>
              </w:rPr>
              <w:t>气</w:t>
            </w:r>
            <w:r w:rsidRPr="002B55E9">
              <w:rPr>
                <w:rFonts w:eastAsia="宋体" w:hint="eastAsia"/>
              </w:rPr>
              <w:t>排气筒</w:t>
            </w:r>
          </w:p>
        </w:tc>
        <w:tc>
          <w:tcPr>
            <w:tcW w:w="1134" w:type="dxa"/>
          </w:tcPr>
          <w:p w14:paraId="54689230" w14:textId="77777777" w:rsidR="00D170E5" w:rsidRPr="002B55E9" w:rsidRDefault="00EF27AD">
            <w:pPr>
              <w:pStyle w:val="lgy-"/>
            </w:pPr>
            <w:r w:rsidRPr="002B55E9">
              <w:rPr>
                <w:rFonts w:eastAsia="宋体" w:hint="eastAsia"/>
              </w:rPr>
              <w:t>DA00</w:t>
            </w:r>
            <w:r w:rsidRPr="002B55E9">
              <w:rPr>
                <w:rFonts w:eastAsia="宋体"/>
              </w:rPr>
              <w:t>3</w:t>
            </w:r>
          </w:p>
        </w:tc>
        <w:tc>
          <w:tcPr>
            <w:tcW w:w="1604" w:type="dxa"/>
          </w:tcPr>
          <w:p w14:paraId="4ABD2F5A" w14:textId="77777777" w:rsidR="00D170E5" w:rsidRPr="002B55E9" w:rsidRDefault="00EF27AD">
            <w:pPr>
              <w:pStyle w:val="lgy-"/>
            </w:pPr>
            <w:r w:rsidRPr="002B55E9">
              <w:rPr>
                <w:rFonts w:eastAsia="宋体" w:hint="eastAsia"/>
              </w:rPr>
              <w:t>5</w:t>
            </w:r>
            <w:r w:rsidRPr="002B55E9">
              <w:rPr>
                <w:rFonts w:eastAsia="宋体"/>
              </w:rPr>
              <w:t>.83</w:t>
            </w:r>
          </w:p>
        </w:tc>
        <w:tc>
          <w:tcPr>
            <w:tcW w:w="1614" w:type="dxa"/>
          </w:tcPr>
          <w:p w14:paraId="56CE6975" w14:textId="77777777" w:rsidR="00D170E5" w:rsidRPr="002B55E9" w:rsidRDefault="00EF27AD">
            <w:pPr>
              <w:pStyle w:val="lgy-"/>
            </w:pPr>
            <w:r w:rsidRPr="002B55E9">
              <w:rPr>
                <w:rFonts w:eastAsia="宋体" w:hint="eastAsia"/>
              </w:rPr>
              <w:t>4000</w:t>
            </w:r>
          </w:p>
        </w:tc>
        <w:tc>
          <w:tcPr>
            <w:tcW w:w="1176" w:type="dxa"/>
          </w:tcPr>
          <w:p w14:paraId="47B09E92" w14:textId="77777777" w:rsidR="00D170E5" w:rsidRPr="002B55E9" w:rsidRDefault="00EF27AD">
            <w:pPr>
              <w:pStyle w:val="lgy-"/>
              <w:rPr>
                <w:lang w:val="zh-CN"/>
              </w:rPr>
            </w:pPr>
            <w:r w:rsidRPr="002B55E9">
              <w:rPr>
                <w:rFonts w:eastAsia="宋体" w:hint="eastAsia"/>
                <w:lang w:val="zh-CN"/>
              </w:rPr>
              <w:t>0</w:t>
            </w:r>
            <w:r w:rsidRPr="002B55E9">
              <w:rPr>
                <w:rFonts w:eastAsia="宋体"/>
                <w:lang w:val="zh-CN"/>
              </w:rPr>
              <w:t>.3</w:t>
            </w:r>
          </w:p>
        </w:tc>
        <w:tc>
          <w:tcPr>
            <w:tcW w:w="1625" w:type="dxa"/>
          </w:tcPr>
          <w:p w14:paraId="5DC0248C" w14:textId="77777777" w:rsidR="00D170E5" w:rsidRPr="002B55E9" w:rsidRDefault="00EF27AD">
            <w:pPr>
              <w:pStyle w:val="lgy-"/>
            </w:pPr>
            <w:r w:rsidRPr="002B55E9">
              <w:rPr>
                <w:rFonts w:eastAsia="宋体" w:hint="eastAsia"/>
                <w:szCs w:val="22"/>
              </w:rPr>
              <w:t>15.7</w:t>
            </w:r>
          </w:p>
        </w:tc>
        <w:tc>
          <w:tcPr>
            <w:tcW w:w="924" w:type="dxa"/>
          </w:tcPr>
          <w:p w14:paraId="2F470313" w14:textId="77777777" w:rsidR="00D170E5" w:rsidRPr="002B55E9" w:rsidRDefault="00EF27AD">
            <w:pPr>
              <w:pStyle w:val="lgy-"/>
              <w:rPr>
                <w:rFonts w:eastAsia="宋体"/>
                <w:lang w:val="zh-CN"/>
              </w:rPr>
            </w:pPr>
            <w:r w:rsidRPr="002B55E9">
              <w:rPr>
                <w:rFonts w:eastAsia="宋体" w:hint="eastAsia"/>
              </w:rPr>
              <w:t>符合</w:t>
            </w:r>
          </w:p>
        </w:tc>
      </w:tr>
    </w:tbl>
    <w:p w14:paraId="0BAC01EF" w14:textId="77777777" w:rsidR="00D170E5" w:rsidRPr="002B55E9" w:rsidRDefault="00EF27AD">
      <w:pPr>
        <w:widowControl/>
        <w:spacing w:after="60" w:line="360" w:lineRule="auto"/>
        <w:ind w:firstLineChars="200" w:firstLine="480"/>
        <w:rPr>
          <w:bCs/>
          <w:snapToGrid w:val="0"/>
          <w:sz w:val="24"/>
        </w:rPr>
      </w:pPr>
      <w:r w:rsidRPr="002B55E9">
        <w:rPr>
          <w:bCs/>
          <w:snapToGrid w:val="0"/>
          <w:sz w:val="24"/>
        </w:rPr>
        <w:lastRenderedPageBreak/>
        <w:t>从上表分析，拟建项目排气筒出口烟气流速符合</w:t>
      </w:r>
      <w:r w:rsidRPr="002B55E9">
        <w:rPr>
          <w:rFonts w:hint="eastAsia"/>
          <w:bCs/>
          <w:snapToGrid w:val="0"/>
          <w:sz w:val="24"/>
        </w:rPr>
        <w:t>《制定地方大气污染物排放标准的技术方法》（</w:t>
      </w:r>
      <w:r w:rsidRPr="002B55E9">
        <w:rPr>
          <w:rFonts w:hint="eastAsia"/>
          <w:bCs/>
          <w:snapToGrid w:val="0"/>
          <w:sz w:val="24"/>
        </w:rPr>
        <w:t>GB/T13201-91</w:t>
      </w:r>
      <w:r w:rsidRPr="002B55E9">
        <w:rPr>
          <w:rFonts w:hint="eastAsia"/>
          <w:bCs/>
          <w:snapToGrid w:val="0"/>
          <w:sz w:val="24"/>
        </w:rPr>
        <w:t>）</w:t>
      </w:r>
      <w:r w:rsidRPr="002B55E9">
        <w:rPr>
          <w:bCs/>
          <w:snapToGrid w:val="0"/>
          <w:sz w:val="24"/>
        </w:rPr>
        <w:t>要求。</w:t>
      </w:r>
    </w:p>
    <w:p w14:paraId="60D2E678" w14:textId="77777777" w:rsidR="00D170E5" w:rsidRPr="002B55E9" w:rsidRDefault="00EF27AD">
      <w:pPr>
        <w:keepNext/>
        <w:numPr>
          <w:ilvl w:val="4"/>
          <w:numId w:val="1"/>
        </w:numPr>
        <w:spacing w:after="60" w:line="360" w:lineRule="auto"/>
        <w:outlineLvl w:val="4"/>
        <w:rPr>
          <w:b/>
          <w:sz w:val="24"/>
        </w:rPr>
      </w:pPr>
      <w:r w:rsidRPr="002B55E9">
        <w:rPr>
          <w:b/>
          <w:sz w:val="24"/>
        </w:rPr>
        <w:t>排气筒</w:t>
      </w:r>
      <w:r w:rsidRPr="002B55E9">
        <w:rPr>
          <w:rFonts w:hint="eastAsia"/>
          <w:b/>
          <w:sz w:val="24"/>
        </w:rPr>
        <w:t>规范化设置</w:t>
      </w:r>
    </w:p>
    <w:p w14:paraId="15E06FB9" w14:textId="77777777" w:rsidR="00D170E5" w:rsidRPr="002B55E9" w:rsidRDefault="00EF27AD">
      <w:pPr>
        <w:pStyle w:val="affff7"/>
        <w:widowControl w:val="0"/>
        <w:adjustRightInd w:val="0"/>
        <w:snapToGrid w:val="0"/>
        <w:spacing w:after="0"/>
      </w:pPr>
      <w:r w:rsidRPr="002B55E9">
        <w:t>建设单位应根据《固定污染源排气中颗粒物测定与气态污染物采样方法》</w:t>
      </w:r>
      <w:r w:rsidRPr="002B55E9">
        <w:rPr>
          <w:rFonts w:hint="eastAsia"/>
        </w:rPr>
        <w:t>（</w:t>
      </w:r>
      <w:r w:rsidRPr="002B55E9">
        <w:t>GB/T16157-1996</w:t>
      </w:r>
      <w:r w:rsidRPr="002B55E9">
        <w:rPr>
          <w:rFonts w:hint="eastAsia"/>
        </w:rPr>
        <w:t>）</w:t>
      </w:r>
      <w:r w:rsidRPr="002B55E9">
        <w:t>和《固定源废气监测技术规范》</w:t>
      </w:r>
      <w:r w:rsidRPr="002B55E9">
        <w:rPr>
          <w:rFonts w:hint="eastAsia"/>
        </w:rPr>
        <w:t>（</w:t>
      </w:r>
      <w:r w:rsidRPr="002B55E9">
        <w:t>HJ/T397-2007</w:t>
      </w:r>
      <w:r w:rsidRPr="002B55E9">
        <w:rPr>
          <w:rFonts w:hint="eastAsia"/>
        </w:rPr>
        <w:t>）</w:t>
      </w:r>
      <w:r w:rsidRPr="002B55E9">
        <w:t>关于采样位置的要求</w:t>
      </w:r>
      <w:r w:rsidRPr="002B55E9">
        <w:rPr>
          <w:rFonts w:hint="eastAsia"/>
        </w:rPr>
        <w:t>再各排气筒上</w:t>
      </w:r>
      <w:r w:rsidRPr="002B55E9">
        <w:t>设置检测采样孔。</w:t>
      </w:r>
    </w:p>
    <w:p w14:paraId="5E2AD5C9" w14:textId="77777777" w:rsidR="00D170E5" w:rsidRPr="002B55E9" w:rsidRDefault="00EF27AD">
      <w:pPr>
        <w:pStyle w:val="affff7"/>
        <w:widowControl w:val="0"/>
        <w:adjustRightInd w:val="0"/>
        <w:snapToGrid w:val="0"/>
        <w:spacing w:after="0"/>
      </w:pPr>
      <w:r w:rsidRPr="002B55E9">
        <w:t>采样位置应优先选择在垂直管段，应避开烟道弯头和断面急剧变化的部位。采样位置应设置在距弯头、阀门、变径管下游方向不小于</w:t>
      </w:r>
      <w:r w:rsidRPr="002B55E9">
        <w:t>6</w:t>
      </w:r>
      <w:r w:rsidRPr="002B55E9">
        <w:t>倍直径，和距上述部件上游方向不小于</w:t>
      </w:r>
      <w:r w:rsidRPr="002B55E9">
        <w:t>3</w:t>
      </w:r>
      <w:r w:rsidRPr="002B55E9">
        <w:t>倍直径处，对矩形烟道，其当量直径</w:t>
      </w:r>
      <w:r w:rsidRPr="002B55E9">
        <w:t>D</w:t>
      </w:r>
      <w:r w:rsidRPr="002B55E9">
        <w:t>＝</w:t>
      </w:r>
      <w:r w:rsidRPr="002B55E9">
        <w:t>2AB/(A+B)</w:t>
      </w:r>
      <w:r w:rsidRPr="002B55E9">
        <w:t>，式中</w:t>
      </w:r>
      <w:r w:rsidRPr="002B55E9">
        <w:t>A</w:t>
      </w:r>
      <w:r w:rsidRPr="002B55E9">
        <w:t>、</w:t>
      </w:r>
      <w:r w:rsidRPr="002B55E9">
        <w:t>B</w:t>
      </w:r>
      <w:r w:rsidRPr="002B55E9">
        <w:t>为边长。</w:t>
      </w:r>
    </w:p>
    <w:p w14:paraId="2C586819" w14:textId="77777777" w:rsidR="00D170E5" w:rsidRPr="002B55E9" w:rsidRDefault="00EF27AD">
      <w:pPr>
        <w:pStyle w:val="affff7"/>
        <w:widowControl w:val="0"/>
        <w:adjustRightInd w:val="0"/>
        <w:snapToGrid w:val="0"/>
        <w:spacing w:after="0"/>
      </w:pPr>
      <w:r w:rsidRPr="002B55E9">
        <w:t>在选定的测定位置上开设采样孔，采样孔内径应不小于</w:t>
      </w:r>
      <w:r w:rsidRPr="002B55E9">
        <w:t>80mm</w:t>
      </w:r>
      <w:r w:rsidRPr="002B55E9">
        <w:t>，采样孔管应不大于</w:t>
      </w:r>
      <w:r w:rsidRPr="002B55E9">
        <w:t>50mm</w:t>
      </w:r>
      <w:r w:rsidRPr="002B55E9">
        <w:t>，不使用时应用盖板、管堵或管帽封闭，当采样孔仅用于采集气态污染物时，其内径应不小于</w:t>
      </w:r>
      <w:r w:rsidRPr="002B55E9">
        <w:t>40mm</w:t>
      </w:r>
      <w:r w:rsidRPr="002B55E9">
        <w:t>。</w:t>
      </w:r>
    </w:p>
    <w:p w14:paraId="569E4605" w14:textId="77777777" w:rsidR="00D170E5" w:rsidRPr="002B55E9" w:rsidRDefault="00EF27AD">
      <w:pPr>
        <w:pStyle w:val="affff7"/>
        <w:widowControl w:val="0"/>
        <w:adjustRightInd w:val="0"/>
        <w:snapToGrid w:val="0"/>
        <w:spacing w:after="0"/>
        <w:rPr>
          <w:sz w:val="20"/>
        </w:rPr>
      </w:pPr>
      <w:r w:rsidRPr="002B55E9">
        <w:t>同时为检测人员设置采样平台，采样平台应有足够的工作面积使工作人员安全、方便地操作，平台面积应不小于</w:t>
      </w:r>
      <w:r w:rsidRPr="002B55E9">
        <w:t>1.5m</w:t>
      </w:r>
      <w:r w:rsidRPr="002B55E9">
        <w:rPr>
          <w:vertAlign w:val="superscript"/>
        </w:rPr>
        <w:t>2</w:t>
      </w:r>
      <w:r w:rsidRPr="002B55E9">
        <w:t>，并设有</w:t>
      </w:r>
      <w:r w:rsidRPr="002B55E9">
        <w:t>1.1m</w:t>
      </w:r>
      <w:r w:rsidRPr="002B55E9">
        <w:t>高的护栏，采样孔距平台面约为</w:t>
      </w:r>
      <w:r w:rsidRPr="002B55E9">
        <w:t>1.2-1.3m</w:t>
      </w:r>
      <w:r w:rsidRPr="002B55E9">
        <w:t>。</w:t>
      </w:r>
    </w:p>
    <w:p w14:paraId="10F11DD6" w14:textId="77777777" w:rsidR="00D170E5" w:rsidRPr="002B55E9" w:rsidRDefault="00EF27AD">
      <w:pPr>
        <w:pStyle w:val="3"/>
      </w:pPr>
      <w:bookmarkStart w:id="268" w:name="_Toc119309012"/>
      <w:r w:rsidRPr="002B55E9">
        <w:t>运营期</w:t>
      </w:r>
      <w:r w:rsidRPr="002B55E9">
        <w:rPr>
          <w:rFonts w:hint="eastAsia"/>
        </w:rPr>
        <w:t>水污染防治措施</w:t>
      </w:r>
      <w:bookmarkEnd w:id="268"/>
    </w:p>
    <w:p w14:paraId="0D12636D" w14:textId="77777777" w:rsidR="00D170E5" w:rsidRPr="002B55E9" w:rsidRDefault="00EF27AD">
      <w:pPr>
        <w:pStyle w:val="4"/>
        <w:rPr>
          <w:color w:val="auto"/>
        </w:rPr>
      </w:pPr>
      <w:r w:rsidRPr="002B55E9">
        <w:rPr>
          <w:rFonts w:hint="eastAsia"/>
          <w:color w:val="auto"/>
        </w:rPr>
        <w:t>废水特征及废水收集方式</w:t>
      </w:r>
    </w:p>
    <w:p w14:paraId="157D076B" w14:textId="77777777" w:rsidR="00D170E5" w:rsidRPr="002B55E9" w:rsidRDefault="00EF27AD">
      <w:pPr>
        <w:adjustRightInd w:val="0"/>
        <w:snapToGrid w:val="0"/>
        <w:spacing w:line="360" w:lineRule="auto"/>
        <w:ind w:firstLineChars="200" w:firstLine="480"/>
        <w:rPr>
          <w:sz w:val="24"/>
        </w:rPr>
      </w:pPr>
      <w:r w:rsidRPr="002B55E9">
        <w:rPr>
          <w:rFonts w:hint="eastAsia"/>
          <w:sz w:val="24"/>
        </w:rPr>
        <w:t>拟建项目运营期</w:t>
      </w:r>
      <w:r w:rsidRPr="002B55E9">
        <w:rPr>
          <w:sz w:val="24"/>
        </w:rPr>
        <w:t>废水主要为</w:t>
      </w:r>
      <w:r w:rsidRPr="002B55E9">
        <w:rPr>
          <w:rFonts w:hint="eastAsia"/>
          <w:sz w:val="24"/>
        </w:rPr>
        <w:t>生活污水</w:t>
      </w:r>
      <w:r w:rsidRPr="002B55E9">
        <w:rPr>
          <w:sz w:val="24"/>
        </w:rPr>
        <w:t>、</w:t>
      </w:r>
      <w:r w:rsidRPr="002B55E9">
        <w:rPr>
          <w:rFonts w:hint="eastAsia"/>
          <w:sz w:val="24"/>
        </w:rPr>
        <w:t>包装瓶</w:t>
      </w:r>
      <w:r w:rsidRPr="002B55E9">
        <w:rPr>
          <w:sz w:val="24"/>
        </w:rPr>
        <w:t>清洗废水、设备清洗水、地面清洗水、</w:t>
      </w:r>
      <w:r w:rsidRPr="002B55E9">
        <w:rPr>
          <w:rFonts w:hint="eastAsia"/>
          <w:sz w:val="24"/>
        </w:rPr>
        <w:t>循环冷却系统排水</w:t>
      </w:r>
      <w:r w:rsidRPr="002B55E9">
        <w:rPr>
          <w:sz w:val="24"/>
        </w:rPr>
        <w:t>、实验</w:t>
      </w:r>
      <w:r w:rsidRPr="002B55E9">
        <w:rPr>
          <w:rFonts w:hint="eastAsia"/>
          <w:sz w:val="24"/>
        </w:rPr>
        <w:t>废水、</w:t>
      </w:r>
      <w:r w:rsidRPr="002B55E9">
        <w:rPr>
          <w:sz w:val="24"/>
        </w:rPr>
        <w:t>蒸汽冷凝水等，其中</w:t>
      </w:r>
      <w:r w:rsidRPr="002B55E9">
        <w:rPr>
          <w:rFonts w:hint="eastAsia"/>
          <w:sz w:val="24"/>
        </w:rPr>
        <w:t>生活</w:t>
      </w:r>
      <w:r w:rsidRPr="002B55E9">
        <w:rPr>
          <w:sz w:val="24"/>
        </w:rPr>
        <w:t>污水经</w:t>
      </w:r>
      <w:r w:rsidRPr="002B55E9">
        <w:rPr>
          <w:rFonts w:hint="eastAsia"/>
          <w:sz w:val="24"/>
        </w:rPr>
        <w:t>化粪池处理后与其他</w:t>
      </w:r>
      <w:r w:rsidRPr="002B55E9">
        <w:rPr>
          <w:sz w:val="24"/>
        </w:rPr>
        <w:t>生产废水</w:t>
      </w:r>
      <w:r w:rsidRPr="002B55E9">
        <w:rPr>
          <w:rFonts w:hint="eastAsia"/>
          <w:sz w:val="24"/>
        </w:rPr>
        <w:t>排入佛山市</w:t>
      </w:r>
      <w:r w:rsidRPr="002B55E9">
        <w:rPr>
          <w:sz w:val="24"/>
        </w:rPr>
        <w:t>海天（</w:t>
      </w:r>
      <w:r w:rsidRPr="002B55E9">
        <w:rPr>
          <w:rFonts w:hint="eastAsia"/>
          <w:sz w:val="24"/>
        </w:rPr>
        <w:t>武汉</w:t>
      </w:r>
      <w:r w:rsidRPr="002B55E9">
        <w:rPr>
          <w:sz w:val="24"/>
        </w:rPr>
        <w:t>）</w:t>
      </w:r>
      <w:r w:rsidRPr="002B55E9">
        <w:rPr>
          <w:rFonts w:hint="eastAsia"/>
          <w:sz w:val="24"/>
        </w:rPr>
        <w:t>调味食品</w:t>
      </w:r>
      <w:r w:rsidRPr="002B55E9">
        <w:rPr>
          <w:sz w:val="24"/>
        </w:rPr>
        <w:t>有限公司污水处理站处理后再汇同</w:t>
      </w:r>
      <w:r w:rsidRPr="002B55E9">
        <w:rPr>
          <w:rFonts w:hint="eastAsia"/>
          <w:sz w:val="24"/>
        </w:rPr>
        <w:t>蒸汽</w:t>
      </w:r>
      <w:r w:rsidRPr="002B55E9">
        <w:rPr>
          <w:sz w:val="24"/>
        </w:rPr>
        <w:t>冷凝水</w:t>
      </w:r>
      <w:r w:rsidRPr="002B55E9">
        <w:rPr>
          <w:rFonts w:hint="eastAsia"/>
          <w:sz w:val="24"/>
        </w:rPr>
        <w:t>经</w:t>
      </w:r>
      <w:r w:rsidRPr="002B55E9">
        <w:rPr>
          <w:sz w:val="24"/>
        </w:rPr>
        <w:t>总排</w:t>
      </w:r>
      <w:r w:rsidRPr="002B55E9">
        <w:rPr>
          <w:rFonts w:hint="eastAsia"/>
          <w:sz w:val="24"/>
        </w:rPr>
        <w:t>口排入市政污水管网，</w:t>
      </w:r>
      <w:r w:rsidRPr="002B55E9">
        <w:rPr>
          <w:sz w:val="24"/>
        </w:rPr>
        <w:t>最终</w:t>
      </w:r>
      <w:r w:rsidRPr="002B55E9">
        <w:rPr>
          <w:rFonts w:hint="eastAsia"/>
          <w:sz w:val="24"/>
        </w:rPr>
        <w:t>进入东西湖污水处理厂进行处理，尾水排入府河</w:t>
      </w:r>
      <w:r w:rsidRPr="002B55E9">
        <w:rPr>
          <w:sz w:val="24"/>
        </w:rPr>
        <w:t>。</w:t>
      </w:r>
    </w:p>
    <w:p w14:paraId="78925DE6" w14:textId="77777777" w:rsidR="00D170E5" w:rsidRPr="002B55E9" w:rsidRDefault="00EF27AD">
      <w:pPr>
        <w:pStyle w:val="4"/>
        <w:rPr>
          <w:color w:val="auto"/>
        </w:rPr>
      </w:pPr>
      <w:r w:rsidRPr="002B55E9">
        <w:rPr>
          <w:rFonts w:hint="eastAsia"/>
          <w:color w:val="auto"/>
        </w:rPr>
        <w:t>污水</w:t>
      </w:r>
      <w:r w:rsidRPr="002B55E9">
        <w:rPr>
          <w:color w:val="auto"/>
        </w:rPr>
        <w:t>处理站处理工艺</w:t>
      </w:r>
    </w:p>
    <w:p w14:paraId="22292C14" w14:textId="740A5C05" w:rsidR="00D170E5" w:rsidRPr="002B55E9" w:rsidRDefault="00EF27AD">
      <w:pPr>
        <w:adjustRightInd w:val="0"/>
        <w:snapToGrid w:val="0"/>
        <w:spacing w:line="360" w:lineRule="auto"/>
        <w:ind w:firstLineChars="200" w:firstLine="480"/>
        <w:rPr>
          <w:sz w:val="24"/>
        </w:rPr>
      </w:pPr>
      <w:r w:rsidRPr="002B55E9">
        <w:rPr>
          <w:rFonts w:hint="eastAsia"/>
          <w:sz w:val="24"/>
        </w:rPr>
        <w:t>根据</w:t>
      </w:r>
      <w:r w:rsidRPr="002B55E9">
        <w:rPr>
          <w:sz w:val="24"/>
        </w:rPr>
        <w:t>《</w:t>
      </w:r>
      <w:r w:rsidRPr="002B55E9">
        <w:rPr>
          <w:rFonts w:hint="eastAsia"/>
          <w:sz w:val="24"/>
        </w:rPr>
        <w:t>海天调味品建设项目（一期）环境影响报告表</w:t>
      </w:r>
      <w:r w:rsidRPr="002B55E9">
        <w:rPr>
          <w:sz w:val="24"/>
        </w:rPr>
        <w:t>》</w:t>
      </w:r>
      <w:r w:rsidRPr="002B55E9">
        <w:rPr>
          <w:rFonts w:hint="eastAsia"/>
          <w:sz w:val="24"/>
        </w:rPr>
        <w:t>（报批稿）</w:t>
      </w:r>
      <w:r w:rsidR="00AC0B60" w:rsidRPr="002B55E9">
        <w:rPr>
          <w:rFonts w:hint="eastAsia"/>
          <w:sz w:val="24"/>
        </w:rPr>
        <w:t>及建设单位提供的资料</w:t>
      </w:r>
      <w:r w:rsidRPr="002B55E9">
        <w:rPr>
          <w:rFonts w:hint="eastAsia"/>
          <w:sz w:val="24"/>
        </w:rPr>
        <w:t>，佛山市</w:t>
      </w:r>
      <w:r w:rsidRPr="002B55E9">
        <w:rPr>
          <w:sz w:val="24"/>
        </w:rPr>
        <w:t>海天（</w:t>
      </w:r>
      <w:r w:rsidRPr="002B55E9">
        <w:rPr>
          <w:rFonts w:hint="eastAsia"/>
          <w:sz w:val="24"/>
        </w:rPr>
        <w:t>武汉</w:t>
      </w:r>
      <w:r w:rsidRPr="002B55E9">
        <w:rPr>
          <w:sz w:val="24"/>
        </w:rPr>
        <w:t>）</w:t>
      </w:r>
      <w:r w:rsidRPr="002B55E9">
        <w:rPr>
          <w:rFonts w:hint="eastAsia"/>
          <w:sz w:val="24"/>
        </w:rPr>
        <w:t>调味食品</w:t>
      </w:r>
      <w:r w:rsidRPr="002B55E9">
        <w:rPr>
          <w:sz w:val="24"/>
        </w:rPr>
        <w:t>有限公司</w:t>
      </w:r>
      <w:r w:rsidRPr="002B55E9">
        <w:rPr>
          <w:rFonts w:hint="eastAsia"/>
          <w:sz w:val="24"/>
        </w:rPr>
        <w:t>污水处理站</w:t>
      </w:r>
      <w:r w:rsidRPr="002B55E9">
        <w:rPr>
          <w:sz w:val="24"/>
        </w:rPr>
        <w:t>工艺路线为：</w:t>
      </w:r>
      <w:r w:rsidR="00AC0B60" w:rsidRPr="002B55E9">
        <w:rPr>
          <w:rFonts w:hint="eastAsia"/>
          <w:b/>
          <w:sz w:val="24"/>
        </w:rPr>
        <w:t>“预处理</w:t>
      </w:r>
      <w:r w:rsidR="00AC0B60" w:rsidRPr="002B55E9">
        <w:rPr>
          <w:rFonts w:hint="eastAsia"/>
          <w:b/>
          <w:sz w:val="24"/>
        </w:rPr>
        <w:t>+</w:t>
      </w:r>
      <w:r w:rsidR="00AC0B60" w:rsidRPr="002B55E9">
        <w:rPr>
          <w:rFonts w:hint="eastAsia"/>
          <w:b/>
          <w:sz w:val="24"/>
        </w:rPr>
        <w:t>厌氧</w:t>
      </w:r>
      <w:r w:rsidR="00AC0B60" w:rsidRPr="002B55E9">
        <w:rPr>
          <w:rFonts w:hint="eastAsia"/>
          <w:b/>
          <w:sz w:val="24"/>
        </w:rPr>
        <w:t>+AO</w:t>
      </w:r>
      <w:r w:rsidR="00AC0B60" w:rsidRPr="002B55E9">
        <w:rPr>
          <w:rFonts w:hint="eastAsia"/>
          <w:b/>
          <w:sz w:val="24"/>
        </w:rPr>
        <w:t>系统</w:t>
      </w:r>
      <w:r w:rsidR="00AC0B60" w:rsidRPr="002B55E9">
        <w:rPr>
          <w:rFonts w:hint="eastAsia"/>
          <w:b/>
          <w:sz w:val="24"/>
        </w:rPr>
        <w:t>+</w:t>
      </w:r>
      <w:r w:rsidR="00AC0B60" w:rsidRPr="002B55E9">
        <w:rPr>
          <w:rFonts w:hint="eastAsia"/>
          <w:b/>
          <w:sz w:val="24"/>
        </w:rPr>
        <w:t>深度处理”</w:t>
      </w:r>
      <w:r w:rsidRPr="002B55E9">
        <w:rPr>
          <w:rFonts w:hint="eastAsia"/>
          <w:b/>
          <w:sz w:val="24"/>
        </w:rPr>
        <w:t>，</w:t>
      </w:r>
      <w:r w:rsidRPr="002B55E9">
        <w:rPr>
          <w:rFonts w:hint="eastAsia"/>
          <w:sz w:val="24"/>
        </w:rPr>
        <w:t>工艺流程</w:t>
      </w:r>
      <w:r w:rsidRPr="002B55E9">
        <w:rPr>
          <w:sz w:val="24"/>
        </w:rPr>
        <w:t>图</w:t>
      </w:r>
      <w:r w:rsidRPr="002B55E9">
        <w:rPr>
          <w:rFonts w:hint="eastAsia"/>
          <w:sz w:val="24"/>
        </w:rPr>
        <w:t>如下：</w:t>
      </w:r>
    </w:p>
    <w:tbl>
      <w:tblPr>
        <w:tblStyle w:val="afffa"/>
        <w:tblW w:w="960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607"/>
      </w:tblGrid>
      <w:tr w:rsidR="00C60999" w:rsidRPr="002B55E9" w14:paraId="53DE553E" w14:textId="77777777">
        <w:tc>
          <w:tcPr>
            <w:tcW w:w="9607" w:type="dxa"/>
          </w:tcPr>
          <w:p w14:paraId="208CC7EB" w14:textId="7352B896" w:rsidR="00D170E5" w:rsidRPr="002B55E9" w:rsidRDefault="00B622DC">
            <w:pPr>
              <w:pStyle w:val="lgy-"/>
              <w:rPr>
                <w:sz w:val="24"/>
              </w:rPr>
            </w:pPr>
            <w:r w:rsidRPr="002B55E9">
              <w:rPr>
                <w:noProof/>
              </w:rPr>
              <w:lastRenderedPageBreak/>
              <w:drawing>
                <wp:inline distT="0" distB="0" distL="0" distR="0" wp14:anchorId="47805864" wp14:editId="21CBBE96">
                  <wp:extent cx="3190216" cy="3960000"/>
                  <wp:effectExtent l="0" t="0" r="0"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90216" cy="3960000"/>
                          </a:xfrm>
                          <a:prstGeom prst="rect">
                            <a:avLst/>
                          </a:prstGeom>
                        </pic:spPr>
                      </pic:pic>
                    </a:graphicData>
                  </a:graphic>
                </wp:inline>
              </w:drawing>
            </w:r>
          </w:p>
        </w:tc>
      </w:tr>
    </w:tbl>
    <w:p w14:paraId="13790152" w14:textId="77777777" w:rsidR="00D170E5" w:rsidRPr="002B55E9" w:rsidRDefault="00EF27AD">
      <w:pPr>
        <w:pStyle w:val="1f3"/>
        <w:spacing w:beforeLines="0" w:before="0"/>
      </w:pPr>
      <w:r w:rsidRPr="002B55E9">
        <w:t>图</w:t>
      </w:r>
      <w:r w:rsidRPr="002B55E9">
        <w:t xml:space="preserve">7-3-1  </w:t>
      </w:r>
      <w:r w:rsidRPr="002B55E9">
        <w:t>污水处理站工艺流程图</w:t>
      </w:r>
    </w:p>
    <w:p w14:paraId="24345971" w14:textId="77777777" w:rsidR="00D170E5" w:rsidRPr="002B55E9" w:rsidRDefault="00D170E5">
      <w:pPr>
        <w:pStyle w:val="lgy-"/>
      </w:pPr>
    </w:p>
    <w:p w14:paraId="075815CD" w14:textId="77777777" w:rsidR="00D170E5" w:rsidRPr="002B55E9" w:rsidRDefault="00EF27AD">
      <w:pPr>
        <w:pStyle w:val="affff7"/>
        <w:snapToGrid w:val="0"/>
        <w:spacing w:after="0" w:line="240" w:lineRule="auto"/>
        <w:ind w:firstLineChars="0" w:firstLine="0"/>
        <w:jc w:val="center"/>
        <w:rPr>
          <w:rFonts w:ascii="黑体" w:eastAsia="黑体" w:hAnsi="黑体"/>
          <w:b/>
          <w:bCs w:val="0"/>
          <w:szCs w:val="24"/>
        </w:rPr>
      </w:pPr>
      <w:r w:rsidRPr="002B55E9">
        <w:rPr>
          <w:rFonts w:eastAsia="黑体" w:hint="eastAsia"/>
          <w:b/>
        </w:rPr>
        <w:t>表</w:t>
      </w:r>
      <w:r w:rsidRPr="002B55E9">
        <w:rPr>
          <w:rFonts w:eastAsia="黑体"/>
          <w:b/>
        </w:rPr>
        <w:t xml:space="preserve">7-2-4  </w:t>
      </w:r>
      <w:r w:rsidRPr="002B55E9">
        <w:rPr>
          <w:rFonts w:eastAsia="黑体" w:hint="eastAsia"/>
          <w:b/>
        </w:rPr>
        <w:t>污水处理站主要构筑物一览表</w:t>
      </w:r>
    </w:p>
    <w:tbl>
      <w:tblPr>
        <w:tblStyle w:val="lgy2"/>
        <w:tblW w:w="5000" w:type="pct"/>
        <w:tblLayout w:type="fixed"/>
        <w:tblCellMar>
          <w:left w:w="28" w:type="dxa"/>
          <w:right w:w="28" w:type="dxa"/>
        </w:tblCellMar>
        <w:tblLook w:val="04A0" w:firstRow="1" w:lastRow="0" w:firstColumn="1" w:lastColumn="0" w:noHBand="0" w:noVBand="1"/>
      </w:tblPr>
      <w:tblGrid>
        <w:gridCol w:w="744"/>
        <w:gridCol w:w="1421"/>
        <w:gridCol w:w="2398"/>
        <w:gridCol w:w="1426"/>
        <w:gridCol w:w="570"/>
        <w:gridCol w:w="1568"/>
        <w:gridCol w:w="1566"/>
      </w:tblGrid>
      <w:tr w:rsidR="00C60999" w:rsidRPr="002B55E9" w14:paraId="1EC0FEA7"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739" w:type="dxa"/>
            <w:noWrap/>
          </w:tcPr>
          <w:p w14:paraId="59491377" w14:textId="77777777" w:rsidR="00D170E5" w:rsidRPr="002B55E9" w:rsidRDefault="00EF27AD">
            <w:pPr>
              <w:pStyle w:val="lgy-"/>
            </w:pPr>
            <w:r w:rsidRPr="002B55E9">
              <w:rPr>
                <w:rFonts w:eastAsia="宋体" w:hint="eastAsia"/>
              </w:rPr>
              <w:t>序号</w:t>
            </w:r>
          </w:p>
        </w:tc>
        <w:tc>
          <w:tcPr>
            <w:tcW w:w="1413" w:type="dxa"/>
            <w:noWrap/>
          </w:tcPr>
          <w:p w14:paraId="637CACB2" w14:textId="77777777" w:rsidR="00D170E5" w:rsidRPr="002B55E9" w:rsidRDefault="00EF27AD">
            <w:pPr>
              <w:pStyle w:val="lgy-"/>
            </w:pPr>
            <w:r w:rsidRPr="002B55E9">
              <w:rPr>
                <w:rFonts w:eastAsia="宋体" w:hint="eastAsia"/>
              </w:rPr>
              <w:t>构筑物</w:t>
            </w:r>
          </w:p>
        </w:tc>
        <w:tc>
          <w:tcPr>
            <w:tcW w:w="2384" w:type="dxa"/>
            <w:noWrap/>
          </w:tcPr>
          <w:p w14:paraId="40FA1B28" w14:textId="77777777" w:rsidR="00D170E5" w:rsidRPr="002B55E9" w:rsidRDefault="00EF27AD">
            <w:pPr>
              <w:pStyle w:val="lgy-"/>
            </w:pPr>
            <w:r w:rsidRPr="002B55E9">
              <w:rPr>
                <w:rFonts w:eastAsia="宋体" w:hint="eastAsia"/>
              </w:rPr>
              <w:t>单个尺寸（长×宽</w:t>
            </w:r>
            <w:r w:rsidRPr="002B55E9">
              <w:rPr>
                <w:rFonts w:eastAsia="宋体" w:hint="eastAsia"/>
              </w:rPr>
              <w:t xml:space="preserve"> </w:t>
            </w:r>
            <w:r w:rsidRPr="002B55E9">
              <w:rPr>
                <w:rFonts w:eastAsia="宋体" w:hint="eastAsia"/>
              </w:rPr>
              <w:t>×高）</w:t>
            </w:r>
          </w:p>
        </w:tc>
        <w:tc>
          <w:tcPr>
            <w:tcW w:w="1418" w:type="dxa"/>
            <w:noWrap/>
          </w:tcPr>
          <w:p w14:paraId="55F095FC" w14:textId="77777777" w:rsidR="00D170E5" w:rsidRPr="002B55E9" w:rsidRDefault="00EF27AD">
            <w:pPr>
              <w:pStyle w:val="lgy-"/>
            </w:pPr>
            <w:r w:rsidRPr="002B55E9">
              <w:rPr>
                <w:rFonts w:eastAsia="宋体" w:hint="eastAsia"/>
              </w:rPr>
              <w:t>占地面积（</w:t>
            </w:r>
            <w:r w:rsidRPr="002B55E9">
              <w:rPr>
                <w:rFonts w:eastAsia="宋体" w:hint="eastAsia"/>
              </w:rPr>
              <w:t>m</w:t>
            </w:r>
            <w:r w:rsidRPr="002B55E9">
              <w:rPr>
                <w:rFonts w:eastAsia="宋体" w:hint="eastAsia"/>
                <w:vertAlign w:val="superscript"/>
              </w:rPr>
              <w:t>2</w:t>
            </w:r>
            <w:r w:rsidRPr="002B55E9">
              <w:rPr>
                <w:rFonts w:eastAsia="宋体" w:hint="eastAsia"/>
              </w:rPr>
              <w:t>）</w:t>
            </w:r>
          </w:p>
        </w:tc>
        <w:tc>
          <w:tcPr>
            <w:tcW w:w="567" w:type="dxa"/>
            <w:noWrap/>
          </w:tcPr>
          <w:p w14:paraId="09B6D731" w14:textId="77777777" w:rsidR="00D170E5" w:rsidRPr="002B55E9" w:rsidRDefault="00EF27AD">
            <w:pPr>
              <w:pStyle w:val="lgy-"/>
            </w:pPr>
            <w:r w:rsidRPr="002B55E9">
              <w:rPr>
                <w:rFonts w:eastAsia="宋体" w:hint="eastAsia"/>
              </w:rPr>
              <w:t>数量</w:t>
            </w:r>
          </w:p>
        </w:tc>
        <w:tc>
          <w:tcPr>
            <w:tcW w:w="1559" w:type="dxa"/>
            <w:noWrap/>
          </w:tcPr>
          <w:p w14:paraId="466A22D4" w14:textId="77777777" w:rsidR="00D170E5" w:rsidRPr="002B55E9" w:rsidRDefault="00EF27AD" w:rsidP="00712630">
            <w:pPr>
              <w:pStyle w:val="lgy-"/>
            </w:pPr>
            <w:r w:rsidRPr="002B55E9">
              <w:rPr>
                <w:rFonts w:eastAsia="宋体" w:hint="eastAsia"/>
              </w:rPr>
              <w:t>总占地面积（</w:t>
            </w:r>
            <w:r w:rsidRPr="002B55E9">
              <w:rPr>
                <w:rFonts w:eastAsia="宋体" w:hint="eastAsia"/>
              </w:rPr>
              <w:t>m</w:t>
            </w:r>
            <w:r w:rsidRPr="002B55E9">
              <w:rPr>
                <w:rFonts w:eastAsia="宋体" w:hint="eastAsia"/>
                <w:vertAlign w:val="superscript"/>
              </w:rPr>
              <w:t>2</w:t>
            </w:r>
            <w:r w:rsidRPr="002B55E9">
              <w:rPr>
                <w:rFonts w:eastAsia="宋体" w:hint="eastAsia"/>
              </w:rPr>
              <w:t>）</w:t>
            </w:r>
          </w:p>
        </w:tc>
        <w:tc>
          <w:tcPr>
            <w:tcW w:w="1557" w:type="dxa"/>
            <w:noWrap/>
          </w:tcPr>
          <w:p w14:paraId="70C70969" w14:textId="77777777" w:rsidR="00D170E5" w:rsidRPr="002B55E9" w:rsidRDefault="00EF27AD">
            <w:pPr>
              <w:pStyle w:val="lgy-"/>
              <w:rPr>
                <w:rFonts w:eastAsia="宋体"/>
              </w:rPr>
            </w:pPr>
            <w:r w:rsidRPr="002B55E9">
              <w:rPr>
                <w:rFonts w:eastAsia="宋体" w:hint="eastAsia"/>
              </w:rPr>
              <w:t>备注</w:t>
            </w:r>
            <w:r w:rsidRPr="002B55E9">
              <w:rPr>
                <w:rFonts w:eastAsia="宋体" w:hint="eastAsia"/>
              </w:rPr>
              <w:t xml:space="preserve"> </w:t>
            </w:r>
          </w:p>
        </w:tc>
      </w:tr>
      <w:tr w:rsidR="00C60999" w:rsidRPr="002B55E9" w14:paraId="52E537D1" w14:textId="77777777" w:rsidTr="00712630">
        <w:trPr>
          <w:trHeight w:val="283"/>
        </w:trPr>
        <w:tc>
          <w:tcPr>
            <w:tcW w:w="739" w:type="dxa"/>
            <w:noWrap/>
          </w:tcPr>
          <w:p w14:paraId="6CF609BB" w14:textId="77777777" w:rsidR="00D170E5" w:rsidRPr="002B55E9" w:rsidRDefault="00EF27AD">
            <w:pPr>
              <w:pStyle w:val="lgy-"/>
            </w:pPr>
            <w:r w:rsidRPr="002B55E9">
              <w:rPr>
                <w:rFonts w:eastAsia="宋体" w:hint="eastAsia"/>
              </w:rPr>
              <w:t>1</w:t>
            </w:r>
          </w:p>
        </w:tc>
        <w:tc>
          <w:tcPr>
            <w:tcW w:w="1413" w:type="dxa"/>
            <w:noWrap/>
          </w:tcPr>
          <w:p w14:paraId="35E04C8F" w14:textId="77777777" w:rsidR="00D170E5" w:rsidRPr="002B55E9" w:rsidRDefault="00EF27AD">
            <w:pPr>
              <w:pStyle w:val="lgy-"/>
            </w:pPr>
            <w:r w:rsidRPr="002B55E9">
              <w:rPr>
                <w:rFonts w:eastAsia="宋体" w:hint="eastAsia"/>
              </w:rPr>
              <w:t>集水池</w:t>
            </w:r>
            <w:r w:rsidRPr="002B55E9">
              <w:rPr>
                <w:rFonts w:eastAsia="宋体" w:hint="eastAsia"/>
              </w:rPr>
              <w:t xml:space="preserve"> </w:t>
            </w:r>
          </w:p>
        </w:tc>
        <w:tc>
          <w:tcPr>
            <w:tcW w:w="2384" w:type="dxa"/>
            <w:noWrap/>
          </w:tcPr>
          <w:p w14:paraId="78E5ED14" w14:textId="533B0065" w:rsidR="00D170E5" w:rsidRPr="002B55E9" w:rsidRDefault="00D170E5">
            <w:pPr>
              <w:pStyle w:val="lgy-"/>
            </w:pPr>
          </w:p>
        </w:tc>
        <w:tc>
          <w:tcPr>
            <w:tcW w:w="1418" w:type="dxa"/>
            <w:noWrap/>
          </w:tcPr>
          <w:p w14:paraId="27C4FE05" w14:textId="198AF544" w:rsidR="00D170E5" w:rsidRPr="002B55E9" w:rsidRDefault="00D170E5">
            <w:pPr>
              <w:pStyle w:val="lgy-"/>
            </w:pPr>
          </w:p>
        </w:tc>
        <w:tc>
          <w:tcPr>
            <w:tcW w:w="567" w:type="dxa"/>
            <w:noWrap/>
          </w:tcPr>
          <w:p w14:paraId="4B51D311" w14:textId="02EFEBA0" w:rsidR="00D170E5" w:rsidRPr="002B55E9" w:rsidRDefault="00D170E5">
            <w:pPr>
              <w:pStyle w:val="lgy-"/>
            </w:pPr>
          </w:p>
        </w:tc>
        <w:tc>
          <w:tcPr>
            <w:tcW w:w="1559" w:type="dxa"/>
            <w:noWrap/>
          </w:tcPr>
          <w:p w14:paraId="1D1B176F" w14:textId="492F1C43" w:rsidR="00D170E5" w:rsidRPr="002B55E9" w:rsidRDefault="00D170E5">
            <w:pPr>
              <w:pStyle w:val="lgy-"/>
            </w:pPr>
          </w:p>
        </w:tc>
        <w:tc>
          <w:tcPr>
            <w:tcW w:w="1557" w:type="dxa"/>
            <w:noWrap/>
          </w:tcPr>
          <w:p w14:paraId="335EB226"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595D8112" w14:textId="77777777" w:rsidTr="00712630">
        <w:trPr>
          <w:trHeight w:val="283"/>
        </w:trPr>
        <w:tc>
          <w:tcPr>
            <w:tcW w:w="739" w:type="dxa"/>
            <w:noWrap/>
          </w:tcPr>
          <w:p w14:paraId="3E9B28DD" w14:textId="77777777" w:rsidR="00D170E5" w:rsidRPr="002B55E9" w:rsidRDefault="00EF27AD">
            <w:pPr>
              <w:pStyle w:val="lgy-"/>
            </w:pPr>
            <w:r w:rsidRPr="002B55E9">
              <w:rPr>
                <w:rFonts w:eastAsia="宋体" w:hint="eastAsia"/>
              </w:rPr>
              <w:t>2</w:t>
            </w:r>
          </w:p>
        </w:tc>
        <w:tc>
          <w:tcPr>
            <w:tcW w:w="1413" w:type="dxa"/>
            <w:noWrap/>
          </w:tcPr>
          <w:p w14:paraId="617B7B41" w14:textId="77777777" w:rsidR="00D170E5" w:rsidRPr="002B55E9" w:rsidRDefault="00EF27AD">
            <w:pPr>
              <w:pStyle w:val="lgy-"/>
            </w:pPr>
            <w:r w:rsidRPr="002B55E9">
              <w:rPr>
                <w:rFonts w:eastAsia="宋体" w:hint="eastAsia"/>
              </w:rPr>
              <w:t>调节池</w:t>
            </w:r>
            <w:r w:rsidRPr="002B55E9">
              <w:rPr>
                <w:rFonts w:eastAsia="宋体" w:hint="eastAsia"/>
              </w:rPr>
              <w:t xml:space="preserve"> </w:t>
            </w:r>
          </w:p>
        </w:tc>
        <w:tc>
          <w:tcPr>
            <w:tcW w:w="2384" w:type="dxa"/>
            <w:noWrap/>
          </w:tcPr>
          <w:p w14:paraId="593445B4" w14:textId="559EBD48" w:rsidR="00D170E5" w:rsidRPr="002B55E9" w:rsidRDefault="00D170E5">
            <w:pPr>
              <w:pStyle w:val="lgy-"/>
            </w:pPr>
          </w:p>
        </w:tc>
        <w:tc>
          <w:tcPr>
            <w:tcW w:w="1418" w:type="dxa"/>
            <w:noWrap/>
          </w:tcPr>
          <w:p w14:paraId="4562E31B" w14:textId="45D05EFA" w:rsidR="00D170E5" w:rsidRPr="002B55E9" w:rsidRDefault="00D170E5">
            <w:pPr>
              <w:pStyle w:val="lgy-"/>
            </w:pPr>
          </w:p>
        </w:tc>
        <w:tc>
          <w:tcPr>
            <w:tcW w:w="567" w:type="dxa"/>
            <w:noWrap/>
          </w:tcPr>
          <w:p w14:paraId="7DAF5F0B" w14:textId="65D88545" w:rsidR="00D170E5" w:rsidRPr="002B55E9" w:rsidRDefault="00D170E5">
            <w:pPr>
              <w:pStyle w:val="lgy-"/>
            </w:pPr>
          </w:p>
        </w:tc>
        <w:tc>
          <w:tcPr>
            <w:tcW w:w="1559" w:type="dxa"/>
            <w:noWrap/>
          </w:tcPr>
          <w:p w14:paraId="4BDE19D6" w14:textId="3E7D89D9" w:rsidR="00D170E5" w:rsidRPr="002B55E9" w:rsidRDefault="00D170E5">
            <w:pPr>
              <w:pStyle w:val="lgy-"/>
            </w:pPr>
          </w:p>
        </w:tc>
        <w:tc>
          <w:tcPr>
            <w:tcW w:w="1557" w:type="dxa"/>
            <w:noWrap/>
          </w:tcPr>
          <w:p w14:paraId="229215DD"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2ABEEC73" w14:textId="77777777" w:rsidTr="00712630">
        <w:trPr>
          <w:trHeight w:val="283"/>
        </w:trPr>
        <w:tc>
          <w:tcPr>
            <w:tcW w:w="739" w:type="dxa"/>
            <w:noWrap/>
          </w:tcPr>
          <w:p w14:paraId="732D7BCF" w14:textId="77777777" w:rsidR="00D170E5" w:rsidRPr="002B55E9" w:rsidRDefault="00EF27AD">
            <w:pPr>
              <w:pStyle w:val="lgy-"/>
            </w:pPr>
            <w:r w:rsidRPr="002B55E9">
              <w:rPr>
                <w:rFonts w:eastAsia="宋体" w:hint="eastAsia"/>
              </w:rPr>
              <w:t>3</w:t>
            </w:r>
          </w:p>
        </w:tc>
        <w:tc>
          <w:tcPr>
            <w:tcW w:w="1413" w:type="dxa"/>
            <w:noWrap/>
          </w:tcPr>
          <w:p w14:paraId="32F3A019" w14:textId="77777777" w:rsidR="00D170E5" w:rsidRPr="002B55E9" w:rsidRDefault="00EF27AD">
            <w:pPr>
              <w:pStyle w:val="lgy-"/>
            </w:pPr>
            <w:r w:rsidRPr="002B55E9">
              <w:rPr>
                <w:rFonts w:eastAsia="宋体" w:hint="eastAsia"/>
              </w:rPr>
              <w:t>絮凝混凝中和池</w:t>
            </w:r>
            <w:r w:rsidRPr="002B55E9">
              <w:rPr>
                <w:rFonts w:eastAsia="宋体" w:hint="eastAsia"/>
              </w:rPr>
              <w:t xml:space="preserve"> </w:t>
            </w:r>
          </w:p>
        </w:tc>
        <w:tc>
          <w:tcPr>
            <w:tcW w:w="2384" w:type="dxa"/>
            <w:noWrap/>
          </w:tcPr>
          <w:p w14:paraId="4751A823" w14:textId="711E253E" w:rsidR="00D170E5" w:rsidRPr="002B55E9" w:rsidRDefault="00D170E5">
            <w:pPr>
              <w:pStyle w:val="lgy-"/>
            </w:pPr>
          </w:p>
        </w:tc>
        <w:tc>
          <w:tcPr>
            <w:tcW w:w="1418" w:type="dxa"/>
            <w:noWrap/>
          </w:tcPr>
          <w:p w14:paraId="22AC2461" w14:textId="2C87AC71" w:rsidR="00D170E5" w:rsidRPr="002B55E9" w:rsidRDefault="00D170E5">
            <w:pPr>
              <w:pStyle w:val="lgy-"/>
            </w:pPr>
          </w:p>
        </w:tc>
        <w:tc>
          <w:tcPr>
            <w:tcW w:w="567" w:type="dxa"/>
            <w:noWrap/>
          </w:tcPr>
          <w:p w14:paraId="40FC52AA" w14:textId="6BEF3AB2" w:rsidR="00D170E5" w:rsidRPr="002B55E9" w:rsidRDefault="00D170E5">
            <w:pPr>
              <w:pStyle w:val="lgy-"/>
            </w:pPr>
          </w:p>
        </w:tc>
        <w:tc>
          <w:tcPr>
            <w:tcW w:w="1559" w:type="dxa"/>
            <w:noWrap/>
          </w:tcPr>
          <w:p w14:paraId="2AFC0ACB" w14:textId="53ABC216" w:rsidR="00D170E5" w:rsidRPr="002B55E9" w:rsidRDefault="00D170E5">
            <w:pPr>
              <w:pStyle w:val="lgy-"/>
            </w:pPr>
          </w:p>
        </w:tc>
        <w:tc>
          <w:tcPr>
            <w:tcW w:w="1557" w:type="dxa"/>
            <w:noWrap/>
          </w:tcPr>
          <w:p w14:paraId="2236C8B8" w14:textId="77777777" w:rsidR="00D170E5" w:rsidRPr="002B55E9" w:rsidRDefault="00EF27AD">
            <w:pPr>
              <w:pStyle w:val="lgy-"/>
              <w:rPr>
                <w:rFonts w:eastAsia="宋体"/>
              </w:rPr>
            </w:pPr>
            <w:r w:rsidRPr="002B55E9">
              <w:rPr>
                <w:rFonts w:eastAsia="宋体" w:hint="eastAsia"/>
              </w:rPr>
              <w:t>加盖</w:t>
            </w:r>
          </w:p>
        </w:tc>
      </w:tr>
      <w:tr w:rsidR="00C60999" w:rsidRPr="002B55E9" w14:paraId="57443C6B" w14:textId="77777777" w:rsidTr="00712630">
        <w:trPr>
          <w:trHeight w:val="283"/>
        </w:trPr>
        <w:tc>
          <w:tcPr>
            <w:tcW w:w="739" w:type="dxa"/>
            <w:noWrap/>
          </w:tcPr>
          <w:p w14:paraId="7981B4B1" w14:textId="77777777" w:rsidR="00D170E5" w:rsidRPr="002B55E9" w:rsidRDefault="00EF27AD">
            <w:pPr>
              <w:pStyle w:val="lgy-"/>
            </w:pPr>
            <w:r w:rsidRPr="002B55E9">
              <w:rPr>
                <w:rFonts w:eastAsia="宋体" w:hint="eastAsia"/>
              </w:rPr>
              <w:t>4</w:t>
            </w:r>
          </w:p>
        </w:tc>
        <w:tc>
          <w:tcPr>
            <w:tcW w:w="1413" w:type="dxa"/>
            <w:noWrap/>
          </w:tcPr>
          <w:p w14:paraId="7FFDDDFD" w14:textId="77777777" w:rsidR="00D170E5" w:rsidRPr="002B55E9" w:rsidRDefault="00EF27AD">
            <w:pPr>
              <w:pStyle w:val="lgy-"/>
            </w:pPr>
            <w:r w:rsidRPr="002B55E9">
              <w:rPr>
                <w:rFonts w:eastAsia="宋体" w:hint="eastAsia"/>
              </w:rPr>
              <w:t>初沉池</w:t>
            </w:r>
            <w:r w:rsidRPr="002B55E9">
              <w:rPr>
                <w:rFonts w:eastAsia="宋体" w:hint="eastAsia"/>
              </w:rPr>
              <w:t xml:space="preserve"> </w:t>
            </w:r>
          </w:p>
        </w:tc>
        <w:tc>
          <w:tcPr>
            <w:tcW w:w="2384" w:type="dxa"/>
            <w:noWrap/>
          </w:tcPr>
          <w:p w14:paraId="493A1E22" w14:textId="7F41B6C1" w:rsidR="00D170E5" w:rsidRPr="002B55E9" w:rsidRDefault="00D170E5">
            <w:pPr>
              <w:pStyle w:val="lgy-"/>
            </w:pPr>
          </w:p>
        </w:tc>
        <w:tc>
          <w:tcPr>
            <w:tcW w:w="1418" w:type="dxa"/>
            <w:noWrap/>
          </w:tcPr>
          <w:p w14:paraId="55A2D57E" w14:textId="170D187B" w:rsidR="00D170E5" w:rsidRPr="002B55E9" w:rsidRDefault="00D170E5">
            <w:pPr>
              <w:pStyle w:val="lgy-"/>
            </w:pPr>
          </w:p>
        </w:tc>
        <w:tc>
          <w:tcPr>
            <w:tcW w:w="567" w:type="dxa"/>
            <w:noWrap/>
          </w:tcPr>
          <w:p w14:paraId="62E52620" w14:textId="6C70DEA7" w:rsidR="00D170E5" w:rsidRPr="002B55E9" w:rsidRDefault="00D170E5">
            <w:pPr>
              <w:pStyle w:val="lgy-"/>
            </w:pPr>
          </w:p>
        </w:tc>
        <w:tc>
          <w:tcPr>
            <w:tcW w:w="1559" w:type="dxa"/>
            <w:noWrap/>
          </w:tcPr>
          <w:p w14:paraId="0BF49449" w14:textId="411AA0CF" w:rsidR="00D170E5" w:rsidRPr="002B55E9" w:rsidRDefault="00D170E5">
            <w:pPr>
              <w:pStyle w:val="lgy-"/>
            </w:pPr>
          </w:p>
        </w:tc>
        <w:tc>
          <w:tcPr>
            <w:tcW w:w="1557" w:type="dxa"/>
            <w:noWrap/>
          </w:tcPr>
          <w:p w14:paraId="40E97542"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47692751" w14:textId="77777777" w:rsidTr="00712630">
        <w:trPr>
          <w:trHeight w:val="283"/>
        </w:trPr>
        <w:tc>
          <w:tcPr>
            <w:tcW w:w="739" w:type="dxa"/>
            <w:noWrap/>
          </w:tcPr>
          <w:p w14:paraId="6FCEADBC" w14:textId="77777777" w:rsidR="00D170E5" w:rsidRPr="002B55E9" w:rsidRDefault="00EF27AD">
            <w:pPr>
              <w:pStyle w:val="lgy-"/>
            </w:pPr>
            <w:r w:rsidRPr="002B55E9">
              <w:rPr>
                <w:rFonts w:eastAsia="宋体" w:hint="eastAsia"/>
              </w:rPr>
              <w:t>5</w:t>
            </w:r>
          </w:p>
        </w:tc>
        <w:tc>
          <w:tcPr>
            <w:tcW w:w="1413" w:type="dxa"/>
            <w:noWrap/>
          </w:tcPr>
          <w:p w14:paraId="66EBEF78" w14:textId="77777777" w:rsidR="00D170E5" w:rsidRPr="002B55E9" w:rsidRDefault="00EF27AD">
            <w:pPr>
              <w:pStyle w:val="lgy-"/>
            </w:pPr>
            <w:r w:rsidRPr="002B55E9">
              <w:rPr>
                <w:rFonts w:eastAsia="宋体" w:hint="eastAsia"/>
              </w:rPr>
              <w:t>初沉污泥池</w:t>
            </w:r>
            <w:r w:rsidRPr="002B55E9">
              <w:rPr>
                <w:rFonts w:eastAsia="宋体" w:hint="eastAsia"/>
              </w:rPr>
              <w:t xml:space="preserve"> </w:t>
            </w:r>
          </w:p>
        </w:tc>
        <w:tc>
          <w:tcPr>
            <w:tcW w:w="2384" w:type="dxa"/>
            <w:noWrap/>
          </w:tcPr>
          <w:p w14:paraId="044EB746" w14:textId="3597ED82" w:rsidR="00D170E5" w:rsidRPr="002B55E9" w:rsidRDefault="00D170E5">
            <w:pPr>
              <w:pStyle w:val="lgy-"/>
            </w:pPr>
          </w:p>
        </w:tc>
        <w:tc>
          <w:tcPr>
            <w:tcW w:w="1418" w:type="dxa"/>
            <w:noWrap/>
          </w:tcPr>
          <w:p w14:paraId="5AD9A263" w14:textId="207F5292" w:rsidR="00D170E5" w:rsidRPr="002B55E9" w:rsidRDefault="00D170E5">
            <w:pPr>
              <w:pStyle w:val="lgy-"/>
            </w:pPr>
          </w:p>
        </w:tc>
        <w:tc>
          <w:tcPr>
            <w:tcW w:w="567" w:type="dxa"/>
            <w:noWrap/>
          </w:tcPr>
          <w:p w14:paraId="6A37A560" w14:textId="4F8F634F" w:rsidR="00D170E5" w:rsidRPr="002B55E9" w:rsidRDefault="00D170E5">
            <w:pPr>
              <w:pStyle w:val="lgy-"/>
            </w:pPr>
          </w:p>
        </w:tc>
        <w:tc>
          <w:tcPr>
            <w:tcW w:w="1559" w:type="dxa"/>
            <w:noWrap/>
          </w:tcPr>
          <w:p w14:paraId="73D045EA" w14:textId="4AE1B759" w:rsidR="00D170E5" w:rsidRPr="002B55E9" w:rsidRDefault="00D170E5">
            <w:pPr>
              <w:pStyle w:val="lgy-"/>
            </w:pPr>
          </w:p>
        </w:tc>
        <w:tc>
          <w:tcPr>
            <w:tcW w:w="1557" w:type="dxa"/>
            <w:noWrap/>
          </w:tcPr>
          <w:p w14:paraId="18170D62"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097AA16B" w14:textId="77777777" w:rsidTr="00712630">
        <w:trPr>
          <w:trHeight w:val="283"/>
        </w:trPr>
        <w:tc>
          <w:tcPr>
            <w:tcW w:w="739" w:type="dxa"/>
            <w:noWrap/>
          </w:tcPr>
          <w:p w14:paraId="2816298A" w14:textId="77777777" w:rsidR="00D170E5" w:rsidRPr="002B55E9" w:rsidRDefault="00EF27AD">
            <w:pPr>
              <w:pStyle w:val="lgy-"/>
            </w:pPr>
            <w:r w:rsidRPr="002B55E9">
              <w:rPr>
                <w:rFonts w:eastAsia="宋体" w:hint="eastAsia"/>
              </w:rPr>
              <w:t>6</w:t>
            </w:r>
          </w:p>
        </w:tc>
        <w:tc>
          <w:tcPr>
            <w:tcW w:w="1413" w:type="dxa"/>
            <w:noWrap/>
          </w:tcPr>
          <w:p w14:paraId="7544682C" w14:textId="77777777" w:rsidR="00D170E5" w:rsidRPr="002B55E9" w:rsidRDefault="00EF27AD">
            <w:pPr>
              <w:pStyle w:val="lgy-"/>
            </w:pPr>
            <w:r w:rsidRPr="002B55E9">
              <w:rPr>
                <w:rFonts w:eastAsia="宋体" w:hint="eastAsia"/>
              </w:rPr>
              <w:t>事故池</w:t>
            </w:r>
            <w:r w:rsidRPr="002B55E9">
              <w:rPr>
                <w:rFonts w:eastAsia="宋体" w:hint="eastAsia"/>
              </w:rPr>
              <w:t xml:space="preserve"> </w:t>
            </w:r>
          </w:p>
        </w:tc>
        <w:tc>
          <w:tcPr>
            <w:tcW w:w="2384" w:type="dxa"/>
            <w:noWrap/>
          </w:tcPr>
          <w:p w14:paraId="5C5D6668" w14:textId="5043AF84" w:rsidR="00D170E5" w:rsidRPr="002B55E9" w:rsidRDefault="00D170E5">
            <w:pPr>
              <w:pStyle w:val="lgy-"/>
            </w:pPr>
          </w:p>
        </w:tc>
        <w:tc>
          <w:tcPr>
            <w:tcW w:w="1418" w:type="dxa"/>
            <w:noWrap/>
          </w:tcPr>
          <w:p w14:paraId="062E7887" w14:textId="4FB14128" w:rsidR="00D170E5" w:rsidRPr="002B55E9" w:rsidRDefault="00D170E5">
            <w:pPr>
              <w:pStyle w:val="lgy-"/>
            </w:pPr>
          </w:p>
        </w:tc>
        <w:tc>
          <w:tcPr>
            <w:tcW w:w="567" w:type="dxa"/>
            <w:noWrap/>
          </w:tcPr>
          <w:p w14:paraId="3FD2973A" w14:textId="5E1D6C14" w:rsidR="00D170E5" w:rsidRPr="002B55E9" w:rsidRDefault="00D170E5">
            <w:pPr>
              <w:pStyle w:val="lgy-"/>
            </w:pPr>
          </w:p>
        </w:tc>
        <w:tc>
          <w:tcPr>
            <w:tcW w:w="1559" w:type="dxa"/>
            <w:noWrap/>
          </w:tcPr>
          <w:p w14:paraId="0D007127" w14:textId="29C81F39" w:rsidR="00D170E5" w:rsidRPr="002B55E9" w:rsidRDefault="00D170E5">
            <w:pPr>
              <w:pStyle w:val="lgy-"/>
            </w:pPr>
          </w:p>
        </w:tc>
        <w:tc>
          <w:tcPr>
            <w:tcW w:w="1557" w:type="dxa"/>
            <w:noWrap/>
          </w:tcPr>
          <w:p w14:paraId="650199EA"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78843D1A" w14:textId="77777777" w:rsidTr="00712630">
        <w:trPr>
          <w:trHeight w:val="283"/>
        </w:trPr>
        <w:tc>
          <w:tcPr>
            <w:tcW w:w="739" w:type="dxa"/>
            <w:noWrap/>
          </w:tcPr>
          <w:p w14:paraId="408F3F91" w14:textId="77777777" w:rsidR="00D170E5" w:rsidRPr="002B55E9" w:rsidRDefault="00EF27AD">
            <w:pPr>
              <w:pStyle w:val="lgy-"/>
            </w:pPr>
            <w:r w:rsidRPr="002B55E9">
              <w:rPr>
                <w:rFonts w:eastAsia="宋体" w:hint="eastAsia"/>
              </w:rPr>
              <w:t>7</w:t>
            </w:r>
          </w:p>
        </w:tc>
        <w:tc>
          <w:tcPr>
            <w:tcW w:w="1413" w:type="dxa"/>
            <w:noWrap/>
          </w:tcPr>
          <w:p w14:paraId="52867245" w14:textId="77777777" w:rsidR="00D170E5" w:rsidRPr="002B55E9" w:rsidRDefault="00EF27AD">
            <w:pPr>
              <w:pStyle w:val="lgy-"/>
            </w:pPr>
            <w:r w:rsidRPr="002B55E9">
              <w:rPr>
                <w:rFonts w:eastAsia="宋体" w:hint="eastAsia"/>
              </w:rPr>
              <w:t>缓冲池</w:t>
            </w:r>
            <w:r w:rsidRPr="002B55E9">
              <w:rPr>
                <w:rFonts w:eastAsia="宋体" w:hint="eastAsia"/>
              </w:rPr>
              <w:t xml:space="preserve"> </w:t>
            </w:r>
          </w:p>
        </w:tc>
        <w:tc>
          <w:tcPr>
            <w:tcW w:w="2384" w:type="dxa"/>
            <w:noWrap/>
          </w:tcPr>
          <w:p w14:paraId="0ADA9DAE" w14:textId="7D628D05" w:rsidR="00D170E5" w:rsidRPr="002B55E9" w:rsidRDefault="00D170E5">
            <w:pPr>
              <w:pStyle w:val="lgy-"/>
            </w:pPr>
          </w:p>
        </w:tc>
        <w:tc>
          <w:tcPr>
            <w:tcW w:w="1418" w:type="dxa"/>
            <w:noWrap/>
          </w:tcPr>
          <w:p w14:paraId="7FDFE32A" w14:textId="48C8E550" w:rsidR="00D170E5" w:rsidRPr="002B55E9" w:rsidRDefault="00D170E5">
            <w:pPr>
              <w:pStyle w:val="lgy-"/>
            </w:pPr>
          </w:p>
        </w:tc>
        <w:tc>
          <w:tcPr>
            <w:tcW w:w="567" w:type="dxa"/>
            <w:noWrap/>
          </w:tcPr>
          <w:p w14:paraId="4B1AC2FC" w14:textId="5E120880" w:rsidR="00D170E5" w:rsidRPr="002B55E9" w:rsidRDefault="00D170E5">
            <w:pPr>
              <w:pStyle w:val="lgy-"/>
            </w:pPr>
          </w:p>
        </w:tc>
        <w:tc>
          <w:tcPr>
            <w:tcW w:w="1559" w:type="dxa"/>
            <w:noWrap/>
          </w:tcPr>
          <w:p w14:paraId="5CB719C8" w14:textId="74DCF98D" w:rsidR="00D170E5" w:rsidRPr="002B55E9" w:rsidRDefault="00D170E5">
            <w:pPr>
              <w:pStyle w:val="lgy-"/>
            </w:pPr>
          </w:p>
        </w:tc>
        <w:tc>
          <w:tcPr>
            <w:tcW w:w="1557" w:type="dxa"/>
            <w:noWrap/>
          </w:tcPr>
          <w:p w14:paraId="7764FE7F"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03494897" w14:textId="77777777" w:rsidTr="00712630">
        <w:trPr>
          <w:trHeight w:val="283"/>
        </w:trPr>
        <w:tc>
          <w:tcPr>
            <w:tcW w:w="739" w:type="dxa"/>
            <w:noWrap/>
          </w:tcPr>
          <w:p w14:paraId="04290F1A" w14:textId="77777777" w:rsidR="00D170E5" w:rsidRPr="002B55E9" w:rsidRDefault="00EF27AD">
            <w:pPr>
              <w:pStyle w:val="lgy-"/>
            </w:pPr>
            <w:r w:rsidRPr="002B55E9">
              <w:rPr>
                <w:rFonts w:eastAsia="宋体" w:hint="eastAsia"/>
              </w:rPr>
              <w:t>8</w:t>
            </w:r>
          </w:p>
        </w:tc>
        <w:tc>
          <w:tcPr>
            <w:tcW w:w="1413" w:type="dxa"/>
            <w:noWrap/>
          </w:tcPr>
          <w:p w14:paraId="36350747" w14:textId="77777777" w:rsidR="00D170E5" w:rsidRPr="002B55E9" w:rsidRDefault="00EF27AD">
            <w:pPr>
              <w:pStyle w:val="lgy-"/>
            </w:pPr>
            <w:r w:rsidRPr="002B55E9">
              <w:rPr>
                <w:rFonts w:eastAsia="宋体" w:hint="eastAsia"/>
              </w:rPr>
              <w:t>污泥池</w:t>
            </w:r>
            <w:r w:rsidRPr="002B55E9">
              <w:rPr>
                <w:rFonts w:eastAsia="宋体" w:hint="eastAsia"/>
              </w:rPr>
              <w:t xml:space="preserve"> </w:t>
            </w:r>
          </w:p>
        </w:tc>
        <w:tc>
          <w:tcPr>
            <w:tcW w:w="2384" w:type="dxa"/>
            <w:noWrap/>
          </w:tcPr>
          <w:p w14:paraId="2B64F66D" w14:textId="5C5E9B5E" w:rsidR="00D170E5" w:rsidRPr="002B55E9" w:rsidRDefault="00D170E5">
            <w:pPr>
              <w:pStyle w:val="lgy-"/>
            </w:pPr>
          </w:p>
        </w:tc>
        <w:tc>
          <w:tcPr>
            <w:tcW w:w="1418" w:type="dxa"/>
            <w:noWrap/>
          </w:tcPr>
          <w:p w14:paraId="5B4E7FF3" w14:textId="347B5CCF" w:rsidR="00D170E5" w:rsidRPr="002B55E9" w:rsidRDefault="00D170E5">
            <w:pPr>
              <w:pStyle w:val="lgy-"/>
            </w:pPr>
          </w:p>
        </w:tc>
        <w:tc>
          <w:tcPr>
            <w:tcW w:w="567" w:type="dxa"/>
            <w:noWrap/>
          </w:tcPr>
          <w:p w14:paraId="6D8F6AA3" w14:textId="7BA44E1B" w:rsidR="00D170E5" w:rsidRPr="002B55E9" w:rsidRDefault="00D170E5">
            <w:pPr>
              <w:pStyle w:val="lgy-"/>
            </w:pPr>
          </w:p>
        </w:tc>
        <w:tc>
          <w:tcPr>
            <w:tcW w:w="1559" w:type="dxa"/>
            <w:noWrap/>
          </w:tcPr>
          <w:p w14:paraId="31FAD57E" w14:textId="69556B00" w:rsidR="00D170E5" w:rsidRPr="002B55E9" w:rsidRDefault="00D170E5">
            <w:pPr>
              <w:pStyle w:val="lgy-"/>
            </w:pPr>
          </w:p>
        </w:tc>
        <w:tc>
          <w:tcPr>
            <w:tcW w:w="1557" w:type="dxa"/>
            <w:noWrap/>
          </w:tcPr>
          <w:p w14:paraId="7EDD1A5C"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30BE328F" w14:textId="77777777" w:rsidTr="00712630">
        <w:trPr>
          <w:trHeight w:val="283"/>
        </w:trPr>
        <w:tc>
          <w:tcPr>
            <w:tcW w:w="739" w:type="dxa"/>
            <w:noWrap/>
          </w:tcPr>
          <w:p w14:paraId="2D72846D" w14:textId="77777777" w:rsidR="00D170E5" w:rsidRPr="002B55E9" w:rsidRDefault="00EF27AD">
            <w:pPr>
              <w:pStyle w:val="lgy-"/>
            </w:pPr>
            <w:r w:rsidRPr="002B55E9">
              <w:rPr>
                <w:rFonts w:eastAsia="宋体" w:hint="eastAsia"/>
              </w:rPr>
              <w:t>9</w:t>
            </w:r>
          </w:p>
        </w:tc>
        <w:tc>
          <w:tcPr>
            <w:tcW w:w="1413" w:type="dxa"/>
            <w:noWrap/>
          </w:tcPr>
          <w:p w14:paraId="1D4F0C97" w14:textId="77777777" w:rsidR="00D170E5" w:rsidRPr="002B55E9" w:rsidRDefault="00EF27AD">
            <w:pPr>
              <w:pStyle w:val="lgy-"/>
            </w:pPr>
            <w:r w:rsidRPr="002B55E9">
              <w:rPr>
                <w:rFonts w:eastAsia="宋体" w:hint="eastAsia"/>
              </w:rPr>
              <w:t>浓缩池</w:t>
            </w:r>
            <w:r w:rsidRPr="002B55E9">
              <w:rPr>
                <w:rFonts w:eastAsia="宋体" w:hint="eastAsia"/>
              </w:rPr>
              <w:t xml:space="preserve"> </w:t>
            </w:r>
          </w:p>
        </w:tc>
        <w:tc>
          <w:tcPr>
            <w:tcW w:w="2384" w:type="dxa"/>
            <w:noWrap/>
          </w:tcPr>
          <w:p w14:paraId="7CA2AFCE" w14:textId="737C3AFA" w:rsidR="00D170E5" w:rsidRPr="002B55E9" w:rsidRDefault="00D170E5">
            <w:pPr>
              <w:pStyle w:val="lgy-"/>
            </w:pPr>
          </w:p>
        </w:tc>
        <w:tc>
          <w:tcPr>
            <w:tcW w:w="1418" w:type="dxa"/>
            <w:noWrap/>
          </w:tcPr>
          <w:p w14:paraId="083F5F76" w14:textId="7FEF7FE1" w:rsidR="00D170E5" w:rsidRPr="002B55E9" w:rsidRDefault="00D170E5">
            <w:pPr>
              <w:pStyle w:val="lgy-"/>
            </w:pPr>
          </w:p>
        </w:tc>
        <w:tc>
          <w:tcPr>
            <w:tcW w:w="567" w:type="dxa"/>
            <w:noWrap/>
          </w:tcPr>
          <w:p w14:paraId="023DDB75" w14:textId="2209CCB5" w:rsidR="00D170E5" w:rsidRPr="002B55E9" w:rsidRDefault="00D170E5">
            <w:pPr>
              <w:pStyle w:val="lgy-"/>
            </w:pPr>
          </w:p>
        </w:tc>
        <w:tc>
          <w:tcPr>
            <w:tcW w:w="1559" w:type="dxa"/>
            <w:noWrap/>
          </w:tcPr>
          <w:p w14:paraId="1A18C3B7" w14:textId="6CFEF9DE" w:rsidR="00D170E5" w:rsidRPr="002B55E9" w:rsidRDefault="00D170E5">
            <w:pPr>
              <w:pStyle w:val="lgy-"/>
            </w:pPr>
          </w:p>
        </w:tc>
        <w:tc>
          <w:tcPr>
            <w:tcW w:w="1557" w:type="dxa"/>
            <w:noWrap/>
          </w:tcPr>
          <w:p w14:paraId="4318FD67"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6BC1F753" w14:textId="77777777" w:rsidTr="00712630">
        <w:trPr>
          <w:trHeight w:val="283"/>
        </w:trPr>
        <w:tc>
          <w:tcPr>
            <w:tcW w:w="739" w:type="dxa"/>
            <w:noWrap/>
          </w:tcPr>
          <w:p w14:paraId="0BA65F22" w14:textId="77777777" w:rsidR="00D170E5" w:rsidRPr="002B55E9" w:rsidRDefault="00EF27AD">
            <w:pPr>
              <w:pStyle w:val="lgy-"/>
            </w:pPr>
            <w:r w:rsidRPr="002B55E9">
              <w:rPr>
                <w:rFonts w:eastAsia="宋体" w:hint="eastAsia"/>
              </w:rPr>
              <w:t>10</w:t>
            </w:r>
          </w:p>
        </w:tc>
        <w:tc>
          <w:tcPr>
            <w:tcW w:w="1413" w:type="dxa"/>
            <w:noWrap/>
          </w:tcPr>
          <w:p w14:paraId="089C6443" w14:textId="77777777" w:rsidR="00D170E5" w:rsidRPr="002B55E9" w:rsidRDefault="00EF27AD">
            <w:pPr>
              <w:pStyle w:val="lgy-"/>
            </w:pPr>
            <w:r w:rsidRPr="002B55E9">
              <w:rPr>
                <w:rFonts w:eastAsia="宋体" w:hint="eastAsia"/>
              </w:rPr>
              <w:t>脱色池</w:t>
            </w:r>
            <w:r w:rsidRPr="002B55E9">
              <w:rPr>
                <w:rFonts w:eastAsia="宋体" w:hint="eastAsia"/>
              </w:rPr>
              <w:t xml:space="preserve"> </w:t>
            </w:r>
          </w:p>
        </w:tc>
        <w:tc>
          <w:tcPr>
            <w:tcW w:w="2384" w:type="dxa"/>
            <w:noWrap/>
          </w:tcPr>
          <w:p w14:paraId="72BF07B3" w14:textId="0CC4A9BF" w:rsidR="00D170E5" w:rsidRPr="002B55E9" w:rsidRDefault="00D170E5">
            <w:pPr>
              <w:pStyle w:val="lgy-"/>
            </w:pPr>
          </w:p>
        </w:tc>
        <w:tc>
          <w:tcPr>
            <w:tcW w:w="1418" w:type="dxa"/>
            <w:noWrap/>
          </w:tcPr>
          <w:p w14:paraId="2597420F" w14:textId="6FB0ADAB" w:rsidR="00D170E5" w:rsidRPr="002B55E9" w:rsidRDefault="00D170E5">
            <w:pPr>
              <w:pStyle w:val="lgy-"/>
            </w:pPr>
          </w:p>
        </w:tc>
        <w:tc>
          <w:tcPr>
            <w:tcW w:w="567" w:type="dxa"/>
            <w:noWrap/>
          </w:tcPr>
          <w:p w14:paraId="36CDFFCF" w14:textId="68037C8B" w:rsidR="00D170E5" w:rsidRPr="002B55E9" w:rsidRDefault="00D170E5">
            <w:pPr>
              <w:pStyle w:val="lgy-"/>
            </w:pPr>
          </w:p>
        </w:tc>
        <w:tc>
          <w:tcPr>
            <w:tcW w:w="1559" w:type="dxa"/>
            <w:noWrap/>
          </w:tcPr>
          <w:p w14:paraId="17DB712F" w14:textId="68CDD143" w:rsidR="00D170E5" w:rsidRPr="002B55E9" w:rsidRDefault="00D170E5">
            <w:pPr>
              <w:pStyle w:val="lgy-"/>
            </w:pPr>
          </w:p>
        </w:tc>
        <w:tc>
          <w:tcPr>
            <w:tcW w:w="1557" w:type="dxa"/>
            <w:noWrap/>
          </w:tcPr>
          <w:p w14:paraId="5891C867" w14:textId="77777777" w:rsidR="00D170E5" w:rsidRPr="002B55E9" w:rsidRDefault="00EF27AD">
            <w:pPr>
              <w:pStyle w:val="lgy-"/>
              <w:rPr>
                <w:rFonts w:eastAsia="宋体"/>
              </w:rPr>
            </w:pPr>
            <w:r w:rsidRPr="002B55E9">
              <w:rPr>
                <w:rFonts w:eastAsia="宋体" w:hint="eastAsia"/>
              </w:rPr>
              <w:t>敞开</w:t>
            </w:r>
            <w:r w:rsidRPr="002B55E9">
              <w:rPr>
                <w:rFonts w:eastAsia="宋体" w:hint="eastAsia"/>
              </w:rPr>
              <w:t xml:space="preserve"> </w:t>
            </w:r>
          </w:p>
        </w:tc>
      </w:tr>
      <w:tr w:rsidR="00C60999" w:rsidRPr="002B55E9" w14:paraId="684AF4E9" w14:textId="77777777" w:rsidTr="00712630">
        <w:trPr>
          <w:trHeight w:val="283"/>
        </w:trPr>
        <w:tc>
          <w:tcPr>
            <w:tcW w:w="739" w:type="dxa"/>
            <w:noWrap/>
          </w:tcPr>
          <w:p w14:paraId="0B3A182D" w14:textId="77777777" w:rsidR="00D170E5" w:rsidRPr="002B55E9" w:rsidRDefault="00EF27AD">
            <w:pPr>
              <w:pStyle w:val="lgy-"/>
            </w:pPr>
            <w:r w:rsidRPr="002B55E9">
              <w:rPr>
                <w:rFonts w:eastAsia="宋体" w:hint="eastAsia"/>
              </w:rPr>
              <w:t>11</w:t>
            </w:r>
          </w:p>
        </w:tc>
        <w:tc>
          <w:tcPr>
            <w:tcW w:w="1413" w:type="dxa"/>
            <w:noWrap/>
          </w:tcPr>
          <w:p w14:paraId="4EBE34EA" w14:textId="77777777" w:rsidR="00D170E5" w:rsidRPr="002B55E9" w:rsidRDefault="00EF27AD">
            <w:pPr>
              <w:pStyle w:val="lgy-"/>
            </w:pPr>
            <w:r w:rsidRPr="002B55E9">
              <w:rPr>
                <w:rFonts w:eastAsia="宋体" w:hint="eastAsia"/>
              </w:rPr>
              <w:t>缺氧池</w:t>
            </w:r>
            <w:r w:rsidRPr="002B55E9">
              <w:rPr>
                <w:rFonts w:eastAsia="宋体" w:hint="eastAsia"/>
              </w:rPr>
              <w:t xml:space="preserve"> </w:t>
            </w:r>
          </w:p>
        </w:tc>
        <w:tc>
          <w:tcPr>
            <w:tcW w:w="2384" w:type="dxa"/>
            <w:noWrap/>
          </w:tcPr>
          <w:p w14:paraId="7200C22E" w14:textId="3AE1DF57" w:rsidR="00D170E5" w:rsidRPr="002B55E9" w:rsidRDefault="00D170E5">
            <w:pPr>
              <w:pStyle w:val="lgy-"/>
            </w:pPr>
          </w:p>
        </w:tc>
        <w:tc>
          <w:tcPr>
            <w:tcW w:w="1418" w:type="dxa"/>
            <w:noWrap/>
          </w:tcPr>
          <w:p w14:paraId="2226625D" w14:textId="0641EAF2" w:rsidR="00D170E5" w:rsidRPr="002B55E9" w:rsidRDefault="00D170E5">
            <w:pPr>
              <w:pStyle w:val="lgy-"/>
            </w:pPr>
          </w:p>
        </w:tc>
        <w:tc>
          <w:tcPr>
            <w:tcW w:w="567" w:type="dxa"/>
            <w:noWrap/>
          </w:tcPr>
          <w:p w14:paraId="359842CE" w14:textId="29DEED54" w:rsidR="00D170E5" w:rsidRPr="002B55E9" w:rsidRDefault="00D170E5">
            <w:pPr>
              <w:pStyle w:val="lgy-"/>
            </w:pPr>
          </w:p>
        </w:tc>
        <w:tc>
          <w:tcPr>
            <w:tcW w:w="1559" w:type="dxa"/>
            <w:noWrap/>
          </w:tcPr>
          <w:p w14:paraId="2D47BB71" w14:textId="684377D2" w:rsidR="00D170E5" w:rsidRPr="002B55E9" w:rsidRDefault="00D170E5">
            <w:pPr>
              <w:pStyle w:val="lgy-"/>
            </w:pPr>
          </w:p>
        </w:tc>
        <w:tc>
          <w:tcPr>
            <w:tcW w:w="1557" w:type="dxa"/>
            <w:noWrap/>
          </w:tcPr>
          <w:p w14:paraId="33EEB964" w14:textId="77777777" w:rsidR="00D170E5" w:rsidRPr="002B55E9" w:rsidRDefault="00EF27AD">
            <w:pPr>
              <w:pStyle w:val="lgy-"/>
              <w:rPr>
                <w:rFonts w:eastAsia="宋体"/>
              </w:rPr>
            </w:pPr>
            <w:r w:rsidRPr="002B55E9">
              <w:rPr>
                <w:rFonts w:eastAsia="宋体" w:hint="eastAsia"/>
              </w:rPr>
              <w:t>加盖</w:t>
            </w:r>
            <w:r w:rsidRPr="002B55E9">
              <w:rPr>
                <w:rFonts w:eastAsia="宋体" w:hint="eastAsia"/>
              </w:rPr>
              <w:t xml:space="preserve"> </w:t>
            </w:r>
          </w:p>
        </w:tc>
      </w:tr>
      <w:tr w:rsidR="00C60999" w:rsidRPr="002B55E9" w14:paraId="29D57884" w14:textId="77777777" w:rsidTr="00712630">
        <w:trPr>
          <w:trHeight w:val="283"/>
        </w:trPr>
        <w:tc>
          <w:tcPr>
            <w:tcW w:w="739" w:type="dxa"/>
            <w:noWrap/>
          </w:tcPr>
          <w:p w14:paraId="1EA288B4" w14:textId="77777777" w:rsidR="00D170E5" w:rsidRPr="002B55E9" w:rsidRDefault="00EF27AD">
            <w:pPr>
              <w:pStyle w:val="lgy-"/>
            </w:pPr>
            <w:r w:rsidRPr="002B55E9">
              <w:rPr>
                <w:rFonts w:eastAsia="宋体" w:hint="eastAsia"/>
              </w:rPr>
              <w:t>12</w:t>
            </w:r>
          </w:p>
        </w:tc>
        <w:tc>
          <w:tcPr>
            <w:tcW w:w="1413" w:type="dxa"/>
            <w:noWrap/>
          </w:tcPr>
          <w:p w14:paraId="5C63371B" w14:textId="77777777" w:rsidR="00D170E5" w:rsidRPr="002B55E9" w:rsidRDefault="00EF27AD">
            <w:pPr>
              <w:pStyle w:val="lgy-"/>
            </w:pPr>
            <w:r w:rsidRPr="002B55E9">
              <w:rPr>
                <w:rFonts w:eastAsia="宋体" w:hint="eastAsia"/>
              </w:rPr>
              <w:t>好氧池</w:t>
            </w:r>
            <w:r w:rsidRPr="002B55E9">
              <w:rPr>
                <w:rFonts w:eastAsia="宋体" w:hint="eastAsia"/>
              </w:rPr>
              <w:t xml:space="preserve"> </w:t>
            </w:r>
          </w:p>
        </w:tc>
        <w:tc>
          <w:tcPr>
            <w:tcW w:w="2384" w:type="dxa"/>
            <w:noWrap/>
          </w:tcPr>
          <w:p w14:paraId="6545FF37" w14:textId="7F5897FD" w:rsidR="00D170E5" w:rsidRPr="002B55E9" w:rsidRDefault="00D170E5">
            <w:pPr>
              <w:pStyle w:val="lgy-"/>
            </w:pPr>
          </w:p>
        </w:tc>
        <w:tc>
          <w:tcPr>
            <w:tcW w:w="1418" w:type="dxa"/>
            <w:noWrap/>
          </w:tcPr>
          <w:p w14:paraId="495CDD36" w14:textId="04CBC9E9" w:rsidR="00D170E5" w:rsidRPr="002B55E9" w:rsidRDefault="00D170E5">
            <w:pPr>
              <w:pStyle w:val="lgy-"/>
            </w:pPr>
          </w:p>
        </w:tc>
        <w:tc>
          <w:tcPr>
            <w:tcW w:w="567" w:type="dxa"/>
            <w:noWrap/>
          </w:tcPr>
          <w:p w14:paraId="0A9F409B" w14:textId="190DB302" w:rsidR="00D170E5" w:rsidRPr="002B55E9" w:rsidRDefault="00D170E5">
            <w:pPr>
              <w:pStyle w:val="lgy-"/>
            </w:pPr>
          </w:p>
        </w:tc>
        <w:tc>
          <w:tcPr>
            <w:tcW w:w="1559" w:type="dxa"/>
            <w:noWrap/>
          </w:tcPr>
          <w:p w14:paraId="1A7E2193" w14:textId="3D991284" w:rsidR="00D170E5" w:rsidRPr="002B55E9" w:rsidRDefault="00D170E5">
            <w:pPr>
              <w:pStyle w:val="lgy-"/>
            </w:pPr>
          </w:p>
        </w:tc>
        <w:tc>
          <w:tcPr>
            <w:tcW w:w="1557" w:type="dxa"/>
            <w:noWrap/>
          </w:tcPr>
          <w:p w14:paraId="73DABEC5" w14:textId="77777777" w:rsidR="00D170E5" w:rsidRPr="002B55E9" w:rsidRDefault="00EF27AD">
            <w:pPr>
              <w:pStyle w:val="lgy-"/>
              <w:rPr>
                <w:rFonts w:eastAsia="宋体"/>
              </w:rPr>
            </w:pPr>
            <w:r w:rsidRPr="002B55E9">
              <w:rPr>
                <w:rFonts w:eastAsia="宋体" w:hint="eastAsia"/>
              </w:rPr>
              <w:t>敞开</w:t>
            </w:r>
            <w:r w:rsidRPr="002B55E9">
              <w:rPr>
                <w:rFonts w:eastAsia="宋体" w:hint="eastAsia"/>
              </w:rPr>
              <w:t xml:space="preserve"> </w:t>
            </w:r>
          </w:p>
        </w:tc>
      </w:tr>
      <w:tr w:rsidR="00C60999" w:rsidRPr="002B55E9" w14:paraId="1604B158" w14:textId="77777777" w:rsidTr="00712630">
        <w:trPr>
          <w:trHeight w:val="283"/>
        </w:trPr>
        <w:tc>
          <w:tcPr>
            <w:tcW w:w="739" w:type="dxa"/>
            <w:noWrap/>
          </w:tcPr>
          <w:p w14:paraId="7D7D179F" w14:textId="77777777" w:rsidR="00D170E5" w:rsidRPr="002B55E9" w:rsidRDefault="00EF27AD">
            <w:pPr>
              <w:pStyle w:val="lgy-"/>
            </w:pPr>
            <w:r w:rsidRPr="002B55E9">
              <w:rPr>
                <w:rFonts w:eastAsia="宋体" w:hint="eastAsia"/>
              </w:rPr>
              <w:t>13</w:t>
            </w:r>
          </w:p>
        </w:tc>
        <w:tc>
          <w:tcPr>
            <w:tcW w:w="1413" w:type="dxa"/>
            <w:noWrap/>
          </w:tcPr>
          <w:p w14:paraId="43002D64" w14:textId="77777777" w:rsidR="00D170E5" w:rsidRPr="002B55E9" w:rsidRDefault="00EF27AD">
            <w:pPr>
              <w:pStyle w:val="lgy-"/>
            </w:pPr>
            <w:r w:rsidRPr="002B55E9">
              <w:rPr>
                <w:rFonts w:eastAsia="宋体" w:hint="eastAsia"/>
              </w:rPr>
              <w:t>二沉池</w:t>
            </w:r>
            <w:r w:rsidRPr="002B55E9">
              <w:rPr>
                <w:rFonts w:eastAsia="宋体" w:hint="eastAsia"/>
              </w:rPr>
              <w:t xml:space="preserve"> </w:t>
            </w:r>
          </w:p>
        </w:tc>
        <w:tc>
          <w:tcPr>
            <w:tcW w:w="2384" w:type="dxa"/>
            <w:noWrap/>
          </w:tcPr>
          <w:p w14:paraId="78DA2E44" w14:textId="1CA10E32" w:rsidR="00D170E5" w:rsidRPr="002B55E9" w:rsidRDefault="00D170E5">
            <w:pPr>
              <w:pStyle w:val="lgy-"/>
            </w:pPr>
          </w:p>
        </w:tc>
        <w:tc>
          <w:tcPr>
            <w:tcW w:w="1418" w:type="dxa"/>
            <w:noWrap/>
          </w:tcPr>
          <w:p w14:paraId="652DD7D8" w14:textId="69AA4E3B" w:rsidR="00D170E5" w:rsidRPr="002B55E9" w:rsidRDefault="00D170E5">
            <w:pPr>
              <w:pStyle w:val="lgy-"/>
            </w:pPr>
          </w:p>
        </w:tc>
        <w:tc>
          <w:tcPr>
            <w:tcW w:w="567" w:type="dxa"/>
            <w:noWrap/>
          </w:tcPr>
          <w:p w14:paraId="2ABE5E19" w14:textId="458824DF" w:rsidR="00D170E5" w:rsidRPr="002B55E9" w:rsidRDefault="00D170E5">
            <w:pPr>
              <w:pStyle w:val="lgy-"/>
            </w:pPr>
          </w:p>
        </w:tc>
        <w:tc>
          <w:tcPr>
            <w:tcW w:w="1559" w:type="dxa"/>
            <w:noWrap/>
          </w:tcPr>
          <w:p w14:paraId="642CBCBF" w14:textId="12FB4705" w:rsidR="00D170E5" w:rsidRPr="002B55E9" w:rsidRDefault="00D170E5">
            <w:pPr>
              <w:pStyle w:val="lgy-"/>
            </w:pPr>
          </w:p>
        </w:tc>
        <w:tc>
          <w:tcPr>
            <w:tcW w:w="1557" w:type="dxa"/>
            <w:noWrap/>
          </w:tcPr>
          <w:p w14:paraId="2351D929" w14:textId="77777777" w:rsidR="00D170E5" w:rsidRPr="002B55E9" w:rsidRDefault="00EF27AD">
            <w:pPr>
              <w:pStyle w:val="lgy-"/>
              <w:rPr>
                <w:rFonts w:eastAsia="宋体"/>
              </w:rPr>
            </w:pPr>
            <w:r w:rsidRPr="002B55E9">
              <w:rPr>
                <w:rFonts w:eastAsia="宋体" w:hint="eastAsia"/>
              </w:rPr>
              <w:t>敞开</w:t>
            </w:r>
            <w:r w:rsidRPr="002B55E9">
              <w:rPr>
                <w:rFonts w:eastAsia="宋体" w:hint="eastAsia"/>
              </w:rPr>
              <w:t xml:space="preserve"> </w:t>
            </w:r>
          </w:p>
        </w:tc>
      </w:tr>
      <w:tr w:rsidR="00C60999" w:rsidRPr="002B55E9" w14:paraId="0B868875" w14:textId="77777777" w:rsidTr="00712630">
        <w:trPr>
          <w:trHeight w:val="283"/>
        </w:trPr>
        <w:tc>
          <w:tcPr>
            <w:tcW w:w="739" w:type="dxa"/>
            <w:noWrap/>
          </w:tcPr>
          <w:p w14:paraId="4D144054" w14:textId="77777777" w:rsidR="00D170E5" w:rsidRPr="002B55E9" w:rsidRDefault="00EF27AD">
            <w:pPr>
              <w:pStyle w:val="lgy-"/>
            </w:pPr>
            <w:r w:rsidRPr="002B55E9">
              <w:rPr>
                <w:rFonts w:eastAsia="宋体" w:hint="eastAsia"/>
              </w:rPr>
              <w:t>14</w:t>
            </w:r>
          </w:p>
        </w:tc>
        <w:tc>
          <w:tcPr>
            <w:tcW w:w="1413" w:type="dxa"/>
            <w:noWrap/>
          </w:tcPr>
          <w:p w14:paraId="1CF4BBAC" w14:textId="77777777" w:rsidR="00D170E5" w:rsidRPr="002B55E9" w:rsidRDefault="00EF27AD">
            <w:pPr>
              <w:pStyle w:val="lgy-"/>
            </w:pPr>
            <w:r w:rsidRPr="002B55E9">
              <w:rPr>
                <w:rFonts w:eastAsia="宋体" w:hint="eastAsia"/>
              </w:rPr>
              <w:t>集水池泵房</w:t>
            </w:r>
            <w:r w:rsidRPr="002B55E9">
              <w:rPr>
                <w:rFonts w:eastAsia="宋体" w:hint="eastAsia"/>
              </w:rPr>
              <w:t xml:space="preserve"> </w:t>
            </w:r>
          </w:p>
        </w:tc>
        <w:tc>
          <w:tcPr>
            <w:tcW w:w="2384" w:type="dxa"/>
            <w:noWrap/>
          </w:tcPr>
          <w:p w14:paraId="73D07133" w14:textId="4CE053A5" w:rsidR="00D170E5" w:rsidRPr="002B55E9" w:rsidRDefault="00D170E5">
            <w:pPr>
              <w:pStyle w:val="lgy-"/>
            </w:pPr>
          </w:p>
        </w:tc>
        <w:tc>
          <w:tcPr>
            <w:tcW w:w="1418" w:type="dxa"/>
            <w:noWrap/>
          </w:tcPr>
          <w:p w14:paraId="1E93A8D1" w14:textId="54F5D00F" w:rsidR="00D170E5" w:rsidRPr="002B55E9" w:rsidRDefault="00D170E5">
            <w:pPr>
              <w:pStyle w:val="lgy-"/>
            </w:pPr>
          </w:p>
        </w:tc>
        <w:tc>
          <w:tcPr>
            <w:tcW w:w="567" w:type="dxa"/>
            <w:noWrap/>
          </w:tcPr>
          <w:p w14:paraId="21C013FF" w14:textId="753BB799" w:rsidR="00D170E5" w:rsidRPr="002B55E9" w:rsidRDefault="00D170E5">
            <w:pPr>
              <w:pStyle w:val="lgy-"/>
            </w:pPr>
          </w:p>
        </w:tc>
        <w:tc>
          <w:tcPr>
            <w:tcW w:w="1559" w:type="dxa"/>
            <w:noWrap/>
          </w:tcPr>
          <w:p w14:paraId="60CBEEB5" w14:textId="0EFF54DB" w:rsidR="00D170E5" w:rsidRPr="002B55E9" w:rsidRDefault="00D170E5">
            <w:pPr>
              <w:pStyle w:val="lgy-"/>
            </w:pPr>
          </w:p>
        </w:tc>
        <w:tc>
          <w:tcPr>
            <w:tcW w:w="1557" w:type="dxa"/>
            <w:noWrap/>
          </w:tcPr>
          <w:p w14:paraId="0A918420" w14:textId="77777777" w:rsidR="00D170E5" w:rsidRPr="002B55E9" w:rsidRDefault="00EF27AD">
            <w:pPr>
              <w:pStyle w:val="lgy-"/>
              <w:rPr>
                <w:rFonts w:eastAsia="宋体"/>
              </w:rPr>
            </w:pPr>
            <w:r w:rsidRPr="002B55E9">
              <w:rPr>
                <w:rFonts w:eastAsia="宋体" w:hint="eastAsia"/>
              </w:rPr>
              <w:t>在集水池上方</w:t>
            </w:r>
            <w:r w:rsidRPr="002B55E9">
              <w:rPr>
                <w:rFonts w:eastAsia="宋体" w:hint="eastAsia"/>
              </w:rPr>
              <w:t xml:space="preserve"> </w:t>
            </w:r>
          </w:p>
        </w:tc>
      </w:tr>
      <w:tr w:rsidR="00C60999" w:rsidRPr="002B55E9" w14:paraId="682CEC28" w14:textId="77777777" w:rsidTr="00712630">
        <w:trPr>
          <w:trHeight w:val="283"/>
        </w:trPr>
        <w:tc>
          <w:tcPr>
            <w:tcW w:w="739" w:type="dxa"/>
            <w:noWrap/>
          </w:tcPr>
          <w:p w14:paraId="432DB942" w14:textId="77777777" w:rsidR="00D170E5" w:rsidRPr="002B55E9" w:rsidRDefault="00EF27AD">
            <w:pPr>
              <w:pStyle w:val="lgy-"/>
            </w:pPr>
            <w:r w:rsidRPr="002B55E9">
              <w:rPr>
                <w:rFonts w:eastAsia="宋体" w:hint="eastAsia"/>
              </w:rPr>
              <w:t>15</w:t>
            </w:r>
          </w:p>
        </w:tc>
        <w:tc>
          <w:tcPr>
            <w:tcW w:w="1413" w:type="dxa"/>
            <w:noWrap/>
          </w:tcPr>
          <w:p w14:paraId="4C290120" w14:textId="77777777" w:rsidR="00D170E5" w:rsidRPr="002B55E9" w:rsidRDefault="00EF27AD">
            <w:pPr>
              <w:pStyle w:val="lgy-"/>
            </w:pPr>
            <w:r w:rsidRPr="002B55E9">
              <w:rPr>
                <w:rFonts w:eastAsia="宋体" w:hint="eastAsia"/>
              </w:rPr>
              <w:t>风机房</w:t>
            </w:r>
            <w:r w:rsidRPr="002B55E9">
              <w:rPr>
                <w:rFonts w:eastAsia="宋体" w:hint="eastAsia"/>
              </w:rPr>
              <w:t xml:space="preserve"> </w:t>
            </w:r>
          </w:p>
        </w:tc>
        <w:tc>
          <w:tcPr>
            <w:tcW w:w="2384" w:type="dxa"/>
            <w:noWrap/>
          </w:tcPr>
          <w:p w14:paraId="5C1D14E5" w14:textId="74671B2A" w:rsidR="00D170E5" w:rsidRPr="002B55E9" w:rsidRDefault="00D170E5">
            <w:pPr>
              <w:pStyle w:val="lgy-"/>
            </w:pPr>
          </w:p>
        </w:tc>
        <w:tc>
          <w:tcPr>
            <w:tcW w:w="1418" w:type="dxa"/>
            <w:noWrap/>
          </w:tcPr>
          <w:p w14:paraId="62B78116" w14:textId="328A10A5" w:rsidR="00D170E5" w:rsidRPr="002B55E9" w:rsidRDefault="00D170E5">
            <w:pPr>
              <w:pStyle w:val="lgy-"/>
            </w:pPr>
          </w:p>
        </w:tc>
        <w:tc>
          <w:tcPr>
            <w:tcW w:w="567" w:type="dxa"/>
            <w:noWrap/>
          </w:tcPr>
          <w:p w14:paraId="34E01869" w14:textId="75AD637A" w:rsidR="00D170E5" w:rsidRPr="002B55E9" w:rsidRDefault="00D170E5">
            <w:pPr>
              <w:pStyle w:val="lgy-"/>
            </w:pPr>
          </w:p>
        </w:tc>
        <w:tc>
          <w:tcPr>
            <w:tcW w:w="1559" w:type="dxa"/>
            <w:noWrap/>
          </w:tcPr>
          <w:p w14:paraId="141551CF" w14:textId="17CE41D9" w:rsidR="00D170E5" w:rsidRPr="002B55E9" w:rsidRDefault="00D170E5">
            <w:pPr>
              <w:pStyle w:val="lgy-"/>
            </w:pPr>
          </w:p>
        </w:tc>
        <w:tc>
          <w:tcPr>
            <w:tcW w:w="1557" w:type="dxa"/>
            <w:noWrap/>
          </w:tcPr>
          <w:p w14:paraId="10F027A0" w14:textId="77777777" w:rsidR="00D170E5" w:rsidRPr="002B55E9" w:rsidRDefault="00EF27AD">
            <w:pPr>
              <w:pStyle w:val="lgy-"/>
              <w:rPr>
                <w:rFonts w:eastAsia="宋体"/>
              </w:rPr>
            </w:pPr>
            <w:r w:rsidRPr="002B55E9">
              <w:rPr>
                <w:rFonts w:eastAsia="宋体" w:hint="eastAsia"/>
              </w:rPr>
              <w:t>含危废间和泵房</w:t>
            </w:r>
            <w:r w:rsidRPr="002B55E9">
              <w:rPr>
                <w:rFonts w:eastAsia="宋体" w:hint="eastAsia"/>
              </w:rPr>
              <w:t xml:space="preserve"> </w:t>
            </w:r>
          </w:p>
        </w:tc>
      </w:tr>
      <w:tr w:rsidR="00C60999" w:rsidRPr="002B55E9" w14:paraId="13413683" w14:textId="77777777" w:rsidTr="00712630">
        <w:trPr>
          <w:trHeight w:val="283"/>
        </w:trPr>
        <w:tc>
          <w:tcPr>
            <w:tcW w:w="739" w:type="dxa"/>
            <w:noWrap/>
          </w:tcPr>
          <w:p w14:paraId="1E6C9BDE" w14:textId="77777777" w:rsidR="00D170E5" w:rsidRPr="002B55E9" w:rsidRDefault="00EF27AD">
            <w:pPr>
              <w:pStyle w:val="lgy-"/>
            </w:pPr>
            <w:r w:rsidRPr="002B55E9">
              <w:rPr>
                <w:rFonts w:eastAsia="宋体" w:hint="eastAsia"/>
              </w:rPr>
              <w:t>16</w:t>
            </w:r>
          </w:p>
        </w:tc>
        <w:tc>
          <w:tcPr>
            <w:tcW w:w="1413" w:type="dxa"/>
            <w:noWrap/>
          </w:tcPr>
          <w:p w14:paraId="47A44540" w14:textId="77777777" w:rsidR="00D170E5" w:rsidRPr="002B55E9" w:rsidRDefault="00EF27AD">
            <w:pPr>
              <w:pStyle w:val="lgy-"/>
            </w:pPr>
            <w:r w:rsidRPr="002B55E9">
              <w:rPr>
                <w:rFonts w:eastAsia="宋体" w:hint="eastAsia"/>
              </w:rPr>
              <w:t>污泥脱水间（二层）</w:t>
            </w:r>
            <w:r w:rsidRPr="002B55E9">
              <w:rPr>
                <w:rFonts w:eastAsia="宋体" w:hint="eastAsia"/>
              </w:rPr>
              <w:t xml:space="preserve"> </w:t>
            </w:r>
          </w:p>
        </w:tc>
        <w:tc>
          <w:tcPr>
            <w:tcW w:w="2384" w:type="dxa"/>
            <w:noWrap/>
          </w:tcPr>
          <w:p w14:paraId="04018B89" w14:textId="5EC0E557" w:rsidR="00D170E5" w:rsidRPr="002B55E9" w:rsidRDefault="00D170E5">
            <w:pPr>
              <w:pStyle w:val="lgy-"/>
            </w:pPr>
          </w:p>
        </w:tc>
        <w:tc>
          <w:tcPr>
            <w:tcW w:w="1418" w:type="dxa"/>
            <w:noWrap/>
          </w:tcPr>
          <w:p w14:paraId="4A52ADBB" w14:textId="292B2DB2" w:rsidR="00D170E5" w:rsidRPr="002B55E9" w:rsidRDefault="00D170E5">
            <w:pPr>
              <w:pStyle w:val="lgy-"/>
            </w:pPr>
          </w:p>
        </w:tc>
        <w:tc>
          <w:tcPr>
            <w:tcW w:w="567" w:type="dxa"/>
            <w:noWrap/>
          </w:tcPr>
          <w:p w14:paraId="60DFCA28" w14:textId="7884DF80" w:rsidR="00D170E5" w:rsidRPr="002B55E9" w:rsidRDefault="00D170E5">
            <w:pPr>
              <w:pStyle w:val="lgy-"/>
            </w:pPr>
          </w:p>
        </w:tc>
        <w:tc>
          <w:tcPr>
            <w:tcW w:w="1559" w:type="dxa"/>
            <w:noWrap/>
          </w:tcPr>
          <w:p w14:paraId="045B379A" w14:textId="1C7F298A" w:rsidR="00D170E5" w:rsidRPr="002B55E9" w:rsidRDefault="00D170E5">
            <w:pPr>
              <w:pStyle w:val="lgy-"/>
            </w:pPr>
          </w:p>
        </w:tc>
        <w:tc>
          <w:tcPr>
            <w:tcW w:w="1557" w:type="dxa"/>
            <w:noWrap/>
          </w:tcPr>
          <w:p w14:paraId="3A70C4F8" w14:textId="77777777" w:rsidR="00D170E5" w:rsidRPr="002B55E9" w:rsidRDefault="00EF27AD">
            <w:pPr>
              <w:pStyle w:val="lgy-"/>
              <w:rPr>
                <w:rFonts w:eastAsia="宋体"/>
              </w:rPr>
            </w:pPr>
            <w:r w:rsidRPr="002B55E9">
              <w:rPr>
                <w:rFonts w:eastAsia="宋体" w:hint="eastAsia"/>
              </w:rPr>
              <w:t>含药剂房、维修房、配电房、化验室、办公室</w:t>
            </w:r>
          </w:p>
        </w:tc>
      </w:tr>
    </w:tbl>
    <w:p w14:paraId="47D4FFF4" w14:textId="77777777" w:rsidR="00D170E5" w:rsidRPr="002B55E9" w:rsidRDefault="00EF27AD">
      <w:pPr>
        <w:adjustRightInd w:val="0"/>
        <w:snapToGrid w:val="0"/>
        <w:spacing w:line="360" w:lineRule="auto"/>
        <w:ind w:firstLineChars="200" w:firstLine="480"/>
        <w:rPr>
          <w:sz w:val="24"/>
        </w:rPr>
      </w:pPr>
      <w:r w:rsidRPr="002B55E9">
        <w:rPr>
          <w:rFonts w:hint="eastAsia"/>
          <w:sz w:val="24"/>
        </w:rPr>
        <w:t>废水经过输送管道进入集水池，经格栅除去较大颗粒的杂质后进入调节池，调节池用于调节污水的水质水量。调节池的污水经水泵提升后进入絮凝混凝</w:t>
      </w:r>
      <w:r w:rsidRPr="002B55E9">
        <w:rPr>
          <w:sz w:val="24"/>
        </w:rPr>
        <w:t>中和池</w:t>
      </w:r>
      <w:r w:rsidRPr="002B55E9">
        <w:rPr>
          <w:rFonts w:hint="eastAsia"/>
          <w:sz w:val="24"/>
        </w:rPr>
        <w:t>，通过</w:t>
      </w:r>
      <w:r w:rsidRPr="002B55E9">
        <w:rPr>
          <w:sz w:val="24"/>
        </w:rPr>
        <w:t>絮凝混凝</w:t>
      </w:r>
      <w:r w:rsidRPr="002B55E9">
        <w:rPr>
          <w:rFonts w:hint="eastAsia"/>
          <w:sz w:val="24"/>
        </w:rPr>
        <w:t>使</w:t>
      </w:r>
      <w:r w:rsidRPr="002B55E9">
        <w:rPr>
          <w:sz w:val="24"/>
        </w:rPr>
        <w:t>废水中部分悬浮物沉淀，</w:t>
      </w:r>
      <w:r w:rsidRPr="002B55E9">
        <w:rPr>
          <w:rFonts w:hint="eastAsia"/>
          <w:sz w:val="24"/>
        </w:rPr>
        <w:t>沉淀</w:t>
      </w:r>
      <w:r w:rsidRPr="002B55E9">
        <w:rPr>
          <w:sz w:val="24"/>
        </w:rPr>
        <w:t>后的废水进入</w:t>
      </w:r>
      <w:r w:rsidRPr="002B55E9">
        <w:rPr>
          <w:rFonts w:hint="eastAsia"/>
          <w:sz w:val="24"/>
        </w:rPr>
        <w:t>厌氧池</w:t>
      </w:r>
      <w:r w:rsidRPr="002B55E9">
        <w:rPr>
          <w:rFonts w:hint="eastAsia"/>
          <w:sz w:val="24"/>
        </w:rPr>
        <w:t>-</w:t>
      </w:r>
      <w:r w:rsidRPr="002B55E9">
        <w:rPr>
          <w:rFonts w:hint="eastAsia"/>
          <w:sz w:val="24"/>
        </w:rPr>
        <w:t>缺氧池</w:t>
      </w:r>
      <w:r w:rsidRPr="002B55E9">
        <w:rPr>
          <w:rFonts w:hint="eastAsia"/>
          <w:sz w:val="24"/>
        </w:rPr>
        <w:t>-</w:t>
      </w:r>
      <w:r w:rsidRPr="002B55E9">
        <w:rPr>
          <w:rFonts w:hint="eastAsia"/>
          <w:sz w:val="24"/>
        </w:rPr>
        <w:t>好氧池</w:t>
      </w:r>
      <w:r w:rsidRPr="002B55E9">
        <w:rPr>
          <w:sz w:val="24"/>
        </w:rPr>
        <w:t>进行处理</w:t>
      </w:r>
      <w:r w:rsidRPr="002B55E9">
        <w:rPr>
          <w:rFonts w:hint="eastAsia"/>
          <w:sz w:val="24"/>
        </w:rPr>
        <w:t>，好氧池</w:t>
      </w:r>
      <w:r w:rsidRPr="002B55E9">
        <w:rPr>
          <w:sz w:val="24"/>
        </w:rPr>
        <w:t>出水进入二沉池进行泥水分离，</w:t>
      </w:r>
      <w:r w:rsidRPr="002B55E9">
        <w:rPr>
          <w:rFonts w:hint="eastAsia"/>
          <w:sz w:val="24"/>
        </w:rPr>
        <w:t>出水</w:t>
      </w:r>
      <w:r w:rsidRPr="002B55E9">
        <w:rPr>
          <w:sz w:val="24"/>
        </w:rPr>
        <w:t>经</w:t>
      </w:r>
      <w:r w:rsidRPr="002B55E9">
        <w:rPr>
          <w:rFonts w:hint="eastAsia"/>
          <w:sz w:val="24"/>
        </w:rPr>
        <w:t>脱色</w:t>
      </w:r>
      <w:r w:rsidRPr="002B55E9">
        <w:rPr>
          <w:sz w:val="24"/>
        </w:rPr>
        <w:t>池处理后即可达标排放，污泥自流进入污泥池，</w:t>
      </w:r>
      <w:r w:rsidRPr="002B55E9">
        <w:rPr>
          <w:rFonts w:hint="eastAsia"/>
          <w:sz w:val="24"/>
        </w:rPr>
        <w:t>由</w:t>
      </w:r>
      <w:r w:rsidRPr="002B55E9">
        <w:rPr>
          <w:sz w:val="24"/>
        </w:rPr>
        <w:t>污泥脱</w:t>
      </w:r>
      <w:r w:rsidRPr="002B55E9">
        <w:rPr>
          <w:sz w:val="24"/>
        </w:rPr>
        <w:lastRenderedPageBreak/>
        <w:t>水机进行脱水处理。</w:t>
      </w:r>
    </w:p>
    <w:p w14:paraId="516C0E9A" w14:textId="77777777" w:rsidR="00D170E5" w:rsidRPr="002B55E9" w:rsidRDefault="00EF27AD">
      <w:pPr>
        <w:adjustRightInd w:val="0"/>
        <w:snapToGrid w:val="0"/>
        <w:spacing w:line="360" w:lineRule="auto"/>
        <w:ind w:firstLineChars="200" w:firstLine="480"/>
        <w:rPr>
          <w:sz w:val="24"/>
        </w:rPr>
      </w:pPr>
      <w:r w:rsidRPr="002B55E9">
        <w:rPr>
          <w:rFonts w:hint="eastAsia"/>
          <w:sz w:val="24"/>
        </w:rPr>
        <w:t>根据《排污许可证申请</w:t>
      </w:r>
      <w:r w:rsidRPr="002B55E9">
        <w:rPr>
          <w:sz w:val="24"/>
        </w:rPr>
        <w:t>与</w:t>
      </w:r>
      <w:r w:rsidRPr="002B55E9">
        <w:rPr>
          <w:rFonts w:hint="eastAsia"/>
          <w:sz w:val="24"/>
        </w:rPr>
        <w:t>核发技术规范</w:t>
      </w:r>
      <w:r w:rsidRPr="002B55E9">
        <w:rPr>
          <w:rFonts w:hint="eastAsia"/>
          <w:sz w:val="24"/>
        </w:rPr>
        <w:t xml:space="preserve"> </w:t>
      </w:r>
      <w:r w:rsidRPr="002B55E9">
        <w:rPr>
          <w:rFonts w:hint="eastAsia"/>
          <w:sz w:val="24"/>
        </w:rPr>
        <w:t>食品</w:t>
      </w:r>
      <w:r w:rsidRPr="002B55E9">
        <w:rPr>
          <w:sz w:val="24"/>
        </w:rPr>
        <w:t>制造工业</w:t>
      </w:r>
      <w:r w:rsidRPr="002B55E9">
        <w:rPr>
          <w:rFonts w:hint="eastAsia"/>
          <w:sz w:val="24"/>
        </w:rPr>
        <w:t>-</w:t>
      </w:r>
      <w:r w:rsidRPr="002B55E9">
        <w:rPr>
          <w:rFonts w:hint="eastAsia"/>
          <w:sz w:val="24"/>
        </w:rPr>
        <w:t>调味品、</w:t>
      </w:r>
      <w:r w:rsidRPr="002B55E9">
        <w:rPr>
          <w:sz w:val="24"/>
        </w:rPr>
        <w:t>发酵制品制造</w:t>
      </w:r>
      <w:r w:rsidRPr="002B55E9">
        <w:rPr>
          <w:rFonts w:hint="eastAsia"/>
          <w:sz w:val="24"/>
        </w:rPr>
        <w:t>业》（</w:t>
      </w:r>
      <w:r w:rsidRPr="002B55E9">
        <w:rPr>
          <w:rFonts w:hint="eastAsia"/>
          <w:sz w:val="24"/>
        </w:rPr>
        <w:t>HJ1030.2-2019</w:t>
      </w:r>
      <w:r w:rsidRPr="002B55E9">
        <w:rPr>
          <w:rFonts w:hint="eastAsia"/>
          <w:sz w:val="24"/>
        </w:rPr>
        <w:t>），项目依托的</w:t>
      </w:r>
      <w:r w:rsidRPr="002B55E9">
        <w:rPr>
          <w:sz w:val="24"/>
        </w:rPr>
        <w:t>污水处理站工艺为可行性技术</w:t>
      </w:r>
      <w:r w:rsidRPr="002B55E9">
        <w:rPr>
          <w:rFonts w:hint="eastAsia"/>
          <w:sz w:val="24"/>
        </w:rPr>
        <w:t>。</w:t>
      </w:r>
    </w:p>
    <w:p w14:paraId="3240465A" w14:textId="5E6E89ED" w:rsidR="00AC0B60" w:rsidRPr="002B55E9" w:rsidRDefault="00EF27AD" w:rsidP="00AC0B60">
      <w:pPr>
        <w:adjustRightInd w:val="0"/>
        <w:snapToGrid w:val="0"/>
        <w:spacing w:line="360" w:lineRule="auto"/>
        <w:ind w:firstLineChars="200" w:firstLine="480"/>
      </w:pPr>
      <w:r w:rsidRPr="002B55E9">
        <w:rPr>
          <w:rFonts w:hint="eastAsia"/>
          <w:sz w:val="24"/>
        </w:rPr>
        <w:t>根据</w:t>
      </w:r>
      <w:r w:rsidRPr="002B55E9">
        <w:rPr>
          <w:sz w:val="24"/>
        </w:rPr>
        <w:t>《</w:t>
      </w:r>
      <w:r w:rsidRPr="002B55E9">
        <w:rPr>
          <w:rFonts w:hint="eastAsia"/>
          <w:sz w:val="24"/>
        </w:rPr>
        <w:t>厌氧</w:t>
      </w:r>
      <w:r w:rsidRPr="002B55E9">
        <w:rPr>
          <w:rFonts w:hint="eastAsia"/>
          <w:sz w:val="24"/>
        </w:rPr>
        <w:t>-</w:t>
      </w:r>
      <w:r w:rsidRPr="002B55E9">
        <w:rPr>
          <w:rFonts w:hint="eastAsia"/>
          <w:sz w:val="24"/>
        </w:rPr>
        <w:t>缺氧</w:t>
      </w:r>
      <w:r w:rsidRPr="002B55E9">
        <w:rPr>
          <w:rFonts w:hint="eastAsia"/>
          <w:sz w:val="24"/>
        </w:rPr>
        <w:t>-</w:t>
      </w:r>
      <w:r w:rsidRPr="002B55E9">
        <w:rPr>
          <w:rFonts w:hint="eastAsia"/>
          <w:sz w:val="24"/>
        </w:rPr>
        <w:t>好氧活性污泥</w:t>
      </w:r>
      <w:r w:rsidRPr="002B55E9">
        <w:rPr>
          <w:sz w:val="24"/>
        </w:rPr>
        <w:t>法</w:t>
      </w:r>
      <w:r w:rsidRPr="002B55E9">
        <w:rPr>
          <w:rFonts w:hint="eastAsia"/>
          <w:sz w:val="24"/>
        </w:rPr>
        <w:t xml:space="preserve"> </w:t>
      </w:r>
      <w:r w:rsidRPr="002B55E9">
        <w:rPr>
          <w:sz w:val="24"/>
        </w:rPr>
        <w:t>污水处理</w:t>
      </w:r>
      <w:r w:rsidRPr="002B55E9">
        <w:rPr>
          <w:rFonts w:hint="eastAsia"/>
          <w:sz w:val="24"/>
        </w:rPr>
        <w:t>工程</w:t>
      </w:r>
      <w:r w:rsidRPr="002B55E9">
        <w:rPr>
          <w:sz w:val="24"/>
        </w:rPr>
        <w:t>技术规范》</w:t>
      </w:r>
      <w:r w:rsidRPr="002B55E9">
        <w:rPr>
          <w:rFonts w:hint="eastAsia"/>
          <w:sz w:val="24"/>
        </w:rPr>
        <w:t>（</w:t>
      </w:r>
      <w:r w:rsidRPr="002B55E9">
        <w:rPr>
          <w:rFonts w:hint="eastAsia"/>
          <w:sz w:val="24"/>
        </w:rPr>
        <w:t>HJ576-2010</w:t>
      </w:r>
      <w:r w:rsidRPr="002B55E9">
        <w:rPr>
          <w:rFonts w:hint="eastAsia"/>
          <w:sz w:val="24"/>
        </w:rPr>
        <w:t>），“前处理</w:t>
      </w:r>
      <w:r w:rsidRPr="002B55E9">
        <w:rPr>
          <w:rFonts w:hint="eastAsia"/>
          <w:sz w:val="24"/>
        </w:rPr>
        <w:t>+</w:t>
      </w:r>
      <w:r w:rsidRPr="002B55E9">
        <w:rPr>
          <w:rFonts w:hint="eastAsia"/>
          <w:sz w:val="24"/>
        </w:rPr>
        <w:t>厌氧</w:t>
      </w:r>
      <w:r w:rsidRPr="002B55E9">
        <w:rPr>
          <w:rFonts w:hint="eastAsia"/>
          <w:sz w:val="24"/>
        </w:rPr>
        <w:t>+</w:t>
      </w:r>
      <w:r w:rsidRPr="002B55E9">
        <w:rPr>
          <w:rFonts w:hint="eastAsia"/>
          <w:sz w:val="24"/>
        </w:rPr>
        <w:t>缺氧</w:t>
      </w:r>
      <w:r w:rsidRPr="002B55E9">
        <w:rPr>
          <w:rFonts w:hint="eastAsia"/>
          <w:sz w:val="24"/>
        </w:rPr>
        <w:t>+</w:t>
      </w:r>
      <w:r w:rsidRPr="002B55E9">
        <w:rPr>
          <w:rFonts w:hint="eastAsia"/>
          <w:sz w:val="24"/>
        </w:rPr>
        <w:t>好氧</w:t>
      </w:r>
      <w:r w:rsidRPr="002B55E9">
        <w:rPr>
          <w:rFonts w:hint="eastAsia"/>
          <w:sz w:val="24"/>
        </w:rPr>
        <w:t>+</w:t>
      </w:r>
      <w:r w:rsidRPr="002B55E9">
        <w:rPr>
          <w:rFonts w:hint="eastAsia"/>
          <w:sz w:val="24"/>
        </w:rPr>
        <w:t>二沉”污水</w:t>
      </w:r>
      <w:r w:rsidRPr="002B55E9">
        <w:rPr>
          <w:sz w:val="24"/>
        </w:rPr>
        <w:t>处理工艺</w:t>
      </w:r>
      <w:r w:rsidRPr="002B55E9">
        <w:rPr>
          <w:rFonts w:hint="eastAsia"/>
          <w:sz w:val="24"/>
        </w:rPr>
        <w:t>BOD</w:t>
      </w:r>
      <w:r w:rsidRPr="002B55E9">
        <w:rPr>
          <w:sz w:val="24"/>
          <w:vertAlign w:val="subscript"/>
        </w:rPr>
        <w:t>5</w:t>
      </w:r>
      <w:r w:rsidRPr="002B55E9">
        <w:rPr>
          <w:rFonts w:hint="eastAsia"/>
          <w:sz w:val="24"/>
        </w:rPr>
        <w:t>总</w:t>
      </w:r>
      <w:r w:rsidRPr="002B55E9">
        <w:rPr>
          <w:sz w:val="24"/>
        </w:rPr>
        <w:t>处理效率为</w:t>
      </w:r>
      <w:r w:rsidRPr="002B55E9">
        <w:rPr>
          <w:rFonts w:hint="eastAsia"/>
          <w:sz w:val="24"/>
        </w:rPr>
        <w:t>85</w:t>
      </w:r>
      <w:r w:rsidRPr="002B55E9">
        <w:rPr>
          <w:sz w:val="24"/>
        </w:rPr>
        <w:t>%~95%</w:t>
      </w:r>
      <w:r w:rsidRPr="002B55E9">
        <w:rPr>
          <w:rFonts w:hint="eastAsia"/>
          <w:sz w:val="24"/>
        </w:rPr>
        <w:t>、氨氮</w:t>
      </w:r>
      <w:r w:rsidRPr="002B55E9">
        <w:rPr>
          <w:sz w:val="24"/>
        </w:rPr>
        <w:t>总处理效率为</w:t>
      </w:r>
      <w:r w:rsidRPr="002B55E9">
        <w:rPr>
          <w:rFonts w:hint="eastAsia"/>
          <w:sz w:val="24"/>
        </w:rPr>
        <w:t>80</w:t>
      </w:r>
      <w:r w:rsidRPr="002B55E9">
        <w:rPr>
          <w:sz w:val="24"/>
        </w:rPr>
        <w:t>%~90%</w:t>
      </w:r>
      <w:r w:rsidRPr="002B55E9">
        <w:rPr>
          <w:sz w:val="24"/>
        </w:rPr>
        <w:t>、总氮处理效率为</w:t>
      </w:r>
      <w:r w:rsidRPr="002B55E9">
        <w:rPr>
          <w:rFonts w:hint="eastAsia"/>
          <w:sz w:val="24"/>
        </w:rPr>
        <w:t>55</w:t>
      </w:r>
      <w:r w:rsidRPr="002B55E9">
        <w:rPr>
          <w:sz w:val="24"/>
        </w:rPr>
        <w:t>%~80%</w:t>
      </w:r>
      <w:r w:rsidRPr="002B55E9">
        <w:rPr>
          <w:sz w:val="24"/>
        </w:rPr>
        <w:t>、总磷处理效率为</w:t>
      </w:r>
      <w:r w:rsidRPr="002B55E9">
        <w:rPr>
          <w:rFonts w:hint="eastAsia"/>
          <w:sz w:val="24"/>
        </w:rPr>
        <w:t>60</w:t>
      </w:r>
      <w:r w:rsidRPr="002B55E9">
        <w:rPr>
          <w:sz w:val="24"/>
        </w:rPr>
        <w:t>%~80%</w:t>
      </w:r>
      <w:r w:rsidRPr="002B55E9">
        <w:rPr>
          <w:sz w:val="24"/>
        </w:rPr>
        <w:t>，结合</w:t>
      </w:r>
      <w:r w:rsidRPr="002B55E9">
        <w:rPr>
          <w:rFonts w:hint="eastAsia"/>
          <w:sz w:val="24"/>
        </w:rPr>
        <w:t>佛山市</w:t>
      </w:r>
      <w:r w:rsidRPr="002B55E9">
        <w:rPr>
          <w:sz w:val="24"/>
        </w:rPr>
        <w:t>海天（</w:t>
      </w:r>
      <w:r w:rsidRPr="002B55E9">
        <w:rPr>
          <w:rFonts w:hint="eastAsia"/>
          <w:sz w:val="24"/>
        </w:rPr>
        <w:t>武汉</w:t>
      </w:r>
      <w:r w:rsidRPr="002B55E9">
        <w:rPr>
          <w:sz w:val="24"/>
        </w:rPr>
        <w:t>）</w:t>
      </w:r>
      <w:r w:rsidRPr="002B55E9">
        <w:rPr>
          <w:rFonts w:hint="eastAsia"/>
          <w:sz w:val="24"/>
        </w:rPr>
        <w:t>调味食品</w:t>
      </w:r>
      <w:r w:rsidRPr="002B55E9">
        <w:rPr>
          <w:sz w:val="24"/>
        </w:rPr>
        <w:t>有限公司</w:t>
      </w:r>
      <w:r w:rsidRPr="002B55E9">
        <w:rPr>
          <w:rFonts w:hint="eastAsia"/>
          <w:sz w:val="24"/>
        </w:rPr>
        <w:t>污水处理站工艺</w:t>
      </w:r>
      <w:r w:rsidRPr="002B55E9">
        <w:rPr>
          <w:sz w:val="24"/>
        </w:rPr>
        <w:t>设计</w:t>
      </w:r>
      <w:r w:rsidRPr="002B55E9">
        <w:rPr>
          <w:rFonts w:hint="eastAsia"/>
          <w:sz w:val="24"/>
        </w:rPr>
        <w:t>及《海天调味品建设项目（一期）环境影响报告表》（报批稿）</w:t>
      </w:r>
      <w:r w:rsidRPr="002B55E9">
        <w:rPr>
          <w:sz w:val="24"/>
        </w:rPr>
        <w:t>，</w:t>
      </w:r>
      <w:r w:rsidR="00AC0B60" w:rsidRPr="002B55E9">
        <w:rPr>
          <w:rFonts w:hint="eastAsia"/>
          <w:sz w:val="24"/>
        </w:rPr>
        <w:t>污水处理站</w:t>
      </w:r>
      <w:r w:rsidRPr="002B55E9">
        <w:rPr>
          <w:sz w:val="24"/>
        </w:rPr>
        <w:t>处理效率</w:t>
      </w:r>
      <w:r w:rsidR="00AC0B60" w:rsidRPr="002B55E9">
        <w:rPr>
          <w:rFonts w:hint="eastAsia"/>
          <w:sz w:val="24"/>
        </w:rPr>
        <w:t>见下表</w:t>
      </w:r>
      <w:r w:rsidRPr="002B55E9">
        <w:rPr>
          <w:rFonts w:hint="eastAsia"/>
          <w:sz w:val="24"/>
        </w:rPr>
        <w:t>。</w:t>
      </w:r>
    </w:p>
    <w:p w14:paraId="66D7B120" w14:textId="074F94F2" w:rsidR="00AC0B60" w:rsidRPr="002B55E9" w:rsidRDefault="00AC0B60" w:rsidP="00AC0B60">
      <w:pPr>
        <w:jc w:val="center"/>
        <w:rPr>
          <w:rFonts w:ascii="黑体" w:eastAsia="黑体" w:hAnsi="黑体"/>
          <w:sz w:val="24"/>
          <w:szCs w:val="24"/>
        </w:rPr>
      </w:pPr>
      <w:r w:rsidRPr="002B55E9">
        <w:rPr>
          <w:rFonts w:ascii="黑体" w:eastAsia="黑体" w:hAnsi="黑体" w:hint="eastAsia"/>
          <w:b/>
          <w:bCs/>
          <w:snapToGrid w:val="0"/>
          <w:sz w:val="24"/>
          <w:szCs w:val="24"/>
        </w:rPr>
        <w:t>表7</w:t>
      </w:r>
      <w:r w:rsidRPr="002B55E9">
        <w:rPr>
          <w:rFonts w:ascii="黑体" w:eastAsia="黑体" w:hAnsi="黑体"/>
          <w:b/>
          <w:bCs/>
          <w:snapToGrid w:val="0"/>
          <w:sz w:val="24"/>
          <w:szCs w:val="24"/>
        </w:rPr>
        <w:t xml:space="preserve">-2-5  </w:t>
      </w:r>
      <w:r w:rsidRPr="002B55E9">
        <w:rPr>
          <w:rFonts w:ascii="黑体" w:eastAsia="黑体" w:hAnsi="黑体" w:hint="eastAsia"/>
          <w:b/>
          <w:bCs/>
          <w:snapToGrid w:val="0"/>
          <w:sz w:val="24"/>
          <w:szCs w:val="24"/>
        </w:rPr>
        <w:t>污水处理站各工艺阶段设计处理效率一览表</w:t>
      </w:r>
    </w:p>
    <w:tbl>
      <w:tblPr>
        <w:tblStyle w:val="lgy2"/>
        <w:tblW w:w="5000" w:type="pct"/>
        <w:tblCellMar>
          <w:left w:w="28" w:type="dxa"/>
          <w:right w:w="28" w:type="dxa"/>
        </w:tblCellMar>
        <w:tblLook w:val="04A0" w:firstRow="1" w:lastRow="0" w:firstColumn="1" w:lastColumn="0" w:noHBand="0" w:noVBand="1"/>
      </w:tblPr>
      <w:tblGrid>
        <w:gridCol w:w="947"/>
        <w:gridCol w:w="1247"/>
        <w:gridCol w:w="1039"/>
        <w:gridCol w:w="967"/>
        <w:gridCol w:w="967"/>
        <w:gridCol w:w="967"/>
        <w:gridCol w:w="1371"/>
        <w:gridCol w:w="1223"/>
        <w:gridCol w:w="965"/>
      </w:tblGrid>
      <w:tr w:rsidR="003E2FA0" w:rsidRPr="002B55E9" w14:paraId="3772C188" w14:textId="77777777" w:rsidTr="003E2FA0">
        <w:trPr>
          <w:cnfStyle w:val="100000000000" w:firstRow="1" w:lastRow="0" w:firstColumn="0" w:lastColumn="0" w:oddVBand="0" w:evenVBand="0" w:oddHBand="0" w:evenHBand="0" w:firstRowFirstColumn="0" w:firstRowLastColumn="0" w:lastRowFirstColumn="0" w:lastRowLastColumn="0"/>
          <w:trHeight w:val="283"/>
        </w:trPr>
        <w:tc>
          <w:tcPr>
            <w:tcW w:w="1131" w:type="pct"/>
            <w:gridSpan w:val="2"/>
            <w:noWrap/>
            <w:hideMark/>
          </w:tcPr>
          <w:p w14:paraId="7BB30EEF" w14:textId="77777777" w:rsidR="003E2FA0" w:rsidRPr="002B55E9" w:rsidRDefault="003E2FA0" w:rsidP="00ED50AB">
            <w:pPr>
              <w:pStyle w:val="lgy-"/>
              <w:rPr>
                <w:rFonts w:eastAsia="宋体"/>
              </w:rPr>
            </w:pPr>
            <w:r w:rsidRPr="002B55E9">
              <w:rPr>
                <w:rFonts w:eastAsia="宋体" w:hint="eastAsia"/>
              </w:rPr>
              <w:t>工艺段</w:t>
            </w:r>
          </w:p>
        </w:tc>
        <w:tc>
          <w:tcPr>
            <w:tcW w:w="536" w:type="pct"/>
            <w:noWrap/>
            <w:hideMark/>
          </w:tcPr>
          <w:p w14:paraId="1F50DFC3" w14:textId="77777777" w:rsidR="003E2FA0" w:rsidRPr="002B55E9" w:rsidRDefault="003E2FA0" w:rsidP="00ED50AB">
            <w:pPr>
              <w:pStyle w:val="lgy-"/>
              <w:rPr>
                <w:rFonts w:eastAsia="宋体"/>
              </w:rPr>
            </w:pPr>
            <w:r w:rsidRPr="002B55E9">
              <w:rPr>
                <w:rFonts w:eastAsia="宋体" w:hint="eastAsia"/>
              </w:rPr>
              <w:t>CODcr</w:t>
            </w:r>
          </w:p>
        </w:tc>
        <w:tc>
          <w:tcPr>
            <w:tcW w:w="499" w:type="pct"/>
            <w:noWrap/>
            <w:hideMark/>
          </w:tcPr>
          <w:p w14:paraId="7CA4F5E8" w14:textId="77777777" w:rsidR="003E2FA0" w:rsidRPr="002B55E9" w:rsidRDefault="003E2FA0" w:rsidP="00ED50AB">
            <w:pPr>
              <w:pStyle w:val="lgy-"/>
              <w:rPr>
                <w:rFonts w:eastAsia="宋体"/>
              </w:rPr>
            </w:pPr>
            <w:r w:rsidRPr="002B55E9">
              <w:rPr>
                <w:rFonts w:eastAsia="宋体" w:hint="eastAsia"/>
              </w:rPr>
              <w:t>BOD</w:t>
            </w:r>
            <w:r w:rsidRPr="002B55E9">
              <w:rPr>
                <w:rFonts w:eastAsia="宋体" w:hint="eastAsia"/>
                <w:vertAlign w:val="subscript"/>
              </w:rPr>
              <w:t>5</w:t>
            </w:r>
          </w:p>
        </w:tc>
        <w:tc>
          <w:tcPr>
            <w:tcW w:w="499" w:type="pct"/>
            <w:noWrap/>
            <w:hideMark/>
          </w:tcPr>
          <w:p w14:paraId="5F7ABCB7" w14:textId="77777777" w:rsidR="003E2FA0" w:rsidRPr="002B55E9" w:rsidRDefault="003E2FA0" w:rsidP="00ED50AB">
            <w:pPr>
              <w:pStyle w:val="lgy-"/>
              <w:rPr>
                <w:rFonts w:eastAsia="宋体"/>
              </w:rPr>
            </w:pPr>
            <w:r w:rsidRPr="002B55E9">
              <w:rPr>
                <w:rFonts w:eastAsia="宋体" w:hint="eastAsia"/>
              </w:rPr>
              <w:t>SS</w:t>
            </w:r>
          </w:p>
        </w:tc>
        <w:tc>
          <w:tcPr>
            <w:tcW w:w="499" w:type="pct"/>
            <w:noWrap/>
            <w:hideMark/>
          </w:tcPr>
          <w:p w14:paraId="02A6A701" w14:textId="77777777" w:rsidR="003E2FA0" w:rsidRPr="002B55E9" w:rsidRDefault="003E2FA0" w:rsidP="00ED50AB">
            <w:pPr>
              <w:pStyle w:val="lgy-"/>
              <w:rPr>
                <w:rFonts w:eastAsia="宋体"/>
              </w:rPr>
            </w:pPr>
            <w:r w:rsidRPr="002B55E9">
              <w:rPr>
                <w:rFonts w:eastAsia="宋体" w:hint="eastAsia"/>
              </w:rPr>
              <w:t>氨氮</w:t>
            </w:r>
          </w:p>
        </w:tc>
        <w:tc>
          <w:tcPr>
            <w:tcW w:w="707" w:type="pct"/>
            <w:noWrap/>
            <w:hideMark/>
          </w:tcPr>
          <w:p w14:paraId="4E6181C4" w14:textId="77777777" w:rsidR="003E2FA0" w:rsidRPr="002B55E9" w:rsidRDefault="003E2FA0" w:rsidP="00ED50AB">
            <w:pPr>
              <w:pStyle w:val="lgy-"/>
              <w:rPr>
                <w:rFonts w:eastAsia="宋体"/>
              </w:rPr>
            </w:pPr>
            <w:r w:rsidRPr="002B55E9">
              <w:rPr>
                <w:rFonts w:eastAsia="宋体" w:hint="eastAsia"/>
              </w:rPr>
              <w:t>总氮</w:t>
            </w:r>
          </w:p>
        </w:tc>
        <w:tc>
          <w:tcPr>
            <w:tcW w:w="631" w:type="pct"/>
            <w:noWrap/>
            <w:hideMark/>
          </w:tcPr>
          <w:p w14:paraId="0DBC2316" w14:textId="77777777" w:rsidR="003E2FA0" w:rsidRPr="002B55E9" w:rsidRDefault="003E2FA0" w:rsidP="00ED50AB">
            <w:pPr>
              <w:pStyle w:val="lgy-"/>
              <w:rPr>
                <w:rFonts w:eastAsia="宋体"/>
              </w:rPr>
            </w:pPr>
            <w:r w:rsidRPr="002B55E9">
              <w:rPr>
                <w:rFonts w:eastAsia="宋体" w:hint="eastAsia"/>
              </w:rPr>
              <w:t>总磷</w:t>
            </w:r>
          </w:p>
        </w:tc>
        <w:tc>
          <w:tcPr>
            <w:tcW w:w="499" w:type="pct"/>
            <w:noWrap/>
            <w:hideMark/>
          </w:tcPr>
          <w:p w14:paraId="059AB62C" w14:textId="77777777" w:rsidR="003E2FA0" w:rsidRPr="002B55E9" w:rsidRDefault="003E2FA0" w:rsidP="00ED50AB">
            <w:pPr>
              <w:pStyle w:val="lgy-"/>
              <w:rPr>
                <w:rFonts w:eastAsia="宋体"/>
              </w:rPr>
            </w:pPr>
            <w:r w:rsidRPr="002B55E9">
              <w:rPr>
                <w:rFonts w:eastAsia="宋体" w:hint="eastAsia"/>
              </w:rPr>
              <w:t>动植物油</w:t>
            </w:r>
          </w:p>
        </w:tc>
      </w:tr>
      <w:tr w:rsidR="003E2FA0" w:rsidRPr="002B55E9" w14:paraId="00A8719B" w14:textId="77777777" w:rsidTr="003E2FA0">
        <w:trPr>
          <w:trHeight w:val="283"/>
        </w:trPr>
        <w:tc>
          <w:tcPr>
            <w:tcW w:w="488" w:type="pct"/>
            <w:vMerge w:val="restart"/>
            <w:noWrap/>
            <w:hideMark/>
          </w:tcPr>
          <w:p w14:paraId="48774B22" w14:textId="77777777" w:rsidR="003E2FA0" w:rsidRPr="002B55E9" w:rsidRDefault="003E2FA0" w:rsidP="00ED50AB">
            <w:pPr>
              <w:pStyle w:val="lgy-"/>
              <w:rPr>
                <w:rFonts w:eastAsia="宋体"/>
              </w:rPr>
            </w:pPr>
            <w:r w:rsidRPr="002B55E9">
              <w:rPr>
                <w:rFonts w:eastAsia="宋体" w:hint="eastAsia"/>
              </w:rPr>
              <w:t>预处理</w:t>
            </w:r>
          </w:p>
        </w:tc>
        <w:tc>
          <w:tcPr>
            <w:tcW w:w="643" w:type="pct"/>
            <w:noWrap/>
            <w:hideMark/>
          </w:tcPr>
          <w:p w14:paraId="238A3131" w14:textId="77777777" w:rsidR="003E2FA0" w:rsidRPr="002B55E9" w:rsidRDefault="003E2FA0" w:rsidP="00ED50AB">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078DF67A" w14:textId="77777777" w:rsidR="003E2FA0" w:rsidRPr="002B55E9" w:rsidRDefault="003E2FA0" w:rsidP="00ED50AB">
            <w:pPr>
              <w:pStyle w:val="lgy-"/>
              <w:rPr>
                <w:rFonts w:eastAsia="宋体"/>
              </w:rPr>
            </w:pPr>
            <w:r w:rsidRPr="002B55E9">
              <w:rPr>
                <w:rFonts w:eastAsia="宋体" w:hint="eastAsia"/>
              </w:rPr>
              <w:t>5500</w:t>
            </w:r>
          </w:p>
        </w:tc>
        <w:tc>
          <w:tcPr>
            <w:tcW w:w="499" w:type="pct"/>
            <w:noWrap/>
            <w:hideMark/>
          </w:tcPr>
          <w:p w14:paraId="6C355958" w14:textId="77777777" w:rsidR="003E2FA0" w:rsidRPr="002B55E9" w:rsidRDefault="003E2FA0" w:rsidP="00ED50AB">
            <w:pPr>
              <w:pStyle w:val="lgy-"/>
              <w:rPr>
                <w:rFonts w:eastAsia="宋体"/>
              </w:rPr>
            </w:pPr>
            <w:r w:rsidRPr="002B55E9">
              <w:rPr>
                <w:rFonts w:eastAsia="宋体" w:hint="eastAsia"/>
                <w:szCs w:val="22"/>
              </w:rPr>
              <w:t>2000</w:t>
            </w:r>
          </w:p>
        </w:tc>
        <w:tc>
          <w:tcPr>
            <w:tcW w:w="499" w:type="pct"/>
            <w:noWrap/>
            <w:hideMark/>
          </w:tcPr>
          <w:p w14:paraId="55B1798E" w14:textId="77777777" w:rsidR="003E2FA0" w:rsidRPr="002B55E9" w:rsidRDefault="003E2FA0" w:rsidP="00ED50AB">
            <w:pPr>
              <w:pStyle w:val="lgy-"/>
              <w:rPr>
                <w:rFonts w:eastAsia="宋体"/>
              </w:rPr>
            </w:pPr>
            <w:r w:rsidRPr="002B55E9">
              <w:rPr>
                <w:rFonts w:eastAsia="宋体" w:hint="eastAsia"/>
              </w:rPr>
              <w:t>1500</w:t>
            </w:r>
          </w:p>
        </w:tc>
        <w:tc>
          <w:tcPr>
            <w:tcW w:w="499" w:type="pct"/>
            <w:noWrap/>
            <w:hideMark/>
          </w:tcPr>
          <w:p w14:paraId="14912EB4" w14:textId="77777777" w:rsidR="003E2FA0" w:rsidRPr="002B55E9" w:rsidRDefault="003E2FA0" w:rsidP="00ED50AB">
            <w:pPr>
              <w:pStyle w:val="lgy-"/>
              <w:rPr>
                <w:rFonts w:eastAsia="宋体"/>
              </w:rPr>
            </w:pPr>
            <w:r w:rsidRPr="002B55E9">
              <w:rPr>
                <w:rFonts w:eastAsia="宋体" w:hint="eastAsia"/>
              </w:rPr>
              <w:t>80</w:t>
            </w:r>
          </w:p>
        </w:tc>
        <w:tc>
          <w:tcPr>
            <w:tcW w:w="707" w:type="pct"/>
            <w:noWrap/>
            <w:hideMark/>
          </w:tcPr>
          <w:p w14:paraId="20B97B5F" w14:textId="77777777" w:rsidR="003E2FA0" w:rsidRPr="002B55E9" w:rsidRDefault="003E2FA0" w:rsidP="00ED50AB">
            <w:pPr>
              <w:pStyle w:val="lgy-"/>
              <w:rPr>
                <w:rFonts w:eastAsia="宋体"/>
              </w:rPr>
            </w:pPr>
            <w:r w:rsidRPr="002B55E9">
              <w:rPr>
                <w:rFonts w:eastAsia="宋体" w:hint="eastAsia"/>
              </w:rPr>
              <w:t>150</w:t>
            </w:r>
          </w:p>
        </w:tc>
        <w:tc>
          <w:tcPr>
            <w:tcW w:w="631" w:type="pct"/>
            <w:noWrap/>
            <w:hideMark/>
          </w:tcPr>
          <w:p w14:paraId="06BEA609" w14:textId="77777777" w:rsidR="003E2FA0" w:rsidRPr="002B55E9" w:rsidRDefault="003E2FA0" w:rsidP="00ED50AB">
            <w:pPr>
              <w:pStyle w:val="lgy-"/>
              <w:rPr>
                <w:rFonts w:eastAsia="宋体"/>
              </w:rPr>
            </w:pPr>
            <w:r w:rsidRPr="002B55E9">
              <w:rPr>
                <w:rFonts w:eastAsia="宋体" w:hint="eastAsia"/>
              </w:rPr>
              <w:t>60</w:t>
            </w:r>
          </w:p>
        </w:tc>
        <w:tc>
          <w:tcPr>
            <w:tcW w:w="499" w:type="pct"/>
            <w:noWrap/>
            <w:hideMark/>
          </w:tcPr>
          <w:p w14:paraId="5AF4556D" w14:textId="77777777" w:rsidR="003E2FA0" w:rsidRPr="002B55E9" w:rsidRDefault="003E2FA0" w:rsidP="00ED50AB">
            <w:pPr>
              <w:pStyle w:val="lgy-"/>
              <w:rPr>
                <w:rFonts w:eastAsia="宋体"/>
              </w:rPr>
            </w:pPr>
            <w:r w:rsidRPr="002B55E9">
              <w:rPr>
                <w:rFonts w:eastAsia="宋体" w:hint="eastAsia"/>
              </w:rPr>
              <w:t>200</w:t>
            </w:r>
          </w:p>
        </w:tc>
      </w:tr>
      <w:tr w:rsidR="003E2FA0" w:rsidRPr="002B55E9" w14:paraId="790ABB19" w14:textId="77777777" w:rsidTr="003E2FA0">
        <w:trPr>
          <w:trHeight w:val="283"/>
        </w:trPr>
        <w:tc>
          <w:tcPr>
            <w:tcW w:w="488" w:type="pct"/>
            <w:vMerge/>
            <w:hideMark/>
          </w:tcPr>
          <w:p w14:paraId="591AFAEF" w14:textId="77777777" w:rsidR="003E2FA0" w:rsidRPr="002B55E9" w:rsidRDefault="003E2FA0" w:rsidP="00ED50AB">
            <w:pPr>
              <w:pStyle w:val="lgy-"/>
              <w:rPr>
                <w:rFonts w:eastAsia="宋体"/>
              </w:rPr>
            </w:pPr>
          </w:p>
        </w:tc>
        <w:tc>
          <w:tcPr>
            <w:tcW w:w="643" w:type="pct"/>
            <w:noWrap/>
            <w:hideMark/>
          </w:tcPr>
          <w:p w14:paraId="7B19826E" w14:textId="77777777" w:rsidR="003E2FA0" w:rsidRPr="002B55E9" w:rsidRDefault="003E2FA0" w:rsidP="00ED50AB">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1CADB8F0" w14:textId="77777777" w:rsidR="003E2FA0" w:rsidRPr="002B55E9" w:rsidRDefault="003E2FA0" w:rsidP="00ED50AB">
            <w:pPr>
              <w:pStyle w:val="lgy-"/>
              <w:rPr>
                <w:rFonts w:eastAsia="宋体"/>
              </w:rPr>
            </w:pPr>
            <w:r w:rsidRPr="002B55E9">
              <w:rPr>
                <w:rFonts w:eastAsia="宋体" w:hint="eastAsia"/>
              </w:rPr>
              <w:t>4500</w:t>
            </w:r>
          </w:p>
        </w:tc>
        <w:tc>
          <w:tcPr>
            <w:tcW w:w="499" w:type="pct"/>
            <w:noWrap/>
            <w:hideMark/>
          </w:tcPr>
          <w:p w14:paraId="4F9C9625" w14:textId="77777777" w:rsidR="003E2FA0" w:rsidRPr="002B55E9" w:rsidRDefault="003E2FA0" w:rsidP="00ED50AB">
            <w:pPr>
              <w:pStyle w:val="lgy-"/>
              <w:rPr>
                <w:rFonts w:eastAsia="宋体"/>
              </w:rPr>
            </w:pPr>
            <w:r w:rsidRPr="002B55E9">
              <w:rPr>
                <w:rFonts w:eastAsia="宋体" w:hint="eastAsia"/>
                <w:szCs w:val="22"/>
              </w:rPr>
              <w:t>1640</w:t>
            </w:r>
          </w:p>
        </w:tc>
        <w:tc>
          <w:tcPr>
            <w:tcW w:w="499" w:type="pct"/>
            <w:noWrap/>
            <w:hideMark/>
          </w:tcPr>
          <w:p w14:paraId="4538E3CE" w14:textId="77777777" w:rsidR="003E2FA0" w:rsidRPr="002B55E9" w:rsidRDefault="003E2FA0" w:rsidP="00ED50AB">
            <w:pPr>
              <w:pStyle w:val="lgy-"/>
              <w:rPr>
                <w:rFonts w:eastAsia="宋体"/>
              </w:rPr>
            </w:pPr>
            <w:r w:rsidRPr="002B55E9">
              <w:rPr>
                <w:rFonts w:eastAsia="宋体" w:hint="eastAsia"/>
              </w:rPr>
              <w:t>1000</w:t>
            </w:r>
          </w:p>
        </w:tc>
        <w:tc>
          <w:tcPr>
            <w:tcW w:w="499" w:type="pct"/>
            <w:noWrap/>
            <w:hideMark/>
          </w:tcPr>
          <w:p w14:paraId="328831ED" w14:textId="77777777" w:rsidR="003E2FA0" w:rsidRPr="002B55E9" w:rsidRDefault="003E2FA0" w:rsidP="00ED50AB">
            <w:pPr>
              <w:pStyle w:val="lgy-"/>
              <w:rPr>
                <w:rFonts w:eastAsia="宋体"/>
              </w:rPr>
            </w:pPr>
            <w:r w:rsidRPr="002B55E9">
              <w:rPr>
                <w:rFonts w:eastAsia="宋体" w:hint="eastAsia"/>
              </w:rPr>
              <w:t>70</w:t>
            </w:r>
          </w:p>
        </w:tc>
        <w:tc>
          <w:tcPr>
            <w:tcW w:w="707" w:type="pct"/>
            <w:noWrap/>
            <w:hideMark/>
          </w:tcPr>
          <w:p w14:paraId="2DF00DA4" w14:textId="77777777" w:rsidR="003E2FA0" w:rsidRPr="002B55E9" w:rsidRDefault="003E2FA0" w:rsidP="00ED50AB">
            <w:pPr>
              <w:pStyle w:val="lgy-"/>
              <w:rPr>
                <w:rFonts w:eastAsia="宋体"/>
              </w:rPr>
            </w:pPr>
            <w:r w:rsidRPr="002B55E9">
              <w:rPr>
                <w:rFonts w:eastAsia="宋体" w:hint="eastAsia"/>
              </w:rPr>
              <w:t>120</w:t>
            </w:r>
          </w:p>
        </w:tc>
        <w:tc>
          <w:tcPr>
            <w:tcW w:w="631" w:type="pct"/>
            <w:noWrap/>
            <w:hideMark/>
          </w:tcPr>
          <w:p w14:paraId="6D481D6C" w14:textId="77777777" w:rsidR="003E2FA0" w:rsidRPr="002B55E9" w:rsidRDefault="003E2FA0" w:rsidP="00ED50AB">
            <w:pPr>
              <w:pStyle w:val="lgy-"/>
              <w:rPr>
                <w:rFonts w:eastAsia="宋体"/>
              </w:rPr>
            </w:pPr>
            <w:r w:rsidRPr="002B55E9">
              <w:rPr>
                <w:rFonts w:eastAsia="宋体" w:hint="eastAsia"/>
              </w:rPr>
              <w:t>20</w:t>
            </w:r>
          </w:p>
        </w:tc>
        <w:tc>
          <w:tcPr>
            <w:tcW w:w="499" w:type="pct"/>
            <w:noWrap/>
            <w:hideMark/>
          </w:tcPr>
          <w:p w14:paraId="029DB811" w14:textId="77777777" w:rsidR="003E2FA0" w:rsidRPr="002B55E9" w:rsidRDefault="003E2FA0" w:rsidP="00ED50AB">
            <w:pPr>
              <w:pStyle w:val="lgy-"/>
              <w:rPr>
                <w:rFonts w:eastAsia="宋体"/>
              </w:rPr>
            </w:pPr>
            <w:r w:rsidRPr="002B55E9">
              <w:rPr>
                <w:rFonts w:eastAsia="宋体" w:hint="eastAsia"/>
              </w:rPr>
              <w:t>100</w:t>
            </w:r>
          </w:p>
        </w:tc>
      </w:tr>
      <w:tr w:rsidR="003E2FA0" w:rsidRPr="002B55E9" w14:paraId="28A2205E" w14:textId="77777777" w:rsidTr="003E2FA0">
        <w:trPr>
          <w:trHeight w:val="283"/>
        </w:trPr>
        <w:tc>
          <w:tcPr>
            <w:tcW w:w="488" w:type="pct"/>
            <w:vMerge/>
            <w:hideMark/>
          </w:tcPr>
          <w:p w14:paraId="2BB8AFA2" w14:textId="77777777" w:rsidR="003E2FA0" w:rsidRPr="002B55E9" w:rsidRDefault="003E2FA0" w:rsidP="00ED50AB">
            <w:pPr>
              <w:pStyle w:val="lgy-"/>
              <w:rPr>
                <w:rFonts w:eastAsia="宋体"/>
              </w:rPr>
            </w:pPr>
          </w:p>
        </w:tc>
        <w:tc>
          <w:tcPr>
            <w:tcW w:w="643" w:type="pct"/>
            <w:noWrap/>
            <w:hideMark/>
          </w:tcPr>
          <w:p w14:paraId="6736B5F0" w14:textId="77777777" w:rsidR="003E2FA0" w:rsidRPr="002B55E9" w:rsidRDefault="003E2FA0" w:rsidP="00ED50AB">
            <w:pPr>
              <w:pStyle w:val="lgy-"/>
              <w:rPr>
                <w:rFonts w:eastAsia="宋体"/>
              </w:rPr>
            </w:pPr>
            <w:r w:rsidRPr="002B55E9">
              <w:rPr>
                <w:rFonts w:eastAsia="宋体" w:hint="eastAsia"/>
              </w:rPr>
              <w:t>去除率</w:t>
            </w:r>
          </w:p>
        </w:tc>
        <w:tc>
          <w:tcPr>
            <w:tcW w:w="536" w:type="pct"/>
            <w:noWrap/>
            <w:hideMark/>
          </w:tcPr>
          <w:p w14:paraId="38EE9B18" w14:textId="77777777" w:rsidR="003E2FA0" w:rsidRPr="002B55E9" w:rsidRDefault="003E2FA0" w:rsidP="00ED50AB">
            <w:pPr>
              <w:pStyle w:val="lgy-"/>
              <w:rPr>
                <w:rFonts w:eastAsia="宋体"/>
              </w:rPr>
            </w:pPr>
            <w:r w:rsidRPr="002B55E9">
              <w:rPr>
                <w:rFonts w:eastAsia="宋体" w:hint="eastAsia"/>
              </w:rPr>
              <w:t>18%</w:t>
            </w:r>
          </w:p>
        </w:tc>
        <w:tc>
          <w:tcPr>
            <w:tcW w:w="499" w:type="pct"/>
            <w:noWrap/>
            <w:hideMark/>
          </w:tcPr>
          <w:p w14:paraId="34C0B891" w14:textId="77777777" w:rsidR="003E2FA0" w:rsidRPr="002B55E9" w:rsidRDefault="003E2FA0" w:rsidP="00ED50AB">
            <w:pPr>
              <w:pStyle w:val="lgy-"/>
              <w:rPr>
                <w:rFonts w:eastAsia="宋体"/>
              </w:rPr>
            </w:pPr>
            <w:r w:rsidRPr="002B55E9">
              <w:rPr>
                <w:rFonts w:eastAsia="宋体" w:hint="eastAsia"/>
                <w:szCs w:val="22"/>
              </w:rPr>
              <w:t>18%</w:t>
            </w:r>
          </w:p>
        </w:tc>
        <w:tc>
          <w:tcPr>
            <w:tcW w:w="499" w:type="pct"/>
            <w:noWrap/>
            <w:hideMark/>
          </w:tcPr>
          <w:p w14:paraId="60756C23" w14:textId="77777777" w:rsidR="003E2FA0" w:rsidRPr="002B55E9" w:rsidRDefault="003E2FA0" w:rsidP="00ED50AB">
            <w:pPr>
              <w:pStyle w:val="lgy-"/>
              <w:rPr>
                <w:rFonts w:eastAsia="宋体"/>
              </w:rPr>
            </w:pPr>
            <w:r w:rsidRPr="002B55E9">
              <w:rPr>
                <w:rFonts w:eastAsia="宋体" w:hint="eastAsia"/>
              </w:rPr>
              <w:t>33%</w:t>
            </w:r>
          </w:p>
        </w:tc>
        <w:tc>
          <w:tcPr>
            <w:tcW w:w="499" w:type="pct"/>
            <w:noWrap/>
            <w:hideMark/>
          </w:tcPr>
          <w:p w14:paraId="13C27646" w14:textId="77777777" w:rsidR="003E2FA0" w:rsidRPr="002B55E9" w:rsidRDefault="003E2FA0" w:rsidP="00ED50AB">
            <w:pPr>
              <w:pStyle w:val="lgy-"/>
              <w:rPr>
                <w:rFonts w:eastAsia="宋体"/>
              </w:rPr>
            </w:pPr>
            <w:r w:rsidRPr="002B55E9">
              <w:rPr>
                <w:rFonts w:eastAsia="宋体" w:hint="eastAsia"/>
              </w:rPr>
              <w:t>13%</w:t>
            </w:r>
          </w:p>
        </w:tc>
        <w:tc>
          <w:tcPr>
            <w:tcW w:w="707" w:type="pct"/>
            <w:noWrap/>
            <w:hideMark/>
          </w:tcPr>
          <w:p w14:paraId="26402310" w14:textId="77777777" w:rsidR="003E2FA0" w:rsidRPr="002B55E9" w:rsidRDefault="003E2FA0" w:rsidP="00ED50AB">
            <w:pPr>
              <w:pStyle w:val="lgy-"/>
              <w:rPr>
                <w:rFonts w:eastAsia="宋体"/>
              </w:rPr>
            </w:pPr>
            <w:r w:rsidRPr="002B55E9">
              <w:rPr>
                <w:rFonts w:eastAsia="宋体" w:hint="eastAsia"/>
              </w:rPr>
              <w:t>20%</w:t>
            </w:r>
          </w:p>
        </w:tc>
        <w:tc>
          <w:tcPr>
            <w:tcW w:w="631" w:type="pct"/>
            <w:noWrap/>
            <w:hideMark/>
          </w:tcPr>
          <w:p w14:paraId="058DE92B" w14:textId="77777777" w:rsidR="003E2FA0" w:rsidRPr="002B55E9" w:rsidRDefault="003E2FA0" w:rsidP="00ED50AB">
            <w:pPr>
              <w:pStyle w:val="lgy-"/>
              <w:rPr>
                <w:rFonts w:eastAsia="宋体"/>
              </w:rPr>
            </w:pPr>
            <w:r w:rsidRPr="002B55E9">
              <w:rPr>
                <w:rFonts w:eastAsia="宋体" w:hint="eastAsia"/>
              </w:rPr>
              <w:t>67%</w:t>
            </w:r>
          </w:p>
        </w:tc>
        <w:tc>
          <w:tcPr>
            <w:tcW w:w="499" w:type="pct"/>
            <w:noWrap/>
            <w:hideMark/>
          </w:tcPr>
          <w:p w14:paraId="3036CD9F" w14:textId="77777777" w:rsidR="003E2FA0" w:rsidRPr="002B55E9" w:rsidRDefault="003E2FA0" w:rsidP="00ED50AB">
            <w:pPr>
              <w:pStyle w:val="lgy-"/>
              <w:rPr>
                <w:rFonts w:eastAsia="宋体"/>
              </w:rPr>
            </w:pPr>
            <w:r w:rsidRPr="002B55E9">
              <w:rPr>
                <w:rFonts w:eastAsia="宋体" w:hint="eastAsia"/>
              </w:rPr>
              <w:t>50%</w:t>
            </w:r>
          </w:p>
        </w:tc>
      </w:tr>
      <w:tr w:rsidR="003E2FA0" w:rsidRPr="002B55E9" w14:paraId="7597198C" w14:textId="77777777" w:rsidTr="003E2FA0">
        <w:trPr>
          <w:trHeight w:val="283"/>
        </w:trPr>
        <w:tc>
          <w:tcPr>
            <w:tcW w:w="488" w:type="pct"/>
            <w:vMerge w:val="restart"/>
            <w:noWrap/>
            <w:hideMark/>
          </w:tcPr>
          <w:p w14:paraId="6EC06F9E" w14:textId="77777777" w:rsidR="003E2FA0" w:rsidRPr="002B55E9" w:rsidRDefault="003E2FA0" w:rsidP="00ED50AB">
            <w:pPr>
              <w:pStyle w:val="lgy-"/>
              <w:rPr>
                <w:rFonts w:eastAsia="宋体"/>
              </w:rPr>
            </w:pPr>
            <w:r w:rsidRPr="002B55E9">
              <w:rPr>
                <w:rFonts w:eastAsia="宋体" w:hint="eastAsia"/>
              </w:rPr>
              <w:t>厌氧</w:t>
            </w:r>
          </w:p>
        </w:tc>
        <w:tc>
          <w:tcPr>
            <w:tcW w:w="643" w:type="pct"/>
            <w:noWrap/>
            <w:hideMark/>
          </w:tcPr>
          <w:p w14:paraId="6786E673" w14:textId="77777777" w:rsidR="003E2FA0" w:rsidRPr="002B55E9" w:rsidRDefault="003E2FA0" w:rsidP="00ED50AB">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3D43B2E7" w14:textId="77777777" w:rsidR="003E2FA0" w:rsidRPr="002B55E9" w:rsidRDefault="003E2FA0" w:rsidP="00ED50AB">
            <w:pPr>
              <w:pStyle w:val="lgy-"/>
              <w:rPr>
                <w:rFonts w:eastAsia="宋体"/>
              </w:rPr>
            </w:pPr>
            <w:r w:rsidRPr="002B55E9">
              <w:rPr>
                <w:rFonts w:eastAsia="宋体" w:hint="eastAsia"/>
              </w:rPr>
              <w:t>4500</w:t>
            </w:r>
          </w:p>
        </w:tc>
        <w:tc>
          <w:tcPr>
            <w:tcW w:w="499" w:type="pct"/>
            <w:noWrap/>
            <w:hideMark/>
          </w:tcPr>
          <w:p w14:paraId="69331BB0" w14:textId="77777777" w:rsidR="003E2FA0" w:rsidRPr="002B55E9" w:rsidRDefault="003E2FA0" w:rsidP="00ED50AB">
            <w:pPr>
              <w:pStyle w:val="lgy-"/>
              <w:rPr>
                <w:rFonts w:eastAsia="宋体"/>
              </w:rPr>
            </w:pPr>
            <w:r w:rsidRPr="002B55E9">
              <w:rPr>
                <w:rFonts w:eastAsia="宋体" w:hint="eastAsia"/>
                <w:szCs w:val="22"/>
              </w:rPr>
              <w:t>1640</w:t>
            </w:r>
          </w:p>
        </w:tc>
        <w:tc>
          <w:tcPr>
            <w:tcW w:w="499" w:type="pct"/>
            <w:noWrap/>
            <w:hideMark/>
          </w:tcPr>
          <w:p w14:paraId="68BA0B9F" w14:textId="77777777" w:rsidR="003E2FA0" w:rsidRPr="002B55E9" w:rsidRDefault="003E2FA0" w:rsidP="00ED50AB">
            <w:pPr>
              <w:pStyle w:val="lgy-"/>
              <w:rPr>
                <w:rFonts w:eastAsia="宋体"/>
              </w:rPr>
            </w:pPr>
            <w:r w:rsidRPr="002B55E9">
              <w:rPr>
                <w:rFonts w:eastAsia="宋体" w:hint="eastAsia"/>
              </w:rPr>
              <w:t>1000</w:t>
            </w:r>
          </w:p>
        </w:tc>
        <w:tc>
          <w:tcPr>
            <w:tcW w:w="499" w:type="pct"/>
            <w:noWrap/>
            <w:hideMark/>
          </w:tcPr>
          <w:p w14:paraId="445CC70D" w14:textId="77777777" w:rsidR="003E2FA0" w:rsidRPr="002B55E9" w:rsidRDefault="003E2FA0" w:rsidP="00ED50AB">
            <w:pPr>
              <w:pStyle w:val="lgy-"/>
              <w:rPr>
                <w:rFonts w:eastAsia="宋体"/>
              </w:rPr>
            </w:pPr>
            <w:r w:rsidRPr="002B55E9">
              <w:rPr>
                <w:rFonts w:eastAsia="宋体" w:hint="eastAsia"/>
              </w:rPr>
              <w:t>70</w:t>
            </w:r>
          </w:p>
        </w:tc>
        <w:tc>
          <w:tcPr>
            <w:tcW w:w="707" w:type="pct"/>
            <w:noWrap/>
            <w:hideMark/>
          </w:tcPr>
          <w:p w14:paraId="364D13F7" w14:textId="77777777" w:rsidR="003E2FA0" w:rsidRPr="002B55E9" w:rsidRDefault="003E2FA0" w:rsidP="00ED50AB">
            <w:pPr>
              <w:pStyle w:val="lgy-"/>
              <w:rPr>
                <w:rFonts w:eastAsia="宋体"/>
              </w:rPr>
            </w:pPr>
            <w:r w:rsidRPr="002B55E9">
              <w:rPr>
                <w:rFonts w:eastAsia="宋体" w:hint="eastAsia"/>
              </w:rPr>
              <w:t>120</w:t>
            </w:r>
          </w:p>
        </w:tc>
        <w:tc>
          <w:tcPr>
            <w:tcW w:w="631" w:type="pct"/>
            <w:noWrap/>
            <w:hideMark/>
          </w:tcPr>
          <w:p w14:paraId="4603C731" w14:textId="77777777" w:rsidR="003E2FA0" w:rsidRPr="002B55E9" w:rsidRDefault="003E2FA0" w:rsidP="00ED50AB">
            <w:pPr>
              <w:pStyle w:val="lgy-"/>
              <w:rPr>
                <w:rFonts w:eastAsia="宋体"/>
              </w:rPr>
            </w:pPr>
            <w:r w:rsidRPr="002B55E9">
              <w:rPr>
                <w:rFonts w:eastAsia="宋体" w:hint="eastAsia"/>
              </w:rPr>
              <w:t>20</w:t>
            </w:r>
          </w:p>
        </w:tc>
        <w:tc>
          <w:tcPr>
            <w:tcW w:w="499" w:type="pct"/>
            <w:noWrap/>
            <w:hideMark/>
          </w:tcPr>
          <w:p w14:paraId="19FD8230" w14:textId="77777777" w:rsidR="003E2FA0" w:rsidRPr="002B55E9" w:rsidRDefault="003E2FA0" w:rsidP="00ED50AB">
            <w:pPr>
              <w:pStyle w:val="lgy-"/>
              <w:rPr>
                <w:rFonts w:eastAsia="宋体"/>
              </w:rPr>
            </w:pPr>
            <w:r w:rsidRPr="002B55E9">
              <w:rPr>
                <w:rFonts w:eastAsia="宋体" w:hint="eastAsia"/>
              </w:rPr>
              <w:t>100</w:t>
            </w:r>
          </w:p>
        </w:tc>
      </w:tr>
      <w:tr w:rsidR="003E2FA0" w:rsidRPr="002B55E9" w14:paraId="3A4307EF" w14:textId="77777777" w:rsidTr="003E2FA0">
        <w:trPr>
          <w:trHeight w:val="283"/>
        </w:trPr>
        <w:tc>
          <w:tcPr>
            <w:tcW w:w="488" w:type="pct"/>
            <w:vMerge/>
            <w:hideMark/>
          </w:tcPr>
          <w:p w14:paraId="40BBF9CF" w14:textId="77777777" w:rsidR="003E2FA0" w:rsidRPr="002B55E9" w:rsidRDefault="003E2FA0" w:rsidP="00ED50AB">
            <w:pPr>
              <w:pStyle w:val="lgy-"/>
              <w:rPr>
                <w:rFonts w:eastAsia="宋体"/>
              </w:rPr>
            </w:pPr>
          </w:p>
        </w:tc>
        <w:tc>
          <w:tcPr>
            <w:tcW w:w="643" w:type="pct"/>
            <w:noWrap/>
            <w:hideMark/>
          </w:tcPr>
          <w:p w14:paraId="066B4E0C" w14:textId="77777777" w:rsidR="003E2FA0" w:rsidRPr="002B55E9" w:rsidRDefault="003E2FA0" w:rsidP="00ED50AB">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5D9DDFA6" w14:textId="77777777" w:rsidR="003E2FA0" w:rsidRPr="002B55E9" w:rsidRDefault="003E2FA0" w:rsidP="00ED50AB">
            <w:pPr>
              <w:pStyle w:val="lgy-"/>
              <w:rPr>
                <w:rFonts w:eastAsia="宋体"/>
              </w:rPr>
            </w:pPr>
            <w:r w:rsidRPr="002B55E9">
              <w:rPr>
                <w:rFonts w:eastAsia="宋体" w:hint="eastAsia"/>
              </w:rPr>
              <w:t>500</w:t>
            </w:r>
          </w:p>
        </w:tc>
        <w:tc>
          <w:tcPr>
            <w:tcW w:w="499" w:type="pct"/>
            <w:noWrap/>
            <w:hideMark/>
          </w:tcPr>
          <w:p w14:paraId="0C99D37A" w14:textId="77777777" w:rsidR="003E2FA0" w:rsidRPr="002B55E9" w:rsidRDefault="003E2FA0" w:rsidP="00ED50AB">
            <w:pPr>
              <w:pStyle w:val="lgy-"/>
              <w:rPr>
                <w:rFonts w:eastAsia="宋体"/>
              </w:rPr>
            </w:pPr>
            <w:r w:rsidRPr="002B55E9">
              <w:rPr>
                <w:rFonts w:eastAsia="宋体" w:hint="eastAsia"/>
                <w:szCs w:val="22"/>
              </w:rPr>
              <w:t>160</w:t>
            </w:r>
          </w:p>
        </w:tc>
        <w:tc>
          <w:tcPr>
            <w:tcW w:w="499" w:type="pct"/>
            <w:noWrap/>
            <w:hideMark/>
          </w:tcPr>
          <w:p w14:paraId="04529F94" w14:textId="77777777" w:rsidR="003E2FA0" w:rsidRPr="002B55E9" w:rsidRDefault="003E2FA0" w:rsidP="00ED50AB">
            <w:pPr>
              <w:pStyle w:val="lgy-"/>
              <w:rPr>
                <w:rFonts w:eastAsia="宋体"/>
              </w:rPr>
            </w:pPr>
            <w:r w:rsidRPr="002B55E9">
              <w:rPr>
                <w:rFonts w:eastAsia="宋体" w:hint="eastAsia"/>
              </w:rPr>
              <w:t>1000</w:t>
            </w:r>
          </w:p>
        </w:tc>
        <w:tc>
          <w:tcPr>
            <w:tcW w:w="499" w:type="pct"/>
            <w:noWrap/>
            <w:hideMark/>
          </w:tcPr>
          <w:p w14:paraId="70C0A357" w14:textId="77777777" w:rsidR="003E2FA0" w:rsidRPr="002B55E9" w:rsidRDefault="003E2FA0" w:rsidP="00ED50AB">
            <w:pPr>
              <w:pStyle w:val="lgy-"/>
              <w:rPr>
                <w:rFonts w:eastAsia="宋体"/>
              </w:rPr>
            </w:pPr>
            <w:r w:rsidRPr="002B55E9">
              <w:rPr>
                <w:rFonts w:eastAsia="宋体" w:hint="eastAsia"/>
              </w:rPr>
              <w:t>70</w:t>
            </w:r>
          </w:p>
        </w:tc>
        <w:tc>
          <w:tcPr>
            <w:tcW w:w="707" w:type="pct"/>
            <w:noWrap/>
            <w:hideMark/>
          </w:tcPr>
          <w:p w14:paraId="294731C0" w14:textId="77777777" w:rsidR="003E2FA0" w:rsidRPr="002B55E9" w:rsidRDefault="003E2FA0" w:rsidP="00ED50AB">
            <w:pPr>
              <w:pStyle w:val="lgy-"/>
              <w:rPr>
                <w:rFonts w:eastAsia="宋体"/>
              </w:rPr>
            </w:pPr>
            <w:r w:rsidRPr="002B55E9">
              <w:rPr>
                <w:rFonts w:eastAsia="宋体" w:hint="eastAsia"/>
              </w:rPr>
              <w:t>120</w:t>
            </w:r>
          </w:p>
        </w:tc>
        <w:tc>
          <w:tcPr>
            <w:tcW w:w="631" w:type="pct"/>
            <w:noWrap/>
            <w:hideMark/>
          </w:tcPr>
          <w:p w14:paraId="2B4C5104" w14:textId="77777777" w:rsidR="003E2FA0" w:rsidRPr="002B55E9" w:rsidRDefault="003E2FA0" w:rsidP="00ED50AB">
            <w:pPr>
              <w:pStyle w:val="lgy-"/>
              <w:rPr>
                <w:rFonts w:eastAsia="宋体"/>
              </w:rPr>
            </w:pPr>
            <w:r w:rsidRPr="002B55E9">
              <w:rPr>
                <w:rFonts w:eastAsia="宋体" w:hint="eastAsia"/>
              </w:rPr>
              <w:t>20</w:t>
            </w:r>
          </w:p>
        </w:tc>
        <w:tc>
          <w:tcPr>
            <w:tcW w:w="499" w:type="pct"/>
            <w:noWrap/>
            <w:hideMark/>
          </w:tcPr>
          <w:p w14:paraId="29CCDE1F" w14:textId="77777777" w:rsidR="003E2FA0" w:rsidRPr="002B55E9" w:rsidRDefault="003E2FA0" w:rsidP="00ED50AB">
            <w:pPr>
              <w:pStyle w:val="lgy-"/>
              <w:rPr>
                <w:rFonts w:eastAsia="宋体"/>
              </w:rPr>
            </w:pPr>
            <w:r w:rsidRPr="002B55E9">
              <w:rPr>
                <w:rFonts w:eastAsia="宋体" w:hint="eastAsia"/>
              </w:rPr>
              <w:t>100</w:t>
            </w:r>
          </w:p>
        </w:tc>
      </w:tr>
      <w:tr w:rsidR="003E2FA0" w:rsidRPr="002B55E9" w14:paraId="33215DB9" w14:textId="77777777" w:rsidTr="003E2FA0">
        <w:trPr>
          <w:trHeight w:val="283"/>
        </w:trPr>
        <w:tc>
          <w:tcPr>
            <w:tcW w:w="488" w:type="pct"/>
            <w:vMerge/>
            <w:hideMark/>
          </w:tcPr>
          <w:p w14:paraId="38941F2F" w14:textId="77777777" w:rsidR="003E2FA0" w:rsidRPr="002B55E9" w:rsidRDefault="003E2FA0" w:rsidP="00ED50AB">
            <w:pPr>
              <w:pStyle w:val="lgy-"/>
              <w:rPr>
                <w:rFonts w:eastAsia="宋体"/>
              </w:rPr>
            </w:pPr>
          </w:p>
        </w:tc>
        <w:tc>
          <w:tcPr>
            <w:tcW w:w="643" w:type="pct"/>
            <w:noWrap/>
            <w:hideMark/>
          </w:tcPr>
          <w:p w14:paraId="257D333B" w14:textId="77777777" w:rsidR="003E2FA0" w:rsidRPr="002B55E9" w:rsidRDefault="003E2FA0" w:rsidP="00ED50AB">
            <w:pPr>
              <w:pStyle w:val="lgy-"/>
              <w:rPr>
                <w:rFonts w:eastAsia="宋体"/>
              </w:rPr>
            </w:pPr>
            <w:r w:rsidRPr="002B55E9">
              <w:rPr>
                <w:rFonts w:eastAsia="宋体" w:hint="eastAsia"/>
              </w:rPr>
              <w:t>去除率</w:t>
            </w:r>
          </w:p>
        </w:tc>
        <w:tc>
          <w:tcPr>
            <w:tcW w:w="536" w:type="pct"/>
            <w:noWrap/>
            <w:hideMark/>
          </w:tcPr>
          <w:p w14:paraId="4F231A27" w14:textId="77777777" w:rsidR="003E2FA0" w:rsidRPr="002B55E9" w:rsidRDefault="003E2FA0" w:rsidP="00ED50AB">
            <w:pPr>
              <w:pStyle w:val="lgy-"/>
              <w:rPr>
                <w:rFonts w:eastAsia="宋体"/>
              </w:rPr>
            </w:pPr>
            <w:r w:rsidRPr="002B55E9">
              <w:rPr>
                <w:rFonts w:eastAsia="宋体" w:hint="eastAsia"/>
              </w:rPr>
              <w:t>89%</w:t>
            </w:r>
          </w:p>
        </w:tc>
        <w:tc>
          <w:tcPr>
            <w:tcW w:w="499" w:type="pct"/>
            <w:noWrap/>
            <w:hideMark/>
          </w:tcPr>
          <w:p w14:paraId="10AF1B18" w14:textId="77777777" w:rsidR="003E2FA0" w:rsidRPr="002B55E9" w:rsidRDefault="003E2FA0" w:rsidP="00ED50AB">
            <w:pPr>
              <w:pStyle w:val="lgy-"/>
              <w:rPr>
                <w:rFonts w:eastAsia="宋体"/>
              </w:rPr>
            </w:pPr>
            <w:r w:rsidRPr="002B55E9">
              <w:rPr>
                <w:rFonts w:eastAsia="宋体" w:hint="eastAsia"/>
                <w:szCs w:val="22"/>
              </w:rPr>
              <w:t>90%</w:t>
            </w:r>
          </w:p>
        </w:tc>
        <w:tc>
          <w:tcPr>
            <w:tcW w:w="499" w:type="pct"/>
            <w:noWrap/>
            <w:hideMark/>
          </w:tcPr>
          <w:p w14:paraId="28AF21CA" w14:textId="77777777" w:rsidR="003E2FA0" w:rsidRPr="002B55E9" w:rsidRDefault="003E2FA0" w:rsidP="00ED50AB">
            <w:pPr>
              <w:pStyle w:val="lgy-"/>
              <w:rPr>
                <w:rFonts w:eastAsia="宋体"/>
              </w:rPr>
            </w:pPr>
            <w:r w:rsidRPr="002B55E9">
              <w:rPr>
                <w:rFonts w:eastAsia="宋体" w:hint="eastAsia"/>
              </w:rPr>
              <w:t>0%</w:t>
            </w:r>
          </w:p>
        </w:tc>
        <w:tc>
          <w:tcPr>
            <w:tcW w:w="499" w:type="pct"/>
            <w:noWrap/>
            <w:hideMark/>
          </w:tcPr>
          <w:p w14:paraId="61B01374" w14:textId="77777777" w:rsidR="003E2FA0" w:rsidRPr="002B55E9" w:rsidRDefault="003E2FA0" w:rsidP="00ED50AB">
            <w:pPr>
              <w:pStyle w:val="lgy-"/>
              <w:rPr>
                <w:rFonts w:eastAsia="宋体"/>
              </w:rPr>
            </w:pPr>
            <w:r w:rsidRPr="002B55E9">
              <w:rPr>
                <w:rFonts w:eastAsia="宋体" w:hint="eastAsia"/>
              </w:rPr>
              <w:t>0%</w:t>
            </w:r>
          </w:p>
        </w:tc>
        <w:tc>
          <w:tcPr>
            <w:tcW w:w="707" w:type="pct"/>
            <w:noWrap/>
            <w:hideMark/>
          </w:tcPr>
          <w:p w14:paraId="3AE73783" w14:textId="77777777" w:rsidR="003E2FA0" w:rsidRPr="002B55E9" w:rsidRDefault="003E2FA0" w:rsidP="00ED50AB">
            <w:pPr>
              <w:pStyle w:val="lgy-"/>
              <w:rPr>
                <w:rFonts w:eastAsia="宋体"/>
              </w:rPr>
            </w:pPr>
            <w:r w:rsidRPr="002B55E9">
              <w:rPr>
                <w:rFonts w:eastAsia="宋体" w:hint="eastAsia"/>
              </w:rPr>
              <w:t>0%</w:t>
            </w:r>
          </w:p>
        </w:tc>
        <w:tc>
          <w:tcPr>
            <w:tcW w:w="631" w:type="pct"/>
            <w:noWrap/>
            <w:hideMark/>
          </w:tcPr>
          <w:p w14:paraId="5349656B" w14:textId="77777777" w:rsidR="003E2FA0" w:rsidRPr="002B55E9" w:rsidRDefault="003E2FA0" w:rsidP="00ED50AB">
            <w:pPr>
              <w:pStyle w:val="lgy-"/>
              <w:rPr>
                <w:rFonts w:eastAsia="宋体"/>
              </w:rPr>
            </w:pPr>
            <w:r w:rsidRPr="002B55E9">
              <w:rPr>
                <w:rFonts w:eastAsia="宋体" w:hint="eastAsia"/>
              </w:rPr>
              <w:t>0%</w:t>
            </w:r>
          </w:p>
        </w:tc>
        <w:tc>
          <w:tcPr>
            <w:tcW w:w="499" w:type="pct"/>
            <w:noWrap/>
            <w:hideMark/>
          </w:tcPr>
          <w:p w14:paraId="41C4A8FD" w14:textId="77777777" w:rsidR="003E2FA0" w:rsidRPr="002B55E9" w:rsidRDefault="003E2FA0" w:rsidP="00ED50AB">
            <w:pPr>
              <w:pStyle w:val="lgy-"/>
              <w:rPr>
                <w:rFonts w:eastAsia="宋体"/>
              </w:rPr>
            </w:pPr>
            <w:r w:rsidRPr="002B55E9">
              <w:rPr>
                <w:rFonts w:eastAsia="宋体" w:hint="eastAsia"/>
              </w:rPr>
              <w:t>0</w:t>
            </w:r>
          </w:p>
        </w:tc>
      </w:tr>
      <w:tr w:rsidR="003E2FA0" w:rsidRPr="002B55E9" w14:paraId="47D0A0FC" w14:textId="77777777" w:rsidTr="003E2FA0">
        <w:trPr>
          <w:trHeight w:val="283"/>
        </w:trPr>
        <w:tc>
          <w:tcPr>
            <w:tcW w:w="488" w:type="pct"/>
            <w:vMerge w:val="restart"/>
            <w:noWrap/>
            <w:hideMark/>
          </w:tcPr>
          <w:p w14:paraId="221547BE" w14:textId="77777777" w:rsidR="003E2FA0" w:rsidRPr="002B55E9" w:rsidRDefault="003E2FA0" w:rsidP="00ED50AB">
            <w:pPr>
              <w:pStyle w:val="lgy-"/>
              <w:rPr>
                <w:rFonts w:eastAsia="宋体"/>
              </w:rPr>
            </w:pPr>
            <w:r w:rsidRPr="002B55E9">
              <w:rPr>
                <w:rFonts w:eastAsia="宋体" w:hint="eastAsia"/>
              </w:rPr>
              <w:t>AO</w:t>
            </w:r>
            <w:r w:rsidRPr="002B55E9">
              <w:rPr>
                <w:rFonts w:eastAsia="宋体" w:hint="eastAsia"/>
              </w:rPr>
              <w:t>系统</w:t>
            </w:r>
          </w:p>
        </w:tc>
        <w:tc>
          <w:tcPr>
            <w:tcW w:w="643" w:type="pct"/>
            <w:noWrap/>
            <w:hideMark/>
          </w:tcPr>
          <w:p w14:paraId="256E0D15" w14:textId="77777777" w:rsidR="003E2FA0" w:rsidRPr="002B55E9" w:rsidRDefault="003E2FA0" w:rsidP="00ED50AB">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09F895EE" w14:textId="77777777" w:rsidR="003E2FA0" w:rsidRPr="002B55E9" w:rsidRDefault="003E2FA0" w:rsidP="00ED50AB">
            <w:pPr>
              <w:pStyle w:val="lgy-"/>
              <w:rPr>
                <w:rFonts w:eastAsia="宋体"/>
              </w:rPr>
            </w:pPr>
            <w:r w:rsidRPr="002B55E9">
              <w:rPr>
                <w:rFonts w:eastAsia="宋体" w:hint="eastAsia"/>
              </w:rPr>
              <w:t>500</w:t>
            </w:r>
          </w:p>
        </w:tc>
        <w:tc>
          <w:tcPr>
            <w:tcW w:w="499" w:type="pct"/>
            <w:noWrap/>
            <w:hideMark/>
          </w:tcPr>
          <w:p w14:paraId="209C80E3" w14:textId="77777777" w:rsidR="003E2FA0" w:rsidRPr="002B55E9" w:rsidRDefault="003E2FA0" w:rsidP="00ED50AB">
            <w:pPr>
              <w:pStyle w:val="lgy-"/>
              <w:rPr>
                <w:rFonts w:eastAsia="宋体"/>
              </w:rPr>
            </w:pPr>
            <w:r w:rsidRPr="002B55E9">
              <w:rPr>
                <w:rFonts w:eastAsia="宋体" w:hint="eastAsia"/>
                <w:szCs w:val="22"/>
              </w:rPr>
              <w:t>160</w:t>
            </w:r>
          </w:p>
        </w:tc>
        <w:tc>
          <w:tcPr>
            <w:tcW w:w="499" w:type="pct"/>
            <w:noWrap/>
            <w:hideMark/>
          </w:tcPr>
          <w:p w14:paraId="2F094B80" w14:textId="77777777" w:rsidR="003E2FA0" w:rsidRPr="002B55E9" w:rsidRDefault="003E2FA0" w:rsidP="00ED50AB">
            <w:pPr>
              <w:pStyle w:val="lgy-"/>
              <w:rPr>
                <w:rFonts w:eastAsia="宋体"/>
              </w:rPr>
            </w:pPr>
            <w:r w:rsidRPr="002B55E9">
              <w:rPr>
                <w:rFonts w:eastAsia="宋体" w:hint="eastAsia"/>
              </w:rPr>
              <w:t>1000</w:t>
            </w:r>
          </w:p>
        </w:tc>
        <w:tc>
          <w:tcPr>
            <w:tcW w:w="499" w:type="pct"/>
            <w:noWrap/>
            <w:hideMark/>
          </w:tcPr>
          <w:p w14:paraId="12A22879" w14:textId="77777777" w:rsidR="003E2FA0" w:rsidRPr="002B55E9" w:rsidRDefault="003E2FA0" w:rsidP="00ED50AB">
            <w:pPr>
              <w:pStyle w:val="lgy-"/>
              <w:rPr>
                <w:rFonts w:eastAsia="宋体"/>
              </w:rPr>
            </w:pPr>
            <w:r w:rsidRPr="002B55E9">
              <w:rPr>
                <w:rFonts w:eastAsia="宋体" w:hint="eastAsia"/>
              </w:rPr>
              <w:t>70</w:t>
            </w:r>
          </w:p>
        </w:tc>
        <w:tc>
          <w:tcPr>
            <w:tcW w:w="707" w:type="pct"/>
            <w:noWrap/>
            <w:hideMark/>
          </w:tcPr>
          <w:p w14:paraId="71F75B8F" w14:textId="77777777" w:rsidR="003E2FA0" w:rsidRPr="002B55E9" w:rsidRDefault="003E2FA0" w:rsidP="00ED50AB">
            <w:pPr>
              <w:pStyle w:val="lgy-"/>
              <w:rPr>
                <w:rFonts w:eastAsia="宋体"/>
              </w:rPr>
            </w:pPr>
            <w:r w:rsidRPr="002B55E9">
              <w:rPr>
                <w:rFonts w:eastAsia="宋体" w:hint="eastAsia"/>
              </w:rPr>
              <w:t>120</w:t>
            </w:r>
          </w:p>
        </w:tc>
        <w:tc>
          <w:tcPr>
            <w:tcW w:w="631" w:type="pct"/>
            <w:noWrap/>
            <w:hideMark/>
          </w:tcPr>
          <w:p w14:paraId="3980603B" w14:textId="77777777" w:rsidR="003E2FA0" w:rsidRPr="002B55E9" w:rsidRDefault="003E2FA0" w:rsidP="00ED50AB">
            <w:pPr>
              <w:pStyle w:val="lgy-"/>
              <w:rPr>
                <w:rFonts w:eastAsia="宋体"/>
              </w:rPr>
            </w:pPr>
            <w:r w:rsidRPr="002B55E9">
              <w:rPr>
                <w:rFonts w:eastAsia="宋体" w:hint="eastAsia"/>
              </w:rPr>
              <w:t>20</w:t>
            </w:r>
          </w:p>
        </w:tc>
        <w:tc>
          <w:tcPr>
            <w:tcW w:w="499" w:type="pct"/>
            <w:noWrap/>
            <w:hideMark/>
          </w:tcPr>
          <w:p w14:paraId="0CF884D7" w14:textId="77777777" w:rsidR="003E2FA0" w:rsidRPr="002B55E9" w:rsidRDefault="003E2FA0" w:rsidP="00ED50AB">
            <w:pPr>
              <w:pStyle w:val="lgy-"/>
              <w:rPr>
                <w:rFonts w:eastAsia="宋体"/>
              </w:rPr>
            </w:pPr>
            <w:r w:rsidRPr="002B55E9">
              <w:rPr>
                <w:rFonts w:eastAsia="宋体" w:hint="eastAsia"/>
              </w:rPr>
              <w:t>100</w:t>
            </w:r>
          </w:p>
        </w:tc>
      </w:tr>
      <w:tr w:rsidR="003E2FA0" w:rsidRPr="002B55E9" w14:paraId="5022238A" w14:textId="77777777" w:rsidTr="003E2FA0">
        <w:trPr>
          <w:trHeight w:val="283"/>
        </w:trPr>
        <w:tc>
          <w:tcPr>
            <w:tcW w:w="488" w:type="pct"/>
            <w:vMerge/>
            <w:hideMark/>
          </w:tcPr>
          <w:p w14:paraId="29BCC04F" w14:textId="77777777" w:rsidR="003E2FA0" w:rsidRPr="002B55E9" w:rsidRDefault="003E2FA0" w:rsidP="00ED50AB">
            <w:pPr>
              <w:pStyle w:val="lgy-"/>
              <w:rPr>
                <w:rFonts w:eastAsia="宋体"/>
              </w:rPr>
            </w:pPr>
          </w:p>
        </w:tc>
        <w:tc>
          <w:tcPr>
            <w:tcW w:w="643" w:type="pct"/>
            <w:noWrap/>
            <w:hideMark/>
          </w:tcPr>
          <w:p w14:paraId="492A6B98" w14:textId="77777777" w:rsidR="003E2FA0" w:rsidRPr="002B55E9" w:rsidRDefault="003E2FA0" w:rsidP="00ED50AB">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7B6E7856" w14:textId="77777777" w:rsidR="003E2FA0" w:rsidRPr="002B55E9" w:rsidRDefault="003E2FA0" w:rsidP="00ED50AB">
            <w:pPr>
              <w:pStyle w:val="lgy-"/>
              <w:rPr>
                <w:rFonts w:eastAsia="宋体"/>
              </w:rPr>
            </w:pPr>
            <w:r w:rsidRPr="002B55E9">
              <w:rPr>
                <w:rFonts w:eastAsia="宋体" w:hint="eastAsia"/>
              </w:rPr>
              <w:t>300</w:t>
            </w:r>
          </w:p>
        </w:tc>
        <w:tc>
          <w:tcPr>
            <w:tcW w:w="499" w:type="pct"/>
            <w:noWrap/>
            <w:hideMark/>
          </w:tcPr>
          <w:p w14:paraId="580B7E71" w14:textId="77777777" w:rsidR="003E2FA0" w:rsidRPr="002B55E9" w:rsidRDefault="003E2FA0" w:rsidP="00ED50AB">
            <w:pPr>
              <w:pStyle w:val="lgy-"/>
              <w:rPr>
                <w:rFonts w:eastAsia="宋体"/>
              </w:rPr>
            </w:pPr>
            <w:r w:rsidRPr="002B55E9">
              <w:rPr>
                <w:rFonts w:eastAsia="宋体" w:hint="eastAsia"/>
                <w:szCs w:val="22"/>
              </w:rPr>
              <w:t>100</w:t>
            </w:r>
          </w:p>
        </w:tc>
        <w:tc>
          <w:tcPr>
            <w:tcW w:w="499" w:type="pct"/>
            <w:noWrap/>
            <w:hideMark/>
          </w:tcPr>
          <w:p w14:paraId="4BFE90FD" w14:textId="77777777" w:rsidR="003E2FA0" w:rsidRPr="002B55E9" w:rsidRDefault="003E2FA0" w:rsidP="00ED50AB">
            <w:pPr>
              <w:pStyle w:val="lgy-"/>
              <w:rPr>
                <w:rFonts w:eastAsia="宋体"/>
              </w:rPr>
            </w:pPr>
            <w:r w:rsidRPr="002B55E9">
              <w:rPr>
                <w:rFonts w:eastAsia="宋体" w:hint="eastAsia"/>
              </w:rPr>
              <w:t>200</w:t>
            </w:r>
          </w:p>
        </w:tc>
        <w:tc>
          <w:tcPr>
            <w:tcW w:w="499" w:type="pct"/>
            <w:noWrap/>
            <w:hideMark/>
          </w:tcPr>
          <w:p w14:paraId="000D0EE2" w14:textId="77777777" w:rsidR="003E2FA0" w:rsidRPr="002B55E9" w:rsidRDefault="003E2FA0" w:rsidP="00ED50AB">
            <w:pPr>
              <w:pStyle w:val="lgy-"/>
              <w:rPr>
                <w:rFonts w:eastAsia="宋体"/>
              </w:rPr>
            </w:pPr>
            <w:r w:rsidRPr="002B55E9">
              <w:rPr>
                <w:rFonts w:eastAsia="宋体" w:hint="eastAsia"/>
              </w:rPr>
              <w:t>35</w:t>
            </w:r>
          </w:p>
        </w:tc>
        <w:tc>
          <w:tcPr>
            <w:tcW w:w="707" w:type="pct"/>
            <w:noWrap/>
            <w:hideMark/>
          </w:tcPr>
          <w:p w14:paraId="1000A6D5" w14:textId="77777777" w:rsidR="003E2FA0" w:rsidRPr="002B55E9" w:rsidRDefault="003E2FA0" w:rsidP="00ED50AB">
            <w:pPr>
              <w:pStyle w:val="lgy-"/>
              <w:rPr>
                <w:rFonts w:eastAsia="宋体"/>
              </w:rPr>
            </w:pPr>
            <w:r w:rsidRPr="002B55E9">
              <w:rPr>
                <w:rFonts w:eastAsia="宋体" w:hint="eastAsia"/>
              </w:rPr>
              <w:t>45</w:t>
            </w:r>
          </w:p>
        </w:tc>
        <w:tc>
          <w:tcPr>
            <w:tcW w:w="631" w:type="pct"/>
            <w:noWrap/>
            <w:hideMark/>
          </w:tcPr>
          <w:p w14:paraId="040CEBBC" w14:textId="77777777" w:rsidR="003E2FA0" w:rsidRPr="002B55E9" w:rsidRDefault="003E2FA0" w:rsidP="00ED50AB">
            <w:pPr>
              <w:pStyle w:val="lgy-"/>
              <w:rPr>
                <w:rFonts w:eastAsia="宋体"/>
              </w:rPr>
            </w:pPr>
            <w:r w:rsidRPr="002B55E9">
              <w:rPr>
                <w:rFonts w:eastAsia="宋体" w:hint="eastAsia"/>
              </w:rPr>
              <w:t>8</w:t>
            </w:r>
          </w:p>
        </w:tc>
        <w:tc>
          <w:tcPr>
            <w:tcW w:w="499" w:type="pct"/>
            <w:noWrap/>
            <w:hideMark/>
          </w:tcPr>
          <w:p w14:paraId="7EBC4ED3" w14:textId="77777777" w:rsidR="003E2FA0" w:rsidRPr="002B55E9" w:rsidRDefault="003E2FA0" w:rsidP="00ED50AB">
            <w:pPr>
              <w:pStyle w:val="lgy-"/>
              <w:rPr>
                <w:rFonts w:eastAsia="宋体"/>
              </w:rPr>
            </w:pPr>
            <w:r w:rsidRPr="002B55E9">
              <w:rPr>
                <w:rFonts w:eastAsia="宋体" w:hint="eastAsia"/>
              </w:rPr>
              <w:t>80</w:t>
            </w:r>
          </w:p>
        </w:tc>
      </w:tr>
      <w:tr w:rsidR="003E2FA0" w:rsidRPr="002B55E9" w14:paraId="635A1A16" w14:textId="77777777" w:rsidTr="003E2FA0">
        <w:trPr>
          <w:trHeight w:val="283"/>
        </w:trPr>
        <w:tc>
          <w:tcPr>
            <w:tcW w:w="488" w:type="pct"/>
            <w:vMerge/>
            <w:hideMark/>
          </w:tcPr>
          <w:p w14:paraId="48BA4CAF" w14:textId="77777777" w:rsidR="003E2FA0" w:rsidRPr="002B55E9" w:rsidRDefault="003E2FA0" w:rsidP="00ED50AB">
            <w:pPr>
              <w:pStyle w:val="lgy-"/>
              <w:rPr>
                <w:rFonts w:eastAsia="宋体"/>
              </w:rPr>
            </w:pPr>
          </w:p>
        </w:tc>
        <w:tc>
          <w:tcPr>
            <w:tcW w:w="643" w:type="pct"/>
            <w:noWrap/>
            <w:hideMark/>
          </w:tcPr>
          <w:p w14:paraId="2E1CB077" w14:textId="77777777" w:rsidR="003E2FA0" w:rsidRPr="002B55E9" w:rsidRDefault="003E2FA0" w:rsidP="00ED50AB">
            <w:pPr>
              <w:pStyle w:val="lgy-"/>
              <w:rPr>
                <w:rFonts w:eastAsia="宋体"/>
              </w:rPr>
            </w:pPr>
            <w:r w:rsidRPr="002B55E9">
              <w:rPr>
                <w:rFonts w:eastAsia="宋体" w:hint="eastAsia"/>
              </w:rPr>
              <w:t>去除率</w:t>
            </w:r>
          </w:p>
        </w:tc>
        <w:tc>
          <w:tcPr>
            <w:tcW w:w="536" w:type="pct"/>
            <w:noWrap/>
            <w:hideMark/>
          </w:tcPr>
          <w:p w14:paraId="1DAA855F" w14:textId="77777777" w:rsidR="003E2FA0" w:rsidRPr="002B55E9" w:rsidRDefault="003E2FA0" w:rsidP="00ED50AB">
            <w:pPr>
              <w:pStyle w:val="lgy-"/>
              <w:rPr>
                <w:rFonts w:eastAsia="宋体"/>
              </w:rPr>
            </w:pPr>
            <w:r w:rsidRPr="002B55E9">
              <w:rPr>
                <w:rFonts w:eastAsia="宋体" w:hint="eastAsia"/>
              </w:rPr>
              <w:t>40%</w:t>
            </w:r>
          </w:p>
        </w:tc>
        <w:tc>
          <w:tcPr>
            <w:tcW w:w="499" w:type="pct"/>
            <w:noWrap/>
            <w:hideMark/>
          </w:tcPr>
          <w:p w14:paraId="31CB5392" w14:textId="77777777" w:rsidR="003E2FA0" w:rsidRPr="002B55E9" w:rsidRDefault="003E2FA0" w:rsidP="00ED50AB">
            <w:pPr>
              <w:pStyle w:val="lgy-"/>
              <w:rPr>
                <w:rFonts w:eastAsia="宋体"/>
              </w:rPr>
            </w:pPr>
            <w:r w:rsidRPr="002B55E9">
              <w:rPr>
                <w:rFonts w:eastAsia="宋体" w:hint="eastAsia"/>
                <w:szCs w:val="22"/>
              </w:rPr>
              <w:t>40%</w:t>
            </w:r>
          </w:p>
        </w:tc>
        <w:tc>
          <w:tcPr>
            <w:tcW w:w="499" w:type="pct"/>
            <w:noWrap/>
            <w:hideMark/>
          </w:tcPr>
          <w:p w14:paraId="6051DB82" w14:textId="77777777" w:rsidR="003E2FA0" w:rsidRPr="002B55E9" w:rsidRDefault="003E2FA0" w:rsidP="00ED50AB">
            <w:pPr>
              <w:pStyle w:val="lgy-"/>
              <w:rPr>
                <w:rFonts w:eastAsia="宋体"/>
              </w:rPr>
            </w:pPr>
            <w:r w:rsidRPr="002B55E9">
              <w:rPr>
                <w:rFonts w:eastAsia="宋体" w:hint="eastAsia"/>
              </w:rPr>
              <w:t>80%</w:t>
            </w:r>
          </w:p>
        </w:tc>
        <w:tc>
          <w:tcPr>
            <w:tcW w:w="499" w:type="pct"/>
            <w:noWrap/>
            <w:hideMark/>
          </w:tcPr>
          <w:p w14:paraId="3F5EF167" w14:textId="77777777" w:rsidR="003E2FA0" w:rsidRPr="002B55E9" w:rsidRDefault="003E2FA0" w:rsidP="00ED50AB">
            <w:pPr>
              <w:pStyle w:val="lgy-"/>
              <w:rPr>
                <w:rFonts w:eastAsia="宋体"/>
              </w:rPr>
            </w:pPr>
            <w:r w:rsidRPr="002B55E9">
              <w:rPr>
                <w:rFonts w:eastAsia="宋体" w:hint="eastAsia"/>
              </w:rPr>
              <w:t>50%</w:t>
            </w:r>
          </w:p>
        </w:tc>
        <w:tc>
          <w:tcPr>
            <w:tcW w:w="707" w:type="pct"/>
            <w:noWrap/>
            <w:hideMark/>
          </w:tcPr>
          <w:p w14:paraId="385FDAD4" w14:textId="77777777" w:rsidR="003E2FA0" w:rsidRPr="002B55E9" w:rsidRDefault="003E2FA0" w:rsidP="00ED50AB">
            <w:pPr>
              <w:pStyle w:val="lgy-"/>
              <w:rPr>
                <w:rFonts w:eastAsia="宋体"/>
              </w:rPr>
            </w:pPr>
            <w:r w:rsidRPr="002B55E9">
              <w:rPr>
                <w:rFonts w:eastAsia="宋体" w:hint="eastAsia"/>
              </w:rPr>
              <w:t>63%</w:t>
            </w:r>
          </w:p>
        </w:tc>
        <w:tc>
          <w:tcPr>
            <w:tcW w:w="631" w:type="pct"/>
            <w:noWrap/>
            <w:hideMark/>
          </w:tcPr>
          <w:p w14:paraId="505ACBC2" w14:textId="77777777" w:rsidR="003E2FA0" w:rsidRPr="002B55E9" w:rsidRDefault="003E2FA0" w:rsidP="00ED50AB">
            <w:pPr>
              <w:pStyle w:val="lgy-"/>
              <w:rPr>
                <w:rFonts w:eastAsia="宋体"/>
              </w:rPr>
            </w:pPr>
            <w:r w:rsidRPr="002B55E9">
              <w:rPr>
                <w:rFonts w:eastAsia="宋体" w:hint="eastAsia"/>
              </w:rPr>
              <w:t>60%</w:t>
            </w:r>
          </w:p>
        </w:tc>
        <w:tc>
          <w:tcPr>
            <w:tcW w:w="499" w:type="pct"/>
            <w:noWrap/>
            <w:hideMark/>
          </w:tcPr>
          <w:p w14:paraId="4647BC06" w14:textId="77777777" w:rsidR="003E2FA0" w:rsidRPr="002B55E9" w:rsidRDefault="003E2FA0" w:rsidP="00ED50AB">
            <w:pPr>
              <w:pStyle w:val="lgy-"/>
              <w:rPr>
                <w:rFonts w:eastAsia="宋体"/>
              </w:rPr>
            </w:pPr>
            <w:r w:rsidRPr="002B55E9">
              <w:rPr>
                <w:rFonts w:eastAsia="宋体" w:hint="eastAsia"/>
              </w:rPr>
              <w:t>20%</w:t>
            </w:r>
          </w:p>
        </w:tc>
      </w:tr>
      <w:tr w:rsidR="003E2FA0" w:rsidRPr="002B55E9" w14:paraId="1BD662D3" w14:textId="77777777" w:rsidTr="003E2FA0">
        <w:trPr>
          <w:trHeight w:val="283"/>
        </w:trPr>
        <w:tc>
          <w:tcPr>
            <w:tcW w:w="488" w:type="pct"/>
            <w:vMerge w:val="restart"/>
            <w:noWrap/>
            <w:hideMark/>
          </w:tcPr>
          <w:p w14:paraId="12A7B967" w14:textId="77777777" w:rsidR="003E2FA0" w:rsidRPr="002B55E9" w:rsidRDefault="003E2FA0" w:rsidP="00ED50AB">
            <w:pPr>
              <w:pStyle w:val="lgy-"/>
              <w:rPr>
                <w:rFonts w:eastAsia="宋体"/>
              </w:rPr>
            </w:pPr>
            <w:r w:rsidRPr="002B55E9">
              <w:rPr>
                <w:rFonts w:eastAsia="宋体" w:hint="eastAsia"/>
              </w:rPr>
              <w:t>深度处理</w:t>
            </w:r>
          </w:p>
        </w:tc>
        <w:tc>
          <w:tcPr>
            <w:tcW w:w="643" w:type="pct"/>
            <w:noWrap/>
            <w:hideMark/>
          </w:tcPr>
          <w:p w14:paraId="47805E1D" w14:textId="77777777" w:rsidR="003E2FA0" w:rsidRPr="002B55E9" w:rsidRDefault="003E2FA0" w:rsidP="00ED50AB">
            <w:pPr>
              <w:pStyle w:val="lgy-"/>
              <w:rPr>
                <w:rFonts w:eastAsia="宋体"/>
              </w:rPr>
            </w:pPr>
            <w:r w:rsidRPr="002B55E9">
              <w:rPr>
                <w:rFonts w:eastAsia="宋体" w:hint="eastAsia"/>
              </w:rPr>
              <w:t>进水</w:t>
            </w:r>
            <w:r w:rsidRPr="002B55E9">
              <w:rPr>
                <w:rFonts w:eastAsia="宋体" w:hint="eastAsia"/>
              </w:rPr>
              <w:t xml:space="preserve"> (mg/L)</w:t>
            </w:r>
          </w:p>
        </w:tc>
        <w:tc>
          <w:tcPr>
            <w:tcW w:w="536" w:type="pct"/>
            <w:noWrap/>
            <w:hideMark/>
          </w:tcPr>
          <w:p w14:paraId="22A75322" w14:textId="77777777" w:rsidR="003E2FA0" w:rsidRPr="002B55E9" w:rsidRDefault="003E2FA0" w:rsidP="00ED50AB">
            <w:pPr>
              <w:pStyle w:val="lgy-"/>
              <w:rPr>
                <w:rFonts w:eastAsia="宋体"/>
              </w:rPr>
            </w:pPr>
            <w:r w:rsidRPr="002B55E9">
              <w:rPr>
                <w:rFonts w:eastAsia="宋体" w:hint="eastAsia"/>
              </w:rPr>
              <w:t>300</w:t>
            </w:r>
          </w:p>
        </w:tc>
        <w:tc>
          <w:tcPr>
            <w:tcW w:w="499" w:type="pct"/>
            <w:noWrap/>
            <w:hideMark/>
          </w:tcPr>
          <w:p w14:paraId="082CF59A" w14:textId="77777777" w:rsidR="003E2FA0" w:rsidRPr="002B55E9" w:rsidRDefault="003E2FA0" w:rsidP="00ED50AB">
            <w:pPr>
              <w:pStyle w:val="lgy-"/>
              <w:rPr>
                <w:rFonts w:eastAsia="宋体"/>
              </w:rPr>
            </w:pPr>
            <w:r w:rsidRPr="002B55E9">
              <w:rPr>
                <w:rFonts w:eastAsia="宋体" w:hint="eastAsia"/>
                <w:szCs w:val="22"/>
              </w:rPr>
              <w:t>100</w:t>
            </w:r>
          </w:p>
        </w:tc>
        <w:tc>
          <w:tcPr>
            <w:tcW w:w="499" w:type="pct"/>
            <w:noWrap/>
            <w:hideMark/>
          </w:tcPr>
          <w:p w14:paraId="3FD6DBE7" w14:textId="77777777" w:rsidR="003E2FA0" w:rsidRPr="002B55E9" w:rsidRDefault="003E2FA0" w:rsidP="00ED50AB">
            <w:pPr>
              <w:pStyle w:val="lgy-"/>
              <w:rPr>
                <w:rFonts w:eastAsia="宋体"/>
              </w:rPr>
            </w:pPr>
            <w:r w:rsidRPr="002B55E9">
              <w:rPr>
                <w:rFonts w:eastAsia="宋体" w:hint="eastAsia"/>
              </w:rPr>
              <w:t>200</w:t>
            </w:r>
          </w:p>
        </w:tc>
        <w:tc>
          <w:tcPr>
            <w:tcW w:w="499" w:type="pct"/>
            <w:noWrap/>
            <w:hideMark/>
          </w:tcPr>
          <w:p w14:paraId="30BF0748" w14:textId="77777777" w:rsidR="003E2FA0" w:rsidRPr="002B55E9" w:rsidRDefault="003E2FA0" w:rsidP="00ED50AB">
            <w:pPr>
              <w:pStyle w:val="lgy-"/>
              <w:rPr>
                <w:rFonts w:eastAsia="宋体"/>
              </w:rPr>
            </w:pPr>
            <w:r w:rsidRPr="002B55E9">
              <w:rPr>
                <w:rFonts w:eastAsia="宋体" w:hint="eastAsia"/>
              </w:rPr>
              <w:t>35</w:t>
            </w:r>
          </w:p>
        </w:tc>
        <w:tc>
          <w:tcPr>
            <w:tcW w:w="707" w:type="pct"/>
            <w:noWrap/>
            <w:hideMark/>
          </w:tcPr>
          <w:p w14:paraId="2B87313F" w14:textId="77777777" w:rsidR="003E2FA0" w:rsidRPr="002B55E9" w:rsidRDefault="003E2FA0" w:rsidP="00ED50AB">
            <w:pPr>
              <w:pStyle w:val="lgy-"/>
              <w:rPr>
                <w:rFonts w:eastAsia="宋体"/>
              </w:rPr>
            </w:pPr>
            <w:r w:rsidRPr="002B55E9">
              <w:rPr>
                <w:rFonts w:eastAsia="宋体" w:hint="eastAsia"/>
              </w:rPr>
              <w:t>45</w:t>
            </w:r>
          </w:p>
        </w:tc>
        <w:tc>
          <w:tcPr>
            <w:tcW w:w="631" w:type="pct"/>
            <w:noWrap/>
            <w:hideMark/>
          </w:tcPr>
          <w:p w14:paraId="7C78FA6D" w14:textId="77777777" w:rsidR="003E2FA0" w:rsidRPr="002B55E9" w:rsidRDefault="003E2FA0" w:rsidP="00ED50AB">
            <w:pPr>
              <w:pStyle w:val="lgy-"/>
              <w:rPr>
                <w:rFonts w:eastAsia="宋体"/>
              </w:rPr>
            </w:pPr>
            <w:r w:rsidRPr="002B55E9">
              <w:rPr>
                <w:rFonts w:eastAsia="宋体" w:hint="eastAsia"/>
              </w:rPr>
              <w:t>8</w:t>
            </w:r>
          </w:p>
        </w:tc>
        <w:tc>
          <w:tcPr>
            <w:tcW w:w="499" w:type="pct"/>
            <w:noWrap/>
            <w:hideMark/>
          </w:tcPr>
          <w:p w14:paraId="482C1ECF" w14:textId="77777777" w:rsidR="003E2FA0" w:rsidRPr="002B55E9" w:rsidRDefault="003E2FA0" w:rsidP="00ED50AB">
            <w:pPr>
              <w:pStyle w:val="lgy-"/>
              <w:rPr>
                <w:rFonts w:eastAsia="宋体"/>
              </w:rPr>
            </w:pPr>
            <w:r w:rsidRPr="002B55E9">
              <w:rPr>
                <w:rFonts w:eastAsia="宋体" w:hint="eastAsia"/>
              </w:rPr>
              <w:t>80</w:t>
            </w:r>
          </w:p>
        </w:tc>
      </w:tr>
      <w:tr w:rsidR="003E2FA0" w:rsidRPr="002B55E9" w14:paraId="606CDEAF" w14:textId="77777777" w:rsidTr="003E2FA0">
        <w:trPr>
          <w:trHeight w:val="283"/>
        </w:trPr>
        <w:tc>
          <w:tcPr>
            <w:tcW w:w="488" w:type="pct"/>
            <w:vMerge/>
            <w:hideMark/>
          </w:tcPr>
          <w:p w14:paraId="0A99FC2B" w14:textId="77777777" w:rsidR="003E2FA0" w:rsidRPr="002B55E9" w:rsidRDefault="003E2FA0" w:rsidP="00ED50AB">
            <w:pPr>
              <w:pStyle w:val="lgy-"/>
              <w:rPr>
                <w:rFonts w:eastAsia="宋体"/>
              </w:rPr>
            </w:pPr>
          </w:p>
        </w:tc>
        <w:tc>
          <w:tcPr>
            <w:tcW w:w="643" w:type="pct"/>
            <w:noWrap/>
            <w:hideMark/>
          </w:tcPr>
          <w:p w14:paraId="506BA3FC" w14:textId="77777777" w:rsidR="003E2FA0" w:rsidRPr="002B55E9" w:rsidRDefault="003E2FA0" w:rsidP="00ED50AB">
            <w:pPr>
              <w:pStyle w:val="lgy-"/>
              <w:rPr>
                <w:rFonts w:eastAsia="宋体"/>
              </w:rPr>
            </w:pPr>
            <w:r w:rsidRPr="002B55E9">
              <w:rPr>
                <w:rFonts w:eastAsia="宋体" w:hint="eastAsia"/>
              </w:rPr>
              <w:t>出水</w:t>
            </w:r>
            <w:r w:rsidRPr="002B55E9">
              <w:rPr>
                <w:rFonts w:eastAsia="宋体" w:hint="eastAsia"/>
              </w:rPr>
              <w:t xml:space="preserve"> (mg/L)</w:t>
            </w:r>
          </w:p>
        </w:tc>
        <w:tc>
          <w:tcPr>
            <w:tcW w:w="536" w:type="pct"/>
            <w:noWrap/>
            <w:hideMark/>
          </w:tcPr>
          <w:p w14:paraId="4C7ED463" w14:textId="77777777" w:rsidR="003E2FA0" w:rsidRPr="002B55E9" w:rsidRDefault="003E2FA0" w:rsidP="00ED50AB">
            <w:pPr>
              <w:pStyle w:val="lgy-"/>
              <w:rPr>
                <w:rFonts w:eastAsia="宋体"/>
              </w:rPr>
            </w:pPr>
            <w:r w:rsidRPr="002B55E9">
              <w:rPr>
                <w:rFonts w:eastAsia="宋体" w:hint="eastAsia"/>
              </w:rPr>
              <w:t>270</w:t>
            </w:r>
          </w:p>
        </w:tc>
        <w:tc>
          <w:tcPr>
            <w:tcW w:w="499" w:type="pct"/>
            <w:noWrap/>
            <w:hideMark/>
          </w:tcPr>
          <w:p w14:paraId="38A6ABA3" w14:textId="77777777" w:rsidR="003E2FA0" w:rsidRPr="002B55E9" w:rsidRDefault="003E2FA0" w:rsidP="00ED50AB">
            <w:pPr>
              <w:pStyle w:val="lgy-"/>
              <w:rPr>
                <w:rFonts w:eastAsia="宋体"/>
              </w:rPr>
            </w:pPr>
            <w:r w:rsidRPr="002B55E9">
              <w:rPr>
                <w:rFonts w:eastAsia="宋体" w:hint="eastAsia"/>
                <w:szCs w:val="22"/>
              </w:rPr>
              <w:t>90</w:t>
            </w:r>
          </w:p>
        </w:tc>
        <w:tc>
          <w:tcPr>
            <w:tcW w:w="499" w:type="pct"/>
            <w:noWrap/>
            <w:hideMark/>
          </w:tcPr>
          <w:p w14:paraId="6D13659A" w14:textId="77777777" w:rsidR="003E2FA0" w:rsidRPr="002B55E9" w:rsidRDefault="003E2FA0" w:rsidP="00ED50AB">
            <w:pPr>
              <w:pStyle w:val="lgy-"/>
              <w:rPr>
                <w:rFonts w:eastAsia="宋体"/>
              </w:rPr>
            </w:pPr>
            <w:r w:rsidRPr="002B55E9">
              <w:rPr>
                <w:rFonts w:eastAsia="宋体" w:hint="eastAsia"/>
              </w:rPr>
              <w:t>200</w:t>
            </w:r>
          </w:p>
        </w:tc>
        <w:tc>
          <w:tcPr>
            <w:tcW w:w="499" w:type="pct"/>
            <w:noWrap/>
            <w:hideMark/>
          </w:tcPr>
          <w:p w14:paraId="1C2DB989" w14:textId="77777777" w:rsidR="003E2FA0" w:rsidRPr="002B55E9" w:rsidRDefault="003E2FA0" w:rsidP="00ED50AB">
            <w:pPr>
              <w:pStyle w:val="lgy-"/>
              <w:rPr>
                <w:rFonts w:eastAsia="宋体"/>
              </w:rPr>
            </w:pPr>
            <w:r w:rsidRPr="002B55E9">
              <w:rPr>
                <w:rFonts w:eastAsia="宋体" w:hint="eastAsia"/>
              </w:rPr>
              <w:t>30</w:t>
            </w:r>
          </w:p>
        </w:tc>
        <w:tc>
          <w:tcPr>
            <w:tcW w:w="707" w:type="pct"/>
            <w:noWrap/>
            <w:hideMark/>
          </w:tcPr>
          <w:p w14:paraId="21338886" w14:textId="77777777" w:rsidR="003E2FA0" w:rsidRPr="002B55E9" w:rsidRDefault="003E2FA0" w:rsidP="00ED50AB">
            <w:pPr>
              <w:pStyle w:val="lgy-"/>
              <w:rPr>
                <w:rFonts w:eastAsia="宋体"/>
              </w:rPr>
            </w:pPr>
            <w:r w:rsidRPr="002B55E9">
              <w:rPr>
                <w:rFonts w:eastAsia="宋体" w:hint="eastAsia"/>
              </w:rPr>
              <w:t>40</w:t>
            </w:r>
          </w:p>
        </w:tc>
        <w:tc>
          <w:tcPr>
            <w:tcW w:w="631" w:type="pct"/>
            <w:noWrap/>
            <w:hideMark/>
          </w:tcPr>
          <w:p w14:paraId="510948A8" w14:textId="77777777" w:rsidR="003E2FA0" w:rsidRPr="002B55E9" w:rsidRDefault="003E2FA0" w:rsidP="00ED50AB">
            <w:pPr>
              <w:pStyle w:val="lgy-"/>
              <w:rPr>
                <w:rFonts w:eastAsia="宋体"/>
              </w:rPr>
            </w:pPr>
            <w:r w:rsidRPr="002B55E9">
              <w:rPr>
                <w:rFonts w:eastAsia="宋体" w:hint="eastAsia"/>
              </w:rPr>
              <w:t>3</w:t>
            </w:r>
          </w:p>
        </w:tc>
        <w:tc>
          <w:tcPr>
            <w:tcW w:w="499" w:type="pct"/>
            <w:noWrap/>
            <w:hideMark/>
          </w:tcPr>
          <w:p w14:paraId="6C3535E9" w14:textId="77777777" w:rsidR="003E2FA0" w:rsidRPr="002B55E9" w:rsidRDefault="003E2FA0" w:rsidP="00ED50AB">
            <w:pPr>
              <w:pStyle w:val="lgy-"/>
              <w:rPr>
                <w:rFonts w:eastAsia="宋体"/>
              </w:rPr>
            </w:pPr>
            <w:r w:rsidRPr="002B55E9">
              <w:rPr>
                <w:rFonts w:eastAsia="宋体" w:hint="eastAsia"/>
              </w:rPr>
              <w:t>80</w:t>
            </w:r>
          </w:p>
        </w:tc>
      </w:tr>
      <w:tr w:rsidR="003E2FA0" w:rsidRPr="002B55E9" w14:paraId="21938040" w14:textId="77777777" w:rsidTr="003E2FA0">
        <w:trPr>
          <w:trHeight w:val="283"/>
        </w:trPr>
        <w:tc>
          <w:tcPr>
            <w:tcW w:w="488" w:type="pct"/>
            <w:vMerge/>
            <w:hideMark/>
          </w:tcPr>
          <w:p w14:paraId="4BA7D104" w14:textId="77777777" w:rsidR="003E2FA0" w:rsidRPr="002B55E9" w:rsidRDefault="003E2FA0" w:rsidP="00ED50AB">
            <w:pPr>
              <w:pStyle w:val="lgy-"/>
              <w:rPr>
                <w:rFonts w:eastAsia="宋体"/>
              </w:rPr>
            </w:pPr>
          </w:p>
        </w:tc>
        <w:tc>
          <w:tcPr>
            <w:tcW w:w="643" w:type="pct"/>
            <w:noWrap/>
            <w:hideMark/>
          </w:tcPr>
          <w:p w14:paraId="000A6072" w14:textId="77777777" w:rsidR="003E2FA0" w:rsidRPr="002B55E9" w:rsidRDefault="003E2FA0" w:rsidP="00ED50AB">
            <w:pPr>
              <w:pStyle w:val="lgy-"/>
              <w:rPr>
                <w:rFonts w:eastAsia="宋体"/>
              </w:rPr>
            </w:pPr>
            <w:r w:rsidRPr="002B55E9">
              <w:rPr>
                <w:rFonts w:eastAsia="宋体" w:hint="eastAsia"/>
              </w:rPr>
              <w:t>去除率</w:t>
            </w:r>
          </w:p>
        </w:tc>
        <w:tc>
          <w:tcPr>
            <w:tcW w:w="536" w:type="pct"/>
            <w:noWrap/>
            <w:hideMark/>
          </w:tcPr>
          <w:p w14:paraId="2922AEA9" w14:textId="77777777" w:rsidR="003E2FA0" w:rsidRPr="002B55E9" w:rsidRDefault="003E2FA0" w:rsidP="00ED50AB">
            <w:pPr>
              <w:pStyle w:val="lgy-"/>
              <w:rPr>
                <w:rFonts w:eastAsia="宋体"/>
              </w:rPr>
            </w:pPr>
            <w:r w:rsidRPr="002B55E9">
              <w:rPr>
                <w:rFonts w:eastAsia="宋体" w:hint="eastAsia"/>
              </w:rPr>
              <w:t>10%</w:t>
            </w:r>
          </w:p>
        </w:tc>
        <w:tc>
          <w:tcPr>
            <w:tcW w:w="499" w:type="pct"/>
            <w:noWrap/>
            <w:hideMark/>
          </w:tcPr>
          <w:p w14:paraId="32935A8B" w14:textId="77777777" w:rsidR="003E2FA0" w:rsidRPr="002B55E9" w:rsidRDefault="003E2FA0" w:rsidP="00ED50AB">
            <w:pPr>
              <w:pStyle w:val="lgy-"/>
              <w:rPr>
                <w:rFonts w:eastAsia="宋体"/>
              </w:rPr>
            </w:pPr>
            <w:r w:rsidRPr="002B55E9">
              <w:rPr>
                <w:rFonts w:eastAsia="宋体" w:hint="eastAsia"/>
                <w:szCs w:val="22"/>
              </w:rPr>
              <w:t>10%</w:t>
            </w:r>
          </w:p>
        </w:tc>
        <w:tc>
          <w:tcPr>
            <w:tcW w:w="499" w:type="pct"/>
            <w:noWrap/>
            <w:hideMark/>
          </w:tcPr>
          <w:p w14:paraId="5A05631B" w14:textId="77777777" w:rsidR="003E2FA0" w:rsidRPr="002B55E9" w:rsidRDefault="003E2FA0" w:rsidP="00ED50AB">
            <w:pPr>
              <w:pStyle w:val="lgy-"/>
              <w:rPr>
                <w:rFonts w:eastAsia="宋体"/>
              </w:rPr>
            </w:pPr>
            <w:r w:rsidRPr="002B55E9">
              <w:rPr>
                <w:rFonts w:eastAsia="宋体" w:hint="eastAsia"/>
              </w:rPr>
              <w:t>0%</w:t>
            </w:r>
          </w:p>
        </w:tc>
        <w:tc>
          <w:tcPr>
            <w:tcW w:w="499" w:type="pct"/>
            <w:noWrap/>
            <w:hideMark/>
          </w:tcPr>
          <w:p w14:paraId="1BB7F022" w14:textId="77777777" w:rsidR="003E2FA0" w:rsidRPr="002B55E9" w:rsidRDefault="003E2FA0" w:rsidP="00ED50AB">
            <w:pPr>
              <w:pStyle w:val="lgy-"/>
              <w:rPr>
                <w:rFonts w:eastAsia="宋体"/>
              </w:rPr>
            </w:pPr>
            <w:r w:rsidRPr="002B55E9">
              <w:rPr>
                <w:rFonts w:eastAsia="宋体" w:hint="eastAsia"/>
              </w:rPr>
              <w:t>14%</w:t>
            </w:r>
          </w:p>
        </w:tc>
        <w:tc>
          <w:tcPr>
            <w:tcW w:w="707" w:type="pct"/>
            <w:noWrap/>
            <w:hideMark/>
          </w:tcPr>
          <w:p w14:paraId="7A83FC59" w14:textId="77777777" w:rsidR="003E2FA0" w:rsidRPr="002B55E9" w:rsidRDefault="003E2FA0" w:rsidP="00ED50AB">
            <w:pPr>
              <w:pStyle w:val="lgy-"/>
              <w:rPr>
                <w:rFonts w:eastAsia="宋体"/>
              </w:rPr>
            </w:pPr>
            <w:r w:rsidRPr="002B55E9">
              <w:rPr>
                <w:rFonts w:eastAsia="宋体" w:hint="eastAsia"/>
              </w:rPr>
              <w:t>11%</w:t>
            </w:r>
          </w:p>
        </w:tc>
        <w:tc>
          <w:tcPr>
            <w:tcW w:w="631" w:type="pct"/>
            <w:noWrap/>
            <w:hideMark/>
          </w:tcPr>
          <w:p w14:paraId="3474E4C9" w14:textId="77777777" w:rsidR="003E2FA0" w:rsidRPr="002B55E9" w:rsidRDefault="003E2FA0" w:rsidP="00ED50AB">
            <w:pPr>
              <w:pStyle w:val="lgy-"/>
              <w:rPr>
                <w:rFonts w:eastAsia="宋体"/>
              </w:rPr>
            </w:pPr>
            <w:r w:rsidRPr="002B55E9">
              <w:rPr>
                <w:rFonts w:eastAsia="宋体" w:hint="eastAsia"/>
              </w:rPr>
              <w:t>63%</w:t>
            </w:r>
          </w:p>
        </w:tc>
        <w:tc>
          <w:tcPr>
            <w:tcW w:w="499" w:type="pct"/>
            <w:noWrap/>
            <w:hideMark/>
          </w:tcPr>
          <w:p w14:paraId="0379AFA4" w14:textId="77777777" w:rsidR="003E2FA0" w:rsidRPr="002B55E9" w:rsidRDefault="003E2FA0" w:rsidP="00ED50AB">
            <w:pPr>
              <w:pStyle w:val="lgy-"/>
              <w:rPr>
                <w:rFonts w:eastAsia="宋体"/>
              </w:rPr>
            </w:pPr>
            <w:r w:rsidRPr="002B55E9">
              <w:rPr>
                <w:rFonts w:eastAsia="宋体" w:hint="eastAsia"/>
              </w:rPr>
              <w:t>0%</w:t>
            </w:r>
          </w:p>
        </w:tc>
      </w:tr>
      <w:tr w:rsidR="003E2FA0" w:rsidRPr="002B55E9" w14:paraId="7760FA48" w14:textId="77777777" w:rsidTr="003E2FA0">
        <w:trPr>
          <w:trHeight w:val="283"/>
        </w:trPr>
        <w:tc>
          <w:tcPr>
            <w:tcW w:w="1131" w:type="pct"/>
            <w:gridSpan w:val="2"/>
            <w:noWrap/>
            <w:hideMark/>
          </w:tcPr>
          <w:p w14:paraId="32ABECE5" w14:textId="77777777" w:rsidR="003E2FA0" w:rsidRPr="002B55E9" w:rsidRDefault="003E2FA0" w:rsidP="00ED50AB">
            <w:pPr>
              <w:pStyle w:val="lgy-"/>
              <w:rPr>
                <w:rFonts w:eastAsia="宋体"/>
              </w:rPr>
            </w:pPr>
            <w:r w:rsidRPr="002B55E9">
              <w:rPr>
                <w:rFonts w:eastAsia="宋体" w:hint="eastAsia"/>
              </w:rPr>
              <w:t>综合去除率</w:t>
            </w:r>
          </w:p>
        </w:tc>
        <w:tc>
          <w:tcPr>
            <w:tcW w:w="536" w:type="pct"/>
            <w:noWrap/>
            <w:hideMark/>
          </w:tcPr>
          <w:p w14:paraId="08ABD846" w14:textId="77777777" w:rsidR="003E2FA0" w:rsidRPr="002B55E9" w:rsidRDefault="003E2FA0" w:rsidP="00ED50AB">
            <w:pPr>
              <w:pStyle w:val="lgy-"/>
              <w:rPr>
                <w:rFonts w:eastAsia="宋体"/>
              </w:rPr>
            </w:pPr>
            <w:r w:rsidRPr="002B55E9">
              <w:rPr>
                <w:rFonts w:eastAsia="宋体" w:hint="eastAsia"/>
              </w:rPr>
              <w:t>95.13%</w:t>
            </w:r>
          </w:p>
        </w:tc>
        <w:tc>
          <w:tcPr>
            <w:tcW w:w="499" w:type="pct"/>
            <w:noWrap/>
            <w:hideMark/>
          </w:tcPr>
          <w:p w14:paraId="4394A90E" w14:textId="77777777" w:rsidR="003E2FA0" w:rsidRPr="002B55E9" w:rsidRDefault="003E2FA0" w:rsidP="00ED50AB">
            <w:pPr>
              <w:pStyle w:val="lgy-"/>
              <w:rPr>
                <w:rFonts w:eastAsia="宋体"/>
              </w:rPr>
            </w:pPr>
            <w:r w:rsidRPr="002B55E9">
              <w:rPr>
                <w:rFonts w:eastAsia="宋体" w:hint="eastAsia"/>
              </w:rPr>
              <w:t>95.57%</w:t>
            </w:r>
          </w:p>
        </w:tc>
        <w:tc>
          <w:tcPr>
            <w:tcW w:w="499" w:type="pct"/>
            <w:noWrap/>
            <w:hideMark/>
          </w:tcPr>
          <w:p w14:paraId="39265DB2" w14:textId="77777777" w:rsidR="003E2FA0" w:rsidRPr="002B55E9" w:rsidRDefault="003E2FA0" w:rsidP="00ED50AB">
            <w:pPr>
              <w:pStyle w:val="lgy-"/>
              <w:rPr>
                <w:rFonts w:eastAsia="宋体"/>
              </w:rPr>
            </w:pPr>
            <w:r w:rsidRPr="002B55E9">
              <w:rPr>
                <w:rFonts w:eastAsia="宋体" w:hint="eastAsia"/>
              </w:rPr>
              <w:t>86.60%</w:t>
            </w:r>
          </w:p>
        </w:tc>
        <w:tc>
          <w:tcPr>
            <w:tcW w:w="499" w:type="pct"/>
            <w:noWrap/>
            <w:hideMark/>
          </w:tcPr>
          <w:p w14:paraId="0FE546D1" w14:textId="77777777" w:rsidR="003E2FA0" w:rsidRPr="002B55E9" w:rsidRDefault="003E2FA0" w:rsidP="00ED50AB">
            <w:pPr>
              <w:pStyle w:val="lgy-"/>
              <w:rPr>
                <w:rFonts w:eastAsia="宋体"/>
              </w:rPr>
            </w:pPr>
            <w:r w:rsidRPr="002B55E9">
              <w:rPr>
                <w:rFonts w:eastAsia="宋体" w:hint="eastAsia"/>
              </w:rPr>
              <w:t>62.59%</w:t>
            </w:r>
          </w:p>
        </w:tc>
        <w:tc>
          <w:tcPr>
            <w:tcW w:w="707" w:type="pct"/>
            <w:noWrap/>
            <w:hideMark/>
          </w:tcPr>
          <w:p w14:paraId="69DA6889" w14:textId="77777777" w:rsidR="003E2FA0" w:rsidRPr="002B55E9" w:rsidRDefault="003E2FA0" w:rsidP="00ED50AB">
            <w:pPr>
              <w:pStyle w:val="lgy-"/>
              <w:rPr>
                <w:rFonts w:eastAsia="宋体"/>
              </w:rPr>
            </w:pPr>
            <w:r w:rsidRPr="002B55E9">
              <w:rPr>
                <w:rFonts w:eastAsia="宋体" w:hint="eastAsia"/>
              </w:rPr>
              <w:t>73.66%</w:t>
            </w:r>
          </w:p>
        </w:tc>
        <w:tc>
          <w:tcPr>
            <w:tcW w:w="631" w:type="pct"/>
            <w:noWrap/>
            <w:hideMark/>
          </w:tcPr>
          <w:p w14:paraId="7AE93AD7" w14:textId="77777777" w:rsidR="003E2FA0" w:rsidRPr="002B55E9" w:rsidRDefault="003E2FA0" w:rsidP="00ED50AB">
            <w:pPr>
              <w:pStyle w:val="lgy-"/>
              <w:rPr>
                <w:rFonts w:eastAsia="宋体"/>
              </w:rPr>
            </w:pPr>
            <w:r w:rsidRPr="002B55E9">
              <w:rPr>
                <w:rFonts w:eastAsia="宋体" w:hint="eastAsia"/>
              </w:rPr>
              <w:t>95.12%</w:t>
            </w:r>
          </w:p>
        </w:tc>
        <w:tc>
          <w:tcPr>
            <w:tcW w:w="499" w:type="pct"/>
            <w:noWrap/>
            <w:hideMark/>
          </w:tcPr>
          <w:p w14:paraId="60833999" w14:textId="77777777" w:rsidR="003E2FA0" w:rsidRPr="002B55E9" w:rsidRDefault="003E2FA0" w:rsidP="00ED50AB">
            <w:pPr>
              <w:pStyle w:val="lgy-"/>
              <w:rPr>
                <w:rFonts w:eastAsia="宋体"/>
              </w:rPr>
            </w:pPr>
            <w:r w:rsidRPr="002B55E9">
              <w:rPr>
                <w:rFonts w:eastAsia="宋体" w:hint="eastAsia"/>
              </w:rPr>
              <w:t>60.00%</w:t>
            </w:r>
          </w:p>
        </w:tc>
      </w:tr>
    </w:tbl>
    <w:p w14:paraId="758425CE" w14:textId="1B4DBA0E" w:rsidR="00D170E5" w:rsidRPr="002B55E9" w:rsidRDefault="00EF27AD">
      <w:pPr>
        <w:adjustRightInd w:val="0"/>
        <w:snapToGrid w:val="0"/>
        <w:spacing w:line="360" w:lineRule="auto"/>
        <w:ind w:firstLineChars="200" w:firstLine="480"/>
        <w:rPr>
          <w:sz w:val="24"/>
        </w:rPr>
      </w:pPr>
      <w:r w:rsidRPr="002B55E9">
        <w:rPr>
          <w:rFonts w:hint="eastAsia"/>
          <w:sz w:val="24"/>
        </w:rPr>
        <w:t>由</w:t>
      </w:r>
      <w:r w:rsidRPr="002B55E9">
        <w:rPr>
          <w:sz w:val="24"/>
        </w:rPr>
        <w:t>工程分析</w:t>
      </w:r>
      <w:r w:rsidRPr="002B55E9">
        <w:rPr>
          <w:rFonts w:hint="eastAsia"/>
          <w:sz w:val="24"/>
        </w:rPr>
        <w:t>可知，本项目总排口废水污染物排放浓度均可满足《污水综合排放标准》（</w:t>
      </w:r>
      <w:r w:rsidRPr="002B55E9">
        <w:rPr>
          <w:rFonts w:hint="eastAsia"/>
          <w:sz w:val="24"/>
        </w:rPr>
        <w:t>GB8978-1996</w:t>
      </w:r>
      <w:r w:rsidRPr="002B55E9">
        <w:rPr>
          <w:rFonts w:hint="eastAsia"/>
          <w:sz w:val="24"/>
        </w:rPr>
        <w:t>）中三级标准以及东西湖区污水处理厂纳管要求</w:t>
      </w:r>
      <w:r w:rsidRPr="002B55E9">
        <w:rPr>
          <w:sz w:val="24"/>
        </w:rPr>
        <w:t>。</w:t>
      </w:r>
    </w:p>
    <w:p w14:paraId="2AAB0ABA" w14:textId="6AB77BC9" w:rsidR="003D488E" w:rsidRPr="002B55E9" w:rsidRDefault="003D488E" w:rsidP="003D488E">
      <w:pPr>
        <w:pStyle w:val="aa"/>
        <w:rPr>
          <w:bCs/>
        </w:rPr>
      </w:pPr>
      <w:r w:rsidRPr="002B55E9">
        <w:rPr>
          <w:rFonts w:hint="eastAsia"/>
          <w:bCs/>
        </w:rPr>
        <w:t>参照海天醋业集团公司宿迁厂区，该厂区已建成年产</w:t>
      </w:r>
      <w:r w:rsidRPr="002B55E9">
        <w:rPr>
          <w:rFonts w:hint="eastAsia"/>
          <w:bCs/>
        </w:rPr>
        <w:t>140</w:t>
      </w:r>
      <w:r w:rsidRPr="002B55E9">
        <w:rPr>
          <w:rFonts w:hint="eastAsia"/>
          <w:bCs/>
        </w:rPr>
        <w:t>万吨调味品和</w:t>
      </w:r>
      <w:r w:rsidRPr="002B55E9">
        <w:rPr>
          <w:rFonts w:hint="eastAsia"/>
          <w:bCs/>
        </w:rPr>
        <w:t>2</w:t>
      </w:r>
      <w:r w:rsidRPr="002B55E9">
        <w:rPr>
          <w:rFonts w:hint="eastAsia"/>
          <w:bCs/>
        </w:rPr>
        <w:t>万吨黄酒项目，包括年产蚝油</w:t>
      </w:r>
      <w:r w:rsidRPr="002B55E9">
        <w:rPr>
          <w:rFonts w:hint="eastAsia"/>
          <w:bCs/>
        </w:rPr>
        <w:t>80</w:t>
      </w:r>
      <w:r w:rsidRPr="002B55E9">
        <w:rPr>
          <w:rFonts w:hint="eastAsia"/>
          <w:bCs/>
        </w:rPr>
        <w:t>万吨，年产醋</w:t>
      </w:r>
      <w:r w:rsidRPr="002B55E9">
        <w:rPr>
          <w:rFonts w:hint="eastAsia"/>
          <w:bCs/>
        </w:rPr>
        <w:t>30</w:t>
      </w:r>
      <w:r w:rsidRPr="002B55E9">
        <w:rPr>
          <w:rFonts w:hint="eastAsia"/>
          <w:bCs/>
        </w:rPr>
        <w:t>万吨，年产料酒</w:t>
      </w:r>
      <w:r w:rsidRPr="002B55E9">
        <w:rPr>
          <w:rFonts w:hint="eastAsia"/>
          <w:bCs/>
        </w:rPr>
        <w:t>30</w:t>
      </w:r>
      <w:r w:rsidRPr="002B55E9">
        <w:rPr>
          <w:rFonts w:hint="eastAsia"/>
          <w:bCs/>
        </w:rPr>
        <w:t>万吨，年产黄酒</w:t>
      </w:r>
      <w:r w:rsidRPr="002B55E9">
        <w:rPr>
          <w:rFonts w:hint="eastAsia"/>
          <w:bCs/>
        </w:rPr>
        <w:t>2</w:t>
      </w:r>
      <w:r w:rsidRPr="002B55E9">
        <w:rPr>
          <w:rFonts w:hint="eastAsia"/>
          <w:bCs/>
        </w:rPr>
        <w:t>万吨。</w:t>
      </w:r>
      <w:r w:rsidRPr="002B55E9">
        <w:rPr>
          <w:rFonts w:hint="eastAsia"/>
        </w:rPr>
        <w:t>根据海天醋业集团有限公司第二季度《海天醋业集团有限公司（西厂区）检测报告》（报告编号：</w:t>
      </w:r>
      <w:r w:rsidRPr="002B55E9">
        <w:rPr>
          <w:rFonts w:hint="eastAsia"/>
          <w:bCs/>
        </w:rPr>
        <w:t>JSHJ-2022S-11902-01</w:t>
      </w:r>
      <w:r w:rsidRPr="002B55E9">
        <w:rPr>
          <w:rFonts w:hint="eastAsia"/>
          <w:bCs/>
        </w:rPr>
        <w:t>），厂区污水处理站排水各污染物浓度均可满足《污水综合排放标准》（</w:t>
      </w:r>
      <w:r w:rsidRPr="002B55E9">
        <w:rPr>
          <w:rFonts w:hint="eastAsia"/>
          <w:bCs/>
        </w:rPr>
        <w:t>GB8978-1996</w:t>
      </w:r>
      <w:r w:rsidRPr="002B55E9">
        <w:rPr>
          <w:rFonts w:hint="eastAsia"/>
          <w:bCs/>
        </w:rPr>
        <w:t>）中表</w:t>
      </w:r>
      <w:r w:rsidRPr="002B55E9">
        <w:rPr>
          <w:rFonts w:hint="eastAsia"/>
          <w:bCs/>
        </w:rPr>
        <w:t>4</w:t>
      </w:r>
      <w:r w:rsidRPr="002B55E9">
        <w:rPr>
          <w:rFonts w:hint="eastAsia"/>
          <w:bCs/>
        </w:rPr>
        <w:t>三级标准以及东西湖区污水处理厂纳管标准限值要求。</w:t>
      </w:r>
    </w:p>
    <w:p w14:paraId="69AB4A0B" w14:textId="77777777" w:rsidR="00D170E5" w:rsidRPr="002B55E9" w:rsidRDefault="00EF27AD">
      <w:pPr>
        <w:pStyle w:val="4"/>
        <w:rPr>
          <w:color w:val="auto"/>
        </w:rPr>
      </w:pPr>
      <w:r w:rsidRPr="002B55E9">
        <w:rPr>
          <w:rFonts w:hint="eastAsia"/>
          <w:color w:val="auto"/>
        </w:rPr>
        <w:t>污水处理可行性与可靠性分析</w:t>
      </w:r>
    </w:p>
    <w:p w14:paraId="6B446BB9" w14:textId="2AE4EA33" w:rsidR="00D170E5" w:rsidRPr="002B55E9" w:rsidRDefault="00EF27AD">
      <w:pPr>
        <w:spacing w:line="360" w:lineRule="auto"/>
        <w:ind w:firstLineChars="200" w:firstLine="480"/>
        <w:rPr>
          <w:sz w:val="24"/>
        </w:rPr>
      </w:pPr>
      <w:r w:rsidRPr="002B55E9">
        <w:rPr>
          <w:rFonts w:hint="eastAsia"/>
          <w:sz w:val="24"/>
        </w:rPr>
        <w:t>佛山市</w:t>
      </w:r>
      <w:r w:rsidRPr="002B55E9">
        <w:rPr>
          <w:sz w:val="24"/>
        </w:rPr>
        <w:t>海天（</w:t>
      </w:r>
      <w:r w:rsidRPr="002B55E9">
        <w:rPr>
          <w:rFonts w:hint="eastAsia"/>
          <w:sz w:val="24"/>
        </w:rPr>
        <w:t>武汉</w:t>
      </w:r>
      <w:r w:rsidRPr="002B55E9">
        <w:rPr>
          <w:sz w:val="24"/>
        </w:rPr>
        <w:t>）</w:t>
      </w:r>
      <w:r w:rsidRPr="002B55E9">
        <w:rPr>
          <w:rFonts w:hint="eastAsia"/>
          <w:sz w:val="24"/>
        </w:rPr>
        <w:t>调味</w:t>
      </w:r>
      <w:r w:rsidRPr="002B55E9">
        <w:rPr>
          <w:sz w:val="24"/>
        </w:rPr>
        <w:t>食品</w:t>
      </w:r>
      <w:r w:rsidRPr="002B55E9">
        <w:rPr>
          <w:rFonts w:hint="eastAsia"/>
          <w:sz w:val="24"/>
        </w:rPr>
        <w:t>有限公司污水处理站规模为</w:t>
      </w:r>
      <w:r w:rsidRPr="002B55E9">
        <w:rPr>
          <w:rFonts w:hint="eastAsia"/>
          <w:sz w:val="24"/>
        </w:rPr>
        <w:t>1000m</w:t>
      </w:r>
      <w:r w:rsidRPr="002B55E9">
        <w:rPr>
          <w:sz w:val="24"/>
          <w:vertAlign w:val="superscript"/>
        </w:rPr>
        <w:t>3</w:t>
      </w:r>
      <w:r w:rsidRPr="002B55E9">
        <w:rPr>
          <w:sz w:val="24"/>
        </w:rPr>
        <w:t>/</w:t>
      </w:r>
      <w:r w:rsidRPr="002B55E9">
        <w:rPr>
          <w:rFonts w:hint="eastAsia"/>
          <w:sz w:val="24"/>
        </w:rPr>
        <w:t>d</w:t>
      </w:r>
      <w:r w:rsidRPr="002B55E9">
        <w:rPr>
          <w:rFonts w:hint="eastAsia"/>
          <w:sz w:val="24"/>
        </w:rPr>
        <w:t>，根据</w:t>
      </w:r>
      <w:r w:rsidRPr="002B55E9">
        <w:rPr>
          <w:sz w:val="24"/>
        </w:rPr>
        <w:t>《</w:t>
      </w:r>
      <w:r w:rsidRPr="002B55E9">
        <w:rPr>
          <w:rFonts w:hint="eastAsia"/>
          <w:sz w:val="24"/>
        </w:rPr>
        <w:t>佛山市</w:t>
      </w:r>
      <w:r w:rsidRPr="002B55E9">
        <w:rPr>
          <w:sz w:val="24"/>
        </w:rPr>
        <w:t>海天（</w:t>
      </w:r>
      <w:r w:rsidRPr="002B55E9">
        <w:rPr>
          <w:rFonts w:hint="eastAsia"/>
          <w:sz w:val="24"/>
        </w:rPr>
        <w:t>武汉</w:t>
      </w:r>
      <w:r w:rsidRPr="002B55E9">
        <w:rPr>
          <w:sz w:val="24"/>
        </w:rPr>
        <w:t>）</w:t>
      </w:r>
      <w:r w:rsidRPr="002B55E9">
        <w:rPr>
          <w:rFonts w:hint="eastAsia"/>
          <w:sz w:val="24"/>
        </w:rPr>
        <w:t>调味</w:t>
      </w:r>
      <w:r w:rsidRPr="002B55E9">
        <w:rPr>
          <w:sz w:val="24"/>
        </w:rPr>
        <w:t>食品有限公司海天调味品建设项目（</w:t>
      </w:r>
      <w:r w:rsidRPr="002B55E9">
        <w:rPr>
          <w:rFonts w:hint="eastAsia"/>
          <w:sz w:val="24"/>
        </w:rPr>
        <w:t>一期</w:t>
      </w:r>
      <w:r w:rsidRPr="002B55E9">
        <w:rPr>
          <w:sz w:val="24"/>
        </w:rPr>
        <w:t>）</w:t>
      </w:r>
      <w:r w:rsidRPr="002B55E9">
        <w:rPr>
          <w:rFonts w:hint="eastAsia"/>
          <w:sz w:val="24"/>
        </w:rPr>
        <w:t>环境</w:t>
      </w:r>
      <w:r w:rsidRPr="002B55E9">
        <w:rPr>
          <w:sz w:val="24"/>
        </w:rPr>
        <w:t>影响报告表》</w:t>
      </w:r>
      <w:r w:rsidRPr="002B55E9">
        <w:rPr>
          <w:rFonts w:hint="eastAsia"/>
          <w:sz w:val="24"/>
        </w:rPr>
        <w:t>（报批稿），污水已用</w:t>
      </w:r>
      <w:r w:rsidRPr="002B55E9">
        <w:rPr>
          <w:sz w:val="24"/>
        </w:rPr>
        <w:t>处理能力</w:t>
      </w:r>
      <w:r w:rsidRPr="002B55E9">
        <w:rPr>
          <w:rFonts w:hint="eastAsia"/>
          <w:sz w:val="24"/>
        </w:rPr>
        <w:t>385 m</w:t>
      </w:r>
      <w:r w:rsidRPr="002B55E9">
        <w:rPr>
          <w:sz w:val="24"/>
          <w:vertAlign w:val="superscript"/>
        </w:rPr>
        <w:t>3</w:t>
      </w:r>
      <w:r w:rsidRPr="002B55E9">
        <w:rPr>
          <w:sz w:val="24"/>
        </w:rPr>
        <w:t>/</w:t>
      </w:r>
      <w:r w:rsidRPr="002B55E9">
        <w:rPr>
          <w:rFonts w:hint="eastAsia"/>
          <w:sz w:val="24"/>
        </w:rPr>
        <w:t>d</w:t>
      </w:r>
      <w:r w:rsidRPr="002B55E9">
        <w:rPr>
          <w:rFonts w:hint="eastAsia"/>
          <w:sz w:val="24"/>
        </w:rPr>
        <w:t>，处理</w:t>
      </w:r>
      <w:r w:rsidRPr="002B55E9">
        <w:rPr>
          <w:sz w:val="24"/>
        </w:rPr>
        <w:t>余量为</w:t>
      </w:r>
      <w:r w:rsidRPr="002B55E9">
        <w:rPr>
          <w:rFonts w:hint="eastAsia"/>
          <w:sz w:val="24"/>
        </w:rPr>
        <w:t>615 m</w:t>
      </w:r>
      <w:r w:rsidRPr="002B55E9">
        <w:rPr>
          <w:sz w:val="24"/>
          <w:vertAlign w:val="superscript"/>
        </w:rPr>
        <w:t>3</w:t>
      </w:r>
      <w:r w:rsidRPr="002B55E9">
        <w:rPr>
          <w:sz w:val="24"/>
        </w:rPr>
        <w:t>/</w:t>
      </w:r>
      <w:r w:rsidRPr="002B55E9">
        <w:rPr>
          <w:rFonts w:hint="eastAsia"/>
          <w:sz w:val="24"/>
        </w:rPr>
        <w:t>d</w:t>
      </w:r>
      <w:r w:rsidRPr="002B55E9">
        <w:rPr>
          <w:rFonts w:hint="eastAsia"/>
          <w:sz w:val="24"/>
        </w:rPr>
        <w:t>。根据拟建项目水平衡核算，</w:t>
      </w:r>
      <w:r w:rsidRPr="002B55E9">
        <w:rPr>
          <w:sz w:val="24"/>
        </w:rPr>
        <w:t>本项目</w:t>
      </w:r>
      <w:r w:rsidRPr="002B55E9">
        <w:rPr>
          <w:rFonts w:hint="eastAsia"/>
          <w:sz w:val="24"/>
        </w:rPr>
        <w:t>需进入污水处理站的废水</w:t>
      </w:r>
      <w:r w:rsidRPr="002B55E9">
        <w:rPr>
          <w:sz w:val="24"/>
        </w:rPr>
        <w:t>量约</w:t>
      </w:r>
      <w:r w:rsidR="0054267F" w:rsidRPr="002B55E9">
        <w:rPr>
          <w:sz w:val="24"/>
        </w:rPr>
        <w:t>523</w:t>
      </w:r>
      <w:r w:rsidRPr="002B55E9">
        <w:rPr>
          <w:rFonts w:hint="eastAsia"/>
          <w:sz w:val="24"/>
        </w:rPr>
        <w:t>m</w:t>
      </w:r>
      <w:r w:rsidRPr="002B55E9">
        <w:rPr>
          <w:sz w:val="24"/>
          <w:vertAlign w:val="superscript"/>
        </w:rPr>
        <w:t>3</w:t>
      </w:r>
      <w:r w:rsidRPr="002B55E9">
        <w:rPr>
          <w:sz w:val="24"/>
        </w:rPr>
        <w:t>/</w:t>
      </w:r>
      <w:r w:rsidRPr="002B55E9">
        <w:rPr>
          <w:rFonts w:hint="eastAsia"/>
          <w:sz w:val="24"/>
        </w:rPr>
        <w:t>d</w:t>
      </w:r>
      <w:r w:rsidRPr="002B55E9">
        <w:rPr>
          <w:rFonts w:hint="eastAsia"/>
          <w:sz w:val="24"/>
        </w:rPr>
        <w:t>，从处理水量来上说依托可行，污水</w:t>
      </w:r>
      <w:r w:rsidRPr="002B55E9">
        <w:rPr>
          <w:sz w:val="24"/>
        </w:rPr>
        <w:t>处理站</w:t>
      </w:r>
      <w:r w:rsidRPr="002B55E9">
        <w:rPr>
          <w:rFonts w:hint="eastAsia"/>
          <w:sz w:val="24"/>
        </w:rPr>
        <w:t>处理</w:t>
      </w:r>
      <w:r w:rsidRPr="002B55E9">
        <w:rPr>
          <w:sz w:val="24"/>
        </w:rPr>
        <w:t>余量能</w:t>
      </w:r>
      <w:r w:rsidRPr="002B55E9">
        <w:rPr>
          <w:rFonts w:hint="eastAsia"/>
          <w:sz w:val="24"/>
        </w:rPr>
        <w:t>满足项目</w:t>
      </w:r>
      <w:r w:rsidRPr="002B55E9">
        <w:rPr>
          <w:sz w:val="24"/>
        </w:rPr>
        <w:t>废水处理需求。</w:t>
      </w:r>
      <w:r w:rsidRPr="002B55E9">
        <w:rPr>
          <w:rFonts w:hint="eastAsia"/>
          <w:sz w:val="24"/>
        </w:rPr>
        <w:t>污水处理站调节池设置尺寸为</w:t>
      </w:r>
      <w:r w:rsidRPr="002B55E9">
        <w:rPr>
          <w:rFonts w:hint="eastAsia"/>
          <w:sz w:val="24"/>
        </w:rPr>
        <w:t>17.5</w:t>
      </w:r>
      <w:r w:rsidRPr="002B55E9">
        <w:rPr>
          <w:rFonts w:hint="eastAsia"/>
          <w:sz w:val="24"/>
        </w:rPr>
        <w:t>×</w:t>
      </w:r>
      <w:r w:rsidRPr="002B55E9">
        <w:rPr>
          <w:sz w:val="24"/>
        </w:rPr>
        <w:t>15.5</w:t>
      </w:r>
      <w:r w:rsidRPr="002B55E9">
        <w:rPr>
          <w:rFonts w:hint="eastAsia"/>
          <w:sz w:val="24"/>
        </w:rPr>
        <w:t>×</w:t>
      </w:r>
      <w:r w:rsidRPr="002B55E9">
        <w:rPr>
          <w:sz w:val="24"/>
        </w:rPr>
        <w:t>6.5</w:t>
      </w:r>
      <w:r w:rsidRPr="002B55E9">
        <w:rPr>
          <w:rFonts w:hint="eastAsia"/>
          <w:sz w:val="24"/>
        </w:rPr>
        <w:t>m</w:t>
      </w:r>
      <w:r w:rsidRPr="002B55E9">
        <w:rPr>
          <w:rFonts w:hint="eastAsia"/>
          <w:sz w:val="24"/>
        </w:rPr>
        <w:t>，按有效深度</w:t>
      </w:r>
      <w:r w:rsidRPr="002B55E9">
        <w:rPr>
          <w:rFonts w:hint="eastAsia"/>
          <w:sz w:val="24"/>
        </w:rPr>
        <w:t>6m</w:t>
      </w:r>
      <w:r w:rsidRPr="002B55E9">
        <w:rPr>
          <w:rFonts w:hint="eastAsia"/>
          <w:sz w:val="24"/>
        </w:rPr>
        <w:t>计算，</w:t>
      </w:r>
      <w:r w:rsidRPr="002B55E9">
        <w:rPr>
          <w:rFonts w:hint="eastAsia"/>
          <w:sz w:val="24"/>
        </w:rPr>
        <w:lastRenderedPageBreak/>
        <w:t>则调节池有效容积为</w:t>
      </w:r>
      <w:r w:rsidRPr="002B55E9">
        <w:rPr>
          <w:rFonts w:hint="eastAsia"/>
          <w:sz w:val="24"/>
        </w:rPr>
        <w:t>1627.5m</w:t>
      </w:r>
      <w:r w:rsidRPr="002B55E9">
        <w:rPr>
          <w:sz w:val="24"/>
          <w:vertAlign w:val="superscript"/>
        </w:rPr>
        <w:t>3</w:t>
      </w:r>
      <w:r w:rsidRPr="002B55E9">
        <w:rPr>
          <w:rFonts w:hint="eastAsia"/>
          <w:sz w:val="24"/>
        </w:rPr>
        <w:t>，调节池停留时间大于</w:t>
      </w:r>
      <w:r w:rsidRPr="002B55E9">
        <w:rPr>
          <w:rFonts w:hint="eastAsia"/>
          <w:sz w:val="24"/>
        </w:rPr>
        <w:t>1</w:t>
      </w:r>
      <w:r w:rsidRPr="002B55E9">
        <w:rPr>
          <w:rFonts w:hint="eastAsia"/>
          <w:sz w:val="24"/>
        </w:rPr>
        <w:t>天，能够充分的混合厂区产生的废水。根据污水</w:t>
      </w:r>
      <w:r w:rsidRPr="002B55E9">
        <w:rPr>
          <w:sz w:val="24"/>
        </w:rPr>
        <w:t>处理站设计资料</w:t>
      </w:r>
      <w:r w:rsidRPr="002B55E9">
        <w:rPr>
          <w:rFonts w:hint="eastAsia"/>
          <w:sz w:val="24"/>
        </w:rPr>
        <w:t>，污水总排口各项污染物均能达标排放，因此拟建项目产生的废水从水质及水量上来说依托可行。</w:t>
      </w:r>
    </w:p>
    <w:p w14:paraId="3AE58F58" w14:textId="77777777" w:rsidR="00D170E5" w:rsidRPr="002B55E9" w:rsidRDefault="00EF27AD">
      <w:pPr>
        <w:pStyle w:val="4"/>
        <w:rPr>
          <w:color w:val="auto"/>
        </w:rPr>
      </w:pPr>
      <w:r w:rsidRPr="002B55E9">
        <w:rPr>
          <w:rFonts w:hint="eastAsia"/>
          <w:color w:val="auto"/>
        </w:rPr>
        <w:t>排污口的设置要求</w:t>
      </w:r>
    </w:p>
    <w:p w14:paraId="13B8F59E" w14:textId="77777777" w:rsidR="00D170E5" w:rsidRPr="002B55E9" w:rsidRDefault="00EF27AD">
      <w:pPr>
        <w:pStyle w:val="affff7"/>
        <w:ind w:firstLineChars="225" w:firstLine="540"/>
      </w:pPr>
      <w:r w:rsidRPr="002B55E9">
        <w:rPr>
          <w:rFonts w:hint="eastAsia"/>
        </w:rPr>
        <w:t>本项目厂区不设污水排放口，废水排放均依托佛山市海天</w:t>
      </w:r>
      <w:r w:rsidRPr="002B55E9">
        <w:t>（</w:t>
      </w:r>
      <w:r w:rsidRPr="002B55E9">
        <w:rPr>
          <w:rFonts w:hint="eastAsia"/>
        </w:rPr>
        <w:t>武汉</w:t>
      </w:r>
      <w:r w:rsidRPr="002B55E9">
        <w:t>）</w:t>
      </w:r>
      <w:r w:rsidRPr="002B55E9">
        <w:rPr>
          <w:rFonts w:hint="eastAsia"/>
        </w:rPr>
        <w:t>调味食品</w:t>
      </w:r>
      <w:r w:rsidRPr="002B55E9">
        <w:t>有限公司</w:t>
      </w:r>
      <w:r w:rsidRPr="002B55E9">
        <w:rPr>
          <w:rFonts w:hint="eastAsia"/>
        </w:rPr>
        <w:t>，根据双方签订的责任主体协议，废水总排口的规划化建设由佛山市海天</w:t>
      </w:r>
      <w:r w:rsidRPr="002B55E9">
        <w:t>（</w:t>
      </w:r>
      <w:r w:rsidRPr="002B55E9">
        <w:rPr>
          <w:rFonts w:hint="eastAsia"/>
        </w:rPr>
        <w:t>武汉</w:t>
      </w:r>
      <w:r w:rsidRPr="002B55E9">
        <w:t>）</w:t>
      </w:r>
      <w:r w:rsidRPr="002B55E9">
        <w:rPr>
          <w:rFonts w:hint="eastAsia"/>
        </w:rPr>
        <w:t>调味食品</w:t>
      </w:r>
      <w:r w:rsidRPr="002B55E9">
        <w:t>有限公司</w:t>
      </w:r>
      <w:r w:rsidRPr="002B55E9">
        <w:rPr>
          <w:rFonts w:hint="eastAsia"/>
        </w:rPr>
        <w:t>负责实施。</w:t>
      </w:r>
    </w:p>
    <w:p w14:paraId="39B36F49" w14:textId="77777777" w:rsidR="00D170E5" w:rsidRPr="002B55E9" w:rsidRDefault="00EF27AD">
      <w:pPr>
        <w:pStyle w:val="3"/>
      </w:pPr>
      <w:bookmarkStart w:id="269" w:name="_Toc119309013"/>
      <w:r w:rsidRPr="002B55E9">
        <w:t>运营期</w:t>
      </w:r>
      <w:r w:rsidRPr="002B55E9">
        <w:rPr>
          <w:rFonts w:hint="eastAsia"/>
        </w:rPr>
        <w:t>噪声污染防治措施</w:t>
      </w:r>
      <w:bookmarkEnd w:id="269"/>
    </w:p>
    <w:p w14:paraId="33C128E6" w14:textId="77777777" w:rsidR="00D170E5" w:rsidRPr="002B55E9" w:rsidRDefault="00EF27AD">
      <w:pPr>
        <w:pStyle w:val="4"/>
        <w:rPr>
          <w:color w:val="auto"/>
        </w:rPr>
      </w:pPr>
      <w:r w:rsidRPr="002B55E9">
        <w:rPr>
          <w:rFonts w:hint="eastAsia"/>
          <w:color w:val="auto"/>
        </w:rPr>
        <w:t>拟建项目噪声源主要特征</w:t>
      </w:r>
    </w:p>
    <w:p w14:paraId="144AD02E" w14:textId="77777777" w:rsidR="00D170E5" w:rsidRPr="002B55E9" w:rsidRDefault="00EF27AD">
      <w:pPr>
        <w:pStyle w:val="affff7"/>
        <w:snapToGrid w:val="0"/>
        <w:spacing w:after="0"/>
      </w:pPr>
      <w:r w:rsidRPr="002B55E9">
        <w:t>本项目建成后</w:t>
      </w:r>
      <w:r w:rsidRPr="002B55E9">
        <w:rPr>
          <w:rFonts w:hint="eastAsia"/>
        </w:rPr>
        <w:t>新增</w:t>
      </w:r>
      <w:r w:rsidRPr="002B55E9">
        <w:t>主要噪声源为各类泵、</w:t>
      </w:r>
      <w:r w:rsidRPr="002B55E9">
        <w:rPr>
          <w:rFonts w:hint="eastAsia"/>
        </w:rPr>
        <w:t>冷却塔</w:t>
      </w:r>
      <w:r w:rsidRPr="002B55E9">
        <w:t>等工作时产生噪声。根据工程分析及影响预测，</w:t>
      </w:r>
      <w:r w:rsidRPr="002B55E9">
        <w:rPr>
          <w:rFonts w:hint="eastAsia"/>
        </w:rPr>
        <w:t>在</w:t>
      </w:r>
      <w:r w:rsidRPr="002B55E9">
        <w:t>未采取减噪措施情况下，厂界噪声</w:t>
      </w:r>
      <w:r w:rsidRPr="002B55E9">
        <w:rPr>
          <w:rFonts w:hint="eastAsia"/>
        </w:rPr>
        <w:t>局部点位</w:t>
      </w:r>
      <w:r w:rsidRPr="002B55E9">
        <w:t>噪声不能达到《工业企业厂界环境噪声排放标准》</w:t>
      </w:r>
      <w:r w:rsidRPr="002B55E9">
        <w:rPr>
          <w:rFonts w:hint="eastAsia"/>
        </w:rPr>
        <w:t>（</w:t>
      </w:r>
      <w:r w:rsidRPr="002B55E9">
        <w:t>GB12348-2008</w:t>
      </w:r>
      <w:r w:rsidRPr="002B55E9">
        <w:rPr>
          <w:rFonts w:hint="eastAsia"/>
        </w:rPr>
        <w:t>）</w:t>
      </w:r>
      <w:r w:rsidRPr="002B55E9">
        <w:t>中的</w:t>
      </w:r>
      <w:r w:rsidRPr="002B55E9">
        <w:t>2</w:t>
      </w:r>
      <w:r w:rsidRPr="002B55E9">
        <w:t>类</w:t>
      </w:r>
      <w:r w:rsidRPr="002B55E9">
        <w:rPr>
          <w:rFonts w:hint="eastAsia"/>
        </w:rPr>
        <w:t>、</w:t>
      </w:r>
      <w:r w:rsidRPr="002B55E9">
        <w:rPr>
          <w:rFonts w:hint="eastAsia"/>
        </w:rPr>
        <w:t>4</w:t>
      </w:r>
      <w:r w:rsidRPr="002B55E9">
        <w:rPr>
          <w:rFonts w:hint="eastAsia"/>
        </w:rPr>
        <w:t>类</w:t>
      </w:r>
      <w:r w:rsidRPr="002B55E9">
        <w:t>标准，因此，各生产设施及公辅设施应采取隔声降噪措施。</w:t>
      </w:r>
    </w:p>
    <w:p w14:paraId="15213946" w14:textId="77777777" w:rsidR="00D170E5" w:rsidRPr="002B55E9" w:rsidRDefault="00EF27AD">
      <w:pPr>
        <w:pStyle w:val="affff7"/>
        <w:snapToGrid w:val="0"/>
        <w:spacing w:after="0"/>
      </w:pPr>
      <w:r w:rsidRPr="002B55E9">
        <w:rPr>
          <w:rFonts w:hint="eastAsia"/>
        </w:rPr>
        <w:t>项目</w:t>
      </w:r>
      <w:r w:rsidRPr="002B55E9">
        <w:t>典型噪声包括机械噪声、气流噪声等，针对声源的不同特性，分别采取局部隔声板、隔声机房，安装消声器、隔声门窗和挂贴吸声材料等措施加以控制。</w:t>
      </w:r>
    </w:p>
    <w:p w14:paraId="369EEDA0" w14:textId="77777777" w:rsidR="00D170E5" w:rsidRPr="002B55E9" w:rsidRDefault="00EF27AD">
      <w:pPr>
        <w:pStyle w:val="4"/>
        <w:rPr>
          <w:color w:val="auto"/>
        </w:rPr>
      </w:pPr>
      <w:r w:rsidRPr="002B55E9">
        <w:rPr>
          <w:rFonts w:hint="eastAsia"/>
          <w:color w:val="auto"/>
        </w:rPr>
        <w:t>风机、泵等设备噪声治理措施</w:t>
      </w:r>
    </w:p>
    <w:p w14:paraId="0A0ED9A3" w14:textId="77777777" w:rsidR="00D170E5" w:rsidRPr="002B55E9" w:rsidRDefault="00EF27AD">
      <w:pPr>
        <w:pStyle w:val="affff7"/>
        <w:numPr>
          <w:ilvl w:val="0"/>
          <w:numId w:val="37"/>
        </w:numPr>
        <w:spacing w:after="0"/>
        <w:ind w:firstLineChars="0"/>
      </w:pPr>
      <w:r w:rsidRPr="002B55E9">
        <w:rPr>
          <w:rFonts w:hint="eastAsia"/>
        </w:rPr>
        <w:t>风机噪声控制措施</w:t>
      </w:r>
    </w:p>
    <w:p w14:paraId="76BFF2C4" w14:textId="77777777" w:rsidR="00D170E5" w:rsidRPr="002B55E9" w:rsidRDefault="00EF27AD">
      <w:pPr>
        <w:pStyle w:val="affff7"/>
        <w:spacing w:after="0"/>
      </w:pPr>
      <w:r w:rsidRPr="002B55E9">
        <w:t>风机噪声频谱呈宽带特性，一般由空气动力性噪声和机械噪声组成，以空气动力性噪声为主。空气动力性噪声由旋转噪声和涡流噪声组成，主要从进气口和排气口辐射出来，机械噪声主要从电动机及机壳和管壁辐射出来，通过基础振动还会辐射固体噪声。</w:t>
      </w:r>
    </w:p>
    <w:p w14:paraId="3CD13E04" w14:textId="77777777" w:rsidR="00D170E5" w:rsidRPr="002B55E9" w:rsidRDefault="00EF27AD">
      <w:pPr>
        <w:pStyle w:val="affff7"/>
        <w:spacing w:after="0"/>
      </w:pPr>
      <w:r w:rsidRPr="002B55E9">
        <w:t>风机噪声控制主要采用消声器和隔声及隔振技术。</w:t>
      </w:r>
    </w:p>
    <w:p w14:paraId="42450030" w14:textId="77777777" w:rsidR="00D170E5" w:rsidRPr="002B55E9" w:rsidRDefault="00EF27AD">
      <w:pPr>
        <w:pStyle w:val="affff7"/>
        <w:spacing w:after="0"/>
      </w:pPr>
      <w:r w:rsidRPr="002B55E9">
        <w:rPr>
          <w:rFonts w:cs="宋体" w:hint="eastAsia"/>
        </w:rPr>
        <w:t>a</w:t>
      </w:r>
      <w:r w:rsidRPr="002B55E9">
        <w:rPr>
          <w:rFonts w:ascii="宋体" w:hAnsi="宋体" w:cs="宋体" w:hint="eastAsia"/>
        </w:rPr>
        <w:t>、</w:t>
      </w:r>
      <w:r w:rsidRPr="002B55E9">
        <w:t>安装消声器：在进气和排气管道上安装适当的消声器，消声器类型可选择阻性片式、折板式、蜂窝式以及阻抗复合式等。合适的消声器可使整个风机噪声降低</w:t>
      </w:r>
      <w:r w:rsidRPr="002B55E9">
        <w:rPr>
          <w:rFonts w:hint="eastAsia"/>
        </w:rPr>
        <w:t>8~</w:t>
      </w:r>
      <w:r w:rsidRPr="002B55E9">
        <w:t>10dB(A)</w:t>
      </w:r>
      <w:r w:rsidRPr="002B55E9">
        <w:t>。</w:t>
      </w:r>
    </w:p>
    <w:p w14:paraId="6C24F805" w14:textId="77777777" w:rsidR="00D170E5" w:rsidRPr="002B55E9" w:rsidRDefault="00EF27AD">
      <w:pPr>
        <w:pStyle w:val="affff7"/>
        <w:spacing w:after="0"/>
      </w:pPr>
      <w:r w:rsidRPr="002B55E9">
        <w:rPr>
          <w:rFonts w:cs="宋体" w:hint="eastAsia"/>
        </w:rPr>
        <w:t>b</w:t>
      </w:r>
      <w:r w:rsidRPr="002B55E9">
        <w:rPr>
          <w:rFonts w:ascii="宋体" w:hAnsi="宋体" w:cs="宋体" w:hint="eastAsia"/>
        </w:rPr>
        <w:t>、</w:t>
      </w:r>
      <w:r w:rsidRPr="002B55E9">
        <w:t>设置隔声罩：将风机封闭在密闭的隔声罩内，并在罩座下加装隔振器，使从风机机壳、管道、机座以及电动机等处辐射出的噪声被隔离。隔声罩可采取自然通风的形式，如不能满足要求，可采取机械通风方式强制通风散热。风机噪声降低</w:t>
      </w:r>
      <w:r w:rsidRPr="002B55E9">
        <w:rPr>
          <w:rFonts w:hint="eastAsia"/>
        </w:rPr>
        <w:t>10~20</w:t>
      </w:r>
      <w:r w:rsidRPr="002B55E9">
        <w:t>dB(A)</w:t>
      </w:r>
      <w:r w:rsidRPr="002B55E9">
        <w:rPr>
          <w:rFonts w:hint="eastAsia"/>
        </w:rPr>
        <w:t>。</w:t>
      </w:r>
    </w:p>
    <w:p w14:paraId="614BB5B3" w14:textId="77777777" w:rsidR="00D170E5" w:rsidRPr="002B55E9" w:rsidRDefault="00EF27AD">
      <w:pPr>
        <w:pStyle w:val="affff7"/>
        <w:spacing w:after="0"/>
      </w:pPr>
      <w:r w:rsidRPr="002B55E9">
        <w:rPr>
          <w:rFonts w:cs="宋体" w:hint="eastAsia"/>
        </w:rPr>
        <w:t>c</w:t>
      </w:r>
      <w:r w:rsidRPr="002B55E9">
        <w:rPr>
          <w:rFonts w:ascii="宋体" w:hAnsi="宋体" w:cs="宋体" w:hint="eastAsia"/>
        </w:rPr>
        <w:t>、</w:t>
      </w:r>
      <w:r w:rsidRPr="002B55E9">
        <w:t>管道包扎：为减弱从风机风管辐射出来的噪声，可以用矿渣棉等材料对管道进行包扎，隔绝噪声由此传播的途径</w:t>
      </w:r>
      <w:r w:rsidRPr="002B55E9">
        <w:rPr>
          <w:rFonts w:hint="eastAsia"/>
        </w:rPr>
        <w:t>，外部噪声可减少</w:t>
      </w:r>
      <w:r w:rsidRPr="002B55E9">
        <w:rPr>
          <w:rFonts w:hint="eastAsia"/>
        </w:rPr>
        <w:t>3~5</w:t>
      </w:r>
      <w:r w:rsidRPr="002B55E9">
        <w:t>dB(A)</w:t>
      </w:r>
      <w:r w:rsidRPr="002B55E9">
        <w:t>。</w:t>
      </w:r>
    </w:p>
    <w:p w14:paraId="308684CC" w14:textId="77777777" w:rsidR="00D170E5" w:rsidRPr="002B55E9" w:rsidRDefault="00EF27AD">
      <w:pPr>
        <w:pStyle w:val="affff7"/>
        <w:numPr>
          <w:ilvl w:val="0"/>
          <w:numId w:val="37"/>
        </w:numPr>
        <w:spacing w:after="0"/>
        <w:ind w:firstLineChars="0"/>
      </w:pPr>
      <w:r w:rsidRPr="002B55E9">
        <w:rPr>
          <w:rFonts w:hint="eastAsia"/>
        </w:rPr>
        <w:t>泵类噪声控制措施</w:t>
      </w:r>
    </w:p>
    <w:p w14:paraId="33A147BF" w14:textId="77777777" w:rsidR="00D170E5" w:rsidRPr="002B55E9" w:rsidRDefault="00EF27AD">
      <w:pPr>
        <w:pStyle w:val="affff7"/>
        <w:spacing w:after="0"/>
        <w:rPr>
          <w:szCs w:val="28"/>
        </w:rPr>
      </w:pPr>
      <w:r w:rsidRPr="002B55E9">
        <w:t>泵类设备噪声主要来自液力系统和机械部件。液力噪声是由液体中的空穴和液体排出时的压力、流量的周期性脉动而产生的，机械噪声是由转动部件不平衡、轴承不良和部件共振</w:t>
      </w:r>
      <w:r w:rsidRPr="002B55E9">
        <w:lastRenderedPageBreak/>
        <w:t>产生的。一般情况下，液力噪声是泵噪声的主要成份。泵噪声一般呈宽带性质，且含有离散的音调。</w:t>
      </w:r>
      <w:r w:rsidRPr="002B55E9">
        <w:rPr>
          <w:szCs w:val="28"/>
        </w:rPr>
        <w:t>在水泵房内可另设控制室，使操作岗位噪声符合车间卫生设计标准要求。如有必要可在通风口加装消声器，这样可避免</w:t>
      </w:r>
      <w:r w:rsidRPr="002B55E9">
        <w:rPr>
          <w:rFonts w:hint="eastAsia"/>
          <w:szCs w:val="28"/>
        </w:rPr>
        <w:t>泵类</w:t>
      </w:r>
      <w:r w:rsidRPr="002B55E9">
        <w:rPr>
          <w:szCs w:val="28"/>
        </w:rPr>
        <w:t>噪声对外环境产生的影响。</w:t>
      </w:r>
    </w:p>
    <w:p w14:paraId="4D4A48B9" w14:textId="77777777" w:rsidR="00D170E5" w:rsidRPr="002B55E9" w:rsidRDefault="00EF27AD">
      <w:pPr>
        <w:pStyle w:val="4"/>
        <w:rPr>
          <w:color w:val="auto"/>
        </w:rPr>
      </w:pPr>
      <w:r w:rsidRPr="002B55E9">
        <w:rPr>
          <w:rFonts w:hint="eastAsia"/>
          <w:color w:val="auto"/>
        </w:rPr>
        <w:t>其他噪声的控制措施</w:t>
      </w:r>
    </w:p>
    <w:p w14:paraId="35D4AEFC" w14:textId="77777777" w:rsidR="00D170E5" w:rsidRPr="002B55E9" w:rsidRDefault="00EF27AD">
      <w:pPr>
        <w:pStyle w:val="affff7"/>
        <w:spacing w:after="0"/>
      </w:pPr>
      <w:r w:rsidRPr="002B55E9">
        <w:rPr>
          <w:rFonts w:hint="eastAsia"/>
        </w:rPr>
        <w:t>合理的厂房设计也可起到隔声降噪的效果。在工业企业厂房内环境下，声音由直达声和间接声组成。对厂房外环境的影响，以间接声为主。即接收点在混响半径以外。以混响声为主</w:t>
      </w:r>
      <w:r w:rsidRPr="002B55E9">
        <w:rPr>
          <w:rFonts w:hint="eastAsia"/>
        </w:rPr>
        <w:t>,</w:t>
      </w:r>
      <w:r w:rsidRPr="002B55E9">
        <w:rPr>
          <w:rFonts w:hint="eastAsia"/>
        </w:rPr>
        <w:t>则应采用吸声的办法，用吸声材料增加室内墙面吸声系数，以减少混响。厂房的吸声一般是在顶棚和内墙面加一层吸声层，材料一般包括如下几种：</w:t>
      </w:r>
    </w:p>
    <w:p w14:paraId="3B49C1DA" w14:textId="77777777" w:rsidR="00D170E5" w:rsidRPr="002B55E9" w:rsidRDefault="00EF27AD">
      <w:pPr>
        <w:pStyle w:val="affff7"/>
        <w:spacing w:after="0"/>
      </w:pPr>
      <w:r w:rsidRPr="002B55E9">
        <w:rPr>
          <w:rFonts w:hint="eastAsia"/>
        </w:rPr>
        <w:t>①多孔吸声材料：该材料一般用超细玻璃棉毡，当顶棚或内墙面嵌一层多孔材料时，由于声波进入此材料，在其中进出受到阻滞，使声能量消耗而产生吸声作用，故这层超细玻璃棉毡只有达到一定厚度，对低频消声才会有较好的效果。在玻璃棉毡外罩一层多孔</w:t>
      </w:r>
      <w:r w:rsidRPr="002B55E9">
        <w:rPr>
          <w:rFonts w:hint="eastAsia"/>
        </w:rPr>
        <w:t>(</w:t>
      </w:r>
      <w:r w:rsidRPr="002B55E9">
        <w:rPr>
          <w:rFonts w:hint="eastAsia"/>
        </w:rPr>
        <w:t>透气</w:t>
      </w:r>
      <w:r w:rsidRPr="002B55E9">
        <w:rPr>
          <w:rFonts w:hint="eastAsia"/>
        </w:rPr>
        <w:t>)</w:t>
      </w:r>
      <w:r w:rsidRPr="002B55E9">
        <w:rPr>
          <w:rFonts w:hint="eastAsia"/>
        </w:rPr>
        <w:t>砂布或玻璃布，增加声波运动阻滞作用</w:t>
      </w:r>
      <w:r w:rsidRPr="002B55E9">
        <w:rPr>
          <w:rFonts w:hint="eastAsia"/>
        </w:rPr>
        <w:t>,</w:t>
      </w:r>
      <w:r w:rsidRPr="002B55E9">
        <w:rPr>
          <w:rFonts w:hint="eastAsia"/>
        </w:rPr>
        <w:t>则吸声作用会更大。但若罩一层不透气材料，如透明塑料薄膜，则由于声波无法穿透</w:t>
      </w:r>
      <w:r w:rsidRPr="002B55E9">
        <w:rPr>
          <w:rFonts w:hint="eastAsia"/>
        </w:rPr>
        <w:t>(</w:t>
      </w:r>
      <w:r w:rsidRPr="002B55E9">
        <w:rPr>
          <w:rFonts w:hint="eastAsia"/>
        </w:rPr>
        <w:t>不透气的</w:t>
      </w:r>
      <w:r w:rsidRPr="002B55E9">
        <w:rPr>
          <w:rFonts w:hint="eastAsia"/>
        </w:rPr>
        <w:t>)</w:t>
      </w:r>
      <w:r w:rsidRPr="002B55E9">
        <w:rPr>
          <w:rFonts w:hint="eastAsia"/>
        </w:rPr>
        <w:t>塑料薄膜，使吸声系数降低。一般来说，超细玻璃棉厚增加一倍，吸声频率特曲峰值向低频移动一倍频程。罩面材料则必须是透气的。</w:t>
      </w:r>
    </w:p>
    <w:p w14:paraId="179EACE7" w14:textId="77777777" w:rsidR="00D170E5" w:rsidRPr="002B55E9" w:rsidRDefault="00EF27AD">
      <w:pPr>
        <w:pStyle w:val="affff7"/>
        <w:spacing w:after="0"/>
      </w:pPr>
      <w:r w:rsidRPr="002B55E9">
        <w:rPr>
          <w:rFonts w:hint="eastAsia"/>
        </w:rPr>
        <w:t>②薄板吸声结构：薄板在声波作用下将发生振动。板振动时由于板内部和木龙骨之间出现摩擦吸收消耗一部分能量。此时有一个能量转换的过程，也是薄板吸声原理。由于低频声波比中高频声波之波长更长，易激起薄板振动，所以，这种吸声结构一般用以低频带噪声吸声。</w:t>
      </w:r>
    </w:p>
    <w:p w14:paraId="3D5BD231" w14:textId="77777777" w:rsidR="00D170E5" w:rsidRPr="002B55E9" w:rsidRDefault="00EF27AD">
      <w:pPr>
        <w:pStyle w:val="affff7"/>
        <w:spacing w:after="0"/>
      </w:pPr>
      <w:r w:rsidRPr="002B55E9">
        <w:rPr>
          <w:rFonts w:hint="eastAsia"/>
        </w:rPr>
        <w:t>③空间吸声体：空间吸声体悬吊在空中。由于声波和吸声材料的两个或更多的面都有接触，在投影面积相同的情况下，相当于增加了一倍有效吸声面积“边缘效应”实际也增加了一倍。所以大大提高了实际吸声效果，其高频吸声系数可达</w:t>
      </w:r>
      <w:r w:rsidRPr="002B55E9">
        <w:rPr>
          <w:rFonts w:hint="eastAsia"/>
        </w:rPr>
        <w:t>1.40</w:t>
      </w:r>
      <w:r w:rsidRPr="002B55E9">
        <w:rPr>
          <w:rFonts w:hint="eastAsia"/>
        </w:rPr>
        <w:t>。空间吸声体的应用，还可以解决有天窗厂房顶棚吸声不好处理的问题。空间吸声体可以设计成灯型、船型、伞型板型。</w:t>
      </w:r>
    </w:p>
    <w:p w14:paraId="069B6517" w14:textId="77777777" w:rsidR="00D170E5" w:rsidRPr="002B55E9" w:rsidRDefault="00EF27AD">
      <w:pPr>
        <w:pStyle w:val="4"/>
        <w:rPr>
          <w:color w:val="auto"/>
        </w:rPr>
      </w:pPr>
      <w:r w:rsidRPr="002B55E9">
        <w:rPr>
          <w:rFonts w:hint="eastAsia"/>
          <w:color w:val="auto"/>
        </w:rPr>
        <w:t>小结</w:t>
      </w:r>
    </w:p>
    <w:p w14:paraId="1281DB2E" w14:textId="77777777" w:rsidR="00D170E5" w:rsidRPr="002B55E9" w:rsidRDefault="00EF27AD">
      <w:pPr>
        <w:pStyle w:val="affff7"/>
      </w:pPr>
      <w:r w:rsidRPr="002B55E9">
        <w:rPr>
          <w:rFonts w:hint="eastAsia"/>
        </w:rPr>
        <w:t>根据前述预测结果可知，在采取隔声等降噪措施的情况下，拟建项目排放的各类噪声厂界的贡献值可满足《工业企业厂界环境噪声排放标准》（</w:t>
      </w:r>
      <w:r w:rsidRPr="002B55E9">
        <w:rPr>
          <w:rFonts w:hint="eastAsia"/>
        </w:rPr>
        <w:t>GB12348-2008</w:t>
      </w:r>
      <w:r w:rsidRPr="002B55E9">
        <w:rPr>
          <w:rFonts w:hint="eastAsia"/>
        </w:rPr>
        <w:t>）</w:t>
      </w:r>
      <w:r w:rsidRPr="002B55E9">
        <w:rPr>
          <w:rFonts w:hint="eastAsia"/>
        </w:rPr>
        <w:t>2</w:t>
      </w:r>
      <w:r w:rsidRPr="002B55E9">
        <w:rPr>
          <w:rFonts w:hint="eastAsia"/>
        </w:rPr>
        <w:t>类、</w:t>
      </w:r>
      <w:r w:rsidRPr="002B55E9">
        <w:t>4</w:t>
      </w:r>
      <w:r w:rsidRPr="002B55E9">
        <w:rPr>
          <w:rFonts w:hint="eastAsia"/>
        </w:rPr>
        <w:t>类标准的要求</w:t>
      </w:r>
      <w:r w:rsidRPr="002B55E9">
        <w:t>。</w:t>
      </w:r>
    </w:p>
    <w:p w14:paraId="1AC2338D" w14:textId="77777777" w:rsidR="00D170E5" w:rsidRPr="002B55E9" w:rsidRDefault="00EF27AD">
      <w:pPr>
        <w:pStyle w:val="3"/>
      </w:pPr>
      <w:bookmarkStart w:id="270" w:name="_Toc119309014"/>
      <w:r w:rsidRPr="002B55E9">
        <w:rPr>
          <w:rFonts w:hint="eastAsia"/>
        </w:rPr>
        <w:t>运营期固体废物防治措施</w:t>
      </w:r>
      <w:bookmarkEnd w:id="270"/>
    </w:p>
    <w:p w14:paraId="274078C6" w14:textId="49095470" w:rsidR="00D170E5" w:rsidRPr="002B55E9" w:rsidRDefault="00EF27AD">
      <w:pPr>
        <w:pStyle w:val="aa"/>
        <w:rPr>
          <w:szCs w:val="24"/>
        </w:rPr>
      </w:pPr>
      <w:r w:rsidRPr="002B55E9">
        <w:rPr>
          <w:rFonts w:hint="eastAsia"/>
        </w:rPr>
        <w:t>拟建项目固废总产生量</w:t>
      </w:r>
      <w:r w:rsidR="007F5FA9" w:rsidRPr="002B55E9">
        <w:rPr>
          <w:rFonts w:hint="eastAsia"/>
        </w:rPr>
        <w:t>1161.97</w:t>
      </w:r>
      <w:r w:rsidRPr="002B55E9">
        <w:rPr>
          <w:rFonts w:hint="eastAsia"/>
        </w:rPr>
        <w:t>t/a</w:t>
      </w:r>
      <w:r w:rsidRPr="002B55E9">
        <w:rPr>
          <w:rFonts w:hint="eastAsia"/>
        </w:rPr>
        <w:t>，其中危险废物产生量约</w:t>
      </w:r>
      <w:r w:rsidRPr="002B55E9">
        <w:rPr>
          <w:rFonts w:hint="eastAsia"/>
        </w:rPr>
        <w:t>3.12t/a</w:t>
      </w:r>
      <w:r w:rsidRPr="002B55E9">
        <w:rPr>
          <w:rFonts w:hint="eastAsia"/>
        </w:rPr>
        <w:t>，一般工业固废产生量约为</w:t>
      </w:r>
      <w:r w:rsidR="007F5FA9" w:rsidRPr="002B55E9">
        <w:rPr>
          <w:rFonts w:hint="eastAsia"/>
        </w:rPr>
        <w:t>1113.97</w:t>
      </w:r>
      <w:r w:rsidRPr="002B55E9">
        <w:rPr>
          <w:rFonts w:hint="eastAsia"/>
        </w:rPr>
        <w:t>t/a</w:t>
      </w:r>
      <w:r w:rsidRPr="002B55E9">
        <w:rPr>
          <w:rFonts w:hint="eastAsia"/>
        </w:rPr>
        <w:t>，生活垃圾为</w:t>
      </w:r>
      <w:r w:rsidRPr="002B55E9">
        <w:rPr>
          <w:rFonts w:hint="eastAsia"/>
        </w:rPr>
        <w:t>44.88t/a</w:t>
      </w:r>
      <w:r w:rsidRPr="002B55E9">
        <w:rPr>
          <w:rFonts w:hint="eastAsia"/>
        </w:rPr>
        <w:t>。各类固废均委托相关单位进行综合利用或处置，全厂各项固废得到了资源化、减量化和无害化处置</w:t>
      </w:r>
      <w:r w:rsidRPr="002B55E9">
        <w:rPr>
          <w:szCs w:val="24"/>
        </w:rPr>
        <w:t>。</w:t>
      </w:r>
    </w:p>
    <w:p w14:paraId="6A7A8241" w14:textId="5FE322C0" w:rsidR="002444E9" w:rsidRPr="002B55E9" w:rsidRDefault="002444E9" w:rsidP="002444E9">
      <w:pPr>
        <w:pStyle w:val="1f3"/>
        <w:spacing w:beforeLines="0" w:before="0"/>
        <w:rPr>
          <w:lang w:val="zh-CN"/>
        </w:rPr>
      </w:pPr>
      <w:r w:rsidRPr="002B55E9">
        <w:rPr>
          <w:lang w:val="zh-CN"/>
        </w:rPr>
        <w:t>表</w:t>
      </w:r>
      <w:r w:rsidRPr="002B55E9">
        <w:rPr>
          <w:rFonts w:hint="eastAsia"/>
          <w:lang w:val="zh-CN"/>
        </w:rPr>
        <w:t>7-</w:t>
      </w:r>
      <w:r w:rsidRPr="002B55E9">
        <w:rPr>
          <w:lang w:val="zh-CN"/>
        </w:rPr>
        <w:t>5</w:t>
      </w:r>
      <w:r w:rsidRPr="002B55E9">
        <w:rPr>
          <w:rFonts w:hint="eastAsia"/>
          <w:lang w:val="zh-CN"/>
        </w:rPr>
        <w:t>-</w:t>
      </w:r>
      <w:r w:rsidRPr="002B55E9">
        <w:rPr>
          <w:lang w:val="zh-CN"/>
        </w:rPr>
        <w:t xml:space="preserve">1  </w:t>
      </w:r>
      <w:r w:rsidRPr="002B55E9">
        <w:rPr>
          <w:lang w:val="zh-CN"/>
        </w:rPr>
        <w:t>拟建项目固体废物产生及</w:t>
      </w:r>
      <w:r w:rsidRPr="002B55E9">
        <w:rPr>
          <w:rFonts w:hint="eastAsia"/>
          <w:lang w:val="zh-CN"/>
        </w:rPr>
        <w:t>处置</w:t>
      </w:r>
      <w:r w:rsidRPr="002B55E9">
        <w:rPr>
          <w:lang w:val="zh-CN"/>
        </w:rPr>
        <w:t>情况一览表</w:t>
      </w:r>
    </w:p>
    <w:tbl>
      <w:tblPr>
        <w:tblStyle w:val="lgy2"/>
        <w:tblW w:w="5000" w:type="pct"/>
        <w:tblLayout w:type="fixed"/>
        <w:tblCellMar>
          <w:left w:w="28" w:type="dxa"/>
          <w:right w:w="28" w:type="dxa"/>
        </w:tblCellMar>
        <w:tblLook w:val="04A0" w:firstRow="1" w:lastRow="0" w:firstColumn="1" w:lastColumn="0" w:noHBand="0" w:noVBand="1"/>
      </w:tblPr>
      <w:tblGrid>
        <w:gridCol w:w="597"/>
        <w:gridCol w:w="2280"/>
        <w:gridCol w:w="838"/>
        <w:gridCol w:w="1373"/>
        <w:gridCol w:w="1043"/>
        <w:gridCol w:w="1654"/>
        <w:gridCol w:w="1908"/>
      </w:tblGrid>
      <w:tr w:rsidR="00C60999" w:rsidRPr="002B55E9" w14:paraId="62BD9D71" w14:textId="77777777" w:rsidTr="00523135">
        <w:trPr>
          <w:cnfStyle w:val="100000000000" w:firstRow="1" w:lastRow="0" w:firstColumn="0" w:lastColumn="0" w:oddVBand="0" w:evenVBand="0" w:oddHBand="0" w:evenHBand="0" w:firstRowFirstColumn="0" w:firstRowLastColumn="0" w:lastRowFirstColumn="0" w:lastRowLastColumn="0"/>
          <w:trHeight w:val="283"/>
        </w:trPr>
        <w:tc>
          <w:tcPr>
            <w:tcW w:w="594" w:type="dxa"/>
          </w:tcPr>
          <w:p w14:paraId="78E3DB91" w14:textId="77777777" w:rsidR="002444E9" w:rsidRPr="002B55E9" w:rsidRDefault="002444E9" w:rsidP="00B622DC">
            <w:pPr>
              <w:pStyle w:val="lgy-"/>
              <w:rPr>
                <w:rFonts w:eastAsia="宋体"/>
              </w:rPr>
            </w:pPr>
            <w:r w:rsidRPr="002B55E9">
              <w:rPr>
                <w:rFonts w:eastAsia="宋体"/>
              </w:rPr>
              <w:lastRenderedPageBreak/>
              <w:t>序号</w:t>
            </w:r>
          </w:p>
        </w:tc>
        <w:tc>
          <w:tcPr>
            <w:tcW w:w="2267" w:type="dxa"/>
          </w:tcPr>
          <w:p w14:paraId="586B2F5A" w14:textId="77777777" w:rsidR="002444E9" w:rsidRPr="002B55E9" w:rsidRDefault="002444E9" w:rsidP="00B622DC">
            <w:pPr>
              <w:pStyle w:val="lgy-"/>
              <w:rPr>
                <w:rFonts w:eastAsia="宋体"/>
              </w:rPr>
            </w:pPr>
            <w:r w:rsidRPr="002B55E9">
              <w:rPr>
                <w:rFonts w:eastAsia="宋体"/>
              </w:rPr>
              <w:t>危险废物名称</w:t>
            </w:r>
          </w:p>
        </w:tc>
        <w:tc>
          <w:tcPr>
            <w:tcW w:w="833" w:type="dxa"/>
          </w:tcPr>
          <w:p w14:paraId="23047C45" w14:textId="77777777" w:rsidR="002444E9" w:rsidRPr="002B55E9" w:rsidRDefault="002444E9" w:rsidP="00B622DC">
            <w:pPr>
              <w:pStyle w:val="lgy-"/>
              <w:rPr>
                <w:rFonts w:eastAsia="宋体"/>
              </w:rPr>
            </w:pPr>
            <w:r w:rsidRPr="002B55E9">
              <w:rPr>
                <w:rFonts w:eastAsia="宋体"/>
              </w:rPr>
              <w:t>废物类别</w:t>
            </w:r>
          </w:p>
        </w:tc>
        <w:tc>
          <w:tcPr>
            <w:tcW w:w="1365" w:type="dxa"/>
          </w:tcPr>
          <w:p w14:paraId="7E201E1B" w14:textId="77777777" w:rsidR="002444E9" w:rsidRPr="002B55E9" w:rsidRDefault="002444E9" w:rsidP="00B622DC">
            <w:pPr>
              <w:pStyle w:val="lgy-"/>
              <w:rPr>
                <w:rFonts w:eastAsia="宋体"/>
              </w:rPr>
            </w:pPr>
            <w:r w:rsidRPr="002B55E9">
              <w:rPr>
                <w:rFonts w:eastAsia="宋体"/>
              </w:rPr>
              <w:t>废物代码</w:t>
            </w:r>
          </w:p>
        </w:tc>
        <w:tc>
          <w:tcPr>
            <w:tcW w:w="1037" w:type="dxa"/>
          </w:tcPr>
          <w:p w14:paraId="312FF71B" w14:textId="77777777" w:rsidR="002444E9" w:rsidRPr="002B55E9" w:rsidRDefault="002444E9" w:rsidP="00B622DC">
            <w:pPr>
              <w:pStyle w:val="lgy-"/>
              <w:rPr>
                <w:rFonts w:eastAsia="宋体"/>
              </w:rPr>
            </w:pPr>
            <w:r w:rsidRPr="002B55E9">
              <w:rPr>
                <w:rFonts w:eastAsia="宋体"/>
              </w:rPr>
              <w:t>产生量</w:t>
            </w:r>
          </w:p>
          <w:p w14:paraId="1827A60C" w14:textId="77777777" w:rsidR="002444E9" w:rsidRPr="002B55E9" w:rsidRDefault="002444E9" w:rsidP="00B622DC">
            <w:pPr>
              <w:pStyle w:val="lgy-"/>
              <w:rPr>
                <w:rFonts w:eastAsia="宋体"/>
              </w:rPr>
            </w:pPr>
            <w:r w:rsidRPr="002B55E9">
              <w:rPr>
                <w:rFonts w:eastAsia="宋体"/>
              </w:rPr>
              <w:t>（</w:t>
            </w:r>
            <w:r w:rsidRPr="002B55E9">
              <w:rPr>
                <w:rFonts w:eastAsia="宋体"/>
              </w:rPr>
              <w:t>t/a</w:t>
            </w:r>
            <w:r w:rsidRPr="002B55E9">
              <w:rPr>
                <w:rFonts w:eastAsia="宋体"/>
              </w:rPr>
              <w:t>）</w:t>
            </w:r>
          </w:p>
        </w:tc>
        <w:tc>
          <w:tcPr>
            <w:tcW w:w="1644" w:type="dxa"/>
          </w:tcPr>
          <w:p w14:paraId="4419C8AA" w14:textId="77777777" w:rsidR="002444E9" w:rsidRPr="002B55E9" w:rsidRDefault="002444E9" w:rsidP="00B622DC">
            <w:pPr>
              <w:pStyle w:val="lgy-"/>
              <w:rPr>
                <w:rFonts w:eastAsia="宋体"/>
              </w:rPr>
            </w:pPr>
            <w:r w:rsidRPr="002B55E9">
              <w:rPr>
                <w:rFonts w:eastAsia="宋体"/>
              </w:rPr>
              <w:t>产生工序及装置</w:t>
            </w:r>
          </w:p>
        </w:tc>
        <w:tc>
          <w:tcPr>
            <w:tcW w:w="1897" w:type="dxa"/>
          </w:tcPr>
          <w:p w14:paraId="2C340557" w14:textId="77777777" w:rsidR="002444E9" w:rsidRPr="002B55E9" w:rsidRDefault="002444E9" w:rsidP="00B622DC">
            <w:pPr>
              <w:pStyle w:val="lgy-"/>
              <w:rPr>
                <w:rFonts w:eastAsia="宋体"/>
              </w:rPr>
            </w:pPr>
            <w:r w:rsidRPr="002B55E9">
              <w:rPr>
                <w:rFonts w:eastAsia="宋体"/>
              </w:rPr>
              <w:t>污染防治措施</w:t>
            </w:r>
          </w:p>
        </w:tc>
      </w:tr>
      <w:tr w:rsidR="00C60999" w:rsidRPr="002B55E9" w14:paraId="69D3DC42" w14:textId="77777777" w:rsidTr="00523135">
        <w:trPr>
          <w:trHeight w:val="283"/>
        </w:trPr>
        <w:tc>
          <w:tcPr>
            <w:tcW w:w="594" w:type="dxa"/>
          </w:tcPr>
          <w:p w14:paraId="1F4DD2CB" w14:textId="77777777" w:rsidR="002444E9" w:rsidRPr="002B55E9" w:rsidRDefault="002444E9" w:rsidP="00B622DC">
            <w:pPr>
              <w:pStyle w:val="lgy-"/>
              <w:rPr>
                <w:rFonts w:eastAsia="宋体"/>
              </w:rPr>
            </w:pPr>
            <w:r w:rsidRPr="002B55E9">
              <w:rPr>
                <w:rFonts w:eastAsia="宋体"/>
              </w:rPr>
              <w:t>1</w:t>
            </w:r>
          </w:p>
        </w:tc>
        <w:tc>
          <w:tcPr>
            <w:tcW w:w="2267" w:type="dxa"/>
          </w:tcPr>
          <w:p w14:paraId="079C67F4" w14:textId="77777777" w:rsidR="002444E9" w:rsidRPr="002B55E9" w:rsidRDefault="002444E9" w:rsidP="00B622DC">
            <w:pPr>
              <w:pStyle w:val="lgy-"/>
              <w:rPr>
                <w:rFonts w:eastAsia="宋体"/>
              </w:rPr>
            </w:pPr>
            <w:r w:rsidRPr="002B55E9">
              <w:rPr>
                <w:rFonts w:eastAsia="宋体"/>
              </w:rPr>
              <w:t>生活垃圾</w:t>
            </w:r>
          </w:p>
        </w:tc>
        <w:tc>
          <w:tcPr>
            <w:tcW w:w="833" w:type="dxa"/>
          </w:tcPr>
          <w:p w14:paraId="164CA395"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152C377D"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5C597E44" w14:textId="77777777" w:rsidR="002444E9" w:rsidRPr="002B55E9" w:rsidRDefault="002444E9" w:rsidP="00B622DC">
            <w:pPr>
              <w:pStyle w:val="lgy-"/>
              <w:rPr>
                <w:rFonts w:eastAsia="宋体"/>
              </w:rPr>
            </w:pPr>
            <w:r w:rsidRPr="002B55E9">
              <w:rPr>
                <w:rFonts w:eastAsia="宋体"/>
              </w:rPr>
              <w:t>44.88</w:t>
            </w:r>
          </w:p>
        </w:tc>
        <w:tc>
          <w:tcPr>
            <w:tcW w:w="1644" w:type="dxa"/>
          </w:tcPr>
          <w:p w14:paraId="704DD7F5" w14:textId="77777777" w:rsidR="002444E9" w:rsidRPr="002B55E9" w:rsidRDefault="002444E9" w:rsidP="00B622DC">
            <w:pPr>
              <w:pStyle w:val="lgy-"/>
              <w:rPr>
                <w:rFonts w:eastAsia="宋体"/>
              </w:rPr>
            </w:pPr>
            <w:r w:rsidRPr="002B55E9">
              <w:rPr>
                <w:rFonts w:eastAsia="宋体"/>
              </w:rPr>
              <w:t>办公生活</w:t>
            </w:r>
          </w:p>
        </w:tc>
        <w:tc>
          <w:tcPr>
            <w:tcW w:w="1897" w:type="dxa"/>
          </w:tcPr>
          <w:p w14:paraId="7562C95D" w14:textId="77777777" w:rsidR="002444E9" w:rsidRPr="002B55E9" w:rsidRDefault="002444E9" w:rsidP="00B622DC">
            <w:pPr>
              <w:pStyle w:val="lgy-"/>
              <w:rPr>
                <w:rFonts w:eastAsia="宋体"/>
              </w:rPr>
            </w:pPr>
            <w:r w:rsidRPr="002B55E9">
              <w:rPr>
                <w:rFonts w:eastAsia="宋体"/>
              </w:rPr>
              <w:t>由环卫部门清运处置</w:t>
            </w:r>
          </w:p>
        </w:tc>
      </w:tr>
      <w:tr w:rsidR="00C60999" w:rsidRPr="002B55E9" w14:paraId="0F44AA7E" w14:textId="77777777" w:rsidTr="00523135">
        <w:trPr>
          <w:trHeight w:val="283"/>
        </w:trPr>
        <w:tc>
          <w:tcPr>
            <w:tcW w:w="594" w:type="dxa"/>
          </w:tcPr>
          <w:p w14:paraId="7FB5CA55" w14:textId="77777777" w:rsidR="002444E9" w:rsidRPr="002B55E9" w:rsidRDefault="002444E9" w:rsidP="00B622DC">
            <w:pPr>
              <w:pStyle w:val="lgy-"/>
              <w:rPr>
                <w:rFonts w:eastAsia="宋体"/>
              </w:rPr>
            </w:pPr>
            <w:r w:rsidRPr="002B55E9">
              <w:rPr>
                <w:rFonts w:eastAsia="宋体"/>
              </w:rPr>
              <w:t>2</w:t>
            </w:r>
          </w:p>
        </w:tc>
        <w:tc>
          <w:tcPr>
            <w:tcW w:w="2267" w:type="dxa"/>
          </w:tcPr>
          <w:p w14:paraId="7C201078" w14:textId="77777777" w:rsidR="002444E9" w:rsidRPr="002B55E9" w:rsidRDefault="002444E9" w:rsidP="00B622DC">
            <w:pPr>
              <w:pStyle w:val="lgy-"/>
              <w:rPr>
                <w:rFonts w:eastAsia="宋体"/>
              </w:rPr>
            </w:pPr>
            <w:r w:rsidRPr="002B55E9">
              <w:rPr>
                <w:rFonts w:eastAsia="宋体"/>
              </w:rPr>
              <w:t>过滤残渣</w:t>
            </w:r>
          </w:p>
        </w:tc>
        <w:tc>
          <w:tcPr>
            <w:tcW w:w="833" w:type="dxa"/>
          </w:tcPr>
          <w:p w14:paraId="7524B384"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1C07CCC3"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7247076A" w14:textId="77777777" w:rsidR="002444E9" w:rsidRPr="002B55E9" w:rsidRDefault="002444E9" w:rsidP="00B622DC">
            <w:pPr>
              <w:pStyle w:val="lgy-"/>
              <w:rPr>
                <w:rFonts w:eastAsia="宋体"/>
              </w:rPr>
            </w:pPr>
            <w:r w:rsidRPr="002B55E9">
              <w:rPr>
                <w:rFonts w:eastAsia="宋体"/>
              </w:rPr>
              <w:t>559.5</w:t>
            </w:r>
          </w:p>
        </w:tc>
        <w:tc>
          <w:tcPr>
            <w:tcW w:w="1644" w:type="dxa"/>
          </w:tcPr>
          <w:p w14:paraId="29F45EA7" w14:textId="77777777" w:rsidR="002444E9" w:rsidRPr="002B55E9" w:rsidRDefault="002444E9" w:rsidP="00B622DC">
            <w:pPr>
              <w:pStyle w:val="lgy-"/>
              <w:rPr>
                <w:rFonts w:eastAsia="宋体"/>
              </w:rPr>
            </w:pPr>
            <w:r w:rsidRPr="002B55E9">
              <w:rPr>
                <w:rFonts w:eastAsia="宋体"/>
              </w:rPr>
              <w:t>过滤</w:t>
            </w:r>
          </w:p>
        </w:tc>
        <w:tc>
          <w:tcPr>
            <w:tcW w:w="1897" w:type="dxa"/>
          </w:tcPr>
          <w:p w14:paraId="1EDFEAF0" w14:textId="77777777" w:rsidR="002444E9" w:rsidRPr="002B55E9" w:rsidRDefault="002444E9" w:rsidP="00B622DC">
            <w:pPr>
              <w:pStyle w:val="lgy-"/>
              <w:rPr>
                <w:rFonts w:eastAsia="宋体"/>
              </w:rPr>
            </w:pPr>
            <w:r w:rsidRPr="002B55E9">
              <w:rPr>
                <w:rFonts w:eastAsia="宋体"/>
              </w:rPr>
              <w:t>有机肥生产企业回收利用</w:t>
            </w:r>
          </w:p>
        </w:tc>
      </w:tr>
      <w:tr w:rsidR="00C60999" w:rsidRPr="002B55E9" w14:paraId="547EC333" w14:textId="77777777" w:rsidTr="00523135">
        <w:trPr>
          <w:trHeight w:val="283"/>
        </w:trPr>
        <w:tc>
          <w:tcPr>
            <w:tcW w:w="594" w:type="dxa"/>
          </w:tcPr>
          <w:p w14:paraId="584D6B2E" w14:textId="77777777" w:rsidR="002444E9" w:rsidRPr="002B55E9" w:rsidRDefault="002444E9" w:rsidP="00B622DC">
            <w:pPr>
              <w:pStyle w:val="lgy-"/>
              <w:rPr>
                <w:rFonts w:eastAsia="宋体"/>
              </w:rPr>
            </w:pPr>
            <w:r w:rsidRPr="002B55E9">
              <w:rPr>
                <w:rFonts w:eastAsia="宋体"/>
              </w:rPr>
              <w:t>3</w:t>
            </w:r>
          </w:p>
        </w:tc>
        <w:tc>
          <w:tcPr>
            <w:tcW w:w="2267" w:type="dxa"/>
          </w:tcPr>
          <w:p w14:paraId="2D15A186" w14:textId="77777777" w:rsidR="002444E9" w:rsidRPr="002B55E9" w:rsidRDefault="002444E9" w:rsidP="00B622DC">
            <w:pPr>
              <w:pStyle w:val="lgy-"/>
              <w:rPr>
                <w:rFonts w:eastAsia="宋体"/>
              </w:rPr>
            </w:pPr>
            <w:r w:rsidRPr="002B55E9">
              <w:rPr>
                <w:rFonts w:eastAsia="宋体" w:hint="eastAsia"/>
              </w:rPr>
              <w:t>成品过滤残渣</w:t>
            </w:r>
          </w:p>
        </w:tc>
        <w:tc>
          <w:tcPr>
            <w:tcW w:w="833" w:type="dxa"/>
          </w:tcPr>
          <w:p w14:paraId="31E2550B" w14:textId="77777777" w:rsidR="002444E9" w:rsidRPr="002B55E9" w:rsidRDefault="002444E9" w:rsidP="00B622DC">
            <w:pPr>
              <w:pStyle w:val="lgy-"/>
              <w:rPr>
                <w:rFonts w:eastAsia="宋体"/>
              </w:rPr>
            </w:pPr>
          </w:p>
        </w:tc>
        <w:tc>
          <w:tcPr>
            <w:tcW w:w="1365" w:type="dxa"/>
          </w:tcPr>
          <w:p w14:paraId="52E545C9" w14:textId="77777777" w:rsidR="002444E9" w:rsidRPr="002B55E9" w:rsidRDefault="002444E9" w:rsidP="00B622DC">
            <w:pPr>
              <w:pStyle w:val="lgy-"/>
              <w:rPr>
                <w:rFonts w:eastAsia="宋体"/>
              </w:rPr>
            </w:pPr>
          </w:p>
        </w:tc>
        <w:tc>
          <w:tcPr>
            <w:tcW w:w="1037" w:type="dxa"/>
          </w:tcPr>
          <w:p w14:paraId="40B3121A" w14:textId="77777777" w:rsidR="002444E9" w:rsidRPr="002B55E9" w:rsidRDefault="002444E9" w:rsidP="00B622DC">
            <w:pPr>
              <w:pStyle w:val="lgy-"/>
              <w:rPr>
                <w:rFonts w:eastAsia="宋体"/>
              </w:rPr>
            </w:pPr>
            <w:r w:rsidRPr="002B55E9">
              <w:rPr>
                <w:rFonts w:eastAsia="宋体" w:hint="eastAsia"/>
              </w:rPr>
              <w:t>3</w:t>
            </w:r>
            <w:r w:rsidRPr="002B55E9">
              <w:rPr>
                <w:rFonts w:eastAsia="宋体"/>
              </w:rPr>
              <w:t>.38</w:t>
            </w:r>
          </w:p>
        </w:tc>
        <w:tc>
          <w:tcPr>
            <w:tcW w:w="1644" w:type="dxa"/>
          </w:tcPr>
          <w:p w14:paraId="30CA405E" w14:textId="77777777" w:rsidR="002444E9" w:rsidRPr="002B55E9" w:rsidRDefault="002444E9" w:rsidP="00B622DC">
            <w:pPr>
              <w:pStyle w:val="lgy-"/>
              <w:rPr>
                <w:rFonts w:eastAsia="宋体"/>
              </w:rPr>
            </w:pPr>
            <w:r w:rsidRPr="002B55E9">
              <w:rPr>
                <w:rFonts w:eastAsia="宋体" w:hint="eastAsia"/>
              </w:rPr>
              <w:t>成品过滤</w:t>
            </w:r>
          </w:p>
        </w:tc>
        <w:tc>
          <w:tcPr>
            <w:tcW w:w="1897" w:type="dxa"/>
            <w:vMerge w:val="restart"/>
          </w:tcPr>
          <w:p w14:paraId="5A143694" w14:textId="77777777" w:rsidR="002444E9" w:rsidRPr="002B55E9" w:rsidRDefault="002444E9" w:rsidP="00B622DC">
            <w:pPr>
              <w:pStyle w:val="lgy-"/>
              <w:rPr>
                <w:rFonts w:eastAsia="宋体"/>
              </w:rPr>
            </w:pPr>
            <w:r w:rsidRPr="002B55E9">
              <w:rPr>
                <w:rFonts w:eastAsia="宋体"/>
              </w:rPr>
              <w:t>物资回收公司综合利用</w:t>
            </w:r>
          </w:p>
        </w:tc>
      </w:tr>
      <w:tr w:rsidR="00C60999" w:rsidRPr="002B55E9" w14:paraId="5CA5450C" w14:textId="77777777" w:rsidTr="00523135">
        <w:trPr>
          <w:trHeight w:val="283"/>
        </w:trPr>
        <w:tc>
          <w:tcPr>
            <w:tcW w:w="594" w:type="dxa"/>
          </w:tcPr>
          <w:p w14:paraId="1E1369E6" w14:textId="77777777" w:rsidR="002444E9" w:rsidRPr="002B55E9" w:rsidRDefault="002444E9" w:rsidP="00B622DC">
            <w:pPr>
              <w:pStyle w:val="lgy-"/>
              <w:rPr>
                <w:rFonts w:eastAsia="宋体"/>
              </w:rPr>
            </w:pPr>
            <w:r w:rsidRPr="002B55E9">
              <w:rPr>
                <w:rFonts w:eastAsia="宋体" w:hint="eastAsia"/>
              </w:rPr>
              <w:t>4</w:t>
            </w:r>
          </w:p>
        </w:tc>
        <w:tc>
          <w:tcPr>
            <w:tcW w:w="2267" w:type="dxa"/>
          </w:tcPr>
          <w:p w14:paraId="69D26562" w14:textId="77777777" w:rsidR="002444E9" w:rsidRPr="002B55E9" w:rsidRDefault="002444E9" w:rsidP="00B622DC">
            <w:pPr>
              <w:pStyle w:val="lgy-"/>
              <w:rPr>
                <w:rFonts w:eastAsia="宋体"/>
              </w:rPr>
            </w:pPr>
            <w:r w:rsidRPr="002B55E9">
              <w:rPr>
                <w:rFonts w:eastAsia="宋体"/>
              </w:rPr>
              <w:t>除尘器粉尘</w:t>
            </w:r>
          </w:p>
        </w:tc>
        <w:tc>
          <w:tcPr>
            <w:tcW w:w="833" w:type="dxa"/>
          </w:tcPr>
          <w:p w14:paraId="47884FB8"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53672DFE"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385C558C" w14:textId="77777777" w:rsidR="002444E9" w:rsidRPr="002B55E9" w:rsidRDefault="002444E9" w:rsidP="00B622DC">
            <w:pPr>
              <w:pStyle w:val="lgy-"/>
              <w:rPr>
                <w:rFonts w:eastAsia="宋体"/>
              </w:rPr>
            </w:pPr>
            <w:r w:rsidRPr="002B55E9">
              <w:rPr>
                <w:rFonts w:eastAsia="宋体"/>
              </w:rPr>
              <w:t>0.08</w:t>
            </w:r>
          </w:p>
        </w:tc>
        <w:tc>
          <w:tcPr>
            <w:tcW w:w="1644" w:type="dxa"/>
          </w:tcPr>
          <w:p w14:paraId="494AA165" w14:textId="77777777" w:rsidR="002444E9" w:rsidRPr="002B55E9" w:rsidRDefault="002444E9" w:rsidP="00B622DC">
            <w:pPr>
              <w:pStyle w:val="lgy-"/>
              <w:rPr>
                <w:rFonts w:eastAsia="宋体"/>
              </w:rPr>
            </w:pPr>
            <w:r w:rsidRPr="002B55E9">
              <w:rPr>
                <w:rFonts w:eastAsia="宋体"/>
              </w:rPr>
              <w:t>破碎</w:t>
            </w:r>
          </w:p>
        </w:tc>
        <w:tc>
          <w:tcPr>
            <w:tcW w:w="1897" w:type="dxa"/>
            <w:vMerge/>
          </w:tcPr>
          <w:p w14:paraId="4F1E68BF" w14:textId="77777777" w:rsidR="002444E9" w:rsidRPr="002B55E9" w:rsidRDefault="002444E9" w:rsidP="00B622DC">
            <w:pPr>
              <w:pStyle w:val="lgy-"/>
              <w:rPr>
                <w:rFonts w:eastAsia="宋体"/>
              </w:rPr>
            </w:pPr>
          </w:p>
        </w:tc>
      </w:tr>
      <w:tr w:rsidR="00C60999" w:rsidRPr="002B55E9" w14:paraId="2EAD8197" w14:textId="77777777" w:rsidTr="00523135">
        <w:trPr>
          <w:trHeight w:val="283"/>
        </w:trPr>
        <w:tc>
          <w:tcPr>
            <w:tcW w:w="594" w:type="dxa"/>
          </w:tcPr>
          <w:p w14:paraId="4B56B925" w14:textId="77777777" w:rsidR="002444E9" w:rsidRPr="002B55E9" w:rsidRDefault="002444E9" w:rsidP="00B622DC">
            <w:pPr>
              <w:pStyle w:val="lgy-"/>
              <w:rPr>
                <w:rFonts w:eastAsia="宋体"/>
              </w:rPr>
            </w:pPr>
            <w:r w:rsidRPr="002B55E9">
              <w:rPr>
                <w:rFonts w:eastAsia="宋体" w:hint="eastAsia"/>
              </w:rPr>
              <w:t>5</w:t>
            </w:r>
          </w:p>
        </w:tc>
        <w:tc>
          <w:tcPr>
            <w:tcW w:w="2267" w:type="dxa"/>
          </w:tcPr>
          <w:p w14:paraId="5909ADD6" w14:textId="77777777" w:rsidR="002444E9" w:rsidRPr="002B55E9" w:rsidRDefault="002444E9" w:rsidP="00B622DC">
            <w:pPr>
              <w:pStyle w:val="lgy-"/>
              <w:rPr>
                <w:rFonts w:eastAsia="宋体"/>
              </w:rPr>
            </w:pPr>
            <w:r w:rsidRPr="002B55E9">
              <w:rPr>
                <w:rFonts w:eastAsia="宋体"/>
              </w:rPr>
              <w:t>废包装材料</w:t>
            </w:r>
          </w:p>
        </w:tc>
        <w:tc>
          <w:tcPr>
            <w:tcW w:w="833" w:type="dxa"/>
          </w:tcPr>
          <w:p w14:paraId="635ECC12"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46C7CCDE"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7A0B43ED" w14:textId="77777777" w:rsidR="002444E9" w:rsidRPr="002B55E9" w:rsidRDefault="002444E9" w:rsidP="00B622DC">
            <w:pPr>
              <w:pStyle w:val="lgy-"/>
              <w:rPr>
                <w:rFonts w:eastAsia="宋体"/>
              </w:rPr>
            </w:pPr>
            <w:r w:rsidRPr="002B55E9">
              <w:rPr>
                <w:rFonts w:eastAsia="宋体"/>
              </w:rPr>
              <w:t>12</w:t>
            </w:r>
          </w:p>
        </w:tc>
        <w:tc>
          <w:tcPr>
            <w:tcW w:w="1644" w:type="dxa"/>
          </w:tcPr>
          <w:p w14:paraId="1D39CECA" w14:textId="77777777" w:rsidR="002444E9" w:rsidRPr="002B55E9" w:rsidRDefault="002444E9" w:rsidP="00B622DC">
            <w:pPr>
              <w:pStyle w:val="lgy-"/>
              <w:rPr>
                <w:rFonts w:eastAsia="宋体"/>
              </w:rPr>
            </w:pPr>
            <w:r w:rsidRPr="002B55E9">
              <w:rPr>
                <w:rFonts w:eastAsia="宋体"/>
              </w:rPr>
              <w:t>拆包</w:t>
            </w:r>
          </w:p>
        </w:tc>
        <w:tc>
          <w:tcPr>
            <w:tcW w:w="1897" w:type="dxa"/>
            <w:vMerge/>
          </w:tcPr>
          <w:p w14:paraId="4DBEE03E" w14:textId="77777777" w:rsidR="002444E9" w:rsidRPr="002B55E9" w:rsidRDefault="002444E9" w:rsidP="00B622DC">
            <w:pPr>
              <w:pStyle w:val="lgy-"/>
              <w:rPr>
                <w:rFonts w:eastAsia="宋体"/>
              </w:rPr>
            </w:pPr>
          </w:p>
        </w:tc>
      </w:tr>
      <w:tr w:rsidR="00C60999" w:rsidRPr="002B55E9" w14:paraId="72C14464" w14:textId="77777777" w:rsidTr="00523135">
        <w:trPr>
          <w:trHeight w:val="283"/>
        </w:trPr>
        <w:tc>
          <w:tcPr>
            <w:tcW w:w="594" w:type="dxa"/>
          </w:tcPr>
          <w:p w14:paraId="51515A3E" w14:textId="77777777" w:rsidR="002444E9" w:rsidRPr="002B55E9" w:rsidRDefault="002444E9" w:rsidP="00B622DC">
            <w:pPr>
              <w:pStyle w:val="lgy-"/>
              <w:rPr>
                <w:rFonts w:eastAsia="宋体"/>
              </w:rPr>
            </w:pPr>
            <w:r w:rsidRPr="002B55E9">
              <w:rPr>
                <w:rFonts w:eastAsia="宋体" w:hint="eastAsia"/>
              </w:rPr>
              <w:t>6</w:t>
            </w:r>
          </w:p>
        </w:tc>
        <w:tc>
          <w:tcPr>
            <w:tcW w:w="2267" w:type="dxa"/>
          </w:tcPr>
          <w:p w14:paraId="38FFD4F1" w14:textId="77777777" w:rsidR="002444E9" w:rsidRPr="002B55E9" w:rsidRDefault="002444E9" w:rsidP="00B622DC">
            <w:pPr>
              <w:pStyle w:val="lgy-"/>
              <w:rPr>
                <w:rFonts w:eastAsia="宋体"/>
              </w:rPr>
            </w:pPr>
            <w:r w:rsidRPr="002B55E9">
              <w:rPr>
                <w:rFonts w:eastAsia="宋体"/>
              </w:rPr>
              <w:t>纯水制备</w:t>
            </w:r>
            <w:r w:rsidRPr="002B55E9">
              <w:rPr>
                <w:rFonts w:eastAsia="宋体"/>
              </w:rPr>
              <w:t>RO</w:t>
            </w:r>
            <w:r w:rsidRPr="002B55E9">
              <w:rPr>
                <w:rFonts w:eastAsia="宋体"/>
              </w:rPr>
              <w:t>膜</w:t>
            </w:r>
          </w:p>
        </w:tc>
        <w:tc>
          <w:tcPr>
            <w:tcW w:w="833" w:type="dxa"/>
          </w:tcPr>
          <w:p w14:paraId="4998E1EA"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091FA8F9"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1EA21F91" w14:textId="77777777" w:rsidR="002444E9" w:rsidRPr="002B55E9" w:rsidRDefault="002444E9" w:rsidP="00B622DC">
            <w:pPr>
              <w:pStyle w:val="lgy-"/>
              <w:rPr>
                <w:rFonts w:eastAsia="宋体"/>
              </w:rPr>
            </w:pPr>
            <w:r w:rsidRPr="002B55E9">
              <w:rPr>
                <w:rFonts w:eastAsia="宋体"/>
              </w:rPr>
              <w:t>0.01</w:t>
            </w:r>
          </w:p>
        </w:tc>
        <w:tc>
          <w:tcPr>
            <w:tcW w:w="1644" w:type="dxa"/>
          </w:tcPr>
          <w:p w14:paraId="4CA1BF9D" w14:textId="77777777" w:rsidR="002444E9" w:rsidRPr="002B55E9" w:rsidRDefault="002444E9" w:rsidP="00B622DC">
            <w:pPr>
              <w:pStyle w:val="lgy-"/>
              <w:rPr>
                <w:rFonts w:eastAsia="宋体"/>
              </w:rPr>
            </w:pPr>
            <w:r w:rsidRPr="002B55E9">
              <w:rPr>
                <w:rFonts w:eastAsia="宋体"/>
              </w:rPr>
              <w:t>纯水制备</w:t>
            </w:r>
          </w:p>
        </w:tc>
        <w:tc>
          <w:tcPr>
            <w:tcW w:w="1897" w:type="dxa"/>
            <w:vMerge/>
          </w:tcPr>
          <w:p w14:paraId="7440BDE1" w14:textId="77777777" w:rsidR="002444E9" w:rsidRPr="002B55E9" w:rsidRDefault="002444E9" w:rsidP="00B622DC">
            <w:pPr>
              <w:pStyle w:val="lgy-"/>
              <w:rPr>
                <w:rFonts w:eastAsia="宋体"/>
              </w:rPr>
            </w:pPr>
          </w:p>
        </w:tc>
      </w:tr>
      <w:tr w:rsidR="00C60999" w:rsidRPr="002B55E9" w14:paraId="3D956FED" w14:textId="77777777" w:rsidTr="00523135">
        <w:trPr>
          <w:trHeight w:val="283"/>
        </w:trPr>
        <w:tc>
          <w:tcPr>
            <w:tcW w:w="594" w:type="dxa"/>
          </w:tcPr>
          <w:p w14:paraId="7B69A0A4" w14:textId="77777777" w:rsidR="002444E9" w:rsidRPr="002B55E9" w:rsidRDefault="002444E9" w:rsidP="00B622DC">
            <w:pPr>
              <w:pStyle w:val="lgy-"/>
              <w:rPr>
                <w:rFonts w:eastAsia="宋体"/>
              </w:rPr>
            </w:pPr>
            <w:r w:rsidRPr="002B55E9">
              <w:rPr>
                <w:rFonts w:eastAsia="宋体" w:hint="eastAsia"/>
              </w:rPr>
              <w:t>7</w:t>
            </w:r>
          </w:p>
        </w:tc>
        <w:tc>
          <w:tcPr>
            <w:tcW w:w="2267" w:type="dxa"/>
          </w:tcPr>
          <w:p w14:paraId="1E44BE93" w14:textId="52F6ED19" w:rsidR="002444E9" w:rsidRPr="002B55E9" w:rsidRDefault="00F54EA6" w:rsidP="00B622DC">
            <w:pPr>
              <w:pStyle w:val="lgy-"/>
              <w:rPr>
                <w:rFonts w:eastAsia="宋体"/>
              </w:rPr>
            </w:pPr>
            <w:r w:rsidRPr="002B55E9">
              <w:rPr>
                <w:rFonts w:eastAsia="宋体"/>
              </w:rPr>
              <w:t>废活性炭滤芯、废石英砂滤芯</w:t>
            </w:r>
          </w:p>
        </w:tc>
        <w:tc>
          <w:tcPr>
            <w:tcW w:w="833" w:type="dxa"/>
          </w:tcPr>
          <w:p w14:paraId="4E4FBEC8" w14:textId="77777777" w:rsidR="002444E9" w:rsidRPr="002B55E9" w:rsidRDefault="002444E9" w:rsidP="00B622DC">
            <w:pPr>
              <w:pStyle w:val="lgy-"/>
              <w:rPr>
                <w:rFonts w:eastAsia="宋体"/>
              </w:rPr>
            </w:pPr>
            <w:r w:rsidRPr="002B55E9">
              <w:rPr>
                <w:rFonts w:eastAsia="宋体" w:hint="eastAsia"/>
              </w:rPr>
              <w:t>/</w:t>
            </w:r>
          </w:p>
        </w:tc>
        <w:tc>
          <w:tcPr>
            <w:tcW w:w="1365" w:type="dxa"/>
          </w:tcPr>
          <w:p w14:paraId="6456CD08" w14:textId="77777777" w:rsidR="002444E9" w:rsidRPr="002B55E9" w:rsidRDefault="002444E9" w:rsidP="00B622DC">
            <w:pPr>
              <w:pStyle w:val="lgy-"/>
              <w:rPr>
                <w:rFonts w:eastAsia="宋体"/>
              </w:rPr>
            </w:pPr>
            <w:r w:rsidRPr="002B55E9">
              <w:rPr>
                <w:rFonts w:eastAsia="宋体" w:hint="eastAsia"/>
              </w:rPr>
              <w:t>/</w:t>
            </w:r>
          </w:p>
        </w:tc>
        <w:tc>
          <w:tcPr>
            <w:tcW w:w="1037" w:type="dxa"/>
          </w:tcPr>
          <w:p w14:paraId="71048598" w14:textId="77777777" w:rsidR="002444E9" w:rsidRPr="002B55E9" w:rsidRDefault="002444E9" w:rsidP="00B622DC">
            <w:pPr>
              <w:pStyle w:val="lgy-"/>
              <w:rPr>
                <w:rFonts w:eastAsia="宋体"/>
              </w:rPr>
            </w:pPr>
            <w:r w:rsidRPr="002B55E9">
              <w:rPr>
                <w:rFonts w:eastAsia="宋体"/>
              </w:rPr>
              <w:t>1</w:t>
            </w:r>
          </w:p>
        </w:tc>
        <w:tc>
          <w:tcPr>
            <w:tcW w:w="1644" w:type="dxa"/>
          </w:tcPr>
          <w:p w14:paraId="55860251" w14:textId="77777777" w:rsidR="002444E9" w:rsidRPr="002B55E9" w:rsidRDefault="002444E9" w:rsidP="00B622DC">
            <w:pPr>
              <w:pStyle w:val="lgy-"/>
              <w:rPr>
                <w:rFonts w:eastAsia="宋体"/>
              </w:rPr>
            </w:pPr>
            <w:r w:rsidRPr="002B55E9">
              <w:rPr>
                <w:rFonts w:eastAsia="宋体"/>
              </w:rPr>
              <w:t>工艺水制备</w:t>
            </w:r>
          </w:p>
        </w:tc>
        <w:tc>
          <w:tcPr>
            <w:tcW w:w="1897" w:type="dxa"/>
            <w:vMerge/>
          </w:tcPr>
          <w:p w14:paraId="1113BF0F" w14:textId="77777777" w:rsidR="002444E9" w:rsidRPr="002B55E9" w:rsidRDefault="002444E9" w:rsidP="00B622DC">
            <w:pPr>
              <w:pStyle w:val="lgy-"/>
              <w:rPr>
                <w:rFonts w:eastAsia="宋体"/>
              </w:rPr>
            </w:pPr>
          </w:p>
        </w:tc>
      </w:tr>
      <w:tr w:rsidR="00C60999" w:rsidRPr="002B55E9" w14:paraId="00C97666" w14:textId="77777777" w:rsidTr="00523135">
        <w:trPr>
          <w:trHeight w:val="283"/>
        </w:trPr>
        <w:tc>
          <w:tcPr>
            <w:tcW w:w="594" w:type="dxa"/>
          </w:tcPr>
          <w:p w14:paraId="2123B92A" w14:textId="00DE7471" w:rsidR="00523135" w:rsidRPr="002B55E9" w:rsidRDefault="00523135" w:rsidP="00523135">
            <w:pPr>
              <w:pStyle w:val="lgy-"/>
            </w:pPr>
            <w:r w:rsidRPr="002B55E9">
              <w:rPr>
                <w:rFonts w:eastAsia="宋体" w:hint="eastAsia"/>
              </w:rPr>
              <w:t>8</w:t>
            </w:r>
          </w:p>
        </w:tc>
        <w:tc>
          <w:tcPr>
            <w:tcW w:w="2267" w:type="dxa"/>
          </w:tcPr>
          <w:p w14:paraId="728347E3" w14:textId="0D3A8D32" w:rsidR="00523135" w:rsidRPr="002B55E9" w:rsidRDefault="00523135" w:rsidP="00523135">
            <w:pPr>
              <w:pStyle w:val="lgy-"/>
            </w:pPr>
            <w:r w:rsidRPr="002B55E9">
              <w:rPr>
                <w:rFonts w:eastAsia="宋体" w:hint="eastAsia"/>
              </w:rPr>
              <w:t>污水</w:t>
            </w:r>
            <w:r w:rsidRPr="002B55E9">
              <w:rPr>
                <w:rFonts w:eastAsia="宋体"/>
              </w:rPr>
              <w:t>处理站污泥</w:t>
            </w:r>
          </w:p>
        </w:tc>
        <w:tc>
          <w:tcPr>
            <w:tcW w:w="833" w:type="dxa"/>
          </w:tcPr>
          <w:p w14:paraId="3169C22E" w14:textId="1A475E34" w:rsidR="00523135" w:rsidRPr="002B55E9" w:rsidRDefault="00523135" w:rsidP="00523135">
            <w:pPr>
              <w:pStyle w:val="lgy-"/>
            </w:pPr>
            <w:r w:rsidRPr="002B55E9">
              <w:rPr>
                <w:rFonts w:eastAsia="宋体" w:hint="eastAsia"/>
              </w:rPr>
              <w:t>/</w:t>
            </w:r>
          </w:p>
        </w:tc>
        <w:tc>
          <w:tcPr>
            <w:tcW w:w="1365" w:type="dxa"/>
          </w:tcPr>
          <w:p w14:paraId="414B3C26" w14:textId="3EF5BCB8" w:rsidR="00523135" w:rsidRPr="002B55E9" w:rsidRDefault="00523135" w:rsidP="00523135">
            <w:pPr>
              <w:pStyle w:val="lgy-"/>
            </w:pPr>
            <w:r w:rsidRPr="002B55E9">
              <w:rPr>
                <w:rFonts w:eastAsia="宋体" w:hint="eastAsia"/>
              </w:rPr>
              <w:t>/</w:t>
            </w:r>
          </w:p>
        </w:tc>
        <w:tc>
          <w:tcPr>
            <w:tcW w:w="1037" w:type="dxa"/>
          </w:tcPr>
          <w:p w14:paraId="7E4F44AF" w14:textId="7455B1C9" w:rsidR="00523135" w:rsidRPr="002B55E9" w:rsidRDefault="00523135" w:rsidP="00523135">
            <w:pPr>
              <w:pStyle w:val="lgy-"/>
            </w:pPr>
            <w:r w:rsidRPr="002B55E9">
              <w:rPr>
                <w:rFonts w:eastAsia="宋体" w:hint="eastAsia"/>
              </w:rPr>
              <w:t>538</w:t>
            </w:r>
          </w:p>
        </w:tc>
        <w:tc>
          <w:tcPr>
            <w:tcW w:w="1644" w:type="dxa"/>
          </w:tcPr>
          <w:p w14:paraId="420AE755" w14:textId="16926F26" w:rsidR="00523135" w:rsidRPr="002B55E9" w:rsidRDefault="00523135" w:rsidP="00523135">
            <w:pPr>
              <w:pStyle w:val="lgy-"/>
            </w:pPr>
            <w:r w:rsidRPr="002B55E9">
              <w:rPr>
                <w:rFonts w:eastAsia="宋体" w:hint="eastAsia"/>
              </w:rPr>
              <w:t>污水处理</w:t>
            </w:r>
          </w:p>
        </w:tc>
        <w:tc>
          <w:tcPr>
            <w:tcW w:w="1897" w:type="dxa"/>
          </w:tcPr>
          <w:p w14:paraId="3759882A" w14:textId="0ABEB37D" w:rsidR="00523135" w:rsidRPr="002B55E9" w:rsidRDefault="00523135" w:rsidP="00523135">
            <w:pPr>
              <w:pStyle w:val="lgy-"/>
            </w:pPr>
            <w:r w:rsidRPr="002B55E9">
              <w:rPr>
                <w:rFonts w:eastAsia="宋体" w:hint="eastAsia"/>
              </w:rPr>
              <w:t>专业</w:t>
            </w:r>
            <w:r w:rsidRPr="002B55E9">
              <w:rPr>
                <w:rFonts w:eastAsia="宋体"/>
              </w:rPr>
              <w:t>公司清运处理</w:t>
            </w:r>
          </w:p>
        </w:tc>
      </w:tr>
      <w:tr w:rsidR="00C60999" w:rsidRPr="002B55E9" w14:paraId="41C64252" w14:textId="77777777" w:rsidTr="00523135">
        <w:trPr>
          <w:trHeight w:val="283"/>
        </w:trPr>
        <w:tc>
          <w:tcPr>
            <w:tcW w:w="594" w:type="dxa"/>
          </w:tcPr>
          <w:p w14:paraId="28F3A9E5" w14:textId="7125B584" w:rsidR="00523135" w:rsidRPr="002B55E9" w:rsidRDefault="00523135" w:rsidP="00523135">
            <w:pPr>
              <w:pStyle w:val="lgy-"/>
              <w:rPr>
                <w:rFonts w:eastAsia="宋体"/>
              </w:rPr>
            </w:pPr>
            <w:r w:rsidRPr="002B55E9">
              <w:rPr>
                <w:rFonts w:eastAsia="宋体" w:hint="eastAsia"/>
              </w:rPr>
              <w:t>9</w:t>
            </w:r>
          </w:p>
        </w:tc>
        <w:tc>
          <w:tcPr>
            <w:tcW w:w="2267" w:type="dxa"/>
          </w:tcPr>
          <w:p w14:paraId="26C98505" w14:textId="77777777" w:rsidR="00523135" w:rsidRPr="002B55E9" w:rsidRDefault="00523135" w:rsidP="00523135">
            <w:pPr>
              <w:pStyle w:val="lgy-"/>
              <w:rPr>
                <w:rFonts w:eastAsia="宋体"/>
              </w:rPr>
            </w:pPr>
            <w:r w:rsidRPr="002B55E9">
              <w:rPr>
                <w:rFonts w:eastAsia="宋体" w:hint="eastAsia"/>
              </w:rPr>
              <w:t>废油墨桶、废墨盒、废胶粘剂桶等</w:t>
            </w:r>
          </w:p>
        </w:tc>
        <w:tc>
          <w:tcPr>
            <w:tcW w:w="833" w:type="dxa"/>
          </w:tcPr>
          <w:p w14:paraId="1C00C797"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64F5BD3A"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00-041-49</w:t>
            </w:r>
          </w:p>
        </w:tc>
        <w:tc>
          <w:tcPr>
            <w:tcW w:w="1037" w:type="dxa"/>
          </w:tcPr>
          <w:p w14:paraId="42693DF3" w14:textId="77777777" w:rsidR="00523135" w:rsidRPr="002B55E9" w:rsidRDefault="00523135" w:rsidP="00523135">
            <w:pPr>
              <w:pStyle w:val="lgy-"/>
              <w:rPr>
                <w:rFonts w:eastAsia="宋体"/>
              </w:rPr>
            </w:pPr>
            <w:r w:rsidRPr="002B55E9">
              <w:rPr>
                <w:rFonts w:eastAsia="宋体"/>
              </w:rPr>
              <w:t>0.51</w:t>
            </w:r>
          </w:p>
        </w:tc>
        <w:tc>
          <w:tcPr>
            <w:tcW w:w="1644" w:type="dxa"/>
          </w:tcPr>
          <w:p w14:paraId="5A7A71FC" w14:textId="77777777" w:rsidR="00523135" w:rsidRPr="002B55E9" w:rsidRDefault="00523135" w:rsidP="00523135">
            <w:pPr>
              <w:pStyle w:val="lgy-"/>
              <w:rPr>
                <w:rFonts w:eastAsia="宋体"/>
              </w:rPr>
            </w:pPr>
            <w:r w:rsidRPr="002B55E9">
              <w:rPr>
                <w:rFonts w:eastAsia="宋体" w:hint="eastAsia"/>
              </w:rPr>
              <w:t>包装</w:t>
            </w:r>
          </w:p>
        </w:tc>
        <w:tc>
          <w:tcPr>
            <w:tcW w:w="1897" w:type="dxa"/>
            <w:vMerge w:val="restart"/>
          </w:tcPr>
          <w:p w14:paraId="2673C12A" w14:textId="77777777" w:rsidR="00523135" w:rsidRPr="002B55E9" w:rsidRDefault="00523135" w:rsidP="00523135">
            <w:pPr>
              <w:pStyle w:val="lgy-"/>
              <w:rPr>
                <w:rFonts w:eastAsia="宋体"/>
              </w:rPr>
            </w:pPr>
            <w:r w:rsidRPr="002B55E9">
              <w:rPr>
                <w:rFonts w:eastAsia="宋体"/>
              </w:rPr>
              <w:t>于危险废物暂存间内分类暂存，定期交有资质的单位进行妥善处置</w:t>
            </w:r>
          </w:p>
        </w:tc>
      </w:tr>
      <w:tr w:rsidR="00C60999" w:rsidRPr="002B55E9" w14:paraId="64EAD6C7" w14:textId="77777777" w:rsidTr="00523135">
        <w:trPr>
          <w:trHeight w:val="283"/>
        </w:trPr>
        <w:tc>
          <w:tcPr>
            <w:tcW w:w="594" w:type="dxa"/>
          </w:tcPr>
          <w:p w14:paraId="6DEB2A5D" w14:textId="4EB17813" w:rsidR="00523135" w:rsidRPr="002B55E9" w:rsidRDefault="00523135" w:rsidP="00523135">
            <w:pPr>
              <w:pStyle w:val="lgy-"/>
              <w:rPr>
                <w:rFonts w:eastAsia="宋体"/>
              </w:rPr>
            </w:pPr>
            <w:r w:rsidRPr="002B55E9">
              <w:rPr>
                <w:rFonts w:eastAsia="宋体" w:hint="eastAsia"/>
              </w:rPr>
              <w:t>1</w:t>
            </w:r>
            <w:r w:rsidRPr="002B55E9">
              <w:rPr>
                <w:rFonts w:eastAsia="宋体"/>
              </w:rPr>
              <w:t>0</w:t>
            </w:r>
          </w:p>
        </w:tc>
        <w:tc>
          <w:tcPr>
            <w:tcW w:w="2267" w:type="dxa"/>
          </w:tcPr>
          <w:p w14:paraId="71C5252C" w14:textId="77777777" w:rsidR="00523135" w:rsidRPr="002B55E9" w:rsidRDefault="00523135" w:rsidP="00523135">
            <w:pPr>
              <w:pStyle w:val="lgy-"/>
              <w:rPr>
                <w:rFonts w:eastAsia="宋体"/>
              </w:rPr>
            </w:pPr>
            <w:r w:rsidRPr="002B55E9">
              <w:rPr>
                <w:rFonts w:eastAsia="宋体" w:hint="eastAsia"/>
              </w:rPr>
              <w:t>实验废液</w:t>
            </w:r>
          </w:p>
        </w:tc>
        <w:tc>
          <w:tcPr>
            <w:tcW w:w="833" w:type="dxa"/>
          </w:tcPr>
          <w:p w14:paraId="332FFEB3"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534ADA4A"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00-047-49</w:t>
            </w:r>
          </w:p>
        </w:tc>
        <w:tc>
          <w:tcPr>
            <w:tcW w:w="1037" w:type="dxa"/>
          </w:tcPr>
          <w:p w14:paraId="79A52ABC" w14:textId="77777777" w:rsidR="00523135" w:rsidRPr="002B55E9" w:rsidRDefault="00523135" w:rsidP="00523135">
            <w:pPr>
              <w:pStyle w:val="lgy-"/>
              <w:rPr>
                <w:rFonts w:eastAsia="宋体"/>
              </w:rPr>
            </w:pPr>
            <w:r w:rsidRPr="002B55E9">
              <w:rPr>
                <w:rFonts w:eastAsia="宋体"/>
              </w:rPr>
              <w:t>1.5</w:t>
            </w:r>
          </w:p>
        </w:tc>
        <w:tc>
          <w:tcPr>
            <w:tcW w:w="1644" w:type="dxa"/>
          </w:tcPr>
          <w:p w14:paraId="5065770A" w14:textId="77777777" w:rsidR="00523135" w:rsidRPr="002B55E9" w:rsidRDefault="00523135" w:rsidP="00523135">
            <w:pPr>
              <w:pStyle w:val="lgy-"/>
              <w:rPr>
                <w:rFonts w:eastAsia="宋体"/>
              </w:rPr>
            </w:pPr>
            <w:r w:rsidRPr="002B55E9">
              <w:rPr>
                <w:rFonts w:eastAsia="宋体" w:hint="eastAsia"/>
              </w:rPr>
              <w:t>检测</w:t>
            </w:r>
          </w:p>
        </w:tc>
        <w:tc>
          <w:tcPr>
            <w:tcW w:w="1897" w:type="dxa"/>
            <w:vMerge/>
          </w:tcPr>
          <w:p w14:paraId="5F94A781" w14:textId="77777777" w:rsidR="00523135" w:rsidRPr="002B55E9" w:rsidRDefault="00523135" w:rsidP="00523135">
            <w:pPr>
              <w:pStyle w:val="lgy-"/>
              <w:rPr>
                <w:rFonts w:eastAsia="宋体"/>
              </w:rPr>
            </w:pPr>
          </w:p>
        </w:tc>
      </w:tr>
      <w:tr w:rsidR="00C60999" w:rsidRPr="002B55E9" w14:paraId="4120F667" w14:textId="77777777" w:rsidTr="00523135">
        <w:trPr>
          <w:trHeight w:val="283"/>
        </w:trPr>
        <w:tc>
          <w:tcPr>
            <w:tcW w:w="594" w:type="dxa"/>
          </w:tcPr>
          <w:p w14:paraId="203E851C" w14:textId="09583E4F" w:rsidR="00523135" w:rsidRPr="002B55E9" w:rsidRDefault="00523135" w:rsidP="00523135">
            <w:pPr>
              <w:pStyle w:val="lgy-"/>
              <w:rPr>
                <w:rFonts w:eastAsia="宋体"/>
              </w:rPr>
            </w:pPr>
            <w:r w:rsidRPr="002B55E9">
              <w:rPr>
                <w:rFonts w:eastAsia="宋体" w:hint="eastAsia"/>
              </w:rPr>
              <w:t>1</w:t>
            </w:r>
            <w:r w:rsidRPr="002B55E9">
              <w:rPr>
                <w:rFonts w:eastAsia="宋体"/>
              </w:rPr>
              <w:t>1</w:t>
            </w:r>
          </w:p>
        </w:tc>
        <w:tc>
          <w:tcPr>
            <w:tcW w:w="2267" w:type="dxa"/>
          </w:tcPr>
          <w:p w14:paraId="19853D78" w14:textId="77777777" w:rsidR="00523135" w:rsidRPr="002B55E9" w:rsidRDefault="00523135" w:rsidP="00523135">
            <w:pPr>
              <w:pStyle w:val="lgy-"/>
              <w:rPr>
                <w:rFonts w:eastAsia="宋体"/>
              </w:rPr>
            </w:pPr>
            <w:r w:rsidRPr="002B55E9">
              <w:rPr>
                <w:rFonts w:eastAsia="宋体" w:hint="eastAsia"/>
              </w:rPr>
              <w:t>化验室</w:t>
            </w:r>
            <w:r w:rsidRPr="002B55E9">
              <w:rPr>
                <w:rFonts w:eastAsia="宋体"/>
              </w:rPr>
              <w:t>废耗材</w:t>
            </w:r>
          </w:p>
        </w:tc>
        <w:tc>
          <w:tcPr>
            <w:tcW w:w="833" w:type="dxa"/>
          </w:tcPr>
          <w:p w14:paraId="2793E436"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6FA6A742"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00-047-49</w:t>
            </w:r>
          </w:p>
        </w:tc>
        <w:tc>
          <w:tcPr>
            <w:tcW w:w="1037" w:type="dxa"/>
          </w:tcPr>
          <w:p w14:paraId="676B7F4B" w14:textId="77777777" w:rsidR="00523135" w:rsidRPr="002B55E9" w:rsidRDefault="00523135" w:rsidP="00523135">
            <w:pPr>
              <w:pStyle w:val="lgy-"/>
              <w:rPr>
                <w:rFonts w:eastAsia="宋体"/>
              </w:rPr>
            </w:pPr>
            <w:r w:rsidRPr="002B55E9">
              <w:rPr>
                <w:rFonts w:eastAsia="宋体" w:hint="eastAsia"/>
              </w:rPr>
              <w:t>0.5</w:t>
            </w:r>
          </w:p>
        </w:tc>
        <w:tc>
          <w:tcPr>
            <w:tcW w:w="1644" w:type="dxa"/>
          </w:tcPr>
          <w:p w14:paraId="21FF44E0" w14:textId="77777777" w:rsidR="00523135" w:rsidRPr="002B55E9" w:rsidRDefault="00523135" w:rsidP="00523135">
            <w:pPr>
              <w:pStyle w:val="lgy-"/>
              <w:rPr>
                <w:rFonts w:eastAsia="宋体"/>
              </w:rPr>
            </w:pPr>
            <w:r w:rsidRPr="002B55E9">
              <w:rPr>
                <w:rFonts w:eastAsia="宋体" w:hint="eastAsia"/>
              </w:rPr>
              <w:t>检测</w:t>
            </w:r>
          </w:p>
        </w:tc>
        <w:tc>
          <w:tcPr>
            <w:tcW w:w="1897" w:type="dxa"/>
            <w:vMerge/>
          </w:tcPr>
          <w:p w14:paraId="59021D0A" w14:textId="77777777" w:rsidR="00523135" w:rsidRPr="002B55E9" w:rsidRDefault="00523135" w:rsidP="00523135">
            <w:pPr>
              <w:pStyle w:val="lgy-"/>
              <w:rPr>
                <w:rFonts w:eastAsia="宋体"/>
              </w:rPr>
            </w:pPr>
          </w:p>
        </w:tc>
      </w:tr>
      <w:tr w:rsidR="00C60999" w:rsidRPr="002B55E9" w14:paraId="566710BE" w14:textId="77777777" w:rsidTr="00523135">
        <w:trPr>
          <w:trHeight w:val="283"/>
        </w:trPr>
        <w:tc>
          <w:tcPr>
            <w:tcW w:w="594" w:type="dxa"/>
          </w:tcPr>
          <w:p w14:paraId="2899AB3B" w14:textId="195B022B" w:rsidR="00523135" w:rsidRPr="002B55E9" w:rsidRDefault="00523135" w:rsidP="00523135">
            <w:pPr>
              <w:pStyle w:val="lgy-"/>
              <w:rPr>
                <w:rFonts w:eastAsia="宋体"/>
              </w:rPr>
            </w:pPr>
            <w:r w:rsidRPr="002B55E9">
              <w:rPr>
                <w:rFonts w:eastAsia="宋体" w:hint="eastAsia"/>
              </w:rPr>
              <w:t>1</w:t>
            </w:r>
            <w:r w:rsidRPr="002B55E9">
              <w:rPr>
                <w:rFonts w:eastAsia="宋体"/>
              </w:rPr>
              <w:t>2</w:t>
            </w:r>
          </w:p>
        </w:tc>
        <w:tc>
          <w:tcPr>
            <w:tcW w:w="2267" w:type="dxa"/>
          </w:tcPr>
          <w:p w14:paraId="2A4AB9CC" w14:textId="77777777" w:rsidR="00523135" w:rsidRPr="002B55E9" w:rsidRDefault="00523135" w:rsidP="00523135">
            <w:pPr>
              <w:pStyle w:val="lgy-"/>
              <w:rPr>
                <w:rFonts w:eastAsia="宋体"/>
              </w:rPr>
            </w:pPr>
            <w:r w:rsidRPr="002B55E9">
              <w:rPr>
                <w:rFonts w:eastAsia="宋体" w:hint="eastAsia"/>
              </w:rPr>
              <w:t>废活性炭</w:t>
            </w:r>
          </w:p>
        </w:tc>
        <w:tc>
          <w:tcPr>
            <w:tcW w:w="833" w:type="dxa"/>
          </w:tcPr>
          <w:p w14:paraId="0FC685E7" w14:textId="77777777" w:rsidR="00523135" w:rsidRPr="002B55E9" w:rsidRDefault="00523135" w:rsidP="00523135">
            <w:pPr>
              <w:pStyle w:val="lgy-"/>
              <w:rPr>
                <w:rFonts w:eastAsia="宋体"/>
              </w:rPr>
            </w:pPr>
            <w:r w:rsidRPr="002B55E9">
              <w:rPr>
                <w:rFonts w:eastAsia="宋体" w:hint="eastAsia"/>
              </w:rPr>
              <w:t>HW49</w:t>
            </w:r>
          </w:p>
        </w:tc>
        <w:tc>
          <w:tcPr>
            <w:tcW w:w="1365" w:type="dxa"/>
          </w:tcPr>
          <w:p w14:paraId="4E0BAAA3" w14:textId="77777777" w:rsidR="00523135" w:rsidRPr="002B55E9" w:rsidRDefault="00523135" w:rsidP="00523135">
            <w:pPr>
              <w:pStyle w:val="lgy-"/>
              <w:rPr>
                <w:rFonts w:eastAsia="宋体"/>
              </w:rPr>
            </w:pPr>
            <w:r w:rsidRPr="002B55E9">
              <w:rPr>
                <w:rFonts w:eastAsia="宋体" w:hint="eastAsia"/>
              </w:rPr>
              <w:t>900-039-49</w:t>
            </w:r>
          </w:p>
        </w:tc>
        <w:tc>
          <w:tcPr>
            <w:tcW w:w="1037" w:type="dxa"/>
          </w:tcPr>
          <w:p w14:paraId="309E0023" w14:textId="77777777" w:rsidR="00523135" w:rsidRPr="002B55E9" w:rsidRDefault="00523135" w:rsidP="00523135">
            <w:pPr>
              <w:pStyle w:val="lgy-"/>
              <w:rPr>
                <w:rFonts w:eastAsia="宋体"/>
              </w:rPr>
            </w:pPr>
            <w:r w:rsidRPr="002B55E9">
              <w:rPr>
                <w:rFonts w:eastAsia="宋体" w:hint="eastAsia"/>
              </w:rPr>
              <w:t>0.1</w:t>
            </w:r>
          </w:p>
        </w:tc>
        <w:tc>
          <w:tcPr>
            <w:tcW w:w="1644" w:type="dxa"/>
          </w:tcPr>
          <w:p w14:paraId="38781F26" w14:textId="77777777" w:rsidR="00523135" w:rsidRPr="002B55E9" w:rsidRDefault="00523135" w:rsidP="00523135">
            <w:pPr>
              <w:pStyle w:val="lgy-"/>
              <w:rPr>
                <w:rFonts w:eastAsia="宋体"/>
              </w:rPr>
            </w:pPr>
            <w:r w:rsidRPr="002B55E9">
              <w:rPr>
                <w:rFonts w:eastAsia="宋体" w:hint="eastAsia"/>
              </w:rPr>
              <w:t>废气</w:t>
            </w:r>
            <w:r w:rsidRPr="002B55E9">
              <w:rPr>
                <w:rFonts w:eastAsia="宋体"/>
              </w:rPr>
              <w:t>处理</w:t>
            </w:r>
          </w:p>
        </w:tc>
        <w:tc>
          <w:tcPr>
            <w:tcW w:w="1897" w:type="dxa"/>
            <w:vMerge/>
          </w:tcPr>
          <w:p w14:paraId="734FC5E0" w14:textId="77777777" w:rsidR="00523135" w:rsidRPr="002B55E9" w:rsidRDefault="00523135" w:rsidP="00523135">
            <w:pPr>
              <w:pStyle w:val="lgy-"/>
              <w:rPr>
                <w:rFonts w:eastAsia="宋体"/>
              </w:rPr>
            </w:pPr>
          </w:p>
        </w:tc>
      </w:tr>
      <w:tr w:rsidR="00C60999" w:rsidRPr="002B55E9" w14:paraId="436817B1" w14:textId="77777777" w:rsidTr="00523135">
        <w:trPr>
          <w:trHeight w:val="283"/>
        </w:trPr>
        <w:tc>
          <w:tcPr>
            <w:tcW w:w="594" w:type="dxa"/>
          </w:tcPr>
          <w:p w14:paraId="4AFA384B" w14:textId="536ED834" w:rsidR="00523135" w:rsidRPr="002B55E9" w:rsidRDefault="00523135" w:rsidP="00523135">
            <w:pPr>
              <w:pStyle w:val="lgy-"/>
              <w:rPr>
                <w:rFonts w:eastAsia="宋体"/>
              </w:rPr>
            </w:pPr>
            <w:r w:rsidRPr="002B55E9">
              <w:rPr>
                <w:rFonts w:eastAsia="宋体" w:hint="eastAsia"/>
              </w:rPr>
              <w:t>1</w:t>
            </w:r>
            <w:r w:rsidRPr="002B55E9">
              <w:rPr>
                <w:rFonts w:eastAsia="宋体"/>
              </w:rPr>
              <w:t>3</w:t>
            </w:r>
          </w:p>
        </w:tc>
        <w:tc>
          <w:tcPr>
            <w:tcW w:w="2267" w:type="dxa"/>
          </w:tcPr>
          <w:p w14:paraId="7C4E64F7" w14:textId="77777777" w:rsidR="00523135" w:rsidRPr="002B55E9" w:rsidRDefault="00523135" w:rsidP="00523135">
            <w:pPr>
              <w:pStyle w:val="lgy-"/>
              <w:rPr>
                <w:rFonts w:eastAsia="宋体"/>
              </w:rPr>
            </w:pPr>
            <w:r w:rsidRPr="002B55E9">
              <w:rPr>
                <w:rFonts w:eastAsia="宋体" w:hint="eastAsia"/>
              </w:rPr>
              <w:t>废机油</w:t>
            </w:r>
          </w:p>
        </w:tc>
        <w:tc>
          <w:tcPr>
            <w:tcW w:w="833" w:type="dxa"/>
          </w:tcPr>
          <w:p w14:paraId="6684621F"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W08</w:t>
            </w:r>
          </w:p>
        </w:tc>
        <w:tc>
          <w:tcPr>
            <w:tcW w:w="1365" w:type="dxa"/>
          </w:tcPr>
          <w:p w14:paraId="7FB52BFB"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00-214-08</w:t>
            </w:r>
          </w:p>
        </w:tc>
        <w:tc>
          <w:tcPr>
            <w:tcW w:w="1037" w:type="dxa"/>
          </w:tcPr>
          <w:p w14:paraId="64652B86" w14:textId="77777777" w:rsidR="00523135" w:rsidRPr="002B55E9" w:rsidRDefault="00523135" w:rsidP="00523135">
            <w:pPr>
              <w:pStyle w:val="lgy-"/>
              <w:rPr>
                <w:rFonts w:eastAsia="宋体"/>
              </w:rPr>
            </w:pPr>
            <w:r w:rsidRPr="002B55E9">
              <w:rPr>
                <w:rFonts w:eastAsia="宋体" w:hint="eastAsia"/>
              </w:rPr>
              <w:t>0</w:t>
            </w:r>
            <w:r w:rsidRPr="002B55E9">
              <w:rPr>
                <w:rFonts w:eastAsia="宋体"/>
              </w:rPr>
              <w:t>.5</w:t>
            </w:r>
          </w:p>
        </w:tc>
        <w:tc>
          <w:tcPr>
            <w:tcW w:w="1644" w:type="dxa"/>
          </w:tcPr>
          <w:p w14:paraId="1843B0E3" w14:textId="77777777" w:rsidR="00523135" w:rsidRPr="002B55E9" w:rsidRDefault="00523135" w:rsidP="00523135">
            <w:pPr>
              <w:pStyle w:val="lgy-"/>
              <w:rPr>
                <w:rFonts w:eastAsia="宋体"/>
              </w:rPr>
            </w:pPr>
            <w:r w:rsidRPr="002B55E9">
              <w:rPr>
                <w:rFonts w:eastAsia="宋体" w:hint="eastAsia"/>
              </w:rPr>
              <w:t>设备检修</w:t>
            </w:r>
          </w:p>
        </w:tc>
        <w:tc>
          <w:tcPr>
            <w:tcW w:w="1897" w:type="dxa"/>
            <w:vMerge/>
          </w:tcPr>
          <w:p w14:paraId="77E5BBF1" w14:textId="77777777" w:rsidR="00523135" w:rsidRPr="002B55E9" w:rsidRDefault="00523135" w:rsidP="00523135">
            <w:pPr>
              <w:pStyle w:val="lgy-"/>
              <w:rPr>
                <w:rFonts w:eastAsia="宋体"/>
              </w:rPr>
            </w:pPr>
          </w:p>
        </w:tc>
      </w:tr>
      <w:tr w:rsidR="00C60999" w:rsidRPr="002B55E9" w14:paraId="1B615D36" w14:textId="77777777" w:rsidTr="00523135">
        <w:trPr>
          <w:trHeight w:val="283"/>
        </w:trPr>
        <w:tc>
          <w:tcPr>
            <w:tcW w:w="594" w:type="dxa"/>
          </w:tcPr>
          <w:p w14:paraId="0B61C6FB" w14:textId="197AB91B" w:rsidR="00523135" w:rsidRPr="002B55E9" w:rsidRDefault="00523135" w:rsidP="00523135">
            <w:pPr>
              <w:pStyle w:val="lgy-"/>
              <w:rPr>
                <w:rFonts w:eastAsia="宋体"/>
              </w:rPr>
            </w:pPr>
            <w:r w:rsidRPr="002B55E9">
              <w:rPr>
                <w:rFonts w:eastAsia="宋体" w:hint="eastAsia"/>
              </w:rPr>
              <w:t>14</w:t>
            </w:r>
          </w:p>
        </w:tc>
        <w:tc>
          <w:tcPr>
            <w:tcW w:w="2267" w:type="dxa"/>
          </w:tcPr>
          <w:p w14:paraId="411B5151" w14:textId="77777777" w:rsidR="00523135" w:rsidRPr="002B55E9" w:rsidRDefault="00523135" w:rsidP="00523135">
            <w:pPr>
              <w:pStyle w:val="lgy-"/>
              <w:rPr>
                <w:rFonts w:eastAsia="宋体"/>
              </w:rPr>
            </w:pPr>
            <w:r w:rsidRPr="002B55E9">
              <w:rPr>
                <w:rFonts w:eastAsia="宋体" w:hint="eastAsia"/>
              </w:rPr>
              <w:t>废含油抹布</w:t>
            </w:r>
          </w:p>
        </w:tc>
        <w:tc>
          <w:tcPr>
            <w:tcW w:w="833" w:type="dxa"/>
          </w:tcPr>
          <w:p w14:paraId="500B6ADD" w14:textId="77777777" w:rsidR="00523135" w:rsidRPr="002B55E9" w:rsidRDefault="00523135" w:rsidP="00523135">
            <w:pPr>
              <w:pStyle w:val="lgy-"/>
              <w:rPr>
                <w:rFonts w:eastAsia="宋体"/>
              </w:rPr>
            </w:pPr>
            <w:r w:rsidRPr="002B55E9">
              <w:rPr>
                <w:rFonts w:eastAsia="宋体" w:hint="eastAsia"/>
              </w:rPr>
              <w:t>H</w:t>
            </w:r>
            <w:r w:rsidRPr="002B55E9">
              <w:rPr>
                <w:rFonts w:eastAsia="宋体"/>
              </w:rPr>
              <w:t>W49</w:t>
            </w:r>
          </w:p>
        </w:tc>
        <w:tc>
          <w:tcPr>
            <w:tcW w:w="1365" w:type="dxa"/>
          </w:tcPr>
          <w:p w14:paraId="610F8357" w14:textId="77777777" w:rsidR="00523135" w:rsidRPr="002B55E9" w:rsidRDefault="00523135" w:rsidP="00523135">
            <w:pPr>
              <w:pStyle w:val="lgy-"/>
              <w:rPr>
                <w:rFonts w:eastAsia="宋体"/>
              </w:rPr>
            </w:pPr>
            <w:r w:rsidRPr="002B55E9">
              <w:rPr>
                <w:rFonts w:eastAsia="宋体" w:hint="eastAsia"/>
              </w:rPr>
              <w:t>9</w:t>
            </w:r>
            <w:r w:rsidRPr="002B55E9">
              <w:rPr>
                <w:rFonts w:eastAsia="宋体"/>
              </w:rPr>
              <w:t>00-041-49</w:t>
            </w:r>
          </w:p>
        </w:tc>
        <w:tc>
          <w:tcPr>
            <w:tcW w:w="1037" w:type="dxa"/>
          </w:tcPr>
          <w:p w14:paraId="2B2E7F64" w14:textId="77777777" w:rsidR="00523135" w:rsidRPr="002B55E9" w:rsidRDefault="00523135" w:rsidP="00523135">
            <w:pPr>
              <w:pStyle w:val="lgy-"/>
              <w:rPr>
                <w:rFonts w:eastAsia="宋体"/>
              </w:rPr>
            </w:pPr>
            <w:r w:rsidRPr="002B55E9">
              <w:rPr>
                <w:rFonts w:eastAsia="宋体" w:hint="eastAsia"/>
              </w:rPr>
              <w:t>0</w:t>
            </w:r>
            <w:r w:rsidRPr="002B55E9">
              <w:rPr>
                <w:rFonts w:eastAsia="宋体"/>
              </w:rPr>
              <w:t>.01</w:t>
            </w:r>
          </w:p>
        </w:tc>
        <w:tc>
          <w:tcPr>
            <w:tcW w:w="1644" w:type="dxa"/>
          </w:tcPr>
          <w:p w14:paraId="31D9F08D" w14:textId="77777777" w:rsidR="00523135" w:rsidRPr="002B55E9" w:rsidRDefault="00523135" w:rsidP="00523135">
            <w:pPr>
              <w:pStyle w:val="lgy-"/>
              <w:rPr>
                <w:rFonts w:eastAsia="宋体"/>
              </w:rPr>
            </w:pPr>
            <w:r w:rsidRPr="002B55E9">
              <w:rPr>
                <w:rFonts w:eastAsia="宋体" w:hint="eastAsia"/>
              </w:rPr>
              <w:t>设备检修</w:t>
            </w:r>
          </w:p>
        </w:tc>
        <w:tc>
          <w:tcPr>
            <w:tcW w:w="1897" w:type="dxa"/>
            <w:vMerge/>
          </w:tcPr>
          <w:p w14:paraId="10EE272B" w14:textId="77777777" w:rsidR="00523135" w:rsidRPr="002B55E9" w:rsidRDefault="00523135" w:rsidP="00523135">
            <w:pPr>
              <w:pStyle w:val="lgy-"/>
              <w:rPr>
                <w:rFonts w:eastAsia="宋体"/>
              </w:rPr>
            </w:pPr>
          </w:p>
        </w:tc>
      </w:tr>
      <w:tr w:rsidR="00C60999" w:rsidRPr="002B55E9" w14:paraId="76E300FD" w14:textId="77777777" w:rsidTr="00523135">
        <w:trPr>
          <w:trHeight w:val="283"/>
        </w:trPr>
        <w:tc>
          <w:tcPr>
            <w:tcW w:w="5059" w:type="dxa"/>
            <w:gridSpan w:val="4"/>
          </w:tcPr>
          <w:p w14:paraId="0141AA20" w14:textId="77777777" w:rsidR="00523135" w:rsidRPr="002B55E9" w:rsidRDefault="00523135" w:rsidP="00523135">
            <w:pPr>
              <w:pStyle w:val="lgy-"/>
              <w:rPr>
                <w:rFonts w:eastAsia="宋体"/>
              </w:rPr>
            </w:pPr>
            <w:r w:rsidRPr="002B55E9">
              <w:rPr>
                <w:rFonts w:eastAsia="宋体"/>
              </w:rPr>
              <w:t>合计</w:t>
            </w:r>
          </w:p>
        </w:tc>
        <w:tc>
          <w:tcPr>
            <w:tcW w:w="1037" w:type="dxa"/>
          </w:tcPr>
          <w:p w14:paraId="4F28485E" w14:textId="2AF56E8C" w:rsidR="00523135" w:rsidRPr="002B55E9" w:rsidRDefault="00523135" w:rsidP="00523135">
            <w:pPr>
              <w:pStyle w:val="lgy-"/>
              <w:rPr>
                <w:rFonts w:eastAsia="宋体"/>
              </w:rPr>
            </w:pPr>
            <w:r w:rsidRPr="002B55E9">
              <w:fldChar w:fldCharType="begin"/>
            </w:r>
            <w:r w:rsidRPr="002B55E9">
              <w:rPr>
                <w:rFonts w:eastAsia="宋体"/>
              </w:rPr>
              <w:instrText xml:space="preserve"> =SUM(ABOVE) </w:instrText>
            </w:r>
            <w:r w:rsidRPr="002B55E9">
              <w:fldChar w:fldCharType="separate"/>
            </w:r>
            <w:r w:rsidRPr="002B55E9">
              <w:rPr>
                <w:rFonts w:eastAsia="宋体"/>
                <w:noProof/>
              </w:rPr>
              <w:t>1161.97</w:t>
            </w:r>
            <w:r w:rsidRPr="002B55E9">
              <w:fldChar w:fldCharType="end"/>
            </w:r>
          </w:p>
        </w:tc>
        <w:tc>
          <w:tcPr>
            <w:tcW w:w="1644" w:type="dxa"/>
          </w:tcPr>
          <w:p w14:paraId="576D2793" w14:textId="77777777" w:rsidR="00523135" w:rsidRPr="002B55E9" w:rsidRDefault="00523135" w:rsidP="00523135">
            <w:pPr>
              <w:pStyle w:val="lgy-"/>
              <w:rPr>
                <w:rFonts w:eastAsia="宋体"/>
              </w:rPr>
            </w:pPr>
            <w:r w:rsidRPr="002B55E9">
              <w:rPr>
                <w:rFonts w:eastAsia="宋体"/>
              </w:rPr>
              <w:t>/</w:t>
            </w:r>
          </w:p>
        </w:tc>
        <w:tc>
          <w:tcPr>
            <w:tcW w:w="1897" w:type="dxa"/>
          </w:tcPr>
          <w:p w14:paraId="11940726" w14:textId="77777777" w:rsidR="00523135" w:rsidRPr="002B55E9" w:rsidRDefault="00523135" w:rsidP="00523135">
            <w:pPr>
              <w:pStyle w:val="lgy-"/>
              <w:rPr>
                <w:rFonts w:eastAsia="宋体"/>
              </w:rPr>
            </w:pPr>
            <w:r w:rsidRPr="002B55E9">
              <w:rPr>
                <w:rFonts w:eastAsia="宋体"/>
              </w:rPr>
              <w:t>/</w:t>
            </w:r>
          </w:p>
        </w:tc>
      </w:tr>
    </w:tbl>
    <w:p w14:paraId="6F660185" w14:textId="77777777" w:rsidR="00D170E5" w:rsidRPr="002B55E9" w:rsidRDefault="00EF27AD">
      <w:pPr>
        <w:pStyle w:val="4"/>
        <w:rPr>
          <w:color w:val="auto"/>
        </w:rPr>
      </w:pPr>
      <w:r w:rsidRPr="002B55E9">
        <w:rPr>
          <w:rFonts w:hint="eastAsia"/>
          <w:color w:val="auto"/>
        </w:rPr>
        <w:t>固废防治措施及可行性</w:t>
      </w:r>
    </w:p>
    <w:p w14:paraId="375530FF" w14:textId="3778116D"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拟建项目一般固体废物主要包括过滤残渣、除尘器粉尘、废包装材料（包括废瓶碎瓶、废瓶盖、废纸箱等）、纯水制备</w:t>
      </w:r>
      <w:r w:rsidRPr="002B55E9">
        <w:rPr>
          <w:rFonts w:hint="eastAsia"/>
          <w:kern w:val="2"/>
          <w:sz w:val="24"/>
          <w:szCs w:val="22"/>
        </w:rPr>
        <w:t>RO</w:t>
      </w:r>
      <w:r w:rsidRPr="002B55E9">
        <w:rPr>
          <w:rFonts w:hint="eastAsia"/>
          <w:kern w:val="2"/>
          <w:sz w:val="24"/>
          <w:szCs w:val="22"/>
        </w:rPr>
        <w:t>膜、</w:t>
      </w:r>
      <w:r w:rsidR="00F54EA6" w:rsidRPr="002B55E9">
        <w:rPr>
          <w:rFonts w:hint="eastAsia"/>
          <w:kern w:val="2"/>
          <w:sz w:val="24"/>
          <w:szCs w:val="22"/>
        </w:rPr>
        <w:t>废活性炭滤芯、废石英砂滤芯</w:t>
      </w:r>
      <w:r w:rsidR="00523135" w:rsidRPr="002B55E9">
        <w:rPr>
          <w:rFonts w:hint="eastAsia"/>
          <w:kern w:val="2"/>
          <w:sz w:val="24"/>
          <w:szCs w:val="22"/>
        </w:rPr>
        <w:t>、</w:t>
      </w:r>
      <w:r w:rsidR="00523135" w:rsidRPr="002B55E9">
        <w:rPr>
          <w:kern w:val="2"/>
          <w:sz w:val="24"/>
          <w:szCs w:val="22"/>
        </w:rPr>
        <w:t>污水处理站污泥</w:t>
      </w:r>
      <w:r w:rsidRPr="002B55E9">
        <w:rPr>
          <w:rFonts w:hint="eastAsia"/>
          <w:kern w:val="2"/>
          <w:sz w:val="24"/>
          <w:szCs w:val="22"/>
        </w:rPr>
        <w:t>等，在十三车间设有一间</w:t>
      </w:r>
      <w:r w:rsidRPr="002B55E9">
        <w:rPr>
          <w:rFonts w:hint="eastAsia"/>
          <w:kern w:val="2"/>
          <w:sz w:val="24"/>
          <w:szCs w:val="22"/>
        </w:rPr>
        <w:t>280</w:t>
      </w:r>
      <w:r w:rsidRPr="002B55E9">
        <w:rPr>
          <w:kern w:val="2"/>
          <w:sz w:val="24"/>
          <w:szCs w:val="22"/>
        </w:rPr>
        <w:t>m</w:t>
      </w:r>
      <w:r w:rsidRPr="002B55E9">
        <w:rPr>
          <w:kern w:val="2"/>
          <w:sz w:val="24"/>
          <w:szCs w:val="22"/>
          <w:vertAlign w:val="superscript"/>
        </w:rPr>
        <w:t>2</w:t>
      </w:r>
      <w:r w:rsidRPr="002B55E9">
        <w:rPr>
          <w:rFonts w:hint="eastAsia"/>
          <w:kern w:val="2"/>
          <w:sz w:val="24"/>
          <w:szCs w:val="22"/>
        </w:rPr>
        <w:t>的滤渣暂存间用于</w:t>
      </w:r>
      <w:r w:rsidRPr="002B55E9">
        <w:rPr>
          <w:kern w:val="2"/>
          <w:sz w:val="24"/>
          <w:szCs w:val="22"/>
        </w:rPr>
        <w:t>存放过滤残渣</w:t>
      </w:r>
      <w:r w:rsidRPr="002B55E9">
        <w:rPr>
          <w:rFonts w:hint="eastAsia"/>
          <w:kern w:val="2"/>
          <w:sz w:val="24"/>
          <w:szCs w:val="22"/>
        </w:rPr>
        <w:t>以及</w:t>
      </w:r>
      <w:r w:rsidRPr="002B55E9">
        <w:rPr>
          <w:kern w:val="2"/>
          <w:sz w:val="24"/>
          <w:szCs w:val="22"/>
        </w:rPr>
        <w:t>其他一般固体废物，</w:t>
      </w:r>
      <w:r w:rsidRPr="002B55E9">
        <w:rPr>
          <w:rFonts w:hint="eastAsia"/>
          <w:kern w:val="2"/>
          <w:sz w:val="24"/>
          <w:szCs w:val="22"/>
        </w:rPr>
        <w:t>各项固体废物均</w:t>
      </w:r>
      <w:r w:rsidRPr="002B55E9">
        <w:rPr>
          <w:kern w:val="2"/>
          <w:sz w:val="24"/>
          <w:szCs w:val="22"/>
        </w:rPr>
        <w:t>暂存于一般固废暂存间后交由相应单位妥善处置</w:t>
      </w:r>
      <w:r w:rsidRPr="002B55E9">
        <w:rPr>
          <w:rFonts w:hint="eastAsia"/>
          <w:kern w:val="2"/>
          <w:sz w:val="24"/>
          <w:szCs w:val="22"/>
        </w:rPr>
        <w:t>。</w:t>
      </w:r>
      <w:r w:rsidR="00523135" w:rsidRPr="002B55E9">
        <w:rPr>
          <w:rFonts w:hint="eastAsia"/>
          <w:kern w:val="2"/>
          <w:sz w:val="24"/>
          <w:szCs w:val="22"/>
        </w:rPr>
        <w:t>污水处理站</w:t>
      </w:r>
      <w:r w:rsidR="00523135" w:rsidRPr="002B55E9">
        <w:rPr>
          <w:kern w:val="2"/>
          <w:sz w:val="24"/>
          <w:szCs w:val="22"/>
        </w:rPr>
        <w:t>污泥不在本项目厂区</w:t>
      </w:r>
      <w:r w:rsidR="00523135" w:rsidRPr="002B55E9">
        <w:rPr>
          <w:rFonts w:hint="eastAsia"/>
          <w:kern w:val="2"/>
          <w:sz w:val="24"/>
          <w:szCs w:val="22"/>
        </w:rPr>
        <w:t>内</w:t>
      </w:r>
      <w:r w:rsidR="00523135" w:rsidRPr="002B55E9">
        <w:rPr>
          <w:kern w:val="2"/>
          <w:sz w:val="24"/>
          <w:szCs w:val="22"/>
        </w:rPr>
        <w:t>产生，其责任主体为</w:t>
      </w:r>
      <w:r w:rsidR="00523135" w:rsidRPr="002B55E9">
        <w:rPr>
          <w:rFonts w:hint="eastAsia"/>
          <w:kern w:val="2"/>
          <w:sz w:val="24"/>
          <w:szCs w:val="22"/>
        </w:rPr>
        <w:t>佛山市海天（武汉）调味食品有限公司，污水处理站运营及污泥处置统一由其负责实施。</w:t>
      </w:r>
    </w:p>
    <w:p w14:paraId="5A456CD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在厂区西侧罐区三设置有一间</w:t>
      </w:r>
      <w:r w:rsidRPr="002B55E9">
        <w:rPr>
          <w:kern w:val="2"/>
          <w:sz w:val="24"/>
          <w:szCs w:val="22"/>
        </w:rPr>
        <w:t>12</w:t>
      </w:r>
      <w:r w:rsidRPr="002B55E9">
        <w:rPr>
          <w:rFonts w:hint="eastAsia"/>
          <w:kern w:val="2"/>
          <w:sz w:val="24"/>
          <w:szCs w:val="22"/>
        </w:rPr>
        <w:t>m</w:t>
      </w:r>
      <w:r w:rsidRPr="002B55E9">
        <w:rPr>
          <w:rFonts w:hint="eastAsia"/>
          <w:kern w:val="2"/>
          <w:sz w:val="24"/>
          <w:szCs w:val="22"/>
          <w:vertAlign w:val="superscript"/>
        </w:rPr>
        <w:t>2</w:t>
      </w:r>
      <w:r w:rsidRPr="002B55E9">
        <w:rPr>
          <w:rFonts w:hint="eastAsia"/>
          <w:kern w:val="2"/>
          <w:sz w:val="24"/>
          <w:szCs w:val="22"/>
        </w:rPr>
        <w:t>的危废暂存间。</w:t>
      </w:r>
      <w:r w:rsidRPr="002B55E9">
        <w:rPr>
          <w:kern w:val="2"/>
          <w:sz w:val="24"/>
          <w:szCs w:val="22"/>
        </w:rPr>
        <w:t>项目产生的固体废物</w:t>
      </w:r>
      <w:r w:rsidRPr="002B55E9">
        <w:rPr>
          <w:rFonts w:hint="eastAsia"/>
          <w:kern w:val="2"/>
          <w:sz w:val="24"/>
          <w:szCs w:val="22"/>
        </w:rPr>
        <w:t>拟</w:t>
      </w:r>
      <w:r w:rsidRPr="002B55E9">
        <w:rPr>
          <w:kern w:val="2"/>
          <w:sz w:val="24"/>
          <w:szCs w:val="22"/>
        </w:rPr>
        <w:t>按照资源化、减量化和无害化处置原则进行分类</w:t>
      </w:r>
      <w:r w:rsidRPr="002B55E9">
        <w:rPr>
          <w:rFonts w:hint="eastAsia"/>
          <w:kern w:val="2"/>
          <w:sz w:val="24"/>
          <w:szCs w:val="22"/>
        </w:rPr>
        <w:t>处置。</w:t>
      </w:r>
      <w:r w:rsidRPr="002B55E9">
        <w:rPr>
          <w:kern w:val="2"/>
          <w:sz w:val="24"/>
          <w:szCs w:val="22"/>
        </w:rPr>
        <w:t>厂内</w:t>
      </w:r>
      <w:r w:rsidRPr="002B55E9">
        <w:rPr>
          <w:rFonts w:hint="eastAsia"/>
          <w:kern w:val="2"/>
          <w:sz w:val="24"/>
          <w:szCs w:val="22"/>
        </w:rPr>
        <w:t>危险危险废物暂存于危废暂存间，定期委外处置。</w:t>
      </w:r>
      <w:r w:rsidRPr="002B55E9">
        <w:rPr>
          <w:kern w:val="2"/>
          <w:sz w:val="24"/>
          <w:szCs w:val="22"/>
        </w:rPr>
        <w:t>项目建成投产后，建设单位</w:t>
      </w:r>
      <w:r w:rsidRPr="002B55E9">
        <w:rPr>
          <w:rFonts w:hint="eastAsia"/>
          <w:kern w:val="2"/>
          <w:sz w:val="24"/>
          <w:szCs w:val="22"/>
        </w:rPr>
        <w:t>与有相应资质单位</w:t>
      </w:r>
      <w:r w:rsidRPr="002B55E9">
        <w:rPr>
          <w:kern w:val="2"/>
          <w:sz w:val="24"/>
          <w:szCs w:val="22"/>
        </w:rPr>
        <w:t>安全处置签订危险废物处置协议，危险废物收集、储运应严格按照国家和地方的相关规定执行。只要严格管理，并进行安全处置，项目产生的固体废物将不会对生态环境和人体健康产生危害。</w:t>
      </w:r>
    </w:p>
    <w:p w14:paraId="346D7BE0" w14:textId="77777777" w:rsidR="00D170E5" w:rsidRPr="002B55E9" w:rsidRDefault="00EF27AD">
      <w:pPr>
        <w:pStyle w:val="4"/>
        <w:rPr>
          <w:color w:val="auto"/>
        </w:rPr>
      </w:pPr>
      <w:r w:rsidRPr="002B55E9">
        <w:rPr>
          <w:rFonts w:hint="eastAsia"/>
          <w:color w:val="auto"/>
        </w:rPr>
        <w:t>一般固体废物防治措施</w:t>
      </w:r>
    </w:p>
    <w:p w14:paraId="67361F4F" w14:textId="77777777" w:rsidR="00D170E5" w:rsidRPr="002B55E9" w:rsidRDefault="00EF27AD">
      <w:pPr>
        <w:pStyle w:val="aa"/>
      </w:pPr>
      <w:r w:rsidRPr="002B55E9">
        <w:rPr>
          <w:rFonts w:hint="eastAsia"/>
          <w:lang w:bidi="ne-NP"/>
        </w:rPr>
        <w:t>拟建项目</w:t>
      </w:r>
      <w:r w:rsidRPr="002B55E9">
        <w:rPr>
          <w:rFonts w:hint="eastAsia"/>
        </w:rPr>
        <w:t>在十三车间设有一间</w:t>
      </w:r>
      <w:r w:rsidRPr="002B55E9">
        <w:rPr>
          <w:rFonts w:hint="eastAsia"/>
        </w:rPr>
        <w:t>280</w:t>
      </w:r>
      <w:r w:rsidRPr="002B55E9">
        <w:t>m</w:t>
      </w:r>
      <w:r w:rsidRPr="002B55E9">
        <w:rPr>
          <w:vertAlign w:val="superscript"/>
        </w:rPr>
        <w:t>2</w:t>
      </w:r>
      <w:r w:rsidRPr="002B55E9">
        <w:rPr>
          <w:rFonts w:hint="eastAsia"/>
        </w:rPr>
        <w:t>的滤渣暂存间用于</w:t>
      </w:r>
      <w:r w:rsidRPr="002B55E9">
        <w:t>存放过滤残渣</w:t>
      </w:r>
      <w:r w:rsidRPr="002B55E9">
        <w:rPr>
          <w:rFonts w:hint="eastAsia"/>
        </w:rPr>
        <w:t>以及</w:t>
      </w:r>
      <w:r w:rsidRPr="002B55E9">
        <w:t>其他一般固体废物，</w:t>
      </w:r>
      <w:r w:rsidRPr="002B55E9">
        <w:rPr>
          <w:rFonts w:hint="eastAsia"/>
          <w:lang w:bidi="ne-NP"/>
        </w:rPr>
        <w:t>暂存间应设有防渗漏、防雨淋、防扬尘等设施。</w:t>
      </w:r>
      <w:r w:rsidRPr="002B55E9">
        <w:rPr>
          <w:rFonts w:hint="eastAsia"/>
        </w:rPr>
        <w:t>建设单位在生产过程中应做好以下一般固废防治措施：</w:t>
      </w:r>
    </w:p>
    <w:p w14:paraId="225BF8DC" w14:textId="77777777" w:rsidR="00D170E5" w:rsidRPr="002B55E9" w:rsidRDefault="00EF27AD">
      <w:pPr>
        <w:adjustRightInd w:val="0"/>
        <w:snapToGrid w:val="0"/>
        <w:spacing w:line="360" w:lineRule="auto"/>
        <w:ind w:firstLineChars="200" w:firstLine="480"/>
        <w:jc w:val="left"/>
        <w:rPr>
          <w:sz w:val="24"/>
        </w:rPr>
      </w:pPr>
      <w:r w:rsidRPr="002B55E9">
        <w:rPr>
          <w:rFonts w:hint="eastAsia"/>
          <w:sz w:val="24"/>
        </w:rPr>
        <w:t>①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w:t>
      </w:r>
      <w:r w:rsidRPr="002B55E9">
        <w:rPr>
          <w:rFonts w:hint="eastAsia"/>
          <w:sz w:val="24"/>
        </w:rPr>
        <w:lastRenderedPageBreak/>
        <w:t>物污染环境的措施。禁止向生活垃圾收集设施中投放工业固体废物。</w:t>
      </w:r>
    </w:p>
    <w:p w14:paraId="3D66DD9F" w14:textId="77777777" w:rsidR="00D170E5" w:rsidRPr="002B55E9" w:rsidRDefault="00EF27AD">
      <w:pPr>
        <w:adjustRightInd w:val="0"/>
        <w:snapToGrid w:val="0"/>
        <w:spacing w:line="360" w:lineRule="auto"/>
        <w:ind w:firstLineChars="200" w:firstLine="480"/>
        <w:jc w:val="left"/>
        <w:rPr>
          <w:sz w:val="24"/>
        </w:rPr>
      </w:pPr>
      <w:r w:rsidRPr="002B55E9">
        <w:rPr>
          <w:rFonts w:hint="eastAsia"/>
          <w:sz w:val="24"/>
        </w:rPr>
        <w:t>②委托他人运输、利用、处置工业固体废物的，应当对受托方的主体资格和技术能力进行核实，依法签订书面合同，在合同中约定污染防治要求。</w:t>
      </w:r>
    </w:p>
    <w:p w14:paraId="2E510477" w14:textId="77777777" w:rsidR="00D170E5" w:rsidRPr="002B55E9" w:rsidRDefault="00EF27AD">
      <w:pPr>
        <w:pStyle w:val="aa"/>
        <w:rPr>
          <w:szCs w:val="24"/>
        </w:rPr>
      </w:pPr>
      <w:r w:rsidRPr="002B55E9">
        <w:rPr>
          <w:rFonts w:hint="eastAsia"/>
          <w:szCs w:val="24"/>
        </w:rPr>
        <w:t>要求受托方运输、利用、处置工业固体废物时，应当依照有关法律法规的规定和合同约定履行污染防治要求，并将运输、利用、处置情况告知公司安环部。</w:t>
      </w:r>
    </w:p>
    <w:p w14:paraId="75250BB0" w14:textId="77777777" w:rsidR="00D170E5" w:rsidRPr="002B55E9" w:rsidRDefault="00EF27AD">
      <w:pPr>
        <w:pStyle w:val="4"/>
        <w:rPr>
          <w:color w:val="auto"/>
        </w:rPr>
      </w:pPr>
      <w:r w:rsidRPr="002B55E9">
        <w:rPr>
          <w:rFonts w:hint="eastAsia"/>
          <w:color w:val="auto"/>
        </w:rPr>
        <w:t>危险废物污染防治措施分析</w:t>
      </w:r>
    </w:p>
    <w:p w14:paraId="293E6390" w14:textId="77777777" w:rsidR="00D170E5" w:rsidRPr="002B55E9" w:rsidRDefault="00EF27AD">
      <w:pPr>
        <w:pStyle w:val="5"/>
      </w:pPr>
      <w:r w:rsidRPr="002B55E9">
        <w:rPr>
          <w:rFonts w:hint="eastAsia"/>
        </w:rPr>
        <w:t>危险废物收集</w:t>
      </w:r>
    </w:p>
    <w:p w14:paraId="597E5245"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w:t>
      </w:r>
      <w:r w:rsidRPr="002B55E9">
        <w:rPr>
          <w:kern w:val="2"/>
          <w:sz w:val="24"/>
          <w:szCs w:val="22"/>
        </w:rPr>
        <w:t>1</w:t>
      </w:r>
      <w:r w:rsidRPr="002B55E9">
        <w:rPr>
          <w:kern w:val="2"/>
          <w:sz w:val="24"/>
          <w:szCs w:val="22"/>
        </w:rPr>
        <w:t>）设置危险废物暂存间</w:t>
      </w:r>
    </w:p>
    <w:p w14:paraId="5E26FB6E"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危废暂存间须严格按照《危险废物贮存污染控制标准》（</w:t>
      </w:r>
      <w:r w:rsidRPr="002B55E9">
        <w:rPr>
          <w:kern w:val="2"/>
          <w:sz w:val="24"/>
          <w:szCs w:val="22"/>
        </w:rPr>
        <w:t>GB18597-2001</w:t>
      </w:r>
      <w:r w:rsidRPr="002B55E9">
        <w:rPr>
          <w:kern w:val="2"/>
          <w:sz w:val="24"/>
          <w:szCs w:val="22"/>
        </w:rPr>
        <w:t>）</w:t>
      </w:r>
      <w:r w:rsidRPr="002B55E9">
        <w:rPr>
          <w:rFonts w:hint="eastAsia"/>
          <w:kern w:val="2"/>
          <w:sz w:val="24"/>
          <w:szCs w:val="22"/>
        </w:rPr>
        <w:t>及其修改单</w:t>
      </w:r>
      <w:r w:rsidRPr="002B55E9">
        <w:rPr>
          <w:kern w:val="2"/>
          <w:sz w:val="24"/>
          <w:szCs w:val="22"/>
        </w:rPr>
        <w:t>的要求设计，做好防雨、防渗，防止二次污染。地面采用坚固、防渗、耐腐蚀的材料建造，并设计有堵截泄漏的裙脚、围堰等设施。库内废物定期由专用运输车辆运至危险废物处置单位进行处置。</w:t>
      </w:r>
    </w:p>
    <w:p w14:paraId="1888870D"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w:t>
      </w:r>
      <w:r w:rsidRPr="002B55E9">
        <w:rPr>
          <w:kern w:val="2"/>
          <w:sz w:val="24"/>
          <w:szCs w:val="22"/>
        </w:rPr>
        <w:t>2</w:t>
      </w:r>
      <w:r w:rsidRPr="002B55E9">
        <w:rPr>
          <w:kern w:val="2"/>
          <w:sz w:val="24"/>
          <w:szCs w:val="22"/>
        </w:rPr>
        <w:t>）收集措施</w:t>
      </w:r>
    </w:p>
    <w:p w14:paraId="48B1BA44"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公司在采取处理废物的同时，加强对废物的管理，特别是对危险废物的管理。为防止废弃物逸散、流失，采取有害废物分类集中堆放、专人负责等措施，可有效地防止废物的二次污染。对危险废物的收集和管理，拟采用以下措施</w:t>
      </w:r>
      <w:r w:rsidRPr="002B55E9">
        <w:rPr>
          <w:rFonts w:hint="eastAsia"/>
          <w:kern w:val="2"/>
          <w:sz w:val="24"/>
          <w:szCs w:val="22"/>
        </w:rPr>
        <w:t>。</w:t>
      </w:r>
    </w:p>
    <w:p w14:paraId="6543938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①</w:t>
      </w:r>
      <w:r w:rsidRPr="002B55E9">
        <w:rPr>
          <w:kern w:val="2"/>
          <w:sz w:val="24"/>
          <w:szCs w:val="22"/>
        </w:rPr>
        <w:t>对生产过程废液均存放于相应的专用容器中，并贴上废弃物分类专用标签，临时堆放在危险废物库房中，累计一定数量后由专用运输车辆外运至危险处置单位。</w:t>
      </w:r>
    </w:p>
    <w:p w14:paraId="6C8061A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②</w:t>
      </w:r>
      <w:r w:rsidRPr="002B55E9">
        <w:rPr>
          <w:kern w:val="2"/>
          <w:sz w:val="24"/>
          <w:szCs w:val="22"/>
        </w:rPr>
        <w:t>危险废物全部暂存于危险暂存间内，做到防风、防雨、防晒。</w:t>
      </w:r>
    </w:p>
    <w:p w14:paraId="14307222"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③</w:t>
      </w:r>
      <w:r w:rsidRPr="002B55E9">
        <w:rPr>
          <w:kern w:val="2"/>
          <w:sz w:val="24"/>
          <w:szCs w:val="22"/>
        </w:rPr>
        <w:t>危险废物暂存间地面基础必须防渗，防渗层为至少</w:t>
      </w:r>
      <w:r w:rsidRPr="002B55E9">
        <w:rPr>
          <w:kern w:val="2"/>
          <w:sz w:val="24"/>
          <w:szCs w:val="22"/>
        </w:rPr>
        <w:t>1</w:t>
      </w:r>
      <w:r w:rsidRPr="002B55E9">
        <w:rPr>
          <w:kern w:val="2"/>
          <w:sz w:val="24"/>
          <w:szCs w:val="22"/>
        </w:rPr>
        <w:t>米厚粘土层</w:t>
      </w:r>
      <w:r w:rsidRPr="002B55E9">
        <w:rPr>
          <w:kern w:val="2"/>
          <w:sz w:val="24"/>
          <w:szCs w:val="22"/>
        </w:rPr>
        <w:t>(</w:t>
      </w:r>
      <w:r w:rsidRPr="002B55E9">
        <w:rPr>
          <w:kern w:val="2"/>
          <w:sz w:val="24"/>
          <w:szCs w:val="22"/>
        </w:rPr>
        <w:t>渗透系数</w:t>
      </w:r>
      <w:r w:rsidRPr="002B55E9">
        <w:rPr>
          <w:kern w:val="2"/>
          <w:sz w:val="24"/>
          <w:szCs w:val="22"/>
        </w:rPr>
        <w:t>≤10</w:t>
      </w:r>
      <w:r w:rsidRPr="002B55E9">
        <w:rPr>
          <w:kern w:val="2"/>
          <w:sz w:val="24"/>
          <w:szCs w:val="22"/>
          <w:vertAlign w:val="superscript"/>
        </w:rPr>
        <w:t>-7</w:t>
      </w:r>
      <w:r w:rsidRPr="002B55E9">
        <w:rPr>
          <w:kern w:val="2"/>
          <w:sz w:val="24"/>
          <w:szCs w:val="22"/>
        </w:rPr>
        <w:t>cm/s )</w:t>
      </w:r>
      <w:r w:rsidRPr="002B55E9">
        <w:rPr>
          <w:kern w:val="2"/>
          <w:sz w:val="24"/>
          <w:szCs w:val="22"/>
        </w:rPr>
        <w:t>，或</w:t>
      </w:r>
      <w:r w:rsidRPr="002B55E9">
        <w:rPr>
          <w:kern w:val="2"/>
          <w:sz w:val="24"/>
          <w:szCs w:val="22"/>
        </w:rPr>
        <w:t>2mm</w:t>
      </w:r>
      <w:r w:rsidRPr="002B55E9">
        <w:rPr>
          <w:kern w:val="2"/>
          <w:sz w:val="24"/>
          <w:szCs w:val="22"/>
        </w:rPr>
        <w:t>厚高密度聚乙烯，或至少</w:t>
      </w:r>
      <w:r w:rsidRPr="002B55E9">
        <w:rPr>
          <w:kern w:val="2"/>
          <w:sz w:val="24"/>
          <w:szCs w:val="22"/>
        </w:rPr>
        <w:t>2mm</w:t>
      </w:r>
      <w:r w:rsidRPr="002B55E9">
        <w:rPr>
          <w:kern w:val="2"/>
          <w:sz w:val="24"/>
          <w:szCs w:val="22"/>
        </w:rPr>
        <w:t>厚的其它人工材料，渗透系数</w:t>
      </w:r>
      <w:r w:rsidRPr="002B55E9">
        <w:rPr>
          <w:kern w:val="2"/>
          <w:sz w:val="24"/>
          <w:szCs w:val="22"/>
        </w:rPr>
        <w:t>&lt;10</w:t>
      </w:r>
      <w:r w:rsidRPr="002B55E9">
        <w:rPr>
          <w:kern w:val="2"/>
          <w:sz w:val="24"/>
          <w:szCs w:val="22"/>
          <w:vertAlign w:val="superscript"/>
        </w:rPr>
        <w:t>-10</w:t>
      </w:r>
      <w:r w:rsidRPr="002B55E9">
        <w:rPr>
          <w:kern w:val="2"/>
          <w:sz w:val="24"/>
          <w:szCs w:val="22"/>
        </w:rPr>
        <w:t>cm/s</w:t>
      </w:r>
      <w:r w:rsidRPr="002B55E9">
        <w:rPr>
          <w:kern w:val="2"/>
          <w:sz w:val="24"/>
          <w:szCs w:val="22"/>
        </w:rPr>
        <w:t>。</w:t>
      </w:r>
    </w:p>
    <w:p w14:paraId="21974A0F"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上述危险废物的收集和管理，公司将委派专人负责，各种废弃物的储存容器都有很好的密封性，危废临时储存场所按照《危险废物贮存污染控制标准》（</w:t>
      </w:r>
      <w:r w:rsidRPr="002B55E9">
        <w:rPr>
          <w:kern w:val="2"/>
          <w:sz w:val="24"/>
          <w:szCs w:val="22"/>
        </w:rPr>
        <w:t>GB18597-2001</w:t>
      </w:r>
      <w:r w:rsidRPr="002B55E9">
        <w:rPr>
          <w:kern w:val="2"/>
          <w:sz w:val="24"/>
          <w:szCs w:val="22"/>
        </w:rPr>
        <w:t>）</w:t>
      </w:r>
      <w:r w:rsidRPr="002B55E9">
        <w:rPr>
          <w:rFonts w:hint="eastAsia"/>
          <w:kern w:val="2"/>
          <w:sz w:val="24"/>
          <w:szCs w:val="22"/>
        </w:rPr>
        <w:t>及其修改单</w:t>
      </w:r>
      <w:r w:rsidRPr="002B55E9">
        <w:rPr>
          <w:kern w:val="2"/>
          <w:sz w:val="24"/>
          <w:szCs w:val="22"/>
        </w:rPr>
        <w:t>相关要求进行防渗、防漏处理，安全可靠，不会受到风雨侵蚀，可有效防止临时存放过程中二次污染。</w:t>
      </w:r>
    </w:p>
    <w:p w14:paraId="4400F4C5"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w:t>
      </w:r>
      <w:r w:rsidRPr="002B55E9">
        <w:rPr>
          <w:kern w:val="2"/>
          <w:sz w:val="24"/>
          <w:szCs w:val="22"/>
        </w:rPr>
        <w:t>3</w:t>
      </w:r>
      <w:r w:rsidRPr="002B55E9">
        <w:rPr>
          <w:kern w:val="2"/>
          <w:sz w:val="24"/>
          <w:szCs w:val="22"/>
        </w:rPr>
        <w:t>）控制要求</w:t>
      </w:r>
    </w:p>
    <w:p w14:paraId="73BB02CE"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危废暂存间将严格按照《危险废物贮存污染控制标准》（</w:t>
      </w:r>
      <w:r w:rsidRPr="002B55E9">
        <w:rPr>
          <w:kern w:val="2"/>
          <w:sz w:val="24"/>
          <w:szCs w:val="22"/>
        </w:rPr>
        <w:t>GB18597-2001</w:t>
      </w:r>
      <w:r w:rsidRPr="002B55E9">
        <w:rPr>
          <w:kern w:val="2"/>
          <w:sz w:val="24"/>
          <w:szCs w:val="22"/>
        </w:rPr>
        <w:t>）</w:t>
      </w:r>
      <w:r w:rsidRPr="002B55E9">
        <w:rPr>
          <w:rFonts w:hint="eastAsia"/>
          <w:kern w:val="2"/>
          <w:sz w:val="24"/>
          <w:szCs w:val="22"/>
        </w:rPr>
        <w:t>及其修改单</w:t>
      </w:r>
      <w:r w:rsidRPr="002B55E9">
        <w:rPr>
          <w:kern w:val="2"/>
          <w:sz w:val="24"/>
          <w:szCs w:val="22"/>
        </w:rPr>
        <w:t>的要求设计，做好防雨、防渗，防止二次污染。地面采用坚固、防渗、耐腐蚀的材料建造，并设计有堵截泄漏的裙脚、围堰等设施。</w:t>
      </w:r>
    </w:p>
    <w:p w14:paraId="68677F7C"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lastRenderedPageBreak/>
        <w:t>企业应严格加强固体废物贮存和处置全过程的管理，具体可如下执行：</w:t>
      </w:r>
    </w:p>
    <w:p w14:paraId="6592B28D"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①</w:t>
      </w:r>
      <w:r w:rsidRPr="002B55E9">
        <w:rPr>
          <w:kern w:val="2"/>
          <w:sz w:val="24"/>
          <w:szCs w:val="22"/>
        </w:rPr>
        <w:t>应合理设置不渗透间隔分开的区域，每个部分都应有防漏裙脚或储漏盘；危险废物应与其他固体废物严格隔离，禁止一般工业固废和生活垃圾混入；同时也禁止危险废物混入一般工业固废和生活垃圾中。</w:t>
      </w:r>
    </w:p>
    <w:p w14:paraId="47D8CAC0"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②</w:t>
      </w:r>
      <w:r w:rsidRPr="002B55E9">
        <w:rPr>
          <w:kern w:val="2"/>
          <w:sz w:val="24"/>
          <w:szCs w:val="22"/>
        </w:rPr>
        <w:t>定期检查场地的防渗性能。地面与裙脚要用坚固、防渗的材料建造，防止雨水径流进入堆场，堆场周边应设置导流渠，并及时清理和检查集排水设施及堵截泄漏的裙脚；收集的泄漏液应通过污水处理站处理后排放。</w:t>
      </w:r>
    </w:p>
    <w:p w14:paraId="62E7076E"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③</w:t>
      </w:r>
      <w:r w:rsidRPr="002B55E9">
        <w:rPr>
          <w:kern w:val="2"/>
          <w:sz w:val="24"/>
          <w:szCs w:val="22"/>
        </w:rPr>
        <w:t>强化配套设施的配备。危险废物应当使用符合标准的容器分类盛装，无法装入常用容器的危险废物可用防漏胶袋等盛装；禁止将不相容（相互反应）的危险废物在同一容器内混装；盛装危险废物的容器上必须粘贴符合标准的标签。</w:t>
      </w:r>
    </w:p>
    <w:p w14:paraId="54150570"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④</w:t>
      </w:r>
      <w:r w:rsidRPr="002B55E9">
        <w:rPr>
          <w:kern w:val="2"/>
          <w:sz w:val="24"/>
          <w:szCs w:val="22"/>
        </w:rPr>
        <w:t>装载液体、半固体危险废物的容器内须留足够空间，容器顶部与液体表面之间保留</w:t>
      </w:r>
      <w:r w:rsidRPr="002B55E9">
        <w:rPr>
          <w:kern w:val="2"/>
          <w:sz w:val="24"/>
          <w:szCs w:val="22"/>
        </w:rPr>
        <w:t>100</w:t>
      </w:r>
      <w:r w:rsidRPr="002B55E9">
        <w:rPr>
          <w:kern w:val="2"/>
          <w:sz w:val="24"/>
          <w:szCs w:val="22"/>
        </w:rPr>
        <w:t>毫米以上的空间。</w:t>
      </w:r>
    </w:p>
    <w:p w14:paraId="457E8AE7"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⑤</w:t>
      </w:r>
      <w:r w:rsidRPr="002B55E9">
        <w:rPr>
          <w:kern w:val="2"/>
          <w:sz w:val="24"/>
          <w:szCs w:val="22"/>
        </w:rPr>
        <w:t>检查场区内的通讯设备、照明设施、安全防护服装及工具，检查应急防护设施。</w:t>
      </w:r>
    </w:p>
    <w:p w14:paraId="22A3AB5E"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⑥</w:t>
      </w:r>
      <w:r w:rsidRPr="002B55E9">
        <w:rPr>
          <w:kern w:val="2"/>
          <w:sz w:val="24"/>
          <w:szCs w:val="22"/>
        </w:rPr>
        <w:t>完善维护制度，定期检查维护挡土墙、导流渠等设施，发现有损坏可能或异常，应及时采取必要措施，以保障正常运行；详细记录入场固体废物的种类和数量以及其他相关资料并长期保存，供随时查阅。</w:t>
      </w:r>
    </w:p>
    <w:p w14:paraId="7BF1FAC1"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⑦</w:t>
      </w:r>
      <w:r w:rsidRPr="002B55E9">
        <w:rPr>
          <w:kern w:val="2"/>
          <w:sz w:val="24"/>
          <w:szCs w:val="22"/>
        </w:rPr>
        <w:t>当暂存间因故不再承担新的贮存、处置任务时，应予以关闭或封场，同时采取措施消除污染，无法消除污染的设备、土壤、墙体等按危险废物处理，并运至正在营运的危险废物处理处置场或其它贮存设施中。关闭或封场后，应设置标志物，注明关闭或封场时间，以及使用该土地时应注意的事项，并继续维护管理，直到稳定为止。监测部门的监测结果表明已不存在污染时，方可摘下警示标志，撤离留守人员。</w:t>
      </w:r>
    </w:p>
    <w:p w14:paraId="0D2DB481" w14:textId="77777777" w:rsidR="00D170E5" w:rsidRPr="002B55E9" w:rsidRDefault="00EF27AD">
      <w:pPr>
        <w:snapToGrid w:val="0"/>
        <w:spacing w:after="60" w:line="360" w:lineRule="auto"/>
        <w:ind w:firstLineChars="200" w:firstLine="480"/>
        <w:rPr>
          <w:kern w:val="2"/>
          <w:sz w:val="24"/>
          <w:szCs w:val="22"/>
        </w:rPr>
      </w:pPr>
      <w:r w:rsidRPr="002B55E9">
        <w:rPr>
          <w:kern w:val="2"/>
          <w:sz w:val="24"/>
          <w:szCs w:val="22"/>
        </w:rPr>
        <w:t>（</w:t>
      </w:r>
      <w:r w:rsidRPr="002B55E9">
        <w:rPr>
          <w:kern w:val="2"/>
          <w:sz w:val="24"/>
          <w:szCs w:val="22"/>
        </w:rPr>
        <w:t>8</w:t>
      </w:r>
      <w:r w:rsidRPr="002B55E9">
        <w:rPr>
          <w:kern w:val="2"/>
          <w:sz w:val="24"/>
          <w:szCs w:val="22"/>
        </w:rPr>
        <w:t>）项目产生的固体废物产生量、拟采取的处置措施及去向应按《中华人民共和国固体废物污染环境防治法》的规定向当地环境保护主管部门申报，填报危险废物转移五联单，按要求对项目产生的固体废物特别是危险废物进行全过程严格管理和安全处置。</w:t>
      </w:r>
    </w:p>
    <w:p w14:paraId="2D726C0A" w14:textId="77777777" w:rsidR="00D170E5" w:rsidRPr="002B55E9" w:rsidRDefault="00EF27AD">
      <w:pPr>
        <w:pStyle w:val="5"/>
      </w:pPr>
      <w:r w:rsidRPr="002B55E9">
        <w:rPr>
          <w:rFonts w:hint="eastAsia"/>
        </w:rPr>
        <w:t>危险废物储存管理要求</w:t>
      </w:r>
    </w:p>
    <w:p w14:paraId="19A797C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《危险废物转移管理办法》已于</w:t>
      </w:r>
      <w:r w:rsidRPr="002B55E9">
        <w:rPr>
          <w:rFonts w:hint="eastAsia"/>
          <w:kern w:val="2"/>
          <w:sz w:val="24"/>
          <w:szCs w:val="22"/>
        </w:rPr>
        <w:t>2021</w:t>
      </w:r>
      <w:r w:rsidRPr="002B55E9">
        <w:rPr>
          <w:rFonts w:hint="eastAsia"/>
          <w:kern w:val="2"/>
          <w:sz w:val="24"/>
          <w:szCs w:val="22"/>
        </w:rPr>
        <w:t>年</w:t>
      </w:r>
      <w:r w:rsidRPr="002B55E9">
        <w:rPr>
          <w:rFonts w:hint="eastAsia"/>
          <w:kern w:val="2"/>
          <w:sz w:val="24"/>
          <w:szCs w:val="22"/>
        </w:rPr>
        <w:t>9</w:t>
      </w:r>
      <w:r w:rsidRPr="002B55E9">
        <w:rPr>
          <w:rFonts w:hint="eastAsia"/>
          <w:kern w:val="2"/>
          <w:sz w:val="24"/>
          <w:szCs w:val="22"/>
        </w:rPr>
        <w:t>月</w:t>
      </w:r>
      <w:r w:rsidRPr="002B55E9">
        <w:rPr>
          <w:rFonts w:hint="eastAsia"/>
          <w:kern w:val="2"/>
          <w:sz w:val="24"/>
          <w:szCs w:val="22"/>
        </w:rPr>
        <w:t>18</w:t>
      </w:r>
      <w:r w:rsidRPr="002B55E9">
        <w:rPr>
          <w:rFonts w:hint="eastAsia"/>
          <w:kern w:val="2"/>
          <w:sz w:val="24"/>
          <w:szCs w:val="22"/>
        </w:rPr>
        <w:t>日由生态环境部部务会议审议通过，并经公安部和交通运输部同意，自</w:t>
      </w:r>
      <w:r w:rsidRPr="002B55E9">
        <w:rPr>
          <w:rFonts w:hint="eastAsia"/>
          <w:kern w:val="2"/>
          <w:sz w:val="24"/>
          <w:szCs w:val="22"/>
        </w:rPr>
        <w:t>2022</w:t>
      </w:r>
      <w:r w:rsidRPr="002B55E9">
        <w:rPr>
          <w:rFonts w:hint="eastAsia"/>
          <w:kern w:val="2"/>
          <w:sz w:val="24"/>
          <w:szCs w:val="22"/>
        </w:rPr>
        <w:t>年</w:t>
      </w:r>
      <w:r w:rsidRPr="002B55E9">
        <w:rPr>
          <w:rFonts w:hint="eastAsia"/>
          <w:kern w:val="2"/>
          <w:sz w:val="24"/>
          <w:szCs w:val="22"/>
        </w:rPr>
        <w:t>1</w:t>
      </w:r>
      <w:r w:rsidRPr="002B55E9">
        <w:rPr>
          <w:rFonts w:hint="eastAsia"/>
          <w:kern w:val="2"/>
          <w:sz w:val="24"/>
          <w:szCs w:val="22"/>
        </w:rPr>
        <w:t>月</w:t>
      </w:r>
      <w:r w:rsidRPr="002B55E9">
        <w:rPr>
          <w:rFonts w:hint="eastAsia"/>
          <w:kern w:val="2"/>
          <w:sz w:val="24"/>
          <w:szCs w:val="22"/>
        </w:rPr>
        <w:t>1</w:t>
      </w:r>
      <w:r w:rsidRPr="002B55E9">
        <w:rPr>
          <w:rFonts w:hint="eastAsia"/>
          <w:kern w:val="2"/>
          <w:sz w:val="24"/>
          <w:szCs w:val="22"/>
        </w:rPr>
        <w:t>日起施行。</w:t>
      </w:r>
    </w:p>
    <w:p w14:paraId="4D77309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结合《中华人民共和国固体废物污染环境防治法》、《一般工业固体废物管理台账制定指南（试行）以及</w:t>
      </w:r>
      <w:r w:rsidRPr="002B55E9">
        <w:rPr>
          <w:rFonts w:hint="eastAsia"/>
          <w:kern w:val="2"/>
          <w:sz w:val="24"/>
          <w:szCs w:val="22"/>
        </w:rPr>
        <w:t>GB18597-2001</w:t>
      </w:r>
      <w:r w:rsidRPr="002B55E9">
        <w:rPr>
          <w:rFonts w:hint="eastAsia"/>
          <w:kern w:val="2"/>
          <w:sz w:val="24"/>
          <w:szCs w:val="22"/>
        </w:rPr>
        <w:t>（</w:t>
      </w:r>
      <w:r w:rsidRPr="002B55E9">
        <w:rPr>
          <w:rFonts w:hint="eastAsia"/>
          <w:kern w:val="2"/>
          <w:sz w:val="24"/>
          <w:szCs w:val="22"/>
        </w:rPr>
        <w:t>2013</w:t>
      </w:r>
      <w:r w:rsidRPr="002B55E9">
        <w:rPr>
          <w:rFonts w:hint="eastAsia"/>
          <w:kern w:val="2"/>
          <w:sz w:val="24"/>
          <w:szCs w:val="22"/>
        </w:rPr>
        <w:t>年修订）等相关规定，本次环评提出如下要求：</w:t>
      </w:r>
    </w:p>
    <w:p w14:paraId="7091107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lastRenderedPageBreak/>
        <w:t>（</w:t>
      </w:r>
      <w:r w:rsidRPr="002B55E9">
        <w:rPr>
          <w:rFonts w:hint="eastAsia"/>
          <w:kern w:val="2"/>
          <w:sz w:val="24"/>
          <w:szCs w:val="22"/>
        </w:rPr>
        <w:t>1</w:t>
      </w:r>
      <w:r w:rsidRPr="002B55E9">
        <w:rPr>
          <w:rFonts w:hint="eastAsia"/>
          <w:kern w:val="2"/>
          <w:sz w:val="24"/>
          <w:szCs w:val="22"/>
        </w:rPr>
        <w:t>）工业固体废物临时存储场所建设要求</w:t>
      </w:r>
    </w:p>
    <w:p w14:paraId="08326541"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一般工业固体废物的贮存过程应满足相应防渗漏、防雨淋、防扬尘等环境保护要求。同时按照《一般工业固体废物管理台账制定指南》（试</w:t>
      </w:r>
      <w:r w:rsidRPr="002B55E9">
        <w:rPr>
          <w:rFonts w:hint="eastAsia"/>
          <w:kern w:val="2"/>
          <w:sz w:val="24"/>
          <w:szCs w:val="22"/>
        </w:rPr>
        <w:t xml:space="preserve"> </w:t>
      </w:r>
      <w:r w:rsidRPr="002B55E9">
        <w:rPr>
          <w:rFonts w:hint="eastAsia"/>
          <w:kern w:val="2"/>
          <w:sz w:val="24"/>
          <w:szCs w:val="22"/>
        </w:rPr>
        <w:t>行）相关要求建立工业固体废物管理台账，如实记录工业固体废物的种类、数量、流向、贮存、利用、处置等信息，可以实现工业固体废物可追溯、可查询的目的，推动企业提升固体废物管理水平。</w:t>
      </w:r>
    </w:p>
    <w:p w14:paraId="10631A00"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w:t>
      </w:r>
      <w:r w:rsidRPr="002B55E9">
        <w:rPr>
          <w:rFonts w:hint="eastAsia"/>
          <w:kern w:val="2"/>
          <w:sz w:val="24"/>
          <w:szCs w:val="22"/>
        </w:rPr>
        <w:t>2</w:t>
      </w:r>
      <w:r w:rsidRPr="002B55E9">
        <w:rPr>
          <w:rFonts w:hint="eastAsia"/>
          <w:kern w:val="2"/>
          <w:sz w:val="24"/>
          <w:szCs w:val="22"/>
        </w:rPr>
        <w:t>）</w:t>
      </w:r>
      <w:r w:rsidRPr="002B55E9">
        <w:rPr>
          <w:kern w:val="2"/>
          <w:sz w:val="24"/>
          <w:szCs w:val="22"/>
        </w:rPr>
        <w:t>危险废物储存管理要求</w:t>
      </w:r>
      <w:r w:rsidRPr="002B55E9">
        <w:rPr>
          <w:rFonts w:hint="eastAsia"/>
          <w:kern w:val="2"/>
          <w:sz w:val="24"/>
          <w:szCs w:val="22"/>
        </w:rPr>
        <w:t>：</w:t>
      </w:r>
    </w:p>
    <w:p w14:paraId="44E92BF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①</w:t>
      </w:r>
      <w:r w:rsidRPr="002B55E9">
        <w:rPr>
          <w:kern w:val="2"/>
          <w:sz w:val="24"/>
          <w:szCs w:val="22"/>
        </w:rPr>
        <w:t>禁止为危险废物和生活垃圾混入。</w:t>
      </w:r>
    </w:p>
    <w:p w14:paraId="40499FBE" w14:textId="77777777" w:rsidR="00D170E5" w:rsidRPr="002B55E9" w:rsidRDefault="00EF27AD">
      <w:pPr>
        <w:snapToGrid w:val="0"/>
        <w:jc w:val="center"/>
        <w:rPr>
          <w:rFonts w:eastAsia="黑体"/>
          <w:kern w:val="2"/>
          <w:sz w:val="24"/>
          <w:szCs w:val="22"/>
        </w:rPr>
      </w:pPr>
      <w:r w:rsidRPr="002B55E9">
        <w:rPr>
          <w:rFonts w:eastAsia="黑体"/>
          <w:noProof/>
          <w:kern w:val="2"/>
          <w:sz w:val="24"/>
          <w:szCs w:val="22"/>
        </w:rPr>
        <w:drawing>
          <wp:inline distT="0" distB="0" distL="0" distR="0" wp14:anchorId="176F00BB" wp14:editId="187BCC25">
            <wp:extent cx="3484880" cy="2009775"/>
            <wp:effectExtent l="0" t="0" r="1270" b="0"/>
            <wp:docPr id="10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3"/>
                    <pic:cNvPicPr>
                      <a:picLocks noChangeAspect="1" noChangeArrowheads="1"/>
                    </pic:cNvPicPr>
                  </pic:nvPicPr>
                  <pic:blipFill>
                    <a:blip r:embed="rId109" cstate="print"/>
                    <a:srcRect/>
                    <a:stretch>
                      <a:fillRect/>
                    </a:stretch>
                  </pic:blipFill>
                  <pic:spPr>
                    <a:xfrm>
                      <a:off x="0" y="0"/>
                      <a:ext cx="3491230" cy="2013211"/>
                    </a:xfrm>
                    <a:prstGeom prst="rect">
                      <a:avLst/>
                    </a:prstGeom>
                    <a:noFill/>
                    <a:ln w="9525">
                      <a:noFill/>
                      <a:miter lim="800000"/>
                      <a:headEnd/>
                      <a:tailEnd/>
                    </a:ln>
                  </pic:spPr>
                </pic:pic>
              </a:graphicData>
            </a:graphic>
          </wp:inline>
        </w:drawing>
      </w:r>
    </w:p>
    <w:p w14:paraId="63820826" w14:textId="77777777" w:rsidR="00D170E5" w:rsidRPr="002B55E9" w:rsidRDefault="00EF27AD">
      <w:pPr>
        <w:snapToGrid w:val="0"/>
        <w:spacing w:afterLines="50" w:after="120"/>
        <w:jc w:val="center"/>
        <w:rPr>
          <w:rFonts w:eastAsia="黑体"/>
          <w:b/>
          <w:kern w:val="2"/>
          <w:sz w:val="24"/>
          <w:szCs w:val="22"/>
        </w:rPr>
      </w:pPr>
      <w:r w:rsidRPr="002B55E9">
        <w:rPr>
          <w:rFonts w:eastAsia="黑体"/>
          <w:b/>
          <w:kern w:val="2"/>
          <w:sz w:val="24"/>
          <w:szCs w:val="22"/>
        </w:rPr>
        <w:t>图</w:t>
      </w:r>
      <w:r w:rsidRPr="002B55E9">
        <w:rPr>
          <w:rFonts w:eastAsia="黑体" w:hint="eastAsia"/>
          <w:b/>
          <w:kern w:val="2"/>
          <w:sz w:val="24"/>
          <w:szCs w:val="22"/>
        </w:rPr>
        <w:t>7</w:t>
      </w:r>
      <w:r w:rsidRPr="002B55E9">
        <w:rPr>
          <w:rFonts w:eastAsia="黑体"/>
          <w:b/>
          <w:kern w:val="2"/>
          <w:sz w:val="24"/>
          <w:szCs w:val="22"/>
        </w:rPr>
        <w:t xml:space="preserve">-5-1  </w:t>
      </w:r>
      <w:r w:rsidRPr="002B55E9">
        <w:rPr>
          <w:rFonts w:eastAsia="黑体"/>
          <w:b/>
          <w:kern w:val="2"/>
          <w:sz w:val="24"/>
          <w:szCs w:val="22"/>
        </w:rPr>
        <w:t>危险废物标示图例</w:t>
      </w:r>
    </w:p>
    <w:p w14:paraId="0E7F88A1"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②</w:t>
      </w:r>
      <w:r w:rsidRPr="002B55E9">
        <w:rPr>
          <w:kern w:val="2"/>
          <w:sz w:val="24"/>
          <w:szCs w:val="22"/>
        </w:rPr>
        <w:t>危险废物应当使用符合标准的容器分类盛装，无法装入常用容器的危险废物可用防漏胶袋等盛装；装载液体、半固体危险废物的容器内须留足够空间，容器顶部与液体表面之间保留</w:t>
      </w:r>
      <w:r w:rsidRPr="002B55E9">
        <w:rPr>
          <w:kern w:val="2"/>
          <w:sz w:val="24"/>
          <w:szCs w:val="22"/>
        </w:rPr>
        <w:t>100mm</w:t>
      </w:r>
      <w:r w:rsidRPr="002B55E9">
        <w:rPr>
          <w:kern w:val="2"/>
          <w:sz w:val="24"/>
          <w:szCs w:val="22"/>
        </w:rPr>
        <w:t>以上的空间。总贮存量不超过</w:t>
      </w:r>
      <w:r w:rsidRPr="002B55E9">
        <w:rPr>
          <w:kern w:val="2"/>
          <w:sz w:val="24"/>
          <w:szCs w:val="22"/>
        </w:rPr>
        <w:t>300kg</w:t>
      </w:r>
      <w:r w:rsidRPr="002B55E9">
        <w:rPr>
          <w:kern w:val="2"/>
          <w:sz w:val="24"/>
          <w:szCs w:val="22"/>
        </w:rPr>
        <w:t>（</w:t>
      </w:r>
      <w:r w:rsidRPr="002B55E9">
        <w:rPr>
          <w:kern w:val="2"/>
          <w:sz w:val="24"/>
          <w:szCs w:val="22"/>
        </w:rPr>
        <w:t>L</w:t>
      </w:r>
      <w:r w:rsidRPr="002B55E9">
        <w:rPr>
          <w:kern w:val="2"/>
          <w:sz w:val="24"/>
          <w:szCs w:val="22"/>
        </w:rPr>
        <w:t>）的危险废物要放入符合标准的容器内、加上标签、容器放入坚固的柜或箱中，柜或箱应设多个直径不少于</w:t>
      </w:r>
      <w:r w:rsidRPr="002B55E9">
        <w:rPr>
          <w:kern w:val="2"/>
          <w:sz w:val="24"/>
          <w:szCs w:val="22"/>
        </w:rPr>
        <w:t>30mm</w:t>
      </w:r>
      <w:r w:rsidRPr="002B55E9">
        <w:rPr>
          <w:kern w:val="2"/>
          <w:sz w:val="24"/>
          <w:szCs w:val="22"/>
        </w:rPr>
        <w:t>的排气孔。盛装危险废物的容器上必须粘贴符合标准的标签。</w:t>
      </w:r>
    </w:p>
    <w:p w14:paraId="4DA92E67"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③</w:t>
      </w:r>
      <w:r w:rsidRPr="002B55E9">
        <w:rPr>
          <w:kern w:val="2"/>
          <w:sz w:val="24"/>
          <w:szCs w:val="22"/>
        </w:rPr>
        <w:t>禁止将不相容（相互反应）的危险废物在同一容器内混装；不相容危险废物要分别存放或存放在不渗透间隔分开的区域内，每个部分都应有防漏裙脚或储漏盘，防漏裙脚或储漏盘的材料要与危险废物相容。</w:t>
      </w:r>
    </w:p>
    <w:p w14:paraId="6E65FBCF"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④</w:t>
      </w:r>
      <w:r w:rsidRPr="002B55E9">
        <w:rPr>
          <w:kern w:val="2"/>
          <w:sz w:val="24"/>
          <w:szCs w:val="22"/>
        </w:rPr>
        <w:t>每个堆放点应留有搬运通道。</w:t>
      </w:r>
    </w:p>
    <w:p w14:paraId="597A1E9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⑤在危险废物转移过程中应当采取防扬散、防流失、防渗漏或者其他防止污染环境的措施，不得擅自倾倒、堆放、丢弃、遗撒危险废物，并对所造成的环境污染及生态破坏依法承担责任。</w:t>
      </w:r>
    </w:p>
    <w:p w14:paraId="3CF4AAB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⑥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11465E91"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lastRenderedPageBreak/>
        <w:t>⑥必须定期对所贮存的危险废物包装容器及贮存设施进行检查，发现破损应及时采取措施清理更换；</w:t>
      </w:r>
    </w:p>
    <w:p w14:paraId="53A68E9B"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⑦应按</w:t>
      </w:r>
      <w:r w:rsidRPr="002B55E9">
        <w:rPr>
          <w:rFonts w:hint="eastAsia"/>
          <w:kern w:val="2"/>
          <w:sz w:val="24"/>
          <w:szCs w:val="22"/>
        </w:rPr>
        <w:t>GB15562.2</w:t>
      </w:r>
      <w:r w:rsidRPr="002B55E9">
        <w:rPr>
          <w:rFonts w:hint="eastAsia"/>
          <w:kern w:val="2"/>
          <w:sz w:val="24"/>
          <w:szCs w:val="22"/>
        </w:rPr>
        <w:t>规定对环境保护图形标志进行检查和维护。</w:t>
      </w:r>
    </w:p>
    <w:p w14:paraId="37B9B769"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⑧按照国家和湖北省相关规定在企业运行后制定危险废物管理计划，明确拟转移危险废物的种类、重量（数量）和流向等信息；危险废物转移联单应当根据危险废物管理计划中填报的危险废物转移等备案信息填写、运行，在危险废物转移联单中如实填写移出人、承运人、接受人信息，转移危险废物的种类、重量（数量）、危险特性等信息，以及突发环境事件的防范措施等；</w:t>
      </w:r>
    </w:p>
    <w:p w14:paraId="6ABE0E95"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对不通过车（船或者其他运输工具），且无法按次对危险废物计量的其他方式转移危险废物的，应当配备计量记录设备，将每天危险废物转移的种类、重量（数量）、形态和危险特性等信息纳入相关台账记录，并根据所在地设区的市级以上地方生态环境主管部门的要求填写、运行危险废物转移联单；</w:t>
      </w:r>
    </w:p>
    <w:p w14:paraId="1842695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危险废物电子转移联单数据应当在信息系统中至少保存十年；</w:t>
      </w:r>
    </w:p>
    <w:p w14:paraId="46D0B23B"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因特殊原因无法运行危险废物电子转移联单的，可以先使用纸质转移联单，并于转移活动完成后十个工作日内在信息系统中补录电子转移联单；</w:t>
      </w:r>
    </w:p>
    <w:p w14:paraId="4F526A08"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申请跨省转移危险废物的，应当填写危险废物跨省转移申请表。</w:t>
      </w:r>
    </w:p>
    <w:p w14:paraId="27BAA4A0"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⑨建立危险废物管理台账，对转移的危险废物进行计量称重，如实记录、妥善保管转移危险废物的种类、重量（数量）和接受人等相关信息；应对承运人或者接受人的主体资格和技术能力进行核实，依法签订书面合同，并在合同中约定运输、贮存、利用、处置危险废物的污染防治要求及相关责任；及时核实接受人贮存、利用或者处置相关危险废物情况；</w:t>
      </w:r>
    </w:p>
    <w:p w14:paraId="3E4A614C" w14:textId="77777777" w:rsidR="00D170E5" w:rsidRPr="002B55E9" w:rsidRDefault="00EF27AD">
      <w:pPr>
        <w:snapToGrid w:val="0"/>
        <w:spacing w:after="60" w:line="360" w:lineRule="auto"/>
        <w:ind w:firstLineChars="200" w:firstLine="480"/>
        <w:rPr>
          <w:kern w:val="2"/>
          <w:sz w:val="24"/>
          <w:szCs w:val="22"/>
        </w:rPr>
      </w:pPr>
      <w:r w:rsidRPr="002B55E9">
        <w:rPr>
          <w:rFonts w:hint="eastAsia"/>
          <w:kern w:val="2"/>
          <w:sz w:val="24"/>
          <w:szCs w:val="22"/>
        </w:rPr>
        <w:t>⑩应当按照国家有关要求开展危险废物鉴别。禁止将危险废物以副产品等名义提供或者委托给无危险废物经营许可证的单位或者其他生产经营者从事收集、贮存、利用、处置活动。</w:t>
      </w:r>
    </w:p>
    <w:p w14:paraId="46836BEA" w14:textId="77777777" w:rsidR="00D170E5" w:rsidRPr="002B55E9" w:rsidRDefault="00EF27AD">
      <w:pPr>
        <w:pStyle w:val="5"/>
      </w:pPr>
      <w:r w:rsidRPr="002B55E9">
        <w:rPr>
          <w:rFonts w:hint="eastAsia"/>
        </w:rPr>
        <w:t>危险废物申报相关规定</w:t>
      </w:r>
    </w:p>
    <w:p w14:paraId="3ACFB88A" w14:textId="77777777" w:rsidR="00D170E5" w:rsidRPr="002B55E9" w:rsidRDefault="00EF27AD">
      <w:pPr>
        <w:pStyle w:val="00"/>
      </w:pPr>
      <w:r w:rsidRPr="002B55E9">
        <w:t>根据《中华人民共和国固体废物污染环境防治法》要求，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4DE75961" w14:textId="77777777" w:rsidR="00D170E5" w:rsidRPr="002B55E9" w:rsidRDefault="00EF27AD">
      <w:pPr>
        <w:pStyle w:val="00"/>
      </w:pPr>
      <w:r w:rsidRPr="002B55E9">
        <w:t>前款所称危险废物管理计划应当包括减少危险废物产生量和降低危险废物危害性的措施以及危险废物贮存、利用、处置措施。危险废物管理计划应当报产生危险废物的单位所在地生态环境主管部门备案。</w:t>
      </w:r>
    </w:p>
    <w:p w14:paraId="3F5CB083" w14:textId="77777777" w:rsidR="00D170E5" w:rsidRPr="002B55E9" w:rsidRDefault="00EF27AD">
      <w:pPr>
        <w:pStyle w:val="affff7"/>
        <w:snapToGrid w:val="0"/>
        <w:spacing w:after="0"/>
        <w:rPr>
          <w:szCs w:val="18"/>
        </w:rPr>
      </w:pPr>
      <w:r w:rsidRPr="002B55E9">
        <w:lastRenderedPageBreak/>
        <w:t>企业应严格按照</w:t>
      </w:r>
      <w:r w:rsidRPr="002B55E9">
        <w:rPr>
          <w:lang w:bidi="ne-NP"/>
        </w:rPr>
        <w:t>《危险废物收集贮存运输技术规范》</w:t>
      </w:r>
      <w:r w:rsidRPr="002B55E9">
        <w:rPr>
          <w:lang w:bidi="ne-NP"/>
        </w:rPr>
        <w:t>(HJ2025-2012)</w:t>
      </w:r>
      <w:r w:rsidRPr="002B55E9">
        <w:rPr>
          <w:lang w:bidi="ne-NP"/>
        </w:rPr>
        <w:t>、</w:t>
      </w:r>
      <w:r w:rsidRPr="002B55E9">
        <w:t>《湖北省环保厅关于启动运行湖北省危险废物监管物联网系统的通知》等要求进行申报。</w:t>
      </w:r>
    </w:p>
    <w:p w14:paraId="61EC55FF" w14:textId="77777777" w:rsidR="00D170E5" w:rsidRPr="002B55E9" w:rsidRDefault="00EF27AD">
      <w:pPr>
        <w:pStyle w:val="5"/>
      </w:pPr>
      <w:r w:rsidRPr="002B55E9">
        <w:rPr>
          <w:rFonts w:hint="eastAsia"/>
        </w:rPr>
        <w:t>危险废物转移相关规定</w:t>
      </w:r>
    </w:p>
    <w:p w14:paraId="42AC119F" w14:textId="77777777" w:rsidR="00D170E5" w:rsidRPr="002B55E9" w:rsidRDefault="00EF27AD">
      <w:pPr>
        <w:pStyle w:val="affff7"/>
        <w:snapToGrid w:val="0"/>
        <w:spacing w:after="0"/>
      </w:pPr>
      <w:r w:rsidRPr="002B55E9">
        <w:t>根据国务院令第</w:t>
      </w:r>
      <w:r w:rsidRPr="002B55E9">
        <w:t>344</w:t>
      </w:r>
      <w:r w:rsidRPr="002B55E9">
        <w:t>号《危险化学品安全管理条例》、《危险废物转移联单管理办法》</w:t>
      </w:r>
      <w:r w:rsidRPr="002B55E9">
        <w:rPr>
          <w:rFonts w:hint="eastAsia"/>
        </w:rPr>
        <w:t>（部</w:t>
      </w:r>
      <w:r w:rsidRPr="002B55E9">
        <w:t>令</w:t>
      </w:r>
      <w:r w:rsidRPr="002B55E9">
        <w:rPr>
          <w:rFonts w:hint="eastAsia"/>
        </w:rPr>
        <w:t xml:space="preserve"> </w:t>
      </w:r>
      <w:r w:rsidRPr="002B55E9">
        <w:rPr>
          <w:rFonts w:hint="eastAsia"/>
        </w:rPr>
        <w:t>第</w:t>
      </w:r>
      <w:r w:rsidRPr="002B55E9">
        <w:rPr>
          <w:rFonts w:hint="eastAsia"/>
        </w:rPr>
        <w:t>23</w:t>
      </w:r>
      <w:r w:rsidRPr="002B55E9">
        <w:rPr>
          <w:rFonts w:hint="eastAsia"/>
        </w:rPr>
        <w:t>号）、</w:t>
      </w:r>
      <w:r w:rsidRPr="002B55E9">
        <w:rPr>
          <w:lang w:bidi="ne-NP"/>
        </w:rPr>
        <w:t>《危险废物收集贮存运输技术规范》</w:t>
      </w:r>
      <w:r w:rsidRPr="002B55E9">
        <w:rPr>
          <w:rFonts w:cs="TimesNewRomanPSMT"/>
          <w:lang w:bidi="ne-NP"/>
        </w:rPr>
        <w:t>(HJ2025-2012)</w:t>
      </w:r>
      <w:r w:rsidRPr="002B55E9">
        <w:rPr>
          <w:rFonts w:cs="TimesNewRomanPSMT" w:hint="eastAsia"/>
          <w:lang w:bidi="ne-NP"/>
        </w:rPr>
        <w:t>和《湖北省环保厅关于启动运行湖北省危险废物监管物联网系统的通知》</w:t>
      </w:r>
      <w:r w:rsidRPr="002B55E9">
        <w:t>有关规定，在危险废物外运至处置单位时必须严格遵守以下要求。</w:t>
      </w:r>
    </w:p>
    <w:p w14:paraId="5E2CCF83" w14:textId="77777777" w:rsidR="00D170E5" w:rsidRPr="002B55E9" w:rsidRDefault="00EF27AD">
      <w:pPr>
        <w:pStyle w:val="affff7"/>
        <w:numPr>
          <w:ilvl w:val="0"/>
          <w:numId w:val="38"/>
        </w:numPr>
        <w:snapToGrid w:val="0"/>
        <w:spacing w:after="0"/>
      </w:pPr>
      <w:r w:rsidRPr="002B55E9">
        <w:rPr>
          <w:rFonts w:hint="eastAsia"/>
        </w:rPr>
        <w:t>注册系统：企业</w:t>
      </w:r>
      <w:r w:rsidRPr="002B55E9">
        <w:t>通过湖北省固体废物管理网</w:t>
      </w:r>
      <w:r w:rsidRPr="002B55E9">
        <w:t>“</w:t>
      </w:r>
      <w:r w:rsidRPr="002B55E9">
        <w:t>网上办事</w:t>
      </w:r>
      <w:r w:rsidRPr="002B55E9">
        <w:t>”</w:t>
      </w:r>
      <w:r w:rsidRPr="002B55E9">
        <w:t>栏目注册企业信息，由所在地县（市、区）环境保护行政主管部门进行信息审核，审核通过后启用注册账号。企业注册信息发生变更时需及时向所在地县（市、区）环境保护行政主管部门提出申请并提供相关证明材料</w:t>
      </w:r>
      <w:r w:rsidRPr="002B55E9">
        <w:rPr>
          <w:rFonts w:hint="eastAsia"/>
        </w:rPr>
        <w:t>。</w:t>
      </w:r>
    </w:p>
    <w:p w14:paraId="7821AAC1" w14:textId="77777777" w:rsidR="00D170E5" w:rsidRPr="002B55E9" w:rsidRDefault="00EF27AD">
      <w:pPr>
        <w:pStyle w:val="affff7"/>
        <w:numPr>
          <w:ilvl w:val="0"/>
          <w:numId w:val="38"/>
        </w:numPr>
      </w:pPr>
      <w:r w:rsidRPr="002B55E9">
        <w:t>危险废物申报系统</w:t>
      </w:r>
      <w:r w:rsidRPr="002B55E9">
        <w:rPr>
          <w:rFonts w:hint="eastAsia"/>
        </w:rPr>
        <w:t>：建设单位</w:t>
      </w:r>
      <w:r w:rsidRPr="002B55E9">
        <w:t>应按照危险废物规范化管理要求，在指定的时间范围内完成</w:t>
      </w:r>
      <w:r w:rsidRPr="002B55E9">
        <w:t>“</w:t>
      </w:r>
      <w:r w:rsidRPr="002B55E9">
        <w:t>基本情况申报</w:t>
      </w:r>
      <w:r w:rsidRPr="002B55E9">
        <w:t>”</w:t>
      </w:r>
      <w:r w:rsidRPr="002B55E9">
        <w:t>、</w:t>
      </w:r>
      <w:r w:rsidRPr="002B55E9">
        <w:t>“</w:t>
      </w:r>
      <w:r w:rsidRPr="002B55E9">
        <w:t>危险废物年报</w:t>
      </w:r>
      <w:r w:rsidRPr="002B55E9">
        <w:t>”</w:t>
      </w:r>
      <w:r w:rsidRPr="002B55E9">
        <w:t>、</w:t>
      </w:r>
      <w:r w:rsidRPr="002B55E9">
        <w:t>“</w:t>
      </w:r>
      <w:r w:rsidRPr="002B55E9">
        <w:t>医疗废物年报</w:t>
      </w:r>
      <w:r w:rsidRPr="002B55E9">
        <w:t>”</w:t>
      </w:r>
      <w:r w:rsidRPr="002B55E9">
        <w:t>、</w:t>
      </w:r>
      <w:r w:rsidRPr="002B55E9">
        <w:t>“</w:t>
      </w:r>
      <w:r w:rsidRPr="002B55E9">
        <w:t>管理计划申报</w:t>
      </w:r>
      <w:r w:rsidRPr="002B55E9">
        <w:t>”</w:t>
      </w:r>
      <w:r w:rsidRPr="002B55E9">
        <w:t>和</w:t>
      </w:r>
      <w:r w:rsidRPr="002B55E9">
        <w:t>“</w:t>
      </w:r>
      <w:r w:rsidRPr="002B55E9">
        <w:t>转移计划申报</w:t>
      </w:r>
      <w:r w:rsidRPr="002B55E9">
        <w:t>”</w:t>
      </w:r>
      <w:r w:rsidRPr="002B55E9">
        <w:t>等工作，同时做好纸质版备案。</w:t>
      </w:r>
    </w:p>
    <w:p w14:paraId="3EA0A9F8" w14:textId="77777777" w:rsidR="00D170E5" w:rsidRPr="002B55E9" w:rsidRDefault="00EF27AD">
      <w:pPr>
        <w:pStyle w:val="affff7"/>
        <w:numPr>
          <w:ilvl w:val="0"/>
          <w:numId w:val="38"/>
        </w:numPr>
      </w:pPr>
      <w:r w:rsidRPr="002B55E9">
        <w:rPr>
          <w:rFonts w:hint="eastAsia"/>
        </w:rPr>
        <w:t>电子联单系统：危险废物产生单位在省内转移危险废物前，应先通过省危废物联网系统提交转移计划，待转移计划通过审批后，可通过手持应用终端在线申请电子联单。通过“湖北省危险废物监管物联网系统身份识别卡”在手持终端上完成联单的确认工作。</w:t>
      </w:r>
    </w:p>
    <w:p w14:paraId="34A572AD" w14:textId="77777777" w:rsidR="00D170E5" w:rsidRPr="002B55E9" w:rsidRDefault="00EF27AD">
      <w:pPr>
        <w:pStyle w:val="affff7"/>
        <w:numPr>
          <w:ilvl w:val="0"/>
          <w:numId w:val="38"/>
        </w:numPr>
      </w:pPr>
      <w:r w:rsidRPr="002B55E9">
        <w:rPr>
          <w:rFonts w:hint="eastAsia"/>
        </w:rPr>
        <w:t>危险废物产生单位每转移一车、船（次）同类危险废物，执行一份电子联单（其中医疗废物产生单位转移每批次医疗废物，执行一份电子联单）；每车、船（次）中有多类危险废物时，每一类别危险废物执行一份电子联单。采用管道输送方式转移危险废物的，必须具备流量记录设备。</w:t>
      </w:r>
      <w:r w:rsidRPr="002B55E9">
        <w:rPr>
          <w:rFonts w:hint="eastAsia"/>
        </w:rPr>
        <w:t> </w:t>
      </w:r>
    </w:p>
    <w:p w14:paraId="4A2D19AF" w14:textId="77777777" w:rsidR="00D170E5" w:rsidRPr="002B55E9" w:rsidRDefault="00EF27AD">
      <w:pPr>
        <w:pStyle w:val="affff7"/>
        <w:numPr>
          <w:ilvl w:val="0"/>
          <w:numId w:val="38"/>
        </w:numPr>
      </w:pPr>
      <w:r w:rsidRPr="002B55E9">
        <w:rPr>
          <w:rFonts w:hint="eastAsia"/>
        </w:rPr>
        <w:t>危险废物移出单位应当如实填写电子联单中的危险废物种类、数量及其他信息。危险废物转移时，通过省危废物联网系统打印危险废物转移纸质联单，加盖公章，交付危险废物运输单位随车（船）携带。</w:t>
      </w:r>
    </w:p>
    <w:p w14:paraId="3F3F2950" w14:textId="77777777" w:rsidR="00D170E5" w:rsidRPr="002B55E9" w:rsidRDefault="00EF27AD">
      <w:pPr>
        <w:pStyle w:val="affff7"/>
        <w:ind w:firstLineChars="0" w:firstLine="0"/>
      </w:pPr>
      <w:r w:rsidRPr="002B55E9">
        <w:rPr>
          <w:rFonts w:hint="eastAsia"/>
        </w:rPr>
        <w:t xml:space="preserve">    </w:t>
      </w:r>
      <w:r w:rsidRPr="002B55E9">
        <w:rPr>
          <w:rFonts w:hint="eastAsia"/>
        </w:rPr>
        <w:t>（</w:t>
      </w:r>
      <w:r w:rsidRPr="002B55E9">
        <w:rPr>
          <w:rFonts w:hint="eastAsia"/>
        </w:rPr>
        <w:t>6</w:t>
      </w:r>
      <w:r w:rsidRPr="002B55E9">
        <w:rPr>
          <w:rFonts w:hint="eastAsia"/>
        </w:rPr>
        <w:t>）</w:t>
      </w:r>
      <w:r w:rsidRPr="002B55E9">
        <w:t>省内转移将不再使用纸质转移联单；跨省转移仍执行纸质五联单制度。转移电子联单运行按照《湖北省危险废物转移电子联单管理办法（试行）》（附件</w:t>
      </w:r>
      <w:r w:rsidRPr="002B55E9">
        <w:t>2</w:t>
      </w:r>
      <w:r w:rsidRPr="002B55E9">
        <w:t>）的规定执行。</w:t>
      </w:r>
    </w:p>
    <w:p w14:paraId="7520BAA0" w14:textId="77777777" w:rsidR="00D170E5" w:rsidRPr="002B55E9" w:rsidRDefault="00EF27AD">
      <w:pPr>
        <w:pStyle w:val="affff7"/>
      </w:pPr>
      <w:r w:rsidRPr="002B55E9">
        <w:t>（</w:t>
      </w:r>
      <w:r w:rsidRPr="002B55E9">
        <w:rPr>
          <w:rFonts w:hint="eastAsia"/>
        </w:rPr>
        <w:t>7</w:t>
      </w:r>
      <w:r w:rsidRPr="002B55E9">
        <w:t>）危险废物运输单位按照联单对危险废物填写的情况进行核实，危险废物移出单位与运输单位进行交接时通过应用终端扫描湖北省危险废物监管物联网系统身份识别卡进行身份确认，同时，运输司机需要通过终端的手机短信验证，交接的双方应保证该手机号码是运输过程中的司机本人，不得代为填写。打印的纸质联单应在运输过程中随车（船）携带。</w:t>
      </w:r>
    </w:p>
    <w:p w14:paraId="03A480CB" w14:textId="77777777" w:rsidR="00D170E5" w:rsidRPr="002B55E9" w:rsidRDefault="00EF27AD">
      <w:pPr>
        <w:pStyle w:val="affff7"/>
      </w:pPr>
      <w:r w:rsidRPr="002B55E9">
        <w:lastRenderedPageBreak/>
        <w:t>（</w:t>
      </w:r>
      <w:r w:rsidRPr="002B55E9">
        <w:rPr>
          <w:rFonts w:hint="eastAsia"/>
        </w:rPr>
        <w:t>8</w:t>
      </w:r>
      <w:r w:rsidRPr="002B55E9">
        <w:t>）危险废物运至接受单位后，运输单位将随车（船）携带的纸质联单交接受单位，危险废物接受单位通过应用终端扫描联单的二维码（或条形码）读取联单内容，并按照联单内容对危险废物核实验收，通过扫描身份识别卡进行验收确认。</w:t>
      </w:r>
    </w:p>
    <w:p w14:paraId="58ED982D" w14:textId="77777777" w:rsidR="00D170E5" w:rsidRPr="002B55E9" w:rsidRDefault="00EF27AD">
      <w:pPr>
        <w:pStyle w:val="affff7"/>
      </w:pPr>
      <w:r w:rsidRPr="002B55E9">
        <w:rPr>
          <w:rFonts w:hint="eastAsia"/>
        </w:rPr>
        <w:t>（</w:t>
      </w:r>
      <w:r w:rsidRPr="002B55E9">
        <w:rPr>
          <w:rFonts w:hint="eastAsia"/>
        </w:rPr>
        <w:t>9</w:t>
      </w:r>
      <w:r w:rsidRPr="002B55E9">
        <w:rPr>
          <w:rFonts w:hint="eastAsia"/>
        </w:rPr>
        <w:t>）</w:t>
      </w:r>
      <w:r w:rsidRPr="002B55E9">
        <w:t>危险废物接受单位验收发现危险废物的名称、数量、特性、形态、包装方式与联单填写内容不符的，应当及时向接受地环境保护行政主管部门报告，并通知产生单位。</w:t>
      </w:r>
    </w:p>
    <w:p w14:paraId="2DF3EB89" w14:textId="77777777" w:rsidR="00D170E5" w:rsidRPr="002B55E9" w:rsidRDefault="00EF27AD">
      <w:pPr>
        <w:pStyle w:val="affff7"/>
      </w:pPr>
      <w:r w:rsidRPr="002B55E9">
        <w:t>（</w:t>
      </w:r>
      <w:r w:rsidRPr="002B55E9">
        <w:rPr>
          <w:rFonts w:hint="eastAsia"/>
        </w:rPr>
        <w:t>10</w:t>
      </w:r>
      <w:r w:rsidRPr="002B55E9">
        <w:t>）湖北省危险废物转移电子联单数据由省危废物联网系统服务器保存并备份，相关危险废物产生单位、运输单位、经营单位应当在各自权限内自行打印存档备查。</w:t>
      </w:r>
    </w:p>
    <w:p w14:paraId="019FC3E9" w14:textId="77777777" w:rsidR="00D170E5" w:rsidRPr="002B55E9" w:rsidRDefault="00EF27AD">
      <w:pPr>
        <w:pStyle w:val="affff7"/>
      </w:pPr>
      <w:r w:rsidRPr="002B55E9">
        <w:t>（</w:t>
      </w:r>
      <w:r w:rsidRPr="002B55E9">
        <w:rPr>
          <w:rFonts w:hint="eastAsia"/>
        </w:rPr>
        <w:t>11</w:t>
      </w:r>
      <w:r w:rsidRPr="002B55E9">
        <w:t>）危险废物在运输途中若发生被盗、丢失、流散、泄漏等情况时，公司及押运人员必须立即向当地公安部门报告，并采取一切可能的警示措施。</w:t>
      </w:r>
    </w:p>
    <w:p w14:paraId="692B6CA7" w14:textId="77777777" w:rsidR="00D170E5" w:rsidRPr="002B55E9" w:rsidRDefault="00EF27AD">
      <w:pPr>
        <w:pStyle w:val="affff7"/>
      </w:pPr>
      <w:r w:rsidRPr="002B55E9">
        <w:t>（</w:t>
      </w:r>
      <w:r w:rsidRPr="002B55E9">
        <w:rPr>
          <w:rFonts w:hint="eastAsia"/>
        </w:rPr>
        <w:t>12</w:t>
      </w:r>
      <w:r w:rsidRPr="002B55E9">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14:paraId="41F4268C" w14:textId="77777777" w:rsidR="00D170E5" w:rsidRPr="002B55E9" w:rsidRDefault="00EF27AD">
      <w:pPr>
        <w:pStyle w:val="affff7"/>
      </w:pPr>
      <w:r w:rsidRPr="002B55E9">
        <w:rPr>
          <w:lang w:bidi="ne-NP"/>
        </w:rPr>
        <w:t>（</w:t>
      </w:r>
      <w:r w:rsidRPr="002B55E9">
        <w:rPr>
          <w:lang w:bidi="ne-NP"/>
        </w:rPr>
        <w:t>1</w:t>
      </w:r>
      <w:r w:rsidRPr="002B55E9">
        <w:rPr>
          <w:rFonts w:hint="eastAsia"/>
          <w:lang w:bidi="ne-NP"/>
        </w:rPr>
        <w:t>3</w:t>
      </w:r>
      <w:r w:rsidRPr="002B55E9">
        <w:rPr>
          <w:lang w:bidi="ne-NP"/>
        </w:rPr>
        <w:t>）装载固体废物和危险废物的车辆必须做好防渗、防漏、防飞扬的措施；有化学反应或混装有危险后果的固体废物和危险废物严禁混装运输；装载危险废物车辆的行驶路线须绕开人口密集的居民区和受保护的水体等环境保护目标</w:t>
      </w:r>
      <w:r w:rsidRPr="002B55E9">
        <w:t>。</w:t>
      </w:r>
    </w:p>
    <w:p w14:paraId="4E77B308" w14:textId="77777777" w:rsidR="00D170E5" w:rsidRPr="002B55E9" w:rsidRDefault="00EF27AD">
      <w:pPr>
        <w:snapToGrid w:val="0"/>
        <w:spacing w:after="60" w:line="360" w:lineRule="auto"/>
        <w:ind w:firstLineChars="200" w:firstLine="480"/>
        <w:rPr>
          <w:szCs w:val="18"/>
        </w:rPr>
      </w:pPr>
      <w:r w:rsidRPr="002B55E9">
        <w:rPr>
          <w:rFonts w:hint="eastAsia"/>
          <w:kern w:val="2"/>
          <w:sz w:val="24"/>
          <w:szCs w:val="22"/>
        </w:rPr>
        <w:t>综上，本项目运营期应采取措施加强废物产生、收集、贮存各环节的管理，并委托相关资质单位对其产生的固体废物进行合理有效的处置。通过处置，可以达到减量化、无害化的目的，对环境不会产生明显的污染影响。</w:t>
      </w:r>
    </w:p>
    <w:p w14:paraId="611C2281" w14:textId="77777777" w:rsidR="00D170E5" w:rsidRPr="002B55E9" w:rsidRDefault="00EF27AD">
      <w:pPr>
        <w:pStyle w:val="3"/>
      </w:pPr>
      <w:bookmarkStart w:id="271" w:name="_Toc119309015"/>
      <w:r w:rsidRPr="002B55E9">
        <w:rPr>
          <w:rFonts w:hint="eastAsia"/>
        </w:rPr>
        <w:t>运营期地下水污染防治措施</w:t>
      </w:r>
      <w:bookmarkEnd w:id="271"/>
    </w:p>
    <w:p w14:paraId="0F649E96" w14:textId="77777777" w:rsidR="00D170E5" w:rsidRPr="002B55E9" w:rsidRDefault="00EF27AD">
      <w:pPr>
        <w:pStyle w:val="affff7"/>
        <w:rPr>
          <w:szCs w:val="18"/>
        </w:rPr>
      </w:pPr>
      <w:r w:rsidRPr="002B55E9">
        <w:rPr>
          <w:rFonts w:hint="eastAsia"/>
          <w:szCs w:val="18"/>
        </w:rPr>
        <w:t>拟建项目属于新建</w:t>
      </w:r>
      <w:r w:rsidRPr="002B55E9">
        <w:rPr>
          <w:szCs w:val="18"/>
        </w:rPr>
        <w:t>项目</w:t>
      </w:r>
      <w:r w:rsidRPr="002B55E9">
        <w:rPr>
          <w:rFonts w:hint="eastAsia"/>
          <w:szCs w:val="18"/>
        </w:rPr>
        <w:t>，正常状况下厂区对地下水造成的影响很小。但是在非正常状况下会不可避免的对地下水环境产生污染，如采取合理的主动防控与被动防渗等地下水防治措施，使得地下水污染风险降到最低。拟建项目地下水污染防治措施按照“源头控制、分区防治、污染监控、应急响应”相结合的原则，从污染物的产生、入渗、扩散、应急响应全方位进行控制。</w:t>
      </w:r>
    </w:p>
    <w:p w14:paraId="22248D4D" w14:textId="77777777" w:rsidR="00D170E5" w:rsidRPr="002B55E9" w:rsidRDefault="00EF27AD">
      <w:pPr>
        <w:pStyle w:val="4"/>
        <w:rPr>
          <w:color w:val="auto"/>
        </w:rPr>
      </w:pPr>
      <w:r w:rsidRPr="002B55E9">
        <w:rPr>
          <w:rFonts w:hint="eastAsia"/>
          <w:color w:val="auto"/>
        </w:rPr>
        <w:t>源头控制措施</w:t>
      </w:r>
    </w:p>
    <w:p w14:paraId="6F4D8E46" w14:textId="77777777" w:rsidR="00D170E5" w:rsidRPr="002B55E9" w:rsidRDefault="00EF27AD">
      <w:pPr>
        <w:pStyle w:val="affff7"/>
        <w:spacing w:after="0"/>
        <w:rPr>
          <w:szCs w:val="24"/>
        </w:rPr>
      </w:pPr>
      <w:r w:rsidRPr="002B55E9">
        <w:rPr>
          <w:szCs w:val="24"/>
        </w:rPr>
        <w:t>拟建项目使用先进、成熟、可靠的工艺技术工艺，良好合格的防渗材料，尽可能从源头上减少污染物产生。严格按照国家相关规范要求，对厂区采取相应的防渗措施，以防止和降低污染物的跑、冒、滴、漏，将环境风险事故降低到最低。</w:t>
      </w:r>
    </w:p>
    <w:p w14:paraId="0D580254" w14:textId="77777777" w:rsidR="00D170E5" w:rsidRPr="002B55E9" w:rsidRDefault="00EF27AD">
      <w:pPr>
        <w:pStyle w:val="aa"/>
        <w:rPr>
          <w:szCs w:val="24"/>
        </w:rPr>
      </w:pPr>
      <w:r w:rsidRPr="002B55E9">
        <w:rPr>
          <w:szCs w:val="24"/>
        </w:rPr>
        <w:t>拟建项目产生的废水主要包括生活污水和生产废水，处理达标后经排入市政管网。厂区</w:t>
      </w:r>
      <w:r w:rsidRPr="002B55E9">
        <w:rPr>
          <w:szCs w:val="24"/>
        </w:rPr>
        <w:lastRenderedPageBreak/>
        <w:t>对产生废水的各装置及其所经过的管道要经常巡查，杜绝</w:t>
      </w:r>
      <w:r w:rsidRPr="002B55E9">
        <w:rPr>
          <w:szCs w:val="24"/>
        </w:rPr>
        <w:t>“</w:t>
      </w:r>
      <w:r w:rsidRPr="002B55E9">
        <w:rPr>
          <w:szCs w:val="24"/>
        </w:rPr>
        <w:t>跑、冒、滴、漏</w:t>
      </w:r>
      <w:r w:rsidRPr="002B55E9">
        <w:rPr>
          <w:szCs w:val="24"/>
        </w:rPr>
        <w:t>”</w:t>
      </w:r>
      <w:r w:rsidRPr="002B55E9">
        <w:rPr>
          <w:szCs w:val="24"/>
        </w:rPr>
        <w:t>等事故的发生，尤其是水处理设施和污水输送管道等周边要进行严格的防渗处理，从源头上防止污水进行地下水含水层中。</w:t>
      </w:r>
    </w:p>
    <w:p w14:paraId="045DFD67" w14:textId="77777777" w:rsidR="00D170E5" w:rsidRPr="002B55E9" w:rsidRDefault="00EF27AD">
      <w:pPr>
        <w:pStyle w:val="aa"/>
        <w:rPr>
          <w:szCs w:val="24"/>
        </w:rPr>
      </w:pPr>
      <w:r w:rsidRPr="002B55E9">
        <w:rPr>
          <w:szCs w:val="24"/>
        </w:rPr>
        <w:t>（</w:t>
      </w:r>
      <w:r w:rsidRPr="002B55E9">
        <w:rPr>
          <w:szCs w:val="24"/>
        </w:rPr>
        <w:t>1</w:t>
      </w:r>
      <w:r w:rsidRPr="002B55E9">
        <w:rPr>
          <w:szCs w:val="24"/>
        </w:rPr>
        <w:t>）主动控制措施</w:t>
      </w:r>
    </w:p>
    <w:p w14:paraId="24CF0454" w14:textId="77777777" w:rsidR="00D170E5" w:rsidRPr="002B55E9" w:rsidRDefault="00EF27AD">
      <w:pPr>
        <w:pStyle w:val="aa"/>
        <w:rPr>
          <w:szCs w:val="24"/>
        </w:rPr>
      </w:pPr>
      <w:r w:rsidRPr="002B55E9">
        <w:rPr>
          <w:szCs w:val="24"/>
        </w:rPr>
        <w:t>从生产过程入手，在工艺、管道、设备、给排水等方面尽可能地采取泄漏控制措施，从源头最大限度降低污染物质泄漏的可能性和泄漏量，使项目区污染物对地下水的影响降至最低，一旦出现泄漏等即可由区域内的各种配套措施进行收集、处置，同时经过硬化处理的地面有效阻止污染物的下渗。</w:t>
      </w:r>
    </w:p>
    <w:p w14:paraId="34E5CEED" w14:textId="77777777" w:rsidR="00D170E5" w:rsidRPr="002B55E9" w:rsidRDefault="00EF27AD">
      <w:pPr>
        <w:pStyle w:val="aa"/>
        <w:rPr>
          <w:szCs w:val="24"/>
        </w:rPr>
      </w:pPr>
      <w:r w:rsidRPr="002B55E9">
        <w:rPr>
          <w:szCs w:val="24"/>
        </w:rPr>
        <w:t>（</w:t>
      </w:r>
      <w:r w:rsidRPr="002B55E9">
        <w:rPr>
          <w:szCs w:val="24"/>
        </w:rPr>
        <w:t>2</w:t>
      </w:r>
      <w:r w:rsidRPr="002B55E9">
        <w:rPr>
          <w:szCs w:val="24"/>
        </w:rPr>
        <w:t>）被动防渗漏措施</w:t>
      </w:r>
    </w:p>
    <w:p w14:paraId="6F402DB7" w14:textId="77777777" w:rsidR="00D170E5" w:rsidRPr="002B55E9" w:rsidRDefault="00EF27AD">
      <w:pPr>
        <w:pStyle w:val="aa"/>
        <w:rPr>
          <w:szCs w:val="24"/>
        </w:rPr>
      </w:pPr>
      <w:r w:rsidRPr="002B55E9">
        <w:rPr>
          <w:szCs w:val="24"/>
        </w:rPr>
        <w:t>被动防渗措施，即末端控制措施，在污染区地面进行防渗处理，防止洒落地面的污染物渗入地下，并把滞留在地面的污染物收集起来，集中送至污水处理站处理。</w:t>
      </w:r>
    </w:p>
    <w:p w14:paraId="0C26BA99" w14:textId="77777777" w:rsidR="00D170E5" w:rsidRPr="002B55E9" w:rsidRDefault="00EF27AD">
      <w:pPr>
        <w:pStyle w:val="aa"/>
        <w:rPr>
          <w:szCs w:val="24"/>
        </w:rPr>
      </w:pPr>
      <w:r w:rsidRPr="002B55E9">
        <w:rPr>
          <w:szCs w:val="24"/>
        </w:rPr>
        <w:t>（</w:t>
      </w:r>
      <w:r w:rsidRPr="002B55E9">
        <w:rPr>
          <w:szCs w:val="24"/>
        </w:rPr>
        <w:t>3</w:t>
      </w:r>
      <w:r w:rsidRPr="002B55E9">
        <w:rPr>
          <w:szCs w:val="24"/>
        </w:rPr>
        <w:t>）应急响应措施</w:t>
      </w:r>
    </w:p>
    <w:p w14:paraId="44D12F76" w14:textId="77777777" w:rsidR="00D170E5" w:rsidRPr="002B55E9" w:rsidRDefault="00EF27AD">
      <w:pPr>
        <w:pStyle w:val="aa"/>
      </w:pPr>
      <w:r w:rsidRPr="002B55E9">
        <w:rPr>
          <w:szCs w:val="24"/>
        </w:rPr>
        <w:t>包括一旦发现地下水污染事故，立即启动应急预案、采取应急措施控制地下水污染，并使污染得到治理。</w:t>
      </w:r>
    </w:p>
    <w:p w14:paraId="28169E55" w14:textId="77777777" w:rsidR="00D170E5" w:rsidRPr="002B55E9" w:rsidRDefault="00EF27AD">
      <w:pPr>
        <w:pStyle w:val="4"/>
        <w:rPr>
          <w:color w:val="auto"/>
        </w:rPr>
      </w:pPr>
      <w:r w:rsidRPr="002B55E9">
        <w:rPr>
          <w:rFonts w:hint="eastAsia"/>
          <w:color w:val="auto"/>
        </w:rPr>
        <w:t>分区防治措施</w:t>
      </w:r>
    </w:p>
    <w:p w14:paraId="06C4DBE7" w14:textId="77777777" w:rsidR="00D170E5" w:rsidRPr="002B55E9" w:rsidRDefault="00EF27AD">
      <w:pPr>
        <w:pStyle w:val="aa"/>
      </w:pPr>
      <w:r w:rsidRPr="002B55E9">
        <w:t>（</w:t>
      </w:r>
      <w:r w:rsidRPr="002B55E9">
        <w:t>1</w:t>
      </w:r>
      <w:r w:rsidRPr="002B55E9">
        <w:t>）</w:t>
      </w:r>
      <w:r w:rsidRPr="002B55E9">
        <w:rPr>
          <w:rFonts w:hint="eastAsia"/>
        </w:rPr>
        <w:t>法律依据</w:t>
      </w:r>
    </w:p>
    <w:p w14:paraId="4934E929" w14:textId="77777777" w:rsidR="00D170E5" w:rsidRPr="002B55E9" w:rsidRDefault="00EF27AD">
      <w:pPr>
        <w:pStyle w:val="aa"/>
        <w:rPr>
          <w:sz w:val="23"/>
          <w:szCs w:val="23"/>
        </w:rPr>
      </w:pPr>
      <w:r w:rsidRPr="002B55E9">
        <w:rPr>
          <w:rFonts w:hint="eastAsia"/>
        </w:rPr>
        <w:t>根据</w:t>
      </w:r>
      <w:r w:rsidRPr="002B55E9">
        <w:rPr>
          <w:szCs w:val="28"/>
        </w:rPr>
        <w:t>《环境影响评价技术导则地下水环境》</w:t>
      </w:r>
      <w:r w:rsidRPr="002B55E9">
        <w:rPr>
          <w:rFonts w:hint="eastAsia"/>
          <w:szCs w:val="28"/>
        </w:rPr>
        <w:t>（</w:t>
      </w:r>
      <w:r w:rsidRPr="002B55E9">
        <w:rPr>
          <w:szCs w:val="28"/>
        </w:rPr>
        <w:t>HJ610-2016</w:t>
      </w:r>
      <w:r w:rsidRPr="002B55E9">
        <w:rPr>
          <w:rFonts w:hint="eastAsia"/>
          <w:szCs w:val="28"/>
        </w:rPr>
        <w:t>）、</w:t>
      </w:r>
      <w:r w:rsidRPr="002B55E9">
        <w:t>《危险废物贮存污染控制标准》（</w:t>
      </w:r>
      <w:r w:rsidRPr="002B55E9">
        <w:t>GB18597-2001</w:t>
      </w:r>
      <w:r w:rsidRPr="002B55E9">
        <w:t>）</w:t>
      </w:r>
      <w:r w:rsidRPr="002B55E9">
        <w:rPr>
          <w:rFonts w:hint="eastAsia"/>
        </w:rPr>
        <w:t>和《一般工业固体废物贮存和填埋污染控制标准》（</w:t>
      </w:r>
      <w:r w:rsidRPr="002B55E9">
        <w:t>GB 18599-2020</w:t>
      </w:r>
      <w:r w:rsidRPr="002B55E9">
        <w:rPr>
          <w:rFonts w:hint="eastAsia"/>
        </w:rPr>
        <w:t>），并结合地下水环境影响评价结果，给本项目出不同分区的具体防渗技术要求。</w:t>
      </w:r>
    </w:p>
    <w:p w14:paraId="0DE1A53C" w14:textId="77777777" w:rsidR="00D170E5" w:rsidRPr="002B55E9" w:rsidRDefault="00EF27AD">
      <w:pPr>
        <w:pStyle w:val="aa"/>
      </w:pPr>
      <w:r w:rsidRPr="002B55E9">
        <w:t>（</w:t>
      </w:r>
      <w:r w:rsidRPr="002B55E9">
        <w:rPr>
          <w:rFonts w:hint="eastAsia"/>
        </w:rPr>
        <w:t>2</w:t>
      </w:r>
      <w:r w:rsidRPr="002B55E9">
        <w:t>）</w:t>
      </w:r>
      <w:r w:rsidRPr="002B55E9">
        <w:rPr>
          <w:rFonts w:hint="eastAsia"/>
        </w:rPr>
        <w:t>防渗分区判定</w:t>
      </w:r>
    </w:p>
    <w:p w14:paraId="248CB262" w14:textId="77777777" w:rsidR="00D170E5" w:rsidRPr="002B55E9" w:rsidRDefault="00EF27AD">
      <w:pPr>
        <w:pStyle w:val="aa"/>
      </w:pPr>
      <w:r w:rsidRPr="002B55E9">
        <w:rPr>
          <w:rFonts w:ascii="宋体" w:cs="宋体" w:hint="eastAsia"/>
          <w:bCs/>
          <w:snapToGrid w:val="0"/>
        </w:rPr>
        <w:t>根据本次项目工程分析结合《环境影响评价技术导则  地下水环境》</w:t>
      </w:r>
      <w:r w:rsidRPr="002B55E9">
        <w:rPr>
          <w:bCs/>
          <w:snapToGrid w:val="0"/>
        </w:rPr>
        <w:t>（</w:t>
      </w:r>
      <w:r w:rsidRPr="002B55E9">
        <w:rPr>
          <w:bCs/>
          <w:snapToGrid w:val="0"/>
        </w:rPr>
        <w:t>HJ 610-2016</w:t>
      </w:r>
      <w:r w:rsidRPr="002B55E9">
        <w:rPr>
          <w:bCs/>
          <w:snapToGrid w:val="0"/>
        </w:rPr>
        <w:t>）、《危险废物贮存污染控制标准》（</w:t>
      </w:r>
      <w:r w:rsidRPr="002B55E9">
        <w:rPr>
          <w:bCs/>
          <w:snapToGrid w:val="0"/>
        </w:rPr>
        <w:t>GB18597-2001</w:t>
      </w:r>
      <w:r w:rsidRPr="002B55E9">
        <w:rPr>
          <w:bCs/>
          <w:snapToGrid w:val="0"/>
        </w:rPr>
        <w:t>）以及《石油化工工程防渗技术规范》（</w:t>
      </w:r>
      <w:r w:rsidRPr="002B55E9">
        <w:rPr>
          <w:bCs/>
          <w:snapToGrid w:val="0"/>
        </w:rPr>
        <w:t>GB/T50943-2013</w:t>
      </w:r>
      <w:r w:rsidRPr="002B55E9">
        <w:rPr>
          <w:bCs/>
          <w:snapToGrid w:val="0"/>
        </w:rPr>
        <w:t>）要求，拟</w:t>
      </w:r>
      <w:r w:rsidRPr="002B55E9">
        <w:rPr>
          <w:rFonts w:ascii="宋体" w:cs="宋体"/>
          <w:bCs/>
          <w:snapToGrid w:val="0"/>
        </w:rPr>
        <w:t>建</w:t>
      </w:r>
      <w:r w:rsidRPr="002B55E9">
        <w:rPr>
          <w:rFonts w:ascii="宋体" w:cs="宋体" w:hint="eastAsia"/>
          <w:bCs/>
          <w:snapToGrid w:val="0"/>
        </w:rPr>
        <w:t>项目罐区为重点污染防治分区</w:t>
      </w:r>
      <w:r w:rsidRPr="002B55E9">
        <w:rPr>
          <w:rFonts w:hint="eastAsia"/>
        </w:rPr>
        <w:t>：</w:t>
      </w:r>
    </w:p>
    <w:p w14:paraId="44A42D4C" w14:textId="77777777" w:rsidR="00D170E5" w:rsidRPr="002B55E9" w:rsidRDefault="00EF27AD">
      <w:pPr>
        <w:pStyle w:val="afffffffffffff3"/>
        <w:ind w:firstLine="482"/>
        <w:rPr>
          <w:rFonts w:eastAsia="黑体"/>
          <w:sz w:val="24"/>
        </w:rPr>
      </w:pPr>
      <w:r w:rsidRPr="002B55E9">
        <w:rPr>
          <w:rFonts w:eastAsia="黑体"/>
          <w:sz w:val="24"/>
        </w:rPr>
        <w:t>表</w:t>
      </w:r>
      <w:r w:rsidRPr="002B55E9">
        <w:rPr>
          <w:rFonts w:eastAsia="黑体"/>
          <w:sz w:val="24"/>
        </w:rPr>
        <w:t>7-6-1</w:t>
      </w:r>
      <w:r w:rsidRPr="002B55E9">
        <w:rPr>
          <w:rFonts w:eastAsia="黑体" w:hint="eastAsia"/>
          <w:sz w:val="24"/>
        </w:rPr>
        <w:t>地下水</w:t>
      </w:r>
      <w:r w:rsidRPr="002B55E9">
        <w:rPr>
          <w:rFonts w:eastAsia="黑体"/>
          <w:sz w:val="24"/>
        </w:rPr>
        <w:t>污染</w:t>
      </w:r>
      <w:r w:rsidRPr="002B55E9">
        <w:rPr>
          <w:rFonts w:eastAsia="黑体" w:hint="eastAsia"/>
          <w:sz w:val="24"/>
        </w:rPr>
        <w:t>防治</w:t>
      </w:r>
      <w:r w:rsidRPr="002B55E9">
        <w:rPr>
          <w:rFonts w:eastAsia="黑体"/>
          <w:sz w:val="24"/>
        </w:rPr>
        <w:t>分区表</w:t>
      </w:r>
    </w:p>
    <w:tbl>
      <w:tblPr>
        <w:tblStyle w:val="lgy2"/>
        <w:tblW w:w="5000" w:type="pct"/>
        <w:tblLayout w:type="fixed"/>
        <w:tblCellMar>
          <w:left w:w="28" w:type="dxa"/>
          <w:right w:w="28" w:type="dxa"/>
        </w:tblCellMar>
        <w:tblLook w:val="04A0" w:firstRow="1" w:lastRow="0" w:firstColumn="1" w:lastColumn="0" w:noHBand="0" w:noVBand="1"/>
      </w:tblPr>
      <w:tblGrid>
        <w:gridCol w:w="1187"/>
        <w:gridCol w:w="4946"/>
        <w:gridCol w:w="3560"/>
      </w:tblGrid>
      <w:tr w:rsidR="00C60999" w:rsidRPr="002B55E9" w14:paraId="5A2FC8B1"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1181" w:type="dxa"/>
          </w:tcPr>
          <w:p w14:paraId="696A9253" w14:textId="77777777" w:rsidR="00D170E5" w:rsidRPr="002B55E9" w:rsidRDefault="00EF27AD" w:rsidP="00712630">
            <w:pPr>
              <w:pStyle w:val="lgy-"/>
            </w:pPr>
            <w:r w:rsidRPr="002B55E9">
              <w:rPr>
                <w:rFonts w:eastAsia="宋体" w:hint="eastAsia"/>
              </w:rPr>
              <w:t>序</w:t>
            </w:r>
            <w:r w:rsidRPr="002B55E9">
              <w:rPr>
                <w:rFonts w:eastAsia="宋体" w:hint="eastAsia"/>
                <w:lang w:bidi="ar"/>
              </w:rPr>
              <w:t>号</w:t>
            </w:r>
          </w:p>
        </w:tc>
        <w:tc>
          <w:tcPr>
            <w:tcW w:w="4917" w:type="dxa"/>
          </w:tcPr>
          <w:p w14:paraId="387C7290" w14:textId="77777777" w:rsidR="00D170E5" w:rsidRPr="002B55E9" w:rsidRDefault="00EF27AD">
            <w:pPr>
              <w:pStyle w:val="lgy-"/>
            </w:pPr>
            <w:r w:rsidRPr="002B55E9">
              <w:rPr>
                <w:rFonts w:eastAsia="宋体" w:hint="eastAsia"/>
                <w:lang w:bidi="ar"/>
              </w:rPr>
              <w:t>名称</w:t>
            </w:r>
          </w:p>
        </w:tc>
        <w:tc>
          <w:tcPr>
            <w:tcW w:w="3539" w:type="dxa"/>
          </w:tcPr>
          <w:p w14:paraId="1943D42F" w14:textId="77777777" w:rsidR="00D170E5" w:rsidRPr="002B55E9" w:rsidRDefault="00EF27AD">
            <w:pPr>
              <w:pStyle w:val="lgy-"/>
              <w:rPr>
                <w:rFonts w:eastAsia="宋体"/>
              </w:rPr>
            </w:pPr>
            <w:r w:rsidRPr="002B55E9">
              <w:rPr>
                <w:rFonts w:eastAsia="宋体" w:hint="eastAsia"/>
                <w:lang w:bidi="ar"/>
              </w:rPr>
              <w:t>防治类别</w:t>
            </w:r>
          </w:p>
        </w:tc>
      </w:tr>
      <w:tr w:rsidR="00C60999" w:rsidRPr="002B55E9" w14:paraId="6840BAF0" w14:textId="77777777" w:rsidTr="00712630">
        <w:trPr>
          <w:trHeight w:val="283"/>
        </w:trPr>
        <w:tc>
          <w:tcPr>
            <w:tcW w:w="1181" w:type="dxa"/>
          </w:tcPr>
          <w:p w14:paraId="76332249" w14:textId="77777777" w:rsidR="00D170E5" w:rsidRPr="002B55E9" w:rsidRDefault="00EF27AD">
            <w:pPr>
              <w:pStyle w:val="lgy-"/>
            </w:pPr>
            <w:r w:rsidRPr="002B55E9">
              <w:rPr>
                <w:rFonts w:eastAsia="宋体" w:hint="eastAsia"/>
                <w:lang w:bidi="ar"/>
              </w:rPr>
              <w:t>1</w:t>
            </w:r>
          </w:p>
        </w:tc>
        <w:tc>
          <w:tcPr>
            <w:tcW w:w="4917" w:type="dxa"/>
          </w:tcPr>
          <w:p w14:paraId="22B7519E" w14:textId="77777777" w:rsidR="00D170E5" w:rsidRPr="002B55E9" w:rsidRDefault="00EF27AD">
            <w:pPr>
              <w:pStyle w:val="lgy-"/>
            </w:pPr>
            <w:r w:rsidRPr="002B55E9">
              <w:rPr>
                <w:rFonts w:eastAsia="宋体" w:hint="eastAsia"/>
              </w:rPr>
              <w:t>十一</w:t>
            </w:r>
            <w:r w:rsidRPr="002B55E9">
              <w:rPr>
                <w:rFonts w:eastAsia="宋体"/>
              </w:rPr>
              <w:t>车间</w:t>
            </w:r>
          </w:p>
        </w:tc>
        <w:tc>
          <w:tcPr>
            <w:tcW w:w="3539" w:type="dxa"/>
          </w:tcPr>
          <w:p w14:paraId="6DC2E10E" w14:textId="77777777" w:rsidR="00D170E5" w:rsidRPr="002B55E9" w:rsidRDefault="00EF27AD">
            <w:pPr>
              <w:pStyle w:val="lgy-"/>
              <w:rPr>
                <w:rFonts w:eastAsia="宋体"/>
              </w:rPr>
            </w:pPr>
            <w:r w:rsidRPr="002B55E9">
              <w:rPr>
                <w:rFonts w:eastAsia="宋体" w:hint="eastAsia"/>
              </w:rPr>
              <w:t>一般</w:t>
            </w:r>
            <w:r w:rsidRPr="002B55E9">
              <w:rPr>
                <w:rFonts w:eastAsia="宋体"/>
              </w:rPr>
              <w:t>防渗</w:t>
            </w:r>
          </w:p>
        </w:tc>
      </w:tr>
      <w:tr w:rsidR="00C60999" w:rsidRPr="002B55E9" w14:paraId="450095D6" w14:textId="77777777" w:rsidTr="00712630">
        <w:trPr>
          <w:trHeight w:val="283"/>
        </w:trPr>
        <w:tc>
          <w:tcPr>
            <w:tcW w:w="1181" w:type="dxa"/>
          </w:tcPr>
          <w:p w14:paraId="165075E9" w14:textId="77777777" w:rsidR="00D170E5" w:rsidRPr="002B55E9" w:rsidRDefault="00EF27AD">
            <w:pPr>
              <w:pStyle w:val="lgy-"/>
            </w:pPr>
            <w:r w:rsidRPr="002B55E9">
              <w:rPr>
                <w:rFonts w:eastAsia="宋体" w:hint="eastAsia"/>
                <w:lang w:bidi="ar"/>
              </w:rPr>
              <w:t>2</w:t>
            </w:r>
          </w:p>
        </w:tc>
        <w:tc>
          <w:tcPr>
            <w:tcW w:w="4917" w:type="dxa"/>
          </w:tcPr>
          <w:p w14:paraId="27C834A0" w14:textId="77777777" w:rsidR="00D170E5" w:rsidRPr="002B55E9" w:rsidRDefault="00EF27AD">
            <w:pPr>
              <w:pStyle w:val="lgy-"/>
            </w:pPr>
            <w:r w:rsidRPr="002B55E9">
              <w:rPr>
                <w:rFonts w:eastAsia="宋体" w:hint="eastAsia"/>
              </w:rPr>
              <w:t>十三</w:t>
            </w:r>
            <w:r w:rsidRPr="002B55E9">
              <w:rPr>
                <w:rFonts w:eastAsia="宋体"/>
              </w:rPr>
              <w:t>车间</w:t>
            </w:r>
          </w:p>
        </w:tc>
        <w:tc>
          <w:tcPr>
            <w:tcW w:w="3539" w:type="dxa"/>
          </w:tcPr>
          <w:p w14:paraId="4697B4D1" w14:textId="77777777" w:rsidR="00D170E5" w:rsidRPr="002B55E9" w:rsidRDefault="00EF27AD">
            <w:pPr>
              <w:pStyle w:val="lgy-"/>
              <w:rPr>
                <w:rFonts w:eastAsia="宋体"/>
              </w:rPr>
            </w:pPr>
            <w:r w:rsidRPr="002B55E9">
              <w:rPr>
                <w:rFonts w:eastAsia="宋体" w:hint="eastAsia"/>
              </w:rPr>
              <w:t>一般</w:t>
            </w:r>
            <w:r w:rsidRPr="002B55E9">
              <w:rPr>
                <w:rFonts w:eastAsia="宋体"/>
              </w:rPr>
              <w:t>防渗</w:t>
            </w:r>
          </w:p>
        </w:tc>
      </w:tr>
      <w:tr w:rsidR="00C60999" w:rsidRPr="002B55E9" w14:paraId="0305AE9B" w14:textId="77777777" w:rsidTr="00712630">
        <w:trPr>
          <w:trHeight w:val="283"/>
        </w:trPr>
        <w:tc>
          <w:tcPr>
            <w:tcW w:w="1181" w:type="dxa"/>
          </w:tcPr>
          <w:p w14:paraId="4280F966" w14:textId="77777777" w:rsidR="00D170E5" w:rsidRPr="002B55E9" w:rsidRDefault="00EF27AD">
            <w:pPr>
              <w:pStyle w:val="lgy-"/>
            </w:pPr>
            <w:r w:rsidRPr="002B55E9">
              <w:rPr>
                <w:rFonts w:eastAsia="宋体" w:hint="eastAsia"/>
                <w:lang w:bidi="ar"/>
              </w:rPr>
              <w:t>3</w:t>
            </w:r>
          </w:p>
        </w:tc>
        <w:tc>
          <w:tcPr>
            <w:tcW w:w="4917" w:type="dxa"/>
          </w:tcPr>
          <w:p w14:paraId="68ECA2E8" w14:textId="77777777" w:rsidR="00D170E5" w:rsidRPr="002B55E9" w:rsidRDefault="00EF27AD">
            <w:pPr>
              <w:pStyle w:val="lgy-"/>
            </w:pPr>
            <w:r w:rsidRPr="002B55E9">
              <w:rPr>
                <w:rFonts w:eastAsia="宋体" w:hint="eastAsia"/>
              </w:rPr>
              <w:t>罐区三</w:t>
            </w:r>
          </w:p>
        </w:tc>
        <w:tc>
          <w:tcPr>
            <w:tcW w:w="3539" w:type="dxa"/>
          </w:tcPr>
          <w:p w14:paraId="59328ADA" w14:textId="77777777" w:rsidR="00D170E5" w:rsidRPr="002B55E9" w:rsidRDefault="00EF27AD">
            <w:pPr>
              <w:pStyle w:val="lgy-"/>
              <w:rPr>
                <w:rFonts w:eastAsia="宋体"/>
              </w:rPr>
            </w:pPr>
            <w:r w:rsidRPr="002B55E9">
              <w:rPr>
                <w:rFonts w:eastAsia="宋体" w:hint="eastAsia"/>
              </w:rPr>
              <w:t>重点防渗</w:t>
            </w:r>
          </w:p>
        </w:tc>
      </w:tr>
      <w:tr w:rsidR="00C60999" w:rsidRPr="002B55E9" w14:paraId="3CAD60A3" w14:textId="77777777" w:rsidTr="00712630">
        <w:trPr>
          <w:trHeight w:val="283"/>
        </w:trPr>
        <w:tc>
          <w:tcPr>
            <w:tcW w:w="1181" w:type="dxa"/>
          </w:tcPr>
          <w:p w14:paraId="0C0828E2" w14:textId="77777777" w:rsidR="00D170E5" w:rsidRPr="002B55E9" w:rsidRDefault="00EF27AD">
            <w:pPr>
              <w:pStyle w:val="lgy-"/>
            </w:pPr>
            <w:r w:rsidRPr="002B55E9">
              <w:rPr>
                <w:rFonts w:eastAsia="宋体" w:hint="eastAsia"/>
                <w:lang w:bidi="ar"/>
              </w:rPr>
              <w:t>4</w:t>
            </w:r>
          </w:p>
        </w:tc>
        <w:tc>
          <w:tcPr>
            <w:tcW w:w="4917" w:type="dxa"/>
          </w:tcPr>
          <w:p w14:paraId="30151EE7" w14:textId="77777777" w:rsidR="00D170E5" w:rsidRPr="002B55E9" w:rsidRDefault="00EF27AD">
            <w:pPr>
              <w:pStyle w:val="lgy-"/>
            </w:pPr>
            <w:r w:rsidRPr="002B55E9">
              <w:rPr>
                <w:rFonts w:eastAsia="宋体" w:hint="eastAsia"/>
              </w:rPr>
              <w:t>酒精</w:t>
            </w:r>
            <w:r w:rsidRPr="002B55E9">
              <w:rPr>
                <w:rFonts w:eastAsia="宋体"/>
              </w:rPr>
              <w:t>罐区</w:t>
            </w:r>
          </w:p>
        </w:tc>
        <w:tc>
          <w:tcPr>
            <w:tcW w:w="3539" w:type="dxa"/>
          </w:tcPr>
          <w:p w14:paraId="354F4240" w14:textId="77777777" w:rsidR="00D170E5" w:rsidRPr="002B55E9" w:rsidRDefault="00EF27AD">
            <w:pPr>
              <w:pStyle w:val="lgy-"/>
              <w:rPr>
                <w:rFonts w:eastAsia="宋体"/>
              </w:rPr>
            </w:pPr>
            <w:r w:rsidRPr="002B55E9">
              <w:rPr>
                <w:rFonts w:eastAsia="宋体" w:hint="eastAsia"/>
              </w:rPr>
              <w:t>重点防渗</w:t>
            </w:r>
          </w:p>
        </w:tc>
      </w:tr>
      <w:tr w:rsidR="00C60999" w:rsidRPr="002B55E9" w14:paraId="20DCD673" w14:textId="77777777" w:rsidTr="00712630">
        <w:trPr>
          <w:trHeight w:val="283"/>
        </w:trPr>
        <w:tc>
          <w:tcPr>
            <w:tcW w:w="1181" w:type="dxa"/>
          </w:tcPr>
          <w:p w14:paraId="62612511" w14:textId="77777777" w:rsidR="00D170E5" w:rsidRPr="002B55E9" w:rsidRDefault="00EF27AD">
            <w:pPr>
              <w:pStyle w:val="lgy-"/>
              <w:rPr>
                <w:lang w:bidi="ar"/>
              </w:rPr>
            </w:pPr>
            <w:r w:rsidRPr="002B55E9">
              <w:rPr>
                <w:rFonts w:eastAsia="宋体" w:hint="eastAsia"/>
                <w:lang w:bidi="ar"/>
              </w:rPr>
              <w:t>5</w:t>
            </w:r>
          </w:p>
        </w:tc>
        <w:tc>
          <w:tcPr>
            <w:tcW w:w="4917" w:type="dxa"/>
          </w:tcPr>
          <w:p w14:paraId="43D7E939" w14:textId="77777777" w:rsidR="00D170E5" w:rsidRPr="002B55E9" w:rsidRDefault="00EF27AD">
            <w:pPr>
              <w:pStyle w:val="lgy-"/>
            </w:pPr>
            <w:r w:rsidRPr="002B55E9">
              <w:rPr>
                <w:rFonts w:eastAsia="宋体" w:hint="eastAsia"/>
              </w:rPr>
              <w:t>危废暂存间</w:t>
            </w:r>
          </w:p>
        </w:tc>
        <w:tc>
          <w:tcPr>
            <w:tcW w:w="3539" w:type="dxa"/>
          </w:tcPr>
          <w:p w14:paraId="4D1B06B3" w14:textId="77777777" w:rsidR="00D170E5" w:rsidRPr="002B55E9" w:rsidRDefault="00EF27AD">
            <w:pPr>
              <w:pStyle w:val="lgy-"/>
              <w:rPr>
                <w:rFonts w:eastAsia="宋体"/>
              </w:rPr>
            </w:pPr>
            <w:r w:rsidRPr="002B55E9">
              <w:rPr>
                <w:rFonts w:eastAsia="宋体" w:hint="eastAsia"/>
              </w:rPr>
              <w:t>重点防渗</w:t>
            </w:r>
          </w:p>
        </w:tc>
      </w:tr>
    </w:tbl>
    <w:p w14:paraId="531BAFF3" w14:textId="77777777" w:rsidR="00D170E5" w:rsidRPr="002B55E9" w:rsidRDefault="00EF27AD">
      <w:pPr>
        <w:pStyle w:val="4"/>
        <w:rPr>
          <w:color w:val="auto"/>
        </w:rPr>
      </w:pPr>
      <w:r w:rsidRPr="002B55E9">
        <w:rPr>
          <w:rFonts w:hint="eastAsia"/>
          <w:color w:val="auto"/>
        </w:rPr>
        <w:t>防渗</w:t>
      </w:r>
      <w:r w:rsidRPr="002B55E9">
        <w:rPr>
          <w:color w:val="auto"/>
        </w:rPr>
        <w:t>技术</w:t>
      </w:r>
      <w:r w:rsidRPr="002B55E9">
        <w:rPr>
          <w:rFonts w:hint="eastAsia"/>
          <w:color w:val="auto"/>
        </w:rPr>
        <w:t>要求</w:t>
      </w:r>
    </w:p>
    <w:p w14:paraId="6839E3A1" w14:textId="77777777" w:rsidR="00D170E5" w:rsidRPr="002B55E9" w:rsidRDefault="00EF27AD">
      <w:pPr>
        <w:spacing w:after="60" w:line="360" w:lineRule="auto"/>
        <w:ind w:firstLineChars="200" w:firstLine="480"/>
        <w:rPr>
          <w:sz w:val="24"/>
        </w:rPr>
      </w:pPr>
      <w:r w:rsidRPr="002B55E9">
        <w:rPr>
          <w:sz w:val="24"/>
        </w:rPr>
        <w:t>（</w:t>
      </w:r>
      <w:r w:rsidRPr="002B55E9">
        <w:rPr>
          <w:sz w:val="24"/>
        </w:rPr>
        <w:t>1</w:t>
      </w:r>
      <w:r w:rsidRPr="002B55E9">
        <w:rPr>
          <w:sz w:val="24"/>
        </w:rPr>
        <w:t>）防渗层的性能要求</w:t>
      </w:r>
    </w:p>
    <w:p w14:paraId="0FDE75FA" w14:textId="77777777" w:rsidR="00D170E5" w:rsidRPr="002B55E9" w:rsidRDefault="00EF27AD">
      <w:pPr>
        <w:spacing w:after="60" w:line="360" w:lineRule="auto"/>
        <w:ind w:firstLineChars="200" w:firstLine="480"/>
        <w:rPr>
          <w:sz w:val="24"/>
        </w:rPr>
      </w:pPr>
      <w:r w:rsidRPr="002B55E9">
        <w:rPr>
          <w:sz w:val="24"/>
        </w:rPr>
        <w:t>根据不同污染防治分区的防渗要求，采用相应的防渗设计方案。</w:t>
      </w:r>
    </w:p>
    <w:p w14:paraId="6460AD2B" w14:textId="77777777" w:rsidR="00D170E5" w:rsidRPr="002B55E9" w:rsidRDefault="00EF27AD">
      <w:pPr>
        <w:spacing w:after="60" w:line="360" w:lineRule="auto"/>
        <w:ind w:firstLineChars="200" w:firstLine="480"/>
        <w:rPr>
          <w:sz w:val="24"/>
        </w:rPr>
      </w:pPr>
      <w:r w:rsidRPr="002B55E9">
        <w:rPr>
          <w:sz w:val="24"/>
        </w:rPr>
        <w:lastRenderedPageBreak/>
        <w:t>一般污染防治区防渗层的防渗性能等效黏土防渗层</w:t>
      </w:r>
      <w:r w:rsidRPr="002B55E9">
        <w:rPr>
          <w:sz w:val="24"/>
        </w:rPr>
        <w:t>Mb≥1.5m</w:t>
      </w:r>
      <w:r w:rsidRPr="002B55E9">
        <w:rPr>
          <w:sz w:val="24"/>
        </w:rPr>
        <w:t>，</w:t>
      </w:r>
      <w:r w:rsidRPr="002B55E9">
        <w:rPr>
          <w:sz w:val="24"/>
        </w:rPr>
        <w:t>K≤1×10</w:t>
      </w:r>
      <w:r w:rsidRPr="002B55E9">
        <w:rPr>
          <w:sz w:val="24"/>
          <w:vertAlign w:val="superscript"/>
        </w:rPr>
        <w:t>-7</w:t>
      </w:r>
      <w:r w:rsidRPr="002B55E9">
        <w:rPr>
          <w:sz w:val="24"/>
        </w:rPr>
        <w:t>cm/s</w:t>
      </w:r>
      <w:r w:rsidRPr="002B55E9">
        <w:rPr>
          <w:sz w:val="24"/>
        </w:rPr>
        <w:t>；重点污染防治区防渗层的防渗性能等效黏土防渗层</w:t>
      </w:r>
      <w:r w:rsidRPr="002B55E9">
        <w:rPr>
          <w:sz w:val="24"/>
        </w:rPr>
        <w:t>Mb≥6.0m</w:t>
      </w:r>
      <w:r w:rsidRPr="002B55E9">
        <w:rPr>
          <w:sz w:val="24"/>
        </w:rPr>
        <w:t>，</w:t>
      </w:r>
      <w:r w:rsidRPr="002B55E9">
        <w:rPr>
          <w:sz w:val="24"/>
        </w:rPr>
        <w:t>K≤1×10</w:t>
      </w:r>
      <w:r w:rsidRPr="002B55E9">
        <w:rPr>
          <w:sz w:val="24"/>
          <w:vertAlign w:val="superscript"/>
        </w:rPr>
        <w:t>-7</w:t>
      </w:r>
      <w:r w:rsidRPr="002B55E9">
        <w:rPr>
          <w:sz w:val="24"/>
        </w:rPr>
        <w:t>cm/s</w:t>
      </w:r>
      <w:r w:rsidRPr="002B55E9">
        <w:rPr>
          <w:sz w:val="24"/>
        </w:rPr>
        <w:t>。</w:t>
      </w:r>
    </w:p>
    <w:p w14:paraId="6BE0310C" w14:textId="77777777" w:rsidR="00D170E5" w:rsidRPr="002B55E9" w:rsidRDefault="00EF27AD">
      <w:pPr>
        <w:spacing w:after="60" w:line="360" w:lineRule="auto"/>
        <w:ind w:firstLineChars="200" w:firstLine="480"/>
        <w:rPr>
          <w:sz w:val="24"/>
        </w:rPr>
      </w:pPr>
      <w:r w:rsidRPr="002B55E9">
        <w:rPr>
          <w:sz w:val="24"/>
        </w:rPr>
        <w:t>（</w:t>
      </w:r>
      <w:r w:rsidRPr="002B55E9">
        <w:rPr>
          <w:sz w:val="24"/>
        </w:rPr>
        <w:t>2</w:t>
      </w:r>
      <w:r w:rsidRPr="002B55E9">
        <w:rPr>
          <w:sz w:val="24"/>
        </w:rPr>
        <w:t>）防渗层的寿命要求</w:t>
      </w:r>
    </w:p>
    <w:p w14:paraId="12C67ED1" w14:textId="77777777" w:rsidR="00D170E5" w:rsidRPr="002B55E9" w:rsidRDefault="00EF27AD">
      <w:pPr>
        <w:spacing w:after="60" w:line="360" w:lineRule="auto"/>
        <w:ind w:firstLineChars="200" w:firstLine="480"/>
        <w:rPr>
          <w:sz w:val="24"/>
        </w:rPr>
      </w:pPr>
      <w:r w:rsidRPr="002B55E9">
        <w:rPr>
          <w:sz w:val="24"/>
        </w:rPr>
        <w:t>项目防渗工程的设计使用年限应不低于其防护主体（如设备、管道及建、构筑物）的设计使用年限；正常条件下，设计年限内的防渗工程不应对地下水环境造成污染。</w:t>
      </w:r>
    </w:p>
    <w:p w14:paraId="63FBC94D" w14:textId="77777777" w:rsidR="00D170E5" w:rsidRPr="002B55E9" w:rsidRDefault="00EF27AD">
      <w:pPr>
        <w:spacing w:after="60" w:line="360" w:lineRule="auto"/>
        <w:ind w:firstLineChars="200" w:firstLine="480"/>
        <w:rPr>
          <w:sz w:val="24"/>
        </w:rPr>
      </w:pPr>
      <w:r w:rsidRPr="002B55E9">
        <w:rPr>
          <w:sz w:val="24"/>
        </w:rPr>
        <w:t>根据化工企业的调研，企业内各生产功能单元的设计寿命是不同的，如储罐约</w:t>
      </w:r>
      <w:r w:rsidRPr="002B55E9">
        <w:rPr>
          <w:sz w:val="24"/>
        </w:rPr>
        <w:t>15</w:t>
      </w:r>
      <w:r w:rsidRPr="002B55E9">
        <w:rPr>
          <w:sz w:val="24"/>
        </w:rPr>
        <w:t>年，地下管道约</w:t>
      </w:r>
      <w:r w:rsidRPr="002B55E9">
        <w:rPr>
          <w:sz w:val="24"/>
        </w:rPr>
        <w:t>20</w:t>
      </w:r>
      <w:r w:rsidRPr="002B55E9">
        <w:rPr>
          <w:sz w:val="24"/>
        </w:rPr>
        <w:t>年，建、构筑物的设计使用年限为</w:t>
      </w:r>
      <w:r w:rsidRPr="002B55E9">
        <w:rPr>
          <w:sz w:val="24"/>
        </w:rPr>
        <w:t>50</w:t>
      </w:r>
      <w:r w:rsidRPr="002B55E9">
        <w:rPr>
          <w:sz w:val="24"/>
        </w:rPr>
        <w:t>年。</w:t>
      </w:r>
    </w:p>
    <w:p w14:paraId="4D6683B6" w14:textId="77777777" w:rsidR="00D170E5" w:rsidRPr="002B55E9" w:rsidRDefault="00EF27AD">
      <w:pPr>
        <w:pStyle w:val="4"/>
        <w:rPr>
          <w:color w:val="auto"/>
        </w:rPr>
      </w:pPr>
      <w:r w:rsidRPr="002B55E9">
        <w:rPr>
          <w:rFonts w:hint="eastAsia"/>
          <w:color w:val="auto"/>
        </w:rPr>
        <w:t>防渗</w:t>
      </w:r>
      <w:r w:rsidRPr="002B55E9">
        <w:rPr>
          <w:color w:val="auto"/>
        </w:rPr>
        <w:t>技术</w:t>
      </w:r>
    </w:p>
    <w:p w14:paraId="70D7B6CE" w14:textId="77777777" w:rsidR="00D170E5" w:rsidRPr="002B55E9" w:rsidRDefault="00EF27AD">
      <w:pPr>
        <w:pStyle w:val="5"/>
      </w:pPr>
      <w:r w:rsidRPr="002B55E9">
        <w:rPr>
          <w:rFonts w:hint="eastAsia"/>
        </w:rPr>
        <w:t>地面</w:t>
      </w:r>
      <w:r w:rsidRPr="002B55E9">
        <w:t>防渗设计</w:t>
      </w:r>
    </w:p>
    <w:p w14:paraId="1E8CE6F0" w14:textId="77777777" w:rsidR="00D170E5" w:rsidRPr="002B55E9" w:rsidRDefault="00EF27AD">
      <w:pPr>
        <w:spacing w:after="60" w:line="360" w:lineRule="auto"/>
        <w:ind w:firstLineChars="200" w:firstLine="480"/>
        <w:rPr>
          <w:sz w:val="24"/>
          <w:lang w:bidi="ne-NP"/>
        </w:rPr>
      </w:pPr>
      <w:r w:rsidRPr="002B55E9">
        <w:rPr>
          <w:rFonts w:hint="eastAsia"/>
          <w:sz w:val="24"/>
          <w:lang w:bidi="ne-NP"/>
        </w:rPr>
        <w:t>一般污染防治区地面防渗采用的抗渗钢纤维混凝土，强度等级不低于</w:t>
      </w:r>
      <w:r w:rsidRPr="002B55E9">
        <w:rPr>
          <w:rFonts w:hint="eastAsia"/>
          <w:sz w:val="24"/>
          <w:lang w:bidi="ne-NP"/>
        </w:rPr>
        <w:t>C25</w:t>
      </w:r>
      <w:r w:rsidRPr="002B55E9">
        <w:rPr>
          <w:rFonts w:hint="eastAsia"/>
          <w:sz w:val="24"/>
          <w:lang w:bidi="ne-NP"/>
        </w:rPr>
        <w:t>，抗渗等级不低于</w:t>
      </w:r>
      <w:r w:rsidRPr="002B55E9">
        <w:rPr>
          <w:rFonts w:hint="eastAsia"/>
          <w:sz w:val="24"/>
          <w:lang w:bidi="ne-NP"/>
        </w:rPr>
        <w:t>P6</w:t>
      </w:r>
      <w:r w:rsidRPr="002B55E9">
        <w:rPr>
          <w:rFonts w:hint="eastAsia"/>
          <w:sz w:val="24"/>
          <w:lang w:bidi="ne-NP"/>
        </w:rPr>
        <w:t>，其厚度不小于</w:t>
      </w:r>
      <w:r w:rsidRPr="002B55E9">
        <w:rPr>
          <w:rFonts w:hint="eastAsia"/>
          <w:sz w:val="24"/>
          <w:lang w:bidi="ne-NP"/>
        </w:rPr>
        <w:t>100mm</w:t>
      </w:r>
      <w:r w:rsidRPr="002B55E9">
        <w:rPr>
          <w:rFonts w:hint="eastAsia"/>
          <w:sz w:val="24"/>
          <w:lang w:bidi="ne-NP"/>
        </w:rPr>
        <w:t>。</w:t>
      </w:r>
    </w:p>
    <w:p w14:paraId="1E844075" w14:textId="77777777" w:rsidR="00D170E5" w:rsidRPr="002B55E9" w:rsidRDefault="00EF27AD">
      <w:pPr>
        <w:spacing w:after="60" w:line="360" w:lineRule="auto"/>
        <w:ind w:firstLineChars="200" w:firstLine="480"/>
        <w:rPr>
          <w:sz w:val="24"/>
          <w:lang w:bidi="ne-NP"/>
        </w:rPr>
      </w:pPr>
      <w:r w:rsidRPr="002B55E9">
        <w:rPr>
          <w:rFonts w:hint="eastAsia"/>
          <w:sz w:val="24"/>
          <w:lang w:bidi="ne-NP"/>
        </w:rPr>
        <w:t>承台式罐基础的承台及承台以上环墙采用抗渗等级不低于</w:t>
      </w:r>
      <w:r w:rsidRPr="002B55E9">
        <w:rPr>
          <w:rFonts w:hint="eastAsia"/>
          <w:sz w:val="24"/>
          <w:lang w:bidi="ne-NP"/>
        </w:rPr>
        <w:t>P6</w:t>
      </w:r>
      <w:r w:rsidRPr="002B55E9">
        <w:rPr>
          <w:rFonts w:hint="eastAsia"/>
          <w:sz w:val="24"/>
          <w:lang w:bidi="ne-NP"/>
        </w:rPr>
        <w:t>的抗渗混凝土，承台及承台以上环墙内表面刷聚合物防水涂料；承台顶面应找坡，由中心坡向四周坡度不宜小于</w:t>
      </w:r>
      <w:r w:rsidRPr="002B55E9">
        <w:rPr>
          <w:rFonts w:hint="eastAsia"/>
          <w:sz w:val="24"/>
          <w:lang w:bidi="ne-NP"/>
        </w:rPr>
        <w:t>0.3%</w:t>
      </w:r>
      <w:r w:rsidRPr="002B55E9">
        <w:rPr>
          <w:rFonts w:hint="eastAsia"/>
          <w:sz w:val="24"/>
          <w:lang w:bidi="ne-NP"/>
        </w:rPr>
        <w:t>。</w:t>
      </w:r>
    </w:p>
    <w:p w14:paraId="52A995FB" w14:textId="77777777" w:rsidR="00D170E5" w:rsidRPr="002B55E9" w:rsidRDefault="00EF27AD">
      <w:pPr>
        <w:spacing w:after="60" w:line="360" w:lineRule="auto"/>
        <w:ind w:firstLineChars="200" w:firstLine="480"/>
        <w:rPr>
          <w:sz w:val="24"/>
          <w:lang w:bidi="ne-NP"/>
        </w:rPr>
      </w:pPr>
      <w:r w:rsidRPr="002B55E9">
        <w:rPr>
          <w:rFonts w:hint="eastAsia"/>
          <w:sz w:val="24"/>
          <w:lang w:bidi="ne-NP"/>
        </w:rPr>
        <w:t>检漏井平面尺寸</w:t>
      </w:r>
      <w:r w:rsidRPr="002B55E9">
        <w:rPr>
          <w:rFonts w:hint="eastAsia"/>
          <w:sz w:val="24"/>
          <w:lang w:bidi="ne-NP"/>
        </w:rPr>
        <w:t>500mm</w:t>
      </w:r>
      <w:r w:rsidRPr="002B55E9">
        <w:rPr>
          <w:rFonts w:hint="eastAsia"/>
          <w:sz w:val="24"/>
          <w:lang w:bidi="ne-NP"/>
        </w:rPr>
        <w:t>×</w:t>
      </w:r>
      <w:r w:rsidRPr="002B55E9">
        <w:rPr>
          <w:rFonts w:hint="eastAsia"/>
          <w:sz w:val="24"/>
          <w:lang w:bidi="ne-NP"/>
        </w:rPr>
        <w:t>500mm</w:t>
      </w:r>
      <w:r w:rsidRPr="002B55E9">
        <w:rPr>
          <w:rFonts w:hint="eastAsia"/>
          <w:sz w:val="24"/>
          <w:lang w:bidi="ne-NP"/>
        </w:rPr>
        <w:t>，厚度不小于</w:t>
      </w:r>
      <w:r w:rsidRPr="002B55E9">
        <w:rPr>
          <w:rFonts w:hint="eastAsia"/>
          <w:sz w:val="24"/>
          <w:lang w:bidi="ne-NP"/>
        </w:rPr>
        <w:t>100mm</w:t>
      </w:r>
      <w:r w:rsidRPr="002B55E9">
        <w:rPr>
          <w:rFonts w:hint="eastAsia"/>
          <w:sz w:val="24"/>
          <w:lang w:bidi="ne-NP"/>
        </w:rPr>
        <w:t>，高出地面</w:t>
      </w:r>
      <w:r w:rsidRPr="002B55E9">
        <w:rPr>
          <w:rFonts w:hint="eastAsia"/>
          <w:sz w:val="24"/>
          <w:lang w:bidi="ne-NP"/>
        </w:rPr>
        <w:t>200mm</w:t>
      </w:r>
      <w:r w:rsidRPr="002B55E9">
        <w:rPr>
          <w:rFonts w:hint="eastAsia"/>
          <w:sz w:val="24"/>
          <w:lang w:bidi="ne-NP"/>
        </w:rPr>
        <w:t>，井底应低于泄漏管</w:t>
      </w:r>
      <w:r w:rsidRPr="002B55E9">
        <w:rPr>
          <w:rFonts w:hint="eastAsia"/>
          <w:sz w:val="24"/>
          <w:lang w:bidi="ne-NP"/>
        </w:rPr>
        <w:t>300mm</w:t>
      </w:r>
      <w:r w:rsidRPr="002B55E9">
        <w:rPr>
          <w:rFonts w:hint="eastAsia"/>
          <w:sz w:val="24"/>
          <w:lang w:bidi="ne-NP"/>
        </w:rPr>
        <w:t>。检漏井建议采用抗渗混凝土，强度等级不低于</w:t>
      </w:r>
      <w:r w:rsidRPr="002B55E9">
        <w:rPr>
          <w:rFonts w:hint="eastAsia"/>
          <w:sz w:val="24"/>
          <w:lang w:bidi="ne-NP"/>
        </w:rPr>
        <w:t>C30</w:t>
      </w:r>
      <w:r w:rsidRPr="002B55E9">
        <w:rPr>
          <w:rFonts w:hint="eastAsia"/>
          <w:sz w:val="24"/>
          <w:lang w:bidi="ne-NP"/>
        </w:rPr>
        <w:t>，抗渗等级不低于</w:t>
      </w:r>
      <w:r w:rsidRPr="002B55E9">
        <w:rPr>
          <w:rFonts w:hint="eastAsia"/>
          <w:sz w:val="24"/>
          <w:lang w:bidi="ne-NP"/>
        </w:rPr>
        <w:t>P8</w:t>
      </w:r>
      <w:r w:rsidRPr="002B55E9">
        <w:rPr>
          <w:rFonts w:hint="eastAsia"/>
          <w:sz w:val="24"/>
          <w:lang w:bidi="ne-NP"/>
        </w:rPr>
        <w:t>。</w:t>
      </w:r>
    </w:p>
    <w:p w14:paraId="4EEB90FB" w14:textId="77777777" w:rsidR="00D170E5" w:rsidRPr="002B55E9" w:rsidRDefault="00EF27AD">
      <w:pPr>
        <w:pStyle w:val="5"/>
      </w:pPr>
      <w:r w:rsidRPr="002B55E9">
        <w:rPr>
          <w:rFonts w:hint="eastAsia"/>
        </w:rPr>
        <w:t>水池</w:t>
      </w:r>
      <w:r w:rsidRPr="002B55E9">
        <w:t>防渗设计</w:t>
      </w:r>
    </w:p>
    <w:p w14:paraId="3E25BC02" w14:textId="77777777" w:rsidR="00D170E5" w:rsidRPr="002B55E9" w:rsidRDefault="00EF27AD">
      <w:pPr>
        <w:spacing w:after="60" w:line="360" w:lineRule="auto"/>
        <w:ind w:firstLineChars="200" w:firstLine="480"/>
        <w:rPr>
          <w:sz w:val="24"/>
          <w:lang w:bidi="ne-NP"/>
        </w:rPr>
      </w:pPr>
      <w:r w:rsidRPr="002B55E9">
        <w:rPr>
          <w:rFonts w:hint="eastAsia"/>
          <w:sz w:val="24"/>
          <w:lang w:bidi="ne-NP"/>
        </w:rPr>
        <w:t>一般污染防治区的水池的混凝土强度等级不低于</w:t>
      </w:r>
      <w:r w:rsidRPr="002B55E9">
        <w:rPr>
          <w:rFonts w:hint="eastAsia"/>
          <w:sz w:val="24"/>
          <w:lang w:bidi="ne-NP"/>
        </w:rPr>
        <w:t>C30</w:t>
      </w:r>
      <w:r w:rsidRPr="002B55E9">
        <w:rPr>
          <w:rFonts w:hint="eastAsia"/>
          <w:sz w:val="24"/>
          <w:lang w:bidi="ne-NP"/>
        </w:rPr>
        <w:t>，抗渗等级不低于</w:t>
      </w:r>
      <w:r w:rsidRPr="002B55E9">
        <w:rPr>
          <w:rFonts w:hint="eastAsia"/>
          <w:sz w:val="24"/>
          <w:lang w:bidi="ne-NP"/>
        </w:rPr>
        <w:t>P8</w:t>
      </w:r>
      <w:r w:rsidRPr="002B55E9">
        <w:rPr>
          <w:rFonts w:hint="eastAsia"/>
          <w:sz w:val="24"/>
          <w:lang w:bidi="ne-NP"/>
        </w:rPr>
        <w:t>，结构厚度不小于</w:t>
      </w:r>
      <w:r w:rsidRPr="002B55E9">
        <w:rPr>
          <w:rFonts w:hint="eastAsia"/>
          <w:sz w:val="24"/>
          <w:lang w:bidi="ne-NP"/>
        </w:rPr>
        <w:t>250mm</w:t>
      </w:r>
      <w:r w:rsidRPr="002B55E9">
        <w:rPr>
          <w:rFonts w:hint="eastAsia"/>
          <w:sz w:val="24"/>
          <w:lang w:bidi="ne-NP"/>
        </w:rPr>
        <w:t>。</w:t>
      </w:r>
    </w:p>
    <w:p w14:paraId="48AA75DD" w14:textId="77777777" w:rsidR="00D170E5" w:rsidRPr="002B55E9" w:rsidRDefault="00EF27AD">
      <w:pPr>
        <w:spacing w:after="60" w:line="360" w:lineRule="auto"/>
        <w:ind w:firstLineChars="200" w:firstLine="480"/>
        <w:rPr>
          <w:sz w:val="24"/>
          <w:lang w:bidi="ne-NP"/>
        </w:rPr>
      </w:pPr>
      <w:r w:rsidRPr="002B55E9">
        <w:rPr>
          <w:rFonts w:hint="eastAsia"/>
          <w:sz w:val="24"/>
          <w:lang w:bidi="ne-NP"/>
        </w:rPr>
        <w:t>重点污染防治区水池的混凝土强度等级不低于</w:t>
      </w:r>
      <w:r w:rsidRPr="002B55E9">
        <w:rPr>
          <w:rFonts w:hint="eastAsia"/>
          <w:sz w:val="24"/>
          <w:lang w:bidi="ne-NP"/>
        </w:rPr>
        <w:t>C30</w:t>
      </w:r>
      <w:r w:rsidRPr="002B55E9">
        <w:rPr>
          <w:rFonts w:hint="eastAsia"/>
          <w:sz w:val="24"/>
          <w:lang w:bidi="ne-NP"/>
        </w:rPr>
        <w:t>，抗渗等级不低于</w:t>
      </w:r>
      <w:r w:rsidRPr="002B55E9">
        <w:rPr>
          <w:rFonts w:hint="eastAsia"/>
          <w:sz w:val="24"/>
          <w:lang w:bidi="ne-NP"/>
        </w:rPr>
        <w:t>P8</w:t>
      </w:r>
      <w:r w:rsidRPr="002B55E9">
        <w:rPr>
          <w:rFonts w:hint="eastAsia"/>
          <w:sz w:val="24"/>
          <w:lang w:bidi="ne-NP"/>
        </w:rPr>
        <w:t>，且水池内表面涂刷水泥基渗透结晶型或喷涂聚脲等防水涂料（渗透系数不大于</w:t>
      </w:r>
      <w:r w:rsidRPr="002B55E9">
        <w:rPr>
          <w:rFonts w:hint="eastAsia"/>
          <w:sz w:val="24"/>
          <w:lang w:bidi="ne-NP"/>
        </w:rPr>
        <w:t>1.0</w:t>
      </w:r>
      <w:r w:rsidRPr="002B55E9">
        <w:rPr>
          <w:rFonts w:hint="eastAsia"/>
          <w:sz w:val="24"/>
          <w:lang w:bidi="ne-NP"/>
        </w:rPr>
        <w:t>×</w:t>
      </w:r>
      <w:r w:rsidRPr="002B55E9">
        <w:rPr>
          <w:rFonts w:hint="eastAsia"/>
          <w:sz w:val="24"/>
          <w:lang w:bidi="ne-NP"/>
        </w:rPr>
        <w:t>10</w:t>
      </w:r>
      <w:r w:rsidRPr="002B55E9">
        <w:rPr>
          <w:rFonts w:hint="eastAsia"/>
          <w:sz w:val="24"/>
          <w:vertAlign w:val="superscript"/>
          <w:lang w:bidi="ne-NP"/>
        </w:rPr>
        <w:t>-12</w:t>
      </w:r>
      <w:r w:rsidRPr="002B55E9">
        <w:rPr>
          <w:rFonts w:hint="eastAsia"/>
          <w:sz w:val="24"/>
          <w:lang w:bidi="ne-NP"/>
        </w:rPr>
        <w:t>cm/s</w:t>
      </w:r>
      <w:r w:rsidRPr="002B55E9">
        <w:rPr>
          <w:rFonts w:hint="eastAsia"/>
          <w:sz w:val="24"/>
          <w:lang w:bidi="ne-NP"/>
        </w:rPr>
        <w:t>），结构厚度不小于</w:t>
      </w:r>
      <w:r w:rsidRPr="002B55E9">
        <w:rPr>
          <w:rFonts w:hint="eastAsia"/>
          <w:sz w:val="24"/>
          <w:lang w:bidi="ne-NP"/>
        </w:rPr>
        <w:t>300mm</w:t>
      </w:r>
      <w:r w:rsidRPr="002B55E9">
        <w:rPr>
          <w:rFonts w:hint="eastAsia"/>
          <w:sz w:val="24"/>
          <w:lang w:bidi="ne-NP"/>
        </w:rPr>
        <w:t>。</w:t>
      </w:r>
    </w:p>
    <w:p w14:paraId="4E7870A8" w14:textId="77777777" w:rsidR="00D170E5" w:rsidRPr="002B55E9" w:rsidRDefault="00EF27AD">
      <w:pPr>
        <w:pStyle w:val="4"/>
        <w:rPr>
          <w:color w:val="auto"/>
        </w:rPr>
      </w:pPr>
      <w:r w:rsidRPr="002B55E9">
        <w:rPr>
          <w:rFonts w:hint="eastAsia"/>
          <w:color w:val="auto"/>
        </w:rPr>
        <w:t>应急响应</w:t>
      </w:r>
    </w:p>
    <w:p w14:paraId="7D86C0E8" w14:textId="77777777" w:rsidR="00D170E5" w:rsidRPr="002B55E9" w:rsidRDefault="00EF27AD">
      <w:pPr>
        <w:pStyle w:val="aa"/>
      </w:pPr>
      <w:r w:rsidRPr="002B55E9">
        <w:rPr>
          <w:rFonts w:ascii="宋体" w:cs="宋体" w:hint="eastAsia"/>
        </w:rPr>
        <w:t>若发生污染事故，应第一时间阻断污染源，防止污染物进一步扩散到地下水中。并及时组织人员进行污染影响程度评估，开展污染修复工作，使其对水土环境影响降到最小。</w:t>
      </w:r>
    </w:p>
    <w:p w14:paraId="35A3895B" w14:textId="77777777" w:rsidR="00D170E5" w:rsidRPr="002B55E9" w:rsidRDefault="00EF27AD">
      <w:pPr>
        <w:pStyle w:val="aa"/>
      </w:pPr>
      <w:r w:rsidRPr="002B55E9">
        <w:rPr>
          <w:rFonts w:ascii="宋体" w:cs="宋体" w:hint="eastAsia"/>
        </w:rPr>
        <w:t>一旦发现地下水发生异常情况，必须采取应急措施：①当确定发生地下水异常情况时，按照制订的地下水应急预案，在第一时间内尽快上报公司主管领导，并通知生态环境主管部门，密切关注地下水水质变化情况。②组织专业队伍对事故现场进行调查、监测，查找环境事故发生地点、分析事故原因，尽快修补漏洞，尽量将紧急事件局部化，如可能应予以消除，</w:t>
      </w:r>
      <w:r w:rsidRPr="002B55E9">
        <w:rPr>
          <w:rFonts w:ascii="宋体" w:cs="宋体" w:hint="eastAsia"/>
        </w:rPr>
        <w:lastRenderedPageBreak/>
        <w:t>采取包括切断生产装置或设施等措施，防止事故的扩散、蔓延及连锁反应，尽量减小地下水污染事故对人和财产的影响。③对事故后果进行评估，并制定防止类似事件发生的措施。</w:t>
      </w:r>
    </w:p>
    <w:p w14:paraId="5DD93250" w14:textId="77777777" w:rsidR="00D170E5" w:rsidRPr="002B55E9" w:rsidRDefault="00EF27AD">
      <w:pPr>
        <w:pStyle w:val="aa"/>
        <w:rPr>
          <w:rFonts w:ascii="宋体" w:cs="宋体"/>
        </w:rPr>
      </w:pPr>
      <w:r w:rsidRPr="002B55E9">
        <w:rPr>
          <w:rFonts w:ascii="宋体" w:cs="宋体" w:hint="eastAsia"/>
        </w:rPr>
        <w:t>建立地下水污染应急预案，包括：①应急预案的日常协调和指挥机构，明确事故责任人；②相关部门在应急预案中的职责和分工；③地下水环境保护目标的确定，采取的紧急处置措施和潜在污染可能性评估；④特大事故应急救援组织状况和人员、装备情况，平常的训练和演习；⑤特大事故的社会支持和援助，应急救援的经费保障。</w:t>
      </w:r>
    </w:p>
    <w:p w14:paraId="706C0120" w14:textId="77777777" w:rsidR="00D170E5" w:rsidRPr="002B55E9" w:rsidRDefault="00EF27AD">
      <w:pPr>
        <w:pStyle w:val="aa"/>
      </w:pPr>
      <w:r w:rsidRPr="002B55E9">
        <w:rPr>
          <w:rFonts w:ascii="宋体" w:cs="宋体" w:hint="eastAsia"/>
        </w:rPr>
        <w:t>在确保各项措施得以落实，并加强环境管理的前提下，可有效控制区内污染物下渗现象，避免影响地下水环境。</w:t>
      </w:r>
    </w:p>
    <w:p w14:paraId="7A740F33" w14:textId="77777777" w:rsidR="00D170E5" w:rsidRPr="002B55E9" w:rsidRDefault="00EF27AD">
      <w:pPr>
        <w:pStyle w:val="3"/>
      </w:pPr>
      <w:bookmarkStart w:id="272" w:name="_Toc119309016"/>
      <w:r w:rsidRPr="002B55E9">
        <w:rPr>
          <w:rFonts w:hint="eastAsia"/>
        </w:rPr>
        <w:t>运营期土壤污染防治措施</w:t>
      </w:r>
      <w:bookmarkEnd w:id="272"/>
    </w:p>
    <w:p w14:paraId="51780AFE" w14:textId="77777777" w:rsidR="00D170E5" w:rsidRPr="002B55E9" w:rsidRDefault="00EF27AD">
      <w:pPr>
        <w:pStyle w:val="aa"/>
        <w:rPr>
          <w:bCs/>
          <w:snapToGrid w:val="0"/>
        </w:rPr>
      </w:pPr>
      <w:r w:rsidRPr="002B55E9">
        <w:rPr>
          <w:rFonts w:hint="eastAsia"/>
          <w:bCs/>
          <w:snapToGrid w:val="0"/>
        </w:rPr>
        <w:t>本项目对土壤可能造成的影响主要为储罐泄漏以及污水</w:t>
      </w:r>
      <w:r w:rsidRPr="002B55E9">
        <w:rPr>
          <w:bCs/>
          <w:snapToGrid w:val="0"/>
        </w:rPr>
        <w:t>管道破损</w:t>
      </w:r>
      <w:r w:rsidRPr="002B55E9">
        <w:rPr>
          <w:rFonts w:hint="eastAsia"/>
          <w:bCs/>
          <w:snapToGrid w:val="0"/>
        </w:rPr>
        <w:t>污水下渗造成。</w:t>
      </w:r>
    </w:p>
    <w:p w14:paraId="054A88AB" w14:textId="77777777" w:rsidR="00D170E5" w:rsidRPr="002B55E9" w:rsidRDefault="00EF27AD">
      <w:pPr>
        <w:pStyle w:val="aa"/>
        <w:rPr>
          <w:bCs/>
          <w:snapToGrid w:val="0"/>
        </w:rPr>
      </w:pPr>
      <w:r w:rsidRPr="002B55E9">
        <w:rPr>
          <w:rFonts w:hint="eastAsia"/>
          <w:bCs/>
          <w:snapToGrid w:val="0"/>
        </w:rPr>
        <w:t>建设单位在建设时，拟将罐区设置围堰，储罐到围堰之间的地面及围堰进行重点防渗。同时，可对厂区涉及到物料运输、暂存的地块进行地面硬化。通过采取一系列的防渗措施能够有效的降低项目对土壤的影响。</w:t>
      </w:r>
    </w:p>
    <w:p w14:paraId="1769CC29" w14:textId="77777777" w:rsidR="00D170E5" w:rsidRPr="002B55E9" w:rsidRDefault="00EF27AD">
      <w:pPr>
        <w:pStyle w:val="aa"/>
        <w:rPr>
          <w:bCs/>
          <w:snapToGrid w:val="0"/>
        </w:rPr>
      </w:pPr>
      <w:r w:rsidRPr="002B55E9">
        <w:rPr>
          <w:rFonts w:hint="eastAsia"/>
          <w:bCs/>
          <w:snapToGrid w:val="0"/>
        </w:rPr>
        <w:t>本次评价主要针对日常的环境管理提出补充建议，如下：</w:t>
      </w:r>
    </w:p>
    <w:p w14:paraId="50C9F1AC" w14:textId="77777777" w:rsidR="00D170E5" w:rsidRPr="002B55E9" w:rsidRDefault="00EF27AD">
      <w:pPr>
        <w:pStyle w:val="aa"/>
        <w:rPr>
          <w:bCs/>
          <w:snapToGrid w:val="0"/>
        </w:rPr>
      </w:pPr>
      <w:r w:rsidRPr="002B55E9">
        <w:rPr>
          <w:rFonts w:hint="eastAsia"/>
          <w:bCs/>
          <w:snapToGrid w:val="0"/>
        </w:rPr>
        <w:t>项目在生产过程中，储罐物料存储不当将会对所在地的土壤造成一定的污染。考虑到项目特点，建设方拟对项目分区防渗。</w:t>
      </w:r>
    </w:p>
    <w:p w14:paraId="6E4936D6" w14:textId="77777777" w:rsidR="00D170E5" w:rsidRPr="002B55E9" w:rsidRDefault="00EF27AD">
      <w:pPr>
        <w:pStyle w:val="aa"/>
        <w:rPr>
          <w:bCs/>
          <w:snapToGrid w:val="0"/>
        </w:rPr>
      </w:pPr>
      <w:r w:rsidRPr="002B55E9">
        <w:rPr>
          <w:rFonts w:hint="eastAsia"/>
          <w:bCs/>
          <w:snapToGrid w:val="0"/>
        </w:rPr>
        <w:t>建设单位在生产过程中应定期检查场地的防渗性能，特别是危废暂存间地面与裙脚要用坚固、防渗的材料建造，防止雨水径流进入，暂存间内应设置导流沟，并及时清理和检查渗滤液集排水设施及堵截泄漏的裙脚；收集的渗滤液及泄漏液作为危险废物处理。加强进场废物的管理，防止跑冒滴漏造成土壤和地下水的污染。完善维护制度，定期检查围堰、导流沟等设施，发现有损坏可能或异常，应及时采取必要措施，以保障正常运行。</w:t>
      </w:r>
    </w:p>
    <w:p w14:paraId="09C9AA67" w14:textId="77777777" w:rsidR="00D170E5" w:rsidRPr="002B55E9" w:rsidRDefault="00EF27AD">
      <w:pPr>
        <w:pStyle w:val="aa"/>
        <w:rPr>
          <w:bCs/>
          <w:snapToGrid w:val="0"/>
        </w:rPr>
      </w:pPr>
      <w:r w:rsidRPr="002B55E9">
        <w:rPr>
          <w:rFonts w:hint="eastAsia"/>
          <w:bCs/>
          <w:snapToGrid w:val="0"/>
        </w:rPr>
        <w:t>根据《环境影响评价技术导则</w:t>
      </w:r>
      <w:r w:rsidRPr="002B55E9">
        <w:rPr>
          <w:rFonts w:hint="eastAsia"/>
          <w:bCs/>
          <w:snapToGrid w:val="0"/>
        </w:rPr>
        <w:t xml:space="preserve"> </w:t>
      </w:r>
      <w:r w:rsidRPr="002B55E9">
        <w:rPr>
          <w:rFonts w:hint="eastAsia"/>
          <w:bCs/>
          <w:snapToGrid w:val="0"/>
        </w:rPr>
        <w:t>土壤环境》（</w:t>
      </w:r>
      <w:r w:rsidRPr="002B55E9">
        <w:rPr>
          <w:rFonts w:hint="eastAsia"/>
          <w:bCs/>
          <w:snapToGrid w:val="0"/>
        </w:rPr>
        <w:t>HJ964-2018</w:t>
      </w:r>
      <w:r w:rsidRPr="002B55E9">
        <w:rPr>
          <w:rFonts w:hint="eastAsia"/>
          <w:bCs/>
          <w:snapToGrid w:val="0"/>
        </w:rPr>
        <w:t>）、《工矿用地土壤环境管理办法（试行）》（部令第</w:t>
      </w:r>
      <w:r w:rsidRPr="002B55E9">
        <w:rPr>
          <w:rFonts w:hint="eastAsia"/>
          <w:bCs/>
          <w:snapToGrid w:val="0"/>
        </w:rPr>
        <w:t xml:space="preserve"> 3 </w:t>
      </w:r>
      <w:r w:rsidRPr="002B55E9">
        <w:rPr>
          <w:rFonts w:hint="eastAsia"/>
          <w:bCs/>
          <w:snapToGrid w:val="0"/>
        </w:rPr>
        <w:t>号）等要求，拟建项目应采取如下土壤污染控制措施：</w:t>
      </w:r>
    </w:p>
    <w:p w14:paraId="189AF23C" w14:textId="77777777" w:rsidR="00D170E5" w:rsidRPr="002B55E9" w:rsidRDefault="00EF27AD">
      <w:pPr>
        <w:pStyle w:val="aa"/>
        <w:rPr>
          <w:bCs/>
          <w:snapToGrid w:val="0"/>
        </w:rPr>
      </w:pPr>
      <w:r w:rsidRPr="002B55E9">
        <w:rPr>
          <w:rFonts w:hint="eastAsia"/>
          <w:bCs/>
          <w:snapToGrid w:val="0"/>
        </w:rPr>
        <w:t>（</w:t>
      </w:r>
      <w:r w:rsidRPr="002B55E9">
        <w:rPr>
          <w:rFonts w:hint="eastAsia"/>
          <w:bCs/>
          <w:snapToGrid w:val="0"/>
        </w:rPr>
        <w:t>1</w:t>
      </w:r>
      <w:r w:rsidRPr="002B55E9">
        <w:rPr>
          <w:rFonts w:hint="eastAsia"/>
          <w:bCs/>
          <w:snapToGrid w:val="0"/>
        </w:rPr>
        <w:t>）源头控制措施</w:t>
      </w:r>
    </w:p>
    <w:p w14:paraId="0B4B9FD9" w14:textId="77777777" w:rsidR="00D170E5" w:rsidRPr="002B55E9" w:rsidRDefault="00EF27AD">
      <w:pPr>
        <w:pStyle w:val="aa"/>
        <w:rPr>
          <w:bCs/>
          <w:snapToGrid w:val="0"/>
        </w:rPr>
      </w:pPr>
      <w:r w:rsidRPr="002B55E9">
        <w:rPr>
          <w:rFonts w:hint="eastAsia"/>
          <w:bCs/>
          <w:snapToGrid w:val="0"/>
        </w:rPr>
        <w:t>控制项目污染物的排放。大力推广闭路循环、清洁工艺，以减少污染物；控制污染物排放的数量和浓度，使之符合排放标准和总量控制要求。</w:t>
      </w:r>
    </w:p>
    <w:p w14:paraId="6F3FF636" w14:textId="77777777" w:rsidR="00D170E5" w:rsidRPr="002B55E9" w:rsidRDefault="00EF27AD">
      <w:pPr>
        <w:pStyle w:val="aa"/>
        <w:rPr>
          <w:bCs/>
          <w:snapToGrid w:val="0"/>
        </w:rPr>
      </w:pPr>
      <w:r w:rsidRPr="002B55E9">
        <w:rPr>
          <w:rFonts w:hint="eastAsia"/>
          <w:bCs/>
          <w:snapToGrid w:val="0"/>
        </w:rPr>
        <w:t>（</w:t>
      </w:r>
      <w:r w:rsidRPr="002B55E9">
        <w:rPr>
          <w:rFonts w:hint="eastAsia"/>
          <w:bCs/>
          <w:snapToGrid w:val="0"/>
        </w:rPr>
        <w:t>2</w:t>
      </w:r>
      <w:r w:rsidRPr="002B55E9">
        <w:rPr>
          <w:rFonts w:hint="eastAsia"/>
          <w:bCs/>
          <w:snapToGrid w:val="0"/>
        </w:rPr>
        <w:t>）过程防控措施</w:t>
      </w:r>
    </w:p>
    <w:p w14:paraId="03D5602B" w14:textId="77777777" w:rsidR="00D170E5" w:rsidRPr="002B55E9" w:rsidRDefault="00EF27AD">
      <w:pPr>
        <w:pStyle w:val="aa"/>
        <w:rPr>
          <w:bCs/>
          <w:snapToGrid w:val="0"/>
        </w:rPr>
      </w:pPr>
      <w:r w:rsidRPr="002B55E9">
        <w:rPr>
          <w:rFonts w:hint="eastAsia"/>
          <w:bCs/>
          <w:snapToGrid w:val="0"/>
        </w:rPr>
        <w:t>①拟建项目建成后应加强厂区的绿化工作，尽量选择适宜当地环境且对大气污染物具有较强吸附能力的植物，从而控制污染物通过大气沉降影响土壤环境。</w:t>
      </w:r>
    </w:p>
    <w:p w14:paraId="2BD7107D" w14:textId="77777777" w:rsidR="00D170E5" w:rsidRPr="002B55E9" w:rsidRDefault="00EF27AD">
      <w:pPr>
        <w:pStyle w:val="aa"/>
        <w:rPr>
          <w:bCs/>
          <w:snapToGrid w:val="0"/>
        </w:rPr>
      </w:pPr>
      <w:r w:rsidRPr="002B55E9">
        <w:rPr>
          <w:rFonts w:hint="eastAsia"/>
          <w:bCs/>
          <w:snapToGrid w:val="0"/>
        </w:rPr>
        <w:t>②严格按照防渗分区及防渗要求，对各构筑物采取相应的防渗措施；装置和管道等存在土壤污染风险的设施，应当按照国家有关标准和规范的要求，设计、建设和安装有关防腐蚀、</w:t>
      </w:r>
      <w:r w:rsidRPr="002B55E9">
        <w:rPr>
          <w:rFonts w:hint="eastAsia"/>
          <w:bCs/>
          <w:snapToGrid w:val="0"/>
        </w:rPr>
        <w:lastRenderedPageBreak/>
        <w:t>防泄漏设施和泄漏监测装置，从而控制污染物通过垂直入渗影响土壤环境。</w:t>
      </w:r>
    </w:p>
    <w:p w14:paraId="74A04E18" w14:textId="77777777" w:rsidR="00D170E5" w:rsidRPr="002B55E9" w:rsidRDefault="00EF27AD">
      <w:pPr>
        <w:pStyle w:val="aa"/>
        <w:rPr>
          <w:bCs/>
          <w:snapToGrid w:val="0"/>
        </w:rPr>
      </w:pPr>
      <w:r w:rsidRPr="002B55E9">
        <w:rPr>
          <w:rFonts w:hint="eastAsia"/>
          <w:bCs/>
          <w:snapToGrid w:val="0"/>
        </w:rPr>
        <w:t>③建立土壤污染隐患排查治理制度，定期对重点区域、重点设施开展隐患排查。发现污染隐患的，应当制定整改方案，及时采取技术、管理措施消除隐患。隐患排查、治理情况应当如实记录并建立档案。</w:t>
      </w:r>
    </w:p>
    <w:p w14:paraId="44E0E1E2" w14:textId="77777777" w:rsidR="00D170E5" w:rsidRPr="002B55E9" w:rsidRDefault="00EF27AD">
      <w:pPr>
        <w:pStyle w:val="aa"/>
        <w:rPr>
          <w:bCs/>
          <w:snapToGrid w:val="0"/>
        </w:rPr>
      </w:pPr>
      <w:r w:rsidRPr="002B55E9">
        <w:rPr>
          <w:rFonts w:hint="eastAsia"/>
          <w:bCs/>
          <w:snapToGrid w:val="0"/>
        </w:rPr>
        <w:t>④按照相关技术规范要求，自行或者委托第三方定期开展土壤监测，重点监测存在污染隐患的区域和设施周边的土壤、地下水，并按照规定公开相关信息。</w:t>
      </w:r>
    </w:p>
    <w:p w14:paraId="02467BFD" w14:textId="77777777" w:rsidR="00D170E5" w:rsidRPr="002B55E9" w:rsidRDefault="00EF27AD">
      <w:pPr>
        <w:pStyle w:val="aa"/>
        <w:rPr>
          <w:bCs/>
          <w:snapToGrid w:val="0"/>
        </w:rPr>
      </w:pPr>
      <w:r w:rsidRPr="002B55E9">
        <w:rPr>
          <w:rFonts w:hint="eastAsia"/>
          <w:bCs/>
          <w:snapToGrid w:val="0"/>
        </w:rPr>
        <w:t>⑤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14:paraId="650F4710" w14:textId="77777777" w:rsidR="00D170E5" w:rsidRPr="002B55E9" w:rsidRDefault="00EF27AD">
      <w:pPr>
        <w:pStyle w:val="aa"/>
        <w:rPr>
          <w:bCs/>
          <w:snapToGrid w:val="0"/>
        </w:rPr>
      </w:pPr>
      <w:r w:rsidRPr="002B55E9">
        <w:rPr>
          <w:rFonts w:hint="eastAsia"/>
          <w:bCs/>
          <w:snapToGrid w:val="0"/>
        </w:rPr>
        <w:t>根据国发</w:t>
      </w:r>
      <w:r w:rsidRPr="002B55E9">
        <w:rPr>
          <w:rFonts w:hint="eastAsia"/>
          <w:bCs/>
          <w:snapToGrid w:val="0"/>
        </w:rPr>
        <w:t>[2016]31</w:t>
      </w:r>
      <w:r w:rsidRPr="002B55E9">
        <w:rPr>
          <w:rFonts w:hint="eastAsia"/>
          <w:bCs/>
          <w:snapToGrid w:val="0"/>
        </w:rPr>
        <w:t>号《土壤污染防治行动计划》相关管理要求，本次评价要求建设单位采取还应加强环境管理措施来降低项目对土壤环境的影响，具体如下：</w:t>
      </w:r>
    </w:p>
    <w:p w14:paraId="16262CD3" w14:textId="77777777" w:rsidR="00D170E5" w:rsidRPr="002B55E9" w:rsidRDefault="00EF27AD">
      <w:pPr>
        <w:pStyle w:val="aa"/>
        <w:rPr>
          <w:bCs/>
          <w:snapToGrid w:val="0"/>
        </w:rPr>
      </w:pPr>
      <w:r w:rsidRPr="002B55E9">
        <w:rPr>
          <w:rFonts w:hint="eastAsia"/>
          <w:bCs/>
          <w:snapToGrid w:val="0"/>
        </w:rPr>
        <w:t>①加强内部管理，将土壤污染防治纳入项目环境风险防控体系，严格依法依规建设和运行污染治理设施，确保重点污染物稳定达标排放；另外，提供企业员工污染隐患和环境风险防范意识，并定期开展培训。</w:t>
      </w:r>
    </w:p>
    <w:p w14:paraId="5192565F" w14:textId="77777777" w:rsidR="00D170E5" w:rsidRPr="002B55E9" w:rsidRDefault="00EF27AD">
      <w:pPr>
        <w:pStyle w:val="aa"/>
        <w:rPr>
          <w:bCs/>
          <w:snapToGrid w:val="0"/>
        </w:rPr>
      </w:pPr>
      <w:r w:rsidRPr="002B55E9">
        <w:rPr>
          <w:rFonts w:hint="eastAsia"/>
          <w:bCs/>
          <w:snapToGrid w:val="0"/>
        </w:rPr>
        <w:t>②设置专门管理制度，加强对原辅材料及危险废物的规范化管理，定期巡查维护环保设施的运行情况，及时处理非正常运行情况；</w:t>
      </w:r>
    </w:p>
    <w:p w14:paraId="76084B6E" w14:textId="77777777" w:rsidR="00D170E5" w:rsidRPr="002B55E9" w:rsidRDefault="00EF27AD">
      <w:pPr>
        <w:pStyle w:val="aa"/>
        <w:rPr>
          <w:bCs/>
          <w:snapToGrid w:val="0"/>
        </w:rPr>
      </w:pPr>
      <w:r w:rsidRPr="002B55E9">
        <w:rPr>
          <w:rFonts w:hint="eastAsia"/>
          <w:bCs/>
          <w:snapToGrid w:val="0"/>
        </w:rPr>
        <w:t>③当按照环境保护主管部门的规定和监测规范，对其用地及周边土壤环境每</w:t>
      </w:r>
      <w:r w:rsidRPr="002B55E9">
        <w:rPr>
          <w:rFonts w:hint="eastAsia"/>
          <w:bCs/>
          <w:snapToGrid w:val="0"/>
        </w:rPr>
        <w:t>5</w:t>
      </w:r>
      <w:r w:rsidRPr="002B55E9">
        <w:rPr>
          <w:rFonts w:hint="eastAsia"/>
          <w:bCs/>
          <w:snapToGrid w:val="0"/>
        </w:rPr>
        <w:t>年至少开展一次监测，监测结果如实向环保主管部门备案；</w:t>
      </w:r>
    </w:p>
    <w:p w14:paraId="3742C1C2" w14:textId="77777777" w:rsidR="00D170E5" w:rsidRPr="002B55E9" w:rsidRDefault="00EF27AD">
      <w:pPr>
        <w:pStyle w:val="aa"/>
        <w:rPr>
          <w:bCs/>
          <w:snapToGrid w:val="0"/>
        </w:rPr>
      </w:pPr>
      <w:r w:rsidRPr="002B55E9">
        <w:rPr>
          <w:rFonts w:hint="eastAsia"/>
          <w:bCs/>
          <w:snapToGrid w:val="0"/>
        </w:rPr>
        <w:t>④建立相应制度，对运行期项目可能造成的土壤污染问题承担相应的责任并进行修复，将其列入企业内部的环保管理规定中。</w:t>
      </w:r>
    </w:p>
    <w:p w14:paraId="171000A0" w14:textId="77777777" w:rsidR="00D170E5" w:rsidRPr="002B55E9" w:rsidRDefault="00EF27AD">
      <w:pPr>
        <w:pStyle w:val="aa"/>
        <w:rPr>
          <w:bCs/>
          <w:snapToGrid w:val="0"/>
        </w:rPr>
      </w:pPr>
      <w:r w:rsidRPr="002B55E9">
        <w:rPr>
          <w:rFonts w:hint="eastAsia"/>
          <w:bCs/>
          <w:snapToGrid w:val="0"/>
        </w:rPr>
        <w:t>另外，还需：定期维护设备，规范员工操作，控制跑、冒、滴、漏。从源头控制污染物的迁移进入土壤；加强日常的危险固体废弃物的管理，禁止露天堆放在裸露地面或者绿化带；严格控制废水的去向，严禁作为场地绿化以及道路浇洒。</w:t>
      </w:r>
    </w:p>
    <w:p w14:paraId="5BF4C919" w14:textId="77777777" w:rsidR="00D170E5" w:rsidRPr="002B55E9" w:rsidRDefault="00EF27AD">
      <w:pPr>
        <w:pStyle w:val="aa"/>
      </w:pPr>
      <w:r w:rsidRPr="002B55E9">
        <w:rPr>
          <w:rFonts w:hint="eastAsia"/>
        </w:rPr>
        <w:t>建设单位在落实各项污染防治措施，且加强日常的环境管理，项目对土壤环境影响较小。</w:t>
      </w:r>
    </w:p>
    <w:p w14:paraId="58D3AF27" w14:textId="77777777" w:rsidR="00D170E5" w:rsidRPr="002B55E9" w:rsidRDefault="00EF27AD">
      <w:pPr>
        <w:pStyle w:val="3"/>
      </w:pPr>
      <w:bookmarkStart w:id="273" w:name="_Toc119309017"/>
      <w:r w:rsidRPr="002B55E9">
        <w:t>环保措施投资及实施计划</w:t>
      </w:r>
      <w:bookmarkEnd w:id="273"/>
    </w:p>
    <w:p w14:paraId="4BF35AA9" w14:textId="77777777" w:rsidR="00D170E5" w:rsidRPr="002B55E9" w:rsidRDefault="00EF27AD">
      <w:pPr>
        <w:pStyle w:val="affff7"/>
        <w:snapToGrid w:val="0"/>
        <w:spacing w:after="0"/>
      </w:pPr>
      <w:r w:rsidRPr="002B55E9">
        <w:rPr>
          <w:rFonts w:hint="eastAsia"/>
        </w:rPr>
        <w:t>拟建项目</w:t>
      </w:r>
      <w:r w:rsidRPr="002B55E9">
        <w:t>环保</w:t>
      </w:r>
      <w:r w:rsidRPr="002B55E9">
        <w:rPr>
          <w:rFonts w:hint="eastAsia"/>
        </w:rPr>
        <w:t>“</w:t>
      </w:r>
      <w:r w:rsidRPr="002B55E9">
        <w:t>三同时</w:t>
      </w:r>
      <w:r w:rsidRPr="002B55E9">
        <w:rPr>
          <w:rFonts w:hint="eastAsia"/>
        </w:rPr>
        <w:t>”</w:t>
      </w:r>
      <w:r w:rsidRPr="002B55E9">
        <w:t>竣工验收清单见表</w:t>
      </w:r>
      <w:r w:rsidRPr="002B55E9">
        <w:rPr>
          <w:rFonts w:hint="eastAsia"/>
        </w:rPr>
        <w:t>7</w:t>
      </w:r>
      <w:r w:rsidRPr="002B55E9">
        <w:t>-8</w:t>
      </w:r>
      <w:r w:rsidRPr="002B55E9">
        <w:rPr>
          <w:rFonts w:hint="eastAsia"/>
        </w:rPr>
        <w:t>-1</w:t>
      </w:r>
      <w:r w:rsidRPr="002B55E9">
        <w:rPr>
          <w:rFonts w:hint="eastAsia"/>
        </w:rPr>
        <w:t>。</w:t>
      </w:r>
    </w:p>
    <w:p w14:paraId="51E9EA06" w14:textId="77777777" w:rsidR="00D170E5" w:rsidRPr="002B55E9" w:rsidRDefault="00EF27AD">
      <w:r w:rsidRPr="002B55E9">
        <w:rPr>
          <w:rFonts w:hint="eastAsia"/>
        </w:rPr>
        <w:br w:type="page"/>
      </w:r>
    </w:p>
    <w:p w14:paraId="15C3BFD9" w14:textId="77777777" w:rsidR="00D170E5" w:rsidRPr="002B55E9" w:rsidRDefault="00EF27AD">
      <w:pPr>
        <w:jc w:val="center"/>
        <w:rPr>
          <w:rFonts w:eastAsia="黑体"/>
          <w:b/>
          <w:sz w:val="24"/>
        </w:rPr>
      </w:pPr>
      <w:r w:rsidRPr="002B55E9">
        <w:rPr>
          <w:rFonts w:eastAsia="黑体"/>
          <w:b/>
          <w:sz w:val="24"/>
        </w:rPr>
        <w:lastRenderedPageBreak/>
        <w:t>表</w:t>
      </w:r>
      <w:r w:rsidRPr="002B55E9">
        <w:rPr>
          <w:rFonts w:eastAsia="黑体" w:hint="eastAsia"/>
          <w:b/>
          <w:sz w:val="24"/>
        </w:rPr>
        <w:t>7</w:t>
      </w:r>
      <w:r w:rsidRPr="002B55E9">
        <w:rPr>
          <w:rFonts w:eastAsia="黑体"/>
          <w:b/>
          <w:sz w:val="24"/>
        </w:rPr>
        <w:t xml:space="preserve">-8-1  </w:t>
      </w:r>
      <w:r w:rsidRPr="002B55E9">
        <w:rPr>
          <w:rFonts w:eastAsia="黑体"/>
          <w:b/>
          <w:sz w:val="24"/>
        </w:rPr>
        <w:t>环境保护</w:t>
      </w:r>
      <w:r w:rsidRPr="002B55E9">
        <w:rPr>
          <w:rFonts w:eastAsia="黑体"/>
          <w:b/>
          <w:sz w:val="24"/>
        </w:rPr>
        <w:t>“</w:t>
      </w:r>
      <w:r w:rsidRPr="002B55E9">
        <w:rPr>
          <w:rFonts w:eastAsia="黑体"/>
          <w:b/>
          <w:sz w:val="24"/>
        </w:rPr>
        <w:t>三同时</w:t>
      </w:r>
      <w:r w:rsidRPr="002B55E9">
        <w:rPr>
          <w:rFonts w:eastAsia="黑体"/>
          <w:b/>
          <w:sz w:val="24"/>
        </w:rPr>
        <w:t>”</w:t>
      </w:r>
      <w:r w:rsidRPr="002B55E9">
        <w:rPr>
          <w:rFonts w:eastAsia="黑体"/>
          <w:b/>
          <w:sz w:val="24"/>
        </w:rPr>
        <w:t>竣工验收清单</w:t>
      </w:r>
      <w:r w:rsidRPr="002B55E9">
        <w:rPr>
          <w:rFonts w:eastAsia="黑体" w:hint="eastAsia"/>
          <w:b/>
          <w:sz w:val="24"/>
        </w:rPr>
        <w:t>一览表</w:t>
      </w:r>
    </w:p>
    <w:tbl>
      <w:tblPr>
        <w:tblStyle w:val="lgy1"/>
        <w:tblW w:w="5000" w:type="pct"/>
        <w:tblLayout w:type="fixed"/>
        <w:tblCellMar>
          <w:left w:w="28" w:type="dxa"/>
          <w:right w:w="28" w:type="dxa"/>
        </w:tblCellMar>
        <w:tblLook w:val="04A0" w:firstRow="1" w:lastRow="0" w:firstColumn="1" w:lastColumn="0" w:noHBand="0" w:noVBand="1"/>
      </w:tblPr>
      <w:tblGrid>
        <w:gridCol w:w="477"/>
        <w:gridCol w:w="1095"/>
        <w:gridCol w:w="1353"/>
        <w:gridCol w:w="3897"/>
        <w:gridCol w:w="878"/>
        <w:gridCol w:w="1993"/>
      </w:tblGrid>
      <w:tr w:rsidR="00C60999" w:rsidRPr="002B55E9" w14:paraId="1CAB99D7" w14:textId="77777777" w:rsidTr="006915F3">
        <w:trPr>
          <w:cnfStyle w:val="100000000000" w:firstRow="1" w:lastRow="0" w:firstColumn="0" w:lastColumn="0" w:oddVBand="0" w:evenVBand="0" w:oddHBand="0" w:evenHBand="0" w:firstRowFirstColumn="0" w:firstRowLastColumn="0" w:lastRowFirstColumn="0" w:lastRowLastColumn="0"/>
          <w:trHeight w:val="283"/>
        </w:trPr>
        <w:tc>
          <w:tcPr>
            <w:tcW w:w="475" w:type="dxa"/>
            <w:noWrap/>
          </w:tcPr>
          <w:p w14:paraId="11A3AF3E" w14:textId="77777777" w:rsidR="00D170E5" w:rsidRPr="002B55E9" w:rsidRDefault="00EF27AD" w:rsidP="006915F3">
            <w:pPr>
              <w:pStyle w:val="lgy-"/>
            </w:pPr>
            <w:r w:rsidRPr="002B55E9">
              <w:t>类别</w:t>
            </w:r>
          </w:p>
        </w:tc>
        <w:tc>
          <w:tcPr>
            <w:tcW w:w="1089" w:type="dxa"/>
            <w:noWrap/>
          </w:tcPr>
          <w:p w14:paraId="4F8694F8" w14:textId="77777777" w:rsidR="00D170E5" w:rsidRPr="002B55E9" w:rsidRDefault="00EF27AD" w:rsidP="006915F3">
            <w:pPr>
              <w:pStyle w:val="lgy-"/>
            </w:pPr>
            <w:r w:rsidRPr="002B55E9">
              <w:t>污染源名称</w:t>
            </w:r>
          </w:p>
        </w:tc>
        <w:tc>
          <w:tcPr>
            <w:tcW w:w="1345" w:type="dxa"/>
            <w:noWrap/>
          </w:tcPr>
          <w:p w14:paraId="790DD7D0" w14:textId="77777777" w:rsidR="00D170E5" w:rsidRPr="002B55E9" w:rsidRDefault="00EF27AD" w:rsidP="006915F3">
            <w:pPr>
              <w:pStyle w:val="lgy-"/>
            </w:pPr>
            <w:r w:rsidRPr="002B55E9">
              <w:t>主要污染物</w:t>
            </w:r>
          </w:p>
        </w:tc>
        <w:tc>
          <w:tcPr>
            <w:tcW w:w="3874" w:type="dxa"/>
            <w:noWrap/>
          </w:tcPr>
          <w:p w14:paraId="231D5215" w14:textId="77777777" w:rsidR="00D170E5" w:rsidRPr="002B55E9" w:rsidRDefault="00EF27AD" w:rsidP="006915F3">
            <w:pPr>
              <w:pStyle w:val="lgy-"/>
            </w:pPr>
            <w:r w:rsidRPr="002B55E9">
              <w:t>拟建项目污染防治措施</w:t>
            </w:r>
          </w:p>
        </w:tc>
        <w:tc>
          <w:tcPr>
            <w:tcW w:w="873" w:type="dxa"/>
            <w:noWrap/>
          </w:tcPr>
          <w:p w14:paraId="36E2AB7F" w14:textId="77777777" w:rsidR="00D170E5" w:rsidRPr="002B55E9" w:rsidRDefault="00EF27AD" w:rsidP="006915F3">
            <w:pPr>
              <w:pStyle w:val="lgy-"/>
            </w:pPr>
            <w:r w:rsidRPr="002B55E9">
              <w:t>环保投资</w:t>
            </w:r>
          </w:p>
          <w:p w14:paraId="30DA05FF" w14:textId="77777777" w:rsidR="00D170E5" w:rsidRPr="002B55E9" w:rsidRDefault="00EF27AD" w:rsidP="006915F3">
            <w:pPr>
              <w:pStyle w:val="lgy-"/>
            </w:pPr>
            <w:r w:rsidRPr="002B55E9">
              <w:t>（万元）</w:t>
            </w:r>
          </w:p>
        </w:tc>
        <w:tc>
          <w:tcPr>
            <w:tcW w:w="1981" w:type="dxa"/>
            <w:noWrap/>
          </w:tcPr>
          <w:p w14:paraId="3724DFD4" w14:textId="77777777" w:rsidR="00D170E5" w:rsidRPr="002B55E9" w:rsidRDefault="00EF27AD" w:rsidP="006915F3">
            <w:pPr>
              <w:pStyle w:val="lgy-"/>
            </w:pPr>
            <w:r w:rsidRPr="002B55E9">
              <w:t>防治效果</w:t>
            </w:r>
          </w:p>
        </w:tc>
      </w:tr>
      <w:tr w:rsidR="00C60999" w:rsidRPr="002B55E9" w14:paraId="4140D19C" w14:textId="77777777" w:rsidTr="006915F3">
        <w:trPr>
          <w:trHeight w:val="283"/>
        </w:trPr>
        <w:tc>
          <w:tcPr>
            <w:tcW w:w="475" w:type="dxa"/>
            <w:vMerge w:val="restart"/>
            <w:noWrap/>
          </w:tcPr>
          <w:p w14:paraId="7E398E11" w14:textId="77777777" w:rsidR="00D170E5" w:rsidRPr="002B55E9" w:rsidRDefault="00EF27AD" w:rsidP="006915F3">
            <w:pPr>
              <w:pStyle w:val="lgy-"/>
            </w:pPr>
            <w:r w:rsidRPr="002B55E9">
              <w:rPr>
                <w:rFonts w:eastAsia="宋体" w:hint="eastAsia"/>
              </w:rPr>
              <w:t>废气</w:t>
            </w:r>
          </w:p>
        </w:tc>
        <w:tc>
          <w:tcPr>
            <w:tcW w:w="1089" w:type="dxa"/>
            <w:noWrap/>
          </w:tcPr>
          <w:p w14:paraId="010C0E87" w14:textId="77777777" w:rsidR="00D170E5" w:rsidRPr="002B55E9" w:rsidRDefault="00EF27AD" w:rsidP="006915F3">
            <w:pPr>
              <w:pStyle w:val="lgy-"/>
            </w:pPr>
            <w:r w:rsidRPr="002B55E9">
              <w:rPr>
                <w:rFonts w:eastAsia="宋体" w:hint="eastAsia"/>
              </w:rPr>
              <w:t>香辛料</w:t>
            </w:r>
            <w:r w:rsidRPr="002B55E9">
              <w:rPr>
                <w:rFonts w:eastAsia="宋体"/>
              </w:rPr>
              <w:t>破碎</w:t>
            </w:r>
            <w:r w:rsidRPr="002B55E9">
              <w:rPr>
                <w:rFonts w:eastAsia="宋体" w:hint="eastAsia"/>
              </w:rPr>
              <w:t>粉尘</w:t>
            </w:r>
          </w:p>
        </w:tc>
        <w:tc>
          <w:tcPr>
            <w:tcW w:w="1345" w:type="dxa"/>
            <w:noWrap/>
          </w:tcPr>
          <w:p w14:paraId="4695F755" w14:textId="77777777" w:rsidR="00D170E5" w:rsidRPr="002B55E9" w:rsidRDefault="00EF27AD" w:rsidP="006915F3">
            <w:pPr>
              <w:pStyle w:val="lgy-"/>
            </w:pPr>
            <w:r w:rsidRPr="002B55E9">
              <w:rPr>
                <w:rFonts w:eastAsia="宋体" w:hint="eastAsia"/>
              </w:rPr>
              <w:t>颗粒物</w:t>
            </w:r>
          </w:p>
        </w:tc>
        <w:tc>
          <w:tcPr>
            <w:tcW w:w="3874" w:type="dxa"/>
            <w:noWrap/>
          </w:tcPr>
          <w:p w14:paraId="023E4AC1" w14:textId="77777777" w:rsidR="00D170E5" w:rsidRPr="002B55E9" w:rsidRDefault="00EF27AD" w:rsidP="006915F3">
            <w:pPr>
              <w:pStyle w:val="lgy-"/>
            </w:pPr>
            <w:r w:rsidRPr="002B55E9">
              <w:rPr>
                <w:rFonts w:eastAsia="宋体" w:hint="eastAsia"/>
              </w:rPr>
              <w:t>经</w:t>
            </w:r>
            <w:r w:rsidRPr="002B55E9">
              <w:rPr>
                <w:rFonts w:eastAsia="宋体"/>
              </w:rPr>
              <w:t>粉碎机自带除尘器处理后</w:t>
            </w:r>
            <w:r w:rsidRPr="002B55E9">
              <w:rPr>
                <w:rFonts w:eastAsia="宋体" w:hint="eastAsia"/>
              </w:rPr>
              <w:t>通过</w:t>
            </w:r>
            <w:r w:rsidRPr="002B55E9">
              <w:rPr>
                <w:rFonts w:eastAsia="宋体" w:hint="eastAsia"/>
              </w:rPr>
              <w:t>1</w:t>
            </w:r>
            <w:r w:rsidRPr="002B55E9">
              <w:rPr>
                <w:rFonts w:eastAsia="宋体"/>
              </w:rPr>
              <w:t>8m</w:t>
            </w:r>
            <w:r w:rsidRPr="002B55E9">
              <w:rPr>
                <w:rFonts w:eastAsia="宋体"/>
              </w:rPr>
              <w:t>高</w:t>
            </w:r>
            <w:r w:rsidRPr="002B55E9">
              <w:rPr>
                <w:rFonts w:eastAsia="宋体" w:hint="eastAsia"/>
              </w:rPr>
              <w:t>排气筒</w:t>
            </w:r>
            <w:r w:rsidRPr="002B55E9">
              <w:rPr>
                <w:rFonts w:eastAsia="宋体"/>
              </w:rPr>
              <w:t>排放（</w:t>
            </w:r>
            <w:r w:rsidRPr="002B55E9">
              <w:rPr>
                <w:rFonts w:eastAsia="宋体" w:hint="eastAsia"/>
              </w:rPr>
              <w:t>DA001</w:t>
            </w:r>
            <w:r w:rsidRPr="002B55E9">
              <w:rPr>
                <w:rFonts w:eastAsia="宋体" w:hint="eastAsia"/>
              </w:rPr>
              <w:t>）</w:t>
            </w:r>
          </w:p>
        </w:tc>
        <w:tc>
          <w:tcPr>
            <w:tcW w:w="873" w:type="dxa"/>
            <w:noWrap/>
          </w:tcPr>
          <w:p w14:paraId="2AC68902" w14:textId="77777777" w:rsidR="00D170E5" w:rsidRPr="002B55E9" w:rsidRDefault="00EF27AD" w:rsidP="006915F3">
            <w:pPr>
              <w:pStyle w:val="lgy-"/>
            </w:pPr>
            <w:r w:rsidRPr="002B55E9">
              <w:rPr>
                <w:rFonts w:eastAsia="宋体"/>
              </w:rPr>
              <w:t>10</w:t>
            </w:r>
          </w:p>
        </w:tc>
        <w:tc>
          <w:tcPr>
            <w:tcW w:w="1981" w:type="dxa"/>
            <w:noWrap/>
          </w:tcPr>
          <w:p w14:paraId="1D82E2BB" w14:textId="77777777" w:rsidR="00D170E5" w:rsidRPr="002B55E9" w:rsidRDefault="00EF27AD" w:rsidP="006915F3">
            <w:pPr>
              <w:pStyle w:val="lgy-"/>
              <w:rPr>
                <w:rFonts w:eastAsia="宋体"/>
              </w:rPr>
            </w:pPr>
            <w:r w:rsidRPr="002B55E9">
              <w:rPr>
                <w:rFonts w:eastAsia="宋体" w:hint="eastAsia"/>
              </w:rPr>
              <w:t>满足《大气污染物综合排放标准》</w:t>
            </w:r>
            <w:r w:rsidRPr="002B55E9">
              <w:rPr>
                <w:rFonts w:eastAsia="宋体" w:hint="eastAsia"/>
              </w:rPr>
              <w:t>(GB16297-1996)</w:t>
            </w:r>
            <w:r w:rsidRPr="002B55E9">
              <w:rPr>
                <w:rFonts w:eastAsia="宋体" w:hint="eastAsia"/>
              </w:rPr>
              <w:t>中</w:t>
            </w:r>
            <w:r w:rsidRPr="002B55E9">
              <w:rPr>
                <w:rFonts w:eastAsia="宋体"/>
              </w:rPr>
              <w:t>的限值要求</w:t>
            </w:r>
            <w:r w:rsidRPr="002B55E9">
              <w:rPr>
                <w:rFonts w:eastAsia="宋体"/>
              </w:rPr>
              <w:t xml:space="preserve"> </w:t>
            </w:r>
          </w:p>
        </w:tc>
      </w:tr>
      <w:tr w:rsidR="00C60999" w:rsidRPr="002B55E9" w14:paraId="38278D3C" w14:textId="77777777" w:rsidTr="006915F3">
        <w:trPr>
          <w:trHeight w:val="283"/>
        </w:trPr>
        <w:tc>
          <w:tcPr>
            <w:tcW w:w="475" w:type="dxa"/>
            <w:vMerge/>
            <w:noWrap/>
          </w:tcPr>
          <w:p w14:paraId="6EB637EB" w14:textId="77777777" w:rsidR="00D170E5" w:rsidRPr="002B55E9" w:rsidRDefault="00D170E5" w:rsidP="006915F3">
            <w:pPr>
              <w:pStyle w:val="lgy-"/>
            </w:pPr>
          </w:p>
        </w:tc>
        <w:tc>
          <w:tcPr>
            <w:tcW w:w="1089" w:type="dxa"/>
            <w:noWrap/>
          </w:tcPr>
          <w:p w14:paraId="5F8C21F0" w14:textId="77777777" w:rsidR="00D170E5" w:rsidRPr="002B55E9" w:rsidRDefault="00EF27AD" w:rsidP="006915F3">
            <w:pPr>
              <w:pStyle w:val="lgy-"/>
            </w:pPr>
            <w:r w:rsidRPr="002B55E9">
              <w:rPr>
                <w:rFonts w:eastAsia="宋体" w:hint="eastAsia"/>
              </w:rPr>
              <w:t>料酒生产线浸提、过滤、调配混合</w:t>
            </w:r>
          </w:p>
        </w:tc>
        <w:tc>
          <w:tcPr>
            <w:tcW w:w="1345" w:type="dxa"/>
            <w:noWrap/>
          </w:tcPr>
          <w:p w14:paraId="1DFEDFDD" w14:textId="4FF2DD47" w:rsidR="00D170E5" w:rsidRPr="002B55E9" w:rsidRDefault="00924AFA" w:rsidP="00B622DC">
            <w:pPr>
              <w:pStyle w:val="lgy-"/>
            </w:pPr>
            <w:r w:rsidRPr="002B55E9">
              <w:rPr>
                <w:rFonts w:eastAsia="宋体" w:hint="eastAsia"/>
              </w:rPr>
              <w:t>非甲烷总烃</w:t>
            </w:r>
          </w:p>
        </w:tc>
        <w:tc>
          <w:tcPr>
            <w:tcW w:w="3874" w:type="dxa"/>
            <w:noWrap/>
          </w:tcPr>
          <w:p w14:paraId="55DED56F" w14:textId="4ED5C19C" w:rsidR="00D170E5" w:rsidRPr="002B55E9" w:rsidRDefault="00EF27AD" w:rsidP="006915F3">
            <w:pPr>
              <w:pStyle w:val="lgy-"/>
            </w:pPr>
            <w:r w:rsidRPr="002B55E9">
              <w:rPr>
                <w:rFonts w:eastAsia="宋体" w:hint="eastAsia"/>
              </w:rPr>
              <w:t>密闭管道收集，经</w:t>
            </w:r>
            <w:r w:rsidRPr="002B55E9">
              <w:rPr>
                <w:rFonts w:eastAsia="宋体" w:hint="eastAsia"/>
              </w:rPr>
              <w:t>1</w:t>
            </w:r>
            <w:r w:rsidRPr="002B55E9">
              <w:rPr>
                <w:rFonts w:eastAsia="宋体" w:hint="eastAsia"/>
              </w:rPr>
              <w:t>套</w:t>
            </w:r>
            <w:r w:rsidR="00CE536C" w:rsidRPr="002B55E9">
              <w:rPr>
                <w:rFonts w:eastAsia="宋体" w:hint="eastAsia"/>
              </w:rPr>
              <w:t>二级碱喷淋</w:t>
            </w:r>
            <w:r w:rsidR="00CE536C" w:rsidRPr="002B55E9">
              <w:rPr>
                <w:rFonts w:eastAsia="宋体" w:hint="eastAsia"/>
              </w:rPr>
              <w:t>+</w:t>
            </w:r>
            <w:r w:rsidR="00CE536C" w:rsidRPr="002B55E9">
              <w:rPr>
                <w:rFonts w:eastAsia="宋体" w:hint="eastAsia"/>
              </w:rPr>
              <w:t>水喷淋</w:t>
            </w:r>
            <w:r w:rsidRPr="002B55E9">
              <w:rPr>
                <w:rFonts w:eastAsia="宋体" w:hint="eastAsia"/>
              </w:rPr>
              <w:t>装置处理后由</w:t>
            </w:r>
            <w:r w:rsidRPr="002B55E9">
              <w:rPr>
                <w:rFonts w:eastAsia="宋体" w:hint="eastAsia"/>
              </w:rPr>
              <w:t>18m</w:t>
            </w:r>
            <w:r w:rsidRPr="002B55E9">
              <w:rPr>
                <w:rFonts w:eastAsia="宋体" w:hint="eastAsia"/>
              </w:rPr>
              <w:t>高排气筒（</w:t>
            </w:r>
            <w:r w:rsidRPr="002B55E9">
              <w:rPr>
                <w:rFonts w:eastAsia="宋体" w:hint="eastAsia"/>
              </w:rPr>
              <w:t>DA002</w:t>
            </w:r>
            <w:r w:rsidRPr="002B55E9">
              <w:rPr>
                <w:rFonts w:eastAsia="宋体" w:hint="eastAsia"/>
              </w:rPr>
              <w:t>）排放</w:t>
            </w:r>
          </w:p>
        </w:tc>
        <w:tc>
          <w:tcPr>
            <w:tcW w:w="873" w:type="dxa"/>
            <w:vMerge w:val="restart"/>
            <w:noWrap/>
          </w:tcPr>
          <w:p w14:paraId="60AEED59" w14:textId="77777777" w:rsidR="00D170E5" w:rsidRPr="002B55E9" w:rsidRDefault="00EF27AD" w:rsidP="006915F3">
            <w:pPr>
              <w:pStyle w:val="lgy-"/>
            </w:pPr>
            <w:r w:rsidRPr="002B55E9">
              <w:rPr>
                <w:rFonts w:eastAsia="宋体" w:hint="eastAsia"/>
              </w:rPr>
              <w:t>60</w:t>
            </w:r>
          </w:p>
        </w:tc>
        <w:tc>
          <w:tcPr>
            <w:tcW w:w="1981" w:type="dxa"/>
            <w:vMerge w:val="restart"/>
            <w:noWrap/>
          </w:tcPr>
          <w:p w14:paraId="31D449FF" w14:textId="570194CD" w:rsidR="00D170E5" w:rsidRPr="002B55E9" w:rsidRDefault="00EF27AD" w:rsidP="006915F3">
            <w:pPr>
              <w:pStyle w:val="lgy-"/>
              <w:rPr>
                <w:rFonts w:eastAsia="宋体"/>
              </w:rPr>
            </w:pPr>
            <w:r w:rsidRPr="002B55E9">
              <w:rPr>
                <w:rFonts w:eastAsia="宋体" w:hint="eastAsia"/>
              </w:rPr>
              <w:t>满足《市人民政府关于印发武汉市</w:t>
            </w:r>
            <w:r w:rsidRPr="002B55E9">
              <w:rPr>
                <w:rFonts w:eastAsia="宋体" w:hint="eastAsia"/>
              </w:rPr>
              <w:t>2022</w:t>
            </w:r>
            <w:r w:rsidRPr="002B55E9">
              <w:rPr>
                <w:rFonts w:eastAsia="宋体" w:hint="eastAsia"/>
              </w:rPr>
              <w:t>年改善空气质量攻坚方案的通知》（武政规</w:t>
            </w:r>
            <w:r w:rsidRPr="002B55E9">
              <w:rPr>
                <w:rFonts w:eastAsia="宋体" w:hint="eastAsia"/>
              </w:rPr>
              <w:t>[2022]10</w:t>
            </w:r>
            <w:r w:rsidRPr="002B55E9">
              <w:rPr>
                <w:rFonts w:eastAsia="宋体" w:hint="eastAsia"/>
              </w:rPr>
              <w:t>号）及《大气污染物综合排放标准》</w:t>
            </w:r>
            <w:r w:rsidRPr="002B55E9">
              <w:rPr>
                <w:rFonts w:eastAsia="宋体" w:hint="eastAsia"/>
              </w:rPr>
              <w:t>(GB16297-1996)</w:t>
            </w:r>
            <w:r w:rsidR="00B622DC" w:rsidRPr="002B55E9">
              <w:rPr>
                <w:rFonts w:eastAsia="宋体" w:hint="eastAsia"/>
              </w:rPr>
              <w:t>、《恶臭污染物排放标准》（</w:t>
            </w:r>
            <w:r w:rsidR="00B622DC" w:rsidRPr="002B55E9">
              <w:rPr>
                <w:rFonts w:eastAsia="宋体" w:hint="eastAsia"/>
              </w:rPr>
              <w:t>GB14554-93</w:t>
            </w:r>
            <w:r w:rsidR="00B622DC" w:rsidRPr="002B55E9">
              <w:rPr>
                <w:rFonts w:eastAsia="宋体" w:hint="eastAsia"/>
              </w:rPr>
              <w:t>）</w:t>
            </w:r>
            <w:r w:rsidRPr="002B55E9">
              <w:rPr>
                <w:rFonts w:eastAsia="宋体" w:hint="eastAsia"/>
              </w:rPr>
              <w:t>要求</w:t>
            </w:r>
          </w:p>
        </w:tc>
      </w:tr>
      <w:tr w:rsidR="00C60999" w:rsidRPr="002B55E9" w14:paraId="3293C8E0" w14:textId="77777777" w:rsidTr="006915F3">
        <w:trPr>
          <w:trHeight w:val="283"/>
        </w:trPr>
        <w:tc>
          <w:tcPr>
            <w:tcW w:w="475" w:type="dxa"/>
            <w:vMerge/>
            <w:noWrap/>
          </w:tcPr>
          <w:p w14:paraId="60620937" w14:textId="77777777" w:rsidR="00D170E5" w:rsidRPr="002B55E9" w:rsidRDefault="00D170E5" w:rsidP="006915F3">
            <w:pPr>
              <w:pStyle w:val="lgy-"/>
            </w:pPr>
          </w:p>
        </w:tc>
        <w:tc>
          <w:tcPr>
            <w:tcW w:w="1089" w:type="dxa"/>
            <w:noWrap/>
          </w:tcPr>
          <w:p w14:paraId="2C087BB1" w14:textId="77777777" w:rsidR="00D170E5" w:rsidRPr="002B55E9" w:rsidRDefault="00EF27AD" w:rsidP="006915F3">
            <w:pPr>
              <w:pStyle w:val="lgy-"/>
            </w:pPr>
            <w:r w:rsidRPr="002B55E9">
              <w:rPr>
                <w:rFonts w:eastAsia="宋体" w:hint="eastAsia"/>
              </w:rPr>
              <w:t>白米醋生产线酒液调配、醋酸发酵、混合</w:t>
            </w:r>
          </w:p>
        </w:tc>
        <w:tc>
          <w:tcPr>
            <w:tcW w:w="1345" w:type="dxa"/>
            <w:noWrap/>
          </w:tcPr>
          <w:p w14:paraId="5C7E00AD" w14:textId="331FCA3B" w:rsidR="00D170E5" w:rsidRPr="002B55E9" w:rsidRDefault="00924AFA" w:rsidP="006915F3">
            <w:pPr>
              <w:pStyle w:val="lgy-"/>
            </w:pPr>
            <w:r w:rsidRPr="002B55E9">
              <w:rPr>
                <w:rFonts w:eastAsia="宋体" w:hint="eastAsia"/>
              </w:rPr>
              <w:t>非甲烷总烃</w:t>
            </w:r>
            <w:r w:rsidR="00B622DC" w:rsidRPr="002B55E9">
              <w:rPr>
                <w:rFonts w:eastAsia="宋体" w:hint="eastAsia"/>
              </w:rPr>
              <w:t>、</w:t>
            </w:r>
            <w:r w:rsidR="00B622DC" w:rsidRPr="002B55E9">
              <w:rPr>
                <w:rFonts w:eastAsia="宋体"/>
              </w:rPr>
              <w:t>臭气浓度</w:t>
            </w:r>
          </w:p>
        </w:tc>
        <w:tc>
          <w:tcPr>
            <w:tcW w:w="3874" w:type="dxa"/>
            <w:noWrap/>
          </w:tcPr>
          <w:p w14:paraId="68ECE2B5" w14:textId="5D771954" w:rsidR="00D170E5" w:rsidRPr="002B55E9" w:rsidRDefault="00EF27AD" w:rsidP="006915F3">
            <w:pPr>
              <w:pStyle w:val="lgy-"/>
            </w:pPr>
            <w:r w:rsidRPr="002B55E9">
              <w:rPr>
                <w:rFonts w:eastAsia="宋体" w:hint="eastAsia"/>
              </w:rPr>
              <w:t>密闭管道收集，经</w:t>
            </w:r>
            <w:r w:rsidRPr="002B55E9">
              <w:rPr>
                <w:rFonts w:eastAsia="宋体" w:hint="eastAsia"/>
              </w:rPr>
              <w:t>1</w:t>
            </w:r>
            <w:r w:rsidRPr="002B55E9">
              <w:rPr>
                <w:rFonts w:eastAsia="宋体" w:hint="eastAsia"/>
              </w:rPr>
              <w:t>套</w:t>
            </w:r>
            <w:r w:rsidR="00CE536C" w:rsidRPr="002B55E9">
              <w:rPr>
                <w:rFonts w:eastAsia="宋体" w:hint="eastAsia"/>
              </w:rPr>
              <w:t>二级碱喷淋</w:t>
            </w:r>
            <w:r w:rsidR="00CE536C" w:rsidRPr="002B55E9">
              <w:rPr>
                <w:rFonts w:eastAsia="宋体" w:hint="eastAsia"/>
              </w:rPr>
              <w:t>+</w:t>
            </w:r>
            <w:r w:rsidR="00CE536C" w:rsidRPr="002B55E9">
              <w:rPr>
                <w:rFonts w:eastAsia="宋体" w:hint="eastAsia"/>
              </w:rPr>
              <w:t>水喷淋</w:t>
            </w:r>
            <w:r w:rsidRPr="002B55E9">
              <w:rPr>
                <w:rFonts w:eastAsia="宋体" w:hint="eastAsia"/>
              </w:rPr>
              <w:t>装置处理后由</w:t>
            </w:r>
            <w:r w:rsidRPr="002B55E9">
              <w:rPr>
                <w:rFonts w:eastAsia="宋体" w:hint="eastAsia"/>
              </w:rPr>
              <w:t>18m</w:t>
            </w:r>
            <w:r w:rsidRPr="002B55E9">
              <w:rPr>
                <w:rFonts w:eastAsia="宋体" w:hint="eastAsia"/>
              </w:rPr>
              <w:t>高排气筒（</w:t>
            </w:r>
            <w:r w:rsidRPr="002B55E9">
              <w:rPr>
                <w:rFonts w:eastAsia="宋体" w:hint="eastAsia"/>
              </w:rPr>
              <w:t>DA002</w:t>
            </w:r>
            <w:r w:rsidRPr="002B55E9">
              <w:rPr>
                <w:rFonts w:eastAsia="宋体" w:hint="eastAsia"/>
              </w:rPr>
              <w:t>）排放</w:t>
            </w:r>
          </w:p>
        </w:tc>
        <w:tc>
          <w:tcPr>
            <w:tcW w:w="873" w:type="dxa"/>
            <w:vMerge/>
            <w:noWrap/>
          </w:tcPr>
          <w:p w14:paraId="62C22F3D" w14:textId="77777777" w:rsidR="00D170E5" w:rsidRPr="002B55E9" w:rsidRDefault="00D170E5" w:rsidP="006915F3">
            <w:pPr>
              <w:pStyle w:val="lgy-"/>
            </w:pPr>
          </w:p>
        </w:tc>
        <w:tc>
          <w:tcPr>
            <w:tcW w:w="1981" w:type="dxa"/>
            <w:vMerge/>
            <w:noWrap/>
          </w:tcPr>
          <w:p w14:paraId="4E9B302B" w14:textId="77777777" w:rsidR="00D170E5" w:rsidRPr="002B55E9" w:rsidRDefault="00D170E5" w:rsidP="006915F3">
            <w:pPr>
              <w:pStyle w:val="lgy-"/>
              <w:rPr>
                <w:rFonts w:eastAsia="宋体"/>
              </w:rPr>
            </w:pPr>
          </w:p>
        </w:tc>
      </w:tr>
      <w:tr w:rsidR="00C60999" w:rsidRPr="002B55E9" w14:paraId="33DDE152" w14:textId="77777777" w:rsidTr="006915F3">
        <w:trPr>
          <w:trHeight w:val="283"/>
        </w:trPr>
        <w:tc>
          <w:tcPr>
            <w:tcW w:w="475" w:type="dxa"/>
            <w:vMerge/>
            <w:noWrap/>
          </w:tcPr>
          <w:p w14:paraId="6A8DF863" w14:textId="77777777" w:rsidR="00D170E5" w:rsidRPr="002B55E9" w:rsidRDefault="00D170E5" w:rsidP="006915F3">
            <w:pPr>
              <w:pStyle w:val="lgy-"/>
            </w:pPr>
          </w:p>
        </w:tc>
        <w:tc>
          <w:tcPr>
            <w:tcW w:w="1089" w:type="dxa"/>
            <w:noWrap/>
          </w:tcPr>
          <w:p w14:paraId="637EE4F3" w14:textId="77777777" w:rsidR="00D170E5" w:rsidRPr="002B55E9" w:rsidRDefault="00EF27AD" w:rsidP="006915F3">
            <w:pPr>
              <w:pStyle w:val="lgy-"/>
            </w:pPr>
            <w:r w:rsidRPr="002B55E9">
              <w:rPr>
                <w:rFonts w:eastAsia="宋体" w:hint="eastAsia"/>
              </w:rPr>
              <w:t>检验分析</w:t>
            </w:r>
          </w:p>
        </w:tc>
        <w:tc>
          <w:tcPr>
            <w:tcW w:w="1345" w:type="dxa"/>
            <w:noWrap/>
          </w:tcPr>
          <w:p w14:paraId="16222934" w14:textId="391AB968" w:rsidR="00D170E5" w:rsidRPr="002B55E9" w:rsidRDefault="00924AFA" w:rsidP="006915F3">
            <w:pPr>
              <w:pStyle w:val="lgy-"/>
            </w:pPr>
            <w:r w:rsidRPr="002B55E9">
              <w:rPr>
                <w:rFonts w:eastAsia="宋体" w:hint="eastAsia"/>
              </w:rPr>
              <w:t>非甲烷总烃</w:t>
            </w:r>
            <w:r w:rsidR="00EF27AD" w:rsidRPr="002B55E9">
              <w:rPr>
                <w:rFonts w:eastAsia="宋体" w:hint="eastAsia"/>
              </w:rPr>
              <w:t>、硫酸、甲醛、氯化氢等</w:t>
            </w:r>
          </w:p>
        </w:tc>
        <w:tc>
          <w:tcPr>
            <w:tcW w:w="3874" w:type="dxa"/>
            <w:noWrap/>
          </w:tcPr>
          <w:p w14:paraId="37936B16" w14:textId="77777777" w:rsidR="00D170E5" w:rsidRPr="002B55E9" w:rsidRDefault="00EF27AD" w:rsidP="006915F3">
            <w:pPr>
              <w:pStyle w:val="lgy-"/>
            </w:pPr>
            <w:r w:rsidRPr="002B55E9">
              <w:rPr>
                <w:rFonts w:eastAsia="宋体" w:hint="eastAsia"/>
              </w:rPr>
              <w:t>经活性炭吸附处理后通过</w:t>
            </w:r>
            <w:r w:rsidRPr="002B55E9">
              <w:rPr>
                <w:rFonts w:eastAsia="宋体"/>
              </w:rPr>
              <w:t>18</w:t>
            </w:r>
            <w:r w:rsidRPr="002B55E9">
              <w:rPr>
                <w:rFonts w:eastAsia="宋体" w:hint="eastAsia"/>
              </w:rPr>
              <w:t>m</w:t>
            </w:r>
            <w:r w:rsidRPr="002B55E9">
              <w:rPr>
                <w:rFonts w:eastAsia="宋体" w:hint="eastAsia"/>
              </w:rPr>
              <w:t>排气筒高空排放（</w:t>
            </w:r>
            <w:r w:rsidRPr="002B55E9">
              <w:rPr>
                <w:rFonts w:eastAsia="宋体" w:hint="eastAsia"/>
              </w:rPr>
              <w:t>D</w:t>
            </w:r>
            <w:r w:rsidRPr="002B55E9">
              <w:rPr>
                <w:rFonts w:eastAsia="宋体"/>
              </w:rPr>
              <w:t>A003</w:t>
            </w:r>
            <w:r w:rsidRPr="002B55E9">
              <w:rPr>
                <w:rFonts w:eastAsia="宋体" w:hint="eastAsia"/>
              </w:rPr>
              <w:t>）</w:t>
            </w:r>
          </w:p>
        </w:tc>
        <w:tc>
          <w:tcPr>
            <w:tcW w:w="873" w:type="dxa"/>
            <w:vMerge/>
            <w:noWrap/>
          </w:tcPr>
          <w:p w14:paraId="2D7FF180" w14:textId="77777777" w:rsidR="00D170E5" w:rsidRPr="002B55E9" w:rsidRDefault="00D170E5" w:rsidP="006915F3">
            <w:pPr>
              <w:pStyle w:val="lgy-"/>
            </w:pPr>
          </w:p>
        </w:tc>
        <w:tc>
          <w:tcPr>
            <w:tcW w:w="1981" w:type="dxa"/>
            <w:vMerge/>
            <w:noWrap/>
          </w:tcPr>
          <w:p w14:paraId="2060926B" w14:textId="77777777" w:rsidR="00D170E5" w:rsidRPr="002B55E9" w:rsidRDefault="00D170E5" w:rsidP="006915F3">
            <w:pPr>
              <w:pStyle w:val="lgy-"/>
              <w:rPr>
                <w:rFonts w:eastAsia="宋体"/>
              </w:rPr>
            </w:pPr>
          </w:p>
        </w:tc>
      </w:tr>
      <w:tr w:rsidR="00C60999" w:rsidRPr="002B55E9" w14:paraId="06E2161A" w14:textId="77777777" w:rsidTr="006915F3">
        <w:trPr>
          <w:trHeight w:val="283"/>
        </w:trPr>
        <w:tc>
          <w:tcPr>
            <w:tcW w:w="475" w:type="dxa"/>
            <w:vMerge w:val="restart"/>
            <w:noWrap/>
          </w:tcPr>
          <w:p w14:paraId="6219E772" w14:textId="77777777" w:rsidR="00D170E5" w:rsidRPr="002B55E9" w:rsidRDefault="00EF27AD" w:rsidP="006915F3">
            <w:pPr>
              <w:pStyle w:val="lgy-"/>
            </w:pPr>
            <w:r w:rsidRPr="002B55E9">
              <w:rPr>
                <w:rFonts w:eastAsia="宋体"/>
              </w:rPr>
              <w:t>废水</w:t>
            </w:r>
          </w:p>
        </w:tc>
        <w:tc>
          <w:tcPr>
            <w:tcW w:w="1089" w:type="dxa"/>
            <w:noWrap/>
          </w:tcPr>
          <w:p w14:paraId="16D0E665" w14:textId="77777777" w:rsidR="00D170E5" w:rsidRPr="002B55E9" w:rsidRDefault="00EF27AD" w:rsidP="006915F3">
            <w:pPr>
              <w:pStyle w:val="lgy-"/>
            </w:pPr>
            <w:r w:rsidRPr="002B55E9">
              <w:rPr>
                <w:rFonts w:eastAsia="宋体" w:hint="eastAsia"/>
              </w:rPr>
              <w:t>生活污水</w:t>
            </w:r>
          </w:p>
        </w:tc>
        <w:tc>
          <w:tcPr>
            <w:tcW w:w="1345" w:type="dxa"/>
            <w:noWrap/>
          </w:tcPr>
          <w:p w14:paraId="67236C55" w14:textId="77777777" w:rsidR="00D170E5" w:rsidRPr="002B55E9" w:rsidRDefault="00EF27AD" w:rsidP="006915F3">
            <w:pPr>
              <w:pStyle w:val="lgy-"/>
            </w:pPr>
            <w:r w:rsidRPr="002B55E9">
              <w:rPr>
                <w:rFonts w:eastAsia="宋体" w:hint="eastAsia"/>
              </w:rPr>
              <w:t>pH</w:t>
            </w:r>
            <w:r w:rsidRPr="002B55E9">
              <w:rPr>
                <w:rFonts w:eastAsia="宋体" w:hint="eastAsia"/>
              </w:rPr>
              <w:t>、</w:t>
            </w:r>
            <w:r w:rsidRPr="002B55E9">
              <w:rPr>
                <w:rFonts w:eastAsia="宋体"/>
              </w:rPr>
              <w:t>COD</w:t>
            </w:r>
            <w:r w:rsidRPr="002B55E9">
              <w:rPr>
                <w:rFonts w:eastAsia="宋体"/>
              </w:rPr>
              <w:t>、</w:t>
            </w:r>
            <w:r w:rsidRPr="002B55E9">
              <w:rPr>
                <w:rFonts w:eastAsia="宋体"/>
              </w:rPr>
              <w:t>BOD</w:t>
            </w:r>
            <w:r w:rsidRPr="002B55E9">
              <w:rPr>
                <w:rFonts w:eastAsia="宋体"/>
                <w:vertAlign w:val="subscript"/>
              </w:rPr>
              <w:t>5</w:t>
            </w:r>
            <w:r w:rsidRPr="002B55E9">
              <w:rPr>
                <w:rFonts w:eastAsia="宋体"/>
              </w:rPr>
              <w:t>、</w:t>
            </w:r>
            <w:r w:rsidRPr="002B55E9">
              <w:rPr>
                <w:rFonts w:eastAsia="宋体"/>
              </w:rPr>
              <w:t>SS</w:t>
            </w:r>
            <w:r w:rsidRPr="002B55E9">
              <w:rPr>
                <w:rFonts w:eastAsia="宋体"/>
              </w:rPr>
              <w:t>、氨氮</w:t>
            </w:r>
            <w:r w:rsidRPr="002B55E9">
              <w:rPr>
                <w:rFonts w:eastAsia="宋体" w:hint="eastAsia"/>
              </w:rPr>
              <w:t>、总氮、总磷、</w:t>
            </w:r>
            <w:r w:rsidRPr="002B55E9">
              <w:rPr>
                <w:rFonts w:eastAsia="宋体"/>
              </w:rPr>
              <w:t>动植物油</w:t>
            </w:r>
          </w:p>
        </w:tc>
        <w:tc>
          <w:tcPr>
            <w:tcW w:w="3874" w:type="dxa"/>
            <w:vMerge w:val="restart"/>
            <w:noWrap/>
          </w:tcPr>
          <w:p w14:paraId="54FFE932" w14:textId="41206417" w:rsidR="00D170E5" w:rsidRPr="002B55E9" w:rsidRDefault="00EF27AD" w:rsidP="006915F3">
            <w:pPr>
              <w:pStyle w:val="lgy-"/>
            </w:pPr>
            <w:r w:rsidRPr="002B55E9">
              <w:rPr>
                <w:rFonts w:eastAsia="宋体" w:hint="eastAsia"/>
              </w:rPr>
              <w:t>生活污水经化粪池处理后与生产废水一并排入佛山市海天（武汉）调味品有限公司厂区污水处理站处理，处理达标后经污水总排口排入市政污水管网，最终进入东西湖污水处理厂出后排入府河，污水处理站设计处理能力</w:t>
            </w:r>
            <w:r w:rsidRPr="002B55E9">
              <w:rPr>
                <w:rFonts w:eastAsia="宋体" w:hint="eastAsia"/>
              </w:rPr>
              <w:t>1</w:t>
            </w:r>
            <w:r w:rsidRPr="002B55E9">
              <w:rPr>
                <w:rFonts w:eastAsia="宋体"/>
              </w:rPr>
              <w:t>000</w:t>
            </w:r>
            <w:r w:rsidRPr="002B55E9">
              <w:rPr>
                <w:rFonts w:eastAsia="宋体" w:hint="eastAsia"/>
              </w:rPr>
              <w:t>m</w:t>
            </w:r>
            <w:r w:rsidRPr="002B55E9">
              <w:rPr>
                <w:rFonts w:eastAsia="宋体"/>
                <w:vertAlign w:val="superscript"/>
              </w:rPr>
              <w:t>3</w:t>
            </w:r>
            <w:r w:rsidRPr="002B55E9">
              <w:rPr>
                <w:rFonts w:eastAsia="宋体"/>
              </w:rPr>
              <w:t>/d</w:t>
            </w:r>
            <w:r w:rsidRPr="002B55E9">
              <w:rPr>
                <w:rFonts w:eastAsia="宋体" w:hint="eastAsia"/>
              </w:rPr>
              <w:t>，处理工艺为“</w:t>
            </w:r>
            <w:r w:rsidR="007F1BA2" w:rsidRPr="002B55E9">
              <w:rPr>
                <w:rFonts w:eastAsia="宋体" w:hint="eastAsia"/>
              </w:rPr>
              <w:t>预处理</w:t>
            </w:r>
            <w:r w:rsidR="007F1BA2" w:rsidRPr="002B55E9">
              <w:rPr>
                <w:rFonts w:eastAsia="宋体" w:hint="eastAsia"/>
              </w:rPr>
              <w:t>+</w:t>
            </w:r>
            <w:r w:rsidR="007F1BA2" w:rsidRPr="002B55E9">
              <w:rPr>
                <w:rFonts w:eastAsia="宋体" w:hint="eastAsia"/>
              </w:rPr>
              <w:t>厌氧</w:t>
            </w:r>
            <w:r w:rsidR="007F1BA2" w:rsidRPr="002B55E9">
              <w:rPr>
                <w:rFonts w:eastAsia="宋体" w:hint="eastAsia"/>
              </w:rPr>
              <w:t>+AO</w:t>
            </w:r>
            <w:r w:rsidR="007F1BA2" w:rsidRPr="002B55E9">
              <w:rPr>
                <w:rFonts w:eastAsia="宋体" w:hint="eastAsia"/>
              </w:rPr>
              <w:t>系统</w:t>
            </w:r>
            <w:r w:rsidR="007F1BA2" w:rsidRPr="002B55E9">
              <w:rPr>
                <w:rFonts w:eastAsia="宋体" w:hint="eastAsia"/>
              </w:rPr>
              <w:t>+</w:t>
            </w:r>
            <w:r w:rsidR="007F1BA2" w:rsidRPr="002B55E9">
              <w:rPr>
                <w:rFonts w:eastAsia="宋体" w:hint="eastAsia"/>
              </w:rPr>
              <w:t>深度处理</w:t>
            </w:r>
            <w:r w:rsidRPr="002B55E9">
              <w:rPr>
                <w:rFonts w:eastAsia="宋体" w:hint="eastAsia"/>
              </w:rPr>
              <w:t>”</w:t>
            </w:r>
          </w:p>
        </w:tc>
        <w:tc>
          <w:tcPr>
            <w:tcW w:w="873" w:type="dxa"/>
            <w:vMerge w:val="restart"/>
            <w:noWrap/>
          </w:tcPr>
          <w:p w14:paraId="78A207B7" w14:textId="77777777" w:rsidR="00D170E5" w:rsidRPr="002B55E9" w:rsidRDefault="00EF27AD" w:rsidP="006915F3">
            <w:pPr>
              <w:pStyle w:val="lgy-"/>
            </w:pPr>
            <w:r w:rsidRPr="002B55E9">
              <w:rPr>
                <w:rFonts w:eastAsia="宋体" w:hint="eastAsia"/>
              </w:rPr>
              <w:t>50</w:t>
            </w:r>
          </w:p>
        </w:tc>
        <w:tc>
          <w:tcPr>
            <w:tcW w:w="1981" w:type="dxa"/>
            <w:vMerge w:val="restart"/>
            <w:noWrap/>
          </w:tcPr>
          <w:p w14:paraId="7B0EEE8A" w14:textId="77777777" w:rsidR="00D170E5" w:rsidRPr="002B55E9" w:rsidRDefault="00EF27AD" w:rsidP="006915F3">
            <w:pPr>
              <w:pStyle w:val="lgy-"/>
              <w:rPr>
                <w:rFonts w:eastAsia="宋体"/>
              </w:rPr>
            </w:pPr>
            <w:r w:rsidRPr="002B55E9">
              <w:rPr>
                <w:rFonts w:eastAsia="宋体" w:hint="eastAsia"/>
              </w:rPr>
              <w:t>总排口废水排放满足东西湖</w:t>
            </w:r>
            <w:r w:rsidRPr="002B55E9">
              <w:rPr>
                <w:rFonts w:eastAsia="宋体"/>
              </w:rPr>
              <w:t>污水</w:t>
            </w:r>
            <w:r w:rsidRPr="002B55E9">
              <w:rPr>
                <w:rFonts w:eastAsia="宋体" w:hint="eastAsia"/>
              </w:rPr>
              <w:t>处理厂</w:t>
            </w:r>
            <w:r w:rsidRPr="002B55E9">
              <w:rPr>
                <w:rFonts w:eastAsia="宋体"/>
              </w:rPr>
              <w:t>纳管标准及</w:t>
            </w:r>
            <w:r w:rsidRPr="002B55E9">
              <w:rPr>
                <w:rFonts w:eastAsia="宋体" w:hint="eastAsia"/>
              </w:rPr>
              <w:t>《污水综合排放标准》（</w:t>
            </w:r>
            <w:r w:rsidRPr="002B55E9">
              <w:rPr>
                <w:rFonts w:eastAsia="宋体" w:hint="eastAsia"/>
              </w:rPr>
              <w:t>GB8978-1996</w:t>
            </w:r>
            <w:r w:rsidRPr="002B55E9">
              <w:rPr>
                <w:rFonts w:eastAsia="宋体" w:hint="eastAsia"/>
              </w:rPr>
              <w:t>）表</w:t>
            </w:r>
            <w:r w:rsidRPr="002B55E9">
              <w:rPr>
                <w:rFonts w:eastAsia="宋体" w:hint="eastAsia"/>
              </w:rPr>
              <w:t>4</w:t>
            </w:r>
            <w:r w:rsidRPr="002B55E9">
              <w:rPr>
                <w:rFonts w:eastAsia="宋体" w:hint="eastAsia"/>
              </w:rPr>
              <w:t>三级标准</w:t>
            </w:r>
          </w:p>
        </w:tc>
      </w:tr>
      <w:tr w:rsidR="00C60999" w:rsidRPr="002B55E9" w14:paraId="6A261B39" w14:textId="77777777" w:rsidTr="006915F3">
        <w:trPr>
          <w:trHeight w:val="283"/>
        </w:trPr>
        <w:tc>
          <w:tcPr>
            <w:tcW w:w="475" w:type="dxa"/>
            <w:vMerge/>
            <w:noWrap/>
          </w:tcPr>
          <w:p w14:paraId="2A76A190" w14:textId="77777777" w:rsidR="00D170E5" w:rsidRPr="002B55E9" w:rsidRDefault="00D170E5" w:rsidP="006915F3">
            <w:pPr>
              <w:pStyle w:val="lgy-"/>
            </w:pPr>
          </w:p>
        </w:tc>
        <w:tc>
          <w:tcPr>
            <w:tcW w:w="1089" w:type="dxa"/>
            <w:noWrap/>
          </w:tcPr>
          <w:p w14:paraId="2420DB0B" w14:textId="77777777" w:rsidR="00D170E5" w:rsidRPr="002B55E9" w:rsidRDefault="00EF27AD" w:rsidP="006915F3">
            <w:pPr>
              <w:pStyle w:val="lgy-"/>
            </w:pPr>
            <w:r w:rsidRPr="002B55E9">
              <w:rPr>
                <w:rFonts w:eastAsia="宋体" w:hint="eastAsia"/>
              </w:rPr>
              <w:t>生产</w:t>
            </w:r>
            <w:r w:rsidRPr="002B55E9">
              <w:rPr>
                <w:rFonts w:eastAsia="宋体"/>
              </w:rPr>
              <w:t>废水</w:t>
            </w:r>
          </w:p>
        </w:tc>
        <w:tc>
          <w:tcPr>
            <w:tcW w:w="1345" w:type="dxa"/>
            <w:noWrap/>
          </w:tcPr>
          <w:p w14:paraId="1B8004A6" w14:textId="2F7CED6A" w:rsidR="00D170E5" w:rsidRPr="002B55E9" w:rsidRDefault="00EF27AD" w:rsidP="003E2FA0">
            <w:pPr>
              <w:pStyle w:val="lgy-"/>
            </w:pPr>
            <w:r w:rsidRPr="002B55E9">
              <w:rPr>
                <w:rFonts w:eastAsia="宋体" w:hint="eastAsia"/>
              </w:rPr>
              <w:t>pH</w:t>
            </w:r>
            <w:r w:rsidRPr="002B55E9">
              <w:rPr>
                <w:rFonts w:eastAsia="宋体" w:hint="eastAsia"/>
              </w:rPr>
              <w:t>、</w:t>
            </w:r>
            <w:r w:rsidRPr="002B55E9">
              <w:rPr>
                <w:rFonts w:eastAsia="宋体"/>
              </w:rPr>
              <w:t>COD</w:t>
            </w:r>
            <w:r w:rsidRPr="002B55E9">
              <w:rPr>
                <w:rFonts w:eastAsia="宋体"/>
              </w:rPr>
              <w:t>、</w:t>
            </w:r>
            <w:r w:rsidRPr="002B55E9">
              <w:rPr>
                <w:rFonts w:eastAsia="宋体"/>
              </w:rPr>
              <w:t>BOD</w:t>
            </w:r>
            <w:r w:rsidRPr="002B55E9">
              <w:rPr>
                <w:rFonts w:eastAsia="宋体"/>
                <w:vertAlign w:val="subscript"/>
              </w:rPr>
              <w:t>5</w:t>
            </w:r>
            <w:r w:rsidRPr="002B55E9">
              <w:rPr>
                <w:rFonts w:eastAsia="宋体"/>
              </w:rPr>
              <w:t>、</w:t>
            </w:r>
            <w:r w:rsidRPr="002B55E9">
              <w:rPr>
                <w:rFonts w:eastAsia="宋体"/>
              </w:rPr>
              <w:t>SS</w:t>
            </w:r>
            <w:r w:rsidRPr="002B55E9">
              <w:rPr>
                <w:rFonts w:eastAsia="宋体"/>
              </w:rPr>
              <w:t>、氨氮</w:t>
            </w:r>
            <w:r w:rsidRPr="002B55E9">
              <w:rPr>
                <w:rFonts w:eastAsia="宋体" w:hint="eastAsia"/>
              </w:rPr>
              <w:t>、总氮、总磷等</w:t>
            </w:r>
          </w:p>
        </w:tc>
        <w:tc>
          <w:tcPr>
            <w:tcW w:w="3874" w:type="dxa"/>
            <w:vMerge/>
            <w:noWrap/>
          </w:tcPr>
          <w:p w14:paraId="193F0B01" w14:textId="77777777" w:rsidR="00D170E5" w:rsidRPr="002B55E9" w:rsidRDefault="00D170E5" w:rsidP="006915F3">
            <w:pPr>
              <w:pStyle w:val="lgy-"/>
            </w:pPr>
          </w:p>
        </w:tc>
        <w:tc>
          <w:tcPr>
            <w:tcW w:w="873" w:type="dxa"/>
            <w:vMerge/>
            <w:noWrap/>
          </w:tcPr>
          <w:p w14:paraId="2295EFC5" w14:textId="77777777" w:rsidR="00D170E5" w:rsidRPr="002B55E9" w:rsidRDefault="00D170E5" w:rsidP="006915F3">
            <w:pPr>
              <w:pStyle w:val="lgy-"/>
            </w:pPr>
          </w:p>
        </w:tc>
        <w:tc>
          <w:tcPr>
            <w:tcW w:w="1981" w:type="dxa"/>
            <w:vMerge/>
            <w:noWrap/>
          </w:tcPr>
          <w:p w14:paraId="6D1C1A33" w14:textId="77777777" w:rsidR="00D170E5" w:rsidRPr="002B55E9" w:rsidRDefault="00D170E5" w:rsidP="006915F3">
            <w:pPr>
              <w:pStyle w:val="lgy-"/>
              <w:rPr>
                <w:rFonts w:eastAsia="宋体"/>
              </w:rPr>
            </w:pPr>
          </w:p>
        </w:tc>
      </w:tr>
      <w:tr w:rsidR="00C60999" w:rsidRPr="002B55E9" w14:paraId="3355074A" w14:textId="77777777" w:rsidTr="006915F3">
        <w:trPr>
          <w:trHeight w:val="283"/>
        </w:trPr>
        <w:tc>
          <w:tcPr>
            <w:tcW w:w="475" w:type="dxa"/>
            <w:vMerge/>
            <w:noWrap/>
          </w:tcPr>
          <w:p w14:paraId="52EF4DEC" w14:textId="77777777" w:rsidR="00D170E5" w:rsidRPr="002B55E9" w:rsidRDefault="00D170E5" w:rsidP="006915F3">
            <w:pPr>
              <w:pStyle w:val="lgy-"/>
            </w:pPr>
          </w:p>
        </w:tc>
        <w:tc>
          <w:tcPr>
            <w:tcW w:w="1089" w:type="dxa"/>
            <w:noWrap/>
          </w:tcPr>
          <w:p w14:paraId="418D2602" w14:textId="77777777" w:rsidR="00D170E5" w:rsidRPr="002B55E9" w:rsidRDefault="00EF27AD" w:rsidP="006915F3">
            <w:pPr>
              <w:pStyle w:val="lgy-"/>
            </w:pPr>
            <w:r w:rsidRPr="002B55E9">
              <w:rPr>
                <w:rFonts w:eastAsia="宋体" w:hint="eastAsia"/>
              </w:rPr>
              <w:t>蒸汽</w:t>
            </w:r>
            <w:r w:rsidRPr="002B55E9">
              <w:rPr>
                <w:rFonts w:eastAsia="宋体"/>
              </w:rPr>
              <w:t>冷凝水</w:t>
            </w:r>
          </w:p>
        </w:tc>
        <w:tc>
          <w:tcPr>
            <w:tcW w:w="1345" w:type="dxa"/>
            <w:noWrap/>
          </w:tcPr>
          <w:p w14:paraId="5EF7FB4F" w14:textId="77777777" w:rsidR="00D170E5" w:rsidRPr="002B55E9" w:rsidRDefault="00EF27AD" w:rsidP="006915F3">
            <w:pPr>
              <w:pStyle w:val="lgy-"/>
            </w:pPr>
            <w:r w:rsidRPr="002B55E9">
              <w:rPr>
                <w:rFonts w:eastAsia="宋体"/>
              </w:rPr>
              <w:t>COD</w:t>
            </w:r>
            <w:r w:rsidRPr="002B55E9">
              <w:rPr>
                <w:rFonts w:eastAsia="宋体"/>
              </w:rPr>
              <w:t>、</w:t>
            </w:r>
            <w:r w:rsidRPr="002B55E9">
              <w:rPr>
                <w:rFonts w:eastAsia="宋体"/>
              </w:rPr>
              <w:t>SS</w:t>
            </w:r>
            <w:r w:rsidRPr="002B55E9">
              <w:rPr>
                <w:rFonts w:eastAsia="宋体" w:hint="eastAsia"/>
              </w:rPr>
              <w:t>等</w:t>
            </w:r>
          </w:p>
        </w:tc>
        <w:tc>
          <w:tcPr>
            <w:tcW w:w="3874" w:type="dxa"/>
            <w:noWrap/>
          </w:tcPr>
          <w:p w14:paraId="6A70E4B5" w14:textId="77777777" w:rsidR="00D170E5" w:rsidRPr="002B55E9" w:rsidRDefault="00EF27AD" w:rsidP="006915F3">
            <w:pPr>
              <w:pStyle w:val="lgy-"/>
            </w:pPr>
            <w:r w:rsidRPr="002B55E9">
              <w:rPr>
                <w:rFonts w:eastAsia="宋体" w:hint="eastAsia"/>
              </w:rPr>
              <w:t>经单独管网收集后接至佛山市海天（武汉）调味品有限公司污水总排口排放至市政污水管网</w:t>
            </w:r>
          </w:p>
        </w:tc>
        <w:tc>
          <w:tcPr>
            <w:tcW w:w="873" w:type="dxa"/>
            <w:noWrap/>
          </w:tcPr>
          <w:p w14:paraId="0802D9E3" w14:textId="77777777" w:rsidR="00D170E5" w:rsidRPr="002B55E9" w:rsidRDefault="00EF27AD" w:rsidP="006915F3">
            <w:pPr>
              <w:pStyle w:val="lgy-"/>
            </w:pPr>
            <w:r w:rsidRPr="002B55E9">
              <w:rPr>
                <w:rFonts w:eastAsia="宋体"/>
              </w:rPr>
              <w:t>20</w:t>
            </w:r>
          </w:p>
        </w:tc>
        <w:tc>
          <w:tcPr>
            <w:tcW w:w="1981" w:type="dxa"/>
            <w:vMerge/>
            <w:noWrap/>
          </w:tcPr>
          <w:p w14:paraId="706D7CAE" w14:textId="77777777" w:rsidR="00D170E5" w:rsidRPr="002B55E9" w:rsidRDefault="00D170E5" w:rsidP="006915F3">
            <w:pPr>
              <w:pStyle w:val="lgy-"/>
              <w:rPr>
                <w:rFonts w:eastAsia="宋体"/>
              </w:rPr>
            </w:pPr>
          </w:p>
        </w:tc>
      </w:tr>
      <w:tr w:rsidR="00C60999" w:rsidRPr="002B55E9" w14:paraId="718789CC" w14:textId="77777777" w:rsidTr="006915F3">
        <w:trPr>
          <w:trHeight w:val="283"/>
        </w:trPr>
        <w:tc>
          <w:tcPr>
            <w:tcW w:w="475" w:type="dxa"/>
            <w:vMerge w:val="restart"/>
            <w:noWrap/>
          </w:tcPr>
          <w:p w14:paraId="600560E5" w14:textId="77777777" w:rsidR="00D170E5" w:rsidRPr="002B55E9" w:rsidRDefault="00EF27AD" w:rsidP="006915F3">
            <w:pPr>
              <w:pStyle w:val="lgy-"/>
            </w:pPr>
            <w:r w:rsidRPr="002B55E9">
              <w:rPr>
                <w:rFonts w:eastAsia="宋体"/>
              </w:rPr>
              <w:t>固废</w:t>
            </w:r>
          </w:p>
        </w:tc>
        <w:tc>
          <w:tcPr>
            <w:tcW w:w="1089" w:type="dxa"/>
            <w:noWrap/>
          </w:tcPr>
          <w:p w14:paraId="4963282D" w14:textId="77777777" w:rsidR="00D170E5" w:rsidRPr="002B55E9" w:rsidRDefault="00EF27AD" w:rsidP="006915F3">
            <w:pPr>
              <w:pStyle w:val="lgy-"/>
            </w:pPr>
            <w:r w:rsidRPr="002B55E9">
              <w:rPr>
                <w:rFonts w:eastAsia="宋体" w:hint="eastAsia"/>
              </w:rPr>
              <w:t>危险废物</w:t>
            </w:r>
          </w:p>
        </w:tc>
        <w:tc>
          <w:tcPr>
            <w:tcW w:w="1345" w:type="dxa"/>
            <w:noWrap/>
          </w:tcPr>
          <w:p w14:paraId="7C093144" w14:textId="77777777" w:rsidR="00D170E5" w:rsidRPr="002B55E9" w:rsidRDefault="00EF27AD" w:rsidP="006915F3">
            <w:pPr>
              <w:pStyle w:val="lgy-"/>
            </w:pPr>
            <w:r w:rsidRPr="002B55E9">
              <w:rPr>
                <w:rFonts w:eastAsia="宋体" w:hint="eastAsia"/>
              </w:rPr>
              <w:t>废胶桶、废油墨桶、废墨盒、实验废液、废实验室耗材、废活性炭、废机油及含油抹布等</w:t>
            </w:r>
          </w:p>
        </w:tc>
        <w:tc>
          <w:tcPr>
            <w:tcW w:w="3874" w:type="dxa"/>
            <w:noWrap/>
          </w:tcPr>
          <w:p w14:paraId="07B405A0" w14:textId="77777777" w:rsidR="00D170E5" w:rsidRPr="002B55E9" w:rsidRDefault="00EF27AD" w:rsidP="006915F3">
            <w:pPr>
              <w:pStyle w:val="lgy-"/>
            </w:pPr>
            <w:r w:rsidRPr="002B55E9">
              <w:rPr>
                <w:rFonts w:eastAsia="宋体" w:hint="eastAsia"/>
              </w:rPr>
              <w:t>在罐区三北侧设置一间</w:t>
            </w:r>
            <w:r w:rsidRPr="002B55E9">
              <w:rPr>
                <w:rFonts w:eastAsia="宋体" w:hint="eastAsia"/>
              </w:rPr>
              <w:t>1</w:t>
            </w:r>
            <w:r w:rsidRPr="002B55E9">
              <w:rPr>
                <w:rFonts w:eastAsia="宋体"/>
              </w:rPr>
              <w:t>2</w:t>
            </w:r>
            <w:r w:rsidRPr="002B55E9">
              <w:rPr>
                <w:rFonts w:eastAsia="宋体" w:hint="eastAsia"/>
              </w:rPr>
              <w:t>m</w:t>
            </w:r>
            <w:r w:rsidRPr="002B55E9">
              <w:rPr>
                <w:rFonts w:eastAsia="宋体"/>
                <w:vertAlign w:val="superscript"/>
              </w:rPr>
              <w:t>2</w:t>
            </w:r>
            <w:r w:rsidRPr="002B55E9">
              <w:rPr>
                <w:rFonts w:eastAsia="宋体" w:hint="eastAsia"/>
              </w:rPr>
              <w:t>的危废暂存间，危险废物厂区暂存后定期交由有资质单位安全处置</w:t>
            </w:r>
          </w:p>
        </w:tc>
        <w:tc>
          <w:tcPr>
            <w:tcW w:w="873" w:type="dxa"/>
            <w:vMerge w:val="restart"/>
            <w:noWrap/>
          </w:tcPr>
          <w:p w14:paraId="204891C9" w14:textId="77777777" w:rsidR="00D170E5" w:rsidRPr="002B55E9" w:rsidRDefault="00EF27AD" w:rsidP="006915F3">
            <w:pPr>
              <w:pStyle w:val="lgy-"/>
            </w:pPr>
            <w:r w:rsidRPr="002B55E9">
              <w:rPr>
                <w:rFonts w:eastAsia="宋体" w:hint="eastAsia"/>
              </w:rPr>
              <w:t>30</w:t>
            </w:r>
          </w:p>
        </w:tc>
        <w:tc>
          <w:tcPr>
            <w:tcW w:w="1981" w:type="dxa"/>
            <w:vMerge w:val="restart"/>
            <w:noWrap/>
          </w:tcPr>
          <w:p w14:paraId="1B0D8A83" w14:textId="77777777" w:rsidR="00D170E5" w:rsidRPr="002B55E9" w:rsidRDefault="00EF27AD" w:rsidP="006915F3">
            <w:pPr>
              <w:pStyle w:val="lgy-"/>
              <w:rPr>
                <w:rFonts w:eastAsia="宋体"/>
              </w:rPr>
            </w:pPr>
            <w:r w:rsidRPr="002B55E9">
              <w:rPr>
                <w:rFonts w:eastAsia="宋体"/>
              </w:rPr>
              <w:t>妥善处置，不外排</w:t>
            </w:r>
          </w:p>
        </w:tc>
      </w:tr>
      <w:tr w:rsidR="00C60999" w:rsidRPr="002B55E9" w14:paraId="0D3AE6F3" w14:textId="77777777" w:rsidTr="006915F3">
        <w:trPr>
          <w:trHeight w:val="283"/>
        </w:trPr>
        <w:tc>
          <w:tcPr>
            <w:tcW w:w="475" w:type="dxa"/>
            <w:vMerge/>
            <w:noWrap/>
          </w:tcPr>
          <w:p w14:paraId="77BE3883" w14:textId="77777777" w:rsidR="00D170E5" w:rsidRPr="002B55E9" w:rsidRDefault="00D170E5" w:rsidP="006915F3">
            <w:pPr>
              <w:pStyle w:val="lgy-"/>
            </w:pPr>
          </w:p>
        </w:tc>
        <w:tc>
          <w:tcPr>
            <w:tcW w:w="1089" w:type="dxa"/>
            <w:noWrap/>
          </w:tcPr>
          <w:p w14:paraId="578AFEE3" w14:textId="77777777" w:rsidR="00D170E5" w:rsidRPr="002B55E9" w:rsidRDefault="00EF27AD" w:rsidP="006915F3">
            <w:pPr>
              <w:pStyle w:val="lgy-"/>
            </w:pPr>
            <w:r w:rsidRPr="002B55E9">
              <w:rPr>
                <w:rFonts w:eastAsia="宋体"/>
              </w:rPr>
              <w:t>一般固废</w:t>
            </w:r>
          </w:p>
        </w:tc>
        <w:tc>
          <w:tcPr>
            <w:tcW w:w="1345" w:type="dxa"/>
            <w:noWrap/>
          </w:tcPr>
          <w:p w14:paraId="0A6129B4" w14:textId="4F9DE372" w:rsidR="00D170E5" w:rsidRPr="002B55E9" w:rsidRDefault="00EF27AD" w:rsidP="006915F3">
            <w:pPr>
              <w:pStyle w:val="lgy-"/>
            </w:pPr>
            <w:r w:rsidRPr="002B55E9">
              <w:rPr>
                <w:rFonts w:eastAsia="宋体" w:hint="eastAsia"/>
              </w:rPr>
              <w:t>过滤残渣、除尘器粉尘、废包装材料（包括废瓶碎瓶、废瓶盖、废纸箱等）、纯水制备</w:t>
            </w:r>
            <w:r w:rsidRPr="002B55E9">
              <w:rPr>
                <w:rFonts w:eastAsia="宋体" w:hint="eastAsia"/>
              </w:rPr>
              <w:t>RO</w:t>
            </w:r>
            <w:r w:rsidRPr="002B55E9">
              <w:rPr>
                <w:rFonts w:eastAsia="宋体" w:hint="eastAsia"/>
              </w:rPr>
              <w:t>膜、</w:t>
            </w:r>
            <w:r w:rsidR="00F54EA6" w:rsidRPr="002B55E9">
              <w:rPr>
                <w:rFonts w:eastAsia="宋体" w:hint="eastAsia"/>
              </w:rPr>
              <w:t>废活性炭滤芯、废石英砂滤芯</w:t>
            </w:r>
            <w:r w:rsidR="00523135" w:rsidRPr="002B55E9">
              <w:rPr>
                <w:rFonts w:eastAsia="宋体" w:hint="eastAsia"/>
              </w:rPr>
              <w:t>、</w:t>
            </w:r>
            <w:r w:rsidR="00523135" w:rsidRPr="002B55E9">
              <w:rPr>
                <w:rFonts w:eastAsia="宋体"/>
              </w:rPr>
              <w:t>污水处理站污泥</w:t>
            </w:r>
            <w:r w:rsidRPr="002B55E9">
              <w:rPr>
                <w:rFonts w:eastAsia="宋体" w:hint="eastAsia"/>
              </w:rPr>
              <w:t>等</w:t>
            </w:r>
          </w:p>
        </w:tc>
        <w:tc>
          <w:tcPr>
            <w:tcW w:w="3874" w:type="dxa"/>
            <w:noWrap/>
          </w:tcPr>
          <w:p w14:paraId="4C898CB2" w14:textId="259F73E3" w:rsidR="00D170E5" w:rsidRPr="002B55E9" w:rsidRDefault="00EF27AD" w:rsidP="00523135">
            <w:pPr>
              <w:pStyle w:val="lgy-"/>
            </w:pPr>
            <w:r w:rsidRPr="002B55E9">
              <w:rPr>
                <w:rFonts w:eastAsia="宋体" w:hint="eastAsia"/>
              </w:rPr>
              <w:t>设置滤渣暂存间，过滤残渣定期交由有机肥</w:t>
            </w:r>
            <w:r w:rsidRPr="002B55E9">
              <w:rPr>
                <w:rFonts w:eastAsia="宋体"/>
              </w:rPr>
              <w:t>企业</w:t>
            </w:r>
            <w:r w:rsidRPr="002B55E9">
              <w:rPr>
                <w:rFonts w:eastAsia="宋体" w:hint="eastAsia"/>
              </w:rPr>
              <w:t>回收利用，其他一般固废交由物资回收单位综合利用</w:t>
            </w:r>
            <w:r w:rsidR="00523135" w:rsidRPr="002B55E9">
              <w:rPr>
                <w:rFonts w:eastAsia="宋体" w:hint="eastAsia"/>
              </w:rPr>
              <w:t>。污水处理站</w:t>
            </w:r>
            <w:r w:rsidR="00523135" w:rsidRPr="002B55E9">
              <w:rPr>
                <w:rFonts w:eastAsia="宋体"/>
              </w:rPr>
              <w:t>污泥不在本项目厂区</w:t>
            </w:r>
            <w:r w:rsidR="00523135" w:rsidRPr="002B55E9">
              <w:rPr>
                <w:rFonts w:eastAsia="宋体" w:hint="eastAsia"/>
              </w:rPr>
              <w:t>内</w:t>
            </w:r>
            <w:r w:rsidR="00523135" w:rsidRPr="002B55E9">
              <w:rPr>
                <w:rFonts w:eastAsia="宋体"/>
              </w:rPr>
              <w:t>产生，</w:t>
            </w:r>
            <w:r w:rsidR="00523135" w:rsidRPr="002B55E9">
              <w:rPr>
                <w:rFonts w:eastAsia="宋体" w:hint="eastAsia"/>
              </w:rPr>
              <w:t>由佛山市海天（武汉）调味食品有限公司委托</w:t>
            </w:r>
            <w:r w:rsidR="00523135" w:rsidRPr="002B55E9">
              <w:rPr>
                <w:rFonts w:eastAsia="宋体"/>
              </w:rPr>
              <w:t>专业清运公司进行处理</w:t>
            </w:r>
          </w:p>
        </w:tc>
        <w:tc>
          <w:tcPr>
            <w:tcW w:w="873" w:type="dxa"/>
            <w:vMerge/>
            <w:noWrap/>
          </w:tcPr>
          <w:p w14:paraId="53E76C3E" w14:textId="77777777" w:rsidR="00D170E5" w:rsidRPr="002B55E9" w:rsidRDefault="00D170E5" w:rsidP="006915F3">
            <w:pPr>
              <w:pStyle w:val="lgy-"/>
            </w:pPr>
          </w:p>
        </w:tc>
        <w:tc>
          <w:tcPr>
            <w:tcW w:w="1981" w:type="dxa"/>
            <w:vMerge/>
            <w:noWrap/>
          </w:tcPr>
          <w:p w14:paraId="70306FB8" w14:textId="77777777" w:rsidR="00D170E5" w:rsidRPr="002B55E9" w:rsidRDefault="00D170E5" w:rsidP="006915F3">
            <w:pPr>
              <w:pStyle w:val="lgy-"/>
              <w:rPr>
                <w:rFonts w:eastAsia="宋体"/>
              </w:rPr>
            </w:pPr>
          </w:p>
        </w:tc>
      </w:tr>
      <w:tr w:rsidR="00C60999" w:rsidRPr="002B55E9" w14:paraId="0E939BA0" w14:textId="77777777" w:rsidTr="006915F3">
        <w:trPr>
          <w:trHeight w:val="283"/>
        </w:trPr>
        <w:tc>
          <w:tcPr>
            <w:tcW w:w="475" w:type="dxa"/>
            <w:vMerge/>
            <w:noWrap/>
          </w:tcPr>
          <w:p w14:paraId="27BAAA8E" w14:textId="77777777" w:rsidR="00D170E5" w:rsidRPr="002B55E9" w:rsidRDefault="00D170E5" w:rsidP="006915F3">
            <w:pPr>
              <w:pStyle w:val="lgy-"/>
            </w:pPr>
          </w:p>
        </w:tc>
        <w:tc>
          <w:tcPr>
            <w:tcW w:w="1089" w:type="dxa"/>
            <w:noWrap/>
          </w:tcPr>
          <w:p w14:paraId="3F2DDEDB" w14:textId="77777777" w:rsidR="00D170E5" w:rsidRPr="002B55E9" w:rsidRDefault="00EF27AD" w:rsidP="006915F3">
            <w:pPr>
              <w:pStyle w:val="lgy-"/>
            </w:pPr>
            <w:r w:rsidRPr="002B55E9">
              <w:rPr>
                <w:rFonts w:eastAsia="宋体" w:hint="eastAsia"/>
              </w:rPr>
              <w:t>生活垃圾</w:t>
            </w:r>
          </w:p>
        </w:tc>
        <w:tc>
          <w:tcPr>
            <w:tcW w:w="1345" w:type="dxa"/>
            <w:noWrap/>
          </w:tcPr>
          <w:p w14:paraId="5DCB4628" w14:textId="77777777" w:rsidR="00D170E5" w:rsidRPr="002B55E9" w:rsidRDefault="00EF27AD" w:rsidP="006915F3">
            <w:pPr>
              <w:pStyle w:val="lgy-"/>
            </w:pPr>
            <w:r w:rsidRPr="002B55E9">
              <w:rPr>
                <w:rFonts w:eastAsia="宋体"/>
              </w:rPr>
              <w:t>生活垃圾</w:t>
            </w:r>
          </w:p>
        </w:tc>
        <w:tc>
          <w:tcPr>
            <w:tcW w:w="3874" w:type="dxa"/>
            <w:noWrap/>
          </w:tcPr>
          <w:p w14:paraId="5A4F5B20" w14:textId="77777777" w:rsidR="00D170E5" w:rsidRPr="002B55E9" w:rsidRDefault="00EF27AD" w:rsidP="006915F3">
            <w:pPr>
              <w:pStyle w:val="lgy-"/>
            </w:pPr>
            <w:r w:rsidRPr="002B55E9">
              <w:rPr>
                <w:rFonts w:eastAsia="宋体"/>
              </w:rPr>
              <w:t>环卫部门清运处理</w:t>
            </w:r>
          </w:p>
        </w:tc>
        <w:tc>
          <w:tcPr>
            <w:tcW w:w="873" w:type="dxa"/>
            <w:vMerge/>
            <w:noWrap/>
          </w:tcPr>
          <w:p w14:paraId="3167B85D" w14:textId="77777777" w:rsidR="00D170E5" w:rsidRPr="002B55E9" w:rsidRDefault="00D170E5" w:rsidP="006915F3">
            <w:pPr>
              <w:pStyle w:val="lgy-"/>
            </w:pPr>
          </w:p>
        </w:tc>
        <w:tc>
          <w:tcPr>
            <w:tcW w:w="1981" w:type="dxa"/>
            <w:vMerge/>
            <w:noWrap/>
          </w:tcPr>
          <w:p w14:paraId="7318842D" w14:textId="77777777" w:rsidR="00D170E5" w:rsidRPr="002B55E9" w:rsidRDefault="00D170E5" w:rsidP="006915F3">
            <w:pPr>
              <w:pStyle w:val="lgy-"/>
              <w:rPr>
                <w:rFonts w:eastAsia="宋体"/>
              </w:rPr>
            </w:pPr>
          </w:p>
        </w:tc>
      </w:tr>
      <w:tr w:rsidR="00C60999" w:rsidRPr="002B55E9" w14:paraId="414BB3EF" w14:textId="77777777" w:rsidTr="006915F3">
        <w:trPr>
          <w:trHeight w:val="283"/>
        </w:trPr>
        <w:tc>
          <w:tcPr>
            <w:tcW w:w="475" w:type="dxa"/>
            <w:noWrap/>
          </w:tcPr>
          <w:p w14:paraId="4FC6048B" w14:textId="77777777" w:rsidR="00D170E5" w:rsidRPr="002B55E9" w:rsidRDefault="00EF27AD" w:rsidP="006915F3">
            <w:pPr>
              <w:pStyle w:val="lgy-"/>
            </w:pPr>
            <w:r w:rsidRPr="002B55E9">
              <w:rPr>
                <w:rFonts w:eastAsia="宋体" w:hint="eastAsia"/>
              </w:rPr>
              <w:t>噪声</w:t>
            </w:r>
          </w:p>
        </w:tc>
        <w:tc>
          <w:tcPr>
            <w:tcW w:w="1089" w:type="dxa"/>
            <w:noWrap/>
          </w:tcPr>
          <w:p w14:paraId="7AA923E8" w14:textId="77777777" w:rsidR="00D170E5" w:rsidRPr="002B55E9" w:rsidRDefault="00EF27AD" w:rsidP="006915F3">
            <w:pPr>
              <w:pStyle w:val="lgy-"/>
            </w:pPr>
            <w:r w:rsidRPr="002B55E9">
              <w:rPr>
                <w:rFonts w:eastAsia="宋体" w:hint="eastAsia"/>
              </w:rPr>
              <w:t>设备噪声</w:t>
            </w:r>
          </w:p>
        </w:tc>
        <w:tc>
          <w:tcPr>
            <w:tcW w:w="1345" w:type="dxa"/>
            <w:noWrap/>
          </w:tcPr>
          <w:p w14:paraId="45D36C33" w14:textId="77777777" w:rsidR="00D170E5" w:rsidRPr="002B55E9" w:rsidRDefault="00EF27AD" w:rsidP="006915F3">
            <w:pPr>
              <w:pStyle w:val="lgy-"/>
            </w:pPr>
            <w:r w:rsidRPr="002B55E9">
              <w:rPr>
                <w:rFonts w:eastAsia="宋体" w:hint="eastAsia"/>
              </w:rPr>
              <w:t>噪声</w:t>
            </w:r>
          </w:p>
        </w:tc>
        <w:tc>
          <w:tcPr>
            <w:tcW w:w="3874" w:type="dxa"/>
            <w:noWrap/>
          </w:tcPr>
          <w:p w14:paraId="5AEAB02D" w14:textId="77777777" w:rsidR="00D170E5" w:rsidRPr="002B55E9" w:rsidRDefault="00EF27AD" w:rsidP="006915F3">
            <w:pPr>
              <w:pStyle w:val="lgy-"/>
            </w:pPr>
            <w:r w:rsidRPr="002B55E9">
              <w:rPr>
                <w:rFonts w:eastAsia="宋体" w:hint="eastAsia"/>
              </w:rPr>
              <w:t>选用低噪声设备、厂房隔声</w:t>
            </w:r>
          </w:p>
        </w:tc>
        <w:tc>
          <w:tcPr>
            <w:tcW w:w="873" w:type="dxa"/>
            <w:noWrap/>
          </w:tcPr>
          <w:p w14:paraId="78758B68" w14:textId="77777777" w:rsidR="00D170E5" w:rsidRPr="002B55E9" w:rsidRDefault="00EF27AD" w:rsidP="006915F3">
            <w:pPr>
              <w:pStyle w:val="lgy-"/>
            </w:pPr>
            <w:r w:rsidRPr="002B55E9">
              <w:rPr>
                <w:rFonts w:eastAsia="宋体"/>
              </w:rPr>
              <w:t>20</w:t>
            </w:r>
          </w:p>
        </w:tc>
        <w:tc>
          <w:tcPr>
            <w:tcW w:w="1981" w:type="dxa"/>
            <w:noWrap/>
          </w:tcPr>
          <w:p w14:paraId="5072058C" w14:textId="77777777" w:rsidR="00D170E5" w:rsidRPr="002B55E9" w:rsidRDefault="00EF27AD" w:rsidP="006915F3">
            <w:pPr>
              <w:pStyle w:val="lgy-"/>
              <w:rPr>
                <w:rFonts w:eastAsia="宋体"/>
              </w:rPr>
            </w:pPr>
            <w:r w:rsidRPr="002B55E9">
              <w:rPr>
                <w:rFonts w:eastAsia="宋体" w:hint="eastAsia"/>
              </w:rPr>
              <w:t>厂界噪声满足《工业企业厂界环境噪声排放标准》</w:t>
            </w:r>
            <w:r w:rsidRPr="002B55E9">
              <w:rPr>
                <w:rFonts w:eastAsia="宋体" w:hint="eastAsia"/>
              </w:rPr>
              <w:t>(GB12348-2008)</w:t>
            </w:r>
            <w:r w:rsidRPr="002B55E9">
              <w:rPr>
                <w:rFonts w:eastAsia="宋体" w:hint="eastAsia"/>
              </w:rPr>
              <w:t>“</w:t>
            </w:r>
            <w:r w:rsidRPr="002B55E9">
              <w:rPr>
                <w:rFonts w:eastAsia="宋体" w:hint="eastAsia"/>
              </w:rPr>
              <w:t>2</w:t>
            </w:r>
            <w:r w:rsidRPr="002B55E9">
              <w:rPr>
                <w:rFonts w:eastAsia="宋体" w:hint="eastAsia"/>
              </w:rPr>
              <w:t>类</w:t>
            </w:r>
            <w:r w:rsidRPr="002B55E9">
              <w:rPr>
                <w:rFonts w:eastAsia="宋体"/>
              </w:rPr>
              <w:t>、</w:t>
            </w:r>
            <w:r w:rsidRPr="002B55E9">
              <w:rPr>
                <w:rFonts w:eastAsia="宋体" w:hint="eastAsia"/>
              </w:rPr>
              <w:t>4</w:t>
            </w:r>
            <w:r w:rsidRPr="002B55E9">
              <w:rPr>
                <w:rFonts w:eastAsia="宋体" w:hint="eastAsia"/>
              </w:rPr>
              <w:t>类标准”。</w:t>
            </w:r>
          </w:p>
        </w:tc>
      </w:tr>
      <w:tr w:rsidR="00C60999" w:rsidRPr="002B55E9" w14:paraId="72CA17DA" w14:textId="77777777" w:rsidTr="006915F3">
        <w:trPr>
          <w:trHeight w:val="283"/>
        </w:trPr>
        <w:tc>
          <w:tcPr>
            <w:tcW w:w="1564" w:type="dxa"/>
            <w:gridSpan w:val="2"/>
            <w:noWrap/>
          </w:tcPr>
          <w:p w14:paraId="1042BD21" w14:textId="77777777" w:rsidR="00D170E5" w:rsidRPr="002B55E9" w:rsidRDefault="00EF27AD" w:rsidP="006915F3">
            <w:pPr>
              <w:pStyle w:val="lgy-"/>
            </w:pPr>
            <w:r w:rsidRPr="002B55E9">
              <w:rPr>
                <w:rFonts w:eastAsia="宋体" w:hint="eastAsia"/>
              </w:rPr>
              <w:t>地下水、土壤</w:t>
            </w:r>
          </w:p>
        </w:tc>
        <w:tc>
          <w:tcPr>
            <w:tcW w:w="1345" w:type="dxa"/>
            <w:noWrap/>
          </w:tcPr>
          <w:p w14:paraId="6B5E64A4" w14:textId="77777777" w:rsidR="00D170E5" w:rsidRPr="002B55E9" w:rsidRDefault="00EF27AD" w:rsidP="006915F3">
            <w:pPr>
              <w:pStyle w:val="lgy-"/>
            </w:pPr>
            <w:r w:rsidRPr="002B55E9">
              <w:rPr>
                <w:rFonts w:eastAsia="宋体" w:hint="eastAsia"/>
              </w:rPr>
              <w:t>/</w:t>
            </w:r>
          </w:p>
        </w:tc>
        <w:tc>
          <w:tcPr>
            <w:tcW w:w="3874" w:type="dxa"/>
            <w:noWrap/>
          </w:tcPr>
          <w:p w14:paraId="1F47D6A0" w14:textId="77777777" w:rsidR="00D170E5" w:rsidRPr="002B55E9" w:rsidRDefault="00EF27AD" w:rsidP="006915F3">
            <w:pPr>
              <w:pStyle w:val="lgy-"/>
            </w:pPr>
            <w:r w:rsidRPr="002B55E9">
              <w:rPr>
                <w:rFonts w:eastAsia="宋体" w:hint="eastAsia"/>
              </w:rPr>
              <w:t>危废暂存间按照《危险废物贮存污染控制标准》（</w:t>
            </w:r>
            <w:r w:rsidRPr="002B55E9">
              <w:rPr>
                <w:rFonts w:eastAsia="宋体" w:hint="eastAsia"/>
              </w:rPr>
              <w:t>GB 18597-2001</w:t>
            </w:r>
            <w:r w:rsidRPr="002B55E9">
              <w:rPr>
                <w:rFonts w:eastAsia="宋体" w:hint="eastAsia"/>
              </w:rPr>
              <w:t>）设置防渗措施；罐区三、酒精罐区</w:t>
            </w:r>
            <w:r w:rsidRPr="002B55E9">
              <w:rPr>
                <w:rFonts w:eastAsia="宋体"/>
              </w:rPr>
              <w:t>设置重点</w:t>
            </w:r>
            <w:r w:rsidRPr="002B55E9">
              <w:rPr>
                <w:rFonts w:eastAsia="宋体" w:hint="eastAsia"/>
              </w:rPr>
              <w:t>防渗区，防渗性能为</w:t>
            </w:r>
            <w:r w:rsidRPr="002B55E9">
              <w:rPr>
                <w:rFonts w:eastAsia="宋体" w:hint="eastAsia"/>
              </w:rPr>
              <w:t>Mb</w:t>
            </w:r>
            <w:r w:rsidRPr="002B55E9">
              <w:rPr>
                <w:rFonts w:eastAsia="宋体" w:hint="eastAsia"/>
              </w:rPr>
              <w:t>≥</w:t>
            </w:r>
            <w:r w:rsidRPr="002B55E9">
              <w:rPr>
                <w:rFonts w:eastAsia="宋体" w:hint="eastAsia"/>
              </w:rPr>
              <w:t>6.0m</w:t>
            </w:r>
            <w:r w:rsidRPr="002B55E9">
              <w:rPr>
                <w:rFonts w:eastAsia="宋体" w:hint="eastAsia"/>
              </w:rPr>
              <w:t>厚渗透系数为</w:t>
            </w:r>
            <w:r w:rsidRPr="002B55E9">
              <w:rPr>
                <w:rFonts w:eastAsia="宋体" w:hint="eastAsia"/>
              </w:rPr>
              <w:t>1.0</w:t>
            </w:r>
            <w:r w:rsidRPr="002B55E9">
              <w:rPr>
                <w:rFonts w:eastAsia="宋体" w:hint="eastAsia"/>
              </w:rPr>
              <w:t>×</w:t>
            </w:r>
            <w:r w:rsidRPr="002B55E9">
              <w:rPr>
                <w:rFonts w:eastAsia="宋体" w:hint="eastAsia"/>
              </w:rPr>
              <w:t>10</w:t>
            </w:r>
            <w:r w:rsidRPr="002B55E9">
              <w:rPr>
                <w:rFonts w:eastAsia="宋体" w:hint="eastAsia"/>
                <w:vertAlign w:val="superscript"/>
              </w:rPr>
              <w:t>-7</w:t>
            </w:r>
            <w:r w:rsidRPr="002B55E9">
              <w:rPr>
                <w:rFonts w:eastAsia="宋体" w:hint="eastAsia"/>
              </w:rPr>
              <w:t>cm/s</w:t>
            </w:r>
            <w:r w:rsidRPr="002B55E9">
              <w:rPr>
                <w:rFonts w:eastAsia="宋体" w:hint="eastAsia"/>
              </w:rPr>
              <w:t>的黏土层的防渗性能；设置</w:t>
            </w:r>
            <w:r w:rsidRPr="002B55E9">
              <w:rPr>
                <w:rFonts w:eastAsia="宋体"/>
              </w:rPr>
              <w:t>1</w:t>
            </w:r>
            <w:r w:rsidRPr="002B55E9">
              <w:rPr>
                <w:rFonts w:eastAsia="宋体" w:hint="eastAsia"/>
              </w:rPr>
              <w:t>口地下水跟踪监测井，定期监测水质。</w:t>
            </w:r>
          </w:p>
        </w:tc>
        <w:tc>
          <w:tcPr>
            <w:tcW w:w="873" w:type="dxa"/>
            <w:noWrap/>
          </w:tcPr>
          <w:p w14:paraId="22017319" w14:textId="77777777" w:rsidR="00D170E5" w:rsidRPr="002B55E9" w:rsidRDefault="00EF27AD" w:rsidP="006915F3">
            <w:pPr>
              <w:pStyle w:val="lgy-"/>
            </w:pPr>
            <w:r w:rsidRPr="002B55E9">
              <w:rPr>
                <w:rFonts w:eastAsia="宋体"/>
              </w:rPr>
              <w:t>20</w:t>
            </w:r>
          </w:p>
        </w:tc>
        <w:tc>
          <w:tcPr>
            <w:tcW w:w="1981" w:type="dxa"/>
            <w:noWrap/>
          </w:tcPr>
          <w:p w14:paraId="2CA937B0" w14:textId="77777777" w:rsidR="00D170E5" w:rsidRPr="002B55E9" w:rsidRDefault="00EF27AD" w:rsidP="006915F3">
            <w:pPr>
              <w:pStyle w:val="lgy-"/>
              <w:rPr>
                <w:rFonts w:eastAsia="宋体"/>
              </w:rPr>
            </w:pPr>
            <w:r w:rsidRPr="002B55E9">
              <w:rPr>
                <w:rFonts w:eastAsia="宋体" w:hint="eastAsia"/>
              </w:rPr>
              <w:t>不对地下水及土壤造成污染</w:t>
            </w:r>
          </w:p>
        </w:tc>
      </w:tr>
      <w:tr w:rsidR="00C60999" w:rsidRPr="002B55E9" w14:paraId="5D621359" w14:textId="77777777" w:rsidTr="006915F3">
        <w:trPr>
          <w:trHeight w:val="283"/>
        </w:trPr>
        <w:tc>
          <w:tcPr>
            <w:tcW w:w="1564" w:type="dxa"/>
            <w:gridSpan w:val="2"/>
            <w:noWrap/>
          </w:tcPr>
          <w:p w14:paraId="4E01F9E2" w14:textId="77777777" w:rsidR="00D170E5" w:rsidRPr="002B55E9" w:rsidRDefault="00EF27AD" w:rsidP="006915F3">
            <w:pPr>
              <w:pStyle w:val="lgy-"/>
            </w:pPr>
            <w:r w:rsidRPr="002B55E9">
              <w:rPr>
                <w:rFonts w:eastAsia="宋体" w:hint="eastAsia"/>
              </w:rPr>
              <w:t>环境风险</w:t>
            </w:r>
          </w:p>
        </w:tc>
        <w:tc>
          <w:tcPr>
            <w:tcW w:w="5219" w:type="dxa"/>
            <w:gridSpan w:val="2"/>
            <w:noWrap/>
          </w:tcPr>
          <w:p w14:paraId="3CDC3E53" w14:textId="77777777" w:rsidR="00D170E5" w:rsidRPr="002B55E9" w:rsidRDefault="00EF27AD" w:rsidP="006915F3">
            <w:pPr>
              <w:pStyle w:val="lgy-"/>
            </w:pPr>
            <w:r w:rsidRPr="002B55E9">
              <w:rPr>
                <w:rFonts w:eastAsia="宋体" w:hint="eastAsia"/>
              </w:rPr>
              <w:t>罐区三和</w:t>
            </w:r>
            <w:r w:rsidRPr="002B55E9">
              <w:rPr>
                <w:rFonts w:eastAsia="宋体"/>
              </w:rPr>
              <w:t>酒精</w:t>
            </w:r>
            <w:r w:rsidRPr="002B55E9">
              <w:rPr>
                <w:rFonts w:eastAsia="宋体" w:hint="eastAsia"/>
              </w:rPr>
              <w:t>罐区</w:t>
            </w:r>
            <w:r w:rsidRPr="002B55E9">
              <w:rPr>
                <w:rFonts w:eastAsia="宋体"/>
              </w:rPr>
              <w:t>分别设有有</w:t>
            </w:r>
            <w:r w:rsidRPr="002B55E9">
              <w:rPr>
                <w:rFonts w:eastAsia="宋体" w:hint="eastAsia"/>
              </w:rPr>
              <w:t>0.4</w:t>
            </w:r>
            <w:r w:rsidRPr="002B55E9">
              <w:rPr>
                <w:rFonts w:eastAsia="宋体"/>
              </w:rPr>
              <w:t>m</w:t>
            </w:r>
            <w:r w:rsidRPr="002B55E9">
              <w:rPr>
                <w:rFonts w:eastAsia="宋体"/>
              </w:rPr>
              <w:t>和</w:t>
            </w:r>
            <w:r w:rsidRPr="002B55E9">
              <w:rPr>
                <w:rFonts w:eastAsia="宋体" w:hint="eastAsia"/>
              </w:rPr>
              <w:t>1</w:t>
            </w:r>
            <w:r w:rsidRPr="002B55E9">
              <w:rPr>
                <w:rFonts w:eastAsia="宋体"/>
              </w:rPr>
              <w:t>m</w:t>
            </w:r>
            <w:r w:rsidRPr="002B55E9">
              <w:rPr>
                <w:rFonts w:eastAsia="宋体"/>
              </w:rPr>
              <w:t>高</w:t>
            </w:r>
            <w:r w:rsidRPr="002B55E9">
              <w:rPr>
                <w:rFonts w:eastAsia="宋体" w:hint="eastAsia"/>
              </w:rPr>
              <w:t>的</w:t>
            </w:r>
            <w:r w:rsidRPr="002B55E9">
              <w:rPr>
                <w:rFonts w:eastAsia="宋体"/>
              </w:rPr>
              <w:t>围堰；</w:t>
            </w:r>
            <w:r w:rsidRPr="002B55E9">
              <w:rPr>
                <w:rFonts w:eastAsia="宋体" w:hint="eastAsia"/>
              </w:rPr>
              <w:t>厂区</w:t>
            </w:r>
            <w:r w:rsidRPr="002B55E9">
              <w:rPr>
                <w:rFonts w:eastAsia="宋体"/>
              </w:rPr>
              <w:t>事故废水</w:t>
            </w:r>
            <w:r w:rsidRPr="002B55E9">
              <w:rPr>
                <w:rFonts w:eastAsia="宋体" w:hint="eastAsia"/>
              </w:rPr>
              <w:t>可</w:t>
            </w:r>
            <w:r w:rsidRPr="002B55E9">
              <w:rPr>
                <w:rFonts w:eastAsia="宋体"/>
              </w:rPr>
              <w:t>通过污水管道</w:t>
            </w:r>
            <w:r w:rsidRPr="002B55E9">
              <w:rPr>
                <w:rFonts w:eastAsia="宋体" w:hint="eastAsia"/>
              </w:rPr>
              <w:t>排入佛山市海天（武汉）调味品有限公司</w:t>
            </w:r>
            <w:r w:rsidRPr="002B55E9">
              <w:rPr>
                <w:rFonts w:eastAsia="宋体"/>
              </w:rPr>
              <w:t>应急事故池暂存</w:t>
            </w:r>
            <w:r w:rsidRPr="002B55E9">
              <w:rPr>
                <w:rFonts w:eastAsia="宋体" w:hint="eastAsia"/>
              </w:rPr>
              <w:t>，编制应急预案并备案。</w:t>
            </w:r>
          </w:p>
        </w:tc>
        <w:tc>
          <w:tcPr>
            <w:tcW w:w="873" w:type="dxa"/>
            <w:noWrap/>
          </w:tcPr>
          <w:p w14:paraId="684FCD38" w14:textId="77777777" w:rsidR="00D170E5" w:rsidRPr="002B55E9" w:rsidRDefault="00EF27AD" w:rsidP="006915F3">
            <w:pPr>
              <w:pStyle w:val="lgy-"/>
            </w:pPr>
            <w:r w:rsidRPr="002B55E9">
              <w:rPr>
                <w:rFonts w:eastAsia="宋体"/>
              </w:rPr>
              <w:t>10</w:t>
            </w:r>
          </w:p>
        </w:tc>
        <w:tc>
          <w:tcPr>
            <w:tcW w:w="1981" w:type="dxa"/>
            <w:noWrap/>
          </w:tcPr>
          <w:p w14:paraId="5880B9BB" w14:textId="77777777" w:rsidR="00D170E5" w:rsidRPr="002B55E9" w:rsidRDefault="00EF27AD" w:rsidP="006915F3">
            <w:pPr>
              <w:pStyle w:val="lgy-"/>
              <w:rPr>
                <w:rFonts w:eastAsia="宋体"/>
              </w:rPr>
            </w:pPr>
            <w:r w:rsidRPr="002B55E9">
              <w:rPr>
                <w:rFonts w:eastAsia="宋体" w:hint="eastAsia"/>
              </w:rPr>
              <w:t>风险可控</w:t>
            </w:r>
          </w:p>
        </w:tc>
      </w:tr>
      <w:tr w:rsidR="00C60999" w:rsidRPr="002B55E9" w14:paraId="6192F255" w14:textId="77777777" w:rsidTr="006915F3">
        <w:trPr>
          <w:trHeight w:val="283"/>
        </w:trPr>
        <w:tc>
          <w:tcPr>
            <w:tcW w:w="6783" w:type="dxa"/>
            <w:gridSpan w:val="4"/>
            <w:noWrap/>
          </w:tcPr>
          <w:p w14:paraId="168D2410" w14:textId="77777777" w:rsidR="00D170E5" w:rsidRPr="002B55E9" w:rsidRDefault="00EF27AD" w:rsidP="006915F3">
            <w:pPr>
              <w:pStyle w:val="lgy-"/>
            </w:pPr>
            <w:r w:rsidRPr="002B55E9">
              <w:rPr>
                <w:rFonts w:eastAsia="宋体" w:hint="eastAsia"/>
              </w:rPr>
              <w:t>合计</w:t>
            </w:r>
          </w:p>
        </w:tc>
        <w:tc>
          <w:tcPr>
            <w:tcW w:w="873" w:type="dxa"/>
            <w:noWrap/>
          </w:tcPr>
          <w:p w14:paraId="3FAD2E6A" w14:textId="77777777" w:rsidR="00D170E5" w:rsidRPr="002B55E9" w:rsidRDefault="00EF27AD" w:rsidP="006915F3">
            <w:pPr>
              <w:pStyle w:val="lgy-"/>
            </w:pPr>
            <w:r w:rsidRPr="002B55E9">
              <w:fldChar w:fldCharType="begin"/>
            </w:r>
            <w:r w:rsidRPr="002B55E9">
              <w:rPr>
                <w:rFonts w:eastAsia="宋体"/>
              </w:rPr>
              <w:instrText xml:space="preserve"> =SUM(ABOVE) </w:instrText>
            </w:r>
            <w:r w:rsidRPr="002B55E9">
              <w:fldChar w:fldCharType="separate"/>
            </w:r>
            <w:r w:rsidRPr="002B55E9">
              <w:rPr>
                <w:rFonts w:eastAsia="宋体"/>
              </w:rPr>
              <w:t>230</w:t>
            </w:r>
            <w:r w:rsidRPr="002B55E9">
              <w:fldChar w:fldCharType="end"/>
            </w:r>
          </w:p>
        </w:tc>
        <w:tc>
          <w:tcPr>
            <w:tcW w:w="1981" w:type="dxa"/>
            <w:noWrap/>
          </w:tcPr>
          <w:p w14:paraId="71DA5F9D" w14:textId="77777777" w:rsidR="00D170E5" w:rsidRPr="002B55E9" w:rsidRDefault="00EF27AD" w:rsidP="006915F3">
            <w:pPr>
              <w:pStyle w:val="lgy-"/>
              <w:rPr>
                <w:rFonts w:eastAsia="宋体"/>
              </w:rPr>
            </w:pPr>
            <w:r w:rsidRPr="002B55E9">
              <w:rPr>
                <w:rFonts w:eastAsia="宋体" w:hint="eastAsia"/>
              </w:rPr>
              <w:t>--</w:t>
            </w:r>
          </w:p>
        </w:tc>
      </w:tr>
    </w:tbl>
    <w:p w14:paraId="5D67A116" w14:textId="77777777" w:rsidR="00D170E5" w:rsidRPr="002B55E9" w:rsidRDefault="00D170E5">
      <w:pPr>
        <w:pStyle w:val="aa"/>
        <w:ind w:firstLine="0"/>
      </w:pPr>
    </w:p>
    <w:p w14:paraId="6B9BACA5" w14:textId="77777777" w:rsidR="00D170E5" w:rsidRPr="002B55E9" w:rsidRDefault="00D170E5">
      <w:pPr>
        <w:pStyle w:val="aa"/>
        <w:ind w:firstLine="0"/>
        <w:sectPr w:rsidR="00D170E5" w:rsidRPr="002B55E9">
          <w:headerReference w:type="default" r:id="rId110"/>
          <w:pgSz w:w="11905" w:h="16838"/>
          <w:pgMar w:top="1134" w:right="1134" w:bottom="1134" w:left="1134" w:header="737" w:footer="624" w:gutter="0"/>
          <w:cols w:space="720"/>
          <w:docGrid w:linePitch="312"/>
        </w:sectPr>
      </w:pPr>
    </w:p>
    <w:p w14:paraId="4E3B261C" w14:textId="77777777" w:rsidR="00D170E5" w:rsidRPr="002B55E9" w:rsidRDefault="00EF27AD">
      <w:pPr>
        <w:pStyle w:val="2"/>
      </w:pPr>
      <w:bookmarkStart w:id="274" w:name="_Toc119309018"/>
      <w:bookmarkStart w:id="275" w:name="_Toc199925136"/>
      <w:bookmarkStart w:id="276" w:name="_Toc247186209"/>
      <w:bookmarkStart w:id="277" w:name="_Toc124238125"/>
      <w:bookmarkStart w:id="278" w:name="_Toc169616557"/>
      <w:bookmarkStart w:id="279" w:name="_Toc121711650"/>
      <w:bookmarkEnd w:id="266"/>
      <w:bookmarkEnd w:id="267"/>
      <w:r w:rsidRPr="002B55E9">
        <w:lastRenderedPageBreak/>
        <w:t>清洁生产和总量控制</w:t>
      </w:r>
      <w:bookmarkEnd w:id="274"/>
      <w:bookmarkEnd w:id="275"/>
      <w:bookmarkEnd w:id="276"/>
      <w:bookmarkEnd w:id="277"/>
      <w:bookmarkEnd w:id="278"/>
      <w:bookmarkEnd w:id="279"/>
    </w:p>
    <w:p w14:paraId="4E31D6DD" w14:textId="77777777" w:rsidR="00D170E5" w:rsidRPr="002B55E9" w:rsidRDefault="00EF27AD">
      <w:pPr>
        <w:pStyle w:val="3"/>
      </w:pPr>
      <w:bookmarkStart w:id="280" w:name="_Toc119309019"/>
      <w:bookmarkStart w:id="281" w:name="_Toc247186210"/>
      <w:bookmarkStart w:id="282" w:name="_Toc139440637"/>
      <w:bookmarkStart w:id="283" w:name="_Toc141528296"/>
      <w:bookmarkStart w:id="284" w:name="_Toc169616559"/>
      <w:r w:rsidRPr="002B55E9">
        <w:t>清洁生产符合性分析</w:t>
      </w:r>
      <w:bookmarkEnd w:id="280"/>
      <w:bookmarkEnd w:id="281"/>
    </w:p>
    <w:p w14:paraId="690CBC31" w14:textId="77777777" w:rsidR="00D170E5" w:rsidRPr="002B55E9" w:rsidRDefault="00EF27AD">
      <w:pPr>
        <w:pStyle w:val="4"/>
        <w:rPr>
          <w:color w:val="auto"/>
        </w:rPr>
      </w:pPr>
      <w:bookmarkStart w:id="285" w:name="_Toc196039419"/>
      <w:bookmarkStart w:id="286" w:name="_Toc193106809"/>
      <w:bookmarkEnd w:id="282"/>
      <w:bookmarkEnd w:id="283"/>
      <w:r w:rsidRPr="002B55E9">
        <w:rPr>
          <w:color w:val="auto"/>
        </w:rPr>
        <w:t>清洁生产全过程分析</w:t>
      </w:r>
    </w:p>
    <w:p w14:paraId="289C90D3" w14:textId="77777777" w:rsidR="00D170E5" w:rsidRPr="002B55E9" w:rsidRDefault="00EF27AD">
      <w:pPr>
        <w:adjustRightInd w:val="0"/>
        <w:snapToGrid w:val="0"/>
        <w:spacing w:after="60" w:line="360" w:lineRule="auto"/>
        <w:ind w:firstLineChars="200" w:firstLine="480"/>
        <w:rPr>
          <w:sz w:val="24"/>
        </w:rPr>
      </w:pPr>
      <w:r w:rsidRPr="002B55E9">
        <w:rPr>
          <w:rFonts w:hint="eastAsia"/>
          <w:sz w:val="24"/>
        </w:rPr>
        <w:t>“</w:t>
      </w:r>
      <w:r w:rsidRPr="002B55E9">
        <w:rPr>
          <w:sz w:val="24"/>
        </w:rPr>
        <w:t>清洁生产</w:t>
      </w:r>
      <w:r w:rsidRPr="002B55E9">
        <w:rPr>
          <w:rFonts w:hint="eastAsia"/>
          <w:sz w:val="24"/>
        </w:rPr>
        <w:t>”</w:t>
      </w:r>
      <w:r w:rsidRPr="002B55E9">
        <w:rPr>
          <w:sz w:val="24"/>
        </w:rPr>
        <w:t>的主要内涵是对产品及其生产的全过程采用污染预防的策略以减少污染物的产生，从而减轻或者消除对人类健康和环境的危害。推行清洁生产是</w:t>
      </w:r>
      <w:r w:rsidRPr="002B55E9">
        <w:rPr>
          <w:sz w:val="24"/>
        </w:rPr>
        <w:t>1993</w:t>
      </w:r>
      <w:r w:rsidRPr="002B55E9">
        <w:rPr>
          <w:sz w:val="24"/>
        </w:rPr>
        <w:t>年召开的第二次全国工业污染防治工作会议上提出的防治工业污染的重要措施，是以节能、降耗、减污为目的，以科学管理和技术进步为手段，达到保护人类健康和生态环境的目的。</w:t>
      </w:r>
      <w:r w:rsidRPr="002B55E9">
        <w:rPr>
          <w:sz w:val="24"/>
        </w:rPr>
        <w:t>2002</w:t>
      </w:r>
      <w:r w:rsidRPr="002B55E9">
        <w:rPr>
          <w:sz w:val="24"/>
        </w:rPr>
        <w:t>年我国颁布《中华人民共和国清洁生产促进法》，从法律的高度要求企业实施清洁生产。</w:t>
      </w:r>
    </w:p>
    <w:p w14:paraId="196CAD25" w14:textId="77777777" w:rsidR="00D170E5" w:rsidRPr="002B55E9" w:rsidRDefault="00EF27AD">
      <w:pPr>
        <w:pStyle w:val="affff7"/>
        <w:adjustRightInd w:val="0"/>
        <w:snapToGrid w:val="0"/>
      </w:pPr>
      <w:r w:rsidRPr="002B55E9">
        <w:t>清洁生产是从生态经济大系统的整体优化出发，对物质转化的全过程不断采取战略性、综合性、预防性措施，以提高物料和能源的利用率，减少甚至消除废料的生成和排放，降低生产活动对资源的过度使用以及对人类和环境造成的危险，实现社会的持续发展。清洁生产主要包括三方面的内容：</w:t>
      </w:r>
    </w:p>
    <w:p w14:paraId="793B2AA5" w14:textId="77777777" w:rsidR="00D170E5" w:rsidRPr="002B55E9" w:rsidRDefault="00EF27AD">
      <w:pPr>
        <w:pStyle w:val="affff7"/>
        <w:adjustRightInd w:val="0"/>
        <w:snapToGrid w:val="0"/>
      </w:pPr>
      <w:r w:rsidRPr="002B55E9">
        <w:t>（</w:t>
      </w:r>
      <w:r w:rsidRPr="002B55E9">
        <w:t>1</w:t>
      </w:r>
      <w:r w:rsidRPr="002B55E9">
        <w:t>）清洁的能源，包括常规能源的清洁利用；可再生能源的利用；新能源的开发；各种节能技术。</w:t>
      </w:r>
    </w:p>
    <w:p w14:paraId="6DE003B6" w14:textId="77777777" w:rsidR="00D170E5" w:rsidRPr="002B55E9" w:rsidRDefault="00EF27AD">
      <w:pPr>
        <w:pStyle w:val="affff7"/>
        <w:adjustRightInd w:val="0"/>
        <w:snapToGrid w:val="0"/>
      </w:pPr>
      <w:r w:rsidRPr="002B55E9">
        <w:t>（</w:t>
      </w:r>
      <w:r w:rsidRPr="002B55E9">
        <w:t>2</w:t>
      </w:r>
      <w:r w:rsidRPr="002B55E9">
        <w:t>）清洁的生产过程，包括尽量少用、不用有毒有害的原料；无毒无害的中间产品；少废、无废工艺；物料的再循环；减少或消除生产过程的各种危险因素；简便、可靠的操作和控制；完善的管理等。</w:t>
      </w:r>
    </w:p>
    <w:p w14:paraId="45FB3C0D" w14:textId="77777777" w:rsidR="00D170E5" w:rsidRPr="002B55E9" w:rsidRDefault="00EF27AD">
      <w:pPr>
        <w:pStyle w:val="affff7"/>
        <w:adjustRightInd w:val="0"/>
        <w:snapToGrid w:val="0"/>
      </w:pPr>
      <w:r w:rsidRPr="002B55E9">
        <w:t>（</w:t>
      </w:r>
      <w:r w:rsidRPr="002B55E9">
        <w:t>3</w:t>
      </w:r>
      <w:r w:rsidRPr="002B55E9">
        <w:t>）清洁的产品，包括节约原料和能源，少用昂贵和稀缺的原料，利用二次资源作原料；产品在使用过程中以及使用后不含危害人体健康和生态环境的因素；合理使用功能和合理的使用寿命等。</w:t>
      </w:r>
    </w:p>
    <w:p w14:paraId="523B9DF5" w14:textId="77777777" w:rsidR="00D170E5" w:rsidRPr="002B55E9" w:rsidRDefault="00EF27AD">
      <w:pPr>
        <w:pStyle w:val="affff7"/>
      </w:pPr>
      <w:r w:rsidRPr="002B55E9">
        <w:t>清洁生产是个相对性的概念，是与现有的生产技术比较而言的，因此评价一项技术是否属于清洁生产技术，主要是与它所替代的生产技术进行相应的比较。由于我国尚无本行业的清洁生产标准，本报告主要对本项目产品的环保性、采用的生产工艺的先进性、原材料指标、资源消耗指标、污染物产生指标、污染控制与资源综合利用、使用清洁能源与节能等方面进行清洁生产分析。</w:t>
      </w:r>
    </w:p>
    <w:p w14:paraId="542794AC" w14:textId="77777777" w:rsidR="00D170E5" w:rsidRPr="002B55E9" w:rsidRDefault="00EF27AD">
      <w:pPr>
        <w:pStyle w:val="4"/>
        <w:rPr>
          <w:color w:val="auto"/>
        </w:rPr>
      </w:pPr>
      <w:r w:rsidRPr="002B55E9">
        <w:rPr>
          <w:color w:val="auto"/>
        </w:rPr>
        <w:t>清洁生产水平评价</w:t>
      </w:r>
    </w:p>
    <w:p w14:paraId="0D7F6E11" w14:textId="77777777" w:rsidR="00D170E5" w:rsidRPr="002B55E9" w:rsidRDefault="00EF27AD">
      <w:pPr>
        <w:pStyle w:val="5"/>
      </w:pPr>
      <w:r w:rsidRPr="002B55E9">
        <w:lastRenderedPageBreak/>
        <w:t>原料、产品清洁性分析</w:t>
      </w:r>
    </w:p>
    <w:p w14:paraId="6CAE4502" w14:textId="77777777" w:rsidR="00D170E5" w:rsidRPr="002B55E9" w:rsidRDefault="00EF27AD">
      <w:pPr>
        <w:pStyle w:val="affff7"/>
      </w:pPr>
      <w:r w:rsidRPr="002B55E9">
        <w:t>本项目生产中使用的能源</w:t>
      </w:r>
      <w:r w:rsidRPr="002B55E9">
        <w:rPr>
          <w:rFonts w:hint="eastAsia"/>
        </w:rPr>
        <w:t>主要为</w:t>
      </w:r>
      <w:r w:rsidRPr="002B55E9">
        <w:t>电能</w:t>
      </w:r>
      <w:r w:rsidRPr="002B55E9">
        <w:rPr>
          <w:rFonts w:hint="eastAsia"/>
        </w:rPr>
        <w:t>，均为清洁能源。生产使用的原料为大米、食盐、食用酒精等无毒无害原料，项目</w:t>
      </w:r>
      <w:r w:rsidRPr="002B55E9">
        <w:t>生产过程中定期对设备、管线进行灭菌处理，保证产品符合国家质量标准要求。</w:t>
      </w:r>
    </w:p>
    <w:p w14:paraId="749A5ED3" w14:textId="77777777" w:rsidR="00D170E5" w:rsidRPr="002B55E9" w:rsidRDefault="00EF27AD">
      <w:pPr>
        <w:pStyle w:val="5"/>
      </w:pPr>
      <w:r w:rsidRPr="002B55E9">
        <w:t>工艺技术与设备先进性分析</w:t>
      </w:r>
    </w:p>
    <w:p w14:paraId="6134C3A7" w14:textId="77777777" w:rsidR="00D170E5" w:rsidRPr="002B55E9" w:rsidRDefault="00EF27AD">
      <w:pPr>
        <w:pStyle w:val="affff7"/>
      </w:pPr>
      <w:r w:rsidRPr="002B55E9">
        <w:rPr>
          <w:rFonts w:hint="eastAsia"/>
        </w:rPr>
        <w:t>（</w:t>
      </w:r>
      <w:r w:rsidRPr="002B55E9">
        <w:t>1</w:t>
      </w:r>
      <w:r w:rsidRPr="002B55E9">
        <w:rPr>
          <w:rFonts w:hint="eastAsia"/>
        </w:rPr>
        <w:t>）空调器、风机、冷水机组、水泵等设备均采用节能型产品，自动化程度高，效率高，能耗低。新风空调机组采用变频风机，循环风空调机组采用变频风机。</w:t>
      </w:r>
    </w:p>
    <w:p w14:paraId="4042D960" w14:textId="77777777" w:rsidR="00D170E5" w:rsidRPr="002B55E9" w:rsidRDefault="00EF27AD">
      <w:pPr>
        <w:pStyle w:val="affff7"/>
      </w:pPr>
      <w:r w:rsidRPr="002B55E9">
        <w:rPr>
          <w:rFonts w:hint="eastAsia"/>
        </w:rPr>
        <w:t>（</w:t>
      </w:r>
      <w:r w:rsidRPr="002B55E9">
        <w:t>2</w:t>
      </w:r>
      <w:r w:rsidRPr="002B55E9">
        <w:rPr>
          <w:rFonts w:hint="eastAsia"/>
        </w:rPr>
        <w:t>）电器、照明设备选用节能产品，如低耗损变压器，高效电动机、高光效低损耗照明灯具等；采用一套计算机中央监控系统，对各建筑净化空调系统的温度、湿度、压差进行自动控制，节约能源；对动力设备的运行状态进行集中监视。</w:t>
      </w:r>
    </w:p>
    <w:p w14:paraId="5F9A0D71" w14:textId="77777777" w:rsidR="00D170E5" w:rsidRPr="002B55E9" w:rsidRDefault="00EF27AD">
      <w:pPr>
        <w:pStyle w:val="affff7"/>
      </w:pPr>
      <w:r w:rsidRPr="002B55E9">
        <w:rPr>
          <w:rFonts w:hint="eastAsia"/>
        </w:rPr>
        <w:t>（</w:t>
      </w:r>
      <w:r w:rsidRPr="002B55E9">
        <w:t>3</w:t>
      </w:r>
      <w:r w:rsidRPr="002B55E9">
        <w:rPr>
          <w:rFonts w:hint="eastAsia"/>
        </w:rPr>
        <w:t>）蒸汽管道采用新型</w:t>
      </w:r>
      <w:r w:rsidRPr="002B55E9">
        <w:rPr>
          <w:rFonts w:hint="eastAsia"/>
        </w:rPr>
        <w:t>3</w:t>
      </w:r>
      <w:r w:rsidRPr="002B55E9">
        <w:rPr>
          <w:rFonts w:hint="eastAsia"/>
        </w:rPr>
        <w:t>绝热材料进行保温，减少管道热损失。</w:t>
      </w:r>
    </w:p>
    <w:p w14:paraId="34029286" w14:textId="77777777" w:rsidR="00D170E5" w:rsidRPr="002B55E9" w:rsidRDefault="00EF27AD">
      <w:pPr>
        <w:pStyle w:val="affff7"/>
      </w:pPr>
      <w:r w:rsidRPr="002B55E9">
        <w:rPr>
          <w:rFonts w:hint="eastAsia"/>
        </w:rPr>
        <w:t>（</w:t>
      </w:r>
      <w:r w:rsidRPr="002B55E9">
        <w:t>4</w:t>
      </w:r>
      <w:r w:rsidRPr="002B55E9">
        <w:rPr>
          <w:rFonts w:hint="eastAsia"/>
        </w:rPr>
        <w:t>）建筑外墙、屋面均良好保温。厂房外墙开窗多为中空下旋塑钢固定窗，一方面有利于建筑的密闭性，同时也可减少外部环境温度变化对室内的影响，降低空调能耗。</w:t>
      </w:r>
    </w:p>
    <w:p w14:paraId="61BBFCCA" w14:textId="77777777" w:rsidR="00D170E5" w:rsidRPr="002B55E9" w:rsidRDefault="00EF27AD">
      <w:pPr>
        <w:pStyle w:val="affff7"/>
      </w:pPr>
      <w:r w:rsidRPr="002B55E9">
        <w:rPr>
          <w:rFonts w:hint="eastAsia"/>
        </w:rPr>
        <w:t>（</w:t>
      </w:r>
      <w:r w:rsidRPr="002B55E9">
        <w:t>5</w:t>
      </w:r>
      <w:r w:rsidRPr="002B55E9">
        <w:rPr>
          <w:rFonts w:hint="eastAsia"/>
        </w:rPr>
        <w:t>）配置完善的能源计量装置，耗能设备定期进行效率测试，发现问题立即解决。至少每两年进行一次全公司的水、电能量平衡测试。</w:t>
      </w:r>
    </w:p>
    <w:p w14:paraId="03DDB09F" w14:textId="77777777" w:rsidR="00D170E5" w:rsidRPr="002B55E9" w:rsidRDefault="00EF27AD">
      <w:pPr>
        <w:pStyle w:val="5"/>
      </w:pPr>
      <w:r w:rsidRPr="002B55E9">
        <w:rPr>
          <w:rFonts w:hint="eastAsia"/>
        </w:rPr>
        <w:t>废物回收利用</w:t>
      </w:r>
    </w:p>
    <w:p w14:paraId="6ACD7211" w14:textId="77777777" w:rsidR="00D170E5" w:rsidRPr="002B55E9" w:rsidRDefault="00EF27AD">
      <w:pPr>
        <w:pStyle w:val="aa"/>
      </w:pPr>
      <w:r w:rsidRPr="002B55E9">
        <w:rPr>
          <w:rFonts w:hint="eastAsia"/>
        </w:rPr>
        <w:t>本项目产生的危险废物均全部有资质单位进行合理处置，一般固体废物由物资回收单位回收利用。</w:t>
      </w:r>
    </w:p>
    <w:p w14:paraId="669DD9C1" w14:textId="77777777" w:rsidR="00D170E5" w:rsidRPr="002B55E9" w:rsidRDefault="00EF27AD">
      <w:pPr>
        <w:pStyle w:val="5"/>
      </w:pPr>
      <w:r w:rsidRPr="002B55E9">
        <w:rPr>
          <w:rFonts w:hint="eastAsia"/>
        </w:rPr>
        <w:t>污染控制</w:t>
      </w:r>
    </w:p>
    <w:p w14:paraId="50B7AA63" w14:textId="77777777" w:rsidR="00D170E5" w:rsidRPr="002B55E9" w:rsidRDefault="00EF27AD">
      <w:pPr>
        <w:adjustRightInd w:val="0"/>
        <w:snapToGrid w:val="0"/>
        <w:spacing w:line="360" w:lineRule="auto"/>
        <w:ind w:firstLineChars="200" w:firstLine="480"/>
        <w:rPr>
          <w:bCs/>
          <w:sz w:val="24"/>
        </w:rPr>
      </w:pPr>
      <w:r w:rsidRPr="002B55E9">
        <w:rPr>
          <w:rFonts w:hint="eastAsia"/>
          <w:bCs/>
          <w:sz w:val="24"/>
        </w:rPr>
        <w:t>为保护环境，公司采取了以下防治措施：</w:t>
      </w:r>
    </w:p>
    <w:p w14:paraId="311079AC" w14:textId="77777777" w:rsidR="00D170E5" w:rsidRPr="002B55E9" w:rsidRDefault="00EF27AD">
      <w:pPr>
        <w:adjustRightInd w:val="0"/>
        <w:snapToGrid w:val="0"/>
        <w:spacing w:line="360" w:lineRule="auto"/>
        <w:ind w:firstLineChars="200" w:firstLine="480"/>
        <w:rPr>
          <w:bCs/>
          <w:sz w:val="24"/>
        </w:rPr>
      </w:pPr>
      <w:r w:rsidRPr="002B55E9">
        <w:rPr>
          <w:rFonts w:ascii="宋体" w:hAnsi="宋体" w:hint="eastAsia"/>
          <w:bCs/>
          <w:sz w:val="24"/>
        </w:rPr>
        <w:t>①</w:t>
      </w:r>
      <w:r w:rsidRPr="002B55E9">
        <w:rPr>
          <w:rFonts w:hint="eastAsia"/>
          <w:bCs/>
          <w:sz w:val="24"/>
        </w:rPr>
        <w:t>对废水、废气、噪声和固体废物均采取了治理和处置措施，减轻了对环境的影响。</w:t>
      </w:r>
    </w:p>
    <w:p w14:paraId="60188FED" w14:textId="77777777" w:rsidR="00D170E5" w:rsidRPr="002B55E9" w:rsidRDefault="00EF27AD">
      <w:pPr>
        <w:adjustRightInd w:val="0"/>
        <w:snapToGrid w:val="0"/>
        <w:spacing w:line="360" w:lineRule="auto"/>
        <w:ind w:firstLineChars="200" w:firstLine="480"/>
        <w:rPr>
          <w:bCs/>
          <w:sz w:val="24"/>
        </w:rPr>
      </w:pPr>
      <w:r w:rsidRPr="002B55E9">
        <w:rPr>
          <w:rFonts w:ascii="宋体" w:hAnsi="宋体" w:hint="eastAsia"/>
          <w:bCs/>
          <w:sz w:val="24"/>
        </w:rPr>
        <w:t>②</w:t>
      </w:r>
      <w:r w:rsidRPr="002B55E9">
        <w:rPr>
          <w:rFonts w:hint="eastAsia"/>
          <w:bCs/>
          <w:sz w:val="24"/>
        </w:rPr>
        <w:t>废水经处理后达到污水处理厂的纳管标准，对环境水体的影响可控制在国家标准允许的范围内；</w:t>
      </w:r>
    </w:p>
    <w:p w14:paraId="29566C23" w14:textId="77777777" w:rsidR="00D170E5" w:rsidRPr="002B55E9" w:rsidRDefault="00EF27AD">
      <w:pPr>
        <w:pStyle w:val="affff7"/>
        <w:adjustRightInd w:val="0"/>
        <w:snapToGrid w:val="0"/>
        <w:spacing w:after="0"/>
      </w:pPr>
      <w:r w:rsidRPr="002B55E9">
        <w:rPr>
          <w:rFonts w:hint="eastAsia"/>
        </w:rPr>
        <w:t>经以上措施后全厂废气、废水、噪声均能够稳定达标排放，固体废物均可以得到合理处置，对当地环境不会造成影响，当地环境仍能达到功能区规划要求。</w:t>
      </w:r>
    </w:p>
    <w:p w14:paraId="737F49E9" w14:textId="77777777" w:rsidR="00D170E5" w:rsidRPr="002B55E9" w:rsidRDefault="00EF27AD">
      <w:pPr>
        <w:pStyle w:val="4"/>
        <w:rPr>
          <w:color w:val="auto"/>
        </w:rPr>
      </w:pPr>
      <w:r w:rsidRPr="002B55E9">
        <w:rPr>
          <w:color w:val="auto"/>
        </w:rPr>
        <w:t>结论</w:t>
      </w:r>
    </w:p>
    <w:p w14:paraId="75436F9E" w14:textId="77777777" w:rsidR="00D170E5" w:rsidRPr="002B55E9" w:rsidRDefault="00EF27AD">
      <w:pPr>
        <w:pStyle w:val="affff7"/>
      </w:pPr>
      <w:r w:rsidRPr="002B55E9">
        <w:rPr>
          <w:rFonts w:hint="eastAsia"/>
        </w:rPr>
        <w:t>通过以上分析可以看出，拟建项目在原料、产品清洁性、工艺技术与设备先进性、固体废物回收利用以及污染控制方面均能符合清洁生产的要求。</w:t>
      </w:r>
    </w:p>
    <w:p w14:paraId="371E09E5" w14:textId="77777777" w:rsidR="00D170E5" w:rsidRPr="002B55E9" w:rsidRDefault="00EF27AD">
      <w:pPr>
        <w:pStyle w:val="4"/>
        <w:rPr>
          <w:color w:val="auto"/>
        </w:rPr>
      </w:pPr>
      <w:r w:rsidRPr="002B55E9">
        <w:rPr>
          <w:color w:val="auto"/>
        </w:rPr>
        <w:t>完善清洁生产建议</w:t>
      </w:r>
      <w:bookmarkEnd w:id="285"/>
      <w:bookmarkEnd w:id="286"/>
    </w:p>
    <w:p w14:paraId="166E55A9" w14:textId="77777777" w:rsidR="00D170E5" w:rsidRPr="002B55E9" w:rsidRDefault="00EF27AD">
      <w:pPr>
        <w:pStyle w:val="affff7"/>
      </w:pPr>
      <w:r w:rsidRPr="002B55E9">
        <w:lastRenderedPageBreak/>
        <w:t>按照生态环境保护的思想，清洁生产应是全生命周期，它包括一个完整的、全程的建设项目，不仅是生产产品所需原材料的加工；产品制造、运输、销售；还包括产品使用、再利用；废物最终弃置等环节。从清洁生产观念出发，要使产品的整个生命周期达到清洁生产要求。建议借鉴国内外经验，对生产中产生的</w:t>
      </w:r>
      <w:r w:rsidRPr="002B55E9">
        <w:t>“</w:t>
      </w:r>
      <w:r w:rsidRPr="002B55E9">
        <w:t>三废</w:t>
      </w:r>
      <w:r w:rsidRPr="002B55E9">
        <w:t>”</w:t>
      </w:r>
      <w:r w:rsidRPr="002B55E9">
        <w:t>加强治理；同时厂方在生产过程中，应严格规范操作程序，杜绝</w:t>
      </w:r>
      <w:r w:rsidRPr="002B55E9">
        <w:t>“</w:t>
      </w:r>
      <w:r w:rsidRPr="002B55E9">
        <w:t>跑、冒、滴、漏</w:t>
      </w:r>
      <w:r w:rsidRPr="002B55E9">
        <w:t>”</w:t>
      </w:r>
      <w:r w:rsidRPr="002B55E9">
        <w:t>现象的发生。</w:t>
      </w:r>
      <w:bookmarkStart w:id="287" w:name="_Toc247186211"/>
      <w:bookmarkStart w:id="288" w:name="_Toc209866438"/>
      <w:bookmarkStart w:id="289" w:name="_Toc175302700"/>
      <w:bookmarkStart w:id="290" w:name="_Toc168996315"/>
      <w:bookmarkEnd w:id="284"/>
      <w:r w:rsidRPr="002B55E9">
        <w:t>具体清洁生产建议如下：</w:t>
      </w:r>
    </w:p>
    <w:p w14:paraId="21D8E21A" w14:textId="77777777" w:rsidR="00D170E5" w:rsidRPr="002B55E9" w:rsidRDefault="00EF27AD">
      <w:pPr>
        <w:pStyle w:val="affff7"/>
      </w:pPr>
      <w:r w:rsidRPr="002B55E9">
        <w:t>（</w:t>
      </w:r>
      <w:r w:rsidRPr="002B55E9">
        <w:t>1</w:t>
      </w:r>
      <w:r w:rsidRPr="002B55E9">
        <w:t>）开展清洁生产审计，通过审计发现现状生产和管理过程的现状不足，进一步挖掘节能降耗的潜力。</w:t>
      </w:r>
    </w:p>
    <w:p w14:paraId="1866D1A5" w14:textId="77777777" w:rsidR="00D170E5" w:rsidRPr="002B55E9" w:rsidRDefault="00EF27AD">
      <w:pPr>
        <w:pStyle w:val="affff7"/>
      </w:pPr>
      <w:r w:rsidRPr="002B55E9">
        <w:t>（</w:t>
      </w:r>
      <w:r w:rsidRPr="002B55E9">
        <w:t>2</w:t>
      </w:r>
      <w:r w:rsidRPr="002B55E9">
        <w:t>）实行标准成本制度，制定更低水平能源消耗指标，并通过业已实施的班组、车间</w:t>
      </w:r>
      <w:r w:rsidRPr="002B55E9">
        <w:rPr>
          <w:rFonts w:hint="eastAsia"/>
        </w:rPr>
        <w:t>一</w:t>
      </w:r>
      <w:r w:rsidRPr="002B55E9">
        <w:t>条龙竞赛和成本考核，把降耗增效落实到每个班组和个人，贯穿到生产过程的每个工艺环节，创造能源消耗的世界同行业的先进水平。</w:t>
      </w:r>
    </w:p>
    <w:p w14:paraId="3B856462" w14:textId="77777777" w:rsidR="00D170E5" w:rsidRPr="002B55E9" w:rsidRDefault="00EF27AD">
      <w:pPr>
        <w:pStyle w:val="4"/>
        <w:rPr>
          <w:color w:val="auto"/>
        </w:rPr>
      </w:pPr>
      <w:r w:rsidRPr="002B55E9">
        <w:rPr>
          <w:rFonts w:hint="eastAsia"/>
          <w:color w:val="auto"/>
        </w:rPr>
        <w:t>清洁生产的持续改进</w:t>
      </w:r>
    </w:p>
    <w:p w14:paraId="0768DB59" w14:textId="77777777" w:rsidR="00D170E5" w:rsidRPr="002B55E9" w:rsidRDefault="00EF27AD">
      <w:pPr>
        <w:pStyle w:val="affff7"/>
      </w:pPr>
      <w:r w:rsidRPr="002B55E9">
        <w:t>清洁生产是一个动态、相对的概念，需要有稳定的工作人员来组织和协调这方面工作，以巩固已取得的清洁生产成果，并使清洁生产持续地开展下去。清洁生产是一个相对的概念，无论企业处于何种生产发展水平都需要实施清洁生产。建议企业持续进行清洁生产，并对全公司职工进行清洁生产培训，使人人都掌握本厂的清洁生产方法，能在生产实践中运用，持续推进企业的清洁生产工作。企业可以从以下几个方面进行持续清洁生产：</w:t>
      </w:r>
    </w:p>
    <w:p w14:paraId="5CB38D58" w14:textId="77777777" w:rsidR="00D170E5" w:rsidRPr="002B55E9" w:rsidRDefault="00EF27AD">
      <w:pPr>
        <w:pStyle w:val="affff7"/>
      </w:pPr>
      <w:r w:rsidRPr="002B55E9">
        <w:t>（</w:t>
      </w:r>
      <w:r w:rsidRPr="002B55E9">
        <w:t>1</w:t>
      </w:r>
      <w:r w:rsidRPr="002B55E9">
        <w:t>）建立和完善清洁生产组织，确定专人负责，该类人员应熟悉清洁生产审计知识，熟悉企业环保情况，有较强的工作责任心和敬业精神。有较强的工作能力。</w:t>
      </w:r>
    </w:p>
    <w:p w14:paraId="6F4242A8" w14:textId="77777777" w:rsidR="00D170E5" w:rsidRPr="002B55E9" w:rsidRDefault="00EF27AD">
      <w:pPr>
        <w:pStyle w:val="affff7"/>
      </w:pPr>
      <w:r w:rsidRPr="002B55E9">
        <w:t>（</w:t>
      </w:r>
      <w:r w:rsidRPr="002B55E9">
        <w:t>2</w:t>
      </w:r>
      <w:r w:rsidRPr="002B55E9">
        <w:t>）建立完善清洁生产制度，建立清洁生产激励机制，把审计结果纳入企业的日常管理。</w:t>
      </w:r>
    </w:p>
    <w:p w14:paraId="5C041121" w14:textId="77777777" w:rsidR="00D170E5" w:rsidRPr="002B55E9" w:rsidRDefault="00EF27AD">
      <w:pPr>
        <w:pStyle w:val="affff7"/>
      </w:pPr>
      <w:r w:rsidRPr="002B55E9">
        <w:t>（</w:t>
      </w:r>
      <w:r w:rsidRPr="002B55E9">
        <w:t>3</w:t>
      </w:r>
      <w:r w:rsidRPr="002B55E9">
        <w:t>）制定持续的清洁生产计划，包括清洁生产审计工作计划、清洁生产方案和实施计划、企业职工的清洁生产培训计划等。</w:t>
      </w:r>
    </w:p>
    <w:p w14:paraId="2312009F" w14:textId="77777777" w:rsidR="00D170E5" w:rsidRPr="002B55E9" w:rsidRDefault="00EF27AD">
      <w:pPr>
        <w:pStyle w:val="affff7"/>
      </w:pPr>
      <w:r w:rsidRPr="002B55E9">
        <w:t>（</w:t>
      </w:r>
      <w:r w:rsidRPr="002B55E9">
        <w:t>4</w:t>
      </w:r>
      <w:r w:rsidRPr="002B55E9">
        <w:t>）各废水、废气收集系统应进行合理设计，提高废气收集效率，消除无组织排放。建议企业加大中水回用力度，减少新鲜水用量，进一步提高清洁生产水平。</w:t>
      </w:r>
    </w:p>
    <w:p w14:paraId="04AEA13E" w14:textId="77777777" w:rsidR="00D170E5" w:rsidRPr="002B55E9" w:rsidRDefault="00EF27AD">
      <w:pPr>
        <w:pStyle w:val="affff7"/>
      </w:pPr>
      <w:r w:rsidRPr="002B55E9">
        <w:t>（</w:t>
      </w:r>
      <w:r w:rsidRPr="002B55E9">
        <w:t>5</w:t>
      </w:r>
      <w:r w:rsidRPr="002B55E9">
        <w:t>）对原材料供应方、生产协作方、相关服务方提出环境管理要求。</w:t>
      </w:r>
    </w:p>
    <w:p w14:paraId="3A6C73F5" w14:textId="77777777" w:rsidR="00D170E5" w:rsidRPr="002B55E9" w:rsidRDefault="00EF27AD">
      <w:pPr>
        <w:pStyle w:val="affff7"/>
      </w:pPr>
      <w:r w:rsidRPr="002B55E9">
        <w:t>（</w:t>
      </w:r>
      <w:r w:rsidRPr="002B55E9">
        <w:t>6</w:t>
      </w:r>
      <w:r w:rsidRPr="002B55E9">
        <w:t>）对工艺中产生污染的部位（包括污染防治设施）进行研究，尽量采用更先进的工艺消除或减少污染物的产生强度。</w:t>
      </w:r>
    </w:p>
    <w:p w14:paraId="6DA94CD3" w14:textId="77777777" w:rsidR="00D170E5" w:rsidRPr="002B55E9" w:rsidRDefault="00EF27AD">
      <w:pPr>
        <w:pStyle w:val="affff7"/>
      </w:pPr>
      <w:r w:rsidRPr="002B55E9">
        <w:t>（</w:t>
      </w:r>
      <w:r w:rsidRPr="002B55E9">
        <w:t>7</w:t>
      </w:r>
      <w:r w:rsidRPr="002B55E9">
        <w:t>）开展清洁生产审核工作，确定清洁生产目标和不断改进的方向。</w:t>
      </w:r>
    </w:p>
    <w:p w14:paraId="12F53E28" w14:textId="77777777" w:rsidR="00D170E5" w:rsidRPr="002B55E9" w:rsidRDefault="00D170E5">
      <w:pPr>
        <w:pStyle w:val="affff7"/>
      </w:pPr>
    </w:p>
    <w:p w14:paraId="655E2F9D" w14:textId="77777777" w:rsidR="00D170E5" w:rsidRPr="002B55E9" w:rsidRDefault="00EF27AD">
      <w:pPr>
        <w:pStyle w:val="3"/>
      </w:pPr>
      <w:bookmarkStart w:id="291" w:name="_Toc119309020"/>
      <w:r w:rsidRPr="002B55E9">
        <w:lastRenderedPageBreak/>
        <w:t>总量控制</w:t>
      </w:r>
      <w:bookmarkEnd w:id="287"/>
      <w:bookmarkEnd w:id="288"/>
      <w:bookmarkEnd w:id="289"/>
      <w:bookmarkEnd w:id="290"/>
      <w:bookmarkEnd w:id="291"/>
    </w:p>
    <w:p w14:paraId="695584E1" w14:textId="77777777" w:rsidR="00D170E5" w:rsidRPr="002B55E9" w:rsidRDefault="00EF27AD">
      <w:pPr>
        <w:pStyle w:val="affff7"/>
      </w:pPr>
      <w:r w:rsidRPr="002B55E9">
        <w:t>实施污染物排放总量控制，是国家提出的一项控制区域污染，保证环境质量的重要举措，同时也是保证区域经济可持续发展的主要措施。</w:t>
      </w:r>
    </w:p>
    <w:p w14:paraId="10D7ACB1" w14:textId="77777777" w:rsidR="00D170E5" w:rsidRPr="002B55E9" w:rsidRDefault="00EF27AD">
      <w:pPr>
        <w:pStyle w:val="4"/>
        <w:rPr>
          <w:color w:val="auto"/>
        </w:rPr>
      </w:pPr>
      <w:r w:rsidRPr="002B55E9">
        <w:rPr>
          <w:rFonts w:hint="eastAsia"/>
          <w:color w:val="auto"/>
        </w:rPr>
        <w:t>总量控制原则</w:t>
      </w:r>
    </w:p>
    <w:p w14:paraId="3D08CCEE" w14:textId="77777777" w:rsidR="00D170E5" w:rsidRPr="002B55E9" w:rsidRDefault="00EF27AD">
      <w:pPr>
        <w:pStyle w:val="affff7"/>
      </w:pPr>
      <w:r w:rsidRPr="002B55E9">
        <w:t>实施污染物排放总量控制是国家提出的一项控制区域污染，保证环境质量的重要举措，同时也是保证区域经济可持续发展的主要措施。总量控制的原则是以当地环境容量及污染物达标排放为基础，新建项目增加的污染物排放量应不影响当地环境保护目标的实现，不对周围地区环境造成有害影响，即评价区域环境质量应保持在功能区的目标，区域污染物的排放总量控制在上级环境保护主管部门下达的目标之内</w:t>
      </w:r>
      <w:r w:rsidRPr="002B55E9">
        <w:rPr>
          <w:rFonts w:hint="eastAsia"/>
        </w:rPr>
        <w:t>。</w:t>
      </w:r>
    </w:p>
    <w:p w14:paraId="15AA9D02" w14:textId="77777777" w:rsidR="00D170E5" w:rsidRPr="002B55E9" w:rsidRDefault="00EF27AD">
      <w:pPr>
        <w:pStyle w:val="4"/>
        <w:rPr>
          <w:color w:val="auto"/>
        </w:rPr>
      </w:pPr>
      <w:r w:rsidRPr="002B55E9">
        <w:rPr>
          <w:rFonts w:hint="eastAsia"/>
          <w:color w:val="auto"/>
        </w:rPr>
        <w:t>总量控制因子</w:t>
      </w:r>
    </w:p>
    <w:p w14:paraId="4D560156" w14:textId="77777777" w:rsidR="00D170E5" w:rsidRPr="002B55E9" w:rsidRDefault="00EF27AD">
      <w:pPr>
        <w:pStyle w:val="affff7"/>
      </w:pPr>
      <w:r w:rsidRPr="002B55E9">
        <w:rPr>
          <w:rFonts w:hint="eastAsia"/>
        </w:rPr>
        <w:t>①《“十三五”生态环境保护规划》（国发〔</w:t>
      </w:r>
      <w:r w:rsidRPr="002B55E9">
        <w:t>2016</w:t>
      </w:r>
      <w:r w:rsidRPr="002B55E9">
        <w:rPr>
          <w:rFonts w:hint="eastAsia"/>
        </w:rPr>
        <w:t>〕</w:t>
      </w:r>
      <w:r w:rsidRPr="002B55E9">
        <w:t>65</w:t>
      </w:r>
      <w:r w:rsidRPr="002B55E9">
        <w:rPr>
          <w:rFonts w:hint="eastAsia"/>
        </w:rPr>
        <w:t>号）的通知，“十三五”总量控制指标为化学需氧量、氨氮、二氧化硫、氮氧化物四项。</w:t>
      </w:r>
    </w:p>
    <w:p w14:paraId="777E0F23" w14:textId="77777777" w:rsidR="00D170E5" w:rsidRPr="002B55E9" w:rsidRDefault="00EF27AD">
      <w:pPr>
        <w:pStyle w:val="affff7"/>
      </w:pPr>
      <w:r w:rsidRPr="002B55E9">
        <w:rPr>
          <w:rFonts w:hint="eastAsia"/>
        </w:rPr>
        <w:t>②根据《建设项目主要</w:t>
      </w:r>
      <w:r w:rsidRPr="002B55E9">
        <w:rPr>
          <w:rFonts w:hint="eastAsia"/>
          <w:szCs w:val="24"/>
        </w:rPr>
        <w:t>污染物排放总量指标审核及管理暂行办法》（环发〔</w:t>
      </w:r>
      <w:r w:rsidRPr="002B55E9">
        <w:rPr>
          <w:szCs w:val="24"/>
        </w:rPr>
        <w:t>2014</w:t>
      </w:r>
      <w:r w:rsidRPr="002B55E9">
        <w:rPr>
          <w:rFonts w:hint="eastAsia"/>
          <w:szCs w:val="24"/>
        </w:rPr>
        <w:t>〕</w:t>
      </w:r>
      <w:r w:rsidRPr="002B55E9">
        <w:rPr>
          <w:szCs w:val="24"/>
        </w:rPr>
        <w:t>197</w:t>
      </w:r>
      <w:r w:rsidRPr="002B55E9">
        <w:rPr>
          <w:rFonts w:hint="eastAsia"/>
          <w:szCs w:val="24"/>
        </w:rPr>
        <w:t>号）</w:t>
      </w:r>
      <w:r w:rsidRPr="002B55E9">
        <w:rPr>
          <w:rFonts w:hint="eastAsia"/>
        </w:rPr>
        <w:t>，对于大气环境质量超标城市，二氧化硫、氮氧化物、挥发性有机物、烟粉尘实行区域现役源</w:t>
      </w:r>
      <w:r w:rsidRPr="002B55E9">
        <w:t>2</w:t>
      </w:r>
      <w:r w:rsidRPr="002B55E9">
        <w:rPr>
          <w:rFonts w:hint="eastAsia"/>
        </w:rPr>
        <w:t>倍削减量替代。</w:t>
      </w:r>
    </w:p>
    <w:p w14:paraId="3A17BC2F" w14:textId="77777777" w:rsidR="00D170E5" w:rsidRPr="002B55E9" w:rsidRDefault="00EF27AD">
      <w:pPr>
        <w:pStyle w:val="affff7"/>
      </w:pPr>
      <w:r w:rsidRPr="002B55E9">
        <w:t>拟建项目污染物总量控制指标共有</w:t>
      </w:r>
      <w:r w:rsidRPr="002B55E9">
        <w:t>4</w:t>
      </w:r>
      <w:r w:rsidRPr="002B55E9">
        <w:t>项，分别为大气污染物指标：</w:t>
      </w:r>
      <w:r w:rsidRPr="002B55E9">
        <w:rPr>
          <w:rFonts w:hint="eastAsia"/>
        </w:rPr>
        <w:t>颗粒物、挥发性有机物</w:t>
      </w:r>
      <w:r w:rsidRPr="002B55E9">
        <w:t>；废水污染物指标：</w:t>
      </w:r>
      <w:r w:rsidRPr="002B55E9">
        <w:rPr>
          <w:rFonts w:hint="eastAsia"/>
        </w:rPr>
        <w:t>化学需氧量</w:t>
      </w:r>
      <w:r w:rsidRPr="002B55E9">
        <w:t>、氨氮</w:t>
      </w:r>
      <w:r w:rsidRPr="002B55E9">
        <w:rPr>
          <w:rFonts w:hint="eastAsia"/>
        </w:rPr>
        <w:t>。</w:t>
      </w:r>
    </w:p>
    <w:p w14:paraId="3B9B2453" w14:textId="77777777" w:rsidR="00D170E5" w:rsidRPr="002B55E9" w:rsidRDefault="00EF27AD">
      <w:pPr>
        <w:pStyle w:val="4"/>
        <w:rPr>
          <w:color w:val="auto"/>
        </w:rPr>
      </w:pPr>
      <w:r w:rsidRPr="002B55E9">
        <w:rPr>
          <w:rFonts w:hint="eastAsia"/>
          <w:color w:val="auto"/>
        </w:rPr>
        <w:t>总量控制指标建议值</w:t>
      </w:r>
    </w:p>
    <w:p w14:paraId="49CD6868" w14:textId="77777777" w:rsidR="00D170E5" w:rsidRPr="002B55E9" w:rsidRDefault="00EF27AD">
      <w:pPr>
        <w:pStyle w:val="5"/>
      </w:pPr>
      <w:r w:rsidRPr="002B55E9">
        <w:rPr>
          <w:rFonts w:hint="eastAsia"/>
        </w:rPr>
        <w:t>污染物排放总量的确定原则</w:t>
      </w:r>
    </w:p>
    <w:p w14:paraId="682B38F8" w14:textId="77777777" w:rsidR="00D170E5" w:rsidRPr="002B55E9" w:rsidRDefault="00EF27AD">
      <w:pPr>
        <w:pStyle w:val="affff7"/>
        <w:snapToGrid w:val="0"/>
        <w:spacing w:after="0"/>
      </w:pPr>
      <w:r w:rsidRPr="002B55E9">
        <w:t>（</w:t>
      </w:r>
      <w:r w:rsidRPr="002B55E9">
        <w:t>1</w:t>
      </w:r>
      <w:r w:rsidRPr="002B55E9">
        <w:t>）污染物排放浓度达标原则</w:t>
      </w:r>
    </w:p>
    <w:p w14:paraId="5D355E1B" w14:textId="77777777" w:rsidR="00D170E5" w:rsidRPr="002B55E9" w:rsidRDefault="00EF27AD">
      <w:pPr>
        <w:pStyle w:val="affff7"/>
        <w:snapToGrid w:val="0"/>
        <w:spacing w:after="0"/>
      </w:pPr>
      <w:r w:rsidRPr="002B55E9">
        <w:t>污染物排放浓度达到相关排放标准，是确定总量控制指标的基本原则之一，也是企业合法排放污染物的依据。</w:t>
      </w:r>
    </w:p>
    <w:p w14:paraId="63680DBE" w14:textId="77777777" w:rsidR="00D170E5" w:rsidRPr="002B55E9" w:rsidRDefault="00EF27AD">
      <w:pPr>
        <w:pStyle w:val="affff7"/>
        <w:snapToGrid w:val="0"/>
        <w:spacing w:after="0"/>
      </w:pPr>
      <w:r w:rsidRPr="002B55E9">
        <w:t>该项目所排放的污染物必须首先满足浓度达标排放。</w:t>
      </w:r>
    </w:p>
    <w:p w14:paraId="29E42D5B" w14:textId="77777777" w:rsidR="00D170E5" w:rsidRPr="002B55E9" w:rsidRDefault="00EF27AD">
      <w:pPr>
        <w:pStyle w:val="affff7"/>
        <w:snapToGrid w:val="0"/>
        <w:spacing w:after="0"/>
      </w:pPr>
      <w:r w:rsidRPr="002B55E9">
        <w:t>（</w:t>
      </w:r>
      <w:r w:rsidRPr="002B55E9">
        <w:t>2</w:t>
      </w:r>
      <w:r w:rsidRPr="002B55E9">
        <w:t>）环境质量达标原则</w:t>
      </w:r>
    </w:p>
    <w:p w14:paraId="31ACD526" w14:textId="77777777" w:rsidR="00D170E5" w:rsidRPr="002B55E9" w:rsidRDefault="00EF27AD">
      <w:pPr>
        <w:pStyle w:val="affff7"/>
        <w:snapToGrid w:val="0"/>
        <w:spacing w:after="0"/>
      </w:pPr>
      <w:r w:rsidRPr="002B55E9">
        <w:t>保证区域和流域环境质量达到功能区标准，是环境保护的基本目标，因此区域污染物排放总量必须小于环境容量，即对环境的影响不得超过环境功能区质量标准。</w:t>
      </w:r>
    </w:p>
    <w:p w14:paraId="4E79EB85" w14:textId="77777777" w:rsidR="00D170E5" w:rsidRPr="002B55E9" w:rsidRDefault="00EF27AD">
      <w:pPr>
        <w:pStyle w:val="affff7"/>
        <w:snapToGrid w:val="0"/>
        <w:spacing w:after="0"/>
      </w:pPr>
      <w:r w:rsidRPr="002B55E9">
        <w:t>（</w:t>
      </w:r>
      <w:r w:rsidRPr="002B55E9">
        <w:t>3</w:t>
      </w:r>
      <w:r w:rsidRPr="002B55E9">
        <w:t>）符合当地环境管理部门确定的总量控制指标原则</w:t>
      </w:r>
    </w:p>
    <w:p w14:paraId="364D298E" w14:textId="3CEA1FE8" w:rsidR="00D170E5" w:rsidRPr="002B55E9" w:rsidRDefault="00EF27AD">
      <w:pPr>
        <w:pStyle w:val="affff7"/>
        <w:snapToGrid w:val="0"/>
        <w:spacing w:after="0"/>
      </w:pPr>
      <w:r w:rsidRPr="002B55E9">
        <w:t>项目所排放和各类污染物总量必须控制在武汉市</w:t>
      </w:r>
      <w:r w:rsidR="006051E0" w:rsidRPr="002B55E9">
        <w:rPr>
          <w:rFonts w:hint="eastAsia"/>
        </w:rPr>
        <w:t>生态环境</w:t>
      </w:r>
      <w:r w:rsidRPr="002B55E9">
        <w:t>局对该项目所下达的允许排放总量指标内。</w:t>
      </w:r>
    </w:p>
    <w:p w14:paraId="493FF710" w14:textId="77777777" w:rsidR="00D170E5" w:rsidRPr="002B55E9" w:rsidRDefault="00EF27AD">
      <w:pPr>
        <w:pStyle w:val="5"/>
      </w:pPr>
      <w:r w:rsidRPr="002B55E9">
        <w:rPr>
          <w:rFonts w:hint="eastAsia"/>
        </w:rPr>
        <w:lastRenderedPageBreak/>
        <w:t>拟建项目总量控制指标</w:t>
      </w:r>
    </w:p>
    <w:p w14:paraId="35F60FC8" w14:textId="77777777" w:rsidR="00D170E5" w:rsidRPr="002B55E9" w:rsidRDefault="00EF27AD">
      <w:pPr>
        <w:pStyle w:val="affff7"/>
        <w:adjustRightInd w:val="0"/>
        <w:snapToGrid w:val="0"/>
        <w:spacing w:after="0"/>
      </w:pPr>
      <w:bookmarkStart w:id="292" w:name="_Hlk46175561"/>
      <w:r w:rsidRPr="002B55E9">
        <w:rPr>
          <w:rFonts w:ascii="宋体" w:hAnsi="宋体" w:cs="宋体" w:hint="eastAsia"/>
        </w:rPr>
        <w:t>①</w:t>
      </w:r>
      <w:r w:rsidRPr="002B55E9">
        <w:t>废水总量</w:t>
      </w:r>
    </w:p>
    <w:p w14:paraId="3BC845DF" w14:textId="69218240" w:rsidR="00D170E5" w:rsidRPr="002B55E9" w:rsidRDefault="00EF27AD">
      <w:pPr>
        <w:pStyle w:val="affff7"/>
        <w:adjustRightInd w:val="0"/>
        <w:snapToGrid w:val="0"/>
        <w:spacing w:after="0"/>
      </w:pPr>
      <w:r w:rsidRPr="002B55E9">
        <w:t>总量考核按照末端向外环境排放量计算，即按</w:t>
      </w:r>
      <w:r w:rsidRPr="002B55E9">
        <w:rPr>
          <w:rFonts w:hint="eastAsia"/>
        </w:rPr>
        <w:t>东西湖污水处理厂尾水</w:t>
      </w:r>
      <w:r w:rsidRPr="002B55E9">
        <w:t>现行排放标准浓度核算最终排放量。</w:t>
      </w:r>
      <w:r w:rsidRPr="002B55E9">
        <w:rPr>
          <w:rFonts w:hint="eastAsia"/>
        </w:rPr>
        <w:t>东西湖污水处理厂现行排放标准为《城镇污水处理厂污染物排放标准》（</w:t>
      </w:r>
      <w:r w:rsidRPr="002B55E9">
        <w:rPr>
          <w:rFonts w:hint="eastAsia"/>
        </w:rPr>
        <w:t>G</w:t>
      </w:r>
      <w:r w:rsidRPr="002B55E9">
        <w:t>B18918-2002</w:t>
      </w:r>
      <w:r w:rsidRPr="002B55E9">
        <w:rPr>
          <w:rFonts w:hint="eastAsia"/>
        </w:rPr>
        <w:t>）及其修改单中一级</w:t>
      </w:r>
      <w:r w:rsidRPr="002B55E9">
        <w:rPr>
          <w:rFonts w:hint="eastAsia"/>
        </w:rPr>
        <w:t>A</w:t>
      </w:r>
      <w:r w:rsidRPr="002B55E9">
        <w:rPr>
          <w:rFonts w:hint="eastAsia"/>
        </w:rPr>
        <w:t>标准。即</w:t>
      </w:r>
      <w:r w:rsidRPr="002B55E9">
        <w:rPr>
          <w:rFonts w:hint="eastAsia"/>
        </w:rPr>
        <w:t>C</w:t>
      </w:r>
      <w:r w:rsidRPr="002B55E9">
        <w:t>OD50</w:t>
      </w:r>
      <w:r w:rsidRPr="002B55E9">
        <w:rPr>
          <w:rFonts w:hint="eastAsia"/>
        </w:rPr>
        <w:t>mg</w:t>
      </w:r>
      <w:r w:rsidRPr="002B55E9">
        <w:t>/L</w:t>
      </w:r>
      <w:r w:rsidRPr="002B55E9">
        <w:rPr>
          <w:rFonts w:hint="eastAsia"/>
        </w:rPr>
        <w:t>、氨氮</w:t>
      </w:r>
      <w:r w:rsidRPr="002B55E9">
        <w:rPr>
          <w:rFonts w:hint="eastAsia"/>
        </w:rPr>
        <w:t>5mg</w:t>
      </w:r>
      <w:r w:rsidRPr="002B55E9">
        <w:t>/L</w:t>
      </w:r>
      <w:r w:rsidRPr="002B55E9">
        <w:rPr>
          <w:rFonts w:hint="eastAsia"/>
        </w:rPr>
        <w:t>。</w:t>
      </w:r>
      <w:bookmarkStart w:id="293" w:name="_Hlk81403909"/>
      <w:r w:rsidRPr="002B55E9">
        <w:rPr>
          <w:rFonts w:hint="eastAsia"/>
        </w:rPr>
        <w:t>本项目建成后全厂废水排放量为</w:t>
      </w:r>
      <w:r w:rsidR="006E20C6" w:rsidRPr="002B55E9">
        <w:t>229575</w:t>
      </w:r>
      <w:r w:rsidRPr="002B55E9">
        <w:rPr>
          <w:rFonts w:hint="eastAsia"/>
        </w:rPr>
        <w:t>m</w:t>
      </w:r>
      <w:r w:rsidRPr="002B55E9">
        <w:rPr>
          <w:vertAlign w:val="superscript"/>
        </w:rPr>
        <w:t>3</w:t>
      </w:r>
      <w:r w:rsidRPr="002B55E9">
        <w:t>/</w:t>
      </w:r>
      <w:r w:rsidRPr="002B55E9">
        <w:rPr>
          <w:rFonts w:hint="eastAsia"/>
        </w:rPr>
        <w:t>a</w:t>
      </w:r>
      <w:bookmarkEnd w:id="293"/>
      <w:r w:rsidRPr="002B55E9">
        <w:rPr>
          <w:rFonts w:hint="eastAsia"/>
        </w:rPr>
        <w:t>。</w:t>
      </w:r>
      <w:r w:rsidRPr="002B55E9">
        <w:t>计算得出拟建工程</w:t>
      </w:r>
      <w:r w:rsidRPr="002B55E9">
        <w:rPr>
          <w:rFonts w:hint="eastAsia"/>
        </w:rPr>
        <w:t>化学需氧量</w:t>
      </w:r>
      <w:r w:rsidRPr="002B55E9">
        <w:t>控制指标为</w:t>
      </w:r>
      <w:r w:rsidR="006E20C6" w:rsidRPr="002B55E9">
        <w:t>11.48</w:t>
      </w:r>
      <w:r w:rsidRPr="002B55E9">
        <w:t>t/a</w:t>
      </w:r>
      <w:r w:rsidRPr="002B55E9">
        <w:t>、氨氮总量控制指标约为</w:t>
      </w:r>
      <w:r w:rsidR="006E20C6" w:rsidRPr="002B55E9">
        <w:t>1.148</w:t>
      </w:r>
      <w:r w:rsidRPr="002B55E9">
        <w:t>t/a</w:t>
      </w:r>
      <w:r w:rsidRPr="002B55E9">
        <w:t>。</w:t>
      </w:r>
      <w:bookmarkEnd w:id="292"/>
    </w:p>
    <w:p w14:paraId="0D2D4A2A" w14:textId="77777777" w:rsidR="00D170E5" w:rsidRPr="002B55E9" w:rsidRDefault="00EF27AD">
      <w:pPr>
        <w:pStyle w:val="affff7"/>
        <w:adjustRightInd w:val="0"/>
        <w:snapToGrid w:val="0"/>
        <w:spacing w:after="0"/>
        <w:ind w:firstLineChars="0"/>
      </w:pPr>
      <w:r w:rsidRPr="002B55E9">
        <w:rPr>
          <w:rFonts w:hint="eastAsia"/>
        </w:rPr>
        <w:t>②</w:t>
      </w:r>
      <w:r w:rsidRPr="002B55E9">
        <w:t>废气总量</w:t>
      </w:r>
    </w:p>
    <w:p w14:paraId="1D82F20B" w14:textId="38B80386" w:rsidR="00D170E5" w:rsidRPr="002B55E9" w:rsidRDefault="00EF27AD">
      <w:pPr>
        <w:pStyle w:val="affff7"/>
        <w:adjustRightInd w:val="0"/>
        <w:snapToGrid w:val="0"/>
        <w:spacing w:after="0"/>
      </w:pPr>
      <w:r w:rsidRPr="002B55E9">
        <w:rPr>
          <w:rFonts w:hint="eastAsia"/>
        </w:rPr>
        <w:t>拟建项目涉及特征污染物主要为挥发性有机物和</w:t>
      </w:r>
      <w:r w:rsidRPr="002B55E9">
        <w:t>颗粒物</w:t>
      </w:r>
      <w:r w:rsidRPr="002B55E9">
        <w:rPr>
          <w:rFonts w:hint="eastAsia"/>
        </w:rPr>
        <w:t>。通过工程分析计算，拟建项目新增挥发性有机物</w:t>
      </w:r>
      <w:bookmarkStart w:id="294" w:name="_Hlk81404030"/>
      <w:r w:rsidR="006E20C6" w:rsidRPr="002B55E9">
        <w:t>3.716</w:t>
      </w:r>
      <w:r w:rsidRPr="002B55E9">
        <w:rPr>
          <w:rFonts w:hint="eastAsia"/>
        </w:rPr>
        <w:t>t</w:t>
      </w:r>
      <w:r w:rsidRPr="002B55E9">
        <w:t>/</w:t>
      </w:r>
      <w:r w:rsidRPr="002B55E9">
        <w:rPr>
          <w:rFonts w:hint="eastAsia"/>
        </w:rPr>
        <w:t>a</w:t>
      </w:r>
      <w:bookmarkEnd w:id="294"/>
      <w:r w:rsidRPr="002B55E9">
        <w:rPr>
          <w:rFonts w:hint="eastAsia"/>
        </w:rPr>
        <w:t>、</w:t>
      </w:r>
      <w:r w:rsidRPr="002B55E9">
        <w:t>颗粒物</w:t>
      </w:r>
      <w:r w:rsidRPr="002B55E9">
        <w:t>0.065t/a</w:t>
      </w:r>
      <w:r w:rsidRPr="002B55E9">
        <w:rPr>
          <w:rFonts w:hint="eastAsia"/>
        </w:rPr>
        <w:t>。</w:t>
      </w:r>
    </w:p>
    <w:p w14:paraId="63AD8730" w14:textId="13283945" w:rsidR="005C15CF" w:rsidRPr="002B55E9" w:rsidRDefault="005C15CF">
      <w:pPr>
        <w:pStyle w:val="affff7"/>
        <w:adjustRightInd w:val="0"/>
        <w:snapToGrid w:val="0"/>
        <w:spacing w:after="0"/>
      </w:pPr>
      <w:r w:rsidRPr="002B55E9">
        <w:rPr>
          <w:rFonts w:hint="eastAsia"/>
        </w:rPr>
        <w:t>根据《市人民政府关于印发武汉市改善空气质量</w:t>
      </w:r>
      <w:r w:rsidRPr="002B55E9">
        <w:rPr>
          <w:rFonts w:hint="eastAsia"/>
        </w:rPr>
        <w:t>2021</w:t>
      </w:r>
      <w:r w:rsidRPr="002B55E9">
        <w:rPr>
          <w:rFonts w:hint="eastAsia"/>
        </w:rPr>
        <w:t>年工作方案的通知》（武政规〔</w:t>
      </w:r>
      <w:r w:rsidRPr="002B55E9">
        <w:rPr>
          <w:rFonts w:hint="eastAsia"/>
        </w:rPr>
        <w:t>2021</w:t>
      </w:r>
      <w:r w:rsidRPr="002B55E9">
        <w:rPr>
          <w:rFonts w:hint="eastAsia"/>
        </w:rPr>
        <w:t>〕</w:t>
      </w:r>
      <w:r w:rsidRPr="002B55E9">
        <w:rPr>
          <w:rFonts w:hint="eastAsia"/>
        </w:rPr>
        <w:t>7</w:t>
      </w:r>
      <w:r w:rsidRPr="002B55E9">
        <w:rPr>
          <w:rFonts w:hint="eastAsia"/>
        </w:rPr>
        <w:t>号），“全市新增排放二氧化硫、氮氧化物、烟粉尘和</w:t>
      </w:r>
      <w:r w:rsidRPr="002B55E9">
        <w:rPr>
          <w:rFonts w:hint="eastAsia"/>
        </w:rPr>
        <w:t>VOCs</w:t>
      </w:r>
      <w:r w:rsidRPr="002B55E9">
        <w:rPr>
          <w:rFonts w:hint="eastAsia"/>
        </w:rPr>
        <w:t>的建设项目实行现役源</w:t>
      </w:r>
      <w:r w:rsidRPr="002B55E9">
        <w:rPr>
          <w:rFonts w:hint="eastAsia"/>
        </w:rPr>
        <w:t>2</w:t>
      </w:r>
      <w:r w:rsidRPr="002B55E9">
        <w:rPr>
          <w:rFonts w:hint="eastAsia"/>
        </w:rPr>
        <w:t>倍削减量替代。”</w:t>
      </w:r>
      <w:r w:rsidRPr="002B55E9">
        <w:rPr>
          <w:rFonts w:hint="eastAsia"/>
        </w:rPr>
        <w:t xml:space="preserve"> </w:t>
      </w:r>
      <w:r w:rsidRPr="002B55E9">
        <w:rPr>
          <w:rFonts w:hint="eastAsia"/>
        </w:rPr>
        <w:t>拟建项目新增排放的烟粉尘、挥发性有机物需要实行区域内现役源</w:t>
      </w:r>
      <w:r w:rsidRPr="002B55E9">
        <w:rPr>
          <w:rFonts w:hint="eastAsia"/>
        </w:rPr>
        <w:t>2</w:t>
      </w:r>
      <w:r w:rsidRPr="002B55E9">
        <w:rPr>
          <w:rFonts w:hint="eastAsia"/>
        </w:rPr>
        <w:t>倍削减量替代。</w:t>
      </w:r>
    </w:p>
    <w:p w14:paraId="438C6018" w14:textId="0C02D4E2" w:rsidR="00D170E5" w:rsidRPr="002B55E9" w:rsidRDefault="00EF27AD">
      <w:pPr>
        <w:pStyle w:val="affff7"/>
        <w:adjustRightInd w:val="0"/>
        <w:snapToGrid w:val="0"/>
        <w:spacing w:after="0"/>
      </w:pPr>
      <w:r w:rsidRPr="002B55E9">
        <w:rPr>
          <w:rFonts w:hint="eastAsia"/>
        </w:rPr>
        <w:t>建设</w:t>
      </w:r>
      <w:r w:rsidRPr="002B55E9">
        <w:t>单位应当</w:t>
      </w:r>
      <w:r w:rsidRPr="002B55E9">
        <w:rPr>
          <w:rFonts w:hint="eastAsia"/>
        </w:rPr>
        <w:t>向</w:t>
      </w:r>
      <w:r w:rsidRPr="002B55E9">
        <w:t>武汉</w:t>
      </w:r>
      <w:r w:rsidRPr="002B55E9">
        <w:rPr>
          <w:rFonts w:hint="eastAsia"/>
        </w:rPr>
        <w:t>市</w:t>
      </w:r>
      <w:r w:rsidRPr="002B55E9">
        <w:t>生态环境局东西湖区分局</w:t>
      </w:r>
      <w:r w:rsidRPr="002B55E9">
        <w:rPr>
          <w:rFonts w:hint="eastAsia"/>
        </w:rPr>
        <w:t>申请</w:t>
      </w:r>
      <w:r w:rsidRPr="002B55E9">
        <w:t>上述</w:t>
      </w:r>
      <w:r w:rsidRPr="002B55E9">
        <w:rPr>
          <w:rFonts w:hint="eastAsia"/>
        </w:rPr>
        <w:t>总量</w:t>
      </w:r>
      <w:r w:rsidRPr="002B55E9">
        <w:t>控制指标。</w:t>
      </w:r>
    </w:p>
    <w:p w14:paraId="7B4F5939" w14:textId="77777777" w:rsidR="00D170E5" w:rsidRPr="002B55E9" w:rsidRDefault="00D170E5">
      <w:pPr>
        <w:pStyle w:val="affff7"/>
        <w:adjustRightInd w:val="0"/>
        <w:snapToGrid w:val="0"/>
        <w:spacing w:after="0"/>
      </w:pPr>
    </w:p>
    <w:p w14:paraId="2E1EDE1D" w14:textId="77777777" w:rsidR="00D170E5" w:rsidRPr="002B55E9" w:rsidRDefault="00D170E5">
      <w:pPr>
        <w:pStyle w:val="affff7"/>
        <w:adjustRightInd w:val="0"/>
        <w:snapToGrid w:val="0"/>
        <w:spacing w:after="0"/>
      </w:pPr>
    </w:p>
    <w:p w14:paraId="713BC27E" w14:textId="77777777" w:rsidR="00D170E5" w:rsidRPr="002B55E9" w:rsidRDefault="00D170E5">
      <w:pPr>
        <w:pStyle w:val="affff7"/>
        <w:adjustRightInd w:val="0"/>
        <w:snapToGrid w:val="0"/>
        <w:spacing w:after="0"/>
      </w:pPr>
    </w:p>
    <w:p w14:paraId="1CA15250" w14:textId="77777777" w:rsidR="00D170E5" w:rsidRPr="002B55E9" w:rsidRDefault="00D170E5">
      <w:pPr>
        <w:pStyle w:val="affff7"/>
      </w:pPr>
    </w:p>
    <w:p w14:paraId="73DF8852" w14:textId="77777777" w:rsidR="00D170E5" w:rsidRPr="002B55E9" w:rsidRDefault="00D170E5">
      <w:pPr>
        <w:pStyle w:val="affff7"/>
        <w:sectPr w:rsidR="00D170E5" w:rsidRPr="002B55E9">
          <w:headerReference w:type="default" r:id="rId111"/>
          <w:pgSz w:w="11905" w:h="16838"/>
          <w:pgMar w:top="1134" w:right="1134" w:bottom="1134" w:left="1134" w:header="737" w:footer="624" w:gutter="0"/>
          <w:cols w:space="720"/>
          <w:docGrid w:linePitch="312"/>
        </w:sectPr>
      </w:pPr>
    </w:p>
    <w:p w14:paraId="617DBA02" w14:textId="77777777" w:rsidR="00D170E5" w:rsidRPr="002B55E9" w:rsidRDefault="00EF27AD">
      <w:pPr>
        <w:pStyle w:val="2"/>
      </w:pPr>
      <w:bookmarkStart w:id="295" w:name="_Toc47339748"/>
      <w:bookmarkStart w:id="296" w:name="_Toc119309021"/>
      <w:bookmarkStart w:id="297" w:name="_Toc247186212"/>
      <w:bookmarkStart w:id="298" w:name="_Toc227059318"/>
      <w:bookmarkStart w:id="299" w:name="_Toc227059234"/>
      <w:r w:rsidRPr="002B55E9">
        <w:lastRenderedPageBreak/>
        <w:t>产业政策</w:t>
      </w:r>
      <w:r w:rsidRPr="002B55E9">
        <w:rPr>
          <w:rFonts w:hint="eastAsia"/>
        </w:rPr>
        <w:t>与</w:t>
      </w:r>
      <w:r w:rsidRPr="002B55E9">
        <w:t>规划</w:t>
      </w:r>
      <w:bookmarkEnd w:id="295"/>
      <w:r w:rsidRPr="002B55E9">
        <w:rPr>
          <w:rFonts w:hint="eastAsia"/>
        </w:rPr>
        <w:t>符合性分析</w:t>
      </w:r>
      <w:bookmarkEnd w:id="296"/>
      <w:bookmarkEnd w:id="297"/>
      <w:bookmarkEnd w:id="298"/>
      <w:bookmarkEnd w:id="299"/>
    </w:p>
    <w:p w14:paraId="2F55C142" w14:textId="77777777" w:rsidR="00D170E5" w:rsidRPr="002B55E9" w:rsidRDefault="00EF27AD">
      <w:pPr>
        <w:pStyle w:val="3"/>
      </w:pPr>
      <w:bookmarkStart w:id="300" w:name="_Toc227059235"/>
      <w:bookmarkStart w:id="301" w:name="_Toc119309022"/>
      <w:bookmarkStart w:id="302" w:name="_Toc247186213"/>
      <w:bookmarkStart w:id="303" w:name="_Toc227059319"/>
      <w:r w:rsidRPr="002B55E9">
        <w:rPr>
          <w:rFonts w:hint="eastAsia"/>
        </w:rPr>
        <w:t>产业政策符合性分析</w:t>
      </w:r>
      <w:bookmarkEnd w:id="300"/>
      <w:bookmarkEnd w:id="301"/>
      <w:bookmarkEnd w:id="302"/>
      <w:bookmarkEnd w:id="303"/>
    </w:p>
    <w:p w14:paraId="07E3D559" w14:textId="77777777" w:rsidR="00D170E5" w:rsidRPr="002B55E9" w:rsidRDefault="00EF27AD">
      <w:pPr>
        <w:pStyle w:val="4"/>
        <w:rPr>
          <w:color w:val="auto"/>
        </w:rPr>
      </w:pPr>
      <w:r w:rsidRPr="002B55E9">
        <w:rPr>
          <w:rFonts w:hint="eastAsia"/>
          <w:color w:val="auto"/>
        </w:rPr>
        <w:t>符合</w:t>
      </w:r>
      <w:r w:rsidRPr="002B55E9">
        <w:rPr>
          <w:color w:val="auto"/>
        </w:rPr>
        <w:t>《产业结构调整指导目录</w:t>
      </w:r>
      <w:r w:rsidRPr="002B55E9">
        <w:rPr>
          <w:color w:val="auto"/>
        </w:rPr>
        <w:t>(20</w:t>
      </w:r>
      <w:r w:rsidRPr="002B55E9">
        <w:rPr>
          <w:rFonts w:hint="eastAsia"/>
          <w:color w:val="auto"/>
        </w:rPr>
        <w:t>19</w:t>
      </w:r>
      <w:r w:rsidRPr="002B55E9">
        <w:rPr>
          <w:color w:val="auto"/>
        </w:rPr>
        <w:t>年本</w:t>
      </w:r>
      <w:r w:rsidRPr="002B55E9">
        <w:rPr>
          <w:color w:val="auto"/>
        </w:rPr>
        <w:t>)</w:t>
      </w:r>
      <w:r w:rsidRPr="002B55E9">
        <w:rPr>
          <w:color w:val="auto"/>
        </w:rPr>
        <w:t>》</w:t>
      </w:r>
    </w:p>
    <w:p w14:paraId="4A7C7F0A" w14:textId="77777777" w:rsidR="00D170E5" w:rsidRPr="002B55E9" w:rsidRDefault="00EF27AD">
      <w:pPr>
        <w:pStyle w:val="affff7"/>
        <w:rPr>
          <w:szCs w:val="30"/>
        </w:rPr>
      </w:pPr>
      <w:r w:rsidRPr="002B55E9">
        <w:t>对照《产业结构调整指导目录</w:t>
      </w:r>
      <w:r w:rsidRPr="002B55E9">
        <w:rPr>
          <w:rFonts w:hint="eastAsia"/>
        </w:rPr>
        <w:t>（</w:t>
      </w:r>
      <w:r w:rsidRPr="002B55E9">
        <w:rPr>
          <w:rFonts w:hint="eastAsia"/>
        </w:rPr>
        <w:t>2019</w:t>
      </w:r>
      <w:r w:rsidRPr="002B55E9">
        <w:rPr>
          <w:rFonts w:hint="eastAsia"/>
        </w:rPr>
        <w:t>年本）</w:t>
      </w:r>
      <w:r w:rsidRPr="002B55E9">
        <w:t>》</w:t>
      </w:r>
      <w:r w:rsidRPr="002B55E9">
        <w:rPr>
          <w:rFonts w:hint="eastAsia"/>
        </w:rPr>
        <w:t>，本项目主要进行料酒、食醋等调味品的生产，属于食品制造行业，不属于</w:t>
      </w:r>
      <w:r w:rsidRPr="002B55E9">
        <w:t>《产业结构调整指导目录</w:t>
      </w:r>
      <w:r w:rsidRPr="002B55E9">
        <w:rPr>
          <w:rFonts w:hint="eastAsia"/>
        </w:rPr>
        <w:t>（</w:t>
      </w:r>
      <w:r w:rsidRPr="002B55E9">
        <w:rPr>
          <w:rFonts w:hint="eastAsia"/>
        </w:rPr>
        <w:t>2019</w:t>
      </w:r>
      <w:r w:rsidRPr="002B55E9">
        <w:rPr>
          <w:rFonts w:hint="eastAsia"/>
        </w:rPr>
        <w:t>年本）</w:t>
      </w:r>
      <w:r w:rsidRPr="002B55E9">
        <w:t>》</w:t>
      </w:r>
      <w:r w:rsidRPr="002B55E9">
        <w:rPr>
          <w:rFonts w:hint="eastAsia"/>
        </w:rPr>
        <w:t>中的鼓励类、限制类、淘汰类产业，属于允许类产业</w:t>
      </w:r>
      <w:r w:rsidRPr="002B55E9">
        <w:rPr>
          <w:rFonts w:hint="eastAsia"/>
          <w:szCs w:val="30"/>
        </w:rPr>
        <w:t>。因此本项目符合《产业结构调整指导目录（</w:t>
      </w:r>
      <w:r w:rsidRPr="002B55E9">
        <w:rPr>
          <w:rFonts w:hint="eastAsia"/>
          <w:szCs w:val="30"/>
        </w:rPr>
        <w:t>2019</w:t>
      </w:r>
      <w:r w:rsidRPr="002B55E9">
        <w:rPr>
          <w:rFonts w:hint="eastAsia"/>
          <w:szCs w:val="30"/>
        </w:rPr>
        <w:t>年本）》的要求。</w:t>
      </w:r>
    </w:p>
    <w:p w14:paraId="252275F4" w14:textId="77777777" w:rsidR="00D170E5" w:rsidRPr="002B55E9" w:rsidRDefault="00EF27AD">
      <w:pPr>
        <w:pStyle w:val="3"/>
      </w:pPr>
      <w:bookmarkStart w:id="304" w:name="_Toc119309023"/>
      <w:bookmarkStart w:id="305" w:name="_Toc227059236"/>
      <w:bookmarkStart w:id="306" w:name="_Toc247186214"/>
      <w:bookmarkStart w:id="307" w:name="_Toc227059320"/>
      <w:r w:rsidRPr="002B55E9">
        <w:t>城市总体规划符合性</w:t>
      </w:r>
      <w:bookmarkEnd w:id="304"/>
      <w:bookmarkEnd w:id="305"/>
      <w:bookmarkEnd w:id="306"/>
      <w:bookmarkEnd w:id="307"/>
    </w:p>
    <w:p w14:paraId="3613EAE2" w14:textId="77777777" w:rsidR="00D170E5" w:rsidRPr="002B55E9" w:rsidRDefault="00EF27AD">
      <w:pPr>
        <w:pStyle w:val="4"/>
        <w:rPr>
          <w:color w:val="auto"/>
        </w:rPr>
      </w:pPr>
      <w:r w:rsidRPr="002B55E9">
        <w:rPr>
          <w:rFonts w:hint="eastAsia"/>
          <w:color w:val="auto"/>
        </w:rPr>
        <w:t>与武汉市城市总体规划相容性分析</w:t>
      </w:r>
    </w:p>
    <w:p w14:paraId="3526A064" w14:textId="77777777" w:rsidR="00D170E5" w:rsidRPr="002B55E9" w:rsidRDefault="00EF27AD">
      <w:pPr>
        <w:pStyle w:val="affff7"/>
        <w:adjustRightInd w:val="0"/>
        <w:snapToGrid w:val="0"/>
      </w:pPr>
      <w:r w:rsidRPr="002B55E9">
        <w:rPr>
          <w:rFonts w:hint="eastAsia"/>
        </w:rPr>
        <w:t>根据《武汉市城市总体规划（</w:t>
      </w:r>
      <w:r w:rsidRPr="002B55E9">
        <w:rPr>
          <w:rFonts w:hint="eastAsia"/>
        </w:rPr>
        <w:t>2010-2020</w:t>
      </w:r>
      <w:r w:rsidRPr="002B55E9">
        <w:rPr>
          <w:rFonts w:hint="eastAsia"/>
        </w:rPr>
        <w:t>）》，武汉市将“按照‘相对聚集、分层布局’的原则，将全市工业布局由内向外划分为严格限制区、控制性发展区、重点发展区、引导发展区等四个层次”，“三环路之外的都市区为重点发展区，吸纳整合主城区外迁工业，强化、突出主导产业的优势地位，以大型产业园区为重点，按照工业门类，聚集发展大型工业集群；都市发展区之外为引导发展区，依托远城区的系列中心城镇，提高工业用地投资强度，引导工业聚集化布局”</w:t>
      </w:r>
      <w:r w:rsidRPr="002B55E9">
        <w:t>。</w:t>
      </w:r>
    </w:p>
    <w:p w14:paraId="25E3F053" w14:textId="77777777" w:rsidR="00D170E5" w:rsidRPr="002B55E9" w:rsidRDefault="00EF27AD">
      <w:pPr>
        <w:pStyle w:val="affff7"/>
        <w:adjustRightInd w:val="0"/>
        <w:snapToGrid w:val="0"/>
      </w:pPr>
      <w:r w:rsidRPr="002B55E9">
        <w:t>武汉市工业发展目标为：坚持传统工业与先进制造业相结合，加快老工业基地改造，优化全市工业结构体系，集中发展钢铁制造、汽车及机械装备制造、电子信息、石油化工等四大支柱产业，培育壮大环保、烟草食品、家电、纺织服装、医药、造纸及包装印刷等六大优势产业。加强自主创新，提升产业技术水平，培育发展生物工程、新能源、新材料等新兴工业，适度发展都市型工业，构建新型工业结构体系，提供更多就业岗位。</w:t>
      </w:r>
    </w:p>
    <w:p w14:paraId="34876B62" w14:textId="77777777" w:rsidR="00D170E5" w:rsidRPr="002B55E9" w:rsidRDefault="00EF27AD">
      <w:pPr>
        <w:pStyle w:val="affff7"/>
        <w:adjustRightInd w:val="0"/>
        <w:snapToGrid w:val="0"/>
      </w:pPr>
      <w:r w:rsidRPr="002B55E9">
        <w:t>拟建项目主要从事</w:t>
      </w:r>
      <w:r w:rsidRPr="002B55E9">
        <w:rPr>
          <w:rFonts w:hint="eastAsia"/>
        </w:rPr>
        <w:t>料酒、食醋等食品调味料的生产</w:t>
      </w:r>
      <w:r w:rsidRPr="002B55E9">
        <w:t>，属于</w:t>
      </w:r>
      <w:r w:rsidRPr="002B55E9">
        <w:rPr>
          <w:rFonts w:hint="eastAsia"/>
        </w:rPr>
        <w:t>食品制造业</w:t>
      </w:r>
      <w:r w:rsidRPr="002B55E9">
        <w:t>，选址于武汉</w:t>
      </w:r>
      <w:r w:rsidRPr="002B55E9">
        <w:rPr>
          <w:rFonts w:hint="eastAsia"/>
        </w:rPr>
        <w:t>东西湖区新沟镇街食品医疗用地板块中的南部健康食品一区</w:t>
      </w:r>
      <w:r w:rsidRPr="002B55E9">
        <w:t>，</w:t>
      </w:r>
      <w:r w:rsidRPr="002B55E9">
        <w:rPr>
          <w:rFonts w:hint="eastAsia"/>
        </w:rPr>
        <w:t>位于</w:t>
      </w:r>
      <w:r w:rsidRPr="002B55E9">
        <w:t>武汉市四环线外，</w:t>
      </w:r>
      <w:r w:rsidRPr="002B55E9">
        <w:rPr>
          <w:rFonts w:hint="eastAsia"/>
        </w:rPr>
        <w:t>符合武汉城市总体规划的要求</w:t>
      </w:r>
      <w:r w:rsidRPr="002B55E9">
        <w:t>。</w:t>
      </w:r>
    </w:p>
    <w:p w14:paraId="4A2F502A" w14:textId="77777777" w:rsidR="00D170E5" w:rsidRPr="002B55E9" w:rsidRDefault="00EF27AD">
      <w:pPr>
        <w:pStyle w:val="4"/>
        <w:rPr>
          <w:color w:val="auto"/>
        </w:rPr>
      </w:pPr>
      <w:r w:rsidRPr="002B55E9">
        <w:rPr>
          <w:rFonts w:hint="eastAsia"/>
          <w:color w:val="auto"/>
        </w:rPr>
        <w:t>与《武汉市生态环境保护“十四五”规划》符合性分析</w:t>
      </w:r>
    </w:p>
    <w:p w14:paraId="142332A1" w14:textId="77777777" w:rsidR="00D170E5" w:rsidRPr="002B55E9" w:rsidRDefault="00EF27AD">
      <w:pPr>
        <w:pStyle w:val="aa"/>
        <w:spacing w:after="60"/>
        <w:rPr>
          <w:szCs w:val="24"/>
        </w:rPr>
      </w:pPr>
      <w:r w:rsidRPr="002B55E9">
        <w:rPr>
          <w:szCs w:val="24"/>
        </w:rPr>
        <w:t>根据</w:t>
      </w:r>
      <w:r w:rsidRPr="002B55E9">
        <w:rPr>
          <w:rFonts w:hint="eastAsia"/>
          <w:szCs w:val="24"/>
        </w:rPr>
        <w:t>武汉市人民政府</w:t>
      </w:r>
      <w:r w:rsidRPr="002B55E9">
        <w:rPr>
          <w:szCs w:val="24"/>
        </w:rPr>
        <w:t>202</w:t>
      </w:r>
      <w:r w:rsidRPr="002B55E9">
        <w:rPr>
          <w:rFonts w:hint="eastAsia"/>
          <w:szCs w:val="24"/>
        </w:rPr>
        <w:t>2</w:t>
      </w:r>
      <w:r w:rsidRPr="002B55E9">
        <w:rPr>
          <w:szCs w:val="24"/>
        </w:rPr>
        <w:t>年</w:t>
      </w:r>
      <w:r w:rsidRPr="002B55E9">
        <w:rPr>
          <w:rFonts w:hint="eastAsia"/>
          <w:szCs w:val="24"/>
        </w:rPr>
        <w:t>3</w:t>
      </w:r>
      <w:r w:rsidRPr="002B55E9">
        <w:rPr>
          <w:szCs w:val="24"/>
        </w:rPr>
        <w:t>月</w:t>
      </w:r>
      <w:r w:rsidRPr="002B55E9">
        <w:rPr>
          <w:rFonts w:hint="eastAsia"/>
          <w:szCs w:val="24"/>
        </w:rPr>
        <w:t>25</w:t>
      </w:r>
      <w:r w:rsidRPr="002B55E9">
        <w:rPr>
          <w:szCs w:val="24"/>
        </w:rPr>
        <w:t>日发布的</w:t>
      </w:r>
      <w:r w:rsidRPr="002B55E9">
        <w:rPr>
          <w:rFonts w:ascii="宋体" w:hAnsi="宋体" w:cs="宋体" w:hint="eastAsia"/>
          <w:szCs w:val="24"/>
        </w:rPr>
        <w:t>武政〔2022〕1号</w:t>
      </w:r>
      <w:r w:rsidRPr="002B55E9">
        <w:rPr>
          <w:szCs w:val="24"/>
        </w:rPr>
        <w:t>《</w:t>
      </w:r>
      <w:r w:rsidRPr="002B55E9">
        <w:rPr>
          <w:rFonts w:ascii="宋体" w:hAnsi="宋体" w:cs="宋体" w:hint="eastAsia"/>
          <w:szCs w:val="24"/>
        </w:rPr>
        <w:t>武汉市生态环境保护“十四五”规划</w:t>
      </w:r>
      <w:r w:rsidRPr="002B55E9">
        <w:rPr>
          <w:szCs w:val="24"/>
        </w:rPr>
        <w:t>》相关内容，拟建项目与</w:t>
      </w:r>
      <w:r w:rsidRPr="002B55E9">
        <w:rPr>
          <w:rFonts w:ascii="宋体" w:hAnsi="宋体" w:cs="宋体" w:hint="eastAsia"/>
          <w:szCs w:val="24"/>
        </w:rPr>
        <w:t>武政〔2022〕1号</w:t>
      </w:r>
      <w:r w:rsidRPr="002B55E9">
        <w:rPr>
          <w:szCs w:val="24"/>
        </w:rPr>
        <w:t>文件相关要求符合性分析见下表：</w:t>
      </w:r>
    </w:p>
    <w:p w14:paraId="2559F606" w14:textId="6C0C12E7" w:rsidR="00D170E5" w:rsidRPr="002B55E9" w:rsidRDefault="00EF27AD">
      <w:pPr>
        <w:widowControl/>
        <w:jc w:val="center"/>
        <w:rPr>
          <w:b/>
          <w:sz w:val="24"/>
        </w:rPr>
      </w:pPr>
      <w:r w:rsidRPr="002B55E9">
        <w:rPr>
          <w:b/>
          <w:sz w:val="24"/>
        </w:rPr>
        <w:lastRenderedPageBreak/>
        <w:t>表</w:t>
      </w:r>
      <w:r w:rsidRPr="002B55E9">
        <w:rPr>
          <w:rFonts w:hint="eastAsia"/>
          <w:b/>
          <w:sz w:val="24"/>
        </w:rPr>
        <w:t>9</w:t>
      </w:r>
      <w:r w:rsidR="001A0FF3" w:rsidRPr="002B55E9">
        <w:rPr>
          <w:b/>
          <w:sz w:val="24"/>
        </w:rPr>
        <w:t>-</w:t>
      </w:r>
      <w:r w:rsidRPr="002B55E9">
        <w:rPr>
          <w:rFonts w:hint="eastAsia"/>
          <w:b/>
          <w:sz w:val="24"/>
        </w:rPr>
        <w:t>2</w:t>
      </w:r>
      <w:r w:rsidRPr="002B55E9">
        <w:rPr>
          <w:b/>
          <w:sz w:val="24"/>
        </w:rPr>
        <w:t xml:space="preserve">-1  </w:t>
      </w:r>
      <w:r w:rsidRPr="002B55E9">
        <w:rPr>
          <w:b/>
          <w:sz w:val="24"/>
        </w:rPr>
        <w:t>拟建项目与</w:t>
      </w:r>
      <w:r w:rsidRPr="002B55E9">
        <w:rPr>
          <w:rFonts w:hint="eastAsia"/>
          <w:b/>
          <w:sz w:val="24"/>
        </w:rPr>
        <w:t>《武汉市生态环境保护“十四五”规划》</w:t>
      </w:r>
      <w:r w:rsidRPr="002B55E9">
        <w:rPr>
          <w:b/>
          <w:sz w:val="24"/>
        </w:rPr>
        <w:t>符合性分析表</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2"/>
        <w:gridCol w:w="6274"/>
        <w:gridCol w:w="2691"/>
      </w:tblGrid>
      <w:tr w:rsidR="00C60999" w:rsidRPr="002B55E9" w14:paraId="6853F3EE" w14:textId="77777777">
        <w:trPr>
          <w:trHeight w:val="284"/>
          <w:jc w:val="center"/>
        </w:trPr>
        <w:tc>
          <w:tcPr>
            <w:tcW w:w="6946" w:type="dxa"/>
            <w:gridSpan w:val="2"/>
            <w:tcBorders>
              <w:top w:val="single" w:sz="12" w:space="0" w:color="auto"/>
              <w:bottom w:val="single" w:sz="12" w:space="0" w:color="auto"/>
            </w:tcBorders>
            <w:vAlign w:val="center"/>
          </w:tcPr>
          <w:p w14:paraId="07400C1D" w14:textId="77777777" w:rsidR="00D170E5" w:rsidRPr="002B55E9" w:rsidRDefault="00EF27AD">
            <w:pPr>
              <w:jc w:val="center"/>
              <w:rPr>
                <w:sz w:val="18"/>
                <w:szCs w:val="18"/>
              </w:rPr>
            </w:pPr>
            <w:r w:rsidRPr="002B55E9">
              <w:rPr>
                <w:sz w:val="18"/>
                <w:szCs w:val="18"/>
              </w:rPr>
              <w:t>指导意见（相关内容节选）</w:t>
            </w:r>
          </w:p>
        </w:tc>
        <w:tc>
          <w:tcPr>
            <w:tcW w:w="2691" w:type="dxa"/>
            <w:tcBorders>
              <w:top w:val="single" w:sz="12" w:space="0" w:color="auto"/>
              <w:bottom w:val="single" w:sz="12" w:space="0" w:color="auto"/>
            </w:tcBorders>
            <w:vAlign w:val="center"/>
          </w:tcPr>
          <w:p w14:paraId="3F1D7666" w14:textId="77777777" w:rsidR="00D170E5" w:rsidRPr="002B55E9" w:rsidRDefault="00EF27AD">
            <w:pPr>
              <w:jc w:val="center"/>
              <w:rPr>
                <w:sz w:val="18"/>
                <w:szCs w:val="18"/>
              </w:rPr>
            </w:pPr>
            <w:r w:rsidRPr="002B55E9">
              <w:rPr>
                <w:sz w:val="18"/>
                <w:szCs w:val="18"/>
              </w:rPr>
              <w:t>符合性分析</w:t>
            </w:r>
          </w:p>
        </w:tc>
      </w:tr>
      <w:tr w:rsidR="00C60999" w:rsidRPr="002B55E9" w14:paraId="7753BE31" w14:textId="77777777">
        <w:trPr>
          <w:trHeight w:val="284"/>
          <w:jc w:val="center"/>
        </w:trPr>
        <w:tc>
          <w:tcPr>
            <w:tcW w:w="672" w:type="dxa"/>
            <w:vMerge w:val="restart"/>
            <w:tcBorders>
              <w:top w:val="single" w:sz="12" w:space="0" w:color="auto"/>
            </w:tcBorders>
            <w:vAlign w:val="center"/>
          </w:tcPr>
          <w:p w14:paraId="77C1D93C" w14:textId="77777777" w:rsidR="00D170E5" w:rsidRPr="002B55E9" w:rsidRDefault="00EF27AD">
            <w:pPr>
              <w:jc w:val="center"/>
              <w:rPr>
                <w:sz w:val="18"/>
                <w:szCs w:val="18"/>
              </w:rPr>
            </w:pPr>
            <w:r w:rsidRPr="002B55E9">
              <w:rPr>
                <w:rFonts w:hint="eastAsia"/>
                <w:sz w:val="18"/>
                <w:szCs w:val="18"/>
              </w:rPr>
              <w:t>四、重点任务</w:t>
            </w:r>
          </w:p>
        </w:tc>
        <w:tc>
          <w:tcPr>
            <w:tcW w:w="6274" w:type="dxa"/>
            <w:tcBorders>
              <w:top w:val="single" w:sz="12" w:space="0" w:color="auto"/>
              <w:bottom w:val="single" w:sz="4" w:space="0" w:color="auto"/>
            </w:tcBorders>
            <w:vAlign w:val="center"/>
          </w:tcPr>
          <w:p w14:paraId="62B7C297" w14:textId="77777777" w:rsidR="00D170E5" w:rsidRPr="002B55E9" w:rsidRDefault="00EF27AD">
            <w:pPr>
              <w:rPr>
                <w:sz w:val="18"/>
                <w:szCs w:val="18"/>
              </w:rPr>
            </w:pPr>
            <w:r w:rsidRPr="002B55E9">
              <w:rPr>
                <w:rFonts w:hint="eastAsia"/>
                <w:sz w:val="18"/>
                <w:szCs w:val="18"/>
              </w:rPr>
              <w:t>（一）坚持创新驱动，促进城市绿色发展</w:t>
            </w:r>
          </w:p>
          <w:p w14:paraId="3EB0F4FF" w14:textId="77777777" w:rsidR="00D170E5" w:rsidRPr="002B55E9" w:rsidRDefault="00EF27AD">
            <w:pPr>
              <w:rPr>
                <w:sz w:val="18"/>
                <w:szCs w:val="18"/>
              </w:rPr>
            </w:pPr>
            <w:r w:rsidRPr="002B55E9">
              <w:rPr>
                <w:rFonts w:hint="eastAsia"/>
                <w:sz w:val="18"/>
                <w:szCs w:val="18"/>
              </w:rPr>
              <w:t>2.</w:t>
            </w:r>
            <w:r w:rsidRPr="002B55E9">
              <w:rPr>
                <w:rFonts w:hint="eastAsia"/>
                <w:sz w:val="18"/>
                <w:szCs w:val="18"/>
              </w:rPr>
              <w:t>构建国土空间开发保护新格局。落实国土空间开发保护制度，完善市域开发格局，强化生态保护红线、永久基本农田和城镇开发边界三条控制线约束并严格管控。</w:t>
            </w:r>
            <w:r w:rsidRPr="002B55E9">
              <w:rPr>
                <w:rFonts w:hint="eastAsia"/>
                <w:b/>
                <w:bCs/>
                <w:sz w:val="18"/>
                <w:szCs w:val="18"/>
              </w:rPr>
              <w:t>严格落实“三线一单”（生态保护红线、环境质量底线、资源利用上线，生态环境准入清单）分区管控要求</w:t>
            </w:r>
            <w:r w:rsidRPr="002B55E9">
              <w:rPr>
                <w:rFonts w:hint="eastAsia"/>
                <w:sz w:val="18"/>
                <w:szCs w:val="18"/>
              </w:rPr>
              <w:t>，推进“三线一单”成果应用及动态更新，探索建立生态保护红线监管体系。深入推进长江经济带绿色发展示范区建设，支持武汉东湖新技术开发区开展以生态环境为导向的城市发展模式（</w:t>
            </w:r>
            <w:r w:rsidRPr="002B55E9">
              <w:rPr>
                <w:rFonts w:hint="eastAsia"/>
                <w:sz w:val="18"/>
                <w:szCs w:val="18"/>
              </w:rPr>
              <w:t>EOD</w:t>
            </w:r>
            <w:r w:rsidRPr="002B55E9">
              <w:rPr>
                <w:rFonts w:hint="eastAsia"/>
                <w:sz w:val="18"/>
                <w:szCs w:val="18"/>
              </w:rPr>
              <w:t>）建设试点，推动形成可推广、可复制的区域生态环境治理与产业融合发展模式。</w:t>
            </w:r>
          </w:p>
        </w:tc>
        <w:tc>
          <w:tcPr>
            <w:tcW w:w="2691" w:type="dxa"/>
            <w:tcBorders>
              <w:top w:val="single" w:sz="12" w:space="0" w:color="auto"/>
              <w:bottom w:val="single" w:sz="4" w:space="0" w:color="auto"/>
            </w:tcBorders>
            <w:vAlign w:val="center"/>
          </w:tcPr>
          <w:p w14:paraId="25B3A1D2" w14:textId="77777777" w:rsidR="00D170E5" w:rsidRPr="002B55E9" w:rsidRDefault="00EF27AD">
            <w:pPr>
              <w:rPr>
                <w:sz w:val="18"/>
                <w:szCs w:val="18"/>
              </w:rPr>
            </w:pPr>
            <w:r w:rsidRPr="002B55E9">
              <w:rPr>
                <w:sz w:val="18"/>
                <w:szCs w:val="18"/>
              </w:rPr>
              <w:t>符合。拟建项目</w:t>
            </w:r>
            <w:r w:rsidRPr="002B55E9">
              <w:rPr>
                <w:rFonts w:hint="eastAsia"/>
                <w:sz w:val="18"/>
                <w:szCs w:val="18"/>
              </w:rPr>
              <w:t>符合“三线一单”（生态保护红线、环境质量底线、资源利用上线，生态环境准入清单）分区管控要求。</w:t>
            </w:r>
          </w:p>
        </w:tc>
      </w:tr>
      <w:tr w:rsidR="00C60999" w:rsidRPr="002B55E9" w14:paraId="2135E1C7" w14:textId="77777777">
        <w:trPr>
          <w:trHeight w:val="284"/>
          <w:jc w:val="center"/>
        </w:trPr>
        <w:tc>
          <w:tcPr>
            <w:tcW w:w="672" w:type="dxa"/>
            <w:vMerge/>
            <w:vAlign w:val="center"/>
          </w:tcPr>
          <w:p w14:paraId="62B453E3" w14:textId="77777777" w:rsidR="00D170E5" w:rsidRPr="002B55E9" w:rsidRDefault="00D170E5">
            <w:pPr>
              <w:jc w:val="center"/>
              <w:rPr>
                <w:sz w:val="18"/>
                <w:szCs w:val="18"/>
              </w:rPr>
            </w:pPr>
          </w:p>
        </w:tc>
        <w:tc>
          <w:tcPr>
            <w:tcW w:w="6274" w:type="dxa"/>
            <w:tcBorders>
              <w:top w:val="single" w:sz="4" w:space="0" w:color="auto"/>
              <w:bottom w:val="single" w:sz="4" w:space="0" w:color="auto"/>
            </w:tcBorders>
            <w:vAlign w:val="center"/>
          </w:tcPr>
          <w:p w14:paraId="3B030F7F" w14:textId="77777777" w:rsidR="00D170E5" w:rsidRPr="002B55E9" w:rsidRDefault="00EF27AD">
            <w:pPr>
              <w:rPr>
                <w:sz w:val="18"/>
                <w:szCs w:val="18"/>
              </w:rPr>
            </w:pPr>
            <w:r w:rsidRPr="002B55E9">
              <w:rPr>
                <w:rFonts w:hint="eastAsia"/>
                <w:sz w:val="18"/>
                <w:szCs w:val="18"/>
              </w:rPr>
              <w:t>（一）坚持创新驱动，促进城市绿色发展</w:t>
            </w:r>
          </w:p>
          <w:p w14:paraId="7F76416A" w14:textId="77777777" w:rsidR="00D170E5" w:rsidRPr="002B55E9" w:rsidRDefault="00EF27AD">
            <w:pPr>
              <w:rPr>
                <w:sz w:val="18"/>
                <w:szCs w:val="18"/>
              </w:rPr>
            </w:pPr>
            <w:r w:rsidRPr="002B55E9">
              <w:rPr>
                <w:rFonts w:hint="eastAsia"/>
                <w:sz w:val="18"/>
                <w:szCs w:val="18"/>
              </w:rPr>
              <w:t>3.</w:t>
            </w:r>
            <w:r w:rsidRPr="002B55E9">
              <w:rPr>
                <w:rFonts w:hint="eastAsia"/>
                <w:sz w:val="18"/>
                <w:szCs w:val="18"/>
              </w:rPr>
              <w:t>壮大绿色环保现代产业体系。实施经济高质量发展战略，坚持绿色导向，着力构建以战略新兴产业为引领、先进制造业为支撑、现代服务业为主体的现代产业体系。持续创建绿色工厂、绿色产品、绿色园区，打造绿色供应链。</w:t>
            </w:r>
            <w:r w:rsidRPr="002B55E9">
              <w:rPr>
                <w:rFonts w:hint="eastAsia"/>
                <w:b/>
                <w:bCs/>
                <w:sz w:val="18"/>
                <w:szCs w:val="18"/>
              </w:rPr>
              <w:t>大力发展绿色环保支柱产业，聚焦安全应急、高效节能、先进环保、资源循环利用等绿色环保产业</w:t>
            </w:r>
            <w:r w:rsidRPr="002B55E9">
              <w:rPr>
                <w:rFonts w:hint="eastAsia"/>
                <w:sz w:val="18"/>
                <w:szCs w:val="18"/>
              </w:rPr>
              <w:t>，培育行业领军企业和示范企业，打造国内具有特色的安全应急与节能环保产业集群。实施“数字长江”建设行动，打造长江科创产业园、智慧长江示范区和长江大数据中心，加快推进长江国际低碳产业园建设。实施现代服务业升级计划，到</w:t>
            </w:r>
            <w:r w:rsidRPr="002B55E9">
              <w:rPr>
                <w:rFonts w:hint="eastAsia"/>
                <w:sz w:val="18"/>
                <w:szCs w:val="18"/>
              </w:rPr>
              <w:t>2025</w:t>
            </w:r>
            <w:r w:rsidRPr="002B55E9">
              <w:rPr>
                <w:rFonts w:hint="eastAsia"/>
                <w:sz w:val="18"/>
                <w:szCs w:val="18"/>
              </w:rPr>
              <w:t>年，服务业增加值占地区生产总值比重达到</w:t>
            </w:r>
            <w:r w:rsidRPr="002B55E9">
              <w:rPr>
                <w:rFonts w:hint="eastAsia"/>
                <w:sz w:val="18"/>
                <w:szCs w:val="18"/>
              </w:rPr>
              <w:t>62%</w:t>
            </w:r>
            <w:r w:rsidRPr="002B55E9">
              <w:rPr>
                <w:rFonts w:hint="eastAsia"/>
                <w:sz w:val="18"/>
                <w:szCs w:val="18"/>
              </w:rPr>
              <w:t>左右。</w:t>
            </w:r>
          </w:p>
        </w:tc>
        <w:tc>
          <w:tcPr>
            <w:tcW w:w="2691" w:type="dxa"/>
            <w:tcBorders>
              <w:top w:val="single" w:sz="4" w:space="0" w:color="auto"/>
              <w:bottom w:val="single" w:sz="4" w:space="0" w:color="auto"/>
            </w:tcBorders>
            <w:vAlign w:val="center"/>
          </w:tcPr>
          <w:p w14:paraId="76B88E3E" w14:textId="77777777" w:rsidR="00D170E5" w:rsidRPr="002B55E9" w:rsidRDefault="00EF27AD">
            <w:pPr>
              <w:rPr>
                <w:sz w:val="18"/>
                <w:szCs w:val="18"/>
              </w:rPr>
            </w:pPr>
            <w:r w:rsidRPr="002B55E9">
              <w:rPr>
                <w:sz w:val="18"/>
                <w:szCs w:val="18"/>
              </w:rPr>
              <w:t>符合。</w:t>
            </w:r>
            <w:r w:rsidRPr="002B55E9">
              <w:rPr>
                <w:rFonts w:hint="eastAsia"/>
                <w:sz w:val="18"/>
                <w:szCs w:val="18"/>
              </w:rPr>
              <w:t>拟建项目主要进行</w:t>
            </w:r>
            <w:r w:rsidRPr="002B55E9">
              <w:rPr>
                <w:sz w:val="18"/>
                <w:szCs w:val="18"/>
              </w:rPr>
              <w:t>料酒、食醋等调味食品的生产。</w:t>
            </w:r>
          </w:p>
        </w:tc>
      </w:tr>
      <w:tr w:rsidR="00C60999" w:rsidRPr="002B55E9" w14:paraId="21EA1943" w14:textId="77777777">
        <w:trPr>
          <w:trHeight w:val="284"/>
          <w:jc w:val="center"/>
        </w:trPr>
        <w:tc>
          <w:tcPr>
            <w:tcW w:w="672" w:type="dxa"/>
            <w:vMerge/>
            <w:tcBorders>
              <w:bottom w:val="single" w:sz="12" w:space="0" w:color="auto"/>
            </w:tcBorders>
            <w:vAlign w:val="center"/>
          </w:tcPr>
          <w:p w14:paraId="2B234F82" w14:textId="77777777" w:rsidR="00D170E5" w:rsidRPr="002B55E9" w:rsidRDefault="00D170E5">
            <w:pPr>
              <w:jc w:val="center"/>
              <w:rPr>
                <w:sz w:val="18"/>
                <w:szCs w:val="18"/>
              </w:rPr>
            </w:pPr>
          </w:p>
        </w:tc>
        <w:tc>
          <w:tcPr>
            <w:tcW w:w="6274" w:type="dxa"/>
            <w:tcBorders>
              <w:top w:val="single" w:sz="4" w:space="0" w:color="auto"/>
              <w:bottom w:val="single" w:sz="12" w:space="0" w:color="auto"/>
            </w:tcBorders>
            <w:vAlign w:val="center"/>
          </w:tcPr>
          <w:p w14:paraId="04ADFB42" w14:textId="77777777" w:rsidR="00D170E5" w:rsidRPr="002B55E9" w:rsidRDefault="00EF27AD">
            <w:pPr>
              <w:pStyle w:val="Charffffffff4"/>
              <w:widowControl/>
              <w:spacing w:beforeAutospacing="0" w:afterAutospacing="0"/>
              <w:jc w:val="both"/>
              <w:rPr>
                <w:rFonts w:cs="宋体" w:hint="default"/>
                <w:sz w:val="18"/>
                <w:szCs w:val="18"/>
              </w:rPr>
            </w:pPr>
            <w:r w:rsidRPr="002B55E9">
              <w:rPr>
                <w:rFonts w:cs="宋体"/>
                <w:sz w:val="18"/>
                <w:szCs w:val="18"/>
              </w:rPr>
              <w:t>（二）加强长江生态保护治理，打造长江大保护典范城市</w:t>
            </w:r>
          </w:p>
          <w:p w14:paraId="218CBBF7" w14:textId="77777777" w:rsidR="00D170E5" w:rsidRPr="002B55E9" w:rsidRDefault="00EF27AD">
            <w:pPr>
              <w:rPr>
                <w:sz w:val="18"/>
                <w:szCs w:val="18"/>
              </w:rPr>
            </w:pPr>
            <w:r w:rsidRPr="002B55E9">
              <w:rPr>
                <w:rFonts w:hint="eastAsia"/>
                <w:sz w:val="18"/>
                <w:szCs w:val="18"/>
              </w:rPr>
              <w:t>1.</w:t>
            </w:r>
            <w:r w:rsidRPr="002B55E9">
              <w:rPr>
                <w:rFonts w:hint="eastAsia"/>
                <w:sz w:val="18"/>
                <w:szCs w:val="18"/>
              </w:rPr>
              <w:t>完善沿江流域空间体系。坚持“一轴三区六段”的长江大保护滨江带功能布局，完善沿江流域空间体系，高水平规划建设“两江四岸”，推进百里长江生态廊道建设。推动长江武汉段按照水生态环境保护控制单元精细化实施分区、分类用途管制。严格落实生态环境准入要求，深入推进沿江化工企业“关改搬转治绿”，抓好长江岸线“留白”“留绿”和功能恢复。</w:t>
            </w:r>
            <w:r w:rsidRPr="002B55E9">
              <w:rPr>
                <w:rFonts w:hint="eastAsia"/>
                <w:b/>
                <w:bCs/>
                <w:sz w:val="18"/>
                <w:szCs w:val="18"/>
              </w:rPr>
              <w:t>禁止在长江干支流岸线</w:t>
            </w:r>
            <w:r w:rsidRPr="002B55E9">
              <w:rPr>
                <w:rFonts w:hint="eastAsia"/>
                <w:b/>
                <w:bCs/>
                <w:sz w:val="18"/>
                <w:szCs w:val="18"/>
              </w:rPr>
              <w:t>1</w:t>
            </w:r>
            <w:r w:rsidRPr="002B55E9">
              <w:rPr>
                <w:rFonts w:hint="eastAsia"/>
                <w:b/>
                <w:bCs/>
                <w:sz w:val="18"/>
                <w:szCs w:val="18"/>
              </w:rPr>
              <w:t>公里范围内新建、扩建化工园区和化工项目。推进沿江</w:t>
            </w:r>
            <w:r w:rsidRPr="002B55E9">
              <w:rPr>
                <w:rFonts w:hint="eastAsia"/>
                <w:b/>
                <w:bCs/>
                <w:sz w:val="18"/>
                <w:szCs w:val="18"/>
              </w:rPr>
              <w:t>15</w:t>
            </w:r>
            <w:r w:rsidRPr="002B55E9">
              <w:rPr>
                <w:rFonts w:hint="eastAsia"/>
                <w:b/>
                <w:bCs/>
                <w:sz w:val="18"/>
                <w:szCs w:val="18"/>
              </w:rPr>
              <w:t>公里范围内不符合规划、区划或者安全环保条件、存在环境污染风险的化工企业，实施关停或者迁入合规园区、改造升级根据《省人民政府关于印发沿江化工企业关改搬转等湖北长江大保护十大标志性战役相关工作方案的通知》（鄂政发〔</w:t>
            </w:r>
            <w:r w:rsidRPr="002B55E9">
              <w:rPr>
                <w:rFonts w:hint="eastAsia"/>
                <w:b/>
                <w:bCs/>
                <w:sz w:val="18"/>
                <w:szCs w:val="18"/>
              </w:rPr>
              <w:t>2018</w:t>
            </w:r>
            <w:r w:rsidRPr="002B55E9">
              <w:rPr>
                <w:rFonts w:hint="eastAsia"/>
                <w:b/>
                <w:bCs/>
                <w:sz w:val="18"/>
                <w:szCs w:val="18"/>
              </w:rPr>
              <w:t>〕</w:t>
            </w:r>
            <w:r w:rsidRPr="002B55E9">
              <w:rPr>
                <w:rFonts w:hint="eastAsia"/>
                <w:b/>
                <w:bCs/>
                <w:sz w:val="18"/>
                <w:szCs w:val="18"/>
              </w:rPr>
              <w:t>24</w:t>
            </w:r>
            <w:r w:rsidRPr="002B55E9">
              <w:rPr>
                <w:rFonts w:hint="eastAsia"/>
                <w:b/>
                <w:bCs/>
                <w:sz w:val="18"/>
                <w:szCs w:val="18"/>
              </w:rPr>
              <w:t>号）要求</w:t>
            </w:r>
            <w:r w:rsidRPr="002B55E9">
              <w:rPr>
                <w:rFonts w:hint="eastAsia"/>
                <w:sz w:val="18"/>
                <w:szCs w:val="18"/>
              </w:rPr>
              <w:t>，</w:t>
            </w:r>
            <w:r w:rsidRPr="002B55E9">
              <w:rPr>
                <w:rFonts w:hint="eastAsia"/>
                <w:sz w:val="18"/>
                <w:szCs w:val="18"/>
              </w:rPr>
              <w:t>2025</w:t>
            </w:r>
            <w:r w:rsidRPr="002B55E9">
              <w:rPr>
                <w:rFonts w:hint="eastAsia"/>
                <w:sz w:val="18"/>
                <w:szCs w:val="18"/>
              </w:rPr>
              <w:t>年底前，完成沿江</w:t>
            </w:r>
            <w:r w:rsidRPr="002B55E9">
              <w:rPr>
                <w:rFonts w:hint="eastAsia"/>
                <w:sz w:val="18"/>
                <w:szCs w:val="18"/>
              </w:rPr>
              <w:t>15</w:t>
            </w:r>
            <w:r w:rsidRPr="002B55E9">
              <w:rPr>
                <w:rFonts w:hint="eastAsia"/>
                <w:sz w:val="18"/>
                <w:szCs w:val="18"/>
              </w:rPr>
              <w:t>公里范围内的化工企业关改搬转。</w:t>
            </w:r>
          </w:p>
        </w:tc>
        <w:tc>
          <w:tcPr>
            <w:tcW w:w="2691" w:type="dxa"/>
            <w:tcBorders>
              <w:top w:val="single" w:sz="4" w:space="0" w:color="auto"/>
              <w:bottom w:val="single" w:sz="12" w:space="0" w:color="auto"/>
            </w:tcBorders>
            <w:vAlign w:val="center"/>
          </w:tcPr>
          <w:p w14:paraId="2F13B3EB" w14:textId="77777777" w:rsidR="00D170E5" w:rsidRPr="002B55E9" w:rsidRDefault="00EF27AD">
            <w:pPr>
              <w:rPr>
                <w:sz w:val="18"/>
                <w:szCs w:val="18"/>
              </w:rPr>
            </w:pPr>
            <w:r w:rsidRPr="002B55E9">
              <w:rPr>
                <w:sz w:val="18"/>
                <w:szCs w:val="18"/>
              </w:rPr>
              <w:t>符合。</w:t>
            </w:r>
            <w:r w:rsidRPr="002B55E9">
              <w:rPr>
                <w:rFonts w:hint="eastAsia"/>
                <w:sz w:val="18"/>
                <w:szCs w:val="18"/>
              </w:rPr>
              <w:t>拟建项目位于东西湖区</w:t>
            </w:r>
            <w:r w:rsidRPr="002B55E9">
              <w:rPr>
                <w:sz w:val="18"/>
                <w:szCs w:val="18"/>
              </w:rPr>
              <w:t>新沟镇食品</w:t>
            </w:r>
            <w:r w:rsidRPr="002B55E9">
              <w:rPr>
                <w:rFonts w:hint="eastAsia"/>
                <w:sz w:val="18"/>
                <w:szCs w:val="18"/>
              </w:rPr>
              <w:t>医药</w:t>
            </w:r>
            <w:r w:rsidRPr="002B55E9">
              <w:rPr>
                <w:sz w:val="18"/>
                <w:szCs w:val="18"/>
              </w:rPr>
              <w:t>用地板块</w:t>
            </w:r>
            <w:r w:rsidRPr="002B55E9">
              <w:rPr>
                <w:rFonts w:hint="eastAsia"/>
                <w:sz w:val="18"/>
                <w:szCs w:val="18"/>
              </w:rPr>
              <w:t>，距离汉江约</w:t>
            </w:r>
            <w:r w:rsidRPr="002B55E9">
              <w:rPr>
                <w:rFonts w:hint="eastAsia"/>
                <w:sz w:val="18"/>
                <w:szCs w:val="18"/>
              </w:rPr>
              <w:t>1.8</w:t>
            </w:r>
            <w:r w:rsidRPr="002B55E9">
              <w:rPr>
                <w:rFonts w:hint="eastAsia"/>
                <w:sz w:val="18"/>
                <w:szCs w:val="18"/>
              </w:rPr>
              <w:t>公里，本项目属于食品制造</w:t>
            </w:r>
            <w:r w:rsidRPr="002B55E9">
              <w:rPr>
                <w:sz w:val="18"/>
                <w:szCs w:val="18"/>
              </w:rPr>
              <w:t>业</w:t>
            </w:r>
            <w:r w:rsidRPr="002B55E9">
              <w:rPr>
                <w:rFonts w:hint="eastAsia"/>
                <w:sz w:val="18"/>
                <w:szCs w:val="18"/>
              </w:rPr>
              <w:t>，非化工项目。</w:t>
            </w:r>
          </w:p>
        </w:tc>
      </w:tr>
    </w:tbl>
    <w:p w14:paraId="20A0A088" w14:textId="35B16979" w:rsidR="00F57D05" w:rsidRPr="002B55E9" w:rsidRDefault="00F57D05" w:rsidP="00F57D05">
      <w:pPr>
        <w:pStyle w:val="4"/>
        <w:rPr>
          <w:color w:val="auto"/>
        </w:rPr>
      </w:pPr>
      <w:r w:rsidRPr="002B55E9">
        <w:rPr>
          <w:rFonts w:hint="eastAsia"/>
          <w:color w:val="auto"/>
        </w:rPr>
        <w:t>与《东西湖区新城组群控制性详细规划环境影响报告书》</w:t>
      </w:r>
      <w:r w:rsidR="006E4F9F" w:rsidRPr="002B55E9">
        <w:rPr>
          <w:rFonts w:hint="eastAsia"/>
          <w:color w:val="auto"/>
        </w:rPr>
        <w:t>及</w:t>
      </w:r>
      <w:r w:rsidR="006E4F9F" w:rsidRPr="002B55E9">
        <w:rPr>
          <w:color w:val="auto"/>
        </w:rPr>
        <w:t>其</w:t>
      </w:r>
      <w:r w:rsidR="006E4F9F" w:rsidRPr="002B55E9">
        <w:rPr>
          <w:rFonts w:hint="eastAsia"/>
          <w:color w:val="auto"/>
        </w:rPr>
        <w:t>审查</w:t>
      </w:r>
      <w:r w:rsidR="006E4F9F" w:rsidRPr="002B55E9">
        <w:rPr>
          <w:color w:val="auto"/>
        </w:rPr>
        <w:t>意见</w:t>
      </w:r>
      <w:r w:rsidRPr="002B55E9">
        <w:rPr>
          <w:rFonts w:hint="eastAsia"/>
          <w:color w:val="auto"/>
        </w:rPr>
        <w:t>符合性</w:t>
      </w:r>
      <w:r w:rsidR="006E4F9F" w:rsidRPr="002B55E9">
        <w:rPr>
          <w:rFonts w:hint="eastAsia"/>
          <w:color w:val="auto"/>
        </w:rPr>
        <w:t>分析</w:t>
      </w:r>
    </w:p>
    <w:p w14:paraId="38CF8108" w14:textId="31A6913F" w:rsidR="005C3EBC" w:rsidRPr="002B55E9" w:rsidRDefault="005C3EBC" w:rsidP="005C3EBC">
      <w:pPr>
        <w:widowControl/>
        <w:spacing w:after="60" w:line="360" w:lineRule="auto"/>
        <w:ind w:firstLineChars="200" w:firstLine="480"/>
        <w:rPr>
          <w:bCs/>
          <w:snapToGrid w:val="0"/>
          <w:sz w:val="24"/>
        </w:rPr>
      </w:pPr>
      <w:r w:rsidRPr="002B55E9">
        <w:rPr>
          <w:rFonts w:hint="eastAsia"/>
          <w:bCs/>
          <w:snapToGrid w:val="0"/>
          <w:sz w:val="24"/>
        </w:rPr>
        <w:t>（</w:t>
      </w:r>
      <w:r w:rsidRPr="002B55E9">
        <w:rPr>
          <w:rFonts w:hint="eastAsia"/>
          <w:bCs/>
          <w:snapToGrid w:val="0"/>
          <w:sz w:val="24"/>
        </w:rPr>
        <w:t>1</w:t>
      </w:r>
      <w:r w:rsidRPr="002B55E9">
        <w:rPr>
          <w:rFonts w:hint="eastAsia"/>
          <w:bCs/>
          <w:snapToGrid w:val="0"/>
          <w:sz w:val="24"/>
        </w:rPr>
        <w:t>）</w:t>
      </w:r>
      <w:r w:rsidRPr="002B55E9">
        <w:rPr>
          <w:rFonts w:hint="eastAsia"/>
          <w:bCs/>
          <w:snapToGrid w:val="0"/>
          <w:sz w:val="24"/>
        </w:rPr>
        <w:tab/>
      </w:r>
      <w:r w:rsidRPr="002B55E9">
        <w:rPr>
          <w:rFonts w:hint="eastAsia"/>
          <w:bCs/>
          <w:snapToGrid w:val="0"/>
          <w:sz w:val="24"/>
        </w:rPr>
        <w:t>与《东西湖区新城组群控制性详细规划》符合性分析</w:t>
      </w:r>
    </w:p>
    <w:p w14:paraId="4E3A1581" w14:textId="7D306E30" w:rsidR="005C3EBC" w:rsidRPr="002B55E9" w:rsidRDefault="005C3EBC" w:rsidP="001A0FF3">
      <w:pPr>
        <w:widowControl/>
        <w:spacing w:after="60" w:line="360" w:lineRule="auto"/>
        <w:ind w:firstLineChars="200" w:firstLine="480"/>
        <w:rPr>
          <w:bCs/>
          <w:snapToGrid w:val="0"/>
          <w:sz w:val="24"/>
        </w:rPr>
      </w:pPr>
      <w:r w:rsidRPr="002B55E9">
        <w:rPr>
          <w:rFonts w:hint="eastAsia"/>
          <w:bCs/>
          <w:snapToGrid w:val="0"/>
          <w:sz w:val="24"/>
        </w:rPr>
        <w:t>2015</w:t>
      </w:r>
      <w:r w:rsidRPr="002B55E9">
        <w:rPr>
          <w:rFonts w:hint="eastAsia"/>
          <w:bCs/>
          <w:snapToGrid w:val="0"/>
          <w:sz w:val="24"/>
        </w:rPr>
        <w:t>年东西湖区人民政府编制《东西湖区新城组群控制性详细规划》，东西湖区新城组群依托</w:t>
      </w:r>
      <w:r w:rsidRPr="002B55E9">
        <w:rPr>
          <w:rFonts w:hint="eastAsia"/>
          <w:bCs/>
          <w:snapToGrid w:val="0"/>
          <w:sz w:val="24"/>
        </w:rPr>
        <w:t>107</w:t>
      </w:r>
      <w:r w:rsidRPr="002B55E9">
        <w:rPr>
          <w:rFonts w:hint="eastAsia"/>
          <w:bCs/>
          <w:snapToGrid w:val="0"/>
          <w:sz w:val="24"/>
        </w:rPr>
        <w:t>国道、轨道交通</w:t>
      </w:r>
      <w:r w:rsidRPr="002B55E9">
        <w:rPr>
          <w:rFonts w:hint="eastAsia"/>
          <w:bCs/>
          <w:snapToGrid w:val="0"/>
          <w:sz w:val="24"/>
        </w:rPr>
        <w:t>1</w:t>
      </w:r>
      <w:r w:rsidRPr="002B55E9">
        <w:rPr>
          <w:rFonts w:hint="eastAsia"/>
          <w:bCs/>
          <w:snapToGrid w:val="0"/>
          <w:sz w:val="24"/>
        </w:rPr>
        <w:t>号线形成东西向发展轴，沿轨道交通</w:t>
      </w:r>
      <w:r w:rsidRPr="002B55E9">
        <w:rPr>
          <w:rFonts w:hint="eastAsia"/>
          <w:bCs/>
          <w:snapToGrid w:val="0"/>
          <w:sz w:val="24"/>
        </w:rPr>
        <w:t>6</w:t>
      </w:r>
      <w:r w:rsidRPr="002B55E9">
        <w:rPr>
          <w:rFonts w:hint="eastAsia"/>
          <w:bCs/>
          <w:snapToGrid w:val="0"/>
          <w:sz w:val="24"/>
        </w:rPr>
        <w:t>号线、五环路形成南北向发展副轴。布局吴家山新城和金银湖新城组团、金银潭两个新城组团及东西湖区吴家山经济技术开发区工业倍增示范园区。形成吴家山新城中心、金银潭、长青花园、金银湖、走马岭、台商投资密集区五个组团中心。</w:t>
      </w:r>
    </w:p>
    <w:p w14:paraId="2686CB3F" w14:textId="5DC85402" w:rsidR="005C3EBC" w:rsidRPr="002B55E9" w:rsidRDefault="005C3EBC" w:rsidP="005C3EBC">
      <w:pPr>
        <w:widowControl/>
        <w:spacing w:after="60" w:line="360" w:lineRule="auto"/>
        <w:ind w:firstLineChars="200" w:firstLine="480"/>
        <w:rPr>
          <w:bCs/>
          <w:snapToGrid w:val="0"/>
          <w:sz w:val="24"/>
        </w:rPr>
      </w:pPr>
      <w:r w:rsidRPr="002B55E9">
        <w:rPr>
          <w:rFonts w:hint="eastAsia"/>
          <w:bCs/>
          <w:snapToGrid w:val="0"/>
          <w:sz w:val="24"/>
        </w:rPr>
        <w:t>规划定位与发展目标为以武汉临空港经济技术开发区（东西湖区）为依托，以食品加工、现代服务、临空经济、高新技术和机械电子为主导，建设成引领武汉市实现经济跨越发展的四大板块之一。集产、居、研、娱为一体，具有滨江滨湖特色的水乡生态宜居新城。</w:t>
      </w:r>
    </w:p>
    <w:p w14:paraId="4C697E30" w14:textId="58066CA4" w:rsidR="005C3EBC" w:rsidRPr="002B55E9" w:rsidRDefault="005C3EBC" w:rsidP="001A0FF3">
      <w:pPr>
        <w:widowControl/>
        <w:spacing w:after="60" w:line="360" w:lineRule="auto"/>
        <w:ind w:firstLineChars="200" w:firstLine="480"/>
        <w:rPr>
          <w:bCs/>
          <w:snapToGrid w:val="0"/>
          <w:sz w:val="24"/>
        </w:rPr>
      </w:pPr>
      <w:r w:rsidRPr="002B55E9">
        <w:rPr>
          <w:rFonts w:hint="eastAsia"/>
          <w:bCs/>
          <w:snapToGrid w:val="0"/>
          <w:sz w:val="24"/>
        </w:rPr>
        <w:t>本项目位于武汉市东西湖区革新大道以西、兴工六路以南，主要进行料酒、食醋等调味品的生产，属于食品制造业，为东西湖区新城组群规划的主导产业，符合《东西湖区新城组群控制性详细规划》要求。</w:t>
      </w:r>
    </w:p>
    <w:p w14:paraId="3424AA4A" w14:textId="3970C21B" w:rsidR="006E4F9F" w:rsidRPr="002B55E9" w:rsidRDefault="006E4F9F" w:rsidP="001A0FF3">
      <w:pPr>
        <w:widowControl/>
        <w:spacing w:after="60" w:line="360" w:lineRule="auto"/>
        <w:ind w:firstLineChars="200" w:firstLine="480"/>
        <w:rPr>
          <w:bCs/>
          <w:snapToGrid w:val="0"/>
          <w:sz w:val="24"/>
        </w:rPr>
      </w:pPr>
      <w:r w:rsidRPr="002B55E9">
        <w:rPr>
          <w:rFonts w:hint="eastAsia"/>
          <w:bCs/>
          <w:snapToGrid w:val="0"/>
          <w:sz w:val="24"/>
        </w:rPr>
        <w:lastRenderedPageBreak/>
        <w:t>（</w:t>
      </w:r>
      <w:r w:rsidR="005C3EBC" w:rsidRPr="002B55E9">
        <w:rPr>
          <w:bCs/>
          <w:snapToGrid w:val="0"/>
          <w:sz w:val="24"/>
        </w:rPr>
        <w:t>2</w:t>
      </w:r>
      <w:r w:rsidRPr="002B55E9">
        <w:rPr>
          <w:rFonts w:hint="eastAsia"/>
          <w:bCs/>
          <w:snapToGrid w:val="0"/>
          <w:sz w:val="24"/>
        </w:rPr>
        <w:t>）</w:t>
      </w:r>
      <w:r w:rsidRPr="002B55E9">
        <w:rPr>
          <w:rFonts w:hint="eastAsia"/>
          <w:bCs/>
          <w:snapToGrid w:val="0"/>
          <w:sz w:val="24"/>
        </w:rPr>
        <w:tab/>
      </w:r>
      <w:r w:rsidRPr="002B55E9">
        <w:rPr>
          <w:rFonts w:hint="eastAsia"/>
          <w:bCs/>
          <w:snapToGrid w:val="0"/>
          <w:sz w:val="24"/>
        </w:rPr>
        <w:t>与《东西湖区新城组群控制性详细规划环境影响报告书》符合性</w:t>
      </w:r>
      <w:r w:rsidR="005C3EBC" w:rsidRPr="002B55E9">
        <w:rPr>
          <w:rFonts w:hint="eastAsia"/>
          <w:bCs/>
          <w:snapToGrid w:val="0"/>
          <w:sz w:val="24"/>
        </w:rPr>
        <w:t>分析</w:t>
      </w:r>
    </w:p>
    <w:p w14:paraId="37F19F0C" w14:textId="1D8FE3D8"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东西湖区新城组群规划区以食品加工、现代服务、临空经济、高新技术和机械电子等为发展的主导产业。根据产业类型的不同，将规划区划分为机械电子信息产业园区、食品产业园区、综合保税物流产业园区、高新技术产业园区、临空产业开发园区。</w:t>
      </w:r>
    </w:p>
    <w:p w14:paraId="4B6F6574" w14:textId="10F3C772"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本项目位于武汉市东西湖区革新大道以西、兴工六路以南，主要进行料酒、食醋等调味品的生产，属于食品制造业，为东西湖区新城组群规划的主导产业。根据《东西湖区新城组群控制性详细规划环境影响报告书》，工业用地的行业准入要求为</w:t>
      </w:r>
      <w:r w:rsidRPr="002B55E9">
        <w:rPr>
          <w:bCs/>
          <w:snapToGrid w:val="0"/>
          <w:sz w:val="24"/>
        </w:rPr>
        <w:t>：</w:t>
      </w:r>
    </w:p>
    <w:p w14:paraId="0B93E1AB"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结合《关于加强规划环境影响评价与建设项目环境影响评价联动工作的意见》（环发</w:t>
      </w:r>
      <w:r w:rsidRPr="002B55E9">
        <w:rPr>
          <w:rFonts w:hint="eastAsia"/>
          <w:bCs/>
          <w:snapToGrid w:val="0"/>
          <w:sz w:val="24"/>
        </w:rPr>
        <w:t xml:space="preserve">[2015]178 </w:t>
      </w:r>
      <w:r w:rsidRPr="002B55E9">
        <w:rPr>
          <w:rFonts w:hint="eastAsia"/>
          <w:bCs/>
          <w:snapToGrid w:val="0"/>
          <w:sz w:val="24"/>
        </w:rPr>
        <w:t>号文）和《关于规划环境影响评价加强空间管制、总量控制和环境准入的指导意见（试行）》（环办环评</w:t>
      </w:r>
      <w:r w:rsidRPr="002B55E9">
        <w:rPr>
          <w:rFonts w:hint="eastAsia"/>
          <w:bCs/>
          <w:snapToGrid w:val="0"/>
          <w:sz w:val="24"/>
        </w:rPr>
        <w:t xml:space="preserve">[2016]14 </w:t>
      </w:r>
      <w:r w:rsidRPr="002B55E9">
        <w:rPr>
          <w:rFonts w:hint="eastAsia"/>
          <w:bCs/>
          <w:snapToGrid w:val="0"/>
          <w:sz w:val="24"/>
        </w:rPr>
        <w:t>号）等有关要求，根据国家现行产业政策，结合东西湖区新城组群的发展定位及区域的环境和资源状况、环境容量等因素，东西湖区新城组群规划范围在引入工业企业时，应禁止引入以下类型的企业：</w:t>
      </w:r>
    </w:p>
    <w:p w14:paraId="43451E62"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①污染量大、污染控制难度大和环保投资高的项目。这类项目主要有：染料化工、基础化工、印染、造纸纸浆、化肥、农药等污染型项目。化工类禁止项目详细类别主要包含基本化学原料制造；化学肥料制造；农药制造；涂料、染料、颜料、油墨及其类似产品制造；合成材料制造；炸药、火工及焰火产品制造等。</w:t>
      </w:r>
    </w:p>
    <w:p w14:paraId="4DAB7775"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②“两高一资”（高能耗、高排放、资源型）项目；</w:t>
      </w:r>
    </w:p>
    <w:p w14:paraId="4612A5E2"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③使用原（散）煤、煤矸石、粉煤、煤泥、燃料油（重油和渣油）、各种可燃废物和直接燃用的生物质燃料（树木、秸秆、锯末、稻壳、蔗渣等）等高污染燃料的建设项目。</w:t>
      </w:r>
    </w:p>
    <w:p w14:paraId="5472BBE6"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同时，在选址、生产过程等方面存在以下问题的工业企业，也应禁止引入：</w:t>
      </w:r>
    </w:p>
    <w:p w14:paraId="509F3681"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①所在区域市政基础设施不健全或生产过程中产生的污染物无法达标排放的工业企业；</w:t>
      </w:r>
    </w:p>
    <w:p w14:paraId="06FAC570"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②防护距离设置不能满足环保要求的工业企业（包括防护距离设置不足或防护距离内的敏感建筑无法拆迁等情况）；</w:t>
      </w:r>
    </w:p>
    <w:p w14:paraId="5D75139B" w14:textId="77777777" w:rsidR="001A0FF3" w:rsidRPr="002B55E9" w:rsidRDefault="001A0FF3" w:rsidP="001A0FF3">
      <w:pPr>
        <w:widowControl/>
        <w:spacing w:after="60" w:line="360" w:lineRule="auto"/>
        <w:ind w:firstLineChars="200" w:firstLine="480"/>
        <w:rPr>
          <w:bCs/>
          <w:snapToGrid w:val="0"/>
          <w:sz w:val="24"/>
        </w:rPr>
      </w:pPr>
      <w:r w:rsidRPr="002B55E9">
        <w:rPr>
          <w:rFonts w:hint="eastAsia"/>
          <w:bCs/>
          <w:snapToGrid w:val="0"/>
          <w:sz w:val="24"/>
        </w:rPr>
        <w:t>③选址不符合相关环保政策要求的工业企业。（例如，根据省环保局关于进一步加强全省建设项目环境管理工作的通知（鄂环发</w:t>
      </w:r>
      <w:r w:rsidRPr="002B55E9">
        <w:rPr>
          <w:rFonts w:hint="eastAsia"/>
          <w:bCs/>
          <w:snapToGrid w:val="0"/>
          <w:sz w:val="24"/>
        </w:rPr>
        <w:t>[2008]56</w:t>
      </w:r>
      <w:r w:rsidRPr="002B55E9">
        <w:rPr>
          <w:rFonts w:hint="eastAsia"/>
          <w:bCs/>
          <w:snapToGrid w:val="0"/>
          <w:sz w:val="24"/>
        </w:rPr>
        <w:t>号）要求，化工石化、医药农药等高污染、高环境风险行业的新建项目必须进入产业集中区或化工园区，现有化工企业应逐步推动进区入园。因此，所有新建化工石化、医药农药等高污染、高环境风险行业选址必须满足鄂环发</w:t>
      </w:r>
      <w:r w:rsidRPr="002B55E9">
        <w:rPr>
          <w:rFonts w:hint="eastAsia"/>
          <w:bCs/>
          <w:snapToGrid w:val="0"/>
          <w:sz w:val="24"/>
        </w:rPr>
        <w:t>[2008]56</w:t>
      </w:r>
      <w:r w:rsidRPr="002B55E9">
        <w:rPr>
          <w:rFonts w:hint="eastAsia"/>
          <w:bCs/>
          <w:snapToGrid w:val="0"/>
          <w:sz w:val="24"/>
        </w:rPr>
        <w:t>号的要求）。</w:t>
      </w:r>
    </w:p>
    <w:p w14:paraId="31B7AEA3" w14:textId="728250A2" w:rsidR="001A0FF3" w:rsidRPr="002B55E9" w:rsidRDefault="006E4F9F" w:rsidP="006E4F9F">
      <w:pPr>
        <w:pStyle w:val="aa"/>
        <w:rPr>
          <w:bCs/>
        </w:rPr>
      </w:pPr>
      <w:r w:rsidRPr="002B55E9">
        <w:rPr>
          <w:rFonts w:hint="eastAsia"/>
          <w:bCs/>
        </w:rPr>
        <w:t>本项目位于武汉市东西湖区革新大道以西、兴工六路以南，主要进行料酒、食醋等调味品的生产，属于食品制造业，</w:t>
      </w:r>
      <w:r w:rsidRPr="002B55E9">
        <w:rPr>
          <w:rFonts w:hint="eastAsia"/>
          <w:bCs/>
          <w:snapToGrid w:val="0"/>
        </w:rPr>
        <w:t>为东西湖区新城组群规划的主导产业。</w:t>
      </w:r>
      <w:r w:rsidRPr="002B55E9">
        <w:rPr>
          <w:bCs/>
          <w:snapToGrid w:val="0"/>
        </w:rPr>
        <w:t>项目</w:t>
      </w:r>
      <w:r w:rsidR="001A0FF3" w:rsidRPr="002B55E9">
        <w:rPr>
          <w:rFonts w:hint="eastAsia"/>
          <w:bCs/>
        </w:rPr>
        <w:t>不属于《东西湖区</w:t>
      </w:r>
      <w:r w:rsidR="001A0FF3" w:rsidRPr="002B55E9">
        <w:rPr>
          <w:rFonts w:hint="eastAsia"/>
          <w:bCs/>
        </w:rPr>
        <w:lastRenderedPageBreak/>
        <w:t>新城组群控制性详细规划环境影响报告书》中的污染量大、污染控制难度大和环保投资高的项目类别，也不属于“两高一资”（高能耗、高排放、资源</w:t>
      </w:r>
      <w:r w:rsidRPr="002B55E9">
        <w:rPr>
          <w:rFonts w:hint="eastAsia"/>
          <w:bCs/>
        </w:rPr>
        <w:t>型）项目；项目使用的能源为电能，不属于使用高污染燃料的建设项目</w:t>
      </w:r>
      <w:r w:rsidR="001A0FF3" w:rsidRPr="002B55E9">
        <w:rPr>
          <w:rFonts w:hint="eastAsia"/>
          <w:bCs/>
        </w:rPr>
        <w:t>。项目所在区域给水管网、市政雨水管网、市政污水管网、污水处理厂等市政基础设施配套完善，项目生产过程中产生的污染物经处理后可稳定达标排放</w:t>
      </w:r>
      <w:r w:rsidRPr="002B55E9">
        <w:rPr>
          <w:rFonts w:hint="eastAsia"/>
          <w:bCs/>
        </w:rPr>
        <w:t>。项目</w:t>
      </w:r>
      <w:r w:rsidR="001A0FF3" w:rsidRPr="002B55E9">
        <w:rPr>
          <w:bCs/>
        </w:rPr>
        <w:t>卫生防护距离内无环境敏感点</w:t>
      </w:r>
      <w:r w:rsidRPr="002B55E9">
        <w:rPr>
          <w:rFonts w:hint="eastAsia"/>
          <w:bCs/>
        </w:rPr>
        <w:t>，</w:t>
      </w:r>
      <w:r w:rsidR="001A0FF3" w:rsidRPr="002B55E9">
        <w:rPr>
          <w:rFonts w:hint="eastAsia"/>
          <w:bCs/>
        </w:rPr>
        <w:t>选址符合相关环保政策要求。从项目类型、选址和生产过程分析，本项目建设符合《东西湖区新城组群控制性详细规划环境影响报告书》</w:t>
      </w:r>
      <w:r w:rsidRPr="002B55E9">
        <w:rPr>
          <w:rFonts w:hint="eastAsia"/>
          <w:bCs/>
        </w:rPr>
        <w:t>相关</w:t>
      </w:r>
      <w:r w:rsidRPr="002B55E9">
        <w:rPr>
          <w:bCs/>
        </w:rPr>
        <w:t>要求</w:t>
      </w:r>
      <w:r w:rsidR="001A0FF3" w:rsidRPr="002B55E9">
        <w:rPr>
          <w:rFonts w:hint="eastAsia"/>
          <w:bCs/>
        </w:rPr>
        <w:t>。</w:t>
      </w:r>
    </w:p>
    <w:p w14:paraId="234FE2FC" w14:textId="5583A043" w:rsidR="006E4F9F" w:rsidRPr="002B55E9" w:rsidRDefault="006E4F9F" w:rsidP="003F5055">
      <w:pPr>
        <w:widowControl/>
        <w:spacing w:after="60" w:line="360" w:lineRule="auto"/>
        <w:ind w:firstLineChars="200" w:firstLine="480"/>
        <w:rPr>
          <w:bCs/>
          <w:snapToGrid w:val="0"/>
          <w:sz w:val="24"/>
        </w:rPr>
      </w:pPr>
      <w:r w:rsidRPr="002B55E9">
        <w:rPr>
          <w:rFonts w:hint="eastAsia"/>
          <w:bCs/>
          <w:snapToGrid w:val="0"/>
          <w:sz w:val="24"/>
        </w:rPr>
        <w:t>（</w:t>
      </w:r>
      <w:r w:rsidR="005C3EBC" w:rsidRPr="002B55E9">
        <w:rPr>
          <w:bCs/>
          <w:snapToGrid w:val="0"/>
          <w:sz w:val="24"/>
        </w:rPr>
        <w:t>3</w:t>
      </w:r>
      <w:r w:rsidRPr="002B55E9">
        <w:rPr>
          <w:rFonts w:hint="eastAsia"/>
          <w:bCs/>
          <w:snapToGrid w:val="0"/>
          <w:sz w:val="24"/>
        </w:rPr>
        <w:t>）</w:t>
      </w:r>
      <w:r w:rsidRPr="002B55E9">
        <w:rPr>
          <w:rFonts w:hint="eastAsia"/>
          <w:bCs/>
          <w:snapToGrid w:val="0"/>
          <w:sz w:val="24"/>
        </w:rPr>
        <w:tab/>
      </w:r>
      <w:r w:rsidRPr="002B55E9">
        <w:rPr>
          <w:rFonts w:hint="eastAsia"/>
          <w:bCs/>
          <w:snapToGrid w:val="0"/>
          <w:sz w:val="24"/>
        </w:rPr>
        <w:t>与《</w:t>
      </w:r>
      <w:r w:rsidR="003F5055" w:rsidRPr="002B55E9">
        <w:rPr>
          <w:rFonts w:hint="eastAsia"/>
          <w:bCs/>
          <w:snapToGrid w:val="0"/>
          <w:sz w:val="24"/>
        </w:rPr>
        <w:t>市环保局关于东西湖区新城组群控制性详细规划环境影响报告书的审查意见</w:t>
      </w:r>
      <w:r w:rsidRPr="002B55E9">
        <w:rPr>
          <w:rFonts w:hint="eastAsia"/>
          <w:bCs/>
          <w:snapToGrid w:val="0"/>
          <w:sz w:val="24"/>
        </w:rPr>
        <w:t>》</w:t>
      </w:r>
      <w:r w:rsidR="003F5055" w:rsidRPr="002B55E9">
        <w:rPr>
          <w:rFonts w:hint="eastAsia"/>
          <w:bCs/>
          <w:snapToGrid w:val="0"/>
          <w:sz w:val="24"/>
        </w:rPr>
        <w:t>（武环管</w:t>
      </w:r>
      <w:r w:rsidR="003F5055" w:rsidRPr="002B55E9">
        <w:rPr>
          <w:rFonts w:hint="eastAsia"/>
          <w:bCs/>
          <w:snapToGrid w:val="0"/>
          <w:sz w:val="24"/>
        </w:rPr>
        <w:t>[2016]96</w:t>
      </w:r>
      <w:r w:rsidR="003F5055" w:rsidRPr="002B55E9">
        <w:rPr>
          <w:rFonts w:hint="eastAsia"/>
          <w:bCs/>
          <w:snapToGrid w:val="0"/>
          <w:sz w:val="24"/>
        </w:rPr>
        <w:t>号）</w:t>
      </w:r>
      <w:r w:rsidRPr="002B55E9">
        <w:rPr>
          <w:rFonts w:hint="eastAsia"/>
          <w:bCs/>
          <w:snapToGrid w:val="0"/>
          <w:sz w:val="24"/>
        </w:rPr>
        <w:t>符合性</w:t>
      </w:r>
      <w:r w:rsidR="003F5055" w:rsidRPr="002B55E9">
        <w:rPr>
          <w:rFonts w:hint="eastAsia"/>
          <w:bCs/>
          <w:snapToGrid w:val="0"/>
          <w:sz w:val="24"/>
        </w:rPr>
        <w:t>分析</w:t>
      </w:r>
    </w:p>
    <w:p w14:paraId="3AB9B493" w14:textId="77777777" w:rsidR="002100AC" w:rsidRPr="002B55E9" w:rsidRDefault="002100AC" w:rsidP="002100AC">
      <w:pPr>
        <w:widowControl/>
        <w:spacing w:after="60" w:line="360" w:lineRule="auto"/>
        <w:ind w:firstLineChars="200" w:firstLine="480"/>
        <w:rPr>
          <w:bCs/>
          <w:snapToGrid w:val="0"/>
          <w:sz w:val="24"/>
        </w:rPr>
      </w:pPr>
      <w:r w:rsidRPr="002B55E9">
        <w:rPr>
          <w:rFonts w:hint="eastAsia"/>
          <w:bCs/>
          <w:snapToGrid w:val="0"/>
          <w:sz w:val="24"/>
        </w:rPr>
        <w:t>项目与规划环评审查意见符合性分析如下：</w:t>
      </w:r>
    </w:p>
    <w:p w14:paraId="01513356" w14:textId="77777777" w:rsidR="002100AC" w:rsidRPr="002B55E9" w:rsidRDefault="002100AC" w:rsidP="002100AC">
      <w:pPr>
        <w:jc w:val="center"/>
        <w:rPr>
          <w:rFonts w:eastAsia="黑体"/>
          <w:b/>
          <w:kern w:val="2"/>
          <w:sz w:val="24"/>
        </w:rPr>
      </w:pPr>
      <w:r w:rsidRPr="002B55E9">
        <w:rPr>
          <w:rFonts w:eastAsia="黑体"/>
          <w:b/>
          <w:kern w:val="2"/>
          <w:sz w:val="24"/>
        </w:rPr>
        <w:t>表</w:t>
      </w:r>
      <w:r w:rsidRPr="002B55E9">
        <w:rPr>
          <w:rFonts w:eastAsia="黑体" w:hint="eastAsia"/>
          <w:b/>
          <w:kern w:val="2"/>
          <w:sz w:val="24"/>
        </w:rPr>
        <w:t xml:space="preserve">9-2-2  </w:t>
      </w:r>
      <w:r w:rsidRPr="002B55E9">
        <w:rPr>
          <w:rFonts w:eastAsia="黑体"/>
          <w:b/>
          <w:kern w:val="2"/>
          <w:sz w:val="24"/>
        </w:rPr>
        <w:t>项目与规划环评审查意见符合性分析</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5210"/>
        <w:gridCol w:w="3614"/>
        <w:gridCol w:w="1029"/>
      </w:tblGrid>
      <w:tr w:rsidR="00C60999" w:rsidRPr="002B55E9" w14:paraId="4ED9F34F" w14:textId="77777777" w:rsidTr="00924AFA">
        <w:trPr>
          <w:trHeight w:val="284"/>
          <w:jc w:val="center"/>
        </w:trPr>
        <w:tc>
          <w:tcPr>
            <w:tcW w:w="2644" w:type="pct"/>
            <w:tcBorders>
              <w:top w:val="single" w:sz="12" w:space="0" w:color="auto"/>
              <w:bottom w:val="single" w:sz="12" w:space="0" w:color="auto"/>
            </w:tcBorders>
            <w:vAlign w:val="center"/>
          </w:tcPr>
          <w:p w14:paraId="232B2C1B" w14:textId="77777777" w:rsidR="002100AC" w:rsidRPr="002B55E9" w:rsidRDefault="002100AC" w:rsidP="002100AC">
            <w:pPr>
              <w:widowControl/>
              <w:ind w:leftChars="-50" w:left="-100" w:rightChars="-50" w:right="-100"/>
              <w:jc w:val="center"/>
              <w:rPr>
                <w:kern w:val="2"/>
                <w:sz w:val="18"/>
                <w:szCs w:val="18"/>
              </w:rPr>
            </w:pPr>
            <w:r w:rsidRPr="002B55E9">
              <w:rPr>
                <w:kern w:val="2"/>
                <w:sz w:val="18"/>
                <w:szCs w:val="18"/>
              </w:rPr>
              <w:t>规划环评审查意见</w:t>
            </w:r>
          </w:p>
        </w:tc>
        <w:tc>
          <w:tcPr>
            <w:tcW w:w="1834" w:type="pct"/>
            <w:tcBorders>
              <w:top w:val="single" w:sz="12" w:space="0" w:color="auto"/>
              <w:bottom w:val="single" w:sz="12" w:space="0" w:color="auto"/>
            </w:tcBorders>
            <w:vAlign w:val="center"/>
          </w:tcPr>
          <w:p w14:paraId="4A47D4B0" w14:textId="77777777" w:rsidR="002100AC" w:rsidRPr="002B55E9" w:rsidRDefault="002100AC" w:rsidP="002100AC">
            <w:pPr>
              <w:widowControl/>
              <w:ind w:leftChars="-50" w:left="-100" w:rightChars="-50" w:right="-100"/>
              <w:jc w:val="center"/>
              <w:rPr>
                <w:kern w:val="2"/>
                <w:sz w:val="18"/>
                <w:szCs w:val="18"/>
              </w:rPr>
            </w:pPr>
            <w:r w:rsidRPr="002B55E9">
              <w:rPr>
                <w:kern w:val="2"/>
                <w:sz w:val="18"/>
                <w:szCs w:val="18"/>
              </w:rPr>
              <w:t>本项目情况</w:t>
            </w:r>
          </w:p>
        </w:tc>
        <w:tc>
          <w:tcPr>
            <w:tcW w:w="522" w:type="pct"/>
            <w:tcBorders>
              <w:top w:val="single" w:sz="12" w:space="0" w:color="auto"/>
              <w:bottom w:val="single" w:sz="12" w:space="0" w:color="auto"/>
            </w:tcBorders>
            <w:vAlign w:val="center"/>
          </w:tcPr>
          <w:p w14:paraId="40B730DA" w14:textId="77777777" w:rsidR="002100AC" w:rsidRPr="002B55E9" w:rsidRDefault="002100AC" w:rsidP="002100AC">
            <w:pPr>
              <w:widowControl/>
              <w:ind w:leftChars="-50" w:left="-100" w:rightChars="-50" w:right="-100"/>
              <w:jc w:val="center"/>
              <w:rPr>
                <w:kern w:val="2"/>
                <w:sz w:val="18"/>
                <w:szCs w:val="18"/>
              </w:rPr>
            </w:pPr>
            <w:r w:rsidRPr="002B55E9">
              <w:rPr>
                <w:kern w:val="2"/>
                <w:sz w:val="18"/>
                <w:szCs w:val="18"/>
              </w:rPr>
              <w:t>符合性分析</w:t>
            </w:r>
          </w:p>
        </w:tc>
      </w:tr>
      <w:tr w:rsidR="00C60999" w:rsidRPr="002B55E9" w14:paraId="1708A090" w14:textId="77777777" w:rsidTr="00924AFA">
        <w:trPr>
          <w:trHeight w:val="284"/>
          <w:jc w:val="center"/>
        </w:trPr>
        <w:tc>
          <w:tcPr>
            <w:tcW w:w="2644" w:type="pct"/>
            <w:tcBorders>
              <w:top w:val="single" w:sz="12" w:space="0" w:color="auto"/>
            </w:tcBorders>
            <w:vAlign w:val="center"/>
          </w:tcPr>
          <w:p w14:paraId="1A580EEB" w14:textId="77777777" w:rsidR="002100AC" w:rsidRPr="002B55E9" w:rsidRDefault="002100AC" w:rsidP="002100AC">
            <w:pPr>
              <w:jc w:val="left"/>
              <w:rPr>
                <w:kern w:val="2"/>
                <w:sz w:val="18"/>
                <w:szCs w:val="18"/>
              </w:rPr>
            </w:pPr>
            <w:r w:rsidRPr="002B55E9">
              <w:rPr>
                <w:kern w:val="2"/>
                <w:sz w:val="18"/>
                <w:szCs w:val="18"/>
              </w:rPr>
              <w:t>加快燃气工程规划实施，在新城组群内应限制燃料煤使用，推广使用天然气等清洁能源，严格控制大气污染物排放总量，规划区域内大气污染物排放总量在市政府下达给东西湖区的总量指标内调剂，不断推进空气环境质量改善。</w:t>
            </w:r>
          </w:p>
        </w:tc>
        <w:tc>
          <w:tcPr>
            <w:tcW w:w="1834" w:type="pct"/>
            <w:tcBorders>
              <w:top w:val="single" w:sz="12" w:space="0" w:color="auto"/>
            </w:tcBorders>
            <w:vAlign w:val="center"/>
          </w:tcPr>
          <w:p w14:paraId="3F411275" w14:textId="77777777" w:rsidR="002100AC" w:rsidRPr="002B55E9" w:rsidRDefault="002100AC" w:rsidP="002100AC">
            <w:pPr>
              <w:jc w:val="left"/>
              <w:rPr>
                <w:kern w:val="2"/>
                <w:sz w:val="18"/>
                <w:szCs w:val="18"/>
              </w:rPr>
            </w:pPr>
            <w:r w:rsidRPr="002B55E9">
              <w:rPr>
                <w:kern w:val="2"/>
                <w:sz w:val="18"/>
                <w:szCs w:val="18"/>
              </w:rPr>
              <w:t>本项目主要能源为电，项目大气污染物总量实施倍量替代</w:t>
            </w:r>
          </w:p>
        </w:tc>
        <w:tc>
          <w:tcPr>
            <w:tcW w:w="522" w:type="pct"/>
            <w:tcBorders>
              <w:top w:val="single" w:sz="12" w:space="0" w:color="auto"/>
            </w:tcBorders>
            <w:vAlign w:val="center"/>
          </w:tcPr>
          <w:p w14:paraId="3E6DD81D" w14:textId="77777777" w:rsidR="002100AC" w:rsidRPr="002B55E9" w:rsidRDefault="002100AC" w:rsidP="002100AC">
            <w:pPr>
              <w:jc w:val="center"/>
              <w:rPr>
                <w:kern w:val="2"/>
                <w:sz w:val="18"/>
                <w:szCs w:val="18"/>
              </w:rPr>
            </w:pPr>
            <w:r w:rsidRPr="002B55E9">
              <w:rPr>
                <w:kern w:val="2"/>
                <w:sz w:val="18"/>
                <w:szCs w:val="18"/>
              </w:rPr>
              <w:t>符合</w:t>
            </w:r>
          </w:p>
        </w:tc>
      </w:tr>
      <w:tr w:rsidR="00C60999" w:rsidRPr="002B55E9" w14:paraId="02A5D1BD" w14:textId="77777777" w:rsidTr="00924AFA">
        <w:trPr>
          <w:trHeight w:val="284"/>
          <w:jc w:val="center"/>
        </w:trPr>
        <w:tc>
          <w:tcPr>
            <w:tcW w:w="2644" w:type="pct"/>
            <w:vAlign w:val="center"/>
          </w:tcPr>
          <w:p w14:paraId="4104677D" w14:textId="77777777" w:rsidR="002100AC" w:rsidRPr="002B55E9" w:rsidRDefault="002100AC" w:rsidP="002100AC">
            <w:pPr>
              <w:jc w:val="left"/>
              <w:rPr>
                <w:kern w:val="2"/>
                <w:sz w:val="18"/>
                <w:szCs w:val="18"/>
              </w:rPr>
            </w:pPr>
            <w:r w:rsidRPr="002B55E9">
              <w:rPr>
                <w:kern w:val="2"/>
                <w:sz w:val="18"/>
                <w:szCs w:val="18"/>
              </w:rPr>
              <w:t>加快东西湖污水处理厂建设和高桥污水处理厂的升级改造等环保基础设施建设，不断完善新城组群内污水管网建设，在污水管网暂未覆盖区域应暂缓引入和实施排放水污染物的建设项目</w:t>
            </w:r>
            <w:r w:rsidRPr="002B55E9">
              <w:rPr>
                <w:rFonts w:hint="eastAsia"/>
                <w:kern w:val="2"/>
                <w:sz w:val="18"/>
                <w:szCs w:val="18"/>
              </w:rPr>
              <w:t>。</w:t>
            </w:r>
          </w:p>
        </w:tc>
        <w:tc>
          <w:tcPr>
            <w:tcW w:w="1834" w:type="pct"/>
            <w:vAlign w:val="center"/>
          </w:tcPr>
          <w:p w14:paraId="61030292" w14:textId="77777777" w:rsidR="002100AC" w:rsidRPr="002B55E9" w:rsidRDefault="002100AC" w:rsidP="002100AC">
            <w:pPr>
              <w:jc w:val="left"/>
              <w:rPr>
                <w:kern w:val="2"/>
                <w:sz w:val="18"/>
                <w:szCs w:val="18"/>
              </w:rPr>
            </w:pPr>
            <w:r w:rsidRPr="002B55E9">
              <w:rPr>
                <w:kern w:val="2"/>
                <w:sz w:val="18"/>
                <w:szCs w:val="18"/>
              </w:rPr>
              <w:t>项目所在区域</w:t>
            </w:r>
            <w:r w:rsidRPr="002B55E9">
              <w:rPr>
                <w:rFonts w:hint="eastAsia"/>
                <w:kern w:val="2"/>
                <w:sz w:val="18"/>
                <w:szCs w:val="18"/>
              </w:rPr>
              <w:t>市政</w:t>
            </w:r>
            <w:r w:rsidRPr="002B55E9">
              <w:rPr>
                <w:kern w:val="2"/>
                <w:sz w:val="18"/>
                <w:szCs w:val="18"/>
              </w:rPr>
              <w:t>管道已建成</w:t>
            </w:r>
          </w:p>
        </w:tc>
        <w:tc>
          <w:tcPr>
            <w:tcW w:w="522" w:type="pct"/>
            <w:vAlign w:val="center"/>
          </w:tcPr>
          <w:p w14:paraId="4B8684EA" w14:textId="77777777" w:rsidR="002100AC" w:rsidRPr="002B55E9" w:rsidRDefault="002100AC" w:rsidP="002100AC">
            <w:pPr>
              <w:jc w:val="center"/>
              <w:rPr>
                <w:kern w:val="2"/>
                <w:sz w:val="18"/>
                <w:szCs w:val="18"/>
              </w:rPr>
            </w:pPr>
            <w:r w:rsidRPr="002B55E9">
              <w:rPr>
                <w:kern w:val="2"/>
                <w:sz w:val="18"/>
                <w:szCs w:val="18"/>
              </w:rPr>
              <w:t>符合</w:t>
            </w:r>
          </w:p>
        </w:tc>
      </w:tr>
      <w:tr w:rsidR="00C60999" w:rsidRPr="002B55E9" w14:paraId="2187CB95" w14:textId="77777777" w:rsidTr="00924AFA">
        <w:trPr>
          <w:trHeight w:val="284"/>
          <w:jc w:val="center"/>
        </w:trPr>
        <w:tc>
          <w:tcPr>
            <w:tcW w:w="2644" w:type="pct"/>
            <w:vAlign w:val="center"/>
          </w:tcPr>
          <w:p w14:paraId="2E6BF323" w14:textId="77777777" w:rsidR="002100AC" w:rsidRPr="002B55E9" w:rsidRDefault="002100AC" w:rsidP="002100AC">
            <w:pPr>
              <w:jc w:val="left"/>
              <w:rPr>
                <w:kern w:val="2"/>
                <w:sz w:val="18"/>
                <w:szCs w:val="18"/>
              </w:rPr>
            </w:pPr>
            <w:r w:rsidRPr="002B55E9">
              <w:rPr>
                <w:kern w:val="2"/>
                <w:sz w:val="18"/>
                <w:szCs w:val="18"/>
              </w:rPr>
              <w:t>合理调整新城组群空间布局，避免工业园区和居住区混杂</w:t>
            </w:r>
            <w:r w:rsidRPr="002B55E9">
              <w:rPr>
                <w:rFonts w:hint="eastAsia"/>
                <w:kern w:val="2"/>
                <w:sz w:val="18"/>
                <w:szCs w:val="18"/>
              </w:rPr>
              <w:t>；</w:t>
            </w:r>
            <w:r w:rsidRPr="002B55E9">
              <w:rPr>
                <w:kern w:val="2"/>
                <w:sz w:val="18"/>
                <w:szCs w:val="18"/>
              </w:rPr>
              <w:t>合理布局香精、香料、垃圾中转站等项目，避免异味扰民，保障居民宜居环境。</w:t>
            </w:r>
          </w:p>
        </w:tc>
        <w:tc>
          <w:tcPr>
            <w:tcW w:w="1834" w:type="pct"/>
            <w:vAlign w:val="center"/>
          </w:tcPr>
          <w:p w14:paraId="7E5B5763" w14:textId="4D707787" w:rsidR="002100AC" w:rsidRPr="002B55E9" w:rsidRDefault="002100AC" w:rsidP="002100AC">
            <w:pPr>
              <w:jc w:val="left"/>
              <w:rPr>
                <w:kern w:val="2"/>
                <w:sz w:val="18"/>
                <w:szCs w:val="18"/>
              </w:rPr>
            </w:pPr>
            <w:r w:rsidRPr="002B55E9">
              <w:rPr>
                <w:rFonts w:hint="eastAsia"/>
                <w:kern w:val="2"/>
                <w:sz w:val="18"/>
                <w:szCs w:val="18"/>
              </w:rPr>
              <w:t>本项目位于武汉市东西湖区革新大道以西、兴工六路以南，</w:t>
            </w:r>
            <w:r w:rsidRPr="002B55E9">
              <w:rPr>
                <w:kern w:val="2"/>
                <w:sz w:val="18"/>
                <w:szCs w:val="18"/>
              </w:rPr>
              <w:t>周边</w:t>
            </w:r>
            <w:r w:rsidRPr="002B55E9">
              <w:rPr>
                <w:rFonts w:hint="eastAsia"/>
                <w:kern w:val="2"/>
                <w:sz w:val="18"/>
                <w:szCs w:val="18"/>
              </w:rPr>
              <w:t>500</w:t>
            </w:r>
            <w:r w:rsidRPr="002B55E9">
              <w:rPr>
                <w:kern w:val="2"/>
                <w:sz w:val="18"/>
                <w:szCs w:val="18"/>
              </w:rPr>
              <w:t>m</w:t>
            </w:r>
            <w:r w:rsidRPr="002B55E9">
              <w:rPr>
                <w:kern w:val="2"/>
                <w:sz w:val="18"/>
                <w:szCs w:val="18"/>
              </w:rPr>
              <w:t>范围内无居住区</w:t>
            </w:r>
            <w:r w:rsidRPr="002B55E9">
              <w:rPr>
                <w:rFonts w:hint="eastAsia"/>
                <w:kern w:val="2"/>
                <w:sz w:val="18"/>
                <w:szCs w:val="18"/>
              </w:rPr>
              <w:t>等</w:t>
            </w:r>
            <w:r w:rsidRPr="002B55E9">
              <w:rPr>
                <w:kern w:val="2"/>
                <w:sz w:val="18"/>
                <w:szCs w:val="18"/>
              </w:rPr>
              <w:t>环境敏感点</w:t>
            </w:r>
          </w:p>
        </w:tc>
        <w:tc>
          <w:tcPr>
            <w:tcW w:w="522" w:type="pct"/>
            <w:vAlign w:val="center"/>
          </w:tcPr>
          <w:p w14:paraId="1134615C" w14:textId="77777777" w:rsidR="002100AC" w:rsidRPr="002B55E9" w:rsidRDefault="002100AC" w:rsidP="002100AC">
            <w:pPr>
              <w:jc w:val="center"/>
              <w:rPr>
                <w:kern w:val="2"/>
                <w:sz w:val="18"/>
                <w:szCs w:val="18"/>
              </w:rPr>
            </w:pPr>
            <w:r w:rsidRPr="002B55E9">
              <w:rPr>
                <w:kern w:val="2"/>
                <w:sz w:val="18"/>
                <w:szCs w:val="18"/>
              </w:rPr>
              <w:t>符合</w:t>
            </w:r>
          </w:p>
        </w:tc>
      </w:tr>
    </w:tbl>
    <w:p w14:paraId="2CD7DF7B" w14:textId="56E45B76" w:rsidR="00D170E5" w:rsidRPr="002B55E9" w:rsidRDefault="00EF27AD">
      <w:pPr>
        <w:pStyle w:val="4"/>
        <w:rPr>
          <w:color w:val="auto"/>
        </w:rPr>
      </w:pPr>
      <w:r w:rsidRPr="002B55E9">
        <w:rPr>
          <w:rFonts w:hint="eastAsia"/>
          <w:color w:val="auto"/>
        </w:rPr>
        <w:t>与《</w:t>
      </w:r>
      <w:bookmarkStart w:id="308" w:name="_Hlk103331575"/>
      <w:r w:rsidRPr="002B55E9">
        <w:rPr>
          <w:rFonts w:hint="eastAsia"/>
          <w:color w:val="auto"/>
        </w:rPr>
        <w:t>新沟镇食品医疗用地板块总体规划环境影响评价报告书</w:t>
      </w:r>
      <w:bookmarkEnd w:id="308"/>
      <w:r w:rsidRPr="002B55E9">
        <w:rPr>
          <w:rFonts w:hint="eastAsia"/>
          <w:color w:val="auto"/>
        </w:rPr>
        <w:t>》及</w:t>
      </w:r>
      <w:r w:rsidR="006E4F9F" w:rsidRPr="002B55E9">
        <w:rPr>
          <w:rFonts w:hint="eastAsia"/>
          <w:color w:val="auto"/>
        </w:rPr>
        <w:t>审查</w:t>
      </w:r>
      <w:r w:rsidRPr="002B55E9">
        <w:rPr>
          <w:rFonts w:hint="eastAsia"/>
          <w:color w:val="auto"/>
        </w:rPr>
        <w:t>意见相符性分析</w:t>
      </w:r>
    </w:p>
    <w:p w14:paraId="70A537BD" w14:textId="597C965D" w:rsidR="00D170E5" w:rsidRPr="002B55E9" w:rsidRDefault="00EF27AD">
      <w:pPr>
        <w:pStyle w:val="affff7"/>
        <w:adjustRightInd w:val="0"/>
        <w:snapToGrid w:val="0"/>
      </w:pPr>
      <w:r w:rsidRPr="002B55E9">
        <w:rPr>
          <w:rFonts w:hint="eastAsia"/>
        </w:rPr>
        <w:t>（</w:t>
      </w:r>
      <w:r w:rsidRPr="002B55E9">
        <w:rPr>
          <w:rFonts w:hint="eastAsia"/>
        </w:rPr>
        <w:t>1</w:t>
      </w:r>
      <w:r w:rsidRPr="002B55E9">
        <w:rPr>
          <w:rFonts w:hint="eastAsia"/>
        </w:rPr>
        <w:t>）与</w:t>
      </w:r>
      <w:r w:rsidR="005C3EBC" w:rsidRPr="002B55E9">
        <w:rPr>
          <w:rFonts w:hint="eastAsia"/>
        </w:rPr>
        <w:t>《</w:t>
      </w:r>
      <w:r w:rsidRPr="002B55E9">
        <w:rPr>
          <w:rFonts w:hint="eastAsia"/>
        </w:rPr>
        <w:t>新沟镇</w:t>
      </w:r>
      <w:r w:rsidRPr="002B55E9">
        <w:t>食品医疗用地板块总体</w:t>
      </w:r>
      <w:r w:rsidRPr="002B55E9">
        <w:rPr>
          <w:rFonts w:hint="eastAsia"/>
        </w:rPr>
        <w:t>规划</w:t>
      </w:r>
      <w:r w:rsidRPr="002B55E9">
        <w:t>环境影响</w:t>
      </w:r>
      <w:r w:rsidRPr="002B55E9">
        <w:rPr>
          <w:rFonts w:hint="eastAsia"/>
        </w:rPr>
        <w:t>报告书</w:t>
      </w:r>
      <w:r w:rsidR="005C3EBC" w:rsidRPr="002B55E9">
        <w:rPr>
          <w:rFonts w:hint="eastAsia"/>
        </w:rPr>
        <w:t>》</w:t>
      </w:r>
      <w:r w:rsidRPr="002B55E9">
        <w:rPr>
          <w:rFonts w:hint="eastAsia"/>
        </w:rPr>
        <w:t>相符</w:t>
      </w:r>
      <w:r w:rsidRPr="002B55E9">
        <w:t>性分析</w:t>
      </w:r>
    </w:p>
    <w:p w14:paraId="0D58477F" w14:textId="77777777" w:rsidR="00D170E5" w:rsidRPr="002B55E9" w:rsidRDefault="00EF27AD">
      <w:pPr>
        <w:pStyle w:val="affff7"/>
        <w:adjustRightInd w:val="0"/>
        <w:snapToGrid w:val="0"/>
      </w:pPr>
      <w:r w:rsidRPr="002B55E9">
        <w:rPr>
          <w:rFonts w:hint="eastAsia"/>
        </w:rPr>
        <w:t>根据《新沟镇食品医疗用地板块总体规划环境影响评价报告书》，新沟镇食品医疗用地板块规划发展“</w:t>
      </w:r>
      <w:r w:rsidRPr="002B55E9">
        <w:rPr>
          <w:rFonts w:hint="eastAsia"/>
        </w:rPr>
        <w:t>1</w:t>
      </w:r>
      <w:r w:rsidRPr="002B55E9">
        <w:t>+1</w:t>
      </w:r>
      <w:r w:rsidRPr="002B55E9">
        <w:rPr>
          <w:rFonts w:hint="eastAsia"/>
        </w:rPr>
        <w:t>”两大产业集群，分别为健康食品和生物医疗产业集群。健康食品产业集群主要发展健康保健食品研发和制造、快销食品、乳制品及时尚休闲食品；生物医疗主要发展中成药、制剂药、中药保健、生物疫苗、细胞治疗药物及体外诊断外包服务。</w:t>
      </w:r>
    </w:p>
    <w:p w14:paraId="0EBB941A" w14:textId="24FCCF62" w:rsidR="00D170E5" w:rsidRPr="002B55E9" w:rsidRDefault="00EF27AD">
      <w:pPr>
        <w:pStyle w:val="1f3"/>
        <w:spacing w:beforeLines="0" w:before="0"/>
        <w:rPr>
          <w:rFonts w:eastAsia="宋体"/>
        </w:rPr>
      </w:pPr>
      <w:r w:rsidRPr="002B55E9">
        <w:rPr>
          <w:rFonts w:eastAsia="宋体"/>
        </w:rPr>
        <w:t>表</w:t>
      </w:r>
      <w:r w:rsidR="003F5055" w:rsidRPr="002B55E9">
        <w:rPr>
          <w:rFonts w:eastAsia="宋体"/>
        </w:rPr>
        <w:t>9-2-3</w:t>
      </w:r>
      <w:r w:rsidRPr="002B55E9">
        <w:rPr>
          <w:rFonts w:eastAsia="宋体"/>
        </w:rPr>
        <w:t xml:space="preserve">  </w:t>
      </w:r>
      <w:r w:rsidRPr="002B55E9">
        <w:rPr>
          <w:rFonts w:eastAsia="宋体" w:hint="eastAsia"/>
        </w:rPr>
        <w:t>新沟镇食品医疗用地板块</w:t>
      </w:r>
      <w:r w:rsidRPr="002B55E9">
        <w:rPr>
          <w:rFonts w:eastAsia="宋体"/>
        </w:rPr>
        <w:t>主导产业导向</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4"/>
        <w:gridCol w:w="2255"/>
        <w:gridCol w:w="6378"/>
      </w:tblGrid>
      <w:tr w:rsidR="00C60999" w:rsidRPr="002B55E9" w14:paraId="1DCDCE4C" w14:textId="77777777">
        <w:trPr>
          <w:jc w:val="center"/>
        </w:trPr>
        <w:tc>
          <w:tcPr>
            <w:tcW w:w="1004" w:type="dxa"/>
            <w:tcBorders>
              <w:top w:val="single" w:sz="12" w:space="0" w:color="auto"/>
              <w:bottom w:val="single" w:sz="12" w:space="0" w:color="auto"/>
            </w:tcBorders>
            <w:vAlign w:val="center"/>
          </w:tcPr>
          <w:p w14:paraId="4D2D6F6E" w14:textId="77777777" w:rsidR="00D170E5" w:rsidRPr="002B55E9" w:rsidRDefault="00EF27AD">
            <w:pPr>
              <w:jc w:val="center"/>
              <w:rPr>
                <w:b/>
                <w:sz w:val="18"/>
              </w:rPr>
            </w:pPr>
            <w:r w:rsidRPr="002B55E9">
              <w:rPr>
                <w:rFonts w:hint="eastAsia"/>
                <w:b/>
                <w:sz w:val="18"/>
              </w:rPr>
              <w:t>产业类型</w:t>
            </w:r>
          </w:p>
        </w:tc>
        <w:tc>
          <w:tcPr>
            <w:tcW w:w="2255" w:type="dxa"/>
            <w:tcBorders>
              <w:top w:val="single" w:sz="12" w:space="0" w:color="auto"/>
              <w:bottom w:val="single" w:sz="12" w:space="0" w:color="auto"/>
            </w:tcBorders>
            <w:vAlign w:val="center"/>
          </w:tcPr>
          <w:p w14:paraId="63189B76" w14:textId="77777777" w:rsidR="00D170E5" w:rsidRPr="002B55E9" w:rsidRDefault="00EF27AD">
            <w:pPr>
              <w:jc w:val="center"/>
              <w:rPr>
                <w:b/>
                <w:sz w:val="18"/>
              </w:rPr>
            </w:pPr>
            <w:r w:rsidRPr="002B55E9">
              <w:rPr>
                <w:rFonts w:hint="eastAsia"/>
                <w:b/>
                <w:sz w:val="18"/>
              </w:rPr>
              <w:t>主要方向</w:t>
            </w:r>
          </w:p>
        </w:tc>
        <w:tc>
          <w:tcPr>
            <w:tcW w:w="6378" w:type="dxa"/>
            <w:tcBorders>
              <w:top w:val="single" w:sz="12" w:space="0" w:color="auto"/>
              <w:bottom w:val="single" w:sz="12" w:space="0" w:color="auto"/>
            </w:tcBorders>
            <w:vAlign w:val="center"/>
          </w:tcPr>
          <w:p w14:paraId="4210E92A" w14:textId="77777777" w:rsidR="00D170E5" w:rsidRPr="002B55E9" w:rsidRDefault="00EF27AD">
            <w:pPr>
              <w:jc w:val="center"/>
              <w:rPr>
                <w:b/>
                <w:sz w:val="18"/>
              </w:rPr>
            </w:pPr>
            <w:r w:rsidRPr="002B55E9">
              <w:rPr>
                <w:rFonts w:hint="eastAsia"/>
                <w:b/>
                <w:sz w:val="18"/>
              </w:rPr>
              <w:t>拟发展主导产业细化</w:t>
            </w:r>
          </w:p>
        </w:tc>
      </w:tr>
      <w:tr w:rsidR="00C60999" w:rsidRPr="002B55E9" w14:paraId="5C7858A4" w14:textId="77777777">
        <w:trPr>
          <w:jc w:val="center"/>
        </w:trPr>
        <w:tc>
          <w:tcPr>
            <w:tcW w:w="1004" w:type="dxa"/>
            <w:vMerge w:val="restart"/>
            <w:tcBorders>
              <w:top w:val="single" w:sz="12" w:space="0" w:color="auto"/>
            </w:tcBorders>
            <w:vAlign w:val="center"/>
          </w:tcPr>
          <w:p w14:paraId="7B6FEB82" w14:textId="77777777" w:rsidR="00D170E5" w:rsidRPr="002B55E9" w:rsidRDefault="00EF27AD">
            <w:pPr>
              <w:jc w:val="center"/>
              <w:rPr>
                <w:sz w:val="18"/>
              </w:rPr>
            </w:pPr>
            <w:r w:rsidRPr="002B55E9">
              <w:rPr>
                <w:rFonts w:hint="eastAsia"/>
                <w:sz w:val="18"/>
              </w:rPr>
              <w:t>生物医疗</w:t>
            </w:r>
          </w:p>
        </w:tc>
        <w:tc>
          <w:tcPr>
            <w:tcW w:w="2255" w:type="dxa"/>
            <w:tcBorders>
              <w:top w:val="single" w:sz="12" w:space="0" w:color="auto"/>
            </w:tcBorders>
            <w:vAlign w:val="center"/>
          </w:tcPr>
          <w:p w14:paraId="0FAAD962" w14:textId="77777777" w:rsidR="00D170E5" w:rsidRPr="002B55E9" w:rsidRDefault="00EF27AD">
            <w:pPr>
              <w:jc w:val="center"/>
              <w:rPr>
                <w:sz w:val="18"/>
              </w:rPr>
            </w:pPr>
            <w:r w:rsidRPr="002B55E9">
              <w:rPr>
                <w:rFonts w:hint="eastAsia"/>
                <w:sz w:val="18"/>
              </w:rPr>
              <w:t>中成药</w:t>
            </w:r>
          </w:p>
        </w:tc>
        <w:tc>
          <w:tcPr>
            <w:tcW w:w="6378" w:type="dxa"/>
            <w:tcBorders>
              <w:top w:val="single" w:sz="12" w:space="0" w:color="auto"/>
            </w:tcBorders>
            <w:vAlign w:val="center"/>
          </w:tcPr>
          <w:p w14:paraId="28624185" w14:textId="77777777" w:rsidR="00D170E5" w:rsidRPr="002B55E9" w:rsidRDefault="00EF27AD">
            <w:pPr>
              <w:jc w:val="left"/>
            </w:pPr>
            <w:r w:rsidRPr="002B55E9">
              <w:rPr>
                <w:rFonts w:hint="eastAsia"/>
                <w:sz w:val="18"/>
              </w:rPr>
              <w:t>重点关注发展中成药生产</w:t>
            </w:r>
          </w:p>
        </w:tc>
      </w:tr>
      <w:tr w:rsidR="00C60999" w:rsidRPr="002B55E9" w14:paraId="35657DBC" w14:textId="77777777">
        <w:trPr>
          <w:jc w:val="center"/>
        </w:trPr>
        <w:tc>
          <w:tcPr>
            <w:tcW w:w="1004" w:type="dxa"/>
            <w:vMerge/>
            <w:vAlign w:val="center"/>
          </w:tcPr>
          <w:p w14:paraId="0FED76CE" w14:textId="77777777" w:rsidR="00D170E5" w:rsidRPr="002B55E9" w:rsidRDefault="00D170E5">
            <w:pPr>
              <w:jc w:val="center"/>
              <w:rPr>
                <w:sz w:val="18"/>
              </w:rPr>
            </w:pPr>
          </w:p>
        </w:tc>
        <w:tc>
          <w:tcPr>
            <w:tcW w:w="2255" w:type="dxa"/>
            <w:vAlign w:val="center"/>
          </w:tcPr>
          <w:p w14:paraId="23F36D8B" w14:textId="77777777" w:rsidR="00D170E5" w:rsidRPr="002B55E9" w:rsidRDefault="00EF27AD">
            <w:pPr>
              <w:jc w:val="center"/>
              <w:rPr>
                <w:sz w:val="18"/>
              </w:rPr>
            </w:pPr>
            <w:r w:rsidRPr="002B55E9">
              <w:rPr>
                <w:rFonts w:hint="eastAsia"/>
                <w:sz w:val="18"/>
              </w:rPr>
              <w:t>制剂药</w:t>
            </w:r>
          </w:p>
        </w:tc>
        <w:tc>
          <w:tcPr>
            <w:tcW w:w="6378" w:type="dxa"/>
            <w:vAlign w:val="center"/>
          </w:tcPr>
          <w:p w14:paraId="4CBE2385" w14:textId="77777777" w:rsidR="00D170E5" w:rsidRPr="002B55E9" w:rsidRDefault="00EF27AD">
            <w:pPr>
              <w:jc w:val="left"/>
              <w:rPr>
                <w:sz w:val="18"/>
              </w:rPr>
            </w:pPr>
            <w:r w:rsidRPr="002B55E9">
              <w:rPr>
                <w:rFonts w:hint="eastAsia"/>
                <w:sz w:val="18"/>
              </w:rPr>
              <w:t>重点发展生物药品制剂，如酶类生化制剂、氨基酸及蛋白质类制剂、血液制品制剂等</w:t>
            </w:r>
          </w:p>
        </w:tc>
      </w:tr>
      <w:tr w:rsidR="00C60999" w:rsidRPr="002B55E9" w14:paraId="496A3A58" w14:textId="77777777">
        <w:trPr>
          <w:trHeight w:val="60"/>
          <w:jc w:val="center"/>
        </w:trPr>
        <w:tc>
          <w:tcPr>
            <w:tcW w:w="1004" w:type="dxa"/>
            <w:vMerge/>
            <w:vAlign w:val="center"/>
          </w:tcPr>
          <w:p w14:paraId="119555AA" w14:textId="77777777" w:rsidR="00D170E5" w:rsidRPr="002B55E9" w:rsidRDefault="00D170E5">
            <w:pPr>
              <w:jc w:val="center"/>
              <w:rPr>
                <w:sz w:val="18"/>
              </w:rPr>
            </w:pPr>
          </w:p>
        </w:tc>
        <w:tc>
          <w:tcPr>
            <w:tcW w:w="2255" w:type="dxa"/>
            <w:vAlign w:val="center"/>
          </w:tcPr>
          <w:p w14:paraId="29040F5C" w14:textId="77777777" w:rsidR="00D170E5" w:rsidRPr="002B55E9" w:rsidRDefault="00EF27AD">
            <w:pPr>
              <w:jc w:val="center"/>
              <w:rPr>
                <w:sz w:val="18"/>
              </w:rPr>
            </w:pPr>
            <w:r w:rsidRPr="002B55E9">
              <w:rPr>
                <w:rFonts w:hint="eastAsia"/>
                <w:sz w:val="18"/>
              </w:rPr>
              <w:t>中药保健</w:t>
            </w:r>
          </w:p>
        </w:tc>
        <w:tc>
          <w:tcPr>
            <w:tcW w:w="6378" w:type="dxa"/>
            <w:vAlign w:val="center"/>
          </w:tcPr>
          <w:p w14:paraId="1BCE0388" w14:textId="77777777" w:rsidR="00D170E5" w:rsidRPr="002B55E9" w:rsidRDefault="00EF27AD">
            <w:pPr>
              <w:jc w:val="left"/>
              <w:rPr>
                <w:sz w:val="18"/>
              </w:rPr>
            </w:pPr>
            <w:r w:rsidRPr="002B55E9">
              <w:rPr>
                <w:rFonts w:hint="eastAsia"/>
                <w:sz w:val="18"/>
              </w:rPr>
              <w:t>重点发展中药养生、保健、美容等产品</w:t>
            </w:r>
          </w:p>
        </w:tc>
      </w:tr>
      <w:tr w:rsidR="00C60999" w:rsidRPr="002B55E9" w14:paraId="642C6E6B" w14:textId="77777777">
        <w:trPr>
          <w:jc w:val="center"/>
        </w:trPr>
        <w:tc>
          <w:tcPr>
            <w:tcW w:w="1004" w:type="dxa"/>
            <w:vMerge/>
            <w:vAlign w:val="center"/>
          </w:tcPr>
          <w:p w14:paraId="0B4D15D1" w14:textId="77777777" w:rsidR="00D170E5" w:rsidRPr="002B55E9" w:rsidRDefault="00D170E5">
            <w:pPr>
              <w:jc w:val="center"/>
              <w:rPr>
                <w:sz w:val="18"/>
              </w:rPr>
            </w:pPr>
          </w:p>
        </w:tc>
        <w:tc>
          <w:tcPr>
            <w:tcW w:w="2255" w:type="dxa"/>
            <w:vAlign w:val="center"/>
          </w:tcPr>
          <w:p w14:paraId="274AB038" w14:textId="77777777" w:rsidR="00D170E5" w:rsidRPr="002B55E9" w:rsidRDefault="00EF27AD">
            <w:pPr>
              <w:jc w:val="center"/>
              <w:rPr>
                <w:sz w:val="18"/>
              </w:rPr>
            </w:pPr>
            <w:r w:rsidRPr="002B55E9">
              <w:rPr>
                <w:rFonts w:hint="eastAsia"/>
                <w:sz w:val="18"/>
              </w:rPr>
              <w:t>生物疫苗</w:t>
            </w:r>
          </w:p>
        </w:tc>
        <w:tc>
          <w:tcPr>
            <w:tcW w:w="6378" w:type="dxa"/>
            <w:vAlign w:val="center"/>
          </w:tcPr>
          <w:p w14:paraId="77571E25" w14:textId="77777777" w:rsidR="00D170E5" w:rsidRPr="002B55E9" w:rsidRDefault="00EF27AD">
            <w:pPr>
              <w:autoSpaceDE w:val="0"/>
              <w:autoSpaceDN w:val="0"/>
              <w:adjustRightInd w:val="0"/>
              <w:jc w:val="left"/>
              <w:rPr>
                <w:sz w:val="18"/>
              </w:rPr>
            </w:pPr>
            <w:r w:rsidRPr="002B55E9">
              <w:rPr>
                <w:rFonts w:hint="eastAsia"/>
                <w:sz w:val="18"/>
              </w:rPr>
              <w:t>利用生物技术制备的分子水平的疫苗，包括基因工程疫苗、合成肽疫苗、抗独特性疫苗、基因工程活疫苗、</w:t>
            </w:r>
            <w:r w:rsidRPr="002B55E9">
              <w:rPr>
                <w:sz w:val="18"/>
              </w:rPr>
              <w:t>DNA</w:t>
            </w:r>
            <w:r w:rsidRPr="002B55E9">
              <w:rPr>
                <w:rFonts w:hint="eastAsia"/>
                <w:sz w:val="18"/>
              </w:rPr>
              <w:t>疫苗以及转基因植物疫苗等</w:t>
            </w:r>
          </w:p>
        </w:tc>
      </w:tr>
      <w:tr w:rsidR="00C60999" w:rsidRPr="002B55E9" w14:paraId="2C724C8A" w14:textId="77777777">
        <w:trPr>
          <w:jc w:val="center"/>
        </w:trPr>
        <w:tc>
          <w:tcPr>
            <w:tcW w:w="1004" w:type="dxa"/>
            <w:vMerge/>
            <w:vAlign w:val="center"/>
          </w:tcPr>
          <w:p w14:paraId="1794FE2D" w14:textId="77777777" w:rsidR="00D170E5" w:rsidRPr="002B55E9" w:rsidRDefault="00D170E5">
            <w:pPr>
              <w:jc w:val="center"/>
              <w:rPr>
                <w:sz w:val="18"/>
              </w:rPr>
            </w:pPr>
          </w:p>
        </w:tc>
        <w:tc>
          <w:tcPr>
            <w:tcW w:w="2255" w:type="dxa"/>
            <w:vAlign w:val="center"/>
          </w:tcPr>
          <w:p w14:paraId="49E7CF20" w14:textId="77777777" w:rsidR="00D170E5" w:rsidRPr="002B55E9" w:rsidRDefault="00EF27AD">
            <w:pPr>
              <w:jc w:val="center"/>
              <w:rPr>
                <w:sz w:val="18"/>
              </w:rPr>
            </w:pPr>
            <w:r w:rsidRPr="002B55E9">
              <w:rPr>
                <w:rFonts w:hint="eastAsia"/>
                <w:sz w:val="18"/>
              </w:rPr>
              <w:t>细胞治疗药物及体外诊断外包服务</w:t>
            </w:r>
          </w:p>
        </w:tc>
        <w:tc>
          <w:tcPr>
            <w:tcW w:w="6378" w:type="dxa"/>
            <w:vAlign w:val="center"/>
          </w:tcPr>
          <w:p w14:paraId="5D01E31A" w14:textId="77777777" w:rsidR="00D170E5" w:rsidRPr="002B55E9" w:rsidRDefault="00EF27AD">
            <w:pPr>
              <w:jc w:val="left"/>
              <w:rPr>
                <w:sz w:val="18"/>
              </w:rPr>
            </w:pPr>
            <w:r w:rsidRPr="002B55E9">
              <w:rPr>
                <w:rFonts w:hint="eastAsia"/>
                <w:sz w:val="18"/>
              </w:rPr>
              <w:t>发展细胞治疗类药物及体外诊断试剂制造</w:t>
            </w:r>
          </w:p>
        </w:tc>
      </w:tr>
      <w:tr w:rsidR="00C60999" w:rsidRPr="002B55E9" w14:paraId="53A3DBE3" w14:textId="77777777">
        <w:trPr>
          <w:jc w:val="center"/>
        </w:trPr>
        <w:tc>
          <w:tcPr>
            <w:tcW w:w="1004" w:type="dxa"/>
            <w:vMerge w:val="restart"/>
            <w:vAlign w:val="center"/>
          </w:tcPr>
          <w:p w14:paraId="37EF19C8" w14:textId="77777777" w:rsidR="00D170E5" w:rsidRPr="002B55E9" w:rsidRDefault="00EF27AD">
            <w:pPr>
              <w:jc w:val="center"/>
              <w:rPr>
                <w:sz w:val="18"/>
              </w:rPr>
            </w:pPr>
            <w:r w:rsidRPr="002B55E9">
              <w:rPr>
                <w:rFonts w:hint="eastAsia"/>
                <w:sz w:val="18"/>
              </w:rPr>
              <w:t>健康食品</w:t>
            </w:r>
          </w:p>
        </w:tc>
        <w:tc>
          <w:tcPr>
            <w:tcW w:w="2255" w:type="dxa"/>
            <w:vAlign w:val="center"/>
          </w:tcPr>
          <w:p w14:paraId="6ABCEAB7" w14:textId="77777777" w:rsidR="00D170E5" w:rsidRPr="002B55E9" w:rsidRDefault="00EF27AD">
            <w:pPr>
              <w:jc w:val="center"/>
              <w:rPr>
                <w:sz w:val="18"/>
              </w:rPr>
            </w:pPr>
            <w:r w:rsidRPr="002B55E9">
              <w:rPr>
                <w:rFonts w:hint="eastAsia"/>
                <w:sz w:val="18"/>
              </w:rPr>
              <w:t>健康保健食品研发与制造</w:t>
            </w:r>
          </w:p>
        </w:tc>
        <w:tc>
          <w:tcPr>
            <w:tcW w:w="6378" w:type="dxa"/>
            <w:vAlign w:val="center"/>
          </w:tcPr>
          <w:p w14:paraId="6C855F3F" w14:textId="77777777" w:rsidR="00D170E5" w:rsidRPr="002B55E9" w:rsidRDefault="00EF27AD">
            <w:pPr>
              <w:jc w:val="left"/>
              <w:rPr>
                <w:sz w:val="18"/>
              </w:rPr>
            </w:pPr>
            <w:r w:rsidRPr="002B55E9">
              <w:rPr>
                <w:rFonts w:hint="eastAsia"/>
                <w:sz w:val="18"/>
              </w:rPr>
              <w:t>重点发展保健食品的研发与制造</w:t>
            </w:r>
          </w:p>
        </w:tc>
      </w:tr>
      <w:tr w:rsidR="00C60999" w:rsidRPr="002B55E9" w14:paraId="39D41A5D" w14:textId="77777777">
        <w:trPr>
          <w:jc w:val="center"/>
        </w:trPr>
        <w:tc>
          <w:tcPr>
            <w:tcW w:w="1004" w:type="dxa"/>
            <w:vMerge/>
            <w:vAlign w:val="center"/>
          </w:tcPr>
          <w:p w14:paraId="503771CD" w14:textId="77777777" w:rsidR="00D170E5" w:rsidRPr="002B55E9" w:rsidRDefault="00D170E5">
            <w:pPr>
              <w:jc w:val="center"/>
              <w:rPr>
                <w:sz w:val="18"/>
              </w:rPr>
            </w:pPr>
          </w:p>
        </w:tc>
        <w:tc>
          <w:tcPr>
            <w:tcW w:w="2255" w:type="dxa"/>
            <w:vAlign w:val="center"/>
          </w:tcPr>
          <w:p w14:paraId="7A15933F" w14:textId="77777777" w:rsidR="00D170E5" w:rsidRPr="002B55E9" w:rsidRDefault="00EF27AD">
            <w:pPr>
              <w:jc w:val="center"/>
              <w:rPr>
                <w:sz w:val="18"/>
              </w:rPr>
            </w:pPr>
            <w:r w:rsidRPr="002B55E9">
              <w:rPr>
                <w:rFonts w:hint="eastAsia"/>
                <w:sz w:val="18"/>
              </w:rPr>
              <w:t>快销食品</w:t>
            </w:r>
          </w:p>
        </w:tc>
        <w:tc>
          <w:tcPr>
            <w:tcW w:w="6378" w:type="dxa"/>
            <w:vMerge w:val="restart"/>
            <w:vAlign w:val="center"/>
          </w:tcPr>
          <w:p w14:paraId="28BEC68F" w14:textId="77777777" w:rsidR="00D170E5" w:rsidRPr="002B55E9" w:rsidRDefault="00EF27AD">
            <w:pPr>
              <w:jc w:val="left"/>
              <w:rPr>
                <w:sz w:val="18"/>
              </w:rPr>
            </w:pPr>
            <w:r w:rsidRPr="002B55E9">
              <w:rPr>
                <w:rFonts w:hint="eastAsia"/>
                <w:sz w:val="18"/>
              </w:rPr>
              <w:t>健康饮料、软饮料、烘烤品、巧克力、冰淇淋、咖啡、肉菜水果加工品、乳品、瓶装水、品牌米面糖、</w:t>
            </w:r>
            <w:r w:rsidRPr="002B55E9">
              <w:rPr>
                <w:rFonts w:hint="eastAsia"/>
                <w:b/>
                <w:bCs/>
                <w:sz w:val="18"/>
              </w:rPr>
              <w:t>调味品</w:t>
            </w:r>
            <w:r w:rsidRPr="002B55E9">
              <w:rPr>
                <w:rFonts w:hint="eastAsia"/>
                <w:sz w:val="18"/>
              </w:rPr>
              <w:t>等行业组成。</w:t>
            </w:r>
          </w:p>
        </w:tc>
      </w:tr>
      <w:tr w:rsidR="00C60999" w:rsidRPr="002B55E9" w14:paraId="4C84958F" w14:textId="77777777">
        <w:trPr>
          <w:jc w:val="center"/>
        </w:trPr>
        <w:tc>
          <w:tcPr>
            <w:tcW w:w="1004" w:type="dxa"/>
            <w:vMerge/>
            <w:vAlign w:val="center"/>
          </w:tcPr>
          <w:p w14:paraId="19044764" w14:textId="77777777" w:rsidR="00D170E5" w:rsidRPr="002B55E9" w:rsidRDefault="00D170E5">
            <w:pPr>
              <w:jc w:val="center"/>
              <w:rPr>
                <w:sz w:val="18"/>
              </w:rPr>
            </w:pPr>
          </w:p>
        </w:tc>
        <w:tc>
          <w:tcPr>
            <w:tcW w:w="2255" w:type="dxa"/>
            <w:vAlign w:val="center"/>
          </w:tcPr>
          <w:p w14:paraId="5433867E" w14:textId="77777777" w:rsidR="00D170E5" w:rsidRPr="002B55E9" w:rsidRDefault="00EF27AD">
            <w:pPr>
              <w:jc w:val="center"/>
              <w:rPr>
                <w:sz w:val="18"/>
              </w:rPr>
            </w:pPr>
            <w:r w:rsidRPr="002B55E9">
              <w:rPr>
                <w:rFonts w:hint="eastAsia"/>
                <w:sz w:val="18"/>
              </w:rPr>
              <w:t>时尚休闲食品</w:t>
            </w:r>
          </w:p>
        </w:tc>
        <w:tc>
          <w:tcPr>
            <w:tcW w:w="6378" w:type="dxa"/>
            <w:vMerge/>
            <w:vAlign w:val="center"/>
          </w:tcPr>
          <w:p w14:paraId="57BB6E55" w14:textId="77777777" w:rsidR="00D170E5" w:rsidRPr="002B55E9" w:rsidRDefault="00D170E5">
            <w:pPr>
              <w:jc w:val="left"/>
              <w:rPr>
                <w:sz w:val="18"/>
              </w:rPr>
            </w:pPr>
          </w:p>
        </w:tc>
      </w:tr>
      <w:tr w:rsidR="00C60999" w:rsidRPr="002B55E9" w14:paraId="2E4C7E76" w14:textId="77777777">
        <w:trPr>
          <w:jc w:val="center"/>
        </w:trPr>
        <w:tc>
          <w:tcPr>
            <w:tcW w:w="1004" w:type="dxa"/>
            <w:vMerge/>
            <w:vAlign w:val="center"/>
          </w:tcPr>
          <w:p w14:paraId="156A7142" w14:textId="77777777" w:rsidR="00D170E5" w:rsidRPr="002B55E9" w:rsidRDefault="00D170E5">
            <w:pPr>
              <w:jc w:val="center"/>
              <w:rPr>
                <w:sz w:val="18"/>
              </w:rPr>
            </w:pPr>
          </w:p>
        </w:tc>
        <w:tc>
          <w:tcPr>
            <w:tcW w:w="2255" w:type="dxa"/>
            <w:vAlign w:val="center"/>
          </w:tcPr>
          <w:p w14:paraId="2F87B071" w14:textId="77777777" w:rsidR="00D170E5" w:rsidRPr="002B55E9" w:rsidRDefault="00EF27AD">
            <w:pPr>
              <w:jc w:val="center"/>
              <w:rPr>
                <w:sz w:val="18"/>
              </w:rPr>
            </w:pPr>
            <w:r w:rsidRPr="002B55E9">
              <w:rPr>
                <w:rFonts w:hint="eastAsia"/>
                <w:sz w:val="18"/>
              </w:rPr>
              <w:t>乳制品</w:t>
            </w:r>
          </w:p>
        </w:tc>
        <w:tc>
          <w:tcPr>
            <w:tcW w:w="6378" w:type="dxa"/>
            <w:vAlign w:val="center"/>
          </w:tcPr>
          <w:p w14:paraId="0388B320" w14:textId="77777777" w:rsidR="00D170E5" w:rsidRPr="002B55E9" w:rsidRDefault="00EF27AD">
            <w:pPr>
              <w:jc w:val="left"/>
              <w:rPr>
                <w:sz w:val="18"/>
              </w:rPr>
            </w:pPr>
            <w:r w:rsidRPr="002B55E9">
              <w:rPr>
                <w:rFonts w:hint="eastAsia"/>
                <w:sz w:val="18"/>
              </w:rPr>
              <w:t>重点发展乳制品制造</w:t>
            </w:r>
          </w:p>
        </w:tc>
      </w:tr>
    </w:tbl>
    <w:p w14:paraId="479C324F" w14:textId="3BAAA50E" w:rsidR="00D170E5" w:rsidRPr="002B55E9" w:rsidRDefault="00EF27AD">
      <w:pPr>
        <w:pStyle w:val="affffffffffffffffff5"/>
        <w:spacing w:beforeLines="0" w:before="0"/>
        <w:rPr>
          <w:rFonts w:eastAsia="宋体"/>
        </w:rPr>
      </w:pPr>
      <w:r w:rsidRPr="002B55E9">
        <w:rPr>
          <w:rFonts w:eastAsia="宋体"/>
        </w:rPr>
        <w:lastRenderedPageBreak/>
        <w:t>表</w:t>
      </w:r>
      <w:r w:rsidR="005C3EBC" w:rsidRPr="002B55E9">
        <w:rPr>
          <w:rFonts w:eastAsia="宋体"/>
        </w:rPr>
        <w:t>9-2-4</w:t>
      </w:r>
      <w:r w:rsidRPr="002B55E9">
        <w:rPr>
          <w:rFonts w:eastAsia="宋体"/>
        </w:rPr>
        <w:t xml:space="preserve">  </w:t>
      </w:r>
      <w:r w:rsidRPr="002B55E9">
        <w:rPr>
          <w:rFonts w:eastAsia="宋体" w:hint="eastAsia"/>
        </w:rPr>
        <w:t>环境准入负面清单</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6"/>
        <w:gridCol w:w="842"/>
        <w:gridCol w:w="4260"/>
        <w:gridCol w:w="1985"/>
        <w:gridCol w:w="2091"/>
      </w:tblGrid>
      <w:tr w:rsidR="00C60999" w:rsidRPr="002B55E9" w14:paraId="00A0B747" w14:textId="77777777">
        <w:trPr>
          <w:trHeight w:val="530"/>
          <w:jc w:val="center"/>
        </w:trPr>
        <w:tc>
          <w:tcPr>
            <w:tcW w:w="676" w:type="dxa"/>
            <w:tcBorders>
              <w:top w:val="single" w:sz="12" w:space="0" w:color="auto"/>
              <w:left w:val="nil"/>
              <w:bottom w:val="single" w:sz="4" w:space="0" w:color="auto"/>
              <w:right w:val="single" w:sz="4" w:space="0" w:color="auto"/>
            </w:tcBorders>
            <w:vAlign w:val="center"/>
          </w:tcPr>
          <w:p w14:paraId="4E42D871" w14:textId="77777777" w:rsidR="00D170E5" w:rsidRPr="002B55E9" w:rsidRDefault="00EF27AD">
            <w:pPr>
              <w:pStyle w:val="my"/>
              <w:adjustRightInd w:val="0"/>
              <w:snapToGrid w:val="0"/>
              <w:spacing w:before="0" w:line="240" w:lineRule="auto"/>
              <w:ind w:firstLineChars="0" w:firstLine="0"/>
              <w:jc w:val="center"/>
              <w:rPr>
                <w:rFonts w:eastAsia="新宋体"/>
                <w:b/>
                <w:bCs/>
                <w:sz w:val="18"/>
                <w:szCs w:val="18"/>
              </w:rPr>
            </w:pPr>
            <w:r w:rsidRPr="002B55E9">
              <w:rPr>
                <w:rFonts w:eastAsia="新宋体" w:hint="eastAsia"/>
                <w:b/>
                <w:bCs/>
                <w:sz w:val="18"/>
                <w:szCs w:val="18"/>
              </w:rPr>
              <w:t>管控要求</w:t>
            </w:r>
          </w:p>
        </w:tc>
        <w:tc>
          <w:tcPr>
            <w:tcW w:w="842" w:type="dxa"/>
            <w:tcBorders>
              <w:top w:val="single" w:sz="12" w:space="0" w:color="auto"/>
              <w:left w:val="nil"/>
              <w:bottom w:val="single" w:sz="12" w:space="0" w:color="auto"/>
              <w:right w:val="single" w:sz="4" w:space="0" w:color="auto"/>
            </w:tcBorders>
            <w:vAlign w:val="center"/>
          </w:tcPr>
          <w:p w14:paraId="7576356C" w14:textId="77777777" w:rsidR="00D170E5" w:rsidRPr="002B55E9" w:rsidRDefault="00EF27AD">
            <w:pPr>
              <w:pStyle w:val="my"/>
              <w:adjustRightInd w:val="0"/>
              <w:snapToGrid w:val="0"/>
              <w:spacing w:before="0" w:line="240" w:lineRule="auto"/>
              <w:ind w:firstLineChars="0" w:firstLine="0"/>
              <w:jc w:val="center"/>
              <w:rPr>
                <w:rFonts w:eastAsia="新宋体"/>
                <w:b/>
                <w:bCs/>
                <w:sz w:val="18"/>
                <w:szCs w:val="18"/>
              </w:rPr>
            </w:pPr>
            <w:r w:rsidRPr="002B55E9">
              <w:rPr>
                <w:rFonts w:eastAsia="新宋体" w:hint="eastAsia"/>
                <w:b/>
                <w:bCs/>
                <w:sz w:val="18"/>
                <w:szCs w:val="18"/>
              </w:rPr>
              <w:t>规划区</w:t>
            </w:r>
          </w:p>
        </w:tc>
        <w:tc>
          <w:tcPr>
            <w:tcW w:w="4260" w:type="dxa"/>
            <w:tcBorders>
              <w:top w:val="single" w:sz="12" w:space="0" w:color="auto"/>
              <w:left w:val="nil"/>
              <w:bottom w:val="single" w:sz="12" w:space="0" w:color="000000"/>
              <w:right w:val="single" w:sz="4" w:space="0" w:color="auto"/>
            </w:tcBorders>
            <w:vAlign w:val="center"/>
          </w:tcPr>
          <w:p w14:paraId="52EC7049" w14:textId="77777777" w:rsidR="00D170E5" w:rsidRPr="002B55E9" w:rsidRDefault="00EF27AD">
            <w:pPr>
              <w:pStyle w:val="my"/>
              <w:adjustRightInd w:val="0"/>
              <w:snapToGrid w:val="0"/>
              <w:spacing w:before="0" w:line="240" w:lineRule="auto"/>
              <w:ind w:firstLineChars="0" w:firstLine="0"/>
              <w:jc w:val="center"/>
              <w:rPr>
                <w:rFonts w:eastAsia="新宋体"/>
                <w:b/>
                <w:bCs/>
                <w:sz w:val="18"/>
                <w:szCs w:val="18"/>
              </w:rPr>
            </w:pPr>
            <w:r w:rsidRPr="002B55E9">
              <w:rPr>
                <w:rFonts w:eastAsia="新宋体" w:hint="eastAsia"/>
                <w:b/>
                <w:bCs/>
                <w:sz w:val="18"/>
                <w:szCs w:val="18"/>
              </w:rPr>
              <w:t>行业清单</w:t>
            </w:r>
          </w:p>
        </w:tc>
        <w:tc>
          <w:tcPr>
            <w:tcW w:w="1985" w:type="dxa"/>
            <w:tcBorders>
              <w:top w:val="single" w:sz="12" w:space="0" w:color="auto"/>
              <w:left w:val="nil"/>
              <w:bottom w:val="single" w:sz="12" w:space="0" w:color="000000"/>
              <w:right w:val="single" w:sz="4" w:space="0" w:color="auto"/>
            </w:tcBorders>
            <w:vAlign w:val="center"/>
          </w:tcPr>
          <w:p w14:paraId="539C8AB1" w14:textId="77777777" w:rsidR="00D170E5" w:rsidRPr="002B55E9" w:rsidRDefault="00EF27AD">
            <w:pPr>
              <w:pStyle w:val="my"/>
              <w:adjustRightInd w:val="0"/>
              <w:snapToGrid w:val="0"/>
              <w:spacing w:before="0" w:line="240" w:lineRule="auto"/>
              <w:ind w:firstLineChars="0" w:firstLine="0"/>
              <w:jc w:val="center"/>
              <w:rPr>
                <w:rFonts w:eastAsia="新宋体"/>
                <w:b/>
                <w:bCs/>
                <w:sz w:val="18"/>
                <w:szCs w:val="18"/>
              </w:rPr>
            </w:pPr>
            <w:r w:rsidRPr="002B55E9">
              <w:rPr>
                <w:rFonts w:eastAsia="新宋体" w:hint="eastAsia"/>
                <w:b/>
                <w:bCs/>
                <w:sz w:val="18"/>
                <w:szCs w:val="18"/>
              </w:rPr>
              <w:t>工艺清单</w:t>
            </w:r>
          </w:p>
        </w:tc>
        <w:tc>
          <w:tcPr>
            <w:tcW w:w="2091" w:type="dxa"/>
            <w:tcBorders>
              <w:top w:val="single" w:sz="12" w:space="0" w:color="auto"/>
              <w:left w:val="nil"/>
              <w:bottom w:val="single" w:sz="12" w:space="0" w:color="000000"/>
              <w:right w:val="nil"/>
            </w:tcBorders>
            <w:vAlign w:val="center"/>
          </w:tcPr>
          <w:p w14:paraId="378190E7" w14:textId="77777777" w:rsidR="00D170E5" w:rsidRPr="002B55E9" w:rsidRDefault="00EF27AD">
            <w:pPr>
              <w:pStyle w:val="my"/>
              <w:adjustRightInd w:val="0"/>
              <w:snapToGrid w:val="0"/>
              <w:spacing w:before="0" w:line="240" w:lineRule="auto"/>
              <w:ind w:firstLineChars="0" w:firstLine="0"/>
              <w:jc w:val="center"/>
              <w:rPr>
                <w:rFonts w:eastAsia="新宋体"/>
                <w:b/>
                <w:bCs/>
                <w:sz w:val="18"/>
                <w:szCs w:val="18"/>
              </w:rPr>
            </w:pPr>
            <w:r w:rsidRPr="002B55E9">
              <w:rPr>
                <w:rFonts w:eastAsia="新宋体" w:hint="eastAsia"/>
                <w:b/>
                <w:bCs/>
                <w:sz w:val="18"/>
                <w:szCs w:val="18"/>
              </w:rPr>
              <w:t>制定依据</w:t>
            </w:r>
          </w:p>
        </w:tc>
      </w:tr>
      <w:tr w:rsidR="00C60999" w:rsidRPr="002B55E9" w14:paraId="49CAB56E" w14:textId="77777777">
        <w:trPr>
          <w:trHeight w:val="23"/>
          <w:jc w:val="center"/>
        </w:trPr>
        <w:tc>
          <w:tcPr>
            <w:tcW w:w="676" w:type="dxa"/>
            <w:vMerge w:val="restart"/>
            <w:tcBorders>
              <w:top w:val="single" w:sz="12" w:space="0" w:color="auto"/>
              <w:left w:val="nil"/>
              <w:right w:val="single" w:sz="4" w:space="0" w:color="auto"/>
            </w:tcBorders>
            <w:vAlign w:val="center"/>
          </w:tcPr>
          <w:p w14:paraId="30A3CB9A" w14:textId="77777777" w:rsidR="00D170E5" w:rsidRPr="002B55E9" w:rsidRDefault="00EF27AD">
            <w:pPr>
              <w:pStyle w:val="my"/>
              <w:adjustRightInd w:val="0"/>
              <w:snapToGrid w:val="0"/>
              <w:spacing w:before="0" w:line="240" w:lineRule="auto"/>
              <w:ind w:firstLineChars="0" w:firstLine="0"/>
              <w:jc w:val="center"/>
              <w:rPr>
                <w:rFonts w:eastAsia="新宋体"/>
                <w:sz w:val="18"/>
                <w:szCs w:val="18"/>
              </w:rPr>
            </w:pPr>
            <w:r w:rsidRPr="002B55E9">
              <w:rPr>
                <w:rFonts w:eastAsia="新宋体" w:hint="eastAsia"/>
                <w:sz w:val="18"/>
                <w:szCs w:val="18"/>
              </w:rPr>
              <w:t>禁止准入</w:t>
            </w:r>
          </w:p>
        </w:tc>
        <w:tc>
          <w:tcPr>
            <w:tcW w:w="842" w:type="dxa"/>
            <w:tcBorders>
              <w:top w:val="single" w:sz="12" w:space="0" w:color="auto"/>
              <w:left w:val="single" w:sz="4" w:space="0" w:color="auto"/>
              <w:bottom w:val="single" w:sz="4" w:space="0" w:color="auto"/>
              <w:right w:val="single" w:sz="4" w:space="0" w:color="auto"/>
            </w:tcBorders>
            <w:vAlign w:val="center"/>
          </w:tcPr>
          <w:p w14:paraId="16C69E41" w14:textId="77777777" w:rsidR="00D170E5" w:rsidRPr="002B55E9" w:rsidRDefault="00EF27AD">
            <w:pPr>
              <w:pStyle w:val="my"/>
              <w:adjustRightInd w:val="0"/>
              <w:snapToGrid w:val="0"/>
              <w:spacing w:before="0" w:line="240" w:lineRule="auto"/>
              <w:ind w:firstLineChars="0" w:firstLine="0"/>
              <w:jc w:val="center"/>
              <w:rPr>
                <w:rFonts w:eastAsia="新宋体"/>
                <w:bCs/>
                <w:snapToGrid w:val="0"/>
                <w:sz w:val="18"/>
                <w:szCs w:val="18"/>
              </w:rPr>
            </w:pPr>
            <w:r w:rsidRPr="002B55E9">
              <w:rPr>
                <w:rFonts w:eastAsia="新宋体" w:hint="eastAsia"/>
                <w:sz w:val="18"/>
                <w:szCs w:val="18"/>
              </w:rPr>
              <w:t>总体要求</w:t>
            </w:r>
          </w:p>
        </w:tc>
        <w:tc>
          <w:tcPr>
            <w:tcW w:w="4260" w:type="dxa"/>
            <w:tcBorders>
              <w:top w:val="single" w:sz="12" w:space="0" w:color="auto"/>
              <w:left w:val="nil"/>
              <w:bottom w:val="single" w:sz="4" w:space="0" w:color="auto"/>
              <w:right w:val="single" w:sz="4" w:space="0" w:color="auto"/>
            </w:tcBorders>
            <w:vAlign w:val="center"/>
          </w:tcPr>
          <w:p w14:paraId="5CB1D148" w14:textId="77777777" w:rsidR="00D170E5" w:rsidRPr="002B55E9" w:rsidRDefault="00EF27AD">
            <w:pPr>
              <w:adjustRightInd w:val="0"/>
              <w:snapToGrid w:val="0"/>
              <w:rPr>
                <w:sz w:val="18"/>
                <w:szCs w:val="18"/>
              </w:rPr>
            </w:pPr>
            <w:r w:rsidRPr="002B55E9">
              <w:rPr>
                <w:sz w:val="18"/>
                <w:szCs w:val="18"/>
              </w:rPr>
              <w:t>1</w:t>
            </w:r>
            <w:r w:rsidRPr="002B55E9">
              <w:rPr>
                <w:rFonts w:hint="eastAsia"/>
                <w:sz w:val="18"/>
                <w:szCs w:val="18"/>
              </w:rPr>
              <w:t>、禁止建设国家产业政策明令禁止或淘汰的项目，及工艺设备落后，产品落后、产能过剩、污染严重，且污染物不能有效治理的项目；</w:t>
            </w:r>
          </w:p>
          <w:p w14:paraId="2CB6990D" w14:textId="77777777" w:rsidR="00D170E5" w:rsidRPr="002B55E9" w:rsidRDefault="00EF27AD">
            <w:pPr>
              <w:adjustRightInd w:val="0"/>
              <w:snapToGrid w:val="0"/>
              <w:rPr>
                <w:sz w:val="18"/>
                <w:szCs w:val="18"/>
              </w:rPr>
            </w:pPr>
            <w:r w:rsidRPr="002B55E9">
              <w:rPr>
                <w:sz w:val="18"/>
                <w:szCs w:val="18"/>
              </w:rPr>
              <w:t>2</w:t>
            </w:r>
            <w:r w:rsidRPr="002B55E9">
              <w:rPr>
                <w:rFonts w:hint="eastAsia"/>
                <w:sz w:val="18"/>
                <w:szCs w:val="18"/>
              </w:rPr>
              <w:t>、禁止建设不符合园区产业规划或与主导产业上下游无关的项目；</w:t>
            </w:r>
          </w:p>
          <w:p w14:paraId="741A5A71" w14:textId="77777777" w:rsidR="00D170E5" w:rsidRPr="002B55E9" w:rsidRDefault="00EF27AD">
            <w:pPr>
              <w:adjustRightInd w:val="0"/>
              <w:snapToGrid w:val="0"/>
              <w:rPr>
                <w:sz w:val="18"/>
                <w:szCs w:val="18"/>
              </w:rPr>
            </w:pPr>
            <w:r w:rsidRPr="002B55E9">
              <w:rPr>
                <w:sz w:val="18"/>
                <w:szCs w:val="18"/>
              </w:rPr>
              <w:t>3</w:t>
            </w:r>
            <w:r w:rsidRPr="002B55E9">
              <w:rPr>
                <w:rFonts w:hint="eastAsia"/>
                <w:sz w:val="18"/>
                <w:szCs w:val="18"/>
              </w:rPr>
              <w:t>、禁止新建生产《环境保护综合名录（</w:t>
            </w:r>
            <w:r w:rsidRPr="002B55E9">
              <w:rPr>
                <w:sz w:val="18"/>
                <w:szCs w:val="18"/>
              </w:rPr>
              <w:t>2017</w:t>
            </w:r>
            <w:r w:rsidRPr="002B55E9">
              <w:rPr>
                <w:rFonts w:hint="eastAsia"/>
                <w:sz w:val="18"/>
                <w:szCs w:val="18"/>
              </w:rPr>
              <w:t>年版）》、《环境保护综合名录（</w:t>
            </w:r>
            <w:r w:rsidRPr="002B55E9">
              <w:rPr>
                <w:sz w:val="18"/>
                <w:szCs w:val="18"/>
              </w:rPr>
              <w:t xml:space="preserve">2020 </w:t>
            </w:r>
            <w:r w:rsidRPr="002B55E9">
              <w:rPr>
                <w:rFonts w:hint="eastAsia"/>
                <w:sz w:val="18"/>
                <w:szCs w:val="18"/>
              </w:rPr>
              <w:t>年新增部分）（征求意见稿）》中</w:t>
            </w:r>
            <w:r w:rsidRPr="002B55E9">
              <w:rPr>
                <w:sz w:val="18"/>
                <w:szCs w:val="18"/>
              </w:rPr>
              <w:t>“</w:t>
            </w:r>
            <w:r w:rsidRPr="002B55E9">
              <w:rPr>
                <w:rFonts w:hint="eastAsia"/>
                <w:sz w:val="18"/>
                <w:szCs w:val="18"/>
              </w:rPr>
              <w:t>高污染、高环境风险</w:t>
            </w:r>
            <w:r w:rsidRPr="002B55E9">
              <w:rPr>
                <w:sz w:val="18"/>
                <w:szCs w:val="18"/>
              </w:rPr>
              <w:t>”</w:t>
            </w:r>
            <w:r w:rsidRPr="002B55E9">
              <w:rPr>
                <w:rFonts w:hint="eastAsia"/>
                <w:sz w:val="18"/>
                <w:szCs w:val="18"/>
              </w:rPr>
              <w:t>产品的项目。</w:t>
            </w:r>
          </w:p>
          <w:p w14:paraId="320C8F45" w14:textId="77777777" w:rsidR="00D170E5" w:rsidRPr="002B55E9" w:rsidRDefault="00EF27AD">
            <w:pPr>
              <w:adjustRightInd w:val="0"/>
              <w:snapToGrid w:val="0"/>
              <w:rPr>
                <w:sz w:val="18"/>
                <w:szCs w:val="18"/>
              </w:rPr>
            </w:pPr>
            <w:r w:rsidRPr="002B55E9">
              <w:rPr>
                <w:sz w:val="18"/>
                <w:szCs w:val="18"/>
              </w:rPr>
              <w:t>4</w:t>
            </w:r>
            <w:r w:rsidRPr="002B55E9">
              <w:rPr>
                <w:rFonts w:hint="eastAsia"/>
                <w:sz w:val="18"/>
                <w:szCs w:val="18"/>
              </w:rPr>
              <w:t>、禁止建设列入国家禁止供地和限制供地目录的项目，以及不符合用地规划的项目。</w:t>
            </w:r>
          </w:p>
          <w:p w14:paraId="26E12B66" w14:textId="77777777" w:rsidR="00D170E5" w:rsidRPr="002B55E9" w:rsidRDefault="00EF27AD">
            <w:pPr>
              <w:adjustRightInd w:val="0"/>
              <w:snapToGrid w:val="0"/>
              <w:rPr>
                <w:sz w:val="18"/>
                <w:szCs w:val="18"/>
              </w:rPr>
            </w:pPr>
            <w:r w:rsidRPr="002B55E9">
              <w:rPr>
                <w:sz w:val="18"/>
                <w:szCs w:val="18"/>
              </w:rPr>
              <w:t>5</w:t>
            </w:r>
            <w:r w:rsidRPr="002B55E9">
              <w:rPr>
                <w:rFonts w:hint="eastAsia"/>
                <w:sz w:val="18"/>
                <w:szCs w:val="18"/>
              </w:rPr>
              <w:t>、禁止引入涉及化学反应工序的化学药品制剂制造和化学药品原料药制造等的项目。</w:t>
            </w:r>
          </w:p>
          <w:p w14:paraId="274AC006" w14:textId="77777777" w:rsidR="00D170E5" w:rsidRPr="002B55E9" w:rsidRDefault="00EF27AD">
            <w:pPr>
              <w:adjustRightInd w:val="0"/>
              <w:snapToGrid w:val="0"/>
              <w:rPr>
                <w:sz w:val="18"/>
                <w:szCs w:val="18"/>
              </w:rPr>
            </w:pPr>
            <w:r w:rsidRPr="002B55E9">
              <w:rPr>
                <w:rFonts w:hint="eastAsia"/>
                <w:sz w:val="18"/>
                <w:szCs w:val="18"/>
              </w:rPr>
              <w:t>6</w:t>
            </w:r>
            <w:r w:rsidRPr="002B55E9">
              <w:rPr>
                <w:rFonts w:hint="eastAsia"/>
                <w:sz w:val="18"/>
                <w:szCs w:val="18"/>
              </w:rPr>
              <w:t>、禁止在防护绿带、企业大气环境防护距离或卫生防护距离内新建居民、学校、医院等敏感点。</w:t>
            </w:r>
          </w:p>
        </w:tc>
        <w:tc>
          <w:tcPr>
            <w:tcW w:w="1985" w:type="dxa"/>
            <w:tcBorders>
              <w:top w:val="single" w:sz="12" w:space="0" w:color="auto"/>
              <w:left w:val="nil"/>
              <w:bottom w:val="single" w:sz="4" w:space="0" w:color="auto"/>
              <w:right w:val="single" w:sz="4" w:space="0" w:color="auto"/>
            </w:tcBorders>
            <w:vAlign w:val="center"/>
          </w:tcPr>
          <w:p w14:paraId="79B56318" w14:textId="77777777" w:rsidR="00D170E5" w:rsidRPr="002B55E9" w:rsidRDefault="00EF27AD">
            <w:pPr>
              <w:adjustRightInd w:val="0"/>
              <w:snapToGrid w:val="0"/>
              <w:rPr>
                <w:sz w:val="18"/>
                <w:szCs w:val="18"/>
              </w:rPr>
            </w:pPr>
            <w:r w:rsidRPr="002B55E9">
              <w:rPr>
                <w:sz w:val="18"/>
                <w:szCs w:val="18"/>
              </w:rPr>
              <w:t>1</w:t>
            </w:r>
            <w:r w:rsidRPr="002B55E9">
              <w:rPr>
                <w:rFonts w:hint="eastAsia"/>
                <w:sz w:val="18"/>
                <w:szCs w:val="18"/>
              </w:rPr>
              <w:t>、禁止新建项目生产工艺、环保设施和清洁生产标准低于国内先进水平的项目。</w:t>
            </w:r>
          </w:p>
          <w:p w14:paraId="3EA78369" w14:textId="77777777" w:rsidR="00D170E5" w:rsidRPr="002B55E9" w:rsidRDefault="00EF27AD">
            <w:pPr>
              <w:adjustRightInd w:val="0"/>
              <w:snapToGrid w:val="0"/>
              <w:rPr>
                <w:sz w:val="18"/>
                <w:szCs w:val="18"/>
              </w:rPr>
            </w:pPr>
            <w:r w:rsidRPr="002B55E9">
              <w:rPr>
                <w:sz w:val="18"/>
                <w:szCs w:val="18"/>
              </w:rPr>
              <w:t>2</w:t>
            </w:r>
            <w:r w:rsidRPr="002B55E9">
              <w:rPr>
                <w:rFonts w:hint="eastAsia"/>
                <w:sz w:val="18"/>
                <w:szCs w:val="18"/>
              </w:rPr>
              <w:t>、禁止新建燃煤锅炉。</w:t>
            </w:r>
          </w:p>
        </w:tc>
        <w:tc>
          <w:tcPr>
            <w:tcW w:w="2091" w:type="dxa"/>
            <w:tcBorders>
              <w:top w:val="single" w:sz="12" w:space="0" w:color="auto"/>
              <w:left w:val="nil"/>
              <w:bottom w:val="single" w:sz="4" w:space="0" w:color="auto"/>
              <w:right w:val="nil"/>
            </w:tcBorders>
            <w:vAlign w:val="center"/>
          </w:tcPr>
          <w:p w14:paraId="3B691801" w14:textId="77777777" w:rsidR="00D170E5" w:rsidRPr="002B55E9" w:rsidRDefault="00EF27AD">
            <w:pPr>
              <w:adjustRightInd w:val="0"/>
              <w:snapToGrid w:val="0"/>
              <w:jc w:val="center"/>
              <w:rPr>
                <w:sz w:val="18"/>
                <w:szCs w:val="18"/>
              </w:rPr>
            </w:pPr>
            <w:r w:rsidRPr="002B55E9">
              <w:rPr>
                <w:rFonts w:hint="eastAsia"/>
                <w:sz w:val="18"/>
                <w:szCs w:val="18"/>
              </w:rPr>
              <w:t>《淘汰落后生产能力、工艺和产品的目录》、《产业结构调整指导目录（</w:t>
            </w:r>
            <w:r w:rsidRPr="002B55E9">
              <w:rPr>
                <w:sz w:val="18"/>
                <w:szCs w:val="18"/>
              </w:rPr>
              <w:t>2019</w:t>
            </w:r>
            <w:r w:rsidRPr="002B55E9">
              <w:rPr>
                <w:rFonts w:hint="eastAsia"/>
                <w:sz w:val="18"/>
                <w:szCs w:val="18"/>
              </w:rPr>
              <w:t>年本）》、《打赢蓝天保卫战三年行动计划》、《</w:t>
            </w:r>
            <w:r w:rsidRPr="002B55E9">
              <w:rPr>
                <w:rFonts w:hint="eastAsia"/>
                <w:bCs/>
                <w:sz w:val="18"/>
                <w:szCs w:val="18"/>
              </w:rPr>
              <w:t>武汉市</w:t>
            </w:r>
            <w:r w:rsidRPr="002B55E9">
              <w:rPr>
                <w:bCs/>
                <w:sz w:val="18"/>
                <w:szCs w:val="18"/>
              </w:rPr>
              <w:t>2020</w:t>
            </w:r>
            <w:r w:rsidRPr="002B55E9">
              <w:rPr>
                <w:rFonts w:hint="eastAsia"/>
                <w:bCs/>
                <w:sz w:val="18"/>
                <w:szCs w:val="18"/>
              </w:rPr>
              <w:t>年大气污染防治工作方案</w:t>
            </w:r>
            <w:r w:rsidRPr="002B55E9">
              <w:rPr>
                <w:rFonts w:hint="eastAsia"/>
                <w:sz w:val="18"/>
                <w:szCs w:val="18"/>
              </w:rPr>
              <w:t>》、《湖北长江经济带发展负面清单实施细则（试行）》、《武汉市水污染防治行动计划工作方案（</w:t>
            </w:r>
            <w:r w:rsidRPr="002B55E9">
              <w:rPr>
                <w:sz w:val="18"/>
                <w:szCs w:val="18"/>
              </w:rPr>
              <w:t>2016</w:t>
            </w:r>
            <w:r w:rsidRPr="002B55E9">
              <w:rPr>
                <w:rFonts w:hint="eastAsia"/>
                <w:sz w:val="18"/>
                <w:szCs w:val="18"/>
              </w:rPr>
              <w:t>—</w:t>
            </w:r>
            <w:r w:rsidRPr="002B55E9">
              <w:rPr>
                <w:sz w:val="18"/>
                <w:szCs w:val="18"/>
              </w:rPr>
              <w:t>2020</w:t>
            </w:r>
            <w:r w:rsidRPr="002B55E9">
              <w:rPr>
                <w:rFonts w:hint="eastAsia"/>
                <w:sz w:val="18"/>
                <w:szCs w:val="18"/>
              </w:rPr>
              <w:t>年）》</w:t>
            </w:r>
          </w:p>
        </w:tc>
      </w:tr>
      <w:tr w:rsidR="00C60999" w:rsidRPr="002B55E9" w14:paraId="207EA56B" w14:textId="77777777">
        <w:trPr>
          <w:trHeight w:val="23"/>
          <w:jc w:val="center"/>
        </w:trPr>
        <w:tc>
          <w:tcPr>
            <w:tcW w:w="676" w:type="dxa"/>
            <w:vMerge/>
            <w:tcBorders>
              <w:left w:val="nil"/>
              <w:right w:val="single" w:sz="4" w:space="0" w:color="auto"/>
            </w:tcBorders>
            <w:vAlign w:val="center"/>
          </w:tcPr>
          <w:p w14:paraId="009F195A" w14:textId="77777777" w:rsidR="00D170E5" w:rsidRPr="002B55E9" w:rsidRDefault="00D170E5">
            <w:pPr>
              <w:pStyle w:val="my"/>
              <w:adjustRightInd w:val="0"/>
              <w:snapToGrid w:val="0"/>
              <w:spacing w:before="0" w:line="240" w:lineRule="auto"/>
              <w:ind w:firstLineChars="0" w:firstLine="0"/>
              <w:jc w:val="center"/>
              <w:rPr>
                <w:rFonts w:eastAsia="新宋体"/>
                <w:sz w:val="18"/>
                <w:szCs w:val="18"/>
              </w:rPr>
            </w:pPr>
          </w:p>
        </w:tc>
        <w:tc>
          <w:tcPr>
            <w:tcW w:w="842" w:type="dxa"/>
            <w:tcBorders>
              <w:top w:val="single" w:sz="4" w:space="0" w:color="auto"/>
              <w:left w:val="single" w:sz="4" w:space="0" w:color="auto"/>
              <w:bottom w:val="single" w:sz="4" w:space="0" w:color="auto"/>
              <w:right w:val="single" w:sz="4" w:space="0" w:color="auto"/>
            </w:tcBorders>
            <w:vAlign w:val="center"/>
          </w:tcPr>
          <w:p w14:paraId="729C43BF" w14:textId="77777777" w:rsidR="00D170E5" w:rsidRPr="002B55E9" w:rsidRDefault="00EF27AD">
            <w:pPr>
              <w:pStyle w:val="my"/>
              <w:adjustRightInd w:val="0"/>
              <w:snapToGrid w:val="0"/>
              <w:spacing w:before="0" w:line="240" w:lineRule="auto"/>
              <w:ind w:firstLineChars="0" w:firstLine="0"/>
              <w:jc w:val="center"/>
              <w:rPr>
                <w:rFonts w:eastAsia="新宋体"/>
                <w:bCs/>
                <w:snapToGrid w:val="0"/>
                <w:sz w:val="18"/>
                <w:szCs w:val="18"/>
              </w:rPr>
            </w:pPr>
            <w:r w:rsidRPr="002B55E9">
              <w:rPr>
                <w:rFonts w:eastAsia="新宋体" w:hint="eastAsia"/>
                <w:sz w:val="18"/>
                <w:szCs w:val="18"/>
              </w:rPr>
              <w:t>生物医疗</w:t>
            </w:r>
          </w:p>
        </w:tc>
        <w:tc>
          <w:tcPr>
            <w:tcW w:w="4260" w:type="dxa"/>
            <w:tcBorders>
              <w:top w:val="single" w:sz="4" w:space="0" w:color="auto"/>
              <w:left w:val="nil"/>
              <w:bottom w:val="single" w:sz="4" w:space="0" w:color="auto"/>
              <w:right w:val="single" w:sz="4" w:space="0" w:color="auto"/>
            </w:tcBorders>
            <w:vAlign w:val="center"/>
          </w:tcPr>
          <w:p w14:paraId="6FDFDD1D" w14:textId="77777777" w:rsidR="00D170E5" w:rsidRPr="002B55E9" w:rsidRDefault="00EF27AD">
            <w:pPr>
              <w:adjustRightInd w:val="0"/>
              <w:snapToGrid w:val="0"/>
              <w:rPr>
                <w:sz w:val="18"/>
                <w:szCs w:val="18"/>
              </w:rPr>
            </w:pPr>
            <w:r w:rsidRPr="002B55E9">
              <w:rPr>
                <w:sz w:val="18"/>
                <w:szCs w:val="18"/>
              </w:rPr>
              <w:t>1</w:t>
            </w:r>
            <w:r w:rsidRPr="002B55E9">
              <w:rPr>
                <w:rFonts w:hint="eastAsia"/>
                <w:sz w:val="18"/>
                <w:szCs w:val="18"/>
              </w:rPr>
              <w:t>、禁止新建、扩建古龙酸和维生素</w:t>
            </w:r>
            <w:r w:rsidRPr="002B55E9">
              <w:rPr>
                <w:sz w:val="18"/>
                <w:szCs w:val="18"/>
              </w:rPr>
              <w:t>C</w:t>
            </w:r>
            <w:r w:rsidRPr="002B55E9">
              <w:rPr>
                <w:rFonts w:hint="eastAsia"/>
                <w:sz w:val="18"/>
                <w:szCs w:val="18"/>
              </w:rPr>
              <w:t>原粉（包括药用、</w:t>
            </w:r>
            <w:r w:rsidRPr="002B55E9">
              <w:rPr>
                <w:sz w:val="18"/>
                <w:szCs w:val="18"/>
              </w:rPr>
              <w:t xml:space="preserve"> </w:t>
            </w:r>
            <w:r w:rsidRPr="002B55E9">
              <w:rPr>
                <w:rFonts w:hint="eastAsia"/>
                <w:sz w:val="18"/>
                <w:szCs w:val="18"/>
              </w:rPr>
              <w:t>食品用和饲料用、化妆品用）生产装置，新建药品、食品、饲料、化妆品等用途的维生素</w:t>
            </w:r>
            <w:r w:rsidRPr="002B55E9">
              <w:rPr>
                <w:sz w:val="18"/>
                <w:szCs w:val="18"/>
              </w:rPr>
              <w:t>B1</w:t>
            </w:r>
            <w:r w:rsidRPr="002B55E9">
              <w:rPr>
                <w:rFonts w:hint="eastAsia"/>
                <w:sz w:val="18"/>
                <w:szCs w:val="18"/>
              </w:rPr>
              <w:t>、维生素</w:t>
            </w:r>
            <w:r w:rsidRPr="002B55E9">
              <w:rPr>
                <w:sz w:val="18"/>
                <w:szCs w:val="18"/>
              </w:rPr>
              <w:t>B2</w:t>
            </w:r>
            <w:r w:rsidRPr="002B55E9">
              <w:rPr>
                <w:rFonts w:hint="eastAsia"/>
                <w:sz w:val="18"/>
                <w:szCs w:val="18"/>
              </w:rPr>
              <w:t>、维生素</w:t>
            </w:r>
            <w:r w:rsidRPr="002B55E9">
              <w:rPr>
                <w:sz w:val="18"/>
                <w:szCs w:val="18"/>
              </w:rPr>
              <w:t>B12</w:t>
            </w:r>
            <w:r w:rsidRPr="002B55E9">
              <w:rPr>
                <w:rFonts w:hint="eastAsia"/>
                <w:sz w:val="18"/>
                <w:szCs w:val="18"/>
              </w:rPr>
              <w:t>（综合利用除外）、维生素</w:t>
            </w:r>
            <w:r w:rsidRPr="002B55E9">
              <w:rPr>
                <w:sz w:val="18"/>
                <w:szCs w:val="18"/>
              </w:rPr>
              <w:t>E</w:t>
            </w:r>
            <w:r w:rsidRPr="002B55E9">
              <w:rPr>
                <w:rFonts w:hint="eastAsia"/>
                <w:sz w:val="18"/>
                <w:szCs w:val="18"/>
              </w:rPr>
              <w:t>原料生产装置。</w:t>
            </w:r>
          </w:p>
          <w:p w14:paraId="7A32881C" w14:textId="77777777" w:rsidR="00D170E5" w:rsidRPr="002B55E9" w:rsidRDefault="00EF27AD">
            <w:pPr>
              <w:adjustRightInd w:val="0"/>
              <w:snapToGrid w:val="0"/>
              <w:rPr>
                <w:sz w:val="18"/>
                <w:szCs w:val="18"/>
              </w:rPr>
            </w:pPr>
            <w:r w:rsidRPr="002B55E9">
              <w:rPr>
                <w:sz w:val="18"/>
                <w:szCs w:val="18"/>
              </w:rPr>
              <w:t>2</w:t>
            </w:r>
            <w:r w:rsidRPr="002B55E9">
              <w:rPr>
                <w:rFonts w:hint="eastAsia"/>
                <w:sz w:val="18"/>
                <w:szCs w:val="18"/>
              </w:rPr>
              <w:t>、禁止新建紫杉醇（配套红豆杉种植除外）、植物提取法黄连素（配套黄连种植除外）生产装置。</w:t>
            </w:r>
          </w:p>
          <w:p w14:paraId="7F9C8DA2" w14:textId="77777777" w:rsidR="00D170E5" w:rsidRPr="002B55E9" w:rsidRDefault="00EF27AD">
            <w:pPr>
              <w:adjustRightInd w:val="0"/>
              <w:snapToGrid w:val="0"/>
              <w:rPr>
                <w:sz w:val="18"/>
                <w:szCs w:val="18"/>
              </w:rPr>
            </w:pPr>
            <w:r w:rsidRPr="002B55E9">
              <w:rPr>
                <w:sz w:val="18"/>
                <w:szCs w:val="18"/>
              </w:rPr>
              <w:t>3</w:t>
            </w:r>
            <w:r w:rsidRPr="002B55E9">
              <w:rPr>
                <w:rFonts w:hint="eastAsia"/>
                <w:sz w:val="18"/>
                <w:szCs w:val="18"/>
              </w:rPr>
              <w:t>、禁止新建、改扩建充汞式玻璃体温计、血压计生产装置、银汞齐齿科材料、新建</w:t>
            </w:r>
            <w:r w:rsidRPr="002B55E9">
              <w:rPr>
                <w:sz w:val="18"/>
                <w:szCs w:val="18"/>
              </w:rPr>
              <w:t>2</w:t>
            </w:r>
            <w:r w:rsidRPr="002B55E9">
              <w:rPr>
                <w:rFonts w:hint="eastAsia"/>
                <w:sz w:val="18"/>
                <w:szCs w:val="18"/>
              </w:rPr>
              <w:t>亿支</w:t>
            </w:r>
            <w:r w:rsidRPr="002B55E9">
              <w:rPr>
                <w:sz w:val="18"/>
                <w:szCs w:val="18"/>
              </w:rPr>
              <w:t>/</w:t>
            </w:r>
            <w:r w:rsidRPr="002B55E9">
              <w:rPr>
                <w:rFonts w:hint="eastAsia"/>
                <w:sz w:val="18"/>
                <w:szCs w:val="18"/>
              </w:rPr>
              <w:t>年以下一次性注射器、输血器、输液器生产装置。</w:t>
            </w:r>
          </w:p>
          <w:p w14:paraId="33F27C9C" w14:textId="77777777" w:rsidR="00D170E5" w:rsidRPr="002B55E9" w:rsidRDefault="00EF27AD">
            <w:pPr>
              <w:adjustRightInd w:val="0"/>
              <w:snapToGrid w:val="0"/>
              <w:rPr>
                <w:sz w:val="18"/>
                <w:szCs w:val="18"/>
              </w:rPr>
            </w:pPr>
            <w:r w:rsidRPr="002B55E9">
              <w:rPr>
                <w:sz w:val="18"/>
                <w:szCs w:val="18"/>
              </w:rPr>
              <w:t>4</w:t>
            </w:r>
            <w:r w:rsidRPr="002B55E9">
              <w:rPr>
                <w:rFonts w:hint="eastAsia"/>
                <w:sz w:val="18"/>
                <w:szCs w:val="18"/>
              </w:rPr>
              <w:t>、禁止新建铅锡软膏管、单层聚烯烃软膏管（肛肠、腔道给药除外）产品。</w:t>
            </w:r>
          </w:p>
          <w:p w14:paraId="78A330C7" w14:textId="77777777" w:rsidR="00D170E5" w:rsidRPr="002B55E9" w:rsidRDefault="00EF27AD">
            <w:pPr>
              <w:adjustRightInd w:val="0"/>
              <w:snapToGrid w:val="0"/>
              <w:rPr>
                <w:sz w:val="18"/>
                <w:szCs w:val="18"/>
              </w:rPr>
            </w:pPr>
            <w:r w:rsidRPr="002B55E9">
              <w:rPr>
                <w:sz w:val="18"/>
                <w:szCs w:val="18"/>
              </w:rPr>
              <w:t>5</w:t>
            </w:r>
            <w:r w:rsidRPr="002B55E9">
              <w:rPr>
                <w:rFonts w:hint="eastAsia"/>
                <w:sz w:val="18"/>
                <w:szCs w:val="18"/>
              </w:rPr>
              <w:t>、禁止新建安瓿灌装注射用无菌粉末产品。</w:t>
            </w:r>
          </w:p>
        </w:tc>
        <w:tc>
          <w:tcPr>
            <w:tcW w:w="1985" w:type="dxa"/>
            <w:tcBorders>
              <w:top w:val="single" w:sz="4" w:space="0" w:color="auto"/>
              <w:left w:val="nil"/>
              <w:bottom w:val="single" w:sz="4" w:space="0" w:color="auto"/>
              <w:right w:val="single" w:sz="4" w:space="0" w:color="auto"/>
            </w:tcBorders>
            <w:vAlign w:val="center"/>
          </w:tcPr>
          <w:p w14:paraId="279346C5" w14:textId="77777777" w:rsidR="00D170E5" w:rsidRPr="002B55E9" w:rsidRDefault="00EF27AD">
            <w:pPr>
              <w:adjustRightInd w:val="0"/>
              <w:snapToGrid w:val="0"/>
              <w:rPr>
                <w:sz w:val="18"/>
                <w:szCs w:val="18"/>
              </w:rPr>
            </w:pPr>
            <w:r w:rsidRPr="002B55E9">
              <w:rPr>
                <w:sz w:val="18"/>
                <w:szCs w:val="18"/>
              </w:rPr>
              <w:t>1</w:t>
            </w:r>
            <w:r w:rsidRPr="002B55E9">
              <w:rPr>
                <w:rFonts w:hint="eastAsia"/>
                <w:sz w:val="18"/>
                <w:szCs w:val="18"/>
              </w:rPr>
              <w:t>、禁止建设手工胶囊填充工艺</w:t>
            </w:r>
          </w:p>
          <w:p w14:paraId="580EAC70" w14:textId="77777777" w:rsidR="00D170E5" w:rsidRPr="002B55E9" w:rsidRDefault="00EF27AD">
            <w:pPr>
              <w:adjustRightInd w:val="0"/>
              <w:snapToGrid w:val="0"/>
              <w:rPr>
                <w:sz w:val="18"/>
                <w:szCs w:val="18"/>
              </w:rPr>
            </w:pPr>
            <w:r w:rsidRPr="002B55E9">
              <w:rPr>
                <w:sz w:val="18"/>
                <w:szCs w:val="18"/>
              </w:rPr>
              <w:t>2</w:t>
            </w:r>
            <w:r w:rsidRPr="002B55E9">
              <w:rPr>
                <w:rFonts w:hint="eastAsia"/>
                <w:sz w:val="18"/>
                <w:szCs w:val="18"/>
              </w:rPr>
              <w:t>、禁止建设软木塞烫腊包装药品工艺</w:t>
            </w:r>
          </w:p>
          <w:p w14:paraId="45FA195B" w14:textId="77777777" w:rsidR="00D170E5" w:rsidRPr="002B55E9" w:rsidRDefault="00EF27AD">
            <w:pPr>
              <w:adjustRightInd w:val="0"/>
              <w:snapToGrid w:val="0"/>
            </w:pPr>
            <w:r w:rsidRPr="002B55E9">
              <w:rPr>
                <w:rFonts w:hint="eastAsia"/>
                <w:sz w:val="18"/>
                <w:szCs w:val="18"/>
              </w:rPr>
              <w:t>3</w:t>
            </w:r>
            <w:r w:rsidRPr="002B55E9">
              <w:rPr>
                <w:rFonts w:hint="eastAsia"/>
                <w:sz w:val="18"/>
                <w:szCs w:val="18"/>
              </w:rPr>
              <w:t>、禁止引入涉及化学反应工序的化学药品制剂制造和化学药品原料药制造等工艺</w:t>
            </w:r>
          </w:p>
        </w:tc>
        <w:tc>
          <w:tcPr>
            <w:tcW w:w="2091" w:type="dxa"/>
            <w:vMerge w:val="restart"/>
            <w:tcBorders>
              <w:top w:val="single" w:sz="4" w:space="0" w:color="auto"/>
              <w:left w:val="nil"/>
              <w:right w:val="nil"/>
            </w:tcBorders>
            <w:vAlign w:val="center"/>
          </w:tcPr>
          <w:p w14:paraId="26AB9BA4" w14:textId="77777777" w:rsidR="00D170E5" w:rsidRPr="002B55E9" w:rsidRDefault="00EF27AD">
            <w:pPr>
              <w:adjustRightInd w:val="0"/>
              <w:snapToGrid w:val="0"/>
              <w:jc w:val="center"/>
              <w:rPr>
                <w:sz w:val="18"/>
                <w:szCs w:val="18"/>
              </w:rPr>
            </w:pPr>
            <w:r w:rsidRPr="002B55E9">
              <w:rPr>
                <w:rFonts w:hint="eastAsia"/>
                <w:sz w:val="18"/>
                <w:szCs w:val="18"/>
              </w:rPr>
              <w:t>《产业结构调整指导目录（</w:t>
            </w:r>
            <w:r w:rsidRPr="002B55E9">
              <w:rPr>
                <w:sz w:val="18"/>
                <w:szCs w:val="18"/>
              </w:rPr>
              <w:t>2019</w:t>
            </w:r>
            <w:r w:rsidRPr="002B55E9">
              <w:rPr>
                <w:rFonts w:hint="eastAsia"/>
                <w:sz w:val="18"/>
                <w:szCs w:val="18"/>
              </w:rPr>
              <w:t>年本）》、环境影响综合论证</w:t>
            </w:r>
          </w:p>
        </w:tc>
      </w:tr>
      <w:tr w:rsidR="00C60999" w:rsidRPr="002B55E9" w14:paraId="5EFEEF5A" w14:textId="77777777">
        <w:trPr>
          <w:trHeight w:val="592"/>
          <w:jc w:val="center"/>
        </w:trPr>
        <w:tc>
          <w:tcPr>
            <w:tcW w:w="676" w:type="dxa"/>
            <w:vMerge/>
            <w:tcBorders>
              <w:left w:val="nil"/>
              <w:bottom w:val="single" w:sz="12" w:space="0" w:color="auto"/>
              <w:right w:val="single" w:sz="4" w:space="0" w:color="auto"/>
            </w:tcBorders>
            <w:vAlign w:val="center"/>
          </w:tcPr>
          <w:p w14:paraId="359CAE3F" w14:textId="77777777" w:rsidR="00D170E5" w:rsidRPr="002B55E9" w:rsidRDefault="00D170E5">
            <w:pPr>
              <w:widowControl/>
              <w:adjustRightInd w:val="0"/>
              <w:snapToGrid w:val="0"/>
              <w:jc w:val="left"/>
              <w:rPr>
                <w:rFonts w:eastAsia="新宋体"/>
                <w:sz w:val="18"/>
                <w:szCs w:val="18"/>
              </w:rPr>
            </w:pPr>
          </w:p>
        </w:tc>
        <w:tc>
          <w:tcPr>
            <w:tcW w:w="842" w:type="dxa"/>
            <w:tcBorders>
              <w:top w:val="single" w:sz="4" w:space="0" w:color="auto"/>
              <w:left w:val="single" w:sz="4" w:space="0" w:color="auto"/>
              <w:bottom w:val="single" w:sz="12" w:space="0" w:color="auto"/>
              <w:right w:val="single" w:sz="4" w:space="0" w:color="auto"/>
            </w:tcBorders>
            <w:vAlign w:val="center"/>
          </w:tcPr>
          <w:p w14:paraId="56D57F73" w14:textId="77777777" w:rsidR="00D170E5" w:rsidRPr="002B55E9" w:rsidRDefault="00EF27AD">
            <w:pPr>
              <w:pStyle w:val="my"/>
              <w:adjustRightInd w:val="0"/>
              <w:snapToGrid w:val="0"/>
              <w:spacing w:before="0" w:line="240" w:lineRule="auto"/>
              <w:ind w:firstLineChars="0" w:firstLine="0"/>
              <w:jc w:val="center"/>
              <w:rPr>
                <w:rFonts w:eastAsia="新宋体"/>
                <w:bCs/>
                <w:snapToGrid w:val="0"/>
                <w:sz w:val="18"/>
                <w:szCs w:val="18"/>
              </w:rPr>
            </w:pPr>
            <w:r w:rsidRPr="002B55E9">
              <w:rPr>
                <w:rFonts w:hint="eastAsia"/>
                <w:sz w:val="18"/>
                <w:szCs w:val="18"/>
              </w:rPr>
              <w:t>健康食品</w:t>
            </w:r>
          </w:p>
        </w:tc>
        <w:tc>
          <w:tcPr>
            <w:tcW w:w="4260" w:type="dxa"/>
            <w:tcBorders>
              <w:top w:val="single" w:sz="4" w:space="0" w:color="auto"/>
              <w:left w:val="nil"/>
              <w:bottom w:val="single" w:sz="12" w:space="0" w:color="auto"/>
              <w:right w:val="single" w:sz="4" w:space="0" w:color="auto"/>
            </w:tcBorders>
            <w:vAlign w:val="center"/>
          </w:tcPr>
          <w:p w14:paraId="57875371" w14:textId="77777777" w:rsidR="00D170E5" w:rsidRPr="002B55E9" w:rsidRDefault="00EF27AD">
            <w:pPr>
              <w:adjustRightInd w:val="0"/>
              <w:snapToGrid w:val="0"/>
              <w:jc w:val="center"/>
              <w:rPr>
                <w:sz w:val="18"/>
                <w:szCs w:val="18"/>
              </w:rPr>
            </w:pPr>
            <w:r w:rsidRPr="002B55E9">
              <w:rPr>
                <w:rFonts w:hint="eastAsia"/>
                <w:sz w:val="18"/>
                <w:szCs w:val="18"/>
              </w:rPr>
              <w:t>/</w:t>
            </w:r>
          </w:p>
        </w:tc>
        <w:tc>
          <w:tcPr>
            <w:tcW w:w="1985" w:type="dxa"/>
            <w:tcBorders>
              <w:top w:val="single" w:sz="4" w:space="0" w:color="auto"/>
              <w:left w:val="nil"/>
              <w:bottom w:val="single" w:sz="12" w:space="0" w:color="auto"/>
              <w:right w:val="single" w:sz="4" w:space="0" w:color="auto"/>
            </w:tcBorders>
            <w:vAlign w:val="center"/>
          </w:tcPr>
          <w:p w14:paraId="7D98E8C5" w14:textId="77777777" w:rsidR="00D170E5" w:rsidRPr="002B55E9" w:rsidRDefault="00EF27AD">
            <w:pPr>
              <w:adjustRightInd w:val="0"/>
              <w:snapToGrid w:val="0"/>
              <w:jc w:val="center"/>
              <w:rPr>
                <w:sz w:val="18"/>
                <w:szCs w:val="18"/>
              </w:rPr>
            </w:pPr>
            <w:r w:rsidRPr="002B55E9">
              <w:rPr>
                <w:rFonts w:hint="eastAsia"/>
                <w:sz w:val="18"/>
                <w:szCs w:val="18"/>
              </w:rPr>
              <w:t>/</w:t>
            </w:r>
          </w:p>
        </w:tc>
        <w:tc>
          <w:tcPr>
            <w:tcW w:w="2091" w:type="dxa"/>
            <w:vMerge/>
            <w:tcBorders>
              <w:left w:val="nil"/>
              <w:bottom w:val="single" w:sz="12" w:space="0" w:color="auto"/>
              <w:right w:val="nil"/>
            </w:tcBorders>
            <w:vAlign w:val="center"/>
          </w:tcPr>
          <w:p w14:paraId="6E26BBC9" w14:textId="77777777" w:rsidR="00D170E5" w:rsidRPr="002B55E9" w:rsidRDefault="00D170E5">
            <w:pPr>
              <w:adjustRightInd w:val="0"/>
              <w:snapToGrid w:val="0"/>
              <w:jc w:val="center"/>
              <w:rPr>
                <w:rFonts w:eastAsia="新宋体"/>
                <w:bCs/>
                <w:snapToGrid w:val="0"/>
                <w:sz w:val="18"/>
                <w:szCs w:val="18"/>
              </w:rPr>
            </w:pPr>
          </w:p>
        </w:tc>
      </w:tr>
    </w:tbl>
    <w:p w14:paraId="753127BC" w14:textId="77777777" w:rsidR="00D170E5" w:rsidRPr="002B55E9" w:rsidRDefault="00EF27AD">
      <w:pPr>
        <w:pStyle w:val="affff7"/>
        <w:adjustRightInd w:val="0"/>
        <w:snapToGrid w:val="0"/>
      </w:pPr>
      <w:r w:rsidRPr="002B55E9">
        <w:rPr>
          <w:rFonts w:hint="eastAsia"/>
        </w:rPr>
        <w:t>本项目位于新沟镇街食品医疗用地板块南部健康食品一区，从事料酒、食醋的生产，属于调味品制造业，属于地块拟发展的主导产业。项目不属于国家产业政策明令禁止或淘汰的项目，不涉及工艺设备落后、产品落后、产能过剩、污染严重的项目，不新建燃煤锅炉，不属于《环境保护综合名录（</w:t>
      </w:r>
      <w:r w:rsidRPr="002B55E9">
        <w:rPr>
          <w:rFonts w:hint="eastAsia"/>
        </w:rPr>
        <w:t xml:space="preserve">2021 </w:t>
      </w:r>
      <w:r w:rsidRPr="002B55E9">
        <w:rPr>
          <w:rFonts w:hint="eastAsia"/>
        </w:rPr>
        <w:t>年版）》中</w:t>
      </w:r>
      <w:r w:rsidRPr="002B55E9">
        <w:rPr>
          <w:rFonts w:hint="eastAsia"/>
        </w:rPr>
        <w:t>"</w:t>
      </w:r>
      <w:r w:rsidRPr="002B55E9">
        <w:rPr>
          <w:rFonts w:hint="eastAsia"/>
        </w:rPr>
        <w:t>高污染、高环境风险</w:t>
      </w:r>
      <w:r w:rsidRPr="002B55E9">
        <w:rPr>
          <w:rFonts w:hint="eastAsia"/>
        </w:rPr>
        <w:t>"</w:t>
      </w:r>
      <w:r w:rsidRPr="002B55E9">
        <w:rPr>
          <w:rFonts w:hint="eastAsia"/>
        </w:rPr>
        <w:t>产品的项目，项目建设符合《新沟镇街食品医疗用地板块总体规划环境影响评价报告书》的准入要求。</w:t>
      </w:r>
    </w:p>
    <w:p w14:paraId="79CE418B" w14:textId="77777777" w:rsidR="00D170E5" w:rsidRPr="002B55E9" w:rsidRDefault="00EF27AD">
      <w:pPr>
        <w:pStyle w:val="affff7"/>
        <w:adjustRightInd w:val="0"/>
        <w:snapToGrid w:val="0"/>
        <w:spacing w:after="0"/>
      </w:pPr>
      <w:r w:rsidRPr="002B55E9">
        <w:rPr>
          <w:rFonts w:hint="eastAsia"/>
        </w:rPr>
        <w:t>（</w:t>
      </w:r>
      <w:r w:rsidRPr="002B55E9">
        <w:t>2</w:t>
      </w:r>
      <w:r w:rsidRPr="002B55E9">
        <w:rPr>
          <w:rFonts w:hint="eastAsia"/>
        </w:rPr>
        <w:t>）与《关于</w:t>
      </w:r>
      <w:r w:rsidRPr="002B55E9">
        <w:rPr>
          <w:rFonts w:hint="eastAsia"/>
        </w:rPr>
        <w:t>&lt;</w:t>
      </w:r>
      <w:r w:rsidRPr="002B55E9">
        <w:rPr>
          <w:rFonts w:hint="eastAsia"/>
        </w:rPr>
        <w:t>新沟镇街食品医疗用地板块总体规划环境影响评价报告书</w:t>
      </w:r>
      <w:r w:rsidRPr="002B55E9">
        <w:rPr>
          <w:rFonts w:hint="eastAsia"/>
        </w:rPr>
        <w:t>&gt;</w:t>
      </w:r>
      <w:r w:rsidRPr="002B55E9">
        <w:rPr>
          <w:rFonts w:hint="eastAsia"/>
        </w:rPr>
        <w:t>的审查意见》相符性分析</w:t>
      </w:r>
    </w:p>
    <w:p w14:paraId="78B56136" w14:textId="0F793076" w:rsidR="00D170E5" w:rsidRPr="002B55E9" w:rsidRDefault="00EF27AD">
      <w:pPr>
        <w:pStyle w:val="afffffffffffff3"/>
        <w:ind w:firstLineChars="0" w:firstLine="0"/>
      </w:pPr>
      <w:r w:rsidRPr="002B55E9">
        <w:rPr>
          <w:rFonts w:eastAsia="黑体" w:hint="eastAsia"/>
          <w:sz w:val="24"/>
        </w:rPr>
        <w:t>表</w:t>
      </w:r>
      <w:r w:rsidRPr="002B55E9">
        <w:rPr>
          <w:rFonts w:eastAsia="黑体"/>
          <w:sz w:val="24"/>
        </w:rPr>
        <w:t>9</w:t>
      </w:r>
      <w:r w:rsidRPr="002B55E9">
        <w:rPr>
          <w:rFonts w:eastAsia="黑体" w:hint="eastAsia"/>
          <w:sz w:val="24"/>
        </w:rPr>
        <w:t>-</w:t>
      </w:r>
      <w:r w:rsidR="005C3EBC" w:rsidRPr="002B55E9">
        <w:rPr>
          <w:rFonts w:eastAsia="黑体"/>
          <w:sz w:val="24"/>
        </w:rPr>
        <w:t>2-5</w:t>
      </w:r>
      <w:r w:rsidRPr="002B55E9">
        <w:rPr>
          <w:rFonts w:eastAsia="黑体" w:hint="eastAsia"/>
          <w:sz w:val="24"/>
        </w:rPr>
        <w:t xml:space="preserve"> </w:t>
      </w:r>
      <w:r w:rsidRPr="002B55E9">
        <w:rPr>
          <w:rFonts w:eastAsia="黑体" w:hint="eastAsia"/>
          <w:sz w:val="24"/>
        </w:rPr>
        <w:t>《新沟镇街食品医疗用地板块总体规划环境影响评价报告书》审查意见一览表</w:t>
      </w:r>
    </w:p>
    <w:tbl>
      <w:tblPr>
        <w:tblStyle w:val="lgy2"/>
        <w:tblW w:w="5000" w:type="pct"/>
        <w:tblLayout w:type="fixed"/>
        <w:tblCellMar>
          <w:left w:w="28" w:type="dxa"/>
          <w:right w:w="28" w:type="dxa"/>
        </w:tblCellMar>
        <w:tblLook w:val="04A0" w:firstRow="1" w:lastRow="0" w:firstColumn="1" w:lastColumn="0" w:noHBand="0" w:noVBand="1"/>
      </w:tblPr>
      <w:tblGrid>
        <w:gridCol w:w="6986"/>
        <w:gridCol w:w="2707"/>
      </w:tblGrid>
      <w:tr w:rsidR="00C60999" w:rsidRPr="002B55E9" w14:paraId="25C9A940"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6946" w:type="dxa"/>
          </w:tcPr>
          <w:p w14:paraId="615F4E39" w14:textId="77777777" w:rsidR="00D170E5" w:rsidRPr="002B55E9" w:rsidRDefault="00EF27AD">
            <w:pPr>
              <w:pStyle w:val="lgy-"/>
            </w:pPr>
            <w:r w:rsidRPr="002B55E9">
              <w:rPr>
                <w:rFonts w:eastAsia="宋体"/>
              </w:rPr>
              <w:t>《</w:t>
            </w:r>
            <w:r w:rsidRPr="002B55E9">
              <w:rPr>
                <w:rFonts w:eastAsia="宋体" w:hint="eastAsia"/>
              </w:rPr>
              <w:t>新沟镇街食品医疗用地板块总体规划环境影响评价报告书</w:t>
            </w:r>
            <w:r w:rsidRPr="002B55E9">
              <w:rPr>
                <w:rFonts w:eastAsia="宋体"/>
              </w:rPr>
              <w:t>》的审查意见</w:t>
            </w:r>
          </w:p>
        </w:tc>
        <w:tc>
          <w:tcPr>
            <w:tcW w:w="2691" w:type="dxa"/>
          </w:tcPr>
          <w:p w14:paraId="2048D96B" w14:textId="77777777" w:rsidR="00D170E5" w:rsidRPr="002B55E9" w:rsidRDefault="00EF27AD">
            <w:pPr>
              <w:pStyle w:val="lgy-"/>
              <w:rPr>
                <w:rFonts w:eastAsia="宋体"/>
              </w:rPr>
            </w:pPr>
            <w:r w:rsidRPr="002B55E9">
              <w:rPr>
                <w:rFonts w:eastAsia="宋体"/>
              </w:rPr>
              <w:t>相符性分析</w:t>
            </w:r>
          </w:p>
        </w:tc>
      </w:tr>
      <w:tr w:rsidR="00C60999" w:rsidRPr="002B55E9" w14:paraId="211D8B06" w14:textId="77777777" w:rsidTr="00712630">
        <w:trPr>
          <w:trHeight w:val="283"/>
        </w:trPr>
        <w:tc>
          <w:tcPr>
            <w:tcW w:w="6946" w:type="dxa"/>
          </w:tcPr>
          <w:p w14:paraId="446ECBC0" w14:textId="77777777" w:rsidR="00D170E5" w:rsidRPr="002B55E9" w:rsidRDefault="00EF27AD" w:rsidP="00712630">
            <w:pPr>
              <w:pStyle w:val="lgy-"/>
            </w:pPr>
            <w:r w:rsidRPr="002B55E9">
              <w:rPr>
                <w:rFonts w:eastAsia="宋体" w:hint="eastAsia"/>
              </w:rPr>
              <w:t>(</w:t>
            </w:r>
            <w:r w:rsidRPr="002B55E9">
              <w:rPr>
                <w:rFonts w:eastAsia="宋体" w:hint="eastAsia"/>
              </w:rPr>
              <w:t>一</w:t>
            </w:r>
            <w:r w:rsidRPr="002B55E9">
              <w:rPr>
                <w:rFonts w:eastAsia="宋体" w:hint="eastAsia"/>
              </w:rPr>
              <w:t>)</w:t>
            </w:r>
            <w:r w:rsidRPr="002B55E9">
              <w:rPr>
                <w:rFonts w:eastAsia="宋体" w:hint="eastAsia"/>
              </w:rPr>
              <w:t>应依照“高质量发展”和“高水平保护”的理念，优化开发建设规模、产业定位、空间布局，各类开发活动应严格遵循新沟镇街食品医药用地板块总体规划确定的各功能区用地要求。</w:t>
            </w:r>
          </w:p>
        </w:tc>
        <w:tc>
          <w:tcPr>
            <w:tcW w:w="2691" w:type="dxa"/>
          </w:tcPr>
          <w:p w14:paraId="698B53DF" w14:textId="77777777" w:rsidR="00D170E5" w:rsidRPr="002B55E9" w:rsidRDefault="00EF27AD">
            <w:pPr>
              <w:pStyle w:val="lgy-"/>
              <w:jc w:val="both"/>
              <w:rPr>
                <w:rFonts w:eastAsia="宋体"/>
              </w:rPr>
            </w:pPr>
            <w:r w:rsidRPr="002B55E9">
              <w:rPr>
                <w:rFonts w:eastAsia="宋体" w:hint="eastAsia"/>
              </w:rPr>
              <w:t>本项目位于新沟镇街食品医疗用地板块南部健康食品一区，从事料酒、食醋的生产，属于食品制造业，符合规划要求</w:t>
            </w:r>
          </w:p>
        </w:tc>
      </w:tr>
      <w:tr w:rsidR="00C60999" w:rsidRPr="002B55E9" w14:paraId="70B2FB35" w14:textId="77777777" w:rsidTr="00712630">
        <w:trPr>
          <w:trHeight w:val="283"/>
        </w:trPr>
        <w:tc>
          <w:tcPr>
            <w:tcW w:w="6946" w:type="dxa"/>
          </w:tcPr>
          <w:p w14:paraId="056B2612" w14:textId="77777777" w:rsidR="00D170E5" w:rsidRPr="002B55E9" w:rsidRDefault="00EF27AD">
            <w:pPr>
              <w:pStyle w:val="lgy-"/>
              <w:jc w:val="both"/>
            </w:pPr>
            <w:r w:rsidRPr="002B55E9">
              <w:rPr>
                <w:rFonts w:eastAsia="宋体" w:hint="eastAsia"/>
              </w:rPr>
              <w:t>(</w:t>
            </w:r>
            <w:r w:rsidRPr="002B55E9">
              <w:rPr>
                <w:rFonts w:eastAsia="宋体" w:hint="eastAsia"/>
              </w:rPr>
              <w:t>二</w:t>
            </w:r>
            <w:r w:rsidRPr="002B55E9">
              <w:rPr>
                <w:rFonts w:eastAsia="宋体" w:hint="eastAsia"/>
              </w:rPr>
              <w:t>)</w:t>
            </w:r>
            <w:r w:rsidRPr="002B55E9">
              <w:rPr>
                <w:rFonts w:eastAsia="宋体" w:hint="eastAsia"/>
              </w:rPr>
              <w:t>进一步优化规划区空间布局。各类开发建设活动须严格符合相关规划要求。汉江岸线一公里范围内禁止新建、扩建化工园区和化工项目，不引入生物医药企业。规划区生物医药及健康食品产业涉及发酵异味或污水处理站臭气等企业，周边应设置不小于</w:t>
            </w:r>
            <w:r w:rsidRPr="002B55E9">
              <w:rPr>
                <w:rFonts w:eastAsia="宋体" w:hint="eastAsia"/>
              </w:rPr>
              <w:t>100</w:t>
            </w:r>
            <w:r w:rsidRPr="002B55E9">
              <w:rPr>
                <w:rFonts w:eastAsia="宋体" w:hint="eastAsia"/>
              </w:rPr>
              <w:t>米卫生防护距离</w:t>
            </w:r>
            <w:r w:rsidRPr="002B55E9">
              <w:rPr>
                <w:rFonts w:eastAsia="宋体" w:hint="eastAsia"/>
              </w:rPr>
              <w:t>(</w:t>
            </w:r>
            <w:r w:rsidRPr="002B55E9">
              <w:rPr>
                <w:rFonts w:eastAsia="宋体" w:hint="eastAsia"/>
              </w:rPr>
              <w:t>防护距离最终以企业建设项目环评确定</w:t>
            </w:r>
            <w:r w:rsidRPr="002B55E9">
              <w:rPr>
                <w:rFonts w:eastAsia="宋体" w:hint="eastAsia"/>
              </w:rPr>
              <w:t>),</w:t>
            </w:r>
            <w:r w:rsidRPr="002B55E9">
              <w:rPr>
                <w:rFonts w:eastAsia="宋体" w:hint="eastAsia"/>
              </w:rPr>
              <w:t>防护距离内不得新建学校、居民居住区等敏感点。规划区与周边敏感点之间应设置生态廊道，沟渠、铁路沿线应设置合理的绿化隔离带，规划区域应加强生态空间保护，规划区沟渠、防护绿地及公园绿地</w:t>
            </w:r>
            <w:r w:rsidRPr="002B55E9">
              <w:rPr>
                <w:rFonts w:eastAsia="宋体" w:hint="eastAsia"/>
              </w:rPr>
              <w:lastRenderedPageBreak/>
              <w:t>应划入生态空间进行保护。规划区南部健康食品二区距新池村最近距离约</w:t>
            </w:r>
            <w:r w:rsidRPr="002B55E9">
              <w:rPr>
                <w:rFonts w:eastAsia="宋体" w:hint="eastAsia"/>
              </w:rPr>
              <w:t>50</w:t>
            </w:r>
            <w:r w:rsidRPr="002B55E9">
              <w:rPr>
                <w:rFonts w:eastAsia="宋体" w:hint="eastAsia"/>
              </w:rPr>
              <w:t>米，新池村规划用地为生态底线区，建议实施环保拆迁，鉴于其范围内涉及国家移民局的南水北调移民等，建议后期在入驻企业项目环评阶段</w:t>
            </w:r>
            <w:r w:rsidRPr="002B55E9">
              <w:rPr>
                <w:rFonts w:eastAsia="宋体" w:hint="eastAsia"/>
              </w:rPr>
              <w:t>,</w:t>
            </w:r>
            <w:r w:rsidRPr="002B55E9">
              <w:rPr>
                <w:rFonts w:eastAsia="宋体" w:hint="eastAsia"/>
              </w:rPr>
              <w:t>按照项目环评确定的防护距离情况进行环保拆迁。</w:t>
            </w:r>
          </w:p>
        </w:tc>
        <w:tc>
          <w:tcPr>
            <w:tcW w:w="2691" w:type="dxa"/>
          </w:tcPr>
          <w:p w14:paraId="7AA03F8D" w14:textId="01E33211" w:rsidR="00D170E5" w:rsidRPr="002B55E9" w:rsidRDefault="00547EDF" w:rsidP="00BB5433">
            <w:pPr>
              <w:pStyle w:val="lgy-"/>
              <w:jc w:val="both"/>
              <w:rPr>
                <w:rFonts w:eastAsia="宋体"/>
              </w:rPr>
            </w:pPr>
            <w:r w:rsidRPr="002B55E9">
              <w:rPr>
                <w:rFonts w:eastAsia="宋体" w:hint="eastAsia"/>
              </w:rPr>
              <w:lastRenderedPageBreak/>
              <w:t>项目位于南部健康食品一区，从事料酒、食醋的生产，属于食品制造业，距汉江约</w:t>
            </w:r>
            <w:r w:rsidRPr="002B55E9">
              <w:rPr>
                <w:rFonts w:eastAsia="宋体" w:hint="eastAsia"/>
              </w:rPr>
              <w:t>1</w:t>
            </w:r>
            <w:r w:rsidRPr="002B55E9">
              <w:rPr>
                <w:rFonts w:eastAsia="宋体"/>
              </w:rPr>
              <w:t>.8km</w:t>
            </w:r>
            <w:r w:rsidRPr="002B55E9">
              <w:rPr>
                <w:rFonts w:eastAsia="宋体" w:hint="eastAsia"/>
              </w:rPr>
              <w:t>。</w:t>
            </w:r>
            <w:r w:rsidR="007F4B86" w:rsidRPr="002B55E9">
              <w:rPr>
                <w:rFonts w:eastAsia="宋体"/>
              </w:rPr>
              <w:t>项目</w:t>
            </w:r>
            <w:r w:rsidR="007F4B86" w:rsidRPr="002B55E9">
              <w:rPr>
                <w:rFonts w:eastAsia="宋体" w:hint="eastAsia"/>
              </w:rPr>
              <w:t>属于</w:t>
            </w:r>
            <w:r w:rsidR="007F4B86" w:rsidRPr="002B55E9">
              <w:rPr>
                <w:rFonts w:eastAsia="宋体"/>
              </w:rPr>
              <w:t>食品产业且涉及发酵异味，</w:t>
            </w:r>
            <w:r w:rsidR="00BB5433" w:rsidRPr="002B55E9">
              <w:rPr>
                <w:rFonts w:eastAsia="宋体" w:hint="eastAsia"/>
              </w:rPr>
              <w:t>项目</w:t>
            </w:r>
            <w:r w:rsidR="007F4B86" w:rsidRPr="002B55E9">
              <w:rPr>
                <w:rFonts w:eastAsia="宋体"/>
              </w:rPr>
              <w:t>十一车间</w:t>
            </w:r>
            <w:r w:rsidR="00BB5433" w:rsidRPr="002B55E9">
              <w:rPr>
                <w:rFonts w:eastAsia="宋体" w:hint="eastAsia"/>
              </w:rPr>
              <w:t>、</w:t>
            </w:r>
            <w:r w:rsidR="007F4B86" w:rsidRPr="002B55E9">
              <w:rPr>
                <w:rFonts w:eastAsia="宋体" w:hint="eastAsia"/>
              </w:rPr>
              <w:t>十三车间、</w:t>
            </w:r>
            <w:r w:rsidR="007F4B86" w:rsidRPr="002B55E9">
              <w:rPr>
                <w:rFonts w:eastAsia="宋体"/>
              </w:rPr>
              <w:t>罐区三</w:t>
            </w:r>
            <w:r w:rsidR="007F4B86" w:rsidRPr="002B55E9">
              <w:rPr>
                <w:rFonts w:eastAsia="宋体" w:hint="eastAsia"/>
              </w:rPr>
              <w:t>和</w:t>
            </w:r>
            <w:r w:rsidR="007F4B86" w:rsidRPr="002B55E9">
              <w:rPr>
                <w:rFonts w:eastAsia="宋体"/>
              </w:rPr>
              <w:t>酒精罐区</w:t>
            </w:r>
            <w:r w:rsidR="00BB5433" w:rsidRPr="002B55E9">
              <w:rPr>
                <w:rFonts w:eastAsia="宋体" w:hint="eastAsia"/>
              </w:rPr>
              <w:t>均</w:t>
            </w:r>
            <w:r w:rsidR="007F4B86" w:rsidRPr="002B55E9">
              <w:rPr>
                <w:rFonts w:eastAsia="宋体"/>
              </w:rPr>
              <w:t>设置</w:t>
            </w:r>
            <w:r w:rsidR="00BB5433" w:rsidRPr="002B55E9">
              <w:rPr>
                <w:rFonts w:eastAsia="宋体" w:hint="eastAsia"/>
              </w:rPr>
              <w:t>了</w:t>
            </w:r>
            <w:r w:rsidR="00BB5433" w:rsidRPr="002B55E9">
              <w:rPr>
                <w:rFonts w:eastAsia="宋体" w:hint="eastAsia"/>
              </w:rPr>
              <w:t>10</w:t>
            </w:r>
            <w:r w:rsidR="007F4B86" w:rsidRPr="002B55E9">
              <w:rPr>
                <w:rFonts w:eastAsia="宋体" w:hint="eastAsia"/>
              </w:rPr>
              <w:t>0</w:t>
            </w:r>
            <w:r w:rsidR="007F4B86" w:rsidRPr="002B55E9">
              <w:rPr>
                <w:rFonts w:eastAsia="宋体"/>
              </w:rPr>
              <w:t>m</w:t>
            </w:r>
            <w:r w:rsidR="007F4B86" w:rsidRPr="002B55E9">
              <w:rPr>
                <w:rFonts w:eastAsia="宋体"/>
              </w:rPr>
              <w:t>的</w:t>
            </w:r>
            <w:r w:rsidR="007F4B86" w:rsidRPr="002B55E9">
              <w:rPr>
                <w:rFonts w:eastAsia="宋体" w:hint="eastAsia"/>
              </w:rPr>
              <w:lastRenderedPageBreak/>
              <w:t>卫生</w:t>
            </w:r>
            <w:r w:rsidR="007F4B86" w:rsidRPr="002B55E9">
              <w:rPr>
                <w:rFonts w:eastAsia="宋体"/>
              </w:rPr>
              <w:t>防护距离</w:t>
            </w:r>
            <w:r w:rsidR="007F4B86" w:rsidRPr="002B55E9">
              <w:rPr>
                <w:rFonts w:eastAsia="宋体" w:hint="eastAsia"/>
              </w:rPr>
              <w:t>。根据现场调查项目周边</w:t>
            </w:r>
            <w:r w:rsidR="007F4B86" w:rsidRPr="002B55E9">
              <w:rPr>
                <w:rFonts w:eastAsia="宋体" w:hint="eastAsia"/>
              </w:rPr>
              <w:t>100</w:t>
            </w:r>
            <w:r w:rsidR="007F4B86" w:rsidRPr="002B55E9">
              <w:rPr>
                <w:rFonts w:eastAsia="宋体" w:hint="eastAsia"/>
              </w:rPr>
              <w:t>米范围内无敏感点，</w:t>
            </w:r>
            <w:r w:rsidR="007F4B86" w:rsidRPr="002B55E9">
              <w:rPr>
                <w:rFonts w:eastAsia="宋体"/>
              </w:rPr>
              <w:t>防护距离可得到有效设置</w:t>
            </w:r>
            <w:r w:rsidR="007F4B86" w:rsidRPr="002B55E9">
              <w:rPr>
                <w:rFonts w:eastAsia="宋体" w:hint="eastAsia"/>
              </w:rPr>
              <w:t>。</w:t>
            </w:r>
          </w:p>
        </w:tc>
      </w:tr>
      <w:tr w:rsidR="00C60999" w:rsidRPr="002B55E9" w14:paraId="1150D0AA" w14:textId="77777777" w:rsidTr="00712630">
        <w:trPr>
          <w:trHeight w:val="283"/>
        </w:trPr>
        <w:tc>
          <w:tcPr>
            <w:tcW w:w="6946" w:type="dxa"/>
          </w:tcPr>
          <w:p w14:paraId="1D5C0B2E" w14:textId="77777777" w:rsidR="00D170E5" w:rsidRPr="002B55E9" w:rsidRDefault="00EF27AD">
            <w:pPr>
              <w:pStyle w:val="lgy-"/>
              <w:jc w:val="both"/>
            </w:pPr>
            <w:r w:rsidRPr="002B55E9">
              <w:rPr>
                <w:rFonts w:eastAsia="宋体" w:hint="eastAsia"/>
              </w:rPr>
              <w:lastRenderedPageBreak/>
              <w:t>(</w:t>
            </w:r>
            <w:r w:rsidRPr="002B55E9">
              <w:rPr>
                <w:rFonts w:eastAsia="宋体" w:hint="eastAsia"/>
              </w:rPr>
              <w:t>三</w:t>
            </w:r>
            <w:r w:rsidRPr="002B55E9">
              <w:rPr>
                <w:rFonts w:eastAsia="宋体" w:hint="eastAsia"/>
              </w:rPr>
              <w:t>)</w:t>
            </w:r>
            <w:r w:rsidRPr="002B55E9">
              <w:rPr>
                <w:rFonts w:eastAsia="宋体" w:hint="eastAsia"/>
              </w:rPr>
              <w:t>严格入区项目环境准入管理。各类入区项目应严格遵循长江大保护、新沟镇街食品医药板块总体规划要求，严禁违反国家政策及不符合规划区总体规划的建设项目入驻。规划区禁止引入涉及化学反应工序的化学药品制剂制造和化学药品原料药制造等项目</w:t>
            </w:r>
            <w:r w:rsidRPr="002B55E9">
              <w:rPr>
                <w:rFonts w:eastAsia="宋体" w:hint="eastAsia"/>
              </w:rPr>
              <w:t>,</w:t>
            </w:r>
          </w:p>
        </w:tc>
        <w:tc>
          <w:tcPr>
            <w:tcW w:w="2691" w:type="dxa"/>
          </w:tcPr>
          <w:p w14:paraId="6F259EFA" w14:textId="77777777" w:rsidR="00D170E5" w:rsidRPr="002B55E9" w:rsidRDefault="00EF27AD">
            <w:pPr>
              <w:pStyle w:val="lgy-"/>
              <w:jc w:val="both"/>
              <w:rPr>
                <w:rFonts w:eastAsia="宋体"/>
              </w:rPr>
            </w:pPr>
            <w:r w:rsidRPr="002B55E9">
              <w:rPr>
                <w:rFonts w:eastAsia="宋体" w:hint="eastAsia"/>
              </w:rPr>
              <w:t>项目位于南部健康食品一区，从事料酒、食醋的生产，属于食品制造业，符合长江大保护、新沟镇街食品医药板块总体规划要求</w:t>
            </w:r>
          </w:p>
        </w:tc>
      </w:tr>
      <w:tr w:rsidR="00C60999" w:rsidRPr="002B55E9" w14:paraId="09BD5F0C" w14:textId="77777777" w:rsidTr="00712630">
        <w:trPr>
          <w:trHeight w:val="283"/>
        </w:trPr>
        <w:tc>
          <w:tcPr>
            <w:tcW w:w="6946" w:type="dxa"/>
          </w:tcPr>
          <w:p w14:paraId="6461B657" w14:textId="77777777" w:rsidR="00D170E5" w:rsidRPr="002B55E9" w:rsidRDefault="00EF27AD">
            <w:pPr>
              <w:pStyle w:val="lgy-"/>
              <w:jc w:val="both"/>
            </w:pPr>
            <w:r w:rsidRPr="002B55E9">
              <w:rPr>
                <w:rFonts w:eastAsia="宋体" w:hint="eastAsia"/>
              </w:rPr>
              <w:t>(</w:t>
            </w:r>
            <w:r w:rsidRPr="002B55E9">
              <w:rPr>
                <w:rFonts w:eastAsia="宋体" w:hint="eastAsia"/>
              </w:rPr>
              <w:t>四</w:t>
            </w:r>
            <w:r w:rsidRPr="002B55E9">
              <w:rPr>
                <w:rFonts w:eastAsia="宋体" w:hint="eastAsia"/>
              </w:rPr>
              <w:t>)</w:t>
            </w:r>
            <w:r w:rsidRPr="002B55E9">
              <w:rPr>
                <w:rFonts w:eastAsia="宋体" w:hint="eastAsia"/>
              </w:rPr>
              <w:t>完善环境基础设施建设。加快推进规划区污水管网、中水管网及初期雨水收集与处理系统建设，在污水管网未覆盖区域应暂缓引入和实施排放水污染物的建设项目。规划区应推广使用清洁能源</w:t>
            </w:r>
            <w:r w:rsidRPr="002B55E9">
              <w:rPr>
                <w:rFonts w:eastAsia="宋体" w:hint="eastAsia"/>
              </w:rPr>
              <w:t>,</w:t>
            </w:r>
            <w:r w:rsidRPr="002B55E9">
              <w:rPr>
                <w:rFonts w:eastAsia="宋体" w:hint="eastAsia"/>
              </w:rPr>
              <w:t>加快推进规划区集中供热蒸汽管道及燃气管道建设</w:t>
            </w:r>
            <w:r w:rsidRPr="002B55E9">
              <w:rPr>
                <w:rFonts w:eastAsia="宋体" w:hint="eastAsia"/>
              </w:rPr>
              <w:t>,</w:t>
            </w:r>
            <w:r w:rsidRPr="002B55E9">
              <w:rPr>
                <w:rFonts w:eastAsia="宋体" w:hint="eastAsia"/>
              </w:rPr>
              <w:t>入驻企业供热热源应优先考虑集中供热，对于工艺条件等要求确实无法使用集中供热蒸汽的，使用天然气等清洁能源，不得建设不符合国家政策要求的分散燃煤供热锅炉。</w:t>
            </w:r>
          </w:p>
        </w:tc>
        <w:tc>
          <w:tcPr>
            <w:tcW w:w="2691" w:type="dxa"/>
          </w:tcPr>
          <w:p w14:paraId="139D045F" w14:textId="77777777" w:rsidR="00D170E5" w:rsidRPr="002B55E9" w:rsidRDefault="00EF27AD">
            <w:pPr>
              <w:pStyle w:val="lgy-"/>
              <w:jc w:val="both"/>
              <w:rPr>
                <w:rFonts w:eastAsia="宋体"/>
              </w:rPr>
            </w:pPr>
            <w:r w:rsidRPr="002B55E9">
              <w:rPr>
                <w:rFonts w:eastAsia="宋体" w:hint="eastAsia"/>
              </w:rPr>
              <w:t>厂区生产使用蒸汽为管道集中供热，厂区不涉及供热锅炉</w:t>
            </w:r>
          </w:p>
        </w:tc>
      </w:tr>
      <w:tr w:rsidR="00C60999" w:rsidRPr="002B55E9" w14:paraId="68D82A28" w14:textId="77777777" w:rsidTr="00712630">
        <w:trPr>
          <w:trHeight w:val="283"/>
        </w:trPr>
        <w:tc>
          <w:tcPr>
            <w:tcW w:w="6946" w:type="dxa"/>
          </w:tcPr>
          <w:p w14:paraId="40F3FB1E" w14:textId="77777777" w:rsidR="00D170E5" w:rsidRPr="002B55E9" w:rsidRDefault="00EF27AD">
            <w:pPr>
              <w:pStyle w:val="lgy-"/>
              <w:jc w:val="both"/>
            </w:pPr>
            <w:r w:rsidRPr="002B55E9">
              <w:rPr>
                <w:rFonts w:eastAsia="宋体" w:hint="eastAsia"/>
              </w:rPr>
              <w:t>(</w:t>
            </w:r>
            <w:r w:rsidRPr="002B55E9">
              <w:rPr>
                <w:rFonts w:eastAsia="宋体" w:hint="eastAsia"/>
              </w:rPr>
              <w:t>五</w:t>
            </w:r>
            <w:r w:rsidRPr="002B55E9">
              <w:rPr>
                <w:rFonts w:eastAsia="宋体" w:hint="eastAsia"/>
              </w:rPr>
              <w:t>)</w:t>
            </w:r>
            <w:r w:rsidRPr="002B55E9">
              <w:rPr>
                <w:rFonts w:eastAsia="宋体" w:hint="eastAsia"/>
              </w:rPr>
              <w:t>严守环境质量底线。按照“只能变好、不能变坏”的原则，落实大气、水、土壤行动计划要求，在区域环境质量达标前，须严格控制规划区内新增重点污染物排放的建设项目。确需建设的项目，其新增大气、水污染物从东西湖区现有企业可用于总量调剂的主要污染物削减量中按要求分别实行倍量、等量替代。</w:t>
            </w:r>
          </w:p>
        </w:tc>
        <w:tc>
          <w:tcPr>
            <w:tcW w:w="2691" w:type="dxa"/>
          </w:tcPr>
          <w:p w14:paraId="6AF58ABB" w14:textId="77777777" w:rsidR="00D170E5" w:rsidRPr="002B55E9" w:rsidRDefault="00EF27AD">
            <w:pPr>
              <w:pStyle w:val="lgy-"/>
              <w:jc w:val="both"/>
              <w:rPr>
                <w:rFonts w:eastAsia="宋体"/>
              </w:rPr>
            </w:pPr>
            <w:r w:rsidRPr="002B55E9">
              <w:rPr>
                <w:rFonts w:eastAsia="宋体" w:hint="eastAsia"/>
              </w:rPr>
              <w:t>本项目新增大气污染物、水污染物均按要求实行倍量、等量替代。</w:t>
            </w:r>
          </w:p>
        </w:tc>
      </w:tr>
      <w:tr w:rsidR="00C60999" w:rsidRPr="002B55E9" w14:paraId="3033A58B" w14:textId="77777777" w:rsidTr="00712630">
        <w:trPr>
          <w:trHeight w:val="283"/>
        </w:trPr>
        <w:tc>
          <w:tcPr>
            <w:tcW w:w="6946" w:type="dxa"/>
          </w:tcPr>
          <w:p w14:paraId="47D6350B" w14:textId="77777777" w:rsidR="00D170E5" w:rsidRPr="002B55E9" w:rsidRDefault="00EF27AD">
            <w:pPr>
              <w:pStyle w:val="lgy-"/>
              <w:jc w:val="both"/>
            </w:pPr>
            <w:r w:rsidRPr="002B55E9">
              <w:rPr>
                <w:rFonts w:eastAsia="宋体" w:hint="eastAsia"/>
              </w:rPr>
              <w:t>(</w:t>
            </w:r>
            <w:r w:rsidRPr="002B55E9">
              <w:rPr>
                <w:rFonts w:eastAsia="宋体" w:hint="eastAsia"/>
              </w:rPr>
              <w:t>六</w:t>
            </w:r>
            <w:r w:rsidRPr="002B55E9">
              <w:rPr>
                <w:rFonts w:eastAsia="宋体" w:hint="eastAsia"/>
              </w:rPr>
              <w:t>)</w:t>
            </w:r>
            <w:r w:rsidRPr="002B55E9">
              <w:rPr>
                <w:rFonts w:eastAsia="宋体" w:hint="eastAsia"/>
              </w:rPr>
              <w:t>贯彻循环经济理念，实现规划区产业链的延伸循环和各类废物资源化和减量化。采取中水回用等措施减少水资源消耗量，降低废水排放量，提高区域水资源利用率，减少规划区污染物排放总量。</w:t>
            </w:r>
          </w:p>
        </w:tc>
        <w:tc>
          <w:tcPr>
            <w:tcW w:w="2691" w:type="dxa"/>
          </w:tcPr>
          <w:p w14:paraId="7FBDD224" w14:textId="77777777" w:rsidR="00D170E5" w:rsidRPr="002B55E9" w:rsidRDefault="00EF27AD" w:rsidP="00547EDF">
            <w:pPr>
              <w:pStyle w:val="lgy-"/>
              <w:rPr>
                <w:rFonts w:eastAsia="宋体"/>
              </w:rPr>
            </w:pPr>
            <w:r w:rsidRPr="002B55E9">
              <w:rPr>
                <w:rFonts w:eastAsia="宋体" w:hint="eastAsia"/>
              </w:rPr>
              <w:t>/</w:t>
            </w:r>
          </w:p>
        </w:tc>
      </w:tr>
      <w:tr w:rsidR="00C60999" w:rsidRPr="002B55E9" w14:paraId="41FD978A" w14:textId="77777777" w:rsidTr="00712630">
        <w:trPr>
          <w:trHeight w:val="283"/>
        </w:trPr>
        <w:tc>
          <w:tcPr>
            <w:tcW w:w="6946" w:type="dxa"/>
          </w:tcPr>
          <w:p w14:paraId="48627FB7" w14:textId="77777777" w:rsidR="00D170E5" w:rsidRPr="002B55E9" w:rsidRDefault="00EF27AD">
            <w:pPr>
              <w:pStyle w:val="lgy-"/>
              <w:jc w:val="both"/>
            </w:pPr>
            <w:r w:rsidRPr="002B55E9">
              <w:rPr>
                <w:rFonts w:eastAsia="宋体" w:hint="eastAsia"/>
              </w:rPr>
              <w:t>(</w:t>
            </w:r>
            <w:r w:rsidRPr="002B55E9">
              <w:rPr>
                <w:rFonts w:eastAsia="宋体" w:hint="eastAsia"/>
              </w:rPr>
              <w:t>七</w:t>
            </w:r>
            <w:r w:rsidRPr="002B55E9">
              <w:rPr>
                <w:rFonts w:eastAsia="宋体" w:hint="eastAsia"/>
              </w:rPr>
              <w:t>)</w:t>
            </w:r>
            <w:r w:rsidRPr="002B55E9">
              <w:rPr>
                <w:rFonts w:eastAsia="宋体" w:hint="eastAsia"/>
              </w:rPr>
              <w:t>加强入区项目企业环境管理。为保证东西湖区污水处理厂稳定运行，入区企业生产废水须经预处理达到行业标准及污水处理厂接管标准要求后，方可排入污水处理厂集中处理</w:t>
            </w:r>
            <w:r w:rsidRPr="002B55E9">
              <w:rPr>
                <w:rFonts w:eastAsia="宋体" w:hint="eastAsia"/>
              </w:rPr>
              <w:t>;</w:t>
            </w:r>
            <w:r w:rsidRPr="002B55E9">
              <w:rPr>
                <w:rFonts w:eastAsia="宋体" w:hint="eastAsia"/>
              </w:rPr>
              <w:t>规划区应严格推行低氮燃烧技术，控制挥发性有机物及恶臭气体的排放，配备相应的废气处理设施</w:t>
            </w:r>
            <w:r w:rsidRPr="002B55E9">
              <w:rPr>
                <w:rFonts w:eastAsia="宋体" w:hint="eastAsia"/>
              </w:rPr>
              <w:t>;</w:t>
            </w:r>
            <w:r w:rsidRPr="002B55E9">
              <w:rPr>
                <w:rFonts w:eastAsia="宋体" w:hint="eastAsia"/>
              </w:rPr>
              <w:t>规划区域内固体废物和危险废物必须建设符合国家规范要求的贮存场所，并严格按照国家相关管理规定及规范进行安全处置</w:t>
            </w:r>
          </w:p>
        </w:tc>
        <w:tc>
          <w:tcPr>
            <w:tcW w:w="2691" w:type="dxa"/>
          </w:tcPr>
          <w:p w14:paraId="05CA6E7E" w14:textId="77777777" w:rsidR="00D170E5" w:rsidRPr="002B55E9" w:rsidRDefault="00EF27AD">
            <w:pPr>
              <w:pStyle w:val="lgy-"/>
              <w:jc w:val="both"/>
              <w:rPr>
                <w:rFonts w:eastAsia="宋体"/>
              </w:rPr>
            </w:pPr>
            <w:r w:rsidRPr="002B55E9">
              <w:rPr>
                <w:rFonts w:eastAsia="宋体" w:hint="eastAsia"/>
              </w:rPr>
              <w:t>项目产生废水依托</w:t>
            </w:r>
            <w:r w:rsidRPr="002B55E9">
              <w:rPr>
                <w:rFonts w:eastAsia="宋体"/>
              </w:rPr>
              <w:t>佛山市海</w:t>
            </w:r>
            <w:r w:rsidRPr="002B55E9">
              <w:rPr>
                <w:rFonts w:eastAsia="宋体" w:hint="eastAsia"/>
              </w:rPr>
              <w:t>天</w:t>
            </w:r>
            <w:r w:rsidRPr="002B55E9">
              <w:rPr>
                <w:rFonts w:eastAsia="宋体"/>
              </w:rPr>
              <w:t>（</w:t>
            </w:r>
            <w:r w:rsidRPr="002B55E9">
              <w:rPr>
                <w:rFonts w:eastAsia="宋体" w:hint="eastAsia"/>
              </w:rPr>
              <w:t>武汉</w:t>
            </w:r>
            <w:r w:rsidRPr="002B55E9">
              <w:rPr>
                <w:rFonts w:eastAsia="宋体"/>
              </w:rPr>
              <w:t>）</w:t>
            </w:r>
            <w:r w:rsidRPr="002B55E9">
              <w:rPr>
                <w:rFonts w:eastAsia="宋体" w:hint="eastAsia"/>
              </w:rPr>
              <w:t>调味食品</w:t>
            </w:r>
            <w:r w:rsidRPr="002B55E9">
              <w:rPr>
                <w:rFonts w:eastAsia="宋体"/>
              </w:rPr>
              <w:t>有限公司</w:t>
            </w:r>
            <w:r w:rsidRPr="002B55E9">
              <w:rPr>
                <w:rFonts w:eastAsia="宋体" w:hint="eastAsia"/>
              </w:rPr>
              <w:t>污水处理站预处理达标后排入东西湖污水处理厂处理，项目固体废物和危险废物建设符合规范要求的贮存场所，并按规定进行安全处置</w:t>
            </w:r>
          </w:p>
        </w:tc>
      </w:tr>
      <w:tr w:rsidR="00C60999" w:rsidRPr="002B55E9" w14:paraId="178E551B" w14:textId="77777777" w:rsidTr="00712630">
        <w:trPr>
          <w:trHeight w:val="283"/>
        </w:trPr>
        <w:tc>
          <w:tcPr>
            <w:tcW w:w="6946" w:type="dxa"/>
          </w:tcPr>
          <w:p w14:paraId="38AB52B7" w14:textId="77777777" w:rsidR="00D170E5" w:rsidRPr="002B55E9" w:rsidRDefault="00EF27AD">
            <w:pPr>
              <w:pStyle w:val="lgy-"/>
              <w:jc w:val="both"/>
            </w:pPr>
            <w:r w:rsidRPr="002B55E9">
              <w:rPr>
                <w:rFonts w:eastAsia="宋体" w:hint="eastAsia"/>
              </w:rPr>
              <w:t>(</w:t>
            </w:r>
            <w:r w:rsidRPr="002B55E9">
              <w:rPr>
                <w:rFonts w:eastAsia="宋体" w:hint="eastAsia"/>
              </w:rPr>
              <w:t>八</w:t>
            </w:r>
            <w:r w:rsidRPr="002B55E9">
              <w:rPr>
                <w:rFonts w:eastAsia="宋体" w:hint="eastAsia"/>
              </w:rPr>
              <w:t>)</w:t>
            </w:r>
            <w:r w:rsidRPr="002B55E9">
              <w:rPr>
                <w:rFonts w:eastAsia="宋体" w:hint="eastAsia"/>
              </w:rPr>
              <w:t>强化规划区环境风险防范。建立健全入区企业、规划区和周边水系三级应急防范体系，制定规划区突发环境事件风险应急预案和跟踪监测计划，并报我分局备案</w:t>
            </w:r>
            <w:r w:rsidRPr="002B55E9">
              <w:rPr>
                <w:rFonts w:eastAsia="宋体" w:hint="eastAsia"/>
              </w:rPr>
              <w:t>;</w:t>
            </w:r>
            <w:r w:rsidRPr="002B55E9">
              <w:rPr>
                <w:rFonts w:eastAsia="宋体" w:hint="eastAsia"/>
              </w:rPr>
              <w:t>落实规划区环境风险事故预防和应急处理措施，定期开展环境风险应急预案演练</w:t>
            </w:r>
            <w:r w:rsidRPr="002B55E9">
              <w:rPr>
                <w:rFonts w:eastAsia="宋体" w:hint="eastAsia"/>
              </w:rPr>
              <w:t>;</w:t>
            </w:r>
            <w:r w:rsidRPr="002B55E9">
              <w:rPr>
                <w:rFonts w:eastAsia="宋体" w:hint="eastAsia"/>
              </w:rPr>
              <w:t>强化生态安全保障，严格规划区内重大风险源的管控，合理设置安全防护距离，加强安全防护工作。</w:t>
            </w:r>
          </w:p>
        </w:tc>
        <w:tc>
          <w:tcPr>
            <w:tcW w:w="2691" w:type="dxa"/>
          </w:tcPr>
          <w:p w14:paraId="1F90F832" w14:textId="77777777" w:rsidR="00D170E5" w:rsidRPr="002B55E9" w:rsidRDefault="00EF27AD">
            <w:pPr>
              <w:pStyle w:val="lgy-"/>
              <w:jc w:val="both"/>
              <w:rPr>
                <w:rFonts w:eastAsia="宋体"/>
              </w:rPr>
            </w:pPr>
            <w:r w:rsidRPr="002B55E9">
              <w:rPr>
                <w:rFonts w:eastAsia="宋体" w:hint="eastAsia"/>
              </w:rPr>
              <w:t>本项目监测后将严格落实风险防范措施，制定风险应急预案和跟踪监测计划，并报主管部门备案</w:t>
            </w:r>
          </w:p>
        </w:tc>
      </w:tr>
      <w:tr w:rsidR="00C60999" w:rsidRPr="002B55E9" w14:paraId="5044BAD3" w14:textId="77777777" w:rsidTr="00712630">
        <w:trPr>
          <w:trHeight w:val="283"/>
        </w:trPr>
        <w:tc>
          <w:tcPr>
            <w:tcW w:w="6946" w:type="dxa"/>
          </w:tcPr>
          <w:p w14:paraId="4A63B676" w14:textId="77777777" w:rsidR="00D170E5" w:rsidRPr="002B55E9" w:rsidRDefault="00EF27AD">
            <w:pPr>
              <w:pStyle w:val="lgy-"/>
              <w:jc w:val="both"/>
            </w:pPr>
            <w:r w:rsidRPr="002B55E9">
              <w:rPr>
                <w:rFonts w:eastAsia="宋体" w:hint="eastAsia"/>
              </w:rPr>
              <w:t>(</w:t>
            </w:r>
            <w:r w:rsidRPr="002B55E9">
              <w:rPr>
                <w:rFonts w:eastAsia="宋体" w:hint="eastAsia"/>
              </w:rPr>
              <w:t>九</w:t>
            </w:r>
            <w:r w:rsidRPr="002B55E9">
              <w:rPr>
                <w:rFonts w:eastAsia="宋体" w:hint="eastAsia"/>
              </w:rPr>
              <w:t>)</w:t>
            </w:r>
            <w:r w:rsidRPr="002B55E9">
              <w:rPr>
                <w:rFonts w:eastAsia="宋体" w:hint="eastAsia"/>
              </w:rPr>
              <w:t>建立健全环境监测体系，落实责任与措施。按照监测计划开展区域环境空气、地表水、地下水、土壤、噪声等日常监测，统筹安排规划区环境监测监控网络建设，大气、水等环境质量和污染源在线监测与生态环境主管部门联网，督促排污企业落实自行监测责任，建立规划区规划环评文件、环境质量监测数据等信息共享工作机制并与入区建设项目及时共享。</w:t>
            </w:r>
          </w:p>
        </w:tc>
        <w:tc>
          <w:tcPr>
            <w:tcW w:w="2691" w:type="dxa"/>
          </w:tcPr>
          <w:p w14:paraId="6E5BBBE9" w14:textId="77777777" w:rsidR="00D170E5" w:rsidRPr="002B55E9" w:rsidRDefault="00EF27AD">
            <w:pPr>
              <w:pStyle w:val="lgy-"/>
              <w:jc w:val="both"/>
              <w:rPr>
                <w:rFonts w:eastAsia="宋体"/>
              </w:rPr>
            </w:pPr>
            <w:r w:rsidRPr="002B55E9">
              <w:rPr>
                <w:rFonts w:eastAsia="宋体" w:hint="eastAsia"/>
              </w:rPr>
              <w:t>本项目建成后，将按相关规范要求严格落实自行监测相关要求</w:t>
            </w:r>
          </w:p>
        </w:tc>
      </w:tr>
    </w:tbl>
    <w:p w14:paraId="77C0211E" w14:textId="77777777" w:rsidR="00D170E5" w:rsidRPr="002B55E9" w:rsidRDefault="00EF27AD">
      <w:pPr>
        <w:pStyle w:val="affff7"/>
      </w:pPr>
      <w:r w:rsidRPr="002B55E9">
        <w:rPr>
          <w:rFonts w:hint="eastAsia"/>
        </w:rPr>
        <w:t>由上表可知，本项目位于东西湖区新沟镇食品用地板块南部健康食品一区内，从事料酒、食醋等调味品制造，符合园区产业布局规划，满足《新沟镇街食品医疗用地板块总体规划环境影响评价报告书》审查意见相关要求。</w:t>
      </w:r>
    </w:p>
    <w:p w14:paraId="20C36E64" w14:textId="77777777" w:rsidR="00D170E5" w:rsidRPr="002B55E9" w:rsidRDefault="00EF27AD">
      <w:pPr>
        <w:pStyle w:val="3"/>
        <w:tabs>
          <w:tab w:val="left" w:pos="540"/>
          <w:tab w:val="left" w:pos="2160"/>
        </w:tabs>
      </w:pPr>
      <w:bookmarkStart w:id="309" w:name="_Toc119309024"/>
      <w:bookmarkStart w:id="310" w:name="_Toc2175621"/>
      <w:bookmarkStart w:id="311" w:name="_Toc46923764"/>
      <w:r w:rsidRPr="002B55E9">
        <w:rPr>
          <w:rFonts w:hint="eastAsia"/>
        </w:rPr>
        <w:t>与相关</w:t>
      </w:r>
      <w:r w:rsidRPr="002B55E9">
        <w:t>水体规划</w:t>
      </w:r>
      <w:r w:rsidRPr="002B55E9">
        <w:rPr>
          <w:rFonts w:hint="eastAsia"/>
        </w:rPr>
        <w:t>符合性分析</w:t>
      </w:r>
      <w:bookmarkEnd w:id="309"/>
    </w:p>
    <w:p w14:paraId="046EBACA" w14:textId="77777777" w:rsidR="00D170E5" w:rsidRPr="002B55E9" w:rsidRDefault="00EF27AD">
      <w:pPr>
        <w:pStyle w:val="4"/>
        <w:rPr>
          <w:color w:val="auto"/>
        </w:rPr>
      </w:pPr>
      <w:r w:rsidRPr="002B55E9">
        <w:rPr>
          <w:rFonts w:hint="eastAsia"/>
          <w:color w:val="auto"/>
        </w:rPr>
        <w:t>与《中华</w:t>
      </w:r>
      <w:r w:rsidRPr="002B55E9">
        <w:rPr>
          <w:color w:val="auto"/>
        </w:rPr>
        <w:t>人民共和国长江保护法</w:t>
      </w:r>
      <w:r w:rsidRPr="002B55E9">
        <w:rPr>
          <w:rFonts w:hint="eastAsia"/>
          <w:color w:val="auto"/>
        </w:rPr>
        <w:t>》符合性</w:t>
      </w:r>
      <w:r w:rsidRPr="002B55E9">
        <w:rPr>
          <w:color w:val="auto"/>
        </w:rPr>
        <w:t>分析</w:t>
      </w:r>
    </w:p>
    <w:p w14:paraId="27007D4C" w14:textId="77777777" w:rsidR="00D170E5" w:rsidRPr="002B55E9" w:rsidRDefault="00EF27AD">
      <w:pPr>
        <w:pStyle w:val="affff7"/>
      </w:pPr>
      <w:r w:rsidRPr="002B55E9">
        <w:rPr>
          <w:rFonts w:hint="eastAsia"/>
        </w:rPr>
        <w:t>《中华人民共和国长江保护法》自</w:t>
      </w:r>
      <w:r w:rsidRPr="002B55E9">
        <w:rPr>
          <w:rFonts w:hint="eastAsia"/>
        </w:rPr>
        <w:t>2021</w:t>
      </w:r>
      <w:r w:rsidRPr="002B55E9">
        <w:rPr>
          <w:rFonts w:hint="eastAsia"/>
        </w:rPr>
        <w:t>年</w:t>
      </w:r>
      <w:r w:rsidRPr="002B55E9">
        <w:rPr>
          <w:rFonts w:hint="eastAsia"/>
        </w:rPr>
        <w:t>3</w:t>
      </w:r>
      <w:r w:rsidRPr="002B55E9">
        <w:rPr>
          <w:rFonts w:hint="eastAsia"/>
        </w:rPr>
        <w:t>月</w:t>
      </w:r>
      <w:r w:rsidRPr="002B55E9">
        <w:rPr>
          <w:rFonts w:hint="eastAsia"/>
        </w:rPr>
        <w:t>1</w:t>
      </w:r>
      <w:r w:rsidRPr="002B55E9">
        <w:rPr>
          <w:rFonts w:hint="eastAsia"/>
        </w:rPr>
        <w:t>日起施行，其中第二十六条规定：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14:paraId="58D3A300" w14:textId="77777777" w:rsidR="00D170E5" w:rsidRPr="002B55E9" w:rsidRDefault="00EF27AD">
      <w:pPr>
        <w:pStyle w:val="affff7"/>
      </w:pPr>
      <w:r w:rsidRPr="002B55E9">
        <w:rPr>
          <w:rFonts w:hint="eastAsia"/>
        </w:rPr>
        <w:t>禁止在长江干支流岸线一公里范围内新建、扩建化工园区和化工项目。</w:t>
      </w:r>
    </w:p>
    <w:p w14:paraId="4A212166" w14:textId="77777777" w:rsidR="00D170E5" w:rsidRPr="002B55E9" w:rsidRDefault="00EF27AD">
      <w:pPr>
        <w:pStyle w:val="affff7"/>
      </w:pPr>
      <w:r w:rsidRPr="002B55E9">
        <w:rPr>
          <w:rFonts w:hint="eastAsia"/>
        </w:rPr>
        <w:lastRenderedPageBreak/>
        <w:t>禁止在长江干流岸线三公里范围内和重要支流岸线一公里范围内新建、改建、扩建尾矿库；但是以提升安全、生态环境保护水平为目的的改建除外。</w:t>
      </w:r>
    </w:p>
    <w:p w14:paraId="740B1D32" w14:textId="77777777" w:rsidR="00D170E5" w:rsidRPr="002B55E9" w:rsidRDefault="00EF27AD">
      <w:pPr>
        <w:pStyle w:val="affff7"/>
        <w:adjustRightInd w:val="0"/>
        <w:snapToGrid w:val="0"/>
      </w:pPr>
      <w:r w:rsidRPr="002B55E9">
        <w:rPr>
          <w:rFonts w:hint="eastAsia"/>
        </w:rPr>
        <w:t>拟建项目属于食品制造业，建设性质为新建，位于</w:t>
      </w:r>
      <w:r w:rsidRPr="002B55E9">
        <w:rPr>
          <w:rFonts w:hint="eastAsia"/>
          <w:bCs w:val="0"/>
          <w:szCs w:val="24"/>
        </w:rPr>
        <w:t>武汉东西湖区新沟镇食品医疗用地板块</w:t>
      </w:r>
      <w:r w:rsidRPr="002B55E9">
        <w:rPr>
          <w:rFonts w:hint="eastAsia"/>
        </w:rPr>
        <w:t>南部健康食品一区</w:t>
      </w:r>
      <w:r w:rsidRPr="002B55E9">
        <w:rPr>
          <w:rFonts w:hint="eastAsia"/>
          <w:bCs w:val="0"/>
          <w:szCs w:val="24"/>
        </w:rPr>
        <w:t>内</w:t>
      </w:r>
      <w:r w:rsidRPr="002B55E9">
        <w:rPr>
          <w:rFonts w:hint="eastAsia"/>
        </w:rPr>
        <w:t>，距离长江支流汉江约</w:t>
      </w:r>
      <w:r w:rsidRPr="002B55E9">
        <w:t>1.8</w:t>
      </w:r>
      <w:r w:rsidRPr="002B55E9">
        <w:rPr>
          <w:rFonts w:hint="eastAsia"/>
        </w:rPr>
        <w:t>公里，</w:t>
      </w:r>
      <w:r w:rsidRPr="002B55E9">
        <w:t>不属于化工项目，</w:t>
      </w:r>
      <w:r w:rsidRPr="002B55E9">
        <w:rPr>
          <w:rFonts w:hint="eastAsia"/>
        </w:rPr>
        <w:t>因此，拟建项目的建设符合《中华人民共和国长江保护法》的相关要求。</w:t>
      </w:r>
    </w:p>
    <w:p w14:paraId="696BEA84" w14:textId="77777777" w:rsidR="00D170E5" w:rsidRPr="002B55E9" w:rsidRDefault="00EF27AD">
      <w:pPr>
        <w:pStyle w:val="4"/>
        <w:rPr>
          <w:color w:val="auto"/>
        </w:rPr>
      </w:pPr>
      <w:r w:rsidRPr="002B55E9">
        <w:rPr>
          <w:rFonts w:hint="eastAsia"/>
          <w:color w:val="auto"/>
        </w:rPr>
        <w:t>与《长江</w:t>
      </w:r>
      <w:r w:rsidRPr="002B55E9">
        <w:rPr>
          <w:color w:val="auto"/>
        </w:rPr>
        <w:t>经济带发展负面清单指南（</w:t>
      </w:r>
      <w:r w:rsidRPr="002B55E9">
        <w:rPr>
          <w:rFonts w:hint="eastAsia"/>
          <w:color w:val="auto"/>
        </w:rPr>
        <w:t>试行，</w:t>
      </w:r>
      <w:r w:rsidRPr="002B55E9">
        <w:rPr>
          <w:rFonts w:hint="eastAsia"/>
          <w:color w:val="auto"/>
        </w:rPr>
        <w:t>2022</w:t>
      </w:r>
      <w:r w:rsidRPr="002B55E9">
        <w:rPr>
          <w:rFonts w:hint="eastAsia"/>
          <w:color w:val="auto"/>
        </w:rPr>
        <w:t>年</w:t>
      </w:r>
      <w:r w:rsidRPr="002B55E9">
        <w:rPr>
          <w:color w:val="auto"/>
        </w:rPr>
        <w:t>版）</w:t>
      </w:r>
      <w:r w:rsidRPr="002B55E9">
        <w:rPr>
          <w:rFonts w:hint="eastAsia"/>
          <w:color w:val="auto"/>
        </w:rPr>
        <w:t>》符合性</w:t>
      </w:r>
      <w:r w:rsidRPr="002B55E9">
        <w:rPr>
          <w:color w:val="auto"/>
        </w:rPr>
        <w:t>分析</w:t>
      </w:r>
    </w:p>
    <w:p w14:paraId="6C10C4C2" w14:textId="77777777" w:rsidR="00D170E5" w:rsidRPr="002B55E9" w:rsidRDefault="00EF27AD">
      <w:pPr>
        <w:pStyle w:val="affff7"/>
      </w:pPr>
      <w:r w:rsidRPr="002B55E9">
        <w:t>根据推动长江经济带发展领导小组办公室文件《关于发布长江经济带发展负面清单指南（试行，</w:t>
      </w:r>
      <w:r w:rsidRPr="002B55E9">
        <w:t>2022</w:t>
      </w:r>
      <w:r w:rsidRPr="002B55E9">
        <w:t>年版）的通知》（长江办</w:t>
      </w:r>
      <w:r w:rsidRPr="002B55E9">
        <w:t>[2022]7</w:t>
      </w:r>
      <w:r w:rsidRPr="002B55E9">
        <w:t>号），长江经济带发展负面清单如下：</w:t>
      </w:r>
    </w:p>
    <w:p w14:paraId="5A593B83" w14:textId="77777777" w:rsidR="00D170E5" w:rsidRPr="002B55E9" w:rsidRDefault="00EF27AD">
      <w:pPr>
        <w:pStyle w:val="affff7"/>
      </w:pPr>
      <w:r w:rsidRPr="002B55E9">
        <w:rPr>
          <w:rFonts w:ascii="宋体" w:hAnsi="宋体" w:cs="宋体" w:hint="eastAsia"/>
        </w:rPr>
        <w:t>1.</w:t>
      </w:r>
      <w:r w:rsidRPr="002B55E9">
        <w:t>禁止建设不符合全国和省级港口布局规划以及港口总体规划的码头项目，禁止建设不符合《长江干线过江通道布局规划》的过长江通道项目。</w:t>
      </w:r>
    </w:p>
    <w:p w14:paraId="2C4D064E" w14:textId="77777777" w:rsidR="00D170E5" w:rsidRPr="002B55E9" w:rsidRDefault="00EF27AD">
      <w:pPr>
        <w:pStyle w:val="affff7"/>
      </w:pPr>
      <w:r w:rsidRPr="002B55E9">
        <w:rPr>
          <w:rFonts w:ascii="宋体" w:hAnsi="宋体" w:cs="宋体" w:hint="eastAsia"/>
        </w:rPr>
        <w:t>2.</w:t>
      </w:r>
      <w:r w:rsidRPr="002B55E9">
        <w:t>禁止在自然保护区核心区、缓冲区的岸线和河段范围内投资建设旅游和生产经营项目。禁止在风景名胜区核心景区的岸线和河段范围内投资建设与风景名胜资源保护无关的项目。</w:t>
      </w:r>
    </w:p>
    <w:p w14:paraId="21F79F87" w14:textId="77777777" w:rsidR="00D170E5" w:rsidRPr="002B55E9" w:rsidRDefault="00EF27AD">
      <w:pPr>
        <w:pStyle w:val="affff7"/>
      </w:pPr>
      <w:r w:rsidRPr="002B55E9">
        <w:rPr>
          <w:rFonts w:ascii="宋体" w:hAnsi="宋体" w:cs="宋体" w:hint="eastAsia"/>
        </w:rPr>
        <w:t>3.</w:t>
      </w:r>
      <w:r w:rsidRPr="002B55E9">
        <w:t>禁止在饮用水水源一级保护区的岸线和河段范围内新建、改</w:t>
      </w:r>
      <w:r w:rsidRPr="002B55E9">
        <w:t xml:space="preserve"> </w:t>
      </w:r>
      <w:r w:rsidRPr="002B55E9">
        <w:t>建、扩建与供水设施和保护水源无关的项目，以及网箱养殖、畜禽养殖、旅游等可能污染饮用水水体的投资建设项目。禁止在饮用水水源二级保护区的岸线和河段范围内新建、改建、扩建排放污染物的投资建设项目。</w:t>
      </w:r>
    </w:p>
    <w:p w14:paraId="33AFB292" w14:textId="77777777" w:rsidR="00D170E5" w:rsidRPr="002B55E9" w:rsidRDefault="00EF27AD">
      <w:pPr>
        <w:pStyle w:val="affff7"/>
      </w:pPr>
      <w:r w:rsidRPr="002B55E9">
        <w:rPr>
          <w:rFonts w:ascii="宋体" w:hAnsi="宋体" w:cs="宋体" w:hint="eastAsia"/>
        </w:rPr>
        <w:t>4.</w:t>
      </w:r>
      <w:r w:rsidRPr="002B55E9">
        <w:t>禁止在水产种质资源保护区的岸线和河段范围内新建围湖造田、围海造地或围填海等投资建设项目。禁止在国家湿地公园的岸线和河段范围内挖沙、采矿，以及任何不符合主体功能定位的投资建设项目。</w:t>
      </w:r>
    </w:p>
    <w:p w14:paraId="76624B2D" w14:textId="77777777" w:rsidR="00D170E5" w:rsidRPr="002B55E9" w:rsidRDefault="00EF27AD">
      <w:pPr>
        <w:pStyle w:val="affff7"/>
      </w:pPr>
      <w:r w:rsidRPr="002B55E9">
        <w:rPr>
          <w:rFonts w:ascii="宋体" w:hAnsi="宋体" w:cs="宋体" w:hint="eastAsia"/>
        </w:rPr>
        <w:t>5.</w:t>
      </w:r>
      <w:r w:rsidRPr="002B55E9">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33EAE9C5" w14:textId="77777777" w:rsidR="00D170E5" w:rsidRPr="002B55E9" w:rsidRDefault="00EF27AD">
      <w:pPr>
        <w:pStyle w:val="affff7"/>
      </w:pPr>
      <w:r w:rsidRPr="002B55E9">
        <w:rPr>
          <w:rFonts w:ascii="宋体" w:hAnsi="宋体" w:cs="宋体" w:hint="eastAsia"/>
        </w:rPr>
        <w:t>6.</w:t>
      </w:r>
      <w:r w:rsidRPr="002B55E9">
        <w:t>禁止未经许可在长江干支流及湖泊新设、改设或扩大排污口。</w:t>
      </w:r>
    </w:p>
    <w:p w14:paraId="5616FE1C" w14:textId="77777777" w:rsidR="00D170E5" w:rsidRPr="002B55E9" w:rsidRDefault="00EF27AD">
      <w:pPr>
        <w:pStyle w:val="affff7"/>
      </w:pPr>
      <w:r w:rsidRPr="002B55E9">
        <w:rPr>
          <w:rFonts w:ascii="宋体" w:hAnsi="宋体" w:cs="宋体" w:hint="eastAsia"/>
        </w:rPr>
        <w:t>7.</w:t>
      </w:r>
      <w:r w:rsidRPr="002B55E9">
        <w:t>禁止在</w:t>
      </w:r>
      <w:r w:rsidRPr="002B55E9">
        <w:t>“</w:t>
      </w:r>
      <w:r w:rsidRPr="002B55E9">
        <w:t>一江一口两湖七河</w:t>
      </w:r>
      <w:r w:rsidRPr="002B55E9">
        <w:t>”</w:t>
      </w:r>
      <w:r w:rsidRPr="002B55E9">
        <w:t>和</w:t>
      </w:r>
      <w:r w:rsidRPr="002B55E9">
        <w:t>332</w:t>
      </w:r>
      <w:r w:rsidRPr="002B55E9">
        <w:t>个水生生物保护区开展生产性捕捞。</w:t>
      </w:r>
    </w:p>
    <w:p w14:paraId="4B1F6651" w14:textId="77777777" w:rsidR="00D170E5" w:rsidRPr="002B55E9" w:rsidRDefault="00EF27AD">
      <w:pPr>
        <w:pStyle w:val="affff7"/>
      </w:pPr>
      <w:r w:rsidRPr="002B55E9">
        <w:rPr>
          <w:rFonts w:ascii="宋体" w:hAnsi="宋体" w:cs="宋体" w:hint="eastAsia"/>
        </w:rPr>
        <w:t>8.</w:t>
      </w:r>
      <w:r w:rsidRPr="002B55E9">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p w14:paraId="0EA50BB8" w14:textId="77777777" w:rsidR="00D170E5" w:rsidRPr="002B55E9" w:rsidRDefault="00EF27AD">
      <w:pPr>
        <w:pStyle w:val="affff7"/>
      </w:pPr>
      <w:r w:rsidRPr="002B55E9">
        <w:rPr>
          <w:rFonts w:ascii="宋体" w:hAnsi="宋体" w:cs="宋体" w:hint="eastAsia"/>
        </w:rPr>
        <w:lastRenderedPageBreak/>
        <w:t>9.</w:t>
      </w:r>
      <w:r w:rsidRPr="002B55E9">
        <w:t>禁止在合规园区外新建、扩建钢铁、石化、化工、焦化、建材、有色、制浆造纸等高污染项目。</w:t>
      </w:r>
    </w:p>
    <w:p w14:paraId="6CBF4099" w14:textId="77777777" w:rsidR="00D170E5" w:rsidRPr="002B55E9" w:rsidRDefault="00EF27AD">
      <w:pPr>
        <w:pStyle w:val="affff7"/>
      </w:pPr>
      <w:r w:rsidRPr="002B55E9">
        <w:rPr>
          <w:rFonts w:ascii="宋体" w:hAnsi="宋体" w:cs="宋体" w:hint="eastAsia"/>
        </w:rPr>
        <w:t>10.</w:t>
      </w:r>
      <w:r w:rsidRPr="002B55E9">
        <w:t>禁止新建、扩建不符合国家石化、现代煤化工等产业布局规划的项目。</w:t>
      </w:r>
    </w:p>
    <w:p w14:paraId="001E149D" w14:textId="77777777" w:rsidR="00D170E5" w:rsidRPr="002B55E9" w:rsidRDefault="00EF27AD">
      <w:pPr>
        <w:pStyle w:val="affff7"/>
      </w:pPr>
      <w:r w:rsidRPr="002B55E9">
        <w:rPr>
          <w:rFonts w:ascii="宋体" w:hAnsi="宋体" w:cs="宋体" w:hint="eastAsia"/>
        </w:rPr>
        <w:t>11.</w:t>
      </w:r>
      <w:r w:rsidRPr="002B55E9">
        <w:t>禁止新建、扩建法律法规和相关政策明令禁止的落后产能项目。禁止新建、扩建不符合国家产能置换要求的严重过剩产能行业的项目。禁止新建、扩建不符合要求的高耗能高排放项目。</w:t>
      </w:r>
    </w:p>
    <w:p w14:paraId="1D097539" w14:textId="77777777" w:rsidR="00D170E5" w:rsidRPr="002B55E9" w:rsidRDefault="00EF27AD">
      <w:pPr>
        <w:pStyle w:val="affff7"/>
      </w:pPr>
      <w:r w:rsidRPr="002B55E9">
        <w:rPr>
          <w:rFonts w:ascii="宋体" w:hAnsi="宋体" w:cs="宋体" w:hint="eastAsia"/>
        </w:rPr>
        <w:t>12.</w:t>
      </w:r>
      <w:r w:rsidRPr="002B55E9">
        <w:t>法律法规及相关政策文件有更加严格规定的从其规定。</w:t>
      </w:r>
    </w:p>
    <w:p w14:paraId="0EE2C94E" w14:textId="77777777" w:rsidR="00D170E5" w:rsidRPr="002B55E9" w:rsidRDefault="00EF27AD">
      <w:pPr>
        <w:pStyle w:val="affff7"/>
      </w:pPr>
      <w:r w:rsidRPr="002B55E9">
        <w:rPr>
          <w:rFonts w:hint="eastAsia"/>
        </w:rPr>
        <w:t>拟建项目属于食品制造</w:t>
      </w:r>
      <w:r w:rsidRPr="002B55E9">
        <w:t>业</w:t>
      </w:r>
      <w:r w:rsidRPr="002B55E9">
        <w:rPr>
          <w:rFonts w:hint="eastAsia"/>
        </w:rPr>
        <w:t>，不属于钢铁、石化、化工、焦化、建材、有色、制浆造纸等高污染项目，同时项目位于东西湖区新沟镇食品医药</w:t>
      </w:r>
      <w:r w:rsidRPr="002B55E9">
        <w:t>用地板块</w:t>
      </w:r>
      <w:r w:rsidRPr="002B55E9">
        <w:rPr>
          <w:rFonts w:hint="eastAsia"/>
        </w:rPr>
        <w:t>南部健康</w:t>
      </w:r>
      <w:r w:rsidRPr="002B55E9">
        <w:t>食品一区</w:t>
      </w:r>
      <w:r w:rsidRPr="002B55E9">
        <w:rPr>
          <w:rFonts w:hint="eastAsia"/>
        </w:rPr>
        <w:t>，距离汉江约</w:t>
      </w:r>
      <w:r w:rsidRPr="002B55E9">
        <w:t>1.8</w:t>
      </w:r>
      <w:r w:rsidRPr="002B55E9">
        <w:rPr>
          <w:rFonts w:hint="eastAsia"/>
        </w:rPr>
        <w:t>公里。因此，项目建设符合《长江经济带发展负面清单指南（试行，</w:t>
      </w:r>
      <w:r w:rsidRPr="002B55E9">
        <w:rPr>
          <w:rFonts w:hint="eastAsia"/>
        </w:rPr>
        <w:t>2022</w:t>
      </w:r>
      <w:r w:rsidRPr="002B55E9">
        <w:rPr>
          <w:rFonts w:hint="eastAsia"/>
        </w:rPr>
        <w:t>年版）》要求。</w:t>
      </w:r>
    </w:p>
    <w:p w14:paraId="2D515CAD" w14:textId="58373559" w:rsidR="00D170E5" w:rsidRPr="002B55E9" w:rsidRDefault="00EF27AD" w:rsidP="00BD31DC">
      <w:pPr>
        <w:pStyle w:val="4"/>
        <w:rPr>
          <w:color w:val="auto"/>
        </w:rPr>
      </w:pPr>
      <w:r w:rsidRPr="002B55E9">
        <w:rPr>
          <w:rFonts w:hint="eastAsia"/>
          <w:color w:val="auto"/>
        </w:rPr>
        <w:tab/>
      </w:r>
      <w:r w:rsidR="00BD31DC" w:rsidRPr="002B55E9">
        <w:rPr>
          <w:rFonts w:hint="eastAsia"/>
          <w:color w:val="auto"/>
        </w:rPr>
        <w:t>与《省长江办关于印发</w:t>
      </w:r>
      <w:r w:rsidR="00BD31DC" w:rsidRPr="002B55E9">
        <w:rPr>
          <w:rFonts w:hint="eastAsia"/>
          <w:color w:val="auto"/>
        </w:rPr>
        <w:t>&lt;</w:t>
      </w:r>
      <w:r w:rsidR="00BD31DC" w:rsidRPr="002B55E9">
        <w:rPr>
          <w:rFonts w:hint="eastAsia"/>
          <w:color w:val="auto"/>
        </w:rPr>
        <w:t>长江经济带发展负面清单指南（试行，</w:t>
      </w:r>
      <w:r w:rsidR="00BD31DC" w:rsidRPr="002B55E9">
        <w:rPr>
          <w:rFonts w:hint="eastAsia"/>
          <w:color w:val="auto"/>
        </w:rPr>
        <w:t>2022</w:t>
      </w:r>
      <w:r w:rsidR="00BD31DC" w:rsidRPr="002B55E9">
        <w:rPr>
          <w:rFonts w:hint="eastAsia"/>
          <w:color w:val="auto"/>
        </w:rPr>
        <w:t>年版）湖北省实施细则</w:t>
      </w:r>
      <w:r w:rsidR="00BD31DC" w:rsidRPr="002B55E9">
        <w:rPr>
          <w:rFonts w:hint="eastAsia"/>
          <w:color w:val="auto"/>
        </w:rPr>
        <w:t>&gt;</w:t>
      </w:r>
      <w:r w:rsidR="00BD31DC" w:rsidRPr="002B55E9">
        <w:rPr>
          <w:rFonts w:hint="eastAsia"/>
          <w:color w:val="auto"/>
        </w:rPr>
        <w:t>的通知》（鄂长江办</w:t>
      </w:r>
      <w:r w:rsidR="00BD31DC" w:rsidRPr="002B55E9">
        <w:rPr>
          <w:rFonts w:hint="eastAsia"/>
          <w:color w:val="auto"/>
        </w:rPr>
        <w:t>[2022]18</w:t>
      </w:r>
      <w:r w:rsidR="00BD31DC" w:rsidRPr="002B55E9">
        <w:rPr>
          <w:rFonts w:hint="eastAsia"/>
          <w:color w:val="auto"/>
        </w:rPr>
        <w:t>号）相符性</w:t>
      </w:r>
      <w:r w:rsidR="00BD31DC" w:rsidRPr="002B55E9">
        <w:rPr>
          <w:color w:val="auto"/>
        </w:rPr>
        <w:t>分析</w:t>
      </w:r>
    </w:p>
    <w:p w14:paraId="35F30104" w14:textId="77777777" w:rsidR="00BD31DC" w:rsidRPr="002B55E9" w:rsidRDefault="00BD31DC" w:rsidP="00BD31DC">
      <w:pPr>
        <w:adjustRightInd w:val="0"/>
        <w:snapToGrid w:val="0"/>
        <w:spacing w:line="360" w:lineRule="auto"/>
        <w:ind w:firstLineChars="200" w:firstLine="480"/>
        <w:rPr>
          <w:bCs/>
          <w:snapToGrid w:val="0"/>
          <w:sz w:val="24"/>
        </w:rPr>
      </w:pPr>
      <w:r w:rsidRPr="002B55E9">
        <w:rPr>
          <w:bCs/>
          <w:snapToGrid w:val="0"/>
          <w:sz w:val="24"/>
        </w:rPr>
        <w:t>湖北省推动长江经济带发展和生态保护领导小组办公室于</w:t>
      </w:r>
      <w:r w:rsidRPr="002B55E9">
        <w:rPr>
          <w:bCs/>
          <w:snapToGrid w:val="0"/>
          <w:sz w:val="24"/>
        </w:rPr>
        <w:t>2022</w:t>
      </w:r>
      <w:r w:rsidRPr="002B55E9">
        <w:rPr>
          <w:bCs/>
          <w:snapToGrid w:val="0"/>
          <w:sz w:val="24"/>
        </w:rPr>
        <w:t>年</w:t>
      </w:r>
      <w:r w:rsidRPr="002B55E9">
        <w:rPr>
          <w:bCs/>
          <w:snapToGrid w:val="0"/>
          <w:sz w:val="24"/>
        </w:rPr>
        <w:t>10</w:t>
      </w:r>
      <w:r w:rsidRPr="002B55E9">
        <w:rPr>
          <w:bCs/>
          <w:snapToGrid w:val="0"/>
          <w:sz w:val="24"/>
        </w:rPr>
        <w:t>月</w:t>
      </w:r>
      <w:r w:rsidRPr="002B55E9">
        <w:rPr>
          <w:bCs/>
          <w:snapToGrid w:val="0"/>
          <w:sz w:val="24"/>
        </w:rPr>
        <w:t>10</w:t>
      </w:r>
      <w:r w:rsidRPr="002B55E9">
        <w:rPr>
          <w:bCs/>
          <w:snapToGrid w:val="0"/>
          <w:sz w:val="24"/>
        </w:rPr>
        <w:t>日印发</w:t>
      </w:r>
      <w:r w:rsidRPr="002B55E9">
        <w:rPr>
          <w:bCs/>
          <w:snapToGrid w:val="0"/>
          <w:sz w:val="24"/>
        </w:rPr>
        <w:t xml:space="preserve"> </w:t>
      </w:r>
      <w:r w:rsidRPr="002B55E9">
        <w:rPr>
          <w:bCs/>
          <w:snapToGrid w:val="0"/>
          <w:sz w:val="24"/>
        </w:rPr>
        <w:t>了《省长江办关于印发</w:t>
      </w:r>
      <w:r w:rsidRPr="002B55E9">
        <w:rPr>
          <w:bCs/>
          <w:snapToGrid w:val="0"/>
          <w:sz w:val="24"/>
        </w:rPr>
        <w:t>&lt;</w:t>
      </w:r>
      <w:r w:rsidRPr="002B55E9">
        <w:rPr>
          <w:bCs/>
          <w:snapToGrid w:val="0"/>
          <w:sz w:val="24"/>
        </w:rPr>
        <w:t>长江经济带发展负面清单指南（试行，</w:t>
      </w:r>
      <w:r w:rsidRPr="002B55E9">
        <w:rPr>
          <w:bCs/>
          <w:snapToGrid w:val="0"/>
          <w:sz w:val="24"/>
        </w:rPr>
        <w:t>2022</w:t>
      </w:r>
      <w:r w:rsidRPr="002B55E9">
        <w:rPr>
          <w:bCs/>
          <w:snapToGrid w:val="0"/>
          <w:sz w:val="24"/>
        </w:rPr>
        <w:t>年版）湖北省实施细则</w:t>
      </w:r>
      <w:r w:rsidRPr="002B55E9">
        <w:rPr>
          <w:bCs/>
          <w:snapToGrid w:val="0"/>
          <w:sz w:val="24"/>
        </w:rPr>
        <w:t>&gt;</w:t>
      </w:r>
      <w:r w:rsidRPr="002B55E9">
        <w:rPr>
          <w:bCs/>
          <w:snapToGrid w:val="0"/>
          <w:sz w:val="24"/>
        </w:rPr>
        <w:t>的通知》（鄂长江办</w:t>
      </w:r>
      <w:r w:rsidRPr="002B55E9">
        <w:rPr>
          <w:bCs/>
          <w:snapToGrid w:val="0"/>
          <w:sz w:val="24"/>
        </w:rPr>
        <w:t>[2022]18</w:t>
      </w:r>
      <w:r w:rsidRPr="002B55E9">
        <w:rPr>
          <w:bCs/>
          <w:snapToGrid w:val="0"/>
          <w:sz w:val="24"/>
        </w:rPr>
        <w:t>号），本</w:t>
      </w:r>
      <w:r w:rsidRPr="002B55E9">
        <w:rPr>
          <w:rFonts w:hint="eastAsia"/>
          <w:bCs/>
          <w:snapToGrid w:val="0"/>
          <w:sz w:val="24"/>
        </w:rPr>
        <w:t>项目</w:t>
      </w:r>
      <w:r w:rsidRPr="002B55E9">
        <w:rPr>
          <w:bCs/>
          <w:snapToGrid w:val="0"/>
          <w:sz w:val="24"/>
        </w:rPr>
        <w:t>与《长江经济带发展负面清单指南（试行，</w:t>
      </w:r>
      <w:r w:rsidRPr="002B55E9">
        <w:rPr>
          <w:bCs/>
          <w:snapToGrid w:val="0"/>
          <w:sz w:val="24"/>
        </w:rPr>
        <w:t>2022</w:t>
      </w:r>
      <w:r w:rsidRPr="002B55E9">
        <w:rPr>
          <w:bCs/>
          <w:snapToGrid w:val="0"/>
          <w:sz w:val="24"/>
        </w:rPr>
        <w:t>年版）湖北省实施细则》的相符合分析具体见下表</w:t>
      </w:r>
      <w:r w:rsidRPr="002B55E9">
        <w:rPr>
          <w:rFonts w:hint="eastAsia"/>
          <w:bCs/>
          <w:snapToGrid w:val="0"/>
          <w:sz w:val="24"/>
        </w:rPr>
        <w:t>。</w:t>
      </w:r>
    </w:p>
    <w:p w14:paraId="467AD277" w14:textId="448BDFD5" w:rsidR="00BD31DC" w:rsidRPr="002B55E9" w:rsidRDefault="00BD31DC" w:rsidP="00BD31DC">
      <w:pPr>
        <w:adjustRightInd w:val="0"/>
        <w:snapToGrid w:val="0"/>
        <w:jc w:val="center"/>
        <w:rPr>
          <w:rFonts w:ascii="黑体" w:eastAsia="黑体" w:hAnsi="黑体"/>
          <w:b/>
          <w:kern w:val="2"/>
          <w:sz w:val="24"/>
          <w:szCs w:val="21"/>
        </w:rPr>
      </w:pPr>
      <w:r w:rsidRPr="002B55E9">
        <w:rPr>
          <w:rFonts w:ascii="黑体" w:eastAsia="黑体" w:hAnsi="黑体" w:hint="eastAsia"/>
          <w:b/>
          <w:kern w:val="2"/>
          <w:sz w:val="24"/>
          <w:szCs w:val="21"/>
        </w:rPr>
        <w:t>表9-3-1</w:t>
      </w:r>
      <w:r w:rsidRPr="002B55E9">
        <w:rPr>
          <w:rFonts w:ascii="黑体" w:eastAsia="黑体" w:hAnsi="黑体"/>
          <w:b/>
          <w:kern w:val="2"/>
          <w:sz w:val="24"/>
          <w:szCs w:val="21"/>
        </w:rPr>
        <w:t xml:space="preserve">  与《长江经济带发展负面清单指南（试行，2022年版）湖北省实施细则》相符性分析</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5043"/>
        <w:gridCol w:w="2782"/>
        <w:gridCol w:w="925"/>
      </w:tblGrid>
      <w:tr w:rsidR="00C60999" w:rsidRPr="002B55E9" w14:paraId="7C224681" w14:textId="77777777" w:rsidTr="00BD31DC">
        <w:trPr>
          <w:trHeight w:val="283"/>
        </w:trPr>
        <w:tc>
          <w:tcPr>
            <w:tcW w:w="766" w:type="dxa"/>
            <w:tcBorders>
              <w:top w:val="single" w:sz="12" w:space="0" w:color="auto"/>
              <w:left w:val="nil"/>
              <w:bottom w:val="single" w:sz="12" w:space="0" w:color="auto"/>
              <w:right w:val="single" w:sz="4" w:space="0" w:color="auto"/>
            </w:tcBorders>
            <w:vAlign w:val="center"/>
          </w:tcPr>
          <w:p w14:paraId="70E8FB2A" w14:textId="77777777" w:rsidR="00BD31DC" w:rsidRPr="002B55E9" w:rsidRDefault="00BD31DC" w:rsidP="00BD31DC">
            <w:pPr>
              <w:jc w:val="center"/>
              <w:rPr>
                <w:bCs/>
                <w:sz w:val="18"/>
                <w:szCs w:val="18"/>
              </w:rPr>
            </w:pPr>
            <w:r w:rsidRPr="002B55E9">
              <w:rPr>
                <w:bCs/>
                <w:sz w:val="18"/>
                <w:szCs w:val="18"/>
              </w:rPr>
              <w:t>序号</w:t>
            </w:r>
            <w:r w:rsidRPr="002B55E9">
              <w:rPr>
                <w:bCs/>
                <w:sz w:val="18"/>
                <w:szCs w:val="18"/>
              </w:rPr>
              <w:t xml:space="preserve"> </w:t>
            </w:r>
          </w:p>
        </w:tc>
        <w:tc>
          <w:tcPr>
            <w:tcW w:w="4096" w:type="dxa"/>
            <w:tcBorders>
              <w:top w:val="single" w:sz="12" w:space="0" w:color="auto"/>
              <w:left w:val="single" w:sz="4" w:space="0" w:color="auto"/>
              <w:bottom w:val="single" w:sz="12" w:space="0" w:color="auto"/>
              <w:right w:val="single" w:sz="4" w:space="0" w:color="auto"/>
            </w:tcBorders>
            <w:vAlign w:val="center"/>
          </w:tcPr>
          <w:p w14:paraId="34F87597" w14:textId="77777777" w:rsidR="00BD31DC" w:rsidRPr="002B55E9" w:rsidRDefault="00BD31DC" w:rsidP="00BD31DC">
            <w:pPr>
              <w:jc w:val="center"/>
              <w:rPr>
                <w:bCs/>
                <w:sz w:val="18"/>
                <w:szCs w:val="18"/>
              </w:rPr>
            </w:pPr>
            <w:r w:rsidRPr="002B55E9">
              <w:rPr>
                <w:bCs/>
                <w:sz w:val="18"/>
                <w:szCs w:val="18"/>
              </w:rPr>
              <w:t>内容</w:t>
            </w:r>
            <w:r w:rsidRPr="002B55E9">
              <w:rPr>
                <w:bCs/>
                <w:sz w:val="18"/>
                <w:szCs w:val="18"/>
              </w:rPr>
              <w:t xml:space="preserve"> </w:t>
            </w:r>
          </w:p>
        </w:tc>
        <w:tc>
          <w:tcPr>
            <w:tcW w:w="2260" w:type="dxa"/>
            <w:tcBorders>
              <w:top w:val="single" w:sz="12" w:space="0" w:color="auto"/>
              <w:left w:val="single" w:sz="4" w:space="0" w:color="auto"/>
              <w:bottom w:val="single" w:sz="12" w:space="0" w:color="auto"/>
              <w:right w:val="single" w:sz="4" w:space="0" w:color="auto"/>
            </w:tcBorders>
            <w:vAlign w:val="center"/>
          </w:tcPr>
          <w:p w14:paraId="3AC3FB19" w14:textId="77777777" w:rsidR="00BD31DC" w:rsidRPr="002B55E9" w:rsidRDefault="00BD31DC" w:rsidP="00BD31DC">
            <w:pPr>
              <w:jc w:val="center"/>
              <w:rPr>
                <w:bCs/>
                <w:sz w:val="18"/>
                <w:szCs w:val="18"/>
              </w:rPr>
            </w:pPr>
            <w:r w:rsidRPr="002B55E9">
              <w:rPr>
                <w:bCs/>
                <w:sz w:val="18"/>
                <w:szCs w:val="18"/>
              </w:rPr>
              <w:t>相符性分析</w:t>
            </w:r>
            <w:r w:rsidRPr="002B55E9">
              <w:rPr>
                <w:bCs/>
                <w:sz w:val="18"/>
                <w:szCs w:val="18"/>
              </w:rPr>
              <w:t xml:space="preserve"> </w:t>
            </w:r>
          </w:p>
        </w:tc>
        <w:tc>
          <w:tcPr>
            <w:tcW w:w="751" w:type="dxa"/>
            <w:tcBorders>
              <w:top w:val="single" w:sz="12" w:space="0" w:color="auto"/>
              <w:left w:val="single" w:sz="4" w:space="0" w:color="auto"/>
              <w:bottom w:val="single" w:sz="12" w:space="0" w:color="auto"/>
              <w:right w:val="nil"/>
            </w:tcBorders>
            <w:vAlign w:val="center"/>
          </w:tcPr>
          <w:p w14:paraId="0B84AE60" w14:textId="77777777" w:rsidR="00BD31DC" w:rsidRPr="002B55E9" w:rsidRDefault="00BD31DC" w:rsidP="00BD31DC">
            <w:pPr>
              <w:jc w:val="center"/>
              <w:rPr>
                <w:bCs/>
                <w:sz w:val="18"/>
                <w:szCs w:val="18"/>
              </w:rPr>
            </w:pPr>
            <w:r w:rsidRPr="002B55E9">
              <w:rPr>
                <w:bCs/>
                <w:sz w:val="18"/>
                <w:szCs w:val="18"/>
              </w:rPr>
              <w:t>符合性</w:t>
            </w:r>
            <w:r w:rsidRPr="002B55E9">
              <w:rPr>
                <w:bCs/>
                <w:sz w:val="18"/>
                <w:szCs w:val="18"/>
              </w:rPr>
              <w:t xml:space="preserve"> </w:t>
            </w:r>
          </w:p>
        </w:tc>
      </w:tr>
      <w:tr w:rsidR="00C60999" w:rsidRPr="002B55E9" w14:paraId="293259A0" w14:textId="77777777" w:rsidTr="00BD31DC">
        <w:trPr>
          <w:trHeight w:val="283"/>
        </w:trPr>
        <w:tc>
          <w:tcPr>
            <w:tcW w:w="766" w:type="dxa"/>
            <w:vAlign w:val="center"/>
          </w:tcPr>
          <w:p w14:paraId="49F7B474" w14:textId="77777777" w:rsidR="00BD31DC" w:rsidRPr="002B55E9" w:rsidRDefault="00BD31DC" w:rsidP="00BD31DC">
            <w:pPr>
              <w:jc w:val="center"/>
              <w:rPr>
                <w:bCs/>
                <w:sz w:val="18"/>
                <w:szCs w:val="18"/>
              </w:rPr>
            </w:pPr>
            <w:r w:rsidRPr="002B55E9">
              <w:rPr>
                <w:bCs/>
                <w:sz w:val="18"/>
                <w:szCs w:val="18"/>
              </w:rPr>
              <w:t xml:space="preserve">1 </w:t>
            </w:r>
          </w:p>
        </w:tc>
        <w:tc>
          <w:tcPr>
            <w:tcW w:w="4096" w:type="dxa"/>
            <w:vAlign w:val="center"/>
          </w:tcPr>
          <w:p w14:paraId="3ED2AE11" w14:textId="77777777" w:rsidR="00BD31DC" w:rsidRPr="002B55E9" w:rsidRDefault="00BD31DC" w:rsidP="00BD31DC">
            <w:pPr>
              <w:rPr>
                <w:bCs/>
                <w:sz w:val="18"/>
                <w:szCs w:val="18"/>
              </w:rPr>
            </w:pPr>
            <w:r w:rsidRPr="002B55E9">
              <w:rPr>
                <w:bCs/>
                <w:sz w:val="18"/>
                <w:szCs w:val="18"/>
              </w:rPr>
              <w:t>禁止建设不符合全国和省级港口布局规划以及港口总体规划的码头项目，禁止建设不符合《长江干线过江通道布局规划》的过长江通道项目。</w:t>
            </w:r>
            <w:r w:rsidRPr="002B55E9">
              <w:rPr>
                <w:bCs/>
                <w:sz w:val="18"/>
                <w:szCs w:val="18"/>
              </w:rPr>
              <w:t xml:space="preserve"> </w:t>
            </w:r>
          </w:p>
        </w:tc>
        <w:tc>
          <w:tcPr>
            <w:tcW w:w="2260" w:type="dxa"/>
            <w:vAlign w:val="center"/>
          </w:tcPr>
          <w:p w14:paraId="336C998B" w14:textId="77777777" w:rsidR="00BD31DC" w:rsidRPr="002B55E9" w:rsidRDefault="00BD31DC" w:rsidP="00BD31DC">
            <w:pPr>
              <w:rPr>
                <w:bCs/>
                <w:sz w:val="18"/>
                <w:szCs w:val="18"/>
              </w:rPr>
            </w:pPr>
            <w:r w:rsidRPr="002B55E9">
              <w:rPr>
                <w:bCs/>
                <w:sz w:val="18"/>
                <w:szCs w:val="18"/>
              </w:rPr>
              <w:t>本项目不属于码头项目、不属于过长江通道项目。</w:t>
            </w:r>
          </w:p>
        </w:tc>
        <w:tc>
          <w:tcPr>
            <w:tcW w:w="751" w:type="dxa"/>
            <w:vAlign w:val="center"/>
          </w:tcPr>
          <w:p w14:paraId="684B3B64"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0EF8EB46" w14:textId="77777777" w:rsidTr="00BD31DC">
        <w:trPr>
          <w:trHeight w:val="283"/>
        </w:trPr>
        <w:tc>
          <w:tcPr>
            <w:tcW w:w="766" w:type="dxa"/>
            <w:vAlign w:val="center"/>
          </w:tcPr>
          <w:p w14:paraId="0BA510FE" w14:textId="77777777" w:rsidR="00BD31DC" w:rsidRPr="002B55E9" w:rsidRDefault="00BD31DC" w:rsidP="00BD31DC">
            <w:pPr>
              <w:jc w:val="center"/>
              <w:rPr>
                <w:bCs/>
                <w:sz w:val="18"/>
                <w:szCs w:val="18"/>
              </w:rPr>
            </w:pPr>
            <w:r w:rsidRPr="002B55E9">
              <w:rPr>
                <w:bCs/>
                <w:sz w:val="18"/>
                <w:szCs w:val="18"/>
              </w:rPr>
              <w:t xml:space="preserve">2 </w:t>
            </w:r>
          </w:p>
        </w:tc>
        <w:tc>
          <w:tcPr>
            <w:tcW w:w="4096" w:type="dxa"/>
            <w:vAlign w:val="center"/>
          </w:tcPr>
          <w:p w14:paraId="568986C9" w14:textId="77777777" w:rsidR="00BD31DC" w:rsidRPr="002B55E9" w:rsidRDefault="00BD31DC" w:rsidP="00BD31DC">
            <w:pPr>
              <w:rPr>
                <w:bCs/>
                <w:sz w:val="18"/>
                <w:szCs w:val="18"/>
              </w:rPr>
            </w:pPr>
            <w:r w:rsidRPr="002B55E9">
              <w:rPr>
                <w:bCs/>
                <w:sz w:val="18"/>
                <w:szCs w:val="18"/>
              </w:rPr>
              <w:t>禁止在自然保护区核心区、缓冲区的岸线和河段范围内投资建设旅游和生产经营项目。禁止在风景名胜区核心景区的岸线和河段范围内投资建设与风景名胜资源保护无关的项目。</w:t>
            </w:r>
            <w:r w:rsidRPr="002B55E9">
              <w:rPr>
                <w:bCs/>
                <w:sz w:val="18"/>
                <w:szCs w:val="18"/>
              </w:rPr>
              <w:t xml:space="preserve"> </w:t>
            </w:r>
          </w:p>
        </w:tc>
        <w:tc>
          <w:tcPr>
            <w:tcW w:w="2260" w:type="dxa"/>
            <w:vAlign w:val="center"/>
          </w:tcPr>
          <w:p w14:paraId="7504B4CB" w14:textId="77777777" w:rsidR="00BD31DC" w:rsidRPr="002B55E9" w:rsidRDefault="00BD31DC" w:rsidP="00BD31DC">
            <w:pPr>
              <w:rPr>
                <w:bCs/>
                <w:sz w:val="18"/>
                <w:szCs w:val="18"/>
              </w:rPr>
            </w:pPr>
            <w:r w:rsidRPr="002B55E9">
              <w:rPr>
                <w:bCs/>
                <w:sz w:val="18"/>
                <w:szCs w:val="18"/>
              </w:rPr>
              <w:t>本项目不在自然保护区、缓冲区的岸线和河段范围内；不在风景名胜区核心景区的岸线和河段范围内。</w:t>
            </w:r>
          </w:p>
        </w:tc>
        <w:tc>
          <w:tcPr>
            <w:tcW w:w="751" w:type="dxa"/>
            <w:vAlign w:val="center"/>
          </w:tcPr>
          <w:p w14:paraId="5098BF8A"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0479CF0B" w14:textId="77777777" w:rsidTr="00BD31DC">
        <w:trPr>
          <w:trHeight w:val="283"/>
        </w:trPr>
        <w:tc>
          <w:tcPr>
            <w:tcW w:w="766" w:type="dxa"/>
            <w:vAlign w:val="center"/>
          </w:tcPr>
          <w:p w14:paraId="7E66A39C" w14:textId="77777777" w:rsidR="00BD31DC" w:rsidRPr="002B55E9" w:rsidRDefault="00BD31DC" w:rsidP="00BD31DC">
            <w:pPr>
              <w:jc w:val="center"/>
              <w:rPr>
                <w:bCs/>
                <w:sz w:val="18"/>
                <w:szCs w:val="18"/>
              </w:rPr>
            </w:pPr>
            <w:r w:rsidRPr="002B55E9">
              <w:rPr>
                <w:bCs/>
                <w:sz w:val="18"/>
                <w:szCs w:val="18"/>
              </w:rPr>
              <w:t xml:space="preserve">3 </w:t>
            </w:r>
          </w:p>
        </w:tc>
        <w:tc>
          <w:tcPr>
            <w:tcW w:w="4096" w:type="dxa"/>
            <w:vAlign w:val="center"/>
          </w:tcPr>
          <w:p w14:paraId="429F86F1" w14:textId="77777777" w:rsidR="00BD31DC" w:rsidRPr="002B55E9" w:rsidRDefault="00BD31DC" w:rsidP="00BD31DC">
            <w:pPr>
              <w:rPr>
                <w:bCs/>
                <w:sz w:val="18"/>
                <w:szCs w:val="18"/>
              </w:rPr>
            </w:pPr>
            <w:r w:rsidRPr="002B55E9">
              <w:rPr>
                <w:bCs/>
                <w:sz w:val="18"/>
                <w:szCs w:val="18"/>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sidRPr="002B55E9">
              <w:rPr>
                <w:bCs/>
                <w:sz w:val="18"/>
                <w:szCs w:val="18"/>
              </w:rPr>
              <w:t xml:space="preserve"> </w:t>
            </w:r>
          </w:p>
        </w:tc>
        <w:tc>
          <w:tcPr>
            <w:tcW w:w="2260" w:type="dxa"/>
            <w:vAlign w:val="center"/>
          </w:tcPr>
          <w:p w14:paraId="7D089B59" w14:textId="77777777" w:rsidR="00BD31DC" w:rsidRPr="002B55E9" w:rsidRDefault="00BD31DC" w:rsidP="00BD31DC">
            <w:pPr>
              <w:rPr>
                <w:bCs/>
                <w:sz w:val="18"/>
                <w:szCs w:val="18"/>
              </w:rPr>
            </w:pPr>
            <w:r w:rsidRPr="002B55E9">
              <w:rPr>
                <w:bCs/>
                <w:sz w:val="18"/>
                <w:szCs w:val="18"/>
              </w:rPr>
              <w:t>本项目不在饮用水水源一级保护区的岸线和河段范围内；本项目不在饮用水水源二级保护区的岸线和河段范围内。</w:t>
            </w:r>
            <w:r w:rsidRPr="002B55E9">
              <w:rPr>
                <w:bCs/>
                <w:sz w:val="18"/>
                <w:szCs w:val="18"/>
              </w:rPr>
              <w:t xml:space="preserve"> </w:t>
            </w:r>
          </w:p>
        </w:tc>
        <w:tc>
          <w:tcPr>
            <w:tcW w:w="751" w:type="dxa"/>
            <w:vAlign w:val="center"/>
          </w:tcPr>
          <w:p w14:paraId="4E3C9054"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327B16EA" w14:textId="77777777" w:rsidTr="00BD31DC">
        <w:trPr>
          <w:trHeight w:val="283"/>
        </w:trPr>
        <w:tc>
          <w:tcPr>
            <w:tcW w:w="766" w:type="dxa"/>
            <w:vAlign w:val="center"/>
          </w:tcPr>
          <w:p w14:paraId="50089B62" w14:textId="77777777" w:rsidR="00BD31DC" w:rsidRPr="002B55E9" w:rsidRDefault="00BD31DC" w:rsidP="00BD31DC">
            <w:pPr>
              <w:jc w:val="center"/>
              <w:rPr>
                <w:bCs/>
                <w:sz w:val="18"/>
                <w:szCs w:val="18"/>
              </w:rPr>
            </w:pPr>
            <w:r w:rsidRPr="002B55E9">
              <w:rPr>
                <w:bCs/>
                <w:sz w:val="18"/>
                <w:szCs w:val="18"/>
              </w:rPr>
              <w:t xml:space="preserve">4 </w:t>
            </w:r>
          </w:p>
        </w:tc>
        <w:tc>
          <w:tcPr>
            <w:tcW w:w="4096" w:type="dxa"/>
            <w:vAlign w:val="center"/>
          </w:tcPr>
          <w:p w14:paraId="753DD5E4" w14:textId="77777777" w:rsidR="00BD31DC" w:rsidRPr="002B55E9" w:rsidRDefault="00BD31DC" w:rsidP="00BD31DC">
            <w:pPr>
              <w:rPr>
                <w:bCs/>
                <w:sz w:val="18"/>
                <w:szCs w:val="18"/>
              </w:rPr>
            </w:pPr>
            <w:r w:rsidRPr="002B55E9">
              <w:rPr>
                <w:bCs/>
                <w:sz w:val="18"/>
                <w:szCs w:val="18"/>
              </w:rPr>
              <w:t>禁止在水产种质资源保护区的岸线和河段范围内新建围湖（河）造田等投资建设项目。涉水产种质资源保护区建设项目应按照《长江水生生物保护管理规定》《水产种质资源保护管理暂行办法》等要求，依法依规依程序进行专题论证并办理相关手续。</w:t>
            </w:r>
            <w:r w:rsidRPr="002B55E9">
              <w:rPr>
                <w:bCs/>
                <w:sz w:val="18"/>
                <w:szCs w:val="18"/>
              </w:rPr>
              <w:t xml:space="preserve"> </w:t>
            </w:r>
          </w:p>
        </w:tc>
        <w:tc>
          <w:tcPr>
            <w:tcW w:w="2260" w:type="dxa"/>
            <w:vAlign w:val="center"/>
          </w:tcPr>
          <w:p w14:paraId="60437D1E" w14:textId="77777777" w:rsidR="00BD31DC" w:rsidRPr="002B55E9" w:rsidRDefault="00BD31DC" w:rsidP="00BD31DC">
            <w:pPr>
              <w:rPr>
                <w:bCs/>
                <w:sz w:val="18"/>
                <w:szCs w:val="18"/>
              </w:rPr>
            </w:pPr>
            <w:r w:rsidRPr="002B55E9">
              <w:rPr>
                <w:bCs/>
                <w:sz w:val="18"/>
                <w:szCs w:val="18"/>
              </w:rPr>
              <w:t>本项目不在水产种质资源保护区的岸线和河段范围内。不在国家湿地公园的岸线和河段范围内。</w:t>
            </w:r>
            <w:r w:rsidRPr="002B55E9">
              <w:rPr>
                <w:bCs/>
                <w:sz w:val="18"/>
                <w:szCs w:val="18"/>
              </w:rPr>
              <w:t xml:space="preserve"> </w:t>
            </w:r>
          </w:p>
        </w:tc>
        <w:tc>
          <w:tcPr>
            <w:tcW w:w="751" w:type="dxa"/>
            <w:vAlign w:val="center"/>
          </w:tcPr>
          <w:p w14:paraId="1823DA51"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0A81CD5D" w14:textId="77777777" w:rsidTr="00BD31DC">
        <w:trPr>
          <w:trHeight w:val="283"/>
        </w:trPr>
        <w:tc>
          <w:tcPr>
            <w:tcW w:w="766" w:type="dxa"/>
            <w:vAlign w:val="center"/>
          </w:tcPr>
          <w:p w14:paraId="372ADF68" w14:textId="77777777" w:rsidR="00BD31DC" w:rsidRPr="002B55E9" w:rsidRDefault="00BD31DC" w:rsidP="00BD31DC">
            <w:pPr>
              <w:jc w:val="center"/>
              <w:rPr>
                <w:bCs/>
                <w:sz w:val="18"/>
                <w:szCs w:val="18"/>
              </w:rPr>
            </w:pPr>
            <w:r w:rsidRPr="002B55E9">
              <w:rPr>
                <w:bCs/>
                <w:sz w:val="18"/>
                <w:szCs w:val="18"/>
              </w:rPr>
              <w:t xml:space="preserve">5 </w:t>
            </w:r>
          </w:p>
        </w:tc>
        <w:tc>
          <w:tcPr>
            <w:tcW w:w="4096" w:type="dxa"/>
            <w:vAlign w:val="center"/>
          </w:tcPr>
          <w:p w14:paraId="02C96ECE" w14:textId="77777777" w:rsidR="00BD31DC" w:rsidRPr="002B55E9" w:rsidRDefault="00BD31DC" w:rsidP="00BD31DC">
            <w:pPr>
              <w:rPr>
                <w:bCs/>
                <w:sz w:val="18"/>
                <w:szCs w:val="18"/>
              </w:rPr>
            </w:pPr>
            <w:r w:rsidRPr="002B55E9">
              <w:rPr>
                <w:bCs/>
                <w:sz w:val="18"/>
                <w:szCs w:val="18"/>
              </w:rPr>
              <w:t>禁止在国家湿地公园的岸线和河段范围内挖沙、采矿，以及任何不符合主体功能定位的投资建设项目。</w:t>
            </w:r>
            <w:r w:rsidRPr="002B55E9">
              <w:rPr>
                <w:bCs/>
                <w:sz w:val="18"/>
                <w:szCs w:val="18"/>
              </w:rPr>
              <w:t xml:space="preserve"> </w:t>
            </w:r>
          </w:p>
        </w:tc>
        <w:tc>
          <w:tcPr>
            <w:tcW w:w="2260" w:type="dxa"/>
            <w:vAlign w:val="center"/>
          </w:tcPr>
          <w:p w14:paraId="04AC7608" w14:textId="44EB054A" w:rsidR="00BD31DC" w:rsidRPr="002B55E9" w:rsidRDefault="00BD31DC" w:rsidP="00BD31DC">
            <w:pPr>
              <w:rPr>
                <w:bCs/>
                <w:sz w:val="18"/>
                <w:szCs w:val="18"/>
              </w:rPr>
            </w:pPr>
            <w:r w:rsidRPr="002B55E9">
              <w:rPr>
                <w:bCs/>
                <w:sz w:val="18"/>
                <w:szCs w:val="18"/>
              </w:rPr>
              <w:t>本项目</w:t>
            </w:r>
            <w:r w:rsidRPr="002B55E9">
              <w:rPr>
                <w:bCs/>
                <w:sz w:val="18"/>
                <w:szCs w:val="21"/>
              </w:rPr>
              <w:t>不在国家湿地公园的岸线和河段范围。</w:t>
            </w:r>
          </w:p>
        </w:tc>
        <w:tc>
          <w:tcPr>
            <w:tcW w:w="751" w:type="dxa"/>
            <w:vAlign w:val="center"/>
          </w:tcPr>
          <w:p w14:paraId="6738D64A"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6E533DC0" w14:textId="77777777" w:rsidTr="00BD31DC">
        <w:trPr>
          <w:trHeight w:val="283"/>
        </w:trPr>
        <w:tc>
          <w:tcPr>
            <w:tcW w:w="766" w:type="dxa"/>
            <w:vAlign w:val="center"/>
          </w:tcPr>
          <w:p w14:paraId="30B00FF9" w14:textId="77777777" w:rsidR="00BD31DC" w:rsidRPr="002B55E9" w:rsidRDefault="00BD31DC" w:rsidP="00BD31DC">
            <w:pPr>
              <w:jc w:val="center"/>
              <w:rPr>
                <w:bCs/>
                <w:sz w:val="18"/>
                <w:szCs w:val="18"/>
              </w:rPr>
            </w:pPr>
            <w:r w:rsidRPr="002B55E9">
              <w:rPr>
                <w:bCs/>
                <w:sz w:val="18"/>
                <w:szCs w:val="18"/>
              </w:rPr>
              <w:t>6</w:t>
            </w:r>
          </w:p>
        </w:tc>
        <w:tc>
          <w:tcPr>
            <w:tcW w:w="4096" w:type="dxa"/>
            <w:vAlign w:val="center"/>
          </w:tcPr>
          <w:p w14:paraId="6D619D38" w14:textId="77777777" w:rsidR="00BD31DC" w:rsidRPr="002B55E9" w:rsidRDefault="00BD31DC" w:rsidP="00BD31DC">
            <w:pPr>
              <w:rPr>
                <w:bCs/>
                <w:sz w:val="18"/>
                <w:szCs w:val="18"/>
              </w:rPr>
            </w:pPr>
            <w:r w:rsidRPr="002B55E9">
              <w:rPr>
                <w:bCs/>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w:t>
            </w:r>
            <w:r w:rsidRPr="002B55E9">
              <w:rPr>
                <w:bCs/>
                <w:sz w:val="18"/>
                <w:szCs w:val="18"/>
              </w:rPr>
              <w:lastRenderedPageBreak/>
              <w:t>止在《全国重要江河湖泊水功能区划》划定的河段及湖泊保护区、保留区内投资建设不利于水资源及自然生态保护项目。</w:t>
            </w:r>
          </w:p>
        </w:tc>
        <w:tc>
          <w:tcPr>
            <w:tcW w:w="2260" w:type="dxa"/>
            <w:vAlign w:val="center"/>
          </w:tcPr>
          <w:p w14:paraId="54D95E69" w14:textId="0AD09AF0" w:rsidR="00BD31DC" w:rsidRPr="002B55E9" w:rsidRDefault="00BD31DC" w:rsidP="00BD31DC">
            <w:pPr>
              <w:rPr>
                <w:bCs/>
                <w:sz w:val="18"/>
                <w:szCs w:val="18"/>
              </w:rPr>
            </w:pPr>
            <w:r w:rsidRPr="002B55E9">
              <w:rPr>
                <w:bCs/>
                <w:sz w:val="18"/>
                <w:szCs w:val="18"/>
              </w:rPr>
              <w:lastRenderedPageBreak/>
              <w:t>本项目不位于《全国重要江河湖泊水功能区划》划定的河段及湖泊保护区、保留区。</w:t>
            </w:r>
          </w:p>
        </w:tc>
        <w:tc>
          <w:tcPr>
            <w:tcW w:w="751" w:type="dxa"/>
            <w:vAlign w:val="center"/>
          </w:tcPr>
          <w:p w14:paraId="3207BFBB" w14:textId="77777777" w:rsidR="00BD31DC" w:rsidRPr="002B55E9" w:rsidRDefault="00BD31DC" w:rsidP="00BD31DC">
            <w:pPr>
              <w:jc w:val="center"/>
              <w:rPr>
                <w:bCs/>
                <w:sz w:val="18"/>
                <w:szCs w:val="18"/>
              </w:rPr>
            </w:pPr>
          </w:p>
        </w:tc>
      </w:tr>
      <w:tr w:rsidR="00C60999" w:rsidRPr="002B55E9" w14:paraId="5E96FBDB" w14:textId="77777777" w:rsidTr="00BD31DC">
        <w:trPr>
          <w:trHeight w:val="283"/>
        </w:trPr>
        <w:tc>
          <w:tcPr>
            <w:tcW w:w="766" w:type="dxa"/>
            <w:vAlign w:val="center"/>
          </w:tcPr>
          <w:p w14:paraId="0A74E045" w14:textId="77777777" w:rsidR="00BD31DC" w:rsidRPr="002B55E9" w:rsidRDefault="00BD31DC" w:rsidP="00BD31DC">
            <w:pPr>
              <w:jc w:val="center"/>
              <w:rPr>
                <w:bCs/>
                <w:sz w:val="18"/>
                <w:szCs w:val="18"/>
              </w:rPr>
            </w:pPr>
            <w:r w:rsidRPr="002B55E9">
              <w:rPr>
                <w:bCs/>
                <w:sz w:val="18"/>
                <w:szCs w:val="18"/>
              </w:rPr>
              <w:lastRenderedPageBreak/>
              <w:t xml:space="preserve">7 </w:t>
            </w:r>
          </w:p>
        </w:tc>
        <w:tc>
          <w:tcPr>
            <w:tcW w:w="4096" w:type="dxa"/>
            <w:vAlign w:val="center"/>
          </w:tcPr>
          <w:p w14:paraId="40CC71BC" w14:textId="77777777" w:rsidR="00BD31DC" w:rsidRPr="002B55E9" w:rsidRDefault="00BD31DC" w:rsidP="00BD31DC">
            <w:pPr>
              <w:rPr>
                <w:bCs/>
                <w:sz w:val="18"/>
                <w:szCs w:val="18"/>
              </w:rPr>
            </w:pPr>
            <w:r w:rsidRPr="002B55E9">
              <w:rPr>
                <w:bCs/>
                <w:sz w:val="18"/>
                <w:szCs w:val="18"/>
              </w:rPr>
              <w:t>禁止未经许可在长江干支流及湖泊新设、改设或扩大排污口。</w:t>
            </w:r>
            <w:r w:rsidRPr="002B55E9">
              <w:rPr>
                <w:bCs/>
                <w:sz w:val="18"/>
                <w:szCs w:val="18"/>
              </w:rPr>
              <w:t xml:space="preserve"> </w:t>
            </w:r>
          </w:p>
        </w:tc>
        <w:tc>
          <w:tcPr>
            <w:tcW w:w="2260" w:type="dxa"/>
            <w:vAlign w:val="center"/>
          </w:tcPr>
          <w:p w14:paraId="7E341BC0" w14:textId="77777777" w:rsidR="00BD31DC" w:rsidRPr="002B55E9" w:rsidRDefault="00BD31DC" w:rsidP="00BD31DC">
            <w:pPr>
              <w:rPr>
                <w:bCs/>
                <w:sz w:val="18"/>
                <w:szCs w:val="18"/>
              </w:rPr>
            </w:pPr>
            <w:r w:rsidRPr="002B55E9">
              <w:rPr>
                <w:bCs/>
                <w:sz w:val="18"/>
                <w:szCs w:val="18"/>
              </w:rPr>
              <w:t>本项目不涉及新设、改设或扩大排污口。</w:t>
            </w:r>
          </w:p>
        </w:tc>
        <w:tc>
          <w:tcPr>
            <w:tcW w:w="751" w:type="dxa"/>
            <w:vAlign w:val="center"/>
          </w:tcPr>
          <w:p w14:paraId="30198884"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730E7D56" w14:textId="77777777" w:rsidTr="00BD31DC">
        <w:trPr>
          <w:trHeight w:val="283"/>
        </w:trPr>
        <w:tc>
          <w:tcPr>
            <w:tcW w:w="766" w:type="dxa"/>
            <w:vAlign w:val="center"/>
          </w:tcPr>
          <w:p w14:paraId="6148DA79" w14:textId="77777777" w:rsidR="00BD31DC" w:rsidRPr="002B55E9" w:rsidRDefault="00BD31DC" w:rsidP="00BD31DC">
            <w:pPr>
              <w:jc w:val="center"/>
              <w:rPr>
                <w:bCs/>
                <w:sz w:val="18"/>
                <w:szCs w:val="18"/>
              </w:rPr>
            </w:pPr>
            <w:r w:rsidRPr="002B55E9">
              <w:rPr>
                <w:bCs/>
                <w:sz w:val="18"/>
                <w:szCs w:val="18"/>
              </w:rPr>
              <w:t>8</w:t>
            </w:r>
          </w:p>
        </w:tc>
        <w:tc>
          <w:tcPr>
            <w:tcW w:w="4096" w:type="dxa"/>
            <w:vAlign w:val="center"/>
          </w:tcPr>
          <w:p w14:paraId="42F22C99" w14:textId="77777777" w:rsidR="00BD31DC" w:rsidRPr="002B55E9" w:rsidRDefault="00BD31DC" w:rsidP="00BD31DC">
            <w:pPr>
              <w:rPr>
                <w:bCs/>
                <w:sz w:val="18"/>
                <w:szCs w:val="18"/>
              </w:rPr>
            </w:pPr>
            <w:r w:rsidRPr="002B55E9">
              <w:rPr>
                <w:bCs/>
                <w:sz w:val="18"/>
                <w:szCs w:val="18"/>
              </w:rPr>
              <w:t>禁止在长江干流、汉江和水生生物保护区开展生产性捕捞。</w:t>
            </w:r>
          </w:p>
        </w:tc>
        <w:tc>
          <w:tcPr>
            <w:tcW w:w="2260" w:type="dxa"/>
            <w:vAlign w:val="center"/>
          </w:tcPr>
          <w:p w14:paraId="5FA5BED9" w14:textId="77777777" w:rsidR="00BD31DC" w:rsidRPr="002B55E9" w:rsidRDefault="00BD31DC" w:rsidP="00BD31DC">
            <w:pPr>
              <w:rPr>
                <w:bCs/>
                <w:sz w:val="18"/>
                <w:szCs w:val="18"/>
              </w:rPr>
            </w:pPr>
            <w:r w:rsidRPr="002B55E9">
              <w:rPr>
                <w:bCs/>
                <w:sz w:val="18"/>
                <w:szCs w:val="18"/>
              </w:rPr>
              <w:t>本项目不涉及生产性捕捞。</w:t>
            </w:r>
          </w:p>
        </w:tc>
        <w:tc>
          <w:tcPr>
            <w:tcW w:w="751" w:type="dxa"/>
            <w:vAlign w:val="center"/>
          </w:tcPr>
          <w:p w14:paraId="74977FCB" w14:textId="77777777" w:rsidR="00BD31DC" w:rsidRPr="002B55E9" w:rsidRDefault="00BD31DC" w:rsidP="00BD31DC">
            <w:pPr>
              <w:jc w:val="center"/>
              <w:rPr>
                <w:bCs/>
                <w:sz w:val="18"/>
                <w:szCs w:val="18"/>
              </w:rPr>
            </w:pPr>
          </w:p>
        </w:tc>
      </w:tr>
      <w:tr w:rsidR="00C60999" w:rsidRPr="002B55E9" w14:paraId="7C67A528" w14:textId="77777777" w:rsidTr="00BD31DC">
        <w:trPr>
          <w:trHeight w:val="283"/>
        </w:trPr>
        <w:tc>
          <w:tcPr>
            <w:tcW w:w="766" w:type="dxa"/>
            <w:vAlign w:val="center"/>
          </w:tcPr>
          <w:p w14:paraId="0DEB5058" w14:textId="77777777" w:rsidR="00BD31DC" w:rsidRPr="002B55E9" w:rsidRDefault="00BD31DC" w:rsidP="00BD31DC">
            <w:pPr>
              <w:jc w:val="center"/>
              <w:rPr>
                <w:bCs/>
                <w:sz w:val="18"/>
                <w:szCs w:val="18"/>
              </w:rPr>
            </w:pPr>
            <w:r w:rsidRPr="002B55E9">
              <w:rPr>
                <w:bCs/>
                <w:sz w:val="18"/>
                <w:szCs w:val="18"/>
              </w:rPr>
              <w:t>9</w:t>
            </w:r>
          </w:p>
        </w:tc>
        <w:tc>
          <w:tcPr>
            <w:tcW w:w="4096" w:type="dxa"/>
            <w:vAlign w:val="center"/>
          </w:tcPr>
          <w:p w14:paraId="1775FC70" w14:textId="77777777" w:rsidR="00BD31DC" w:rsidRPr="002B55E9" w:rsidRDefault="00BD31DC" w:rsidP="00BD31DC">
            <w:pPr>
              <w:rPr>
                <w:bCs/>
                <w:sz w:val="18"/>
                <w:szCs w:val="18"/>
              </w:rPr>
            </w:pPr>
            <w:r w:rsidRPr="002B55E9">
              <w:rPr>
                <w:bCs/>
                <w:sz w:val="18"/>
                <w:szCs w:val="18"/>
              </w:rPr>
              <w:t>禁止在长江干支流岸线一公里（即水利部门河道管理范围边界向陆域纵深一公里）范围内新建、扩建化工园区和化工项目</w:t>
            </w:r>
          </w:p>
        </w:tc>
        <w:tc>
          <w:tcPr>
            <w:tcW w:w="2260" w:type="dxa"/>
            <w:vAlign w:val="center"/>
          </w:tcPr>
          <w:p w14:paraId="24621E92" w14:textId="48D85862" w:rsidR="00BD31DC" w:rsidRPr="002B55E9" w:rsidRDefault="00BD31DC" w:rsidP="00BD31DC">
            <w:pPr>
              <w:rPr>
                <w:bCs/>
                <w:sz w:val="18"/>
                <w:szCs w:val="18"/>
              </w:rPr>
            </w:pPr>
            <w:r w:rsidRPr="002B55E9">
              <w:rPr>
                <w:bCs/>
                <w:sz w:val="18"/>
                <w:szCs w:val="18"/>
              </w:rPr>
              <w:t>本项目距离</w:t>
            </w:r>
            <w:r w:rsidRPr="002B55E9">
              <w:rPr>
                <w:rFonts w:hint="eastAsia"/>
                <w:bCs/>
                <w:sz w:val="18"/>
                <w:szCs w:val="18"/>
              </w:rPr>
              <w:t>汉江</w:t>
            </w:r>
            <w:r w:rsidRPr="002B55E9">
              <w:rPr>
                <w:bCs/>
                <w:sz w:val="18"/>
                <w:szCs w:val="18"/>
              </w:rPr>
              <w:t>约</w:t>
            </w:r>
            <w:r w:rsidRPr="002B55E9">
              <w:rPr>
                <w:rFonts w:hint="eastAsia"/>
                <w:bCs/>
                <w:sz w:val="18"/>
                <w:szCs w:val="18"/>
              </w:rPr>
              <w:t>1.8</w:t>
            </w:r>
            <w:r w:rsidRPr="002B55E9">
              <w:rPr>
                <w:bCs/>
                <w:sz w:val="18"/>
                <w:szCs w:val="18"/>
              </w:rPr>
              <w:t>km</w:t>
            </w:r>
            <w:r w:rsidRPr="002B55E9">
              <w:rPr>
                <w:bCs/>
                <w:sz w:val="18"/>
                <w:szCs w:val="18"/>
              </w:rPr>
              <w:t>，属于</w:t>
            </w:r>
            <w:r w:rsidRPr="002B55E9">
              <w:rPr>
                <w:rFonts w:hint="eastAsia"/>
                <w:bCs/>
                <w:sz w:val="18"/>
                <w:szCs w:val="18"/>
              </w:rPr>
              <w:t>食品</w:t>
            </w:r>
            <w:r w:rsidRPr="002B55E9">
              <w:rPr>
                <w:bCs/>
                <w:sz w:val="18"/>
                <w:szCs w:val="18"/>
              </w:rPr>
              <w:t>制造业，不属于化工项目。</w:t>
            </w:r>
            <w:r w:rsidRPr="002B55E9">
              <w:rPr>
                <w:bCs/>
                <w:sz w:val="18"/>
                <w:szCs w:val="18"/>
              </w:rPr>
              <w:t xml:space="preserve"> </w:t>
            </w:r>
          </w:p>
        </w:tc>
        <w:tc>
          <w:tcPr>
            <w:tcW w:w="751" w:type="dxa"/>
            <w:vAlign w:val="center"/>
          </w:tcPr>
          <w:p w14:paraId="633B7E42"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141B1711" w14:textId="77777777" w:rsidTr="00BD31DC">
        <w:trPr>
          <w:trHeight w:val="283"/>
        </w:trPr>
        <w:tc>
          <w:tcPr>
            <w:tcW w:w="766" w:type="dxa"/>
            <w:vAlign w:val="center"/>
          </w:tcPr>
          <w:p w14:paraId="2F37E10D" w14:textId="77777777" w:rsidR="00BD31DC" w:rsidRPr="002B55E9" w:rsidRDefault="00BD31DC" w:rsidP="00BD31DC">
            <w:pPr>
              <w:jc w:val="center"/>
              <w:rPr>
                <w:bCs/>
                <w:sz w:val="18"/>
                <w:szCs w:val="18"/>
              </w:rPr>
            </w:pPr>
            <w:r w:rsidRPr="002B55E9">
              <w:rPr>
                <w:bCs/>
                <w:sz w:val="18"/>
                <w:szCs w:val="18"/>
              </w:rPr>
              <w:t>10</w:t>
            </w:r>
          </w:p>
        </w:tc>
        <w:tc>
          <w:tcPr>
            <w:tcW w:w="4096" w:type="dxa"/>
            <w:vAlign w:val="center"/>
          </w:tcPr>
          <w:p w14:paraId="0DC16A65" w14:textId="77777777" w:rsidR="00BD31DC" w:rsidRPr="002B55E9" w:rsidRDefault="00BD31DC" w:rsidP="00BD31DC">
            <w:pPr>
              <w:rPr>
                <w:bCs/>
                <w:sz w:val="18"/>
                <w:szCs w:val="18"/>
              </w:rPr>
            </w:pPr>
            <w:r w:rsidRPr="002B55E9">
              <w:rPr>
                <w:bCs/>
                <w:sz w:val="18"/>
                <w:szCs w:val="18"/>
              </w:rPr>
              <w:t>禁止在长江干流岸线三公里（即水利部门河道管理范围边界向陆域纵深三公里）范围内和重要支流岸线一公里（即水利部门河道管理范围边界向陆域纵深一公里）范围内新建、改建、扩建尾矿库、冶炼渣库和磷石膏库，以提升安全、生态环境保护水平为目的的改建除外。</w:t>
            </w:r>
          </w:p>
        </w:tc>
        <w:tc>
          <w:tcPr>
            <w:tcW w:w="2260" w:type="dxa"/>
            <w:vAlign w:val="center"/>
          </w:tcPr>
          <w:p w14:paraId="501B60C9" w14:textId="4AD2F1DD" w:rsidR="00BD31DC" w:rsidRPr="002B55E9" w:rsidRDefault="00BD31DC" w:rsidP="00BD31DC">
            <w:pPr>
              <w:rPr>
                <w:bCs/>
                <w:sz w:val="18"/>
                <w:szCs w:val="18"/>
              </w:rPr>
            </w:pPr>
            <w:r w:rsidRPr="002B55E9">
              <w:rPr>
                <w:bCs/>
                <w:sz w:val="18"/>
                <w:szCs w:val="18"/>
              </w:rPr>
              <w:t>本项目距离</w:t>
            </w:r>
            <w:r w:rsidRPr="002B55E9">
              <w:rPr>
                <w:rFonts w:hint="eastAsia"/>
                <w:bCs/>
                <w:sz w:val="18"/>
                <w:szCs w:val="18"/>
              </w:rPr>
              <w:t>汉江</w:t>
            </w:r>
            <w:r w:rsidRPr="002B55E9">
              <w:rPr>
                <w:bCs/>
                <w:sz w:val="18"/>
                <w:szCs w:val="18"/>
              </w:rPr>
              <w:t>约</w:t>
            </w:r>
            <w:r w:rsidRPr="002B55E9">
              <w:rPr>
                <w:rFonts w:hint="eastAsia"/>
                <w:bCs/>
                <w:sz w:val="18"/>
                <w:szCs w:val="18"/>
              </w:rPr>
              <w:t>1.8</w:t>
            </w:r>
            <w:r w:rsidRPr="002B55E9">
              <w:rPr>
                <w:bCs/>
                <w:sz w:val="18"/>
                <w:szCs w:val="18"/>
              </w:rPr>
              <w:t>km</w:t>
            </w:r>
            <w:r w:rsidRPr="002B55E9">
              <w:rPr>
                <w:bCs/>
                <w:sz w:val="18"/>
                <w:szCs w:val="18"/>
              </w:rPr>
              <w:t>，不属于新建、改建、扩建尾矿库、冶炼渣库和磷石膏库项目。</w:t>
            </w:r>
            <w:r w:rsidRPr="002B55E9">
              <w:rPr>
                <w:bCs/>
                <w:sz w:val="18"/>
                <w:szCs w:val="18"/>
              </w:rPr>
              <w:t xml:space="preserve"> </w:t>
            </w:r>
          </w:p>
        </w:tc>
        <w:tc>
          <w:tcPr>
            <w:tcW w:w="751" w:type="dxa"/>
            <w:vAlign w:val="center"/>
          </w:tcPr>
          <w:p w14:paraId="455CCC6C"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697B3005" w14:textId="77777777" w:rsidTr="00BD31DC">
        <w:trPr>
          <w:trHeight w:val="283"/>
        </w:trPr>
        <w:tc>
          <w:tcPr>
            <w:tcW w:w="766" w:type="dxa"/>
            <w:vAlign w:val="center"/>
          </w:tcPr>
          <w:p w14:paraId="6E5093C1" w14:textId="77777777" w:rsidR="00BD31DC" w:rsidRPr="002B55E9" w:rsidRDefault="00BD31DC" w:rsidP="00BD31DC">
            <w:pPr>
              <w:jc w:val="center"/>
              <w:rPr>
                <w:bCs/>
                <w:sz w:val="18"/>
                <w:szCs w:val="18"/>
              </w:rPr>
            </w:pPr>
            <w:r w:rsidRPr="002B55E9">
              <w:rPr>
                <w:bCs/>
                <w:sz w:val="18"/>
                <w:szCs w:val="18"/>
              </w:rPr>
              <w:t xml:space="preserve">11 </w:t>
            </w:r>
          </w:p>
        </w:tc>
        <w:tc>
          <w:tcPr>
            <w:tcW w:w="4096" w:type="dxa"/>
            <w:vAlign w:val="center"/>
          </w:tcPr>
          <w:p w14:paraId="2441563D" w14:textId="77777777" w:rsidR="00BD31DC" w:rsidRPr="002B55E9" w:rsidRDefault="00BD31DC" w:rsidP="00BD31DC">
            <w:pPr>
              <w:rPr>
                <w:bCs/>
                <w:sz w:val="18"/>
                <w:szCs w:val="18"/>
              </w:rPr>
            </w:pPr>
            <w:r w:rsidRPr="002B55E9">
              <w:rPr>
                <w:bCs/>
                <w:sz w:val="18"/>
                <w:szCs w:val="18"/>
              </w:rPr>
              <w:t>禁止在合规园区外新建、扩建钢铁、石化、化工、焦化、建材、有色、制浆造纸等高污染项目。</w:t>
            </w:r>
            <w:r w:rsidRPr="002B55E9">
              <w:rPr>
                <w:bCs/>
                <w:sz w:val="18"/>
                <w:szCs w:val="18"/>
              </w:rPr>
              <w:t xml:space="preserve"> </w:t>
            </w:r>
          </w:p>
        </w:tc>
        <w:tc>
          <w:tcPr>
            <w:tcW w:w="2260" w:type="dxa"/>
            <w:vAlign w:val="center"/>
          </w:tcPr>
          <w:p w14:paraId="79963733" w14:textId="2BD08CA0" w:rsidR="00BD31DC" w:rsidRPr="002B55E9" w:rsidRDefault="00BD31DC" w:rsidP="00BD31DC">
            <w:pPr>
              <w:rPr>
                <w:bCs/>
                <w:sz w:val="18"/>
                <w:szCs w:val="18"/>
              </w:rPr>
            </w:pPr>
            <w:r w:rsidRPr="002B55E9">
              <w:rPr>
                <w:bCs/>
                <w:sz w:val="18"/>
                <w:szCs w:val="18"/>
              </w:rPr>
              <w:t>本项目</w:t>
            </w:r>
            <w:r w:rsidRPr="002B55E9">
              <w:rPr>
                <w:bCs/>
                <w:sz w:val="18"/>
                <w:szCs w:val="21"/>
              </w:rPr>
              <w:t>属于</w:t>
            </w:r>
            <w:r w:rsidRPr="002B55E9">
              <w:rPr>
                <w:rFonts w:hint="eastAsia"/>
                <w:bCs/>
                <w:sz w:val="18"/>
                <w:szCs w:val="18"/>
              </w:rPr>
              <w:t>食品</w:t>
            </w:r>
            <w:r w:rsidRPr="002B55E9">
              <w:rPr>
                <w:bCs/>
                <w:sz w:val="18"/>
                <w:szCs w:val="18"/>
              </w:rPr>
              <w:t>制造业，不属于钢铁、石化、化工、焦化、建材、有色、制浆造纸等高污染项目。</w:t>
            </w:r>
          </w:p>
        </w:tc>
        <w:tc>
          <w:tcPr>
            <w:tcW w:w="751" w:type="dxa"/>
            <w:vAlign w:val="center"/>
          </w:tcPr>
          <w:p w14:paraId="12D0A5F4"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7CA86436" w14:textId="77777777" w:rsidTr="00BD31DC">
        <w:trPr>
          <w:trHeight w:val="283"/>
        </w:trPr>
        <w:tc>
          <w:tcPr>
            <w:tcW w:w="766" w:type="dxa"/>
            <w:vAlign w:val="center"/>
          </w:tcPr>
          <w:p w14:paraId="35EE1A5E" w14:textId="77777777" w:rsidR="00BD31DC" w:rsidRPr="002B55E9" w:rsidRDefault="00BD31DC" w:rsidP="00BD31DC">
            <w:pPr>
              <w:jc w:val="center"/>
              <w:rPr>
                <w:bCs/>
                <w:sz w:val="18"/>
                <w:szCs w:val="18"/>
              </w:rPr>
            </w:pPr>
            <w:r w:rsidRPr="002B55E9">
              <w:rPr>
                <w:bCs/>
                <w:sz w:val="18"/>
                <w:szCs w:val="18"/>
              </w:rPr>
              <w:t>12</w:t>
            </w:r>
          </w:p>
        </w:tc>
        <w:tc>
          <w:tcPr>
            <w:tcW w:w="4096" w:type="dxa"/>
            <w:vAlign w:val="center"/>
          </w:tcPr>
          <w:p w14:paraId="0A7646DE" w14:textId="77777777" w:rsidR="00BD31DC" w:rsidRPr="002B55E9" w:rsidRDefault="00BD31DC" w:rsidP="00BD31DC">
            <w:pPr>
              <w:rPr>
                <w:bCs/>
                <w:sz w:val="18"/>
                <w:szCs w:val="18"/>
              </w:rPr>
            </w:pPr>
            <w:r w:rsidRPr="002B55E9">
              <w:rPr>
                <w:bCs/>
                <w:sz w:val="18"/>
                <w:szCs w:val="18"/>
              </w:rPr>
              <w:t>禁止新建、扩建不符合国家石化、现代煤化工等产业布局规划的项目。</w:t>
            </w:r>
            <w:r w:rsidRPr="002B55E9">
              <w:rPr>
                <w:bCs/>
                <w:sz w:val="18"/>
                <w:szCs w:val="18"/>
              </w:rPr>
              <w:t xml:space="preserve"> </w:t>
            </w:r>
          </w:p>
        </w:tc>
        <w:tc>
          <w:tcPr>
            <w:tcW w:w="2260" w:type="dxa"/>
            <w:vAlign w:val="center"/>
          </w:tcPr>
          <w:p w14:paraId="76896765" w14:textId="33EBF7AE" w:rsidR="00BD31DC" w:rsidRPr="002B55E9" w:rsidRDefault="00BD31DC" w:rsidP="00BD31DC">
            <w:pPr>
              <w:rPr>
                <w:bCs/>
                <w:sz w:val="18"/>
                <w:szCs w:val="18"/>
              </w:rPr>
            </w:pPr>
            <w:r w:rsidRPr="002B55E9">
              <w:rPr>
                <w:bCs/>
                <w:sz w:val="18"/>
                <w:szCs w:val="18"/>
              </w:rPr>
              <w:t>本项目</w:t>
            </w:r>
            <w:r w:rsidRPr="002B55E9">
              <w:rPr>
                <w:bCs/>
                <w:sz w:val="18"/>
                <w:szCs w:val="21"/>
              </w:rPr>
              <w:t>属于</w:t>
            </w:r>
            <w:r w:rsidRPr="002B55E9">
              <w:rPr>
                <w:rFonts w:hint="eastAsia"/>
                <w:bCs/>
                <w:sz w:val="18"/>
                <w:szCs w:val="18"/>
              </w:rPr>
              <w:t>食品</w:t>
            </w:r>
            <w:r w:rsidRPr="002B55E9">
              <w:rPr>
                <w:bCs/>
                <w:sz w:val="18"/>
                <w:szCs w:val="18"/>
              </w:rPr>
              <w:t>制造业，不属于石化、现代煤化工产业类型项目。</w:t>
            </w:r>
          </w:p>
        </w:tc>
        <w:tc>
          <w:tcPr>
            <w:tcW w:w="751" w:type="dxa"/>
            <w:vAlign w:val="center"/>
          </w:tcPr>
          <w:p w14:paraId="1050891A"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74C2CD08" w14:textId="77777777" w:rsidTr="00BD31DC">
        <w:trPr>
          <w:trHeight w:val="283"/>
        </w:trPr>
        <w:tc>
          <w:tcPr>
            <w:tcW w:w="766" w:type="dxa"/>
            <w:vAlign w:val="center"/>
          </w:tcPr>
          <w:p w14:paraId="63196D8B" w14:textId="77777777" w:rsidR="00BD31DC" w:rsidRPr="002B55E9" w:rsidRDefault="00BD31DC" w:rsidP="00BD31DC">
            <w:pPr>
              <w:jc w:val="center"/>
              <w:rPr>
                <w:bCs/>
                <w:sz w:val="18"/>
                <w:szCs w:val="18"/>
              </w:rPr>
            </w:pPr>
            <w:r w:rsidRPr="002B55E9">
              <w:rPr>
                <w:bCs/>
                <w:sz w:val="18"/>
                <w:szCs w:val="18"/>
              </w:rPr>
              <w:t>13</w:t>
            </w:r>
          </w:p>
        </w:tc>
        <w:tc>
          <w:tcPr>
            <w:tcW w:w="4096" w:type="dxa"/>
            <w:vAlign w:val="center"/>
          </w:tcPr>
          <w:p w14:paraId="618C4622" w14:textId="77777777" w:rsidR="00BD31DC" w:rsidRPr="002B55E9" w:rsidRDefault="00BD31DC" w:rsidP="00BD31DC">
            <w:pPr>
              <w:rPr>
                <w:bCs/>
                <w:sz w:val="18"/>
                <w:szCs w:val="18"/>
              </w:rPr>
            </w:pPr>
            <w:r w:rsidRPr="002B55E9">
              <w:rPr>
                <w:bCs/>
                <w:sz w:val="18"/>
                <w:szCs w:val="18"/>
              </w:rPr>
              <w:t>禁止新建、扩建法律法规和相关政策明令禁止的落后产能项目。</w:t>
            </w:r>
          </w:p>
        </w:tc>
        <w:tc>
          <w:tcPr>
            <w:tcW w:w="2260" w:type="dxa"/>
            <w:vAlign w:val="center"/>
          </w:tcPr>
          <w:p w14:paraId="5D6B81FB" w14:textId="62F4B088" w:rsidR="00BD31DC" w:rsidRPr="002B55E9" w:rsidRDefault="00BD31DC" w:rsidP="00BD31DC">
            <w:pPr>
              <w:rPr>
                <w:bCs/>
                <w:sz w:val="18"/>
                <w:szCs w:val="18"/>
              </w:rPr>
            </w:pPr>
            <w:r w:rsidRPr="002B55E9">
              <w:rPr>
                <w:bCs/>
                <w:sz w:val="18"/>
                <w:szCs w:val="18"/>
              </w:rPr>
              <w:t>本项目</w:t>
            </w:r>
            <w:r w:rsidRPr="002B55E9">
              <w:rPr>
                <w:bCs/>
                <w:sz w:val="18"/>
                <w:szCs w:val="21"/>
              </w:rPr>
              <w:t>属于</w:t>
            </w:r>
            <w:r w:rsidRPr="002B55E9">
              <w:rPr>
                <w:rFonts w:hint="eastAsia"/>
                <w:bCs/>
                <w:sz w:val="18"/>
                <w:szCs w:val="18"/>
              </w:rPr>
              <w:t>食品</w:t>
            </w:r>
            <w:r w:rsidRPr="002B55E9">
              <w:rPr>
                <w:bCs/>
                <w:sz w:val="18"/>
                <w:szCs w:val="18"/>
              </w:rPr>
              <w:t>制造业</w:t>
            </w:r>
            <w:r w:rsidRPr="002B55E9">
              <w:rPr>
                <w:bCs/>
                <w:sz w:val="18"/>
                <w:szCs w:val="21"/>
              </w:rPr>
              <w:t>，</w:t>
            </w:r>
            <w:r w:rsidRPr="002B55E9">
              <w:rPr>
                <w:bCs/>
                <w:sz w:val="18"/>
                <w:szCs w:val="18"/>
              </w:rPr>
              <w:t>不属于落后产能项目。</w:t>
            </w:r>
          </w:p>
        </w:tc>
        <w:tc>
          <w:tcPr>
            <w:tcW w:w="751" w:type="dxa"/>
            <w:vAlign w:val="center"/>
          </w:tcPr>
          <w:p w14:paraId="00666F27" w14:textId="77777777" w:rsidR="00BD31DC" w:rsidRPr="002B55E9" w:rsidRDefault="00BD31DC" w:rsidP="00BD31DC">
            <w:pPr>
              <w:jc w:val="center"/>
              <w:rPr>
                <w:bCs/>
                <w:sz w:val="18"/>
                <w:szCs w:val="18"/>
              </w:rPr>
            </w:pPr>
            <w:r w:rsidRPr="002B55E9">
              <w:rPr>
                <w:bCs/>
                <w:sz w:val="18"/>
                <w:szCs w:val="18"/>
              </w:rPr>
              <w:t>符合</w:t>
            </w:r>
            <w:r w:rsidRPr="002B55E9">
              <w:rPr>
                <w:bCs/>
                <w:sz w:val="18"/>
                <w:szCs w:val="18"/>
              </w:rPr>
              <w:t xml:space="preserve"> </w:t>
            </w:r>
          </w:p>
        </w:tc>
      </w:tr>
      <w:tr w:rsidR="00C60999" w:rsidRPr="002B55E9" w14:paraId="3F5D95A4" w14:textId="77777777" w:rsidTr="00BD31DC">
        <w:trPr>
          <w:trHeight w:val="283"/>
        </w:trPr>
        <w:tc>
          <w:tcPr>
            <w:tcW w:w="766" w:type="dxa"/>
            <w:vAlign w:val="center"/>
          </w:tcPr>
          <w:p w14:paraId="7040B001" w14:textId="77777777" w:rsidR="00BD31DC" w:rsidRPr="002B55E9" w:rsidRDefault="00BD31DC" w:rsidP="00BD31DC">
            <w:pPr>
              <w:jc w:val="center"/>
              <w:rPr>
                <w:bCs/>
                <w:sz w:val="18"/>
                <w:szCs w:val="18"/>
              </w:rPr>
            </w:pPr>
            <w:r w:rsidRPr="002B55E9">
              <w:rPr>
                <w:bCs/>
                <w:sz w:val="18"/>
                <w:szCs w:val="18"/>
              </w:rPr>
              <w:t>14</w:t>
            </w:r>
          </w:p>
        </w:tc>
        <w:tc>
          <w:tcPr>
            <w:tcW w:w="4096" w:type="dxa"/>
            <w:vAlign w:val="center"/>
          </w:tcPr>
          <w:p w14:paraId="7CAD0794" w14:textId="77777777" w:rsidR="00BD31DC" w:rsidRPr="002B55E9" w:rsidRDefault="00BD31DC" w:rsidP="00BD31DC">
            <w:pPr>
              <w:rPr>
                <w:bCs/>
                <w:sz w:val="18"/>
                <w:szCs w:val="18"/>
              </w:rPr>
            </w:pPr>
            <w:r w:rsidRPr="002B55E9">
              <w:rPr>
                <w:bCs/>
                <w:sz w:val="18"/>
                <w:szCs w:val="18"/>
              </w:rPr>
              <w:t>禁止新建、扩建不符合国家产能置换要求的严重过剩产能行业项目。</w:t>
            </w:r>
          </w:p>
        </w:tc>
        <w:tc>
          <w:tcPr>
            <w:tcW w:w="2260" w:type="dxa"/>
            <w:vAlign w:val="center"/>
          </w:tcPr>
          <w:p w14:paraId="1508A44A" w14:textId="3B587FF8" w:rsidR="00BD31DC" w:rsidRPr="002B55E9" w:rsidRDefault="00BD31DC" w:rsidP="00BD31DC">
            <w:pPr>
              <w:rPr>
                <w:bCs/>
                <w:sz w:val="18"/>
                <w:szCs w:val="18"/>
              </w:rPr>
            </w:pPr>
            <w:r w:rsidRPr="002B55E9">
              <w:rPr>
                <w:bCs/>
                <w:sz w:val="18"/>
                <w:szCs w:val="18"/>
              </w:rPr>
              <w:t>本项目</w:t>
            </w:r>
            <w:r w:rsidRPr="002B55E9">
              <w:rPr>
                <w:bCs/>
                <w:sz w:val="18"/>
                <w:szCs w:val="21"/>
              </w:rPr>
              <w:t>属于</w:t>
            </w:r>
            <w:r w:rsidRPr="002B55E9">
              <w:rPr>
                <w:rFonts w:hint="eastAsia"/>
                <w:bCs/>
                <w:sz w:val="18"/>
                <w:szCs w:val="18"/>
              </w:rPr>
              <w:t>食品</w:t>
            </w:r>
            <w:r w:rsidRPr="002B55E9">
              <w:rPr>
                <w:bCs/>
                <w:sz w:val="18"/>
                <w:szCs w:val="18"/>
              </w:rPr>
              <w:t>制造业</w:t>
            </w:r>
            <w:r w:rsidRPr="002B55E9">
              <w:rPr>
                <w:bCs/>
                <w:sz w:val="18"/>
                <w:szCs w:val="21"/>
              </w:rPr>
              <w:t>，</w:t>
            </w:r>
            <w:r w:rsidRPr="002B55E9">
              <w:rPr>
                <w:bCs/>
                <w:sz w:val="18"/>
                <w:szCs w:val="18"/>
              </w:rPr>
              <w:t>不属于严重过剩产能行业项目。</w:t>
            </w:r>
          </w:p>
        </w:tc>
        <w:tc>
          <w:tcPr>
            <w:tcW w:w="751" w:type="dxa"/>
            <w:vAlign w:val="center"/>
          </w:tcPr>
          <w:p w14:paraId="0793778A" w14:textId="77777777" w:rsidR="00BD31DC" w:rsidRPr="002B55E9" w:rsidRDefault="00BD31DC" w:rsidP="00BD31DC">
            <w:pPr>
              <w:rPr>
                <w:kern w:val="2"/>
                <w:sz w:val="21"/>
                <w:szCs w:val="24"/>
              </w:rPr>
            </w:pPr>
            <w:r w:rsidRPr="002B55E9">
              <w:rPr>
                <w:kern w:val="2"/>
                <w:sz w:val="21"/>
                <w:szCs w:val="24"/>
              </w:rPr>
              <w:t>符合</w:t>
            </w:r>
            <w:r w:rsidRPr="002B55E9">
              <w:rPr>
                <w:kern w:val="2"/>
                <w:sz w:val="21"/>
                <w:szCs w:val="24"/>
              </w:rPr>
              <w:t xml:space="preserve"> </w:t>
            </w:r>
          </w:p>
        </w:tc>
      </w:tr>
      <w:tr w:rsidR="00C60999" w:rsidRPr="002B55E9" w14:paraId="06EA3322" w14:textId="77777777" w:rsidTr="00BD31DC">
        <w:trPr>
          <w:trHeight w:val="283"/>
        </w:trPr>
        <w:tc>
          <w:tcPr>
            <w:tcW w:w="766" w:type="dxa"/>
            <w:vAlign w:val="center"/>
          </w:tcPr>
          <w:p w14:paraId="04428A60" w14:textId="77777777" w:rsidR="00BD31DC" w:rsidRPr="002B55E9" w:rsidRDefault="00BD31DC" w:rsidP="00BD31DC">
            <w:pPr>
              <w:jc w:val="center"/>
              <w:rPr>
                <w:bCs/>
                <w:sz w:val="18"/>
                <w:szCs w:val="18"/>
              </w:rPr>
            </w:pPr>
            <w:r w:rsidRPr="002B55E9">
              <w:rPr>
                <w:bCs/>
                <w:sz w:val="18"/>
                <w:szCs w:val="18"/>
              </w:rPr>
              <w:t>15</w:t>
            </w:r>
          </w:p>
        </w:tc>
        <w:tc>
          <w:tcPr>
            <w:tcW w:w="4096" w:type="dxa"/>
            <w:vAlign w:val="center"/>
          </w:tcPr>
          <w:p w14:paraId="07C33788" w14:textId="77777777" w:rsidR="00BD31DC" w:rsidRPr="002B55E9" w:rsidRDefault="00BD31DC" w:rsidP="00BD31DC">
            <w:pPr>
              <w:rPr>
                <w:bCs/>
                <w:sz w:val="18"/>
                <w:szCs w:val="18"/>
              </w:rPr>
            </w:pPr>
            <w:r w:rsidRPr="002B55E9">
              <w:rPr>
                <w:bCs/>
                <w:sz w:val="18"/>
                <w:szCs w:val="18"/>
              </w:rPr>
              <w:t>禁止新建、扩建不符合要求的高耗能高排放低水平项目。</w:t>
            </w:r>
            <w:r w:rsidRPr="002B55E9">
              <w:rPr>
                <w:bCs/>
                <w:sz w:val="18"/>
                <w:szCs w:val="18"/>
              </w:rPr>
              <w:t xml:space="preserve"> </w:t>
            </w:r>
          </w:p>
        </w:tc>
        <w:tc>
          <w:tcPr>
            <w:tcW w:w="2260" w:type="dxa"/>
            <w:vAlign w:val="center"/>
          </w:tcPr>
          <w:p w14:paraId="673607CA" w14:textId="77777777" w:rsidR="00BD31DC" w:rsidRPr="002B55E9" w:rsidRDefault="00BD31DC" w:rsidP="00BD31DC">
            <w:pPr>
              <w:rPr>
                <w:bCs/>
                <w:sz w:val="18"/>
                <w:szCs w:val="18"/>
              </w:rPr>
            </w:pPr>
            <w:r w:rsidRPr="002B55E9">
              <w:rPr>
                <w:bCs/>
                <w:sz w:val="18"/>
                <w:szCs w:val="18"/>
              </w:rPr>
              <w:t>本项目不属于高耗能高排放低水平项目。</w:t>
            </w:r>
          </w:p>
        </w:tc>
        <w:tc>
          <w:tcPr>
            <w:tcW w:w="751" w:type="dxa"/>
            <w:vAlign w:val="center"/>
          </w:tcPr>
          <w:p w14:paraId="1ED5B0BE" w14:textId="77777777" w:rsidR="00BD31DC" w:rsidRPr="002B55E9" w:rsidRDefault="00BD31DC" w:rsidP="00BD31DC">
            <w:pPr>
              <w:rPr>
                <w:kern w:val="2"/>
                <w:sz w:val="21"/>
                <w:szCs w:val="24"/>
              </w:rPr>
            </w:pPr>
            <w:r w:rsidRPr="002B55E9">
              <w:rPr>
                <w:kern w:val="2"/>
                <w:sz w:val="21"/>
                <w:szCs w:val="24"/>
              </w:rPr>
              <w:t>符合</w:t>
            </w:r>
            <w:r w:rsidRPr="002B55E9">
              <w:rPr>
                <w:kern w:val="2"/>
                <w:sz w:val="21"/>
                <w:szCs w:val="24"/>
              </w:rPr>
              <w:t xml:space="preserve"> </w:t>
            </w:r>
          </w:p>
        </w:tc>
      </w:tr>
    </w:tbl>
    <w:p w14:paraId="66811D7D" w14:textId="7CA7157E" w:rsidR="00BD31DC" w:rsidRPr="002B55E9" w:rsidRDefault="00BD31DC" w:rsidP="00BD31DC">
      <w:pPr>
        <w:adjustRightInd w:val="0"/>
        <w:snapToGrid w:val="0"/>
        <w:spacing w:line="360" w:lineRule="auto"/>
        <w:ind w:firstLineChars="200" w:firstLine="480"/>
      </w:pPr>
      <w:r w:rsidRPr="002B55E9">
        <w:rPr>
          <w:rFonts w:ascii="宋体" w:hAnsi="宋体"/>
          <w:sz w:val="24"/>
          <w:szCs w:val="24"/>
        </w:rPr>
        <w:t>由上表可知，项目建设符合《长江经济带发展负面清单指南（试行，2022年版）湖北省实施细则》中的相关要求。</w:t>
      </w:r>
    </w:p>
    <w:p w14:paraId="5FCC06D0" w14:textId="77777777" w:rsidR="00D170E5" w:rsidRPr="002B55E9" w:rsidRDefault="00EF27AD">
      <w:pPr>
        <w:pStyle w:val="4"/>
        <w:rPr>
          <w:color w:val="auto"/>
        </w:rPr>
      </w:pPr>
      <w:r w:rsidRPr="002B55E9">
        <w:rPr>
          <w:rFonts w:hint="eastAsia"/>
          <w:color w:val="auto"/>
        </w:rPr>
        <w:t>与《长江经济带生态环境保护规划》符合性分析</w:t>
      </w:r>
    </w:p>
    <w:p w14:paraId="312E46E2" w14:textId="77777777" w:rsidR="00D170E5" w:rsidRPr="002B55E9" w:rsidRDefault="00EF27AD">
      <w:pPr>
        <w:pStyle w:val="affff7"/>
        <w:widowControl w:val="0"/>
      </w:pPr>
      <w:r w:rsidRPr="002B55E9">
        <w:rPr>
          <w:rFonts w:hint="eastAsia"/>
        </w:rPr>
        <w:t>《长江经济带生态环境保护规划》以环规财</w:t>
      </w:r>
      <w:r w:rsidRPr="002B55E9">
        <w:rPr>
          <w:rFonts w:hint="eastAsia"/>
        </w:rPr>
        <w:t xml:space="preserve">[2017]88 </w:t>
      </w:r>
      <w:r w:rsidRPr="002B55E9">
        <w:rPr>
          <w:rFonts w:hint="eastAsia"/>
        </w:rPr>
        <w:t>号文正式印发，拟建项目与《长江经济带生态环境保护规划》符合性分析见下表。</w:t>
      </w:r>
    </w:p>
    <w:p w14:paraId="57622677" w14:textId="77777777" w:rsidR="00D170E5" w:rsidRPr="002B55E9" w:rsidRDefault="00EF27AD">
      <w:pPr>
        <w:pStyle w:val="aa"/>
        <w:spacing w:after="60" w:line="240" w:lineRule="auto"/>
        <w:ind w:firstLine="0"/>
        <w:jc w:val="center"/>
        <w:rPr>
          <w:rFonts w:eastAsia="黑体"/>
          <w:b/>
        </w:rPr>
      </w:pPr>
      <w:r w:rsidRPr="002B55E9">
        <w:rPr>
          <w:rFonts w:eastAsia="黑体"/>
          <w:b/>
        </w:rPr>
        <w:t>表</w:t>
      </w:r>
      <w:r w:rsidRPr="002B55E9">
        <w:rPr>
          <w:rFonts w:eastAsia="黑体" w:hint="eastAsia"/>
          <w:b/>
        </w:rPr>
        <w:t>9-3-</w:t>
      </w:r>
      <w:r w:rsidRPr="002B55E9">
        <w:rPr>
          <w:rFonts w:eastAsia="黑体"/>
          <w:b/>
        </w:rPr>
        <w:t xml:space="preserve">1  </w:t>
      </w:r>
      <w:r w:rsidRPr="002B55E9">
        <w:rPr>
          <w:rFonts w:eastAsia="黑体" w:hint="eastAsia"/>
          <w:b/>
        </w:rPr>
        <w:t>拟建项目与《长江经济带生态环境保护规划》符合性分析</w:t>
      </w:r>
      <w:r w:rsidRPr="002B55E9">
        <w:rPr>
          <w:rFonts w:eastAsia="黑体"/>
          <w:b/>
        </w:rPr>
        <w:t>表</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47"/>
        <w:gridCol w:w="767"/>
        <w:gridCol w:w="4775"/>
        <w:gridCol w:w="3148"/>
      </w:tblGrid>
      <w:tr w:rsidR="00C60999" w:rsidRPr="002B55E9" w14:paraId="617572BA" w14:textId="77777777">
        <w:trPr>
          <w:trHeight w:val="284"/>
          <w:jc w:val="center"/>
        </w:trPr>
        <w:tc>
          <w:tcPr>
            <w:tcW w:w="6489" w:type="dxa"/>
            <w:gridSpan w:val="3"/>
            <w:tcBorders>
              <w:top w:val="single" w:sz="12" w:space="0" w:color="auto"/>
              <w:bottom w:val="single" w:sz="12" w:space="0" w:color="auto"/>
            </w:tcBorders>
            <w:vAlign w:val="center"/>
          </w:tcPr>
          <w:p w14:paraId="6B6A7F51" w14:textId="77777777" w:rsidR="00D170E5" w:rsidRPr="002B55E9" w:rsidRDefault="00EF27AD">
            <w:pPr>
              <w:jc w:val="center"/>
              <w:rPr>
                <w:sz w:val="18"/>
                <w:szCs w:val="18"/>
              </w:rPr>
            </w:pPr>
            <w:r w:rsidRPr="002B55E9">
              <w:rPr>
                <w:rFonts w:hint="eastAsia"/>
                <w:sz w:val="18"/>
                <w:szCs w:val="18"/>
              </w:rPr>
              <w:t>规划</w:t>
            </w:r>
            <w:r w:rsidRPr="002B55E9">
              <w:rPr>
                <w:sz w:val="18"/>
                <w:szCs w:val="18"/>
              </w:rPr>
              <w:t>内容</w:t>
            </w:r>
          </w:p>
        </w:tc>
        <w:tc>
          <w:tcPr>
            <w:tcW w:w="3148" w:type="dxa"/>
            <w:tcBorders>
              <w:top w:val="single" w:sz="12" w:space="0" w:color="auto"/>
              <w:bottom w:val="single" w:sz="12" w:space="0" w:color="auto"/>
            </w:tcBorders>
            <w:shd w:val="clear" w:color="auto" w:fill="auto"/>
            <w:vAlign w:val="center"/>
          </w:tcPr>
          <w:p w14:paraId="6FA32954" w14:textId="77777777" w:rsidR="00D170E5" w:rsidRPr="002B55E9" w:rsidRDefault="00EF27AD">
            <w:pPr>
              <w:jc w:val="center"/>
              <w:rPr>
                <w:sz w:val="18"/>
                <w:szCs w:val="18"/>
              </w:rPr>
            </w:pPr>
            <w:r w:rsidRPr="002B55E9">
              <w:rPr>
                <w:rFonts w:hint="eastAsia"/>
                <w:sz w:val="18"/>
                <w:szCs w:val="18"/>
              </w:rPr>
              <w:t>符合性分析</w:t>
            </w:r>
          </w:p>
        </w:tc>
      </w:tr>
      <w:tr w:rsidR="00C60999" w:rsidRPr="002B55E9" w14:paraId="2048ECBB" w14:textId="77777777">
        <w:trPr>
          <w:trHeight w:val="284"/>
          <w:jc w:val="center"/>
        </w:trPr>
        <w:tc>
          <w:tcPr>
            <w:tcW w:w="947" w:type="dxa"/>
            <w:vAlign w:val="center"/>
          </w:tcPr>
          <w:p w14:paraId="71BF231B" w14:textId="77777777" w:rsidR="00D170E5" w:rsidRPr="002B55E9" w:rsidRDefault="00EF27AD">
            <w:pPr>
              <w:jc w:val="center"/>
              <w:rPr>
                <w:sz w:val="18"/>
                <w:szCs w:val="18"/>
              </w:rPr>
            </w:pPr>
            <w:r w:rsidRPr="002B55E9">
              <w:rPr>
                <w:bCs/>
                <w:sz w:val="18"/>
                <w:szCs w:val="18"/>
              </w:rPr>
              <w:t>二、指导思想、原则和目标</w:t>
            </w:r>
          </w:p>
        </w:tc>
        <w:tc>
          <w:tcPr>
            <w:tcW w:w="767" w:type="dxa"/>
            <w:vAlign w:val="center"/>
          </w:tcPr>
          <w:p w14:paraId="4CB2C555" w14:textId="77777777" w:rsidR="00D170E5" w:rsidRPr="002B55E9" w:rsidRDefault="00EF27AD">
            <w:pPr>
              <w:jc w:val="center"/>
              <w:rPr>
                <w:sz w:val="18"/>
                <w:szCs w:val="18"/>
              </w:rPr>
            </w:pPr>
            <w:r w:rsidRPr="002B55E9">
              <w:rPr>
                <w:sz w:val="18"/>
                <w:szCs w:val="18"/>
              </w:rPr>
              <w:t>（四）分区保护重点</w:t>
            </w:r>
          </w:p>
        </w:tc>
        <w:tc>
          <w:tcPr>
            <w:tcW w:w="4775" w:type="dxa"/>
            <w:shd w:val="clear" w:color="auto" w:fill="auto"/>
            <w:vAlign w:val="center"/>
          </w:tcPr>
          <w:p w14:paraId="014937E8" w14:textId="77777777" w:rsidR="00D170E5" w:rsidRPr="002B55E9" w:rsidRDefault="00EF27AD">
            <w:pPr>
              <w:rPr>
                <w:sz w:val="18"/>
                <w:szCs w:val="18"/>
              </w:rPr>
            </w:pPr>
            <w:r w:rsidRPr="002B55E9">
              <w:rPr>
                <w:sz w:val="18"/>
                <w:szCs w:val="18"/>
              </w:rPr>
              <w:t>中游区包括江西、</w:t>
            </w:r>
            <w:r w:rsidRPr="002B55E9">
              <w:rPr>
                <w:b/>
                <w:sz w:val="18"/>
                <w:szCs w:val="18"/>
              </w:rPr>
              <w:t>湖北</w:t>
            </w:r>
            <w:r w:rsidRPr="002B55E9">
              <w:rPr>
                <w:sz w:val="18"/>
                <w:szCs w:val="18"/>
              </w:rPr>
              <w:t>、湖南等省，区域湖泊、湿地生态功能退化，江湖关系复杂，沿江重化工高密度布局，污染重、风险隐患大，部分地区总磷、重金属污染较重。要加强丹江口库区及上游地区、湘资沅中游、赣江中上游等区域的水土流失治理与生态修复，重点协调江湖关系，保护水生生态系统，维护生物多样性，恢复沿江沿岸湿地，确保水质安全，优化和规范沿江产业发展，管控土壤环境风险，引导湖北磷矿、湖南有色金属、江西稀土等资源合理开发。</w:t>
            </w:r>
          </w:p>
        </w:tc>
        <w:tc>
          <w:tcPr>
            <w:tcW w:w="3148" w:type="dxa"/>
            <w:shd w:val="clear" w:color="auto" w:fill="auto"/>
            <w:vAlign w:val="center"/>
          </w:tcPr>
          <w:p w14:paraId="70F27394" w14:textId="77777777" w:rsidR="00D170E5" w:rsidRPr="002B55E9" w:rsidRDefault="00EF27AD">
            <w:pPr>
              <w:rPr>
                <w:sz w:val="18"/>
                <w:szCs w:val="18"/>
              </w:rPr>
            </w:pPr>
            <w:r w:rsidRPr="002B55E9">
              <w:rPr>
                <w:sz w:val="18"/>
                <w:szCs w:val="18"/>
              </w:rPr>
              <w:t>符合。</w:t>
            </w:r>
            <w:r w:rsidRPr="002B55E9">
              <w:rPr>
                <w:rFonts w:hint="eastAsia"/>
                <w:sz w:val="18"/>
                <w:szCs w:val="18"/>
              </w:rPr>
              <w:t>项目为新建项目，位于东西湖区新沟镇食品医疗用地板块南部健康食品一区，属于工业用地范围，符合园区规划和规划环评要求。</w:t>
            </w:r>
          </w:p>
        </w:tc>
      </w:tr>
      <w:tr w:rsidR="00C60999" w:rsidRPr="002B55E9" w14:paraId="34CE8516" w14:textId="77777777">
        <w:trPr>
          <w:trHeight w:val="284"/>
          <w:jc w:val="center"/>
        </w:trPr>
        <w:tc>
          <w:tcPr>
            <w:tcW w:w="947" w:type="dxa"/>
            <w:vAlign w:val="center"/>
          </w:tcPr>
          <w:p w14:paraId="28AE799B" w14:textId="77777777" w:rsidR="00D170E5" w:rsidRPr="002B55E9" w:rsidRDefault="00EF27AD">
            <w:pPr>
              <w:jc w:val="center"/>
              <w:rPr>
                <w:sz w:val="18"/>
                <w:szCs w:val="18"/>
              </w:rPr>
            </w:pPr>
            <w:r w:rsidRPr="002B55E9">
              <w:rPr>
                <w:bCs/>
                <w:sz w:val="18"/>
                <w:szCs w:val="18"/>
              </w:rPr>
              <w:t>三、确立水资源利用上线，妥善处理江河湖库关系</w:t>
            </w:r>
          </w:p>
        </w:tc>
        <w:tc>
          <w:tcPr>
            <w:tcW w:w="767" w:type="dxa"/>
            <w:vAlign w:val="center"/>
          </w:tcPr>
          <w:p w14:paraId="487C0793" w14:textId="77777777" w:rsidR="00D170E5" w:rsidRPr="002B55E9" w:rsidRDefault="00EF27AD">
            <w:pPr>
              <w:jc w:val="center"/>
              <w:rPr>
                <w:sz w:val="18"/>
                <w:szCs w:val="18"/>
              </w:rPr>
            </w:pPr>
            <w:r w:rsidRPr="002B55E9">
              <w:rPr>
                <w:sz w:val="18"/>
                <w:szCs w:val="18"/>
              </w:rPr>
              <w:t>（一）实行总量强度双控</w:t>
            </w:r>
          </w:p>
        </w:tc>
        <w:tc>
          <w:tcPr>
            <w:tcW w:w="4775" w:type="dxa"/>
            <w:shd w:val="clear" w:color="auto" w:fill="auto"/>
            <w:vAlign w:val="center"/>
          </w:tcPr>
          <w:p w14:paraId="593B6B31" w14:textId="77777777" w:rsidR="00D170E5" w:rsidRPr="002B55E9" w:rsidRDefault="00EF27AD">
            <w:pPr>
              <w:rPr>
                <w:sz w:val="18"/>
                <w:szCs w:val="18"/>
              </w:rPr>
            </w:pPr>
            <w:r w:rsidRPr="002B55E9">
              <w:rPr>
                <w:sz w:val="18"/>
                <w:szCs w:val="18"/>
              </w:rPr>
              <w:t>推进重点领域节水。大力推进农业、工业、城镇节水，建设节水型社会。</w:t>
            </w:r>
            <w:r w:rsidRPr="002B55E9">
              <w:rPr>
                <w:sz w:val="18"/>
                <w:szCs w:val="18"/>
              </w:rPr>
              <w:t>…...</w:t>
            </w:r>
            <w:r w:rsidRPr="002B55E9">
              <w:rPr>
                <w:b/>
                <w:sz w:val="18"/>
                <w:szCs w:val="18"/>
              </w:rPr>
              <w:t>强化工业节水</w:t>
            </w:r>
            <w:r w:rsidRPr="002B55E9">
              <w:rPr>
                <w:sz w:val="18"/>
                <w:szCs w:val="18"/>
              </w:rPr>
              <w:t>，以南京、</w:t>
            </w:r>
            <w:r w:rsidRPr="002B55E9">
              <w:rPr>
                <w:b/>
                <w:sz w:val="18"/>
                <w:szCs w:val="18"/>
              </w:rPr>
              <w:t>武汉</w:t>
            </w:r>
            <w:r w:rsidRPr="002B55E9">
              <w:rPr>
                <w:sz w:val="18"/>
                <w:szCs w:val="18"/>
              </w:rPr>
              <w:t>、长沙、重庆、成都等城市为重点，实施高耗水行业生产工艺节水改造，降低单位产品用水量。完善电力、钢铁、造纸、石化、化工、印染、化纤、食品发酵等高耗水行业省级用水定额。</w:t>
            </w:r>
            <w:r w:rsidRPr="002B55E9">
              <w:rPr>
                <w:sz w:val="18"/>
                <w:szCs w:val="18"/>
              </w:rPr>
              <w:t>……</w:t>
            </w:r>
          </w:p>
        </w:tc>
        <w:tc>
          <w:tcPr>
            <w:tcW w:w="3148" w:type="dxa"/>
            <w:shd w:val="clear" w:color="auto" w:fill="auto"/>
            <w:vAlign w:val="center"/>
          </w:tcPr>
          <w:p w14:paraId="578C1A01" w14:textId="77777777" w:rsidR="00D170E5" w:rsidRPr="002B55E9" w:rsidRDefault="00EF27AD">
            <w:pPr>
              <w:rPr>
                <w:sz w:val="18"/>
                <w:szCs w:val="18"/>
              </w:rPr>
            </w:pPr>
            <w:r w:rsidRPr="002B55E9">
              <w:rPr>
                <w:sz w:val="18"/>
                <w:szCs w:val="18"/>
              </w:rPr>
              <w:t>符合。项目</w:t>
            </w:r>
            <w:r w:rsidRPr="002B55E9">
              <w:rPr>
                <w:rFonts w:hint="eastAsia"/>
                <w:sz w:val="18"/>
                <w:szCs w:val="18"/>
              </w:rPr>
              <w:t>主要进行料酒、食醋等调味品制造，废水经污水处理站预处理后排入东西湖污水处理</w:t>
            </w:r>
            <w:r w:rsidRPr="002B55E9">
              <w:rPr>
                <w:sz w:val="18"/>
                <w:szCs w:val="18"/>
              </w:rPr>
              <w:t>。</w:t>
            </w:r>
          </w:p>
        </w:tc>
      </w:tr>
      <w:tr w:rsidR="00C60999" w:rsidRPr="002B55E9" w14:paraId="62A50567" w14:textId="77777777">
        <w:trPr>
          <w:trHeight w:val="284"/>
          <w:jc w:val="center"/>
        </w:trPr>
        <w:tc>
          <w:tcPr>
            <w:tcW w:w="947" w:type="dxa"/>
            <w:vAlign w:val="center"/>
          </w:tcPr>
          <w:p w14:paraId="71D465F8" w14:textId="77777777" w:rsidR="00D170E5" w:rsidRPr="002B55E9" w:rsidRDefault="00EF27AD">
            <w:pPr>
              <w:jc w:val="center"/>
              <w:rPr>
                <w:sz w:val="18"/>
                <w:szCs w:val="18"/>
              </w:rPr>
            </w:pPr>
            <w:r w:rsidRPr="002B55E9">
              <w:rPr>
                <w:bCs/>
                <w:sz w:val="18"/>
                <w:szCs w:val="18"/>
              </w:rPr>
              <w:t>六、全面推进环境污染治理，建设宜居城乡环境</w:t>
            </w:r>
          </w:p>
        </w:tc>
        <w:tc>
          <w:tcPr>
            <w:tcW w:w="767" w:type="dxa"/>
            <w:vAlign w:val="center"/>
          </w:tcPr>
          <w:p w14:paraId="7C58D825" w14:textId="77777777" w:rsidR="00D170E5" w:rsidRPr="002B55E9" w:rsidRDefault="00EF27AD">
            <w:pPr>
              <w:jc w:val="center"/>
              <w:rPr>
                <w:sz w:val="18"/>
                <w:szCs w:val="18"/>
              </w:rPr>
            </w:pPr>
            <w:r w:rsidRPr="002B55E9">
              <w:rPr>
                <w:sz w:val="18"/>
                <w:szCs w:val="18"/>
              </w:rPr>
              <w:t>（一）改善城市空气质量</w:t>
            </w:r>
          </w:p>
        </w:tc>
        <w:tc>
          <w:tcPr>
            <w:tcW w:w="4775" w:type="dxa"/>
            <w:shd w:val="clear" w:color="auto" w:fill="auto"/>
            <w:vAlign w:val="center"/>
          </w:tcPr>
          <w:p w14:paraId="776909C9" w14:textId="77777777" w:rsidR="00D170E5" w:rsidRPr="002B55E9" w:rsidRDefault="00EF27AD">
            <w:pPr>
              <w:rPr>
                <w:sz w:val="18"/>
                <w:szCs w:val="18"/>
              </w:rPr>
            </w:pPr>
            <w:r w:rsidRPr="002B55E9">
              <w:rPr>
                <w:sz w:val="18"/>
                <w:szCs w:val="18"/>
              </w:rPr>
              <w:t>………</w:t>
            </w:r>
            <w:r w:rsidRPr="002B55E9">
              <w:rPr>
                <w:b/>
                <w:sz w:val="18"/>
                <w:szCs w:val="18"/>
              </w:rPr>
              <w:t>完善大气污染物排放总量控制制度</w:t>
            </w:r>
            <w:r w:rsidRPr="002B55E9">
              <w:rPr>
                <w:sz w:val="18"/>
                <w:szCs w:val="18"/>
              </w:rPr>
              <w:t>，加强二氧化硫、氮氧化物、烟粉尘、挥发性有机物等主要污染物综合防治。</w:t>
            </w:r>
            <w:r w:rsidRPr="002B55E9">
              <w:rPr>
                <w:sz w:val="18"/>
                <w:szCs w:val="18"/>
              </w:rPr>
              <w:t>……</w:t>
            </w:r>
            <w:r w:rsidRPr="002B55E9">
              <w:rPr>
                <w:rFonts w:hint="eastAsia"/>
                <w:sz w:val="18"/>
                <w:szCs w:val="18"/>
              </w:rPr>
              <w:t>.</w:t>
            </w:r>
            <w:r w:rsidRPr="002B55E9">
              <w:rPr>
                <w:sz w:val="18"/>
                <w:szCs w:val="18"/>
              </w:rPr>
              <w:t>实施石化、化工、工业涂装、包装印刷、油品储运销、机动车等重点行业挥发性有机物综合整治工程。</w:t>
            </w:r>
            <w:r w:rsidRPr="002B55E9">
              <w:rPr>
                <w:sz w:val="18"/>
                <w:szCs w:val="18"/>
              </w:rPr>
              <w:t>……</w:t>
            </w:r>
            <w:r w:rsidRPr="002B55E9">
              <w:rPr>
                <w:rFonts w:hint="eastAsia"/>
                <w:sz w:val="18"/>
                <w:szCs w:val="18"/>
              </w:rPr>
              <w:t>.</w:t>
            </w:r>
          </w:p>
        </w:tc>
        <w:tc>
          <w:tcPr>
            <w:tcW w:w="3148" w:type="dxa"/>
            <w:shd w:val="clear" w:color="auto" w:fill="auto"/>
            <w:vAlign w:val="center"/>
          </w:tcPr>
          <w:p w14:paraId="13A95816" w14:textId="77777777" w:rsidR="00D170E5" w:rsidRPr="002B55E9" w:rsidRDefault="00EF27AD">
            <w:pPr>
              <w:rPr>
                <w:sz w:val="18"/>
                <w:szCs w:val="18"/>
              </w:rPr>
            </w:pPr>
            <w:r w:rsidRPr="002B55E9">
              <w:rPr>
                <w:sz w:val="18"/>
                <w:szCs w:val="18"/>
              </w:rPr>
              <w:t>符合</w:t>
            </w:r>
            <w:r w:rsidRPr="002B55E9">
              <w:rPr>
                <w:rFonts w:hint="eastAsia"/>
                <w:sz w:val="18"/>
                <w:szCs w:val="18"/>
              </w:rPr>
              <w:t>。项目主要进行料酒、食醋等调味品生产，项目产生的各类废气经处理后达标排放，对外界环境影响较小。</w:t>
            </w:r>
          </w:p>
        </w:tc>
      </w:tr>
      <w:tr w:rsidR="00C60999" w:rsidRPr="002B55E9" w14:paraId="09F43597" w14:textId="77777777">
        <w:trPr>
          <w:trHeight w:val="284"/>
          <w:jc w:val="center"/>
        </w:trPr>
        <w:tc>
          <w:tcPr>
            <w:tcW w:w="947" w:type="dxa"/>
            <w:vMerge w:val="restart"/>
            <w:vAlign w:val="center"/>
          </w:tcPr>
          <w:p w14:paraId="6FCD3035" w14:textId="77777777" w:rsidR="00D170E5" w:rsidRPr="002B55E9" w:rsidRDefault="00EF27AD">
            <w:pPr>
              <w:jc w:val="center"/>
              <w:rPr>
                <w:bCs/>
                <w:sz w:val="18"/>
                <w:szCs w:val="18"/>
              </w:rPr>
            </w:pPr>
            <w:r w:rsidRPr="002B55E9">
              <w:rPr>
                <w:bCs/>
                <w:sz w:val="18"/>
                <w:szCs w:val="18"/>
              </w:rPr>
              <w:t>七、强化突发环境事件预防</w:t>
            </w:r>
            <w:r w:rsidRPr="002B55E9">
              <w:rPr>
                <w:bCs/>
                <w:sz w:val="18"/>
                <w:szCs w:val="18"/>
              </w:rPr>
              <w:lastRenderedPageBreak/>
              <w:t>应对，严格管控环境风险</w:t>
            </w:r>
          </w:p>
        </w:tc>
        <w:tc>
          <w:tcPr>
            <w:tcW w:w="767" w:type="dxa"/>
            <w:vMerge w:val="restart"/>
            <w:vAlign w:val="center"/>
          </w:tcPr>
          <w:p w14:paraId="2DBF61C2" w14:textId="77777777" w:rsidR="00D170E5" w:rsidRPr="002B55E9" w:rsidRDefault="00EF27AD">
            <w:pPr>
              <w:jc w:val="center"/>
              <w:rPr>
                <w:sz w:val="18"/>
                <w:szCs w:val="18"/>
              </w:rPr>
            </w:pPr>
            <w:r w:rsidRPr="002B55E9">
              <w:rPr>
                <w:sz w:val="18"/>
                <w:szCs w:val="18"/>
              </w:rPr>
              <w:lastRenderedPageBreak/>
              <w:t>（一）严格环境风险</w:t>
            </w:r>
            <w:r w:rsidRPr="002B55E9">
              <w:rPr>
                <w:sz w:val="18"/>
                <w:szCs w:val="18"/>
              </w:rPr>
              <w:lastRenderedPageBreak/>
              <w:t>源头防控</w:t>
            </w:r>
          </w:p>
        </w:tc>
        <w:tc>
          <w:tcPr>
            <w:tcW w:w="4775" w:type="dxa"/>
            <w:shd w:val="clear" w:color="auto" w:fill="auto"/>
            <w:vAlign w:val="center"/>
          </w:tcPr>
          <w:p w14:paraId="221616BC" w14:textId="77777777" w:rsidR="00D170E5" w:rsidRPr="002B55E9" w:rsidRDefault="00EF27AD">
            <w:pPr>
              <w:rPr>
                <w:sz w:val="18"/>
                <w:szCs w:val="18"/>
              </w:rPr>
            </w:pPr>
            <w:r w:rsidRPr="002B55E9">
              <w:rPr>
                <w:sz w:val="18"/>
                <w:szCs w:val="18"/>
              </w:rPr>
              <w:lastRenderedPageBreak/>
              <w:t>加强环境风险评估。</w:t>
            </w:r>
            <w:r w:rsidRPr="002B55E9">
              <w:rPr>
                <w:b/>
                <w:sz w:val="18"/>
                <w:szCs w:val="18"/>
              </w:rPr>
              <w:t>强化企业环境风险评估</w:t>
            </w:r>
            <w:r w:rsidRPr="002B55E9">
              <w:rPr>
                <w:sz w:val="18"/>
                <w:szCs w:val="18"/>
              </w:rPr>
              <w:t>，</w:t>
            </w:r>
            <w:r w:rsidRPr="002B55E9">
              <w:rPr>
                <w:sz w:val="18"/>
                <w:szCs w:val="18"/>
              </w:rPr>
              <w:t>2018</w:t>
            </w:r>
            <w:r w:rsidRPr="002B55E9">
              <w:rPr>
                <w:sz w:val="18"/>
                <w:szCs w:val="18"/>
              </w:rPr>
              <w:t>年底前，完成沿江石化、化工、医药、纺织、印染、化纤、危化品和石油类仓储、涉重金属和危险废物等重点企业环境</w:t>
            </w:r>
            <w:r w:rsidRPr="002B55E9">
              <w:rPr>
                <w:sz w:val="18"/>
                <w:szCs w:val="18"/>
              </w:rPr>
              <w:lastRenderedPageBreak/>
              <w:t>风险评估，为实施环境安全隐患综合整治奠定基础。</w:t>
            </w:r>
            <w:r w:rsidRPr="002B55E9">
              <w:rPr>
                <w:rFonts w:hint="eastAsia"/>
                <w:sz w:val="18"/>
                <w:szCs w:val="18"/>
              </w:rPr>
              <w:t>......</w:t>
            </w:r>
          </w:p>
        </w:tc>
        <w:tc>
          <w:tcPr>
            <w:tcW w:w="3148" w:type="dxa"/>
            <w:shd w:val="clear" w:color="auto" w:fill="auto"/>
            <w:vAlign w:val="center"/>
          </w:tcPr>
          <w:p w14:paraId="4472FA2C" w14:textId="77777777" w:rsidR="00D170E5" w:rsidRPr="002B55E9" w:rsidRDefault="00EF27AD">
            <w:pPr>
              <w:rPr>
                <w:sz w:val="18"/>
                <w:szCs w:val="18"/>
              </w:rPr>
            </w:pPr>
            <w:r w:rsidRPr="002B55E9">
              <w:rPr>
                <w:sz w:val="18"/>
                <w:szCs w:val="18"/>
              </w:rPr>
              <w:lastRenderedPageBreak/>
              <w:t>符合。</w:t>
            </w:r>
            <w:r w:rsidRPr="002B55E9">
              <w:rPr>
                <w:rFonts w:hint="eastAsia"/>
                <w:sz w:val="18"/>
                <w:szCs w:val="18"/>
              </w:rPr>
              <w:t>本次评价已要求拟建项目建成投产后应按照相关要求对编制突发环境事件风险应急预案。</w:t>
            </w:r>
          </w:p>
        </w:tc>
      </w:tr>
      <w:tr w:rsidR="00C60999" w:rsidRPr="002B55E9" w14:paraId="55187503" w14:textId="77777777">
        <w:trPr>
          <w:trHeight w:val="284"/>
          <w:jc w:val="center"/>
        </w:trPr>
        <w:tc>
          <w:tcPr>
            <w:tcW w:w="947" w:type="dxa"/>
            <w:vMerge/>
            <w:vAlign w:val="center"/>
          </w:tcPr>
          <w:p w14:paraId="78B89FE5" w14:textId="77777777" w:rsidR="00D170E5" w:rsidRPr="002B55E9" w:rsidRDefault="00D170E5">
            <w:pPr>
              <w:jc w:val="center"/>
              <w:rPr>
                <w:sz w:val="18"/>
                <w:szCs w:val="18"/>
              </w:rPr>
            </w:pPr>
          </w:p>
        </w:tc>
        <w:tc>
          <w:tcPr>
            <w:tcW w:w="767" w:type="dxa"/>
            <w:vMerge/>
            <w:vAlign w:val="center"/>
          </w:tcPr>
          <w:p w14:paraId="5DDAFD50" w14:textId="77777777" w:rsidR="00D170E5" w:rsidRPr="002B55E9" w:rsidRDefault="00D170E5">
            <w:pPr>
              <w:jc w:val="center"/>
              <w:rPr>
                <w:sz w:val="18"/>
                <w:szCs w:val="18"/>
              </w:rPr>
            </w:pPr>
          </w:p>
        </w:tc>
        <w:tc>
          <w:tcPr>
            <w:tcW w:w="4775" w:type="dxa"/>
            <w:shd w:val="clear" w:color="auto" w:fill="auto"/>
            <w:vAlign w:val="center"/>
          </w:tcPr>
          <w:p w14:paraId="3534E046" w14:textId="77777777" w:rsidR="00D170E5" w:rsidRPr="002B55E9" w:rsidRDefault="00EF27AD">
            <w:pPr>
              <w:rPr>
                <w:sz w:val="18"/>
                <w:szCs w:val="18"/>
              </w:rPr>
            </w:pPr>
            <w:r w:rsidRPr="002B55E9">
              <w:rPr>
                <w:sz w:val="18"/>
                <w:szCs w:val="18"/>
              </w:rPr>
              <w:t>优化沿江企业和码头布局。立足当地资源环境承载能力，优化产业布局和规模，严格禁止污染型产业、企业向中上游地区转移，切实防止环境风险聚集。</w:t>
            </w:r>
            <w:r w:rsidRPr="002B55E9">
              <w:rPr>
                <w:b/>
                <w:sz w:val="18"/>
                <w:szCs w:val="18"/>
              </w:rPr>
              <w:t>禁止在长江干流自然保护区、风景名胜区、</w:t>
            </w:r>
            <w:r w:rsidRPr="002B55E9">
              <w:rPr>
                <w:b/>
                <w:sz w:val="18"/>
                <w:szCs w:val="18"/>
              </w:rPr>
              <w:t>“</w:t>
            </w:r>
            <w:r w:rsidRPr="002B55E9">
              <w:rPr>
                <w:b/>
                <w:sz w:val="18"/>
                <w:szCs w:val="18"/>
              </w:rPr>
              <w:t>四大家鱼</w:t>
            </w:r>
            <w:r w:rsidRPr="002B55E9">
              <w:rPr>
                <w:b/>
                <w:sz w:val="18"/>
                <w:szCs w:val="18"/>
              </w:rPr>
              <w:t>”</w:t>
            </w:r>
            <w:r w:rsidRPr="002B55E9">
              <w:rPr>
                <w:b/>
                <w:sz w:val="18"/>
                <w:szCs w:val="18"/>
              </w:rPr>
              <w:t>产卵场等管控重点区域新建工业类和污染类项目</w:t>
            </w:r>
            <w:r w:rsidRPr="002B55E9">
              <w:rPr>
                <w:sz w:val="18"/>
                <w:szCs w:val="18"/>
              </w:rPr>
              <w:t>，现有高风险企业实施限期治理。除</w:t>
            </w:r>
            <w:r w:rsidRPr="002B55E9">
              <w:rPr>
                <w:b/>
                <w:sz w:val="18"/>
                <w:szCs w:val="18"/>
              </w:rPr>
              <w:t>武汉</w:t>
            </w:r>
            <w:r w:rsidRPr="002B55E9">
              <w:rPr>
                <w:sz w:val="18"/>
                <w:szCs w:val="18"/>
              </w:rPr>
              <w:t>、岳阳、九江、安庆、舟山</w:t>
            </w:r>
            <w:r w:rsidRPr="002B55E9">
              <w:rPr>
                <w:sz w:val="18"/>
                <w:szCs w:val="18"/>
              </w:rPr>
              <w:t xml:space="preserve">5 </w:t>
            </w:r>
            <w:r w:rsidRPr="002B55E9">
              <w:rPr>
                <w:sz w:val="18"/>
                <w:szCs w:val="18"/>
              </w:rPr>
              <w:t>个千万吨级石化产业基地外，其他城市原则上不再新布局石化项目。</w:t>
            </w:r>
            <w:r w:rsidRPr="002B55E9">
              <w:rPr>
                <w:rFonts w:hint="eastAsia"/>
                <w:sz w:val="18"/>
                <w:szCs w:val="18"/>
              </w:rPr>
              <w:t>......</w:t>
            </w:r>
          </w:p>
        </w:tc>
        <w:tc>
          <w:tcPr>
            <w:tcW w:w="3148" w:type="dxa"/>
            <w:shd w:val="clear" w:color="auto" w:fill="auto"/>
            <w:vAlign w:val="center"/>
          </w:tcPr>
          <w:p w14:paraId="488C9AB9" w14:textId="77777777" w:rsidR="00D170E5" w:rsidRPr="002B55E9" w:rsidRDefault="00EF27AD">
            <w:pPr>
              <w:rPr>
                <w:sz w:val="18"/>
                <w:szCs w:val="18"/>
              </w:rPr>
            </w:pPr>
            <w:r w:rsidRPr="002B55E9">
              <w:rPr>
                <w:sz w:val="18"/>
                <w:szCs w:val="18"/>
              </w:rPr>
              <w:t>符合。项目位于</w:t>
            </w:r>
            <w:r w:rsidRPr="002B55E9">
              <w:rPr>
                <w:rFonts w:hint="eastAsia"/>
                <w:sz w:val="18"/>
                <w:szCs w:val="18"/>
              </w:rPr>
              <w:t>武汉东西湖区新沟镇食品医疗用地板块，属</w:t>
            </w:r>
            <w:r w:rsidRPr="002B55E9">
              <w:rPr>
                <w:sz w:val="18"/>
                <w:szCs w:val="18"/>
              </w:rPr>
              <w:t>工业用地范围，</w:t>
            </w:r>
            <w:r w:rsidRPr="002B55E9">
              <w:rPr>
                <w:rFonts w:hint="eastAsia"/>
                <w:sz w:val="18"/>
                <w:szCs w:val="18"/>
              </w:rPr>
              <w:t>不涉及自然保护区、风景名胜区。</w:t>
            </w:r>
          </w:p>
        </w:tc>
      </w:tr>
      <w:tr w:rsidR="00C60999" w:rsidRPr="002B55E9" w14:paraId="1B700323" w14:textId="77777777">
        <w:trPr>
          <w:trHeight w:val="284"/>
          <w:jc w:val="center"/>
        </w:trPr>
        <w:tc>
          <w:tcPr>
            <w:tcW w:w="947" w:type="dxa"/>
            <w:vAlign w:val="center"/>
          </w:tcPr>
          <w:p w14:paraId="264DCAB5" w14:textId="77777777" w:rsidR="00D170E5" w:rsidRPr="002B55E9" w:rsidRDefault="00EF27AD">
            <w:pPr>
              <w:jc w:val="center"/>
              <w:rPr>
                <w:sz w:val="18"/>
                <w:szCs w:val="18"/>
              </w:rPr>
            </w:pPr>
            <w:r w:rsidRPr="002B55E9">
              <w:rPr>
                <w:sz w:val="18"/>
                <w:szCs w:val="18"/>
              </w:rPr>
              <w:t>八、创新大保护的生态环保机制政策，推动区域协同联动</w:t>
            </w:r>
          </w:p>
        </w:tc>
        <w:tc>
          <w:tcPr>
            <w:tcW w:w="767" w:type="dxa"/>
            <w:vAlign w:val="center"/>
          </w:tcPr>
          <w:p w14:paraId="11665AB2" w14:textId="77777777" w:rsidR="00D170E5" w:rsidRPr="002B55E9" w:rsidRDefault="00EF27AD">
            <w:pPr>
              <w:jc w:val="center"/>
              <w:rPr>
                <w:sz w:val="18"/>
                <w:szCs w:val="18"/>
              </w:rPr>
            </w:pPr>
            <w:r w:rsidRPr="002B55E9">
              <w:rPr>
                <w:sz w:val="18"/>
                <w:szCs w:val="18"/>
              </w:rPr>
              <w:t>（三）强化生态优先绿色发展的环境管理措施</w:t>
            </w:r>
          </w:p>
        </w:tc>
        <w:tc>
          <w:tcPr>
            <w:tcW w:w="4775" w:type="dxa"/>
            <w:shd w:val="clear" w:color="auto" w:fill="auto"/>
            <w:vAlign w:val="center"/>
          </w:tcPr>
          <w:p w14:paraId="1EB22972" w14:textId="77777777" w:rsidR="00D170E5" w:rsidRPr="002B55E9" w:rsidRDefault="00EF27AD">
            <w:pPr>
              <w:rPr>
                <w:sz w:val="18"/>
                <w:szCs w:val="18"/>
              </w:rPr>
            </w:pPr>
            <w:r w:rsidRPr="002B55E9">
              <w:rPr>
                <w:sz w:val="18"/>
                <w:szCs w:val="18"/>
              </w:rPr>
              <w:t>实行负面清单管理。长江沿线一切经济活动都要以不破坏生态环境为前提，抓紧制定产业准入负面清单，明确空间准入和环境准入的清单式管理要求。提出长江沿线限制开发和禁止开发的岸线、河段、区域、产业以及相关管理措施。不符合要求占用岸线、河段、土地和布局的产业，必须无条件退出。</w:t>
            </w:r>
            <w:r w:rsidRPr="002B55E9">
              <w:rPr>
                <w:b/>
                <w:sz w:val="18"/>
                <w:szCs w:val="18"/>
              </w:rPr>
              <w:t>除在建项目外，严禁在干流及主要支流岸线</w:t>
            </w:r>
            <w:r w:rsidRPr="002B55E9">
              <w:rPr>
                <w:b/>
                <w:sz w:val="18"/>
                <w:szCs w:val="18"/>
              </w:rPr>
              <w:t xml:space="preserve">1 </w:t>
            </w:r>
            <w:r w:rsidRPr="002B55E9">
              <w:rPr>
                <w:b/>
                <w:sz w:val="18"/>
                <w:szCs w:val="18"/>
              </w:rPr>
              <w:t>公里范围内布局新建重化工园区，严控在中上游沿岸地区新建石油化工和煤化工项目。</w:t>
            </w:r>
            <w:r w:rsidRPr="002B55E9">
              <w:rPr>
                <w:sz w:val="18"/>
                <w:szCs w:val="18"/>
              </w:rPr>
              <w:t>严控下游高污染、高排放企业向上游转移。</w:t>
            </w:r>
          </w:p>
        </w:tc>
        <w:tc>
          <w:tcPr>
            <w:tcW w:w="3148" w:type="dxa"/>
            <w:shd w:val="clear" w:color="auto" w:fill="auto"/>
            <w:vAlign w:val="center"/>
          </w:tcPr>
          <w:p w14:paraId="33ECB888" w14:textId="4C0FE0D3" w:rsidR="00D170E5" w:rsidRPr="002B55E9" w:rsidRDefault="00EF27AD" w:rsidP="00BD31DC">
            <w:pPr>
              <w:rPr>
                <w:sz w:val="18"/>
                <w:szCs w:val="18"/>
              </w:rPr>
            </w:pPr>
            <w:r w:rsidRPr="002B55E9">
              <w:rPr>
                <w:sz w:val="18"/>
                <w:szCs w:val="18"/>
              </w:rPr>
              <w:t>符合。</w:t>
            </w:r>
            <w:r w:rsidRPr="002B55E9">
              <w:rPr>
                <w:rFonts w:hint="eastAsia"/>
                <w:sz w:val="18"/>
                <w:szCs w:val="18"/>
              </w:rPr>
              <w:t>拟建</w:t>
            </w:r>
            <w:r w:rsidRPr="002B55E9">
              <w:rPr>
                <w:sz w:val="18"/>
                <w:szCs w:val="18"/>
              </w:rPr>
              <w:t>项目</w:t>
            </w:r>
            <w:r w:rsidRPr="002B55E9">
              <w:rPr>
                <w:rFonts w:hint="eastAsia"/>
                <w:sz w:val="18"/>
                <w:szCs w:val="18"/>
              </w:rPr>
              <w:t>位于武汉东西湖区新沟镇食品医疗用地板块，主要进行料酒、食醋等调味品生产，项目厂区西侧厂界距离汉江直线距离约为</w:t>
            </w:r>
            <w:r w:rsidRPr="002B55E9">
              <w:rPr>
                <w:sz w:val="18"/>
                <w:szCs w:val="18"/>
              </w:rPr>
              <w:t>1.</w:t>
            </w:r>
            <w:r w:rsidR="00BD31DC" w:rsidRPr="002B55E9">
              <w:rPr>
                <w:sz w:val="18"/>
                <w:szCs w:val="18"/>
              </w:rPr>
              <w:t>8</w:t>
            </w:r>
            <w:r w:rsidRPr="002B55E9">
              <w:rPr>
                <w:rFonts w:hint="eastAsia"/>
                <w:sz w:val="18"/>
                <w:szCs w:val="18"/>
              </w:rPr>
              <w:t>km</w:t>
            </w:r>
            <w:r w:rsidRPr="002B55E9">
              <w:rPr>
                <w:rFonts w:hint="eastAsia"/>
                <w:sz w:val="18"/>
                <w:szCs w:val="18"/>
              </w:rPr>
              <w:t>。</w:t>
            </w:r>
          </w:p>
        </w:tc>
      </w:tr>
    </w:tbl>
    <w:p w14:paraId="3335255D" w14:textId="77777777" w:rsidR="00D170E5" w:rsidRPr="002B55E9" w:rsidRDefault="00EF27AD">
      <w:pPr>
        <w:pStyle w:val="affff7"/>
      </w:pPr>
      <w:r w:rsidRPr="002B55E9">
        <w:rPr>
          <w:rFonts w:hint="eastAsia"/>
        </w:rPr>
        <w:t>综上所述，拟建项目的建设符合《长江经济带生态环境保护规划》相关要求。</w:t>
      </w:r>
    </w:p>
    <w:p w14:paraId="18E73DD9" w14:textId="77777777" w:rsidR="00D170E5" w:rsidRPr="002B55E9" w:rsidRDefault="00EF27AD">
      <w:pPr>
        <w:pStyle w:val="3"/>
        <w:tabs>
          <w:tab w:val="left" w:pos="540"/>
          <w:tab w:val="left" w:pos="2160"/>
        </w:tabs>
      </w:pPr>
      <w:bookmarkStart w:id="312" w:name="_Toc119309025"/>
      <w:bookmarkStart w:id="313" w:name="_Toc2175622"/>
      <w:bookmarkStart w:id="314" w:name="_Toc46923765"/>
      <w:bookmarkEnd w:id="310"/>
      <w:bookmarkEnd w:id="311"/>
      <w:r w:rsidRPr="002B55E9">
        <w:rPr>
          <w:rFonts w:hint="eastAsia"/>
        </w:rPr>
        <w:t>与三线一单符合性分析</w:t>
      </w:r>
      <w:bookmarkEnd w:id="312"/>
      <w:bookmarkEnd w:id="313"/>
      <w:bookmarkEnd w:id="314"/>
    </w:p>
    <w:p w14:paraId="7A3C783C" w14:textId="77777777" w:rsidR="00D170E5" w:rsidRPr="002B55E9" w:rsidRDefault="00EF27AD">
      <w:pPr>
        <w:pStyle w:val="affff7"/>
      </w:pPr>
      <w:r w:rsidRPr="002B55E9">
        <w:rPr>
          <w:rFonts w:hint="eastAsia"/>
        </w:rPr>
        <w:t>根据《“十三五”环境影响评价改革实施方案》，为充分发挥环境影响评价从源头预防环境污染和生态破坏的作用，推动实现“十三五”绿色发展和改善生态环境质量总体目标，以改善环境质量为核心，以全面提高环评有效性为主线，以创新体制机制为动力，以“生态保护红线、环境质量底线、资源利用上线和环境准入负面清单”（简称“三线一单”）为手段，强化空间、总量、准入环境管理，划框子、定规则、查落实、强基础，不断改进和完善依法、科学、公开、廉洁、高效的环评管理体系。</w:t>
      </w:r>
    </w:p>
    <w:p w14:paraId="7CDD7DCB" w14:textId="77777777" w:rsidR="00D170E5" w:rsidRPr="002B55E9" w:rsidRDefault="00EF27AD">
      <w:pPr>
        <w:pStyle w:val="4"/>
        <w:rPr>
          <w:color w:val="auto"/>
        </w:rPr>
      </w:pPr>
      <w:r w:rsidRPr="002B55E9">
        <w:rPr>
          <w:rFonts w:hint="eastAsia"/>
          <w:color w:val="auto"/>
        </w:rPr>
        <w:t>生态</w:t>
      </w:r>
      <w:r w:rsidRPr="002B55E9">
        <w:rPr>
          <w:color w:val="auto"/>
        </w:rPr>
        <w:t>保护红线</w:t>
      </w:r>
    </w:p>
    <w:p w14:paraId="582FD971" w14:textId="77777777" w:rsidR="00D170E5" w:rsidRPr="002B55E9" w:rsidRDefault="00EF27AD">
      <w:pPr>
        <w:pStyle w:val="aa"/>
        <w:ind w:firstLineChars="200" w:firstLine="480"/>
      </w:pPr>
      <w:r w:rsidRPr="002B55E9">
        <w:rPr>
          <w:rFonts w:hint="eastAsia"/>
        </w:rPr>
        <w:t>根据鄂政发</w:t>
      </w:r>
      <w:r w:rsidRPr="002B55E9">
        <w:rPr>
          <w:rFonts w:hint="eastAsia"/>
        </w:rPr>
        <w:t>[2018]30</w:t>
      </w:r>
      <w:r w:rsidRPr="002B55E9">
        <w:rPr>
          <w:rFonts w:hint="eastAsia"/>
        </w:rPr>
        <w:t>号《省人民政府关于发布湖北省生态保护红线的通知》，湖北省生态保护红线总面积</w:t>
      </w:r>
      <w:r w:rsidRPr="002B55E9">
        <w:rPr>
          <w:rFonts w:hint="eastAsia"/>
        </w:rPr>
        <w:t>4.15</w:t>
      </w:r>
      <w:r w:rsidRPr="002B55E9">
        <w:rPr>
          <w:rFonts w:hint="eastAsia"/>
        </w:rPr>
        <w:t>万平方公里，占全省国土面积的</w:t>
      </w:r>
      <w:r w:rsidRPr="002B55E9">
        <w:rPr>
          <w:rFonts w:hint="eastAsia"/>
        </w:rPr>
        <w:t>22.30%</w:t>
      </w:r>
      <w:r w:rsidRPr="002B55E9">
        <w:rPr>
          <w:rFonts w:hint="eastAsia"/>
        </w:rPr>
        <w:t>。湖北省生态保护红线总体呈现“四屏三江一区”基本格局。“四屏”指鄂西南武陵山区、鄂西北秦巴山区、鄂东南幕阜山区、鄂东北大别山区四个生态屏障，主要生态功能为水源涵养、生物多样性维护和水土保持；“三江”指长江、汉江和清江干流的重要水域及岸线；“一区”指江汉平原为主的重要湖泊湿地，主要生态功能为生物多样性维护和洪水调蓄。</w:t>
      </w:r>
    </w:p>
    <w:p w14:paraId="3EB5B844" w14:textId="77777777" w:rsidR="00D170E5" w:rsidRPr="002B55E9" w:rsidRDefault="00EF27AD">
      <w:pPr>
        <w:pStyle w:val="aa"/>
        <w:ind w:firstLineChars="200" w:firstLine="480"/>
      </w:pPr>
      <w:r w:rsidRPr="002B55E9">
        <w:rPr>
          <w:rFonts w:hint="eastAsia"/>
        </w:rPr>
        <w:t>其中武汉市属于江汉平原，根据《湖北省生态保护红线》（五）江汉平原湖泊湿地生态保护红线，该区域红线面积占该区国土面积的</w:t>
      </w:r>
      <w:r w:rsidRPr="002B55E9">
        <w:rPr>
          <w:rFonts w:hint="eastAsia"/>
        </w:rPr>
        <w:t>9.19%</w:t>
      </w:r>
      <w:r w:rsidRPr="002B55E9">
        <w:rPr>
          <w:rFonts w:hint="eastAsia"/>
        </w:rPr>
        <w:t>，主要分布在荆州市、武汉市、鄂州市全境和荆门市、孝感市、黄石市、咸宁市的局部地方，主要包含石首麋鹿国家级自然保护区、洈水国家级森林公园、武汉东湖国家湿地公园、木兰山国家地质公园、陆水国家级风景名胜区、保安湖鳜鱼国家级水产种质资源保护区等保护地及生态功能极重要区与生态环境极敏感区。</w:t>
      </w:r>
    </w:p>
    <w:p w14:paraId="5C6AD7FA" w14:textId="77777777" w:rsidR="00D170E5" w:rsidRPr="002B55E9" w:rsidRDefault="00EF27AD">
      <w:pPr>
        <w:pStyle w:val="affff7"/>
      </w:pPr>
      <w:r w:rsidRPr="002B55E9">
        <w:rPr>
          <w:rFonts w:hint="eastAsia"/>
        </w:rPr>
        <w:lastRenderedPageBreak/>
        <w:t>本项目位于东西湖区新沟镇食品医药</w:t>
      </w:r>
      <w:r w:rsidRPr="002B55E9">
        <w:t>用地板块</w:t>
      </w:r>
      <w:r w:rsidRPr="002B55E9">
        <w:rPr>
          <w:rFonts w:hint="eastAsia"/>
        </w:rPr>
        <w:t>南部健康</w:t>
      </w:r>
      <w:r w:rsidRPr="002B55E9">
        <w:t>食品一区</w:t>
      </w:r>
      <w:r w:rsidRPr="002B55E9">
        <w:rPr>
          <w:rFonts w:hint="eastAsia"/>
        </w:rPr>
        <w:t>，属于工业用地范畴，不涉及上述保护区及生态功能极重要区与生态环境极敏感区，因此，项目的建设满足生态保护红线的要求。</w:t>
      </w:r>
    </w:p>
    <w:p w14:paraId="09EC7268" w14:textId="77777777" w:rsidR="00D170E5" w:rsidRPr="002B55E9" w:rsidRDefault="00EF27AD">
      <w:pPr>
        <w:pStyle w:val="4"/>
        <w:rPr>
          <w:color w:val="auto"/>
        </w:rPr>
      </w:pPr>
      <w:r w:rsidRPr="002B55E9">
        <w:rPr>
          <w:rFonts w:hint="eastAsia"/>
          <w:color w:val="auto"/>
        </w:rPr>
        <w:t>环境质量</w:t>
      </w:r>
      <w:r w:rsidRPr="002B55E9">
        <w:rPr>
          <w:color w:val="auto"/>
        </w:rPr>
        <w:t>底线</w:t>
      </w:r>
    </w:p>
    <w:p w14:paraId="4EEDB86D" w14:textId="77777777" w:rsidR="00D170E5" w:rsidRPr="002B55E9" w:rsidRDefault="00EF27AD">
      <w:pPr>
        <w:pStyle w:val="aa"/>
        <w:spacing w:after="60"/>
        <w:ind w:firstLineChars="200" w:firstLine="480"/>
      </w:pPr>
      <w:r w:rsidRPr="002B55E9">
        <w:rPr>
          <w:rFonts w:hint="eastAsia"/>
        </w:rPr>
        <w:t>依据《生态保护红线、环境质量底线、资源利用上线和环境准入负面清单编制技术指南》（环办环评</w:t>
      </w:r>
      <w:r w:rsidRPr="002B55E9">
        <w:rPr>
          <w:rFonts w:hint="eastAsia"/>
        </w:rPr>
        <w:t>[2017]99</w:t>
      </w:r>
      <w:r w:rsidRPr="002B55E9">
        <w:rPr>
          <w:rFonts w:hint="eastAsia"/>
        </w:rPr>
        <w:t>号），环境质量底线是指按照水、大气、土壤环境质量不断优化的原则，结合环境质量现状和相关规划、功能区划要求，考虑环境质量改善潜力，确定的分区域分阶段环境质量目标及相应的环境管控、污染物排放控制等要求。</w:t>
      </w:r>
    </w:p>
    <w:p w14:paraId="10C913BA" w14:textId="77777777" w:rsidR="00D170E5" w:rsidRPr="002B55E9" w:rsidRDefault="00EF27AD">
      <w:pPr>
        <w:pStyle w:val="affff7"/>
      </w:pPr>
      <w:r w:rsidRPr="002B55E9">
        <w:rPr>
          <w:rFonts w:hint="eastAsia"/>
        </w:rPr>
        <w:t>本项目在建设运营过程中将严格执行本报告提出的环境保护措施，环境污染影响是可控的，可满足区域环境质量底线要求。</w:t>
      </w:r>
    </w:p>
    <w:p w14:paraId="0D069027" w14:textId="77777777" w:rsidR="00D170E5" w:rsidRPr="002B55E9" w:rsidRDefault="00EF27AD">
      <w:pPr>
        <w:pStyle w:val="4"/>
        <w:rPr>
          <w:color w:val="auto"/>
        </w:rPr>
      </w:pPr>
      <w:r w:rsidRPr="002B55E9">
        <w:rPr>
          <w:rFonts w:hint="eastAsia"/>
          <w:color w:val="auto"/>
        </w:rPr>
        <w:t>资源</w:t>
      </w:r>
      <w:r w:rsidRPr="002B55E9">
        <w:rPr>
          <w:color w:val="auto"/>
        </w:rPr>
        <w:t>利用上线</w:t>
      </w:r>
    </w:p>
    <w:p w14:paraId="4FD4E9E1" w14:textId="77777777" w:rsidR="00D170E5" w:rsidRPr="002B55E9" w:rsidRDefault="00EF27AD">
      <w:pPr>
        <w:pStyle w:val="aa"/>
        <w:spacing w:after="60"/>
        <w:ind w:firstLineChars="200" w:firstLine="480"/>
      </w:pPr>
      <w:r w:rsidRPr="002B55E9">
        <w:rPr>
          <w:rFonts w:hint="eastAsia"/>
        </w:rPr>
        <w:t>依据《生态保护红线、环境质量底线、资源利用上线和环境准入负面清单编制技术指南》（环办环评</w:t>
      </w:r>
      <w:r w:rsidRPr="002B55E9">
        <w:rPr>
          <w:rFonts w:hint="eastAsia"/>
        </w:rPr>
        <w:t>[2017]99</w:t>
      </w:r>
      <w:r w:rsidRPr="002B55E9">
        <w:rPr>
          <w:rFonts w:hint="eastAsia"/>
        </w:rPr>
        <w:t>号），资源利用上线是指按照自然资源资产“只能增值、不能贬值”的原则，以保证生态安全和改善环境质量为目的，利用自然资源资产负债表，结合自然资源开发管控，提出的分区域分阶段的资源开发利用总量、强度、效率等上线管控要求。</w:t>
      </w:r>
    </w:p>
    <w:p w14:paraId="361D420B" w14:textId="77777777" w:rsidR="00D170E5" w:rsidRPr="002B55E9" w:rsidRDefault="00EF27AD">
      <w:pPr>
        <w:pStyle w:val="affff7"/>
      </w:pPr>
      <w:r w:rsidRPr="002B55E9">
        <w:rPr>
          <w:rFonts w:hint="eastAsia"/>
        </w:rPr>
        <w:t>拟建项目在运行过程中主要能源为电能，为清洁能源。项目对区域的资源消耗较小，未达到区域资源利用上线，本项目的实施对整个区域资源影响较小，因此，符合资源利用上线的相关要求。</w:t>
      </w:r>
    </w:p>
    <w:p w14:paraId="1B7B69A7" w14:textId="77777777" w:rsidR="00D170E5" w:rsidRPr="002B55E9" w:rsidRDefault="00EF27AD">
      <w:pPr>
        <w:pStyle w:val="4"/>
        <w:rPr>
          <w:color w:val="auto"/>
        </w:rPr>
      </w:pPr>
      <w:r w:rsidRPr="002B55E9">
        <w:rPr>
          <w:rFonts w:hint="eastAsia"/>
          <w:color w:val="auto"/>
        </w:rPr>
        <w:t>环境</w:t>
      </w:r>
      <w:r w:rsidRPr="002B55E9">
        <w:rPr>
          <w:color w:val="auto"/>
        </w:rPr>
        <w:t>准入负面清单</w:t>
      </w:r>
    </w:p>
    <w:p w14:paraId="6890F459" w14:textId="77777777" w:rsidR="00D170E5" w:rsidRPr="002B55E9" w:rsidRDefault="00EF27AD">
      <w:pPr>
        <w:pStyle w:val="aa"/>
        <w:spacing w:after="60"/>
      </w:pPr>
      <w:r w:rsidRPr="002B55E9">
        <w:rPr>
          <w:rFonts w:hint="eastAsia"/>
        </w:rPr>
        <w:t>依据《生态保护红线、环境质量底线、资源利用上线和环境准入负面清单</w:t>
      </w:r>
      <w:r w:rsidRPr="002B55E9">
        <w:rPr>
          <w:rFonts w:hint="eastAsia"/>
        </w:rPr>
        <w:t xml:space="preserve"> </w:t>
      </w:r>
      <w:r w:rsidRPr="002B55E9">
        <w:rPr>
          <w:rFonts w:hint="eastAsia"/>
        </w:rPr>
        <w:t>编制技术指南》（环办环评</w:t>
      </w:r>
      <w:r w:rsidRPr="002B55E9">
        <w:rPr>
          <w:rFonts w:hint="eastAsia"/>
        </w:rPr>
        <w:t xml:space="preserve">[2017]99 </w:t>
      </w:r>
      <w:r w:rsidRPr="002B55E9">
        <w:rPr>
          <w:rFonts w:hint="eastAsia"/>
        </w:rPr>
        <w:t>号），环境准入负面清单是指基于环境管控单元，统筹考虑生态保护红线、环境质量底线、资源利用上线的管控要求，提出的空间布局、污染物排放、环境风险、资源开发利用等方面禁止和限制的环境准入条件。</w:t>
      </w:r>
    </w:p>
    <w:p w14:paraId="1BFADB84" w14:textId="77777777" w:rsidR="00D170E5" w:rsidRPr="002B55E9" w:rsidRDefault="00EF27AD">
      <w:pPr>
        <w:pStyle w:val="affff7"/>
      </w:pPr>
      <w:r w:rsidRPr="002B55E9">
        <w:rPr>
          <w:rFonts w:hint="eastAsia"/>
        </w:rPr>
        <w:t>项目位于东西湖区新沟镇食品医药</w:t>
      </w:r>
      <w:r w:rsidRPr="002B55E9">
        <w:t>用地板块</w:t>
      </w:r>
      <w:r w:rsidRPr="002B55E9">
        <w:rPr>
          <w:rFonts w:hint="eastAsia"/>
        </w:rPr>
        <w:t>，根据前述分析，项目符合《新沟镇食品</w:t>
      </w:r>
      <w:r w:rsidRPr="002B55E9">
        <w:t>医疗用地</w:t>
      </w:r>
      <w:r w:rsidRPr="002B55E9">
        <w:rPr>
          <w:rFonts w:hint="eastAsia"/>
        </w:rPr>
        <w:t>板块总体</w:t>
      </w:r>
      <w:r w:rsidRPr="002B55E9">
        <w:t>规划环境影响报告书</w:t>
      </w:r>
      <w:r w:rsidRPr="002B55E9">
        <w:rPr>
          <w:rFonts w:hint="eastAsia"/>
        </w:rPr>
        <w:t>》提出的准入要求，不属于禁止入园类项目</w:t>
      </w:r>
    </w:p>
    <w:p w14:paraId="01C420FD" w14:textId="77777777" w:rsidR="00D170E5" w:rsidRPr="002B55E9" w:rsidRDefault="00EF27AD">
      <w:pPr>
        <w:pStyle w:val="3"/>
        <w:tabs>
          <w:tab w:val="left" w:pos="540"/>
          <w:tab w:val="left" w:pos="2160"/>
        </w:tabs>
      </w:pPr>
      <w:bookmarkStart w:id="315" w:name="_Toc119309026"/>
      <w:r w:rsidRPr="002B55E9">
        <w:rPr>
          <w:rFonts w:hint="eastAsia"/>
        </w:rPr>
        <w:t>与</w:t>
      </w:r>
      <w:r w:rsidRPr="002B55E9">
        <w:t>《</w:t>
      </w:r>
      <w:r w:rsidRPr="002B55E9">
        <w:rPr>
          <w:rFonts w:hint="eastAsia"/>
        </w:rPr>
        <w:t>关于</w:t>
      </w:r>
      <w:r w:rsidRPr="002B55E9">
        <w:t>实施</w:t>
      </w:r>
      <w:r w:rsidRPr="002B55E9">
        <w:t>“</w:t>
      </w:r>
      <w:r w:rsidRPr="002B55E9">
        <w:rPr>
          <w:rFonts w:hint="eastAsia"/>
        </w:rPr>
        <w:t>三线一单</w:t>
      </w:r>
      <w:r w:rsidRPr="002B55E9">
        <w:t>”</w:t>
      </w:r>
      <w:r w:rsidRPr="002B55E9">
        <w:rPr>
          <w:rFonts w:hint="eastAsia"/>
        </w:rPr>
        <w:t>生态环境</w:t>
      </w:r>
      <w:r w:rsidRPr="002B55E9">
        <w:t>分区管控的</w:t>
      </w:r>
      <w:r w:rsidRPr="002B55E9">
        <w:rPr>
          <w:rFonts w:hint="eastAsia"/>
        </w:rPr>
        <w:t>指导</w:t>
      </w:r>
      <w:r w:rsidRPr="002B55E9">
        <w:t>意见（</w:t>
      </w:r>
      <w:r w:rsidRPr="002B55E9">
        <w:rPr>
          <w:rFonts w:hint="eastAsia"/>
        </w:rPr>
        <w:t>试行</w:t>
      </w:r>
      <w:r w:rsidRPr="002B55E9">
        <w:t>）》</w:t>
      </w:r>
      <w:r w:rsidRPr="002B55E9">
        <w:rPr>
          <w:rFonts w:hint="eastAsia"/>
        </w:rPr>
        <w:t>符合性</w:t>
      </w:r>
      <w:r w:rsidRPr="002B55E9">
        <w:t>分析</w:t>
      </w:r>
      <w:bookmarkEnd w:id="315"/>
    </w:p>
    <w:p w14:paraId="5C3228B4" w14:textId="77777777" w:rsidR="00D170E5" w:rsidRPr="002B55E9" w:rsidRDefault="00EF27AD">
      <w:pPr>
        <w:pStyle w:val="aa"/>
        <w:spacing w:after="60"/>
      </w:pPr>
      <w:r w:rsidRPr="002B55E9">
        <w:t>根据生态环境部</w:t>
      </w:r>
      <w:r w:rsidRPr="002B55E9">
        <w:t>2021</w:t>
      </w:r>
      <w:r w:rsidRPr="002B55E9">
        <w:t>年</w:t>
      </w:r>
      <w:r w:rsidRPr="002B55E9">
        <w:t>11</w:t>
      </w:r>
      <w:r w:rsidRPr="002B55E9">
        <w:t>月</w:t>
      </w:r>
      <w:r w:rsidRPr="002B55E9">
        <w:t>19</w:t>
      </w:r>
      <w:r w:rsidRPr="002B55E9">
        <w:t>日发布的环办环环评</w:t>
      </w:r>
      <w:r w:rsidRPr="002B55E9">
        <w:t>[2021]108</w:t>
      </w:r>
      <w:r w:rsidRPr="002B55E9">
        <w:t>号《关于实施</w:t>
      </w:r>
      <w:r w:rsidRPr="002B55E9">
        <w:t>“</w:t>
      </w:r>
      <w:r w:rsidRPr="002B55E9">
        <w:t>三线一单</w:t>
      </w:r>
      <w:r w:rsidRPr="002B55E9">
        <w:t>”</w:t>
      </w:r>
      <w:r w:rsidRPr="002B55E9">
        <w:t>生态环境分区管控的指导意见（试行）》相关内容，拟建项目与环办环环评</w:t>
      </w:r>
      <w:r w:rsidRPr="002B55E9">
        <w:t>[2021]108</w:t>
      </w:r>
      <w:r w:rsidRPr="002B55E9">
        <w:t>号文件相关要求符合性分析见下表：</w:t>
      </w:r>
    </w:p>
    <w:p w14:paraId="0B507456" w14:textId="77777777" w:rsidR="00D170E5" w:rsidRPr="002B55E9" w:rsidRDefault="00EF27AD">
      <w:pPr>
        <w:widowControl/>
        <w:jc w:val="center"/>
        <w:rPr>
          <w:b/>
          <w:sz w:val="24"/>
        </w:rPr>
      </w:pPr>
      <w:r w:rsidRPr="002B55E9">
        <w:rPr>
          <w:b/>
          <w:sz w:val="24"/>
        </w:rPr>
        <w:t>表</w:t>
      </w:r>
      <w:r w:rsidRPr="002B55E9">
        <w:rPr>
          <w:rFonts w:hint="eastAsia"/>
          <w:b/>
          <w:sz w:val="24"/>
        </w:rPr>
        <w:t>9-5</w:t>
      </w:r>
      <w:r w:rsidRPr="002B55E9">
        <w:rPr>
          <w:b/>
          <w:sz w:val="24"/>
        </w:rPr>
        <w:t xml:space="preserve">-1  </w:t>
      </w:r>
      <w:r w:rsidRPr="002B55E9">
        <w:rPr>
          <w:b/>
          <w:sz w:val="24"/>
        </w:rPr>
        <w:t>拟建项目与环办环环评</w:t>
      </w:r>
      <w:r w:rsidRPr="002B55E9">
        <w:rPr>
          <w:b/>
          <w:sz w:val="24"/>
        </w:rPr>
        <w:t>[2021]108</w:t>
      </w:r>
      <w:r w:rsidRPr="002B55E9">
        <w:rPr>
          <w:b/>
          <w:sz w:val="24"/>
        </w:rPr>
        <w:t>号文件符合性分析表</w:t>
      </w:r>
    </w:p>
    <w:tbl>
      <w:tblPr>
        <w:tblW w:w="96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2"/>
        <w:gridCol w:w="6132"/>
        <w:gridCol w:w="2833"/>
      </w:tblGrid>
      <w:tr w:rsidR="00C60999" w:rsidRPr="002B55E9" w14:paraId="5AF40C1D" w14:textId="77777777">
        <w:trPr>
          <w:trHeight w:val="284"/>
          <w:jc w:val="center"/>
        </w:trPr>
        <w:tc>
          <w:tcPr>
            <w:tcW w:w="6804" w:type="dxa"/>
            <w:gridSpan w:val="2"/>
            <w:tcBorders>
              <w:top w:val="single" w:sz="12" w:space="0" w:color="auto"/>
              <w:bottom w:val="single" w:sz="12" w:space="0" w:color="auto"/>
            </w:tcBorders>
            <w:vAlign w:val="center"/>
          </w:tcPr>
          <w:p w14:paraId="288BC3C9" w14:textId="77777777" w:rsidR="00D170E5" w:rsidRPr="002B55E9" w:rsidRDefault="00EF27AD">
            <w:pPr>
              <w:jc w:val="center"/>
              <w:rPr>
                <w:sz w:val="18"/>
                <w:szCs w:val="18"/>
              </w:rPr>
            </w:pPr>
            <w:r w:rsidRPr="002B55E9">
              <w:rPr>
                <w:sz w:val="18"/>
                <w:szCs w:val="18"/>
              </w:rPr>
              <w:lastRenderedPageBreak/>
              <w:t>指导意见（相关内容节选）</w:t>
            </w:r>
          </w:p>
        </w:tc>
        <w:tc>
          <w:tcPr>
            <w:tcW w:w="2833" w:type="dxa"/>
            <w:tcBorders>
              <w:top w:val="single" w:sz="12" w:space="0" w:color="auto"/>
              <w:bottom w:val="single" w:sz="12" w:space="0" w:color="auto"/>
            </w:tcBorders>
            <w:vAlign w:val="center"/>
          </w:tcPr>
          <w:p w14:paraId="14E2C6DF" w14:textId="77777777" w:rsidR="00D170E5" w:rsidRPr="002B55E9" w:rsidRDefault="00EF27AD">
            <w:pPr>
              <w:jc w:val="center"/>
              <w:rPr>
                <w:sz w:val="18"/>
                <w:szCs w:val="18"/>
              </w:rPr>
            </w:pPr>
            <w:r w:rsidRPr="002B55E9">
              <w:rPr>
                <w:sz w:val="18"/>
                <w:szCs w:val="18"/>
              </w:rPr>
              <w:t>符合性分析</w:t>
            </w:r>
          </w:p>
        </w:tc>
      </w:tr>
      <w:tr w:rsidR="00C60999" w:rsidRPr="002B55E9" w14:paraId="779496E7" w14:textId="77777777">
        <w:trPr>
          <w:trHeight w:val="284"/>
          <w:jc w:val="center"/>
        </w:trPr>
        <w:tc>
          <w:tcPr>
            <w:tcW w:w="672" w:type="dxa"/>
            <w:vMerge w:val="restart"/>
            <w:tcBorders>
              <w:top w:val="single" w:sz="12" w:space="0" w:color="auto"/>
            </w:tcBorders>
            <w:vAlign w:val="center"/>
          </w:tcPr>
          <w:p w14:paraId="5F8189BA" w14:textId="77777777" w:rsidR="00D170E5" w:rsidRPr="002B55E9" w:rsidRDefault="00EF27AD">
            <w:pPr>
              <w:jc w:val="center"/>
              <w:rPr>
                <w:sz w:val="18"/>
                <w:szCs w:val="18"/>
              </w:rPr>
            </w:pPr>
            <w:r w:rsidRPr="002B55E9">
              <w:rPr>
                <w:sz w:val="18"/>
                <w:szCs w:val="18"/>
              </w:rPr>
              <w:t>三、实施与应用</w:t>
            </w:r>
          </w:p>
        </w:tc>
        <w:tc>
          <w:tcPr>
            <w:tcW w:w="6132" w:type="dxa"/>
            <w:tcBorders>
              <w:top w:val="single" w:sz="12" w:space="0" w:color="auto"/>
              <w:bottom w:val="single" w:sz="4" w:space="0" w:color="auto"/>
            </w:tcBorders>
            <w:vAlign w:val="center"/>
          </w:tcPr>
          <w:p w14:paraId="078D9292" w14:textId="77777777" w:rsidR="00D170E5" w:rsidRPr="002B55E9" w:rsidRDefault="00EF27AD">
            <w:pPr>
              <w:rPr>
                <w:sz w:val="18"/>
                <w:szCs w:val="18"/>
              </w:rPr>
            </w:pPr>
            <w:r w:rsidRPr="002B55E9">
              <w:rPr>
                <w:sz w:val="18"/>
                <w:szCs w:val="18"/>
              </w:rPr>
              <w:t>（六）优化生态环境保护空间格局。衔接国土空间规划分区和用途管制要求，协同推进空间保护和开发格局的优化，建立全域覆盖、分类管理的生态环境分区管控体系。优先保护单元以生态环境保护为重点，维护生态安全格局，提升生态系统服务功能；</w:t>
            </w:r>
            <w:r w:rsidRPr="002B55E9">
              <w:rPr>
                <w:b/>
                <w:sz w:val="18"/>
                <w:szCs w:val="18"/>
              </w:rPr>
              <w:t>重点管控单元以将各类开发建设活动限制在资源环境承载能力之内为核心，优化空间布局，提升资源利用效率，加强污染物排放控制和环境风险防控；</w:t>
            </w:r>
            <w:r w:rsidRPr="002B55E9">
              <w:rPr>
                <w:sz w:val="18"/>
                <w:szCs w:val="18"/>
              </w:rPr>
              <w:t>一般管控单元以保持区域生态环境质量基本稳定为目标，严格落实区域生态环境保护相关要求。</w:t>
            </w:r>
          </w:p>
        </w:tc>
        <w:tc>
          <w:tcPr>
            <w:tcW w:w="2833" w:type="dxa"/>
            <w:tcBorders>
              <w:top w:val="single" w:sz="12" w:space="0" w:color="auto"/>
              <w:bottom w:val="single" w:sz="4" w:space="0" w:color="auto"/>
            </w:tcBorders>
            <w:vAlign w:val="center"/>
          </w:tcPr>
          <w:p w14:paraId="5D3C9107" w14:textId="77777777" w:rsidR="00D170E5" w:rsidRPr="002B55E9" w:rsidRDefault="00EF27AD">
            <w:pPr>
              <w:rPr>
                <w:sz w:val="18"/>
                <w:szCs w:val="18"/>
              </w:rPr>
            </w:pPr>
            <w:r w:rsidRPr="002B55E9">
              <w:rPr>
                <w:sz w:val="18"/>
                <w:szCs w:val="18"/>
              </w:rPr>
              <w:t>符合。拟建项目所在区属于重点管控单元，</w:t>
            </w:r>
            <w:r w:rsidRPr="002B55E9">
              <w:rPr>
                <w:rFonts w:hint="eastAsia"/>
                <w:sz w:val="18"/>
                <w:szCs w:val="18"/>
              </w:rPr>
              <w:t>项目属于食品制造</w:t>
            </w:r>
            <w:r w:rsidRPr="002B55E9">
              <w:rPr>
                <w:sz w:val="18"/>
                <w:szCs w:val="18"/>
              </w:rPr>
              <w:t>业</w:t>
            </w:r>
            <w:r w:rsidRPr="002B55E9">
              <w:rPr>
                <w:rFonts w:hint="eastAsia"/>
                <w:sz w:val="18"/>
                <w:szCs w:val="18"/>
              </w:rPr>
              <w:t>，项目配备有废气、污水防治措施，能够确保达标排放</w:t>
            </w:r>
            <w:r w:rsidRPr="002B55E9">
              <w:rPr>
                <w:sz w:val="18"/>
                <w:szCs w:val="18"/>
              </w:rPr>
              <w:t>；</w:t>
            </w:r>
            <w:r w:rsidRPr="002B55E9">
              <w:rPr>
                <w:rFonts w:hint="eastAsia"/>
                <w:sz w:val="18"/>
                <w:szCs w:val="18"/>
              </w:rPr>
              <w:t>同时企业后期应及时组织应急预案的编制，加强风险防控体系建设及应急演练。</w:t>
            </w:r>
          </w:p>
        </w:tc>
      </w:tr>
      <w:tr w:rsidR="00C60999" w:rsidRPr="002B55E9" w14:paraId="7AFB03F0" w14:textId="77777777">
        <w:trPr>
          <w:trHeight w:val="284"/>
          <w:jc w:val="center"/>
        </w:trPr>
        <w:tc>
          <w:tcPr>
            <w:tcW w:w="672" w:type="dxa"/>
            <w:vMerge/>
            <w:vAlign w:val="center"/>
          </w:tcPr>
          <w:p w14:paraId="1A6E0233" w14:textId="77777777" w:rsidR="00D170E5" w:rsidRPr="002B55E9" w:rsidRDefault="00D170E5">
            <w:pPr>
              <w:jc w:val="center"/>
              <w:rPr>
                <w:sz w:val="18"/>
                <w:szCs w:val="18"/>
              </w:rPr>
            </w:pPr>
          </w:p>
        </w:tc>
        <w:tc>
          <w:tcPr>
            <w:tcW w:w="6132" w:type="dxa"/>
            <w:tcBorders>
              <w:top w:val="single" w:sz="4" w:space="0" w:color="auto"/>
              <w:bottom w:val="single" w:sz="4" w:space="0" w:color="auto"/>
            </w:tcBorders>
            <w:vAlign w:val="center"/>
          </w:tcPr>
          <w:p w14:paraId="09570FC2" w14:textId="77777777" w:rsidR="00D170E5" w:rsidRPr="002B55E9" w:rsidRDefault="00EF27AD">
            <w:pPr>
              <w:rPr>
                <w:sz w:val="18"/>
                <w:szCs w:val="18"/>
              </w:rPr>
            </w:pPr>
            <w:r w:rsidRPr="002B55E9">
              <w:rPr>
                <w:sz w:val="18"/>
                <w:szCs w:val="18"/>
              </w:rPr>
              <w:t>（七）服务高质量发展。加强</w:t>
            </w:r>
            <w:r w:rsidRPr="002B55E9">
              <w:rPr>
                <w:sz w:val="18"/>
                <w:szCs w:val="18"/>
              </w:rPr>
              <w:t>“</w:t>
            </w:r>
            <w:r w:rsidRPr="002B55E9">
              <w:rPr>
                <w:sz w:val="18"/>
                <w:szCs w:val="18"/>
              </w:rPr>
              <w:t>三线一单</w:t>
            </w:r>
            <w:r w:rsidRPr="002B55E9">
              <w:rPr>
                <w:sz w:val="18"/>
                <w:szCs w:val="18"/>
              </w:rPr>
              <w:t>”</w:t>
            </w:r>
            <w:r w:rsidRPr="002B55E9">
              <w:rPr>
                <w:sz w:val="18"/>
                <w:szCs w:val="18"/>
              </w:rPr>
              <w:t>生态环境分区管控在政策制定、园区管理等方面的应用，从源头上预防环境污染，从布局上降低环境风险。</w:t>
            </w:r>
            <w:r w:rsidRPr="002B55E9">
              <w:rPr>
                <w:b/>
                <w:sz w:val="18"/>
                <w:szCs w:val="18"/>
              </w:rPr>
              <w:t>落实长江保护法，加强生态环境分区管控方案和生态环境准入清单在长江大保护战略中实施情况评估。</w:t>
            </w:r>
            <w:r w:rsidRPr="002B55E9">
              <w:rPr>
                <w:sz w:val="18"/>
                <w:szCs w:val="18"/>
              </w:rPr>
              <w:t>强化</w:t>
            </w:r>
            <w:r w:rsidRPr="002B55E9">
              <w:rPr>
                <w:sz w:val="18"/>
                <w:szCs w:val="18"/>
              </w:rPr>
              <w:t>“</w:t>
            </w:r>
            <w:r w:rsidRPr="002B55E9">
              <w:rPr>
                <w:sz w:val="18"/>
                <w:szCs w:val="18"/>
              </w:rPr>
              <w:t>三线一单</w:t>
            </w:r>
            <w:r w:rsidRPr="002B55E9">
              <w:rPr>
                <w:sz w:val="18"/>
                <w:szCs w:val="18"/>
              </w:rPr>
              <w:t>”</w:t>
            </w:r>
            <w:r w:rsidRPr="002B55E9">
              <w:rPr>
                <w:sz w:val="18"/>
                <w:szCs w:val="18"/>
              </w:rPr>
              <w:t>生态环境分区管控成果在京津冀协同发展、长三角一体化、粤港澳大湾区、黄河流域生态保护和高质量发展等重大区域战略中应用的实施跟踪，推动区域协同管控。</w:t>
            </w:r>
          </w:p>
        </w:tc>
        <w:tc>
          <w:tcPr>
            <w:tcW w:w="2833" w:type="dxa"/>
            <w:tcBorders>
              <w:top w:val="single" w:sz="4" w:space="0" w:color="auto"/>
              <w:bottom w:val="single" w:sz="4" w:space="0" w:color="auto"/>
            </w:tcBorders>
            <w:vAlign w:val="center"/>
          </w:tcPr>
          <w:p w14:paraId="6C0445EA" w14:textId="77777777" w:rsidR="00D170E5" w:rsidRPr="002B55E9" w:rsidRDefault="00EF27AD">
            <w:pPr>
              <w:rPr>
                <w:sz w:val="18"/>
                <w:szCs w:val="18"/>
              </w:rPr>
            </w:pPr>
            <w:r w:rsidRPr="002B55E9">
              <w:rPr>
                <w:sz w:val="18"/>
                <w:szCs w:val="18"/>
              </w:rPr>
              <w:t>符合。拟建项目位于</w:t>
            </w:r>
            <w:r w:rsidRPr="002B55E9">
              <w:rPr>
                <w:rFonts w:hint="eastAsia"/>
                <w:sz w:val="18"/>
                <w:szCs w:val="18"/>
              </w:rPr>
              <w:t>东西湖区新沟镇食品</w:t>
            </w:r>
            <w:r w:rsidRPr="002B55E9">
              <w:rPr>
                <w:sz w:val="18"/>
                <w:szCs w:val="18"/>
              </w:rPr>
              <w:t>医疗用地板块，项目的建设符合长江经济带相关政策</w:t>
            </w:r>
            <w:r w:rsidRPr="002B55E9">
              <w:rPr>
                <w:rFonts w:hint="eastAsia"/>
                <w:sz w:val="18"/>
                <w:szCs w:val="18"/>
              </w:rPr>
              <w:t>要求</w:t>
            </w:r>
            <w:r w:rsidRPr="002B55E9">
              <w:rPr>
                <w:sz w:val="18"/>
                <w:szCs w:val="18"/>
              </w:rPr>
              <w:t>。</w:t>
            </w:r>
          </w:p>
        </w:tc>
      </w:tr>
      <w:tr w:rsidR="00C60999" w:rsidRPr="002B55E9" w14:paraId="7F9DCFCD" w14:textId="77777777">
        <w:trPr>
          <w:trHeight w:val="284"/>
          <w:jc w:val="center"/>
        </w:trPr>
        <w:tc>
          <w:tcPr>
            <w:tcW w:w="672" w:type="dxa"/>
            <w:vMerge/>
            <w:tcBorders>
              <w:bottom w:val="single" w:sz="12" w:space="0" w:color="auto"/>
            </w:tcBorders>
            <w:vAlign w:val="center"/>
          </w:tcPr>
          <w:p w14:paraId="0AD2F79D" w14:textId="77777777" w:rsidR="00D170E5" w:rsidRPr="002B55E9" w:rsidRDefault="00D170E5">
            <w:pPr>
              <w:jc w:val="center"/>
              <w:rPr>
                <w:sz w:val="18"/>
                <w:szCs w:val="18"/>
              </w:rPr>
            </w:pPr>
          </w:p>
        </w:tc>
        <w:tc>
          <w:tcPr>
            <w:tcW w:w="6132" w:type="dxa"/>
            <w:tcBorders>
              <w:top w:val="single" w:sz="4" w:space="0" w:color="auto"/>
              <w:bottom w:val="single" w:sz="12" w:space="0" w:color="auto"/>
            </w:tcBorders>
            <w:vAlign w:val="center"/>
          </w:tcPr>
          <w:p w14:paraId="5A720B63" w14:textId="77777777" w:rsidR="00D170E5" w:rsidRPr="002B55E9" w:rsidRDefault="00EF27AD">
            <w:pPr>
              <w:rPr>
                <w:sz w:val="18"/>
                <w:szCs w:val="18"/>
              </w:rPr>
            </w:pPr>
            <w:r w:rsidRPr="002B55E9">
              <w:rPr>
                <w:sz w:val="18"/>
                <w:szCs w:val="18"/>
              </w:rPr>
              <w:t>（八）推进高水平保护。发挥</w:t>
            </w:r>
            <w:r w:rsidRPr="002B55E9">
              <w:rPr>
                <w:sz w:val="18"/>
                <w:szCs w:val="18"/>
              </w:rPr>
              <w:t>“</w:t>
            </w:r>
            <w:r w:rsidRPr="002B55E9">
              <w:rPr>
                <w:sz w:val="18"/>
                <w:szCs w:val="18"/>
              </w:rPr>
              <w:t>三线一单</w:t>
            </w:r>
            <w:r w:rsidRPr="002B55E9">
              <w:rPr>
                <w:sz w:val="18"/>
                <w:szCs w:val="18"/>
              </w:rPr>
              <w:t>”</w:t>
            </w:r>
            <w:r w:rsidRPr="002B55E9">
              <w:rPr>
                <w:sz w:val="18"/>
                <w:szCs w:val="18"/>
              </w:rPr>
              <w:t>生态环境分区管控在生态环境源头预防制度体系中的基础性作用，规划环评要以落实生态环境分区管控要求为重点，论证规划的环境合理性并提出优化调整建议，细化环境保护要求。</w:t>
            </w:r>
            <w:r w:rsidRPr="002B55E9">
              <w:rPr>
                <w:b/>
                <w:sz w:val="18"/>
                <w:szCs w:val="18"/>
              </w:rPr>
              <w:t>建设项目环评应论证是否符合生态环境准入清单，对不符合的依法不予审批。</w:t>
            </w:r>
            <w:r w:rsidRPr="002B55E9">
              <w:rPr>
                <w:sz w:val="18"/>
                <w:szCs w:val="18"/>
              </w:rPr>
              <w:t>开展</w:t>
            </w:r>
            <w:r w:rsidRPr="002B55E9">
              <w:rPr>
                <w:sz w:val="18"/>
                <w:szCs w:val="18"/>
              </w:rPr>
              <w:t>“</w:t>
            </w:r>
            <w:r w:rsidRPr="002B55E9">
              <w:rPr>
                <w:sz w:val="18"/>
                <w:szCs w:val="18"/>
              </w:rPr>
              <w:t>三线一单</w:t>
            </w:r>
            <w:r w:rsidRPr="002B55E9">
              <w:rPr>
                <w:sz w:val="18"/>
                <w:szCs w:val="18"/>
              </w:rPr>
              <w:t>”</w:t>
            </w:r>
            <w:r w:rsidRPr="002B55E9">
              <w:rPr>
                <w:sz w:val="18"/>
                <w:szCs w:val="18"/>
              </w:rPr>
              <w:t>生态环境分区管控与生态环境要素管理衔接的研究，强化</w:t>
            </w:r>
            <w:r w:rsidRPr="002B55E9">
              <w:rPr>
                <w:sz w:val="18"/>
                <w:szCs w:val="18"/>
              </w:rPr>
              <w:t>“</w:t>
            </w:r>
            <w:r w:rsidRPr="002B55E9">
              <w:rPr>
                <w:sz w:val="18"/>
                <w:szCs w:val="18"/>
              </w:rPr>
              <w:t>三线一单</w:t>
            </w:r>
            <w:r w:rsidRPr="002B55E9">
              <w:rPr>
                <w:sz w:val="18"/>
                <w:szCs w:val="18"/>
              </w:rPr>
              <w:t>”</w:t>
            </w:r>
            <w:r w:rsidRPr="002B55E9">
              <w:rPr>
                <w:sz w:val="18"/>
                <w:szCs w:val="18"/>
              </w:rPr>
              <w:t>生态环境分区管控成果在生态、水、大气、海洋、土壤、固体废物等环境管理中的应用，协同推动解决生态系统服务功能受损、生态环境质量不达标、环境风险高等突出生态环境问题。</w:t>
            </w:r>
          </w:p>
        </w:tc>
        <w:tc>
          <w:tcPr>
            <w:tcW w:w="2833" w:type="dxa"/>
            <w:tcBorders>
              <w:top w:val="single" w:sz="4" w:space="0" w:color="auto"/>
              <w:bottom w:val="single" w:sz="12" w:space="0" w:color="auto"/>
            </w:tcBorders>
            <w:vAlign w:val="center"/>
          </w:tcPr>
          <w:p w14:paraId="642BCE7F" w14:textId="77777777" w:rsidR="00D170E5" w:rsidRPr="002B55E9" w:rsidRDefault="00EF27AD">
            <w:pPr>
              <w:rPr>
                <w:sz w:val="18"/>
                <w:szCs w:val="18"/>
              </w:rPr>
            </w:pPr>
            <w:r w:rsidRPr="002B55E9">
              <w:rPr>
                <w:sz w:val="18"/>
                <w:szCs w:val="18"/>
              </w:rPr>
              <w:t>符合。拟建项目位于</w:t>
            </w:r>
            <w:r w:rsidRPr="002B55E9">
              <w:rPr>
                <w:rFonts w:hint="eastAsia"/>
                <w:sz w:val="18"/>
                <w:szCs w:val="18"/>
              </w:rPr>
              <w:t>东西湖区新沟镇食品</w:t>
            </w:r>
            <w:r w:rsidRPr="002B55E9">
              <w:rPr>
                <w:sz w:val="18"/>
                <w:szCs w:val="18"/>
              </w:rPr>
              <w:t>医疗用地板块，</w:t>
            </w:r>
            <w:r w:rsidRPr="002B55E9">
              <w:rPr>
                <w:rFonts w:hint="eastAsia"/>
                <w:sz w:val="18"/>
                <w:szCs w:val="18"/>
              </w:rPr>
              <w:t>本项目不属于《新沟镇食品医疗用地板块总体规划环境影响报告书》中禁止引入工业企业的类型</w:t>
            </w:r>
            <w:r w:rsidRPr="002B55E9">
              <w:rPr>
                <w:sz w:val="18"/>
                <w:szCs w:val="18"/>
              </w:rPr>
              <w:t>。</w:t>
            </w:r>
          </w:p>
        </w:tc>
      </w:tr>
    </w:tbl>
    <w:p w14:paraId="6439DA5D" w14:textId="77777777" w:rsidR="00D170E5" w:rsidRPr="002B55E9" w:rsidRDefault="00EF27AD">
      <w:pPr>
        <w:pStyle w:val="3"/>
      </w:pPr>
      <w:r w:rsidRPr="002B55E9">
        <w:rPr>
          <w:rFonts w:hint="eastAsia"/>
        </w:rPr>
        <w:tab/>
      </w:r>
      <w:bookmarkStart w:id="316" w:name="_Toc119309027"/>
      <w:r w:rsidRPr="002B55E9">
        <w:rPr>
          <w:rFonts w:hint="eastAsia"/>
        </w:rPr>
        <w:t>与《省人民政府关于加快实施“三线一单”生态环境分区管控的意见》符合性分析</w:t>
      </w:r>
      <w:bookmarkEnd w:id="316"/>
    </w:p>
    <w:p w14:paraId="1A7B1B65" w14:textId="77777777" w:rsidR="00D170E5" w:rsidRPr="002B55E9" w:rsidRDefault="00EF27AD">
      <w:pPr>
        <w:pStyle w:val="affff7"/>
      </w:pPr>
      <w:r w:rsidRPr="002B55E9">
        <w:rPr>
          <w:rFonts w:hint="eastAsia"/>
        </w:rPr>
        <w:t>根据《省人民政府关于加快实施“三线一单”生态环境分区管控的意见》（鄂政发</w:t>
      </w:r>
      <w:r w:rsidRPr="002B55E9">
        <w:rPr>
          <w:rFonts w:hint="eastAsia"/>
        </w:rPr>
        <w:t>[2020]21</w:t>
      </w:r>
      <w:r w:rsidRPr="002B55E9">
        <w:rPr>
          <w:rFonts w:hint="eastAsia"/>
        </w:rPr>
        <w:t>号），为全面落实《中共中央国务院关于全面加强生态环境保护坚决打好污染防治攻坚战的意见》精神，深入贯彻“共抓大保护、不搞大开发”方针，推动长江经济带高质量发展，现就落实生态保护红线、环境质量底线、资源利用上线，制定生态环境准入清单</w:t>
      </w:r>
      <w:r w:rsidRPr="002B55E9">
        <w:rPr>
          <w:rFonts w:hint="eastAsia"/>
        </w:rPr>
        <w:t xml:space="preserve"> </w:t>
      </w:r>
      <w:r w:rsidRPr="002B55E9">
        <w:rPr>
          <w:rFonts w:hint="eastAsia"/>
        </w:rPr>
        <w:t>（简称</w:t>
      </w:r>
      <w:r w:rsidRPr="002B55E9">
        <w:rPr>
          <w:rFonts w:hint="eastAsia"/>
        </w:rPr>
        <w:t xml:space="preserve"> </w:t>
      </w:r>
      <w:r w:rsidRPr="002B55E9">
        <w:rPr>
          <w:rFonts w:hint="eastAsia"/>
        </w:rPr>
        <w:t>“三线一单”），实施生态环境分区管控。</w:t>
      </w:r>
    </w:p>
    <w:p w14:paraId="7FD6C3F6" w14:textId="77777777" w:rsidR="00D170E5" w:rsidRPr="002B55E9" w:rsidRDefault="00EF27AD">
      <w:pPr>
        <w:pStyle w:val="affff7"/>
      </w:pPr>
      <w:r w:rsidRPr="002B55E9">
        <w:rPr>
          <w:rFonts w:hint="eastAsia"/>
        </w:rPr>
        <w:t>依据本项目与湖北省环境管控单元分布图的位置关系，可知，本项目处在“重点管控单元”，与管控单元相关符合性判定如下表所示。</w:t>
      </w:r>
    </w:p>
    <w:p w14:paraId="6D289F23" w14:textId="77777777" w:rsidR="00D170E5" w:rsidRPr="002B55E9" w:rsidRDefault="00EF27AD">
      <w:pPr>
        <w:pStyle w:val="afffffffffffff3"/>
        <w:ind w:firstLine="482"/>
        <w:rPr>
          <w:rFonts w:eastAsia="黑体"/>
          <w:sz w:val="24"/>
        </w:rPr>
      </w:pPr>
      <w:r w:rsidRPr="002B55E9">
        <w:rPr>
          <w:rFonts w:eastAsia="黑体" w:hint="eastAsia"/>
          <w:sz w:val="24"/>
        </w:rPr>
        <w:t>表</w:t>
      </w:r>
      <w:r w:rsidRPr="002B55E9">
        <w:rPr>
          <w:rFonts w:eastAsia="黑体"/>
          <w:sz w:val="24"/>
        </w:rPr>
        <w:t>9</w:t>
      </w:r>
      <w:r w:rsidRPr="002B55E9">
        <w:rPr>
          <w:rFonts w:eastAsia="黑体" w:hint="eastAsia"/>
          <w:sz w:val="24"/>
        </w:rPr>
        <w:t>-</w:t>
      </w:r>
      <w:r w:rsidRPr="002B55E9">
        <w:rPr>
          <w:rFonts w:eastAsia="黑体"/>
          <w:sz w:val="24"/>
        </w:rPr>
        <w:t>6-1</w:t>
      </w:r>
      <w:r w:rsidRPr="002B55E9">
        <w:rPr>
          <w:rFonts w:eastAsia="黑体" w:hint="eastAsia"/>
          <w:sz w:val="24"/>
        </w:rPr>
        <w:t xml:space="preserve">  </w:t>
      </w:r>
      <w:r w:rsidRPr="002B55E9">
        <w:rPr>
          <w:rFonts w:eastAsia="黑体" w:hint="eastAsia"/>
          <w:sz w:val="24"/>
        </w:rPr>
        <w:t>本项目与“三线一单”符合性分析</w:t>
      </w:r>
    </w:p>
    <w:tbl>
      <w:tblPr>
        <w:tblW w:w="9637"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40"/>
        <w:gridCol w:w="7016"/>
        <w:gridCol w:w="1881"/>
      </w:tblGrid>
      <w:tr w:rsidR="00C60999" w:rsidRPr="002B55E9" w14:paraId="34589674" w14:textId="77777777">
        <w:trPr>
          <w:trHeight w:val="284"/>
          <w:jc w:val="center"/>
        </w:trPr>
        <w:tc>
          <w:tcPr>
            <w:tcW w:w="740" w:type="dxa"/>
            <w:tcBorders>
              <w:top w:val="single" w:sz="12" w:space="0" w:color="000000"/>
              <w:bottom w:val="single" w:sz="12" w:space="0" w:color="000000"/>
            </w:tcBorders>
            <w:vAlign w:val="center"/>
          </w:tcPr>
          <w:p w14:paraId="4A6DFBC6" w14:textId="77777777" w:rsidR="00D170E5" w:rsidRPr="002B55E9" w:rsidRDefault="00EF27AD">
            <w:pPr>
              <w:pStyle w:val="affff6"/>
              <w:ind w:left="-105" w:right="-105"/>
              <w:rPr>
                <w:szCs w:val="18"/>
              </w:rPr>
            </w:pPr>
            <w:r w:rsidRPr="002B55E9">
              <w:rPr>
                <w:szCs w:val="18"/>
              </w:rPr>
              <w:t>管控类型</w:t>
            </w:r>
          </w:p>
        </w:tc>
        <w:tc>
          <w:tcPr>
            <w:tcW w:w="7016" w:type="dxa"/>
            <w:tcBorders>
              <w:top w:val="single" w:sz="12" w:space="0" w:color="000000"/>
              <w:bottom w:val="single" w:sz="12" w:space="0" w:color="000000"/>
            </w:tcBorders>
            <w:vAlign w:val="center"/>
          </w:tcPr>
          <w:p w14:paraId="7860B0B8" w14:textId="77777777" w:rsidR="00D170E5" w:rsidRPr="002B55E9" w:rsidRDefault="00EF27AD">
            <w:pPr>
              <w:pStyle w:val="affff6"/>
              <w:ind w:left="-105" w:right="-105"/>
              <w:rPr>
                <w:szCs w:val="18"/>
              </w:rPr>
            </w:pPr>
            <w:r w:rsidRPr="002B55E9">
              <w:rPr>
                <w:szCs w:val="18"/>
              </w:rPr>
              <w:t>管控要求</w:t>
            </w:r>
          </w:p>
        </w:tc>
        <w:tc>
          <w:tcPr>
            <w:tcW w:w="1881" w:type="dxa"/>
            <w:tcBorders>
              <w:top w:val="single" w:sz="12" w:space="0" w:color="000000"/>
              <w:bottom w:val="single" w:sz="12" w:space="0" w:color="000000"/>
            </w:tcBorders>
            <w:vAlign w:val="center"/>
          </w:tcPr>
          <w:p w14:paraId="30688239" w14:textId="77777777" w:rsidR="00D170E5" w:rsidRPr="002B55E9" w:rsidRDefault="00EF27AD">
            <w:pPr>
              <w:pStyle w:val="affff6"/>
              <w:ind w:left="-105" w:right="-105"/>
              <w:rPr>
                <w:szCs w:val="18"/>
              </w:rPr>
            </w:pPr>
            <w:r w:rsidRPr="002B55E9">
              <w:rPr>
                <w:szCs w:val="18"/>
              </w:rPr>
              <w:t>本项目符合性分析</w:t>
            </w:r>
          </w:p>
        </w:tc>
      </w:tr>
      <w:tr w:rsidR="00C60999" w:rsidRPr="002B55E9" w14:paraId="12AFA846" w14:textId="77777777">
        <w:trPr>
          <w:trHeight w:val="284"/>
          <w:jc w:val="center"/>
        </w:trPr>
        <w:tc>
          <w:tcPr>
            <w:tcW w:w="740" w:type="dxa"/>
            <w:tcBorders>
              <w:top w:val="single" w:sz="12" w:space="0" w:color="000000"/>
            </w:tcBorders>
            <w:vAlign w:val="center"/>
          </w:tcPr>
          <w:p w14:paraId="4590C080" w14:textId="77777777" w:rsidR="00D170E5" w:rsidRPr="002B55E9" w:rsidRDefault="00EF27AD">
            <w:pPr>
              <w:pStyle w:val="affff6"/>
              <w:ind w:left="-105" w:right="-105"/>
              <w:rPr>
                <w:szCs w:val="18"/>
              </w:rPr>
            </w:pPr>
            <w:r w:rsidRPr="002B55E9">
              <w:rPr>
                <w:szCs w:val="18"/>
              </w:rPr>
              <w:t>空间布</w:t>
            </w:r>
          </w:p>
          <w:p w14:paraId="5D35B89A" w14:textId="77777777" w:rsidR="00D170E5" w:rsidRPr="002B55E9" w:rsidRDefault="00EF27AD">
            <w:pPr>
              <w:pStyle w:val="affff6"/>
              <w:ind w:left="-105" w:right="-105"/>
              <w:rPr>
                <w:szCs w:val="18"/>
              </w:rPr>
            </w:pPr>
            <w:r w:rsidRPr="002B55E9">
              <w:rPr>
                <w:szCs w:val="18"/>
              </w:rPr>
              <w:t>局约束</w:t>
            </w:r>
          </w:p>
        </w:tc>
        <w:tc>
          <w:tcPr>
            <w:tcW w:w="7016" w:type="dxa"/>
            <w:tcBorders>
              <w:top w:val="single" w:sz="12" w:space="0" w:color="000000"/>
            </w:tcBorders>
            <w:vAlign w:val="center"/>
          </w:tcPr>
          <w:p w14:paraId="70F7DE6F" w14:textId="77777777" w:rsidR="00D170E5" w:rsidRPr="002B55E9" w:rsidRDefault="00EF27AD">
            <w:pPr>
              <w:pStyle w:val="TableParagraph"/>
              <w:spacing w:line="240" w:lineRule="auto"/>
              <w:rPr>
                <w:b/>
                <w:bCs/>
                <w:sz w:val="18"/>
                <w:szCs w:val="18"/>
              </w:rPr>
            </w:pPr>
            <w:r w:rsidRPr="002B55E9">
              <w:rPr>
                <w:b/>
                <w:bCs/>
                <w:sz w:val="18"/>
                <w:szCs w:val="18"/>
              </w:rPr>
              <w:t>总体：</w:t>
            </w:r>
          </w:p>
          <w:p w14:paraId="701D3724"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、优化重点区域、流域、产业的空间布局，对不符合准入要求的既有项目，依法依规实施整改、搬迁、退出等分类治理方案。</w:t>
            </w:r>
          </w:p>
          <w:p w14:paraId="2BD952CB"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、坚决禁止在长江及主要支流岸线边界向陆域纵深</w:t>
            </w:r>
            <w:r w:rsidRPr="002B55E9">
              <w:rPr>
                <w:sz w:val="18"/>
                <w:szCs w:val="18"/>
              </w:rPr>
              <w:t>1</w:t>
            </w:r>
            <w:r w:rsidRPr="002B55E9">
              <w:rPr>
                <w:sz w:val="18"/>
                <w:szCs w:val="18"/>
              </w:rPr>
              <w:t>公里范围内新建、扩建化工园区和化工项目，重点管控流域面积在</w:t>
            </w:r>
            <w:r w:rsidRPr="002B55E9">
              <w:rPr>
                <w:sz w:val="18"/>
                <w:szCs w:val="18"/>
              </w:rPr>
              <w:t>10000</w:t>
            </w:r>
            <w:r w:rsidRPr="002B55E9">
              <w:rPr>
                <w:sz w:val="18"/>
                <w:szCs w:val="18"/>
              </w:rPr>
              <w:t>平方公里以上的河流。</w:t>
            </w:r>
          </w:p>
          <w:p w14:paraId="4B4A132E" w14:textId="77777777" w:rsidR="00D170E5" w:rsidRPr="002B55E9" w:rsidRDefault="00EF27AD">
            <w:pPr>
              <w:pStyle w:val="TableParagraph"/>
              <w:autoSpaceDE/>
              <w:autoSpaceDN/>
              <w:adjustRightInd/>
              <w:spacing w:line="240" w:lineRule="auto"/>
              <w:rPr>
                <w:sz w:val="18"/>
                <w:szCs w:val="18"/>
              </w:rPr>
            </w:pPr>
            <w:r w:rsidRPr="002B55E9">
              <w:rPr>
                <w:sz w:val="18"/>
                <w:szCs w:val="18"/>
              </w:rPr>
              <w:t>3</w:t>
            </w:r>
            <w:r w:rsidRPr="002B55E9">
              <w:rPr>
                <w:sz w:val="18"/>
                <w:szCs w:val="18"/>
              </w:rPr>
              <w:t>、新建项目一律不得违规占用水域。严格水域岸线用途管制，土地开发利用应按照有关法律法规和技术标准要求，留足河道、湖泊、湿地的管理和保护范围，非法挤占的应限期退出。</w:t>
            </w:r>
          </w:p>
          <w:p w14:paraId="73CEB8F4" w14:textId="77777777" w:rsidR="00D170E5" w:rsidRPr="002B55E9" w:rsidRDefault="00EF27AD">
            <w:pPr>
              <w:pStyle w:val="TableParagraph"/>
              <w:spacing w:line="240" w:lineRule="auto"/>
              <w:rPr>
                <w:b/>
                <w:bCs/>
                <w:sz w:val="18"/>
                <w:szCs w:val="18"/>
              </w:rPr>
            </w:pPr>
            <w:r w:rsidRPr="002B55E9">
              <w:rPr>
                <w:b/>
                <w:bCs/>
                <w:sz w:val="18"/>
                <w:szCs w:val="18"/>
              </w:rPr>
              <w:t>工业园区（集聚区）：</w:t>
            </w:r>
          </w:p>
          <w:p w14:paraId="5C9A6266"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、严格执行相关行业企业及区域规划环评空间布局选址要求，优化环境防护距离设置，防范工业园区</w:t>
            </w:r>
            <w:r w:rsidRPr="002B55E9">
              <w:rPr>
                <w:sz w:val="18"/>
                <w:szCs w:val="18"/>
              </w:rPr>
              <w:t xml:space="preserve"> </w:t>
            </w:r>
            <w:r w:rsidRPr="002B55E9">
              <w:rPr>
                <w:sz w:val="18"/>
                <w:szCs w:val="18"/>
              </w:rPr>
              <w:t>（集聚区）及重点排污单位涉生态环境</w:t>
            </w:r>
            <w:r w:rsidRPr="002B55E9">
              <w:rPr>
                <w:sz w:val="18"/>
                <w:szCs w:val="18"/>
              </w:rPr>
              <w:t xml:space="preserve"> “</w:t>
            </w:r>
            <w:r w:rsidRPr="002B55E9">
              <w:rPr>
                <w:sz w:val="18"/>
                <w:szCs w:val="18"/>
              </w:rPr>
              <w:t>邻避</w:t>
            </w:r>
            <w:r w:rsidRPr="002B55E9">
              <w:rPr>
                <w:sz w:val="18"/>
                <w:szCs w:val="18"/>
              </w:rPr>
              <w:t>”</w:t>
            </w:r>
            <w:r w:rsidRPr="002B55E9">
              <w:rPr>
                <w:sz w:val="18"/>
                <w:szCs w:val="18"/>
              </w:rPr>
              <w:t>问题。</w:t>
            </w:r>
          </w:p>
          <w:p w14:paraId="29BDC357"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禁止在合规园区外新建、扩建钢铁（炼钢、炼铁、焦化、烧结、球团、铁合金）、炼油、化学原料及化学品制造、建材（水泥熟料、平板玻璃和陶瓷窑炉生产线，人造石板材加工）、有色金属和稀土冶炼分离项目。</w:t>
            </w:r>
          </w:p>
          <w:p w14:paraId="6FFBA3BD" w14:textId="77777777" w:rsidR="00D170E5" w:rsidRPr="002B55E9" w:rsidRDefault="00EF27AD">
            <w:pPr>
              <w:pStyle w:val="TableParagraph"/>
              <w:autoSpaceDE/>
              <w:autoSpaceDN/>
              <w:adjustRightInd/>
              <w:spacing w:line="240" w:lineRule="auto"/>
              <w:rPr>
                <w:sz w:val="18"/>
                <w:szCs w:val="18"/>
              </w:rPr>
            </w:pPr>
            <w:r w:rsidRPr="002B55E9">
              <w:rPr>
                <w:sz w:val="18"/>
                <w:szCs w:val="18"/>
              </w:rPr>
              <w:t>3</w:t>
            </w:r>
            <w:r w:rsidRPr="002B55E9">
              <w:rPr>
                <w:sz w:val="18"/>
                <w:szCs w:val="18"/>
              </w:rPr>
              <w:t>、禁止新建、扩建不符合国家石化（炼油、乙烯、</w:t>
            </w:r>
            <w:r w:rsidRPr="002B55E9">
              <w:rPr>
                <w:sz w:val="18"/>
                <w:szCs w:val="18"/>
              </w:rPr>
              <w:t>PX</w:t>
            </w:r>
            <w:r w:rsidRPr="002B55E9">
              <w:rPr>
                <w:sz w:val="18"/>
                <w:szCs w:val="18"/>
              </w:rPr>
              <w:t>）、现代煤化工（煤制油、煤制烯烙、煤制芳</w:t>
            </w:r>
            <w:r w:rsidRPr="002B55E9">
              <w:rPr>
                <w:rFonts w:hint="eastAsia"/>
                <w:sz w:val="18"/>
                <w:szCs w:val="18"/>
              </w:rPr>
              <w:t>烃</w:t>
            </w:r>
            <w:r w:rsidRPr="002B55E9">
              <w:rPr>
                <w:sz w:val="18"/>
                <w:szCs w:val="18"/>
              </w:rPr>
              <w:t>）等产业布局规划的项目。</w:t>
            </w:r>
          </w:p>
          <w:p w14:paraId="23C58046" w14:textId="77777777" w:rsidR="00D170E5" w:rsidRPr="002B55E9" w:rsidRDefault="00EF27AD">
            <w:pPr>
              <w:pStyle w:val="TableParagraph"/>
              <w:spacing w:line="240" w:lineRule="auto"/>
              <w:rPr>
                <w:b/>
                <w:bCs/>
                <w:sz w:val="18"/>
                <w:szCs w:val="18"/>
              </w:rPr>
            </w:pPr>
            <w:r w:rsidRPr="002B55E9">
              <w:rPr>
                <w:b/>
                <w:bCs/>
                <w:sz w:val="18"/>
                <w:szCs w:val="18"/>
              </w:rPr>
              <w:t>城市建设区域：</w:t>
            </w:r>
          </w:p>
          <w:p w14:paraId="6AD6C595"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、优化城镇功能布局，严控城市边界拓展及规模，开发建设活动强度应与区域资源环境承载力相适应，对土地实行集约和高效开发。</w:t>
            </w:r>
          </w:p>
          <w:p w14:paraId="4C66E242"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、加快布局分散的企业向园区集中，引导污染型企业逐步退城入园。合理规划居住区与</w:t>
            </w:r>
            <w:r w:rsidRPr="002B55E9">
              <w:rPr>
                <w:sz w:val="18"/>
                <w:szCs w:val="18"/>
              </w:rPr>
              <w:lastRenderedPageBreak/>
              <w:t>工业功能区，在居住区和工业园区（集聚区）、工业企业之间设置防护绿地等隔离带。</w:t>
            </w:r>
          </w:p>
          <w:p w14:paraId="2202E501" w14:textId="77777777" w:rsidR="00D170E5" w:rsidRPr="002B55E9" w:rsidRDefault="00EF27AD">
            <w:pPr>
              <w:pStyle w:val="TableParagraph"/>
              <w:spacing w:line="240" w:lineRule="auto"/>
              <w:rPr>
                <w:b/>
                <w:bCs/>
                <w:sz w:val="18"/>
                <w:szCs w:val="18"/>
              </w:rPr>
            </w:pPr>
            <w:r w:rsidRPr="002B55E9">
              <w:rPr>
                <w:b/>
                <w:bCs/>
                <w:sz w:val="18"/>
                <w:szCs w:val="18"/>
              </w:rPr>
              <w:t>农业农村区域：</w:t>
            </w:r>
          </w:p>
          <w:p w14:paraId="641827D6" w14:textId="77777777" w:rsidR="00D170E5" w:rsidRPr="002B55E9" w:rsidRDefault="00EF27AD">
            <w:pPr>
              <w:pStyle w:val="TableParagraph"/>
              <w:autoSpaceDE/>
              <w:autoSpaceDN/>
              <w:adjustRightInd/>
              <w:spacing w:line="240" w:lineRule="auto"/>
              <w:rPr>
                <w:sz w:val="18"/>
                <w:szCs w:val="18"/>
              </w:rPr>
            </w:pPr>
            <w:r w:rsidRPr="002B55E9">
              <w:rPr>
                <w:sz w:val="18"/>
                <w:szCs w:val="18"/>
              </w:rPr>
              <w:t>3</w:t>
            </w:r>
            <w:r w:rsidRPr="002B55E9">
              <w:rPr>
                <w:sz w:val="18"/>
                <w:szCs w:val="18"/>
              </w:rPr>
              <w:t>、农产品产地实行分级管理及跟踪管控，属于永久基本农田的农产品产地按相关法律法规实行永久保护；无风险和中轻度污染风险的农产品产地周边地区采取环境准入限制；重度污染风险区的农产品产地，实行结构调整和退耕还林、还草，禁止种植食用农产品。</w:t>
            </w:r>
          </w:p>
          <w:p w14:paraId="0DBD19BB" w14:textId="77777777" w:rsidR="00D170E5" w:rsidRPr="002B55E9" w:rsidRDefault="00EF27AD">
            <w:pPr>
              <w:pStyle w:val="TableParagraph"/>
              <w:autoSpaceDE/>
              <w:autoSpaceDN/>
              <w:adjustRightInd/>
              <w:spacing w:line="240" w:lineRule="auto"/>
              <w:rPr>
                <w:sz w:val="18"/>
                <w:szCs w:val="18"/>
              </w:rPr>
            </w:pPr>
            <w:r w:rsidRPr="002B55E9">
              <w:rPr>
                <w:sz w:val="18"/>
                <w:szCs w:val="18"/>
              </w:rPr>
              <w:t>4</w:t>
            </w:r>
            <w:r w:rsidRPr="002B55E9">
              <w:rPr>
                <w:sz w:val="18"/>
                <w:szCs w:val="18"/>
              </w:rPr>
              <w:t>、在农产品产地外围隔离带内，禁止新建、改建、扩建有色金属、制革、石油、矿山、煤炭、焦化、化工、医药、铅酸蓄电池和电镀等土壤污</w:t>
            </w:r>
            <w:r w:rsidRPr="002B55E9">
              <w:rPr>
                <w:sz w:val="18"/>
                <w:szCs w:val="18"/>
              </w:rPr>
              <w:t xml:space="preserve">  </w:t>
            </w:r>
            <w:r w:rsidRPr="002B55E9">
              <w:rPr>
                <w:sz w:val="18"/>
                <w:szCs w:val="18"/>
              </w:rPr>
              <w:t>染高风险行业企业及排放重金属污染物的项目，严格控制城镇开发建设。对农产品产地区域和外围隔离带已建企业应限期关停搬迁。</w:t>
            </w:r>
          </w:p>
        </w:tc>
        <w:tc>
          <w:tcPr>
            <w:tcW w:w="1881" w:type="dxa"/>
            <w:tcBorders>
              <w:top w:val="single" w:sz="12" w:space="0" w:color="000000"/>
            </w:tcBorders>
            <w:vAlign w:val="center"/>
          </w:tcPr>
          <w:p w14:paraId="2A90DE5F" w14:textId="77777777" w:rsidR="00D170E5" w:rsidRPr="002B55E9" w:rsidRDefault="00EF27AD">
            <w:pPr>
              <w:pStyle w:val="TableParagraph"/>
              <w:spacing w:line="240" w:lineRule="auto"/>
              <w:jc w:val="both"/>
              <w:rPr>
                <w:sz w:val="18"/>
                <w:szCs w:val="18"/>
              </w:rPr>
            </w:pPr>
            <w:r w:rsidRPr="002B55E9">
              <w:rPr>
                <w:sz w:val="18"/>
                <w:szCs w:val="18"/>
              </w:rPr>
              <w:lastRenderedPageBreak/>
              <w:t>本项目属于</w:t>
            </w:r>
            <w:r w:rsidRPr="002B55E9">
              <w:rPr>
                <w:rFonts w:hint="eastAsia"/>
                <w:sz w:val="18"/>
                <w:szCs w:val="18"/>
              </w:rPr>
              <w:t>新建项目</w:t>
            </w:r>
            <w:r w:rsidRPr="002B55E9">
              <w:rPr>
                <w:sz w:val="18"/>
                <w:szCs w:val="18"/>
              </w:rPr>
              <w:t>，位于</w:t>
            </w:r>
            <w:r w:rsidRPr="002B55E9">
              <w:rPr>
                <w:rFonts w:hint="eastAsia"/>
                <w:sz w:val="18"/>
                <w:szCs w:val="18"/>
              </w:rPr>
              <w:t>武汉东西湖区新沟镇街食品医疗用地板块</w:t>
            </w:r>
            <w:r w:rsidRPr="002B55E9">
              <w:rPr>
                <w:sz w:val="18"/>
                <w:szCs w:val="18"/>
              </w:rPr>
              <w:t>，属于</w:t>
            </w:r>
            <w:r w:rsidRPr="002B55E9">
              <w:rPr>
                <w:rFonts w:hint="eastAsia"/>
                <w:sz w:val="18"/>
                <w:szCs w:val="18"/>
              </w:rPr>
              <w:t>规划</w:t>
            </w:r>
            <w:r w:rsidRPr="002B55E9">
              <w:rPr>
                <w:sz w:val="18"/>
                <w:szCs w:val="18"/>
              </w:rPr>
              <w:t>鼓励引入类项目，</w:t>
            </w:r>
            <w:r w:rsidRPr="002B55E9">
              <w:rPr>
                <w:rFonts w:hint="eastAsia"/>
                <w:sz w:val="18"/>
                <w:szCs w:val="18"/>
              </w:rPr>
              <w:t>项目不属于化工项目，</w:t>
            </w:r>
            <w:r w:rsidRPr="002B55E9">
              <w:rPr>
                <w:sz w:val="18"/>
                <w:szCs w:val="18"/>
              </w:rPr>
              <w:t>且与长江距离大于</w:t>
            </w:r>
            <w:r w:rsidRPr="002B55E9">
              <w:rPr>
                <w:sz w:val="18"/>
                <w:szCs w:val="18"/>
              </w:rPr>
              <w:t>1</w:t>
            </w:r>
            <w:r w:rsidRPr="002B55E9">
              <w:rPr>
                <w:sz w:val="18"/>
                <w:szCs w:val="18"/>
              </w:rPr>
              <w:t>公里，符合空间布局约束管控要求。</w:t>
            </w:r>
          </w:p>
        </w:tc>
      </w:tr>
      <w:tr w:rsidR="00C60999" w:rsidRPr="002B55E9" w14:paraId="36A3D42E" w14:textId="77777777">
        <w:trPr>
          <w:trHeight w:val="284"/>
          <w:jc w:val="center"/>
        </w:trPr>
        <w:tc>
          <w:tcPr>
            <w:tcW w:w="740" w:type="dxa"/>
            <w:vAlign w:val="center"/>
          </w:tcPr>
          <w:p w14:paraId="77D73D06" w14:textId="77777777" w:rsidR="00D170E5" w:rsidRPr="002B55E9" w:rsidRDefault="00EF27AD">
            <w:pPr>
              <w:pStyle w:val="affff6"/>
              <w:ind w:left="-105" w:right="-105"/>
              <w:rPr>
                <w:szCs w:val="18"/>
              </w:rPr>
            </w:pPr>
            <w:r w:rsidRPr="002B55E9">
              <w:rPr>
                <w:szCs w:val="18"/>
              </w:rPr>
              <w:lastRenderedPageBreak/>
              <w:t>污染物</w:t>
            </w:r>
          </w:p>
          <w:p w14:paraId="174D06D8" w14:textId="77777777" w:rsidR="00D170E5" w:rsidRPr="002B55E9" w:rsidRDefault="00EF27AD">
            <w:pPr>
              <w:pStyle w:val="affff6"/>
              <w:ind w:left="-105" w:right="-105"/>
              <w:rPr>
                <w:rFonts w:eastAsia="等线"/>
                <w:szCs w:val="18"/>
              </w:rPr>
            </w:pPr>
            <w:r w:rsidRPr="002B55E9">
              <w:rPr>
                <w:szCs w:val="18"/>
              </w:rPr>
              <w:t>排放管控</w:t>
            </w:r>
          </w:p>
        </w:tc>
        <w:tc>
          <w:tcPr>
            <w:tcW w:w="7016" w:type="dxa"/>
            <w:vAlign w:val="center"/>
          </w:tcPr>
          <w:p w14:paraId="010C4318" w14:textId="77777777" w:rsidR="00D170E5" w:rsidRPr="002B55E9" w:rsidRDefault="00EF27AD">
            <w:pPr>
              <w:pStyle w:val="TableParagraph"/>
              <w:spacing w:line="240" w:lineRule="auto"/>
              <w:rPr>
                <w:b/>
                <w:bCs/>
                <w:sz w:val="18"/>
                <w:szCs w:val="18"/>
              </w:rPr>
            </w:pPr>
            <w:r w:rsidRPr="002B55E9">
              <w:rPr>
                <w:b/>
                <w:bCs/>
                <w:sz w:val="18"/>
                <w:szCs w:val="18"/>
              </w:rPr>
              <w:t>总体：</w:t>
            </w:r>
          </w:p>
          <w:p w14:paraId="4E76B327"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严格落实污染物总量控制制度，根据区域环境质量改善目标，削减污染物排放总量。对于上一年度环境质量未达到相关要求的区域和流域，相关污染物进行倍量削减替代，未达标区县要制定并实施分阶段达标计划。</w:t>
            </w:r>
          </w:p>
          <w:p w14:paraId="3AC3CB4B"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武汉市、襄阳市、宜昌市、黄石市、荆州市、荆门市、鄂州市等重点城市，涉及火电、钢铁、石化、化工、有色（不含氧化铝）、水泥、炼焦化学等行业及锅炉，严格执行大气污染物特别排放限值。阳新县、大冶市</w:t>
            </w:r>
            <w:r w:rsidRPr="002B55E9">
              <w:rPr>
                <w:sz w:val="18"/>
                <w:szCs w:val="18"/>
              </w:rPr>
              <w:t xml:space="preserve"> </w:t>
            </w:r>
            <w:r w:rsidRPr="002B55E9">
              <w:rPr>
                <w:sz w:val="18"/>
                <w:szCs w:val="18"/>
              </w:rPr>
              <w:t>等</w:t>
            </w:r>
            <w:r w:rsidRPr="002B55E9">
              <w:rPr>
                <w:sz w:val="18"/>
                <w:szCs w:val="18"/>
              </w:rPr>
              <w:t>2</w:t>
            </w:r>
            <w:r w:rsidRPr="002B55E9">
              <w:rPr>
                <w:sz w:val="18"/>
                <w:szCs w:val="18"/>
              </w:rPr>
              <w:t>个矿产资源开发利用活动集中的县（市）水污染中重金属执行相应的特别排放限值。</w:t>
            </w:r>
          </w:p>
          <w:p w14:paraId="045ABF50" w14:textId="77777777" w:rsidR="00D170E5" w:rsidRPr="002B55E9" w:rsidRDefault="00EF27AD">
            <w:pPr>
              <w:pStyle w:val="TableParagraph"/>
              <w:spacing w:line="240" w:lineRule="auto"/>
              <w:rPr>
                <w:b/>
                <w:bCs/>
                <w:sz w:val="18"/>
                <w:szCs w:val="18"/>
              </w:rPr>
            </w:pPr>
            <w:r w:rsidRPr="002B55E9">
              <w:rPr>
                <w:b/>
                <w:bCs/>
                <w:sz w:val="18"/>
                <w:szCs w:val="18"/>
              </w:rPr>
              <w:t>工业园区（集聚区）：</w:t>
            </w:r>
          </w:p>
          <w:p w14:paraId="286A02FB"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、加强工业企业全面达标排放整治，实施重点行业环保设施升级改造，深化工业废气污染综合防治，未达标排放的企业一律限期整治。</w:t>
            </w:r>
          </w:p>
          <w:p w14:paraId="06012364"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、加强工业企业无组织排放管控，加快钢铁、建材、有色、火电、焦化、铸造等行业和燃煤锅炉等物料（含废渣）运输、装卸、储存、转移与输送和工艺过程等无组织排放深度治理。</w:t>
            </w:r>
          </w:p>
          <w:p w14:paraId="74B75C63" w14:textId="77777777" w:rsidR="00D170E5" w:rsidRPr="002B55E9" w:rsidRDefault="00EF27AD">
            <w:pPr>
              <w:pStyle w:val="TableParagraph"/>
              <w:autoSpaceDE/>
              <w:autoSpaceDN/>
              <w:adjustRightInd/>
              <w:spacing w:line="240" w:lineRule="auto"/>
              <w:rPr>
                <w:sz w:val="18"/>
                <w:szCs w:val="18"/>
              </w:rPr>
            </w:pPr>
            <w:r w:rsidRPr="002B55E9">
              <w:rPr>
                <w:sz w:val="18"/>
                <w:szCs w:val="18"/>
              </w:rPr>
              <w:t>3</w:t>
            </w:r>
            <w:r w:rsidRPr="002B55E9">
              <w:rPr>
                <w:sz w:val="18"/>
                <w:szCs w:val="18"/>
              </w:rPr>
              <w:t>、重点推进石化、化工、工业涂装、包装印刷、橡胶塑料制品、医药、电子信息、印染、焦化等行业挥发性有机物污染防治。新建、改扩建项目一律实施</w:t>
            </w:r>
            <w:r w:rsidRPr="002B55E9">
              <w:rPr>
                <w:sz w:val="18"/>
                <w:szCs w:val="18"/>
              </w:rPr>
              <w:t>VOCs</w:t>
            </w:r>
            <w:r w:rsidRPr="002B55E9">
              <w:rPr>
                <w:sz w:val="18"/>
                <w:szCs w:val="18"/>
              </w:rPr>
              <w:t>排放等量或减量置换，并将替代方案落实到企业排污许可证中。</w:t>
            </w:r>
          </w:p>
          <w:p w14:paraId="3960307C" w14:textId="77777777" w:rsidR="00D170E5" w:rsidRPr="002B55E9" w:rsidRDefault="00EF27AD">
            <w:pPr>
              <w:pStyle w:val="TableParagraph"/>
              <w:autoSpaceDE/>
              <w:autoSpaceDN/>
              <w:adjustRightInd/>
              <w:spacing w:line="240" w:lineRule="auto"/>
              <w:rPr>
                <w:sz w:val="18"/>
                <w:szCs w:val="18"/>
              </w:rPr>
            </w:pPr>
            <w:r w:rsidRPr="002B55E9">
              <w:rPr>
                <w:sz w:val="18"/>
                <w:szCs w:val="18"/>
              </w:rPr>
              <w:t>4</w:t>
            </w:r>
            <w:r w:rsidRPr="002B55E9">
              <w:rPr>
                <w:sz w:val="18"/>
                <w:szCs w:val="18"/>
              </w:rPr>
              <w:t>、工业园区入园企业应在达到国家或地方规定的排放标准及相应的接管标准后接入集中式污水处理设施处理。加强土壤和地下水污染防治与修复。</w:t>
            </w:r>
          </w:p>
          <w:p w14:paraId="3A30DBE4" w14:textId="77777777" w:rsidR="00D170E5" w:rsidRPr="002B55E9" w:rsidRDefault="00EF27AD">
            <w:pPr>
              <w:pStyle w:val="TableParagraph"/>
              <w:spacing w:line="240" w:lineRule="auto"/>
              <w:rPr>
                <w:b/>
                <w:bCs/>
                <w:sz w:val="18"/>
                <w:szCs w:val="18"/>
              </w:rPr>
            </w:pPr>
            <w:r w:rsidRPr="002B55E9">
              <w:rPr>
                <w:b/>
                <w:bCs/>
                <w:sz w:val="18"/>
                <w:szCs w:val="18"/>
              </w:rPr>
              <w:t>城市建设区域：</w:t>
            </w:r>
          </w:p>
          <w:p w14:paraId="7F70814E"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提高城镇污染治理水平。实现环保基础设施全覆盖，加强城镇污水处理设施及配套管网的建设与提标改造，规范污泥处理处置，提升污水再生利用水平。加强服务业污染治理设施建设，深化环境空气污染综合防治，全面防控民用生活源、移动源、建筑施工废气污染。着力整治污染地块。</w:t>
            </w:r>
          </w:p>
          <w:p w14:paraId="1A1D987B" w14:textId="77777777" w:rsidR="00D170E5" w:rsidRPr="002B55E9" w:rsidRDefault="00EF27AD">
            <w:pPr>
              <w:pStyle w:val="TableParagraph"/>
              <w:spacing w:line="240" w:lineRule="auto"/>
              <w:rPr>
                <w:b/>
                <w:bCs/>
                <w:sz w:val="18"/>
                <w:szCs w:val="18"/>
              </w:rPr>
            </w:pPr>
            <w:r w:rsidRPr="002B55E9">
              <w:rPr>
                <w:b/>
                <w:bCs/>
                <w:sz w:val="18"/>
                <w:szCs w:val="18"/>
              </w:rPr>
              <w:t>农业农村区域：</w:t>
            </w:r>
          </w:p>
          <w:p w14:paraId="7C6F65FF"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加强农业农村污染治理。科学推进农业面源污染治理，逐步构建基于环境资源承载力的农业绿色发展格局。加强畜禽养殖污染治理及资源化利用、水产养殖环境综合治理；推进种植业面源污染防治，实施农药减施增效，开展化肥减量试点，提升科学施肥水平，提高农业废弃物资源化利用水平；加强农村环保基础设施建设和农村环境综合整治。</w:t>
            </w:r>
          </w:p>
          <w:p w14:paraId="58A8D422" w14:textId="77777777" w:rsidR="00D170E5" w:rsidRPr="002B55E9" w:rsidRDefault="00EF27AD">
            <w:pPr>
              <w:pStyle w:val="TableParagraph"/>
              <w:spacing w:line="240" w:lineRule="auto"/>
              <w:rPr>
                <w:b/>
                <w:bCs/>
                <w:sz w:val="18"/>
                <w:szCs w:val="18"/>
              </w:rPr>
            </w:pPr>
            <w:r w:rsidRPr="002B55E9">
              <w:rPr>
                <w:b/>
                <w:bCs/>
                <w:sz w:val="18"/>
                <w:szCs w:val="18"/>
              </w:rPr>
              <w:t>重点流域（区域）：</w:t>
            </w:r>
          </w:p>
          <w:p w14:paraId="5FDEF6CA"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、深化重点流域总磷、</w:t>
            </w:r>
            <w:r w:rsidRPr="002B55E9">
              <w:rPr>
                <w:rFonts w:hint="eastAsia"/>
                <w:sz w:val="18"/>
                <w:szCs w:val="18"/>
              </w:rPr>
              <w:t>氨氮</w:t>
            </w:r>
            <w:r w:rsidRPr="002B55E9">
              <w:rPr>
                <w:sz w:val="18"/>
                <w:szCs w:val="18"/>
              </w:rPr>
              <w:t>排放管控，在香溪河、沮漳河、黄柏河、通顺河、四湖总干渠、竹皮河、蛮河等流域严格控制总磷污染物排放总量，丹江口库区严格控制总氨污染物排放总量。</w:t>
            </w:r>
          </w:p>
          <w:p w14:paraId="07AE8671"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、落实沿江排污口</w:t>
            </w:r>
            <w:r w:rsidRPr="002B55E9">
              <w:rPr>
                <w:sz w:val="18"/>
                <w:szCs w:val="18"/>
              </w:rPr>
              <w:t>“</w:t>
            </w:r>
            <w:r w:rsidRPr="002B55E9">
              <w:rPr>
                <w:sz w:val="18"/>
                <w:szCs w:val="18"/>
              </w:rPr>
              <w:t>查、测、溯、治</w:t>
            </w:r>
            <w:r w:rsidRPr="002B55E9">
              <w:rPr>
                <w:sz w:val="18"/>
                <w:szCs w:val="18"/>
              </w:rPr>
              <w:t>”</w:t>
            </w:r>
            <w:r w:rsidRPr="002B55E9">
              <w:rPr>
                <w:sz w:val="18"/>
                <w:szCs w:val="18"/>
              </w:rPr>
              <w:t>四项重点任务，实施</w:t>
            </w:r>
            <w:r w:rsidRPr="002B55E9">
              <w:rPr>
                <w:sz w:val="18"/>
                <w:szCs w:val="18"/>
              </w:rPr>
              <w:t>“</w:t>
            </w:r>
            <w:r w:rsidRPr="002B55E9">
              <w:rPr>
                <w:sz w:val="18"/>
                <w:szCs w:val="18"/>
              </w:rPr>
              <w:t>一口一策</w:t>
            </w:r>
            <w:r w:rsidRPr="002B55E9">
              <w:rPr>
                <w:sz w:val="18"/>
                <w:szCs w:val="18"/>
              </w:rPr>
              <w:t>”</w:t>
            </w:r>
            <w:r w:rsidRPr="002B55E9">
              <w:rPr>
                <w:sz w:val="18"/>
                <w:szCs w:val="18"/>
              </w:rPr>
              <w:t>。推进</w:t>
            </w:r>
            <w:r w:rsidRPr="002B55E9">
              <w:rPr>
                <w:sz w:val="18"/>
                <w:szCs w:val="18"/>
              </w:rPr>
              <w:t>“</w:t>
            </w:r>
            <w:r w:rsidRPr="002B55E9">
              <w:rPr>
                <w:sz w:val="18"/>
                <w:szCs w:val="18"/>
              </w:rPr>
              <w:t>散乱污</w:t>
            </w:r>
            <w:r w:rsidRPr="002B55E9">
              <w:rPr>
                <w:sz w:val="18"/>
                <w:szCs w:val="18"/>
              </w:rPr>
              <w:t>”</w:t>
            </w:r>
            <w:r w:rsidRPr="002B55E9">
              <w:rPr>
                <w:sz w:val="18"/>
                <w:szCs w:val="18"/>
              </w:rPr>
              <w:t>涉水企业清理和综合整治，加强</w:t>
            </w:r>
            <w:r w:rsidRPr="002B55E9">
              <w:rPr>
                <w:sz w:val="18"/>
                <w:szCs w:val="18"/>
              </w:rPr>
              <w:t>“</w:t>
            </w:r>
            <w:r w:rsidRPr="002B55E9">
              <w:rPr>
                <w:sz w:val="18"/>
                <w:szCs w:val="18"/>
              </w:rPr>
              <w:t>三磷</w:t>
            </w:r>
            <w:r w:rsidRPr="002B55E9">
              <w:rPr>
                <w:sz w:val="18"/>
                <w:szCs w:val="18"/>
              </w:rPr>
              <w:t>”</w:t>
            </w:r>
            <w:r w:rsidRPr="002B55E9">
              <w:rPr>
                <w:sz w:val="18"/>
                <w:szCs w:val="18"/>
              </w:rPr>
              <w:t>污染治理，严格长江、汉江流域水污染物排放标准。持续推进四湖总干渠、通顺河、神定河、泗河、竹皮河、天门河、府漫河等不达标河流整治，确保水环境质量得到阶段性改善。</w:t>
            </w:r>
          </w:p>
        </w:tc>
        <w:tc>
          <w:tcPr>
            <w:tcW w:w="1881" w:type="dxa"/>
            <w:vAlign w:val="center"/>
          </w:tcPr>
          <w:p w14:paraId="4D685579" w14:textId="77777777" w:rsidR="00D170E5" w:rsidRPr="002B55E9" w:rsidRDefault="00EF27AD">
            <w:pPr>
              <w:pStyle w:val="TableParagraph"/>
              <w:spacing w:line="240" w:lineRule="auto"/>
              <w:jc w:val="both"/>
              <w:rPr>
                <w:sz w:val="18"/>
                <w:szCs w:val="18"/>
              </w:rPr>
            </w:pPr>
            <w:r w:rsidRPr="002B55E9">
              <w:rPr>
                <w:sz w:val="18"/>
                <w:szCs w:val="18"/>
              </w:rPr>
              <w:t>本项目运行过程中产生的废气、废水、噪声等污染物均能实现达标排放，废水、废气污染物满足总量控制要求，一般固体废物和危险废物均能妥善处置不外排，符合污染物排放管控要求。</w:t>
            </w:r>
          </w:p>
        </w:tc>
      </w:tr>
      <w:tr w:rsidR="00C60999" w:rsidRPr="002B55E9" w14:paraId="217D82CE" w14:textId="77777777">
        <w:trPr>
          <w:trHeight w:val="284"/>
          <w:jc w:val="center"/>
        </w:trPr>
        <w:tc>
          <w:tcPr>
            <w:tcW w:w="740" w:type="dxa"/>
            <w:vAlign w:val="center"/>
          </w:tcPr>
          <w:p w14:paraId="460FBEA7" w14:textId="77777777" w:rsidR="00D170E5" w:rsidRPr="002B55E9" w:rsidRDefault="00EF27AD">
            <w:pPr>
              <w:pStyle w:val="TableParagraph"/>
              <w:rPr>
                <w:sz w:val="18"/>
                <w:szCs w:val="18"/>
              </w:rPr>
            </w:pPr>
            <w:r w:rsidRPr="002B55E9">
              <w:rPr>
                <w:sz w:val="18"/>
                <w:szCs w:val="18"/>
              </w:rPr>
              <w:t>环境风</w:t>
            </w:r>
          </w:p>
          <w:p w14:paraId="6511F39E" w14:textId="77777777" w:rsidR="00D170E5" w:rsidRPr="002B55E9" w:rsidRDefault="00EF27AD">
            <w:pPr>
              <w:pStyle w:val="TableParagraph"/>
              <w:rPr>
                <w:sz w:val="18"/>
                <w:szCs w:val="18"/>
              </w:rPr>
            </w:pPr>
            <w:r w:rsidRPr="002B55E9">
              <w:rPr>
                <w:sz w:val="18"/>
                <w:szCs w:val="18"/>
              </w:rPr>
              <w:t>险防控</w:t>
            </w:r>
          </w:p>
        </w:tc>
        <w:tc>
          <w:tcPr>
            <w:tcW w:w="7016" w:type="dxa"/>
            <w:vAlign w:val="center"/>
          </w:tcPr>
          <w:p w14:paraId="7CBBE443" w14:textId="77777777" w:rsidR="00D170E5" w:rsidRPr="002B55E9" w:rsidRDefault="00EF27AD">
            <w:pPr>
              <w:pStyle w:val="TableParagraph"/>
              <w:spacing w:line="240" w:lineRule="auto"/>
              <w:rPr>
                <w:b/>
                <w:sz w:val="18"/>
                <w:szCs w:val="18"/>
              </w:rPr>
            </w:pPr>
            <w:r w:rsidRPr="002B55E9">
              <w:rPr>
                <w:b/>
                <w:sz w:val="18"/>
                <w:szCs w:val="18"/>
              </w:rPr>
              <w:t>总体：</w:t>
            </w:r>
          </w:p>
          <w:p w14:paraId="4F30E5CF" w14:textId="77777777" w:rsidR="00D170E5" w:rsidRPr="002B55E9" w:rsidRDefault="00EF27AD">
            <w:pPr>
              <w:pStyle w:val="TableParagraph"/>
              <w:autoSpaceDE/>
              <w:autoSpaceDN/>
              <w:adjustRightInd/>
              <w:spacing w:line="240" w:lineRule="auto"/>
              <w:rPr>
                <w:sz w:val="18"/>
                <w:szCs w:val="18"/>
              </w:rPr>
            </w:pPr>
            <w:r w:rsidRPr="002B55E9">
              <w:rPr>
                <w:sz w:val="18"/>
                <w:szCs w:val="18"/>
              </w:rPr>
              <w:t>1</w:t>
            </w:r>
            <w:r w:rsidRPr="002B55E9">
              <w:rPr>
                <w:sz w:val="18"/>
                <w:szCs w:val="18"/>
              </w:rPr>
              <w:t>、制定湖北省环境风险防范协调联动工作机制。建立全省大气污染防治联防联控机制以及跨区域的重点水体和涉及饮用水水源的流域、区域上下游联防联控协调机制，实行联防联控。建立健全地下水污染风险防范体系、监测体系及信息共享平台。</w:t>
            </w:r>
          </w:p>
          <w:p w14:paraId="21ED1FA0" w14:textId="77777777" w:rsidR="00D170E5" w:rsidRPr="002B55E9" w:rsidRDefault="00EF27AD">
            <w:pPr>
              <w:pStyle w:val="TableParagraph"/>
              <w:spacing w:line="240" w:lineRule="auto"/>
              <w:rPr>
                <w:b/>
                <w:sz w:val="18"/>
                <w:szCs w:val="18"/>
              </w:rPr>
            </w:pPr>
            <w:r w:rsidRPr="002B55E9">
              <w:rPr>
                <w:b/>
                <w:sz w:val="18"/>
                <w:szCs w:val="18"/>
              </w:rPr>
              <w:t>工业园区（集聚区）：</w:t>
            </w:r>
          </w:p>
          <w:p w14:paraId="20E30668" w14:textId="77777777" w:rsidR="00D170E5" w:rsidRPr="002B55E9" w:rsidRDefault="00EF27AD">
            <w:pPr>
              <w:pStyle w:val="TableParagraph"/>
              <w:autoSpaceDE/>
              <w:autoSpaceDN/>
              <w:adjustRightInd/>
              <w:spacing w:line="240" w:lineRule="auto"/>
              <w:rPr>
                <w:sz w:val="18"/>
                <w:szCs w:val="18"/>
              </w:rPr>
            </w:pPr>
            <w:r w:rsidRPr="002B55E9">
              <w:rPr>
                <w:sz w:val="18"/>
                <w:szCs w:val="18"/>
              </w:rPr>
              <w:t>2</w:t>
            </w:r>
            <w:r w:rsidRPr="002B55E9">
              <w:rPr>
                <w:sz w:val="18"/>
                <w:szCs w:val="18"/>
              </w:rPr>
              <w:t>、强化工业园区（集聚区）企业环境风险防范设施设备建设和正常运行监管，加强重点环境风险管控企业应急预案制定，建立常态化的企业隐患排查整治监管机制，加强风险防控体系建设及应急演练。</w:t>
            </w:r>
          </w:p>
          <w:p w14:paraId="40798FFC" w14:textId="77777777" w:rsidR="00D170E5" w:rsidRPr="002B55E9" w:rsidRDefault="00EF27AD">
            <w:pPr>
              <w:pStyle w:val="TableParagraph"/>
              <w:spacing w:line="240" w:lineRule="auto"/>
              <w:rPr>
                <w:b/>
                <w:sz w:val="18"/>
                <w:szCs w:val="18"/>
              </w:rPr>
            </w:pPr>
            <w:r w:rsidRPr="002B55E9">
              <w:rPr>
                <w:b/>
                <w:sz w:val="18"/>
                <w:szCs w:val="18"/>
              </w:rPr>
              <w:t>农业农村区域：</w:t>
            </w:r>
          </w:p>
          <w:p w14:paraId="129585F9" w14:textId="77777777" w:rsidR="00D170E5" w:rsidRPr="002B55E9" w:rsidRDefault="00EF27AD">
            <w:pPr>
              <w:pStyle w:val="TableParagraph"/>
              <w:spacing w:line="240" w:lineRule="auto"/>
              <w:rPr>
                <w:sz w:val="18"/>
                <w:szCs w:val="18"/>
              </w:rPr>
            </w:pPr>
            <w:r w:rsidRPr="002B55E9">
              <w:rPr>
                <w:sz w:val="18"/>
                <w:szCs w:val="18"/>
              </w:rPr>
              <w:t>24</w:t>
            </w:r>
            <w:r w:rsidRPr="002B55E9">
              <w:rPr>
                <w:sz w:val="18"/>
                <w:szCs w:val="18"/>
              </w:rPr>
              <w:t>、建立健全重金属污染事故防范机制。对重点防控区的污染源及其周边水、气、土壤、地下水开展重金属长期跟踪监测，建立环境污染监测网络，构建农产品产地安全监测网络。</w:t>
            </w:r>
          </w:p>
        </w:tc>
        <w:tc>
          <w:tcPr>
            <w:tcW w:w="1881" w:type="dxa"/>
            <w:vAlign w:val="center"/>
          </w:tcPr>
          <w:p w14:paraId="0D41699E" w14:textId="77777777" w:rsidR="00D170E5" w:rsidRPr="002B55E9" w:rsidRDefault="00EF27AD">
            <w:pPr>
              <w:pStyle w:val="TableParagraph"/>
              <w:spacing w:line="240" w:lineRule="auto"/>
              <w:jc w:val="both"/>
              <w:rPr>
                <w:sz w:val="18"/>
                <w:szCs w:val="18"/>
              </w:rPr>
            </w:pPr>
            <w:r w:rsidRPr="002B55E9">
              <w:rPr>
                <w:rFonts w:hint="eastAsia"/>
                <w:sz w:val="18"/>
                <w:szCs w:val="18"/>
              </w:rPr>
              <w:t>项目建设完成后，将针对全厂</w:t>
            </w:r>
            <w:r w:rsidRPr="002B55E9">
              <w:rPr>
                <w:sz w:val="18"/>
                <w:szCs w:val="18"/>
              </w:rPr>
              <w:t>制定《突发环境事件风险应急预案》，定期排查演练，加强风险防控，符合环境风险防控要求。</w:t>
            </w:r>
          </w:p>
        </w:tc>
      </w:tr>
    </w:tbl>
    <w:p w14:paraId="670FD959" w14:textId="77777777" w:rsidR="00D170E5" w:rsidRPr="002B55E9" w:rsidRDefault="00EF27AD">
      <w:pPr>
        <w:pStyle w:val="affff7"/>
      </w:pPr>
      <w:r w:rsidRPr="002B55E9">
        <w:rPr>
          <w:rFonts w:hint="eastAsia"/>
        </w:rPr>
        <w:lastRenderedPageBreak/>
        <w:t>由上表可知，本项目满足《省人民政府关于加快实施“三线一单”生态环境分区管控的意见》“重点管控单元”的管控要求。</w:t>
      </w:r>
    </w:p>
    <w:p w14:paraId="6612143B" w14:textId="77777777" w:rsidR="00D170E5" w:rsidRPr="002B55E9" w:rsidRDefault="00EF27AD">
      <w:pPr>
        <w:pStyle w:val="3"/>
      </w:pPr>
      <w:bookmarkStart w:id="317" w:name="_Toc119309028"/>
      <w:r w:rsidRPr="002B55E9">
        <w:rPr>
          <w:rFonts w:hint="eastAsia"/>
        </w:rPr>
        <w:t>与《武汉市“三线一单”生态环境分区管控方案》符合性分析</w:t>
      </w:r>
      <w:bookmarkEnd w:id="317"/>
    </w:p>
    <w:p w14:paraId="5E9F00A9" w14:textId="77777777" w:rsidR="00D170E5" w:rsidRPr="002B55E9" w:rsidRDefault="00EF27AD">
      <w:pPr>
        <w:pStyle w:val="affff7"/>
      </w:pPr>
      <w:r w:rsidRPr="002B55E9">
        <w:rPr>
          <w:rFonts w:hint="eastAsia"/>
        </w:rPr>
        <w:t>本项目位于武汉东西湖去新沟镇食品医疗用地板块，根据《武汉市环境管控单元分布图》（武政办</w:t>
      </w:r>
      <w:r w:rsidRPr="002B55E9">
        <w:rPr>
          <w:rFonts w:hint="eastAsia"/>
        </w:rPr>
        <w:t>[2021]96</w:t>
      </w:r>
      <w:r w:rsidRPr="002B55E9">
        <w:rPr>
          <w:rFonts w:hint="eastAsia"/>
        </w:rPr>
        <w:t>号），项目所在区域为重点管控单元，项目与“武汉市生态环境总体准入要求”符合性分析见表</w:t>
      </w:r>
      <w:r w:rsidRPr="002B55E9">
        <w:t>9</w:t>
      </w:r>
      <w:r w:rsidRPr="002B55E9">
        <w:rPr>
          <w:rFonts w:hint="eastAsia"/>
        </w:rPr>
        <w:t>-</w:t>
      </w:r>
      <w:r w:rsidRPr="002B55E9">
        <w:t>7-1</w:t>
      </w:r>
      <w:r w:rsidRPr="002B55E9">
        <w:rPr>
          <w:rFonts w:hint="eastAsia"/>
        </w:rPr>
        <w:t>，与“武汉市东西湖区生态环境准入清单”符合性分析见表</w:t>
      </w:r>
      <w:r w:rsidRPr="002B55E9">
        <w:t>9-7-2</w:t>
      </w:r>
      <w:r w:rsidRPr="002B55E9">
        <w:rPr>
          <w:rFonts w:hint="eastAsia"/>
        </w:rPr>
        <w:t>。</w:t>
      </w:r>
    </w:p>
    <w:p w14:paraId="14E93C72" w14:textId="77777777" w:rsidR="00D170E5" w:rsidRPr="002B55E9" w:rsidRDefault="00EF27AD">
      <w:pPr>
        <w:pStyle w:val="afffffffffffff3"/>
        <w:ind w:firstLine="482"/>
        <w:rPr>
          <w:rFonts w:eastAsia="黑体"/>
          <w:sz w:val="24"/>
        </w:rPr>
      </w:pPr>
      <w:r w:rsidRPr="002B55E9">
        <w:rPr>
          <w:rFonts w:eastAsia="黑体" w:hint="eastAsia"/>
          <w:sz w:val="24"/>
        </w:rPr>
        <w:t>表</w:t>
      </w:r>
      <w:r w:rsidRPr="002B55E9">
        <w:rPr>
          <w:rFonts w:eastAsia="黑体" w:hint="eastAsia"/>
          <w:sz w:val="24"/>
        </w:rPr>
        <w:t>9</w:t>
      </w:r>
      <w:r w:rsidRPr="002B55E9">
        <w:rPr>
          <w:rFonts w:eastAsia="黑体"/>
          <w:sz w:val="24"/>
        </w:rPr>
        <w:t xml:space="preserve">-7-1    </w:t>
      </w:r>
      <w:r w:rsidRPr="002B55E9">
        <w:rPr>
          <w:rFonts w:eastAsia="黑体" w:hint="eastAsia"/>
          <w:sz w:val="24"/>
        </w:rPr>
        <w:t>本项目与“武汉市生态环境总体准入要求”符合性分析</w:t>
      </w:r>
    </w:p>
    <w:tbl>
      <w:tblPr>
        <w:tblW w:w="9637"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587"/>
        <w:gridCol w:w="941"/>
        <w:gridCol w:w="515"/>
        <w:gridCol w:w="4927"/>
        <w:gridCol w:w="2667"/>
      </w:tblGrid>
      <w:tr w:rsidR="00C60999" w:rsidRPr="002B55E9" w14:paraId="14F99276" w14:textId="77777777">
        <w:trPr>
          <w:trHeight w:val="284"/>
          <w:jc w:val="center"/>
        </w:trPr>
        <w:tc>
          <w:tcPr>
            <w:tcW w:w="587" w:type="dxa"/>
            <w:tcBorders>
              <w:top w:val="single" w:sz="12" w:space="0" w:color="auto"/>
              <w:bottom w:val="single" w:sz="12" w:space="0" w:color="auto"/>
            </w:tcBorders>
            <w:vAlign w:val="center"/>
          </w:tcPr>
          <w:p w14:paraId="52C0AE37" w14:textId="77777777" w:rsidR="00D170E5" w:rsidRPr="002B55E9" w:rsidRDefault="00EF27AD">
            <w:pPr>
              <w:jc w:val="center"/>
              <w:rPr>
                <w:sz w:val="18"/>
                <w:szCs w:val="18"/>
              </w:rPr>
            </w:pPr>
            <w:r w:rsidRPr="002B55E9">
              <w:rPr>
                <w:sz w:val="18"/>
                <w:szCs w:val="18"/>
              </w:rPr>
              <w:t>纬度</w:t>
            </w:r>
          </w:p>
        </w:tc>
        <w:tc>
          <w:tcPr>
            <w:tcW w:w="941" w:type="dxa"/>
            <w:tcBorders>
              <w:top w:val="single" w:sz="12" w:space="0" w:color="auto"/>
              <w:bottom w:val="single" w:sz="12" w:space="0" w:color="auto"/>
            </w:tcBorders>
            <w:vAlign w:val="center"/>
          </w:tcPr>
          <w:p w14:paraId="44E854CA" w14:textId="77777777" w:rsidR="00D170E5" w:rsidRPr="002B55E9" w:rsidRDefault="00EF27AD">
            <w:pPr>
              <w:jc w:val="center"/>
              <w:rPr>
                <w:sz w:val="18"/>
                <w:szCs w:val="18"/>
              </w:rPr>
            </w:pPr>
            <w:r w:rsidRPr="002B55E9">
              <w:rPr>
                <w:sz w:val="18"/>
                <w:szCs w:val="18"/>
              </w:rPr>
              <w:t>清单编制要求</w:t>
            </w:r>
          </w:p>
        </w:tc>
        <w:tc>
          <w:tcPr>
            <w:tcW w:w="515" w:type="dxa"/>
            <w:tcBorders>
              <w:top w:val="single" w:sz="12" w:space="0" w:color="auto"/>
              <w:bottom w:val="single" w:sz="12" w:space="0" w:color="auto"/>
            </w:tcBorders>
            <w:vAlign w:val="center"/>
          </w:tcPr>
          <w:p w14:paraId="200996F0" w14:textId="77777777" w:rsidR="00D170E5" w:rsidRPr="002B55E9" w:rsidRDefault="00EF27AD">
            <w:pPr>
              <w:jc w:val="center"/>
              <w:rPr>
                <w:sz w:val="18"/>
                <w:szCs w:val="18"/>
              </w:rPr>
            </w:pPr>
            <w:r w:rsidRPr="002B55E9">
              <w:rPr>
                <w:sz w:val="18"/>
                <w:szCs w:val="18"/>
              </w:rPr>
              <w:t>序号</w:t>
            </w:r>
          </w:p>
        </w:tc>
        <w:tc>
          <w:tcPr>
            <w:tcW w:w="4927" w:type="dxa"/>
            <w:tcBorders>
              <w:top w:val="single" w:sz="12" w:space="0" w:color="auto"/>
              <w:bottom w:val="single" w:sz="12" w:space="0" w:color="auto"/>
            </w:tcBorders>
            <w:vAlign w:val="center"/>
          </w:tcPr>
          <w:p w14:paraId="2AF02897" w14:textId="77777777" w:rsidR="00D170E5" w:rsidRPr="002B55E9" w:rsidRDefault="00EF27AD">
            <w:pPr>
              <w:jc w:val="center"/>
              <w:rPr>
                <w:sz w:val="18"/>
                <w:szCs w:val="18"/>
              </w:rPr>
            </w:pPr>
            <w:r w:rsidRPr="002B55E9">
              <w:rPr>
                <w:sz w:val="18"/>
                <w:szCs w:val="18"/>
              </w:rPr>
              <w:t>准入要求</w:t>
            </w:r>
          </w:p>
        </w:tc>
        <w:tc>
          <w:tcPr>
            <w:tcW w:w="2667" w:type="dxa"/>
            <w:tcBorders>
              <w:top w:val="single" w:sz="12" w:space="0" w:color="auto"/>
              <w:bottom w:val="single" w:sz="12" w:space="0" w:color="auto"/>
            </w:tcBorders>
            <w:vAlign w:val="center"/>
          </w:tcPr>
          <w:p w14:paraId="5A51F38F" w14:textId="77777777" w:rsidR="00D170E5" w:rsidRPr="002B55E9" w:rsidRDefault="00EF27AD">
            <w:pPr>
              <w:jc w:val="center"/>
              <w:rPr>
                <w:sz w:val="18"/>
                <w:szCs w:val="18"/>
              </w:rPr>
            </w:pPr>
            <w:r w:rsidRPr="002B55E9">
              <w:rPr>
                <w:sz w:val="18"/>
                <w:szCs w:val="18"/>
              </w:rPr>
              <w:t>符合性分析</w:t>
            </w:r>
          </w:p>
        </w:tc>
      </w:tr>
      <w:tr w:rsidR="00C60999" w:rsidRPr="002B55E9" w14:paraId="3220ED0B" w14:textId="77777777">
        <w:trPr>
          <w:trHeight w:val="284"/>
          <w:jc w:val="center"/>
        </w:trPr>
        <w:tc>
          <w:tcPr>
            <w:tcW w:w="587" w:type="dxa"/>
            <w:vMerge w:val="restart"/>
            <w:tcBorders>
              <w:top w:val="single" w:sz="12" w:space="0" w:color="auto"/>
            </w:tcBorders>
            <w:vAlign w:val="center"/>
          </w:tcPr>
          <w:p w14:paraId="457486B8" w14:textId="77777777" w:rsidR="00D170E5" w:rsidRPr="002B55E9" w:rsidRDefault="00EF27AD">
            <w:pPr>
              <w:jc w:val="center"/>
              <w:rPr>
                <w:sz w:val="18"/>
                <w:szCs w:val="18"/>
              </w:rPr>
            </w:pPr>
            <w:r w:rsidRPr="002B55E9">
              <w:rPr>
                <w:sz w:val="18"/>
                <w:szCs w:val="18"/>
              </w:rPr>
              <w:t>空间布局约束</w:t>
            </w:r>
          </w:p>
        </w:tc>
        <w:tc>
          <w:tcPr>
            <w:tcW w:w="941" w:type="dxa"/>
            <w:vMerge w:val="restart"/>
            <w:tcBorders>
              <w:top w:val="single" w:sz="12" w:space="0" w:color="auto"/>
            </w:tcBorders>
            <w:vAlign w:val="center"/>
          </w:tcPr>
          <w:p w14:paraId="2261101F" w14:textId="77777777" w:rsidR="00D170E5" w:rsidRPr="002B55E9" w:rsidRDefault="00EF27AD">
            <w:pPr>
              <w:jc w:val="center"/>
              <w:rPr>
                <w:sz w:val="18"/>
                <w:szCs w:val="18"/>
              </w:rPr>
            </w:pPr>
            <w:r w:rsidRPr="002B55E9">
              <w:rPr>
                <w:sz w:val="18"/>
                <w:szCs w:val="18"/>
              </w:rPr>
              <w:t>禁止开发建设活动的要求</w:t>
            </w:r>
          </w:p>
        </w:tc>
        <w:tc>
          <w:tcPr>
            <w:tcW w:w="515" w:type="dxa"/>
            <w:tcBorders>
              <w:top w:val="single" w:sz="12" w:space="0" w:color="auto"/>
            </w:tcBorders>
            <w:vAlign w:val="center"/>
          </w:tcPr>
          <w:p w14:paraId="00B42F7C" w14:textId="77777777" w:rsidR="00D170E5" w:rsidRPr="002B55E9" w:rsidRDefault="00EF27AD">
            <w:pPr>
              <w:jc w:val="center"/>
              <w:rPr>
                <w:sz w:val="18"/>
                <w:szCs w:val="18"/>
              </w:rPr>
            </w:pPr>
            <w:r w:rsidRPr="002B55E9">
              <w:rPr>
                <w:sz w:val="18"/>
                <w:szCs w:val="18"/>
              </w:rPr>
              <w:t>1</w:t>
            </w:r>
          </w:p>
        </w:tc>
        <w:tc>
          <w:tcPr>
            <w:tcW w:w="4927" w:type="dxa"/>
            <w:tcBorders>
              <w:top w:val="single" w:sz="12" w:space="0" w:color="auto"/>
            </w:tcBorders>
            <w:vAlign w:val="center"/>
          </w:tcPr>
          <w:p w14:paraId="1B8E60B2" w14:textId="77777777" w:rsidR="00D170E5" w:rsidRPr="002B55E9" w:rsidRDefault="00EF27AD">
            <w:pPr>
              <w:rPr>
                <w:sz w:val="18"/>
                <w:szCs w:val="18"/>
              </w:rPr>
            </w:pPr>
            <w:r w:rsidRPr="002B55E9">
              <w:rPr>
                <w:sz w:val="18"/>
                <w:szCs w:val="18"/>
              </w:rPr>
              <w:t>禁止新建燃煤发电项目及燃煤锅炉，新建项目禁止配套建设自备燃煤电站。</w:t>
            </w:r>
          </w:p>
        </w:tc>
        <w:tc>
          <w:tcPr>
            <w:tcW w:w="2667" w:type="dxa"/>
            <w:tcBorders>
              <w:top w:val="single" w:sz="12" w:space="0" w:color="auto"/>
            </w:tcBorders>
            <w:vAlign w:val="center"/>
          </w:tcPr>
          <w:p w14:paraId="40204C6E"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w:t>
            </w:r>
            <w:r w:rsidRPr="002B55E9">
              <w:rPr>
                <w:rFonts w:hint="eastAsia"/>
                <w:sz w:val="18"/>
                <w:szCs w:val="18"/>
              </w:rPr>
              <w:t>不涉及锅炉及燃煤电站，依靠园区管道供应蒸汽。</w:t>
            </w:r>
            <w:r w:rsidRPr="002B55E9">
              <w:rPr>
                <w:sz w:val="18"/>
                <w:szCs w:val="18"/>
              </w:rPr>
              <w:t xml:space="preserve"> </w:t>
            </w:r>
          </w:p>
        </w:tc>
      </w:tr>
      <w:tr w:rsidR="00C60999" w:rsidRPr="002B55E9" w14:paraId="25296A01" w14:textId="77777777">
        <w:trPr>
          <w:trHeight w:val="284"/>
          <w:jc w:val="center"/>
        </w:trPr>
        <w:tc>
          <w:tcPr>
            <w:tcW w:w="587" w:type="dxa"/>
            <w:vMerge/>
            <w:vAlign w:val="center"/>
          </w:tcPr>
          <w:p w14:paraId="34328F52" w14:textId="77777777" w:rsidR="00D170E5" w:rsidRPr="002B55E9" w:rsidRDefault="00D170E5">
            <w:pPr>
              <w:jc w:val="center"/>
              <w:rPr>
                <w:sz w:val="18"/>
                <w:szCs w:val="18"/>
              </w:rPr>
            </w:pPr>
          </w:p>
        </w:tc>
        <w:tc>
          <w:tcPr>
            <w:tcW w:w="941" w:type="dxa"/>
            <w:vMerge/>
            <w:vAlign w:val="center"/>
          </w:tcPr>
          <w:p w14:paraId="12B10BD7" w14:textId="77777777" w:rsidR="00D170E5" w:rsidRPr="002B55E9" w:rsidRDefault="00D170E5">
            <w:pPr>
              <w:jc w:val="center"/>
              <w:rPr>
                <w:sz w:val="18"/>
                <w:szCs w:val="18"/>
              </w:rPr>
            </w:pPr>
          </w:p>
        </w:tc>
        <w:tc>
          <w:tcPr>
            <w:tcW w:w="515" w:type="dxa"/>
            <w:vAlign w:val="center"/>
          </w:tcPr>
          <w:p w14:paraId="2D2002C9" w14:textId="77777777" w:rsidR="00D170E5" w:rsidRPr="002B55E9" w:rsidRDefault="00EF27AD">
            <w:pPr>
              <w:jc w:val="center"/>
              <w:rPr>
                <w:sz w:val="18"/>
                <w:szCs w:val="18"/>
              </w:rPr>
            </w:pPr>
            <w:r w:rsidRPr="002B55E9">
              <w:rPr>
                <w:sz w:val="18"/>
                <w:szCs w:val="18"/>
              </w:rPr>
              <w:t>2</w:t>
            </w:r>
          </w:p>
        </w:tc>
        <w:tc>
          <w:tcPr>
            <w:tcW w:w="4927" w:type="dxa"/>
            <w:vAlign w:val="center"/>
          </w:tcPr>
          <w:p w14:paraId="40179E07" w14:textId="77777777" w:rsidR="00D170E5" w:rsidRPr="002B55E9" w:rsidRDefault="00EF27AD">
            <w:pPr>
              <w:rPr>
                <w:sz w:val="18"/>
                <w:szCs w:val="18"/>
              </w:rPr>
            </w:pPr>
            <w:r w:rsidRPr="002B55E9">
              <w:rPr>
                <w:sz w:val="18"/>
                <w:szCs w:val="18"/>
              </w:rPr>
              <w:t>禁止新建钢铁、水泥、玻璃、焦化、有色金属、造纸、氮肥、印染、制革、农药、电镀等高污染项目。</w:t>
            </w:r>
          </w:p>
        </w:tc>
        <w:tc>
          <w:tcPr>
            <w:tcW w:w="2667" w:type="dxa"/>
            <w:vAlign w:val="center"/>
          </w:tcPr>
          <w:p w14:paraId="6516578B" w14:textId="77777777" w:rsidR="00D170E5" w:rsidRPr="002B55E9" w:rsidRDefault="00EF27AD">
            <w:pPr>
              <w:rPr>
                <w:sz w:val="18"/>
                <w:szCs w:val="18"/>
              </w:rPr>
            </w:pPr>
            <w:r w:rsidRPr="002B55E9">
              <w:rPr>
                <w:sz w:val="18"/>
                <w:szCs w:val="18"/>
              </w:rPr>
              <w:t>符合。本项目主要</w:t>
            </w:r>
            <w:r w:rsidRPr="002B55E9">
              <w:rPr>
                <w:rFonts w:hint="eastAsia"/>
                <w:sz w:val="18"/>
                <w:szCs w:val="18"/>
              </w:rPr>
              <w:t>为食品制造业</w:t>
            </w:r>
            <w:r w:rsidRPr="002B55E9">
              <w:rPr>
                <w:sz w:val="18"/>
                <w:szCs w:val="18"/>
              </w:rPr>
              <w:t>，不属于前述高污染项目</w:t>
            </w:r>
          </w:p>
        </w:tc>
      </w:tr>
      <w:tr w:rsidR="00C60999" w:rsidRPr="002B55E9" w14:paraId="197654FD" w14:textId="77777777">
        <w:trPr>
          <w:trHeight w:val="284"/>
          <w:jc w:val="center"/>
        </w:trPr>
        <w:tc>
          <w:tcPr>
            <w:tcW w:w="587" w:type="dxa"/>
            <w:vMerge/>
            <w:vAlign w:val="center"/>
          </w:tcPr>
          <w:p w14:paraId="40D48187" w14:textId="77777777" w:rsidR="00D170E5" w:rsidRPr="002B55E9" w:rsidRDefault="00D170E5">
            <w:pPr>
              <w:jc w:val="center"/>
              <w:rPr>
                <w:sz w:val="18"/>
                <w:szCs w:val="18"/>
              </w:rPr>
            </w:pPr>
          </w:p>
        </w:tc>
        <w:tc>
          <w:tcPr>
            <w:tcW w:w="941" w:type="dxa"/>
            <w:vMerge/>
            <w:vAlign w:val="center"/>
          </w:tcPr>
          <w:p w14:paraId="3379F7BA" w14:textId="77777777" w:rsidR="00D170E5" w:rsidRPr="002B55E9" w:rsidRDefault="00D170E5">
            <w:pPr>
              <w:jc w:val="center"/>
              <w:rPr>
                <w:sz w:val="18"/>
                <w:szCs w:val="18"/>
              </w:rPr>
            </w:pPr>
          </w:p>
        </w:tc>
        <w:tc>
          <w:tcPr>
            <w:tcW w:w="515" w:type="dxa"/>
            <w:vAlign w:val="center"/>
          </w:tcPr>
          <w:p w14:paraId="692172AF" w14:textId="77777777" w:rsidR="00D170E5" w:rsidRPr="002B55E9" w:rsidRDefault="00EF27AD">
            <w:pPr>
              <w:jc w:val="center"/>
              <w:rPr>
                <w:sz w:val="18"/>
                <w:szCs w:val="18"/>
              </w:rPr>
            </w:pPr>
            <w:r w:rsidRPr="002B55E9">
              <w:rPr>
                <w:sz w:val="18"/>
                <w:szCs w:val="18"/>
              </w:rPr>
              <w:t>3</w:t>
            </w:r>
          </w:p>
        </w:tc>
        <w:tc>
          <w:tcPr>
            <w:tcW w:w="4927" w:type="dxa"/>
            <w:vAlign w:val="center"/>
          </w:tcPr>
          <w:p w14:paraId="433994CA" w14:textId="77777777" w:rsidR="00D170E5" w:rsidRPr="002B55E9" w:rsidRDefault="00EF27AD">
            <w:pPr>
              <w:rPr>
                <w:sz w:val="18"/>
                <w:szCs w:val="18"/>
              </w:rPr>
            </w:pPr>
            <w:r w:rsidRPr="002B55E9">
              <w:rPr>
                <w:sz w:val="18"/>
                <w:szCs w:val="18"/>
              </w:rPr>
              <w:t>禁止在长江干线及支流岸线</w:t>
            </w:r>
            <w:r w:rsidRPr="002B55E9">
              <w:rPr>
                <w:sz w:val="18"/>
                <w:szCs w:val="18"/>
              </w:rPr>
              <w:t>1</w:t>
            </w:r>
            <w:r w:rsidRPr="002B55E9">
              <w:rPr>
                <w:sz w:val="18"/>
                <w:szCs w:val="18"/>
              </w:rPr>
              <w:t>公里范围内新建重化工及造纸行业项目，沿江</w:t>
            </w:r>
            <w:r w:rsidRPr="002B55E9">
              <w:rPr>
                <w:sz w:val="18"/>
                <w:szCs w:val="18"/>
              </w:rPr>
              <w:t>15</w:t>
            </w:r>
            <w:r w:rsidRPr="002B55E9">
              <w:rPr>
                <w:sz w:val="18"/>
                <w:szCs w:val="18"/>
              </w:rPr>
              <w:t>公里范围内禁止在园区</w:t>
            </w:r>
            <w:r w:rsidRPr="002B55E9">
              <w:rPr>
                <w:sz w:val="18"/>
                <w:szCs w:val="18"/>
              </w:rPr>
              <w:t xml:space="preserve"> </w:t>
            </w:r>
            <w:r w:rsidRPr="002B55E9">
              <w:rPr>
                <w:sz w:val="18"/>
                <w:szCs w:val="18"/>
              </w:rPr>
              <w:t>外新建化工项目。</w:t>
            </w:r>
          </w:p>
        </w:tc>
        <w:tc>
          <w:tcPr>
            <w:tcW w:w="2667" w:type="dxa"/>
            <w:vAlign w:val="center"/>
          </w:tcPr>
          <w:p w14:paraId="130DF4D5" w14:textId="77777777" w:rsidR="00D170E5" w:rsidRPr="002B55E9" w:rsidRDefault="00EF27AD">
            <w:pPr>
              <w:rPr>
                <w:sz w:val="18"/>
                <w:szCs w:val="18"/>
              </w:rPr>
            </w:pPr>
            <w:r w:rsidRPr="002B55E9">
              <w:rPr>
                <w:sz w:val="18"/>
                <w:szCs w:val="18"/>
              </w:rPr>
              <w:t>符合。本项目厂址位于长江干线及支流岸线</w:t>
            </w:r>
            <w:r w:rsidRPr="002B55E9">
              <w:rPr>
                <w:sz w:val="18"/>
                <w:szCs w:val="18"/>
              </w:rPr>
              <w:t>1</w:t>
            </w:r>
            <w:r w:rsidRPr="002B55E9">
              <w:rPr>
                <w:sz w:val="18"/>
                <w:szCs w:val="18"/>
              </w:rPr>
              <w:t>公里范围外，项目选址于武汉</w:t>
            </w:r>
            <w:r w:rsidRPr="002B55E9">
              <w:rPr>
                <w:rFonts w:hint="eastAsia"/>
                <w:sz w:val="18"/>
                <w:szCs w:val="18"/>
              </w:rPr>
              <w:t>东西湖区新沟镇街食品医疗用地板块</w:t>
            </w:r>
          </w:p>
        </w:tc>
      </w:tr>
      <w:tr w:rsidR="00C60999" w:rsidRPr="002B55E9" w14:paraId="5B627536" w14:textId="77777777">
        <w:trPr>
          <w:trHeight w:val="284"/>
          <w:jc w:val="center"/>
        </w:trPr>
        <w:tc>
          <w:tcPr>
            <w:tcW w:w="587" w:type="dxa"/>
            <w:vMerge/>
            <w:vAlign w:val="center"/>
          </w:tcPr>
          <w:p w14:paraId="6BA73DEE" w14:textId="77777777" w:rsidR="00D170E5" w:rsidRPr="002B55E9" w:rsidRDefault="00D170E5">
            <w:pPr>
              <w:jc w:val="center"/>
              <w:rPr>
                <w:sz w:val="18"/>
                <w:szCs w:val="18"/>
              </w:rPr>
            </w:pPr>
          </w:p>
        </w:tc>
        <w:tc>
          <w:tcPr>
            <w:tcW w:w="941" w:type="dxa"/>
            <w:vMerge/>
            <w:vAlign w:val="center"/>
          </w:tcPr>
          <w:p w14:paraId="09FFD35E" w14:textId="77777777" w:rsidR="00D170E5" w:rsidRPr="002B55E9" w:rsidRDefault="00D170E5">
            <w:pPr>
              <w:jc w:val="center"/>
              <w:rPr>
                <w:sz w:val="18"/>
                <w:szCs w:val="18"/>
              </w:rPr>
            </w:pPr>
          </w:p>
        </w:tc>
        <w:tc>
          <w:tcPr>
            <w:tcW w:w="515" w:type="dxa"/>
            <w:vAlign w:val="center"/>
          </w:tcPr>
          <w:p w14:paraId="365C7306" w14:textId="77777777" w:rsidR="00D170E5" w:rsidRPr="002B55E9" w:rsidRDefault="00EF27AD">
            <w:pPr>
              <w:jc w:val="center"/>
              <w:rPr>
                <w:sz w:val="18"/>
                <w:szCs w:val="18"/>
              </w:rPr>
            </w:pPr>
            <w:r w:rsidRPr="002B55E9">
              <w:rPr>
                <w:sz w:val="18"/>
                <w:szCs w:val="18"/>
              </w:rPr>
              <w:t>4</w:t>
            </w:r>
          </w:p>
        </w:tc>
        <w:tc>
          <w:tcPr>
            <w:tcW w:w="4927" w:type="dxa"/>
            <w:vAlign w:val="center"/>
          </w:tcPr>
          <w:p w14:paraId="13B577A9" w14:textId="77777777" w:rsidR="00D170E5" w:rsidRPr="002B55E9" w:rsidRDefault="00EF27AD">
            <w:pPr>
              <w:rPr>
                <w:sz w:val="18"/>
                <w:szCs w:val="18"/>
              </w:rPr>
            </w:pPr>
            <w:r w:rsidRPr="002B55E9">
              <w:rPr>
                <w:sz w:val="18"/>
                <w:szCs w:val="18"/>
              </w:rPr>
              <w:t>禁止非法开采砂石，禁止新建采石项目以及尾矿库，严格控制改（扩）建尾矿库；严禁在尾矿库下游</w:t>
            </w:r>
            <w:r w:rsidRPr="002B55E9">
              <w:rPr>
                <w:sz w:val="18"/>
                <w:szCs w:val="18"/>
              </w:rPr>
              <w:t>1</w:t>
            </w:r>
            <w:r w:rsidRPr="002B55E9">
              <w:rPr>
                <w:sz w:val="18"/>
                <w:szCs w:val="18"/>
              </w:rPr>
              <w:t>公里范围内新建生产生活设施。</w:t>
            </w:r>
          </w:p>
        </w:tc>
        <w:tc>
          <w:tcPr>
            <w:tcW w:w="2667" w:type="dxa"/>
            <w:vAlign w:val="center"/>
          </w:tcPr>
          <w:p w14:paraId="33BC5700" w14:textId="77777777" w:rsidR="00D170E5" w:rsidRPr="002B55E9" w:rsidRDefault="00EF27AD">
            <w:pPr>
              <w:rPr>
                <w:sz w:val="18"/>
                <w:szCs w:val="18"/>
              </w:rPr>
            </w:pPr>
            <w:r w:rsidRPr="002B55E9">
              <w:rPr>
                <w:sz w:val="18"/>
                <w:szCs w:val="18"/>
              </w:rPr>
              <w:t>符合。本项目不属于采石项目以及尾矿库</w:t>
            </w:r>
          </w:p>
        </w:tc>
      </w:tr>
      <w:tr w:rsidR="00C60999" w:rsidRPr="002B55E9" w14:paraId="0D18422A" w14:textId="77777777">
        <w:trPr>
          <w:trHeight w:val="284"/>
          <w:jc w:val="center"/>
        </w:trPr>
        <w:tc>
          <w:tcPr>
            <w:tcW w:w="587" w:type="dxa"/>
            <w:vMerge/>
            <w:vAlign w:val="center"/>
          </w:tcPr>
          <w:p w14:paraId="6B378D21" w14:textId="77777777" w:rsidR="00D170E5" w:rsidRPr="002B55E9" w:rsidRDefault="00D170E5">
            <w:pPr>
              <w:jc w:val="center"/>
              <w:rPr>
                <w:sz w:val="18"/>
                <w:szCs w:val="18"/>
              </w:rPr>
            </w:pPr>
          </w:p>
        </w:tc>
        <w:tc>
          <w:tcPr>
            <w:tcW w:w="941" w:type="dxa"/>
            <w:vMerge/>
            <w:vAlign w:val="center"/>
          </w:tcPr>
          <w:p w14:paraId="4D2E1623" w14:textId="77777777" w:rsidR="00D170E5" w:rsidRPr="002B55E9" w:rsidRDefault="00D170E5">
            <w:pPr>
              <w:jc w:val="center"/>
              <w:rPr>
                <w:sz w:val="18"/>
                <w:szCs w:val="18"/>
              </w:rPr>
            </w:pPr>
          </w:p>
        </w:tc>
        <w:tc>
          <w:tcPr>
            <w:tcW w:w="515" w:type="dxa"/>
            <w:vAlign w:val="center"/>
          </w:tcPr>
          <w:p w14:paraId="7C140CF6" w14:textId="77777777" w:rsidR="00D170E5" w:rsidRPr="002B55E9" w:rsidRDefault="00EF27AD">
            <w:pPr>
              <w:jc w:val="center"/>
              <w:rPr>
                <w:sz w:val="18"/>
                <w:szCs w:val="18"/>
              </w:rPr>
            </w:pPr>
            <w:r w:rsidRPr="002B55E9">
              <w:rPr>
                <w:sz w:val="18"/>
                <w:szCs w:val="18"/>
              </w:rPr>
              <w:t>5</w:t>
            </w:r>
          </w:p>
        </w:tc>
        <w:tc>
          <w:tcPr>
            <w:tcW w:w="4927" w:type="dxa"/>
            <w:vAlign w:val="center"/>
          </w:tcPr>
          <w:p w14:paraId="284227D0" w14:textId="77777777" w:rsidR="00D170E5" w:rsidRPr="002B55E9" w:rsidRDefault="00EF27AD">
            <w:pPr>
              <w:rPr>
                <w:sz w:val="18"/>
                <w:szCs w:val="18"/>
              </w:rPr>
            </w:pPr>
            <w:r w:rsidRPr="002B55E9">
              <w:rPr>
                <w:sz w:val="18"/>
                <w:szCs w:val="18"/>
              </w:rPr>
              <w:t>禁止在居民区、学校、医疗和养老机构等敏感点周边地块新建高风险行业企业，</w:t>
            </w:r>
            <w:r w:rsidRPr="002B55E9">
              <w:rPr>
                <w:rFonts w:hint="eastAsia"/>
                <w:sz w:val="18"/>
                <w:szCs w:val="18"/>
              </w:rPr>
              <w:t>不</w:t>
            </w:r>
            <w:r w:rsidRPr="002B55E9">
              <w:rPr>
                <w:sz w:val="18"/>
                <w:szCs w:val="18"/>
              </w:rPr>
              <w:t>得在高风险行业企业周边或者不满足土壤环境质量要求的地块上新建居民区、学校、医疗和养老机构。不得在土壤环境质量不满足土壤环境功能区划要求的区域建设新增相应污染物排放的建设项目。</w:t>
            </w:r>
          </w:p>
        </w:tc>
        <w:tc>
          <w:tcPr>
            <w:tcW w:w="2667" w:type="dxa"/>
            <w:vAlign w:val="center"/>
          </w:tcPr>
          <w:p w14:paraId="0CFE2684" w14:textId="77777777" w:rsidR="00D170E5" w:rsidRPr="002B55E9" w:rsidRDefault="00EF27AD">
            <w:pPr>
              <w:rPr>
                <w:sz w:val="18"/>
                <w:szCs w:val="18"/>
              </w:rPr>
            </w:pPr>
            <w:r w:rsidRPr="002B55E9">
              <w:rPr>
                <w:sz w:val="18"/>
                <w:szCs w:val="18"/>
              </w:rPr>
              <w:t>符合。</w:t>
            </w:r>
            <w:r w:rsidRPr="002B55E9">
              <w:rPr>
                <w:rFonts w:hint="eastAsia"/>
                <w:sz w:val="18"/>
                <w:szCs w:val="18"/>
              </w:rPr>
              <w:t>项目属于食品制造业，不属于高风险行业。</w:t>
            </w:r>
            <w:r w:rsidRPr="002B55E9">
              <w:rPr>
                <w:sz w:val="18"/>
                <w:szCs w:val="18"/>
              </w:rPr>
              <w:t>项目所在地块土壤环境质量满足土壤环境功能区划要求</w:t>
            </w:r>
          </w:p>
        </w:tc>
      </w:tr>
      <w:tr w:rsidR="00C60999" w:rsidRPr="002B55E9" w14:paraId="5A2A84BF" w14:textId="77777777">
        <w:trPr>
          <w:trHeight w:val="284"/>
          <w:jc w:val="center"/>
        </w:trPr>
        <w:tc>
          <w:tcPr>
            <w:tcW w:w="587" w:type="dxa"/>
            <w:vMerge/>
            <w:vAlign w:val="center"/>
          </w:tcPr>
          <w:p w14:paraId="76AEFF2D" w14:textId="77777777" w:rsidR="00D170E5" w:rsidRPr="002B55E9" w:rsidRDefault="00D170E5">
            <w:pPr>
              <w:jc w:val="center"/>
              <w:rPr>
                <w:sz w:val="18"/>
                <w:szCs w:val="18"/>
              </w:rPr>
            </w:pPr>
          </w:p>
        </w:tc>
        <w:tc>
          <w:tcPr>
            <w:tcW w:w="941" w:type="dxa"/>
            <w:vMerge/>
            <w:vAlign w:val="center"/>
          </w:tcPr>
          <w:p w14:paraId="32804AD9" w14:textId="77777777" w:rsidR="00D170E5" w:rsidRPr="002B55E9" w:rsidRDefault="00D170E5">
            <w:pPr>
              <w:jc w:val="center"/>
              <w:rPr>
                <w:sz w:val="18"/>
                <w:szCs w:val="18"/>
              </w:rPr>
            </w:pPr>
          </w:p>
        </w:tc>
        <w:tc>
          <w:tcPr>
            <w:tcW w:w="515" w:type="dxa"/>
            <w:vAlign w:val="center"/>
          </w:tcPr>
          <w:p w14:paraId="7EC43714" w14:textId="77777777" w:rsidR="00D170E5" w:rsidRPr="002B55E9" w:rsidRDefault="00EF27AD">
            <w:pPr>
              <w:jc w:val="center"/>
              <w:rPr>
                <w:sz w:val="18"/>
                <w:szCs w:val="18"/>
              </w:rPr>
            </w:pPr>
            <w:r w:rsidRPr="002B55E9">
              <w:rPr>
                <w:sz w:val="18"/>
                <w:szCs w:val="18"/>
              </w:rPr>
              <w:t>6</w:t>
            </w:r>
          </w:p>
        </w:tc>
        <w:tc>
          <w:tcPr>
            <w:tcW w:w="4927" w:type="dxa"/>
            <w:vAlign w:val="center"/>
          </w:tcPr>
          <w:p w14:paraId="4881E8B6" w14:textId="77777777" w:rsidR="00D170E5" w:rsidRPr="002B55E9" w:rsidRDefault="00EF27AD">
            <w:pPr>
              <w:rPr>
                <w:sz w:val="18"/>
                <w:szCs w:val="18"/>
              </w:rPr>
            </w:pPr>
            <w:r w:rsidRPr="002B55E9">
              <w:rPr>
                <w:sz w:val="18"/>
                <w:szCs w:val="18"/>
              </w:rPr>
              <w:t>禁止建设向水质良好水体或者湖泊水库等封闭水体排污的项目，禁止在水域规划控制范围内建设有污染的项目。</w:t>
            </w:r>
          </w:p>
        </w:tc>
        <w:tc>
          <w:tcPr>
            <w:tcW w:w="2667" w:type="dxa"/>
            <w:vAlign w:val="center"/>
          </w:tcPr>
          <w:p w14:paraId="3AC95E11" w14:textId="77777777" w:rsidR="00D170E5" w:rsidRPr="002B55E9" w:rsidRDefault="00EF27AD">
            <w:pPr>
              <w:rPr>
                <w:sz w:val="18"/>
                <w:szCs w:val="18"/>
              </w:rPr>
            </w:pPr>
            <w:r w:rsidRPr="002B55E9">
              <w:rPr>
                <w:sz w:val="18"/>
                <w:szCs w:val="18"/>
              </w:rPr>
              <w:t>符合。本项目污水</w:t>
            </w:r>
            <w:r w:rsidRPr="002B55E9">
              <w:rPr>
                <w:rFonts w:hint="eastAsia"/>
                <w:sz w:val="18"/>
                <w:szCs w:val="18"/>
              </w:rPr>
              <w:t>依托</w:t>
            </w:r>
            <w:r w:rsidRPr="002B55E9">
              <w:rPr>
                <w:sz w:val="18"/>
                <w:szCs w:val="18"/>
              </w:rPr>
              <w:t>佛山市</w:t>
            </w:r>
            <w:r w:rsidRPr="002B55E9">
              <w:rPr>
                <w:rFonts w:hint="eastAsia"/>
                <w:sz w:val="18"/>
                <w:szCs w:val="18"/>
              </w:rPr>
              <w:t>海天</w:t>
            </w:r>
            <w:r w:rsidRPr="002B55E9">
              <w:rPr>
                <w:sz w:val="18"/>
                <w:szCs w:val="18"/>
              </w:rPr>
              <w:t>（</w:t>
            </w:r>
            <w:r w:rsidRPr="002B55E9">
              <w:rPr>
                <w:rFonts w:hint="eastAsia"/>
                <w:sz w:val="18"/>
                <w:szCs w:val="18"/>
              </w:rPr>
              <w:t>武汉</w:t>
            </w:r>
            <w:r w:rsidRPr="002B55E9">
              <w:rPr>
                <w:sz w:val="18"/>
                <w:szCs w:val="18"/>
              </w:rPr>
              <w:t>）</w:t>
            </w:r>
            <w:r w:rsidRPr="002B55E9">
              <w:rPr>
                <w:rFonts w:hint="eastAsia"/>
                <w:sz w:val="18"/>
                <w:szCs w:val="18"/>
              </w:rPr>
              <w:t>调味食品</w:t>
            </w:r>
            <w:r w:rsidRPr="002B55E9">
              <w:rPr>
                <w:sz w:val="18"/>
                <w:szCs w:val="18"/>
              </w:rPr>
              <w:t>有限公司污水处理站处理达标后经市政污水管网排入</w:t>
            </w:r>
            <w:r w:rsidRPr="002B55E9">
              <w:rPr>
                <w:rFonts w:hint="eastAsia"/>
                <w:sz w:val="18"/>
                <w:szCs w:val="18"/>
              </w:rPr>
              <w:t>东西湖污水处理厂</w:t>
            </w:r>
            <w:r w:rsidRPr="002B55E9">
              <w:rPr>
                <w:sz w:val="18"/>
                <w:szCs w:val="18"/>
              </w:rPr>
              <w:t>进一步处理，尾水排入</w:t>
            </w:r>
            <w:r w:rsidRPr="002B55E9">
              <w:rPr>
                <w:rFonts w:hint="eastAsia"/>
                <w:sz w:val="18"/>
                <w:szCs w:val="18"/>
              </w:rPr>
              <w:t>府河</w:t>
            </w:r>
          </w:p>
        </w:tc>
      </w:tr>
      <w:tr w:rsidR="00C60999" w:rsidRPr="002B55E9" w14:paraId="56F525A7" w14:textId="77777777">
        <w:trPr>
          <w:trHeight w:val="284"/>
          <w:jc w:val="center"/>
        </w:trPr>
        <w:tc>
          <w:tcPr>
            <w:tcW w:w="587" w:type="dxa"/>
            <w:vMerge/>
            <w:vAlign w:val="center"/>
          </w:tcPr>
          <w:p w14:paraId="2C3373AC" w14:textId="77777777" w:rsidR="00D170E5" w:rsidRPr="002B55E9" w:rsidRDefault="00D170E5">
            <w:pPr>
              <w:jc w:val="center"/>
              <w:rPr>
                <w:sz w:val="18"/>
                <w:szCs w:val="18"/>
              </w:rPr>
            </w:pPr>
          </w:p>
        </w:tc>
        <w:tc>
          <w:tcPr>
            <w:tcW w:w="941" w:type="dxa"/>
            <w:vMerge/>
            <w:vAlign w:val="center"/>
          </w:tcPr>
          <w:p w14:paraId="4CE9509F" w14:textId="77777777" w:rsidR="00D170E5" w:rsidRPr="002B55E9" w:rsidRDefault="00D170E5">
            <w:pPr>
              <w:jc w:val="center"/>
              <w:rPr>
                <w:sz w:val="18"/>
                <w:szCs w:val="18"/>
              </w:rPr>
            </w:pPr>
          </w:p>
        </w:tc>
        <w:tc>
          <w:tcPr>
            <w:tcW w:w="515" w:type="dxa"/>
            <w:vAlign w:val="center"/>
          </w:tcPr>
          <w:p w14:paraId="2DC6B403" w14:textId="77777777" w:rsidR="00D170E5" w:rsidRPr="002B55E9" w:rsidRDefault="00EF27AD">
            <w:pPr>
              <w:jc w:val="center"/>
              <w:rPr>
                <w:sz w:val="18"/>
                <w:szCs w:val="18"/>
              </w:rPr>
            </w:pPr>
            <w:r w:rsidRPr="002B55E9">
              <w:rPr>
                <w:sz w:val="18"/>
                <w:szCs w:val="18"/>
              </w:rPr>
              <w:t>7</w:t>
            </w:r>
          </w:p>
        </w:tc>
        <w:tc>
          <w:tcPr>
            <w:tcW w:w="4927" w:type="dxa"/>
            <w:vAlign w:val="center"/>
          </w:tcPr>
          <w:p w14:paraId="3AF49F2C" w14:textId="77777777" w:rsidR="00D170E5" w:rsidRPr="002B55E9" w:rsidRDefault="00EF27AD">
            <w:pPr>
              <w:rPr>
                <w:sz w:val="18"/>
                <w:szCs w:val="18"/>
              </w:rPr>
            </w:pPr>
            <w:r w:rsidRPr="002B55E9">
              <w:rPr>
                <w:sz w:val="18"/>
                <w:szCs w:val="18"/>
              </w:rPr>
              <w:t>禁止规模以下生猪养殖；禁止在中心城区湖泊进行渔业养殖以及在非中心城区湖泊围网、围栏、网箱养殖和投施肥（粪）养殖，禁止养殖珍珠。</w:t>
            </w:r>
          </w:p>
        </w:tc>
        <w:tc>
          <w:tcPr>
            <w:tcW w:w="2667" w:type="dxa"/>
            <w:vAlign w:val="center"/>
          </w:tcPr>
          <w:p w14:paraId="558B2AC8" w14:textId="77777777" w:rsidR="00D170E5" w:rsidRPr="002B55E9" w:rsidRDefault="00EF27AD">
            <w:pPr>
              <w:rPr>
                <w:sz w:val="18"/>
                <w:szCs w:val="18"/>
              </w:rPr>
            </w:pPr>
            <w:r w:rsidRPr="002B55E9">
              <w:rPr>
                <w:sz w:val="18"/>
                <w:szCs w:val="18"/>
              </w:rPr>
              <w:t>符合。本项目主要进行</w:t>
            </w:r>
            <w:r w:rsidRPr="002B55E9">
              <w:rPr>
                <w:rFonts w:hint="eastAsia"/>
                <w:sz w:val="18"/>
                <w:szCs w:val="18"/>
              </w:rPr>
              <w:t>食品制造业</w:t>
            </w:r>
            <w:r w:rsidRPr="002B55E9">
              <w:rPr>
                <w:sz w:val="18"/>
                <w:szCs w:val="18"/>
              </w:rPr>
              <w:t>，不属于养殖企业</w:t>
            </w:r>
          </w:p>
        </w:tc>
      </w:tr>
      <w:tr w:rsidR="00C60999" w:rsidRPr="002B55E9" w14:paraId="2C3A85E9" w14:textId="77777777">
        <w:trPr>
          <w:trHeight w:val="284"/>
          <w:jc w:val="center"/>
        </w:trPr>
        <w:tc>
          <w:tcPr>
            <w:tcW w:w="587" w:type="dxa"/>
            <w:vMerge/>
            <w:vAlign w:val="center"/>
          </w:tcPr>
          <w:p w14:paraId="15B26032" w14:textId="77777777" w:rsidR="00D170E5" w:rsidRPr="002B55E9" w:rsidRDefault="00D170E5">
            <w:pPr>
              <w:jc w:val="center"/>
              <w:rPr>
                <w:sz w:val="18"/>
                <w:szCs w:val="18"/>
              </w:rPr>
            </w:pPr>
          </w:p>
        </w:tc>
        <w:tc>
          <w:tcPr>
            <w:tcW w:w="941" w:type="dxa"/>
            <w:vMerge/>
            <w:vAlign w:val="center"/>
          </w:tcPr>
          <w:p w14:paraId="7721208C" w14:textId="77777777" w:rsidR="00D170E5" w:rsidRPr="002B55E9" w:rsidRDefault="00D170E5">
            <w:pPr>
              <w:jc w:val="center"/>
              <w:rPr>
                <w:sz w:val="18"/>
                <w:szCs w:val="18"/>
              </w:rPr>
            </w:pPr>
          </w:p>
        </w:tc>
        <w:tc>
          <w:tcPr>
            <w:tcW w:w="515" w:type="dxa"/>
            <w:vAlign w:val="center"/>
          </w:tcPr>
          <w:p w14:paraId="4CEA9883" w14:textId="77777777" w:rsidR="00D170E5" w:rsidRPr="002B55E9" w:rsidRDefault="00EF27AD">
            <w:pPr>
              <w:jc w:val="center"/>
              <w:rPr>
                <w:sz w:val="18"/>
                <w:szCs w:val="18"/>
              </w:rPr>
            </w:pPr>
            <w:r w:rsidRPr="002B55E9">
              <w:rPr>
                <w:sz w:val="18"/>
                <w:szCs w:val="18"/>
              </w:rPr>
              <w:t>8</w:t>
            </w:r>
          </w:p>
        </w:tc>
        <w:tc>
          <w:tcPr>
            <w:tcW w:w="4927" w:type="dxa"/>
            <w:vAlign w:val="center"/>
          </w:tcPr>
          <w:p w14:paraId="5EE9CAF4" w14:textId="77777777" w:rsidR="00D170E5" w:rsidRPr="002B55E9" w:rsidRDefault="00EF27AD">
            <w:pPr>
              <w:rPr>
                <w:sz w:val="18"/>
                <w:szCs w:val="18"/>
              </w:rPr>
            </w:pPr>
            <w:r w:rsidRPr="002B55E9">
              <w:rPr>
                <w:sz w:val="18"/>
                <w:szCs w:val="18"/>
              </w:rPr>
              <w:t>禁止使用汽油、柴油等污染水体燃料的船舶在湖泊水域范围内开展游乐、运动等水上活动以及在中心城区湖泊和具有饮用水水源功能的湖泊水库内行驶。</w:t>
            </w:r>
          </w:p>
        </w:tc>
        <w:tc>
          <w:tcPr>
            <w:tcW w:w="2667" w:type="dxa"/>
            <w:vAlign w:val="center"/>
          </w:tcPr>
          <w:p w14:paraId="4A1BEC06" w14:textId="77777777" w:rsidR="00D170E5" w:rsidRPr="002B55E9" w:rsidRDefault="00EF27AD">
            <w:pPr>
              <w:rPr>
                <w:sz w:val="18"/>
                <w:szCs w:val="18"/>
              </w:rPr>
            </w:pPr>
            <w:r w:rsidRPr="002B55E9">
              <w:rPr>
                <w:sz w:val="18"/>
                <w:szCs w:val="18"/>
              </w:rPr>
              <w:t>符合。本项目主要进行</w:t>
            </w:r>
            <w:r w:rsidRPr="002B55E9">
              <w:rPr>
                <w:rFonts w:hint="eastAsia"/>
                <w:sz w:val="18"/>
                <w:szCs w:val="18"/>
              </w:rPr>
              <w:t>调味品生产</w:t>
            </w:r>
            <w:r w:rsidRPr="002B55E9">
              <w:rPr>
                <w:sz w:val="18"/>
                <w:szCs w:val="18"/>
              </w:rPr>
              <w:t>，不涉及船舶</w:t>
            </w:r>
          </w:p>
        </w:tc>
      </w:tr>
      <w:tr w:rsidR="00C60999" w:rsidRPr="002B55E9" w14:paraId="6399491F" w14:textId="77777777">
        <w:trPr>
          <w:trHeight w:val="284"/>
          <w:jc w:val="center"/>
        </w:trPr>
        <w:tc>
          <w:tcPr>
            <w:tcW w:w="587" w:type="dxa"/>
            <w:vMerge/>
            <w:vAlign w:val="center"/>
          </w:tcPr>
          <w:p w14:paraId="5C300C6A" w14:textId="77777777" w:rsidR="00D170E5" w:rsidRPr="002B55E9" w:rsidRDefault="00D170E5">
            <w:pPr>
              <w:jc w:val="center"/>
              <w:rPr>
                <w:sz w:val="18"/>
                <w:szCs w:val="18"/>
              </w:rPr>
            </w:pPr>
          </w:p>
        </w:tc>
        <w:tc>
          <w:tcPr>
            <w:tcW w:w="941" w:type="dxa"/>
            <w:vMerge/>
            <w:vAlign w:val="center"/>
          </w:tcPr>
          <w:p w14:paraId="3A59375E" w14:textId="77777777" w:rsidR="00D170E5" w:rsidRPr="002B55E9" w:rsidRDefault="00D170E5">
            <w:pPr>
              <w:jc w:val="center"/>
              <w:rPr>
                <w:sz w:val="18"/>
                <w:szCs w:val="18"/>
              </w:rPr>
            </w:pPr>
          </w:p>
        </w:tc>
        <w:tc>
          <w:tcPr>
            <w:tcW w:w="515" w:type="dxa"/>
            <w:vAlign w:val="center"/>
          </w:tcPr>
          <w:p w14:paraId="0BADEA77" w14:textId="77777777" w:rsidR="00D170E5" w:rsidRPr="002B55E9" w:rsidRDefault="00EF27AD">
            <w:pPr>
              <w:jc w:val="center"/>
              <w:rPr>
                <w:sz w:val="18"/>
                <w:szCs w:val="18"/>
              </w:rPr>
            </w:pPr>
            <w:r w:rsidRPr="002B55E9">
              <w:rPr>
                <w:sz w:val="18"/>
                <w:szCs w:val="18"/>
              </w:rPr>
              <w:t>9</w:t>
            </w:r>
          </w:p>
        </w:tc>
        <w:tc>
          <w:tcPr>
            <w:tcW w:w="4927" w:type="dxa"/>
            <w:vAlign w:val="center"/>
          </w:tcPr>
          <w:p w14:paraId="2A089E7D" w14:textId="77777777" w:rsidR="00D170E5" w:rsidRPr="002B55E9" w:rsidRDefault="00EF27AD">
            <w:pPr>
              <w:rPr>
                <w:sz w:val="18"/>
                <w:szCs w:val="18"/>
              </w:rPr>
            </w:pPr>
            <w:r w:rsidRPr="002B55E9">
              <w:rPr>
                <w:sz w:val="18"/>
                <w:szCs w:val="18"/>
              </w:rPr>
              <w:t>禁止违法生产、销售、使用剧毒、高毒、高残留农药和重金属、持久性有机污染物等有毒有害物质超标的肥料、土壤改良剂或者添加物。严禁将城镇生活垃圾、污泥</w:t>
            </w:r>
            <w:r w:rsidRPr="002B55E9">
              <w:rPr>
                <w:rFonts w:hint="eastAsia"/>
                <w:sz w:val="18"/>
                <w:szCs w:val="18"/>
              </w:rPr>
              <w:t>等</w:t>
            </w:r>
            <w:r w:rsidRPr="002B55E9">
              <w:rPr>
                <w:sz w:val="18"/>
                <w:szCs w:val="18"/>
              </w:rPr>
              <w:t>工业废物直接用作肥料。</w:t>
            </w:r>
          </w:p>
        </w:tc>
        <w:tc>
          <w:tcPr>
            <w:tcW w:w="2667" w:type="dxa"/>
            <w:vAlign w:val="center"/>
          </w:tcPr>
          <w:p w14:paraId="27B4F149" w14:textId="77777777" w:rsidR="00D170E5" w:rsidRPr="002B55E9" w:rsidRDefault="00EF27AD">
            <w:pPr>
              <w:rPr>
                <w:sz w:val="18"/>
                <w:szCs w:val="18"/>
              </w:rPr>
            </w:pPr>
            <w:r w:rsidRPr="002B55E9">
              <w:rPr>
                <w:sz w:val="18"/>
                <w:szCs w:val="18"/>
              </w:rPr>
              <w:t>符合。本项目主要进行</w:t>
            </w:r>
            <w:r w:rsidRPr="002B55E9">
              <w:rPr>
                <w:rFonts w:hint="eastAsia"/>
                <w:sz w:val="18"/>
                <w:szCs w:val="18"/>
              </w:rPr>
              <w:t>调味品生产</w:t>
            </w:r>
            <w:r w:rsidRPr="002B55E9">
              <w:rPr>
                <w:sz w:val="18"/>
                <w:szCs w:val="18"/>
              </w:rPr>
              <w:t>，不涉及肥料、农药、土壤改良剂、添加物的生产、销售或使用</w:t>
            </w:r>
          </w:p>
        </w:tc>
      </w:tr>
      <w:tr w:rsidR="00C60999" w:rsidRPr="002B55E9" w14:paraId="562F92D4" w14:textId="77777777">
        <w:trPr>
          <w:trHeight w:val="284"/>
          <w:jc w:val="center"/>
        </w:trPr>
        <w:tc>
          <w:tcPr>
            <w:tcW w:w="587" w:type="dxa"/>
            <w:vMerge/>
            <w:vAlign w:val="center"/>
          </w:tcPr>
          <w:p w14:paraId="0A970EAB" w14:textId="77777777" w:rsidR="00D170E5" w:rsidRPr="002B55E9" w:rsidRDefault="00D170E5">
            <w:pPr>
              <w:jc w:val="center"/>
              <w:rPr>
                <w:sz w:val="18"/>
                <w:szCs w:val="18"/>
              </w:rPr>
            </w:pPr>
          </w:p>
        </w:tc>
        <w:tc>
          <w:tcPr>
            <w:tcW w:w="941" w:type="dxa"/>
            <w:vMerge w:val="restart"/>
            <w:vAlign w:val="center"/>
          </w:tcPr>
          <w:p w14:paraId="601A78E1"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729C49DE" w14:textId="77777777" w:rsidR="00D170E5" w:rsidRPr="002B55E9" w:rsidRDefault="00EF27AD">
            <w:pPr>
              <w:jc w:val="center"/>
              <w:rPr>
                <w:sz w:val="18"/>
                <w:szCs w:val="18"/>
              </w:rPr>
            </w:pPr>
            <w:r w:rsidRPr="002B55E9">
              <w:rPr>
                <w:sz w:val="18"/>
                <w:szCs w:val="18"/>
              </w:rPr>
              <w:t>10</w:t>
            </w:r>
          </w:p>
        </w:tc>
        <w:tc>
          <w:tcPr>
            <w:tcW w:w="4927" w:type="dxa"/>
            <w:vAlign w:val="center"/>
          </w:tcPr>
          <w:p w14:paraId="70CACCB2" w14:textId="77777777" w:rsidR="00D170E5" w:rsidRPr="002B55E9" w:rsidRDefault="00EF27AD">
            <w:pPr>
              <w:rPr>
                <w:sz w:val="18"/>
                <w:szCs w:val="18"/>
              </w:rPr>
            </w:pPr>
            <w:r w:rsidRPr="002B55E9">
              <w:rPr>
                <w:sz w:val="18"/>
                <w:szCs w:val="18"/>
              </w:rPr>
              <w:t>严格控制除武汉化工区外的石化、化工等高污染项目建设。</w:t>
            </w:r>
          </w:p>
        </w:tc>
        <w:tc>
          <w:tcPr>
            <w:tcW w:w="2667" w:type="dxa"/>
            <w:vAlign w:val="center"/>
          </w:tcPr>
          <w:p w14:paraId="2F1BBD07"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，位于武汉</w:t>
            </w:r>
            <w:r w:rsidRPr="002B55E9">
              <w:rPr>
                <w:rFonts w:hint="eastAsia"/>
                <w:sz w:val="18"/>
                <w:szCs w:val="18"/>
              </w:rPr>
              <w:t>东西湖区新沟镇街食品医疗用地板块</w:t>
            </w:r>
            <w:r w:rsidRPr="002B55E9">
              <w:rPr>
                <w:sz w:val="18"/>
                <w:szCs w:val="18"/>
              </w:rPr>
              <w:t>，不属于前述高污染项目</w:t>
            </w:r>
          </w:p>
        </w:tc>
      </w:tr>
      <w:tr w:rsidR="00C60999" w:rsidRPr="002B55E9" w14:paraId="71E8801F" w14:textId="77777777">
        <w:trPr>
          <w:trHeight w:val="284"/>
          <w:jc w:val="center"/>
        </w:trPr>
        <w:tc>
          <w:tcPr>
            <w:tcW w:w="587" w:type="dxa"/>
            <w:vMerge/>
            <w:vAlign w:val="center"/>
          </w:tcPr>
          <w:p w14:paraId="7A20AE52" w14:textId="77777777" w:rsidR="00D170E5" w:rsidRPr="002B55E9" w:rsidRDefault="00D170E5">
            <w:pPr>
              <w:jc w:val="center"/>
              <w:rPr>
                <w:sz w:val="18"/>
                <w:szCs w:val="18"/>
              </w:rPr>
            </w:pPr>
          </w:p>
        </w:tc>
        <w:tc>
          <w:tcPr>
            <w:tcW w:w="941" w:type="dxa"/>
            <w:vMerge/>
            <w:vAlign w:val="center"/>
          </w:tcPr>
          <w:p w14:paraId="52CC81CA" w14:textId="77777777" w:rsidR="00D170E5" w:rsidRPr="002B55E9" w:rsidRDefault="00D170E5">
            <w:pPr>
              <w:jc w:val="center"/>
              <w:rPr>
                <w:sz w:val="18"/>
                <w:szCs w:val="18"/>
              </w:rPr>
            </w:pPr>
          </w:p>
        </w:tc>
        <w:tc>
          <w:tcPr>
            <w:tcW w:w="515" w:type="dxa"/>
            <w:vAlign w:val="center"/>
          </w:tcPr>
          <w:p w14:paraId="0A9C01EC" w14:textId="77777777" w:rsidR="00D170E5" w:rsidRPr="002B55E9" w:rsidRDefault="00EF27AD">
            <w:pPr>
              <w:jc w:val="center"/>
              <w:rPr>
                <w:sz w:val="18"/>
                <w:szCs w:val="18"/>
              </w:rPr>
            </w:pPr>
            <w:r w:rsidRPr="002B55E9">
              <w:rPr>
                <w:sz w:val="18"/>
                <w:szCs w:val="18"/>
              </w:rPr>
              <w:t>11</w:t>
            </w:r>
          </w:p>
        </w:tc>
        <w:tc>
          <w:tcPr>
            <w:tcW w:w="4927" w:type="dxa"/>
            <w:vAlign w:val="center"/>
          </w:tcPr>
          <w:p w14:paraId="1E025E8D" w14:textId="77777777" w:rsidR="00D170E5" w:rsidRPr="002B55E9" w:rsidRDefault="00EF27AD">
            <w:pPr>
              <w:rPr>
                <w:sz w:val="18"/>
                <w:szCs w:val="18"/>
              </w:rPr>
            </w:pPr>
            <w:r w:rsidRPr="002B55E9">
              <w:rPr>
                <w:sz w:val="18"/>
                <w:szCs w:val="18"/>
              </w:rPr>
              <w:t>不得在中心城区内扩建燃煤设施。</w:t>
            </w:r>
          </w:p>
        </w:tc>
        <w:tc>
          <w:tcPr>
            <w:tcW w:w="2667" w:type="dxa"/>
            <w:vAlign w:val="center"/>
          </w:tcPr>
          <w:p w14:paraId="5BF21A51" w14:textId="77777777" w:rsidR="00D170E5" w:rsidRPr="002B55E9" w:rsidRDefault="00EF27AD">
            <w:pPr>
              <w:rPr>
                <w:sz w:val="18"/>
                <w:szCs w:val="18"/>
              </w:rPr>
            </w:pPr>
            <w:r w:rsidRPr="002B55E9">
              <w:rPr>
                <w:sz w:val="18"/>
                <w:szCs w:val="18"/>
              </w:rPr>
              <w:t>符合。本项目主要进行</w:t>
            </w:r>
            <w:r w:rsidRPr="002B55E9">
              <w:rPr>
                <w:rFonts w:hint="eastAsia"/>
                <w:sz w:val="18"/>
                <w:szCs w:val="18"/>
              </w:rPr>
              <w:t>调味品生产，不涉及燃煤设施</w:t>
            </w:r>
          </w:p>
        </w:tc>
      </w:tr>
      <w:tr w:rsidR="00C60999" w:rsidRPr="002B55E9" w14:paraId="5B70EFF3" w14:textId="77777777">
        <w:trPr>
          <w:trHeight w:val="284"/>
          <w:jc w:val="center"/>
        </w:trPr>
        <w:tc>
          <w:tcPr>
            <w:tcW w:w="587" w:type="dxa"/>
            <w:vMerge/>
            <w:vAlign w:val="center"/>
          </w:tcPr>
          <w:p w14:paraId="7F881846" w14:textId="77777777" w:rsidR="00D170E5" w:rsidRPr="002B55E9" w:rsidRDefault="00D170E5">
            <w:pPr>
              <w:jc w:val="center"/>
              <w:rPr>
                <w:sz w:val="18"/>
                <w:szCs w:val="18"/>
              </w:rPr>
            </w:pPr>
          </w:p>
        </w:tc>
        <w:tc>
          <w:tcPr>
            <w:tcW w:w="941" w:type="dxa"/>
            <w:vMerge/>
            <w:vAlign w:val="center"/>
          </w:tcPr>
          <w:p w14:paraId="23182EBE" w14:textId="77777777" w:rsidR="00D170E5" w:rsidRPr="002B55E9" w:rsidRDefault="00D170E5">
            <w:pPr>
              <w:jc w:val="center"/>
              <w:rPr>
                <w:sz w:val="18"/>
                <w:szCs w:val="18"/>
              </w:rPr>
            </w:pPr>
          </w:p>
        </w:tc>
        <w:tc>
          <w:tcPr>
            <w:tcW w:w="515" w:type="dxa"/>
            <w:vAlign w:val="center"/>
          </w:tcPr>
          <w:p w14:paraId="71C5E57E" w14:textId="77777777" w:rsidR="00D170E5" w:rsidRPr="002B55E9" w:rsidRDefault="00EF27AD">
            <w:pPr>
              <w:jc w:val="center"/>
              <w:rPr>
                <w:sz w:val="18"/>
                <w:szCs w:val="18"/>
              </w:rPr>
            </w:pPr>
            <w:r w:rsidRPr="002B55E9">
              <w:rPr>
                <w:sz w:val="18"/>
                <w:szCs w:val="18"/>
              </w:rPr>
              <w:t>12</w:t>
            </w:r>
          </w:p>
        </w:tc>
        <w:tc>
          <w:tcPr>
            <w:tcW w:w="4927" w:type="dxa"/>
            <w:vAlign w:val="center"/>
          </w:tcPr>
          <w:p w14:paraId="50021500" w14:textId="77777777" w:rsidR="00D170E5" w:rsidRPr="002B55E9" w:rsidRDefault="00EF27AD">
            <w:pPr>
              <w:rPr>
                <w:sz w:val="18"/>
                <w:szCs w:val="18"/>
              </w:rPr>
            </w:pPr>
            <w:r w:rsidRPr="002B55E9">
              <w:rPr>
                <w:sz w:val="18"/>
                <w:szCs w:val="18"/>
              </w:rPr>
              <w:t>不得在工业园区外新（改、扩）建工业项目。不得在未完成淘汰任务的地区和企业新（改、</w:t>
            </w:r>
            <w:r w:rsidRPr="002B55E9">
              <w:rPr>
                <w:rFonts w:hint="eastAsia"/>
                <w:sz w:val="18"/>
                <w:szCs w:val="18"/>
              </w:rPr>
              <w:t>扩</w:t>
            </w:r>
            <w:r w:rsidRPr="002B55E9">
              <w:rPr>
                <w:sz w:val="18"/>
                <w:szCs w:val="18"/>
              </w:rPr>
              <w:t>）建相关行业项目，逾期未完成重点行业清洁化改造工作的区域，不得建设除民生项目和节能减排项目以外的项目。</w:t>
            </w:r>
          </w:p>
        </w:tc>
        <w:tc>
          <w:tcPr>
            <w:tcW w:w="2667" w:type="dxa"/>
            <w:vAlign w:val="center"/>
          </w:tcPr>
          <w:p w14:paraId="7AEC6F26" w14:textId="77777777" w:rsidR="00D170E5" w:rsidRPr="002B55E9" w:rsidRDefault="00EF27AD">
            <w:pPr>
              <w:rPr>
                <w:sz w:val="18"/>
                <w:szCs w:val="18"/>
              </w:rPr>
            </w:pPr>
            <w:r w:rsidRPr="002B55E9">
              <w:rPr>
                <w:sz w:val="18"/>
                <w:szCs w:val="18"/>
              </w:rPr>
              <w:t>符合。本项目选址位于武武汉</w:t>
            </w:r>
            <w:r w:rsidRPr="002B55E9">
              <w:rPr>
                <w:rFonts w:hint="eastAsia"/>
                <w:sz w:val="18"/>
                <w:szCs w:val="18"/>
              </w:rPr>
              <w:t>东西湖区新沟镇街食品医疗用地板块</w:t>
            </w:r>
            <w:r w:rsidRPr="002B55E9">
              <w:rPr>
                <w:sz w:val="18"/>
                <w:szCs w:val="18"/>
              </w:rPr>
              <w:t>，不属于淘汰落后产能，所在区域无重点行业清洁</w:t>
            </w:r>
            <w:r w:rsidRPr="002B55E9">
              <w:rPr>
                <w:sz w:val="18"/>
                <w:szCs w:val="18"/>
              </w:rPr>
              <w:lastRenderedPageBreak/>
              <w:t>化改造任务</w:t>
            </w:r>
          </w:p>
        </w:tc>
      </w:tr>
      <w:tr w:rsidR="00C60999" w:rsidRPr="002B55E9" w14:paraId="16FDBFDB" w14:textId="77777777">
        <w:trPr>
          <w:trHeight w:val="284"/>
          <w:jc w:val="center"/>
        </w:trPr>
        <w:tc>
          <w:tcPr>
            <w:tcW w:w="587" w:type="dxa"/>
            <w:vMerge/>
            <w:vAlign w:val="center"/>
          </w:tcPr>
          <w:p w14:paraId="16B233E4" w14:textId="77777777" w:rsidR="00D170E5" w:rsidRPr="002B55E9" w:rsidRDefault="00D170E5">
            <w:pPr>
              <w:jc w:val="center"/>
              <w:rPr>
                <w:sz w:val="18"/>
                <w:szCs w:val="18"/>
              </w:rPr>
            </w:pPr>
          </w:p>
        </w:tc>
        <w:tc>
          <w:tcPr>
            <w:tcW w:w="941" w:type="dxa"/>
            <w:vMerge/>
            <w:vAlign w:val="center"/>
          </w:tcPr>
          <w:p w14:paraId="4D7D79E9" w14:textId="77777777" w:rsidR="00D170E5" w:rsidRPr="002B55E9" w:rsidRDefault="00D170E5">
            <w:pPr>
              <w:jc w:val="center"/>
              <w:rPr>
                <w:sz w:val="18"/>
                <w:szCs w:val="18"/>
              </w:rPr>
            </w:pPr>
          </w:p>
        </w:tc>
        <w:tc>
          <w:tcPr>
            <w:tcW w:w="515" w:type="dxa"/>
            <w:vAlign w:val="center"/>
          </w:tcPr>
          <w:p w14:paraId="61BAAF71" w14:textId="77777777" w:rsidR="00D170E5" w:rsidRPr="002B55E9" w:rsidRDefault="00EF27AD">
            <w:pPr>
              <w:jc w:val="center"/>
              <w:rPr>
                <w:sz w:val="18"/>
                <w:szCs w:val="18"/>
              </w:rPr>
            </w:pPr>
            <w:r w:rsidRPr="002B55E9">
              <w:rPr>
                <w:sz w:val="18"/>
                <w:szCs w:val="18"/>
              </w:rPr>
              <w:t>13</w:t>
            </w:r>
          </w:p>
        </w:tc>
        <w:tc>
          <w:tcPr>
            <w:tcW w:w="4927" w:type="dxa"/>
            <w:vAlign w:val="center"/>
          </w:tcPr>
          <w:p w14:paraId="51E96D0C" w14:textId="77777777" w:rsidR="00D170E5" w:rsidRPr="002B55E9" w:rsidRDefault="00EF27AD">
            <w:pPr>
              <w:rPr>
                <w:sz w:val="18"/>
                <w:szCs w:val="18"/>
              </w:rPr>
            </w:pPr>
            <w:r w:rsidRPr="002B55E9">
              <w:rPr>
                <w:sz w:val="18"/>
                <w:szCs w:val="18"/>
              </w:rPr>
              <w:t>不得新（改、扩）建不符合畜牧业发展规划和畜禽养殖污染防治规划的畜禽养殖场（小区）。</w:t>
            </w:r>
          </w:p>
        </w:tc>
        <w:tc>
          <w:tcPr>
            <w:tcW w:w="2667" w:type="dxa"/>
            <w:vAlign w:val="center"/>
          </w:tcPr>
          <w:p w14:paraId="03094DE3"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，不属于畜牧业</w:t>
            </w:r>
          </w:p>
        </w:tc>
      </w:tr>
      <w:tr w:rsidR="00C60999" w:rsidRPr="002B55E9" w14:paraId="2395C4CD" w14:textId="77777777">
        <w:trPr>
          <w:trHeight w:val="284"/>
          <w:jc w:val="center"/>
        </w:trPr>
        <w:tc>
          <w:tcPr>
            <w:tcW w:w="587" w:type="dxa"/>
            <w:vMerge/>
            <w:vAlign w:val="center"/>
          </w:tcPr>
          <w:p w14:paraId="1FB5E57E" w14:textId="77777777" w:rsidR="00D170E5" w:rsidRPr="002B55E9" w:rsidRDefault="00D170E5">
            <w:pPr>
              <w:jc w:val="center"/>
              <w:rPr>
                <w:sz w:val="18"/>
                <w:szCs w:val="18"/>
              </w:rPr>
            </w:pPr>
          </w:p>
        </w:tc>
        <w:tc>
          <w:tcPr>
            <w:tcW w:w="941" w:type="dxa"/>
            <w:vMerge w:val="restart"/>
            <w:vAlign w:val="center"/>
          </w:tcPr>
          <w:p w14:paraId="2031CE58" w14:textId="77777777" w:rsidR="00D170E5" w:rsidRPr="002B55E9" w:rsidRDefault="00EF27AD">
            <w:pPr>
              <w:jc w:val="center"/>
              <w:rPr>
                <w:sz w:val="18"/>
                <w:szCs w:val="18"/>
              </w:rPr>
            </w:pPr>
            <w:r w:rsidRPr="002B55E9">
              <w:rPr>
                <w:sz w:val="18"/>
                <w:szCs w:val="18"/>
              </w:rPr>
              <w:t>不符合空间布局要求活动的退出要求</w:t>
            </w:r>
          </w:p>
        </w:tc>
        <w:tc>
          <w:tcPr>
            <w:tcW w:w="515" w:type="dxa"/>
            <w:vAlign w:val="center"/>
          </w:tcPr>
          <w:p w14:paraId="31C5C8F5" w14:textId="77777777" w:rsidR="00D170E5" w:rsidRPr="002B55E9" w:rsidRDefault="00EF27AD">
            <w:pPr>
              <w:jc w:val="center"/>
              <w:rPr>
                <w:sz w:val="18"/>
                <w:szCs w:val="18"/>
              </w:rPr>
            </w:pPr>
            <w:r w:rsidRPr="002B55E9">
              <w:rPr>
                <w:sz w:val="18"/>
                <w:szCs w:val="18"/>
              </w:rPr>
              <w:t>14</w:t>
            </w:r>
          </w:p>
        </w:tc>
        <w:tc>
          <w:tcPr>
            <w:tcW w:w="4927" w:type="dxa"/>
            <w:vAlign w:val="center"/>
          </w:tcPr>
          <w:p w14:paraId="0BBB2152" w14:textId="77777777" w:rsidR="00D170E5" w:rsidRPr="002B55E9" w:rsidRDefault="00EF27AD">
            <w:pPr>
              <w:rPr>
                <w:sz w:val="18"/>
                <w:szCs w:val="18"/>
              </w:rPr>
            </w:pPr>
            <w:r w:rsidRPr="002B55E9">
              <w:rPr>
                <w:sz w:val="18"/>
                <w:szCs w:val="18"/>
              </w:rPr>
              <w:t>畜禽禁止养殖区内，除因教学、科研、旅游以及其他特殊需要，经区人民政府批准保留外，其余畜禽养殖场（户）限</w:t>
            </w:r>
            <w:r w:rsidRPr="002B55E9">
              <w:rPr>
                <w:sz w:val="18"/>
                <w:szCs w:val="18"/>
              </w:rPr>
              <w:cr/>
            </w:r>
            <w:r w:rsidRPr="002B55E9">
              <w:rPr>
                <w:sz w:val="18"/>
                <w:szCs w:val="18"/>
              </w:rPr>
              <w:t>完成退养。</w:t>
            </w:r>
          </w:p>
        </w:tc>
        <w:tc>
          <w:tcPr>
            <w:tcW w:w="2667" w:type="dxa"/>
            <w:vAlign w:val="center"/>
          </w:tcPr>
          <w:p w14:paraId="24F9F0C0"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，不涉及畜禽养殖</w:t>
            </w:r>
          </w:p>
        </w:tc>
      </w:tr>
      <w:tr w:rsidR="00C60999" w:rsidRPr="002B55E9" w14:paraId="4FE5E7C0" w14:textId="77777777">
        <w:trPr>
          <w:trHeight w:val="284"/>
          <w:jc w:val="center"/>
        </w:trPr>
        <w:tc>
          <w:tcPr>
            <w:tcW w:w="587" w:type="dxa"/>
            <w:vMerge/>
            <w:vAlign w:val="center"/>
          </w:tcPr>
          <w:p w14:paraId="43ABB826" w14:textId="77777777" w:rsidR="00D170E5" w:rsidRPr="002B55E9" w:rsidRDefault="00D170E5">
            <w:pPr>
              <w:jc w:val="center"/>
              <w:rPr>
                <w:sz w:val="18"/>
                <w:szCs w:val="18"/>
              </w:rPr>
            </w:pPr>
          </w:p>
        </w:tc>
        <w:tc>
          <w:tcPr>
            <w:tcW w:w="941" w:type="dxa"/>
            <w:vMerge/>
            <w:vAlign w:val="center"/>
          </w:tcPr>
          <w:p w14:paraId="2DC4752E" w14:textId="77777777" w:rsidR="00D170E5" w:rsidRPr="002B55E9" w:rsidRDefault="00D170E5">
            <w:pPr>
              <w:jc w:val="center"/>
              <w:rPr>
                <w:sz w:val="18"/>
                <w:szCs w:val="18"/>
              </w:rPr>
            </w:pPr>
          </w:p>
        </w:tc>
        <w:tc>
          <w:tcPr>
            <w:tcW w:w="515" w:type="dxa"/>
            <w:vAlign w:val="center"/>
          </w:tcPr>
          <w:p w14:paraId="64D02459" w14:textId="77777777" w:rsidR="00D170E5" w:rsidRPr="002B55E9" w:rsidRDefault="00EF27AD">
            <w:pPr>
              <w:jc w:val="center"/>
              <w:rPr>
                <w:sz w:val="18"/>
                <w:szCs w:val="18"/>
              </w:rPr>
            </w:pPr>
            <w:r w:rsidRPr="002B55E9">
              <w:rPr>
                <w:sz w:val="18"/>
                <w:szCs w:val="18"/>
              </w:rPr>
              <w:t>15</w:t>
            </w:r>
          </w:p>
        </w:tc>
        <w:tc>
          <w:tcPr>
            <w:tcW w:w="4927" w:type="dxa"/>
            <w:vAlign w:val="center"/>
          </w:tcPr>
          <w:p w14:paraId="200F64D8" w14:textId="77777777" w:rsidR="00D170E5" w:rsidRPr="002B55E9" w:rsidRDefault="00EF27AD">
            <w:pPr>
              <w:rPr>
                <w:sz w:val="18"/>
                <w:szCs w:val="18"/>
              </w:rPr>
            </w:pPr>
            <w:r w:rsidRPr="002B55E9">
              <w:rPr>
                <w:sz w:val="18"/>
                <w:szCs w:val="18"/>
              </w:rPr>
              <w:t>三环线内现有污染较重的企业（钢铁、有色金属、造纸、印染、原料药制造、化工、电镀等）实施搬迁改造或者依法关闭。</w:t>
            </w:r>
          </w:p>
        </w:tc>
        <w:tc>
          <w:tcPr>
            <w:tcW w:w="2667" w:type="dxa"/>
            <w:vAlign w:val="center"/>
          </w:tcPr>
          <w:p w14:paraId="099C6546" w14:textId="77777777" w:rsidR="00D170E5" w:rsidRPr="002B55E9" w:rsidRDefault="00EF27AD">
            <w:pPr>
              <w:rPr>
                <w:sz w:val="18"/>
                <w:szCs w:val="18"/>
              </w:rPr>
            </w:pPr>
            <w:r w:rsidRPr="002B55E9">
              <w:rPr>
                <w:sz w:val="18"/>
                <w:szCs w:val="18"/>
              </w:rPr>
              <w:t>符合。本项目选址位于三环线外的武汉</w:t>
            </w:r>
            <w:r w:rsidRPr="002B55E9">
              <w:rPr>
                <w:rFonts w:hint="eastAsia"/>
                <w:sz w:val="18"/>
                <w:szCs w:val="18"/>
              </w:rPr>
              <w:t>东西湖区新沟镇街食品医疗用地板块</w:t>
            </w:r>
          </w:p>
        </w:tc>
      </w:tr>
      <w:tr w:rsidR="00C60999" w:rsidRPr="002B55E9" w14:paraId="5B39F7BB" w14:textId="77777777">
        <w:trPr>
          <w:trHeight w:val="284"/>
          <w:jc w:val="center"/>
        </w:trPr>
        <w:tc>
          <w:tcPr>
            <w:tcW w:w="587" w:type="dxa"/>
            <w:vMerge/>
            <w:vAlign w:val="center"/>
          </w:tcPr>
          <w:p w14:paraId="41F888DE" w14:textId="77777777" w:rsidR="00D170E5" w:rsidRPr="002B55E9" w:rsidRDefault="00D170E5">
            <w:pPr>
              <w:jc w:val="center"/>
              <w:rPr>
                <w:sz w:val="18"/>
                <w:szCs w:val="18"/>
              </w:rPr>
            </w:pPr>
          </w:p>
        </w:tc>
        <w:tc>
          <w:tcPr>
            <w:tcW w:w="941" w:type="dxa"/>
            <w:vMerge/>
            <w:vAlign w:val="center"/>
          </w:tcPr>
          <w:p w14:paraId="76A77780" w14:textId="77777777" w:rsidR="00D170E5" w:rsidRPr="002B55E9" w:rsidRDefault="00D170E5">
            <w:pPr>
              <w:jc w:val="center"/>
              <w:rPr>
                <w:sz w:val="18"/>
                <w:szCs w:val="18"/>
              </w:rPr>
            </w:pPr>
          </w:p>
        </w:tc>
        <w:tc>
          <w:tcPr>
            <w:tcW w:w="515" w:type="dxa"/>
            <w:vAlign w:val="center"/>
          </w:tcPr>
          <w:p w14:paraId="11A054F3" w14:textId="77777777" w:rsidR="00D170E5" w:rsidRPr="002B55E9" w:rsidRDefault="00EF27AD">
            <w:pPr>
              <w:jc w:val="center"/>
              <w:rPr>
                <w:sz w:val="18"/>
                <w:szCs w:val="18"/>
              </w:rPr>
            </w:pPr>
            <w:r w:rsidRPr="002B55E9">
              <w:rPr>
                <w:sz w:val="18"/>
                <w:szCs w:val="18"/>
              </w:rPr>
              <w:t>16</w:t>
            </w:r>
          </w:p>
        </w:tc>
        <w:tc>
          <w:tcPr>
            <w:tcW w:w="4927" w:type="dxa"/>
            <w:vAlign w:val="center"/>
          </w:tcPr>
          <w:p w14:paraId="4EE7B409" w14:textId="77777777" w:rsidR="00D170E5" w:rsidRPr="002B55E9" w:rsidRDefault="00EF27AD">
            <w:pPr>
              <w:rPr>
                <w:sz w:val="18"/>
                <w:szCs w:val="18"/>
              </w:rPr>
            </w:pPr>
            <w:r w:rsidRPr="002B55E9">
              <w:rPr>
                <w:sz w:val="18"/>
                <w:szCs w:val="18"/>
              </w:rPr>
              <w:t>新城区建成区范围内</w:t>
            </w:r>
            <w:r w:rsidRPr="002B55E9">
              <w:rPr>
                <w:sz w:val="18"/>
                <w:szCs w:val="18"/>
              </w:rPr>
              <w:t>20</w:t>
            </w:r>
            <w:r w:rsidRPr="002B55E9">
              <w:rPr>
                <w:sz w:val="18"/>
                <w:szCs w:val="18"/>
              </w:rPr>
              <w:t>蒸吨</w:t>
            </w:r>
            <w:r w:rsidRPr="002B55E9">
              <w:rPr>
                <w:sz w:val="18"/>
                <w:szCs w:val="18"/>
              </w:rPr>
              <w:t>/</w:t>
            </w:r>
            <w:r w:rsidRPr="002B55E9">
              <w:rPr>
                <w:sz w:val="18"/>
                <w:szCs w:val="18"/>
              </w:rPr>
              <w:t>小时及以下的燃煤锅炉应分阶段淘汰或者改造。</w:t>
            </w:r>
          </w:p>
        </w:tc>
        <w:tc>
          <w:tcPr>
            <w:tcW w:w="2667" w:type="dxa"/>
            <w:vAlign w:val="center"/>
          </w:tcPr>
          <w:p w14:paraId="29F29B3B" w14:textId="77777777" w:rsidR="00D170E5" w:rsidRPr="002B55E9" w:rsidRDefault="00EF27AD">
            <w:pPr>
              <w:rPr>
                <w:sz w:val="18"/>
                <w:szCs w:val="18"/>
              </w:rPr>
            </w:pPr>
            <w:r w:rsidRPr="002B55E9">
              <w:rPr>
                <w:sz w:val="18"/>
                <w:szCs w:val="18"/>
              </w:rPr>
              <w:t>符合。</w:t>
            </w:r>
            <w:r w:rsidRPr="002B55E9">
              <w:rPr>
                <w:rFonts w:hint="eastAsia"/>
                <w:sz w:val="18"/>
                <w:szCs w:val="18"/>
              </w:rPr>
              <w:t>本项目不涉及锅炉</w:t>
            </w:r>
          </w:p>
        </w:tc>
      </w:tr>
      <w:tr w:rsidR="00C60999" w:rsidRPr="002B55E9" w14:paraId="51D93D58" w14:textId="77777777">
        <w:trPr>
          <w:trHeight w:val="284"/>
          <w:jc w:val="center"/>
        </w:trPr>
        <w:tc>
          <w:tcPr>
            <w:tcW w:w="587" w:type="dxa"/>
            <w:vMerge w:val="restart"/>
            <w:vAlign w:val="center"/>
          </w:tcPr>
          <w:p w14:paraId="59E19DD8" w14:textId="77777777" w:rsidR="00D170E5" w:rsidRPr="002B55E9" w:rsidRDefault="00EF27AD">
            <w:pPr>
              <w:jc w:val="center"/>
              <w:rPr>
                <w:sz w:val="18"/>
                <w:szCs w:val="18"/>
              </w:rPr>
            </w:pPr>
            <w:r w:rsidRPr="002B55E9">
              <w:rPr>
                <w:sz w:val="18"/>
                <w:szCs w:val="18"/>
              </w:rPr>
              <w:t>污染物排放管控</w:t>
            </w:r>
          </w:p>
        </w:tc>
        <w:tc>
          <w:tcPr>
            <w:tcW w:w="941" w:type="dxa"/>
            <w:vMerge w:val="restart"/>
            <w:vAlign w:val="center"/>
          </w:tcPr>
          <w:p w14:paraId="3F714A4D" w14:textId="77777777" w:rsidR="00D170E5" w:rsidRPr="002B55E9" w:rsidRDefault="00EF27AD">
            <w:pPr>
              <w:jc w:val="center"/>
              <w:rPr>
                <w:sz w:val="18"/>
                <w:szCs w:val="18"/>
              </w:rPr>
            </w:pPr>
            <w:r w:rsidRPr="002B55E9">
              <w:rPr>
                <w:sz w:val="18"/>
                <w:szCs w:val="18"/>
              </w:rPr>
              <w:t>允许排放量要求</w:t>
            </w:r>
          </w:p>
        </w:tc>
        <w:tc>
          <w:tcPr>
            <w:tcW w:w="515" w:type="dxa"/>
            <w:vAlign w:val="center"/>
          </w:tcPr>
          <w:p w14:paraId="783C35D9" w14:textId="77777777" w:rsidR="00D170E5" w:rsidRPr="002B55E9" w:rsidRDefault="00EF27AD">
            <w:pPr>
              <w:jc w:val="center"/>
              <w:rPr>
                <w:sz w:val="18"/>
                <w:szCs w:val="18"/>
              </w:rPr>
            </w:pPr>
            <w:r w:rsidRPr="002B55E9">
              <w:rPr>
                <w:sz w:val="18"/>
                <w:szCs w:val="18"/>
              </w:rPr>
              <w:t>17</w:t>
            </w:r>
          </w:p>
        </w:tc>
        <w:tc>
          <w:tcPr>
            <w:tcW w:w="4927" w:type="dxa"/>
            <w:vAlign w:val="center"/>
          </w:tcPr>
          <w:p w14:paraId="38EAC9C8" w14:textId="77777777" w:rsidR="00D170E5" w:rsidRPr="002B55E9" w:rsidRDefault="00EF27AD">
            <w:pPr>
              <w:rPr>
                <w:sz w:val="18"/>
                <w:szCs w:val="18"/>
              </w:rPr>
            </w:pPr>
            <w:r w:rsidRPr="002B55E9">
              <w:rPr>
                <w:sz w:val="18"/>
                <w:szCs w:val="18"/>
              </w:rPr>
              <w:t>到</w:t>
            </w:r>
            <w:r w:rsidRPr="002B55E9">
              <w:rPr>
                <w:sz w:val="18"/>
                <w:szCs w:val="18"/>
              </w:rPr>
              <w:t>2030</w:t>
            </w:r>
            <w:r w:rsidRPr="002B55E9">
              <w:rPr>
                <w:sz w:val="18"/>
                <w:szCs w:val="18"/>
              </w:rPr>
              <w:t>年，全市城镇生活污水处理规模提高到</w:t>
            </w:r>
            <w:r w:rsidRPr="002B55E9">
              <w:rPr>
                <w:sz w:val="18"/>
                <w:szCs w:val="18"/>
              </w:rPr>
              <w:t>511.5</w:t>
            </w:r>
            <w:r w:rsidRPr="002B55E9">
              <w:rPr>
                <w:sz w:val="18"/>
                <w:szCs w:val="18"/>
              </w:rPr>
              <w:t>万吨</w:t>
            </w:r>
            <w:r w:rsidRPr="002B55E9">
              <w:rPr>
                <w:sz w:val="18"/>
                <w:szCs w:val="18"/>
              </w:rPr>
              <w:t>/</w:t>
            </w:r>
            <w:r w:rsidRPr="002B55E9">
              <w:rPr>
                <w:sz w:val="18"/>
                <w:szCs w:val="18"/>
              </w:rPr>
              <w:t>日，中心城区城镇污水收集处理率达到</w:t>
            </w:r>
            <w:r w:rsidRPr="002B55E9">
              <w:rPr>
                <w:sz w:val="18"/>
                <w:szCs w:val="18"/>
              </w:rPr>
              <w:t xml:space="preserve"> 100%</w:t>
            </w:r>
            <w:r w:rsidRPr="002B55E9">
              <w:rPr>
                <w:sz w:val="18"/>
                <w:szCs w:val="18"/>
              </w:rPr>
              <w:t>，新城</w:t>
            </w:r>
            <w:r w:rsidRPr="002B55E9">
              <w:rPr>
                <w:sz w:val="18"/>
                <w:szCs w:val="18"/>
              </w:rPr>
              <w:cr/>
            </w:r>
            <w:r w:rsidRPr="002B55E9">
              <w:rPr>
                <w:sz w:val="18"/>
                <w:szCs w:val="18"/>
              </w:rPr>
              <w:t>城镇污水收集处理率达到</w:t>
            </w:r>
            <w:r w:rsidRPr="002B55E9">
              <w:rPr>
                <w:sz w:val="18"/>
                <w:szCs w:val="18"/>
              </w:rPr>
              <w:t>90%</w:t>
            </w:r>
            <w:r w:rsidRPr="002B55E9">
              <w:rPr>
                <w:sz w:val="18"/>
                <w:szCs w:val="18"/>
              </w:rPr>
              <w:t>以上。</w:t>
            </w:r>
          </w:p>
        </w:tc>
        <w:tc>
          <w:tcPr>
            <w:tcW w:w="2667" w:type="dxa"/>
            <w:vAlign w:val="center"/>
          </w:tcPr>
          <w:p w14:paraId="224BD28D" w14:textId="77777777" w:rsidR="00D170E5" w:rsidRPr="002B55E9" w:rsidRDefault="00EF27AD">
            <w:pPr>
              <w:rPr>
                <w:sz w:val="18"/>
                <w:szCs w:val="18"/>
              </w:rPr>
            </w:pPr>
            <w:r w:rsidRPr="002B55E9">
              <w:rPr>
                <w:sz w:val="18"/>
                <w:szCs w:val="18"/>
              </w:rPr>
              <w:t>/</w:t>
            </w:r>
          </w:p>
        </w:tc>
      </w:tr>
      <w:tr w:rsidR="00C60999" w:rsidRPr="002B55E9" w14:paraId="3C64E0CA" w14:textId="77777777">
        <w:trPr>
          <w:trHeight w:val="284"/>
          <w:jc w:val="center"/>
        </w:trPr>
        <w:tc>
          <w:tcPr>
            <w:tcW w:w="587" w:type="dxa"/>
            <w:vMerge/>
            <w:vAlign w:val="center"/>
          </w:tcPr>
          <w:p w14:paraId="161335CF" w14:textId="77777777" w:rsidR="00D170E5" w:rsidRPr="002B55E9" w:rsidRDefault="00D170E5">
            <w:pPr>
              <w:jc w:val="center"/>
              <w:rPr>
                <w:sz w:val="18"/>
                <w:szCs w:val="18"/>
              </w:rPr>
            </w:pPr>
          </w:p>
        </w:tc>
        <w:tc>
          <w:tcPr>
            <w:tcW w:w="941" w:type="dxa"/>
            <w:vMerge/>
            <w:vAlign w:val="center"/>
          </w:tcPr>
          <w:p w14:paraId="7A03FBB2" w14:textId="77777777" w:rsidR="00D170E5" w:rsidRPr="002B55E9" w:rsidRDefault="00D170E5">
            <w:pPr>
              <w:jc w:val="center"/>
              <w:rPr>
                <w:sz w:val="18"/>
                <w:szCs w:val="18"/>
              </w:rPr>
            </w:pPr>
          </w:p>
        </w:tc>
        <w:tc>
          <w:tcPr>
            <w:tcW w:w="515" w:type="dxa"/>
            <w:vAlign w:val="center"/>
          </w:tcPr>
          <w:p w14:paraId="05DBD008" w14:textId="77777777" w:rsidR="00D170E5" w:rsidRPr="002B55E9" w:rsidRDefault="00EF27AD">
            <w:pPr>
              <w:jc w:val="center"/>
              <w:rPr>
                <w:sz w:val="18"/>
                <w:szCs w:val="18"/>
              </w:rPr>
            </w:pPr>
            <w:r w:rsidRPr="002B55E9">
              <w:rPr>
                <w:sz w:val="18"/>
                <w:szCs w:val="18"/>
              </w:rPr>
              <w:t>18</w:t>
            </w:r>
          </w:p>
        </w:tc>
        <w:tc>
          <w:tcPr>
            <w:tcW w:w="4927" w:type="dxa"/>
            <w:vAlign w:val="center"/>
          </w:tcPr>
          <w:p w14:paraId="5CC879D4" w14:textId="77777777" w:rsidR="00D170E5" w:rsidRPr="002B55E9" w:rsidRDefault="00EF27AD">
            <w:pPr>
              <w:rPr>
                <w:sz w:val="18"/>
                <w:szCs w:val="18"/>
              </w:rPr>
            </w:pPr>
            <w:r w:rsidRPr="002B55E9">
              <w:rPr>
                <w:sz w:val="18"/>
                <w:szCs w:val="18"/>
              </w:rPr>
              <w:t>规模化畜禽养殖场（小区）必须满足畜禽养殖业污染物排放标准，未达到排放标准的应当依法整治。</w:t>
            </w:r>
          </w:p>
        </w:tc>
        <w:tc>
          <w:tcPr>
            <w:tcW w:w="2667" w:type="dxa"/>
            <w:vAlign w:val="center"/>
          </w:tcPr>
          <w:p w14:paraId="11F69954" w14:textId="77777777" w:rsidR="00D170E5" w:rsidRPr="002B55E9" w:rsidRDefault="00EF27AD">
            <w:pPr>
              <w:rPr>
                <w:sz w:val="18"/>
                <w:szCs w:val="18"/>
              </w:rPr>
            </w:pPr>
            <w:r w:rsidRPr="002B55E9">
              <w:rPr>
                <w:sz w:val="18"/>
                <w:szCs w:val="18"/>
              </w:rPr>
              <w:t>/</w:t>
            </w:r>
          </w:p>
        </w:tc>
      </w:tr>
      <w:tr w:rsidR="00C60999" w:rsidRPr="002B55E9" w14:paraId="52C332C2" w14:textId="77777777">
        <w:trPr>
          <w:trHeight w:val="284"/>
          <w:jc w:val="center"/>
        </w:trPr>
        <w:tc>
          <w:tcPr>
            <w:tcW w:w="587" w:type="dxa"/>
            <w:vMerge/>
            <w:vAlign w:val="center"/>
          </w:tcPr>
          <w:p w14:paraId="051084D8" w14:textId="77777777" w:rsidR="00D170E5" w:rsidRPr="002B55E9" w:rsidRDefault="00D170E5">
            <w:pPr>
              <w:jc w:val="center"/>
              <w:rPr>
                <w:sz w:val="18"/>
                <w:szCs w:val="18"/>
              </w:rPr>
            </w:pPr>
          </w:p>
        </w:tc>
        <w:tc>
          <w:tcPr>
            <w:tcW w:w="941" w:type="dxa"/>
            <w:vMerge/>
            <w:vAlign w:val="center"/>
          </w:tcPr>
          <w:p w14:paraId="65C515AD" w14:textId="77777777" w:rsidR="00D170E5" w:rsidRPr="002B55E9" w:rsidRDefault="00D170E5">
            <w:pPr>
              <w:jc w:val="center"/>
              <w:rPr>
                <w:sz w:val="18"/>
                <w:szCs w:val="18"/>
              </w:rPr>
            </w:pPr>
          </w:p>
        </w:tc>
        <w:tc>
          <w:tcPr>
            <w:tcW w:w="515" w:type="dxa"/>
            <w:vAlign w:val="center"/>
          </w:tcPr>
          <w:p w14:paraId="54DD8B6D" w14:textId="77777777" w:rsidR="00D170E5" w:rsidRPr="002B55E9" w:rsidRDefault="00EF27AD">
            <w:pPr>
              <w:jc w:val="center"/>
              <w:rPr>
                <w:sz w:val="18"/>
                <w:szCs w:val="18"/>
              </w:rPr>
            </w:pPr>
            <w:r w:rsidRPr="002B55E9">
              <w:rPr>
                <w:sz w:val="18"/>
                <w:szCs w:val="18"/>
              </w:rPr>
              <w:t>19</w:t>
            </w:r>
          </w:p>
        </w:tc>
        <w:tc>
          <w:tcPr>
            <w:tcW w:w="4927" w:type="dxa"/>
            <w:vAlign w:val="center"/>
          </w:tcPr>
          <w:p w14:paraId="523ABEEC" w14:textId="77777777" w:rsidR="00D170E5" w:rsidRPr="002B55E9" w:rsidRDefault="00EF27AD">
            <w:pPr>
              <w:rPr>
                <w:sz w:val="18"/>
                <w:szCs w:val="18"/>
              </w:rPr>
            </w:pPr>
            <w:r w:rsidRPr="002B55E9">
              <w:rPr>
                <w:sz w:val="18"/>
                <w:szCs w:val="18"/>
              </w:rPr>
              <w:t>到</w:t>
            </w:r>
            <w:r w:rsidRPr="002B55E9">
              <w:rPr>
                <w:sz w:val="18"/>
                <w:szCs w:val="18"/>
              </w:rPr>
              <w:t>2030</w:t>
            </w:r>
            <w:r w:rsidRPr="002B55E9">
              <w:rPr>
                <w:sz w:val="18"/>
                <w:szCs w:val="18"/>
              </w:rPr>
              <w:t>年，全市污水处理厂污泥无害化处理处置率稳定保持在</w:t>
            </w:r>
            <w:r w:rsidRPr="002B55E9">
              <w:rPr>
                <w:sz w:val="18"/>
                <w:szCs w:val="18"/>
              </w:rPr>
              <w:t>100%</w:t>
            </w:r>
            <w:r w:rsidRPr="002B55E9">
              <w:rPr>
                <w:sz w:val="18"/>
                <w:szCs w:val="18"/>
              </w:rPr>
              <w:t>。</w:t>
            </w:r>
          </w:p>
        </w:tc>
        <w:tc>
          <w:tcPr>
            <w:tcW w:w="2667" w:type="dxa"/>
            <w:vAlign w:val="center"/>
          </w:tcPr>
          <w:p w14:paraId="32BB33E9" w14:textId="77777777" w:rsidR="00D170E5" w:rsidRPr="002B55E9" w:rsidRDefault="00EF27AD">
            <w:pPr>
              <w:rPr>
                <w:sz w:val="18"/>
                <w:szCs w:val="18"/>
              </w:rPr>
            </w:pPr>
            <w:r w:rsidRPr="002B55E9">
              <w:rPr>
                <w:sz w:val="18"/>
                <w:szCs w:val="18"/>
              </w:rPr>
              <w:t>/</w:t>
            </w:r>
          </w:p>
        </w:tc>
      </w:tr>
      <w:tr w:rsidR="00C60999" w:rsidRPr="002B55E9" w14:paraId="4CE67462" w14:textId="77777777">
        <w:trPr>
          <w:trHeight w:val="284"/>
          <w:jc w:val="center"/>
        </w:trPr>
        <w:tc>
          <w:tcPr>
            <w:tcW w:w="587" w:type="dxa"/>
            <w:vMerge/>
            <w:vAlign w:val="center"/>
          </w:tcPr>
          <w:p w14:paraId="257F1066" w14:textId="77777777" w:rsidR="00D170E5" w:rsidRPr="002B55E9" w:rsidRDefault="00D170E5">
            <w:pPr>
              <w:jc w:val="center"/>
              <w:rPr>
                <w:sz w:val="18"/>
                <w:szCs w:val="18"/>
              </w:rPr>
            </w:pPr>
          </w:p>
        </w:tc>
        <w:tc>
          <w:tcPr>
            <w:tcW w:w="941" w:type="dxa"/>
            <w:vMerge/>
            <w:vAlign w:val="center"/>
          </w:tcPr>
          <w:p w14:paraId="16A4DD51" w14:textId="77777777" w:rsidR="00D170E5" w:rsidRPr="002B55E9" w:rsidRDefault="00D170E5">
            <w:pPr>
              <w:jc w:val="center"/>
              <w:rPr>
                <w:sz w:val="18"/>
                <w:szCs w:val="18"/>
              </w:rPr>
            </w:pPr>
          </w:p>
        </w:tc>
        <w:tc>
          <w:tcPr>
            <w:tcW w:w="515" w:type="dxa"/>
            <w:vAlign w:val="center"/>
          </w:tcPr>
          <w:p w14:paraId="4DCB321C" w14:textId="77777777" w:rsidR="00D170E5" w:rsidRPr="002B55E9" w:rsidRDefault="00EF27AD">
            <w:pPr>
              <w:jc w:val="center"/>
              <w:rPr>
                <w:sz w:val="18"/>
                <w:szCs w:val="18"/>
              </w:rPr>
            </w:pPr>
            <w:r w:rsidRPr="002B55E9">
              <w:rPr>
                <w:sz w:val="18"/>
                <w:szCs w:val="18"/>
              </w:rPr>
              <w:t>20</w:t>
            </w:r>
          </w:p>
        </w:tc>
        <w:tc>
          <w:tcPr>
            <w:tcW w:w="4927" w:type="dxa"/>
            <w:vAlign w:val="center"/>
          </w:tcPr>
          <w:p w14:paraId="074E332B" w14:textId="77777777" w:rsidR="00D170E5" w:rsidRPr="002B55E9" w:rsidRDefault="00EF27AD">
            <w:pPr>
              <w:rPr>
                <w:sz w:val="18"/>
                <w:szCs w:val="18"/>
              </w:rPr>
            </w:pPr>
            <w:r w:rsidRPr="002B55E9">
              <w:rPr>
                <w:sz w:val="18"/>
                <w:szCs w:val="18"/>
              </w:rPr>
              <w:t>到</w:t>
            </w:r>
            <w:r w:rsidRPr="002B55E9">
              <w:rPr>
                <w:sz w:val="18"/>
                <w:szCs w:val="18"/>
              </w:rPr>
              <w:t>2030</w:t>
            </w:r>
            <w:r w:rsidRPr="002B55E9">
              <w:rPr>
                <w:sz w:val="18"/>
                <w:szCs w:val="18"/>
              </w:rPr>
              <w:t>年，测土配方施肥技术推广覆盖率达到</w:t>
            </w:r>
            <w:r w:rsidRPr="002B55E9">
              <w:rPr>
                <w:sz w:val="18"/>
                <w:szCs w:val="18"/>
              </w:rPr>
              <w:t>95%</w:t>
            </w:r>
            <w:r w:rsidRPr="002B55E9">
              <w:rPr>
                <w:sz w:val="18"/>
                <w:szCs w:val="18"/>
              </w:rPr>
              <w:t>以上。</w:t>
            </w:r>
          </w:p>
        </w:tc>
        <w:tc>
          <w:tcPr>
            <w:tcW w:w="2667" w:type="dxa"/>
            <w:vAlign w:val="center"/>
          </w:tcPr>
          <w:p w14:paraId="5E0DA7AD" w14:textId="77777777" w:rsidR="00D170E5" w:rsidRPr="002B55E9" w:rsidRDefault="00EF27AD">
            <w:pPr>
              <w:rPr>
                <w:sz w:val="18"/>
                <w:szCs w:val="18"/>
              </w:rPr>
            </w:pPr>
            <w:r w:rsidRPr="002B55E9">
              <w:rPr>
                <w:sz w:val="18"/>
                <w:szCs w:val="18"/>
              </w:rPr>
              <w:t>/</w:t>
            </w:r>
          </w:p>
        </w:tc>
      </w:tr>
      <w:tr w:rsidR="00C60999" w:rsidRPr="002B55E9" w14:paraId="0A0E27FF" w14:textId="77777777">
        <w:trPr>
          <w:trHeight w:val="284"/>
          <w:jc w:val="center"/>
        </w:trPr>
        <w:tc>
          <w:tcPr>
            <w:tcW w:w="587" w:type="dxa"/>
            <w:vMerge/>
            <w:vAlign w:val="center"/>
          </w:tcPr>
          <w:p w14:paraId="400BB9F4" w14:textId="77777777" w:rsidR="00D170E5" w:rsidRPr="002B55E9" w:rsidRDefault="00D170E5">
            <w:pPr>
              <w:jc w:val="center"/>
              <w:rPr>
                <w:sz w:val="18"/>
                <w:szCs w:val="18"/>
              </w:rPr>
            </w:pPr>
          </w:p>
        </w:tc>
        <w:tc>
          <w:tcPr>
            <w:tcW w:w="941" w:type="dxa"/>
            <w:vMerge/>
            <w:vAlign w:val="center"/>
          </w:tcPr>
          <w:p w14:paraId="1CE9A421" w14:textId="77777777" w:rsidR="00D170E5" w:rsidRPr="002B55E9" w:rsidRDefault="00D170E5">
            <w:pPr>
              <w:jc w:val="center"/>
              <w:rPr>
                <w:sz w:val="18"/>
                <w:szCs w:val="18"/>
              </w:rPr>
            </w:pPr>
          </w:p>
        </w:tc>
        <w:tc>
          <w:tcPr>
            <w:tcW w:w="515" w:type="dxa"/>
            <w:vAlign w:val="center"/>
          </w:tcPr>
          <w:p w14:paraId="4A4A3B56" w14:textId="77777777" w:rsidR="00D170E5" w:rsidRPr="002B55E9" w:rsidRDefault="00EF27AD">
            <w:pPr>
              <w:jc w:val="center"/>
              <w:rPr>
                <w:sz w:val="18"/>
                <w:szCs w:val="18"/>
              </w:rPr>
            </w:pPr>
            <w:r w:rsidRPr="002B55E9">
              <w:rPr>
                <w:sz w:val="18"/>
                <w:szCs w:val="18"/>
              </w:rPr>
              <w:t>21</w:t>
            </w:r>
          </w:p>
        </w:tc>
        <w:tc>
          <w:tcPr>
            <w:tcW w:w="4927" w:type="dxa"/>
            <w:vAlign w:val="center"/>
          </w:tcPr>
          <w:p w14:paraId="1CD338AC" w14:textId="77777777" w:rsidR="00D170E5" w:rsidRPr="002B55E9" w:rsidRDefault="00EF27AD">
            <w:pPr>
              <w:rPr>
                <w:sz w:val="18"/>
                <w:szCs w:val="18"/>
              </w:rPr>
            </w:pPr>
            <w:r w:rsidRPr="002B55E9">
              <w:rPr>
                <w:sz w:val="18"/>
                <w:szCs w:val="18"/>
              </w:rPr>
              <w:t>对国控、省控和市控断面超标的河流湖泊，实施超标污染物倍量替代。向不达标水体排污的新（改、扩）建项目，对应的超标污染物实行同水体</w:t>
            </w:r>
            <w:r w:rsidRPr="002B55E9">
              <w:rPr>
                <w:sz w:val="18"/>
                <w:szCs w:val="18"/>
              </w:rPr>
              <w:t>2</w:t>
            </w:r>
            <w:r w:rsidRPr="002B55E9">
              <w:rPr>
                <w:sz w:val="18"/>
                <w:szCs w:val="18"/>
              </w:rPr>
              <w:t>倍减量置换。</w:t>
            </w:r>
          </w:p>
        </w:tc>
        <w:tc>
          <w:tcPr>
            <w:tcW w:w="2667" w:type="dxa"/>
            <w:vAlign w:val="center"/>
          </w:tcPr>
          <w:p w14:paraId="6E31DD92" w14:textId="77777777" w:rsidR="00D170E5" w:rsidRPr="002B55E9" w:rsidRDefault="00EF27AD">
            <w:pPr>
              <w:rPr>
                <w:sz w:val="18"/>
                <w:szCs w:val="18"/>
              </w:rPr>
            </w:pPr>
            <w:r w:rsidRPr="002B55E9">
              <w:rPr>
                <w:sz w:val="18"/>
                <w:szCs w:val="18"/>
              </w:rPr>
              <w:t>符合。本项目污水</w:t>
            </w:r>
            <w:r w:rsidRPr="002B55E9">
              <w:rPr>
                <w:rFonts w:hint="eastAsia"/>
                <w:sz w:val="18"/>
                <w:szCs w:val="18"/>
              </w:rPr>
              <w:t>依托</w:t>
            </w:r>
            <w:r w:rsidRPr="002B55E9">
              <w:rPr>
                <w:sz w:val="18"/>
                <w:szCs w:val="18"/>
              </w:rPr>
              <w:t>佛山市海天（</w:t>
            </w:r>
            <w:r w:rsidRPr="002B55E9">
              <w:rPr>
                <w:rFonts w:hint="eastAsia"/>
                <w:sz w:val="18"/>
                <w:szCs w:val="18"/>
              </w:rPr>
              <w:t>武汉</w:t>
            </w:r>
            <w:r w:rsidRPr="002B55E9">
              <w:rPr>
                <w:sz w:val="18"/>
                <w:szCs w:val="18"/>
              </w:rPr>
              <w:t>）</w:t>
            </w:r>
            <w:r w:rsidRPr="002B55E9">
              <w:rPr>
                <w:rFonts w:hint="eastAsia"/>
                <w:sz w:val="18"/>
                <w:szCs w:val="18"/>
              </w:rPr>
              <w:t>调味</w:t>
            </w:r>
            <w:r w:rsidRPr="002B55E9">
              <w:rPr>
                <w:sz w:val="18"/>
                <w:szCs w:val="18"/>
              </w:rPr>
              <w:t>食品有限公司污水处理站处理达标后经市政污水管网排入</w:t>
            </w:r>
            <w:r w:rsidRPr="002B55E9">
              <w:rPr>
                <w:rFonts w:hint="eastAsia"/>
                <w:sz w:val="18"/>
                <w:szCs w:val="18"/>
              </w:rPr>
              <w:t>东西湖污水处理厂</w:t>
            </w:r>
            <w:r w:rsidRPr="002B55E9">
              <w:rPr>
                <w:sz w:val="18"/>
                <w:szCs w:val="18"/>
              </w:rPr>
              <w:t>进一步处理，尾水排入</w:t>
            </w:r>
            <w:r w:rsidRPr="002B55E9">
              <w:rPr>
                <w:rFonts w:hint="eastAsia"/>
                <w:sz w:val="18"/>
                <w:szCs w:val="18"/>
              </w:rPr>
              <w:t>府河</w:t>
            </w:r>
            <w:r w:rsidRPr="002B55E9">
              <w:rPr>
                <w:sz w:val="18"/>
                <w:szCs w:val="18"/>
              </w:rPr>
              <w:t>，</w:t>
            </w:r>
            <w:r w:rsidRPr="002B55E9">
              <w:rPr>
                <w:rFonts w:hint="eastAsia"/>
                <w:sz w:val="18"/>
                <w:szCs w:val="18"/>
              </w:rPr>
              <w:t>府河</w:t>
            </w:r>
            <w:r w:rsidRPr="002B55E9">
              <w:rPr>
                <w:sz w:val="18"/>
                <w:szCs w:val="18"/>
              </w:rPr>
              <w:t>属于达标水体</w:t>
            </w:r>
            <w:r w:rsidRPr="002B55E9">
              <w:rPr>
                <w:sz w:val="18"/>
                <w:szCs w:val="18"/>
              </w:rPr>
              <w:t xml:space="preserve"> </w:t>
            </w:r>
          </w:p>
        </w:tc>
      </w:tr>
      <w:tr w:rsidR="00C60999" w:rsidRPr="002B55E9" w14:paraId="4DFBB09D" w14:textId="77777777">
        <w:trPr>
          <w:trHeight w:val="284"/>
          <w:jc w:val="center"/>
        </w:trPr>
        <w:tc>
          <w:tcPr>
            <w:tcW w:w="587" w:type="dxa"/>
            <w:vMerge/>
            <w:vAlign w:val="center"/>
          </w:tcPr>
          <w:p w14:paraId="5C212226" w14:textId="77777777" w:rsidR="00D170E5" w:rsidRPr="002B55E9" w:rsidRDefault="00D170E5">
            <w:pPr>
              <w:jc w:val="center"/>
              <w:rPr>
                <w:sz w:val="18"/>
                <w:szCs w:val="18"/>
              </w:rPr>
            </w:pPr>
          </w:p>
        </w:tc>
        <w:tc>
          <w:tcPr>
            <w:tcW w:w="941" w:type="dxa"/>
            <w:vMerge/>
            <w:vAlign w:val="center"/>
          </w:tcPr>
          <w:p w14:paraId="7E27F4B3" w14:textId="77777777" w:rsidR="00D170E5" w:rsidRPr="002B55E9" w:rsidRDefault="00D170E5">
            <w:pPr>
              <w:jc w:val="center"/>
              <w:rPr>
                <w:sz w:val="18"/>
                <w:szCs w:val="18"/>
              </w:rPr>
            </w:pPr>
          </w:p>
        </w:tc>
        <w:tc>
          <w:tcPr>
            <w:tcW w:w="515" w:type="dxa"/>
            <w:vAlign w:val="center"/>
          </w:tcPr>
          <w:p w14:paraId="5DE3829E" w14:textId="77777777" w:rsidR="00D170E5" w:rsidRPr="002B55E9" w:rsidRDefault="00EF27AD">
            <w:pPr>
              <w:jc w:val="center"/>
              <w:rPr>
                <w:sz w:val="18"/>
                <w:szCs w:val="18"/>
              </w:rPr>
            </w:pPr>
            <w:r w:rsidRPr="002B55E9">
              <w:rPr>
                <w:sz w:val="18"/>
                <w:szCs w:val="18"/>
              </w:rPr>
              <w:t>22</w:t>
            </w:r>
          </w:p>
        </w:tc>
        <w:tc>
          <w:tcPr>
            <w:tcW w:w="4927" w:type="dxa"/>
            <w:vAlign w:val="center"/>
          </w:tcPr>
          <w:p w14:paraId="7C16D085" w14:textId="77777777" w:rsidR="00D170E5" w:rsidRPr="002B55E9" w:rsidRDefault="00EF27AD">
            <w:pPr>
              <w:rPr>
                <w:sz w:val="18"/>
                <w:szCs w:val="18"/>
              </w:rPr>
            </w:pPr>
            <w:r w:rsidRPr="002B55E9">
              <w:rPr>
                <w:sz w:val="18"/>
                <w:szCs w:val="18"/>
              </w:rPr>
              <w:t>新增排放二氧化硫、氮氧化物、工业烟（粉）尘和挥发性有机物的项目实施现役源</w:t>
            </w:r>
            <w:r w:rsidRPr="002B55E9">
              <w:rPr>
                <w:sz w:val="18"/>
                <w:szCs w:val="18"/>
              </w:rPr>
              <w:t>2</w:t>
            </w:r>
            <w:r w:rsidRPr="002B55E9">
              <w:rPr>
                <w:sz w:val="18"/>
                <w:szCs w:val="18"/>
              </w:rPr>
              <w:t>倍削减量替代。</w:t>
            </w:r>
          </w:p>
        </w:tc>
        <w:tc>
          <w:tcPr>
            <w:tcW w:w="2667" w:type="dxa"/>
            <w:vAlign w:val="center"/>
          </w:tcPr>
          <w:p w14:paraId="124A7874" w14:textId="77777777" w:rsidR="00D170E5" w:rsidRPr="002B55E9" w:rsidRDefault="00EF27AD">
            <w:pPr>
              <w:rPr>
                <w:sz w:val="18"/>
                <w:szCs w:val="18"/>
              </w:rPr>
            </w:pPr>
            <w:r w:rsidRPr="002B55E9">
              <w:rPr>
                <w:sz w:val="18"/>
                <w:szCs w:val="18"/>
              </w:rPr>
              <w:t>符合。本项目</w:t>
            </w:r>
            <w:r w:rsidRPr="002B55E9">
              <w:rPr>
                <w:rFonts w:hint="eastAsia"/>
                <w:sz w:val="18"/>
                <w:szCs w:val="18"/>
              </w:rPr>
              <w:t>新增的</w:t>
            </w:r>
            <w:r w:rsidRPr="002B55E9">
              <w:rPr>
                <w:sz w:val="18"/>
                <w:szCs w:val="18"/>
              </w:rPr>
              <w:t>挥发性有机物，拟实施</w:t>
            </w:r>
            <w:r w:rsidRPr="002B55E9">
              <w:rPr>
                <w:sz w:val="18"/>
                <w:szCs w:val="18"/>
              </w:rPr>
              <w:t>2</w:t>
            </w:r>
            <w:r w:rsidRPr="002B55E9">
              <w:rPr>
                <w:sz w:val="18"/>
                <w:szCs w:val="18"/>
              </w:rPr>
              <w:t>倍削减量替代</w:t>
            </w:r>
          </w:p>
        </w:tc>
      </w:tr>
      <w:tr w:rsidR="00C60999" w:rsidRPr="002B55E9" w14:paraId="1CCB6E52" w14:textId="77777777">
        <w:trPr>
          <w:trHeight w:val="284"/>
          <w:jc w:val="center"/>
        </w:trPr>
        <w:tc>
          <w:tcPr>
            <w:tcW w:w="587" w:type="dxa"/>
            <w:vMerge/>
            <w:vAlign w:val="center"/>
          </w:tcPr>
          <w:p w14:paraId="4BB352E6" w14:textId="77777777" w:rsidR="00D170E5" w:rsidRPr="002B55E9" w:rsidRDefault="00D170E5">
            <w:pPr>
              <w:jc w:val="center"/>
              <w:rPr>
                <w:sz w:val="18"/>
                <w:szCs w:val="18"/>
              </w:rPr>
            </w:pPr>
          </w:p>
        </w:tc>
        <w:tc>
          <w:tcPr>
            <w:tcW w:w="941" w:type="dxa"/>
            <w:vMerge/>
            <w:vAlign w:val="center"/>
          </w:tcPr>
          <w:p w14:paraId="39800F8E" w14:textId="77777777" w:rsidR="00D170E5" w:rsidRPr="002B55E9" w:rsidRDefault="00D170E5">
            <w:pPr>
              <w:jc w:val="center"/>
              <w:rPr>
                <w:sz w:val="18"/>
                <w:szCs w:val="18"/>
              </w:rPr>
            </w:pPr>
          </w:p>
        </w:tc>
        <w:tc>
          <w:tcPr>
            <w:tcW w:w="515" w:type="dxa"/>
            <w:vAlign w:val="center"/>
          </w:tcPr>
          <w:p w14:paraId="00E197CD" w14:textId="77777777" w:rsidR="00D170E5" w:rsidRPr="002B55E9" w:rsidRDefault="00EF27AD">
            <w:pPr>
              <w:jc w:val="center"/>
              <w:rPr>
                <w:sz w:val="18"/>
                <w:szCs w:val="18"/>
              </w:rPr>
            </w:pPr>
            <w:r w:rsidRPr="002B55E9">
              <w:rPr>
                <w:sz w:val="18"/>
                <w:szCs w:val="18"/>
              </w:rPr>
              <w:t>23</w:t>
            </w:r>
          </w:p>
        </w:tc>
        <w:tc>
          <w:tcPr>
            <w:tcW w:w="4927" w:type="dxa"/>
            <w:vAlign w:val="center"/>
          </w:tcPr>
          <w:p w14:paraId="69894573" w14:textId="77777777" w:rsidR="00D170E5" w:rsidRPr="002B55E9" w:rsidRDefault="00EF27AD">
            <w:pPr>
              <w:rPr>
                <w:sz w:val="18"/>
                <w:szCs w:val="18"/>
              </w:rPr>
            </w:pPr>
            <w:r w:rsidRPr="002B55E9">
              <w:rPr>
                <w:sz w:val="18"/>
                <w:szCs w:val="18"/>
              </w:rPr>
              <w:t>新（改、扩）建石化项目必须将原油加工损失率控制在</w:t>
            </w:r>
            <w:r w:rsidRPr="002B55E9">
              <w:rPr>
                <w:sz w:val="18"/>
                <w:szCs w:val="18"/>
              </w:rPr>
              <w:t>4%</w:t>
            </w:r>
            <w:r w:rsidRPr="002B55E9">
              <w:rPr>
                <w:sz w:val="18"/>
                <w:szCs w:val="18"/>
              </w:rPr>
              <w:t>以内，并配套相应的有机废气治理设施；新（扩）建汽车喷涂车间应当安装废气回收净化装置，有机废气的收集率达到</w:t>
            </w:r>
            <w:r w:rsidRPr="002B55E9">
              <w:rPr>
                <w:sz w:val="18"/>
                <w:szCs w:val="18"/>
              </w:rPr>
              <w:t>90%</w:t>
            </w:r>
            <w:r w:rsidRPr="002B55E9">
              <w:rPr>
                <w:sz w:val="18"/>
                <w:szCs w:val="18"/>
              </w:rPr>
              <w:t>以上，将小型乘用车单位涂装面积的挥发性有机物排放量控制在</w:t>
            </w:r>
            <w:r w:rsidRPr="002B55E9">
              <w:rPr>
                <w:sz w:val="18"/>
                <w:szCs w:val="18"/>
              </w:rPr>
              <w:t>35</w:t>
            </w:r>
            <w:r w:rsidRPr="002B55E9">
              <w:rPr>
                <w:sz w:val="18"/>
                <w:szCs w:val="18"/>
              </w:rPr>
              <w:t>克</w:t>
            </w:r>
            <w:r w:rsidRPr="002B55E9">
              <w:rPr>
                <w:sz w:val="18"/>
                <w:szCs w:val="18"/>
              </w:rPr>
              <w:t>/</w:t>
            </w:r>
            <w:r w:rsidRPr="002B55E9">
              <w:rPr>
                <w:sz w:val="18"/>
                <w:szCs w:val="18"/>
              </w:rPr>
              <w:t>平方米以下；</w:t>
            </w:r>
            <w:r w:rsidRPr="002B55E9">
              <w:rPr>
                <w:sz w:val="18"/>
                <w:szCs w:val="18"/>
              </w:rPr>
              <w:cr/>
            </w:r>
            <w:r w:rsidRPr="002B55E9">
              <w:rPr>
                <w:sz w:val="18"/>
                <w:szCs w:val="18"/>
              </w:rPr>
              <w:t>有垃圾焚烧发电企业实施烟气脱硝提标改造，改造后排放氮氧化物浓度不高于</w:t>
            </w:r>
            <w:r w:rsidRPr="002B55E9">
              <w:rPr>
                <w:sz w:val="18"/>
                <w:szCs w:val="18"/>
              </w:rPr>
              <w:t>100</w:t>
            </w:r>
            <w:r w:rsidRPr="002B55E9">
              <w:rPr>
                <w:sz w:val="18"/>
                <w:szCs w:val="18"/>
              </w:rPr>
              <w:t>毫克</w:t>
            </w:r>
            <w:r w:rsidRPr="002B55E9">
              <w:rPr>
                <w:sz w:val="18"/>
                <w:szCs w:val="18"/>
              </w:rPr>
              <w:t>/</w:t>
            </w:r>
            <w:r w:rsidRPr="002B55E9">
              <w:rPr>
                <w:sz w:val="18"/>
                <w:szCs w:val="18"/>
              </w:rPr>
              <w:t>立方米。</w:t>
            </w:r>
          </w:p>
        </w:tc>
        <w:tc>
          <w:tcPr>
            <w:tcW w:w="2667" w:type="dxa"/>
            <w:vAlign w:val="center"/>
          </w:tcPr>
          <w:p w14:paraId="523A2C89"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，不属于石化项目、垃圾焚烧发电企业，不涉及汽车喷涂</w:t>
            </w:r>
          </w:p>
        </w:tc>
      </w:tr>
      <w:tr w:rsidR="00C60999" w:rsidRPr="002B55E9" w14:paraId="60DD4EEC" w14:textId="77777777">
        <w:trPr>
          <w:trHeight w:val="284"/>
          <w:jc w:val="center"/>
        </w:trPr>
        <w:tc>
          <w:tcPr>
            <w:tcW w:w="587" w:type="dxa"/>
            <w:vMerge/>
            <w:vAlign w:val="center"/>
          </w:tcPr>
          <w:p w14:paraId="4353FE81" w14:textId="77777777" w:rsidR="00D170E5" w:rsidRPr="002B55E9" w:rsidRDefault="00D170E5">
            <w:pPr>
              <w:jc w:val="center"/>
              <w:rPr>
                <w:sz w:val="18"/>
                <w:szCs w:val="18"/>
              </w:rPr>
            </w:pPr>
          </w:p>
        </w:tc>
        <w:tc>
          <w:tcPr>
            <w:tcW w:w="941" w:type="dxa"/>
            <w:vMerge/>
            <w:vAlign w:val="center"/>
          </w:tcPr>
          <w:p w14:paraId="085775FB" w14:textId="77777777" w:rsidR="00D170E5" w:rsidRPr="002B55E9" w:rsidRDefault="00D170E5">
            <w:pPr>
              <w:jc w:val="center"/>
              <w:rPr>
                <w:sz w:val="18"/>
                <w:szCs w:val="18"/>
              </w:rPr>
            </w:pPr>
          </w:p>
        </w:tc>
        <w:tc>
          <w:tcPr>
            <w:tcW w:w="515" w:type="dxa"/>
            <w:vAlign w:val="center"/>
          </w:tcPr>
          <w:p w14:paraId="1E55CCDE" w14:textId="77777777" w:rsidR="00D170E5" w:rsidRPr="002B55E9" w:rsidRDefault="00EF27AD">
            <w:pPr>
              <w:jc w:val="center"/>
              <w:rPr>
                <w:sz w:val="18"/>
                <w:szCs w:val="18"/>
              </w:rPr>
            </w:pPr>
            <w:r w:rsidRPr="002B55E9">
              <w:rPr>
                <w:sz w:val="18"/>
                <w:szCs w:val="18"/>
              </w:rPr>
              <w:t>24</w:t>
            </w:r>
          </w:p>
        </w:tc>
        <w:tc>
          <w:tcPr>
            <w:tcW w:w="4927" w:type="dxa"/>
            <w:vAlign w:val="center"/>
          </w:tcPr>
          <w:p w14:paraId="5CA11A58" w14:textId="77777777" w:rsidR="00D170E5" w:rsidRPr="002B55E9" w:rsidRDefault="00EF27AD">
            <w:pPr>
              <w:rPr>
                <w:sz w:val="18"/>
                <w:szCs w:val="18"/>
              </w:rPr>
            </w:pPr>
            <w:r w:rsidRPr="002B55E9">
              <w:rPr>
                <w:sz w:val="18"/>
                <w:szCs w:val="18"/>
              </w:rPr>
              <w:t>火电、钢铁行业按照相关规定时间要求执行超低排放标准。化工、有色（不含氧化铝）、在用锅炉、炼焦化学工业现有企业执行特别排放限值，其他行业按照国家相关规定执行相应特别排放限值要求。</w:t>
            </w:r>
          </w:p>
        </w:tc>
        <w:tc>
          <w:tcPr>
            <w:tcW w:w="2667" w:type="dxa"/>
            <w:vAlign w:val="center"/>
          </w:tcPr>
          <w:p w14:paraId="2B7C7690"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，不属于火电、钢铁行业</w:t>
            </w:r>
          </w:p>
        </w:tc>
      </w:tr>
      <w:tr w:rsidR="00C60999" w:rsidRPr="002B55E9" w14:paraId="5D91EDD8" w14:textId="77777777">
        <w:trPr>
          <w:trHeight w:val="284"/>
          <w:jc w:val="center"/>
        </w:trPr>
        <w:tc>
          <w:tcPr>
            <w:tcW w:w="587" w:type="dxa"/>
            <w:vMerge/>
            <w:vAlign w:val="center"/>
          </w:tcPr>
          <w:p w14:paraId="2529A10F" w14:textId="77777777" w:rsidR="00D170E5" w:rsidRPr="002B55E9" w:rsidRDefault="00D170E5">
            <w:pPr>
              <w:jc w:val="center"/>
              <w:rPr>
                <w:sz w:val="18"/>
                <w:szCs w:val="18"/>
              </w:rPr>
            </w:pPr>
          </w:p>
        </w:tc>
        <w:tc>
          <w:tcPr>
            <w:tcW w:w="941" w:type="dxa"/>
            <w:vAlign w:val="center"/>
          </w:tcPr>
          <w:p w14:paraId="49147073" w14:textId="77777777" w:rsidR="00D170E5" w:rsidRPr="002B55E9" w:rsidRDefault="00EF27AD">
            <w:pPr>
              <w:jc w:val="center"/>
              <w:rPr>
                <w:sz w:val="18"/>
                <w:szCs w:val="18"/>
              </w:rPr>
            </w:pPr>
            <w:r w:rsidRPr="002B55E9">
              <w:rPr>
                <w:sz w:val="18"/>
                <w:szCs w:val="18"/>
              </w:rPr>
              <w:t>现有源提标升级改造</w:t>
            </w:r>
          </w:p>
        </w:tc>
        <w:tc>
          <w:tcPr>
            <w:tcW w:w="515" w:type="dxa"/>
            <w:vAlign w:val="center"/>
          </w:tcPr>
          <w:p w14:paraId="302AC7DE" w14:textId="77777777" w:rsidR="00D170E5" w:rsidRPr="002B55E9" w:rsidRDefault="00EF27AD">
            <w:pPr>
              <w:jc w:val="center"/>
              <w:rPr>
                <w:sz w:val="18"/>
                <w:szCs w:val="18"/>
              </w:rPr>
            </w:pPr>
            <w:r w:rsidRPr="002B55E9">
              <w:rPr>
                <w:sz w:val="18"/>
                <w:szCs w:val="18"/>
              </w:rPr>
              <w:t>25</w:t>
            </w:r>
          </w:p>
        </w:tc>
        <w:tc>
          <w:tcPr>
            <w:tcW w:w="4927" w:type="dxa"/>
            <w:vAlign w:val="center"/>
          </w:tcPr>
          <w:p w14:paraId="74424C30" w14:textId="77777777" w:rsidR="00D170E5" w:rsidRPr="002B55E9" w:rsidRDefault="00EF27AD">
            <w:pPr>
              <w:rPr>
                <w:sz w:val="18"/>
                <w:szCs w:val="18"/>
              </w:rPr>
            </w:pPr>
            <w:r w:rsidRPr="002B55E9">
              <w:rPr>
                <w:sz w:val="18"/>
                <w:szCs w:val="18"/>
              </w:rPr>
              <w:t>全市新建和现有城镇污水处理设施执行一级</w:t>
            </w:r>
            <w:r w:rsidRPr="002B55E9">
              <w:rPr>
                <w:bCs/>
                <w:sz w:val="18"/>
                <w:szCs w:val="18"/>
              </w:rPr>
              <w:t>A</w:t>
            </w:r>
            <w:r w:rsidRPr="002B55E9">
              <w:rPr>
                <w:sz w:val="18"/>
                <w:szCs w:val="18"/>
              </w:rPr>
              <w:t>排放标准；长江、汉江、府河等重点流域排放废水的工业企业，执行污染物特别排放限值；工业园区应加强中水回用，废水直接排放的，执行城镇污水处理厂一级</w:t>
            </w:r>
            <w:r w:rsidRPr="002B55E9">
              <w:rPr>
                <w:bCs/>
                <w:sz w:val="18"/>
                <w:szCs w:val="18"/>
              </w:rPr>
              <w:t>A</w:t>
            </w:r>
            <w:r w:rsidRPr="002B55E9">
              <w:rPr>
                <w:sz w:val="18"/>
                <w:szCs w:val="18"/>
              </w:rPr>
              <w:t>排放标准或者特殊排放限值中较严标准值。</w:t>
            </w:r>
          </w:p>
        </w:tc>
        <w:tc>
          <w:tcPr>
            <w:tcW w:w="2667" w:type="dxa"/>
            <w:vAlign w:val="center"/>
          </w:tcPr>
          <w:p w14:paraId="2E71C4A6" w14:textId="77777777" w:rsidR="00D170E5" w:rsidRPr="002B55E9" w:rsidRDefault="00EF27AD">
            <w:pPr>
              <w:rPr>
                <w:sz w:val="18"/>
                <w:szCs w:val="18"/>
              </w:rPr>
            </w:pPr>
            <w:r w:rsidRPr="002B55E9">
              <w:rPr>
                <w:sz w:val="18"/>
                <w:szCs w:val="18"/>
              </w:rPr>
              <w:t>符合。本项目属于长江重点流域排放废水的工业企业，项目污水经佛山市海天（</w:t>
            </w:r>
            <w:r w:rsidRPr="002B55E9">
              <w:rPr>
                <w:rFonts w:hint="eastAsia"/>
                <w:sz w:val="18"/>
                <w:szCs w:val="18"/>
              </w:rPr>
              <w:t>武汉</w:t>
            </w:r>
            <w:r w:rsidRPr="002B55E9">
              <w:rPr>
                <w:sz w:val="18"/>
                <w:szCs w:val="18"/>
              </w:rPr>
              <w:t>）</w:t>
            </w:r>
            <w:r w:rsidRPr="002B55E9">
              <w:rPr>
                <w:rFonts w:hint="eastAsia"/>
                <w:sz w:val="18"/>
                <w:szCs w:val="18"/>
              </w:rPr>
              <w:t>调味</w:t>
            </w:r>
            <w:r w:rsidRPr="002B55E9">
              <w:rPr>
                <w:sz w:val="18"/>
                <w:szCs w:val="18"/>
              </w:rPr>
              <w:t>食品有限公司污水处理站处理达标后排入</w:t>
            </w:r>
            <w:r w:rsidRPr="002B55E9">
              <w:rPr>
                <w:rFonts w:hint="eastAsia"/>
                <w:sz w:val="18"/>
                <w:szCs w:val="18"/>
              </w:rPr>
              <w:t>东西湖污水处理厂</w:t>
            </w:r>
            <w:r w:rsidRPr="002B55E9">
              <w:rPr>
                <w:sz w:val="18"/>
                <w:szCs w:val="18"/>
              </w:rPr>
              <w:t>进一步处理，属于间接排放，废水排放执行</w:t>
            </w:r>
            <w:r w:rsidRPr="002B55E9">
              <w:rPr>
                <w:rFonts w:hint="eastAsia"/>
                <w:sz w:val="18"/>
                <w:szCs w:val="18"/>
              </w:rPr>
              <w:t>东西湖污水处理厂</w:t>
            </w:r>
            <w:r w:rsidRPr="002B55E9">
              <w:rPr>
                <w:sz w:val="18"/>
                <w:szCs w:val="18"/>
              </w:rPr>
              <w:t>设计进水水质</w:t>
            </w:r>
            <w:r w:rsidRPr="002B55E9">
              <w:rPr>
                <w:rFonts w:hint="eastAsia"/>
                <w:sz w:val="18"/>
                <w:szCs w:val="18"/>
              </w:rPr>
              <w:t>以及《污水</w:t>
            </w:r>
            <w:r w:rsidRPr="002B55E9">
              <w:rPr>
                <w:sz w:val="18"/>
                <w:szCs w:val="18"/>
              </w:rPr>
              <w:t>综合排放标准</w:t>
            </w:r>
            <w:r w:rsidRPr="002B55E9">
              <w:rPr>
                <w:rFonts w:hint="eastAsia"/>
                <w:sz w:val="18"/>
                <w:szCs w:val="18"/>
              </w:rPr>
              <w:t>》（</w:t>
            </w:r>
            <w:r w:rsidRPr="002B55E9">
              <w:rPr>
                <w:rFonts w:hint="eastAsia"/>
                <w:sz w:val="18"/>
                <w:szCs w:val="18"/>
              </w:rPr>
              <w:t>GB</w:t>
            </w:r>
            <w:r w:rsidRPr="002B55E9">
              <w:rPr>
                <w:sz w:val="18"/>
                <w:szCs w:val="18"/>
              </w:rPr>
              <w:t>8978-1996</w:t>
            </w:r>
            <w:r w:rsidRPr="002B55E9">
              <w:rPr>
                <w:rFonts w:hint="eastAsia"/>
                <w:sz w:val="18"/>
                <w:szCs w:val="18"/>
              </w:rPr>
              <w:t>）中</w:t>
            </w:r>
            <w:r w:rsidRPr="002B55E9">
              <w:rPr>
                <w:sz w:val="18"/>
                <w:szCs w:val="18"/>
              </w:rPr>
              <w:t>表</w:t>
            </w:r>
            <w:r w:rsidRPr="002B55E9">
              <w:rPr>
                <w:rFonts w:hint="eastAsia"/>
                <w:sz w:val="18"/>
                <w:szCs w:val="18"/>
              </w:rPr>
              <w:t>4</w:t>
            </w:r>
            <w:r w:rsidRPr="002B55E9">
              <w:rPr>
                <w:rFonts w:hint="eastAsia"/>
                <w:sz w:val="18"/>
                <w:szCs w:val="18"/>
              </w:rPr>
              <w:t>的</w:t>
            </w:r>
            <w:r w:rsidRPr="002B55E9">
              <w:rPr>
                <w:sz w:val="18"/>
                <w:szCs w:val="18"/>
              </w:rPr>
              <w:t>三级标准。</w:t>
            </w:r>
          </w:p>
        </w:tc>
      </w:tr>
      <w:tr w:rsidR="00C60999" w:rsidRPr="002B55E9" w14:paraId="29775964" w14:textId="77777777">
        <w:trPr>
          <w:trHeight w:val="284"/>
          <w:jc w:val="center"/>
        </w:trPr>
        <w:tc>
          <w:tcPr>
            <w:tcW w:w="587" w:type="dxa"/>
            <w:vMerge w:val="restart"/>
            <w:vAlign w:val="center"/>
          </w:tcPr>
          <w:p w14:paraId="425E53A1" w14:textId="77777777" w:rsidR="00D170E5" w:rsidRPr="002B55E9" w:rsidRDefault="00EF27AD">
            <w:pPr>
              <w:jc w:val="center"/>
              <w:rPr>
                <w:sz w:val="18"/>
                <w:szCs w:val="18"/>
              </w:rPr>
            </w:pPr>
            <w:r w:rsidRPr="002B55E9">
              <w:rPr>
                <w:sz w:val="18"/>
                <w:szCs w:val="18"/>
              </w:rPr>
              <w:t>环境风险防控</w:t>
            </w:r>
          </w:p>
        </w:tc>
        <w:tc>
          <w:tcPr>
            <w:tcW w:w="941" w:type="dxa"/>
            <w:vMerge w:val="restart"/>
            <w:vAlign w:val="center"/>
          </w:tcPr>
          <w:p w14:paraId="37BB315D" w14:textId="77777777" w:rsidR="00D170E5" w:rsidRPr="002B55E9" w:rsidRDefault="00EF27AD">
            <w:pPr>
              <w:jc w:val="center"/>
              <w:rPr>
                <w:sz w:val="18"/>
                <w:szCs w:val="18"/>
              </w:rPr>
            </w:pPr>
            <w:r w:rsidRPr="002B55E9">
              <w:rPr>
                <w:sz w:val="18"/>
                <w:szCs w:val="18"/>
              </w:rPr>
              <w:t>联防联控要求</w:t>
            </w:r>
          </w:p>
        </w:tc>
        <w:tc>
          <w:tcPr>
            <w:tcW w:w="515" w:type="dxa"/>
            <w:vAlign w:val="center"/>
          </w:tcPr>
          <w:p w14:paraId="23618984" w14:textId="77777777" w:rsidR="00D170E5" w:rsidRPr="002B55E9" w:rsidRDefault="00EF27AD">
            <w:pPr>
              <w:jc w:val="center"/>
              <w:rPr>
                <w:sz w:val="18"/>
                <w:szCs w:val="18"/>
              </w:rPr>
            </w:pPr>
            <w:r w:rsidRPr="002B55E9">
              <w:rPr>
                <w:sz w:val="18"/>
                <w:szCs w:val="18"/>
              </w:rPr>
              <w:t>26</w:t>
            </w:r>
          </w:p>
        </w:tc>
        <w:tc>
          <w:tcPr>
            <w:tcW w:w="4927" w:type="dxa"/>
            <w:vAlign w:val="center"/>
          </w:tcPr>
          <w:p w14:paraId="6FE5406D" w14:textId="77777777" w:rsidR="00D170E5" w:rsidRPr="002B55E9" w:rsidRDefault="00EF27AD">
            <w:pPr>
              <w:rPr>
                <w:sz w:val="18"/>
                <w:szCs w:val="18"/>
              </w:rPr>
            </w:pPr>
            <w:r w:rsidRPr="002B55E9">
              <w:rPr>
                <w:sz w:val="18"/>
                <w:szCs w:val="18"/>
              </w:rPr>
              <w:t>健全饮用水水源地风险防范体系，强化预警断面自动监测监控体系，建立</w:t>
            </w:r>
            <w:r w:rsidRPr="002B55E9">
              <w:rPr>
                <w:sz w:val="18"/>
                <w:szCs w:val="18"/>
              </w:rPr>
              <w:t>“</w:t>
            </w:r>
            <w:r w:rsidRPr="002B55E9">
              <w:rPr>
                <w:sz w:val="18"/>
                <w:szCs w:val="18"/>
              </w:rPr>
              <w:t>一源一案</w:t>
            </w:r>
            <w:r w:rsidRPr="002B55E9">
              <w:rPr>
                <w:sz w:val="18"/>
                <w:szCs w:val="18"/>
              </w:rPr>
              <w:t>”</w:t>
            </w:r>
            <w:r w:rsidRPr="002B55E9">
              <w:rPr>
                <w:sz w:val="18"/>
                <w:szCs w:val="18"/>
              </w:rPr>
              <w:t>环境应急预案，完善水源应急响应机制，定期开展应急演练。</w:t>
            </w:r>
          </w:p>
        </w:tc>
        <w:tc>
          <w:tcPr>
            <w:tcW w:w="2667" w:type="dxa"/>
            <w:vAlign w:val="center"/>
          </w:tcPr>
          <w:p w14:paraId="48E58DA2" w14:textId="77777777" w:rsidR="00D170E5" w:rsidRPr="002B55E9" w:rsidRDefault="00EF27AD">
            <w:pPr>
              <w:rPr>
                <w:sz w:val="18"/>
                <w:szCs w:val="18"/>
              </w:rPr>
            </w:pPr>
            <w:r w:rsidRPr="002B55E9">
              <w:rPr>
                <w:sz w:val="18"/>
                <w:szCs w:val="18"/>
              </w:rPr>
              <w:t>/</w:t>
            </w:r>
          </w:p>
        </w:tc>
      </w:tr>
      <w:tr w:rsidR="00C60999" w:rsidRPr="002B55E9" w14:paraId="69FC99E9" w14:textId="77777777">
        <w:trPr>
          <w:trHeight w:val="284"/>
          <w:jc w:val="center"/>
        </w:trPr>
        <w:tc>
          <w:tcPr>
            <w:tcW w:w="587" w:type="dxa"/>
            <w:vMerge/>
            <w:vAlign w:val="center"/>
          </w:tcPr>
          <w:p w14:paraId="62AD2D7D" w14:textId="77777777" w:rsidR="00D170E5" w:rsidRPr="002B55E9" w:rsidRDefault="00D170E5">
            <w:pPr>
              <w:jc w:val="center"/>
              <w:rPr>
                <w:sz w:val="18"/>
                <w:szCs w:val="18"/>
              </w:rPr>
            </w:pPr>
          </w:p>
        </w:tc>
        <w:tc>
          <w:tcPr>
            <w:tcW w:w="941" w:type="dxa"/>
            <w:vMerge/>
            <w:vAlign w:val="center"/>
          </w:tcPr>
          <w:p w14:paraId="28B6FE49" w14:textId="77777777" w:rsidR="00D170E5" w:rsidRPr="002B55E9" w:rsidRDefault="00D170E5">
            <w:pPr>
              <w:jc w:val="center"/>
              <w:rPr>
                <w:sz w:val="18"/>
                <w:szCs w:val="18"/>
              </w:rPr>
            </w:pPr>
          </w:p>
        </w:tc>
        <w:tc>
          <w:tcPr>
            <w:tcW w:w="515" w:type="dxa"/>
            <w:vAlign w:val="center"/>
          </w:tcPr>
          <w:p w14:paraId="0F460340" w14:textId="77777777" w:rsidR="00D170E5" w:rsidRPr="002B55E9" w:rsidRDefault="00EF27AD">
            <w:pPr>
              <w:jc w:val="center"/>
              <w:rPr>
                <w:sz w:val="18"/>
                <w:szCs w:val="18"/>
              </w:rPr>
            </w:pPr>
            <w:r w:rsidRPr="002B55E9">
              <w:rPr>
                <w:sz w:val="18"/>
                <w:szCs w:val="18"/>
              </w:rPr>
              <w:t>27</w:t>
            </w:r>
          </w:p>
        </w:tc>
        <w:tc>
          <w:tcPr>
            <w:tcW w:w="4927" w:type="dxa"/>
            <w:vAlign w:val="center"/>
          </w:tcPr>
          <w:p w14:paraId="0BF761BB" w14:textId="77777777" w:rsidR="00D170E5" w:rsidRPr="002B55E9" w:rsidRDefault="00EF27AD">
            <w:pPr>
              <w:rPr>
                <w:sz w:val="18"/>
                <w:szCs w:val="18"/>
              </w:rPr>
            </w:pPr>
            <w:r w:rsidRPr="002B55E9">
              <w:rPr>
                <w:sz w:val="18"/>
                <w:szCs w:val="18"/>
              </w:rPr>
              <w:t>长江、汉江干流（武汉段）沿岸及饮用水水源保护区周边严格控制石油加工、化学原料和化学制品制造、医药制造、化学纤维制造、有色金属冶炼、纺织印染等项目环境风险，合理布局生产装置及危险化学品仓储等设施。</w:t>
            </w:r>
          </w:p>
        </w:tc>
        <w:tc>
          <w:tcPr>
            <w:tcW w:w="2667" w:type="dxa"/>
            <w:vAlign w:val="center"/>
          </w:tcPr>
          <w:p w14:paraId="2C6CEE3E"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内，不属于长江沿岸及饮用水源保护区范围</w:t>
            </w:r>
          </w:p>
        </w:tc>
      </w:tr>
      <w:tr w:rsidR="00C60999" w:rsidRPr="002B55E9" w14:paraId="0B4AFE30" w14:textId="77777777">
        <w:trPr>
          <w:trHeight w:val="284"/>
          <w:jc w:val="center"/>
        </w:trPr>
        <w:tc>
          <w:tcPr>
            <w:tcW w:w="587" w:type="dxa"/>
            <w:vMerge/>
            <w:vAlign w:val="center"/>
          </w:tcPr>
          <w:p w14:paraId="1AA9743C" w14:textId="77777777" w:rsidR="00D170E5" w:rsidRPr="002B55E9" w:rsidRDefault="00D170E5">
            <w:pPr>
              <w:jc w:val="center"/>
              <w:rPr>
                <w:sz w:val="18"/>
                <w:szCs w:val="18"/>
              </w:rPr>
            </w:pPr>
          </w:p>
        </w:tc>
        <w:tc>
          <w:tcPr>
            <w:tcW w:w="941" w:type="dxa"/>
            <w:vMerge/>
            <w:vAlign w:val="center"/>
          </w:tcPr>
          <w:p w14:paraId="71DCED8C" w14:textId="77777777" w:rsidR="00D170E5" w:rsidRPr="002B55E9" w:rsidRDefault="00D170E5">
            <w:pPr>
              <w:jc w:val="center"/>
              <w:rPr>
                <w:sz w:val="18"/>
                <w:szCs w:val="18"/>
              </w:rPr>
            </w:pPr>
          </w:p>
        </w:tc>
        <w:tc>
          <w:tcPr>
            <w:tcW w:w="515" w:type="dxa"/>
            <w:vAlign w:val="center"/>
          </w:tcPr>
          <w:p w14:paraId="43920633" w14:textId="77777777" w:rsidR="00D170E5" w:rsidRPr="002B55E9" w:rsidRDefault="00EF27AD">
            <w:pPr>
              <w:jc w:val="center"/>
              <w:rPr>
                <w:sz w:val="18"/>
                <w:szCs w:val="18"/>
              </w:rPr>
            </w:pPr>
            <w:r w:rsidRPr="002B55E9">
              <w:rPr>
                <w:sz w:val="18"/>
                <w:szCs w:val="18"/>
              </w:rPr>
              <w:t>28</w:t>
            </w:r>
          </w:p>
        </w:tc>
        <w:tc>
          <w:tcPr>
            <w:tcW w:w="4927" w:type="dxa"/>
            <w:vAlign w:val="center"/>
          </w:tcPr>
          <w:p w14:paraId="5404B38F" w14:textId="77777777" w:rsidR="00D170E5" w:rsidRPr="002B55E9" w:rsidRDefault="00EF27AD">
            <w:pPr>
              <w:rPr>
                <w:sz w:val="18"/>
                <w:szCs w:val="18"/>
              </w:rPr>
            </w:pPr>
            <w:r w:rsidRPr="002B55E9">
              <w:rPr>
                <w:sz w:val="18"/>
                <w:szCs w:val="18"/>
              </w:rPr>
              <w:t>石化生产存贮销售企业和工业园区、矿山开采区、垃圾填埋场等区域应当进行必要的防渗处理。报废矿井、钻井、取水井应当实施封井回填。</w:t>
            </w:r>
          </w:p>
        </w:tc>
        <w:tc>
          <w:tcPr>
            <w:tcW w:w="2667" w:type="dxa"/>
            <w:vAlign w:val="center"/>
          </w:tcPr>
          <w:p w14:paraId="53695767"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w:t>
            </w:r>
            <w:r w:rsidRPr="002B55E9">
              <w:rPr>
                <w:rFonts w:hint="eastAsia"/>
                <w:sz w:val="18"/>
                <w:szCs w:val="18"/>
              </w:rPr>
              <w:t>厂区各生产区按环境影响评价技术导则</w:t>
            </w:r>
            <w:r w:rsidRPr="002B55E9">
              <w:rPr>
                <w:rFonts w:hint="eastAsia"/>
                <w:sz w:val="18"/>
                <w:szCs w:val="18"/>
              </w:rPr>
              <w:t xml:space="preserve">  </w:t>
            </w:r>
            <w:r w:rsidRPr="002B55E9">
              <w:rPr>
                <w:rFonts w:hint="eastAsia"/>
                <w:sz w:val="18"/>
                <w:szCs w:val="18"/>
              </w:rPr>
              <w:t>地下水环境》（</w:t>
            </w:r>
            <w:r w:rsidRPr="002B55E9">
              <w:rPr>
                <w:rFonts w:hint="eastAsia"/>
                <w:sz w:val="18"/>
                <w:szCs w:val="18"/>
              </w:rPr>
              <w:t>HJ 610-2016</w:t>
            </w:r>
            <w:r w:rsidRPr="002B55E9">
              <w:rPr>
                <w:rFonts w:hint="eastAsia"/>
                <w:sz w:val="18"/>
                <w:szCs w:val="18"/>
              </w:rPr>
              <w:t>）的要求进行了分区防渗</w:t>
            </w:r>
          </w:p>
        </w:tc>
      </w:tr>
      <w:tr w:rsidR="00C60999" w:rsidRPr="002B55E9" w14:paraId="27EEA823" w14:textId="77777777">
        <w:trPr>
          <w:trHeight w:val="284"/>
          <w:jc w:val="center"/>
        </w:trPr>
        <w:tc>
          <w:tcPr>
            <w:tcW w:w="587" w:type="dxa"/>
            <w:vMerge w:val="restart"/>
            <w:vAlign w:val="center"/>
          </w:tcPr>
          <w:p w14:paraId="57061CE7" w14:textId="77777777" w:rsidR="00D170E5" w:rsidRPr="002B55E9" w:rsidRDefault="00EF27AD">
            <w:pPr>
              <w:jc w:val="center"/>
              <w:rPr>
                <w:sz w:val="18"/>
                <w:szCs w:val="18"/>
              </w:rPr>
            </w:pPr>
            <w:r w:rsidRPr="002B55E9">
              <w:rPr>
                <w:sz w:val="18"/>
                <w:szCs w:val="18"/>
              </w:rPr>
              <w:lastRenderedPageBreak/>
              <w:t>资源利用效率要求</w:t>
            </w:r>
          </w:p>
        </w:tc>
        <w:tc>
          <w:tcPr>
            <w:tcW w:w="941" w:type="dxa"/>
            <w:vMerge w:val="restart"/>
            <w:vAlign w:val="center"/>
          </w:tcPr>
          <w:p w14:paraId="208F9CDE" w14:textId="77777777" w:rsidR="00D170E5" w:rsidRPr="002B55E9" w:rsidRDefault="00EF27AD">
            <w:pPr>
              <w:jc w:val="center"/>
              <w:rPr>
                <w:sz w:val="18"/>
                <w:szCs w:val="18"/>
              </w:rPr>
            </w:pPr>
            <w:r w:rsidRPr="002B55E9">
              <w:rPr>
                <w:sz w:val="18"/>
                <w:szCs w:val="18"/>
              </w:rPr>
              <w:t>水资源利用总量要求</w:t>
            </w:r>
          </w:p>
        </w:tc>
        <w:tc>
          <w:tcPr>
            <w:tcW w:w="515" w:type="dxa"/>
            <w:vAlign w:val="center"/>
          </w:tcPr>
          <w:p w14:paraId="4081A70C" w14:textId="77777777" w:rsidR="00D170E5" w:rsidRPr="002B55E9" w:rsidRDefault="00EF27AD">
            <w:pPr>
              <w:jc w:val="center"/>
              <w:rPr>
                <w:sz w:val="18"/>
                <w:szCs w:val="18"/>
              </w:rPr>
            </w:pPr>
            <w:r w:rsidRPr="002B55E9">
              <w:rPr>
                <w:sz w:val="18"/>
                <w:szCs w:val="18"/>
              </w:rPr>
              <w:t>29</w:t>
            </w:r>
          </w:p>
        </w:tc>
        <w:tc>
          <w:tcPr>
            <w:tcW w:w="4927" w:type="dxa"/>
            <w:vAlign w:val="center"/>
          </w:tcPr>
          <w:p w14:paraId="48F24C41" w14:textId="77777777" w:rsidR="00D170E5" w:rsidRPr="002B55E9" w:rsidRDefault="00EF27AD">
            <w:pPr>
              <w:rPr>
                <w:sz w:val="18"/>
                <w:szCs w:val="18"/>
              </w:rPr>
            </w:pPr>
            <w:r w:rsidRPr="002B55E9">
              <w:rPr>
                <w:sz w:val="18"/>
                <w:szCs w:val="18"/>
              </w:rPr>
              <w:t>到</w:t>
            </w:r>
            <w:r w:rsidRPr="002B55E9">
              <w:rPr>
                <w:sz w:val="18"/>
                <w:szCs w:val="18"/>
              </w:rPr>
              <w:t>2030</w:t>
            </w:r>
            <w:r w:rsidRPr="002B55E9">
              <w:rPr>
                <w:sz w:val="18"/>
                <w:szCs w:val="18"/>
              </w:rPr>
              <w:t>年，全市用水总量不得超过</w:t>
            </w:r>
            <w:r w:rsidRPr="002B55E9">
              <w:rPr>
                <w:sz w:val="18"/>
                <w:szCs w:val="18"/>
              </w:rPr>
              <w:t>50.30</w:t>
            </w:r>
            <w:r w:rsidRPr="002B55E9">
              <w:rPr>
                <w:sz w:val="18"/>
                <w:szCs w:val="18"/>
              </w:rPr>
              <w:t>亿立方米。取水单位或者个人取水量不得高于核定的取水量。</w:t>
            </w:r>
          </w:p>
        </w:tc>
        <w:tc>
          <w:tcPr>
            <w:tcW w:w="2667" w:type="dxa"/>
            <w:vAlign w:val="center"/>
          </w:tcPr>
          <w:p w14:paraId="12642BBD" w14:textId="77777777" w:rsidR="00D170E5" w:rsidRPr="002B55E9" w:rsidRDefault="00EF27AD">
            <w:pPr>
              <w:rPr>
                <w:sz w:val="18"/>
                <w:szCs w:val="18"/>
              </w:rPr>
            </w:pPr>
            <w:r w:rsidRPr="002B55E9">
              <w:rPr>
                <w:sz w:val="18"/>
                <w:szCs w:val="18"/>
              </w:rPr>
              <w:t>/</w:t>
            </w:r>
          </w:p>
        </w:tc>
      </w:tr>
      <w:tr w:rsidR="00C60999" w:rsidRPr="002B55E9" w14:paraId="62BA9ED7" w14:textId="77777777">
        <w:trPr>
          <w:trHeight w:val="284"/>
          <w:jc w:val="center"/>
        </w:trPr>
        <w:tc>
          <w:tcPr>
            <w:tcW w:w="587" w:type="dxa"/>
            <w:vMerge/>
            <w:vAlign w:val="center"/>
          </w:tcPr>
          <w:p w14:paraId="09B4FC38" w14:textId="77777777" w:rsidR="00D170E5" w:rsidRPr="002B55E9" w:rsidRDefault="00D170E5">
            <w:pPr>
              <w:jc w:val="center"/>
              <w:rPr>
                <w:sz w:val="18"/>
                <w:szCs w:val="18"/>
              </w:rPr>
            </w:pPr>
          </w:p>
        </w:tc>
        <w:tc>
          <w:tcPr>
            <w:tcW w:w="941" w:type="dxa"/>
            <w:vMerge/>
            <w:vAlign w:val="center"/>
          </w:tcPr>
          <w:p w14:paraId="7F3C97FA" w14:textId="77777777" w:rsidR="00D170E5" w:rsidRPr="002B55E9" w:rsidRDefault="00D170E5">
            <w:pPr>
              <w:jc w:val="center"/>
              <w:rPr>
                <w:sz w:val="18"/>
                <w:szCs w:val="18"/>
              </w:rPr>
            </w:pPr>
          </w:p>
        </w:tc>
        <w:tc>
          <w:tcPr>
            <w:tcW w:w="515" w:type="dxa"/>
            <w:vAlign w:val="center"/>
          </w:tcPr>
          <w:p w14:paraId="529F5565" w14:textId="77777777" w:rsidR="00D170E5" w:rsidRPr="002B55E9" w:rsidRDefault="00EF27AD">
            <w:pPr>
              <w:jc w:val="center"/>
              <w:rPr>
                <w:sz w:val="18"/>
                <w:szCs w:val="18"/>
              </w:rPr>
            </w:pPr>
            <w:r w:rsidRPr="002B55E9">
              <w:rPr>
                <w:sz w:val="18"/>
                <w:szCs w:val="18"/>
              </w:rPr>
              <w:t>30</w:t>
            </w:r>
          </w:p>
        </w:tc>
        <w:tc>
          <w:tcPr>
            <w:tcW w:w="4927" w:type="dxa"/>
            <w:vAlign w:val="center"/>
          </w:tcPr>
          <w:p w14:paraId="459BDC08" w14:textId="77777777" w:rsidR="00D170E5" w:rsidRPr="002B55E9" w:rsidRDefault="00EF27AD">
            <w:pPr>
              <w:rPr>
                <w:sz w:val="18"/>
                <w:szCs w:val="18"/>
              </w:rPr>
            </w:pPr>
            <w:r w:rsidRPr="002B55E9">
              <w:rPr>
                <w:sz w:val="18"/>
                <w:szCs w:val="18"/>
              </w:rPr>
              <w:t>到</w:t>
            </w:r>
            <w:r w:rsidRPr="002B55E9">
              <w:rPr>
                <w:sz w:val="18"/>
                <w:szCs w:val="18"/>
              </w:rPr>
              <w:t>2030</w:t>
            </w:r>
            <w:r w:rsidRPr="002B55E9">
              <w:rPr>
                <w:sz w:val="18"/>
                <w:szCs w:val="18"/>
              </w:rPr>
              <w:t>年，万元工业增加值用水量</w:t>
            </w:r>
            <w:r w:rsidRPr="002B55E9">
              <w:rPr>
                <w:sz w:val="18"/>
                <w:szCs w:val="18"/>
              </w:rPr>
              <w:cr/>
            </w:r>
            <w:r w:rsidRPr="002B55E9">
              <w:rPr>
                <w:sz w:val="18"/>
                <w:szCs w:val="18"/>
              </w:rPr>
              <w:t>到</w:t>
            </w:r>
            <w:r w:rsidRPr="002B55E9">
              <w:rPr>
                <w:sz w:val="18"/>
                <w:szCs w:val="18"/>
              </w:rPr>
              <w:t>35</w:t>
            </w:r>
            <w:r w:rsidRPr="002B55E9">
              <w:rPr>
                <w:sz w:val="18"/>
                <w:szCs w:val="18"/>
              </w:rPr>
              <w:t>立方米以下。</w:t>
            </w:r>
          </w:p>
        </w:tc>
        <w:tc>
          <w:tcPr>
            <w:tcW w:w="2667" w:type="dxa"/>
            <w:vAlign w:val="center"/>
          </w:tcPr>
          <w:p w14:paraId="0754FEAB" w14:textId="77777777" w:rsidR="00D170E5" w:rsidRPr="002B55E9" w:rsidRDefault="00EF27AD">
            <w:pPr>
              <w:rPr>
                <w:sz w:val="18"/>
                <w:szCs w:val="18"/>
              </w:rPr>
            </w:pPr>
            <w:r w:rsidRPr="002B55E9">
              <w:rPr>
                <w:sz w:val="18"/>
                <w:szCs w:val="18"/>
              </w:rPr>
              <w:t>/</w:t>
            </w:r>
          </w:p>
        </w:tc>
      </w:tr>
      <w:tr w:rsidR="00C60999" w:rsidRPr="002B55E9" w14:paraId="4D01E300" w14:textId="77777777">
        <w:trPr>
          <w:trHeight w:val="284"/>
          <w:jc w:val="center"/>
        </w:trPr>
        <w:tc>
          <w:tcPr>
            <w:tcW w:w="587" w:type="dxa"/>
            <w:vMerge/>
            <w:vAlign w:val="center"/>
          </w:tcPr>
          <w:p w14:paraId="2C6C8B34" w14:textId="77777777" w:rsidR="00D170E5" w:rsidRPr="002B55E9" w:rsidRDefault="00D170E5">
            <w:pPr>
              <w:jc w:val="center"/>
              <w:rPr>
                <w:sz w:val="18"/>
                <w:szCs w:val="18"/>
              </w:rPr>
            </w:pPr>
          </w:p>
        </w:tc>
        <w:tc>
          <w:tcPr>
            <w:tcW w:w="941" w:type="dxa"/>
            <w:vMerge/>
            <w:vAlign w:val="center"/>
          </w:tcPr>
          <w:p w14:paraId="5B250F59" w14:textId="77777777" w:rsidR="00D170E5" w:rsidRPr="002B55E9" w:rsidRDefault="00D170E5">
            <w:pPr>
              <w:jc w:val="center"/>
              <w:rPr>
                <w:sz w:val="18"/>
                <w:szCs w:val="18"/>
              </w:rPr>
            </w:pPr>
          </w:p>
        </w:tc>
        <w:tc>
          <w:tcPr>
            <w:tcW w:w="515" w:type="dxa"/>
            <w:vAlign w:val="center"/>
          </w:tcPr>
          <w:p w14:paraId="37CAB1C8" w14:textId="77777777" w:rsidR="00D170E5" w:rsidRPr="002B55E9" w:rsidRDefault="00EF27AD">
            <w:pPr>
              <w:jc w:val="center"/>
              <w:rPr>
                <w:sz w:val="18"/>
                <w:szCs w:val="18"/>
              </w:rPr>
            </w:pPr>
            <w:r w:rsidRPr="002B55E9">
              <w:rPr>
                <w:sz w:val="18"/>
                <w:szCs w:val="18"/>
              </w:rPr>
              <w:t>31</w:t>
            </w:r>
          </w:p>
        </w:tc>
        <w:tc>
          <w:tcPr>
            <w:tcW w:w="4927" w:type="dxa"/>
            <w:vAlign w:val="center"/>
          </w:tcPr>
          <w:p w14:paraId="7613276F" w14:textId="77777777" w:rsidR="00D170E5" w:rsidRPr="002B55E9" w:rsidRDefault="00EF27AD">
            <w:pPr>
              <w:rPr>
                <w:sz w:val="18"/>
                <w:szCs w:val="18"/>
              </w:rPr>
            </w:pPr>
            <w:r w:rsidRPr="002B55E9">
              <w:rPr>
                <w:sz w:val="18"/>
                <w:szCs w:val="18"/>
              </w:rPr>
              <w:t>禁止开采深层地下水，控制开采浅层地下水。</w:t>
            </w:r>
          </w:p>
        </w:tc>
        <w:tc>
          <w:tcPr>
            <w:tcW w:w="2667" w:type="dxa"/>
            <w:vAlign w:val="center"/>
          </w:tcPr>
          <w:p w14:paraId="57DCCF19" w14:textId="77777777" w:rsidR="00D170E5" w:rsidRPr="002B55E9" w:rsidRDefault="00EF27AD">
            <w:pPr>
              <w:rPr>
                <w:sz w:val="18"/>
                <w:szCs w:val="18"/>
              </w:rPr>
            </w:pPr>
            <w:r w:rsidRPr="002B55E9">
              <w:rPr>
                <w:sz w:val="18"/>
                <w:szCs w:val="18"/>
              </w:rPr>
              <w:t>符合。本项目使用城市自来水，不涉及深层地下水、浅层地下水开采</w:t>
            </w:r>
          </w:p>
        </w:tc>
      </w:tr>
      <w:tr w:rsidR="00C60999" w:rsidRPr="002B55E9" w14:paraId="3D42E1DE" w14:textId="77777777">
        <w:trPr>
          <w:trHeight w:val="284"/>
          <w:jc w:val="center"/>
        </w:trPr>
        <w:tc>
          <w:tcPr>
            <w:tcW w:w="587" w:type="dxa"/>
            <w:vMerge/>
            <w:vAlign w:val="center"/>
          </w:tcPr>
          <w:p w14:paraId="5C6E4693" w14:textId="77777777" w:rsidR="00D170E5" w:rsidRPr="002B55E9" w:rsidRDefault="00D170E5">
            <w:pPr>
              <w:jc w:val="center"/>
              <w:rPr>
                <w:sz w:val="18"/>
                <w:szCs w:val="18"/>
              </w:rPr>
            </w:pPr>
          </w:p>
        </w:tc>
        <w:tc>
          <w:tcPr>
            <w:tcW w:w="941" w:type="dxa"/>
            <w:vAlign w:val="center"/>
          </w:tcPr>
          <w:p w14:paraId="0D964B80" w14:textId="77777777" w:rsidR="00D170E5" w:rsidRPr="002B55E9" w:rsidRDefault="00EF27AD">
            <w:pPr>
              <w:jc w:val="center"/>
              <w:rPr>
                <w:sz w:val="18"/>
                <w:szCs w:val="18"/>
              </w:rPr>
            </w:pPr>
            <w:r w:rsidRPr="002B55E9">
              <w:rPr>
                <w:sz w:val="18"/>
                <w:szCs w:val="18"/>
              </w:rPr>
              <w:t>禁燃区要求</w:t>
            </w:r>
          </w:p>
        </w:tc>
        <w:tc>
          <w:tcPr>
            <w:tcW w:w="515" w:type="dxa"/>
            <w:vAlign w:val="center"/>
          </w:tcPr>
          <w:p w14:paraId="59DB15A9" w14:textId="77777777" w:rsidR="00D170E5" w:rsidRPr="002B55E9" w:rsidRDefault="00EF27AD">
            <w:pPr>
              <w:jc w:val="center"/>
              <w:rPr>
                <w:sz w:val="18"/>
                <w:szCs w:val="18"/>
              </w:rPr>
            </w:pPr>
            <w:r w:rsidRPr="002B55E9">
              <w:rPr>
                <w:sz w:val="18"/>
                <w:szCs w:val="18"/>
              </w:rPr>
              <w:t>32</w:t>
            </w:r>
          </w:p>
        </w:tc>
        <w:tc>
          <w:tcPr>
            <w:tcW w:w="4927" w:type="dxa"/>
            <w:vAlign w:val="center"/>
          </w:tcPr>
          <w:p w14:paraId="44DADC05" w14:textId="77777777" w:rsidR="00D170E5" w:rsidRPr="002B55E9" w:rsidRDefault="00EF27AD">
            <w:pPr>
              <w:rPr>
                <w:sz w:val="18"/>
                <w:szCs w:val="18"/>
              </w:rPr>
            </w:pPr>
            <w:r w:rsidRPr="002B55E9">
              <w:rPr>
                <w:sz w:val="18"/>
                <w:szCs w:val="18"/>
              </w:rPr>
              <w:t>禁燃区内禁止新（改、扩）建高污染燃料燃用设施。高污染燃料燃用设施改燃期限到期后，禁燃区内禁止销售、燃用相应类型的高污染燃料。</w:t>
            </w:r>
          </w:p>
        </w:tc>
        <w:tc>
          <w:tcPr>
            <w:tcW w:w="2667" w:type="dxa"/>
            <w:vAlign w:val="center"/>
          </w:tcPr>
          <w:p w14:paraId="1B378DAD" w14:textId="77777777" w:rsidR="00D170E5" w:rsidRPr="002B55E9" w:rsidRDefault="00EF27AD">
            <w:pPr>
              <w:rPr>
                <w:sz w:val="18"/>
                <w:szCs w:val="18"/>
              </w:rPr>
            </w:pPr>
            <w:r w:rsidRPr="002B55E9">
              <w:rPr>
                <w:sz w:val="18"/>
                <w:szCs w:val="18"/>
              </w:rPr>
              <w:t>符合。本项目主要进行</w:t>
            </w:r>
            <w:r w:rsidRPr="002B55E9">
              <w:rPr>
                <w:rFonts w:hint="eastAsia"/>
                <w:sz w:val="18"/>
                <w:szCs w:val="18"/>
              </w:rPr>
              <w:t>调味品生产</w:t>
            </w:r>
            <w:r w:rsidRPr="002B55E9">
              <w:rPr>
                <w:sz w:val="18"/>
                <w:szCs w:val="18"/>
              </w:rPr>
              <w:t>，</w:t>
            </w:r>
            <w:r w:rsidRPr="002B55E9">
              <w:rPr>
                <w:rFonts w:hint="eastAsia"/>
                <w:sz w:val="18"/>
                <w:szCs w:val="18"/>
              </w:rPr>
              <w:t>不涉及高污染燃料</w:t>
            </w:r>
            <w:r w:rsidRPr="002B55E9">
              <w:rPr>
                <w:sz w:val="18"/>
                <w:szCs w:val="18"/>
              </w:rPr>
              <w:t xml:space="preserve"> </w:t>
            </w:r>
          </w:p>
        </w:tc>
      </w:tr>
      <w:tr w:rsidR="00C60999" w:rsidRPr="002B55E9" w14:paraId="534A42F5" w14:textId="77777777">
        <w:trPr>
          <w:trHeight w:val="284"/>
          <w:jc w:val="center"/>
        </w:trPr>
        <w:tc>
          <w:tcPr>
            <w:tcW w:w="587" w:type="dxa"/>
            <w:vMerge w:val="restart"/>
            <w:vAlign w:val="center"/>
          </w:tcPr>
          <w:p w14:paraId="49DFC815" w14:textId="77777777" w:rsidR="00D170E5" w:rsidRPr="002B55E9" w:rsidRDefault="00EF27AD">
            <w:pPr>
              <w:jc w:val="center"/>
              <w:rPr>
                <w:sz w:val="18"/>
                <w:szCs w:val="18"/>
              </w:rPr>
            </w:pPr>
            <w:r w:rsidRPr="002B55E9">
              <w:rPr>
                <w:sz w:val="18"/>
                <w:szCs w:val="18"/>
              </w:rPr>
              <w:t>基本生态控制线</w:t>
            </w:r>
          </w:p>
        </w:tc>
        <w:tc>
          <w:tcPr>
            <w:tcW w:w="941" w:type="dxa"/>
            <w:vMerge w:val="restart"/>
            <w:vAlign w:val="center"/>
          </w:tcPr>
          <w:p w14:paraId="290B9D94"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3DA90956" w14:textId="77777777" w:rsidR="00D170E5" w:rsidRPr="002B55E9" w:rsidRDefault="00EF27AD">
            <w:pPr>
              <w:jc w:val="center"/>
              <w:rPr>
                <w:sz w:val="18"/>
                <w:szCs w:val="18"/>
              </w:rPr>
            </w:pPr>
            <w:r w:rsidRPr="002B55E9">
              <w:rPr>
                <w:sz w:val="18"/>
                <w:szCs w:val="18"/>
              </w:rPr>
              <w:t>33</w:t>
            </w:r>
          </w:p>
        </w:tc>
        <w:tc>
          <w:tcPr>
            <w:tcW w:w="4927" w:type="dxa"/>
            <w:vAlign w:val="center"/>
          </w:tcPr>
          <w:p w14:paraId="18D80887" w14:textId="77777777" w:rsidR="00D170E5" w:rsidRPr="002B55E9" w:rsidRDefault="00EF27AD">
            <w:pPr>
              <w:rPr>
                <w:sz w:val="18"/>
                <w:szCs w:val="18"/>
              </w:rPr>
            </w:pPr>
            <w:r w:rsidRPr="002B55E9">
              <w:rPr>
                <w:sz w:val="18"/>
                <w:szCs w:val="18"/>
              </w:rPr>
              <w:t>生态底线区内除下列确需建设的项目外，不得建设其他项目：以生态保护、景观绿化为主的公园及其必要的配套设施，自然保护区、风景名胜区内必要的配套设施；符合规划要求的农业生产和农村生活、服务设施，乡村旅游设施；对区域具有系统性影响的道路交通设施和市政公用设施；生态修复、应急抢险救灾设施；国家标准对项目选址有特殊要求的建设项目。</w:t>
            </w:r>
          </w:p>
        </w:tc>
        <w:tc>
          <w:tcPr>
            <w:tcW w:w="2667" w:type="dxa"/>
            <w:vAlign w:val="center"/>
          </w:tcPr>
          <w:p w14:paraId="32CBE62E" w14:textId="77777777" w:rsidR="00D170E5" w:rsidRPr="002B55E9" w:rsidRDefault="00EF27AD">
            <w:pPr>
              <w:rPr>
                <w:sz w:val="18"/>
                <w:szCs w:val="18"/>
              </w:rPr>
            </w:pPr>
            <w:r w:rsidRPr="002B55E9">
              <w:rPr>
                <w:sz w:val="18"/>
                <w:szCs w:val="18"/>
              </w:rPr>
              <w:t>符合。本项目为</w:t>
            </w:r>
            <w:r w:rsidRPr="002B55E9">
              <w:rPr>
                <w:rFonts w:hint="eastAsia"/>
                <w:sz w:val="18"/>
                <w:szCs w:val="18"/>
              </w:rPr>
              <w:t>调味品生产项目</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内，不属于生态底线区</w:t>
            </w:r>
          </w:p>
        </w:tc>
      </w:tr>
      <w:tr w:rsidR="00C60999" w:rsidRPr="002B55E9" w14:paraId="4327FE3F" w14:textId="77777777">
        <w:trPr>
          <w:trHeight w:val="284"/>
          <w:jc w:val="center"/>
        </w:trPr>
        <w:tc>
          <w:tcPr>
            <w:tcW w:w="587" w:type="dxa"/>
            <w:vMerge/>
            <w:vAlign w:val="center"/>
          </w:tcPr>
          <w:p w14:paraId="62F79F72" w14:textId="77777777" w:rsidR="00D170E5" w:rsidRPr="002B55E9" w:rsidRDefault="00D170E5">
            <w:pPr>
              <w:jc w:val="center"/>
              <w:rPr>
                <w:sz w:val="18"/>
                <w:szCs w:val="18"/>
              </w:rPr>
            </w:pPr>
          </w:p>
        </w:tc>
        <w:tc>
          <w:tcPr>
            <w:tcW w:w="941" w:type="dxa"/>
            <w:vMerge/>
            <w:vAlign w:val="center"/>
          </w:tcPr>
          <w:p w14:paraId="50ACCE93" w14:textId="77777777" w:rsidR="00D170E5" w:rsidRPr="002B55E9" w:rsidRDefault="00D170E5">
            <w:pPr>
              <w:jc w:val="center"/>
              <w:rPr>
                <w:sz w:val="18"/>
                <w:szCs w:val="18"/>
              </w:rPr>
            </w:pPr>
          </w:p>
        </w:tc>
        <w:tc>
          <w:tcPr>
            <w:tcW w:w="515" w:type="dxa"/>
            <w:vAlign w:val="center"/>
          </w:tcPr>
          <w:p w14:paraId="107DC867" w14:textId="77777777" w:rsidR="00D170E5" w:rsidRPr="002B55E9" w:rsidRDefault="00EF27AD">
            <w:pPr>
              <w:jc w:val="center"/>
              <w:rPr>
                <w:sz w:val="18"/>
                <w:szCs w:val="18"/>
              </w:rPr>
            </w:pPr>
            <w:r w:rsidRPr="002B55E9">
              <w:rPr>
                <w:sz w:val="18"/>
                <w:szCs w:val="18"/>
              </w:rPr>
              <w:t>34</w:t>
            </w:r>
          </w:p>
        </w:tc>
        <w:tc>
          <w:tcPr>
            <w:tcW w:w="4927" w:type="dxa"/>
            <w:vAlign w:val="center"/>
          </w:tcPr>
          <w:p w14:paraId="447DD994" w14:textId="77777777" w:rsidR="00D170E5" w:rsidRPr="002B55E9" w:rsidRDefault="00EF27AD">
            <w:pPr>
              <w:rPr>
                <w:sz w:val="18"/>
                <w:szCs w:val="18"/>
              </w:rPr>
            </w:pPr>
            <w:r w:rsidRPr="002B55E9">
              <w:rPr>
                <w:sz w:val="18"/>
                <w:szCs w:val="18"/>
              </w:rPr>
              <w:t>生态发展区内除下列确需建设的项目外，不得建设其他项目：生态底线区内允许建设的项目；生态型休闲度假项目；必要的公益性服务设施；其他与生态保护不相抵触的项目。</w:t>
            </w:r>
          </w:p>
        </w:tc>
        <w:tc>
          <w:tcPr>
            <w:tcW w:w="2667" w:type="dxa"/>
            <w:vAlign w:val="center"/>
          </w:tcPr>
          <w:p w14:paraId="2B10EB84" w14:textId="77777777" w:rsidR="00D170E5" w:rsidRPr="002B55E9" w:rsidRDefault="00EF27AD">
            <w:pPr>
              <w:rPr>
                <w:sz w:val="18"/>
                <w:szCs w:val="18"/>
              </w:rPr>
            </w:pPr>
            <w:r w:rsidRPr="002B55E9">
              <w:rPr>
                <w:sz w:val="18"/>
                <w:szCs w:val="18"/>
              </w:rPr>
              <w:t>符合。本项目为</w:t>
            </w:r>
            <w:r w:rsidRPr="002B55E9">
              <w:rPr>
                <w:rFonts w:hint="eastAsia"/>
                <w:sz w:val="18"/>
                <w:szCs w:val="18"/>
              </w:rPr>
              <w:t>食品制造业</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内，不属于生态发展区</w:t>
            </w:r>
          </w:p>
        </w:tc>
      </w:tr>
      <w:tr w:rsidR="00C60999" w:rsidRPr="002B55E9" w14:paraId="16D44F52" w14:textId="77777777">
        <w:trPr>
          <w:trHeight w:val="284"/>
          <w:jc w:val="center"/>
        </w:trPr>
        <w:tc>
          <w:tcPr>
            <w:tcW w:w="587" w:type="dxa"/>
            <w:vMerge w:val="restart"/>
            <w:vAlign w:val="center"/>
          </w:tcPr>
          <w:p w14:paraId="705181D0" w14:textId="77777777" w:rsidR="00D170E5" w:rsidRPr="002B55E9" w:rsidRDefault="00EF27AD">
            <w:pPr>
              <w:jc w:val="center"/>
              <w:rPr>
                <w:sz w:val="18"/>
                <w:szCs w:val="18"/>
              </w:rPr>
            </w:pPr>
            <w:r w:rsidRPr="002B55E9">
              <w:rPr>
                <w:sz w:val="18"/>
                <w:szCs w:val="18"/>
              </w:rPr>
              <w:t>湖泊</w:t>
            </w:r>
          </w:p>
        </w:tc>
        <w:tc>
          <w:tcPr>
            <w:tcW w:w="941" w:type="dxa"/>
            <w:vMerge w:val="restart"/>
            <w:vAlign w:val="center"/>
          </w:tcPr>
          <w:p w14:paraId="01EDFAFB"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21C230BF" w14:textId="77777777" w:rsidR="00D170E5" w:rsidRPr="002B55E9" w:rsidRDefault="00EF27AD">
            <w:pPr>
              <w:jc w:val="center"/>
              <w:rPr>
                <w:sz w:val="18"/>
                <w:szCs w:val="18"/>
              </w:rPr>
            </w:pPr>
            <w:r w:rsidRPr="002B55E9">
              <w:rPr>
                <w:sz w:val="18"/>
                <w:szCs w:val="18"/>
              </w:rPr>
              <w:t>35</w:t>
            </w:r>
          </w:p>
        </w:tc>
        <w:tc>
          <w:tcPr>
            <w:tcW w:w="4927" w:type="dxa"/>
            <w:vAlign w:val="center"/>
          </w:tcPr>
          <w:p w14:paraId="31D4E6C2" w14:textId="77777777" w:rsidR="00D170E5" w:rsidRPr="002B55E9" w:rsidRDefault="00EF27AD">
            <w:pPr>
              <w:rPr>
                <w:sz w:val="18"/>
                <w:szCs w:val="18"/>
              </w:rPr>
            </w:pPr>
            <w:r w:rsidRPr="002B55E9">
              <w:rPr>
                <w:sz w:val="18"/>
                <w:szCs w:val="18"/>
              </w:rPr>
              <w:t>武汉市湖泊规划控制范围内城镇排水设施未覆盖的区域不得进行开发建设。</w:t>
            </w:r>
          </w:p>
        </w:tc>
        <w:tc>
          <w:tcPr>
            <w:tcW w:w="2667" w:type="dxa"/>
            <w:vAlign w:val="center"/>
          </w:tcPr>
          <w:p w14:paraId="4FA56303" w14:textId="77777777" w:rsidR="00D170E5" w:rsidRPr="002B55E9" w:rsidRDefault="00EF27AD">
            <w:pPr>
              <w:rPr>
                <w:sz w:val="18"/>
                <w:szCs w:val="18"/>
              </w:rPr>
            </w:pPr>
            <w:r w:rsidRPr="002B55E9">
              <w:rPr>
                <w:sz w:val="18"/>
                <w:szCs w:val="18"/>
              </w:rPr>
              <w:t>符合。本项目选址位于武汉</w:t>
            </w:r>
            <w:r w:rsidRPr="002B55E9">
              <w:rPr>
                <w:rFonts w:hint="eastAsia"/>
                <w:sz w:val="18"/>
                <w:szCs w:val="18"/>
              </w:rPr>
              <w:t>东西湖区新沟镇街食品医疗用地板块</w:t>
            </w:r>
            <w:r w:rsidRPr="002B55E9">
              <w:rPr>
                <w:sz w:val="18"/>
                <w:szCs w:val="18"/>
              </w:rPr>
              <w:t>内，不属于武汉市湖泊规划控制范围</w:t>
            </w:r>
          </w:p>
        </w:tc>
      </w:tr>
      <w:tr w:rsidR="00C60999" w:rsidRPr="002B55E9" w14:paraId="64B721F7" w14:textId="77777777">
        <w:trPr>
          <w:trHeight w:val="284"/>
          <w:jc w:val="center"/>
        </w:trPr>
        <w:tc>
          <w:tcPr>
            <w:tcW w:w="587" w:type="dxa"/>
            <w:vMerge/>
            <w:vAlign w:val="center"/>
          </w:tcPr>
          <w:p w14:paraId="69F3BF79" w14:textId="77777777" w:rsidR="00D170E5" w:rsidRPr="002B55E9" w:rsidRDefault="00D170E5">
            <w:pPr>
              <w:jc w:val="center"/>
              <w:rPr>
                <w:sz w:val="18"/>
                <w:szCs w:val="18"/>
              </w:rPr>
            </w:pPr>
          </w:p>
        </w:tc>
        <w:tc>
          <w:tcPr>
            <w:tcW w:w="941" w:type="dxa"/>
            <w:vMerge/>
            <w:vAlign w:val="center"/>
          </w:tcPr>
          <w:p w14:paraId="4705781F" w14:textId="77777777" w:rsidR="00D170E5" w:rsidRPr="002B55E9" w:rsidRDefault="00D170E5">
            <w:pPr>
              <w:jc w:val="center"/>
              <w:rPr>
                <w:sz w:val="18"/>
                <w:szCs w:val="18"/>
              </w:rPr>
            </w:pPr>
          </w:p>
        </w:tc>
        <w:tc>
          <w:tcPr>
            <w:tcW w:w="515" w:type="dxa"/>
            <w:vAlign w:val="center"/>
          </w:tcPr>
          <w:p w14:paraId="37DE1E12" w14:textId="77777777" w:rsidR="00D170E5" w:rsidRPr="002B55E9" w:rsidRDefault="00EF27AD">
            <w:pPr>
              <w:jc w:val="center"/>
              <w:rPr>
                <w:sz w:val="18"/>
                <w:szCs w:val="18"/>
              </w:rPr>
            </w:pPr>
            <w:r w:rsidRPr="002B55E9">
              <w:rPr>
                <w:sz w:val="18"/>
                <w:szCs w:val="18"/>
              </w:rPr>
              <w:t>36</w:t>
            </w:r>
          </w:p>
        </w:tc>
        <w:tc>
          <w:tcPr>
            <w:tcW w:w="4927" w:type="dxa"/>
            <w:vAlign w:val="center"/>
          </w:tcPr>
          <w:p w14:paraId="5F346617" w14:textId="77777777" w:rsidR="00D170E5" w:rsidRPr="002B55E9" w:rsidRDefault="00EF27AD">
            <w:pPr>
              <w:rPr>
                <w:sz w:val="18"/>
                <w:szCs w:val="18"/>
              </w:rPr>
            </w:pPr>
            <w:r w:rsidRPr="002B55E9">
              <w:rPr>
                <w:sz w:val="18"/>
                <w:szCs w:val="18"/>
              </w:rPr>
              <w:t>禁止在湖泊规划控制范围内从事采石、爆破等侵害湖泊的活动。禁止有污染的企业在湖泊规划控制范围内选址。</w:t>
            </w:r>
          </w:p>
        </w:tc>
        <w:tc>
          <w:tcPr>
            <w:tcW w:w="2667" w:type="dxa"/>
            <w:vAlign w:val="center"/>
          </w:tcPr>
          <w:p w14:paraId="783D5A1E" w14:textId="77777777" w:rsidR="00D170E5" w:rsidRPr="002B55E9" w:rsidRDefault="00EF27AD">
            <w:pPr>
              <w:rPr>
                <w:sz w:val="18"/>
                <w:szCs w:val="18"/>
              </w:rPr>
            </w:pPr>
            <w:r w:rsidRPr="002B55E9">
              <w:rPr>
                <w:sz w:val="18"/>
                <w:szCs w:val="18"/>
              </w:rPr>
              <w:t>符合。本项目选址位于武汉</w:t>
            </w:r>
            <w:r w:rsidRPr="002B55E9">
              <w:rPr>
                <w:rFonts w:hint="eastAsia"/>
                <w:sz w:val="18"/>
                <w:szCs w:val="18"/>
              </w:rPr>
              <w:t>东西湖区新沟镇街食品医疗用地板块</w:t>
            </w:r>
            <w:r w:rsidRPr="002B55E9">
              <w:rPr>
                <w:sz w:val="18"/>
                <w:szCs w:val="18"/>
              </w:rPr>
              <w:t>内，不属于湖泊规划控制范围</w:t>
            </w:r>
          </w:p>
        </w:tc>
      </w:tr>
      <w:tr w:rsidR="00C60999" w:rsidRPr="002B55E9" w14:paraId="3E2A574F" w14:textId="77777777">
        <w:trPr>
          <w:trHeight w:val="284"/>
          <w:jc w:val="center"/>
        </w:trPr>
        <w:tc>
          <w:tcPr>
            <w:tcW w:w="587" w:type="dxa"/>
            <w:vMerge/>
            <w:vAlign w:val="center"/>
          </w:tcPr>
          <w:p w14:paraId="609EDE50" w14:textId="77777777" w:rsidR="00D170E5" w:rsidRPr="002B55E9" w:rsidRDefault="00D170E5">
            <w:pPr>
              <w:jc w:val="center"/>
              <w:rPr>
                <w:sz w:val="18"/>
                <w:szCs w:val="18"/>
              </w:rPr>
            </w:pPr>
          </w:p>
        </w:tc>
        <w:tc>
          <w:tcPr>
            <w:tcW w:w="941" w:type="dxa"/>
            <w:vMerge/>
            <w:vAlign w:val="center"/>
          </w:tcPr>
          <w:p w14:paraId="49C39E3F" w14:textId="77777777" w:rsidR="00D170E5" w:rsidRPr="002B55E9" w:rsidRDefault="00D170E5">
            <w:pPr>
              <w:jc w:val="center"/>
              <w:rPr>
                <w:sz w:val="18"/>
                <w:szCs w:val="18"/>
              </w:rPr>
            </w:pPr>
          </w:p>
        </w:tc>
        <w:tc>
          <w:tcPr>
            <w:tcW w:w="515" w:type="dxa"/>
            <w:vAlign w:val="center"/>
          </w:tcPr>
          <w:p w14:paraId="709AA20A" w14:textId="77777777" w:rsidR="00D170E5" w:rsidRPr="002B55E9" w:rsidRDefault="00EF27AD">
            <w:pPr>
              <w:jc w:val="center"/>
              <w:rPr>
                <w:sz w:val="18"/>
                <w:szCs w:val="18"/>
              </w:rPr>
            </w:pPr>
            <w:r w:rsidRPr="002B55E9">
              <w:rPr>
                <w:sz w:val="18"/>
                <w:szCs w:val="18"/>
              </w:rPr>
              <w:t>37</w:t>
            </w:r>
          </w:p>
        </w:tc>
        <w:tc>
          <w:tcPr>
            <w:tcW w:w="4927" w:type="dxa"/>
            <w:vAlign w:val="center"/>
          </w:tcPr>
          <w:p w14:paraId="77473A96" w14:textId="77777777" w:rsidR="00D170E5" w:rsidRPr="002B55E9" w:rsidRDefault="00EF27AD">
            <w:pPr>
              <w:rPr>
                <w:sz w:val="18"/>
                <w:szCs w:val="18"/>
              </w:rPr>
            </w:pPr>
            <w:r w:rsidRPr="002B55E9">
              <w:rPr>
                <w:sz w:val="18"/>
                <w:szCs w:val="18"/>
              </w:rPr>
              <w:t>禁止向湖泊排放未经处理或者虽经处理但未达到国家、省、市标准的废水和污水，禁止向湖泊倾倒垃圾、渣土及有毒、有害物质；禁止任何单</w:t>
            </w:r>
            <w:r w:rsidRPr="002B55E9">
              <w:rPr>
                <w:sz w:val="18"/>
                <w:szCs w:val="18"/>
              </w:rPr>
              <w:cr/>
            </w:r>
            <w:r w:rsidRPr="002B55E9">
              <w:rPr>
                <w:sz w:val="18"/>
                <w:szCs w:val="18"/>
              </w:rPr>
              <w:t>和个人在湖泊范围内新（改、扩）建排污口，现有的排污口应当限期关闭。</w:t>
            </w:r>
          </w:p>
        </w:tc>
        <w:tc>
          <w:tcPr>
            <w:tcW w:w="2667" w:type="dxa"/>
            <w:vAlign w:val="center"/>
          </w:tcPr>
          <w:p w14:paraId="029F8E7F" w14:textId="77777777" w:rsidR="00D170E5" w:rsidRPr="002B55E9" w:rsidRDefault="00EF27AD">
            <w:pPr>
              <w:rPr>
                <w:sz w:val="18"/>
                <w:szCs w:val="18"/>
              </w:rPr>
            </w:pPr>
            <w:r w:rsidRPr="002B55E9">
              <w:rPr>
                <w:sz w:val="18"/>
                <w:szCs w:val="18"/>
              </w:rPr>
              <w:t>符合。本项目污水</w:t>
            </w:r>
            <w:r w:rsidRPr="002B55E9">
              <w:rPr>
                <w:rFonts w:hint="eastAsia"/>
                <w:sz w:val="18"/>
                <w:szCs w:val="18"/>
              </w:rPr>
              <w:t>依托</w:t>
            </w:r>
            <w:r w:rsidRPr="002B55E9">
              <w:rPr>
                <w:sz w:val="18"/>
                <w:szCs w:val="18"/>
              </w:rPr>
              <w:t>佛山市海</w:t>
            </w:r>
            <w:r w:rsidRPr="002B55E9">
              <w:rPr>
                <w:rFonts w:hint="eastAsia"/>
                <w:sz w:val="18"/>
                <w:szCs w:val="18"/>
              </w:rPr>
              <w:t>天</w:t>
            </w:r>
            <w:r w:rsidRPr="002B55E9">
              <w:rPr>
                <w:sz w:val="18"/>
                <w:szCs w:val="18"/>
              </w:rPr>
              <w:t>（</w:t>
            </w:r>
            <w:r w:rsidRPr="002B55E9">
              <w:rPr>
                <w:rFonts w:hint="eastAsia"/>
                <w:sz w:val="18"/>
                <w:szCs w:val="18"/>
              </w:rPr>
              <w:t>武汉</w:t>
            </w:r>
            <w:r w:rsidRPr="002B55E9">
              <w:rPr>
                <w:sz w:val="18"/>
                <w:szCs w:val="18"/>
              </w:rPr>
              <w:t>）</w:t>
            </w:r>
            <w:r w:rsidRPr="002B55E9">
              <w:rPr>
                <w:rFonts w:hint="eastAsia"/>
                <w:sz w:val="18"/>
                <w:szCs w:val="18"/>
              </w:rPr>
              <w:t>调味食品</w:t>
            </w:r>
            <w:r w:rsidRPr="002B55E9">
              <w:rPr>
                <w:sz w:val="18"/>
                <w:szCs w:val="18"/>
              </w:rPr>
              <w:t>有限公司污水处理站处理达标后经市政污水管网排入</w:t>
            </w:r>
            <w:r w:rsidRPr="002B55E9">
              <w:rPr>
                <w:rFonts w:hint="eastAsia"/>
                <w:sz w:val="18"/>
                <w:szCs w:val="18"/>
              </w:rPr>
              <w:t>东西湖污水处理厂</w:t>
            </w:r>
            <w:r w:rsidRPr="002B55E9">
              <w:rPr>
                <w:sz w:val="18"/>
                <w:szCs w:val="18"/>
              </w:rPr>
              <w:t>进一步处理，尾水排入</w:t>
            </w:r>
            <w:r w:rsidRPr="002B55E9">
              <w:rPr>
                <w:rFonts w:hint="eastAsia"/>
                <w:sz w:val="18"/>
                <w:szCs w:val="18"/>
              </w:rPr>
              <w:t>府河</w:t>
            </w:r>
          </w:p>
        </w:tc>
      </w:tr>
      <w:tr w:rsidR="00C60999" w:rsidRPr="002B55E9" w14:paraId="1FE0E29A" w14:textId="77777777">
        <w:trPr>
          <w:trHeight w:val="284"/>
          <w:jc w:val="center"/>
        </w:trPr>
        <w:tc>
          <w:tcPr>
            <w:tcW w:w="587" w:type="dxa"/>
            <w:vMerge/>
            <w:vAlign w:val="center"/>
          </w:tcPr>
          <w:p w14:paraId="79643BE1" w14:textId="77777777" w:rsidR="00D170E5" w:rsidRPr="002B55E9" w:rsidRDefault="00D170E5">
            <w:pPr>
              <w:jc w:val="center"/>
              <w:rPr>
                <w:sz w:val="18"/>
                <w:szCs w:val="18"/>
              </w:rPr>
            </w:pPr>
          </w:p>
        </w:tc>
        <w:tc>
          <w:tcPr>
            <w:tcW w:w="941" w:type="dxa"/>
            <w:vAlign w:val="center"/>
          </w:tcPr>
          <w:p w14:paraId="155A10D7"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3B44C360" w14:textId="77777777" w:rsidR="00D170E5" w:rsidRPr="002B55E9" w:rsidRDefault="00EF27AD">
            <w:pPr>
              <w:jc w:val="center"/>
              <w:rPr>
                <w:sz w:val="18"/>
                <w:szCs w:val="18"/>
              </w:rPr>
            </w:pPr>
            <w:r w:rsidRPr="002B55E9">
              <w:rPr>
                <w:sz w:val="18"/>
                <w:szCs w:val="18"/>
              </w:rPr>
              <w:t>38</w:t>
            </w:r>
          </w:p>
        </w:tc>
        <w:tc>
          <w:tcPr>
            <w:tcW w:w="4927" w:type="dxa"/>
            <w:vAlign w:val="center"/>
          </w:tcPr>
          <w:p w14:paraId="5808075A" w14:textId="77777777" w:rsidR="00D170E5" w:rsidRPr="002B55E9" w:rsidRDefault="00EF27AD">
            <w:pPr>
              <w:rPr>
                <w:sz w:val="18"/>
                <w:szCs w:val="18"/>
              </w:rPr>
            </w:pPr>
            <w:r w:rsidRPr="002B55E9">
              <w:rPr>
                <w:sz w:val="18"/>
                <w:szCs w:val="18"/>
              </w:rPr>
              <w:t>湖泊规划控制范围内已有的不符合湖泊保护规划的建（构）筑物和设施，不得改（扩）建。</w:t>
            </w:r>
          </w:p>
        </w:tc>
        <w:tc>
          <w:tcPr>
            <w:tcW w:w="2667" w:type="dxa"/>
            <w:vAlign w:val="center"/>
          </w:tcPr>
          <w:p w14:paraId="470EDA7E" w14:textId="77777777" w:rsidR="00D170E5" w:rsidRPr="002B55E9" w:rsidRDefault="00EF27AD">
            <w:pPr>
              <w:rPr>
                <w:sz w:val="18"/>
                <w:szCs w:val="18"/>
              </w:rPr>
            </w:pPr>
            <w:r w:rsidRPr="002B55E9">
              <w:rPr>
                <w:sz w:val="18"/>
                <w:szCs w:val="18"/>
              </w:rPr>
              <w:t>符合。本项目选址位于武汉</w:t>
            </w:r>
            <w:r w:rsidRPr="002B55E9">
              <w:rPr>
                <w:rFonts w:hint="eastAsia"/>
                <w:sz w:val="18"/>
                <w:szCs w:val="18"/>
              </w:rPr>
              <w:t>东西湖区新沟镇街食品医疗用地板块</w:t>
            </w:r>
            <w:r w:rsidRPr="002B55E9">
              <w:rPr>
                <w:sz w:val="18"/>
                <w:szCs w:val="18"/>
              </w:rPr>
              <w:t>内，不属于湖泊规划控制范围</w:t>
            </w:r>
          </w:p>
        </w:tc>
      </w:tr>
      <w:tr w:rsidR="00C60999" w:rsidRPr="002B55E9" w14:paraId="59C9BFA2" w14:textId="77777777">
        <w:trPr>
          <w:trHeight w:val="284"/>
          <w:jc w:val="center"/>
        </w:trPr>
        <w:tc>
          <w:tcPr>
            <w:tcW w:w="587" w:type="dxa"/>
            <w:vMerge/>
            <w:vAlign w:val="center"/>
          </w:tcPr>
          <w:p w14:paraId="1161E4B9" w14:textId="77777777" w:rsidR="00D170E5" w:rsidRPr="002B55E9" w:rsidRDefault="00D170E5">
            <w:pPr>
              <w:jc w:val="center"/>
              <w:rPr>
                <w:sz w:val="18"/>
                <w:szCs w:val="18"/>
              </w:rPr>
            </w:pPr>
          </w:p>
        </w:tc>
        <w:tc>
          <w:tcPr>
            <w:tcW w:w="941" w:type="dxa"/>
            <w:vAlign w:val="center"/>
          </w:tcPr>
          <w:p w14:paraId="73903837" w14:textId="77777777" w:rsidR="00D170E5" w:rsidRPr="002B55E9" w:rsidRDefault="00EF27AD">
            <w:pPr>
              <w:jc w:val="center"/>
              <w:rPr>
                <w:sz w:val="18"/>
                <w:szCs w:val="18"/>
              </w:rPr>
            </w:pPr>
            <w:r w:rsidRPr="002B55E9">
              <w:rPr>
                <w:sz w:val="18"/>
                <w:szCs w:val="18"/>
              </w:rPr>
              <w:t>不符合空间布局要求活动的退出要求</w:t>
            </w:r>
          </w:p>
        </w:tc>
        <w:tc>
          <w:tcPr>
            <w:tcW w:w="515" w:type="dxa"/>
            <w:vAlign w:val="center"/>
          </w:tcPr>
          <w:p w14:paraId="7EC979DB" w14:textId="77777777" w:rsidR="00D170E5" w:rsidRPr="002B55E9" w:rsidRDefault="00EF27AD">
            <w:pPr>
              <w:jc w:val="center"/>
              <w:rPr>
                <w:sz w:val="18"/>
                <w:szCs w:val="18"/>
              </w:rPr>
            </w:pPr>
            <w:r w:rsidRPr="002B55E9">
              <w:rPr>
                <w:sz w:val="18"/>
                <w:szCs w:val="18"/>
              </w:rPr>
              <w:t>39</w:t>
            </w:r>
          </w:p>
        </w:tc>
        <w:tc>
          <w:tcPr>
            <w:tcW w:w="4927" w:type="dxa"/>
            <w:vAlign w:val="center"/>
          </w:tcPr>
          <w:p w14:paraId="1254CBB6" w14:textId="77777777" w:rsidR="00D170E5" w:rsidRPr="002B55E9" w:rsidRDefault="00EF27AD">
            <w:pPr>
              <w:rPr>
                <w:sz w:val="18"/>
                <w:szCs w:val="18"/>
              </w:rPr>
            </w:pPr>
            <w:r w:rsidRPr="002B55E9">
              <w:rPr>
                <w:sz w:val="18"/>
                <w:szCs w:val="18"/>
              </w:rPr>
              <w:t>依法关闭、停办、迁移、转产湖泊周边污染环境的企业；组织搬迁湖泊规划控制范围内对湖泊有污染的牲畜养殖场，控制面源污染。</w:t>
            </w:r>
          </w:p>
        </w:tc>
        <w:tc>
          <w:tcPr>
            <w:tcW w:w="2667" w:type="dxa"/>
            <w:vAlign w:val="center"/>
          </w:tcPr>
          <w:p w14:paraId="5A17B00D" w14:textId="77777777" w:rsidR="00D170E5" w:rsidRPr="002B55E9" w:rsidRDefault="00EF27AD">
            <w:pPr>
              <w:rPr>
                <w:sz w:val="18"/>
                <w:szCs w:val="18"/>
              </w:rPr>
            </w:pPr>
            <w:r w:rsidRPr="002B55E9">
              <w:rPr>
                <w:sz w:val="18"/>
                <w:szCs w:val="18"/>
              </w:rPr>
              <w:t>符合。</w:t>
            </w:r>
            <w:r w:rsidRPr="002B55E9">
              <w:rPr>
                <w:rFonts w:hint="eastAsia"/>
                <w:sz w:val="18"/>
                <w:szCs w:val="18"/>
              </w:rPr>
              <w:t>本项目位于</w:t>
            </w:r>
            <w:r w:rsidRPr="002B55E9">
              <w:rPr>
                <w:sz w:val="18"/>
                <w:szCs w:val="18"/>
              </w:rPr>
              <w:t>武汉</w:t>
            </w:r>
            <w:r w:rsidRPr="002B55E9">
              <w:rPr>
                <w:rFonts w:hint="eastAsia"/>
                <w:sz w:val="18"/>
                <w:szCs w:val="18"/>
              </w:rPr>
              <w:t>东西湖区新沟镇街食品医疗用地板块</w:t>
            </w:r>
            <w:r w:rsidRPr="002B55E9">
              <w:rPr>
                <w:sz w:val="18"/>
                <w:szCs w:val="18"/>
              </w:rPr>
              <w:t>内，不属于湖泊规划控制范围</w:t>
            </w:r>
          </w:p>
        </w:tc>
      </w:tr>
      <w:tr w:rsidR="00C60999" w:rsidRPr="002B55E9" w14:paraId="3524A289" w14:textId="77777777">
        <w:trPr>
          <w:trHeight w:val="284"/>
          <w:jc w:val="center"/>
        </w:trPr>
        <w:tc>
          <w:tcPr>
            <w:tcW w:w="587" w:type="dxa"/>
            <w:vMerge w:val="restart"/>
            <w:vAlign w:val="center"/>
          </w:tcPr>
          <w:p w14:paraId="2BC98CAF" w14:textId="77777777" w:rsidR="00D170E5" w:rsidRPr="002B55E9" w:rsidRDefault="00EF27AD">
            <w:pPr>
              <w:jc w:val="center"/>
              <w:rPr>
                <w:sz w:val="18"/>
                <w:szCs w:val="18"/>
              </w:rPr>
            </w:pPr>
            <w:r w:rsidRPr="002B55E9">
              <w:rPr>
                <w:sz w:val="18"/>
                <w:szCs w:val="18"/>
              </w:rPr>
              <w:t>湿地自然保护区</w:t>
            </w:r>
          </w:p>
        </w:tc>
        <w:tc>
          <w:tcPr>
            <w:tcW w:w="941" w:type="dxa"/>
            <w:vAlign w:val="center"/>
          </w:tcPr>
          <w:p w14:paraId="6E26DF73"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645742B9" w14:textId="77777777" w:rsidR="00D170E5" w:rsidRPr="002B55E9" w:rsidRDefault="00EF27AD">
            <w:pPr>
              <w:jc w:val="center"/>
              <w:rPr>
                <w:sz w:val="18"/>
                <w:szCs w:val="18"/>
              </w:rPr>
            </w:pPr>
            <w:r w:rsidRPr="002B55E9">
              <w:rPr>
                <w:sz w:val="18"/>
                <w:szCs w:val="18"/>
              </w:rPr>
              <w:t>40</w:t>
            </w:r>
          </w:p>
        </w:tc>
        <w:tc>
          <w:tcPr>
            <w:tcW w:w="4927" w:type="dxa"/>
            <w:vAlign w:val="center"/>
          </w:tcPr>
          <w:p w14:paraId="02A7AE78" w14:textId="77777777" w:rsidR="00D170E5" w:rsidRPr="002B55E9" w:rsidRDefault="00EF27AD">
            <w:pPr>
              <w:rPr>
                <w:sz w:val="18"/>
                <w:szCs w:val="18"/>
              </w:rPr>
            </w:pPr>
            <w:r w:rsidRPr="002B55E9">
              <w:rPr>
                <w:sz w:val="18"/>
                <w:szCs w:val="18"/>
              </w:rPr>
              <w:t>禁止在保护区内实施下列行为：（一）以挖塘、填埋等方式破坏湿地的；（二）破坏鱼类等水生生物洄游通道和野生动物的重要繁殖区及栖息地的；（三）使用损害野生植物物种再生能力或者野生动物栖息环境的方式进行植物采集的；（四）猎捕、采集受保护的野生动植物，捡拾或者收售鸟蛋的；（五）釆用灭绝性方式捕捞水生生物的；（六）向保护区内引入外来物种的；（七）倾倒固体废弃物，排放有毒有害气体的；（八）排放未达到标准的废水或者投放危害水体、水生生物的化学物品等破坏湿地水体环境的；（九）破坏或者擅自移动保护设施的；（十）法律、法规禁止的其他行为。</w:t>
            </w:r>
          </w:p>
        </w:tc>
        <w:tc>
          <w:tcPr>
            <w:tcW w:w="2667" w:type="dxa"/>
            <w:vMerge w:val="restart"/>
            <w:vAlign w:val="center"/>
          </w:tcPr>
          <w:p w14:paraId="75DCDD59" w14:textId="77777777" w:rsidR="00D170E5" w:rsidRPr="002B55E9" w:rsidRDefault="00EF27AD">
            <w:pPr>
              <w:rPr>
                <w:sz w:val="18"/>
                <w:szCs w:val="18"/>
              </w:rPr>
            </w:pPr>
            <w:r w:rsidRPr="002B55E9">
              <w:rPr>
                <w:sz w:val="18"/>
                <w:szCs w:val="18"/>
              </w:rPr>
              <w:t>符合。本项目选址位于武汉</w:t>
            </w:r>
            <w:r w:rsidRPr="002B55E9">
              <w:rPr>
                <w:rFonts w:hint="eastAsia"/>
                <w:sz w:val="18"/>
                <w:szCs w:val="18"/>
              </w:rPr>
              <w:t>东西湖区新沟镇街食品医疗用地板块</w:t>
            </w:r>
            <w:r w:rsidRPr="002B55E9">
              <w:rPr>
                <w:sz w:val="18"/>
                <w:szCs w:val="18"/>
              </w:rPr>
              <w:t>内，不属于湿地自然保护区</w:t>
            </w:r>
          </w:p>
        </w:tc>
      </w:tr>
      <w:tr w:rsidR="00C60999" w:rsidRPr="002B55E9" w14:paraId="3A132F15" w14:textId="77777777">
        <w:trPr>
          <w:trHeight w:val="284"/>
          <w:jc w:val="center"/>
        </w:trPr>
        <w:tc>
          <w:tcPr>
            <w:tcW w:w="587" w:type="dxa"/>
            <w:vMerge/>
            <w:vAlign w:val="center"/>
          </w:tcPr>
          <w:p w14:paraId="597C2E45" w14:textId="77777777" w:rsidR="00D170E5" w:rsidRPr="002B55E9" w:rsidRDefault="00D170E5">
            <w:pPr>
              <w:jc w:val="center"/>
              <w:rPr>
                <w:sz w:val="18"/>
                <w:szCs w:val="18"/>
              </w:rPr>
            </w:pPr>
          </w:p>
        </w:tc>
        <w:tc>
          <w:tcPr>
            <w:tcW w:w="941" w:type="dxa"/>
            <w:vMerge w:val="restart"/>
            <w:vAlign w:val="center"/>
          </w:tcPr>
          <w:p w14:paraId="0C07F85E"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28CFE5D2" w14:textId="77777777" w:rsidR="00D170E5" w:rsidRPr="002B55E9" w:rsidRDefault="00EF27AD">
            <w:pPr>
              <w:jc w:val="center"/>
              <w:rPr>
                <w:sz w:val="18"/>
                <w:szCs w:val="18"/>
              </w:rPr>
            </w:pPr>
            <w:r w:rsidRPr="002B55E9">
              <w:rPr>
                <w:sz w:val="18"/>
                <w:szCs w:val="18"/>
              </w:rPr>
              <w:t>41</w:t>
            </w:r>
          </w:p>
        </w:tc>
        <w:tc>
          <w:tcPr>
            <w:tcW w:w="4927" w:type="dxa"/>
            <w:vAlign w:val="center"/>
          </w:tcPr>
          <w:p w14:paraId="4AB0818E" w14:textId="77777777" w:rsidR="00D170E5" w:rsidRPr="002B55E9" w:rsidRDefault="00EF27AD">
            <w:pPr>
              <w:rPr>
                <w:sz w:val="18"/>
                <w:szCs w:val="18"/>
              </w:rPr>
            </w:pPr>
            <w:r w:rsidRPr="002B55E9">
              <w:rPr>
                <w:sz w:val="18"/>
                <w:szCs w:val="18"/>
              </w:rPr>
              <w:t>除原有居民外，禁止任何人进入保护区的核心区。确因科学研究需要必须进入核心区从事科学研究观测、调查活动的，应当事先向保护区管理机构提交申请和活动计划，并报设立该保护区的人民政府林业</w:t>
            </w:r>
            <w:r w:rsidRPr="002B55E9">
              <w:rPr>
                <w:sz w:val="18"/>
                <w:szCs w:val="18"/>
              </w:rPr>
              <w:t xml:space="preserve"> </w:t>
            </w:r>
            <w:r w:rsidRPr="002B55E9">
              <w:rPr>
                <w:sz w:val="18"/>
                <w:szCs w:val="18"/>
              </w:rPr>
              <w:t>主管部门批准。禁止在保护区的缓冲区内开展旅游和生产经营活动。在缓冲区内进行科学研究观测、</w:t>
            </w:r>
            <w:r w:rsidRPr="002B55E9">
              <w:rPr>
                <w:sz w:val="18"/>
                <w:szCs w:val="18"/>
              </w:rPr>
              <w:t xml:space="preserve"> </w:t>
            </w:r>
            <w:r w:rsidRPr="002B55E9">
              <w:rPr>
                <w:sz w:val="18"/>
                <w:szCs w:val="18"/>
              </w:rPr>
              <w:t>调</w:t>
            </w:r>
            <w:r w:rsidRPr="002B55E9">
              <w:rPr>
                <w:sz w:val="18"/>
                <w:szCs w:val="18"/>
              </w:rPr>
              <w:cr/>
            </w:r>
            <w:r w:rsidRPr="002B55E9">
              <w:rPr>
                <w:sz w:val="18"/>
                <w:szCs w:val="18"/>
              </w:rPr>
              <w:t>、教学实习和标本采集活动的，应当事先向保护区管理机构提交申请和活动计划，经保护区管理机</w:t>
            </w:r>
            <w:r w:rsidRPr="002B55E9">
              <w:rPr>
                <w:sz w:val="18"/>
                <w:szCs w:val="18"/>
              </w:rPr>
              <w:t xml:space="preserve"> </w:t>
            </w:r>
            <w:r w:rsidRPr="002B55E9">
              <w:rPr>
                <w:sz w:val="18"/>
                <w:szCs w:val="18"/>
              </w:rPr>
              <w:t>构批准。</w:t>
            </w:r>
          </w:p>
        </w:tc>
        <w:tc>
          <w:tcPr>
            <w:tcW w:w="2667" w:type="dxa"/>
            <w:vMerge/>
            <w:vAlign w:val="center"/>
          </w:tcPr>
          <w:p w14:paraId="7066FD60" w14:textId="77777777" w:rsidR="00D170E5" w:rsidRPr="002B55E9" w:rsidRDefault="00D170E5">
            <w:pPr>
              <w:rPr>
                <w:sz w:val="18"/>
                <w:szCs w:val="18"/>
              </w:rPr>
            </w:pPr>
          </w:p>
        </w:tc>
      </w:tr>
      <w:tr w:rsidR="00C60999" w:rsidRPr="002B55E9" w14:paraId="6B8B3A6C" w14:textId="77777777">
        <w:trPr>
          <w:trHeight w:val="284"/>
          <w:jc w:val="center"/>
        </w:trPr>
        <w:tc>
          <w:tcPr>
            <w:tcW w:w="587" w:type="dxa"/>
            <w:vMerge/>
            <w:vAlign w:val="center"/>
          </w:tcPr>
          <w:p w14:paraId="0D01FEFD" w14:textId="77777777" w:rsidR="00D170E5" w:rsidRPr="002B55E9" w:rsidRDefault="00D170E5">
            <w:pPr>
              <w:jc w:val="center"/>
              <w:rPr>
                <w:sz w:val="18"/>
                <w:szCs w:val="18"/>
              </w:rPr>
            </w:pPr>
          </w:p>
        </w:tc>
        <w:tc>
          <w:tcPr>
            <w:tcW w:w="941" w:type="dxa"/>
            <w:vMerge/>
            <w:vAlign w:val="center"/>
          </w:tcPr>
          <w:p w14:paraId="209FF8E4" w14:textId="77777777" w:rsidR="00D170E5" w:rsidRPr="002B55E9" w:rsidRDefault="00D170E5">
            <w:pPr>
              <w:jc w:val="center"/>
              <w:rPr>
                <w:sz w:val="18"/>
                <w:szCs w:val="18"/>
              </w:rPr>
            </w:pPr>
          </w:p>
        </w:tc>
        <w:tc>
          <w:tcPr>
            <w:tcW w:w="515" w:type="dxa"/>
            <w:vAlign w:val="center"/>
          </w:tcPr>
          <w:p w14:paraId="341C1985" w14:textId="77777777" w:rsidR="00D170E5" w:rsidRPr="002B55E9" w:rsidRDefault="00EF27AD">
            <w:pPr>
              <w:jc w:val="center"/>
              <w:rPr>
                <w:sz w:val="18"/>
                <w:szCs w:val="18"/>
              </w:rPr>
            </w:pPr>
            <w:r w:rsidRPr="002B55E9">
              <w:rPr>
                <w:sz w:val="18"/>
                <w:szCs w:val="18"/>
              </w:rPr>
              <w:t>42</w:t>
            </w:r>
          </w:p>
        </w:tc>
        <w:tc>
          <w:tcPr>
            <w:tcW w:w="4927" w:type="dxa"/>
            <w:vAlign w:val="center"/>
          </w:tcPr>
          <w:p w14:paraId="350BE33A" w14:textId="77777777" w:rsidR="00D170E5" w:rsidRPr="002B55E9" w:rsidRDefault="00EF27AD">
            <w:pPr>
              <w:rPr>
                <w:sz w:val="18"/>
                <w:szCs w:val="18"/>
              </w:rPr>
            </w:pPr>
            <w:r w:rsidRPr="002B55E9">
              <w:rPr>
                <w:sz w:val="18"/>
                <w:szCs w:val="18"/>
              </w:rPr>
              <w:t>在保护区的实验区内进行科学研究观测、调查、教学实习、标本采集、参观考察、生态旅游、农业生产以及驯化、繁殖珍稀、濒危野生动植物等活动的，应当符合保护区规划，不得改变保护区生态系统的基本功能，不得超出湿地资源的再生能力或者给野生植物物种造成永久性损害，不得破坏野生动物的栖息环境。保护区缓冲区和实验区内的居民，在不破坏湿地资源的前提下，可以从事种植、养殖业等生产活动。</w:t>
            </w:r>
          </w:p>
        </w:tc>
        <w:tc>
          <w:tcPr>
            <w:tcW w:w="2667" w:type="dxa"/>
            <w:vMerge/>
            <w:vAlign w:val="center"/>
          </w:tcPr>
          <w:p w14:paraId="2418EEBB" w14:textId="77777777" w:rsidR="00D170E5" w:rsidRPr="002B55E9" w:rsidRDefault="00D170E5">
            <w:pPr>
              <w:rPr>
                <w:sz w:val="18"/>
                <w:szCs w:val="18"/>
              </w:rPr>
            </w:pPr>
          </w:p>
        </w:tc>
      </w:tr>
      <w:tr w:rsidR="00C60999" w:rsidRPr="002B55E9" w14:paraId="44082793" w14:textId="77777777">
        <w:trPr>
          <w:trHeight w:val="284"/>
          <w:jc w:val="center"/>
        </w:trPr>
        <w:tc>
          <w:tcPr>
            <w:tcW w:w="587" w:type="dxa"/>
            <w:vMerge w:val="restart"/>
            <w:vAlign w:val="center"/>
          </w:tcPr>
          <w:p w14:paraId="574D2DCE" w14:textId="77777777" w:rsidR="00D170E5" w:rsidRPr="002B55E9" w:rsidRDefault="00EF27AD">
            <w:pPr>
              <w:jc w:val="center"/>
              <w:rPr>
                <w:sz w:val="18"/>
                <w:szCs w:val="18"/>
              </w:rPr>
            </w:pPr>
            <w:r w:rsidRPr="002B55E9">
              <w:rPr>
                <w:sz w:val="18"/>
                <w:szCs w:val="18"/>
              </w:rPr>
              <w:t>东湖生态</w:t>
            </w:r>
            <w:r w:rsidRPr="002B55E9">
              <w:rPr>
                <w:rFonts w:hint="eastAsia"/>
                <w:sz w:val="18"/>
                <w:szCs w:val="18"/>
              </w:rPr>
              <w:t>旅游</w:t>
            </w:r>
            <w:r w:rsidRPr="002B55E9">
              <w:rPr>
                <w:sz w:val="18"/>
                <w:szCs w:val="18"/>
              </w:rPr>
              <w:t>风景名胜区</w:t>
            </w:r>
          </w:p>
        </w:tc>
        <w:tc>
          <w:tcPr>
            <w:tcW w:w="941" w:type="dxa"/>
            <w:vMerge w:val="restart"/>
            <w:vAlign w:val="center"/>
          </w:tcPr>
          <w:p w14:paraId="46E31951"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114F1E55" w14:textId="77777777" w:rsidR="00D170E5" w:rsidRPr="002B55E9" w:rsidRDefault="00EF27AD">
            <w:pPr>
              <w:jc w:val="center"/>
              <w:rPr>
                <w:sz w:val="18"/>
                <w:szCs w:val="18"/>
              </w:rPr>
            </w:pPr>
            <w:r w:rsidRPr="002B55E9">
              <w:rPr>
                <w:sz w:val="18"/>
                <w:szCs w:val="18"/>
              </w:rPr>
              <w:t>43</w:t>
            </w:r>
          </w:p>
        </w:tc>
        <w:tc>
          <w:tcPr>
            <w:tcW w:w="4927" w:type="dxa"/>
            <w:vAlign w:val="center"/>
          </w:tcPr>
          <w:p w14:paraId="234B578E" w14:textId="77777777" w:rsidR="00D170E5" w:rsidRPr="002B55E9" w:rsidRDefault="00EF27AD">
            <w:pPr>
              <w:rPr>
                <w:sz w:val="18"/>
                <w:szCs w:val="18"/>
              </w:rPr>
            </w:pPr>
            <w:r w:rsidRPr="002B55E9">
              <w:rPr>
                <w:sz w:val="18"/>
                <w:szCs w:val="18"/>
              </w:rPr>
              <w:t>在东湖水域范围内，禁止建设与防洪、改善水环境、生态保护、航运和道路等公共设施无关的建（构）筑</w:t>
            </w:r>
            <w:r w:rsidRPr="002B55E9">
              <w:rPr>
                <w:sz w:val="18"/>
                <w:szCs w:val="18"/>
              </w:rPr>
              <w:t xml:space="preserve"> </w:t>
            </w:r>
            <w:r w:rsidRPr="002B55E9">
              <w:rPr>
                <w:sz w:val="18"/>
                <w:szCs w:val="18"/>
              </w:rPr>
              <w:t>物。东湖水域内禁止经营性养殖，禁止放养、种植对水体质量、水域生态环境有害的水生动植物。</w:t>
            </w:r>
          </w:p>
        </w:tc>
        <w:tc>
          <w:tcPr>
            <w:tcW w:w="2667" w:type="dxa"/>
            <w:vMerge w:val="restart"/>
            <w:vAlign w:val="center"/>
          </w:tcPr>
          <w:p w14:paraId="1C6AB0AA" w14:textId="77777777" w:rsidR="00D170E5" w:rsidRPr="002B55E9" w:rsidRDefault="00EF27AD">
            <w:pPr>
              <w:rPr>
                <w:sz w:val="18"/>
                <w:szCs w:val="18"/>
              </w:rPr>
            </w:pPr>
            <w:r w:rsidRPr="002B55E9">
              <w:rPr>
                <w:sz w:val="18"/>
                <w:szCs w:val="18"/>
              </w:rPr>
              <w:t>符合。本项目</w:t>
            </w:r>
            <w:r w:rsidRPr="002B55E9">
              <w:rPr>
                <w:rFonts w:hint="eastAsia"/>
                <w:sz w:val="18"/>
                <w:szCs w:val="18"/>
              </w:rPr>
              <w:t>位于</w:t>
            </w:r>
            <w:r w:rsidRPr="002B55E9">
              <w:rPr>
                <w:sz w:val="18"/>
                <w:szCs w:val="18"/>
              </w:rPr>
              <w:t>武汉</w:t>
            </w:r>
            <w:r w:rsidRPr="002B55E9">
              <w:rPr>
                <w:rFonts w:hint="eastAsia"/>
                <w:sz w:val="18"/>
                <w:szCs w:val="18"/>
              </w:rPr>
              <w:t>东西湖区新沟镇街食品医疗用地板块</w:t>
            </w:r>
            <w:r w:rsidRPr="002B55E9">
              <w:rPr>
                <w:sz w:val="18"/>
                <w:szCs w:val="18"/>
              </w:rPr>
              <w:t>内，不属于东湖生态旅游风景名胜区</w:t>
            </w:r>
          </w:p>
        </w:tc>
      </w:tr>
      <w:tr w:rsidR="00C60999" w:rsidRPr="002B55E9" w14:paraId="41BA386C" w14:textId="77777777">
        <w:trPr>
          <w:trHeight w:val="284"/>
          <w:jc w:val="center"/>
        </w:trPr>
        <w:tc>
          <w:tcPr>
            <w:tcW w:w="587" w:type="dxa"/>
            <w:vMerge/>
            <w:vAlign w:val="center"/>
          </w:tcPr>
          <w:p w14:paraId="07E306A0" w14:textId="77777777" w:rsidR="00D170E5" w:rsidRPr="002B55E9" w:rsidRDefault="00D170E5">
            <w:pPr>
              <w:jc w:val="center"/>
              <w:rPr>
                <w:sz w:val="18"/>
                <w:szCs w:val="18"/>
              </w:rPr>
            </w:pPr>
          </w:p>
        </w:tc>
        <w:tc>
          <w:tcPr>
            <w:tcW w:w="941" w:type="dxa"/>
            <w:vMerge/>
            <w:vAlign w:val="center"/>
          </w:tcPr>
          <w:p w14:paraId="2B81E1E5" w14:textId="77777777" w:rsidR="00D170E5" w:rsidRPr="002B55E9" w:rsidRDefault="00D170E5">
            <w:pPr>
              <w:jc w:val="center"/>
              <w:rPr>
                <w:sz w:val="18"/>
                <w:szCs w:val="18"/>
              </w:rPr>
            </w:pPr>
          </w:p>
        </w:tc>
        <w:tc>
          <w:tcPr>
            <w:tcW w:w="515" w:type="dxa"/>
            <w:vAlign w:val="center"/>
          </w:tcPr>
          <w:p w14:paraId="30C3E9C1" w14:textId="77777777" w:rsidR="00D170E5" w:rsidRPr="002B55E9" w:rsidRDefault="00EF27AD">
            <w:pPr>
              <w:jc w:val="center"/>
              <w:rPr>
                <w:sz w:val="18"/>
                <w:szCs w:val="18"/>
              </w:rPr>
            </w:pPr>
            <w:r w:rsidRPr="002B55E9">
              <w:rPr>
                <w:sz w:val="18"/>
                <w:szCs w:val="18"/>
              </w:rPr>
              <w:t>44</w:t>
            </w:r>
          </w:p>
        </w:tc>
        <w:tc>
          <w:tcPr>
            <w:tcW w:w="4927" w:type="dxa"/>
            <w:vAlign w:val="center"/>
          </w:tcPr>
          <w:p w14:paraId="66EB699A" w14:textId="77777777" w:rsidR="00D170E5" w:rsidRPr="002B55E9" w:rsidRDefault="00EF27AD">
            <w:pPr>
              <w:rPr>
                <w:sz w:val="18"/>
                <w:szCs w:val="18"/>
              </w:rPr>
            </w:pPr>
            <w:r w:rsidRPr="002B55E9">
              <w:rPr>
                <w:sz w:val="18"/>
                <w:szCs w:val="18"/>
              </w:rPr>
              <w:t>风景区内村（居）民住宅建设应当符合规划要求，适当集中、合理布局，并与周围景观、环境相协调。任何单位和个人不得在风景区内违法建设村（居）民住宅。</w:t>
            </w:r>
          </w:p>
        </w:tc>
        <w:tc>
          <w:tcPr>
            <w:tcW w:w="2667" w:type="dxa"/>
            <w:vMerge/>
            <w:vAlign w:val="center"/>
          </w:tcPr>
          <w:p w14:paraId="703F26A3" w14:textId="77777777" w:rsidR="00D170E5" w:rsidRPr="002B55E9" w:rsidRDefault="00D170E5">
            <w:pPr>
              <w:rPr>
                <w:sz w:val="18"/>
                <w:szCs w:val="18"/>
              </w:rPr>
            </w:pPr>
          </w:p>
        </w:tc>
      </w:tr>
      <w:tr w:rsidR="00C60999" w:rsidRPr="002B55E9" w14:paraId="1709026D" w14:textId="77777777">
        <w:trPr>
          <w:trHeight w:val="284"/>
          <w:jc w:val="center"/>
        </w:trPr>
        <w:tc>
          <w:tcPr>
            <w:tcW w:w="587" w:type="dxa"/>
            <w:vMerge/>
            <w:vAlign w:val="center"/>
          </w:tcPr>
          <w:p w14:paraId="20134ECB" w14:textId="77777777" w:rsidR="00D170E5" w:rsidRPr="002B55E9" w:rsidRDefault="00D170E5">
            <w:pPr>
              <w:jc w:val="center"/>
              <w:rPr>
                <w:sz w:val="18"/>
                <w:szCs w:val="18"/>
              </w:rPr>
            </w:pPr>
          </w:p>
        </w:tc>
        <w:tc>
          <w:tcPr>
            <w:tcW w:w="941" w:type="dxa"/>
            <w:vMerge/>
            <w:vAlign w:val="center"/>
          </w:tcPr>
          <w:p w14:paraId="1FC28722" w14:textId="77777777" w:rsidR="00D170E5" w:rsidRPr="002B55E9" w:rsidRDefault="00D170E5">
            <w:pPr>
              <w:jc w:val="center"/>
              <w:rPr>
                <w:sz w:val="18"/>
                <w:szCs w:val="18"/>
              </w:rPr>
            </w:pPr>
          </w:p>
        </w:tc>
        <w:tc>
          <w:tcPr>
            <w:tcW w:w="515" w:type="dxa"/>
            <w:vAlign w:val="center"/>
          </w:tcPr>
          <w:p w14:paraId="04C6DE79" w14:textId="77777777" w:rsidR="00D170E5" w:rsidRPr="002B55E9" w:rsidRDefault="00EF27AD">
            <w:pPr>
              <w:jc w:val="center"/>
              <w:rPr>
                <w:sz w:val="18"/>
                <w:szCs w:val="18"/>
              </w:rPr>
            </w:pPr>
            <w:r w:rsidRPr="002B55E9">
              <w:rPr>
                <w:sz w:val="18"/>
                <w:szCs w:val="18"/>
              </w:rPr>
              <w:t>4</w:t>
            </w:r>
          </w:p>
        </w:tc>
        <w:tc>
          <w:tcPr>
            <w:tcW w:w="4927" w:type="dxa"/>
            <w:vAlign w:val="center"/>
          </w:tcPr>
          <w:p w14:paraId="5C51877F" w14:textId="77777777" w:rsidR="00D170E5" w:rsidRPr="002B55E9" w:rsidRDefault="00EF27AD">
            <w:pPr>
              <w:rPr>
                <w:sz w:val="18"/>
                <w:szCs w:val="18"/>
              </w:rPr>
            </w:pPr>
            <w:r w:rsidRPr="002B55E9">
              <w:rPr>
                <w:sz w:val="18"/>
                <w:szCs w:val="18"/>
              </w:rPr>
              <w:t>禁止向东湖水域排放生产废水、医疗污水和生活污水。风景区实行雨污</w:t>
            </w:r>
            <w:r w:rsidRPr="002B55E9">
              <w:rPr>
                <w:sz w:val="18"/>
                <w:szCs w:val="18"/>
              </w:rPr>
              <w:cr/>
            </w:r>
            <w:r w:rsidRPr="002B55E9">
              <w:rPr>
                <w:sz w:val="18"/>
                <w:szCs w:val="18"/>
              </w:rPr>
              <w:t>流全覆盖。在东湖水域及其周边新（改、扩）建项目排放的污水，应当纳入城市污水排放系统</w:t>
            </w:r>
            <w:r w:rsidRPr="002B55E9">
              <w:rPr>
                <w:sz w:val="18"/>
                <w:szCs w:val="18"/>
              </w:rPr>
              <w:t>;</w:t>
            </w:r>
            <w:r w:rsidRPr="002B55E9">
              <w:rPr>
                <w:sz w:val="18"/>
                <w:szCs w:val="18"/>
              </w:rPr>
              <w:t>无法纳入的，不得新（改、扩）建。</w:t>
            </w:r>
          </w:p>
        </w:tc>
        <w:tc>
          <w:tcPr>
            <w:tcW w:w="2667" w:type="dxa"/>
            <w:vMerge/>
            <w:vAlign w:val="center"/>
          </w:tcPr>
          <w:p w14:paraId="3EC7EE2D" w14:textId="77777777" w:rsidR="00D170E5" w:rsidRPr="002B55E9" w:rsidRDefault="00D170E5">
            <w:pPr>
              <w:rPr>
                <w:sz w:val="18"/>
                <w:szCs w:val="18"/>
              </w:rPr>
            </w:pPr>
          </w:p>
        </w:tc>
      </w:tr>
      <w:tr w:rsidR="00C60999" w:rsidRPr="002B55E9" w14:paraId="6C7DBB25" w14:textId="77777777">
        <w:trPr>
          <w:trHeight w:val="284"/>
          <w:jc w:val="center"/>
        </w:trPr>
        <w:tc>
          <w:tcPr>
            <w:tcW w:w="587" w:type="dxa"/>
            <w:vMerge/>
            <w:vAlign w:val="center"/>
          </w:tcPr>
          <w:p w14:paraId="4FAECD6A" w14:textId="77777777" w:rsidR="00D170E5" w:rsidRPr="002B55E9" w:rsidRDefault="00D170E5">
            <w:pPr>
              <w:jc w:val="center"/>
              <w:rPr>
                <w:sz w:val="18"/>
                <w:szCs w:val="18"/>
              </w:rPr>
            </w:pPr>
          </w:p>
        </w:tc>
        <w:tc>
          <w:tcPr>
            <w:tcW w:w="941" w:type="dxa"/>
            <w:vAlign w:val="center"/>
          </w:tcPr>
          <w:p w14:paraId="000B2FBB"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4832D2B4" w14:textId="77777777" w:rsidR="00D170E5" w:rsidRPr="002B55E9" w:rsidRDefault="00EF27AD">
            <w:pPr>
              <w:jc w:val="center"/>
              <w:rPr>
                <w:sz w:val="18"/>
                <w:szCs w:val="18"/>
              </w:rPr>
            </w:pPr>
            <w:r w:rsidRPr="002B55E9">
              <w:rPr>
                <w:sz w:val="18"/>
                <w:szCs w:val="18"/>
              </w:rPr>
              <w:t>46</w:t>
            </w:r>
          </w:p>
        </w:tc>
        <w:tc>
          <w:tcPr>
            <w:tcW w:w="4927" w:type="dxa"/>
            <w:vAlign w:val="center"/>
          </w:tcPr>
          <w:p w14:paraId="60CA1EF4" w14:textId="77777777" w:rsidR="00D170E5" w:rsidRPr="002B55E9" w:rsidRDefault="00EF27AD">
            <w:pPr>
              <w:rPr>
                <w:sz w:val="18"/>
                <w:szCs w:val="18"/>
              </w:rPr>
            </w:pPr>
            <w:r w:rsidRPr="002B55E9">
              <w:rPr>
                <w:sz w:val="18"/>
                <w:szCs w:val="18"/>
              </w:rPr>
              <w:t>建设防洪、改善水环境、生态保护、航运和道路等公共设施的，应当依法向风景区管委会提出申请。风景区管委会应当组织听证，听取东湖周边村（居）民和有关专家的意见，将有关事项向社会公示，并依法办理审批手续。</w:t>
            </w:r>
          </w:p>
        </w:tc>
        <w:tc>
          <w:tcPr>
            <w:tcW w:w="2667" w:type="dxa"/>
            <w:vMerge/>
            <w:vAlign w:val="center"/>
          </w:tcPr>
          <w:p w14:paraId="45125CC5" w14:textId="77777777" w:rsidR="00D170E5" w:rsidRPr="002B55E9" w:rsidRDefault="00D170E5">
            <w:pPr>
              <w:rPr>
                <w:sz w:val="18"/>
                <w:szCs w:val="18"/>
              </w:rPr>
            </w:pPr>
          </w:p>
        </w:tc>
      </w:tr>
      <w:tr w:rsidR="00C60999" w:rsidRPr="002B55E9" w14:paraId="38753B20" w14:textId="77777777">
        <w:trPr>
          <w:trHeight w:val="284"/>
          <w:jc w:val="center"/>
        </w:trPr>
        <w:tc>
          <w:tcPr>
            <w:tcW w:w="587" w:type="dxa"/>
            <w:vMerge/>
            <w:vAlign w:val="center"/>
          </w:tcPr>
          <w:p w14:paraId="2E816285" w14:textId="77777777" w:rsidR="00D170E5" w:rsidRPr="002B55E9" w:rsidRDefault="00D170E5">
            <w:pPr>
              <w:jc w:val="center"/>
              <w:rPr>
                <w:sz w:val="18"/>
                <w:szCs w:val="18"/>
              </w:rPr>
            </w:pPr>
          </w:p>
        </w:tc>
        <w:tc>
          <w:tcPr>
            <w:tcW w:w="941" w:type="dxa"/>
            <w:vAlign w:val="center"/>
          </w:tcPr>
          <w:p w14:paraId="34AD4755"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76965880" w14:textId="77777777" w:rsidR="00D170E5" w:rsidRPr="002B55E9" w:rsidRDefault="00EF27AD">
            <w:pPr>
              <w:jc w:val="center"/>
              <w:rPr>
                <w:sz w:val="18"/>
                <w:szCs w:val="18"/>
              </w:rPr>
            </w:pPr>
            <w:r w:rsidRPr="002B55E9">
              <w:rPr>
                <w:sz w:val="18"/>
                <w:szCs w:val="18"/>
              </w:rPr>
              <w:t>47</w:t>
            </w:r>
          </w:p>
        </w:tc>
        <w:tc>
          <w:tcPr>
            <w:tcW w:w="4927" w:type="dxa"/>
            <w:vAlign w:val="center"/>
          </w:tcPr>
          <w:p w14:paraId="00CE116D" w14:textId="77777777" w:rsidR="00D170E5" w:rsidRPr="002B55E9" w:rsidRDefault="00EF27AD">
            <w:pPr>
              <w:rPr>
                <w:sz w:val="18"/>
                <w:szCs w:val="18"/>
              </w:rPr>
            </w:pPr>
            <w:r w:rsidRPr="002B55E9">
              <w:rPr>
                <w:sz w:val="18"/>
                <w:szCs w:val="18"/>
              </w:rPr>
              <w:t>在风景区内禁止从事下列活动：（一）开山、采石、开矿、开荒、修坟立碑等破坏景观、植被和地形地貌的活</w:t>
            </w:r>
            <w:r w:rsidRPr="002B55E9">
              <w:rPr>
                <w:sz w:val="18"/>
                <w:szCs w:val="18"/>
              </w:rPr>
              <w:t xml:space="preserve"> </w:t>
            </w:r>
            <w:r w:rsidRPr="002B55E9">
              <w:rPr>
                <w:sz w:val="18"/>
                <w:szCs w:val="18"/>
              </w:rPr>
              <w:t>动；（二）修建储存爆炸性、易燃性、放射性、毒害性、腐蚀性物品的设施；（三）填湖建房、围湖造田、筑坝拦</w:t>
            </w:r>
            <w:r w:rsidRPr="002B55E9">
              <w:rPr>
                <w:sz w:val="18"/>
                <w:szCs w:val="18"/>
              </w:rPr>
              <w:t xml:space="preserve"> </w:t>
            </w:r>
            <w:r w:rsidRPr="002B55E9">
              <w:rPr>
                <w:sz w:val="18"/>
                <w:szCs w:val="18"/>
              </w:rPr>
              <w:t>汊以及以其他方式侵占和分割水面；（四）违反规定养殖、种植、放牧、狩猎、捕捞、放生；（五）砍伐或者擅</w:t>
            </w:r>
            <w:r w:rsidRPr="002B55E9">
              <w:rPr>
                <w:sz w:val="18"/>
                <w:szCs w:val="18"/>
              </w:rPr>
              <w:t xml:space="preserve"> </w:t>
            </w:r>
            <w:r w:rsidRPr="002B55E9">
              <w:rPr>
                <w:sz w:val="18"/>
                <w:szCs w:val="18"/>
              </w:rPr>
              <w:t>自移植古树名木；（六）在禁火区内吸烟、点火、烧香、燃放烟花爆竹或者孔明灯等带有明火的空中飘移</w:t>
            </w:r>
            <w:r w:rsidRPr="002B55E9">
              <w:rPr>
                <w:sz w:val="18"/>
                <w:szCs w:val="18"/>
              </w:rPr>
              <w:t xml:space="preserve"> </w:t>
            </w:r>
            <w:r w:rsidRPr="002B55E9">
              <w:rPr>
                <w:sz w:val="18"/>
                <w:szCs w:val="18"/>
              </w:rPr>
              <w:t>物；（七）在景物、设施上刻划、涂污或者以其他方式损坏景物、设施；（八）随地吐痰、便溺，乱扔废弃物；（九）乱堆放生活垃圾和建筑垃圾；（十）在水体及其沿岸清洗车辆、洗刷器具和衣物；（十一）法律法规规</w:t>
            </w:r>
            <w:r w:rsidRPr="002B55E9">
              <w:rPr>
                <w:sz w:val="18"/>
                <w:szCs w:val="18"/>
              </w:rPr>
              <w:t xml:space="preserve"> </w:t>
            </w:r>
            <w:r w:rsidRPr="002B55E9">
              <w:rPr>
                <w:sz w:val="18"/>
                <w:szCs w:val="18"/>
              </w:rPr>
              <w:t>定的其他破坏景观、污染环境的活动。</w:t>
            </w:r>
          </w:p>
        </w:tc>
        <w:tc>
          <w:tcPr>
            <w:tcW w:w="2667" w:type="dxa"/>
            <w:vMerge/>
            <w:vAlign w:val="center"/>
          </w:tcPr>
          <w:p w14:paraId="7C7F3DDD" w14:textId="77777777" w:rsidR="00D170E5" w:rsidRPr="002B55E9" w:rsidRDefault="00D170E5">
            <w:pPr>
              <w:rPr>
                <w:sz w:val="18"/>
                <w:szCs w:val="18"/>
              </w:rPr>
            </w:pPr>
          </w:p>
        </w:tc>
      </w:tr>
      <w:tr w:rsidR="00C60999" w:rsidRPr="002B55E9" w14:paraId="60B86373" w14:textId="77777777">
        <w:trPr>
          <w:trHeight w:val="284"/>
          <w:jc w:val="center"/>
        </w:trPr>
        <w:tc>
          <w:tcPr>
            <w:tcW w:w="587" w:type="dxa"/>
            <w:vMerge/>
            <w:vAlign w:val="center"/>
          </w:tcPr>
          <w:p w14:paraId="046A18F7" w14:textId="77777777" w:rsidR="00D170E5" w:rsidRPr="002B55E9" w:rsidRDefault="00D170E5">
            <w:pPr>
              <w:jc w:val="center"/>
              <w:rPr>
                <w:sz w:val="18"/>
                <w:szCs w:val="18"/>
              </w:rPr>
            </w:pPr>
          </w:p>
        </w:tc>
        <w:tc>
          <w:tcPr>
            <w:tcW w:w="941" w:type="dxa"/>
            <w:vAlign w:val="center"/>
          </w:tcPr>
          <w:p w14:paraId="754C6324" w14:textId="77777777" w:rsidR="00D170E5" w:rsidRPr="002B55E9" w:rsidRDefault="00EF27AD">
            <w:pPr>
              <w:jc w:val="center"/>
              <w:rPr>
                <w:sz w:val="18"/>
                <w:szCs w:val="18"/>
              </w:rPr>
            </w:pPr>
            <w:r w:rsidRPr="002B55E9">
              <w:rPr>
                <w:sz w:val="18"/>
                <w:szCs w:val="18"/>
              </w:rPr>
              <w:t>允许排放量要求</w:t>
            </w:r>
          </w:p>
        </w:tc>
        <w:tc>
          <w:tcPr>
            <w:tcW w:w="515" w:type="dxa"/>
            <w:vAlign w:val="center"/>
          </w:tcPr>
          <w:p w14:paraId="0E844AC0" w14:textId="77777777" w:rsidR="00D170E5" w:rsidRPr="002B55E9" w:rsidRDefault="00EF27AD">
            <w:pPr>
              <w:jc w:val="center"/>
              <w:rPr>
                <w:sz w:val="18"/>
                <w:szCs w:val="18"/>
              </w:rPr>
            </w:pPr>
            <w:r w:rsidRPr="002B55E9">
              <w:rPr>
                <w:sz w:val="18"/>
                <w:szCs w:val="18"/>
              </w:rPr>
              <w:t>48</w:t>
            </w:r>
          </w:p>
        </w:tc>
        <w:tc>
          <w:tcPr>
            <w:tcW w:w="4927" w:type="dxa"/>
            <w:vAlign w:val="center"/>
          </w:tcPr>
          <w:p w14:paraId="0434662B" w14:textId="77777777" w:rsidR="00D170E5" w:rsidRPr="002B55E9" w:rsidRDefault="00EF27AD">
            <w:pPr>
              <w:rPr>
                <w:sz w:val="18"/>
                <w:szCs w:val="18"/>
              </w:rPr>
            </w:pPr>
            <w:r w:rsidRPr="002B55E9">
              <w:rPr>
                <w:sz w:val="18"/>
                <w:szCs w:val="18"/>
              </w:rPr>
              <w:t>用于观光游览服务的车辆、船舶和其他公共交通工具应当采用清洁能源。</w:t>
            </w:r>
          </w:p>
        </w:tc>
        <w:tc>
          <w:tcPr>
            <w:tcW w:w="2667" w:type="dxa"/>
            <w:vMerge/>
            <w:vAlign w:val="center"/>
          </w:tcPr>
          <w:p w14:paraId="69403EDC" w14:textId="77777777" w:rsidR="00D170E5" w:rsidRPr="002B55E9" w:rsidRDefault="00D170E5">
            <w:pPr>
              <w:rPr>
                <w:sz w:val="18"/>
                <w:szCs w:val="18"/>
              </w:rPr>
            </w:pPr>
          </w:p>
        </w:tc>
      </w:tr>
      <w:tr w:rsidR="00C60999" w:rsidRPr="002B55E9" w14:paraId="62162288" w14:textId="77777777">
        <w:trPr>
          <w:trHeight w:val="284"/>
          <w:jc w:val="center"/>
        </w:trPr>
        <w:tc>
          <w:tcPr>
            <w:tcW w:w="587" w:type="dxa"/>
            <w:vMerge w:val="restart"/>
            <w:vAlign w:val="center"/>
          </w:tcPr>
          <w:p w14:paraId="1CCC1157" w14:textId="77777777" w:rsidR="00D170E5" w:rsidRPr="002B55E9" w:rsidRDefault="00EF27AD">
            <w:pPr>
              <w:jc w:val="center"/>
              <w:rPr>
                <w:sz w:val="18"/>
                <w:szCs w:val="18"/>
              </w:rPr>
            </w:pPr>
            <w:r w:rsidRPr="002B55E9">
              <w:rPr>
                <w:sz w:val="18"/>
                <w:szCs w:val="18"/>
              </w:rPr>
              <w:t>防洪管理</w:t>
            </w:r>
          </w:p>
        </w:tc>
        <w:tc>
          <w:tcPr>
            <w:tcW w:w="941" w:type="dxa"/>
            <w:vMerge w:val="restart"/>
            <w:vAlign w:val="center"/>
          </w:tcPr>
          <w:p w14:paraId="5BC1F2EC"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3A912A0A" w14:textId="77777777" w:rsidR="00D170E5" w:rsidRPr="002B55E9" w:rsidRDefault="00EF27AD">
            <w:pPr>
              <w:jc w:val="center"/>
              <w:rPr>
                <w:sz w:val="18"/>
                <w:szCs w:val="18"/>
              </w:rPr>
            </w:pPr>
            <w:r w:rsidRPr="002B55E9">
              <w:rPr>
                <w:sz w:val="18"/>
                <w:szCs w:val="18"/>
              </w:rPr>
              <w:t>49</w:t>
            </w:r>
          </w:p>
        </w:tc>
        <w:tc>
          <w:tcPr>
            <w:tcW w:w="4927" w:type="dxa"/>
            <w:vAlign w:val="center"/>
          </w:tcPr>
          <w:p w14:paraId="6E06A775" w14:textId="77777777" w:rsidR="00D170E5" w:rsidRPr="002B55E9" w:rsidRDefault="00EF27AD">
            <w:pPr>
              <w:rPr>
                <w:sz w:val="18"/>
                <w:szCs w:val="18"/>
              </w:rPr>
            </w:pPr>
            <w:r w:rsidRPr="002B55E9">
              <w:rPr>
                <w:sz w:val="18"/>
                <w:szCs w:val="18"/>
              </w:rPr>
              <w:t>禁止在河道、湖泊和水库管理范围内建设妨碍行洪的建（构）筑物。在河道、湖泊和水库管理范围内修建符合防洪要求、城市总体规划的建（构）筑物，应当编制洪水影响评价报告，并须经市水行政主管部门和市城市规划行政主管部门审查同意（在港区范围内的，还须征得交通运输主管部门的同意）后，按照国家规定的审批权限报批。对本规定施行前利用河道、湖泊滩地建成的建（构）筑物，由市防汛指挥机构责成有关部门进行调查清理，对妨碍行洪的，由市防汛指挥机构责令限期采取补救措施，排除妨碍；对严重影响防洪，又不能采取补救措施的，责令限期拆除；逾期不拆除的，强行拆除，所需费用由建设单位承担。单位使用的河道、湖泊滩地不得自行转让、租借或者改变用途；限期使用的，应当按期退出。</w:t>
            </w:r>
          </w:p>
        </w:tc>
        <w:tc>
          <w:tcPr>
            <w:tcW w:w="2667" w:type="dxa"/>
            <w:vMerge w:val="restart"/>
            <w:vAlign w:val="center"/>
          </w:tcPr>
          <w:p w14:paraId="10532DF1" w14:textId="77777777" w:rsidR="00D170E5" w:rsidRPr="002B55E9" w:rsidRDefault="00EF27AD">
            <w:pPr>
              <w:rPr>
                <w:sz w:val="18"/>
                <w:szCs w:val="18"/>
              </w:rPr>
            </w:pPr>
            <w:r w:rsidRPr="002B55E9">
              <w:rPr>
                <w:sz w:val="18"/>
                <w:szCs w:val="18"/>
              </w:rPr>
              <w:t>符合。本项目为</w:t>
            </w:r>
            <w:r w:rsidRPr="002B55E9">
              <w:rPr>
                <w:rFonts w:hint="eastAsia"/>
                <w:sz w:val="18"/>
                <w:szCs w:val="18"/>
              </w:rPr>
              <w:t>调味品生产项目</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内，不属于防洪、采砂项目</w:t>
            </w:r>
          </w:p>
        </w:tc>
      </w:tr>
      <w:tr w:rsidR="00C60999" w:rsidRPr="002B55E9" w14:paraId="17AAC3A3" w14:textId="77777777">
        <w:trPr>
          <w:trHeight w:val="284"/>
          <w:jc w:val="center"/>
        </w:trPr>
        <w:tc>
          <w:tcPr>
            <w:tcW w:w="587" w:type="dxa"/>
            <w:vMerge/>
            <w:vAlign w:val="center"/>
          </w:tcPr>
          <w:p w14:paraId="0637AD27" w14:textId="77777777" w:rsidR="00D170E5" w:rsidRPr="002B55E9" w:rsidRDefault="00D170E5">
            <w:pPr>
              <w:jc w:val="center"/>
              <w:rPr>
                <w:sz w:val="18"/>
                <w:szCs w:val="18"/>
              </w:rPr>
            </w:pPr>
          </w:p>
        </w:tc>
        <w:tc>
          <w:tcPr>
            <w:tcW w:w="941" w:type="dxa"/>
            <w:vMerge/>
            <w:vAlign w:val="center"/>
          </w:tcPr>
          <w:p w14:paraId="20FA5A4E" w14:textId="77777777" w:rsidR="00D170E5" w:rsidRPr="002B55E9" w:rsidRDefault="00D170E5">
            <w:pPr>
              <w:jc w:val="center"/>
              <w:rPr>
                <w:sz w:val="18"/>
                <w:szCs w:val="18"/>
              </w:rPr>
            </w:pPr>
          </w:p>
        </w:tc>
        <w:tc>
          <w:tcPr>
            <w:tcW w:w="515" w:type="dxa"/>
            <w:vAlign w:val="center"/>
          </w:tcPr>
          <w:p w14:paraId="3F673176" w14:textId="77777777" w:rsidR="00D170E5" w:rsidRPr="002B55E9" w:rsidRDefault="00EF27AD">
            <w:pPr>
              <w:jc w:val="center"/>
              <w:rPr>
                <w:sz w:val="18"/>
                <w:szCs w:val="18"/>
              </w:rPr>
            </w:pPr>
            <w:r w:rsidRPr="002B55E9">
              <w:rPr>
                <w:sz w:val="18"/>
                <w:szCs w:val="18"/>
              </w:rPr>
              <w:t>50</w:t>
            </w:r>
          </w:p>
        </w:tc>
        <w:tc>
          <w:tcPr>
            <w:tcW w:w="4927" w:type="dxa"/>
            <w:vAlign w:val="center"/>
          </w:tcPr>
          <w:p w14:paraId="74E14E83" w14:textId="77777777" w:rsidR="00D170E5" w:rsidRPr="002B55E9" w:rsidRDefault="00EF27AD">
            <w:pPr>
              <w:rPr>
                <w:sz w:val="18"/>
                <w:szCs w:val="18"/>
              </w:rPr>
            </w:pPr>
            <w:r w:rsidRPr="002B55E9">
              <w:rPr>
                <w:sz w:val="18"/>
                <w:szCs w:val="18"/>
              </w:rPr>
              <w:t>除堤防吹填固基、整治疏浚河道等公益性采砂外，长江、汉江本市管理范围内禁止采砂。禁止擅自在河道采砂。依法取得采砂许可证的，应当按照规定的开采范围和作业方式进行采砂活动。禁止在市人民政府不允许堆放黄砂等物料的河道、湖泊滩地堆放黄砂等物料；在其他河道、湖泊滩地堆放黄砂等物料的，须报经市水行政主管部门批准并按照规定的时间和指定的位置堆放。在防洪工程设施保护范围内，禁止进行爆破、挖塘、打井、钻探、釆石、取土等危害防洪工程设施安全的活动。在洪泛区、蓄滞洪区建设非防洪建设项目，依法应当编制洪水影响评价报告的，由市以上水行政主管部门认可的专业设计部门编制，并按照规定报水行政主管部门审查批准。</w:t>
            </w:r>
          </w:p>
        </w:tc>
        <w:tc>
          <w:tcPr>
            <w:tcW w:w="2667" w:type="dxa"/>
            <w:vMerge/>
            <w:vAlign w:val="center"/>
          </w:tcPr>
          <w:p w14:paraId="028DDED8" w14:textId="77777777" w:rsidR="00D170E5" w:rsidRPr="002B55E9" w:rsidRDefault="00D170E5">
            <w:pPr>
              <w:rPr>
                <w:sz w:val="18"/>
                <w:szCs w:val="18"/>
              </w:rPr>
            </w:pPr>
          </w:p>
        </w:tc>
      </w:tr>
      <w:tr w:rsidR="00C60999" w:rsidRPr="002B55E9" w14:paraId="0D34FD42" w14:textId="77777777">
        <w:trPr>
          <w:trHeight w:val="284"/>
          <w:jc w:val="center"/>
        </w:trPr>
        <w:tc>
          <w:tcPr>
            <w:tcW w:w="587" w:type="dxa"/>
            <w:vMerge w:val="restart"/>
            <w:vAlign w:val="center"/>
          </w:tcPr>
          <w:p w14:paraId="0D1FFC6B" w14:textId="77777777" w:rsidR="00D170E5" w:rsidRPr="002B55E9" w:rsidRDefault="00EF27AD">
            <w:pPr>
              <w:jc w:val="center"/>
              <w:rPr>
                <w:sz w:val="18"/>
                <w:szCs w:val="18"/>
              </w:rPr>
            </w:pPr>
            <w:r w:rsidRPr="002B55E9">
              <w:rPr>
                <w:sz w:val="18"/>
                <w:szCs w:val="18"/>
              </w:rPr>
              <w:lastRenderedPageBreak/>
              <w:t>水资源保护</w:t>
            </w:r>
          </w:p>
        </w:tc>
        <w:tc>
          <w:tcPr>
            <w:tcW w:w="941" w:type="dxa"/>
            <w:vAlign w:val="center"/>
          </w:tcPr>
          <w:p w14:paraId="1F2341D5" w14:textId="77777777" w:rsidR="00D170E5" w:rsidRPr="002B55E9" w:rsidRDefault="00EF27AD">
            <w:pPr>
              <w:jc w:val="center"/>
              <w:rPr>
                <w:sz w:val="18"/>
                <w:szCs w:val="18"/>
              </w:rPr>
            </w:pPr>
            <w:r w:rsidRPr="002B55E9">
              <w:rPr>
                <w:sz w:val="18"/>
                <w:szCs w:val="18"/>
              </w:rPr>
              <w:t>禁止开</w:t>
            </w:r>
            <w:r w:rsidRPr="002B55E9">
              <w:rPr>
                <w:rFonts w:hint="eastAsia"/>
                <w:sz w:val="18"/>
                <w:szCs w:val="18"/>
              </w:rPr>
              <w:t>发</w:t>
            </w:r>
            <w:r w:rsidRPr="002B55E9">
              <w:rPr>
                <w:sz w:val="18"/>
                <w:szCs w:val="18"/>
              </w:rPr>
              <w:t>建设活动的要求</w:t>
            </w:r>
          </w:p>
        </w:tc>
        <w:tc>
          <w:tcPr>
            <w:tcW w:w="515" w:type="dxa"/>
            <w:vAlign w:val="center"/>
          </w:tcPr>
          <w:p w14:paraId="26A13B42" w14:textId="77777777" w:rsidR="00D170E5" w:rsidRPr="002B55E9" w:rsidRDefault="00EF27AD">
            <w:pPr>
              <w:jc w:val="center"/>
              <w:rPr>
                <w:sz w:val="18"/>
                <w:szCs w:val="18"/>
              </w:rPr>
            </w:pPr>
            <w:r w:rsidRPr="002B55E9">
              <w:rPr>
                <w:sz w:val="18"/>
                <w:szCs w:val="18"/>
              </w:rPr>
              <w:t>51</w:t>
            </w:r>
          </w:p>
        </w:tc>
        <w:tc>
          <w:tcPr>
            <w:tcW w:w="4927" w:type="dxa"/>
            <w:vAlign w:val="center"/>
          </w:tcPr>
          <w:p w14:paraId="126B1345" w14:textId="77777777" w:rsidR="00D170E5" w:rsidRPr="002B55E9" w:rsidRDefault="00EF27AD">
            <w:pPr>
              <w:rPr>
                <w:sz w:val="18"/>
                <w:szCs w:val="18"/>
              </w:rPr>
            </w:pPr>
            <w:r w:rsidRPr="002B55E9">
              <w:rPr>
                <w:sz w:val="18"/>
                <w:szCs w:val="18"/>
              </w:rPr>
              <w:t>禁止在江河、湖泊、水库和人工水</w:t>
            </w:r>
            <w:r w:rsidRPr="002B55E9">
              <w:rPr>
                <w:sz w:val="18"/>
                <w:szCs w:val="18"/>
              </w:rPr>
              <w:cr/>
            </w:r>
            <w:r w:rsidRPr="002B55E9">
              <w:rPr>
                <w:sz w:val="18"/>
                <w:szCs w:val="18"/>
              </w:rPr>
              <w:t>水域范</w:t>
            </w:r>
            <w:r w:rsidRPr="002B55E9">
              <w:rPr>
                <w:sz w:val="18"/>
                <w:szCs w:val="18"/>
              </w:rPr>
              <w:cr/>
            </w:r>
            <w:r w:rsidRPr="002B55E9">
              <w:rPr>
                <w:sz w:val="18"/>
                <w:szCs w:val="18"/>
              </w:rPr>
              <w:t>内新建对水体有污染的餐饮等经营场所。禁止在江河、湖</w:t>
            </w:r>
            <w:r w:rsidRPr="002B55E9">
              <w:rPr>
                <w:sz w:val="18"/>
                <w:szCs w:val="18"/>
              </w:rPr>
              <w:t xml:space="preserve"> </w:t>
            </w:r>
            <w:r w:rsidRPr="002B55E9">
              <w:rPr>
                <w:sz w:val="18"/>
                <w:szCs w:val="18"/>
              </w:rPr>
              <w:t>泊、水库、渠道最高水位线以下的滩地和岸坡堆放、存贮固体废弃物、其他污染物以及破坏植被。</w:t>
            </w:r>
          </w:p>
        </w:tc>
        <w:tc>
          <w:tcPr>
            <w:tcW w:w="2667" w:type="dxa"/>
            <w:vMerge w:val="restart"/>
            <w:vAlign w:val="center"/>
          </w:tcPr>
          <w:p w14:paraId="30CEEBB3" w14:textId="77777777" w:rsidR="00D170E5" w:rsidRPr="002B55E9" w:rsidRDefault="00EF27AD">
            <w:pPr>
              <w:rPr>
                <w:sz w:val="18"/>
                <w:szCs w:val="18"/>
              </w:rPr>
            </w:pPr>
            <w:r w:rsidRPr="002B55E9">
              <w:rPr>
                <w:sz w:val="18"/>
                <w:szCs w:val="18"/>
              </w:rPr>
              <w:t>符合。本项目为</w:t>
            </w:r>
            <w:r w:rsidRPr="002B55E9">
              <w:rPr>
                <w:rFonts w:hint="eastAsia"/>
                <w:sz w:val="18"/>
                <w:szCs w:val="18"/>
              </w:rPr>
              <w:t>调味品生产</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内，不在江河、湖泊、水库和人工水道水域范围内</w:t>
            </w:r>
          </w:p>
        </w:tc>
      </w:tr>
      <w:tr w:rsidR="00C60999" w:rsidRPr="002B55E9" w14:paraId="612D32E1" w14:textId="77777777">
        <w:trPr>
          <w:trHeight w:val="284"/>
          <w:jc w:val="center"/>
        </w:trPr>
        <w:tc>
          <w:tcPr>
            <w:tcW w:w="587" w:type="dxa"/>
            <w:vMerge/>
            <w:vAlign w:val="center"/>
          </w:tcPr>
          <w:p w14:paraId="44E48E8A" w14:textId="77777777" w:rsidR="00D170E5" w:rsidRPr="002B55E9" w:rsidRDefault="00D170E5">
            <w:pPr>
              <w:jc w:val="center"/>
              <w:rPr>
                <w:sz w:val="18"/>
                <w:szCs w:val="18"/>
              </w:rPr>
            </w:pPr>
          </w:p>
        </w:tc>
        <w:tc>
          <w:tcPr>
            <w:tcW w:w="941" w:type="dxa"/>
            <w:vAlign w:val="center"/>
          </w:tcPr>
          <w:p w14:paraId="0F3D1B81"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3654CF66" w14:textId="77777777" w:rsidR="00D170E5" w:rsidRPr="002B55E9" w:rsidRDefault="00EF27AD">
            <w:pPr>
              <w:jc w:val="center"/>
              <w:rPr>
                <w:sz w:val="18"/>
                <w:szCs w:val="18"/>
              </w:rPr>
            </w:pPr>
            <w:r w:rsidRPr="002B55E9">
              <w:rPr>
                <w:sz w:val="18"/>
                <w:szCs w:val="18"/>
              </w:rPr>
              <w:t>52</w:t>
            </w:r>
          </w:p>
        </w:tc>
        <w:tc>
          <w:tcPr>
            <w:tcW w:w="4927" w:type="dxa"/>
            <w:vAlign w:val="center"/>
          </w:tcPr>
          <w:p w14:paraId="6EA543FC" w14:textId="77777777" w:rsidR="00D170E5" w:rsidRPr="002B55E9" w:rsidRDefault="00EF27AD">
            <w:pPr>
              <w:rPr>
                <w:sz w:val="18"/>
                <w:szCs w:val="18"/>
              </w:rPr>
            </w:pPr>
            <w:r w:rsidRPr="002B55E9">
              <w:rPr>
                <w:sz w:val="18"/>
                <w:szCs w:val="18"/>
              </w:rPr>
              <w:t>在江河、湖泊、水库和人工水道新（改）建、扩大排污口（含畜禽养殖场、农贸市场和农副产品加工等单位产生的废污水直接排入江河、湖泊、水库和人工水道）的，应当按照有关标准进行排污口设置论证，论证</w:t>
            </w:r>
            <w:r w:rsidRPr="002B55E9">
              <w:rPr>
                <w:sz w:val="18"/>
                <w:szCs w:val="18"/>
              </w:rPr>
              <w:t xml:space="preserve"> </w:t>
            </w:r>
            <w:r w:rsidRPr="002B55E9">
              <w:rPr>
                <w:sz w:val="18"/>
                <w:szCs w:val="18"/>
              </w:rPr>
              <w:t>通过的，依法办理排污口设置许可手续。</w:t>
            </w:r>
          </w:p>
        </w:tc>
        <w:tc>
          <w:tcPr>
            <w:tcW w:w="2667" w:type="dxa"/>
            <w:vMerge/>
            <w:vAlign w:val="center"/>
          </w:tcPr>
          <w:p w14:paraId="552E02C5" w14:textId="77777777" w:rsidR="00D170E5" w:rsidRPr="002B55E9" w:rsidRDefault="00D170E5">
            <w:pPr>
              <w:rPr>
                <w:sz w:val="18"/>
                <w:szCs w:val="18"/>
              </w:rPr>
            </w:pPr>
          </w:p>
        </w:tc>
      </w:tr>
      <w:tr w:rsidR="00C60999" w:rsidRPr="002B55E9" w14:paraId="587637EB" w14:textId="77777777">
        <w:trPr>
          <w:trHeight w:val="284"/>
          <w:jc w:val="center"/>
        </w:trPr>
        <w:tc>
          <w:tcPr>
            <w:tcW w:w="587" w:type="dxa"/>
            <w:vMerge w:val="restart"/>
            <w:vAlign w:val="center"/>
          </w:tcPr>
          <w:p w14:paraId="1E05D07C" w14:textId="77777777" w:rsidR="00D170E5" w:rsidRPr="002B55E9" w:rsidRDefault="00EF27AD">
            <w:pPr>
              <w:jc w:val="center"/>
              <w:rPr>
                <w:sz w:val="18"/>
                <w:szCs w:val="18"/>
              </w:rPr>
            </w:pPr>
            <w:r w:rsidRPr="002B55E9">
              <w:rPr>
                <w:sz w:val="18"/>
                <w:szCs w:val="18"/>
              </w:rPr>
              <w:t>山体保护</w:t>
            </w:r>
          </w:p>
        </w:tc>
        <w:tc>
          <w:tcPr>
            <w:tcW w:w="941" w:type="dxa"/>
            <w:vAlign w:val="center"/>
          </w:tcPr>
          <w:p w14:paraId="601BEA5B" w14:textId="77777777" w:rsidR="00D170E5" w:rsidRPr="002B55E9" w:rsidRDefault="00EF27AD">
            <w:pPr>
              <w:jc w:val="center"/>
              <w:rPr>
                <w:sz w:val="18"/>
                <w:szCs w:val="18"/>
              </w:rPr>
            </w:pPr>
            <w:r w:rsidRPr="002B55E9">
              <w:rPr>
                <w:sz w:val="18"/>
                <w:szCs w:val="18"/>
              </w:rPr>
              <w:t>禁止开发建设活动的要求</w:t>
            </w:r>
          </w:p>
        </w:tc>
        <w:tc>
          <w:tcPr>
            <w:tcW w:w="515" w:type="dxa"/>
            <w:vAlign w:val="center"/>
          </w:tcPr>
          <w:p w14:paraId="29FA7F93" w14:textId="77777777" w:rsidR="00D170E5" w:rsidRPr="002B55E9" w:rsidRDefault="00EF27AD">
            <w:pPr>
              <w:jc w:val="center"/>
              <w:rPr>
                <w:sz w:val="18"/>
                <w:szCs w:val="18"/>
              </w:rPr>
            </w:pPr>
            <w:r w:rsidRPr="002B55E9">
              <w:rPr>
                <w:sz w:val="18"/>
                <w:szCs w:val="18"/>
              </w:rPr>
              <w:t>53</w:t>
            </w:r>
          </w:p>
        </w:tc>
        <w:tc>
          <w:tcPr>
            <w:tcW w:w="4927" w:type="dxa"/>
            <w:vAlign w:val="center"/>
          </w:tcPr>
          <w:p w14:paraId="09FCEE11" w14:textId="77777777" w:rsidR="00D170E5" w:rsidRPr="002B55E9" w:rsidRDefault="00EF27AD">
            <w:pPr>
              <w:rPr>
                <w:sz w:val="18"/>
                <w:szCs w:val="18"/>
              </w:rPr>
            </w:pPr>
            <w:r w:rsidRPr="002B55E9">
              <w:rPr>
                <w:sz w:val="18"/>
                <w:szCs w:val="18"/>
              </w:rPr>
              <w:t>在山体保护范围内禁止实施下列行为：（一）擅自采伐林木；（二）擅自挖砂、采石、取土；（三）新建公墓；（四）设立户外广告；（五）倾倒垃圾、渣土和有毒、有害物质；（六）其他擅自侵占、破坏山体的行为。</w:t>
            </w:r>
          </w:p>
        </w:tc>
        <w:tc>
          <w:tcPr>
            <w:tcW w:w="2667" w:type="dxa"/>
            <w:vMerge w:val="restart"/>
            <w:vAlign w:val="center"/>
          </w:tcPr>
          <w:p w14:paraId="4745B67A" w14:textId="77777777" w:rsidR="00D170E5" w:rsidRPr="002B55E9" w:rsidRDefault="00EF27AD">
            <w:pPr>
              <w:rPr>
                <w:sz w:val="18"/>
                <w:szCs w:val="18"/>
              </w:rPr>
            </w:pPr>
            <w:r w:rsidRPr="002B55E9">
              <w:rPr>
                <w:sz w:val="18"/>
                <w:szCs w:val="18"/>
              </w:rPr>
              <w:t>符合。本项目为</w:t>
            </w:r>
            <w:r w:rsidRPr="002B55E9">
              <w:rPr>
                <w:rFonts w:hint="eastAsia"/>
                <w:sz w:val="18"/>
                <w:szCs w:val="18"/>
              </w:rPr>
              <w:t>调味品生产</w:t>
            </w:r>
            <w:r w:rsidRPr="002B55E9">
              <w:rPr>
                <w:sz w:val="18"/>
                <w:szCs w:val="18"/>
              </w:rPr>
              <w:t>，选址位于武汉</w:t>
            </w:r>
            <w:r w:rsidRPr="002B55E9">
              <w:rPr>
                <w:rFonts w:hint="eastAsia"/>
                <w:sz w:val="18"/>
                <w:szCs w:val="18"/>
              </w:rPr>
              <w:t>东西湖区新沟镇街食品医疗用地板块</w:t>
            </w:r>
            <w:r w:rsidRPr="002B55E9">
              <w:rPr>
                <w:sz w:val="18"/>
                <w:szCs w:val="18"/>
              </w:rPr>
              <w:t>内，不在山体保护范围内</w:t>
            </w:r>
          </w:p>
        </w:tc>
      </w:tr>
      <w:tr w:rsidR="00C60999" w:rsidRPr="002B55E9" w14:paraId="01E30B43" w14:textId="77777777">
        <w:trPr>
          <w:trHeight w:val="284"/>
          <w:jc w:val="center"/>
        </w:trPr>
        <w:tc>
          <w:tcPr>
            <w:tcW w:w="587" w:type="dxa"/>
            <w:vMerge/>
            <w:vAlign w:val="center"/>
          </w:tcPr>
          <w:p w14:paraId="4A4C04CB" w14:textId="77777777" w:rsidR="00D170E5" w:rsidRPr="002B55E9" w:rsidRDefault="00D170E5">
            <w:pPr>
              <w:jc w:val="center"/>
              <w:rPr>
                <w:sz w:val="18"/>
                <w:szCs w:val="18"/>
              </w:rPr>
            </w:pPr>
          </w:p>
        </w:tc>
        <w:tc>
          <w:tcPr>
            <w:tcW w:w="941" w:type="dxa"/>
            <w:vMerge w:val="restart"/>
            <w:vAlign w:val="center"/>
          </w:tcPr>
          <w:p w14:paraId="6160B217" w14:textId="77777777" w:rsidR="00D170E5" w:rsidRPr="002B55E9" w:rsidRDefault="00EF27AD">
            <w:pPr>
              <w:jc w:val="center"/>
              <w:rPr>
                <w:sz w:val="18"/>
                <w:szCs w:val="18"/>
              </w:rPr>
            </w:pPr>
            <w:r w:rsidRPr="002B55E9">
              <w:rPr>
                <w:sz w:val="18"/>
                <w:szCs w:val="18"/>
              </w:rPr>
              <w:t>限制开发建设活动的要求</w:t>
            </w:r>
          </w:p>
        </w:tc>
        <w:tc>
          <w:tcPr>
            <w:tcW w:w="515" w:type="dxa"/>
            <w:vAlign w:val="center"/>
          </w:tcPr>
          <w:p w14:paraId="559D0E18" w14:textId="77777777" w:rsidR="00D170E5" w:rsidRPr="002B55E9" w:rsidRDefault="00EF27AD">
            <w:pPr>
              <w:jc w:val="center"/>
              <w:rPr>
                <w:sz w:val="18"/>
                <w:szCs w:val="18"/>
              </w:rPr>
            </w:pPr>
            <w:r w:rsidRPr="002B55E9">
              <w:rPr>
                <w:sz w:val="18"/>
                <w:szCs w:val="18"/>
              </w:rPr>
              <w:t>54</w:t>
            </w:r>
          </w:p>
        </w:tc>
        <w:tc>
          <w:tcPr>
            <w:tcW w:w="4927" w:type="dxa"/>
            <w:vAlign w:val="center"/>
          </w:tcPr>
          <w:p w14:paraId="0532A496" w14:textId="77777777" w:rsidR="00D170E5" w:rsidRPr="002B55E9" w:rsidRDefault="00EF27AD">
            <w:pPr>
              <w:rPr>
                <w:sz w:val="18"/>
                <w:szCs w:val="18"/>
              </w:rPr>
            </w:pPr>
            <w:r w:rsidRPr="002B55E9">
              <w:rPr>
                <w:sz w:val="18"/>
                <w:szCs w:val="18"/>
              </w:rPr>
              <w:t>除下列项目外，中心城区山体本体线范围内禁止建设其他项目：（一）具有系统性影响、确需建设的市政</w:t>
            </w:r>
            <w:r w:rsidRPr="002B55E9">
              <w:rPr>
                <w:sz w:val="18"/>
                <w:szCs w:val="18"/>
              </w:rPr>
              <w:t xml:space="preserve"> </w:t>
            </w:r>
            <w:r w:rsidRPr="002B55E9">
              <w:rPr>
                <w:sz w:val="18"/>
                <w:szCs w:val="18"/>
              </w:rPr>
              <w:t>公用设施；（二）必要的山体景观游赏设施；（三）确需建设的军</w:t>
            </w:r>
            <w:r w:rsidRPr="002B55E9">
              <w:rPr>
                <w:sz w:val="18"/>
                <w:szCs w:val="18"/>
              </w:rPr>
              <w:cr/>
            </w:r>
            <w:r w:rsidRPr="002B55E9">
              <w:rPr>
                <w:sz w:val="18"/>
                <w:szCs w:val="18"/>
              </w:rPr>
              <w:t>、保密等特殊用途设施。</w:t>
            </w:r>
          </w:p>
        </w:tc>
        <w:tc>
          <w:tcPr>
            <w:tcW w:w="2667" w:type="dxa"/>
            <w:vMerge/>
            <w:vAlign w:val="center"/>
          </w:tcPr>
          <w:p w14:paraId="02E0B742" w14:textId="77777777" w:rsidR="00D170E5" w:rsidRPr="002B55E9" w:rsidRDefault="00D170E5">
            <w:pPr>
              <w:rPr>
                <w:sz w:val="18"/>
                <w:szCs w:val="18"/>
              </w:rPr>
            </w:pPr>
          </w:p>
        </w:tc>
      </w:tr>
      <w:tr w:rsidR="00C60999" w:rsidRPr="002B55E9" w14:paraId="48EC90EF" w14:textId="77777777">
        <w:trPr>
          <w:trHeight w:val="284"/>
          <w:jc w:val="center"/>
        </w:trPr>
        <w:tc>
          <w:tcPr>
            <w:tcW w:w="587" w:type="dxa"/>
            <w:vMerge/>
            <w:vAlign w:val="center"/>
          </w:tcPr>
          <w:p w14:paraId="7E33CA3A" w14:textId="77777777" w:rsidR="00D170E5" w:rsidRPr="002B55E9" w:rsidRDefault="00D170E5">
            <w:pPr>
              <w:jc w:val="center"/>
              <w:rPr>
                <w:sz w:val="18"/>
                <w:szCs w:val="18"/>
              </w:rPr>
            </w:pPr>
          </w:p>
        </w:tc>
        <w:tc>
          <w:tcPr>
            <w:tcW w:w="941" w:type="dxa"/>
            <w:vMerge/>
            <w:vAlign w:val="center"/>
          </w:tcPr>
          <w:p w14:paraId="23E20F73" w14:textId="77777777" w:rsidR="00D170E5" w:rsidRPr="002B55E9" w:rsidRDefault="00D170E5">
            <w:pPr>
              <w:jc w:val="center"/>
              <w:rPr>
                <w:sz w:val="18"/>
                <w:szCs w:val="18"/>
              </w:rPr>
            </w:pPr>
          </w:p>
        </w:tc>
        <w:tc>
          <w:tcPr>
            <w:tcW w:w="515" w:type="dxa"/>
            <w:vAlign w:val="center"/>
          </w:tcPr>
          <w:p w14:paraId="32776ED8" w14:textId="77777777" w:rsidR="00D170E5" w:rsidRPr="002B55E9" w:rsidRDefault="00EF27AD">
            <w:pPr>
              <w:jc w:val="center"/>
              <w:rPr>
                <w:sz w:val="18"/>
                <w:szCs w:val="18"/>
              </w:rPr>
            </w:pPr>
            <w:r w:rsidRPr="002B55E9">
              <w:rPr>
                <w:sz w:val="18"/>
                <w:szCs w:val="18"/>
              </w:rPr>
              <w:t>55</w:t>
            </w:r>
          </w:p>
        </w:tc>
        <w:tc>
          <w:tcPr>
            <w:tcW w:w="4927" w:type="dxa"/>
            <w:vAlign w:val="center"/>
          </w:tcPr>
          <w:p w14:paraId="2AE4138F" w14:textId="77777777" w:rsidR="00D170E5" w:rsidRPr="002B55E9" w:rsidRDefault="00EF27AD">
            <w:pPr>
              <w:rPr>
                <w:sz w:val="18"/>
                <w:szCs w:val="18"/>
              </w:rPr>
            </w:pPr>
            <w:r w:rsidRPr="002B55E9">
              <w:rPr>
                <w:sz w:val="18"/>
                <w:szCs w:val="18"/>
              </w:rPr>
              <w:t>除下列项目外，中心城区山体保护线范围内禁止建设其他项目：（一）《武汉市山体保护办法》规定的中心城区山体本体线范围内可以建设的项目；（二）具有系统性影响、确需建设的道路交通设施；（三）公园绿</w:t>
            </w:r>
            <w:r w:rsidRPr="002B55E9">
              <w:rPr>
                <w:sz w:val="18"/>
                <w:szCs w:val="18"/>
              </w:rPr>
              <w:t xml:space="preserve"> </w:t>
            </w:r>
            <w:r w:rsidRPr="002B55E9">
              <w:rPr>
                <w:sz w:val="18"/>
                <w:szCs w:val="18"/>
              </w:rPr>
              <w:t>地。</w:t>
            </w:r>
          </w:p>
        </w:tc>
        <w:tc>
          <w:tcPr>
            <w:tcW w:w="2667" w:type="dxa"/>
            <w:vMerge/>
            <w:vAlign w:val="center"/>
          </w:tcPr>
          <w:p w14:paraId="0ACF2C8B" w14:textId="77777777" w:rsidR="00D170E5" w:rsidRPr="002B55E9" w:rsidRDefault="00D170E5">
            <w:pPr>
              <w:rPr>
                <w:sz w:val="18"/>
                <w:szCs w:val="18"/>
              </w:rPr>
            </w:pPr>
          </w:p>
        </w:tc>
      </w:tr>
      <w:tr w:rsidR="00C60999" w:rsidRPr="002B55E9" w14:paraId="1F891649" w14:textId="77777777">
        <w:trPr>
          <w:trHeight w:val="284"/>
          <w:jc w:val="center"/>
        </w:trPr>
        <w:tc>
          <w:tcPr>
            <w:tcW w:w="587" w:type="dxa"/>
            <w:vMerge/>
            <w:tcBorders>
              <w:bottom w:val="single" w:sz="12" w:space="0" w:color="auto"/>
            </w:tcBorders>
            <w:vAlign w:val="center"/>
          </w:tcPr>
          <w:p w14:paraId="368102C2" w14:textId="77777777" w:rsidR="00D170E5" w:rsidRPr="002B55E9" w:rsidRDefault="00D170E5">
            <w:pPr>
              <w:jc w:val="center"/>
              <w:rPr>
                <w:sz w:val="18"/>
                <w:szCs w:val="18"/>
              </w:rPr>
            </w:pPr>
          </w:p>
        </w:tc>
        <w:tc>
          <w:tcPr>
            <w:tcW w:w="941" w:type="dxa"/>
            <w:vMerge/>
            <w:tcBorders>
              <w:bottom w:val="single" w:sz="12" w:space="0" w:color="auto"/>
            </w:tcBorders>
            <w:vAlign w:val="center"/>
          </w:tcPr>
          <w:p w14:paraId="0E538F77" w14:textId="77777777" w:rsidR="00D170E5" w:rsidRPr="002B55E9" w:rsidRDefault="00D170E5">
            <w:pPr>
              <w:jc w:val="center"/>
              <w:rPr>
                <w:sz w:val="18"/>
                <w:szCs w:val="18"/>
              </w:rPr>
            </w:pPr>
          </w:p>
        </w:tc>
        <w:tc>
          <w:tcPr>
            <w:tcW w:w="515" w:type="dxa"/>
            <w:tcBorders>
              <w:bottom w:val="single" w:sz="12" w:space="0" w:color="auto"/>
            </w:tcBorders>
            <w:vAlign w:val="center"/>
          </w:tcPr>
          <w:p w14:paraId="36B38A8B" w14:textId="77777777" w:rsidR="00D170E5" w:rsidRPr="002B55E9" w:rsidRDefault="00EF27AD">
            <w:pPr>
              <w:jc w:val="center"/>
              <w:rPr>
                <w:sz w:val="18"/>
                <w:szCs w:val="18"/>
              </w:rPr>
            </w:pPr>
            <w:r w:rsidRPr="002B55E9">
              <w:rPr>
                <w:sz w:val="18"/>
                <w:szCs w:val="18"/>
              </w:rPr>
              <w:t>56</w:t>
            </w:r>
          </w:p>
        </w:tc>
        <w:tc>
          <w:tcPr>
            <w:tcW w:w="4927" w:type="dxa"/>
            <w:tcBorders>
              <w:bottom w:val="single" w:sz="12" w:space="0" w:color="auto"/>
            </w:tcBorders>
            <w:vAlign w:val="center"/>
          </w:tcPr>
          <w:p w14:paraId="20D6C6D2" w14:textId="77777777" w:rsidR="00D170E5" w:rsidRPr="002B55E9" w:rsidRDefault="00EF27AD">
            <w:pPr>
              <w:rPr>
                <w:sz w:val="18"/>
                <w:szCs w:val="18"/>
              </w:rPr>
            </w:pPr>
            <w:r w:rsidRPr="002B55E9">
              <w:rPr>
                <w:sz w:val="18"/>
                <w:szCs w:val="18"/>
              </w:rPr>
              <w:t>除下列项目外，中心城区以外山体保护范围内禁止建设其他项目：（一）《武汉市山体保护办法》规定的中心城区山体本体线范围内及中心城区山体保护线范围内可以建设的项目；（二）生态型农业和林业设施。</w:t>
            </w:r>
          </w:p>
        </w:tc>
        <w:tc>
          <w:tcPr>
            <w:tcW w:w="2667" w:type="dxa"/>
            <w:vMerge/>
            <w:tcBorders>
              <w:bottom w:val="single" w:sz="12" w:space="0" w:color="auto"/>
            </w:tcBorders>
            <w:vAlign w:val="center"/>
          </w:tcPr>
          <w:p w14:paraId="6A963556" w14:textId="77777777" w:rsidR="00D170E5" w:rsidRPr="002B55E9" w:rsidRDefault="00D170E5">
            <w:pPr>
              <w:rPr>
                <w:sz w:val="18"/>
                <w:szCs w:val="18"/>
              </w:rPr>
            </w:pPr>
          </w:p>
        </w:tc>
      </w:tr>
    </w:tbl>
    <w:p w14:paraId="6928B387" w14:textId="77777777" w:rsidR="00D170E5" w:rsidRPr="002B55E9" w:rsidRDefault="00EF27AD">
      <w:pPr>
        <w:pStyle w:val="afffffffffffff3"/>
        <w:ind w:firstLine="482"/>
        <w:rPr>
          <w:rFonts w:eastAsia="黑体"/>
          <w:sz w:val="24"/>
        </w:rPr>
      </w:pPr>
      <w:r w:rsidRPr="002B55E9">
        <w:rPr>
          <w:rFonts w:eastAsia="黑体"/>
          <w:sz w:val="24"/>
        </w:rPr>
        <w:t>表</w:t>
      </w:r>
      <w:r w:rsidRPr="002B55E9">
        <w:rPr>
          <w:rFonts w:eastAsia="黑体"/>
          <w:sz w:val="24"/>
        </w:rPr>
        <w:t>9-7-2</w:t>
      </w:r>
      <w:r w:rsidRPr="002B55E9">
        <w:rPr>
          <w:rFonts w:eastAsia="黑体" w:hint="eastAsia"/>
          <w:sz w:val="24"/>
        </w:rPr>
        <w:t xml:space="preserve">  </w:t>
      </w:r>
      <w:r w:rsidRPr="002B55E9">
        <w:rPr>
          <w:rFonts w:eastAsia="黑体"/>
          <w:sz w:val="24"/>
        </w:rPr>
        <w:t>本项目与</w:t>
      </w:r>
      <w:r w:rsidRPr="002B55E9">
        <w:rPr>
          <w:rFonts w:eastAsia="黑体"/>
          <w:sz w:val="24"/>
        </w:rPr>
        <w:t>“</w:t>
      </w:r>
      <w:r w:rsidRPr="002B55E9">
        <w:rPr>
          <w:rFonts w:eastAsia="黑体" w:hint="eastAsia"/>
          <w:sz w:val="24"/>
        </w:rPr>
        <w:t>武汉市东西湖区生态环境准入清单</w:t>
      </w:r>
      <w:r w:rsidRPr="002B55E9">
        <w:rPr>
          <w:rFonts w:eastAsia="黑体"/>
          <w:sz w:val="24"/>
        </w:rPr>
        <w:t>”</w:t>
      </w:r>
      <w:r w:rsidRPr="002B55E9">
        <w:rPr>
          <w:rFonts w:eastAsia="黑体"/>
          <w:sz w:val="24"/>
        </w:rPr>
        <w:t>符合性分析</w:t>
      </w:r>
    </w:p>
    <w:tbl>
      <w:tblPr>
        <w:tblW w:w="9637"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630"/>
        <w:gridCol w:w="609"/>
        <w:gridCol w:w="609"/>
        <w:gridCol w:w="5108"/>
        <w:gridCol w:w="2681"/>
      </w:tblGrid>
      <w:tr w:rsidR="00C60999" w:rsidRPr="002B55E9" w14:paraId="16BC5A30" w14:textId="77777777">
        <w:trPr>
          <w:trHeight w:val="284"/>
          <w:jc w:val="center"/>
        </w:trPr>
        <w:tc>
          <w:tcPr>
            <w:tcW w:w="630" w:type="dxa"/>
            <w:tcBorders>
              <w:top w:val="single" w:sz="12" w:space="0" w:color="auto"/>
              <w:bottom w:val="single" w:sz="2" w:space="0" w:color="auto"/>
            </w:tcBorders>
            <w:vAlign w:val="center"/>
          </w:tcPr>
          <w:p w14:paraId="597C270C" w14:textId="77777777" w:rsidR="00D170E5" w:rsidRPr="002B55E9" w:rsidRDefault="00EF27AD">
            <w:pPr>
              <w:ind w:leftChars="-30" w:left="-60" w:rightChars="-30" w:right="-60"/>
              <w:jc w:val="center"/>
              <w:rPr>
                <w:sz w:val="18"/>
                <w:szCs w:val="18"/>
              </w:rPr>
            </w:pPr>
            <w:r w:rsidRPr="002B55E9">
              <w:rPr>
                <w:sz w:val="18"/>
                <w:szCs w:val="18"/>
              </w:rPr>
              <w:t>涉及的乡镇或区域</w:t>
            </w:r>
          </w:p>
        </w:tc>
        <w:tc>
          <w:tcPr>
            <w:tcW w:w="609" w:type="dxa"/>
            <w:tcBorders>
              <w:top w:val="single" w:sz="12" w:space="0" w:color="auto"/>
              <w:bottom w:val="single" w:sz="2" w:space="0" w:color="auto"/>
            </w:tcBorders>
            <w:vAlign w:val="center"/>
          </w:tcPr>
          <w:p w14:paraId="0AF2CB82" w14:textId="77777777" w:rsidR="00D170E5" w:rsidRPr="002B55E9" w:rsidRDefault="00EF27AD">
            <w:pPr>
              <w:ind w:leftChars="-30" w:left="-60" w:rightChars="-30" w:right="-60"/>
              <w:jc w:val="center"/>
              <w:rPr>
                <w:sz w:val="18"/>
                <w:szCs w:val="18"/>
              </w:rPr>
            </w:pPr>
            <w:r w:rsidRPr="002B55E9">
              <w:rPr>
                <w:sz w:val="18"/>
                <w:szCs w:val="18"/>
              </w:rPr>
              <w:t>管控单元分类</w:t>
            </w:r>
          </w:p>
        </w:tc>
        <w:tc>
          <w:tcPr>
            <w:tcW w:w="5717" w:type="dxa"/>
            <w:gridSpan w:val="2"/>
            <w:tcBorders>
              <w:top w:val="single" w:sz="12" w:space="0" w:color="auto"/>
              <w:bottom w:val="single" w:sz="2" w:space="0" w:color="auto"/>
            </w:tcBorders>
            <w:vAlign w:val="center"/>
          </w:tcPr>
          <w:p w14:paraId="1F75ED08" w14:textId="77777777" w:rsidR="00D170E5" w:rsidRPr="002B55E9" w:rsidRDefault="00EF27AD">
            <w:pPr>
              <w:jc w:val="center"/>
              <w:rPr>
                <w:sz w:val="18"/>
                <w:szCs w:val="18"/>
              </w:rPr>
            </w:pPr>
            <w:r w:rsidRPr="002B55E9">
              <w:rPr>
                <w:sz w:val="18"/>
                <w:szCs w:val="18"/>
              </w:rPr>
              <w:t>管控要求（节选相关内容）</w:t>
            </w:r>
          </w:p>
        </w:tc>
        <w:tc>
          <w:tcPr>
            <w:tcW w:w="2681" w:type="dxa"/>
            <w:tcBorders>
              <w:top w:val="single" w:sz="12" w:space="0" w:color="auto"/>
              <w:bottom w:val="single" w:sz="2" w:space="0" w:color="auto"/>
            </w:tcBorders>
            <w:vAlign w:val="center"/>
          </w:tcPr>
          <w:p w14:paraId="0A13053B" w14:textId="77777777" w:rsidR="00D170E5" w:rsidRPr="002B55E9" w:rsidRDefault="00EF27AD">
            <w:pPr>
              <w:jc w:val="center"/>
              <w:rPr>
                <w:sz w:val="18"/>
                <w:szCs w:val="18"/>
              </w:rPr>
            </w:pPr>
            <w:r w:rsidRPr="002B55E9">
              <w:rPr>
                <w:sz w:val="18"/>
                <w:szCs w:val="18"/>
              </w:rPr>
              <w:t>符合性分析</w:t>
            </w:r>
          </w:p>
        </w:tc>
      </w:tr>
      <w:tr w:rsidR="00C60999" w:rsidRPr="002B55E9" w14:paraId="7113716A" w14:textId="77777777">
        <w:trPr>
          <w:trHeight w:val="284"/>
          <w:jc w:val="center"/>
        </w:trPr>
        <w:tc>
          <w:tcPr>
            <w:tcW w:w="630" w:type="dxa"/>
            <w:vMerge w:val="restart"/>
            <w:tcBorders>
              <w:top w:val="single" w:sz="4" w:space="0" w:color="auto"/>
              <w:bottom w:val="single" w:sz="2" w:space="0" w:color="auto"/>
              <w:right w:val="single" w:sz="4" w:space="0" w:color="auto"/>
            </w:tcBorders>
            <w:vAlign w:val="center"/>
          </w:tcPr>
          <w:p w14:paraId="52DCAE4A" w14:textId="77777777" w:rsidR="00D170E5" w:rsidRPr="002B55E9" w:rsidRDefault="00EF27AD">
            <w:pPr>
              <w:ind w:leftChars="-30" w:left="-60" w:rightChars="-30" w:right="-60"/>
              <w:jc w:val="center"/>
              <w:rPr>
                <w:sz w:val="18"/>
                <w:szCs w:val="18"/>
              </w:rPr>
            </w:pPr>
            <w:r w:rsidRPr="002B55E9">
              <w:rPr>
                <w:rFonts w:hint="eastAsia"/>
                <w:sz w:val="18"/>
                <w:szCs w:val="18"/>
              </w:rPr>
              <w:t>新沟镇街道</w:t>
            </w:r>
          </w:p>
        </w:tc>
        <w:tc>
          <w:tcPr>
            <w:tcW w:w="609" w:type="dxa"/>
            <w:vMerge w:val="restart"/>
            <w:tcBorders>
              <w:top w:val="single" w:sz="4" w:space="0" w:color="auto"/>
              <w:left w:val="single" w:sz="4" w:space="0" w:color="auto"/>
              <w:bottom w:val="single" w:sz="2" w:space="0" w:color="auto"/>
              <w:right w:val="single" w:sz="4" w:space="0" w:color="auto"/>
            </w:tcBorders>
            <w:vAlign w:val="center"/>
          </w:tcPr>
          <w:p w14:paraId="77173854" w14:textId="77777777" w:rsidR="00D170E5" w:rsidRPr="002B55E9" w:rsidRDefault="00EF27AD">
            <w:pPr>
              <w:ind w:leftChars="-30" w:left="-60" w:rightChars="-30" w:right="-60"/>
              <w:jc w:val="center"/>
              <w:rPr>
                <w:sz w:val="18"/>
                <w:szCs w:val="18"/>
              </w:rPr>
            </w:pPr>
            <w:r w:rsidRPr="002B55E9">
              <w:rPr>
                <w:sz w:val="18"/>
                <w:szCs w:val="18"/>
              </w:rPr>
              <w:t>重点管控单元</w:t>
            </w:r>
          </w:p>
        </w:tc>
        <w:tc>
          <w:tcPr>
            <w:tcW w:w="609" w:type="dxa"/>
            <w:tcBorders>
              <w:top w:val="single" w:sz="4" w:space="0" w:color="auto"/>
              <w:left w:val="single" w:sz="4" w:space="0" w:color="auto"/>
              <w:bottom w:val="single" w:sz="2" w:space="0" w:color="auto"/>
              <w:right w:val="single" w:sz="4" w:space="0" w:color="auto"/>
            </w:tcBorders>
            <w:vAlign w:val="center"/>
          </w:tcPr>
          <w:p w14:paraId="50D8DA7D" w14:textId="77777777" w:rsidR="00D170E5" w:rsidRPr="002B55E9" w:rsidRDefault="00EF27AD">
            <w:pPr>
              <w:jc w:val="center"/>
              <w:rPr>
                <w:sz w:val="18"/>
                <w:szCs w:val="18"/>
              </w:rPr>
            </w:pPr>
            <w:r w:rsidRPr="002B55E9">
              <w:rPr>
                <w:sz w:val="18"/>
                <w:szCs w:val="18"/>
              </w:rPr>
              <w:t>空间布局的约束</w:t>
            </w:r>
          </w:p>
        </w:tc>
        <w:tc>
          <w:tcPr>
            <w:tcW w:w="5108" w:type="dxa"/>
            <w:tcBorders>
              <w:top w:val="single" w:sz="4" w:space="0" w:color="auto"/>
              <w:left w:val="single" w:sz="4" w:space="0" w:color="auto"/>
              <w:bottom w:val="single" w:sz="2" w:space="0" w:color="auto"/>
              <w:right w:val="single" w:sz="4" w:space="0" w:color="auto"/>
            </w:tcBorders>
            <w:vAlign w:val="center"/>
          </w:tcPr>
          <w:p w14:paraId="2A42BD83" w14:textId="77777777" w:rsidR="00D170E5" w:rsidRPr="002B55E9" w:rsidRDefault="00EF27AD">
            <w:pPr>
              <w:rPr>
                <w:sz w:val="18"/>
                <w:szCs w:val="18"/>
              </w:rPr>
            </w:pPr>
            <w:r w:rsidRPr="002B55E9">
              <w:rPr>
                <w:rFonts w:hint="eastAsia"/>
                <w:sz w:val="18"/>
                <w:szCs w:val="18"/>
              </w:rPr>
              <w:t>1.</w:t>
            </w:r>
            <w:r w:rsidRPr="002B55E9">
              <w:rPr>
                <w:rFonts w:hint="eastAsia"/>
                <w:sz w:val="18"/>
                <w:szCs w:val="18"/>
              </w:rPr>
              <w:t>执行省总体准入要求中关于沿江</w:t>
            </w:r>
            <w:r w:rsidRPr="002B55E9">
              <w:rPr>
                <w:rFonts w:hint="eastAsia"/>
                <w:sz w:val="18"/>
                <w:szCs w:val="18"/>
              </w:rPr>
              <w:t>15</w:t>
            </w:r>
            <w:r w:rsidRPr="002B55E9">
              <w:rPr>
                <w:rFonts w:hint="eastAsia"/>
                <w:sz w:val="18"/>
                <w:szCs w:val="18"/>
              </w:rPr>
              <w:t>公里范围内布局约束的准入要求。</w:t>
            </w:r>
          </w:p>
          <w:p w14:paraId="5D6D04BC" w14:textId="77777777" w:rsidR="00D170E5" w:rsidRPr="002B55E9" w:rsidRDefault="00EF27AD">
            <w:pPr>
              <w:rPr>
                <w:sz w:val="18"/>
                <w:szCs w:val="18"/>
              </w:rPr>
            </w:pPr>
            <w:r w:rsidRPr="002B55E9">
              <w:rPr>
                <w:rFonts w:hint="eastAsia"/>
                <w:sz w:val="18"/>
                <w:szCs w:val="18"/>
              </w:rPr>
              <w:t>2.</w:t>
            </w:r>
            <w:r w:rsidRPr="002B55E9">
              <w:rPr>
                <w:rFonts w:hint="eastAsia"/>
                <w:sz w:val="18"/>
                <w:szCs w:val="18"/>
              </w:rPr>
              <w:t>东西湖区新城组群区域内新</w:t>
            </w:r>
            <w:r w:rsidRPr="002B55E9">
              <w:rPr>
                <w:rFonts w:hint="eastAsia"/>
                <w:sz w:val="18"/>
                <w:szCs w:val="18"/>
              </w:rPr>
              <w:t>(</w:t>
            </w:r>
            <w:r w:rsidRPr="002B55E9">
              <w:rPr>
                <w:rFonts w:hint="eastAsia"/>
                <w:sz w:val="18"/>
                <w:szCs w:val="18"/>
              </w:rPr>
              <w:t>改、扩</w:t>
            </w:r>
            <w:r w:rsidRPr="002B55E9">
              <w:rPr>
                <w:rFonts w:hint="eastAsia"/>
                <w:sz w:val="18"/>
                <w:szCs w:val="18"/>
              </w:rPr>
              <w:t>)</w:t>
            </w:r>
            <w:r w:rsidRPr="002B55E9">
              <w:rPr>
                <w:rFonts w:hint="eastAsia"/>
                <w:sz w:val="18"/>
                <w:szCs w:val="18"/>
              </w:rPr>
              <w:t>建项目应符合相关规划，并执行规划环评</w:t>
            </w:r>
            <w:r w:rsidRPr="002B55E9">
              <w:rPr>
                <w:rFonts w:hint="eastAsia"/>
                <w:sz w:val="18"/>
                <w:szCs w:val="18"/>
              </w:rPr>
              <w:t>(</w:t>
            </w:r>
            <w:r w:rsidRPr="002B55E9">
              <w:rPr>
                <w:rFonts w:hint="eastAsia"/>
                <w:sz w:val="18"/>
                <w:szCs w:val="18"/>
              </w:rPr>
              <w:t>跟踪评价</w:t>
            </w:r>
            <w:r w:rsidRPr="002B55E9">
              <w:rPr>
                <w:rFonts w:hint="eastAsia"/>
                <w:sz w:val="18"/>
                <w:szCs w:val="18"/>
              </w:rPr>
              <w:t>)</w:t>
            </w:r>
            <w:r w:rsidRPr="002B55E9">
              <w:rPr>
                <w:rFonts w:hint="eastAsia"/>
                <w:sz w:val="18"/>
                <w:szCs w:val="18"/>
              </w:rPr>
              <w:t>中环境准入要求。禁止引入列入国家已发布高污染、高环境风险产品名录的项目。</w:t>
            </w:r>
          </w:p>
          <w:p w14:paraId="3A5B7857" w14:textId="77777777" w:rsidR="00D170E5" w:rsidRPr="002B55E9" w:rsidRDefault="00EF27AD">
            <w:pPr>
              <w:rPr>
                <w:sz w:val="18"/>
                <w:szCs w:val="18"/>
              </w:rPr>
            </w:pPr>
            <w:r w:rsidRPr="002B55E9">
              <w:rPr>
                <w:rFonts w:hint="eastAsia"/>
                <w:sz w:val="18"/>
                <w:szCs w:val="18"/>
              </w:rPr>
              <w:t>3.</w:t>
            </w:r>
            <w:r w:rsidRPr="002B55E9">
              <w:rPr>
                <w:rFonts w:hint="eastAsia"/>
                <w:sz w:val="18"/>
                <w:szCs w:val="18"/>
              </w:rPr>
              <w:t>单元内农用地执行省总体准入要求中关于耕地空间布局约束的准入要求。农业种植禁止使用剧毒、高残留的农药、兽药。</w:t>
            </w:r>
          </w:p>
          <w:p w14:paraId="6224657D" w14:textId="77777777" w:rsidR="00D170E5" w:rsidRPr="002B55E9" w:rsidRDefault="00EF27AD">
            <w:pPr>
              <w:rPr>
                <w:sz w:val="18"/>
                <w:szCs w:val="18"/>
              </w:rPr>
            </w:pPr>
            <w:r w:rsidRPr="002B55E9">
              <w:rPr>
                <w:rFonts w:hint="eastAsia"/>
                <w:sz w:val="18"/>
                <w:szCs w:val="18"/>
              </w:rPr>
              <w:t>4.</w:t>
            </w:r>
            <w:r w:rsidRPr="002B55E9">
              <w:rPr>
                <w:rFonts w:hint="eastAsia"/>
                <w:sz w:val="18"/>
                <w:szCs w:val="18"/>
              </w:rPr>
              <w:t>单元内岸线禁止建设与供水设施和水源地保护无关的建设项目。禁止建设影响防洪安全、河势稳定的建设项目。</w:t>
            </w:r>
          </w:p>
        </w:tc>
        <w:tc>
          <w:tcPr>
            <w:tcW w:w="2681" w:type="dxa"/>
            <w:tcBorders>
              <w:top w:val="single" w:sz="4" w:space="0" w:color="auto"/>
              <w:left w:val="single" w:sz="4" w:space="0" w:color="auto"/>
              <w:bottom w:val="single" w:sz="2" w:space="0" w:color="auto"/>
            </w:tcBorders>
            <w:vAlign w:val="center"/>
          </w:tcPr>
          <w:p w14:paraId="29565BFB" w14:textId="77777777" w:rsidR="00D170E5" w:rsidRPr="002B55E9" w:rsidRDefault="00EF27AD">
            <w:pPr>
              <w:jc w:val="center"/>
              <w:rPr>
                <w:sz w:val="18"/>
                <w:szCs w:val="18"/>
              </w:rPr>
            </w:pPr>
            <w:r w:rsidRPr="002B55E9">
              <w:rPr>
                <w:sz w:val="18"/>
                <w:szCs w:val="18"/>
              </w:rPr>
              <w:t>符合。本项目</w:t>
            </w:r>
            <w:r w:rsidRPr="002B55E9">
              <w:rPr>
                <w:rFonts w:hint="eastAsia"/>
                <w:sz w:val="18"/>
                <w:szCs w:val="18"/>
              </w:rPr>
              <w:t>位于新沟镇街食品医疗用地板块</w:t>
            </w:r>
            <w:r w:rsidRPr="002B55E9">
              <w:rPr>
                <w:sz w:val="18"/>
                <w:szCs w:val="18"/>
              </w:rPr>
              <w:t>，为</w:t>
            </w:r>
            <w:r w:rsidRPr="002B55E9">
              <w:rPr>
                <w:rFonts w:hint="eastAsia"/>
                <w:sz w:val="18"/>
                <w:szCs w:val="18"/>
              </w:rPr>
              <w:t>食品制造行业</w:t>
            </w:r>
            <w:r w:rsidRPr="002B55E9">
              <w:rPr>
                <w:sz w:val="18"/>
                <w:szCs w:val="18"/>
              </w:rPr>
              <w:t>，不属于高耗能高污染项目，项目不涉及锅炉的使用，项目符合《</w:t>
            </w:r>
            <w:r w:rsidRPr="002B55E9">
              <w:rPr>
                <w:rFonts w:hint="eastAsia"/>
                <w:sz w:val="18"/>
                <w:szCs w:val="18"/>
              </w:rPr>
              <w:t>新沟镇街食品医疗用地板块总体规划</w:t>
            </w:r>
            <w:r w:rsidRPr="002B55E9">
              <w:rPr>
                <w:sz w:val="18"/>
                <w:szCs w:val="18"/>
              </w:rPr>
              <w:t>》，并符合上述规划环评准入要求</w:t>
            </w:r>
          </w:p>
        </w:tc>
      </w:tr>
      <w:tr w:rsidR="00C60999" w:rsidRPr="002B55E9" w14:paraId="1842C542" w14:textId="77777777">
        <w:trPr>
          <w:trHeight w:val="284"/>
          <w:jc w:val="center"/>
        </w:trPr>
        <w:tc>
          <w:tcPr>
            <w:tcW w:w="630" w:type="dxa"/>
            <w:vMerge/>
            <w:tcBorders>
              <w:top w:val="single" w:sz="2" w:space="0" w:color="auto"/>
            </w:tcBorders>
            <w:vAlign w:val="center"/>
          </w:tcPr>
          <w:p w14:paraId="11F2E96B" w14:textId="77777777" w:rsidR="00D170E5" w:rsidRPr="002B55E9" w:rsidRDefault="00D170E5">
            <w:pPr>
              <w:ind w:leftChars="-30" w:left="-60" w:rightChars="-30" w:right="-60"/>
              <w:jc w:val="center"/>
              <w:rPr>
                <w:sz w:val="18"/>
                <w:szCs w:val="18"/>
              </w:rPr>
            </w:pPr>
          </w:p>
        </w:tc>
        <w:tc>
          <w:tcPr>
            <w:tcW w:w="609" w:type="dxa"/>
            <w:vMerge/>
            <w:tcBorders>
              <w:top w:val="single" w:sz="2" w:space="0" w:color="auto"/>
            </w:tcBorders>
            <w:vAlign w:val="center"/>
          </w:tcPr>
          <w:p w14:paraId="2EF175BB" w14:textId="77777777" w:rsidR="00D170E5" w:rsidRPr="002B55E9" w:rsidRDefault="00D170E5">
            <w:pPr>
              <w:ind w:leftChars="-30" w:left="-60" w:rightChars="-30" w:right="-60"/>
              <w:jc w:val="center"/>
              <w:rPr>
                <w:sz w:val="18"/>
                <w:szCs w:val="18"/>
              </w:rPr>
            </w:pPr>
          </w:p>
        </w:tc>
        <w:tc>
          <w:tcPr>
            <w:tcW w:w="609" w:type="dxa"/>
            <w:tcBorders>
              <w:top w:val="single" w:sz="2" w:space="0" w:color="auto"/>
            </w:tcBorders>
            <w:vAlign w:val="center"/>
          </w:tcPr>
          <w:p w14:paraId="003E41D5" w14:textId="77777777" w:rsidR="00D170E5" w:rsidRPr="002B55E9" w:rsidRDefault="00EF27AD">
            <w:pPr>
              <w:jc w:val="center"/>
              <w:rPr>
                <w:sz w:val="18"/>
                <w:szCs w:val="18"/>
              </w:rPr>
            </w:pPr>
            <w:r w:rsidRPr="002B55E9">
              <w:rPr>
                <w:sz w:val="18"/>
                <w:szCs w:val="18"/>
              </w:rPr>
              <w:t>污染物排放管控</w:t>
            </w:r>
          </w:p>
        </w:tc>
        <w:tc>
          <w:tcPr>
            <w:tcW w:w="5108" w:type="dxa"/>
            <w:tcBorders>
              <w:top w:val="single" w:sz="2" w:space="0" w:color="auto"/>
            </w:tcBorders>
            <w:vAlign w:val="center"/>
          </w:tcPr>
          <w:p w14:paraId="6F703303" w14:textId="77777777" w:rsidR="00D170E5" w:rsidRPr="002B55E9" w:rsidRDefault="00EF27AD">
            <w:pPr>
              <w:rPr>
                <w:sz w:val="18"/>
                <w:szCs w:val="18"/>
              </w:rPr>
            </w:pPr>
            <w:r w:rsidRPr="002B55E9">
              <w:rPr>
                <w:rFonts w:hint="eastAsia"/>
                <w:sz w:val="18"/>
                <w:szCs w:val="18"/>
              </w:rPr>
              <w:t>1.</w:t>
            </w:r>
            <w:r w:rsidRPr="002B55E9">
              <w:rPr>
                <w:rFonts w:hint="eastAsia"/>
                <w:sz w:val="18"/>
                <w:szCs w:val="18"/>
              </w:rPr>
              <w:t>单元内城镇污水处理设施执行一级</w:t>
            </w:r>
            <w:r w:rsidRPr="002B55E9">
              <w:rPr>
                <w:rFonts w:hint="eastAsia"/>
                <w:sz w:val="18"/>
                <w:szCs w:val="18"/>
              </w:rPr>
              <w:t>A</w:t>
            </w:r>
            <w:r w:rsidRPr="002B55E9">
              <w:rPr>
                <w:rFonts w:hint="eastAsia"/>
                <w:sz w:val="18"/>
                <w:szCs w:val="18"/>
              </w:rPr>
              <w:t>排放标准</w:t>
            </w:r>
            <w:r w:rsidRPr="002B55E9">
              <w:rPr>
                <w:rFonts w:hint="eastAsia"/>
                <w:sz w:val="18"/>
                <w:szCs w:val="18"/>
              </w:rPr>
              <w:t>,</w:t>
            </w:r>
            <w:r w:rsidRPr="002B55E9">
              <w:rPr>
                <w:rFonts w:hint="eastAsia"/>
                <w:sz w:val="18"/>
                <w:szCs w:val="18"/>
              </w:rPr>
              <w:t>城镇污水处理效率达到</w:t>
            </w:r>
            <w:r w:rsidRPr="002B55E9">
              <w:rPr>
                <w:rFonts w:hint="eastAsia"/>
                <w:sz w:val="18"/>
                <w:szCs w:val="18"/>
              </w:rPr>
              <w:t>85%</w:t>
            </w:r>
            <w:r w:rsidRPr="002B55E9">
              <w:rPr>
                <w:rFonts w:hint="eastAsia"/>
                <w:sz w:val="18"/>
                <w:szCs w:val="18"/>
              </w:rPr>
              <w:t>以上。</w:t>
            </w:r>
          </w:p>
          <w:p w14:paraId="3E61E17E" w14:textId="77777777" w:rsidR="00D170E5" w:rsidRPr="002B55E9" w:rsidRDefault="00EF27AD">
            <w:pPr>
              <w:rPr>
                <w:sz w:val="18"/>
                <w:szCs w:val="18"/>
              </w:rPr>
            </w:pPr>
            <w:r w:rsidRPr="002B55E9">
              <w:rPr>
                <w:rFonts w:hint="eastAsia"/>
                <w:sz w:val="18"/>
                <w:szCs w:val="18"/>
              </w:rPr>
              <w:t>2.</w:t>
            </w:r>
            <w:r w:rsidRPr="002B55E9">
              <w:rPr>
                <w:rFonts w:hint="eastAsia"/>
                <w:sz w:val="18"/>
                <w:szCs w:val="18"/>
              </w:rPr>
              <w:t>单元内排放水污染物严格执行《湖北省汉江中下游流域污水综合排放标准》。</w:t>
            </w:r>
          </w:p>
          <w:p w14:paraId="4C147A1C" w14:textId="77777777" w:rsidR="00D170E5" w:rsidRPr="002B55E9" w:rsidRDefault="00EF27AD">
            <w:pPr>
              <w:rPr>
                <w:sz w:val="18"/>
                <w:szCs w:val="18"/>
              </w:rPr>
            </w:pPr>
            <w:r w:rsidRPr="002B55E9">
              <w:rPr>
                <w:rFonts w:hint="eastAsia"/>
                <w:sz w:val="18"/>
                <w:szCs w:val="18"/>
              </w:rPr>
              <w:t>3.</w:t>
            </w:r>
            <w:r w:rsidRPr="002B55E9">
              <w:rPr>
                <w:rFonts w:hint="eastAsia"/>
                <w:sz w:val="18"/>
                <w:szCs w:val="18"/>
              </w:rPr>
              <w:t>单元内农副食品加工等重点行业建设项目实行主要污染物排放等量置换或者减量置换。</w:t>
            </w:r>
          </w:p>
          <w:p w14:paraId="489D6E1F" w14:textId="77777777" w:rsidR="00D170E5" w:rsidRPr="002B55E9" w:rsidRDefault="00EF27AD">
            <w:pPr>
              <w:rPr>
                <w:sz w:val="18"/>
                <w:szCs w:val="18"/>
              </w:rPr>
            </w:pPr>
            <w:r w:rsidRPr="002B55E9">
              <w:rPr>
                <w:rFonts w:hint="eastAsia"/>
                <w:sz w:val="18"/>
                <w:szCs w:val="18"/>
              </w:rPr>
              <w:t>4.</w:t>
            </w:r>
            <w:r w:rsidRPr="002B55E9">
              <w:rPr>
                <w:rFonts w:hint="eastAsia"/>
                <w:sz w:val="18"/>
                <w:szCs w:val="18"/>
              </w:rPr>
              <w:t>新增排放二氧化硫、氮氧化物、工业烟</w:t>
            </w:r>
            <w:r w:rsidRPr="002B55E9">
              <w:rPr>
                <w:rFonts w:hint="eastAsia"/>
                <w:sz w:val="18"/>
                <w:szCs w:val="18"/>
              </w:rPr>
              <w:t>(</w:t>
            </w:r>
            <w:r w:rsidRPr="002B55E9">
              <w:rPr>
                <w:rFonts w:hint="eastAsia"/>
                <w:sz w:val="18"/>
                <w:szCs w:val="18"/>
              </w:rPr>
              <w:t>粉</w:t>
            </w:r>
            <w:r w:rsidRPr="002B55E9">
              <w:rPr>
                <w:rFonts w:hint="eastAsia"/>
                <w:sz w:val="18"/>
                <w:szCs w:val="18"/>
              </w:rPr>
              <w:t>)</w:t>
            </w:r>
            <w:r w:rsidRPr="002B55E9">
              <w:rPr>
                <w:rFonts w:hint="eastAsia"/>
                <w:sz w:val="18"/>
                <w:szCs w:val="18"/>
              </w:rPr>
              <w:t>尘和挥发性有机物的项目实施现役源</w:t>
            </w:r>
            <w:r w:rsidRPr="002B55E9">
              <w:rPr>
                <w:rFonts w:hint="eastAsia"/>
                <w:sz w:val="18"/>
                <w:szCs w:val="18"/>
              </w:rPr>
              <w:t>2</w:t>
            </w:r>
            <w:r w:rsidRPr="002B55E9">
              <w:rPr>
                <w:rFonts w:hint="eastAsia"/>
                <w:sz w:val="18"/>
                <w:szCs w:val="18"/>
              </w:rPr>
              <w:t>倍削减量替代。</w:t>
            </w:r>
          </w:p>
          <w:p w14:paraId="5A966EF5" w14:textId="77777777" w:rsidR="00D170E5" w:rsidRPr="002B55E9" w:rsidRDefault="00EF27AD">
            <w:pPr>
              <w:rPr>
                <w:sz w:val="18"/>
                <w:szCs w:val="18"/>
              </w:rPr>
            </w:pPr>
            <w:r w:rsidRPr="002B55E9">
              <w:rPr>
                <w:rFonts w:hint="eastAsia"/>
                <w:sz w:val="18"/>
                <w:szCs w:val="18"/>
              </w:rPr>
              <w:t>5.</w:t>
            </w:r>
            <w:r w:rsidRPr="002B55E9">
              <w:rPr>
                <w:rFonts w:hint="eastAsia"/>
                <w:sz w:val="18"/>
                <w:szCs w:val="18"/>
              </w:rPr>
              <w:t>单元内锅炉排放二氧化硫、氮氧化物、颗粒物执行《锅炉大气污染物排放标准》中特别排放限值。</w:t>
            </w:r>
          </w:p>
        </w:tc>
        <w:tc>
          <w:tcPr>
            <w:tcW w:w="2681" w:type="dxa"/>
            <w:tcBorders>
              <w:top w:val="single" w:sz="2" w:space="0" w:color="auto"/>
            </w:tcBorders>
            <w:vAlign w:val="center"/>
          </w:tcPr>
          <w:p w14:paraId="582B82B9" w14:textId="77777777" w:rsidR="00D170E5" w:rsidRPr="002B55E9" w:rsidRDefault="00EF27AD">
            <w:pPr>
              <w:jc w:val="center"/>
              <w:rPr>
                <w:sz w:val="18"/>
                <w:szCs w:val="18"/>
              </w:rPr>
            </w:pPr>
            <w:r w:rsidRPr="002B55E9">
              <w:rPr>
                <w:sz w:val="18"/>
                <w:szCs w:val="18"/>
              </w:rPr>
              <w:t>符合。本项目污水经污水处理站处理达标后经市政污水管网排入</w:t>
            </w:r>
            <w:r w:rsidRPr="002B55E9">
              <w:rPr>
                <w:rFonts w:hint="eastAsia"/>
                <w:sz w:val="18"/>
                <w:szCs w:val="18"/>
              </w:rPr>
              <w:t>东西湖污水处理厂</w:t>
            </w:r>
            <w:r w:rsidRPr="002B55E9">
              <w:rPr>
                <w:sz w:val="18"/>
                <w:szCs w:val="18"/>
              </w:rPr>
              <w:t>进一步处理，</w:t>
            </w:r>
            <w:r w:rsidRPr="002B55E9">
              <w:rPr>
                <w:rFonts w:hint="eastAsia"/>
                <w:sz w:val="18"/>
                <w:szCs w:val="18"/>
              </w:rPr>
              <w:t>东西湖污水处理厂</w:t>
            </w:r>
            <w:r w:rsidRPr="002B55E9">
              <w:rPr>
                <w:sz w:val="18"/>
                <w:szCs w:val="18"/>
              </w:rPr>
              <w:t>尾水目前执行一级</w:t>
            </w:r>
            <w:r w:rsidRPr="002B55E9">
              <w:rPr>
                <w:sz w:val="18"/>
                <w:szCs w:val="18"/>
              </w:rPr>
              <w:t>A</w:t>
            </w:r>
            <w:r w:rsidRPr="002B55E9">
              <w:rPr>
                <w:sz w:val="18"/>
                <w:szCs w:val="18"/>
              </w:rPr>
              <w:t>排放标准，项目新增</w:t>
            </w:r>
            <w:r w:rsidRPr="002B55E9">
              <w:rPr>
                <w:rFonts w:hint="eastAsia"/>
                <w:sz w:val="18"/>
                <w:szCs w:val="18"/>
              </w:rPr>
              <w:t>颗粒物、</w:t>
            </w:r>
            <w:r w:rsidRPr="002B55E9">
              <w:rPr>
                <w:sz w:val="18"/>
                <w:szCs w:val="18"/>
              </w:rPr>
              <w:t>挥发性有机物实施</w:t>
            </w:r>
            <w:r w:rsidRPr="002B55E9">
              <w:rPr>
                <w:sz w:val="18"/>
                <w:szCs w:val="18"/>
              </w:rPr>
              <w:t>2</w:t>
            </w:r>
            <w:r w:rsidRPr="002B55E9">
              <w:rPr>
                <w:sz w:val="18"/>
                <w:szCs w:val="18"/>
              </w:rPr>
              <w:t>倍削减量替代</w:t>
            </w:r>
            <w:r w:rsidRPr="002B55E9">
              <w:rPr>
                <w:rFonts w:hint="eastAsia"/>
                <w:sz w:val="18"/>
                <w:szCs w:val="18"/>
              </w:rPr>
              <w:t>。</w:t>
            </w:r>
          </w:p>
        </w:tc>
      </w:tr>
      <w:tr w:rsidR="00C60999" w:rsidRPr="002B55E9" w14:paraId="647E7DFF" w14:textId="77777777">
        <w:trPr>
          <w:trHeight w:val="284"/>
          <w:jc w:val="center"/>
        </w:trPr>
        <w:tc>
          <w:tcPr>
            <w:tcW w:w="630" w:type="dxa"/>
            <w:vMerge/>
            <w:vAlign w:val="center"/>
          </w:tcPr>
          <w:p w14:paraId="5496247B" w14:textId="77777777" w:rsidR="00D170E5" w:rsidRPr="002B55E9" w:rsidRDefault="00D170E5">
            <w:pPr>
              <w:ind w:leftChars="-30" w:left="-60" w:rightChars="-30" w:right="-60"/>
              <w:jc w:val="center"/>
              <w:rPr>
                <w:sz w:val="18"/>
                <w:szCs w:val="18"/>
              </w:rPr>
            </w:pPr>
          </w:p>
        </w:tc>
        <w:tc>
          <w:tcPr>
            <w:tcW w:w="609" w:type="dxa"/>
            <w:vMerge/>
            <w:vAlign w:val="center"/>
          </w:tcPr>
          <w:p w14:paraId="1F0262AB" w14:textId="77777777" w:rsidR="00D170E5" w:rsidRPr="002B55E9" w:rsidRDefault="00D170E5">
            <w:pPr>
              <w:ind w:leftChars="-30" w:left="-60" w:rightChars="-30" w:right="-60"/>
              <w:jc w:val="center"/>
              <w:rPr>
                <w:sz w:val="18"/>
                <w:szCs w:val="18"/>
              </w:rPr>
            </w:pPr>
          </w:p>
        </w:tc>
        <w:tc>
          <w:tcPr>
            <w:tcW w:w="609" w:type="dxa"/>
            <w:vAlign w:val="center"/>
          </w:tcPr>
          <w:p w14:paraId="399007BF" w14:textId="77777777" w:rsidR="00D170E5" w:rsidRPr="002B55E9" w:rsidRDefault="00EF27AD">
            <w:pPr>
              <w:jc w:val="center"/>
              <w:rPr>
                <w:bCs/>
                <w:sz w:val="18"/>
                <w:szCs w:val="18"/>
              </w:rPr>
            </w:pPr>
            <w:r w:rsidRPr="002B55E9">
              <w:rPr>
                <w:bCs/>
                <w:sz w:val="18"/>
                <w:szCs w:val="18"/>
              </w:rPr>
              <w:t>环境风险防控</w:t>
            </w:r>
          </w:p>
        </w:tc>
        <w:tc>
          <w:tcPr>
            <w:tcW w:w="5108" w:type="dxa"/>
            <w:vAlign w:val="center"/>
          </w:tcPr>
          <w:p w14:paraId="65860B1E" w14:textId="77777777" w:rsidR="00D170E5" w:rsidRPr="002B55E9" w:rsidRDefault="00EF27AD">
            <w:pPr>
              <w:rPr>
                <w:bCs/>
                <w:sz w:val="18"/>
                <w:szCs w:val="18"/>
              </w:rPr>
            </w:pPr>
            <w:r w:rsidRPr="002B55E9">
              <w:rPr>
                <w:rFonts w:hint="eastAsia"/>
                <w:bCs/>
                <w:sz w:val="18"/>
                <w:szCs w:val="18"/>
              </w:rPr>
              <w:t>1.</w:t>
            </w:r>
            <w:r w:rsidRPr="002B55E9">
              <w:rPr>
                <w:rFonts w:hint="eastAsia"/>
                <w:bCs/>
                <w:sz w:val="18"/>
                <w:szCs w:val="18"/>
              </w:rPr>
              <w:t>新沟镇工业倍增示范园区应建立环境风险防控体系。</w:t>
            </w:r>
          </w:p>
          <w:p w14:paraId="62656AD8" w14:textId="77777777" w:rsidR="00D170E5" w:rsidRPr="002B55E9" w:rsidRDefault="00EF27AD">
            <w:pPr>
              <w:rPr>
                <w:bCs/>
                <w:sz w:val="18"/>
                <w:szCs w:val="18"/>
              </w:rPr>
            </w:pPr>
            <w:r w:rsidRPr="002B55E9">
              <w:rPr>
                <w:rFonts w:hint="eastAsia"/>
                <w:bCs/>
                <w:sz w:val="18"/>
                <w:szCs w:val="18"/>
              </w:rPr>
              <w:t>2.</w:t>
            </w:r>
            <w:r w:rsidRPr="002B55E9">
              <w:rPr>
                <w:rFonts w:hint="eastAsia"/>
                <w:bCs/>
                <w:sz w:val="18"/>
                <w:szCs w:val="18"/>
              </w:rPr>
              <w:t>单元内生产、储存危险化学品及产生大量废水的化工、医药产业等企业</w:t>
            </w:r>
            <w:r w:rsidRPr="002B55E9">
              <w:rPr>
                <w:rFonts w:hint="eastAsia"/>
                <w:bCs/>
                <w:sz w:val="18"/>
                <w:szCs w:val="18"/>
              </w:rPr>
              <w:t>,</w:t>
            </w:r>
            <w:r w:rsidRPr="002B55E9">
              <w:rPr>
                <w:rFonts w:hint="eastAsia"/>
                <w:bCs/>
                <w:sz w:val="18"/>
                <w:szCs w:val="18"/>
              </w:rPr>
              <w:t>应配套有效措施</w:t>
            </w:r>
            <w:r w:rsidRPr="002B55E9">
              <w:rPr>
                <w:rFonts w:hint="eastAsia"/>
                <w:bCs/>
                <w:sz w:val="18"/>
                <w:szCs w:val="18"/>
              </w:rPr>
              <w:t>,</w:t>
            </w:r>
            <w:r w:rsidRPr="002B55E9">
              <w:rPr>
                <w:rFonts w:hint="eastAsia"/>
                <w:bCs/>
                <w:sz w:val="18"/>
                <w:szCs w:val="18"/>
              </w:rPr>
              <w:t>防止因渗漏污染地下水、土壤</w:t>
            </w:r>
            <w:r w:rsidRPr="002B55E9">
              <w:rPr>
                <w:rFonts w:hint="eastAsia"/>
                <w:bCs/>
                <w:sz w:val="18"/>
                <w:szCs w:val="18"/>
              </w:rPr>
              <w:t>,</w:t>
            </w:r>
            <w:r w:rsidRPr="002B55E9">
              <w:rPr>
                <w:rFonts w:hint="eastAsia"/>
                <w:bCs/>
                <w:sz w:val="18"/>
                <w:szCs w:val="18"/>
              </w:rPr>
              <w:t>以及因事故废水直排污染地表水体。</w:t>
            </w:r>
          </w:p>
          <w:p w14:paraId="67C0BE5A" w14:textId="77777777" w:rsidR="00D170E5" w:rsidRPr="002B55E9" w:rsidRDefault="00EF27AD">
            <w:pPr>
              <w:rPr>
                <w:bCs/>
                <w:sz w:val="18"/>
                <w:szCs w:val="18"/>
              </w:rPr>
            </w:pPr>
            <w:r w:rsidRPr="002B55E9">
              <w:rPr>
                <w:rFonts w:hint="eastAsia"/>
                <w:bCs/>
                <w:sz w:val="18"/>
                <w:szCs w:val="18"/>
              </w:rPr>
              <w:t>3.</w:t>
            </w:r>
            <w:r w:rsidRPr="002B55E9">
              <w:rPr>
                <w:rFonts w:hint="eastAsia"/>
                <w:bCs/>
                <w:sz w:val="18"/>
                <w:szCs w:val="18"/>
              </w:rPr>
              <w:t>单元内产生固体废物</w:t>
            </w:r>
            <w:r w:rsidRPr="002B55E9">
              <w:rPr>
                <w:rFonts w:hint="eastAsia"/>
                <w:bCs/>
                <w:sz w:val="18"/>
                <w:szCs w:val="18"/>
              </w:rPr>
              <w:t>(</w:t>
            </w:r>
            <w:r w:rsidRPr="002B55E9">
              <w:rPr>
                <w:rFonts w:hint="eastAsia"/>
                <w:bCs/>
                <w:sz w:val="18"/>
                <w:szCs w:val="18"/>
              </w:rPr>
              <w:t>含危险废物</w:t>
            </w:r>
            <w:r w:rsidRPr="002B55E9">
              <w:rPr>
                <w:rFonts w:hint="eastAsia"/>
                <w:bCs/>
                <w:sz w:val="18"/>
                <w:szCs w:val="18"/>
              </w:rPr>
              <w:t>)</w:t>
            </w:r>
            <w:r w:rsidRPr="002B55E9">
              <w:rPr>
                <w:rFonts w:hint="eastAsia"/>
                <w:bCs/>
                <w:sz w:val="18"/>
                <w:szCs w:val="18"/>
              </w:rPr>
              <w:t>的化工、医药产业等企业</w:t>
            </w:r>
            <w:r w:rsidRPr="002B55E9">
              <w:rPr>
                <w:rFonts w:hint="eastAsia"/>
                <w:bCs/>
                <w:sz w:val="18"/>
                <w:szCs w:val="18"/>
              </w:rPr>
              <w:t>,</w:t>
            </w:r>
            <w:r w:rsidRPr="002B55E9">
              <w:rPr>
                <w:rFonts w:hint="eastAsia"/>
                <w:bCs/>
                <w:sz w:val="18"/>
                <w:szCs w:val="18"/>
              </w:rPr>
              <w:t>在贮存、转移、利用、处置固体废物</w:t>
            </w:r>
            <w:r w:rsidRPr="002B55E9">
              <w:rPr>
                <w:rFonts w:hint="eastAsia"/>
                <w:bCs/>
                <w:sz w:val="18"/>
                <w:szCs w:val="18"/>
              </w:rPr>
              <w:t>(</w:t>
            </w:r>
            <w:r w:rsidRPr="002B55E9">
              <w:rPr>
                <w:rFonts w:hint="eastAsia"/>
                <w:bCs/>
                <w:sz w:val="18"/>
                <w:szCs w:val="18"/>
              </w:rPr>
              <w:t>含危险废物</w:t>
            </w:r>
            <w:r w:rsidRPr="002B55E9">
              <w:rPr>
                <w:rFonts w:hint="eastAsia"/>
                <w:bCs/>
                <w:sz w:val="18"/>
                <w:szCs w:val="18"/>
              </w:rPr>
              <w:t>)</w:t>
            </w:r>
            <w:r w:rsidRPr="002B55E9">
              <w:rPr>
                <w:rFonts w:hint="eastAsia"/>
                <w:bCs/>
                <w:sz w:val="18"/>
                <w:szCs w:val="18"/>
              </w:rPr>
              <w:t>过程中</w:t>
            </w:r>
            <w:r w:rsidRPr="002B55E9">
              <w:rPr>
                <w:rFonts w:hint="eastAsia"/>
                <w:bCs/>
                <w:sz w:val="18"/>
                <w:szCs w:val="18"/>
              </w:rPr>
              <w:t>,</w:t>
            </w:r>
            <w:r w:rsidRPr="002B55E9">
              <w:rPr>
                <w:rFonts w:hint="eastAsia"/>
                <w:bCs/>
                <w:sz w:val="18"/>
                <w:szCs w:val="18"/>
              </w:rPr>
              <w:t>应配套防扬散、防流失、防渗漏及其他防止污染环境的措施。</w:t>
            </w:r>
          </w:p>
        </w:tc>
        <w:tc>
          <w:tcPr>
            <w:tcW w:w="2681" w:type="dxa"/>
            <w:vAlign w:val="center"/>
          </w:tcPr>
          <w:p w14:paraId="68537363" w14:textId="77777777" w:rsidR="00D170E5" w:rsidRPr="002B55E9" w:rsidRDefault="00EF27AD">
            <w:pPr>
              <w:jc w:val="center"/>
              <w:rPr>
                <w:sz w:val="18"/>
                <w:szCs w:val="18"/>
              </w:rPr>
            </w:pPr>
            <w:r w:rsidRPr="002B55E9">
              <w:rPr>
                <w:sz w:val="18"/>
                <w:szCs w:val="18"/>
              </w:rPr>
              <w:t>符合。本项目</w:t>
            </w:r>
            <w:r w:rsidRPr="002B55E9">
              <w:rPr>
                <w:rFonts w:hint="eastAsia"/>
                <w:sz w:val="18"/>
                <w:szCs w:val="18"/>
              </w:rPr>
              <w:t>位于新沟镇街食品医疗用地板块</w:t>
            </w:r>
            <w:r w:rsidRPr="002B55E9">
              <w:rPr>
                <w:sz w:val="18"/>
                <w:szCs w:val="18"/>
              </w:rPr>
              <w:t>，项目为</w:t>
            </w:r>
            <w:r w:rsidRPr="002B55E9">
              <w:rPr>
                <w:rFonts w:hint="eastAsia"/>
                <w:sz w:val="18"/>
                <w:szCs w:val="18"/>
              </w:rPr>
              <w:t>食品制造也</w:t>
            </w:r>
            <w:r w:rsidRPr="002B55E9">
              <w:rPr>
                <w:sz w:val="18"/>
                <w:szCs w:val="18"/>
              </w:rPr>
              <w:t>，涉及储存危险化学品，产生废水量较大，厂区各环境风险单元均</w:t>
            </w:r>
            <w:r w:rsidRPr="002B55E9">
              <w:rPr>
                <w:rFonts w:hint="eastAsia"/>
                <w:sz w:val="18"/>
                <w:szCs w:val="18"/>
              </w:rPr>
              <w:t>拟</w:t>
            </w:r>
            <w:r w:rsidRPr="002B55E9">
              <w:rPr>
                <w:sz w:val="18"/>
                <w:szCs w:val="18"/>
              </w:rPr>
              <w:t>进行防渗设计，</w:t>
            </w:r>
            <w:r w:rsidRPr="002B55E9">
              <w:rPr>
                <w:rFonts w:hint="eastAsia"/>
                <w:sz w:val="18"/>
                <w:szCs w:val="18"/>
              </w:rPr>
              <w:t>依托</w:t>
            </w:r>
            <w:r w:rsidRPr="002B55E9">
              <w:rPr>
                <w:sz w:val="18"/>
                <w:szCs w:val="18"/>
              </w:rPr>
              <w:t>佛山市海天（</w:t>
            </w:r>
            <w:r w:rsidRPr="002B55E9">
              <w:rPr>
                <w:rFonts w:hint="eastAsia"/>
                <w:sz w:val="18"/>
                <w:szCs w:val="18"/>
              </w:rPr>
              <w:t>武汉</w:t>
            </w:r>
            <w:r w:rsidRPr="002B55E9">
              <w:rPr>
                <w:sz w:val="18"/>
                <w:szCs w:val="18"/>
              </w:rPr>
              <w:t>）</w:t>
            </w:r>
            <w:r w:rsidRPr="002B55E9">
              <w:rPr>
                <w:rFonts w:hint="eastAsia"/>
                <w:sz w:val="18"/>
                <w:szCs w:val="18"/>
              </w:rPr>
              <w:t>调味</w:t>
            </w:r>
            <w:r w:rsidRPr="002B55E9">
              <w:rPr>
                <w:sz w:val="18"/>
                <w:szCs w:val="18"/>
              </w:rPr>
              <w:t>食品有限公司</w:t>
            </w:r>
            <w:r w:rsidRPr="002B55E9">
              <w:rPr>
                <w:rFonts w:hint="eastAsia"/>
                <w:sz w:val="18"/>
                <w:szCs w:val="18"/>
              </w:rPr>
              <w:t>应急事故池</w:t>
            </w:r>
            <w:r w:rsidRPr="002B55E9">
              <w:rPr>
                <w:sz w:val="18"/>
                <w:szCs w:val="18"/>
              </w:rPr>
              <w:t>，项目产生的危险废物拟全部置于危废间内暂存，危废间严格按照</w:t>
            </w:r>
            <w:r w:rsidRPr="002B55E9">
              <w:rPr>
                <w:sz w:val="18"/>
                <w:szCs w:val="18"/>
              </w:rPr>
              <w:t>GB18597-2001</w:t>
            </w:r>
            <w:r w:rsidRPr="002B55E9">
              <w:rPr>
                <w:sz w:val="18"/>
                <w:szCs w:val="18"/>
              </w:rPr>
              <w:t>及其修改单的要求进行防渗漏、防流失等设计，危险废物拟采用包</w:t>
            </w:r>
            <w:r w:rsidRPr="002B55E9">
              <w:rPr>
                <w:sz w:val="18"/>
                <w:szCs w:val="18"/>
              </w:rPr>
              <w:lastRenderedPageBreak/>
              <w:t>装桶、包装袋等密闭收集暂存，防止污染环境</w:t>
            </w:r>
          </w:p>
        </w:tc>
      </w:tr>
      <w:tr w:rsidR="00C60999" w:rsidRPr="002B55E9" w14:paraId="38485871" w14:textId="77777777">
        <w:trPr>
          <w:trHeight w:val="284"/>
          <w:jc w:val="center"/>
        </w:trPr>
        <w:tc>
          <w:tcPr>
            <w:tcW w:w="630" w:type="dxa"/>
            <w:vMerge/>
            <w:tcBorders>
              <w:bottom w:val="single" w:sz="12" w:space="0" w:color="auto"/>
            </w:tcBorders>
            <w:vAlign w:val="center"/>
          </w:tcPr>
          <w:p w14:paraId="63B48217" w14:textId="77777777" w:rsidR="00D170E5" w:rsidRPr="002B55E9" w:rsidRDefault="00D170E5">
            <w:pPr>
              <w:ind w:leftChars="-30" w:left="-60" w:rightChars="-30" w:right="-60"/>
              <w:jc w:val="center"/>
              <w:rPr>
                <w:sz w:val="18"/>
                <w:szCs w:val="18"/>
              </w:rPr>
            </w:pPr>
          </w:p>
        </w:tc>
        <w:tc>
          <w:tcPr>
            <w:tcW w:w="609" w:type="dxa"/>
            <w:vMerge/>
            <w:tcBorders>
              <w:bottom w:val="single" w:sz="12" w:space="0" w:color="auto"/>
            </w:tcBorders>
            <w:vAlign w:val="center"/>
          </w:tcPr>
          <w:p w14:paraId="1EEFA01F" w14:textId="77777777" w:rsidR="00D170E5" w:rsidRPr="002B55E9" w:rsidRDefault="00D170E5">
            <w:pPr>
              <w:ind w:leftChars="-30" w:left="-60" w:rightChars="-30" w:right="-60"/>
              <w:jc w:val="center"/>
              <w:rPr>
                <w:sz w:val="18"/>
                <w:szCs w:val="18"/>
              </w:rPr>
            </w:pPr>
          </w:p>
        </w:tc>
        <w:tc>
          <w:tcPr>
            <w:tcW w:w="609" w:type="dxa"/>
            <w:tcBorders>
              <w:bottom w:val="single" w:sz="12" w:space="0" w:color="auto"/>
            </w:tcBorders>
            <w:vAlign w:val="center"/>
          </w:tcPr>
          <w:p w14:paraId="69DE9116" w14:textId="77777777" w:rsidR="00D170E5" w:rsidRPr="002B55E9" w:rsidRDefault="00EF27AD">
            <w:pPr>
              <w:jc w:val="center"/>
              <w:rPr>
                <w:sz w:val="18"/>
                <w:szCs w:val="18"/>
              </w:rPr>
            </w:pPr>
            <w:r w:rsidRPr="002B55E9">
              <w:rPr>
                <w:sz w:val="18"/>
                <w:szCs w:val="18"/>
              </w:rPr>
              <w:t>资源开发效率要求</w:t>
            </w:r>
          </w:p>
        </w:tc>
        <w:tc>
          <w:tcPr>
            <w:tcW w:w="5108" w:type="dxa"/>
            <w:tcBorders>
              <w:bottom w:val="single" w:sz="12" w:space="0" w:color="auto"/>
            </w:tcBorders>
            <w:vAlign w:val="center"/>
          </w:tcPr>
          <w:p w14:paraId="1A70F24E" w14:textId="77777777" w:rsidR="00D170E5" w:rsidRPr="002B55E9" w:rsidRDefault="00EF27AD">
            <w:pPr>
              <w:rPr>
                <w:sz w:val="18"/>
                <w:szCs w:val="18"/>
              </w:rPr>
            </w:pPr>
            <w:r w:rsidRPr="002B55E9">
              <w:rPr>
                <w:rFonts w:hint="eastAsia"/>
                <w:sz w:val="18"/>
                <w:szCs w:val="18"/>
              </w:rPr>
              <w:t>1.</w:t>
            </w:r>
            <w:r w:rsidRPr="002B55E9">
              <w:rPr>
                <w:rFonts w:hint="eastAsia"/>
                <w:sz w:val="18"/>
                <w:szCs w:val="18"/>
              </w:rPr>
              <w:t>单元内中水回用率≥</w:t>
            </w:r>
            <w:r w:rsidRPr="002B55E9">
              <w:rPr>
                <w:rFonts w:hint="eastAsia"/>
                <w:sz w:val="18"/>
                <w:szCs w:val="18"/>
              </w:rPr>
              <w:t>40%,</w:t>
            </w:r>
            <w:r w:rsidRPr="002B55E9">
              <w:rPr>
                <w:rFonts w:hint="eastAsia"/>
                <w:sz w:val="18"/>
                <w:szCs w:val="18"/>
              </w:rPr>
              <w:t>单位工业增加值能耗年均下降</w:t>
            </w:r>
            <w:r w:rsidRPr="002B55E9">
              <w:rPr>
                <w:rFonts w:hint="eastAsia"/>
                <w:sz w:val="18"/>
                <w:szCs w:val="18"/>
              </w:rPr>
              <w:t>4%,</w:t>
            </w:r>
            <w:r w:rsidRPr="002B55E9">
              <w:rPr>
                <w:rFonts w:hint="eastAsia"/>
                <w:sz w:val="18"/>
                <w:szCs w:val="18"/>
              </w:rPr>
              <w:t>单</w:t>
            </w:r>
          </w:p>
          <w:p w14:paraId="7A0C50BB" w14:textId="77777777" w:rsidR="00D170E5" w:rsidRPr="002B55E9" w:rsidRDefault="00EF27AD">
            <w:pPr>
              <w:rPr>
                <w:sz w:val="18"/>
                <w:szCs w:val="18"/>
              </w:rPr>
            </w:pPr>
            <w:r w:rsidRPr="002B55E9">
              <w:rPr>
                <w:rFonts w:hint="eastAsia"/>
                <w:sz w:val="18"/>
                <w:szCs w:val="18"/>
              </w:rPr>
              <w:t>位工业增加值用水量下降</w:t>
            </w:r>
            <w:r w:rsidRPr="002B55E9">
              <w:rPr>
                <w:rFonts w:hint="eastAsia"/>
                <w:sz w:val="18"/>
                <w:szCs w:val="18"/>
              </w:rPr>
              <w:t>30%</w:t>
            </w:r>
            <w:r w:rsidRPr="002B55E9">
              <w:rPr>
                <w:rFonts w:hint="eastAsia"/>
                <w:sz w:val="18"/>
                <w:szCs w:val="18"/>
              </w:rPr>
              <w:t>。</w:t>
            </w:r>
          </w:p>
          <w:p w14:paraId="45821131" w14:textId="77777777" w:rsidR="00D170E5" w:rsidRPr="002B55E9" w:rsidRDefault="00EF27AD">
            <w:pPr>
              <w:rPr>
                <w:sz w:val="18"/>
                <w:szCs w:val="18"/>
              </w:rPr>
            </w:pPr>
            <w:r w:rsidRPr="002B55E9">
              <w:rPr>
                <w:rFonts w:hint="eastAsia"/>
                <w:sz w:val="18"/>
                <w:szCs w:val="18"/>
              </w:rPr>
              <w:t>2.</w:t>
            </w:r>
            <w:r w:rsidRPr="002B55E9">
              <w:rPr>
                <w:rFonts w:hint="eastAsia"/>
                <w:sz w:val="18"/>
                <w:szCs w:val="18"/>
              </w:rPr>
              <w:t>禁燃区内禁止新</w:t>
            </w:r>
            <w:r w:rsidRPr="002B55E9">
              <w:rPr>
                <w:rFonts w:hint="eastAsia"/>
                <w:sz w:val="18"/>
                <w:szCs w:val="18"/>
              </w:rPr>
              <w:t>(</w:t>
            </w:r>
            <w:r w:rsidRPr="002B55E9">
              <w:rPr>
                <w:rFonts w:hint="eastAsia"/>
                <w:sz w:val="18"/>
                <w:szCs w:val="18"/>
              </w:rPr>
              <w:t>改、扩</w:t>
            </w:r>
            <w:r w:rsidRPr="002B55E9">
              <w:rPr>
                <w:rFonts w:hint="eastAsia"/>
                <w:sz w:val="18"/>
                <w:szCs w:val="18"/>
              </w:rPr>
              <w:t>)</w:t>
            </w:r>
            <w:r w:rsidRPr="002B55E9">
              <w:rPr>
                <w:rFonts w:hint="eastAsia"/>
                <w:sz w:val="18"/>
                <w:szCs w:val="18"/>
              </w:rPr>
              <w:t>建高污染燃料燃用设施。高污染燃料燃用设施改燃期限到期后</w:t>
            </w:r>
            <w:r w:rsidRPr="002B55E9">
              <w:rPr>
                <w:rFonts w:hint="eastAsia"/>
                <w:sz w:val="18"/>
                <w:szCs w:val="18"/>
              </w:rPr>
              <w:t>,</w:t>
            </w:r>
            <w:r w:rsidRPr="002B55E9">
              <w:rPr>
                <w:rFonts w:hint="eastAsia"/>
                <w:sz w:val="18"/>
                <w:szCs w:val="18"/>
              </w:rPr>
              <w:t>禁燃区内禁止销售、燃用相应类型的高污染燃料。</w:t>
            </w:r>
          </w:p>
        </w:tc>
        <w:tc>
          <w:tcPr>
            <w:tcW w:w="2681" w:type="dxa"/>
            <w:tcBorders>
              <w:bottom w:val="single" w:sz="12" w:space="0" w:color="auto"/>
            </w:tcBorders>
            <w:vAlign w:val="center"/>
          </w:tcPr>
          <w:p w14:paraId="29DA5700" w14:textId="77777777" w:rsidR="00D170E5" w:rsidRPr="002B55E9" w:rsidRDefault="00EF27AD">
            <w:pPr>
              <w:jc w:val="center"/>
              <w:rPr>
                <w:sz w:val="18"/>
                <w:szCs w:val="18"/>
              </w:rPr>
            </w:pPr>
            <w:r w:rsidRPr="002B55E9">
              <w:rPr>
                <w:sz w:val="18"/>
                <w:szCs w:val="18"/>
              </w:rPr>
              <w:t>符合。本项目</w:t>
            </w:r>
            <w:r w:rsidRPr="002B55E9">
              <w:rPr>
                <w:rFonts w:hint="eastAsia"/>
                <w:sz w:val="18"/>
                <w:szCs w:val="18"/>
              </w:rPr>
              <w:t>不涉及燃料燃用设施。</w:t>
            </w:r>
          </w:p>
        </w:tc>
      </w:tr>
    </w:tbl>
    <w:p w14:paraId="4A75BECB" w14:textId="77777777" w:rsidR="00D170E5" w:rsidRPr="002B55E9" w:rsidRDefault="00EF27AD">
      <w:pPr>
        <w:pStyle w:val="affff7"/>
      </w:pPr>
      <w:r w:rsidRPr="002B55E9">
        <w:rPr>
          <w:rFonts w:hint="eastAsia"/>
        </w:rPr>
        <w:t>综上所述，本项目的建设符合《武汉市“三线一单”生态环境分区管控方案》相关要求。</w:t>
      </w:r>
    </w:p>
    <w:p w14:paraId="22254020" w14:textId="77777777" w:rsidR="00D170E5" w:rsidRPr="002B55E9" w:rsidRDefault="00EF27AD">
      <w:pPr>
        <w:pStyle w:val="3"/>
      </w:pPr>
      <w:bookmarkStart w:id="318" w:name="_Toc119309029"/>
      <w:r w:rsidRPr="002B55E9">
        <w:rPr>
          <w:rFonts w:hint="eastAsia"/>
        </w:rPr>
        <w:t>与《武汉市</w:t>
      </w:r>
      <w:r w:rsidRPr="002B55E9">
        <w:t>基本生态控制线管理条例</w:t>
      </w:r>
      <w:r w:rsidRPr="002B55E9">
        <w:rPr>
          <w:rFonts w:hint="eastAsia"/>
        </w:rPr>
        <w:t>》符合性</w:t>
      </w:r>
      <w:r w:rsidRPr="002B55E9">
        <w:t>分析</w:t>
      </w:r>
      <w:bookmarkEnd w:id="318"/>
    </w:p>
    <w:p w14:paraId="0A19BEF4" w14:textId="77777777" w:rsidR="00D170E5" w:rsidRPr="002B55E9" w:rsidRDefault="00EF27AD">
      <w:pPr>
        <w:spacing w:after="60" w:line="360" w:lineRule="auto"/>
        <w:ind w:firstLineChars="150" w:firstLine="360"/>
        <w:rPr>
          <w:sz w:val="24"/>
        </w:rPr>
      </w:pPr>
      <w:r w:rsidRPr="002B55E9">
        <w:rPr>
          <w:rFonts w:hint="eastAsia"/>
          <w:sz w:val="24"/>
        </w:rPr>
        <w:t>根据《武汉市基本生态控制线管理条例》（</w:t>
      </w:r>
      <w:r w:rsidRPr="002B55E9">
        <w:rPr>
          <w:rFonts w:hint="eastAsia"/>
          <w:sz w:val="24"/>
        </w:rPr>
        <w:t>2016</w:t>
      </w:r>
      <w:r w:rsidRPr="002B55E9">
        <w:rPr>
          <w:rFonts w:hint="eastAsia"/>
          <w:sz w:val="24"/>
        </w:rPr>
        <w:t>年</w:t>
      </w:r>
      <w:r w:rsidRPr="002B55E9">
        <w:rPr>
          <w:rFonts w:hint="eastAsia"/>
          <w:sz w:val="24"/>
        </w:rPr>
        <w:t>10</w:t>
      </w:r>
      <w:r w:rsidRPr="002B55E9">
        <w:rPr>
          <w:rFonts w:hint="eastAsia"/>
          <w:sz w:val="24"/>
        </w:rPr>
        <w:t>月</w:t>
      </w:r>
      <w:r w:rsidRPr="002B55E9">
        <w:rPr>
          <w:rFonts w:hint="eastAsia"/>
          <w:sz w:val="24"/>
        </w:rPr>
        <w:t>1</w:t>
      </w:r>
      <w:r w:rsidRPr="002B55E9">
        <w:rPr>
          <w:rFonts w:hint="eastAsia"/>
          <w:sz w:val="24"/>
        </w:rPr>
        <w:t>日施行）中的相关要求：基本生态控制线应当依据武汉市城市总体规划和生态框架保护规划划定，基本生态控制本生态控制线应当依据武汉市城市总体规划和生态框架保护规划划定，基本生态控制线范围和形成的生态保护范围进一步划分为“生态底线区”和“生态发展区”两个层次，实施不同的分区管控。其中下列区域应当划为生态底线区，其他区域划为生态发展区。</w:t>
      </w:r>
    </w:p>
    <w:p w14:paraId="18BF5A61" w14:textId="77777777" w:rsidR="00D170E5" w:rsidRPr="002B55E9" w:rsidRDefault="00EF27AD">
      <w:pPr>
        <w:spacing w:after="60" w:line="360" w:lineRule="auto"/>
        <w:ind w:firstLineChars="150" w:firstLine="360"/>
        <w:rPr>
          <w:sz w:val="24"/>
        </w:rPr>
      </w:pPr>
      <w:r w:rsidRPr="002B55E9">
        <w:rPr>
          <w:rFonts w:hint="eastAsia"/>
          <w:sz w:val="24"/>
        </w:rPr>
        <w:t>①饮用水水源一级、二级保护区，风景名胜区核心景区，自然保护区，森林公园，郊野公园；</w:t>
      </w:r>
    </w:p>
    <w:p w14:paraId="7FFAF681" w14:textId="77777777" w:rsidR="00D170E5" w:rsidRPr="002B55E9" w:rsidRDefault="00EF27AD">
      <w:pPr>
        <w:spacing w:after="60" w:line="360" w:lineRule="auto"/>
        <w:ind w:firstLineChars="150" w:firstLine="360"/>
        <w:rPr>
          <w:sz w:val="24"/>
        </w:rPr>
      </w:pPr>
      <w:r w:rsidRPr="002B55E9">
        <w:rPr>
          <w:rFonts w:hint="eastAsia"/>
          <w:sz w:val="24"/>
        </w:rPr>
        <w:t>②河流、湖泊、水库、湿地、重要的城市明渠及其保护范围；</w:t>
      </w:r>
    </w:p>
    <w:p w14:paraId="59CFA6B4" w14:textId="77777777" w:rsidR="00D170E5" w:rsidRPr="002B55E9" w:rsidRDefault="00EF27AD">
      <w:pPr>
        <w:spacing w:after="60" w:line="360" w:lineRule="auto"/>
        <w:ind w:firstLineChars="150" w:firstLine="360"/>
        <w:rPr>
          <w:sz w:val="24"/>
        </w:rPr>
      </w:pPr>
      <w:r w:rsidRPr="002B55E9">
        <w:rPr>
          <w:rFonts w:hint="eastAsia"/>
          <w:sz w:val="24"/>
        </w:rPr>
        <w:t>③山体及其保护范围；</w:t>
      </w:r>
    </w:p>
    <w:p w14:paraId="0E3B1A57" w14:textId="77777777" w:rsidR="00D170E5" w:rsidRPr="002B55E9" w:rsidRDefault="00EF27AD">
      <w:pPr>
        <w:spacing w:after="60" w:line="360" w:lineRule="auto"/>
        <w:ind w:firstLineChars="150" w:firstLine="360"/>
        <w:rPr>
          <w:sz w:val="24"/>
        </w:rPr>
      </w:pPr>
      <w:r w:rsidRPr="002B55E9">
        <w:rPr>
          <w:rFonts w:hint="eastAsia"/>
          <w:sz w:val="24"/>
        </w:rPr>
        <w:t>④永久性绿地、生态绿楔核心区；</w:t>
      </w:r>
    </w:p>
    <w:p w14:paraId="0C6E3202" w14:textId="77777777" w:rsidR="00D170E5" w:rsidRPr="002B55E9" w:rsidRDefault="00EF27AD">
      <w:pPr>
        <w:spacing w:after="60" w:line="360" w:lineRule="auto"/>
        <w:ind w:firstLineChars="150" w:firstLine="360"/>
        <w:rPr>
          <w:sz w:val="24"/>
        </w:rPr>
      </w:pPr>
      <w:r w:rsidRPr="002B55E9">
        <w:rPr>
          <w:rFonts w:hint="eastAsia"/>
          <w:sz w:val="24"/>
        </w:rPr>
        <w:t>⑤高速公路、快速路、铁路以及重大市政公用设施的防护绿地；</w:t>
      </w:r>
    </w:p>
    <w:p w14:paraId="7A812541" w14:textId="77777777" w:rsidR="00D170E5" w:rsidRPr="002B55E9" w:rsidRDefault="00EF27AD">
      <w:pPr>
        <w:spacing w:after="60" w:line="360" w:lineRule="auto"/>
        <w:ind w:firstLineChars="150" w:firstLine="360"/>
        <w:rPr>
          <w:sz w:val="24"/>
        </w:rPr>
      </w:pPr>
      <w:r w:rsidRPr="002B55E9">
        <w:rPr>
          <w:rFonts w:hint="eastAsia"/>
          <w:sz w:val="24"/>
        </w:rPr>
        <w:t>⑥其他为维护生态系统完整性，需要进行严格保护的农田、林地、绿地、生态廊道、城市公园等区域。</w:t>
      </w:r>
    </w:p>
    <w:p w14:paraId="477F2719" w14:textId="77777777" w:rsidR="00D170E5" w:rsidRPr="002B55E9" w:rsidRDefault="00EF27AD">
      <w:pPr>
        <w:spacing w:after="60" w:line="360" w:lineRule="auto"/>
        <w:ind w:firstLineChars="150" w:firstLine="360"/>
        <w:rPr>
          <w:sz w:val="24"/>
        </w:rPr>
      </w:pPr>
      <w:r w:rsidRPr="002B55E9">
        <w:rPr>
          <w:rFonts w:hint="eastAsia"/>
          <w:sz w:val="24"/>
        </w:rPr>
        <w:t>项目与东西湖区基本生态控制线的具体位置见附图</w:t>
      </w:r>
      <w:r w:rsidRPr="002B55E9">
        <w:rPr>
          <w:rFonts w:hint="eastAsia"/>
          <w:sz w:val="24"/>
        </w:rPr>
        <w:t>12</w:t>
      </w:r>
      <w:r w:rsidRPr="002B55E9">
        <w:rPr>
          <w:rFonts w:hint="eastAsia"/>
          <w:sz w:val="24"/>
        </w:rPr>
        <w:t>，项目不属于东西湖区中的生态底线区和生态发展区，因此项目的建设符合《武汉市基本生态控制线管理条例》。</w:t>
      </w:r>
    </w:p>
    <w:p w14:paraId="740BC6EA" w14:textId="28EA825D" w:rsidR="00D170E5" w:rsidRPr="002B55E9" w:rsidRDefault="00EF27AD">
      <w:pPr>
        <w:pStyle w:val="affff7"/>
      </w:pPr>
      <w:r w:rsidRPr="002B55E9">
        <w:rPr>
          <w:rFonts w:hint="eastAsia"/>
        </w:rPr>
        <w:t>本项目</w:t>
      </w:r>
      <w:r w:rsidRPr="002B55E9">
        <w:t>为由</w:t>
      </w:r>
      <w:r w:rsidRPr="002B55E9">
        <w:rPr>
          <w:rFonts w:hint="eastAsia"/>
        </w:rPr>
        <w:t>东西湖区新沟镇食品医药</w:t>
      </w:r>
      <w:r w:rsidRPr="002B55E9">
        <w:t>用地板块</w:t>
      </w:r>
      <w:r w:rsidRPr="002B55E9">
        <w:rPr>
          <w:rFonts w:hint="eastAsia"/>
        </w:rPr>
        <w:t>，</w:t>
      </w:r>
      <w:r w:rsidRPr="002B55E9">
        <w:t>不在基本生态控制线中的生态底线区和生态发展区，项目的建设符合《武汉市基本生态控制线管理条例》规定</w:t>
      </w:r>
      <w:r w:rsidRPr="002B55E9">
        <w:rPr>
          <w:rFonts w:hint="eastAsia"/>
        </w:rPr>
        <w:t>。</w:t>
      </w:r>
    </w:p>
    <w:p w14:paraId="4797EFB1" w14:textId="2967C322" w:rsidR="007255F8" w:rsidRPr="002B55E9" w:rsidRDefault="007255F8" w:rsidP="007255F8">
      <w:pPr>
        <w:pStyle w:val="3"/>
      </w:pPr>
      <w:r w:rsidRPr="002B55E9">
        <w:rPr>
          <w:rFonts w:hint="eastAsia"/>
        </w:rPr>
        <w:t>与《武汉市</w:t>
      </w:r>
      <w:r w:rsidRPr="002B55E9">
        <w:rPr>
          <w:rFonts w:hint="eastAsia"/>
        </w:rPr>
        <w:t>2022</w:t>
      </w:r>
      <w:r w:rsidRPr="002B55E9">
        <w:rPr>
          <w:rFonts w:hint="eastAsia"/>
        </w:rPr>
        <w:t>年改善空气质量攻坚方案》</w:t>
      </w:r>
      <w:r w:rsidR="00D96D3F" w:rsidRPr="002B55E9">
        <w:rPr>
          <w:rFonts w:hint="eastAsia"/>
        </w:rPr>
        <w:t>（武政规</w:t>
      </w:r>
      <w:r w:rsidR="00D96D3F" w:rsidRPr="002B55E9">
        <w:rPr>
          <w:rFonts w:hint="eastAsia"/>
        </w:rPr>
        <w:t>[2022]10</w:t>
      </w:r>
      <w:r w:rsidR="00D96D3F" w:rsidRPr="002B55E9">
        <w:rPr>
          <w:rFonts w:hint="eastAsia"/>
        </w:rPr>
        <w:t>号）</w:t>
      </w:r>
      <w:r w:rsidRPr="002B55E9">
        <w:rPr>
          <w:rFonts w:hint="eastAsia"/>
        </w:rPr>
        <w:t>符合性分析</w:t>
      </w:r>
    </w:p>
    <w:p w14:paraId="0B82A193" w14:textId="003605E0" w:rsidR="002B20DA" w:rsidRPr="002B55E9" w:rsidRDefault="007255F8" w:rsidP="007255F8">
      <w:pPr>
        <w:snapToGrid w:val="0"/>
        <w:spacing w:after="60" w:line="360" w:lineRule="auto"/>
        <w:ind w:firstLineChars="200" w:firstLine="480"/>
        <w:rPr>
          <w:kern w:val="2"/>
          <w:sz w:val="24"/>
          <w:szCs w:val="22"/>
        </w:rPr>
      </w:pPr>
      <w:r w:rsidRPr="002B55E9">
        <w:rPr>
          <w:rFonts w:hint="eastAsia"/>
          <w:kern w:val="2"/>
          <w:sz w:val="24"/>
          <w:szCs w:val="22"/>
        </w:rPr>
        <w:t>为深入贯彻习近平生态文明思想，严格落实《中共中央国务院关于深入打好污染防治攻坚战的意见》（中发</w:t>
      </w:r>
      <w:r w:rsidRPr="002B55E9">
        <w:rPr>
          <w:kern w:val="2"/>
          <w:sz w:val="24"/>
          <w:szCs w:val="22"/>
        </w:rPr>
        <w:t>[2021]40</w:t>
      </w:r>
      <w:r w:rsidRPr="002B55E9">
        <w:rPr>
          <w:rFonts w:hint="eastAsia"/>
          <w:kern w:val="2"/>
          <w:sz w:val="24"/>
          <w:szCs w:val="22"/>
        </w:rPr>
        <w:t>号）、《省委省政府印发〈贯彻落实〈中共中央国务院关于深入打好污染防治攻坚战的意见〉的若干措施〉的通知》（鄂发</w:t>
      </w:r>
      <w:r w:rsidRPr="002B55E9">
        <w:rPr>
          <w:kern w:val="2"/>
          <w:sz w:val="24"/>
          <w:szCs w:val="22"/>
        </w:rPr>
        <w:t>[2022]6</w:t>
      </w:r>
      <w:r w:rsidRPr="002B55E9">
        <w:rPr>
          <w:rFonts w:hint="eastAsia"/>
          <w:kern w:val="2"/>
          <w:sz w:val="24"/>
          <w:szCs w:val="22"/>
        </w:rPr>
        <w:t>号）和</w:t>
      </w:r>
      <w:r w:rsidRPr="002B55E9">
        <w:rPr>
          <w:kern w:val="2"/>
          <w:sz w:val="24"/>
          <w:szCs w:val="22"/>
        </w:rPr>
        <w:t>2022</w:t>
      </w:r>
      <w:r w:rsidRPr="002B55E9">
        <w:rPr>
          <w:rFonts w:hint="eastAsia"/>
          <w:kern w:val="2"/>
          <w:sz w:val="24"/>
          <w:szCs w:val="22"/>
        </w:rPr>
        <w:t>年市《政府工作报告》等要求，高标准打好蓝天保卫战，推进全市空气质量持续改善，武汉市人民政府于</w:t>
      </w:r>
      <w:r w:rsidRPr="002B55E9">
        <w:rPr>
          <w:kern w:val="2"/>
          <w:sz w:val="24"/>
          <w:szCs w:val="22"/>
        </w:rPr>
        <w:t>2022</w:t>
      </w:r>
      <w:r w:rsidRPr="002B55E9">
        <w:rPr>
          <w:rFonts w:hint="eastAsia"/>
          <w:kern w:val="2"/>
          <w:sz w:val="24"/>
          <w:szCs w:val="22"/>
        </w:rPr>
        <w:t>年</w:t>
      </w:r>
      <w:r w:rsidRPr="002B55E9">
        <w:rPr>
          <w:kern w:val="2"/>
          <w:sz w:val="24"/>
          <w:szCs w:val="22"/>
        </w:rPr>
        <w:t>5</w:t>
      </w:r>
      <w:r w:rsidRPr="002B55E9">
        <w:rPr>
          <w:rFonts w:hint="eastAsia"/>
          <w:kern w:val="2"/>
          <w:sz w:val="24"/>
          <w:szCs w:val="22"/>
        </w:rPr>
        <w:t>月</w:t>
      </w:r>
      <w:r w:rsidRPr="002B55E9">
        <w:rPr>
          <w:kern w:val="2"/>
          <w:sz w:val="24"/>
          <w:szCs w:val="22"/>
        </w:rPr>
        <w:t>30</w:t>
      </w:r>
      <w:r w:rsidRPr="002B55E9">
        <w:rPr>
          <w:rFonts w:hint="eastAsia"/>
          <w:kern w:val="2"/>
          <w:sz w:val="24"/>
          <w:szCs w:val="22"/>
        </w:rPr>
        <w:t>日发布《武汉市</w:t>
      </w:r>
      <w:r w:rsidRPr="002B55E9">
        <w:rPr>
          <w:kern w:val="2"/>
          <w:sz w:val="24"/>
          <w:szCs w:val="22"/>
        </w:rPr>
        <w:t>2022</w:t>
      </w:r>
      <w:r w:rsidRPr="002B55E9">
        <w:rPr>
          <w:rFonts w:hint="eastAsia"/>
          <w:kern w:val="2"/>
          <w:sz w:val="24"/>
          <w:szCs w:val="22"/>
        </w:rPr>
        <w:t>年改善空气质量攻坚方案》（武政规</w:t>
      </w:r>
      <w:r w:rsidRPr="002B55E9">
        <w:rPr>
          <w:kern w:val="2"/>
          <w:sz w:val="24"/>
          <w:szCs w:val="22"/>
        </w:rPr>
        <w:t>[2022]10</w:t>
      </w:r>
      <w:r w:rsidRPr="002B55E9">
        <w:rPr>
          <w:rFonts w:hint="eastAsia"/>
          <w:kern w:val="2"/>
          <w:sz w:val="24"/>
          <w:szCs w:val="22"/>
        </w:rPr>
        <w:t>号），本项目与其符合性分析如下：</w:t>
      </w:r>
    </w:p>
    <w:p w14:paraId="6E2A4795" w14:textId="4B82CA75" w:rsidR="002B20DA" w:rsidRPr="002B55E9" w:rsidRDefault="002B20DA" w:rsidP="002B20DA">
      <w:pPr>
        <w:pStyle w:val="afffffffffffff3"/>
        <w:ind w:firstLine="482"/>
        <w:rPr>
          <w:kern w:val="2"/>
          <w:sz w:val="24"/>
          <w:szCs w:val="22"/>
        </w:rPr>
      </w:pPr>
      <w:r w:rsidRPr="002B55E9">
        <w:rPr>
          <w:rFonts w:eastAsia="黑体"/>
          <w:sz w:val="24"/>
        </w:rPr>
        <w:lastRenderedPageBreak/>
        <w:t>表</w:t>
      </w:r>
      <w:r w:rsidRPr="002B55E9">
        <w:rPr>
          <w:rFonts w:eastAsia="黑体"/>
          <w:sz w:val="24"/>
        </w:rPr>
        <w:t>9-9-1</w:t>
      </w:r>
      <w:r w:rsidRPr="002B55E9">
        <w:rPr>
          <w:rFonts w:eastAsia="黑体" w:hint="eastAsia"/>
          <w:sz w:val="24"/>
        </w:rPr>
        <w:t xml:space="preserve">  </w:t>
      </w:r>
      <w:r w:rsidRPr="002B55E9">
        <w:rPr>
          <w:rFonts w:eastAsia="黑体"/>
          <w:sz w:val="24"/>
        </w:rPr>
        <w:t>本项目与</w:t>
      </w:r>
      <w:r w:rsidRPr="002B55E9">
        <w:rPr>
          <w:rFonts w:eastAsia="黑体" w:hint="eastAsia"/>
          <w:sz w:val="24"/>
        </w:rPr>
        <w:t>《武汉市</w:t>
      </w:r>
      <w:r w:rsidRPr="002B55E9">
        <w:rPr>
          <w:rFonts w:eastAsia="黑体" w:hint="eastAsia"/>
          <w:sz w:val="24"/>
        </w:rPr>
        <w:t>2022</w:t>
      </w:r>
      <w:r w:rsidRPr="002B55E9">
        <w:rPr>
          <w:rFonts w:eastAsia="黑体" w:hint="eastAsia"/>
          <w:sz w:val="24"/>
        </w:rPr>
        <w:t>年改善空气质量攻坚方案》</w:t>
      </w:r>
      <w:r w:rsidRPr="002B55E9">
        <w:rPr>
          <w:rFonts w:eastAsia="黑体"/>
          <w:sz w:val="24"/>
        </w:rPr>
        <w:t>符合性分析</w:t>
      </w:r>
    </w:p>
    <w:tbl>
      <w:tblPr>
        <w:tblStyle w:val="lgy2"/>
        <w:tblW w:w="5000" w:type="pct"/>
        <w:tblCellMar>
          <w:left w:w="28" w:type="dxa"/>
          <w:right w:w="28" w:type="dxa"/>
        </w:tblCellMar>
        <w:tblLook w:val="04A0" w:firstRow="1" w:lastRow="0" w:firstColumn="1" w:lastColumn="0" w:noHBand="0" w:noVBand="1"/>
      </w:tblPr>
      <w:tblGrid>
        <w:gridCol w:w="713"/>
        <w:gridCol w:w="5418"/>
        <w:gridCol w:w="2423"/>
        <w:gridCol w:w="1139"/>
      </w:tblGrid>
      <w:tr w:rsidR="00C60999" w:rsidRPr="002B55E9" w14:paraId="7DAA1080" w14:textId="77777777" w:rsidTr="00D96D3F">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2"/>
          </w:tcPr>
          <w:p w14:paraId="42538A89" w14:textId="4C9FAFF2" w:rsidR="002B20DA" w:rsidRPr="002B55E9" w:rsidRDefault="002B20DA" w:rsidP="00D96D3F">
            <w:pPr>
              <w:pStyle w:val="lgy-"/>
              <w:rPr>
                <w:rFonts w:eastAsia="宋体"/>
              </w:rPr>
            </w:pPr>
            <w:r w:rsidRPr="002B55E9">
              <w:rPr>
                <w:rFonts w:eastAsia="宋体" w:hint="eastAsia"/>
              </w:rPr>
              <w:t>文件</w:t>
            </w:r>
            <w:r w:rsidRPr="002B55E9">
              <w:rPr>
                <w:rFonts w:eastAsia="宋体"/>
              </w:rPr>
              <w:t>要求</w:t>
            </w:r>
            <w:r w:rsidR="007555E7" w:rsidRPr="002B55E9">
              <w:rPr>
                <w:rFonts w:eastAsia="宋体" w:hint="eastAsia"/>
              </w:rPr>
              <w:t>（节选）</w:t>
            </w:r>
          </w:p>
        </w:tc>
        <w:tc>
          <w:tcPr>
            <w:tcW w:w="2409" w:type="dxa"/>
          </w:tcPr>
          <w:p w14:paraId="1C9D87BA" w14:textId="5FE8F18B" w:rsidR="002B20DA" w:rsidRPr="002B55E9" w:rsidRDefault="002B20DA" w:rsidP="00D96D3F">
            <w:pPr>
              <w:pStyle w:val="lgy-"/>
              <w:rPr>
                <w:rFonts w:eastAsia="宋体"/>
              </w:rPr>
            </w:pPr>
            <w:r w:rsidRPr="002B55E9">
              <w:rPr>
                <w:rFonts w:eastAsia="宋体" w:hint="eastAsia"/>
              </w:rPr>
              <w:t>项目情况</w:t>
            </w:r>
          </w:p>
        </w:tc>
        <w:tc>
          <w:tcPr>
            <w:tcW w:w="1132" w:type="dxa"/>
          </w:tcPr>
          <w:p w14:paraId="626CA95C" w14:textId="50EAAACB" w:rsidR="002B20DA" w:rsidRPr="002B55E9" w:rsidRDefault="002B20DA" w:rsidP="00D96D3F">
            <w:pPr>
              <w:pStyle w:val="lgy-"/>
              <w:rPr>
                <w:rFonts w:eastAsia="宋体"/>
              </w:rPr>
            </w:pPr>
            <w:r w:rsidRPr="002B55E9">
              <w:rPr>
                <w:rFonts w:eastAsia="宋体" w:hint="eastAsia"/>
              </w:rPr>
              <w:t>符合性</w:t>
            </w:r>
          </w:p>
        </w:tc>
      </w:tr>
      <w:tr w:rsidR="00C60999" w:rsidRPr="002B55E9" w14:paraId="4A38D518" w14:textId="77777777" w:rsidTr="00D96D3F">
        <w:trPr>
          <w:trHeight w:val="283"/>
        </w:trPr>
        <w:tc>
          <w:tcPr>
            <w:tcW w:w="709" w:type="dxa"/>
            <w:vMerge w:val="restart"/>
          </w:tcPr>
          <w:p w14:paraId="2A0CA411" w14:textId="049995F0" w:rsidR="002B20DA" w:rsidRPr="002B55E9" w:rsidRDefault="002B20DA" w:rsidP="00D96D3F">
            <w:pPr>
              <w:pStyle w:val="lgy-"/>
              <w:rPr>
                <w:rFonts w:eastAsia="宋体"/>
              </w:rPr>
            </w:pPr>
            <w:r w:rsidRPr="002B55E9">
              <w:rPr>
                <w:rFonts w:eastAsia="宋体" w:hint="eastAsia"/>
                <w:shd w:val="clear" w:color="auto" w:fill="FFFFFF"/>
              </w:rPr>
              <w:t>（二）着力打好臭氧污染防治攻坚战</w:t>
            </w:r>
          </w:p>
        </w:tc>
        <w:tc>
          <w:tcPr>
            <w:tcW w:w="5387" w:type="dxa"/>
          </w:tcPr>
          <w:p w14:paraId="23A1ECA3" w14:textId="67FE20E6" w:rsidR="002B20DA" w:rsidRPr="002B55E9" w:rsidRDefault="002B20DA" w:rsidP="00D96D3F">
            <w:pPr>
              <w:pStyle w:val="lgy-"/>
              <w:jc w:val="both"/>
              <w:rPr>
                <w:rFonts w:eastAsia="宋体"/>
              </w:rPr>
            </w:pPr>
            <w:r w:rsidRPr="002B55E9">
              <w:rPr>
                <w:rFonts w:eastAsia="宋体" w:hint="eastAsia"/>
                <w:shd w:val="clear" w:color="auto" w:fill="FFFFFF"/>
              </w:rPr>
              <w:t>大力推进挥发性有机物（</w:t>
            </w:r>
            <w:r w:rsidRPr="002B55E9">
              <w:rPr>
                <w:rFonts w:eastAsia="宋体"/>
                <w:shd w:val="clear" w:color="auto" w:fill="FFFFFF"/>
              </w:rPr>
              <w:t>VOCs</w:t>
            </w:r>
            <w:r w:rsidRPr="002B55E9">
              <w:rPr>
                <w:rFonts w:eastAsia="宋体" w:hint="eastAsia"/>
                <w:shd w:val="clear" w:color="auto" w:fill="FFFFFF"/>
              </w:rPr>
              <w:t>）原辅材料源头替代。研究工业领域低</w:t>
            </w:r>
            <w:r w:rsidRPr="002B55E9">
              <w:rPr>
                <w:rFonts w:eastAsia="宋体"/>
                <w:shd w:val="clear" w:color="auto" w:fill="FFFFFF"/>
              </w:rPr>
              <w:t>VOCs</w:t>
            </w:r>
            <w:r w:rsidRPr="002B55E9">
              <w:rPr>
                <w:rFonts w:eastAsia="宋体" w:hint="eastAsia"/>
                <w:shd w:val="clear" w:color="auto" w:fill="FFFFFF"/>
              </w:rPr>
              <w:t>原辅材料和产品源头替代支持政策，持续开展重点行业</w:t>
            </w:r>
            <w:r w:rsidRPr="002B55E9">
              <w:rPr>
                <w:rFonts w:eastAsia="宋体"/>
                <w:shd w:val="clear" w:color="auto" w:fill="FFFFFF"/>
              </w:rPr>
              <w:t>VOCs</w:t>
            </w:r>
            <w:r w:rsidRPr="002B55E9">
              <w:rPr>
                <w:rFonts w:eastAsia="宋体" w:hint="eastAsia"/>
                <w:shd w:val="clear" w:color="auto" w:fill="FFFFFF"/>
              </w:rPr>
              <w:t>源头替代示范项目征选。严格控制生产和使用高</w:t>
            </w:r>
            <w:r w:rsidRPr="002B55E9">
              <w:rPr>
                <w:rFonts w:eastAsia="宋体"/>
                <w:shd w:val="clear" w:color="auto" w:fill="FFFFFF"/>
              </w:rPr>
              <w:t>VOCs</w:t>
            </w:r>
            <w:r w:rsidRPr="002B55E9">
              <w:rPr>
                <w:rFonts w:eastAsia="宋体" w:hint="eastAsia"/>
                <w:shd w:val="clear" w:color="auto" w:fill="FFFFFF"/>
              </w:rPr>
              <w:t>含量溶剂型涂料、油墨、胶粘剂、清洗剂等建设项目，鼓励新（改）建工业涂装、包装印刷、电子、家具制造等行业涉</w:t>
            </w:r>
            <w:r w:rsidRPr="002B55E9">
              <w:rPr>
                <w:rFonts w:eastAsia="宋体"/>
                <w:shd w:val="clear" w:color="auto" w:fill="FFFFFF"/>
              </w:rPr>
              <w:t>VOCs</w:t>
            </w:r>
            <w:r w:rsidRPr="002B55E9">
              <w:rPr>
                <w:rFonts w:eastAsia="宋体" w:hint="eastAsia"/>
                <w:shd w:val="clear" w:color="auto" w:fill="FFFFFF"/>
              </w:rPr>
              <w:t>项目使用低</w:t>
            </w:r>
            <w:r w:rsidRPr="002B55E9">
              <w:rPr>
                <w:rFonts w:eastAsia="宋体"/>
                <w:shd w:val="clear" w:color="auto" w:fill="FFFFFF"/>
              </w:rPr>
              <w:t>VOCs</w:t>
            </w:r>
            <w:r w:rsidRPr="002B55E9">
              <w:rPr>
                <w:rFonts w:eastAsia="宋体" w:hint="eastAsia"/>
                <w:shd w:val="clear" w:color="auto" w:fill="FFFFFF"/>
              </w:rPr>
              <w:t>含量原辅材料。</w:t>
            </w:r>
          </w:p>
        </w:tc>
        <w:tc>
          <w:tcPr>
            <w:tcW w:w="2409" w:type="dxa"/>
          </w:tcPr>
          <w:p w14:paraId="41FEDC7E" w14:textId="2645EA58" w:rsidR="002B20DA" w:rsidRPr="002B55E9" w:rsidRDefault="002B20DA" w:rsidP="00D96D3F">
            <w:pPr>
              <w:pStyle w:val="lgy-"/>
              <w:jc w:val="both"/>
              <w:rPr>
                <w:rFonts w:eastAsia="宋体"/>
              </w:rPr>
            </w:pPr>
            <w:r w:rsidRPr="002B55E9">
              <w:rPr>
                <w:rFonts w:eastAsia="宋体" w:hint="eastAsia"/>
              </w:rPr>
              <w:t>项目属于</w:t>
            </w:r>
            <w:r w:rsidRPr="002B55E9">
              <w:rPr>
                <w:rFonts w:eastAsia="宋体"/>
              </w:rPr>
              <w:t>食品制造业，</w:t>
            </w:r>
            <w:r w:rsidRPr="002B55E9">
              <w:rPr>
                <w:rFonts w:eastAsia="宋体" w:hint="eastAsia"/>
              </w:rPr>
              <w:t>涉及的原辅材料为生产必需的原辅料，通过对工艺装置、罐区等</w:t>
            </w:r>
            <w:r w:rsidRPr="002B55E9">
              <w:rPr>
                <w:rFonts w:eastAsia="宋体"/>
              </w:rPr>
              <w:t>VOCs</w:t>
            </w:r>
            <w:r w:rsidRPr="002B55E9">
              <w:rPr>
                <w:rFonts w:eastAsia="宋体" w:hint="eastAsia"/>
              </w:rPr>
              <w:t>加强收集与处理，减少</w:t>
            </w:r>
            <w:r w:rsidRPr="002B55E9">
              <w:rPr>
                <w:rFonts w:eastAsia="宋体"/>
              </w:rPr>
              <w:t>VOCs</w:t>
            </w:r>
            <w:r w:rsidRPr="002B55E9">
              <w:rPr>
                <w:rFonts w:eastAsia="宋体" w:hint="eastAsia"/>
              </w:rPr>
              <w:t>排放。</w:t>
            </w:r>
          </w:p>
        </w:tc>
        <w:tc>
          <w:tcPr>
            <w:tcW w:w="1132" w:type="dxa"/>
          </w:tcPr>
          <w:p w14:paraId="695DB014" w14:textId="18E09A6D" w:rsidR="002B20DA" w:rsidRPr="002B55E9" w:rsidRDefault="002B20DA" w:rsidP="00D96D3F">
            <w:pPr>
              <w:pStyle w:val="lgy-"/>
              <w:rPr>
                <w:rFonts w:eastAsia="宋体"/>
              </w:rPr>
            </w:pPr>
            <w:r w:rsidRPr="002B55E9">
              <w:rPr>
                <w:rFonts w:eastAsia="宋体" w:hint="eastAsia"/>
              </w:rPr>
              <w:t>符合</w:t>
            </w:r>
          </w:p>
        </w:tc>
      </w:tr>
      <w:tr w:rsidR="00C60999" w:rsidRPr="002B55E9" w14:paraId="6A34B35C" w14:textId="77777777" w:rsidTr="00D96D3F">
        <w:trPr>
          <w:trHeight w:val="283"/>
        </w:trPr>
        <w:tc>
          <w:tcPr>
            <w:tcW w:w="709" w:type="dxa"/>
            <w:vMerge/>
          </w:tcPr>
          <w:p w14:paraId="7B56FD2D" w14:textId="77777777" w:rsidR="002B20DA" w:rsidRPr="002B55E9" w:rsidRDefault="002B20DA" w:rsidP="00D96D3F">
            <w:pPr>
              <w:pStyle w:val="lgy-"/>
              <w:rPr>
                <w:rFonts w:eastAsia="宋体"/>
              </w:rPr>
            </w:pPr>
          </w:p>
        </w:tc>
        <w:tc>
          <w:tcPr>
            <w:tcW w:w="5387" w:type="dxa"/>
          </w:tcPr>
          <w:p w14:paraId="14913AAA" w14:textId="067252C8" w:rsidR="002B20DA" w:rsidRPr="002B55E9" w:rsidRDefault="002B20DA" w:rsidP="00D96D3F">
            <w:pPr>
              <w:pStyle w:val="lgy-"/>
              <w:jc w:val="both"/>
              <w:rPr>
                <w:rFonts w:eastAsia="宋体"/>
              </w:rPr>
            </w:pPr>
            <w:r w:rsidRPr="002B55E9">
              <w:rPr>
                <w:rFonts w:eastAsia="宋体" w:hint="eastAsia"/>
                <w:shd w:val="clear" w:color="auto" w:fill="FFFFFF"/>
              </w:rPr>
              <w:t>严格</w:t>
            </w:r>
            <w:r w:rsidRPr="002B55E9">
              <w:rPr>
                <w:rFonts w:eastAsia="宋体"/>
                <w:shd w:val="clear" w:color="auto" w:fill="FFFFFF"/>
              </w:rPr>
              <w:t>VOCs</w:t>
            </w:r>
            <w:r w:rsidRPr="002B55E9">
              <w:rPr>
                <w:rFonts w:eastAsia="宋体" w:hint="eastAsia"/>
                <w:shd w:val="clear" w:color="auto" w:fill="FFFFFF"/>
              </w:rPr>
              <w:t>管控标准和要求。新（改、扩）建项目涉</w:t>
            </w:r>
            <w:r w:rsidRPr="002B55E9">
              <w:rPr>
                <w:rFonts w:eastAsia="宋体"/>
                <w:shd w:val="clear" w:color="auto" w:fill="FFFFFF"/>
              </w:rPr>
              <w:t>VOCs</w:t>
            </w:r>
            <w:r w:rsidRPr="002B55E9">
              <w:rPr>
                <w:rFonts w:eastAsia="宋体" w:hint="eastAsia"/>
                <w:shd w:val="clear" w:color="auto" w:fill="FFFFFF"/>
              </w:rPr>
              <w:t>处理设施原则上不使用低温等离子、光催化、光氧化等处理工艺（恶臭异味治理除外）。推动现有项目淘汰单一低效处理工艺。按照湖北省《表面涂装（汽车制造业）挥发性有机化合物排放标准》（</w:t>
            </w:r>
            <w:r w:rsidRPr="002B55E9">
              <w:rPr>
                <w:rFonts w:eastAsia="宋体"/>
                <w:shd w:val="clear" w:color="auto" w:fill="FFFFFF"/>
              </w:rPr>
              <w:t>DB42/1539</w:t>
            </w:r>
            <w:r w:rsidRPr="002B55E9">
              <w:rPr>
                <w:rFonts w:eastAsia="宋体" w:hint="eastAsia"/>
                <w:shd w:val="clear" w:color="auto" w:fill="FFFFFF"/>
              </w:rPr>
              <w:t>—</w:t>
            </w:r>
            <w:r w:rsidRPr="002B55E9">
              <w:rPr>
                <w:rFonts w:eastAsia="宋体"/>
                <w:shd w:val="clear" w:color="auto" w:fill="FFFFFF"/>
              </w:rPr>
              <w:t>2019</w:t>
            </w:r>
            <w:r w:rsidRPr="002B55E9">
              <w:rPr>
                <w:rFonts w:eastAsia="宋体" w:hint="eastAsia"/>
                <w:shd w:val="clear" w:color="auto" w:fill="FFFFFF"/>
              </w:rPr>
              <w:t>）特别排放限值要求，推动整车制造企业完成提标改造。</w:t>
            </w:r>
          </w:p>
        </w:tc>
        <w:tc>
          <w:tcPr>
            <w:tcW w:w="2409" w:type="dxa"/>
          </w:tcPr>
          <w:p w14:paraId="533B9B30" w14:textId="0928D2D0" w:rsidR="002B20DA" w:rsidRPr="002B55E9" w:rsidRDefault="002B20DA" w:rsidP="00D96D3F">
            <w:pPr>
              <w:pStyle w:val="lgy-"/>
              <w:jc w:val="both"/>
              <w:rPr>
                <w:rFonts w:eastAsia="宋体"/>
              </w:rPr>
            </w:pPr>
            <w:r w:rsidRPr="002B55E9">
              <w:rPr>
                <w:rFonts w:eastAsia="宋体" w:hint="eastAsia"/>
                <w:shd w:val="clear" w:color="auto" w:fill="FFFFFF"/>
              </w:rPr>
              <w:t>本项目废气分类收集处理，</w:t>
            </w:r>
            <w:r w:rsidRPr="002B55E9">
              <w:rPr>
                <w:rFonts w:eastAsia="宋体" w:hint="eastAsia"/>
              </w:rPr>
              <w:t>生产工艺废气经</w:t>
            </w:r>
            <w:r w:rsidR="00CE536C" w:rsidRPr="002B55E9">
              <w:rPr>
                <w:rFonts w:eastAsia="宋体" w:hint="eastAsia"/>
              </w:rPr>
              <w:t>二级碱喷淋</w:t>
            </w:r>
            <w:r w:rsidR="00CE536C" w:rsidRPr="002B55E9">
              <w:rPr>
                <w:rFonts w:eastAsia="宋体" w:hint="eastAsia"/>
              </w:rPr>
              <w:t>+</w:t>
            </w:r>
            <w:r w:rsidR="00CE536C" w:rsidRPr="002B55E9">
              <w:rPr>
                <w:rFonts w:eastAsia="宋体" w:hint="eastAsia"/>
              </w:rPr>
              <w:t>水喷淋</w:t>
            </w:r>
            <w:r w:rsidRPr="002B55E9">
              <w:rPr>
                <w:rFonts w:eastAsia="宋体" w:hint="eastAsia"/>
              </w:rPr>
              <w:t>处理后达标排放；化验室废气产生浓度很低，采用活性炭吸附处理后排放；</w:t>
            </w:r>
            <w:r w:rsidRPr="002B55E9">
              <w:rPr>
                <w:rFonts w:eastAsia="宋体" w:hint="eastAsia"/>
                <w:shd w:val="clear" w:color="auto" w:fill="FFFFFF"/>
              </w:rPr>
              <w:t>未采用低温等离子、光催化、光氧化等低效技术作为</w:t>
            </w:r>
            <w:r w:rsidRPr="002B55E9">
              <w:rPr>
                <w:rFonts w:eastAsia="宋体"/>
                <w:shd w:val="clear" w:color="auto" w:fill="FFFFFF"/>
              </w:rPr>
              <w:t>VOCs</w:t>
            </w:r>
            <w:r w:rsidRPr="002B55E9">
              <w:rPr>
                <w:rFonts w:eastAsia="宋体" w:hint="eastAsia"/>
                <w:shd w:val="clear" w:color="auto" w:fill="FFFFFF"/>
              </w:rPr>
              <w:t>治理技术。</w:t>
            </w:r>
          </w:p>
        </w:tc>
        <w:tc>
          <w:tcPr>
            <w:tcW w:w="1132" w:type="dxa"/>
          </w:tcPr>
          <w:p w14:paraId="30BD5362" w14:textId="1D1EAF31" w:rsidR="002B20DA" w:rsidRPr="002B55E9" w:rsidRDefault="002B20DA" w:rsidP="00D96D3F">
            <w:pPr>
              <w:pStyle w:val="lgy-"/>
              <w:rPr>
                <w:rFonts w:eastAsia="宋体"/>
              </w:rPr>
            </w:pPr>
            <w:r w:rsidRPr="002B55E9">
              <w:rPr>
                <w:rFonts w:eastAsia="宋体" w:hint="eastAsia"/>
              </w:rPr>
              <w:t>符合</w:t>
            </w:r>
          </w:p>
        </w:tc>
      </w:tr>
      <w:tr w:rsidR="00C60999" w:rsidRPr="002B55E9" w14:paraId="77C2ED26" w14:textId="77777777" w:rsidTr="00D96D3F">
        <w:trPr>
          <w:trHeight w:val="283"/>
        </w:trPr>
        <w:tc>
          <w:tcPr>
            <w:tcW w:w="709" w:type="dxa"/>
            <w:vMerge w:val="restart"/>
          </w:tcPr>
          <w:p w14:paraId="6000224E" w14:textId="6F75D7B1" w:rsidR="002B20DA" w:rsidRPr="002B55E9" w:rsidRDefault="002B20DA" w:rsidP="00D96D3F">
            <w:pPr>
              <w:pStyle w:val="lgy-"/>
              <w:rPr>
                <w:rFonts w:eastAsia="宋体"/>
              </w:rPr>
            </w:pPr>
            <w:r w:rsidRPr="002B55E9">
              <w:rPr>
                <w:rFonts w:eastAsia="宋体" w:hint="eastAsia"/>
                <w:shd w:val="clear" w:color="auto" w:fill="FFFFFF"/>
              </w:rPr>
              <w:t>（三）持续推进产业结构优化调整</w:t>
            </w:r>
          </w:p>
        </w:tc>
        <w:tc>
          <w:tcPr>
            <w:tcW w:w="5387" w:type="dxa"/>
          </w:tcPr>
          <w:p w14:paraId="47F061A8" w14:textId="560602E8" w:rsidR="002B20DA" w:rsidRPr="002B55E9" w:rsidRDefault="002B20DA" w:rsidP="00D96D3F">
            <w:pPr>
              <w:pStyle w:val="lgy-"/>
              <w:jc w:val="both"/>
              <w:rPr>
                <w:rFonts w:eastAsia="宋体"/>
              </w:rPr>
            </w:pPr>
            <w:r w:rsidRPr="002B55E9">
              <w:rPr>
                <w:rFonts w:eastAsia="宋体" w:hint="eastAsia"/>
                <w:shd w:val="clear" w:color="auto" w:fill="FFFFFF"/>
              </w:rPr>
              <w:t>严控新增大气污染物排放。按照国家、省要求实施全市新增排放氮氧化物（</w:t>
            </w:r>
            <w:r w:rsidRPr="002B55E9">
              <w:rPr>
                <w:rFonts w:eastAsia="宋体"/>
                <w:shd w:val="clear" w:color="auto" w:fill="FFFFFF"/>
              </w:rPr>
              <w:t>NOx</w:t>
            </w:r>
            <w:r w:rsidRPr="002B55E9">
              <w:rPr>
                <w:rFonts w:eastAsia="宋体" w:hint="eastAsia"/>
                <w:shd w:val="clear" w:color="auto" w:fill="FFFFFF"/>
              </w:rPr>
              <w:t>）、挥发性有机物</w:t>
            </w:r>
            <w:r w:rsidRPr="002B55E9">
              <w:rPr>
                <w:rFonts w:eastAsia="宋体"/>
                <w:shd w:val="clear" w:color="auto" w:fill="FFFFFF"/>
              </w:rPr>
              <w:t>(VOCs)</w:t>
            </w:r>
            <w:r w:rsidRPr="002B55E9">
              <w:rPr>
                <w:rFonts w:eastAsia="宋体" w:hint="eastAsia"/>
                <w:shd w:val="clear" w:color="auto" w:fill="FFFFFF"/>
              </w:rPr>
              <w:t>、二氧化硫、烟粉尘总量指标替代。重点行业新（改、扩）建大气污染物项目参照绩效引领性或者</w:t>
            </w:r>
            <w:r w:rsidRPr="002B55E9">
              <w:rPr>
                <w:rFonts w:eastAsia="宋体"/>
                <w:shd w:val="clear" w:color="auto" w:fill="FFFFFF"/>
              </w:rPr>
              <w:t>B</w:t>
            </w:r>
            <w:r w:rsidRPr="002B55E9">
              <w:rPr>
                <w:rFonts w:eastAsia="宋体" w:hint="eastAsia"/>
                <w:shd w:val="clear" w:color="auto" w:fill="FFFFFF"/>
              </w:rPr>
              <w:t>级及以上绩效企业标准建设，其中，涉</w:t>
            </w:r>
            <w:r w:rsidRPr="002B55E9">
              <w:rPr>
                <w:rFonts w:eastAsia="宋体"/>
                <w:shd w:val="clear" w:color="auto" w:fill="FFFFFF"/>
              </w:rPr>
              <w:t>VOCs</w:t>
            </w:r>
            <w:r w:rsidRPr="002B55E9">
              <w:rPr>
                <w:rFonts w:eastAsia="宋体" w:hint="eastAsia"/>
                <w:shd w:val="clear" w:color="auto" w:fill="FFFFFF"/>
              </w:rPr>
              <w:t>排放项目，无国家、省挥发性有机物行业排放标准或者绩效排放限值的，项目车间或者生产设施排气筒非甲烷总烃按照电子工业不超过</w:t>
            </w:r>
            <w:r w:rsidRPr="002B55E9">
              <w:rPr>
                <w:rFonts w:eastAsia="宋体"/>
                <w:shd w:val="clear" w:color="auto" w:fill="FFFFFF"/>
              </w:rPr>
              <w:t>50</w:t>
            </w:r>
            <w:r w:rsidRPr="002B55E9">
              <w:rPr>
                <w:rFonts w:eastAsia="宋体" w:hint="eastAsia"/>
                <w:shd w:val="clear" w:color="auto" w:fill="FFFFFF"/>
              </w:rPr>
              <w:t>毫克</w:t>
            </w:r>
            <w:r w:rsidRPr="002B55E9">
              <w:rPr>
                <w:rFonts w:eastAsia="宋体"/>
                <w:shd w:val="clear" w:color="auto" w:fill="FFFFFF"/>
              </w:rPr>
              <w:t>/</w:t>
            </w:r>
            <w:r w:rsidRPr="002B55E9">
              <w:rPr>
                <w:rFonts w:eastAsia="宋体" w:hint="eastAsia"/>
                <w:shd w:val="clear" w:color="auto" w:fill="FFFFFF"/>
              </w:rPr>
              <w:t>立方米、其他行业不超过</w:t>
            </w:r>
            <w:r w:rsidRPr="002B55E9">
              <w:rPr>
                <w:rFonts w:eastAsia="宋体"/>
                <w:shd w:val="clear" w:color="auto" w:fill="FFFFFF"/>
              </w:rPr>
              <w:t>60</w:t>
            </w:r>
            <w:r w:rsidRPr="002B55E9">
              <w:rPr>
                <w:rFonts w:eastAsia="宋体" w:hint="eastAsia"/>
                <w:shd w:val="clear" w:color="auto" w:fill="FFFFFF"/>
              </w:rPr>
              <w:t>毫克</w:t>
            </w:r>
            <w:r w:rsidRPr="002B55E9">
              <w:rPr>
                <w:rFonts w:eastAsia="宋体"/>
                <w:shd w:val="clear" w:color="auto" w:fill="FFFFFF"/>
              </w:rPr>
              <w:t>/</w:t>
            </w:r>
            <w:r w:rsidRPr="002B55E9">
              <w:rPr>
                <w:rFonts w:eastAsia="宋体" w:hint="eastAsia"/>
                <w:shd w:val="clear" w:color="auto" w:fill="FFFFFF"/>
              </w:rPr>
              <w:t>立方米的标准进行控制。</w:t>
            </w:r>
          </w:p>
        </w:tc>
        <w:tc>
          <w:tcPr>
            <w:tcW w:w="2409" w:type="dxa"/>
          </w:tcPr>
          <w:p w14:paraId="0030F4AA" w14:textId="45CBEDB1" w:rsidR="002B20DA" w:rsidRPr="002B55E9" w:rsidRDefault="002B20DA" w:rsidP="00D96D3F">
            <w:pPr>
              <w:pStyle w:val="lgy-"/>
              <w:jc w:val="both"/>
              <w:rPr>
                <w:rFonts w:eastAsia="宋体"/>
              </w:rPr>
            </w:pPr>
            <w:r w:rsidRPr="002B55E9">
              <w:rPr>
                <w:rFonts w:eastAsia="宋体" w:hint="eastAsia"/>
                <w:shd w:val="clear" w:color="auto" w:fill="FFFFFF"/>
              </w:rPr>
              <w:t>本项目大气污染物</w:t>
            </w:r>
            <w:r w:rsidRPr="002B55E9">
              <w:rPr>
                <w:rFonts w:eastAsia="宋体" w:hint="eastAsia"/>
              </w:rPr>
              <w:t>非甲烷总烃排放限值</w:t>
            </w:r>
            <w:r w:rsidRPr="002B55E9">
              <w:rPr>
                <w:rFonts w:eastAsia="宋体" w:hint="eastAsia"/>
                <w:shd w:val="clear" w:color="auto" w:fill="FFFFFF"/>
              </w:rPr>
              <w:t>按照不超过</w:t>
            </w:r>
            <w:r w:rsidRPr="002B55E9">
              <w:rPr>
                <w:rFonts w:eastAsia="宋体"/>
                <w:shd w:val="clear" w:color="auto" w:fill="FFFFFF"/>
              </w:rPr>
              <w:t>60</w:t>
            </w:r>
            <w:r w:rsidRPr="002B55E9">
              <w:rPr>
                <w:rFonts w:eastAsia="宋体" w:hint="eastAsia"/>
                <w:shd w:val="clear" w:color="auto" w:fill="FFFFFF"/>
              </w:rPr>
              <w:t>毫克</w:t>
            </w:r>
            <w:r w:rsidRPr="002B55E9">
              <w:rPr>
                <w:rFonts w:eastAsia="宋体"/>
                <w:shd w:val="clear" w:color="auto" w:fill="FFFFFF"/>
              </w:rPr>
              <w:t>/</w:t>
            </w:r>
            <w:r w:rsidRPr="002B55E9">
              <w:rPr>
                <w:rFonts w:eastAsia="宋体" w:hint="eastAsia"/>
                <w:shd w:val="clear" w:color="auto" w:fill="FFFFFF"/>
              </w:rPr>
              <w:t>立方米的标准进行控制。</w:t>
            </w:r>
          </w:p>
        </w:tc>
        <w:tc>
          <w:tcPr>
            <w:tcW w:w="1132" w:type="dxa"/>
          </w:tcPr>
          <w:p w14:paraId="7126C791" w14:textId="75661CFA" w:rsidR="002B20DA" w:rsidRPr="002B55E9" w:rsidRDefault="002B20DA" w:rsidP="00D96D3F">
            <w:pPr>
              <w:pStyle w:val="lgy-"/>
              <w:rPr>
                <w:rFonts w:eastAsia="宋体"/>
              </w:rPr>
            </w:pPr>
            <w:r w:rsidRPr="002B55E9">
              <w:rPr>
                <w:rFonts w:eastAsia="宋体" w:hint="eastAsia"/>
              </w:rPr>
              <w:t>符合</w:t>
            </w:r>
          </w:p>
        </w:tc>
      </w:tr>
      <w:tr w:rsidR="00C60999" w:rsidRPr="002B55E9" w14:paraId="559385AC" w14:textId="77777777" w:rsidTr="00D96D3F">
        <w:trPr>
          <w:trHeight w:val="283"/>
        </w:trPr>
        <w:tc>
          <w:tcPr>
            <w:tcW w:w="709" w:type="dxa"/>
            <w:vMerge/>
          </w:tcPr>
          <w:p w14:paraId="5AB6EF27" w14:textId="77777777" w:rsidR="002B20DA" w:rsidRPr="002B55E9" w:rsidRDefault="002B20DA" w:rsidP="00D96D3F">
            <w:pPr>
              <w:pStyle w:val="lgy-"/>
              <w:rPr>
                <w:rFonts w:eastAsia="宋体"/>
              </w:rPr>
            </w:pPr>
          </w:p>
        </w:tc>
        <w:tc>
          <w:tcPr>
            <w:tcW w:w="5387" w:type="dxa"/>
          </w:tcPr>
          <w:p w14:paraId="6F5E1221" w14:textId="682E910C" w:rsidR="002B20DA" w:rsidRPr="002B55E9" w:rsidRDefault="002B20DA" w:rsidP="00D96D3F">
            <w:pPr>
              <w:pStyle w:val="lgy-"/>
              <w:jc w:val="both"/>
              <w:rPr>
                <w:rFonts w:eastAsia="宋体"/>
              </w:rPr>
            </w:pPr>
            <w:r w:rsidRPr="002B55E9">
              <w:rPr>
                <w:rFonts w:eastAsia="宋体" w:hint="eastAsia"/>
                <w:shd w:val="clear" w:color="auto" w:fill="FFFFFF"/>
              </w:rPr>
              <w:t>严格建设项目环境准入。新建涉工业炉窑的建设项目，原则上要进入园区或者工业聚集区，配套建设高效环保治理设施。新（改、扩）建煤电、石化、化工、钢铁、建材等高耗能、高排放（以下称“两高”）项目，严格落实国家产业规划、产业政策、“三线一单”、规划环评，以及产能置换、煤炭消费减量替代、区域污染物削减等相关要求。</w:t>
            </w:r>
          </w:p>
        </w:tc>
        <w:tc>
          <w:tcPr>
            <w:tcW w:w="2409" w:type="dxa"/>
          </w:tcPr>
          <w:p w14:paraId="3701980A" w14:textId="3FAF50C4" w:rsidR="002B20DA" w:rsidRPr="002B55E9" w:rsidRDefault="002B20DA" w:rsidP="00D96D3F">
            <w:pPr>
              <w:pStyle w:val="lgy-"/>
              <w:jc w:val="both"/>
              <w:rPr>
                <w:rFonts w:eastAsia="宋体"/>
              </w:rPr>
            </w:pPr>
            <w:r w:rsidRPr="002B55E9">
              <w:rPr>
                <w:rFonts w:eastAsia="宋体" w:hint="eastAsia"/>
                <w:shd w:val="clear" w:color="auto" w:fill="FFFFFF"/>
              </w:rPr>
              <w:t>本项目属于</w:t>
            </w:r>
            <w:r w:rsidRPr="002B55E9">
              <w:rPr>
                <w:rFonts w:eastAsia="宋体"/>
                <w:shd w:val="clear" w:color="auto" w:fill="FFFFFF"/>
              </w:rPr>
              <w:t>食品制造业，</w:t>
            </w:r>
            <w:r w:rsidRPr="002B55E9">
              <w:rPr>
                <w:rFonts w:eastAsia="宋体" w:hint="eastAsia"/>
                <w:shd w:val="clear" w:color="auto" w:fill="FFFFFF"/>
              </w:rPr>
              <w:t>不涉及</w:t>
            </w:r>
            <w:r w:rsidRPr="002B55E9">
              <w:rPr>
                <w:rFonts w:eastAsia="宋体"/>
                <w:shd w:val="clear" w:color="auto" w:fill="FFFFFF"/>
              </w:rPr>
              <w:t>工业炉窑，</w:t>
            </w:r>
            <w:r w:rsidRPr="002B55E9">
              <w:rPr>
                <w:rFonts w:eastAsia="宋体" w:hint="eastAsia"/>
                <w:shd w:val="clear" w:color="auto" w:fill="FFFFFF"/>
              </w:rPr>
              <w:t>不属于</w:t>
            </w:r>
            <w:r w:rsidRPr="002B55E9">
              <w:rPr>
                <w:rFonts w:eastAsia="宋体"/>
                <w:shd w:val="clear" w:color="auto" w:fill="FFFFFF"/>
              </w:rPr>
              <w:t>两高项目</w:t>
            </w:r>
            <w:r w:rsidRPr="002B55E9">
              <w:rPr>
                <w:rFonts w:eastAsia="宋体" w:hint="eastAsia"/>
                <w:shd w:val="clear" w:color="auto" w:fill="FFFFFF"/>
              </w:rPr>
              <w:t>。</w:t>
            </w:r>
          </w:p>
        </w:tc>
        <w:tc>
          <w:tcPr>
            <w:tcW w:w="1132" w:type="dxa"/>
          </w:tcPr>
          <w:p w14:paraId="53328E8C" w14:textId="5621B46D" w:rsidR="002B20DA" w:rsidRPr="002B55E9" w:rsidRDefault="002B20DA" w:rsidP="00D96D3F">
            <w:pPr>
              <w:pStyle w:val="lgy-"/>
              <w:rPr>
                <w:rFonts w:eastAsia="宋体"/>
              </w:rPr>
            </w:pPr>
            <w:r w:rsidRPr="002B55E9">
              <w:rPr>
                <w:rFonts w:eastAsia="宋体" w:hint="eastAsia"/>
              </w:rPr>
              <w:t>符合</w:t>
            </w:r>
          </w:p>
        </w:tc>
      </w:tr>
      <w:tr w:rsidR="00C60999" w:rsidRPr="002B55E9" w14:paraId="72354835" w14:textId="77777777" w:rsidTr="00D96D3F">
        <w:trPr>
          <w:trHeight w:val="283"/>
        </w:trPr>
        <w:tc>
          <w:tcPr>
            <w:tcW w:w="709" w:type="dxa"/>
          </w:tcPr>
          <w:p w14:paraId="004C0A80" w14:textId="2C04CB69" w:rsidR="007555E7" w:rsidRPr="002B55E9" w:rsidRDefault="007555E7" w:rsidP="00D96D3F">
            <w:pPr>
              <w:pStyle w:val="lgy-"/>
              <w:rPr>
                <w:rFonts w:eastAsia="宋体"/>
              </w:rPr>
            </w:pPr>
            <w:r w:rsidRPr="002B55E9">
              <w:rPr>
                <w:rFonts w:eastAsia="宋体" w:hint="eastAsia"/>
              </w:rPr>
              <w:t>（七）深化重点行业废气治理</w:t>
            </w:r>
          </w:p>
        </w:tc>
        <w:tc>
          <w:tcPr>
            <w:tcW w:w="5387" w:type="dxa"/>
          </w:tcPr>
          <w:p w14:paraId="003B760B" w14:textId="28714809" w:rsidR="007555E7" w:rsidRPr="002B55E9" w:rsidRDefault="007555E7" w:rsidP="00D96D3F">
            <w:pPr>
              <w:pStyle w:val="lgy-"/>
              <w:jc w:val="both"/>
              <w:rPr>
                <w:rFonts w:eastAsia="宋体"/>
                <w:shd w:val="clear" w:color="auto" w:fill="FFFFFF"/>
              </w:rPr>
            </w:pPr>
            <w:r w:rsidRPr="002B55E9">
              <w:rPr>
                <w:rFonts w:eastAsia="宋体" w:hint="eastAsia"/>
                <w:shd w:val="clear" w:color="auto" w:fill="FFFFFF"/>
              </w:rPr>
              <w:t>加强重点排污单位在线监控。涉气重点排污单位新（改、扩）建项目主要产污环节及其废气处理设施等安装用电运行状态控制在线监测系统；推进涉气重点排污单位现有主要产污环节及其废气处理设施等安装用电运行状态控制在线监测系统，记录环保设施运行情况。运行状况控制信息资料应保存</w:t>
            </w:r>
            <w:r w:rsidRPr="002B55E9">
              <w:rPr>
                <w:rFonts w:eastAsia="宋体" w:hint="eastAsia"/>
                <w:shd w:val="clear" w:color="auto" w:fill="FFFFFF"/>
              </w:rPr>
              <w:t>1</w:t>
            </w:r>
            <w:r w:rsidRPr="002B55E9">
              <w:rPr>
                <w:rFonts w:eastAsia="宋体" w:hint="eastAsia"/>
                <w:shd w:val="clear" w:color="auto" w:fill="FFFFFF"/>
              </w:rPr>
              <w:t>年以上。</w:t>
            </w:r>
          </w:p>
        </w:tc>
        <w:tc>
          <w:tcPr>
            <w:tcW w:w="2409" w:type="dxa"/>
          </w:tcPr>
          <w:p w14:paraId="042C378D" w14:textId="57C81C83" w:rsidR="007555E7" w:rsidRPr="002B55E9" w:rsidRDefault="00D96D3F" w:rsidP="00D96D3F">
            <w:pPr>
              <w:pStyle w:val="lgy-"/>
              <w:jc w:val="both"/>
              <w:rPr>
                <w:rFonts w:eastAsia="宋体"/>
                <w:shd w:val="clear" w:color="auto" w:fill="FFFFFF"/>
              </w:rPr>
            </w:pPr>
            <w:r w:rsidRPr="002B55E9">
              <w:rPr>
                <w:rFonts w:eastAsia="宋体" w:hint="eastAsia"/>
                <w:shd w:val="clear" w:color="auto" w:fill="FFFFFF"/>
              </w:rPr>
              <w:t>建设单位</w:t>
            </w:r>
            <w:r w:rsidRPr="002B55E9">
              <w:rPr>
                <w:rFonts w:eastAsia="宋体"/>
                <w:shd w:val="clear" w:color="auto" w:fill="FFFFFF"/>
              </w:rPr>
              <w:t>暂未纳入</w:t>
            </w:r>
            <w:r w:rsidRPr="002B55E9">
              <w:rPr>
                <w:rFonts w:eastAsia="宋体" w:hint="eastAsia"/>
                <w:shd w:val="clear" w:color="auto" w:fill="FFFFFF"/>
              </w:rPr>
              <w:t>《</w:t>
            </w:r>
            <w:r w:rsidRPr="002B55E9">
              <w:rPr>
                <w:rFonts w:eastAsia="宋体" w:hint="eastAsia"/>
                <w:shd w:val="clear" w:color="auto" w:fill="FFFFFF"/>
              </w:rPr>
              <w:t>2022</w:t>
            </w:r>
            <w:r w:rsidRPr="002B55E9">
              <w:rPr>
                <w:rFonts w:eastAsia="宋体" w:hint="eastAsia"/>
                <w:shd w:val="clear" w:color="auto" w:fill="FFFFFF"/>
              </w:rPr>
              <w:t>年武汉市重点排污单位名录》</w:t>
            </w:r>
            <w:r w:rsidRPr="002B55E9">
              <w:rPr>
                <w:rFonts w:eastAsia="宋体"/>
                <w:shd w:val="clear" w:color="auto" w:fill="FFFFFF"/>
              </w:rPr>
              <w:t>，后续如纳入</w:t>
            </w:r>
            <w:r w:rsidRPr="002B55E9">
              <w:rPr>
                <w:rFonts w:eastAsia="宋体" w:hint="eastAsia"/>
                <w:shd w:val="clear" w:color="auto" w:fill="FFFFFF"/>
              </w:rPr>
              <w:t>将</w:t>
            </w:r>
            <w:r w:rsidRPr="002B55E9">
              <w:rPr>
                <w:rFonts w:eastAsia="宋体"/>
                <w:shd w:val="clear" w:color="auto" w:fill="FFFFFF"/>
              </w:rPr>
              <w:t>严格按照文件要求执行。</w:t>
            </w:r>
          </w:p>
        </w:tc>
        <w:tc>
          <w:tcPr>
            <w:tcW w:w="1132" w:type="dxa"/>
          </w:tcPr>
          <w:p w14:paraId="2F5BDCE0" w14:textId="65948325" w:rsidR="007555E7" w:rsidRPr="002B55E9" w:rsidRDefault="00D96D3F" w:rsidP="00D96D3F">
            <w:pPr>
              <w:pStyle w:val="lgy-"/>
              <w:rPr>
                <w:rFonts w:eastAsia="宋体"/>
              </w:rPr>
            </w:pPr>
            <w:r w:rsidRPr="002B55E9">
              <w:rPr>
                <w:rFonts w:eastAsia="宋体" w:hint="eastAsia"/>
              </w:rPr>
              <w:t>符合</w:t>
            </w:r>
          </w:p>
        </w:tc>
      </w:tr>
      <w:tr w:rsidR="00C60999" w:rsidRPr="002B55E9" w14:paraId="4AC9B16A" w14:textId="77777777" w:rsidTr="00D96D3F">
        <w:trPr>
          <w:trHeight w:val="283"/>
        </w:trPr>
        <w:tc>
          <w:tcPr>
            <w:tcW w:w="709" w:type="dxa"/>
          </w:tcPr>
          <w:p w14:paraId="4C75AA91" w14:textId="47FE6FEB" w:rsidR="007555E7" w:rsidRPr="002B55E9" w:rsidRDefault="007555E7" w:rsidP="00D96D3F">
            <w:pPr>
              <w:pStyle w:val="lgy-"/>
              <w:rPr>
                <w:rFonts w:eastAsia="宋体"/>
              </w:rPr>
            </w:pPr>
            <w:r w:rsidRPr="002B55E9">
              <w:rPr>
                <w:rFonts w:eastAsia="宋体" w:hint="eastAsia"/>
              </w:rPr>
              <w:t>（八）加强大气面源治理</w:t>
            </w:r>
          </w:p>
        </w:tc>
        <w:tc>
          <w:tcPr>
            <w:tcW w:w="5387" w:type="dxa"/>
          </w:tcPr>
          <w:p w14:paraId="591D4CA0" w14:textId="56972244" w:rsidR="007555E7" w:rsidRPr="002B55E9" w:rsidRDefault="007555E7" w:rsidP="00D96D3F">
            <w:pPr>
              <w:pStyle w:val="lgy-"/>
              <w:jc w:val="both"/>
              <w:rPr>
                <w:rFonts w:eastAsia="宋体"/>
                <w:shd w:val="clear" w:color="auto" w:fill="FFFFFF"/>
              </w:rPr>
            </w:pPr>
            <w:r w:rsidRPr="002B55E9">
              <w:rPr>
                <w:rFonts w:eastAsia="宋体" w:hint="eastAsia"/>
                <w:shd w:val="clear" w:color="auto" w:fill="FFFFFF"/>
              </w:rPr>
              <w:t>加强扬尘污染防控。各类工地主管部门要加大工地巡查力度，持续提升建设工地文明施工管理水平。加大道路机械化清扫力度，提高清扫频次，严格落实建筑垃圾运输管控要求，依法查处未落实管控要求运输车辆。加强堆场、码头扬尘污染管控，采取有效抑尘措施，及时清运灰堆、渣土堆。持续整治城市公共区域的裸土以及长期闲置用地等裸露地块扬尘污染。</w:t>
            </w:r>
          </w:p>
        </w:tc>
        <w:tc>
          <w:tcPr>
            <w:tcW w:w="2409" w:type="dxa"/>
          </w:tcPr>
          <w:p w14:paraId="541168B2" w14:textId="07A460DF" w:rsidR="007555E7" w:rsidRPr="002B55E9" w:rsidRDefault="00D96D3F" w:rsidP="00D96D3F">
            <w:pPr>
              <w:pStyle w:val="lgy-"/>
              <w:jc w:val="both"/>
              <w:rPr>
                <w:rFonts w:eastAsia="宋体"/>
                <w:shd w:val="clear" w:color="auto" w:fill="FFFFFF"/>
              </w:rPr>
            </w:pPr>
            <w:r w:rsidRPr="002B55E9">
              <w:rPr>
                <w:rFonts w:eastAsia="宋体" w:hint="eastAsia"/>
                <w:shd w:val="clear" w:color="auto" w:fill="FFFFFF"/>
              </w:rPr>
              <w:t>项目</w:t>
            </w:r>
            <w:r w:rsidRPr="002B55E9">
              <w:rPr>
                <w:rFonts w:eastAsia="宋体"/>
                <w:shd w:val="clear" w:color="auto" w:fill="FFFFFF"/>
              </w:rPr>
              <w:t>施工期将严格落实</w:t>
            </w:r>
            <w:r w:rsidRPr="002B55E9">
              <w:rPr>
                <w:rFonts w:eastAsia="宋体" w:hint="eastAsia"/>
                <w:shd w:val="clear" w:color="auto" w:fill="FFFFFF"/>
              </w:rPr>
              <w:t>建筑垃圾运输管控要求，</w:t>
            </w:r>
            <w:r w:rsidRPr="002B55E9">
              <w:rPr>
                <w:rFonts w:eastAsia="宋体"/>
                <w:shd w:val="clear" w:color="auto" w:fill="FFFFFF"/>
              </w:rPr>
              <w:t>施工现场采取有效抑尘措施。</w:t>
            </w:r>
          </w:p>
        </w:tc>
        <w:tc>
          <w:tcPr>
            <w:tcW w:w="1132" w:type="dxa"/>
          </w:tcPr>
          <w:p w14:paraId="3AEA54F3" w14:textId="1C28FB9C" w:rsidR="007555E7" w:rsidRPr="002B55E9" w:rsidRDefault="00D96D3F" w:rsidP="00D96D3F">
            <w:pPr>
              <w:pStyle w:val="lgy-"/>
              <w:rPr>
                <w:rFonts w:eastAsia="宋体"/>
              </w:rPr>
            </w:pPr>
            <w:r w:rsidRPr="002B55E9">
              <w:rPr>
                <w:rFonts w:eastAsia="宋体" w:hint="eastAsia"/>
              </w:rPr>
              <w:t>符合</w:t>
            </w:r>
          </w:p>
        </w:tc>
      </w:tr>
    </w:tbl>
    <w:p w14:paraId="3CFDD058" w14:textId="77777777" w:rsidR="007255F8" w:rsidRPr="002B55E9" w:rsidRDefault="007255F8" w:rsidP="007255F8">
      <w:pPr>
        <w:snapToGrid w:val="0"/>
        <w:spacing w:after="60" w:line="360" w:lineRule="auto"/>
        <w:ind w:firstLineChars="200" w:firstLine="480"/>
        <w:rPr>
          <w:kern w:val="2"/>
          <w:sz w:val="24"/>
          <w:szCs w:val="22"/>
          <w:shd w:val="clear" w:color="auto" w:fill="FFFFFF"/>
        </w:rPr>
      </w:pPr>
      <w:r w:rsidRPr="002B55E9">
        <w:rPr>
          <w:rFonts w:hint="eastAsia"/>
          <w:kern w:val="2"/>
          <w:sz w:val="24"/>
          <w:szCs w:val="22"/>
          <w:shd w:val="clear" w:color="auto" w:fill="FFFFFF"/>
        </w:rPr>
        <w:t>综上所述，本项目符合《武汉市</w:t>
      </w:r>
      <w:r w:rsidRPr="002B55E9">
        <w:rPr>
          <w:kern w:val="2"/>
          <w:sz w:val="24"/>
          <w:szCs w:val="22"/>
          <w:shd w:val="clear" w:color="auto" w:fill="FFFFFF"/>
        </w:rPr>
        <w:t>2022</w:t>
      </w:r>
      <w:r w:rsidRPr="002B55E9">
        <w:rPr>
          <w:rFonts w:hint="eastAsia"/>
          <w:kern w:val="2"/>
          <w:sz w:val="24"/>
          <w:szCs w:val="22"/>
          <w:shd w:val="clear" w:color="auto" w:fill="FFFFFF"/>
        </w:rPr>
        <w:t>年改善空气质量攻坚方案》相关要求。</w:t>
      </w:r>
    </w:p>
    <w:p w14:paraId="02DB013D" w14:textId="77777777" w:rsidR="00D170E5" w:rsidRPr="002B55E9" w:rsidRDefault="00EF27AD">
      <w:pPr>
        <w:pStyle w:val="3"/>
      </w:pPr>
      <w:bookmarkStart w:id="319" w:name="_Toc119309030"/>
      <w:r w:rsidRPr="002B55E9">
        <w:rPr>
          <w:rFonts w:hint="eastAsia"/>
        </w:rPr>
        <w:t>与“水十条”、“气十条”以及“土十条”符合性分析</w:t>
      </w:r>
      <w:bookmarkEnd w:id="319"/>
    </w:p>
    <w:p w14:paraId="26CB28F3" w14:textId="77777777" w:rsidR="00D170E5" w:rsidRPr="002B55E9" w:rsidRDefault="00EF27AD">
      <w:pPr>
        <w:pStyle w:val="4"/>
        <w:rPr>
          <w:color w:val="auto"/>
        </w:rPr>
      </w:pPr>
      <w:r w:rsidRPr="002B55E9">
        <w:rPr>
          <w:rFonts w:hint="eastAsia"/>
          <w:color w:val="auto"/>
        </w:rPr>
        <w:t>与《武汉市水污染防治行动计划工作</w:t>
      </w:r>
      <w:r w:rsidRPr="002B55E9">
        <w:rPr>
          <w:color w:val="auto"/>
        </w:rPr>
        <w:t>方案（</w:t>
      </w:r>
      <w:r w:rsidRPr="002B55E9">
        <w:rPr>
          <w:rFonts w:hint="eastAsia"/>
          <w:color w:val="auto"/>
        </w:rPr>
        <w:t>2016</w:t>
      </w:r>
      <w:r w:rsidRPr="002B55E9">
        <w:rPr>
          <w:color w:val="auto"/>
        </w:rPr>
        <w:t>~2020</w:t>
      </w:r>
      <w:r w:rsidRPr="002B55E9">
        <w:rPr>
          <w:color w:val="auto"/>
        </w:rPr>
        <w:t>）</w:t>
      </w:r>
      <w:r w:rsidRPr="002B55E9">
        <w:rPr>
          <w:rFonts w:hint="eastAsia"/>
          <w:color w:val="auto"/>
        </w:rPr>
        <w:t>》的符合性</w:t>
      </w:r>
    </w:p>
    <w:p w14:paraId="5AEEB710" w14:textId="77777777" w:rsidR="00D170E5" w:rsidRPr="002B55E9" w:rsidRDefault="00EF27AD">
      <w:pPr>
        <w:autoSpaceDE w:val="0"/>
        <w:autoSpaceDN w:val="0"/>
        <w:adjustRightInd w:val="0"/>
        <w:spacing w:after="60" w:line="360" w:lineRule="auto"/>
        <w:ind w:firstLineChars="200" w:firstLine="480"/>
        <w:jc w:val="left"/>
        <w:rPr>
          <w:sz w:val="24"/>
        </w:rPr>
      </w:pPr>
      <w:r w:rsidRPr="002B55E9">
        <w:rPr>
          <w:sz w:val="24"/>
        </w:rPr>
        <w:t>为全面贯彻落实国务院《水污染防治行动计划》（国发〔</w:t>
      </w:r>
      <w:r w:rsidRPr="002B55E9">
        <w:rPr>
          <w:sz w:val="24"/>
        </w:rPr>
        <w:t>2015</w:t>
      </w:r>
      <w:r w:rsidRPr="002B55E9">
        <w:rPr>
          <w:sz w:val="24"/>
        </w:rPr>
        <w:t>〕</w:t>
      </w:r>
      <w:r w:rsidRPr="002B55E9">
        <w:rPr>
          <w:sz w:val="24"/>
        </w:rPr>
        <w:t>17</w:t>
      </w:r>
      <w:r w:rsidRPr="002B55E9">
        <w:rPr>
          <w:sz w:val="24"/>
        </w:rPr>
        <w:t>号）和《湖北省水污染防治行动计划工作方案》（鄂政发〔</w:t>
      </w:r>
      <w:r w:rsidRPr="002B55E9">
        <w:rPr>
          <w:sz w:val="24"/>
        </w:rPr>
        <w:t>2016</w:t>
      </w:r>
      <w:r w:rsidRPr="002B55E9">
        <w:rPr>
          <w:sz w:val="24"/>
        </w:rPr>
        <w:t>〕</w:t>
      </w:r>
      <w:r w:rsidRPr="002B55E9">
        <w:rPr>
          <w:sz w:val="24"/>
        </w:rPr>
        <w:t>3</w:t>
      </w:r>
      <w:r w:rsidRPr="002B55E9">
        <w:rPr>
          <w:sz w:val="24"/>
        </w:rPr>
        <w:t>号），武汉市人民政府于</w:t>
      </w:r>
      <w:r w:rsidRPr="002B55E9">
        <w:rPr>
          <w:sz w:val="24"/>
        </w:rPr>
        <w:t>2016</w:t>
      </w:r>
      <w:r w:rsidRPr="002B55E9">
        <w:rPr>
          <w:sz w:val="24"/>
        </w:rPr>
        <w:t>年</w:t>
      </w:r>
      <w:r w:rsidRPr="002B55E9">
        <w:rPr>
          <w:sz w:val="24"/>
        </w:rPr>
        <w:t>6</w:t>
      </w:r>
      <w:r w:rsidRPr="002B55E9">
        <w:rPr>
          <w:sz w:val="24"/>
        </w:rPr>
        <w:t>月</w:t>
      </w:r>
      <w:r w:rsidRPr="002B55E9">
        <w:rPr>
          <w:sz w:val="24"/>
        </w:rPr>
        <w:t>30</w:t>
      </w:r>
      <w:r w:rsidRPr="002B55E9">
        <w:rPr>
          <w:sz w:val="24"/>
        </w:rPr>
        <w:t>日发布了该方案。本项目与其符合性如下：</w:t>
      </w:r>
    </w:p>
    <w:p w14:paraId="12F1C7EB" w14:textId="77777777" w:rsidR="00D170E5" w:rsidRPr="002B55E9" w:rsidRDefault="00EF27AD">
      <w:pPr>
        <w:autoSpaceDE w:val="0"/>
        <w:autoSpaceDN w:val="0"/>
        <w:adjustRightInd w:val="0"/>
        <w:spacing w:after="60" w:line="360" w:lineRule="auto"/>
        <w:ind w:firstLineChars="150" w:firstLine="361"/>
        <w:jc w:val="left"/>
        <w:rPr>
          <w:b/>
          <w:sz w:val="24"/>
          <w:shd w:val="clear" w:color="auto" w:fill="FFFFFF"/>
        </w:rPr>
      </w:pPr>
      <w:r w:rsidRPr="002B55E9">
        <w:rPr>
          <w:b/>
          <w:sz w:val="24"/>
        </w:rPr>
        <w:t>（</w:t>
      </w:r>
      <w:r w:rsidRPr="002B55E9">
        <w:rPr>
          <w:b/>
          <w:sz w:val="24"/>
        </w:rPr>
        <w:t>1</w:t>
      </w:r>
      <w:r w:rsidRPr="002B55E9">
        <w:rPr>
          <w:b/>
          <w:sz w:val="24"/>
        </w:rPr>
        <w:t>）强化工业集聚区水污染治理</w:t>
      </w:r>
    </w:p>
    <w:p w14:paraId="608F3373" w14:textId="77777777" w:rsidR="00D170E5" w:rsidRPr="002B55E9" w:rsidRDefault="00EF27AD">
      <w:pPr>
        <w:autoSpaceDE w:val="0"/>
        <w:autoSpaceDN w:val="0"/>
        <w:adjustRightInd w:val="0"/>
        <w:spacing w:after="60" w:line="360" w:lineRule="auto"/>
        <w:ind w:firstLineChars="150" w:firstLine="360"/>
        <w:jc w:val="left"/>
        <w:rPr>
          <w:sz w:val="24"/>
        </w:rPr>
      </w:pPr>
      <w:r w:rsidRPr="002B55E9">
        <w:rPr>
          <w:sz w:val="24"/>
        </w:rPr>
        <w:t>所有已批省级及以上工业园区需于</w:t>
      </w:r>
      <w:r w:rsidRPr="002B55E9">
        <w:rPr>
          <w:sz w:val="24"/>
        </w:rPr>
        <w:t>2016</w:t>
      </w:r>
      <w:r w:rsidRPr="002B55E9">
        <w:rPr>
          <w:sz w:val="24"/>
        </w:rPr>
        <w:t>年底之前完成规划环评工作。</w:t>
      </w:r>
      <w:r w:rsidRPr="002B55E9">
        <w:rPr>
          <w:b/>
          <w:sz w:val="24"/>
        </w:rPr>
        <w:t>2017</w:t>
      </w:r>
      <w:r w:rsidRPr="002B55E9">
        <w:rPr>
          <w:b/>
          <w:sz w:val="24"/>
        </w:rPr>
        <w:t>年底之前，工业集聚区（园区）应当按照规定配套完善污水集中收集管网和处理设施，并安装自动在线监控装置；逾期未完成的，一律暂停审批和核准其增加水污染物排放的建设项目，并上报</w:t>
      </w:r>
      <w:r w:rsidRPr="002B55E9">
        <w:rPr>
          <w:b/>
          <w:sz w:val="24"/>
        </w:rPr>
        <w:lastRenderedPageBreak/>
        <w:t>具备审批资格的部门依照有关规定撤销其园区资格。强化钢铁、化工及环保产业聚集区、汽车及机电产业聚集区、光电子及生物医药产业聚集区、食品产业聚集区等四大产业集聚区的污染治理，集聚区内工业废水必须经预处理达到集中处理要求，方可进入污水集中处理设施。</w:t>
      </w:r>
      <w:r w:rsidRPr="002B55E9">
        <w:rPr>
          <w:sz w:val="24"/>
        </w:rPr>
        <w:t>清查经济技术开发区、高新技术产业开发区、出口加工区等工业集聚区的污染治理设施，列出集聚区内废水预处理未达标的企业清单及运行不正常的污水集中处理设施清单，限期完成整改。新建、升级工业集聚区应当同步规划、建设污水、垃圾集中处理等污染治理设施。引导各级各类开发区、工业集聚区开展生态工业园建设。</w:t>
      </w:r>
    </w:p>
    <w:p w14:paraId="70B59BA4" w14:textId="77777777" w:rsidR="00D170E5" w:rsidRPr="002B55E9" w:rsidRDefault="00EF27AD">
      <w:pPr>
        <w:autoSpaceDE w:val="0"/>
        <w:autoSpaceDN w:val="0"/>
        <w:adjustRightInd w:val="0"/>
        <w:spacing w:after="60" w:line="360" w:lineRule="auto"/>
        <w:ind w:firstLineChars="200" w:firstLine="480"/>
        <w:jc w:val="left"/>
        <w:rPr>
          <w:sz w:val="24"/>
        </w:rPr>
      </w:pPr>
      <w:r w:rsidRPr="002B55E9">
        <w:rPr>
          <w:sz w:val="24"/>
        </w:rPr>
        <w:t>本项目符合性分析：本项目位于</w:t>
      </w:r>
      <w:r w:rsidRPr="002B55E9">
        <w:rPr>
          <w:rFonts w:hint="eastAsia"/>
          <w:sz w:val="24"/>
        </w:rPr>
        <w:t>东西湖区</w:t>
      </w:r>
      <w:r w:rsidRPr="002B55E9">
        <w:rPr>
          <w:sz w:val="24"/>
        </w:rPr>
        <w:t>新沟镇食品医药</w:t>
      </w:r>
      <w:r w:rsidRPr="002B55E9">
        <w:rPr>
          <w:rFonts w:hint="eastAsia"/>
          <w:sz w:val="24"/>
        </w:rPr>
        <w:t>用地</w:t>
      </w:r>
      <w:r w:rsidRPr="002B55E9">
        <w:rPr>
          <w:sz w:val="24"/>
        </w:rPr>
        <w:t>板块，项目生产废水、生活污水依托佛山市海天（</w:t>
      </w:r>
      <w:r w:rsidRPr="002B55E9">
        <w:rPr>
          <w:rFonts w:hint="eastAsia"/>
          <w:sz w:val="24"/>
        </w:rPr>
        <w:t>武汉</w:t>
      </w:r>
      <w:r w:rsidRPr="002B55E9">
        <w:rPr>
          <w:sz w:val="24"/>
        </w:rPr>
        <w:t>）</w:t>
      </w:r>
      <w:r w:rsidRPr="002B55E9">
        <w:rPr>
          <w:rFonts w:hint="eastAsia"/>
          <w:sz w:val="24"/>
        </w:rPr>
        <w:t>调味食品</w:t>
      </w:r>
      <w:r w:rsidRPr="002B55E9">
        <w:rPr>
          <w:sz w:val="24"/>
        </w:rPr>
        <w:t>有限公司污水处理站处理后汇同蒸汽冷凝水一同经总排口排入东西湖污水处理厂处理，因此，项目符合上述要求。</w:t>
      </w:r>
    </w:p>
    <w:p w14:paraId="0220CCC1" w14:textId="77777777" w:rsidR="00D170E5" w:rsidRPr="002B55E9" w:rsidRDefault="00EF27AD">
      <w:pPr>
        <w:autoSpaceDE w:val="0"/>
        <w:autoSpaceDN w:val="0"/>
        <w:adjustRightInd w:val="0"/>
        <w:spacing w:after="60" w:line="360" w:lineRule="auto"/>
        <w:ind w:firstLineChars="150" w:firstLine="361"/>
        <w:jc w:val="left"/>
        <w:rPr>
          <w:b/>
          <w:sz w:val="24"/>
        </w:rPr>
      </w:pPr>
      <w:r w:rsidRPr="002B55E9">
        <w:rPr>
          <w:b/>
          <w:sz w:val="24"/>
        </w:rPr>
        <w:t>（</w:t>
      </w:r>
      <w:r w:rsidRPr="002B55E9">
        <w:rPr>
          <w:b/>
          <w:sz w:val="24"/>
        </w:rPr>
        <w:t>2</w:t>
      </w:r>
      <w:r w:rsidRPr="002B55E9">
        <w:rPr>
          <w:b/>
          <w:sz w:val="24"/>
        </w:rPr>
        <w:t>）严格环境准入机制</w:t>
      </w:r>
    </w:p>
    <w:p w14:paraId="3F5BCA6D" w14:textId="77777777" w:rsidR="00D170E5" w:rsidRPr="002B55E9" w:rsidRDefault="00EF27AD">
      <w:pPr>
        <w:autoSpaceDE w:val="0"/>
        <w:autoSpaceDN w:val="0"/>
        <w:adjustRightInd w:val="0"/>
        <w:spacing w:after="60" w:line="360" w:lineRule="auto"/>
        <w:ind w:firstLineChars="200" w:firstLine="480"/>
        <w:jc w:val="left"/>
        <w:rPr>
          <w:sz w:val="24"/>
        </w:rPr>
      </w:pPr>
      <w:r w:rsidRPr="002B55E9">
        <w:rPr>
          <w:sz w:val="24"/>
        </w:rPr>
        <w:t>逐步建立全市水资源、水环境承载能力监测评价体系，实行承载能力监测预警，对已超过承载能力的地区实施水污染物削减方案，加快调整发展规划和产业结构。到</w:t>
      </w:r>
      <w:r w:rsidRPr="002B55E9">
        <w:rPr>
          <w:sz w:val="24"/>
        </w:rPr>
        <w:t>2020</w:t>
      </w:r>
      <w:r w:rsidRPr="002B55E9">
        <w:rPr>
          <w:sz w:val="24"/>
        </w:rPr>
        <w:t>年，组织完成全市水资源、水环境承载能力现状评价工作。根据我市流域水质控制目标，结合主体功能区规划要求，优先保护水质良好水体，着重改善不达标水体环境质量，实施差别化环境准入政策。</w:t>
      </w:r>
      <w:r w:rsidRPr="002B55E9">
        <w:rPr>
          <w:b/>
          <w:sz w:val="24"/>
        </w:rPr>
        <w:t>禁止新建钢铁、有色金属、造纸、氮肥、印染、制革、农药、电镀等高污染项目；工业企业须向工业园区集中，原则上禁止审批园区外的新（改、扩）建工业项目；禁止审批向水质良好水体或者湖泊水库等封闭水体排污的建设项目；</w:t>
      </w:r>
      <w:r w:rsidRPr="002B55E9">
        <w:rPr>
          <w:sz w:val="24"/>
        </w:rPr>
        <w:t>向不达标水体排污的新（改、扩）建项目，对应的超标污染物实行同水体</w:t>
      </w:r>
      <w:r w:rsidRPr="002B55E9">
        <w:rPr>
          <w:sz w:val="24"/>
        </w:rPr>
        <w:t>2</w:t>
      </w:r>
      <w:r w:rsidRPr="002B55E9">
        <w:rPr>
          <w:sz w:val="24"/>
        </w:rPr>
        <w:t>倍减量置换；对无污水处理设施和管网或者相关污染防治设施不配套可能造成污水直排的项目实施限批、缓批。未完成水体污染物减排任务的区域和企业，不得批准建设增加水污染物排放的项目。</w:t>
      </w:r>
    </w:p>
    <w:p w14:paraId="3F7187EC" w14:textId="2DF4E454" w:rsidR="00D170E5" w:rsidRPr="002B55E9" w:rsidRDefault="00EF27AD">
      <w:pPr>
        <w:autoSpaceDE w:val="0"/>
        <w:autoSpaceDN w:val="0"/>
        <w:adjustRightInd w:val="0"/>
        <w:spacing w:after="60" w:line="360" w:lineRule="auto"/>
        <w:ind w:firstLineChars="200" w:firstLine="480"/>
        <w:jc w:val="left"/>
        <w:rPr>
          <w:sz w:val="24"/>
        </w:rPr>
      </w:pPr>
      <w:r w:rsidRPr="002B55E9">
        <w:rPr>
          <w:sz w:val="24"/>
        </w:rPr>
        <w:t>本项目符合性分析：本项目属于</w:t>
      </w:r>
      <w:r w:rsidRPr="002B55E9">
        <w:rPr>
          <w:rFonts w:hint="eastAsia"/>
          <w:sz w:val="24"/>
        </w:rPr>
        <w:t>食品制造</w:t>
      </w:r>
      <w:r w:rsidRPr="002B55E9">
        <w:rPr>
          <w:sz w:val="24"/>
        </w:rPr>
        <w:t>业，项目位于</w:t>
      </w:r>
      <w:r w:rsidRPr="002B55E9">
        <w:rPr>
          <w:rFonts w:hint="eastAsia"/>
          <w:sz w:val="24"/>
        </w:rPr>
        <w:t>东西湖区新沟镇</w:t>
      </w:r>
      <w:r w:rsidRPr="002B55E9">
        <w:rPr>
          <w:sz w:val="24"/>
        </w:rPr>
        <w:t>食品</w:t>
      </w:r>
      <w:r w:rsidRPr="002B55E9">
        <w:rPr>
          <w:rFonts w:hint="eastAsia"/>
          <w:sz w:val="24"/>
        </w:rPr>
        <w:t>医药</w:t>
      </w:r>
      <w:r w:rsidRPr="002B55E9">
        <w:rPr>
          <w:sz w:val="24"/>
        </w:rPr>
        <w:t>用地板块，项目生产废水、生活污水依托佛山市海天（</w:t>
      </w:r>
      <w:r w:rsidRPr="002B55E9">
        <w:rPr>
          <w:rFonts w:hint="eastAsia"/>
          <w:sz w:val="24"/>
        </w:rPr>
        <w:t>武汉</w:t>
      </w:r>
      <w:r w:rsidRPr="002B55E9">
        <w:rPr>
          <w:sz w:val="24"/>
        </w:rPr>
        <w:t>）</w:t>
      </w:r>
      <w:r w:rsidRPr="002B55E9">
        <w:rPr>
          <w:rFonts w:hint="eastAsia"/>
          <w:sz w:val="24"/>
        </w:rPr>
        <w:t>调味食品</w:t>
      </w:r>
      <w:r w:rsidRPr="002B55E9">
        <w:rPr>
          <w:sz w:val="24"/>
        </w:rPr>
        <w:t>有限公司污水处理站处理后汇同蒸汽冷凝水一同经总排口排入东西湖污水处理厂处理。因此，项目符合上述要求。</w:t>
      </w:r>
    </w:p>
    <w:p w14:paraId="26E83F09" w14:textId="4C9E112A" w:rsidR="0070059F" w:rsidRPr="002B55E9" w:rsidRDefault="0070059F">
      <w:pPr>
        <w:autoSpaceDE w:val="0"/>
        <w:autoSpaceDN w:val="0"/>
        <w:adjustRightInd w:val="0"/>
        <w:spacing w:after="60" w:line="360" w:lineRule="auto"/>
        <w:ind w:firstLineChars="200" w:firstLine="482"/>
        <w:jc w:val="left"/>
        <w:rPr>
          <w:b/>
          <w:bCs/>
          <w:sz w:val="24"/>
        </w:rPr>
      </w:pPr>
      <w:r w:rsidRPr="002B55E9">
        <w:rPr>
          <w:rFonts w:hint="eastAsia"/>
          <w:b/>
          <w:bCs/>
          <w:sz w:val="24"/>
        </w:rPr>
        <w:t>（</w:t>
      </w:r>
      <w:r w:rsidRPr="002B55E9">
        <w:rPr>
          <w:rFonts w:hint="eastAsia"/>
          <w:b/>
          <w:bCs/>
          <w:sz w:val="24"/>
        </w:rPr>
        <w:t>3</w:t>
      </w:r>
      <w:r w:rsidRPr="002B55E9">
        <w:rPr>
          <w:rFonts w:hint="eastAsia"/>
          <w:b/>
          <w:bCs/>
          <w:sz w:val="24"/>
        </w:rPr>
        <w:t>）提高用水效率</w:t>
      </w:r>
    </w:p>
    <w:p w14:paraId="0E070917" w14:textId="04C9F621" w:rsidR="0070059F" w:rsidRPr="002B55E9" w:rsidRDefault="0070059F">
      <w:pPr>
        <w:autoSpaceDE w:val="0"/>
        <w:autoSpaceDN w:val="0"/>
        <w:adjustRightInd w:val="0"/>
        <w:spacing w:after="60" w:line="360" w:lineRule="auto"/>
        <w:ind w:firstLineChars="200" w:firstLine="480"/>
        <w:jc w:val="left"/>
        <w:rPr>
          <w:sz w:val="24"/>
        </w:rPr>
      </w:pPr>
      <w:r w:rsidRPr="002B55E9">
        <w:rPr>
          <w:rFonts w:hint="eastAsia"/>
          <w:sz w:val="24"/>
        </w:rPr>
        <w:t>抓好工业节水。开展节水诊断、水平衡测试、用水效率评估和用水计划考核，严格用水定额管理，完善工业取水定额管理。到</w:t>
      </w:r>
      <w:r w:rsidRPr="002B55E9">
        <w:rPr>
          <w:rFonts w:hint="eastAsia"/>
          <w:sz w:val="24"/>
        </w:rPr>
        <w:t>2020</w:t>
      </w:r>
      <w:r w:rsidRPr="002B55E9">
        <w:rPr>
          <w:rFonts w:hint="eastAsia"/>
          <w:sz w:val="24"/>
        </w:rPr>
        <w:t>年，电力、钢铁、纺织、造纸、石油石化、化工、食品发酵等高耗水行业达到先进定额标准。严格限制高耗水、高污染项目，重点抓好石化、电力、造纸等高耗水行业的节水工作，大力推广节水新技术、新工艺、新设备，推进节水技术改造。钢铁、汽车、食品饮料等高耗水行业企业要通过强化企业内部节水管理、应用节水</w:t>
      </w:r>
      <w:r w:rsidRPr="002B55E9">
        <w:rPr>
          <w:rFonts w:hint="eastAsia"/>
          <w:sz w:val="24"/>
        </w:rPr>
        <w:lastRenderedPageBreak/>
        <w:t>技术等手段，不断提高节水水平。</w:t>
      </w:r>
    </w:p>
    <w:p w14:paraId="126BAB6F" w14:textId="63EA3A32" w:rsidR="00192FB7" w:rsidRPr="002B55E9" w:rsidRDefault="0070059F" w:rsidP="00192FB7">
      <w:pPr>
        <w:autoSpaceDE w:val="0"/>
        <w:autoSpaceDN w:val="0"/>
        <w:adjustRightInd w:val="0"/>
        <w:spacing w:after="60" w:line="360" w:lineRule="auto"/>
        <w:ind w:firstLineChars="200" w:firstLine="480"/>
        <w:jc w:val="left"/>
        <w:rPr>
          <w:bCs/>
          <w:sz w:val="24"/>
        </w:rPr>
      </w:pPr>
      <w:r w:rsidRPr="002B55E9">
        <w:rPr>
          <w:sz w:val="24"/>
        </w:rPr>
        <w:t>本项目符合性分析：</w:t>
      </w:r>
      <w:r w:rsidRPr="002B55E9">
        <w:rPr>
          <w:rFonts w:hint="eastAsia"/>
          <w:sz w:val="24"/>
        </w:rPr>
        <w:t>本项目用水主要为</w:t>
      </w:r>
      <w:r w:rsidR="00192FB7" w:rsidRPr="002B55E9">
        <w:rPr>
          <w:rFonts w:hint="eastAsia"/>
          <w:sz w:val="24"/>
        </w:rPr>
        <w:t>生产和生活用水，生产工艺用水全部进入产品不外排，</w:t>
      </w:r>
      <w:bookmarkStart w:id="320" w:name="_Hlk121087235"/>
      <w:r w:rsidR="00192FB7" w:rsidRPr="002B55E9">
        <w:rPr>
          <w:rFonts w:hint="eastAsia"/>
          <w:sz w:val="24"/>
        </w:rPr>
        <w:t>项目</w:t>
      </w:r>
      <w:r w:rsidR="00192FB7" w:rsidRPr="002B55E9">
        <w:rPr>
          <w:rFonts w:hint="eastAsia"/>
          <w:bCs/>
          <w:sz w:val="24"/>
        </w:rPr>
        <w:t>已对蒸汽冷凝水进行了部分回用，回用于地面清洗和厂区绿化，其他用水环节均为项目生产</w:t>
      </w:r>
      <w:r w:rsidR="008A0413" w:rsidRPr="002B55E9">
        <w:rPr>
          <w:rFonts w:hint="eastAsia"/>
          <w:bCs/>
          <w:sz w:val="24"/>
        </w:rPr>
        <w:t>必须</w:t>
      </w:r>
      <w:r w:rsidR="00192FB7" w:rsidRPr="002B55E9">
        <w:rPr>
          <w:rFonts w:hint="eastAsia"/>
          <w:bCs/>
          <w:sz w:val="24"/>
        </w:rPr>
        <w:t>用水，且项目为食品制造业，为确保产品质量，用水水质要求较高，</w:t>
      </w:r>
      <w:r w:rsidR="008A0413" w:rsidRPr="002B55E9">
        <w:rPr>
          <w:rFonts w:hint="eastAsia"/>
          <w:bCs/>
          <w:sz w:val="24"/>
        </w:rPr>
        <w:t>均为使用后排放。</w:t>
      </w:r>
    </w:p>
    <w:bookmarkEnd w:id="320"/>
    <w:p w14:paraId="01784ECA" w14:textId="77777777" w:rsidR="00D170E5" w:rsidRPr="002B55E9" w:rsidRDefault="00EF27AD">
      <w:pPr>
        <w:pStyle w:val="affff7"/>
      </w:pPr>
      <w:r w:rsidRPr="002B55E9">
        <w:t>综上所述，项目建设符合《武汉市水污染防治行动计划工作方案（</w:t>
      </w:r>
      <w:r w:rsidRPr="002B55E9">
        <w:t>2016-2020</w:t>
      </w:r>
      <w:r w:rsidRPr="002B55E9">
        <w:t>）》。</w:t>
      </w:r>
    </w:p>
    <w:p w14:paraId="7F735DFE" w14:textId="77777777" w:rsidR="00D170E5" w:rsidRPr="002B55E9" w:rsidRDefault="00EF27AD">
      <w:pPr>
        <w:pStyle w:val="4"/>
        <w:rPr>
          <w:color w:val="auto"/>
        </w:rPr>
      </w:pPr>
      <w:r w:rsidRPr="002B55E9">
        <w:rPr>
          <w:rFonts w:hint="eastAsia"/>
          <w:color w:val="auto"/>
        </w:rPr>
        <w:t>与《大气污染防治行动计划》的符合性</w:t>
      </w:r>
    </w:p>
    <w:p w14:paraId="07E9C57A" w14:textId="77777777" w:rsidR="00D170E5" w:rsidRPr="002B55E9" w:rsidRDefault="00EF27AD">
      <w:pPr>
        <w:pStyle w:val="affff7"/>
      </w:pPr>
      <w:r w:rsidRPr="002B55E9">
        <w:t>为加快解决我国严重的大气污染问题，切实改善空气质量，</w:t>
      </w:r>
      <w:r w:rsidRPr="002B55E9">
        <w:t>2013</w:t>
      </w:r>
      <w:r w:rsidRPr="002B55E9">
        <w:t>年</w:t>
      </w:r>
      <w:r w:rsidRPr="002B55E9">
        <w:t>9</w:t>
      </w:r>
      <w:r w:rsidRPr="002B55E9">
        <w:t>月，国务院颁布实施《大气污染防治行动计划》（以下简称《大气十条》），提出</w:t>
      </w:r>
      <w:r w:rsidRPr="002B55E9">
        <w:t>10</w:t>
      </w:r>
      <w:r w:rsidRPr="002B55E9">
        <w:t>条</w:t>
      </w:r>
      <w:r w:rsidRPr="002B55E9">
        <w:t>35</w:t>
      </w:r>
      <w:r w:rsidRPr="002B55E9">
        <w:t>项重点任务措施</w:t>
      </w:r>
    </w:p>
    <w:p w14:paraId="2E497D10" w14:textId="77777777" w:rsidR="00D170E5" w:rsidRPr="002B55E9" w:rsidRDefault="00EF27AD">
      <w:pPr>
        <w:pStyle w:val="affff7"/>
        <w:ind w:firstLine="482"/>
      </w:pPr>
      <w:r w:rsidRPr="002B55E9">
        <w:rPr>
          <w:rStyle w:val="afff1"/>
        </w:rPr>
        <w:t>一、加大综合治理力度，减少多污染物排放。</w:t>
      </w:r>
      <w:r w:rsidRPr="002B55E9">
        <w:t>全面整治燃煤小锅炉，加快重点行业脱硫脱硝除尘改造。整治城市扬尘。提升燃油品质，限期淘汰黄标车。</w:t>
      </w:r>
    </w:p>
    <w:p w14:paraId="544F9AF0" w14:textId="77777777" w:rsidR="00D170E5" w:rsidRPr="002B55E9" w:rsidRDefault="00EF27AD">
      <w:pPr>
        <w:pStyle w:val="affff7"/>
        <w:ind w:firstLine="482"/>
      </w:pPr>
      <w:r w:rsidRPr="002B55E9">
        <w:rPr>
          <w:rStyle w:val="afff1"/>
        </w:rPr>
        <w:t>二、调整优化产业结构，推动产业转型升级。</w:t>
      </w:r>
      <w:r w:rsidRPr="002B55E9">
        <w:t>严控高耗能、高污染行业新增产能，提前一年完成钢铁、水泥、电解铝、平板玻璃等重点行业</w:t>
      </w:r>
      <w:r w:rsidRPr="002B55E9">
        <w:t>“</w:t>
      </w:r>
      <w:r w:rsidRPr="002B55E9">
        <w:t>十二五</w:t>
      </w:r>
      <w:r w:rsidRPr="002B55E9">
        <w:t>”</w:t>
      </w:r>
      <w:r w:rsidRPr="002B55E9">
        <w:t>落后产能淘汰任务。</w:t>
      </w:r>
    </w:p>
    <w:p w14:paraId="0CF7D803" w14:textId="77777777" w:rsidR="00D170E5" w:rsidRPr="002B55E9" w:rsidRDefault="00EF27AD">
      <w:pPr>
        <w:pStyle w:val="affff7"/>
        <w:ind w:firstLine="482"/>
      </w:pPr>
      <w:r w:rsidRPr="002B55E9">
        <w:rPr>
          <w:rStyle w:val="afff1"/>
        </w:rPr>
        <w:t>三、加快企业技术改造，提高科技创新能力。强化科技研发和推广，全面推行清洁生产，大力发展循环经济，大力培育节能环保产业。</w:t>
      </w:r>
    </w:p>
    <w:p w14:paraId="1B269102" w14:textId="77777777" w:rsidR="00D170E5" w:rsidRPr="002B55E9" w:rsidRDefault="00EF27AD">
      <w:pPr>
        <w:pStyle w:val="affff7"/>
        <w:ind w:firstLine="482"/>
      </w:pPr>
      <w:r w:rsidRPr="002B55E9">
        <w:rPr>
          <w:b/>
        </w:rPr>
        <w:t>四、加快调整能源结构，增加清洁能源供应。</w:t>
      </w:r>
      <w:r w:rsidRPr="002B55E9">
        <w:t>控制煤炭消费总量，加快清洁能源替代利用，推进煤炭清洁利用，提高能源使用效率。</w:t>
      </w:r>
    </w:p>
    <w:p w14:paraId="3195A9C2" w14:textId="77777777" w:rsidR="00D170E5" w:rsidRPr="002B55E9" w:rsidRDefault="00EF27AD">
      <w:pPr>
        <w:pStyle w:val="affff7"/>
        <w:ind w:firstLine="482"/>
      </w:pPr>
      <w:r w:rsidRPr="002B55E9">
        <w:rPr>
          <w:rStyle w:val="afff1"/>
        </w:rPr>
        <w:t>五、严格节能环保准入，优化产业空间布局。</w:t>
      </w:r>
      <w:r w:rsidRPr="002B55E9">
        <w:t>调整产业布局。</w:t>
      </w:r>
      <w:r w:rsidRPr="002B55E9">
        <w:rPr>
          <w:b/>
        </w:rPr>
        <w:t>按照主体功能区规划要求，合理确定重点产业发展布局、结构和规模，重大项目原则上布局在优化开发区和重点开发区。</w:t>
      </w:r>
      <w:r w:rsidRPr="002B55E9">
        <w:t>强化节能环保指标约束。提高节能环保准入门槛，健全重点行业准入条件，公布符合准入条件的企业名单并实施动态管理。</w:t>
      </w:r>
      <w:r w:rsidRPr="002B55E9">
        <w:rPr>
          <w:b/>
        </w:rPr>
        <w:t>严格实施污染物排放总量控制，将二氧化硫、氮氧化物、烟粉尘和挥发性有机物排放是否符合总量控制要求作为建设项目环境影响评价审批的前置条件</w:t>
      </w:r>
      <w:r w:rsidRPr="002B55E9">
        <w:t>。优化空间格局。科学制定并严格实施城市规划，强化城市空间管制要求和绿地控制要求，</w:t>
      </w:r>
      <w:r w:rsidRPr="002B55E9">
        <w:rPr>
          <w:b/>
        </w:rPr>
        <w:t>规范各类产业园区和城市新城、新区设立和布局</w:t>
      </w:r>
      <w:r w:rsidRPr="002B55E9">
        <w:t>，禁止随意调整和修改城市规划，形成有利于大气污染物扩散的城市和区域空间格局。</w:t>
      </w:r>
    </w:p>
    <w:p w14:paraId="559E3B83" w14:textId="77777777" w:rsidR="00D170E5" w:rsidRPr="002B55E9" w:rsidRDefault="00EF27AD">
      <w:pPr>
        <w:pStyle w:val="affff7"/>
        <w:ind w:firstLine="482"/>
      </w:pPr>
      <w:r w:rsidRPr="002B55E9">
        <w:rPr>
          <w:rStyle w:val="afff1"/>
        </w:rPr>
        <w:t>六、发挥市场机制作用，完善环境经济政策。</w:t>
      </w:r>
      <w:r w:rsidRPr="002B55E9">
        <w:t>发挥市场机制调节作用，完善价格税收政策，拓宽投融资渠道。</w:t>
      </w:r>
    </w:p>
    <w:p w14:paraId="325DE7BC" w14:textId="77777777" w:rsidR="00D170E5" w:rsidRPr="002B55E9" w:rsidRDefault="00EF27AD">
      <w:pPr>
        <w:pStyle w:val="affff7"/>
        <w:ind w:firstLine="482"/>
      </w:pPr>
      <w:r w:rsidRPr="002B55E9">
        <w:rPr>
          <w:rStyle w:val="afff1"/>
        </w:rPr>
        <w:t>七、健全法律法规体系，严格依法监督管理。</w:t>
      </w:r>
      <w:r w:rsidRPr="002B55E9">
        <w:t>完善法律法规标准，提高环境监管能力，加大环保执法力度，实行环境</w:t>
      </w:r>
      <w:r w:rsidRPr="002B55E9">
        <w:t xml:space="preserve"> </w:t>
      </w:r>
      <w:r w:rsidRPr="002B55E9">
        <w:t>信息公开。</w:t>
      </w:r>
    </w:p>
    <w:p w14:paraId="578FD44A" w14:textId="77777777" w:rsidR="00D170E5" w:rsidRPr="002B55E9" w:rsidRDefault="00EF27AD">
      <w:pPr>
        <w:pStyle w:val="affff7"/>
        <w:ind w:firstLine="482"/>
        <w:rPr>
          <w:rStyle w:val="afff1"/>
        </w:rPr>
      </w:pPr>
      <w:r w:rsidRPr="002B55E9">
        <w:rPr>
          <w:rStyle w:val="afff1"/>
        </w:rPr>
        <w:lastRenderedPageBreak/>
        <w:t>八、建立区域协作机制，统筹区域环境治理。建立区域协作机制，分解目标任务，实行严格责任追究。</w:t>
      </w:r>
    </w:p>
    <w:p w14:paraId="43CFEF2D" w14:textId="77777777" w:rsidR="00D170E5" w:rsidRPr="002B55E9" w:rsidRDefault="00EF27AD">
      <w:pPr>
        <w:pStyle w:val="affff7"/>
        <w:ind w:firstLine="482"/>
      </w:pPr>
      <w:r w:rsidRPr="002B55E9">
        <w:rPr>
          <w:rStyle w:val="afff1"/>
        </w:rPr>
        <w:t>九、建立监测预警应急体系，妥善应对重污染天气。</w:t>
      </w:r>
      <w:r w:rsidRPr="002B55E9">
        <w:t>建立监测预警体系，制定完善应急预案，及时采取应急措施。</w:t>
      </w:r>
    </w:p>
    <w:p w14:paraId="1B177874" w14:textId="77777777" w:rsidR="00D170E5" w:rsidRPr="002B55E9" w:rsidRDefault="00EF27AD">
      <w:pPr>
        <w:pStyle w:val="affff7"/>
        <w:ind w:firstLine="482"/>
      </w:pPr>
      <w:r w:rsidRPr="002B55E9">
        <w:rPr>
          <w:rStyle w:val="afff1"/>
        </w:rPr>
        <w:t>十、明确政府企业和社会的责任，动员全民参与环境保护。</w:t>
      </w:r>
      <w:r w:rsidRPr="002B55E9">
        <w:t>明确地方政府统领责任，加强部门协调联动，强化企业施治，广泛动员社会参与。</w:t>
      </w:r>
    </w:p>
    <w:p w14:paraId="6E74AB37" w14:textId="77777777" w:rsidR="00D170E5" w:rsidRPr="002B55E9" w:rsidRDefault="00EF27AD">
      <w:pPr>
        <w:pStyle w:val="affff7"/>
      </w:pPr>
      <w:r w:rsidRPr="002B55E9">
        <w:t>拟建项目位于</w:t>
      </w:r>
      <w:r w:rsidRPr="002B55E9">
        <w:rPr>
          <w:rFonts w:hint="eastAsia"/>
        </w:rPr>
        <w:t>武汉市东西湖区新沟街镇食品医疗用地板块南部健康食品一区</w:t>
      </w:r>
      <w:r w:rsidRPr="002B55E9">
        <w:t>，项目排放的</w:t>
      </w:r>
      <w:r w:rsidRPr="002B55E9">
        <w:rPr>
          <w:rFonts w:hint="eastAsia"/>
        </w:rPr>
        <w:t>废气污染物</w:t>
      </w:r>
      <w:r w:rsidRPr="002B55E9">
        <w:t>可从区域削减项目中得到总量来源，因此，项目建设符合《大气污染防治行动计划》的要求</w:t>
      </w:r>
      <w:r w:rsidRPr="002B55E9">
        <w:rPr>
          <w:rFonts w:hint="eastAsia"/>
        </w:rPr>
        <w:t>。</w:t>
      </w:r>
    </w:p>
    <w:p w14:paraId="0CD95C36" w14:textId="77777777" w:rsidR="00D170E5" w:rsidRPr="002B55E9" w:rsidRDefault="00EF27AD">
      <w:pPr>
        <w:pStyle w:val="4"/>
        <w:rPr>
          <w:color w:val="auto"/>
        </w:rPr>
      </w:pPr>
      <w:r w:rsidRPr="002B55E9">
        <w:rPr>
          <w:rFonts w:hint="eastAsia"/>
          <w:color w:val="auto"/>
        </w:rPr>
        <w:t>与《土壤污染防治行动计划》的符合性</w:t>
      </w:r>
    </w:p>
    <w:p w14:paraId="09B34795" w14:textId="77777777" w:rsidR="00D170E5" w:rsidRPr="002B55E9" w:rsidRDefault="00EF27AD">
      <w:pPr>
        <w:pStyle w:val="affff7"/>
      </w:pPr>
      <w:r w:rsidRPr="002B55E9">
        <w:t>根据国发</w:t>
      </w:r>
      <w:r w:rsidRPr="002B55E9">
        <w:t>[2016]31</w:t>
      </w:r>
      <w:r w:rsidRPr="002B55E9">
        <w:t>号《国务院关于印发土壤污染防治行动计划的通知》，为切实加强土壤污染防治，逐步改善土壤环境质量，提出了十个方面的措施：</w:t>
      </w:r>
    </w:p>
    <w:p w14:paraId="3DCDC8F0" w14:textId="77777777" w:rsidR="00D170E5" w:rsidRPr="002B55E9" w:rsidRDefault="00EF27AD">
      <w:pPr>
        <w:pStyle w:val="affff7"/>
        <w:ind w:firstLine="482"/>
        <w:rPr>
          <w:rStyle w:val="afff1"/>
        </w:rPr>
      </w:pPr>
      <w:r w:rsidRPr="002B55E9">
        <w:rPr>
          <w:rStyle w:val="afff1"/>
        </w:rPr>
        <w:t>一、开展土壤污染调查，掌握土壤环境质量状况。</w:t>
      </w:r>
      <w:r w:rsidRPr="002B55E9">
        <w:t>深入开展土壤环境质量调查，建设土壤环境质量监测网络，提升土壤环境信息化管理水平。</w:t>
      </w:r>
    </w:p>
    <w:p w14:paraId="1AA286AB" w14:textId="77777777" w:rsidR="00D170E5" w:rsidRPr="002B55E9" w:rsidRDefault="00EF27AD">
      <w:pPr>
        <w:pStyle w:val="affff7"/>
        <w:ind w:firstLine="482"/>
      </w:pPr>
      <w:r w:rsidRPr="002B55E9">
        <w:rPr>
          <w:rStyle w:val="afff1"/>
        </w:rPr>
        <w:t>二、推进土壤污染防治立法，建立健全法规标准体系。</w:t>
      </w:r>
      <w:r w:rsidRPr="002B55E9">
        <w:t>加快推进立法进程，系统构建标准体系，全面强化监管执法。</w:t>
      </w:r>
    </w:p>
    <w:p w14:paraId="6814FBAD" w14:textId="77777777" w:rsidR="00D170E5" w:rsidRPr="002B55E9" w:rsidRDefault="00EF27AD">
      <w:pPr>
        <w:pStyle w:val="affff7"/>
        <w:ind w:firstLine="482"/>
      </w:pPr>
      <w:r w:rsidRPr="002B55E9">
        <w:rPr>
          <w:rStyle w:val="afff1"/>
        </w:rPr>
        <w:t>三、实施农用地分类管理，保障农业生产环境安全。</w:t>
      </w:r>
      <w:r w:rsidRPr="002B55E9">
        <w:t>划定农用地土壤环境质量类别，切实加大保护力度，着力推进安全利用，全面落实严格管控，加强林地草地园地土壤环境管理</w:t>
      </w:r>
    </w:p>
    <w:p w14:paraId="08080679" w14:textId="77777777" w:rsidR="00D170E5" w:rsidRPr="002B55E9" w:rsidRDefault="00EF27AD">
      <w:pPr>
        <w:pStyle w:val="affff7"/>
      </w:pPr>
      <w:r w:rsidRPr="002B55E9">
        <w:t>在切实加大保护力度方面提出，</w:t>
      </w:r>
      <w:r w:rsidRPr="002B55E9">
        <w:rPr>
          <w:b/>
        </w:rPr>
        <w:t>各地要将符合条件的优先保护类耕地划为永久基本农田</w:t>
      </w:r>
      <w:r w:rsidRPr="002B55E9">
        <w:t>，实行严格保护，确保其面积不减少、土壤环境质量不下降，除法律规定的重点建设项目选址确实无法避让外，其他</w:t>
      </w:r>
      <w:r w:rsidRPr="002B55E9">
        <w:rPr>
          <w:b/>
        </w:rPr>
        <w:t>任何建设不得占用；要严格控制在优先保护类耕地集中区域新建有色金属冶炼、石油加工、化工、焦化、电镀、制革等行业企业</w:t>
      </w:r>
      <w:r w:rsidRPr="002B55E9">
        <w:t>，现有相关行业企业要采用新技术、新工艺，加快提标升级改造步伐。</w:t>
      </w:r>
    </w:p>
    <w:p w14:paraId="36ED15A4" w14:textId="77777777" w:rsidR="00D170E5" w:rsidRPr="002B55E9" w:rsidRDefault="00EF27AD">
      <w:pPr>
        <w:pStyle w:val="affff7"/>
        <w:ind w:firstLine="482"/>
      </w:pPr>
      <w:r w:rsidRPr="002B55E9">
        <w:rPr>
          <w:rStyle w:val="afff1"/>
        </w:rPr>
        <w:t>四、实施建设用地准入管理，防范人居环境风险</w:t>
      </w:r>
      <w:r w:rsidRPr="002B55E9">
        <w:t>。明确管理要求，落实监管责任，严格用地准入。</w:t>
      </w:r>
    </w:p>
    <w:p w14:paraId="40640B92" w14:textId="77777777" w:rsidR="00D170E5" w:rsidRPr="002B55E9" w:rsidRDefault="00EF27AD">
      <w:pPr>
        <w:pStyle w:val="affff7"/>
        <w:ind w:firstLine="482"/>
      </w:pPr>
      <w:r w:rsidRPr="002B55E9">
        <w:rPr>
          <w:rStyle w:val="afff1"/>
        </w:rPr>
        <w:t>五、强化未污染土壤保护，严控新增土壤污染</w:t>
      </w:r>
      <w:r w:rsidRPr="002B55E9">
        <w:t>。加强未利用地环境管理，防范建设用地新增污染，强化空间布局管控。</w:t>
      </w:r>
    </w:p>
    <w:p w14:paraId="591CB575" w14:textId="77777777" w:rsidR="00D170E5" w:rsidRPr="002B55E9" w:rsidRDefault="00EF27AD">
      <w:pPr>
        <w:pStyle w:val="affff7"/>
      </w:pPr>
      <w:r w:rsidRPr="002B55E9">
        <w:t>在防范建设用地新增污染方面指出，排放重点污染物的建设项目，在开展环境影响评价时，要增加对土壤环境影响的评价内容，并提出防范土壤污染的具体措施；需要建设的土壤</w:t>
      </w:r>
      <w:r w:rsidRPr="002B55E9">
        <w:lastRenderedPageBreak/>
        <w:t>污染防治设施，要与主体工程同时设计、同时施工、同时投产使用；有关环境保护部门要做好有关措施落实情况的监督管理工作。</w:t>
      </w:r>
    </w:p>
    <w:p w14:paraId="3D6A260A" w14:textId="77777777" w:rsidR="00D170E5" w:rsidRPr="002B55E9" w:rsidRDefault="00EF27AD">
      <w:pPr>
        <w:pStyle w:val="affff7"/>
      </w:pPr>
      <w:r w:rsidRPr="002B55E9">
        <w:t>在强化空间布局管控方面指出，要加强规划区划和建设项目布局论证，根据土壤等环境承载能力，合理确定区域功能定位、空间布局。</w:t>
      </w:r>
      <w:r w:rsidRPr="002B55E9">
        <w:rPr>
          <w:b/>
        </w:rPr>
        <w:t>鼓励工业企业集聚发展，提高土地节约集约利用水平，减少土壤污染。严格执行相关行业企业布局选址要求，禁止在居民区、学校、医疗和养老机构等周边新建有色金属冶炼、焦化等行业企业</w:t>
      </w:r>
      <w:r w:rsidRPr="002B55E9">
        <w:t>；结合推进新型城镇化、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w:t>
      </w:r>
    </w:p>
    <w:p w14:paraId="2C4233FD" w14:textId="77777777" w:rsidR="00D170E5" w:rsidRPr="002B55E9" w:rsidRDefault="00EF27AD">
      <w:pPr>
        <w:pStyle w:val="affff7"/>
        <w:ind w:firstLine="482"/>
      </w:pPr>
      <w:r w:rsidRPr="002B55E9">
        <w:rPr>
          <w:rStyle w:val="afff1"/>
        </w:rPr>
        <w:t>六、加强污染源监管，做好土壤污染预防工作</w:t>
      </w:r>
      <w:r w:rsidRPr="002B55E9">
        <w:t>。严控工矿污染，控制农业污染，减少生活污染。</w:t>
      </w:r>
    </w:p>
    <w:p w14:paraId="02D12909" w14:textId="77777777" w:rsidR="00D170E5" w:rsidRPr="002B55E9" w:rsidRDefault="00EF27AD">
      <w:pPr>
        <w:pStyle w:val="affff7"/>
        <w:ind w:firstLine="482"/>
      </w:pPr>
      <w:r w:rsidRPr="002B55E9">
        <w:rPr>
          <w:rStyle w:val="afff1"/>
        </w:rPr>
        <w:t>七、开展污染治理与修复，改善区域土壤环境质量</w:t>
      </w:r>
      <w:r w:rsidRPr="002B55E9">
        <w:t>。明确治理与修复主体，制定治理与修复规划，有序开展治理与修复，监督目标任务落实。</w:t>
      </w:r>
    </w:p>
    <w:p w14:paraId="2D1FF39F" w14:textId="77777777" w:rsidR="00D170E5" w:rsidRPr="002B55E9" w:rsidRDefault="00EF27AD">
      <w:pPr>
        <w:pStyle w:val="affff7"/>
        <w:ind w:firstLine="482"/>
      </w:pPr>
      <w:r w:rsidRPr="002B55E9">
        <w:rPr>
          <w:rStyle w:val="afff1"/>
        </w:rPr>
        <w:t>八、加大科技研发力度，推动环境保护产业发展</w:t>
      </w:r>
      <w:r w:rsidRPr="002B55E9">
        <w:t>。加强土壤污染防治研究，加大适用技术推广力度，推动治理与修复产业发展。</w:t>
      </w:r>
    </w:p>
    <w:p w14:paraId="3DD1DAD4" w14:textId="77777777" w:rsidR="00D170E5" w:rsidRPr="002B55E9" w:rsidRDefault="00EF27AD">
      <w:pPr>
        <w:pStyle w:val="affff7"/>
        <w:ind w:firstLine="482"/>
      </w:pPr>
      <w:r w:rsidRPr="002B55E9">
        <w:rPr>
          <w:rStyle w:val="afff1"/>
        </w:rPr>
        <w:t>九、发挥政府主导作用，构建土壤环境治理体系</w:t>
      </w:r>
      <w:r w:rsidRPr="002B55E9">
        <w:t>。强化政府主导，发挥市场作用，加强社会监督，开展宣传教育</w:t>
      </w:r>
    </w:p>
    <w:p w14:paraId="36C4CD1C" w14:textId="77777777" w:rsidR="00D170E5" w:rsidRPr="002B55E9" w:rsidRDefault="00EF27AD">
      <w:pPr>
        <w:pStyle w:val="affff7"/>
        <w:ind w:firstLine="482"/>
      </w:pPr>
      <w:r w:rsidRPr="002B55E9">
        <w:rPr>
          <w:rStyle w:val="afff1"/>
        </w:rPr>
        <w:t>十、加强目标考核，严格责任追究</w:t>
      </w:r>
      <w:r w:rsidRPr="002B55E9">
        <w:t>。明确地方政府主体责任，加强部门协调联动，落实企业责任，严格评估考核。</w:t>
      </w:r>
    </w:p>
    <w:p w14:paraId="36FD79B3" w14:textId="77777777" w:rsidR="00D170E5" w:rsidRPr="002B55E9" w:rsidRDefault="00EF27AD">
      <w:pPr>
        <w:pStyle w:val="affff7"/>
      </w:pPr>
      <w:r w:rsidRPr="002B55E9">
        <w:t>拟建项目位于</w:t>
      </w:r>
      <w:r w:rsidRPr="002B55E9">
        <w:rPr>
          <w:rFonts w:hint="eastAsia"/>
        </w:rPr>
        <w:t>新沟街食品医疗用地板块</w:t>
      </w:r>
      <w:r w:rsidRPr="002B55E9">
        <w:t>，用地属于工业用地，不占用基本农田及集中耕地，因此，项目建设符合土壤污染防治行动计划的要求。</w:t>
      </w:r>
    </w:p>
    <w:p w14:paraId="3532894A" w14:textId="77777777" w:rsidR="00D170E5" w:rsidRPr="002B55E9" w:rsidRDefault="00EF27AD">
      <w:pPr>
        <w:pStyle w:val="3"/>
        <w:tabs>
          <w:tab w:val="left" w:pos="540"/>
          <w:tab w:val="left" w:pos="2160"/>
        </w:tabs>
      </w:pPr>
      <w:bookmarkStart w:id="321" w:name="_Toc2175623"/>
      <w:bookmarkStart w:id="322" w:name="_Toc46923767"/>
      <w:bookmarkStart w:id="323" w:name="_Toc119309031"/>
      <w:r w:rsidRPr="002B55E9">
        <w:t>总平面布置</w:t>
      </w:r>
      <w:r w:rsidRPr="002B55E9">
        <w:rPr>
          <w:rFonts w:hint="eastAsia"/>
        </w:rPr>
        <w:t>符</w:t>
      </w:r>
      <w:r w:rsidRPr="002B55E9">
        <w:t>合理性分析</w:t>
      </w:r>
      <w:bookmarkEnd w:id="321"/>
      <w:bookmarkEnd w:id="322"/>
      <w:bookmarkEnd w:id="323"/>
    </w:p>
    <w:p w14:paraId="09D3AE8F" w14:textId="15DF5F0B" w:rsidR="00C968B1" w:rsidRPr="002B55E9" w:rsidRDefault="00EF27AD" w:rsidP="00C968B1">
      <w:pPr>
        <w:pStyle w:val="affff7"/>
      </w:pPr>
      <w:r w:rsidRPr="002B55E9">
        <w:rPr>
          <w:rFonts w:hint="eastAsia"/>
        </w:rPr>
        <w:t>本</w:t>
      </w:r>
      <w:r w:rsidR="0008532B" w:rsidRPr="002B55E9">
        <w:rPr>
          <w:rFonts w:hint="eastAsia"/>
        </w:rPr>
        <w:t>项目地块呈梯形，本次建设的十一车间、十三车间位于厂区中部南侧，罐区三位于厂区西侧，酒精罐区位于厂区西北侧，危废暂存间位于罐区三的泵房北侧。</w:t>
      </w:r>
      <w:r w:rsidR="00C968B1" w:rsidRPr="002B55E9">
        <w:rPr>
          <w:rFonts w:hint="eastAsia"/>
        </w:rPr>
        <w:t>厂区平面布局本着美观、卫生及满足相关环保、消防要求的原则。厂区道路利于消防和分散，主要道路宽度为</w:t>
      </w:r>
      <w:r w:rsidR="00C968B1" w:rsidRPr="002B55E9">
        <w:rPr>
          <w:rFonts w:hint="eastAsia"/>
        </w:rPr>
        <w:t>6</w:t>
      </w:r>
      <w:r w:rsidR="00C968B1" w:rsidRPr="002B55E9">
        <w:rPr>
          <w:rFonts w:hint="eastAsia"/>
        </w:rPr>
        <w:t>米，次要道路宽度为</w:t>
      </w:r>
      <w:r w:rsidR="00C968B1" w:rsidRPr="002B55E9">
        <w:rPr>
          <w:rFonts w:hint="eastAsia"/>
        </w:rPr>
        <w:t>4</w:t>
      </w:r>
      <w:r w:rsidR="00C968B1" w:rsidRPr="002B55E9">
        <w:rPr>
          <w:rFonts w:hint="eastAsia"/>
        </w:rPr>
        <w:t>米。本项目布局满足原材料进场、储存、备料、加工、成品出厂等生产流程。厂区各个功能区既相对独立，又紧密结合，形成一个有机的整体。各功能区块分明，布置合理，便于生产、管理。</w:t>
      </w:r>
    </w:p>
    <w:p w14:paraId="03093D7C" w14:textId="205ADD76" w:rsidR="00C968B1" w:rsidRPr="002B55E9" w:rsidRDefault="00C968B1">
      <w:pPr>
        <w:pStyle w:val="affff7"/>
      </w:pPr>
      <w:r w:rsidRPr="002B55E9">
        <w:rPr>
          <w:rFonts w:hint="eastAsia"/>
        </w:rPr>
        <w:t>另外，车间、仓库之间的防火间距均严格按《建筑设计防火规范》（</w:t>
      </w:r>
      <w:r w:rsidRPr="002B55E9">
        <w:rPr>
          <w:rFonts w:hint="eastAsia"/>
        </w:rPr>
        <w:t>GB50016-2014</w:t>
      </w:r>
      <w:r w:rsidRPr="002B55E9">
        <w:rPr>
          <w:rFonts w:hint="eastAsia"/>
        </w:rPr>
        <w:t>）中规定的防火间距设置</w:t>
      </w:r>
      <w:r w:rsidR="0070202D" w:rsidRPr="002B55E9">
        <w:rPr>
          <w:rFonts w:hint="eastAsia"/>
        </w:rPr>
        <w:t>，</w:t>
      </w:r>
      <w:r w:rsidRPr="002B55E9">
        <w:rPr>
          <w:rFonts w:hint="eastAsia"/>
        </w:rPr>
        <w:t>厂内周围设置一定面积的绿化带</w:t>
      </w:r>
      <w:r w:rsidR="0070202D" w:rsidRPr="002B55E9">
        <w:rPr>
          <w:rFonts w:hint="eastAsia"/>
        </w:rPr>
        <w:t>，</w:t>
      </w:r>
      <w:r w:rsidRPr="002B55E9">
        <w:rPr>
          <w:rFonts w:hint="eastAsia"/>
        </w:rPr>
        <w:t>原材料和成品的运输出入口均设</w:t>
      </w:r>
      <w:r w:rsidRPr="002B55E9">
        <w:rPr>
          <w:rFonts w:hint="eastAsia"/>
        </w:rPr>
        <w:lastRenderedPageBreak/>
        <w:t>置在</w:t>
      </w:r>
      <w:r w:rsidR="0070202D" w:rsidRPr="002B55E9">
        <w:rPr>
          <w:rFonts w:hint="eastAsia"/>
        </w:rPr>
        <w:t>西侧荷兴路</w:t>
      </w:r>
      <w:r w:rsidRPr="002B55E9">
        <w:rPr>
          <w:rFonts w:hint="eastAsia"/>
        </w:rPr>
        <w:t>一侧</w:t>
      </w:r>
      <w:r w:rsidR="0070202D" w:rsidRPr="002B55E9">
        <w:rPr>
          <w:rFonts w:hint="eastAsia"/>
        </w:rPr>
        <w:t>，</w:t>
      </w:r>
      <w:r w:rsidRPr="002B55E9">
        <w:rPr>
          <w:rFonts w:hint="eastAsia"/>
        </w:rPr>
        <w:t>高噪声设备均布置于室内</w:t>
      </w:r>
      <w:r w:rsidR="0070202D" w:rsidRPr="002B55E9">
        <w:rPr>
          <w:rFonts w:hint="eastAsia"/>
        </w:rPr>
        <w:t>或厂房顶部</w:t>
      </w:r>
      <w:r w:rsidRPr="002B55E9">
        <w:rPr>
          <w:rFonts w:hint="eastAsia"/>
        </w:rPr>
        <w:t>，</w:t>
      </w:r>
      <w:r w:rsidR="0070202D" w:rsidRPr="002B55E9">
        <w:rPr>
          <w:rFonts w:hint="eastAsia"/>
        </w:rPr>
        <w:t>生产</w:t>
      </w:r>
      <w:r w:rsidRPr="002B55E9">
        <w:rPr>
          <w:rFonts w:hint="eastAsia"/>
        </w:rPr>
        <w:t>车间设置在厂区中</w:t>
      </w:r>
      <w:r w:rsidR="0070202D" w:rsidRPr="002B55E9">
        <w:rPr>
          <w:rFonts w:hint="eastAsia"/>
        </w:rPr>
        <w:t>南</w:t>
      </w:r>
      <w:r w:rsidRPr="002B55E9">
        <w:rPr>
          <w:rFonts w:hint="eastAsia"/>
        </w:rPr>
        <w:t>部，均位于</w:t>
      </w:r>
      <w:r w:rsidR="0070202D" w:rsidRPr="002B55E9">
        <w:rPr>
          <w:rFonts w:hint="eastAsia"/>
        </w:rPr>
        <w:t>远离</w:t>
      </w:r>
      <w:r w:rsidRPr="002B55E9">
        <w:rPr>
          <w:rFonts w:hint="eastAsia"/>
        </w:rPr>
        <w:t>周边环境敏感点的</w:t>
      </w:r>
      <w:r w:rsidR="0070202D" w:rsidRPr="002B55E9">
        <w:rPr>
          <w:rFonts w:hint="eastAsia"/>
        </w:rPr>
        <w:t>方向</w:t>
      </w:r>
      <w:r w:rsidRPr="002B55E9">
        <w:rPr>
          <w:rFonts w:hint="eastAsia"/>
        </w:rPr>
        <w:t>。项目的厂区平面布局基本合理。</w:t>
      </w:r>
    </w:p>
    <w:p w14:paraId="06D31282" w14:textId="77777777" w:rsidR="00D170E5" w:rsidRPr="002B55E9" w:rsidRDefault="00EF27AD">
      <w:pPr>
        <w:pStyle w:val="affff7"/>
      </w:pPr>
      <w:r w:rsidRPr="002B55E9">
        <w:t>综上所述，从安全、消防、环保等方面分析，拟建项目布局基本合理。</w:t>
      </w:r>
    </w:p>
    <w:p w14:paraId="6A79B5C7" w14:textId="77777777" w:rsidR="00D170E5" w:rsidRPr="002B55E9" w:rsidRDefault="00D170E5">
      <w:pPr>
        <w:pStyle w:val="affff7"/>
        <w:sectPr w:rsidR="00D170E5" w:rsidRPr="002B55E9">
          <w:headerReference w:type="default" r:id="rId112"/>
          <w:pgSz w:w="11905" w:h="16838"/>
          <w:pgMar w:top="1134" w:right="1134" w:bottom="1134" w:left="1134" w:header="737" w:footer="624" w:gutter="0"/>
          <w:cols w:space="720"/>
          <w:docGrid w:linePitch="312"/>
        </w:sectPr>
      </w:pPr>
    </w:p>
    <w:p w14:paraId="5A3F881B" w14:textId="77777777" w:rsidR="00D170E5" w:rsidRPr="002B55E9" w:rsidRDefault="00EF27AD">
      <w:pPr>
        <w:pStyle w:val="2"/>
      </w:pPr>
      <w:bookmarkStart w:id="324" w:name="_Toc121711657"/>
      <w:bookmarkStart w:id="325" w:name="_Toc169616604"/>
      <w:bookmarkStart w:id="326" w:name="_Toc124238128"/>
      <w:bookmarkStart w:id="327" w:name="_Toc199925143"/>
      <w:bookmarkStart w:id="328" w:name="_Toc119309032"/>
      <w:r w:rsidRPr="002B55E9">
        <w:lastRenderedPageBreak/>
        <w:t>环境</w:t>
      </w:r>
      <w:bookmarkEnd w:id="324"/>
      <w:bookmarkEnd w:id="325"/>
      <w:bookmarkEnd w:id="326"/>
      <w:bookmarkEnd w:id="327"/>
      <w:r w:rsidRPr="002B55E9">
        <w:rPr>
          <w:rFonts w:hint="eastAsia"/>
        </w:rPr>
        <w:t>经济损益分析</w:t>
      </w:r>
      <w:bookmarkEnd w:id="328"/>
    </w:p>
    <w:p w14:paraId="52555477" w14:textId="77777777" w:rsidR="00D170E5" w:rsidRPr="002B55E9" w:rsidRDefault="00EF27AD">
      <w:pPr>
        <w:pStyle w:val="affff7"/>
      </w:pPr>
      <w:r w:rsidRPr="002B55E9">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14:paraId="2E963F36" w14:textId="77777777" w:rsidR="00D170E5" w:rsidRPr="002B55E9" w:rsidRDefault="00EF27AD">
      <w:pPr>
        <w:pStyle w:val="3"/>
      </w:pPr>
      <w:bookmarkStart w:id="329" w:name="_Toc119309033"/>
      <w:r w:rsidRPr="002B55E9">
        <w:rPr>
          <w:rFonts w:hint="eastAsia"/>
        </w:rPr>
        <w:t>经济效益分析</w:t>
      </w:r>
      <w:bookmarkEnd w:id="329"/>
    </w:p>
    <w:p w14:paraId="5503B642"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项目总投资</w:t>
      </w:r>
      <w:r w:rsidRPr="002B55E9">
        <w:rPr>
          <w:bCs/>
          <w:sz w:val="24"/>
          <w:lang w:val="zh-CN"/>
        </w:rPr>
        <w:t>28000</w:t>
      </w:r>
      <w:r w:rsidRPr="002B55E9">
        <w:rPr>
          <w:rFonts w:hint="eastAsia"/>
          <w:bCs/>
          <w:sz w:val="24"/>
          <w:lang w:val="zh-CN"/>
        </w:rPr>
        <w:t>万元，主要用于新建十一车间、十三车间、罐区及配套的辅助设施，设立料酒、食醋生产线一条，十一车间为包装车间、十三车间为前处理车间，建成后年产料酒</w:t>
      </w:r>
      <w:r w:rsidRPr="002B55E9">
        <w:rPr>
          <w:rFonts w:hint="eastAsia"/>
          <w:bCs/>
          <w:sz w:val="24"/>
          <w:lang w:val="zh-CN"/>
        </w:rPr>
        <w:t>15</w:t>
      </w:r>
      <w:r w:rsidRPr="002B55E9">
        <w:rPr>
          <w:rFonts w:hint="eastAsia"/>
          <w:bCs/>
          <w:sz w:val="24"/>
          <w:lang w:val="zh-CN"/>
        </w:rPr>
        <w:t>万吨</w:t>
      </w:r>
      <w:r w:rsidRPr="002B55E9">
        <w:rPr>
          <w:rFonts w:hint="eastAsia"/>
          <w:bCs/>
          <w:sz w:val="24"/>
          <w:lang w:val="zh-CN"/>
        </w:rPr>
        <w:t>/</w:t>
      </w:r>
      <w:r w:rsidRPr="002B55E9">
        <w:rPr>
          <w:rFonts w:hint="eastAsia"/>
          <w:bCs/>
          <w:sz w:val="24"/>
          <w:lang w:val="zh-CN"/>
        </w:rPr>
        <w:t>年、白米醋</w:t>
      </w:r>
      <w:r w:rsidRPr="002B55E9">
        <w:rPr>
          <w:rFonts w:hint="eastAsia"/>
          <w:bCs/>
          <w:sz w:val="24"/>
          <w:lang w:val="zh-CN"/>
        </w:rPr>
        <w:t>6</w:t>
      </w:r>
      <w:r w:rsidRPr="002B55E9">
        <w:rPr>
          <w:rFonts w:hint="eastAsia"/>
          <w:bCs/>
          <w:sz w:val="24"/>
          <w:lang w:val="zh-CN"/>
        </w:rPr>
        <w:t>万吨</w:t>
      </w:r>
      <w:r w:rsidRPr="002B55E9">
        <w:rPr>
          <w:rFonts w:hint="eastAsia"/>
          <w:bCs/>
          <w:sz w:val="24"/>
          <w:lang w:val="zh-CN"/>
        </w:rPr>
        <w:t>/</w:t>
      </w:r>
      <w:r w:rsidRPr="002B55E9">
        <w:rPr>
          <w:rFonts w:hint="eastAsia"/>
          <w:bCs/>
          <w:sz w:val="24"/>
          <w:lang w:val="zh-CN"/>
        </w:rPr>
        <w:t>年、陈香醋</w:t>
      </w:r>
      <w:r w:rsidRPr="002B55E9">
        <w:rPr>
          <w:rFonts w:hint="eastAsia"/>
          <w:bCs/>
          <w:sz w:val="24"/>
          <w:lang w:val="zh-CN"/>
        </w:rPr>
        <w:t>4</w:t>
      </w:r>
      <w:r w:rsidRPr="002B55E9">
        <w:rPr>
          <w:rFonts w:hint="eastAsia"/>
          <w:bCs/>
          <w:sz w:val="24"/>
          <w:lang w:val="zh-CN"/>
        </w:rPr>
        <w:t>万吨</w:t>
      </w:r>
      <w:r w:rsidRPr="002B55E9">
        <w:rPr>
          <w:rFonts w:hint="eastAsia"/>
          <w:bCs/>
          <w:sz w:val="24"/>
          <w:lang w:val="zh-CN"/>
        </w:rPr>
        <w:t>/</w:t>
      </w:r>
      <w:r w:rsidRPr="002B55E9">
        <w:rPr>
          <w:rFonts w:hint="eastAsia"/>
          <w:bCs/>
          <w:sz w:val="24"/>
          <w:lang w:val="zh-CN"/>
        </w:rPr>
        <w:t>年。达产</w:t>
      </w:r>
      <w:r w:rsidRPr="002B55E9">
        <w:rPr>
          <w:bCs/>
          <w:sz w:val="24"/>
          <w:lang w:val="zh-CN"/>
        </w:rPr>
        <w:t>后</w:t>
      </w:r>
      <w:r w:rsidRPr="002B55E9">
        <w:rPr>
          <w:rFonts w:hint="eastAsia"/>
          <w:bCs/>
          <w:sz w:val="24"/>
          <w:lang w:val="zh-CN"/>
        </w:rPr>
        <w:t>产值近</w:t>
      </w:r>
      <w:r w:rsidRPr="002B55E9">
        <w:rPr>
          <w:bCs/>
          <w:sz w:val="24"/>
          <w:lang w:val="zh-CN"/>
        </w:rPr>
        <w:t>90000</w:t>
      </w:r>
      <w:r w:rsidRPr="002B55E9">
        <w:rPr>
          <w:rFonts w:hint="eastAsia"/>
          <w:bCs/>
          <w:sz w:val="24"/>
          <w:lang w:val="zh-CN"/>
        </w:rPr>
        <w:t>万元，具有较好的经济效益。</w:t>
      </w:r>
    </w:p>
    <w:p w14:paraId="0A73F24C" w14:textId="77777777" w:rsidR="00D170E5" w:rsidRPr="002B55E9" w:rsidRDefault="00EF27AD">
      <w:pPr>
        <w:pStyle w:val="3"/>
      </w:pPr>
      <w:bookmarkStart w:id="330" w:name="_Toc119309034"/>
      <w:r w:rsidRPr="002B55E9">
        <w:rPr>
          <w:rFonts w:hint="eastAsia"/>
        </w:rPr>
        <w:t>社会效益分析</w:t>
      </w:r>
      <w:bookmarkEnd w:id="330"/>
    </w:p>
    <w:p w14:paraId="1D230BCD"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拟建项目符合当前国家产业政策，具有显著的社会效益。项目规划得当、措施具体，预测经济效益良好。同时项目的实施对发展当地的经济，解决当地的劳动就业问题，推动相关产业发展，都有着积极作用和重要意义</w:t>
      </w:r>
    </w:p>
    <w:p w14:paraId="6488882B"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本项目建成后的社会效益主要体现在以下几个方面</w:t>
      </w:r>
      <w:r w:rsidRPr="002B55E9">
        <w:rPr>
          <w:rFonts w:hint="eastAsia"/>
          <w:bCs/>
          <w:sz w:val="24"/>
          <w:lang w:val="zh-CN"/>
        </w:rPr>
        <w:t>:</w:t>
      </w:r>
    </w:p>
    <w:p w14:paraId="64DCCB83"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w:t>
      </w:r>
      <w:r w:rsidRPr="002B55E9">
        <w:rPr>
          <w:rFonts w:hint="eastAsia"/>
          <w:bCs/>
          <w:sz w:val="24"/>
          <w:lang w:val="zh-CN"/>
        </w:rPr>
        <w:t>1</w:t>
      </w:r>
      <w:r w:rsidRPr="002B55E9">
        <w:rPr>
          <w:rFonts w:hint="eastAsia"/>
          <w:bCs/>
          <w:sz w:val="24"/>
          <w:lang w:val="zh-CN"/>
        </w:rPr>
        <w:t>）采用先进的生产工艺，对满足国内市场需求具有积极意义。</w:t>
      </w:r>
    </w:p>
    <w:p w14:paraId="05783E08"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w:t>
      </w:r>
      <w:r w:rsidRPr="002B55E9">
        <w:rPr>
          <w:rFonts w:hint="eastAsia"/>
          <w:bCs/>
          <w:sz w:val="24"/>
          <w:lang w:val="zh-CN"/>
        </w:rPr>
        <w:t>2</w:t>
      </w:r>
      <w:r w:rsidRPr="002B55E9">
        <w:rPr>
          <w:rFonts w:hint="eastAsia"/>
          <w:bCs/>
          <w:sz w:val="24"/>
          <w:lang w:val="zh-CN"/>
        </w:rPr>
        <w:t>）本项目建成投产后，不仅增加自身的经济效益，而且能够大大增加地方的税收，有助于当地经济的发展。</w:t>
      </w:r>
    </w:p>
    <w:p w14:paraId="70F0596C"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w:t>
      </w:r>
      <w:r w:rsidRPr="002B55E9">
        <w:rPr>
          <w:rFonts w:hint="eastAsia"/>
          <w:bCs/>
          <w:sz w:val="24"/>
          <w:lang w:val="zh-CN"/>
        </w:rPr>
        <w:t>4</w:t>
      </w:r>
      <w:r w:rsidRPr="002B55E9">
        <w:rPr>
          <w:rFonts w:hint="eastAsia"/>
          <w:bCs/>
          <w:sz w:val="24"/>
          <w:lang w:val="zh-CN"/>
        </w:rPr>
        <w:t>）本项目能够提供一定的就业机会，增加当地群众劳动收入，有利于社会稳定和共同富裕。</w:t>
      </w:r>
    </w:p>
    <w:p w14:paraId="4FA37DFE" w14:textId="77777777" w:rsidR="00D170E5" w:rsidRPr="002B55E9" w:rsidRDefault="00EF27AD">
      <w:pPr>
        <w:adjustRightInd w:val="0"/>
        <w:spacing w:line="360" w:lineRule="auto"/>
        <w:ind w:firstLineChars="202" w:firstLine="485"/>
        <w:rPr>
          <w:bCs/>
          <w:sz w:val="24"/>
          <w:lang w:val="zh-CN"/>
        </w:rPr>
      </w:pPr>
      <w:r w:rsidRPr="002B55E9">
        <w:rPr>
          <w:rFonts w:hint="eastAsia"/>
          <w:bCs/>
          <w:sz w:val="24"/>
          <w:lang w:val="zh-CN"/>
        </w:rPr>
        <w:t>综上所述，本项目具有较好的社会效益。</w:t>
      </w:r>
    </w:p>
    <w:p w14:paraId="4E25598E" w14:textId="77777777" w:rsidR="00D170E5" w:rsidRPr="002B55E9" w:rsidRDefault="00EF27AD">
      <w:pPr>
        <w:pStyle w:val="3"/>
      </w:pPr>
      <w:bookmarkStart w:id="331" w:name="_Toc119309035"/>
      <w:bookmarkStart w:id="332" w:name="_Toc247186224"/>
      <w:bookmarkStart w:id="333" w:name="_Toc227059330"/>
      <w:bookmarkStart w:id="334" w:name="_Toc227059246"/>
      <w:bookmarkStart w:id="335" w:name="_Toc223950518"/>
      <w:bookmarkStart w:id="336" w:name="_Toc196755173"/>
      <w:bookmarkStart w:id="337" w:name="_Toc172446537"/>
      <w:bookmarkStart w:id="338" w:name="_Toc124238136"/>
      <w:bookmarkStart w:id="339" w:name="_Toc121711663"/>
      <w:r w:rsidRPr="002B55E9">
        <w:t>环境经济损益分析</w:t>
      </w:r>
      <w:bookmarkEnd w:id="331"/>
      <w:bookmarkEnd w:id="332"/>
      <w:bookmarkEnd w:id="333"/>
      <w:bookmarkEnd w:id="334"/>
      <w:bookmarkEnd w:id="335"/>
      <w:bookmarkEnd w:id="336"/>
      <w:bookmarkEnd w:id="337"/>
    </w:p>
    <w:bookmarkEnd w:id="338"/>
    <w:bookmarkEnd w:id="339"/>
    <w:p w14:paraId="09E98617" w14:textId="77777777" w:rsidR="00D170E5" w:rsidRPr="002B55E9" w:rsidRDefault="00EF27AD">
      <w:pPr>
        <w:pStyle w:val="affff7"/>
      </w:pPr>
      <w:r w:rsidRPr="002B55E9">
        <w:t>本项目的环境保护投资计算方法为：凡为防治污染、保护环境所设的装置、设备和设施，其投资应全部计入环境保护投资；生产需要又为环境保护服务的设施，其投资应按不同比例部分计入环境保护投资；某些特殊的环境保护设施，其投资可按实际计入。</w:t>
      </w:r>
    </w:p>
    <w:p w14:paraId="5EC9CA3D" w14:textId="77777777" w:rsidR="00D170E5" w:rsidRPr="002B55E9" w:rsidRDefault="00EF27AD">
      <w:pPr>
        <w:pStyle w:val="affff7"/>
      </w:pPr>
      <w:r w:rsidRPr="002B55E9">
        <w:lastRenderedPageBreak/>
        <w:t>（</w:t>
      </w:r>
      <w:r w:rsidRPr="002B55E9">
        <w:t>1</w:t>
      </w:r>
      <w:r w:rsidRPr="002B55E9">
        <w:t>）本项目污染治理和保护环境所需的设施、监测措施和工程设施均为环保设施，为保护环境所采取的各项措施所需资金列入环保投资，包括外排废物的收集、堆放场地和截断阀的建设等。</w:t>
      </w:r>
    </w:p>
    <w:p w14:paraId="7E60749A" w14:textId="77777777" w:rsidR="00D170E5" w:rsidRPr="002B55E9" w:rsidRDefault="00EF27AD">
      <w:pPr>
        <w:pStyle w:val="affff7"/>
      </w:pPr>
      <w:r w:rsidRPr="002B55E9">
        <w:t>（</w:t>
      </w:r>
      <w:r w:rsidRPr="002B55E9">
        <w:t>2</w:t>
      </w:r>
      <w:r w:rsidRPr="002B55E9">
        <w:t>）凡属于生产需要又具有环保性质的建设方式或工艺生产设施按一定比例计入环保投资，如回收及综合利用设施、征地及施工阶段的定向钻施工工艺、运营阶段的预防泄漏的防腐措施、应急设施等。</w:t>
      </w:r>
    </w:p>
    <w:p w14:paraId="55662E1B" w14:textId="77777777" w:rsidR="00D170E5" w:rsidRPr="002B55E9" w:rsidRDefault="00EF27AD">
      <w:pPr>
        <w:pStyle w:val="aa"/>
        <w:rPr>
          <w:spacing w:val="6"/>
        </w:rPr>
      </w:pPr>
      <w:r w:rsidRPr="002B55E9">
        <w:t>根据目前所得到的资料，对环保投资进行估算，环保三同时环保工程和设施的投资费用为</w:t>
      </w:r>
      <w:r w:rsidRPr="002B55E9">
        <w:t>230</w:t>
      </w:r>
      <w:r w:rsidRPr="002B55E9">
        <w:t>万元，</w:t>
      </w:r>
      <w:r w:rsidRPr="002B55E9">
        <w:rPr>
          <w:rFonts w:hint="eastAsia"/>
        </w:rPr>
        <w:t>约</w:t>
      </w:r>
      <w:r w:rsidRPr="002B55E9">
        <w:t>占总投资</w:t>
      </w:r>
      <w:r w:rsidRPr="002B55E9">
        <w:rPr>
          <w:bCs/>
          <w:lang w:val="zh-CN"/>
        </w:rPr>
        <w:t>28000</w:t>
      </w:r>
      <w:r w:rsidRPr="002B55E9">
        <w:rPr>
          <w:rFonts w:hint="eastAsia"/>
        </w:rPr>
        <w:t>万元</w:t>
      </w:r>
      <w:r w:rsidRPr="002B55E9">
        <w:t>的</w:t>
      </w:r>
      <w:r w:rsidRPr="002B55E9">
        <w:t>0.82%</w:t>
      </w:r>
      <w:r w:rsidRPr="002B55E9">
        <w:t>，</w:t>
      </w:r>
      <w:r w:rsidRPr="002B55E9">
        <w:rPr>
          <w:rFonts w:hint="eastAsia"/>
          <w:spacing w:val="6"/>
        </w:rPr>
        <w:t>所占比例较小，企业能够保证足够的环保资金投入。</w:t>
      </w:r>
    </w:p>
    <w:p w14:paraId="4C03ACE1" w14:textId="77777777" w:rsidR="00D170E5" w:rsidRPr="002B55E9" w:rsidRDefault="00EF27AD">
      <w:pPr>
        <w:pStyle w:val="aa"/>
      </w:pPr>
      <w:r w:rsidRPr="002B55E9">
        <w:rPr>
          <w:rFonts w:hint="eastAsia"/>
        </w:rPr>
        <w:t>环保运行费主要包括“三废”处理设施运行费、环保设施折旧费、环境监测费等。根据项目环保设施年运行情况进行估算，环保年运行费用</w:t>
      </w:r>
      <w:r w:rsidRPr="002B55E9">
        <w:t>120</w:t>
      </w:r>
      <w:r w:rsidRPr="002B55E9">
        <w:rPr>
          <w:rFonts w:hint="eastAsia"/>
        </w:rPr>
        <w:t>万元。</w:t>
      </w:r>
    </w:p>
    <w:p w14:paraId="440C233B" w14:textId="77777777" w:rsidR="00D170E5" w:rsidRPr="002B55E9" w:rsidRDefault="00EF27AD">
      <w:pPr>
        <w:ind w:firstLine="446"/>
        <w:jc w:val="center"/>
        <w:rPr>
          <w:rFonts w:eastAsia="黑体"/>
          <w:b/>
          <w:spacing w:val="6"/>
          <w:sz w:val="24"/>
        </w:rPr>
      </w:pPr>
      <w:r w:rsidRPr="002B55E9">
        <w:rPr>
          <w:rFonts w:eastAsia="黑体"/>
          <w:b/>
          <w:spacing w:val="6"/>
          <w:sz w:val="24"/>
        </w:rPr>
        <w:t>表</w:t>
      </w:r>
      <w:r w:rsidRPr="002B55E9">
        <w:rPr>
          <w:rFonts w:eastAsia="黑体"/>
          <w:b/>
          <w:spacing w:val="6"/>
          <w:sz w:val="24"/>
        </w:rPr>
        <w:t xml:space="preserve">10-3-1   </w:t>
      </w:r>
      <w:r w:rsidRPr="002B55E9">
        <w:rPr>
          <w:rFonts w:eastAsia="黑体"/>
          <w:b/>
          <w:spacing w:val="6"/>
          <w:sz w:val="24"/>
        </w:rPr>
        <w:t>环保设施年运行费用一览表</w:t>
      </w:r>
    </w:p>
    <w:tbl>
      <w:tblPr>
        <w:tblStyle w:val="lgy2"/>
        <w:tblW w:w="5000" w:type="pct"/>
        <w:tblLayout w:type="fixed"/>
        <w:tblCellMar>
          <w:left w:w="28" w:type="dxa"/>
          <w:right w:w="28" w:type="dxa"/>
        </w:tblCellMar>
        <w:tblLook w:val="04A0" w:firstRow="1" w:lastRow="0" w:firstColumn="1" w:lastColumn="0" w:noHBand="0" w:noVBand="1"/>
      </w:tblPr>
      <w:tblGrid>
        <w:gridCol w:w="1300"/>
        <w:gridCol w:w="2624"/>
        <w:gridCol w:w="2384"/>
        <w:gridCol w:w="3385"/>
      </w:tblGrid>
      <w:tr w:rsidR="00C60999" w:rsidRPr="002B55E9" w14:paraId="4086BEFB" w14:textId="77777777" w:rsidTr="00712630">
        <w:trPr>
          <w:cnfStyle w:val="100000000000" w:firstRow="1" w:lastRow="0" w:firstColumn="0" w:lastColumn="0" w:oddVBand="0" w:evenVBand="0" w:oddHBand="0" w:evenHBand="0" w:firstRowFirstColumn="0" w:firstRowLastColumn="0" w:lastRowFirstColumn="0" w:lastRowLastColumn="0"/>
          <w:trHeight w:val="283"/>
        </w:trPr>
        <w:tc>
          <w:tcPr>
            <w:tcW w:w="1293" w:type="dxa"/>
          </w:tcPr>
          <w:p w14:paraId="20B07311" w14:textId="77777777" w:rsidR="00D170E5" w:rsidRPr="002B55E9" w:rsidRDefault="00EF27AD">
            <w:pPr>
              <w:pStyle w:val="lgy-"/>
            </w:pPr>
            <w:r w:rsidRPr="002B55E9">
              <w:rPr>
                <w:rFonts w:eastAsia="宋体" w:hint="eastAsia"/>
              </w:rPr>
              <w:t>序号</w:t>
            </w:r>
          </w:p>
        </w:tc>
        <w:tc>
          <w:tcPr>
            <w:tcW w:w="2609" w:type="dxa"/>
          </w:tcPr>
          <w:p w14:paraId="2C3B047B" w14:textId="77777777" w:rsidR="00D170E5" w:rsidRPr="002B55E9" w:rsidRDefault="00EF27AD" w:rsidP="00712630">
            <w:pPr>
              <w:pStyle w:val="lgy-"/>
            </w:pPr>
            <w:r w:rsidRPr="002B55E9">
              <w:rPr>
                <w:rFonts w:eastAsia="宋体" w:hint="eastAsia"/>
              </w:rPr>
              <w:t>环保设施</w:t>
            </w:r>
          </w:p>
        </w:tc>
        <w:tc>
          <w:tcPr>
            <w:tcW w:w="2370" w:type="dxa"/>
          </w:tcPr>
          <w:p w14:paraId="6F27AA16" w14:textId="77777777" w:rsidR="00D170E5" w:rsidRPr="002B55E9" w:rsidRDefault="00EF27AD">
            <w:pPr>
              <w:pStyle w:val="lgy-"/>
            </w:pPr>
            <w:r w:rsidRPr="002B55E9">
              <w:rPr>
                <w:rFonts w:eastAsia="宋体" w:hint="eastAsia"/>
              </w:rPr>
              <w:t>金额（万元</w:t>
            </w:r>
            <w:r w:rsidRPr="002B55E9">
              <w:rPr>
                <w:rFonts w:eastAsia="宋体" w:hint="eastAsia"/>
              </w:rPr>
              <w:t>/</w:t>
            </w:r>
            <w:r w:rsidRPr="002B55E9">
              <w:rPr>
                <w:rFonts w:eastAsia="宋体" w:hint="eastAsia"/>
              </w:rPr>
              <w:t>年）</w:t>
            </w:r>
          </w:p>
        </w:tc>
        <w:tc>
          <w:tcPr>
            <w:tcW w:w="3365" w:type="dxa"/>
          </w:tcPr>
          <w:p w14:paraId="5FB5122A" w14:textId="77777777" w:rsidR="00D170E5" w:rsidRPr="002B55E9" w:rsidRDefault="00EF27AD">
            <w:pPr>
              <w:pStyle w:val="lgy-"/>
              <w:rPr>
                <w:rFonts w:eastAsia="宋体"/>
              </w:rPr>
            </w:pPr>
            <w:r w:rsidRPr="002B55E9">
              <w:rPr>
                <w:rFonts w:eastAsia="宋体" w:hint="eastAsia"/>
              </w:rPr>
              <w:t>备注</w:t>
            </w:r>
          </w:p>
        </w:tc>
      </w:tr>
      <w:tr w:rsidR="00C60999" w:rsidRPr="002B55E9" w14:paraId="534FD350" w14:textId="77777777" w:rsidTr="00712630">
        <w:trPr>
          <w:trHeight w:val="283"/>
        </w:trPr>
        <w:tc>
          <w:tcPr>
            <w:tcW w:w="1293" w:type="dxa"/>
          </w:tcPr>
          <w:p w14:paraId="0C598857" w14:textId="77777777" w:rsidR="00D170E5" w:rsidRPr="002B55E9" w:rsidRDefault="00EF27AD">
            <w:pPr>
              <w:pStyle w:val="lgy-"/>
            </w:pPr>
            <w:r w:rsidRPr="002B55E9">
              <w:rPr>
                <w:rFonts w:eastAsia="宋体" w:hint="eastAsia"/>
              </w:rPr>
              <w:t>1</w:t>
            </w:r>
          </w:p>
        </w:tc>
        <w:tc>
          <w:tcPr>
            <w:tcW w:w="2609" w:type="dxa"/>
          </w:tcPr>
          <w:p w14:paraId="61D02D52" w14:textId="77777777" w:rsidR="00D170E5" w:rsidRPr="002B55E9" w:rsidRDefault="00EF27AD">
            <w:pPr>
              <w:pStyle w:val="lgy-"/>
            </w:pPr>
            <w:r w:rsidRPr="002B55E9">
              <w:rPr>
                <w:rFonts w:eastAsia="宋体" w:hint="eastAsia"/>
              </w:rPr>
              <w:t>废气监测及设施维护</w:t>
            </w:r>
          </w:p>
        </w:tc>
        <w:tc>
          <w:tcPr>
            <w:tcW w:w="2370" w:type="dxa"/>
          </w:tcPr>
          <w:p w14:paraId="0A679A14" w14:textId="77777777" w:rsidR="00D170E5" w:rsidRPr="002B55E9" w:rsidRDefault="00EF27AD">
            <w:pPr>
              <w:pStyle w:val="lgy-"/>
            </w:pPr>
            <w:r w:rsidRPr="002B55E9">
              <w:rPr>
                <w:rFonts w:eastAsia="宋体"/>
              </w:rPr>
              <w:t>30</w:t>
            </w:r>
          </w:p>
        </w:tc>
        <w:tc>
          <w:tcPr>
            <w:tcW w:w="3365" w:type="dxa"/>
          </w:tcPr>
          <w:p w14:paraId="438EAB56" w14:textId="77777777" w:rsidR="00D170E5" w:rsidRPr="002B55E9" w:rsidRDefault="00EF27AD">
            <w:pPr>
              <w:pStyle w:val="lgy-"/>
              <w:rPr>
                <w:rFonts w:eastAsia="宋体"/>
              </w:rPr>
            </w:pPr>
            <w:r w:rsidRPr="002B55E9">
              <w:rPr>
                <w:rFonts w:eastAsia="宋体" w:hint="eastAsia"/>
              </w:rPr>
              <w:t>设备维护及监测费用</w:t>
            </w:r>
          </w:p>
        </w:tc>
      </w:tr>
      <w:tr w:rsidR="00C60999" w:rsidRPr="002B55E9" w14:paraId="78766C43" w14:textId="77777777" w:rsidTr="00712630">
        <w:trPr>
          <w:trHeight w:val="283"/>
        </w:trPr>
        <w:tc>
          <w:tcPr>
            <w:tcW w:w="1293" w:type="dxa"/>
          </w:tcPr>
          <w:p w14:paraId="386A926F" w14:textId="77777777" w:rsidR="00D170E5" w:rsidRPr="002B55E9" w:rsidRDefault="00EF27AD">
            <w:pPr>
              <w:pStyle w:val="lgy-"/>
            </w:pPr>
            <w:r w:rsidRPr="002B55E9">
              <w:rPr>
                <w:rFonts w:eastAsia="宋体" w:hint="eastAsia"/>
              </w:rPr>
              <w:t>2</w:t>
            </w:r>
          </w:p>
        </w:tc>
        <w:tc>
          <w:tcPr>
            <w:tcW w:w="2609" w:type="dxa"/>
          </w:tcPr>
          <w:p w14:paraId="6B807527" w14:textId="77777777" w:rsidR="00D170E5" w:rsidRPr="002B55E9" w:rsidRDefault="00EF27AD">
            <w:pPr>
              <w:pStyle w:val="lgy-"/>
            </w:pPr>
            <w:r w:rsidRPr="002B55E9">
              <w:rPr>
                <w:rFonts w:eastAsia="宋体" w:hint="eastAsia"/>
              </w:rPr>
              <w:t>废水委托</w:t>
            </w:r>
            <w:r w:rsidRPr="002B55E9">
              <w:rPr>
                <w:rFonts w:eastAsia="宋体"/>
              </w:rPr>
              <w:t>处理费</w:t>
            </w:r>
          </w:p>
        </w:tc>
        <w:tc>
          <w:tcPr>
            <w:tcW w:w="2370" w:type="dxa"/>
          </w:tcPr>
          <w:p w14:paraId="3A1B484A" w14:textId="77777777" w:rsidR="00D170E5" w:rsidRPr="002B55E9" w:rsidRDefault="00EF27AD">
            <w:pPr>
              <w:pStyle w:val="lgy-"/>
            </w:pPr>
            <w:r w:rsidRPr="002B55E9">
              <w:rPr>
                <w:rFonts w:eastAsia="宋体" w:hint="eastAsia"/>
              </w:rPr>
              <w:t>50</w:t>
            </w:r>
          </w:p>
        </w:tc>
        <w:tc>
          <w:tcPr>
            <w:tcW w:w="3365" w:type="dxa"/>
          </w:tcPr>
          <w:p w14:paraId="43B100BF" w14:textId="77777777" w:rsidR="00D170E5" w:rsidRPr="002B55E9" w:rsidRDefault="00EF27AD">
            <w:pPr>
              <w:pStyle w:val="lgy-"/>
              <w:rPr>
                <w:rFonts w:eastAsia="宋体"/>
              </w:rPr>
            </w:pPr>
            <w:r w:rsidRPr="002B55E9">
              <w:rPr>
                <w:rFonts w:eastAsia="宋体" w:hint="eastAsia"/>
              </w:rPr>
              <w:t>委托</w:t>
            </w:r>
            <w:r w:rsidRPr="002B55E9">
              <w:rPr>
                <w:rFonts w:eastAsia="宋体"/>
              </w:rPr>
              <w:t>处置费</w:t>
            </w:r>
          </w:p>
        </w:tc>
      </w:tr>
      <w:tr w:rsidR="00C60999" w:rsidRPr="002B55E9" w14:paraId="07F72ADB" w14:textId="77777777" w:rsidTr="00712630">
        <w:trPr>
          <w:trHeight w:val="283"/>
        </w:trPr>
        <w:tc>
          <w:tcPr>
            <w:tcW w:w="1293" w:type="dxa"/>
          </w:tcPr>
          <w:p w14:paraId="72242E1D" w14:textId="77777777" w:rsidR="00D170E5" w:rsidRPr="002B55E9" w:rsidRDefault="00EF27AD">
            <w:pPr>
              <w:pStyle w:val="lgy-"/>
            </w:pPr>
            <w:r w:rsidRPr="002B55E9">
              <w:rPr>
                <w:rFonts w:eastAsia="宋体" w:hint="eastAsia"/>
              </w:rPr>
              <w:t>3</w:t>
            </w:r>
          </w:p>
        </w:tc>
        <w:tc>
          <w:tcPr>
            <w:tcW w:w="2609" w:type="dxa"/>
          </w:tcPr>
          <w:p w14:paraId="7109FE67" w14:textId="77777777" w:rsidR="00D170E5" w:rsidRPr="002B55E9" w:rsidRDefault="00EF27AD">
            <w:pPr>
              <w:pStyle w:val="lgy-"/>
            </w:pPr>
            <w:r w:rsidRPr="002B55E9">
              <w:rPr>
                <w:rFonts w:eastAsia="宋体" w:hint="eastAsia"/>
              </w:rPr>
              <w:t>固体废弃物处置</w:t>
            </w:r>
          </w:p>
        </w:tc>
        <w:tc>
          <w:tcPr>
            <w:tcW w:w="2370" w:type="dxa"/>
          </w:tcPr>
          <w:p w14:paraId="2771969A" w14:textId="77777777" w:rsidR="00D170E5" w:rsidRPr="002B55E9" w:rsidRDefault="00EF27AD">
            <w:pPr>
              <w:pStyle w:val="lgy-"/>
            </w:pPr>
            <w:r w:rsidRPr="002B55E9">
              <w:rPr>
                <w:rFonts w:eastAsia="宋体" w:hint="eastAsia"/>
              </w:rPr>
              <w:t>30</w:t>
            </w:r>
          </w:p>
        </w:tc>
        <w:tc>
          <w:tcPr>
            <w:tcW w:w="3365" w:type="dxa"/>
          </w:tcPr>
          <w:p w14:paraId="4BAB5C0D" w14:textId="77777777" w:rsidR="00D170E5" w:rsidRPr="002B55E9" w:rsidRDefault="00EF27AD">
            <w:pPr>
              <w:pStyle w:val="lgy-"/>
              <w:rPr>
                <w:rFonts w:eastAsia="宋体"/>
              </w:rPr>
            </w:pPr>
            <w:r w:rsidRPr="002B55E9">
              <w:rPr>
                <w:rFonts w:eastAsia="宋体" w:hint="eastAsia"/>
              </w:rPr>
              <w:t>固废转交协议费用</w:t>
            </w:r>
          </w:p>
        </w:tc>
      </w:tr>
      <w:tr w:rsidR="00C60999" w:rsidRPr="002B55E9" w14:paraId="0B8B3E71" w14:textId="77777777" w:rsidTr="00712630">
        <w:trPr>
          <w:trHeight w:val="283"/>
        </w:trPr>
        <w:tc>
          <w:tcPr>
            <w:tcW w:w="1293" w:type="dxa"/>
          </w:tcPr>
          <w:p w14:paraId="3033B5A7" w14:textId="77777777" w:rsidR="00D170E5" w:rsidRPr="002B55E9" w:rsidRDefault="00EF27AD">
            <w:pPr>
              <w:pStyle w:val="lgy-"/>
            </w:pPr>
            <w:r w:rsidRPr="002B55E9">
              <w:rPr>
                <w:rFonts w:eastAsia="宋体" w:hint="eastAsia"/>
              </w:rPr>
              <w:t>4</w:t>
            </w:r>
          </w:p>
        </w:tc>
        <w:tc>
          <w:tcPr>
            <w:tcW w:w="2609" w:type="dxa"/>
          </w:tcPr>
          <w:p w14:paraId="4ACC93F2" w14:textId="77777777" w:rsidR="00D170E5" w:rsidRPr="002B55E9" w:rsidRDefault="00EF27AD">
            <w:pPr>
              <w:pStyle w:val="lgy-"/>
            </w:pPr>
            <w:r w:rsidRPr="002B55E9">
              <w:rPr>
                <w:rFonts w:eastAsia="宋体" w:hint="eastAsia"/>
              </w:rPr>
              <w:t>其他环保设施</w:t>
            </w:r>
          </w:p>
        </w:tc>
        <w:tc>
          <w:tcPr>
            <w:tcW w:w="2370" w:type="dxa"/>
          </w:tcPr>
          <w:p w14:paraId="2554814F" w14:textId="77777777" w:rsidR="00D170E5" w:rsidRPr="002B55E9" w:rsidRDefault="00EF27AD">
            <w:pPr>
              <w:pStyle w:val="lgy-"/>
            </w:pPr>
            <w:r w:rsidRPr="002B55E9">
              <w:rPr>
                <w:rFonts w:eastAsia="宋体" w:hint="eastAsia"/>
              </w:rPr>
              <w:t>10</w:t>
            </w:r>
          </w:p>
        </w:tc>
        <w:tc>
          <w:tcPr>
            <w:tcW w:w="3365" w:type="dxa"/>
          </w:tcPr>
          <w:p w14:paraId="35F177BC" w14:textId="77777777" w:rsidR="00D170E5" w:rsidRPr="002B55E9" w:rsidRDefault="00EF27AD">
            <w:pPr>
              <w:pStyle w:val="lgy-"/>
              <w:rPr>
                <w:rFonts w:eastAsia="宋体"/>
              </w:rPr>
            </w:pPr>
            <w:r w:rsidRPr="002B55E9">
              <w:rPr>
                <w:rFonts w:eastAsia="宋体" w:hint="eastAsia"/>
              </w:rPr>
              <w:t>设备折旧更换，环保管理等</w:t>
            </w:r>
          </w:p>
        </w:tc>
      </w:tr>
      <w:tr w:rsidR="00C60999" w:rsidRPr="002B55E9" w14:paraId="237E27F0" w14:textId="77777777" w:rsidTr="00712630">
        <w:trPr>
          <w:trHeight w:val="283"/>
        </w:trPr>
        <w:tc>
          <w:tcPr>
            <w:tcW w:w="3902" w:type="dxa"/>
            <w:gridSpan w:val="2"/>
          </w:tcPr>
          <w:p w14:paraId="77E7320A" w14:textId="77777777" w:rsidR="00D170E5" w:rsidRPr="002B55E9" w:rsidRDefault="00EF27AD">
            <w:pPr>
              <w:pStyle w:val="lgy-"/>
            </w:pPr>
            <w:r w:rsidRPr="002B55E9">
              <w:rPr>
                <w:rFonts w:eastAsia="宋体" w:hint="eastAsia"/>
              </w:rPr>
              <w:t>合计</w:t>
            </w:r>
          </w:p>
        </w:tc>
        <w:tc>
          <w:tcPr>
            <w:tcW w:w="2370" w:type="dxa"/>
          </w:tcPr>
          <w:p w14:paraId="7B77A44A" w14:textId="77777777" w:rsidR="00D170E5" w:rsidRPr="002B55E9" w:rsidRDefault="00EF27AD">
            <w:pPr>
              <w:pStyle w:val="lgy-"/>
            </w:pPr>
            <w:r w:rsidRPr="002B55E9">
              <w:fldChar w:fldCharType="begin"/>
            </w:r>
            <w:r w:rsidRPr="002B55E9">
              <w:rPr>
                <w:rFonts w:eastAsia="宋体"/>
              </w:rPr>
              <w:instrText xml:space="preserve"> =SUM(ABOVE) </w:instrText>
            </w:r>
            <w:r w:rsidRPr="002B55E9">
              <w:fldChar w:fldCharType="separate"/>
            </w:r>
            <w:r w:rsidRPr="002B55E9">
              <w:rPr>
                <w:rFonts w:eastAsia="宋体"/>
              </w:rPr>
              <w:t>120</w:t>
            </w:r>
            <w:r w:rsidRPr="002B55E9">
              <w:fldChar w:fldCharType="end"/>
            </w:r>
          </w:p>
        </w:tc>
        <w:tc>
          <w:tcPr>
            <w:tcW w:w="3365" w:type="dxa"/>
          </w:tcPr>
          <w:p w14:paraId="37E6920F" w14:textId="77777777" w:rsidR="00D170E5" w:rsidRPr="002B55E9" w:rsidRDefault="00EF27AD">
            <w:pPr>
              <w:pStyle w:val="lgy-"/>
              <w:rPr>
                <w:rFonts w:eastAsia="宋体"/>
              </w:rPr>
            </w:pPr>
            <w:r w:rsidRPr="002B55E9">
              <w:rPr>
                <w:rFonts w:eastAsia="宋体" w:hint="eastAsia"/>
              </w:rPr>
              <w:t>/</w:t>
            </w:r>
          </w:p>
        </w:tc>
      </w:tr>
    </w:tbl>
    <w:p w14:paraId="39CED78A" w14:textId="77777777" w:rsidR="00D170E5" w:rsidRPr="002B55E9" w:rsidRDefault="00EF27AD">
      <w:pPr>
        <w:pStyle w:val="aa"/>
        <w:rPr>
          <w:spacing w:val="6"/>
        </w:rPr>
      </w:pPr>
      <w:r w:rsidRPr="002B55E9">
        <w:rPr>
          <w:rFonts w:hint="eastAsia"/>
          <w:spacing w:val="6"/>
        </w:rPr>
        <w:t>工程环保设备年运行费用</w:t>
      </w:r>
      <w:r w:rsidRPr="002B55E9">
        <w:rPr>
          <w:spacing w:val="6"/>
        </w:rPr>
        <w:t>120</w:t>
      </w:r>
      <w:r w:rsidRPr="002B55E9">
        <w:rPr>
          <w:rFonts w:hint="eastAsia"/>
          <w:spacing w:val="6"/>
        </w:rPr>
        <w:t>万元</w:t>
      </w:r>
      <w:r w:rsidRPr="002B55E9">
        <w:rPr>
          <w:rFonts w:hint="eastAsia"/>
          <w:spacing w:val="6"/>
        </w:rPr>
        <w:t>/</w:t>
      </w:r>
      <w:r w:rsidRPr="002B55E9">
        <w:rPr>
          <w:rFonts w:hint="eastAsia"/>
          <w:spacing w:val="6"/>
        </w:rPr>
        <w:t>年，占项目投资占比低，企业可以承受。</w:t>
      </w:r>
    </w:p>
    <w:p w14:paraId="4F2F8932" w14:textId="77777777" w:rsidR="00D170E5" w:rsidRPr="002B55E9" w:rsidRDefault="00EF27AD">
      <w:pPr>
        <w:pStyle w:val="aa"/>
      </w:pPr>
      <w:r w:rsidRPr="002B55E9">
        <w:t>从以上损益分析来看，环境经济损失主要为环保措施费用和环境质量损失，为一次性或短期的环境经济损失，可以通过项目实施产生的经济效益和削减周边污染源来弥补损失，且不存在建设征地等不可逆环境经济损失，拟建项目环境、社会、经济效益均较明显，符合环境效益、社会效益、经济效益同步增长原则。</w:t>
      </w:r>
    </w:p>
    <w:p w14:paraId="6DAF289D" w14:textId="77777777" w:rsidR="00D170E5" w:rsidRPr="002B55E9" w:rsidRDefault="00D170E5">
      <w:pPr>
        <w:pStyle w:val="aa"/>
        <w:rPr>
          <w:szCs w:val="28"/>
        </w:rPr>
      </w:pPr>
    </w:p>
    <w:p w14:paraId="73B60CFD" w14:textId="77777777" w:rsidR="00D170E5" w:rsidRPr="002B55E9" w:rsidRDefault="00D170E5">
      <w:pPr>
        <w:pStyle w:val="affff7"/>
        <w:rPr>
          <w:szCs w:val="28"/>
        </w:rPr>
        <w:sectPr w:rsidR="00D170E5" w:rsidRPr="002B55E9">
          <w:headerReference w:type="default" r:id="rId113"/>
          <w:pgSz w:w="11905" w:h="16838"/>
          <w:pgMar w:top="1134" w:right="1134" w:bottom="1134" w:left="1134" w:header="737" w:footer="624" w:gutter="0"/>
          <w:cols w:space="720"/>
          <w:docGrid w:linePitch="312"/>
        </w:sectPr>
      </w:pPr>
    </w:p>
    <w:p w14:paraId="2A1D2CCA" w14:textId="77777777" w:rsidR="00D170E5" w:rsidRPr="002B55E9" w:rsidRDefault="00EF27AD">
      <w:pPr>
        <w:pStyle w:val="2"/>
        <w:keepNext/>
        <w:pageBreakBefore/>
      </w:pPr>
      <w:bookmarkStart w:id="340" w:name="_Toc119309036"/>
      <w:bookmarkStart w:id="341" w:name="_Toc234125315"/>
      <w:r w:rsidRPr="002B55E9">
        <w:rPr>
          <w:snapToGrid w:val="0"/>
          <w:szCs w:val="28"/>
        </w:rPr>
        <w:lastRenderedPageBreak/>
        <w:t>环境管理和环境</w:t>
      </w:r>
      <w:r w:rsidRPr="002B55E9">
        <w:rPr>
          <w:rFonts w:hint="eastAsia"/>
          <w:snapToGrid w:val="0"/>
          <w:szCs w:val="28"/>
        </w:rPr>
        <w:t>监测</w:t>
      </w:r>
      <w:r w:rsidRPr="002B55E9">
        <w:rPr>
          <w:snapToGrid w:val="0"/>
          <w:szCs w:val="28"/>
        </w:rPr>
        <w:t>计划</w:t>
      </w:r>
      <w:bookmarkEnd w:id="340"/>
      <w:bookmarkEnd w:id="341"/>
    </w:p>
    <w:p w14:paraId="3C4C03FF" w14:textId="77777777" w:rsidR="00D170E5" w:rsidRPr="002B55E9" w:rsidRDefault="00EF27AD">
      <w:pPr>
        <w:pStyle w:val="affff7"/>
      </w:pPr>
      <w:bookmarkStart w:id="342" w:name="_Toc169616605"/>
      <w:bookmarkStart w:id="343" w:name="_Toc124238129"/>
      <w:bookmarkStart w:id="344" w:name="_Toc77098277"/>
      <w:r w:rsidRPr="002B55E9">
        <w:t>项目在建设和运行过程中，会对周围环境造成一定的影响，应建立比较合理环境管理体制和管理机构，采取相应的环境保护措施减轻和消除不利的环境影响。项目在施工期和运行期，应实行环境监测，以验证环境影响的实际情况和环境保护措施的效果，以便更好地保护环境，为项目环境管理提供依据，更大地发挥工程建设的社会经济效益。</w:t>
      </w:r>
    </w:p>
    <w:p w14:paraId="4B421378" w14:textId="77777777" w:rsidR="00D170E5" w:rsidRPr="002B55E9" w:rsidRDefault="00EF27AD">
      <w:pPr>
        <w:pStyle w:val="3"/>
      </w:pPr>
      <w:bookmarkStart w:id="345" w:name="_Toc22874627"/>
      <w:bookmarkStart w:id="346" w:name="_Toc196755167"/>
      <w:bookmarkStart w:id="347" w:name="_Toc227059240"/>
      <w:bookmarkStart w:id="348" w:name="_Toc227059324"/>
      <w:bookmarkStart w:id="349" w:name="_Toc247186218"/>
      <w:bookmarkStart w:id="350" w:name="_Toc119309037"/>
      <w:r w:rsidRPr="002B55E9">
        <w:t>环境监测计划</w:t>
      </w:r>
      <w:bookmarkEnd w:id="345"/>
      <w:bookmarkEnd w:id="346"/>
      <w:bookmarkEnd w:id="347"/>
      <w:bookmarkEnd w:id="348"/>
      <w:bookmarkEnd w:id="349"/>
      <w:bookmarkEnd w:id="350"/>
    </w:p>
    <w:p w14:paraId="40F1C786" w14:textId="77777777" w:rsidR="00D170E5" w:rsidRPr="002B55E9" w:rsidRDefault="00EF27AD">
      <w:pPr>
        <w:pStyle w:val="4"/>
        <w:rPr>
          <w:color w:val="auto"/>
        </w:rPr>
      </w:pPr>
      <w:r w:rsidRPr="002B55E9">
        <w:rPr>
          <w:color w:val="auto"/>
        </w:rPr>
        <w:t>施工期环境监测计划</w:t>
      </w:r>
    </w:p>
    <w:p w14:paraId="16802CDC" w14:textId="77777777" w:rsidR="00D170E5" w:rsidRPr="002B55E9" w:rsidRDefault="00EF27AD">
      <w:pPr>
        <w:pStyle w:val="5"/>
      </w:pPr>
      <w:bookmarkStart w:id="351" w:name="_Toc22874629"/>
      <w:r w:rsidRPr="002B55E9">
        <w:t>施工期环境影响监测</w:t>
      </w:r>
      <w:bookmarkEnd w:id="351"/>
    </w:p>
    <w:p w14:paraId="4E45AAD8" w14:textId="77777777" w:rsidR="00D170E5" w:rsidRPr="002B55E9" w:rsidRDefault="00EF27AD">
      <w:pPr>
        <w:pStyle w:val="affff7"/>
      </w:pPr>
      <w:r w:rsidRPr="002B55E9">
        <w:t>工程施工的承包合同中，应该包括有关环境保护的条款，如施工机械、施工方法、施工进度安排，最少交通阻断安排、施工设备的废气、噪声排放强度等环境保护目标及措施等。施工期的环境保护监测，在于监督有关环保条款的执行情况，了解在施工过程中施工设备、施工方法对生态环境造成的影响，以保证施工场地邻近居民的生活不受严重干扰。</w:t>
      </w:r>
    </w:p>
    <w:p w14:paraId="61B7FFC7" w14:textId="77777777" w:rsidR="00D170E5" w:rsidRPr="002B55E9" w:rsidRDefault="00EF27AD">
      <w:pPr>
        <w:pStyle w:val="affff7"/>
      </w:pPr>
      <w:r w:rsidRPr="002B55E9">
        <w:t>工程施工期的环境监测应重视砂石和泥土运输对周围居民生活和生产造成的影响，如扬尘、积水和泥泞等，一旦发现应该立即消除。主要噪声发生设备在使用之初，都应实际测定其噪声发生强度以及判断对居民的影响。如发生实际噪声强度大于预定值时，应改换施工设备，改变施工时间，采取防噪设施等。这些监测结果均应加以整理并记录在案，以便进行施工期的环境管理。</w:t>
      </w:r>
    </w:p>
    <w:p w14:paraId="6ADC50EE" w14:textId="77777777" w:rsidR="00D170E5" w:rsidRPr="002B55E9" w:rsidRDefault="00EF27AD">
      <w:pPr>
        <w:pStyle w:val="5"/>
      </w:pPr>
      <w:bookmarkStart w:id="352" w:name="_Toc22874630"/>
      <w:r w:rsidRPr="002B55E9">
        <w:t>施工现场环境恢复监测</w:t>
      </w:r>
      <w:bookmarkEnd w:id="352"/>
    </w:p>
    <w:p w14:paraId="211999EC" w14:textId="77777777" w:rsidR="00D170E5" w:rsidRPr="002B55E9" w:rsidRDefault="00EF27AD">
      <w:pPr>
        <w:pStyle w:val="affff7"/>
      </w:pPr>
      <w:r w:rsidRPr="002B55E9">
        <w:t>工程建成投入运行之前，应全面检查施工现场的环境恢复情况，施工单位应及时撤出占用场地，拆除临时设施，恢复被破坏的地面和建筑物，恢复绿地等，使工程以整洁、美好和崭新的面貌投入运行。</w:t>
      </w:r>
    </w:p>
    <w:p w14:paraId="6E32B618" w14:textId="77777777" w:rsidR="00D170E5" w:rsidRPr="002B55E9" w:rsidRDefault="00EF27AD">
      <w:pPr>
        <w:pStyle w:val="5"/>
      </w:pPr>
      <w:r w:rsidRPr="002B55E9">
        <w:t>施工期环境监理</w:t>
      </w:r>
    </w:p>
    <w:p w14:paraId="2A809BE0" w14:textId="77777777" w:rsidR="00D170E5" w:rsidRPr="002B55E9" w:rsidRDefault="00EF27AD">
      <w:pPr>
        <w:pStyle w:val="affff7"/>
      </w:pPr>
      <w:r w:rsidRPr="002B55E9">
        <w:t>实施环境监理制度是环境管理的重要环节。由建设单位</w:t>
      </w:r>
      <w:r w:rsidRPr="002B55E9">
        <w:t>(</w:t>
      </w:r>
      <w:r w:rsidRPr="002B55E9">
        <w:t>甲方</w:t>
      </w:r>
      <w:r w:rsidRPr="002B55E9">
        <w:t>)</w:t>
      </w:r>
      <w:r w:rsidRPr="002B55E9">
        <w:t>聘请有资质的环境监理机构</w:t>
      </w:r>
      <w:r w:rsidRPr="002B55E9">
        <w:t>(</w:t>
      </w:r>
      <w:r w:rsidRPr="002B55E9">
        <w:t>第三方</w:t>
      </w:r>
      <w:r w:rsidRPr="002B55E9">
        <w:t>)</w:t>
      </w:r>
      <w:r w:rsidRPr="002B55E9">
        <w:t>对施工单位、承包商、供应商</w:t>
      </w:r>
      <w:r w:rsidRPr="002B55E9">
        <w:t>(</w:t>
      </w:r>
      <w:r w:rsidRPr="002B55E9">
        <w:t>统称乙方</w:t>
      </w:r>
      <w:r w:rsidRPr="002B55E9">
        <w:t>)</w:t>
      </w:r>
      <w:r w:rsidRPr="002B55E9">
        <w:t>执协助甲方落实施工期间的各项环境保护合同条款和防议，确保本项目的建设符合国家环保法规的要求。</w:t>
      </w:r>
    </w:p>
    <w:p w14:paraId="22E89C3F" w14:textId="77777777" w:rsidR="00D170E5" w:rsidRPr="002B55E9" w:rsidRDefault="00EF27AD">
      <w:pPr>
        <w:pStyle w:val="4"/>
        <w:rPr>
          <w:color w:val="auto"/>
        </w:rPr>
      </w:pPr>
      <w:r w:rsidRPr="002B55E9">
        <w:rPr>
          <w:color w:val="auto"/>
        </w:rPr>
        <w:t>营运期</w:t>
      </w:r>
      <w:r w:rsidRPr="002B55E9">
        <w:rPr>
          <w:rFonts w:hint="eastAsia"/>
          <w:color w:val="auto"/>
        </w:rPr>
        <w:t>污染源</w:t>
      </w:r>
      <w:r w:rsidRPr="002B55E9">
        <w:rPr>
          <w:color w:val="auto"/>
        </w:rPr>
        <w:t>监测计划</w:t>
      </w:r>
    </w:p>
    <w:p w14:paraId="50BED562" w14:textId="77777777" w:rsidR="00D170E5" w:rsidRPr="002B55E9" w:rsidRDefault="00EF27AD">
      <w:pPr>
        <w:pStyle w:val="5"/>
      </w:pPr>
      <w:r w:rsidRPr="002B55E9">
        <w:lastRenderedPageBreak/>
        <w:t>废气监测</w:t>
      </w:r>
    </w:p>
    <w:p w14:paraId="440CE8CB" w14:textId="77777777" w:rsidR="00D170E5" w:rsidRPr="002B55E9" w:rsidRDefault="00EF27AD">
      <w:pPr>
        <w:pStyle w:val="affff7"/>
        <w:snapToGrid w:val="0"/>
        <w:spacing w:after="0"/>
      </w:pPr>
      <w:r w:rsidRPr="002B55E9">
        <w:t>根据本项目生产特点和污染物的排放特征，</w:t>
      </w:r>
      <w:r w:rsidRPr="002B55E9">
        <w:rPr>
          <w:rFonts w:hint="eastAsia"/>
        </w:rPr>
        <w:t>参照</w:t>
      </w:r>
      <w:r w:rsidRPr="002B55E9">
        <w:t>《排污单位自行监测技术指南</w:t>
      </w:r>
      <w:r w:rsidRPr="002B55E9">
        <w:t xml:space="preserve">  </w:t>
      </w:r>
      <w:r w:rsidRPr="002B55E9">
        <w:t>总则》</w:t>
      </w:r>
      <w:r w:rsidRPr="002B55E9">
        <w:rPr>
          <w:rFonts w:hint="eastAsia"/>
        </w:rPr>
        <w:t>（</w:t>
      </w:r>
      <w:r w:rsidRPr="002B55E9">
        <w:rPr>
          <w:rFonts w:hint="eastAsia"/>
        </w:rPr>
        <w:t>HJ819-2017</w:t>
      </w:r>
      <w:r w:rsidRPr="002B55E9">
        <w:rPr>
          <w:rFonts w:hint="eastAsia"/>
        </w:rPr>
        <w:t>）</w:t>
      </w:r>
      <w:r w:rsidRPr="002B55E9">
        <w:t>、</w:t>
      </w:r>
      <w:r w:rsidRPr="002B55E9">
        <w:rPr>
          <w:rFonts w:hint="eastAsia"/>
        </w:rPr>
        <w:t>《排污许可申请与核发技术规范</w:t>
      </w:r>
      <w:r w:rsidRPr="002B55E9">
        <w:rPr>
          <w:rFonts w:hint="eastAsia"/>
        </w:rPr>
        <w:t xml:space="preserve"> </w:t>
      </w:r>
      <w:r w:rsidRPr="002B55E9">
        <w:rPr>
          <w:rFonts w:hint="eastAsia"/>
        </w:rPr>
        <w:t>食品</w:t>
      </w:r>
      <w:r w:rsidRPr="002B55E9">
        <w:t>制造工业</w:t>
      </w:r>
      <w:r w:rsidRPr="002B55E9">
        <w:t>—</w:t>
      </w:r>
      <w:r w:rsidRPr="002B55E9">
        <w:rPr>
          <w:rFonts w:hint="eastAsia"/>
        </w:rPr>
        <w:t>调味品</w:t>
      </w:r>
      <w:r w:rsidRPr="002B55E9">
        <w:t>、发酵制品制造工业</w:t>
      </w:r>
      <w:r w:rsidRPr="002B55E9">
        <w:rPr>
          <w:rFonts w:hint="eastAsia"/>
        </w:rPr>
        <w:t>》（</w:t>
      </w:r>
      <w:r w:rsidRPr="002B55E9">
        <w:rPr>
          <w:rFonts w:hint="eastAsia"/>
        </w:rPr>
        <w:t>HJ1030.2-2019</w:t>
      </w:r>
      <w:r w:rsidRPr="002B55E9">
        <w:rPr>
          <w:rFonts w:hint="eastAsia"/>
        </w:rPr>
        <w:t>）、《排污单位自行监测技术指南</w:t>
      </w:r>
      <w:r w:rsidRPr="002B55E9">
        <w:rPr>
          <w:rFonts w:hint="eastAsia"/>
        </w:rPr>
        <w:t xml:space="preserve"> </w:t>
      </w:r>
      <w:r w:rsidRPr="002B55E9">
        <w:rPr>
          <w:rFonts w:hint="eastAsia"/>
        </w:rPr>
        <w:t>食品制造》（</w:t>
      </w:r>
      <w:r w:rsidRPr="002B55E9">
        <w:rPr>
          <w:rFonts w:hint="eastAsia"/>
        </w:rPr>
        <w:t>HJ 1084</w:t>
      </w:r>
      <w:r w:rsidRPr="002B55E9">
        <w:rPr>
          <w:rFonts w:hint="eastAsia"/>
        </w:rPr>
        <w:t>—</w:t>
      </w:r>
      <w:r w:rsidRPr="002B55E9">
        <w:rPr>
          <w:rFonts w:hint="eastAsia"/>
        </w:rPr>
        <w:t>2020</w:t>
      </w:r>
      <w:r w:rsidRPr="002B55E9">
        <w:rPr>
          <w:rFonts w:hint="eastAsia"/>
        </w:rPr>
        <w:t>）、</w:t>
      </w:r>
      <w:r w:rsidRPr="002B55E9">
        <w:t>国家颁布的环境质量标准、污染物排放标准及当地环保部门的要求，制定本项目的监测计划和工作方案，拟建项目污染源监测计划见下表。</w:t>
      </w:r>
    </w:p>
    <w:p w14:paraId="3E4B8591" w14:textId="77777777" w:rsidR="00D170E5" w:rsidRPr="002B55E9" w:rsidRDefault="00EF27AD">
      <w:pPr>
        <w:pStyle w:val="affff7"/>
        <w:snapToGrid w:val="0"/>
        <w:spacing w:after="0"/>
      </w:pPr>
      <w:r w:rsidRPr="002B55E9">
        <w:t>（</w:t>
      </w:r>
      <w:r w:rsidRPr="002B55E9">
        <w:t>1</w:t>
      </w:r>
      <w:r w:rsidRPr="002B55E9">
        <w:t>）监测点的确定</w:t>
      </w:r>
    </w:p>
    <w:p w14:paraId="724FF300" w14:textId="0DAE0D58" w:rsidR="00D170E5" w:rsidRPr="002B55E9" w:rsidRDefault="00EF27AD">
      <w:pPr>
        <w:pStyle w:val="affff7"/>
        <w:snapToGrid w:val="0"/>
        <w:spacing w:after="0"/>
      </w:pPr>
      <w:r w:rsidRPr="002B55E9">
        <w:t>根据厂区内污染物排放方式，设定废气有组织、无组织污染源监测，本工程对废气排气筒中</w:t>
      </w:r>
      <w:r w:rsidR="00924AFA" w:rsidRPr="002B55E9">
        <w:rPr>
          <w:rFonts w:hint="eastAsia"/>
        </w:rPr>
        <w:t>非甲烷总烃</w:t>
      </w:r>
      <w:r w:rsidRPr="002B55E9">
        <w:t>等污染物监测的采样点数目及采样点位置、采样孔设置按</w:t>
      </w:r>
      <w:r w:rsidRPr="002B55E9">
        <w:t>GB/T16157</w:t>
      </w:r>
      <w:r w:rsidRPr="002B55E9">
        <w:t>、</w:t>
      </w:r>
      <w:r w:rsidRPr="002B55E9">
        <w:t>HJ/T-397</w:t>
      </w:r>
      <w:r w:rsidRPr="002B55E9">
        <w:t>或</w:t>
      </w:r>
      <w:r w:rsidRPr="002B55E9">
        <w:t>HJ/T-75</w:t>
      </w:r>
      <w:r w:rsidRPr="002B55E9">
        <w:t>执行。</w:t>
      </w:r>
    </w:p>
    <w:p w14:paraId="002A335A" w14:textId="77777777" w:rsidR="00D170E5" w:rsidRPr="002B55E9" w:rsidRDefault="00EF27AD">
      <w:pPr>
        <w:pStyle w:val="affff7"/>
        <w:snapToGrid w:val="0"/>
        <w:spacing w:after="0"/>
      </w:pPr>
      <w:r w:rsidRPr="002B55E9">
        <w:t>（</w:t>
      </w:r>
      <w:r w:rsidRPr="002B55E9">
        <w:t>2</w:t>
      </w:r>
      <w:r w:rsidRPr="002B55E9">
        <w:t>）监测项目</w:t>
      </w:r>
      <w:r w:rsidRPr="002B55E9">
        <w:tab/>
      </w:r>
    </w:p>
    <w:p w14:paraId="6E00A9FB" w14:textId="77777777" w:rsidR="00D170E5" w:rsidRPr="002B55E9" w:rsidRDefault="00EF27AD">
      <w:pPr>
        <w:pStyle w:val="affff7"/>
        <w:snapToGrid w:val="0"/>
        <w:spacing w:after="0"/>
      </w:pPr>
      <w:r w:rsidRPr="002B55E9">
        <w:t>监测项目见表</w:t>
      </w:r>
      <w:r w:rsidRPr="002B55E9">
        <w:rPr>
          <w:rFonts w:hint="eastAsia"/>
        </w:rPr>
        <w:t>11-1-1</w:t>
      </w:r>
      <w:r w:rsidRPr="002B55E9">
        <w:rPr>
          <w:rFonts w:hint="eastAsia"/>
        </w:rPr>
        <w:t>。</w:t>
      </w:r>
    </w:p>
    <w:p w14:paraId="2A85FB6C" w14:textId="77777777" w:rsidR="00D170E5" w:rsidRPr="002B55E9" w:rsidRDefault="00EF27AD">
      <w:pPr>
        <w:pStyle w:val="affff7"/>
        <w:snapToGrid w:val="0"/>
        <w:spacing w:after="0"/>
      </w:pPr>
      <w:r w:rsidRPr="002B55E9">
        <w:t>（</w:t>
      </w:r>
      <w:r w:rsidRPr="002B55E9">
        <w:t>3</w:t>
      </w:r>
      <w:r w:rsidRPr="002B55E9">
        <w:t>）采样频次</w:t>
      </w:r>
    </w:p>
    <w:p w14:paraId="710B1C0C" w14:textId="77777777" w:rsidR="00D170E5" w:rsidRPr="002B55E9" w:rsidRDefault="00EF27AD">
      <w:pPr>
        <w:pStyle w:val="affff7"/>
        <w:snapToGrid w:val="0"/>
        <w:spacing w:after="0"/>
      </w:pPr>
      <w:bookmarkStart w:id="353" w:name="_Hlk42966881"/>
      <w:r w:rsidRPr="002B55E9">
        <w:rPr>
          <w:rFonts w:hint="eastAsia"/>
        </w:rPr>
        <w:t>参照</w:t>
      </w:r>
      <w:bookmarkEnd w:id="353"/>
      <w:r w:rsidRPr="002B55E9">
        <w:t>《排污单位自行监测技术指南</w:t>
      </w:r>
      <w:r w:rsidRPr="002B55E9">
        <w:t xml:space="preserve">  </w:t>
      </w:r>
      <w:r w:rsidRPr="002B55E9">
        <w:t>总则》</w:t>
      </w:r>
      <w:r w:rsidRPr="002B55E9">
        <w:rPr>
          <w:rFonts w:hint="eastAsia"/>
        </w:rPr>
        <w:t>（</w:t>
      </w:r>
      <w:r w:rsidRPr="002B55E9">
        <w:rPr>
          <w:rFonts w:hint="eastAsia"/>
        </w:rPr>
        <w:t>HJ819-2017</w:t>
      </w:r>
      <w:r w:rsidRPr="002B55E9">
        <w:rPr>
          <w:rFonts w:hint="eastAsia"/>
        </w:rPr>
        <w:t>）</w:t>
      </w:r>
      <w:r w:rsidRPr="002B55E9">
        <w:t>、</w:t>
      </w:r>
      <w:r w:rsidRPr="002B55E9">
        <w:rPr>
          <w:rFonts w:hint="eastAsia"/>
        </w:rPr>
        <w:t>《排污许可申请与核发技术规范</w:t>
      </w:r>
      <w:r w:rsidRPr="002B55E9">
        <w:rPr>
          <w:rFonts w:hint="eastAsia"/>
        </w:rPr>
        <w:t xml:space="preserve"> </w:t>
      </w:r>
      <w:r w:rsidRPr="002B55E9">
        <w:rPr>
          <w:rFonts w:hint="eastAsia"/>
        </w:rPr>
        <w:t>食品</w:t>
      </w:r>
      <w:r w:rsidRPr="002B55E9">
        <w:t>制造工业</w:t>
      </w:r>
      <w:r w:rsidRPr="002B55E9">
        <w:t>—</w:t>
      </w:r>
      <w:r w:rsidRPr="002B55E9">
        <w:rPr>
          <w:rFonts w:hint="eastAsia"/>
        </w:rPr>
        <w:t>调味品</w:t>
      </w:r>
      <w:r w:rsidRPr="002B55E9">
        <w:t>、发酵制品制造工业</w:t>
      </w:r>
      <w:r w:rsidRPr="002B55E9">
        <w:rPr>
          <w:rFonts w:hint="eastAsia"/>
        </w:rPr>
        <w:t>》（</w:t>
      </w:r>
      <w:r w:rsidRPr="002B55E9">
        <w:rPr>
          <w:rFonts w:hint="eastAsia"/>
        </w:rPr>
        <w:t>HJ1030.2-2019</w:t>
      </w:r>
      <w:r w:rsidRPr="002B55E9">
        <w:rPr>
          <w:rFonts w:hint="eastAsia"/>
        </w:rPr>
        <w:t>）、《排污单位自行监测技术指南</w:t>
      </w:r>
      <w:r w:rsidRPr="002B55E9">
        <w:rPr>
          <w:rFonts w:hint="eastAsia"/>
        </w:rPr>
        <w:t xml:space="preserve"> </w:t>
      </w:r>
      <w:r w:rsidRPr="002B55E9">
        <w:rPr>
          <w:rFonts w:hint="eastAsia"/>
        </w:rPr>
        <w:t>食品制造》（</w:t>
      </w:r>
      <w:r w:rsidRPr="002B55E9">
        <w:rPr>
          <w:rFonts w:hint="eastAsia"/>
        </w:rPr>
        <w:t>HJ 1084-2020</w:t>
      </w:r>
      <w:r w:rsidRPr="002B55E9">
        <w:rPr>
          <w:rFonts w:hint="eastAsia"/>
        </w:rPr>
        <w:t>）</w:t>
      </w:r>
      <w:r w:rsidRPr="002B55E9">
        <w:t>及各污染物排放标准等要求监测频次进行自行监测。</w:t>
      </w:r>
    </w:p>
    <w:p w14:paraId="523FF2F1" w14:textId="77777777" w:rsidR="00D170E5" w:rsidRPr="002B55E9" w:rsidRDefault="00EF27AD">
      <w:pPr>
        <w:pStyle w:val="affff7"/>
        <w:snapToGrid w:val="0"/>
        <w:spacing w:after="0"/>
      </w:pPr>
      <w:r w:rsidRPr="002B55E9">
        <w:t>特殊情况下的采样时间和采样频次：若排气筒的排放为间歇性排放，排放时间小于</w:t>
      </w:r>
      <w:r w:rsidRPr="002B55E9">
        <w:t>1</w:t>
      </w:r>
      <w:r w:rsidRPr="002B55E9">
        <w:t>小时，应在排放时间段内实行连续采样，或在排放时段内以等时间间隔采集</w:t>
      </w:r>
      <w:r w:rsidRPr="002B55E9">
        <w:t>2~4</w:t>
      </w:r>
      <w:r w:rsidRPr="002B55E9">
        <w:t>个样品，并计平均值。</w:t>
      </w:r>
    </w:p>
    <w:p w14:paraId="7A57E7AE" w14:textId="77777777" w:rsidR="00D170E5" w:rsidRPr="002B55E9" w:rsidRDefault="00EF27AD">
      <w:pPr>
        <w:pStyle w:val="affff7"/>
        <w:snapToGrid w:val="0"/>
        <w:spacing w:after="0"/>
      </w:pPr>
      <w:r w:rsidRPr="002B55E9">
        <w:rPr>
          <w:rFonts w:hint="eastAsia"/>
        </w:rPr>
        <w:t>（</w:t>
      </w:r>
      <w:r w:rsidRPr="002B55E9">
        <w:rPr>
          <w:rFonts w:hint="eastAsia"/>
        </w:rPr>
        <w:t>4</w:t>
      </w:r>
      <w:r w:rsidRPr="002B55E9">
        <w:rPr>
          <w:rFonts w:hint="eastAsia"/>
        </w:rPr>
        <w:t>）监测计划</w:t>
      </w:r>
    </w:p>
    <w:p w14:paraId="19600024" w14:textId="77777777" w:rsidR="00D170E5" w:rsidRPr="002B55E9" w:rsidRDefault="00EF27AD">
      <w:pPr>
        <w:pStyle w:val="affff7"/>
      </w:pPr>
      <w:r w:rsidRPr="002B55E9">
        <w:rPr>
          <w:rFonts w:hint="eastAsia"/>
        </w:rPr>
        <w:t>拟建项目建成后全厂废气监测计划见下表所示：</w:t>
      </w:r>
    </w:p>
    <w:p w14:paraId="12F2175C" w14:textId="77777777" w:rsidR="00D170E5" w:rsidRPr="002B55E9" w:rsidRDefault="00EF27AD">
      <w:pPr>
        <w:pStyle w:val="1f3"/>
        <w:spacing w:beforeLines="0" w:before="0"/>
      </w:pPr>
      <w:r w:rsidRPr="002B55E9">
        <w:rPr>
          <w:rFonts w:hint="eastAsia"/>
        </w:rPr>
        <w:t>表</w:t>
      </w:r>
      <w:r w:rsidRPr="002B55E9">
        <w:rPr>
          <w:rFonts w:hint="eastAsia"/>
        </w:rPr>
        <w:t>1</w:t>
      </w:r>
      <w:r w:rsidRPr="002B55E9">
        <w:t xml:space="preserve">1-1-1  </w:t>
      </w:r>
      <w:r w:rsidRPr="002B55E9">
        <w:rPr>
          <w:rFonts w:hint="eastAsia"/>
        </w:rPr>
        <w:t>拟建项目建成后全厂废气监测计划一览表</w:t>
      </w:r>
    </w:p>
    <w:tbl>
      <w:tblPr>
        <w:tblStyle w:val="lgy2"/>
        <w:tblW w:w="5000" w:type="pct"/>
        <w:tblLayout w:type="fixed"/>
        <w:tblCellMar>
          <w:left w:w="28" w:type="dxa"/>
          <w:right w:w="28" w:type="dxa"/>
        </w:tblCellMar>
        <w:tblLook w:val="04A0" w:firstRow="1" w:lastRow="0" w:firstColumn="1" w:lastColumn="0" w:noHBand="0" w:noVBand="1"/>
      </w:tblPr>
      <w:tblGrid>
        <w:gridCol w:w="737"/>
        <w:gridCol w:w="2114"/>
        <w:gridCol w:w="5000"/>
        <w:gridCol w:w="1842"/>
      </w:tblGrid>
      <w:tr w:rsidR="00C60999" w:rsidRPr="002B55E9" w14:paraId="3E90E698" w14:textId="77777777" w:rsidTr="004C7F33">
        <w:trPr>
          <w:cnfStyle w:val="100000000000" w:firstRow="1" w:lastRow="0" w:firstColumn="0" w:lastColumn="0" w:oddVBand="0" w:evenVBand="0" w:oddHBand="0" w:evenHBand="0" w:firstRowFirstColumn="0" w:firstRowLastColumn="0" w:lastRowFirstColumn="0" w:lastRowLastColumn="0"/>
          <w:trHeight w:val="283"/>
        </w:trPr>
        <w:tc>
          <w:tcPr>
            <w:tcW w:w="2835" w:type="dxa"/>
            <w:gridSpan w:val="2"/>
          </w:tcPr>
          <w:p w14:paraId="6C76D353" w14:textId="77777777" w:rsidR="00D170E5" w:rsidRPr="002B55E9" w:rsidRDefault="00EF27AD" w:rsidP="00712630">
            <w:pPr>
              <w:pStyle w:val="lgy-"/>
            </w:pPr>
            <w:r w:rsidRPr="002B55E9">
              <w:rPr>
                <w:rFonts w:eastAsia="宋体" w:hint="eastAsia"/>
              </w:rPr>
              <w:t>监测点位</w:t>
            </w:r>
          </w:p>
        </w:tc>
        <w:tc>
          <w:tcPr>
            <w:tcW w:w="4971" w:type="dxa"/>
          </w:tcPr>
          <w:p w14:paraId="25960C1E" w14:textId="77777777" w:rsidR="00D170E5" w:rsidRPr="002B55E9" w:rsidRDefault="00EF27AD">
            <w:pPr>
              <w:pStyle w:val="lgy-"/>
            </w:pPr>
            <w:r w:rsidRPr="002B55E9">
              <w:rPr>
                <w:rFonts w:eastAsia="宋体" w:hint="eastAsia"/>
              </w:rPr>
              <w:t>指标</w:t>
            </w:r>
          </w:p>
        </w:tc>
        <w:tc>
          <w:tcPr>
            <w:tcW w:w="1831" w:type="dxa"/>
          </w:tcPr>
          <w:p w14:paraId="085BA335" w14:textId="77777777" w:rsidR="00D170E5" w:rsidRPr="002B55E9" w:rsidRDefault="00EF27AD">
            <w:pPr>
              <w:pStyle w:val="lgy-"/>
              <w:rPr>
                <w:rFonts w:eastAsia="宋体"/>
              </w:rPr>
            </w:pPr>
            <w:r w:rsidRPr="002B55E9">
              <w:rPr>
                <w:rFonts w:eastAsia="宋体"/>
              </w:rPr>
              <w:t>监测频次</w:t>
            </w:r>
          </w:p>
        </w:tc>
      </w:tr>
      <w:tr w:rsidR="00C60999" w:rsidRPr="002B55E9" w14:paraId="00DD7A82" w14:textId="77777777" w:rsidTr="004C7F33">
        <w:trPr>
          <w:trHeight w:val="283"/>
        </w:trPr>
        <w:tc>
          <w:tcPr>
            <w:tcW w:w="733" w:type="dxa"/>
            <w:vMerge w:val="restart"/>
          </w:tcPr>
          <w:p w14:paraId="57EB33DA" w14:textId="77777777" w:rsidR="00D170E5" w:rsidRPr="002B55E9" w:rsidRDefault="00EF27AD">
            <w:pPr>
              <w:pStyle w:val="lgy-"/>
            </w:pPr>
            <w:r w:rsidRPr="002B55E9">
              <w:rPr>
                <w:rFonts w:eastAsia="宋体" w:hint="eastAsia"/>
              </w:rPr>
              <w:t>有组织</w:t>
            </w:r>
          </w:p>
        </w:tc>
        <w:tc>
          <w:tcPr>
            <w:tcW w:w="2102" w:type="dxa"/>
          </w:tcPr>
          <w:p w14:paraId="75311BD7" w14:textId="77777777" w:rsidR="00D170E5" w:rsidRPr="002B55E9" w:rsidRDefault="00EF27AD">
            <w:pPr>
              <w:pStyle w:val="lgy-"/>
              <w:rPr>
                <w:szCs w:val="28"/>
              </w:rPr>
            </w:pPr>
            <w:r w:rsidRPr="002B55E9">
              <w:rPr>
                <w:rFonts w:eastAsia="宋体" w:hint="eastAsia"/>
                <w:szCs w:val="28"/>
              </w:rPr>
              <w:t>DA001</w:t>
            </w:r>
          </w:p>
        </w:tc>
        <w:tc>
          <w:tcPr>
            <w:tcW w:w="4971" w:type="dxa"/>
          </w:tcPr>
          <w:p w14:paraId="78060BA7" w14:textId="77777777" w:rsidR="00D170E5" w:rsidRPr="002B55E9" w:rsidRDefault="00EF27AD">
            <w:pPr>
              <w:pStyle w:val="lgy-"/>
            </w:pPr>
            <w:r w:rsidRPr="002B55E9">
              <w:rPr>
                <w:rFonts w:eastAsia="宋体" w:hint="eastAsia"/>
              </w:rPr>
              <w:t>颗粒物</w:t>
            </w:r>
          </w:p>
        </w:tc>
        <w:tc>
          <w:tcPr>
            <w:tcW w:w="1831" w:type="dxa"/>
          </w:tcPr>
          <w:p w14:paraId="1AF9EBF3" w14:textId="77777777" w:rsidR="00D170E5" w:rsidRPr="002B55E9" w:rsidRDefault="00EF27AD">
            <w:pPr>
              <w:pStyle w:val="lgy-"/>
              <w:rPr>
                <w:rFonts w:eastAsia="宋体"/>
              </w:rPr>
            </w:pPr>
            <w:r w:rsidRPr="002B55E9">
              <w:rPr>
                <w:rFonts w:eastAsia="宋体" w:hint="eastAsia"/>
              </w:rPr>
              <w:t>1</w:t>
            </w:r>
            <w:r w:rsidRPr="002B55E9">
              <w:rPr>
                <w:rFonts w:eastAsia="宋体" w:hint="eastAsia"/>
              </w:rPr>
              <w:t>次</w:t>
            </w:r>
            <w:r w:rsidRPr="002B55E9">
              <w:rPr>
                <w:rFonts w:eastAsia="宋体" w:hint="eastAsia"/>
              </w:rPr>
              <w:t>/</w:t>
            </w:r>
            <w:r w:rsidRPr="002B55E9">
              <w:rPr>
                <w:rFonts w:eastAsia="宋体" w:hint="eastAsia"/>
              </w:rPr>
              <w:t>半年</w:t>
            </w:r>
          </w:p>
        </w:tc>
      </w:tr>
      <w:tr w:rsidR="00C60999" w:rsidRPr="002B55E9" w14:paraId="0A5081A2" w14:textId="77777777" w:rsidTr="004C7F33">
        <w:trPr>
          <w:trHeight w:val="283"/>
        </w:trPr>
        <w:tc>
          <w:tcPr>
            <w:tcW w:w="733" w:type="dxa"/>
            <w:vMerge/>
          </w:tcPr>
          <w:p w14:paraId="4BB18DAA" w14:textId="77777777" w:rsidR="00D170E5" w:rsidRPr="002B55E9" w:rsidRDefault="00D170E5">
            <w:pPr>
              <w:pStyle w:val="lgy-"/>
            </w:pPr>
          </w:p>
        </w:tc>
        <w:tc>
          <w:tcPr>
            <w:tcW w:w="2102" w:type="dxa"/>
          </w:tcPr>
          <w:p w14:paraId="759494B0" w14:textId="77777777" w:rsidR="00D170E5" w:rsidRPr="002B55E9" w:rsidRDefault="00EF27AD">
            <w:pPr>
              <w:pStyle w:val="lgy-"/>
              <w:rPr>
                <w:szCs w:val="28"/>
              </w:rPr>
            </w:pPr>
            <w:r w:rsidRPr="002B55E9">
              <w:rPr>
                <w:rFonts w:eastAsia="宋体" w:hint="eastAsia"/>
                <w:szCs w:val="28"/>
              </w:rPr>
              <w:t>DA</w:t>
            </w:r>
            <w:r w:rsidRPr="002B55E9">
              <w:rPr>
                <w:rFonts w:eastAsia="宋体"/>
                <w:szCs w:val="28"/>
              </w:rPr>
              <w:t>002</w:t>
            </w:r>
          </w:p>
        </w:tc>
        <w:tc>
          <w:tcPr>
            <w:tcW w:w="4971" w:type="dxa"/>
          </w:tcPr>
          <w:p w14:paraId="601918C0" w14:textId="2E783A74" w:rsidR="00D170E5" w:rsidRPr="002B55E9" w:rsidRDefault="00EF27AD">
            <w:pPr>
              <w:pStyle w:val="lgy-"/>
            </w:pPr>
            <w:r w:rsidRPr="002B55E9">
              <w:rPr>
                <w:rFonts w:eastAsia="宋体" w:hint="eastAsia"/>
              </w:rPr>
              <w:t>NM</w:t>
            </w:r>
            <w:r w:rsidRPr="002B55E9">
              <w:rPr>
                <w:rFonts w:eastAsia="宋体"/>
              </w:rPr>
              <w:t>HC</w:t>
            </w:r>
            <w:r w:rsidR="00AB367E" w:rsidRPr="002B55E9">
              <w:rPr>
                <w:rFonts w:eastAsia="宋体" w:hint="eastAsia"/>
              </w:rPr>
              <w:t>、臭气浓度</w:t>
            </w:r>
          </w:p>
        </w:tc>
        <w:tc>
          <w:tcPr>
            <w:tcW w:w="1831" w:type="dxa"/>
          </w:tcPr>
          <w:p w14:paraId="3DD75E7C" w14:textId="77777777" w:rsidR="00D170E5" w:rsidRPr="002B55E9" w:rsidRDefault="00EF27AD">
            <w:pPr>
              <w:pStyle w:val="lgy-"/>
              <w:rPr>
                <w:rFonts w:eastAsia="宋体"/>
              </w:rPr>
            </w:pPr>
            <w:r w:rsidRPr="002B55E9">
              <w:rPr>
                <w:rFonts w:eastAsia="宋体" w:hint="eastAsia"/>
              </w:rPr>
              <w:t>1</w:t>
            </w:r>
            <w:r w:rsidRPr="002B55E9">
              <w:rPr>
                <w:rFonts w:eastAsia="宋体" w:hint="eastAsia"/>
              </w:rPr>
              <w:t>次</w:t>
            </w:r>
            <w:r w:rsidRPr="002B55E9">
              <w:rPr>
                <w:rFonts w:eastAsia="宋体" w:hint="eastAsia"/>
              </w:rPr>
              <w:t>/</w:t>
            </w:r>
            <w:r w:rsidRPr="002B55E9">
              <w:rPr>
                <w:rFonts w:eastAsia="宋体" w:hint="eastAsia"/>
              </w:rPr>
              <w:t>半年</w:t>
            </w:r>
          </w:p>
        </w:tc>
      </w:tr>
      <w:tr w:rsidR="00C60999" w:rsidRPr="002B55E9" w14:paraId="3DED5434" w14:textId="77777777" w:rsidTr="004C7F33">
        <w:trPr>
          <w:trHeight w:val="283"/>
        </w:trPr>
        <w:tc>
          <w:tcPr>
            <w:tcW w:w="733" w:type="dxa"/>
            <w:vMerge/>
          </w:tcPr>
          <w:p w14:paraId="4D89DB5F" w14:textId="77777777" w:rsidR="00D170E5" w:rsidRPr="002B55E9" w:rsidRDefault="00D170E5">
            <w:pPr>
              <w:pStyle w:val="lgy-"/>
              <w:rPr>
                <w:szCs w:val="28"/>
              </w:rPr>
            </w:pPr>
          </w:p>
        </w:tc>
        <w:tc>
          <w:tcPr>
            <w:tcW w:w="2102" w:type="dxa"/>
          </w:tcPr>
          <w:p w14:paraId="3CB1BC34" w14:textId="77777777" w:rsidR="00D170E5" w:rsidRPr="002B55E9" w:rsidRDefault="00EF27AD">
            <w:pPr>
              <w:pStyle w:val="lgy-"/>
              <w:rPr>
                <w:szCs w:val="28"/>
              </w:rPr>
            </w:pPr>
            <w:r w:rsidRPr="002B55E9">
              <w:rPr>
                <w:rFonts w:eastAsia="宋体" w:hint="eastAsia"/>
                <w:szCs w:val="28"/>
              </w:rPr>
              <w:t>DA</w:t>
            </w:r>
            <w:r w:rsidRPr="002B55E9">
              <w:rPr>
                <w:rFonts w:eastAsia="宋体"/>
                <w:szCs w:val="28"/>
              </w:rPr>
              <w:t>003</w:t>
            </w:r>
          </w:p>
        </w:tc>
        <w:tc>
          <w:tcPr>
            <w:tcW w:w="4971" w:type="dxa"/>
          </w:tcPr>
          <w:p w14:paraId="098DF7ED" w14:textId="77777777" w:rsidR="00D170E5" w:rsidRPr="002B55E9" w:rsidRDefault="00EF27AD">
            <w:pPr>
              <w:pStyle w:val="lgy-"/>
            </w:pPr>
            <w:r w:rsidRPr="002B55E9">
              <w:rPr>
                <w:rFonts w:eastAsia="宋体" w:hint="eastAsia"/>
              </w:rPr>
              <w:t>NM</w:t>
            </w:r>
            <w:r w:rsidRPr="002B55E9">
              <w:rPr>
                <w:rFonts w:eastAsia="宋体"/>
              </w:rPr>
              <w:t>HC</w:t>
            </w:r>
            <w:r w:rsidRPr="002B55E9">
              <w:rPr>
                <w:rFonts w:eastAsia="宋体" w:hint="eastAsia"/>
              </w:rPr>
              <w:t>、</w:t>
            </w:r>
            <w:r w:rsidRPr="002B55E9">
              <w:rPr>
                <w:rFonts w:eastAsia="宋体"/>
              </w:rPr>
              <w:t>甲醛、硫酸雾、氯化氢</w:t>
            </w:r>
          </w:p>
        </w:tc>
        <w:tc>
          <w:tcPr>
            <w:tcW w:w="1831" w:type="dxa"/>
          </w:tcPr>
          <w:p w14:paraId="266CFB31" w14:textId="77777777" w:rsidR="00D170E5" w:rsidRPr="002B55E9" w:rsidRDefault="00EF27AD">
            <w:pPr>
              <w:pStyle w:val="lgy-"/>
              <w:rPr>
                <w:rFonts w:eastAsia="宋体"/>
              </w:rPr>
            </w:pPr>
            <w:r w:rsidRPr="002B55E9">
              <w:rPr>
                <w:rFonts w:eastAsia="宋体" w:hint="eastAsia"/>
              </w:rPr>
              <w:t>1</w:t>
            </w:r>
            <w:r w:rsidRPr="002B55E9">
              <w:rPr>
                <w:rFonts w:eastAsia="宋体" w:hint="eastAsia"/>
              </w:rPr>
              <w:t>次</w:t>
            </w:r>
            <w:r w:rsidRPr="002B55E9">
              <w:rPr>
                <w:rFonts w:eastAsia="宋体" w:hint="eastAsia"/>
              </w:rPr>
              <w:t>/</w:t>
            </w:r>
            <w:r w:rsidRPr="002B55E9">
              <w:rPr>
                <w:rFonts w:eastAsia="宋体" w:hint="eastAsia"/>
              </w:rPr>
              <w:t>半年</w:t>
            </w:r>
          </w:p>
        </w:tc>
      </w:tr>
      <w:tr w:rsidR="00C60999" w:rsidRPr="002B55E9" w14:paraId="2B368957" w14:textId="77777777" w:rsidTr="004C7F33">
        <w:trPr>
          <w:trHeight w:val="283"/>
        </w:trPr>
        <w:tc>
          <w:tcPr>
            <w:tcW w:w="2835" w:type="dxa"/>
            <w:gridSpan w:val="2"/>
          </w:tcPr>
          <w:p w14:paraId="54C41AB8" w14:textId="77777777" w:rsidR="00D170E5" w:rsidRPr="002B55E9" w:rsidRDefault="00EF27AD">
            <w:pPr>
              <w:pStyle w:val="lgy-"/>
            </w:pPr>
            <w:r w:rsidRPr="002B55E9">
              <w:rPr>
                <w:rFonts w:eastAsia="宋体" w:hint="eastAsia"/>
                <w:szCs w:val="28"/>
              </w:rPr>
              <w:t>厂界无组织废气</w:t>
            </w:r>
          </w:p>
        </w:tc>
        <w:tc>
          <w:tcPr>
            <w:tcW w:w="4971" w:type="dxa"/>
          </w:tcPr>
          <w:p w14:paraId="0241D7CB" w14:textId="4604093E" w:rsidR="00D170E5" w:rsidRPr="002B55E9" w:rsidRDefault="00AB367E">
            <w:pPr>
              <w:pStyle w:val="lgy-"/>
            </w:pPr>
            <w:r w:rsidRPr="002B55E9">
              <w:rPr>
                <w:rFonts w:eastAsia="宋体" w:hint="eastAsia"/>
              </w:rPr>
              <w:t>颗粒物、</w:t>
            </w:r>
            <w:r w:rsidR="00EF27AD" w:rsidRPr="002B55E9">
              <w:rPr>
                <w:rFonts w:eastAsia="宋体" w:hint="eastAsia"/>
              </w:rPr>
              <w:t>NMHC</w:t>
            </w:r>
            <w:r w:rsidR="00EF27AD" w:rsidRPr="002B55E9">
              <w:rPr>
                <w:rFonts w:eastAsia="宋体" w:hint="eastAsia"/>
              </w:rPr>
              <w:t>、甲醛</w:t>
            </w:r>
            <w:r w:rsidR="00EF27AD" w:rsidRPr="002B55E9">
              <w:rPr>
                <w:rFonts w:eastAsia="宋体"/>
              </w:rPr>
              <w:t>、硫酸雾、氯化氢</w:t>
            </w:r>
            <w:r w:rsidRPr="002B55E9">
              <w:rPr>
                <w:rFonts w:eastAsia="宋体" w:hint="eastAsia"/>
              </w:rPr>
              <w:t>、臭气浓度</w:t>
            </w:r>
          </w:p>
        </w:tc>
        <w:tc>
          <w:tcPr>
            <w:tcW w:w="1831" w:type="dxa"/>
          </w:tcPr>
          <w:p w14:paraId="33003D25" w14:textId="77777777" w:rsidR="00D170E5" w:rsidRPr="002B55E9" w:rsidRDefault="00EF27AD">
            <w:pPr>
              <w:pStyle w:val="lgy-"/>
              <w:rPr>
                <w:rFonts w:eastAsia="宋体"/>
              </w:rPr>
            </w:pPr>
            <w:r w:rsidRPr="002B55E9">
              <w:rPr>
                <w:rFonts w:eastAsia="宋体" w:hint="eastAsia"/>
              </w:rPr>
              <w:t>1</w:t>
            </w:r>
            <w:r w:rsidRPr="002B55E9">
              <w:rPr>
                <w:rFonts w:eastAsia="宋体" w:hint="eastAsia"/>
              </w:rPr>
              <w:t>次</w:t>
            </w:r>
            <w:r w:rsidRPr="002B55E9">
              <w:rPr>
                <w:rFonts w:eastAsia="宋体" w:hint="eastAsia"/>
              </w:rPr>
              <w:t>/</w:t>
            </w:r>
            <w:r w:rsidRPr="002B55E9">
              <w:rPr>
                <w:rFonts w:eastAsia="宋体" w:hint="eastAsia"/>
              </w:rPr>
              <w:t>半年</w:t>
            </w:r>
          </w:p>
        </w:tc>
      </w:tr>
    </w:tbl>
    <w:p w14:paraId="34CF941E" w14:textId="77777777" w:rsidR="00D170E5" w:rsidRPr="002B55E9" w:rsidRDefault="00EF27AD">
      <w:pPr>
        <w:pStyle w:val="5"/>
      </w:pPr>
      <w:r w:rsidRPr="002B55E9">
        <w:t>废水监测</w:t>
      </w:r>
    </w:p>
    <w:p w14:paraId="1A721F5D" w14:textId="2710EBC1" w:rsidR="00D170E5" w:rsidRPr="002B55E9" w:rsidRDefault="00EF27AD">
      <w:pPr>
        <w:pStyle w:val="affff7"/>
      </w:pPr>
      <w:r w:rsidRPr="002B55E9">
        <w:rPr>
          <w:rFonts w:hint="eastAsia"/>
        </w:rPr>
        <w:t>根据《</w:t>
      </w:r>
      <w:r w:rsidRPr="002B55E9">
        <w:rPr>
          <w:rFonts w:hint="eastAsia"/>
        </w:rPr>
        <w:t>2022</w:t>
      </w:r>
      <w:r w:rsidRPr="002B55E9">
        <w:rPr>
          <w:rFonts w:hint="eastAsia"/>
        </w:rPr>
        <w:t>年武汉市重点排污单位名录》，本项目建设单位及佛山市海天（武汉）调味食品有限公司均暂未纳入重点排污单位名录，根据《排污单位自行监测技术指南</w:t>
      </w:r>
      <w:r w:rsidRPr="002B55E9">
        <w:rPr>
          <w:rFonts w:hint="eastAsia"/>
        </w:rPr>
        <w:t xml:space="preserve"> </w:t>
      </w:r>
      <w:r w:rsidRPr="002B55E9">
        <w:rPr>
          <w:rFonts w:hint="eastAsia"/>
        </w:rPr>
        <w:t>食品制造》（</w:t>
      </w:r>
      <w:r w:rsidRPr="002B55E9">
        <w:rPr>
          <w:rFonts w:hint="eastAsia"/>
        </w:rPr>
        <w:t>HJ 1084-2020</w:t>
      </w:r>
      <w:r w:rsidRPr="002B55E9">
        <w:rPr>
          <w:rFonts w:hint="eastAsia"/>
        </w:rPr>
        <w:t>），</w:t>
      </w:r>
      <w:r w:rsidR="00B622DC" w:rsidRPr="002B55E9">
        <w:rPr>
          <w:rFonts w:hint="eastAsia"/>
        </w:rPr>
        <w:t>佛</w:t>
      </w:r>
      <w:r w:rsidRPr="002B55E9">
        <w:rPr>
          <w:rFonts w:hint="eastAsia"/>
        </w:rPr>
        <w:t>山市海天（武汉）调味食品有限公司废水总排口监测计划详见下</w:t>
      </w:r>
      <w:r w:rsidRPr="002B55E9">
        <w:t>表</w:t>
      </w:r>
      <w:r w:rsidRPr="002B55E9">
        <w:rPr>
          <w:rFonts w:hint="eastAsia"/>
        </w:rPr>
        <w:t>。</w:t>
      </w:r>
    </w:p>
    <w:p w14:paraId="2729EBCF" w14:textId="77777777" w:rsidR="00D170E5" w:rsidRPr="002B55E9" w:rsidRDefault="00EF27AD">
      <w:pPr>
        <w:pStyle w:val="affff7"/>
        <w:widowControl w:val="0"/>
        <w:spacing w:line="240" w:lineRule="auto"/>
        <w:ind w:firstLineChars="0" w:firstLine="0"/>
        <w:jc w:val="center"/>
      </w:pPr>
      <w:r w:rsidRPr="002B55E9">
        <w:rPr>
          <w:rFonts w:eastAsia="黑体"/>
          <w:b/>
        </w:rPr>
        <w:lastRenderedPageBreak/>
        <w:t>表</w:t>
      </w:r>
      <w:r w:rsidRPr="002B55E9">
        <w:rPr>
          <w:rFonts w:eastAsia="黑体"/>
          <w:b/>
        </w:rPr>
        <w:t>11-1-</w:t>
      </w:r>
      <w:r w:rsidRPr="002B55E9">
        <w:rPr>
          <w:rFonts w:eastAsia="黑体" w:hint="eastAsia"/>
          <w:b/>
        </w:rPr>
        <w:t>2</w:t>
      </w:r>
      <w:r w:rsidRPr="002B55E9">
        <w:rPr>
          <w:rFonts w:eastAsia="黑体"/>
          <w:b/>
        </w:rPr>
        <w:t xml:space="preserve">  </w:t>
      </w:r>
      <w:r w:rsidRPr="002B55E9">
        <w:rPr>
          <w:rFonts w:eastAsia="黑体"/>
          <w:b/>
        </w:rPr>
        <w:t>废水监测计划及记录信息表</w:t>
      </w:r>
    </w:p>
    <w:tbl>
      <w:tblPr>
        <w:tblW w:w="963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3969"/>
        <w:gridCol w:w="2835"/>
      </w:tblGrid>
      <w:tr w:rsidR="00C60999" w:rsidRPr="002B55E9" w14:paraId="118C81B5" w14:textId="77777777">
        <w:trPr>
          <w:trHeight w:val="284"/>
        </w:trPr>
        <w:tc>
          <w:tcPr>
            <w:tcW w:w="2835" w:type="dxa"/>
            <w:shd w:val="clear" w:color="auto" w:fill="auto"/>
          </w:tcPr>
          <w:p w14:paraId="0E482072" w14:textId="77777777" w:rsidR="00D170E5" w:rsidRPr="002B55E9" w:rsidRDefault="00EF27AD">
            <w:pPr>
              <w:pStyle w:val="affffffffffffffffff6"/>
              <w:ind w:left="-40" w:right="-40"/>
            </w:pPr>
            <w:r w:rsidRPr="002B55E9">
              <w:rPr>
                <w:rFonts w:hint="eastAsia"/>
              </w:rPr>
              <w:t>监测点位</w:t>
            </w:r>
          </w:p>
        </w:tc>
        <w:tc>
          <w:tcPr>
            <w:tcW w:w="3969" w:type="dxa"/>
            <w:shd w:val="clear" w:color="auto" w:fill="auto"/>
          </w:tcPr>
          <w:p w14:paraId="00116A65" w14:textId="77777777" w:rsidR="00D170E5" w:rsidRPr="002B55E9" w:rsidRDefault="00EF27AD">
            <w:pPr>
              <w:pStyle w:val="affffffffffffffffff6"/>
              <w:ind w:left="-40" w:right="-40"/>
            </w:pPr>
            <w:r w:rsidRPr="002B55E9">
              <w:rPr>
                <w:rFonts w:hint="eastAsia"/>
              </w:rPr>
              <w:t>监测指标</w:t>
            </w:r>
          </w:p>
        </w:tc>
        <w:tc>
          <w:tcPr>
            <w:tcW w:w="2835" w:type="dxa"/>
            <w:shd w:val="clear" w:color="auto" w:fill="auto"/>
          </w:tcPr>
          <w:p w14:paraId="372B41EA" w14:textId="77777777" w:rsidR="00D170E5" w:rsidRPr="002B55E9" w:rsidRDefault="00EF27AD">
            <w:pPr>
              <w:pStyle w:val="affffffffffffffffff6"/>
              <w:ind w:left="-40" w:right="-40"/>
            </w:pPr>
            <w:r w:rsidRPr="002B55E9">
              <w:rPr>
                <w:rFonts w:hint="eastAsia"/>
              </w:rPr>
              <w:t>监测频次</w:t>
            </w:r>
          </w:p>
        </w:tc>
      </w:tr>
      <w:tr w:rsidR="00C60999" w:rsidRPr="002B55E9" w14:paraId="77138E80" w14:textId="77777777">
        <w:trPr>
          <w:trHeight w:val="284"/>
        </w:trPr>
        <w:tc>
          <w:tcPr>
            <w:tcW w:w="2835" w:type="dxa"/>
            <w:shd w:val="clear" w:color="auto" w:fill="auto"/>
          </w:tcPr>
          <w:p w14:paraId="5658B9BF" w14:textId="77777777" w:rsidR="00D170E5" w:rsidRPr="002B55E9" w:rsidRDefault="00EF27AD">
            <w:pPr>
              <w:pStyle w:val="affffffffffffffffff6"/>
              <w:ind w:left="-40" w:right="-40"/>
            </w:pPr>
            <w:r w:rsidRPr="002B55E9">
              <w:rPr>
                <w:rFonts w:hint="eastAsia"/>
              </w:rPr>
              <w:t>佛山</w:t>
            </w:r>
            <w:r w:rsidRPr="002B55E9">
              <w:t>市海天（</w:t>
            </w:r>
            <w:r w:rsidRPr="002B55E9">
              <w:rPr>
                <w:rFonts w:hint="eastAsia"/>
              </w:rPr>
              <w:t>武汉</w:t>
            </w:r>
            <w:r w:rsidRPr="002B55E9">
              <w:t>）</w:t>
            </w:r>
            <w:r w:rsidRPr="002B55E9">
              <w:rPr>
                <w:rFonts w:hint="eastAsia"/>
              </w:rPr>
              <w:t>调味食品</w:t>
            </w:r>
            <w:r w:rsidRPr="002B55E9">
              <w:t>有限公司</w:t>
            </w:r>
            <w:r w:rsidRPr="002B55E9">
              <w:rPr>
                <w:rFonts w:hint="eastAsia"/>
              </w:rPr>
              <w:t>废水总排口（</w:t>
            </w:r>
            <w:r w:rsidRPr="002B55E9">
              <w:rPr>
                <w:rFonts w:hint="eastAsia"/>
              </w:rPr>
              <w:t>DW001</w:t>
            </w:r>
            <w:r w:rsidRPr="002B55E9">
              <w:rPr>
                <w:rFonts w:hint="eastAsia"/>
              </w:rPr>
              <w:t>）</w:t>
            </w:r>
          </w:p>
        </w:tc>
        <w:tc>
          <w:tcPr>
            <w:tcW w:w="3969" w:type="dxa"/>
            <w:shd w:val="clear" w:color="auto" w:fill="auto"/>
          </w:tcPr>
          <w:p w14:paraId="24DAA8AF" w14:textId="77777777" w:rsidR="00D170E5" w:rsidRPr="002B55E9" w:rsidRDefault="00EF27AD">
            <w:pPr>
              <w:pStyle w:val="affffffffffffffffff6"/>
              <w:ind w:left="-40" w:right="-40"/>
            </w:pPr>
            <w:r w:rsidRPr="002B55E9">
              <w:rPr>
                <w:rFonts w:hint="eastAsia"/>
              </w:rPr>
              <w:t>流量</w:t>
            </w:r>
            <w:r w:rsidRPr="002B55E9">
              <w:t>、</w:t>
            </w:r>
            <w:r w:rsidRPr="002B55E9">
              <w:rPr>
                <w:rFonts w:hint="eastAsia"/>
              </w:rPr>
              <w:t>pH</w:t>
            </w:r>
            <w:r w:rsidRPr="002B55E9">
              <w:rPr>
                <w:rFonts w:hint="eastAsia"/>
              </w:rPr>
              <w:t>、</w:t>
            </w:r>
            <w:r w:rsidRPr="002B55E9">
              <w:rPr>
                <w:rFonts w:hint="eastAsia"/>
              </w:rPr>
              <w:t>COD</w:t>
            </w:r>
            <w:r w:rsidRPr="002B55E9">
              <w:rPr>
                <w:rFonts w:hint="eastAsia"/>
              </w:rPr>
              <w:t>、氨氮、</w:t>
            </w:r>
            <w:r w:rsidRPr="002B55E9">
              <w:rPr>
                <w:rFonts w:hint="eastAsia"/>
              </w:rPr>
              <w:t>BOD</w:t>
            </w:r>
            <w:r w:rsidRPr="002B55E9">
              <w:rPr>
                <w:rFonts w:hint="eastAsia"/>
                <w:vertAlign w:val="subscript"/>
              </w:rPr>
              <w:t>5</w:t>
            </w:r>
            <w:r w:rsidRPr="002B55E9">
              <w:rPr>
                <w:rFonts w:hint="eastAsia"/>
              </w:rPr>
              <w:t>、悬浮物、动植物油</w:t>
            </w:r>
            <w:r w:rsidRPr="002B55E9">
              <w:t>、</w:t>
            </w:r>
            <w:r w:rsidRPr="002B55E9">
              <w:rPr>
                <w:rFonts w:hint="eastAsia"/>
              </w:rPr>
              <w:t>总氮</w:t>
            </w:r>
            <w:r w:rsidRPr="002B55E9">
              <w:t>、总磷</w:t>
            </w:r>
            <w:r w:rsidRPr="002B55E9">
              <w:rPr>
                <w:rFonts w:hint="eastAsia"/>
              </w:rPr>
              <w:t>、</w:t>
            </w:r>
            <w:r w:rsidRPr="002B55E9">
              <w:t>色度</w:t>
            </w:r>
          </w:p>
        </w:tc>
        <w:tc>
          <w:tcPr>
            <w:tcW w:w="2835" w:type="dxa"/>
            <w:shd w:val="clear" w:color="auto" w:fill="auto"/>
          </w:tcPr>
          <w:p w14:paraId="7386024F" w14:textId="77777777" w:rsidR="00D170E5" w:rsidRPr="002B55E9" w:rsidRDefault="00EF27AD">
            <w:pPr>
              <w:pStyle w:val="affffffffffffffffff6"/>
              <w:ind w:left="-40" w:right="-40"/>
            </w:pPr>
            <w:r w:rsidRPr="002B55E9">
              <w:rPr>
                <w:rFonts w:hint="eastAsia"/>
              </w:rPr>
              <w:t>1</w:t>
            </w:r>
            <w:r w:rsidRPr="002B55E9">
              <w:rPr>
                <w:rFonts w:hint="eastAsia"/>
              </w:rPr>
              <w:t>次</w:t>
            </w:r>
            <w:r w:rsidRPr="002B55E9">
              <w:rPr>
                <w:rFonts w:hint="eastAsia"/>
              </w:rPr>
              <w:t>/</w:t>
            </w:r>
            <w:r w:rsidRPr="002B55E9">
              <w:rPr>
                <w:rFonts w:hint="eastAsia"/>
              </w:rPr>
              <w:t>半年</w:t>
            </w:r>
          </w:p>
        </w:tc>
      </w:tr>
    </w:tbl>
    <w:p w14:paraId="444EC3CE" w14:textId="77777777" w:rsidR="00D170E5" w:rsidRPr="002B55E9" w:rsidRDefault="00EF27AD">
      <w:pPr>
        <w:pStyle w:val="affff7"/>
      </w:pPr>
      <w:r w:rsidRPr="002B55E9">
        <w:rPr>
          <w:rFonts w:hint="eastAsia"/>
        </w:rPr>
        <w:t>后续如本项目建设单位、佛山市海天（武汉）调味食品有限公司被纳入重点排污单位名录，则应根据《排污单位自行监测技术指南</w:t>
      </w:r>
      <w:r w:rsidRPr="002B55E9">
        <w:rPr>
          <w:rFonts w:hint="eastAsia"/>
        </w:rPr>
        <w:t xml:space="preserve"> </w:t>
      </w:r>
      <w:r w:rsidRPr="002B55E9">
        <w:rPr>
          <w:rFonts w:hint="eastAsia"/>
        </w:rPr>
        <w:t>食品制造》（</w:t>
      </w:r>
      <w:r w:rsidRPr="002B55E9">
        <w:rPr>
          <w:rFonts w:hint="eastAsia"/>
        </w:rPr>
        <w:t>HJ 1084-2020</w:t>
      </w:r>
      <w:r w:rsidRPr="002B55E9">
        <w:rPr>
          <w:rFonts w:hint="eastAsia"/>
        </w:rPr>
        <w:t>）要求自行调整监测频次。根据双方签订的责任主体协议，废水总排口环保</w:t>
      </w:r>
      <w:r w:rsidRPr="002B55E9">
        <w:t>责任主体为佛山市海天（</w:t>
      </w:r>
      <w:r w:rsidRPr="002B55E9">
        <w:rPr>
          <w:rFonts w:hint="eastAsia"/>
        </w:rPr>
        <w:t>武汉</w:t>
      </w:r>
      <w:r w:rsidRPr="002B55E9">
        <w:t>）</w:t>
      </w:r>
      <w:r w:rsidRPr="002B55E9">
        <w:rPr>
          <w:rFonts w:hint="eastAsia"/>
        </w:rPr>
        <w:t>调味</w:t>
      </w:r>
      <w:r w:rsidRPr="002B55E9">
        <w:t>食品有限公司，废水</w:t>
      </w:r>
      <w:r w:rsidRPr="002B55E9">
        <w:rPr>
          <w:rFonts w:hint="eastAsia"/>
        </w:rPr>
        <w:t>监测计划</w:t>
      </w:r>
      <w:r w:rsidRPr="002B55E9">
        <w:t>均</w:t>
      </w:r>
      <w:r w:rsidRPr="002B55E9">
        <w:rPr>
          <w:rFonts w:hint="eastAsia"/>
        </w:rPr>
        <w:t>由</w:t>
      </w:r>
      <w:r w:rsidRPr="002B55E9">
        <w:t>佛山市海天（</w:t>
      </w:r>
      <w:r w:rsidRPr="002B55E9">
        <w:rPr>
          <w:rFonts w:hint="eastAsia"/>
        </w:rPr>
        <w:t>武汉</w:t>
      </w:r>
      <w:r w:rsidRPr="002B55E9">
        <w:t>）</w:t>
      </w:r>
      <w:r w:rsidRPr="002B55E9">
        <w:rPr>
          <w:rFonts w:hint="eastAsia"/>
        </w:rPr>
        <w:t>调味</w:t>
      </w:r>
      <w:r w:rsidRPr="002B55E9">
        <w:t>食品有限公司落实。</w:t>
      </w:r>
    </w:p>
    <w:p w14:paraId="1CBA80B1" w14:textId="77777777" w:rsidR="00D170E5" w:rsidRPr="002B55E9" w:rsidRDefault="00EF27AD">
      <w:pPr>
        <w:pStyle w:val="5"/>
      </w:pPr>
      <w:r w:rsidRPr="002B55E9">
        <w:rPr>
          <w:rFonts w:hint="eastAsia"/>
        </w:rPr>
        <w:t>噪声监测</w:t>
      </w:r>
    </w:p>
    <w:p w14:paraId="39E7CB63" w14:textId="77777777" w:rsidR="00D170E5" w:rsidRPr="002B55E9" w:rsidRDefault="00EF27AD">
      <w:pPr>
        <w:pStyle w:val="affff7"/>
      </w:pPr>
      <w:r w:rsidRPr="002B55E9">
        <w:rPr>
          <w:rFonts w:hint="eastAsia"/>
        </w:rPr>
        <w:t>厂区目前设有的噪声监测计划如下：</w:t>
      </w:r>
    </w:p>
    <w:p w14:paraId="0C725A94" w14:textId="77777777" w:rsidR="00D170E5" w:rsidRPr="002B55E9" w:rsidRDefault="00EF27AD">
      <w:pPr>
        <w:pStyle w:val="affff7"/>
      </w:pPr>
      <w:r w:rsidRPr="002B55E9">
        <w:t>（</w:t>
      </w:r>
      <w:r w:rsidRPr="002B55E9">
        <w:t>1</w:t>
      </w:r>
      <w:r w:rsidRPr="002B55E9">
        <w:t>）监测点位：沿厂界外</w:t>
      </w:r>
      <w:r w:rsidRPr="002B55E9">
        <w:t>1m</w:t>
      </w:r>
      <w:r w:rsidRPr="002B55E9">
        <w:t>布设</w:t>
      </w:r>
      <w:r w:rsidRPr="002B55E9">
        <w:rPr>
          <w:rFonts w:hint="eastAsia"/>
        </w:rPr>
        <w:t>6</w:t>
      </w:r>
      <w:r w:rsidRPr="002B55E9">
        <w:t>个监测点位。</w:t>
      </w:r>
    </w:p>
    <w:p w14:paraId="1A09896E" w14:textId="77777777" w:rsidR="00D170E5" w:rsidRPr="002B55E9" w:rsidRDefault="00EF27AD">
      <w:pPr>
        <w:pStyle w:val="affff7"/>
      </w:pPr>
      <w:r w:rsidRPr="002B55E9">
        <w:t>（</w:t>
      </w:r>
      <w:r w:rsidRPr="002B55E9">
        <w:t>2</w:t>
      </w:r>
      <w:r w:rsidRPr="002B55E9">
        <w:t>）监测项目：昼夜间噪声。</w:t>
      </w:r>
    </w:p>
    <w:p w14:paraId="7AE9F422" w14:textId="77777777" w:rsidR="00D170E5" w:rsidRPr="002B55E9" w:rsidRDefault="00EF27AD">
      <w:pPr>
        <w:pStyle w:val="affff7"/>
      </w:pPr>
      <w:r w:rsidRPr="002B55E9">
        <w:t>（</w:t>
      </w:r>
      <w:r w:rsidRPr="002B55E9">
        <w:t>3</w:t>
      </w:r>
      <w:r w:rsidRPr="002B55E9">
        <w:t>）监测频率：每季度监测一次，昼、夜各监测</w:t>
      </w:r>
      <w:r w:rsidRPr="002B55E9">
        <w:rPr>
          <w:rFonts w:hint="eastAsia"/>
        </w:rPr>
        <w:t>1</w:t>
      </w:r>
      <w:r w:rsidRPr="002B55E9">
        <w:t>次。</w:t>
      </w:r>
    </w:p>
    <w:p w14:paraId="7C47BEE0" w14:textId="77777777" w:rsidR="00D170E5" w:rsidRPr="002B55E9" w:rsidRDefault="00EF27AD">
      <w:pPr>
        <w:pStyle w:val="affff7"/>
      </w:pPr>
      <w:r w:rsidRPr="002B55E9">
        <w:t>上述日常监测工作，建设单位</w:t>
      </w:r>
      <w:r w:rsidRPr="002B55E9">
        <w:rPr>
          <w:rFonts w:hint="eastAsia"/>
        </w:rPr>
        <w:t>需委托</w:t>
      </w:r>
      <w:r w:rsidRPr="002B55E9">
        <w:t>有资质的单位进行</w:t>
      </w:r>
      <w:r w:rsidRPr="002B55E9">
        <w:rPr>
          <w:rFonts w:hint="eastAsia"/>
        </w:rPr>
        <w:t>监测</w:t>
      </w:r>
      <w:r w:rsidRPr="002B55E9">
        <w:t>，污染源的监测采样及分析方法均应按照相应污染类型的环境监测技术规范执行，如发现超标等异常情况，应分析原因并及时采取污染控制措施，减轻对环境影响。</w:t>
      </w:r>
    </w:p>
    <w:p w14:paraId="67728165" w14:textId="77777777" w:rsidR="00D170E5" w:rsidRPr="002B55E9" w:rsidRDefault="00EF27AD">
      <w:pPr>
        <w:pStyle w:val="affff7"/>
      </w:pPr>
      <w:r w:rsidRPr="002B55E9">
        <w:t>建设单位在承担日常监测管理的同时，还应积极配合当地环保主管部门的常规监测和管理工作。</w:t>
      </w:r>
    </w:p>
    <w:p w14:paraId="2EDB00CB" w14:textId="77777777" w:rsidR="00D170E5" w:rsidRPr="002B55E9" w:rsidRDefault="00EF27AD">
      <w:pPr>
        <w:pStyle w:val="5"/>
      </w:pPr>
      <w:r w:rsidRPr="002B55E9">
        <w:rPr>
          <w:rFonts w:hint="eastAsia"/>
        </w:rPr>
        <w:t>地下水监测</w:t>
      </w:r>
    </w:p>
    <w:p w14:paraId="22BA4450" w14:textId="77777777" w:rsidR="00D170E5" w:rsidRPr="002B55E9" w:rsidRDefault="00EF27AD">
      <w:pPr>
        <w:pStyle w:val="affff7"/>
      </w:pPr>
      <w:r w:rsidRPr="002B55E9">
        <w:t>（</w:t>
      </w:r>
      <w:r w:rsidRPr="002B55E9">
        <w:t>1</w:t>
      </w:r>
      <w:r w:rsidRPr="002B55E9">
        <w:t>）监测点位</w:t>
      </w:r>
    </w:p>
    <w:p w14:paraId="5EDB7F5C" w14:textId="77777777" w:rsidR="00D170E5" w:rsidRPr="002B55E9" w:rsidRDefault="00EF27AD">
      <w:pPr>
        <w:pStyle w:val="affff7"/>
      </w:pPr>
      <w:r w:rsidRPr="002B55E9">
        <w:rPr>
          <w:rFonts w:hint="eastAsia"/>
        </w:rPr>
        <w:t>建议在</w:t>
      </w:r>
      <w:r w:rsidRPr="002B55E9">
        <w:t>厂内</w:t>
      </w:r>
      <w:r w:rsidRPr="002B55E9">
        <w:rPr>
          <w:rFonts w:hint="eastAsia"/>
        </w:rPr>
        <w:t>罐区三</w:t>
      </w:r>
      <w:r w:rsidRPr="002B55E9">
        <w:t>周边设</w:t>
      </w:r>
      <w:r w:rsidRPr="002B55E9">
        <w:t>1</w:t>
      </w:r>
      <w:r w:rsidRPr="002B55E9">
        <w:t>处永久地下水监控点，</w:t>
      </w:r>
      <w:r w:rsidRPr="002B55E9">
        <w:rPr>
          <w:rFonts w:hint="eastAsia"/>
        </w:rPr>
        <w:t>建设单位在日常运营过程中应做好监测井的运行维护，以防因井口外漏、管壁破裂或者</w:t>
      </w:r>
      <w:r w:rsidRPr="002B55E9">
        <w:rPr>
          <w:rFonts w:ascii="宋体" w:cs="宋体" w:hint="eastAsia"/>
        </w:rPr>
        <w:t>他原因造成废水与废液或者是地面清洁废水倒灌或渗入井内而造成地下水污染。</w:t>
      </w:r>
    </w:p>
    <w:p w14:paraId="25B1E582" w14:textId="77777777" w:rsidR="00D170E5" w:rsidRPr="002B55E9" w:rsidRDefault="00EF27AD">
      <w:pPr>
        <w:pStyle w:val="affff7"/>
      </w:pPr>
      <w:r w:rsidRPr="002B55E9">
        <w:t>（</w:t>
      </w:r>
      <w:r w:rsidRPr="002B55E9">
        <w:t>2</w:t>
      </w:r>
      <w:r w:rsidRPr="002B55E9">
        <w:t>）监测因子与监测频率</w:t>
      </w:r>
    </w:p>
    <w:p w14:paraId="34BE7415" w14:textId="77777777" w:rsidR="00D170E5" w:rsidRPr="002B55E9" w:rsidRDefault="00EF27AD">
      <w:pPr>
        <w:pStyle w:val="affff7"/>
      </w:pPr>
      <w:r w:rsidRPr="002B55E9">
        <w:rPr>
          <w:rFonts w:hint="eastAsia"/>
        </w:rPr>
        <w:t>依据场地的水文地质条件，结合厂区内地下水污染源的位置，确定地下水监测井使</w:t>
      </w:r>
      <w:r w:rsidRPr="002B55E9">
        <w:rPr>
          <w:rFonts w:ascii="宋体" w:cs="宋体" w:hint="eastAsia"/>
        </w:rPr>
        <w:t>用功能，力求以最低的采样频次，取得最有时间代表性的样品，达到全面反映厂区内地下水质状况、污染原因和规律的目的。地下水监测因子及监测频率见下表。</w:t>
      </w:r>
    </w:p>
    <w:p w14:paraId="09782AE4" w14:textId="77777777" w:rsidR="00D170E5" w:rsidRPr="002B55E9" w:rsidRDefault="00EF27AD">
      <w:pPr>
        <w:pStyle w:val="aa"/>
        <w:spacing w:line="240" w:lineRule="auto"/>
        <w:ind w:firstLine="0"/>
        <w:jc w:val="center"/>
        <w:rPr>
          <w:rFonts w:eastAsia="黑体"/>
          <w:b/>
        </w:rPr>
      </w:pPr>
      <w:r w:rsidRPr="002B55E9">
        <w:rPr>
          <w:rFonts w:eastAsia="黑体" w:hint="eastAsia"/>
          <w:b/>
        </w:rPr>
        <w:t>表</w:t>
      </w:r>
      <w:r w:rsidRPr="002B55E9">
        <w:rPr>
          <w:rFonts w:eastAsia="黑体" w:hint="eastAsia"/>
          <w:b/>
        </w:rPr>
        <w:t xml:space="preserve">11-1-4  </w:t>
      </w:r>
      <w:r w:rsidRPr="002B55E9">
        <w:rPr>
          <w:rFonts w:eastAsia="黑体" w:hint="eastAsia"/>
          <w:b/>
        </w:rPr>
        <w:t>地下水跟踪监测因子和频率一览表</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263"/>
        <w:gridCol w:w="6697"/>
        <w:gridCol w:w="1429"/>
      </w:tblGrid>
      <w:tr w:rsidR="00C60999" w:rsidRPr="002B55E9" w14:paraId="2CE1D546" w14:textId="77777777">
        <w:trPr>
          <w:trHeight w:val="284"/>
        </w:trPr>
        <w:tc>
          <w:tcPr>
            <w:tcW w:w="1729" w:type="dxa"/>
            <w:gridSpan w:val="2"/>
            <w:tcBorders>
              <w:top w:val="single" w:sz="12" w:space="0" w:color="auto"/>
              <w:left w:val="nil"/>
              <w:bottom w:val="single" w:sz="12" w:space="0" w:color="auto"/>
              <w:right w:val="single" w:sz="4" w:space="0" w:color="auto"/>
            </w:tcBorders>
            <w:vAlign w:val="center"/>
          </w:tcPr>
          <w:p w14:paraId="62121776" w14:textId="77777777" w:rsidR="00D170E5" w:rsidRPr="002B55E9" w:rsidRDefault="00EF27AD">
            <w:pPr>
              <w:pStyle w:val="affff6"/>
              <w:spacing w:line="0" w:lineRule="atLeast"/>
            </w:pPr>
            <w:r w:rsidRPr="002B55E9">
              <w:rPr>
                <w:rFonts w:hint="eastAsia"/>
              </w:rPr>
              <w:t>分类</w:t>
            </w:r>
          </w:p>
        </w:tc>
        <w:tc>
          <w:tcPr>
            <w:tcW w:w="6697" w:type="dxa"/>
            <w:tcBorders>
              <w:top w:val="single" w:sz="12" w:space="0" w:color="auto"/>
              <w:left w:val="nil"/>
              <w:bottom w:val="single" w:sz="12" w:space="0" w:color="auto"/>
              <w:right w:val="single" w:sz="4" w:space="0" w:color="auto"/>
            </w:tcBorders>
            <w:vAlign w:val="center"/>
          </w:tcPr>
          <w:p w14:paraId="6B1AF144" w14:textId="77777777" w:rsidR="00D170E5" w:rsidRPr="002B55E9" w:rsidRDefault="00EF27AD">
            <w:pPr>
              <w:pStyle w:val="affff6"/>
              <w:spacing w:line="0" w:lineRule="atLeast"/>
            </w:pPr>
            <w:r w:rsidRPr="002B55E9">
              <w:rPr>
                <w:rFonts w:hint="eastAsia"/>
              </w:rPr>
              <w:t>因子</w:t>
            </w:r>
          </w:p>
        </w:tc>
        <w:tc>
          <w:tcPr>
            <w:tcW w:w="1429" w:type="dxa"/>
            <w:tcBorders>
              <w:top w:val="single" w:sz="12" w:space="0" w:color="auto"/>
              <w:left w:val="nil"/>
              <w:bottom w:val="single" w:sz="12" w:space="0" w:color="auto"/>
              <w:right w:val="nil"/>
            </w:tcBorders>
            <w:vAlign w:val="center"/>
          </w:tcPr>
          <w:p w14:paraId="03A6B106" w14:textId="77777777" w:rsidR="00D170E5" w:rsidRPr="002B55E9" w:rsidRDefault="00EF27AD">
            <w:pPr>
              <w:pStyle w:val="affff6"/>
              <w:spacing w:line="0" w:lineRule="atLeast"/>
            </w:pPr>
            <w:r w:rsidRPr="002B55E9">
              <w:rPr>
                <w:rFonts w:hint="eastAsia"/>
              </w:rPr>
              <w:t>监测频率</w:t>
            </w:r>
          </w:p>
        </w:tc>
      </w:tr>
      <w:tr w:rsidR="00C60999" w:rsidRPr="002B55E9" w14:paraId="0FCEE81F" w14:textId="77777777">
        <w:trPr>
          <w:trHeight w:val="284"/>
        </w:trPr>
        <w:tc>
          <w:tcPr>
            <w:tcW w:w="1729" w:type="dxa"/>
            <w:gridSpan w:val="2"/>
            <w:tcBorders>
              <w:top w:val="single" w:sz="12" w:space="0" w:color="auto"/>
              <w:left w:val="nil"/>
              <w:bottom w:val="single" w:sz="4" w:space="0" w:color="auto"/>
              <w:right w:val="single" w:sz="4" w:space="0" w:color="auto"/>
            </w:tcBorders>
            <w:vAlign w:val="center"/>
          </w:tcPr>
          <w:p w14:paraId="6EBFAAB4" w14:textId="77777777" w:rsidR="00D170E5" w:rsidRPr="002B55E9" w:rsidRDefault="00EF27AD">
            <w:pPr>
              <w:pStyle w:val="affff6"/>
              <w:spacing w:line="0" w:lineRule="atLeast"/>
            </w:pPr>
            <w:r w:rsidRPr="002B55E9">
              <w:rPr>
                <w:rFonts w:hint="eastAsia"/>
              </w:rPr>
              <w:t>水位</w:t>
            </w:r>
          </w:p>
        </w:tc>
        <w:tc>
          <w:tcPr>
            <w:tcW w:w="6697" w:type="dxa"/>
            <w:tcBorders>
              <w:top w:val="single" w:sz="12" w:space="0" w:color="auto"/>
              <w:left w:val="nil"/>
              <w:bottom w:val="single" w:sz="4" w:space="0" w:color="auto"/>
              <w:right w:val="single" w:sz="4" w:space="0" w:color="auto"/>
            </w:tcBorders>
            <w:vAlign w:val="center"/>
          </w:tcPr>
          <w:p w14:paraId="4A04B825" w14:textId="77777777" w:rsidR="00D170E5" w:rsidRPr="002B55E9" w:rsidRDefault="00EF27AD">
            <w:pPr>
              <w:pStyle w:val="affff6"/>
              <w:spacing w:line="0" w:lineRule="atLeast"/>
            </w:pPr>
            <w:r w:rsidRPr="002B55E9">
              <w:rPr>
                <w:rFonts w:hint="eastAsia"/>
              </w:rPr>
              <w:t>水位</w:t>
            </w:r>
          </w:p>
        </w:tc>
        <w:tc>
          <w:tcPr>
            <w:tcW w:w="1429" w:type="dxa"/>
            <w:vMerge w:val="restart"/>
            <w:tcBorders>
              <w:top w:val="single" w:sz="12" w:space="0" w:color="auto"/>
              <w:left w:val="nil"/>
              <w:right w:val="nil"/>
            </w:tcBorders>
            <w:vAlign w:val="center"/>
          </w:tcPr>
          <w:p w14:paraId="32194DEA" w14:textId="77777777" w:rsidR="00D170E5" w:rsidRPr="002B55E9" w:rsidRDefault="00EF27AD">
            <w:pPr>
              <w:pStyle w:val="affff6"/>
              <w:spacing w:line="0" w:lineRule="atLeast"/>
            </w:pPr>
            <w:r w:rsidRPr="002B55E9">
              <w:rPr>
                <w:rFonts w:hint="eastAsia"/>
              </w:rPr>
              <w:t>1</w:t>
            </w:r>
            <w:r w:rsidRPr="002B55E9">
              <w:rPr>
                <w:rFonts w:ascii="宋体" w:hAnsi="宋体" w:hint="eastAsia"/>
              </w:rPr>
              <w:t>次</w:t>
            </w:r>
            <w:r w:rsidRPr="002B55E9">
              <w:rPr>
                <w:rFonts w:hint="eastAsia"/>
              </w:rPr>
              <w:t>/</w:t>
            </w:r>
            <w:r w:rsidRPr="002B55E9">
              <w:rPr>
                <w:rFonts w:ascii="宋体" w:hAnsi="宋体" w:hint="eastAsia"/>
              </w:rPr>
              <w:t>年</w:t>
            </w:r>
          </w:p>
        </w:tc>
      </w:tr>
      <w:tr w:rsidR="00C60999" w:rsidRPr="002B55E9" w14:paraId="047B2692" w14:textId="77777777">
        <w:trPr>
          <w:trHeight w:val="284"/>
        </w:trPr>
        <w:tc>
          <w:tcPr>
            <w:tcW w:w="466" w:type="dxa"/>
            <w:vMerge w:val="restart"/>
            <w:tcBorders>
              <w:top w:val="nil"/>
              <w:left w:val="nil"/>
              <w:bottom w:val="single" w:sz="4" w:space="0" w:color="auto"/>
              <w:right w:val="single" w:sz="4" w:space="0" w:color="auto"/>
            </w:tcBorders>
            <w:vAlign w:val="center"/>
          </w:tcPr>
          <w:p w14:paraId="0FABA623" w14:textId="77777777" w:rsidR="00D170E5" w:rsidRPr="002B55E9" w:rsidRDefault="00EF27AD">
            <w:pPr>
              <w:pStyle w:val="affff6"/>
              <w:spacing w:line="0" w:lineRule="atLeast"/>
            </w:pPr>
            <w:r w:rsidRPr="002B55E9">
              <w:rPr>
                <w:rFonts w:hint="eastAsia"/>
              </w:rPr>
              <w:t>水质</w:t>
            </w:r>
          </w:p>
        </w:tc>
        <w:tc>
          <w:tcPr>
            <w:tcW w:w="1263" w:type="dxa"/>
            <w:tcBorders>
              <w:top w:val="single" w:sz="4" w:space="0" w:color="auto"/>
              <w:left w:val="nil"/>
              <w:bottom w:val="single" w:sz="4" w:space="0" w:color="auto"/>
              <w:right w:val="single" w:sz="4" w:space="0" w:color="auto"/>
            </w:tcBorders>
            <w:vAlign w:val="center"/>
          </w:tcPr>
          <w:p w14:paraId="47113B05" w14:textId="77777777" w:rsidR="00D170E5" w:rsidRPr="002B55E9" w:rsidRDefault="00EF27AD">
            <w:pPr>
              <w:pStyle w:val="affff6"/>
              <w:spacing w:line="0" w:lineRule="atLeast"/>
            </w:pPr>
            <w:r w:rsidRPr="002B55E9">
              <w:rPr>
                <w:rFonts w:hint="eastAsia"/>
              </w:rPr>
              <w:t>①现场指标</w:t>
            </w:r>
          </w:p>
        </w:tc>
        <w:tc>
          <w:tcPr>
            <w:tcW w:w="6697" w:type="dxa"/>
            <w:tcBorders>
              <w:top w:val="single" w:sz="4" w:space="0" w:color="auto"/>
              <w:left w:val="nil"/>
              <w:bottom w:val="single" w:sz="4" w:space="0" w:color="auto"/>
              <w:right w:val="single" w:sz="4" w:space="0" w:color="auto"/>
            </w:tcBorders>
            <w:vAlign w:val="center"/>
          </w:tcPr>
          <w:p w14:paraId="7B121265" w14:textId="77777777" w:rsidR="00D170E5" w:rsidRPr="002B55E9" w:rsidRDefault="00EF27AD">
            <w:pPr>
              <w:pStyle w:val="affff6"/>
              <w:spacing w:line="0" w:lineRule="atLeast"/>
            </w:pPr>
            <w:r w:rsidRPr="002B55E9">
              <w:rPr>
                <w:rFonts w:hint="eastAsia"/>
              </w:rPr>
              <w:t>水温、气温、</w:t>
            </w:r>
            <w:r w:rsidRPr="002B55E9">
              <w:rPr>
                <w:rFonts w:hint="eastAsia"/>
              </w:rPr>
              <w:t>pH</w:t>
            </w:r>
            <w:r w:rsidRPr="002B55E9">
              <w:rPr>
                <w:rFonts w:ascii="宋体" w:hAnsi="宋体" w:hint="eastAsia"/>
              </w:rPr>
              <w:t>、溶解性总固体、溶解氧</w:t>
            </w:r>
            <w:r w:rsidRPr="002B55E9">
              <w:rPr>
                <w:rFonts w:hint="eastAsia"/>
              </w:rPr>
              <w:t>(DO)</w:t>
            </w:r>
            <w:r w:rsidRPr="002B55E9">
              <w:rPr>
                <w:rFonts w:ascii="宋体" w:hAnsi="宋体" w:hint="eastAsia"/>
              </w:rPr>
              <w:t>、氧化还原电位</w:t>
            </w:r>
            <w:r w:rsidRPr="002B55E9">
              <w:rPr>
                <w:rFonts w:hint="eastAsia"/>
              </w:rPr>
              <w:t>(ORP)</w:t>
            </w:r>
            <w:r w:rsidRPr="002B55E9">
              <w:rPr>
                <w:rFonts w:ascii="宋体" w:hAnsi="宋体" w:hint="eastAsia"/>
              </w:rPr>
              <w:t>和电导率</w:t>
            </w:r>
          </w:p>
        </w:tc>
        <w:tc>
          <w:tcPr>
            <w:tcW w:w="1429" w:type="dxa"/>
            <w:vMerge/>
            <w:tcBorders>
              <w:left w:val="nil"/>
              <w:right w:val="nil"/>
            </w:tcBorders>
            <w:vAlign w:val="center"/>
          </w:tcPr>
          <w:p w14:paraId="7F5895E3" w14:textId="77777777" w:rsidR="00D170E5" w:rsidRPr="002B55E9" w:rsidRDefault="00D170E5">
            <w:pPr>
              <w:pStyle w:val="affff6"/>
              <w:spacing w:line="0" w:lineRule="atLeast"/>
            </w:pPr>
          </w:p>
        </w:tc>
      </w:tr>
      <w:tr w:rsidR="00C60999" w:rsidRPr="002B55E9" w14:paraId="63AD628F" w14:textId="77777777">
        <w:trPr>
          <w:trHeight w:val="284"/>
        </w:trPr>
        <w:tc>
          <w:tcPr>
            <w:tcW w:w="466" w:type="dxa"/>
            <w:vMerge/>
            <w:tcBorders>
              <w:top w:val="nil"/>
              <w:left w:val="nil"/>
              <w:bottom w:val="single" w:sz="4" w:space="0" w:color="auto"/>
              <w:right w:val="single" w:sz="4" w:space="0" w:color="auto"/>
            </w:tcBorders>
            <w:vAlign w:val="center"/>
          </w:tcPr>
          <w:p w14:paraId="03836152" w14:textId="77777777" w:rsidR="00D170E5" w:rsidRPr="002B55E9" w:rsidRDefault="00D170E5">
            <w:pPr>
              <w:pStyle w:val="affff6"/>
              <w:spacing w:line="0" w:lineRule="atLeast"/>
            </w:pPr>
          </w:p>
        </w:tc>
        <w:tc>
          <w:tcPr>
            <w:tcW w:w="1263" w:type="dxa"/>
            <w:tcBorders>
              <w:top w:val="single" w:sz="4" w:space="0" w:color="auto"/>
              <w:left w:val="nil"/>
              <w:bottom w:val="single" w:sz="4" w:space="0" w:color="auto"/>
              <w:right w:val="single" w:sz="4" w:space="0" w:color="auto"/>
            </w:tcBorders>
            <w:vAlign w:val="center"/>
          </w:tcPr>
          <w:p w14:paraId="623935B1" w14:textId="77777777" w:rsidR="00D170E5" w:rsidRPr="002B55E9" w:rsidRDefault="00EF27AD">
            <w:pPr>
              <w:pStyle w:val="affff6"/>
              <w:spacing w:line="0" w:lineRule="atLeast"/>
            </w:pPr>
            <w:r w:rsidRPr="002B55E9">
              <w:rPr>
                <w:rFonts w:hint="eastAsia"/>
              </w:rPr>
              <w:t>②特征因子</w:t>
            </w:r>
          </w:p>
        </w:tc>
        <w:tc>
          <w:tcPr>
            <w:tcW w:w="6697" w:type="dxa"/>
            <w:tcBorders>
              <w:top w:val="single" w:sz="4" w:space="0" w:color="auto"/>
              <w:left w:val="nil"/>
              <w:bottom w:val="single" w:sz="4" w:space="0" w:color="auto"/>
              <w:right w:val="single" w:sz="4" w:space="0" w:color="auto"/>
            </w:tcBorders>
            <w:vAlign w:val="center"/>
          </w:tcPr>
          <w:p w14:paraId="47CDBC44" w14:textId="77777777" w:rsidR="00D170E5" w:rsidRPr="002B55E9" w:rsidRDefault="00EF27AD">
            <w:pPr>
              <w:pStyle w:val="affff6"/>
              <w:spacing w:line="0" w:lineRule="atLeast"/>
            </w:pPr>
            <w:r w:rsidRPr="002B55E9">
              <w:rPr>
                <w:rFonts w:hint="eastAsia"/>
              </w:rPr>
              <w:t>COD</w:t>
            </w:r>
            <w:r w:rsidRPr="002B55E9">
              <w:rPr>
                <w:rFonts w:ascii="宋体" w:hAnsi="宋体" w:hint="eastAsia"/>
              </w:rPr>
              <w:t>、氨氮</w:t>
            </w:r>
          </w:p>
        </w:tc>
        <w:tc>
          <w:tcPr>
            <w:tcW w:w="1429" w:type="dxa"/>
            <w:vMerge/>
            <w:tcBorders>
              <w:left w:val="nil"/>
              <w:right w:val="nil"/>
            </w:tcBorders>
            <w:vAlign w:val="center"/>
          </w:tcPr>
          <w:p w14:paraId="3ABC44EF" w14:textId="77777777" w:rsidR="00D170E5" w:rsidRPr="002B55E9" w:rsidRDefault="00D170E5">
            <w:pPr>
              <w:pStyle w:val="affff6"/>
              <w:spacing w:line="0" w:lineRule="atLeast"/>
            </w:pPr>
          </w:p>
        </w:tc>
      </w:tr>
      <w:tr w:rsidR="00C60999" w:rsidRPr="002B55E9" w14:paraId="2CB30786" w14:textId="77777777">
        <w:trPr>
          <w:trHeight w:val="284"/>
        </w:trPr>
        <w:tc>
          <w:tcPr>
            <w:tcW w:w="466" w:type="dxa"/>
            <w:vMerge/>
            <w:tcBorders>
              <w:top w:val="nil"/>
              <w:left w:val="nil"/>
              <w:bottom w:val="single" w:sz="4" w:space="0" w:color="auto"/>
              <w:right w:val="single" w:sz="4" w:space="0" w:color="auto"/>
            </w:tcBorders>
            <w:vAlign w:val="center"/>
          </w:tcPr>
          <w:p w14:paraId="0DAAEAB5" w14:textId="77777777" w:rsidR="00D170E5" w:rsidRPr="002B55E9" w:rsidRDefault="00D170E5">
            <w:pPr>
              <w:pStyle w:val="affff6"/>
              <w:spacing w:line="0" w:lineRule="atLeast"/>
            </w:pPr>
          </w:p>
        </w:tc>
        <w:tc>
          <w:tcPr>
            <w:tcW w:w="1263" w:type="dxa"/>
            <w:tcBorders>
              <w:top w:val="single" w:sz="4" w:space="0" w:color="auto"/>
              <w:left w:val="nil"/>
              <w:bottom w:val="single" w:sz="4" w:space="0" w:color="auto"/>
              <w:right w:val="single" w:sz="4" w:space="0" w:color="auto"/>
            </w:tcBorders>
            <w:vAlign w:val="center"/>
          </w:tcPr>
          <w:p w14:paraId="70FAE4AA" w14:textId="77777777" w:rsidR="00D170E5" w:rsidRPr="002B55E9" w:rsidRDefault="00EF27AD">
            <w:pPr>
              <w:pStyle w:val="affff6"/>
              <w:spacing w:line="0" w:lineRule="atLeast"/>
            </w:pPr>
            <w:r w:rsidRPr="002B55E9">
              <w:rPr>
                <w:rFonts w:hint="eastAsia"/>
              </w:rPr>
              <w:t>③环境因子</w:t>
            </w:r>
          </w:p>
        </w:tc>
        <w:tc>
          <w:tcPr>
            <w:tcW w:w="6697" w:type="dxa"/>
            <w:tcBorders>
              <w:top w:val="single" w:sz="4" w:space="0" w:color="auto"/>
              <w:left w:val="nil"/>
              <w:bottom w:val="single" w:sz="4" w:space="0" w:color="auto"/>
              <w:right w:val="single" w:sz="4" w:space="0" w:color="auto"/>
            </w:tcBorders>
            <w:vAlign w:val="center"/>
          </w:tcPr>
          <w:p w14:paraId="64232F76" w14:textId="77777777" w:rsidR="00D170E5" w:rsidRPr="002B55E9" w:rsidRDefault="00EF27AD">
            <w:pPr>
              <w:pStyle w:val="affff6"/>
              <w:spacing w:line="0" w:lineRule="atLeast"/>
            </w:pPr>
            <w:r w:rsidRPr="002B55E9">
              <w:rPr>
                <w:rFonts w:hint="eastAsia"/>
              </w:rPr>
              <w:t>K(</w:t>
            </w:r>
            <w:r w:rsidRPr="002B55E9">
              <w:rPr>
                <w:rFonts w:ascii="宋体" w:hAnsi="宋体" w:hint="eastAsia"/>
              </w:rPr>
              <w:t>钾</w:t>
            </w:r>
            <w:r w:rsidRPr="002B55E9">
              <w:rPr>
                <w:rFonts w:hint="eastAsia"/>
              </w:rPr>
              <w:t>)</w:t>
            </w:r>
            <w:r w:rsidRPr="002B55E9">
              <w:rPr>
                <w:rFonts w:ascii="宋体" w:hAnsi="宋体" w:hint="eastAsia"/>
              </w:rPr>
              <w:t>、</w:t>
            </w:r>
            <w:r w:rsidRPr="002B55E9">
              <w:rPr>
                <w:rFonts w:hint="eastAsia"/>
              </w:rPr>
              <w:t>Na(</w:t>
            </w:r>
            <w:r w:rsidRPr="002B55E9">
              <w:rPr>
                <w:rFonts w:ascii="宋体" w:hAnsi="宋体" w:hint="eastAsia"/>
              </w:rPr>
              <w:t>钠</w:t>
            </w:r>
            <w:r w:rsidRPr="002B55E9">
              <w:rPr>
                <w:rFonts w:hint="eastAsia"/>
              </w:rPr>
              <w:t>)</w:t>
            </w:r>
            <w:r w:rsidRPr="002B55E9">
              <w:rPr>
                <w:rFonts w:ascii="宋体" w:hAnsi="宋体" w:hint="eastAsia"/>
              </w:rPr>
              <w:t>、</w:t>
            </w:r>
            <w:r w:rsidRPr="002B55E9">
              <w:rPr>
                <w:rFonts w:hint="eastAsia"/>
              </w:rPr>
              <w:t>Ca(</w:t>
            </w:r>
            <w:r w:rsidRPr="002B55E9">
              <w:rPr>
                <w:rFonts w:ascii="宋体" w:hAnsi="宋体" w:hint="eastAsia"/>
              </w:rPr>
              <w:t>钙</w:t>
            </w:r>
            <w:r w:rsidRPr="002B55E9">
              <w:rPr>
                <w:rFonts w:hint="eastAsia"/>
              </w:rPr>
              <w:t>)</w:t>
            </w:r>
            <w:r w:rsidRPr="002B55E9">
              <w:rPr>
                <w:rFonts w:ascii="宋体" w:hAnsi="宋体" w:hint="eastAsia"/>
              </w:rPr>
              <w:t>、</w:t>
            </w:r>
            <w:r w:rsidRPr="002B55E9">
              <w:rPr>
                <w:rFonts w:hint="eastAsia"/>
              </w:rPr>
              <w:t>Mg(</w:t>
            </w:r>
            <w:r w:rsidRPr="002B55E9">
              <w:rPr>
                <w:rFonts w:ascii="宋体" w:hAnsi="宋体" w:hint="eastAsia"/>
              </w:rPr>
              <w:t>镁</w:t>
            </w:r>
            <w:r w:rsidRPr="002B55E9">
              <w:rPr>
                <w:rFonts w:hint="eastAsia"/>
              </w:rPr>
              <w:t>)</w:t>
            </w:r>
            <w:r w:rsidRPr="002B55E9">
              <w:rPr>
                <w:rFonts w:ascii="宋体" w:hAnsi="宋体" w:hint="eastAsia"/>
              </w:rPr>
              <w:t>、</w:t>
            </w:r>
            <w:r w:rsidRPr="002B55E9">
              <w:rPr>
                <w:rFonts w:hint="eastAsia"/>
              </w:rPr>
              <w:t>CO</w:t>
            </w:r>
            <w:r w:rsidRPr="002B55E9">
              <w:rPr>
                <w:rFonts w:hint="eastAsia"/>
                <w:vertAlign w:val="subscript"/>
              </w:rPr>
              <w:t>3</w:t>
            </w:r>
            <w:r w:rsidRPr="002B55E9">
              <w:rPr>
                <w:rFonts w:hint="eastAsia"/>
                <w:vertAlign w:val="superscript"/>
              </w:rPr>
              <w:t>2-</w:t>
            </w:r>
            <w:r w:rsidRPr="002B55E9">
              <w:rPr>
                <w:rFonts w:hint="eastAsia"/>
              </w:rPr>
              <w:t>（碳酸根）、</w:t>
            </w:r>
            <w:r w:rsidRPr="002B55E9">
              <w:rPr>
                <w:rFonts w:hint="eastAsia"/>
              </w:rPr>
              <w:t>HCO</w:t>
            </w:r>
            <w:r w:rsidRPr="002B55E9">
              <w:rPr>
                <w:rFonts w:hint="eastAsia"/>
                <w:vertAlign w:val="subscript"/>
              </w:rPr>
              <w:t>3</w:t>
            </w:r>
            <w:r w:rsidRPr="002B55E9">
              <w:rPr>
                <w:rFonts w:hint="eastAsia"/>
                <w:vertAlign w:val="superscript"/>
              </w:rPr>
              <w:t>-</w:t>
            </w:r>
            <w:r w:rsidRPr="002B55E9">
              <w:rPr>
                <w:rFonts w:hint="eastAsia"/>
              </w:rPr>
              <w:t>(</w:t>
            </w:r>
            <w:r w:rsidRPr="002B55E9">
              <w:rPr>
                <w:rFonts w:ascii="宋体" w:hAnsi="宋体" w:hint="eastAsia"/>
              </w:rPr>
              <w:t>重碳酸根</w:t>
            </w:r>
            <w:r w:rsidRPr="002B55E9">
              <w:rPr>
                <w:rFonts w:hint="eastAsia"/>
              </w:rPr>
              <w:t>)</w:t>
            </w:r>
            <w:r w:rsidRPr="002B55E9">
              <w:rPr>
                <w:rFonts w:ascii="宋体" w:hAnsi="宋体" w:hint="eastAsia"/>
              </w:rPr>
              <w:t>、</w:t>
            </w:r>
            <w:r w:rsidRPr="002B55E9">
              <w:rPr>
                <w:rFonts w:hint="eastAsia"/>
              </w:rPr>
              <w:t>Cl</w:t>
            </w:r>
            <w:r w:rsidRPr="002B55E9">
              <w:rPr>
                <w:rFonts w:hint="eastAsia"/>
                <w:vertAlign w:val="superscript"/>
              </w:rPr>
              <w:t>-</w:t>
            </w:r>
            <w:r w:rsidRPr="002B55E9">
              <w:rPr>
                <w:rFonts w:hint="eastAsia"/>
              </w:rPr>
              <w:t>(</w:t>
            </w:r>
            <w:r w:rsidRPr="002B55E9">
              <w:rPr>
                <w:rFonts w:ascii="宋体" w:hAnsi="宋体" w:hint="eastAsia"/>
              </w:rPr>
              <w:t>氯化</w:t>
            </w:r>
            <w:r w:rsidRPr="002B55E9">
              <w:rPr>
                <w:rFonts w:ascii="宋体" w:hAnsi="宋体" w:hint="eastAsia"/>
              </w:rPr>
              <w:lastRenderedPageBreak/>
              <w:t>物</w:t>
            </w:r>
            <w:r w:rsidRPr="002B55E9">
              <w:rPr>
                <w:rFonts w:hint="eastAsia"/>
              </w:rPr>
              <w:t>)</w:t>
            </w:r>
            <w:r w:rsidRPr="002B55E9">
              <w:rPr>
                <w:rFonts w:ascii="宋体" w:hAnsi="宋体" w:hint="eastAsia"/>
              </w:rPr>
              <w:t>和</w:t>
            </w:r>
            <w:r w:rsidRPr="002B55E9">
              <w:rPr>
                <w:rFonts w:hint="eastAsia"/>
              </w:rPr>
              <w:t>SO</w:t>
            </w:r>
            <w:r w:rsidRPr="002B55E9">
              <w:rPr>
                <w:rFonts w:hint="eastAsia"/>
                <w:vertAlign w:val="subscript"/>
              </w:rPr>
              <w:t>4</w:t>
            </w:r>
            <w:r w:rsidRPr="002B55E9">
              <w:rPr>
                <w:rFonts w:hint="eastAsia"/>
                <w:vertAlign w:val="superscript"/>
              </w:rPr>
              <w:t>2-</w:t>
            </w:r>
            <w:r w:rsidRPr="002B55E9">
              <w:rPr>
                <w:rFonts w:hint="eastAsia"/>
              </w:rPr>
              <w:t>(</w:t>
            </w:r>
            <w:r w:rsidRPr="002B55E9">
              <w:rPr>
                <w:rFonts w:ascii="宋体" w:hAnsi="宋体" w:hint="eastAsia"/>
              </w:rPr>
              <w:t>硫酸盐</w:t>
            </w:r>
            <w:r w:rsidRPr="002B55E9">
              <w:rPr>
                <w:rFonts w:hint="eastAsia"/>
              </w:rPr>
              <w:t>)</w:t>
            </w:r>
          </w:p>
        </w:tc>
        <w:tc>
          <w:tcPr>
            <w:tcW w:w="1429" w:type="dxa"/>
            <w:vMerge/>
            <w:tcBorders>
              <w:left w:val="nil"/>
              <w:right w:val="nil"/>
            </w:tcBorders>
            <w:vAlign w:val="center"/>
          </w:tcPr>
          <w:p w14:paraId="34E0BCAD" w14:textId="77777777" w:rsidR="00D170E5" w:rsidRPr="002B55E9" w:rsidRDefault="00D170E5">
            <w:pPr>
              <w:pStyle w:val="affff6"/>
              <w:spacing w:line="0" w:lineRule="atLeast"/>
            </w:pPr>
          </w:p>
        </w:tc>
      </w:tr>
      <w:tr w:rsidR="00C60999" w:rsidRPr="002B55E9" w14:paraId="00F890E3" w14:textId="77777777">
        <w:trPr>
          <w:trHeight w:val="284"/>
        </w:trPr>
        <w:tc>
          <w:tcPr>
            <w:tcW w:w="466" w:type="dxa"/>
            <w:vMerge/>
            <w:tcBorders>
              <w:top w:val="nil"/>
              <w:left w:val="nil"/>
              <w:bottom w:val="single" w:sz="12" w:space="0" w:color="auto"/>
              <w:right w:val="single" w:sz="4" w:space="0" w:color="auto"/>
            </w:tcBorders>
            <w:vAlign w:val="center"/>
          </w:tcPr>
          <w:p w14:paraId="6B346EE0" w14:textId="77777777" w:rsidR="00D170E5" w:rsidRPr="002B55E9" w:rsidRDefault="00D170E5">
            <w:pPr>
              <w:pStyle w:val="affff6"/>
              <w:spacing w:line="0" w:lineRule="atLeast"/>
            </w:pPr>
          </w:p>
        </w:tc>
        <w:tc>
          <w:tcPr>
            <w:tcW w:w="1263" w:type="dxa"/>
            <w:tcBorders>
              <w:top w:val="single" w:sz="4" w:space="0" w:color="auto"/>
              <w:left w:val="nil"/>
              <w:bottom w:val="single" w:sz="12" w:space="0" w:color="auto"/>
              <w:right w:val="single" w:sz="4" w:space="0" w:color="auto"/>
            </w:tcBorders>
            <w:vAlign w:val="center"/>
          </w:tcPr>
          <w:p w14:paraId="558E875A" w14:textId="77777777" w:rsidR="00D170E5" w:rsidRPr="002B55E9" w:rsidRDefault="00EF27AD">
            <w:pPr>
              <w:pStyle w:val="affff6"/>
              <w:spacing w:line="0" w:lineRule="atLeast"/>
            </w:pPr>
            <w:r w:rsidRPr="002B55E9">
              <w:rPr>
                <w:rFonts w:hint="eastAsia"/>
              </w:rPr>
              <w:t>④基本水质因子</w:t>
            </w:r>
          </w:p>
        </w:tc>
        <w:tc>
          <w:tcPr>
            <w:tcW w:w="6697" w:type="dxa"/>
            <w:tcBorders>
              <w:top w:val="single" w:sz="4" w:space="0" w:color="auto"/>
              <w:left w:val="nil"/>
              <w:bottom w:val="single" w:sz="12" w:space="0" w:color="auto"/>
              <w:right w:val="single" w:sz="4" w:space="0" w:color="auto"/>
            </w:tcBorders>
            <w:vAlign w:val="center"/>
          </w:tcPr>
          <w:p w14:paraId="57EB6AD3" w14:textId="77777777" w:rsidR="00D170E5" w:rsidRPr="002B55E9" w:rsidRDefault="00EF27AD">
            <w:pPr>
              <w:pStyle w:val="affff6"/>
              <w:spacing w:line="0" w:lineRule="atLeast"/>
            </w:pPr>
            <w:r w:rsidRPr="002B55E9">
              <w:t>pH</w:t>
            </w:r>
            <w:r w:rsidRPr="002B55E9">
              <w:rPr>
                <w:rFonts w:hint="eastAsia"/>
              </w:rPr>
              <w:t>、氨氮、</w:t>
            </w:r>
            <w:r w:rsidRPr="002B55E9">
              <w:t>NO</w:t>
            </w:r>
            <w:r w:rsidRPr="002B55E9">
              <w:rPr>
                <w:vertAlign w:val="subscript"/>
              </w:rPr>
              <w:t>3</w:t>
            </w:r>
            <w:r w:rsidRPr="002B55E9">
              <w:rPr>
                <w:vertAlign w:val="superscript"/>
              </w:rPr>
              <w:t>-</w:t>
            </w:r>
            <w:r w:rsidRPr="002B55E9">
              <w:t>(</w:t>
            </w:r>
            <w:r w:rsidRPr="002B55E9">
              <w:rPr>
                <w:rFonts w:hint="eastAsia"/>
              </w:rPr>
              <w:t>硝酸盐</w:t>
            </w:r>
            <w:r w:rsidRPr="002B55E9">
              <w:t>)</w:t>
            </w:r>
            <w:r w:rsidRPr="002B55E9">
              <w:rPr>
                <w:rFonts w:hint="eastAsia"/>
              </w:rPr>
              <w:t>、</w:t>
            </w:r>
            <w:r w:rsidRPr="002B55E9">
              <w:t>NO</w:t>
            </w:r>
            <w:r w:rsidRPr="002B55E9">
              <w:rPr>
                <w:vertAlign w:val="subscript"/>
              </w:rPr>
              <w:t>2</w:t>
            </w:r>
            <w:r w:rsidRPr="002B55E9">
              <w:rPr>
                <w:vertAlign w:val="superscript"/>
              </w:rPr>
              <w:t>-</w:t>
            </w:r>
            <w:r w:rsidRPr="002B55E9">
              <w:t>(</w:t>
            </w:r>
            <w:r w:rsidRPr="002B55E9">
              <w:rPr>
                <w:rFonts w:hint="eastAsia"/>
              </w:rPr>
              <w:t>亚硝酸盐</w:t>
            </w:r>
            <w:r w:rsidRPr="002B55E9">
              <w:t>)</w:t>
            </w:r>
            <w:r w:rsidRPr="002B55E9">
              <w:rPr>
                <w:rFonts w:hint="eastAsia"/>
              </w:rPr>
              <w:t>、挥发性酚类、氰化物、</w:t>
            </w:r>
            <w:r w:rsidRPr="002B55E9">
              <w:t>As(</w:t>
            </w:r>
            <w:r w:rsidRPr="002B55E9">
              <w:rPr>
                <w:rFonts w:hint="eastAsia"/>
              </w:rPr>
              <w:t>砷</w:t>
            </w:r>
            <w:r w:rsidRPr="002B55E9">
              <w:t>)</w:t>
            </w:r>
            <w:r w:rsidRPr="002B55E9">
              <w:rPr>
                <w:rFonts w:hint="eastAsia"/>
              </w:rPr>
              <w:t>、</w:t>
            </w:r>
            <w:r w:rsidRPr="002B55E9">
              <w:t>Hg(</w:t>
            </w:r>
            <w:r w:rsidRPr="002B55E9">
              <w:rPr>
                <w:rFonts w:hint="eastAsia"/>
              </w:rPr>
              <w:t>汞</w:t>
            </w:r>
            <w:r w:rsidRPr="002B55E9">
              <w:t>)</w:t>
            </w:r>
            <w:r w:rsidRPr="002B55E9">
              <w:rPr>
                <w:rFonts w:hint="eastAsia"/>
              </w:rPr>
              <w:t>、</w:t>
            </w:r>
            <w:r w:rsidRPr="002B55E9">
              <w:t>Cr</w:t>
            </w:r>
            <w:r w:rsidRPr="002B55E9">
              <w:rPr>
                <w:vertAlign w:val="superscript"/>
              </w:rPr>
              <w:t>6+</w:t>
            </w:r>
            <w:r w:rsidRPr="002B55E9">
              <w:t>(</w:t>
            </w:r>
            <w:r w:rsidRPr="002B55E9">
              <w:rPr>
                <w:rFonts w:hint="eastAsia"/>
              </w:rPr>
              <w:t>六价铬</w:t>
            </w:r>
            <w:r w:rsidRPr="002B55E9">
              <w:t>)</w:t>
            </w:r>
            <w:r w:rsidRPr="002B55E9">
              <w:rPr>
                <w:rFonts w:hint="eastAsia"/>
              </w:rPr>
              <w:t>、总硬度、</w:t>
            </w:r>
            <w:r w:rsidRPr="002B55E9">
              <w:t>Pb</w:t>
            </w:r>
            <w:r w:rsidRPr="002B55E9">
              <w:rPr>
                <w:rFonts w:hint="eastAsia"/>
              </w:rPr>
              <w:t>(</w:t>
            </w:r>
            <w:r w:rsidRPr="002B55E9">
              <w:rPr>
                <w:rFonts w:ascii="宋体" w:hAnsi="宋体" w:hint="eastAsia"/>
              </w:rPr>
              <w:t>铅</w:t>
            </w:r>
            <w:r w:rsidRPr="002B55E9">
              <w:rPr>
                <w:rFonts w:hint="eastAsia"/>
              </w:rPr>
              <w:t>)</w:t>
            </w:r>
            <w:r w:rsidRPr="002B55E9">
              <w:rPr>
                <w:rFonts w:ascii="宋体" w:hAnsi="宋体" w:hint="eastAsia"/>
              </w:rPr>
              <w:t>、</w:t>
            </w:r>
            <w:r w:rsidRPr="002B55E9">
              <w:t>F</w:t>
            </w:r>
            <w:r w:rsidRPr="002B55E9">
              <w:rPr>
                <w:vertAlign w:val="superscript"/>
              </w:rPr>
              <w:t>-</w:t>
            </w:r>
            <w:r w:rsidRPr="002B55E9">
              <w:t>(</w:t>
            </w:r>
            <w:r w:rsidRPr="002B55E9">
              <w:rPr>
                <w:rFonts w:hint="eastAsia"/>
              </w:rPr>
              <w:t>氟化物</w:t>
            </w:r>
            <w:r w:rsidRPr="002B55E9">
              <w:t>)</w:t>
            </w:r>
            <w:r w:rsidRPr="002B55E9">
              <w:rPr>
                <w:rFonts w:hint="eastAsia"/>
              </w:rPr>
              <w:t>、</w:t>
            </w:r>
            <w:r w:rsidRPr="002B55E9">
              <w:t>Cd(</w:t>
            </w:r>
            <w:r w:rsidRPr="002B55E9">
              <w:rPr>
                <w:rFonts w:hint="eastAsia"/>
              </w:rPr>
              <w:t>镉</w:t>
            </w:r>
            <w:r w:rsidRPr="002B55E9">
              <w:t>)</w:t>
            </w:r>
            <w:r w:rsidRPr="002B55E9">
              <w:rPr>
                <w:rFonts w:hint="eastAsia"/>
              </w:rPr>
              <w:t>、</w:t>
            </w:r>
            <w:r w:rsidRPr="002B55E9">
              <w:t>Fe(</w:t>
            </w:r>
            <w:r w:rsidRPr="002B55E9">
              <w:rPr>
                <w:rFonts w:hint="eastAsia"/>
              </w:rPr>
              <w:t>铁</w:t>
            </w:r>
            <w:r w:rsidRPr="002B55E9">
              <w:t>)</w:t>
            </w:r>
            <w:r w:rsidRPr="002B55E9">
              <w:rPr>
                <w:rFonts w:hint="eastAsia"/>
              </w:rPr>
              <w:t>、</w:t>
            </w:r>
            <w:r w:rsidRPr="002B55E9">
              <w:t>Mn(</w:t>
            </w:r>
            <w:r w:rsidRPr="002B55E9">
              <w:rPr>
                <w:rFonts w:hint="eastAsia"/>
              </w:rPr>
              <w:t>锰</w:t>
            </w:r>
            <w:r w:rsidRPr="002B55E9">
              <w:t>)</w:t>
            </w:r>
            <w:r w:rsidRPr="002B55E9">
              <w:rPr>
                <w:rFonts w:hint="eastAsia"/>
              </w:rPr>
              <w:t>、溶解性总固体、高锰酸盐指数、</w:t>
            </w:r>
            <w:r w:rsidRPr="002B55E9">
              <w:t>SO</w:t>
            </w:r>
            <w:r w:rsidRPr="002B55E9">
              <w:rPr>
                <w:vertAlign w:val="subscript"/>
              </w:rPr>
              <w:t>4</w:t>
            </w:r>
            <w:r w:rsidRPr="002B55E9">
              <w:rPr>
                <w:vertAlign w:val="superscript"/>
              </w:rPr>
              <w:t>2-</w:t>
            </w:r>
            <w:r w:rsidRPr="002B55E9">
              <w:t>(</w:t>
            </w:r>
            <w:r w:rsidRPr="002B55E9">
              <w:rPr>
                <w:rFonts w:hint="eastAsia"/>
              </w:rPr>
              <w:t>硫酸盐</w:t>
            </w:r>
            <w:r w:rsidRPr="002B55E9">
              <w:t>)</w:t>
            </w:r>
            <w:r w:rsidRPr="002B55E9">
              <w:rPr>
                <w:rFonts w:hint="eastAsia"/>
              </w:rPr>
              <w:t>、</w:t>
            </w:r>
            <w:r w:rsidRPr="002B55E9">
              <w:t>Cl</w:t>
            </w:r>
            <w:r w:rsidRPr="002B55E9">
              <w:rPr>
                <w:vertAlign w:val="superscript"/>
              </w:rPr>
              <w:t>-</w:t>
            </w:r>
            <w:r w:rsidRPr="002B55E9">
              <w:t>(</w:t>
            </w:r>
            <w:r w:rsidRPr="002B55E9">
              <w:rPr>
                <w:rFonts w:hint="eastAsia"/>
              </w:rPr>
              <w:t>氯化物</w:t>
            </w:r>
            <w:r w:rsidRPr="002B55E9">
              <w:t>) </w:t>
            </w:r>
          </w:p>
        </w:tc>
        <w:tc>
          <w:tcPr>
            <w:tcW w:w="1429" w:type="dxa"/>
            <w:vMerge/>
            <w:tcBorders>
              <w:left w:val="nil"/>
              <w:bottom w:val="single" w:sz="12" w:space="0" w:color="auto"/>
              <w:right w:val="nil"/>
            </w:tcBorders>
            <w:vAlign w:val="center"/>
          </w:tcPr>
          <w:p w14:paraId="7D6E0667" w14:textId="77777777" w:rsidR="00D170E5" w:rsidRPr="002B55E9" w:rsidRDefault="00D170E5">
            <w:pPr>
              <w:pStyle w:val="affff6"/>
              <w:spacing w:line="0" w:lineRule="atLeast"/>
            </w:pPr>
          </w:p>
        </w:tc>
      </w:tr>
    </w:tbl>
    <w:p w14:paraId="5ADB047E" w14:textId="77777777" w:rsidR="00D170E5" w:rsidRPr="002B55E9" w:rsidRDefault="00EF27AD">
      <w:pPr>
        <w:pStyle w:val="5"/>
      </w:pPr>
      <w:r w:rsidRPr="002B55E9">
        <w:rPr>
          <w:rFonts w:hint="eastAsia"/>
        </w:rPr>
        <w:t>土壤监测</w:t>
      </w:r>
    </w:p>
    <w:p w14:paraId="1F48402D" w14:textId="77777777" w:rsidR="00D170E5" w:rsidRPr="002B55E9" w:rsidRDefault="00EF27AD">
      <w:pPr>
        <w:pStyle w:val="affff7"/>
        <w:snapToGrid w:val="0"/>
        <w:spacing w:after="0"/>
      </w:pPr>
      <w:r w:rsidRPr="002B55E9">
        <w:t>根据《环境影响评价技术导则</w:t>
      </w:r>
      <w:r w:rsidRPr="002B55E9">
        <w:t xml:space="preserve"> </w:t>
      </w:r>
      <w:r w:rsidRPr="002B55E9">
        <w:t>土壤环境（试行）》（</w:t>
      </w:r>
      <w:r w:rsidRPr="002B55E9">
        <w:t>HJ964-2018</w:t>
      </w:r>
      <w:r w:rsidRPr="002B55E9">
        <w:t>）附录</w:t>
      </w:r>
      <w:r w:rsidRPr="002B55E9">
        <w:t>A</w:t>
      </w:r>
      <w:r w:rsidRPr="002B55E9">
        <w:t>，拟建项目为</w:t>
      </w:r>
      <w:r w:rsidRPr="002B55E9">
        <w:rPr>
          <w:rFonts w:ascii="宋体" w:hAnsi="宋体" w:hint="eastAsia"/>
        </w:rPr>
        <w:t>Ⅳ</w:t>
      </w:r>
      <w:r w:rsidRPr="002B55E9">
        <w:t>类建设项目，</w:t>
      </w:r>
      <w:r w:rsidRPr="002B55E9">
        <w:rPr>
          <w:rFonts w:hint="eastAsia"/>
        </w:rPr>
        <w:t>可不开展土壤评价，可</w:t>
      </w:r>
      <w:r w:rsidRPr="002B55E9">
        <w:t>不</w:t>
      </w:r>
      <w:r w:rsidRPr="002B55E9">
        <w:rPr>
          <w:rFonts w:hint="eastAsia"/>
        </w:rPr>
        <w:t>开展土壤环境质量跟踪监测</w:t>
      </w:r>
      <w:r w:rsidRPr="002B55E9">
        <w:t>。</w:t>
      </w:r>
    </w:p>
    <w:p w14:paraId="31D2BA97" w14:textId="77777777" w:rsidR="00D170E5" w:rsidRPr="002B55E9" w:rsidRDefault="00EF27AD">
      <w:pPr>
        <w:pStyle w:val="4"/>
        <w:rPr>
          <w:color w:val="auto"/>
        </w:rPr>
      </w:pPr>
      <w:r w:rsidRPr="002B55E9">
        <w:rPr>
          <w:rFonts w:hint="eastAsia"/>
          <w:color w:val="auto"/>
        </w:rPr>
        <w:t>监测资料的保存与建档</w:t>
      </w:r>
    </w:p>
    <w:p w14:paraId="7C4D0E31" w14:textId="77777777" w:rsidR="00D170E5" w:rsidRPr="002B55E9" w:rsidRDefault="00EF27AD">
      <w:pPr>
        <w:pStyle w:val="affff7"/>
      </w:pPr>
      <w:r w:rsidRPr="002B55E9">
        <w:t>（</w:t>
      </w:r>
      <w:r w:rsidRPr="002B55E9">
        <w:t>1</w:t>
      </w:r>
      <w:r w:rsidRPr="002B55E9">
        <w:t>）应有监测分析原始记录，记录应符合环境监测记录规范要求。</w:t>
      </w:r>
    </w:p>
    <w:p w14:paraId="332657C0" w14:textId="77777777" w:rsidR="00D170E5" w:rsidRPr="002B55E9" w:rsidRDefault="00EF27AD">
      <w:pPr>
        <w:pStyle w:val="affff7"/>
      </w:pPr>
      <w:r w:rsidRPr="002B55E9">
        <w:t>（</w:t>
      </w:r>
      <w:r w:rsidRPr="002B55E9">
        <w:t>2</w:t>
      </w:r>
      <w:r w:rsidRPr="002B55E9">
        <w:t>）及时做好监测资料的分析、反馈、通报与归档。</w:t>
      </w:r>
    </w:p>
    <w:p w14:paraId="61013498" w14:textId="77777777" w:rsidR="00D170E5" w:rsidRPr="002B55E9" w:rsidRDefault="00EF27AD">
      <w:pPr>
        <w:pStyle w:val="affff7"/>
      </w:pPr>
      <w:r w:rsidRPr="002B55E9">
        <w:t>（</w:t>
      </w:r>
      <w:r w:rsidRPr="002B55E9">
        <w:t>3</w:t>
      </w:r>
      <w:r w:rsidRPr="002B55E9">
        <w:t>）接受环保主管部门的监督和指导。</w:t>
      </w:r>
    </w:p>
    <w:p w14:paraId="064B8EE1" w14:textId="77777777" w:rsidR="00D170E5" w:rsidRPr="002B55E9" w:rsidRDefault="00EF27AD">
      <w:pPr>
        <w:pStyle w:val="3"/>
      </w:pPr>
      <w:bookmarkStart w:id="354" w:name="_Toc119309038"/>
      <w:bookmarkStart w:id="355" w:name="_Toc247186219"/>
      <w:bookmarkStart w:id="356" w:name="_Toc227059325"/>
      <w:bookmarkStart w:id="357" w:name="_Toc227059241"/>
      <w:bookmarkStart w:id="358" w:name="_Toc22874633"/>
      <w:bookmarkStart w:id="359" w:name="_Toc196755168"/>
      <w:r w:rsidRPr="002B55E9">
        <w:t>环境管理</w:t>
      </w:r>
      <w:bookmarkEnd w:id="354"/>
      <w:bookmarkEnd w:id="355"/>
      <w:bookmarkEnd w:id="356"/>
      <w:bookmarkEnd w:id="357"/>
      <w:bookmarkEnd w:id="358"/>
      <w:bookmarkEnd w:id="359"/>
    </w:p>
    <w:p w14:paraId="1BB4F12F" w14:textId="77777777" w:rsidR="00D170E5" w:rsidRPr="002B55E9" w:rsidRDefault="00EF27AD">
      <w:pPr>
        <w:pStyle w:val="4"/>
        <w:rPr>
          <w:color w:val="auto"/>
        </w:rPr>
      </w:pPr>
      <w:r w:rsidRPr="002B55E9">
        <w:rPr>
          <w:color w:val="auto"/>
        </w:rPr>
        <w:t>环境管理机构</w:t>
      </w:r>
    </w:p>
    <w:p w14:paraId="07954855" w14:textId="77777777" w:rsidR="00D170E5" w:rsidRPr="002B55E9" w:rsidRDefault="00EF27AD">
      <w:pPr>
        <w:pStyle w:val="affff7"/>
      </w:pPr>
      <w:r w:rsidRPr="002B55E9">
        <w:t>企业的环境管理同计划管理、生产管理、质量管理、服务管理等各项专业管理一样，是企业管理的重要组成部分，企业应建立健全内部的环境管理机构和环境管理体系。按照国家有关规定，结合建设单位的实际情况，设置安全环保处，在总经理统一领导下负责全厂的安全环保工作。同时</w:t>
      </w:r>
      <w:r w:rsidRPr="002B55E9">
        <w:rPr>
          <w:rFonts w:hint="eastAsia"/>
        </w:rPr>
        <w:t>配备</w:t>
      </w:r>
      <w:r w:rsidRPr="002B55E9">
        <w:t>废气处置和废水处理设备专职修理人员，定期和及时检修设备。管理机构见图</w:t>
      </w:r>
      <w:r w:rsidRPr="002B55E9">
        <w:rPr>
          <w:rFonts w:hint="eastAsia"/>
        </w:rPr>
        <w:t>11</w:t>
      </w:r>
      <w:r w:rsidRPr="002B55E9">
        <w:t>-</w:t>
      </w:r>
      <w:r w:rsidRPr="002B55E9">
        <w:rPr>
          <w:rFonts w:hint="eastAsia"/>
        </w:rPr>
        <w:t>2</w:t>
      </w:r>
      <w:r w:rsidRPr="002B55E9">
        <w:t>-1</w:t>
      </w:r>
      <w:r w:rsidRPr="002B55E9">
        <w:t>。</w:t>
      </w:r>
    </w:p>
    <w:p w14:paraId="05049776" w14:textId="77777777" w:rsidR="00D170E5" w:rsidRPr="002B55E9" w:rsidRDefault="00EF27AD">
      <w:pPr>
        <w:spacing w:line="360" w:lineRule="auto"/>
        <w:jc w:val="center"/>
      </w:pPr>
      <w:r w:rsidRPr="002B55E9">
        <w:rPr>
          <w:noProof/>
        </w:rPr>
        <mc:AlternateContent>
          <mc:Choice Requires="wpc">
            <w:drawing>
              <wp:anchor distT="0" distB="0" distL="114300" distR="114300" simplePos="0" relativeHeight="251653632" behindDoc="0" locked="0" layoutInCell="1" allowOverlap="1" wp14:anchorId="6053627C" wp14:editId="6B08CA58">
                <wp:simplePos x="0" y="0"/>
                <wp:positionH relativeFrom="character">
                  <wp:posOffset>0</wp:posOffset>
                </wp:positionH>
                <wp:positionV relativeFrom="line">
                  <wp:posOffset>0</wp:posOffset>
                </wp:positionV>
                <wp:extent cx="4548505" cy="2510155"/>
                <wp:effectExtent l="19685" t="19685" r="22860" b="22860"/>
                <wp:wrapNone/>
                <wp:docPr id="25188" name="画布 25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15" name="矩形 25190"/>
                        <wps:cNvSpPr>
                          <a:spLocks noChangeArrowheads="1"/>
                        </wps:cNvSpPr>
                        <wps:spPr bwMode="auto">
                          <a:xfrm>
                            <a:off x="133455" y="765882"/>
                            <a:ext cx="850879" cy="211659"/>
                          </a:xfrm>
                          <a:prstGeom prst="rect">
                            <a:avLst/>
                          </a:prstGeom>
                          <a:solidFill>
                            <a:srgbClr val="FFFFFF"/>
                          </a:solidFill>
                          <a:ln w="6350">
                            <a:solidFill>
                              <a:srgbClr val="000000"/>
                            </a:solidFill>
                            <a:miter lim="800000"/>
                          </a:ln>
                        </wps:spPr>
                        <wps:txbx>
                          <w:txbxContent>
                            <w:p w14:paraId="293E643B" w14:textId="77777777" w:rsidR="003C27EE" w:rsidRDefault="003C27EE">
                              <w:pPr>
                                <w:spacing w:line="0" w:lineRule="atLeast"/>
                                <w:jc w:val="center"/>
                                <w:rPr>
                                  <w:sz w:val="18"/>
                                  <w:szCs w:val="18"/>
                                </w:rPr>
                              </w:pPr>
                              <w:r>
                                <w:rPr>
                                  <w:rFonts w:hint="eastAsia"/>
                                  <w:sz w:val="18"/>
                                  <w:szCs w:val="18"/>
                                </w:rPr>
                                <w:t>其它副总经理</w:t>
                              </w:r>
                            </w:p>
                          </w:txbxContent>
                        </wps:txbx>
                        <wps:bodyPr rot="0" vert="horz" wrap="square" lIns="0" tIns="36000" rIns="0" bIns="0" anchor="t" anchorCtr="0" upright="1">
                          <a:noAutofit/>
                        </wps:bodyPr>
                      </wps:wsp>
                      <wps:wsp>
                        <wps:cNvPr id="16" name="矩形 25191"/>
                        <wps:cNvSpPr>
                          <a:spLocks noChangeArrowheads="1"/>
                        </wps:cNvSpPr>
                        <wps:spPr bwMode="auto">
                          <a:xfrm>
                            <a:off x="3401816" y="787983"/>
                            <a:ext cx="957983" cy="197208"/>
                          </a:xfrm>
                          <a:prstGeom prst="rect">
                            <a:avLst/>
                          </a:prstGeom>
                          <a:solidFill>
                            <a:srgbClr val="FFFFFF"/>
                          </a:solidFill>
                          <a:ln w="6350">
                            <a:solidFill>
                              <a:srgbClr val="000000"/>
                            </a:solidFill>
                            <a:miter lim="800000"/>
                          </a:ln>
                        </wps:spPr>
                        <wps:txbx>
                          <w:txbxContent>
                            <w:p w14:paraId="384B7D63" w14:textId="77777777" w:rsidR="003C27EE" w:rsidRDefault="003C27EE">
                              <w:pPr>
                                <w:spacing w:line="0" w:lineRule="atLeast"/>
                                <w:jc w:val="center"/>
                                <w:rPr>
                                  <w:sz w:val="18"/>
                                  <w:szCs w:val="18"/>
                                </w:rPr>
                              </w:pPr>
                              <w:r>
                                <w:rPr>
                                  <w:rFonts w:hint="eastAsia"/>
                                  <w:sz w:val="18"/>
                                  <w:szCs w:val="18"/>
                                </w:rPr>
                                <w:t>环保副总经理</w:t>
                              </w:r>
                            </w:p>
                          </w:txbxContent>
                        </wps:txbx>
                        <wps:bodyPr rot="0" vert="horz" wrap="square" lIns="0" tIns="36000" rIns="0" bIns="0" anchor="t" anchorCtr="0" upright="1">
                          <a:noAutofit/>
                        </wps:bodyPr>
                      </wps:wsp>
                      <wps:wsp>
                        <wps:cNvPr id="17" name="矩形 25192"/>
                        <wps:cNvSpPr>
                          <a:spLocks noChangeArrowheads="1"/>
                        </wps:cNvSpPr>
                        <wps:spPr bwMode="auto">
                          <a:xfrm>
                            <a:off x="1806312" y="118155"/>
                            <a:ext cx="708924" cy="189558"/>
                          </a:xfrm>
                          <a:prstGeom prst="rect">
                            <a:avLst/>
                          </a:prstGeom>
                          <a:solidFill>
                            <a:srgbClr val="FFFFFF"/>
                          </a:solidFill>
                          <a:ln w="6350">
                            <a:solidFill>
                              <a:srgbClr val="000000"/>
                            </a:solidFill>
                            <a:miter lim="800000"/>
                          </a:ln>
                        </wps:spPr>
                        <wps:txbx>
                          <w:txbxContent>
                            <w:p w14:paraId="40389A3A" w14:textId="77777777" w:rsidR="003C27EE" w:rsidRDefault="003C27EE">
                              <w:pPr>
                                <w:spacing w:line="0" w:lineRule="atLeast"/>
                                <w:jc w:val="center"/>
                                <w:rPr>
                                  <w:sz w:val="18"/>
                                  <w:szCs w:val="18"/>
                                </w:rPr>
                              </w:pPr>
                              <w:r>
                                <w:rPr>
                                  <w:rFonts w:hint="eastAsia"/>
                                  <w:sz w:val="18"/>
                                  <w:szCs w:val="18"/>
                                </w:rPr>
                                <w:t>总经理</w:t>
                              </w:r>
                            </w:p>
                          </w:txbxContent>
                        </wps:txbx>
                        <wps:bodyPr rot="0" vert="horz" wrap="square" lIns="0" tIns="36000" rIns="0" bIns="0" anchor="t" anchorCtr="0" upright="1">
                          <a:noAutofit/>
                        </wps:bodyPr>
                      </wps:wsp>
                      <wps:wsp>
                        <wps:cNvPr id="40" name="矩形 25193"/>
                        <wps:cNvSpPr>
                          <a:spLocks noChangeArrowheads="1"/>
                        </wps:cNvSpPr>
                        <wps:spPr bwMode="auto">
                          <a:xfrm>
                            <a:off x="156405" y="1255503"/>
                            <a:ext cx="850879" cy="198058"/>
                          </a:xfrm>
                          <a:prstGeom prst="rect">
                            <a:avLst/>
                          </a:prstGeom>
                          <a:solidFill>
                            <a:srgbClr val="FFFFFF"/>
                          </a:solidFill>
                          <a:ln w="6350">
                            <a:solidFill>
                              <a:srgbClr val="000000"/>
                            </a:solidFill>
                            <a:miter lim="800000"/>
                          </a:ln>
                        </wps:spPr>
                        <wps:txbx>
                          <w:txbxContent>
                            <w:p w14:paraId="3EEFBBD8" w14:textId="77777777" w:rsidR="003C27EE" w:rsidRDefault="003C27EE">
                              <w:pPr>
                                <w:spacing w:line="0" w:lineRule="atLeast"/>
                                <w:jc w:val="center"/>
                                <w:rPr>
                                  <w:sz w:val="18"/>
                                  <w:szCs w:val="18"/>
                                </w:rPr>
                              </w:pPr>
                              <w:r>
                                <w:rPr>
                                  <w:rFonts w:hint="eastAsia"/>
                                  <w:sz w:val="18"/>
                                  <w:szCs w:val="18"/>
                                </w:rPr>
                                <w:t>各职能科室</w:t>
                              </w:r>
                            </w:p>
                          </w:txbxContent>
                        </wps:txbx>
                        <wps:bodyPr rot="0" vert="horz" wrap="square" lIns="0" tIns="36000" rIns="0" bIns="0" anchor="t" anchorCtr="0" upright="1">
                          <a:noAutofit/>
                        </wps:bodyPr>
                      </wps:wsp>
                      <wps:wsp>
                        <wps:cNvPr id="41" name="矩形 25194"/>
                        <wps:cNvSpPr>
                          <a:spLocks noChangeArrowheads="1"/>
                        </wps:cNvSpPr>
                        <wps:spPr bwMode="auto">
                          <a:xfrm>
                            <a:off x="124954" y="1724722"/>
                            <a:ext cx="850879" cy="198058"/>
                          </a:xfrm>
                          <a:prstGeom prst="rect">
                            <a:avLst/>
                          </a:prstGeom>
                          <a:solidFill>
                            <a:srgbClr val="FFFFFF"/>
                          </a:solidFill>
                          <a:ln w="6350">
                            <a:solidFill>
                              <a:srgbClr val="000000"/>
                            </a:solidFill>
                            <a:miter lim="800000"/>
                          </a:ln>
                        </wps:spPr>
                        <wps:txbx>
                          <w:txbxContent>
                            <w:p w14:paraId="1E526589" w14:textId="77777777" w:rsidR="003C27EE" w:rsidRDefault="003C27EE">
                              <w:pPr>
                                <w:spacing w:line="0" w:lineRule="atLeast"/>
                                <w:jc w:val="center"/>
                                <w:rPr>
                                  <w:sz w:val="18"/>
                                  <w:szCs w:val="18"/>
                                </w:rPr>
                              </w:pPr>
                              <w:r>
                                <w:rPr>
                                  <w:rFonts w:hint="eastAsia"/>
                                  <w:sz w:val="18"/>
                                  <w:szCs w:val="18"/>
                                </w:rPr>
                                <w:t>车</w:t>
                              </w:r>
                              <w:r>
                                <w:rPr>
                                  <w:sz w:val="18"/>
                                  <w:szCs w:val="18"/>
                                </w:rPr>
                                <w:t xml:space="preserve">    </w:t>
                              </w:r>
                              <w:r>
                                <w:rPr>
                                  <w:rFonts w:hint="eastAsia"/>
                                  <w:sz w:val="18"/>
                                  <w:szCs w:val="18"/>
                                </w:rPr>
                                <w:t>间</w:t>
                              </w:r>
                            </w:p>
                          </w:txbxContent>
                        </wps:txbx>
                        <wps:bodyPr rot="0" vert="horz" wrap="square" lIns="0" tIns="36000" rIns="0" bIns="0" anchor="t" anchorCtr="0" upright="1">
                          <a:noAutofit/>
                        </wps:bodyPr>
                      </wps:wsp>
                      <wps:wsp>
                        <wps:cNvPr id="50" name="矩形 25195"/>
                        <wps:cNvSpPr>
                          <a:spLocks noChangeArrowheads="1"/>
                        </wps:cNvSpPr>
                        <wps:spPr bwMode="auto">
                          <a:xfrm>
                            <a:off x="146205" y="2221143"/>
                            <a:ext cx="852579" cy="212509"/>
                          </a:xfrm>
                          <a:prstGeom prst="rect">
                            <a:avLst/>
                          </a:prstGeom>
                          <a:solidFill>
                            <a:srgbClr val="FFFFFF"/>
                          </a:solidFill>
                          <a:ln w="6350">
                            <a:solidFill>
                              <a:srgbClr val="000000"/>
                            </a:solidFill>
                            <a:miter lim="800000"/>
                          </a:ln>
                        </wps:spPr>
                        <wps:txbx>
                          <w:txbxContent>
                            <w:p w14:paraId="66043DD6" w14:textId="77777777" w:rsidR="003C27EE" w:rsidRDefault="003C27EE">
                              <w:pPr>
                                <w:spacing w:line="0" w:lineRule="atLeast"/>
                                <w:jc w:val="center"/>
                                <w:rPr>
                                  <w:sz w:val="18"/>
                                  <w:szCs w:val="18"/>
                                </w:rPr>
                              </w:pPr>
                              <w:r>
                                <w:rPr>
                                  <w:rFonts w:hint="eastAsia"/>
                                  <w:sz w:val="18"/>
                                  <w:szCs w:val="18"/>
                                </w:rPr>
                                <w:t>岗</w:t>
                              </w:r>
                              <w:r>
                                <w:rPr>
                                  <w:sz w:val="18"/>
                                  <w:szCs w:val="18"/>
                                </w:rPr>
                                <w:t xml:space="preserve">    </w:t>
                              </w:r>
                              <w:r>
                                <w:rPr>
                                  <w:rFonts w:hint="eastAsia"/>
                                  <w:sz w:val="18"/>
                                  <w:szCs w:val="18"/>
                                </w:rPr>
                                <w:t>位</w:t>
                              </w:r>
                            </w:p>
                          </w:txbxContent>
                        </wps:txbx>
                        <wps:bodyPr rot="0" vert="horz" wrap="square" lIns="0" tIns="36000" rIns="0" bIns="0" anchor="t" anchorCtr="0" upright="1">
                          <a:noAutofit/>
                        </wps:bodyPr>
                      </wps:wsp>
                      <wps:wsp>
                        <wps:cNvPr id="58" name="矩形 25196"/>
                        <wps:cNvSpPr>
                          <a:spLocks noChangeArrowheads="1"/>
                        </wps:cNvSpPr>
                        <wps:spPr bwMode="auto">
                          <a:xfrm>
                            <a:off x="3411166" y="1256353"/>
                            <a:ext cx="957983" cy="199758"/>
                          </a:xfrm>
                          <a:prstGeom prst="rect">
                            <a:avLst/>
                          </a:prstGeom>
                          <a:solidFill>
                            <a:srgbClr val="FFFFFF"/>
                          </a:solidFill>
                          <a:ln w="6350">
                            <a:solidFill>
                              <a:srgbClr val="000000"/>
                            </a:solidFill>
                            <a:miter lim="800000"/>
                          </a:ln>
                        </wps:spPr>
                        <wps:txbx>
                          <w:txbxContent>
                            <w:p w14:paraId="675C5421" w14:textId="77777777" w:rsidR="003C27EE" w:rsidRDefault="003C27EE">
                              <w:pPr>
                                <w:spacing w:line="0" w:lineRule="atLeast"/>
                                <w:jc w:val="center"/>
                                <w:rPr>
                                  <w:sz w:val="18"/>
                                  <w:szCs w:val="18"/>
                                </w:rPr>
                              </w:pPr>
                              <w:r>
                                <w:rPr>
                                  <w:rFonts w:hint="eastAsia"/>
                                  <w:sz w:val="18"/>
                                  <w:szCs w:val="18"/>
                                </w:rPr>
                                <w:t>安全环保处</w:t>
                              </w:r>
                            </w:p>
                          </w:txbxContent>
                        </wps:txbx>
                        <wps:bodyPr rot="0" vert="horz" wrap="square" lIns="0" tIns="36000" rIns="0" bIns="0" anchor="t" anchorCtr="0" upright="1">
                          <a:noAutofit/>
                        </wps:bodyPr>
                      </wps:wsp>
                      <wps:wsp>
                        <wps:cNvPr id="59" name="矩形 25197"/>
                        <wps:cNvSpPr>
                          <a:spLocks noChangeArrowheads="1"/>
                        </wps:cNvSpPr>
                        <wps:spPr bwMode="auto">
                          <a:xfrm>
                            <a:off x="3500419" y="1727272"/>
                            <a:ext cx="957983" cy="198058"/>
                          </a:xfrm>
                          <a:prstGeom prst="rect">
                            <a:avLst/>
                          </a:prstGeom>
                          <a:solidFill>
                            <a:srgbClr val="FFFFFF"/>
                          </a:solidFill>
                          <a:ln w="6350">
                            <a:solidFill>
                              <a:srgbClr val="000000"/>
                            </a:solidFill>
                            <a:miter lim="800000"/>
                          </a:ln>
                        </wps:spPr>
                        <wps:txbx>
                          <w:txbxContent>
                            <w:p w14:paraId="14A00EA9" w14:textId="77777777" w:rsidR="003C27EE" w:rsidRDefault="003C27EE">
                              <w:pPr>
                                <w:spacing w:line="0" w:lineRule="atLeast"/>
                                <w:jc w:val="center"/>
                                <w:rPr>
                                  <w:sz w:val="18"/>
                                  <w:szCs w:val="18"/>
                                </w:rPr>
                              </w:pPr>
                              <w:r>
                                <w:rPr>
                                  <w:rFonts w:hint="eastAsia"/>
                                  <w:sz w:val="18"/>
                                  <w:szCs w:val="18"/>
                                </w:rPr>
                                <w:t>监</w:t>
                              </w:r>
                              <w:r>
                                <w:rPr>
                                  <w:sz w:val="18"/>
                                  <w:szCs w:val="18"/>
                                </w:rPr>
                                <w:t xml:space="preserve">  </w:t>
                              </w:r>
                              <w:r>
                                <w:rPr>
                                  <w:rFonts w:hint="eastAsia"/>
                                  <w:sz w:val="18"/>
                                  <w:szCs w:val="18"/>
                                </w:rPr>
                                <w:t>测</w:t>
                              </w:r>
                            </w:p>
                          </w:txbxContent>
                        </wps:txbx>
                        <wps:bodyPr rot="0" vert="horz" wrap="square" lIns="0" tIns="36000" rIns="0" bIns="0" anchor="t" anchorCtr="0" upright="1">
                          <a:noAutofit/>
                        </wps:bodyPr>
                      </wps:wsp>
                      <wps:wsp>
                        <wps:cNvPr id="60" name="矩形 25198"/>
                        <wps:cNvSpPr>
                          <a:spLocks noChangeArrowheads="1"/>
                        </wps:cNvSpPr>
                        <wps:spPr bwMode="auto">
                          <a:xfrm>
                            <a:off x="1950816" y="1121197"/>
                            <a:ext cx="532118" cy="148756"/>
                          </a:xfrm>
                          <a:prstGeom prst="rect">
                            <a:avLst/>
                          </a:prstGeom>
                          <a:noFill/>
                          <a:ln>
                            <a:noFill/>
                          </a:ln>
                        </wps:spPr>
                        <wps:txbx>
                          <w:txbxContent>
                            <w:p w14:paraId="6DF9E51E" w14:textId="77777777" w:rsidR="003C27EE" w:rsidRDefault="003C27EE">
                              <w:pPr>
                                <w:spacing w:line="0" w:lineRule="atLeast"/>
                                <w:jc w:val="center"/>
                                <w:rPr>
                                  <w:sz w:val="18"/>
                                  <w:szCs w:val="18"/>
                                </w:rPr>
                              </w:pPr>
                              <w:r>
                                <w:rPr>
                                  <w:rFonts w:hint="eastAsia"/>
                                  <w:sz w:val="18"/>
                                  <w:szCs w:val="18"/>
                                </w:rPr>
                                <w:t>协调</w:t>
                              </w:r>
                            </w:p>
                          </w:txbxContent>
                        </wps:txbx>
                        <wps:bodyPr rot="0" vert="horz" wrap="square" lIns="0" tIns="0" rIns="0" bIns="0" anchor="t" anchorCtr="0" upright="1">
                          <a:noAutofit/>
                        </wps:bodyPr>
                      </wps:wsp>
                      <wps:wsp>
                        <wps:cNvPr id="61" name="矩形 25199"/>
                        <wps:cNvSpPr>
                          <a:spLocks noChangeArrowheads="1"/>
                        </wps:cNvSpPr>
                        <wps:spPr bwMode="auto">
                          <a:xfrm>
                            <a:off x="1024285" y="1751923"/>
                            <a:ext cx="643472" cy="149606"/>
                          </a:xfrm>
                          <a:prstGeom prst="rect">
                            <a:avLst/>
                          </a:prstGeom>
                          <a:noFill/>
                          <a:ln>
                            <a:noFill/>
                          </a:ln>
                        </wps:spPr>
                        <wps:txbx>
                          <w:txbxContent>
                            <w:p w14:paraId="385E2BB8" w14:textId="77777777" w:rsidR="003C27EE" w:rsidRDefault="003C27EE">
                              <w:pPr>
                                <w:spacing w:line="0" w:lineRule="atLeast"/>
                                <w:jc w:val="center"/>
                                <w:rPr>
                                  <w:sz w:val="18"/>
                                  <w:szCs w:val="18"/>
                                </w:rPr>
                              </w:pPr>
                              <w:r>
                                <w:rPr>
                                  <w:rFonts w:hint="eastAsia"/>
                                  <w:sz w:val="18"/>
                                  <w:szCs w:val="18"/>
                                </w:rPr>
                                <w:t>监督考核</w:t>
                              </w:r>
                            </w:p>
                          </w:txbxContent>
                        </wps:txbx>
                        <wps:bodyPr rot="0" vert="horz" wrap="square" lIns="0" tIns="0" rIns="0" bIns="0" anchor="t" anchorCtr="0" upright="1">
                          <a:noAutofit/>
                        </wps:bodyPr>
                      </wps:wsp>
                      <wps:wsp>
                        <wps:cNvPr id="62" name="任意多边形 25200"/>
                        <wps:cNvSpPr/>
                        <wps:spPr bwMode="auto">
                          <a:xfrm>
                            <a:off x="2166724" y="317913"/>
                            <a:ext cx="850" cy="713180"/>
                          </a:xfrm>
                          <a:custGeom>
                            <a:avLst/>
                            <a:gdLst>
                              <a:gd name="T0" fmla="*/ 0 w 1"/>
                              <a:gd name="T1" fmla="*/ 0 h 1386"/>
                              <a:gd name="T2" fmla="*/ 0 w 1"/>
                              <a:gd name="T3" fmla="*/ 1386 h 1386"/>
                            </a:gdLst>
                            <a:ahLst/>
                            <a:cxnLst>
                              <a:cxn ang="0">
                                <a:pos x="T0" y="T1"/>
                              </a:cxn>
                              <a:cxn ang="0">
                                <a:pos x="T2" y="T3"/>
                              </a:cxn>
                            </a:cxnLst>
                            <a:rect l="0" t="0" r="r" b="b"/>
                            <a:pathLst>
                              <a:path w="1" h="1386">
                                <a:moveTo>
                                  <a:pt x="0" y="0"/>
                                </a:moveTo>
                                <a:lnTo>
                                  <a:pt x="0" y="1386"/>
                                </a:lnTo>
                              </a:path>
                            </a:pathLst>
                          </a:custGeom>
                          <a:noFill/>
                          <a:ln w="6350" cmpd="sng">
                            <a:solidFill>
                              <a:srgbClr val="000000"/>
                            </a:solidFill>
                            <a:round/>
                            <a:tailEnd type="triangle" w="sm" len="sm"/>
                          </a:ln>
                        </wps:spPr>
                        <wps:bodyPr rot="0" vert="horz" wrap="square" lIns="0" tIns="0" rIns="0" bIns="0" anchor="t" anchorCtr="0" upright="1">
                          <a:noAutofit/>
                        </wps:bodyPr>
                      </wps:wsp>
                      <wps:wsp>
                        <wps:cNvPr id="63" name="直线 25201"/>
                        <wps:cNvCnPr>
                          <a:cxnSpLocks noChangeShapeType="1"/>
                        </wps:cNvCnPr>
                        <wps:spPr bwMode="auto">
                          <a:xfrm>
                            <a:off x="555069" y="1462061"/>
                            <a:ext cx="0" cy="266061"/>
                          </a:xfrm>
                          <a:prstGeom prst="line">
                            <a:avLst/>
                          </a:prstGeom>
                          <a:noFill/>
                          <a:ln w="6350">
                            <a:solidFill>
                              <a:srgbClr val="000000"/>
                            </a:solidFill>
                            <a:round/>
                            <a:tailEnd type="triangle" w="sm" len="sm"/>
                          </a:ln>
                        </wps:spPr>
                        <wps:bodyPr/>
                      </wps:wsp>
                      <wps:wsp>
                        <wps:cNvPr id="64" name="任意多边形 25202"/>
                        <wps:cNvSpPr/>
                        <wps:spPr bwMode="auto">
                          <a:xfrm>
                            <a:off x="566119" y="1932131"/>
                            <a:ext cx="4250" cy="272011"/>
                          </a:xfrm>
                          <a:custGeom>
                            <a:avLst/>
                            <a:gdLst>
                              <a:gd name="T0" fmla="*/ 7 w 7"/>
                              <a:gd name="T1" fmla="*/ 0 h 529"/>
                              <a:gd name="T2" fmla="*/ 0 w 7"/>
                              <a:gd name="T3" fmla="*/ 529 h 529"/>
                            </a:gdLst>
                            <a:ahLst/>
                            <a:cxnLst>
                              <a:cxn ang="0">
                                <a:pos x="T0" y="T1"/>
                              </a:cxn>
                              <a:cxn ang="0">
                                <a:pos x="T2" y="T3"/>
                              </a:cxn>
                            </a:cxnLst>
                            <a:rect l="0" t="0" r="r" b="b"/>
                            <a:pathLst>
                              <a:path w="7" h="529">
                                <a:moveTo>
                                  <a:pt x="7" y="0"/>
                                </a:moveTo>
                                <a:lnTo>
                                  <a:pt x="0" y="529"/>
                                </a:lnTo>
                              </a:path>
                            </a:pathLst>
                          </a:custGeom>
                          <a:noFill/>
                          <a:ln w="6350" cmpd="sng">
                            <a:solidFill>
                              <a:srgbClr val="000000"/>
                            </a:solidFill>
                            <a:round/>
                            <a:tailEnd type="triangle" w="sm" len="sm"/>
                          </a:ln>
                        </wps:spPr>
                        <wps:bodyPr rot="0" vert="horz" wrap="square" lIns="0" tIns="0" rIns="0" bIns="0" anchor="t" anchorCtr="0" upright="1">
                          <a:noAutofit/>
                        </wps:bodyPr>
                      </wps:wsp>
                      <wps:wsp>
                        <wps:cNvPr id="65" name="任意多边形 25203"/>
                        <wps:cNvSpPr/>
                        <wps:spPr bwMode="auto">
                          <a:xfrm>
                            <a:off x="1001334" y="1351557"/>
                            <a:ext cx="2409832" cy="850"/>
                          </a:xfrm>
                          <a:custGeom>
                            <a:avLst/>
                            <a:gdLst>
                              <a:gd name="T0" fmla="*/ 4214 w 4214"/>
                              <a:gd name="T1" fmla="*/ 1 h 1"/>
                              <a:gd name="T2" fmla="*/ 0 w 4214"/>
                              <a:gd name="T3" fmla="*/ 0 h 1"/>
                            </a:gdLst>
                            <a:ahLst/>
                            <a:cxnLst>
                              <a:cxn ang="0">
                                <a:pos x="T0" y="T1"/>
                              </a:cxn>
                              <a:cxn ang="0">
                                <a:pos x="T2" y="T3"/>
                              </a:cxn>
                            </a:cxnLst>
                            <a:rect l="0" t="0" r="r" b="b"/>
                            <a:pathLst>
                              <a:path w="4214" h="1">
                                <a:moveTo>
                                  <a:pt x="4214" y="1"/>
                                </a:moveTo>
                                <a:lnTo>
                                  <a:pt x="0" y="0"/>
                                </a:lnTo>
                              </a:path>
                            </a:pathLst>
                          </a:custGeom>
                          <a:noFill/>
                          <a:ln w="6350" cap="flat" cmpd="sng">
                            <a:solidFill>
                              <a:srgbClr val="000000"/>
                            </a:solidFill>
                            <a:prstDash val="dash"/>
                            <a:round/>
                            <a:tailEnd type="triangle" w="sm" len="sm"/>
                          </a:ln>
                        </wps:spPr>
                        <wps:bodyPr rot="0" vert="horz" wrap="square" lIns="0" tIns="0" rIns="0" bIns="0" anchor="t" anchorCtr="0" upright="1">
                          <a:noAutofit/>
                        </wps:bodyPr>
                      </wps:wsp>
                      <wps:wsp>
                        <wps:cNvPr id="67" name="任意多边形 25204"/>
                        <wps:cNvSpPr/>
                        <wps:spPr bwMode="auto">
                          <a:xfrm>
                            <a:off x="3898233" y="988591"/>
                            <a:ext cx="850" cy="265211"/>
                          </a:xfrm>
                          <a:custGeom>
                            <a:avLst/>
                            <a:gdLst>
                              <a:gd name="T0" fmla="*/ 2 w 2"/>
                              <a:gd name="T1" fmla="*/ 0 h 515"/>
                              <a:gd name="T2" fmla="*/ 0 w 2"/>
                              <a:gd name="T3" fmla="*/ 515 h 515"/>
                            </a:gdLst>
                            <a:ahLst/>
                            <a:cxnLst>
                              <a:cxn ang="0">
                                <a:pos x="T0" y="T1"/>
                              </a:cxn>
                              <a:cxn ang="0">
                                <a:pos x="T2" y="T3"/>
                              </a:cxn>
                            </a:cxnLst>
                            <a:rect l="0" t="0" r="r" b="b"/>
                            <a:pathLst>
                              <a:path w="2" h="515">
                                <a:moveTo>
                                  <a:pt x="2" y="0"/>
                                </a:moveTo>
                                <a:lnTo>
                                  <a:pt x="0" y="515"/>
                                </a:lnTo>
                              </a:path>
                            </a:pathLst>
                          </a:custGeom>
                          <a:noFill/>
                          <a:ln w="6350" cmpd="sng">
                            <a:solidFill>
                              <a:srgbClr val="000000"/>
                            </a:solidFill>
                            <a:round/>
                            <a:tailEnd type="triangle" w="sm" len="sm"/>
                          </a:ln>
                        </wps:spPr>
                        <wps:bodyPr rot="0" vert="horz" wrap="square" lIns="0" tIns="0" rIns="0" bIns="0" anchor="t" anchorCtr="0" upright="1">
                          <a:noAutofit/>
                        </wps:bodyPr>
                      </wps:wsp>
                      <wps:wsp>
                        <wps:cNvPr id="68" name="矩形 25205"/>
                        <wps:cNvSpPr>
                          <a:spLocks noChangeArrowheads="1"/>
                        </wps:cNvSpPr>
                        <wps:spPr bwMode="auto">
                          <a:xfrm>
                            <a:off x="711474" y="2025635"/>
                            <a:ext cx="629021" cy="148756"/>
                          </a:xfrm>
                          <a:prstGeom prst="rect">
                            <a:avLst/>
                          </a:prstGeom>
                          <a:noFill/>
                          <a:ln>
                            <a:noFill/>
                          </a:ln>
                        </wps:spPr>
                        <wps:txbx>
                          <w:txbxContent>
                            <w:p w14:paraId="520952B9" w14:textId="77777777" w:rsidR="003C27EE" w:rsidRDefault="003C27EE">
                              <w:pPr>
                                <w:spacing w:line="0" w:lineRule="atLeast"/>
                                <w:jc w:val="center"/>
                                <w:rPr>
                                  <w:sz w:val="18"/>
                                  <w:szCs w:val="18"/>
                                </w:rPr>
                              </w:pPr>
                              <w:r>
                                <w:rPr>
                                  <w:rFonts w:hint="eastAsia"/>
                                  <w:sz w:val="18"/>
                                  <w:szCs w:val="18"/>
                                </w:rPr>
                                <w:t>监督考核</w:t>
                              </w:r>
                            </w:p>
                          </w:txbxContent>
                        </wps:txbx>
                        <wps:bodyPr rot="0" vert="horz" wrap="square" lIns="0" tIns="0" rIns="0" bIns="0" anchor="t" anchorCtr="0" upright="1">
                          <a:noAutofit/>
                        </wps:bodyPr>
                      </wps:wsp>
                      <wps:wsp>
                        <wps:cNvPr id="69" name="矩形 25206"/>
                        <wps:cNvSpPr>
                          <a:spLocks noChangeArrowheads="1"/>
                        </wps:cNvSpPr>
                        <wps:spPr bwMode="auto">
                          <a:xfrm>
                            <a:off x="2186275" y="2069837"/>
                            <a:ext cx="745475" cy="149606"/>
                          </a:xfrm>
                          <a:prstGeom prst="rect">
                            <a:avLst/>
                          </a:prstGeom>
                          <a:noFill/>
                          <a:ln>
                            <a:noFill/>
                          </a:ln>
                        </wps:spPr>
                        <wps:txbx>
                          <w:txbxContent>
                            <w:p w14:paraId="7AFD1E8D" w14:textId="77777777" w:rsidR="003C27EE" w:rsidRDefault="003C27EE">
                              <w:pPr>
                                <w:spacing w:line="0" w:lineRule="atLeast"/>
                                <w:jc w:val="center"/>
                                <w:rPr>
                                  <w:sz w:val="18"/>
                                  <w:szCs w:val="18"/>
                                </w:rPr>
                              </w:pPr>
                              <w:r>
                                <w:rPr>
                                  <w:rFonts w:hint="eastAsia"/>
                                  <w:sz w:val="18"/>
                                  <w:szCs w:val="18"/>
                                </w:rPr>
                                <w:t>信息反馈</w:t>
                              </w:r>
                            </w:p>
                          </w:txbxContent>
                        </wps:txbx>
                        <wps:bodyPr rot="0" vert="horz" wrap="square" lIns="0" tIns="0" rIns="0" bIns="0" anchor="t" anchorCtr="0" upright="1">
                          <a:noAutofit/>
                        </wps:bodyPr>
                      </wps:wsp>
                      <wps:wsp>
                        <wps:cNvPr id="70" name="任意多边形 25207"/>
                        <wps:cNvSpPr/>
                        <wps:spPr bwMode="auto">
                          <a:xfrm>
                            <a:off x="535518" y="493021"/>
                            <a:ext cx="3225010" cy="286462"/>
                          </a:xfrm>
                          <a:custGeom>
                            <a:avLst/>
                            <a:gdLst>
                              <a:gd name="T0" fmla="*/ 0 w 4428"/>
                              <a:gd name="T1" fmla="*/ 516 h 557"/>
                              <a:gd name="T2" fmla="*/ 0 w 4428"/>
                              <a:gd name="T3" fmla="*/ 0 h 557"/>
                              <a:gd name="T4" fmla="*/ 4428 w 4428"/>
                              <a:gd name="T5" fmla="*/ 0 h 557"/>
                              <a:gd name="T6" fmla="*/ 4428 w 4428"/>
                              <a:gd name="T7" fmla="*/ 557 h 557"/>
                            </a:gdLst>
                            <a:ahLst/>
                            <a:cxnLst>
                              <a:cxn ang="0">
                                <a:pos x="T0" y="T1"/>
                              </a:cxn>
                              <a:cxn ang="0">
                                <a:pos x="T2" y="T3"/>
                              </a:cxn>
                              <a:cxn ang="0">
                                <a:pos x="T4" y="T5"/>
                              </a:cxn>
                              <a:cxn ang="0">
                                <a:pos x="T6" y="T7"/>
                              </a:cxn>
                            </a:cxnLst>
                            <a:rect l="0" t="0" r="r" b="b"/>
                            <a:pathLst>
                              <a:path w="4428" h="557">
                                <a:moveTo>
                                  <a:pt x="0" y="516"/>
                                </a:moveTo>
                                <a:lnTo>
                                  <a:pt x="0" y="0"/>
                                </a:lnTo>
                                <a:lnTo>
                                  <a:pt x="4428" y="0"/>
                                </a:lnTo>
                                <a:lnTo>
                                  <a:pt x="4428" y="557"/>
                                </a:lnTo>
                              </a:path>
                            </a:pathLst>
                          </a:custGeom>
                          <a:noFill/>
                          <a:ln w="6350" cap="flat" cmpd="sng">
                            <a:solidFill>
                              <a:srgbClr val="000000"/>
                            </a:solidFill>
                            <a:prstDash val="solid"/>
                            <a:round/>
                            <a:headEnd type="triangle" w="sm" len="sm"/>
                            <a:tailEnd type="triangle" w="sm" len="sm"/>
                          </a:ln>
                          <a:effectLst/>
                        </wps:spPr>
                        <wps:bodyPr rot="0" vert="horz" wrap="square" lIns="36000" tIns="36000" rIns="3600" bIns="3600" anchor="t" anchorCtr="0" upright="1">
                          <a:noAutofit/>
                        </wps:bodyPr>
                      </wps:wsp>
                      <wps:wsp>
                        <wps:cNvPr id="71" name="任意多边形 25208"/>
                        <wps:cNvSpPr/>
                        <wps:spPr bwMode="auto">
                          <a:xfrm>
                            <a:off x="2524586" y="213359"/>
                            <a:ext cx="1428899" cy="559323"/>
                          </a:xfrm>
                          <a:custGeom>
                            <a:avLst/>
                            <a:gdLst>
                              <a:gd name="T0" fmla="*/ 2499 w 2499"/>
                              <a:gd name="T1" fmla="*/ 1088 h 1088"/>
                              <a:gd name="T2" fmla="*/ 2499 w 2499"/>
                              <a:gd name="T3" fmla="*/ 0 h 1088"/>
                              <a:gd name="T4" fmla="*/ 0 w 2499"/>
                              <a:gd name="T5" fmla="*/ 0 h 1088"/>
                            </a:gdLst>
                            <a:ahLst/>
                            <a:cxnLst>
                              <a:cxn ang="0">
                                <a:pos x="T0" y="T1"/>
                              </a:cxn>
                              <a:cxn ang="0">
                                <a:pos x="T2" y="T3"/>
                              </a:cxn>
                              <a:cxn ang="0">
                                <a:pos x="T4" y="T5"/>
                              </a:cxn>
                            </a:cxnLst>
                            <a:rect l="0" t="0" r="r" b="b"/>
                            <a:pathLst>
                              <a:path w="2499" h="1088">
                                <a:moveTo>
                                  <a:pt x="2499" y="1088"/>
                                </a:moveTo>
                                <a:lnTo>
                                  <a:pt x="2499" y="0"/>
                                </a:lnTo>
                                <a:lnTo>
                                  <a:pt x="0" y="0"/>
                                </a:lnTo>
                              </a:path>
                            </a:pathLst>
                          </a:custGeom>
                          <a:noFill/>
                          <a:ln w="6350" cap="flat" cmpd="sng">
                            <a:solidFill>
                              <a:srgbClr val="000000"/>
                            </a:solidFill>
                            <a:prstDash val="solid"/>
                            <a:round/>
                            <a:tailEnd type="triangle" w="sm" len="sm"/>
                          </a:ln>
                          <a:effectLst/>
                        </wps:spPr>
                        <wps:bodyPr rot="0" vert="horz" wrap="square" lIns="36000" tIns="36000" rIns="3600" bIns="3600" anchor="t" anchorCtr="0" upright="1">
                          <a:noAutofit/>
                        </wps:bodyPr>
                      </wps:wsp>
                      <wps:wsp>
                        <wps:cNvPr id="72" name="任意多边形 25209"/>
                        <wps:cNvSpPr/>
                        <wps:spPr bwMode="auto">
                          <a:xfrm>
                            <a:off x="572920" y="1021743"/>
                            <a:ext cx="3226710" cy="232060"/>
                          </a:xfrm>
                          <a:custGeom>
                            <a:avLst/>
                            <a:gdLst>
                              <a:gd name="T0" fmla="*/ 2 w 5640"/>
                              <a:gd name="T1" fmla="*/ 288 h 315"/>
                              <a:gd name="T2" fmla="*/ 0 w 5640"/>
                              <a:gd name="T3" fmla="*/ 0 h 315"/>
                              <a:gd name="T4" fmla="*/ 5638 w 5640"/>
                              <a:gd name="T5" fmla="*/ 0 h 315"/>
                              <a:gd name="T6" fmla="*/ 5640 w 5640"/>
                              <a:gd name="T7" fmla="*/ 315 h 315"/>
                            </a:gdLst>
                            <a:ahLst/>
                            <a:cxnLst>
                              <a:cxn ang="0">
                                <a:pos x="T0" y="T1"/>
                              </a:cxn>
                              <a:cxn ang="0">
                                <a:pos x="T2" y="T3"/>
                              </a:cxn>
                              <a:cxn ang="0">
                                <a:pos x="T4" y="T5"/>
                              </a:cxn>
                              <a:cxn ang="0">
                                <a:pos x="T6" y="T7"/>
                              </a:cxn>
                            </a:cxnLst>
                            <a:rect l="0" t="0" r="r" b="b"/>
                            <a:pathLst>
                              <a:path w="5640" h="315">
                                <a:moveTo>
                                  <a:pt x="2" y="288"/>
                                </a:moveTo>
                                <a:lnTo>
                                  <a:pt x="0" y="0"/>
                                </a:lnTo>
                                <a:lnTo>
                                  <a:pt x="5638" y="0"/>
                                </a:lnTo>
                                <a:lnTo>
                                  <a:pt x="5640" y="315"/>
                                </a:lnTo>
                              </a:path>
                            </a:pathLst>
                          </a:custGeom>
                          <a:noFill/>
                          <a:ln w="6350" cap="flat" cmpd="sng">
                            <a:solidFill>
                              <a:srgbClr val="000000"/>
                            </a:solidFill>
                            <a:prstDash val="solid"/>
                            <a:round/>
                            <a:headEnd type="triangle" w="sm" len="sm"/>
                            <a:tailEnd type="triangle" w="sm" len="sm"/>
                          </a:ln>
                          <a:effectLst/>
                        </wps:spPr>
                        <wps:bodyPr rot="0" vert="horz" wrap="square" lIns="36000" tIns="36000" rIns="3600" bIns="3600" anchor="t" anchorCtr="0" upright="1">
                          <a:noAutofit/>
                        </wps:bodyPr>
                      </wps:wsp>
                      <wps:wsp>
                        <wps:cNvPr id="73" name="直线 25210"/>
                        <wps:cNvCnPr>
                          <a:cxnSpLocks noChangeShapeType="1"/>
                        </wps:cNvCnPr>
                        <wps:spPr bwMode="auto">
                          <a:xfrm flipV="1">
                            <a:off x="4062288" y="981791"/>
                            <a:ext cx="0" cy="272011"/>
                          </a:xfrm>
                          <a:prstGeom prst="line">
                            <a:avLst/>
                          </a:prstGeom>
                          <a:noFill/>
                          <a:ln w="6350">
                            <a:solidFill>
                              <a:srgbClr val="000000"/>
                            </a:solidFill>
                            <a:round/>
                            <a:tailEnd type="triangle" w="sm" len="sm"/>
                          </a:ln>
                          <a:effectLst/>
                        </wps:spPr>
                        <wps:bodyPr/>
                      </wps:wsp>
                      <wps:wsp>
                        <wps:cNvPr id="74" name="直线 25211"/>
                        <wps:cNvCnPr>
                          <a:cxnSpLocks noChangeShapeType="1"/>
                        </wps:cNvCnPr>
                        <wps:spPr bwMode="auto">
                          <a:xfrm>
                            <a:off x="3909283" y="1466311"/>
                            <a:ext cx="0" cy="266061"/>
                          </a:xfrm>
                          <a:prstGeom prst="line">
                            <a:avLst/>
                          </a:prstGeom>
                          <a:noFill/>
                          <a:ln w="6350">
                            <a:solidFill>
                              <a:srgbClr val="000000"/>
                            </a:solidFill>
                            <a:round/>
                            <a:tailEnd type="triangle" w="sm" len="sm"/>
                          </a:ln>
                        </wps:spPr>
                        <wps:bodyPr/>
                      </wps:wsp>
                      <wps:wsp>
                        <wps:cNvPr id="75" name="直线 25212"/>
                        <wps:cNvCnPr>
                          <a:cxnSpLocks noChangeShapeType="1"/>
                        </wps:cNvCnPr>
                        <wps:spPr bwMode="auto">
                          <a:xfrm flipV="1">
                            <a:off x="4046138" y="1456961"/>
                            <a:ext cx="0" cy="272011"/>
                          </a:xfrm>
                          <a:prstGeom prst="line">
                            <a:avLst/>
                          </a:prstGeom>
                          <a:noFill/>
                          <a:ln w="6350">
                            <a:solidFill>
                              <a:srgbClr val="000000"/>
                            </a:solidFill>
                            <a:round/>
                            <a:tailEnd type="triangle" w="sm" len="sm"/>
                          </a:ln>
                          <a:effectLst/>
                        </wps:spPr>
                        <wps:bodyPr/>
                      </wps:wsp>
                      <wps:wsp>
                        <wps:cNvPr id="76" name="任意多边形 25213"/>
                        <wps:cNvSpPr/>
                        <wps:spPr bwMode="auto">
                          <a:xfrm>
                            <a:off x="1001334" y="1932131"/>
                            <a:ext cx="2992102" cy="383366"/>
                          </a:xfrm>
                          <a:custGeom>
                            <a:avLst/>
                            <a:gdLst>
                              <a:gd name="T0" fmla="*/ 0 w 5380"/>
                              <a:gd name="T1" fmla="*/ 745 h 745"/>
                              <a:gd name="T2" fmla="*/ 5380 w 5380"/>
                              <a:gd name="T3" fmla="*/ 744 h 745"/>
                              <a:gd name="T4" fmla="*/ 5380 w 5380"/>
                              <a:gd name="T5" fmla="*/ 0 h 745"/>
                            </a:gdLst>
                            <a:ahLst/>
                            <a:cxnLst>
                              <a:cxn ang="0">
                                <a:pos x="T0" y="T1"/>
                              </a:cxn>
                              <a:cxn ang="0">
                                <a:pos x="T2" y="T3"/>
                              </a:cxn>
                              <a:cxn ang="0">
                                <a:pos x="T4" y="T5"/>
                              </a:cxn>
                            </a:cxnLst>
                            <a:rect l="0" t="0" r="r" b="b"/>
                            <a:pathLst>
                              <a:path w="5380" h="745">
                                <a:moveTo>
                                  <a:pt x="0" y="745"/>
                                </a:moveTo>
                                <a:lnTo>
                                  <a:pt x="5380" y="744"/>
                                </a:lnTo>
                                <a:lnTo>
                                  <a:pt x="5380" y="0"/>
                                </a:lnTo>
                              </a:path>
                            </a:pathLst>
                          </a:custGeom>
                          <a:noFill/>
                          <a:ln w="6350" cap="flat" cmpd="sng">
                            <a:solidFill>
                              <a:srgbClr val="000000"/>
                            </a:solidFill>
                            <a:prstDash val="solid"/>
                            <a:round/>
                            <a:tailEnd type="triangle" w="sm" len="sm"/>
                          </a:ln>
                          <a:effectLst/>
                        </wps:spPr>
                        <wps:bodyPr rot="0" vert="horz" wrap="square" lIns="36000" tIns="36000" rIns="3600" bIns="3600" anchor="t" anchorCtr="0" upright="1">
                          <a:noAutofit/>
                        </wps:bodyPr>
                      </wps:wsp>
                    </wpc:wpc>
                  </a:graphicData>
                </a:graphic>
              </wp:anchor>
            </w:drawing>
          </mc:Choice>
          <mc:Fallback>
            <w:pict>
              <v:group id="画布 25188" o:spid="_x0000_s1029" editas="canvas" style="position:absolute;margin-left:0;margin-top:0;width:358.15pt;height:197.65pt;z-index:251653632;mso-position-horizontal-relative:char;mso-position-vertical-relative:line" coordsize="45485,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">
                <v:shape id="_x0000_s1030" type="#_x0000_t75" style="position:absolute;width:45485;height:25101;visibility:visible;mso-wrap-style:square" stroked="t" strokeweight="1.5pt">
                  <v:fill o:detectmouseclick="t"/>
                  <v:path o:connecttype="none"/>
                </v:shape>
                <v:rect id="矩形 25190" o:spid="_x0000_s1031" style="position:absolute;left:1334;top:7658;width:8509;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j18MA&#10;AADbAAAADwAAAGRycy9kb3ducmV2LnhtbERPTWvCQBC9C/6HZQq9NZtIKzZ1DUGwFCyKqRdvQ3aa&#10;hGZnQ3aNsb++KxS8zeN9zjIbTSsG6l1jWUESxSCIS6sbrhQcvzZPCxDOI2tsLZOCKznIVtPJElNt&#10;L3ygofCVCCHsUlRQe9+lUrqyJoMush1x4L5tb9AH2FdS93gJ4aaVszieS4MNh4YaO1rXVP4UZ6Pg&#10;d2t1/np6/pxt2cXv832RVLurUo8PY/4GwtPo7+J/94cO81/g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gj18MAAADbAAAADwAAAAAAAAAAAAAAAACYAgAAZHJzL2Rv&#10;d25yZXYueG1sUEsFBgAAAAAEAAQA9QAAAIgDAAAAAA==&#10;" strokeweight=".5pt">
                  <v:textbox inset="0,1mm,0,0">
                    <w:txbxContent>
                      <w:p w14:paraId="293E643B" w14:textId="77777777" w:rsidR="005D3EDA" w:rsidRDefault="005D3EDA">
                        <w:pPr>
                          <w:spacing w:line="0" w:lineRule="atLeast"/>
                          <w:jc w:val="center"/>
                          <w:rPr>
                            <w:sz w:val="18"/>
                            <w:szCs w:val="18"/>
                          </w:rPr>
                        </w:pPr>
                        <w:r>
                          <w:rPr>
                            <w:rFonts w:hint="eastAsia"/>
                            <w:sz w:val="18"/>
                            <w:szCs w:val="18"/>
                          </w:rPr>
                          <w:t>其它副总经理</w:t>
                        </w:r>
                      </w:p>
                    </w:txbxContent>
                  </v:textbox>
                </v:rect>
                <v:rect id="矩形 25191" o:spid="_x0000_s1032" style="position:absolute;left:34018;top:7879;width:9579;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9oMMA&#10;AADbAAAADwAAAGRycy9kb3ducmV2LnhtbERPTWvCQBC9C/6HZYTezMZQgo2uEgRLIaXStBdvQ3aa&#10;hGZnQ3arSX99tyB4m8f7nO1+NJ240OBaywpWUQyCuLK65VrB58dxuQbhPLLGzjIpmMjBfjefbTHT&#10;9srvdCl9LUIIuwwVNN73mZSuasigi2xPHLgvOxj0AQ611ANeQ7jpZBLHqTTYcmhosKdDQ9V3+WMU&#10;/BZW50/nx9ekYBc/p6dyVb9NSj0sxnwDwtPo7+Kb+0WH+Sn8/xIO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q9oMMAAADbAAAADwAAAAAAAAAAAAAAAACYAgAAZHJzL2Rv&#10;d25yZXYueG1sUEsFBgAAAAAEAAQA9QAAAIgDAAAAAA==&#10;" strokeweight=".5pt">
                  <v:textbox inset="0,1mm,0,0">
                    <w:txbxContent>
                      <w:p w14:paraId="384B7D63" w14:textId="77777777" w:rsidR="005D3EDA" w:rsidRDefault="005D3EDA">
                        <w:pPr>
                          <w:spacing w:line="0" w:lineRule="atLeast"/>
                          <w:jc w:val="center"/>
                          <w:rPr>
                            <w:sz w:val="18"/>
                            <w:szCs w:val="18"/>
                          </w:rPr>
                        </w:pPr>
                        <w:r>
                          <w:rPr>
                            <w:rFonts w:hint="eastAsia"/>
                            <w:sz w:val="18"/>
                            <w:szCs w:val="18"/>
                          </w:rPr>
                          <w:t>环保副总经理</w:t>
                        </w:r>
                      </w:p>
                    </w:txbxContent>
                  </v:textbox>
                </v:rect>
                <v:rect id="矩形 25192" o:spid="_x0000_s1033" style="position:absolute;left:18063;top:1181;width:7089;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YO8MA&#10;AADbAAAADwAAAGRycy9kb3ducmV2LnhtbERPTWvCQBC9C/0PyxR6MxulRJtmI1KwFCyKqRdvQ3aa&#10;hGZnQ3bVpL++WxC8zeN9TrYaTCsu1LvGsoJZFIMgLq1uuFJw/NpMlyCcR9bYWiYFIzlY5Q+TDFNt&#10;r3ygS+ErEULYpaig9r5LpXRlTQZdZDviwH3b3qAPsK+k7vEawk0r53GcSIMNh4YaO3qrqfwpzkbB&#10;79bq9cvp+XO+ZRe/J/tiVu1GpZ4eh/UrCE+Dv4tv7g8d5i/g/5dw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YYO8MAAADbAAAADwAAAAAAAAAAAAAAAACYAgAAZHJzL2Rv&#10;d25yZXYueG1sUEsFBgAAAAAEAAQA9QAAAIgDAAAAAA==&#10;" strokeweight=".5pt">
                  <v:textbox inset="0,1mm,0,0">
                    <w:txbxContent>
                      <w:p w14:paraId="40389A3A" w14:textId="77777777" w:rsidR="005D3EDA" w:rsidRDefault="005D3EDA">
                        <w:pPr>
                          <w:spacing w:line="0" w:lineRule="atLeast"/>
                          <w:jc w:val="center"/>
                          <w:rPr>
                            <w:sz w:val="18"/>
                            <w:szCs w:val="18"/>
                          </w:rPr>
                        </w:pPr>
                        <w:r>
                          <w:rPr>
                            <w:rFonts w:hint="eastAsia"/>
                            <w:sz w:val="18"/>
                            <w:szCs w:val="18"/>
                          </w:rPr>
                          <w:t>总经理</w:t>
                        </w:r>
                      </w:p>
                    </w:txbxContent>
                  </v:textbox>
                </v:rect>
                <v:rect id="矩形 25193" o:spid="_x0000_s1034" style="position:absolute;left:1564;top:12555;width:850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vUsEA&#10;AADbAAAADwAAAGRycy9kb3ducmV2LnhtbERPz2vCMBS+D/wfwhN2m6lSRDujiKAMHIrVy26P5q0t&#10;a15KEmvdX28OgseP7/di1ZtGdOR8bVnBeJSAIC6srrlUcDlvP2YgfEDW2FgmBXfysFoO3haYaXvj&#10;E3V5KEUMYZ+hgiqENpPSFxUZ9CPbEkfu1zqDIUJXSu3wFsNNIydJMpUGa44NFba0qaj4y69Gwf/e&#10;6vX8J/2e7Nknu+kxH5eHu1Lvw379CSJQH17ip/tLK0jj+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r1LBAAAA2wAAAA8AAAAAAAAAAAAAAAAAmAIAAGRycy9kb3du&#10;cmV2LnhtbFBLBQYAAAAABAAEAPUAAACGAwAAAAA=&#10;" strokeweight=".5pt">
                  <v:textbox inset="0,1mm,0,0">
                    <w:txbxContent>
                      <w:p w14:paraId="3EEFBBD8" w14:textId="77777777" w:rsidR="005D3EDA" w:rsidRDefault="005D3EDA">
                        <w:pPr>
                          <w:spacing w:line="0" w:lineRule="atLeast"/>
                          <w:jc w:val="center"/>
                          <w:rPr>
                            <w:sz w:val="18"/>
                            <w:szCs w:val="18"/>
                          </w:rPr>
                        </w:pPr>
                        <w:r>
                          <w:rPr>
                            <w:rFonts w:hint="eastAsia"/>
                            <w:sz w:val="18"/>
                            <w:szCs w:val="18"/>
                          </w:rPr>
                          <w:t>各职能科室</w:t>
                        </w:r>
                      </w:p>
                    </w:txbxContent>
                  </v:textbox>
                </v:rect>
                <v:rect id="矩形 25194" o:spid="_x0000_s1035" style="position:absolute;left:1249;top:17247;width:850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KycUA&#10;AADbAAAADwAAAGRycy9kb3ducmV2LnhtbESPT2vCQBTE7wW/w/KE3uomIlJTVxFBEVJajF68PbKv&#10;STD7NmTX/Omn7xYKPQ4z8xtmvR1MLTpqXWVZQTyLQBDnVldcKLheDi+vIJxH1lhbJgUjOdhuJk9r&#10;TLTt+Uxd5gsRIOwSVFB63yRSurwkg25mG+LgfdnWoA+yLaRusQ9wU8t5FC2lwYrDQokN7UvK79nD&#10;KPhOrd6tbov3ecouOi4/s7j4GJV6ng67NxCeBv8f/muftIJFDL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ArJxQAAANsAAAAPAAAAAAAAAAAAAAAAAJgCAABkcnMv&#10;ZG93bnJldi54bWxQSwUGAAAAAAQABAD1AAAAigMAAAAA&#10;" strokeweight=".5pt">
                  <v:textbox inset="0,1mm,0,0">
                    <w:txbxContent>
                      <w:p w14:paraId="1E526589" w14:textId="77777777" w:rsidR="005D3EDA" w:rsidRDefault="005D3EDA">
                        <w:pPr>
                          <w:spacing w:line="0" w:lineRule="atLeast"/>
                          <w:jc w:val="center"/>
                          <w:rPr>
                            <w:sz w:val="18"/>
                            <w:szCs w:val="18"/>
                          </w:rPr>
                        </w:pPr>
                        <w:r>
                          <w:rPr>
                            <w:rFonts w:hint="eastAsia"/>
                            <w:sz w:val="18"/>
                            <w:szCs w:val="18"/>
                          </w:rPr>
                          <w:t>车</w:t>
                        </w:r>
                        <w:r>
                          <w:rPr>
                            <w:sz w:val="18"/>
                            <w:szCs w:val="18"/>
                          </w:rPr>
                          <w:t xml:space="preserve">    </w:t>
                        </w:r>
                        <w:r>
                          <w:rPr>
                            <w:rFonts w:hint="eastAsia"/>
                            <w:sz w:val="18"/>
                            <w:szCs w:val="18"/>
                          </w:rPr>
                          <w:t>间</w:t>
                        </w:r>
                      </w:p>
                    </w:txbxContent>
                  </v:textbox>
                </v:rect>
                <v:rect id="矩形 25195" o:spid="_x0000_s1036" style="position:absolute;left:1462;top:22211;width:8525;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5j8EA&#10;AADbAAAADwAAAGRycy9kb3ducmV2LnhtbERPTYvCMBC9C/6HMIK3NVVUtJqKCIrgsstWL96GZmyL&#10;zaQ0sdb99ZvDgsfH+15vOlOJlhpXWlYwHkUgiDOrS84VXM77jwUI55E1VpZJwYscbJJ+b42xtk/+&#10;oTb1uQgh7GJUUHhfx1K6rCCDbmRr4sDdbGPQB9jkUjf4DOGmkpMomkuDJYeGAmvaFZTd04dR8Huy&#10;eru8Tj8nJ3bRYf6djvOvl1LDQbddgfDU+bf4333UCmZhffgSfoB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FOY/BAAAA2wAAAA8AAAAAAAAAAAAAAAAAmAIAAGRycy9kb3du&#10;cmV2LnhtbFBLBQYAAAAABAAEAPUAAACGAwAAAAA=&#10;" strokeweight=".5pt">
                  <v:textbox inset="0,1mm,0,0">
                    <w:txbxContent>
                      <w:p w14:paraId="66043DD6" w14:textId="77777777" w:rsidR="005D3EDA" w:rsidRDefault="005D3EDA">
                        <w:pPr>
                          <w:spacing w:line="0" w:lineRule="atLeast"/>
                          <w:jc w:val="center"/>
                          <w:rPr>
                            <w:sz w:val="18"/>
                            <w:szCs w:val="18"/>
                          </w:rPr>
                        </w:pPr>
                        <w:r>
                          <w:rPr>
                            <w:rFonts w:hint="eastAsia"/>
                            <w:sz w:val="18"/>
                            <w:szCs w:val="18"/>
                          </w:rPr>
                          <w:t>岗</w:t>
                        </w:r>
                        <w:r>
                          <w:rPr>
                            <w:sz w:val="18"/>
                            <w:szCs w:val="18"/>
                          </w:rPr>
                          <w:t xml:space="preserve">    </w:t>
                        </w:r>
                        <w:r>
                          <w:rPr>
                            <w:rFonts w:hint="eastAsia"/>
                            <w:sz w:val="18"/>
                            <w:szCs w:val="18"/>
                          </w:rPr>
                          <w:t>位</w:t>
                        </w:r>
                      </w:p>
                    </w:txbxContent>
                  </v:textbox>
                </v:rect>
                <v:rect id="矩形 25196" o:spid="_x0000_s1037" style="position:absolute;left:34111;top:12563;width:9580;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1icEA&#10;AADbAAAADwAAAGRycy9kb3ducmV2LnhtbERPTYvCMBC9C/6HMIK3NVVUtJqKCIrgsstWL96GZmyL&#10;zaQ0sdb99ZvDgsfH+15vOlOJlhpXWlYwHkUgiDOrS84VXM77jwUI55E1VpZJwYscbJJ+b42xtk/+&#10;oTb1uQgh7GJUUHhfx1K6rCCDbmRr4sDdbGPQB9jkUjf4DOGmkpMomkuDJYeGAmvaFZTd04dR8Huy&#10;eru8Tj8nJ3bRYf6djvOvl1LDQbddgfDU+bf4333UCmZhbPgSfoB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zNYnBAAAA2wAAAA8AAAAAAAAAAAAAAAAAmAIAAGRycy9kb3du&#10;cmV2LnhtbFBLBQYAAAAABAAEAPUAAACGAwAAAAA=&#10;" strokeweight=".5pt">
                  <v:textbox inset="0,1mm,0,0">
                    <w:txbxContent>
                      <w:p w14:paraId="675C5421" w14:textId="77777777" w:rsidR="005D3EDA" w:rsidRDefault="005D3EDA">
                        <w:pPr>
                          <w:spacing w:line="0" w:lineRule="atLeast"/>
                          <w:jc w:val="center"/>
                          <w:rPr>
                            <w:sz w:val="18"/>
                            <w:szCs w:val="18"/>
                          </w:rPr>
                        </w:pPr>
                        <w:r>
                          <w:rPr>
                            <w:rFonts w:hint="eastAsia"/>
                            <w:sz w:val="18"/>
                            <w:szCs w:val="18"/>
                          </w:rPr>
                          <w:t>安全环保处</w:t>
                        </w:r>
                      </w:p>
                    </w:txbxContent>
                  </v:textbox>
                </v:rect>
                <v:rect id="矩形 25197" o:spid="_x0000_s1038" style="position:absolute;left:35004;top:17272;width:958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EsUA&#10;AADbAAAADwAAAGRycy9kb3ducmV2LnhtbESPQWvCQBSE7wX/w/KE3urGoKLRVYJQKVhaGr14e2Sf&#10;STD7NmS3JvHXdwuFHoeZ+YbZ7HpTizu1rrKsYDqJQBDnVldcKDifXl+WIJxH1lhbJgUDOdhtR08b&#10;TLTt+IvumS9EgLBLUEHpfZNI6fKSDLqJbYiDd7WtQR9kW0jdYhfgppZxFC2kwYrDQokN7UvKb9m3&#10;UfA4Wp2uLrP3+MguOiw+s2nxMSj1PO7TNQhPvf8P/7XftIL5C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5ASxQAAANsAAAAPAAAAAAAAAAAAAAAAAJgCAABkcnMv&#10;ZG93bnJldi54bWxQSwUGAAAAAAQABAD1AAAAigMAAAAA&#10;" strokeweight=".5pt">
                  <v:textbox inset="0,1mm,0,0">
                    <w:txbxContent>
                      <w:p w14:paraId="14A00EA9" w14:textId="77777777" w:rsidR="005D3EDA" w:rsidRDefault="005D3EDA">
                        <w:pPr>
                          <w:spacing w:line="0" w:lineRule="atLeast"/>
                          <w:jc w:val="center"/>
                          <w:rPr>
                            <w:sz w:val="18"/>
                            <w:szCs w:val="18"/>
                          </w:rPr>
                        </w:pPr>
                        <w:r>
                          <w:rPr>
                            <w:rFonts w:hint="eastAsia"/>
                            <w:sz w:val="18"/>
                            <w:szCs w:val="18"/>
                          </w:rPr>
                          <w:t>监</w:t>
                        </w:r>
                        <w:r>
                          <w:rPr>
                            <w:sz w:val="18"/>
                            <w:szCs w:val="18"/>
                          </w:rPr>
                          <w:t xml:space="preserve">  </w:t>
                        </w:r>
                        <w:r>
                          <w:rPr>
                            <w:rFonts w:hint="eastAsia"/>
                            <w:sz w:val="18"/>
                            <w:szCs w:val="18"/>
                          </w:rPr>
                          <w:t>测</w:t>
                        </w:r>
                      </w:p>
                    </w:txbxContent>
                  </v:textbox>
                </v:rect>
                <v:rect id="矩形 25198" o:spid="_x0000_s1039" style="position:absolute;left:19508;top:11211;width:532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6DF9E51E" w14:textId="77777777" w:rsidR="005D3EDA" w:rsidRDefault="005D3EDA">
                        <w:pPr>
                          <w:spacing w:line="0" w:lineRule="atLeast"/>
                          <w:jc w:val="center"/>
                          <w:rPr>
                            <w:sz w:val="18"/>
                            <w:szCs w:val="18"/>
                          </w:rPr>
                        </w:pPr>
                        <w:r>
                          <w:rPr>
                            <w:rFonts w:hint="eastAsia"/>
                            <w:sz w:val="18"/>
                            <w:szCs w:val="18"/>
                          </w:rPr>
                          <w:t>协调</w:t>
                        </w:r>
                      </w:p>
                    </w:txbxContent>
                  </v:textbox>
                </v:rect>
                <v:rect id="矩形 25199" o:spid="_x0000_s1040" style="position:absolute;left:10242;top:17519;width:643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385E2BB8" w14:textId="77777777" w:rsidR="005D3EDA" w:rsidRDefault="005D3EDA">
                        <w:pPr>
                          <w:spacing w:line="0" w:lineRule="atLeast"/>
                          <w:jc w:val="center"/>
                          <w:rPr>
                            <w:sz w:val="18"/>
                            <w:szCs w:val="18"/>
                          </w:rPr>
                        </w:pPr>
                        <w:r>
                          <w:rPr>
                            <w:rFonts w:hint="eastAsia"/>
                            <w:sz w:val="18"/>
                            <w:szCs w:val="18"/>
                          </w:rPr>
                          <w:t>监督考核</w:t>
                        </w:r>
                      </w:p>
                    </w:txbxContent>
                  </v:textbox>
                </v:rect>
                <v:shape id="任意多边形 25200" o:spid="_x0000_s1041" style="position:absolute;left:21667;top:3179;width:8;height:7131;visibility:visible;mso-wrap-style:square;v-text-anchor:top" coordsize="1,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dOMQA&#10;AADbAAAADwAAAGRycy9kb3ducmV2LnhtbESPQWsCMRSE74L/ITzBm2YrqGVrFCkUvVjUlpbeXjev&#10;m9XNy5JE3f57Iwgeh5n5hpktWluLM/lQOVbwNMxAEBdOV1wq+Px4GzyDCBFZY+2YFPxTgMW825lh&#10;rt2Fd3Tex1IkCIccFZgYm1zKUBiyGIauIU7en/MWY5K+lNrjJcFtLUdZNpEWK04LBht6NVQc9yer&#10;YLyVh+Pvz/fGrA4o35c4Lb4qr1S/1y5fQERq4yN8b6+1gskI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3TjEAAAA2wAAAA8AAAAAAAAAAAAAAAAAmAIAAGRycy9k&#10;b3ducmV2LnhtbFBLBQYAAAAABAAEAPUAAACJAwAAAAA=&#10;" path="m,l,1386e" filled="f" strokeweight=".5pt">
                  <v:stroke endarrow="block" endarrowwidth="narrow" endarrowlength="short"/>
                  <v:path arrowok="t" o:connecttype="custom" o:connectlocs="0,0;0,713180" o:connectangles="0,0"/>
                </v:shape>
                <v:line id="直线 25201" o:spid="_x0000_s1042" style="position:absolute;visibility:visible;mso-wrap-style:square" from="5550,14620" to="5550,1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8JsYAAADbAAAADwAAAGRycy9kb3ducmV2LnhtbESPzWrDMBCE74G8g9hAb42cNjjBjRJC&#10;oNBDoeSHkN621tYysVZGUm23T18VCjkOM/MNs9oMthEd+VA7VjCbZiCIS6drrhScjs/3SxAhImts&#10;HJOCbwqwWY9HKyy063lP3SFWIkE4FKjAxNgWUobSkMUwdS1x8j6dtxiT9JXUHvsEt418yLJcWqw5&#10;LRhsaWeovB6+rILLwufhoz/Nf17rt/fm7EzXzfdK3U2G7ROISEO8hf/bL1pB/gh/X9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fCbGAAAA2wAAAA8AAAAAAAAA&#10;AAAAAAAAoQIAAGRycy9kb3ducmV2LnhtbFBLBQYAAAAABAAEAPkAAACUAwAAAAA=&#10;" strokeweight=".5pt">
                  <v:stroke endarrow="block" endarrowwidth="narrow" endarrowlength="short"/>
                </v:line>
                <v:shape id="任意多边形 25202" o:spid="_x0000_s1043" style="position:absolute;left:5661;top:19321;width:42;height:2720;visibility:visible;mso-wrap-style:square;v-text-anchor:top" coordsize="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Dr8UA&#10;AADbAAAADwAAAGRycy9kb3ducmV2LnhtbESPW2sCMRSE3wv+h3AKvhTN2lYrW6NIQRB8aL3g8+nm&#10;uBeTkyWJuv33plDo4zAz3zCzRWeNuJIPtWMFo2EGgrhwuuZSwWG/GkxBhIis0TgmBT8UYDHvPcww&#10;1+7GW7ruYikShEOOCqoY21zKUFRkMQxdS5y8k/MWY5K+lNrjLcGtkc9ZNpEWa04LFbb0UVFx3l2s&#10;gsZ8Tt0LZcaPt0+nY9Nsxm9f30r1H7vlO4hIXfwP/7XXWsHkFX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gOvxQAAANsAAAAPAAAAAAAAAAAAAAAAAJgCAABkcnMv&#10;ZG93bnJldi54bWxQSwUGAAAAAAQABAD1AAAAigMAAAAA&#10;" path="m7,l,529e" filled="f" strokeweight=".5pt">
                  <v:stroke endarrow="block" endarrowwidth="narrow" endarrowlength="short"/>
                  <v:path arrowok="t" o:connecttype="custom" o:connectlocs="4250,0;0,272011" o:connectangles="0,0"/>
                </v:shape>
                <v:shape id="任意多边形 25203" o:spid="_x0000_s1044" style="position:absolute;left:10013;top:13515;width:24098;height:9;visibility:visible;mso-wrap-style:square;v-text-anchor:top" coordsize="4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a1cUA&#10;AADbAAAADwAAAGRycy9kb3ducmV2LnhtbESPQWvCQBSE7wX/w/KE3upGwTSkriKC4KkhaQ7t7TX7&#10;mk3Nvg3Zrab/3hUKPQ4z8w2z2U22FxcafedYwXKRgCBunO64VVC/HZ8yED4ga+wdk4Jf8rDbzh42&#10;mGt35ZIuVWhFhLDPUYEJYcil9I0hi37hBuLofbnRYohybKUe8RrhtperJEmlxY7jgsGBDoaac/Vj&#10;Fchv817qqnh+/TiV56xe90X5eVTqcT7tX0AEmsJ/+K990grSNdy/x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FrVxQAAANsAAAAPAAAAAAAAAAAAAAAAAJgCAABkcnMv&#10;ZG93bnJldi54bWxQSwUGAAAAAAQABAD1AAAAigMAAAAA&#10;" path="m4214,1l,e" filled="f" strokeweight=".5pt">
                  <v:stroke dashstyle="dash" endarrow="block" endarrowwidth="narrow" endarrowlength="short"/>
                  <v:path arrowok="t" o:connecttype="custom" o:connectlocs="2409832,850;0,0" o:connectangles="0,0"/>
                </v:shape>
                <v:shape id="任意多边形 25204" o:spid="_x0000_s1045" style="position:absolute;left:38982;top:9885;width:8;height:2653;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q3sQA&#10;AADbAAAADwAAAGRycy9kb3ducmV2LnhtbESPQWvCQBSE74L/YXlCb7qxULXRNcQWbSm91Or9kX0m&#10;S7JvQ3arqb/eFQo9DjPzDbPKetuIM3XeOFYwnSQgiAunDZcKDt/b8QKED8gaG8ek4Jc8ZOvhYIWp&#10;dhf+ovM+lCJC2KeooAqhTaX0RUUW/cS1xNE7uc5iiLIrpe7wEuG2kY9JMpMWDceFClt6qaio9z9W&#10;wdW9HZ9yU1/r+nW++NjsgqHPZ6UeRn2+BBGoD//hv/a7VjCbw/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Kt7EAAAA2wAAAA8AAAAAAAAAAAAAAAAAmAIAAGRycy9k&#10;b3ducmV2LnhtbFBLBQYAAAAABAAEAPUAAACJAwAAAAA=&#10;" path="m2,l,515e" filled="f" strokeweight=".5pt">
                  <v:stroke endarrow="block" endarrowwidth="narrow" endarrowlength="short"/>
                  <v:path arrowok="t" o:connecttype="custom" o:connectlocs="850,0;0,265211" o:connectangles="0,0"/>
                </v:shape>
                <v:rect id="矩形 25205" o:spid="_x0000_s1046" style="position:absolute;left:7114;top:20256;width:629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520952B9" w14:textId="77777777" w:rsidR="005D3EDA" w:rsidRDefault="005D3EDA">
                        <w:pPr>
                          <w:spacing w:line="0" w:lineRule="atLeast"/>
                          <w:jc w:val="center"/>
                          <w:rPr>
                            <w:sz w:val="18"/>
                            <w:szCs w:val="18"/>
                          </w:rPr>
                        </w:pPr>
                        <w:r>
                          <w:rPr>
                            <w:rFonts w:hint="eastAsia"/>
                            <w:sz w:val="18"/>
                            <w:szCs w:val="18"/>
                          </w:rPr>
                          <w:t>监督考核</w:t>
                        </w:r>
                      </w:p>
                    </w:txbxContent>
                  </v:textbox>
                </v:rect>
                <v:rect id="矩形 25206" o:spid="_x0000_s1047" style="position:absolute;left:21862;top:20698;width:745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7AFD1E8D" w14:textId="77777777" w:rsidR="005D3EDA" w:rsidRDefault="005D3EDA">
                        <w:pPr>
                          <w:spacing w:line="0" w:lineRule="atLeast"/>
                          <w:jc w:val="center"/>
                          <w:rPr>
                            <w:sz w:val="18"/>
                            <w:szCs w:val="18"/>
                          </w:rPr>
                        </w:pPr>
                        <w:r>
                          <w:rPr>
                            <w:rFonts w:hint="eastAsia"/>
                            <w:sz w:val="18"/>
                            <w:szCs w:val="18"/>
                          </w:rPr>
                          <w:t>信息反馈</w:t>
                        </w:r>
                      </w:p>
                    </w:txbxContent>
                  </v:textbox>
                </v:rect>
                <v:shape id="任意多边形 25207" o:spid="_x0000_s1048" style="position:absolute;left:5355;top:4930;width:32250;height:2864;visibility:visible;mso-wrap-style:square;v-text-anchor:top" coordsize="442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ixsUA&#10;AADbAAAADwAAAGRycy9kb3ducmV2LnhtbESPwW7CMAyG75P2DpEn7TKNdBxYVRoQQ0LissMKHHaz&#10;EtN2a5yqCaW8/XxA2tH6/X/+XK4n36mRhtgGNvA2y0AR2+Barg0cD7vXHFRMyA67wGTgRhHWq8eH&#10;EgsXrvxFY5VqJRCOBRpoUuoLraNtyGOchZ5YsnMYPCYZh1q7Aa8C952eZ9lCe2xZLjTY07Yh+1td&#10;vGh85P1PvfneHsaX6mb3pzz/3Fljnp+mzRJUoin9L9/be2fgXezlFwG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CLGxQAAANsAAAAPAAAAAAAAAAAAAAAAAJgCAABkcnMv&#10;ZG93bnJldi54bWxQSwUGAAAAAAQABAD1AAAAigMAAAAA&#10;" path="m,516l,,4428,r,557e" filled="f" strokeweight=".5pt">
                  <v:stroke startarrow="block" startarrowwidth="narrow" startarrowlength="short" endarrow="block" endarrowwidth="narrow" endarrowlength="short"/>
                  <v:path arrowok="t" o:connecttype="custom" o:connectlocs="0,265376;0,0;3225010,0;3225010,286462" o:connectangles="0,0,0,0"/>
                </v:shape>
                <v:shape id="任意多边形 25208" o:spid="_x0000_s1049" style="position:absolute;left:25245;top:2133;width:14289;height:5593;visibility:visible;mso-wrap-style:square;v-text-anchor:top" coordsize="2499,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ntcIA&#10;AADbAAAADwAAAGRycy9kb3ducmV2LnhtbESPT4vCMBTE78J+h/AWvNm0HtzSNcriovQggn/2/mie&#10;bbF5KU1s67c3woLHYWZ+wyzXo2lET52rLStIohgEcWF1zaWCy3k7S0E4j6yxsUwKHuRgvfqYLDHT&#10;duAj9SdfigBhl6GCyvs2k9IVFRl0kW2Jg3e1nUEfZFdK3eEQ4KaR8zheSIM1h4UKW9pUVNxOd6OA&#10;3e/9YQ7ppv/L+2LIk/0uxb1S08/x5xuEp9G/w//tXCv4Su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ae1wgAAANsAAAAPAAAAAAAAAAAAAAAAAJgCAABkcnMvZG93&#10;bnJldi54bWxQSwUGAAAAAAQABAD1AAAAhwMAAAAA&#10;" path="m2499,1088l2499,,,e" filled="f" strokeweight=".5pt">
                  <v:stroke endarrow="block" endarrowwidth="narrow" endarrowlength="short"/>
                  <v:path arrowok="t" o:connecttype="custom" o:connectlocs="1428899,559323;1428899,0;0,0" o:connectangles="0,0,0"/>
                </v:shape>
                <v:shape id="任意多边形 25209" o:spid="_x0000_s1050" style="position:absolute;left:5729;top:10217;width:32267;height:2321;visibility:visible;mso-wrap-style:square;v-text-anchor:top" coordsize="564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CUsQA&#10;AADbAAAADwAAAGRycy9kb3ducmV2LnhtbESPQWvCQBSE7wX/w/IEb3VTD2pjNiItSm+tVsTjc/c1&#10;CWbfxuxq0n/fLQgeh5n5hsmWva3FjVpfOVbwMk5AEGtnKi4U7L/Xz3MQPiAbrB2Tgl/ysMwHTxmm&#10;xnW8pdsuFCJC2KeooAyhSaX0uiSLfuwa4uj9uNZiiLItpGmxi3Bby0mSTKXFiuNCiQ29laTPu6tV&#10;sLp+fu072RzOp+PFv09f9Wa21UqNhv1qASJQHx7he/vDKJhN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lLEAAAA2wAAAA8AAAAAAAAAAAAAAAAAmAIAAGRycy9k&#10;b3ducmV2LnhtbFBLBQYAAAAABAAEAPUAAACJAwAAAAA=&#10;" path="m2,288l,,5638,r2,315e" filled="f" strokeweight=".5pt">
                  <v:stroke startarrow="block" startarrowwidth="narrow" startarrowlength="short" endarrow="block" endarrowwidth="narrow" endarrowlength="short"/>
                  <v:path arrowok="t" o:connecttype="custom" o:connectlocs="1144,212169;0,0;3225566,0;3226710,232060" o:connectangles="0,0,0,0"/>
                </v:shape>
                <v:line id="直线 25210" o:spid="_x0000_s1051" style="position:absolute;flip:y;visibility:visible;mso-wrap-style:square" from="40622,9817" to="40622,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ywcIAAADbAAAADwAAAGRycy9kb3ducmV2LnhtbESPT0sDMRDF74V+hzAFL2Jna7HVtWmR&#10;otijtnqfbsbN4mayJLG7/fZGEHp8vD8/3mozuFadOMTGi4bZtADFUnnTSK3h4/Bycw8qJhJDrRfW&#10;cOYIm/V4tKLS+F7e+bRPtcojEkvSYFPqSsRYWXYUp75jyd6XD45SlqFGE6jP467F26JYoKNGMsFS&#10;x1vL1ff+x2WIDXf+GPrr5faI+Pyw+8TXt5nWV5Ph6RFU4iFdwv/tndGwnMPfl/wDcP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zywcIAAADbAAAADwAAAAAAAAAAAAAA&#10;AAChAgAAZHJzL2Rvd25yZXYueG1sUEsFBgAAAAAEAAQA+QAAAJADAAAAAA==&#10;" strokeweight=".5pt">
                  <v:stroke endarrow="block" endarrowwidth="narrow" endarrowlength="short"/>
                </v:line>
                <v:line id="直线 25211" o:spid="_x0000_s1052" style="position:absolute;visibility:visible;mso-wrap-style:square" from="39092,14663" to="39092,1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yj8UAAADbAAAADwAAAGRycy9kb3ducmV2LnhtbESPQWsCMRSE74L/ITzBm2Yri5atUYog&#10;eCiIVkp7e928bpZuXpYk3V399U2h4HGYmW+Y9XawjejIh9qxgod5BoK4dLrmSsHldT97BBEissbG&#10;MSm4UoDtZjxaY6FdzyfqzrESCcKhQAUmxraQMpSGLIa5a4mT9+W8xZikr6T22Ce4beQiy5bSYs1p&#10;wWBLO0Pl9/nHKnhf+WX47C/57aU+fjRvznRdflJqOhmen0BEGuI9/N8+aAWrHP6+p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Zyj8UAAADbAAAADwAAAAAAAAAA&#10;AAAAAAChAgAAZHJzL2Rvd25yZXYueG1sUEsFBgAAAAAEAAQA+QAAAJMDAAAAAA==&#10;" strokeweight=".5pt">
                  <v:stroke endarrow="block" endarrowwidth="narrow" endarrowlength="short"/>
                </v:line>
                <v:line id="直线 25212" o:spid="_x0000_s1053" style="position:absolute;flip:y;visibility:visible;mso-wrap-style:square" from="40461,14569" to="40461,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nPLsIAAADbAAAADwAAAGRycy9kb3ducmV2LnhtbESPT0sDMRDF7wW/Q5hCL8XOtlCra9Mi&#10;RWmPWvU+3YybpZvJksTu+u0bQfD4eH9+vPV2cK26cIiNFw3zWQGKpfKmkVrDx/vL7T2omEgMtV5Y&#10;ww9H2G5uRmsqje/ljS/HVKs8IrEkDTalrkSMlWVHceY7lux9+eAoZRlqNIH6PO5aXBTFHTpqJBMs&#10;dbyzXJ2P3y5DbFj6U+inq90J8fnh8In717nWk/Hw9Agq8ZD+w3/tg9GwWsLvl/wDcH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nPLsIAAADbAAAADwAAAAAAAAAAAAAA&#10;AAChAgAAZHJzL2Rvd25yZXYueG1sUEsFBgAAAAAEAAQA+QAAAJADAAAAAA==&#10;" strokeweight=".5pt">
                  <v:stroke endarrow="block" endarrowwidth="narrow" endarrowlength="short"/>
                </v:line>
                <v:shape id="任意多边形 25213" o:spid="_x0000_s1054" style="position:absolute;left:10013;top:19321;width:29921;height:3833;visibility:visible;mso-wrap-style:square;v-text-anchor:top" coordsize="538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hDsUA&#10;AADbAAAADwAAAGRycy9kb3ducmV2LnhtbESPT2sCMRTE7wW/Q3hCL0Wz9rAtq1FUEDz04J+KeHsk&#10;z93FzcuSpOv22zeC0OMwM79hZoveNqIjH2rHCibjDASxdqbmUsH3cTP6BBEissHGMSn4pQCL+eBl&#10;hoVxd95Td4ilSBAOBSqoYmwLKYOuyGIYu5Y4eVfnLcYkfSmNx3uC20a+Z1kuLdacFipsaV2Rvh1+&#10;rILuRKv1m/Z51y/3O33elhf+2in1OuyXUxCR+vgffra3RsFHDo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yEOxQAAANsAAAAPAAAAAAAAAAAAAAAAAJgCAABkcnMv&#10;ZG93bnJldi54bWxQSwUGAAAAAAQABAD1AAAAigMAAAAA&#10;" path="m,745r5380,-1l5380,e" filled="f" strokeweight=".5pt">
                  <v:stroke endarrow="block" endarrowwidth="narrow" endarrowlength="short"/>
                  <v:path arrowok="t" o:connecttype="custom" o:connectlocs="0,383366;2992102,382851;2992102,0" o:connectangles="0,0,0"/>
                </v:shape>
                <w10:wrap anchory="line"/>
              </v:group>
            </w:pict>
          </mc:Fallback>
        </mc:AlternateContent>
      </w:r>
      <w:r w:rsidRPr="002B55E9">
        <w:rPr>
          <w:noProof/>
        </w:rPr>
        <mc:AlternateContent>
          <mc:Choice Requires="wps">
            <w:drawing>
              <wp:inline distT="0" distB="0" distL="0" distR="0" wp14:anchorId="6F833557" wp14:editId="17A23ED2">
                <wp:extent cx="4547870" cy="2508885"/>
                <wp:effectExtent l="0" t="0" r="0" b="0"/>
                <wp:docPr id="1" name="AutoShape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7870" cy="2508885"/>
                        </a:xfrm>
                        <a:prstGeom prst="rect">
                          <a:avLst/>
                        </a:prstGeom>
                        <a:noFill/>
                        <a:ln>
                          <a:noFill/>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w16se="http://schemas.microsoft.com/office/word/2015/wordml/symex" xmlns:w15="http://schemas.microsoft.com/office/word/2012/wordml" xmlns:cx="http://schemas.microsoft.com/office/drawing/2014/chartex">
            <w:pict>
              <v:rect id="AutoShape 86" o:spid="_x0000_s1026" o:spt="1" style="height:197.55pt;width:358.1pt;" filled="f" stroked="f" coordsize="21600,21600" o:gfxdata="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7+NuDY&#10;AAAABQEAAA8AAAAAAAAAAQAgAAAAIgAAAGRycy9kb3ducmV2LnhtbFBLAQIUABQAAAAIAIdO4kAP&#10;imG15wEAAMcDAAAOAAAAAAAAAAEAIAAAACcBAABkcnMvZTJvRG9jLnhtbFBLBQYAAAAABgAGAFkB&#10;AACABQAAAAA=&#10;">
                <v:fill on="f" focussize="0,0"/>
                <v:stroke on="f"/>
                <v:imagedata o:title=""/>
                <o:lock v:ext="edit" aspectratio="t"/>
                <w10:wrap type="none"/>
                <w10:anchorlock/>
              </v:rect>
            </w:pict>
          </mc:Fallback>
        </mc:AlternateContent>
      </w:r>
    </w:p>
    <w:p w14:paraId="1C332E49" w14:textId="77777777" w:rsidR="00D170E5" w:rsidRPr="002B55E9" w:rsidRDefault="00EF27AD">
      <w:pPr>
        <w:pStyle w:val="aff1"/>
        <w:spacing w:line="360" w:lineRule="auto"/>
        <w:jc w:val="center"/>
        <w:rPr>
          <w:rFonts w:ascii="Times New Roman" w:eastAsia="黑体" w:hAnsi="Times New Roman"/>
          <w:b/>
          <w:bCs/>
          <w:sz w:val="24"/>
        </w:rPr>
      </w:pPr>
      <w:r w:rsidRPr="002B55E9">
        <w:rPr>
          <w:rFonts w:ascii="Times New Roman" w:eastAsia="黑体" w:hAnsi="Times New Roman"/>
          <w:b/>
          <w:bCs/>
          <w:sz w:val="24"/>
        </w:rPr>
        <w:t>图</w:t>
      </w:r>
      <w:r w:rsidRPr="002B55E9">
        <w:rPr>
          <w:rFonts w:ascii="Times New Roman" w:eastAsia="黑体" w:hAnsi="Times New Roman" w:hint="eastAsia"/>
          <w:b/>
          <w:bCs/>
          <w:sz w:val="24"/>
        </w:rPr>
        <w:t>11</w:t>
      </w:r>
      <w:r w:rsidRPr="002B55E9">
        <w:rPr>
          <w:rFonts w:ascii="Times New Roman" w:eastAsia="黑体" w:hAnsi="Times New Roman"/>
          <w:b/>
          <w:bCs/>
          <w:sz w:val="24"/>
        </w:rPr>
        <w:t xml:space="preserve">-2-1   </w:t>
      </w:r>
      <w:r w:rsidRPr="002B55E9">
        <w:rPr>
          <w:rFonts w:ascii="Times New Roman" w:eastAsia="黑体" w:hAnsi="Times New Roman"/>
          <w:b/>
          <w:bCs/>
          <w:sz w:val="24"/>
        </w:rPr>
        <w:t>环境管理机构示意图</w:t>
      </w:r>
    </w:p>
    <w:p w14:paraId="728364A2" w14:textId="77777777" w:rsidR="00D170E5" w:rsidRPr="002B55E9" w:rsidRDefault="00EF27AD">
      <w:pPr>
        <w:pStyle w:val="affff7"/>
      </w:pPr>
      <w:r w:rsidRPr="002B55E9">
        <w:t>（</w:t>
      </w:r>
      <w:r w:rsidRPr="002B55E9">
        <w:t>1</w:t>
      </w:r>
      <w:r w:rsidRPr="002B55E9">
        <w:t>）设置目的</w:t>
      </w:r>
    </w:p>
    <w:p w14:paraId="35B88AF2" w14:textId="77777777" w:rsidR="00D170E5" w:rsidRPr="002B55E9" w:rsidRDefault="00EF27AD">
      <w:pPr>
        <w:pStyle w:val="affff7"/>
      </w:pPr>
      <w:r w:rsidRPr="002B55E9">
        <w:t>贯彻执行有关环境法规，正确处理工程安全生产与保护环境的关系，实现工程建设的社会、经济和环境效益的统一，及时掌握污染控制措施的效果，了解工程及周围地区的环境质量与社会经济因子的变化，为工程施工期和运行期的环境管理提供依据。</w:t>
      </w:r>
    </w:p>
    <w:p w14:paraId="03B73591" w14:textId="77777777" w:rsidR="00D170E5" w:rsidRPr="002B55E9" w:rsidRDefault="00EF27AD">
      <w:pPr>
        <w:pStyle w:val="affff7"/>
      </w:pPr>
      <w:r w:rsidRPr="002B55E9">
        <w:lastRenderedPageBreak/>
        <w:t>（</w:t>
      </w:r>
      <w:r w:rsidRPr="002B55E9">
        <w:t>2</w:t>
      </w:r>
      <w:r w:rsidRPr="002B55E9">
        <w:t>）机构组成</w:t>
      </w:r>
    </w:p>
    <w:p w14:paraId="268EB260" w14:textId="77777777" w:rsidR="00D170E5" w:rsidRPr="002B55E9" w:rsidRDefault="00EF27AD">
      <w:pPr>
        <w:pStyle w:val="affff7"/>
      </w:pPr>
      <w:r w:rsidRPr="002B55E9">
        <w:t>根据本项目的实际，公司在建设施工期间，工程建设指挥部应设专人负责环境保护事宜。工程投入运行后，应设立环保</w:t>
      </w:r>
      <w:r w:rsidRPr="002B55E9">
        <w:rPr>
          <w:rFonts w:hint="eastAsia"/>
        </w:rPr>
        <w:t>处</w:t>
      </w:r>
      <w:r w:rsidRPr="002B55E9">
        <w:t>，专营工程的环境保护事宜。</w:t>
      </w:r>
    </w:p>
    <w:p w14:paraId="4B5DD747" w14:textId="77777777" w:rsidR="00D170E5" w:rsidRPr="002B55E9" w:rsidRDefault="00EF27AD">
      <w:pPr>
        <w:pStyle w:val="affff7"/>
      </w:pPr>
      <w:r w:rsidRPr="002B55E9">
        <w:rPr>
          <w:rFonts w:hint="eastAsia"/>
        </w:rPr>
        <w:t>安环部</w:t>
      </w:r>
      <w:r w:rsidRPr="002B55E9">
        <w:t>肩负公司环境管理和环境监控两大职能，其业务受市、区环保局的指导和监督。</w:t>
      </w:r>
    </w:p>
    <w:p w14:paraId="6A18A6CB" w14:textId="77777777" w:rsidR="00D170E5" w:rsidRPr="002B55E9" w:rsidRDefault="00EF27AD">
      <w:pPr>
        <w:pStyle w:val="affff7"/>
      </w:pPr>
      <w:r w:rsidRPr="002B55E9">
        <w:t>（</w:t>
      </w:r>
      <w:r w:rsidRPr="002B55E9">
        <w:t>3</w:t>
      </w:r>
      <w:r w:rsidRPr="002B55E9">
        <w:t>）环保机构定员</w:t>
      </w:r>
    </w:p>
    <w:p w14:paraId="4EC39815" w14:textId="77777777" w:rsidR="00D170E5" w:rsidRPr="002B55E9" w:rsidRDefault="00EF27AD">
      <w:pPr>
        <w:pStyle w:val="affff7"/>
      </w:pPr>
      <w:r w:rsidRPr="002B55E9">
        <w:t>施工期在建设工程指挥部设</w:t>
      </w:r>
      <w:r w:rsidRPr="002B55E9">
        <w:t>1</w:t>
      </w:r>
      <w:r w:rsidRPr="002B55E9">
        <w:t>～</w:t>
      </w:r>
      <w:r w:rsidRPr="002B55E9">
        <w:t>2</w:t>
      </w:r>
      <w:r w:rsidRPr="002B55E9">
        <w:t>人环境管理人员，运行期定员为</w:t>
      </w:r>
      <w:r w:rsidRPr="002B55E9">
        <w:rPr>
          <w:rFonts w:hint="eastAsia"/>
        </w:rPr>
        <w:t>2</w:t>
      </w:r>
      <w:r w:rsidRPr="002B55E9">
        <w:t>～</w:t>
      </w:r>
      <w:r w:rsidRPr="002B55E9">
        <w:rPr>
          <w:rFonts w:hint="eastAsia"/>
        </w:rPr>
        <w:t>3</w:t>
      </w:r>
      <w:r w:rsidRPr="002B55E9">
        <w:t>人</w:t>
      </w:r>
      <w:r w:rsidRPr="002B55E9">
        <w:rPr>
          <w:rFonts w:hint="eastAsia"/>
        </w:rPr>
        <w:t>，在车间配备至少兼职人员，</w:t>
      </w:r>
      <w:r w:rsidRPr="002B55E9">
        <w:t>负责环境管理和环境监测</w:t>
      </w:r>
      <w:r w:rsidRPr="002B55E9">
        <w:rPr>
          <w:rFonts w:hint="eastAsia"/>
        </w:rPr>
        <w:t>工作</w:t>
      </w:r>
      <w:r w:rsidRPr="002B55E9">
        <w:t>。</w:t>
      </w:r>
    </w:p>
    <w:p w14:paraId="40AE2B68" w14:textId="77777777" w:rsidR="00D170E5" w:rsidRPr="002B55E9" w:rsidRDefault="00EF27AD">
      <w:pPr>
        <w:pStyle w:val="4"/>
        <w:rPr>
          <w:color w:val="auto"/>
        </w:rPr>
      </w:pPr>
      <w:r w:rsidRPr="002B55E9">
        <w:rPr>
          <w:color w:val="auto"/>
        </w:rPr>
        <w:t>环境管理计划</w:t>
      </w:r>
    </w:p>
    <w:p w14:paraId="74C3FD16" w14:textId="77777777" w:rsidR="00D170E5" w:rsidRPr="002B55E9" w:rsidRDefault="00EF27AD">
      <w:pPr>
        <w:pStyle w:val="affff7"/>
      </w:pPr>
      <w:bookmarkStart w:id="360" w:name="_Toc22874635"/>
      <w:r w:rsidRPr="002B55E9">
        <w:t>本项目建成投产后，企业安环部要加强日常生产的环境管理工作，以便及时发现生产装置及配套辅助设施运行过程中存在的问题，尽快采取处理措施，减少或避免污染和损失。针对本项目运营的特点初步拟订了以下环境管理计划。</w:t>
      </w:r>
    </w:p>
    <w:p w14:paraId="1DD119B3" w14:textId="77777777" w:rsidR="00D170E5" w:rsidRPr="002B55E9" w:rsidRDefault="00EF27AD">
      <w:pPr>
        <w:pStyle w:val="affff7"/>
      </w:pPr>
      <w:r w:rsidRPr="002B55E9">
        <w:t>（</w:t>
      </w:r>
      <w:r w:rsidRPr="002B55E9">
        <w:t>1</w:t>
      </w:r>
      <w:r w:rsidRPr="002B55E9">
        <w:t>）监督、检查环保</w:t>
      </w:r>
      <w:r w:rsidRPr="002B55E9">
        <w:t>“</w:t>
      </w:r>
      <w:r w:rsidRPr="002B55E9">
        <w:t>三同时</w:t>
      </w:r>
      <w:r w:rsidRPr="002B55E9">
        <w:t>”</w:t>
      </w:r>
      <w:r w:rsidRPr="002B55E9">
        <w:t>的执行情况。</w:t>
      </w:r>
    </w:p>
    <w:p w14:paraId="79D3A04C" w14:textId="77777777" w:rsidR="00D170E5" w:rsidRPr="002B55E9" w:rsidRDefault="00EF27AD">
      <w:pPr>
        <w:pStyle w:val="affff7"/>
      </w:pPr>
      <w:r w:rsidRPr="002B55E9">
        <w:t>（</w:t>
      </w:r>
      <w:r w:rsidRPr="002B55E9">
        <w:t>2</w:t>
      </w:r>
      <w:r w:rsidRPr="002B55E9">
        <w:t>）加强对管线、容器、设备中的物料进行收集、回收和利用；严格停工、检修、开工期间的环保管理。</w:t>
      </w:r>
    </w:p>
    <w:p w14:paraId="46B96D42" w14:textId="77777777" w:rsidR="00D170E5" w:rsidRPr="002B55E9" w:rsidRDefault="00EF27AD">
      <w:pPr>
        <w:pStyle w:val="affff7"/>
      </w:pPr>
      <w:r w:rsidRPr="002B55E9">
        <w:t>（</w:t>
      </w:r>
      <w:r w:rsidRPr="002B55E9">
        <w:t>3</w:t>
      </w:r>
      <w:r w:rsidRPr="002B55E9">
        <w:t>）严格控制项目废气的排放。</w:t>
      </w:r>
    </w:p>
    <w:p w14:paraId="52A15B4F" w14:textId="77777777" w:rsidR="00D170E5" w:rsidRPr="002B55E9" w:rsidRDefault="00EF27AD">
      <w:pPr>
        <w:pStyle w:val="affff7"/>
      </w:pPr>
      <w:r w:rsidRPr="002B55E9">
        <w:t>（</w:t>
      </w:r>
      <w:r w:rsidRPr="002B55E9">
        <w:t>4</w:t>
      </w:r>
      <w:r w:rsidRPr="002B55E9">
        <w:t>）采取有效措施，防止污水管网和污水井的破坏、渗漏，防止对土壤和地下水源的污染，所有污水井必须符合设计规范要求。</w:t>
      </w:r>
    </w:p>
    <w:p w14:paraId="1338D9D7" w14:textId="77777777" w:rsidR="00D170E5" w:rsidRPr="002B55E9" w:rsidRDefault="00EF27AD">
      <w:pPr>
        <w:pStyle w:val="affff7"/>
      </w:pPr>
      <w:r w:rsidRPr="002B55E9">
        <w:t>（</w:t>
      </w:r>
      <w:r w:rsidRPr="002B55E9">
        <w:t>5</w:t>
      </w:r>
      <w:r w:rsidRPr="002B55E9">
        <w:t>）控制和减少噪声污染，对噪声源要采取减震、隔音、消声的措施，保证厂界噪声达标。</w:t>
      </w:r>
    </w:p>
    <w:p w14:paraId="0709D56A" w14:textId="77777777" w:rsidR="00D170E5" w:rsidRPr="002B55E9" w:rsidRDefault="00EF27AD">
      <w:pPr>
        <w:pStyle w:val="affff7"/>
      </w:pPr>
      <w:r w:rsidRPr="002B55E9">
        <w:t>（</w:t>
      </w:r>
      <w:r w:rsidRPr="002B55E9">
        <w:t>6</w:t>
      </w:r>
      <w:r w:rsidRPr="002B55E9">
        <w:t>）制定</w:t>
      </w:r>
      <w:r w:rsidRPr="002B55E9">
        <w:t>“</w:t>
      </w:r>
      <w:r w:rsidRPr="002B55E9">
        <w:t>突发性污染事故处理预案</w:t>
      </w:r>
      <w:r w:rsidRPr="002B55E9">
        <w:t>”</w:t>
      </w:r>
      <w:r w:rsidRPr="002B55E9">
        <w:t>。对发生的环境污染事故，要迅速对污染现场进行处理，防止污染范围的扩大，最大限度的减少对环境造成的影响和破坏。</w:t>
      </w:r>
    </w:p>
    <w:p w14:paraId="1F4D01DA" w14:textId="77777777" w:rsidR="00D170E5" w:rsidRPr="002B55E9" w:rsidRDefault="00EF27AD">
      <w:pPr>
        <w:pStyle w:val="affff7"/>
      </w:pPr>
      <w:r w:rsidRPr="002B55E9">
        <w:rPr>
          <w:szCs w:val="24"/>
        </w:rPr>
        <w:t>（</w:t>
      </w:r>
      <w:r w:rsidRPr="002B55E9">
        <w:rPr>
          <w:szCs w:val="24"/>
        </w:rPr>
        <w:t>7</w:t>
      </w:r>
      <w:r w:rsidRPr="002B55E9">
        <w:rPr>
          <w:szCs w:val="24"/>
        </w:rPr>
        <w:t>）</w:t>
      </w:r>
      <w:r w:rsidRPr="002B55E9">
        <w:t>环保管理人员必须通过专门培训。企业要把职工对环保基本知识的了解和环保应知应会作为考核职工基本素质的一项内容，新职工进厂要通过环保培训考试合格后才能上岗。</w:t>
      </w:r>
    </w:p>
    <w:p w14:paraId="684CC077" w14:textId="77777777" w:rsidR="00D170E5" w:rsidRPr="002B55E9" w:rsidRDefault="00EF27AD">
      <w:pPr>
        <w:pStyle w:val="affff7"/>
      </w:pPr>
      <w:r w:rsidRPr="002B55E9">
        <w:t>（</w:t>
      </w:r>
      <w:r w:rsidRPr="002B55E9">
        <w:t>8</w:t>
      </w:r>
      <w:r w:rsidRPr="002B55E9">
        <w:t>）制定完善的环境保护规章制度和审核制度，主要有：</w:t>
      </w:r>
    </w:p>
    <w:p w14:paraId="63807EE1" w14:textId="77777777" w:rsidR="00D170E5" w:rsidRPr="002B55E9" w:rsidRDefault="00EF27AD">
      <w:pPr>
        <w:pStyle w:val="affff7"/>
      </w:pPr>
      <w:r w:rsidRPr="002B55E9">
        <w:rPr>
          <w:rFonts w:ascii="宋体" w:hAnsi="宋体" w:cs="宋体" w:hint="eastAsia"/>
        </w:rPr>
        <w:t>①</w:t>
      </w:r>
      <w:r w:rsidRPr="002B55E9">
        <w:t>《安环部工作标准》；</w:t>
      </w:r>
    </w:p>
    <w:p w14:paraId="53905BEC" w14:textId="77777777" w:rsidR="00D170E5" w:rsidRPr="002B55E9" w:rsidRDefault="00EF27AD">
      <w:pPr>
        <w:pStyle w:val="affff7"/>
      </w:pPr>
      <w:r w:rsidRPr="002B55E9">
        <w:rPr>
          <w:rFonts w:ascii="宋体" w:hAnsi="宋体" w:cs="宋体" w:hint="eastAsia"/>
        </w:rPr>
        <w:t>②</w:t>
      </w:r>
      <w:r w:rsidRPr="002B55E9">
        <w:t>《安环部部长工作标准》；</w:t>
      </w:r>
      <w:r w:rsidRPr="002B55E9">
        <w:t xml:space="preserve"> </w:t>
      </w:r>
    </w:p>
    <w:p w14:paraId="642352EF" w14:textId="77777777" w:rsidR="00D170E5" w:rsidRPr="002B55E9" w:rsidRDefault="00EF27AD">
      <w:pPr>
        <w:pStyle w:val="affff7"/>
      </w:pPr>
      <w:r w:rsidRPr="002B55E9">
        <w:rPr>
          <w:rFonts w:ascii="宋体" w:hAnsi="宋体" w:cs="宋体" w:hint="eastAsia"/>
        </w:rPr>
        <w:t>③</w:t>
      </w:r>
      <w:r w:rsidRPr="002B55E9">
        <w:t>《环境保护监测技术负责人工作标准》；</w:t>
      </w:r>
    </w:p>
    <w:p w14:paraId="3A3191BC" w14:textId="77777777" w:rsidR="00D170E5" w:rsidRPr="002B55E9" w:rsidRDefault="00EF27AD">
      <w:pPr>
        <w:pStyle w:val="affff7"/>
      </w:pPr>
      <w:r w:rsidRPr="002B55E9">
        <w:rPr>
          <w:rFonts w:ascii="宋体" w:hAnsi="宋体" w:cs="宋体" w:hint="eastAsia"/>
        </w:rPr>
        <w:t>④</w:t>
      </w:r>
      <w:r w:rsidRPr="002B55E9">
        <w:t>《环境保护技术工程管理岗位工作标准》；</w:t>
      </w:r>
    </w:p>
    <w:p w14:paraId="1AB0BD41" w14:textId="77777777" w:rsidR="00D170E5" w:rsidRPr="002B55E9" w:rsidRDefault="00EF27AD">
      <w:pPr>
        <w:pStyle w:val="affff7"/>
      </w:pPr>
      <w:r w:rsidRPr="002B55E9">
        <w:rPr>
          <w:rFonts w:ascii="宋体" w:hAnsi="宋体" w:cs="宋体" w:hint="eastAsia"/>
        </w:rPr>
        <w:t>⑤</w:t>
      </w:r>
      <w:r w:rsidRPr="002B55E9">
        <w:t>《生产装置环境保护管理岗位工作标准》；</w:t>
      </w:r>
    </w:p>
    <w:p w14:paraId="095925EE" w14:textId="77777777" w:rsidR="00D170E5" w:rsidRPr="002B55E9" w:rsidRDefault="00EF27AD">
      <w:pPr>
        <w:pStyle w:val="affff7"/>
      </w:pPr>
      <w:r w:rsidRPr="002B55E9">
        <w:rPr>
          <w:rFonts w:ascii="宋体" w:hAnsi="宋体" w:cs="宋体" w:hint="eastAsia"/>
        </w:rPr>
        <w:lastRenderedPageBreak/>
        <w:t>⑥</w:t>
      </w:r>
      <w:r w:rsidRPr="002B55E9">
        <w:t>《工业废气、废渣技术管理岗位工作标准》等。</w:t>
      </w:r>
    </w:p>
    <w:p w14:paraId="3C10E198" w14:textId="77777777" w:rsidR="00D170E5" w:rsidRPr="002B55E9" w:rsidRDefault="00EF27AD">
      <w:pPr>
        <w:pStyle w:val="affff7"/>
      </w:pPr>
      <w:r w:rsidRPr="002B55E9">
        <w:t>（</w:t>
      </w:r>
      <w:r w:rsidRPr="002B55E9">
        <w:t>10</w:t>
      </w:r>
      <w:r w:rsidRPr="002B55E9">
        <w:t>）建立完善的环保档案管理制度，主要有：</w:t>
      </w:r>
    </w:p>
    <w:p w14:paraId="6EAB5EA8" w14:textId="77777777" w:rsidR="00D170E5" w:rsidRPr="002B55E9" w:rsidRDefault="00EF27AD">
      <w:pPr>
        <w:pStyle w:val="affff7"/>
      </w:pPr>
      <w:r w:rsidRPr="002B55E9">
        <w:rPr>
          <w:rFonts w:ascii="宋体" w:hAnsi="宋体" w:cs="宋体" w:hint="eastAsia"/>
        </w:rPr>
        <w:t>①</w:t>
      </w:r>
      <w:r w:rsidRPr="002B55E9">
        <w:t>国家、省、市及公司下发的各类环保法规、标准及各类环保文件类档案管理；环保设施档案管理；</w:t>
      </w:r>
    </w:p>
    <w:p w14:paraId="3F5B3616" w14:textId="77777777" w:rsidR="00D170E5" w:rsidRPr="002B55E9" w:rsidRDefault="00EF27AD">
      <w:pPr>
        <w:pStyle w:val="affff7"/>
      </w:pPr>
      <w:r w:rsidRPr="002B55E9">
        <w:rPr>
          <w:rFonts w:ascii="宋体" w:hAnsi="宋体" w:cs="宋体" w:hint="eastAsia"/>
        </w:rPr>
        <w:t>②</w:t>
      </w:r>
      <w:r w:rsidRPr="002B55E9">
        <w:t>环保设施月检修、年检修</w:t>
      </w:r>
      <w:r w:rsidRPr="002B55E9">
        <w:t>(</w:t>
      </w:r>
      <w:r w:rsidRPr="002B55E9">
        <w:t>大修</w:t>
      </w:r>
      <w:r w:rsidRPr="002B55E9">
        <w:t>)</w:t>
      </w:r>
      <w:r w:rsidRPr="002B55E9">
        <w:t>维护计划、实施类档案管理；</w:t>
      </w:r>
    </w:p>
    <w:p w14:paraId="2936C8EE" w14:textId="77777777" w:rsidR="00D170E5" w:rsidRPr="002B55E9" w:rsidRDefault="00EF27AD">
      <w:pPr>
        <w:pStyle w:val="affff7"/>
      </w:pPr>
      <w:r w:rsidRPr="002B55E9">
        <w:rPr>
          <w:rFonts w:ascii="宋体" w:hAnsi="宋体" w:cs="宋体" w:hint="eastAsia"/>
        </w:rPr>
        <w:t>③</w:t>
      </w:r>
      <w:r w:rsidRPr="002B55E9">
        <w:t>环保实施运行台帐类档案管理；</w:t>
      </w:r>
    </w:p>
    <w:p w14:paraId="35C70B42" w14:textId="77777777" w:rsidR="00D170E5" w:rsidRPr="002B55E9" w:rsidRDefault="00EF27AD">
      <w:pPr>
        <w:pStyle w:val="affff7"/>
      </w:pPr>
      <w:r w:rsidRPr="002B55E9">
        <w:rPr>
          <w:rFonts w:ascii="宋体" w:hAnsi="宋体" w:cs="宋体" w:hint="eastAsia"/>
        </w:rPr>
        <w:t>④</w:t>
      </w:r>
      <w:r w:rsidRPr="002B55E9">
        <w:t>公司及厂级开展环保宣传、环保活动类建档管理。</w:t>
      </w:r>
    </w:p>
    <w:p w14:paraId="3007B0AE" w14:textId="77777777" w:rsidR="00D170E5" w:rsidRPr="002B55E9" w:rsidRDefault="00EF27AD">
      <w:pPr>
        <w:pStyle w:val="affff7"/>
      </w:pPr>
      <w:r w:rsidRPr="002B55E9">
        <w:t>（</w:t>
      </w:r>
      <w:r w:rsidRPr="002B55E9">
        <w:t>11</w:t>
      </w:r>
      <w:r w:rsidRPr="002B55E9">
        <w:t>）设立专门的绿化机构与人员、统一规划实施全厂的环境绿化。</w:t>
      </w:r>
    </w:p>
    <w:p w14:paraId="3211C48D" w14:textId="77777777" w:rsidR="00D170E5" w:rsidRPr="002B55E9" w:rsidRDefault="00EF27AD">
      <w:pPr>
        <w:pStyle w:val="4"/>
        <w:rPr>
          <w:color w:val="auto"/>
        </w:rPr>
      </w:pPr>
      <w:r w:rsidRPr="002B55E9">
        <w:rPr>
          <w:color w:val="auto"/>
        </w:rPr>
        <w:t>环境管理职责</w:t>
      </w:r>
      <w:bookmarkEnd w:id="360"/>
    </w:p>
    <w:p w14:paraId="6EAE17AE" w14:textId="77777777" w:rsidR="00D170E5" w:rsidRPr="002B55E9" w:rsidRDefault="00EF27AD">
      <w:pPr>
        <w:pStyle w:val="affff7"/>
      </w:pPr>
      <w:r w:rsidRPr="002B55E9">
        <w:t>（</w:t>
      </w:r>
      <w:r w:rsidRPr="002B55E9">
        <w:t>1</w:t>
      </w:r>
      <w:r w:rsidRPr="002B55E9">
        <w:t>）对工程的环境保护工作实行统一监督管理，贯彻执行国家和地方有关环境保护法规；</w:t>
      </w:r>
    </w:p>
    <w:p w14:paraId="27CF72D6" w14:textId="77777777" w:rsidR="00D170E5" w:rsidRPr="002B55E9" w:rsidRDefault="00EF27AD">
      <w:pPr>
        <w:pStyle w:val="affff7"/>
      </w:pPr>
      <w:r w:rsidRPr="002B55E9">
        <w:t>（</w:t>
      </w:r>
      <w:r w:rsidRPr="002B55E9">
        <w:t>2</w:t>
      </w:r>
      <w:r w:rsidRPr="002B55E9">
        <w:t>）建立各种管理制度，并经常检查督促；</w:t>
      </w:r>
    </w:p>
    <w:p w14:paraId="5C7542B3" w14:textId="77777777" w:rsidR="00D170E5" w:rsidRPr="002B55E9" w:rsidRDefault="00EF27AD">
      <w:pPr>
        <w:pStyle w:val="affff7"/>
      </w:pPr>
      <w:r w:rsidRPr="002B55E9">
        <w:t>（</w:t>
      </w:r>
      <w:r w:rsidRPr="002B55E9">
        <w:t>3</w:t>
      </w:r>
      <w:r w:rsidRPr="002B55E9">
        <w:t>）编制环境保护规划和计划，并组织实施；</w:t>
      </w:r>
    </w:p>
    <w:p w14:paraId="198CA765" w14:textId="77777777" w:rsidR="00D170E5" w:rsidRPr="002B55E9" w:rsidRDefault="00EF27AD">
      <w:pPr>
        <w:pStyle w:val="affff7"/>
      </w:pPr>
      <w:r w:rsidRPr="002B55E9">
        <w:t>（</w:t>
      </w:r>
      <w:r w:rsidRPr="002B55E9">
        <w:t>4</w:t>
      </w:r>
      <w:r w:rsidRPr="002B55E9">
        <w:t>）领导和组织工程的环境监测工作，建立监控档案；</w:t>
      </w:r>
    </w:p>
    <w:p w14:paraId="43FE836A" w14:textId="77777777" w:rsidR="00D170E5" w:rsidRPr="002B55E9" w:rsidRDefault="00EF27AD">
      <w:pPr>
        <w:pStyle w:val="affff7"/>
      </w:pPr>
      <w:r w:rsidRPr="002B55E9">
        <w:t>（</w:t>
      </w:r>
      <w:r w:rsidRPr="002B55E9">
        <w:t>5</w:t>
      </w:r>
      <w:r w:rsidRPr="002B55E9">
        <w:t>）搞好环境教育和技术培训，提高工作人员的素质；</w:t>
      </w:r>
    </w:p>
    <w:p w14:paraId="16045C6B" w14:textId="77777777" w:rsidR="00D170E5" w:rsidRPr="002B55E9" w:rsidRDefault="00EF27AD">
      <w:pPr>
        <w:pStyle w:val="affff7"/>
      </w:pPr>
      <w:r w:rsidRPr="002B55E9">
        <w:t>（</w:t>
      </w:r>
      <w:r w:rsidRPr="002B55E9">
        <w:t>6</w:t>
      </w:r>
      <w:r w:rsidRPr="002B55E9">
        <w:t>）做好污染物达标排放，维护环保设施正常运转，协同市、区环保局解答和处理与工程环境保护有关公众提出的意见和问题；</w:t>
      </w:r>
    </w:p>
    <w:p w14:paraId="405A1F5B" w14:textId="77777777" w:rsidR="00D170E5" w:rsidRPr="002B55E9" w:rsidRDefault="00EF27AD">
      <w:pPr>
        <w:pStyle w:val="affff7"/>
      </w:pPr>
      <w:r w:rsidRPr="002B55E9">
        <w:t>（</w:t>
      </w:r>
      <w:r w:rsidRPr="002B55E9">
        <w:t>7</w:t>
      </w:r>
      <w:r w:rsidRPr="002B55E9">
        <w:t>）与政府环境保护机构密切配合，接受各级政府环境保护机构的检查和指导；</w:t>
      </w:r>
    </w:p>
    <w:p w14:paraId="5C71BF86" w14:textId="77777777" w:rsidR="00D170E5" w:rsidRPr="002B55E9" w:rsidRDefault="00EF27AD">
      <w:pPr>
        <w:pStyle w:val="affff7"/>
      </w:pPr>
      <w:r w:rsidRPr="002B55E9">
        <w:t>（</w:t>
      </w:r>
      <w:r w:rsidRPr="002B55E9">
        <w:t>8</w:t>
      </w:r>
      <w:r w:rsidRPr="002B55E9">
        <w:t>）监督建设单位执行</w:t>
      </w:r>
      <w:r w:rsidRPr="002B55E9">
        <w:t>“</w:t>
      </w:r>
      <w:r w:rsidRPr="002B55E9">
        <w:t>三同时</w:t>
      </w:r>
      <w:r w:rsidRPr="002B55E9">
        <w:t>”</w:t>
      </w:r>
      <w:r w:rsidRPr="002B55E9">
        <w:t>规定的情况，使环境保护工程措施与主体工程同时设计、同时施工、同时投产，以保证有效的控制污染。</w:t>
      </w:r>
    </w:p>
    <w:p w14:paraId="12CD4CE0" w14:textId="77777777" w:rsidR="00D170E5" w:rsidRPr="002B55E9" w:rsidRDefault="00EF27AD">
      <w:pPr>
        <w:pStyle w:val="4"/>
        <w:rPr>
          <w:color w:val="auto"/>
        </w:rPr>
      </w:pPr>
      <w:bookmarkStart w:id="361" w:name="_Toc22874637"/>
      <w:r w:rsidRPr="002B55E9">
        <w:rPr>
          <w:color w:val="auto"/>
        </w:rPr>
        <w:t>环境管理措施</w:t>
      </w:r>
      <w:bookmarkEnd w:id="361"/>
    </w:p>
    <w:p w14:paraId="690AF501" w14:textId="77777777" w:rsidR="00D170E5" w:rsidRPr="002B55E9" w:rsidRDefault="00EF27AD">
      <w:pPr>
        <w:pStyle w:val="affff7"/>
      </w:pPr>
      <w:r w:rsidRPr="002B55E9">
        <w:t>（</w:t>
      </w:r>
      <w:r w:rsidRPr="002B55E9">
        <w:t>1</w:t>
      </w:r>
      <w:r w:rsidRPr="002B55E9">
        <w:t>）施工期环境管理措施</w:t>
      </w:r>
    </w:p>
    <w:p w14:paraId="64661A14" w14:textId="77777777" w:rsidR="00D170E5" w:rsidRPr="002B55E9" w:rsidRDefault="00EF27AD">
      <w:pPr>
        <w:pStyle w:val="affff7"/>
      </w:pPr>
      <w:r w:rsidRPr="002B55E9">
        <w:t>对施工队伍实行环保职责管理，要求施工队伍按环保要求施工，并对施工过程的环保措施的实施进行检查监督。</w:t>
      </w:r>
    </w:p>
    <w:p w14:paraId="3C034EA0" w14:textId="77777777" w:rsidR="00D170E5" w:rsidRPr="002B55E9" w:rsidRDefault="00EF27AD">
      <w:pPr>
        <w:pStyle w:val="affff7"/>
      </w:pPr>
      <w:r w:rsidRPr="002B55E9">
        <w:t>（</w:t>
      </w:r>
      <w:r w:rsidRPr="002B55E9">
        <w:t>2</w:t>
      </w:r>
      <w:r w:rsidRPr="002B55E9">
        <w:t>）运行期环境管理措施</w:t>
      </w:r>
    </w:p>
    <w:p w14:paraId="65EC3666" w14:textId="77777777" w:rsidR="00D170E5" w:rsidRPr="002B55E9" w:rsidRDefault="00EF27AD">
      <w:pPr>
        <w:pStyle w:val="affff7"/>
        <w:rPr>
          <w:szCs w:val="24"/>
        </w:rPr>
      </w:pPr>
      <w:r w:rsidRPr="002B55E9">
        <w:rPr>
          <w:szCs w:val="24"/>
        </w:rPr>
        <w:t>工程环保</w:t>
      </w:r>
      <w:r w:rsidRPr="002B55E9">
        <w:t>工作</w:t>
      </w:r>
      <w:r w:rsidRPr="002B55E9">
        <w:rPr>
          <w:szCs w:val="24"/>
        </w:rPr>
        <w:t>要纳入公司全面工作之中，在工程管理的每个环节都要注重环境保护，把环保工作贯穿到工程管理的每个部分。公司环保管理机构要对环境保护工作统一管理，对公司环保工作定期检查，并接受政府环境保护部门的监督和指导。</w:t>
      </w:r>
    </w:p>
    <w:p w14:paraId="31EFE4EF" w14:textId="77777777" w:rsidR="00D170E5" w:rsidRPr="002B55E9" w:rsidRDefault="00EF27AD">
      <w:pPr>
        <w:pStyle w:val="3"/>
      </w:pPr>
      <w:bookmarkStart w:id="362" w:name="_Toc168996324"/>
      <w:bookmarkStart w:id="363" w:name="_Toc175302709"/>
      <w:bookmarkStart w:id="364" w:name="_Toc209866446"/>
      <w:bookmarkStart w:id="365" w:name="_Toc227059242"/>
      <w:bookmarkStart w:id="366" w:name="_Toc227059326"/>
      <w:bookmarkStart w:id="367" w:name="_Toc247186220"/>
      <w:bookmarkStart w:id="368" w:name="_Toc119309039"/>
      <w:bookmarkEnd w:id="342"/>
      <w:bookmarkEnd w:id="343"/>
      <w:bookmarkEnd w:id="344"/>
      <w:r w:rsidRPr="002B55E9">
        <w:lastRenderedPageBreak/>
        <w:t>建立企业</w:t>
      </w:r>
      <w:r w:rsidRPr="002B55E9">
        <w:t>ISO14000</w:t>
      </w:r>
      <w:r w:rsidRPr="002B55E9">
        <w:t>环境管理体系</w:t>
      </w:r>
      <w:bookmarkEnd w:id="362"/>
      <w:bookmarkEnd w:id="363"/>
      <w:bookmarkEnd w:id="364"/>
      <w:bookmarkEnd w:id="365"/>
      <w:bookmarkEnd w:id="366"/>
      <w:bookmarkEnd w:id="367"/>
      <w:bookmarkEnd w:id="368"/>
    </w:p>
    <w:p w14:paraId="5B2E84A8" w14:textId="77777777" w:rsidR="00D170E5" w:rsidRPr="002B55E9" w:rsidRDefault="00EF27AD">
      <w:pPr>
        <w:pStyle w:val="affff7"/>
      </w:pPr>
      <w:r w:rsidRPr="002B55E9">
        <w:t>ISO14000</w:t>
      </w:r>
      <w:r w:rsidRPr="002B55E9">
        <w:t>系列标准是国际标准化组织在总结近年来环境领域最新发展基础上于</w:t>
      </w:r>
      <w:r w:rsidRPr="002B55E9">
        <w:t>1993</w:t>
      </w:r>
      <w:r w:rsidRPr="002B55E9">
        <w:t>年开始着手环境管理系统标准的制订工作并于</w:t>
      </w:r>
      <w:r w:rsidRPr="002B55E9">
        <w:t>1996</w:t>
      </w:r>
      <w:r w:rsidRPr="002B55E9">
        <w:t>年推出了</w:t>
      </w:r>
      <w:r w:rsidRPr="002B55E9">
        <w:t>ISO14001</w:t>
      </w:r>
      <w:r w:rsidRPr="002B55E9">
        <w:t>《环境管理体系</w:t>
      </w:r>
      <w:r w:rsidRPr="002B55E9">
        <w:t>—</w:t>
      </w:r>
      <w:r w:rsidRPr="002B55E9">
        <w:t>规范及使用指南》，随后陆续推出一系列相关标准。</w:t>
      </w:r>
      <w:r w:rsidRPr="002B55E9">
        <w:t>ISO14001</w:t>
      </w:r>
      <w:r w:rsidRPr="002B55E9">
        <w:t>环境管理体系标准具有极其广泛的内涵和普遍的适用性。</w:t>
      </w:r>
    </w:p>
    <w:p w14:paraId="22A40716" w14:textId="77777777" w:rsidR="00D170E5" w:rsidRPr="002B55E9" w:rsidRDefault="00EF27AD">
      <w:pPr>
        <w:pStyle w:val="affff7"/>
      </w:pPr>
      <w:r w:rsidRPr="002B55E9">
        <w:t>在日益激烈的市场竞争中，为了减轻和消除产品外销时受到的</w:t>
      </w:r>
      <w:r w:rsidRPr="002B55E9">
        <w:t>“</w:t>
      </w:r>
      <w:r w:rsidRPr="002B55E9">
        <w:t>绿色壁垒</w:t>
      </w:r>
      <w:r w:rsidRPr="002B55E9">
        <w:t>”</w:t>
      </w:r>
      <w:r w:rsidRPr="002B55E9">
        <w:t>，提高企业信誉，增强市场竞争力，提高企业环境管理水平，减少环境风险，改善企业的公共关系，企业应按清洁生产的审计程序和方法，加强和完善清洁生产措施，将企业环境管理体系纳入企业全面管理体系中，尽快争取通过</w:t>
      </w:r>
      <w:r w:rsidRPr="002B55E9">
        <w:t>ISO14001</w:t>
      </w:r>
      <w:r w:rsidRPr="002B55E9">
        <w:t>认证，进一步提高企业清洁生产水平。</w:t>
      </w:r>
    </w:p>
    <w:p w14:paraId="75176AE0" w14:textId="77777777" w:rsidR="00BF28A8" w:rsidRPr="002B55E9" w:rsidRDefault="00BF28A8" w:rsidP="00BF28A8">
      <w:pPr>
        <w:pStyle w:val="3"/>
        <w:tabs>
          <w:tab w:val="clear" w:pos="432"/>
        </w:tabs>
      </w:pPr>
      <w:bookmarkStart w:id="369" w:name="_Toc19116"/>
      <w:r w:rsidRPr="002B55E9">
        <w:t>信息披露</w:t>
      </w:r>
      <w:bookmarkEnd w:id="369"/>
    </w:p>
    <w:p w14:paraId="055C1846" w14:textId="64B8E962" w:rsidR="00E96A58" w:rsidRPr="002B55E9" w:rsidRDefault="00BF28A8" w:rsidP="00BF28A8">
      <w:pPr>
        <w:spacing w:after="60" w:line="360" w:lineRule="auto"/>
        <w:ind w:firstLine="482"/>
        <w:rPr>
          <w:sz w:val="24"/>
        </w:rPr>
      </w:pPr>
      <w:r w:rsidRPr="002B55E9">
        <w:rPr>
          <w:sz w:val="24"/>
        </w:rPr>
        <w:t>《企业环境信息依法披露管理办法》（生态环境部部令第</w:t>
      </w:r>
      <w:r w:rsidRPr="002B55E9">
        <w:rPr>
          <w:sz w:val="24"/>
        </w:rPr>
        <w:t>24</w:t>
      </w:r>
      <w:r w:rsidRPr="002B55E9">
        <w:rPr>
          <w:sz w:val="24"/>
        </w:rPr>
        <w:t>号）已于</w:t>
      </w:r>
      <w:r w:rsidRPr="002B55E9">
        <w:rPr>
          <w:sz w:val="24"/>
        </w:rPr>
        <w:t>2021</w:t>
      </w:r>
      <w:r w:rsidRPr="002B55E9">
        <w:rPr>
          <w:sz w:val="24"/>
        </w:rPr>
        <w:t>年</w:t>
      </w:r>
      <w:r w:rsidRPr="002B55E9">
        <w:rPr>
          <w:sz w:val="24"/>
        </w:rPr>
        <w:t>11</w:t>
      </w:r>
      <w:r w:rsidRPr="002B55E9">
        <w:rPr>
          <w:sz w:val="24"/>
        </w:rPr>
        <w:t>月</w:t>
      </w:r>
      <w:r w:rsidRPr="002B55E9">
        <w:rPr>
          <w:sz w:val="24"/>
        </w:rPr>
        <w:t>26</w:t>
      </w:r>
      <w:r w:rsidRPr="002B55E9">
        <w:rPr>
          <w:sz w:val="24"/>
        </w:rPr>
        <w:t>日由生态环境部</w:t>
      </w:r>
      <w:r w:rsidRPr="002B55E9">
        <w:rPr>
          <w:sz w:val="24"/>
        </w:rPr>
        <w:t>2021</w:t>
      </w:r>
      <w:r w:rsidRPr="002B55E9">
        <w:rPr>
          <w:sz w:val="24"/>
        </w:rPr>
        <w:t>年第四次部务会议审议通过，自</w:t>
      </w:r>
      <w:r w:rsidRPr="002B55E9">
        <w:rPr>
          <w:sz w:val="24"/>
        </w:rPr>
        <w:t>2022</w:t>
      </w:r>
      <w:r w:rsidRPr="002B55E9">
        <w:rPr>
          <w:sz w:val="24"/>
        </w:rPr>
        <w:t>年</w:t>
      </w:r>
      <w:r w:rsidRPr="002B55E9">
        <w:rPr>
          <w:sz w:val="24"/>
        </w:rPr>
        <w:t>2</w:t>
      </w:r>
      <w:r w:rsidRPr="002B55E9">
        <w:rPr>
          <w:sz w:val="24"/>
        </w:rPr>
        <w:t>月</w:t>
      </w:r>
      <w:r w:rsidRPr="002B55E9">
        <w:rPr>
          <w:sz w:val="24"/>
        </w:rPr>
        <w:t>8</w:t>
      </w:r>
      <w:r w:rsidRPr="002B55E9">
        <w:rPr>
          <w:sz w:val="24"/>
        </w:rPr>
        <w:t>日起施行。</w:t>
      </w:r>
      <w:r w:rsidR="00E96A58" w:rsidRPr="002B55E9">
        <w:rPr>
          <w:rFonts w:hint="eastAsia"/>
          <w:sz w:val="24"/>
        </w:rPr>
        <w:t>《湖北省环境信息依法披露制度改革实施方案》（鄂环发〔</w:t>
      </w:r>
      <w:r w:rsidR="00E96A58" w:rsidRPr="002B55E9">
        <w:rPr>
          <w:rFonts w:hint="eastAsia"/>
          <w:sz w:val="24"/>
        </w:rPr>
        <w:t>2022</w:t>
      </w:r>
      <w:r w:rsidR="00E96A58" w:rsidRPr="002B55E9">
        <w:rPr>
          <w:rFonts w:hint="eastAsia"/>
          <w:sz w:val="24"/>
        </w:rPr>
        <w:t>〕</w:t>
      </w:r>
      <w:r w:rsidR="00E96A58" w:rsidRPr="002B55E9">
        <w:rPr>
          <w:rFonts w:hint="eastAsia"/>
          <w:sz w:val="24"/>
        </w:rPr>
        <w:t>9</w:t>
      </w:r>
      <w:r w:rsidR="00E96A58" w:rsidRPr="002B55E9">
        <w:rPr>
          <w:rFonts w:hint="eastAsia"/>
          <w:sz w:val="24"/>
        </w:rPr>
        <w:t>号）已于</w:t>
      </w:r>
      <w:r w:rsidR="00E96A58" w:rsidRPr="002B55E9">
        <w:rPr>
          <w:rFonts w:hint="eastAsia"/>
          <w:sz w:val="24"/>
        </w:rPr>
        <w:t>2022</w:t>
      </w:r>
      <w:r w:rsidR="00E96A58" w:rsidRPr="002B55E9">
        <w:rPr>
          <w:rFonts w:hint="eastAsia"/>
          <w:sz w:val="24"/>
        </w:rPr>
        <w:t>年</w:t>
      </w:r>
      <w:r w:rsidR="00E96A58" w:rsidRPr="002B55E9">
        <w:rPr>
          <w:rFonts w:hint="eastAsia"/>
          <w:sz w:val="24"/>
        </w:rPr>
        <w:t>3</w:t>
      </w:r>
      <w:r w:rsidR="00E96A58" w:rsidRPr="002B55E9">
        <w:rPr>
          <w:rFonts w:hint="eastAsia"/>
          <w:sz w:val="24"/>
        </w:rPr>
        <w:t>月</w:t>
      </w:r>
      <w:r w:rsidR="00E96A58" w:rsidRPr="002B55E9">
        <w:rPr>
          <w:rFonts w:hint="eastAsia"/>
          <w:sz w:val="24"/>
        </w:rPr>
        <w:t>28</w:t>
      </w:r>
      <w:r w:rsidR="00E96A58" w:rsidRPr="002B55E9">
        <w:rPr>
          <w:rFonts w:hint="eastAsia"/>
          <w:sz w:val="24"/>
        </w:rPr>
        <w:t>日印发。</w:t>
      </w:r>
    </w:p>
    <w:p w14:paraId="1E6C09D7" w14:textId="5C3F5992" w:rsidR="00BF28A8" w:rsidRPr="002B55E9" w:rsidRDefault="00BF28A8" w:rsidP="00BF28A8">
      <w:pPr>
        <w:spacing w:after="60" w:line="360" w:lineRule="auto"/>
        <w:ind w:firstLine="482"/>
        <w:rPr>
          <w:sz w:val="24"/>
        </w:rPr>
      </w:pPr>
      <w:r w:rsidRPr="002B55E9">
        <w:rPr>
          <w:sz w:val="24"/>
        </w:rPr>
        <w:t>根据《企业环境信息依法披露管理办法》第四条：企业是环境信息依法披露的责任主体。企业应当建立健全环境信息依法披露管理制度，规范工作规程，明确工作职责，建立准确的环境信息管理台账，妥善保存相关原始记录，科学统计归集相关环境信息。企业披露环境信息所使用的相关数据及表述应当符合环境监测、环境统计等方面的标准和技术规范要求，优先使用符合国家监测规范的污染物监测数据、排污许可证执行报告数据等。第五条：企业应当依法、及时、真实、准确、完整地披露环境信息，披露的环境信息应当简明清晰、通俗易懂，不得有虚假记载、误导性陈述或者重大遗漏。</w:t>
      </w:r>
    </w:p>
    <w:p w14:paraId="31C23753" w14:textId="277D3B31" w:rsidR="00BF28A8" w:rsidRPr="002B55E9" w:rsidRDefault="00E96A58" w:rsidP="00BF28A8">
      <w:pPr>
        <w:spacing w:after="60" w:line="360" w:lineRule="auto"/>
        <w:ind w:firstLine="482"/>
        <w:rPr>
          <w:kern w:val="2"/>
          <w:sz w:val="24"/>
        </w:rPr>
      </w:pPr>
      <w:r w:rsidRPr="002B55E9">
        <w:rPr>
          <w:sz w:val="24"/>
        </w:rPr>
        <w:t>根据武汉市生态环境局《</w:t>
      </w:r>
      <w:r w:rsidRPr="002B55E9">
        <w:rPr>
          <w:sz w:val="24"/>
        </w:rPr>
        <w:t>2022</w:t>
      </w:r>
      <w:r w:rsidRPr="002B55E9">
        <w:rPr>
          <w:sz w:val="24"/>
        </w:rPr>
        <w:t>年武汉市重点排污单位名录》</w:t>
      </w:r>
      <w:r w:rsidRPr="002B55E9">
        <w:rPr>
          <w:rFonts w:hint="eastAsia"/>
          <w:sz w:val="24"/>
        </w:rPr>
        <w:t>《市生态环境局办公室关于印发</w:t>
      </w:r>
      <w:r w:rsidRPr="002B55E9">
        <w:rPr>
          <w:rFonts w:hint="eastAsia"/>
          <w:sz w:val="24"/>
        </w:rPr>
        <w:t>2022</w:t>
      </w:r>
      <w:r w:rsidRPr="002B55E9">
        <w:rPr>
          <w:rFonts w:hint="eastAsia"/>
          <w:sz w:val="24"/>
        </w:rPr>
        <w:t>年武汉市环境信息依法披露企业名单的通知》（武环办〔</w:t>
      </w:r>
      <w:r w:rsidRPr="002B55E9">
        <w:rPr>
          <w:rFonts w:hint="eastAsia"/>
          <w:sz w:val="24"/>
        </w:rPr>
        <w:t>2022</w:t>
      </w:r>
      <w:r w:rsidRPr="002B55E9">
        <w:rPr>
          <w:rFonts w:hint="eastAsia"/>
          <w:sz w:val="24"/>
        </w:rPr>
        <w:t>〕</w:t>
      </w:r>
      <w:r w:rsidRPr="002B55E9">
        <w:rPr>
          <w:rFonts w:hint="eastAsia"/>
          <w:sz w:val="24"/>
        </w:rPr>
        <w:t>27</w:t>
      </w:r>
      <w:r w:rsidRPr="002B55E9">
        <w:rPr>
          <w:rFonts w:hint="eastAsia"/>
          <w:sz w:val="24"/>
        </w:rPr>
        <w:t>号）</w:t>
      </w:r>
      <w:r w:rsidRPr="002B55E9">
        <w:rPr>
          <w:sz w:val="24"/>
        </w:rPr>
        <w:t>，建设单位</w:t>
      </w:r>
      <w:r w:rsidRPr="002B55E9">
        <w:rPr>
          <w:rFonts w:hint="eastAsia"/>
          <w:sz w:val="24"/>
        </w:rPr>
        <w:t>暂未</w:t>
      </w:r>
      <w:r w:rsidRPr="002B55E9">
        <w:rPr>
          <w:sz w:val="24"/>
        </w:rPr>
        <w:t>列入行政区域内重点排污单位名录</w:t>
      </w:r>
      <w:r w:rsidRPr="002B55E9">
        <w:rPr>
          <w:rFonts w:hint="eastAsia"/>
          <w:sz w:val="24"/>
        </w:rPr>
        <w:t>和</w:t>
      </w:r>
      <w:r w:rsidRPr="002B55E9">
        <w:rPr>
          <w:sz w:val="24"/>
        </w:rPr>
        <w:t>需依法披露</w:t>
      </w:r>
      <w:r w:rsidRPr="002B55E9">
        <w:rPr>
          <w:rFonts w:hint="eastAsia"/>
          <w:sz w:val="24"/>
        </w:rPr>
        <w:t>企业</w:t>
      </w:r>
      <w:r w:rsidRPr="002B55E9">
        <w:rPr>
          <w:sz w:val="24"/>
        </w:rPr>
        <w:t>名单内。</w:t>
      </w:r>
      <w:r w:rsidRPr="002B55E9">
        <w:rPr>
          <w:rFonts w:hint="eastAsia"/>
          <w:sz w:val="24"/>
        </w:rPr>
        <w:t>后续</w:t>
      </w:r>
      <w:r w:rsidR="00E24F74" w:rsidRPr="002B55E9">
        <w:rPr>
          <w:rFonts w:hint="eastAsia"/>
          <w:sz w:val="24"/>
        </w:rPr>
        <w:t>项目</w:t>
      </w:r>
      <w:r w:rsidRPr="002B55E9">
        <w:rPr>
          <w:sz w:val="24"/>
        </w:rPr>
        <w:t>建成投运后，</w:t>
      </w:r>
      <w:r w:rsidR="00BF28A8" w:rsidRPr="002B55E9">
        <w:rPr>
          <w:sz w:val="24"/>
        </w:rPr>
        <w:t>建设单位应严格按照</w:t>
      </w:r>
      <w:r w:rsidRPr="002B55E9">
        <w:rPr>
          <w:rFonts w:hint="eastAsia"/>
          <w:sz w:val="24"/>
        </w:rPr>
        <w:t>《企业环境信息依法披露管理办法》（生态环境部令第</w:t>
      </w:r>
      <w:r w:rsidRPr="002B55E9">
        <w:rPr>
          <w:rFonts w:hint="eastAsia"/>
          <w:sz w:val="24"/>
        </w:rPr>
        <w:t>24</w:t>
      </w:r>
      <w:r w:rsidRPr="002B55E9">
        <w:rPr>
          <w:rFonts w:hint="eastAsia"/>
          <w:sz w:val="24"/>
        </w:rPr>
        <w:t>号）及生态环境部办公厅印发《企业环境信息依法披露格式准则》（环办综合〔</w:t>
      </w:r>
      <w:r w:rsidRPr="002B55E9">
        <w:rPr>
          <w:rFonts w:hint="eastAsia"/>
          <w:sz w:val="24"/>
        </w:rPr>
        <w:t>2021</w:t>
      </w:r>
      <w:r w:rsidRPr="002B55E9">
        <w:rPr>
          <w:rFonts w:hint="eastAsia"/>
          <w:sz w:val="24"/>
        </w:rPr>
        <w:t>〕</w:t>
      </w:r>
      <w:r w:rsidRPr="002B55E9">
        <w:rPr>
          <w:rFonts w:hint="eastAsia"/>
          <w:sz w:val="24"/>
        </w:rPr>
        <w:t>32</w:t>
      </w:r>
      <w:r w:rsidRPr="002B55E9">
        <w:rPr>
          <w:rFonts w:hint="eastAsia"/>
          <w:sz w:val="24"/>
        </w:rPr>
        <w:t>号）要求</w:t>
      </w:r>
      <w:r w:rsidR="00BF28A8" w:rsidRPr="002B55E9">
        <w:rPr>
          <w:sz w:val="24"/>
        </w:rPr>
        <w:t>进行信息披露。</w:t>
      </w:r>
    </w:p>
    <w:p w14:paraId="02D14A2A" w14:textId="77777777" w:rsidR="00BF28A8" w:rsidRPr="002B55E9" w:rsidRDefault="00BF28A8" w:rsidP="00BF28A8">
      <w:pPr>
        <w:spacing w:after="60" w:line="360" w:lineRule="auto"/>
        <w:ind w:firstLine="482"/>
        <w:rPr>
          <w:kern w:val="2"/>
          <w:sz w:val="24"/>
        </w:rPr>
      </w:pPr>
      <w:r w:rsidRPr="002B55E9">
        <w:rPr>
          <w:sz w:val="24"/>
        </w:rPr>
        <w:t>1</w:t>
      </w:r>
      <w:r w:rsidRPr="002B55E9">
        <w:rPr>
          <w:sz w:val="24"/>
        </w:rPr>
        <w:t>）公开的内容</w:t>
      </w:r>
    </w:p>
    <w:p w14:paraId="3216ED06" w14:textId="00EB9F27" w:rsidR="00BF28A8" w:rsidRPr="002B55E9" w:rsidRDefault="00E24F74" w:rsidP="00BF28A8">
      <w:pPr>
        <w:spacing w:after="60" w:line="360" w:lineRule="auto"/>
        <w:ind w:firstLine="482"/>
        <w:rPr>
          <w:sz w:val="24"/>
        </w:rPr>
      </w:pPr>
      <w:r w:rsidRPr="002B55E9">
        <w:rPr>
          <w:rFonts w:hint="eastAsia"/>
          <w:sz w:val="24"/>
        </w:rPr>
        <w:t>企业年度环境信息依法披露报告应当包括以下内容：</w:t>
      </w:r>
    </w:p>
    <w:p w14:paraId="348FC8C3" w14:textId="77777777" w:rsidR="00BF28A8" w:rsidRPr="002B55E9" w:rsidRDefault="00BF28A8" w:rsidP="00BF28A8">
      <w:pPr>
        <w:spacing w:after="60" w:line="360" w:lineRule="auto"/>
        <w:ind w:firstLine="482"/>
        <w:rPr>
          <w:sz w:val="24"/>
        </w:rPr>
      </w:pPr>
      <w:r w:rsidRPr="002B55E9">
        <w:rPr>
          <w:sz w:val="24"/>
        </w:rPr>
        <w:t>A.</w:t>
      </w:r>
      <w:r w:rsidRPr="002B55E9">
        <w:rPr>
          <w:sz w:val="24"/>
        </w:rPr>
        <w:t>企业基本信息，包括企业生产和生态环境保护等方面的基础信息；</w:t>
      </w:r>
    </w:p>
    <w:p w14:paraId="0B15B98F" w14:textId="77777777" w:rsidR="00BF28A8" w:rsidRPr="002B55E9" w:rsidRDefault="00BF28A8" w:rsidP="00BF28A8">
      <w:pPr>
        <w:spacing w:after="60" w:line="360" w:lineRule="auto"/>
        <w:ind w:firstLine="482"/>
        <w:rPr>
          <w:sz w:val="24"/>
        </w:rPr>
      </w:pPr>
      <w:r w:rsidRPr="002B55E9">
        <w:rPr>
          <w:sz w:val="24"/>
        </w:rPr>
        <w:t>B.</w:t>
      </w:r>
      <w:r w:rsidRPr="002B55E9">
        <w:rPr>
          <w:sz w:val="24"/>
        </w:rPr>
        <w:t>企业环境管理信息，包括生态环境行政许可、环境保护税、环境污染责任保险、环保</w:t>
      </w:r>
      <w:r w:rsidRPr="002B55E9">
        <w:rPr>
          <w:sz w:val="24"/>
        </w:rPr>
        <w:lastRenderedPageBreak/>
        <w:t>信用评价等方面的信息；</w:t>
      </w:r>
    </w:p>
    <w:p w14:paraId="5B7C58D2" w14:textId="77777777" w:rsidR="00BF28A8" w:rsidRPr="002B55E9" w:rsidRDefault="00BF28A8" w:rsidP="00BF28A8">
      <w:pPr>
        <w:spacing w:after="60" w:line="360" w:lineRule="auto"/>
        <w:ind w:firstLine="482"/>
        <w:rPr>
          <w:sz w:val="24"/>
        </w:rPr>
      </w:pPr>
      <w:r w:rsidRPr="002B55E9">
        <w:rPr>
          <w:sz w:val="24"/>
        </w:rPr>
        <w:t>C.</w:t>
      </w:r>
      <w:r w:rsidRPr="002B55E9">
        <w:rPr>
          <w:sz w:val="24"/>
        </w:rPr>
        <w:t>污染物产生、治理与排放信息，包括污染防治设施，污染物排放，有毒有害物质排放，工业固体废物和危险废物产生、贮存、流向、利用、处置，自行监测等方面的信息；</w:t>
      </w:r>
    </w:p>
    <w:p w14:paraId="4C686121" w14:textId="77777777" w:rsidR="00BF28A8" w:rsidRPr="002B55E9" w:rsidRDefault="00BF28A8" w:rsidP="00BF28A8">
      <w:pPr>
        <w:spacing w:after="60" w:line="360" w:lineRule="auto"/>
        <w:ind w:firstLine="482"/>
        <w:rPr>
          <w:sz w:val="24"/>
        </w:rPr>
      </w:pPr>
      <w:r w:rsidRPr="002B55E9">
        <w:rPr>
          <w:sz w:val="24"/>
        </w:rPr>
        <w:t>D.</w:t>
      </w:r>
      <w:r w:rsidRPr="002B55E9">
        <w:rPr>
          <w:sz w:val="24"/>
        </w:rPr>
        <w:t>碳排放信息，包括排放量、排放设施等方面的信息；</w:t>
      </w:r>
    </w:p>
    <w:p w14:paraId="5B631DF5" w14:textId="77777777" w:rsidR="00BF28A8" w:rsidRPr="002B55E9" w:rsidRDefault="00BF28A8" w:rsidP="00BF28A8">
      <w:pPr>
        <w:spacing w:after="60" w:line="360" w:lineRule="auto"/>
        <w:ind w:firstLine="482"/>
        <w:rPr>
          <w:sz w:val="24"/>
        </w:rPr>
      </w:pPr>
      <w:r w:rsidRPr="002B55E9">
        <w:rPr>
          <w:sz w:val="24"/>
        </w:rPr>
        <w:t>E.</w:t>
      </w:r>
      <w:r w:rsidRPr="002B55E9">
        <w:rPr>
          <w:sz w:val="24"/>
        </w:rPr>
        <w:t>生态环境应急信息，包括突发环境事件应急预案、重污染天气应急响应等方面的信息；</w:t>
      </w:r>
    </w:p>
    <w:p w14:paraId="04811A39" w14:textId="77777777" w:rsidR="00BF28A8" w:rsidRPr="002B55E9" w:rsidRDefault="00BF28A8" w:rsidP="00BF28A8">
      <w:pPr>
        <w:spacing w:after="60" w:line="360" w:lineRule="auto"/>
        <w:ind w:firstLine="482"/>
        <w:rPr>
          <w:sz w:val="24"/>
        </w:rPr>
      </w:pPr>
      <w:r w:rsidRPr="002B55E9">
        <w:rPr>
          <w:sz w:val="24"/>
        </w:rPr>
        <w:t>F.</w:t>
      </w:r>
      <w:r w:rsidRPr="002B55E9">
        <w:rPr>
          <w:sz w:val="24"/>
        </w:rPr>
        <w:t>生态环境违法信息；</w:t>
      </w:r>
    </w:p>
    <w:p w14:paraId="67D7A47E" w14:textId="77777777" w:rsidR="00BF28A8" w:rsidRPr="002B55E9" w:rsidRDefault="00BF28A8" w:rsidP="00BF28A8">
      <w:pPr>
        <w:spacing w:after="60" w:line="360" w:lineRule="auto"/>
        <w:ind w:firstLine="482"/>
        <w:rPr>
          <w:sz w:val="24"/>
        </w:rPr>
      </w:pPr>
      <w:r w:rsidRPr="002B55E9">
        <w:rPr>
          <w:sz w:val="24"/>
        </w:rPr>
        <w:t>G.</w:t>
      </w:r>
      <w:r w:rsidRPr="002B55E9">
        <w:rPr>
          <w:sz w:val="24"/>
        </w:rPr>
        <w:t>本年度临时环境信息依法披露情况；</w:t>
      </w:r>
    </w:p>
    <w:p w14:paraId="56CE60EB" w14:textId="77777777" w:rsidR="00BF28A8" w:rsidRPr="002B55E9" w:rsidRDefault="00BF28A8" w:rsidP="00BF28A8">
      <w:pPr>
        <w:spacing w:after="60" w:line="360" w:lineRule="auto"/>
        <w:ind w:firstLine="482"/>
        <w:rPr>
          <w:kern w:val="2"/>
          <w:sz w:val="24"/>
        </w:rPr>
      </w:pPr>
      <w:r w:rsidRPr="002B55E9">
        <w:rPr>
          <w:sz w:val="24"/>
        </w:rPr>
        <w:t>H.</w:t>
      </w:r>
      <w:r w:rsidRPr="002B55E9">
        <w:rPr>
          <w:sz w:val="24"/>
        </w:rPr>
        <w:t>法律法规规定的其他环境信息。</w:t>
      </w:r>
    </w:p>
    <w:p w14:paraId="46690DD5" w14:textId="77777777" w:rsidR="00BF28A8" w:rsidRPr="002B55E9" w:rsidRDefault="00BF28A8" w:rsidP="00BF28A8">
      <w:pPr>
        <w:spacing w:after="60" w:line="360" w:lineRule="auto"/>
        <w:ind w:firstLine="482"/>
        <w:rPr>
          <w:sz w:val="24"/>
        </w:rPr>
      </w:pPr>
      <w:r w:rsidRPr="002B55E9">
        <w:rPr>
          <w:sz w:val="24"/>
        </w:rPr>
        <w:t>2</w:t>
      </w:r>
      <w:r w:rsidRPr="002B55E9">
        <w:rPr>
          <w:sz w:val="24"/>
        </w:rPr>
        <w:t>）公开方式</w:t>
      </w:r>
    </w:p>
    <w:p w14:paraId="474484E3" w14:textId="77777777" w:rsidR="00BF28A8" w:rsidRPr="002B55E9" w:rsidRDefault="00BF28A8" w:rsidP="00BF28A8">
      <w:pPr>
        <w:spacing w:after="60" w:line="360" w:lineRule="auto"/>
        <w:ind w:firstLine="482"/>
        <w:rPr>
          <w:kern w:val="2"/>
          <w:sz w:val="24"/>
        </w:rPr>
      </w:pPr>
      <w:r w:rsidRPr="002B55E9">
        <w:rPr>
          <w:sz w:val="24"/>
        </w:rPr>
        <w:t>企业应当按照准则编制年度环境信息依法披露报告和临时环境信息依法披露报告，并上传至企业环境信息依法披露系统。</w:t>
      </w:r>
    </w:p>
    <w:p w14:paraId="2AAAD082" w14:textId="77777777" w:rsidR="00BF28A8" w:rsidRPr="002B55E9" w:rsidRDefault="00BF28A8" w:rsidP="00BF28A8">
      <w:pPr>
        <w:spacing w:after="60" w:line="360" w:lineRule="auto"/>
        <w:ind w:firstLine="482"/>
        <w:rPr>
          <w:kern w:val="2"/>
          <w:sz w:val="24"/>
        </w:rPr>
      </w:pPr>
      <w:r w:rsidRPr="002B55E9">
        <w:rPr>
          <w:sz w:val="24"/>
        </w:rPr>
        <w:t>3</w:t>
      </w:r>
      <w:r w:rsidRPr="002B55E9">
        <w:rPr>
          <w:sz w:val="24"/>
        </w:rPr>
        <w:t>）公开时间</w:t>
      </w:r>
    </w:p>
    <w:p w14:paraId="760DCF1C" w14:textId="77777777" w:rsidR="00BF28A8" w:rsidRPr="002B55E9" w:rsidRDefault="00BF28A8" w:rsidP="00BF28A8">
      <w:pPr>
        <w:spacing w:after="60" w:line="360" w:lineRule="auto"/>
        <w:ind w:firstLine="482"/>
        <w:rPr>
          <w:sz w:val="24"/>
        </w:rPr>
      </w:pPr>
      <w:r w:rsidRPr="002B55E9">
        <w:rPr>
          <w:sz w:val="24"/>
        </w:rPr>
        <w:t>企业应当于每年</w:t>
      </w:r>
      <w:r w:rsidRPr="002B55E9">
        <w:rPr>
          <w:sz w:val="24"/>
        </w:rPr>
        <w:t>3</w:t>
      </w:r>
      <w:r w:rsidRPr="002B55E9">
        <w:rPr>
          <w:sz w:val="24"/>
        </w:rPr>
        <w:t>月</w:t>
      </w:r>
      <w:r w:rsidRPr="002B55E9">
        <w:rPr>
          <w:sz w:val="24"/>
        </w:rPr>
        <w:t>15</w:t>
      </w:r>
      <w:r w:rsidRPr="002B55E9">
        <w:rPr>
          <w:sz w:val="24"/>
        </w:rPr>
        <w:t>日前披露上一年度</w:t>
      </w:r>
      <w:r w:rsidRPr="002B55E9">
        <w:rPr>
          <w:sz w:val="24"/>
        </w:rPr>
        <w:t>1</w:t>
      </w:r>
      <w:r w:rsidRPr="002B55E9">
        <w:rPr>
          <w:sz w:val="24"/>
        </w:rPr>
        <w:t>月</w:t>
      </w:r>
      <w:r w:rsidRPr="002B55E9">
        <w:rPr>
          <w:sz w:val="24"/>
        </w:rPr>
        <w:t>1</w:t>
      </w:r>
      <w:r w:rsidRPr="002B55E9">
        <w:rPr>
          <w:sz w:val="24"/>
        </w:rPr>
        <w:t>日至</w:t>
      </w:r>
      <w:r w:rsidRPr="002B55E9">
        <w:rPr>
          <w:sz w:val="24"/>
        </w:rPr>
        <w:t>12</w:t>
      </w:r>
      <w:r w:rsidRPr="002B55E9">
        <w:rPr>
          <w:sz w:val="24"/>
        </w:rPr>
        <w:t>月</w:t>
      </w:r>
      <w:r w:rsidRPr="002B55E9">
        <w:rPr>
          <w:sz w:val="24"/>
        </w:rPr>
        <w:t>31</w:t>
      </w:r>
      <w:r w:rsidRPr="002B55E9">
        <w:rPr>
          <w:sz w:val="24"/>
        </w:rPr>
        <w:t>日的环境信息。</w:t>
      </w:r>
    </w:p>
    <w:p w14:paraId="0ACF54BE" w14:textId="77777777" w:rsidR="00BF28A8" w:rsidRPr="002B55E9" w:rsidRDefault="00BF28A8" w:rsidP="00BF28A8">
      <w:pPr>
        <w:spacing w:after="60" w:line="360" w:lineRule="auto"/>
        <w:ind w:firstLine="482"/>
        <w:rPr>
          <w:sz w:val="24"/>
        </w:rPr>
      </w:pPr>
      <w:r w:rsidRPr="002B55E9">
        <w:rPr>
          <w:sz w:val="24"/>
        </w:rPr>
        <w:t>企业应当自收到相关法律文书之日起五个工作日内，以临时环境信息依法披露报告的形式，披露以下环境信息：</w:t>
      </w:r>
    </w:p>
    <w:p w14:paraId="4EF2C255" w14:textId="77777777" w:rsidR="00BF28A8" w:rsidRPr="002B55E9" w:rsidRDefault="00BF28A8" w:rsidP="00BF28A8">
      <w:pPr>
        <w:spacing w:after="60" w:line="360" w:lineRule="auto"/>
        <w:ind w:firstLine="482"/>
        <w:rPr>
          <w:sz w:val="24"/>
        </w:rPr>
      </w:pPr>
      <w:r w:rsidRPr="002B55E9">
        <w:rPr>
          <w:sz w:val="24"/>
        </w:rPr>
        <w:t>a.</w:t>
      </w:r>
      <w:r w:rsidRPr="002B55E9">
        <w:rPr>
          <w:sz w:val="24"/>
        </w:rPr>
        <w:t>生态环境行政许可准予、变更、延续、撤销等信息；</w:t>
      </w:r>
    </w:p>
    <w:p w14:paraId="52161164" w14:textId="77777777" w:rsidR="00BF28A8" w:rsidRPr="002B55E9" w:rsidRDefault="00BF28A8" w:rsidP="00BF28A8">
      <w:pPr>
        <w:spacing w:after="60" w:line="360" w:lineRule="auto"/>
        <w:ind w:firstLine="482"/>
        <w:rPr>
          <w:sz w:val="24"/>
        </w:rPr>
      </w:pPr>
      <w:r w:rsidRPr="002B55E9">
        <w:rPr>
          <w:sz w:val="24"/>
        </w:rPr>
        <w:t>b.</w:t>
      </w:r>
      <w:r w:rsidRPr="002B55E9">
        <w:rPr>
          <w:sz w:val="24"/>
        </w:rPr>
        <w:t>因生态环境违法行为受到行政处罚的信息；</w:t>
      </w:r>
    </w:p>
    <w:p w14:paraId="33A6135A" w14:textId="77777777" w:rsidR="00BF28A8" w:rsidRPr="002B55E9" w:rsidRDefault="00BF28A8" w:rsidP="00BF28A8">
      <w:pPr>
        <w:spacing w:after="60" w:line="360" w:lineRule="auto"/>
        <w:ind w:firstLine="482"/>
        <w:rPr>
          <w:sz w:val="24"/>
        </w:rPr>
      </w:pPr>
      <w:r w:rsidRPr="002B55E9">
        <w:rPr>
          <w:sz w:val="24"/>
        </w:rPr>
        <w:t>c.</w:t>
      </w:r>
      <w:r w:rsidRPr="002B55E9">
        <w:rPr>
          <w:sz w:val="24"/>
        </w:rPr>
        <w:t>因生态环境违法行为，其法定代表人、主要负责人、直接负责的主管人员和其他直接责任人员被依法处以行政拘留的信息；</w:t>
      </w:r>
    </w:p>
    <w:p w14:paraId="05413E5D" w14:textId="77777777" w:rsidR="00BF28A8" w:rsidRPr="002B55E9" w:rsidRDefault="00BF28A8" w:rsidP="00BF28A8">
      <w:pPr>
        <w:spacing w:after="60" w:line="360" w:lineRule="auto"/>
        <w:ind w:firstLine="482"/>
        <w:rPr>
          <w:sz w:val="24"/>
        </w:rPr>
      </w:pPr>
      <w:r w:rsidRPr="002B55E9">
        <w:rPr>
          <w:sz w:val="24"/>
        </w:rPr>
        <w:t>d.</w:t>
      </w:r>
      <w:r w:rsidRPr="002B55E9">
        <w:rPr>
          <w:sz w:val="24"/>
        </w:rPr>
        <w:t>因生态环境违法行为，企业或者其法定代表人、主要负责人、直接负责的主管人员和其他直接责任人员被追究刑事责任的信息；</w:t>
      </w:r>
    </w:p>
    <w:p w14:paraId="33022105" w14:textId="77777777" w:rsidR="00BF28A8" w:rsidRPr="002B55E9" w:rsidRDefault="00BF28A8" w:rsidP="00BF28A8">
      <w:pPr>
        <w:spacing w:after="60" w:line="360" w:lineRule="auto"/>
        <w:ind w:firstLine="482"/>
        <w:rPr>
          <w:sz w:val="24"/>
        </w:rPr>
      </w:pPr>
      <w:r w:rsidRPr="002B55E9">
        <w:rPr>
          <w:sz w:val="24"/>
        </w:rPr>
        <w:t>e.</w:t>
      </w:r>
      <w:r w:rsidRPr="002B55E9">
        <w:rPr>
          <w:sz w:val="24"/>
        </w:rPr>
        <w:t>生态环境损害赔偿及协议信息。</w:t>
      </w:r>
    </w:p>
    <w:p w14:paraId="73B98F3C" w14:textId="77777777" w:rsidR="00BF28A8" w:rsidRPr="002B55E9" w:rsidRDefault="00BF28A8" w:rsidP="00BF28A8">
      <w:pPr>
        <w:spacing w:after="60" w:line="360" w:lineRule="auto"/>
        <w:ind w:firstLine="482"/>
        <w:rPr>
          <w:sz w:val="24"/>
        </w:rPr>
      </w:pPr>
      <w:r w:rsidRPr="002B55E9">
        <w:rPr>
          <w:sz w:val="24"/>
        </w:rPr>
        <w:t>f.</w:t>
      </w:r>
      <w:r w:rsidRPr="002B55E9">
        <w:rPr>
          <w:sz w:val="24"/>
        </w:rPr>
        <w:t>企业发生突发环境事件的，应当依照有关法律法规规定披露相关信息。</w:t>
      </w:r>
    </w:p>
    <w:p w14:paraId="30B8E982" w14:textId="77777777" w:rsidR="00BF28A8" w:rsidRPr="002B55E9" w:rsidRDefault="00BF28A8" w:rsidP="00BF28A8">
      <w:pPr>
        <w:spacing w:after="60" w:line="360" w:lineRule="auto"/>
        <w:ind w:firstLine="482"/>
        <w:rPr>
          <w:sz w:val="24"/>
        </w:rPr>
      </w:pPr>
      <w:r w:rsidRPr="002B55E9">
        <w:rPr>
          <w:sz w:val="24"/>
        </w:rPr>
        <w:t>企业在企业名单公布前存在以上</w:t>
      </w:r>
      <w:r w:rsidRPr="002B55E9">
        <w:rPr>
          <w:sz w:val="24"/>
        </w:rPr>
        <w:t>a-f</w:t>
      </w:r>
      <w:r w:rsidRPr="002B55E9">
        <w:rPr>
          <w:sz w:val="24"/>
        </w:rPr>
        <w:t>规定的环境信息的，应当于企业名单公布后十个工作日内以临时环境信息依法披露报告的形式披露本年度企业名单公布前的相关信息。</w:t>
      </w:r>
    </w:p>
    <w:p w14:paraId="09B0999B" w14:textId="40E2EBAE" w:rsidR="00D170E5" w:rsidRPr="002B55E9" w:rsidRDefault="00BF28A8" w:rsidP="00BF28A8">
      <w:pPr>
        <w:pStyle w:val="affff7"/>
      </w:pPr>
      <w:r w:rsidRPr="002B55E9">
        <w:rPr>
          <w:bCs w:val="0"/>
          <w:snapToGrid/>
          <w:kern w:val="2"/>
          <w:szCs w:val="24"/>
          <w:shd w:val="clear" w:color="auto" w:fill="FFFFFF"/>
        </w:rPr>
        <w:t>企业可以根据实际情况对已披露的环境信息进行变更；进行变更的，应当以临时环境信息依法披露报告的形式变更，并说明变更事项和理由。</w:t>
      </w:r>
    </w:p>
    <w:p w14:paraId="57019524" w14:textId="77777777" w:rsidR="00D170E5" w:rsidRPr="002B55E9" w:rsidRDefault="00D170E5">
      <w:pPr>
        <w:pStyle w:val="affff7"/>
      </w:pPr>
    </w:p>
    <w:p w14:paraId="72C36B01" w14:textId="77777777" w:rsidR="00D170E5" w:rsidRPr="002B55E9" w:rsidRDefault="00D170E5">
      <w:pPr>
        <w:pStyle w:val="affff7"/>
      </w:pPr>
    </w:p>
    <w:p w14:paraId="4DECF8E7" w14:textId="77777777" w:rsidR="00D170E5" w:rsidRPr="002B55E9" w:rsidRDefault="00D170E5">
      <w:pPr>
        <w:pStyle w:val="affff7"/>
        <w:sectPr w:rsidR="00D170E5" w:rsidRPr="002B55E9">
          <w:headerReference w:type="default" r:id="rId114"/>
          <w:pgSz w:w="11905" w:h="16838"/>
          <w:pgMar w:top="1134" w:right="1134" w:bottom="1134" w:left="1134" w:header="737" w:footer="624" w:gutter="0"/>
          <w:cols w:space="720"/>
          <w:docGrid w:linePitch="312"/>
        </w:sectPr>
      </w:pPr>
    </w:p>
    <w:p w14:paraId="1715935B" w14:textId="77777777" w:rsidR="00D170E5" w:rsidRPr="002B55E9" w:rsidRDefault="00EF27AD">
      <w:pPr>
        <w:pStyle w:val="2"/>
      </w:pPr>
      <w:bookmarkStart w:id="370" w:name="_Toc124238142"/>
      <w:bookmarkStart w:id="371" w:name="_Toc169616653"/>
      <w:bookmarkStart w:id="372" w:name="_Toc121711668"/>
      <w:bookmarkStart w:id="373" w:name="_Toc199925159"/>
      <w:bookmarkStart w:id="374" w:name="_Toc119309040"/>
      <w:r w:rsidRPr="002B55E9">
        <w:lastRenderedPageBreak/>
        <w:t>结论</w:t>
      </w:r>
      <w:bookmarkEnd w:id="370"/>
      <w:bookmarkEnd w:id="371"/>
      <w:bookmarkEnd w:id="372"/>
      <w:bookmarkEnd w:id="373"/>
      <w:bookmarkEnd w:id="374"/>
    </w:p>
    <w:p w14:paraId="31C2D0F1" w14:textId="77777777" w:rsidR="00D170E5" w:rsidRPr="002B55E9" w:rsidRDefault="00EF27AD">
      <w:pPr>
        <w:pStyle w:val="3"/>
      </w:pPr>
      <w:bookmarkStart w:id="375" w:name="_Toc139440661"/>
      <w:bookmarkStart w:id="376" w:name="_Toc141528320"/>
      <w:bookmarkStart w:id="377" w:name="_Toc119309041"/>
      <w:bookmarkStart w:id="378" w:name="_Toc68861192"/>
      <w:r w:rsidRPr="002B55E9">
        <w:t>项目基本情况</w:t>
      </w:r>
      <w:bookmarkEnd w:id="375"/>
      <w:bookmarkEnd w:id="376"/>
      <w:bookmarkEnd w:id="377"/>
      <w:bookmarkEnd w:id="378"/>
    </w:p>
    <w:p w14:paraId="19D680F3" w14:textId="42B5611F" w:rsidR="00D170E5" w:rsidRPr="002B55E9" w:rsidRDefault="00EF27AD">
      <w:pPr>
        <w:pStyle w:val="afffffffffffff4"/>
        <w:snapToGrid w:val="0"/>
        <w:spacing w:line="360" w:lineRule="auto"/>
        <w:ind w:firstLine="520"/>
      </w:pPr>
      <w:bookmarkStart w:id="379" w:name="_Hlk81409609"/>
      <w:bookmarkStart w:id="380" w:name="_Toc139440663"/>
      <w:bookmarkStart w:id="381" w:name="_Toc141528322"/>
      <w:r w:rsidRPr="002B55E9">
        <w:t>项目主要建设内容</w:t>
      </w:r>
      <w:r w:rsidRPr="002B55E9">
        <w:rPr>
          <w:rFonts w:hint="eastAsia"/>
        </w:rPr>
        <w:t>为新建</w:t>
      </w:r>
      <w:r w:rsidRPr="002B55E9">
        <w:rPr>
          <w:rFonts w:hint="eastAsia"/>
          <w:spacing w:val="0"/>
        </w:rPr>
        <w:t>十一车间、十三车间及罐区，总建筑面积约</w:t>
      </w:r>
      <w:r w:rsidRPr="002B55E9">
        <w:rPr>
          <w:rFonts w:hint="eastAsia"/>
          <w:spacing w:val="0"/>
        </w:rPr>
        <w:t>3.2</w:t>
      </w:r>
      <w:r w:rsidRPr="002B55E9">
        <w:rPr>
          <w:rFonts w:hint="eastAsia"/>
          <w:spacing w:val="0"/>
        </w:rPr>
        <w:t>万</w:t>
      </w:r>
      <w:r w:rsidRPr="002B55E9">
        <w:rPr>
          <w:spacing w:val="0"/>
        </w:rPr>
        <w:t>m</w:t>
      </w:r>
      <w:r w:rsidRPr="002B55E9">
        <w:rPr>
          <w:spacing w:val="0"/>
          <w:vertAlign w:val="superscript"/>
        </w:rPr>
        <w:t>2</w:t>
      </w:r>
      <w:r w:rsidRPr="002B55E9">
        <w:rPr>
          <w:rFonts w:hint="eastAsia"/>
          <w:spacing w:val="0"/>
        </w:rPr>
        <w:t>，十三车间</w:t>
      </w:r>
      <w:r w:rsidRPr="002B55E9">
        <w:t>为前处理车间</w:t>
      </w:r>
      <w:r w:rsidRPr="002B55E9">
        <w:rPr>
          <w:rFonts w:hint="eastAsia"/>
        </w:rPr>
        <w:t>，</w:t>
      </w:r>
      <w:r w:rsidRPr="002B55E9">
        <w:rPr>
          <w:rFonts w:hint="eastAsia"/>
          <w:spacing w:val="0"/>
        </w:rPr>
        <w:t>主要设置发酵、提取、配兑等生产设施，用于料酒、食醋的生产；十一车间为灭菌灌装车间，内设</w:t>
      </w:r>
      <w:r w:rsidRPr="002B55E9">
        <w:rPr>
          <w:spacing w:val="0"/>
        </w:rPr>
        <w:t>灌装包装区</w:t>
      </w:r>
      <w:r w:rsidRPr="002B55E9">
        <w:rPr>
          <w:rFonts w:hint="eastAsia"/>
          <w:spacing w:val="0"/>
        </w:rPr>
        <w:t>、原料储存区、产品储存区、码垛卸垛区</w:t>
      </w:r>
      <w:r w:rsidRPr="002B55E9">
        <w:rPr>
          <w:spacing w:val="0"/>
        </w:rPr>
        <w:t>、</w:t>
      </w:r>
      <w:r w:rsidRPr="002B55E9">
        <w:rPr>
          <w:rFonts w:hint="eastAsia"/>
          <w:spacing w:val="0"/>
        </w:rPr>
        <w:t>加热</w:t>
      </w:r>
      <w:r w:rsidRPr="002B55E9">
        <w:rPr>
          <w:spacing w:val="0"/>
        </w:rPr>
        <w:t>灭菌区、</w:t>
      </w:r>
      <w:r w:rsidRPr="002B55E9">
        <w:rPr>
          <w:rFonts w:hint="eastAsia"/>
          <w:spacing w:val="0"/>
        </w:rPr>
        <w:t>化验室等，主要用于成品的灭菌以及灌装包装等；罐区用于</w:t>
      </w:r>
      <w:r w:rsidRPr="002B55E9">
        <w:rPr>
          <w:spacing w:val="0"/>
        </w:rPr>
        <w:t>乙醇</w:t>
      </w:r>
      <w:r w:rsidRPr="002B55E9">
        <w:rPr>
          <w:rFonts w:hint="eastAsia"/>
          <w:spacing w:val="0"/>
        </w:rPr>
        <w:t>、醋胚等液态物料的暂存，项目建成后年产料酒</w:t>
      </w:r>
      <w:r w:rsidRPr="002B55E9">
        <w:rPr>
          <w:rFonts w:hint="eastAsia"/>
          <w:spacing w:val="0"/>
        </w:rPr>
        <w:t>1</w:t>
      </w:r>
      <w:r w:rsidRPr="002B55E9">
        <w:rPr>
          <w:spacing w:val="0"/>
        </w:rPr>
        <w:t>5</w:t>
      </w:r>
      <w:r w:rsidRPr="002B55E9">
        <w:rPr>
          <w:rFonts w:hint="eastAsia"/>
          <w:spacing w:val="0"/>
        </w:rPr>
        <w:t>万吨</w:t>
      </w:r>
      <w:r w:rsidRPr="002B55E9">
        <w:rPr>
          <w:rFonts w:hint="eastAsia"/>
          <w:spacing w:val="0"/>
        </w:rPr>
        <w:t>/</w:t>
      </w:r>
      <w:r w:rsidRPr="002B55E9">
        <w:rPr>
          <w:rFonts w:hint="eastAsia"/>
          <w:spacing w:val="0"/>
        </w:rPr>
        <w:t>年、白米醋</w:t>
      </w:r>
      <w:r w:rsidRPr="002B55E9">
        <w:rPr>
          <w:rFonts w:hint="eastAsia"/>
          <w:spacing w:val="0"/>
        </w:rPr>
        <w:t>6</w:t>
      </w:r>
      <w:r w:rsidRPr="002B55E9">
        <w:rPr>
          <w:rFonts w:hint="eastAsia"/>
          <w:spacing w:val="0"/>
        </w:rPr>
        <w:t>万吨</w:t>
      </w:r>
      <w:r w:rsidRPr="002B55E9">
        <w:rPr>
          <w:rFonts w:hint="eastAsia"/>
          <w:spacing w:val="0"/>
        </w:rPr>
        <w:t>/</w:t>
      </w:r>
      <w:r w:rsidRPr="002B55E9">
        <w:rPr>
          <w:rFonts w:hint="eastAsia"/>
          <w:spacing w:val="0"/>
        </w:rPr>
        <w:t>年、陈香醋</w:t>
      </w:r>
      <w:r w:rsidRPr="002B55E9">
        <w:rPr>
          <w:rFonts w:hint="eastAsia"/>
          <w:spacing w:val="0"/>
        </w:rPr>
        <w:t>4</w:t>
      </w:r>
      <w:r w:rsidRPr="002B55E9">
        <w:rPr>
          <w:rFonts w:hint="eastAsia"/>
          <w:spacing w:val="0"/>
        </w:rPr>
        <w:t>万吨</w:t>
      </w:r>
      <w:r w:rsidRPr="002B55E9">
        <w:rPr>
          <w:rFonts w:hint="eastAsia"/>
          <w:spacing w:val="0"/>
        </w:rPr>
        <w:t>/</w:t>
      </w:r>
      <w:r w:rsidRPr="002B55E9">
        <w:rPr>
          <w:rFonts w:hint="eastAsia"/>
          <w:spacing w:val="0"/>
        </w:rPr>
        <w:t>年</w:t>
      </w:r>
      <w:r w:rsidRPr="002B55E9">
        <w:rPr>
          <w:rFonts w:hint="eastAsia"/>
        </w:rPr>
        <w:t>。</w:t>
      </w:r>
      <w:bookmarkEnd w:id="379"/>
    </w:p>
    <w:p w14:paraId="551DA41F" w14:textId="77777777" w:rsidR="00D170E5" w:rsidRPr="002B55E9" w:rsidRDefault="00EF27AD">
      <w:pPr>
        <w:pStyle w:val="3"/>
      </w:pPr>
      <w:bookmarkStart w:id="382" w:name="_Toc119309042"/>
      <w:bookmarkEnd w:id="380"/>
      <w:bookmarkEnd w:id="381"/>
      <w:r w:rsidRPr="002B55E9">
        <w:rPr>
          <w:rFonts w:hint="eastAsia"/>
        </w:rPr>
        <w:t>产业政策</w:t>
      </w:r>
      <w:r w:rsidRPr="002B55E9">
        <w:t>及规划</w:t>
      </w:r>
      <w:r w:rsidRPr="002B55E9">
        <w:rPr>
          <w:rFonts w:hint="eastAsia"/>
        </w:rPr>
        <w:t>相符性</w:t>
      </w:r>
      <w:r w:rsidRPr="002B55E9">
        <w:t>分析</w:t>
      </w:r>
      <w:bookmarkEnd w:id="382"/>
    </w:p>
    <w:p w14:paraId="6D2E1BCA" w14:textId="77777777" w:rsidR="00D170E5" w:rsidRPr="002B55E9" w:rsidRDefault="00EF27AD">
      <w:pPr>
        <w:pStyle w:val="affff7"/>
      </w:pPr>
      <w:bookmarkStart w:id="383" w:name="_Toc141528323"/>
      <w:bookmarkStart w:id="384" w:name="_Toc139440664"/>
      <w:r w:rsidRPr="002B55E9">
        <w:rPr>
          <w:rFonts w:hint="eastAsia"/>
        </w:rPr>
        <w:t>拟建项目属于调味品</w:t>
      </w:r>
      <w:r w:rsidRPr="002B55E9">
        <w:t>制造</w:t>
      </w:r>
      <w:r w:rsidRPr="002B55E9">
        <w:rPr>
          <w:rFonts w:hint="eastAsia"/>
        </w:rPr>
        <w:t>项目，对照《产业结构调整指导目录（</w:t>
      </w:r>
      <w:r w:rsidRPr="002B55E9">
        <w:rPr>
          <w:rFonts w:hint="eastAsia"/>
        </w:rPr>
        <w:t>2019</w:t>
      </w:r>
      <w:r w:rsidRPr="002B55E9">
        <w:rPr>
          <w:rFonts w:hint="eastAsia"/>
        </w:rPr>
        <w:t>年本）》，不属于《产业结构调整指导目录（</w:t>
      </w:r>
      <w:r w:rsidRPr="002B55E9">
        <w:rPr>
          <w:rFonts w:hint="eastAsia"/>
        </w:rPr>
        <w:t>2019</w:t>
      </w:r>
      <w:r w:rsidRPr="002B55E9">
        <w:rPr>
          <w:rFonts w:hint="eastAsia"/>
        </w:rPr>
        <w:t>年本）》中的鼓励类、限制类、淘汰类产业，属于允许类项目。因此本项目符合《产业结构调整指导目录（</w:t>
      </w:r>
      <w:r w:rsidRPr="002B55E9">
        <w:rPr>
          <w:rFonts w:hint="eastAsia"/>
        </w:rPr>
        <w:t>2019</w:t>
      </w:r>
      <w:r w:rsidRPr="002B55E9">
        <w:rPr>
          <w:rFonts w:hint="eastAsia"/>
        </w:rPr>
        <w:t>年本）》的要</w:t>
      </w:r>
      <w:r w:rsidRPr="002B55E9">
        <w:rPr>
          <w:rFonts w:hint="eastAsia"/>
          <w:szCs w:val="30"/>
        </w:rPr>
        <w:t>求。</w:t>
      </w:r>
    </w:p>
    <w:p w14:paraId="1CED0F1E" w14:textId="714D40ED" w:rsidR="00D170E5" w:rsidRPr="002B55E9" w:rsidRDefault="00EF27AD">
      <w:pPr>
        <w:pStyle w:val="affff7"/>
      </w:pPr>
      <w:r w:rsidRPr="002B55E9">
        <w:rPr>
          <w:rFonts w:hint="eastAsia"/>
        </w:rPr>
        <w:t>项目</w:t>
      </w:r>
      <w:r w:rsidRPr="002B55E9">
        <w:t>的建设</w:t>
      </w:r>
      <w:r w:rsidRPr="002B55E9">
        <w:rPr>
          <w:rFonts w:hint="eastAsia"/>
        </w:rPr>
        <w:t>符合《武汉城市总体规划（</w:t>
      </w:r>
      <w:r w:rsidRPr="002B55E9">
        <w:rPr>
          <w:rFonts w:hint="eastAsia"/>
        </w:rPr>
        <w:t>2010-2020</w:t>
      </w:r>
      <w:r w:rsidRPr="002B55E9">
        <w:rPr>
          <w:rFonts w:hint="eastAsia"/>
        </w:rPr>
        <w:t>年）》、</w:t>
      </w:r>
      <w:r w:rsidRPr="002B55E9">
        <w:rPr>
          <w:rFonts w:hint="eastAsia"/>
          <w:szCs w:val="24"/>
        </w:rPr>
        <w:t>《武汉市生态环境保护“十四五”规划》、</w:t>
      </w:r>
      <w:r w:rsidRPr="002B55E9">
        <w:rPr>
          <w:rFonts w:hint="eastAsia"/>
        </w:rPr>
        <w:t>《新沟镇食品医疗用地板块总体规划环境影响评价报告书》、</w:t>
      </w:r>
      <w:r w:rsidRPr="002B55E9">
        <w:rPr>
          <w:rFonts w:hint="eastAsia"/>
          <w:szCs w:val="24"/>
        </w:rPr>
        <w:t>《中华人民共和国长江保护法》、《长江经济带发展负面清单指南（试行，</w:t>
      </w:r>
      <w:r w:rsidRPr="002B55E9">
        <w:rPr>
          <w:rFonts w:hint="eastAsia"/>
          <w:szCs w:val="24"/>
        </w:rPr>
        <w:t>2022</w:t>
      </w:r>
      <w:r w:rsidRPr="002B55E9">
        <w:rPr>
          <w:rFonts w:hint="eastAsia"/>
          <w:szCs w:val="24"/>
        </w:rPr>
        <w:t>年版）》、</w:t>
      </w:r>
      <w:r w:rsidR="00BD31DC" w:rsidRPr="002B55E9">
        <w:rPr>
          <w:rFonts w:hint="eastAsia"/>
          <w:szCs w:val="24"/>
        </w:rPr>
        <w:t>《长江经济带发展负面清单指南（试行，</w:t>
      </w:r>
      <w:r w:rsidR="00BD31DC" w:rsidRPr="002B55E9">
        <w:rPr>
          <w:rFonts w:hint="eastAsia"/>
          <w:szCs w:val="24"/>
        </w:rPr>
        <w:t>2022</w:t>
      </w:r>
      <w:r w:rsidR="00BD31DC" w:rsidRPr="002B55E9">
        <w:rPr>
          <w:rFonts w:hint="eastAsia"/>
          <w:szCs w:val="24"/>
        </w:rPr>
        <w:t>年版）湖北省实施细则》</w:t>
      </w:r>
      <w:r w:rsidRPr="002B55E9">
        <w:rPr>
          <w:rFonts w:hint="eastAsia"/>
          <w:szCs w:val="24"/>
        </w:rPr>
        <w:t>、《长江</w:t>
      </w:r>
      <w:r w:rsidRPr="002B55E9">
        <w:rPr>
          <w:szCs w:val="24"/>
        </w:rPr>
        <w:t>经济带生态环境保护规划</w:t>
      </w:r>
      <w:r w:rsidRPr="002B55E9">
        <w:rPr>
          <w:rFonts w:hint="eastAsia"/>
          <w:szCs w:val="24"/>
        </w:rPr>
        <w:t>》、</w:t>
      </w:r>
      <w:r w:rsidRPr="002B55E9">
        <w:rPr>
          <w:rFonts w:hint="eastAsia"/>
        </w:rPr>
        <w:t>《关于实施“三线一单”生态环境分区管控的指导意见（试行）》、《省人民政府关于加快实施“三线一单”生态环境分区管控的意见》、《武汉市“三线一单”生态环境分区管控方案》、</w:t>
      </w:r>
      <w:r w:rsidRPr="002B55E9">
        <w:t>《武汉市基本生态控制线管理条例》</w:t>
      </w:r>
      <w:r w:rsidRPr="002B55E9">
        <w:rPr>
          <w:rFonts w:hint="eastAsia"/>
        </w:rPr>
        <w:t>、</w:t>
      </w:r>
      <w:r w:rsidRPr="002B55E9">
        <w:rPr>
          <w:rFonts w:hint="eastAsia"/>
          <w:szCs w:val="24"/>
        </w:rPr>
        <w:t>《武汉市水污染防治行动计划工作方案（</w:t>
      </w:r>
      <w:r w:rsidRPr="002B55E9">
        <w:rPr>
          <w:rFonts w:hint="eastAsia"/>
          <w:szCs w:val="24"/>
        </w:rPr>
        <w:t>2016-2020</w:t>
      </w:r>
      <w:r w:rsidRPr="002B55E9">
        <w:rPr>
          <w:rFonts w:hint="eastAsia"/>
          <w:szCs w:val="24"/>
        </w:rPr>
        <w:t>）》、</w:t>
      </w:r>
      <w:r w:rsidRPr="002B55E9">
        <w:rPr>
          <w:rFonts w:hint="eastAsia"/>
        </w:rPr>
        <w:t>《武汉市土壤污染防治工作方案》</w:t>
      </w:r>
      <w:r w:rsidRPr="002B55E9">
        <w:rPr>
          <w:rFonts w:hint="eastAsia"/>
          <w:szCs w:val="24"/>
        </w:rPr>
        <w:t>、《大气污染防治行动计划》等文件要求。</w:t>
      </w:r>
    </w:p>
    <w:p w14:paraId="4D69B9C1" w14:textId="77777777" w:rsidR="00D170E5" w:rsidRPr="002B55E9" w:rsidRDefault="00EF27AD">
      <w:pPr>
        <w:pStyle w:val="3"/>
      </w:pPr>
      <w:bookmarkStart w:id="385" w:name="_Toc141528324"/>
      <w:bookmarkStart w:id="386" w:name="_Toc139440665"/>
      <w:bookmarkStart w:id="387" w:name="_Toc68861196"/>
      <w:bookmarkStart w:id="388" w:name="_Toc119309043"/>
      <w:bookmarkEnd w:id="383"/>
      <w:bookmarkEnd w:id="384"/>
      <w:r w:rsidRPr="002B55E9">
        <w:t>环境质量现状</w:t>
      </w:r>
      <w:bookmarkEnd w:id="385"/>
      <w:bookmarkEnd w:id="386"/>
      <w:bookmarkEnd w:id="387"/>
      <w:bookmarkEnd w:id="388"/>
    </w:p>
    <w:p w14:paraId="6C08025E" w14:textId="798596D8" w:rsidR="00D170E5" w:rsidRPr="002B55E9" w:rsidRDefault="00EF27AD">
      <w:pPr>
        <w:pStyle w:val="affff7"/>
        <w:snapToGrid w:val="0"/>
        <w:spacing w:after="0"/>
      </w:pPr>
      <w:bookmarkStart w:id="389" w:name="_Toc139440666"/>
      <w:bookmarkStart w:id="390" w:name="_Toc141528325"/>
      <w:r w:rsidRPr="002B55E9">
        <w:t>2021</w:t>
      </w:r>
      <w:r w:rsidRPr="002B55E9">
        <w:rPr>
          <w:rFonts w:hint="eastAsia"/>
          <w:szCs w:val="24"/>
        </w:rPr>
        <w:t>年区域国控点吴家山监测点环境</w:t>
      </w:r>
      <w:r w:rsidRPr="002B55E9">
        <w:rPr>
          <w:szCs w:val="24"/>
        </w:rPr>
        <w:t>空气质量</w:t>
      </w:r>
      <w:r w:rsidRPr="002B55E9">
        <w:rPr>
          <w:rFonts w:hint="eastAsia"/>
          <w:szCs w:val="24"/>
        </w:rPr>
        <w:t>基本</w:t>
      </w:r>
      <w:r w:rsidRPr="002B55E9">
        <w:rPr>
          <w:szCs w:val="24"/>
        </w:rPr>
        <w:t>因子</w:t>
      </w:r>
      <w:r w:rsidRPr="002B55E9">
        <w:rPr>
          <w:rFonts w:hint="eastAsia"/>
          <w:szCs w:val="24"/>
        </w:rPr>
        <w:t>均能满足</w:t>
      </w:r>
      <w:r w:rsidRPr="002B55E9">
        <w:rPr>
          <w:rFonts w:hint="eastAsia"/>
        </w:rPr>
        <w:t>《环境空气质量标准》（</w:t>
      </w:r>
      <w:r w:rsidRPr="002B55E9">
        <w:rPr>
          <w:rFonts w:hint="eastAsia"/>
        </w:rPr>
        <w:t>GB3095-2012</w:t>
      </w:r>
      <w:r w:rsidRPr="002B55E9">
        <w:rPr>
          <w:rFonts w:hint="eastAsia"/>
        </w:rPr>
        <w:t>）及其修改单二级标准的要求，</w:t>
      </w:r>
      <w:r w:rsidRPr="002B55E9">
        <w:rPr>
          <w:szCs w:val="24"/>
        </w:rPr>
        <w:t>因此判断项目所在区域环境空气质量达标</w:t>
      </w:r>
      <w:r w:rsidRPr="002B55E9">
        <w:rPr>
          <w:rFonts w:hint="eastAsia"/>
        </w:rPr>
        <w:t>。监测期间</w:t>
      </w:r>
      <w:r w:rsidRPr="002B55E9">
        <w:t>特征因子</w:t>
      </w:r>
      <w:r w:rsidR="007E47F0" w:rsidRPr="002B55E9">
        <w:rPr>
          <w:rFonts w:hint="eastAsia"/>
        </w:rPr>
        <w:t>总挥发性有机物、硫酸、氯化氢、甲醛、非甲烷总烃、氨、硫化氢</w:t>
      </w:r>
      <w:r w:rsidRPr="002B55E9">
        <w:t>监测值能满足《环境影响评价技术导则</w:t>
      </w:r>
      <w:r w:rsidRPr="002B55E9">
        <w:t xml:space="preserve"> </w:t>
      </w:r>
      <w:r w:rsidRPr="002B55E9">
        <w:t>大气环境》（</w:t>
      </w:r>
      <w:r w:rsidRPr="002B55E9">
        <w:t>HJ2.2-2018</w:t>
      </w:r>
      <w:r w:rsidRPr="002B55E9">
        <w:t>）附录</w:t>
      </w:r>
      <w:r w:rsidRPr="002B55E9">
        <w:t>D</w:t>
      </w:r>
      <w:r w:rsidRPr="002B55E9">
        <w:t>要求</w:t>
      </w:r>
      <w:r w:rsidRPr="002B55E9">
        <w:rPr>
          <w:rFonts w:hint="eastAsia"/>
        </w:rPr>
        <w:t>，</w:t>
      </w:r>
      <w:r w:rsidRPr="002B55E9">
        <w:rPr>
          <w:rFonts w:hint="eastAsia"/>
        </w:rPr>
        <w:t>TSP</w:t>
      </w:r>
      <w:r w:rsidRPr="002B55E9">
        <w:rPr>
          <w:rFonts w:hint="eastAsia"/>
        </w:rPr>
        <w:t>能</w:t>
      </w:r>
      <w:r w:rsidRPr="002B55E9">
        <w:t>满足</w:t>
      </w:r>
      <w:r w:rsidRPr="002B55E9">
        <w:rPr>
          <w:rFonts w:hint="eastAsia"/>
        </w:rPr>
        <w:t>《环境空气质量标准》（</w:t>
      </w:r>
      <w:r w:rsidRPr="002B55E9">
        <w:rPr>
          <w:rFonts w:hint="eastAsia"/>
        </w:rPr>
        <w:t>GB3095-2012</w:t>
      </w:r>
      <w:r w:rsidRPr="002B55E9">
        <w:rPr>
          <w:rFonts w:hint="eastAsia"/>
        </w:rPr>
        <w:t>）及其修改单二级标准</w:t>
      </w:r>
      <w:r w:rsidRPr="002B55E9">
        <w:t>。</w:t>
      </w:r>
      <w:r w:rsidR="00A23DFA" w:rsidRPr="002B55E9">
        <w:rPr>
          <w:rFonts w:hint="eastAsia"/>
        </w:rPr>
        <w:t>非甲烷总烃可以满足《大气污染综合排放标准详解》中推荐的小时标准限值的要求。</w:t>
      </w:r>
    </w:p>
    <w:p w14:paraId="0A4FC783" w14:textId="5B05F95E" w:rsidR="00D170E5" w:rsidRPr="002B55E9" w:rsidRDefault="00EF27AD">
      <w:pPr>
        <w:pStyle w:val="affff7"/>
        <w:snapToGrid w:val="0"/>
        <w:spacing w:after="0"/>
      </w:pPr>
      <w:r w:rsidRPr="002B55E9">
        <w:lastRenderedPageBreak/>
        <w:t>项目</w:t>
      </w:r>
      <w:r w:rsidRPr="002B55E9">
        <w:rPr>
          <w:rFonts w:hint="eastAsia"/>
        </w:rPr>
        <w:t>污水</w:t>
      </w:r>
      <w:r w:rsidRPr="002B55E9">
        <w:t>受纳水体</w:t>
      </w:r>
      <w:r w:rsidRPr="002B55E9">
        <w:rPr>
          <w:rFonts w:hint="eastAsia"/>
        </w:rPr>
        <w:t>为府河，</w:t>
      </w:r>
      <w:r w:rsidRPr="002B55E9">
        <w:rPr>
          <w:bCs w:val="0"/>
        </w:rPr>
        <w:t xml:space="preserve"> 2021</w:t>
      </w:r>
      <w:r w:rsidRPr="002B55E9">
        <w:rPr>
          <w:rFonts w:hint="eastAsia"/>
          <w:bCs w:val="0"/>
        </w:rPr>
        <w:t>年府河李家墩断面、朱家河口断面、岱山大桥断面各监测指标均能达到《地表水环境质量标准》（</w:t>
      </w:r>
      <w:r w:rsidRPr="002B55E9">
        <w:rPr>
          <w:rFonts w:hint="eastAsia"/>
          <w:bCs w:val="0"/>
        </w:rPr>
        <w:t>G</w:t>
      </w:r>
      <w:r w:rsidRPr="002B55E9">
        <w:rPr>
          <w:bCs w:val="0"/>
        </w:rPr>
        <w:t>B3838-2002</w:t>
      </w:r>
      <w:r w:rsidRPr="002B55E9">
        <w:rPr>
          <w:rFonts w:hint="eastAsia"/>
          <w:bCs w:val="0"/>
        </w:rPr>
        <w:t>）中“</w:t>
      </w:r>
      <w:r w:rsidRPr="002B55E9">
        <w:rPr>
          <w:rFonts w:ascii="宋体" w:hAnsi="宋体" w:hint="eastAsia"/>
          <w:bCs w:val="0"/>
        </w:rPr>
        <w:t>Ⅳ</w:t>
      </w:r>
      <w:r w:rsidRPr="002B55E9">
        <w:rPr>
          <w:rFonts w:hint="eastAsia"/>
          <w:bCs w:val="0"/>
        </w:rPr>
        <w:t>、</w:t>
      </w:r>
      <w:r w:rsidRPr="002B55E9">
        <w:rPr>
          <w:rFonts w:ascii="宋体" w:hAnsi="宋体" w:hint="eastAsia"/>
          <w:bCs w:val="0"/>
        </w:rPr>
        <w:t>Ⅴ类水质要求</w:t>
      </w:r>
      <w:r w:rsidRPr="002B55E9">
        <w:rPr>
          <w:rFonts w:hint="eastAsia"/>
          <w:bCs w:val="0"/>
        </w:rPr>
        <w:t>”。</w:t>
      </w:r>
    </w:p>
    <w:p w14:paraId="31A5ADB4" w14:textId="77777777" w:rsidR="00D170E5" w:rsidRPr="002B55E9" w:rsidRDefault="00EF27AD">
      <w:pPr>
        <w:pStyle w:val="affff7"/>
        <w:snapToGrid w:val="0"/>
        <w:spacing w:after="0"/>
      </w:pPr>
      <w:r w:rsidRPr="002B55E9">
        <w:t>项目</w:t>
      </w:r>
      <w:r w:rsidRPr="002B55E9">
        <w:rPr>
          <w:rFonts w:hint="eastAsia"/>
        </w:rPr>
        <w:t>西、南、北侧厂界噪声昼、夜监测值能满足</w:t>
      </w:r>
      <w:r w:rsidRPr="002B55E9">
        <w:t>《</w:t>
      </w:r>
      <w:r w:rsidRPr="002B55E9">
        <w:rPr>
          <w:rFonts w:hint="eastAsia"/>
        </w:rPr>
        <w:t>声</w:t>
      </w:r>
      <w:r w:rsidRPr="002B55E9">
        <w:t>环境质量标准》</w:t>
      </w:r>
      <w:r w:rsidRPr="002B55E9">
        <w:rPr>
          <w:rFonts w:hint="eastAsia"/>
        </w:rPr>
        <w:t>（</w:t>
      </w:r>
      <w:r w:rsidRPr="002B55E9">
        <w:rPr>
          <w:rFonts w:hint="eastAsia"/>
        </w:rPr>
        <w:t>GB3096-2008</w:t>
      </w:r>
      <w:r w:rsidRPr="002B55E9">
        <w:rPr>
          <w:rFonts w:hint="eastAsia"/>
        </w:rPr>
        <w:t>）“</w:t>
      </w:r>
      <w:r w:rsidRPr="002B55E9">
        <w:t>2</w:t>
      </w:r>
      <w:r w:rsidRPr="002B55E9">
        <w:rPr>
          <w:rFonts w:hint="eastAsia"/>
        </w:rPr>
        <w:t>类”的要求，厂界东侧声环境监测值能满足</w:t>
      </w:r>
      <w:r w:rsidRPr="002B55E9">
        <w:rPr>
          <w:rFonts w:hint="eastAsia"/>
        </w:rPr>
        <w:t xml:space="preserve"> </w:t>
      </w:r>
      <w:r w:rsidRPr="002B55E9">
        <w:rPr>
          <w:rFonts w:hint="eastAsia"/>
        </w:rPr>
        <w:t>“</w:t>
      </w:r>
      <w:r w:rsidRPr="002B55E9">
        <w:t>4a</w:t>
      </w:r>
      <w:r w:rsidRPr="002B55E9">
        <w:rPr>
          <w:rFonts w:hint="eastAsia"/>
        </w:rPr>
        <w:t>类标准”的要求。</w:t>
      </w:r>
    </w:p>
    <w:p w14:paraId="3C05A650" w14:textId="77777777" w:rsidR="00D170E5" w:rsidRPr="002B55E9" w:rsidRDefault="00EF27AD">
      <w:pPr>
        <w:pStyle w:val="affff7"/>
      </w:pPr>
      <w:r w:rsidRPr="002B55E9">
        <w:rPr>
          <w:rFonts w:hint="eastAsia"/>
        </w:rPr>
        <w:t>项目地下水环境监测指能全部满足《地下水质量标准》（</w:t>
      </w:r>
      <w:r w:rsidRPr="002B55E9">
        <w:rPr>
          <w:rFonts w:hint="eastAsia"/>
        </w:rPr>
        <w:t>GB/T14848-2017</w:t>
      </w:r>
      <w:r w:rsidRPr="002B55E9">
        <w:rPr>
          <w:rFonts w:hint="eastAsia"/>
        </w:rPr>
        <w:t>）</w:t>
      </w:r>
      <w:r w:rsidRPr="002B55E9">
        <w:rPr>
          <w:rFonts w:ascii="宋体" w:hAnsi="宋体" w:cs="宋体" w:hint="eastAsia"/>
        </w:rPr>
        <w:t>Ⅳ</w:t>
      </w:r>
      <w:r w:rsidRPr="002B55E9">
        <w:rPr>
          <w:rFonts w:hint="eastAsia"/>
        </w:rPr>
        <w:t>类标准限值要求</w:t>
      </w:r>
      <w:r w:rsidRPr="002B55E9">
        <w:t>。</w:t>
      </w:r>
    </w:p>
    <w:p w14:paraId="3FCA0F53" w14:textId="77777777" w:rsidR="00D170E5" w:rsidRPr="002B55E9" w:rsidRDefault="00EF27AD">
      <w:pPr>
        <w:pStyle w:val="3"/>
      </w:pPr>
      <w:bookmarkStart w:id="391" w:name="_Toc119309044"/>
      <w:bookmarkStart w:id="392" w:name="_Toc68861197"/>
      <w:r w:rsidRPr="002B55E9">
        <w:t>污染物防治措施</w:t>
      </w:r>
      <w:bookmarkEnd w:id="389"/>
      <w:bookmarkEnd w:id="390"/>
      <w:bookmarkEnd w:id="391"/>
      <w:bookmarkEnd w:id="392"/>
    </w:p>
    <w:p w14:paraId="45BAA8D6" w14:textId="77777777" w:rsidR="00D170E5" w:rsidRPr="002B55E9" w:rsidRDefault="00EF27AD">
      <w:pPr>
        <w:pStyle w:val="4"/>
        <w:rPr>
          <w:color w:val="auto"/>
        </w:rPr>
      </w:pPr>
      <w:r w:rsidRPr="002B55E9">
        <w:rPr>
          <w:rFonts w:hint="eastAsia"/>
          <w:color w:val="auto"/>
        </w:rPr>
        <w:t>大气污染防治措施</w:t>
      </w:r>
    </w:p>
    <w:p w14:paraId="24EBF0BC" w14:textId="77777777" w:rsidR="00D170E5" w:rsidRPr="002B55E9" w:rsidRDefault="00EF27AD">
      <w:pPr>
        <w:pStyle w:val="aa"/>
        <w:snapToGrid w:val="0"/>
      </w:pPr>
      <w:bookmarkStart w:id="393" w:name="_Hlk45140537"/>
      <w:bookmarkStart w:id="394" w:name="_Hlk68689038"/>
      <w:bookmarkStart w:id="395" w:name="_Hlk81409638"/>
      <w:r w:rsidRPr="002B55E9">
        <w:rPr>
          <w:rFonts w:hint="eastAsia"/>
        </w:rPr>
        <w:t>拟建</w:t>
      </w:r>
      <w:r w:rsidRPr="002B55E9">
        <w:t>项目废气主要有</w:t>
      </w:r>
      <w:r w:rsidRPr="002B55E9">
        <w:rPr>
          <w:rFonts w:hint="eastAsia"/>
        </w:rPr>
        <w:t>料酒、</w:t>
      </w:r>
      <w:r w:rsidRPr="002B55E9">
        <w:t>白米醋</w:t>
      </w:r>
      <w:r w:rsidRPr="002B55E9">
        <w:rPr>
          <w:rFonts w:hint="eastAsia"/>
        </w:rPr>
        <w:t>工艺</w:t>
      </w:r>
      <w:r w:rsidRPr="002B55E9">
        <w:t>废气、质检废气、储罐废气</w:t>
      </w:r>
      <w:r w:rsidRPr="002B55E9">
        <w:rPr>
          <w:rFonts w:hint="eastAsia"/>
        </w:rPr>
        <w:t>等</w:t>
      </w:r>
      <w:r w:rsidRPr="002B55E9">
        <w:t>。</w:t>
      </w:r>
    </w:p>
    <w:p w14:paraId="0A7F31B8" w14:textId="7901015B" w:rsidR="00D170E5" w:rsidRPr="002B55E9" w:rsidRDefault="00EF27AD">
      <w:pPr>
        <w:pStyle w:val="aa"/>
        <w:snapToGrid w:val="0"/>
      </w:pPr>
      <w:r w:rsidRPr="002B55E9">
        <w:rPr>
          <w:rFonts w:hint="eastAsia"/>
        </w:rPr>
        <w:t>料酒生产线</w:t>
      </w:r>
      <w:r w:rsidRPr="002B55E9">
        <w:t>香辛料</w:t>
      </w:r>
      <w:r w:rsidRPr="002B55E9">
        <w:rPr>
          <w:rFonts w:hint="eastAsia"/>
        </w:rPr>
        <w:t>破碎</w:t>
      </w:r>
      <w:r w:rsidRPr="002B55E9">
        <w:t>粉尘经粉碎机自带</w:t>
      </w:r>
      <w:r w:rsidRPr="002B55E9">
        <w:rPr>
          <w:rFonts w:hint="eastAsia"/>
        </w:rPr>
        <w:t>袋式</w:t>
      </w:r>
      <w:r w:rsidRPr="002B55E9">
        <w:t>除尘器处理后</w:t>
      </w:r>
      <w:r w:rsidRPr="002B55E9">
        <w:rPr>
          <w:rFonts w:hint="eastAsia"/>
        </w:rPr>
        <w:t>通过</w:t>
      </w:r>
      <w:r w:rsidRPr="002B55E9">
        <w:rPr>
          <w:rFonts w:hint="eastAsia"/>
        </w:rPr>
        <w:t>18m</w:t>
      </w:r>
      <w:r w:rsidRPr="002B55E9">
        <w:rPr>
          <w:rFonts w:hint="eastAsia"/>
        </w:rPr>
        <w:t>高排气筒</w:t>
      </w:r>
      <w:r w:rsidRPr="002B55E9">
        <w:t>（</w:t>
      </w:r>
      <w:r w:rsidRPr="002B55E9">
        <w:rPr>
          <w:rFonts w:hint="eastAsia"/>
        </w:rPr>
        <w:t>DA001</w:t>
      </w:r>
      <w:r w:rsidRPr="002B55E9">
        <w:t>）排放</w:t>
      </w:r>
      <w:r w:rsidRPr="002B55E9">
        <w:rPr>
          <w:rFonts w:hint="eastAsia"/>
        </w:rPr>
        <w:t>，料酒生产线、白米醋生产线的投料、发酵等工艺废气经密闭管道收集后经</w:t>
      </w:r>
      <w:r w:rsidRPr="002B55E9">
        <w:rPr>
          <w:rFonts w:hint="eastAsia"/>
        </w:rPr>
        <w:t>1</w:t>
      </w:r>
      <w:r w:rsidRPr="002B55E9">
        <w:rPr>
          <w:rFonts w:hint="eastAsia"/>
        </w:rPr>
        <w:t>套</w:t>
      </w:r>
      <w:r w:rsidR="00CE536C" w:rsidRPr="002B55E9">
        <w:rPr>
          <w:rFonts w:hint="eastAsia"/>
        </w:rPr>
        <w:t>二级碱喷淋</w:t>
      </w:r>
      <w:r w:rsidR="00CE536C" w:rsidRPr="002B55E9">
        <w:rPr>
          <w:rFonts w:hint="eastAsia"/>
        </w:rPr>
        <w:t>+</w:t>
      </w:r>
      <w:r w:rsidR="00CE536C" w:rsidRPr="002B55E9">
        <w:rPr>
          <w:rFonts w:hint="eastAsia"/>
        </w:rPr>
        <w:t>水喷淋</w:t>
      </w:r>
      <w:r w:rsidRPr="002B55E9">
        <w:rPr>
          <w:rFonts w:hint="eastAsia"/>
        </w:rPr>
        <w:t>装置处理后由</w:t>
      </w:r>
      <w:r w:rsidRPr="002B55E9">
        <w:rPr>
          <w:rFonts w:hint="eastAsia"/>
        </w:rPr>
        <w:t>18m</w:t>
      </w:r>
      <w:r w:rsidRPr="002B55E9">
        <w:rPr>
          <w:rFonts w:hint="eastAsia"/>
        </w:rPr>
        <w:t>高排气筒（</w:t>
      </w:r>
      <w:r w:rsidRPr="002B55E9">
        <w:rPr>
          <w:rFonts w:hint="eastAsia"/>
        </w:rPr>
        <w:t>DA002</w:t>
      </w:r>
      <w:r w:rsidRPr="002B55E9">
        <w:rPr>
          <w:rFonts w:hint="eastAsia"/>
        </w:rPr>
        <w:t>）排放，化验室废气由通风橱收集后经</w:t>
      </w:r>
      <w:r w:rsidRPr="002B55E9">
        <w:t>活性炭吸附装置处理后通过</w:t>
      </w:r>
      <w:r w:rsidRPr="002B55E9">
        <w:rPr>
          <w:rFonts w:hint="eastAsia"/>
        </w:rPr>
        <w:t>1</w:t>
      </w:r>
      <w:r w:rsidRPr="002B55E9">
        <w:t>8m</w:t>
      </w:r>
      <w:r w:rsidRPr="002B55E9">
        <w:t>排气筒（</w:t>
      </w:r>
      <w:r w:rsidRPr="002B55E9">
        <w:rPr>
          <w:rFonts w:hint="eastAsia"/>
        </w:rPr>
        <w:t>DA00</w:t>
      </w:r>
      <w:r w:rsidRPr="002B55E9">
        <w:t>3</w:t>
      </w:r>
      <w:r w:rsidRPr="002B55E9">
        <w:t>）</w:t>
      </w:r>
      <w:r w:rsidRPr="002B55E9">
        <w:rPr>
          <w:rFonts w:hint="eastAsia"/>
        </w:rPr>
        <w:t>排放，罐区三、</w:t>
      </w:r>
      <w:r w:rsidRPr="002B55E9">
        <w:t>酒精</w:t>
      </w:r>
      <w:r w:rsidRPr="002B55E9">
        <w:rPr>
          <w:rFonts w:hint="eastAsia"/>
        </w:rPr>
        <w:t>罐区</w:t>
      </w:r>
      <w:r w:rsidRPr="002B55E9">
        <w:t>呼吸废气无组织排放</w:t>
      </w:r>
      <w:r w:rsidRPr="002B55E9">
        <w:rPr>
          <w:rFonts w:hint="eastAsia"/>
        </w:rPr>
        <w:t>。</w:t>
      </w:r>
    </w:p>
    <w:bookmarkEnd w:id="393"/>
    <w:bookmarkEnd w:id="394"/>
    <w:bookmarkEnd w:id="395"/>
    <w:p w14:paraId="4CA31604" w14:textId="77777777" w:rsidR="00D170E5" w:rsidRPr="002B55E9" w:rsidRDefault="00EF27AD">
      <w:pPr>
        <w:pStyle w:val="4"/>
        <w:rPr>
          <w:color w:val="auto"/>
        </w:rPr>
      </w:pPr>
      <w:r w:rsidRPr="002B55E9">
        <w:rPr>
          <w:rFonts w:hint="eastAsia"/>
          <w:color w:val="auto"/>
        </w:rPr>
        <w:t>水污染防治措施</w:t>
      </w:r>
    </w:p>
    <w:p w14:paraId="27907DCF" w14:textId="77777777" w:rsidR="00D170E5" w:rsidRPr="002B55E9" w:rsidRDefault="00EF27AD">
      <w:pPr>
        <w:pStyle w:val="affff7"/>
        <w:rPr>
          <w:szCs w:val="24"/>
        </w:rPr>
      </w:pPr>
      <w:bookmarkStart w:id="396" w:name="_Hlk81409676"/>
      <w:bookmarkStart w:id="397" w:name="_Hlk68689066"/>
      <w:bookmarkStart w:id="398" w:name="_Hlk45140547"/>
      <w:r w:rsidRPr="002B55E9">
        <w:rPr>
          <w:rFonts w:hint="eastAsia"/>
        </w:rPr>
        <w:t>拟建项目运营期废水主要为生活污水和生产废水，生活污水经化粪池处理后与生产废水一并排入佛山市海天（武汉）调味食品有限公司污水处理站处理后经总排口排放，蒸汽冷凝水经单独管网收集后汇入佛山市海天（武汉）调味食品有限公司总排口排放，最终经市政污水管网排入东西湖污水处理厂处理达标后尾水排入府河。</w:t>
      </w:r>
      <w:r w:rsidRPr="002B55E9">
        <w:rPr>
          <w:szCs w:val="24"/>
        </w:rPr>
        <w:t xml:space="preserve"> </w:t>
      </w:r>
    </w:p>
    <w:p w14:paraId="6D372651" w14:textId="18DF5B78" w:rsidR="00D170E5" w:rsidRPr="002B55E9" w:rsidRDefault="00EF27AD">
      <w:pPr>
        <w:pStyle w:val="affff7"/>
        <w:rPr>
          <w:szCs w:val="24"/>
        </w:rPr>
      </w:pPr>
      <w:r w:rsidRPr="002B55E9">
        <w:rPr>
          <w:rFonts w:hint="eastAsia"/>
          <w:szCs w:val="24"/>
        </w:rPr>
        <w:t>佛山市海天（武汉）调味食品有限公司污水处理站设计处理规模为</w:t>
      </w:r>
      <w:r w:rsidRPr="002B55E9">
        <w:rPr>
          <w:rFonts w:hint="eastAsia"/>
          <w:szCs w:val="24"/>
        </w:rPr>
        <w:t>1</w:t>
      </w:r>
      <w:r w:rsidRPr="002B55E9">
        <w:rPr>
          <w:szCs w:val="24"/>
        </w:rPr>
        <w:t>000</w:t>
      </w:r>
      <w:r w:rsidRPr="002B55E9">
        <w:rPr>
          <w:rFonts w:hint="eastAsia"/>
          <w:szCs w:val="24"/>
        </w:rPr>
        <w:t>m</w:t>
      </w:r>
      <w:r w:rsidRPr="002B55E9">
        <w:rPr>
          <w:szCs w:val="24"/>
          <w:vertAlign w:val="superscript"/>
        </w:rPr>
        <w:t>3</w:t>
      </w:r>
      <w:r w:rsidRPr="002B55E9">
        <w:rPr>
          <w:szCs w:val="24"/>
        </w:rPr>
        <w:t>/</w:t>
      </w:r>
      <w:r w:rsidRPr="002B55E9">
        <w:rPr>
          <w:rFonts w:hint="eastAsia"/>
          <w:szCs w:val="24"/>
        </w:rPr>
        <w:t>d</w:t>
      </w:r>
      <w:r w:rsidRPr="002B55E9">
        <w:rPr>
          <w:rFonts w:hint="eastAsia"/>
          <w:szCs w:val="24"/>
        </w:rPr>
        <w:t>，处理工艺为“</w:t>
      </w:r>
      <w:r w:rsidR="007F1BA2" w:rsidRPr="002B55E9">
        <w:rPr>
          <w:rFonts w:hint="eastAsia"/>
          <w:szCs w:val="24"/>
        </w:rPr>
        <w:t>预处理</w:t>
      </w:r>
      <w:r w:rsidR="007F1BA2" w:rsidRPr="002B55E9">
        <w:rPr>
          <w:rFonts w:hint="eastAsia"/>
          <w:szCs w:val="24"/>
        </w:rPr>
        <w:t>+</w:t>
      </w:r>
      <w:r w:rsidR="007F1BA2" w:rsidRPr="002B55E9">
        <w:rPr>
          <w:rFonts w:hint="eastAsia"/>
          <w:szCs w:val="24"/>
        </w:rPr>
        <w:t>厌氧</w:t>
      </w:r>
      <w:r w:rsidR="007F1BA2" w:rsidRPr="002B55E9">
        <w:rPr>
          <w:rFonts w:hint="eastAsia"/>
          <w:szCs w:val="24"/>
        </w:rPr>
        <w:t>+AO</w:t>
      </w:r>
      <w:r w:rsidR="007F1BA2" w:rsidRPr="002B55E9">
        <w:rPr>
          <w:rFonts w:hint="eastAsia"/>
          <w:szCs w:val="24"/>
        </w:rPr>
        <w:t>系统</w:t>
      </w:r>
      <w:r w:rsidR="007F1BA2" w:rsidRPr="002B55E9">
        <w:rPr>
          <w:rFonts w:hint="eastAsia"/>
          <w:szCs w:val="24"/>
        </w:rPr>
        <w:t>+</w:t>
      </w:r>
      <w:r w:rsidR="007F1BA2" w:rsidRPr="002B55E9">
        <w:rPr>
          <w:rFonts w:hint="eastAsia"/>
          <w:szCs w:val="24"/>
        </w:rPr>
        <w:t>深度处理</w:t>
      </w:r>
      <w:r w:rsidRPr="002B55E9">
        <w:rPr>
          <w:rFonts w:hint="eastAsia"/>
          <w:szCs w:val="24"/>
        </w:rPr>
        <w:t>”。</w:t>
      </w:r>
      <w:bookmarkEnd w:id="396"/>
    </w:p>
    <w:bookmarkEnd w:id="397"/>
    <w:bookmarkEnd w:id="398"/>
    <w:p w14:paraId="77C5F380" w14:textId="77777777" w:rsidR="00D170E5" w:rsidRPr="002B55E9" w:rsidRDefault="00EF27AD">
      <w:pPr>
        <w:pStyle w:val="4"/>
        <w:rPr>
          <w:color w:val="auto"/>
        </w:rPr>
      </w:pPr>
      <w:r w:rsidRPr="002B55E9">
        <w:rPr>
          <w:rFonts w:hint="eastAsia"/>
          <w:color w:val="auto"/>
        </w:rPr>
        <w:t>噪声污染防治措施</w:t>
      </w:r>
    </w:p>
    <w:p w14:paraId="001B5BEE" w14:textId="77777777" w:rsidR="00D170E5" w:rsidRPr="002B55E9" w:rsidRDefault="00EF27AD">
      <w:pPr>
        <w:pStyle w:val="aa"/>
      </w:pPr>
      <w:bookmarkStart w:id="399" w:name="_Hlk45140564"/>
      <w:bookmarkStart w:id="400" w:name="_Hlk68689086"/>
      <w:r w:rsidRPr="002B55E9">
        <w:t>主要噪声源</w:t>
      </w:r>
      <w:r w:rsidRPr="002B55E9">
        <w:rPr>
          <w:rFonts w:hint="eastAsia"/>
        </w:rPr>
        <w:t>为车间风机</w:t>
      </w:r>
      <w:r w:rsidRPr="002B55E9">
        <w:t>、各类</w:t>
      </w:r>
      <w:r w:rsidRPr="002B55E9">
        <w:rPr>
          <w:rFonts w:hint="eastAsia"/>
        </w:rPr>
        <w:t>水泵</w:t>
      </w:r>
      <w:r w:rsidRPr="002B55E9">
        <w:t>、</w:t>
      </w:r>
      <w:r w:rsidRPr="002B55E9">
        <w:rPr>
          <w:rFonts w:hint="eastAsia"/>
        </w:rPr>
        <w:t>冷却循环水系统</w:t>
      </w:r>
      <w:r w:rsidRPr="002B55E9">
        <w:t>等工作时产生噪声。</w:t>
      </w:r>
      <w:r w:rsidRPr="002B55E9">
        <w:rPr>
          <w:rFonts w:hint="eastAsia"/>
        </w:rPr>
        <w:t>结合拟建项目的平面布置情况，通过设置隔声、减震、降噪等</w:t>
      </w:r>
      <w:r w:rsidRPr="002B55E9">
        <w:t>措施</w:t>
      </w:r>
      <w:r w:rsidRPr="002B55E9">
        <w:rPr>
          <w:rFonts w:hint="eastAsia"/>
        </w:rPr>
        <w:t>后</w:t>
      </w:r>
      <w:r w:rsidRPr="002B55E9">
        <w:t>，厂界噪声</w:t>
      </w:r>
      <w:r w:rsidRPr="002B55E9">
        <w:rPr>
          <w:rFonts w:hint="eastAsia"/>
        </w:rPr>
        <w:t>昼间及夜间均</w:t>
      </w:r>
      <w:r w:rsidRPr="002B55E9">
        <w:t>可满足《工业企业厂界环境噪声排放标准》</w:t>
      </w:r>
      <w:r w:rsidRPr="002B55E9">
        <w:rPr>
          <w:rFonts w:hint="eastAsia"/>
        </w:rPr>
        <w:t>（</w:t>
      </w:r>
      <w:r w:rsidRPr="002B55E9">
        <w:t>GB12348-2008</w:t>
      </w:r>
      <w:r w:rsidRPr="002B55E9">
        <w:rPr>
          <w:rFonts w:hint="eastAsia"/>
        </w:rPr>
        <w:t>）</w:t>
      </w:r>
      <w:r w:rsidRPr="002B55E9">
        <w:rPr>
          <w:rFonts w:hint="eastAsia"/>
        </w:rPr>
        <w:t>2</w:t>
      </w:r>
      <w:r w:rsidRPr="002B55E9">
        <w:t>类</w:t>
      </w:r>
      <w:r w:rsidRPr="002B55E9">
        <w:rPr>
          <w:rFonts w:hint="eastAsia"/>
        </w:rPr>
        <w:t>、</w:t>
      </w:r>
      <w:r w:rsidRPr="002B55E9">
        <w:rPr>
          <w:rFonts w:hint="eastAsia"/>
        </w:rPr>
        <w:t>4</w:t>
      </w:r>
      <w:r w:rsidRPr="002B55E9">
        <w:rPr>
          <w:rFonts w:hint="eastAsia"/>
        </w:rPr>
        <w:t>类</w:t>
      </w:r>
      <w:r w:rsidRPr="002B55E9">
        <w:t>标准的要求</w:t>
      </w:r>
      <w:bookmarkEnd w:id="399"/>
      <w:r w:rsidRPr="002B55E9">
        <w:rPr>
          <w:rFonts w:hint="eastAsia"/>
        </w:rPr>
        <w:t>。</w:t>
      </w:r>
      <w:bookmarkEnd w:id="400"/>
    </w:p>
    <w:p w14:paraId="34A278A0" w14:textId="77777777" w:rsidR="00D170E5" w:rsidRPr="002B55E9" w:rsidRDefault="00EF27AD">
      <w:pPr>
        <w:pStyle w:val="4"/>
        <w:rPr>
          <w:color w:val="auto"/>
        </w:rPr>
      </w:pPr>
      <w:r w:rsidRPr="002B55E9">
        <w:rPr>
          <w:rFonts w:hint="eastAsia"/>
          <w:color w:val="auto"/>
        </w:rPr>
        <w:t>固体废物污染防治措施</w:t>
      </w:r>
    </w:p>
    <w:p w14:paraId="57FA70AF" w14:textId="77777777" w:rsidR="00D170E5" w:rsidRPr="002B55E9" w:rsidRDefault="00EF27AD">
      <w:pPr>
        <w:pStyle w:val="aa"/>
      </w:pPr>
      <w:bookmarkStart w:id="401" w:name="_Hlk45140576"/>
      <w:bookmarkStart w:id="402" w:name="_Hlk68689099"/>
      <w:r w:rsidRPr="002B55E9">
        <w:rPr>
          <w:rFonts w:hint="eastAsia"/>
        </w:rPr>
        <w:t>拟建项目产生的固废主要分为生活垃圾、一般固体废物、危险废物。</w:t>
      </w:r>
    </w:p>
    <w:p w14:paraId="3DC1DAA4" w14:textId="11A9DFAF" w:rsidR="00D170E5" w:rsidRPr="002B55E9" w:rsidRDefault="00EF27AD">
      <w:pPr>
        <w:pStyle w:val="affff7"/>
        <w:snapToGrid w:val="0"/>
        <w:spacing w:after="0"/>
      </w:pPr>
      <w:r w:rsidRPr="002B55E9">
        <w:rPr>
          <w:rFonts w:hint="eastAsia"/>
        </w:rPr>
        <w:t>拟建项目固废总产生量</w:t>
      </w:r>
      <w:r w:rsidR="007F5FA9" w:rsidRPr="002B55E9">
        <w:t>1161.97</w:t>
      </w:r>
      <w:r w:rsidRPr="002B55E9">
        <w:rPr>
          <w:rFonts w:hint="eastAsia"/>
        </w:rPr>
        <w:t>t/a</w:t>
      </w:r>
      <w:r w:rsidRPr="002B55E9">
        <w:rPr>
          <w:rFonts w:hint="eastAsia"/>
        </w:rPr>
        <w:t>，其中危险废物产生量约</w:t>
      </w:r>
      <w:r w:rsidRPr="002B55E9">
        <w:t>3.12</w:t>
      </w:r>
      <w:r w:rsidRPr="002B55E9">
        <w:rPr>
          <w:rFonts w:hint="eastAsia"/>
        </w:rPr>
        <w:t>t/a</w:t>
      </w:r>
      <w:r w:rsidRPr="002B55E9">
        <w:rPr>
          <w:rFonts w:hint="eastAsia"/>
        </w:rPr>
        <w:t>，一般工业固废产生量约为</w:t>
      </w:r>
      <w:r w:rsidR="007F5FA9" w:rsidRPr="002B55E9">
        <w:t>1113.97</w:t>
      </w:r>
      <w:r w:rsidRPr="002B55E9">
        <w:rPr>
          <w:rFonts w:hint="eastAsia"/>
        </w:rPr>
        <w:t>t/a</w:t>
      </w:r>
      <w:r w:rsidRPr="002B55E9">
        <w:rPr>
          <w:rFonts w:hint="eastAsia"/>
        </w:rPr>
        <w:t>，生活垃圾为</w:t>
      </w:r>
      <w:r w:rsidRPr="002B55E9">
        <w:t>44.88</w:t>
      </w:r>
      <w:r w:rsidRPr="002B55E9">
        <w:rPr>
          <w:rFonts w:hint="eastAsia"/>
        </w:rPr>
        <w:t>t/a</w:t>
      </w:r>
      <w:r w:rsidRPr="002B55E9">
        <w:rPr>
          <w:rFonts w:hint="eastAsia"/>
        </w:rPr>
        <w:t>。</w:t>
      </w:r>
      <w:r w:rsidRPr="002B55E9">
        <w:rPr>
          <w:szCs w:val="24"/>
        </w:rPr>
        <w:t>各类固废均委托相关单位进行综合利用或处置，全厂各项固废得到了资源化、减量化和无害化处置。</w:t>
      </w:r>
    </w:p>
    <w:p w14:paraId="50EDA317" w14:textId="77777777" w:rsidR="00D170E5" w:rsidRPr="002B55E9" w:rsidRDefault="00EF27AD">
      <w:pPr>
        <w:pStyle w:val="01"/>
        <w:adjustRightInd w:val="0"/>
        <w:snapToGrid w:val="0"/>
        <w:ind w:firstLine="480"/>
      </w:pPr>
      <w:r w:rsidRPr="002B55E9">
        <w:lastRenderedPageBreak/>
        <w:t>危废暂存间地面进行了防渗、防腐，危废暂存间内设有导流沟等防泄漏设施能够《危险废物贮存污染控制标准》（</w:t>
      </w:r>
      <w:r w:rsidRPr="002B55E9">
        <w:t>GB18597-2001</w:t>
      </w:r>
      <w:r w:rsidRPr="002B55E9">
        <w:t>）及其修改单要求。</w:t>
      </w:r>
    </w:p>
    <w:bookmarkEnd w:id="401"/>
    <w:bookmarkEnd w:id="402"/>
    <w:p w14:paraId="47967735" w14:textId="77777777" w:rsidR="00D170E5" w:rsidRPr="002B55E9" w:rsidRDefault="00EF27AD">
      <w:pPr>
        <w:pStyle w:val="4"/>
        <w:rPr>
          <w:color w:val="auto"/>
        </w:rPr>
      </w:pPr>
      <w:r w:rsidRPr="002B55E9">
        <w:rPr>
          <w:rFonts w:hint="eastAsia"/>
          <w:color w:val="auto"/>
        </w:rPr>
        <w:t>地下水、土壤污染防治措施</w:t>
      </w:r>
    </w:p>
    <w:p w14:paraId="7267FB86" w14:textId="77777777" w:rsidR="00D170E5" w:rsidRPr="002B55E9" w:rsidRDefault="00EF27AD">
      <w:pPr>
        <w:pStyle w:val="01"/>
        <w:ind w:firstLine="480"/>
      </w:pPr>
      <w:bookmarkStart w:id="403" w:name="_Hlk41639617"/>
      <w:bookmarkStart w:id="404" w:name="_Hlk45140588"/>
      <w:bookmarkStart w:id="405" w:name="_Hlk68689249"/>
      <w:r w:rsidRPr="002B55E9">
        <w:t>根据</w:t>
      </w:r>
      <w:r w:rsidRPr="002B55E9">
        <w:rPr>
          <w:rFonts w:hint="eastAsia"/>
        </w:rPr>
        <w:t>土壤及</w:t>
      </w:r>
      <w:r w:rsidRPr="002B55E9">
        <w:t>地下水环境影响评价结论，结合本项目工程特点，针对项目可能发生的地下水</w:t>
      </w:r>
      <w:r w:rsidRPr="002B55E9">
        <w:rPr>
          <w:rFonts w:hint="eastAsia"/>
        </w:rPr>
        <w:t>、土壤</w:t>
      </w:r>
      <w:r w:rsidRPr="002B55E9">
        <w:t>污染情况，建议拟建项目进行</w:t>
      </w:r>
      <w:r w:rsidRPr="002B55E9">
        <w:t>“</w:t>
      </w:r>
      <w:r w:rsidRPr="002B55E9">
        <w:t>可视化</w:t>
      </w:r>
      <w:r w:rsidRPr="002B55E9">
        <w:t>”</w:t>
      </w:r>
      <w:r w:rsidRPr="002B55E9">
        <w:t>处理；拟建项目以水平防渗为主，防渗设计根据项目场地</w:t>
      </w:r>
      <w:r w:rsidRPr="002B55E9">
        <w:rPr>
          <w:rFonts w:hint="eastAsia"/>
        </w:rPr>
        <w:t>土壤</w:t>
      </w:r>
      <w:r w:rsidRPr="002B55E9">
        <w:t>防污性能、污染物控制难易程度和污染物特性，对拟建项目整体采取分区防渗。在满足地下水导则的要求以及全方位监控场区地下水环境的基础上，设</w:t>
      </w:r>
      <w:r w:rsidRPr="002B55E9">
        <w:t>1</w:t>
      </w:r>
      <w:r w:rsidRPr="002B55E9">
        <w:t>个</w:t>
      </w:r>
      <w:r w:rsidRPr="002B55E9">
        <w:rPr>
          <w:rFonts w:hint="eastAsia"/>
        </w:rPr>
        <w:t>地下水监测井</w:t>
      </w:r>
      <w:r w:rsidRPr="002B55E9">
        <w:t>进行跟踪监测；认真落实日常管理和信息公开计划，制定详细的地下水污染应急响应预案。</w:t>
      </w:r>
      <w:bookmarkEnd w:id="403"/>
      <w:r w:rsidRPr="002B55E9">
        <w:rPr>
          <w:rFonts w:hint="eastAsia"/>
        </w:rPr>
        <w:t>同时生产过程中</w:t>
      </w:r>
      <w:r w:rsidRPr="002B55E9">
        <w:t>加强</w:t>
      </w:r>
      <w:r w:rsidRPr="002B55E9">
        <w:rPr>
          <w:rFonts w:hint="eastAsia"/>
        </w:rPr>
        <w:t>废水处理设施</w:t>
      </w:r>
      <w:r w:rsidRPr="002B55E9">
        <w:t>管理，确保</w:t>
      </w:r>
      <w:r w:rsidRPr="002B55E9">
        <w:rPr>
          <w:rFonts w:hint="eastAsia"/>
        </w:rPr>
        <w:t>废水处置区</w:t>
      </w:r>
      <w:r w:rsidRPr="002B55E9">
        <w:t>地面防渗层完好，定期巡视</w:t>
      </w:r>
      <w:r w:rsidRPr="002B55E9">
        <w:rPr>
          <w:rFonts w:hint="eastAsia"/>
        </w:rPr>
        <w:t>废水处理</w:t>
      </w:r>
      <w:r w:rsidRPr="002B55E9">
        <w:t>设施，防止出现跑冒滴漏情况。在实施严格的防渗措施及管理情况下，尽可能减少事故情况发生，</w:t>
      </w:r>
      <w:r w:rsidRPr="002B55E9">
        <w:rPr>
          <w:rFonts w:hint="eastAsia"/>
        </w:rPr>
        <w:t>项目生产车间</w:t>
      </w:r>
      <w:r w:rsidRPr="002B55E9">
        <w:t>对</w:t>
      </w:r>
      <w:r w:rsidRPr="002B55E9">
        <w:rPr>
          <w:rFonts w:hint="eastAsia"/>
        </w:rPr>
        <w:t>地下水、</w:t>
      </w:r>
      <w:r w:rsidRPr="002B55E9">
        <w:t>土壤的环境影响可控</w:t>
      </w:r>
      <w:bookmarkEnd w:id="404"/>
      <w:r w:rsidRPr="002B55E9">
        <w:t>。</w:t>
      </w:r>
      <w:bookmarkEnd w:id="405"/>
    </w:p>
    <w:p w14:paraId="1A294AA1" w14:textId="77777777" w:rsidR="00D170E5" w:rsidRPr="002B55E9" w:rsidRDefault="00EF27AD">
      <w:pPr>
        <w:pStyle w:val="3"/>
      </w:pPr>
      <w:bookmarkStart w:id="406" w:name="_Toc68861198"/>
      <w:bookmarkStart w:id="407" w:name="_Toc119309045"/>
      <w:r w:rsidRPr="002B55E9">
        <w:rPr>
          <w:rFonts w:hint="eastAsia"/>
        </w:rPr>
        <w:t>环境影响预测</w:t>
      </w:r>
      <w:bookmarkEnd w:id="406"/>
      <w:bookmarkEnd w:id="407"/>
    </w:p>
    <w:p w14:paraId="3D20BB36" w14:textId="77777777" w:rsidR="00D170E5" w:rsidRPr="002B55E9" w:rsidRDefault="00EF27AD">
      <w:pPr>
        <w:pStyle w:val="4"/>
        <w:rPr>
          <w:color w:val="auto"/>
        </w:rPr>
      </w:pPr>
      <w:r w:rsidRPr="002B55E9">
        <w:rPr>
          <w:color w:val="auto"/>
        </w:rPr>
        <w:t>大气环境影响预测</w:t>
      </w:r>
      <w:r w:rsidRPr="002B55E9">
        <w:rPr>
          <w:rFonts w:hint="eastAsia"/>
          <w:color w:val="auto"/>
        </w:rPr>
        <w:t>分析</w:t>
      </w:r>
    </w:p>
    <w:p w14:paraId="2BBACD5A" w14:textId="6EDA99A5" w:rsidR="00D170E5" w:rsidRPr="002B55E9" w:rsidRDefault="00EF27AD">
      <w:pPr>
        <w:pStyle w:val="affff7"/>
        <w:snapToGrid w:val="0"/>
        <w:spacing w:after="0"/>
      </w:pPr>
      <w:bookmarkStart w:id="408" w:name="_Hlk81409654"/>
      <w:r w:rsidRPr="002B55E9">
        <w:t>本项目</w:t>
      </w:r>
      <w:r w:rsidRPr="002B55E9">
        <w:rPr>
          <w:rFonts w:hint="eastAsia"/>
        </w:rPr>
        <w:t>DA001</w:t>
      </w:r>
      <w:r w:rsidRPr="002B55E9">
        <w:rPr>
          <w:rFonts w:hint="eastAsia"/>
        </w:rPr>
        <w:t>排放</w:t>
      </w:r>
      <w:r w:rsidRPr="002B55E9">
        <w:t>的</w:t>
      </w:r>
      <w:r w:rsidRPr="002B55E9">
        <w:rPr>
          <w:rFonts w:hint="eastAsia"/>
        </w:rPr>
        <w:t>颗粒物</w:t>
      </w:r>
      <w:r w:rsidRPr="002B55E9">
        <w:t>能满足《</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）中</w:t>
      </w:r>
      <w:r w:rsidRPr="002B55E9">
        <w:t>的</w:t>
      </w:r>
      <w:r w:rsidRPr="002B55E9">
        <w:rPr>
          <w:rFonts w:hint="eastAsia"/>
        </w:rPr>
        <w:t>限值</w:t>
      </w:r>
      <w:r w:rsidRPr="002B55E9">
        <w:t>要求</w:t>
      </w:r>
      <w:r w:rsidRPr="002B55E9">
        <w:rPr>
          <w:rFonts w:hint="eastAsia"/>
        </w:rPr>
        <w:t>，</w:t>
      </w:r>
      <w:r w:rsidRPr="002B55E9">
        <w:rPr>
          <w:rFonts w:hint="eastAsia"/>
        </w:rPr>
        <w:t>D</w:t>
      </w:r>
      <w:r w:rsidRPr="002B55E9">
        <w:t>A</w:t>
      </w:r>
      <w:r w:rsidRPr="002B55E9">
        <w:rPr>
          <w:rFonts w:hint="eastAsia"/>
        </w:rPr>
        <w:t>0</w:t>
      </w:r>
      <w:r w:rsidRPr="002B55E9">
        <w:t>02</w:t>
      </w:r>
      <w:r w:rsidRPr="002B55E9">
        <w:rPr>
          <w:rFonts w:hint="eastAsia"/>
        </w:rPr>
        <w:t>、</w:t>
      </w:r>
      <w:r w:rsidRPr="002B55E9">
        <w:rPr>
          <w:rFonts w:hint="eastAsia"/>
        </w:rPr>
        <w:t>DA003</w:t>
      </w:r>
      <w:r w:rsidRPr="002B55E9">
        <w:rPr>
          <w:rFonts w:hint="eastAsia"/>
        </w:rPr>
        <w:t>排放</w:t>
      </w:r>
      <w:r w:rsidRPr="002B55E9">
        <w:t>的</w:t>
      </w:r>
      <w:r w:rsidR="00924AFA" w:rsidRPr="002B55E9">
        <w:rPr>
          <w:rFonts w:hint="eastAsia"/>
        </w:rPr>
        <w:t>非甲烷总烃</w:t>
      </w:r>
      <w:r w:rsidRPr="002B55E9">
        <w:rPr>
          <w:rFonts w:hint="eastAsia"/>
        </w:rPr>
        <w:t>能</w:t>
      </w:r>
      <w:r w:rsidRPr="002B55E9">
        <w:t>满足</w:t>
      </w:r>
      <w:r w:rsidRPr="002B55E9">
        <w:rPr>
          <w:rFonts w:hint="eastAsia"/>
        </w:rPr>
        <w:t>《市人民政府关于印发武汉市</w:t>
      </w:r>
      <w:r w:rsidRPr="002B55E9">
        <w:rPr>
          <w:rFonts w:hint="eastAsia"/>
        </w:rPr>
        <w:t>2022</w:t>
      </w:r>
      <w:r w:rsidRPr="002B55E9">
        <w:rPr>
          <w:rFonts w:hint="eastAsia"/>
        </w:rPr>
        <w:t>年改善空气质量攻坚方案的通知》（武政规</w:t>
      </w:r>
      <w:r w:rsidRPr="002B55E9">
        <w:rPr>
          <w:rFonts w:hint="eastAsia"/>
        </w:rPr>
        <w:t>[2022]10</w:t>
      </w:r>
      <w:r w:rsidRPr="002B55E9">
        <w:rPr>
          <w:rFonts w:hint="eastAsia"/>
        </w:rPr>
        <w:t>号）中限值要求，</w:t>
      </w:r>
      <w:r w:rsidR="003326B8" w:rsidRPr="002B55E9">
        <w:rPr>
          <w:rFonts w:hint="eastAsia"/>
        </w:rPr>
        <w:t>DA00</w:t>
      </w:r>
      <w:r w:rsidR="003326B8" w:rsidRPr="002B55E9">
        <w:t>2</w:t>
      </w:r>
      <w:r w:rsidR="003326B8" w:rsidRPr="002B55E9">
        <w:rPr>
          <w:rFonts w:hint="eastAsia"/>
        </w:rPr>
        <w:t>排放</w:t>
      </w:r>
      <w:r w:rsidR="003326B8" w:rsidRPr="002B55E9">
        <w:t>的</w:t>
      </w:r>
      <w:r w:rsidR="003326B8" w:rsidRPr="002B55E9">
        <w:rPr>
          <w:rFonts w:hint="eastAsia"/>
        </w:rPr>
        <w:t>臭气浓度满足《恶臭污染物排放标准》（</w:t>
      </w:r>
      <w:r w:rsidR="003326B8" w:rsidRPr="002B55E9">
        <w:rPr>
          <w:rFonts w:hint="eastAsia"/>
        </w:rPr>
        <w:t>GB14554-93</w:t>
      </w:r>
      <w:r w:rsidR="003326B8" w:rsidRPr="002B55E9">
        <w:rPr>
          <w:rFonts w:hint="eastAsia"/>
        </w:rPr>
        <w:t>）表</w:t>
      </w:r>
      <w:r w:rsidR="003326B8" w:rsidRPr="002B55E9">
        <w:rPr>
          <w:rFonts w:hint="eastAsia"/>
        </w:rPr>
        <w:t>2</w:t>
      </w:r>
      <w:r w:rsidR="003326B8" w:rsidRPr="002B55E9">
        <w:rPr>
          <w:rFonts w:hint="eastAsia"/>
        </w:rPr>
        <w:t>中限值要求，</w:t>
      </w:r>
      <w:r w:rsidRPr="002B55E9">
        <w:rPr>
          <w:rFonts w:hint="eastAsia"/>
        </w:rPr>
        <w:t>DA003</w:t>
      </w:r>
      <w:r w:rsidRPr="002B55E9">
        <w:rPr>
          <w:rFonts w:hint="eastAsia"/>
        </w:rPr>
        <w:t>中</w:t>
      </w:r>
      <w:r w:rsidRPr="002B55E9">
        <w:t>的甲醛、氯化氢、</w:t>
      </w:r>
      <w:r w:rsidRPr="002B55E9">
        <w:rPr>
          <w:rFonts w:hint="eastAsia"/>
        </w:rPr>
        <w:t>硫酸雾</w:t>
      </w:r>
      <w:r w:rsidRPr="002B55E9">
        <w:t>等</w:t>
      </w:r>
      <w:r w:rsidRPr="002B55E9">
        <w:rPr>
          <w:rFonts w:hint="eastAsia"/>
        </w:rPr>
        <w:t>污染物</w:t>
      </w:r>
      <w:r w:rsidRPr="002B55E9">
        <w:t>均能满足《</w:t>
      </w:r>
      <w:r w:rsidRPr="002B55E9">
        <w:rPr>
          <w:rFonts w:hint="eastAsia"/>
        </w:rPr>
        <w:t>大气</w:t>
      </w:r>
      <w:r w:rsidRPr="002B55E9">
        <w:t>污染物综合排放标准》</w:t>
      </w:r>
      <w:r w:rsidRPr="002B55E9">
        <w:rPr>
          <w:rFonts w:hint="eastAsia"/>
        </w:rPr>
        <w:t>（</w:t>
      </w:r>
      <w:r w:rsidRPr="002B55E9">
        <w:rPr>
          <w:rFonts w:hint="eastAsia"/>
        </w:rPr>
        <w:t>GB16297</w:t>
      </w:r>
      <w:r w:rsidRPr="002B55E9">
        <w:t>-1996</w:t>
      </w:r>
      <w:r w:rsidRPr="002B55E9">
        <w:rPr>
          <w:rFonts w:hint="eastAsia"/>
        </w:rPr>
        <w:t>）中</w:t>
      </w:r>
      <w:r w:rsidRPr="002B55E9">
        <w:t>的</w:t>
      </w:r>
      <w:r w:rsidRPr="002B55E9">
        <w:rPr>
          <w:rFonts w:hint="eastAsia"/>
        </w:rPr>
        <w:t>限值</w:t>
      </w:r>
      <w:r w:rsidRPr="002B55E9">
        <w:t>要求。</w:t>
      </w:r>
    </w:p>
    <w:p w14:paraId="3864BB28" w14:textId="77777777" w:rsidR="00D170E5" w:rsidRPr="002B55E9" w:rsidRDefault="00EF27AD">
      <w:pPr>
        <w:pStyle w:val="affff7"/>
        <w:rPr>
          <w:szCs w:val="24"/>
        </w:rPr>
      </w:pPr>
      <w:r w:rsidRPr="002B55E9">
        <w:rPr>
          <w:rFonts w:hAnsi="宋体" w:hint="eastAsia"/>
        </w:rPr>
        <w:t>经</w:t>
      </w:r>
      <w:r w:rsidRPr="002B55E9">
        <w:rPr>
          <w:rFonts w:hAnsi="宋体"/>
        </w:rPr>
        <w:t>预测</w:t>
      </w:r>
      <w:r w:rsidRPr="002B55E9">
        <w:rPr>
          <w:rFonts w:hAnsi="宋体" w:hint="eastAsia"/>
        </w:rPr>
        <w:t>本项目污染源正常排放下污染物最大落地浓度占标率小于</w:t>
      </w:r>
      <w:r w:rsidRPr="002B55E9">
        <w:rPr>
          <w:rFonts w:hAnsi="宋体" w:hint="eastAsia"/>
        </w:rPr>
        <w:t>10%</w:t>
      </w:r>
      <w:r w:rsidRPr="002B55E9">
        <w:rPr>
          <w:rFonts w:hAnsi="宋体" w:hint="eastAsia"/>
        </w:rPr>
        <w:t>，污染物最大落地浓度远小于《大气污染物综合排放标准》（</w:t>
      </w:r>
      <w:r w:rsidRPr="002B55E9">
        <w:rPr>
          <w:rFonts w:hAnsi="宋体" w:hint="eastAsia"/>
        </w:rPr>
        <w:t>GB16297-1996</w:t>
      </w:r>
      <w:r w:rsidRPr="002B55E9">
        <w:rPr>
          <w:rFonts w:hAnsi="宋体" w:hint="eastAsia"/>
        </w:rPr>
        <w:t>）表</w:t>
      </w:r>
      <w:r w:rsidRPr="002B55E9">
        <w:rPr>
          <w:rFonts w:hAnsi="宋体" w:hint="eastAsia"/>
        </w:rPr>
        <w:t>2</w:t>
      </w:r>
      <w:r w:rsidRPr="002B55E9">
        <w:rPr>
          <w:rFonts w:hAnsi="宋体" w:hint="eastAsia"/>
        </w:rPr>
        <w:t>中无组织排放厂界外浓度限值要求，故项目污染物厂界浓度也小于《大气污染物综合排放标准》（</w:t>
      </w:r>
      <w:r w:rsidRPr="002B55E9">
        <w:rPr>
          <w:rFonts w:hAnsi="宋体" w:hint="eastAsia"/>
        </w:rPr>
        <w:t>GB16297-1996</w:t>
      </w:r>
      <w:r w:rsidRPr="002B55E9">
        <w:rPr>
          <w:rFonts w:hAnsi="宋体" w:hint="eastAsia"/>
        </w:rPr>
        <w:t>）表</w:t>
      </w:r>
      <w:r w:rsidRPr="002B55E9">
        <w:rPr>
          <w:rFonts w:hAnsi="宋体" w:hint="eastAsia"/>
        </w:rPr>
        <w:t>2</w:t>
      </w:r>
      <w:r w:rsidRPr="002B55E9">
        <w:rPr>
          <w:rFonts w:hAnsi="宋体" w:hint="eastAsia"/>
        </w:rPr>
        <w:t>中无组织排放周界外浓度最高点限值要求，对周边环境影响较小</w:t>
      </w:r>
      <w:r w:rsidRPr="002B55E9">
        <w:rPr>
          <w:rFonts w:hint="eastAsia"/>
        </w:rPr>
        <w:t>。</w:t>
      </w:r>
      <w:bookmarkEnd w:id="408"/>
    </w:p>
    <w:p w14:paraId="0B6CAF9F" w14:textId="77777777" w:rsidR="00D170E5" w:rsidRPr="002B55E9" w:rsidRDefault="00EF27AD">
      <w:pPr>
        <w:pStyle w:val="4"/>
        <w:rPr>
          <w:color w:val="auto"/>
        </w:rPr>
      </w:pPr>
      <w:r w:rsidRPr="002B55E9">
        <w:rPr>
          <w:color w:val="auto"/>
        </w:rPr>
        <w:t>地表水</w:t>
      </w:r>
      <w:r w:rsidRPr="002B55E9">
        <w:rPr>
          <w:rFonts w:hint="eastAsia"/>
          <w:color w:val="auto"/>
        </w:rPr>
        <w:t>环境影响分析</w:t>
      </w:r>
    </w:p>
    <w:p w14:paraId="639A222E" w14:textId="77777777" w:rsidR="00D170E5" w:rsidRPr="002B55E9" w:rsidRDefault="00EF27AD">
      <w:pPr>
        <w:pStyle w:val="affff7"/>
      </w:pPr>
      <w:r w:rsidRPr="002B55E9">
        <w:rPr>
          <w:rFonts w:hint="eastAsia"/>
        </w:rPr>
        <w:t>拟建项目生活污水</w:t>
      </w:r>
      <w:r w:rsidRPr="002B55E9">
        <w:t>及生产废水</w:t>
      </w:r>
      <w:r w:rsidRPr="002B55E9">
        <w:rPr>
          <w:rFonts w:hint="eastAsia"/>
        </w:rPr>
        <w:t>依托</w:t>
      </w:r>
      <w:r w:rsidRPr="002B55E9">
        <w:t>佛山市海天（</w:t>
      </w:r>
      <w:r w:rsidRPr="002B55E9">
        <w:rPr>
          <w:rFonts w:hint="eastAsia"/>
        </w:rPr>
        <w:t>武汉</w:t>
      </w:r>
      <w:r w:rsidRPr="002B55E9">
        <w:t>）</w:t>
      </w:r>
      <w:r w:rsidRPr="002B55E9">
        <w:rPr>
          <w:rFonts w:hint="eastAsia"/>
        </w:rPr>
        <w:t>调味食品</w:t>
      </w:r>
      <w:r w:rsidRPr="002B55E9">
        <w:t>有限公司污水处理站处理后汇同蒸汽冷凝水</w:t>
      </w:r>
      <w:r w:rsidRPr="002B55E9">
        <w:rPr>
          <w:rFonts w:hint="eastAsia"/>
        </w:rPr>
        <w:t>由污水总排口（</w:t>
      </w:r>
      <w:r w:rsidRPr="002B55E9">
        <w:rPr>
          <w:rFonts w:hint="eastAsia"/>
        </w:rPr>
        <w:t>DW001</w:t>
      </w:r>
      <w:r w:rsidRPr="002B55E9">
        <w:rPr>
          <w:rFonts w:hint="eastAsia"/>
        </w:rPr>
        <w:t>）排入市政污水管网，</w:t>
      </w:r>
      <w:r w:rsidRPr="002B55E9">
        <w:t>污水排放浓度能</w:t>
      </w:r>
      <w:r w:rsidRPr="002B55E9">
        <w:rPr>
          <w:rFonts w:hint="eastAsia"/>
          <w:szCs w:val="24"/>
        </w:rPr>
        <w:t>满足《污水综合排放标准》（</w:t>
      </w:r>
      <w:r w:rsidRPr="002B55E9">
        <w:rPr>
          <w:rFonts w:hint="eastAsia"/>
          <w:szCs w:val="24"/>
        </w:rPr>
        <w:t>GB8978-1996</w:t>
      </w:r>
      <w:r w:rsidRPr="002B55E9">
        <w:rPr>
          <w:rFonts w:hint="eastAsia"/>
          <w:szCs w:val="24"/>
        </w:rPr>
        <w:t>）中三级标准以及东西湖区污水处理厂纳管要求</w:t>
      </w:r>
      <w:r w:rsidRPr="002B55E9">
        <w:rPr>
          <w:szCs w:val="24"/>
        </w:rPr>
        <w:t>。污水</w:t>
      </w:r>
      <w:r w:rsidRPr="002B55E9">
        <w:rPr>
          <w:rFonts w:hint="eastAsia"/>
          <w:szCs w:val="24"/>
        </w:rPr>
        <w:t>经</w:t>
      </w:r>
      <w:r w:rsidRPr="002B55E9">
        <w:rPr>
          <w:szCs w:val="24"/>
        </w:rPr>
        <w:t>市政污</w:t>
      </w:r>
      <w:r w:rsidRPr="002B55E9">
        <w:rPr>
          <w:rFonts w:hint="eastAsia"/>
        </w:rPr>
        <w:t>水管网排入东西湖污水处理厂进行后续处理，本项目废水从管网衔接、水量、水质上进入东西湖污水处理厂具有可行性。综上所述，地表水环境影响可接受</w:t>
      </w:r>
      <w:r w:rsidRPr="002B55E9">
        <w:rPr>
          <w:rFonts w:hint="eastAsia"/>
          <w:szCs w:val="24"/>
        </w:rPr>
        <w:t>。</w:t>
      </w:r>
    </w:p>
    <w:p w14:paraId="2B1E1A20" w14:textId="77777777" w:rsidR="00D170E5" w:rsidRPr="002B55E9" w:rsidRDefault="00EF27AD">
      <w:pPr>
        <w:pStyle w:val="4"/>
        <w:rPr>
          <w:color w:val="auto"/>
        </w:rPr>
      </w:pPr>
      <w:r w:rsidRPr="002B55E9">
        <w:rPr>
          <w:color w:val="auto"/>
        </w:rPr>
        <w:t>声环境影响</w:t>
      </w:r>
      <w:r w:rsidRPr="002B55E9">
        <w:rPr>
          <w:rFonts w:hint="eastAsia"/>
          <w:color w:val="auto"/>
        </w:rPr>
        <w:t>预测与评价</w:t>
      </w:r>
    </w:p>
    <w:p w14:paraId="3CDD082E" w14:textId="77777777" w:rsidR="00D170E5" w:rsidRPr="002B55E9" w:rsidRDefault="00EF27AD">
      <w:pPr>
        <w:pStyle w:val="affff7"/>
        <w:rPr>
          <w:szCs w:val="24"/>
        </w:rPr>
      </w:pPr>
      <w:bookmarkStart w:id="409" w:name="_Hlk45140495"/>
      <w:bookmarkStart w:id="410" w:name="_Hlk81411072"/>
      <w:bookmarkStart w:id="411" w:name="_Hlk81411178"/>
      <w:bookmarkStart w:id="412" w:name="_Hlk68688994"/>
      <w:r w:rsidRPr="002B55E9">
        <w:lastRenderedPageBreak/>
        <w:t>在采取隔声降噪措施的情况下，厂界噪声</w:t>
      </w:r>
      <w:r w:rsidRPr="002B55E9">
        <w:rPr>
          <w:rFonts w:hint="eastAsia"/>
        </w:rPr>
        <w:t>昼间及夜间均</w:t>
      </w:r>
      <w:r w:rsidRPr="002B55E9">
        <w:t>可满足《工业企业厂界环境噪声排放标准》</w:t>
      </w:r>
      <w:r w:rsidRPr="002B55E9">
        <w:rPr>
          <w:rFonts w:hint="eastAsia"/>
        </w:rPr>
        <w:t>（</w:t>
      </w:r>
      <w:r w:rsidRPr="002B55E9">
        <w:t>GB12348-2008</w:t>
      </w:r>
      <w:r w:rsidRPr="002B55E9">
        <w:rPr>
          <w:rFonts w:hint="eastAsia"/>
        </w:rPr>
        <w:t>）</w:t>
      </w:r>
      <w:r w:rsidRPr="002B55E9">
        <w:rPr>
          <w:rFonts w:hint="eastAsia"/>
        </w:rPr>
        <w:t>2</w:t>
      </w:r>
      <w:r w:rsidRPr="002B55E9">
        <w:t>类</w:t>
      </w:r>
      <w:r w:rsidRPr="002B55E9">
        <w:rPr>
          <w:rFonts w:hint="eastAsia"/>
        </w:rPr>
        <w:t>、</w:t>
      </w:r>
      <w:r w:rsidRPr="002B55E9">
        <w:rPr>
          <w:rFonts w:hint="eastAsia"/>
        </w:rPr>
        <w:t>4</w:t>
      </w:r>
      <w:r w:rsidRPr="002B55E9">
        <w:rPr>
          <w:rFonts w:hint="eastAsia"/>
        </w:rPr>
        <w:t>类</w:t>
      </w:r>
      <w:r w:rsidRPr="002B55E9">
        <w:t>标准的要求</w:t>
      </w:r>
      <w:r w:rsidRPr="002B55E9">
        <w:rPr>
          <w:rFonts w:hint="eastAsia"/>
        </w:rPr>
        <w:t>。</w:t>
      </w:r>
      <w:bookmarkEnd w:id="409"/>
      <w:bookmarkEnd w:id="410"/>
      <w:bookmarkEnd w:id="411"/>
    </w:p>
    <w:bookmarkEnd w:id="412"/>
    <w:p w14:paraId="068F9C4A" w14:textId="77777777" w:rsidR="00D170E5" w:rsidRPr="002B55E9" w:rsidRDefault="00EF27AD">
      <w:pPr>
        <w:pStyle w:val="4"/>
        <w:rPr>
          <w:color w:val="auto"/>
        </w:rPr>
      </w:pPr>
      <w:r w:rsidRPr="002B55E9">
        <w:rPr>
          <w:rFonts w:hint="eastAsia"/>
          <w:color w:val="auto"/>
        </w:rPr>
        <w:t>固体废物环境</w:t>
      </w:r>
      <w:r w:rsidRPr="002B55E9">
        <w:rPr>
          <w:color w:val="auto"/>
        </w:rPr>
        <w:t>影响分析</w:t>
      </w:r>
    </w:p>
    <w:p w14:paraId="4E6B729D" w14:textId="1B284E42" w:rsidR="00D170E5" w:rsidRPr="002B55E9" w:rsidRDefault="00EF27AD">
      <w:pPr>
        <w:pStyle w:val="affff7"/>
        <w:snapToGrid w:val="0"/>
        <w:spacing w:after="0"/>
      </w:pPr>
      <w:r w:rsidRPr="002B55E9">
        <w:rPr>
          <w:rFonts w:hint="eastAsia"/>
        </w:rPr>
        <w:t>拟建项目固废总产生量</w:t>
      </w:r>
      <w:r w:rsidR="007F5FA9" w:rsidRPr="002B55E9">
        <w:t>1161.97</w:t>
      </w:r>
      <w:r w:rsidRPr="002B55E9">
        <w:rPr>
          <w:rFonts w:hint="eastAsia"/>
        </w:rPr>
        <w:t>t/a</w:t>
      </w:r>
      <w:r w:rsidRPr="002B55E9">
        <w:rPr>
          <w:rFonts w:hint="eastAsia"/>
        </w:rPr>
        <w:t>，其中危险废物产生量约</w:t>
      </w:r>
      <w:r w:rsidRPr="002B55E9">
        <w:t>3.12</w:t>
      </w:r>
      <w:r w:rsidRPr="002B55E9">
        <w:rPr>
          <w:rFonts w:hint="eastAsia"/>
        </w:rPr>
        <w:t>t/a</w:t>
      </w:r>
      <w:r w:rsidRPr="002B55E9">
        <w:rPr>
          <w:rFonts w:hint="eastAsia"/>
        </w:rPr>
        <w:t>，一般工业固废产生量约为</w:t>
      </w:r>
      <w:r w:rsidR="007F5FA9" w:rsidRPr="002B55E9">
        <w:t>1113.97</w:t>
      </w:r>
      <w:r w:rsidRPr="002B55E9">
        <w:rPr>
          <w:rFonts w:hint="eastAsia"/>
        </w:rPr>
        <w:t>t/a</w:t>
      </w:r>
      <w:r w:rsidRPr="002B55E9">
        <w:rPr>
          <w:rFonts w:hint="eastAsia"/>
        </w:rPr>
        <w:t>，生活垃圾为</w:t>
      </w:r>
      <w:r w:rsidRPr="002B55E9">
        <w:t>44.88</w:t>
      </w:r>
      <w:r w:rsidRPr="002B55E9">
        <w:rPr>
          <w:rFonts w:hint="eastAsia"/>
        </w:rPr>
        <w:t>t/a</w:t>
      </w:r>
      <w:r w:rsidRPr="002B55E9">
        <w:rPr>
          <w:rFonts w:hint="eastAsia"/>
        </w:rPr>
        <w:t>。</w:t>
      </w:r>
      <w:r w:rsidRPr="002B55E9">
        <w:rPr>
          <w:szCs w:val="24"/>
        </w:rPr>
        <w:t>各类固废均委托相关单位进行综合利用或处置，全厂各项固废得到了资源化、减量化和无害化处置。</w:t>
      </w:r>
    </w:p>
    <w:p w14:paraId="0B18BF90" w14:textId="77777777" w:rsidR="00D170E5" w:rsidRPr="002B55E9" w:rsidRDefault="00EF27AD">
      <w:pPr>
        <w:pStyle w:val="4"/>
        <w:rPr>
          <w:color w:val="auto"/>
        </w:rPr>
      </w:pPr>
      <w:r w:rsidRPr="002B55E9">
        <w:rPr>
          <w:rFonts w:hint="eastAsia"/>
          <w:color w:val="auto"/>
        </w:rPr>
        <w:t>地下水环境影响预测分析</w:t>
      </w:r>
    </w:p>
    <w:p w14:paraId="4F79B893" w14:textId="77777777" w:rsidR="00D170E5" w:rsidRPr="002B55E9" w:rsidRDefault="00EF27AD">
      <w:pPr>
        <w:snapToGrid w:val="0"/>
        <w:spacing w:line="360" w:lineRule="auto"/>
        <w:ind w:firstLineChars="200" w:firstLine="480"/>
        <w:rPr>
          <w:sz w:val="24"/>
        </w:rPr>
      </w:pPr>
      <w:bookmarkStart w:id="413" w:name="_Hlk81411097"/>
      <w:r w:rsidRPr="002B55E9">
        <w:rPr>
          <w:rFonts w:hint="eastAsia"/>
          <w:sz w:val="24"/>
        </w:rPr>
        <w:t>厂区</w:t>
      </w:r>
      <w:r w:rsidRPr="002B55E9">
        <w:rPr>
          <w:sz w:val="24"/>
        </w:rPr>
        <w:t>内</w:t>
      </w:r>
      <w:r w:rsidRPr="002B55E9">
        <w:rPr>
          <w:rFonts w:hint="eastAsia"/>
          <w:sz w:val="24"/>
        </w:rPr>
        <w:t>污水管道发生开裂等非正常工况时，废水将会发生渗漏，从而污染地下水。根据污水产生浓度和主要污染因子，为使预测风险最大化，只对非正常工况及事故工况进行评价。</w:t>
      </w:r>
    </w:p>
    <w:p w14:paraId="0BAAC143" w14:textId="77777777" w:rsidR="00D170E5" w:rsidRPr="002B55E9" w:rsidRDefault="00EF27AD">
      <w:pPr>
        <w:snapToGrid w:val="0"/>
        <w:spacing w:line="360" w:lineRule="auto"/>
        <w:ind w:firstLineChars="200" w:firstLine="480"/>
        <w:rPr>
          <w:sz w:val="24"/>
        </w:rPr>
      </w:pPr>
      <w:r w:rsidRPr="002B55E9">
        <w:rPr>
          <w:rFonts w:hint="eastAsia"/>
          <w:sz w:val="24"/>
        </w:rPr>
        <w:t>非正常状况下，在项目服务年限内，污染物影响距离随时间增加而增大，超标污染晕影响范围及迁移距离随时间增加而增加，最大超标污染晕迁移距离为</w:t>
      </w:r>
      <w:r w:rsidRPr="002B55E9">
        <w:rPr>
          <w:sz w:val="24"/>
        </w:rPr>
        <w:t>119</w:t>
      </w:r>
      <w:r w:rsidRPr="002B55E9">
        <w:rPr>
          <w:rFonts w:hint="eastAsia"/>
          <w:sz w:val="24"/>
        </w:rPr>
        <w:t>m</w:t>
      </w:r>
      <w:r w:rsidRPr="002B55E9">
        <w:rPr>
          <w:rFonts w:hint="eastAsia"/>
          <w:sz w:val="24"/>
        </w:rPr>
        <w:t>；事故情景下，污染物浓度随时间增加而减小，超标污染晕影响范围及迁移距离随时间增加而增加，最大影响范围为</w:t>
      </w:r>
      <w:r w:rsidRPr="002B55E9">
        <w:rPr>
          <w:rFonts w:hint="eastAsia"/>
          <w:sz w:val="24"/>
        </w:rPr>
        <w:t>169m</w:t>
      </w:r>
      <w:r w:rsidRPr="002B55E9">
        <w:rPr>
          <w:rFonts w:hint="eastAsia"/>
          <w:sz w:val="24"/>
        </w:rPr>
        <w:t>。</w:t>
      </w:r>
    </w:p>
    <w:p w14:paraId="30C4E35C" w14:textId="77777777" w:rsidR="00D170E5" w:rsidRPr="002B55E9" w:rsidRDefault="00EF27AD">
      <w:pPr>
        <w:snapToGrid w:val="0"/>
        <w:spacing w:line="360" w:lineRule="auto"/>
        <w:ind w:firstLineChars="200" w:firstLine="480"/>
        <w:rPr>
          <w:sz w:val="24"/>
        </w:rPr>
      </w:pPr>
      <w:r w:rsidRPr="002B55E9">
        <w:rPr>
          <w:rFonts w:hint="eastAsia"/>
          <w:sz w:val="24"/>
        </w:rPr>
        <w:t>事故情景下，污染物浓度随时间增加而减小，超标污染晕影响范围及迁移距离随时间增加而增加，污水管道</w:t>
      </w:r>
      <w:r w:rsidRPr="002B55E9">
        <w:rPr>
          <w:sz w:val="24"/>
        </w:rPr>
        <w:t>破损</w:t>
      </w:r>
      <w:r w:rsidRPr="002B55E9">
        <w:rPr>
          <w:rFonts w:hint="eastAsia"/>
          <w:sz w:val="24"/>
        </w:rPr>
        <w:t>发生泄漏将会对地下水造成污染。企业应加强管理与监控措施，防止泄漏等非正常排放的发生，降低地下水污染的风险。</w:t>
      </w:r>
    </w:p>
    <w:bookmarkEnd w:id="413"/>
    <w:p w14:paraId="0C5306DC" w14:textId="77777777" w:rsidR="00D170E5" w:rsidRPr="002B55E9" w:rsidRDefault="00EF27AD">
      <w:pPr>
        <w:pStyle w:val="4"/>
        <w:rPr>
          <w:color w:val="auto"/>
        </w:rPr>
      </w:pPr>
      <w:r w:rsidRPr="002B55E9">
        <w:rPr>
          <w:rFonts w:hint="eastAsia"/>
          <w:color w:val="auto"/>
        </w:rPr>
        <w:t>土壤环境影响预测分析</w:t>
      </w:r>
    </w:p>
    <w:p w14:paraId="683ACF81" w14:textId="77777777" w:rsidR="00D170E5" w:rsidRPr="002B55E9" w:rsidRDefault="00EF27AD">
      <w:pPr>
        <w:pStyle w:val="affff7"/>
        <w:adjustRightInd w:val="0"/>
        <w:snapToGrid w:val="0"/>
        <w:spacing w:after="0"/>
        <w:rPr>
          <w:szCs w:val="24"/>
        </w:rPr>
      </w:pPr>
      <w:bookmarkStart w:id="414" w:name="_Hlk81411110"/>
      <w:r w:rsidRPr="002B55E9">
        <w:rPr>
          <w:rFonts w:hint="eastAsia"/>
        </w:rPr>
        <w:t>根据《环境影响评价技术导则</w:t>
      </w:r>
      <w:r w:rsidRPr="002B55E9">
        <w:rPr>
          <w:rFonts w:hint="eastAsia"/>
        </w:rPr>
        <w:t xml:space="preserve"> </w:t>
      </w:r>
      <w:r w:rsidRPr="002B55E9">
        <w:rPr>
          <w:rFonts w:hint="eastAsia"/>
        </w:rPr>
        <w:t>土壤环境（试行）》（</w:t>
      </w:r>
      <w:r w:rsidRPr="002B55E9">
        <w:rPr>
          <w:rFonts w:hint="eastAsia"/>
        </w:rPr>
        <w:t>HJ964-2018</w:t>
      </w:r>
      <w:r w:rsidRPr="002B55E9">
        <w:rPr>
          <w:rFonts w:hint="eastAsia"/>
        </w:rPr>
        <w:t>）附录</w:t>
      </w:r>
      <w:r w:rsidRPr="002B55E9">
        <w:rPr>
          <w:rFonts w:hint="eastAsia"/>
        </w:rPr>
        <w:t>A</w:t>
      </w:r>
      <w:r w:rsidRPr="002B55E9">
        <w:rPr>
          <w:rFonts w:hint="eastAsia"/>
        </w:rPr>
        <w:t>，拟建</w:t>
      </w:r>
      <w:r w:rsidRPr="002B55E9">
        <w:t>项目</w:t>
      </w:r>
      <w:r w:rsidRPr="002B55E9">
        <w:rPr>
          <w:rFonts w:hint="eastAsia"/>
        </w:rPr>
        <w:t>为</w:t>
      </w:r>
      <w:r w:rsidRPr="002B55E9">
        <w:rPr>
          <w:rFonts w:ascii="宋体" w:hAnsi="宋体" w:hint="eastAsia"/>
        </w:rPr>
        <w:t>Ⅳ</w:t>
      </w:r>
      <w:r w:rsidRPr="002B55E9">
        <w:t>类建设项目</w:t>
      </w:r>
      <w:r w:rsidRPr="002B55E9">
        <w:rPr>
          <w:rFonts w:hint="eastAsia"/>
        </w:rPr>
        <w:t>，可不开展土壤环境影响评价</w:t>
      </w:r>
      <w:r w:rsidRPr="002B55E9">
        <w:rPr>
          <w:rFonts w:hint="eastAsia"/>
          <w:szCs w:val="24"/>
        </w:rPr>
        <w:t>。</w:t>
      </w:r>
      <w:bookmarkEnd w:id="414"/>
    </w:p>
    <w:p w14:paraId="333780CC" w14:textId="77777777" w:rsidR="00D170E5" w:rsidRPr="002B55E9" w:rsidRDefault="00EF27AD">
      <w:pPr>
        <w:pStyle w:val="3"/>
        <w:rPr>
          <w:lang w:val="zh-CN"/>
        </w:rPr>
      </w:pPr>
      <w:bookmarkStart w:id="415" w:name="_Toc119309046"/>
      <w:bookmarkStart w:id="416" w:name="_Toc68861199"/>
      <w:r w:rsidRPr="002B55E9">
        <w:rPr>
          <w:rFonts w:hint="eastAsia"/>
          <w:lang w:val="zh-CN"/>
        </w:rPr>
        <w:t>环境风险</w:t>
      </w:r>
      <w:bookmarkEnd w:id="415"/>
      <w:bookmarkEnd w:id="416"/>
    </w:p>
    <w:p w14:paraId="7354F264" w14:textId="77777777" w:rsidR="00D170E5" w:rsidRPr="002B55E9" w:rsidRDefault="00EF27AD">
      <w:pPr>
        <w:spacing w:after="60" w:line="360" w:lineRule="auto"/>
        <w:ind w:firstLineChars="200" w:firstLine="480"/>
        <w:rPr>
          <w:bCs/>
          <w:snapToGrid w:val="0"/>
          <w:sz w:val="24"/>
        </w:rPr>
      </w:pPr>
      <w:bookmarkStart w:id="417" w:name="_Hlk68689265"/>
      <w:r w:rsidRPr="002B55E9">
        <w:rPr>
          <w:rFonts w:hint="eastAsia"/>
          <w:sz w:val="24"/>
          <w:lang w:val="zh-CN"/>
        </w:rPr>
        <w:t>本项目包含</w:t>
      </w:r>
      <w:r w:rsidRPr="002B55E9">
        <w:rPr>
          <w:rFonts w:hint="eastAsia"/>
          <w:sz w:val="24"/>
        </w:rPr>
        <w:t>多</w:t>
      </w:r>
      <w:r w:rsidRPr="002B55E9">
        <w:rPr>
          <w:rFonts w:hint="eastAsia"/>
          <w:sz w:val="24"/>
          <w:lang w:val="zh-CN"/>
        </w:rPr>
        <w:t>种危险化学品，危险物质数量与临界量的比值</w:t>
      </w:r>
      <w:r w:rsidRPr="002B55E9">
        <w:rPr>
          <w:rFonts w:hint="eastAsia"/>
          <w:sz w:val="24"/>
          <w:lang w:val="zh-CN"/>
        </w:rPr>
        <w:t>Q</w:t>
      </w:r>
      <w:r w:rsidRPr="002B55E9">
        <w:rPr>
          <w:rFonts w:hint="eastAsia"/>
          <w:sz w:val="24"/>
          <w:lang w:val="zh-CN"/>
        </w:rPr>
        <w:t>为</w:t>
      </w:r>
      <w:r w:rsidRPr="002B55E9">
        <w:rPr>
          <w:sz w:val="24"/>
          <w:lang w:val="zh-CN"/>
        </w:rPr>
        <w:t>46.28</w:t>
      </w:r>
      <w:r w:rsidRPr="002B55E9">
        <w:rPr>
          <w:rFonts w:hint="eastAsia"/>
          <w:sz w:val="24"/>
          <w:lang w:val="zh-CN"/>
        </w:rPr>
        <w:t>，其中</w:t>
      </w:r>
      <w:r w:rsidRPr="002B55E9">
        <w:rPr>
          <w:rFonts w:hint="eastAsia"/>
          <w:sz w:val="24"/>
          <w:lang w:val="zh-CN"/>
        </w:rPr>
        <w:t>Q</w:t>
      </w:r>
      <w:r w:rsidRPr="002B55E9">
        <w:rPr>
          <w:rFonts w:hint="eastAsia"/>
          <w:sz w:val="24"/>
          <w:lang w:val="zh-CN"/>
        </w:rPr>
        <w:t>值较大的风险物质为醋胚中含有的乙酸</w:t>
      </w:r>
      <w:r w:rsidRPr="002B55E9">
        <w:rPr>
          <w:rFonts w:hint="eastAsia"/>
          <w:sz w:val="24"/>
        </w:rPr>
        <w:t>。</w:t>
      </w:r>
      <w:r w:rsidRPr="002B55E9">
        <w:rPr>
          <w:sz w:val="24"/>
        </w:rPr>
        <w:t>本</w:t>
      </w:r>
      <w:r w:rsidRPr="002B55E9">
        <w:rPr>
          <w:rFonts w:hint="eastAsia"/>
          <w:sz w:val="24"/>
        </w:rPr>
        <w:t>项目</w:t>
      </w:r>
      <w:r w:rsidRPr="002B55E9">
        <w:rPr>
          <w:sz w:val="24"/>
        </w:rPr>
        <w:t>大气环境</w:t>
      </w:r>
      <w:r w:rsidRPr="002B55E9">
        <w:rPr>
          <w:rFonts w:hint="eastAsia"/>
          <w:sz w:val="24"/>
        </w:rPr>
        <w:t>敏感</w:t>
      </w:r>
      <w:r w:rsidRPr="002B55E9">
        <w:rPr>
          <w:sz w:val="24"/>
        </w:rPr>
        <w:t>程度为</w:t>
      </w:r>
      <w:r w:rsidRPr="002B55E9">
        <w:rPr>
          <w:sz w:val="24"/>
        </w:rPr>
        <w:t>E</w:t>
      </w:r>
      <w:r w:rsidRPr="002B55E9">
        <w:rPr>
          <w:rFonts w:hint="eastAsia"/>
          <w:sz w:val="24"/>
        </w:rPr>
        <w:t>1</w:t>
      </w:r>
      <w:r w:rsidRPr="002B55E9">
        <w:rPr>
          <w:rFonts w:hint="eastAsia"/>
          <w:sz w:val="24"/>
        </w:rPr>
        <w:t>环境高度</w:t>
      </w:r>
      <w:r w:rsidRPr="002B55E9">
        <w:rPr>
          <w:sz w:val="24"/>
        </w:rPr>
        <w:t>敏感区</w:t>
      </w:r>
      <w:r w:rsidRPr="002B55E9">
        <w:rPr>
          <w:rFonts w:hint="eastAsia"/>
          <w:sz w:val="24"/>
        </w:rPr>
        <w:t>，地表水</w:t>
      </w:r>
      <w:r w:rsidRPr="002B55E9">
        <w:rPr>
          <w:sz w:val="24"/>
        </w:rPr>
        <w:t>、地</w:t>
      </w:r>
      <w:r w:rsidRPr="002B55E9">
        <w:rPr>
          <w:rFonts w:hint="eastAsia"/>
          <w:sz w:val="24"/>
        </w:rPr>
        <w:t>下</w:t>
      </w:r>
      <w:r w:rsidRPr="002B55E9">
        <w:rPr>
          <w:sz w:val="24"/>
        </w:rPr>
        <w:t>水环境</w:t>
      </w:r>
      <w:r w:rsidRPr="002B55E9">
        <w:rPr>
          <w:rFonts w:hint="eastAsia"/>
          <w:sz w:val="24"/>
        </w:rPr>
        <w:t>敏感</w:t>
      </w:r>
      <w:r w:rsidRPr="002B55E9">
        <w:rPr>
          <w:sz w:val="24"/>
        </w:rPr>
        <w:t>程度为</w:t>
      </w:r>
      <w:r w:rsidRPr="002B55E9">
        <w:rPr>
          <w:rFonts w:hint="eastAsia"/>
          <w:sz w:val="24"/>
        </w:rPr>
        <w:t>E</w:t>
      </w:r>
      <w:r w:rsidRPr="002B55E9">
        <w:rPr>
          <w:sz w:val="24"/>
        </w:rPr>
        <w:t>3</w:t>
      </w:r>
      <w:r w:rsidRPr="002B55E9">
        <w:rPr>
          <w:rFonts w:hint="eastAsia"/>
          <w:sz w:val="24"/>
        </w:rPr>
        <w:t>环境低度</w:t>
      </w:r>
      <w:r w:rsidRPr="002B55E9">
        <w:rPr>
          <w:sz w:val="24"/>
        </w:rPr>
        <w:t>敏感区。</w:t>
      </w:r>
      <w:r w:rsidRPr="002B55E9">
        <w:rPr>
          <w:rFonts w:hint="eastAsia"/>
          <w:bCs/>
          <w:snapToGrid w:val="0"/>
          <w:sz w:val="24"/>
          <w:lang w:val="zh-CN"/>
        </w:rPr>
        <w:t>根据环境风险预测分析结果，乙酸</w:t>
      </w:r>
      <w:r w:rsidRPr="002B55E9">
        <w:rPr>
          <w:rFonts w:hint="eastAsia"/>
          <w:bCs/>
          <w:snapToGrid w:val="0"/>
          <w:sz w:val="24"/>
        </w:rPr>
        <w:t>发生泄漏事故时，最大落地</w:t>
      </w:r>
      <w:r w:rsidRPr="002B55E9">
        <w:rPr>
          <w:bCs/>
          <w:snapToGrid w:val="0"/>
          <w:sz w:val="24"/>
        </w:rPr>
        <w:t>浓度范围内</w:t>
      </w:r>
      <w:r w:rsidRPr="002B55E9">
        <w:rPr>
          <w:rFonts w:hint="eastAsia"/>
          <w:bCs/>
          <w:snapToGrid w:val="0"/>
          <w:sz w:val="24"/>
        </w:rPr>
        <w:t>均未</w:t>
      </w:r>
      <w:r w:rsidRPr="002B55E9">
        <w:rPr>
          <w:bCs/>
          <w:snapToGrid w:val="0"/>
          <w:sz w:val="24"/>
        </w:rPr>
        <w:t>超过</w:t>
      </w:r>
      <w:r w:rsidRPr="002B55E9">
        <w:rPr>
          <w:rFonts w:hint="eastAsia"/>
          <w:bCs/>
          <w:snapToGrid w:val="0"/>
          <w:sz w:val="24"/>
        </w:rPr>
        <w:t>其</w:t>
      </w:r>
      <w:r w:rsidRPr="002B55E9">
        <w:rPr>
          <w:bCs/>
          <w:snapToGrid w:val="0"/>
          <w:sz w:val="24"/>
        </w:rPr>
        <w:t>大气毒性终点浓度</w:t>
      </w:r>
      <w:r w:rsidRPr="002B55E9">
        <w:rPr>
          <w:bCs/>
          <w:snapToGrid w:val="0"/>
          <w:sz w:val="24"/>
        </w:rPr>
        <w:t>-1</w:t>
      </w:r>
      <w:r w:rsidRPr="002B55E9">
        <w:rPr>
          <w:bCs/>
          <w:snapToGrid w:val="0"/>
          <w:sz w:val="24"/>
        </w:rPr>
        <w:t>级限值的情况</w:t>
      </w:r>
      <w:r w:rsidRPr="002B55E9">
        <w:rPr>
          <w:rFonts w:hint="eastAsia"/>
          <w:bCs/>
          <w:snapToGrid w:val="0"/>
          <w:sz w:val="24"/>
        </w:rPr>
        <w:t>和</w:t>
      </w:r>
      <w:r w:rsidRPr="002B55E9">
        <w:rPr>
          <w:bCs/>
          <w:snapToGrid w:val="0"/>
          <w:sz w:val="24"/>
        </w:rPr>
        <w:t>大气毒性终点浓度</w:t>
      </w:r>
      <w:r w:rsidRPr="002B55E9">
        <w:rPr>
          <w:bCs/>
          <w:snapToGrid w:val="0"/>
          <w:sz w:val="24"/>
        </w:rPr>
        <w:t>-2</w:t>
      </w:r>
      <w:r w:rsidRPr="002B55E9">
        <w:rPr>
          <w:bCs/>
          <w:snapToGrid w:val="0"/>
          <w:sz w:val="24"/>
        </w:rPr>
        <w:t>级限值。</w:t>
      </w:r>
      <w:r w:rsidRPr="002B55E9">
        <w:rPr>
          <w:rFonts w:hint="eastAsia"/>
          <w:bCs/>
          <w:snapToGrid w:val="0"/>
          <w:sz w:val="24"/>
        </w:rPr>
        <w:t>过氧乙酸</w:t>
      </w:r>
      <w:r w:rsidRPr="002B55E9">
        <w:rPr>
          <w:bCs/>
          <w:snapToGrid w:val="0"/>
          <w:sz w:val="24"/>
        </w:rPr>
        <w:t>泄漏事故发生</w:t>
      </w:r>
      <w:r w:rsidRPr="002B55E9">
        <w:rPr>
          <w:rFonts w:hint="eastAsia"/>
          <w:bCs/>
          <w:snapToGrid w:val="0"/>
          <w:sz w:val="24"/>
        </w:rPr>
        <w:t>时</w:t>
      </w:r>
      <w:r w:rsidRPr="002B55E9">
        <w:rPr>
          <w:bCs/>
          <w:snapToGrid w:val="0"/>
          <w:sz w:val="24"/>
        </w:rPr>
        <w:t>，</w:t>
      </w:r>
      <w:r w:rsidRPr="002B55E9">
        <w:rPr>
          <w:rFonts w:hint="eastAsia"/>
          <w:bCs/>
          <w:snapToGrid w:val="0"/>
          <w:sz w:val="24"/>
        </w:rPr>
        <w:t>过氧乙酸</w:t>
      </w:r>
      <w:r w:rsidRPr="002B55E9">
        <w:rPr>
          <w:bCs/>
          <w:snapToGrid w:val="0"/>
          <w:sz w:val="24"/>
        </w:rPr>
        <w:t>在最不利气象条件下（</w:t>
      </w:r>
      <w:r w:rsidRPr="002B55E9">
        <w:rPr>
          <w:rFonts w:hint="eastAsia"/>
          <w:bCs/>
          <w:snapToGrid w:val="0"/>
          <w:sz w:val="24"/>
        </w:rPr>
        <w:t>稳定度</w:t>
      </w:r>
      <w:r w:rsidRPr="002B55E9">
        <w:rPr>
          <w:rFonts w:hint="eastAsia"/>
          <w:bCs/>
          <w:snapToGrid w:val="0"/>
          <w:sz w:val="24"/>
        </w:rPr>
        <w:t>F</w:t>
      </w:r>
      <w:r w:rsidRPr="002B55E9">
        <w:rPr>
          <w:rFonts w:hint="eastAsia"/>
          <w:bCs/>
          <w:snapToGrid w:val="0"/>
          <w:sz w:val="24"/>
        </w:rPr>
        <w:t>，</w:t>
      </w:r>
      <w:r w:rsidRPr="002B55E9">
        <w:rPr>
          <w:bCs/>
          <w:snapToGrid w:val="0"/>
          <w:sz w:val="24"/>
        </w:rPr>
        <w:t>风速</w:t>
      </w:r>
      <w:r w:rsidRPr="002B55E9">
        <w:rPr>
          <w:rFonts w:hint="eastAsia"/>
          <w:bCs/>
          <w:snapToGrid w:val="0"/>
          <w:sz w:val="24"/>
        </w:rPr>
        <w:t>1.5</w:t>
      </w:r>
      <w:r w:rsidRPr="002B55E9">
        <w:rPr>
          <w:bCs/>
          <w:snapToGrid w:val="0"/>
          <w:sz w:val="24"/>
        </w:rPr>
        <w:t>m/s</w:t>
      </w:r>
      <w:r w:rsidRPr="002B55E9">
        <w:rPr>
          <w:bCs/>
          <w:snapToGrid w:val="0"/>
          <w:sz w:val="24"/>
        </w:rPr>
        <w:t>）</w:t>
      </w:r>
      <w:r w:rsidRPr="002B55E9">
        <w:rPr>
          <w:rFonts w:hint="eastAsia"/>
          <w:bCs/>
          <w:snapToGrid w:val="0"/>
          <w:sz w:val="24"/>
        </w:rPr>
        <w:t>扩散</w:t>
      </w:r>
      <w:r w:rsidRPr="002B55E9">
        <w:rPr>
          <w:bCs/>
          <w:snapToGrid w:val="0"/>
          <w:sz w:val="24"/>
        </w:rPr>
        <w:t>过程中，最大浓度</w:t>
      </w:r>
      <w:r w:rsidRPr="002B55E9">
        <w:rPr>
          <w:rFonts w:hint="eastAsia"/>
          <w:bCs/>
          <w:snapToGrid w:val="0"/>
          <w:sz w:val="24"/>
        </w:rPr>
        <w:t>超过</w:t>
      </w:r>
      <w:r w:rsidRPr="002B55E9">
        <w:rPr>
          <w:bCs/>
          <w:snapToGrid w:val="0"/>
          <w:sz w:val="24"/>
        </w:rPr>
        <w:t>大气毒性终点</w:t>
      </w:r>
      <w:r w:rsidRPr="002B55E9">
        <w:rPr>
          <w:rFonts w:hint="eastAsia"/>
          <w:bCs/>
          <w:snapToGrid w:val="0"/>
          <w:sz w:val="24"/>
        </w:rPr>
        <w:t>浓度</w:t>
      </w:r>
      <w:r w:rsidRPr="002B55E9">
        <w:rPr>
          <w:rFonts w:hint="eastAsia"/>
          <w:bCs/>
          <w:snapToGrid w:val="0"/>
          <w:sz w:val="24"/>
        </w:rPr>
        <w:t>2</w:t>
      </w:r>
      <w:r w:rsidRPr="002B55E9">
        <w:rPr>
          <w:rFonts w:hint="eastAsia"/>
          <w:bCs/>
          <w:snapToGrid w:val="0"/>
          <w:sz w:val="24"/>
        </w:rPr>
        <w:t>（</w:t>
      </w:r>
      <w:r w:rsidRPr="002B55E9">
        <w:rPr>
          <w:rFonts w:hint="eastAsia"/>
          <w:bCs/>
          <w:snapToGrid w:val="0"/>
          <w:sz w:val="24"/>
        </w:rPr>
        <w:t>1.6</w:t>
      </w:r>
      <w:r w:rsidRPr="002B55E9">
        <w:rPr>
          <w:bCs/>
          <w:snapToGrid w:val="0"/>
          <w:sz w:val="24"/>
        </w:rPr>
        <w:t>mg/m</w:t>
      </w:r>
      <w:r w:rsidRPr="002B55E9">
        <w:rPr>
          <w:bCs/>
          <w:snapToGrid w:val="0"/>
          <w:sz w:val="24"/>
          <w:vertAlign w:val="superscript"/>
        </w:rPr>
        <w:t>3</w:t>
      </w:r>
      <w:r w:rsidRPr="002B55E9">
        <w:rPr>
          <w:rFonts w:hint="eastAsia"/>
          <w:bCs/>
          <w:snapToGrid w:val="0"/>
          <w:sz w:val="24"/>
        </w:rPr>
        <w:t>），</w:t>
      </w:r>
      <w:r w:rsidRPr="002B55E9">
        <w:rPr>
          <w:bCs/>
          <w:snapToGrid w:val="0"/>
          <w:sz w:val="24"/>
        </w:rPr>
        <w:t>距离为</w:t>
      </w:r>
      <w:r w:rsidRPr="002B55E9">
        <w:rPr>
          <w:rFonts w:hint="eastAsia"/>
          <w:bCs/>
          <w:snapToGrid w:val="0"/>
          <w:sz w:val="24"/>
        </w:rPr>
        <w:t>50</w:t>
      </w:r>
      <w:r w:rsidRPr="002B55E9">
        <w:rPr>
          <w:bCs/>
          <w:snapToGrid w:val="0"/>
          <w:sz w:val="24"/>
        </w:rPr>
        <w:t>m</w:t>
      </w:r>
      <w:r w:rsidRPr="002B55E9">
        <w:rPr>
          <w:rFonts w:hint="eastAsia"/>
          <w:bCs/>
          <w:snapToGrid w:val="0"/>
          <w:sz w:val="24"/>
        </w:rPr>
        <w:t>，</w:t>
      </w:r>
      <w:r w:rsidRPr="002B55E9">
        <w:rPr>
          <w:bCs/>
          <w:snapToGrid w:val="0"/>
          <w:sz w:val="24"/>
        </w:rPr>
        <w:t>未达到大气</w:t>
      </w:r>
      <w:r w:rsidRPr="002B55E9">
        <w:rPr>
          <w:rFonts w:hint="eastAsia"/>
          <w:bCs/>
          <w:snapToGrid w:val="0"/>
          <w:sz w:val="24"/>
        </w:rPr>
        <w:t>毒性</w:t>
      </w:r>
      <w:r w:rsidRPr="002B55E9">
        <w:rPr>
          <w:bCs/>
          <w:snapToGrid w:val="0"/>
          <w:sz w:val="24"/>
        </w:rPr>
        <w:t>终点浓度</w:t>
      </w:r>
      <w:r w:rsidRPr="002B55E9">
        <w:rPr>
          <w:rFonts w:hint="eastAsia"/>
          <w:bCs/>
          <w:snapToGrid w:val="0"/>
          <w:sz w:val="24"/>
        </w:rPr>
        <w:t>1</w:t>
      </w:r>
      <w:r w:rsidRPr="002B55E9">
        <w:rPr>
          <w:rFonts w:hint="eastAsia"/>
          <w:bCs/>
          <w:snapToGrid w:val="0"/>
          <w:sz w:val="24"/>
        </w:rPr>
        <w:t>（</w:t>
      </w:r>
      <w:r w:rsidRPr="002B55E9">
        <w:rPr>
          <w:bCs/>
          <w:snapToGrid w:val="0"/>
          <w:sz w:val="24"/>
        </w:rPr>
        <w:t>15mg/m</w:t>
      </w:r>
      <w:r w:rsidRPr="002B55E9">
        <w:rPr>
          <w:bCs/>
          <w:snapToGrid w:val="0"/>
          <w:sz w:val="24"/>
          <w:vertAlign w:val="superscript"/>
        </w:rPr>
        <w:t>3</w:t>
      </w:r>
      <w:r w:rsidRPr="002B55E9">
        <w:rPr>
          <w:rFonts w:hint="eastAsia"/>
          <w:bCs/>
          <w:snapToGrid w:val="0"/>
          <w:sz w:val="24"/>
        </w:rPr>
        <w:t>）。大气</w:t>
      </w:r>
      <w:r w:rsidRPr="002B55E9">
        <w:rPr>
          <w:bCs/>
          <w:snapToGrid w:val="0"/>
          <w:sz w:val="24"/>
        </w:rPr>
        <w:t>毒性终点浓度</w:t>
      </w:r>
      <w:r w:rsidRPr="002B55E9">
        <w:rPr>
          <w:rFonts w:hint="eastAsia"/>
          <w:bCs/>
          <w:snapToGrid w:val="0"/>
          <w:sz w:val="24"/>
        </w:rPr>
        <w:t>2</w:t>
      </w:r>
      <w:r w:rsidRPr="002B55E9">
        <w:rPr>
          <w:rFonts w:hint="eastAsia"/>
          <w:bCs/>
          <w:snapToGrid w:val="0"/>
          <w:sz w:val="24"/>
        </w:rPr>
        <w:t>范围未</w:t>
      </w:r>
      <w:r w:rsidRPr="002B55E9">
        <w:rPr>
          <w:bCs/>
          <w:snapToGrid w:val="0"/>
          <w:sz w:val="24"/>
        </w:rPr>
        <w:t>超出</w:t>
      </w:r>
      <w:r w:rsidRPr="002B55E9">
        <w:rPr>
          <w:rFonts w:hint="eastAsia"/>
          <w:bCs/>
          <w:snapToGrid w:val="0"/>
          <w:sz w:val="24"/>
        </w:rPr>
        <w:t>厂界</w:t>
      </w:r>
      <w:r w:rsidRPr="002B55E9">
        <w:rPr>
          <w:bCs/>
          <w:snapToGrid w:val="0"/>
          <w:sz w:val="24"/>
        </w:rPr>
        <w:t>，无居民</w:t>
      </w:r>
      <w:r w:rsidRPr="002B55E9">
        <w:rPr>
          <w:rFonts w:hint="eastAsia"/>
          <w:bCs/>
          <w:snapToGrid w:val="0"/>
          <w:sz w:val="24"/>
        </w:rPr>
        <w:t>等敏感点</w:t>
      </w:r>
      <w:r w:rsidRPr="002B55E9">
        <w:rPr>
          <w:bCs/>
          <w:snapToGrid w:val="0"/>
          <w:sz w:val="24"/>
        </w:rPr>
        <w:t>。</w:t>
      </w:r>
    </w:p>
    <w:p w14:paraId="1CE3CFD4"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当过氧乙酸火灾爆炸事故发生时，范围内出现超过其伴生次生污染物</w:t>
      </w:r>
      <w:r w:rsidRPr="002B55E9">
        <w:rPr>
          <w:rFonts w:hint="eastAsia"/>
          <w:bCs/>
          <w:snapToGrid w:val="0"/>
          <w:sz w:val="24"/>
        </w:rPr>
        <w:t>CO</w:t>
      </w:r>
      <w:r w:rsidRPr="002B55E9">
        <w:rPr>
          <w:rFonts w:hint="eastAsia"/>
          <w:bCs/>
          <w:snapToGrid w:val="0"/>
          <w:sz w:val="24"/>
        </w:rPr>
        <w:t>的大气毒性终点浓度</w:t>
      </w:r>
      <w:r w:rsidRPr="002B55E9">
        <w:rPr>
          <w:rFonts w:hint="eastAsia"/>
          <w:bCs/>
          <w:snapToGrid w:val="0"/>
          <w:sz w:val="24"/>
        </w:rPr>
        <w:t>-1</w:t>
      </w:r>
      <w:r w:rsidRPr="002B55E9">
        <w:rPr>
          <w:rFonts w:hint="eastAsia"/>
          <w:bCs/>
          <w:snapToGrid w:val="0"/>
          <w:sz w:val="24"/>
        </w:rPr>
        <w:t>级限值的情况，该范围内无敏感点。范围内出现超过其伴生次生污染物</w:t>
      </w:r>
      <w:r w:rsidRPr="002B55E9">
        <w:rPr>
          <w:rFonts w:hint="eastAsia"/>
          <w:bCs/>
          <w:snapToGrid w:val="0"/>
          <w:sz w:val="24"/>
        </w:rPr>
        <w:t>CO</w:t>
      </w:r>
      <w:r w:rsidRPr="002B55E9">
        <w:rPr>
          <w:rFonts w:hint="eastAsia"/>
          <w:bCs/>
          <w:snapToGrid w:val="0"/>
          <w:sz w:val="24"/>
        </w:rPr>
        <w:t>的大气</w:t>
      </w:r>
      <w:r w:rsidRPr="002B55E9">
        <w:rPr>
          <w:rFonts w:hint="eastAsia"/>
          <w:bCs/>
          <w:snapToGrid w:val="0"/>
          <w:sz w:val="24"/>
        </w:rPr>
        <w:lastRenderedPageBreak/>
        <w:t>毒性终点浓度</w:t>
      </w:r>
      <w:r w:rsidRPr="002B55E9">
        <w:rPr>
          <w:rFonts w:hint="eastAsia"/>
          <w:bCs/>
          <w:snapToGrid w:val="0"/>
          <w:sz w:val="24"/>
        </w:rPr>
        <w:t>-2</w:t>
      </w:r>
      <w:r w:rsidRPr="002B55E9">
        <w:rPr>
          <w:rFonts w:hint="eastAsia"/>
          <w:bCs/>
          <w:snapToGrid w:val="0"/>
          <w:sz w:val="24"/>
        </w:rPr>
        <w:t>级限值的情况，该范围内无敏感点。</w:t>
      </w:r>
    </w:p>
    <w:p w14:paraId="6AA8C843" w14:textId="77777777" w:rsidR="00D170E5" w:rsidRPr="002B55E9" w:rsidRDefault="00EF27AD">
      <w:pPr>
        <w:spacing w:after="60" w:line="360" w:lineRule="auto"/>
        <w:ind w:firstLineChars="200" w:firstLine="480"/>
        <w:rPr>
          <w:bCs/>
          <w:snapToGrid w:val="0"/>
          <w:sz w:val="24"/>
        </w:rPr>
      </w:pPr>
      <w:r w:rsidRPr="002B55E9">
        <w:rPr>
          <w:rFonts w:hint="eastAsia"/>
          <w:bCs/>
          <w:snapToGrid w:val="0"/>
          <w:sz w:val="24"/>
        </w:rPr>
        <w:t>同时，在发生过氧乙酸等有毒有害物质泄漏等环境风险事故时，企业应迅速启动环境风险应急预案，并在发现事故的第一时间通知周边村委会或居委会，并配合和指导其做好疏散工作，在</w:t>
      </w:r>
      <w:r w:rsidRPr="002B55E9">
        <w:rPr>
          <w:rFonts w:hint="eastAsia"/>
          <w:bCs/>
          <w:snapToGrid w:val="0"/>
          <w:sz w:val="24"/>
        </w:rPr>
        <w:t>1</w:t>
      </w:r>
      <w:r w:rsidRPr="002B55E9">
        <w:rPr>
          <w:rFonts w:hint="eastAsia"/>
          <w:bCs/>
          <w:snapToGrid w:val="0"/>
          <w:sz w:val="24"/>
        </w:rPr>
        <w:t>小时内将居民疏散到安全范围，以减少对周边人群身体健康危害。</w:t>
      </w:r>
    </w:p>
    <w:p w14:paraId="6817A0C8" w14:textId="77777777" w:rsidR="00D170E5" w:rsidRPr="002B55E9" w:rsidRDefault="00EF27AD">
      <w:pPr>
        <w:spacing w:after="60" w:line="360" w:lineRule="auto"/>
        <w:ind w:firstLineChars="200" w:firstLine="480"/>
        <w:rPr>
          <w:bCs/>
          <w:snapToGrid w:val="0"/>
          <w:sz w:val="24"/>
          <w:lang w:val="zh-CN"/>
        </w:rPr>
      </w:pPr>
      <w:r w:rsidRPr="002B55E9">
        <w:rPr>
          <w:rFonts w:hint="eastAsia"/>
          <w:bCs/>
          <w:snapToGrid w:val="0"/>
          <w:sz w:val="24"/>
          <w:lang w:val="zh-CN" w:bidi="ne-NP"/>
        </w:rPr>
        <w:t>项目</w:t>
      </w:r>
      <w:r w:rsidRPr="002B55E9">
        <w:rPr>
          <w:rFonts w:hint="eastAsia"/>
          <w:bCs/>
          <w:snapToGrid w:val="0"/>
          <w:sz w:val="24"/>
          <w:lang w:bidi="ne-NP"/>
        </w:rPr>
        <w:t>超立克发生泄露事故时，</w:t>
      </w:r>
      <w:r w:rsidRPr="002B55E9">
        <w:rPr>
          <w:bCs/>
          <w:snapToGrid w:val="0"/>
          <w:sz w:val="24"/>
        </w:rPr>
        <w:t>20</w:t>
      </w:r>
      <w:r w:rsidRPr="002B55E9">
        <w:rPr>
          <w:bCs/>
          <w:snapToGrid w:val="0"/>
          <w:sz w:val="24"/>
        </w:rPr>
        <w:t>年后，</w:t>
      </w:r>
      <w:r w:rsidRPr="002B55E9">
        <w:rPr>
          <w:rFonts w:hint="eastAsia"/>
          <w:bCs/>
          <w:snapToGrid w:val="0"/>
          <w:sz w:val="24"/>
        </w:rPr>
        <w:t>地下水</w:t>
      </w:r>
      <w:r w:rsidRPr="002B55E9">
        <w:rPr>
          <w:bCs/>
          <w:snapToGrid w:val="0"/>
          <w:sz w:val="24"/>
        </w:rPr>
        <w:t>中</w:t>
      </w:r>
      <w:r w:rsidRPr="002B55E9">
        <w:rPr>
          <w:rFonts w:hint="eastAsia"/>
          <w:bCs/>
          <w:snapToGrid w:val="0"/>
          <w:sz w:val="24"/>
        </w:rPr>
        <w:t>硝酸盐</w:t>
      </w:r>
      <w:r w:rsidRPr="002B55E9">
        <w:rPr>
          <w:bCs/>
          <w:snapToGrid w:val="0"/>
          <w:sz w:val="24"/>
        </w:rPr>
        <w:t>的超标扩散距离</w:t>
      </w:r>
      <w:r w:rsidRPr="002B55E9">
        <w:rPr>
          <w:rFonts w:hint="eastAsia"/>
          <w:bCs/>
          <w:snapToGrid w:val="0"/>
          <w:sz w:val="24"/>
        </w:rPr>
        <w:t>最大值为</w:t>
      </w:r>
      <w:r w:rsidRPr="002B55E9">
        <w:rPr>
          <w:bCs/>
          <w:snapToGrid w:val="0"/>
          <w:sz w:val="24"/>
        </w:rPr>
        <w:t>105</w:t>
      </w:r>
      <w:r w:rsidRPr="002B55E9">
        <w:rPr>
          <w:rFonts w:hint="eastAsia"/>
          <w:bCs/>
          <w:snapToGrid w:val="0"/>
          <w:sz w:val="24"/>
        </w:rPr>
        <w:t>m</w:t>
      </w:r>
      <w:r w:rsidRPr="002B55E9">
        <w:rPr>
          <w:bCs/>
          <w:snapToGrid w:val="0"/>
          <w:sz w:val="24"/>
        </w:rPr>
        <w:t>，</w:t>
      </w:r>
      <w:r w:rsidRPr="002B55E9">
        <w:rPr>
          <w:rFonts w:hint="eastAsia"/>
          <w:bCs/>
          <w:snapToGrid w:val="0"/>
          <w:sz w:val="24"/>
        </w:rPr>
        <w:t>污染物</w:t>
      </w:r>
      <w:r w:rsidRPr="002B55E9">
        <w:rPr>
          <w:bCs/>
          <w:snapToGrid w:val="0"/>
          <w:sz w:val="24"/>
        </w:rPr>
        <w:t>将会对</w:t>
      </w:r>
      <w:r w:rsidRPr="002B55E9">
        <w:rPr>
          <w:rFonts w:hint="eastAsia"/>
          <w:bCs/>
          <w:snapToGrid w:val="0"/>
          <w:sz w:val="24"/>
        </w:rPr>
        <w:t>项目厂区</w:t>
      </w:r>
      <w:r w:rsidRPr="002B55E9">
        <w:rPr>
          <w:bCs/>
          <w:snapToGrid w:val="0"/>
          <w:sz w:val="24"/>
        </w:rPr>
        <w:t>附近的地下水水体造成不同程度的污染。</w:t>
      </w:r>
    </w:p>
    <w:p w14:paraId="6D800ED1" w14:textId="77777777" w:rsidR="00D170E5" w:rsidRPr="002B55E9" w:rsidRDefault="00EF27AD">
      <w:pPr>
        <w:pStyle w:val="affff7"/>
        <w:snapToGrid w:val="0"/>
        <w:rPr>
          <w:lang w:val="zh-CN"/>
        </w:rPr>
      </w:pPr>
      <w:r w:rsidRPr="002B55E9">
        <w:rPr>
          <w:rFonts w:hint="eastAsia"/>
          <w:lang w:val="zh-CN"/>
        </w:rPr>
        <w:t>综上所述，尽管本项目风险事故影响范围有限，但要从建设、生产、贮运等各方面积极采取防护措施，是确保安全的根本措施。当出现事故时，要采取紧急的工程应急措施和社会应急措施，以控制事故和减少对环境造成的危害。</w:t>
      </w:r>
    </w:p>
    <w:p w14:paraId="64C552EC" w14:textId="77777777" w:rsidR="00D170E5" w:rsidRPr="002B55E9" w:rsidRDefault="00EF27AD">
      <w:pPr>
        <w:pStyle w:val="3"/>
      </w:pPr>
      <w:bookmarkStart w:id="418" w:name="_Toc119309047"/>
      <w:bookmarkStart w:id="419" w:name="_Toc68861200"/>
      <w:bookmarkStart w:id="420" w:name="_Toc139440669"/>
      <w:bookmarkStart w:id="421" w:name="_Toc141528328"/>
      <w:bookmarkEnd w:id="417"/>
      <w:r w:rsidRPr="002B55E9">
        <w:rPr>
          <w:rFonts w:hint="eastAsia"/>
        </w:rPr>
        <w:t>总量控制</w:t>
      </w:r>
      <w:bookmarkEnd w:id="418"/>
      <w:bookmarkEnd w:id="419"/>
    </w:p>
    <w:p w14:paraId="010B1043" w14:textId="77777777" w:rsidR="00D170E5" w:rsidRPr="002B55E9" w:rsidRDefault="00EF27AD">
      <w:pPr>
        <w:pStyle w:val="affff7"/>
        <w:adjustRightInd w:val="0"/>
        <w:snapToGrid w:val="0"/>
        <w:spacing w:after="0"/>
      </w:pPr>
      <w:r w:rsidRPr="002B55E9">
        <w:rPr>
          <w:rFonts w:ascii="宋体" w:hAnsi="宋体" w:cs="宋体" w:hint="eastAsia"/>
        </w:rPr>
        <w:t>①</w:t>
      </w:r>
      <w:r w:rsidRPr="002B55E9">
        <w:t>废水总量</w:t>
      </w:r>
    </w:p>
    <w:p w14:paraId="207B9CBB" w14:textId="77777777" w:rsidR="00D170E5" w:rsidRPr="002B55E9" w:rsidRDefault="00EF27AD">
      <w:pPr>
        <w:pStyle w:val="affff7"/>
        <w:adjustRightInd w:val="0"/>
        <w:snapToGrid w:val="0"/>
        <w:spacing w:after="0"/>
      </w:pPr>
      <w:r w:rsidRPr="002B55E9">
        <w:t>总量考核按照末端向外环境排放量计算，即按</w:t>
      </w:r>
      <w:r w:rsidRPr="002B55E9">
        <w:rPr>
          <w:rFonts w:hint="eastAsia"/>
        </w:rPr>
        <w:t>东西湖污水处理厂尾水</w:t>
      </w:r>
      <w:r w:rsidRPr="002B55E9">
        <w:t>现行排放标准浓度核算最终排放量。</w:t>
      </w:r>
      <w:r w:rsidRPr="002B55E9">
        <w:rPr>
          <w:rFonts w:hint="eastAsia"/>
        </w:rPr>
        <w:t>东西湖污水处理厂现行排放标准为《城镇污水处理厂污染物排放标准》（</w:t>
      </w:r>
      <w:r w:rsidRPr="002B55E9">
        <w:rPr>
          <w:rFonts w:hint="eastAsia"/>
        </w:rPr>
        <w:t>G</w:t>
      </w:r>
      <w:r w:rsidRPr="002B55E9">
        <w:t>B18918-2002</w:t>
      </w:r>
      <w:r w:rsidRPr="002B55E9">
        <w:rPr>
          <w:rFonts w:hint="eastAsia"/>
        </w:rPr>
        <w:t>）及其修改单中一级</w:t>
      </w:r>
      <w:r w:rsidRPr="002B55E9">
        <w:rPr>
          <w:rFonts w:hint="eastAsia"/>
        </w:rPr>
        <w:t>A</w:t>
      </w:r>
      <w:r w:rsidRPr="002B55E9">
        <w:rPr>
          <w:rFonts w:hint="eastAsia"/>
        </w:rPr>
        <w:t>标准。即</w:t>
      </w:r>
      <w:r w:rsidRPr="002B55E9">
        <w:rPr>
          <w:rFonts w:hint="eastAsia"/>
        </w:rPr>
        <w:t>C</w:t>
      </w:r>
      <w:r w:rsidRPr="002B55E9">
        <w:t>OD50</w:t>
      </w:r>
      <w:r w:rsidRPr="002B55E9">
        <w:rPr>
          <w:rFonts w:hint="eastAsia"/>
        </w:rPr>
        <w:t>mg</w:t>
      </w:r>
      <w:r w:rsidRPr="002B55E9">
        <w:t>/L</w:t>
      </w:r>
      <w:r w:rsidRPr="002B55E9">
        <w:rPr>
          <w:rFonts w:hint="eastAsia"/>
        </w:rPr>
        <w:t>、氨氮</w:t>
      </w:r>
      <w:r w:rsidRPr="002B55E9">
        <w:rPr>
          <w:rFonts w:hint="eastAsia"/>
        </w:rPr>
        <w:t>5mg</w:t>
      </w:r>
      <w:r w:rsidRPr="002B55E9">
        <w:t>/L</w:t>
      </w:r>
      <w:r w:rsidRPr="002B55E9">
        <w:rPr>
          <w:rFonts w:hint="eastAsia"/>
        </w:rPr>
        <w:t>。</w:t>
      </w:r>
    </w:p>
    <w:p w14:paraId="413862DD" w14:textId="3102BAE3" w:rsidR="00D170E5" w:rsidRPr="002B55E9" w:rsidRDefault="00EF27AD">
      <w:pPr>
        <w:pStyle w:val="affff7"/>
        <w:adjustRightInd w:val="0"/>
        <w:snapToGrid w:val="0"/>
        <w:spacing w:after="0"/>
      </w:pPr>
      <w:r w:rsidRPr="002B55E9">
        <w:rPr>
          <w:rFonts w:hint="eastAsia"/>
        </w:rPr>
        <w:t>本项目建成后全厂废水排放量为</w:t>
      </w:r>
      <w:r w:rsidR="006E20C6" w:rsidRPr="002B55E9">
        <w:t>229575</w:t>
      </w:r>
      <w:r w:rsidRPr="002B55E9">
        <w:rPr>
          <w:rFonts w:hint="eastAsia"/>
        </w:rPr>
        <w:t>m</w:t>
      </w:r>
      <w:r w:rsidRPr="002B55E9">
        <w:rPr>
          <w:vertAlign w:val="superscript"/>
        </w:rPr>
        <w:t>3</w:t>
      </w:r>
      <w:r w:rsidRPr="002B55E9">
        <w:t>/</w:t>
      </w:r>
      <w:r w:rsidRPr="002B55E9">
        <w:rPr>
          <w:rFonts w:hint="eastAsia"/>
        </w:rPr>
        <w:t>a</w:t>
      </w:r>
      <w:r w:rsidRPr="002B55E9">
        <w:rPr>
          <w:rFonts w:hint="eastAsia"/>
        </w:rPr>
        <w:t>。</w:t>
      </w:r>
      <w:r w:rsidRPr="002B55E9">
        <w:t>计算得出拟建工程</w:t>
      </w:r>
      <w:r w:rsidRPr="002B55E9">
        <w:rPr>
          <w:rFonts w:hint="eastAsia"/>
        </w:rPr>
        <w:t>化学需氧量</w:t>
      </w:r>
      <w:r w:rsidRPr="002B55E9">
        <w:t>控制指标为</w:t>
      </w:r>
      <w:r w:rsidRPr="002B55E9">
        <w:t xml:space="preserve"> </w:t>
      </w:r>
      <w:r w:rsidR="006E20C6" w:rsidRPr="002B55E9">
        <w:t>11.48</w:t>
      </w:r>
      <w:r w:rsidRPr="002B55E9">
        <w:t>t/a</w:t>
      </w:r>
      <w:r w:rsidRPr="002B55E9">
        <w:t>、氨氮总量控制指标约为</w:t>
      </w:r>
      <w:r w:rsidR="006E20C6" w:rsidRPr="002B55E9">
        <w:t>1.148</w:t>
      </w:r>
      <w:r w:rsidRPr="002B55E9">
        <w:t>t/a</w:t>
      </w:r>
      <w:r w:rsidRPr="002B55E9">
        <w:t>。</w:t>
      </w:r>
    </w:p>
    <w:p w14:paraId="2B358EB7" w14:textId="77777777" w:rsidR="00D170E5" w:rsidRPr="002B55E9" w:rsidRDefault="00EF27AD">
      <w:pPr>
        <w:pStyle w:val="affff7"/>
        <w:snapToGrid w:val="0"/>
        <w:spacing w:after="0"/>
      </w:pPr>
      <w:r w:rsidRPr="002B55E9">
        <w:rPr>
          <w:rFonts w:ascii="宋体" w:hAnsi="宋体" w:cs="宋体" w:hint="eastAsia"/>
        </w:rPr>
        <w:t>②</w:t>
      </w:r>
      <w:r w:rsidRPr="002B55E9">
        <w:t>废气总量</w:t>
      </w:r>
    </w:p>
    <w:p w14:paraId="40B0DD25" w14:textId="69787D02" w:rsidR="00D170E5" w:rsidRPr="002B55E9" w:rsidRDefault="00EF27AD">
      <w:pPr>
        <w:pStyle w:val="affff7"/>
        <w:adjustRightInd w:val="0"/>
        <w:snapToGrid w:val="0"/>
        <w:spacing w:after="0"/>
      </w:pPr>
      <w:bookmarkStart w:id="422" w:name="_Hlk81410101"/>
      <w:r w:rsidRPr="002B55E9">
        <w:rPr>
          <w:rFonts w:hint="eastAsia"/>
        </w:rPr>
        <w:t>拟建项目涉及特征污染物主要为挥发性有机物和</w:t>
      </w:r>
      <w:r w:rsidRPr="002B55E9">
        <w:t>颗粒物</w:t>
      </w:r>
      <w:r w:rsidRPr="002B55E9">
        <w:rPr>
          <w:rFonts w:hint="eastAsia"/>
        </w:rPr>
        <w:t>。通过工程分析计算，拟建项目新增挥发性有机物</w:t>
      </w:r>
      <w:r w:rsidR="006E20C6" w:rsidRPr="002B55E9">
        <w:t>3.716</w:t>
      </w:r>
      <w:r w:rsidRPr="002B55E9">
        <w:rPr>
          <w:rFonts w:hint="eastAsia"/>
        </w:rPr>
        <w:t>t</w:t>
      </w:r>
      <w:r w:rsidRPr="002B55E9">
        <w:t>/</w:t>
      </w:r>
      <w:r w:rsidRPr="002B55E9">
        <w:rPr>
          <w:rFonts w:hint="eastAsia"/>
        </w:rPr>
        <w:t>a</w:t>
      </w:r>
      <w:r w:rsidRPr="002B55E9">
        <w:rPr>
          <w:rFonts w:hint="eastAsia"/>
        </w:rPr>
        <w:t>、</w:t>
      </w:r>
      <w:r w:rsidRPr="002B55E9">
        <w:t>颗粒物</w:t>
      </w:r>
      <w:r w:rsidRPr="002B55E9">
        <w:t>0.065t/a</w:t>
      </w:r>
      <w:r w:rsidRPr="002B55E9">
        <w:rPr>
          <w:rFonts w:hint="eastAsia"/>
        </w:rPr>
        <w:t>。。</w:t>
      </w:r>
    </w:p>
    <w:p w14:paraId="5C20A609" w14:textId="77777777" w:rsidR="00D170E5" w:rsidRPr="002B55E9" w:rsidRDefault="00EF27AD">
      <w:pPr>
        <w:pStyle w:val="3"/>
      </w:pPr>
      <w:bookmarkStart w:id="423" w:name="_Toc119309048"/>
      <w:r w:rsidRPr="002B55E9">
        <w:rPr>
          <w:rFonts w:hint="eastAsia"/>
        </w:rPr>
        <w:t>公众参与</w:t>
      </w:r>
      <w:bookmarkEnd w:id="423"/>
    </w:p>
    <w:p w14:paraId="6B8EA00D" w14:textId="77777777" w:rsidR="00D170E5" w:rsidRPr="002B55E9" w:rsidRDefault="00EF27AD">
      <w:pPr>
        <w:wordWrap w:val="0"/>
        <w:spacing w:after="60" w:line="360" w:lineRule="auto"/>
        <w:ind w:firstLineChars="200" w:firstLine="480"/>
        <w:rPr>
          <w:bCs/>
          <w:snapToGrid w:val="0"/>
          <w:sz w:val="24"/>
        </w:rPr>
      </w:pPr>
      <w:bookmarkStart w:id="424" w:name="_Hlk45140626"/>
      <w:r w:rsidRPr="002B55E9">
        <w:rPr>
          <w:rFonts w:hint="eastAsia"/>
          <w:bCs/>
          <w:snapToGrid w:val="0"/>
          <w:sz w:val="24"/>
        </w:rPr>
        <w:t>本次评价引用《海天醋酒建设项目（一期）公众参与说明》中的结论，</w:t>
      </w:r>
      <w:r w:rsidRPr="002B55E9">
        <w:rPr>
          <w:rFonts w:hint="eastAsia"/>
          <w:bCs/>
          <w:snapToGrid w:val="0"/>
          <w:sz w:val="24"/>
        </w:rPr>
        <w:t>202</w:t>
      </w:r>
      <w:r w:rsidRPr="002B55E9">
        <w:rPr>
          <w:bCs/>
          <w:snapToGrid w:val="0"/>
          <w:sz w:val="24"/>
        </w:rPr>
        <w:t>2</w:t>
      </w:r>
      <w:r w:rsidRPr="002B55E9">
        <w:rPr>
          <w:rFonts w:hint="eastAsia"/>
          <w:bCs/>
          <w:snapToGrid w:val="0"/>
          <w:sz w:val="24"/>
        </w:rPr>
        <w:t>年</w:t>
      </w:r>
      <w:r w:rsidRPr="002B55E9">
        <w:rPr>
          <w:bCs/>
          <w:snapToGrid w:val="0"/>
          <w:sz w:val="24"/>
        </w:rPr>
        <w:t>4</w:t>
      </w:r>
      <w:r w:rsidRPr="002B55E9">
        <w:rPr>
          <w:rFonts w:hint="eastAsia"/>
          <w:bCs/>
          <w:snapToGrid w:val="0"/>
          <w:sz w:val="24"/>
        </w:rPr>
        <w:t>月</w:t>
      </w:r>
      <w:r w:rsidRPr="002B55E9">
        <w:rPr>
          <w:rFonts w:hint="eastAsia"/>
          <w:bCs/>
          <w:snapToGrid w:val="0"/>
          <w:sz w:val="24"/>
        </w:rPr>
        <w:t>1</w:t>
      </w:r>
      <w:r w:rsidRPr="002B55E9">
        <w:rPr>
          <w:bCs/>
          <w:snapToGrid w:val="0"/>
          <w:sz w:val="24"/>
        </w:rPr>
        <w:t>8</w:t>
      </w:r>
      <w:r w:rsidRPr="002B55E9">
        <w:rPr>
          <w:rFonts w:hint="eastAsia"/>
          <w:bCs/>
          <w:snapToGrid w:val="0"/>
          <w:sz w:val="24"/>
        </w:rPr>
        <w:t>日，海天醋业（武汉）有限公司在</w:t>
      </w:r>
      <w:r w:rsidRPr="002B55E9">
        <w:rPr>
          <w:bCs/>
          <w:snapToGrid w:val="0"/>
          <w:sz w:val="24"/>
        </w:rPr>
        <w:t>在</w:t>
      </w:r>
      <w:r w:rsidRPr="002B55E9">
        <w:rPr>
          <w:rFonts w:hint="eastAsia"/>
          <w:bCs/>
          <w:snapToGrid w:val="0"/>
          <w:sz w:val="24"/>
        </w:rPr>
        <w:t>海天</w:t>
      </w:r>
      <w:r w:rsidRPr="002B55E9">
        <w:rPr>
          <w:bCs/>
          <w:snapToGrid w:val="0"/>
          <w:sz w:val="24"/>
        </w:rPr>
        <w:t>味业官方网站（</w:t>
      </w:r>
      <w:r w:rsidRPr="002B55E9">
        <w:rPr>
          <w:bCs/>
          <w:snapToGrid w:val="0"/>
          <w:sz w:val="24"/>
        </w:rPr>
        <w:t>http://www.haitian-food.com/index.php?ac=article&amp;at=read&amp;did=2486</w:t>
      </w:r>
      <w:r w:rsidRPr="002B55E9">
        <w:rPr>
          <w:bCs/>
          <w:snapToGrid w:val="0"/>
          <w:sz w:val="24"/>
        </w:rPr>
        <w:t>）</w:t>
      </w:r>
      <w:r w:rsidRPr="002B55E9">
        <w:rPr>
          <w:rFonts w:hint="eastAsia"/>
          <w:bCs/>
          <w:snapToGrid w:val="0"/>
          <w:sz w:val="24"/>
        </w:rPr>
        <w:t>发布</w:t>
      </w:r>
      <w:r w:rsidRPr="002B55E9">
        <w:rPr>
          <w:bCs/>
          <w:snapToGrid w:val="0"/>
          <w:sz w:val="24"/>
        </w:rPr>
        <w:t>了建设项目环评第一次公示</w:t>
      </w:r>
      <w:r w:rsidRPr="002B55E9">
        <w:rPr>
          <w:rFonts w:hint="eastAsia"/>
          <w:bCs/>
          <w:snapToGrid w:val="0"/>
          <w:sz w:val="24"/>
        </w:rPr>
        <w:t>，</w:t>
      </w:r>
      <w:r w:rsidRPr="002B55E9">
        <w:rPr>
          <w:rFonts w:hint="eastAsia"/>
          <w:bCs/>
          <w:snapToGrid w:val="0"/>
          <w:sz w:val="24"/>
        </w:rPr>
        <w:t>2022</w:t>
      </w:r>
      <w:r w:rsidRPr="002B55E9">
        <w:rPr>
          <w:rFonts w:hint="eastAsia"/>
          <w:bCs/>
          <w:snapToGrid w:val="0"/>
          <w:sz w:val="24"/>
        </w:rPr>
        <w:t>年</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5</w:t>
      </w:r>
      <w:r w:rsidRPr="002B55E9">
        <w:rPr>
          <w:rFonts w:hint="eastAsia"/>
          <w:bCs/>
          <w:snapToGrid w:val="0"/>
          <w:sz w:val="24"/>
        </w:rPr>
        <w:t>日在</w:t>
      </w:r>
      <w:r w:rsidRPr="002B55E9">
        <w:rPr>
          <w:bCs/>
          <w:snapToGrid w:val="0"/>
          <w:sz w:val="24"/>
        </w:rPr>
        <w:t>海天味业官方网站（</w:t>
      </w:r>
      <w:r w:rsidRPr="002B55E9">
        <w:rPr>
          <w:bCs/>
          <w:snapToGrid w:val="0"/>
          <w:sz w:val="24"/>
        </w:rPr>
        <w:t>http://www.haitian-food.com/index.php?ac=article&amp;at=read&amp;did=2558</w:t>
      </w:r>
      <w:r w:rsidRPr="002B55E9">
        <w:rPr>
          <w:bCs/>
          <w:snapToGrid w:val="0"/>
          <w:sz w:val="24"/>
        </w:rPr>
        <w:t>）</w:t>
      </w:r>
      <w:r w:rsidRPr="002B55E9">
        <w:rPr>
          <w:rFonts w:hint="eastAsia"/>
          <w:bCs/>
          <w:snapToGrid w:val="0"/>
          <w:sz w:val="24"/>
        </w:rPr>
        <w:t>上</w:t>
      </w:r>
      <w:r w:rsidRPr="002B55E9">
        <w:rPr>
          <w:bCs/>
          <w:snapToGrid w:val="0"/>
          <w:sz w:val="24"/>
        </w:rPr>
        <w:t>发布了</w:t>
      </w:r>
      <w:r w:rsidRPr="002B55E9">
        <w:rPr>
          <w:rFonts w:hint="eastAsia"/>
          <w:bCs/>
          <w:snapToGrid w:val="0"/>
          <w:sz w:val="24"/>
        </w:rPr>
        <w:t>《海天醋酒建设项目（一期）环境影响报告书》（</w:t>
      </w:r>
      <w:r w:rsidRPr="002B55E9">
        <w:rPr>
          <w:bCs/>
          <w:snapToGrid w:val="0"/>
          <w:sz w:val="24"/>
        </w:rPr>
        <w:t>征求意见稿</w:t>
      </w:r>
      <w:r w:rsidRPr="002B55E9">
        <w:rPr>
          <w:rFonts w:hint="eastAsia"/>
          <w:bCs/>
          <w:snapToGrid w:val="0"/>
          <w:sz w:val="24"/>
        </w:rPr>
        <w:t>）</w:t>
      </w:r>
      <w:r w:rsidRPr="002B55E9">
        <w:rPr>
          <w:bCs/>
          <w:snapToGrid w:val="0"/>
          <w:sz w:val="24"/>
        </w:rPr>
        <w:t>公示，，公示</w:t>
      </w:r>
      <w:r w:rsidRPr="002B55E9">
        <w:rPr>
          <w:rFonts w:hint="eastAsia"/>
          <w:bCs/>
          <w:snapToGrid w:val="0"/>
          <w:sz w:val="24"/>
        </w:rPr>
        <w:t>时限</w:t>
      </w:r>
      <w:r w:rsidRPr="002B55E9">
        <w:rPr>
          <w:bCs/>
          <w:snapToGrid w:val="0"/>
          <w:sz w:val="24"/>
        </w:rPr>
        <w:t>为</w:t>
      </w:r>
      <w:r w:rsidRPr="002B55E9">
        <w:rPr>
          <w:rFonts w:hint="eastAsia"/>
          <w:bCs/>
          <w:snapToGrid w:val="0"/>
          <w:sz w:val="24"/>
        </w:rPr>
        <w:t>2022</w:t>
      </w:r>
      <w:r w:rsidRPr="002B55E9">
        <w:rPr>
          <w:rFonts w:hint="eastAsia"/>
          <w:bCs/>
          <w:snapToGrid w:val="0"/>
          <w:sz w:val="24"/>
        </w:rPr>
        <w:t>年</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5</w:t>
      </w:r>
      <w:r w:rsidRPr="002B55E9">
        <w:rPr>
          <w:rFonts w:hint="eastAsia"/>
          <w:bCs/>
          <w:snapToGrid w:val="0"/>
          <w:sz w:val="24"/>
        </w:rPr>
        <w:t>日至</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19</w:t>
      </w:r>
      <w:r w:rsidRPr="002B55E9">
        <w:rPr>
          <w:rFonts w:hint="eastAsia"/>
          <w:bCs/>
          <w:snapToGrid w:val="0"/>
          <w:sz w:val="24"/>
        </w:rPr>
        <w:t>日，同时在海天</w:t>
      </w:r>
      <w:r w:rsidRPr="002B55E9">
        <w:rPr>
          <w:bCs/>
          <w:snapToGrid w:val="0"/>
          <w:sz w:val="24"/>
        </w:rPr>
        <w:t>醋业（</w:t>
      </w:r>
      <w:r w:rsidRPr="002B55E9">
        <w:rPr>
          <w:rFonts w:hint="eastAsia"/>
          <w:bCs/>
          <w:snapToGrid w:val="0"/>
          <w:sz w:val="24"/>
        </w:rPr>
        <w:t>武汉</w:t>
      </w:r>
      <w:r w:rsidRPr="002B55E9">
        <w:rPr>
          <w:bCs/>
          <w:snapToGrid w:val="0"/>
          <w:sz w:val="24"/>
        </w:rPr>
        <w:t>）</w:t>
      </w:r>
      <w:r w:rsidRPr="002B55E9">
        <w:rPr>
          <w:rFonts w:hint="eastAsia"/>
          <w:bCs/>
          <w:snapToGrid w:val="0"/>
          <w:sz w:val="24"/>
        </w:rPr>
        <w:t>有限公司</w:t>
      </w:r>
      <w:r w:rsidRPr="002B55E9">
        <w:rPr>
          <w:bCs/>
          <w:snapToGrid w:val="0"/>
          <w:sz w:val="24"/>
        </w:rPr>
        <w:t>厂区周边</w:t>
      </w:r>
      <w:r w:rsidRPr="002B55E9">
        <w:rPr>
          <w:rFonts w:hint="eastAsia"/>
          <w:bCs/>
          <w:snapToGrid w:val="0"/>
          <w:sz w:val="24"/>
        </w:rPr>
        <w:t>的</w:t>
      </w:r>
      <w:r w:rsidRPr="002B55E9">
        <w:rPr>
          <w:bCs/>
          <w:snapToGrid w:val="0"/>
          <w:sz w:val="24"/>
        </w:rPr>
        <w:t>孙家湾新村</w:t>
      </w:r>
      <w:r w:rsidRPr="002B55E9">
        <w:rPr>
          <w:rFonts w:hint="eastAsia"/>
          <w:bCs/>
          <w:snapToGrid w:val="0"/>
          <w:sz w:val="24"/>
        </w:rPr>
        <w:t>居委会</w:t>
      </w:r>
      <w:r w:rsidRPr="002B55E9">
        <w:rPr>
          <w:bCs/>
          <w:snapToGrid w:val="0"/>
          <w:sz w:val="24"/>
        </w:rPr>
        <w:t>、燕岭社区管委会、</w:t>
      </w:r>
      <w:r w:rsidRPr="002B55E9">
        <w:rPr>
          <w:rFonts w:hint="eastAsia"/>
          <w:bCs/>
          <w:snapToGrid w:val="0"/>
          <w:sz w:val="24"/>
        </w:rPr>
        <w:t>荷包湖农场</w:t>
      </w:r>
      <w:r w:rsidRPr="002B55E9">
        <w:rPr>
          <w:bCs/>
          <w:snapToGrid w:val="0"/>
          <w:sz w:val="24"/>
        </w:rPr>
        <w:t>四大队</w:t>
      </w:r>
      <w:r w:rsidRPr="002B55E9">
        <w:rPr>
          <w:rFonts w:hint="eastAsia"/>
          <w:bCs/>
          <w:snapToGrid w:val="0"/>
          <w:sz w:val="24"/>
        </w:rPr>
        <w:t>村</w:t>
      </w:r>
      <w:r w:rsidRPr="002B55E9">
        <w:rPr>
          <w:bCs/>
          <w:snapToGrid w:val="0"/>
          <w:sz w:val="24"/>
        </w:rPr>
        <w:t>居委会、</w:t>
      </w:r>
      <w:r w:rsidRPr="002B55E9">
        <w:rPr>
          <w:rFonts w:hint="eastAsia"/>
          <w:bCs/>
          <w:snapToGrid w:val="0"/>
          <w:sz w:val="24"/>
        </w:rPr>
        <w:t>新</w:t>
      </w:r>
      <w:r w:rsidRPr="002B55E9">
        <w:rPr>
          <w:bCs/>
          <w:snapToGrid w:val="0"/>
          <w:sz w:val="24"/>
        </w:rPr>
        <w:t>池村张贴了</w:t>
      </w:r>
      <w:r w:rsidRPr="002B55E9">
        <w:rPr>
          <w:rFonts w:hint="eastAsia"/>
          <w:bCs/>
          <w:snapToGrid w:val="0"/>
          <w:sz w:val="24"/>
        </w:rPr>
        <w:t>现场</w:t>
      </w:r>
      <w:r w:rsidRPr="002B55E9">
        <w:rPr>
          <w:bCs/>
          <w:snapToGrid w:val="0"/>
          <w:sz w:val="24"/>
        </w:rPr>
        <w:t>公告，公告</w:t>
      </w:r>
      <w:r w:rsidRPr="002B55E9">
        <w:rPr>
          <w:rFonts w:hint="eastAsia"/>
          <w:bCs/>
          <w:snapToGrid w:val="0"/>
          <w:sz w:val="24"/>
        </w:rPr>
        <w:t>时限</w:t>
      </w:r>
      <w:r w:rsidRPr="002B55E9">
        <w:rPr>
          <w:bCs/>
          <w:snapToGrid w:val="0"/>
          <w:sz w:val="24"/>
        </w:rPr>
        <w:t>为</w:t>
      </w:r>
      <w:r w:rsidRPr="002B55E9">
        <w:rPr>
          <w:rFonts w:hint="eastAsia"/>
          <w:bCs/>
          <w:snapToGrid w:val="0"/>
          <w:sz w:val="24"/>
        </w:rPr>
        <w:t>2022</w:t>
      </w:r>
      <w:r w:rsidRPr="002B55E9">
        <w:rPr>
          <w:rFonts w:hint="eastAsia"/>
          <w:bCs/>
          <w:snapToGrid w:val="0"/>
          <w:sz w:val="24"/>
        </w:rPr>
        <w:t>年</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5</w:t>
      </w:r>
      <w:r w:rsidRPr="002B55E9">
        <w:rPr>
          <w:rFonts w:hint="eastAsia"/>
          <w:bCs/>
          <w:snapToGrid w:val="0"/>
          <w:sz w:val="24"/>
        </w:rPr>
        <w:t>日</w:t>
      </w:r>
      <w:r w:rsidRPr="002B55E9">
        <w:rPr>
          <w:bCs/>
          <w:snapToGrid w:val="0"/>
          <w:sz w:val="24"/>
        </w:rPr>
        <w:t>至</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19</w:t>
      </w:r>
      <w:r w:rsidRPr="002B55E9">
        <w:rPr>
          <w:rFonts w:hint="eastAsia"/>
          <w:bCs/>
          <w:snapToGrid w:val="0"/>
          <w:sz w:val="24"/>
        </w:rPr>
        <w:t>日</w:t>
      </w:r>
      <w:r w:rsidRPr="002B55E9">
        <w:rPr>
          <w:bCs/>
          <w:snapToGrid w:val="0"/>
          <w:sz w:val="24"/>
        </w:rPr>
        <w:t>；并</w:t>
      </w:r>
      <w:r w:rsidRPr="002B55E9">
        <w:rPr>
          <w:rFonts w:hint="eastAsia"/>
          <w:bCs/>
          <w:snapToGrid w:val="0"/>
          <w:sz w:val="24"/>
        </w:rPr>
        <w:t>于</w:t>
      </w:r>
      <w:r w:rsidRPr="002B55E9">
        <w:rPr>
          <w:rFonts w:hint="eastAsia"/>
          <w:bCs/>
          <w:snapToGrid w:val="0"/>
          <w:sz w:val="24"/>
        </w:rPr>
        <w:t>2022</w:t>
      </w:r>
      <w:r w:rsidRPr="002B55E9">
        <w:rPr>
          <w:rFonts w:hint="eastAsia"/>
          <w:bCs/>
          <w:snapToGrid w:val="0"/>
          <w:sz w:val="24"/>
        </w:rPr>
        <w:t>年</w:t>
      </w:r>
      <w:r w:rsidRPr="002B55E9">
        <w:rPr>
          <w:rFonts w:hint="eastAsia"/>
          <w:bCs/>
          <w:snapToGrid w:val="0"/>
          <w:sz w:val="24"/>
        </w:rPr>
        <w:t>9</w:t>
      </w:r>
      <w:r w:rsidRPr="002B55E9">
        <w:rPr>
          <w:rFonts w:hint="eastAsia"/>
          <w:bCs/>
          <w:snapToGrid w:val="0"/>
          <w:sz w:val="24"/>
        </w:rPr>
        <w:t>月</w:t>
      </w:r>
      <w:r w:rsidRPr="002B55E9">
        <w:rPr>
          <w:rFonts w:hint="eastAsia"/>
          <w:bCs/>
          <w:snapToGrid w:val="0"/>
          <w:sz w:val="24"/>
        </w:rPr>
        <w:t>15</w:t>
      </w:r>
      <w:r w:rsidRPr="002B55E9">
        <w:rPr>
          <w:rFonts w:hint="eastAsia"/>
          <w:bCs/>
          <w:snapToGrid w:val="0"/>
          <w:sz w:val="24"/>
        </w:rPr>
        <w:t>日</w:t>
      </w:r>
      <w:r w:rsidRPr="002B55E9">
        <w:rPr>
          <w:bCs/>
          <w:snapToGrid w:val="0"/>
          <w:sz w:val="24"/>
        </w:rPr>
        <w:t>、</w:t>
      </w:r>
      <w:r w:rsidRPr="002B55E9">
        <w:rPr>
          <w:rFonts w:hint="eastAsia"/>
          <w:bCs/>
          <w:snapToGrid w:val="0"/>
          <w:sz w:val="24"/>
        </w:rPr>
        <w:t>16</w:t>
      </w:r>
      <w:r w:rsidRPr="002B55E9">
        <w:rPr>
          <w:rFonts w:hint="eastAsia"/>
          <w:bCs/>
          <w:snapToGrid w:val="0"/>
          <w:sz w:val="24"/>
        </w:rPr>
        <w:t>日</w:t>
      </w:r>
      <w:r w:rsidRPr="002B55E9">
        <w:rPr>
          <w:bCs/>
          <w:snapToGrid w:val="0"/>
          <w:sz w:val="24"/>
        </w:rPr>
        <w:t>先后在湖北日报上</w:t>
      </w:r>
      <w:r w:rsidRPr="002B55E9">
        <w:rPr>
          <w:rFonts w:hint="eastAsia"/>
          <w:bCs/>
          <w:snapToGrid w:val="0"/>
          <w:sz w:val="24"/>
        </w:rPr>
        <w:t>进行</w:t>
      </w:r>
      <w:r w:rsidRPr="002B55E9">
        <w:rPr>
          <w:bCs/>
          <w:snapToGrid w:val="0"/>
          <w:sz w:val="24"/>
        </w:rPr>
        <w:t>了征求意见稿公示，</w:t>
      </w:r>
      <w:r w:rsidRPr="002B55E9">
        <w:rPr>
          <w:rFonts w:hint="eastAsia"/>
          <w:bCs/>
          <w:snapToGrid w:val="0"/>
          <w:sz w:val="24"/>
        </w:rPr>
        <w:t>公示期间</w:t>
      </w:r>
      <w:r w:rsidRPr="002B55E9">
        <w:rPr>
          <w:bCs/>
          <w:snapToGrid w:val="0"/>
          <w:sz w:val="24"/>
        </w:rPr>
        <w:t>相关单位均未收到公众对该项目的</w:t>
      </w:r>
      <w:r w:rsidRPr="002B55E9">
        <w:rPr>
          <w:rFonts w:hint="eastAsia"/>
          <w:bCs/>
          <w:snapToGrid w:val="0"/>
          <w:sz w:val="24"/>
        </w:rPr>
        <w:t>反对</w:t>
      </w:r>
      <w:r w:rsidRPr="002B55E9">
        <w:rPr>
          <w:bCs/>
          <w:snapToGrid w:val="0"/>
          <w:sz w:val="24"/>
        </w:rPr>
        <w:t>意见。</w:t>
      </w:r>
    </w:p>
    <w:p w14:paraId="599F0B6E" w14:textId="77777777" w:rsidR="00D170E5" w:rsidRPr="002B55E9" w:rsidRDefault="00EF27AD">
      <w:pPr>
        <w:pStyle w:val="3"/>
      </w:pPr>
      <w:bookmarkStart w:id="425" w:name="_Toc119309049"/>
      <w:bookmarkStart w:id="426" w:name="_Toc68861201"/>
      <w:bookmarkStart w:id="427" w:name="_Toc141528329"/>
      <w:bookmarkStart w:id="428" w:name="_Toc139440670"/>
      <w:bookmarkEnd w:id="420"/>
      <w:bookmarkEnd w:id="421"/>
      <w:bookmarkEnd w:id="422"/>
      <w:bookmarkEnd w:id="424"/>
      <w:r w:rsidRPr="002B55E9">
        <w:t>环评总结论</w:t>
      </w:r>
      <w:bookmarkEnd w:id="425"/>
      <w:bookmarkEnd w:id="426"/>
      <w:bookmarkEnd w:id="427"/>
      <w:bookmarkEnd w:id="428"/>
    </w:p>
    <w:p w14:paraId="45866CC7" w14:textId="77777777" w:rsidR="00D170E5" w:rsidRPr="002B55E9" w:rsidRDefault="00EF27AD">
      <w:pPr>
        <w:pStyle w:val="affff7"/>
        <w:adjustRightInd w:val="0"/>
        <w:snapToGrid w:val="0"/>
        <w:spacing w:after="0"/>
      </w:pPr>
      <w:r w:rsidRPr="002B55E9">
        <w:lastRenderedPageBreak/>
        <w:t>综上所述，</w:t>
      </w:r>
      <w:bookmarkStart w:id="429" w:name="_Hlk81410117"/>
      <w:r w:rsidRPr="002B55E9">
        <w:t>拟建项目符合国家相关产业政策和城市总体规划。项目在建设中和建成运行以后将产生一定程度的废气、污水、噪声及固体废物的污染，在落实施清洁生产、严格采取本评价提出补充措施、实施环境管理与监测计划以及主要污染物总量控制方案以后，项目对周围环境的影响可以控制在国家有关标准和要求的允许范围以内，并将产生较好的社会、经济和环境效益。因此，该项目的建设方案和规划，在环境保护方面是可行的，可以按拟定规模及计划实施。</w:t>
      </w:r>
      <w:bookmarkEnd w:id="429"/>
    </w:p>
    <w:p w14:paraId="5107E4C2" w14:textId="77777777" w:rsidR="00D170E5" w:rsidRPr="002B55E9" w:rsidRDefault="00EF27AD">
      <w:pPr>
        <w:pStyle w:val="affff7"/>
        <w:tabs>
          <w:tab w:val="left" w:pos="6310"/>
        </w:tabs>
        <w:ind w:firstLineChars="0" w:firstLine="0"/>
      </w:pPr>
      <w:r w:rsidRPr="002B55E9">
        <w:tab/>
      </w:r>
    </w:p>
    <w:p w14:paraId="36DFD7D8" w14:textId="77777777" w:rsidR="00D170E5" w:rsidRPr="002B55E9" w:rsidRDefault="00D170E5">
      <w:pPr>
        <w:pStyle w:val="affff7"/>
        <w:ind w:firstLineChars="0" w:firstLine="0"/>
      </w:pPr>
    </w:p>
    <w:p w14:paraId="44684C7D" w14:textId="77777777" w:rsidR="00D170E5" w:rsidRPr="002B55E9" w:rsidRDefault="00D170E5">
      <w:pPr>
        <w:pStyle w:val="affff7"/>
        <w:ind w:firstLineChars="0" w:firstLine="0"/>
      </w:pPr>
    </w:p>
    <w:sectPr w:rsidR="00D170E5" w:rsidRPr="002B55E9">
      <w:headerReference w:type="default" r:id="rId115"/>
      <w:pgSz w:w="11905" w:h="16838"/>
      <w:pgMar w:top="1134" w:right="1134" w:bottom="1134" w:left="1134" w:header="737" w:footer="624" w:gutter="0"/>
      <w:cols w:space="720"/>
      <w:docGrid w:linePitch="312"/>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 wne:kcmPrimary="0073">
      <wne:acd wne:acdName="acd2"/>
    </wne:keymap>
    <wne:keymap wne:kcmPrimary="0074">
      <wne:acd wne:acdName="acd3"/>
    </wne:keymap>
    <wne:keymap wne:kcmPrimary="0075">
      <wne:acd wne:acdName="acd4"/>
    </wne:keymap>
    <wne:keymap wne:kcmPrimary="0076">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gBoiDRZN2gPXzEA" wne:acdName="acd0" wne:fciIndexBasedOn="0065"/>
    <wne:acd wne:argValue="AgBoiIVRPGgPXw==" wne:acdName="acd1" wne:fciIndexBasedOn="0065"/>
    <wne:acd wne:argValue="AgAbVKaQY2uHZQ==" wne:acdName="acd2" wne:fciIndexBasedOn="0065"/>
    <wne:acd wne:argValue="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" wne:acdName="acd3" wne:fciIndexBasedOn="0065"/>
    <wne:acd wne:argValue="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" wne:acdName="acd4" wne:fciIndexBasedOn="0065"/>
    <wne:acd wne:argValue="AgAHaJiYIAA1ACwAAE6nfnmYLAAxACwAYgAsADUAIABzAHUAYgAtAGIAdQBsAGwAZQB0ACwAcwBi&#10;ACwANAAgAEMAaABhAHIAIABDAGgAYQByACwANAAgAEMAaABhAHIALACUTiwAMQApACwAeZgsAAdo&#10;NQAgAEMAaABhAHIALAAHaDUALAAHaJiYIAA1ACAAQwBoAGEAcgAsADEAKQAgAEMAaABhAHIALAB5&#10;mCAAQwBoAGEAcg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F261B" w14:textId="77777777" w:rsidR="00A8249C" w:rsidRDefault="00A8249C">
      <w:r>
        <w:separator/>
      </w:r>
    </w:p>
  </w:endnote>
  <w:endnote w:type="continuationSeparator" w:id="0">
    <w:p w14:paraId="5D06C88D" w14:textId="77777777" w:rsidR="00A8249C" w:rsidRDefault="00A8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Times">
    <w:panose1 w:val="02020603050405020304"/>
    <w:charset w:val="00"/>
    <w:family w:val="roman"/>
    <w:pitch w:val="variable"/>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宋体-方正超大字符集">
    <w:altName w:val="宋体"/>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创艺简仿宋">
    <w:altName w:val="黑体"/>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等线 Light">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charset w:val="00"/>
    <w:family w:val="roman"/>
    <w:pitch w:val="default"/>
    <w:sig w:usb0="00000000" w:usb1="00000000" w:usb2="00000010" w:usb3="00000000" w:csb0="0004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Comic Sans MS">
    <w:panose1 w:val="030F0702030302020204"/>
    <w:charset w:val="00"/>
    <w:family w:val="script"/>
    <w:pitch w:val="variable"/>
    <w:sig w:usb0="00000287" w:usb1="00000000" w:usb2="00000000" w:usb3="00000000" w:csb0="0000009F" w:csb1="00000000"/>
  </w:font>
  <w:font w:name="”“Times New Roman”“">
    <w:altName w:val="宋体"/>
    <w:charset w:val="86"/>
    <w:family w:val="roman"/>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DFKai-SB">
    <w:panose1 w:val="03000509000000000000"/>
    <w:charset w:val="88"/>
    <w:family w:val="script"/>
    <w:pitch w:val="fixed"/>
    <w:sig w:usb0="00000003" w:usb1="080E0000" w:usb2="00000016" w:usb3="00000000" w:csb0="00100001" w:csb1="00000000"/>
  </w:font>
  <w:font w:name="華康粗黑體">
    <w:altName w:val="Microsoft JhengHei"/>
    <w:charset w:val="88"/>
    <w:family w:val="modern"/>
    <w:pitch w:val="default"/>
    <w:sig w:usb0="00000000" w:usb1="000000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Bookman Old Style">
    <w:panose1 w:val="020506040505050202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文鼎大标宋简">
    <w:altName w:val="宋体"/>
    <w:charset w:val="86"/>
    <w:family w:val="modern"/>
    <w:pitch w:val="default"/>
    <w:sig w:usb0="00000000" w:usb1="00000000" w:usb2="00000000" w:usb3="00000000" w:csb0="00040001" w:csb1="00000000"/>
  </w:font>
  <w:font w:name="文鼎CS中宋">
    <w:altName w:val="宋体"/>
    <w:charset w:val="86"/>
    <w:family w:val="modern"/>
    <w:pitch w:val="default"/>
    <w:sig w:usb0="00000000" w:usb1="00000000" w:usb2="00000010" w:usb3="00000000" w:csb0="00040000" w:csb1="00000000"/>
  </w:font>
  <w:font w:name="文鼎CS细等线">
    <w:altName w:val="黑体"/>
    <w:charset w:val="86"/>
    <w:family w:val="moder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Dutch801 Rm BT">
    <w:panose1 w:val="02020603060505020304"/>
    <w:charset w:val="00"/>
    <w:family w:val="roman"/>
    <w:pitch w:val="variable"/>
    <w:sig w:usb0="00000087" w:usb1="00000000" w:usb2="00000000" w:usb3="00000000" w:csb0="0000001B" w:csb1="00000000"/>
  </w:font>
  <w:font w:name="華康隸書體">
    <w:altName w:val="Microsoft JhengHei"/>
    <w:charset w:val="88"/>
    <w:family w:val="modern"/>
    <w:pitch w:val="default"/>
    <w:sig w:usb0="00000000" w:usb1="00000000" w:usb2="00000000" w:usb3="00000000" w:csb0="00040001" w:csb1="00000000"/>
  </w:font>
  <w:font w:name="華康中楷體">
    <w:altName w:val="Microsoft JhengHei"/>
    <w:charset w:val="88"/>
    <w:family w:val="auto"/>
    <w:pitch w:val="default"/>
    <w:sig w:usb0="00000000" w:usb1="0000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文鼎CS行楷">
    <w:altName w:val="宋体"/>
    <w:charset w:val="86"/>
    <w:family w:val="modern"/>
    <w:pitch w:val="default"/>
    <w:sig w:usb0="00000000" w:usb1="00000000" w:usb2="00000000" w:usb3="00000000" w:csb0="00040001" w:csb1="00000000"/>
  </w:font>
  <w:font w:name="大标宋">
    <w:altName w:val="宋体"/>
    <w:charset w:val="86"/>
    <w:family w:val="modern"/>
    <w:pitch w:val="default"/>
    <w:sig w:usb0="00000000" w:usb1="00000000" w:usb2="00000000" w:usb3="00000000" w:csb0="00040001" w:csb1="00000000"/>
  </w:font>
  <w:font w:name="文鼎CS大宋">
    <w:altName w:val="MS Mincho"/>
    <w:charset w:val="86"/>
    <w:family w:val="modern"/>
    <w:pitch w:val="default"/>
  </w:font>
  <w:font w:name="仿宋体">
    <w:altName w:val="宋体"/>
    <w:charset w:val="86"/>
    <w:family w:val="roman"/>
    <w:pitch w:val="default"/>
    <w:sig w:usb0="00000000" w:usb1="00000000" w:usb2="00000010" w:usb3="00000000" w:csb0="00040000" w:csb1="00000000"/>
  </w:font>
  <w:font w:name="Roman 10cpi">
    <w:altName w:val="Lucida Console"/>
    <w:charset w:val="00"/>
    <w:family w:val="moder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G Times (W1)">
    <w:altName w:val="Times New Roman"/>
    <w:charset w:val="00"/>
    <w:family w:val="roman"/>
    <w:pitch w:val="default"/>
    <w:sig w:usb0="00000000" w:usb1="00000000" w:usb2="00000000" w:usb3="00000000" w:csb0="00000001" w:csb1="00000000"/>
  </w:font>
  <w:font w:name="_GB2312">
    <w:altName w:val="Times New Roman"/>
    <w:charset w:val="00"/>
    <w:family w:val="auto"/>
    <w:pitch w:val="default"/>
    <w:sig w:usb0="00000000" w:usb1="00000000" w:usb2="0000000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9682" w14:textId="77777777" w:rsidR="003C27EE" w:rsidRDefault="003C27EE">
    <w:pPr>
      <w:pStyle w:val="aff5"/>
      <w:framePr w:wrap="around" w:vAnchor="text" w:hAnchor="margin" w:xAlign="center" w:y="1"/>
      <w:rPr>
        <w:rStyle w:val="afff3"/>
      </w:rPr>
    </w:pPr>
    <w:r>
      <w:fldChar w:fldCharType="begin"/>
    </w:r>
    <w:r>
      <w:rPr>
        <w:rStyle w:val="afff3"/>
      </w:rPr>
      <w:instrText xml:space="preserve">PAGE  </w:instrText>
    </w:r>
    <w:r>
      <w:fldChar w:fldCharType="end"/>
    </w:r>
  </w:p>
  <w:p w14:paraId="3F78FAB4" w14:textId="77777777" w:rsidR="003C27EE" w:rsidRDefault="003C27EE">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380080"/>
      <w:docPartObj>
        <w:docPartGallery w:val="AutoText"/>
      </w:docPartObj>
    </w:sdtPr>
    <w:sdtEndPr/>
    <w:sdtContent>
      <w:p w14:paraId="0DB5A263" w14:textId="43A2E484" w:rsidR="003C27EE" w:rsidRDefault="003C27EE">
        <w:pPr>
          <w:pStyle w:val="aff5"/>
          <w:jc w:val="center"/>
        </w:pPr>
        <w:r>
          <w:fldChar w:fldCharType="begin"/>
        </w:r>
        <w:r>
          <w:instrText>PAGE   \* MERGEFORMAT</w:instrText>
        </w:r>
        <w:r>
          <w:fldChar w:fldCharType="separate"/>
        </w:r>
        <w:r w:rsidR="00A0289F" w:rsidRPr="00A0289F">
          <w:rPr>
            <w:noProof/>
            <w:lang w:val="zh-CN"/>
          </w:rPr>
          <w:t>3</w:t>
        </w:r>
        <w:r>
          <w:fldChar w:fldCharType="end"/>
        </w:r>
      </w:p>
    </w:sdtContent>
  </w:sdt>
  <w:p w14:paraId="0C235E33" w14:textId="77777777" w:rsidR="003C27EE" w:rsidRDefault="003C27EE">
    <w:pPr>
      <w:pStyle w:val="aff5"/>
      <w:pBdr>
        <w:top w:val="single" w:sz="8" w:space="1" w:color="auto"/>
      </w:pBdr>
      <w:adjustRightInd w:val="0"/>
      <w:jc w:val="right"/>
      <w:rPr>
        <w:b/>
        <w:b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984330"/>
      <w:docPartObj>
        <w:docPartGallery w:val="AutoText"/>
      </w:docPartObj>
    </w:sdtPr>
    <w:sdtEndPr/>
    <w:sdtContent>
      <w:p w14:paraId="34E0111F" w14:textId="4839B911" w:rsidR="003C27EE" w:rsidRDefault="003C27EE">
        <w:pPr>
          <w:pStyle w:val="aff5"/>
          <w:jc w:val="center"/>
        </w:pPr>
        <w:r>
          <w:fldChar w:fldCharType="begin"/>
        </w:r>
        <w:r>
          <w:instrText>PAGE   \* MERGEFORMAT</w:instrText>
        </w:r>
        <w:r>
          <w:fldChar w:fldCharType="separate"/>
        </w:r>
        <w:r w:rsidR="00A0289F" w:rsidRPr="00A0289F">
          <w:rPr>
            <w:noProof/>
            <w:lang w:val="zh-CN"/>
          </w:rPr>
          <w:t>2</w:t>
        </w:r>
        <w:r>
          <w:fldChar w:fldCharType="end"/>
        </w:r>
      </w:p>
    </w:sdtContent>
  </w:sdt>
  <w:p w14:paraId="12FDB52C" w14:textId="77777777" w:rsidR="003C27EE" w:rsidRDefault="003C27EE">
    <w:pPr>
      <w:pStyle w:val="aff5"/>
      <w:adjustRightInd w:val="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361357"/>
      <w:docPartObj>
        <w:docPartGallery w:val="AutoText"/>
      </w:docPartObj>
    </w:sdtPr>
    <w:sdtEndPr/>
    <w:sdtContent>
      <w:p w14:paraId="67BC8E63" w14:textId="12A714AD" w:rsidR="003C27EE" w:rsidRDefault="003C27EE">
        <w:pPr>
          <w:pStyle w:val="aff5"/>
          <w:jc w:val="center"/>
        </w:pPr>
        <w:r>
          <w:fldChar w:fldCharType="begin"/>
        </w:r>
        <w:r>
          <w:instrText>PAGE   \* MERGEFORMAT</w:instrText>
        </w:r>
        <w:r>
          <w:fldChar w:fldCharType="separate"/>
        </w:r>
        <w:r w:rsidR="00A0289F" w:rsidRPr="00A0289F">
          <w:rPr>
            <w:noProof/>
            <w:lang w:val="zh-CN"/>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12862" w14:textId="77777777" w:rsidR="00A8249C" w:rsidRDefault="00A8249C">
      <w:r>
        <w:separator/>
      </w:r>
    </w:p>
  </w:footnote>
  <w:footnote w:type="continuationSeparator" w:id="0">
    <w:p w14:paraId="4BFCA521" w14:textId="77777777" w:rsidR="00A8249C" w:rsidRDefault="00A82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9DD7C" w14:textId="77777777" w:rsidR="003C27EE" w:rsidRDefault="003C27EE">
    <w:pPr>
      <w:pStyle w:val="aff7"/>
      <w:pBdr>
        <w:bottom w:val="single" w:sz="6" w:space="0" w:color="auto"/>
      </w:pBdr>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5C31B"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6.</w:t>
    </w:r>
    <w:r>
      <w:rPr>
        <w:rFonts w:hint="eastAsia"/>
        <w:b/>
        <w:bCs/>
      </w:rPr>
      <w:t>环境风险评价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77FBD"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7.</w:t>
    </w:r>
    <w:r>
      <w:rPr>
        <w:rFonts w:hint="eastAsia"/>
        <w:b/>
        <w:bCs/>
      </w:rPr>
      <w:t>污染</w:t>
    </w:r>
    <w:r>
      <w:rPr>
        <w:b/>
        <w:bCs/>
      </w:rPr>
      <w:t>防治措施分析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10E45"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8.</w:t>
    </w:r>
    <w:r>
      <w:rPr>
        <w:rFonts w:hint="eastAsia"/>
        <w:b/>
        <w:bCs/>
      </w:rPr>
      <w:t>清洁生产</w:t>
    </w:r>
    <w:r>
      <w:rPr>
        <w:b/>
        <w:bCs/>
      </w:rPr>
      <w:t>和总量</w:t>
    </w:r>
    <w:r>
      <w:rPr>
        <w:rFonts w:hint="eastAsia"/>
        <w:b/>
        <w:bCs/>
      </w:rPr>
      <w:t>控制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B9C70"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9.</w:t>
    </w:r>
    <w:r>
      <w:rPr>
        <w:rFonts w:hint="eastAsia"/>
        <w:b/>
        <w:bCs/>
      </w:rPr>
      <w:t>产业政策与城市总体规划</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61E43"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10.</w:t>
    </w:r>
    <w:r>
      <w:rPr>
        <w:rFonts w:hint="eastAsia"/>
        <w:b/>
        <w:bCs/>
      </w:rPr>
      <w:t>环境经济损益分析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260EB"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1</w:t>
    </w:r>
    <w:r>
      <w:rPr>
        <w:rFonts w:hint="eastAsia"/>
        <w:b/>
        <w:bCs/>
      </w:rPr>
      <w:t>1.</w:t>
    </w:r>
    <w:r>
      <w:rPr>
        <w:rFonts w:hint="eastAsia"/>
        <w:b/>
        <w:bCs/>
      </w:rPr>
      <w:t>环境管理和环境监测计划</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1711E" w14:textId="77777777" w:rsidR="003C27EE" w:rsidRDefault="003C27EE">
    <w:pPr>
      <w:pStyle w:val="aff7"/>
      <w:jc w:val="both"/>
      <w:rPr>
        <w:b/>
        <w:bCs/>
      </w:rPr>
    </w:pPr>
    <w:r>
      <w:rPr>
        <w:rFonts w:hint="eastAsia"/>
        <w:b/>
        <w:bCs/>
      </w:rPr>
      <w:t>海天醋酒建设项目（一期）环境影响报告书</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12.</w:t>
    </w:r>
    <w:r>
      <w:rPr>
        <w:rFonts w:hint="eastAsia"/>
        <w:b/>
        <w:bCs/>
      </w:rPr>
      <w:t>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61940" w14:textId="77777777" w:rsidR="003C27EE" w:rsidRDefault="003C27EE">
    <w:pPr>
      <w:pStyle w:val="aff7"/>
      <w:pBdr>
        <w:bottom w:val="single" w:sz="6" w:space="0" w:color="auto"/>
      </w:pBdr>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rFonts w:hint="eastAsia"/>
        <w:b/>
        <w:bCs/>
      </w:rPr>
      <w:t>附图、附件、附表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DEC10" w14:textId="77777777" w:rsidR="003C27EE" w:rsidRDefault="003C27EE">
    <w:pPr>
      <w:pStyle w:val="aff7"/>
      <w:pBdr>
        <w:bottom w:val="single" w:sz="6" w:space="0" w:color="auto"/>
      </w:pBdr>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rFonts w:hint="eastAsia"/>
        <w:b/>
        <w:bCs/>
      </w:rPr>
      <w:t>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21192"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1.</w:t>
    </w:r>
    <w:r>
      <w:rPr>
        <w:rFonts w:hint="eastAsia"/>
        <w:b/>
        <w:bCs/>
      </w:rPr>
      <w:t>总论</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EC979" w14:textId="77777777" w:rsidR="003C27EE" w:rsidRDefault="003C27EE">
    <w:pPr>
      <w:pStyle w:val="aff7"/>
      <w:jc w:val="left"/>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2</w:t>
    </w:r>
    <w:r>
      <w:rPr>
        <w:rFonts w:hint="eastAsia"/>
        <w:b/>
        <w:bCs/>
      </w:rPr>
      <w:t>.</w:t>
    </w:r>
    <w:r>
      <w:rPr>
        <w:rFonts w:hint="eastAsia"/>
        <w:b/>
        <w:bCs/>
      </w:rPr>
      <w:t>拟建项目概况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70B23"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3.</w:t>
    </w:r>
    <w:r>
      <w:rPr>
        <w:rFonts w:hint="eastAsia"/>
        <w:b/>
        <w:bCs/>
      </w:rPr>
      <w:t>拟建项目工程分析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EBBB4"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3.</w:t>
    </w:r>
    <w:r>
      <w:rPr>
        <w:rFonts w:hint="eastAsia"/>
        <w:b/>
        <w:bCs/>
      </w:rPr>
      <w:t>拟建项目工程分析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8E882"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4.</w:t>
    </w:r>
    <w:r>
      <w:rPr>
        <w:rFonts w:hint="eastAsia"/>
        <w:b/>
        <w:bCs/>
      </w:rPr>
      <w:t>环境质量现状调查与评价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88803" w14:textId="77777777" w:rsidR="003C27EE" w:rsidRDefault="003C27EE">
    <w:pPr>
      <w:pStyle w:val="aff7"/>
      <w:jc w:val="both"/>
      <w:rPr>
        <w:b/>
        <w:bCs/>
      </w:rPr>
    </w:pPr>
    <w:r>
      <w:rPr>
        <w:rFonts w:hint="eastAsia"/>
        <w:b/>
        <w:bCs/>
      </w:rPr>
      <w:t>海天醋酒建设项目（一期）环境影响报告书</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5.</w:t>
    </w:r>
    <w:r>
      <w:rPr>
        <w:rFonts w:hint="eastAsia"/>
        <w:b/>
        <w:bCs/>
      </w:rPr>
      <w:t>环境影响预测与评价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BA7EA1"/>
    <w:multiLevelType w:val="multilevel"/>
    <w:tmpl w:val="F9BA7EA1"/>
    <w:lvl w:ilvl="0">
      <w:start w:val="1"/>
      <w:numFmt w:val="decimal"/>
      <w:lvlText w:val="%1"/>
      <w:lvlJc w:val="left"/>
      <w:pPr>
        <w:tabs>
          <w:tab w:val="left" w:pos="858"/>
        </w:tabs>
        <w:ind w:left="858" w:hanging="432"/>
      </w:pPr>
      <w:rPr>
        <w:rFonts w:hint="eastAsia"/>
      </w:rPr>
    </w:lvl>
    <w:lvl w:ilvl="1">
      <w:start w:val="1"/>
      <w:numFmt w:val="decimal"/>
      <w:lvlText w:val="%2"/>
      <w:lvlJc w:val="left"/>
      <w:pPr>
        <w:tabs>
          <w:tab w:val="left" w:pos="993"/>
        </w:tabs>
        <w:ind w:left="993" w:hanging="567"/>
      </w:pPr>
      <w:rPr>
        <w:rFonts w:hint="eastAsia"/>
      </w:rPr>
    </w:lvl>
    <w:lvl w:ilvl="2">
      <w:start w:val="1"/>
      <w:numFmt w:val="decimal"/>
      <w:lvlText w:val="%2.%3"/>
      <w:lvlJc w:val="left"/>
      <w:pPr>
        <w:tabs>
          <w:tab w:val="left" w:pos="1146"/>
        </w:tabs>
        <w:ind w:left="1146" w:hanging="720"/>
      </w:pPr>
      <w:rPr>
        <w:rFonts w:hint="default"/>
        <w:b/>
        <w:bCs/>
      </w:rPr>
    </w:lvl>
    <w:lvl w:ilvl="3">
      <w:start w:val="1"/>
      <w:numFmt w:val="decimal"/>
      <w:lvlText w:val="%2.%3.%4"/>
      <w:lvlJc w:val="left"/>
      <w:pPr>
        <w:tabs>
          <w:tab w:val="left" w:pos="1570"/>
        </w:tabs>
        <w:ind w:left="0" w:firstLine="0"/>
      </w:pPr>
      <w:rPr>
        <w:rFonts w:hint="default"/>
      </w:rPr>
    </w:lvl>
    <w:lvl w:ilvl="4">
      <w:start w:val="1"/>
      <w:numFmt w:val="decimal"/>
      <w:lvlText w:val="%2.%3.%4.%5"/>
      <w:lvlJc w:val="left"/>
      <w:pPr>
        <w:tabs>
          <w:tab w:val="left" w:pos="1146"/>
        </w:tabs>
        <w:ind w:left="426" w:firstLine="0"/>
      </w:pPr>
      <w:rPr>
        <w:rFonts w:ascii="Times New Roman" w:eastAsia="宋体" w:hAnsi="Times New Roman" w:hint="default"/>
        <w:b/>
        <w:i w:val="0"/>
        <w:sz w:val="24"/>
      </w:rPr>
    </w:lvl>
    <w:lvl w:ilvl="5">
      <w:start w:val="1"/>
      <w:numFmt w:val="decimal"/>
      <w:lvlText w:val="%1.%2.%3.%4.%5.%6"/>
      <w:lvlJc w:val="left"/>
      <w:pPr>
        <w:tabs>
          <w:tab w:val="left" w:pos="1578"/>
        </w:tabs>
        <w:ind w:left="1578" w:hanging="1152"/>
      </w:pPr>
      <w:rPr>
        <w:rFonts w:hint="eastAsia"/>
      </w:rPr>
    </w:lvl>
    <w:lvl w:ilvl="6">
      <w:start w:val="1"/>
      <w:numFmt w:val="decimal"/>
      <w:lvlText w:val="%1.%2.%3.%4.%5.%6.%7"/>
      <w:lvlJc w:val="left"/>
      <w:pPr>
        <w:tabs>
          <w:tab w:val="left" w:pos="1722"/>
        </w:tabs>
        <w:ind w:left="1722" w:hanging="1296"/>
      </w:pPr>
      <w:rPr>
        <w:rFonts w:hint="eastAsia"/>
      </w:rPr>
    </w:lvl>
    <w:lvl w:ilvl="7">
      <w:start w:val="1"/>
      <w:numFmt w:val="decimal"/>
      <w:lvlText w:val="%1.%2.%3.%4.%5.%6.%7.%8"/>
      <w:lvlJc w:val="left"/>
      <w:pPr>
        <w:tabs>
          <w:tab w:val="left" w:pos="1866"/>
        </w:tabs>
        <w:ind w:left="1866" w:hanging="1440"/>
      </w:pPr>
      <w:rPr>
        <w:rFonts w:hint="eastAsia"/>
      </w:rPr>
    </w:lvl>
    <w:lvl w:ilvl="8">
      <w:start w:val="1"/>
      <w:numFmt w:val="decimal"/>
      <w:lvlText w:val="%1.%2.%3.%4.%5.%6.%7.%8.%9"/>
      <w:lvlJc w:val="left"/>
      <w:pPr>
        <w:tabs>
          <w:tab w:val="left" w:pos="2010"/>
        </w:tabs>
        <w:ind w:left="2010" w:hanging="1584"/>
      </w:pPr>
      <w:rPr>
        <w:rFonts w:hint="eastAsia"/>
      </w:rPr>
    </w:lvl>
  </w:abstractNum>
  <w:abstractNum w:abstractNumId="1">
    <w:nsid w:val="FAFAE9D0"/>
    <w:multiLevelType w:val="singleLevel"/>
    <w:tmpl w:val="FAFAE9D0"/>
    <w:lvl w:ilvl="0">
      <w:start w:val="1"/>
      <w:numFmt w:val="decimal"/>
      <w:suff w:val="nothing"/>
      <w:lvlText w:val="（%1）"/>
      <w:lvlJc w:val="left"/>
    </w:lvl>
  </w:abstractNum>
  <w:abstractNum w:abstractNumId="2">
    <w:nsid w:val="00000009"/>
    <w:multiLevelType w:val="multilevel"/>
    <w:tmpl w:val="00000009"/>
    <w:lvl w:ilvl="0">
      <w:start w:val="2"/>
      <w:numFmt w:val="decimalEnclosedParen"/>
      <w:pStyle w:val="a"/>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3">
    <w:nsid w:val="13E27EB3"/>
    <w:multiLevelType w:val="hybridMultilevel"/>
    <w:tmpl w:val="0074CA5E"/>
    <w:lvl w:ilvl="0" w:tplc="AFA013C8">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973CAD"/>
    <w:multiLevelType w:val="singleLevel"/>
    <w:tmpl w:val="1A973CAD"/>
    <w:lvl w:ilvl="0">
      <w:start w:val="1"/>
      <w:numFmt w:val="decimal"/>
      <w:pStyle w:val="a0"/>
      <w:lvlText w:val="%1、"/>
      <w:lvlJc w:val="left"/>
      <w:pPr>
        <w:tabs>
          <w:tab w:val="left" w:pos="720"/>
        </w:tabs>
      </w:pPr>
      <w:rPr>
        <w:rFonts w:hint="eastAsia"/>
      </w:rPr>
    </w:lvl>
  </w:abstractNum>
  <w:abstractNum w:abstractNumId="5">
    <w:nsid w:val="1E1418F3"/>
    <w:multiLevelType w:val="multilevel"/>
    <w:tmpl w:val="1E1418F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1FE679C9"/>
    <w:multiLevelType w:val="multilevel"/>
    <w:tmpl w:val="1FE679C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233C5E1E"/>
    <w:multiLevelType w:val="multilevel"/>
    <w:tmpl w:val="233C5E1E"/>
    <w:lvl w:ilvl="0">
      <w:start w:val="1"/>
      <w:numFmt w:val="decimalEnclosedCircle"/>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8">
    <w:nsid w:val="2E5B0595"/>
    <w:multiLevelType w:val="multilevel"/>
    <w:tmpl w:val="2E5B0595"/>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pStyle w:val="33TimesNewRoman2"/>
      <w:lvlText w:val="%1.%2.%3."/>
      <w:lvlJc w:val="left"/>
      <w:pPr>
        <w:tabs>
          <w:tab w:val="left" w:pos="709"/>
        </w:tabs>
        <w:ind w:left="709" w:hanging="709"/>
      </w:pPr>
    </w:lvl>
    <w:lvl w:ilvl="3">
      <w:start w:val="1"/>
      <w:numFmt w:val="decimal"/>
      <w:pStyle w:val="41111111Heading4Subsection4dash"/>
      <w:lvlText w:val="%1.%2.%3.%4."/>
      <w:lvlJc w:val="left"/>
      <w:pPr>
        <w:tabs>
          <w:tab w:val="left" w:pos="851"/>
        </w:tabs>
        <w:ind w:left="851" w:hanging="851"/>
      </w:pPr>
    </w:lvl>
    <w:lvl w:ilvl="4">
      <w:start w:val="1"/>
      <w:numFmt w:val="decimal"/>
      <w:pStyle w:val="14"/>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
    <w:nsid w:val="2F31214F"/>
    <w:multiLevelType w:val="multilevel"/>
    <w:tmpl w:val="2F31214F"/>
    <w:lvl w:ilvl="0">
      <w:start w:val="1"/>
      <w:numFmt w:val="decimal"/>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3C264FBC"/>
    <w:multiLevelType w:val="multilevel"/>
    <w:tmpl w:val="D4E85A34"/>
    <w:numStyleLink w:val="15"/>
  </w:abstractNum>
  <w:abstractNum w:abstractNumId="11">
    <w:nsid w:val="3D3C6D9E"/>
    <w:multiLevelType w:val="multilevel"/>
    <w:tmpl w:val="3D3C6D9E"/>
    <w:lvl w:ilvl="0">
      <w:start w:val="1"/>
      <w:numFmt w:val="decimal"/>
      <w:pStyle w:val="a1"/>
      <w:lvlText w:val="表7-%1"/>
      <w:lvlJc w:val="left"/>
      <w:pPr>
        <w:tabs>
          <w:tab w:val="left" w:pos="1008"/>
        </w:tabs>
        <w:ind w:left="648" w:hanging="360"/>
      </w:pPr>
      <w:rPr>
        <w:rFonts w:hint="eastAsia"/>
        <w:b/>
        <w:i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5NewNew"/>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3F880D3A"/>
    <w:multiLevelType w:val="multilevel"/>
    <w:tmpl w:val="7DEEBB5E"/>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46806F7D"/>
    <w:multiLevelType w:val="multilevel"/>
    <w:tmpl w:val="46806F7D"/>
    <w:lvl w:ilvl="0">
      <w:start w:val="1"/>
      <w:numFmt w:val="none"/>
      <w:pStyle w:val="a2"/>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49ED4D86"/>
    <w:multiLevelType w:val="multilevel"/>
    <w:tmpl w:val="49ED4D86"/>
    <w:lvl w:ilvl="0">
      <w:start w:val="1"/>
      <w:numFmt w:val="decimal"/>
      <w:pStyle w:val="a3"/>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4C464CE8"/>
    <w:multiLevelType w:val="multilevel"/>
    <w:tmpl w:val="4C464CE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4D6D1380"/>
    <w:multiLevelType w:val="multilevel"/>
    <w:tmpl w:val="D4E85A34"/>
    <w:styleLink w:val="15"/>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4EC36703"/>
    <w:multiLevelType w:val="multilevel"/>
    <w:tmpl w:val="4EC36703"/>
    <w:lvl w:ilvl="0">
      <w:start w:val="1"/>
      <w:numFmt w:val="decimal"/>
      <w:suff w:val="space"/>
      <w:lvlText w:val="%1"/>
      <w:lvlJc w:val="left"/>
      <w:pPr>
        <w:ind w:left="0" w:firstLine="0"/>
      </w:pPr>
      <w:rPr>
        <w:rFonts w:ascii="黑体" w:eastAsia="黑体" w:hint="eastAsia"/>
        <w:b w:val="0"/>
        <w:i w:val="0"/>
        <w:sz w:val="32"/>
      </w:rPr>
    </w:lvl>
    <w:lvl w:ilvl="1">
      <w:start w:val="1"/>
      <w:numFmt w:val="decimal"/>
      <w:suff w:val="space"/>
      <w:lvlText w:val="%1.%2"/>
      <w:lvlJc w:val="left"/>
      <w:pPr>
        <w:ind w:left="0" w:firstLine="0"/>
      </w:pPr>
      <w:rPr>
        <w:rFonts w:ascii="宋体" w:eastAsia="宋体" w:hint="eastAsia"/>
        <w:b w:val="0"/>
        <w:i w:val="0"/>
        <w:sz w:val="28"/>
      </w:rPr>
    </w:lvl>
    <w:lvl w:ilvl="2">
      <w:start w:val="1"/>
      <w:numFmt w:val="decimal"/>
      <w:suff w:val="space"/>
      <w:lvlText w:val="%1.%2.%3"/>
      <w:lvlJc w:val="left"/>
      <w:pPr>
        <w:ind w:left="0" w:firstLine="0"/>
      </w:pPr>
      <w:rPr>
        <w:rFonts w:ascii="宋体" w:eastAsia="宋体" w:hint="eastAsia"/>
        <w:b w:val="0"/>
        <w:i w:val="0"/>
        <w:sz w:val="28"/>
      </w:rPr>
    </w:lvl>
    <w:lvl w:ilvl="3">
      <w:start w:val="1"/>
      <w:numFmt w:val="decimal"/>
      <w:suff w:val="space"/>
      <w:lvlText w:val="%1.%2.%3.%4"/>
      <w:lvlJc w:val="left"/>
      <w:pPr>
        <w:ind w:left="0" w:firstLine="0"/>
      </w:pPr>
      <w:rPr>
        <w:rFonts w:ascii="宋体" w:eastAsia="宋体" w:hint="eastAsia"/>
        <w:b w:val="0"/>
        <w:i w:val="0"/>
        <w:sz w:val="28"/>
      </w:rPr>
    </w:lvl>
    <w:lvl w:ilvl="4">
      <w:start w:val="1"/>
      <w:numFmt w:val="decimal"/>
      <w:lvlText w:val="%1.%2.%3.%4.%5."/>
      <w:lvlJc w:val="left"/>
      <w:pPr>
        <w:tabs>
          <w:tab w:val="left" w:pos="1800"/>
        </w:tabs>
        <w:ind w:left="992" w:hanging="992"/>
      </w:pPr>
      <w:rPr>
        <w:rFonts w:hint="eastAsia"/>
      </w:rPr>
    </w:lvl>
    <w:lvl w:ilvl="5">
      <w:start w:val="1"/>
      <w:numFmt w:val="decimal"/>
      <w:pStyle w:val="a4"/>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8">
    <w:nsid w:val="506509CA"/>
    <w:multiLevelType w:val="multilevel"/>
    <w:tmpl w:val="506509C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nsid w:val="541A3033"/>
    <w:multiLevelType w:val="hybridMultilevel"/>
    <w:tmpl w:val="8FE61056"/>
    <w:lvl w:ilvl="0" w:tplc="83D8998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44D6817"/>
    <w:multiLevelType w:val="multilevel"/>
    <w:tmpl w:val="544D6817"/>
    <w:lvl w:ilvl="0">
      <w:start w:val="1"/>
      <w:numFmt w:val="decimal"/>
      <w:pStyle w:val="1"/>
      <w:lvlText w:val="%1"/>
      <w:lvlJc w:val="left"/>
      <w:pPr>
        <w:tabs>
          <w:tab w:val="left" w:pos="432"/>
        </w:tabs>
        <w:ind w:left="432" w:hanging="432"/>
      </w:pPr>
      <w:rPr>
        <w:rFonts w:hint="eastAsia"/>
      </w:rPr>
    </w:lvl>
    <w:lvl w:ilvl="1">
      <w:start w:val="1"/>
      <w:numFmt w:val="decimal"/>
      <w:pStyle w:val="2"/>
      <w:lvlText w:val="%2"/>
      <w:lvlJc w:val="left"/>
      <w:pPr>
        <w:tabs>
          <w:tab w:val="left" w:pos="567"/>
        </w:tabs>
        <w:ind w:left="567" w:hanging="567"/>
      </w:pPr>
      <w:rPr>
        <w:rFonts w:hint="eastAsia"/>
      </w:rPr>
    </w:lvl>
    <w:lvl w:ilvl="2">
      <w:start w:val="1"/>
      <w:numFmt w:val="decimal"/>
      <w:pStyle w:val="3"/>
      <w:lvlText w:val="%2.%3"/>
      <w:lvlJc w:val="left"/>
      <w:pPr>
        <w:tabs>
          <w:tab w:val="left" w:pos="720"/>
        </w:tabs>
        <w:ind w:left="720" w:hanging="720"/>
      </w:pPr>
      <w:rPr>
        <w:rFonts w:hint="eastAsia"/>
      </w:rPr>
    </w:lvl>
    <w:lvl w:ilvl="3">
      <w:start w:val="1"/>
      <w:numFmt w:val="decimal"/>
      <w:pStyle w:val="4"/>
      <w:lvlText w:val="%2.%3.%4"/>
      <w:lvlJc w:val="left"/>
      <w:pPr>
        <w:tabs>
          <w:tab w:val="left" w:pos="720"/>
        </w:tabs>
        <w:ind w:left="720" w:hanging="720"/>
      </w:pPr>
      <w:rPr>
        <w:rFonts w:hint="eastAsia"/>
      </w:rPr>
    </w:lvl>
    <w:lvl w:ilvl="4">
      <w:start w:val="1"/>
      <w:numFmt w:val="decimal"/>
      <w:pStyle w:val="5"/>
      <w:suff w:val="space"/>
      <w:lvlText w:val="%2.%3.%4.%5"/>
      <w:lvlJc w:val="left"/>
      <w:pPr>
        <w:ind w:left="0" w:firstLine="0"/>
      </w:pPr>
      <w:rPr>
        <w:rFonts w:ascii="Times New Roman" w:eastAsia="宋体" w:hAnsi="Times New Roman" w:hint="default"/>
        <w:b/>
        <w:i w:val="0"/>
        <w:sz w:val="24"/>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1">
    <w:nsid w:val="55DB765D"/>
    <w:multiLevelType w:val="multilevel"/>
    <w:tmpl w:val="55DB765D"/>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9C4795D"/>
    <w:multiLevelType w:val="multilevel"/>
    <w:tmpl w:val="59C4795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nsid w:val="5A51F5B0"/>
    <w:multiLevelType w:val="singleLevel"/>
    <w:tmpl w:val="5A51F5B0"/>
    <w:lvl w:ilvl="0">
      <w:start w:val="1"/>
      <w:numFmt w:val="decimal"/>
      <w:suff w:val="nothing"/>
      <w:lvlText w:val="（%1）"/>
      <w:lvlJc w:val="left"/>
    </w:lvl>
  </w:abstractNum>
  <w:abstractNum w:abstractNumId="24">
    <w:nsid w:val="61C041BF"/>
    <w:multiLevelType w:val="singleLevel"/>
    <w:tmpl w:val="61C041BF"/>
    <w:lvl w:ilvl="0">
      <w:start w:val="1"/>
      <w:numFmt w:val="decimal"/>
      <w:pStyle w:val="a5"/>
      <w:lvlText w:val="(%1)"/>
      <w:lvlJc w:val="left"/>
      <w:pPr>
        <w:tabs>
          <w:tab w:val="left" w:pos="1622"/>
        </w:tabs>
        <w:ind w:left="1622" w:hanging="495"/>
      </w:pPr>
      <w:rPr>
        <w:rFonts w:hint="default"/>
      </w:rPr>
    </w:lvl>
  </w:abstractNum>
  <w:abstractNum w:abstractNumId="25">
    <w:nsid w:val="625360AC"/>
    <w:multiLevelType w:val="multilevel"/>
    <w:tmpl w:val="625360AC"/>
    <w:lvl w:ilvl="0">
      <w:start w:val="1"/>
      <w:numFmt w:val="decimal"/>
      <w:pStyle w:val="a6"/>
      <w:suff w:val="space"/>
      <w:lvlText w:val="%1."/>
      <w:lvlJc w:val="left"/>
      <w:pPr>
        <w:ind w:left="0" w:firstLine="51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6907032C"/>
    <w:multiLevelType w:val="multilevel"/>
    <w:tmpl w:val="6907032C"/>
    <w:lvl w:ilvl="0">
      <w:start w:val="1"/>
      <w:numFmt w:val="decimal"/>
      <w:pStyle w:val="-"/>
      <w:lvlText w:val="%1"/>
      <w:lvlJc w:val="left"/>
      <w:pPr>
        <w:tabs>
          <w:tab w:val="left" w:pos="432"/>
        </w:tabs>
        <w:ind w:left="432" w:hanging="432"/>
      </w:pPr>
      <w:rPr>
        <w:rFonts w:ascii="Times New Roman" w:eastAsia="仿宋" w:hAnsi="Times New Roman" w:cs="Times New Roman" w:hint="default"/>
        <w:sz w:val="28"/>
        <w:szCs w:val="28"/>
      </w:rPr>
    </w:lvl>
    <w:lvl w:ilvl="1">
      <w:start w:val="1"/>
      <w:numFmt w:val="decimal"/>
      <w:pStyle w:val="-0"/>
      <w:lvlText w:val="%1.%2"/>
      <w:lvlJc w:val="left"/>
      <w:pPr>
        <w:tabs>
          <w:tab w:val="left" w:pos="576"/>
        </w:tabs>
        <w:ind w:left="576" w:hanging="576"/>
      </w:pPr>
      <w:rPr>
        <w:rFonts w:ascii="Times New Roman" w:eastAsia="黑体" w:hAnsi="Times New Roman" w:cs="Times New Roman" w:hint="default"/>
        <w:b/>
        <w:bCs w:val="0"/>
        <w:i w:val="0"/>
        <w:sz w:val="28"/>
        <w:szCs w:val="28"/>
      </w:rPr>
    </w:lvl>
    <w:lvl w:ilvl="2">
      <w:start w:val="1"/>
      <w:numFmt w:val="decimal"/>
      <w:pStyle w:val="-1"/>
      <w:lvlText w:val="%1.%2.%3"/>
      <w:lvlJc w:val="left"/>
      <w:pPr>
        <w:tabs>
          <w:tab w:val="left" w:pos="0"/>
        </w:tabs>
        <w:ind w:left="0" w:firstLine="0"/>
      </w:pPr>
      <w:rPr>
        <w:rFonts w:ascii="Times New Roman" w:hAnsi="Times New Roman" w:cs="Times New Roman" w:hint="default"/>
        <w:b/>
        <w:bCs w:val="0"/>
        <w:sz w:val="24"/>
        <w:szCs w:val="24"/>
      </w:rPr>
    </w:lvl>
    <w:lvl w:ilvl="3">
      <w:start w:val="1"/>
      <w:numFmt w:val="decimal"/>
      <w:pStyle w:val="-2"/>
      <w:lvlText w:val="%1.%2.%3.%4"/>
      <w:lvlJc w:val="left"/>
      <w:pPr>
        <w:tabs>
          <w:tab w:val="left" w:pos="1044"/>
        </w:tabs>
        <w:ind w:left="1044" w:hanging="1044"/>
      </w:pPr>
      <w:rPr>
        <w:rFonts w:ascii="Times New Roman" w:hAnsi="Times New Roman" w:cs="Times New Roman" w:hint="default"/>
        <w:b/>
        <w:sz w:val="24"/>
        <w:szCs w:val="24"/>
      </w:rPr>
    </w:lvl>
    <w:lvl w:ilvl="4">
      <w:start w:val="1"/>
      <w:numFmt w:val="decimal"/>
      <w:lvlText w:val="%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7">
    <w:nsid w:val="6A366E2B"/>
    <w:multiLevelType w:val="multilevel"/>
    <w:tmpl w:val="6A366E2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nsid w:val="7378102C"/>
    <w:multiLevelType w:val="multilevel"/>
    <w:tmpl w:val="7378102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9">
    <w:nsid w:val="74EF57AA"/>
    <w:multiLevelType w:val="hybridMultilevel"/>
    <w:tmpl w:val="B7908BD8"/>
    <w:lvl w:ilvl="0" w:tplc="AFA013C8">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9586F12"/>
    <w:multiLevelType w:val="multilevel"/>
    <w:tmpl w:val="79586F1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a7"/>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7A9C0E54"/>
    <w:multiLevelType w:val="multilevel"/>
    <w:tmpl w:val="7A9C0E54"/>
    <w:lvl w:ilvl="0">
      <w:start w:val="2"/>
      <w:numFmt w:val="chineseCountingThousand"/>
      <w:pStyle w:val="40"/>
      <w:suff w:val="nothing"/>
      <w:lvlText w:val="第%1章"/>
      <w:lvlJc w:val="center"/>
      <w:pPr>
        <w:ind w:left="567" w:hanging="567"/>
      </w:pPr>
      <w:rPr>
        <w:rFonts w:ascii="黑体" w:eastAsia="黑体" w:hint="eastAsia"/>
        <w:b/>
        <w:i w:val="0"/>
        <w:sz w:val="32"/>
      </w:rPr>
    </w:lvl>
    <w:lvl w:ilvl="1">
      <w:start w:val="1"/>
      <w:numFmt w:val="chineseCountingThousand"/>
      <w:suff w:val="nothing"/>
      <w:lvlText w:val="第%2节"/>
      <w:lvlJc w:val="left"/>
      <w:pPr>
        <w:ind w:left="567" w:hanging="567"/>
      </w:pPr>
      <w:rPr>
        <w:rFonts w:ascii="黑体" w:eastAsia="黑体" w:hint="eastAsia"/>
        <w:b w:val="0"/>
        <w:i w:val="0"/>
        <w:sz w:val="30"/>
      </w:rPr>
    </w:lvl>
    <w:lvl w:ilvl="2">
      <w:start w:val="1"/>
      <w:numFmt w:val="chineseCountingThousand"/>
      <w:suff w:val="nothing"/>
      <w:lvlText w:val="%3."/>
      <w:lvlJc w:val="left"/>
      <w:pPr>
        <w:ind w:left="0" w:firstLine="0"/>
      </w:pPr>
      <w:rPr>
        <w:rFonts w:ascii="宋体" w:eastAsia="宋体" w:hint="eastAsia"/>
        <w:b/>
        <w:i w:val="0"/>
        <w:sz w:val="28"/>
      </w:rPr>
    </w:lvl>
    <w:lvl w:ilvl="3">
      <w:start w:val="1"/>
      <w:numFmt w:val="chineseCountingThousand"/>
      <w:suff w:val="nothing"/>
      <w:lvlText w:val="（%4）"/>
      <w:lvlJc w:val="left"/>
      <w:pPr>
        <w:ind w:left="0" w:firstLine="0"/>
      </w:pPr>
      <w:rPr>
        <w:rFonts w:ascii="宋体" w:eastAsia="宋体" w:hint="eastAsia"/>
        <w:b/>
        <w:i w:val="0"/>
        <w:sz w:val="28"/>
      </w:rPr>
    </w:lvl>
    <w:lvl w:ilvl="4">
      <w:start w:val="1"/>
      <w:numFmt w:val="decimal"/>
      <w:suff w:val="nothing"/>
      <w:lvlText w:val="%5."/>
      <w:lvlJc w:val="left"/>
      <w:pPr>
        <w:ind w:left="0" w:firstLine="0"/>
      </w:pPr>
      <w:rPr>
        <w:rFonts w:ascii="黑体" w:eastAsia="黑体" w:hint="eastAsia"/>
        <w:b w:val="0"/>
        <w:i w:val="0"/>
        <w:sz w:val="28"/>
      </w:rPr>
    </w:lvl>
    <w:lvl w:ilvl="5">
      <w:start w:val="1"/>
      <w:numFmt w:val="decimal"/>
      <w:suff w:val="nothing"/>
      <w:lvlText w:val="(%6)"/>
      <w:lvlJc w:val="left"/>
      <w:pPr>
        <w:ind w:left="0" w:firstLine="567"/>
      </w:pPr>
      <w:rPr>
        <w:rFonts w:ascii="宋体" w:eastAsia="宋体" w:hint="eastAsia"/>
        <w:b/>
        <w:i w:val="0"/>
        <w:sz w:val="28"/>
      </w:rPr>
    </w:lvl>
    <w:lvl w:ilvl="6">
      <w:start w:val="1"/>
      <w:numFmt w:val="bullet"/>
      <w:suff w:val="nothing"/>
      <w:lvlText w:val="①"/>
      <w:lvlJc w:val="left"/>
      <w:pPr>
        <w:ind w:left="0" w:firstLine="0"/>
      </w:pPr>
      <w:rPr>
        <w:rFonts w:ascii="宋体" w:eastAsia="宋体" w:hint="eastAsia"/>
        <w:b w:val="0"/>
        <w:i w:val="0"/>
        <w:color w:val="auto"/>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2">
    <w:nsid w:val="7C0B01C2"/>
    <w:multiLevelType w:val="multilevel"/>
    <w:tmpl w:val="7C0B01C2"/>
    <w:lvl w:ilvl="0">
      <w:start w:val="1"/>
      <w:numFmt w:val="decimal"/>
      <w:pStyle w:val="a8"/>
      <w:lvlText w:val="图－%1."/>
      <w:lvlJc w:val="right"/>
      <w:pPr>
        <w:tabs>
          <w:tab w:val="left" w:pos="4586"/>
        </w:tabs>
        <w:ind w:left="4586" w:hanging="420"/>
      </w:pPr>
      <w:rPr>
        <w:rFonts w:hint="eastAsia"/>
      </w:rPr>
    </w:lvl>
    <w:lvl w:ilvl="1">
      <w:start w:val="1"/>
      <w:numFmt w:val="decimal"/>
      <w:lvlText w:val="图－%2."/>
      <w:lvlJc w:val="right"/>
      <w:pPr>
        <w:tabs>
          <w:tab w:val="left" w:pos="840"/>
        </w:tabs>
        <w:ind w:left="84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0"/>
  </w:num>
  <w:num w:numId="2">
    <w:abstractNumId w:val="8"/>
  </w:num>
  <w:num w:numId="3">
    <w:abstractNumId w:val="13"/>
  </w:num>
  <w:num w:numId="4">
    <w:abstractNumId w:val="2"/>
  </w:num>
  <w:num w:numId="5">
    <w:abstractNumId w:val="17"/>
  </w:num>
  <w:num w:numId="6">
    <w:abstractNumId w:val="26"/>
  </w:num>
  <w:num w:numId="7">
    <w:abstractNumId w:val="4"/>
  </w:num>
  <w:num w:numId="8">
    <w:abstractNumId w:val="25"/>
  </w:num>
  <w:num w:numId="9">
    <w:abstractNumId w:val="32"/>
  </w:num>
  <w:num w:numId="10">
    <w:abstractNumId w:val="14"/>
  </w:num>
  <w:num w:numId="11">
    <w:abstractNumId w:val="11"/>
  </w:num>
  <w:num w:numId="12">
    <w:abstractNumId w:val="31"/>
  </w:num>
  <w:num w:numId="13">
    <w:abstractNumId w:val="30"/>
  </w:num>
  <w:num w:numId="14">
    <w:abstractNumId w:val="24"/>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8"/>
  </w:num>
  <w:num w:numId="31">
    <w:abstractNumId w:val="27"/>
  </w:num>
  <w:num w:numId="32">
    <w:abstractNumId w:val="22"/>
  </w:num>
  <w:num w:numId="33">
    <w:abstractNumId w:val="1"/>
  </w:num>
  <w:num w:numId="34">
    <w:abstractNumId w:val="15"/>
  </w:num>
  <w:num w:numId="35">
    <w:abstractNumId w:val="28"/>
  </w:num>
  <w:num w:numId="36">
    <w:abstractNumId w:val="21"/>
  </w:num>
  <w:num w:numId="37">
    <w:abstractNumId w:val="7"/>
  </w:num>
  <w:num w:numId="38">
    <w:abstractNumId w:val="23"/>
  </w:num>
  <w:num w:numId="39">
    <w:abstractNumId w:val="0"/>
  </w:num>
  <w:num w:numId="40">
    <w:abstractNumId w:val="20"/>
  </w:num>
  <w:num w:numId="41">
    <w:abstractNumId w:val="20"/>
  </w:num>
  <w:num w:numId="42">
    <w:abstractNumId w:val="19"/>
  </w:num>
  <w:num w:numId="43">
    <w:abstractNumId w:val="12"/>
  </w:num>
  <w:num w:numId="44">
    <w:abstractNumId w:val="16"/>
  </w:num>
  <w:num w:numId="45">
    <w:abstractNumId w:val="10"/>
  </w:num>
  <w:num w:numId="46">
    <w:abstractNumId w:val="3"/>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100"/>
  <w:drawingGridVerticalSpacing w:val="156"/>
  <w:displayHorizontalDrawingGridEvery w:val="2"/>
  <w:displayVerticalDrawingGridEvery w:val="2"/>
  <w:characterSpacingControl w:val="doNotCompress"/>
  <w:hdrShapeDefaults>
    <o:shapedefaults v:ext="edit" spidmax="2049" fillcolor="white">
      <v:fill color="white"/>
      <v:stroke endarrow="block" endarrowwidth="narrow" weight=".5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38"/>
    <w:rsid w:val="000005D7"/>
    <w:rsid w:val="00000B1B"/>
    <w:rsid w:val="00000C9C"/>
    <w:rsid w:val="00000E77"/>
    <w:rsid w:val="00000F80"/>
    <w:rsid w:val="0000105E"/>
    <w:rsid w:val="000010C3"/>
    <w:rsid w:val="00001112"/>
    <w:rsid w:val="0000119A"/>
    <w:rsid w:val="000013CF"/>
    <w:rsid w:val="0000166C"/>
    <w:rsid w:val="0000187F"/>
    <w:rsid w:val="000019E8"/>
    <w:rsid w:val="00001A79"/>
    <w:rsid w:val="00001AEE"/>
    <w:rsid w:val="0000200C"/>
    <w:rsid w:val="0000210E"/>
    <w:rsid w:val="000021CB"/>
    <w:rsid w:val="0000262B"/>
    <w:rsid w:val="00002836"/>
    <w:rsid w:val="00003B65"/>
    <w:rsid w:val="00003D85"/>
    <w:rsid w:val="000040AE"/>
    <w:rsid w:val="00004141"/>
    <w:rsid w:val="00004435"/>
    <w:rsid w:val="000045BE"/>
    <w:rsid w:val="000047FE"/>
    <w:rsid w:val="0000504E"/>
    <w:rsid w:val="000050D3"/>
    <w:rsid w:val="00005131"/>
    <w:rsid w:val="000051B4"/>
    <w:rsid w:val="00005535"/>
    <w:rsid w:val="00005A7A"/>
    <w:rsid w:val="00005AF3"/>
    <w:rsid w:val="00005E0A"/>
    <w:rsid w:val="00006076"/>
    <w:rsid w:val="000061C5"/>
    <w:rsid w:val="00006267"/>
    <w:rsid w:val="0000632D"/>
    <w:rsid w:val="00006841"/>
    <w:rsid w:val="00006A72"/>
    <w:rsid w:val="00006B38"/>
    <w:rsid w:val="000070C3"/>
    <w:rsid w:val="000075B5"/>
    <w:rsid w:val="00007747"/>
    <w:rsid w:val="00007814"/>
    <w:rsid w:val="00007C83"/>
    <w:rsid w:val="00010000"/>
    <w:rsid w:val="000109DB"/>
    <w:rsid w:val="00010E3E"/>
    <w:rsid w:val="00010EAD"/>
    <w:rsid w:val="00010FE1"/>
    <w:rsid w:val="0001103E"/>
    <w:rsid w:val="00011097"/>
    <w:rsid w:val="000118BD"/>
    <w:rsid w:val="00011A44"/>
    <w:rsid w:val="00011E18"/>
    <w:rsid w:val="0001204B"/>
    <w:rsid w:val="00012166"/>
    <w:rsid w:val="000122F5"/>
    <w:rsid w:val="000122FC"/>
    <w:rsid w:val="0001239E"/>
    <w:rsid w:val="00012464"/>
    <w:rsid w:val="0001253F"/>
    <w:rsid w:val="00012970"/>
    <w:rsid w:val="00012ACA"/>
    <w:rsid w:val="00012C70"/>
    <w:rsid w:val="00012D1B"/>
    <w:rsid w:val="00013225"/>
    <w:rsid w:val="0001350F"/>
    <w:rsid w:val="00013708"/>
    <w:rsid w:val="00013B98"/>
    <w:rsid w:val="00013CFA"/>
    <w:rsid w:val="000142E2"/>
    <w:rsid w:val="00014583"/>
    <w:rsid w:val="00014F95"/>
    <w:rsid w:val="00015040"/>
    <w:rsid w:val="000153B3"/>
    <w:rsid w:val="00015430"/>
    <w:rsid w:val="0001547F"/>
    <w:rsid w:val="000157EA"/>
    <w:rsid w:val="000159D7"/>
    <w:rsid w:val="00015A7F"/>
    <w:rsid w:val="00015FBE"/>
    <w:rsid w:val="00016284"/>
    <w:rsid w:val="00016785"/>
    <w:rsid w:val="0001678F"/>
    <w:rsid w:val="000168B7"/>
    <w:rsid w:val="00016A53"/>
    <w:rsid w:val="00016C99"/>
    <w:rsid w:val="00016F55"/>
    <w:rsid w:val="00016F86"/>
    <w:rsid w:val="00017481"/>
    <w:rsid w:val="000175AA"/>
    <w:rsid w:val="00017873"/>
    <w:rsid w:val="000179B3"/>
    <w:rsid w:val="000179B5"/>
    <w:rsid w:val="000179BA"/>
    <w:rsid w:val="00017C1B"/>
    <w:rsid w:val="00020203"/>
    <w:rsid w:val="000202E1"/>
    <w:rsid w:val="00020302"/>
    <w:rsid w:val="000204F7"/>
    <w:rsid w:val="000206B1"/>
    <w:rsid w:val="00020EEC"/>
    <w:rsid w:val="0002122D"/>
    <w:rsid w:val="000213D9"/>
    <w:rsid w:val="000218A4"/>
    <w:rsid w:val="00021C8C"/>
    <w:rsid w:val="00021CC9"/>
    <w:rsid w:val="00021EFF"/>
    <w:rsid w:val="00022115"/>
    <w:rsid w:val="0002246E"/>
    <w:rsid w:val="000224D3"/>
    <w:rsid w:val="0002257D"/>
    <w:rsid w:val="00022630"/>
    <w:rsid w:val="000226AA"/>
    <w:rsid w:val="000227F8"/>
    <w:rsid w:val="00022BE5"/>
    <w:rsid w:val="00022C65"/>
    <w:rsid w:val="00022E51"/>
    <w:rsid w:val="00023016"/>
    <w:rsid w:val="00023049"/>
    <w:rsid w:val="00023071"/>
    <w:rsid w:val="000231AA"/>
    <w:rsid w:val="00023C75"/>
    <w:rsid w:val="00023F32"/>
    <w:rsid w:val="00023FDE"/>
    <w:rsid w:val="000240C2"/>
    <w:rsid w:val="000240DB"/>
    <w:rsid w:val="00024C39"/>
    <w:rsid w:val="00024CFB"/>
    <w:rsid w:val="00024D22"/>
    <w:rsid w:val="00024ED5"/>
    <w:rsid w:val="00025025"/>
    <w:rsid w:val="00025046"/>
    <w:rsid w:val="000252A8"/>
    <w:rsid w:val="00025320"/>
    <w:rsid w:val="00025615"/>
    <w:rsid w:val="0002562B"/>
    <w:rsid w:val="00025645"/>
    <w:rsid w:val="0002573C"/>
    <w:rsid w:val="00025FFB"/>
    <w:rsid w:val="0002627E"/>
    <w:rsid w:val="000269C9"/>
    <w:rsid w:val="00026B61"/>
    <w:rsid w:val="00026BAA"/>
    <w:rsid w:val="00026DAF"/>
    <w:rsid w:val="000270F4"/>
    <w:rsid w:val="0002714C"/>
    <w:rsid w:val="00027469"/>
    <w:rsid w:val="0002749E"/>
    <w:rsid w:val="00027826"/>
    <w:rsid w:val="0002790D"/>
    <w:rsid w:val="00027921"/>
    <w:rsid w:val="00027AAC"/>
    <w:rsid w:val="000309CA"/>
    <w:rsid w:val="00030B93"/>
    <w:rsid w:val="00030C03"/>
    <w:rsid w:val="00030CCF"/>
    <w:rsid w:val="00030E0B"/>
    <w:rsid w:val="0003168E"/>
    <w:rsid w:val="0003183C"/>
    <w:rsid w:val="0003188F"/>
    <w:rsid w:val="00031A1C"/>
    <w:rsid w:val="00031B68"/>
    <w:rsid w:val="00031C09"/>
    <w:rsid w:val="00031D0A"/>
    <w:rsid w:val="00032328"/>
    <w:rsid w:val="0003269E"/>
    <w:rsid w:val="00032739"/>
    <w:rsid w:val="00032A36"/>
    <w:rsid w:val="00032BB0"/>
    <w:rsid w:val="00032BD3"/>
    <w:rsid w:val="00033071"/>
    <w:rsid w:val="000330B4"/>
    <w:rsid w:val="00033427"/>
    <w:rsid w:val="00033453"/>
    <w:rsid w:val="000334F0"/>
    <w:rsid w:val="00033810"/>
    <w:rsid w:val="00033ADD"/>
    <w:rsid w:val="00033E25"/>
    <w:rsid w:val="00033EC8"/>
    <w:rsid w:val="00034048"/>
    <w:rsid w:val="00034136"/>
    <w:rsid w:val="00034440"/>
    <w:rsid w:val="000346DC"/>
    <w:rsid w:val="000347AD"/>
    <w:rsid w:val="00034D05"/>
    <w:rsid w:val="00034D56"/>
    <w:rsid w:val="00035494"/>
    <w:rsid w:val="00035D13"/>
    <w:rsid w:val="00035EF2"/>
    <w:rsid w:val="00035F88"/>
    <w:rsid w:val="0003637C"/>
    <w:rsid w:val="0003674C"/>
    <w:rsid w:val="00036773"/>
    <w:rsid w:val="00036BA6"/>
    <w:rsid w:val="00036F69"/>
    <w:rsid w:val="0003752C"/>
    <w:rsid w:val="00037955"/>
    <w:rsid w:val="00037958"/>
    <w:rsid w:val="000379F1"/>
    <w:rsid w:val="00037A2A"/>
    <w:rsid w:val="000402C0"/>
    <w:rsid w:val="000402CF"/>
    <w:rsid w:val="000403AB"/>
    <w:rsid w:val="00040480"/>
    <w:rsid w:val="000404FC"/>
    <w:rsid w:val="000405C1"/>
    <w:rsid w:val="0004067F"/>
    <w:rsid w:val="00040844"/>
    <w:rsid w:val="00040B46"/>
    <w:rsid w:val="00040D99"/>
    <w:rsid w:val="000412A6"/>
    <w:rsid w:val="0004145D"/>
    <w:rsid w:val="00041BEE"/>
    <w:rsid w:val="00041BF2"/>
    <w:rsid w:val="00042019"/>
    <w:rsid w:val="00042119"/>
    <w:rsid w:val="000427F1"/>
    <w:rsid w:val="000427F7"/>
    <w:rsid w:val="00042967"/>
    <w:rsid w:val="000429E9"/>
    <w:rsid w:val="00042D45"/>
    <w:rsid w:val="00042E01"/>
    <w:rsid w:val="00042EE0"/>
    <w:rsid w:val="0004301F"/>
    <w:rsid w:val="00043242"/>
    <w:rsid w:val="00043494"/>
    <w:rsid w:val="000435D8"/>
    <w:rsid w:val="00043B2E"/>
    <w:rsid w:val="00043B43"/>
    <w:rsid w:val="00043DD6"/>
    <w:rsid w:val="00044187"/>
    <w:rsid w:val="00044329"/>
    <w:rsid w:val="000446A1"/>
    <w:rsid w:val="000446BB"/>
    <w:rsid w:val="00044783"/>
    <w:rsid w:val="000448EB"/>
    <w:rsid w:val="00044E51"/>
    <w:rsid w:val="0004552F"/>
    <w:rsid w:val="00045572"/>
    <w:rsid w:val="00045687"/>
    <w:rsid w:val="00045829"/>
    <w:rsid w:val="00046045"/>
    <w:rsid w:val="00046111"/>
    <w:rsid w:val="000462E7"/>
    <w:rsid w:val="00046422"/>
    <w:rsid w:val="0004684E"/>
    <w:rsid w:val="00046B9B"/>
    <w:rsid w:val="00047BC8"/>
    <w:rsid w:val="00047C9A"/>
    <w:rsid w:val="00047FBF"/>
    <w:rsid w:val="00050188"/>
    <w:rsid w:val="000502B6"/>
    <w:rsid w:val="00050396"/>
    <w:rsid w:val="00050452"/>
    <w:rsid w:val="0005093D"/>
    <w:rsid w:val="00050969"/>
    <w:rsid w:val="00050A1C"/>
    <w:rsid w:val="00050D33"/>
    <w:rsid w:val="00050F0A"/>
    <w:rsid w:val="00051141"/>
    <w:rsid w:val="00051272"/>
    <w:rsid w:val="000515AD"/>
    <w:rsid w:val="000517F8"/>
    <w:rsid w:val="000521C0"/>
    <w:rsid w:val="00052591"/>
    <w:rsid w:val="00052A37"/>
    <w:rsid w:val="00052D53"/>
    <w:rsid w:val="00052E55"/>
    <w:rsid w:val="000532EF"/>
    <w:rsid w:val="000534A1"/>
    <w:rsid w:val="000534F6"/>
    <w:rsid w:val="000536CC"/>
    <w:rsid w:val="00053721"/>
    <w:rsid w:val="00053A48"/>
    <w:rsid w:val="00053B18"/>
    <w:rsid w:val="00053CB3"/>
    <w:rsid w:val="0005416F"/>
    <w:rsid w:val="000543BD"/>
    <w:rsid w:val="000545E5"/>
    <w:rsid w:val="00054CBF"/>
    <w:rsid w:val="00054F7C"/>
    <w:rsid w:val="0005516A"/>
    <w:rsid w:val="000552A8"/>
    <w:rsid w:val="0005546B"/>
    <w:rsid w:val="00055527"/>
    <w:rsid w:val="00055CA1"/>
    <w:rsid w:val="00055E7A"/>
    <w:rsid w:val="00055ECD"/>
    <w:rsid w:val="00056363"/>
    <w:rsid w:val="0005697C"/>
    <w:rsid w:val="00056AF5"/>
    <w:rsid w:val="00056C36"/>
    <w:rsid w:val="00056CA4"/>
    <w:rsid w:val="00056DAE"/>
    <w:rsid w:val="00056F76"/>
    <w:rsid w:val="00056FC1"/>
    <w:rsid w:val="000570AF"/>
    <w:rsid w:val="000573E1"/>
    <w:rsid w:val="000574D7"/>
    <w:rsid w:val="000574F7"/>
    <w:rsid w:val="0005770F"/>
    <w:rsid w:val="00057A26"/>
    <w:rsid w:val="00057E83"/>
    <w:rsid w:val="00060396"/>
    <w:rsid w:val="0006070A"/>
    <w:rsid w:val="00060952"/>
    <w:rsid w:val="00060E74"/>
    <w:rsid w:val="0006103F"/>
    <w:rsid w:val="0006106D"/>
    <w:rsid w:val="000614D2"/>
    <w:rsid w:val="00061664"/>
    <w:rsid w:val="0006185E"/>
    <w:rsid w:val="00061B46"/>
    <w:rsid w:val="00062099"/>
    <w:rsid w:val="0006244C"/>
    <w:rsid w:val="000625E8"/>
    <w:rsid w:val="00062BAC"/>
    <w:rsid w:val="00062D0C"/>
    <w:rsid w:val="00063357"/>
    <w:rsid w:val="0006357F"/>
    <w:rsid w:val="000638C4"/>
    <w:rsid w:val="00063C41"/>
    <w:rsid w:val="00063EE0"/>
    <w:rsid w:val="000642C7"/>
    <w:rsid w:val="00064743"/>
    <w:rsid w:val="00064897"/>
    <w:rsid w:val="00064F8D"/>
    <w:rsid w:val="00065075"/>
    <w:rsid w:val="00065461"/>
    <w:rsid w:val="000654BE"/>
    <w:rsid w:val="000654E4"/>
    <w:rsid w:val="00065729"/>
    <w:rsid w:val="000657A9"/>
    <w:rsid w:val="000657C4"/>
    <w:rsid w:val="000658FB"/>
    <w:rsid w:val="00065E53"/>
    <w:rsid w:val="00065F98"/>
    <w:rsid w:val="00066234"/>
    <w:rsid w:val="000663ED"/>
    <w:rsid w:val="000664F2"/>
    <w:rsid w:val="00066D6F"/>
    <w:rsid w:val="00066F8D"/>
    <w:rsid w:val="000674D3"/>
    <w:rsid w:val="00067702"/>
    <w:rsid w:val="00067E5E"/>
    <w:rsid w:val="00067ECD"/>
    <w:rsid w:val="00067FE2"/>
    <w:rsid w:val="00070002"/>
    <w:rsid w:val="000700B9"/>
    <w:rsid w:val="000701F0"/>
    <w:rsid w:val="000707EF"/>
    <w:rsid w:val="00070D8C"/>
    <w:rsid w:val="00071031"/>
    <w:rsid w:val="0007105F"/>
    <w:rsid w:val="00071465"/>
    <w:rsid w:val="000715FE"/>
    <w:rsid w:val="0007198E"/>
    <w:rsid w:val="00071A95"/>
    <w:rsid w:val="00071B7B"/>
    <w:rsid w:val="00071E2D"/>
    <w:rsid w:val="00071F7E"/>
    <w:rsid w:val="000722DC"/>
    <w:rsid w:val="000725E4"/>
    <w:rsid w:val="00072673"/>
    <w:rsid w:val="00072922"/>
    <w:rsid w:val="0007296F"/>
    <w:rsid w:val="00072A67"/>
    <w:rsid w:val="00072C25"/>
    <w:rsid w:val="00072E98"/>
    <w:rsid w:val="00073176"/>
    <w:rsid w:val="0007317A"/>
    <w:rsid w:val="00073744"/>
    <w:rsid w:val="00073838"/>
    <w:rsid w:val="00073A0A"/>
    <w:rsid w:val="00073A5B"/>
    <w:rsid w:val="00073D9E"/>
    <w:rsid w:val="00073E6C"/>
    <w:rsid w:val="00074017"/>
    <w:rsid w:val="000743FD"/>
    <w:rsid w:val="00074BC8"/>
    <w:rsid w:val="00074E4E"/>
    <w:rsid w:val="000750FB"/>
    <w:rsid w:val="000752EC"/>
    <w:rsid w:val="000758D3"/>
    <w:rsid w:val="00075C91"/>
    <w:rsid w:val="00075EA8"/>
    <w:rsid w:val="00075F76"/>
    <w:rsid w:val="00076771"/>
    <w:rsid w:val="00076E41"/>
    <w:rsid w:val="00076E64"/>
    <w:rsid w:val="0007723F"/>
    <w:rsid w:val="0007743A"/>
    <w:rsid w:val="000776B5"/>
    <w:rsid w:val="000779C1"/>
    <w:rsid w:val="00077C9D"/>
    <w:rsid w:val="00077D17"/>
    <w:rsid w:val="00077EB6"/>
    <w:rsid w:val="0008008C"/>
    <w:rsid w:val="0008026A"/>
    <w:rsid w:val="00080292"/>
    <w:rsid w:val="00080ADE"/>
    <w:rsid w:val="00080F69"/>
    <w:rsid w:val="000810AC"/>
    <w:rsid w:val="0008113A"/>
    <w:rsid w:val="00081174"/>
    <w:rsid w:val="000811ED"/>
    <w:rsid w:val="00081752"/>
    <w:rsid w:val="000818E3"/>
    <w:rsid w:val="0008191C"/>
    <w:rsid w:val="00081A47"/>
    <w:rsid w:val="00081CE1"/>
    <w:rsid w:val="00081DC6"/>
    <w:rsid w:val="00081F13"/>
    <w:rsid w:val="00082562"/>
    <w:rsid w:val="00082C1B"/>
    <w:rsid w:val="00082CF5"/>
    <w:rsid w:val="00082D79"/>
    <w:rsid w:val="00082E87"/>
    <w:rsid w:val="00083089"/>
    <w:rsid w:val="0008358F"/>
    <w:rsid w:val="00083691"/>
    <w:rsid w:val="000837C1"/>
    <w:rsid w:val="0008393A"/>
    <w:rsid w:val="00083955"/>
    <w:rsid w:val="00083BD3"/>
    <w:rsid w:val="00083F1A"/>
    <w:rsid w:val="00083FD2"/>
    <w:rsid w:val="000841BC"/>
    <w:rsid w:val="000842A7"/>
    <w:rsid w:val="000844FD"/>
    <w:rsid w:val="00084546"/>
    <w:rsid w:val="000846CB"/>
    <w:rsid w:val="0008471E"/>
    <w:rsid w:val="00084734"/>
    <w:rsid w:val="00084902"/>
    <w:rsid w:val="00084DD8"/>
    <w:rsid w:val="00084F2B"/>
    <w:rsid w:val="00084F3A"/>
    <w:rsid w:val="00085136"/>
    <w:rsid w:val="0008532B"/>
    <w:rsid w:val="00085583"/>
    <w:rsid w:val="000855C7"/>
    <w:rsid w:val="00085A58"/>
    <w:rsid w:val="00085A6C"/>
    <w:rsid w:val="00085FFB"/>
    <w:rsid w:val="000861EB"/>
    <w:rsid w:val="0008627A"/>
    <w:rsid w:val="000862F0"/>
    <w:rsid w:val="00086370"/>
    <w:rsid w:val="00086990"/>
    <w:rsid w:val="00086BFD"/>
    <w:rsid w:val="00086D7B"/>
    <w:rsid w:val="00087316"/>
    <w:rsid w:val="000875D2"/>
    <w:rsid w:val="000876C9"/>
    <w:rsid w:val="00087787"/>
    <w:rsid w:val="00087C3C"/>
    <w:rsid w:val="00087F7D"/>
    <w:rsid w:val="00090813"/>
    <w:rsid w:val="00090A18"/>
    <w:rsid w:val="00090CF4"/>
    <w:rsid w:val="00091097"/>
    <w:rsid w:val="000913AE"/>
    <w:rsid w:val="00091557"/>
    <w:rsid w:val="000915B5"/>
    <w:rsid w:val="00091625"/>
    <w:rsid w:val="0009198F"/>
    <w:rsid w:val="00091A2D"/>
    <w:rsid w:val="00091CF8"/>
    <w:rsid w:val="00092224"/>
    <w:rsid w:val="000927FB"/>
    <w:rsid w:val="000929EB"/>
    <w:rsid w:val="00092C69"/>
    <w:rsid w:val="00092D3D"/>
    <w:rsid w:val="00092DC3"/>
    <w:rsid w:val="00092F22"/>
    <w:rsid w:val="00093090"/>
    <w:rsid w:val="0009336D"/>
    <w:rsid w:val="000933A6"/>
    <w:rsid w:val="000933F1"/>
    <w:rsid w:val="0009340B"/>
    <w:rsid w:val="00093598"/>
    <w:rsid w:val="000937AA"/>
    <w:rsid w:val="0009385E"/>
    <w:rsid w:val="00093BE1"/>
    <w:rsid w:val="00093E99"/>
    <w:rsid w:val="00093F75"/>
    <w:rsid w:val="0009403A"/>
    <w:rsid w:val="000940E5"/>
    <w:rsid w:val="000944C9"/>
    <w:rsid w:val="00094778"/>
    <w:rsid w:val="00094ABA"/>
    <w:rsid w:val="00094BCC"/>
    <w:rsid w:val="00094FA3"/>
    <w:rsid w:val="00094FAD"/>
    <w:rsid w:val="000958F8"/>
    <w:rsid w:val="00095D0B"/>
    <w:rsid w:val="00095FC4"/>
    <w:rsid w:val="0009600B"/>
    <w:rsid w:val="00096171"/>
    <w:rsid w:val="000962D6"/>
    <w:rsid w:val="00096300"/>
    <w:rsid w:val="00096314"/>
    <w:rsid w:val="0009632E"/>
    <w:rsid w:val="0009653E"/>
    <w:rsid w:val="00096799"/>
    <w:rsid w:val="000967EC"/>
    <w:rsid w:val="00096A86"/>
    <w:rsid w:val="00097195"/>
    <w:rsid w:val="00097356"/>
    <w:rsid w:val="00097508"/>
    <w:rsid w:val="00097517"/>
    <w:rsid w:val="000976FE"/>
    <w:rsid w:val="000977A8"/>
    <w:rsid w:val="0009798E"/>
    <w:rsid w:val="00097B45"/>
    <w:rsid w:val="00097D52"/>
    <w:rsid w:val="00097E8E"/>
    <w:rsid w:val="00097F4D"/>
    <w:rsid w:val="00097FF2"/>
    <w:rsid w:val="00097FF8"/>
    <w:rsid w:val="000A025E"/>
    <w:rsid w:val="000A0353"/>
    <w:rsid w:val="000A06E5"/>
    <w:rsid w:val="000A0828"/>
    <w:rsid w:val="000A09A8"/>
    <w:rsid w:val="000A0DAB"/>
    <w:rsid w:val="000A11CB"/>
    <w:rsid w:val="000A12A2"/>
    <w:rsid w:val="000A1405"/>
    <w:rsid w:val="000A154F"/>
    <w:rsid w:val="000A1575"/>
    <w:rsid w:val="000A1694"/>
    <w:rsid w:val="000A18A2"/>
    <w:rsid w:val="000A1F5F"/>
    <w:rsid w:val="000A20FA"/>
    <w:rsid w:val="000A21A3"/>
    <w:rsid w:val="000A21DA"/>
    <w:rsid w:val="000A2553"/>
    <w:rsid w:val="000A26C4"/>
    <w:rsid w:val="000A2A70"/>
    <w:rsid w:val="000A2DBD"/>
    <w:rsid w:val="000A304E"/>
    <w:rsid w:val="000A3054"/>
    <w:rsid w:val="000A3671"/>
    <w:rsid w:val="000A372B"/>
    <w:rsid w:val="000A3ED1"/>
    <w:rsid w:val="000A4232"/>
    <w:rsid w:val="000A4375"/>
    <w:rsid w:val="000A4AE6"/>
    <w:rsid w:val="000A4F83"/>
    <w:rsid w:val="000A51CF"/>
    <w:rsid w:val="000A544B"/>
    <w:rsid w:val="000A549C"/>
    <w:rsid w:val="000A55AC"/>
    <w:rsid w:val="000A572A"/>
    <w:rsid w:val="000A5D1D"/>
    <w:rsid w:val="000A5FF2"/>
    <w:rsid w:val="000A6430"/>
    <w:rsid w:val="000A6B04"/>
    <w:rsid w:val="000A6B4E"/>
    <w:rsid w:val="000A6E9F"/>
    <w:rsid w:val="000A6ECC"/>
    <w:rsid w:val="000A732A"/>
    <w:rsid w:val="000A749F"/>
    <w:rsid w:val="000A75C0"/>
    <w:rsid w:val="000A76A8"/>
    <w:rsid w:val="000A78B7"/>
    <w:rsid w:val="000A7B6C"/>
    <w:rsid w:val="000A7C8D"/>
    <w:rsid w:val="000A7D08"/>
    <w:rsid w:val="000A7E36"/>
    <w:rsid w:val="000A7EAA"/>
    <w:rsid w:val="000B016B"/>
    <w:rsid w:val="000B02AA"/>
    <w:rsid w:val="000B0879"/>
    <w:rsid w:val="000B0977"/>
    <w:rsid w:val="000B0A18"/>
    <w:rsid w:val="000B0EB3"/>
    <w:rsid w:val="000B0FD3"/>
    <w:rsid w:val="000B1359"/>
    <w:rsid w:val="000B185A"/>
    <w:rsid w:val="000B20D3"/>
    <w:rsid w:val="000B2917"/>
    <w:rsid w:val="000B2ADC"/>
    <w:rsid w:val="000B2DD1"/>
    <w:rsid w:val="000B30D3"/>
    <w:rsid w:val="000B31DB"/>
    <w:rsid w:val="000B324E"/>
    <w:rsid w:val="000B3287"/>
    <w:rsid w:val="000B38CB"/>
    <w:rsid w:val="000B3A9F"/>
    <w:rsid w:val="000B3B70"/>
    <w:rsid w:val="000B41A2"/>
    <w:rsid w:val="000B43D9"/>
    <w:rsid w:val="000B4883"/>
    <w:rsid w:val="000B4BB2"/>
    <w:rsid w:val="000B4EAF"/>
    <w:rsid w:val="000B50E3"/>
    <w:rsid w:val="000B56A7"/>
    <w:rsid w:val="000B572E"/>
    <w:rsid w:val="000B5C19"/>
    <w:rsid w:val="000B5D35"/>
    <w:rsid w:val="000B5E8B"/>
    <w:rsid w:val="000B6114"/>
    <w:rsid w:val="000B611D"/>
    <w:rsid w:val="000B6209"/>
    <w:rsid w:val="000B62D0"/>
    <w:rsid w:val="000B68FC"/>
    <w:rsid w:val="000B6AF7"/>
    <w:rsid w:val="000B6B7B"/>
    <w:rsid w:val="000B6E3F"/>
    <w:rsid w:val="000B6F29"/>
    <w:rsid w:val="000B75C1"/>
    <w:rsid w:val="000B77D7"/>
    <w:rsid w:val="000B799E"/>
    <w:rsid w:val="000B7C55"/>
    <w:rsid w:val="000B7CEC"/>
    <w:rsid w:val="000B7E0C"/>
    <w:rsid w:val="000B7E87"/>
    <w:rsid w:val="000C00FE"/>
    <w:rsid w:val="000C0658"/>
    <w:rsid w:val="000C0915"/>
    <w:rsid w:val="000C0A4B"/>
    <w:rsid w:val="000C0A93"/>
    <w:rsid w:val="000C0CC6"/>
    <w:rsid w:val="000C1049"/>
    <w:rsid w:val="000C1CE0"/>
    <w:rsid w:val="000C203F"/>
    <w:rsid w:val="000C209A"/>
    <w:rsid w:val="000C2191"/>
    <w:rsid w:val="000C22A1"/>
    <w:rsid w:val="000C29A0"/>
    <w:rsid w:val="000C310B"/>
    <w:rsid w:val="000C3C7B"/>
    <w:rsid w:val="000C3D5B"/>
    <w:rsid w:val="000C411D"/>
    <w:rsid w:val="000C42CE"/>
    <w:rsid w:val="000C46AD"/>
    <w:rsid w:val="000C487B"/>
    <w:rsid w:val="000C4906"/>
    <w:rsid w:val="000C4A06"/>
    <w:rsid w:val="000C4DFD"/>
    <w:rsid w:val="000C5120"/>
    <w:rsid w:val="000C5503"/>
    <w:rsid w:val="000C5D6B"/>
    <w:rsid w:val="000C5F22"/>
    <w:rsid w:val="000C644C"/>
    <w:rsid w:val="000C6650"/>
    <w:rsid w:val="000C6665"/>
    <w:rsid w:val="000C66F0"/>
    <w:rsid w:val="000C6AA8"/>
    <w:rsid w:val="000C6AF1"/>
    <w:rsid w:val="000C6C42"/>
    <w:rsid w:val="000C6EA5"/>
    <w:rsid w:val="000C7244"/>
    <w:rsid w:val="000C724E"/>
    <w:rsid w:val="000C74EA"/>
    <w:rsid w:val="000C74F4"/>
    <w:rsid w:val="000C7E79"/>
    <w:rsid w:val="000C7F68"/>
    <w:rsid w:val="000C7FB6"/>
    <w:rsid w:val="000D03AA"/>
    <w:rsid w:val="000D05E0"/>
    <w:rsid w:val="000D0735"/>
    <w:rsid w:val="000D0922"/>
    <w:rsid w:val="000D0F30"/>
    <w:rsid w:val="000D135C"/>
    <w:rsid w:val="000D13B9"/>
    <w:rsid w:val="000D13FF"/>
    <w:rsid w:val="000D2077"/>
    <w:rsid w:val="000D21C1"/>
    <w:rsid w:val="000D23D9"/>
    <w:rsid w:val="000D2673"/>
    <w:rsid w:val="000D2764"/>
    <w:rsid w:val="000D2F23"/>
    <w:rsid w:val="000D33AF"/>
    <w:rsid w:val="000D33EB"/>
    <w:rsid w:val="000D33F2"/>
    <w:rsid w:val="000D3602"/>
    <w:rsid w:val="000D4128"/>
    <w:rsid w:val="000D41D6"/>
    <w:rsid w:val="000D48BD"/>
    <w:rsid w:val="000D496B"/>
    <w:rsid w:val="000D4B6C"/>
    <w:rsid w:val="000D5270"/>
    <w:rsid w:val="000D55DC"/>
    <w:rsid w:val="000D5603"/>
    <w:rsid w:val="000D59DC"/>
    <w:rsid w:val="000D5A64"/>
    <w:rsid w:val="000D5A6B"/>
    <w:rsid w:val="000D5B5E"/>
    <w:rsid w:val="000D5B7A"/>
    <w:rsid w:val="000D5C0D"/>
    <w:rsid w:val="000D5CCF"/>
    <w:rsid w:val="000D659C"/>
    <w:rsid w:val="000D6B1C"/>
    <w:rsid w:val="000D6CF5"/>
    <w:rsid w:val="000D6F0E"/>
    <w:rsid w:val="000D6F83"/>
    <w:rsid w:val="000D6FD0"/>
    <w:rsid w:val="000D7333"/>
    <w:rsid w:val="000D786A"/>
    <w:rsid w:val="000D7ABE"/>
    <w:rsid w:val="000D7FAF"/>
    <w:rsid w:val="000E01FC"/>
    <w:rsid w:val="000E03B2"/>
    <w:rsid w:val="000E0719"/>
    <w:rsid w:val="000E0816"/>
    <w:rsid w:val="000E0AA8"/>
    <w:rsid w:val="000E0DDE"/>
    <w:rsid w:val="000E0FE4"/>
    <w:rsid w:val="000E130E"/>
    <w:rsid w:val="000E14A9"/>
    <w:rsid w:val="000E1C74"/>
    <w:rsid w:val="000E1C97"/>
    <w:rsid w:val="000E1E51"/>
    <w:rsid w:val="000E25FB"/>
    <w:rsid w:val="000E2629"/>
    <w:rsid w:val="000E290C"/>
    <w:rsid w:val="000E2945"/>
    <w:rsid w:val="000E2D21"/>
    <w:rsid w:val="000E2D38"/>
    <w:rsid w:val="000E2D6E"/>
    <w:rsid w:val="000E2E6A"/>
    <w:rsid w:val="000E2F18"/>
    <w:rsid w:val="000E31DC"/>
    <w:rsid w:val="000E369D"/>
    <w:rsid w:val="000E39C9"/>
    <w:rsid w:val="000E39E0"/>
    <w:rsid w:val="000E3A8F"/>
    <w:rsid w:val="000E3D8F"/>
    <w:rsid w:val="000E3DE4"/>
    <w:rsid w:val="000E4221"/>
    <w:rsid w:val="000E434C"/>
    <w:rsid w:val="000E43A5"/>
    <w:rsid w:val="000E4507"/>
    <w:rsid w:val="000E464E"/>
    <w:rsid w:val="000E52DE"/>
    <w:rsid w:val="000E5491"/>
    <w:rsid w:val="000E54FD"/>
    <w:rsid w:val="000E58E5"/>
    <w:rsid w:val="000E5A4A"/>
    <w:rsid w:val="000E5E79"/>
    <w:rsid w:val="000E6073"/>
    <w:rsid w:val="000E622C"/>
    <w:rsid w:val="000E65C7"/>
    <w:rsid w:val="000E6BDD"/>
    <w:rsid w:val="000E6E9D"/>
    <w:rsid w:val="000E6F19"/>
    <w:rsid w:val="000E6F53"/>
    <w:rsid w:val="000E71B6"/>
    <w:rsid w:val="000E71D1"/>
    <w:rsid w:val="000E75DD"/>
    <w:rsid w:val="000E7CF6"/>
    <w:rsid w:val="000E7FAD"/>
    <w:rsid w:val="000F005D"/>
    <w:rsid w:val="000F0191"/>
    <w:rsid w:val="000F0BDA"/>
    <w:rsid w:val="000F0C6F"/>
    <w:rsid w:val="000F1004"/>
    <w:rsid w:val="000F137D"/>
    <w:rsid w:val="000F164E"/>
    <w:rsid w:val="000F1C5B"/>
    <w:rsid w:val="000F1D18"/>
    <w:rsid w:val="000F2013"/>
    <w:rsid w:val="000F233D"/>
    <w:rsid w:val="000F23D5"/>
    <w:rsid w:val="000F24AF"/>
    <w:rsid w:val="000F2624"/>
    <w:rsid w:val="000F2D9D"/>
    <w:rsid w:val="000F2F6D"/>
    <w:rsid w:val="000F3335"/>
    <w:rsid w:val="000F3482"/>
    <w:rsid w:val="000F36CA"/>
    <w:rsid w:val="000F3734"/>
    <w:rsid w:val="000F37F4"/>
    <w:rsid w:val="000F3DE1"/>
    <w:rsid w:val="000F487C"/>
    <w:rsid w:val="000F497F"/>
    <w:rsid w:val="000F4A99"/>
    <w:rsid w:val="000F4BD2"/>
    <w:rsid w:val="000F4D2F"/>
    <w:rsid w:val="000F4D4C"/>
    <w:rsid w:val="000F5404"/>
    <w:rsid w:val="000F54BE"/>
    <w:rsid w:val="000F54DE"/>
    <w:rsid w:val="000F5507"/>
    <w:rsid w:val="000F5539"/>
    <w:rsid w:val="000F58EF"/>
    <w:rsid w:val="000F58FD"/>
    <w:rsid w:val="000F5A0A"/>
    <w:rsid w:val="000F5C90"/>
    <w:rsid w:val="000F5CE8"/>
    <w:rsid w:val="000F5D52"/>
    <w:rsid w:val="000F614F"/>
    <w:rsid w:val="000F65A8"/>
    <w:rsid w:val="000F67D6"/>
    <w:rsid w:val="000F695E"/>
    <w:rsid w:val="000F6AC1"/>
    <w:rsid w:val="000F6F98"/>
    <w:rsid w:val="000F6FF1"/>
    <w:rsid w:val="000F7779"/>
    <w:rsid w:val="000F78A8"/>
    <w:rsid w:val="000F7DF6"/>
    <w:rsid w:val="000F7F4F"/>
    <w:rsid w:val="000F7FFA"/>
    <w:rsid w:val="00100687"/>
    <w:rsid w:val="001007E7"/>
    <w:rsid w:val="00100809"/>
    <w:rsid w:val="00100988"/>
    <w:rsid w:val="00100AB1"/>
    <w:rsid w:val="00100D63"/>
    <w:rsid w:val="00100E98"/>
    <w:rsid w:val="00101471"/>
    <w:rsid w:val="001015B3"/>
    <w:rsid w:val="001015D8"/>
    <w:rsid w:val="00101731"/>
    <w:rsid w:val="00101786"/>
    <w:rsid w:val="001018F7"/>
    <w:rsid w:val="00101DDB"/>
    <w:rsid w:val="00102020"/>
    <w:rsid w:val="0010205A"/>
    <w:rsid w:val="00102083"/>
    <w:rsid w:val="0010225C"/>
    <w:rsid w:val="00102434"/>
    <w:rsid w:val="00102622"/>
    <w:rsid w:val="001026BF"/>
    <w:rsid w:val="0010282F"/>
    <w:rsid w:val="001028C2"/>
    <w:rsid w:val="001028C7"/>
    <w:rsid w:val="00102B60"/>
    <w:rsid w:val="00102D47"/>
    <w:rsid w:val="00102E89"/>
    <w:rsid w:val="00102F01"/>
    <w:rsid w:val="00102F2E"/>
    <w:rsid w:val="00102F8B"/>
    <w:rsid w:val="00103021"/>
    <w:rsid w:val="001034BD"/>
    <w:rsid w:val="00103657"/>
    <w:rsid w:val="001036D4"/>
    <w:rsid w:val="00103E4C"/>
    <w:rsid w:val="00103E6C"/>
    <w:rsid w:val="00103F6B"/>
    <w:rsid w:val="001040F6"/>
    <w:rsid w:val="00104534"/>
    <w:rsid w:val="001045BE"/>
    <w:rsid w:val="00104B3E"/>
    <w:rsid w:val="00104D8E"/>
    <w:rsid w:val="00104E13"/>
    <w:rsid w:val="0010529D"/>
    <w:rsid w:val="0010541D"/>
    <w:rsid w:val="00105452"/>
    <w:rsid w:val="001056F8"/>
    <w:rsid w:val="00105718"/>
    <w:rsid w:val="00105E50"/>
    <w:rsid w:val="00105F54"/>
    <w:rsid w:val="0010611D"/>
    <w:rsid w:val="001062E6"/>
    <w:rsid w:val="001062E8"/>
    <w:rsid w:val="0010669C"/>
    <w:rsid w:val="00106A44"/>
    <w:rsid w:val="00106BAF"/>
    <w:rsid w:val="00106CF2"/>
    <w:rsid w:val="00106D20"/>
    <w:rsid w:val="00106E62"/>
    <w:rsid w:val="00107354"/>
    <w:rsid w:val="0010736F"/>
    <w:rsid w:val="001073BF"/>
    <w:rsid w:val="0010753E"/>
    <w:rsid w:val="0010796C"/>
    <w:rsid w:val="00107ACA"/>
    <w:rsid w:val="00107D0E"/>
    <w:rsid w:val="00107EDD"/>
    <w:rsid w:val="00107F39"/>
    <w:rsid w:val="00107F79"/>
    <w:rsid w:val="00110016"/>
    <w:rsid w:val="001105F2"/>
    <w:rsid w:val="00110718"/>
    <w:rsid w:val="001109CC"/>
    <w:rsid w:val="00110B44"/>
    <w:rsid w:val="00110C37"/>
    <w:rsid w:val="0011115E"/>
    <w:rsid w:val="00111482"/>
    <w:rsid w:val="0011153D"/>
    <w:rsid w:val="001116E6"/>
    <w:rsid w:val="00111849"/>
    <w:rsid w:val="00111B7F"/>
    <w:rsid w:val="00111C28"/>
    <w:rsid w:val="00111E44"/>
    <w:rsid w:val="001128A6"/>
    <w:rsid w:val="00112C43"/>
    <w:rsid w:val="00112F36"/>
    <w:rsid w:val="0011377B"/>
    <w:rsid w:val="00113840"/>
    <w:rsid w:val="00113872"/>
    <w:rsid w:val="00113937"/>
    <w:rsid w:val="001139D9"/>
    <w:rsid w:val="00113C37"/>
    <w:rsid w:val="00113CD6"/>
    <w:rsid w:val="00113CFD"/>
    <w:rsid w:val="001141BE"/>
    <w:rsid w:val="001143E1"/>
    <w:rsid w:val="00114575"/>
    <w:rsid w:val="001148EC"/>
    <w:rsid w:val="00114C1B"/>
    <w:rsid w:val="00114E05"/>
    <w:rsid w:val="00114E79"/>
    <w:rsid w:val="001150CC"/>
    <w:rsid w:val="00115712"/>
    <w:rsid w:val="001159A0"/>
    <w:rsid w:val="00115E03"/>
    <w:rsid w:val="00115E96"/>
    <w:rsid w:val="001160CB"/>
    <w:rsid w:val="001163F9"/>
    <w:rsid w:val="00116614"/>
    <w:rsid w:val="00116938"/>
    <w:rsid w:val="001172B9"/>
    <w:rsid w:val="00117464"/>
    <w:rsid w:val="001174F4"/>
    <w:rsid w:val="00117642"/>
    <w:rsid w:val="00117BFF"/>
    <w:rsid w:val="00117C0B"/>
    <w:rsid w:val="00117D86"/>
    <w:rsid w:val="00117E93"/>
    <w:rsid w:val="00117F31"/>
    <w:rsid w:val="00120639"/>
    <w:rsid w:val="00120825"/>
    <w:rsid w:val="00120A88"/>
    <w:rsid w:val="00120B20"/>
    <w:rsid w:val="00120BBB"/>
    <w:rsid w:val="00120D8D"/>
    <w:rsid w:val="00120FBF"/>
    <w:rsid w:val="00121C7F"/>
    <w:rsid w:val="00121E09"/>
    <w:rsid w:val="00121E1B"/>
    <w:rsid w:val="0012200A"/>
    <w:rsid w:val="0012271B"/>
    <w:rsid w:val="00122D68"/>
    <w:rsid w:val="00122DEE"/>
    <w:rsid w:val="00122FC9"/>
    <w:rsid w:val="00123394"/>
    <w:rsid w:val="0012340E"/>
    <w:rsid w:val="00123713"/>
    <w:rsid w:val="00123722"/>
    <w:rsid w:val="00123C0F"/>
    <w:rsid w:val="00123F0A"/>
    <w:rsid w:val="0012422C"/>
    <w:rsid w:val="001242C5"/>
    <w:rsid w:val="001243F1"/>
    <w:rsid w:val="00124837"/>
    <w:rsid w:val="0012486E"/>
    <w:rsid w:val="00124A8A"/>
    <w:rsid w:val="00124D6D"/>
    <w:rsid w:val="00124DC7"/>
    <w:rsid w:val="001250CD"/>
    <w:rsid w:val="00125222"/>
    <w:rsid w:val="001252DB"/>
    <w:rsid w:val="00125B6A"/>
    <w:rsid w:val="00125CC6"/>
    <w:rsid w:val="00126219"/>
    <w:rsid w:val="0012641A"/>
    <w:rsid w:val="001265EE"/>
    <w:rsid w:val="001266E7"/>
    <w:rsid w:val="0012688B"/>
    <w:rsid w:val="00126AEC"/>
    <w:rsid w:val="00126CDB"/>
    <w:rsid w:val="00126F44"/>
    <w:rsid w:val="001275C4"/>
    <w:rsid w:val="00127C6A"/>
    <w:rsid w:val="00127CC3"/>
    <w:rsid w:val="00127CFF"/>
    <w:rsid w:val="00127DC3"/>
    <w:rsid w:val="00127FBA"/>
    <w:rsid w:val="00130C75"/>
    <w:rsid w:val="00130D96"/>
    <w:rsid w:val="0013166C"/>
    <w:rsid w:val="001317CD"/>
    <w:rsid w:val="00131818"/>
    <w:rsid w:val="001318AE"/>
    <w:rsid w:val="001319D3"/>
    <w:rsid w:val="00131BBA"/>
    <w:rsid w:val="00131DC0"/>
    <w:rsid w:val="00131E92"/>
    <w:rsid w:val="00132044"/>
    <w:rsid w:val="00132293"/>
    <w:rsid w:val="0013295D"/>
    <w:rsid w:val="0013297E"/>
    <w:rsid w:val="00132A9D"/>
    <w:rsid w:val="00132BBD"/>
    <w:rsid w:val="00132C57"/>
    <w:rsid w:val="00132D6D"/>
    <w:rsid w:val="00133689"/>
    <w:rsid w:val="00133698"/>
    <w:rsid w:val="0013374F"/>
    <w:rsid w:val="00133F2A"/>
    <w:rsid w:val="001340CA"/>
    <w:rsid w:val="001343C8"/>
    <w:rsid w:val="0013475F"/>
    <w:rsid w:val="001347D5"/>
    <w:rsid w:val="00134A3A"/>
    <w:rsid w:val="00134A9F"/>
    <w:rsid w:val="00134AFC"/>
    <w:rsid w:val="00134C13"/>
    <w:rsid w:val="00134E35"/>
    <w:rsid w:val="00134F52"/>
    <w:rsid w:val="00135028"/>
    <w:rsid w:val="00135576"/>
    <w:rsid w:val="001358E2"/>
    <w:rsid w:val="00135C24"/>
    <w:rsid w:val="00135C4D"/>
    <w:rsid w:val="00135C5C"/>
    <w:rsid w:val="00135EEB"/>
    <w:rsid w:val="00136441"/>
    <w:rsid w:val="001368EE"/>
    <w:rsid w:val="001368F3"/>
    <w:rsid w:val="001369F4"/>
    <w:rsid w:val="00136FDA"/>
    <w:rsid w:val="001371AB"/>
    <w:rsid w:val="001375B5"/>
    <w:rsid w:val="001377B8"/>
    <w:rsid w:val="0013781F"/>
    <w:rsid w:val="00137A43"/>
    <w:rsid w:val="00137D92"/>
    <w:rsid w:val="00137F79"/>
    <w:rsid w:val="00140138"/>
    <w:rsid w:val="0014030F"/>
    <w:rsid w:val="00140610"/>
    <w:rsid w:val="00140721"/>
    <w:rsid w:val="00140728"/>
    <w:rsid w:val="00140B36"/>
    <w:rsid w:val="00140DAB"/>
    <w:rsid w:val="00140F31"/>
    <w:rsid w:val="00141074"/>
    <w:rsid w:val="001416AB"/>
    <w:rsid w:val="00141DFA"/>
    <w:rsid w:val="00141F27"/>
    <w:rsid w:val="00142114"/>
    <w:rsid w:val="001422FE"/>
    <w:rsid w:val="00142646"/>
    <w:rsid w:val="001426B3"/>
    <w:rsid w:val="001427A3"/>
    <w:rsid w:val="0014293D"/>
    <w:rsid w:val="00142A18"/>
    <w:rsid w:val="00142FDE"/>
    <w:rsid w:val="0014302D"/>
    <w:rsid w:val="00143663"/>
    <w:rsid w:val="001439CB"/>
    <w:rsid w:val="00143A28"/>
    <w:rsid w:val="00143D98"/>
    <w:rsid w:val="00144262"/>
    <w:rsid w:val="001443E9"/>
    <w:rsid w:val="0014444F"/>
    <w:rsid w:val="0014454C"/>
    <w:rsid w:val="00144664"/>
    <w:rsid w:val="00144756"/>
    <w:rsid w:val="00144BE3"/>
    <w:rsid w:val="00144D3E"/>
    <w:rsid w:val="00144F47"/>
    <w:rsid w:val="0014516B"/>
    <w:rsid w:val="001452AC"/>
    <w:rsid w:val="0014564E"/>
    <w:rsid w:val="00145939"/>
    <w:rsid w:val="0014593A"/>
    <w:rsid w:val="00145941"/>
    <w:rsid w:val="00145AFD"/>
    <w:rsid w:val="00145C02"/>
    <w:rsid w:val="00145C2D"/>
    <w:rsid w:val="00145F5D"/>
    <w:rsid w:val="0014602C"/>
    <w:rsid w:val="00146071"/>
    <w:rsid w:val="00146072"/>
    <w:rsid w:val="00146159"/>
    <w:rsid w:val="00146267"/>
    <w:rsid w:val="00146775"/>
    <w:rsid w:val="00146AD8"/>
    <w:rsid w:val="00146B16"/>
    <w:rsid w:val="00146B7F"/>
    <w:rsid w:val="00146F42"/>
    <w:rsid w:val="0014708E"/>
    <w:rsid w:val="00147217"/>
    <w:rsid w:val="0014731A"/>
    <w:rsid w:val="00147588"/>
    <w:rsid w:val="00147985"/>
    <w:rsid w:val="00147B57"/>
    <w:rsid w:val="00147F10"/>
    <w:rsid w:val="001507C7"/>
    <w:rsid w:val="0015083F"/>
    <w:rsid w:val="001508CB"/>
    <w:rsid w:val="0015095B"/>
    <w:rsid w:val="00150A30"/>
    <w:rsid w:val="00150A92"/>
    <w:rsid w:val="00150FF5"/>
    <w:rsid w:val="0015105E"/>
    <w:rsid w:val="0015116E"/>
    <w:rsid w:val="00151259"/>
    <w:rsid w:val="0015130E"/>
    <w:rsid w:val="0015164E"/>
    <w:rsid w:val="00151701"/>
    <w:rsid w:val="00151709"/>
    <w:rsid w:val="001517B3"/>
    <w:rsid w:val="00151BA6"/>
    <w:rsid w:val="00151E06"/>
    <w:rsid w:val="00151F5A"/>
    <w:rsid w:val="001527DE"/>
    <w:rsid w:val="00152901"/>
    <w:rsid w:val="00152A43"/>
    <w:rsid w:val="0015369A"/>
    <w:rsid w:val="00153D04"/>
    <w:rsid w:val="00153F85"/>
    <w:rsid w:val="00154253"/>
    <w:rsid w:val="00154288"/>
    <w:rsid w:val="001542C7"/>
    <w:rsid w:val="00154308"/>
    <w:rsid w:val="00154329"/>
    <w:rsid w:val="00154832"/>
    <w:rsid w:val="0015489F"/>
    <w:rsid w:val="00154B94"/>
    <w:rsid w:val="00154D15"/>
    <w:rsid w:val="00154D20"/>
    <w:rsid w:val="00155342"/>
    <w:rsid w:val="001558FF"/>
    <w:rsid w:val="001559DE"/>
    <w:rsid w:val="00155C43"/>
    <w:rsid w:val="00155C97"/>
    <w:rsid w:val="00155D24"/>
    <w:rsid w:val="00155ECD"/>
    <w:rsid w:val="00156272"/>
    <w:rsid w:val="001562B0"/>
    <w:rsid w:val="0015666A"/>
    <w:rsid w:val="00156B58"/>
    <w:rsid w:val="00156B68"/>
    <w:rsid w:val="00156B9A"/>
    <w:rsid w:val="00156EE8"/>
    <w:rsid w:val="00157549"/>
    <w:rsid w:val="0015768C"/>
    <w:rsid w:val="001576CD"/>
    <w:rsid w:val="00157719"/>
    <w:rsid w:val="001579B2"/>
    <w:rsid w:val="0016061D"/>
    <w:rsid w:val="00160922"/>
    <w:rsid w:val="00160D3F"/>
    <w:rsid w:val="00160FD8"/>
    <w:rsid w:val="001610AB"/>
    <w:rsid w:val="0016132E"/>
    <w:rsid w:val="00161B37"/>
    <w:rsid w:val="00161CBA"/>
    <w:rsid w:val="00161DC5"/>
    <w:rsid w:val="00161FB0"/>
    <w:rsid w:val="00162226"/>
    <w:rsid w:val="00162BD8"/>
    <w:rsid w:val="00162D2A"/>
    <w:rsid w:val="00162ECF"/>
    <w:rsid w:val="00162EEA"/>
    <w:rsid w:val="00163006"/>
    <w:rsid w:val="001635BA"/>
    <w:rsid w:val="00163749"/>
    <w:rsid w:val="00163761"/>
    <w:rsid w:val="00163AF6"/>
    <w:rsid w:val="00163C81"/>
    <w:rsid w:val="00163D65"/>
    <w:rsid w:val="00163D98"/>
    <w:rsid w:val="00164516"/>
    <w:rsid w:val="0016460F"/>
    <w:rsid w:val="0016467D"/>
    <w:rsid w:val="001646AA"/>
    <w:rsid w:val="001647B8"/>
    <w:rsid w:val="00164A05"/>
    <w:rsid w:val="001650EB"/>
    <w:rsid w:val="0016510F"/>
    <w:rsid w:val="0016522D"/>
    <w:rsid w:val="00165951"/>
    <w:rsid w:val="001659B2"/>
    <w:rsid w:val="00166029"/>
    <w:rsid w:val="0016630C"/>
    <w:rsid w:val="00166662"/>
    <w:rsid w:val="0016666F"/>
    <w:rsid w:val="001669EF"/>
    <w:rsid w:val="00167215"/>
    <w:rsid w:val="00167436"/>
    <w:rsid w:val="00167507"/>
    <w:rsid w:val="001676C3"/>
    <w:rsid w:val="001678DA"/>
    <w:rsid w:val="001679EC"/>
    <w:rsid w:val="001679F8"/>
    <w:rsid w:val="00167B0A"/>
    <w:rsid w:val="00170074"/>
    <w:rsid w:val="0017048E"/>
    <w:rsid w:val="0017066A"/>
    <w:rsid w:val="0017072A"/>
    <w:rsid w:val="00170B48"/>
    <w:rsid w:val="00170B65"/>
    <w:rsid w:val="00170BEE"/>
    <w:rsid w:val="00170EB3"/>
    <w:rsid w:val="00171294"/>
    <w:rsid w:val="001715CA"/>
    <w:rsid w:val="00171854"/>
    <w:rsid w:val="00171D24"/>
    <w:rsid w:val="00171DE1"/>
    <w:rsid w:val="00172820"/>
    <w:rsid w:val="00172B76"/>
    <w:rsid w:val="00172BF0"/>
    <w:rsid w:val="00172C79"/>
    <w:rsid w:val="00173452"/>
    <w:rsid w:val="00173B07"/>
    <w:rsid w:val="00173B74"/>
    <w:rsid w:val="00173B85"/>
    <w:rsid w:val="00173D78"/>
    <w:rsid w:val="00173EE0"/>
    <w:rsid w:val="00174074"/>
    <w:rsid w:val="00174180"/>
    <w:rsid w:val="00174415"/>
    <w:rsid w:val="00174DBD"/>
    <w:rsid w:val="001752C1"/>
    <w:rsid w:val="001753A2"/>
    <w:rsid w:val="001753D4"/>
    <w:rsid w:val="0017564A"/>
    <w:rsid w:val="00175930"/>
    <w:rsid w:val="00175959"/>
    <w:rsid w:val="00175B15"/>
    <w:rsid w:val="00175B39"/>
    <w:rsid w:val="00175DFB"/>
    <w:rsid w:val="00175EC3"/>
    <w:rsid w:val="001764D1"/>
    <w:rsid w:val="001764E5"/>
    <w:rsid w:val="001768D8"/>
    <w:rsid w:val="0017691B"/>
    <w:rsid w:val="00176A09"/>
    <w:rsid w:val="00176DF5"/>
    <w:rsid w:val="0017710C"/>
    <w:rsid w:val="001778A1"/>
    <w:rsid w:val="001778DB"/>
    <w:rsid w:val="00177A98"/>
    <w:rsid w:val="00177AFA"/>
    <w:rsid w:val="00177CC3"/>
    <w:rsid w:val="00177CCF"/>
    <w:rsid w:val="00177DA7"/>
    <w:rsid w:val="001803E6"/>
    <w:rsid w:val="0018073F"/>
    <w:rsid w:val="00180B51"/>
    <w:rsid w:val="00180FEC"/>
    <w:rsid w:val="00181265"/>
    <w:rsid w:val="0018141B"/>
    <w:rsid w:val="0018189B"/>
    <w:rsid w:val="001819E5"/>
    <w:rsid w:val="00181D27"/>
    <w:rsid w:val="00182465"/>
    <w:rsid w:val="001825F5"/>
    <w:rsid w:val="00182761"/>
    <w:rsid w:val="00182777"/>
    <w:rsid w:val="00182C50"/>
    <w:rsid w:val="0018371C"/>
    <w:rsid w:val="0018387A"/>
    <w:rsid w:val="0018393A"/>
    <w:rsid w:val="001839BB"/>
    <w:rsid w:val="00183A54"/>
    <w:rsid w:val="00183A8E"/>
    <w:rsid w:val="00183C80"/>
    <w:rsid w:val="00183CDF"/>
    <w:rsid w:val="00183D16"/>
    <w:rsid w:val="00183E50"/>
    <w:rsid w:val="00184300"/>
    <w:rsid w:val="0018466A"/>
    <w:rsid w:val="001846B9"/>
    <w:rsid w:val="00184719"/>
    <w:rsid w:val="001851E6"/>
    <w:rsid w:val="0018523B"/>
    <w:rsid w:val="00185273"/>
    <w:rsid w:val="0018583A"/>
    <w:rsid w:val="00185A12"/>
    <w:rsid w:val="00185AF5"/>
    <w:rsid w:val="00185C7A"/>
    <w:rsid w:val="00185F84"/>
    <w:rsid w:val="001860C4"/>
    <w:rsid w:val="0018615F"/>
    <w:rsid w:val="001861CC"/>
    <w:rsid w:val="001861D4"/>
    <w:rsid w:val="001864C1"/>
    <w:rsid w:val="001867B0"/>
    <w:rsid w:val="001867CD"/>
    <w:rsid w:val="001869BD"/>
    <w:rsid w:val="00186CC1"/>
    <w:rsid w:val="00186FBE"/>
    <w:rsid w:val="001877A2"/>
    <w:rsid w:val="0018786D"/>
    <w:rsid w:val="00187F74"/>
    <w:rsid w:val="00190580"/>
    <w:rsid w:val="001906F3"/>
    <w:rsid w:val="001907A6"/>
    <w:rsid w:val="001907CE"/>
    <w:rsid w:val="001907ED"/>
    <w:rsid w:val="00190D5E"/>
    <w:rsid w:val="00190E44"/>
    <w:rsid w:val="00190F21"/>
    <w:rsid w:val="001911CB"/>
    <w:rsid w:val="001912DF"/>
    <w:rsid w:val="00191310"/>
    <w:rsid w:val="001917B6"/>
    <w:rsid w:val="00191C91"/>
    <w:rsid w:val="00191D14"/>
    <w:rsid w:val="00191DAD"/>
    <w:rsid w:val="00191E3B"/>
    <w:rsid w:val="00191EB3"/>
    <w:rsid w:val="00192069"/>
    <w:rsid w:val="001920B1"/>
    <w:rsid w:val="0019238F"/>
    <w:rsid w:val="001926BC"/>
    <w:rsid w:val="0019276A"/>
    <w:rsid w:val="001927DF"/>
    <w:rsid w:val="00192926"/>
    <w:rsid w:val="00192A4B"/>
    <w:rsid w:val="00192ABB"/>
    <w:rsid w:val="00192BF2"/>
    <w:rsid w:val="00192CF1"/>
    <w:rsid w:val="00192DFF"/>
    <w:rsid w:val="00192E0F"/>
    <w:rsid w:val="00192ECC"/>
    <w:rsid w:val="00192F1C"/>
    <w:rsid w:val="00192FB7"/>
    <w:rsid w:val="00193246"/>
    <w:rsid w:val="001936BD"/>
    <w:rsid w:val="00193C32"/>
    <w:rsid w:val="0019437A"/>
    <w:rsid w:val="00194950"/>
    <w:rsid w:val="001949CD"/>
    <w:rsid w:val="00194A52"/>
    <w:rsid w:val="00194F1B"/>
    <w:rsid w:val="00194FC7"/>
    <w:rsid w:val="00195126"/>
    <w:rsid w:val="001951C2"/>
    <w:rsid w:val="001952B9"/>
    <w:rsid w:val="00195755"/>
    <w:rsid w:val="0019583C"/>
    <w:rsid w:val="00195872"/>
    <w:rsid w:val="00195B2E"/>
    <w:rsid w:val="0019607E"/>
    <w:rsid w:val="00196343"/>
    <w:rsid w:val="001969F8"/>
    <w:rsid w:val="00196A8B"/>
    <w:rsid w:val="00196BBA"/>
    <w:rsid w:val="001970BE"/>
    <w:rsid w:val="00197117"/>
    <w:rsid w:val="00197547"/>
    <w:rsid w:val="00197836"/>
    <w:rsid w:val="00197CDF"/>
    <w:rsid w:val="00197F47"/>
    <w:rsid w:val="001A0518"/>
    <w:rsid w:val="001A054A"/>
    <w:rsid w:val="001A07DE"/>
    <w:rsid w:val="001A083E"/>
    <w:rsid w:val="001A0900"/>
    <w:rsid w:val="001A0C7C"/>
    <w:rsid w:val="001A0D33"/>
    <w:rsid w:val="001A0FF3"/>
    <w:rsid w:val="001A1270"/>
    <w:rsid w:val="001A16F0"/>
    <w:rsid w:val="001A1EFF"/>
    <w:rsid w:val="001A1F05"/>
    <w:rsid w:val="001A2168"/>
    <w:rsid w:val="001A2387"/>
    <w:rsid w:val="001A23E5"/>
    <w:rsid w:val="001A2404"/>
    <w:rsid w:val="001A252F"/>
    <w:rsid w:val="001A26AE"/>
    <w:rsid w:val="001A2701"/>
    <w:rsid w:val="001A2BCE"/>
    <w:rsid w:val="001A2DD4"/>
    <w:rsid w:val="001A34F8"/>
    <w:rsid w:val="001A355F"/>
    <w:rsid w:val="001A359D"/>
    <w:rsid w:val="001A39ED"/>
    <w:rsid w:val="001A3E27"/>
    <w:rsid w:val="001A46F1"/>
    <w:rsid w:val="001A4840"/>
    <w:rsid w:val="001A550C"/>
    <w:rsid w:val="001A5538"/>
    <w:rsid w:val="001A573E"/>
    <w:rsid w:val="001A5A5C"/>
    <w:rsid w:val="001A5FA3"/>
    <w:rsid w:val="001A601F"/>
    <w:rsid w:val="001A6122"/>
    <w:rsid w:val="001A612D"/>
    <w:rsid w:val="001A62B2"/>
    <w:rsid w:val="001A63B3"/>
    <w:rsid w:val="001A6465"/>
    <w:rsid w:val="001A664C"/>
    <w:rsid w:val="001A680F"/>
    <w:rsid w:val="001A6A7F"/>
    <w:rsid w:val="001A71F1"/>
    <w:rsid w:val="001A72BF"/>
    <w:rsid w:val="001A7510"/>
    <w:rsid w:val="001A77AA"/>
    <w:rsid w:val="001A7A6F"/>
    <w:rsid w:val="001A7B61"/>
    <w:rsid w:val="001A7BC4"/>
    <w:rsid w:val="001A7ED3"/>
    <w:rsid w:val="001B0014"/>
    <w:rsid w:val="001B02F5"/>
    <w:rsid w:val="001B041A"/>
    <w:rsid w:val="001B062C"/>
    <w:rsid w:val="001B06AA"/>
    <w:rsid w:val="001B06E3"/>
    <w:rsid w:val="001B0B2A"/>
    <w:rsid w:val="001B0BDA"/>
    <w:rsid w:val="001B0E45"/>
    <w:rsid w:val="001B0EF8"/>
    <w:rsid w:val="001B1599"/>
    <w:rsid w:val="001B19ED"/>
    <w:rsid w:val="001B1AAC"/>
    <w:rsid w:val="001B1D1E"/>
    <w:rsid w:val="001B20F1"/>
    <w:rsid w:val="001B2133"/>
    <w:rsid w:val="001B2202"/>
    <w:rsid w:val="001B2589"/>
    <w:rsid w:val="001B28BB"/>
    <w:rsid w:val="001B2AD1"/>
    <w:rsid w:val="001B2B0B"/>
    <w:rsid w:val="001B2B0E"/>
    <w:rsid w:val="001B2C1E"/>
    <w:rsid w:val="001B2DA7"/>
    <w:rsid w:val="001B2E7D"/>
    <w:rsid w:val="001B3118"/>
    <w:rsid w:val="001B3422"/>
    <w:rsid w:val="001B354A"/>
    <w:rsid w:val="001B35C2"/>
    <w:rsid w:val="001B3602"/>
    <w:rsid w:val="001B396F"/>
    <w:rsid w:val="001B3BF0"/>
    <w:rsid w:val="001B4366"/>
    <w:rsid w:val="001B4C67"/>
    <w:rsid w:val="001B4D4A"/>
    <w:rsid w:val="001B4E8A"/>
    <w:rsid w:val="001B5114"/>
    <w:rsid w:val="001B52A8"/>
    <w:rsid w:val="001B52AB"/>
    <w:rsid w:val="001B5423"/>
    <w:rsid w:val="001B5AF8"/>
    <w:rsid w:val="001B5BF6"/>
    <w:rsid w:val="001B5C8D"/>
    <w:rsid w:val="001B6BC6"/>
    <w:rsid w:val="001B6EAF"/>
    <w:rsid w:val="001B730C"/>
    <w:rsid w:val="001B7850"/>
    <w:rsid w:val="001B7916"/>
    <w:rsid w:val="001B7E69"/>
    <w:rsid w:val="001C02B9"/>
    <w:rsid w:val="001C06CA"/>
    <w:rsid w:val="001C0774"/>
    <w:rsid w:val="001C0C7D"/>
    <w:rsid w:val="001C0F65"/>
    <w:rsid w:val="001C0F66"/>
    <w:rsid w:val="001C10FD"/>
    <w:rsid w:val="001C1751"/>
    <w:rsid w:val="001C17BD"/>
    <w:rsid w:val="001C1AC5"/>
    <w:rsid w:val="001C1BEE"/>
    <w:rsid w:val="001C1C42"/>
    <w:rsid w:val="001C1D78"/>
    <w:rsid w:val="001C1E57"/>
    <w:rsid w:val="001C2371"/>
    <w:rsid w:val="001C259D"/>
    <w:rsid w:val="001C2AB5"/>
    <w:rsid w:val="001C2B0D"/>
    <w:rsid w:val="001C2C1C"/>
    <w:rsid w:val="001C2CF8"/>
    <w:rsid w:val="001C2DB6"/>
    <w:rsid w:val="001C31BA"/>
    <w:rsid w:val="001C35C2"/>
    <w:rsid w:val="001C3A75"/>
    <w:rsid w:val="001C3A7D"/>
    <w:rsid w:val="001C3ABF"/>
    <w:rsid w:val="001C41DF"/>
    <w:rsid w:val="001C47DF"/>
    <w:rsid w:val="001C49B0"/>
    <w:rsid w:val="001C4A8D"/>
    <w:rsid w:val="001C4C7E"/>
    <w:rsid w:val="001C4CB5"/>
    <w:rsid w:val="001C4E0D"/>
    <w:rsid w:val="001C5006"/>
    <w:rsid w:val="001C5157"/>
    <w:rsid w:val="001C5316"/>
    <w:rsid w:val="001C5399"/>
    <w:rsid w:val="001C54C3"/>
    <w:rsid w:val="001C5581"/>
    <w:rsid w:val="001C55D1"/>
    <w:rsid w:val="001C5816"/>
    <w:rsid w:val="001C5AB2"/>
    <w:rsid w:val="001C5C07"/>
    <w:rsid w:val="001C5C7D"/>
    <w:rsid w:val="001C5D72"/>
    <w:rsid w:val="001C61AB"/>
    <w:rsid w:val="001C634D"/>
    <w:rsid w:val="001C6F82"/>
    <w:rsid w:val="001C6F8F"/>
    <w:rsid w:val="001C716D"/>
    <w:rsid w:val="001C7438"/>
    <w:rsid w:val="001C75B1"/>
    <w:rsid w:val="001C7B16"/>
    <w:rsid w:val="001C7DCC"/>
    <w:rsid w:val="001C7DD9"/>
    <w:rsid w:val="001D05C2"/>
    <w:rsid w:val="001D0908"/>
    <w:rsid w:val="001D0937"/>
    <w:rsid w:val="001D0D56"/>
    <w:rsid w:val="001D0FBA"/>
    <w:rsid w:val="001D1107"/>
    <w:rsid w:val="001D1250"/>
    <w:rsid w:val="001D12EA"/>
    <w:rsid w:val="001D1762"/>
    <w:rsid w:val="001D18F0"/>
    <w:rsid w:val="001D1993"/>
    <w:rsid w:val="001D1AC5"/>
    <w:rsid w:val="001D1C26"/>
    <w:rsid w:val="001D1E67"/>
    <w:rsid w:val="001D1E89"/>
    <w:rsid w:val="001D255C"/>
    <w:rsid w:val="001D263B"/>
    <w:rsid w:val="001D2721"/>
    <w:rsid w:val="001D2819"/>
    <w:rsid w:val="001D29B9"/>
    <w:rsid w:val="001D2DBF"/>
    <w:rsid w:val="001D310C"/>
    <w:rsid w:val="001D3520"/>
    <w:rsid w:val="001D352A"/>
    <w:rsid w:val="001D368F"/>
    <w:rsid w:val="001D3733"/>
    <w:rsid w:val="001D3AB0"/>
    <w:rsid w:val="001D3EB5"/>
    <w:rsid w:val="001D4079"/>
    <w:rsid w:val="001D40D1"/>
    <w:rsid w:val="001D4106"/>
    <w:rsid w:val="001D4119"/>
    <w:rsid w:val="001D42D8"/>
    <w:rsid w:val="001D44B5"/>
    <w:rsid w:val="001D46C6"/>
    <w:rsid w:val="001D46FA"/>
    <w:rsid w:val="001D4D81"/>
    <w:rsid w:val="001D4D8D"/>
    <w:rsid w:val="001D4FED"/>
    <w:rsid w:val="001D540E"/>
    <w:rsid w:val="001D56E0"/>
    <w:rsid w:val="001D5A62"/>
    <w:rsid w:val="001D5A6C"/>
    <w:rsid w:val="001D5AEF"/>
    <w:rsid w:val="001D5E7F"/>
    <w:rsid w:val="001D673A"/>
    <w:rsid w:val="001D6756"/>
    <w:rsid w:val="001D68F8"/>
    <w:rsid w:val="001D6CCA"/>
    <w:rsid w:val="001D6D8C"/>
    <w:rsid w:val="001D6F17"/>
    <w:rsid w:val="001D760B"/>
    <w:rsid w:val="001D76D7"/>
    <w:rsid w:val="001D79AE"/>
    <w:rsid w:val="001D7A44"/>
    <w:rsid w:val="001D7A6D"/>
    <w:rsid w:val="001E03A4"/>
    <w:rsid w:val="001E0526"/>
    <w:rsid w:val="001E080A"/>
    <w:rsid w:val="001E0EA6"/>
    <w:rsid w:val="001E122E"/>
    <w:rsid w:val="001E127F"/>
    <w:rsid w:val="001E1915"/>
    <w:rsid w:val="001E192A"/>
    <w:rsid w:val="001E19D5"/>
    <w:rsid w:val="001E1C33"/>
    <w:rsid w:val="001E2076"/>
    <w:rsid w:val="001E20BD"/>
    <w:rsid w:val="001E2119"/>
    <w:rsid w:val="001E249E"/>
    <w:rsid w:val="001E2762"/>
    <w:rsid w:val="001E281F"/>
    <w:rsid w:val="001E2888"/>
    <w:rsid w:val="001E2907"/>
    <w:rsid w:val="001E2CA6"/>
    <w:rsid w:val="001E2D47"/>
    <w:rsid w:val="001E2E12"/>
    <w:rsid w:val="001E2FF3"/>
    <w:rsid w:val="001E30EB"/>
    <w:rsid w:val="001E3307"/>
    <w:rsid w:val="001E3324"/>
    <w:rsid w:val="001E3A5C"/>
    <w:rsid w:val="001E3C5F"/>
    <w:rsid w:val="001E3E5A"/>
    <w:rsid w:val="001E41CF"/>
    <w:rsid w:val="001E441E"/>
    <w:rsid w:val="001E4548"/>
    <w:rsid w:val="001E4779"/>
    <w:rsid w:val="001E4B42"/>
    <w:rsid w:val="001E4F58"/>
    <w:rsid w:val="001E51DB"/>
    <w:rsid w:val="001E5379"/>
    <w:rsid w:val="001E5C44"/>
    <w:rsid w:val="001E5DA8"/>
    <w:rsid w:val="001E5E46"/>
    <w:rsid w:val="001E629F"/>
    <w:rsid w:val="001E632D"/>
    <w:rsid w:val="001E66D3"/>
    <w:rsid w:val="001E693A"/>
    <w:rsid w:val="001E6C06"/>
    <w:rsid w:val="001E6CA3"/>
    <w:rsid w:val="001E6EB2"/>
    <w:rsid w:val="001E7298"/>
    <w:rsid w:val="001E73D5"/>
    <w:rsid w:val="001E7605"/>
    <w:rsid w:val="001E7AEB"/>
    <w:rsid w:val="001E7B10"/>
    <w:rsid w:val="001F0A00"/>
    <w:rsid w:val="001F0CAB"/>
    <w:rsid w:val="001F0DA0"/>
    <w:rsid w:val="001F1033"/>
    <w:rsid w:val="001F10B5"/>
    <w:rsid w:val="001F122D"/>
    <w:rsid w:val="001F155A"/>
    <w:rsid w:val="001F1573"/>
    <w:rsid w:val="001F16C2"/>
    <w:rsid w:val="001F175C"/>
    <w:rsid w:val="001F178E"/>
    <w:rsid w:val="001F183C"/>
    <w:rsid w:val="001F1865"/>
    <w:rsid w:val="001F1888"/>
    <w:rsid w:val="001F18BE"/>
    <w:rsid w:val="001F1E25"/>
    <w:rsid w:val="001F21DA"/>
    <w:rsid w:val="001F25CD"/>
    <w:rsid w:val="001F2697"/>
    <w:rsid w:val="001F26FC"/>
    <w:rsid w:val="001F2996"/>
    <w:rsid w:val="001F2AC3"/>
    <w:rsid w:val="001F2E2D"/>
    <w:rsid w:val="001F309F"/>
    <w:rsid w:val="001F35BF"/>
    <w:rsid w:val="001F35FF"/>
    <w:rsid w:val="001F36BA"/>
    <w:rsid w:val="001F40DB"/>
    <w:rsid w:val="001F4164"/>
    <w:rsid w:val="001F422A"/>
    <w:rsid w:val="001F45BE"/>
    <w:rsid w:val="001F45D9"/>
    <w:rsid w:val="001F4603"/>
    <w:rsid w:val="001F4636"/>
    <w:rsid w:val="001F48E7"/>
    <w:rsid w:val="001F4AED"/>
    <w:rsid w:val="001F4EF0"/>
    <w:rsid w:val="001F51FF"/>
    <w:rsid w:val="001F53EF"/>
    <w:rsid w:val="001F592C"/>
    <w:rsid w:val="001F5A0B"/>
    <w:rsid w:val="001F5DBD"/>
    <w:rsid w:val="001F602C"/>
    <w:rsid w:val="001F6371"/>
    <w:rsid w:val="001F646C"/>
    <w:rsid w:val="001F67E5"/>
    <w:rsid w:val="001F6E7F"/>
    <w:rsid w:val="001F6E87"/>
    <w:rsid w:val="001F6FDE"/>
    <w:rsid w:val="001F7095"/>
    <w:rsid w:val="001F7366"/>
    <w:rsid w:val="001F74BC"/>
    <w:rsid w:val="001F75D5"/>
    <w:rsid w:val="001F7B0C"/>
    <w:rsid w:val="001F7D0A"/>
    <w:rsid w:val="001F7D4D"/>
    <w:rsid w:val="001F7EC0"/>
    <w:rsid w:val="001F7F17"/>
    <w:rsid w:val="001F7F2E"/>
    <w:rsid w:val="00200067"/>
    <w:rsid w:val="00200464"/>
    <w:rsid w:val="0020091C"/>
    <w:rsid w:val="00200EFD"/>
    <w:rsid w:val="0020143B"/>
    <w:rsid w:val="0020160E"/>
    <w:rsid w:val="0020169E"/>
    <w:rsid w:val="0020189A"/>
    <w:rsid w:val="00201CBD"/>
    <w:rsid w:val="00201CCB"/>
    <w:rsid w:val="00201FEF"/>
    <w:rsid w:val="0020210D"/>
    <w:rsid w:val="002021A5"/>
    <w:rsid w:val="0020255B"/>
    <w:rsid w:val="00202A7F"/>
    <w:rsid w:val="00202B84"/>
    <w:rsid w:val="00202D44"/>
    <w:rsid w:val="00203031"/>
    <w:rsid w:val="0020369B"/>
    <w:rsid w:val="00203709"/>
    <w:rsid w:val="002037C0"/>
    <w:rsid w:val="00203915"/>
    <w:rsid w:val="00203966"/>
    <w:rsid w:val="00203B36"/>
    <w:rsid w:val="00203C3C"/>
    <w:rsid w:val="00204276"/>
    <w:rsid w:val="002042A0"/>
    <w:rsid w:val="00204C56"/>
    <w:rsid w:val="00204CCF"/>
    <w:rsid w:val="00204E60"/>
    <w:rsid w:val="0020502A"/>
    <w:rsid w:val="00205091"/>
    <w:rsid w:val="00205117"/>
    <w:rsid w:val="002057E0"/>
    <w:rsid w:val="00205946"/>
    <w:rsid w:val="00205C0D"/>
    <w:rsid w:val="00205D22"/>
    <w:rsid w:val="00205E44"/>
    <w:rsid w:val="00206169"/>
    <w:rsid w:val="002064AD"/>
    <w:rsid w:val="00206822"/>
    <w:rsid w:val="00206C01"/>
    <w:rsid w:val="0020706A"/>
    <w:rsid w:val="00207348"/>
    <w:rsid w:val="00207586"/>
    <w:rsid w:val="00207AB8"/>
    <w:rsid w:val="002100AC"/>
    <w:rsid w:val="00210493"/>
    <w:rsid w:val="002106BC"/>
    <w:rsid w:val="002106FB"/>
    <w:rsid w:val="002109F2"/>
    <w:rsid w:val="00210A27"/>
    <w:rsid w:val="00210C3E"/>
    <w:rsid w:val="00210D37"/>
    <w:rsid w:val="00210DC9"/>
    <w:rsid w:val="00211239"/>
    <w:rsid w:val="002113D6"/>
    <w:rsid w:val="00211B46"/>
    <w:rsid w:val="00211D37"/>
    <w:rsid w:val="00211E81"/>
    <w:rsid w:val="00211F47"/>
    <w:rsid w:val="002121C1"/>
    <w:rsid w:val="00212235"/>
    <w:rsid w:val="002122C9"/>
    <w:rsid w:val="0021234A"/>
    <w:rsid w:val="00212807"/>
    <w:rsid w:val="002128BB"/>
    <w:rsid w:val="00212DCD"/>
    <w:rsid w:val="00212E2F"/>
    <w:rsid w:val="0021321D"/>
    <w:rsid w:val="002135C0"/>
    <w:rsid w:val="002135F5"/>
    <w:rsid w:val="002137BB"/>
    <w:rsid w:val="00213C3B"/>
    <w:rsid w:val="00213DA1"/>
    <w:rsid w:val="00213F67"/>
    <w:rsid w:val="00213FEF"/>
    <w:rsid w:val="00214001"/>
    <w:rsid w:val="00214191"/>
    <w:rsid w:val="0021442B"/>
    <w:rsid w:val="0021446C"/>
    <w:rsid w:val="0021454D"/>
    <w:rsid w:val="0021474F"/>
    <w:rsid w:val="00214FC7"/>
    <w:rsid w:val="00215663"/>
    <w:rsid w:val="002156D4"/>
    <w:rsid w:val="002159BE"/>
    <w:rsid w:val="002159D9"/>
    <w:rsid w:val="00215B0E"/>
    <w:rsid w:val="00215FD9"/>
    <w:rsid w:val="00216291"/>
    <w:rsid w:val="00216591"/>
    <w:rsid w:val="002168EA"/>
    <w:rsid w:val="0021699B"/>
    <w:rsid w:val="00216BEC"/>
    <w:rsid w:val="00216E6B"/>
    <w:rsid w:val="002173C0"/>
    <w:rsid w:val="00217801"/>
    <w:rsid w:val="002179D5"/>
    <w:rsid w:val="00217A97"/>
    <w:rsid w:val="00217CB7"/>
    <w:rsid w:val="00217E06"/>
    <w:rsid w:val="0022001A"/>
    <w:rsid w:val="002201B6"/>
    <w:rsid w:val="002204BC"/>
    <w:rsid w:val="002207F9"/>
    <w:rsid w:val="00220A2C"/>
    <w:rsid w:val="00221071"/>
    <w:rsid w:val="002214C0"/>
    <w:rsid w:val="002216A8"/>
    <w:rsid w:val="002217B2"/>
    <w:rsid w:val="00221917"/>
    <w:rsid w:val="00221A89"/>
    <w:rsid w:val="002221DA"/>
    <w:rsid w:val="0022240E"/>
    <w:rsid w:val="002224B4"/>
    <w:rsid w:val="00222A9D"/>
    <w:rsid w:val="00222ACD"/>
    <w:rsid w:val="002233C6"/>
    <w:rsid w:val="002235DF"/>
    <w:rsid w:val="00223637"/>
    <w:rsid w:val="00223A29"/>
    <w:rsid w:val="00223E18"/>
    <w:rsid w:val="00223EB6"/>
    <w:rsid w:val="00223F72"/>
    <w:rsid w:val="0022407C"/>
    <w:rsid w:val="00224082"/>
    <w:rsid w:val="002242A9"/>
    <w:rsid w:val="0022455A"/>
    <w:rsid w:val="00224569"/>
    <w:rsid w:val="00224B50"/>
    <w:rsid w:val="00224E38"/>
    <w:rsid w:val="00224F76"/>
    <w:rsid w:val="0022506D"/>
    <w:rsid w:val="00225118"/>
    <w:rsid w:val="00225199"/>
    <w:rsid w:val="00225373"/>
    <w:rsid w:val="002255D8"/>
    <w:rsid w:val="0022568A"/>
    <w:rsid w:val="00225ABF"/>
    <w:rsid w:val="00225FD4"/>
    <w:rsid w:val="0022601A"/>
    <w:rsid w:val="0022606D"/>
    <w:rsid w:val="00226588"/>
    <w:rsid w:val="0022660E"/>
    <w:rsid w:val="0022666E"/>
    <w:rsid w:val="00226721"/>
    <w:rsid w:val="00226799"/>
    <w:rsid w:val="00226829"/>
    <w:rsid w:val="00226CB1"/>
    <w:rsid w:val="00226E61"/>
    <w:rsid w:val="002272C5"/>
    <w:rsid w:val="00227982"/>
    <w:rsid w:val="00227F18"/>
    <w:rsid w:val="00230182"/>
    <w:rsid w:val="002302C1"/>
    <w:rsid w:val="002303F5"/>
    <w:rsid w:val="0023069C"/>
    <w:rsid w:val="00230931"/>
    <w:rsid w:val="002309B1"/>
    <w:rsid w:val="00230AFF"/>
    <w:rsid w:val="00230EC5"/>
    <w:rsid w:val="00230ECC"/>
    <w:rsid w:val="0023156A"/>
    <w:rsid w:val="00231A2A"/>
    <w:rsid w:val="00231AAB"/>
    <w:rsid w:val="00231B19"/>
    <w:rsid w:val="00232498"/>
    <w:rsid w:val="0023261B"/>
    <w:rsid w:val="00232976"/>
    <w:rsid w:val="00232BCF"/>
    <w:rsid w:val="00232D5B"/>
    <w:rsid w:val="00232E13"/>
    <w:rsid w:val="00232F48"/>
    <w:rsid w:val="00233057"/>
    <w:rsid w:val="00233879"/>
    <w:rsid w:val="00233A0A"/>
    <w:rsid w:val="00234055"/>
    <w:rsid w:val="002346D3"/>
    <w:rsid w:val="002349AF"/>
    <w:rsid w:val="00234C00"/>
    <w:rsid w:val="00234ED0"/>
    <w:rsid w:val="0023501E"/>
    <w:rsid w:val="0023507D"/>
    <w:rsid w:val="0023549A"/>
    <w:rsid w:val="002356E7"/>
    <w:rsid w:val="00235B23"/>
    <w:rsid w:val="00235B59"/>
    <w:rsid w:val="00236301"/>
    <w:rsid w:val="00237420"/>
    <w:rsid w:val="0023782F"/>
    <w:rsid w:val="00237DF2"/>
    <w:rsid w:val="00237E99"/>
    <w:rsid w:val="0024005F"/>
    <w:rsid w:val="002402F1"/>
    <w:rsid w:val="00240B5D"/>
    <w:rsid w:val="00240D95"/>
    <w:rsid w:val="00240FB5"/>
    <w:rsid w:val="00240FD6"/>
    <w:rsid w:val="0024100F"/>
    <w:rsid w:val="00241319"/>
    <w:rsid w:val="0024136B"/>
    <w:rsid w:val="002416D0"/>
    <w:rsid w:val="00241F39"/>
    <w:rsid w:val="002420A8"/>
    <w:rsid w:val="0024215C"/>
    <w:rsid w:val="0024236D"/>
    <w:rsid w:val="0024256B"/>
    <w:rsid w:val="002426FF"/>
    <w:rsid w:val="00242887"/>
    <w:rsid w:val="00242C69"/>
    <w:rsid w:val="00242D71"/>
    <w:rsid w:val="00242F0C"/>
    <w:rsid w:val="00242F6E"/>
    <w:rsid w:val="0024365E"/>
    <w:rsid w:val="002439C5"/>
    <w:rsid w:val="002439D0"/>
    <w:rsid w:val="00243DD0"/>
    <w:rsid w:val="00244117"/>
    <w:rsid w:val="0024417C"/>
    <w:rsid w:val="002444E9"/>
    <w:rsid w:val="002446BE"/>
    <w:rsid w:val="002446FA"/>
    <w:rsid w:val="00244956"/>
    <w:rsid w:val="00244986"/>
    <w:rsid w:val="002449C9"/>
    <w:rsid w:val="00245252"/>
    <w:rsid w:val="00245256"/>
    <w:rsid w:val="00245333"/>
    <w:rsid w:val="002454C5"/>
    <w:rsid w:val="00245525"/>
    <w:rsid w:val="0024555F"/>
    <w:rsid w:val="00245B41"/>
    <w:rsid w:val="00245DAB"/>
    <w:rsid w:val="00245EB1"/>
    <w:rsid w:val="00245ED8"/>
    <w:rsid w:val="00246125"/>
    <w:rsid w:val="00246129"/>
    <w:rsid w:val="00246475"/>
    <w:rsid w:val="002468B3"/>
    <w:rsid w:val="00246B8C"/>
    <w:rsid w:val="00246F89"/>
    <w:rsid w:val="002470C9"/>
    <w:rsid w:val="0024724E"/>
    <w:rsid w:val="002479E4"/>
    <w:rsid w:val="00250771"/>
    <w:rsid w:val="00250818"/>
    <w:rsid w:val="00250A44"/>
    <w:rsid w:val="00250CF6"/>
    <w:rsid w:val="00250F8F"/>
    <w:rsid w:val="00251884"/>
    <w:rsid w:val="0025219B"/>
    <w:rsid w:val="00252531"/>
    <w:rsid w:val="0025264B"/>
    <w:rsid w:val="00252794"/>
    <w:rsid w:val="00252A84"/>
    <w:rsid w:val="00252C9F"/>
    <w:rsid w:val="00252D9D"/>
    <w:rsid w:val="002531D8"/>
    <w:rsid w:val="00253742"/>
    <w:rsid w:val="002537A4"/>
    <w:rsid w:val="00253884"/>
    <w:rsid w:val="0025400D"/>
    <w:rsid w:val="0025409E"/>
    <w:rsid w:val="002541CE"/>
    <w:rsid w:val="00254400"/>
    <w:rsid w:val="0025456B"/>
    <w:rsid w:val="00254673"/>
    <w:rsid w:val="002548D1"/>
    <w:rsid w:val="00254A1D"/>
    <w:rsid w:val="00254A70"/>
    <w:rsid w:val="00254B43"/>
    <w:rsid w:val="00254B62"/>
    <w:rsid w:val="00254B89"/>
    <w:rsid w:val="002551F6"/>
    <w:rsid w:val="002555F5"/>
    <w:rsid w:val="002558BF"/>
    <w:rsid w:val="00255DF1"/>
    <w:rsid w:val="00255E61"/>
    <w:rsid w:val="0025600A"/>
    <w:rsid w:val="00256206"/>
    <w:rsid w:val="0025637E"/>
    <w:rsid w:val="002566CB"/>
    <w:rsid w:val="00256707"/>
    <w:rsid w:val="002567DD"/>
    <w:rsid w:val="00256D1B"/>
    <w:rsid w:val="00256FAF"/>
    <w:rsid w:val="00257335"/>
    <w:rsid w:val="00257413"/>
    <w:rsid w:val="00257A7E"/>
    <w:rsid w:val="00257BD0"/>
    <w:rsid w:val="00257ED1"/>
    <w:rsid w:val="00260349"/>
    <w:rsid w:val="002606CC"/>
    <w:rsid w:val="00260837"/>
    <w:rsid w:val="00260D6E"/>
    <w:rsid w:val="00260FCB"/>
    <w:rsid w:val="00261425"/>
    <w:rsid w:val="0026157D"/>
    <w:rsid w:val="00261AE3"/>
    <w:rsid w:val="00261BE6"/>
    <w:rsid w:val="00261F4B"/>
    <w:rsid w:val="00262ABA"/>
    <w:rsid w:val="00262B80"/>
    <w:rsid w:val="00262BC4"/>
    <w:rsid w:val="00262C2F"/>
    <w:rsid w:val="00263101"/>
    <w:rsid w:val="002631FE"/>
    <w:rsid w:val="0026350B"/>
    <w:rsid w:val="002637CE"/>
    <w:rsid w:val="00263823"/>
    <w:rsid w:val="00263A72"/>
    <w:rsid w:val="00263E61"/>
    <w:rsid w:val="00264BA8"/>
    <w:rsid w:val="00264BAB"/>
    <w:rsid w:val="00264F97"/>
    <w:rsid w:val="00265090"/>
    <w:rsid w:val="002657FA"/>
    <w:rsid w:val="00265BB0"/>
    <w:rsid w:val="00265F3A"/>
    <w:rsid w:val="002666DE"/>
    <w:rsid w:val="002669FC"/>
    <w:rsid w:val="00266CD5"/>
    <w:rsid w:val="00266DDC"/>
    <w:rsid w:val="00266E8B"/>
    <w:rsid w:val="002670C9"/>
    <w:rsid w:val="002672ED"/>
    <w:rsid w:val="002676BE"/>
    <w:rsid w:val="00267975"/>
    <w:rsid w:val="00267A1F"/>
    <w:rsid w:val="00267C43"/>
    <w:rsid w:val="00267DD6"/>
    <w:rsid w:val="00267FD4"/>
    <w:rsid w:val="00270058"/>
    <w:rsid w:val="00270264"/>
    <w:rsid w:val="00270298"/>
    <w:rsid w:val="002703EA"/>
    <w:rsid w:val="002704D0"/>
    <w:rsid w:val="002705A1"/>
    <w:rsid w:val="002708D8"/>
    <w:rsid w:val="00270AC2"/>
    <w:rsid w:val="00270CE4"/>
    <w:rsid w:val="00270E58"/>
    <w:rsid w:val="00270FAD"/>
    <w:rsid w:val="0027102D"/>
    <w:rsid w:val="00271050"/>
    <w:rsid w:val="00271092"/>
    <w:rsid w:val="00271559"/>
    <w:rsid w:val="002718B3"/>
    <w:rsid w:val="00272063"/>
    <w:rsid w:val="002720B1"/>
    <w:rsid w:val="0027259D"/>
    <w:rsid w:val="00272BEA"/>
    <w:rsid w:val="00272EAD"/>
    <w:rsid w:val="00272F0C"/>
    <w:rsid w:val="00272FFD"/>
    <w:rsid w:val="002731A0"/>
    <w:rsid w:val="002734B5"/>
    <w:rsid w:val="00273ACC"/>
    <w:rsid w:val="00273D7C"/>
    <w:rsid w:val="00273E1B"/>
    <w:rsid w:val="00274220"/>
    <w:rsid w:val="002743FD"/>
    <w:rsid w:val="0027454A"/>
    <w:rsid w:val="002745DA"/>
    <w:rsid w:val="002746B6"/>
    <w:rsid w:val="002747C8"/>
    <w:rsid w:val="00274DDB"/>
    <w:rsid w:val="00274EF4"/>
    <w:rsid w:val="002751F7"/>
    <w:rsid w:val="0027540F"/>
    <w:rsid w:val="002754AA"/>
    <w:rsid w:val="002755E4"/>
    <w:rsid w:val="002755FB"/>
    <w:rsid w:val="00275F16"/>
    <w:rsid w:val="00275F35"/>
    <w:rsid w:val="00276019"/>
    <w:rsid w:val="002763DA"/>
    <w:rsid w:val="00276473"/>
    <w:rsid w:val="00276E25"/>
    <w:rsid w:val="00276E5B"/>
    <w:rsid w:val="002772CF"/>
    <w:rsid w:val="0027737A"/>
    <w:rsid w:val="002774A5"/>
    <w:rsid w:val="00277571"/>
    <w:rsid w:val="00277632"/>
    <w:rsid w:val="00277E1F"/>
    <w:rsid w:val="0028004D"/>
    <w:rsid w:val="00280620"/>
    <w:rsid w:val="00280767"/>
    <w:rsid w:val="00281169"/>
    <w:rsid w:val="0028118B"/>
    <w:rsid w:val="002817F9"/>
    <w:rsid w:val="002818A5"/>
    <w:rsid w:val="0028195B"/>
    <w:rsid w:val="00281BDA"/>
    <w:rsid w:val="00281F42"/>
    <w:rsid w:val="00281F73"/>
    <w:rsid w:val="00282874"/>
    <w:rsid w:val="002828F2"/>
    <w:rsid w:val="00282B48"/>
    <w:rsid w:val="00282CAC"/>
    <w:rsid w:val="00282CCC"/>
    <w:rsid w:val="00283393"/>
    <w:rsid w:val="00283676"/>
    <w:rsid w:val="002836F9"/>
    <w:rsid w:val="002837B5"/>
    <w:rsid w:val="00283E46"/>
    <w:rsid w:val="00283F94"/>
    <w:rsid w:val="0028409F"/>
    <w:rsid w:val="0028412E"/>
    <w:rsid w:val="0028424B"/>
    <w:rsid w:val="00284285"/>
    <w:rsid w:val="00284304"/>
    <w:rsid w:val="0028441D"/>
    <w:rsid w:val="0028452D"/>
    <w:rsid w:val="0028476A"/>
    <w:rsid w:val="0028501D"/>
    <w:rsid w:val="00285303"/>
    <w:rsid w:val="002857FF"/>
    <w:rsid w:val="002859A5"/>
    <w:rsid w:val="00285BD7"/>
    <w:rsid w:val="00285EB9"/>
    <w:rsid w:val="00286342"/>
    <w:rsid w:val="00286B80"/>
    <w:rsid w:val="00286D59"/>
    <w:rsid w:val="00286F41"/>
    <w:rsid w:val="0028701A"/>
    <w:rsid w:val="00287032"/>
    <w:rsid w:val="00287634"/>
    <w:rsid w:val="002879EB"/>
    <w:rsid w:val="00287C57"/>
    <w:rsid w:val="00290232"/>
    <w:rsid w:val="002903DB"/>
    <w:rsid w:val="002904F1"/>
    <w:rsid w:val="00290E3A"/>
    <w:rsid w:val="00290E3E"/>
    <w:rsid w:val="00290F83"/>
    <w:rsid w:val="00290FA8"/>
    <w:rsid w:val="00291065"/>
    <w:rsid w:val="00291110"/>
    <w:rsid w:val="002917AA"/>
    <w:rsid w:val="00291F2E"/>
    <w:rsid w:val="0029230C"/>
    <w:rsid w:val="002927CE"/>
    <w:rsid w:val="002927D7"/>
    <w:rsid w:val="00292ADF"/>
    <w:rsid w:val="00292CB2"/>
    <w:rsid w:val="00292D79"/>
    <w:rsid w:val="00292EA1"/>
    <w:rsid w:val="0029318A"/>
    <w:rsid w:val="00293210"/>
    <w:rsid w:val="00293797"/>
    <w:rsid w:val="00293C02"/>
    <w:rsid w:val="00293C83"/>
    <w:rsid w:val="00293EA0"/>
    <w:rsid w:val="0029494A"/>
    <w:rsid w:val="00294985"/>
    <w:rsid w:val="00294A7A"/>
    <w:rsid w:val="00294D09"/>
    <w:rsid w:val="00295063"/>
    <w:rsid w:val="00295512"/>
    <w:rsid w:val="002956CC"/>
    <w:rsid w:val="002959B3"/>
    <w:rsid w:val="00295B93"/>
    <w:rsid w:val="00295F8E"/>
    <w:rsid w:val="002962D6"/>
    <w:rsid w:val="002962EE"/>
    <w:rsid w:val="0029638E"/>
    <w:rsid w:val="00296817"/>
    <w:rsid w:val="00296A66"/>
    <w:rsid w:val="00296BA6"/>
    <w:rsid w:val="00296C68"/>
    <w:rsid w:val="00296EEC"/>
    <w:rsid w:val="00296F59"/>
    <w:rsid w:val="002970E8"/>
    <w:rsid w:val="00297438"/>
    <w:rsid w:val="0029744F"/>
    <w:rsid w:val="0029780E"/>
    <w:rsid w:val="002A01B6"/>
    <w:rsid w:val="002A0552"/>
    <w:rsid w:val="002A09C4"/>
    <w:rsid w:val="002A0B02"/>
    <w:rsid w:val="002A112E"/>
    <w:rsid w:val="002A145A"/>
    <w:rsid w:val="002A168B"/>
    <w:rsid w:val="002A174E"/>
    <w:rsid w:val="002A1783"/>
    <w:rsid w:val="002A186C"/>
    <w:rsid w:val="002A18DF"/>
    <w:rsid w:val="002A1919"/>
    <w:rsid w:val="002A1C72"/>
    <w:rsid w:val="002A1CCF"/>
    <w:rsid w:val="002A250B"/>
    <w:rsid w:val="002A2609"/>
    <w:rsid w:val="002A274F"/>
    <w:rsid w:val="002A2A19"/>
    <w:rsid w:val="002A2A2D"/>
    <w:rsid w:val="002A2B1E"/>
    <w:rsid w:val="002A2CC5"/>
    <w:rsid w:val="002A2DBD"/>
    <w:rsid w:val="002A2E7E"/>
    <w:rsid w:val="002A2F18"/>
    <w:rsid w:val="002A2FC2"/>
    <w:rsid w:val="002A2FED"/>
    <w:rsid w:val="002A3B06"/>
    <w:rsid w:val="002A3B7A"/>
    <w:rsid w:val="002A4083"/>
    <w:rsid w:val="002A4325"/>
    <w:rsid w:val="002A44F5"/>
    <w:rsid w:val="002A47F5"/>
    <w:rsid w:val="002A49F5"/>
    <w:rsid w:val="002A4A4B"/>
    <w:rsid w:val="002A4D5E"/>
    <w:rsid w:val="002A4D96"/>
    <w:rsid w:val="002A506F"/>
    <w:rsid w:val="002A53C6"/>
    <w:rsid w:val="002A5496"/>
    <w:rsid w:val="002A555B"/>
    <w:rsid w:val="002A56FD"/>
    <w:rsid w:val="002A5928"/>
    <w:rsid w:val="002A5CD0"/>
    <w:rsid w:val="002A5F6A"/>
    <w:rsid w:val="002A61DD"/>
    <w:rsid w:val="002A6888"/>
    <w:rsid w:val="002A6B52"/>
    <w:rsid w:val="002A72C9"/>
    <w:rsid w:val="002A74E9"/>
    <w:rsid w:val="002A753E"/>
    <w:rsid w:val="002A777A"/>
    <w:rsid w:val="002A7834"/>
    <w:rsid w:val="002A78E3"/>
    <w:rsid w:val="002A7AFB"/>
    <w:rsid w:val="002A7B3A"/>
    <w:rsid w:val="002A7D08"/>
    <w:rsid w:val="002A7D48"/>
    <w:rsid w:val="002A7F97"/>
    <w:rsid w:val="002B02FD"/>
    <w:rsid w:val="002B06DC"/>
    <w:rsid w:val="002B09EF"/>
    <w:rsid w:val="002B0E50"/>
    <w:rsid w:val="002B0EA9"/>
    <w:rsid w:val="002B0F9A"/>
    <w:rsid w:val="002B1108"/>
    <w:rsid w:val="002B1559"/>
    <w:rsid w:val="002B16FA"/>
    <w:rsid w:val="002B19F4"/>
    <w:rsid w:val="002B1B63"/>
    <w:rsid w:val="002B1E58"/>
    <w:rsid w:val="002B20B2"/>
    <w:rsid w:val="002B20DA"/>
    <w:rsid w:val="002B21B1"/>
    <w:rsid w:val="002B2276"/>
    <w:rsid w:val="002B227A"/>
    <w:rsid w:val="002B23A0"/>
    <w:rsid w:val="002B23AF"/>
    <w:rsid w:val="002B25D6"/>
    <w:rsid w:val="002B28C1"/>
    <w:rsid w:val="002B28CB"/>
    <w:rsid w:val="002B2B83"/>
    <w:rsid w:val="002B2DEC"/>
    <w:rsid w:val="002B2E74"/>
    <w:rsid w:val="002B2E78"/>
    <w:rsid w:val="002B2EAA"/>
    <w:rsid w:val="002B2FB6"/>
    <w:rsid w:val="002B2FE4"/>
    <w:rsid w:val="002B3170"/>
    <w:rsid w:val="002B3338"/>
    <w:rsid w:val="002B3381"/>
    <w:rsid w:val="002B35F5"/>
    <w:rsid w:val="002B376C"/>
    <w:rsid w:val="002B390A"/>
    <w:rsid w:val="002B3EB9"/>
    <w:rsid w:val="002B4328"/>
    <w:rsid w:val="002B449D"/>
    <w:rsid w:val="002B4530"/>
    <w:rsid w:val="002B4777"/>
    <w:rsid w:val="002B4A85"/>
    <w:rsid w:val="002B4B03"/>
    <w:rsid w:val="002B4B05"/>
    <w:rsid w:val="002B4B0F"/>
    <w:rsid w:val="002B4CAA"/>
    <w:rsid w:val="002B4FAD"/>
    <w:rsid w:val="002B4FB6"/>
    <w:rsid w:val="002B521C"/>
    <w:rsid w:val="002B54DC"/>
    <w:rsid w:val="002B55E9"/>
    <w:rsid w:val="002B579F"/>
    <w:rsid w:val="002B5D1F"/>
    <w:rsid w:val="002B5D57"/>
    <w:rsid w:val="002B5FD2"/>
    <w:rsid w:val="002B6102"/>
    <w:rsid w:val="002B618B"/>
    <w:rsid w:val="002B63D3"/>
    <w:rsid w:val="002B67C0"/>
    <w:rsid w:val="002B6ABF"/>
    <w:rsid w:val="002B6B97"/>
    <w:rsid w:val="002B6D0A"/>
    <w:rsid w:val="002B6F4D"/>
    <w:rsid w:val="002B702C"/>
    <w:rsid w:val="002B72FB"/>
    <w:rsid w:val="002B7391"/>
    <w:rsid w:val="002B7755"/>
    <w:rsid w:val="002B7930"/>
    <w:rsid w:val="002B798D"/>
    <w:rsid w:val="002B7F9A"/>
    <w:rsid w:val="002C0453"/>
    <w:rsid w:val="002C047F"/>
    <w:rsid w:val="002C0967"/>
    <w:rsid w:val="002C0EC7"/>
    <w:rsid w:val="002C0FA6"/>
    <w:rsid w:val="002C1072"/>
    <w:rsid w:val="002C1159"/>
    <w:rsid w:val="002C1184"/>
    <w:rsid w:val="002C153C"/>
    <w:rsid w:val="002C171D"/>
    <w:rsid w:val="002C17E1"/>
    <w:rsid w:val="002C1A6C"/>
    <w:rsid w:val="002C1EA9"/>
    <w:rsid w:val="002C1EEE"/>
    <w:rsid w:val="002C21FC"/>
    <w:rsid w:val="002C227F"/>
    <w:rsid w:val="002C24CC"/>
    <w:rsid w:val="002C2607"/>
    <w:rsid w:val="002C277D"/>
    <w:rsid w:val="002C2A1F"/>
    <w:rsid w:val="002C2AF7"/>
    <w:rsid w:val="002C2D14"/>
    <w:rsid w:val="002C2E00"/>
    <w:rsid w:val="002C2E6C"/>
    <w:rsid w:val="002C2E8F"/>
    <w:rsid w:val="002C311D"/>
    <w:rsid w:val="002C334A"/>
    <w:rsid w:val="002C3392"/>
    <w:rsid w:val="002C33D5"/>
    <w:rsid w:val="002C3448"/>
    <w:rsid w:val="002C36A1"/>
    <w:rsid w:val="002C36A7"/>
    <w:rsid w:val="002C3905"/>
    <w:rsid w:val="002C3B4A"/>
    <w:rsid w:val="002C41A6"/>
    <w:rsid w:val="002C490A"/>
    <w:rsid w:val="002C4915"/>
    <w:rsid w:val="002C4991"/>
    <w:rsid w:val="002C4A24"/>
    <w:rsid w:val="002C4D13"/>
    <w:rsid w:val="002C4D25"/>
    <w:rsid w:val="002C4DAD"/>
    <w:rsid w:val="002C5377"/>
    <w:rsid w:val="002C5408"/>
    <w:rsid w:val="002C55A5"/>
    <w:rsid w:val="002C55E0"/>
    <w:rsid w:val="002C5782"/>
    <w:rsid w:val="002C58F1"/>
    <w:rsid w:val="002C6304"/>
    <w:rsid w:val="002C6747"/>
    <w:rsid w:val="002C6CB1"/>
    <w:rsid w:val="002C79F0"/>
    <w:rsid w:val="002C7BF1"/>
    <w:rsid w:val="002C7C21"/>
    <w:rsid w:val="002C7CE1"/>
    <w:rsid w:val="002C7E26"/>
    <w:rsid w:val="002D00DF"/>
    <w:rsid w:val="002D0191"/>
    <w:rsid w:val="002D0619"/>
    <w:rsid w:val="002D064F"/>
    <w:rsid w:val="002D0A2A"/>
    <w:rsid w:val="002D0D84"/>
    <w:rsid w:val="002D0DC7"/>
    <w:rsid w:val="002D0FE0"/>
    <w:rsid w:val="002D1413"/>
    <w:rsid w:val="002D14F1"/>
    <w:rsid w:val="002D17DC"/>
    <w:rsid w:val="002D1D80"/>
    <w:rsid w:val="002D1EB4"/>
    <w:rsid w:val="002D205A"/>
    <w:rsid w:val="002D20EE"/>
    <w:rsid w:val="002D26ED"/>
    <w:rsid w:val="002D2C63"/>
    <w:rsid w:val="002D32C7"/>
    <w:rsid w:val="002D3509"/>
    <w:rsid w:val="002D36E0"/>
    <w:rsid w:val="002D3A00"/>
    <w:rsid w:val="002D3B05"/>
    <w:rsid w:val="002D3C6B"/>
    <w:rsid w:val="002D3CB7"/>
    <w:rsid w:val="002D3F18"/>
    <w:rsid w:val="002D4075"/>
    <w:rsid w:val="002D42BC"/>
    <w:rsid w:val="002D4528"/>
    <w:rsid w:val="002D466D"/>
    <w:rsid w:val="002D48FE"/>
    <w:rsid w:val="002D4A72"/>
    <w:rsid w:val="002D4B40"/>
    <w:rsid w:val="002D4CAF"/>
    <w:rsid w:val="002D4D5F"/>
    <w:rsid w:val="002D4DB0"/>
    <w:rsid w:val="002D5087"/>
    <w:rsid w:val="002D511A"/>
    <w:rsid w:val="002D513B"/>
    <w:rsid w:val="002D51DC"/>
    <w:rsid w:val="002D54AC"/>
    <w:rsid w:val="002D56DB"/>
    <w:rsid w:val="002D5B4B"/>
    <w:rsid w:val="002D5CE3"/>
    <w:rsid w:val="002D5D30"/>
    <w:rsid w:val="002D5DEC"/>
    <w:rsid w:val="002D6603"/>
    <w:rsid w:val="002D660B"/>
    <w:rsid w:val="002D6760"/>
    <w:rsid w:val="002D6860"/>
    <w:rsid w:val="002D6B80"/>
    <w:rsid w:val="002D6C6C"/>
    <w:rsid w:val="002D6F56"/>
    <w:rsid w:val="002D7572"/>
    <w:rsid w:val="002D7B5E"/>
    <w:rsid w:val="002E0DF2"/>
    <w:rsid w:val="002E1138"/>
    <w:rsid w:val="002E1754"/>
    <w:rsid w:val="002E18E8"/>
    <w:rsid w:val="002E1942"/>
    <w:rsid w:val="002E19DE"/>
    <w:rsid w:val="002E211C"/>
    <w:rsid w:val="002E22C9"/>
    <w:rsid w:val="002E23EB"/>
    <w:rsid w:val="002E2403"/>
    <w:rsid w:val="002E2847"/>
    <w:rsid w:val="002E2A19"/>
    <w:rsid w:val="002E2AC3"/>
    <w:rsid w:val="002E2C79"/>
    <w:rsid w:val="002E2CD2"/>
    <w:rsid w:val="002E2F74"/>
    <w:rsid w:val="002E30A6"/>
    <w:rsid w:val="002E31B3"/>
    <w:rsid w:val="002E343B"/>
    <w:rsid w:val="002E36D7"/>
    <w:rsid w:val="002E37F3"/>
    <w:rsid w:val="002E3883"/>
    <w:rsid w:val="002E3AA7"/>
    <w:rsid w:val="002E3BAA"/>
    <w:rsid w:val="002E3D2D"/>
    <w:rsid w:val="002E422C"/>
    <w:rsid w:val="002E424C"/>
    <w:rsid w:val="002E433E"/>
    <w:rsid w:val="002E449C"/>
    <w:rsid w:val="002E44A3"/>
    <w:rsid w:val="002E4876"/>
    <w:rsid w:val="002E4933"/>
    <w:rsid w:val="002E4B3D"/>
    <w:rsid w:val="002E56C2"/>
    <w:rsid w:val="002E5920"/>
    <w:rsid w:val="002E5C14"/>
    <w:rsid w:val="002E5D26"/>
    <w:rsid w:val="002E5DAD"/>
    <w:rsid w:val="002E6352"/>
    <w:rsid w:val="002E6A39"/>
    <w:rsid w:val="002E6A75"/>
    <w:rsid w:val="002E6C69"/>
    <w:rsid w:val="002E734C"/>
    <w:rsid w:val="002E746B"/>
    <w:rsid w:val="002E762D"/>
    <w:rsid w:val="002E7832"/>
    <w:rsid w:val="002E7CC4"/>
    <w:rsid w:val="002F0600"/>
    <w:rsid w:val="002F08E5"/>
    <w:rsid w:val="002F1740"/>
    <w:rsid w:val="002F1914"/>
    <w:rsid w:val="002F19C5"/>
    <w:rsid w:val="002F1A93"/>
    <w:rsid w:val="002F1C6F"/>
    <w:rsid w:val="002F2AA3"/>
    <w:rsid w:val="002F2E26"/>
    <w:rsid w:val="002F2EFB"/>
    <w:rsid w:val="002F3A08"/>
    <w:rsid w:val="002F3ADB"/>
    <w:rsid w:val="002F3AFA"/>
    <w:rsid w:val="002F3E51"/>
    <w:rsid w:val="002F3EE4"/>
    <w:rsid w:val="002F3EF3"/>
    <w:rsid w:val="002F3F62"/>
    <w:rsid w:val="002F4120"/>
    <w:rsid w:val="002F434F"/>
    <w:rsid w:val="002F4A39"/>
    <w:rsid w:val="002F5297"/>
    <w:rsid w:val="002F5351"/>
    <w:rsid w:val="002F5416"/>
    <w:rsid w:val="002F545F"/>
    <w:rsid w:val="002F54AD"/>
    <w:rsid w:val="002F56E5"/>
    <w:rsid w:val="002F589A"/>
    <w:rsid w:val="002F5BB0"/>
    <w:rsid w:val="002F5E4C"/>
    <w:rsid w:val="002F60B5"/>
    <w:rsid w:val="002F612C"/>
    <w:rsid w:val="002F64F2"/>
    <w:rsid w:val="002F65E2"/>
    <w:rsid w:val="002F6714"/>
    <w:rsid w:val="002F686D"/>
    <w:rsid w:val="002F69CC"/>
    <w:rsid w:val="002F6B2F"/>
    <w:rsid w:val="002F6B7E"/>
    <w:rsid w:val="002F6CD5"/>
    <w:rsid w:val="002F6E55"/>
    <w:rsid w:val="002F6F98"/>
    <w:rsid w:val="002F7098"/>
    <w:rsid w:val="002F711E"/>
    <w:rsid w:val="002F71C5"/>
    <w:rsid w:val="002F71CD"/>
    <w:rsid w:val="002F7201"/>
    <w:rsid w:val="002F720C"/>
    <w:rsid w:val="002F73BD"/>
    <w:rsid w:val="002F7600"/>
    <w:rsid w:val="002F773D"/>
    <w:rsid w:val="002F7D0F"/>
    <w:rsid w:val="002F7F8E"/>
    <w:rsid w:val="00300246"/>
    <w:rsid w:val="00300564"/>
    <w:rsid w:val="0030056D"/>
    <w:rsid w:val="00300785"/>
    <w:rsid w:val="003009C6"/>
    <w:rsid w:val="00300BC1"/>
    <w:rsid w:val="00301279"/>
    <w:rsid w:val="00301296"/>
    <w:rsid w:val="003012C7"/>
    <w:rsid w:val="00301352"/>
    <w:rsid w:val="00301659"/>
    <w:rsid w:val="0030181C"/>
    <w:rsid w:val="00301D13"/>
    <w:rsid w:val="00301EB5"/>
    <w:rsid w:val="00301F4F"/>
    <w:rsid w:val="0030211F"/>
    <w:rsid w:val="0030294D"/>
    <w:rsid w:val="00302BA7"/>
    <w:rsid w:val="00302CB2"/>
    <w:rsid w:val="00302CC4"/>
    <w:rsid w:val="00302CE3"/>
    <w:rsid w:val="00302E3C"/>
    <w:rsid w:val="00302FE7"/>
    <w:rsid w:val="003036CF"/>
    <w:rsid w:val="003036D9"/>
    <w:rsid w:val="00303BFF"/>
    <w:rsid w:val="00303D66"/>
    <w:rsid w:val="00303E2C"/>
    <w:rsid w:val="0030429A"/>
    <w:rsid w:val="003042D8"/>
    <w:rsid w:val="00304509"/>
    <w:rsid w:val="00304870"/>
    <w:rsid w:val="00304A9A"/>
    <w:rsid w:val="00304D9D"/>
    <w:rsid w:val="00304F7A"/>
    <w:rsid w:val="003050CC"/>
    <w:rsid w:val="00305240"/>
    <w:rsid w:val="00305566"/>
    <w:rsid w:val="00305710"/>
    <w:rsid w:val="00305729"/>
    <w:rsid w:val="0030588A"/>
    <w:rsid w:val="00305B5D"/>
    <w:rsid w:val="00305BE3"/>
    <w:rsid w:val="003060A0"/>
    <w:rsid w:val="003060FB"/>
    <w:rsid w:val="00306339"/>
    <w:rsid w:val="00306489"/>
    <w:rsid w:val="00306663"/>
    <w:rsid w:val="0030671C"/>
    <w:rsid w:val="003067E9"/>
    <w:rsid w:val="003069DB"/>
    <w:rsid w:val="00306ABE"/>
    <w:rsid w:val="0030705E"/>
    <w:rsid w:val="00307159"/>
    <w:rsid w:val="0030715E"/>
    <w:rsid w:val="00307622"/>
    <w:rsid w:val="00307AC0"/>
    <w:rsid w:val="00307C59"/>
    <w:rsid w:val="00307E25"/>
    <w:rsid w:val="00310175"/>
    <w:rsid w:val="003105FE"/>
    <w:rsid w:val="0031060C"/>
    <w:rsid w:val="00310819"/>
    <w:rsid w:val="00310EC4"/>
    <w:rsid w:val="00311396"/>
    <w:rsid w:val="003116EE"/>
    <w:rsid w:val="003116EF"/>
    <w:rsid w:val="0031171D"/>
    <w:rsid w:val="003117AE"/>
    <w:rsid w:val="00311DBE"/>
    <w:rsid w:val="00311E59"/>
    <w:rsid w:val="003122E5"/>
    <w:rsid w:val="003124DC"/>
    <w:rsid w:val="0031258C"/>
    <w:rsid w:val="00312755"/>
    <w:rsid w:val="003127C9"/>
    <w:rsid w:val="00312996"/>
    <w:rsid w:val="00313139"/>
    <w:rsid w:val="00313243"/>
    <w:rsid w:val="00313538"/>
    <w:rsid w:val="00313BE0"/>
    <w:rsid w:val="00313C07"/>
    <w:rsid w:val="00313FCA"/>
    <w:rsid w:val="0031409E"/>
    <w:rsid w:val="00314129"/>
    <w:rsid w:val="00314656"/>
    <w:rsid w:val="003146F2"/>
    <w:rsid w:val="00314725"/>
    <w:rsid w:val="003149A9"/>
    <w:rsid w:val="00314C5A"/>
    <w:rsid w:val="00314DE7"/>
    <w:rsid w:val="00314E1E"/>
    <w:rsid w:val="00314E70"/>
    <w:rsid w:val="003150BF"/>
    <w:rsid w:val="003151C6"/>
    <w:rsid w:val="00315307"/>
    <w:rsid w:val="0031569E"/>
    <w:rsid w:val="00315E56"/>
    <w:rsid w:val="00315E8D"/>
    <w:rsid w:val="00315F0E"/>
    <w:rsid w:val="003161C2"/>
    <w:rsid w:val="0031621C"/>
    <w:rsid w:val="003162B6"/>
    <w:rsid w:val="003163FD"/>
    <w:rsid w:val="00316BD1"/>
    <w:rsid w:val="00316D2F"/>
    <w:rsid w:val="00317168"/>
    <w:rsid w:val="00317754"/>
    <w:rsid w:val="00317EC7"/>
    <w:rsid w:val="00317F8F"/>
    <w:rsid w:val="00320005"/>
    <w:rsid w:val="003202CC"/>
    <w:rsid w:val="003202E4"/>
    <w:rsid w:val="0032041C"/>
    <w:rsid w:val="0032075C"/>
    <w:rsid w:val="00320BD5"/>
    <w:rsid w:val="00320CC4"/>
    <w:rsid w:val="00320F5B"/>
    <w:rsid w:val="0032103B"/>
    <w:rsid w:val="0032119D"/>
    <w:rsid w:val="00321256"/>
    <w:rsid w:val="003214C8"/>
    <w:rsid w:val="00321755"/>
    <w:rsid w:val="00321B19"/>
    <w:rsid w:val="00321B1B"/>
    <w:rsid w:val="00321E62"/>
    <w:rsid w:val="003226EC"/>
    <w:rsid w:val="003227F2"/>
    <w:rsid w:val="00322882"/>
    <w:rsid w:val="00322B62"/>
    <w:rsid w:val="00323096"/>
    <w:rsid w:val="0032379B"/>
    <w:rsid w:val="003239FF"/>
    <w:rsid w:val="00323A29"/>
    <w:rsid w:val="00323D45"/>
    <w:rsid w:val="003241EB"/>
    <w:rsid w:val="00324551"/>
    <w:rsid w:val="003246EC"/>
    <w:rsid w:val="0032498B"/>
    <w:rsid w:val="00324D39"/>
    <w:rsid w:val="00324F8A"/>
    <w:rsid w:val="00325915"/>
    <w:rsid w:val="00325E06"/>
    <w:rsid w:val="00325E14"/>
    <w:rsid w:val="00325E28"/>
    <w:rsid w:val="003262B9"/>
    <w:rsid w:val="003263B9"/>
    <w:rsid w:val="00326894"/>
    <w:rsid w:val="00326907"/>
    <w:rsid w:val="00326EFF"/>
    <w:rsid w:val="00327175"/>
    <w:rsid w:val="0032767C"/>
    <w:rsid w:val="003276B1"/>
    <w:rsid w:val="00327B21"/>
    <w:rsid w:val="00327B96"/>
    <w:rsid w:val="00327FB4"/>
    <w:rsid w:val="003300C9"/>
    <w:rsid w:val="0033077D"/>
    <w:rsid w:val="00330C3C"/>
    <w:rsid w:val="00330DA5"/>
    <w:rsid w:val="00330E44"/>
    <w:rsid w:val="00330F83"/>
    <w:rsid w:val="003311E5"/>
    <w:rsid w:val="00331483"/>
    <w:rsid w:val="003314F7"/>
    <w:rsid w:val="003316C2"/>
    <w:rsid w:val="003318BF"/>
    <w:rsid w:val="00331920"/>
    <w:rsid w:val="003319F3"/>
    <w:rsid w:val="00331B2A"/>
    <w:rsid w:val="00331C80"/>
    <w:rsid w:val="00331C8D"/>
    <w:rsid w:val="00331EEE"/>
    <w:rsid w:val="0033207F"/>
    <w:rsid w:val="003320C5"/>
    <w:rsid w:val="0033227A"/>
    <w:rsid w:val="0033231B"/>
    <w:rsid w:val="00332342"/>
    <w:rsid w:val="003326B8"/>
    <w:rsid w:val="0033279A"/>
    <w:rsid w:val="00332BF1"/>
    <w:rsid w:val="00332DAE"/>
    <w:rsid w:val="0033384F"/>
    <w:rsid w:val="00333B04"/>
    <w:rsid w:val="00334071"/>
    <w:rsid w:val="003344B3"/>
    <w:rsid w:val="00335258"/>
    <w:rsid w:val="003353BE"/>
    <w:rsid w:val="00335415"/>
    <w:rsid w:val="0033575B"/>
    <w:rsid w:val="00335A7E"/>
    <w:rsid w:val="00335BB3"/>
    <w:rsid w:val="00335DA5"/>
    <w:rsid w:val="00336512"/>
    <w:rsid w:val="00336549"/>
    <w:rsid w:val="0033665B"/>
    <w:rsid w:val="00336A7C"/>
    <w:rsid w:val="00336C06"/>
    <w:rsid w:val="00336D55"/>
    <w:rsid w:val="00336EE3"/>
    <w:rsid w:val="00337376"/>
    <w:rsid w:val="00337A14"/>
    <w:rsid w:val="00337C60"/>
    <w:rsid w:val="00340A56"/>
    <w:rsid w:val="00340B8E"/>
    <w:rsid w:val="00340E6A"/>
    <w:rsid w:val="00341295"/>
    <w:rsid w:val="00341823"/>
    <w:rsid w:val="00341ABC"/>
    <w:rsid w:val="00342358"/>
    <w:rsid w:val="003423CA"/>
    <w:rsid w:val="0034245A"/>
    <w:rsid w:val="00342531"/>
    <w:rsid w:val="00342600"/>
    <w:rsid w:val="00342AFD"/>
    <w:rsid w:val="00342B15"/>
    <w:rsid w:val="00342D7C"/>
    <w:rsid w:val="00342FC8"/>
    <w:rsid w:val="00343B7C"/>
    <w:rsid w:val="00343F3D"/>
    <w:rsid w:val="003440D0"/>
    <w:rsid w:val="0034475E"/>
    <w:rsid w:val="00344797"/>
    <w:rsid w:val="00344B4B"/>
    <w:rsid w:val="00344C55"/>
    <w:rsid w:val="00344F87"/>
    <w:rsid w:val="0034529A"/>
    <w:rsid w:val="0034530B"/>
    <w:rsid w:val="00345463"/>
    <w:rsid w:val="003457BC"/>
    <w:rsid w:val="00345D66"/>
    <w:rsid w:val="003462AF"/>
    <w:rsid w:val="00346503"/>
    <w:rsid w:val="0034653B"/>
    <w:rsid w:val="003466C9"/>
    <w:rsid w:val="0034683A"/>
    <w:rsid w:val="00346A15"/>
    <w:rsid w:val="00346B7E"/>
    <w:rsid w:val="00346D90"/>
    <w:rsid w:val="00347152"/>
    <w:rsid w:val="0034715B"/>
    <w:rsid w:val="003471E1"/>
    <w:rsid w:val="003473F5"/>
    <w:rsid w:val="003473FA"/>
    <w:rsid w:val="0034769A"/>
    <w:rsid w:val="003477D5"/>
    <w:rsid w:val="00347923"/>
    <w:rsid w:val="0034795D"/>
    <w:rsid w:val="00347D2C"/>
    <w:rsid w:val="00347E10"/>
    <w:rsid w:val="00347E58"/>
    <w:rsid w:val="00350506"/>
    <w:rsid w:val="003505A6"/>
    <w:rsid w:val="00350963"/>
    <w:rsid w:val="00350B30"/>
    <w:rsid w:val="00350C17"/>
    <w:rsid w:val="00350D96"/>
    <w:rsid w:val="00350FF9"/>
    <w:rsid w:val="00351265"/>
    <w:rsid w:val="003514FF"/>
    <w:rsid w:val="0035176A"/>
    <w:rsid w:val="00351AD6"/>
    <w:rsid w:val="00351CAC"/>
    <w:rsid w:val="00351D42"/>
    <w:rsid w:val="00351F52"/>
    <w:rsid w:val="0035260A"/>
    <w:rsid w:val="00352740"/>
    <w:rsid w:val="00352F92"/>
    <w:rsid w:val="003531B3"/>
    <w:rsid w:val="00353233"/>
    <w:rsid w:val="003539F8"/>
    <w:rsid w:val="00353E59"/>
    <w:rsid w:val="00353FD4"/>
    <w:rsid w:val="00354070"/>
    <w:rsid w:val="0035416D"/>
    <w:rsid w:val="003544F5"/>
    <w:rsid w:val="00354727"/>
    <w:rsid w:val="0035473A"/>
    <w:rsid w:val="0035487A"/>
    <w:rsid w:val="003552EE"/>
    <w:rsid w:val="00355647"/>
    <w:rsid w:val="00355FD6"/>
    <w:rsid w:val="00356014"/>
    <w:rsid w:val="003560F9"/>
    <w:rsid w:val="00356450"/>
    <w:rsid w:val="003564E7"/>
    <w:rsid w:val="00356552"/>
    <w:rsid w:val="00356828"/>
    <w:rsid w:val="00356C64"/>
    <w:rsid w:val="00356CA8"/>
    <w:rsid w:val="00356E23"/>
    <w:rsid w:val="00356E8E"/>
    <w:rsid w:val="003572D5"/>
    <w:rsid w:val="00357511"/>
    <w:rsid w:val="003576B9"/>
    <w:rsid w:val="00357A4E"/>
    <w:rsid w:val="00357AA9"/>
    <w:rsid w:val="003600E2"/>
    <w:rsid w:val="00360247"/>
    <w:rsid w:val="0036069C"/>
    <w:rsid w:val="00360C23"/>
    <w:rsid w:val="00360C71"/>
    <w:rsid w:val="00360EE8"/>
    <w:rsid w:val="0036104A"/>
    <w:rsid w:val="00361152"/>
    <w:rsid w:val="003612D3"/>
    <w:rsid w:val="003616AD"/>
    <w:rsid w:val="003618B4"/>
    <w:rsid w:val="00361E2C"/>
    <w:rsid w:val="003621E4"/>
    <w:rsid w:val="00362261"/>
    <w:rsid w:val="003625BF"/>
    <w:rsid w:val="00362976"/>
    <w:rsid w:val="003629A0"/>
    <w:rsid w:val="00362D0E"/>
    <w:rsid w:val="00362D5D"/>
    <w:rsid w:val="0036306C"/>
    <w:rsid w:val="00363434"/>
    <w:rsid w:val="00363481"/>
    <w:rsid w:val="003639B5"/>
    <w:rsid w:val="00363A58"/>
    <w:rsid w:val="00363ED8"/>
    <w:rsid w:val="003640BC"/>
    <w:rsid w:val="003640F0"/>
    <w:rsid w:val="003640F2"/>
    <w:rsid w:val="003641BB"/>
    <w:rsid w:val="003642D2"/>
    <w:rsid w:val="003643F9"/>
    <w:rsid w:val="003646DE"/>
    <w:rsid w:val="0036473A"/>
    <w:rsid w:val="00364941"/>
    <w:rsid w:val="0036499F"/>
    <w:rsid w:val="00364D4E"/>
    <w:rsid w:val="00365213"/>
    <w:rsid w:val="00365650"/>
    <w:rsid w:val="003657F5"/>
    <w:rsid w:val="003659C1"/>
    <w:rsid w:val="00365C07"/>
    <w:rsid w:val="00365EB6"/>
    <w:rsid w:val="003669AF"/>
    <w:rsid w:val="00366E15"/>
    <w:rsid w:val="00366F46"/>
    <w:rsid w:val="00366F9A"/>
    <w:rsid w:val="00366FF4"/>
    <w:rsid w:val="003679C8"/>
    <w:rsid w:val="00367CA9"/>
    <w:rsid w:val="00367CB2"/>
    <w:rsid w:val="00367CF0"/>
    <w:rsid w:val="003700B5"/>
    <w:rsid w:val="003705C4"/>
    <w:rsid w:val="0037070E"/>
    <w:rsid w:val="0037095F"/>
    <w:rsid w:val="003709B9"/>
    <w:rsid w:val="00370A78"/>
    <w:rsid w:val="00370F0A"/>
    <w:rsid w:val="00371576"/>
    <w:rsid w:val="0037184B"/>
    <w:rsid w:val="003718C2"/>
    <w:rsid w:val="00371CD7"/>
    <w:rsid w:val="0037213B"/>
    <w:rsid w:val="00372537"/>
    <w:rsid w:val="00372F40"/>
    <w:rsid w:val="00373D7C"/>
    <w:rsid w:val="00373E52"/>
    <w:rsid w:val="00374069"/>
    <w:rsid w:val="003743C7"/>
    <w:rsid w:val="0037453F"/>
    <w:rsid w:val="0037465E"/>
    <w:rsid w:val="00374740"/>
    <w:rsid w:val="00374798"/>
    <w:rsid w:val="003748CB"/>
    <w:rsid w:val="003749E9"/>
    <w:rsid w:val="00374D69"/>
    <w:rsid w:val="00374DEC"/>
    <w:rsid w:val="0037505F"/>
    <w:rsid w:val="00375366"/>
    <w:rsid w:val="003755B5"/>
    <w:rsid w:val="003755BE"/>
    <w:rsid w:val="00375684"/>
    <w:rsid w:val="00375885"/>
    <w:rsid w:val="00375B63"/>
    <w:rsid w:val="00375E34"/>
    <w:rsid w:val="0037602C"/>
    <w:rsid w:val="00376150"/>
    <w:rsid w:val="003761F5"/>
    <w:rsid w:val="00376352"/>
    <w:rsid w:val="00376572"/>
    <w:rsid w:val="00376834"/>
    <w:rsid w:val="00376B7B"/>
    <w:rsid w:val="00376BBF"/>
    <w:rsid w:val="00376FA5"/>
    <w:rsid w:val="0037785B"/>
    <w:rsid w:val="00380235"/>
    <w:rsid w:val="00380759"/>
    <w:rsid w:val="003807EF"/>
    <w:rsid w:val="00380B2C"/>
    <w:rsid w:val="00380F77"/>
    <w:rsid w:val="00381059"/>
    <w:rsid w:val="0038114E"/>
    <w:rsid w:val="003815AE"/>
    <w:rsid w:val="003816C0"/>
    <w:rsid w:val="00381D61"/>
    <w:rsid w:val="00381FB2"/>
    <w:rsid w:val="003821D7"/>
    <w:rsid w:val="00382309"/>
    <w:rsid w:val="0038230D"/>
    <w:rsid w:val="00382327"/>
    <w:rsid w:val="003824EC"/>
    <w:rsid w:val="003828B5"/>
    <w:rsid w:val="00382CA0"/>
    <w:rsid w:val="00382D73"/>
    <w:rsid w:val="00382D7C"/>
    <w:rsid w:val="00382DAF"/>
    <w:rsid w:val="00382FCF"/>
    <w:rsid w:val="003830F7"/>
    <w:rsid w:val="0038325F"/>
    <w:rsid w:val="00383E01"/>
    <w:rsid w:val="00383ED6"/>
    <w:rsid w:val="00384013"/>
    <w:rsid w:val="0038409C"/>
    <w:rsid w:val="003844D3"/>
    <w:rsid w:val="003848D6"/>
    <w:rsid w:val="00385356"/>
    <w:rsid w:val="003853A2"/>
    <w:rsid w:val="00385486"/>
    <w:rsid w:val="003856B7"/>
    <w:rsid w:val="003857E8"/>
    <w:rsid w:val="00385A53"/>
    <w:rsid w:val="00385A9F"/>
    <w:rsid w:val="00385BC6"/>
    <w:rsid w:val="00385DB8"/>
    <w:rsid w:val="00385F6B"/>
    <w:rsid w:val="003868B6"/>
    <w:rsid w:val="00386993"/>
    <w:rsid w:val="00386ADB"/>
    <w:rsid w:val="00386EEC"/>
    <w:rsid w:val="0038704C"/>
    <w:rsid w:val="003871DF"/>
    <w:rsid w:val="00387233"/>
    <w:rsid w:val="003876EC"/>
    <w:rsid w:val="00387AE9"/>
    <w:rsid w:val="00387BB0"/>
    <w:rsid w:val="0039097A"/>
    <w:rsid w:val="00390D78"/>
    <w:rsid w:val="00390F98"/>
    <w:rsid w:val="0039180E"/>
    <w:rsid w:val="00391FA0"/>
    <w:rsid w:val="00392065"/>
    <w:rsid w:val="003922BC"/>
    <w:rsid w:val="003929C5"/>
    <w:rsid w:val="00392D8B"/>
    <w:rsid w:val="00392DE4"/>
    <w:rsid w:val="00393053"/>
    <w:rsid w:val="00393646"/>
    <w:rsid w:val="003936C8"/>
    <w:rsid w:val="00393946"/>
    <w:rsid w:val="00393ACC"/>
    <w:rsid w:val="00393E2C"/>
    <w:rsid w:val="00394038"/>
    <w:rsid w:val="0039498F"/>
    <w:rsid w:val="00394AEC"/>
    <w:rsid w:val="00395438"/>
    <w:rsid w:val="00395514"/>
    <w:rsid w:val="003955E9"/>
    <w:rsid w:val="003956B3"/>
    <w:rsid w:val="00395C84"/>
    <w:rsid w:val="00395EFA"/>
    <w:rsid w:val="00396014"/>
    <w:rsid w:val="00396045"/>
    <w:rsid w:val="0039619A"/>
    <w:rsid w:val="003962C0"/>
    <w:rsid w:val="003964CE"/>
    <w:rsid w:val="00396570"/>
    <w:rsid w:val="0039673A"/>
    <w:rsid w:val="0039694D"/>
    <w:rsid w:val="00396C5E"/>
    <w:rsid w:val="00396F92"/>
    <w:rsid w:val="0039710B"/>
    <w:rsid w:val="0039715A"/>
    <w:rsid w:val="00397474"/>
    <w:rsid w:val="0039759F"/>
    <w:rsid w:val="0039760A"/>
    <w:rsid w:val="003976E4"/>
    <w:rsid w:val="00397838"/>
    <w:rsid w:val="00397D95"/>
    <w:rsid w:val="00397F6A"/>
    <w:rsid w:val="003A0092"/>
    <w:rsid w:val="003A061E"/>
    <w:rsid w:val="003A0DD6"/>
    <w:rsid w:val="003A1186"/>
    <w:rsid w:val="003A1205"/>
    <w:rsid w:val="003A170B"/>
    <w:rsid w:val="003A1B9C"/>
    <w:rsid w:val="003A2253"/>
    <w:rsid w:val="003A2395"/>
    <w:rsid w:val="003A2462"/>
    <w:rsid w:val="003A2B2B"/>
    <w:rsid w:val="003A2EAD"/>
    <w:rsid w:val="003A2F5C"/>
    <w:rsid w:val="003A319C"/>
    <w:rsid w:val="003A352B"/>
    <w:rsid w:val="003A360C"/>
    <w:rsid w:val="003A370F"/>
    <w:rsid w:val="003A37B7"/>
    <w:rsid w:val="003A39F5"/>
    <w:rsid w:val="003A3BD5"/>
    <w:rsid w:val="003A3D22"/>
    <w:rsid w:val="003A47B6"/>
    <w:rsid w:val="003A4885"/>
    <w:rsid w:val="003A4E4D"/>
    <w:rsid w:val="003A4FAF"/>
    <w:rsid w:val="003A5031"/>
    <w:rsid w:val="003A5223"/>
    <w:rsid w:val="003A552E"/>
    <w:rsid w:val="003A5888"/>
    <w:rsid w:val="003A5A2B"/>
    <w:rsid w:val="003A5C94"/>
    <w:rsid w:val="003A5D4F"/>
    <w:rsid w:val="003A6165"/>
    <w:rsid w:val="003A6710"/>
    <w:rsid w:val="003A6F78"/>
    <w:rsid w:val="003A74E2"/>
    <w:rsid w:val="003A76F6"/>
    <w:rsid w:val="003A7D4F"/>
    <w:rsid w:val="003A7E4F"/>
    <w:rsid w:val="003B01CF"/>
    <w:rsid w:val="003B05DB"/>
    <w:rsid w:val="003B08A1"/>
    <w:rsid w:val="003B08BA"/>
    <w:rsid w:val="003B10DF"/>
    <w:rsid w:val="003B1372"/>
    <w:rsid w:val="003B1477"/>
    <w:rsid w:val="003B148A"/>
    <w:rsid w:val="003B14CA"/>
    <w:rsid w:val="003B14D4"/>
    <w:rsid w:val="003B1671"/>
    <w:rsid w:val="003B190D"/>
    <w:rsid w:val="003B191B"/>
    <w:rsid w:val="003B1AC0"/>
    <w:rsid w:val="003B1EB5"/>
    <w:rsid w:val="003B1FB8"/>
    <w:rsid w:val="003B215E"/>
    <w:rsid w:val="003B2A04"/>
    <w:rsid w:val="003B2B9C"/>
    <w:rsid w:val="003B2C31"/>
    <w:rsid w:val="003B2D58"/>
    <w:rsid w:val="003B2DA1"/>
    <w:rsid w:val="003B2F53"/>
    <w:rsid w:val="003B314E"/>
    <w:rsid w:val="003B315C"/>
    <w:rsid w:val="003B3662"/>
    <w:rsid w:val="003B3846"/>
    <w:rsid w:val="003B3B19"/>
    <w:rsid w:val="003B3CFB"/>
    <w:rsid w:val="003B3F4F"/>
    <w:rsid w:val="003B4001"/>
    <w:rsid w:val="003B42CE"/>
    <w:rsid w:val="003B47A4"/>
    <w:rsid w:val="003B47A9"/>
    <w:rsid w:val="003B487E"/>
    <w:rsid w:val="003B4AFD"/>
    <w:rsid w:val="003B4D73"/>
    <w:rsid w:val="003B4F54"/>
    <w:rsid w:val="003B50EC"/>
    <w:rsid w:val="003B532D"/>
    <w:rsid w:val="003B5B0B"/>
    <w:rsid w:val="003B5C6F"/>
    <w:rsid w:val="003B602A"/>
    <w:rsid w:val="003B606B"/>
    <w:rsid w:val="003B621D"/>
    <w:rsid w:val="003B6AC7"/>
    <w:rsid w:val="003B6BC9"/>
    <w:rsid w:val="003B6BD8"/>
    <w:rsid w:val="003B6C8F"/>
    <w:rsid w:val="003B6F1F"/>
    <w:rsid w:val="003B74A2"/>
    <w:rsid w:val="003B75E2"/>
    <w:rsid w:val="003B76EB"/>
    <w:rsid w:val="003B7BF6"/>
    <w:rsid w:val="003B7C52"/>
    <w:rsid w:val="003B7F40"/>
    <w:rsid w:val="003C040B"/>
    <w:rsid w:val="003C04B3"/>
    <w:rsid w:val="003C05D6"/>
    <w:rsid w:val="003C06D5"/>
    <w:rsid w:val="003C071F"/>
    <w:rsid w:val="003C0748"/>
    <w:rsid w:val="003C0B8B"/>
    <w:rsid w:val="003C0D2F"/>
    <w:rsid w:val="003C0E1C"/>
    <w:rsid w:val="003C1307"/>
    <w:rsid w:val="003C1346"/>
    <w:rsid w:val="003C19E9"/>
    <w:rsid w:val="003C1D28"/>
    <w:rsid w:val="003C1DE5"/>
    <w:rsid w:val="003C1F5A"/>
    <w:rsid w:val="003C1FBF"/>
    <w:rsid w:val="003C20B9"/>
    <w:rsid w:val="003C2101"/>
    <w:rsid w:val="003C27A5"/>
    <w:rsid w:val="003C27EE"/>
    <w:rsid w:val="003C2AFA"/>
    <w:rsid w:val="003C2C6D"/>
    <w:rsid w:val="003C3378"/>
    <w:rsid w:val="003C3620"/>
    <w:rsid w:val="003C37A1"/>
    <w:rsid w:val="003C3A50"/>
    <w:rsid w:val="003C3D28"/>
    <w:rsid w:val="003C3E0F"/>
    <w:rsid w:val="003C3EA8"/>
    <w:rsid w:val="003C3F75"/>
    <w:rsid w:val="003C418D"/>
    <w:rsid w:val="003C43F7"/>
    <w:rsid w:val="003C449B"/>
    <w:rsid w:val="003C46FD"/>
    <w:rsid w:val="003C4878"/>
    <w:rsid w:val="003C4A2A"/>
    <w:rsid w:val="003C4B05"/>
    <w:rsid w:val="003C4C8C"/>
    <w:rsid w:val="003C4EAB"/>
    <w:rsid w:val="003C4F3E"/>
    <w:rsid w:val="003C4FAF"/>
    <w:rsid w:val="003C505A"/>
    <w:rsid w:val="003C5150"/>
    <w:rsid w:val="003C5159"/>
    <w:rsid w:val="003C53DC"/>
    <w:rsid w:val="003C5465"/>
    <w:rsid w:val="003C5727"/>
    <w:rsid w:val="003C5A25"/>
    <w:rsid w:val="003C5CA4"/>
    <w:rsid w:val="003C5F97"/>
    <w:rsid w:val="003C6422"/>
    <w:rsid w:val="003C668C"/>
    <w:rsid w:val="003C681C"/>
    <w:rsid w:val="003C6853"/>
    <w:rsid w:val="003C6979"/>
    <w:rsid w:val="003C6BB4"/>
    <w:rsid w:val="003C6CF7"/>
    <w:rsid w:val="003C6ED4"/>
    <w:rsid w:val="003C718F"/>
    <w:rsid w:val="003C7240"/>
    <w:rsid w:val="003C7730"/>
    <w:rsid w:val="003C779D"/>
    <w:rsid w:val="003C7990"/>
    <w:rsid w:val="003C7A66"/>
    <w:rsid w:val="003C7E76"/>
    <w:rsid w:val="003D0186"/>
    <w:rsid w:val="003D0568"/>
    <w:rsid w:val="003D08CD"/>
    <w:rsid w:val="003D0905"/>
    <w:rsid w:val="003D0983"/>
    <w:rsid w:val="003D0AAE"/>
    <w:rsid w:val="003D0ACA"/>
    <w:rsid w:val="003D0DB4"/>
    <w:rsid w:val="003D1056"/>
    <w:rsid w:val="003D1CB1"/>
    <w:rsid w:val="003D1DAC"/>
    <w:rsid w:val="003D20BA"/>
    <w:rsid w:val="003D26E9"/>
    <w:rsid w:val="003D27C1"/>
    <w:rsid w:val="003D2912"/>
    <w:rsid w:val="003D2BB1"/>
    <w:rsid w:val="003D2E1C"/>
    <w:rsid w:val="003D2E67"/>
    <w:rsid w:val="003D2EE9"/>
    <w:rsid w:val="003D309C"/>
    <w:rsid w:val="003D3341"/>
    <w:rsid w:val="003D3396"/>
    <w:rsid w:val="003D388F"/>
    <w:rsid w:val="003D4147"/>
    <w:rsid w:val="003D488E"/>
    <w:rsid w:val="003D4D9F"/>
    <w:rsid w:val="003D5678"/>
    <w:rsid w:val="003D62D6"/>
    <w:rsid w:val="003D6C91"/>
    <w:rsid w:val="003D70E5"/>
    <w:rsid w:val="003D7250"/>
    <w:rsid w:val="003D73C3"/>
    <w:rsid w:val="003D762C"/>
    <w:rsid w:val="003D7746"/>
    <w:rsid w:val="003D7AFC"/>
    <w:rsid w:val="003D7ECF"/>
    <w:rsid w:val="003E008D"/>
    <w:rsid w:val="003E01C1"/>
    <w:rsid w:val="003E0233"/>
    <w:rsid w:val="003E035F"/>
    <w:rsid w:val="003E0479"/>
    <w:rsid w:val="003E060F"/>
    <w:rsid w:val="003E06BE"/>
    <w:rsid w:val="003E07C0"/>
    <w:rsid w:val="003E1093"/>
    <w:rsid w:val="003E11E5"/>
    <w:rsid w:val="003E134C"/>
    <w:rsid w:val="003E146D"/>
    <w:rsid w:val="003E1732"/>
    <w:rsid w:val="003E1956"/>
    <w:rsid w:val="003E1B61"/>
    <w:rsid w:val="003E1D31"/>
    <w:rsid w:val="003E27E0"/>
    <w:rsid w:val="003E2AAC"/>
    <w:rsid w:val="003E2B5F"/>
    <w:rsid w:val="003E2BD4"/>
    <w:rsid w:val="003E2C0B"/>
    <w:rsid w:val="003E2EE7"/>
    <w:rsid w:val="003E2FA0"/>
    <w:rsid w:val="003E3055"/>
    <w:rsid w:val="003E32D6"/>
    <w:rsid w:val="003E34D7"/>
    <w:rsid w:val="003E39C4"/>
    <w:rsid w:val="003E3ACF"/>
    <w:rsid w:val="003E3AD1"/>
    <w:rsid w:val="003E3C2C"/>
    <w:rsid w:val="003E3D01"/>
    <w:rsid w:val="003E3F84"/>
    <w:rsid w:val="003E40DE"/>
    <w:rsid w:val="003E4104"/>
    <w:rsid w:val="003E41E6"/>
    <w:rsid w:val="003E438D"/>
    <w:rsid w:val="003E448E"/>
    <w:rsid w:val="003E44E8"/>
    <w:rsid w:val="003E47DB"/>
    <w:rsid w:val="003E4CD6"/>
    <w:rsid w:val="003E4D4A"/>
    <w:rsid w:val="003E4DE6"/>
    <w:rsid w:val="003E52D4"/>
    <w:rsid w:val="003E550F"/>
    <w:rsid w:val="003E578C"/>
    <w:rsid w:val="003E5D3F"/>
    <w:rsid w:val="003E5D9D"/>
    <w:rsid w:val="003E5FA0"/>
    <w:rsid w:val="003E5FA5"/>
    <w:rsid w:val="003E623F"/>
    <w:rsid w:val="003E62A6"/>
    <w:rsid w:val="003E6777"/>
    <w:rsid w:val="003E68EC"/>
    <w:rsid w:val="003E69E2"/>
    <w:rsid w:val="003E6DF0"/>
    <w:rsid w:val="003E6E12"/>
    <w:rsid w:val="003E713A"/>
    <w:rsid w:val="003E73AF"/>
    <w:rsid w:val="003E7564"/>
    <w:rsid w:val="003E761E"/>
    <w:rsid w:val="003E7653"/>
    <w:rsid w:val="003E765A"/>
    <w:rsid w:val="003E76A9"/>
    <w:rsid w:val="003E7770"/>
    <w:rsid w:val="003E7792"/>
    <w:rsid w:val="003E7D12"/>
    <w:rsid w:val="003F002F"/>
    <w:rsid w:val="003F01BC"/>
    <w:rsid w:val="003F0307"/>
    <w:rsid w:val="003F03BF"/>
    <w:rsid w:val="003F0643"/>
    <w:rsid w:val="003F0AEA"/>
    <w:rsid w:val="003F0C68"/>
    <w:rsid w:val="003F0D96"/>
    <w:rsid w:val="003F116A"/>
    <w:rsid w:val="003F11D4"/>
    <w:rsid w:val="003F16A3"/>
    <w:rsid w:val="003F1B14"/>
    <w:rsid w:val="003F1C17"/>
    <w:rsid w:val="003F1C93"/>
    <w:rsid w:val="003F1DA7"/>
    <w:rsid w:val="003F2416"/>
    <w:rsid w:val="003F2BA2"/>
    <w:rsid w:val="003F2E7B"/>
    <w:rsid w:val="003F2EE6"/>
    <w:rsid w:val="003F2F8E"/>
    <w:rsid w:val="003F31E4"/>
    <w:rsid w:val="003F331C"/>
    <w:rsid w:val="003F3614"/>
    <w:rsid w:val="003F37DC"/>
    <w:rsid w:val="003F383F"/>
    <w:rsid w:val="003F3A2A"/>
    <w:rsid w:val="003F3CAE"/>
    <w:rsid w:val="003F4077"/>
    <w:rsid w:val="003F4088"/>
    <w:rsid w:val="003F4120"/>
    <w:rsid w:val="003F44D1"/>
    <w:rsid w:val="003F46E2"/>
    <w:rsid w:val="003F47CF"/>
    <w:rsid w:val="003F49F8"/>
    <w:rsid w:val="003F5055"/>
    <w:rsid w:val="003F507B"/>
    <w:rsid w:val="003F551E"/>
    <w:rsid w:val="003F56D2"/>
    <w:rsid w:val="003F59A3"/>
    <w:rsid w:val="003F5BA8"/>
    <w:rsid w:val="003F5EF1"/>
    <w:rsid w:val="003F6779"/>
    <w:rsid w:val="003F6927"/>
    <w:rsid w:val="003F6AD7"/>
    <w:rsid w:val="003F6B33"/>
    <w:rsid w:val="003F6BDE"/>
    <w:rsid w:val="003F6D16"/>
    <w:rsid w:val="003F6F83"/>
    <w:rsid w:val="003F6F9D"/>
    <w:rsid w:val="003F7524"/>
    <w:rsid w:val="003F7836"/>
    <w:rsid w:val="003F7931"/>
    <w:rsid w:val="003F7ABB"/>
    <w:rsid w:val="003F7ADE"/>
    <w:rsid w:val="003F7AEE"/>
    <w:rsid w:val="004001F7"/>
    <w:rsid w:val="004002D6"/>
    <w:rsid w:val="004003A9"/>
    <w:rsid w:val="00400660"/>
    <w:rsid w:val="00400695"/>
    <w:rsid w:val="004007DF"/>
    <w:rsid w:val="00400E4C"/>
    <w:rsid w:val="00400E55"/>
    <w:rsid w:val="00401227"/>
    <w:rsid w:val="004012DA"/>
    <w:rsid w:val="004015F8"/>
    <w:rsid w:val="0040161F"/>
    <w:rsid w:val="00401685"/>
    <w:rsid w:val="0040187D"/>
    <w:rsid w:val="00401A25"/>
    <w:rsid w:val="00401DD0"/>
    <w:rsid w:val="00401F2D"/>
    <w:rsid w:val="00402716"/>
    <w:rsid w:val="004029E8"/>
    <w:rsid w:val="00402B34"/>
    <w:rsid w:val="00403211"/>
    <w:rsid w:val="00403259"/>
    <w:rsid w:val="004035DA"/>
    <w:rsid w:val="00403989"/>
    <w:rsid w:val="00403D7C"/>
    <w:rsid w:val="00403FF6"/>
    <w:rsid w:val="004040EC"/>
    <w:rsid w:val="00404140"/>
    <w:rsid w:val="004043E1"/>
    <w:rsid w:val="004045A2"/>
    <w:rsid w:val="00404BCF"/>
    <w:rsid w:val="00405333"/>
    <w:rsid w:val="00405370"/>
    <w:rsid w:val="004056FB"/>
    <w:rsid w:val="00405D7C"/>
    <w:rsid w:val="00405F81"/>
    <w:rsid w:val="00406488"/>
    <w:rsid w:val="004065EA"/>
    <w:rsid w:val="0040680E"/>
    <w:rsid w:val="00406857"/>
    <w:rsid w:val="00406D1F"/>
    <w:rsid w:val="00406D40"/>
    <w:rsid w:val="004077DC"/>
    <w:rsid w:val="00407803"/>
    <w:rsid w:val="00407D6C"/>
    <w:rsid w:val="004100EF"/>
    <w:rsid w:val="0041031A"/>
    <w:rsid w:val="004104D6"/>
    <w:rsid w:val="004104FB"/>
    <w:rsid w:val="004106C8"/>
    <w:rsid w:val="00410969"/>
    <w:rsid w:val="00410AF9"/>
    <w:rsid w:val="0041144A"/>
    <w:rsid w:val="00411B9B"/>
    <w:rsid w:val="00412042"/>
    <w:rsid w:val="00412497"/>
    <w:rsid w:val="0041256D"/>
    <w:rsid w:val="0041257A"/>
    <w:rsid w:val="00412918"/>
    <w:rsid w:val="00412B25"/>
    <w:rsid w:val="00412CB5"/>
    <w:rsid w:val="00412D40"/>
    <w:rsid w:val="00412DED"/>
    <w:rsid w:val="004135AD"/>
    <w:rsid w:val="0041449D"/>
    <w:rsid w:val="00414572"/>
    <w:rsid w:val="004146D0"/>
    <w:rsid w:val="004148DF"/>
    <w:rsid w:val="00414C56"/>
    <w:rsid w:val="00414E68"/>
    <w:rsid w:val="00414E9F"/>
    <w:rsid w:val="00414F34"/>
    <w:rsid w:val="00414F89"/>
    <w:rsid w:val="0041520F"/>
    <w:rsid w:val="00415217"/>
    <w:rsid w:val="0041548D"/>
    <w:rsid w:val="004155AD"/>
    <w:rsid w:val="0041585E"/>
    <w:rsid w:val="00415A19"/>
    <w:rsid w:val="00415E59"/>
    <w:rsid w:val="00415F6D"/>
    <w:rsid w:val="00416648"/>
    <w:rsid w:val="004166FB"/>
    <w:rsid w:val="0041677A"/>
    <w:rsid w:val="004169FA"/>
    <w:rsid w:val="00416B95"/>
    <w:rsid w:val="00416BC9"/>
    <w:rsid w:val="00416BD5"/>
    <w:rsid w:val="00416C87"/>
    <w:rsid w:val="00416C9E"/>
    <w:rsid w:val="004171F7"/>
    <w:rsid w:val="00417348"/>
    <w:rsid w:val="00417AFF"/>
    <w:rsid w:val="00420052"/>
    <w:rsid w:val="00420951"/>
    <w:rsid w:val="00420B5C"/>
    <w:rsid w:val="00420CBF"/>
    <w:rsid w:val="0042109E"/>
    <w:rsid w:val="004215F2"/>
    <w:rsid w:val="00421BA8"/>
    <w:rsid w:val="00421E25"/>
    <w:rsid w:val="004222BC"/>
    <w:rsid w:val="00422331"/>
    <w:rsid w:val="004223EA"/>
    <w:rsid w:val="004226C6"/>
    <w:rsid w:val="00422896"/>
    <w:rsid w:val="004228D4"/>
    <w:rsid w:val="004228D6"/>
    <w:rsid w:val="00422D86"/>
    <w:rsid w:val="0042308C"/>
    <w:rsid w:val="00423131"/>
    <w:rsid w:val="004231CD"/>
    <w:rsid w:val="0042336E"/>
    <w:rsid w:val="0042346F"/>
    <w:rsid w:val="0042360C"/>
    <w:rsid w:val="0042390B"/>
    <w:rsid w:val="004239C9"/>
    <w:rsid w:val="00423A76"/>
    <w:rsid w:val="00423D50"/>
    <w:rsid w:val="004241ED"/>
    <w:rsid w:val="00424519"/>
    <w:rsid w:val="0042456A"/>
    <w:rsid w:val="004245B7"/>
    <w:rsid w:val="00424963"/>
    <w:rsid w:val="00424C00"/>
    <w:rsid w:val="00424C21"/>
    <w:rsid w:val="00424D33"/>
    <w:rsid w:val="00424FD8"/>
    <w:rsid w:val="004251CC"/>
    <w:rsid w:val="0042523B"/>
    <w:rsid w:val="004253DA"/>
    <w:rsid w:val="004253EE"/>
    <w:rsid w:val="004253FF"/>
    <w:rsid w:val="004254BC"/>
    <w:rsid w:val="0042550D"/>
    <w:rsid w:val="00425519"/>
    <w:rsid w:val="0042551A"/>
    <w:rsid w:val="00425BB0"/>
    <w:rsid w:val="00425D5A"/>
    <w:rsid w:val="00425F14"/>
    <w:rsid w:val="004262C3"/>
    <w:rsid w:val="0042675A"/>
    <w:rsid w:val="00426BBD"/>
    <w:rsid w:val="00426CCF"/>
    <w:rsid w:val="00426F1A"/>
    <w:rsid w:val="0042709C"/>
    <w:rsid w:val="00427296"/>
    <w:rsid w:val="004272FB"/>
    <w:rsid w:val="004275BB"/>
    <w:rsid w:val="00427867"/>
    <w:rsid w:val="00427884"/>
    <w:rsid w:val="00430229"/>
    <w:rsid w:val="00430554"/>
    <w:rsid w:val="004309EA"/>
    <w:rsid w:val="00430A2D"/>
    <w:rsid w:val="00430A79"/>
    <w:rsid w:val="00430AC3"/>
    <w:rsid w:val="00430DFB"/>
    <w:rsid w:val="00430F81"/>
    <w:rsid w:val="0043148D"/>
    <w:rsid w:val="004318EE"/>
    <w:rsid w:val="004319F6"/>
    <w:rsid w:val="00431E2E"/>
    <w:rsid w:val="00431F38"/>
    <w:rsid w:val="00431F8A"/>
    <w:rsid w:val="004323FF"/>
    <w:rsid w:val="0043244D"/>
    <w:rsid w:val="004324BD"/>
    <w:rsid w:val="0043254D"/>
    <w:rsid w:val="004326D5"/>
    <w:rsid w:val="004326EC"/>
    <w:rsid w:val="0043270C"/>
    <w:rsid w:val="0043276E"/>
    <w:rsid w:val="00432E30"/>
    <w:rsid w:val="00432E3A"/>
    <w:rsid w:val="00433036"/>
    <w:rsid w:val="00433088"/>
    <w:rsid w:val="00433123"/>
    <w:rsid w:val="0043321A"/>
    <w:rsid w:val="00433299"/>
    <w:rsid w:val="004334CF"/>
    <w:rsid w:val="00433591"/>
    <w:rsid w:val="00433811"/>
    <w:rsid w:val="004339FF"/>
    <w:rsid w:val="00433B61"/>
    <w:rsid w:val="00433BB2"/>
    <w:rsid w:val="00433F2F"/>
    <w:rsid w:val="00434170"/>
    <w:rsid w:val="00434338"/>
    <w:rsid w:val="0043442D"/>
    <w:rsid w:val="0043462A"/>
    <w:rsid w:val="004349E6"/>
    <w:rsid w:val="00434B96"/>
    <w:rsid w:val="00434B9B"/>
    <w:rsid w:val="0043535D"/>
    <w:rsid w:val="004355A0"/>
    <w:rsid w:val="004357F2"/>
    <w:rsid w:val="00435A80"/>
    <w:rsid w:val="00435AD6"/>
    <w:rsid w:val="00435B19"/>
    <w:rsid w:val="00435CD2"/>
    <w:rsid w:val="00435D13"/>
    <w:rsid w:val="00435F0A"/>
    <w:rsid w:val="004363D9"/>
    <w:rsid w:val="00436874"/>
    <w:rsid w:val="00436A82"/>
    <w:rsid w:val="00436DB1"/>
    <w:rsid w:val="00436FB0"/>
    <w:rsid w:val="00436FFA"/>
    <w:rsid w:val="004374F4"/>
    <w:rsid w:val="004376AC"/>
    <w:rsid w:val="004377DE"/>
    <w:rsid w:val="004400BE"/>
    <w:rsid w:val="00440301"/>
    <w:rsid w:val="00440742"/>
    <w:rsid w:val="004409E4"/>
    <w:rsid w:val="00440BB3"/>
    <w:rsid w:val="00440D82"/>
    <w:rsid w:val="00440DBF"/>
    <w:rsid w:val="00440DDC"/>
    <w:rsid w:val="00440E13"/>
    <w:rsid w:val="00441016"/>
    <w:rsid w:val="004410DC"/>
    <w:rsid w:val="0044116C"/>
    <w:rsid w:val="00441A5B"/>
    <w:rsid w:val="00441BB0"/>
    <w:rsid w:val="00441C7E"/>
    <w:rsid w:val="0044209A"/>
    <w:rsid w:val="004421A7"/>
    <w:rsid w:val="00442242"/>
    <w:rsid w:val="004424EF"/>
    <w:rsid w:val="00442D56"/>
    <w:rsid w:val="004431DD"/>
    <w:rsid w:val="00443908"/>
    <w:rsid w:val="004439BE"/>
    <w:rsid w:val="00443BC1"/>
    <w:rsid w:val="00444014"/>
    <w:rsid w:val="0044406E"/>
    <w:rsid w:val="0044412D"/>
    <w:rsid w:val="00444188"/>
    <w:rsid w:val="00444292"/>
    <w:rsid w:val="004443C3"/>
    <w:rsid w:val="0044469A"/>
    <w:rsid w:val="00444827"/>
    <w:rsid w:val="00444AD4"/>
    <w:rsid w:val="00444D33"/>
    <w:rsid w:val="00444E05"/>
    <w:rsid w:val="00444EA6"/>
    <w:rsid w:val="00445363"/>
    <w:rsid w:val="004454F8"/>
    <w:rsid w:val="004455D1"/>
    <w:rsid w:val="00445C1F"/>
    <w:rsid w:val="00445C93"/>
    <w:rsid w:val="00445CB9"/>
    <w:rsid w:val="00445E1E"/>
    <w:rsid w:val="00445E4B"/>
    <w:rsid w:val="004463C0"/>
    <w:rsid w:val="004465F6"/>
    <w:rsid w:val="0044675B"/>
    <w:rsid w:val="00446973"/>
    <w:rsid w:val="00446F4C"/>
    <w:rsid w:val="00447645"/>
    <w:rsid w:val="00447698"/>
    <w:rsid w:val="00450424"/>
    <w:rsid w:val="004505D3"/>
    <w:rsid w:val="00450DBE"/>
    <w:rsid w:val="00450DD1"/>
    <w:rsid w:val="00451673"/>
    <w:rsid w:val="004519AB"/>
    <w:rsid w:val="00451C05"/>
    <w:rsid w:val="00451C7B"/>
    <w:rsid w:val="00452234"/>
    <w:rsid w:val="004524AE"/>
    <w:rsid w:val="00452637"/>
    <w:rsid w:val="00452735"/>
    <w:rsid w:val="004529E4"/>
    <w:rsid w:val="00452A5A"/>
    <w:rsid w:val="00452D76"/>
    <w:rsid w:val="00452E64"/>
    <w:rsid w:val="00453158"/>
    <w:rsid w:val="004534AC"/>
    <w:rsid w:val="00453874"/>
    <w:rsid w:val="004538DD"/>
    <w:rsid w:val="00453E1A"/>
    <w:rsid w:val="00453FFC"/>
    <w:rsid w:val="0045413A"/>
    <w:rsid w:val="0045455D"/>
    <w:rsid w:val="0045495B"/>
    <w:rsid w:val="004549A3"/>
    <w:rsid w:val="00454A04"/>
    <w:rsid w:val="00454BD6"/>
    <w:rsid w:val="00454C04"/>
    <w:rsid w:val="0045509C"/>
    <w:rsid w:val="00455435"/>
    <w:rsid w:val="00455762"/>
    <w:rsid w:val="004557EA"/>
    <w:rsid w:val="0045586D"/>
    <w:rsid w:val="004558F2"/>
    <w:rsid w:val="00455AC7"/>
    <w:rsid w:val="0045604F"/>
    <w:rsid w:val="00456196"/>
    <w:rsid w:val="004562E4"/>
    <w:rsid w:val="00456410"/>
    <w:rsid w:val="00456505"/>
    <w:rsid w:val="0045650E"/>
    <w:rsid w:val="0045656E"/>
    <w:rsid w:val="0045661A"/>
    <w:rsid w:val="004567B7"/>
    <w:rsid w:val="004567B8"/>
    <w:rsid w:val="00456A4B"/>
    <w:rsid w:val="00456AA6"/>
    <w:rsid w:val="00456BF5"/>
    <w:rsid w:val="00457007"/>
    <w:rsid w:val="0045754B"/>
    <w:rsid w:val="0045760A"/>
    <w:rsid w:val="00457962"/>
    <w:rsid w:val="00457B3F"/>
    <w:rsid w:val="00457C0E"/>
    <w:rsid w:val="00457DB9"/>
    <w:rsid w:val="00457EC7"/>
    <w:rsid w:val="00457EEC"/>
    <w:rsid w:val="00457F43"/>
    <w:rsid w:val="004603AE"/>
    <w:rsid w:val="00460520"/>
    <w:rsid w:val="0046055E"/>
    <w:rsid w:val="00460594"/>
    <w:rsid w:val="00460A7A"/>
    <w:rsid w:val="00460C3F"/>
    <w:rsid w:val="00460D38"/>
    <w:rsid w:val="00461022"/>
    <w:rsid w:val="00461155"/>
    <w:rsid w:val="004613D0"/>
    <w:rsid w:val="0046150F"/>
    <w:rsid w:val="00461A5F"/>
    <w:rsid w:val="00461BBC"/>
    <w:rsid w:val="00461DD2"/>
    <w:rsid w:val="00462120"/>
    <w:rsid w:val="004624C3"/>
    <w:rsid w:val="0046278B"/>
    <w:rsid w:val="00462A86"/>
    <w:rsid w:val="00462DA3"/>
    <w:rsid w:val="00462EAE"/>
    <w:rsid w:val="00462F83"/>
    <w:rsid w:val="004633D1"/>
    <w:rsid w:val="00463675"/>
    <w:rsid w:val="004637C2"/>
    <w:rsid w:val="004638F1"/>
    <w:rsid w:val="00463C41"/>
    <w:rsid w:val="00463C6B"/>
    <w:rsid w:val="00463D50"/>
    <w:rsid w:val="00463E46"/>
    <w:rsid w:val="00464065"/>
    <w:rsid w:val="00464120"/>
    <w:rsid w:val="004644FA"/>
    <w:rsid w:val="0046479B"/>
    <w:rsid w:val="004649D4"/>
    <w:rsid w:val="00464AC7"/>
    <w:rsid w:val="00464D6F"/>
    <w:rsid w:val="0046550D"/>
    <w:rsid w:val="00465665"/>
    <w:rsid w:val="00465B12"/>
    <w:rsid w:val="00465BB9"/>
    <w:rsid w:val="00465BC5"/>
    <w:rsid w:val="00465CEE"/>
    <w:rsid w:val="00465D48"/>
    <w:rsid w:val="00465DAA"/>
    <w:rsid w:val="00465EA2"/>
    <w:rsid w:val="0046659E"/>
    <w:rsid w:val="0046688F"/>
    <w:rsid w:val="00466BEF"/>
    <w:rsid w:val="00466CF8"/>
    <w:rsid w:val="00467223"/>
    <w:rsid w:val="00467262"/>
    <w:rsid w:val="004672A6"/>
    <w:rsid w:val="004672F9"/>
    <w:rsid w:val="004673F8"/>
    <w:rsid w:val="004674A1"/>
    <w:rsid w:val="00467CF7"/>
    <w:rsid w:val="004703F6"/>
    <w:rsid w:val="00470736"/>
    <w:rsid w:val="004709D9"/>
    <w:rsid w:val="004715B7"/>
    <w:rsid w:val="00471D8D"/>
    <w:rsid w:val="00471DC5"/>
    <w:rsid w:val="00471E91"/>
    <w:rsid w:val="00472316"/>
    <w:rsid w:val="004724E6"/>
    <w:rsid w:val="004727D5"/>
    <w:rsid w:val="00472C6C"/>
    <w:rsid w:val="00472C79"/>
    <w:rsid w:val="004733C6"/>
    <w:rsid w:val="00473752"/>
    <w:rsid w:val="004738F1"/>
    <w:rsid w:val="00473CBC"/>
    <w:rsid w:val="00473F84"/>
    <w:rsid w:val="00473F8F"/>
    <w:rsid w:val="00474230"/>
    <w:rsid w:val="00474472"/>
    <w:rsid w:val="0047471D"/>
    <w:rsid w:val="004748CA"/>
    <w:rsid w:val="00474CF3"/>
    <w:rsid w:val="00474F40"/>
    <w:rsid w:val="00475288"/>
    <w:rsid w:val="0047573D"/>
    <w:rsid w:val="00475BE4"/>
    <w:rsid w:val="0047634C"/>
    <w:rsid w:val="00476844"/>
    <w:rsid w:val="00476914"/>
    <w:rsid w:val="00476960"/>
    <w:rsid w:val="00476A17"/>
    <w:rsid w:val="00476EBD"/>
    <w:rsid w:val="00476FC7"/>
    <w:rsid w:val="00477348"/>
    <w:rsid w:val="004777BD"/>
    <w:rsid w:val="00477BB6"/>
    <w:rsid w:val="0048001F"/>
    <w:rsid w:val="0048037E"/>
    <w:rsid w:val="00481073"/>
    <w:rsid w:val="004811E9"/>
    <w:rsid w:val="00481508"/>
    <w:rsid w:val="004815D0"/>
    <w:rsid w:val="00481707"/>
    <w:rsid w:val="00481778"/>
    <w:rsid w:val="00481877"/>
    <w:rsid w:val="00481A6F"/>
    <w:rsid w:val="00481E47"/>
    <w:rsid w:val="00481E66"/>
    <w:rsid w:val="004822A5"/>
    <w:rsid w:val="00482454"/>
    <w:rsid w:val="00482659"/>
    <w:rsid w:val="004827BE"/>
    <w:rsid w:val="0048296D"/>
    <w:rsid w:val="0048297E"/>
    <w:rsid w:val="00482A25"/>
    <w:rsid w:val="00482ADA"/>
    <w:rsid w:val="00482BDF"/>
    <w:rsid w:val="00482E8D"/>
    <w:rsid w:val="004835CC"/>
    <w:rsid w:val="004835E9"/>
    <w:rsid w:val="004836FA"/>
    <w:rsid w:val="0048394B"/>
    <w:rsid w:val="00483D6A"/>
    <w:rsid w:val="00483DA3"/>
    <w:rsid w:val="00483EBB"/>
    <w:rsid w:val="00484160"/>
    <w:rsid w:val="00484195"/>
    <w:rsid w:val="0048453B"/>
    <w:rsid w:val="00484733"/>
    <w:rsid w:val="00484870"/>
    <w:rsid w:val="0048492E"/>
    <w:rsid w:val="00484B07"/>
    <w:rsid w:val="00484DC1"/>
    <w:rsid w:val="00484DD1"/>
    <w:rsid w:val="00485883"/>
    <w:rsid w:val="0048590D"/>
    <w:rsid w:val="004859C9"/>
    <w:rsid w:val="00485A30"/>
    <w:rsid w:val="00485F10"/>
    <w:rsid w:val="00486059"/>
    <w:rsid w:val="004862E6"/>
    <w:rsid w:val="00486428"/>
    <w:rsid w:val="004865E0"/>
    <w:rsid w:val="00486860"/>
    <w:rsid w:val="00486A45"/>
    <w:rsid w:val="00486B47"/>
    <w:rsid w:val="00486CA0"/>
    <w:rsid w:val="0048752B"/>
    <w:rsid w:val="00487638"/>
    <w:rsid w:val="00487757"/>
    <w:rsid w:val="00487899"/>
    <w:rsid w:val="0049009C"/>
    <w:rsid w:val="00490133"/>
    <w:rsid w:val="004902D4"/>
    <w:rsid w:val="004907F9"/>
    <w:rsid w:val="004908DB"/>
    <w:rsid w:val="004908F6"/>
    <w:rsid w:val="00490C48"/>
    <w:rsid w:val="00490D70"/>
    <w:rsid w:val="004911E7"/>
    <w:rsid w:val="004915EB"/>
    <w:rsid w:val="004924C3"/>
    <w:rsid w:val="00492801"/>
    <w:rsid w:val="004929F7"/>
    <w:rsid w:val="00492F1D"/>
    <w:rsid w:val="0049313C"/>
    <w:rsid w:val="00493223"/>
    <w:rsid w:val="004933D6"/>
    <w:rsid w:val="00493614"/>
    <w:rsid w:val="00494D6F"/>
    <w:rsid w:val="00494E7B"/>
    <w:rsid w:val="00495398"/>
    <w:rsid w:val="00495415"/>
    <w:rsid w:val="00495485"/>
    <w:rsid w:val="0049581D"/>
    <w:rsid w:val="004959F6"/>
    <w:rsid w:val="00495FAC"/>
    <w:rsid w:val="00495FFF"/>
    <w:rsid w:val="00496070"/>
    <w:rsid w:val="00496217"/>
    <w:rsid w:val="0049627C"/>
    <w:rsid w:val="0049638A"/>
    <w:rsid w:val="0049649F"/>
    <w:rsid w:val="0049653C"/>
    <w:rsid w:val="0049669C"/>
    <w:rsid w:val="00496A85"/>
    <w:rsid w:val="004970CC"/>
    <w:rsid w:val="004974CA"/>
    <w:rsid w:val="0049753A"/>
    <w:rsid w:val="004979BB"/>
    <w:rsid w:val="00497C26"/>
    <w:rsid w:val="004A0567"/>
    <w:rsid w:val="004A060C"/>
    <w:rsid w:val="004A09E8"/>
    <w:rsid w:val="004A0B59"/>
    <w:rsid w:val="004A0CE4"/>
    <w:rsid w:val="004A122D"/>
    <w:rsid w:val="004A1388"/>
    <w:rsid w:val="004A13F1"/>
    <w:rsid w:val="004A1797"/>
    <w:rsid w:val="004A19D4"/>
    <w:rsid w:val="004A1AD1"/>
    <w:rsid w:val="004A2406"/>
    <w:rsid w:val="004A245E"/>
    <w:rsid w:val="004A250F"/>
    <w:rsid w:val="004A272C"/>
    <w:rsid w:val="004A2871"/>
    <w:rsid w:val="004A293C"/>
    <w:rsid w:val="004A2F37"/>
    <w:rsid w:val="004A30BF"/>
    <w:rsid w:val="004A34BD"/>
    <w:rsid w:val="004A3908"/>
    <w:rsid w:val="004A3C77"/>
    <w:rsid w:val="004A3EA9"/>
    <w:rsid w:val="004A4325"/>
    <w:rsid w:val="004A465F"/>
    <w:rsid w:val="004A46F2"/>
    <w:rsid w:val="004A4793"/>
    <w:rsid w:val="004A4943"/>
    <w:rsid w:val="004A4DFE"/>
    <w:rsid w:val="004A5036"/>
    <w:rsid w:val="004A506C"/>
    <w:rsid w:val="004A55F7"/>
    <w:rsid w:val="004A5AC2"/>
    <w:rsid w:val="004A5B07"/>
    <w:rsid w:val="004A64EB"/>
    <w:rsid w:val="004A6A8B"/>
    <w:rsid w:val="004A6AA9"/>
    <w:rsid w:val="004A6FD7"/>
    <w:rsid w:val="004A704F"/>
    <w:rsid w:val="004A7677"/>
    <w:rsid w:val="004A76BE"/>
    <w:rsid w:val="004A779F"/>
    <w:rsid w:val="004A7D31"/>
    <w:rsid w:val="004B031B"/>
    <w:rsid w:val="004B06AA"/>
    <w:rsid w:val="004B100F"/>
    <w:rsid w:val="004B10D9"/>
    <w:rsid w:val="004B10E8"/>
    <w:rsid w:val="004B1493"/>
    <w:rsid w:val="004B1520"/>
    <w:rsid w:val="004B1567"/>
    <w:rsid w:val="004B2069"/>
    <w:rsid w:val="004B207A"/>
    <w:rsid w:val="004B209D"/>
    <w:rsid w:val="004B24BF"/>
    <w:rsid w:val="004B2837"/>
    <w:rsid w:val="004B2C54"/>
    <w:rsid w:val="004B3018"/>
    <w:rsid w:val="004B336D"/>
    <w:rsid w:val="004B3370"/>
    <w:rsid w:val="004B37BB"/>
    <w:rsid w:val="004B3880"/>
    <w:rsid w:val="004B3996"/>
    <w:rsid w:val="004B3DDC"/>
    <w:rsid w:val="004B404C"/>
    <w:rsid w:val="004B43DB"/>
    <w:rsid w:val="004B44F7"/>
    <w:rsid w:val="004B4727"/>
    <w:rsid w:val="004B491C"/>
    <w:rsid w:val="004B4DFD"/>
    <w:rsid w:val="004B58AA"/>
    <w:rsid w:val="004B59A7"/>
    <w:rsid w:val="004B603F"/>
    <w:rsid w:val="004B605C"/>
    <w:rsid w:val="004B60B7"/>
    <w:rsid w:val="004B64EC"/>
    <w:rsid w:val="004B6782"/>
    <w:rsid w:val="004B6C27"/>
    <w:rsid w:val="004B6C38"/>
    <w:rsid w:val="004B6C6A"/>
    <w:rsid w:val="004B7351"/>
    <w:rsid w:val="004B74A3"/>
    <w:rsid w:val="004B75D0"/>
    <w:rsid w:val="004B7EF1"/>
    <w:rsid w:val="004C0033"/>
    <w:rsid w:val="004C0395"/>
    <w:rsid w:val="004C03DB"/>
    <w:rsid w:val="004C063B"/>
    <w:rsid w:val="004C0718"/>
    <w:rsid w:val="004C0880"/>
    <w:rsid w:val="004C093F"/>
    <w:rsid w:val="004C0B11"/>
    <w:rsid w:val="004C0D95"/>
    <w:rsid w:val="004C0F15"/>
    <w:rsid w:val="004C1018"/>
    <w:rsid w:val="004C1617"/>
    <w:rsid w:val="004C1699"/>
    <w:rsid w:val="004C174C"/>
    <w:rsid w:val="004C179D"/>
    <w:rsid w:val="004C185D"/>
    <w:rsid w:val="004C19C5"/>
    <w:rsid w:val="004C1C52"/>
    <w:rsid w:val="004C1D28"/>
    <w:rsid w:val="004C1ED0"/>
    <w:rsid w:val="004C1ED3"/>
    <w:rsid w:val="004C2224"/>
    <w:rsid w:val="004C2724"/>
    <w:rsid w:val="004C292E"/>
    <w:rsid w:val="004C2D2B"/>
    <w:rsid w:val="004C2F4F"/>
    <w:rsid w:val="004C341C"/>
    <w:rsid w:val="004C34FD"/>
    <w:rsid w:val="004C35E3"/>
    <w:rsid w:val="004C4482"/>
    <w:rsid w:val="004C4B94"/>
    <w:rsid w:val="004C4CF3"/>
    <w:rsid w:val="004C4D1F"/>
    <w:rsid w:val="004C4F4B"/>
    <w:rsid w:val="004C5163"/>
    <w:rsid w:val="004C5286"/>
    <w:rsid w:val="004C57DE"/>
    <w:rsid w:val="004C60E5"/>
    <w:rsid w:val="004C627A"/>
    <w:rsid w:val="004C6383"/>
    <w:rsid w:val="004C6530"/>
    <w:rsid w:val="004C6A13"/>
    <w:rsid w:val="004C6BA0"/>
    <w:rsid w:val="004C6DE1"/>
    <w:rsid w:val="004C79CE"/>
    <w:rsid w:val="004C7E9B"/>
    <w:rsid w:val="004C7F33"/>
    <w:rsid w:val="004C7F8A"/>
    <w:rsid w:val="004C7FD4"/>
    <w:rsid w:val="004D0342"/>
    <w:rsid w:val="004D0830"/>
    <w:rsid w:val="004D0D4D"/>
    <w:rsid w:val="004D0DF3"/>
    <w:rsid w:val="004D0E43"/>
    <w:rsid w:val="004D10C7"/>
    <w:rsid w:val="004D1488"/>
    <w:rsid w:val="004D16E7"/>
    <w:rsid w:val="004D1B73"/>
    <w:rsid w:val="004D1E06"/>
    <w:rsid w:val="004D1FCB"/>
    <w:rsid w:val="004D203D"/>
    <w:rsid w:val="004D22ED"/>
    <w:rsid w:val="004D23FC"/>
    <w:rsid w:val="004D240E"/>
    <w:rsid w:val="004D2694"/>
    <w:rsid w:val="004D26E8"/>
    <w:rsid w:val="004D2AAC"/>
    <w:rsid w:val="004D2B38"/>
    <w:rsid w:val="004D2C35"/>
    <w:rsid w:val="004D2CA5"/>
    <w:rsid w:val="004D30BE"/>
    <w:rsid w:val="004D3181"/>
    <w:rsid w:val="004D347B"/>
    <w:rsid w:val="004D3536"/>
    <w:rsid w:val="004D358A"/>
    <w:rsid w:val="004D36AA"/>
    <w:rsid w:val="004D398B"/>
    <w:rsid w:val="004D3BD4"/>
    <w:rsid w:val="004D44F8"/>
    <w:rsid w:val="004D452F"/>
    <w:rsid w:val="004D4601"/>
    <w:rsid w:val="004D461C"/>
    <w:rsid w:val="004D4818"/>
    <w:rsid w:val="004D4A05"/>
    <w:rsid w:val="004D4C72"/>
    <w:rsid w:val="004D4FB7"/>
    <w:rsid w:val="004D51E7"/>
    <w:rsid w:val="004D5371"/>
    <w:rsid w:val="004D5415"/>
    <w:rsid w:val="004D5461"/>
    <w:rsid w:val="004D5845"/>
    <w:rsid w:val="004D6034"/>
    <w:rsid w:val="004D6155"/>
    <w:rsid w:val="004D683E"/>
    <w:rsid w:val="004D693A"/>
    <w:rsid w:val="004D6CB9"/>
    <w:rsid w:val="004D7054"/>
    <w:rsid w:val="004D7138"/>
    <w:rsid w:val="004D73D8"/>
    <w:rsid w:val="004D79DD"/>
    <w:rsid w:val="004D7BB7"/>
    <w:rsid w:val="004D7C64"/>
    <w:rsid w:val="004D7FED"/>
    <w:rsid w:val="004E0314"/>
    <w:rsid w:val="004E04D2"/>
    <w:rsid w:val="004E074F"/>
    <w:rsid w:val="004E08BE"/>
    <w:rsid w:val="004E09CD"/>
    <w:rsid w:val="004E09F0"/>
    <w:rsid w:val="004E100C"/>
    <w:rsid w:val="004E1116"/>
    <w:rsid w:val="004E15AC"/>
    <w:rsid w:val="004E177C"/>
    <w:rsid w:val="004E18AF"/>
    <w:rsid w:val="004E1BFE"/>
    <w:rsid w:val="004E1D87"/>
    <w:rsid w:val="004E1E1E"/>
    <w:rsid w:val="004E1E5B"/>
    <w:rsid w:val="004E2351"/>
    <w:rsid w:val="004E2364"/>
    <w:rsid w:val="004E2616"/>
    <w:rsid w:val="004E2643"/>
    <w:rsid w:val="004E2B00"/>
    <w:rsid w:val="004E3110"/>
    <w:rsid w:val="004E318E"/>
    <w:rsid w:val="004E32BC"/>
    <w:rsid w:val="004E3327"/>
    <w:rsid w:val="004E3988"/>
    <w:rsid w:val="004E3C4C"/>
    <w:rsid w:val="004E428E"/>
    <w:rsid w:val="004E461E"/>
    <w:rsid w:val="004E4951"/>
    <w:rsid w:val="004E4B4E"/>
    <w:rsid w:val="004E4C10"/>
    <w:rsid w:val="004E5507"/>
    <w:rsid w:val="004E568A"/>
    <w:rsid w:val="004E5901"/>
    <w:rsid w:val="004E5CB9"/>
    <w:rsid w:val="004E5D89"/>
    <w:rsid w:val="004E5ED9"/>
    <w:rsid w:val="004E6090"/>
    <w:rsid w:val="004E60F9"/>
    <w:rsid w:val="004E6653"/>
    <w:rsid w:val="004E68ED"/>
    <w:rsid w:val="004E6AC5"/>
    <w:rsid w:val="004E6DB8"/>
    <w:rsid w:val="004E6EB5"/>
    <w:rsid w:val="004E6F14"/>
    <w:rsid w:val="004E70A6"/>
    <w:rsid w:val="004E7712"/>
    <w:rsid w:val="004E790F"/>
    <w:rsid w:val="004E7962"/>
    <w:rsid w:val="004E7DE8"/>
    <w:rsid w:val="004E7F18"/>
    <w:rsid w:val="004F0294"/>
    <w:rsid w:val="004F06EE"/>
    <w:rsid w:val="004F0859"/>
    <w:rsid w:val="004F0864"/>
    <w:rsid w:val="004F09D6"/>
    <w:rsid w:val="004F0D72"/>
    <w:rsid w:val="004F131F"/>
    <w:rsid w:val="004F1340"/>
    <w:rsid w:val="004F1469"/>
    <w:rsid w:val="004F155B"/>
    <w:rsid w:val="004F17B3"/>
    <w:rsid w:val="004F1A89"/>
    <w:rsid w:val="004F1D65"/>
    <w:rsid w:val="004F2222"/>
    <w:rsid w:val="004F227E"/>
    <w:rsid w:val="004F23FF"/>
    <w:rsid w:val="004F2544"/>
    <w:rsid w:val="004F2F1F"/>
    <w:rsid w:val="004F343F"/>
    <w:rsid w:val="004F34C5"/>
    <w:rsid w:val="004F3B06"/>
    <w:rsid w:val="004F3B82"/>
    <w:rsid w:val="004F3B90"/>
    <w:rsid w:val="004F3DFA"/>
    <w:rsid w:val="004F40D7"/>
    <w:rsid w:val="004F4128"/>
    <w:rsid w:val="004F463D"/>
    <w:rsid w:val="004F4BB5"/>
    <w:rsid w:val="004F4BDF"/>
    <w:rsid w:val="004F53CC"/>
    <w:rsid w:val="004F540B"/>
    <w:rsid w:val="004F5664"/>
    <w:rsid w:val="004F5839"/>
    <w:rsid w:val="004F5B7B"/>
    <w:rsid w:val="004F5DDD"/>
    <w:rsid w:val="004F66BC"/>
    <w:rsid w:val="004F6B3B"/>
    <w:rsid w:val="004F6BE0"/>
    <w:rsid w:val="004F6CEB"/>
    <w:rsid w:val="004F7033"/>
    <w:rsid w:val="004F71DE"/>
    <w:rsid w:val="004F7354"/>
    <w:rsid w:val="004F79F8"/>
    <w:rsid w:val="004F7B15"/>
    <w:rsid w:val="005005DA"/>
    <w:rsid w:val="00500636"/>
    <w:rsid w:val="00500876"/>
    <w:rsid w:val="00500A5A"/>
    <w:rsid w:val="00500F6A"/>
    <w:rsid w:val="00501123"/>
    <w:rsid w:val="00501649"/>
    <w:rsid w:val="0050171F"/>
    <w:rsid w:val="005018B4"/>
    <w:rsid w:val="00501911"/>
    <w:rsid w:val="00501C29"/>
    <w:rsid w:val="00501D0C"/>
    <w:rsid w:val="00502006"/>
    <w:rsid w:val="00502C3B"/>
    <w:rsid w:val="00502C7C"/>
    <w:rsid w:val="0050314E"/>
    <w:rsid w:val="00503154"/>
    <w:rsid w:val="00503435"/>
    <w:rsid w:val="00503575"/>
    <w:rsid w:val="0050372B"/>
    <w:rsid w:val="00503B50"/>
    <w:rsid w:val="00503BEB"/>
    <w:rsid w:val="00504765"/>
    <w:rsid w:val="0050480D"/>
    <w:rsid w:val="0050494B"/>
    <w:rsid w:val="00504EBF"/>
    <w:rsid w:val="0050517A"/>
    <w:rsid w:val="0050520C"/>
    <w:rsid w:val="00505580"/>
    <w:rsid w:val="00505675"/>
    <w:rsid w:val="005056AE"/>
    <w:rsid w:val="0050580B"/>
    <w:rsid w:val="00505956"/>
    <w:rsid w:val="00505B09"/>
    <w:rsid w:val="00505B9A"/>
    <w:rsid w:val="00505C48"/>
    <w:rsid w:val="00505D39"/>
    <w:rsid w:val="00505E67"/>
    <w:rsid w:val="00505EA8"/>
    <w:rsid w:val="00505F1B"/>
    <w:rsid w:val="00506129"/>
    <w:rsid w:val="00506280"/>
    <w:rsid w:val="0050628A"/>
    <w:rsid w:val="005062BC"/>
    <w:rsid w:val="00506357"/>
    <w:rsid w:val="00506775"/>
    <w:rsid w:val="005067FE"/>
    <w:rsid w:val="00506866"/>
    <w:rsid w:val="00506A79"/>
    <w:rsid w:val="00506C7E"/>
    <w:rsid w:val="00506CCA"/>
    <w:rsid w:val="00506CCB"/>
    <w:rsid w:val="00506D25"/>
    <w:rsid w:val="00506DDD"/>
    <w:rsid w:val="0050707D"/>
    <w:rsid w:val="0050719F"/>
    <w:rsid w:val="00507E65"/>
    <w:rsid w:val="00507EE7"/>
    <w:rsid w:val="00510025"/>
    <w:rsid w:val="00510335"/>
    <w:rsid w:val="00510747"/>
    <w:rsid w:val="00510D55"/>
    <w:rsid w:val="00510DC9"/>
    <w:rsid w:val="00510DD5"/>
    <w:rsid w:val="00510F90"/>
    <w:rsid w:val="0051220F"/>
    <w:rsid w:val="00512694"/>
    <w:rsid w:val="00512788"/>
    <w:rsid w:val="005133A7"/>
    <w:rsid w:val="005133EC"/>
    <w:rsid w:val="005134E6"/>
    <w:rsid w:val="005136B3"/>
    <w:rsid w:val="00513832"/>
    <w:rsid w:val="00513944"/>
    <w:rsid w:val="00513D21"/>
    <w:rsid w:val="0051414B"/>
    <w:rsid w:val="00514304"/>
    <w:rsid w:val="00514333"/>
    <w:rsid w:val="005143F7"/>
    <w:rsid w:val="00514914"/>
    <w:rsid w:val="0051526E"/>
    <w:rsid w:val="00515347"/>
    <w:rsid w:val="00515378"/>
    <w:rsid w:val="005153E2"/>
    <w:rsid w:val="005158B9"/>
    <w:rsid w:val="00515C6B"/>
    <w:rsid w:val="00516088"/>
    <w:rsid w:val="005163EA"/>
    <w:rsid w:val="005165EC"/>
    <w:rsid w:val="00516966"/>
    <w:rsid w:val="00516E70"/>
    <w:rsid w:val="00516FEF"/>
    <w:rsid w:val="0051728C"/>
    <w:rsid w:val="005172BF"/>
    <w:rsid w:val="005174B4"/>
    <w:rsid w:val="00517D6B"/>
    <w:rsid w:val="00517F14"/>
    <w:rsid w:val="005201AF"/>
    <w:rsid w:val="005203EA"/>
    <w:rsid w:val="00520A75"/>
    <w:rsid w:val="00520D15"/>
    <w:rsid w:val="0052136F"/>
    <w:rsid w:val="00521A7C"/>
    <w:rsid w:val="00521CD6"/>
    <w:rsid w:val="00521CF6"/>
    <w:rsid w:val="00522065"/>
    <w:rsid w:val="00522132"/>
    <w:rsid w:val="005221D1"/>
    <w:rsid w:val="005224CC"/>
    <w:rsid w:val="00522595"/>
    <w:rsid w:val="00522813"/>
    <w:rsid w:val="00522D30"/>
    <w:rsid w:val="00523135"/>
    <w:rsid w:val="0052351B"/>
    <w:rsid w:val="00523A78"/>
    <w:rsid w:val="00524000"/>
    <w:rsid w:val="005242E9"/>
    <w:rsid w:val="005249D2"/>
    <w:rsid w:val="00524BFF"/>
    <w:rsid w:val="00525171"/>
    <w:rsid w:val="0052533A"/>
    <w:rsid w:val="00525759"/>
    <w:rsid w:val="0052584B"/>
    <w:rsid w:val="00525AA5"/>
    <w:rsid w:val="00525CD5"/>
    <w:rsid w:val="0052623C"/>
    <w:rsid w:val="005264D4"/>
    <w:rsid w:val="005264EE"/>
    <w:rsid w:val="00526D58"/>
    <w:rsid w:val="00526FE6"/>
    <w:rsid w:val="0052704F"/>
    <w:rsid w:val="0052708C"/>
    <w:rsid w:val="00527B48"/>
    <w:rsid w:val="00527E9A"/>
    <w:rsid w:val="00527EC2"/>
    <w:rsid w:val="00530290"/>
    <w:rsid w:val="0053061E"/>
    <w:rsid w:val="00530A09"/>
    <w:rsid w:val="00530BF0"/>
    <w:rsid w:val="00530DE3"/>
    <w:rsid w:val="00530EDA"/>
    <w:rsid w:val="005312E8"/>
    <w:rsid w:val="0053143C"/>
    <w:rsid w:val="005314DD"/>
    <w:rsid w:val="00531717"/>
    <w:rsid w:val="0053178E"/>
    <w:rsid w:val="00531848"/>
    <w:rsid w:val="00531C0A"/>
    <w:rsid w:val="0053262C"/>
    <w:rsid w:val="005326AD"/>
    <w:rsid w:val="005328B8"/>
    <w:rsid w:val="00532B21"/>
    <w:rsid w:val="00532C86"/>
    <w:rsid w:val="00533057"/>
    <w:rsid w:val="00533614"/>
    <w:rsid w:val="0053367B"/>
    <w:rsid w:val="00533835"/>
    <w:rsid w:val="00533A39"/>
    <w:rsid w:val="00533F2C"/>
    <w:rsid w:val="00534327"/>
    <w:rsid w:val="00534495"/>
    <w:rsid w:val="005345BE"/>
    <w:rsid w:val="0053490F"/>
    <w:rsid w:val="005349C1"/>
    <w:rsid w:val="00534CC1"/>
    <w:rsid w:val="00534F32"/>
    <w:rsid w:val="00535011"/>
    <w:rsid w:val="005351AA"/>
    <w:rsid w:val="005351DF"/>
    <w:rsid w:val="005355D0"/>
    <w:rsid w:val="00535A26"/>
    <w:rsid w:val="00535AA4"/>
    <w:rsid w:val="00535AB3"/>
    <w:rsid w:val="00536241"/>
    <w:rsid w:val="00536590"/>
    <w:rsid w:val="00536827"/>
    <w:rsid w:val="00536AF3"/>
    <w:rsid w:val="00536B42"/>
    <w:rsid w:val="00536DCB"/>
    <w:rsid w:val="00536F2A"/>
    <w:rsid w:val="005370C6"/>
    <w:rsid w:val="005371D2"/>
    <w:rsid w:val="00537284"/>
    <w:rsid w:val="005372FD"/>
    <w:rsid w:val="005374CE"/>
    <w:rsid w:val="005376A9"/>
    <w:rsid w:val="005377D0"/>
    <w:rsid w:val="0053782C"/>
    <w:rsid w:val="00537921"/>
    <w:rsid w:val="0053797D"/>
    <w:rsid w:val="00537EA5"/>
    <w:rsid w:val="00537EB3"/>
    <w:rsid w:val="00537F84"/>
    <w:rsid w:val="0054055F"/>
    <w:rsid w:val="00540775"/>
    <w:rsid w:val="005409B7"/>
    <w:rsid w:val="00540EB6"/>
    <w:rsid w:val="00541067"/>
    <w:rsid w:val="005414C4"/>
    <w:rsid w:val="005415BE"/>
    <w:rsid w:val="005416F9"/>
    <w:rsid w:val="00541AF4"/>
    <w:rsid w:val="00541B89"/>
    <w:rsid w:val="00541C18"/>
    <w:rsid w:val="00541C38"/>
    <w:rsid w:val="00541F14"/>
    <w:rsid w:val="0054207E"/>
    <w:rsid w:val="005420CC"/>
    <w:rsid w:val="00542203"/>
    <w:rsid w:val="0054254A"/>
    <w:rsid w:val="0054267F"/>
    <w:rsid w:val="005426F1"/>
    <w:rsid w:val="00542E7D"/>
    <w:rsid w:val="00542EC2"/>
    <w:rsid w:val="00543395"/>
    <w:rsid w:val="005436EA"/>
    <w:rsid w:val="00543750"/>
    <w:rsid w:val="00543926"/>
    <w:rsid w:val="0054398B"/>
    <w:rsid w:val="00543A6D"/>
    <w:rsid w:val="00543A73"/>
    <w:rsid w:val="00543D25"/>
    <w:rsid w:val="00543FAA"/>
    <w:rsid w:val="005442B2"/>
    <w:rsid w:val="00544456"/>
    <w:rsid w:val="00544503"/>
    <w:rsid w:val="005445FC"/>
    <w:rsid w:val="0054476C"/>
    <w:rsid w:val="00544EF7"/>
    <w:rsid w:val="00545B2F"/>
    <w:rsid w:val="00545CF0"/>
    <w:rsid w:val="00545E21"/>
    <w:rsid w:val="00545E68"/>
    <w:rsid w:val="00546199"/>
    <w:rsid w:val="0054624B"/>
    <w:rsid w:val="00546285"/>
    <w:rsid w:val="005464C4"/>
    <w:rsid w:val="00546774"/>
    <w:rsid w:val="00546908"/>
    <w:rsid w:val="00546C6B"/>
    <w:rsid w:val="00546D5C"/>
    <w:rsid w:val="00546D7B"/>
    <w:rsid w:val="00547142"/>
    <w:rsid w:val="0054731B"/>
    <w:rsid w:val="005478E8"/>
    <w:rsid w:val="00547A29"/>
    <w:rsid w:val="00547A44"/>
    <w:rsid w:val="00547AB3"/>
    <w:rsid w:val="00547C85"/>
    <w:rsid w:val="00547D90"/>
    <w:rsid w:val="00547E21"/>
    <w:rsid w:val="00547EDF"/>
    <w:rsid w:val="00547F12"/>
    <w:rsid w:val="00547F4D"/>
    <w:rsid w:val="00550000"/>
    <w:rsid w:val="00550352"/>
    <w:rsid w:val="00550425"/>
    <w:rsid w:val="00550627"/>
    <w:rsid w:val="0055090F"/>
    <w:rsid w:val="00550919"/>
    <w:rsid w:val="00550C1A"/>
    <w:rsid w:val="005510F8"/>
    <w:rsid w:val="00551157"/>
    <w:rsid w:val="00551422"/>
    <w:rsid w:val="00551B95"/>
    <w:rsid w:val="00551C12"/>
    <w:rsid w:val="00551DE9"/>
    <w:rsid w:val="00551E39"/>
    <w:rsid w:val="005520BA"/>
    <w:rsid w:val="00552992"/>
    <w:rsid w:val="00552A6A"/>
    <w:rsid w:val="00552AB2"/>
    <w:rsid w:val="00552C6E"/>
    <w:rsid w:val="00552E04"/>
    <w:rsid w:val="005531AA"/>
    <w:rsid w:val="00553289"/>
    <w:rsid w:val="005536D3"/>
    <w:rsid w:val="0055386E"/>
    <w:rsid w:val="005538B4"/>
    <w:rsid w:val="0055442D"/>
    <w:rsid w:val="005545F6"/>
    <w:rsid w:val="00554810"/>
    <w:rsid w:val="0055489E"/>
    <w:rsid w:val="005548F5"/>
    <w:rsid w:val="005549EE"/>
    <w:rsid w:val="00554E89"/>
    <w:rsid w:val="00554EF1"/>
    <w:rsid w:val="00555144"/>
    <w:rsid w:val="005552DC"/>
    <w:rsid w:val="005554A9"/>
    <w:rsid w:val="00555519"/>
    <w:rsid w:val="00555522"/>
    <w:rsid w:val="0055560D"/>
    <w:rsid w:val="00555677"/>
    <w:rsid w:val="00555B86"/>
    <w:rsid w:val="00555D11"/>
    <w:rsid w:val="00555E74"/>
    <w:rsid w:val="00555FAD"/>
    <w:rsid w:val="005563F9"/>
    <w:rsid w:val="00556673"/>
    <w:rsid w:val="00556A3D"/>
    <w:rsid w:val="0055706E"/>
    <w:rsid w:val="005578F5"/>
    <w:rsid w:val="005605BC"/>
    <w:rsid w:val="005606E3"/>
    <w:rsid w:val="00560871"/>
    <w:rsid w:val="00560A5B"/>
    <w:rsid w:val="00560E97"/>
    <w:rsid w:val="005610C0"/>
    <w:rsid w:val="0056111F"/>
    <w:rsid w:val="005612EE"/>
    <w:rsid w:val="00561618"/>
    <w:rsid w:val="005618A6"/>
    <w:rsid w:val="00562112"/>
    <w:rsid w:val="005626BF"/>
    <w:rsid w:val="00562970"/>
    <w:rsid w:val="00562990"/>
    <w:rsid w:val="00562A03"/>
    <w:rsid w:val="00562A80"/>
    <w:rsid w:val="00562BCB"/>
    <w:rsid w:val="00563252"/>
    <w:rsid w:val="005635D2"/>
    <w:rsid w:val="0056386E"/>
    <w:rsid w:val="00564431"/>
    <w:rsid w:val="00564884"/>
    <w:rsid w:val="00564B77"/>
    <w:rsid w:val="00564C18"/>
    <w:rsid w:val="00564D4A"/>
    <w:rsid w:val="005650A0"/>
    <w:rsid w:val="00565209"/>
    <w:rsid w:val="005653BD"/>
    <w:rsid w:val="00565549"/>
    <w:rsid w:val="005656DC"/>
    <w:rsid w:val="00565758"/>
    <w:rsid w:val="00565AAF"/>
    <w:rsid w:val="00565B2D"/>
    <w:rsid w:val="00565D74"/>
    <w:rsid w:val="0056639C"/>
    <w:rsid w:val="0056677D"/>
    <w:rsid w:val="0056695B"/>
    <w:rsid w:val="005669C5"/>
    <w:rsid w:val="00566AB7"/>
    <w:rsid w:val="00566D0B"/>
    <w:rsid w:val="00566F7C"/>
    <w:rsid w:val="00567471"/>
    <w:rsid w:val="005675FA"/>
    <w:rsid w:val="00567668"/>
    <w:rsid w:val="0056787D"/>
    <w:rsid w:val="00567DC6"/>
    <w:rsid w:val="005701D8"/>
    <w:rsid w:val="0057038E"/>
    <w:rsid w:val="00570519"/>
    <w:rsid w:val="005706DC"/>
    <w:rsid w:val="005707AB"/>
    <w:rsid w:val="00570AC6"/>
    <w:rsid w:val="00570B2D"/>
    <w:rsid w:val="00570D8E"/>
    <w:rsid w:val="00570DED"/>
    <w:rsid w:val="00571016"/>
    <w:rsid w:val="00571099"/>
    <w:rsid w:val="005711F8"/>
    <w:rsid w:val="00571314"/>
    <w:rsid w:val="005714B2"/>
    <w:rsid w:val="005714F0"/>
    <w:rsid w:val="005717C5"/>
    <w:rsid w:val="0057197B"/>
    <w:rsid w:val="00571C5E"/>
    <w:rsid w:val="00571CC8"/>
    <w:rsid w:val="00571E9D"/>
    <w:rsid w:val="00571F19"/>
    <w:rsid w:val="00571FD4"/>
    <w:rsid w:val="005721A6"/>
    <w:rsid w:val="005724F3"/>
    <w:rsid w:val="005725E0"/>
    <w:rsid w:val="005727AE"/>
    <w:rsid w:val="00572AF9"/>
    <w:rsid w:val="00572E8D"/>
    <w:rsid w:val="00572E9B"/>
    <w:rsid w:val="00572ED5"/>
    <w:rsid w:val="0057306F"/>
    <w:rsid w:val="00573237"/>
    <w:rsid w:val="005732D6"/>
    <w:rsid w:val="00573613"/>
    <w:rsid w:val="0057371B"/>
    <w:rsid w:val="00573CF2"/>
    <w:rsid w:val="00573D02"/>
    <w:rsid w:val="00573E63"/>
    <w:rsid w:val="00573E6E"/>
    <w:rsid w:val="00574031"/>
    <w:rsid w:val="00574110"/>
    <w:rsid w:val="005741D2"/>
    <w:rsid w:val="005743A0"/>
    <w:rsid w:val="005743B3"/>
    <w:rsid w:val="0057444C"/>
    <w:rsid w:val="005744D9"/>
    <w:rsid w:val="00574562"/>
    <w:rsid w:val="00574CD8"/>
    <w:rsid w:val="005755E5"/>
    <w:rsid w:val="005759D5"/>
    <w:rsid w:val="00575AAD"/>
    <w:rsid w:val="00575E70"/>
    <w:rsid w:val="005761DE"/>
    <w:rsid w:val="00576C98"/>
    <w:rsid w:val="00577112"/>
    <w:rsid w:val="00577250"/>
    <w:rsid w:val="0057743A"/>
    <w:rsid w:val="00577448"/>
    <w:rsid w:val="005777DE"/>
    <w:rsid w:val="005777DF"/>
    <w:rsid w:val="0057783D"/>
    <w:rsid w:val="0057788F"/>
    <w:rsid w:val="00577999"/>
    <w:rsid w:val="00577FCD"/>
    <w:rsid w:val="005802EF"/>
    <w:rsid w:val="005805F1"/>
    <w:rsid w:val="005807F1"/>
    <w:rsid w:val="005809D8"/>
    <w:rsid w:val="00580E2E"/>
    <w:rsid w:val="00580FE3"/>
    <w:rsid w:val="005810EF"/>
    <w:rsid w:val="00581478"/>
    <w:rsid w:val="005815EE"/>
    <w:rsid w:val="005816A4"/>
    <w:rsid w:val="00581907"/>
    <w:rsid w:val="00581E61"/>
    <w:rsid w:val="00581F88"/>
    <w:rsid w:val="00582169"/>
    <w:rsid w:val="00582189"/>
    <w:rsid w:val="0058218F"/>
    <w:rsid w:val="00582219"/>
    <w:rsid w:val="00582A14"/>
    <w:rsid w:val="00582A59"/>
    <w:rsid w:val="00582B48"/>
    <w:rsid w:val="00582CA0"/>
    <w:rsid w:val="00582EB4"/>
    <w:rsid w:val="00582ED1"/>
    <w:rsid w:val="00582F87"/>
    <w:rsid w:val="00583137"/>
    <w:rsid w:val="00583C67"/>
    <w:rsid w:val="00583DF6"/>
    <w:rsid w:val="005840EA"/>
    <w:rsid w:val="0058457F"/>
    <w:rsid w:val="00584736"/>
    <w:rsid w:val="00584746"/>
    <w:rsid w:val="0058485D"/>
    <w:rsid w:val="00584933"/>
    <w:rsid w:val="00584F20"/>
    <w:rsid w:val="0058514C"/>
    <w:rsid w:val="00585921"/>
    <w:rsid w:val="00585D26"/>
    <w:rsid w:val="00585EC2"/>
    <w:rsid w:val="00585FD1"/>
    <w:rsid w:val="0058616E"/>
    <w:rsid w:val="005865C7"/>
    <w:rsid w:val="005865E6"/>
    <w:rsid w:val="00586EB8"/>
    <w:rsid w:val="005871AB"/>
    <w:rsid w:val="005877EF"/>
    <w:rsid w:val="005879A6"/>
    <w:rsid w:val="005879A8"/>
    <w:rsid w:val="00587CAC"/>
    <w:rsid w:val="00587DA4"/>
    <w:rsid w:val="005901D7"/>
    <w:rsid w:val="00590239"/>
    <w:rsid w:val="005902AD"/>
    <w:rsid w:val="005903B7"/>
    <w:rsid w:val="00590506"/>
    <w:rsid w:val="005907BA"/>
    <w:rsid w:val="00590A83"/>
    <w:rsid w:val="00590A8F"/>
    <w:rsid w:val="00590CA3"/>
    <w:rsid w:val="00590DF3"/>
    <w:rsid w:val="00590F34"/>
    <w:rsid w:val="005910FB"/>
    <w:rsid w:val="00591298"/>
    <w:rsid w:val="005914F6"/>
    <w:rsid w:val="00591738"/>
    <w:rsid w:val="00591E64"/>
    <w:rsid w:val="005920FE"/>
    <w:rsid w:val="0059213D"/>
    <w:rsid w:val="00592257"/>
    <w:rsid w:val="00592798"/>
    <w:rsid w:val="00592D73"/>
    <w:rsid w:val="00593211"/>
    <w:rsid w:val="0059329F"/>
    <w:rsid w:val="00593733"/>
    <w:rsid w:val="0059393E"/>
    <w:rsid w:val="0059394B"/>
    <w:rsid w:val="00593C9A"/>
    <w:rsid w:val="00593E84"/>
    <w:rsid w:val="00593F18"/>
    <w:rsid w:val="00593FDB"/>
    <w:rsid w:val="00594086"/>
    <w:rsid w:val="00594455"/>
    <w:rsid w:val="00594B14"/>
    <w:rsid w:val="00594C88"/>
    <w:rsid w:val="00594D4B"/>
    <w:rsid w:val="00594D95"/>
    <w:rsid w:val="00594DCA"/>
    <w:rsid w:val="00594DD6"/>
    <w:rsid w:val="0059533C"/>
    <w:rsid w:val="0059548C"/>
    <w:rsid w:val="005955A7"/>
    <w:rsid w:val="00595750"/>
    <w:rsid w:val="00595A52"/>
    <w:rsid w:val="00595A7C"/>
    <w:rsid w:val="00595AA0"/>
    <w:rsid w:val="00595EBD"/>
    <w:rsid w:val="00596838"/>
    <w:rsid w:val="005969D9"/>
    <w:rsid w:val="00596ADC"/>
    <w:rsid w:val="00596AF4"/>
    <w:rsid w:val="00596E48"/>
    <w:rsid w:val="00596FA0"/>
    <w:rsid w:val="00597098"/>
    <w:rsid w:val="005975F8"/>
    <w:rsid w:val="00597655"/>
    <w:rsid w:val="005976CF"/>
    <w:rsid w:val="005978D2"/>
    <w:rsid w:val="00597BBD"/>
    <w:rsid w:val="00597F10"/>
    <w:rsid w:val="005A002F"/>
    <w:rsid w:val="005A00BB"/>
    <w:rsid w:val="005A0746"/>
    <w:rsid w:val="005A074D"/>
    <w:rsid w:val="005A07BF"/>
    <w:rsid w:val="005A0802"/>
    <w:rsid w:val="005A08F8"/>
    <w:rsid w:val="005A0ABC"/>
    <w:rsid w:val="005A1021"/>
    <w:rsid w:val="005A1366"/>
    <w:rsid w:val="005A155F"/>
    <w:rsid w:val="005A1777"/>
    <w:rsid w:val="005A1D17"/>
    <w:rsid w:val="005A1E58"/>
    <w:rsid w:val="005A21B6"/>
    <w:rsid w:val="005A25CF"/>
    <w:rsid w:val="005A2912"/>
    <w:rsid w:val="005A2BC3"/>
    <w:rsid w:val="005A33C7"/>
    <w:rsid w:val="005A3CAC"/>
    <w:rsid w:val="005A3F76"/>
    <w:rsid w:val="005A4199"/>
    <w:rsid w:val="005A43E7"/>
    <w:rsid w:val="005A45DD"/>
    <w:rsid w:val="005A49AF"/>
    <w:rsid w:val="005A4A86"/>
    <w:rsid w:val="005A4D65"/>
    <w:rsid w:val="005A4F4A"/>
    <w:rsid w:val="005A51DF"/>
    <w:rsid w:val="005A5510"/>
    <w:rsid w:val="005A57E8"/>
    <w:rsid w:val="005A5DF3"/>
    <w:rsid w:val="005A63BF"/>
    <w:rsid w:val="005A644D"/>
    <w:rsid w:val="005A6551"/>
    <w:rsid w:val="005A65B0"/>
    <w:rsid w:val="005A681E"/>
    <w:rsid w:val="005A6C62"/>
    <w:rsid w:val="005A7284"/>
    <w:rsid w:val="005A736D"/>
    <w:rsid w:val="005A73CA"/>
    <w:rsid w:val="005A76BD"/>
    <w:rsid w:val="005A7B64"/>
    <w:rsid w:val="005B0267"/>
    <w:rsid w:val="005B068E"/>
    <w:rsid w:val="005B0700"/>
    <w:rsid w:val="005B07C8"/>
    <w:rsid w:val="005B0A73"/>
    <w:rsid w:val="005B1207"/>
    <w:rsid w:val="005B1273"/>
    <w:rsid w:val="005B1AE0"/>
    <w:rsid w:val="005B1CB7"/>
    <w:rsid w:val="005B1D47"/>
    <w:rsid w:val="005B1D65"/>
    <w:rsid w:val="005B1DE6"/>
    <w:rsid w:val="005B1DF6"/>
    <w:rsid w:val="005B256D"/>
    <w:rsid w:val="005B25E6"/>
    <w:rsid w:val="005B26F0"/>
    <w:rsid w:val="005B2809"/>
    <w:rsid w:val="005B2892"/>
    <w:rsid w:val="005B29E4"/>
    <w:rsid w:val="005B2D50"/>
    <w:rsid w:val="005B307B"/>
    <w:rsid w:val="005B3119"/>
    <w:rsid w:val="005B32A2"/>
    <w:rsid w:val="005B330A"/>
    <w:rsid w:val="005B3844"/>
    <w:rsid w:val="005B3AD5"/>
    <w:rsid w:val="005B3DBB"/>
    <w:rsid w:val="005B3E0D"/>
    <w:rsid w:val="005B4005"/>
    <w:rsid w:val="005B4158"/>
    <w:rsid w:val="005B47DA"/>
    <w:rsid w:val="005B4C77"/>
    <w:rsid w:val="005B4D02"/>
    <w:rsid w:val="005B4D29"/>
    <w:rsid w:val="005B520E"/>
    <w:rsid w:val="005B52A7"/>
    <w:rsid w:val="005B5500"/>
    <w:rsid w:val="005B586E"/>
    <w:rsid w:val="005B5AB8"/>
    <w:rsid w:val="005B5B66"/>
    <w:rsid w:val="005B5F89"/>
    <w:rsid w:val="005B642F"/>
    <w:rsid w:val="005B6604"/>
    <w:rsid w:val="005B677E"/>
    <w:rsid w:val="005B6915"/>
    <w:rsid w:val="005B71D6"/>
    <w:rsid w:val="005B787D"/>
    <w:rsid w:val="005B7CEE"/>
    <w:rsid w:val="005B7E99"/>
    <w:rsid w:val="005C05E7"/>
    <w:rsid w:val="005C0615"/>
    <w:rsid w:val="005C073E"/>
    <w:rsid w:val="005C091E"/>
    <w:rsid w:val="005C0993"/>
    <w:rsid w:val="005C0C89"/>
    <w:rsid w:val="005C0F15"/>
    <w:rsid w:val="005C103A"/>
    <w:rsid w:val="005C1324"/>
    <w:rsid w:val="005C15CF"/>
    <w:rsid w:val="005C18FC"/>
    <w:rsid w:val="005C1C8C"/>
    <w:rsid w:val="005C23A7"/>
    <w:rsid w:val="005C2455"/>
    <w:rsid w:val="005C252B"/>
    <w:rsid w:val="005C2651"/>
    <w:rsid w:val="005C26C3"/>
    <w:rsid w:val="005C27AE"/>
    <w:rsid w:val="005C2C77"/>
    <w:rsid w:val="005C2E16"/>
    <w:rsid w:val="005C30A3"/>
    <w:rsid w:val="005C34E3"/>
    <w:rsid w:val="005C351B"/>
    <w:rsid w:val="005C3670"/>
    <w:rsid w:val="005C379A"/>
    <w:rsid w:val="005C3B06"/>
    <w:rsid w:val="005C3CE0"/>
    <w:rsid w:val="005C3EBC"/>
    <w:rsid w:val="005C3F5F"/>
    <w:rsid w:val="005C41FC"/>
    <w:rsid w:val="005C4222"/>
    <w:rsid w:val="005C43C3"/>
    <w:rsid w:val="005C44B0"/>
    <w:rsid w:val="005C44C5"/>
    <w:rsid w:val="005C4905"/>
    <w:rsid w:val="005C4BA0"/>
    <w:rsid w:val="005C4C05"/>
    <w:rsid w:val="005C4C50"/>
    <w:rsid w:val="005C4C5D"/>
    <w:rsid w:val="005C520B"/>
    <w:rsid w:val="005C54EC"/>
    <w:rsid w:val="005C571C"/>
    <w:rsid w:val="005C585A"/>
    <w:rsid w:val="005C59BA"/>
    <w:rsid w:val="005C5E06"/>
    <w:rsid w:val="005C5EA3"/>
    <w:rsid w:val="005C6082"/>
    <w:rsid w:val="005C60FA"/>
    <w:rsid w:val="005C6138"/>
    <w:rsid w:val="005C63B4"/>
    <w:rsid w:val="005C645A"/>
    <w:rsid w:val="005C6552"/>
    <w:rsid w:val="005C66AF"/>
    <w:rsid w:val="005C66FD"/>
    <w:rsid w:val="005C6BF9"/>
    <w:rsid w:val="005C6E58"/>
    <w:rsid w:val="005C6F75"/>
    <w:rsid w:val="005C73F4"/>
    <w:rsid w:val="005C7498"/>
    <w:rsid w:val="005C74E1"/>
    <w:rsid w:val="005C7624"/>
    <w:rsid w:val="005C76E2"/>
    <w:rsid w:val="005C7C0B"/>
    <w:rsid w:val="005D0010"/>
    <w:rsid w:val="005D02E1"/>
    <w:rsid w:val="005D0310"/>
    <w:rsid w:val="005D0628"/>
    <w:rsid w:val="005D09CB"/>
    <w:rsid w:val="005D0A28"/>
    <w:rsid w:val="005D0BF5"/>
    <w:rsid w:val="005D0D9E"/>
    <w:rsid w:val="005D0DE0"/>
    <w:rsid w:val="005D0E8C"/>
    <w:rsid w:val="005D10A5"/>
    <w:rsid w:val="005D1422"/>
    <w:rsid w:val="005D1629"/>
    <w:rsid w:val="005D17EB"/>
    <w:rsid w:val="005D1865"/>
    <w:rsid w:val="005D187A"/>
    <w:rsid w:val="005D1AC2"/>
    <w:rsid w:val="005D1E71"/>
    <w:rsid w:val="005D20FA"/>
    <w:rsid w:val="005D22C5"/>
    <w:rsid w:val="005D25E5"/>
    <w:rsid w:val="005D27A1"/>
    <w:rsid w:val="005D290C"/>
    <w:rsid w:val="005D2CA4"/>
    <w:rsid w:val="005D2FA9"/>
    <w:rsid w:val="005D33CB"/>
    <w:rsid w:val="005D3EDA"/>
    <w:rsid w:val="005D4269"/>
    <w:rsid w:val="005D47D1"/>
    <w:rsid w:val="005D4880"/>
    <w:rsid w:val="005D49BE"/>
    <w:rsid w:val="005D4DDF"/>
    <w:rsid w:val="005D4E19"/>
    <w:rsid w:val="005D4F23"/>
    <w:rsid w:val="005D5070"/>
    <w:rsid w:val="005D5200"/>
    <w:rsid w:val="005D5544"/>
    <w:rsid w:val="005D5DFA"/>
    <w:rsid w:val="005D639D"/>
    <w:rsid w:val="005D6465"/>
    <w:rsid w:val="005D6501"/>
    <w:rsid w:val="005D66DC"/>
    <w:rsid w:val="005D6993"/>
    <w:rsid w:val="005D6CEC"/>
    <w:rsid w:val="005D6D01"/>
    <w:rsid w:val="005D6E29"/>
    <w:rsid w:val="005D6F64"/>
    <w:rsid w:val="005D733F"/>
    <w:rsid w:val="005D7347"/>
    <w:rsid w:val="005D73B5"/>
    <w:rsid w:val="005D763B"/>
    <w:rsid w:val="005D76E1"/>
    <w:rsid w:val="005D76EA"/>
    <w:rsid w:val="005D7C0C"/>
    <w:rsid w:val="005E02A8"/>
    <w:rsid w:val="005E048D"/>
    <w:rsid w:val="005E0521"/>
    <w:rsid w:val="005E08A2"/>
    <w:rsid w:val="005E0AB2"/>
    <w:rsid w:val="005E0BB3"/>
    <w:rsid w:val="005E0F25"/>
    <w:rsid w:val="005E1409"/>
    <w:rsid w:val="005E1466"/>
    <w:rsid w:val="005E1748"/>
    <w:rsid w:val="005E1A1F"/>
    <w:rsid w:val="005E1B39"/>
    <w:rsid w:val="005E1B7C"/>
    <w:rsid w:val="005E2081"/>
    <w:rsid w:val="005E2665"/>
    <w:rsid w:val="005E284B"/>
    <w:rsid w:val="005E2969"/>
    <w:rsid w:val="005E2A6D"/>
    <w:rsid w:val="005E2A8F"/>
    <w:rsid w:val="005E2BDA"/>
    <w:rsid w:val="005E316E"/>
    <w:rsid w:val="005E3232"/>
    <w:rsid w:val="005E39AD"/>
    <w:rsid w:val="005E3A17"/>
    <w:rsid w:val="005E3A74"/>
    <w:rsid w:val="005E3DBB"/>
    <w:rsid w:val="005E3E67"/>
    <w:rsid w:val="005E3FC6"/>
    <w:rsid w:val="005E4715"/>
    <w:rsid w:val="005E4740"/>
    <w:rsid w:val="005E484B"/>
    <w:rsid w:val="005E4B5C"/>
    <w:rsid w:val="005E4B7D"/>
    <w:rsid w:val="005E4D25"/>
    <w:rsid w:val="005E4D33"/>
    <w:rsid w:val="005E4E60"/>
    <w:rsid w:val="005E4FE9"/>
    <w:rsid w:val="005E5002"/>
    <w:rsid w:val="005E50D6"/>
    <w:rsid w:val="005E5111"/>
    <w:rsid w:val="005E5245"/>
    <w:rsid w:val="005E5298"/>
    <w:rsid w:val="005E534E"/>
    <w:rsid w:val="005E541F"/>
    <w:rsid w:val="005E54F3"/>
    <w:rsid w:val="005E5518"/>
    <w:rsid w:val="005E555A"/>
    <w:rsid w:val="005E5848"/>
    <w:rsid w:val="005E59A7"/>
    <w:rsid w:val="005E5C96"/>
    <w:rsid w:val="005E5E74"/>
    <w:rsid w:val="005E5EF6"/>
    <w:rsid w:val="005E64B4"/>
    <w:rsid w:val="005E6A03"/>
    <w:rsid w:val="005E6ACF"/>
    <w:rsid w:val="005E6D02"/>
    <w:rsid w:val="005E6DAA"/>
    <w:rsid w:val="005E72D1"/>
    <w:rsid w:val="005E7926"/>
    <w:rsid w:val="005E7CFA"/>
    <w:rsid w:val="005E7D4F"/>
    <w:rsid w:val="005F004B"/>
    <w:rsid w:val="005F0168"/>
    <w:rsid w:val="005F01D1"/>
    <w:rsid w:val="005F045B"/>
    <w:rsid w:val="005F04FE"/>
    <w:rsid w:val="005F0645"/>
    <w:rsid w:val="005F0890"/>
    <w:rsid w:val="005F09A3"/>
    <w:rsid w:val="005F09D9"/>
    <w:rsid w:val="005F0BFF"/>
    <w:rsid w:val="005F1435"/>
    <w:rsid w:val="005F1630"/>
    <w:rsid w:val="005F182E"/>
    <w:rsid w:val="005F192B"/>
    <w:rsid w:val="005F1D0F"/>
    <w:rsid w:val="005F1DD9"/>
    <w:rsid w:val="005F29F4"/>
    <w:rsid w:val="005F2C79"/>
    <w:rsid w:val="005F2C9A"/>
    <w:rsid w:val="005F2DCE"/>
    <w:rsid w:val="005F2E2A"/>
    <w:rsid w:val="005F33A8"/>
    <w:rsid w:val="005F37D1"/>
    <w:rsid w:val="005F4323"/>
    <w:rsid w:val="005F432B"/>
    <w:rsid w:val="005F44E5"/>
    <w:rsid w:val="005F475A"/>
    <w:rsid w:val="005F4895"/>
    <w:rsid w:val="005F491F"/>
    <w:rsid w:val="005F49DA"/>
    <w:rsid w:val="005F4CDF"/>
    <w:rsid w:val="005F4DBB"/>
    <w:rsid w:val="005F4ECE"/>
    <w:rsid w:val="005F4FB0"/>
    <w:rsid w:val="005F50BA"/>
    <w:rsid w:val="005F51B7"/>
    <w:rsid w:val="005F52DB"/>
    <w:rsid w:val="005F53C5"/>
    <w:rsid w:val="005F5595"/>
    <w:rsid w:val="005F5995"/>
    <w:rsid w:val="005F5AC2"/>
    <w:rsid w:val="005F5AD7"/>
    <w:rsid w:val="005F5B3B"/>
    <w:rsid w:val="005F6058"/>
    <w:rsid w:val="005F660F"/>
    <w:rsid w:val="005F69F7"/>
    <w:rsid w:val="005F6E33"/>
    <w:rsid w:val="005F7501"/>
    <w:rsid w:val="005F7B91"/>
    <w:rsid w:val="005F7C0B"/>
    <w:rsid w:val="005F7CF7"/>
    <w:rsid w:val="0060057E"/>
    <w:rsid w:val="0060087E"/>
    <w:rsid w:val="006008B2"/>
    <w:rsid w:val="00600FE9"/>
    <w:rsid w:val="0060192D"/>
    <w:rsid w:val="0060193C"/>
    <w:rsid w:val="00602366"/>
    <w:rsid w:val="006026C0"/>
    <w:rsid w:val="00602826"/>
    <w:rsid w:val="006028C7"/>
    <w:rsid w:val="00602B4E"/>
    <w:rsid w:val="00602C2F"/>
    <w:rsid w:val="006032E1"/>
    <w:rsid w:val="006037DE"/>
    <w:rsid w:val="0060385D"/>
    <w:rsid w:val="00603865"/>
    <w:rsid w:val="0060397B"/>
    <w:rsid w:val="00603F4B"/>
    <w:rsid w:val="00603F4E"/>
    <w:rsid w:val="00604781"/>
    <w:rsid w:val="00604825"/>
    <w:rsid w:val="006049BD"/>
    <w:rsid w:val="00604A0F"/>
    <w:rsid w:val="00604A9E"/>
    <w:rsid w:val="00604C95"/>
    <w:rsid w:val="00604D4D"/>
    <w:rsid w:val="00604EEF"/>
    <w:rsid w:val="00605102"/>
    <w:rsid w:val="006051E0"/>
    <w:rsid w:val="006051FE"/>
    <w:rsid w:val="006053F8"/>
    <w:rsid w:val="006054E2"/>
    <w:rsid w:val="0060562E"/>
    <w:rsid w:val="0060563A"/>
    <w:rsid w:val="00605983"/>
    <w:rsid w:val="00606053"/>
    <w:rsid w:val="006064EA"/>
    <w:rsid w:val="00606A4A"/>
    <w:rsid w:val="00606C09"/>
    <w:rsid w:val="00606EDD"/>
    <w:rsid w:val="00606F14"/>
    <w:rsid w:val="00607402"/>
    <w:rsid w:val="006077D1"/>
    <w:rsid w:val="006078FD"/>
    <w:rsid w:val="00607A89"/>
    <w:rsid w:val="00607B15"/>
    <w:rsid w:val="00607F20"/>
    <w:rsid w:val="0061031F"/>
    <w:rsid w:val="006103FB"/>
    <w:rsid w:val="0061051A"/>
    <w:rsid w:val="00610609"/>
    <w:rsid w:val="006108EA"/>
    <w:rsid w:val="00610937"/>
    <w:rsid w:val="00611148"/>
    <w:rsid w:val="0061119A"/>
    <w:rsid w:val="0061165C"/>
    <w:rsid w:val="00611870"/>
    <w:rsid w:val="006119FD"/>
    <w:rsid w:val="00611ABE"/>
    <w:rsid w:val="00611D95"/>
    <w:rsid w:val="006123F3"/>
    <w:rsid w:val="00612E64"/>
    <w:rsid w:val="00612E76"/>
    <w:rsid w:val="00612EBD"/>
    <w:rsid w:val="00613155"/>
    <w:rsid w:val="006135D0"/>
    <w:rsid w:val="006139B9"/>
    <w:rsid w:val="006139D4"/>
    <w:rsid w:val="00613B35"/>
    <w:rsid w:val="00613BEB"/>
    <w:rsid w:val="00613C73"/>
    <w:rsid w:val="00613DF3"/>
    <w:rsid w:val="00613EA3"/>
    <w:rsid w:val="00613FD5"/>
    <w:rsid w:val="006140CC"/>
    <w:rsid w:val="00614307"/>
    <w:rsid w:val="00614520"/>
    <w:rsid w:val="00614662"/>
    <w:rsid w:val="0061472D"/>
    <w:rsid w:val="006148E3"/>
    <w:rsid w:val="00614ADA"/>
    <w:rsid w:val="00614C06"/>
    <w:rsid w:val="00614D95"/>
    <w:rsid w:val="00614F86"/>
    <w:rsid w:val="00615399"/>
    <w:rsid w:val="00615A02"/>
    <w:rsid w:val="00615F4D"/>
    <w:rsid w:val="00615F62"/>
    <w:rsid w:val="006162CF"/>
    <w:rsid w:val="00616563"/>
    <w:rsid w:val="00616984"/>
    <w:rsid w:val="00616B85"/>
    <w:rsid w:val="00616D96"/>
    <w:rsid w:val="00616EA7"/>
    <w:rsid w:val="00617169"/>
    <w:rsid w:val="00617431"/>
    <w:rsid w:val="00617593"/>
    <w:rsid w:val="006177AD"/>
    <w:rsid w:val="00617A85"/>
    <w:rsid w:val="00617E40"/>
    <w:rsid w:val="00617EA4"/>
    <w:rsid w:val="00620019"/>
    <w:rsid w:val="00620338"/>
    <w:rsid w:val="00620462"/>
    <w:rsid w:val="0062092A"/>
    <w:rsid w:val="0062096B"/>
    <w:rsid w:val="00620977"/>
    <w:rsid w:val="00620984"/>
    <w:rsid w:val="0062116A"/>
    <w:rsid w:val="0062161D"/>
    <w:rsid w:val="00621D9D"/>
    <w:rsid w:val="006222C6"/>
    <w:rsid w:val="006227C9"/>
    <w:rsid w:val="006228EE"/>
    <w:rsid w:val="00622BBB"/>
    <w:rsid w:val="00622FA5"/>
    <w:rsid w:val="00623133"/>
    <w:rsid w:val="0062322D"/>
    <w:rsid w:val="006233B1"/>
    <w:rsid w:val="006238F9"/>
    <w:rsid w:val="00623981"/>
    <w:rsid w:val="00623B1F"/>
    <w:rsid w:val="00623D1B"/>
    <w:rsid w:val="00623D2B"/>
    <w:rsid w:val="00623DCA"/>
    <w:rsid w:val="00623FC9"/>
    <w:rsid w:val="00624130"/>
    <w:rsid w:val="006249C5"/>
    <w:rsid w:val="00624C26"/>
    <w:rsid w:val="00624E8D"/>
    <w:rsid w:val="00624E93"/>
    <w:rsid w:val="00624EEC"/>
    <w:rsid w:val="0062503F"/>
    <w:rsid w:val="00625890"/>
    <w:rsid w:val="006258F6"/>
    <w:rsid w:val="00625BF6"/>
    <w:rsid w:val="00625C18"/>
    <w:rsid w:val="00625C1A"/>
    <w:rsid w:val="00626744"/>
    <w:rsid w:val="00626DA9"/>
    <w:rsid w:val="00626DBC"/>
    <w:rsid w:val="0062701B"/>
    <w:rsid w:val="00627211"/>
    <w:rsid w:val="006274E0"/>
    <w:rsid w:val="0062775A"/>
    <w:rsid w:val="00627787"/>
    <w:rsid w:val="0062778B"/>
    <w:rsid w:val="00627825"/>
    <w:rsid w:val="00627F9A"/>
    <w:rsid w:val="0063056E"/>
    <w:rsid w:val="006306D3"/>
    <w:rsid w:val="00630A11"/>
    <w:rsid w:val="00630A3D"/>
    <w:rsid w:val="00630BB6"/>
    <w:rsid w:val="00630BB9"/>
    <w:rsid w:val="00630F3E"/>
    <w:rsid w:val="00630FA2"/>
    <w:rsid w:val="006312C8"/>
    <w:rsid w:val="0063165A"/>
    <w:rsid w:val="00631731"/>
    <w:rsid w:val="0063190E"/>
    <w:rsid w:val="0063196E"/>
    <w:rsid w:val="00631ABB"/>
    <w:rsid w:val="00631B95"/>
    <w:rsid w:val="006323E3"/>
    <w:rsid w:val="00632401"/>
    <w:rsid w:val="0063260A"/>
    <w:rsid w:val="00632919"/>
    <w:rsid w:val="00632A44"/>
    <w:rsid w:val="00632A4C"/>
    <w:rsid w:val="00632B15"/>
    <w:rsid w:val="00632B21"/>
    <w:rsid w:val="00632B2E"/>
    <w:rsid w:val="00632C80"/>
    <w:rsid w:val="00632D05"/>
    <w:rsid w:val="00632E78"/>
    <w:rsid w:val="00632F2D"/>
    <w:rsid w:val="006333F8"/>
    <w:rsid w:val="0063392B"/>
    <w:rsid w:val="00634103"/>
    <w:rsid w:val="006343F4"/>
    <w:rsid w:val="006346CD"/>
    <w:rsid w:val="00634708"/>
    <w:rsid w:val="00634732"/>
    <w:rsid w:val="00634901"/>
    <w:rsid w:val="00634951"/>
    <w:rsid w:val="00634D43"/>
    <w:rsid w:val="00634FE8"/>
    <w:rsid w:val="0063511B"/>
    <w:rsid w:val="006351A2"/>
    <w:rsid w:val="00635206"/>
    <w:rsid w:val="00635A52"/>
    <w:rsid w:val="00635E42"/>
    <w:rsid w:val="00636060"/>
    <w:rsid w:val="00636217"/>
    <w:rsid w:val="006364EA"/>
    <w:rsid w:val="006367F1"/>
    <w:rsid w:val="006375E3"/>
    <w:rsid w:val="00637A45"/>
    <w:rsid w:val="00637C42"/>
    <w:rsid w:val="00637DDE"/>
    <w:rsid w:val="00637DEB"/>
    <w:rsid w:val="00640141"/>
    <w:rsid w:val="006401BF"/>
    <w:rsid w:val="00640212"/>
    <w:rsid w:val="006402DA"/>
    <w:rsid w:val="006403EB"/>
    <w:rsid w:val="0064046A"/>
    <w:rsid w:val="00640863"/>
    <w:rsid w:val="006409BC"/>
    <w:rsid w:val="00640C81"/>
    <w:rsid w:val="0064128B"/>
    <w:rsid w:val="0064190B"/>
    <w:rsid w:val="006419E0"/>
    <w:rsid w:val="00641D06"/>
    <w:rsid w:val="00641DEF"/>
    <w:rsid w:val="006423E5"/>
    <w:rsid w:val="0064282D"/>
    <w:rsid w:val="00642E38"/>
    <w:rsid w:val="006431B1"/>
    <w:rsid w:val="00643336"/>
    <w:rsid w:val="006436B7"/>
    <w:rsid w:val="00643BD4"/>
    <w:rsid w:val="00643C75"/>
    <w:rsid w:val="00643D45"/>
    <w:rsid w:val="006443A6"/>
    <w:rsid w:val="00644628"/>
    <w:rsid w:val="00644672"/>
    <w:rsid w:val="00644CCD"/>
    <w:rsid w:val="00644ED6"/>
    <w:rsid w:val="00645258"/>
    <w:rsid w:val="006452D4"/>
    <w:rsid w:val="006453D1"/>
    <w:rsid w:val="006453D9"/>
    <w:rsid w:val="0064554A"/>
    <w:rsid w:val="00645565"/>
    <w:rsid w:val="00645642"/>
    <w:rsid w:val="0064570C"/>
    <w:rsid w:val="00645826"/>
    <w:rsid w:val="00645A3F"/>
    <w:rsid w:val="006463A1"/>
    <w:rsid w:val="00646971"/>
    <w:rsid w:val="006470F9"/>
    <w:rsid w:val="0064772B"/>
    <w:rsid w:val="00647827"/>
    <w:rsid w:val="00647834"/>
    <w:rsid w:val="00647874"/>
    <w:rsid w:val="00647CDA"/>
    <w:rsid w:val="00647E3A"/>
    <w:rsid w:val="00647F84"/>
    <w:rsid w:val="006501DE"/>
    <w:rsid w:val="006504D9"/>
    <w:rsid w:val="0065083D"/>
    <w:rsid w:val="00650BC3"/>
    <w:rsid w:val="00650DDF"/>
    <w:rsid w:val="00650EB9"/>
    <w:rsid w:val="006510C9"/>
    <w:rsid w:val="006515AD"/>
    <w:rsid w:val="0065179A"/>
    <w:rsid w:val="0065179F"/>
    <w:rsid w:val="00651A16"/>
    <w:rsid w:val="0065218F"/>
    <w:rsid w:val="006525E7"/>
    <w:rsid w:val="00652684"/>
    <w:rsid w:val="0065286F"/>
    <w:rsid w:val="00652A67"/>
    <w:rsid w:val="00652B5A"/>
    <w:rsid w:val="00652C9E"/>
    <w:rsid w:val="00652CD2"/>
    <w:rsid w:val="00652FEA"/>
    <w:rsid w:val="006530D5"/>
    <w:rsid w:val="006534B1"/>
    <w:rsid w:val="006534D6"/>
    <w:rsid w:val="00653939"/>
    <w:rsid w:val="00653F60"/>
    <w:rsid w:val="00654134"/>
    <w:rsid w:val="00654779"/>
    <w:rsid w:val="00654949"/>
    <w:rsid w:val="0065497F"/>
    <w:rsid w:val="00654BBE"/>
    <w:rsid w:val="00654E9F"/>
    <w:rsid w:val="00654FB7"/>
    <w:rsid w:val="006553DA"/>
    <w:rsid w:val="00655589"/>
    <w:rsid w:val="00655601"/>
    <w:rsid w:val="006557CF"/>
    <w:rsid w:val="00655846"/>
    <w:rsid w:val="00655860"/>
    <w:rsid w:val="00655B27"/>
    <w:rsid w:val="00655CC8"/>
    <w:rsid w:val="00655F14"/>
    <w:rsid w:val="006566AE"/>
    <w:rsid w:val="00656C90"/>
    <w:rsid w:val="00656E51"/>
    <w:rsid w:val="00656E9D"/>
    <w:rsid w:val="00657076"/>
    <w:rsid w:val="0065786C"/>
    <w:rsid w:val="00660026"/>
    <w:rsid w:val="0066010B"/>
    <w:rsid w:val="006607F2"/>
    <w:rsid w:val="006607FE"/>
    <w:rsid w:val="00660C43"/>
    <w:rsid w:val="00660D3F"/>
    <w:rsid w:val="00660D88"/>
    <w:rsid w:val="00660F20"/>
    <w:rsid w:val="00661247"/>
    <w:rsid w:val="006615F0"/>
    <w:rsid w:val="0066184E"/>
    <w:rsid w:val="00661AFB"/>
    <w:rsid w:val="00661E0E"/>
    <w:rsid w:val="00662028"/>
    <w:rsid w:val="006621C0"/>
    <w:rsid w:val="00662279"/>
    <w:rsid w:val="00662507"/>
    <w:rsid w:val="006625D2"/>
    <w:rsid w:val="00662725"/>
    <w:rsid w:val="006627EE"/>
    <w:rsid w:val="00662A8F"/>
    <w:rsid w:val="00662BAC"/>
    <w:rsid w:val="00662CB4"/>
    <w:rsid w:val="006630CD"/>
    <w:rsid w:val="006631A2"/>
    <w:rsid w:val="00664130"/>
    <w:rsid w:val="006644D8"/>
    <w:rsid w:val="00664765"/>
    <w:rsid w:val="00664A40"/>
    <w:rsid w:val="00664BBB"/>
    <w:rsid w:val="006651AF"/>
    <w:rsid w:val="00665221"/>
    <w:rsid w:val="0066530C"/>
    <w:rsid w:val="0066563A"/>
    <w:rsid w:val="00665E07"/>
    <w:rsid w:val="00666025"/>
    <w:rsid w:val="00666047"/>
    <w:rsid w:val="00666131"/>
    <w:rsid w:val="006663D2"/>
    <w:rsid w:val="00666420"/>
    <w:rsid w:val="006664F1"/>
    <w:rsid w:val="0066668A"/>
    <w:rsid w:val="006668C7"/>
    <w:rsid w:val="00666970"/>
    <w:rsid w:val="006669C2"/>
    <w:rsid w:val="00666C64"/>
    <w:rsid w:val="00666E14"/>
    <w:rsid w:val="00667805"/>
    <w:rsid w:val="0066784A"/>
    <w:rsid w:val="00667CB7"/>
    <w:rsid w:val="00667EDE"/>
    <w:rsid w:val="00667FD9"/>
    <w:rsid w:val="006701A1"/>
    <w:rsid w:val="00670334"/>
    <w:rsid w:val="006705BC"/>
    <w:rsid w:val="006706A0"/>
    <w:rsid w:val="00670900"/>
    <w:rsid w:val="00670C7F"/>
    <w:rsid w:val="00670D02"/>
    <w:rsid w:val="00670D8A"/>
    <w:rsid w:val="00670E37"/>
    <w:rsid w:val="00670EBF"/>
    <w:rsid w:val="00670FFD"/>
    <w:rsid w:val="00671000"/>
    <w:rsid w:val="006716DA"/>
    <w:rsid w:val="0067196E"/>
    <w:rsid w:val="00671DBE"/>
    <w:rsid w:val="00671EB0"/>
    <w:rsid w:val="00671FC7"/>
    <w:rsid w:val="00672B1D"/>
    <w:rsid w:val="00672C7A"/>
    <w:rsid w:val="00672DF3"/>
    <w:rsid w:val="00672FD8"/>
    <w:rsid w:val="0067342A"/>
    <w:rsid w:val="00673451"/>
    <w:rsid w:val="006735A4"/>
    <w:rsid w:val="006736C5"/>
    <w:rsid w:val="00673853"/>
    <w:rsid w:val="006738F7"/>
    <w:rsid w:val="00673A34"/>
    <w:rsid w:val="00673B73"/>
    <w:rsid w:val="00673C45"/>
    <w:rsid w:val="00673E52"/>
    <w:rsid w:val="006740D1"/>
    <w:rsid w:val="0067411C"/>
    <w:rsid w:val="006743B1"/>
    <w:rsid w:val="006745AF"/>
    <w:rsid w:val="006749BE"/>
    <w:rsid w:val="00674ABA"/>
    <w:rsid w:val="00674B0E"/>
    <w:rsid w:val="00674C6F"/>
    <w:rsid w:val="006752D3"/>
    <w:rsid w:val="006753D2"/>
    <w:rsid w:val="006759C6"/>
    <w:rsid w:val="00675A73"/>
    <w:rsid w:val="00675D46"/>
    <w:rsid w:val="00675E62"/>
    <w:rsid w:val="006760CE"/>
    <w:rsid w:val="00676240"/>
    <w:rsid w:val="00676A28"/>
    <w:rsid w:val="00676EC4"/>
    <w:rsid w:val="006770DA"/>
    <w:rsid w:val="00677223"/>
    <w:rsid w:val="00677497"/>
    <w:rsid w:val="006774A1"/>
    <w:rsid w:val="0067750B"/>
    <w:rsid w:val="006779AA"/>
    <w:rsid w:val="00677A58"/>
    <w:rsid w:val="00677AE0"/>
    <w:rsid w:val="00677AF0"/>
    <w:rsid w:val="00677BA1"/>
    <w:rsid w:val="0068032F"/>
    <w:rsid w:val="0068052A"/>
    <w:rsid w:val="00680625"/>
    <w:rsid w:val="006807FD"/>
    <w:rsid w:val="006808B9"/>
    <w:rsid w:val="00680919"/>
    <w:rsid w:val="00680B84"/>
    <w:rsid w:val="00680B93"/>
    <w:rsid w:val="00680BD6"/>
    <w:rsid w:val="00680D9E"/>
    <w:rsid w:val="00681271"/>
    <w:rsid w:val="0068160B"/>
    <w:rsid w:val="006817F0"/>
    <w:rsid w:val="00681907"/>
    <w:rsid w:val="00681958"/>
    <w:rsid w:val="00681DA5"/>
    <w:rsid w:val="00682390"/>
    <w:rsid w:val="006833BF"/>
    <w:rsid w:val="00683472"/>
    <w:rsid w:val="0068350E"/>
    <w:rsid w:val="006841DA"/>
    <w:rsid w:val="006842B9"/>
    <w:rsid w:val="006842EF"/>
    <w:rsid w:val="00684490"/>
    <w:rsid w:val="00684647"/>
    <w:rsid w:val="00684B09"/>
    <w:rsid w:val="00684C6B"/>
    <w:rsid w:val="00684DED"/>
    <w:rsid w:val="00684F47"/>
    <w:rsid w:val="00685244"/>
    <w:rsid w:val="006852DC"/>
    <w:rsid w:val="006855C1"/>
    <w:rsid w:val="006856D5"/>
    <w:rsid w:val="006857D5"/>
    <w:rsid w:val="0068604F"/>
    <w:rsid w:val="0068640D"/>
    <w:rsid w:val="006865C4"/>
    <w:rsid w:val="006868C1"/>
    <w:rsid w:val="00686C5B"/>
    <w:rsid w:val="00686F0C"/>
    <w:rsid w:val="0068729C"/>
    <w:rsid w:val="00687875"/>
    <w:rsid w:val="00687904"/>
    <w:rsid w:val="0068797B"/>
    <w:rsid w:val="006879AE"/>
    <w:rsid w:val="006879E0"/>
    <w:rsid w:val="00687BCA"/>
    <w:rsid w:val="00687DD5"/>
    <w:rsid w:val="0069005E"/>
    <w:rsid w:val="006904BF"/>
    <w:rsid w:val="0069054B"/>
    <w:rsid w:val="0069055E"/>
    <w:rsid w:val="00690604"/>
    <w:rsid w:val="0069086B"/>
    <w:rsid w:val="006909A8"/>
    <w:rsid w:val="00690D7A"/>
    <w:rsid w:val="006910B0"/>
    <w:rsid w:val="00691130"/>
    <w:rsid w:val="00691348"/>
    <w:rsid w:val="006915F3"/>
    <w:rsid w:val="00691FFB"/>
    <w:rsid w:val="006920F9"/>
    <w:rsid w:val="00692136"/>
    <w:rsid w:val="00692237"/>
    <w:rsid w:val="00692373"/>
    <w:rsid w:val="00692A76"/>
    <w:rsid w:val="00692C12"/>
    <w:rsid w:val="00692C4D"/>
    <w:rsid w:val="00692D5D"/>
    <w:rsid w:val="0069307C"/>
    <w:rsid w:val="00693436"/>
    <w:rsid w:val="006934CC"/>
    <w:rsid w:val="0069394E"/>
    <w:rsid w:val="0069395A"/>
    <w:rsid w:val="00693DAB"/>
    <w:rsid w:val="00693E41"/>
    <w:rsid w:val="00693E67"/>
    <w:rsid w:val="00693F4B"/>
    <w:rsid w:val="00693FC0"/>
    <w:rsid w:val="006944C6"/>
    <w:rsid w:val="00694BA8"/>
    <w:rsid w:val="00694C4D"/>
    <w:rsid w:val="00695173"/>
    <w:rsid w:val="006951B8"/>
    <w:rsid w:val="006951F6"/>
    <w:rsid w:val="0069612C"/>
    <w:rsid w:val="00696205"/>
    <w:rsid w:val="0069650E"/>
    <w:rsid w:val="00696A54"/>
    <w:rsid w:val="00696B5C"/>
    <w:rsid w:val="00696C15"/>
    <w:rsid w:val="00696E44"/>
    <w:rsid w:val="00696ED8"/>
    <w:rsid w:val="00697035"/>
    <w:rsid w:val="006972F1"/>
    <w:rsid w:val="00697474"/>
    <w:rsid w:val="00697534"/>
    <w:rsid w:val="0069775C"/>
    <w:rsid w:val="006978A3"/>
    <w:rsid w:val="006979CF"/>
    <w:rsid w:val="00697A2D"/>
    <w:rsid w:val="00697DBE"/>
    <w:rsid w:val="006A01B6"/>
    <w:rsid w:val="006A04B9"/>
    <w:rsid w:val="006A09FA"/>
    <w:rsid w:val="006A0BAA"/>
    <w:rsid w:val="006A13CD"/>
    <w:rsid w:val="006A1632"/>
    <w:rsid w:val="006A1A47"/>
    <w:rsid w:val="006A1AF7"/>
    <w:rsid w:val="006A1AF9"/>
    <w:rsid w:val="006A1B2E"/>
    <w:rsid w:val="006A1BFB"/>
    <w:rsid w:val="006A2398"/>
    <w:rsid w:val="006A28EE"/>
    <w:rsid w:val="006A305E"/>
    <w:rsid w:val="006A32DA"/>
    <w:rsid w:val="006A3E4C"/>
    <w:rsid w:val="006A438E"/>
    <w:rsid w:val="006A44B5"/>
    <w:rsid w:val="006A5189"/>
    <w:rsid w:val="006A5809"/>
    <w:rsid w:val="006A59D0"/>
    <w:rsid w:val="006A62D9"/>
    <w:rsid w:val="006A6350"/>
    <w:rsid w:val="006A6B99"/>
    <w:rsid w:val="006A6DE5"/>
    <w:rsid w:val="006A701F"/>
    <w:rsid w:val="006A70A5"/>
    <w:rsid w:val="006A7314"/>
    <w:rsid w:val="006A73D3"/>
    <w:rsid w:val="006A7A5E"/>
    <w:rsid w:val="006A7AAF"/>
    <w:rsid w:val="006A7EEE"/>
    <w:rsid w:val="006B020E"/>
    <w:rsid w:val="006B03AF"/>
    <w:rsid w:val="006B05D7"/>
    <w:rsid w:val="006B088F"/>
    <w:rsid w:val="006B0A8B"/>
    <w:rsid w:val="006B0CC7"/>
    <w:rsid w:val="006B0F34"/>
    <w:rsid w:val="006B0F5D"/>
    <w:rsid w:val="006B102B"/>
    <w:rsid w:val="006B116D"/>
    <w:rsid w:val="006B1696"/>
    <w:rsid w:val="006B17A1"/>
    <w:rsid w:val="006B1930"/>
    <w:rsid w:val="006B1CDC"/>
    <w:rsid w:val="006B1D2E"/>
    <w:rsid w:val="006B1F26"/>
    <w:rsid w:val="006B23CD"/>
    <w:rsid w:val="006B26FE"/>
    <w:rsid w:val="006B2819"/>
    <w:rsid w:val="006B2898"/>
    <w:rsid w:val="006B3130"/>
    <w:rsid w:val="006B317D"/>
    <w:rsid w:val="006B3317"/>
    <w:rsid w:val="006B34E8"/>
    <w:rsid w:val="006B362E"/>
    <w:rsid w:val="006B3927"/>
    <w:rsid w:val="006B3941"/>
    <w:rsid w:val="006B3ABF"/>
    <w:rsid w:val="006B3C72"/>
    <w:rsid w:val="006B3E52"/>
    <w:rsid w:val="006B47EE"/>
    <w:rsid w:val="006B5178"/>
    <w:rsid w:val="006B5EF3"/>
    <w:rsid w:val="006B6279"/>
    <w:rsid w:val="006B63A5"/>
    <w:rsid w:val="006B6626"/>
    <w:rsid w:val="006B6796"/>
    <w:rsid w:val="006B6D10"/>
    <w:rsid w:val="006B6E9C"/>
    <w:rsid w:val="006B726B"/>
    <w:rsid w:val="006B75D7"/>
    <w:rsid w:val="006B76A9"/>
    <w:rsid w:val="006B76B3"/>
    <w:rsid w:val="006B7793"/>
    <w:rsid w:val="006B7920"/>
    <w:rsid w:val="006C01A7"/>
    <w:rsid w:val="006C09CC"/>
    <w:rsid w:val="006C0BA1"/>
    <w:rsid w:val="006C0F97"/>
    <w:rsid w:val="006C1554"/>
    <w:rsid w:val="006C19DD"/>
    <w:rsid w:val="006C1B13"/>
    <w:rsid w:val="006C1B75"/>
    <w:rsid w:val="006C1C44"/>
    <w:rsid w:val="006C2055"/>
    <w:rsid w:val="006C208A"/>
    <w:rsid w:val="006C20D7"/>
    <w:rsid w:val="006C231D"/>
    <w:rsid w:val="006C2749"/>
    <w:rsid w:val="006C2B50"/>
    <w:rsid w:val="006C2CBA"/>
    <w:rsid w:val="006C3544"/>
    <w:rsid w:val="006C3638"/>
    <w:rsid w:val="006C3B7E"/>
    <w:rsid w:val="006C3C06"/>
    <w:rsid w:val="006C3C50"/>
    <w:rsid w:val="006C3F05"/>
    <w:rsid w:val="006C42BB"/>
    <w:rsid w:val="006C4502"/>
    <w:rsid w:val="006C47AB"/>
    <w:rsid w:val="006C4A03"/>
    <w:rsid w:val="006C4A20"/>
    <w:rsid w:val="006C4A9F"/>
    <w:rsid w:val="006C4F9F"/>
    <w:rsid w:val="006C5143"/>
    <w:rsid w:val="006C51CE"/>
    <w:rsid w:val="006C525D"/>
    <w:rsid w:val="006C52FC"/>
    <w:rsid w:val="006C5343"/>
    <w:rsid w:val="006C53E2"/>
    <w:rsid w:val="006C553C"/>
    <w:rsid w:val="006C5549"/>
    <w:rsid w:val="006C5669"/>
    <w:rsid w:val="006C5D06"/>
    <w:rsid w:val="006C5DEA"/>
    <w:rsid w:val="006C61C6"/>
    <w:rsid w:val="006C63A6"/>
    <w:rsid w:val="006C6558"/>
    <w:rsid w:val="006C688A"/>
    <w:rsid w:val="006C6C6D"/>
    <w:rsid w:val="006C7867"/>
    <w:rsid w:val="006C7A99"/>
    <w:rsid w:val="006C7CF2"/>
    <w:rsid w:val="006C7F35"/>
    <w:rsid w:val="006C7F5D"/>
    <w:rsid w:val="006C7F9A"/>
    <w:rsid w:val="006D0476"/>
    <w:rsid w:val="006D081C"/>
    <w:rsid w:val="006D0869"/>
    <w:rsid w:val="006D0D6F"/>
    <w:rsid w:val="006D1204"/>
    <w:rsid w:val="006D1A36"/>
    <w:rsid w:val="006D1A8B"/>
    <w:rsid w:val="006D1D77"/>
    <w:rsid w:val="006D1DB7"/>
    <w:rsid w:val="006D23B6"/>
    <w:rsid w:val="006D2806"/>
    <w:rsid w:val="006D2874"/>
    <w:rsid w:val="006D2910"/>
    <w:rsid w:val="006D2B02"/>
    <w:rsid w:val="006D2B62"/>
    <w:rsid w:val="006D2D74"/>
    <w:rsid w:val="006D2ED8"/>
    <w:rsid w:val="006D2EE4"/>
    <w:rsid w:val="006D3014"/>
    <w:rsid w:val="006D3185"/>
    <w:rsid w:val="006D34E9"/>
    <w:rsid w:val="006D34F0"/>
    <w:rsid w:val="006D3586"/>
    <w:rsid w:val="006D362C"/>
    <w:rsid w:val="006D3699"/>
    <w:rsid w:val="006D37FD"/>
    <w:rsid w:val="006D39EE"/>
    <w:rsid w:val="006D428C"/>
    <w:rsid w:val="006D44D4"/>
    <w:rsid w:val="006D44EF"/>
    <w:rsid w:val="006D4CC8"/>
    <w:rsid w:val="006D5445"/>
    <w:rsid w:val="006D54AC"/>
    <w:rsid w:val="006D54F4"/>
    <w:rsid w:val="006D56AE"/>
    <w:rsid w:val="006D581E"/>
    <w:rsid w:val="006D5BAF"/>
    <w:rsid w:val="006D607E"/>
    <w:rsid w:val="006D6080"/>
    <w:rsid w:val="006D6206"/>
    <w:rsid w:val="006D6235"/>
    <w:rsid w:val="006D634C"/>
    <w:rsid w:val="006D6953"/>
    <w:rsid w:val="006D6A43"/>
    <w:rsid w:val="006D6A81"/>
    <w:rsid w:val="006D6C7D"/>
    <w:rsid w:val="006D6F3B"/>
    <w:rsid w:val="006D7637"/>
    <w:rsid w:val="006D7827"/>
    <w:rsid w:val="006D79E0"/>
    <w:rsid w:val="006D7CF6"/>
    <w:rsid w:val="006D7D94"/>
    <w:rsid w:val="006E002E"/>
    <w:rsid w:val="006E0875"/>
    <w:rsid w:val="006E094C"/>
    <w:rsid w:val="006E0D24"/>
    <w:rsid w:val="006E0ED0"/>
    <w:rsid w:val="006E0F30"/>
    <w:rsid w:val="006E1081"/>
    <w:rsid w:val="006E1123"/>
    <w:rsid w:val="006E12CF"/>
    <w:rsid w:val="006E16E1"/>
    <w:rsid w:val="006E1B06"/>
    <w:rsid w:val="006E1BA7"/>
    <w:rsid w:val="006E1C11"/>
    <w:rsid w:val="006E1C2F"/>
    <w:rsid w:val="006E1C5C"/>
    <w:rsid w:val="006E1C9C"/>
    <w:rsid w:val="006E1DD1"/>
    <w:rsid w:val="006E1EA2"/>
    <w:rsid w:val="006E20C6"/>
    <w:rsid w:val="006E242E"/>
    <w:rsid w:val="006E2EB3"/>
    <w:rsid w:val="006E3121"/>
    <w:rsid w:val="006E315B"/>
    <w:rsid w:val="006E35A3"/>
    <w:rsid w:val="006E3749"/>
    <w:rsid w:val="006E3881"/>
    <w:rsid w:val="006E3AC3"/>
    <w:rsid w:val="006E3F58"/>
    <w:rsid w:val="006E438A"/>
    <w:rsid w:val="006E43D3"/>
    <w:rsid w:val="006E450E"/>
    <w:rsid w:val="006E46D9"/>
    <w:rsid w:val="006E4F9F"/>
    <w:rsid w:val="006E52D0"/>
    <w:rsid w:val="006E52D5"/>
    <w:rsid w:val="006E5383"/>
    <w:rsid w:val="006E547B"/>
    <w:rsid w:val="006E54DA"/>
    <w:rsid w:val="006E575D"/>
    <w:rsid w:val="006E57B4"/>
    <w:rsid w:val="006E594A"/>
    <w:rsid w:val="006E5C77"/>
    <w:rsid w:val="006E5CBC"/>
    <w:rsid w:val="006E5CE7"/>
    <w:rsid w:val="006E6013"/>
    <w:rsid w:val="006E62E8"/>
    <w:rsid w:val="006E6617"/>
    <w:rsid w:val="006E67BC"/>
    <w:rsid w:val="006E6CAA"/>
    <w:rsid w:val="006E72EB"/>
    <w:rsid w:val="006E74CA"/>
    <w:rsid w:val="006E74DF"/>
    <w:rsid w:val="006E7AC2"/>
    <w:rsid w:val="006E7BB3"/>
    <w:rsid w:val="006E7BD3"/>
    <w:rsid w:val="006F0183"/>
    <w:rsid w:val="006F028E"/>
    <w:rsid w:val="006F029F"/>
    <w:rsid w:val="006F02AC"/>
    <w:rsid w:val="006F0957"/>
    <w:rsid w:val="006F0C79"/>
    <w:rsid w:val="006F0D9E"/>
    <w:rsid w:val="006F1291"/>
    <w:rsid w:val="006F1383"/>
    <w:rsid w:val="006F1C9C"/>
    <w:rsid w:val="006F2145"/>
    <w:rsid w:val="006F2456"/>
    <w:rsid w:val="006F2585"/>
    <w:rsid w:val="006F2D5E"/>
    <w:rsid w:val="006F2F30"/>
    <w:rsid w:val="006F30F1"/>
    <w:rsid w:val="006F3232"/>
    <w:rsid w:val="006F32EC"/>
    <w:rsid w:val="006F3695"/>
    <w:rsid w:val="006F3BBC"/>
    <w:rsid w:val="006F3C2C"/>
    <w:rsid w:val="006F3EE2"/>
    <w:rsid w:val="006F409B"/>
    <w:rsid w:val="006F47DA"/>
    <w:rsid w:val="006F49C9"/>
    <w:rsid w:val="006F4DE1"/>
    <w:rsid w:val="006F4ED1"/>
    <w:rsid w:val="006F5012"/>
    <w:rsid w:val="006F53B2"/>
    <w:rsid w:val="006F54C8"/>
    <w:rsid w:val="006F559A"/>
    <w:rsid w:val="006F55B8"/>
    <w:rsid w:val="006F562D"/>
    <w:rsid w:val="006F5730"/>
    <w:rsid w:val="006F6309"/>
    <w:rsid w:val="006F67E8"/>
    <w:rsid w:val="006F6B7A"/>
    <w:rsid w:val="006F6D28"/>
    <w:rsid w:val="006F6D9D"/>
    <w:rsid w:val="006F6E4C"/>
    <w:rsid w:val="006F71CD"/>
    <w:rsid w:val="006F7533"/>
    <w:rsid w:val="006F7890"/>
    <w:rsid w:val="006F797F"/>
    <w:rsid w:val="006F79F1"/>
    <w:rsid w:val="006F7AF5"/>
    <w:rsid w:val="006F7AFE"/>
    <w:rsid w:val="006F7BA0"/>
    <w:rsid w:val="006F7D20"/>
    <w:rsid w:val="006F7E31"/>
    <w:rsid w:val="0070059F"/>
    <w:rsid w:val="007006E3"/>
    <w:rsid w:val="00700977"/>
    <w:rsid w:val="00700AC5"/>
    <w:rsid w:val="00700AFE"/>
    <w:rsid w:val="00700B18"/>
    <w:rsid w:val="00700BE1"/>
    <w:rsid w:val="00700CC6"/>
    <w:rsid w:val="00701205"/>
    <w:rsid w:val="007013C4"/>
    <w:rsid w:val="007017F1"/>
    <w:rsid w:val="00701802"/>
    <w:rsid w:val="007019A7"/>
    <w:rsid w:val="00701A29"/>
    <w:rsid w:val="00701AC8"/>
    <w:rsid w:val="00701F0D"/>
    <w:rsid w:val="0070202D"/>
    <w:rsid w:val="00702060"/>
    <w:rsid w:val="007020B3"/>
    <w:rsid w:val="00702193"/>
    <w:rsid w:val="0070225A"/>
    <w:rsid w:val="007025AE"/>
    <w:rsid w:val="00702AEE"/>
    <w:rsid w:val="00702AF9"/>
    <w:rsid w:val="00703168"/>
    <w:rsid w:val="00703229"/>
    <w:rsid w:val="00703328"/>
    <w:rsid w:val="007033D2"/>
    <w:rsid w:val="007033FB"/>
    <w:rsid w:val="007039A5"/>
    <w:rsid w:val="00703B33"/>
    <w:rsid w:val="00703C3A"/>
    <w:rsid w:val="00703D05"/>
    <w:rsid w:val="00703D44"/>
    <w:rsid w:val="00704036"/>
    <w:rsid w:val="007040B8"/>
    <w:rsid w:val="00704210"/>
    <w:rsid w:val="00704398"/>
    <w:rsid w:val="00704680"/>
    <w:rsid w:val="00704739"/>
    <w:rsid w:val="007047DE"/>
    <w:rsid w:val="007048FA"/>
    <w:rsid w:val="00704C9F"/>
    <w:rsid w:val="00704EFF"/>
    <w:rsid w:val="00705037"/>
    <w:rsid w:val="007052B0"/>
    <w:rsid w:val="00705827"/>
    <w:rsid w:val="0070596F"/>
    <w:rsid w:val="00705E05"/>
    <w:rsid w:val="00705EDE"/>
    <w:rsid w:val="0070614A"/>
    <w:rsid w:val="00706749"/>
    <w:rsid w:val="00706876"/>
    <w:rsid w:val="007068F1"/>
    <w:rsid w:val="00706982"/>
    <w:rsid w:val="00706C39"/>
    <w:rsid w:val="00706DEB"/>
    <w:rsid w:val="00706F4F"/>
    <w:rsid w:val="00706F8A"/>
    <w:rsid w:val="00707029"/>
    <w:rsid w:val="00707391"/>
    <w:rsid w:val="00707502"/>
    <w:rsid w:val="0070769D"/>
    <w:rsid w:val="007077D3"/>
    <w:rsid w:val="00707A40"/>
    <w:rsid w:val="00707B26"/>
    <w:rsid w:val="00707DEC"/>
    <w:rsid w:val="00707F96"/>
    <w:rsid w:val="00710012"/>
    <w:rsid w:val="007100D9"/>
    <w:rsid w:val="007105A7"/>
    <w:rsid w:val="00710F20"/>
    <w:rsid w:val="00711021"/>
    <w:rsid w:val="00711704"/>
    <w:rsid w:val="0071178C"/>
    <w:rsid w:val="007117BB"/>
    <w:rsid w:val="00711D8D"/>
    <w:rsid w:val="00712561"/>
    <w:rsid w:val="00712630"/>
    <w:rsid w:val="007126DA"/>
    <w:rsid w:val="007127B0"/>
    <w:rsid w:val="007129DB"/>
    <w:rsid w:val="00713057"/>
    <w:rsid w:val="00713311"/>
    <w:rsid w:val="00713335"/>
    <w:rsid w:val="0071346D"/>
    <w:rsid w:val="007139CF"/>
    <w:rsid w:val="00713D06"/>
    <w:rsid w:val="00713DFB"/>
    <w:rsid w:val="00714049"/>
    <w:rsid w:val="00714349"/>
    <w:rsid w:val="00714777"/>
    <w:rsid w:val="0071497B"/>
    <w:rsid w:val="00714A5D"/>
    <w:rsid w:val="00714B88"/>
    <w:rsid w:val="00714F25"/>
    <w:rsid w:val="007151B4"/>
    <w:rsid w:val="00715261"/>
    <w:rsid w:val="007153CF"/>
    <w:rsid w:val="00715500"/>
    <w:rsid w:val="00715523"/>
    <w:rsid w:val="0071587A"/>
    <w:rsid w:val="00715BF1"/>
    <w:rsid w:val="00715DA8"/>
    <w:rsid w:val="0071611D"/>
    <w:rsid w:val="00716452"/>
    <w:rsid w:val="007165E4"/>
    <w:rsid w:val="00716934"/>
    <w:rsid w:val="00716AB5"/>
    <w:rsid w:val="00716B4E"/>
    <w:rsid w:val="00716DA7"/>
    <w:rsid w:val="00716E70"/>
    <w:rsid w:val="00717090"/>
    <w:rsid w:val="00717163"/>
    <w:rsid w:val="00717294"/>
    <w:rsid w:val="0071758B"/>
    <w:rsid w:val="00717762"/>
    <w:rsid w:val="00717846"/>
    <w:rsid w:val="00717A79"/>
    <w:rsid w:val="00717CD0"/>
    <w:rsid w:val="00717DB4"/>
    <w:rsid w:val="00720080"/>
    <w:rsid w:val="00720185"/>
    <w:rsid w:val="00720433"/>
    <w:rsid w:val="00720B12"/>
    <w:rsid w:val="00720D00"/>
    <w:rsid w:val="00720D94"/>
    <w:rsid w:val="00720FC3"/>
    <w:rsid w:val="00721114"/>
    <w:rsid w:val="007212FF"/>
    <w:rsid w:val="0072172C"/>
    <w:rsid w:val="00721E6E"/>
    <w:rsid w:val="00721FB0"/>
    <w:rsid w:val="00722002"/>
    <w:rsid w:val="00722047"/>
    <w:rsid w:val="00722283"/>
    <w:rsid w:val="00722B8A"/>
    <w:rsid w:val="00722D60"/>
    <w:rsid w:val="007230E9"/>
    <w:rsid w:val="0072316D"/>
    <w:rsid w:val="00723BE7"/>
    <w:rsid w:val="00724019"/>
    <w:rsid w:val="00724028"/>
    <w:rsid w:val="007241F8"/>
    <w:rsid w:val="007247EF"/>
    <w:rsid w:val="00724A25"/>
    <w:rsid w:val="00724D71"/>
    <w:rsid w:val="00724ECD"/>
    <w:rsid w:val="0072527F"/>
    <w:rsid w:val="007252B5"/>
    <w:rsid w:val="007255F8"/>
    <w:rsid w:val="007259B4"/>
    <w:rsid w:val="00725ADA"/>
    <w:rsid w:val="00725BFE"/>
    <w:rsid w:val="00725CD9"/>
    <w:rsid w:val="00725DAE"/>
    <w:rsid w:val="00725ECE"/>
    <w:rsid w:val="0072641C"/>
    <w:rsid w:val="00726441"/>
    <w:rsid w:val="007268EA"/>
    <w:rsid w:val="0072699D"/>
    <w:rsid w:val="00726A6D"/>
    <w:rsid w:val="00726CEB"/>
    <w:rsid w:val="00727440"/>
    <w:rsid w:val="0073012A"/>
    <w:rsid w:val="007308E5"/>
    <w:rsid w:val="00730CAE"/>
    <w:rsid w:val="00730D62"/>
    <w:rsid w:val="00730E66"/>
    <w:rsid w:val="0073114A"/>
    <w:rsid w:val="00731689"/>
    <w:rsid w:val="00731CE2"/>
    <w:rsid w:val="00731EEC"/>
    <w:rsid w:val="00731FD7"/>
    <w:rsid w:val="00732082"/>
    <w:rsid w:val="00732128"/>
    <w:rsid w:val="007324F2"/>
    <w:rsid w:val="00732893"/>
    <w:rsid w:val="007328DD"/>
    <w:rsid w:val="0073296E"/>
    <w:rsid w:val="007329B1"/>
    <w:rsid w:val="00732A2D"/>
    <w:rsid w:val="00732A77"/>
    <w:rsid w:val="00732B88"/>
    <w:rsid w:val="00732CB7"/>
    <w:rsid w:val="00732DF1"/>
    <w:rsid w:val="00732EEB"/>
    <w:rsid w:val="007331F2"/>
    <w:rsid w:val="00733644"/>
    <w:rsid w:val="00733A86"/>
    <w:rsid w:val="00733A98"/>
    <w:rsid w:val="00733FFF"/>
    <w:rsid w:val="007341F2"/>
    <w:rsid w:val="0073451D"/>
    <w:rsid w:val="00734865"/>
    <w:rsid w:val="00734882"/>
    <w:rsid w:val="00734903"/>
    <w:rsid w:val="00734E7B"/>
    <w:rsid w:val="00734FD6"/>
    <w:rsid w:val="0073510B"/>
    <w:rsid w:val="00735206"/>
    <w:rsid w:val="00735528"/>
    <w:rsid w:val="007357B1"/>
    <w:rsid w:val="00735846"/>
    <w:rsid w:val="00735968"/>
    <w:rsid w:val="00735ACB"/>
    <w:rsid w:val="00735C73"/>
    <w:rsid w:val="00735CE2"/>
    <w:rsid w:val="00735DB8"/>
    <w:rsid w:val="00735EF2"/>
    <w:rsid w:val="007361DB"/>
    <w:rsid w:val="0073638A"/>
    <w:rsid w:val="007364C3"/>
    <w:rsid w:val="0073657B"/>
    <w:rsid w:val="00736671"/>
    <w:rsid w:val="007366D7"/>
    <w:rsid w:val="00736A4C"/>
    <w:rsid w:val="00736B5F"/>
    <w:rsid w:val="00736C5E"/>
    <w:rsid w:val="00736D61"/>
    <w:rsid w:val="00736EB6"/>
    <w:rsid w:val="00736EF5"/>
    <w:rsid w:val="00737539"/>
    <w:rsid w:val="00737803"/>
    <w:rsid w:val="00737C06"/>
    <w:rsid w:val="00737C17"/>
    <w:rsid w:val="00737CFF"/>
    <w:rsid w:val="00737D27"/>
    <w:rsid w:val="00737D7A"/>
    <w:rsid w:val="00737F6F"/>
    <w:rsid w:val="0074028A"/>
    <w:rsid w:val="00740433"/>
    <w:rsid w:val="00740667"/>
    <w:rsid w:val="007407F2"/>
    <w:rsid w:val="0074096E"/>
    <w:rsid w:val="00740A38"/>
    <w:rsid w:val="00740C24"/>
    <w:rsid w:val="00740C89"/>
    <w:rsid w:val="00741E41"/>
    <w:rsid w:val="007424BF"/>
    <w:rsid w:val="00742888"/>
    <w:rsid w:val="00742C69"/>
    <w:rsid w:val="00742CDF"/>
    <w:rsid w:val="00742D37"/>
    <w:rsid w:val="00743393"/>
    <w:rsid w:val="007436D8"/>
    <w:rsid w:val="007436FA"/>
    <w:rsid w:val="007439BB"/>
    <w:rsid w:val="00743B0A"/>
    <w:rsid w:val="00743C12"/>
    <w:rsid w:val="00743DA5"/>
    <w:rsid w:val="00743E3E"/>
    <w:rsid w:val="00743EEA"/>
    <w:rsid w:val="007440CB"/>
    <w:rsid w:val="00744497"/>
    <w:rsid w:val="00744613"/>
    <w:rsid w:val="007446A6"/>
    <w:rsid w:val="0074477A"/>
    <w:rsid w:val="00744C0F"/>
    <w:rsid w:val="00744D74"/>
    <w:rsid w:val="007450AD"/>
    <w:rsid w:val="0074510B"/>
    <w:rsid w:val="0074513C"/>
    <w:rsid w:val="007457BE"/>
    <w:rsid w:val="00745BC5"/>
    <w:rsid w:val="00745F50"/>
    <w:rsid w:val="00746132"/>
    <w:rsid w:val="00746766"/>
    <w:rsid w:val="00746C8F"/>
    <w:rsid w:val="00746D81"/>
    <w:rsid w:val="00746F97"/>
    <w:rsid w:val="00747186"/>
    <w:rsid w:val="007475D3"/>
    <w:rsid w:val="00747AB4"/>
    <w:rsid w:val="00747B13"/>
    <w:rsid w:val="00747B62"/>
    <w:rsid w:val="00747EDD"/>
    <w:rsid w:val="00750038"/>
    <w:rsid w:val="007500EF"/>
    <w:rsid w:val="00750174"/>
    <w:rsid w:val="00750424"/>
    <w:rsid w:val="007506C1"/>
    <w:rsid w:val="00750DB7"/>
    <w:rsid w:val="00750E2D"/>
    <w:rsid w:val="00750E31"/>
    <w:rsid w:val="00750F69"/>
    <w:rsid w:val="00751125"/>
    <w:rsid w:val="007514D5"/>
    <w:rsid w:val="00751D07"/>
    <w:rsid w:val="00752394"/>
    <w:rsid w:val="0075248E"/>
    <w:rsid w:val="00752757"/>
    <w:rsid w:val="00752794"/>
    <w:rsid w:val="007529A6"/>
    <w:rsid w:val="00752ADA"/>
    <w:rsid w:val="00752CA2"/>
    <w:rsid w:val="00752E2C"/>
    <w:rsid w:val="007532AA"/>
    <w:rsid w:val="00753335"/>
    <w:rsid w:val="00753A34"/>
    <w:rsid w:val="00753AB6"/>
    <w:rsid w:val="00753B22"/>
    <w:rsid w:val="00753CCE"/>
    <w:rsid w:val="00753EEB"/>
    <w:rsid w:val="00753F6D"/>
    <w:rsid w:val="007540CD"/>
    <w:rsid w:val="007540E0"/>
    <w:rsid w:val="00754178"/>
    <w:rsid w:val="00754222"/>
    <w:rsid w:val="0075459A"/>
    <w:rsid w:val="007548B2"/>
    <w:rsid w:val="00754975"/>
    <w:rsid w:val="0075497D"/>
    <w:rsid w:val="00754A72"/>
    <w:rsid w:val="00754B2A"/>
    <w:rsid w:val="00754F36"/>
    <w:rsid w:val="00754F5C"/>
    <w:rsid w:val="0075506B"/>
    <w:rsid w:val="007554B0"/>
    <w:rsid w:val="007555E7"/>
    <w:rsid w:val="00755AEE"/>
    <w:rsid w:val="00755CAA"/>
    <w:rsid w:val="00756761"/>
    <w:rsid w:val="007568EC"/>
    <w:rsid w:val="007569C9"/>
    <w:rsid w:val="00756A15"/>
    <w:rsid w:val="00756A2B"/>
    <w:rsid w:val="00756E49"/>
    <w:rsid w:val="00756E58"/>
    <w:rsid w:val="00756FAC"/>
    <w:rsid w:val="00756FF4"/>
    <w:rsid w:val="007571DE"/>
    <w:rsid w:val="007572CA"/>
    <w:rsid w:val="007573F6"/>
    <w:rsid w:val="007576DD"/>
    <w:rsid w:val="007577AD"/>
    <w:rsid w:val="00757A0C"/>
    <w:rsid w:val="00757B40"/>
    <w:rsid w:val="00757D9D"/>
    <w:rsid w:val="00757DA0"/>
    <w:rsid w:val="00757DF6"/>
    <w:rsid w:val="007602D8"/>
    <w:rsid w:val="00760613"/>
    <w:rsid w:val="007609DE"/>
    <w:rsid w:val="007612FE"/>
    <w:rsid w:val="007613E7"/>
    <w:rsid w:val="00761EC6"/>
    <w:rsid w:val="007620CC"/>
    <w:rsid w:val="00762325"/>
    <w:rsid w:val="0076248D"/>
    <w:rsid w:val="007628D5"/>
    <w:rsid w:val="00762F1D"/>
    <w:rsid w:val="00762FF2"/>
    <w:rsid w:val="00763040"/>
    <w:rsid w:val="007635A9"/>
    <w:rsid w:val="007635F6"/>
    <w:rsid w:val="00763A60"/>
    <w:rsid w:val="00763A74"/>
    <w:rsid w:val="00763B8D"/>
    <w:rsid w:val="00763C74"/>
    <w:rsid w:val="00763D5E"/>
    <w:rsid w:val="0076463E"/>
    <w:rsid w:val="007648EE"/>
    <w:rsid w:val="0076498C"/>
    <w:rsid w:val="00764C48"/>
    <w:rsid w:val="00764D4A"/>
    <w:rsid w:val="007652B2"/>
    <w:rsid w:val="007653D5"/>
    <w:rsid w:val="00765632"/>
    <w:rsid w:val="00765B43"/>
    <w:rsid w:val="00765B4E"/>
    <w:rsid w:val="00765CE3"/>
    <w:rsid w:val="00765E7A"/>
    <w:rsid w:val="00766052"/>
    <w:rsid w:val="00766511"/>
    <w:rsid w:val="007665AD"/>
    <w:rsid w:val="007669D9"/>
    <w:rsid w:val="00766B00"/>
    <w:rsid w:val="00766D34"/>
    <w:rsid w:val="007672D4"/>
    <w:rsid w:val="007673B6"/>
    <w:rsid w:val="00767B0C"/>
    <w:rsid w:val="00767CF9"/>
    <w:rsid w:val="00767E17"/>
    <w:rsid w:val="00767ECC"/>
    <w:rsid w:val="007703E9"/>
    <w:rsid w:val="007707AF"/>
    <w:rsid w:val="00770BEF"/>
    <w:rsid w:val="007711F5"/>
    <w:rsid w:val="00771209"/>
    <w:rsid w:val="0077131D"/>
    <w:rsid w:val="0077160B"/>
    <w:rsid w:val="007717E9"/>
    <w:rsid w:val="00771E0B"/>
    <w:rsid w:val="00771F0C"/>
    <w:rsid w:val="007721CE"/>
    <w:rsid w:val="00772244"/>
    <w:rsid w:val="00772519"/>
    <w:rsid w:val="0077378F"/>
    <w:rsid w:val="00773805"/>
    <w:rsid w:val="00773B23"/>
    <w:rsid w:val="00773D11"/>
    <w:rsid w:val="00773D66"/>
    <w:rsid w:val="00773DF8"/>
    <w:rsid w:val="0077402B"/>
    <w:rsid w:val="007745E1"/>
    <w:rsid w:val="007746A0"/>
    <w:rsid w:val="00774743"/>
    <w:rsid w:val="00774918"/>
    <w:rsid w:val="00774AA7"/>
    <w:rsid w:val="00774F11"/>
    <w:rsid w:val="00775411"/>
    <w:rsid w:val="00775623"/>
    <w:rsid w:val="00775983"/>
    <w:rsid w:val="00775B8E"/>
    <w:rsid w:val="00775CB6"/>
    <w:rsid w:val="00775E7B"/>
    <w:rsid w:val="0077645B"/>
    <w:rsid w:val="0077663F"/>
    <w:rsid w:val="00776712"/>
    <w:rsid w:val="00776BA8"/>
    <w:rsid w:val="00776C96"/>
    <w:rsid w:val="00777042"/>
    <w:rsid w:val="007774E5"/>
    <w:rsid w:val="00777A58"/>
    <w:rsid w:val="00777AAE"/>
    <w:rsid w:val="00777B33"/>
    <w:rsid w:val="00777B9B"/>
    <w:rsid w:val="0078032E"/>
    <w:rsid w:val="0078047B"/>
    <w:rsid w:val="007805A2"/>
    <w:rsid w:val="007805F6"/>
    <w:rsid w:val="00780775"/>
    <w:rsid w:val="00780892"/>
    <w:rsid w:val="0078100C"/>
    <w:rsid w:val="00781199"/>
    <w:rsid w:val="007812B8"/>
    <w:rsid w:val="0078167F"/>
    <w:rsid w:val="00781820"/>
    <w:rsid w:val="0078279A"/>
    <w:rsid w:val="007828BB"/>
    <w:rsid w:val="00782C3F"/>
    <w:rsid w:val="00782C5C"/>
    <w:rsid w:val="00782DB2"/>
    <w:rsid w:val="007832D9"/>
    <w:rsid w:val="0078338A"/>
    <w:rsid w:val="007835D2"/>
    <w:rsid w:val="007837DA"/>
    <w:rsid w:val="0078385B"/>
    <w:rsid w:val="00783A96"/>
    <w:rsid w:val="00783BA2"/>
    <w:rsid w:val="00783CA4"/>
    <w:rsid w:val="00783DF1"/>
    <w:rsid w:val="007847A4"/>
    <w:rsid w:val="007847BD"/>
    <w:rsid w:val="00784AF4"/>
    <w:rsid w:val="00785167"/>
    <w:rsid w:val="007851A7"/>
    <w:rsid w:val="00785378"/>
    <w:rsid w:val="007853EF"/>
    <w:rsid w:val="00785A4F"/>
    <w:rsid w:val="00785C48"/>
    <w:rsid w:val="00785D9B"/>
    <w:rsid w:val="00786039"/>
    <w:rsid w:val="007864C0"/>
    <w:rsid w:val="007865A0"/>
    <w:rsid w:val="0078661A"/>
    <w:rsid w:val="00786729"/>
    <w:rsid w:val="00786A15"/>
    <w:rsid w:val="00786B2D"/>
    <w:rsid w:val="00786B6F"/>
    <w:rsid w:val="0078725E"/>
    <w:rsid w:val="0078762A"/>
    <w:rsid w:val="007879A5"/>
    <w:rsid w:val="00787CDE"/>
    <w:rsid w:val="00787EB2"/>
    <w:rsid w:val="00787F21"/>
    <w:rsid w:val="00787FFA"/>
    <w:rsid w:val="007900A4"/>
    <w:rsid w:val="007900D4"/>
    <w:rsid w:val="007901EE"/>
    <w:rsid w:val="0079033A"/>
    <w:rsid w:val="00790597"/>
    <w:rsid w:val="007906A3"/>
    <w:rsid w:val="0079078C"/>
    <w:rsid w:val="00790805"/>
    <w:rsid w:val="00790BD9"/>
    <w:rsid w:val="00790C30"/>
    <w:rsid w:val="007912E7"/>
    <w:rsid w:val="007915C6"/>
    <w:rsid w:val="007918F0"/>
    <w:rsid w:val="00791A05"/>
    <w:rsid w:val="00791ADD"/>
    <w:rsid w:val="00791AFD"/>
    <w:rsid w:val="00792293"/>
    <w:rsid w:val="00792936"/>
    <w:rsid w:val="007929AA"/>
    <w:rsid w:val="00792BE2"/>
    <w:rsid w:val="00792EF6"/>
    <w:rsid w:val="00792F8C"/>
    <w:rsid w:val="00793240"/>
    <w:rsid w:val="00793DE6"/>
    <w:rsid w:val="00793E2C"/>
    <w:rsid w:val="00793E90"/>
    <w:rsid w:val="00794008"/>
    <w:rsid w:val="0079427B"/>
    <w:rsid w:val="00794303"/>
    <w:rsid w:val="0079451C"/>
    <w:rsid w:val="00794600"/>
    <w:rsid w:val="00794696"/>
    <w:rsid w:val="0079475F"/>
    <w:rsid w:val="007947B0"/>
    <w:rsid w:val="00794877"/>
    <w:rsid w:val="00794995"/>
    <w:rsid w:val="00794AE6"/>
    <w:rsid w:val="00794D00"/>
    <w:rsid w:val="0079502B"/>
    <w:rsid w:val="007950EA"/>
    <w:rsid w:val="0079549A"/>
    <w:rsid w:val="007956BD"/>
    <w:rsid w:val="00795AFD"/>
    <w:rsid w:val="00795E06"/>
    <w:rsid w:val="007964B6"/>
    <w:rsid w:val="00796512"/>
    <w:rsid w:val="0079726A"/>
    <w:rsid w:val="007976D5"/>
    <w:rsid w:val="0079786C"/>
    <w:rsid w:val="00797DF2"/>
    <w:rsid w:val="00797EF5"/>
    <w:rsid w:val="007A08FA"/>
    <w:rsid w:val="007A0AE1"/>
    <w:rsid w:val="007A0C27"/>
    <w:rsid w:val="007A1203"/>
    <w:rsid w:val="007A1953"/>
    <w:rsid w:val="007A198F"/>
    <w:rsid w:val="007A1AD5"/>
    <w:rsid w:val="007A20BF"/>
    <w:rsid w:val="007A20FC"/>
    <w:rsid w:val="007A258C"/>
    <w:rsid w:val="007A2929"/>
    <w:rsid w:val="007A2A82"/>
    <w:rsid w:val="007A2AE9"/>
    <w:rsid w:val="007A2E27"/>
    <w:rsid w:val="007A31CB"/>
    <w:rsid w:val="007A332D"/>
    <w:rsid w:val="007A3413"/>
    <w:rsid w:val="007A37F8"/>
    <w:rsid w:val="007A38FA"/>
    <w:rsid w:val="007A3A46"/>
    <w:rsid w:val="007A3E97"/>
    <w:rsid w:val="007A3EAB"/>
    <w:rsid w:val="007A3F99"/>
    <w:rsid w:val="007A44F9"/>
    <w:rsid w:val="007A451C"/>
    <w:rsid w:val="007A488C"/>
    <w:rsid w:val="007A48BF"/>
    <w:rsid w:val="007A4A80"/>
    <w:rsid w:val="007A4E06"/>
    <w:rsid w:val="007A4EE6"/>
    <w:rsid w:val="007A4FAF"/>
    <w:rsid w:val="007A50E0"/>
    <w:rsid w:val="007A51A4"/>
    <w:rsid w:val="007A5693"/>
    <w:rsid w:val="007A5833"/>
    <w:rsid w:val="007A590B"/>
    <w:rsid w:val="007A5A9C"/>
    <w:rsid w:val="007A5C6D"/>
    <w:rsid w:val="007A5DF0"/>
    <w:rsid w:val="007A5EA9"/>
    <w:rsid w:val="007A6A99"/>
    <w:rsid w:val="007A6BDC"/>
    <w:rsid w:val="007A71EF"/>
    <w:rsid w:val="007A7767"/>
    <w:rsid w:val="007A785A"/>
    <w:rsid w:val="007A799E"/>
    <w:rsid w:val="007A7B16"/>
    <w:rsid w:val="007A7C71"/>
    <w:rsid w:val="007A7D32"/>
    <w:rsid w:val="007A7EDC"/>
    <w:rsid w:val="007B0110"/>
    <w:rsid w:val="007B0186"/>
    <w:rsid w:val="007B0594"/>
    <w:rsid w:val="007B0773"/>
    <w:rsid w:val="007B0AB6"/>
    <w:rsid w:val="007B0B57"/>
    <w:rsid w:val="007B0B66"/>
    <w:rsid w:val="007B0FDC"/>
    <w:rsid w:val="007B10DA"/>
    <w:rsid w:val="007B143A"/>
    <w:rsid w:val="007B14CB"/>
    <w:rsid w:val="007B1547"/>
    <w:rsid w:val="007B1701"/>
    <w:rsid w:val="007B178F"/>
    <w:rsid w:val="007B17E4"/>
    <w:rsid w:val="007B186E"/>
    <w:rsid w:val="007B1B48"/>
    <w:rsid w:val="007B1B8F"/>
    <w:rsid w:val="007B2265"/>
    <w:rsid w:val="007B23A5"/>
    <w:rsid w:val="007B2DC3"/>
    <w:rsid w:val="007B3174"/>
    <w:rsid w:val="007B342A"/>
    <w:rsid w:val="007B362E"/>
    <w:rsid w:val="007B3998"/>
    <w:rsid w:val="007B39DC"/>
    <w:rsid w:val="007B3A82"/>
    <w:rsid w:val="007B3D4A"/>
    <w:rsid w:val="007B3DD0"/>
    <w:rsid w:val="007B4576"/>
    <w:rsid w:val="007B477E"/>
    <w:rsid w:val="007B4D03"/>
    <w:rsid w:val="007B4D0F"/>
    <w:rsid w:val="007B5129"/>
    <w:rsid w:val="007B51B3"/>
    <w:rsid w:val="007B5422"/>
    <w:rsid w:val="007B567C"/>
    <w:rsid w:val="007B5AF0"/>
    <w:rsid w:val="007B5E32"/>
    <w:rsid w:val="007B6224"/>
    <w:rsid w:val="007B6277"/>
    <w:rsid w:val="007B630F"/>
    <w:rsid w:val="007B64A0"/>
    <w:rsid w:val="007B658D"/>
    <w:rsid w:val="007B673C"/>
    <w:rsid w:val="007B6A49"/>
    <w:rsid w:val="007B6AB0"/>
    <w:rsid w:val="007B6D71"/>
    <w:rsid w:val="007B6DE9"/>
    <w:rsid w:val="007B7090"/>
    <w:rsid w:val="007B773E"/>
    <w:rsid w:val="007B77F3"/>
    <w:rsid w:val="007B7F0E"/>
    <w:rsid w:val="007C0041"/>
    <w:rsid w:val="007C01CD"/>
    <w:rsid w:val="007C03C6"/>
    <w:rsid w:val="007C07CE"/>
    <w:rsid w:val="007C09B5"/>
    <w:rsid w:val="007C0A45"/>
    <w:rsid w:val="007C12B3"/>
    <w:rsid w:val="007C12BB"/>
    <w:rsid w:val="007C141E"/>
    <w:rsid w:val="007C1548"/>
    <w:rsid w:val="007C1701"/>
    <w:rsid w:val="007C1733"/>
    <w:rsid w:val="007C19F1"/>
    <w:rsid w:val="007C1C80"/>
    <w:rsid w:val="007C1D75"/>
    <w:rsid w:val="007C1E4B"/>
    <w:rsid w:val="007C1E60"/>
    <w:rsid w:val="007C1EDB"/>
    <w:rsid w:val="007C1F1E"/>
    <w:rsid w:val="007C2096"/>
    <w:rsid w:val="007C214C"/>
    <w:rsid w:val="007C221C"/>
    <w:rsid w:val="007C2284"/>
    <w:rsid w:val="007C2596"/>
    <w:rsid w:val="007C27DE"/>
    <w:rsid w:val="007C2D21"/>
    <w:rsid w:val="007C3675"/>
    <w:rsid w:val="007C37A9"/>
    <w:rsid w:val="007C37F6"/>
    <w:rsid w:val="007C3829"/>
    <w:rsid w:val="007C3947"/>
    <w:rsid w:val="007C40AC"/>
    <w:rsid w:val="007C4249"/>
    <w:rsid w:val="007C42BD"/>
    <w:rsid w:val="007C4739"/>
    <w:rsid w:val="007C4C27"/>
    <w:rsid w:val="007C4D8F"/>
    <w:rsid w:val="007C4E38"/>
    <w:rsid w:val="007C4E42"/>
    <w:rsid w:val="007C53BF"/>
    <w:rsid w:val="007C53FD"/>
    <w:rsid w:val="007C5609"/>
    <w:rsid w:val="007C58E1"/>
    <w:rsid w:val="007C5911"/>
    <w:rsid w:val="007C5B10"/>
    <w:rsid w:val="007C5BE3"/>
    <w:rsid w:val="007C6061"/>
    <w:rsid w:val="007C6486"/>
    <w:rsid w:val="007C665D"/>
    <w:rsid w:val="007C67B0"/>
    <w:rsid w:val="007C696C"/>
    <w:rsid w:val="007C738B"/>
    <w:rsid w:val="007C73F8"/>
    <w:rsid w:val="007C76BF"/>
    <w:rsid w:val="007C7792"/>
    <w:rsid w:val="007C77F5"/>
    <w:rsid w:val="007C7D83"/>
    <w:rsid w:val="007D0020"/>
    <w:rsid w:val="007D0226"/>
    <w:rsid w:val="007D0723"/>
    <w:rsid w:val="007D0950"/>
    <w:rsid w:val="007D0F45"/>
    <w:rsid w:val="007D1046"/>
    <w:rsid w:val="007D1255"/>
    <w:rsid w:val="007D129C"/>
    <w:rsid w:val="007D147B"/>
    <w:rsid w:val="007D1A39"/>
    <w:rsid w:val="007D21CF"/>
    <w:rsid w:val="007D275A"/>
    <w:rsid w:val="007D2829"/>
    <w:rsid w:val="007D2AEF"/>
    <w:rsid w:val="007D2BDF"/>
    <w:rsid w:val="007D2D04"/>
    <w:rsid w:val="007D2DAB"/>
    <w:rsid w:val="007D3065"/>
    <w:rsid w:val="007D3178"/>
    <w:rsid w:val="007D32C7"/>
    <w:rsid w:val="007D3351"/>
    <w:rsid w:val="007D365A"/>
    <w:rsid w:val="007D3BD0"/>
    <w:rsid w:val="007D3C16"/>
    <w:rsid w:val="007D3E1D"/>
    <w:rsid w:val="007D3E65"/>
    <w:rsid w:val="007D423E"/>
    <w:rsid w:val="007D4303"/>
    <w:rsid w:val="007D4363"/>
    <w:rsid w:val="007D4402"/>
    <w:rsid w:val="007D4417"/>
    <w:rsid w:val="007D4683"/>
    <w:rsid w:val="007D4F71"/>
    <w:rsid w:val="007D54D6"/>
    <w:rsid w:val="007D56CC"/>
    <w:rsid w:val="007D57CB"/>
    <w:rsid w:val="007D584C"/>
    <w:rsid w:val="007D599A"/>
    <w:rsid w:val="007D5A71"/>
    <w:rsid w:val="007D5FF5"/>
    <w:rsid w:val="007D6072"/>
    <w:rsid w:val="007D6721"/>
    <w:rsid w:val="007D69E5"/>
    <w:rsid w:val="007D6DA6"/>
    <w:rsid w:val="007D6F87"/>
    <w:rsid w:val="007D72D6"/>
    <w:rsid w:val="007D73B2"/>
    <w:rsid w:val="007D77C7"/>
    <w:rsid w:val="007D7BB5"/>
    <w:rsid w:val="007E0064"/>
    <w:rsid w:val="007E009C"/>
    <w:rsid w:val="007E0452"/>
    <w:rsid w:val="007E0752"/>
    <w:rsid w:val="007E0B66"/>
    <w:rsid w:val="007E0BCD"/>
    <w:rsid w:val="007E0F92"/>
    <w:rsid w:val="007E1062"/>
    <w:rsid w:val="007E1087"/>
    <w:rsid w:val="007E11D4"/>
    <w:rsid w:val="007E151A"/>
    <w:rsid w:val="007E1568"/>
    <w:rsid w:val="007E1D5D"/>
    <w:rsid w:val="007E1E62"/>
    <w:rsid w:val="007E1F60"/>
    <w:rsid w:val="007E23D3"/>
    <w:rsid w:val="007E276B"/>
    <w:rsid w:val="007E27A6"/>
    <w:rsid w:val="007E2835"/>
    <w:rsid w:val="007E296A"/>
    <w:rsid w:val="007E2B45"/>
    <w:rsid w:val="007E2B6B"/>
    <w:rsid w:val="007E2E79"/>
    <w:rsid w:val="007E2F1A"/>
    <w:rsid w:val="007E32D8"/>
    <w:rsid w:val="007E32EA"/>
    <w:rsid w:val="007E335A"/>
    <w:rsid w:val="007E336F"/>
    <w:rsid w:val="007E36D4"/>
    <w:rsid w:val="007E3DA6"/>
    <w:rsid w:val="007E3DF0"/>
    <w:rsid w:val="007E3E9F"/>
    <w:rsid w:val="007E408B"/>
    <w:rsid w:val="007E41EC"/>
    <w:rsid w:val="007E4747"/>
    <w:rsid w:val="007E47F0"/>
    <w:rsid w:val="007E48A3"/>
    <w:rsid w:val="007E49D4"/>
    <w:rsid w:val="007E4AC4"/>
    <w:rsid w:val="007E4B4C"/>
    <w:rsid w:val="007E4B73"/>
    <w:rsid w:val="007E4DF0"/>
    <w:rsid w:val="007E4E3A"/>
    <w:rsid w:val="007E4FE2"/>
    <w:rsid w:val="007E5235"/>
    <w:rsid w:val="007E548D"/>
    <w:rsid w:val="007E5892"/>
    <w:rsid w:val="007E5AA5"/>
    <w:rsid w:val="007E5C5C"/>
    <w:rsid w:val="007E6002"/>
    <w:rsid w:val="007E632A"/>
    <w:rsid w:val="007E6482"/>
    <w:rsid w:val="007E64B6"/>
    <w:rsid w:val="007E64E2"/>
    <w:rsid w:val="007E69B9"/>
    <w:rsid w:val="007E6F8E"/>
    <w:rsid w:val="007E7158"/>
    <w:rsid w:val="007E7905"/>
    <w:rsid w:val="007F0573"/>
    <w:rsid w:val="007F076E"/>
    <w:rsid w:val="007F0F0D"/>
    <w:rsid w:val="007F0F34"/>
    <w:rsid w:val="007F0F83"/>
    <w:rsid w:val="007F1085"/>
    <w:rsid w:val="007F10EB"/>
    <w:rsid w:val="007F1156"/>
    <w:rsid w:val="007F1175"/>
    <w:rsid w:val="007F120E"/>
    <w:rsid w:val="007F13D5"/>
    <w:rsid w:val="007F159B"/>
    <w:rsid w:val="007F188D"/>
    <w:rsid w:val="007F1A2E"/>
    <w:rsid w:val="007F1B46"/>
    <w:rsid w:val="007F1BA2"/>
    <w:rsid w:val="007F1DD3"/>
    <w:rsid w:val="007F1F30"/>
    <w:rsid w:val="007F1F55"/>
    <w:rsid w:val="007F1FEE"/>
    <w:rsid w:val="007F23EA"/>
    <w:rsid w:val="007F2568"/>
    <w:rsid w:val="007F2887"/>
    <w:rsid w:val="007F29DA"/>
    <w:rsid w:val="007F2BE6"/>
    <w:rsid w:val="007F2C2B"/>
    <w:rsid w:val="007F2CC4"/>
    <w:rsid w:val="007F2D07"/>
    <w:rsid w:val="007F30AD"/>
    <w:rsid w:val="007F35AD"/>
    <w:rsid w:val="007F35C6"/>
    <w:rsid w:val="007F35E6"/>
    <w:rsid w:val="007F37A7"/>
    <w:rsid w:val="007F3B3A"/>
    <w:rsid w:val="007F3C78"/>
    <w:rsid w:val="007F3CC2"/>
    <w:rsid w:val="007F3D62"/>
    <w:rsid w:val="007F4845"/>
    <w:rsid w:val="007F4B86"/>
    <w:rsid w:val="007F4E18"/>
    <w:rsid w:val="007F51DF"/>
    <w:rsid w:val="007F5872"/>
    <w:rsid w:val="007F5884"/>
    <w:rsid w:val="007F58D6"/>
    <w:rsid w:val="007F5B18"/>
    <w:rsid w:val="007F5C5E"/>
    <w:rsid w:val="007F5FA9"/>
    <w:rsid w:val="007F67FA"/>
    <w:rsid w:val="007F6813"/>
    <w:rsid w:val="007F6B77"/>
    <w:rsid w:val="007F6C51"/>
    <w:rsid w:val="007F6D30"/>
    <w:rsid w:val="007F6D8F"/>
    <w:rsid w:val="007F707C"/>
    <w:rsid w:val="007F7158"/>
    <w:rsid w:val="007F716D"/>
    <w:rsid w:val="007F7330"/>
    <w:rsid w:val="007F75AA"/>
    <w:rsid w:val="007F7808"/>
    <w:rsid w:val="007F7A06"/>
    <w:rsid w:val="007F7A43"/>
    <w:rsid w:val="007F7BF6"/>
    <w:rsid w:val="007F7C12"/>
    <w:rsid w:val="007F7D2F"/>
    <w:rsid w:val="007F7DCD"/>
    <w:rsid w:val="007F7E24"/>
    <w:rsid w:val="007F7EF8"/>
    <w:rsid w:val="007F7F47"/>
    <w:rsid w:val="00800306"/>
    <w:rsid w:val="00800510"/>
    <w:rsid w:val="00800A3E"/>
    <w:rsid w:val="00800CCD"/>
    <w:rsid w:val="008012B5"/>
    <w:rsid w:val="008016AD"/>
    <w:rsid w:val="00801CA2"/>
    <w:rsid w:val="00801E9B"/>
    <w:rsid w:val="00801EB0"/>
    <w:rsid w:val="00801FD8"/>
    <w:rsid w:val="00802239"/>
    <w:rsid w:val="00802416"/>
    <w:rsid w:val="00802433"/>
    <w:rsid w:val="00802531"/>
    <w:rsid w:val="008026DA"/>
    <w:rsid w:val="008028E0"/>
    <w:rsid w:val="008029D6"/>
    <w:rsid w:val="00802A70"/>
    <w:rsid w:val="00802D4B"/>
    <w:rsid w:val="00802DB8"/>
    <w:rsid w:val="008033D0"/>
    <w:rsid w:val="008036CB"/>
    <w:rsid w:val="008038B5"/>
    <w:rsid w:val="00803AB9"/>
    <w:rsid w:val="00803DF1"/>
    <w:rsid w:val="00803E85"/>
    <w:rsid w:val="0080454C"/>
    <w:rsid w:val="008045F3"/>
    <w:rsid w:val="00804679"/>
    <w:rsid w:val="0080470E"/>
    <w:rsid w:val="00804869"/>
    <w:rsid w:val="00804E56"/>
    <w:rsid w:val="00804E86"/>
    <w:rsid w:val="00804F0A"/>
    <w:rsid w:val="00804F50"/>
    <w:rsid w:val="00805562"/>
    <w:rsid w:val="00805678"/>
    <w:rsid w:val="00805869"/>
    <w:rsid w:val="00805E47"/>
    <w:rsid w:val="00806102"/>
    <w:rsid w:val="00806155"/>
    <w:rsid w:val="00806410"/>
    <w:rsid w:val="0080698A"/>
    <w:rsid w:val="00806A6E"/>
    <w:rsid w:val="00806E29"/>
    <w:rsid w:val="0080743D"/>
    <w:rsid w:val="008074D8"/>
    <w:rsid w:val="00807902"/>
    <w:rsid w:val="00807B82"/>
    <w:rsid w:val="00807E0C"/>
    <w:rsid w:val="00807FD9"/>
    <w:rsid w:val="00810000"/>
    <w:rsid w:val="008104CC"/>
    <w:rsid w:val="00810602"/>
    <w:rsid w:val="00810A88"/>
    <w:rsid w:val="00810DFD"/>
    <w:rsid w:val="00810F27"/>
    <w:rsid w:val="00811320"/>
    <w:rsid w:val="008114A2"/>
    <w:rsid w:val="0081155B"/>
    <w:rsid w:val="0081160D"/>
    <w:rsid w:val="0081185B"/>
    <w:rsid w:val="00811EDA"/>
    <w:rsid w:val="00812717"/>
    <w:rsid w:val="00813033"/>
    <w:rsid w:val="0081334D"/>
    <w:rsid w:val="008133DF"/>
    <w:rsid w:val="0081342E"/>
    <w:rsid w:val="008134D1"/>
    <w:rsid w:val="008135A3"/>
    <w:rsid w:val="008135F2"/>
    <w:rsid w:val="00813760"/>
    <w:rsid w:val="00813972"/>
    <w:rsid w:val="008139DB"/>
    <w:rsid w:val="00813D23"/>
    <w:rsid w:val="00813E8C"/>
    <w:rsid w:val="00813FF4"/>
    <w:rsid w:val="008143F1"/>
    <w:rsid w:val="008145C7"/>
    <w:rsid w:val="0081495B"/>
    <w:rsid w:val="00814A18"/>
    <w:rsid w:val="00814CF8"/>
    <w:rsid w:val="00814F14"/>
    <w:rsid w:val="0081510D"/>
    <w:rsid w:val="00815135"/>
    <w:rsid w:val="00815678"/>
    <w:rsid w:val="00815740"/>
    <w:rsid w:val="00815877"/>
    <w:rsid w:val="0081587A"/>
    <w:rsid w:val="00815904"/>
    <w:rsid w:val="0081595C"/>
    <w:rsid w:val="00815B34"/>
    <w:rsid w:val="0081613F"/>
    <w:rsid w:val="00816201"/>
    <w:rsid w:val="00816B0D"/>
    <w:rsid w:val="00816D4A"/>
    <w:rsid w:val="00816DE9"/>
    <w:rsid w:val="00816FAA"/>
    <w:rsid w:val="0081702D"/>
    <w:rsid w:val="008171B2"/>
    <w:rsid w:val="00817224"/>
    <w:rsid w:val="00817318"/>
    <w:rsid w:val="00817DCF"/>
    <w:rsid w:val="008202BB"/>
    <w:rsid w:val="00820380"/>
    <w:rsid w:val="0082070D"/>
    <w:rsid w:val="00820971"/>
    <w:rsid w:val="00820AFF"/>
    <w:rsid w:val="00821011"/>
    <w:rsid w:val="00821188"/>
    <w:rsid w:val="008212E6"/>
    <w:rsid w:val="008216AB"/>
    <w:rsid w:val="00821A23"/>
    <w:rsid w:val="008220F1"/>
    <w:rsid w:val="0082218D"/>
    <w:rsid w:val="00822199"/>
    <w:rsid w:val="008222C3"/>
    <w:rsid w:val="0082234B"/>
    <w:rsid w:val="008228C9"/>
    <w:rsid w:val="00822C04"/>
    <w:rsid w:val="00822E0D"/>
    <w:rsid w:val="00822EAD"/>
    <w:rsid w:val="00823476"/>
    <w:rsid w:val="0082358F"/>
    <w:rsid w:val="00823AB9"/>
    <w:rsid w:val="00823FD3"/>
    <w:rsid w:val="008241EC"/>
    <w:rsid w:val="008246B2"/>
    <w:rsid w:val="008249C3"/>
    <w:rsid w:val="00824CAD"/>
    <w:rsid w:val="00824CC5"/>
    <w:rsid w:val="00824E59"/>
    <w:rsid w:val="00824F7E"/>
    <w:rsid w:val="008251B7"/>
    <w:rsid w:val="00825295"/>
    <w:rsid w:val="0082535A"/>
    <w:rsid w:val="008253EC"/>
    <w:rsid w:val="00825452"/>
    <w:rsid w:val="008258B7"/>
    <w:rsid w:val="00825A34"/>
    <w:rsid w:val="008262FD"/>
    <w:rsid w:val="00826407"/>
    <w:rsid w:val="00826785"/>
    <w:rsid w:val="008269AB"/>
    <w:rsid w:val="00826D4E"/>
    <w:rsid w:val="00826F5A"/>
    <w:rsid w:val="0082747C"/>
    <w:rsid w:val="008276E3"/>
    <w:rsid w:val="00827A0A"/>
    <w:rsid w:val="00827A5B"/>
    <w:rsid w:val="00827B4D"/>
    <w:rsid w:val="00827E08"/>
    <w:rsid w:val="00827EA4"/>
    <w:rsid w:val="00827EF3"/>
    <w:rsid w:val="00830217"/>
    <w:rsid w:val="0083072C"/>
    <w:rsid w:val="00830796"/>
    <w:rsid w:val="00830994"/>
    <w:rsid w:val="00830A01"/>
    <w:rsid w:val="00830E48"/>
    <w:rsid w:val="00830E61"/>
    <w:rsid w:val="008311FF"/>
    <w:rsid w:val="00831665"/>
    <w:rsid w:val="008318DF"/>
    <w:rsid w:val="008318E6"/>
    <w:rsid w:val="00831B6F"/>
    <w:rsid w:val="00831C48"/>
    <w:rsid w:val="00831D33"/>
    <w:rsid w:val="00831DA9"/>
    <w:rsid w:val="00831E2D"/>
    <w:rsid w:val="00831F15"/>
    <w:rsid w:val="00832012"/>
    <w:rsid w:val="008322BE"/>
    <w:rsid w:val="00832424"/>
    <w:rsid w:val="00832952"/>
    <w:rsid w:val="00832CC9"/>
    <w:rsid w:val="00832D2F"/>
    <w:rsid w:val="00832F45"/>
    <w:rsid w:val="00833534"/>
    <w:rsid w:val="008336B0"/>
    <w:rsid w:val="0083393D"/>
    <w:rsid w:val="00833A72"/>
    <w:rsid w:val="00833B01"/>
    <w:rsid w:val="00833B7F"/>
    <w:rsid w:val="00833C3C"/>
    <w:rsid w:val="0083405A"/>
    <w:rsid w:val="008340A6"/>
    <w:rsid w:val="008340F4"/>
    <w:rsid w:val="0083494C"/>
    <w:rsid w:val="008354B7"/>
    <w:rsid w:val="00835659"/>
    <w:rsid w:val="00835884"/>
    <w:rsid w:val="00835DC6"/>
    <w:rsid w:val="00835E05"/>
    <w:rsid w:val="00836202"/>
    <w:rsid w:val="008362C5"/>
    <w:rsid w:val="00836491"/>
    <w:rsid w:val="0083655F"/>
    <w:rsid w:val="008369E2"/>
    <w:rsid w:val="00836B44"/>
    <w:rsid w:val="00836C9B"/>
    <w:rsid w:val="0083708F"/>
    <w:rsid w:val="0083714A"/>
    <w:rsid w:val="008371BE"/>
    <w:rsid w:val="00837249"/>
    <w:rsid w:val="00837304"/>
    <w:rsid w:val="0083749B"/>
    <w:rsid w:val="00837742"/>
    <w:rsid w:val="008377CD"/>
    <w:rsid w:val="00837A0A"/>
    <w:rsid w:val="00837B7A"/>
    <w:rsid w:val="00837C4E"/>
    <w:rsid w:val="00837CC2"/>
    <w:rsid w:val="0084036C"/>
    <w:rsid w:val="00840BD8"/>
    <w:rsid w:val="00841164"/>
    <w:rsid w:val="00841230"/>
    <w:rsid w:val="00841617"/>
    <w:rsid w:val="00841634"/>
    <w:rsid w:val="0084233E"/>
    <w:rsid w:val="008423A8"/>
    <w:rsid w:val="0084241C"/>
    <w:rsid w:val="0084242D"/>
    <w:rsid w:val="008427C7"/>
    <w:rsid w:val="0084311B"/>
    <w:rsid w:val="008438E1"/>
    <w:rsid w:val="00843C51"/>
    <w:rsid w:val="00843D94"/>
    <w:rsid w:val="00843DE8"/>
    <w:rsid w:val="00844143"/>
    <w:rsid w:val="0084420B"/>
    <w:rsid w:val="00844293"/>
    <w:rsid w:val="0084443F"/>
    <w:rsid w:val="008448F6"/>
    <w:rsid w:val="00844A59"/>
    <w:rsid w:val="00844EA1"/>
    <w:rsid w:val="008450CB"/>
    <w:rsid w:val="008450D3"/>
    <w:rsid w:val="00845552"/>
    <w:rsid w:val="008458A3"/>
    <w:rsid w:val="00845BFB"/>
    <w:rsid w:val="00845C14"/>
    <w:rsid w:val="00845D6B"/>
    <w:rsid w:val="00846460"/>
    <w:rsid w:val="0084647C"/>
    <w:rsid w:val="008467D3"/>
    <w:rsid w:val="008468AC"/>
    <w:rsid w:val="00846915"/>
    <w:rsid w:val="0084695B"/>
    <w:rsid w:val="00846DCF"/>
    <w:rsid w:val="008470C1"/>
    <w:rsid w:val="0084748B"/>
    <w:rsid w:val="00847A91"/>
    <w:rsid w:val="00847AF5"/>
    <w:rsid w:val="00847CCE"/>
    <w:rsid w:val="008503A2"/>
    <w:rsid w:val="00850480"/>
    <w:rsid w:val="0085058A"/>
    <w:rsid w:val="00850975"/>
    <w:rsid w:val="00850D26"/>
    <w:rsid w:val="008513ED"/>
    <w:rsid w:val="00851743"/>
    <w:rsid w:val="0085197D"/>
    <w:rsid w:val="00851B2D"/>
    <w:rsid w:val="00851C9B"/>
    <w:rsid w:val="00851CCF"/>
    <w:rsid w:val="00851CE9"/>
    <w:rsid w:val="00851D0C"/>
    <w:rsid w:val="0085222E"/>
    <w:rsid w:val="00852313"/>
    <w:rsid w:val="00852880"/>
    <w:rsid w:val="00852981"/>
    <w:rsid w:val="00852A50"/>
    <w:rsid w:val="00853967"/>
    <w:rsid w:val="00853C2A"/>
    <w:rsid w:val="00853E04"/>
    <w:rsid w:val="0085421F"/>
    <w:rsid w:val="0085427A"/>
    <w:rsid w:val="00854497"/>
    <w:rsid w:val="0085464D"/>
    <w:rsid w:val="0085478E"/>
    <w:rsid w:val="00854C73"/>
    <w:rsid w:val="00854F9C"/>
    <w:rsid w:val="008550E2"/>
    <w:rsid w:val="008552CE"/>
    <w:rsid w:val="00855872"/>
    <w:rsid w:val="008558F3"/>
    <w:rsid w:val="00855A02"/>
    <w:rsid w:val="00855C8A"/>
    <w:rsid w:val="00855CFB"/>
    <w:rsid w:val="0085616D"/>
    <w:rsid w:val="008561D9"/>
    <w:rsid w:val="008567F5"/>
    <w:rsid w:val="008569BA"/>
    <w:rsid w:val="00856C97"/>
    <w:rsid w:val="00856CAB"/>
    <w:rsid w:val="00856E6E"/>
    <w:rsid w:val="00856EC4"/>
    <w:rsid w:val="00857004"/>
    <w:rsid w:val="00857028"/>
    <w:rsid w:val="0085702B"/>
    <w:rsid w:val="00857038"/>
    <w:rsid w:val="008570AA"/>
    <w:rsid w:val="00857C1E"/>
    <w:rsid w:val="00857E98"/>
    <w:rsid w:val="008605F6"/>
    <w:rsid w:val="0086084E"/>
    <w:rsid w:val="00860B26"/>
    <w:rsid w:val="00860FAB"/>
    <w:rsid w:val="00860FC5"/>
    <w:rsid w:val="00860FD9"/>
    <w:rsid w:val="00861060"/>
    <w:rsid w:val="008611D0"/>
    <w:rsid w:val="008617C5"/>
    <w:rsid w:val="00861F8A"/>
    <w:rsid w:val="00862512"/>
    <w:rsid w:val="00862931"/>
    <w:rsid w:val="00862F6B"/>
    <w:rsid w:val="00862FC3"/>
    <w:rsid w:val="00863166"/>
    <w:rsid w:val="008635D6"/>
    <w:rsid w:val="00863891"/>
    <w:rsid w:val="00863A6A"/>
    <w:rsid w:val="00863C48"/>
    <w:rsid w:val="00863D7C"/>
    <w:rsid w:val="00863F2C"/>
    <w:rsid w:val="00863F8F"/>
    <w:rsid w:val="008642C8"/>
    <w:rsid w:val="008648E2"/>
    <w:rsid w:val="00864BF7"/>
    <w:rsid w:val="00864F2F"/>
    <w:rsid w:val="00865402"/>
    <w:rsid w:val="00865CE8"/>
    <w:rsid w:val="00865FDB"/>
    <w:rsid w:val="008664B8"/>
    <w:rsid w:val="008664D0"/>
    <w:rsid w:val="008666F0"/>
    <w:rsid w:val="00866905"/>
    <w:rsid w:val="008669E1"/>
    <w:rsid w:val="00866F45"/>
    <w:rsid w:val="00867086"/>
    <w:rsid w:val="00867265"/>
    <w:rsid w:val="008673A8"/>
    <w:rsid w:val="00867837"/>
    <w:rsid w:val="00867B6F"/>
    <w:rsid w:val="00867B77"/>
    <w:rsid w:val="008701B6"/>
    <w:rsid w:val="00870231"/>
    <w:rsid w:val="00870789"/>
    <w:rsid w:val="008707B5"/>
    <w:rsid w:val="008709AB"/>
    <w:rsid w:val="00870EA8"/>
    <w:rsid w:val="00870EFF"/>
    <w:rsid w:val="008710CF"/>
    <w:rsid w:val="00871171"/>
    <w:rsid w:val="008712C5"/>
    <w:rsid w:val="008712E8"/>
    <w:rsid w:val="008715A9"/>
    <w:rsid w:val="00871D55"/>
    <w:rsid w:val="00871D5F"/>
    <w:rsid w:val="00871DDD"/>
    <w:rsid w:val="00871E27"/>
    <w:rsid w:val="008720CA"/>
    <w:rsid w:val="0087299C"/>
    <w:rsid w:val="00872C74"/>
    <w:rsid w:val="00872CEB"/>
    <w:rsid w:val="00872EFA"/>
    <w:rsid w:val="00873138"/>
    <w:rsid w:val="00873534"/>
    <w:rsid w:val="008736BC"/>
    <w:rsid w:val="00873780"/>
    <w:rsid w:val="008738A2"/>
    <w:rsid w:val="00873CC6"/>
    <w:rsid w:val="00873E1C"/>
    <w:rsid w:val="00873EE2"/>
    <w:rsid w:val="00873EF0"/>
    <w:rsid w:val="00873F5E"/>
    <w:rsid w:val="00873FF3"/>
    <w:rsid w:val="008740F7"/>
    <w:rsid w:val="008744C8"/>
    <w:rsid w:val="00874613"/>
    <w:rsid w:val="00874636"/>
    <w:rsid w:val="00874726"/>
    <w:rsid w:val="008748E3"/>
    <w:rsid w:val="00874A51"/>
    <w:rsid w:val="00874CD0"/>
    <w:rsid w:val="008756D8"/>
    <w:rsid w:val="00875B25"/>
    <w:rsid w:val="00875B83"/>
    <w:rsid w:val="00875CBE"/>
    <w:rsid w:val="00875DCB"/>
    <w:rsid w:val="00875DFF"/>
    <w:rsid w:val="008760FA"/>
    <w:rsid w:val="00876313"/>
    <w:rsid w:val="008769F8"/>
    <w:rsid w:val="00876AD7"/>
    <w:rsid w:val="00876B9F"/>
    <w:rsid w:val="00876D6E"/>
    <w:rsid w:val="00876FDC"/>
    <w:rsid w:val="00877A30"/>
    <w:rsid w:val="00877C90"/>
    <w:rsid w:val="00877DBE"/>
    <w:rsid w:val="00880475"/>
    <w:rsid w:val="008806A6"/>
    <w:rsid w:val="008808B4"/>
    <w:rsid w:val="00881007"/>
    <w:rsid w:val="0088121C"/>
    <w:rsid w:val="00881245"/>
    <w:rsid w:val="0088145C"/>
    <w:rsid w:val="00881560"/>
    <w:rsid w:val="0088159C"/>
    <w:rsid w:val="00881644"/>
    <w:rsid w:val="008816F7"/>
    <w:rsid w:val="00881DDE"/>
    <w:rsid w:val="00881EDB"/>
    <w:rsid w:val="00882000"/>
    <w:rsid w:val="0088242F"/>
    <w:rsid w:val="008828ED"/>
    <w:rsid w:val="00882BE9"/>
    <w:rsid w:val="00882D98"/>
    <w:rsid w:val="00882DAC"/>
    <w:rsid w:val="00882E03"/>
    <w:rsid w:val="008830E7"/>
    <w:rsid w:val="0088314D"/>
    <w:rsid w:val="00883268"/>
    <w:rsid w:val="0088338D"/>
    <w:rsid w:val="0088342F"/>
    <w:rsid w:val="00883532"/>
    <w:rsid w:val="00883689"/>
    <w:rsid w:val="00883740"/>
    <w:rsid w:val="008837E0"/>
    <w:rsid w:val="0088384E"/>
    <w:rsid w:val="00883C43"/>
    <w:rsid w:val="00883CA1"/>
    <w:rsid w:val="00884217"/>
    <w:rsid w:val="0088426B"/>
    <w:rsid w:val="00884499"/>
    <w:rsid w:val="0088474B"/>
    <w:rsid w:val="00884840"/>
    <w:rsid w:val="00884BA7"/>
    <w:rsid w:val="00884C30"/>
    <w:rsid w:val="00884D0E"/>
    <w:rsid w:val="00884E03"/>
    <w:rsid w:val="00884FF4"/>
    <w:rsid w:val="008856BE"/>
    <w:rsid w:val="00885EFD"/>
    <w:rsid w:val="00886575"/>
    <w:rsid w:val="00886691"/>
    <w:rsid w:val="008867AB"/>
    <w:rsid w:val="00886FB9"/>
    <w:rsid w:val="008871B8"/>
    <w:rsid w:val="0088749D"/>
    <w:rsid w:val="008876E0"/>
    <w:rsid w:val="00887792"/>
    <w:rsid w:val="00887B6A"/>
    <w:rsid w:val="00887DC3"/>
    <w:rsid w:val="00887E1E"/>
    <w:rsid w:val="00887F51"/>
    <w:rsid w:val="0089049D"/>
    <w:rsid w:val="00890665"/>
    <w:rsid w:val="00890738"/>
    <w:rsid w:val="008907B5"/>
    <w:rsid w:val="008909FC"/>
    <w:rsid w:val="00890B47"/>
    <w:rsid w:val="0089126C"/>
    <w:rsid w:val="008912F1"/>
    <w:rsid w:val="00891313"/>
    <w:rsid w:val="00891318"/>
    <w:rsid w:val="00891414"/>
    <w:rsid w:val="0089159A"/>
    <w:rsid w:val="008916FD"/>
    <w:rsid w:val="00891977"/>
    <w:rsid w:val="00891AA5"/>
    <w:rsid w:val="0089213A"/>
    <w:rsid w:val="00892224"/>
    <w:rsid w:val="0089232A"/>
    <w:rsid w:val="008924D0"/>
    <w:rsid w:val="00892576"/>
    <w:rsid w:val="00892635"/>
    <w:rsid w:val="008927F6"/>
    <w:rsid w:val="00892864"/>
    <w:rsid w:val="008928D5"/>
    <w:rsid w:val="008928F9"/>
    <w:rsid w:val="00892B01"/>
    <w:rsid w:val="00892D02"/>
    <w:rsid w:val="00892D60"/>
    <w:rsid w:val="008930DD"/>
    <w:rsid w:val="0089326D"/>
    <w:rsid w:val="0089351C"/>
    <w:rsid w:val="008939B7"/>
    <w:rsid w:val="00893B46"/>
    <w:rsid w:val="00893D53"/>
    <w:rsid w:val="00893D91"/>
    <w:rsid w:val="00893E4D"/>
    <w:rsid w:val="00893EFE"/>
    <w:rsid w:val="00893F4F"/>
    <w:rsid w:val="00893F50"/>
    <w:rsid w:val="008947EA"/>
    <w:rsid w:val="008947ED"/>
    <w:rsid w:val="00895237"/>
    <w:rsid w:val="008958AE"/>
    <w:rsid w:val="00895FAB"/>
    <w:rsid w:val="008966DB"/>
    <w:rsid w:val="00896842"/>
    <w:rsid w:val="00896961"/>
    <w:rsid w:val="00896AE9"/>
    <w:rsid w:val="00896B11"/>
    <w:rsid w:val="00896DBD"/>
    <w:rsid w:val="00896F94"/>
    <w:rsid w:val="008971EA"/>
    <w:rsid w:val="008972D2"/>
    <w:rsid w:val="00897345"/>
    <w:rsid w:val="008974A0"/>
    <w:rsid w:val="008975B3"/>
    <w:rsid w:val="00897660"/>
    <w:rsid w:val="00897B41"/>
    <w:rsid w:val="00897D00"/>
    <w:rsid w:val="008A00BE"/>
    <w:rsid w:val="008A020E"/>
    <w:rsid w:val="008A028B"/>
    <w:rsid w:val="008A02CC"/>
    <w:rsid w:val="008A0413"/>
    <w:rsid w:val="008A07D9"/>
    <w:rsid w:val="008A0A36"/>
    <w:rsid w:val="008A0C16"/>
    <w:rsid w:val="008A148C"/>
    <w:rsid w:val="008A14FD"/>
    <w:rsid w:val="008A1501"/>
    <w:rsid w:val="008A16E0"/>
    <w:rsid w:val="008A2268"/>
    <w:rsid w:val="008A22E3"/>
    <w:rsid w:val="008A2355"/>
    <w:rsid w:val="008A2833"/>
    <w:rsid w:val="008A2B8A"/>
    <w:rsid w:val="008A330C"/>
    <w:rsid w:val="008A3466"/>
    <w:rsid w:val="008A355E"/>
    <w:rsid w:val="008A3937"/>
    <w:rsid w:val="008A3971"/>
    <w:rsid w:val="008A39EA"/>
    <w:rsid w:val="008A3A77"/>
    <w:rsid w:val="008A413F"/>
    <w:rsid w:val="008A42D1"/>
    <w:rsid w:val="008A42E8"/>
    <w:rsid w:val="008A4320"/>
    <w:rsid w:val="008A443F"/>
    <w:rsid w:val="008A4468"/>
    <w:rsid w:val="008A4500"/>
    <w:rsid w:val="008A529C"/>
    <w:rsid w:val="008A52D5"/>
    <w:rsid w:val="008A576B"/>
    <w:rsid w:val="008A5E2A"/>
    <w:rsid w:val="008A60CE"/>
    <w:rsid w:val="008A619F"/>
    <w:rsid w:val="008A6411"/>
    <w:rsid w:val="008A6434"/>
    <w:rsid w:val="008A649F"/>
    <w:rsid w:val="008A6509"/>
    <w:rsid w:val="008A67DF"/>
    <w:rsid w:val="008A6870"/>
    <w:rsid w:val="008A69A4"/>
    <w:rsid w:val="008A6A96"/>
    <w:rsid w:val="008A6BA1"/>
    <w:rsid w:val="008A6ECE"/>
    <w:rsid w:val="008A7330"/>
    <w:rsid w:val="008A797F"/>
    <w:rsid w:val="008A79A6"/>
    <w:rsid w:val="008A7CE1"/>
    <w:rsid w:val="008A7CEC"/>
    <w:rsid w:val="008B0075"/>
    <w:rsid w:val="008B00CA"/>
    <w:rsid w:val="008B0171"/>
    <w:rsid w:val="008B01EA"/>
    <w:rsid w:val="008B0478"/>
    <w:rsid w:val="008B049E"/>
    <w:rsid w:val="008B09B4"/>
    <w:rsid w:val="008B0D2A"/>
    <w:rsid w:val="008B0DE3"/>
    <w:rsid w:val="008B0E50"/>
    <w:rsid w:val="008B0EA7"/>
    <w:rsid w:val="008B0FD2"/>
    <w:rsid w:val="008B1193"/>
    <w:rsid w:val="008B119C"/>
    <w:rsid w:val="008B155A"/>
    <w:rsid w:val="008B1769"/>
    <w:rsid w:val="008B1A63"/>
    <w:rsid w:val="008B1AF8"/>
    <w:rsid w:val="008B1B13"/>
    <w:rsid w:val="008B1E82"/>
    <w:rsid w:val="008B2182"/>
    <w:rsid w:val="008B2197"/>
    <w:rsid w:val="008B259B"/>
    <w:rsid w:val="008B280A"/>
    <w:rsid w:val="008B280D"/>
    <w:rsid w:val="008B2877"/>
    <w:rsid w:val="008B2DAB"/>
    <w:rsid w:val="008B2E51"/>
    <w:rsid w:val="008B30F2"/>
    <w:rsid w:val="008B3537"/>
    <w:rsid w:val="008B3A05"/>
    <w:rsid w:val="008B3C23"/>
    <w:rsid w:val="008B3D2B"/>
    <w:rsid w:val="008B3D57"/>
    <w:rsid w:val="008B3F96"/>
    <w:rsid w:val="008B4128"/>
    <w:rsid w:val="008B4389"/>
    <w:rsid w:val="008B46D2"/>
    <w:rsid w:val="008B4788"/>
    <w:rsid w:val="008B4A11"/>
    <w:rsid w:val="008B4D24"/>
    <w:rsid w:val="008B4DC9"/>
    <w:rsid w:val="008B54EC"/>
    <w:rsid w:val="008B56F5"/>
    <w:rsid w:val="008B5EC5"/>
    <w:rsid w:val="008B6230"/>
    <w:rsid w:val="008B658B"/>
    <w:rsid w:val="008B6649"/>
    <w:rsid w:val="008B6770"/>
    <w:rsid w:val="008B67B2"/>
    <w:rsid w:val="008B6980"/>
    <w:rsid w:val="008B6A5D"/>
    <w:rsid w:val="008B6C02"/>
    <w:rsid w:val="008B71C9"/>
    <w:rsid w:val="008B76E8"/>
    <w:rsid w:val="008B7721"/>
    <w:rsid w:val="008B79D4"/>
    <w:rsid w:val="008B7B86"/>
    <w:rsid w:val="008B7EAB"/>
    <w:rsid w:val="008C01EB"/>
    <w:rsid w:val="008C037C"/>
    <w:rsid w:val="008C0590"/>
    <w:rsid w:val="008C0783"/>
    <w:rsid w:val="008C08AA"/>
    <w:rsid w:val="008C096C"/>
    <w:rsid w:val="008C0A49"/>
    <w:rsid w:val="008C0CD9"/>
    <w:rsid w:val="008C10E2"/>
    <w:rsid w:val="008C11FC"/>
    <w:rsid w:val="008C13B5"/>
    <w:rsid w:val="008C1493"/>
    <w:rsid w:val="008C1979"/>
    <w:rsid w:val="008C1A6D"/>
    <w:rsid w:val="008C1A84"/>
    <w:rsid w:val="008C1BEA"/>
    <w:rsid w:val="008C1C52"/>
    <w:rsid w:val="008C1EE9"/>
    <w:rsid w:val="008C219C"/>
    <w:rsid w:val="008C21D3"/>
    <w:rsid w:val="008C26DA"/>
    <w:rsid w:val="008C2C00"/>
    <w:rsid w:val="008C31BE"/>
    <w:rsid w:val="008C3758"/>
    <w:rsid w:val="008C3769"/>
    <w:rsid w:val="008C4195"/>
    <w:rsid w:val="008C458E"/>
    <w:rsid w:val="008C4657"/>
    <w:rsid w:val="008C4B3B"/>
    <w:rsid w:val="008C4EB4"/>
    <w:rsid w:val="008C5171"/>
    <w:rsid w:val="008C527E"/>
    <w:rsid w:val="008C5355"/>
    <w:rsid w:val="008C55E4"/>
    <w:rsid w:val="008C59CD"/>
    <w:rsid w:val="008C5F03"/>
    <w:rsid w:val="008C5F2F"/>
    <w:rsid w:val="008C6165"/>
    <w:rsid w:val="008C6235"/>
    <w:rsid w:val="008C62E3"/>
    <w:rsid w:val="008C6430"/>
    <w:rsid w:val="008C65B3"/>
    <w:rsid w:val="008C6669"/>
    <w:rsid w:val="008C666B"/>
    <w:rsid w:val="008C685F"/>
    <w:rsid w:val="008C6A38"/>
    <w:rsid w:val="008C6B13"/>
    <w:rsid w:val="008C6B51"/>
    <w:rsid w:val="008C6DDB"/>
    <w:rsid w:val="008C6F64"/>
    <w:rsid w:val="008C72BC"/>
    <w:rsid w:val="008C738A"/>
    <w:rsid w:val="008C751F"/>
    <w:rsid w:val="008C77E2"/>
    <w:rsid w:val="008C786C"/>
    <w:rsid w:val="008C78CC"/>
    <w:rsid w:val="008C79BB"/>
    <w:rsid w:val="008C7F40"/>
    <w:rsid w:val="008D03DB"/>
    <w:rsid w:val="008D07BF"/>
    <w:rsid w:val="008D08B4"/>
    <w:rsid w:val="008D08F8"/>
    <w:rsid w:val="008D09DA"/>
    <w:rsid w:val="008D0DFC"/>
    <w:rsid w:val="008D0FC8"/>
    <w:rsid w:val="008D104A"/>
    <w:rsid w:val="008D1143"/>
    <w:rsid w:val="008D121E"/>
    <w:rsid w:val="008D1368"/>
    <w:rsid w:val="008D1720"/>
    <w:rsid w:val="008D17D0"/>
    <w:rsid w:val="008D17F0"/>
    <w:rsid w:val="008D1BDD"/>
    <w:rsid w:val="008D1F48"/>
    <w:rsid w:val="008D2154"/>
    <w:rsid w:val="008D22EE"/>
    <w:rsid w:val="008D2465"/>
    <w:rsid w:val="008D278E"/>
    <w:rsid w:val="008D27A6"/>
    <w:rsid w:val="008D2CE2"/>
    <w:rsid w:val="008D30E7"/>
    <w:rsid w:val="008D315D"/>
    <w:rsid w:val="008D3268"/>
    <w:rsid w:val="008D3351"/>
    <w:rsid w:val="008D384A"/>
    <w:rsid w:val="008D3909"/>
    <w:rsid w:val="008D3D6A"/>
    <w:rsid w:val="008D414C"/>
    <w:rsid w:val="008D420B"/>
    <w:rsid w:val="008D42E0"/>
    <w:rsid w:val="008D4304"/>
    <w:rsid w:val="008D44F6"/>
    <w:rsid w:val="008D45B2"/>
    <w:rsid w:val="008D47A0"/>
    <w:rsid w:val="008D4807"/>
    <w:rsid w:val="008D4880"/>
    <w:rsid w:val="008D492E"/>
    <w:rsid w:val="008D4C1A"/>
    <w:rsid w:val="008D4F44"/>
    <w:rsid w:val="008D5110"/>
    <w:rsid w:val="008D5205"/>
    <w:rsid w:val="008D523E"/>
    <w:rsid w:val="008D52A1"/>
    <w:rsid w:val="008D5404"/>
    <w:rsid w:val="008D56AF"/>
    <w:rsid w:val="008D56D5"/>
    <w:rsid w:val="008D5BE5"/>
    <w:rsid w:val="008D5C22"/>
    <w:rsid w:val="008D5F94"/>
    <w:rsid w:val="008D6142"/>
    <w:rsid w:val="008D6A34"/>
    <w:rsid w:val="008D7138"/>
    <w:rsid w:val="008D7158"/>
    <w:rsid w:val="008D79FB"/>
    <w:rsid w:val="008D7A37"/>
    <w:rsid w:val="008D7BE2"/>
    <w:rsid w:val="008E0353"/>
    <w:rsid w:val="008E06C5"/>
    <w:rsid w:val="008E0C09"/>
    <w:rsid w:val="008E0CD9"/>
    <w:rsid w:val="008E1200"/>
    <w:rsid w:val="008E14CE"/>
    <w:rsid w:val="008E171C"/>
    <w:rsid w:val="008E17C0"/>
    <w:rsid w:val="008E17C5"/>
    <w:rsid w:val="008E1AA7"/>
    <w:rsid w:val="008E1C79"/>
    <w:rsid w:val="008E1F05"/>
    <w:rsid w:val="008E2046"/>
    <w:rsid w:val="008E222F"/>
    <w:rsid w:val="008E2366"/>
    <w:rsid w:val="008E24D2"/>
    <w:rsid w:val="008E2703"/>
    <w:rsid w:val="008E2844"/>
    <w:rsid w:val="008E2A1E"/>
    <w:rsid w:val="008E2BB5"/>
    <w:rsid w:val="008E2BEF"/>
    <w:rsid w:val="008E2DDE"/>
    <w:rsid w:val="008E2EB3"/>
    <w:rsid w:val="008E320D"/>
    <w:rsid w:val="008E32AB"/>
    <w:rsid w:val="008E32C5"/>
    <w:rsid w:val="008E3657"/>
    <w:rsid w:val="008E376C"/>
    <w:rsid w:val="008E378D"/>
    <w:rsid w:val="008E3B36"/>
    <w:rsid w:val="008E3C06"/>
    <w:rsid w:val="008E4036"/>
    <w:rsid w:val="008E4068"/>
    <w:rsid w:val="008E43F2"/>
    <w:rsid w:val="008E4751"/>
    <w:rsid w:val="008E4DEB"/>
    <w:rsid w:val="008E4FB3"/>
    <w:rsid w:val="008E4FB6"/>
    <w:rsid w:val="008E5740"/>
    <w:rsid w:val="008E585B"/>
    <w:rsid w:val="008E58CE"/>
    <w:rsid w:val="008E59A4"/>
    <w:rsid w:val="008E5D88"/>
    <w:rsid w:val="008E5F28"/>
    <w:rsid w:val="008E6068"/>
    <w:rsid w:val="008E649A"/>
    <w:rsid w:val="008E649C"/>
    <w:rsid w:val="008E66C5"/>
    <w:rsid w:val="008E692F"/>
    <w:rsid w:val="008E69D1"/>
    <w:rsid w:val="008E69D7"/>
    <w:rsid w:val="008E69E7"/>
    <w:rsid w:val="008E6B0B"/>
    <w:rsid w:val="008E6B15"/>
    <w:rsid w:val="008E6BB6"/>
    <w:rsid w:val="008E7071"/>
    <w:rsid w:val="008E71A0"/>
    <w:rsid w:val="008E72C5"/>
    <w:rsid w:val="008E76B7"/>
    <w:rsid w:val="008E7787"/>
    <w:rsid w:val="008E78A9"/>
    <w:rsid w:val="008F016A"/>
    <w:rsid w:val="008F01A1"/>
    <w:rsid w:val="008F036D"/>
    <w:rsid w:val="008F0590"/>
    <w:rsid w:val="008F0752"/>
    <w:rsid w:val="008F0782"/>
    <w:rsid w:val="008F0D89"/>
    <w:rsid w:val="008F0EAE"/>
    <w:rsid w:val="008F135D"/>
    <w:rsid w:val="008F13A5"/>
    <w:rsid w:val="008F1471"/>
    <w:rsid w:val="008F169C"/>
    <w:rsid w:val="008F17A2"/>
    <w:rsid w:val="008F1920"/>
    <w:rsid w:val="008F1953"/>
    <w:rsid w:val="008F1DF3"/>
    <w:rsid w:val="008F1E99"/>
    <w:rsid w:val="008F2182"/>
    <w:rsid w:val="008F236A"/>
    <w:rsid w:val="008F2610"/>
    <w:rsid w:val="008F2893"/>
    <w:rsid w:val="008F2C7A"/>
    <w:rsid w:val="008F2D78"/>
    <w:rsid w:val="008F2DA3"/>
    <w:rsid w:val="008F3277"/>
    <w:rsid w:val="008F36A9"/>
    <w:rsid w:val="008F449E"/>
    <w:rsid w:val="008F4518"/>
    <w:rsid w:val="008F4671"/>
    <w:rsid w:val="008F4AB5"/>
    <w:rsid w:val="008F4F0C"/>
    <w:rsid w:val="008F4F40"/>
    <w:rsid w:val="008F4F46"/>
    <w:rsid w:val="008F50BF"/>
    <w:rsid w:val="008F5126"/>
    <w:rsid w:val="008F5393"/>
    <w:rsid w:val="008F54CE"/>
    <w:rsid w:val="008F55BC"/>
    <w:rsid w:val="008F55C1"/>
    <w:rsid w:val="008F5816"/>
    <w:rsid w:val="008F5D5A"/>
    <w:rsid w:val="008F6256"/>
    <w:rsid w:val="008F62A9"/>
    <w:rsid w:val="008F6968"/>
    <w:rsid w:val="008F6BFA"/>
    <w:rsid w:val="008F6E32"/>
    <w:rsid w:val="008F7010"/>
    <w:rsid w:val="008F733E"/>
    <w:rsid w:val="008F7914"/>
    <w:rsid w:val="008F7937"/>
    <w:rsid w:val="008F7963"/>
    <w:rsid w:val="008F7F53"/>
    <w:rsid w:val="008F7F6D"/>
    <w:rsid w:val="008F7F82"/>
    <w:rsid w:val="009001EA"/>
    <w:rsid w:val="0090022D"/>
    <w:rsid w:val="00900436"/>
    <w:rsid w:val="00900631"/>
    <w:rsid w:val="00900B3A"/>
    <w:rsid w:val="00900DB2"/>
    <w:rsid w:val="00900ED5"/>
    <w:rsid w:val="00901430"/>
    <w:rsid w:val="00901520"/>
    <w:rsid w:val="00901652"/>
    <w:rsid w:val="00901A56"/>
    <w:rsid w:val="00901AC7"/>
    <w:rsid w:val="00901C2A"/>
    <w:rsid w:val="009020B5"/>
    <w:rsid w:val="009022CB"/>
    <w:rsid w:val="00902933"/>
    <w:rsid w:val="00902BE5"/>
    <w:rsid w:val="00903055"/>
    <w:rsid w:val="00903864"/>
    <w:rsid w:val="00903CCA"/>
    <w:rsid w:val="00903CD9"/>
    <w:rsid w:val="00903FDD"/>
    <w:rsid w:val="00904002"/>
    <w:rsid w:val="0090404B"/>
    <w:rsid w:val="00904313"/>
    <w:rsid w:val="009043DA"/>
    <w:rsid w:val="009046BD"/>
    <w:rsid w:val="0090480B"/>
    <w:rsid w:val="00904BC4"/>
    <w:rsid w:val="00904D75"/>
    <w:rsid w:val="00904E20"/>
    <w:rsid w:val="00904E52"/>
    <w:rsid w:val="00905207"/>
    <w:rsid w:val="009053C9"/>
    <w:rsid w:val="009053D7"/>
    <w:rsid w:val="0090596E"/>
    <w:rsid w:val="00905AA6"/>
    <w:rsid w:val="00905ACF"/>
    <w:rsid w:val="00905B3F"/>
    <w:rsid w:val="00905BBB"/>
    <w:rsid w:val="009062AA"/>
    <w:rsid w:val="00906447"/>
    <w:rsid w:val="00906485"/>
    <w:rsid w:val="0090668A"/>
    <w:rsid w:val="0090678C"/>
    <w:rsid w:val="00906910"/>
    <w:rsid w:val="00906C87"/>
    <w:rsid w:val="009070BE"/>
    <w:rsid w:val="0090755A"/>
    <w:rsid w:val="00907643"/>
    <w:rsid w:val="009077D0"/>
    <w:rsid w:val="00907950"/>
    <w:rsid w:val="009079EE"/>
    <w:rsid w:val="00907AE1"/>
    <w:rsid w:val="00907C76"/>
    <w:rsid w:val="00907EAA"/>
    <w:rsid w:val="0091004A"/>
    <w:rsid w:val="00910416"/>
    <w:rsid w:val="00910626"/>
    <w:rsid w:val="00910654"/>
    <w:rsid w:val="00910696"/>
    <w:rsid w:val="00910D98"/>
    <w:rsid w:val="009112FC"/>
    <w:rsid w:val="009114AD"/>
    <w:rsid w:val="00911C4E"/>
    <w:rsid w:val="00911DA0"/>
    <w:rsid w:val="00911F6C"/>
    <w:rsid w:val="00911F88"/>
    <w:rsid w:val="00912343"/>
    <w:rsid w:val="0091235A"/>
    <w:rsid w:val="0091245E"/>
    <w:rsid w:val="009124F6"/>
    <w:rsid w:val="0091254A"/>
    <w:rsid w:val="00912C58"/>
    <w:rsid w:val="00912CE3"/>
    <w:rsid w:val="00912F8B"/>
    <w:rsid w:val="00913083"/>
    <w:rsid w:val="009136C1"/>
    <w:rsid w:val="00913799"/>
    <w:rsid w:val="0091387F"/>
    <w:rsid w:val="00913939"/>
    <w:rsid w:val="0091398E"/>
    <w:rsid w:val="00913DB5"/>
    <w:rsid w:val="00914116"/>
    <w:rsid w:val="0091443C"/>
    <w:rsid w:val="0091458B"/>
    <w:rsid w:val="00914A10"/>
    <w:rsid w:val="00914A1C"/>
    <w:rsid w:val="00914B47"/>
    <w:rsid w:val="00914C54"/>
    <w:rsid w:val="00914F3B"/>
    <w:rsid w:val="00914FE7"/>
    <w:rsid w:val="00915069"/>
    <w:rsid w:val="00915A66"/>
    <w:rsid w:val="00915D15"/>
    <w:rsid w:val="009164D8"/>
    <w:rsid w:val="00916724"/>
    <w:rsid w:val="00916785"/>
    <w:rsid w:val="009169B6"/>
    <w:rsid w:val="00916C55"/>
    <w:rsid w:val="00916EA6"/>
    <w:rsid w:val="009170BA"/>
    <w:rsid w:val="00917378"/>
    <w:rsid w:val="0091797C"/>
    <w:rsid w:val="00917992"/>
    <w:rsid w:val="00917B32"/>
    <w:rsid w:val="00917BE0"/>
    <w:rsid w:val="00917C62"/>
    <w:rsid w:val="00917C69"/>
    <w:rsid w:val="009200A1"/>
    <w:rsid w:val="009203BC"/>
    <w:rsid w:val="00920508"/>
    <w:rsid w:val="009205DB"/>
    <w:rsid w:val="00920655"/>
    <w:rsid w:val="009206FB"/>
    <w:rsid w:val="00920764"/>
    <w:rsid w:val="00920916"/>
    <w:rsid w:val="00920B34"/>
    <w:rsid w:val="00920B70"/>
    <w:rsid w:val="00920BC2"/>
    <w:rsid w:val="00920E98"/>
    <w:rsid w:val="00920FF7"/>
    <w:rsid w:val="009214F7"/>
    <w:rsid w:val="0092170F"/>
    <w:rsid w:val="00921733"/>
    <w:rsid w:val="009217FD"/>
    <w:rsid w:val="0092182A"/>
    <w:rsid w:val="00921851"/>
    <w:rsid w:val="00921C11"/>
    <w:rsid w:val="00921C29"/>
    <w:rsid w:val="00921DEA"/>
    <w:rsid w:val="00922538"/>
    <w:rsid w:val="00922765"/>
    <w:rsid w:val="00922C90"/>
    <w:rsid w:val="00922FE7"/>
    <w:rsid w:val="0092300D"/>
    <w:rsid w:val="009232BB"/>
    <w:rsid w:val="00923778"/>
    <w:rsid w:val="009241CA"/>
    <w:rsid w:val="009242CA"/>
    <w:rsid w:val="0092465E"/>
    <w:rsid w:val="00924859"/>
    <w:rsid w:val="00924A78"/>
    <w:rsid w:val="00924AFA"/>
    <w:rsid w:val="00924C5A"/>
    <w:rsid w:val="00924CD2"/>
    <w:rsid w:val="00924E0D"/>
    <w:rsid w:val="00924F0B"/>
    <w:rsid w:val="00924FD2"/>
    <w:rsid w:val="009251A1"/>
    <w:rsid w:val="009253C0"/>
    <w:rsid w:val="009255C1"/>
    <w:rsid w:val="00925C1D"/>
    <w:rsid w:val="00926623"/>
    <w:rsid w:val="009266CD"/>
    <w:rsid w:val="00926A18"/>
    <w:rsid w:val="00926E98"/>
    <w:rsid w:val="00927139"/>
    <w:rsid w:val="00927358"/>
    <w:rsid w:val="00927954"/>
    <w:rsid w:val="0092796F"/>
    <w:rsid w:val="00927C53"/>
    <w:rsid w:val="00927D26"/>
    <w:rsid w:val="00927FC5"/>
    <w:rsid w:val="00930205"/>
    <w:rsid w:val="0093044B"/>
    <w:rsid w:val="00930485"/>
    <w:rsid w:val="00930D5C"/>
    <w:rsid w:val="00931309"/>
    <w:rsid w:val="009313E4"/>
    <w:rsid w:val="00931484"/>
    <w:rsid w:val="009315CC"/>
    <w:rsid w:val="00931729"/>
    <w:rsid w:val="00931A13"/>
    <w:rsid w:val="00931C10"/>
    <w:rsid w:val="00931EEE"/>
    <w:rsid w:val="009322F2"/>
    <w:rsid w:val="00932678"/>
    <w:rsid w:val="00932820"/>
    <w:rsid w:val="00932C22"/>
    <w:rsid w:val="00932DC3"/>
    <w:rsid w:val="00933052"/>
    <w:rsid w:val="009333D4"/>
    <w:rsid w:val="00933509"/>
    <w:rsid w:val="00933778"/>
    <w:rsid w:val="00933957"/>
    <w:rsid w:val="00933BE2"/>
    <w:rsid w:val="00933ED2"/>
    <w:rsid w:val="0093415C"/>
    <w:rsid w:val="009343D3"/>
    <w:rsid w:val="009345EE"/>
    <w:rsid w:val="00934667"/>
    <w:rsid w:val="00934706"/>
    <w:rsid w:val="009347CE"/>
    <w:rsid w:val="0093497A"/>
    <w:rsid w:val="009354E3"/>
    <w:rsid w:val="00935670"/>
    <w:rsid w:val="009358ED"/>
    <w:rsid w:val="00935D27"/>
    <w:rsid w:val="00935D62"/>
    <w:rsid w:val="00936478"/>
    <w:rsid w:val="009368C6"/>
    <w:rsid w:val="00936953"/>
    <w:rsid w:val="00936993"/>
    <w:rsid w:val="00936C89"/>
    <w:rsid w:val="009374B0"/>
    <w:rsid w:val="00937661"/>
    <w:rsid w:val="009376A3"/>
    <w:rsid w:val="0093774A"/>
    <w:rsid w:val="009379AB"/>
    <w:rsid w:val="00937A26"/>
    <w:rsid w:val="00937B12"/>
    <w:rsid w:val="00937DEE"/>
    <w:rsid w:val="00937E4C"/>
    <w:rsid w:val="00937F0E"/>
    <w:rsid w:val="009404E0"/>
    <w:rsid w:val="009405C5"/>
    <w:rsid w:val="00940E87"/>
    <w:rsid w:val="00940F11"/>
    <w:rsid w:val="00941238"/>
    <w:rsid w:val="0094141D"/>
    <w:rsid w:val="0094164D"/>
    <w:rsid w:val="00941769"/>
    <w:rsid w:val="009417B0"/>
    <w:rsid w:val="009418C7"/>
    <w:rsid w:val="00941B37"/>
    <w:rsid w:val="00941B5F"/>
    <w:rsid w:val="00941BC9"/>
    <w:rsid w:val="00941CF5"/>
    <w:rsid w:val="00941E5F"/>
    <w:rsid w:val="00942069"/>
    <w:rsid w:val="00942155"/>
    <w:rsid w:val="009422F1"/>
    <w:rsid w:val="00942397"/>
    <w:rsid w:val="0094251F"/>
    <w:rsid w:val="009425EA"/>
    <w:rsid w:val="00942C18"/>
    <w:rsid w:val="00942CAD"/>
    <w:rsid w:val="00942DC9"/>
    <w:rsid w:val="0094310C"/>
    <w:rsid w:val="00943138"/>
    <w:rsid w:val="00943D23"/>
    <w:rsid w:val="00944025"/>
    <w:rsid w:val="009440EF"/>
    <w:rsid w:val="009443FC"/>
    <w:rsid w:val="009448B3"/>
    <w:rsid w:val="00944D01"/>
    <w:rsid w:val="00944D3E"/>
    <w:rsid w:val="00944E12"/>
    <w:rsid w:val="00944F16"/>
    <w:rsid w:val="0094542E"/>
    <w:rsid w:val="009455DB"/>
    <w:rsid w:val="009457FA"/>
    <w:rsid w:val="00945D1D"/>
    <w:rsid w:val="009461CF"/>
    <w:rsid w:val="0094636A"/>
    <w:rsid w:val="009464E8"/>
    <w:rsid w:val="00946D62"/>
    <w:rsid w:val="0094723B"/>
    <w:rsid w:val="0094732B"/>
    <w:rsid w:val="0094733E"/>
    <w:rsid w:val="0094739D"/>
    <w:rsid w:val="009477BA"/>
    <w:rsid w:val="00947A86"/>
    <w:rsid w:val="00947D28"/>
    <w:rsid w:val="00950005"/>
    <w:rsid w:val="009500E2"/>
    <w:rsid w:val="0095013C"/>
    <w:rsid w:val="009501B1"/>
    <w:rsid w:val="00950231"/>
    <w:rsid w:val="00950770"/>
    <w:rsid w:val="0095077F"/>
    <w:rsid w:val="009509DF"/>
    <w:rsid w:val="00950E26"/>
    <w:rsid w:val="009515E4"/>
    <w:rsid w:val="009516CA"/>
    <w:rsid w:val="00951C63"/>
    <w:rsid w:val="0095208A"/>
    <w:rsid w:val="009520FF"/>
    <w:rsid w:val="00952246"/>
    <w:rsid w:val="0095242E"/>
    <w:rsid w:val="0095249B"/>
    <w:rsid w:val="0095298C"/>
    <w:rsid w:val="00952C06"/>
    <w:rsid w:val="00953439"/>
    <w:rsid w:val="009538A1"/>
    <w:rsid w:val="00953B5B"/>
    <w:rsid w:val="00953B83"/>
    <w:rsid w:val="00953C07"/>
    <w:rsid w:val="00953FFC"/>
    <w:rsid w:val="0095436C"/>
    <w:rsid w:val="009543D6"/>
    <w:rsid w:val="009544F5"/>
    <w:rsid w:val="00954532"/>
    <w:rsid w:val="0095487B"/>
    <w:rsid w:val="00954999"/>
    <w:rsid w:val="009549F0"/>
    <w:rsid w:val="00954B9C"/>
    <w:rsid w:val="00955067"/>
    <w:rsid w:val="00955313"/>
    <w:rsid w:val="00955449"/>
    <w:rsid w:val="009554B6"/>
    <w:rsid w:val="009556CD"/>
    <w:rsid w:val="00955907"/>
    <w:rsid w:val="009559E0"/>
    <w:rsid w:val="009559FA"/>
    <w:rsid w:val="00955FC1"/>
    <w:rsid w:val="0095602A"/>
    <w:rsid w:val="0095611A"/>
    <w:rsid w:val="009562B3"/>
    <w:rsid w:val="00956435"/>
    <w:rsid w:val="009565D5"/>
    <w:rsid w:val="009565D9"/>
    <w:rsid w:val="009565FA"/>
    <w:rsid w:val="00956812"/>
    <w:rsid w:val="00956E79"/>
    <w:rsid w:val="0095719C"/>
    <w:rsid w:val="009577B2"/>
    <w:rsid w:val="00957919"/>
    <w:rsid w:val="00957B62"/>
    <w:rsid w:val="00957C5B"/>
    <w:rsid w:val="00957E9A"/>
    <w:rsid w:val="00957F7C"/>
    <w:rsid w:val="0096024E"/>
    <w:rsid w:val="0096032E"/>
    <w:rsid w:val="00960382"/>
    <w:rsid w:val="009603F1"/>
    <w:rsid w:val="0096072F"/>
    <w:rsid w:val="00960C98"/>
    <w:rsid w:val="00960D27"/>
    <w:rsid w:val="00960EDE"/>
    <w:rsid w:val="009617AF"/>
    <w:rsid w:val="00961851"/>
    <w:rsid w:val="00961898"/>
    <w:rsid w:val="00961CB9"/>
    <w:rsid w:val="00961EEC"/>
    <w:rsid w:val="00961F3D"/>
    <w:rsid w:val="009620A9"/>
    <w:rsid w:val="0096232A"/>
    <w:rsid w:val="0096270E"/>
    <w:rsid w:val="00962E4F"/>
    <w:rsid w:val="00962E67"/>
    <w:rsid w:val="0096316A"/>
    <w:rsid w:val="009631BC"/>
    <w:rsid w:val="0096332A"/>
    <w:rsid w:val="00963574"/>
    <w:rsid w:val="0096389F"/>
    <w:rsid w:val="009639B4"/>
    <w:rsid w:val="00963B0C"/>
    <w:rsid w:val="00963E0D"/>
    <w:rsid w:val="00963F4C"/>
    <w:rsid w:val="009642A3"/>
    <w:rsid w:val="00964334"/>
    <w:rsid w:val="009644DE"/>
    <w:rsid w:val="00964513"/>
    <w:rsid w:val="009645D8"/>
    <w:rsid w:val="00964878"/>
    <w:rsid w:val="0096497D"/>
    <w:rsid w:val="00964B8C"/>
    <w:rsid w:val="00964DED"/>
    <w:rsid w:val="00964E61"/>
    <w:rsid w:val="00964F0F"/>
    <w:rsid w:val="00965008"/>
    <w:rsid w:val="00965218"/>
    <w:rsid w:val="00965488"/>
    <w:rsid w:val="00965C8B"/>
    <w:rsid w:val="00966578"/>
    <w:rsid w:val="00966A0D"/>
    <w:rsid w:val="00966A10"/>
    <w:rsid w:val="00966A2A"/>
    <w:rsid w:val="00966F6F"/>
    <w:rsid w:val="009671F7"/>
    <w:rsid w:val="009672F1"/>
    <w:rsid w:val="009673D4"/>
    <w:rsid w:val="009673DF"/>
    <w:rsid w:val="009676CF"/>
    <w:rsid w:val="0096789F"/>
    <w:rsid w:val="009678BD"/>
    <w:rsid w:val="009678CC"/>
    <w:rsid w:val="00967B89"/>
    <w:rsid w:val="009702EF"/>
    <w:rsid w:val="00970829"/>
    <w:rsid w:val="00970977"/>
    <w:rsid w:val="0097148A"/>
    <w:rsid w:val="0097197C"/>
    <w:rsid w:val="00971985"/>
    <w:rsid w:val="00971BEF"/>
    <w:rsid w:val="00971C6C"/>
    <w:rsid w:val="0097258E"/>
    <w:rsid w:val="009726FD"/>
    <w:rsid w:val="00972950"/>
    <w:rsid w:val="00972B30"/>
    <w:rsid w:val="00972EE8"/>
    <w:rsid w:val="00972FCF"/>
    <w:rsid w:val="00973268"/>
    <w:rsid w:val="0097327E"/>
    <w:rsid w:val="009742D5"/>
    <w:rsid w:val="00974658"/>
    <w:rsid w:val="00974761"/>
    <w:rsid w:val="00974A66"/>
    <w:rsid w:val="00974CDF"/>
    <w:rsid w:val="00974D61"/>
    <w:rsid w:val="00974E1A"/>
    <w:rsid w:val="00974EFD"/>
    <w:rsid w:val="00975057"/>
    <w:rsid w:val="00975709"/>
    <w:rsid w:val="00975E0F"/>
    <w:rsid w:val="009762A4"/>
    <w:rsid w:val="00976476"/>
    <w:rsid w:val="0097652D"/>
    <w:rsid w:val="00976705"/>
    <w:rsid w:val="00976730"/>
    <w:rsid w:val="00976E47"/>
    <w:rsid w:val="00976EB5"/>
    <w:rsid w:val="00976F10"/>
    <w:rsid w:val="00976F8D"/>
    <w:rsid w:val="00977099"/>
    <w:rsid w:val="009770CF"/>
    <w:rsid w:val="00977754"/>
    <w:rsid w:val="00977B8C"/>
    <w:rsid w:val="00977BDB"/>
    <w:rsid w:val="00977CAC"/>
    <w:rsid w:val="00977CE0"/>
    <w:rsid w:val="00980571"/>
    <w:rsid w:val="00980775"/>
    <w:rsid w:val="009807D5"/>
    <w:rsid w:val="00980A70"/>
    <w:rsid w:val="00980B9C"/>
    <w:rsid w:val="00981203"/>
    <w:rsid w:val="009814AE"/>
    <w:rsid w:val="009817C5"/>
    <w:rsid w:val="009818CF"/>
    <w:rsid w:val="00981C7E"/>
    <w:rsid w:val="009820DC"/>
    <w:rsid w:val="00982119"/>
    <w:rsid w:val="009823F3"/>
    <w:rsid w:val="0098252D"/>
    <w:rsid w:val="00982624"/>
    <w:rsid w:val="00982C0E"/>
    <w:rsid w:val="00982F9E"/>
    <w:rsid w:val="009836DA"/>
    <w:rsid w:val="0098388F"/>
    <w:rsid w:val="009838DC"/>
    <w:rsid w:val="00983DDC"/>
    <w:rsid w:val="00984032"/>
    <w:rsid w:val="00984112"/>
    <w:rsid w:val="00984288"/>
    <w:rsid w:val="009842F6"/>
    <w:rsid w:val="00984308"/>
    <w:rsid w:val="009843B0"/>
    <w:rsid w:val="009843F8"/>
    <w:rsid w:val="00984636"/>
    <w:rsid w:val="00984A3B"/>
    <w:rsid w:val="0098506E"/>
    <w:rsid w:val="00985101"/>
    <w:rsid w:val="009852DF"/>
    <w:rsid w:val="00985335"/>
    <w:rsid w:val="00985735"/>
    <w:rsid w:val="00985B10"/>
    <w:rsid w:val="00985C68"/>
    <w:rsid w:val="0098622F"/>
    <w:rsid w:val="00986830"/>
    <w:rsid w:val="009869AB"/>
    <w:rsid w:val="00986B09"/>
    <w:rsid w:val="00986C53"/>
    <w:rsid w:val="0098706C"/>
    <w:rsid w:val="00987097"/>
    <w:rsid w:val="009870FB"/>
    <w:rsid w:val="00987101"/>
    <w:rsid w:val="00987110"/>
    <w:rsid w:val="009878FD"/>
    <w:rsid w:val="0098799E"/>
    <w:rsid w:val="00987AF8"/>
    <w:rsid w:val="00987B48"/>
    <w:rsid w:val="00987EAD"/>
    <w:rsid w:val="0099017C"/>
    <w:rsid w:val="0099021A"/>
    <w:rsid w:val="0099033F"/>
    <w:rsid w:val="00990487"/>
    <w:rsid w:val="0099075F"/>
    <w:rsid w:val="00990821"/>
    <w:rsid w:val="00991080"/>
    <w:rsid w:val="009912BC"/>
    <w:rsid w:val="009912BD"/>
    <w:rsid w:val="00991852"/>
    <w:rsid w:val="00991D06"/>
    <w:rsid w:val="009922C2"/>
    <w:rsid w:val="00992555"/>
    <w:rsid w:val="009926DE"/>
    <w:rsid w:val="0099271A"/>
    <w:rsid w:val="00992864"/>
    <w:rsid w:val="00992942"/>
    <w:rsid w:val="00992D37"/>
    <w:rsid w:val="009930DC"/>
    <w:rsid w:val="00993115"/>
    <w:rsid w:val="009933C8"/>
    <w:rsid w:val="00993DAA"/>
    <w:rsid w:val="00993DF5"/>
    <w:rsid w:val="00994198"/>
    <w:rsid w:val="009944DC"/>
    <w:rsid w:val="00994755"/>
    <w:rsid w:val="00994AF6"/>
    <w:rsid w:val="00994C96"/>
    <w:rsid w:val="009952E3"/>
    <w:rsid w:val="0099549A"/>
    <w:rsid w:val="00995570"/>
    <w:rsid w:val="00995788"/>
    <w:rsid w:val="009959E7"/>
    <w:rsid w:val="00995A37"/>
    <w:rsid w:val="00995A52"/>
    <w:rsid w:val="00995BDC"/>
    <w:rsid w:val="0099659C"/>
    <w:rsid w:val="009969D9"/>
    <w:rsid w:val="00996BE5"/>
    <w:rsid w:val="00996E04"/>
    <w:rsid w:val="00996E74"/>
    <w:rsid w:val="00996F65"/>
    <w:rsid w:val="00997175"/>
    <w:rsid w:val="009975CC"/>
    <w:rsid w:val="00997985"/>
    <w:rsid w:val="009979D2"/>
    <w:rsid w:val="00997F74"/>
    <w:rsid w:val="00997F85"/>
    <w:rsid w:val="009A025C"/>
    <w:rsid w:val="009A035C"/>
    <w:rsid w:val="009A0655"/>
    <w:rsid w:val="009A09CB"/>
    <w:rsid w:val="009A0BBE"/>
    <w:rsid w:val="009A0C53"/>
    <w:rsid w:val="009A0DE5"/>
    <w:rsid w:val="009A0E0A"/>
    <w:rsid w:val="009A0E8C"/>
    <w:rsid w:val="009A0EDA"/>
    <w:rsid w:val="009A11AA"/>
    <w:rsid w:val="009A15D6"/>
    <w:rsid w:val="009A1641"/>
    <w:rsid w:val="009A17BD"/>
    <w:rsid w:val="009A18FF"/>
    <w:rsid w:val="009A198D"/>
    <w:rsid w:val="009A1A33"/>
    <w:rsid w:val="009A2032"/>
    <w:rsid w:val="009A227C"/>
    <w:rsid w:val="009A2966"/>
    <w:rsid w:val="009A2AA1"/>
    <w:rsid w:val="009A2BCB"/>
    <w:rsid w:val="009A2E40"/>
    <w:rsid w:val="009A2F97"/>
    <w:rsid w:val="009A31A2"/>
    <w:rsid w:val="009A31CC"/>
    <w:rsid w:val="009A3DE3"/>
    <w:rsid w:val="009A40A5"/>
    <w:rsid w:val="009A410D"/>
    <w:rsid w:val="009A4437"/>
    <w:rsid w:val="009A4710"/>
    <w:rsid w:val="009A481A"/>
    <w:rsid w:val="009A486B"/>
    <w:rsid w:val="009A49D1"/>
    <w:rsid w:val="009A4AE8"/>
    <w:rsid w:val="009A53DA"/>
    <w:rsid w:val="009A576A"/>
    <w:rsid w:val="009A59FF"/>
    <w:rsid w:val="009A5A41"/>
    <w:rsid w:val="009A5DB4"/>
    <w:rsid w:val="009A625A"/>
    <w:rsid w:val="009A66DD"/>
    <w:rsid w:val="009A67A6"/>
    <w:rsid w:val="009A6F90"/>
    <w:rsid w:val="009A70BC"/>
    <w:rsid w:val="009A713A"/>
    <w:rsid w:val="009A718C"/>
    <w:rsid w:val="009A73A7"/>
    <w:rsid w:val="009A78A9"/>
    <w:rsid w:val="009A7AE9"/>
    <w:rsid w:val="009A7B41"/>
    <w:rsid w:val="009A7BDD"/>
    <w:rsid w:val="009B010F"/>
    <w:rsid w:val="009B04CF"/>
    <w:rsid w:val="009B06C1"/>
    <w:rsid w:val="009B0739"/>
    <w:rsid w:val="009B099F"/>
    <w:rsid w:val="009B0A49"/>
    <w:rsid w:val="009B0D24"/>
    <w:rsid w:val="009B0E20"/>
    <w:rsid w:val="009B129C"/>
    <w:rsid w:val="009B129F"/>
    <w:rsid w:val="009B1469"/>
    <w:rsid w:val="009B1D51"/>
    <w:rsid w:val="009B1F51"/>
    <w:rsid w:val="009B22A8"/>
    <w:rsid w:val="009B2607"/>
    <w:rsid w:val="009B26E7"/>
    <w:rsid w:val="009B2723"/>
    <w:rsid w:val="009B27CB"/>
    <w:rsid w:val="009B290A"/>
    <w:rsid w:val="009B2A17"/>
    <w:rsid w:val="009B2DAF"/>
    <w:rsid w:val="009B309E"/>
    <w:rsid w:val="009B31F6"/>
    <w:rsid w:val="009B3275"/>
    <w:rsid w:val="009B3290"/>
    <w:rsid w:val="009B340E"/>
    <w:rsid w:val="009B350E"/>
    <w:rsid w:val="009B3550"/>
    <w:rsid w:val="009B3567"/>
    <w:rsid w:val="009B3768"/>
    <w:rsid w:val="009B3837"/>
    <w:rsid w:val="009B3890"/>
    <w:rsid w:val="009B38D5"/>
    <w:rsid w:val="009B3AC4"/>
    <w:rsid w:val="009B3CA2"/>
    <w:rsid w:val="009B3F13"/>
    <w:rsid w:val="009B419D"/>
    <w:rsid w:val="009B42EA"/>
    <w:rsid w:val="009B45CB"/>
    <w:rsid w:val="009B461C"/>
    <w:rsid w:val="009B4684"/>
    <w:rsid w:val="009B50D9"/>
    <w:rsid w:val="009B51E3"/>
    <w:rsid w:val="009B538F"/>
    <w:rsid w:val="009B53A3"/>
    <w:rsid w:val="009B53E0"/>
    <w:rsid w:val="009B5576"/>
    <w:rsid w:val="009B596F"/>
    <w:rsid w:val="009B5D2C"/>
    <w:rsid w:val="009B6609"/>
    <w:rsid w:val="009B6876"/>
    <w:rsid w:val="009B6A34"/>
    <w:rsid w:val="009B6AB7"/>
    <w:rsid w:val="009B6C5B"/>
    <w:rsid w:val="009B6DF2"/>
    <w:rsid w:val="009B6E81"/>
    <w:rsid w:val="009B6F2A"/>
    <w:rsid w:val="009B6F91"/>
    <w:rsid w:val="009B6FB4"/>
    <w:rsid w:val="009B6FED"/>
    <w:rsid w:val="009B716C"/>
    <w:rsid w:val="009B79AA"/>
    <w:rsid w:val="009B7CA8"/>
    <w:rsid w:val="009B7E5F"/>
    <w:rsid w:val="009B7F87"/>
    <w:rsid w:val="009C0100"/>
    <w:rsid w:val="009C01A7"/>
    <w:rsid w:val="009C07C7"/>
    <w:rsid w:val="009C08A3"/>
    <w:rsid w:val="009C09D5"/>
    <w:rsid w:val="009C0A22"/>
    <w:rsid w:val="009C0F33"/>
    <w:rsid w:val="009C0F38"/>
    <w:rsid w:val="009C13BC"/>
    <w:rsid w:val="009C1B30"/>
    <w:rsid w:val="009C2722"/>
    <w:rsid w:val="009C2A74"/>
    <w:rsid w:val="009C3239"/>
    <w:rsid w:val="009C336C"/>
    <w:rsid w:val="009C3484"/>
    <w:rsid w:val="009C3546"/>
    <w:rsid w:val="009C3B80"/>
    <w:rsid w:val="009C4DFD"/>
    <w:rsid w:val="009C4EA4"/>
    <w:rsid w:val="009C503E"/>
    <w:rsid w:val="009C50B1"/>
    <w:rsid w:val="009C5686"/>
    <w:rsid w:val="009C5D07"/>
    <w:rsid w:val="009C5F37"/>
    <w:rsid w:val="009C5FDF"/>
    <w:rsid w:val="009C6216"/>
    <w:rsid w:val="009C6527"/>
    <w:rsid w:val="009C652D"/>
    <w:rsid w:val="009C657B"/>
    <w:rsid w:val="009C6723"/>
    <w:rsid w:val="009C693B"/>
    <w:rsid w:val="009C72FA"/>
    <w:rsid w:val="009C7CB0"/>
    <w:rsid w:val="009D0384"/>
    <w:rsid w:val="009D0414"/>
    <w:rsid w:val="009D04EB"/>
    <w:rsid w:val="009D0502"/>
    <w:rsid w:val="009D05D8"/>
    <w:rsid w:val="009D0A1E"/>
    <w:rsid w:val="009D1097"/>
    <w:rsid w:val="009D1276"/>
    <w:rsid w:val="009D155B"/>
    <w:rsid w:val="009D15F8"/>
    <w:rsid w:val="009D1706"/>
    <w:rsid w:val="009D1B62"/>
    <w:rsid w:val="009D1BC4"/>
    <w:rsid w:val="009D1EF1"/>
    <w:rsid w:val="009D2187"/>
    <w:rsid w:val="009D21BA"/>
    <w:rsid w:val="009D2A69"/>
    <w:rsid w:val="009D33C8"/>
    <w:rsid w:val="009D35CD"/>
    <w:rsid w:val="009D37C1"/>
    <w:rsid w:val="009D3885"/>
    <w:rsid w:val="009D3A17"/>
    <w:rsid w:val="009D3ACD"/>
    <w:rsid w:val="009D3BCE"/>
    <w:rsid w:val="009D3C5E"/>
    <w:rsid w:val="009D3E2B"/>
    <w:rsid w:val="009D3E6C"/>
    <w:rsid w:val="009D3F78"/>
    <w:rsid w:val="009D41CC"/>
    <w:rsid w:val="009D4347"/>
    <w:rsid w:val="009D45CC"/>
    <w:rsid w:val="009D47E3"/>
    <w:rsid w:val="009D488B"/>
    <w:rsid w:val="009D4C88"/>
    <w:rsid w:val="009D4CEE"/>
    <w:rsid w:val="009D4DBA"/>
    <w:rsid w:val="009D5158"/>
    <w:rsid w:val="009D534E"/>
    <w:rsid w:val="009D53C9"/>
    <w:rsid w:val="009D543B"/>
    <w:rsid w:val="009D556A"/>
    <w:rsid w:val="009D56C4"/>
    <w:rsid w:val="009D5922"/>
    <w:rsid w:val="009D5974"/>
    <w:rsid w:val="009D5C26"/>
    <w:rsid w:val="009D5C33"/>
    <w:rsid w:val="009D6016"/>
    <w:rsid w:val="009D60B5"/>
    <w:rsid w:val="009D66E9"/>
    <w:rsid w:val="009D67F0"/>
    <w:rsid w:val="009D690E"/>
    <w:rsid w:val="009D691C"/>
    <w:rsid w:val="009D6A49"/>
    <w:rsid w:val="009D6B23"/>
    <w:rsid w:val="009D6B2B"/>
    <w:rsid w:val="009D6B8D"/>
    <w:rsid w:val="009D6CA6"/>
    <w:rsid w:val="009D73B0"/>
    <w:rsid w:val="009D742E"/>
    <w:rsid w:val="009D779C"/>
    <w:rsid w:val="009D7960"/>
    <w:rsid w:val="009D7AA7"/>
    <w:rsid w:val="009D7EAD"/>
    <w:rsid w:val="009E00CE"/>
    <w:rsid w:val="009E01C5"/>
    <w:rsid w:val="009E0759"/>
    <w:rsid w:val="009E0B03"/>
    <w:rsid w:val="009E0B4B"/>
    <w:rsid w:val="009E0BDB"/>
    <w:rsid w:val="009E0BF1"/>
    <w:rsid w:val="009E0DF8"/>
    <w:rsid w:val="009E1247"/>
    <w:rsid w:val="009E15E5"/>
    <w:rsid w:val="009E1C17"/>
    <w:rsid w:val="009E1FA9"/>
    <w:rsid w:val="009E20A7"/>
    <w:rsid w:val="009E20DE"/>
    <w:rsid w:val="009E22FF"/>
    <w:rsid w:val="009E23FA"/>
    <w:rsid w:val="009E2AF9"/>
    <w:rsid w:val="009E2BD6"/>
    <w:rsid w:val="009E2E35"/>
    <w:rsid w:val="009E3187"/>
    <w:rsid w:val="009E3469"/>
    <w:rsid w:val="009E3478"/>
    <w:rsid w:val="009E34E1"/>
    <w:rsid w:val="009E3D39"/>
    <w:rsid w:val="009E3F91"/>
    <w:rsid w:val="009E49E2"/>
    <w:rsid w:val="009E4B75"/>
    <w:rsid w:val="009E4C43"/>
    <w:rsid w:val="009E4D8D"/>
    <w:rsid w:val="009E5131"/>
    <w:rsid w:val="009E52FC"/>
    <w:rsid w:val="009E58FB"/>
    <w:rsid w:val="009E5913"/>
    <w:rsid w:val="009E59F0"/>
    <w:rsid w:val="009E5EBD"/>
    <w:rsid w:val="009E5EDC"/>
    <w:rsid w:val="009E60EE"/>
    <w:rsid w:val="009E648A"/>
    <w:rsid w:val="009E64CA"/>
    <w:rsid w:val="009E6549"/>
    <w:rsid w:val="009E6C07"/>
    <w:rsid w:val="009E6C74"/>
    <w:rsid w:val="009E6EEA"/>
    <w:rsid w:val="009E7037"/>
    <w:rsid w:val="009E7260"/>
    <w:rsid w:val="009E735E"/>
    <w:rsid w:val="009E762D"/>
    <w:rsid w:val="009E796C"/>
    <w:rsid w:val="009E799F"/>
    <w:rsid w:val="009E7A2E"/>
    <w:rsid w:val="009E7BC5"/>
    <w:rsid w:val="009E7F59"/>
    <w:rsid w:val="009E7F62"/>
    <w:rsid w:val="009F0105"/>
    <w:rsid w:val="009F029B"/>
    <w:rsid w:val="009F0622"/>
    <w:rsid w:val="009F08C7"/>
    <w:rsid w:val="009F102A"/>
    <w:rsid w:val="009F159B"/>
    <w:rsid w:val="009F15A1"/>
    <w:rsid w:val="009F1786"/>
    <w:rsid w:val="009F1B67"/>
    <w:rsid w:val="009F1D81"/>
    <w:rsid w:val="009F205A"/>
    <w:rsid w:val="009F2363"/>
    <w:rsid w:val="009F2374"/>
    <w:rsid w:val="009F29A7"/>
    <w:rsid w:val="009F2EDC"/>
    <w:rsid w:val="009F3731"/>
    <w:rsid w:val="009F37A9"/>
    <w:rsid w:val="009F3DE8"/>
    <w:rsid w:val="009F3F5E"/>
    <w:rsid w:val="009F3F65"/>
    <w:rsid w:val="009F4294"/>
    <w:rsid w:val="009F442E"/>
    <w:rsid w:val="009F449A"/>
    <w:rsid w:val="009F44AD"/>
    <w:rsid w:val="009F4768"/>
    <w:rsid w:val="009F4805"/>
    <w:rsid w:val="009F489C"/>
    <w:rsid w:val="009F4E37"/>
    <w:rsid w:val="009F5563"/>
    <w:rsid w:val="009F57AA"/>
    <w:rsid w:val="009F5954"/>
    <w:rsid w:val="009F5BE0"/>
    <w:rsid w:val="009F630A"/>
    <w:rsid w:val="009F639B"/>
    <w:rsid w:val="009F64A0"/>
    <w:rsid w:val="009F6595"/>
    <w:rsid w:val="009F668C"/>
    <w:rsid w:val="009F67F0"/>
    <w:rsid w:val="009F69E2"/>
    <w:rsid w:val="009F7191"/>
    <w:rsid w:val="009F7D74"/>
    <w:rsid w:val="00A000EA"/>
    <w:rsid w:val="00A001C5"/>
    <w:rsid w:val="00A006D8"/>
    <w:rsid w:val="00A00A18"/>
    <w:rsid w:val="00A00BAC"/>
    <w:rsid w:val="00A00FF7"/>
    <w:rsid w:val="00A01046"/>
    <w:rsid w:val="00A01245"/>
    <w:rsid w:val="00A0167E"/>
    <w:rsid w:val="00A0173C"/>
    <w:rsid w:val="00A01A56"/>
    <w:rsid w:val="00A01A70"/>
    <w:rsid w:val="00A01B2E"/>
    <w:rsid w:val="00A01BFF"/>
    <w:rsid w:val="00A01D95"/>
    <w:rsid w:val="00A0213B"/>
    <w:rsid w:val="00A02267"/>
    <w:rsid w:val="00A02279"/>
    <w:rsid w:val="00A02603"/>
    <w:rsid w:val="00A0289F"/>
    <w:rsid w:val="00A02ECB"/>
    <w:rsid w:val="00A030B6"/>
    <w:rsid w:val="00A03131"/>
    <w:rsid w:val="00A03563"/>
    <w:rsid w:val="00A03930"/>
    <w:rsid w:val="00A03BD3"/>
    <w:rsid w:val="00A03C7F"/>
    <w:rsid w:val="00A03ECF"/>
    <w:rsid w:val="00A040E5"/>
    <w:rsid w:val="00A04134"/>
    <w:rsid w:val="00A045A4"/>
    <w:rsid w:val="00A04966"/>
    <w:rsid w:val="00A04BFA"/>
    <w:rsid w:val="00A05C5A"/>
    <w:rsid w:val="00A05CDB"/>
    <w:rsid w:val="00A05F7A"/>
    <w:rsid w:val="00A05FEA"/>
    <w:rsid w:val="00A062BC"/>
    <w:rsid w:val="00A064BC"/>
    <w:rsid w:val="00A064D4"/>
    <w:rsid w:val="00A06664"/>
    <w:rsid w:val="00A06BF4"/>
    <w:rsid w:val="00A06C19"/>
    <w:rsid w:val="00A07038"/>
    <w:rsid w:val="00A070F3"/>
    <w:rsid w:val="00A075F8"/>
    <w:rsid w:val="00A076D2"/>
    <w:rsid w:val="00A076F5"/>
    <w:rsid w:val="00A079DC"/>
    <w:rsid w:val="00A07FCD"/>
    <w:rsid w:val="00A100EE"/>
    <w:rsid w:val="00A10584"/>
    <w:rsid w:val="00A106AA"/>
    <w:rsid w:val="00A10C6F"/>
    <w:rsid w:val="00A10F86"/>
    <w:rsid w:val="00A114A4"/>
    <w:rsid w:val="00A115FB"/>
    <w:rsid w:val="00A11724"/>
    <w:rsid w:val="00A1177C"/>
    <w:rsid w:val="00A1183C"/>
    <w:rsid w:val="00A119A7"/>
    <w:rsid w:val="00A11A90"/>
    <w:rsid w:val="00A11AA9"/>
    <w:rsid w:val="00A11C69"/>
    <w:rsid w:val="00A11D40"/>
    <w:rsid w:val="00A11DE4"/>
    <w:rsid w:val="00A11E62"/>
    <w:rsid w:val="00A120C4"/>
    <w:rsid w:val="00A1219F"/>
    <w:rsid w:val="00A121DB"/>
    <w:rsid w:val="00A121EC"/>
    <w:rsid w:val="00A12446"/>
    <w:rsid w:val="00A12581"/>
    <w:rsid w:val="00A125EB"/>
    <w:rsid w:val="00A125F3"/>
    <w:rsid w:val="00A12896"/>
    <w:rsid w:val="00A12A0E"/>
    <w:rsid w:val="00A12C1C"/>
    <w:rsid w:val="00A12D91"/>
    <w:rsid w:val="00A12E67"/>
    <w:rsid w:val="00A12FD6"/>
    <w:rsid w:val="00A131D6"/>
    <w:rsid w:val="00A13851"/>
    <w:rsid w:val="00A13942"/>
    <w:rsid w:val="00A13DD3"/>
    <w:rsid w:val="00A140A9"/>
    <w:rsid w:val="00A1418B"/>
    <w:rsid w:val="00A14482"/>
    <w:rsid w:val="00A14738"/>
    <w:rsid w:val="00A14A55"/>
    <w:rsid w:val="00A14E3D"/>
    <w:rsid w:val="00A14F53"/>
    <w:rsid w:val="00A14F60"/>
    <w:rsid w:val="00A150D0"/>
    <w:rsid w:val="00A15D9D"/>
    <w:rsid w:val="00A15FF9"/>
    <w:rsid w:val="00A1622D"/>
    <w:rsid w:val="00A16808"/>
    <w:rsid w:val="00A16BB9"/>
    <w:rsid w:val="00A16BC5"/>
    <w:rsid w:val="00A17111"/>
    <w:rsid w:val="00A1760D"/>
    <w:rsid w:val="00A17740"/>
    <w:rsid w:val="00A17A65"/>
    <w:rsid w:val="00A17BC1"/>
    <w:rsid w:val="00A17DA7"/>
    <w:rsid w:val="00A17F92"/>
    <w:rsid w:val="00A206E7"/>
    <w:rsid w:val="00A20733"/>
    <w:rsid w:val="00A2095E"/>
    <w:rsid w:val="00A20A1A"/>
    <w:rsid w:val="00A20AEE"/>
    <w:rsid w:val="00A20D54"/>
    <w:rsid w:val="00A20D85"/>
    <w:rsid w:val="00A213B6"/>
    <w:rsid w:val="00A21829"/>
    <w:rsid w:val="00A2183E"/>
    <w:rsid w:val="00A21B15"/>
    <w:rsid w:val="00A21D03"/>
    <w:rsid w:val="00A22093"/>
    <w:rsid w:val="00A222EA"/>
    <w:rsid w:val="00A222EE"/>
    <w:rsid w:val="00A224A4"/>
    <w:rsid w:val="00A225BE"/>
    <w:rsid w:val="00A22B12"/>
    <w:rsid w:val="00A22F1E"/>
    <w:rsid w:val="00A22F60"/>
    <w:rsid w:val="00A22FA3"/>
    <w:rsid w:val="00A2304A"/>
    <w:rsid w:val="00A23262"/>
    <w:rsid w:val="00A2328C"/>
    <w:rsid w:val="00A233B6"/>
    <w:rsid w:val="00A23A87"/>
    <w:rsid w:val="00A23BBB"/>
    <w:rsid w:val="00A23DFA"/>
    <w:rsid w:val="00A23EDE"/>
    <w:rsid w:val="00A2409B"/>
    <w:rsid w:val="00A24295"/>
    <w:rsid w:val="00A24365"/>
    <w:rsid w:val="00A246CF"/>
    <w:rsid w:val="00A2474C"/>
    <w:rsid w:val="00A248B6"/>
    <w:rsid w:val="00A24A6B"/>
    <w:rsid w:val="00A24DDB"/>
    <w:rsid w:val="00A24E8F"/>
    <w:rsid w:val="00A25168"/>
    <w:rsid w:val="00A25269"/>
    <w:rsid w:val="00A25394"/>
    <w:rsid w:val="00A2549F"/>
    <w:rsid w:val="00A254D4"/>
    <w:rsid w:val="00A25639"/>
    <w:rsid w:val="00A2564C"/>
    <w:rsid w:val="00A25F02"/>
    <w:rsid w:val="00A2620C"/>
    <w:rsid w:val="00A26542"/>
    <w:rsid w:val="00A26932"/>
    <w:rsid w:val="00A26950"/>
    <w:rsid w:val="00A26D2F"/>
    <w:rsid w:val="00A27047"/>
    <w:rsid w:val="00A2728E"/>
    <w:rsid w:val="00A273B3"/>
    <w:rsid w:val="00A27585"/>
    <w:rsid w:val="00A2778E"/>
    <w:rsid w:val="00A2785B"/>
    <w:rsid w:val="00A27B33"/>
    <w:rsid w:val="00A27D72"/>
    <w:rsid w:val="00A27EDA"/>
    <w:rsid w:val="00A27FF1"/>
    <w:rsid w:val="00A30112"/>
    <w:rsid w:val="00A30C4B"/>
    <w:rsid w:val="00A30FF3"/>
    <w:rsid w:val="00A3180D"/>
    <w:rsid w:val="00A31970"/>
    <w:rsid w:val="00A31A6D"/>
    <w:rsid w:val="00A31AF3"/>
    <w:rsid w:val="00A31C02"/>
    <w:rsid w:val="00A31E1F"/>
    <w:rsid w:val="00A3210F"/>
    <w:rsid w:val="00A321F8"/>
    <w:rsid w:val="00A32475"/>
    <w:rsid w:val="00A32666"/>
    <w:rsid w:val="00A3266B"/>
    <w:rsid w:val="00A32695"/>
    <w:rsid w:val="00A326FA"/>
    <w:rsid w:val="00A32710"/>
    <w:rsid w:val="00A32874"/>
    <w:rsid w:val="00A32D33"/>
    <w:rsid w:val="00A33017"/>
    <w:rsid w:val="00A3305A"/>
    <w:rsid w:val="00A333B2"/>
    <w:rsid w:val="00A3344F"/>
    <w:rsid w:val="00A3361E"/>
    <w:rsid w:val="00A33C5A"/>
    <w:rsid w:val="00A33C6F"/>
    <w:rsid w:val="00A33C9D"/>
    <w:rsid w:val="00A33F40"/>
    <w:rsid w:val="00A34429"/>
    <w:rsid w:val="00A345C8"/>
    <w:rsid w:val="00A3474D"/>
    <w:rsid w:val="00A349D1"/>
    <w:rsid w:val="00A34BD7"/>
    <w:rsid w:val="00A34FD3"/>
    <w:rsid w:val="00A3524A"/>
    <w:rsid w:val="00A35446"/>
    <w:rsid w:val="00A3565A"/>
    <w:rsid w:val="00A35721"/>
    <w:rsid w:val="00A3588A"/>
    <w:rsid w:val="00A35F19"/>
    <w:rsid w:val="00A36759"/>
    <w:rsid w:val="00A36CB1"/>
    <w:rsid w:val="00A36E3E"/>
    <w:rsid w:val="00A36E68"/>
    <w:rsid w:val="00A36E69"/>
    <w:rsid w:val="00A3741A"/>
    <w:rsid w:val="00A37DDD"/>
    <w:rsid w:val="00A40BFC"/>
    <w:rsid w:val="00A40F7F"/>
    <w:rsid w:val="00A41033"/>
    <w:rsid w:val="00A411E2"/>
    <w:rsid w:val="00A418D1"/>
    <w:rsid w:val="00A41CAD"/>
    <w:rsid w:val="00A420B9"/>
    <w:rsid w:val="00A420F4"/>
    <w:rsid w:val="00A42101"/>
    <w:rsid w:val="00A4212C"/>
    <w:rsid w:val="00A42474"/>
    <w:rsid w:val="00A42517"/>
    <w:rsid w:val="00A4264B"/>
    <w:rsid w:val="00A42D03"/>
    <w:rsid w:val="00A42D90"/>
    <w:rsid w:val="00A42DB3"/>
    <w:rsid w:val="00A42E0B"/>
    <w:rsid w:val="00A430F5"/>
    <w:rsid w:val="00A432AB"/>
    <w:rsid w:val="00A4352A"/>
    <w:rsid w:val="00A43668"/>
    <w:rsid w:val="00A438FA"/>
    <w:rsid w:val="00A442A2"/>
    <w:rsid w:val="00A44315"/>
    <w:rsid w:val="00A446BA"/>
    <w:rsid w:val="00A44C03"/>
    <w:rsid w:val="00A44E90"/>
    <w:rsid w:val="00A44F3E"/>
    <w:rsid w:val="00A44F75"/>
    <w:rsid w:val="00A44FF9"/>
    <w:rsid w:val="00A4517D"/>
    <w:rsid w:val="00A452A0"/>
    <w:rsid w:val="00A452E8"/>
    <w:rsid w:val="00A45311"/>
    <w:rsid w:val="00A45394"/>
    <w:rsid w:val="00A4566B"/>
    <w:rsid w:val="00A4567E"/>
    <w:rsid w:val="00A456E6"/>
    <w:rsid w:val="00A4579C"/>
    <w:rsid w:val="00A4600B"/>
    <w:rsid w:val="00A46376"/>
    <w:rsid w:val="00A463CA"/>
    <w:rsid w:val="00A464F9"/>
    <w:rsid w:val="00A46680"/>
    <w:rsid w:val="00A468B9"/>
    <w:rsid w:val="00A470DA"/>
    <w:rsid w:val="00A4728F"/>
    <w:rsid w:val="00A474A0"/>
    <w:rsid w:val="00A4767C"/>
    <w:rsid w:val="00A476F4"/>
    <w:rsid w:val="00A477CC"/>
    <w:rsid w:val="00A4783B"/>
    <w:rsid w:val="00A47A4E"/>
    <w:rsid w:val="00A47D83"/>
    <w:rsid w:val="00A47E31"/>
    <w:rsid w:val="00A47EE6"/>
    <w:rsid w:val="00A50175"/>
    <w:rsid w:val="00A5024A"/>
    <w:rsid w:val="00A50584"/>
    <w:rsid w:val="00A5062E"/>
    <w:rsid w:val="00A5063E"/>
    <w:rsid w:val="00A50895"/>
    <w:rsid w:val="00A50C32"/>
    <w:rsid w:val="00A50C80"/>
    <w:rsid w:val="00A50D37"/>
    <w:rsid w:val="00A50F8E"/>
    <w:rsid w:val="00A510CC"/>
    <w:rsid w:val="00A512FF"/>
    <w:rsid w:val="00A51618"/>
    <w:rsid w:val="00A51639"/>
    <w:rsid w:val="00A518E2"/>
    <w:rsid w:val="00A5262D"/>
    <w:rsid w:val="00A52825"/>
    <w:rsid w:val="00A52DC5"/>
    <w:rsid w:val="00A52FA9"/>
    <w:rsid w:val="00A52FD0"/>
    <w:rsid w:val="00A530BD"/>
    <w:rsid w:val="00A531FF"/>
    <w:rsid w:val="00A53469"/>
    <w:rsid w:val="00A53536"/>
    <w:rsid w:val="00A53C3C"/>
    <w:rsid w:val="00A53CF5"/>
    <w:rsid w:val="00A53F88"/>
    <w:rsid w:val="00A54083"/>
    <w:rsid w:val="00A5497A"/>
    <w:rsid w:val="00A549FB"/>
    <w:rsid w:val="00A54CFB"/>
    <w:rsid w:val="00A54D31"/>
    <w:rsid w:val="00A54E17"/>
    <w:rsid w:val="00A5582E"/>
    <w:rsid w:val="00A558B3"/>
    <w:rsid w:val="00A5598C"/>
    <w:rsid w:val="00A559C3"/>
    <w:rsid w:val="00A55EFC"/>
    <w:rsid w:val="00A55F2A"/>
    <w:rsid w:val="00A560D4"/>
    <w:rsid w:val="00A563E5"/>
    <w:rsid w:val="00A566ED"/>
    <w:rsid w:val="00A56A46"/>
    <w:rsid w:val="00A56CFD"/>
    <w:rsid w:val="00A56F6F"/>
    <w:rsid w:val="00A56F8F"/>
    <w:rsid w:val="00A57074"/>
    <w:rsid w:val="00A5733F"/>
    <w:rsid w:val="00A5751A"/>
    <w:rsid w:val="00A57D40"/>
    <w:rsid w:val="00A57D6F"/>
    <w:rsid w:val="00A57DA0"/>
    <w:rsid w:val="00A601B9"/>
    <w:rsid w:val="00A60402"/>
    <w:rsid w:val="00A60822"/>
    <w:rsid w:val="00A608E5"/>
    <w:rsid w:val="00A60A5F"/>
    <w:rsid w:val="00A60B6C"/>
    <w:rsid w:val="00A60CB4"/>
    <w:rsid w:val="00A60F03"/>
    <w:rsid w:val="00A612DC"/>
    <w:rsid w:val="00A6158D"/>
    <w:rsid w:val="00A61FBD"/>
    <w:rsid w:val="00A62116"/>
    <w:rsid w:val="00A622EB"/>
    <w:rsid w:val="00A623EF"/>
    <w:rsid w:val="00A6276A"/>
    <w:rsid w:val="00A6298A"/>
    <w:rsid w:val="00A62F4E"/>
    <w:rsid w:val="00A6308D"/>
    <w:rsid w:val="00A6326C"/>
    <w:rsid w:val="00A636FA"/>
    <w:rsid w:val="00A63E2B"/>
    <w:rsid w:val="00A63E3E"/>
    <w:rsid w:val="00A63E80"/>
    <w:rsid w:val="00A64101"/>
    <w:rsid w:val="00A64195"/>
    <w:rsid w:val="00A641AC"/>
    <w:rsid w:val="00A645D5"/>
    <w:rsid w:val="00A645F7"/>
    <w:rsid w:val="00A64B6E"/>
    <w:rsid w:val="00A64D06"/>
    <w:rsid w:val="00A64D2D"/>
    <w:rsid w:val="00A64D50"/>
    <w:rsid w:val="00A64D9C"/>
    <w:rsid w:val="00A64F24"/>
    <w:rsid w:val="00A651DF"/>
    <w:rsid w:val="00A65233"/>
    <w:rsid w:val="00A654E6"/>
    <w:rsid w:val="00A655C7"/>
    <w:rsid w:val="00A65930"/>
    <w:rsid w:val="00A65B0D"/>
    <w:rsid w:val="00A65DA5"/>
    <w:rsid w:val="00A65F19"/>
    <w:rsid w:val="00A65F26"/>
    <w:rsid w:val="00A6605E"/>
    <w:rsid w:val="00A66144"/>
    <w:rsid w:val="00A66292"/>
    <w:rsid w:val="00A663A5"/>
    <w:rsid w:val="00A667C1"/>
    <w:rsid w:val="00A6681D"/>
    <w:rsid w:val="00A66D01"/>
    <w:rsid w:val="00A66D93"/>
    <w:rsid w:val="00A66F76"/>
    <w:rsid w:val="00A67012"/>
    <w:rsid w:val="00A67119"/>
    <w:rsid w:val="00A671A7"/>
    <w:rsid w:val="00A672D9"/>
    <w:rsid w:val="00A674F3"/>
    <w:rsid w:val="00A67867"/>
    <w:rsid w:val="00A67C1A"/>
    <w:rsid w:val="00A67C3C"/>
    <w:rsid w:val="00A67EA7"/>
    <w:rsid w:val="00A67EEC"/>
    <w:rsid w:val="00A705AA"/>
    <w:rsid w:val="00A706AB"/>
    <w:rsid w:val="00A70779"/>
    <w:rsid w:val="00A70834"/>
    <w:rsid w:val="00A7099E"/>
    <w:rsid w:val="00A70DEC"/>
    <w:rsid w:val="00A70EC0"/>
    <w:rsid w:val="00A712DC"/>
    <w:rsid w:val="00A713A1"/>
    <w:rsid w:val="00A713B3"/>
    <w:rsid w:val="00A71764"/>
    <w:rsid w:val="00A71F2E"/>
    <w:rsid w:val="00A7234E"/>
    <w:rsid w:val="00A7282C"/>
    <w:rsid w:val="00A72B90"/>
    <w:rsid w:val="00A72DFF"/>
    <w:rsid w:val="00A72F46"/>
    <w:rsid w:val="00A73048"/>
    <w:rsid w:val="00A731B8"/>
    <w:rsid w:val="00A73314"/>
    <w:rsid w:val="00A73387"/>
    <w:rsid w:val="00A7341F"/>
    <w:rsid w:val="00A73548"/>
    <w:rsid w:val="00A736A3"/>
    <w:rsid w:val="00A73848"/>
    <w:rsid w:val="00A73868"/>
    <w:rsid w:val="00A73876"/>
    <w:rsid w:val="00A73FE4"/>
    <w:rsid w:val="00A74D77"/>
    <w:rsid w:val="00A7548F"/>
    <w:rsid w:val="00A75525"/>
    <w:rsid w:val="00A75591"/>
    <w:rsid w:val="00A75A38"/>
    <w:rsid w:val="00A75DCC"/>
    <w:rsid w:val="00A75EC0"/>
    <w:rsid w:val="00A76381"/>
    <w:rsid w:val="00A7683B"/>
    <w:rsid w:val="00A768B7"/>
    <w:rsid w:val="00A769F2"/>
    <w:rsid w:val="00A7715D"/>
    <w:rsid w:val="00A7726A"/>
    <w:rsid w:val="00A777C7"/>
    <w:rsid w:val="00A778D4"/>
    <w:rsid w:val="00A77C0F"/>
    <w:rsid w:val="00A77CA5"/>
    <w:rsid w:val="00A77D01"/>
    <w:rsid w:val="00A77F6B"/>
    <w:rsid w:val="00A800C3"/>
    <w:rsid w:val="00A8013D"/>
    <w:rsid w:val="00A80703"/>
    <w:rsid w:val="00A80B22"/>
    <w:rsid w:val="00A80C45"/>
    <w:rsid w:val="00A81101"/>
    <w:rsid w:val="00A81266"/>
    <w:rsid w:val="00A81290"/>
    <w:rsid w:val="00A815A9"/>
    <w:rsid w:val="00A81ABC"/>
    <w:rsid w:val="00A8249C"/>
    <w:rsid w:val="00A82905"/>
    <w:rsid w:val="00A82923"/>
    <w:rsid w:val="00A82DF0"/>
    <w:rsid w:val="00A82F70"/>
    <w:rsid w:val="00A82FE1"/>
    <w:rsid w:val="00A830C0"/>
    <w:rsid w:val="00A83339"/>
    <w:rsid w:val="00A83890"/>
    <w:rsid w:val="00A83947"/>
    <w:rsid w:val="00A841BF"/>
    <w:rsid w:val="00A843BF"/>
    <w:rsid w:val="00A84A92"/>
    <w:rsid w:val="00A84BC7"/>
    <w:rsid w:val="00A84EAF"/>
    <w:rsid w:val="00A84FAA"/>
    <w:rsid w:val="00A851B7"/>
    <w:rsid w:val="00A853E3"/>
    <w:rsid w:val="00A85BA4"/>
    <w:rsid w:val="00A85BD4"/>
    <w:rsid w:val="00A85F4B"/>
    <w:rsid w:val="00A85FDB"/>
    <w:rsid w:val="00A861EE"/>
    <w:rsid w:val="00A8626B"/>
    <w:rsid w:val="00A8626D"/>
    <w:rsid w:val="00A862D2"/>
    <w:rsid w:val="00A8643C"/>
    <w:rsid w:val="00A865BF"/>
    <w:rsid w:val="00A865E6"/>
    <w:rsid w:val="00A86656"/>
    <w:rsid w:val="00A866D8"/>
    <w:rsid w:val="00A86968"/>
    <w:rsid w:val="00A86A80"/>
    <w:rsid w:val="00A86B00"/>
    <w:rsid w:val="00A86B8A"/>
    <w:rsid w:val="00A86B8F"/>
    <w:rsid w:val="00A86FB7"/>
    <w:rsid w:val="00A875A7"/>
    <w:rsid w:val="00A87989"/>
    <w:rsid w:val="00A87ADB"/>
    <w:rsid w:val="00A87BBB"/>
    <w:rsid w:val="00A900A2"/>
    <w:rsid w:val="00A904D5"/>
    <w:rsid w:val="00A90DB6"/>
    <w:rsid w:val="00A90F76"/>
    <w:rsid w:val="00A9100D"/>
    <w:rsid w:val="00A91E3D"/>
    <w:rsid w:val="00A91FB3"/>
    <w:rsid w:val="00A920E7"/>
    <w:rsid w:val="00A922D6"/>
    <w:rsid w:val="00A92307"/>
    <w:rsid w:val="00A924E6"/>
    <w:rsid w:val="00A92751"/>
    <w:rsid w:val="00A9293D"/>
    <w:rsid w:val="00A92A1D"/>
    <w:rsid w:val="00A92B3C"/>
    <w:rsid w:val="00A92CA9"/>
    <w:rsid w:val="00A92F22"/>
    <w:rsid w:val="00A931AF"/>
    <w:rsid w:val="00A931BE"/>
    <w:rsid w:val="00A93816"/>
    <w:rsid w:val="00A93818"/>
    <w:rsid w:val="00A9383B"/>
    <w:rsid w:val="00A938D5"/>
    <w:rsid w:val="00A93B37"/>
    <w:rsid w:val="00A93EC7"/>
    <w:rsid w:val="00A93EEC"/>
    <w:rsid w:val="00A94056"/>
    <w:rsid w:val="00A9417A"/>
    <w:rsid w:val="00A941B6"/>
    <w:rsid w:val="00A94B35"/>
    <w:rsid w:val="00A94DF7"/>
    <w:rsid w:val="00A94E70"/>
    <w:rsid w:val="00A95306"/>
    <w:rsid w:val="00A9536E"/>
    <w:rsid w:val="00A956DE"/>
    <w:rsid w:val="00A95D9F"/>
    <w:rsid w:val="00A95E1A"/>
    <w:rsid w:val="00A96031"/>
    <w:rsid w:val="00A96413"/>
    <w:rsid w:val="00A964A6"/>
    <w:rsid w:val="00A9683D"/>
    <w:rsid w:val="00A96AE3"/>
    <w:rsid w:val="00A96C74"/>
    <w:rsid w:val="00A96E65"/>
    <w:rsid w:val="00A96EF0"/>
    <w:rsid w:val="00A96EFD"/>
    <w:rsid w:val="00A9700F"/>
    <w:rsid w:val="00A970A8"/>
    <w:rsid w:val="00A973C7"/>
    <w:rsid w:val="00A9747B"/>
    <w:rsid w:val="00A97566"/>
    <w:rsid w:val="00A976A1"/>
    <w:rsid w:val="00A978D0"/>
    <w:rsid w:val="00A97972"/>
    <w:rsid w:val="00A979B6"/>
    <w:rsid w:val="00A97A5B"/>
    <w:rsid w:val="00A97BF3"/>
    <w:rsid w:val="00AA001A"/>
    <w:rsid w:val="00AA0087"/>
    <w:rsid w:val="00AA0095"/>
    <w:rsid w:val="00AA0384"/>
    <w:rsid w:val="00AA03EE"/>
    <w:rsid w:val="00AA0404"/>
    <w:rsid w:val="00AA080A"/>
    <w:rsid w:val="00AA0C3D"/>
    <w:rsid w:val="00AA0E39"/>
    <w:rsid w:val="00AA13D0"/>
    <w:rsid w:val="00AA1652"/>
    <w:rsid w:val="00AA165A"/>
    <w:rsid w:val="00AA1800"/>
    <w:rsid w:val="00AA19FB"/>
    <w:rsid w:val="00AA1CBE"/>
    <w:rsid w:val="00AA1F61"/>
    <w:rsid w:val="00AA2240"/>
    <w:rsid w:val="00AA2510"/>
    <w:rsid w:val="00AA2522"/>
    <w:rsid w:val="00AA258E"/>
    <w:rsid w:val="00AA25B0"/>
    <w:rsid w:val="00AA274B"/>
    <w:rsid w:val="00AA27E0"/>
    <w:rsid w:val="00AA2DED"/>
    <w:rsid w:val="00AA2E89"/>
    <w:rsid w:val="00AA3180"/>
    <w:rsid w:val="00AA340A"/>
    <w:rsid w:val="00AA39EA"/>
    <w:rsid w:val="00AA3ACB"/>
    <w:rsid w:val="00AA3B5D"/>
    <w:rsid w:val="00AA4710"/>
    <w:rsid w:val="00AA4A2F"/>
    <w:rsid w:val="00AA4EBA"/>
    <w:rsid w:val="00AA4F99"/>
    <w:rsid w:val="00AA4FA1"/>
    <w:rsid w:val="00AA5068"/>
    <w:rsid w:val="00AA5203"/>
    <w:rsid w:val="00AA5312"/>
    <w:rsid w:val="00AA54E6"/>
    <w:rsid w:val="00AA5A7E"/>
    <w:rsid w:val="00AA5ACE"/>
    <w:rsid w:val="00AA5CF0"/>
    <w:rsid w:val="00AA5EE1"/>
    <w:rsid w:val="00AA60AA"/>
    <w:rsid w:val="00AA6198"/>
    <w:rsid w:val="00AA6706"/>
    <w:rsid w:val="00AA68E2"/>
    <w:rsid w:val="00AA6968"/>
    <w:rsid w:val="00AA6AA6"/>
    <w:rsid w:val="00AA6AA8"/>
    <w:rsid w:val="00AA6DFE"/>
    <w:rsid w:val="00AA70F0"/>
    <w:rsid w:val="00AA7601"/>
    <w:rsid w:val="00AA7680"/>
    <w:rsid w:val="00AA7807"/>
    <w:rsid w:val="00AA7F4F"/>
    <w:rsid w:val="00AB0222"/>
    <w:rsid w:val="00AB036D"/>
    <w:rsid w:val="00AB09BC"/>
    <w:rsid w:val="00AB0B34"/>
    <w:rsid w:val="00AB0CBE"/>
    <w:rsid w:val="00AB0E6C"/>
    <w:rsid w:val="00AB1155"/>
    <w:rsid w:val="00AB1174"/>
    <w:rsid w:val="00AB14C4"/>
    <w:rsid w:val="00AB16B7"/>
    <w:rsid w:val="00AB1707"/>
    <w:rsid w:val="00AB1CB5"/>
    <w:rsid w:val="00AB1CED"/>
    <w:rsid w:val="00AB1D9D"/>
    <w:rsid w:val="00AB1ECD"/>
    <w:rsid w:val="00AB1F18"/>
    <w:rsid w:val="00AB2404"/>
    <w:rsid w:val="00AB2888"/>
    <w:rsid w:val="00AB29FF"/>
    <w:rsid w:val="00AB2C0F"/>
    <w:rsid w:val="00AB2F25"/>
    <w:rsid w:val="00AB2FC2"/>
    <w:rsid w:val="00AB31F2"/>
    <w:rsid w:val="00AB3393"/>
    <w:rsid w:val="00AB367E"/>
    <w:rsid w:val="00AB396F"/>
    <w:rsid w:val="00AB3A2A"/>
    <w:rsid w:val="00AB3D04"/>
    <w:rsid w:val="00AB3DEA"/>
    <w:rsid w:val="00AB4268"/>
    <w:rsid w:val="00AB4548"/>
    <w:rsid w:val="00AB477C"/>
    <w:rsid w:val="00AB4C9E"/>
    <w:rsid w:val="00AB4F74"/>
    <w:rsid w:val="00AB4F8B"/>
    <w:rsid w:val="00AB5101"/>
    <w:rsid w:val="00AB521B"/>
    <w:rsid w:val="00AB52A9"/>
    <w:rsid w:val="00AB54D3"/>
    <w:rsid w:val="00AB5608"/>
    <w:rsid w:val="00AB595C"/>
    <w:rsid w:val="00AB598C"/>
    <w:rsid w:val="00AB5DCF"/>
    <w:rsid w:val="00AB63F5"/>
    <w:rsid w:val="00AB6C3C"/>
    <w:rsid w:val="00AB6F09"/>
    <w:rsid w:val="00AB71B5"/>
    <w:rsid w:val="00AB75C8"/>
    <w:rsid w:val="00AB7DD0"/>
    <w:rsid w:val="00AC01F4"/>
    <w:rsid w:val="00AC03B0"/>
    <w:rsid w:val="00AC0429"/>
    <w:rsid w:val="00AC0434"/>
    <w:rsid w:val="00AC0ABC"/>
    <w:rsid w:val="00AC0B37"/>
    <w:rsid w:val="00AC0B60"/>
    <w:rsid w:val="00AC0E4B"/>
    <w:rsid w:val="00AC0EB4"/>
    <w:rsid w:val="00AC0EBE"/>
    <w:rsid w:val="00AC0F55"/>
    <w:rsid w:val="00AC1237"/>
    <w:rsid w:val="00AC19D6"/>
    <w:rsid w:val="00AC1B00"/>
    <w:rsid w:val="00AC1C36"/>
    <w:rsid w:val="00AC1FC7"/>
    <w:rsid w:val="00AC20E9"/>
    <w:rsid w:val="00AC21C3"/>
    <w:rsid w:val="00AC2AB1"/>
    <w:rsid w:val="00AC301B"/>
    <w:rsid w:val="00AC312E"/>
    <w:rsid w:val="00AC35F7"/>
    <w:rsid w:val="00AC371F"/>
    <w:rsid w:val="00AC40F4"/>
    <w:rsid w:val="00AC4264"/>
    <w:rsid w:val="00AC42FC"/>
    <w:rsid w:val="00AC445B"/>
    <w:rsid w:val="00AC46A0"/>
    <w:rsid w:val="00AC475C"/>
    <w:rsid w:val="00AC4DBE"/>
    <w:rsid w:val="00AC51DC"/>
    <w:rsid w:val="00AC5207"/>
    <w:rsid w:val="00AC544E"/>
    <w:rsid w:val="00AC5453"/>
    <w:rsid w:val="00AC54B9"/>
    <w:rsid w:val="00AC5716"/>
    <w:rsid w:val="00AC5AB7"/>
    <w:rsid w:val="00AC5B30"/>
    <w:rsid w:val="00AC5CE3"/>
    <w:rsid w:val="00AC5F30"/>
    <w:rsid w:val="00AC6209"/>
    <w:rsid w:val="00AC6238"/>
    <w:rsid w:val="00AC640C"/>
    <w:rsid w:val="00AC64EB"/>
    <w:rsid w:val="00AC64FC"/>
    <w:rsid w:val="00AC6772"/>
    <w:rsid w:val="00AC6D80"/>
    <w:rsid w:val="00AC7044"/>
    <w:rsid w:val="00AC731A"/>
    <w:rsid w:val="00AC76F7"/>
    <w:rsid w:val="00AC793E"/>
    <w:rsid w:val="00AC799F"/>
    <w:rsid w:val="00AC79DC"/>
    <w:rsid w:val="00AC7B90"/>
    <w:rsid w:val="00AC7C23"/>
    <w:rsid w:val="00AD096D"/>
    <w:rsid w:val="00AD09BA"/>
    <w:rsid w:val="00AD0B9E"/>
    <w:rsid w:val="00AD0CEE"/>
    <w:rsid w:val="00AD110F"/>
    <w:rsid w:val="00AD1BA5"/>
    <w:rsid w:val="00AD1EA8"/>
    <w:rsid w:val="00AD217A"/>
    <w:rsid w:val="00AD2479"/>
    <w:rsid w:val="00AD249C"/>
    <w:rsid w:val="00AD2602"/>
    <w:rsid w:val="00AD2711"/>
    <w:rsid w:val="00AD2753"/>
    <w:rsid w:val="00AD27EB"/>
    <w:rsid w:val="00AD2831"/>
    <w:rsid w:val="00AD2968"/>
    <w:rsid w:val="00AD2A11"/>
    <w:rsid w:val="00AD2CEF"/>
    <w:rsid w:val="00AD2DAB"/>
    <w:rsid w:val="00AD2DF6"/>
    <w:rsid w:val="00AD2E9C"/>
    <w:rsid w:val="00AD2EBD"/>
    <w:rsid w:val="00AD3473"/>
    <w:rsid w:val="00AD352F"/>
    <w:rsid w:val="00AD3848"/>
    <w:rsid w:val="00AD3E67"/>
    <w:rsid w:val="00AD4400"/>
    <w:rsid w:val="00AD492B"/>
    <w:rsid w:val="00AD494A"/>
    <w:rsid w:val="00AD4A7B"/>
    <w:rsid w:val="00AD4C34"/>
    <w:rsid w:val="00AD4CAB"/>
    <w:rsid w:val="00AD4E4D"/>
    <w:rsid w:val="00AD4EF4"/>
    <w:rsid w:val="00AD507B"/>
    <w:rsid w:val="00AD5116"/>
    <w:rsid w:val="00AD514E"/>
    <w:rsid w:val="00AD539E"/>
    <w:rsid w:val="00AD547B"/>
    <w:rsid w:val="00AD55C7"/>
    <w:rsid w:val="00AD561C"/>
    <w:rsid w:val="00AD5B09"/>
    <w:rsid w:val="00AD5BD9"/>
    <w:rsid w:val="00AD5BDF"/>
    <w:rsid w:val="00AD696E"/>
    <w:rsid w:val="00AD7022"/>
    <w:rsid w:val="00AD7227"/>
    <w:rsid w:val="00AD73F3"/>
    <w:rsid w:val="00AD77E8"/>
    <w:rsid w:val="00AD78F8"/>
    <w:rsid w:val="00AD7C44"/>
    <w:rsid w:val="00AE0CEF"/>
    <w:rsid w:val="00AE0F68"/>
    <w:rsid w:val="00AE0FFC"/>
    <w:rsid w:val="00AE136A"/>
    <w:rsid w:val="00AE1CC5"/>
    <w:rsid w:val="00AE1E4B"/>
    <w:rsid w:val="00AE2099"/>
    <w:rsid w:val="00AE210C"/>
    <w:rsid w:val="00AE22BC"/>
    <w:rsid w:val="00AE27C1"/>
    <w:rsid w:val="00AE2889"/>
    <w:rsid w:val="00AE2EAD"/>
    <w:rsid w:val="00AE2F90"/>
    <w:rsid w:val="00AE32BB"/>
    <w:rsid w:val="00AE38E5"/>
    <w:rsid w:val="00AE3B7D"/>
    <w:rsid w:val="00AE3C7A"/>
    <w:rsid w:val="00AE4019"/>
    <w:rsid w:val="00AE4236"/>
    <w:rsid w:val="00AE42AE"/>
    <w:rsid w:val="00AE4332"/>
    <w:rsid w:val="00AE4396"/>
    <w:rsid w:val="00AE4A15"/>
    <w:rsid w:val="00AE4AA4"/>
    <w:rsid w:val="00AE5071"/>
    <w:rsid w:val="00AE50A6"/>
    <w:rsid w:val="00AE5254"/>
    <w:rsid w:val="00AE53D8"/>
    <w:rsid w:val="00AE5454"/>
    <w:rsid w:val="00AE55F1"/>
    <w:rsid w:val="00AE569E"/>
    <w:rsid w:val="00AE58F6"/>
    <w:rsid w:val="00AE5AC5"/>
    <w:rsid w:val="00AE5AF6"/>
    <w:rsid w:val="00AE5EE0"/>
    <w:rsid w:val="00AE661E"/>
    <w:rsid w:val="00AE67AB"/>
    <w:rsid w:val="00AE698E"/>
    <w:rsid w:val="00AE7096"/>
    <w:rsid w:val="00AE7137"/>
    <w:rsid w:val="00AE7222"/>
    <w:rsid w:val="00AE7A82"/>
    <w:rsid w:val="00AE7F52"/>
    <w:rsid w:val="00AE7F9E"/>
    <w:rsid w:val="00AF00EC"/>
    <w:rsid w:val="00AF03D9"/>
    <w:rsid w:val="00AF05EB"/>
    <w:rsid w:val="00AF0864"/>
    <w:rsid w:val="00AF08A6"/>
    <w:rsid w:val="00AF0A65"/>
    <w:rsid w:val="00AF0B06"/>
    <w:rsid w:val="00AF0CDC"/>
    <w:rsid w:val="00AF0E09"/>
    <w:rsid w:val="00AF0EA2"/>
    <w:rsid w:val="00AF10D7"/>
    <w:rsid w:val="00AF143C"/>
    <w:rsid w:val="00AF17A7"/>
    <w:rsid w:val="00AF19C2"/>
    <w:rsid w:val="00AF1C35"/>
    <w:rsid w:val="00AF1D25"/>
    <w:rsid w:val="00AF1D81"/>
    <w:rsid w:val="00AF1D85"/>
    <w:rsid w:val="00AF208D"/>
    <w:rsid w:val="00AF209B"/>
    <w:rsid w:val="00AF20B5"/>
    <w:rsid w:val="00AF2408"/>
    <w:rsid w:val="00AF25CE"/>
    <w:rsid w:val="00AF2840"/>
    <w:rsid w:val="00AF28C5"/>
    <w:rsid w:val="00AF28FA"/>
    <w:rsid w:val="00AF29CB"/>
    <w:rsid w:val="00AF2A2E"/>
    <w:rsid w:val="00AF2D00"/>
    <w:rsid w:val="00AF2DFF"/>
    <w:rsid w:val="00AF32C5"/>
    <w:rsid w:val="00AF3451"/>
    <w:rsid w:val="00AF3C40"/>
    <w:rsid w:val="00AF3D71"/>
    <w:rsid w:val="00AF3F6B"/>
    <w:rsid w:val="00AF419F"/>
    <w:rsid w:val="00AF4CB4"/>
    <w:rsid w:val="00AF51A8"/>
    <w:rsid w:val="00AF52D8"/>
    <w:rsid w:val="00AF54FD"/>
    <w:rsid w:val="00AF56D8"/>
    <w:rsid w:val="00AF596D"/>
    <w:rsid w:val="00AF5A50"/>
    <w:rsid w:val="00AF5D21"/>
    <w:rsid w:val="00AF5FE0"/>
    <w:rsid w:val="00AF63CC"/>
    <w:rsid w:val="00AF6755"/>
    <w:rsid w:val="00AF6825"/>
    <w:rsid w:val="00AF68A8"/>
    <w:rsid w:val="00AF6C60"/>
    <w:rsid w:val="00AF7182"/>
    <w:rsid w:val="00AF7BB9"/>
    <w:rsid w:val="00AF7BE0"/>
    <w:rsid w:val="00B001DF"/>
    <w:rsid w:val="00B00273"/>
    <w:rsid w:val="00B0070D"/>
    <w:rsid w:val="00B00783"/>
    <w:rsid w:val="00B007BD"/>
    <w:rsid w:val="00B009D1"/>
    <w:rsid w:val="00B00D37"/>
    <w:rsid w:val="00B00FFC"/>
    <w:rsid w:val="00B012F4"/>
    <w:rsid w:val="00B013CF"/>
    <w:rsid w:val="00B014E3"/>
    <w:rsid w:val="00B0166C"/>
    <w:rsid w:val="00B01802"/>
    <w:rsid w:val="00B01833"/>
    <w:rsid w:val="00B01BEF"/>
    <w:rsid w:val="00B01E9C"/>
    <w:rsid w:val="00B024C8"/>
    <w:rsid w:val="00B025EB"/>
    <w:rsid w:val="00B027A0"/>
    <w:rsid w:val="00B02D50"/>
    <w:rsid w:val="00B02E82"/>
    <w:rsid w:val="00B030EE"/>
    <w:rsid w:val="00B03384"/>
    <w:rsid w:val="00B035B3"/>
    <w:rsid w:val="00B03635"/>
    <w:rsid w:val="00B039C8"/>
    <w:rsid w:val="00B03A93"/>
    <w:rsid w:val="00B03EC0"/>
    <w:rsid w:val="00B04845"/>
    <w:rsid w:val="00B04A98"/>
    <w:rsid w:val="00B04B17"/>
    <w:rsid w:val="00B05211"/>
    <w:rsid w:val="00B05BE5"/>
    <w:rsid w:val="00B05F4A"/>
    <w:rsid w:val="00B06638"/>
    <w:rsid w:val="00B06FBD"/>
    <w:rsid w:val="00B07056"/>
    <w:rsid w:val="00B0722E"/>
    <w:rsid w:val="00B07266"/>
    <w:rsid w:val="00B072E2"/>
    <w:rsid w:val="00B07430"/>
    <w:rsid w:val="00B0774F"/>
    <w:rsid w:val="00B077D2"/>
    <w:rsid w:val="00B07F9E"/>
    <w:rsid w:val="00B100F8"/>
    <w:rsid w:val="00B101BB"/>
    <w:rsid w:val="00B102BF"/>
    <w:rsid w:val="00B103D3"/>
    <w:rsid w:val="00B10425"/>
    <w:rsid w:val="00B10548"/>
    <w:rsid w:val="00B106AF"/>
    <w:rsid w:val="00B10836"/>
    <w:rsid w:val="00B108F0"/>
    <w:rsid w:val="00B10967"/>
    <w:rsid w:val="00B10BD3"/>
    <w:rsid w:val="00B10DE4"/>
    <w:rsid w:val="00B10E59"/>
    <w:rsid w:val="00B1103D"/>
    <w:rsid w:val="00B11394"/>
    <w:rsid w:val="00B113CE"/>
    <w:rsid w:val="00B1171F"/>
    <w:rsid w:val="00B11D28"/>
    <w:rsid w:val="00B11DAC"/>
    <w:rsid w:val="00B11DED"/>
    <w:rsid w:val="00B11FAB"/>
    <w:rsid w:val="00B1200D"/>
    <w:rsid w:val="00B120BC"/>
    <w:rsid w:val="00B120D4"/>
    <w:rsid w:val="00B122E6"/>
    <w:rsid w:val="00B1252C"/>
    <w:rsid w:val="00B12555"/>
    <w:rsid w:val="00B1279E"/>
    <w:rsid w:val="00B12EC9"/>
    <w:rsid w:val="00B1348E"/>
    <w:rsid w:val="00B135C1"/>
    <w:rsid w:val="00B136FD"/>
    <w:rsid w:val="00B13760"/>
    <w:rsid w:val="00B13A0C"/>
    <w:rsid w:val="00B13D68"/>
    <w:rsid w:val="00B14911"/>
    <w:rsid w:val="00B1498E"/>
    <w:rsid w:val="00B14CD5"/>
    <w:rsid w:val="00B14CF3"/>
    <w:rsid w:val="00B14EEE"/>
    <w:rsid w:val="00B14FC8"/>
    <w:rsid w:val="00B1516C"/>
    <w:rsid w:val="00B15221"/>
    <w:rsid w:val="00B1557A"/>
    <w:rsid w:val="00B15C55"/>
    <w:rsid w:val="00B15FED"/>
    <w:rsid w:val="00B16847"/>
    <w:rsid w:val="00B16F0F"/>
    <w:rsid w:val="00B172D9"/>
    <w:rsid w:val="00B173D0"/>
    <w:rsid w:val="00B17854"/>
    <w:rsid w:val="00B178FB"/>
    <w:rsid w:val="00B17ADD"/>
    <w:rsid w:val="00B17DAA"/>
    <w:rsid w:val="00B2043C"/>
    <w:rsid w:val="00B20798"/>
    <w:rsid w:val="00B20847"/>
    <w:rsid w:val="00B20871"/>
    <w:rsid w:val="00B209C3"/>
    <w:rsid w:val="00B20C6C"/>
    <w:rsid w:val="00B20D93"/>
    <w:rsid w:val="00B20F26"/>
    <w:rsid w:val="00B2103F"/>
    <w:rsid w:val="00B21093"/>
    <w:rsid w:val="00B21390"/>
    <w:rsid w:val="00B21621"/>
    <w:rsid w:val="00B216DB"/>
    <w:rsid w:val="00B21702"/>
    <w:rsid w:val="00B2194E"/>
    <w:rsid w:val="00B219FA"/>
    <w:rsid w:val="00B21A30"/>
    <w:rsid w:val="00B21EAE"/>
    <w:rsid w:val="00B21ECA"/>
    <w:rsid w:val="00B21EE1"/>
    <w:rsid w:val="00B21FD0"/>
    <w:rsid w:val="00B221D9"/>
    <w:rsid w:val="00B22529"/>
    <w:rsid w:val="00B225CB"/>
    <w:rsid w:val="00B22A82"/>
    <w:rsid w:val="00B22BEF"/>
    <w:rsid w:val="00B22C18"/>
    <w:rsid w:val="00B22C43"/>
    <w:rsid w:val="00B22CB4"/>
    <w:rsid w:val="00B22D19"/>
    <w:rsid w:val="00B23DC9"/>
    <w:rsid w:val="00B23FE5"/>
    <w:rsid w:val="00B241D0"/>
    <w:rsid w:val="00B24379"/>
    <w:rsid w:val="00B2441C"/>
    <w:rsid w:val="00B24460"/>
    <w:rsid w:val="00B244DD"/>
    <w:rsid w:val="00B247C6"/>
    <w:rsid w:val="00B24ADD"/>
    <w:rsid w:val="00B25046"/>
    <w:rsid w:val="00B2509C"/>
    <w:rsid w:val="00B252F4"/>
    <w:rsid w:val="00B25301"/>
    <w:rsid w:val="00B25335"/>
    <w:rsid w:val="00B25B81"/>
    <w:rsid w:val="00B25C38"/>
    <w:rsid w:val="00B25CB4"/>
    <w:rsid w:val="00B26018"/>
    <w:rsid w:val="00B2648A"/>
    <w:rsid w:val="00B26612"/>
    <w:rsid w:val="00B269EB"/>
    <w:rsid w:val="00B26F3F"/>
    <w:rsid w:val="00B27047"/>
    <w:rsid w:val="00B2750F"/>
    <w:rsid w:val="00B27A96"/>
    <w:rsid w:val="00B30055"/>
    <w:rsid w:val="00B30134"/>
    <w:rsid w:val="00B3079E"/>
    <w:rsid w:val="00B30A68"/>
    <w:rsid w:val="00B312D2"/>
    <w:rsid w:val="00B31435"/>
    <w:rsid w:val="00B31533"/>
    <w:rsid w:val="00B31600"/>
    <w:rsid w:val="00B31867"/>
    <w:rsid w:val="00B31992"/>
    <w:rsid w:val="00B31ACF"/>
    <w:rsid w:val="00B31DE0"/>
    <w:rsid w:val="00B31E92"/>
    <w:rsid w:val="00B3244A"/>
    <w:rsid w:val="00B32552"/>
    <w:rsid w:val="00B3267F"/>
    <w:rsid w:val="00B32704"/>
    <w:rsid w:val="00B327E3"/>
    <w:rsid w:val="00B32ABC"/>
    <w:rsid w:val="00B32B21"/>
    <w:rsid w:val="00B32CD0"/>
    <w:rsid w:val="00B3312B"/>
    <w:rsid w:val="00B33498"/>
    <w:rsid w:val="00B33A78"/>
    <w:rsid w:val="00B33B8B"/>
    <w:rsid w:val="00B33BDC"/>
    <w:rsid w:val="00B33D49"/>
    <w:rsid w:val="00B33D4D"/>
    <w:rsid w:val="00B33EA4"/>
    <w:rsid w:val="00B33FBD"/>
    <w:rsid w:val="00B3402D"/>
    <w:rsid w:val="00B343C2"/>
    <w:rsid w:val="00B343F5"/>
    <w:rsid w:val="00B34407"/>
    <w:rsid w:val="00B34D2E"/>
    <w:rsid w:val="00B35527"/>
    <w:rsid w:val="00B3574A"/>
    <w:rsid w:val="00B35DE6"/>
    <w:rsid w:val="00B3639A"/>
    <w:rsid w:val="00B364CE"/>
    <w:rsid w:val="00B3669F"/>
    <w:rsid w:val="00B36959"/>
    <w:rsid w:val="00B36A33"/>
    <w:rsid w:val="00B36DB4"/>
    <w:rsid w:val="00B371C8"/>
    <w:rsid w:val="00B3722B"/>
    <w:rsid w:val="00B37B72"/>
    <w:rsid w:val="00B37D15"/>
    <w:rsid w:val="00B37EED"/>
    <w:rsid w:val="00B4015C"/>
    <w:rsid w:val="00B402D2"/>
    <w:rsid w:val="00B40496"/>
    <w:rsid w:val="00B40A36"/>
    <w:rsid w:val="00B40FF7"/>
    <w:rsid w:val="00B413B0"/>
    <w:rsid w:val="00B41507"/>
    <w:rsid w:val="00B415D2"/>
    <w:rsid w:val="00B4160E"/>
    <w:rsid w:val="00B4179C"/>
    <w:rsid w:val="00B419BE"/>
    <w:rsid w:val="00B41C4E"/>
    <w:rsid w:val="00B41DC0"/>
    <w:rsid w:val="00B41EC1"/>
    <w:rsid w:val="00B41F2F"/>
    <w:rsid w:val="00B4243F"/>
    <w:rsid w:val="00B42521"/>
    <w:rsid w:val="00B42584"/>
    <w:rsid w:val="00B42F66"/>
    <w:rsid w:val="00B4307D"/>
    <w:rsid w:val="00B432EE"/>
    <w:rsid w:val="00B43D46"/>
    <w:rsid w:val="00B43FF4"/>
    <w:rsid w:val="00B44281"/>
    <w:rsid w:val="00B442A3"/>
    <w:rsid w:val="00B445B9"/>
    <w:rsid w:val="00B446B4"/>
    <w:rsid w:val="00B45A55"/>
    <w:rsid w:val="00B45B45"/>
    <w:rsid w:val="00B45B87"/>
    <w:rsid w:val="00B46698"/>
    <w:rsid w:val="00B468EF"/>
    <w:rsid w:val="00B46927"/>
    <w:rsid w:val="00B469A8"/>
    <w:rsid w:val="00B47090"/>
    <w:rsid w:val="00B47815"/>
    <w:rsid w:val="00B47AE2"/>
    <w:rsid w:val="00B47BF2"/>
    <w:rsid w:val="00B47C08"/>
    <w:rsid w:val="00B500E0"/>
    <w:rsid w:val="00B500F6"/>
    <w:rsid w:val="00B506B1"/>
    <w:rsid w:val="00B50872"/>
    <w:rsid w:val="00B50AA4"/>
    <w:rsid w:val="00B50CA2"/>
    <w:rsid w:val="00B51004"/>
    <w:rsid w:val="00B51132"/>
    <w:rsid w:val="00B51AC1"/>
    <w:rsid w:val="00B51BBE"/>
    <w:rsid w:val="00B51BFF"/>
    <w:rsid w:val="00B52183"/>
    <w:rsid w:val="00B5242F"/>
    <w:rsid w:val="00B52456"/>
    <w:rsid w:val="00B525C1"/>
    <w:rsid w:val="00B52615"/>
    <w:rsid w:val="00B526B6"/>
    <w:rsid w:val="00B52793"/>
    <w:rsid w:val="00B52CFA"/>
    <w:rsid w:val="00B52D5C"/>
    <w:rsid w:val="00B53039"/>
    <w:rsid w:val="00B533CE"/>
    <w:rsid w:val="00B5347B"/>
    <w:rsid w:val="00B535DB"/>
    <w:rsid w:val="00B537A2"/>
    <w:rsid w:val="00B53931"/>
    <w:rsid w:val="00B53B4B"/>
    <w:rsid w:val="00B53F59"/>
    <w:rsid w:val="00B54079"/>
    <w:rsid w:val="00B5407C"/>
    <w:rsid w:val="00B54140"/>
    <w:rsid w:val="00B541F3"/>
    <w:rsid w:val="00B542DD"/>
    <w:rsid w:val="00B54399"/>
    <w:rsid w:val="00B54496"/>
    <w:rsid w:val="00B545DA"/>
    <w:rsid w:val="00B5471E"/>
    <w:rsid w:val="00B54748"/>
    <w:rsid w:val="00B54810"/>
    <w:rsid w:val="00B54E09"/>
    <w:rsid w:val="00B55A69"/>
    <w:rsid w:val="00B55E98"/>
    <w:rsid w:val="00B56096"/>
    <w:rsid w:val="00B561EC"/>
    <w:rsid w:val="00B56201"/>
    <w:rsid w:val="00B562C2"/>
    <w:rsid w:val="00B56400"/>
    <w:rsid w:val="00B56853"/>
    <w:rsid w:val="00B56AC4"/>
    <w:rsid w:val="00B56BD2"/>
    <w:rsid w:val="00B56CC9"/>
    <w:rsid w:val="00B56FFE"/>
    <w:rsid w:val="00B5739A"/>
    <w:rsid w:val="00B573A0"/>
    <w:rsid w:val="00B57529"/>
    <w:rsid w:val="00B57534"/>
    <w:rsid w:val="00B5768E"/>
    <w:rsid w:val="00B5768F"/>
    <w:rsid w:val="00B57AA1"/>
    <w:rsid w:val="00B57B97"/>
    <w:rsid w:val="00B57BD8"/>
    <w:rsid w:val="00B57D33"/>
    <w:rsid w:val="00B57D82"/>
    <w:rsid w:val="00B60401"/>
    <w:rsid w:val="00B60934"/>
    <w:rsid w:val="00B60A2B"/>
    <w:rsid w:val="00B60D7F"/>
    <w:rsid w:val="00B611D1"/>
    <w:rsid w:val="00B61222"/>
    <w:rsid w:val="00B6134D"/>
    <w:rsid w:val="00B6135B"/>
    <w:rsid w:val="00B6138D"/>
    <w:rsid w:val="00B61948"/>
    <w:rsid w:val="00B61A9C"/>
    <w:rsid w:val="00B622DC"/>
    <w:rsid w:val="00B624F6"/>
    <w:rsid w:val="00B62585"/>
    <w:rsid w:val="00B6281B"/>
    <w:rsid w:val="00B62B8B"/>
    <w:rsid w:val="00B62C17"/>
    <w:rsid w:val="00B630FB"/>
    <w:rsid w:val="00B631C8"/>
    <w:rsid w:val="00B63586"/>
    <w:rsid w:val="00B637E5"/>
    <w:rsid w:val="00B63F2C"/>
    <w:rsid w:val="00B63FA3"/>
    <w:rsid w:val="00B64121"/>
    <w:rsid w:val="00B6452B"/>
    <w:rsid w:val="00B64D4C"/>
    <w:rsid w:val="00B64FBE"/>
    <w:rsid w:val="00B6544D"/>
    <w:rsid w:val="00B6549C"/>
    <w:rsid w:val="00B656A1"/>
    <w:rsid w:val="00B656D7"/>
    <w:rsid w:val="00B6589E"/>
    <w:rsid w:val="00B658D1"/>
    <w:rsid w:val="00B65D57"/>
    <w:rsid w:val="00B660FB"/>
    <w:rsid w:val="00B662A4"/>
    <w:rsid w:val="00B662E6"/>
    <w:rsid w:val="00B6648F"/>
    <w:rsid w:val="00B66841"/>
    <w:rsid w:val="00B66A47"/>
    <w:rsid w:val="00B66A81"/>
    <w:rsid w:val="00B66A94"/>
    <w:rsid w:val="00B66FBD"/>
    <w:rsid w:val="00B67369"/>
    <w:rsid w:val="00B67871"/>
    <w:rsid w:val="00B67DB4"/>
    <w:rsid w:val="00B67E4E"/>
    <w:rsid w:val="00B701FD"/>
    <w:rsid w:val="00B7034D"/>
    <w:rsid w:val="00B7049A"/>
    <w:rsid w:val="00B706B7"/>
    <w:rsid w:val="00B7070D"/>
    <w:rsid w:val="00B708AA"/>
    <w:rsid w:val="00B70931"/>
    <w:rsid w:val="00B70994"/>
    <w:rsid w:val="00B70A20"/>
    <w:rsid w:val="00B70C64"/>
    <w:rsid w:val="00B70CF6"/>
    <w:rsid w:val="00B70D10"/>
    <w:rsid w:val="00B70D5E"/>
    <w:rsid w:val="00B71009"/>
    <w:rsid w:val="00B711D7"/>
    <w:rsid w:val="00B71278"/>
    <w:rsid w:val="00B713A8"/>
    <w:rsid w:val="00B715E3"/>
    <w:rsid w:val="00B7175A"/>
    <w:rsid w:val="00B71A10"/>
    <w:rsid w:val="00B71EF1"/>
    <w:rsid w:val="00B7219D"/>
    <w:rsid w:val="00B723BB"/>
    <w:rsid w:val="00B7272B"/>
    <w:rsid w:val="00B72F71"/>
    <w:rsid w:val="00B72FA2"/>
    <w:rsid w:val="00B730AA"/>
    <w:rsid w:val="00B730D0"/>
    <w:rsid w:val="00B730E0"/>
    <w:rsid w:val="00B731C9"/>
    <w:rsid w:val="00B73264"/>
    <w:rsid w:val="00B734D0"/>
    <w:rsid w:val="00B735A9"/>
    <w:rsid w:val="00B737B3"/>
    <w:rsid w:val="00B73964"/>
    <w:rsid w:val="00B73B05"/>
    <w:rsid w:val="00B73C10"/>
    <w:rsid w:val="00B73EAC"/>
    <w:rsid w:val="00B744EF"/>
    <w:rsid w:val="00B74508"/>
    <w:rsid w:val="00B745A3"/>
    <w:rsid w:val="00B74750"/>
    <w:rsid w:val="00B7486B"/>
    <w:rsid w:val="00B748B7"/>
    <w:rsid w:val="00B74CF1"/>
    <w:rsid w:val="00B74D43"/>
    <w:rsid w:val="00B74F92"/>
    <w:rsid w:val="00B750A4"/>
    <w:rsid w:val="00B75287"/>
    <w:rsid w:val="00B75499"/>
    <w:rsid w:val="00B754C5"/>
    <w:rsid w:val="00B75605"/>
    <w:rsid w:val="00B75784"/>
    <w:rsid w:val="00B75AE0"/>
    <w:rsid w:val="00B75DBC"/>
    <w:rsid w:val="00B76451"/>
    <w:rsid w:val="00B76670"/>
    <w:rsid w:val="00B766FC"/>
    <w:rsid w:val="00B76A3B"/>
    <w:rsid w:val="00B76A96"/>
    <w:rsid w:val="00B76C26"/>
    <w:rsid w:val="00B76F46"/>
    <w:rsid w:val="00B76F7F"/>
    <w:rsid w:val="00B77197"/>
    <w:rsid w:val="00B776A4"/>
    <w:rsid w:val="00B778DD"/>
    <w:rsid w:val="00B77C05"/>
    <w:rsid w:val="00B77FFD"/>
    <w:rsid w:val="00B80317"/>
    <w:rsid w:val="00B8069F"/>
    <w:rsid w:val="00B807CC"/>
    <w:rsid w:val="00B80829"/>
    <w:rsid w:val="00B809EC"/>
    <w:rsid w:val="00B80C07"/>
    <w:rsid w:val="00B80CC5"/>
    <w:rsid w:val="00B81007"/>
    <w:rsid w:val="00B8105B"/>
    <w:rsid w:val="00B8130B"/>
    <w:rsid w:val="00B81456"/>
    <w:rsid w:val="00B81738"/>
    <w:rsid w:val="00B818EA"/>
    <w:rsid w:val="00B81BD5"/>
    <w:rsid w:val="00B81EEB"/>
    <w:rsid w:val="00B82225"/>
    <w:rsid w:val="00B8230A"/>
    <w:rsid w:val="00B82651"/>
    <w:rsid w:val="00B82763"/>
    <w:rsid w:val="00B8284C"/>
    <w:rsid w:val="00B82A6C"/>
    <w:rsid w:val="00B83324"/>
    <w:rsid w:val="00B834B6"/>
    <w:rsid w:val="00B835EF"/>
    <w:rsid w:val="00B836CF"/>
    <w:rsid w:val="00B83779"/>
    <w:rsid w:val="00B839F0"/>
    <w:rsid w:val="00B83D08"/>
    <w:rsid w:val="00B83D6D"/>
    <w:rsid w:val="00B83DAF"/>
    <w:rsid w:val="00B83E79"/>
    <w:rsid w:val="00B841A5"/>
    <w:rsid w:val="00B84771"/>
    <w:rsid w:val="00B84A6E"/>
    <w:rsid w:val="00B84C45"/>
    <w:rsid w:val="00B84F6E"/>
    <w:rsid w:val="00B85026"/>
    <w:rsid w:val="00B85285"/>
    <w:rsid w:val="00B8563A"/>
    <w:rsid w:val="00B856BC"/>
    <w:rsid w:val="00B858B4"/>
    <w:rsid w:val="00B85B34"/>
    <w:rsid w:val="00B85B5C"/>
    <w:rsid w:val="00B85B7B"/>
    <w:rsid w:val="00B85C07"/>
    <w:rsid w:val="00B85C49"/>
    <w:rsid w:val="00B85CDC"/>
    <w:rsid w:val="00B862EF"/>
    <w:rsid w:val="00B8683B"/>
    <w:rsid w:val="00B86C69"/>
    <w:rsid w:val="00B86C87"/>
    <w:rsid w:val="00B86CAD"/>
    <w:rsid w:val="00B86DB2"/>
    <w:rsid w:val="00B86E5F"/>
    <w:rsid w:val="00B86FB4"/>
    <w:rsid w:val="00B87109"/>
    <w:rsid w:val="00B87570"/>
    <w:rsid w:val="00B8759C"/>
    <w:rsid w:val="00B87636"/>
    <w:rsid w:val="00B877B1"/>
    <w:rsid w:val="00B87B0B"/>
    <w:rsid w:val="00B87B4F"/>
    <w:rsid w:val="00B87C10"/>
    <w:rsid w:val="00B87C5C"/>
    <w:rsid w:val="00B87CCB"/>
    <w:rsid w:val="00B87E0A"/>
    <w:rsid w:val="00B87EBD"/>
    <w:rsid w:val="00B90182"/>
    <w:rsid w:val="00B904FC"/>
    <w:rsid w:val="00B90771"/>
    <w:rsid w:val="00B9079F"/>
    <w:rsid w:val="00B90DDB"/>
    <w:rsid w:val="00B91023"/>
    <w:rsid w:val="00B91096"/>
    <w:rsid w:val="00B910C1"/>
    <w:rsid w:val="00B914B0"/>
    <w:rsid w:val="00B91CC3"/>
    <w:rsid w:val="00B91DD4"/>
    <w:rsid w:val="00B91F0E"/>
    <w:rsid w:val="00B925C1"/>
    <w:rsid w:val="00B926B4"/>
    <w:rsid w:val="00B9270E"/>
    <w:rsid w:val="00B9275C"/>
    <w:rsid w:val="00B92778"/>
    <w:rsid w:val="00B92C37"/>
    <w:rsid w:val="00B93093"/>
    <w:rsid w:val="00B9314F"/>
    <w:rsid w:val="00B936D0"/>
    <w:rsid w:val="00B93781"/>
    <w:rsid w:val="00B93912"/>
    <w:rsid w:val="00B93F28"/>
    <w:rsid w:val="00B94136"/>
    <w:rsid w:val="00B942D5"/>
    <w:rsid w:val="00B94369"/>
    <w:rsid w:val="00B94898"/>
    <w:rsid w:val="00B94C03"/>
    <w:rsid w:val="00B9538B"/>
    <w:rsid w:val="00B9539D"/>
    <w:rsid w:val="00B953B2"/>
    <w:rsid w:val="00B95707"/>
    <w:rsid w:val="00B9583E"/>
    <w:rsid w:val="00B95AD7"/>
    <w:rsid w:val="00B95F86"/>
    <w:rsid w:val="00B961D8"/>
    <w:rsid w:val="00B96352"/>
    <w:rsid w:val="00B965B3"/>
    <w:rsid w:val="00B96793"/>
    <w:rsid w:val="00B96947"/>
    <w:rsid w:val="00B96AAE"/>
    <w:rsid w:val="00B96C7E"/>
    <w:rsid w:val="00B96F87"/>
    <w:rsid w:val="00B972E1"/>
    <w:rsid w:val="00B9766B"/>
    <w:rsid w:val="00B9781B"/>
    <w:rsid w:val="00B978D0"/>
    <w:rsid w:val="00B97943"/>
    <w:rsid w:val="00B97A50"/>
    <w:rsid w:val="00B97C0C"/>
    <w:rsid w:val="00B97C26"/>
    <w:rsid w:val="00B97D3C"/>
    <w:rsid w:val="00B97D72"/>
    <w:rsid w:val="00BA027F"/>
    <w:rsid w:val="00BA029E"/>
    <w:rsid w:val="00BA043D"/>
    <w:rsid w:val="00BA07D2"/>
    <w:rsid w:val="00BA0A1A"/>
    <w:rsid w:val="00BA0E02"/>
    <w:rsid w:val="00BA0E0B"/>
    <w:rsid w:val="00BA0F82"/>
    <w:rsid w:val="00BA10FA"/>
    <w:rsid w:val="00BA12ED"/>
    <w:rsid w:val="00BA13B1"/>
    <w:rsid w:val="00BA1546"/>
    <w:rsid w:val="00BA16A3"/>
    <w:rsid w:val="00BA16C9"/>
    <w:rsid w:val="00BA1867"/>
    <w:rsid w:val="00BA18F1"/>
    <w:rsid w:val="00BA19B8"/>
    <w:rsid w:val="00BA1CB2"/>
    <w:rsid w:val="00BA1DCB"/>
    <w:rsid w:val="00BA20EA"/>
    <w:rsid w:val="00BA2220"/>
    <w:rsid w:val="00BA232A"/>
    <w:rsid w:val="00BA2524"/>
    <w:rsid w:val="00BA2894"/>
    <w:rsid w:val="00BA29EE"/>
    <w:rsid w:val="00BA2F5B"/>
    <w:rsid w:val="00BA2F93"/>
    <w:rsid w:val="00BA3174"/>
    <w:rsid w:val="00BA38D5"/>
    <w:rsid w:val="00BA3A94"/>
    <w:rsid w:val="00BA3AC3"/>
    <w:rsid w:val="00BA3F9D"/>
    <w:rsid w:val="00BA43A9"/>
    <w:rsid w:val="00BA47F2"/>
    <w:rsid w:val="00BA4EFA"/>
    <w:rsid w:val="00BA5067"/>
    <w:rsid w:val="00BA51CB"/>
    <w:rsid w:val="00BA533B"/>
    <w:rsid w:val="00BA5515"/>
    <w:rsid w:val="00BA579E"/>
    <w:rsid w:val="00BA59CA"/>
    <w:rsid w:val="00BA60F3"/>
    <w:rsid w:val="00BA65B5"/>
    <w:rsid w:val="00BA65F0"/>
    <w:rsid w:val="00BA6702"/>
    <w:rsid w:val="00BA6D40"/>
    <w:rsid w:val="00BA6F78"/>
    <w:rsid w:val="00BA7325"/>
    <w:rsid w:val="00BA7416"/>
    <w:rsid w:val="00BA7422"/>
    <w:rsid w:val="00BA74B4"/>
    <w:rsid w:val="00BA77CD"/>
    <w:rsid w:val="00BA794C"/>
    <w:rsid w:val="00BA7A30"/>
    <w:rsid w:val="00BA7D10"/>
    <w:rsid w:val="00BB002A"/>
    <w:rsid w:val="00BB00CC"/>
    <w:rsid w:val="00BB04BC"/>
    <w:rsid w:val="00BB091F"/>
    <w:rsid w:val="00BB0C33"/>
    <w:rsid w:val="00BB116F"/>
    <w:rsid w:val="00BB11A6"/>
    <w:rsid w:val="00BB1251"/>
    <w:rsid w:val="00BB147F"/>
    <w:rsid w:val="00BB1A22"/>
    <w:rsid w:val="00BB2323"/>
    <w:rsid w:val="00BB24B0"/>
    <w:rsid w:val="00BB2562"/>
    <w:rsid w:val="00BB25CD"/>
    <w:rsid w:val="00BB2996"/>
    <w:rsid w:val="00BB2AEB"/>
    <w:rsid w:val="00BB2B4E"/>
    <w:rsid w:val="00BB2F57"/>
    <w:rsid w:val="00BB3084"/>
    <w:rsid w:val="00BB3147"/>
    <w:rsid w:val="00BB3786"/>
    <w:rsid w:val="00BB3938"/>
    <w:rsid w:val="00BB3FCB"/>
    <w:rsid w:val="00BB4194"/>
    <w:rsid w:val="00BB42E5"/>
    <w:rsid w:val="00BB44D4"/>
    <w:rsid w:val="00BB4B83"/>
    <w:rsid w:val="00BB4D3C"/>
    <w:rsid w:val="00BB4E2B"/>
    <w:rsid w:val="00BB523D"/>
    <w:rsid w:val="00BB5433"/>
    <w:rsid w:val="00BB5AB6"/>
    <w:rsid w:val="00BB5B2B"/>
    <w:rsid w:val="00BB5CD4"/>
    <w:rsid w:val="00BB5E5E"/>
    <w:rsid w:val="00BB61BD"/>
    <w:rsid w:val="00BB6C37"/>
    <w:rsid w:val="00BB6CEF"/>
    <w:rsid w:val="00BB75D5"/>
    <w:rsid w:val="00BB7FC4"/>
    <w:rsid w:val="00BC009A"/>
    <w:rsid w:val="00BC038F"/>
    <w:rsid w:val="00BC09EB"/>
    <w:rsid w:val="00BC0B74"/>
    <w:rsid w:val="00BC0EF0"/>
    <w:rsid w:val="00BC0F47"/>
    <w:rsid w:val="00BC0F4E"/>
    <w:rsid w:val="00BC0FFF"/>
    <w:rsid w:val="00BC14D8"/>
    <w:rsid w:val="00BC1553"/>
    <w:rsid w:val="00BC1586"/>
    <w:rsid w:val="00BC162E"/>
    <w:rsid w:val="00BC1919"/>
    <w:rsid w:val="00BC1B71"/>
    <w:rsid w:val="00BC1E19"/>
    <w:rsid w:val="00BC1FF3"/>
    <w:rsid w:val="00BC208E"/>
    <w:rsid w:val="00BC21CE"/>
    <w:rsid w:val="00BC2472"/>
    <w:rsid w:val="00BC297A"/>
    <w:rsid w:val="00BC2DEF"/>
    <w:rsid w:val="00BC2E26"/>
    <w:rsid w:val="00BC2EA2"/>
    <w:rsid w:val="00BC2F05"/>
    <w:rsid w:val="00BC2FDE"/>
    <w:rsid w:val="00BC3101"/>
    <w:rsid w:val="00BC31AC"/>
    <w:rsid w:val="00BC323D"/>
    <w:rsid w:val="00BC3A7B"/>
    <w:rsid w:val="00BC40BB"/>
    <w:rsid w:val="00BC428E"/>
    <w:rsid w:val="00BC4310"/>
    <w:rsid w:val="00BC4741"/>
    <w:rsid w:val="00BC4C69"/>
    <w:rsid w:val="00BC4FB2"/>
    <w:rsid w:val="00BC4FDA"/>
    <w:rsid w:val="00BC507B"/>
    <w:rsid w:val="00BC5223"/>
    <w:rsid w:val="00BC587C"/>
    <w:rsid w:val="00BC5A3D"/>
    <w:rsid w:val="00BC5DEB"/>
    <w:rsid w:val="00BC5F47"/>
    <w:rsid w:val="00BC607B"/>
    <w:rsid w:val="00BC6748"/>
    <w:rsid w:val="00BC694C"/>
    <w:rsid w:val="00BC6ADF"/>
    <w:rsid w:val="00BC6DE2"/>
    <w:rsid w:val="00BC6E7C"/>
    <w:rsid w:val="00BC6EC3"/>
    <w:rsid w:val="00BC7133"/>
    <w:rsid w:val="00BC72B8"/>
    <w:rsid w:val="00BC7444"/>
    <w:rsid w:val="00BC7BE8"/>
    <w:rsid w:val="00BC7F8B"/>
    <w:rsid w:val="00BD01A8"/>
    <w:rsid w:val="00BD07BA"/>
    <w:rsid w:val="00BD10B4"/>
    <w:rsid w:val="00BD115E"/>
    <w:rsid w:val="00BD1316"/>
    <w:rsid w:val="00BD15D5"/>
    <w:rsid w:val="00BD19A1"/>
    <w:rsid w:val="00BD1B0A"/>
    <w:rsid w:val="00BD20D4"/>
    <w:rsid w:val="00BD229D"/>
    <w:rsid w:val="00BD2305"/>
    <w:rsid w:val="00BD26D7"/>
    <w:rsid w:val="00BD282A"/>
    <w:rsid w:val="00BD2CB5"/>
    <w:rsid w:val="00BD2CDE"/>
    <w:rsid w:val="00BD2D29"/>
    <w:rsid w:val="00BD2EB9"/>
    <w:rsid w:val="00BD3115"/>
    <w:rsid w:val="00BD31DC"/>
    <w:rsid w:val="00BD3319"/>
    <w:rsid w:val="00BD35A1"/>
    <w:rsid w:val="00BD3662"/>
    <w:rsid w:val="00BD36BE"/>
    <w:rsid w:val="00BD36FC"/>
    <w:rsid w:val="00BD3A2D"/>
    <w:rsid w:val="00BD3D91"/>
    <w:rsid w:val="00BD41B6"/>
    <w:rsid w:val="00BD462D"/>
    <w:rsid w:val="00BD47B5"/>
    <w:rsid w:val="00BD4DA9"/>
    <w:rsid w:val="00BD4E89"/>
    <w:rsid w:val="00BD5062"/>
    <w:rsid w:val="00BD50B9"/>
    <w:rsid w:val="00BD525D"/>
    <w:rsid w:val="00BD5AAB"/>
    <w:rsid w:val="00BD5BBA"/>
    <w:rsid w:val="00BD5D27"/>
    <w:rsid w:val="00BD64BC"/>
    <w:rsid w:val="00BD64E2"/>
    <w:rsid w:val="00BD6553"/>
    <w:rsid w:val="00BD668E"/>
    <w:rsid w:val="00BD6752"/>
    <w:rsid w:val="00BD728D"/>
    <w:rsid w:val="00BD72F1"/>
    <w:rsid w:val="00BD735F"/>
    <w:rsid w:val="00BD74E3"/>
    <w:rsid w:val="00BD7716"/>
    <w:rsid w:val="00BD7A65"/>
    <w:rsid w:val="00BD7A72"/>
    <w:rsid w:val="00BD7C7E"/>
    <w:rsid w:val="00BD7E37"/>
    <w:rsid w:val="00BD7FC0"/>
    <w:rsid w:val="00BE0048"/>
    <w:rsid w:val="00BE0142"/>
    <w:rsid w:val="00BE06AA"/>
    <w:rsid w:val="00BE0A7A"/>
    <w:rsid w:val="00BE10DF"/>
    <w:rsid w:val="00BE1740"/>
    <w:rsid w:val="00BE18F5"/>
    <w:rsid w:val="00BE1924"/>
    <w:rsid w:val="00BE19D0"/>
    <w:rsid w:val="00BE1C1C"/>
    <w:rsid w:val="00BE1D9F"/>
    <w:rsid w:val="00BE20A3"/>
    <w:rsid w:val="00BE249D"/>
    <w:rsid w:val="00BE2579"/>
    <w:rsid w:val="00BE273C"/>
    <w:rsid w:val="00BE28CA"/>
    <w:rsid w:val="00BE2CB1"/>
    <w:rsid w:val="00BE2E57"/>
    <w:rsid w:val="00BE3016"/>
    <w:rsid w:val="00BE342F"/>
    <w:rsid w:val="00BE343E"/>
    <w:rsid w:val="00BE3478"/>
    <w:rsid w:val="00BE3718"/>
    <w:rsid w:val="00BE37D7"/>
    <w:rsid w:val="00BE393C"/>
    <w:rsid w:val="00BE39AE"/>
    <w:rsid w:val="00BE3AC0"/>
    <w:rsid w:val="00BE3AD3"/>
    <w:rsid w:val="00BE3C73"/>
    <w:rsid w:val="00BE4490"/>
    <w:rsid w:val="00BE465E"/>
    <w:rsid w:val="00BE4DFA"/>
    <w:rsid w:val="00BE504C"/>
    <w:rsid w:val="00BE51C7"/>
    <w:rsid w:val="00BE52AC"/>
    <w:rsid w:val="00BE584E"/>
    <w:rsid w:val="00BE5FB8"/>
    <w:rsid w:val="00BE6126"/>
    <w:rsid w:val="00BE6213"/>
    <w:rsid w:val="00BE644D"/>
    <w:rsid w:val="00BE6523"/>
    <w:rsid w:val="00BE66F4"/>
    <w:rsid w:val="00BE67BF"/>
    <w:rsid w:val="00BE6813"/>
    <w:rsid w:val="00BE6AE4"/>
    <w:rsid w:val="00BE6B5F"/>
    <w:rsid w:val="00BE6CF1"/>
    <w:rsid w:val="00BE7017"/>
    <w:rsid w:val="00BE7020"/>
    <w:rsid w:val="00BE715A"/>
    <w:rsid w:val="00BE7722"/>
    <w:rsid w:val="00BE796D"/>
    <w:rsid w:val="00BE7B06"/>
    <w:rsid w:val="00BE7E3F"/>
    <w:rsid w:val="00BE7EB6"/>
    <w:rsid w:val="00BF0169"/>
    <w:rsid w:val="00BF0222"/>
    <w:rsid w:val="00BF0726"/>
    <w:rsid w:val="00BF0A79"/>
    <w:rsid w:val="00BF0CC7"/>
    <w:rsid w:val="00BF10CB"/>
    <w:rsid w:val="00BF138B"/>
    <w:rsid w:val="00BF159B"/>
    <w:rsid w:val="00BF173B"/>
    <w:rsid w:val="00BF224E"/>
    <w:rsid w:val="00BF23A8"/>
    <w:rsid w:val="00BF23EB"/>
    <w:rsid w:val="00BF2717"/>
    <w:rsid w:val="00BF2805"/>
    <w:rsid w:val="00BF28A8"/>
    <w:rsid w:val="00BF2951"/>
    <w:rsid w:val="00BF2B24"/>
    <w:rsid w:val="00BF3239"/>
    <w:rsid w:val="00BF3278"/>
    <w:rsid w:val="00BF3292"/>
    <w:rsid w:val="00BF3601"/>
    <w:rsid w:val="00BF3623"/>
    <w:rsid w:val="00BF3D29"/>
    <w:rsid w:val="00BF3D43"/>
    <w:rsid w:val="00BF3EE1"/>
    <w:rsid w:val="00BF42BB"/>
    <w:rsid w:val="00BF4550"/>
    <w:rsid w:val="00BF478B"/>
    <w:rsid w:val="00BF4991"/>
    <w:rsid w:val="00BF4BB9"/>
    <w:rsid w:val="00BF4DD6"/>
    <w:rsid w:val="00BF4E15"/>
    <w:rsid w:val="00BF5150"/>
    <w:rsid w:val="00BF5534"/>
    <w:rsid w:val="00BF5DD4"/>
    <w:rsid w:val="00BF5FD3"/>
    <w:rsid w:val="00BF605E"/>
    <w:rsid w:val="00BF619C"/>
    <w:rsid w:val="00BF62AC"/>
    <w:rsid w:val="00BF7589"/>
    <w:rsid w:val="00BF759A"/>
    <w:rsid w:val="00BF7737"/>
    <w:rsid w:val="00BF7ABC"/>
    <w:rsid w:val="00BF7F71"/>
    <w:rsid w:val="00C00097"/>
    <w:rsid w:val="00C0025F"/>
    <w:rsid w:val="00C0031A"/>
    <w:rsid w:val="00C005DC"/>
    <w:rsid w:val="00C00A08"/>
    <w:rsid w:val="00C00A99"/>
    <w:rsid w:val="00C00CD5"/>
    <w:rsid w:val="00C01160"/>
    <w:rsid w:val="00C013F5"/>
    <w:rsid w:val="00C01831"/>
    <w:rsid w:val="00C019D0"/>
    <w:rsid w:val="00C01E68"/>
    <w:rsid w:val="00C0211B"/>
    <w:rsid w:val="00C022A7"/>
    <w:rsid w:val="00C022EB"/>
    <w:rsid w:val="00C02406"/>
    <w:rsid w:val="00C0281C"/>
    <w:rsid w:val="00C02865"/>
    <w:rsid w:val="00C03673"/>
    <w:rsid w:val="00C036B5"/>
    <w:rsid w:val="00C036DD"/>
    <w:rsid w:val="00C0383B"/>
    <w:rsid w:val="00C0392B"/>
    <w:rsid w:val="00C03A62"/>
    <w:rsid w:val="00C03C66"/>
    <w:rsid w:val="00C03DF9"/>
    <w:rsid w:val="00C03DFF"/>
    <w:rsid w:val="00C04213"/>
    <w:rsid w:val="00C043F7"/>
    <w:rsid w:val="00C04A43"/>
    <w:rsid w:val="00C04ACB"/>
    <w:rsid w:val="00C0516B"/>
    <w:rsid w:val="00C055D8"/>
    <w:rsid w:val="00C05683"/>
    <w:rsid w:val="00C05AF4"/>
    <w:rsid w:val="00C05CB2"/>
    <w:rsid w:val="00C05D61"/>
    <w:rsid w:val="00C05D91"/>
    <w:rsid w:val="00C05EF4"/>
    <w:rsid w:val="00C05FBF"/>
    <w:rsid w:val="00C0609C"/>
    <w:rsid w:val="00C063B2"/>
    <w:rsid w:val="00C06433"/>
    <w:rsid w:val="00C064FB"/>
    <w:rsid w:val="00C065ED"/>
    <w:rsid w:val="00C06711"/>
    <w:rsid w:val="00C067D1"/>
    <w:rsid w:val="00C06827"/>
    <w:rsid w:val="00C0682A"/>
    <w:rsid w:val="00C06A4A"/>
    <w:rsid w:val="00C06CF5"/>
    <w:rsid w:val="00C070DE"/>
    <w:rsid w:val="00C071AD"/>
    <w:rsid w:val="00C0738F"/>
    <w:rsid w:val="00C073A0"/>
    <w:rsid w:val="00C074A2"/>
    <w:rsid w:val="00C07A8C"/>
    <w:rsid w:val="00C07C26"/>
    <w:rsid w:val="00C07F9A"/>
    <w:rsid w:val="00C100D7"/>
    <w:rsid w:val="00C101E1"/>
    <w:rsid w:val="00C10810"/>
    <w:rsid w:val="00C109F9"/>
    <w:rsid w:val="00C111ED"/>
    <w:rsid w:val="00C11483"/>
    <w:rsid w:val="00C11821"/>
    <w:rsid w:val="00C1195F"/>
    <w:rsid w:val="00C11DFA"/>
    <w:rsid w:val="00C11E9B"/>
    <w:rsid w:val="00C12060"/>
    <w:rsid w:val="00C120B6"/>
    <w:rsid w:val="00C12557"/>
    <w:rsid w:val="00C125D0"/>
    <w:rsid w:val="00C127FB"/>
    <w:rsid w:val="00C12B2E"/>
    <w:rsid w:val="00C12CBD"/>
    <w:rsid w:val="00C130BF"/>
    <w:rsid w:val="00C136FE"/>
    <w:rsid w:val="00C137A9"/>
    <w:rsid w:val="00C13D03"/>
    <w:rsid w:val="00C14540"/>
    <w:rsid w:val="00C14569"/>
    <w:rsid w:val="00C145A1"/>
    <w:rsid w:val="00C146FE"/>
    <w:rsid w:val="00C14D0A"/>
    <w:rsid w:val="00C1539E"/>
    <w:rsid w:val="00C1571D"/>
    <w:rsid w:val="00C1596C"/>
    <w:rsid w:val="00C1598E"/>
    <w:rsid w:val="00C15ABA"/>
    <w:rsid w:val="00C15D72"/>
    <w:rsid w:val="00C16066"/>
    <w:rsid w:val="00C16083"/>
    <w:rsid w:val="00C16476"/>
    <w:rsid w:val="00C165C1"/>
    <w:rsid w:val="00C16746"/>
    <w:rsid w:val="00C16991"/>
    <w:rsid w:val="00C16992"/>
    <w:rsid w:val="00C16ED1"/>
    <w:rsid w:val="00C16FEF"/>
    <w:rsid w:val="00C17203"/>
    <w:rsid w:val="00C17353"/>
    <w:rsid w:val="00C174D6"/>
    <w:rsid w:val="00C177DD"/>
    <w:rsid w:val="00C17CB0"/>
    <w:rsid w:val="00C203B8"/>
    <w:rsid w:val="00C204AD"/>
    <w:rsid w:val="00C20515"/>
    <w:rsid w:val="00C205C7"/>
    <w:rsid w:val="00C206C2"/>
    <w:rsid w:val="00C2073B"/>
    <w:rsid w:val="00C20908"/>
    <w:rsid w:val="00C20AE4"/>
    <w:rsid w:val="00C20E85"/>
    <w:rsid w:val="00C2107C"/>
    <w:rsid w:val="00C213A1"/>
    <w:rsid w:val="00C215C7"/>
    <w:rsid w:val="00C2169F"/>
    <w:rsid w:val="00C21863"/>
    <w:rsid w:val="00C21B72"/>
    <w:rsid w:val="00C221CB"/>
    <w:rsid w:val="00C22B00"/>
    <w:rsid w:val="00C22C16"/>
    <w:rsid w:val="00C22F1A"/>
    <w:rsid w:val="00C2303E"/>
    <w:rsid w:val="00C23071"/>
    <w:rsid w:val="00C233A5"/>
    <w:rsid w:val="00C238E2"/>
    <w:rsid w:val="00C23FDA"/>
    <w:rsid w:val="00C24279"/>
    <w:rsid w:val="00C24525"/>
    <w:rsid w:val="00C24689"/>
    <w:rsid w:val="00C2477D"/>
    <w:rsid w:val="00C24937"/>
    <w:rsid w:val="00C24AA9"/>
    <w:rsid w:val="00C24DBC"/>
    <w:rsid w:val="00C24E12"/>
    <w:rsid w:val="00C24EF0"/>
    <w:rsid w:val="00C24F4C"/>
    <w:rsid w:val="00C24F83"/>
    <w:rsid w:val="00C24F9C"/>
    <w:rsid w:val="00C2512F"/>
    <w:rsid w:val="00C252D1"/>
    <w:rsid w:val="00C25478"/>
    <w:rsid w:val="00C2547D"/>
    <w:rsid w:val="00C254F7"/>
    <w:rsid w:val="00C2574F"/>
    <w:rsid w:val="00C25B98"/>
    <w:rsid w:val="00C263F8"/>
    <w:rsid w:val="00C265E9"/>
    <w:rsid w:val="00C2662A"/>
    <w:rsid w:val="00C26A45"/>
    <w:rsid w:val="00C26AAA"/>
    <w:rsid w:val="00C271C7"/>
    <w:rsid w:val="00C271F1"/>
    <w:rsid w:val="00C27691"/>
    <w:rsid w:val="00C27718"/>
    <w:rsid w:val="00C27769"/>
    <w:rsid w:val="00C27775"/>
    <w:rsid w:val="00C30305"/>
    <w:rsid w:val="00C3059D"/>
    <w:rsid w:val="00C3096E"/>
    <w:rsid w:val="00C30A88"/>
    <w:rsid w:val="00C31067"/>
    <w:rsid w:val="00C31BE6"/>
    <w:rsid w:val="00C31C17"/>
    <w:rsid w:val="00C3213A"/>
    <w:rsid w:val="00C32402"/>
    <w:rsid w:val="00C329F6"/>
    <w:rsid w:val="00C32AC4"/>
    <w:rsid w:val="00C32B71"/>
    <w:rsid w:val="00C32C34"/>
    <w:rsid w:val="00C32CE4"/>
    <w:rsid w:val="00C331BA"/>
    <w:rsid w:val="00C332F3"/>
    <w:rsid w:val="00C3352C"/>
    <w:rsid w:val="00C338B5"/>
    <w:rsid w:val="00C33E20"/>
    <w:rsid w:val="00C33F1E"/>
    <w:rsid w:val="00C33FEC"/>
    <w:rsid w:val="00C34430"/>
    <w:rsid w:val="00C34493"/>
    <w:rsid w:val="00C34795"/>
    <w:rsid w:val="00C348A1"/>
    <w:rsid w:val="00C3494D"/>
    <w:rsid w:val="00C34A5F"/>
    <w:rsid w:val="00C34B39"/>
    <w:rsid w:val="00C3542E"/>
    <w:rsid w:val="00C3558D"/>
    <w:rsid w:val="00C356F4"/>
    <w:rsid w:val="00C35D21"/>
    <w:rsid w:val="00C35EFF"/>
    <w:rsid w:val="00C36095"/>
    <w:rsid w:val="00C3617A"/>
    <w:rsid w:val="00C362FA"/>
    <w:rsid w:val="00C3635A"/>
    <w:rsid w:val="00C36417"/>
    <w:rsid w:val="00C36708"/>
    <w:rsid w:val="00C36719"/>
    <w:rsid w:val="00C367F0"/>
    <w:rsid w:val="00C36F02"/>
    <w:rsid w:val="00C372F7"/>
    <w:rsid w:val="00C3732E"/>
    <w:rsid w:val="00C374B2"/>
    <w:rsid w:val="00C374BA"/>
    <w:rsid w:val="00C37545"/>
    <w:rsid w:val="00C37783"/>
    <w:rsid w:val="00C3779B"/>
    <w:rsid w:val="00C37BE5"/>
    <w:rsid w:val="00C37CC3"/>
    <w:rsid w:val="00C37EB1"/>
    <w:rsid w:val="00C40260"/>
    <w:rsid w:val="00C404B8"/>
    <w:rsid w:val="00C408F0"/>
    <w:rsid w:val="00C40B1C"/>
    <w:rsid w:val="00C40EF6"/>
    <w:rsid w:val="00C41123"/>
    <w:rsid w:val="00C4117B"/>
    <w:rsid w:val="00C41202"/>
    <w:rsid w:val="00C417E9"/>
    <w:rsid w:val="00C41ECF"/>
    <w:rsid w:val="00C42226"/>
    <w:rsid w:val="00C424A5"/>
    <w:rsid w:val="00C424CA"/>
    <w:rsid w:val="00C426CC"/>
    <w:rsid w:val="00C427C0"/>
    <w:rsid w:val="00C4286C"/>
    <w:rsid w:val="00C429E3"/>
    <w:rsid w:val="00C42B08"/>
    <w:rsid w:val="00C42C0D"/>
    <w:rsid w:val="00C42FE2"/>
    <w:rsid w:val="00C431E4"/>
    <w:rsid w:val="00C431FD"/>
    <w:rsid w:val="00C432B9"/>
    <w:rsid w:val="00C43E54"/>
    <w:rsid w:val="00C443E8"/>
    <w:rsid w:val="00C443F4"/>
    <w:rsid w:val="00C4455E"/>
    <w:rsid w:val="00C445F2"/>
    <w:rsid w:val="00C446D1"/>
    <w:rsid w:val="00C44855"/>
    <w:rsid w:val="00C44908"/>
    <w:rsid w:val="00C44A54"/>
    <w:rsid w:val="00C44D35"/>
    <w:rsid w:val="00C44F30"/>
    <w:rsid w:val="00C4515A"/>
    <w:rsid w:val="00C45486"/>
    <w:rsid w:val="00C45661"/>
    <w:rsid w:val="00C4585B"/>
    <w:rsid w:val="00C459A7"/>
    <w:rsid w:val="00C45B0E"/>
    <w:rsid w:val="00C45DC1"/>
    <w:rsid w:val="00C46235"/>
    <w:rsid w:val="00C46317"/>
    <w:rsid w:val="00C463EF"/>
    <w:rsid w:val="00C464E2"/>
    <w:rsid w:val="00C465C4"/>
    <w:rsid w:val="00C466A2"/>
    <w:rsid w:val="00C46ABA"/>
    <w:rsid w:val="00C4709E"/>
    <w:rsid w:val="00C473CA"/>
    <w:rsid w:val="00C474E0"/>
    <w:rsid w:val="00C4756D"/>
    <w:rsid w:val="00C475E6"/>
    <w:rsid w:val="00C4779E"/>
    <w:rsid w:val="00C478E1"/>
    <w:rsid w:val="00C47961"/>
    <w:rsid w:val="00C502AF"/>
    <w:rsid w:val="00C504AF"/>
    <w:rsid w:val="00C50595"/>
    <w:rsid w:val="00C5060A"/>
    <w:rsid w:val="00C5066B"/>
    <w:rsid w:val="00C50EE8"/>
    <w:rsid w:val="00C51114"/>
    <w:rsid w:val="00C512C5"/>
    <w:rsid w:val="00C5164E"/>
    <w:rsid w:val="00C516BE"/>
    <w:rsid w:val="00C51BFD"/>
    <w:rsid w:val="00C51C6C"/>
    <w:rsid w:val="00C521F5"/>
    <w:rsid w:val="00C5247E"/>
    <w:rsid w:val="00C524B0"/>
    <w:rsid w:val="00C52616"/>
    <w:rsid w:val="00C5299E"/>
    <w:rsid w:val="00C529DB"/>
    <w:rsid w:val="00C52B61"/>
    <w:rsid w:val="00C52BAF"/>
    <w:rsid w:val="00C52D00"/>
    <w:rsid w:val="00C52F67"/>
    <w:rsid w:val="00C53272"/>
    <w:rsid w:val="00C53527"/>
    <w:rsid w:val="00C53718"/>
    <w:rsid w:val="00C5375D"/>
    <w:rsid w:val="00C53761"/>
    <w:rsid w:val="00C5394E"/>
    <w:rsid w:val="00C539F2"/>
    <w:rsid w:val="00C545D7"/>
    <w:rsid w:val="00C545DA"/>
    <w:rsid w:val="00C546D2"/>
    <w:rsid w:val="00C54850"/>
    <w:rsid w:val="00C54E65"/>
    <w:rsid w:val="00C550AA"/>
    <w:rsid w:val="00C55199"/>
    <w:rsid w:val="00C5532C"/>
    <w:rsid w:val="00C55345"/>
    <w:rsid w:val="00C555FA"/>
    <w:rsid w:val="00C55CC6"/>
    <w:rsid w:val="00C55DE6"/>
    <w:rsid w:val="00C55E33"/>
    <w:rsid w:val="00C55F41"/>
    <w:rsid w:val="00C5606C"/>
    <w:rsid w:val="00C561E4"/>
    <w:rsid w:val="00C56315"/>
    <w:rsid w:val="00C565B6"/>
    <w:rsid w:val="00C5675A"/>
    <w:rsid w:val="00C56948"/>
    <w:rsid w:val="00C571E2"/>
    <w:rsid w:val="00C57350"/>
    <w:rsid w:val="00C5738C"/>
    <w:rsid w:val="00C574FF"/>
    <w:rsid w:val="00C5761E"/>
    <w:rsid w:val="00C57AB1"/>
    <w:rsid w:val="00C600F8"/>
    <w:rsid w:val="00C601A2"/>
    <w:rsid w:val="00C60427"/>
    <w:rsid w:val="00C6069E"/>
    <w:rsid w:val="00C606D6"/>
    <w:rsid w:val="00C6081A"/>
    <w:rsid w:val="00C60999"/>
    <w:rsid w:val="00C60A36"/>
    <w:rsid w:val="00C60E36"/>
    <w:rsid w:val="00C61132"/>
    <w:rsid w:val="00C614B9"/>
    <w:rsid w:val="00C61768"/>
    <w:rsid w:val="00C61B6B"/>
    <w:rsid w:val="00C61B76"/>
    <w:rsid w:val="00C61C9D"/>
    <w:rsid w:val="00C61DDB"/>
    <w:rsid w:val="00C61FED"/>
    <w:rsid w:val="00C6210C"/>
    <w:rsid w:val="00C623A5"/>
    <w:rsid w:val="00C62692"/>
    <w:rsid w:val="00C62819"/>
    <w:rsid w:val="00C62848"/>
    <w:rsid w:val="00C628B6"/>
    <w:rsid w:val="00C6296F"/>
    <w:rsid w:val="00C62C96"/>
    <w:rsid w:val="00C62E3A"/>
    <w:rsid w:val="00C63008"/>
    <w:rsid w:val="00C631FB"/>
    <w:rsid w:val="00C63389"/>
    <w:rsid w:val="00C635E0"/>
    <w:rsid w:val="00C63800"/>
    <w:rsid w:val="00C6387C"/>
    <w:rsid w:val="00C64041"/>
    <w:rsid w:val="00C64323"/>
    <w:rsid w:val="00C64461"/>
    <w:rsid w:val="00C6484B"/>
    <w:rsid w:val="00C648FE"/>
    <w:rsid w:val="00C64E00"/>
    <w:rsid w:val="00C64E4C"/>
    <w:rsid w:val="00C65046"/>
    <w:rsid w:val="00C6507A"/>
    <w:rsid w:val="00C65176"/>
    <w:rsid w:val="00C651E7"/>
    <w:rsid w:val="00C6520E"/>
    <w:rsid w:val="00C6548A"/>
    <w:rsid w:val="00C65705"/>
    <w:rsid w:val="00C657C5"/>
    <w:rsid w:val="00C658B5"/>
    <w:rsid w:val="00C659ED"/>
    <w:rsid w:val="00C65A41"/>
    <w:rsid w:val="00C65C6D"/>
    <w:rsid w:val="00C65E09"/>
    <w:rsid w:val="00C65F93"/>
    <w:rsid w:val="00C66286"/>
    <w:rsid w:val="00C6655C"/>
    <w:rsid w:val="00C6671E"/>
    <w:rsid w:val="00C66729"/>
    <w:rsid w:val="00C668A6"/>
    <w:rsid w:val="00C66B1A"/>
    <w:rsid w:val="00C66E38"/>
    <w:rsid w:val="00C674B9"/>
    <w:rsid w:val="00C67857"/>
    <w:rsid w:val="00C67B7E"/>
    <w:rsid w:val="00C67EDE"/>
    <w:rsid w:val="00C7045D"/>
    <w:rsid w:val="00C70675"/>
    <w:rsid w:val="00C70AB0"/>
    <w:rsid w:val="00C7135F"/>
    <w:rsid w:val="00C71386"/>
    <w:rsid w:val="00C718E0"/>
    <w:rsid w:val="00C71EEE"/>
    <w:rsid w:val="00C7205F"/>
    <w:rsid w:val="00C72223"/>
    <w:rsid w:val="00C7250A"/>
    <w:rsid w:val="00C72738"/>
    <w:rsid w:val="00C72745"/>
    <w:rsid w:val="00C727D8"/>
    <w:rsid w:val="00C7290F"/>
    <w:rsid w:val="00C731AE"/>
    <w:rsid w:val="00C734C6"/>
    <w:rsid w:val="00C7367D"/>
    <w:rsid w:val="00C73778"/>
    <w:rsid w:val="00C739C9"/>
    <w:rsid w:val="00C73BE4"/>
    <w:rsid w:val="00C73C7F"/>
    <w:rsid w:val="00C73E9D"/>
    <w:rsid w:val="00C74A85"/>
    <w:rsid w:val="00C74C9B"/>
    <w:rsid w:val="00C74CF4"/>
    <w:rsid w:val="00C750D1"/>
    <w:rsid w:val="00C75484"/>
    <w:rsid w:val="00C75534"/>
    <w:rsid w:val="00C75747"/>
    <w:rsid w:val="00C75791"/>
    <w:rsid w:val="00C75A7A"/>
    <w:rsid w:val="00C75C01"/>
    <w:rsid w:val="00C75FC6"/>
    <w:rsid w:val="00C760D4"/>
    <w:rsid w:val="00C76373"/>
    <w:rsid w:val="00C76519"/>
    <w:rsid w:val="00C7659A"/>
    <w:rsid w:val="00C765FC"/>
    <w:rsid w:val="00C76B08"/>
    <w:rsid w:val="00C76D62"/>
    <w:rsid w:val="00C770B5"/>
    <w:rsid w:val="00C7769F"/>
    <w:rsid w:val="00C77B64"/>
    <w:rsid w:val="00C77C45"/>
    <w:rsid w:val="00C77C4F"/>
    <w:rsid w:val="00C77F9F"/>
    <w:rsid w:val="00C801EC"/>
    <w:rsid w:val="00C807A3"/>
    <w:rsid w:val="00C80A9C"/>
    <w:rsid w:val="00C80C67"/>
    <w:rsid w:val="00C80C7E"/>
    <w:rsid w:val="00C80D5B"/>
    <w:rsid w:val="00C80E26"/>
    <w:rsid w:val="00C80FCE"/>
    <w:rsid w:val="00C812F7"/>
    <w:rsid w:val="00C81594"/>
    <w:rsid w:val="00C816EF"/>
    <w:rsid w:val="00C81805"/>
    <w:rsid w:val="00C819B2"/>
    <w:rsid w:val="00C8219B"/>
    <w:rsid w:val="00C82904"/>
    <w:rsid w:val="00C82D47"/>
    <w:rsid w:val="00C82D9B"/>
    <w:rsid w:val="00C830B2"/>
    <w:rsid w:val="00C83150"/>
    <w:rsid w:val="00C83303"/>
    <w:rsid w:val="00C834F4"/>
    <w:rsid w:val="00C83548"/>
    <w:rsid w:val="00C83581"/>
    <w:rsid w:val="00C84273"/>
    <w:rsid w:val="00C842D6"/>
    <w:rsid w:val="00C843C8"/>
    <w:rsid w:val="00C8477A"/>
    <w:rsid w:val="00C84920"/>
    <w:rsid w:val="00C84977"/>
    <w:rsid w:val="00C84A96"/>
    <w:rsid w:val="00C84B9E"/>
    <w:rsid w:val="00C84CE5"/>
    <w:rsid w:val="00C84CEA"/>
    <w:rsid w:val="00C84D3E"/>
    <w:rsid w:val="00C853C1"/>
    <w:rsid w:val="00C8541E"/>
    <w:rsid w:val="00C8541F"/>
    <w:rsid w:val="00C8549B"/>
    <w:rsid w:val="00C855C1"/>
    <w:rsid w:val="00C85B49"/>
    <w:rsid w:val="00C85E5F"/>
    <w:rsid w:val="00C85FE5"/>
    <w:rsid w:val="00C866C8"/>
    <w:rsid w:val="00C86B32"/>
    <w:rsid w:val="00C86C03"/>
    <w:rsid w:val="00C87124"/>
    <w:rsid w:val="00C871BF"/>
    <w:rsid w:val="00C8724C"/>
    <w:rsid w:val="00C87293"/>
    <w:rsid w:val="00C87296"/>
    <w:rsid w:val="00C873E0"/>
    <w:rsid w:val="00C8747D"/>
    <w:rsid w:val="00C87627"/>
    <w:rsid w:val="00C904E1"/>
    <w:rsid w:val="00C90666"/>
    <w:rsid w:val="00C90921"/>
    <w:rsid w:val="00C90AED"/>
    <w:rsid w:val="00C90DF3"/>
    <w:rsid w:val="00C90E11"/>
    <w:rsid w:val="00C90F29"/>
    <w:rsid w:val="00C90F70"/>
    <w:rsid w:val="00C9113A"/>
    <w:rsid w:val="00C91325"/>
    <w:rsid w:val="00C91352"/>
    <w:rsid w:val="00C917FC"/>
    <w:rsid w:val="00C91CB9"/>
    <w:rsid w:val="00C9244B"/>
    <w:rsid w:val="00C92659"/>
    <w:rsid w:val="00C92749"/>
    <w:rsid w:val="00C92829"/>
    <w:rsid w:val="00C928A7"/>
    <w:rsid w:val="00C92B2C"/>
    <w:rsid w:val="00C92C23"/>
    <w:rsid w:val="00C93277"/>
    <w:rsid w:val="00C93AF6"/>
    <w:rsid w:val="00C93C93"/>
    <w:rsid w:val="00C93F46"/>
    <w:rsid w:val="00C93FA4"/>
    <w:rsid w:val="00C94163"/>
    <w:rsid w:val="00C946F6"/>
    <w:rsid w:val="00C949EB"/>
    <w:rsid w:val="00C94D52"/>
    <w:rsid w:val="00C94F36"/>
    <w:rsid w:val="00C94F43"/>
    <w:rsid w:val="00C9503C"/>
    <w:rsid w:val="00C9535D"/>
    <w:rsid w:val="00C9619E"/>
    <w:rsid w:val="00C963CD"/>
    <w:rsid w:val="00C96535"/>
    <w:rsid w:val="00C968B1"/>
    <w:rsid w:val="00C96BC9"/>
    <w:rsid w:val="00C96C6B"/>
    <w:rsid w:val="00C96FA5"/>
    <w:rsid w:val="00C97181"/>
    <w:rsid w:val="00C971A1"/>
    <w:rsid w:val="00C97487"/>
    <w:rsid w:val="00C97731"/>
    <w:rsid w:val="00C978CF"/>
    <w:rsid w:val="00C979B5"/>
    <w:rsid w:val="00C97BFB"/>
    <w:rsid w:val="00C97EF9"/>
    <w:rsid w:val="00CA01CA"/>
    <w:rsid w:val="00CA0225"/>
    <w:rsid w:val="00CA0405"/>
    <w:rsid w:val="00CA0965"/>
    <w:rsid w:val="00CA12CA"/>
    <w:rsid w:val="00CA1323"/>
    <w:rsid w:val="00CA16A3"/>
    <w:rsid w:val="00CA17C8"/>
    <w:rsid w:val="00CA1D08"/>
    <w:rsid w:val="00CA24CC"/>
    <w:rsid w:val="00CA2723"/>
    <w:rsid w:val="00CA2931"/>
    <w:rsid w:val="00CA2E26"/>
    <w:rsid w:val="00CA2E79"/>
    <w:rsid w:val="00CA3050"/>
    <w:rsid w:val="00CA3090"/>
    <w:rsid w:val="00CA31F7"/>
    <w:rsid w:val="00CA3280"/>
    <w:rsid w:val="00CA332A"/>
    <w:rsid w:val="00CA3334"/>
    <w:rsid w:val="00CA3446"/>
    <w:rsid w:val="00CA3728"/>
    <w:rsid w:val="00CA3DDA"/>
    <w:rsid w:val="00CA40E2"/>
    <w:rsid w:val="00CA4425"/>
    <w:rsid w:val="00CA464D"/>
    <w:rsid w:val="00CA4D0B"/>
    <w:rsid w:val="00CA5367"/>
    <w:rsid w:val="00CA5484"/>
    <w:rsid w:val="00CA5D3C"/>
    <w:rsid w:val="00CA5D71"/>
    <w:rsid w:val="00CA5DCF"/>
    <w:rsid w:val="00CA5FBB"/>
    <w:rsid w:val="00CA6343"/>
    <w:rsid w:val="00CA64E5"/>
    <w:rsid w:val="00CA650F"/>
    <w:rsid w:val="00CA690E"/>
    <w:rsid w:val="00CA6C46"/>
    <w:rsid w:val="00CA6CA1"/>
    <w:rsid w:val="00CA6F85"/>
    <w:rsid w:val="00CA735A"/>
    <w:rsid w:val="00CA7A99"/>
    <w:rsid w:val="00CA7E0B"/>
    <w:rsid w:val="00CB0244"/>
    <w:rsid w:val="00CB0678"/>
    <w:rsid w:val="00CB0AEC"/>
    <w:rsid w:val="00CB0D41"/>
    <w:rsid w:val="00CB0DED"/>
    <w:rsid w:val="00CB10EE"/>
    <w:rsid w:val="00CB1537"/>
    <w:rsid w:val="00CB1772"/>
    <w:rsid w:val="00CB1CAF"/>
    <w:rsid w:val="00CB1FF7"/>
    <w:rsid w:val="00CB23BC"/>
    <w:rsid w:val="00CB2693"/>
    <w:rsid w:val="00CB2C5A"/>
    <w:rsid w:val="00CB2C97"/>
    <w:rsid w:val="00CB2DDE"/>
    <w:rsid w:val="00CB2EFF"/>
    <w:rsid w:val="00CB323F"/>
    <w:rsid w:val="00CB342F"/>
    <w:rsid w:val="00CB363C"/>
    <w:rsid w:val="00CB3BDA"/>
    <w:rsid w:val="00CB3DA9"/>
    <w:rsid w:val="00CB3DB3"/>
    <w:rsid w:val="00CB3EFA"/>
    <w:rsid w:val="00CB3F0A"/>
    <w:rsid w:val="00CB4037"/>
    <w:rsid w:val="00CB4255"/>
    <w:rsid w:val="00CB46B4"/>
    <w:rsid w:val="00CB4758"/>
    <w:rsid w:val="00CB489A"/>
    <w:rsid w:val="00CB4D36"/>
    <w:rsid w:val="00CB52A8"/>
    <w:rsid w:val="00CB5319"/>
    <w:rsid w:val="00CB55EF"/>
    <w:rsid w:val="00CB57E3"/>
    <w:rsid w:val="00CB5D87"/>
    <w:rsid w:val="00CB5F05"/>
    <w:rsid w:val="00CB60B3"/>
    <w:rsid w:val="00CB6673"/>
    <w:rsid w:val="00CB738E"/>
    <w:rsid w:val="00CB7606"/>
    <w:rsid w:val="00CB7867"/>
    <w:rsid w:val="00CB7936"/>
    <w:rsid w:val="00CB79E0"/>
    <w:rsid w:val="00CB7D8F"/>
    <w:rsid w:val="00CC0104"/>
    <w:rsid w:val="00CC0267"/>
    <w:rsid w:val="00CC027C"/>
    <w:rsid w:val="00CC055E"/>
    <w:rsid w:val="00CC05B4"/>
    <w:rsid w:val="00CC0721"/>
    <w:rsid w:val="00CC07C9"/>
    <w:rsid w:val="00CC07D6"/>
    <w:rsid w:val="00CC07FE"/>
    <w:rsid w:val="00CC08EA"/>
    <w:rsid w:val="00CC0D5F"/>
    <w:rsid w:val="00CC150C"/>
    <w:rsid w:val="00CC165D"/>
    <w:rsid w:val="00CC16BA"/>
    <w:rsid w:val="00CC18A5"/>
    <w:rsid w:val="00CC1A82"/>
    <w:rsid w:val="00CC1B40"/>
    <w:rsid w:val="00CC1BFC"/>
    <w:rsid w:val="00CC1F10"/>
    <w:rsid w:val="00CC1FCA"/>
    <w:rsid w:val="00CC269E"/>
    <w:rsid w:val="00CC26AA"/>
    <w:rsid w:val="00CC26F9"/>
    <w:rsid w:val="00CC273F"/>
    <w:rsid w:val="00CC27A8"/>
    <w:rsid w:val="00CC281B"/>
    <w:rsid w:val="00CC2ACF"/>
    <w:rsid w:val="00CC2B97"/>
    <w:rsid w:val="00CC2EAC"/>
    <w:rsid w:val="00CC2EFC"/>
    <w:rsid w:val="00CC2F3F"/>
    <w:rsid w:val="00CC3061"/>
    <w:rsid w:val="00CC306E"/>
    <w:rsid w:val="00CC3157"/>
    <w:rsid w:val="00CC38E1"/>
    <w:rsid w:val="00CC3BFC"/>
    <w:rsid w:val="00CC3DA8"/>
    <w:rsid w:val="00CC4189"/>
    <w:rsid w:val="00CC4446"/>
    <w:rsid w:val="00CC4858"/>
    <w:rsid w:val="00CC49E0"/>
    <w:rsid w:val="00CC4ACE"/>
    <w:rsid w:val="00CC4B0D"/>
    <w:rsid w:val="00CC4B2D"/>
    <w:rsid w:val="00CC4D40"/>
    <w:rsid w:val="00CC4EA8"/>
    <w:rsid w:val="00CC5450"/>
    <w:rsid w:val="00CC5658"/>
    <w:rsid w:val="00CC57BB"/>
    <w:rsid w:val="00CC61C5"/>
    <w:rsid w:val="00CC639A"/>
    <w:rsid w:val="00CC65D2"/>
    <w:rsid w:val="00CC688A"/>
    <w:rsid w:val="00CC68A7"/>
    <w:rsid w:val="00CC695D"/>
    <w:rsid w:val="00CC6AEA"/>
    <w:rsid w:val="00CC6B90"/>
    <w:rsid w:val="00CC6BCF"/>
    <w:rsid w:val="00CC6DD2"/>
    <w:rsid w:val="00CC6E21"/>
    <w:rsid w:val="00CC73A5"/>
    <w:rsid w:val="00CC79AC"/>
    <w:rsid w:val="00CC7AD6"/>
    <w:rsid w:val="00CC7B43"/>
    <w:rsid w:val="00CC7CEA"/>
    <w:rsid w:val="00CC7F8E"/>
    <w:rsid w:val="00CD039A"/>
    <w:rsid w:val="00CD04E2"/>
    <w:rsid w:val="00CD071D"/>
    <w:rsid w:val="00CD0B12"/>
    <w:rsid w:val="00CD0D22"/>
    <w:rsid w:val="00CD0F11"/>
    <w:rsid w:val="00CD10B1"/>
    <w:rsid w:val="00CD115A"/>
    <w:rsid w:val="00CD130C"/>
    <w:rsid w:val="00CD14C2"/>
    <w:rsid w:val="00CD1606"/>
    <w:rsid w:val="00CD16D8"/>
    <w:rsid w:val="00CD18AF"/>
    <w:rsid w:val="00CD1E13"/>
    <w:rsid w:val="00CD1E3B"/>
    <w:rsid w:val="00CD2032"/>
    <w:rsid w:val="00CD2211"/>
    <w:rsid w:val="00CD25AF"/>
    <w:rsid w:val="00CD26A7"/>
    <w:rsid w:val="00CD2725"/>
    <w:rsid w:val="00CD283E"/>
    <w:rsid w:val="00CD2930"/>
    <w:rsid w:val="00CD2DB2"/>
    <w:rsid w:val="00CD2DF1"/>
    <w:rsid w:val="00CD3113"/>
    <w:rsid w:val="00CD31EB"/>
    <w:rsid w:val="00CD32B1"/>
    <w:rsid w:val="00CD34AB"/>
    <w:rsid w:val="00CD357E"/>
    <w:rsid w:val="00CD3699"/>
    <w:rsid w:val="00CD3B51"/>
    <w:rsid w:val="00CD40CD"/>
    <w:rsid w:val="00CD429E"/>
    <w:rsid w:val="00CD473E"/>
    <w:rsid w:val="00CD4843"/>
    <w:rsid w:val="00CD48F7"/>
    <w:rsid w:val="00CD4906"/>
    <w:rsid w:val="00CD4AD4"/>
    <w:rsid w:val="00CD4B46"/>
    <w:rsid w:val="00CD4D6E"/>
    <w:rsid w:val="00CD4E47"/>
    <w:rsid w:val="00CD542E"/>
    <w:rsid w:val="00CD5505"/>
    <w:rsid w:val="00CD5711"/>
    <w:rsid w:val="00CD59EF"/>
    <w:rsid w:val="00CD5D36"/>
    <w:rsid w:val="00CD603B"/>
    <w:rsid w:val="00CD60C2"/>
    <w:rsid w:val="00CD659E"/>
    <w:rsid w:val="00CD662D"/>
    <w:rsid w:val="00CD675A"/>
    <w:rsid w:val="00CD6799"/>
    <w:rsid w:val="00CD68B6"/>
    <w:rsid w:val="00CD69A1"/>
    <w:rsid w:val="00CD6E50"/>
    <w:rsid w:val="00CD6E86"/>
    <w:rsid w:val="00CD6F96"/>
    <w:rsid w:val="00CD7286"/>
    <w:rsid w:val="00CD74AD"/>
    <w:rsid w:val="00CD797E"/>
    <w:rsid w:val="00CD7E64"/>
    <w:rsid w:val="00CD7EC8"/>
    <w:rsid w:val="00CE02F7"/>
    <w:rsid w:val="00CE04AD"/>
    <w:rsid w:val="00CE0843"/>
    <w:rsid w:val="00CE0B52"/>
    <w:rsid w:val="00CE0C2A"/>
    <w:rsid w:val="00CE0D3C"/>
    <w:rsid w:val="00CE0F73"/>
    <w:rsid w:val="00CE11B2"/>
    <w:rsid w:val="00CE124B"/>
    <w:rsid w:val="00CE13F7"/>
    <w:rsid w:val="00CE1819"/>
    <w:rsid w:val="00CE19CC"/>
    <w:rsid w:val="00CE245F"/>
    <w:rsid w:val="00CE26DE"/>
    <w:rsid w:val="00CE2AB4"/>
    <w:rsid w:val="00CE2B80"/>
    <w:rsid w:val="00CE2C4F"/>
    <w:rsid w:val="00CE2D9B"/>
    <w:rsid w:val="00CE3200"/>
    <w:rsid w:val="00CE3260"/>
    <w:rsid w:val="00CE36DE"/>
    <w:rsid w:val="00CE3CC7"/>
    <w:rsid w:val="00CE4087"/>
    <w:rsid w:val="00CE418C"/>
    <w:rsid w:val="00CE4479"/>
    <w:rsid w:val="00CE4626"/>
    <w:rsid w:val="00CE480B"/>
    <w:rsid w:val="00CE4A0D"/>
    <w:rsid w:val="00CE4CA2"/>
    <w:rsid w:val="00CE4D87"/>
    <w:rsid w:val="00CE5029"/>
    <w:rsid w:val="00CE536C"/>
    <w:rsid w:val="00CE5A78"/>
    <w:rsid w:val="00CE5C07"/>
    <w:rsid w:val="00CE5F1F"/>
    <w:rsid w:val="00CE621D"/>
    <w:rsid w:val="00CE63F3"/>
    <w:rsid w:val="00CE64A0"/>
    <w:rsid w:val="00CE655B"/>
    <w:rsid w:val="00CE65FA"/>
    <w:rsid w:val="00CE6672"/>
    <w:rsid w:val="00CE698C"/>
    <w:rsid w:val="00CE6B73"/>
    <w:rsid w:val="00CE6B80"/>
    <w:rsid w:val="00CE6DF0"/>
    <w:rsid w:val="00CE726D"/>
    <w:rsid w:val="00CE75FA"/>
    <w:rsid w:val="00CE7714"/>
    <w:rsid w:val="00CE7849"/>
    <w:rsid w:val="00CE78FB"/>
    <w:rsid w:val="00CE794F"/>
    <w:rsid w:val="00CE7B85"/>
    <w:rsid w:val="00CE7DE2"/>
    <w:rsid w:val="00CF0356"/>
    <w:rsid w:val="00CF04C2"/>
    <w:rsid w:val="00CF0513"/>
    <w:rsid w:val="00CF0ED1"/>
    <w:rsid w:val="00CF1161"/>
    <w:rsid w:val="00CF1599"/>
    <w:rsid w:val="00CF1655"/>
    <w:rsid w:val="00CF1840"/>
    <w:rsid w:val="00CF1E2A"/>
    <w:rsid w:val="00CF21F2"/>
    <w:rsid w:val="00CF2311"/>
    <w:rsid w:val="00CF24B0"/>
    <w:rsid w:val="00CF2A27"/>
    <w:rsid w:val="00CF2B2C"/>
    <w:rsid w:val="00CF2C19"/>
    <w:rsid w:val="00CF2F9C"/>
    <w:rsid w:val="00CF302A"/>
    <w:rsid w:val="00CF309C"/>
    <w:rsid w:val="00CF339A"/>
    <w:rsid w:val="00CF340D"/>
    <w:rsid w:val="00CF35D6"/>
    <w:rsid w:val="00CF38AC"/>
    <w:rsid w:val="00CF3954"/>
    <w:rsid w:val="00CF3B93"/>
    <w:rsid w:val="00CF3BF7"/>
    <w:rsid w:val="00CF456A"/>
    <w:rsid w:val="00CF4A4B"/>
    <w:rsid w:val="00CF4CB4"/>
    <w:rsid w:val="00CF4CFA"/>
    <w:rsid w:val="00CF51A2"/>
    <w:rsid w:val="00CF51E8"/>
    <w:rsid w:val="00CF51FA"/>
    <w:rsid w:val="00CF5425"/>
    <w:rsid w:val="00CF54CA"/>
    <w:rsid w:val="00CF5F49"/>
    <w:rsid w:val="00CF603F"/>
    <w:rsid w:val="00CF62D8"/>
    <w:rsid w:val="00CF639F"/>
    <w:rsid w:val="00CF63DB"/>
    <w:rsid w:val="00CF659F"/>
    <w:rsid w:val="00CF7289"/>
    <w:rsid w:val="00CF7974"/>
    <w:rsid w:val="00CF7A61"/>
    <w:rsid w:val="00CF7E29"/>
    <w:rsid w:val="00CF7E3B"/>
    <w:rsid w:val="00D000A5"/>
    <w:rsid w:val="00D002C4"/>
    <w:rsid w:val="00D0030D"/>
    <w:rsid w:val="00D00CF7"/>
    <w:rsid w:val="00D00EBB"/>
    <w:rsid w:val="00D010CD"/>
    <w:rsid w:val="00D012FA"/>
    <w:rsid w:val="00D018E4"/>
    <w:rsid w:val="00D01909"/>
    <w:rsid w:val="00D01E15"/>
    <w:rsid w:val="00D01EE7"/>
    <w:rsid w:val="00D02006"/>
    <w:rsid w:val="00D02187"/>
    <w:rsid w:val="00D0221B"/>
    <w:rsid w:val="00D02259"/>
    <w:rsid w:val="00D027B8"/>
    <w:rsid w:val="00D028BF"/>
    <w:rsid w:val="00D02D2F"/>
    <w:rsid w:val="00D03262"/>
    <w:rsid w:val="00D035A8"/>
    <w:rsid w:val="00D03F0E"/>
    <w:rsid w:val="00D03F60"/>
    <w:rsid w:val="00D0411E"/>
    <w:rsid w:val="00D0457A"/>
    <w:rsid w:val="00D0467A"/>
    <w:rsid w:val="00D04757"/>
    <w:rsid w:val="00D0487A"/>
    <w:rsid w:val="00D04A8D"/>
    <w:rsid w:val="00D04BEF"/>
    <w:rsid w:val="00D04DA8"/>
    <w:rsid w:val="00D0509A"/>
    <w:rsid w:val="00D051B8"/>
    <w:rsid w:val="00D0534D"/>
    <w:rsid w:val="00D05CCA"/>
    <w:rsid w:val="00D05E98"/>
    <w:rsid w:val="00D060F7"/>
    <w:rsid w:val="00D06276"/>
    <w:rsid w:val="00D0631D"/>
    <w:rsid w:val="00D06352"/>
    <w:rsid w:val="00D068A2"/>
    <w:rsid w:val="00D06ED7"/>
    <w:rsid w:val="00D06FB6"/>
    <w:rsid w:val="00D0723D"/>
    <w:rsid w:val="00D07247"/>
    <w:rsid w:val="00D072D1"/>
    <w:rsid w:val="00D07416"/>
    <w:rsid w:val="00D07590"/>
    <w:rsid w:val="00D07604"/>
    <w:rsid w:val="00D077B8"/>
    <w:rsid w:val="00D078BD"/>
    <w:rsid w:val="00D0790C"/>
    <w:rsid w:val="00D07B93"/>
    <w:rsid w:val="00D07BDB"/>
    <w:rsid w:val="00D07CF4"/>
    <w:rsid w:val="00D07D09"/>
    <w:rsid w:val="00D07F7B"/>
    <w:rsid w:val="00D1006F"/>
    <w:rsid w:val="00D1024C"/>
    <w:rsid w:val="00D10ABD"/>
    <w:rsid w:val="00D10C11"/>
    <w:rsid w:val="00D10C28"/>
    <w:rsid w:val="00D10EF8"/>
    <w:rsid w:val="00D10F7D"/>
    <w:rsid w:val="00D110E7"/>
    <w:rsid w:val="00D11958"/>
    <w:rsid w:val="00D11AC9"/>
    <w:rsid w:val="00D11E0C"/>
    <w:rsid w:val="00D11EE1"/>
    <w:rsid w:val="00D12362"/>
    <w:rsid w:val="00D12376"/>
    <w:rsid w:val="00D12E6E"/>
    <w:rsid w:val="00D13004"/>
    <w:rsid w:val="00D1318A"/>
    <w:rsid w:val="00D1376C"/>
    <w:rsid w:val="00D14029"/>
    <w:rsid w:val="00D1466B"/>
    <w:rsid w:val="00D146EF"/>
    <w:rsid w:val="00D146F8"/>
    <w:rsid w:val="00D14ABF"/>
    <w:rsid w:val="00D14EE6"/>
    <w:rsid w:val="00D1519F"/>
    <w:rsid w:val="00D159D1"/>
    <w:rsid w:val="00D16250"/>
    <w:rsid w:val="00D162A3"/>
    <w:rsid w:val="00D167E6"/>
    <w:rsid w:val="00D168BD"/>
    <w:rsid w:val="00D16B21"/>
    <w:rsid w:val="00D16DF0"/>
    <w:rsid w:val="00D170E5"/>
    <w:rsid w:val="00D17322"/>
    <w:rsid w:val="00D17400"/>
    <w:rsid w:val="00D1748C"/>
    <w:rsid w:val="00D178EE"/>
    <w:rsid w:val="00D17950"/>
    <w:rsid w:val="00D17AF7"/>
    <w:rsid w:val="00D17CD4"/>
    <w:rsid w:val="00D2038F"/>
    <w:rsid w:val="00D20DF0"/>
    <w:rsid w:val="00D20FE8"/>
    <w:rsid w:val="00D212C9"/>
    <w:rsid w:val="00D212D0"/>
    <w:rsid w:val="00D21730"/>
    <w:rsid w:val="00D220CB"/>
    <w:rsid w:val="00D226B1"/>
    <w:rsid w:val="00D226D5"/>
    <w:rsid w:val="00D22779"/>
    <w:rsid w:val="00D22928"/>
    <w:rsid w:val="00D22CE9"/>
    <w:rsid w:val="00D2378A"/>
    <w:rsid w:val="00D23BD8"/>
    <w:rsid w:val="00D23D15"/>
    <w:rsid w:val="00D24105"/>
    <w:rsid w:val="00D242E5"/>
    <w:rsid w:val="00D243E6"/>
    <w:rsid w:val="00D245FA"/>
    <w:rsid w:val="00D2498A"/>
    <w:rsid w:val="00D249F2"/>
    <w:rsid w:val="00D25360"/>
    <w:rsid w:val="00D25475"/>
    <w:rsid w:val="00D255ED"/>
    <w:rsid w:val="00D256FE"/>
    <w:rsid w:val="00D259E7"/>
    <w:rsid w:val="00D25B56"/>
    <w:rsid w:val="00D25ECE"/>
    <w:rsid w:val="00D266DB"/>
    <w:rsid w:val="00D26856"/>
    <w:rsid w:val="00D26ACC"/>
    <w:rsid w:val="00D26DBE"/>
    <w:rsid w:val="00D26DE5"/>
    <w:rsid w:val="00D26FBD"/>
    <w:rsid w:val="00D2706C"/>
    <w:rsid w:val="00D27206"/>
    <w:rsid w:val="00D27642"/>
    <w:rsid w:val="00D2786A"/>
    <w:rsid w:val="00D2786F"/>
    <w:rsid w:val="00D279E0"/>
    <w:rsid w:val="00D27AB7"/>
    <w:rsid w:val="00D27EB8"/>
    <w:rsid w:val="00D3022D"/>
    <w:rsid w:val="00D30269"/>
    <w:rsid w:val="00D3034E"/>
    <w:rsid w:val="00D304B3"/>
    <w:rsid w:val="00D305D3"/>
    <w:rsid w:val="00D3067D"/>
    <w:rsid w:val="00D30ABA"/>
    <w:rsid w:val="00D30DBE"/>
    <w:rsid w:val="00D30DEA"/>
    <w:rsid w:val="00D312DC"/>
    <w:rsid w:val="00D312FE"/>
    <w:rsid w:val="00D31C8F"/>
    <w:rsid w:val="00D320B2"/>
    <w:rsid w:val="00D3214D"/>
    <w:rsid w:val="00D32325"/>
    <w:rsid w:val="00D3294D"/>
    <w:rsid w:val="00D32E62"/>
    <w:rsid w:val="00D32FD4"/>
    <w:rsid w:val="00D3303B"/>
    <w:rsid w:val="00D33495"/>
    <w:rsid w:val="00D334FB"/>
    <w:rsid w:val="00D33648"/>
    <w:rsid w:val="00D3377B"/>
    <w:rsid w:val="00D3397C"/>
    <w:rsid w:val="00D33F92"/>
    <w:rsid w:val="00D340BB"/>
    <w:rsid w:val="00D34118"/>
    <w:rsid w:val="00D34666"/>
    <w:rsid w:val="00D347C4"/>
    <w:rsid w:val="00D34C7F"/>
    <w:rsid w:val="00D351D8"/>
    <w:rsid w:val="00D356D2"/>
    <w:rsid w:val="00D357E5"/>
    <w:rsid w:val="00D358F7"/>
    <w:rsid w:val="00D3592F"/>
    <w:rsid w:val="00D35DCC"/>
    <w:rsid w:val="00D35EC9"/>
    <w:rsid w:val="00D361D7"/>
    <w:rsid w:val="00D363B1"/>
    <w:rsid w:val="00D364CC"/>
    <w:rsid w:val="00D3687C"/>
    <w:rsid w:val="00D36AEE"/>
    <w:rsid w:val="00D36E4C"/>
    <w:rsid w:val="00D373BA"/>
    <w:rsid w:val="00D37774"/>
    <w:rsid w:val="00D37FF7"/>
    <w:rsid w:val="00D4016D"/>
    <w:rsid w:val="00D401C0"/>
    <w:rsid w:val="00D40307"/>
    <w:rsid w:val="00D40ADB"/>
    <w:rsid w:val="00D40B20"/>
    <w:rsid w:val="00D40EDA"/>
    <w:rsid w:val="00D4102B"/>
    <w:rsid w:val="00D41275"/>
    <w:rsid w:val="00D41278"/>
    <w:rsid w:val="00D41476"/>
    <w:rsid w:val="00D414A6"/>
    <w:rsid w:val="00D41618"/>
    <w:rsid w:val="00D41C81"/>
    <w:rsid w:val="00D41CEC"/>
    <w:rsid w:val="00D41F48"/>
    <w:rsid w:val="00D4223A"/>
    <w:rsid w:val="00D42390"/>
    <w:rsid w:val="00D42436"/>
    <w:rsid w:val="00D42591"/>
    <w:rsid w:val="00D426FF"/>
    <w:rsid w:val="00D42770"/>
    <w:rsid w:val="00D42A7A"/>
    <w:rsid w:val="00D42E19"/>
    <w:rsid w:val="00D42F46"/>
    <w:rsid w:val="00D43562"/>
    <w:rsid w:val="00D43614"/>
    <w:rsid w:val="00D43761"/>
    <w:rsid w:val="00D43773"/>
    <w:rsid w:val="00D43845"/>
    <w:rsid w:val="00D43D51"/>
    <w:rsid w:val="00D43E7F"/>
    <w:rsid w:val="00D43EE0"/>
    <w:rsid w:val="00D43FC8"/>
    <w:rsid w:val="00D445A7"/>
    <w:rsid w:val="00D447E0"/>
    <w:rsid w:val="00D44DB2"/>
    <w:rsid w:val="00D44FEE"/>
    <w:rsid w:val="00D44FF4"/>
    <w:rsid w:val="00D452E1"/>
    <w:rsid w:val="00D457A6"/>
    <w:rsid w:val="00D458A8"/>
    <w:rsid w:val="00D4596E"/>
    <w:rsid w:val="00D4597B"/>
    <w:rsid w:val="00D45A5C"/>
    <w:rsid w:val="00D45B12"/>
    <w:rsid w:val="00D45E1E"/>
    <w:rsid w:val="00D46607"/>
    <w:rsid w:val="00D466C7"/>
    <w:rsid w:val="00D467E6"/>
    <w:rsid w:val="00D4685B"/>
    <w:rsid w:val="00D46DF8"/>
    <w:rsid w:val="00D46F95"/>
    <w:rsid w:val="00D46FFE"/>
    <w:rsid w:val="00D47282"/>
    <w:rsid w:val="00D47DAF"/>
    <w:rsid w:val="00D501C7"/>
    <w:rsid w:val="00D50522"/>
    <w:rsid w:val="00D50FC5"/>
    <w:rsid w:val="00D50FF0"/>
    <w:rsid w:val="00D51200"/>
    <w:rsid w:val="00D5130F"/>
    <w:rsid w:val="00D5174E"/>
    <w:rsid w:val="00D51BF8"/>
    <w:rsid w:val="00D51FD7"/>
    <w:rsid w:val="00D520F7"/>
    <w:rsid w:val="00D521F2"/>
    <w:rsid w:val="00D527F8"/>
    <w:rsid w:val="00D5297C"/>
    <w:rsid w:val="00D52A85"/>
    <w:rsid w:val="00D52D9C"/>
    <w:rsid w:val="00D52E92"/>
    <w:rsid w:val="00D5339C"/>
    <w:rsid w:val="00D53414"/>
    <w:rsid w:val="00D5359C"/>
    <w:rsid w:val="00D53CEC"/>
    <w:rsid w:val="00D53ECE"/>
    <w:rsid w:val="00D53FD2"/>
    <w:rsid w:val="00D54352"/>
    <w:rsid w:val="00D544EF"/>
    <w:rsid w:val="00D54683"/>
    <w:rsid w:val="00D54740"/>
    <w:rsid w:val="00D547F9"/>
    <w:rsid w:val="00D54A82"/>
    <w:rsid w:val="00D54BBF"/>
    <w:rsid w:val="00D55264"/>
    <w:rsid w:val="00D55BFB"/>
    <w:rsid w:val="00D55EC1"/>
    <w:rsid w:val="00D56169"/>
    <w:rsid w:val="00D5616C"/>
    <w:rsid w:val="00D5630B"/>
    <w:rsid w:val="00D5657B"/>
    <w:rsid w:val="00D56A4A"/>
    <w:rsid w:val="00D56B22"/>
    <w:rsid w:val="00D56D6C"/>
    <w:rsid w:val="00D56E11"/>
    <w:rsid w:val="00D5707E"/>
    <w:rsid w:val="00D5774C"/>
    <w:rsid w:val="00D57875"/>
    <w:rsid w:val="00D57987"/>
    <w:rsid w:val="00D57B1B"/>
    <w:rsid w:val="00D6056E"/>
    <w:rsid w:val="00D607DD"/>
    <w:rsid w:val="00D60B9C"/>
    <w:rsid w:val="00D60CAE"/>
    <w:rsid w:val="00D60E17"/>
    <w:rsid w:val="00D61783"/>
    <w:rsid w:val="00D61AC2"/>
    <w:rsid w:val="00D61B89"/>
    <w:rsid w:val="00D61DA1"/>
    <w:rsid w:val="00D61E17"/>
    <w:rsid w:val="00D61ECC"/>
    <w:rsid w:val="00D6209B"/>
    <w:rsid w:val="00D62272"/>
    <w:rsid w:val="00D622DB"/>
    <w:rsid w:val="00D624E9"/>
    <w:rsid w:val="00D625EF"/>
    <w:rsid w:val="00D625FA"/>
    <w:rsid w:val="00D62964"/>
    <w:rsid w:val="00D62A8A"/>
    <w:rsid w:val="00D62AF2"/>
    <w:rsid w:val="00D62B03"/>
    <w:rsid w:val="00D62D10"/>
    <w:rsid w:val="00D62FF0"/>
    <w:rsid w:val="00D63243"/>
    <w:rsid w:val="00D635D5"/>
    <w:rsid w:val="00D63784"/>
    <w:rsid w:val="00D63949"/>
    <w:rsid w:val="00D63CC3"/>
    <w:rsid w:val="00D63CD3"/>
    <w:rsid w:val="00D63CFD"/>
    <w:rsid w:val="00D63E43"/>
    <w:rsid w:val="00D63F61"/>
    <w:rsid w:val="00D63F8A"/>
    <w:rsid w:val="00D64475"/>
    <w:rsid w:val="00D64485"/>
    <w:rsid w:val="00D64F93"/>
    <w:rsid w:val="00D65625"/>
    <w:rsid w:val="00D657E5"/>
    <w:rsid w:val="00D658FB"/>
    <w:rsid w:val="00D65DBC"/>
    <w:rsid w:val="00D6630C"/>
    <w:rsid w:val="00D663A5"/>
    <w:rsid w:val="00D66F98"/>
    <w:rsid w:val="00D67520"/>
    <w:rsid w:val="00D6780D"/>
    <w:rsid w:val="00D6795C"/>
    <w:rsid w:val="00D67C63"/>
    <w:rsid w:val="00D67CEF"/>
    <w:rsid w:val="00D67F0B"/>
    <w:rsid w:val="00D7000F"/>
    <w:rsid w:val="00D703D2"/>
    <w:rsid w:val="00D704F6"/>
    <w:rsid w:val="00D70785"/>
    <w:rsid w:val="00D708BE"/>
    <w:rsid w:val="00D709FA"/>
    <w:rsid w:val="00D70D70"/>
    <w:rsid w:val="00D70ECB"/>
    <w:rsid w:val="00D71090"/>
    <w:rsid w:val="00D71265"/>
    <w:rsid w:val="00D71431"/>
    <w:rsid w:val="00D7188B"/>
    <w:rsid w:val="00D71BA8"/>
    <w:rsid w:val="00D7207A"/>
    <w:rsid w:val="00D72272"/>
    <w:rsid w:val="00D725CF"/>
    <w:rsid w:val="00D72E96"/>
    <w:rsid w:val="00D731AA"/>
    <w:rsid w:val="00D7333C"/>
    <w:rsid w:val="00D734F6"/>
    <w:rsid w:val="00D736ED"/>
    <w:rsid w:val="00D73A9F"/>
    <w:rsid w:val="00D742E1"/>
    <w:rsid w:val="00D74549"/>
    <w:rsid w:val="00D7473E"/>
    <w:rsid w:val="00D74939"/>
    <w:rsid w:val="00D7522C"/>
    <w:rsid w:val="00D75D49"/>
    <w:rsid w:val="00D760C3"/>
    <w:rsid w:val="00D76318"/>
    <w:rsid w:val="00D76486"/>
    <w:rsid w:val="00D764CF"/>
    <w:rsid w:val="00D76559"/>
    <w:rsid w:val="00D766C8"/>
    <w:rsid w:val="00D7689F"/>
    <w:rsid w:val="00D76983"/>
    <w:rsid w:val="00D76A5B"/>
    <w:rsid w:val="00D76C40"/>
    <w:rsid w:val="00D76CC4"/>
    <w:rsid w:val="00D76D9C"/>
    <w:rsid w:val="00D76FDA"/>
    <w:rsid w:val="00D7707A"/>
    <w:rsid w:val="00D77146"/>
    <w:rsid w:val="00D774C6"/>
    <w:rsid w:val="00D77520"/>
    <w:rsid w:val="00D77741"/>
    <w:rsid w:val="00D779A7"/>
    <w:rsid w:val="00D77B58"/>
    <w:rsid w:val="00D77B63"/>
    <w:rsid w:val="00D77D26"/>
    <w:rsid w:val="00D80033"/>
    <w:rsid w:val="00D800BA"/>
    <w:rsid w:val="00D800E1"/>
    <w:rsid w:val="00D802C7"/>
    <w:rsid w:val="00D80843"/>
    <w:rsid w:val="00D809DE"/>
    <w:rsid w:val="00D80A31"/>
    <w:rsid w:val="00D80A89"/>
    <w:rsid w:val="00D80CF8"/>
    <w:rsid w:val="00D81051"/>
    <w:rsid w:val="00D81192"/>
    <w:rsid w:val="00D811A6"/>
    <w:rsid w:val="00D81242"/>
    <w:rsid w:val="00D812CB"/>
    <w:rsid w:val="00D8142C"/>
    <w:rsid w:val="00D815BB"/>
    <w:rsid w:val="00D819C0"/>
    <w:rsid w:val="00D81C3F"/>
    <w:rsid w:val="00D81D9D"/>
    <w:rsid w:val="00D81DBD"/>
    <w:rsid w:val="00D81E7D"/>
    <w:rsid w:val="00D81F8F"/>
    <w:rsid w:val="00D82225"/>
    <w:rsid w:val="00D82552"/>
    <w:rsid w:val="00D82559"/>
    <w:rsid w:val="00D82676"/>
    <w:rsid w:val="00D828B3"/>
    <w:rsid w:val="00D830F3"/>
    <w:rsid w:val="00D83366"/>
    <w:rsid w:val="00D8379B"/>
    <w:rsid w:val="00D83835"/>
    <w:rsid w:val="00D83A35"/>
    <w:rsid w:val="00D83E3C"/>
    <w:rsid w:val="00D84099"/>
    <w:rsid w:val="00D84337"/>
    <w:rsid w:val="00D84747"/>
    <w:rsid w:val="00D84C4E"/>
    <w:rsid w:val="00D851F1"/>
    <w:rsid w:val="00D85B2C"/>
    <w:rsid w:val="00D86396"/>
    <w:rsid w:val="00D8687A"/>
    <w:rsid w:val="00D8696C"/>
    <w:rsid w:val="00D86AB8"/>
    <w:rsid w:val="00D86BAC"/>
    <w:rsid w:val="00D86EE4"/>
    <w:rsid w:val="00D87266"/>
    <w:rsid w:val="00D87695"/>
    <w:rsid w:val="00D878BC"/>
    <w:rsid w:val="00D879AB"/>
    <w:rsid w:val="00D87BC2"/>
    <w:rsid w:val="00D87C45"/>
    <w:rsid w:val="00D87DF4"/>
    <w:rsid w:val="00D87F3F"/>
    <w:rsid w:val="00D87FDF"/>
    <w:rsid w:val="00D90113"/>
    <w:rsid w:val="00D901DA"/>
    <w:rsid w:val="00D90299"/>
    <w:rsid w:val="00D906F8"/>
    <w:rsid w:val="00D90B48"/>
    <w:rsid w:val="00D90C4F"/>
    <w:rsid w:val="00D90C83"/>
    <w:rsid w:val="00D90D2D"/>
    <w:rsid w:val="00D90EFF"/>
    <w:rsid w:val="00D91152"/>
    <w:rsid w:val="00D9115E"/>
    <w:rsid w:val="00D9127D"/>
    <w:rsid w:val="00D915DA"/>
    <w:rsid w:val="00D91C49"/>
    <w:rsid w:val="00D92024"/>
    <w:rsid w:val="00D9204A"/>
    <w:rsid w:val="00D9218B"/>
    <w:rsid w:val="00D92738"/>
    <w:rsid w:val="00D92A36"/>
    <w:rsid w:val="00D92A69"/>
    <w:rsid w:val="00D92B3C"/>
    <w:rsid w:val="00D92D9D"/>
    <w:rsid w:val="00D93300"/>
    <w:rsid w:val="00D93607"/>
    <w:rsid w:val="00D93F6B"/>
    <w:rsid w:val="00D93FBE"/>
    <w:rsid w:val="00D94724"/>
    <w:rsid w:val="00D95298"/>
    <w:rsid w:val="00D9529D"/>
    <w:rsid w:val="00D953CB"/>
    <w:rsid w:val="00D959E3"/>
    <w:rsid w:val="00D95AD2"/>
    <w:rsid w:val="00D95BF6"/>
    <w:rsid w:val="00D96013"/>
    <w:rsid w:val="00D96129"/>
    <w:rsid w:val="00D962C9"/>
    <w:rsid w:val="00D962E7"/>
    <w:rsid w:val="00D96367"/>
    <w:rsid w:val="00D96513"/>
    <w:rsid w:val="00D9660C"/>
    <w:rsid w:val="00D96BD4"/>
    <w:rsid w:val="00D96D3F"/>
    <w:rsid w:val="00D96E96"/>
    <w:rsid w:val="00D97141"/>
    <w:rsid w:val="00D975CA"/>
    <w:rsid w:val="00D97644"/>
    <w:rsid w:val="00D976BC"/>
    <w:rsid w:val="00D9783E"/>
    <w:rsid w:val="00D97844"/>
    <w:rsid w:val="00D97990"/>
    <w:rsid w:val="00D979D8"/>
    <w:rsid w:val="00D97A32"/>
    <w:rsid w:val="00D97CF7"/>
    <w:rsid w:val="00DA01EF"/>
    <w:rsid w:val="00DA0625"/>
    <w:rsid w:val="00DA06E2"/>
    <w:rsid w:val="00DA07D7"/>
    <w:rsid w:val="00DA08E6"/>
    <w:rsid w:val="00DA0AC3"/>
    <w:rsid w:val="00DA0ADE"/>
    <w:rsid w:val="00DA0AF6"/>
    <w:rsid w:val="00DA0E0E"/>
    <w:rsid w:val="00DA1166"/>
    <w:rsid w:val="00DA1167"/>
    <w:rsid w:val="00DA123D"/>
    <w:rsid w:val="00DA19D5"/>
    <w:rsid w:val="00DA1A4D"/>
    <w:rsid w:val="00DA1B4B"/>
    <w:rsid w:val="00DA20B9"/>
    <w:rsid w:val="00DA2127"/>
    <w:rsid w:val="00DA2B33"/>
    <w:rsid w:val="00DA2C4E"/>
    <w:rsid w:val="00DA2FAE"/>
    <w:rsid w:val="00DA2FE4"/>
    <w:rsid w:val="00DA31DF"/>
    <w:rsid w:val="00DA3703"/>
    <w:rsid w:val="00DA3758"/>
    <w:rsid w:val="00DA38C4"/>
    <w:rsid w:val="00DA3AD8"/>
    <w:rsid w:val="00DA3C05"/>
    <w:rsid w:val="00DA41CA"/>
    <w:rsid w:val="00DA45DE"/>
    <w:rsid w:val="00DA4860"/>
    <w:rsid w:val="00DA4AEA"/>
    <w:rsid w:val="00DA4DAE"/>
    <w:rsid w:val="00DA5525"/>
    <w:rsid w:val="00DA5662"/>
    <w:rsid w:val="00DA5C8A"/>
    <w:rsid w:val="00DA5F74"/>
    <w:rsid w:val="00DA60F6"/>
    <w:rsid w:val="00DA622A"/>
    <w:rsid w:val="00DA636E"/>
    <w:rsid w:val="00DA6534"/>
    <w:rsid w:val="00DA666F"/>
    <w:rsid w:val="00DA6BAC"/>
    <w:rsid w:val="00DA6C4B"/>
    <w:rsid w:val="00DA6F55"/>
    <w:rsid w:val="00DA727D"/>
    <w:rsid w:val="00DA74D1"/>
    <w:rsid w:val="00DA7517"/>
    <w:rsid w:val="00DA764E"/>
    <w:rsid w:val="00DA7812"/>
    <w:rsid w:val="00DA781A"/>
    <w:rsid w:val="00DA78D2"/>
    <w:rsid w:val="00DA7E34"/>
    <w:rsid w:val="00DB01A5"/>
    <w:rsid w:val="00DB0522"/>
    <w:rsid w:val="00DB0922"/>
    <w:rsid w:val="00DB0CA2"/>
    <w:rsid w:val="00DB0CB7"/>
    <w:rsid w:val="00DB0E23"/>
    <w:rsid w:val="00DB1251"/>
    <w:rsid w:val="00DB13A5"/>
    <w:rsid w:val="00DB14A8"/>
    <w:rsid w:val="00DB1554"/>
    <w:rsid w:val="00DB1921"/>
    <w:rsid w:val="00DB2069"/>
    <w:rsid w:val="00DB212F"/>
    <w:rsid w:val="00DB24FD"/>
    <w:rsid w:val="00DB27A3"/>
    <w:rsid w:val="00DB2898"/>
    <w:rsid w:val="00DB29F2"/>
    <w:rsid w:val="00DB327B"/>
    <w:rsid w:val="00DB3433"/>
    <w:rsid w:val="00DB3CB5"/>
    <w:rsid w:val="00DB3D70"/>
    <w:rsid w:val="00DB4108"/>
    <w:rsid w:val="00DB4245"/>
    <w:rsid w:val="00DB4261"/>
    <w:rsid w:val="00DB4478"/>
    <w:rsid w:val="00DB469D"/>
    <w:rsid w:val="00DB4AE9"/>
    <w:rsid w:val="00DB4D74"/>
    <w:rsid w:val="00DB50E3"/>
    <w:rsid w:val="00DB5383"/>
    <w:rsid w:val="00DB56CA"/>
    <w:rsid w:val="00DB5B51"/>
    <w:rsid w:val="00DB687E"/>
    <w:rsid w:val="00DB6A0B"/>
    <w:rsid w:val="00DB6B03"/>
    <w:rsid w:val="00DB6D70"/>
    <w:rsid w:val="00DB7335"/>
    <w:rsid w:val="00DB75A7"/>
    <w:rsid w:val="00DB7C79"/>
    <w:rsid w:val="00DC0062"/>
    <w:rsid w:val="00DC051A"/>
    <w:rsid w:val="00DC0A3C"/>
    <w:rsid w:val="00DC0D56"/>
    <w:rsid w:val="00DC0DCE"/>
    <w:rsid w:val="00DC132C"/>
    <w:rsid w:val="00DC1365"/>
    <w:rsid w:val="00DC1BFC"/>
    <w:rsid w:val="00DC1D1A"/>
    <w:rsid w:val="00DC1D55"/>
    <w:rsid w:val="00DC210D"/>
    <w:rsid w:val="00DC2456"/>
    <w:rsid w:val="00DC2545"/>
    <w:rsid w:val="00DC2597"/>
    <w:rsid w:val="00DC2876"/>
    <w:rsid w:val="00DC2983"/>
    <w:rsid w:val="00DC2A15"/>
    <w:rsid w:val="00DC2B05"/>
    <w:rsid w:val="00DC2C49"/>
    <w:rsid w:val="00DC2D1C"/>
    <w:rsid w:val="00DC3020"/>
    <w:rsid w:val="00DC3211"/>
    <w:rsid w:val="00DC3288"/>
    <w:rsid w:val="00DC35B7"/>
    <w:rsid w:val="00DC3914"/>
    <w:rsid w:val="00DC401E"/>
    <w:rsid w:val="00DC4125"/>
    <w:rsid w:val="00DC4135"/>
    <w:rsid w:val="00DC4209"/>
    <w:rsid w:val="00DC42B3"/>
    <w:rsid w:val="00DC4556"/>
    <w:rsid w:val="00DC487F"/>
    <w:rsid w:val="00DC4F03"/>
    <w:rsid w:val="00DC505C"/>
    <w:rsid w:val="00DC5146"/>
    <w:rsid w:val="00DC538A"/>
    <w:rsid w:val="00DC53F4"/>
    <w:rsid w:val="00DC5466"/>
    <w:rsid w:val="00DC5470"/>
    <w:rsid w:val="00DC5664"/>
    <w:rsid w:val="00DC5720"/>
    <w:rsid w:val="00DC57D8"/>
    <w:rsid w:val="00DC58B8"/>
    <w:rsid w:val="00DC5AD7"/>
    <w:rsid w:val="00DC5C36"/>
    <w:rsid w:val="00DC60B0"/>
    <w:rsid w:val="00DC615D"/>
    <w:rsid w:val="00DC61B9"/>
    <w:rsid w:val="00DC625F"/>
    <w:rsid w:val="00DC6302"/>
    <w:rsid w:val="00DC63CB"/>
    <w:rsid w:val="00DC6491"/>
    <w:rsid w:val="00DC6989"/>
    <w:rsid w:val="00DC6D76"/>
    <w:rsid w:val="00DC6DC0"/>
    <w:rsid w:val="00DC6E74"/>
    <w:rsid w:val="00DC7456"/>
    <w:rsid w:val="00DC74CD"/>
    <w:rsid w:val="00DC776B"/>
    <w:rsid w:val="00DC785B"/>
    <w:rsid w:val="00DD0310"/>
    <w:rsid w:val="00DD06B2"/>
    <w:rsid w:val="00DD07C4"/>
    <w:rsid w:val="00DD0832"/>
    <w:rsid w:val="00DD0967"/>
    <w:rsid w:val="00DD0A63"/>
    <w:rsid w:val="00DD0F7C"/>
    <w:rsid w:val="00DD11EF"/>
    <w:rsid w:val="00DD139A"/>
    <w:rsid w:val="00DD1899"/>
    <w:rsid w:val="00DD1F05"/>
    <w:rsid w:val="00DD22CD"/>
    <w:rsid w:val="00DD24A7"/>
    <w:rsid w:val="00DD25DE"/>
    <w:rsid w:val="00DD3099"/>
    <w:rsid w:val="00DD32A3"/>
    <w:rsid w:val="00DD3490"/>
    <w:rsid w:val="00DD36A3"/>
    <w:rsid w:val="00DD38F9"/>
    <w:rsid w:val="00DD3BD6"/>
    <w:rsid w:val="00DD3BE9"/>
    <w:rsid w:val="00DD3F4B"/>
    <w:rsid w:val="00DD447E"/>
    <w:rsid w:val="00DD4560"/>
    <w:rsid w:val="00DD48C3"/>
    <w:rsid w:val="00DD49D4"/>
    <w:rsid w:val="00DD4C5A"/>
    <w:rsid w:val="00DD4CA9"/>
    <w:rsid w:val="00DD4F6B"/>
    <w:rsid w:val="00DD529D"/>
    <w:rsid w:val="00DD5603"/>
    <w:rsid w:val="00DD58A2"/>
    <w:rsid w:val="00DD58E2"/>
    <w:rsid w:val="00DD5904"/>
    <w:rsid w:val="00DD5D66"/>
    <w:rsid w:val="00DD5E61"/>
    <w:rsid w:val="00DD5EC2"/>
    <w:rsid w:val="00DD619B"/>
    <w:rsid w:val="00DD61CF"/>
    <w:rsid w:val="00DD6257"/>
    <w:rsid w:val="00DD6389"/>
    <w:rsid w:val="00DD638B"/>
    <w:rsid w:val="00DD63C5"/>
    <w:rsid w:val="00DD67DE"/>
    <w:rsid w:val="00DD69BD"/>
    <w:rsid w:val="00DD69CF"/>
    <w:rsid w:val="00DD6E60"/>
    <w:rsid w:val="00DD704F"/>
    <w:rsid w:val="00DD72BB"/>
    <w:rsid w:val="00DD7337"/>
    <w:rsid w:val="00DD73A0"/>
    <w:rsid w:val="00DD765F"/>
    <w:rsid w:val="00DD7B35"/>
    <w:rsid w:val="00DD7FDB"/>
    <w:rsid w:val="00DE0367"/>
    <w:rsid w:val="00DE085D"/>
    <w:rsid w:val="00DE08A5"/>
    <w:rsid w:val="00DE1068"/>
    <w:rsid w:val="00DE1158"/>
    <w:rsid w:val="00DE124B"/>
    <w:rsid w:val="00DE12C7"/>
    <w:rsid w:val="00DE12FC"/>
    <w:rsid w:val="00DE137E"/>
    <w:rsid w:val="00DE15A6"/>
    <w:rsid w:val="00DE1A43"/>
    <w:rsid w:val="00DE1BB2"/>
    <w:rsid w:val="00DE1BFE"/>
    <w:rsid w:val="00DE1C95"/>
    <w:rsid w:val="00DE1D25"/>
    <w:rsid w:val="00DE1E0F"/>
    <w:rsid w:val="00DE24D1"/>
    <w:rsid w:val="00DE275D"/>
    <w:rsid w:val="00DE295B"/>
    <w:rsid w:val="00DE2A7A"/>
    <w:rsid w:val="00DE2B64"/>
    <w:rsid w:val="00DE2BFA"/>
    <w:rsid w:val="00DE2CFB"/>
    <w:rsid w:val="00DE36A2"/>
    <w:rsid w:val="00DE3826"/>
    <w:rsid w:val="00DE39BB"/>
    <w:rsid w:val="00DE3C26"/>
    <w:rsid w:val="00DE3C5F"/>
    <w:rsid w:val="00DE3ED0"/>
    <w:rsid w:val="00DE41B9"/>
    <w:rsid w:val="00DE42D9"/>
    <w:rsid w:val="00DE4580"/>
    <w:rsid w:val="00DE470A"/>
    <w:rsid w:val="00DE483F"/>
    <w:rsid w:val="00DE4D3D"/>
    <w:rsid w:val="00DE4FF8"/>
    <w:rsid w:val="00DE506F"/>
    <w:rsid w:val="00DE521B"/>
    <w:rsid w:val="00DE57E9"/>
    <w:rsid w:val="00DE6162"/>
    <w:rsid w:val="00DE6221"/>
    <w:rsid w:val="00DE6379"/>
    <w:rsid w:val="00DE6463"/>
    <w:rsid w:val="00DE6C43"/>
    <w:rsid w:val="00DE7369"/>
    <w:rsid w:val="00DE774F"/>
    <w:rsid w:val="00DE7A5F"/>
    <w:rsid w:val="00DE7B47"/>
    <w:rsid w:val="00DE7F28"/>
    <w:rsid w:val="00DF02BF"/>
    <w:rsid w:val="00DF0438"/>
    <w:rsid w:val="00DF06C5"/>
    <w:rsid w:val="00DF09EF"/>
    <w:rsid w:val="00DF0FE8"/>
    <w:rsid w:val="00DF144F"/>
    <w:rsid w:val="00DF14FC"/>
    <w:rsid w:val="00DF1740"/>
    <w:rsid w:val="00DF17FF"/>
    <w:rsid w:val="00DF1A99"/>
    <w:rsid w:val="00DF1AD9"/>
    <w:rsid w:val="00DF1C6D"/>
    <w:rsid w:val="00DF1E9A"/>
    <w:rsid w:val="00DF1F8D"/>
    <w:rsid w:val="00DF1FFD"/>
    <w:rsid w:val="00DF22E3"/>
    <w:rsid w:val="00DF24FC"/>
    <w:rsid w:val="00DF2914"/>
    <w:rsid w:val="00DF2E64"/>
    <w:rsid w:val="00DF2F23"/>
    <w:rsid w:val="00DF30E7"/>
    <w:rsid w:val="00DF36C2"/>
    <w:rsid w:val="00DF393F"/>
    <w:rsid w:val="00DF3BC4"/>
    <w:rsid w:val="00DF3BC8"/>
    <w:rsid w:val="00DF3F3C"/>
    <w:rsid w:val="00DF4044"/>
    <w:rsid w:val="00DF40B1"/>
    <w:rsid w:val="00DF434C"/>
    <w:rsid w:val="00DF46D3"/>
    <w:rsid w:val="00DF48D5"/>
    <w:rsid w:val="00DF4B5D"/>
    <w:rsid w:val="00DF4B6A"/>
    <w:rsid w:val="00DF4E4E"/>
    <w:rsid w:val="00DF5B29"/>
    <w:rsid w:val="00DF5E38"/>
    <w:rsid w:val="00DF5FEE"/>
    <w:rsid w:val="00DF6195"/>
    <w:rsid w:val="00DF67A8"/>
    <w:rsid w:val="00DF684C"/>
    <w:rsid w:val="00DF6921"/>
    <w:rsid w:val="00DF6CCA"/>
    <w:rsid w:val="00DF6D96"/>
    <w:rsid w:val="00DF6EB6"/>
    <w:rsid w:val="00DF7641"/>
    <w:rsid w:val="00DF76E5"/>
    <w:rsid w:val="00DF7919"/>
    <w:rsid w:val="00DF7944"/>
    <w:rsid w:val="00DF7BD8"/>
    <w:rsid w:val="00DF7D16"/>
    <w:rsid w:val="00DF7EE3"/>
    <w:rsid w:val="00E000B4"/>
    <w:rsid w:val="00E003C9"/>
    <w:rsid w:val="00E003F0"/>
    <w:rsid w:val="00E004BC"/>
    <w:rsid w:val="00E004E3"/>
    <w:rsid w:val="00E00546"/>
    <w:rsid w:val="00E0090D"/>
    <w:rsid w:val="00E00A4F"/>
    <w:rsid w:val="00E00A5D"/>
    <w:rsid w:val="00E00BD6"/>
    <w:rsid w:val="00E00C6C"/>
    <w:rsid w:val="00E00CB4"/>
    <w:rsid w:val="00E00E98"/>
    <w:rsid w:val="00E00F73"/>
    <w:rsid w:val="00E01325"/>
    <w:rsid w:val="00E0133E"/>
    <w:rsid w:val="00E016D0"/>
    <w:rsid w:val="00E01B0E"/>
    <w:rsid w:val="00E01D18"/>
    <w:rsid w:val="00E01EE5"/>
    <w:rsid w:val="00E02092"/>
    <w:rsid w:val="00E02497"/>
    <w:rsid w:val="00E02835"/>
    <w:rsid w:val="00E02F83"/>
    <w:rsid w:val="00E030C8"/>
    <w:rsid w:val="00E03220"/>
    <w:rsid w:val="00E037D8"/>
    <w:rsid w:val="00E03E02"/>
    <w:rsid w:val="00E03EA9"/>
    <w:rsid w:val="00E0408B"/>
    <w:rsid w:val="00E0492A"/>
    <w:rsid w:val="00E049CD"/>
    <w:rsid w:val="00E04B4E"/>
    <w:rsid w:val="00E04E12"/>
    <w:rsid w:val="00E04E31"/>
    <w:rsid w:val="00E04ECC"/>
    <w:rsid w:val="00E04F23"/>
    <w:rsid w:val="00E04F6E"/>
    <w:rsid w:val="00E04FD2"/>
    <w:rsid w:val="00E04FED"/>
    <w:rsid w:val="00E05099"/>
    <w:rsid w:val="00E05753"/>
    <w:rsid w:val="00E05912"/>
    <w:rsid w:val="00E05951"/>
    <w:rsid w:val="00E05985"/>
    <w:rsid w:val="00E05AEB"/>
    <w:rsid w:val="00E05FEC"/>
    <w:rsid w:val="00E061D8"/>
    <w:rsid w:val="00E065E4"/>
    <w:rsid w:val="00E066BF"/>
    <w:rsid w:val="00E0696E"/>
    <w:rsid w:val="00E06CF7"/>
    <w:rsid w:val="00E070E3"/>
    <w:rsid w:val="00E0723C"/>
    <w:rsid w:val="00E075E6"/>
    <w:rsid w:val="00E076FC"/>
    <w:rsid w:val="00E0784C"/>
    <w:rsid w:val="00E07BD7"/>
    <w:rsid w:val="00E07E16"/>
    <w:rsid w:val="00E1005A"/>
    <w:rsid w:val="00E10220"/>
    <w:rsid w:val="00E103FB"/>
    <w:rsid w:val="00E1052D"/>
    <w:rsid w:val="00E107BC"/>
    <w:rsid w:val="00E10A7B"/>
    <w:rsid w:val="00E110CC"/>
    <w:rsid w:val="00E123D9"/>
    <w:rsid w:val="00E12456"/>
    <w:rsid w:val="00E124D2"/>
    <w:rsid w:val="00E1293D"/>
    <w:rsid w:val="00E12984"/>
    <w:rsid w:val="00E12CCE"/>
    <w:rsid w:val="00E12EF0"/>
    <w:rsid w:val="00E131EF"/>
    <w:rsid w:val="00E133E4"/>
    <w:rsid w:val="00E13634"/>
    <w:rsid w:val="00E13787"/>
    <w:rsid w:val="00E138F6"/>
    <w:rsid w:val="00E13FA3"/>
    <w:rsid w:val="00E1411C"/>
    <w:rsid w:val="00E142E1"/>
    <w:rsid w:val="00E14408"/>
    <w:rsid w:val="00E144C9"/>
    <w:rsid w:val="00E149AF"/>
    <w:rsid w:val="00E14AC5"/>
    <w:rsid w:val="00E14AF7"/>
    <w:rsid w:val="00E1503B"/>
    <w:rsid w:val="00E150D9"/>
    <w:rsid w:val="00E1511D"/>
    <w:rsid w:val="00E151E9"/>
    <w:rsid w:val="00E1521C"/>
    <w:rsid w:val="00E153E5"/>
    <w:rsid w:val="00E154BD"/>
    <w:rsid w:val="00E15D15"/>
    <w:rsid w:val="00E15EDF"/>
    <w:rsid w:val="00E1615C"/>
    <w:rsid w:val="00E16229"/>
    <w:rsid w:val="00E16516"/>
    <w:rsid w:val="00E16583"/>
    <w:rsid w:val="00E16634"/>
    <w:rsid w:val="00E16823"/>
    <w:rsid w:val="00E16879"/>
    <w:rsid w:val="00E16954"/>
    <w:rsid w:val="00E16B69"/>
    <w:rsid w:val="00E16BC6"/>
    <w:rsid w:val="00E16F33"/>
    <w:rsid w:val="00E177DB"/>
    <w:rsid w:val="00E17A0D"/>
    <w:rsid w:val="00E17D43"/>
    <w:rsid w:val="00E17ED3"/>
    <w:rsid w:val="00E17F93"/>
    <w:rsid w:val="00E17FCA"/>
    <w:rsid w:val="00E20082"/>
    <w:rsid w:val="00E2023E"/>
    <w:rsid w:val="00E2038D"/>
    <w:rsid w:val="00E2076A"/>
    <w:rsid w:val="00E209C9"/>
    <w:rsid w:val="00E20BCD"/>
    <w:rsid w:val="00E20EE9"/>
    <w:rsid w:val="00E21145"/>
    <w:rsid w:val="00E213F6"/>
    <w:rsid w:val="00E21696"/>
    <w:rsid w:val="00E21885"/>
    <w:rsid w:val="00E21918"/>
    <w:rsid w:val="00E21DAE"/>
    <w:rsid w:val="00E21EB8"/>
    <w:rsid w:val="00E220DE"/>
    <w:rsid w:val="00E2236A"/>
    <w:rsid w:val="00E2261B"/>
    <w:rsid w:val="00E22A54"/>
    <w:rsid w:val="00E22BDA"/>
    <w:rsid w:val="00E22EA8"/>
    <w:rsid w:val="00E23195"/>
    <w:rsid w:val="00E23896"/>
    <w:rsid w:val="00E23DDB"/>
    <w:rsid w:val="00E23E54"/>
    <w:rsid w:val="00E24309"/>
    <w:rsid w:val="00E2443E"/>
    <w:rsid w:val="00E2449F"/>
    <w:rsid w:val="00E2486E"/>
    <w:rsid w:val="00E24CCE"/>
    <w:rsid w:val="00E24DE7"/>
    <w:rsid w:val="00E24F74"/>
    <w:rsid w:val="00E25572"/>
    <w:rsid w:val="00E2578E"/>
    <w:rsid w:val="00E257B1"/>
    <w:rsid w:val="00E25FBE"/>
    <w:rsid w:val="00E26103"/>
    <w:rsid w:val="00E26377"/>
    <w:rsid w:val="00E265E6"/>
    <w:rsid w:val="00E26A30"/>
    <w:rsid w:val="00E26A57"/>
    <w:rsid w:val="00E26A96"/>
    <w:rsid w:val="00E26E03"/>
    <w:rsid w:val="00E26E9C"/>
    <w:rsid w:val="00E270C2"/>
    <w:rsid w:val="00E2737D"/>
    <w:rsid w:val="00E2748D"/>
    <w:rsid w:val="00E277FE"/>
    <w:rsid w:val="00E278D8"/>
    <w:rsid w:val="00E279CB"/>
    <w:rsid w:val="00E27CA9"/>
    <w:rsid w:val="00E27E08"/>
    <w:rsid w:val="00E30525"/>
    <w:rsid w:val="00E30628"/>
    <w:rsid w:val="00E306A8"/>
    <w:rsid w:val="00E309D8"/>
    <w:rsid w:val="00E30C4F"/>
    <w:rsid w:val="00E30F09"/>
    <w:rsid w:val="00E30F16"/>
    <w:rsid w:val="00E3121C"/>
    <w:rsid w:val="00E315AB"/>
    <w:rsid w:val="00E31AA9"/>
    <w:rsid w:val="00E31CAA"/>
    <w:rsid w:val="00E320E2"/>
    <w:rsid w:val="00E321E7"/>
    <w:rsid w:val="00E32325"/>
    <w:rsid w:val="00E3278B"/>
    <w:rsid w:val="00E32CD9"/>
    <w:rsid w:val="00E3312E"/>
    <w:rsid w:val="00E3373D"/>
    <w:rsid w:val="00E337AC"/>
    <w:rsid w:val="00E33967"/>
    <w:rsid w:val="00E33CF7"/>
    <w:rsid w:val="00E33D89"/>
    <w:rsid w:val="00E33F7A"/>
    <w:rsid w:val="00E34064"/>
    <w:rsid w:val="00E340D3"/>
    <w:rsid w:val="00E343DD"/>
    <w:rsid w:val="00E3477C"/>
    <w:rsid w:val="00E34BD2"/>
    <w:rsid w:val="00E34F4F"/>
    <w:rsid w:val="00E34FAC"/>
    <w:rsid w:val="00E3502D"/>
    <w:rsid w:val="00E35836"/>
    <w:rsid w:val="00E35B60"/>
    <w:rsid w:val="00E35C89"/>
    <w:rsid w:val="00E360D3"/>
    <w:rsid w:val="00E361B5"/>
    <w:rsid w:val="00E3626C"/>
    <w:rsid w:val="00E3698C"/>
    <w:rsid w:val="00E36DFD"/>
    <w:rsid w:val="00E37568"/>
    <w:rsid w:val="00E3756E"/>
    <w:rsid w:val="00E37834"/>
    <w:rsid w:val="00E37D2D"/>
    <w:rsid w:val="00E400C8"/>
    <w:rsid w:val="00E40504"/>
    <w:rsid w:val="00E40537"/>
    <w:rsid w:val="00E407C4"/>
    <w:rsid w:val="00E408A7"/>
    <w:rsid w:val="00E408E2"/>
    <w:rsid w:val="00E40B54"/>
    <w:rsid w:val="00E40F31"/>
    <w:rsid w:val="00E40F82"/>
    <w:rsid w:val="00E41286"/>
    <w:rsid w:val="00E41501"/>
    <w:rsid w:val="00E418EF"/>
    <w:rsid w:val="00E41E12"/>
    <w:rsid w:val="00E41E75"/>
    <w:rsid w:val="00E41EC5"/>
    <w:rsid w:val="00E422EA"/>
    <w:rsid w:val="00E42875"/>
    <w:rsid w:val="00E42C0F"/>
    <w:rsid w:val="00E42E45"/>
    <w:rsid w:val="00E43124"/>
    <w:rsid w:val="00E43249"/>
    <w:rsid w:val="00E4372F"/>
    <w:rsid w:val="00E43733"/>
    <w:rsid w:val="00E438BB"/>
    <w:rsid w:val="00E43B21"/>
    <w:rsid w:val="00E43DB6"/>
    <w:rsid w:val="00E44467"/>
    <w:rsid w:val="00E444EC"/>
    <w:rsid w:val="00E4493A"/>
    <w:rsid w:val="00E4495D"/>
    <w:rsid w:val="00E44997"/>
    <w:rsid w:val="00E449AB"/>
    <w:rsid w:val="00E44ACB"/>
    <w:rsid w:val="00E44BA9"/>
    <w:rsid w:val="00E4536F"/>
    <w:rsid w:val="00E45462"/>
    <w:rsid w:val="00E45B3F"/>
    <w:rsid w:val="00E45FEF"/>
    <w:rsid w:val="00E4640A"/>
    <w:rsid w:val="00E464EA"/>
    <w:rsid w:val="00E46553"/>
    <w:rsid w:val="00E468B7"/>
    <w:rsid w:val="00E46A8E"/>
    <w:rsid w:val="00E46B4D"/>
    <w:rsid w:val="00E4733E"/>
    <w:rsid w:val="00E474EF"/>
    <w:rsid w:val="00E47652"/>
    <w:rsid w:val="00E47871"/>
    <w:rsid w:val="00E47DED"/>
    <w:rsid w:val="00E50438"/>
    <w:rsid w:val="00E506F1"/>
    <w:rsid w:val="00E50BE1"/>
    <w:rsid w:val="00E50D52"/>
    <w:rsid w:val="00E50DF6"/>
    <w:rsid w:val="00E50E76"/>
    <w:rsid w:val="00E50FB2"/>
    <w:rsid w:val="00E50FF0"/>
    <w:rsid w:val="00E51372"/>
    <w:rsid w:val="00E51514"/>
    <w:rsid w:val="00E51C85"/>
    <w:rsid w:val="00E51CB6"/>
    <w:rsid w:val="00E51DA8"/>
    <w:rsid w:val="00E52027"/>
    <w:rsid w:val="00E52119"/>
    <w:rsid w:val="00E52138"/>
    <w:rsid w:val="00E5217F"/>
    <w:rsid w:val="00E5219A"/>
    <w:rsid w:val="00E521DE"/>
    <w:rsid w:val="00E525F7"/>
    <w:rsid w:val="00E529F8"/>
    <w:rsid w:val="00E52A16"/>
    <w:rsid w:val="00E52A4F"/>
    <w:rsid w:val="00E52DF0"/>
    <w:rsid w:val="00E533AA"/>
    <w:rsid w:val="00E53519"/>
    <w:rsid w:val="00E53B27"/>
    <w:rsid w:val="00E53BFA"/>
    <w:rsid w:val="00E5409D"/>
    <w:rsid w:val="00E543A0"/>
    <w:rsid w:val="00E5443D"/>
    <w:rsid w:val="00E54DC2"/>
    <w:rsid w:val="00E54F5C"/>
    <w:rsid w:val="00E54FF8"/>
    <w:rsid w:val="00E5581C"/>
    <w:rsid w:val="00E558AF"/>
    <w:rsid w:val="00E55B52"/>
    <w:rsid w:val="00E55CDD"/>
    <w:rsid w:val="00E55DC0"/>
    <w:rsid w:val="00E56260"/>
    <w:rsid w:val="00E56A88"/>
    <w:rsid w:val="00E56C0E"/>
    <w:rsid w:val="00E56D50"/>
    <w:rsid w:val="00E56E5D"/>
    <w:rsid w:val="00E57965"/>
    <w:rsid w:val="00E57A74"/>
    <w:rsid w:val="00E57D39"/>
    <w:rsid w:val="00E605F8"/>
    <w:rsid w:val="00E609AB"/>
    <w:rsid w:val="00E60CB4"/>
    <w:rsid w:val="00E6101E"/>
    <w:rsid w:val="00E6117A"/>
    <w:rsid w:val="00E6118D"/>
    <w:rsid w:val="00E61A40"/>
    <w:rsid w:val="00E61B99"/>
    <w:rsid w:val="00E61C40"/>
    <w:rsid w:val="00E61D25"/>
    <w:rsid w:val="00E6229E"/>
    <w:rsid w:val="00E6297B"/>
    <w:rsid w:val="00E62AE6"/>
    <w:rsid w:val="00E62D69"/>
    <w:rsid w:val="00E62FD5"/>
    <w:rsid w:val="00E630AC"/>
    <w:rsid w:val="00E631CD"/>
    <w:rsid w:val="00E63253"/>
    <w:rsid w:val="00E63508"/>
    <w:rsid w:val="00E63569"/>
    <w:rsid w:val="00E6395F"/>
    <w:rsid w:val="00E639C5"/>
    <w:rsid w:val="00E63C27"/>
    <w:rsid w:val="00E64096"/>
    <w:rsid w:val="00E64142"/>
    <w:rsid w:val="00E641BE"/>
    <w:rsid w:val="00E644F2"/>
    <w:rsid w:val="00E64791"/>
    <w:rsid w:val="00E648E4"/>
    <w:rsid w:val="00E64A4F"/>
    <w:rsid w:val="00E65348"/>
    <w:rsid w:val="00E6591D"/>
    <w:rsid w:val="00E65C01"/>
    <w:rsid w:val="00E65F06"/>
    <w:rsid w:val="00E6637A"/>
    <w:rsid w:val="00E665E0"/>
    <w:rsid w:val="00E665EB"/>
    <w:rsid w:val="00E66642"/>
    <w:rsid w:val="00E66A48"/>
    <w:rsid w:val="00E66AA0"/>
    <w:rsid w:val="00E66C0A"/>
    <w:rsid w:val="00E66CA8"/>
    <w:rsid w:val="00E66FCC"/>
    <w:rsid w:val="00E672C5"/>
    <w:rsid w:val="00E70048"/>
    <w:rsid w:val="00E703C4"/>
    <w:rsid w:val="00E7080C"/>
    <w:rsid w:val="00E7090E"/>
    <w:rsid w:val="00E709F9"/>
    <w:rsid w:val="00E70A1F"/>
    <w:rsid w:val="00E70BFD"/>
    <w:rsid w:val="00E70D2A"/>
    <w:rsid w:val="00E70DA7"/>
    <w:rsid w:val="00E70F04"/>
    <w:rsid w:val="00E7109B"/>
    <w:rsid w:val="00E71100"/>
    <w:rsid w:val="00E711B6"/>
    <w:rsid w:val="00E7134B"/>
    <w:rsid w:val="00E713CE"/>
    <w:rsid w:val="00E714DD"/>
    <w:rsid w:val="00E71723"/>
    <w:rsid w:val="00E7199D"/>
    <w:rsid w:val="00E71AAE"/>
    <w:rsid w:val="00E71B6C"/>
    <w:rsid w:val="00E71E50"/>
    <w:rsid w:val="00E72081"/>
    <w:rsid w:val="00E722B4"/>
    <w:rsid w:val="00E7240F"/>
    <w:rsid w:val="00E72676"/>
    <w:rsid w:val="00E72A32"/>
    <w:rsid w:val="00E72F7B"/>
    <w:rsid w:val="00E72FD5"/>
    <w:rsid w:val="00E730DE"/>
    <w:rsid w:val="00E732E0"/>
    <w:rsid w:val="00E73304"/>
    <w:rsid w:val="00E73449"/>
    <w:rsid w:val="00E73994"/>
    <w:rsid w:val="00E73D46"/>
    <w:rsid w:val="00E74073"/>
    <w:rsid w:val="00E746B1"/>
    <w:rsid w:val="00E74B93"/>
    <w:rsid w:val="00E7539F"/>
    <w:rsid w:val="00E75BC3"/>
    <w:rsid w:val="00E75C03"/>
    <w:rsid w:val="00E75C98"/>
    <w:rsid w:val="00E75DD1"/>
    <w:rsid w:val="00E75FCD"/>
    <w:rsid w:val="00E7649A"/>
    <w:rsid w:val="00E7667C"/>
    <w:rsid w:val="00E767FB"/>
    <w:rsid w:val="00E7684A"/>
    <w:rsid w:val="00E770C5"/>
    <w:rsid w:val="00E77148"/>
    <w:rsid w:val="00E775EB"/>
    <w:rsid w:val="00E77609"/>
    <w:rsid w:val="00E77791"/>
    <w:rsid w:val="00E777E7"/>
    <w:rsid w:val="00E779CD"/>
    <w:rsid w:val="00E77DFB"/>
    <w:rsid w:val="00E80206"/>
    <w:rsid w:val="00E80338"/>
    <w:rsid w:val="00E80DBE"/>
    <w:rsid w:val="00E80F2A"/>
    <w:rsid w:val="00E8123C"/>
    <w:rsid w:val="00E81294"/>
    <w:rsid w:val="00E812C4"/>
    <w:rsid w:val="00E818AB"/>
    <w:rsid w:val="00E81D0E"/>
    <w:rsid w:val="00E81EBC"/>
    <w:rsid w:val="00E820D7"/>
    <w:rsid w:val="00E82F25"/>
    <w:rsid w:val="00E82FCD"/>
    <w:rsid w:val="00E832F7"/>
    <w:rsid w:val="00E83390"/>
    <w:rsid w:val="00E83436"/>
    <w:rsid w:val="00E835EC"/>
    <w:rsid w:val="00E83697"/>
    <w:rsid w:val="00E83702"/>
    <w:rsid w:val="00E83D33"/>
    <w:rsid w:val="00E83D5C"/>
    <w:rsid w:val="00E83E0B"/>
    <w:rsid w:val="00E8404A"/>
    <w:rsid w:val="00E84140"/>
    <w:rsid w:val="00E84291"/>
    <w:rsid w:val="00E8429F"/>
    <w:rsid w:val="00E846D5"/>
    <w:rsid w:val="00E8472F"/>
    <w:rsid w:val="00E847EA"/>
    <w:rsid w:val="00E84869"/>
    <w:rsid w:val="00E8486A"/>
    <w:rsid w:val="00E84C80"/>
    <w:rsid w:val="00E852D1"/>
    <w:rsid w:val="00E855D4"/>
    <w:rsid w:val="00E858C8"/>
    <w:rsid w:val="00E85A63"/>
    <w:rsid w:val="00E86115"/>
    <w:rsid w:val="00E86353"/>
    <w:rsid w:val="00E8665A"/>
    <w:rsid w:val="00E86AF3"/>
    <w:rsid w:val="00E86C2D"/>
    <w:rsid w:val="00E86F41"/>
    <w:rsid w:val="00E86F51"/>
    <w:rsid w:val="00E87198"/>
    <w:rsid w:val="00E873CE"/>
    <w:rsid w:val="00E87A22"/>
    <w:rsid w:val="00E87AA7"/>
    <w:rsid w:val="00E87BAA"/>
    <w:rsid w:val="00E9069D"/>
    <w:rsid w:val="00E9085B"/>
    <w:rsid w:val="00E90F88"/>
    <w:rsid w:val="00E91234"/>
    <w:rsid w:val="00E91CB9"/>
    <w:rsid w:val="00E91DEA"/>
    <w:rsid w:val="00E920FE"/>
    <w:rsid w:val="00E9261B"/>
    <w:rsid w:val="00E926E7"/>
    <w:rsid w:val="00E92936"/>
    <w:rsid w:val="00E92A5B"/>
    <w:rsid w:val="00E92A8D"/>
    <w:rsid w:val="00E92C75"/>
    <w:rsid w:val="00E92F20"/>
    <w:rsid w:val="00E931DC"/>
    <w:rsid w:val="00E9387D"/>
    <w:rsid w:val="00E93CEA"/>
    <w:rsid w:val="00E93D62"/>
    <w:rsid w:val="00E93D9F"/>
    <w:rsid w:val="00E940A5"/>
    <w:rsid w:val="00E946E4"/>
    <w:rsid w:val="00E948E5"/>
    <w:rsid w:val="00E9495A"/>
    <w:rsid w:val="00E94C20"/>
    <w:rsid w:val="00E94DC2"/>
    <w:rsid w:val="00E94F96"/>
    <w:rsid w:val="00E954B5"/>
    <w:rsid w:val="00E955D1"/>
    <w:rsid w:val="00E95D3F"/>
    <w:rsid w:val="00E95FD4"/>
    <w:rsid w:val="00E9602E"/>
    <w:rsid w:val="00E963A6"/>
    <w:rsid w:val="00E96508"/>
    <w:rsid w:val="00E9650B"/>
    <w:rsid w:val="00E96692"/>
    <w:rsid w:val="00E96A58"/>
    <w:rsid w:val="00E96D6A"/>
    <w:rsid w:val="00E9702A"/>
    <w:rsid w:val="00E97187"/>
    <w:rsid w:val="00E973ED"/>
    <w:rsid w:val="00E97543"/>
    <w:rsid w:val="00E97817"/>
    <w:rsid w:val="00E97BC3"/>
    <w:rsid w:val="00E97CB4"/>
    <w:rsid w:val="00EA041C"/>
    <w:rsid w:val="00EA0728"/>
    <w:rsid w:val="00EA0990"/>
    <w:rsid w:val="00EA0EEF"/>
    <w:rsid w:val="00EA1E31"/>
    <w:rsid w:val="00EA1EB8"/>
    <w:rsid w:val="00EA2032"/>
    <w:rsid w:val="00EA2190"/>
    <w:rsid w:val="00EA2208"/>
    <w:rsid w:val="00EA2381"/>
    <w:rsid w:val="00EA25B0"/>
    <w:rsid w:val="00EA2CAB"/>
    <w:rsid w:val="00EA2E2E"/>
    <w:rsid w:val="00EA3289"/>
    <w:rsid w:val="00EA378D"/>
    <w:rsid w:val="00EA3BC0"/>
    <w:rsid w:val="00EA3BF4"/>
    <w:rsid w:val="00EA3CCE"/>
    <w:rsid w:val="00EA421C"/>
    <w:rsid w:val="00EA421E"/>
    <w:rsid w:val="00EA4271"/>
    <w:rsid w:val="00EA4361"/>
    <w:rsid w:val="00EA46AB"/>
    <w:rsid w:val="00EA4B54"/>
    <w:rsid w:val="00EA4B55"/>
    <w:rsid w:val="00EA4E73"/>
    <w:rsid w:val="00EA4F87"/>
    <w:rsid w:val="00EA531C"/>
    <w:rsid w:val="00EA5E87"/>
    <w:rsid w:val="00EA63B2"/>
    <w:rsid w:val="00EA63BA"/>
    <w:rsid w:val="00EA6537"/>
    <w:rsid w:val="00EA6647"/>
    <w:rsid w:val="00EA6A80"/>
    <w:rsid w:val="00EA6CC2"/>
    <w:rsid w:val="00EA6E95"/>
    <w:rsid w:val="00EA71A6"/>
    <w:rsid w:val="00EA74F8"/>
    <w:rsid w:val="00EA7619"/>
    <w:rsid w:val="00EA7766"/>
    <w:rsid w:val="00EA77DF"/>
    <w:rsid w:val="00EA79A6"/>
    <w:rsid w:val="00EA7CD8"/>
    <w:rsid w:val="00EB0160"/>
    <w:rsid w:val="00EB0B43"/>
    <w:rsid w:val="00EB0F49"/>
    <w:rsid w:val="00EB0FDD"/>
    <w:rsid w:val="00EB0FE4"/>
    <w:rsid w:val="00EB105F"/>
    <w:rsid w:val="00EB14E4"/>
    <w:rsid w:val="00EB15D2"/>
    <w:rsid w:val="00EB17CE"/>
    <w:rsid w:val="00EB1CD4"/>
    <w:rsid w:val="00EB1EA3"/>
    <w:rsid w:val="00EB22ED"/>
    <w:rsid w:val="00EB2589"/>
    <w:rsid w:val="00EB2C76"/>
    <w:rsid w:val="00EB2F58"/>
    <w:rsid w:val="00EB303E"/>
    <w:rsid w:val="00EB317E"/>
    <w:rsid w:val="00EB350F"/>
    <w:rsid w:val="00EB38AF"/>
    <w:rsid w:val="00EB3B98"/>
    <w:rsid w:val="00EB3E31"/>
    <w:rsid w:val="00EB41DD"/>
    <w:rsid w:val="00EB49D2"/>
    <w:rsid w:val="00EB5192"/>
    <w:rsid w:val="00EB5574"/>
    <w:rsid w:val="00EB5952"/>
    <w:rsid w:val="00EB5F41"/>
    <w:rsid w:val="00EB63DE"/>
    <w:rsid w:val="00EB64FA"/>
    <w:rsid w:val="00EB6623"/>
    <w:rsid w:val="00EB695C"/>
    <w:rsid w:val="00EB6B58"/>
    <w:rsid w:val="00EB6DDF"/>
    <w:rsid w:val="00EB7014"/>
    <w:rsid w:val="00EB78EC"/>
    <w:rsid w:val="00EB7903"/>
    <w:rsid w:val="00EB7DFD"/>
    <w:rsid w:val="00EB7EFA"/>
    <w:rsid w:val="00EB7F86"/>
    <w:rsid w:val="00EC0732"/>
    <w:rsid w:val="00EC0753"/>
    <w:rsid w:val="00EC091F"/>
    <w:rsid w:val="00EC0A6E"/>
    <w:rsid w:val="00EC0ACD"/>
    <w:rsid w:val="00EC0B71"/>
    <w:rsid w:val="00EC0BB7"/>
    <w:rsid w:val="00EC0DCB"/>
    <w:rsid w:val="00EC0FDA"/>
    <w:rsid w:val="00EC143A"/>
    <w:rsid w:val="00EC1481"/>
    <w:rsid w:val="00EC150B"/>
    <w:rsid w:val="00EC17AD"/>
    <w:rsid w:val="00EC1818"/>
    <w:rsid w:val="00EC18CA"/>
    <w:rsid w:val="00EC1F0E"/>
    <w:rsid w:val="00EC2364"/>
    <w:rsid w:val="00EC24B6"/>
    <w:rsid w:val="00EC264F"/>
    <w:rsid w:val="00EC2841"/>
    <w:rsid w:val="00EC29C7"/>
    <w:rsid w:val="00EC2E68"/>
    <w:rsid w:val="00EC30D2"/>
    <w:rsid w:val="00EC3137"/>
    <w:rsid w:val="00EC3281"/>
    <w:rsid w:val="00EC3534"/>
    <w:rsid w:val="00EC35C7"/>
    <w:rsid w:val="00EC37A9"/>
    <w:rsid w:val="00EC3917"/>
    <w:rsid w:val="00EC43F6"/>
    <w:rsid w:val="00EC4774"/>
    <w:rsid w:val="00EC488F"/>
    <w:rsid w:val="00EC48D8"/>
    <w:rsid w:val="00EC4D11"/>
    <w:rsid w:val="00EC4D1D"/>
    <w:rsid w:val="00EC4E0A"/>
    <w:rsid w:val="00EC5429"/>
    <w:rsid w:val="00EC5485"/>
    <w:rsid w:val="00EC5861"/>
    <w:rsid w:val="00EC5AF0"/>
    <w:rsid w:val="00EC622D"/>
    <w:rsid w:val="00EC634D"/>
    <w:rsid w:val="00EC6395"/>
    <w:rsid w:val="00EC64E5"/>
    <w:rsid w:val="00EC6DCF"/>
    <w:rsid w:val="00EC6EA9"/>
    <w:rsid w:val="00EC7114"/>
    <w:rsid w:val="00EC7850"/>
    <w:rsid w:val="00EC7BAE"/>
    <w:rsid w:val="00EC7CD7"/>
    <w:rsid w:val="00EC7D0E"/>
    <w:rsid w:val="00ED0029"/>
    <w:rsid w:val="00ED0719"/>
    <w:rsid w:val="00ED0B6C"/>
    <w:rsid w:val="00ED0E8E"/>
    <w:rsid w:val="00ED0F55"/>
    <w:rsid w:val="00ED1039"/>
    <w:rsid w:val="00ED1143"/>
    <w:rsid w:val="00ED16A9"/>
    <w:rsid w:val="00ED1C21"/>
    <w:rsid w:val="00ED1DF6"/>
    <w:rsid w:val="00ED1F02"/>
    <w:rsid w:val="00ED231B"/>
    <w:rsid w:val="00ED2A24"/>
    <w:rsid w:val="00ED2C12"/>
    <w:rsid w:val="00ED2E52"/>
    <w:rsid w:val="00ED2ED1"/>
    <w:rsid w:val="00ED30BD"/>
    <w:rsid w:val="00ED3364"/>
    <w:rsid w:val="00ED3396"/>
    <w:rsid w:val="00ED3B48"/>
    <w:rsid w:val="00ED3DEA"/>
    <w:rsid w:val="00ED3DFF"/>
    <w:rsid w:val="00ED4104"/>
    <w:rsid w:val="00ED43B7"/>
    <w:rsid w:val="00ED4E13"/>
    <w:rsid w:val="00ED4F08"/>
    <w:rsid w:val="00ED50AB"/>
    <w:rsid w:val="00ED51BE"/>
    <w:rsid w:val="00ED52CA"/>
    <w:rsid w:val="00ED52D5"/>
    <w:rsid w:val="00ED5868"/>
    <w:rsid w:val="00ED5AE3"/>
    <w:rsid w:val="00ED5C3D"/>
    <w:rsid w:val="00ED5E96"/>
    <w:rsid w:val="00ED605C"/>
    <w:rsid w:val="00ED6211"/>
    <w:rsid w:val="00ED62A9"/>
    <w:rsid w:val="00ED6891"/>
    <w:rsid w:val="00ED6D05"/>
    <w:rsid w:val="00ED6D86"/>
    <w:rsid w:val="00ED6DA3"/>
    <w:rsid w:val="00ED6E63"/>
    <w:rsid w:val="00ED7081"/>
    <w:rsid w:val="00ED7267"/>
    <w:rsid w:val="00ED746C"/>
    <w:rsid w:val="00ED752E"/>
    <w:rsid w:val="00ED768D"/>
    <w:rsid w:val="00ED7DB4"/>
    <w:rsid w:val="00EE0473"/>
    <w:rsid w:val="00EE04A4"/>
    <w:rsid w:val="00EE05C5"/>
    <w:rsid w:val="00EE0741"/>
    <w:rsid w:val="00EE0F8A"/>
    <w:rsid w:val="00EE0FCD"/>
    <w:rsid w:val="00EE1176"/>
    <w:rsid w:val="00EE12A9"/>
    <w:rsid w:val="00EE1830"/>
    <w:rsid w:val="00EE1B26"/>
    <w:rsid w:val="00EE1B8A"/>
    <w:rsid w:val="00EE1C2B"/>
    <w:rsid w:val="00EE1CFD"/>
    <w:rsid w:val="00EE1DDA"/>
    <w:rsid w:val="00EE1EBA"/>
    <w:rsid w:val="00EE1F72"/>
    <w:rsid w:val="00EE29D4"/>
    <w:rsid w:val="00EE2AB4"/>
    <w:rsid w:val="00EE2B2B"/>
    <w:rsid w:val="00EE3146"/>
    <w:rsid w:val="00EE36AC"/>
    <w:rsid w:val="00EE36B6"/>
    <w:rsid w:val="00EE3E5A"/>
    <w:rsid w:val="00EE4083"/>
    <w:rsid w:val="00EE44BC"/>
    <w:rsid w:val="00EE4B4E"/>
    <w:rsid w:val="00EE5026"/>
    <w:rsid w:val="00EE5033"/>
    <w:rsid w:val="00EE5070"/>
    <w:rsid w:val="00EE51DF"/>
    <w:rsid w:val="00EE56AE"/>
    <w:rsid w:val="00EE58CC"/>
    <w:rsid w:val="00EE5BEF"/>
    <w:rsid w:val="00EE5DA6"/>
    <w:rsid w:val="00EE5ED5"/>
    <w:rsid w:val="00EE5F4E"/>
    <w:rsid w:val="00EE5F70"/>
    <w:rsid w:val="00EE60C0"/>
    <w:rsid w:val="00EE6762"/>
    <w:rsid w:val="00EE6775"/>
    <w:rsid w:val="00EE67FD"/>
    <w:rsid w:val="00EE6C2F"/>
    <w:rsid w:val="00EE6D16"/>
    <w:rsid w:val="00EE6E3D"/>
    <w:rsid w:val="00EE6EE0"/>
    <w:rsid w:val="00EE6F2B"/>
    <w:rsid w:val="00EE6FB9"/>
    <w:rsid w:val="00EE7120"/>
    <w:rsid w:val="00EE71B6"/>
    <w:rsid w:val="00EE72C4"/>
    <w:rsid w:val="00EE73AE"/>
    <w:rsid w:val="00EE7474"/>
    <w:rsid w:val="00EE7618"/>
    <w:rsid w:val="00EE769C"/>
    <w:rsid w:val="00EE7F16"/>
    <w:rsid w:val="00EF01FE"/>
    <w:rsid w:val="00EF020E"/>
    <w:rsid w:val="00EF0451"/>
    <w:rsid w:val="00EF068E"/>
    <w:rsid w:val="00EF0C12"/>
    <w:rsid w:val="00EF15E6"/>
    <w:rsid w:val="00EF1956"/>
    <w:rsid w:val="00EF1B30"/>
    <w:rsid w:val="00EF1C67"/>
    <w:rsid w:val="00EF1E69"/>
    <w:rsid w:val="00EF209C"/>
    <w:rsid w:val="00EF20A1"/>
    <w:rsid w:val="00EF2210"/>
    <w:rsid w:val="00EF27A5"/>
    <w:rsid w:val="00EF27AD"/>
    <w:rsid w:val="00EF27B7"/>
    <w:rsid w:val="00EF2913"/>
    <w:rsid w:val="00EF2B8B"/>
    <w:rsid w:val="00EF2F30"/>
    <w:rsid w:val="00EF3360"/>
    <w:rsid w:val="00EF33E8"/>
    <w:rsid w:val="00EF3F81"/>
    <w:rsid w:val="00EF422C"/>
    <w:rsid w:val="00EF424F"/>
    <w:rsid w:val="00EF42A9"/>
    <w:rsid w:val="00EF4518"/>
    <w:rsid w:val="00EF452B"/>
    <w:rsid w:val="00EF4749"/>
    <w:rsid w:val="00EF4D69"/>
    <w:rsid w:val="00EF5075"/>
    <w:rsid w:val="00EF5264"/>
    <w:rsid w:val="00EF5383"/>
    <w:rsid w:val="00EF5547"/>
    <w:rsid w:val="00EF56E8"/>
    <w:rsid w:val="00EF5C1D"/>
    <w:rsid w:val="00EF6591"/>
    <w:rsid w:val="00EF65DD"/>
    <w:rsid w:val="00EF66A0"/>
    <w:rsid w:val="00EF6850"/>
    <w:rsid w:val="00EF6923"/>
    <w:rsid w:val="00EF6A73"/>
    <w:rsid w:val="00EF6DA2"/>
    <w:rsid w:val="00EF73A4"/>
    <w:rsid w:val="00EF7565"/>
    <w:rsid w:val="00EF756A"/>
    <w:rsid w:val="00EF7ADF"/>
    <w:rsid w:val="00EF7CCC"/>
    <w:rsid w:val="00EF7EDB"/>
    <w:rsid w:val="00F00095"/>
    <w:rsid w:val="00F000B7"/>
    <w:rsid w:val="00F00278"/>
    <w:rsid w:val="00F0033C"/>
    <w:rsid w:val="00F003E8"/>
    <w:rsid w:val="00F006F9"/>
    <w:rsid w:val="00F00EA0"/>
    <w:rsid w:val="00F00F5D"/>
    <w:rsid w:val="00F00FF4"/>
    <w:rsid w:val="00F01024"/>
    <w:rsid w:val="00F0218D"/>
    <w:rsid w:val="00F023E7"/>
    <w:rsid w:val="00F02618"/>
    <w:rsid w:val="00F0267A"/>
    <w:rsid w:val="00F02703"/>
    <w:rsid w:val="00F02749"/>
    <w:rsid w:val="00F02877"/>
    <w:rsid w:val="00F02C8A"/>
    <w:rsid w:val="00F02D56"/>
    <w:rsid w:val="00F02DBA"/>
    <w:rsid w:val="00F033B2"/>
    <w:rsid w:val="00F0383F"/>
    <w:rsid w:val="00F04123"/>
    <w:rsid w:val="00F04C16"/>
    <w:rsid w:val="00F051A5"/>
    <w:rsid w:val="00F054AC"/>
    <w:rsid w:val="00F05A75"/>
    <w:rsid w:val="00F05A7F"/>
    <w:rsid w:val="00F05E38"/>
    <w:rsid w:val="00F064B4"/>
    <w:rsid w:val="00F0663C"/>
    <w:rsid w:val="00F06C8D"/>
    <w:rsid w:val="00F06DC3"/>
    <w:rsid w:val="00F06EC5"/>
    <w:rsid w:val="00F071F1"/>
    <w:rsid w:val="00F07265"/>
    <w:rsid w:val="00F075C0"/>
    <w:rsid w:val="00F077B3"/>
    <w:rsid w:val="00F07B5D"/>
    <w:rsid w:val="00F07E5C"/>
    <w:rsid w:val="00F07F3A"/>
    <w:rsid w:val="00F102B1"/>
    <w:rsid w:val="00F106A5"/>
    <w:rsid w:val="00F1080D"/>
    <w:rsid w:val="00F10F49"/>
    <w:rsid w:val="00F111D5"/>
    <w:rsid w:val="00F1131B"/>
    <w:rsid w:val="00F11920"/>
    <w:rsid w:val="00F11959"/>
    <w:rsid w:val="00F11D94"/>
    <w:rsid w:val="00F11F90"/>
    <w:rsid w:val="00F120EC"/>
    <w:rsid w:val="00F120FB"/>
    <w:rsid w:val="00F122F0"/>
    <w:rsid w:val="00F1243B"/>
    <w:rsid w:val="00F1272D"/>
    <w:rsid w:val="00F12D7B"/>
    <w:rsid w:val="00F12EE8"/>
    <w:rsid w:val="00F12FBC"/>
    <w:rsid w:val="00F1344A"/>
    <w:rsid w:val="00F13947"/>
    <w:rsid w:val="00F13BD7"/>
    <w:rsid w:val="00F13C15"/>
    <w:rsid w:val="00F147C3"/>
    <w:rsid w:val="00F14BBB"/>
    <w:rsid w:val="00F14BC2"/>
    <w:rsid w:val="00F156D6"/>
    <w:rsid w:val="00F157FE"/>
    <w:rsid w:val="00F158F6"/>
    <w:rsid w:val="00F15966"/>
    <w:rsid w:val="00F15DD8"/>
    <w:rsid w:val="00F16223"/>
    <w:rsid w:val="00F16634"/>
    <w:rsid w:val="00F16E52"/>
    <w:rsid w:val="00F177AB"/>
    <w:rsid w:val="00F17972"/>
    <w:rsid w:val="00F17BFC"/>
    <w:rsid w:val="00F17CB6"/>
    <w:rsid w:val="00F201FC"/>
    <w:rsid w:val="00F2066B"/>
    <w:rsid w:val="00F206B9"/>
    <w:rsid w:val="00F208FF"/>
    <w:rsid w:val="00F20A9F"/>
    <w:rsid w:val="00F20C09"/>
    <w:rsid w:val="00F21394"/>
    <w:rsid w:val="00F215E8"/>
    <w:rsid w:val="00F21B9C"/>
    <w:rsid w:val="00F21FEB"/>
    <w:rsid w:val="00F224B4"/>
    <w:rsid w:val="00F22779"/>
    <w:rsid w:val="00F2279E"/>
    <w:rsid w:val="00F22811"/>
    <w:rsid w:val="00F2301D"/>
    <w:rsid w:val="00F23289"/>
    <w:rsid w:val="00F2353D"/>
    <w:rsid w:val="00F23724"/>
    <w:rsid w:val="00F23B41"/>
    <w:rsid w:val="00F23EF7"/>
    <w:rsid w:val="00F240ED"/>
    <w:rsid w:val="00F243B4"/>
    <w:rsid w:val="00F246BA"/>
    <w:rsid w:val="00F248C5"/>
    <w:rsid w:val="00F24961"/>
    <w:rsid w:val="00F249F4"/>
    <w:rsid w:val="00F24AED"/>
    <w:rsid w:val="00F24C48"/>
    <w:rsid w:val="00F24DB8"/>
    <w:rsid w:val="00F24DEC"/>
    <w:rsid w:val="00F2503D"/>
    <w:rsid w:val="00F251D3"/>
    <w:rsid w:val="00F2546D"/>
    <w:rsid w:val="00F259AA"/>
    <w:rsid w:val="00F2614F"/>
    <w:rsid w:val="00F262F3"/>
    <w:rsid w:val="00F26389"/>
    <w:rsid w:val="00F2665F"/>
    <w:rsid w:val="00F268A7"/>
    <w:rsid w:val="00F2690C"/>
    <w:rsid w:val="00F2698E"/>
    <w:rsid w:val="00F26A88"/>
    <w:rsid w:val="00F26B1E"/>
    <w:rsid w:val="00F26B8B"/>
    <w:rsid w:val="00F26E41"/>
    <w:rsid w:val="00F26E93"/>
    <w:rsid w:val="00F26F3B"/>
    <w:rsid w:val="00F26F71"/>
    <w:rsid w:val="00F26FF1"/>
    <w:rsid w:val="00F27128"/>
    <w:rsid w:val="00F273F1"/>
    <w:rsid w:val="00F273FA"/>
    <w:rsid w:val="00F2770E"/>
    <w:rsid w:val="00F27A12"/>
    <w:rsid w:val="00F27B6C"/>
    <w:rsid w:val="00F27C1C"/>
    <w:rsid w:val="00F27C9D"/>
    <w:rsid w:val="00F27CF9"/>
    <w:rsid w:val="00F300E0"/>
    <w:rsid w:val="00F3020B"/>
    <w:rsid w:val="00F3047B"/>
    <w:rsid w:val="00F3097C"/>
    <w:rsid w:val="00F309E1"/>
    <w:rsid w:val="00F30C83"/>
    <w:rsid w:val="00F30FC5"/>
    <w:rsid w:val="00F31086"/>
    <w:rsid w:val="00F31413"/>
    <w:rsid w:val="00F315F1"/>
    <w:rsid w:val="00F31759"/>
    <w:rsid w:val="00F31797"/>
    <w:rsid w:val="00F31835"/>
    <w:rsid w:val="00F3188C"/>
    <w:rsid w:val="00F31987"/>
    <w:rsid w:val="00F31A39"/>
    <w:rsid w:val="00F31B66"/>
    <w:rsid w:val="00F32009"/>
    <w:rsid w:val="00F32453"/>
    <w:rsid w:val="00F329E4"/>
    <w:rsid w:val="00F32C34"/>
    <w:rsid w:val="00F32D75"/>
    <w:rsid w:val="00F33337"/>
    <w:rsid w:val="00F334F1"/>
    <w:rsid w:val="00F335B1"/>
    <w:rsid w:val="00F33A63"/>
    <w:rsid w:val="00F33AC6"/>
    <w:rsid w:val="00F33C2A"/>
    <w:rsid w:val="00F33E98"/>
    <w:rsid w:val="00F34335"/>
    <w:rsid w:val="00F34A34"/>
    <w:rsid w:val="00F34D86"/>
    <w:rsid w:val="00F34EF5"/>
    <w:rsid w:val="00F34F66"/>
    <w:rsid w:val="00F34FE1"/>
    <w:rsid w:val="00F34FFC"/>
    <w:rsid w:val="00F35FAD"/>
    <w:rsid w:val="00F36252"/>
    <w:rsid w:val="00F362F2"/>
    <w:rsid w:val="00F3635C"/>
    <w:rsid w:val="00F363EE"/>
    <w:rsid w:val="00F36662"/>
    <w:rsid w:val="00F36E15"/>
    <w:rsid w:val="00F370A2"/>
    <w:rsid w:val="00F37109"/>
    <w:rsid w:val="00F3730B"/>
    <w:rsid w:val="00F37469"/>
    <w:rsid w:val="00F375BB"/>
    <w:rsid w:val="00F3776B"/>
    <w:rsid w:val="00F3786A"/>
    <w:rsid w:val="00F3796F"/>
    <w:rsid w:val="00F37E9F"/>
    <w:rsid w:val="00F4006A"/>
    <w:rsid w:val="00F402EF"/>
    <w:rsid w:val="00F40A8B"/>
    <w:rsid w:val="00F40BB9"/>
    <w:rsid w:val="00F4144E"/>
    <w:rsid w:val="00F417B5"/>
    <w:rsid w:val="00F4187A"/>
    <w:rsid w:val="00F4189C"/>
    <w:rsid w:val="00F418A4"/>
    <w:rsid w:val="00F419FB"/>
    <w:rsid w:val="00F41A58"/>
    <w:rsid w:val="00F41CF9"/>
    <w:rsid w:val="00F41D2E"/>
    <w:rsid w:val="00F41E20"/>
    <w:rsid w:val="00F41EDA"/>
    <w:rsid w:val="00F4245E"/>
    <w:rsid w:val="00F4267E"/>
    <w:rsid w:val="00F4273E"/>
    <w:rsid w:val="00F427D7"/>
    <w:rsid w:val="00F42A68"/>
    <w:rsid w:val="00F42CF4"/>
    <w:rsid w:val="00F433B5"/>
    <w:rsid w:val="00F434A7"/>
    <w:rsid w:val="00F434BA"/>
    <w:rsid w:val="00F435A9"/>
    <w:rsid w:val="00F4360D"/>
    <w:rsid w:val="00F43EF8"/>
    <w:rsid w:val="00F44220"/>
    <w:rsid w:val="00F44358"/>
    <w:rsid w:val="00F44461"/>
    <w:rsid w:val="00F449B0"/>
    <w:rsid w:val="00F44BB9"/>
    <w:rsid w:val="00F44E01"/>
    <w:rsid w:val="00F44EC9"/>
    <w:rsid w:val="00F44F47"/>
    <w:rsid w:val="00F457DA"/>
    <w:rsid w:val="00F45990"/>
    <w:rsid w:val="00F4599E"/>
    <w:rsid w:val="00F45D87"/>
    <w:rsid w:val="00F46322"/>
    <w:rsid w:val="00F463CE"/>
    <w:rsid w:val="00F4659E"/>
    <w:rsid w:val="00F46ABF"/>
    <w:rsid w:val="00F46BBB"/>
    <w:rsid w:val="00F46D7A"/>
    <w:rsid w:val="00F46EAF"/>
    <w:rsid w:val="00F470C7"/>
    <w:rsid w:val="00F470D6"/>
    <w:rsid w:val="00F47644"/>
    <w:rsid w:val="00F4778D"/>
    <w:rsid w:val="00F477A6"/>
    <w:rsid w:val="00F50295"/>
    <w:rsid w:val="00F50737"/>
    <w:rsid w:val="00F507F5"/>
    <w:rsid w:val="00F50ACC"/>
    <w:rsid w:val="00F50D30"/>
    <w:rsid w:val="00F50DB9"/>
    <w:rsid w:val="00F50F2D"/>
    <w:rsid w:val="00F50FCF"/>
    <w:rsid w:val="00F51405"/>
    <w:rsid w:val="00F516CA"/>
    <w:rsid w:val="00F516DD"/>
    <w:rsid w:val="00F51E0A"/>
    <w:rsid w:val="00F523BB"/>
    <w:rsid w:val="00F52475"/>
    <w:rsid w:val="00F5252E"/>
    <w:rsid w:val="00F52540"/>
    <w:rsid w:val="00F52AE4"/>
    <w:rsid w:val="00F52B1C"/>
    <w:rsid w:val="00F52C69"/>
    <w:rsid w:val="00F52CAE"/>
    <w:rsid w:val="00F531DF"/>
    <w:rsid w:val="00F5326E"/>
    <w:rsid w:val="00F53475"/>
    <w:rsid w:val="00F53687"/>
    <w:rsid w:val="00F53A29"/>
    <w:rsid w:val="00F54372"/>
    <w:rsid w:val="00F543AE"/>
    <w:rsid w:val="00F54413"/>
    <w:rsid w:val="00F5474E"/>
    <w:rsid w:val="00F54EA6"/>
    <w:rsid w:val="00F55050"/>
    <w:rsid w:val="00F5512C"/>
    <w:rsid w:val="00F55148"/>
    <w:rsid w:val="00F5518F"/>
    <w:rsid w:val="00F551C3"/>
    <w:rsid w:val="00F551F9"/>
    <w:rsid w:val="00F55262"/>
    <w:rsid w:val="00F558B8"/>
    <w:rsid w:val="00F559BD"/>
    <w:rsid w:val="00F55AF8"/>
    <w:rsid w:val="00F55BAD"/>
    <w:rsid w:val="00F56124"/>
    <w:rsid w:val="00F561E5"/>
    <w:rsid w:val="00F561EF"/>
    <w:rsid w:val="00F562BB"/>
    <w:rsid w:val="00F56589"/>
    <w:rsid w:val="00F566CF"/>
    <w:rsid w:val="00F56B73"/>
    <w:rsid w:val="00F56E48"/>
    <w:rsid w:val="00F56F1A"/>
    <w:rsid w:val="00F56F92"/>
    <w:rsid w:val="00F57349"/>
    <w:rsid w:val="00F57431"/>
    <w:rsid w:val="00F5761C"/>
    <w:rsid w:val="00F57761"/>
    <w:rsid w:val="00F577A5"/>
    <w:rsid w:val="00F57D05"/>
    <w:rsid w:val="00F6015A"/>
    <w:rsid w:val="00F6033B"/>
    <w:rsid w:val="00F60B99"/>
    <w:rsid w:val="00F60D57"/>
    <w:rsid w:val="00F61CBF"/>
    <w:rsid w:val="00F61D93"/>
    <w:rsid w:val="00F61EF0"/>
    <w:rsid w:val="00F625B6"/>
    <w:rsid w:val="00F62694"/>
    <w:rsid w:val="00F62859"/>
    <w:rsid w:val="00F62A09"/>
    <w:rsid w:val="00F62ABF"/>
    <w:rsid w:val="00F63118"/>
    <w:rsid w:val="00F63E15"/>
    <w:rsid w:val="00F63E2E"/>
    <w:rsid w:val="00F63E6C"/>
    <w:rsid w:val="00F6413B"/>
    <w:rsid w:val="00F645B4"/>
    <w:rsid w:val="00F64697"/>
    <w:rsid w:val="00F647F8"/>
    <w:rsid w:val="00F648E8"/>
    <w:rsid w:val="00F64ED0"/>
    <w:rsid w:val="00F652D6"/>
    <w:rsid w:val="00F6555D"/>
    <w:rsid w:val="00F6560B"/>
    <w:rsid w:val="00F65CD3"/>
    <w:rsid w:val="00F664B6"/>
    <w:rsid w:val="00F6661D"/>
    <w:rsid w:val="00F66812"/>
    <w:rsid w:val="00F669C6"/>
    <w:rsid w:val="00F66A3F"/>
    <w:rsid w:val="00F66BFB"/>
    <w:rsid w:val="00F66E19"/>
    <w:rsid w:val="00F66E26"/>
    <w:rsid w:val="00F66F68"/>
    <w:rsid w:val="00F66FD6"/>
    <w:rsid w:val="00F67008"/>
    <w:rsid w:val="00F6726A"/>
    <w:rsid w:val="00F67426"/>
    <w:rsid w:val="00F6764D"/>
    <w:rsid w:val="00F678EC"/>
    <w:rsid w:val="00F679CB"/>
    <w:rsid w:val="00F67DE5"/>
    <w:rsid w:val="00F67E92"/>
    <w:rsid w:val="00F67FBB"/>
    <w:rsid w:val="00F70011"/>
    <w:rsid w:val="00F7082B"/>
    <w:rsid w:val="00F70A49"/>
    <w:rsid w:val="00F70A65"/>
    <w:rsid w:val="00F70B7F"/>
    <w:rsid w:val="00F70CDD"/>
    <w:rsid w:val="00F70E84"/>
    <w:rsid w:val="00F7177F"/>
    <w:rsid w:val="00F717EB"/>
    <w:rsid w:val="00F71985"/>
    <w:rsid w:val="00F71F92"/>
    <w:rsid w:val="00F71FC1"/>
    <w:rsid w:val="00F71FE3"/>
    <w:rsid w:val="00F723C7"/>
    <w:rsid w:val="00F72504"/>
    <w:rsid w:val="00F72C85"/>
    <w:rsid w:val="00F72CDF"/>
    <w:rsid w:val="00F72CFD"/>
    <w:rsid w:val="00F72F62"/>
    <w:rsid w:val="00F735CD"/>
    <w:rsid w:val="00F7387F"/>
    <w:rsid w:val="00F738E3"/>
    <w:rsid w:val="00F7395D"/>
    <w:rsid w:val="00F73D5F"/>
    <w:rsid w:val="00F74391"/>
    <w:rsid w:val="00F7459F"/>
    <w:rsid w:val="00F74776"/>
    <w:rsid w:val="00F74805"/>
    <w:rsid w:val="00F74885"/>
    <w:rsid w:val="00F7496D"/>
    <w:rsid w:val="00F74AEA"/>
    <w:rsid w:val="00F74BCA"/>
    <w:rsid w:val="00F74E64"/>
    <w:rsid w:val="00F74F28"/>
    <w:rsid w:val="00F75413"/>
    <w:rsid w:val="00F754AF"/>
    <w:rsid w:val="00F75665"/>
    <w:rsid w:val="00F75BBF"/>
    <w:rsid w:val="00F75D81"/>
    <w:rsid w:val="00F75D8D"/>
    <w:rsid w:val="00F76165"/>
    <w:rsid w:val="00F76286"/>
    <w:rsid w:val="00F765BE"/>
    <w:rsid w:val="00F76998"/>
    <w:rsid w:val="00F76A15"/>
    <w:rsid w:val="00F76C24"/>
    <w:rsid w:val="00F76C44"/>
    <w:rsid w:val="00F76C4A"/>
    <w:rsid w:val="00F77310"/>
    <w:rsid w:val="00F7735C"/>
    <w:rsid w:val="00F7743C"/>
    <w:rsid w:val="00F7752D"/>
    <w:rsid w:val="00F77839"/>
    <w:rsid w:val="00F77D5F"/>
    <w:rsid w:val="00F77FB8"/>
    <w:rsid w:val="00F8001B"/>
    <w:rsid w:val="00F80035"/>
    <w:rsid w:val="00F8023D"/>
    <w:rsid w:val="00F80307"/>
    <w:rsid w:val="00F80A47"/>
    <w:rsid w:val="00F81156"/>
    <w:rsid w:val="00F818DC"/>
    <w:rsid w:val="00F81927"/>
    <w:rsid w:val="00F81BC3"/>
    <w:rsid w:val="00F81DA4"/>
    <w:rsid w:val="00F81F54"/>
    <w:rsid w:val="00F82773"/>
    <w:rsid w:val="00F828A1"/>
    <w:rsid w:val="00F82BF2"/>
    <w:rsid w:val="00F82C08"/>
    <w:rsid w:val="00F82D8E"/>
    <w:rsid w:val="00F830D9"/>
    <w:rsid w:val="00F83261"/>
    <w:rsid w:val="00F833C6"/>
    <w:rsid w:val="00F8384D"/>
    <w:rsid w:val="00F83853"/>
    <w:rsid w:val="00F83B96"/>
    <w:rsid w:val="00F83C5C"/>
    <w:rsid w:val="00F83CB1"/>
    <w:rsid w:val="00F83D93"/>
    <w:rsid w:val="00F8400E"/>
    <w:rsid w:val="00F8403A"/>
    <w:rsid w:val="00F840EC"/>
    <w:rsid w:val="00F84244"/>
    <w:rsid w:val="00F84702"/>
    <w:rsid w:val="00F8470C"/>
    <w:rsid w:val="00F8484B"/>
    <w:rsid w:val="00F848EA"/>
    <w:rsid w:val="00F84A25"/>
    <w:rsid w:val="00F84B7F"/>
    <w:rsid w:val="00F84CE5"/>
    <w:rsid w:val="00F857BC"/>
    <w:rsid w:val="00F857FE"/>
    <w:rsid w:val="00F85A46"/>
    <w:rsid w:val="00F85D6A"/>
    <w:rsid w:val="00F861B2"/>
    <w:rsid w:val="00F86237"/>
    <w:rsid w:val="00F86544"/>
    <w:rsid w:val="00F867E0"/>
    <w:rsid w:val="00F869E8"/>
    <w:rsid w:val="00F86D0E"/>
    <w:rsid w:val="00F872D4"/>
    <w:rsid w:val="00F87D2D"/>
    <w:rsid w:val="00F90190"/>
    <w:rsid w:val="00F90799"/>
    <w:rsid w:val="00F909BE"/>
    <w:rsid w:val="00F90C6C"/>
    <w:rsid w:val="00F90DDD"/>
    <w:rsid w:val="00F91099"/>
    <w:rsid w:val="00F910CC"/>
    <w:rsid w:val="00F9121E"/>
    <w:rsid w:val="00F9137D"/>
    <w:rsid w:val="00F916C9"/>
    <w:rsid w:val="00F9185F"/>
    <w:rsid w:val="00F918C6"/>
    <w:rsid w:val="00F919AC"/>
    <w:rsid w:val="00F91E10"/>
    <w:rsid w:val="00F91F8C"/>
    <w:rsid w:val="00F9200C"/>
    <w:rsid w:val="00F92B0A"/>
    <w:rsid w:val="00F92B8A"/>
    <w:rsid w:val="00F93085"/>
    <w:rsid w:val="00F93393"/>
    <w:rsid w:val="00F936E5"/>
    <w:rsid w:val="00F93857"/>
    <w:rsid w:val="00F938B4"/>
    <w:rsid w:val="00F939FF"/>
    <w:rsid w:val="00F93BE6"/>
    <w:rsid w:val="00F93C6D"/>
    <w:rsid w:val="00F94127"/>
    <w:rsid w:val="00F9421A"/>
    <w:rsid w:val="00F94349"/>
    <w:rsid w:val="00F9446F"/>
    <w:rsid w:val="00F945ED"/>
    <w:rsid w:val="00F947BF"/>
    <w:rsid w:val="00F94833"/>
    <w:rsid w:val="00F9485B"/>
    <w:rsid w:val="00F949EE"/>
    <w:rsid w:val="00F94AC9"/>
    <w:rsid w:val="00F94BAE"/>
    <w:rsid w:val="00F94C5C"/>
    <w:rsid w:val="00F94C9B"/>
    <w:rsid w:val="00F94F20"/>
    <w:rsid w:val="00F94F90"/>
    <w:rsid w:val="00F95727"/>
    <w:rsid w:val="00F95A31"/>
    <w:rsid w:val="00F95BCF"/>
    <w:rsid w:val="00F95F16"/>
    <w:rsid w:val="00F96017"/>
    <w:rsid w:val="00F960DB"/>
    <w:rsid w:val="00F961F6"/>
    <w:rsid w:val="00F9633D"/>
    <w:rsid w:val="00F96439"/>
    <w:rsid w:val="00F96DEA"/>
    <w:rsid w:val="00F96E35"/>
    <w:rsid w:val="00F96ECC"/>
    <w:rsid w:val="00F97660"/>
    <w:rsid w:val="00F97705"/>
    <w:rsid w:val="00F97BC3"/>
    <w:rsid w:val="00F97E20"/>
    <w:rsid w:val="00F97F4E"/>
    <w:rsid w:val="00FA0067"/>
    <w:rsid w:val="00FA0121"/>
    <w:rsid w:val="00FA0200"/>
    <w:rsid w:val="00FA0352"/>
    <w:rsid w:val="00FA044C"/>
    <w:rsid w:val="00FA05E8"/>
    <w:rsid w:val="00FA06E6"/>
    <w:rsid w:val="00FA0837"/>
    <w:rsid w:val="00FA08FE"/>
    <w:rsid w:val="00FA0BAB"/>
    <w:rsid w:val="00FA0E39"/>
    <w:rsid w:val="00FA139F"/>
    <w:rsid w:val="00FA15BD"/>
    <w:rsid w:val="00FA16BB"/>
    <w:rsid w:val="00FA16DB"/>
    <w:rsid w:val="00FA1749"/>
    <w:rsid w:val="00FA19A0"/>
    <w:rsid w:val="00FA1A89"/>
    <w:rsid w:val="00FA1D2C"/>
    <w:rsid w:val="00FA223B"/>
    <w:rsid w:val="00FA24CD"/>
    <w:rsid w:val="00FA27FD"/>
    <w:rsid w:val="00FA2DF8"/>
    <w:rsid w:val="00FA3366"/>
    <w:rsid w:val="00FA3376"/>
    <w:rsid w:val="00FA33F0"/>
    <w:rsid w:val="00FA37F6"/>
    <w:rsid w:val="00FA3A2B"/>
    <w:rsid w:val="00FA3BA8"/>
    <w:rsid w:val="00FA3CB0"/>
    <w:rsid w:val="00FA40A9"/>
    <w:rsid w:val="00FA4518"/>
    <w:rsid w:val="00FA48F3"/>
    <w:rsid w:val="00FA4A95"/>
    <w:rsid w:val="00FA4E15"/>
    <w:rsid w:val="00FA52CB"/>
    <w:rsid w:val="00FA5660"/>
    <w:rsid w:val="00FA5721"/>
    <w:rsid w:val="00FA5802"/>
    <w:rsid w:val="00FA5A98"/>
    <w:rsid w:val="00FA5AD5"/>
    <w:rsid w:val="00FA5F0F"/>
    <w:rsid w:val="00FA60FE"/>
    <w:rsid w:val="00FA62D9"/>
    <w:rsid w:val="00FA6E9A"/>
    <w:rsid w:val="00FA70DD"/>
    <w:rsid w:val="00FA71B5"/>
    <w:rsid w:val="00FA75A1"/>
    <w:rsid w:val="00FA7B05"/>
    <w:rsid w:val="00FA7EF8"/>
    <w:rsid w:val="00FA7F36"/>
    <w:rsid w:val="00FA7FE5"/>
    <w:rsid w:val="00FB01B2"/>
    <w:rsid w:val="00FB050D"/>
    <w:rsid w:val="00FB078D"/>
    <w:rsid w:val="00FB0FF0"/>
    <w:rsid w:val="00FB110E"/>
    <w:rsid w:val="00FB139A"/>
    <w:rsid w:val="00FB1483"/>
    <w:rsid w:val="00FB17FF"/>
    <w:rsid w:val="00FB18E3"/>
    <w:rsid w:val="00FB19BE"/>
    <w:rsid w:val="00FB1BA6"/>
    <w:rsid w:val="00FB1FD7"/>
    <w:rsid w:val="00FB20E5"/>
    <w:rsid w:val="00FB2B5D"/>
    <w:rsid w:val="00FB2DA3"/>
    <w:rsid w:val="00FB2F39"/>
    <w:rsid w:val="00FB30FD"/>
    <w:rsid w:val="00FB319E"/>
    <w:rsid w:val="00FB421E"/>
    <w:rsid w:val="00FB42B5"/>
    <w:rsid w:val="00FB4381"/>
    <w:rsid w:val="00FB43EE"/>
    <w:rsid w:val="00FB46F1"/>
    <w:rsid w:val="00FB4F5F"/>
    <w:rsid w:val="00FB5060"/>
    <w:rsid w:val="00FB5511"/>
    <w:rsid w:val="00FB5525"/>
    <w:rsid w:val="00FB5B08"/>
    <w:rsid w:val="00FB5E80"/>
    <w:rsid w:val="00FB62F7"/>
    <w:rsid w:val="00FB6389"/>
    <w:rsid w:val="00FB69DE"/>
    <w:rsid w:val="00FB6BA1"/>
    <w:rsid w:val="00FB704A"/>
    <w:rsid w:val="00FB74E3"/>
    <w:rsid w:val="00FB7598"/>
    <w:rsid w:val="00FB7618"/>
    <w:rsid w:val="00FB7622"/>
    <w:rsid w:val="00FB7AE3"/>
    <w:rsid w:val="00FB7B6D"/>
    <w:rsid w:val="00FC02A0"/>
    <w:rsid w:val="00FC0324"/>
    <w:rsid w:val="00FC0468"/>
    <w:rsid w:val="00FC05CD"/>
    <w:rsid w:val="00FC0880"/>
    <w:rsid w:val="00FC0B95"/>
    <w:rsid w:val="00FC0CE4"/>
    <w:rsid w:val="00FC1287"/>
    <w:rsid w:val="00FC12AA"/>
    <w:rsid w:val="00FC1469"/>
    <w:rsid w:val="00FC1604"/>
    <w:rsid w:val="00FC16D1"/>
    <w:rsid w:val="00FC184B"/>
    <w:rsid w:val="00FC1887"/>
    <w:rsid w:val="00FC1A18"/>
    <w:rsid w:val="00FC1A74"/>
    <w:rsid w:val="00FC1A8F"/>
    <w:rsid w:val="00FC1D51"/>
    <w:rsid w:val="00FC1F22"/>
    <w:rsid w:val="00FC20F2"/>
    <w:rsid w:val="00FC2731"/>
    <w:rsid w:val="00FC2783"/>
    <w:rsid w:val="00FC2916"/>
    <w:rsid w:val="00FC2A9D"/>
    <w:rsid w:val="00FC30A3"/>
    <w:rsid w:val="00FC32C7"/>
    <w:rsid w:val="00FC36A4"/>
    <w:rsid w:val="00FC3A4F"/>
    <w:rsid w:val="00FC3A81"/>
    <w:rsid w:val="00FC3AC5"/>
    <w:rsid w:val="00FC3B3C"/>
    <w:rsid w:val="00FC3E26"/>
    <w:rsid w:val="00FC4029"/>
    <w:rsid w:val="00FC4165"/>
    <w:rsid w:val="00FC4223"/>
    <w:rsid w:val="00FC44D1"/>
    <w:rsid w:val="00FC482A"/>
    <w:rsid w:val="00FC4AF5"/>
    <w:rsid w:val="00FC4CFF"/>
    <w:rsid w:val="00FC503B"/>
    <w:rsid w:val="00FC50A5"/>
    <w:rsid w:val="00FC51DF"/>
    <w:rsid w:val="00FC52AF"/>
    <w:rsid w:val="00FC5306"/>
    <w:rsid w:val="00FC549A"/>
    <w:rsid w:val="00FC54F6"/>
    <w:rsid w:val="00FC5569"/>
    <w:rsid w:val="00FC5A55"/>
    <w:rsid w:val="00FC5A8A"/>
    <w:rsid w:val="00FC5CA0"/>
    <w:rsid w:val="00FC60F0"/>
    <w:rsid w:val="00FC62BB"/>
    <w:rsid w:val="00FC64D3"/>
    <w:rsid w:val="00FC6667"/>
    <w:rsid w:val="00FC66CA"/>
    <w:rsid w:val="00FC6B5E"/>
    <w:rsid w:val="00FC6F18"/>
    <w:rsid w:val="00FC6F30"/>
    <w:rsid w:val="00FC7206"/>
    <w:rsid w:val="00FC74B3"/>
    <w:rsid w:val="00FC7525"/>
    <w:rsid w:val="00FC79E7"/>
    <w:rsid w:val="00FC7D0E"/>
    <w:rsid w:val="00FD013F"/>
    <w:rsid w:val="00FD044E"/>
    <w:rsid w:val="00FD0502"/>
    <w:rsid w:val="00FD0665"/>
    <w:rsid w:val="00FD0C9B"/>
    <w:rsid w:val="00FD101C"/>
    <w:rsid w:val="00FD134C"/>
    <w:rsid w:val="00FD1369"/>
    <w:rsid w:val="00FD14E3"/>
    <w:rsid w:val="00FD1739"/>
    <w:rsid w:val="00FD17D1"/>
    <w:rsid w:val="00FD17F7"/>
    <w:rsid w:val="00FD1DCE"/>
    <w:rsid w:val="00FD2270"/>
    <w:rsid w:val="00FD2325"/>
    <w:rsid w:val="00FD3473"/>
    <w:rsid w:val="00FD3814"/>
    <w:rsid w:val="00FD41F0"/>
    <w:rsid w:val="00FD43C0"/>
    <w:rsid w:val="00FD46F0"/>
    <w:rsid w:val="00FD4C35"/>
    <w:rsid w:val="00FD4CFA"/>
    <w:rsid w:val="00FD51A4"/>
    <w:rsid w:val="00FD54C6"/>
    <w:rsid w:val="00FD5FC0"/>
    <w:rsid w:val="00FD614B"/>
    <w:rsid w:val="00FD638A"/>
    <w:rsid w:val="00FD63CF"/>
    <w:rsid w:val="00FD6440"/>
    <w:rsid w:val="00FD6539"/>
    <w:rsid w:val="00FD6743"/>
    <w:rsid w:val="00FD69D2"/>
    <w:rsid w:val="00FD69F4"/>
    <w:rsid w:val="00FD6D51"/>
    <w:rsid w:val="00FD6EB0"/>
    <w:rsid w:val="00FD7262"/>
    <w:rsid w:val="00FD73BA"/>
    <w:rsid w:val="00FD73C6"/>
    <w:rsid w:val="00FD73E0"/>
    <w:rsid w:val="00FD7E4F"/>
    <w:rsid w:val="00FD7F7B"/>
    <w:rsid w:val="00FE0033"/>
    <w:rsid w:val="00FE01C5"/>
    <w:rsid w:val="00FE0621"/>
    <w:rsid w:val="00FE0B64"/>
    <w:rsid w:val="00FE0DAA"/>
    <w:rsid w:val="00FE0E92"/>
    <w:rsid w:val="00FE113A"/>
    <w:rsid w:val="00FE12D7"/>
    <w:rsid w:val="00FE12EC"/>
    <w:rsid w:val="00FE1380"/>
    <w:rsid w:val="00FE159C"/>
    <w:rsid w:val="00FE1810"/>
    <w:rsid w:val="00FE19FB"/>
    <w:rsid w:val="00FE1AF9"/>
    <w:rsid w:val="00FE1B1C"/>
    <w:rsid w:val="00FE2413"/>
    <w:rsid w:val="00FE2515"/>
    <w:rsid w:val="00FE27E4"/>
    <w:rsid w:val="00FE28E2"/>
    <w:rsid w:val="00FE2A90"/>
    <w:rsid w:val="00FE2D34"/>
    <w:rsid w:val="00FE2DA0"/>
    <w:rsid w:val="00FE2F8C"/>
    <w:rsid w:val="00FE3011"/>
    <w:rsid w:val="00FE3163"/>
    <w:rsid w:val="00FE3179"/>
    <w:rsid w:val="00FE38DF"/>
    <w:rsid w:val="00FE3F5C"/>
    <w:rsid w:val="00FE3F66"/>
    <w:rsid w:val="00FE3FCE"/>
    <w:rsid w:val="00FE49A3"/>
    <w:rsid w:val="00FE54F9"/>
    <w:rsid w:val="00FE5738"/>
    <w:rsid w:val="00FE58FD"/>
    <w:rsid w:val="00FE5ACE"/>
    <w:rsid w:val="00FE5D62"/>
    <w:rsid w:val="00FE6B81"/>
    <w:rsid w:val="00FE6E04"/>
    <w:rsid w:val="00FE6F05"/>
    <w:rsid w:val="00FE6F0C"/>
    <w:rsid w:val="00FE706B"/>
    <w:rsid w:val="00FE7148"/>
    <w:rsid w:val="00FE776E"/>
    <w:rsid w:val="00FE7E6A"/>
    <w:rsid w:val="00FE7EE8"/>
    <w:rsid w:val="00FF0002"/>
    <w:rsid w:val="00FF0135"/>
    <w:rsid w:val="00FF027B"/>
    <w:rsid w:val="00FF032B"/>
    <w:rsid w:val="00FF04ED"/>
    <w:rsid w:val="00FF0C0A"/>
    <w:rsid w:val="00FF0DAF"/>
    <w:rsid w:val="00FF0E96"/>
    <w:rsid w:val="00FF0F77"/>
    <w:rsid w:val="00FF106E"/>
    <w:rsid w:val="00FF125C"/>
    <w:rsid w:val="00FF12C8"/>
    <w:rsid w:val="00FF1478"/>
    <w:rsid w:val="00FF15F4"/>
    <w:rsid w:val="00FF181E"/>
    <w:rsid w:val="00FF190A"/>
    <w:rsid w:val="00FF1B27"/>
    <w:rsid w:val="00FF1B2E"/>
    <w:rsid w:val="00FF20D7"/>
    <w:rsid w:val="00FF21F2"/>
    <w:rsid w:val="00FF2406"/>
    <w:rsid w:val="00FF2439"/>
    <w:rsid w:val="00FF2453"/>
    <w:rsid w:val="00FF248C"/>
    <w:rsid w:val="00FF2496"/>
    <w:rsid w:val="00FF2888"/>
    <w:rsid w:val="00FF2BB2"/>
    <w:rsid w:val="00FF2C9C"/>
    <w:rsid w:val="00FF36F2"/>
    <w:rsid w:val="00FF38E0"/>
    <w:rsid w:val="00FF39D9"/>
    <w:rsid w:val="00FF3B43"/>
    <w:rsid w:val="00FF4151"/>
    <w:rsid w:val="00FF430B"/>
    <w:rsid w:val="00FF44A5"/>
    <w:rsid w:val="00FF46DF"/>
    <w:rsid w:val="00FF484E"/>
    <w:rsid w:val="00FF492D"/>
    <w:rsid w:val="00FF4A4D"/>
    <w:rsid w:val="00FF4BA9"/>
    <w:rsid w:val="00FF4CEA"/>
    <w:rsid w:val="00FF4D44"/>
    <w:rsid w:val="00FF4DD4"/>
    <w:rsid w:val="00FF512C"/>
    <w:rsid w:val="00FF51C3"/>
    <w:rsid w:val="00FF54B6"/>
    <w:rsid w:val="00FF55C5"/>
    <w:rsid w:val="00FF5730"/>
    <w:rsid w:val="00FF577A"/>
    <w:rsid w:val="00FF58AB"/>
    <w:rsid w:val="00FF5BEE"/>
    <w:rsid w:val="00FF6103"/>
    <w:rsid w:val="00FF62A7"/>
    <w:rsid w:val="00FF641F"/>
    <w:rsid w:val="00FF6952"/>
    <w:rsid w:val="00FF69CB"/>
    <w:rsid w:val="00FF6B76"/>
    <w:rsid w:val="00FF6C28"/>
    <w:rsid w:val="00FF6C53"/>
    <w:rsid w:val="00FF7063"/>
    <w:rsid w:val="00FF764C"/>
    <w:rsid w:val="00FF7A6A"/>
    <w:rsid w:val="00FF7EA4"/>
    <w:rsid w:val="06050C76"/>
    <w:rsid w:val="06902591"/>
    <w:rsid w:val="0F1C79CE"/>
    <w:rsid w:val="2A4832F0"/>
    <w:rsid w:val="2C7514E3"/>
    <w:rsid w:val="2D3B2DF6"/>
    <w:rsid w:val="370145D7"/>
    <w:rsid w:val="398C7B82"/>
    <w:rsid w:val="40101BF9"/>
    <w:rsid w:val="44F15918"/>
    <w:rsid w:val="464E6807"/>
    <w:rsid w:val="46542A2F"/>
    <w:rsid w:val="48E63299"/>
    <w:rsid w:val="497642C6"/>
    <w:rsid w:val="553A27A4"/>
    <w:rsid w:val="597043C8"/>
    <w:rsid w:val="5B687F2A"/>
    <w:rsid w:val="5D065E0B"/>
    <w:rsid w:val="67997D14"/>
    <w:rsid w:val="6D6008BD"/>
    <w:rsid w:val="719B7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stroke endarrow="block" endarrowwidth="narrow" weight=".5pt"/>
    </o:shapedefaults>
    <o:shapelayout v:ext="edit">
      <o:idmap v:ext="edit" data="1"/>
    </o:shapelayout>
  </w:shapeDefaults>
  <w:decimalSymbol w:val="."/>
  <w:listSeparator w:val=","/>
  <w14:docId w14:val="4B50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annotation reference" w:uiPriority="99"/>
    <w:lsdException w:name="endnote reference" w:uiPriority="99"/>
    <w:lsdException w:name="Default Paragraph Font" w:uiPriority="1" w:unhideWhenUsed="1"/>
    <w:lsdException w:name="Date" w:uiPriority="99"/>
    <w:lsdException w:name="Hyperlink" w:uiPriority="99"/>
    <w:lsdException w:name="FollowedHyperlink" w:uiPriority="99"/>
    <w:lsdException w:name="Strong" w:uiPriority="22"/>
    <w:lsdException w:name="HTML Top of Form" w:semiHidden="1" w:uiPriority="99" w:unhideWhenUsed="1" w:qFormat="0"/>
    <w:lsdException w:name="HTML Bottom of Form" w:semiHidden="1" w:uiPriority="99" w:unhideWhenUsed="1" w:qFormat="0"/>
    <w:lsdException w:name="Normal (Web)" w:uiPriority="99"/>
    <w:lsdException w:name="HTML Keyboard"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Quote" w:uiPriority="99" w:qFormat="0"/>
    <w:lsdException w:name="Intense Quote" w:uiPriority="99"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9">
    <w:name w:val="Normal"/>
    <w:qFormat/>
    <w:pPr>
      <w:widowControl w:val="0"/>
      <w:jc w:val="both"/>
    </w:pPr>
  </w:style>
  <w:style w:type="paragraph" w:styleId="1">
    <w:name w:val="heading 1"/>
    <w:basedOn w:val="a9"/>
    <w:next w:val="a9"/>
    <w:link w:val="1Char2"/>
    <w:qFormat/>
    <w:pPr>
      <w:keepNext/>
      <w:keepLines/>
      <w:pageBreakBefore/>
      <w:numPr>
        <w:numId w:val="1"/>
      </w:numPr>
      <w:spacing w:before="240" w:after="240" w:line="360" w:lineRule="auto"/>
      <w:outlineLvl w:val="0"/>
    </w:pPr>
    <w:rPr>
      <w:b/>
      <w:kern w:val="44"/>
      <w:sz w:val="32"/>
    </w:rPr>
  </w:style>
  <w:style w:type="paragraph" w:styleId="2">
    <w:name w:val="heading 2"/>
    <w:basedOn w:val="a9"/>
    <w:next w:val="aa"/>
    <w:link w:val="2Char"/>
    <w:qFormat/>
    <w:pPr>
      <w:keepLines/>
      <w:numPr>
        <w:ilvl w:val="1"/>
        <w:numId w:val="1"/>
      </w:numPr>
      <w:pBdr>
        <w:bottom w:val="single" w:sz="12" w:space="1" w:color="auto"/>
      </w:pBdr>
      <w:tabs>
        <w:tab w:val="left" w:pos="432"/>
      </w:tabs>
      <w:spacing w:before="960" w:after="960"/>
      <w:outlineLvl w:val="1"/>
    </w:pPr>
    <w:rPr>
      <w:rFonts w:eastAsia="黑体"/>
      <w:b/>
      <w:sz w:val="32"/>
    </w:rPr>
  </w:style>
  <w:style w:type="paragraph" w:styleId="3">
    <w:name w:val="heading 3"/>
    <w:basedOn w:val="a9"/>
    <w:next w:val="aa"/>
    <w:link w:val="3Char1"/>
    <w:qFormat/>
    <w:pPr>
      <w:numPr>
        <w:ilvl w:val="2"/>
        <w:numId w:val="1"/>
      </w:numPr>
      <w:tabs>
        <w:tab w:val="left" w:pos="432"/>
      </w:tabs>
      <w:snapToGrid w:val="0"/>
      <w:spacing w:line="360" w:lineRule="auto"/>
      <w:outlineLvl w:val="2"/>
    </w:pPr>
    <w:rPr>
      <w:rFonts w:eastAsia="黑体"/>
      <w:b/>
      <w:sz w:val="24"/>
    </w:rPr>
  </w:style>
  <w:style w:type="paragraph" w:styleId="4">
    <w:name w:val="heading 4"/>
    <w:basedOn w:val="a9"/>
    <w:next w:val="aa"/>
    <w:link w:val="4Char2"/>
    <w:qFormat/>
    <w:pPr>
      <w:numPr>
        <w:ilvl w:val="3"/>
        <w:numId w:val="1"/>
      </w:numPr>
      <w:tabs>
        <w:tab w:val="left" w:pos="432"/>
      </w:tabs>
      <w:spacing w:after="60" w:line="360" w:lineRule="auto"/>
      <w:outlineLvl w:val="3"/>
    </w:pPr>
    <w:rPr>
      <w:b/>
      <w:color w:val="000000"/>
      <w:sz w:val="24"/>
    </w:rPr>
  </w:style>
  <w:style w:type="paragraph" w:styleId="5">
    <w:name w:val="heading 5"/>
    <w:basedOn w:val="a9"/>
    <w:next w:val="aa"/>
    <w:link w:val="5Char6"/>
    <w:qFormat/>
    <w:pPr>
      <w:keepNext/>
      <w:numPr>
        <w:ilvl w:val="4"/>
        <w:numId w:val="1"/>
      </w:numPr>
      <w:tabs>
        <w:tab w:val="left" w:pos="432"/>
        <w:tab w:val="left" w:pos="1003"/>
      </w:tabs>
      <w:spacing w:after="60" w:line="360" w:lineRule="auto"/>
      <w:outlineLvl w:val="4"/>
    </w:pPr>
    <w:rPr>
      <w:b/>
      <w:sz w:val="24"/>
    </w:rPr>
  </w:style>
  <w:style w:type="paragraph" w:styleId="6">
    <w:name w:val="heading 6"/>
    <w:basedOn w:val="a9"/>
    <w:next w:val="aa"/>
    <w:link w:val="6Char"/>
    <w:qFormat/>
    <w:pPr>
      <w:keepNext/>
      <w:numPr>
        <w:ilvl w:val="5"/>
        <w:numId w:val="1"/>
      </w:numPr>
      <w:tabs>
        <w:tab w:val="left" w:pos="432"/>
      </w:tabs>
      <w:snapToGrid w:val="0"/>
      <w:spacing w:line="360" w:lineRule="auto"/>
      <w:outlineLvl w:val="5"/>
    </w:pPr>
    <w:rPr>
      <w:rFonts w:ascii="宋体"/>
      <w:sz w:val="24"/>
    </w:rPr>
  </w:style>
  <w:style w:type="paragraph" w:styleId="7">
    <w:name w:val="heading 7"/>
    <w:basedOn w:val="a9"/>
    <w:next w:val="aa"/>
    <w:link w:val="7Char"/>
    <w:qFormat/>
    <w:pPr>
      <w:keepNext/>
      <w:numPr>
        <w:ilvl w:val="6"/>
        <w:numId w:val="1"/>
      </w:numPr>
      <w:tabs>
        <w:tab w:val="left" w:pos="432"/>
      </w:tabs>
      <w:snapToGrid w:val="0"/>
      <w:spacing w:line="360" w:lineRule="auto"/>
      <w:outlineLvl w:val="6"/>
    </w:pPr>
    <w:rPr>
      <w:color w:val="008000"/>
      <w:sz w:val="28"/>
    </w:rPr>
  </w:style>
  <w:style w:type="paragraph" w:styleId="8">
    <w:name w:val="heading 8"/>
    <w:basedOn w:val="a9"/>
    <w:next w:val="aa"/>
    <w:link w:val="8Char"/>
    <w:qFormat/>
    <w:pPr>
      <w:keepNext/>
      <w:numPr>
        <w:ilvl w:val="7"/>
        <w:numId w:val="1"/>
      </w:numPr>
      <w:tabs>
        <w:tab w:val="left" w:pos="432"/>
      </w:tabs>
      <w:snapToGrid w:val="0"/>
      <w:spacing w:line="360" w:lineRule="auto"/>
      <w:outlineLvl w:val="7"/>
    </w:pPr>
    <w:rPr>
      <w:color w:val="008000"/>
      <w:sz w:val="28"/>
    </w:rPr>
  </w:style>
  <w:style w:type="paragraph" w:styleId="9">
    <w:name w:val="heading 9"/>
    <w:basedOn w:val="a9"/>
    <w:next w:val="a9"/>
    <w:link w:val="9Char2"/>
    <w:qFormat/>
    <w:pPr>
      <w:keepNext/>
      <w:keepLines/>
      <w:numPr>
        <w:ilvl w:val="8"/>
        <w:numId w:val="1"/>
      </w:numPr>
      <w:tabs>
        <w:tab w:val="left" w:pos="432"/>
      </w:tabs>
      <w:adjustRightInd w:val="0"/>
      <w:spacing w:before="240" w:after="64" w:line="320" w:lineRule="atLeast"/>
      <w:jc w:val="left"/>
      <w:textAlignment w:val="baseline"/>
      <w:outlineLvl w:val="8"/>
    </w:pPr>
    <w:rPr>
      <w:rFonts w:ascii="Arial" w:eastAsia="黑体" w:hAnsi="Arial"/>
      <w:sz w:val="24"/>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Normal Indent"/>
    <w:basedOn w:val="a9"/>
    <w:link w:val="Char"/>
    <w:qFormat/>
    <w:pPr>
      <w:spacing w:line="360" w:lineRule="auto"/>
      <w:ind w:firstLine="482"/>
    </w:pPr>
    <w:rPr>
      <w:sz w:val="24"/>
    </w:rPr>
  </w:style>
  <w:style w:type="paragraph" w:styleId="30">
    <w:name w:val="List 3"/>
    <w:basedOn w:val="a9"/>
    <w:qFormat/>
    <w:pPr>
      <w:ind w:leftChars="400" w:left="100" w:hangingChars="200" w:hanging="200"/>
    </w:pPr>
  </w:style>
  <w:style w:type="paragraph" w:styleId="ae">
    <w:name w:val="annotation subject"/>
    <w:basedOn w:val="af"/>
    <w:next w:val="af"/>
    <w:link w:val="Char0"/>
    <w:uiPriority w:val="99"/>
    <w:qFormat/>
    <w:rPr>
      <w:b/>
      <w:bCs/>
    </w:rPr>
  </w:style>
  <w:style w:type="paragraph" w:styleId="af">
    <w:name w:val="annotation text"/>
    <w:basedOn w:val="a9"/>
    <w:link w:val="Char4"/>
    <w:qFormat/>
    <w:pPr>
      <w:jc w:val="left"/>
    </w:pPr>
  </w:style>
  <w:style w:type="paragraph" w:styleId="70">
    <w:name w:val="toc 7"/>
    <w:basedOn w:val="a9"/>
    <w:next w:val="a9"/>
    <w:uiPriority w:val="39"/>
    <w:qFormat/>
    <w:pPr>
      <w:ind w:left="1260"/>
      <w:jc w:val="left"/>
    </w:pPr>
  </w:style>
  <w:style w:type="paragraph" w:styleId="af0">
    <w:name w:val="Body Text First Indent"/>
    <w:basedOn w:val="a9"/>
    <w:link w:val="Char3"/>
    <w:qFormat/>
    <w:pPr>
      <w:spacing w:after="120" w:line="360" w:lineRule="auto"/>
      <w:ind w:firstLineChars="200" w:firstLine="200"/>
    </w:pPr>
    <w:rPr>
      <w:sz w:val="24"/>
    </w:rPr>
  </w:style>
  <w:style w:type="paragraph" w:styleId="20">
    <w:name w:val="List Number 2"/>
    <w:basedOn w:val="a9"/>
    <w:qFormat/>
    <w:pPr>
      <w:tabs>
        <w:tab w:val="left" w:pos="780"/>
      </w:tabs>
      <w:ind w:leftChars="200" w:left="780" w:hangingChars="200" w:hanging="360"/>
    </w:pPr>
  </w:style>
  <w:style w:type="paragraph" w:styleId="af1">
    <w:name w:val="table of authorities"/>
    <w:basedOn w:val="a9"/>
    <w:next w:val="a9"/>
    <w:qFormat/>
    <w:pPr>
      <w:ind w:leftChars="200" w:left="420"/>
    </w:pPr>
    <w:rPr>
      <w:kern w:val="2"/>
      <w:sz w:val="21"/>
      <w:szCs w:val="24"/>
    </w:rPr>
  </w:style>
  <w:style w:type="paragraph" w:styleId="af2">
    <w:name w:val="macro"/>
    <w:link w:val="Char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3">
    <w:name w:val="Note Heading"/>
    <w:basedOn w:val="a9"/>
    <w:next w:val="a9"/>
    <w:link w:val="Char2"/>
    <w:qFormat/>
    <w:pPr>
      <w:jc w:val="center"/>
    </w:pPr>
  </w:style>
  <w:style w:type="paragraph" w:styleId="41">
    <w:name w:val="List Bullet 4"/>
    <w:basedOn w:val="a9"/>
    <w:qFormat/>
    <w:pPr>
      <w:tabs>
        <w:tab w:val="left" w:pos="1620"/>
      </w:tabs>
      <w:ind w:leftChars="600" w:left="1620" w:hangingChars="200" w:hanging="360"/>
    </w:pPr>
  </w:style>
  <w:style w:type="paragraph" w:styleId="80">
    <w:name w:val="index 8"/>
    <w:basedOn w:val="a9"/>
    <w:next w:val="a9"/>
    <w:qFormat/>
    <w:pPr>
      <w:adjustRightInd w:val="0"/>
      <w:spacing w:line="400" w:lineRule="exact"/>
      <w:ind w:left="2940"/>
    </w:pPr>
    <w:rPr>
      <w:rFonts w:eastAsia="楷体_GB2312"/>
      <w:spacing w:val="8"/>
      <w:sz w:val="28"/>
    </w:rPr>
  </w:style>
  <w:style w:type="paragraph" w:styleId="af4">
    <w:name w:val="E-mail Signature"/>
    <w:basedOn w:val="a9"/>
    <w:link w:val="Char20"/>
    <w:qFormat/>
  </w:style>
  <w:style w:type="paragraph" w:styleId="af5">
    <w:name w:val="List Number"/>
    <w:basedOn w:val="a9"/>
    <w:qFormat/>
    <w:pPr>
      <w:tabs>
        <w:tab w:val="left" w:pos="360"/>
      </w:tabs>
      <w:spacing w:line="360" w:lineRule="auto"/>
      <w:ind w:left="360" w:hangingChars="200" w:hanging="360"/>
    </w:pPr>
    <w:rPr>
      <w:sz w:val="24"/>
    </w:rPr>
  </w:style>
  <w:style w:type="paragraph" w:styleId="af6">
    <w:name w:val="caption"/>
    <w:basedOn w:val="a9"/>
    <w:next w:val="a9"/>
    <w:link w:val="Char21"/>
    <w:qFormat/>
    <w:pPr>
      <w:spacing w:before="152" w:after="160"/>
    </w:pPr>
    <w:rPr>
      <w:rFonts w:ascii="Arial" w:eastAsia="黑体" w:hAnsi="Arial" w:cs="Arial"/>
    </w:rPr>
  </w:style>
  <w:style w:type="paragraph" w:styleId="50">
    <w:name w:val="index 5"/>
    <w:basedOn w:val="a9"/>
    <w:next w:val="a9"/>
    <w:qFormat/>
    <w:pPr>
      <w:ind w:leftChars="800" w:left="800"/>
    </w:pPr>
  </w:style>
  <w:style w:type="paragraph" w:styleId="af7">
    <w:name w:val="List Bullet"/>
    <w:basedOn w:val="a9"/>
    <w:qFormat/>
    <w:pPr>
      <w:tabs>
        <w:tab w:val="left" w:pos="360"/>
      </w:tabs>
      <w:ind w:left="360" w:hangingChars="200" w:hanging="360"/>
    </w:pPr>
  </w:style>
  <w:style w:type="paragraph" w:styleId="af8">
    <w:name w:val="envelope address"/>
    <w:basedOn w:val="a9"/>
    <w:qFormat/>
    <w:pPr>
      <w:framePr w:w="7920" w:h="1980" w:hRule="exact" w:hSpace="180" w:wrap="around" w:hAnchor="page" w:xAlign="center" w:yAlign="bottom"/>
      <w:snapToGrid w:val="0"/>
      <w:ind w:leftChars="1400" w:left="100"/>
    </w:pPr>
    <w:rPr>
      <w:rFonts w:ascii="Arial" w:hAnsi="Arial" w:cs="Arial"/>
      <w:sz w:val="24"/>
    </w:rPr>
  </w:style>
  <w:style w:type="paragraph" w:styleId="af9">
    <w:name w:val="Document Map"/>
    <w:basedOn w:val="a9"/>
    <w:link w:val="Char5"/>
    <w:qFormat/>
    <w:pPr>
      <w:shd w:val="clear" w:color="auto" w:fill="000080"/>
    </w:pPr>
  </w:style>
  <w:style w:type="paragraph" w:styleId="afa">
    <w:name w:val="toa heading"/>
    <w:basedOn w:val="a9"/>
    <w:next w:val="a9"/>
    <w:qFormat/>
    <w:pPr>
      <w:spacing w:before="120" w:line="360" w:lineRule="auto"/>
    </w:pPr>
    <w:rPr>
      <w:rFonts w:ascii="Arial" w:hAnsi="Arial" w:cs="Arial"/>
      <w:sz w:val="24"/>
    </w:rPr>
  </w:style>
  <w:style w:type="paragraph" w:styleId="60">
    <w:name w:val="index 6"/>
    <w:basedOn w:val="a9"/>
    <w:next w:val="a9"/>
    <w:qFormat/>
    <w:pPr>
      <w:ind w:leftChars="1000" w:left="1000"/>
    </w:pPr>
  </w:style>
  <w:style w:type="paragraph" w:styleId="afb">
    <w:name w:val="Salutation"/>
    <w:basedOn w:val="a9"/>
    <w:next w:val="a9"/>
    <w:link w:val="Char30"/>
    <w:qFormat/>
  </w:style>
  <w:style w:type="paragraph" w:styleId="31">
    <w:name w:val="Body Text 3"/>
    <w:basedOn w:val="a9"/>
    <w:link w:val="3Char2"/>
    <w:qFormat/>
    <w:rPr>
      <w:sz w:val="28"/>
    </w:rPr>
  </w:style>
  <w:style w:type="paragraph" w:styleId="afc">
    <w:name w:val="Closing"/>
    <w:basedOn w:val="a9"/>
    <w:link w:val="Char22"/>
    <w:qFormat/>
    <w:pPr>
      <w:ind w:leftChars="2100" w:left="100"/>
    </w:pPr>
  </w:style>
  <w:style w:type="paragraph" w:styleId="32">
    <w:name w:val="List Bullet 3"/>
    <w:basedOn w:val="a9"/>
    <w:qFormat/>
    <w:pPr>
      <w:tabs>
        <w:tab w:val="left" w:pos="1200"/>
      </w:tabs>
      <w:ind w:leftChars="400" w:left="1200" w:hangingChars="200" w:hanging="360"/>
    </w:pPr>
  </w:style>
  <w:style w:type="paragraph" w:styleId="afd">
    <w:name w:val="Body Text"/>
    <w:basedOn w:val="a9"/>
    <w:link w:val="Char6"/>
    <w:qFormat/>
    <w:pPr>
      <w:spacing w:line="360" w:lineRule="auto"/>
      <w:ind w:firstLineChars="200" w:firstLine="200"/>
    </w:pPr>
    <w:rPr>
      <w:rFonts w:ascii="Times" w:hAnsi="Times"/>
      <w:kern w:val="24"/>
      <w:sz w:val="24"/>
    </w:rPr>
  </w:style>
  <w:style w:type="paragraph" w:styleId="afe">
    <w:name w:val="Body Text Indent"/>
    <w:basedOn w:val="a9"/>
    <w:link w:val="Char23"/>
    <w:qFormat/>
    <w:pPr>
      <w:snapToGrid w:val="0"/>
      <w:ind w:firstLine="600"/>
    </w:pPr>
    <w:rPr>
      <w:color w:val="008000"/>
    </w:rPr>
  </w:style>
  <w:style w:type="paragraph" w:styleId="33">
    <w:name w:val="List Number 3"/>
    <w:basedOn w:val="a9"/>
    <w:qFormat/>
    <w:pPr>
      <w:tabs>
        <w:tab w:val="left" w:pos="1200"/>
      </w:tabs>
      <w:ind w:leftChars="400" w:left="1200" w:hangingChars="200" w:hanging="360"/>
    </w:pPr>
  </w:style>
  <w:style w:type="paragraph" w:styleId="21">
    <w:name w:val="List 2"/>
    <w:basedOn w:val="a9"/>
    <w:link w:val="2Char0"/>
    <w:qFormat/>
    <w:pPr>
      <w:ind w:leftChars="200" w:left="100" w:hangingChars="200" w:hanging="200"/>
    </w:pPr>
  </w:style>
  <w:style w:type="paragraph" w:styleId="aff">
    <w:name w:val="List Continue"/>
    <w:basedOn w:val="a9"/>
    <w:qFormat/>
    <w:pPr>
      <w:spacing w:after="120"/>
      <w:ind w:leftChars="200" w:left="420"/>
    </w:pPr>
  </w:style>
  <w:style w:type="paragraph" w:styleId="aff0">
    <w:name w:val="Block Text"/>
    <w:basedOn w:val="a9"/>
    <w:qFormat/>
    <w:pPr>
      <w:spacing w:after="120"/>
      <w:ind w:leftChars="700" w:left="1440" w:rightChars="700" w:right="1440"/>
    </w:pPr>
  </w:style>
  <w:style w:type="paragraph" w:styleId="22">
    <w:name w:val="List Bullet 2"/>
    <w:basedOn w:val="a9"/>
    <w:qFormat/>
    <w:pPr>
      <w:tabs>
        <w:tab w:val="left" w:pos="780"/>
      </w:tabs>
      <w:ind w:leftChars="200" w:left="780" w:hangingChars="200" w:hanging="360"/>
    </w:pPr>
  </w:style>
  <w:style w:type="paragraph" w:styleId="HTML">
    <w:name w:val="HTML Address"/>
    <w:basedOn w:val="a9"/>
    <w:link w:val="HTMLChar2"/>
    <w:qFormat/>
    <w:rPr>
      <w:i/>
      <w:iCs/>
    </w:rPr>
  </w:style>
  <w:style w:type="paragraph" w:styleId="42">
    <w:name w:val="index 4"/>
    <w:basedOn w:val="a9"/>
    <w:next w:val="a9"/>
    <w:qFormat/>
    <w:pPr>
      <w:adjustRightInd w:val="0"/>
      <w:spacing w:line="400" w:lineRule="exact"/>
      <w:ind w:left="1260"/>
    </w:pPr>
    <w:rPr>
      <w:rFonts w:eastAsia="楷体_GB2312"/>
      <w:spacing w:val="8"/>
      <w:sz w:val="28"/>
    </w:rPr>
  </w:style>
  <w:style w:type="paragraph" w:styleId="51">
    <w:name w:val="toc 5"/>
    <w:basedOn w:val="a9"/>
    <w:next w:val="a9"/>
    <w:uiPriority w:val="39"/>
    <w:qFormat/>
    <w:pPr>
      <w:ind w:left="840"/>
      <w:jc w:val="left"/>
    </w:pPr>
  </w:style>
  <w:style w:type="paragraph" w:styleId="34">
    <w:name w:val="toc 3"/>
    <w:basedOn w:val="a9"/>
    <w:next w:val="a9"/>
    <w:uiPriority w:val="39"/>
    <w:qFormat/>
    <w:pPr>
      <w:tabs>
        <w:tab w:val="left" w:pos="1050"/>
        <w:tab w:val="right" w:leader="hyphen" w:pos="9628"/>
      </w:tabs>
      <w:spacing w:line="360" w:lineRule="auto"/>
      <w:ind w:left="420"/>
      <w:jc w:val="left"/>
    </w:pPr>
  </w:style>
  <w:style w:type="paragraph" w:styleId="aff1">
    <w:name w:val="Plain Text"/>
    <w:basedOn w:val="a9"/>
    <w:link w:val="Char10"/>
    <w:qFormat/>
    <w:rPr>
      <w:rFonts w:ascii="宋体" w:hAnsi="Courier New"/>
    </w:rPr>
  </w:style>
  <w:style w:type="paragraph" w:styleId="52">
    <w:name w:val="List Bullet 5"/>
    <w:basedOn w:val="a9"/>
    <w:qFormat/>
    <w:pPr>
      <w:tabs>
        <w:tab w:val="left" w:pos="2040"/>
      </w:tabs>
      <w:ind w:leftChars="800" w:left="2040" w:hangingChars="200" w:hanging="360"/>
    </w:pPr>
  </w:style>
  <w:style w:type="paragraph" w:styleId="43">
    <w:name w:val="List Number 4"/>
    <w:basedOn w:val="a9"/>
    <w:qFormat/>
    <w:pPr>
      <w:tabs>
        <w:tab w:val="left" w:pos="1620"/>
      </w:tabs>
      <w:ind w:leftChars="600" w:left="1620" w:hangingChars="200" w:hanging="360"/>
    </w:pPr>
  </w:style>
  <w:style w:type="paragraph" w:styleId="81">
    <w:name w:val="toc 8"/>
    <w:basedOn w:val="a9"/>
    <w:next w:val="a9"/>
    <w:uiPriority w:val="39"/>
    <w:qFormat/>
    <w:pPr>
      <w:ind w:left="1470"/>
      <w:jc w:val="left"/>
    </w:pPr>
  </w:style>
  <w:style w:type="paragraph" w:styleId="35">
    <w:name w:val="index 3"/>
    <w:basedOn w:val="a9"/>
    <w:next w:val="a9"/>
    <w:qFormat/>
    <w:pPr>
      <w:ind w:leftChars="400" w:left="400"/>
    </w:pPr>
    <w:rPr>
      <w:kern w:val="2"/>
      <w:sz w:val="21"/>
      <w:szCs w:val="24"/>
    </w:rPr>
  </w:style>
  <w:style w:type="paragraph" w:styleId="aff2">
    <w:name w:val="Date"/>
    <w:basedOn w:val="a9"/>
    <w:next w:val="a9"/>
    <w:link w:val="Char24"/>
    <w:uiPriority w:val="99"/>
    <w:qFormat/>
  </w:style>
  <w:style w:type="paragraph" w:styleId="23">
    <w:name w:val="Body Text Indent 2"/>
    <w:basedOn w:val="a9"/>
    <w:link w:val="2Char1"/>
    <w:qFormat/>
    <w:pPr>
      <w:spacing w:after="120" w:line="480" w:lineRule="auto"/>
      <w:ind w:leftChars="200" w:left="420"/>
    </w:pPr>
  </w:style>
  <w:style w:type="paragraph" w:styleId="aff3">
    <w:name w:val="endnote text"/>
    <w:basedOn w:val="a9"/>
    <w:link w:val="Char25"/>
    <w:qFormat/>
    <w:pPr>
      <w:widowControl/>
      <w:snapToGrid w:val="0"/>
      <w:jc w:val="left"/>
    </w:pPr>
    <w:rPr>
      <w:rFonts w:ascii="宋体" w:hAnsi="宋体" w:cs="宋体"/>
      <w:sz w:val="24"/>
      <w:lang w:bidi="ne-NP"/>
    </w:rPr>
  </w:style>
  <w:style w:type="paragraph" w:styleId="53">
    <w:name w:val="List Continue 5"/>
    <w:basedOn w:val="a9"/>
    <w:qFormat/>
    <w:pPr>
      <w:spacing w:after="120"/>
      <w:ind w:leftChars="1000" w:left="2100"/>
    </w:pPr>
  </w:style>
  <w:style w:type="paragraph" w:styleId="aff4">
    <w:name w:val="Balloon Text"/>
    <w:basedOn w:val="a9"/>
    <w:link w:val="Char7"/>
    <w:uiPriority w:val="99"/>
    <w:qFormat/>
    <w:rPr>
      <w:sz w:val="18"/>
      <w:szCs w:val="18"/>
    </w:rPr>
  </w:style>
  <w:style w:type="paragraph" w:styleId="aff5">
    <w:name w:val="footer"/>
    <w:basedOn w:val="a9"/>
    <w:link w:val="Char31"/>
    <w:uiPriority w:val="99"/>
    <w:qFormat/>
    <w:pPr>
      <w:tabs>
        <w:tab w:val="center" w:pos="4153"/>
        <w:tab w:val="right" w:pos="8306"/>
      </w:tabs>
      <w:snapToGrid w:val="0"/>
      <w:jc w:val="left"/>
    </w:pPr>
    <w:rPr>
      <w:sz w:val="18"/>
      <w:szCs w:val="18"/>
    </w:rPr>
  </w:style>
  <w:style w:type="paragraph" w:styleId="aff6">
    <w:name w:val="envelope return"/>
    <w:basedOn w:val="a9"/>
    <w:qFormat/>
    <w:pPr>
      <w:snapToGrid w:val="0"/>
    </w:pPr>
    <w:rPr>
      <w:rFonts w:ascii="Arial" w:hAnsi="Arial" w:cs="Arial"/>
    </w:rPr>
  </w:style>
  <w:style w:type="paragraph" w:styleId="24">
    <w:name w:val="Body Text First Indent 2"/>
    <w:basedOn w:val="afe"/>
    <w:link w:val="2Char2"/>
    <w:qFormat/>
    <w:pPr>
      <w:tabs>
        <w:tab w:val="left" w:pos="420"/>
        <w:tab w:val="left" w:pos="870"/>
        <w:tab w:val="left" w:pos="3150"/>
      </w:tabs>
      <w:autoSpaceDE w:val="0"/>
      <w:autoSpaceDN w:val="0"/>
      <w:adjustRightInd w:val="0"/>
      <w:snapToGrid/>
      <w:spacing w:beforeLines="25" w:before="60" w:line="336" w:lineRule="auto"/>
      <w:ind w:firstLine="527"/>
      <w:textAlignment w:val="baseline"/>
    </w:pPr>
    <w:rPr>
      <w:rFonts w:ascii="宋体"/>
      <w:color w:val="auto"/>
      <w:sz w:val="24"/>
      <w:szCs w:val="28"/>
    </w:rPr>
  </w:style>
  <w:style w:type="paragraph" w:styleId="aff7">
    <w:name w:val="header"/>
    <w:basedOn w:val="a9"/>
    <w:link w:val="Char32"/>
    <w:uiPriority w:val="99"/>
    <w:qFormat/>
    <w:pPr>
      <w:pBdr>
        <w:bottom w:val="single" w:sz="6" w:space="1" w:color="auto"/>
      </w:pBdr>
      <w:tabs>
        <w:tab w:val="center" w:pos="4153"/>
        <w:tab w:val="right" w:pos="8306"/>
      </w:tabs>
      <w:snapToGrid w:val="0"/>
      <w:jc w:val="center"/>
    </w:pPr>
    <w:rPr>
      <w:sz w:val="18"/>
      <w:szCs w:val="18"/>
    </w:rPr>
  </w:style>
  <w:style w:type="paragraph" w:styleId="aff8">
    <w:name w:val="Signature"/>
    <w:basedOn w:val="a9"/>
    <w:link w:val="Char26"/>
    <w:qFormat/>
    <w:pPr>
      <w:ind w:leftChars="2100" w:left="100"/>
    </w:pPr>
  </w:style>
  <w:style w:type="paragraph" w:styleId="10">
    <w:name w:val="toc 1"/>
    <w:basedOn w:val="a9"/>
    <w:next w:val="a9"/>
    <w:uiPriority w:val="39"/>
    <w:qFormat/>
    <w:pPr>
      <w:spacing w:before="240" w:after="120"/>
      <w:jc w:val="left"/>
    </w:pPr>
    <w:rPr>
      <w:b/>
      <w:bCs/>
    </w:rPr>
  </w:style>
  <w:style w:type="paragraph" w:styleId="44">
    <w:name w:val="List Continue 4"/>
    <w:basedOn w:val="a9"/>
    <w:qFormat/>
    <w:pPr>
      <w:spacing w:after="120"/>
      <w:ind w:leftChars="800" w:left="1680"/>
    </w:pPr>
  </w:style>
  <w:style w:type="paragraph" w:styleId="45">
    <w:name w:val="toc 4"/>
    <w:basedOn w:val="a9"/>
    <w:next w:val="a9"/>
    <w:uiPriority w:val="39"/>
    <w:qFormat/>
    <w:pPr>
      <w:ind w:left="630"/>
      <w:jc w:val="left"/>
    </w:pPr>
  </w:style>
  <w:style w:type="paragraph" w:styleId="aff9">
    <w:name w:val="index heading"/>
    <w:basedOn w:val="a9"/>
    <w:next w:val="11"/>
    <w:qFormat/>
    <w:pPr>
      <w:adjustRightInd w:val="0"/>
      <w:spacing w:line="400" w:lineRule="exact"/>
      <w:ind w:firstLine="601"/>
    </w:pPr>
    <w:rPr>
      <w:rFonts w:eastAsia="楷体_GB2312"/>
      <w:spacing w:val="8"/>
      <w:sz w:val="28"/>
    </w:rPr>
  </w:style>
  <w:style w:type="paragraph" w:styleId="11">
    <w:name w:val="index 1"/>
    <w:basedOn w:val="a9"/>
    <w:next w:val="a9"/>
    <w:semiHidden/>
    <w:qFormat/>
    <w:pPr>
      <w:snapToGrid w:val="0"/>
      <w:spacing w:line="360" w:lineRule="auto"/>
      <w:ind w:firstLine="660"/>
    </w:pPr>
    <w:rPr>
      <w:sz w:val="24"/>
    </w:rPr>
  </w:style>
  <w:style w:type="paragraph" w:styleId="affa">
    <w:name w:val="Subtitle"/>
    <w:basedOn w:val="a9"/>
    <w:link w:val="Char27"/>
    <w:qFormat/>
    <w:pPr>
      <w:spacing w:before="240" w:after="60" w:line="312" w:lineRule="auto"/>
      <w:jc w:val="center"/>
      <w:outlineLvl w:val="1"/>
    </w:pPr>
    <w:rPr>
      <w:rFonts w:ascii="Arial" w:hAnsi="Arial" w:cs="Arial"/>
      <w:b/>
      <w:bCs/>
      <w:kern w:val="28"/>
      <w:sz w:val="32"/>
      <w:szCs w:val="32"/>
    </w:rPr>
  </w:style>
  <w:style w:type="paragraph" w:styleId="54">
    <w:name w:val="List Number 5"/>
    <w:basedOn w:val="a9"/>
    <w:qFormat/>
    <w:pPr>
      <w:tabs>
        <w:tab w:val="left" w:pos="360"/>
      </w:tabs>
      <w:ind w:left="360" w:hanging="360"/>
      <w:jc w:val="center"/>
    </w:pPr>
    <w:rPr>
      <w:b/>
      <w:sz w:val="28"/>
    </w:rPr>
  </w:style>
  <w:style w:type="paragraph" w:styleId="affb">
    <w:name w:val="List"/>
    <w:basedOn w:val="a9"/>
    <w:link w:val="Char8"/>
    <w:qFormat/>
    <w:pPr>
      <w:ind w:left="420" w:hanging="420"/>
    </w:pPr>
  </w:style>
  <w:style w:type="paragraph" w:styleId="affc">
    <w:name w:val="footnote text"/>
    <w:basedOn w:val="a9"/>
    <w:link w:val="Char9"/>
    <w:qFormat/>
    <w:pPr>
      <w:snapToGrid w:val="0"/>
      <w:jc w:val="left"/>
    </w:pPr>
    <w:rPr>
      <w:sz w:val="18"/>
      <w:szCs w:val="18"/>
    </w:rPr>
  </w:style>
  <w:style w:type="paragraph" w:styleId="61">
    <w:name w:val="toc 6"/>
    <w:basedOn w:val="a9"/>
    <w:next w:val="a9"/>
    <w:uiPriority w:val="39"/>
    <w:qFormat/>
    <w:pPr>
      <w:ind w:left="1050"/>
      <w:jc w:val="left"/>
    </w:pPr>
  </w:style>
  <w:style w:type="paragraph" w:styleId="55">
    <w:name w:val="List 5"/>
    <w:basedOn w:val="a9"/>
    <w:qFormat/>
    <w:pPr>
      <w:ind w:leftChars="800" w:left="100" w:hangingChars="200" w:hanging="200"/>
    </w:pPr>
  </w:style>
  <w:style w:type="paragraph" w:styleId="36">
    <w:name w:val="Body Text Indent 3"/>
    <w:basedOn w:val="a9"/>
    <w:link w:val="3Char"/>
    <w:qFormat/>
    <w:pPr>
      <w:spacing w:after="120"/>
      <w:ind w:leftChars="200" w:left="420"/>
    </w:pPr>
    <w:rPr>
      <w:sz w:val="16"/>
      <w:szCs w:val="16"/>
    </w:rPr>
  </w:style>
  <w:style w:type="paragraph" w:styleId="71">
    <w:name w:val="index 7"/>
    <w:basedOn w:val="a9"/>
    <w:next w:val="a9"/>
    <w:qFormat/>
    <w:pPr>
      <w:adjustRightInd w:val="0"/>
      <w:spacing w:line="400" w:lineRule="exact"/>
      <w:ind w:left="2520"/>
    </w:pPr>
    <w:rPr>
      <w:rFonts w:eastAsia="楷体_GB2312"/>
      <w:spacing w:val="8"/>
      <w:sz w:val="28"/>
    </w:rPr>
  </w:style>
  <w:style w:type="paragraph" w:styleId="90">
    <w:name w:val="index 9"/>
    <w:basedOn w:val="a9"/>
    <w:next w:val="a9"/>
    <w:qFormat/>
    <w:pPr>
      <w:adjustRightInd w:val="0"/>
      <w:spacing w:line="400" w:lineRule="exact"/>
      <w:ind w:left="3360"/>
    </w:pPr>
    <w:rPr>
      <w:rFonts w:eastAsia="楷体_GB2312"/>
      <w:spacing w:val="8"/>
      <w:sz w:val="28"/>
    </w:rPr>
  </w:style>
  <w:style w:type="paragraph" w:styleId="affd">
    <w:name w:val="table of figures"/>
    <w:basedOn w:val="a9"/>
    <w:next w:val="a9"/>
    <w:qFormat/>
    <w:pPr>
      <w:spacing w:line="360" w:lineRule="auto"/>
      <w:ind w:leftChars="200" w:left="200" w:hangingChars="200" w:hanging="200"/>
    </w:pPr>
    <w:rPr>
      <w:sz w:val="24"/>
    </w:rPr>
  </w:style>
  <w:style w:type="paragraph" w:styleId="25">
    <w:name w:val="toc 2"/>
    <w:basedOn w:val="a9"/>
    <w:next w:val="a9"/>
    <w:uiPriority w:val="39"/>
    <w:qFormat/>
    <w:pPr>
      <w:tabs>
        <w:tab w:val="left" w:pos="840"/>
        <w:tab w:val="right" w:leader="hyphen" w:pos="9628"/>
      </w:tabs>
      <w:spacing w:before="120" w:line="440" w:lineRule="exact"/>
      <w:ind w:left="210"/>
      <w:jc w:val="left"/>
    </w:pPr>
    <w:rPr>
      <w:b/>
      <w:i/>
      <w:iCs/>
      <w:sz w:val="24"/>
    </w:rPr>
  </w:style>
  <w:style w:type="paragraph" w:styleId="91">
    <w:name w:val="toc 9"/>
    <w:basedOn w:val="a9"/>
    <w:next w:val="a9"/>
    <w:uiPriority w:val="39"/>
    <w:qFormat/>
    <w:pPr>
      <w:ind w:left="1680"/>
      <w:jc w:val="left"/>
    </w:pPr>
  </w:style>
  <w:style w:type="paragraph" w:styleId="26">
    <w:name w:val="Body Text 2"/>
    <w:basedOn w:val="a9"/>
    <w:link w:val="2Char20"/>
    <w:qFormat/>
    <w:pPr>
      <w:snapToGrid w:val="0"/>
      <w:jc w:val="distribute"/>
    </w:pPr>
    <w:rPr>
      <w:spacing w:val="-8"/>
      <w:sz w:val="18"/>
    </w:rPr>
  </w:style>
  <w:style w:type="paragraph" w:styleId="46">
    <w:name w:val="List 4"/>
    <w:basedOn w:val="a9"/>
    <w:qFormat/>
    <w:pPr>
      <w:ind w:leftChars="600" w:left="100" w:hangingChars="200" w:hanging="200"/>
    </w:pPr>
  </w:style>
  <w:style w:type="paragraph" w:styleId="27">
    <w:name w:val="List Continue 2"/>
    <w:basedOn w:val="a9"/>
    <w:qFormat/>
    <w:pPr>
      <w:spacing w:after="120"/>
      <w:ind w:leftChars="400" w:left="840"/>
    </w:pPr>
  </w:style>
  <w:style w:type="paragraph" w:styleId="affe">
    <w:name w:val="Message Header"/>
    <w:basedOn w:val="a9"/>
    <w:link w:val="Char2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9"/>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rPr>
  </w:style>
  <w:style w:type="paragraph" w:styleId="afff">
    <w:name w:val="Normal (Web)"/>
    <w:basedOn w:val="a9"/>
    <w:link w:val="Char11"/>
    <w:uiPriority w:val="99"/>
    <w:qFormat/>
    <w:pPr>
      <w:widowControl/>
      <w:spacing w:before="100" w:beforeAutospacing="1" w:after="100" w:afterAutospacing="1"/>
      <w:jc w:val="left"/>
    </w:pPr>
    <w:rPr>
      <w:rFonts w:ascii="Arial Unicode MS" w:eastAsia="Arial Unicode MS" w:hAnsi="Arial Unicode MS" w:cs="Arial Unicode MS"/>
      <w:sz w:val="24"/>
    </w:rPr>
  </w:style>
  <w:style w:type="paragraph" w:styleId="37">
    <w:name w:val="List Continue 3"/>
    <w:basedOn w:val="a9"/>
    <w:qFormat/>
    <w:pPr>
      <w:spacing w:after="120"/>
      <w:ind w:leftChars="600" w:left="1260"/>
    </w:pPr>
  </w:style>
  <w:style w:type="paragraph" w:styleId="28">
    <w:name w:val="index 2"/>
    <w:basedOn w:val="a9"/>
    <w:next w:val="a9"/>
    <w:qFormat/>
    <w:pPr>
      <w:adjustRightInd w:val="0"/>
      <w:spacing w:line="400" w:lineRule="exact"/>
      <w:ind w:left="420"/>
    </w:pPr>
    <w:rPr>
      <w:rFonts w:eastAsia="楷体_GB2312"/>
      <w:spacing w:val="8"/>
      <w:sz w:val="28"/>
    </w:rPr>
  </w:style>
  <w:style w:type="paragraph" w:styleId="afff0">
    <w:name w:val="Title"/>
    <w:basedOn w:val="a9"/>
    <w:link w:val="Char29"/>
    <w:qFormat/>
    <w:pPr>
      <w:spacing w:before="240" w:after="60"/>
      <w:jc w:val="center"/>
      <w:outlineLvl w:val="0"/>
    </w:pPr>
    <w:rPr>
      <w:rFonts w:ascii="Arial" w:hAnsi="Arial" w:cs="Arial"/>
      <w:b/>
      <w:bCs/>
      <w:sz w:val="32"/>
      <w:szCs w:val="32"/>
    </w:rPr>
  </w:style>
  <w:style w:type="character" w:styleId="afff1">
    <w:name w:val="Strong"/>
    <w:uiPriority w:val="22"/>
    <w:qFormat/>
    <w:rPr>
      <w:b/>
      <w:bCs/>
    </w:rPr>
  </w:style>
  <w:style w:type="character" w:styleId="afff2">
    <w:name w:val="endnote reference"/>
    <w:uiPriority w:val="99"/>
    <w:qFormat/>
    <w:rPr>
      <w:vertAlign w:val="superscript"/>
    </w:rPr>
  </w:style>
  <w:style w:type="character" w:styleId="afff3">
    <w:name w:val="page number"/>
    <w:basedOn w:val="ab"/>
    <w:qFormat/>
  </w:style>
  <w:style w:type="character" w:styleId="afff4">
    <w:name w:val="FollowedHyperlink"/>
    <w:uiPriority w:val="99"/>
    <w:qFormat/>
    <w:rPr>
      <w:color w:val="800080"/>
      <w:u w:val="single"/>
    </w:rPr>
  </w:style>
  <w:style w:type="character" w:styleId="afff5">
    <w:name w:val="Emphasis"/>
    <w:qFormat/>
    <w:rPr>
      <w:i/>
      <w:iCs/>
    </w:rPr>
  </w:style>
  <w:style w:type="character" w:styleId="afff6">
    <w:name w:val="line number"/>
    <w:basedOn w:val="ab"/>
    <w:qFormat/>
  </w:style>
  <w:style w:type="character" w:styleId="HTML1">
    <w:name w:val="HTML Definition"/>
    <w:qFormat/>
    <w:rPr>
      <w:i/>
      <w:iCs/>
    </w:rPr>
  </w:style>
  <w:style w:type="character" w:styleId="HTML2">
    <w:name w:val="HTML Typewriter"/>
    <w:qFormat/>
    <w:rPr>
      <w:rFonts w:ascii="Courier New" w:hAnsi="Courier New" w:cs="Courier New"/>
      <w:sz w:val="20"/>
      <w:szCs w:val="20"/>
    </w:rPr>
  </w:style>
  <w:style w:type="character" w:styleId="HTML3">
    <w:name w:val="HTML Acronym"/>
    <w:basedOn w:val="ab"/>
    <w:qFormat/>
  </w:style>
  <w:style w:type="character" w:styleId="HTML4">
    <w:name w:val="HTML Variable"/>
    <w:qFormat/>
    <w:rPr>
      <w:i/>
      <w:iCs/>
    </w:rPr>
  </w:style>
  <w:style w:type="character" w:styleId="afff7">
    <w:name w:val="Hyperlink"/>
    <w:uiPriority w:val="99"/>
    <w:qFormat/>
    <w:rPr>
      <w:color w:val="0000FF"/>
      <w:u w:val="single"/>
    </w:rPr>
  </w:style>
  <w:style w:type="character" w:styleId="HTML5">
    <w:name w:val="HTML Code"/>
    <w:qFormat/>
    <w:rPr>
      <w:rFonts w:ascii="Courier New" w:hAnsi="Courier New" w:cs="Courier New"/>
      <w:sz w:val="20"/>
      <w:szCs w:val="20"/>
    </w:rPr>
  </w:style>
  <w:style w:type="character" w:styleId="afff8">
    <w:name w:val="annotation reference"/>
    <w:uiPriority w:val="99"/>
    <w:qFormat/>
    <w:rPr>
      <w:sz w:val="21"/>
      <w:szCs w:val="21"/>
    </w:rPr>
  </w:style>
  <w:style w:type="character" w:styleId="HTML6">
    <w:name w:val="HTML Cite"/>
    <w:qFormat/>
    <w:rPr>
      <w:i/>
      <w:iCs/>
    </w:rPr>
  </w:style>
  <w:style w:type="character" w:styleId="afff9">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a">
    <w:name w:val="Table Grid"/>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b">
    <w:name w:val="Table Theme"/>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c">
    <w:name w:val="Table Elegant"/>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6">
    <w:name w:val="Table Simple 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7">
    <w:name w:val="Table Subtle 1"/>
    <w:basedOn w:val="ac"/>
    <w:semiHidden/>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3D effects 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c"/>
    <w:semiHidden/>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c"/>
    <w:semiHidden/>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List 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d">
    <w:name w:val="Table Contemporary"/>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a">
    <w:name w:val="Table Columns 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c"/>
    <w:semiHidden/>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c"/>
    <w:semiHidden/>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c">
    <w:name w:val="Table Web 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e">
    <w:name w:val="Table Professional"/>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0">
    <w:name w:val="Light Shading Accent 2"/>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customStyle="1" w:styleId="1CharChar">
    <w:name w:val="样式1 Char Char"/>
    <w:qFormat/>
    <w:rPr>
      <w:rFonts w:ascii="仿宋_GB2312" w:eastAsia="仿宋_GB2312"/>
      <w:sz w:val="28"/>
      <w:lang w:val="en-US" w:eastAsia="zh-CN" w:bidi="ar-SA"/>
    </w:rPr>
  </w:style>
  <w:style w:type="character" w:customStyle="1" w:styleId="Chara">
    <w:name w:val="+正文 Char"/>
    <w:link w:val="affff"/>
    <w:qFormat/>
    <w:rPr>
      <w:kern w:val="2"/>
      <w:sz w:val="24"/>
      <w:szCs w:val="24"/>
    </w:rPr>
  </w:style>
  <w:style w:type="paragraph" w:customStyle="1" w:styleId="affff">
    <w:name w:val="+正文"/>
    <w:basedOn w:val="a9"/>
    <w:link w:val="Chara"/>
    <w:qFormat/>
    <w:pPr>
      <w:adjustRightInd w:val="0"/>
      <w:snapToGrid w:val="0"/>
      <w:spacing w:line="360" w:lineRule="auto"/>
      <w:ind w:firstLineChars="200" w:firstLine="480"/>
    </w:pPr>
    <w:rPr>
      <w:sz w:val="24"/>
    </w:rPr>
  </w:style>
  <w:style w:type="character" w:customStyle="1" w:styleId="Charb">
    <w:name w:val="五号 Char"/>
    <w:semiHidden/>
    <w:qFormat/>
    <w:rPr>
      <w:rFonts w:eastAsia="宋体"/>
      <w:kern w:val="2"/>
      <w:sz w:val="21"/>
      <w:szCs w:val="24"/>
      <w:lang w:val="en-US" w:eastAsia="zh-CN" w:bidi="ar-SA"/>
    </w:rPr>
  </w:style>
  <w:style w:type="character" w:customStyle="1" w:styleId="style31">
    <w:name w:val="style31"/>
    <w:qFormat/>
    <w:rPr>
      <w:b/>
      <w:bCs/>
      <w:color w:val="3795D2"/>
      <w:sz w:val="21"/>
      <w:szCs w:val="21"/>
    </w:rPr>
  </w:style>
  <w:style w:type="character" w:customStyle="1" w:styleId="Charc">
    <w:name w:val="文本框 Char"/>
    <w:semiHidden/>
    <w:qFormat/>
    <w:rPr>
      <w:rFonts w:ascii="宋体" w:eastAsia="宋体" w:hAnsi="宋体"/>
      <w:kern w:val="2"/>
      <w:sz w:val="21"/>
      <w:szCs w:val="24"/>
      <w:lang w:val="en-US" w:eastAsia="zh-CN" w:bidi="ar-SA"/>
    </w:rPr>
  </w:style>
  <w:style w:type="character" w:customStyle="1" w:styleId="unnamed2">
    <w:name w:val="unnamed2"/>
    <w:basedOn w:val="ab"/>
    <w:qFormat/>
  </w:style>
  <w:style w:type="character" w:customStyle="1" w:styleId="Chard">
    <w:name w:val="报告 Char"/>
    <w:link w:val="affff0"/>
    <w:qFormat/>
    <w:rPr>
      <w:rFonts w:eastAsia="宋体"/>
      <w:sz w:val="24"/>
      <w:lang w:val="en-US" w:eastAsia="zh-CN" w:bidi="ar-SA"/>
    </w:rPr>
  </w:style>
  <w:style w:type="paragraph" w:customStyle="1" w:styleId="affff0">
    <w:name w:val="报告"/>
    <w:basedOn w:val="a9"/>
    <w:link w:val="Chard"/>
    <w:semiHidden/>
    <w:qFormat/>
    <w:pPr>
      <w:overflowPunct w:val="0"/>
      <w:autoSpaceDE w:val="0"/>
      <w:autoSpaceDN w:val="0"/>
      <w:adjustRightInd w:val="0"/>
      <w:spacing w:before="120" w:after="120" w:line="400" w:lineRule="atLeast"/>
      <w:ind w:leftChars="400" w:left="840"/>
      <w:textAlignment w:val="baseline"/>
    </w:pPr>
    <w:rPr>
      <w:sz w:val="24"/>
    </w:rPr>
  </w:style>
  <w:style w:type="character" w:customStyle="1" w:styleId="QuoteChar">
    <w:name w:val="Quote Char"/>
    <w:link w:val="1d"/>
    <w:qFormat/>
    <w:locked/>
    <w:rPr>
      <w:rFonts w:eastAsia="黑体"/>
      <w:i/>
      <w:iCs/>
      <w:color w:val="000000"/>
      <w:kern w:val="2"/>
      <w:sz w:val="21"/>
      <w:szCs w:val="24"/>
      <w:lang w:val="en-US" w:eastAsia="zh-CN" w:bidi="ar-SA"/>
    </w:rPr>
  </w:style>
  <w:style w:type="paragraph" w:customStyle="1" w:styleId="1d">
    <w:name w:val="引用1"/>
    <w:basedOn w:val="a9"/>
    <w:next w:val="a9"/>
    <w:link w:val="QuoteChar"/>
    <w:pPr>
      <w:widowControl/>
      <w:spacing w:line="480" w:lineRule="exact"/>
      <w:ind w:firstLineChars="200" w:firstLine="200"/>
    </w:pPr>
    <w:rPr>
      <w:rFonts w:eastAsia="黑体"/>
      <w:i/>
      <w:iCs/>
      <w:color w:val="000000"/>
    </w:rPr>
  </w:style>
  <w:style w:type="character" w:customStyle="1" w:styleId="Chare">
    <w:name w:val="表蕊 Char"/>
    <w:link w:val="affff1"/>
    <w:qFormat/>
    <w:locked/>
    <w:rPr>
      <w:rFonts w:eastAsia="宋体"/>
      <w:kern w:val="2"/>
      <w:sz w:val="21"/>
      <w:szCs w:val="21"/>
      <w:lang w:val="en-US" w:eastAsia="zh-CN" w:bidi="ar-SA"/>
    </w:rPr>
  </w:style>
  <w:style w:type="paragraph" w:customStyle="1" w:styleId="affff1">
    <w:name w:val="表蕊"/>
    <w:basedOn w:val="a9"/>
    <w:link w:val="Chare"/>
    <w:qFormat/>
    <w:pPr>
      <w:widowControl/>
      <w:spacing w:line="320" w:lineRule="exact"/>
      <w:jc w:val="center"/>
    </w:pPr>
    <w:rPr>
      <w:szCs w:val="21"/>
    </w:rPr>
  </w:style>
  <w:style w:type="character" w:customStyle="1" w:styleId="Char">
    <w:name w:val="正文缩进 Char"/>
    <w:link w:val="aa"/>
    <w:qFormat/>
    <w:rPr>
      <w:rFonts w:eastAsia="宋体"/>
      <w:kern w:val="2"/>
      <w:sz w:val="24"/>
      <w:lang w:val="en-US" w:eastAsia="zh-CN" w:bidi="ar-SA"/>
    </w:rPr>
  </w:style>
  <w:style w:type="character" w:customStyle="1" w:styleId="Char10">
    <w:name w:val="纯文本 Char1"/>
    <w:link w:val="aff1"/>
    <w:qFormat/>
    <w:rPr>
      <w:rFonts w:ascii="宋体" w:eastAsia="宋体" w:hAnsi="Courier New"/>
      <w:kern w:val="2"/>
      <w:sz w:val="21"/>
      <w:lang w:val="en-US" w:eastAsia="zh-CN" w:bidi="ar-SA"/>
    </w:rPr>
  </w:style>
  <w:style w:type="character" w:customStyle="1" w:styleId="font31">
    <w:name w:val="font31"/>
    <w:qFormat/>
    <w:rPr>
      <w:rFonts w:ascii="宋体" w:eastAsia="宋体" w:hAnsi="宋体" w:cs="宋体" w:hint="eastAsia"/>
      <w:color w:val="FF0000"/>
      <w:sz w:val="20"/>
      <w:szCs w:val="20"/>
      <w:u w:val="none"/>
    </w:rPr>
  </w:style>
  <w:style w:type="character" w:customStyle="1" w:styleId="Charf">
    <w:name w:val="废物方框 Char"/>
    <w:link w:val="affff2"/>
    <w:qFormat/>
    <w:rPr>
      <w:rFonts w:ascii="宋体"/>
      <w:snapToGrid/>
      <w:spacing w:val="4"/>
      <w:kern w:val="2"/>
      <w:sz w:val="18"/>
      <w:szCs w:val="18"/>
    </w:rPr>
  </w:style>
  <w:style w:type="paragraph" w:customStyle="1" w:styleId="affff2">
    <w:name w:val="废物方框"/>
    <w:basedOn w:val="affff3"/>
    <w:link w:val="Charf"/>
    <w:qFormat/>
    <w:pPr>
      <w:widowControl/>
      <w:snapToGrid w:val="0"/>
      <w:spacing w:beforeLines="0" w:before="120" w:afterLines="0" w:after="60" w:line="240" w:lineRule="auto"/>
    </w:pPr>
    <w:rPr>
      <w:rFonts w:ascii="宋体" w:eastAsia="宋体"/>
      <w:snapToGrid w:val="0"/>
      <w:spacing w:val="4"/>
      <w:sz w:val="18"/>
      <w:szCs w:val="18"/>
    </w:rPr>
  </w:style>
  <w:style w:type="paragraph" w:customStyle="1" w:styleId="affff3">
    <w:name w:val="表头"/>
    <w:basedOn w:val="1e"/>
    <w:link w:val="CharChar2"/>
    <w:qFormat/>
    <w:pPr>
      <w:keepNext w:val="0"/>
      <w:keepLines w:val="0"/>
      <w:adjustRightInd w:val="0"/>
      <w:snapToGrid/>
      <w:spacing w:beforeLines="30" w:before="93" w:afterLines="30" w:after="93" w:line="440" w:lineRule="exact"/>
      <w:ind w:left="0" w:firstLine="0"/>
      <w:jc w:val="center"/>
      <w:outlineLvl w:val="9"/>
    </w:pPr>
    <w:rPr>
      <w:rFonts w:eastAsia="黑体"/>
      <w:b w:val="0"/>
      <w:kern w:val="2"/>
      <w:sz w:val="24"/>
      <w:szCs w:val="24"/>
    </w:rPr>
  </w:style>
  <w:style w:type="paragraph" w:customStyle="1" w:styleId="1e">
    <w:name w:val="样式1"/>
    <w:basedOn w:val="1"/>
    <w:link w:val="1Char"/>
    <w:qFormat/>
    <w:pPr>
      <w:pageBreakBefore w:val="0"/>
      <w:numPr>
        <w:numId w:val="0"/>
      </w:numPr>
      <w:tabs>
        <w:tab w:val="left" w:pos="360"/>
      </w:tabs>
      <w:snapToGrid w:val="0"/>
      <w:spacing w:before="120" w:after="60" w:line="288" w:lineRule="auto"/>
      <w:ind w:left="1770" w:hanging="1770"/>
      <w:textAlignment w:val="baseline"/>
    </w:pPr>
  </w:style>
  <w:style w:type="character" w:customStyle="1" w:styleId="1CharCharChar1CharChar">
    <w:name w:val="样式 正文1 Char Char + 字距调整七号 Char1 Char Char"/>
    <w:qFormat/>
    <w:rPr>
      <w:rFonts w:eastAsia="宋体"/>
      <w:kern w:val="11"/>
      <w:sz w:val="24"/>
      <w:szCs w:val="28"/>
      <w:lang w:val="en-US" w:eastAsia="zh-CN" w:bidi="ar-SA"/>
    </w:rPr>
  </w:style>
  <w:style w:type="character" w:customStyle="1" w:styleId="1CharCharCharCharCharCharCharChar">
    <w:name w:val="正文缩进1 Char Char Char Char Char Char Char Char"/>
    <w:link w:val="1CharCharCharCharCharCharChar"/>
    <w:qFormat/>
    <w:rPr>
      <w:rFonts w:cs="宋体"/>
      <w:kern w:val="2"/>
      <w:sz w:val="24"/>
    </w:rPr>
  </w:style>
  <w:style w:type="paragraph" w:customStyle="1" w:styleId="1CharCharCharCharCharCharChar">
    <w:name w:val="正文缩进1 Char Char Char Char Char Char Char"/>
    <w:basedOn w:val="a9"/>
    <w:link w:val="1CharCharCharCharCharCharCharChar"/>
    <w:qFormat/>
    <w:pPr>
      <w:widowControl/>
      <w:spacing w:line="360" w:lineRule="auto"/>
      <w:ind w:firstLineChars="200" w:firstLine="200"/>
    </w:pPr>
    <w:rPr>
      <w:rFonts w:cs="宋体"/>
      <w:sz w:val="24"/>
    </w:rPr>
  </w:style>
  <w:style w:type="character" w:customStyle="1" w:styleId="Charf0">
    <w:name w:val="样式 环科所表内格式 + 五号 Char"/>
    <w:link w:val="affff4"/>
    <w:qFormat/>
    <w:rPr>
      <w:rFonts w:eastAsia="仿宋_GB2312"/>
      <w:kern w:val="2"/>
      <w:sz w:val="21"/>
      <w:szCs w:val="21"/>
    </w:rPr>
  </w:style>
  <w:style w:type="paragraph" w:customStyle="1" w:styleId="affff4">
    <w:name w:val="样式 环科所表内格式 + 五号"/>
    <w:basedOn w:val="affff5"/>
    <w:link w:val="Charf0"/>
    <w:qFormat/>
    <w:pPr>
      <w:widowControl/>
    </w:pPr>
    <w:rPr>
      <w:sz w:val="21"/>
      <w:szCs w:val="21"/>
    </w:rPr>
  </w:style>
  <w:style w:type="paragraph" w:customStyle="1" w:styleId="affff5">
    <w:name w:val="环科所表内格式"/>
    <w:basedOn w:val="affff6"/>
    <w:link w:val="Charf1"/>
    <w:qFormat/>
    <w:pPr>
      <w:ind w:leftChars="-50" w:left="-50" w:rightChars="-50" w:right="-50"/>
    </w:pPr>
    <w:rPr>
      <w:rFonts w:eastAsia="仿宋_GB2312"/>
    </w:rPr>
  </w:style>
  <w:style w:type="paragraph" w:customStyle="1" w:styleId="affff6">
    <w:name w:val="表内格式"/>
    <w:basedOn w:val="a9"/>
    <w:link w:val="Char12"/>
    <w:qFormat/>
    <w:pPr>
      <w:jc w:val="center"/>
    </w:pPr>
    <w:rPr>
      <w:sz w:val="18"/>
    </w:rPr>
  </w:style>
  <w:style w:type="character" w:customStyle="1" w:styleId="1CharChar4">
    <w:name w:val="正文1 Char Char4"/>
    <w:qFormat/>
    <w:rPr>
      <w:rFonts w:eastAsia="宋体"/>
      <w:kern w:val="2"/>
      <w:sz w:val="24"/>
      <w:szCs w:val="28"/>
      <w:lang w:val="en-US" w:eastAsia="zh-CN" w:bidi="ar-SA"/>
    </w:rPr>
  </w:style>
  <w:style w:type="character" w:customStyle="1" w:styleId="12Char">
    <w:name w:val="样式12君邦正文 Char"/>
    <w:link w:val="120"/>
    <w:qFormat/>
    <w:rPr>
      <w:bCs/>
      <w:snapToGrid/>
      <w:sz w:val="24"/>
      <w:szCs w:val="24"/>
    </w:rPr>
  </w:style>
  <w:style w:type="paragraph" w:customStyle="1" w:styleId="120">
    <w:name w:val="样式12君邦正文"/>
    <w:basedOn w:val="affff7"/>
    <w:link w:val="12Char"/>
    <w:qFormat/>
    <w:rPr>
      <w:szCs w:val="24"/>
    </w:rPr>
  </w:style>
  <w:style w:type="paragraph" w:customStyle="1" w:styleId="affff7">
    <w:name w:val="君邦正文"/>
    <w:link w:val="Char2a"/>
    <w:qFormat/>
    <w:pPr>
      <w:spacing w:after="60" w:line="360" w:lineRule="auto"/>
      <w:ind w:firstLineChars="200" w:firstLine="480"/>
      <w:jc w:val="both"/>
    </w:pPr>
    <w:rPr>
      <w:bCs/>
      <w:snapToGrid w:val="0"/>
      <w:sz w:val="24"/>
    </w:rPr>
  </w:style>
  <w:style w:type="character" w:customStyle="1" w:styleId="1Char0">
    <w:name w:val="表格1 Char"/>
    <w:link w:val="1f"/>
    <w:qFormat/>
    <w:rPr>
      <w:rFonts w:ascii="宋体"/>
      <w:sz w:val="24"/>
    </w:rPr>
  </w:style>
  <w:style w:type="paragraph" w:customStyle="1" w:styleId="1f">
    <w:name w:val="表格1"/>
    <w:basedOn w:val="a9"/>
    <w:link w:val="1Char0"/>
    <w:qFormat/>
    <w:pPr>
      <w:widowControl/>
      <w:adjustRightInd w:val="0"/>
      <w:jc w:val="center"/>
      <w:textAlignment w:val="baseline"/>
    </w:pPr>
    <w:rPr>
      <w:rFonts w:ascii="宋体"/>
      <w:sz w:val="24"/>
    </w:rPr>
  </w:style>
  <w:style w:type="character" w:customStyle="1" w:styleId="Char13">
    <w:name w:val="页脚 Char1"/>
    <w:qFormat/>
    <w:rPr>
      <w:rFonts w:eastAsia="宋体"/>
      <w:kern w:val="2"/>
      <w:sz w:val="18"/>
      <w:szCs w:val="18"/>
      <w:lang w:val="en-US" w:eastAsia="zh-CN" w:bidi="ar-SA"/>
    </w:rPr>
  </w:style>
  <w:style w:type="character" w:customStyle="1" w:styleId="3Char0">
    <w:name w:val="标题 3 正式 Char"/>
    <w:qFormat/>
    <w:rPr>
      <w:rFonts w:ascii="Arial" w:eastAsia="黑体" w:hAnsi="Arial"/>
      <w:b/>
      <w:bCs/>
      <w:snapToGrid/>
      <w:spacing w:val="4"/>
      <w:sz w:val="28"/>
      <w:szCs w:val="28"/>
      <w:lang w:val="en-US" w:eastAsia="zh-CN" w:bidi="ar-SA"/>
    </w:rPr>
  </w:style>
  <w:style w:type="character" w:customStyle="1" w:styleId="310">
    <w:name w:val="正文文本 3 字符1"/>
    <w:qFormat/>
    <w:rPr>
      <w:kern w:val="2"/>
      <w:sz w:val="28"/>
      <w:szCs w:val="24"/>
    </w:rPr>
  </w:style>
  <w:style w:type="character" w:customStyle="1" w:styleId="richtextmngstyle1">
    <w:name w:val="richtextmngstyle1"/>
    <w:qFormat/>
    <w:rPr>
      <w:color w:val="000000"/>
      <w:spacing w:val="18"/>
      <w:sz w:val="25"/>
      <w:szCs w:val="25"/>
      <w:u w:val="none"/>
    </w:rPr>
  </w:style>
  <w:style w:type="character" w:customStyle="1" w:styleId="TimesNewRoman20CharChar">
    <w:name w:val="样式 (西文) Times New Roman (中文) 宋体 (符号) 宋体 行距: 固定值 20 磅 首行缩进:  ... Char Char"/>
    <w:link w:val="TimesNewRoman20"/>
    <w:qFormat/>
    <w:rPr>
      <w:rFonts w:hAnsi="宋体"/>
      <w:sz w:val="24"/>
      <w:lang w:eastAsia="de-DE"/>
    </w:rPr>
  </w:style>
  <w:style w:type="paragraph" w:customStyle="1" w:styleId="TimesNewRoman20">
    <w:name w:val="样式 (西文) Times New Roman (中文) 宋体 (符号) 宋体 行距: 固定值 20 磅 首行缩进:  ..."/>
    <w:basedOn w:val="a9"/>
    <w:link w:val="TimesNewRoman20CharChar"/>
    <w:qFormat/>
    <w:pPr>
      <w:widowControl/>
      <w:spacing w:line="400" w:lineRule="exact"/>
      <w:ind w:firstLineChars="200" w:firstLine="200"/>
    </w:pPr>
    <w:rPr>
      <w:rFonts w:hAnsi="宋体"/>
      <w:sz w:val="24"/>
      <w:lang w:eastAsia="de-DE"/>
    </w:rPr>
  </w:style>
  <w:style w:type="character" w:customStyle="1" w:styleId="h21">
    <w:name w:val="h21"/>
    <w:basedOn w:val="ab"/>
    <w:qFormat/>
  </w:style>
  <w:style w:type="character" w:customStyle="1" w:styleId="TimesNewRomanChar">
    <w:name w:val="样式 环科 所正文 + Times New Roman Char"/>
    <w:link w:val="TimesNewRoman"/>
    <w:qFormat/>
    <w:rPr>
      <w:rFonts w:eastAsia="仿宋_GB2312" w:cs="宋体"/>
      <w:sz w:val="24"/>
      <w:szCs w:val="24"/>
    </w:rPr>
  </w:style>
  <w:style w:type="paragraph" w:customStyle="1" w:styleId="TimesNewRoman">
    <w:name w:val="样式 环科 所正文 + Times New Roman"/>
    <w:basedOn w:val="affff8"/>
    <w:link w:val="TimesNewRomanChar"/>
    <w:qFormat/>
    <w:rPr>
      <w:rFonts w:ascii="Times New Roman" w:hAnsi="Times New Roman"/>
      <w:lang w:bidi="ar-SA"/>
    </w:rPr>
  </w:style>
  <w:style w:type="paragraph" w:customStyle="1" w:styleId="affff8">
    <w:name w:val="环科 所正文"/>
    <w:basedOn w:val="a9"/>
    <w:qFormat/>
    <w:pPr>
      <w:widowControl/>
      <w:spacing w:line="360" w:lineRule="auto"/>
      <w:ind w:firstLineChars="200" w:firstLine="200"/>
    </w:pPr>
    <w:rPr>
      <w:rFonts w:ascii="宋体" w:eastAsia="仿宋_GB2312" w:hAnsi="宋体" w:cs="宋体"/>
      <w:sz w:val="24"/>
      <w:lang w:bidi="ne-NP"/>
    </w:rPr>
  </w:style>
  <w:style w:type="character" w:customStyle="1" w:styleId="puntext">
    <w:name w:val="puntext"/>
    <w:qFormat/>
    <w:rPr>
      <w:rFonts w:eastAsia="黑体"/>
      <w:kern w:val="2"/>
      <w:sz w:val="30"/>
      <w:szCs w:val="30"/>
      <w:lang w:val="en-US" w:eastAsia="zh-CN" w:bidi="ar-SA"/>
    </w:rPr>
  </w:style>
  <w:style w:type="character" w:customStyle="1" w:styleId="Charf2">
    <w:name w:val="表 头 Char"/>
    <w:link w:val="affff9"/>
    <w:qFormat/>
    <w:rPr>
      <w:rFonts w:ascii="Arial" w:eastAsia="黑体" w:cs="Arial"/>
      <w:b/>
      <w:kern w:val="2"/>
      <w:sz w:val="21"/>
      <w:szCs w:val="21"/>
    </w:rPr>
  </w:style>
  <w:style w:type="paragraph" w:customStyle="1" w:styleId="affff9">
    <w:name w:val="表 头"/>
    <w:basedOn w:val="a9"/>
    <w:link w:val="Charf2"/>
    <w:qFormat/>
    <w:pPr>
      <w:tabs>
        <w:tab w:val="left" w:pos="1418"/>
      </w:tabs>
      <w:adjustRightInd w:val="0"/>
      <w:spacing w:before="120" w:after="120" w:line="360" w:lineRule="atLeast"/>
      <w:ind w:right="-120"/>
      <w:jc w:val="center"/>
    </w:pPr>
    <w:rPr>
      <w:rFonts w:ascii="Arial" w:eastAsia="黑体" w:cs="Arial"/>
      <w:b/>
      <w:szCs w:val="21"/>
    </w:rPr>
  </w:style>
  <w:style w:type="character" w:customStyle="1" w:styleId="1CharCharCharCharChar">
    <w:name w:val="表格文字1 Char Char Char Char Char"/>
    <w:link w:val="1CharCharCharChar"/>
    <w:qFormat/>
    <w:rPr>
      <w:rFonts w:ascii="宋体" w:eastAsia="宋体-方正超大字符集" w:hAnsi="宋体"/>
      <w:kern w:val="2"/>
      <w:sz w:val="21"/>
      <w:szCs w:val="21"/>
    </w:rPr>
  </w:style>
  <w:style w:type="paragraph" w:customStyle="1" w:styleId="1CharCharCharChar">
    <w:name w:val="表格文字1 Char Char Char Char"/>
    <w:basedOn w:val="a9"/>
    <w:link w:val="1CharCharCharCharChar"/>
    <w:semiHidden/>
    <w:qFormat/>
    <w:pPr>
      <w:widowControl/>
      <w:adjustRightInd w:val="0"/>
      <w:snapToGrid w:val="0"/>
      <w:jc w:val="center"/>
    </w:pPr>
    <w:rPr>
      <w:rFonts w:ascii="宋体" w:eastAsia="宋体-方正超大字符集" w:hAnsi="宋体"/>
      <w:szCs w:val="21"/>
    </w:rPr>
  </w:style>
  <w:style w:type="character" w:customStyle="1" w:styleId="1Char1">
    <w:name w:val="章标题 1 Char1"/>
    <w:qFormat/>
    <w:rPr>
      <w:b/>
      <w:kern w:val="44"/>
      <w:sz w:val="32"/>
    </w:rPr>
  </w:style>
  <w:style w:type="character" w:customStyle="1" w:styleId="3CharCharCharCharCharCharCharCharCharCharChar">
    <w:name w:val="标题 3 Char Char Char Char Char Char Char Char Char Char Char"/>
    <w:qFormat/>
    <w:rPr>
      <w:rFonts w:eastAsia="宋体"/>
      <w:b/>
      <w:bCs/>
      <w:kern w:val="2"/>
      <w:sz w:val="32"/>
      <w:szCs w:val="32"/>
      <w:lang w:val="en-US" w:eastAsia="zh-CN" w:bidi="ar-SA"/>
    </w:rPr>
  </w:style>
  <w:style w:type="character" w:customStyle="1" w:styleId="1f0">
    <w:name w:val="称呼 字符1"/>
    <w:qFormat/>
    <w:rPr>
      <w:kern w:val="2"/>
      <w:sz w:val="21"/>
      <w:szCs w:val="24"/>
    </w:rPr>
  </w:style>
  <w:style w:type="character" w:customStyle="1" w:styleId="Charf3">
    <w:name w:val="表格(张曦) Char"/>
    <w:link w:val="affffa"/>
    <w:uiPriority w:val="99"/>
    <w:qFormat/>
    <w:locked/>
    <w:rPr>
      <w:kern w:val="2"/>
      <w:sz w:val="24"/>
      <w:szCs w:val="24"/>
    </w:rPr>
  </w:style>
  <w:style w:type="paragraph" w:customStyle="1" w:styleId="affffa">
    <w:name w:val="表格(张曦)"/>
    <w:basedOn w:val="a9"/>
    <w:link w:val="Charf3"/>
    <w:uiPriority w:val="99"/>
    <w:qFormat/>
    <w:pPr>
      <w:snapToGrid w:val="0"/>
      <w:jc w:val="center"/>
    </w:pPr>
    <w:rPr>
      <w:sz w:val="24"/>
    </w:rPr>
  </w:style>
  <w:style w:type="character" w:customStyle="1" w:styleId="CharChar72">
    <w:name w:val="Char Char72"/>
    <w:qFormat/>
    <w:rPr>
      <w:rFonts w:eastAsia="宋体"/>
      <w:kern w:val="2"/>
      <w:sz w:val="21"/>
      <w:szCs w:val="24"/>
      <w:lang w:val="en-US" w:eastAsia="zh-CN" w:bidi="ar-SA"/>
    </w:rPr>
  </w:style>
  <w:style w:type="character" w:customStyle="1" w:styleId="CharChar">
    <w:name w:val="正文文本 Char Char"/>
    <w:qFormat/>
    <w:rPr>
      <w:rFonts w:ascii="Arial" w:eastAsia="华文细黑" w:hAnsi="Arial"/>
      <w:sz w:val="22"/>
      <w:szCs w:val="21"/>
      <w:lang w:val="en-US" w:eastAsia="de-DE" w:bidi="ar-SA"/>
    </w:rPr>
  </w:style>
  <w:style w:type="character" w:customStyle="1" w:styleId="p148">
    <w:name w:val="p148"/>
    <w:basedOn w:val="ab"/>
    <w:qFormat/>
  </w:style>
  <w:style w:type="character" w:customStyle="1" w:styleId="PlainTextChar">
    <w:name w:val="Plain Text Char"/>
    <w:qFormat/>
    <w:locked/>
    <w:rPr>
      <w:rFonts w:ascii="宋体" w:eastAsia="宋体" w:hAnsi="Courier New"/>
      <w:kern w:val="2"/>
      <w:sz w:val="21"/>
      <w:lang w:val="en-US" w:eastAsia="zh-CN" w:bidi="ar-SA"/>
    </w:rPr>
  </w:style>
  <w:style w:type="character" w:customStyle="1" w:styleId="timu1">
    <w:name w:val="timu1"/>
    <w:qFormat/>
    <w:rPr>
      <w:rFonts w:eastAsia="黑体"/>
      <w:kern w:val="2"/>
      <w:sz w:val="24"/>
      <w:szCs w:val="24"/>
      <w:lang w:val="en-US" w:eastAsia="zh-CN" w:bidi="ar-SA"/>
    </w:rPr>
  </w:style>
  <w:style w:type="character" w:customStyle="1" w:styleId="btcontent1">
    <w:name w:val="bt_content1"/>
    <w:qFormat/>
    <w:rPr>
      <w:sz w:val="24"/>
      <w:szCs w:val="24"/>
    </w:rPr>
  </w:style>
  <w:style w:type="character" w:customStyle="1" w:styleId="HeaderChar">
    <w:name w:val="Header Char"/>
    <w:qFormat/>
    <w:locked/>
    <w:rPr>
      <w:rFonts w:cs="Times New Roman"/>
      <w:sz w:val="18"/>
      <w:szCs w:val="18"/>
    </w:rPr>
  </w:style>
  <w:style w:type="character" w:customStyle="1" w:styleId="1CharChar2">
    <w:name w:val="正文1 Char Char2"/>
    <w:qFormat/>
    <w:rPr>
      <w:rFonts w:eastAsia="仿宋_GB2312"/>
      <w:kern w:val="2"/>
      <w:sz w:val="28"/>
      <w:szCs w:val="28"/>
      <w:lang w:val="en-US" w:eastAsia="zh-CN" w:bidi="ar-SA"/>
    </w:rPr>
  </w:style>
  <w:style w:type="character" w:customStyle="1" w:styleId="fontgray1">
    <w:name w:val="fontgray1"/>
    <w:qFormat/>
    <w:rPr>
      <w:rFonts w:hint="default"/>
      <w:color w:val="666666"/>
      <w:sz w:val="18"/>
      <w:szCs w:val="18"/>
    </w:rPr>
  </w:style>
  <w:style w:type="character" w:customStyle="1" w:styleId="1CharCharCharCharCharChar">
    <w:name w:val="正文（首行缩进两字）1 Char Char Char Char Char Char"/>
    <w:qFormat/>
    <w:rPr>
      <w:rFonts w:eastAsia="仿宋_GB2312"/>
      <w:kern w:val="2"/>
      <w:sz w:val="28"/>
      <w:szCs w:val="28"/>
      <w:lang w:val="en-US" w:eastAsia="zh-CN" w:bidi="ar-SA"/>
    </w:rPr>
  </w:style>
  <w:style w:type="character" w:customStyle="1" w:styleId="headline-content">
    <w:name w:val="headline-content"/>
    <w:basedOn w:val="ab"/>
    <w:qFormat/>
  </w:style>
  <w:style w:type="character" w:customStyle="1" w:styleId="ttl1">
    <w:name w:val="ttl1"/>
    <w:basedOn w:val="ab"/>
    <w:qFormat/>
  </w:style>
  <w:style w:type="character" w:customStyle="1" w:styleId="CharChar23">
    <w:name w:val="Char Char23"/>
    <w:qFormat/>
    <w:rPr>
      <w:rFonts w:eastAsia="宋体"/>
      <w:kern w:val="2"/>
      <w:sz w:val="18"/>
      <w:lang w:val="en-US" w:eastAsia="zh-CN" w:bidi="ar-SA"/>
    </w:rPr>
  </w:style>
  <w:style w:type="character" w:customStyle="1" w:styleId="CharChar91">
    <w:name w:val="Char Char91"/>
    <w:qFormat/>
    <w:rPr>
      <w:rFonts w:ascii="Arial" w:eastAsia="黑体" w:hAnsi="Arial"/>
      <w:sz w:val="24"/>
    </w:rPr>
  </w:style>
  <w:style w:type="character" w:customStyle="1" w:styleId="1CharCharChar1">
    <w:name w:val="正文1 Char Char Char1"/>
    <w:qFormat/>
    <w:rPr>
      <w:rFonts w:eastAsia="仿宋_GB2312"/>
      <w:color w:val="000000"/>
      <w:kern w:val="2"/>
      <w:sz w:val="28"/>
      <w:szCs w:val="28"/>
      <w:lang w:val="en-US" w:eastAsia="zh-CN" w:bidi="ar-SA"/>
    </w:rPr>
  </w:style>
  <w:style w:type="character" w:customStyle="1" w:styleId="xxxxxx">
    <w:name w:val="xxxxxx"/>
    <w:qFormat/>
    <w:rPr>
      <w:rFonts w:eastAsia="黑体"/>
      <w:kern w:val="2"/>
      <w:sz w:val="30"/>
      <w:szCs w:val="30"/>
      <w:lang w:val="en-US" w:eastAsia="zh-CN" w:bidi="ar-SA"/>
    </w:rPr>
  </w:style>
  <w:style w:type="character" w:customStyle="1" w:styleId="CharChar20">
    <w:name w:val="Char Char20"/>
    <w:qFormat/>
    <w:rPr>
      <w:rFonts w:ascii="宋体" w:eastAsia="宋体" w:hAnsi="宋体" w:cs="Times New Roman"/>
      <w:sz w:val="32"/>
      <w:szCs w:val="20"/>
    </w:rPr>
  </w:style>
  <w:style w:type="character" w:customStyle="1" w:styleId="Char14">
    <w:name w:val="表头 Char1"/>
    <w:qFormat/>
    <w:rPr>
      <w:rFonts w:ascii="黑体" w:eastAsia="黑体"/>
      <w:kern w:val="2"/>
      <w:sz w:val="24"/>
      <w:szCs w:val="24"/>
      <w:lang w:val="en-US" w:eastAsia="zh-CN" w:bidi="ar-SA"/>
    </w:rPr>
  </w:style>
  <w:style w:type="character" w:customStyle="1" w:styleId="CharChar42">
    <w:name w:val="Char Char42"/>
    <w:link w:val="59"/>
    <w:qFormat/>
    <w:rPr>
      <w:bCs/>
      <w:snapToGrid/>
      <w:sz w:val="24"/>
    </w:rPr>
  </w:style>
  <w:style w:type="paragraph" w:customStyle="1" w:styleId="59">
    <w:name w:val="正文5"/>
    <w:link w:val="CharChar42"/>
    <w:qFormat/>
    <w:pPr>
      <w:spacing w:after="60" w:line="360" w:lineRule="auto"/>
      <w:jc w:val="both"/>
    </w:pPr>
    <w:rPr>
      <w:bCs/>
      <w:snapToGrid w:val="0"/>
      <w:sz w:val="24"/>
    </w:rPr>
  </w:style>
  <w:style w:type="character" w:customStyle="1" w:styleId="CharChar102">
    <w:name w:val="Char Char102"/>
    <w:semiHidden/>
    <w:qFormat/>
    <w:rPr>
      <w:rFonts w:eastAsia="宋体"/>
      <w:kern w:val="2"/>
      <w:sz w:val="16"/>
      <w:szCs w:val="16"/>
      <w:lang w:val="en-US" w:eastAsia="zh-CN" w:bidi="ar-SA"/>
    </w:rPr>
  </w:style>
  <w:style w:type="character" w:customStyle="1" w:styleId="CharChar202">
    <w:name w:val="Char Char202"/>
    <w:qFormat/>
    <w:rPr>
      <w:rFonts w:ascii="宋体" w:eastAsia="宋体" w:hAnsi="宋体" w:cs="Times New Roman"/>
      <w:sz w:val="32"/>
      <w:szCs w:val="20"/>
    </w:rPr>
  </w:style>
  <w:style w:type="character" w:customStyle="1" w:styleId="1CharChar1">
    <w:name w:val="正文1 Char Char1"/>
    <w:qFormat/>
    <w:rPr>
      <w:rFonts w:eastAsia="仿宋_GB2312"/>
      <w:snapToGrid/>
      <w:kern w:val="2"/>
      <w:sz w:val="28"/>
      <w:szCs w:val="28"/>
      <w:lang w:val="en-US" w:eastAsia="zh-CN" w:bidi="ar-SA"/>
    </w:rPr>
  </w:style>
  <w:style w:type="character" w:customStyle="1" w:styleId="CharChar0">
    <w:name w:val="报告书正文 Char Char"/>
    <w:link w:val="affffb"/>
    <w:qFormat/>
    <w:locked/>
    <w:rPr>
      <w:sz w:val="24"/>
      <w:lang w:val="zh-CN" w:bidi="ne-NP"/>
    </w:rPr>
  </w:style>
  <w:style w:type="paragraph" w:customStyle="1" w:styleId="affffb">
    <w:name w:val="报告书正文"/>
    <w:basedOn w:val="a9"/>
    <w:link w:val="CharChar0"/>
    <w:qFormat/>
    <w:pPr>
      <w:widowControl/>
      <w:spacing w:line="360" w:lineRule="auto"/>
      <w:ind w:firstLineChars="200" w:firstLine="200"/>
    </w:pPr>
    <w:rPr>
      <w:sz w:val="24"/>
      <w:lang w:val="zh-CN" w:bidi="ne-NP"/>
    </w:rPr>
  </w:style>
  <w:style w:type="character" w:customStyle="1" w:styleId="CharChar101">
    <w:name w:val="Char Char101"/>
    <w:semiHidden/>
    <w:qFormat/>
    <w:rPr>
      <w:rFonts w:eastAsia="宋体"/>
      <w:kern w:val="2"/>
      <w:sz w:val="16"/>
      <w:szCs w:val="16"/>
      <w:lang w:val="en-US" w:eastAsia="zh-CN" w:bidi="ar-SA"/>
    </w:rPr>
  </w:style>
  <w:style w:type="character" w:customStyle="1" w:styleId="CharChar81">
    <w:name w:val="Char Char81"/>
    <w:qFormat/>
    <w:rPr>
      <w:rFonts w:eastAsia="宋体"/>
      <w:kern w:val="2"/>
      <w:sz w:val="21"/>
      <w:szCs w:val="24"/>
      <w:lang w:val="en-US" w:eastAsia="zh-CN" w:bidi="ar-SA"/>
    </w:rPr>
  </w:style>
  <w:style w:type="character" w:customStyle="1" w:styleId="2f2">
    <w:name w:val="页码2"/>
    <w:basedOn w:val="ab"/>
    <w:qFormat/>
  </w:style>
  <w:style w:type="character" w:customStyle="1" w:styleId="CharChar201">
    <w:name w:val="Char Char201"/>
    <w:qFormat/>
    <w:rPr>
      <w:rFonts w:ascii="宋体" w:eastAsia="宋体" w:hAnsi="宋体" w:cs="Times New Roman"/>
      <w:sz w:val="32"/>
      <w:szCs w:val="20"/>
    </w:rPr>
  </w:style>
  <w:style w:type="character" w:customStyle="1" w:styleId="CharChar4">
    <w:name w:val="Char Char4"/>
    <w:qFormat/>
    <w:rPr>
      <w:rFonts w:ascii="Times New Roman" w:eastAsia="宋体" w:hAnsi="Times New Roman" w:cs="Times New Roman"/>
      <w:sz w:val="18"/>
      <w:szCs w:val="18"/>
    </w:rPr>
  </w:style>
  <w:style w:type="character" w:customStyle="1" w:styleId="1Char3">
    <w:name w:val="样式 君邦正文 + 蓝色1 Char"/>
    <w:link w:val="1f1"/>
    <w:qFormat/>
    <w:rPr>
      <w:rFonts w:eastAsia="宋体"/>
      <w:bCs/>
      <w:snapToGrid w:val="0"/>
      <w:color w:val="0000FF"/>
      <w:sz w:val="24"/>
      <w:lang w:val="en-US" w:eastAsia="zh-CN" w:bidi="ar-SA"/>
    </w:rPr>
  </w:style>
  <w:style w:type="paragraph" w:customStyle="1" w:styleId="1f1">
    <w:name w:val="样式 君邦正文 + 蓝色1"/>
    <w:basedOn w:val="affff7"/>
    <w:link w:val="1Char3"/>
    <w:qFormat/>
    <w:rPr>
      <w:bCs w:val="0"/>
      <w:color w:val="0000FF"/>
    </w:rPr>
  </w:style>
  <w:style w:type="character" w:customStyle="1" w:styleId="CharChar1">
    <w:name w:val="表头 Char Char"/>
    <w:qFormat/>
    <w:rPr>
      <w:rFonts w:ascii="黑体" w:eastAsia="黑体"/>
      <w:bCs/>
      <w:sz w:val="24"/>
      <w:lang w:val="en-US" w:eastAsia="zh-CN" w:bidi="ar-SA"/>
    </w:rPr>
  </w:style>
  <w:style w:type="character" w:customStyle="1" w:styleId="3f0">
    <w:name w:val="页码3"/>
    <w:basedOn w:val="ab"/>
    <w:qFormat/>
  </w:style>
  <w:style w:type="character" w:customStyle="1" w:styleId="CharCharCharChar1">
    <w:name w:val="Char Char Char Char1"/>
    <w:qFormat/>
    <w:rPr>
      <w:rFonts w:eastAsia="宋体"/>
      <w:color w:val="000000"/>
      <w:kern w:val="2"/>
      <w:sz w:val="18"/>
      <w:szCs w:val="24"/>
      <w:lang w:val="en-US" w:eastAsia="zh-CN" w:bidi="ar-SA"/>
    </w:rPr>
  </w:style>
  <w:style w:type="character" w:customStyle="1" w:styleId="2CharCharCharChar">
    <w:name w:val="样式 首行缩进:  2 字符 Char Char Char Char"/>
    <w:link w:val="2CharCharChar"/>
    <w:qFormat/>
    <w:rPr>
      <w:rFonts w:eastAsia="创艺简仿宋"/>
      <w:kern w:val="2"/>
      <w:sz w:val="24"/>
      <w:szCs w:val="24"/>
    </w:rPr>
  </w:style>
  <w:style w:type="paragraph" w:customStyle="1" w:styleId="2CharCharChar">
    <w:name w:val="样式 首行缩进:  2 字符 Char Char Char"/>
    <w:basedOn w:val="a9"/>
    <w:link w:val="2CharCharCharChar"/>
    <w:qFormat/>
    <w:pPr>
      <w:widowControl/>
      <w:topLinePunct/>
      <w:spacing w:line="360" w:lineRule="auto"/>
      <w:ind w:firstLineChars="200" w:firstLine="200"/>
    </w:pPr>
    <w:rPr>
      <w:rFonts w:eastAsia="创艺简仿宋"/>
      <w:sz w:val="24"/>
    </w:rPr>
  </w:style>
  <w:style w:type="character" w:customStyle="1" w:styleId="74">
    <w:name w:val="标题7"/>
    <w:basedOn w:val="ab"/>
    <w:qFormat/>
  </w:style>
  <w:style w:type="character" w:customStyle="1" w:styleId="1Char4">
    <w:name w:val="1. Char"/>
    <w:link w:val="1f2"/>
    <w:qFormat/>
    <w:locked/>
    <w:rPr>
      <w:rFonts w:ascii="Arial" w:eastAsia="MS Gothic" w:hAnsi="Arial"/>
      <w:sz w:val="24"/>
      <w:lang w:eastAsia="ja-JP"/>
    </w:rPr>
  </w:style>
  <w:style w:type="paragraph" w:customStyle="1" w:styleId="1f2">
    <w:name w:val="1."/>
    <w:basedOn w:val="a9"/>
    <w:link w:val="1Char4"/>
    <w:qFormat/>
    <w:pPr>
      <w:widowControl/>
      <w:tabs>
        <w:tab w:val="left" w:pos="805"/>
        <w:tab w:val="left" w:pos="4536"/>
        <w:tab w:val="left" w:pos="4820"/>
      </w:tabs>
      <w:adjustRightInd w:val="0"/>
      <w:spacing w:line="368" w:lineRule="exact"/>
      <w:ind w:left="567" w:hanging="567"/>
      <w:textAlignment w:val="baseline"/>
    </w:pPr>
    <w:rPr>
      <w:rFonts w:ascii="Arial" w:eastAsia="MS Gothic" w:hAnsi="Arial"/>
      <w:sz w:val="24"/>
      <w:lang w:eastAsia="ja-JP"/>
    </w:rPr>
  </w:style>
  <w:style w:type="character" w:customStyle="1" w:styleId="Char2b">
    <w:name w:val="页眉 Char2"/>
    <w:semiHidden/>
    <w:qFormat/>
    <w:rPr>
      <w:rFonts w:eastAsia="宋体"/>
      <w:kern w:val="2"/>
      <w:sz w:val="18"/>
      <w:szCs w:val="18"/>
      <w:lang w:val="en-US" w:eastAsia="zh-CN" w:bidi="ar-SA"/>
    </w:rPr>
  </w:style>
  <w:style w:type="character" w:customStyle="1" w:styleId="hangju">
    <w:name w:val="hangju"/>
    <w:basedOn w:val="ab"/>
    <w:qFormat/>
  </w:style>
  <w:style w:type="character" w:customStyle="1" w:styleId="Charf4">
    <w:name w:val="君邦表头格式 Char"/>
    <w:link w:val="affffc"/>
    <w:qFormat/>
    <w:rPr>
      <w:rFonts w:eastAsia="黑体" w:hAnsi="黑体" w:cs="宋体"/>
      <w:b/>
      <w:bCs/>
      <w:sz w:val="24"/>
    </w:rPr>
  </w:style>
  <w:style w:type="paragraph" w:customStyle="1" w:styleId="affffc">
    <w:name w:val="君邦表头格式"/>
    <w:basedOn w:val="1f3"/>
    <w:link w:val="Charf4"/>
    <w:qFormat/>
    <w:pPr>
      <w:spacing w:beforeLines="0" w:before="50"/>
    </w:pPr>
    <w:rPr>
      <w:rFonts w:hAnsi="黑体" w:cs="宋体"/>
      <w:bCs/>
    </w:rPr>
  </w:style>
  <w:style w:type="paragraph" w:customStyle="1" w:styleId="1f3">
    <w:name w:val="表头样式1"/>
    <w:basedOn w:val="a9"/>
    <w:link w:val="1Char10"/>
    <w:qFormat/>
    <w:pPr>
      <w:spacing w:beforeLines="50" w:before="156"/>
      <w:jc w:val="center"/>
    </w:pPr>
    <w:rPr>
      <w:rFonts w:eastAsia="黑体"/>
      <w:b/>
      <w:sz w:val="24"/>
    </w:rPr>
  </w:style>
  <w:style w:type="character" w:customStyle="1" w:styleId="p121">
    <w:name w:val="p121"/>
    <w:semiHidden/>
    <w:qFormat/>
    <w:rPr>
      <w:rFonts w:ascii="宋体" w:eastAsia="宋体" w:hint="eastAsia"/>
      <w:b/>
      <w:bCs/>
      <w:color w:val="000000"/>
      <w:sz w:val="18"/>
      <w:szCs w:val="18"/>
    </w:rPr>
  </w:style>
  <w:style w:type="character" w:customStyle="1" w:styleId="Charf5">
    <w:name w:val="环保正文 Char"/>
    <w:link w:val="affffd"/>
    <w:qFormat/>
    <w:rPr>
      <w:b/>
      <w:sz w:val="24"/>
      <w:szCs w:val="24"/>
    </w:rPr>
  </w:style>
  <w:style w:type="paragraph" w:customStyle="1" w:styleId="affffd">
    <w:name w:val="环保正文"/>
    <w:basedOn w:val="a9"/>
    <w:link w:val="Charf5"/>
    <w:qFormat/>
    <w:pPr>
      <w:tabs>
        <w:tab w:val="left" w:pos="0"/>
        <w:tab w:val="left" w:pos="7012"/>
      </w:tabs>
      <w:autoSpaceDE w:val="0"/>
      <w:autoSpaceDN w:val="0"/>
      <w:spacing w:line="360" w:lineRule="auto"/>
      <w:ind w:firstLineChars="200" w:firstLine="200"/>
    </w:pPr>
    <w:rPr>
      <w:b/>
      <w:sz w:val="24"/>
    </w:rPr>
  </w:style>
  <w:style w:type="character" w:customStyle="1" w:styleId="HTML10">
    <w:name w:val="HTML 地址 字符1"/>
    <w:qFormat/>
    <w:rPr>
      <w:i/>
      <w:iCs/>
      <w:kern w:val="2"/>
      <w:sz w:val="21"/>
      <w:szCs w:val="24"/>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top-main1">
    <w:name w:val="top-main1"/>
    <w:qFormat/>
    <w:rPr>
      <w:rFonts w:ascii="Arial" w:hAnsi="Arial" w:cs="Arial" w:hint="default"/>
      <w:color w:val="000000"/>
      <w:sz w:val="18"/>
      <w:szCs w:val="18"/>
      <w:u w:val="none"/>
    </w:rPr>
  </w:style>
  <w:style w:type="character" w:customStyle="1" w:styleId="Char15">
    <w:name w:val="标题 Char1"/>
    <w:uiPriority w:val="10"/>
    <w:qFormat/>
    <w:rPr>
      <w:rFonts w:ascii="Cambria" w:eastAsia="宋体" w:hAnsi="Cambria" w:cs="Times New Roman"/>
      <w:b/>
      <w:bCs/>
      <w:sz w:val="32"/>
      <w:szCs w:val="32"/>
    </w:rPr>
  </w:style>
  <w:style w:type="character" w:customStyle="1" w:styleId="610">
    <w:name w:val="标题 6 字符1"/>
    <w:qFormat/>
    <w:rPr>
      <w:rFonts w:ascii="宋体"/>
      <w:kern w:val="2"/>
      <w:sz w:val="24"/>
    </w:rPr>
  </w:style>
  <w:style w:type="character" w:customStyle="1" w:styleId="810">
    <w:name w:val="标题 8 字符1"/>
    <w:qFormat/>
    <w:rPr>
      <w:color w:val="008000"/>
      <w:kern w:val="2"/>
      <w:sz w:val="28"/>
    </w:rPr>
  </w:style>
  <w:style w:type="character" w:customStyle="1" w:styleId="Charf6">
    <w:name w:val="报告书表头 Char"/>
    <w:link w:val="affffe"/>
    <w:qFormat/>
    <w:locked/>
    <w:rPr>
      <w:rFonts w:ascii="黑体" w:eastAsia="黑体" w:hAnsi="黑体"/>
      <w:b/>
      <w:sz w:val="24"/>
    </w:rPr>
  </w:style>
  <w:style w:type="paragraph" w:customStyle="1" w:styleId="affffe">
    <w:name w:val="报告书表头"/>
    <w:basedOn w:val="a9"/>
    <w:link w:val="Charf6"/>
    <w:qFormat/>
    <w:pPr>
      <w:adjustRightInd w:val="0"/>
      <w:snapToGrid w:val="0"/>
      <w:jc w:val="center"/>
    </w:pPr>
    <w:rPr>
      <w:rFonts w:ascii="黑体" w:eastAsia="黑体" w:hAnsi="黑体"/>
      <w:b/>
      <w:sz w:val="24"/>
    </w:rPr>
  </w:style>
  <w:style w:type="character" w:customStyle="1" w:styleId="1f4">
    <w:name w:val="正文文本 字符1"/>
    <w:qFormat/>
    <w:rPr>
      <w:rFonts w:ascii="Times" w:hAnsi="Times"/>
      <w:kern w:val="24"/>
      <w:sz w:val="24"/>
      <w:szCs w:val="24"/>
    </w:rPr>
  </w:style>
  <w:style w:type="character" w:customStyle="1" w:styleId="Charf7">
    <w:name w:val="表格内字体 Char"/>
    <w:link w:val="afffff"/>
    <w:qFormat/>
    <w:rPr>
      <w:rFonts w:eastAsia="楷体_GB2312"/>
      <w:kern w:val="2"/>
      <w:sz w:val="18"/>
    </w:rPr>
  </w:style>
  <w:style w:type="paragraph" w:customStyle="1" w:styleId="afffff">
    <w:name w:val="表格内字体"/>
    <w:basedOn w:val="a9"/>
    <w:link w:val="Charf7"/>
    <w:qFormat/>
    <w:pPr>
      <w:jc w:val="center"/>
    </w:pPr>
    <w:rPr>
      <w:rFonts w:eastAsia="楷体_GB2312"/>
      <w:sz w:val="18"/>
    </w:rPr>
  </w:style>
  <w:style w:type="character" w:customStyle="1" w:styleId="Charf8">
    <w:name w:val="表头样式 Char"/>
    <w:link w:val="afffff0"/>
    <w:qFormat/>
    <w:rPr>
      <w:rFonts w:eastAsia="楷体_GB2312"/>
      <w:b/>
      <w:kern w:val="2"/>
      <w:sz w:val="24"/>
      <w:szCs w:val="24"/>
    </w:rPr>
  </w:style>
  <w:style w:type="paragraph" w:customStyle="1" w:styleId="afffff0">
    <w:name w:val="表头样式"/>
    <w:basedOn w:val="a9"/>
    <w:next w:val="afffff1"/>
    <w:link w:val="Charf8"/>
    <w:qFormat/>
    <w:pPr>
      <w:snapToGrid w:val="0"/>
      <w:jc w:val="center"/>
    </w:pPr>
    <w:rPr>
      <w:rFonts w:eastAsia="楷体_GB2312"/>
      <w:b/>
      <w:sz w:val="24"/>
    </w:rPr>
  </w:style>
  <w:style w:type="paragraph" w:customStyle="1" w:styleId="afffff1">
    <w:name w:val="报告表正文"/>
    <w:basedOn w:val="a9"/>
    <w:link w:val="Char16"/>
    <w:qFormat/>
    <w:pPr>
      <w:adjustRightInd w:val="0"/>
      <w:spacing w:line="300" w:lineRule="auto"/>
      <w:ind w:left="113" w:right="113"/>
      <w:textAlignment w:val="baseline"/>
    </w:pPr>
    <w:rPr>
      <w:sz w:val="24"/>
    </w:rPr>
  </w:style>
  <w:style w:type="character" w:customStyle="1" w:styleId="nfont14black">
    <w:name w:val="nfont14black"/>
    <w:basedOn w:val="ab"/>
    <w:qFormat/>
  </w:style>
  <w:style w:type="character" w:customStyle="1" w:styleId="00Char">
    <w:name w:val="正文00 Char"/>
    <w:link w:val="00"/>
    <w:rPr>
      <w:bCs/>
      <w:snapToGrid/>
      <w:sz w:val="24"/>
    </w:rPr>
  </w:style>
  <w:style w:type="paragraph" w:customStyle="1" w:styleId="00">
    <w:name w:val="正文00"/>
    <w:basedOn w:val="affff7"/>
    <w:link w:val="00Char"/>
    <w:qFormat/>
    <w:pPr>
      <w:widowControl w:val="0"/>
      <w:spacing w:after="0"/>
    </w:pPr>
  </w:style>
  <w:style w:type="character" w:customStyle="1" w:styleId="titledetailstyle10">
    <w:name w:val="title detail style10"/>
    <w:basedOn w:val="ab"/>
    <w:qFormat/>
  </w:style>
  <w:style w:type="character" w:customStyle="1" w:styleId="CharChar3">
    <w:name w:val="表格文字 Char Char"/>
    <w:qFormat/>
    <w:rPr>
      <w:rFonts w:ascii="宋体" w:hAnsi="宋体" w:cs="宋体"/>
      <w:sz w:val="24"/>
      <w:lang w:bidi="ne-NP"/>
    </w:rPr>
  </w:style>
  <w:style w:type="character" w:customStyle="1" w:styleId="CharCharTimesNewRomanChar">
    <w:name w:val="样式 环科院正文 Char Char + Times New Roman Char"/>
    <w:link w:val="CharCharTimesNewRoman"/>
    <w:qFormat/>
    <w:rPr>
      <w:bCs/>
      <w:sz w:val="24"/>
      <w:szCs w:val="24"/>
    </w:rPr>
  </w:style>
  <w:style w:type="paragraph" w:customStyle="1" w:styleId="CharCharTimesNewRoman">
    <w:name w:val="样式 环科院正文 Char Char + Times New Roman"/>
    <w:basedOn w:val="a9"/>
    <w:link w:val="CharCharTimesNewRomanChar"/>
    <w:qFormat/>
    <w:pPr>
      <w:spacing w:line="300" w:lineRule="auto"/>
      <w:ind w:firstLineChars="200" w:firstLine="200"/>
    </w:pPr>
    <w:rPr>
      <w:bCs/>
      <w:sz w:val="24"/>
    </w:rPr>
  </w:style>
  <w:style w:type="character" w:customStyle="1" w:styleId="GB2312Char">
    <w:name w:val="样式 (中文) 楷体_GB2312 小五 居中 Char"/>
    <w:link w:val="GB2312"/>
    <w:qFormat/>
    <w:locked/>
    <w:rPr>
      <w:rFonts w:ascii="楷体_GB2312" w:eastAsia="楷体_GB2312" w:cs="宋体"/>
      <w:sz w:val="18"/>
    </w:rPr>
  </w:style>
  <w:style w:type="paragraph" w:customStyle="1" w:styleId="GB2312">
    <w:name w:val="样式 (中文) 楷体_GB2312 小五 居中"/>
    <w:basedOn w:val="a9"/>
    <w:link w:val="GB2312Char"/>
    <w:qFormat/>
    <w:pPr>
      <w:jc w:val="center"/>
    </w:pPr>
    <w:rPr>
      <w:rFonts w:ascii="楷体_GB2312" w:eastAsia="楷体_GB2312" w:cs="宋体"/>
      <w:sz w:val="18"/>
    </w:rPr>
  </w:style>
  <w:style w:type="character" w:customStyle="1" w:styleId="4086466CharChar">
    <w:name w:val="样式 标题 4 + 左侧:  0 厘米 悬挂缩进: 8.64 字符 段前: 6 磅 段后: 6 磅 行距: 单倍行距 Char Char"/>
    <w:link w:val="4086466"/>
    <w:qFormat/>
    <w:rPr>
      <w:rFonts w:ascii="Arial" w:eastAsia="黑体" w:hAnsi="Arial"/>
      <w:b/>
      <w:kern w:val="2"/>
      <w:sz w:val="24"/>
    </w:rPr>
  </w:style>
  <w:style w:type="paragraph" w:customStyle="1" w:styleId="4086466">
    <w:name w:val="样式 标题 4 + 左侧:  0 厘米 悬挂缩进: 8.64 字符 段前: 6 磅 段后: 6 磅 行距: 单倍行距"/>
    <w:basedOn w:val="4"/>
    <w:link w:val="4086466CharChar"/>
    <w:qFormat/>
    <w:pPr>
      <w:keepNext/>
      <w:keepLines/>
      <w:numPr>
        <w:ilvl w:val="0"/>
        <w:numId w:val="0"/>
      </w:numPr>
      <w:tabs>
        <w:tab w:val="left" w:pos="0"/>
        <w:tab w:val="left" w:pos="592"/>
        <w:tab w:val="left" w:pos="840"/>
        <w:tab w:val="left" w:pos="1567"/>
        <w:tab w:val="left" w:pos="2152"/>
      </w:tabs>
      <w:spacing w:beforeLines="50" w:afterLines="50" w:line="312" w:lineRule="auto"/>
      <w:ind w:left="2152" w:hanging="420"/>
    </w:pPr>
    <w:rPr>
      <w:rFonts w:ascii="Arial" w:eastAsia="黑体" w:hAnsi="Arial"/>
      <w:kern w:val="2"/>
    </w:rPr>
  </w:style>
  <w:style w:type="character" w:customStyle="1" w:styleId="font141">
    <w:name w:val="font141"/>
    <w:qFormat/>
    <w:rPr>
      <w:rFonts w:ascii="宋体" w:eastAsia="宋体" w:hAnsi="宋体" w:cs="宋体" w:hint="eastAsia"/>
      <w:color w:val="000000"/>
      <w:sz w:val="20"/>
      <w:szCs w:val="20"/>
      <w:u w:val="none"/>
      <w:vertAlign w:val="superscript"/>
    </w:rPr>
  </w:style>
  <w:style w:type="character" w:customStyle="1" w:styleId="Charf9">
    <w:name w:val="君邦正文 Char"/>
    <w:qFormat/>
    <w:rPr>
      <w:rFonts w:eastAsia="宋体"/>
      <w:bCs/>
      <w:snapToGrid w:val="0"/>
      <w:sz w:val="24"/>
      <w:lang w:val="en-US" w:eastAsia="zh-CN" w:bidi="ar-SA"/>
    </w:rPr>
  </w:style>
  <w:style w:type="character" w:customStyle="1" w:styleId="Charfa">
    <w:name w:val="表内容 Char"/>
    <w:link w:val="afffff2"/>
    <w:qFormat/>
    <w:locked/>
    <w:rPr>
      <w:rFonts w:eastAsia="仿宋_GB2312"/>
      <w:kern w:val="2"/>
      <w:sz w:val="24"/>
      <w:szCs w:val="24"/>
    </w:rPr>
  </w:style>
  <w:style w:type="paragraph" w:customStyle="1" w:styleId="afffff2">
    <w:name w:val="表内容"/>
    <w:basedOn w:val="a9"/>
    <w:link w:val="Charfa"/>
    <w:qFormat/>
    <w:pPr>
      <w:jc w:val="center"/>
    </w:pPr>
    <w:rPr>
      <w:rFonts w:eastAsia="仿宋_GB2312"/>
      <w:sz w:val="24"/>
    </w:rPr>
  </w:style>
  <w:style w:type="character" w:customStyle="1" w:styleId="font131">
    <w:name w:val="font131"/>
    <w:qFormat/>
    <w:rPr>
      <w:rFonts w:ascii="宋体" w:eastAsia="宋体" w:hAnsi="宋体" w:cs="宋体" w:hint="eastAsia"/>
      <w:color w:val="000000"/>
      <w:sz w:val="20"/>
      <w:szCs w:val="20"/>
      <w:u w:val="none"/>
      <w:vertAlign w:val="subscript"/>
    </w:rPr>
  </w:style>
  <w:style w:type="character" w:customStyle="1" w:styleId="Charfb">
    <w:name w:val="表头 Char"/>
    <w:qFormat/>
    <w:rPr>
      <w:rFonts w:eastAsia="黑体"/>
      <w:kern w:val="2"/>
      <w:sz w:val="24"/>
      <w:szCs w:val="24"/>
      <w:lang w:val="en-US" w:eastAsia="zh-CN" w:bidi="ar-SA"/>
    </w:rPr>
  </w:style>
  <w:style w:type="character" w:customStyle="1" w:styleId="Char17">
    <w:name w:val="正文缩进 Char1"/>
    <w:qFormat/>
    <w:rPr>
      <w:rFonts w:eastAsia="宋体"/>
      <w:kern w:val="2"/>
      <w:sz w:val="24"/>
      <w:lang w:val="en-US" w:eastAsia="zh-CN" w:bidi="ar-SA"/>
    </w:rPr>
  </w:style>
  <w:style w:type="character" w:customStyle="1" w:styleId="Charfc">
    <w:name w:val="报告表正文 Char"/>
    <w:qFormat/>
    <w:rPr>
      <w:rFonts w:eastAsia="楷体_GB2312"/>
      <w:kern w:val="2"/>
      <w:sz w:val="24"/>
      <w:szCs w:val="24"/>
      <w:lang w:val="en-US" w:eastAsia="zh-CN" w:bidi="ar-SA"/>
    </w:rPr>
  </w:style>
  <w:style w:type="character" w:customStyle="1" w:styleId="zhengwen1">
    <w:name w:val="zhengwen1"/>
    <w:qFormat/>
    <w:rPr>
      <w:rFonts w:hint="default"/>
      <w:sz w:val="18"/>
      <w:szCs w:val="18"/>
      <w:u w:val="none"/>
    </w:rPr>
  </w:style>
  <w:style w:type="character" w:customStyle="1" w:styleId="1f5">
    <w:name w:val="列表 字符1"/>
    <w:qFormat/>
    <w:rPr>
      <w:rFonts w:eastAsia="宋体"/>
      <w:kern w:val="2"/>
      <w:sz w:val="21"/>
      <w:lang w:val="en-US" w:eastAsia="zh-CN" w:bidi="ar-SA"/>
    </w:rPr>
  </w:style>
  <w:style w:type="character" w:customStyle="1" w:styleId="Char25">
    <w:name w:val="尾注文本 Char2"/>
    <w:link w:val="aff3"/>
    <w:qFormat/>
    <w:rPr>
      <w:rFonts w:ascii="宋体" w:hAnsi="宋体" w:cs="宋体"/>
      <w:sz w:val="24"/>
      <w:lang w:bidi="ne-NP"/>
    </w:rPr>
  </w:style>
  <w:style w:type="character" w:customStyle="1" w:styleId="5Char1">
    <w:name w:val="标题 5 Char1"/>
    <w:qFormat/>
    <w:rPr>
      <w:rFonts w:eastAsia="宋体"/>
      <w:b/>
      <w:kern w:val="2"/>
      <w:sz w:val="24"/>
      <w:lang w:val="en-US" w:eastAsia="zh-CN" w:bidi="ar-SA"/>
    </w:rPr>
  </w:style>
  <w:style w:type="character" w:customStyle="1" w:styleId="Char32">
    <w:name w:val="页眉 Char3"/>
    <w:link w:val="aff7"/>
    <w:uiPriority w:val="99"/>
    <w:qFormat/>
    <w:rPr>
      <w:rFonts w:eastAsia="宋体"/>
      <w:kern w:val="2"/>
      <w:sz w:val="18"/>
      <w:szCs w:val="18"/>
      <w:lang w:val="en-US" w:eastAsia="zh-CN" w:bidi="ar-SA"/>
    </w:rPr>
  </w:style>
  <w:style w:type="character" w:customStyle="1" w:styleId="5Char6">
    <w:name w:val="标题 5 Char6"/>
    <w:link w:val="5"/>
    <w:qFormat/>
    <w:rPr>
      <w:b/>
      <w:sz w:val="24"/>
    </w:rPr>
  </w:style>
  <w:style w:type="character" w:customStyle="1" w:styleId="1Char5">
    <w:name w:val="正文1 Char"/>
    <w:qFormat/>
    <w:rPr>
      <w:rFonts w:eastAsia="宋体"/>
      <w:kern w:val="2"/>
      <w:sz w:val="24"/>
      <w:lang w:val="en-US" w:eastAsia="zh-CN" w:bidi="ar-SA"/>
    </w:rPr>
  </w:style>
  <w:style w:type="character" w:customStyle="1" w:styleId="4CharChar">
    <w:name w:val="标题4 Char Char"/>
    <w:semiHidden/>
    <w:qFormat/>
    <w:rPr>
      <w:rFonts w:eastAsia="宋体"/>
      <w:b/>
      <w:kern w:val="2"/>
      <w:sz w:val="24"/>
      <w:szCs w:val="24"/>
      <w:lang w:val="en-US" w:eastAsia="zh-CN" w:bidi="ar-SA"/>
    </w:rPr>
  </w:style>
  <w:style w:type="character" w:customStyle="1" w:styleId="zhou11">
    <w:name w:val="zhou11"/>
    <w:semiHidden/>
    <w:qFormat/>
    <w:rPr>
      <w:color w:val="000000"/>
      <w:sz w:val="21"/>
      <w:szCs w:val="21"/>
    </w:rPr>
  </w:style>
  <w:style w:type="character" w:customStyle="1" w:styleId="Charfd">
    <w:name w:val="报告书：正文 Char"/>
    <w:link w:val="afffff3"/>
    <w:qFormat/>
    <w:rPr>
      <w:sz w:val="24"/>
    </w:rPr>
  </w:style>
  <w:style w:type="paragraph" w:customStyle="1" w:styleId="afffff3">
    <w:name w:val="报告书：正文"/>
    <w:basedOn w:val="a9"/>
    <w:link w:val="Charfd"/>
    <w:qFormat/>
    <w:pPr>
      <w:spacing w:line="360" w:lineRule="auto"/>
      <w:ind w:firstLineChars="200" w:firstLine="200"/>
    </w:pPr>
    <w:rPr>
      <w:sz w:val="24"/>
    </w:rPr>
  </w:style>
  <w:style w:type="character" w:customStyle="1" w:styleId="font71">
    <w:name w:val="font71"/>
    <w:qFormat/>
    <w:rPr>
      <w:rFonts w:ascii="Times New Roman" w:hAnsi="Times New Roman" w:cs="Times New Roman" w:hint="default"/>
      <w:color w:val="000000"/>
      <w:sz w:val="20"/>
      <w:szCs w:val="20"/>
      <w:u w:val="none"/>
    </w:rPr>
  </w:style>
  <w:style w:type="character" w:customStyle="1" w:styleId="2Char11">
    <w:name w:val="标题 2 Char1"/>
    <w:qFormat/>
    <w:rPr>
      <w:rFonts w:ascii="Arial" w:eastAsia="黑体" w:hAnsi="Arial"/>
      <w:b/>
      <w:bCs/>
      <w:kern w:val="2"/>
      <w:sz w:val="28"/>
      <w:szCs w:val="32"/>
      <w:lang w:val="en-US" w:eastAsia="zh-CN" w:bidi="ar-SA"/>
    </w:rPr>
  </w:style>
  <w:style w:type="character" w:customStyle="1" w:styleId="4Char1">
    <w:name w:val="标题 4 Char1"/>
    <w:qFormat/>
    <w:rPr>
      <w:rFonts w:eastAsia="宋体"/>
      <w:b/>
      <w:kern w:val="2"/>
      <w:sz w:val="24"/>
      <w:lang w:val="en-US" w:eastAsia="zh-CN" w:bidi="ar-SA"/>
    </w:rPr>
  </w:style>
  <w:style w:type="character" w:customStyle="1" w:styleId="font121">
    <w:name w:val="font121"/>
    <w:qFormat/>
    <w:rPr>
      <w:rFonts w:ascii="宋体" w:eastAsia="宋体" w:hAnsi="宋体" w:cs="宋体" w:hint="eastAsia"/>
      <w:color w:val="000000"/>
      <w:sz w:val="20"/>
      <w:szCs w:val="20"/>
      <w:u w:val="none"/>
      <w:vertAlign w:val="superscript"/>
    </w:rPr>
  </w:style>
  <w:style w:type="character" w:customStyle="1" w:styleId="font81">
    <w:name w:val="font81"/>
    <w:qFormat/>
    <w:rPr>
      <w:rFonts w:ascii="宋体" w:eastAsia="宋体" w:hAnsi="宋体" w:cs="宋体" w:hint="eastAsia"/>
      <w:color w:val="000000"/>
      <w:sz w:val="20"/>
      <w:szCs w:val="20"/>
      <w:u w:val="none"/>
    </w:rPr>
  </w:style>
  <w:style w:type="character" w:customStyle="1" w:styleId="1Char6">
    <w:name w:val="表头样式1 Char"/>
    <w:qFormat/>
    <w:rPr>
      <w:rFonts w:eastAsia="黑体"/>
      <w:b/>
      <w:kern w:val="2"/>
      <w:sz w:val="24"/>
      <w:lang w:val="en-US" w:eastAsia="zh-CN" w:bidi="ar-SA"/>
    </w:rPr>
  </w:style>
  <w:style w:type="character" w:customStyle="1" w:styleId="3CharChar1">
    <w:name w:val="标题 3 Char Char1"/>
    <w:semiHidden/>
    <w:qFormat/>
    <w:rPr>
      <w:rFonts w:ascii="Arial" w:eastAsia="宋体" w:hAnsi="Arial"/>
      <w:b/>
      <w:bCs/>
      <w:kern w:val="2"/>
      <w:sz w:val="28"/>
      <w:szCs w:val="28"/>
      <w:lang w:val="en-US" w:eastAsia="zh-CN" w:bidi="ar-SA"/>
    </w:rPr>
  </w:style>
  <w:style w:type="character" w:customStyle="1" w:styleId="Charfe">
    <w:name w:val="正文首行缩进 Char"/>
    <w:qFormat/>
    <w:rPr>
      <w:rFonts w:ascii="宋体" w:eastAsia="宋体" w:hAnsi="宋体"/>
      <w:kern w:val="2"/>
      <w:sz w:val="24"/>
      <w:szCs w:val="24"/>
      <w:lang w:val="en-US" w:eastAsia="zh-CN" w:bidi="ar-SA"/>
    </w:rPr>
  </w:style>
  <w:style w:type="character" w:customStyle="1" w:styleId="Charff">
    <w:name w:val="表内格式 Char"/>
    <w:qFormat/>
    <w:rPr>
      <w:rFonts w:eastAsia="宋体"/>
      <w:kern w:val="2"/>
      <w:sz w:val="18"/>
      <w:lang w:val="en-US" w:eastAsia="zh-CN" w:bidi="ar-SA"/>
    </w:rPr>
  </w:style>
  <w:style w:type="character" w:customStyle="1" w:styleId="Char18">
    <w:name w:val="君邦正文 Char1"/>
    <w:qFormat/>
    <w:rPr>
      <w:rFonts w:eastAsia="宋体"/>
      <w:bCs/>
      <w:snapToGrid w:val="0"/>
      <w:sz w:val="24"/>
      <w:lang w:val="en-US" w:eastAsia="zh-CN" w:bidi="ar-SA"/>
    </w:rPr>
  </w:style>
  <w:style w:type="character" w:customStyle="1" w:styleId="4Char2">
    <w:name w:val="标题 4 Char2"/>
    <w:link w:val="4"/>
    <w:qFormat/>
    <w:rPr>
      <w:b/>
      <w:color w:val="000000"/>
      <w:sz w:val="24"/>
    </w:rPr>
  </w:style>
  <w:style w:type="character" w:customStyle="1" w:styleId="unnamed1">
    <w:name w:val="unnamed1"/>
    <w:basedOn w:val="ab"/>
    <w:qFormat/>
  </w:style>
  <w:style w:type="character" w:customStyle="1" w:styleId="Char19">
    <w:name w:val="表头字体 Char1"/>
    <w:link w:val="afffff4"/>
    <w:qFormat/>
    <w:rPr>
      <w:rFonts w:eastAsia="黑体"/>
      <w:b/>
      <w:bCs/>
      <w:color w:val="000000"/>
      <w:sz w:val="24"/>
      <w:szCs w:val="24"/>
      <w:lang w:val="zh-CN" w:eastAsia="zh-CN" w:bidi="ar-SA"/>
    </w:rPr>
  </w:style>
  <w:style w:type="paragraph" w:customStyle="1" w:styleId="afffff4">
    <w:name w:val="表头字体"/>
    <w:basedOn w:val="4"/>
    <w:next w:val="affff7"/>
    <w:link w:val="Char19"/>
    <w:qFormat/>
    <w:pPr>
      <w:numPr>
        <w:ilvl w:val="0"/>
        <w:numId w:val="0"/>
      </w:numPr>
      <w:snapToGrid w:val="0"/>
      <w:spacing w:after="0" w:line="240" w:lineRule="auto"/>
      <w:jc w:val="center"/>
      <w:outlineLvl w:val="9"/>
    </w:pPr>
    <w:rPr>
      <w:rFonts w:eastAsia="黑体"/>
      <w:bCs/>
      <w:szCs w:val="24"/>
      <w:lang w:val="zh-CN"/>
    </w:rPr>
  </w:style>
  <w:style w:type="character" w:customStyle="1" w:styleId="9p1">
    <w:name w:val="9p1"/>
    <w:qFormat/>
    <w:rPr>
      <w:sz w:val="18"/>
      <w:szCs w:val="18"/>
    </w:rPr>
  </w:style>
  <w:style w:type="character" w:customStyle="1" w:styleId="Char2a">
    <w:name w:val="君邦正文 Char2"/>
    <w:link w:val="affff7"/>
    <w:qFormat/>
    <w:rPr>
      <w:rFonts w:eastAsia="宋体"/>
      <w:bCs/>
      <w:snapToGrid w:val="0"/>
      <w:sz w:val="24"/>
      <w:lang w:val="en-US" w:eastAsia="zh-CN" w:bidi="ar-SA"/>
    </w:rPr>
  </w:style>
  <w:style w:type="character" w:customStyle="1" w:styleId="Charff0">
    <w:name w:val="表格 Char"/>
    <w:link w:val="afffff5"/>
    <w:qFormat/>
    <w:rPr>
      <w:rFonts w:eastAsia="宋体" w:hAnsi="宋体"/>
      <w:sz w:val="21"/>
      <w:szCs w:val="24"/>
      <w:lang w:val="en-US" w:eastAsia="zh-CN" w:bidi="ar-SA"/>
    </w:rPr>
  </w:style>
  <w:style w:type="paragraph" w:customStyle="1" w:styleId="afffff5">
    <w:name w:val="表格"/>
    <w:basedOn w:val="1e"/>
    <w:link w:val="Charff0"/>
    <w:qFormat/>
    <w:pPr>
      <w:keepNext w:val="0"/>
      <w:keepLines w:val="0"/>
      <w:snapToGrid/>
      <w:spacing w:before="0" w:after="0" w:line="360" w:lineRule="exact"/>
      <w:ind w:left="0" w:firstLine="0"/>
      <w:jc w:val="center"/>
      <w:textAlignment w:val="auto"/>
      <w:outlineLvl w:val="9"/>
    </w:pPr>
    <w:rPr>
      <w:rFonts w:hAnsi="宋体"/>
      <w:b w:val="0"/>
      <w:kern w:val="0"/>
      <w:sz w:val="21"/>
      <w:szCs w:val="24"/>
    </w:rPr>
  </w:style>
  <w:style w:type="character" w:customStyle="1" w:styleId="1Char10">
    <w:name w:val="表头样式1 Char1"/>
    <w:link w:val="1f3"/>
    <w:qFormat/>
    <w:rPr>
      <w:rFonts w:eastAsia="黑体"/>
      <w:b/>
      <w:kern w:val="2"/>
      <w:sz w:val="24"/>
      <w:lang w:val="en-US" w:eastAsia="zh-CN" w:bidi="ar-SA"/>
    </w:rPr>
  </w:style>
  <w:style w:type="character" w:customStyle="1" w:styleId="1Char">
    <w:name w:val="样式1 Char"/>
    <w:link w:val="1e"/>
    <w:qFormat/>
    <w:rPr>
      <w:rFonts w:eastAsia="宋体"/>
      <w:b/>
      <w:kern w:val="44"/>
      <w:sz w:val="32"/>
      <w:lang w:val="en-US" w:eastAsia="zh-CN" w:bidi="ar-SA"/>
    </w:rPr>
  </w:style>
  <w:style w:type="character" w:customStyle="1" w:styleId="Charff1">
    <w:name w:val="正文小四 Char"/>
    <w:link w:val="afffff6"/>
    <w:qFormat/>
    <w:locked/>
    <w:rPr>
      <w:rFonts w:eastAsia="宋体"/>
      <w:snapToGrid w:val="0"/>
      <w:sz w:val="24"/>
      <w:lang w:val="en-US" w:eastAsia="zh-CN" w:bidi="ar-SA"/>
    </w:rPr>
  </w:style>
  <w:style w:type="paragraph" w:customStyle="1" w:styleId="afffff6">
    <w:name w:val="正文小四"/>
    <w:basedOn w:val="a9"/>
    <w:link w:val="Charff1"/>
    <w:qFormat/>
    <w:pPr>
      <w:adjustRightInd w:val="0"/>
      <w:snapToGrid w:val="0"/>
      <w:spacing w:line="360" w:lineRule="auto"/>
      <w:ind w:firstLineChars="200" w:firstLine="482"/>
      <w:textAlignment w:val="baseline"/>
    </w:pPr>
    <w:rPr>
      <w:snapToGrid w:val="0"/>
      <w:sz w:val="24"/>
    </w:rPr>
  </w:style>
  <w:style w:type="character" w:customStyle="1" w:styleId="CharChar10">
    <w:name w:val="Char Char1"/>
    <w:link w:val="Char180"/>
    <w:qFormat/>
    <w:rPr>
      <w:rFonts w:eastAsia="宋体"/>
      <w:kern w:val="2"/>
      <w:sz w:val="21"/>
      <w:szCs w:val="24"/>
      <w:lang w:val="en-US" w:eastAsia="zh-CN" w:bidi="ar-SA"/>
    </w:rPr>
  </w:style>
  <w:style w:type="paragraph" w:customStyle="1" w:styleId="Char180">
    <w:name w:val="Char18"/>
    <w:basedOn w:val="a9"/>
    <w:link w:val="CharChar10"/>
  </w:style>
  <w:style w:type="character" w:customStyle="1" w:styleId="Char12">
    <w:name w:val="表内格式 Char1"/>
    <w:link w:val="affff6"/>
    <w:qFormat/>
    <w:rPr>
      <w:rFonts w:eastAsia="宋体"/>
      <w:kern w:val="2"/>
      <w:sz w:val="18"/>
      <w:lang w:val="en-US" w:eastAsia="zh-CN" w:bidi="ar-SA"/>
    </w:rPr>
  </w:style>
  <w:style w:type="character" w:customStyle="1" w:styleId="CharChar5">
    <w:name w:val="表格（可改） Char Char"/>
    <w:link w:val="afffff7"/>
    <w:qFormat/>
    <w:rPr>
      <w:rFonts w:eastAsia="Arial"/>
      <w:kern w:val="2"/>
      <w:sz w:val="21"/>
      <w:szCs w:val="21"/>
      <w:lang w:val="en-US" w:eastAsia="zh-CN" w:bidi="ar-SA"/>
    </w:rPr>
  </w:style>
  <w:style w:type="paragraph" w:customStyle="1" w:styleId="afffff7">
    <w:name w:val="表格（可改）"/>
    <w:basedOn w:val="a9"/>
    <w:link w:val="CharChar5"/>
    <w:qFormat/>
    <w:pPr>
      <w:spacing w:line="360" w:lineRule="exact"/>
      <w:jc w:val="center"/>
    </w:pPr>
    <w:rPr>
      <w:rFonts w:eastAsia="Arial"/>
      <w:szCs w:val="21"/>
    </w:rPr>
  </w:style>
  <w:style w:type="character" w:customStyle="1" w:styleId="unnamed11">
    <w:name w:val="unnamed11"/>
    <w:qFormat/>
    <w:rPr>
      <w:color w:val="333333"/>
      <w:sz w:val="18"/>
      <w:szCs w:val="18"/>
      <w:u w:val="none"/>
    </w:rPr>
  </w:style>
  <w:style w:type="character" w:customStyle="1" w:styleId="linkw1">
    <w:name w:val="link_w1"/>
    <w:qFormat/>
    <w:rPr>
      <w:color w:val="FFFFFF"/>
      <w:sz w:val="18"/>
      <w:szCs w:val="18"/>
    </w:rPr>
  </w:style>
  <w:style w:type="character" w:customStyle="1" w:styleId="style51">
    <w:name w:val="style51"/>
    <w:qFormat/>
    <w:rPr>
      <w:b/>
      <w:bCs/>
      <w:color w:val="FF0000"/>
      <w:sz w:val="24"/>
      <w:szCs w:val="24"/>
    </w:rPr>
  </w:style>
  <w:style w:type="character" w:customStyle="1" w:styleId="style21">
    <w:name w:val="style21"/>
    <w:qFormat/>
    <w:rPr>
      <w:sz w:val="21"/>
      <w:szCs w:val="21"/>
    </w:rPr>
  </w:style>
  <w:style w:type="character" w:customStyle="1" w:styleId="1f6">
    <w:name w:val="标题1"/>
    <w:basedOn w:val="ab"/>
    <w:qFormat/>
  </w:style>
  <w:style w:type="character" w:customStyle="1" w:styleId="ps01">
    <w:name w:val="ps01"/>
    <w:basedOn w:val="ab"/>
    <w:qFormat/>
  </w:style>
  <w:style w:type="character" w:customStyle="1" w:styleId="user0011">
    <w:name w:val="user0011"/>
    <w:qFormat/>
    <w:rPr>
      <w:sz w:val="18"/>
      <w:szCs w:val="18"/>
    </w:rPr>
  </w:style>
  <w:style w:type="character" w:customStyle="1" w:styleId="style11">
    <w:name w:val="style11"/>
    <w:qFormat/>
    <w:rPr>
      <w:color w:val="FF0000"/>
    </w:rPr>
  </w:style>
  <w:style w:type="character" w:customStyle="1" w:styleId="normal--char1">
    <w:name w:val="normal--char1"/>
    <w:qFormat/>
    <w:rPr>
      <w:rFonts w:ascii="Times New Roman" w:hAnsi="Times New Roman" w:cs="Times New Roman" w:hint="default"/>
      <w:sz w:val="20"/>
      <w:szCs w:val="20"/>
      <w:u w:val="none"/>
    </w:rPr>
  </w:style>
  <w:style w:type="character" w:customStyle="1" w:styleId="CharChar6">
    <w:name w:val="报告表正文 Char Char"/>
    <w:qFormat/>
    <w:rPr>
      <w:rFonts w:eastAsia="楷体_GB2312"/>
      <w:kern w:val="2"/>
      <w:sz w:val="24"/>
      <w:szCs w:val="24"/>
      <w:lang w:val="en-US" w:eastAsia="zh-CN" w:bidi="ar-SA"/>
    </w:rPr>
  </w:style>
  <w:style w:type="character" w:customStyle="1" w:styleId="CharChar21">
    <w:name w:val="Char Char2"/>
    <w:qFormat/>
    <w:rPr>
      <w:rFonts w:eastAsia="宋体"/>
      <w:kern w:val="2"/>
      <w:sz w:val="18"/>
      <w:lang w:val="en-US" w:eastAsia="zh-CN" w:bidi="ar-SA"/>
    </w:rPr>
  </w:style>
  <w:style w:type="character" w:customStyle="1" w:styleId="110">
    <w:name w:val="页码11"/>
    <w:basedOn w:val="ab"/>
    <w:qFormat/>
  </w:style>
  <w:style w:type="character" w:customStyle="1" w:styleId="2Char3">
    <w:name w:val="样式2 Char"/>
    <w:link w:val="2f3"/>
    <w:qFormat/>
    <w:rPr>
      <w:rFonts w:eastAsia="黑体"/>
      <w:b/>
      <w:kern w:val="44"/>
      <w:sz w:val="32"/>
      <w:lang w:val="en-US" w:eastAsia="zh-CN" w:bidi="ar-SA"/>
    </w:rPr>
  </w:style>
  <w:style w:type="paragraph" w:customStyle="1" w:styleId="2f3">
    <w:name w:val="样式2"/>
    <w:basedOn w:val="2"/>
    <w:link w:val="2Char3"/>
    <w:qFormat/>
    <w:pPr>
      <w:keepNext/>
      <w:numPr>
        <w:ilvl w:val="0"/>
        <w:numId w:val="0"/>
      </w:numPr>
      <w:adjustRightInd w:val="0"/>
      <w:snapToGrid w:val="0"/>
      <w:spacing w:before="60" w:after="0" w:line="288" w:lineRule="auto"/>
      <w:ind w:left="567" w:hanging="567"/>
      <w:jc w:val="left"/>
      <w:textAlignment w:val="baseline"/>
    </w:pPr>
  </w:style>
  <w:style w:type="character" w:customStyle="1" w:styleId="abstractpagetext">
    <w:name w:val="abstract_page_text"/>
    <w:basedOn w:val="ab"/>
    <w:qFormat/>
  </w:style>
  <w:style w:type="character" w:customStyle="1" w:styleId="h31">
    <w:name w:val="h31"/>
    <w:qFormat/>
    <w:rPr>
      <w:sz w:val="21"/>
      <w:szCs w:val="21"/>
    </w:rPr>
  </w:style>
  <w:style w:type="character" w:customStyle="1" w:styleId="tpccontent">
    <w:name w:val="tpc_content"/>
    <w:basedOn w:val="ab"/>
    <w:qFormat/>
  </w:style>
  <w:style w:type="character" w:customStyle="1" w:styleId="2Char1">
    <w:name w:val="正文文本缩进 2 Char"/>
    <w:link w:val="23"/>
    <w:qFormat/>
    <w:rPr>
      <w:rFonts w:eastAsia="宋体"/>
      <w:kern w:val="2"/>
      <w:sz w:val="21"/>
      <w:szCs w:val="24"/>
      <w:lang w:val="en-US" w:eastAsia="zh-CN" w:bidi="ar-SA"/>
    </w:rPr>
  </w:style>
  <w:style w:type="character" w:customStyle="1" w:styleId="Charff2">
    <w:name w:val="表格内文字 Char"/>
    <w:link w:val="afffff8"/>
    <w:qFormat/>
    <w:rPr>
      <w:rFonts w:eastAsia="宋体"/>
      <w:spacing w:val="6"/>
      <w:sz w:val="24"/>
      <w:lang w:val="en-US" w:eastAsia="zh-CN" w:bidi="ar-SA"/>
    </w:rPr>
  </w:style>
  <w:style w:type="paragraph" w:customStyle="1" w:styleId="afffff8">
    <w:name w:val="表格内文字"/>
    <w:basedOn w:val="a9"/>
    <w:link w:val="Charff2"/>
    <w:qFormat/>
    <w:pPr>
      <w:adjustRightInd w:val="0"/>
      <w:snapToGrid w:val="0"/>
      <w:spacing w:before="80" w:line="240" w:lineRule="exact"/>
      <w:jc w:val="center"/>
    </w:pPr>
    <w:rPr>
      <w:spacing w:val="6"/>
      <w:sz w:val="24"/>
    </w:rPr>
  </w:style>
  <w:style w:type="character" w:customStyle="1" w:styleId="Char40">
    <w:name w:val="君邦正文 Char4"/>
    <w:qFormat/>
    <w:rPr>
      <w:rFonts w:ascii="宋体" w:eastAsia="宋体" w:hAnsi="宋体" w:cs="宋体"/>
      <w:kern w:val="2"/>
      <w:sz w:val="24"/>
      <w:szCs w:val="24"/>
      <w:lang w:val="en-US" w:eastAsia="zh-CN" w:bidi="ar-SA"/>
    </w:rPr>
  </w:style>
  <w:style w:type="character" w:customStyle="1" w:styleId="CharChar7">
    <w:name w:val="表头字体 Char Char"/>
    <w:link w:val="Charff3"/>
    <w:qFormat/>
    <w:rPr>
      <w:rFonts w:eastAsia="黑体"/>
      <w:b/>
      <w:kern w:val="2"/>
      <w:sz w:val="24"/>
      <w:szCs w:val="24"/>
      <w:lang w:val="en-US" w:eastAsia="zh-CN" w:bidi="ar-SA"/>
    </w:rPr>
  </w:style>
  <w:style w:type="paragraph" w:customStyle="1" w:styleId="Charff3">
    <w:name w:val="表头字体 Char"/>
    <w:basedOn w:val="a9"/>
    <w:next w:val="a9"/>
    <w:link w:val="CharChar7"/>
    <w:qFormat/>
    <w:pPr>
      <w:jc w:val="center"/>
    </w:pPr>
    <w:rPr>
      <w:rFonts w:eastAsia="黑体"/>
      <w:b/>
      <w:sz w:val="24"/>
    </w:rPr>
  </w:style>
  <w:style w:type="character" w:customStyle="1" w:styleId="textcontents">
    <w:name w:val="textcontents"/>
    <w:basedOn w:val="ab"/>
    <w:qFormat/>
  </w:style>
  <w:style w:type="character" w:customStyle="1" w:styleId="biaoge">
    <w:name w:val="biaoge"/>
    <w:basedOn w:val="ab"/>
    <w:qFormat/>
  </w:style>
  <w:style w:type="character" w:customStyle="1" w:styleId="ecmean1">
    <w:name w:val="ec_mean1"/>
    <w:basedOn w:val="ab"/>
    <w:qFormat/>
  </w:style>
  <w:style w:type="character" w:customStyle="1" w:styleId="3Char1">
    <w:name w:val="标题 3 Char1"/>
    <w:link w:val="3"/>
    <w:qFormat/>
    <w:rPr>
      <w:rFonts w:eastAsia="黑体"/>
      <w:b/>
      <w:sz w:val="24"/>
    </w:rPr>
  </w:style>
  <w:style w:type="character" w:customStyle="1" w:styleId="Char8">
    <w:name w:val="列表 Char"/>
    <w:link w:val="affb"/>
    <w:qFormat/>
    <w:rPr>
      <w:rFonts w:eastAsia="宋体"/>
      <w:kern w:val="2"/>
      <w:sz w:val="21"/>
      <w:lang w:val="en-US" w:eastAsia="zh-CN" w:bidi="ar-SA"/>
    </w:rPr>
  </w:style>
  <w:style w:type="character" w:customStyle="1" w:styleId="topic21">
    <w:name w:val="topic21"/>
    <w:qFormat/>
    <w:rPr>
      <w:b/>
      <w:bCs/>
      <w:color w:val="FFFFFF"/>
      <w:sz w:val="24"/>
      <w:szCs w:val="24"/>
      <w:u w:val="none"/>
    </w:rPr>
  </w:style>
  <w:style w:type="character" w:customStyle="1" w:styleId="content11">
    <w:name w:val="content11"/>
    <w:qFormat/>
    <w:rPr>
      <w:sz w:val="16"/>
      <w:szCs w:val="16"/>
    </w:rPr>
  </w:style>
  <w:style w:type="character" w:customStyle="1" w:styleId="asg">
    <w:name w:val="asg"/>
    <w:basedOn w:val="ab"/>
    <w:qFormat/>
  </w:style>
  <w:style w:type="character" w:customStyle="1" w:styleId="Charff4">
    <w:name w:val="图框 Char"/>
    <w:link w:val="afffff9"/>
    <w:qFormat/>
    <w:rPr>
      <w:rFonts w:ascii="仿宋_GB2312" w:eastAsia="仿宋_GB2312"/>
      <w:kern w:val="2"/>
      <w:szCs w:val="24"/>
      <w:lang w:val="en-US" w:eastAsia="zh-CN" w:bidi="ar-SA"/>
    </w:rPr>
  </w:style>
  <w:style w:type="paragraph" w:customStyle="1" w:styleId="afffff9">
    <w:name w:val="图框"/>
    <w:basedOn w:val="a9"/>
    <w:link w:val="Charff4"/>
    <w:semiHidden/>
    <w:qFormat/>
    <w:pPr>
      <w:jc w:val="center"/>
    </w:pPr>
    <w:rPr>
      <w:rFonts w:ascii="仿宋_GB2312" w:eastAsia="仿宋_GB2312"/>
    </w:rPr>
  </w:style>
  <w:style w:type="character" w:customStyle="1" w:styleId="Charff5">
    <w:name w:val="表内字体 Char"/>
    <w:link w:val="afffffa"/>
    <w:qFormat/>
    <w:rPr>
      <w:rFonts w:eastAsia="宋体"/>
      <w:sz w:val="18"/>
      <w:szCs w:val="18"/>
      <w:lang w:val="en-US" w:eastAsia="zh-CN" w:bidi="ar-SA"/>
    </w:rPr>
  </w:style>
  <w:style w:type="paragraph" w:customStyle="1" w:styleId="afffffa">
    <w:name w:val="表内字体"/>
    <w:basedOn w:val="afffffb"/>
    <w:next w:val="affff7"/>
    <w:link w:val="Charff5"/>
    <w:qFormat/>
    <w:pPr>
      <w:spacing w:line="240" w:lineRule="auto"/>
    </w:pPr>
    <w:rPr>
      <w:b w:val="0"/>
      <w:sz w:val="18"/>
      <w:szCs w:val="18"/>
    </w:rPr>
  </w:style>
  <w:style w:type="paragraph" w:customStyle="1" w:styleId="afffffb">
    <w:name w:val="表头文字"/>
    <w:basedOn w:val="a9"/>
    <w:qFormat/>
    <w:pPr>
      <w:adjustRightInd w:val="0"/>
      <w:snapToGrid w:val="0"/>
      <w:spacing w:line="400" w:lineRule="exact"/>
      <w:jc w:val="center"/>
      <w:textAlignment w:val="baseline"/>
    </w:pPr>
    <w:rPr>
      <w:b/>
    </w:rPr>
  </w:style>
  <w:style w:type="character" w:customStyle="1" w:styleId="1Char2">
    <w:name w:val="标题 1 Char2"/>
    <w:link w:val="1"/>
    <w:uiPriority w:val="9"/>
    <w:qFormat/>
    <w:rPr>
      <w:b/>
      <w:kern w:val="44"/>
      <w:sz w:val="32"/>
    </w:rPr>
  </w:style>
  <w:style w:type="character" w:customStyle="1" w:styleId="subsm1">
    <w:name w:val="subsm1"/>
    <w:qFormat/>
    <w:rPr>
      <w:sz w:val="20"/>
      <w:szCs w:val="20"/>
      <w:vertAlign w:val="subscript"/>
    </w:rPr>
  </w:style>
  <w:style w:type="character" w:customStyle="1" w:styleId="ziti21">
    <w:name w:val="ziti21"/>
    <w:qFormat/>
    <w:rPr>
      <w:rFonts w:ascii="ˎ̥" w:hAnsi="ˎ̥" w:hint="default"/>
      <w:color w:val="000000"/>
      <w:sz w:val="21"/>
      <w:szCs w:val="21"/>
      <w:u w:val="none"/>
    </w:rPr>
  </w:style>
  <w:style w:type="character" w:customStyle="1" w:styleId="Char4">
    <w:name w:val="批注文字 Char4"/>
    <w:link w:val="af"/>
    <w:uiPriority w:val="99"/>
    <w:qFormat/>
    <w:rPr>
      <w:kern w:val="2"/>
      <w:sz w:val="21"/>
      <w:szCs w:val="24"/>
    </w:rPr>
  </w:style>
  <w:style w:type="character" w:customStyle="1" w:styleId="Char2c">
    <w:name w:val="正文缩进 Char2"/>
    <w:qFormat/>
    <w:rPr>
      <w:rFonts w:eastAsia="宋体"/>
      <w:kern w:val="2"/>
      <w:sz w:val="24"/>
      <w:lang w:val="en-US" w:eastAsia="zh-CN" w:bidi="ar-SA"/>
    </w:rPr>
  </w:style>
  <w:style w:type="character" w:customStyle="1" w:styleId="1-Char">
    <w:name w:val="1-表内样式 Char"/>
    <w:link w:val="1-"/>
    <w:qFormat/>
    <w:rPr>
      <w:rFonts w:cs="宋体"/>
      <w:sz w:val="18"/>
      <w:szCs w:val="18"/>
    </w:rPr>
  </w:style>
  <w:style w:type="paragraph" w:customStyle="1" w:styleId="1-">
    <w:name w:val="1-表内样式"/>
    <w:basedOn w:val="a9"/>
    <w:link w:val="1-Char"/>
    <w:qFormat/>
    <w:pPr>
      <w:framePr w:hSpace="181" w:wrap="around" w:vAnchor="page" w:hAnchor="page" w:xAlign="center" w:y="1725"/>
      <w:adjustRightInd w:val="0"/>
      <w:snapToGrid w:val="0"/>
      <w:jc w:val="center"/>
    </w:pPr>
    <w:rPr>
      <w:rFonts w:cs="宋体"/>
      <w:sz w:val="18"/>
      <w:szCs w:val="18"/>
    </w:rPr>
  </w:style>
  <w:style w:type="character" w:customStyle="1" w:styleId="CharChar9">
    <w:name w:val="Char Char9"/>
    <w:qFormat/>
    <w:rPr>
      <w:rFonts w:ascii="Arial" w:eastAsia="黑体" w:hAnsi="Arial" w:cs="Arial"/>
      <w:b/>
      <w:bCs/>
      <w:kern w:val="2"/>
      <w:sz w:val="32"/>
      <w:szCs w:val="32"/>
    </w:rPr>
  </w:style>
  <w:style w:type="character" w:customStyle="1" w:styleId="Charff6">
    <w:name w:val="环科院正文 Char"/>
    <w:link w:val="afffffc"/>
    <w:qFormat/>
    <w:rPr>
      <w:sz w:val="21"/>
      <w:szCs w:val="21"/>
      <w:u w:color="000000"/>
    </w:rPr>
  </w:style>
  <w:style w:type="paragraph" w:customStyle="1" w:styleId="afffffc">
    <w:name w:val="环科院正文"/>
    <w:basedOn w:val="a9"/>
    <w:link w:val="Charff6"/>
    <w:qFormat/>
    <w:pPr>
      <w:spacing w:line="300" w:lineRule="auto"/>
      <w:ind w:firstLineChars="200" w:firstLine="420"/>
    </w:pPr>
    <w:rPr>
      <w:szCs w:val="21"/>
      <w:u w:color="000000"/>
    </w:rPr>
  </w:style>
  <w:style w:type="character" w:customStyle="1" w:styleId="font41">
    <w:name w:val="font41"/>
    <w:qFormat/>
    <w:rPr>
      <w:rFonts w:ascii="宋体" w:eastAsia="宋体" w:hAnsi="宋体" w:cs="宋体" w:hint="eastAsia"/>
      <w:color w:val="FF0000"/>
      <w:sz w:val="18"/>
      <w:szCs w:val="18"/>
      <w:u w:val="none"/>
      <w:vertAlign w:val="superscript"/>
    </w:rPr>
  </w:style>
  <w:style w:type="character" w:customStyle="1" w:styleId="Char21">
    <w:name w:val="题注 Char2"/>
    <w:link w:val="af6"/>
    <w:qFormat/>
    <w:rPr>
      <w:rFonts w:ascii="Arial" w:eastAsia="黑体" w:hAnsi="Arial" w:cs="Arial"/>
      <w:kern w:val="2"/>
    </w:rPr>
  </w:style>
  <w:style w:type="character" w:customStyle="1" w:styleId="Charff7">
    <w:name w:val="表格正文 Char"/>
    <w:link w:val="afffffd"/>
    <w:qFormat/>
    <w:rPr>
      <w:rFonts w:ascii="宋体" w:hAnsi="宋体"/>
      <w:kern w:val="2"/>
      <w:sz w:val="24"/>
      <w:szCs w:val="24"/>
    </w:rPr>
  </w:style>
  <w:style w:type="paragraph" w:customStyle="1" w:styleId="afffffd">
    <w:name w:val="表格正文"/>
    <w:basedOn w:val="a9"/>
    <w:link w:val="Charff7"/>
    <w:qFormat/>
    <w:pPr>
      <w:jc w:val="center"/>
    </w:pPr>
    <w:rPr>
      <w:rFonts w:ascii="宋体" w:hAnsi="宋体"/>
      <w:sz w:val="24"/>
    </w:rPr>
  </w:style>
  <w:style w:type="character" w:customStyle="1" w:styleId="150">
    <w:name w:val="15"/>
    <w:qFormat/>
    <w:rPr>
      <w:rFonts w:ascii="Calibri" w:hAnsi="Calibri" w:hint="default"/>
      <w:sz w:val="24"/>
      <w:szCs w:val="24"/>
    </w:rPr>
  </w:style>
  <w:style w:type="character" w:customStyle="1" w:styleId="copyright1">
    <w:name w:val="copyright1"/>
    <w:qFormat/>
    <w:rPr>
      <w:rFonts w:hint="default"/>
      <w:color w:val="000000"/>
    </w:rPr>
  </w:style>
  <w:style w:type="character" w:customStyle="1" w:styleId="Heading1Char">
    <w:name w:val="Heading 1 Char"/>
    <w:qFormat/>
    <w:locked/>
    <w:rPr>
      <w:rFonts w:ascii="宋体" w:eastAsia="宋体" w:hAnsi="宋体" w:cs="Times New Roman"/>
      <w:sz w:val="20"/>
      <w:szCs w:val="20"/>
    </w:rPr>
  </w:style>
  <w:style w:type="character" w:customStyle="1" w:styleId="-05-05-05-0Char">
    <w:name w:val="样式 样式 样式 表内格式 + 左  -0.5 字符 + 左侧:  -0.5 字符 右侧:  -0.5 字符 + 左侧:  -0... Char"/>
    <w:link w:val="-05-05-05-0"/>
    <w:qFormat/>
    <w:rPr>
      <w:rFonts w:cs="宋体"/>
      <w:kern w:val="2"/>
      <w:sz w:val="18"/>
      <w:szCs w:val="18"/>
    </w:rPr>
  </w:style>
  <w:style w:type="paragraph" w:customStyle="1" w:styleId="-05-05-05-0">
    <w:name w:val="样式 样式 样式 表内格式 + 左  -0.5 字符 + 左侧:  -0.5 字符 右侧:  -0.5 字符 + 左侧:  -0..."/>
    <w:basedOn w:val="a9"/>
    <w:link w:val="-05-05-05-0Char"/>
    <w:qFormat/>
    <w:pPr>
      <w:jc w:val="center"/>
    </w:pPr>
    <w:rPr>
      <w:rFonts w:cs="宋体"/>
      <w:sz w:val="18"/>
      <w:szCs w:val="18"/>
    </w:rPr>
  </w:style>
  <w:style w:type="character" w:customStyle="1" w:styleId="Char1a">
    <w:name w:val="列表 Char1"/>
    <w:qFormat/>
    <w:rPr>
      <w:rFonts w:eastAsia="黑体"/>
      <w:kern w:val="2"/>
      <w:sz w:val="22"/>
      <w:szCs w:val="22"/>
      <w:lang w:val="en-US" w:eastAsia="zh-CN" w:bidi="ar-SA"/>
    </w:rPr>
  </w:style>
  <w:style w:type="character" w:customStyle="1" w:styleId="Char31">
    <w:name w:val="页脚 Char3"/>
    <w:link w:val="aff5"/>
    <w:uiPriority w:val="99"/>
    <w:qFormat/>
    <w:rPr>
      <w:kern w:val="2"/>
      <w:sz w:val="18"/>
      <w:szCs w:val="18"/>
    </w:rPr>
  </w:style>
  <w:style w:type="character" w:customStyle="1" w:styleId="Charff8">
    <w:name w:val="三级标题 Char"/>
    <w:qFormat/>
    <w:rPr>
      <w:rFonts w:eastAsia="黑体" w:cs="Arial"/>
      <w:b/>
      <w:bCs/>
      <w:color w:val="000000"/>
      <w:kern w:val="2"/>
      <w:sz w:val="24"/>
      <w:szCs w:val="28"/>
      <w:lang w:val="en-US" w:eastAsia="zh-CN" w:bidi="ar-SA"/>
    </w:rPr>
  </w:style>
  <w:style w:type="character" w:customStyle="1" w:styleId="Char7">
    <w:name w:val="批注框文本 Char"/>
    <w:link w:val="aff4"/>
    <w:uiPriority w:val="99"/>
    <w:qFormat/>
    <w:rPr>
      <w:kern w:val="2"/>
      <w:sz w:val="18"/>
      <w:szCs w:val="18"/>
    </w:rPr>
  </w:style>
  <w:style w:type="character" w:customStyle="1" w:styleId="1CharChar5">
    <w:name w:val="正文1 Char Char5"/>
    <w:qFormat/>
    <w:rPr>
      <w:rFonts w:ascii="宋体" w:eastAsia="宋体" w:hAnsi="宋体"/>
      <w:kern w:val="2"/>
      <w:sz w:val="21"/>
      <w:szCs w:val="21"/>
      <w:lang w:val="en-US" w:eastAsia="zh-CN" w:bidi="ar-SA"/>
    </w:rPr>
  </w:style>
  <w:style w:type="character" w:customStyle="1" w:styleId="font01">
    <w:name w:val="font01"/>
    <w:qFormat/>
    <w:rPr>
      <w:rFonts w:ascii="宋体" w:eastAsia="宋体" w:hAnsi="宋体" w:hint="eastAsia"/>
      <w:color w:val="000000"/>
      <w:sz w:val="18"/>
      <w:szCs w:val="18"/>
      <w:u w:val="none"/>
    </w:rPr>
  </w:style>
  <w:style w:type="character" w:customStyle="1" w:styleId="CharChar1CharCharCharCharCharCharCharCharCharCharCharCharCharCharCharCharCharCharCharChar1CharChar1">
    <w:name w:val="Char Char1 Char Char Char Char Char Char Char Char Char Char Char Char Char Char Char Char Char Char Char Char1 Char Char1"/>
    <w:link w:val="CharChar1CharCharCharCharCharCharCharCharCharCharCharCharCharCharCharCharCharCharCharChar1Char1"/>
    <w:qFormat/>
    <w:rPr>
      <w:rFonts w:ascii="宋体" w:hAnsi="宋体" w:cs="宋体"/>
      <w:kern w:val="2"/>
      <w:sz w:val="24"/>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9"/>
    <w:link w:val="CharChar1CharCharCharCharCharCharCharCharCharCharCharCharCharCharCharCharCharCharCharChar1CharChar1"/>
    <w:qFormat/>
    <w:pPr>
      <w:spacing w:line="360" w:lineRule="auto"/>
      <w:ind w:firstLineChars="200" w:firstLine="200"/>
    </w:pPr>
    <w:rPr>
      <w:rFonts w:ascii="宋体" w:hAnsi="宋体" w:cs="宋体"/>
      <w:sz w:val="24"/>
    </w:rPr>
  </w:style>
  <w:style w:type="character" w:customStyle="1" w:styleId="font21">
    <w:name w:val="font21"/>
    <w:qFormat/>
    <w:rPr>
      <w:rFonts w:ascii="Times New Roman" w:hAnsi="Times New Roman" w:cs="Times New Roman" w:hint="default"/>
      <w:color w:val="000000"/>
      <w:sz w:val="18"/>
      <w:szCs w:val="18"/>
      <w:u w:val="none"/>
    </w:rPr>
  </w:style>
  <w:style w:type="character" w:customStyle="1" w:styleId="lemmatitleh11">
    <w:name w:val="lemmatitleh11"/>
    <w:basedOn w:val="ab"/>
    <w:qFormat/>
  </w:style>
  <w:style w:type="character" w:customStyle="1" w:styleId="Char16">
    <w:name w:val="报告表正文 Char1"/>
    <w:link w:val="afffff1"/>
    <w:qFormat/>
    <w:rPr>
      <w:sz w:val="24"/>
    </w:rPr>
  </w:style>
  <w:style w:type="character" w:customStyle="1" w:styleId="85pt5">
    <w:name w:val="正文文本 + 8.5 pt5"/>
    <w:qFormat/>
    <w:rPr>
      <w:rFonts w:ascii="MingLiU" w:eastAsia="MingLiU" w:cs="MingLiU"/>
      <w:b/>
      <w:bCs/>
      <w:spacing w:val="0"/>
      <w:kern w:val="2"/>
      <w:sz w:val="17"/>
      <w:szCs w:val="17"/>
      <w:u w:val="none"/>
      <w:lang w:val="en-US" w:eastAsia="zh-CN" w:bidi="ar-SA"/>
    </w:rPr>
  </w:style>
  <w:style w:type="character" w:customStyle="1" w:styleId="GB23122Char">
    <w:name w:val="样式 报告表正文 + (符号) 楷体_GB2312 首行缩进:  2 字符 Char"/>
    <w:link w:val="GB23122"/>
    <w:qFormat/>
    <w:rPr>
      <w:rFonts w:eastAsia="楷体_GB2312"/>
      <w:kern w:val="2"/>
      <w:sz w:val="24"/>
      <w:szCs w:val="24"/>
    </w:rPr>
  </w:style>
  <w:style w:type="paragraph" w:customStyle="1" w:styleId="GB23122">
    <w:name w:val="样式 报告表正文 + (符号) 楷体_GB2312 首行缩进:  2 字符"/>
    <w:basedOn w:val="a9"/>
    <w:link w:val="GB23122Char"/>
    <w:qFormat/>
    <w:pPr>
      <w:spacing w:line="360" w:lineRule="auto"/>
      <w:ind w:firstLine="482"/>
    </w:pPr>
    <w:rPr>
      <w:rFonts w:eastAsia="楷体_GB2312"/>
      <w:sz w:val="24"/>
    </w:rPr>
  </w:style>
  <w:style w:type="character" w:customStyle="1" w:styleId="CharChar8">
    <w:name w:val="正 Char Char"/>
    <w:link w:val="afffffe"/>
    <w:qFormat/>
    <w:rPr>
      <w:kern w:val="2"/>
      <w:sz w:val="24"/>
    </w:rPr>
  </w:style>
  <w:style w:type="paragraph" w:customStyle="1" w:styleId="afffffe">
    <w:name w:val="正"/>
    <w:basedOn w:val="a9"/>
    <w:link w:val="CharChar8"/>
    <w:qFormat/>
    <w:pPr>
      <w:widowControl/>
      <w:spacing w:after="60" w:line="360" w:lineRule="auto"/>
      <w:ind w:firstLineChars="200" w:firstLine="200"/>
      <w:jc w:val="left"/>
    </w:pPr>
    <w:rPr>
      <w:kern w:val="2"/>
      <w:sz w:val="24"/>
    </w:rPr>
  </w:style>
  <w:style w:type="character" w:customStyle="1" w:styleId="Charff9">
    <w:name w:val="市环科院正文 Char"/>
    <w:link w:val="affffff"/>
    <w:qFormat/>
    <w:rPr>
      <w:sz w:val="24"/>
      <w:szCs w:val="24"/>
    </w:rPr>
  </w:style>
  <w:style w:type="paragraph" w:customStyle="1" w:styleId="affffff">
    <w:name w:val="市环科院正文"/>
    <w:basedOn w:val="a9"/>
    <w:link w:val="Charff9"/>
    <w:qFormat/>
    <w:pPr>
      <w:spacing w:line="300" w:lineRule="auto"/>
      <w:ind w:firstLineChars="200" w:firstLine="480"/>
    </w:pPr>
    <w:rPr>
      <w:sz w:val="24"/>
    </w:rPr>
  </w:style>
  <w:style w:type="character" w:customStyle="1" w:styleId="2Char4">
    <w:name w:val="表格标题2 Char"/>
    <w:link w:val="2f4"/>
    <w:qFormat/>
    <w:rPr>
      <w:b/>
      <w:bCs/>
      <w:color w:val="000000"/>
      <w:kern w:val="2"/>
      <w:sz w:val="24"/>
      <w:szCs w:val="24"/>
    </w:rPr>
  </w:style>
  <w:style w:type="paragraph" w:customStyle="1" w:styleId="2f4">
    <w:name w:val="表格标题2"/>
    <w:basedOn w:val="23"/>
    <w:link w:val="2Char4"/>
    <w:qFormat/>
    <w:pPr>
      <w:adjustRightInd w:val="0"/>
      <w:snapToGrid w:val="0"/>
      <w:spacing w:after="0" w:line="360" w:lineRule="auto"/>
      <w:ind w:leftChars="0" w:left="0"/>
      <w:jc w:val="center"/>
    </w:pPr>
    <w:rPr>
      <w:b/>
      <w:bCs/>
      <w:color w:val="000000"/>
      <w:sz w:val="24"/>
    </w:rPr>
  </w:style>
  <w:style w:type="character" w:customStyle="1" w:styleId="1-Char0">
    <w:name w:val="1-君邦正文格式 Char"/>
    <w:link w:val="1-0"/>
    <w:qFormat/>
    <w:locked/>
    <w:rPr>
      <w:bCs/>
      <w:sz w:val="24"/>
    </w:rPr>
  </w:style>
  <w:style w:type="paragraph" w:customStyle="1" w:styleId="1-0">
    <w:name w:val="1-君邦正文格式"/>
    <w:basedOn w:val="a9"/>
    <w:link w:val="1-Char0"/>
    <w:qFormat/>
    <w:pPr>
      <w:widowControl/>
      <w:spacing w:after="60" w:line="360" w:lineRule="auto"/>
      <w:ind w:firstLineChars="200" w:firstLine="480"/>
    </w:pPr>
    <w:rPr>
      <w:bCs/>
      <w:sz w:val="24"/>
    </w:rPr>
  </w:style>
  <w:style w:type="character" w:customStyle="1" w:styleId="Char1b">
    <w:name w:val="列出段落 Char1"/>
    <w:qFormat/>
    <w:rPr>
      <w:kern w:val="2"/>
      <w:sz w:val="24"/>
      <w:szCs w:val="24"/>
    </w:rPr>
  </w:style>
  <w:style w:type="character" w:customStyle="1" w:styleId="affffff0">
    <w:name w:val="题注 字符"/>
    <w:qFormat/>
    <w:locked/>
    <w:rPr>
      <w:rFonts w:ascii="Arial" w:eastAsia="黑体" w:hAnsi="Arial"/>
    </w:rPr>
  </w:style>
  <w:style w:type="character" w:customStyle="1" w:styleId="affffff1">
    <w:name w:val="表格正文 字符"/>
    <w:qFormat/>
    <w:rPr>
      <w:rFonts w:ascii="仿宋_GB2312" w:eastAsia="仿宋_GB2312"/>
      <w:snapToGrid/>
      <w:sz w:val="24"/>
    </w:rPr>
  </w:style>
  <w:style w:type="character" w:customStyle="1" w:styleId="Char2">
    <w:name w:val="注释标题 Char2"/>
    <w:link w:val="af3"/>
    <w:qFormat/>
    <w:rPr>
      <w:kern w:val="2"/>
      <w:sz w:val="21"/>
      <w:szCs w:val="24"/>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affffff2">
    <w:name w:val="批注文字 字符"/>
    <w:qFormat/>
    <w:locked/>
    <w:rPr>
      <w:rFonts w:ascii="Times New Roman" w:hAnsi="Times New Roman" w:cs="Times New Roman"/>
      <w:kern w:val="2"/>
      <w:sz w:val="21"/>
    </w:rPr>
  </w:style>
  <w:style w:type="character" w:customStyle="1" w:styleId="fontstyle11">
    <w:name w:val="fontstyle11"/>
    <w:qFormat/>
    <w:rPr>
      <w:rFonts w:ascii="宋体" w:eastAsia="宋体" w:hAnsi="宋体" w:hint="eastAsia"/>
      <w:color w:val="000000"/>
      <w:sz w:val="24"/>
      <w:szCs w:val="24"/>
    </w:rPr>
  </w:style>
  <w:style w:type="character" w:customStyle="1" w:styleId="Charffa">
    <w:name w:val="表格内容 Char"/>
    <w:link w:val="affffff3"/>
    <w:qFormat/>
    <w:rPr>
      <w:rFonts w:ascii="宋体"/>
      <w:bCs/>
      <w:sz w:val="21"/>
    </w:rPr>
  </w:style>
  <w:style w:type="paragraph" w:customStyle="1" w:styleId="affffff3">
    <w:name w:val="表格内容"/>
    <w:basedOn w:val="a9"/>
    <w:link w:val="Charffa"/>
    <w:qFormat/>
    <w:pPr>
      <w:widowControl/>
      <w:spacing w:line="240" w:lineRule="atLeast"/>
      <w:ind w:rightChars="-45" w:right="-108"/>
      <w:jc w:val="left"/>
    </w:pPr>
    <w:rPr>
      <w:rFonts w:ascii="宋体"/>
      <w:bCs/>
    </w:rPr>
  </w:style>
  <w:style w:type="character" w:customStyle="1" w:styleId="210">
    <w:name w:val="标题 2 字符1"/>
    <w:qFormat/>
    <w:rPr>
      <w:rFonts w:eastAsia="黑体"/>
      <w:b/>
      <w:kern w:val="2"/>
      <w:sz w:val="32"/>
    </w:rPr>
  </w:style>
  <w:style w:type="character" w:customStyle="1" w:styleId="1f7">
    <w:name w:val="未处理的提及1"/>
    <w:uiPriority w:val="99"/>
    <w:unhideWhenUsed/>
    <w:qFormat/>
    <w:rPr>
      <w:color w:val="605E5C"/>
      <w:shd w:val="clear" w:color="auto" w:fill="E1DFDD"/>
    </w:rPr>
  </w:style>
  <w:style w:type="character" w:customStyle="1" w:styleId="affffff4">
    <w:name w:val="列出段落 字符"/>
    <w:qFormat/>
    <w:locked/>
    <w:rPr>
      <w:rFonts w:ascii="Times New Roman" w:hAnsi="Times New Roman" w:cs="Times New Roman"/>
      <w:sz w:val="24"/>
    </w:rPr>
  </w:style>
  <w:style w:type="character" w:customStyle="1" w:styleId="0000Char">
    <w:name w:val="表格0000 Char"/>
    <w:link w:val="0000"/>
    <w:qFormat/>
    <w:rPr>
      <w:sz w:val="18"/>
    </w:rPr>
  </w:style>
  <w:style w:type="paragraph" w:customStyle="1" w:styleId="0000">
    <w:name w:val="表格0000"/>
    <w:basedOn w:val="a9"/>
    <w:link w:val="0000Char"/>
    <w:qFormat/>
    <w:pPr>
      <w:jc w:val="center"/>
      <w:textAlignment w:val="center"/>
    </w:pPr>
    <w:rPr>
      <w:sz w:val="18"/>
    </w:rPr>
  </w:style>
  <w:style w:type="character" w:styleId="affffff5">
    <w:name w:val="Placeholder Text"/>
    <w:uiPriority w:val="99"/>
    <w:qFormat/>
    <w:rPr>
      <w:color w:val="808080"/>
    </w:rPr>
  </w:style>
  <w:style w:type="character" w:customStyle="1" w:styleId="ksfindclass">
    <w:name w:val="ksfind_class"/>
    <w:qFormat/>
  </w:style>
  <w:style w:type="character" w:customStyle="1" w:styleId="Charffb">
    <w:name w:val="样式表内容 Char"/>
    <w:link w:val="affffff6"/>
    <w:qFormat/>
    <w:rPr>
      <w:rFonts w:ascii="宋体" w:hAnsi="宋体"/>
      <w:kern w:val="2"/>
      <w:sz w:val="18"/>
      <w:szCs w:val="18"/>
      <w:lang w:val="zh-CN"/>
    </w:rPr>
  </w:style>
  <w:style w:type="paragraph" w:customStyle="1" w:styleId="affffff6">
    <w:name w:val="样式表内容"/>
    <w:basedOn w:val="a9"/>
    <w:link w:val="Charffb"/>
    <w:qFormat/>
    <w:pPr>
      <w:widowControl/>
      <w:spacing w:line="240" w:lineRule="exact"/>
      <w:ind w:leftChars="-51" w:left="-107" w:rightChars="-49" w:right="-103"/>
      <w:jc w:val="center"/>
    </w:pPr>
    <w:rPr>
      <w:rFonts w:ascii="宋体" w:hAnsi="宋体"/>
      <w:sz w:val="18"/>
      <w:szCs w:val="18"/>
      <w:lang w:val="zh-CN"/>
    </w:rPr>
  </w:style>
  <w:style w:type="character" w:customStyle="1" w:styleId="ksfindclassselect">
    <w:name w:val="ksfind_class_select"/>
    <w:qFormat/>
  </w:style>
  <w:style w:type="character" w:customStyle="1" w:styleId="1f8">
    <w:name w:val="日期 字符1"/>
    <w:uiPriority w:val="99"/>
    <w:qFormat/>
    <w:rPr>
      <w:kern w:val="2"/>
      <w:sz w:val="21"/>
    </w:rPr>
  </w:style>
  <w:style w:type="character" w:customStyle="1" w:styleId="affffff7">
    <w:name w:val="样式 (西文) 黑体 (中文) 黑体 二号"/>
    <w:qFormat/>
    <w:rPr>
      <w:rFonts w:ascii="黑体" w:eastAsia="黑体" w:hAnsi="黑体"/>
      <w:sz w:val="44"/>
    </w:rPr>
  </w:style>
  <w:style w:type="character" w:customStyle="1" w:styleId="Char1c">
    <w:name w:val="表格文字 Char1"/>
    <w:qFormat/>
    <w:rPr>
      <w:rFonts w:ascii="Times New Roman" w:eastAsia="宋体" w:hAnsi="Times New Roman" w:cs="Times New Roman"/>
      <w:szCs w:val="24"/>
    </w:rPr>
  </w:style>
  <w:style w:type="character" w:customStyle="1" w:styleId="affffff8">
    <w:name w:val="纯文本 字符"/>
    <w:qFormat/>
    <w:rPr>
      <w:rFonts w:ascii="宋体" w:eastAsia="宋体" w:hAnsi="Courier New" w:cs="Courier New"/>
      <w:kern w:val="2"/>
      <w:sz w:val="21"/>
      <w:szCs w:val="21"/>
      <w:lang w:val="en-US" w:eastAsia="zh-CN" w:bidi="ar-SA"/>
    </w:rPr>
  </w:style>
  <w:style w:type="character" w:customStyle="1" w:styleId="affffff9">
    <w:name w:val="图表标题 字符"/>
    <w:qFormat/>
    <w:rPr>
      <w:rFonts w:ascii="Times New Roman" w:hAnsi="Times New Roman" w:cs="Times New Roman"/>
      <w:b/>
      <w:sz w:val="24"/>
    </w:rPr>
  </w:style>
  <w:style w:type="character" w:customStyle="1" w:styleId="affffffa">
    <w:name w:val="页眉 字符"/>
    <w:qFormat/>
    <w:rPr>
      <w:sz w:val="18"/>
      <w:szCs w:val="18"/>
    </w:rPr>
  </w:style>
  <w:style w:type="character" w:customStyle="1" w:styleId="affffffb">
    <w:name w:val="页脚 字符"/>
    <w:uiPriority w:val="99"/>
    <w:qFormat/>
    <w:rPr>
      <w:sz w:val="18"/>
      <w:szCs w:val="18"/>
    </w:rPr>
  </w:style>
  <w:style w:type="character" w:customStyle="1" w:styleId="1f9">
    <w:name w:val="标题 1 字符"/>
    <w:qFormat/>
    <w:rPr>
      <w:b/>
      <w:bCs/>
      <w:kern w:val="44"/>
      <w:sz w:val="44"/>
      <w:szCs w:val="44"/>
    </w:rPr>
  </w:style>
  <w:style w:type="character" w:customStyle="1" w:styleId="2Char">
    <w:name w:val="标题 2 Char"/>
    <w:link w:val="2"/>
    <w:qFormat/>
    <w:rPr>
      <w:rFonts w:eastAsia="黑体"/>
      <w:b/>
      <w:sz w:val="32"/>
    </w:rPr>
  </w:style>
  <w:style w:type="character" w:customStyle="1" w:styleId="3f1">
    <w:name w:val="标题 3 字符"/>
    <w:qFormat/>
    <w:rPr>
      <w:b/>
      <w:bCs/>
      <w:sz w:val="32"/>
      <w:szCs w:val="32"/>
    </w:rPr>
  </w:style>
  <w:style w:type="character" w:customStyle="1" w:styleId="4b">
    <w:name w:val="标题 4 字符"/>
    <w:qFormat/>
    <w:rPr>
      <w:rFonts w:ascii="等线 Light" w:eastAsia="等线 Light" w:hAnsi="等线 Light" w:cs="Times New Roman"/>
      <w:b/>
      <w:bCs/>
      <w:sz w:val="28"/>
      <w:szCs w:val="28"/>
    </w:rPr>
  </w:style>
  <w:style w:type="character" w:customStyle="1" w:styleId="5a">
    <w:name w:val="标题 5 字符"/>
    <w:qFormat/>
    <w:rPr>
      <w:b/>
      <w:bCs/>
      <w:sz w:val="28"/>
      <w:szCs w:val="28"/>
    </w:rPr>
  </w:style>
  <w:style w:type="character" w:customStyle="1" w:styleId="6Char">
    <w:name w:val="标题 6 Char"/>
    <w:link w:val="6"/>
    <w:qFormat/>
    <w:rPr>
      <w:rFonts w:ascii="宋体"/>
      <w:sz w:val="24"/>
    </w:rPr>
  </w:style>
  <w:style w:type="character" w:customStyle="1" w:styleId="7Char">
    <w:name w:val="标题 7 Char"/>
    <w:link w:val="7"/>
    <w:qFormat/>
    <w:rPr>
      <w:color w:val="008000"/>
      <w:sz w:val="28"/>
    </w:rPr>
  </w:style>
  <w:style w:type="character" w:customStyle="1" w:styleId="8Char">
    <w:name w:val="标题 8 Char"/>
    <w:link w:val="8"/>
    <w:qFormat/>
    <w:rPr>
      <w:color w:val="008000"/>
      <w:sz w:val="28"/>
    </w:rPr>
  </w:style>
  <w:style w:type="character" w:customStyle="1" w:styleId="9Char2">
    <w:name w:val="标题 9 Char2"/>
    <w:link w:val="9"/>
    <w:qFormat/>
    <w:rPr>
      <w:rFonts w:ascii="Arial" w:eastAsia="黑体" w:hAnsi="Arial"/>
      <w:sz w:val="24"/>
    </w:rPr>
  </w:style>
  <w:style w:type="character" w:customStyle="1" w:styleId="Char23">
    <w:name w:val="正文文本缩进 Char2"/>
    <w:link w:val="afe"/>
    <w:uiPriority w:val="99"/>
    <w:qFormat/>
    <w:rPr>
      <w:color w:val="008000"/>
      <w:kern w:val="2"/>
      <w:sz w:val="21"/>
    </w:rPr>
  </w:style>
  <w:style w:type="character" w:customStyle="1" w:styleId="Char6">
    <w:name w:val="正文文本 Char"/>
    <w:link w:val="afd"/>
    <w:qFormat/>
    <w:rPr>
      <w:rFonts w:ascii="Times" w:hAnsi="Times"/>
      <w:kern w:val="24"/>
      <w:sz w:val="24"/>
      <w:szCs w:val="24"/>
    </w:rPr>
  </w:style>
  <w:style w:type="character" w:customStyle="1" w:styleId="Char5">
    <w:name w:val="文档结构图 Char"/>
    <w:link w:val="af9"/>
    <w:qFormat/>
    <w:rPr>
      <w:kern w:val="2"/>
      <w:sz w:val="21"/>
      <w:szCs w:val="24"/>
      <w:shd w:val="clear" w:color="auto" w:fill="000080"/>
    </w:rPr>
  </w:style>
  <w:style w:type="character" w:customStyle="1" w:styleId="affffffc">
    <w:name w:val="批注框文本 字符"/>
    <w:qFormat/>
    <w:rPr>
      <w:sz w:val="18"/>
      <w:szCs w:val="18"/>
    </w:rPr>
  </w:style>
  <w:style w:type="character" w:customStyle="1" w:styleId="Char24">
    <w:name w:val="日期 Char2"/>
    <w:link w:val="aff2"/>
    <w:qFormat/>
    <w:rPr>
      <w:kern w:val="2"/>
      <w:sz w:val="21"/>
    </w:rPr>
  </w:style>
  <w:style w:type="character" w:customStyle="1" w:styleId="Char0">
    <w:name w:val="批注主题 Char"/>
    <w:link w:val="ae"/>
    <w:qFormat/>
    <w:rPr>
      <w:b/>
      <w:bCs/>
      <w:kern w:val="2"/>
      <w:sz w:val="21"/>
      <w:szCs w:val="24"/>
    </w:rPr>
  </w:style>
  <w:style w:type="character" w:customStyle="1" w:styleId="2Char2">
    <w:name w:val="正文首行缩进 2 Char2"/>
    <w:link w:val="24"/>
    <w:qFormat/>
    <w:rPr>
      <w:rFonts w:ascii="宋体"/>
      <w:kern w:val="2"/>
      <w:sz w:val="24"/>
      <w:szCs w:val="28"/>
    </w:rPr>
  </w:style>
  <w:style w:type="character" w:customStyle="1" w:styleId="2Char20">
    <w:name w:val="正文文本 2 Char2"/>
    <w:link w:val="26"/>
    <w:qFormat/>
    <w:rPr>
      <w:spacing w:val="-8"/>
      <w:kern w:val="2"/>
      <w:sz w:val="18"/>
      <w:szCs w:val="24"/>
    </w:rPr>
  </w:style>
  <w:style w:type="character" w:customStyle="1" w:styleId="Char3">
    <w:name w:val="正文首行缩进 Char3"/>
    <w:link w:val="af0"/>
    <w:qFormat/>
    <w:rPr>
      <w:kern w:val="2"/>
      <w:sz w:val="24"/>
      <w:szCs w:val="24"/>
    </w:rPr>
  </w:style>
  <w:style w:type="character" w:customStyle="1" w:styleId="3Char2">
    <w:name w:val="正文文本 3 Char2"/>
    <w:link w:val="31"/>
    <w:qFormat/>
    <w:rPr>
      <w:kern w:val="2"/>
      <w:sz w:val="28"/>
      <w:szCs w:val="24"/>
    </w:rPr>
  </w:style>
  <w:style w:type="character" w:customStyle="1" w:styleId="HTMLChar2">
    <w:name w:val="HTML 地址 Char2"/>
    <w:link w:val="HTML"/>
    <w:qFormat/>
    <w:rPr>
      <w:i/>
      <w:iCs/>
      <w:kern w:val="2"/>
      <w:sz w:val="21"/>
      <w:szCs w:val="24"/>
    </w:rPr>
  </w:style>
  <w:style w:type="character" w:customStyle="1" w:styleId="Char29">
    <w:name w:val="标题 Char2"/>
    <w:link w:val="afff0"/>
    <w:uiPriority w:val="10"/>
    <w:qFormat/>
    <w:rPr>
      <w:rFonts w:ascii="Arial" w:hAnsi="Arial" w:cs="Arial"/>
      <w:b/>
      <w:bCs/>
      <w:kern w:val="2"/>
      <w:sz w:val="32"/>
      <w:szCs w:val="32"/>
    </w:rPr>
  </w:style>
  <w:style w:type="character" w:customStyle="1" w:styleId="Char30">
    <w:name w:val="称呼 Char3"/>
    <w:link w:val="afb"/>
    <w:qFormat/>
    <w:rPr>
      <w:kern w:val="2"/>
      <w:sz w:val="21"/>
      <w:szCs w:val="24"/>
    </w:rPr>
  </w:style>
  <w:style w:type="character" w:customStyle="1" w:styleId="Char20">
    <w:name w:val="电子邮件签名 Char2"/>
    <w:link w:val="af4"/>
    <w:qFormat/>
    <w:rPr>
      <w:kern w:val="2"/>
      <w:sz w:val="21"/>
      <w:szCs w:val="24"/>
    </w:rPr>
  </w:style>
  <w:style w:type="character" w:customStyle="1" w:styleId="Char27">
    <w:name w:val="副标题 Char2"/>
    <w:link w:val="affa"/>
    <w:qFormat/>
    <w:rPr>
      <w:rFonts w:ascii="Arial" w:hAnsi="Arial" w:cs="Arial"/>
      <w:b/>
      <w:bCs/>
      <w:kern w:val="28"/>
      <w:sz w:val="32"/>
      <w:szCs w:val="32"/>
    </w:rPr>
  </w:style>
  <w:style w:type="character" w:customStyle="1" w:styleId="Char22">
    <w:name w:val="结束语 Char2"/>
    <w:link w:val="afc"/>
    <w:qFormat/>
    <w:rPr>
      <w:kern w:val="2"/>
      <w:sz w:val="21"/>
      <w:szCs w:val="24"/>
    </w:rPr>
  </w:style>
  <w:style w:type="character" w:customStyle="1" w:styleId="Char26">
    <w:name w:val="签名 Char2"/>
    <w:link w:val="aff8"/>
    <w:qFormat/>
    <w:rPr>
      <w:kern w:val="2"/>
      <w:sz w:val="21"/>
      <w:szCs w:val="24"/>
    </w:rPr>
  </w:style>
  <w:style w:type="character" w:customStyle="1" w:styleId="Char28">
    <w:name w:val="信息标题 Char2"/>
    <w:link w:val="affe"/>
    <w:qFormat/>
    <w:rPr>
      <w:rFonts w:ascii="Arial" w:hAnsi="Arial" w:cs="Arial"/>
      <w:kern w:val="2"/>
      <w:sz w:val="24"/>
      <w:szCs w:val="24"/>
      <w:shd w:val="pct20" w:color="auto" w:fill="auto"/>
    </w:rPr>
  </w:style>
  <w:style w:type="character" w:customStyle="1" w:styleId="3Char">
    <w:name w:val="正文文本缩进 3 Char"/>
    <w:link w:val="36"/>
    <w:qFormat/>
    <w:rPr>
      <w:kern w:val="2"/>
      <w:sz w:val="16"/>
      <w:szCs w:val="16"/>
    </w:rPr>
  </w:style>
  <w:style w:type="character" w:customStyle="1" w:styleId="2f5">
    <w:name w:val="正文文本缩进 2 字符"/>
    <w:qFormat/>
  </w:style>
  <w:style w:type="character" w:customStyle="1" w:styleId="HTMLChar">
    <w:name w:val="HTML 预设格式 Char"/>
    <w:link w:val="HTML0"/>
    <w:qFormat/>
    <w:rPr>
      <w:rFonts w:ascii="黑体" w:eastAsia="黑体" w:hAnsi="Courier New" w:cs="Courier New"/>
    </w:rPr>
  </w:style>
  <w:style w:type="character" w:customStyle="1" w:styleId="Char9">
    <w:name w:val="脚注文本 Char"/>
    <w:link w:val="affc"/>
    <w:qFormat/>
    <w:rPr>
      <w:kern w:val="2"/>
      <w:sz w:val="18"/>
      <w:szCs w:val="18"/>
    </w:rPr>
  </w:style>
  <w:style w:type="character" w:customStyle="1" w:styleId="410">
    <w:name w:val="标题 4 字符1"/>
    <w:qFormat/>
    <w:rPr>
      <w:rFonts w:ascii="Times New Roman" w:eastAsia="宋体" w:hAnsi="Times New Roman" w:cs="Times New Roman"/>
      <w:b/>
      <w:kern w:val="0"/>
      <w:sz w:val="24"/>
      <w:szCs w:val="24"/>
    </w:rPr>
  </w:style>
  <w:style w:type="character" w:customStyle="1" w:styleId="510">
    <w:name w:val="标题 5 字符1"/>
    <w:qFormat/>
    <w:rPr>
      <w:rFonts w:ascii="Times New Roman" w:eastAsia="宋体" w:hAnsi="Times New Roman" w:cs="Times New Roman"/>
      <w:b/>
      <w:sz w:val="24"/>
      <w:szCs w:val="20"/>
    </w:rPr>
  </w:style>
  <w:style w:type="character" w:customStyle="1" w:styleId="CharChar17">
    <w:name w:val="Char Char17"/>
    <w:link w:val="Charffc"/>
    <w:qFormat/>
    <w:rPr>
      <w:rFonts w:ascii="宋体" w:hAnsi="宋体" w:cs="宋体"/>
      <w:kern w:val="2"/>
      <w:sz w:val="24"/>
      <w:szCs w:val="24"/>
    </w:rPr>
  </w:style>
  <w:style w:type="paragraph" w:customStyle="1" w:styleId="Charffc">
    <w:name w:val="Char"/>
    <w:basedOn w:val="a9"/>
    <w:link w:val="CharChar17"/>
    <w:qFormat/>
    <w:pPr>
      <w:spacing w:line="360" w:lineRule="auto"/>
      <w:jc w:val="left"/>
    </w:pPr>
    <w:rPr>
      <w:rFonts w:ascii="宋体" w:hAnsi="宋体" w:cs="宋体"/>
      <w:sz w:val="24"/>
    </w:rPr>
  </w:style>
  <w:style w:type="character" w:customStyle="1" w:styleId="121">
    <w:name w:val="标题12"/>
    <w:qFormat/>
  </w:style>
  <w:style w:type="character" w:customStyle="1" w:styleId="CharChar27">
    <w:name w:val="Char Char27"/>
    <w:qFormat/>
    <w:rPr>
      <w:rFonts w:eastAsia="宋体"/>
      <w:kern w:val="2"/>
      <w:sz w:val="18"/>
      <w:lang w:val="en-US" w:eastAsia="zh-CN" w:bidi="ar-SA"/>
    </w:rPr>
  </w:style>
  <w:style w:type="character" w:customStyle="1" w:styleId="211">
    <w:name w:val="正文文本缩进 2 字符1"/>
    <w:qFormat/>
    <w:rPr>
      <w:rFonts w:ascii="Times New Roman" w:eastAsia="宋体" w:hAnsi="Times New Roman" w:cs="Times New Roman"/>
      <w:szCs w:val="24"/>
    </w:rPr>
  </w:style>
  <w:style w:type="character" w:customStyle="1" w:styleId="1fa">
    <w:name w:val="纯文本 字符1"/>
    <w:qFormat/>
    <w:rPr>
      <w:rFonts w:ascii="宋体" w:eastAsia="宋体" w:hAnsi="Courier New" w:cs="Times New Roman"/>
      <w:szCs w:val="20"/>
    </w:rPr>
  </w:style>
  <w:style w:type="character" w:customStyle="1" w:styleId="affffffd">
    <w:name w:val="正文缩进 字符"/>
    <w:qFormat/>
    <w:rPr>
      <w:rFonts w:ascii="Times New Roman" w:eastAsia="宋体" w:hAnsi="Times New Roman" w:cs="Times New Roman"/>
      <w:sz w:val="24"/>
      <w:szCs w:val="20"/>
    </w:rPr>
  </w:style>
  <w:style w:type="character" w:customStyle="1" w:styleId="311">
    <w:name w:val="标题 3 字符1"/>
    <w:qFormat/>
    <w:rPr>
      <w:rFonts w:ascii="Times New Roman" w:eastAsia="黑体" w:hAnsi="Times New Roman" w:cs="Times New Roman"/>
      <w:b/>
      <w:sz w:val="24"/>
      <w:szCs w:val="20"/>
    </w:rPr>
  </w:style>
  <w:style w:type="character" w:customStyle="1" w:styleId="CharChar45">
    <w:name w:val="Char Char45"/>
    <w:qFormat/>
    <w:rPr>
      <w:rFonts w:ascii="Times New Roman" w:eastAsia="宋体" w:hAnsi="Times New Roman" w:cs="Times New Roman"/>
      <w:sz w:val="18"/>
      <w:szCs w:val="18"/>
    </w:rPr>
  </w:style>
  <w:style w:type="character" w:customStyle="1" w:styleId="affffffe">
    <w:name w:val="列表 字符"/>
    <w:qFormat/>
    <w:rPr>
      <w:rFonts w:ascii="Times New Roman" w:eastAsia="宋体" w:hAnsi="Times New Roman" w:cs="Times New Roman"/>
      <w:szCs w:val="20"/>
    </w:rPr>
  </w:style>
  <w:style w:type="character" w:customStyle="1" w:styleId="CharCharCharChar17">
    <w:name w:val="Char Char Char Char17"/>
    <w:qFormat/>
    <w:rPr>
      <w:rFonts w:eastAsia="宋体"/>
      <w:color w:val="000000"/>
      <w:kern w:val="2"/>
      <w:sz w:val="18"/>
      <w:szCs w:val="24"/>
      <w:lang w:val="en-US" w:eastAsia="zh-CN" w:bidi="ar-SA"/>
    </w:rPr>
  </w:style>
  <w:style w:type="character" w:customStyle="1" w:styleId="111">
    <w:name w:val="标题 1 字符1"/>
    <w:uiPriority w:val="9"/>
    <w:qFormat/>
    <w:rPr>
      <w:rFonts w:ascii="Times New Roman" w:eastAsia="宋体" w:hAnsi="Times New Roman" w:cs="Times New Roman"/>
      <w:b/>
      <w:kern w:val="44"/>
      <w:sz w:val="32"/>
      <w:szCs w:val="20"/>
    </w:rPr>
  </w:style>
  <w:style w:type="character" w:customStyle="1" w:styleId="1fb">
    <w:name w:val="批注框文本 字符1"/>
    <w:uiPriority w:val="99"/>
    <w:qFormat/>
    <w:rPr>
      <w:rFonts w:ascii="Times New Roman" w:eastAsia="宋体" w:hAnsi="Times New Roman" w:cs="Times New Roman"/>
      <w:sz w:val="18"/>
      <w:szCs w:val="18"/>
    </w:rPr>
  </w:style>
  <w:style w:type="character" w:customStyle="1" w:styleId="ksfindclass1">
    <w:name w:val="ksfind_class1"/>
    <w:qFormat/>
    <w:rPr>
      <w:color w:val="000000"/>
      <w:shd w:val="clear" w:color="auto" w:fill="FFF497"/>
    </w:rPr>
  </w:style>
  <w:style w:type="character" w:customStyle="1" w:styleId="apple-converted-space">
    <w:name w:val="apple-converted-space"/>
    <w:qFormat/>
  </w:style>
  <w:style w:type="character" w:customStyle="1" w:styleId="infodetail1">
    <w:name w:val="infodetail1"/>
    <w:semiHidden/>
    <w:qFormat/>
    <w:rPr>
      <w:color w:val="000000"/>
      <w:spacing w:val="31680"/>
      <w:sz w:val="24"/>
      <w:szCs w:val="24"/>
      <w:u w:val="none"/>
    </w:rPr>
  </w:style>
  <w:style w:type="character" w:customStyle="1" w:styleId="1fc">
    <w:name w:val="批注文字 字符1"/>
    <w:qFormat/>
    <w:locked/>
    <w:rPr>
      <w:kern w:val="2"/>
      <w:sz w:val="21"/>
      <w:szCs w:val="24"/>
    </w:rPr>
  </w:style>
  <w:style w:type="character" w:customStyle="1" w:styleId="unnamed21">
    <w:name w:val="unnamed21"/>
    <w:qFormat/>
    <w:rPr>
      <w:rFonts w:ascii="宋体" w:eastAsia="宋体" w:hAnsi="宋体" w:hint="eastAsia"/>
      <w:sz w:val="18"/>
      <w:szCs w:val="18"/>
      <w:u w:val="none"/>
    </w:rPr>
  </w:style>
  <w:style w:type="character" w:customStyle="1" w:styleId="1fd">
    <w:name w:val="不明显参考1"/>
    <w:uiPriority w:val="31"/>
    <w:qFormat/>
    <w:rPr>
      <w:smallCaps/>
      <w:color w:val="5A5A5A"/>
    </w:rPr>
  </w:style>
  <w:style w:type="character" w:customStyle="1" w:styleId="Char2d">
    <w:name w:val="列出段落 Char2"/>
    <w:link w:val="afffffff"/>
    <w:qFormat/>
    <w:rPr>
      <w:b/>
      <w:bCs/>
      <w:kern w:val="2"/>
      <w:sz w:val="24"/>
      <w:szCs w:val="24"/>
    </w:rPr>
  </w:style>
  <w:style w:type="paragraph" w:styleId="afffffff">
    <w:name w:val="List Paragraph"/>
    <w:basedOn w:val="a9"/>
    <w:link w:val="Char2d"/>
    <w:qFormat/>
    <w:pPr>
      <w:ind w:left="720"/>
      <w:contextualSpacing/>
    </w:pPr>
    <w:rPr>
      <w:b/>
      <w:bCs/>
      <w:sz w:val="24"/>
    </w:rPr>
  </w:style>
  <w:style w:type="character" w:customStyle="1" w:styleId="NormalCharacter">
    <w:name w:val="NormalCharacter"/>
    <w:qFormat/>
  </w:style>
  <w:style w:type="character" w:customStyle="1" w:styleId="1fe">
    <w:name w:val="正文缩进 字符1"/>
    <w:qFormat/>
    <w:rPr>
      <w:kern w:val="2"/>
      <w:sz w:val="24"/>
    </w:rPr>
  </w:style>
  <w:style w:type="character" w:customStyle="1" w:styleId="1ff">
    <w:name w:val="页眉 字符1"/>
    <w:uiPriority w:val="99"/>
    <w:qFormat/>
    <w:rPr>
      <w:rFonts w:eastAsia="宋体"/>
      <w:kern w:val="2"/>
      <w:sz w:val="18"/>
      <w:szCs w:val="18"/>
      <w:lang w:val="en-US" w:eastAsia="zh-CN" w:bidi="ar-SA"/>
    </w:rPr>
  </w:style>
  <w:style w:type="character" w:customStyle="1" w:styleId="font151">
    <w:name w:val="font151"/>
    <w:qFormat/>
    <w:rPr>
      <w:rFonts w:ascii="宋体" w:eastAsia="宋体" w:hAnsi="宋体" w:cs="宋体" w:hint="eastAsia"/>
      <w:color w:val="000000"/>
      <w:sz w:val="20"/>
      <w:szCs w:val="20"/>
      <w:u w:val="none"/>
      <w:vertAlign w:val="superscript"/>
    </w:rPr>
  </w:style>
  <w:style w:type="character" w:customStyle="1" w:styleId="font51">
    <w:name w:val="font51"/>
    <w:qFormat/>
    <w:rPr>
      <w:rFonts w:ascii="宋体" w:eastAsia="宋体" w:hAnsi="宋体" w:cs="宋体" w:hint="eastAsia"/>
      <w:color w:val="000000"/>
      <w:sz w:val="20"/>
      <w:szCs w:val="20"/>
      <w:u w:val="none"/>
    </w:rPr>
  </w:style>
  <w:style w:type="character" w:customStyle="1" w:styleId="font61">
    <w:name w:val="font61"/>
    <w:qFormat/>
    <w:rPr>
      <w:rFonts w:ascii="仿宋" w:eastAsia="仿宋" w:hAnsi="仿宋" w:cs="仿宋"/>
      <w:b/>
      <w:color w:val="000000"/>
      <w:sz w:val="21"/>
      <w:szCs w:val="21"/>
      <w:u w:val="none"/>
    </w:rPr>
  </w:style>
  <w:style w:type="character" w:customStyle="1" w:styleId="1ff0">
    <w:name w:val="页脚 字符1"/>
    <w:uiPriority w:val="99"/>
    <w:qFormat/>
    <w:rPr>
      <w:kern w:val="2"/>
      <w:sz w:val="18"/>
      <w:szCs w:val="18"/>
    </w:rPr>
  </w:style>
  <w:style w:type="character" w:customStyle="1" w:styleId="--Char">
    <w:name w:val="表头-报告书-君邦 Char"/>
    <w:link w:val="--"/>
    <w:qFormat/>
    <w:rPr>
      <w:rFonts w:eastAsia="黑体"/>
      <w:b/>
      <w:kern w:val="2"/>
      <w:sz w:val="24"/>
    </w:rPr>
  </w:style>
  <w:style w:type="paragraph" w:customStyle="1" w:styleId="--">
    <w:name w:val="表头-报告书-君邦"/>
    <w:basedOn w:val="a9"/>
    <w:link w:val="--Char"/>
    <w:qFormat/>
    <w:pPr>
      <w:spacing w:beforeLines="50" w:line="360" w:lineRule="auto"/>
      <w:jc w:val="center"/>
    </w:pPr>
    <w:rPr>
      <w:rFonts w:eastAsia="黑体"/>
      <w:b/>
      <w:sz w:val="24"/>
    </w:rPr>
  </w:style>
  <w:style w:type="character" w:customStyle="1" w:styleId="show-img-bd">
    <w:name w:val="show-img-bd"/>
    <w:basedOn w:val="ab"/>
    <w:qFormat/>
  </w:style>
  <w:style w:type="character" w:customStyle="1" w:styleId="1ff1">
    <w:name w:val="标题 字符1"/>
    <w:qFormat/>
    <w:rPr>
      <w:rFonts w:ascii="Arial" w:hAnsi="Arial" w:cs="Arial"/>
      <w:b/>
      <w:bCs/>
      <w:kern w:val="2"/>
      <w:sz w:val="32"/>
      <w:szCs w:val="32"/>
    </w:rPr>
  </w:style>
  <w:style w:type="character" w:customStyle="1" w:styleId="3Char3">
    <w:name w:val="样式3 Char"/>
    <w:link w:val="3f2"/>
    <w:qFormat/>
    <w:rPr>
      <w:rFonts w:eastAsia="黑体"/>
      <w:kern w:val="2"/>
      <w:sz w:val="24"/>
    </w:rPr>
  </w:style>
  <w:style w:type="paragraph" w:customStyle="1" w:styleId="3f2">
    <w:name w:val="样式3"/>
    <w:basedOn w:val="3"/>
    <w:link w:val="3Char3"/>
    <w:qFormat/>
    <w:pPr>
      <w:keepNext/>
      <w:keepLines/>
      <w:numPr>
        <w:ilvl w:val="0"/>
        <w:numId w:val="0"/>
      </w:numPr>
      <w:tabs>
        <w:tab w:val="clear" w:pos="720"/>
        <w:tab w:val="left" w:pos="709"/>
      </w:tabs>
      <w:spacing w:before="60" w:line="240" w:lineRule="atLeast"/>
      <w:ind w:left="709" w:hanging="709"/>
    </w:pPr>
    <w:rPr>
      <w:b w:val="0"/>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01">
    <w:name w:val="font101"/>
    <w:qFormat/>
    <w:rPr>
      <w:rFonts w:ascii="宋体" w:eastAsia="宋体" w:hAnsi="宋体" w:cs="宋体" w:hint="eastAsia"/>
      <w:color w:val="000000"/>
      <w:sz w:val="20"/>
      <w:szCs w:val="20"/>
      <w:u w:val="none"/>
      <w:vertAlign w:val="subscript"/>
    </w:rPr>
  </w:style>
  <w:style w:type="character" w:customStyle="1" w:styleId="Char1d">
    <w:name w:val="批注文字 Char1"/>
    <w:uiPriority w:val="99"/>
    <w:qFormat/>
    <w:rPr>
      <w:rFonts w:eastAsia="宋体"/>
      <w:kern w:val="2"/>
      <w:sz w:val="21"/>
      <w:szCs w:val="24"/>
      <w:lang w:val="en-US" w:eastAsia="zh-CN" w:bidi="ar-SA"/>
    </w:rPr>
  </w:style>
  <w:style w:type="character" w:customStyle="1" w:styleId="Charffd">
    <w:name w:val="君邦正文格式 Char"/>
    <w:link w:val="afffffff0"/>
    <w:qFormat/>
    <w:rPr>
      <w:bCs/>
      <w:snapToGrid/>
      <w:sz w:val="24"/>
    </w:rPr>
  </w:style>
  <w:style w:type="paragraph" w:customStyle="1" w:styleId="afffffff0">
    <w:name w:val="君邦正文格式"/>
    <w:basedOn w:val="affff7"/>
    <w:link w:val="Charffd"/>
    <w:qFormat/>
  </w:style>
  <w:style w:type="character" w:customStyle="1" w:styleId="3CharChar">
    <w:name w:val="样式3 Char Char"/>
    <w:qFormat/>
    <w:rPr>
      <w:kern w:val="2"/>
      <w:sz w:val="24"/>
      <w:szCs w:val="24"/>
    </w:rPr>
  </w:style>
  <w:style w:type="character" w:customStyle="1" w:styleId="1ff2">
    <w:name w:val="题注 字符1"/>
    <w:qFormat/>
    <w:rPr>
      <w:rFonts w:ascii="Arial" w:eastAsia="黑体" w:hAnsi="Arial" w:cs="Arial"/>
      <w:kern w:val="2"/>
    </w:rPr>
  </w:style>
  <w:style w:type="character" w:customStyle="1" w:styleId="-05Char">
    <w:name w:val="样式 表内格式 + 左  -0.5 字符 Char"/>
    <w:link w:val="-05"/>
    <w:qFormat/>
    <w:rPr>
      <w:color w:val="0000FF"/>
      <w:sz w:val="18"/>
      <w:szCs w:val="18"/>
    </w:rPr>
  </w:style>
  <w:style w:type="paragraph" w:customStyle="1" w:styleId="-05">
    <w:name w:val="样式 表内格式 + 左  -0.5 字符"/>
    <w:basedOn w:val="affff6"/>
    <w:link w:val="-05Char"/>
    <w:qFormat/>
    <w:pPr>
      <w:spacing w:line="0" w:lineRule="atLeast"/>
      <w:ind w:leftChars="-50" w:left="-105" w:rightChars="-50" w:right="-105"/>
    </w:pPr>
    <w:rPr>
      <w:color w:val="0000FF"/>
      <w:szCs w:val="18"/>
    </w:rPr>
  </w:style>
  <w:style w:type="character" w:customStyle="1" w:styleId="3f3">
    <w:name w:val="正文文本 (3)_"/>
    <w:link w:val="3f4"/>
    <w:qFormat/>
    <w:rPr>
      <w:rFonts w:ascii="宋体" w:hAnsi="宋体" w:cs="宋体"/>
      <w:color w:val="000000"/>
      <w:sz w:val="30"/>
      <w:szCs w:val="30"/>
      <w:shd w:val="clear" w:color="auto" w:fill="FFFFFF"/>
      <w:lang w:val="zh-CN" w:bidi="zh-CN"/>
    </w:rPr>
  </w:style>
  <w:style w:type="paragraph" w:customStyle="1" w:styleId="3f4">
    <w:name w:val="正文文本 (3)"/>
    <w:basedOn w:val="a9"/>
    <w:link w:val="3f3"/>
    <w:qFormat/>
    <w:pPr>
      <w:shd w:val="clear" w:color="auto" w:fill="FFFFFF"/>
      <w:spacing w:after="180" w:line="0" w:lineRule="atLeast"/>
      <w:jc w:val="right"/>
    </w:pPr>
    <w:rPr>
      <w:rFonts w:ascii="宋体" w:hAnsi="宋体" w:cs="宋体"/>
      <w:color w:val="000000"/>
      <w:sz w:val="30"/>
      <w:szCs w:val="30"/>
      <w:shd w:val="clear" w:color="auto" w:fill="FFFFFF"/>
      <w:lang w:val="zh-CN" w:bidi="zh-CN"/>
    </w:rPr>
  </w:style>
  <w:style w:type="character" w:customStyle="1" w:styleId="1ff3">
    <w:name w:val="列表段落 字符1"/>
    <w:link w:val="Style2508"/>
    <w:qFormat/>
    <w:rPr>
      <w:b/>
      <w:bCs/>
      <w:kern w:val="2"/>
      <w:sz w:val="24"/>
      <w:szCs w:val="24"/>
    </w:rPr>
  </w:style>
  <w:style w:type="paragraph" w:customStyle="1" w:styleId="Style2508">
    <w:name w:val="_Style 2508"/>
    <w:basedOn w:val="a9"/>
    <w:next w:val="afffffff"/>
    <w:link w:val="1ff3"/>
    <w:qFormat/>
    <w:pPr>
      <w:ind w:left="720"/>
      <w:contextualSpacing/>
    </w:pPr>
    <w:rPr>
      <w:b/>
      <w:bCs/>
      <w:kern w:val="2"/>
      <w:sz w:val="24"/>
      <w:szCs w:val="24"/>
    </w:rPr>
  </w:style>
  <w:style w:type="character" w:customStyle="1" w:styleId="Charffe">
    <w:name w:val="正文表格 Char"/>
    <w:link w:val="afffffff1"/>
    <w:qFormat/>
    <w:rPr>
      <w:kern w:val="2"/>
      <w:sz w:val="21"/>
      <w:szCs w:val="21"/>
    </w:rPr>
  </w:style>
  <w:style w:type="paragraph" w:customStyle="1" w:styleId="afffffff1">
    <w:name w:val="正文表格"/>
    <w:basedOn w:val="a9"/>
    <w:link w:val="Charffe"/>
    <w:qFormat/>
    <w:pPr>
      <w:spacing w:line="360" w:lineRule="auto"/>
      <w:jc w:val="center"/>
    </w:pPr>
    <w:rPr>
      <w:szCs w:val="21"/>
    </w:rPr>
  </w:style>
  <w:style w:type="character" w:customStyle="1" w:styleId="Charfff">
    <w:name w:val="正文表头 Char"/>
    <w:link w:val="afffffff2"/>
    <w:qFormat/>
    <w:rPr>
      <w:b/>
      <w:color w:val="000000"/>
      <w:sz w:val="24"/>
      <w:szCs w:val="24"/>
    </w:rPr>
  </w:style>
  <w:style w:type="paragraph" w:customStyle="1" w:styleId="afffffff2">
    <w:name w:val="正文表头"/>
    <w:basedOn w:val="a9"/>
    <w:link w:val="Charfff"/>
    <w:qFormat/>
    <w:pPr>
      <w:autoSpaceDE w:val="0"/>
      <w:autoSpaceDN w:val="0"/>
      <w:adjustRightInd w:val="0"/>
      <w:spacing w:line="360" w:lineRule="auto"/>
      <w:jc w:val="center"/>
    </w:pPr>
    <w:rPr>
      <w:b/>
      <w:color w:val="000000"/>
      <w:sz w:val="24"/>
    </w:rPr>
  </w:style>
  <w:style w:type="character" w:customStyle="1" w:styleId="CharCharCharCharCharCharCharCharCharChar">
    <w:name w:val="正文缩进 Char Char Char Char Char Char  Char Char Char Char"/>
    <w:qFormat/>
    <w:rPr>
      <w:rFonts w:eastAsia="宋体"/>
      <w:kern w:val="2"/>
      <w:sz w:val="24"/>
      <w:lang w:val="en-US" w:eastAsia="zh-CN" w:bidi="ar-SA"/>
    </w:rPr>
  </w:style>
  <w:style w:type="character" w:customStyle="1" w:styleId="710">
    <w:name w:val="标题 7 字符1"/>
    <w:qFormat/>
    <w:rPr>
      <w:color w:val="008000"/>
      <w:kern w:val="2"/>
      <w:sz w:val="28"/>
    </w:rPr>
  </w:style>
  <w:style w:type="character" w:customStyle="1" w:styleId="910">
    <w:name w:val="标题 9 字符1"/>
    <w:qFormat/>
    <w:rPr>
      <w:rFonts w:ascii="Arial" w:eastAsia="黑体" w:hAnsi="Arial"/>
      <w:sz w:val="24"/>
    </w:rPr>
  </w:style>
  <w:style w:type="character" w:customStyle="1" w:styleId="p111">
    <w:name w:val="p111"/>
    <w:qFormat/>
    <w:rPr>
      <w:color w:val="000000"/>
      <w:sz w:val="18"/>
      <w:szCs w:val="18"/>
    </w:rPr>
  </w:style>
  <w:style w:type="character" w:customStyle="1" w:styleId="Charfff0">
    <w:name w:val="上标 Char"/>
    <w:link w:val="afffffff3"/>
    <w:qFormat/>
    <w:rPr>
      <w:rFonts w:ascii="宋体"/>
      <w:kern w:val="2"/>
      <w:sz w:val="28"/>
      <w:szCs w:val="28"/>
      <w:vertAlign w:val="superscript"/>
    </w:rPr>
  </w:style>
  <w:style w:type="paragraph" w:customStyle="1" w:styleId="afffffff3">
    <w:name w:val="上标"/>
    <w:basedOn w:val="a9"/>
    <w:link w:val="Charfff0"/>
    <w:qFormat/>
    <w:pPr>
      <w:spacing w:line="360" w:lineRule="auto"/>
      <w:ind w:firstLineChars="200" w:firstLine="480"/>
    </w:pPr>
    <w:rPr>
      <w:rFonts w:ascii="宋体"/>
      <w:sz w:val="28"/>
      <w:szCs w:val="28"/>
      <w:vertAlign w:val="superscript"/>
    </w:rPr>
  </w:style>
  <w:style w:type="character" w:customStyle="1" w:styleId="Charfff1">
    <w:name w:val="郭彬 Char"/>
    <w:link w:val="afffffff4"/>
    <w:qFormat/>
    <w:rPr>
      <w:rFonts w:ascii="宋体" w:hAnsi="宋体"/>
      <w:kern w:val="2"/>
      <w:sz w:val="24"/>
      <w:szCs w:val="24"/>
    </w:rPr>
  </w:style>
  <w:style w:type="paragraph" w:customStyle="1" w:styleId="afffffff4">
    <w:name w:val="郭彬"/>
    <w:basedOn w:val="a9"/>
    <w:link w:val="Charfff1"/>
    <w:qFormat/>
    <w:pPr>
      <w:spacing w:line="600" w:lineRule="exact"/>
      <w:jc w:val="center"/>
    </w:pPr>
    <w:rPr>
      <w:rFonts w:ascii="宋体" w:hAnsi="宋体"/>
      <w:sz w:val="24"/>
    </w:rPr>
  </w:style>
  <w:style w:type="character" w:customStyle="1" w:styleId="CharChara">
    <w:name w:val="表内字体 Char Char"/>
    <w:qFormat/>
    <w:rPr>
      <w:rFonts w:eastAsia="宋体"/>
      <w:kern w:val="2"/>
      <w:sz w:val="18"/>
      <w:szCs w:val="24"/>
      <w:lang w:val="en-US" w:eastAsia="zh-CN" w:bidi="ar-SA"/>
    </w:rPr>
  </w:style>
  <w:style w:type="character" w:customStyle="1" w:styleId="zw1">
    <w:name w:val="zw1"/>
    <w:qFormat/>
    <w:rPr>
      <w:rFonts w:ascii="宋体" w:eastAsia="宋体" w:hAnsi="宋体" w:hint="eastAsia"/>
      <w:spacing w:val="400"/>
      <w:sz w:val="22"/>
      <w:szCs w:val="22"/>
    </w:rPr>
  </w:style>
  <w:style w:type="character" w:customStyle="1" w:styleId="style421">
    <w:name w:val="style421"/>
    <w:qFormat/>
    <w:rPr>
      <w:b/>
      <w:bCs/>
      <w:sz w:val="36"/>
      <w:szCs w:val="36"/>
    </w:rPr>
  </w:style>
  <w:style w:type="character" w:customStyle="1" w:styleId="1ff4">
    <w:name w:val="正文文本首行缩进 字符1"/>
    <w:qFormat/>
    <w:rPr>
      <w:kern w:val="2"/>
      <w:sz w:val="24"/>
      <w:szCs w:val="24"/>
    </w:rPr>
  </w:style>
  <w:style w:type="character" w:customStyle="1" w:styleId="CharCharb">
    <w:name w:val="标准条文 Char Char"/>
    <w:link w:val="afffffff5"/>
    <w:qFormat/>
    <w:rPr>
      <w:kern w:val="2"/>
      <w:sz w:val="21"/>
    </w:rPr>
  </w:style>
  <w:style w:type="paragraph" w:customStyle="1" w:styleId="afffffff5">
    <w:name w:val="标准条文"/>
    <w:link w:val="CharCharb"/>
    <w:qFormat/>
    <w:pPr>
      <w:spacing w:beforeLines="20" w:afterLines="20" w:line="360" w:lineRule="auto"/>
      <w:ind w:firstLineChars="200" w:firstLine="200"/>
      <w:jc w:val="center"/>
    </w:pPr>
    <w:rPr>
      <w:kern w:val="2"/>
      <w:sz w:val="21"/>
    </w:rPr>
  </w:style>
  <w:style w:type="character" w:customStyle="1" w:styleId="82Char">
    <w:name w:val="样式 表标8.2 + 黑体 四号 Char"/>
    <w:link w:val="820"/>
    <w:qFormat/>
    <w:rPr>
      <w:rFonts w:ascii="黑体" w:eastAsia="黑体" w:hAnsi="黑体"/>
      <w:b/>
      <w:color w:val="000000"/>
      <w:kern w:val="2"/>
      <w:sz w:val="28"/>
    </w:rPr>
  </w:style>
  <w:style w:type="paragraph" w:customStyle="1" w:styleId="820">
    <w:name w:val="样式 表标8.2 + 黑体 四号"/>
    <w:basedOn w:val="a9"/>
    <w:link w:val="82Char"/>
    <w:qFormat/>
    <w:pPr>
      <w:widowControl/>
      <w:tabs>
        <w:tab w:val="left" w:pos="360"/>
        <w:tab w:val="left" w:pos="1341"/>
        <w:tab w:val="left" w:pos="8207"/>
      </w:tabs>
      <w:adjustRightInd w:val="0"/>
      <w:snapToGrid w:val="0"/>
      <w:spacing w:before="120" w:line="0" w:lineRule="atLeast"/>
      <w:ind w:left="1341"/>
      <w:jc w:val="center"/>
      <w:textAlignment w:val="baseline"/>
    </w:pPr>
    <w:rPr>
      <w:rFonts w:ascii="黑体" w:eastAsia="黑体" w:hAnsi="黑体"/>
      <w:b/>
      <w:color w:val="000000"/>
      <w:sz w:val="28"/>
    </w:rPr>
  </w:style>
  <w:style w:type="character" w:customStyle="1" w:styleId="22Char">
    <w:name w:val="样式 题注 + 首行缩进:  2 字符2 Char"/>
    <w:link w:val="220"/>
    <w:qFormat/>
    <w:rPr>
      <w:rFonts w:ascii="黑体" w:eastAsia="黑体" w:hAnsi="宋体"/>
      <w:kern w:val="2"/>
      <w:sz w:val="24"/>
    </w:rPr>
  </w:style>
  <w:style w:type="paragraph" w:customStyle="1" w:styleId="220">
    <w:name w:val="样式 题注 + 首行缩进:  2 字符2"/>
    <w:basedOn w:val="af6"/>
    <w:link w:val="22Char"/>
    <w:qFormat/>
    <w:pPr>
      <w:keepNext/>
      <w:adjustRightInd w:val="0"/>
      <w:snapToGrid w:val="0"/>
      <w:spacing w:before="0" w:after="0" w:line="360" w:lineRule="auto"/>
      <w:jc w:val="center"/>
    </w:pPr>
    <w:rPr>
      <w:rFonts w:ascii="黑体" w:hAnsi="宋体" w:cs="Times New Roman"/>
      <w:sz w:val="24"/>
    </w:rPr>
  </w:style>
  <w:style w:type="character" w:customStyle="1" w:styleId="Charfff2">
    <w:name w:val="图表标题 Char"/>
    <w:link w:val="afffffff6"/>
    <w:qFormat/>
    <w:rPr>
      <w:rFonts w:ascii="黑体" w:eastAsia="黑体"/>
      <w:b/>
      <w:color w:val="000000"/>
      <w:kern w:val="2"/>
      <w:sz w:val="24"/>
    </w:rPr>
  </w:style>
  <w:style w:type="paragraph" w:customStyle="1" w:styleId="afffffff6">
    <w:name w:val="图表标题"/>
    <w:basedOn w:val="afffffff7"/>
    <w:link w:val="Charfff2"/>
    <w:qFormat/>
    <w:pPr>
      <w:spacing w:line="360" w:lineRule="auto"/>
      <w:jc w:val="center"/>
      <w:textAlignment w:val="auto"/>
    </w:pPr>
    <w:rPr>
      <w:rFonts w:ascii="黑体" w:eastAsia="黑体"/>
      <w:b/>
      <w:color w:val="000000"/>
      <w:kern w:val="2"/>
      <w:sz w:val="24"/>
    </w:rPr>
  </w:style>
  <w:style w:type="paragraph" w:customStyle="1" w:styleId="afffffff7">
    <w:name w:val="表格文字"/>
    <w:basedOn w:val="a9"/>
    <w:link w:val="Charfff3"/>
    <w:qFormat/>
    <w:pPr>
      <w:adjustRightInd w:val="0"/>
      <w:snapToGrid w:val="0"/>
      <w:spacing w:line="400" w:lineRule="exact"/>
      <w:jc w:val="left"/>
      <w:textAlignment w:val="baseline"/>
    </w:pPr>
  </w:style>
  <w:style w:type="character" w:customStyle="1" w:styleId="CharCharc">
    <w:name w:val="正文文字 Char Char"/>
    <w:qFormat/>
    <w:rPr>
      <w:rFonts w:ascii="Times" w:eastAsia="宋体" w:hAnsi="Times"/>
      <w:kern w:val="24"/>
      <w:sz w:val="24"/>
      <w:szCs w:val="24"/>
      <w:lang w:val="en-US" w:eastAsia="zh-CN" w:bidi="ar-SA"/>
    </w:rPr>
  </w:style>
  <w:style w:type="character" w:customStyle="1" w:styleId="Charfff4">
    <w:name w:val="表格标题 Char"/>
    <w:link w:val="afffffff8"/>
    <w:uiPriority w:val="99"/>
    <w:qFormat/>
    <w:rPr>
      <w:rFonts w:ascii="黑体" w:eastAsia="黑体"/>
      <w:color w:val="000000"/>
      <w:sz w:val="28"/>
      <w:szCs w:val="28"/>
    </w:rPr>
  </w:style>
  <w:style w:type="paragraph" w:customStyle="1" w:styleId="afffffff8">
    <w:name w:val="表格标题"/>
    <w:basedOn w:val="a9"/>
    <w:link w:val="Charfff4"/>
    <w:uiPriority w:val="99"/>
    <w:qFormat/>
    <w:pPr>
      <w:autoSpaceDE w:val="0"/>
      <w:autoSpaceDN w:val="0"/>
      <w:adjustRightInd w:val="0"/>
      <w:spacing w:beforeLines="50" w:before="50" w:afterLines="50" w:after="50"/>
      <w:jc w:val="center"/>
    </w:pPr>
    <w:rPr>
      <w:rFonts w:ascii="黑体" w:eastAsia="黑体"/>
      <w:color w:val="000000"/>
      <w:sz w:val="28"/>
      <w:szCs w:val="28"/>
    </w:rPr>
  </w:style>
  <w:style w:type="character" w:customStyle="1" w:styleId="apple-style-span">
    <w:name w:val="apple-style-span"/>
    <w:basedOn w:val="ab"/>
    <w:qFormat/>
  </w:style>
  <w:style w:type="character" w:customStyle="1" w:styleId="CharChar50">
    <w:name w:val="Char Char5"/>
    <w:qFormat/>
    <w:rPr>
      <w:rFonts w:eastAsia="PMingLiU"/>
      <w:b/>
      <w:kern w:val="2"/>
      <w:sz w:val="32"/>
      <w:szCs w:val="24"/>
      <w:lang w:val="en-US" w:eastAsia="zh-TW" w:bidi="ar-SA"/>
    </w:rPr>
  </w:style>
  <w:style w:type="character" w:customStyle="1" w:styleId="f9wen1">
    <w:name w:val="f9wen1"/>
    <w:qFormat/>
    <w:rPr>
      <w:spacing w:val="13"/>
      <w:sz w:val="18"/>
      <w:szCs w:val="18"/>
      <w:u w:val="none"/>
    </w:rPr>
  </w:style>
  <w:style w:type="character" w:customStyle="1" w:styleId="maintdbg800">
    <w:name w:val="main_tdbg_800"/>
    <w:basedOn w:val="ab"/>
    <w:qFormat/>
  </w:style>
  <w:style w:type="character" w:customStyle="1" w:styleId="CharChar30">
    <w:name w:val="Char Char3"/>
    <w:qFormat/>
    <w:rPr>
      <w:rFonts w:ascii="Arial" w:eastAsia="黑体" w:hAnsi="Arial"/>
      <w:sz w:val="24"/>
      <w:lang w:val="en-US" w:eastAsia="zh-CN" w:bidi="ar-SA"/>
    </w:rPr>
  </w:style>
  <w:style w:type="character" w:customStyle="1" w:styleId="Charfff5">
    <w:name w:val="图 Char"/>
    <w:qFormat/>
    <w:rPr>
      <w:rFonts w:eastAsia="仿宋_GB2312"/>
      <w:w w:val="90"/>
      <w:kern w:val="2"/>
      <w:sz w:val="21"/>
      <w:szCs w:val="21"/>
      <w:lang w:val="en-US" w:eastAsia="zh-CN" w:bidi="ar-SA"/>
    </w:rPr>
  </w:style>
  <w:style w:type="character" w:customStyle="1" w:styleId="headeroddChar1">
    <w:name w:val="header odd Char1"/>
    <w:qFormat/>
    <w:rPr>
      <w:rFonts w:eastAsia="宋体"/>
      <w:kern w:val="2"/>
      <w:sz w:val="18"/>
      <w:szCs w:val="18"/>
      <w:lang w:val="en-US" w:eastAsia="zh-CN" w:bidi="ar-SA"/>
    </w:rPr>
  </w:style>
  <w:style w:type="character" w:customStyle="1" w:styleId="mainmattertd41">
    <w:name w:val="main_matter_td_41"/>
    <w:qFormat/>
    <w:rPr>
      <w:color w:val="0D357E"/>
      <w:sz w:val="18"/>
      <w:szCs w:val="18"/>
    </w:rPr>
  </w:style>
  <w:style w:type="character" w:customStyle="1" w:styleId="CharChar70">
    <w:name w:val="Char Char7"/>
    <w:qFormat/>
    <w:rPr>
      <w:rFonts w:eastAsia="宋体"/>
      <w:kern w:val="2"/>
      <w:sz w:val="21"/>
      <w:szCs w:val="24"/>
      <w:lang w:val="en-US" w:eastAsia="zh-CN" w:bidi="ar-SA"/>
    </w:rPr>
  </w:style>
  <w:style w:type="character" w:customStyle="1" w:styleId="Char1e">
    <w:name w:val="文本条款 Char1"/>
    <w:qFormat/>
    <w:rPr>
      <w:rFonts w:eastAsia="宋体"/>
      <w:kern w:val="2"/>
      <w:sz w:val="24"/>
      <w:lang w:val="en-US" w:eastAsia="zh-CN" w:bidi="ar-SA"/>
    </w:rPr>
  </w:style>
  <w:style w:type="character" w:customStyle="1" w:styleId="Charfff6">
    <w:name w:val="环科院表格标题 Char"/>
    <w:link w:val="afffffff9"/>
    <w:qFormat/>
    <w:rPr>
      <w:rFonts w:eastAsia="黑体"/>
      <w:kern w:val="2"/>
      <w:sz w:val="24"/>
      <w:szCs w:val="24"/>
    </w:rPr>
  </w:style>
  <w:style w:type="paragraph" w:customStyle="1" w:styleId="afffffff9">
    <w:name w:val="环科院表格标题"/>
    <w:basedOn w:val="a9"/>
    <w:link w:val="Charfff6"/>
    <w:qFormat/>
    <w:pPr>
      <w:widowControl/>
      <w:topLinePunct/>
      <w:spacing w:beforeLines="50" w:line="360" w:lineRule="auto"/>
      <w:jc w:val="center"/>
    </w:pPr>
    <w:rPr>
      <w:rFonts w:eastAsia="黑体"/>
      <w:sz w:val="24"/>
    </w:rPr>
  </w:style>
  <w:style w:type="character" w:customStyle="1" w:styleId="4Char">
    <w:name w:val="环科院标题4 Char"/>
    <w:link w:val="4c"/>
    <w:qFormat/>
    <w:rPr>
      <w:rFonts w:hAnsi="宋体"/>
      <w:kern w:val="2"/>
      <w:sz w:val="24"/>
      <w:szCs w:val="24"/>
    </w:rPr>
  </w:style>
  <w:style w:type="paragraph" w:customStyle="1" w:styleId="4c">
    <w:name w:val="环科院标题4"/>
    <w:basedOn w:val="a9"/>
    <w:link w:val="4Char"/>
    <w:qFormat/>
    <w:pPr>
      <w:spacing w:line="300" w:lineRule="auto"/>
      <w:ind w:firstLineChars="177" w:firstLine="425"/>
    </w:pPr>
    <w:rPr>
      <w:rFonts w:hAnsi="宋体"/>
      <w:sz w:val="24"/>
    </w:rPr>
  </w:style>
  <w:style w:type="character" w:customStyle="1" w:styleId="AChar">
    <w:name w:val="表格A Char"/>
    <w:link w:val="Afffffffa"/>
    <w:qFormat/>
    <w:rPr>
      <w:kern w:val="2"/>
      <w:sz w:val="21"/>
      <w:szCs w:val="21"/>
    </w:rPr>
  </w:style>
  <w:style w:type="paragraph" w:customStyle="1" w:styleId="Afffffffa">
    <w:name w:val="表格A"/>
    <w:basedOn w:val="a9"/>
    <w:link w:val="AChar"/>
    <w:qFormat/>
    <w:pPr>
      <w:adjustRightInd w:val="0"/>
      <w:snapToGrid w:val="0"/>
      <w:spacing w:beforeLines="30" w:afterLines="30" w:line="360" w:lineRule="auto"/>
      <w:jc w:val="center"/>
    </w:pPr>
    <w:rPr>
      <w:szCs w:val="21"/>
    </w:rPr>
  </w:style>
  <w:style w:type="character" w:customStyle="1" w:styleId="3zw">
    <w:name w:val="3zw"/>
    <w:basedOn w:val="ab"/>
    <w:qFormat/>
  </w:style>
  <w:style w:type="character" w:customStyle="1" w:styleId="312">
    <w:name w:val="正文文本缩进 3 字符1"/>
    <w:qFormat/>
    <w:rPr>
      <w:kern w:val="2"/>
      <w:sz w:val="16"/>
      <w:szCs w:val="16"/>
    </w:rPr>
  </w:style>
  <w:style w:type="character" w:customStyle="1" w:styleId="001Char">
    <w:name w:val="正文001 Char"/>
    <w:link w:val="001"/>
    <w:semiHidden/>
    <w:qFormat/>
    <w:rPr>
      <w:kern w:val="2"/>
      <w:sz w:val="24"/>
    </w:rPr>
  </w:style>
  <w:style w:type="paragraph" w:customStyle="1" w:styleId="001">
    <w:name w:val="正文001"/>
    <w:basedOn w:val="a9"/>
    <w:link w:val="001Char"/>
    <w:semiHidden/>
    <w:qFormat/>
    <w:pPr>
      <w:spacing w:before="60" w:line="420" w:lineRule="exact"/>
      <w:ind w:firstLine="482"/>
    </w:pPr>
    <w:rPr>
      <w:sz w:val="24"/>
    </w:rPr>
  </w:style>
  <w:style w:type="character" w:customStyle="1" w:styleId="Charfff7">
    <w:name w:val="正文突出 Char"/>
    <w:link w:val="afffffffb"/>
    <w:qFormat/>
    <w:rPr>
      <w:rFonts w:ascii="宋体" w:hAnsi="宋体"/>
      <w:b/>
      <w:color w:val="000000"/>
      <w:kern w:val="2"/>
      <w:sz w:val="24"/>
      <w:szCs w:val="24"/>
    </w:rPr>
  </w:style>
  <w:style w:type="paragraph" w:customStyle="1" w:styleId="afffffffb">
    <w:name w:val="正文突出"/>
    <w:basedOn w:val="001"/>
    <w:link w:val="Charfff7"/>
    <w:qFormat/>
    <w:pPr>
      <w:tabs>
        <w:tab w:val="left" w:pos="5200"/>
      </w:tabs>
      <w:spacing w:before="0" w:line="360" w:lineRule="auto"/>
      <w:ind w:leftChars="-50" w:left="-105" w:rightChars="-50" w:right="-105" w:firstLineChars="250" w:firstLine="602"/>
    </w:pPr>
    <w:rPr>
      <w:rFonts w:ascii="宋体" w:hAnsi="宋体"/>
      <w:b/>
      <w:color w:val="000000"/>
      <w:szCs w:val="24"/>
    </w:rPr>
  </w:style>
  <w:style w:type="character" w:customStyle="1" w:styleId="CharChar11">
    <w:name w:val="Char Char11"/>
    <w:link w:val="Char60"/>
    <w:qFormat/>
    <w:rPr>
      <w:kern w:val="2"/>
      <w:sz w:val="21"/>
      <w:szCs w:val="24"/>
    </w:rPr>
  </w:style>
  <w:style w:type="paragraph" w:customStyle="1" w:styleId="Char60">
    <w:name w:val="Char6"/>
    <w:basedOn w:val="a9"/>
    <w:link w:val="CharChar11"/>
    <w:qFormat/>
    <w:pPr>
      <w:spacing w:line="360" w:lineRule="auto"/>
    </w:pPr>
  </w:style>
  <w:style w:type="character" w:customStyle="1" w:styleId="CharChar210">
    <w:name w:val="Char Char21"/>
    <w:qFormat/>
    <w:rPr>
      <w:rFonts w:eastAsia="宋体"/>
      <w:kern w:val="2"/>
      <w:sz w:val="18"/>
      <w:lang w:val="en-US" w:eastAsia="zh-CN" w:bidi="ar-SA"/>
    </w:rPr>
  </w:style>
  <w:style w:type="character" w:customStyle="1" w:styleId="CharCharCharChar11">
    <w:name w:val="Char Char Char Char11"/>
    <w:qFormat/>
    <w:rPr>
      <w:rFonts w:eastAsia="宋体"/>
      <w:color w:val="000000"/>
      <w:kern w:val="2"/>
      <w:sz w:val="18"/>
      <w:szCs w:val="24"/>
      <w:lang w:val="en-US" w:eastAsia="zh-CN" w:bidi="ar-SA"/>
    </w:rPr>
  </w:style>
  <w:style w:type="character" w:customStyle="1" w:styleId="CharChar51">
    <w:name w:val="Char Char51"/>
    <w:qFormat/>
    <w:rPr>
      <w:rFonts w:eastAsia="PMingLiU"/>
      <w:b/>
      <w:kern w:val="2"/>
      <w:sz w:val="32"/>
      <w:szCs w:val="24"/>
      <w:lang w:val="en-US" w:eastAsia="zh-TW" w:bidi="ar-SA"/>
    </w:rPr>
  </w:style>
  <w:style w:type="character" w:customStyle="1" w:styleId="CharChar31">
    <w:name w:val="Char Char31"/>
    <w:qFormat/>
    <w:rPr>
      <w:rFonts w:ascii="Arial" w:eastAsia="黑体" w:hAnsi="Arial"/>
      <w:sz w:val="24"/>
      <w:lang w:val="en-US" w:eastAsia="zh-CN" w:bidi="ar-SA"/>
    </w:rPr>
  </w:style>
  <w:style w:type="character" w:customStyle="1" w:styleId="CharChar71">
    <w:name w:val="Char Char71"/>
    <w:qFormat/>
    <w:rPr>
      <w:rFonts w:eastAsia="宋体"/>
      <w:kern w:val="2"/>
      <w:sz w:val="21"/>
      <w:szCs w:val="24"/>
      <w:lang w:val="en-US" w:eastAsia="zh-CN" w:bidi="ar-SA"/>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2"/>
    <w:qFormat/>
    <w:rPr>
      <w:rFonts w:ascii="宋体" w:hAnsi="宋体" w:cs="宋体"/>
      <w:kern w:val="2"/>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9"/>
    <w:link w:val="CharChar1CharCharCharCharCharCharCharCharCharCharCharCharCharCharCharCharCharCharCharChar1CharChar"/>
    <w:qFormat/>
    <w:pPr>
      <w:spacing w:line="360" w:lineRule="auto"/>
      <w:ind w:firstLineChars="200" w:firstLine="200"/>
    </w:pPr>
    <w:rPr>
      <w:rFonts w:ascii="宋体" w:hAnsi="宋体" w:cs="宋体"/>
      <w:sz w:val="24"/>
    </w:rPr>
  </w:style>
  <w:style w:type="character" w:customStyle="1" w:styleId="CharChar22">
    <w:name w:val="Char Char22"/>
    <w:qFormat/>
    <w:rPr>
      <w:rFonts w:eastAsia="宋体"/>
      <w:kern w:val="2"/>
      <w:sz w:val="21"/>
      <w:szCs w:val="24"/>
      <w:lang w:val="en-US" w:eastAsia="zh-CN" w:bidi="ar-SA"/>
    </w:rPr>
  </w:style>
  <w:style w:type="character" w:customStyle="1" w:styleId="2Char0">
    <w:name w:val="列表 2 Char"/>
    <w:link w:val="21"/>
    <w:qFormat/>
    <w:rPr>
      <w:kern w:val="2"/>
      <w:sz w:val="21"/>
      <w:szCs w:val="24"/>
    </w:rPr>
  </w:style>
  <w:style w:type="character" w:customStyle="1" w:styleId="afffffffc">
    <w:name w:val="链接"/>
    <w:qFormat/>
    <w:rPr>
      <w:rFonts w:ascii="Times New Roman" w:eastAsia="宋体"/>
      <w:color w:val="0000FF"/>
      <w:sz w:val="21"/>
      <w:u w:val="single" w:color="0000FF"/>
      <w:vertAlign w:val="baseline"/>
      <w:lang w:val="en-US" w:eastAsia="zh-CN"/>
    </w:rPr>
  </w:style>
  <w:style w:type="character" w:customStyle="1" w:styleId="CharChard">
    <w:name w:val="表格 Char Char"/>
    <w:qFormat/>
    <w:rPr>
      <w:rFonts w:eastAsia="宋体"/>
      <w:spacing w:val="-4"/>
      <w:kern w:val="2"/>
      <w:sz w:val="24"/>
      <w:szCs w:val="24"/>
      <w:lang w:val="en-US" w:eastAsia="zh-CN" w:bidi="ar-SA"/>
    </w:rPr>
  </w:style>
  <w:style w:type="character" w:customStyle="1" w:styleId="1ff5">
    <w:name w:val="副标题 字符1"/>
    <w:qFormat/>
    <w:rPr>
      <w:rFonts w:ascii="Arial" w:hAnsi="Arial" w:cs="Arial"/>
      <w:b/>
      <w:bCs/>
      <w:kern w:val="28"/>
      <w:sz w:val="32"/>
      <w:szCs w:val="32"/>
    </w:rPr>
  </w:style>
  <w:style w:type="character" w:customStyle="1" w:styleId="line1">
    <w:name w:val="line1"/>
    <w:qFormat/>
    <w:rPr>
      <w:spacing w:val="270"/>
      <w:sz w:val="18"/>
      <w:szCs w:val="18"/>
    </w:rPr>
  </w:style>
  <w:style w:type="character" w:customStyle="1" w:styleId="Charfff8">
    <w:name w:val="正文文本缩进 Char"/>
    <w:qFormat/>
    <w:rPr>
      <w:rFonts w:ascii="宋体" w:eastAsia="宋体"/>
      <w:w w:val="135"/>
      <w:kern w:val="2"/>
      <w:sz w:val="21"/>
      <w:lang w:val="en-US" w:eastAsia="zh-CN" w:bidi="ar-SA"/>
    </w:rPr>
  </w:style>
  <w:style w:type="character" w:customStyle="1" w:styleId="p12">
    <w:name w:val="p12"/>
    <w:qFormat/>
    <w:rPr>
      <w:sz w:val="12"/>
      <w:szCs w:val="12"/>
    </w:rPr>
  </w:style>
  <w:style w:type="character" w:customStyle="1" w:styleId="1Char7">
    <w:name w:val="样式 表头样式1 + Char"/>
    <w:link w:val="1ff6"/>
    <w:qFormat/>
    <w:rPr>
      <w:rFonts w:eastAsia="黑体"/>
      <w:b/>
      <w:bCs/>
      <w:kern w:val="2"/>
      <w:sz w:val="24"/>
    </w:rPr>
  </w:style>
  <w:style w:type="paragraph" w:customStyle="1" w:styleId="1ff6">
    <w:name w:val="样式 表头样式1 +"/>
    <w:basedOn w:val="1f3"/>
    <w:link w:val="1Char7"/>
    <w:qFormat/>
    <w:pPr>
      <w:widowControl/>
      <w:spacing w:beforeLines="0" w:before="0"/>
    </w:pPr>
    <w:rPr>
      <w:bCs/>
    </w:rPr>
  </w:style>
  <w:style w:type="character" w:customStyle="1" w:styleId="1ff7">
    <w:name w:val="正文文本缩进 字符1"/>
    <w:qFormat/>
    <w:rPr>
      <w:color w:val="008000"/>
      <w:kern w:val="2"/>
      <w:sz w:val="21"/>
    </w:rPr>
  </w:style>
  <w:style w:type="character" w:customStyle="1" w:styleId="Charfff9">
    <w:name w:val="正文(首行缩进) Char"/>
    <w:link w:val="afffffffd"/>
    <w:qFormat/>
    <w:rPr>
      <w:snapToGrid/>
      <w:sz w:val="24"/>
      <w:szCs w:val="24"/>
    </w:rPr>
  </w:style>
  <w:style w:type="paragraph" w:customStyle="1" w:styleId="afffffffd">
    <w:name w:val="正文(首行缩进)"/>
    <w:basedOn w:val="a9"/>
    <w:link w:val="Charfff9"/>
    <w:qFormat/>
    <w:pPr>
      <w:spacing w:line="360" w:lineRule="auto"/>
    </w:pPr>
    <w:rPr>
      <w:snapToGrid w:val="0"/>
      <w:sz w:val="24"/>
    </w:rPr>
  </w:style>
  <w:style w:type="character" w:customStyle="1" w:styleId="Charfffa">
    <w:name w:val="表格表头 Char"/>
    <w:link w:val="afffffffe"/>
    <w:qFormat/>
    <w:rPr>
      <w:rFonts w:ascii="宋体" w:hAnsi="宋体"/>
      <w:b/>
      <w:bCs/>
      <w:snapToGrid/>
      <w:sz w:val="24"/>
    </w:rPr>
  </w:style>
  <w:style w:type="paragraph" w:customStyle="1" w:styleId="afffffffe">
    <w:name w:val="表格表头"/>
    <w:basedOn w:val="affff7"/>
    <w:link w:val="Charfffa"/>
    <w:qFormat/>
    <w:pPr>
      <w:spacing w:after="0"/>
      <w:ind w:firstLineChars="0" w:firstLine="0"/>
      <w:jc w:val="center"/>
    </w:pPr>
    <w:rPr>
      <w:rFonts w:ascii="宋体" w:hAnsi="宋体"/>
      <w:b/>
    </w:rPr>
  </w:style>
  <w:style w:type="character" w:customStyle="1" w:styleId="Charfffb">
    <w:name w:val="图标标题 Char"/>
    <w:link w:val="affffffff"/>
    <w:qFormat/>
    <w:rPr>
      <w:rFonts w:ascii="黑体"/>
      <w:b/>
      <w:color w:val="000000"/>
      <w:sz w:val="24"/>
      <w:szCs w:val="28"/>
    </w:rPr>
  </w:style>
  <w:style w:type="paragraph" w:customStyle="1" w:styleId="affffffff">
    <w:name w:val="图标标题"/>
    <w:basedOn w:val="a9"/>
    <w:link w:val="Charfffb"/>
    <w:qFormat/>
    <w:pPr>
      <w:autoSpaceDE w:val="0"/>
      <w:autoSpaceDN w:val="0"/>
      <w:spacing w:line="360" w:lineRule="auto"/>
      <w:jc w:val="center"/>
    </w:pPr>
    <w:rPr>
      <w:rFonts w:ascii="黑体"/>
      <w:b/>
      <w:color w:val="000000"/>
      <w:sz w:val="24"/>
      <w:szCs w:val="28"/>
    </w:rPr>
  </w:style>
  <w:style w:type="character" w:customStyle="1" w:styleId="3Char4">
    <w:name w:val="样式3正文 Char"/>
    <w:link w:val="3f5"/>
    <w:qFormat/>
    <w:rPr>
      <w:kern w:val="2"/>
      <w:sz w:val="24"/>
      <w:szCs w:val="24"/>
    </w:rPr>
  </w:style>
  <w:style w:type="paragraph" w:customStyle="1" w:styleId="3f5">
    <w:name w:val="样式3正文"/>
    <w:basedOn w:val="a9"/>
    <w:link w:val="3Char4"/>
    <w:qFormat/>
    <w:pPr>
      <w:spacing w:line="360" w:lineRule="auto"/>
      <w:ind w:firstLineChars="200" w:firstLine="480"/>
    </w:pPr>
    <w:rPr>
      <w:sz w:val="24"/>
    </w:rPr>
  </w:style>
  <w:style w:type="character" w:customStyle="1" w:styleId="Charfffc">
    <w:name w:val="无间隔 Char"/>
    <w:link w:val="affffffff0"/>
    <w:uiPriority w:val="1"/>
    <w:qFormat/>
    <w:rPr>
      <w:rFonts w:ascii="Calibri" w:hAnsi="Calibri"/>
      <w:sz w:val="22"/>
      <w:szCs w:val="22"/>
    </w:rPr>
  </w:style>
  <w:style w:type="paragraph" w:styleId="affffffff0">
    <w:name w:val="No Spacing"/>
    <w:link w:val="Charfffc"/>
    <w:uiPriority w:val="1"/>
    <w:qFormat/>
    <w:pPr>
      <w:spacing w:line="360" w:lineRule="auto"/>
      <w:jc w:val="center"/>
    </w:pPr>
    <w:rPr>
      <w:rFonts w:ascii="Calibri" w:hAnsi="Calibri"/>
      <w:sz w:val="22"/>
      <w:szCs w:val="22"/>
    </w:rPr>
  </w:style>
  <w:style w:type="character" w:customStyle="1" w:styleId="font">
    <w:name w:val="font"/>
    <w:basedOn w:val="ab"/>
    <w:qFormat/>
  </w:style>
  <w:style w:type="character" w:customStyle="1" w:styleId="Charfffd">
    <w:name w:val="正文加粗 Char"/>
    <w:link w:val="affffffff1"/>
    <w:qFormat/>
    <w:rPr>
      <w:b/>
      <w:snapToGrid/>
      <w:sz w:val="24"/>
      <w:szCs w:val="24"/>
    </w:rPr>
  </w:style>
  <w:style w:type="paragraph" w:customStyle="1" w:styleId="affffffff1">
    <w:name w:val="正文加粗"/>
    <w:basedOn w:val="1f1"/>
    <w:link w:val="Charfffd"/>
    <w:qFormat/>
    <w:pPr>
      <w:spacing w:after="0"/>
      <w:ind w:firstLine="200"/>
    </w:pPr>
    <w:rPr>
      <w:b/>
      <w:color w:val="auto"/>
      <w:szCs w:val="24"/>
    </w:rPr>
  </w:style>
  <w:style w:type="character" w:customStyle="1" w:styleId="Charfff3">
    <w:name w:val="表格文字 Char"/>
    <w:link w:val="afffffff7"/>
    <w:qFormat/>
    <w:rPr>
      <w:sz w:val="21"/>
    </w:rPr>
  </w:style>
  <w:style w:type="character" w:customStyle="1" w:styleId="1ff8">
    <w:name w:val="批注主题 字符1"/>
    <w:uiPriority w:val="99"/>
    <w:qFormat/>
    <w:rPr>
      <w:b/>
      <w:bCs/>
      <w:kern w:val="2"/>
      <w:sz w:val="21"/>
      <w:szCs w:val="24"/>
    </w:rPr>
  </w:style>
  <w:style w:type="character" w:customStyle="1" w:styleId="1ff9">
    <w:name w:val="注释标题 字符1"/>
    <w:qFormat/>
    <w:rPr>
      <w:kern w:val="2"/>
      <w:sz w:val="21"/>
      <w:szCs w:val="24"/>
    </w:rPr>
  </w:style>
  <w:style w:type="character" w:customStyle="1" w:styleId="affffffff2">
    <w:name w:val="单位 字符"/>
    <w:link w:val="affffffff3"/>
    <w:qFormat/>
    <w:rPr>
      <w:rFonts w:eastAsia="黑体"/>
      <w:kern w:val="2"/>
      <w:sz w:val="21"/>
      <w:szCs w:val="21"/>
      <w:lang w:val="zh-CN"/>
    </w:rPr>
  </w:style>
  <w:style w:type="paragraph" w:customStyle="1" w:styleId="affffffff3">
    <w:name w:val="单位"/>
    <w:basedOn w:val="a9"/>
    <w:link w:val="affffffff2"/>
    <w:qFormat/>
    <w:pPr>
      <w:spacing w:line="360" w:lineRule="auto"/>
      <w:ind w:right="420" w:firstLine="420"/>
      <w:jc w:val="right"/>
    </w:pPr>
    <w:rPr>
      <w:rFonts w:eastAsia="黑体"/>
      <w:szCs w:val="21"/>
      <w:lang w:val="zh-CN"/>
    </w:rPr>
  </w:style>
  <w:style w:type="character" w:customStyle="1" w:styleId="zwbChar">
    <w:name w:val="zwb_正文 Char"/>
    <w:link w:val="zwb"/>
    <w:qFormat/>
    <w:rPr>
      <w:sz w:val="24"/>
      <w:szCs w:val="24"/>
    </w:rPr>
  </w:style>
  <w:style w:type="paragraph" w:customStyle="1" w:styleId="zwb">
    <w:name w:val="zwb_正文"/>
    <w:basedOn w:val="a9"/>
    <w:link w:val="zwbChar"/>
    <w:qFormat/>
    <w:pPr>
      <w:spacing w:line="360" w:lineRule="auto"/>
      <w:ind w:firstLineChars="200" w:firstLine="200"/>
    </w:pPr>
    <w:rPr>
      <w:sz w:val="24"/>
    </w:rPr>
  </w:style>
  <w:style w:type="character" w:customStyle="1" w:styleId="DCharCharChar">
    <w:name w:val="D正文 Char Char Char"/>
    <w:link w:val="D"/>
    <w:qFormat/>
    <w:rPr>
      <w:sz w:val="24"/>
      <w:szCs w:val="24"/>
    </w:rPr>
  </w:style>
  <w:style w:type="paragraph" w:customStyle="1" w:styleId="D">
    <w:name w:val="D正文"/>
    <w:basedOn w:val="a9"/>
    <w:link w:val="DCharCharChar"/>
    <w:qFormat/>
    <w:pPr>
      <w:spacing w:line="360" w:lineRule="auto"/>
      <w:ind w:firstLineChars="200" w:firstLine="200"/>
    </w:pPr>
    <w:rPr>
      <w:sz w:val="24"/>
    </w:rPr>
  </w:style>
  <w:style w:type="character" w:customStyle="1" w:styleId="Char2e">
    <w:name w:val="称呼 Char2"/>
    <w:uiPriority w:val="99"/>
    <w:semiHidden/>
    <w:qFormat/>
    <w:rPr>
      <w:kern w:val="2"/>
      <w:sz w:val="21"/>
      <w:szCs w:val="22"/>
    </w:rPr>
  </w:style>
  <w:style w:type="character" w:customStyle="1" w:styleId="ng-binding">
    <w:name w:val="ng-binding"/>
    <w:basedOn w:val="ab"/>
    <w:qFormat/>
  </w:style>
  <w:style w:type="character" w:customStyle="1" w:styleId="fontstyle21">
    <w:name w:val="fontstyle21"/>
    <w:qFormat/>
    <w:rPr>
      <w:rFonts w:ascii="TimesNewRomanPSMT" w:hAnsi="TimesNewRomanPSMT" w:hint="default"/>
      <w:color w:val="000000"/>
      <w:sz w:val="22"/>
      <w:szCs w:val="22"/>
    </w:rPr>
  </w:style>
  <w:style w:type="character" w:customStyle="1" w:styleId="Char1f">
    <w:name w:val="批注框文本 Char1"/>
    <w:qFormat/>
    <w:rPr>
      <w:kern w:val="2"/>
      <w:sz w:val="18"/>
      <w:szCs w:val="18"/>
    </w:rPr>
  </w:style>
  <w:style w:type="character" w:customStyle="1" w:styleId="Char1f0">
    <w:name w:val="日期 Char1"/>
    <w:qFormat/>
    <w:rPr>
      <w:kern w:val="2"/>
      <w:sz w:val="21"/>
    </w:rPr>
  </w:style>
  <w:style w:type="character" w:customStyle="1" w:styleId="Char1f1">
    <w:name w:val="批注主题 Char1"/>
    <w:qFormat/>
    <w:rPr>
      <w:b/>
      <w:bCs/>
      <w:kern w:val="2"/>
      <w:sz w:val="21"/>
      <w:szCs w:val="24"/>
    </w:rPr>
  </w:style>
  <w:style w:type="character" w:customStyle="1" w:styleId="Char1f2">
    <w:name w:val="注释标题 Char1"/>
    <w:qFormat/>
    <w:rPr>
      <w:kern w:val="2"/>
      <w:sz w:val="21"/>
      <w:szCs w:val="24"/>
    </w:rPr>
  </w:style>
  <w:style w:type="character" w:customStyle="1" w:styleId="1ffa">
    <w:name w:val="文档结构图 字符1"/>
    <w:qFormat/>
    <w:rPr>
      <w:kern w:val="2"/>
      <w:sz w:val="21"/>
      <w:szCs w:val="24"/>
      <w:shd w:val="clear" w:color="auto" w:fill="000080"/>
    </w:rPr>
  </w:style>
  <w:style w:type="character" w:customStyle="1" w:styleId="m17">
    <w:name w:val="m_17"/>
    <w:basedOn w:val="ab"/>
    <w:qFormat/>
  </w:style>
  <w:style w:type="character" w:customStyle="1" w:styleId="Charf1">
    <w:name w:val="环科所表内格式 Char"/>
    <w:link w:val="affff5"/>
    <w:qFormat/>
    <w:rPr>
      <w:rFonts w:eastAsia="仿宋_GB2312"/>
      <w:kern w:val="2"/>
      <w:sz w:val="18"/>
    </w:rPr>
  </w:style>
  <w:style w:type="character" w:customStyle="1" w:styleId="m3">
    <w:name w:val="m_3"/>
    <w:basedOn w:val="ab"/>
    <w:qFormat/>
  </w:style>
  <w:style w:type="character" w:customStyle="1" w:styleId="m10">
    <w:name w:val="m_10"/>
    <w:basedOn w:val="ab"/>
    <w:qFormat/>
  </w:style>
  <w:style w:type="character" w:customStyle="1" w:styleId="m35">
    <w:name w:val="m_35"/>
    <w:basedOn w:val="ab"/>
    <w:qFormat/>
  </w:style>
  <w:style w:type="character" w:customStyle="1" w:styleId="1Char8">
    <w:name w:val="样式 表头样式1 + 非加粗 Char"/>
    <w:link w:val="1ffb"/>
    <w:qFormat/>
  </w:style>
  <w:style w:type="paragraph" w:customStyle="1" w:styleId="1ffb">
    <w:name w:val="样式 表头样式1 + 非加粗"/>
    <w:basedOn w:val="--"/>
    <w:link w:val="1Char8"/>
    <w:qFormat/>
    <w:pPr>
      <w:spacing w:beforeLines="0"/>
    </w:pPr>
    <w:rPr>
      <w:rFonts w:eastAsia="宋体"/>
      <w:b w:val="0"/>
      <w:sz w:val="20"/>
    </w:rPr>
  </w:style>
  <w:style w:type="character" w:customStyle="1" w:styleId="m1">
    <w:name w:val="m_1"/>
    <w:basedOn w:val="ab"/>
    <w:qFormat/>
  </w:style>
  <w:style w:type="character" w:customStyle="1" w:styleId="m0">
    <w:name w:val="m_0"/>
    <w:basedOn w:val="ab"/>
    <w:qFormat/>
  </w:style>
  <w:style w:type="character" w:customStyle="1" w:styleId="Charfffe">
    <w:name w:val="报告表标题 Char"/>
    <w:link w:val="affffffff4"/>
    <w:qFormat/>
    <w:rPr>
      <w:b/>
      <w:kern w:val="2"/>
      <w:sz w:val="28"/>
      <w:szCs w:val="28"/>
    </w:rPr>
  </w:style>
  <w:style w:type="paragraph" w:customStyle="1" w:styleId="affffffff4">
    <w:name w:val="报告表标题"/>
    <w:basedOn w:val="a9"/>
    <w:next w:val="a9"/>
    <w:link w:val="Charfffe"/>
    <w:qFormat/>
    <w:pPr>
      <w:snapToGrid w:val="0"/>
      <w:spacing w:line="360" w:lineRule="auto"/>
    </w:pPr>
    <w:rPr>
      <w:b/>
      <w:sz w:val="28"/>
      <w:szCs w:val="28"/>
    </w:rPr>
  </w:style>
  <w:style w:type="character" w:customStyle="1" w:styleId="isellp">
    <w:name w:val="isellp"/>
    <w:basedOn w:val="ab"/>
    <w:qFormat/>
  </w:style>
  <w:style w:type="character" w:customStyle="1" w:styleId="m34">
    <w:name w:val="m_34"/>
    <w:basedOn w:val="ab"/>
    <w:qFormat/>
  </w:style>
  <w:style w:type="character" w:customStyle="1" w:styleId="12Char0">
    <w:name w:val="样式12 Char"/>
    <w:qFormat/>
    <w:rPr>
      <w:rFonts w:ascii="宋体" w:eastAsia="宋体" w:hAnsi="宋体"/>
      <w:b/>
      <w:spacing w:val="20"/>
      <w:kern w:val="2"/>
      <w:sz w:val="24"/>
      <w:szCs w:val="24"/>
      <w:lang w:val="en-US" w:eastAsia="zh-CN" w:bidi="ar-SA"/>
    </w:rPr>
  </w:style>
  <w:style w:type="character" w:customStyle="1" w:styleId="m38">
    <w:name w:val="m_38"/>
    <w:basedOn w:val="ab"/>
    <w:qFormat/>
  </w:style>
  <w:style w:type="character" w:customStyle="1" w:styleId="m42">
    <w:name w:val="m_42"/>
    <w:basedOn w:val="ab"/>
    <w:qFormat/>
  </w:style>
  <w:style w:type="character" w:customStyle="1" w:styleId="m19">
    <w:name w:val="m_19"/>
    <w:basedOn w:val="ab"/>
    <w:qFormat/>
  </w:style>
  <w:style w:type="character" w:customStyle="1" w:styleId="m48">
    <w:name w:val="m_48"/>
    <w:basedOn w:val="ab"/>
    <w:qFormat/>
  </w:style>
  <w:style w:type="character" w:customStyle="1" w:styleId="m44">
    <w:name w:val="m_44"/>
    <w:basedOn w:val="ab"/>
    <w:qFormat/>
  </w:style>
  <w:style w:type="character" w:customStyle="1" w:styleId="m37">
    <w:name w:val="m_37"/>
    <w:basedOn w:val="ab"/>
    <w:qFormat/>
  </w:style>
  <w:style w:type="character" w:customStyle="1" w:styleId="m5">
    <w:name w:val="m_5"/>
    <w:basedOn w:val="ab"/>
    <w:qFormat/>
  </w:style>
  <w:style w:type="character" w:customStyle="1" w:styleId="m43">
    <w:name w:val="m_43"/>
    <w:basedOn w:val="ab"/>
    <w:qFormat/>
  </w:style>
  <w:style w:type="character" w:customStyle="1" w:styleId="CharChar60">
    <w:name w:val="Char Char6"/>
    <w:qFormat/>
    <w:rPr>
      <w:rFonts w:eastAsia="宋体"/>
      <w:kern w:val="2"/>
      <w:sz w:val="24"/>
      <w:lang w:val="en-US" w:eastAsia="zh-CN" w:bidi="ar-SA"/>
    </w:rPr>
  </w:style>
  <w:style w:type="character" w:customStyle="1" w:styleId="m40">
    <w:name w:val="m_40"/>
    <w:basedOn w:val="ab"/>
    <w:qFormat/>
  </w:style>
  <w:style w:type="character" w:customStyle="1" w:styleId="m33">
    <w:name w:val="m_33"/>
    <w:basedOn w:val="ab"/>
    <w:qFormat/>
  </w:style>
  <w:style w:type="character" w:customStyle="1" w:styleId="m36">
    <w:name w:val="m_36"/>
    <w:basedOn w:val="ab"/>
    <w:qFormat/>
  </w:style>
  <w:style w:type="character" w:customStyle="1" w:styleId="m32">
    <w:name w:val="m_32"/>
    <w:basedOn w:val="ab"/>
    <w:qFormat/>
  </w:style>
  <w:style w:type="character" w:customStyle="1" w:styleId="m16">
    <w:name w:val="m_16"/>
    <w:basedOn w:val="ab"/>
    <w:qFormat/>
  </w:style>
  <w:style w:type="character" w:customStyle="1" w:styleId="titlestyle1">
    <w:name w:val="titlestyle1"/>
    <w:qFormat/>
    <w:rPr>
      <w:rFonts w:ascii="Verdana" w:hAnsi="Verdana" w:hint="default"/>
      <w:b/>
      <w:bCs/>
      <w:color w:val="000000"/>
      <w:sz w:val="28"/>
      <w:szCs w:val="28"/>
    </w:rPr>
  </w:style>
  <w:style w:type="character" w:customStyle="1" w:styleId="affffffff5">
    <w:name w:val="表头 字元"/>
    <w:qFormat/>
    <w:rPr>
      <w:rFonts w:eastAsia="黑体"/>
      <w:kern w:val="2"/>
      <w:sz w:val="24"/>
      <w:szCs w:val="24"/>
    </w:rPr>
  </w:style>
  <w:style w:type="character" w:customStyle="1" w:styleId="m26">
    <w:name w:val="m_26"/>
    <w:basedOn w:val="ab"/>
    <w:qFormat/>
  </w:style>
  <w:style w:type="character" w:customStyle="1" w:styleId="m2">
    <w:name w:val="m_2"/>
    <w:basedOn w:val="ab"/>
    <w:qFormat/>
  </w:style>
  <w:style w:type="character" w:customStyle="1" w:styleId="tpccontent1">
    <w:name w:val="tpc_content1"/>
    <w:qFormat/>
    <w:rPr>
      <w:sz w:val="20"/>
      <w:szCs w:val="20"/>
    </w:rPr>
  </w:style>
  <w:style w:type="character" w:customStyle="1" w:styleId="CharChar62">
    <w:name w:val="Char Char62"/>
    <w:qFormat/>
    <w:rPr>
      <w:rFonts w:eastAsia="宋体"/>
      <w:kern w:val="2"/>
      <w:sz w:val="24"/>
      <w:lang w:val="en-US" w:eastAsia="zh-CN" w:bidi="ar-SA"/>
    </w:rPr>
  </w:style>
  <w:style w:type="character" w:customStyle="1" w:styleId="m18">
    <w:name w:val="m_18"/>
    <w:basedOn w:val="ab"/>
    <w:qFormat/>
  </w:style>
  <w:style w:type="character" w:customStyle="1" w:styleId="m20">
    <w:name w:val="m_20"/>
    <w:basedOn w:val="ab"/>
    <w:qFormat/>
  </w:style>
  <w:style w:type="character" w:customStyle="1" w:styleId="CharChar61">
    <w:name w:val="Char Char61"/>
    <w:qFormat/>
    <w:rPr>
      <w:rFonts w:eastAsia="宋体"/>
      <w:kern w:val="2"/>
      <w:sz w:val="24"/>
      <w:lang w:val="en-US" w:eastAsia="zh-CN" w:bidi="ar-SA"/>
    </w:rPr>
  </w:style>
  <w:style w:type="character" w:customStyle="1" w:styleId="Charffff">
    <w:name w:val="样式 表内格式 + 蓝色 Char"/>
    <w:link w:val="affffffff6"/>
    <w:qFormat/>
    <w:rPr>
      <w:color w:val="0000FF"/>
      <w:kern w:val="2"/>
      <w:sz w:val="18"/>
    </w:rPr>
  </w:style>
  <w:style w:type="paragraph" w:customStyle="1" w:styleId="affffffff6">
    <w:name w:val="样式 表内格式 + 蓝色"/>
    <w:basedOn w:val="affff6"/>
    <w:link w:val="Charffff"/>
    <w:qFormat/>
    <w:pPr>
      <w:widowControl/>
    </w:pPr>
    <w:rPr>
      <w:color w:val="0000FF"/>
    </w:rPr>
  </w:style>
  <w:style w:type="character" w:customStyle="1" w:styleId="9Char">
    <w:name w:val="样式9 Char"/>
    <w:link w:val="92"/>
    <w:qFormat/>
    <w:rPr>
      <w:rFonts w:ascii="宋体"/>
      <w:snapToGrid/>
      <w:kern w:val="2"/>
      <w:sz w:val="21"/>
      <w:szCs w:val="21"/>
    </w:rPr>
  </w:style>
  <w:style w:type="paragraph" w:customStyle="1" w:styleId="92">
    <w:name w:val="样式9"/>
    <w:basedOn w:val="a9"/>
    <w:link w:val="9Char"/>
    <w:qFormat/>
    <w:pPr>
      <w:widowControl/>
      <w:tabs>
        <w:tab w:val="left" w:pos="432"/>
      </w:tabs>
      <w:adjustRightInd w:val="0"/>
      <w:snapToGrid w:val="0"/>
      <w:jc w:val="center"/>
      <w:textAlignment w:val="baseline"/>
    </w:pPr>
    <w:rPr>
      <w:rFonts w:ascii="宋体"/>
      <w:snapToGrid w:val="0"/>
      <w:szCs w:val="21"/>
    </w:rPr>
  </w:style>
  <w:style w:type="character" w:customStyle="1" w:styleId="1Char11">
    <w:name w:val="标题 1 Char1"/>
    <w:uiPriority w:val="9"/>
    <w:qFormat/>
    <w:rPr>
      <w:b/>
      <w:kern w:val="44"/>
      <w:sz w:val="32"/>
    </w:rPr>
  </w:style>
  <w:style w:type="character" w:customStyle="1" w:styleId="9Char1">
    <w:name w:val="标题 9 Char1"/>
    <w:qFormat/>
    <w:rPr>
      <w:rFonts w:ascii="Arial" w:eastAsia="黑体" w:hAnsi="Arial"/>
      <w:sz w:val="24"/>
    </w:rPr>
  </w:style>
  <w:style w:type="character" w:customStyle="1" w:styleId="CharChar13">
    <w:name w:val="Char Char13"/>
    <w:link w:val="Char90"/>
    <w:qFormat/>
    <w:rPr>
      <w:kern w:val="2"/>
      <w:sz w:val="21"/>
      <w:szCs w:val="24"/>
    </w:rPr>
  </w:style>
  <w:style w:type="paragraph" w:customStyle="1" w:styleId="Char90">
    <w:name w:val="Char9"/>
    <w:basedOn w:val="a9"/>
    <w:link w:val="CharChar13"/>
    <w:qFormat/>
    <w:pPr>
      <w:widowControl/>
    </w:pPr>
  </w:style>
  <w:style w:type="character" w:customStyle="1" w:styleId="1CharCharCharCharChar0">
    <w:name w:val="样式 正文1 Char Char + 字距调整七号 Char Char Char"/>
    <w:qFormat/>
    <w:rPr>
      <w:rFonts w:eastAsia="宋体"/>
      <w:kern w:val="11"/>
      <w:sz w:val="24"/>
      <w:szCs w:val="28"/>
      <w:lang w:val="en-US" w:eastAsia="zh-CN" w:bidi="ar-SA"/>
    </w:rPr>
  </w:style>
  <w:style w:type="character" w:customStyle="1" w:styleId="z-Char">
    <w:name w:val="z-窗体底端 Char"/>
    <w:link w:val="z-2"/>
    <w:qFormat/>
    <w:rPr>
      <w:rFonts w:ascii="Arial" w:hAnsi="Arial" w:cs="Arial"/>
      <w:vanish/>
      <w:sz w:val="16"/>
      <w:szCs w:val="16"/>
    </w:rPr>
  </w:style>
  <w:style w:type="paragraph" w:customStyle="1" w:styleId="z-2">
    <w:name w:val="z-窗体底端2"/>
    <w:basedOn w:val="a9"/>
    <w:next w:val="a9"/>
    <w:link w:val="z-Char"/>
    <w:qFormat/>
    <w:pPr>
      <w:widowControl/>
      <w:pBdr>
        <w:top w:val="single" w:sz="6" w:space="1" w:color="auto"/>
      </w:pBdr>
      <w:jc w:val="center"/>
    </w:pPr>
    <w:rPr>
      <w:rFonts w:ascii="Arial" w:hAnsi="Arial" w:cs="Arial"/>
      <w:vanish/>
      <w:sz w:val="16"/>
      <w:szCs w:val="16"/>
    </w:rPr>
  </w:style>
  <w:style w:type="character" w:customStyle="1" w:styleId="z-Char1">
    <w:name w:val="z-窗体底端 Char1"/>
    <w:uiPriority w:val="99"/>
    <w:semiHidden/>
    <w:qFormat/>
    <w:rPr>
      <w:rFonts w:ascii="Arial" w:hAnsi="Arial" w:cs="Arial"/>
      <w:vanish/>
      <w:kern w:val="2"/>
      <w:sz w:val="16"/>
      <w:szCs w:val="16"/>
    </w:rPr>
  </w:style>
  <w:style w:type="character" w:customStyle="1" w:styleId="CharChar312">
    <w:name w:val="Char Char312"/>
    <w:qFormat/>
    <w:rPr>
      <w:kern w:val="2"/>
      <w:sz w:val="21"/>
      <w:szCs w:val="24"/>
    </w:rPr>
  </w:style>
  <w:style w:type="character" w:customStyle="1" w:styleId="text">
    <w:name w:val="text"/>
    <w:basedOn w:val="ab"/>
    <w:qFormat/>
  </w:style>
  <w:style w:type="character" w:customStyle="1" w:styleId="14Char">
    <w:name w:val="样式14 Char"/>
    <w:link w:val="14"/>
    <w:qFormat/>
    <w:rPr>
      <w:b/>
      <w:sz w:val="24"/>
    </w:rPr>
  </w:style>
  <w:style w:type="paragraph" w:customStyle="1" w:styleId="14">
    <w:name w:val="样式14"/>
    <w:basedOn w:val="5"/>
    <w:link w:val="14Char"/>
    <w:qFormat/>
    <w:pPr>
      <w:widowControl/>
      <w:numPr>
        <w:numId w:val="2"/>
      </w:numPr>
      <w:tabs>
        <w:tab w:val="clear" w:pos="432"/>
        <w:tab w:val="left" w:pos="425"/>
        <w:tab w:val="left" w:pos="720"/>
        <w:tab w:val="left" w:pos="944"/>
        <w:tab w:val="left" w:pos="1567"/>
      </w:tabs>
      <w:ind w:left="426"/>
    </w:pPr>
  </w:style>
  <w:style w:type="character" w:customStyle="1" w:styleId="CharChar52">
    <w:name w:val="Char Char52"/>
    <w:qFormat/>
    <w:rPr>
      <w:rFonts w:eastAsia="PMingLiU"/>
      <w:b/>
      <w:kern w:val="2"/>
      <w:sz w:val="32"/>
      <w:szCs w:val="24"/>
      <w:lang w:val="en-US" w:eastAsia="zh-TW" w:bidi="ar-SA"/>
    </w:rPr>
  </w:style>
  <w:style w:type="character" w:customStyle="1" w:styleId="-1Char">
    <w:name w:val="正文-1 Char"/>
    <w:link w:val="-10"/>
    <w:qFormat/>
    <w:rPr>
      <w:spacing w:val="4"/>
      <w:kern w:val="18"/>
      <w:sz w:val="24"/>
      <w:szCs w:val="30"/>
    </w:rPr>
  </w:style>
  <w:style w:type="paragraph" w:customStyle="1" w:styleId="-10">
    <w:name w:val="正文-1"/>
    <w:basedOn w:val="afe"/>
    <w:link w:val="-1Char"/>
    <w:qFormat/>
    <w:pPr>
      <w:widowControl/>
      <w:spacing w:line="360" w:lineRule="auto"/>
      <w:ind w:firstLineChars="180" w:firstLine="180"/>
    </w:pPr>
    <w:rPr>
      <w:color w:val="auto"/>
      <w:spacing w:val="4"/>
      <w:kern w:val="18"/>
      <w:sz w:val="24"/>
      <w:szCs w:val="30"/>
    </w:rPr>
  </w:style>
  <w:style w:type="character" w:customStyle="1" w:styleId="CharChar18">
    <w:name w:val="Char Char18"/>
    <w:qFormat/>
    <w:rPr>
      <w:rFonts w:ascii="Arial" w:eastAsia="宋体" w:hAnsi="Arial"/>
      <w:b/>
      <w:bCs/>
      <w:kern w:val="2"/>
      <w:sz w:val="32"/>
      <w:szCs w:val="32"/>
      <w:lang w:val="en-US" w:eastAsia="zh-CN" w:bidi="ar-SA"/>
    </w:rPr>
  </w:style>
  <w:style w:type="character" w:customStyle="1" w:styleId="15Char">
    <w:name w:val="表内样式15 Char"/>
    <w:link w:val="151"/>
    <w:qFormat/>
  </w:style>
  <w:style w:type="paragraph" w:customStyle="1" w:styleId="151">
    <w:name w:val="表内样式15"/>
    <w:basedOn w:val="affff6"/>
    <w:link w:val="15Char"/>
    <w:qFormat/>
    <w:pPr>
      <w:widowControl/>
      <w:ind w:leftChars="-50" w:left="-50" w:rightChars="-50" w:right="-50"/>
    </w:pPr>
    <w:rPr>
      <w:sz w:val="20"/>
    </w:rPr>
  </w:style>
  <w:style w:type="character" w:customStyle="1" w:styleId="text1">
    <w:name w:val="text1"/>
    <w:qFormat/>
  </w:style>
  <w:style w:type="character" w:customStyle="1" w:styleId="Char1f3">
    <w:name w:val="正文(首行缩进) Char1"/>
    <w:qFormat/>
    <w:locked/>
    <w:rPr>
      <w:rFonts w:eastAsia="宋体"/>
      <w:snapToGrid/>
      <w:sz w:val="24"/>
      <w:szCs w:val="24"/>
      <w:lang w:val="en-US" w:eastAsia="zh-CN" w:bidi="ar-SA"/>
    </w:rPr>
  </w:style>
  <w:style w:type="character" w:customStyle="1" w:styleId="2ParagrafoTimesNewRoman00Char">
    <w:name w:val="样式 标题 2Paragrafo + Times New Roman 非加粗 左侧:  0 厘米 首行缩进:  0 厘米... Char"/>
    <w:link w:val="2ParagrafoTimesNewRoman00"/>
    <w:qFormat/>
    <w:rPr>
      <w:rFonts w:eastAsia="黑体" w:cs="宋体"/>
      <w:b/>
      <w:kern w:val="2"/>
      <w:sz w:val="30"/>
    </w:rPr>
  </w:style>
  <w:style w:type="paragraph" w:customStyle="1" w:styleId="2ParagrafoTimesNewRoman00">
    <w:name w:val="样式 标题 2Paragrafo + Times New Roman 非加粗 左侧:  0 厘米 首行缩进:  0 厘米..."/>
    <w:basedOn w:val="2"/>
    <w:link w:val="2ParagrafoTimesNewRoman00Char"/>
    <w:qFormat/>
    <w:pPr>
      <w:keepNext/>
      <w:widowControl/>
      <w:numPr>
        <w:ilvl w:val="0"/>
        <w:numId w:val="0"/>
      </w:numPr>
      <w:pBdr>
        <w:bottom w:val="none" w:sz="0" w:space="0" w:color="auto"/>
      </w:pBdr>
      <w:spacing w:before="120" w:after="120" w:line="360" w:lineRule="auto"/>
    </w:pPr>
    <w:rPr>
      <w:rFonts w:cs="宋体"/>
      <w:sz w:val="30"/>
    </w:rPr>
  </w:style>
  <w:style w:type="character" w:customStyle="1" w:styleId="test">
    <w:name w:val="test"/>
    <w:basedOn w:val="ab"/>
    <w:qFormat/>
  </w:style>
  <w:style w:type="character" w:customStyle="1" w:styleId="hb1Char">
    <w:name w:val="hb1 Char"/>
    <w:link w:val="hb1"/>
    <w:qFormat/>
    <w:rPr>
      <w:rFonts w:ascii="宋体" w:hAnsi="宋体"/>
      <w:color w:val="000000"/>
      <w:kern w:val="2"/>
      <w:sz w:val="24"/>
    </w:rPr>
  </w:style>
  <w:style w:type="paragraph" w:customStyle="1" w:styleId="hb1">
    <w:name w:val="hb1"/>
    <w:basedOn w:val="afd"/>
    <w:link w:val="hb1Char"/>
    <w:qFormat/>
    <w:pPr>
      <w:widowControl/>
      <w:spacing w:line="460" w:lineRule="exact"/>
      <w:ind w:firstLineChars="0" w:firstLine="482"/>
    </w:pPr>
    <w:rPr>
      <w:rFonts w:ascii="宋体" w:hAnsi="宋体"/>
      <w:color w:val="000000"/>
      <w:kern w:val="2"/>
    </w:rPr>
  </w:style>
  <w:style w:type="character" w:customStyle="1" w:styleId="Char1f4">
    <w:name w:val="表蕊 Char1"/>
    <w:qFormat/>
    <w:rPr>
      <w:rFonts w:eastAsia="楷体_GB2312"/>
      <w:spacing w:val="-12"/>
      <w:sz w:val="21"/>
      <w:lang w:val="en-US" w:eastAsia="zh-CN" w:bidi="ar-SA"/>
    </w:rPr>
  </w:style>
  <w:style w:type="character" w:customStyle="1" w:styleId="1CharChar0">
    <w:name w:val="表头样式1 Char Char"/>
    <w:qFormat/>
    <w:rPr>
      <w:rFonts w:eastAsia="黑体"/>
      <w:b/>
      <w:kern w:val="2"/>
      <w:sz w:val="24"/>
      <w:lang w:val="en-US" w:eastAsia="zh-CN" w:bidi="ar-SA"/>
    </w:rPr>
  </w:style>
  <w:style w:type="character" w:customStyle="1" w:styleId="1ffc">
    <w:name w:val="页码1"/>
    <w:basedOn w:val="ab"/>
    <w:qFormat/>
  </w:style>
  <w:style w:type="character" w:customStyle="1" w:styleId="Charffff0">
    <w:name w:val="导则正文 Char"/>
    <w:link w:val="affffffff7"/>
    <w:qFormat/>
    <w:rPr>
      <w:szCs w:val="21"/>
    </w:rPr>
  </w:style>
  <w:style w:type="paragraph" w:customStyle="1" w:styleId="affffffff7">
    <w:name w:val="导则正文"/>
    <w:basedOn w:val="a9"/>
    <w:link w:val="Charffff0"/>
    <w:qFormat/>
    <w:pPr>
      <w:spacing w:line="360" w:lineRule="auto"/>
      <w:ind w:firstLineChars="200" w:firstLine="482"/>
    </w:pPr>
    <w:rPr>
      <w:szCs w:val="21"/>
    </w:rPr>
  </w:style>
  <w:style w:type="character" w:customStyle="1" w:styleId="textediteditable-title">
    <w:name w:val="text_edit editable-title"/>
    <w:basedOn w:val="ab"/>
    <w:qFormat/>
  </w:style>
  <w:style w:type="character" w:customStyle="1" w:styleId="212">
    <w:name w:val="正文文本 2 字符1"/>
    <w:qFormat/>
    <w:rPr>
      <w:spacing w:val="-8"/>
      <w:kern w:val="2"/>
      <w:sz w:val="18"/>
      <w:szCs w:val="24"/>
    </w:rPr>
  </w:style>
  <w:style w:type="character" w:customStyle="1" w:styleId="51b5sub-bulletsb4CharChar4Char15ChaChar">
    <w:name w:val="样式 标题 5一级项1b5 sub-bulletsb4 Char Char4 Char五1)项标5 Cha... Char"/>
    <w:link w:val="51b5sub-bulletsb4CharChar4Char15Cha"/>
    <w:qFormat/>
    <w:rPr>
      <w:rFonts w:eastAsia="黑体"/>
      <w:b/>
      <w:bCs/>
      <w:kern w:val="2"/>
      <w:sz w:val="24"/>
    </w:rPr>
  </w:style>
  <w:style w:type="paragraph" w:customStyle="1" w:styleId="51b5sub-bulletsb4CharChar4Char15Cha">
    <w:name w:val="样式 标题 5一级项1b5 sub-bulletsb4 Char Char4 Char五1)项标5 Cha..."/>
    <w:basedOn w:val="5"/>
    <w:link w:val="51b5sub-bulletsb4CharChar4Char15ChaChar"/>
    <w:qFormat/>
    <w:pPr>
      <w:keepNext w:val="0"/>
      <w:numPr>
        <w:numId w:val="0"/>
      </w:numPr>
      <w:tabs>
        <w:tab w:val="left" w:pos="0"/>
        <w:tab w:val="left" w:pos="1080"/>
        <w:tab w:val="left" w:pos="1567"/>
        <w:tab w:val="left" w:pos="1997"/>
      </w:tabs>
      <w:spacing w:beforeLines="50" w:after="0"/>
    </w:pPr>
    <w:rPr>
      <w:rFonts w:eastAsia="黑体"/>
      <w:bCs/>
    </w:rPr>
  </w:style>
  <w:style w:type="character" w:customStyle="1" w:styleId="213">
    <w:name w:val="标题 21"/>
    <w:qFormat/>
    <w:rPr>
      <w:rFonts w:ascii="黑体" w:eastAsia="黑体" w:hAnsi="Arial"/>
      <w:kern w:val="2"/>
      <w:sz w:val="30"/>
      <w:szCs w:val="30"/>
      <w:lang w:val="en-US" w:eastAsia="zh-CN" w:bidi="ar-SA"/>
    </w:rPr>
  </w:style>
  <w:style w:type="character" w:customStyle="1" w:styleId="1-1Char">
    <w:name w:val="正文1-1 Char"/>
    <w:link w:val="1-1"/>
    <w:qFormat/>
    <w:rPr>
      <w:rFonts w:ascii="宋体" w:eastAsia="仿宋_GB2312" w:hAnsi="宋体" w:cs="宋体"/>
      <w:sz w:val="28"/>
      <w:szCs w:val="24"/>
    </w:rPr>
  </w:style>
  <w:style w:type="paragraph" w:customStyle="1" w:styleId="1-1">
    <w:name w:val="正文1-1"/>
    <w:basedOn w:val="a9"/>
    <w:link w:val="1-1Char"/>
    <w:qFormat/>
    <w:pPr>
      <w:widowControl/>
      <w:snapToGrid w:val="0"/>
      <w:spacing w:line="360" w:lineRule="auto"/>
      <w:ind w:firstLineChars="200" w:firstLine="200"/>
      <w:jc w:val="left"/>
    </w:pPr>
    <w:rPr>
      <w:rFonts w:ascii="宋体" w:eastAsia="仿宋_GB2312" w:hAnsi="宋体" w:cs="宋体"/>
      <w:sz w:val="28"/>
    </w:rPr>
  </w:style>
  <w:style w:type="character" w:customStyle="1" w:styleId="CharCharCharCharChar">
    <w:name w:val="列表名称 Char Char Char Char Char"/>
    <w:qFormat/>
    <w:rPr>
      <w:rFonts w:eastAsia="黑体"/>
      <w:bCs/>
      <w:kern w:val="2"/>
      <w:sz w:val="24"/>
      <w:szCs w:val="24"/>
      <w:lang w:val="en-US" w:eastAsia="zh-CN" w:bidi="ar-SA"/>
    </w:rPr>
  </w:style>
  <w:style w:type="character" w:customStyle="1" w:styleId="1CharCharCharChar1CharChar">
    <w:name w:val="正文1 Char Char Char Char1 Char Char"/>
    <w:qFormat/>
    <w:rPr>
      <w:rFonts w:eastAsia="宋体"/>
      <w:kern w:val="2"/>
      <w:sz w:val="24"/>
      <w:szCs w:val="28"/>
      <w:lang w:val="en-US" w:eastAsia="zh-CN" w:bidi="ar-SA"/>
    </w:rPr>
  </w:style>
  <w:style w:type="character" w:customStyle="1" w:styleId="TimesNewRomanChar0">
    <w:name w:val="样式 表格标题新 + (西文) Times New Roman Char"/>
    <w:link w:val="TimesNewRoman0"/>
    <w:qFormat/>
    <w:rPr>
      <w:rFonts w:ascii="仿宋_GB2312" w:eastAsia="黑体"/>
      <w:b/>
      <w:bCs/>
      <w:snapToGrid/>
      <w:spacing w:val="4"/>
      <w:sz w:val="24"/>
      <w:szCs w:val="24"/>
    </w:rPr>
  </w:style>
  <w:style w:type="paragraph" w:customStyle="1" w:styleId="TimesNewRoman0">
    <w:name w:val="样式 表格标题新 + (西文) Times New Roman"/>
    <w:basedOn w:val="affffffff8"/>
    <w:link w:val="TimesNewRomanChar0"/>
    <w:qFormat/>
    <w:pPr>
      <w:widowControl/>
      <w:spacing w:beforeLines="0"/>
      <w:ind w:firstLine="561"/>
    </w:pPr>
    <w:rPr>
      <w:bCs/>
    </w:rPr>
  </w:style>
  <w:style w:type="paragraph" w:customStyle="1" w:styleId="affffffff8">
    <w:name w:val="表格标题新"/>
    <w:basedOn w:val="afffff8"/>
    <w:link w:val="Charffff1"/>
    <w:qFormat/>
    <w:pPr>
      <w:tabs>
        <w:tab w:val="left" w:pos="0"/>
      </w:tabs>
      <w:spacing w:beforeLines="50" w:line="240" w:lineRule="auto"/>
      <w:ind w:firstLine="562"/>
    </w:pPr>
    <w:rPr>
      <w:rFonts w:ascii="仿宋_GB2312" w:eastAsia="黑体"/>
      <w:b/>
      <w:snapToGrid w:val="0"/>
      <w:spacing w:val="4"/>
      <w:szCs w:val="24"/>
    </w:rPr>
  </w:style>
  <w:style w:type="character" w:customStyle="1" w:styleId="Charffff1">
    <w:name w:val="表格标题新 Char"/>
    <w:link w:val="affffffff8"/>
    <w:qFormat/>
    <w:rPr>
      <w:rFonts w:ascii="仿宋_GB2312" w:eastAsia="黑体"/>
      <w:b/>
      <w:snapToGrid/>
      <w:spacing w:val="4"/>
      <w:sz w:val="24"/>
      <w:szCs w:val="24"/>
    </w:rPr>
  </w:style>
  <w:style w:type="character" w:customStyle="1" w:styleId="count">
    <w:name w:val="count"/>
    <w:basedOn w:val="ab"/>
    <w:qFormat/>
  </w:style>
  <w:style w:type="character" w:customStyle="1" w:styleId="dectext1">
    <w:name w:val="dectext1"/>
    <w:qFormat/>
    <w:rPr>
      <w:rFonts w:ascii="宋体" w:eastAsia="宋体" w:hAnsi="宋体" w:hint="eastAsia"/>
      <w:color w:val="333333"/>
      <w:kern w:val="2"/>
      <w:sz w:val="21"/>
      <w:szCs w:val="21"/>
      <w:u w:val="none"/>
      <w:lang w:val="en-US" w:eastAsia="zh-CN" w:bidi="ar-SA"/>
    </w:rPr>
  </w:style>
  <w:style w:type="character" w:customStyle="1" w:styleId="style81">
    <w:name w:val="style81"/>
    <w:qFormat/>
    <w:rPr>
      <w:sz w:val="21"/>
      <w:szCs w:val="21"/>
    </w:rPr>
  </w:style>
  <w:style w:type="character" w:customStyle="1" w:styleId="CharChare">
    <w:name w:val="表名 Char Char"/>
    <w:link w:val="Charffff2"/>
    <w:qFormat/>
    <w:rPr>
      <w:rFonts w:eastAsia="黑体"/>
      <w:kern w:val="2"/>
      <w:sz w:val="24"/>
      <w:szCs w:val="24"/>
    </w:rPr>
  </w:style>
  <w:style w:type="paragraph" w:customStyle="1" w:styleId="Charffff2">
    <w:name w:val="表名 Char"/>
    <w:basedOn w:val="a9"/>
    <w:link w:val="CharChare"/>
    <w:qFormat/>
    <w:pPr>
      <w:widowControl/>
      <w:spacing w:line="480" w:lineRule="exact"/>
      <w:jc w:val="center"/>
    </w:pPr>
    <w:rPr>
      <w:rFonts w:eastAsia="黑体"/>
      <w:sz w:val="24"/>
    </w:rPr>
  </w:style>
  <w:style w:type="character" w:customStyle="1" w:styleId="CharCharCharChar12">
    <w:name w:val="Char Char Char Char12"/>
    <w:qFormat/>
    <w:rPr>
      <w:rFonts w:eastAsia="宋体"/>
      <w:color w:val="000000"/>
      <w:kern w:val="2"/>
      <w:sz w:val="18"/>
      <w:szCs w:val="24"/>
      <w:lang w:val="en-US" w:eastAsia="zh-CN" w:bidi="ar-SA"/>
    </w:rPr>
  </w:style>
  <w:style w:type="character" w:customStyle="1" w:styleId="1ffd">
    <w:name w:val="电子邮件签名 字符1"/>
    <w:qFormat/>
    <w:rPr>
      <w:kern w:val="2"/>
      <w:sz w:val="21"/>
      <w:szCs w:val="24"/>
    </w:rPr>
  </w:style>
  <w:style w:type="character" w:customStyle="1" w:styleId="64">
    <w:name w:val="标题6"/>
    <w:basedOn w:val="ab"/>
    <w:qFormat/>
  </w:style>
  <w:style w:type="character" w:customStyle="1" w:styleId="CharChar63">
    <w:name w:val="Char Char63"/>
    <w:qFormat/>
    <w:rPr>
      <w:rFonts w:eastAsia="宋体"/>
      <w:kern w:val="2"/>
      <w:sz w:val="24"/>
      <w:lang w:val="en-US" w:eastAsia="zh-CN" w:bidi="ar-SA"/>
    </w:rPr>
  </w:style>
  <w:style w:type="character" w:customStyle="1" w:styleId="1ffe">
    <w:name w:val="信息标题 字符1"/>
    <w:qFormat/>
    <w:rPr>
      <w:rFonts w:ascii="Arial" w:hAnsi="Arial" w:cs="Arial"/>
      <w:kern w:val="2"/>
      <w:sz w:val="24"/>
      <w:szCs w:val="24"/>
      <w:shd w:val="pct20" w:color="auto" w:fill="auto"/>
    </w:rPr>
  </w:style>
  <w:style w:type="character" w:customStyle="1" w:styleId="CharCharf">
    <w:name w:val="列表 Char Char"/>
    <w:qFormat/>
    <w:rPr>
      <w:rFonts w:eastAsia="黑体"/>
      <w:kern w:val="2"/>
      <w:sz w:val="24"/>
      <w:szCs w:val="22"/>
      <w:lang w:val="en-US" w:eastAsia="zh-CN" w:bidi="ar-SA"/>
    </w:rPr>
  </w:style>
  <w:style w:type="character" w:customStyle="1" w:styleId="HTML11">
    <w:name w:val="HTML 预设格式 字符1"/>
    <w:qFormat/>
    <w:rPr>
      <w:rFonts w:ascii="黑体" w:eastAsia="黑体" w:hAnsi="Courier New" w:cs="Courier New"/>
    </w:rPr>
  </w:style>
  <w:style w:type="character" w:customStyle="1" w:styleId="CharCharCharCharCharChar1CharCharCharChaCharChar">
    <w:name w:val="样式 列表列表 Char列表 Char Char Char Char Char1列表 Char Char Char Cha... Char Char"/>
    <w:qFormat/>
    <w:rPr>
      <w:rFonts w:eastAsia="黑体"/>
      <w:kern w:val="2"/>
      <w:sz w:val="24"/>
      <w:szCs w:val="24"/>
      <w:lang w:val="en-US" w:eastAsia="zh-CN" w:bidi="ar-SA"/>
    </w:rPr>
  </w:style>
  <w:style w:type="character" w:customStyle="1" w:styleId="CharCharChar">
    <w:name w:val="页眉 Char Char Char"/>
    <w:qFormat/>
    <w:rPr>
      <w:rFonts w:ascii="Arial" w:eastAsia="华文细黑" w:hAnsi="Arial"/>
      <w:b/>
      <w:sz w:val="24"/>
      <w:lang w:eastAsia="de-DE"/>
    </w:rPr>
  </w:style>
  <w:style w:type="character" w:customStyle="1" w:styleId="Charffff3">
    <w:name w:val="工艺方框 Char"/>
    <w:link w:val="affffffff9"/>
    <w:qFormat/>
    <w:rPr>
      <w:rFonts w:ascii="宋体"/>
      <w:snapToGrid/>
      <w:kern w:val="2"/>
      <w:sz w:val="21"/>
      <w:szCs w:val="21"/>
    </w:rPr>
  </w:style>
  <w:style w:type="paragraph" w:customStyle="1" w:styleId="affffffff9">
    <w:name w:val="工艺方框"/>
    <w:basedOn w:val="affff3"/>
    <w:link w:val="Charffff3"/>
    <w:qFormat/>
    <w:pPr>
      <w:widowControl/>
      <w:snapToGrid w:val="0"/>
      <w:spacing w:beforeLines="50" w:before="120" w:afterLines="0" w:after="60" w:line="240" w:lineRule="auto"/>
    </w:pPr>
    <w:rPr>
      <w:rFonts w:ascii="宋体" w:eastAsia="宋体"/>
      <w:snapToGrid w:val="0"/>
      <w:sz w:val="21"/>
      <w:szCs w:val="21"/>
    </w:rPr>
  </w:style>
  <w:style w:type="character" w:customStyle="1" w:styleId="CharChar2">
    <w:name w:val="表头 Char Char2"/>
    <w:link w:val="affff3"/>
    <w:qFormat/>
    <w:rPr>
      <w:rFonts w:eastAsia="黑体"/>
      <w:kern w:val="2"/>
      <w:sz w:val="24"/>
      <w:szCs w:val="24"/>
    </w:rPr>
  </w:style>
  <w:style w:type="character" w:customStyle="1" w:styleId="smll">
    <w:name w:val="smll"/>
    <w:basedOn w:val="ab"/>
    <w:qFormat/>
  </w:style>
  <w:style w:type="character" w:customStyle="1" w:styleId="13Char">
    <w:name w:val="样式13 Char"/>
    <w:link w:val="130"/>
    <w:qFormat/>
    <w:rPr>
      <w:b/>
      <w:color w:val="000000"/>
      <w:sz w:val="24"/>
      <w:szCs w:val="24"/>
      <w:lang w:bidi="ne-NP"/>
    </w:rPr>
  </w:style>
  <w:style w:type="paragraph" w:customStyle="1" w:styleId="130">
    <w:name w:val="样式13"/>
    <w:basedOn w:val="4"/>
    <w:link w:val="13Char"/>
    <w:qFormat/>
    <w:pPr>
      <w:numPr>
        <w:ilvl w:val="0"/>
        <w:numId w:val="0"/>
      </w:numPr>
      <w:tabs>
        <w:tab w:val="left" w:pos="0"/>
        <w:tab w:val="left" w:pos="480"/>
        <w:tab w:val="left" w:pos="596"/>
        <w:tab w:val="left" w:pos="851"/>
        <w:tab w:val="left" w:pos="1567"/>
      </w:tabs>
      <w:ind w:left="142"/>
    </w:pPr>
    <w:rPr>
      <w:lang w:bidi="ne-NP"/>
    </w:rPr>
  </w:style>
  <w:style w:type="character" w:customStyle="1" w:styleId="text11">
    <w:name w:val="text11"/>
    <w:qFormat/>
    <w:rPr>
      <w:sz w:val="25"/>
      <w:szCs w:val="25"/>
    </w:rPr>
  </w:style>
  <w:style w:type="character" w:customStyle="1" w:styleId="CharChar112">
    <w:name w:val="Char Char112"/>
    <w:link w:val="65"/>
    <w:qFormat/>
    <w:rPr>
      <w:bCs/>
      <w:snapToGrid/>
      <w:sz w:val="24"/>
    </w:rPr>
  </w:style>
  <w:style w:type="paragraph" w:customStyle="1" w:styleId="65">
    <w:name w:val="正文6"/>
    <w:link w:val="CharChar112"/>
    <w:qFormat/>
    <w:pPr>
      <w:spacing w:after="60" w:line="360" w:lineRule="auto"/>
      <w:jc w:val="both"/>
    </w:pPr>
    <w:rPr>
      <w:bCs/>
      <w:snapToGrid w:val="0"/>
      <w:sz w:val="24"/>
    </w:rPr>
  </w:style>
  <w:style w:type="character" w:customStyle="1" w:styleId="textnew">
    <w:name w:val="text_new"/>
    <w:basedOn w:val="ab"/>
    <w:qFormat/>
  </w:style>
  <w:style w:type="character" w:customStyle="1" w:styleId="11p1">
    <w:name w:val="11p1"/>
    <w:qFormat/>
    <w:rPr>
      <w:sz w:val="24"/>
      <w:szCs w:val="24"/>
    </w:rPr>
  </w:style>
  <w:style w:type="character" w:customStyle="1" w:styleId="CharCharf0">
    <w:name w:val="强制性条文 Char Char"/>
    <w:link w:val="affffffffa"/>
    <w:qFormat/>
    <w:rPr>
      <w:rFonts w:ascii="黑体" w:eastAsia="黑体" w:hAnsi="黑体" w:cs="宋体"/>
      <w:b/>
      <w:kern w:val="2"/>
      <w:sz w:val="24"/>
    </w:rPr>
  </w:style>
  <w:style w:type="paragraph" w:customStyle="1" w:styleId="affffffffa">
    <w:name w:val="强制性条文"/>
    <w:basedOn w:val="1CharCharCharCharCharCharChar"/>
    <w:link w:val="CharCharf0"/>
    <w:qFormat/>
    <w:pPr>
      <w:ind w:firstLine="482"/>
    </w:pPr>
    <w:rPr>
      <w:rFonts w:ascii="黑体" w:eastAsia="黑体" w:hAnsi="黑体"/>
      <w:b/>
    </w:rPr>
  </w:style>
  <w:style w:type="character" w:customStyle="1" w:styleId="Charffff4">
    <w:name w:val="表格头 Char"/>
    <w:link w:val="affffffffb"/>
    <w:qFormat/>
    <w:rPr>
      <w:rFonts w:ascii="Arial" w:hAnsi="Arial"/>
      <w:kern w:val="2"/>
      <w:sz w:val="21"/>
      <w:szCs w:val="21"/>
    </w:rPr>
  </w:style>
  <w:style w:type="paragraph" w:customStyle="1" w:styleId="affffffffb">
    <w:name w:val="表格头"/>
    <w:basedOn w:val="afffff5"/>
    <w:link w:val="Charffff4"/>
    <w:qFormat/>
    <w:pPr>
      <w:spacing w:line="280" w:lineRule="exact"/>
      <w:ind w:leftChars="-20" w:left="-20" w:rightChars="-20" w:right="-20"/>
    </w:pPr>
    <w:rPr>
      <w:rFonts w:ascii="Arial" w:hAnsi="Arial"/>
      <w:kern w:val="2"/>
      <w:szCs w:val="21"/>
    </w:rPr>
  </w:style>
  <w:style w:type="character" w:customStyle="1" w:styleId="Charffff5">
    <w:name w:val="报告表格 Char"/>
    <w:link w:val="affffffffc"/>
    <w:qFormat/>
    <w:rPr>
      <w:sz w:val="21"/>
    </w:rPr>
  </w:style>
  <w:style w:type="paragraph" w:customStyle="1" w:styleId="affffffffc">
    <w:name w:val="报告表格"/>
    <w:basedOn w:val="a9"/>
    <w:link w:val="Charffff5"/>
    <w:qFormat/>
    <w:pPr>
      <w:autoSpaceDE w:val="0"/>
      <w:autoSpaceDN w:val="0"/>
      <w:adjustRightInd w:val="0"/>
      <w:spacing w:before="40" w:after="40" w:line="360" w:lineRule="auto"/>
      <w:jc w:val="center"/>
      <w:textAlignment w:val="bottom"/>
    </w:pPr>
  </w:style>
  <w:style w:type="character" w:customStyle="1" w:styleId="span14">
    <w:name w:val="span14"/>
    <w:qFormat/>
  </w:style>
  <w:style w:type="character" w:customStyle="1" w:styleId="CharChar100">
    <w:name w:val="Char Char10"/>
    <w:qFormat/>
    <w:rPr>
      <w:rFonts w:eastAsia="宋体"/>
      <w:kern w:val="2"/>
      <w:sz w:val="16"/>
      <w:szCs w:val="16"/>
      <w:lang w:val="en-US" w:eastAsia="zh-CN" w:bidi="ar-SA"/>
    </w:rPr>
  </w:style>
  <w:style w:type="character" w:customStyle="1" w:styleId="CharCharChar0">
    <w:name w:val="列表名称 Char Char Char"/>
    <w:qFormat/>
    <w:rPr>
      <w:rFonts w:eastAsia="黑体"/>
      <w:bCs/>
      <w:kern w:val="2"/>
      <w:sz w:val="24"/>
      <w:szCs w:val="24"/>
      <w:lang w:val="en-US" w:eastAsia="zh-CN" w:bidi="ar-SA"/>
    </w:rPr>
  </w:style>
  <w:style w:type="character" w:customStyle="1" w:styleId="2Char5">
    <w:name w:val="样式 君邦正文 + 蓝色2 Char"/>
    <w:link w:val="2f6"/>
    <w:qFormat/>
    <w:rPr>
      <w:bCs/>
      <w:snapToGrid/>
      <w:color w:val="0000FF"/>
      <w:sz w:val="24"/>
    </w:rPr>
  </w:style>
  <w:style w:type="paragraph" w:customStyle="1" w:styleId="2f6">
    <w:name w:val="样式 君邦正文 + 蓝色2"/>
    <w:basedOn w:val="affff7"/>
    <w:link w:val="2Char5"/>
    <w:qFormat/>
    <w:pPr>
      <w:spacing w:after="0" w:line="240" w:lineRule="atLeast"/>
      <w:ind w:firstLineChars="0" w:firstLine="0"/>
      <w:jc w:val="center"/>
    </w:pPr>
    <w:rPr>
      <w:color w:val="0000FF"/>
    </w:rPr>
  </w:style>
  <w:style w:type="character" w:customStyle="1" w:styleId="214">
    <w:name w:val="正文文本首行缩进 2 字符1"/>
    <w:qFormat/>
    <w:rPr>
      <w:rFonts w:ascii="宋体"/>
      <w:kern w:val="2"/>
      <w:sz w:val="24"/>
      <w:szCs w:val="28"/>
    </w:rPr>
  </w:style>
  <w:style w:type="character" w:customStyle="1" w:styleId="Charffff6">
    <w:name w:val="二级标题 Char"/>
    <w:link w:val="affffffffd"/>
    <w:qFormat/>
    <w:rPr>
      <w:rFonts w:eastAsia="宋体" w:cs="Arial"/>
      <w:bCs/>
      <w:color w:val="000000"/>
      <w:kern w:val="44"/>
      <w:sz w:val="28"/>
      <w:szCs w:val="28"/>
      <w:lang w:val="en-US" w:eastAsia="zh-CN" w:bidi="ar-SA"/>
    </w:rPr>
  </w:style>
  <w:style w:type="paragraph" w:customStyle="1" w:styleId="affffffffd">
    <w:name w:val="二级标题"/>
    <w:basedOn w:val="1"/>
    <w:link w:val="Charffff6"/>
    <w:qFormat/>
    <w:pPr>
      <w:pageBreakBefore w:val="0"/>
      <w:numPr>
        <w:numId w:val="0"/>
      </w:numPr>
      <w:tabs>
        <w:tab w:val="left" w:pos="567"/>
      </w:tabs>
      <w:spacing w:beforeLines="200" w:after="0"/>
      <w:ind w:left="567" w:hanging="567"/>
      <w:jc w:val="center"/>
    </w:pPr>
    <w:rPr>
      <w:rFonts w:cs="Arial"/>
      <w:b w:val="0"/>
      <w:bCs/>
      <w:color w:val="000000"/>
      <w:sz w:val="28"/>
      <w:szCs w:val="28"/>
    </w:rPr>
  </w:style>
  <w:style w:type="character" w:customStyle="1" w:styleId="ttag">
    <w:name w:val="t_tag"/>
    <w:basedOn w:val="ab"/>
    <w:qFormat/>
  </w:style>
  <w:style w:type="character" w:customStyle="1" w:styleId="TimesNewRoman20Char">
    <w:name w:val="样式 (西文) Times New Roman (中文) 宋体 (符号) 宋体 行距: 固定值 20 磅 首行缩进:  ... Char"/>
    <w:qFormat/>
    <w:rPr>
      <w:rFonts w:hAnsi="宋体" w:cs="宋体"/>
      <w:sz w:val="24"/>
      <w:lang w:eastAsia="de-DE"/>
    </w:rPr>
  </w:style>
  <w:style w:type="character" w:customStyle="1" w:styleId="1C0">
    <w:name w:val="列表1 C"/>
    <w:qFormat/>
    <w:rPr>
      <w:rFonts w:eastAsia="黑体"/>
      <w:kern w:val="2"/>
      <w:sz w:val="22"/>
      <w:szCs w:val="22"/>
      <w:lang w:val="en-US" w:eastAsia="zh-CN" w:bidi="ar-SA"/>
    </w:rPr>
  </w:style>
  <w:style w:type="character" w:customStyle="1" w:styleId="fontblue1">
    <w:name w:val="fontblue1"/>
    <w:qFormat/>
    <w:rPr>
      <w:rFonts w:ascii="ˎ̥" w:hAnsi="ˎ̥" w:hint="default"/>
      <w:color w:val="0000FF"/>
      <w:sz w:val="18"/>
      <w:szCs w:val="18"/>
    </w:rPr>
  </w:style>
  <w:style w:type="character" w:customStyle="1" w:styleId="Charffff7">
    <w:name w:val="表名称 Char"/>
    <w:qFormat/>
    <w:rPr>
      <w:rFonts w:ascii="黑体" w:eastAsia="黑体"/>
      <w:kern w:val="2"/>
      <w:sz w:val="24"/>
      <w:szCs w:val="28"/>
      <w:lang w:val="en-US" w:eastAsia="zh-CN" w:bidi="ar-SA"/>
    </w:rPr>
  </w:style>
  <w:style w:type="character" w:customStyle="1" w:styleId="1CharChar3">
    <w:name w:val="正文1 Char Char3"/>
    <w:qFormat/>
    <w:rPr>
      <w:rFonts w:eastAsia="仿宋_GB2312"/>
      <w:kern w:val="2"/>
      <w:sz w:val="28"/>
      <w:szCs w:val="28"/>
      <w:lang w:val="en-US" w:eastAsia="zh-CN" w:bidi="ar-SA"/>
    </w:rPr>
  </w:style>
  <w:style w:type="character" w:customStyle="1" w:styleId="Charffff8">
    <w:name w:val="数据来源 Char"/>
    <w:link w:val="affffffffe"/>
    <w:qFormat/>
    <w:locked/>
    <w:rPr>
      <w:rFonts w:ascii="宋体" w:eastAsia="楷体_GB2312" w:hAnsi="宋体"/>
      <w:sz w:val="18"/>
      <w:szCs w:val="24"/>
    </w:rPr>
  </w:style>
  <w:style w:type="paragraph" w:customStyle="1" w:styleId="affffffffe">
    <w:name w:val="数据来源"/>
    <w:basedOn w:val="a9"/>
    <w:next w:val="a9"/>
    <w:link w:val="Charffff8"/>
    <w:qFormat/>
    <w:pPr>
      <w:widowControl/>
      <w:tabs>
        <w:tab w:val="left" w:pos="1440"/>
      </w:tabs>
      <w:spacing w:line="240" w:lineRule="atLeast"/>
      <w:ind w:leftChars="400" w:left="960"/>
    </w:pPr>
    <w:rPr>
      <w:rFonts w:ascii="宋体" w:eastAsia="楷体_GB2312" w:hAnsi="宋体"/>
      <w:sz w:val="18"/>
    </w:rPr>
  </w:style>
  <w:style w:type="character" w:customStyle="1" w:styleId="BalloonTextChar">
    <w:name w:val="Balloon Text Char"/>
    <w:semiHidden/>
    <w:qFormat/>
    <w:locked/>
    <w:rPr>
      <w:rFonts w:ascii="Times New Roman" w:eastAsia="宋体" w:hAnsi="Times New Roman" w:cs="Times New Roman"/>
      <w:sz w:val="18"/>
      <w:szCs w:val="18"/>
    </w:rPr>
  </w:style>
  <w:style w:type="character" w:customStyle="1" w:styleId="searchcontent1">
    <w:name w:val="search_content1"/>
    <w:qFormat/>
    <w:rPr>
      <w:sz w:val="20"/>
      <w:szCs w:val="20"/>
    </w:rPr>
  </w:style>
  <w:style w:type="character" w:customStyle="1" w:styleId="Charffff9">
    <w:name w:val="图标准 Char"/>
    <w:link w:val="afffffffff"/>
    <w:qFormat/>
    <w:rPr>
      <w:rFonts w:ascii="仿宋_GB2312" w:eastAsia="黑体"/>
      <w:b/>
      <w:snapToGrid/>
      <w:spacing w:val="4"/>
      <w:sz w:val="24"/>
      <w:szCs w:val="28"/>
    </w:rPr>
  </w:style>
  <w:style w:type="paragraph" w:customStyle="1" w:styleId="afffffffff">
    <w:name w:val="图标准"/>
    <w:basedOn w:val="affffffff8"/>
    <w:link w:val="Charffff9"/>
    <w:qFormat/>
    <w:pPr>
      <w:widowControl/>
      <w:spacing w:beforeLines="100" w:line="360" w:lineRule="auto"/>
    </w:pPr>
    <w:rPr>
      <w:szCs w:val="28"/>
    </w:rPr>
  </w:style>
  <w:style w:type="character" w:customStyle="1" w:styleId="Charffffa">
    <w:name w:val="附录图标题 Char"/>
    <w:link w:val="a2"/>
    <w:qFormat/>
    <w:rPr>
      <w:rFonts w:ascii="黑体" w:eastAsia="黑体"/>
      <w:sz w:val="21"/>
    </w:rPr>
  </w:style>
  <w:style w:type="paragraph" w:customStyle="1" w:styleId="a2">
    <w:name w:val="附录图标题"/>
    <w:next w:val="4"/>
    <w:link w:val="Charffffa"/>
    <w:qFormat/>
    <w:pPr>
      <w:numPr>
        <w:numId w:val="3"/>
      </w:numPr>
      <w:jc w:val="center"/>
    </w:pPr>
    <w:rPr>
      <w:rFonts w:ascii="黑体" w:eastAsia="黑体"/>
      <w:sz w:val="21"/>
    </w:rPr>
  </w:style>
  <w:style w:type="character" w:customStyle="1" w:styleId="dxjChar">
    <w:name w:val="dxj正文 Char"/>
    <w:link w:val="dxj"/>
    <w:qFormat/>
    <w:rPr>
      <w:kern w:val="2"/>
      <w:sz w:val="24"/>
      <w:szCs w:val="24"/>
    </w:rPr>
  </w:style>
  <w:style w:type="paragraph" w:customStyle="1" w:styleId="dxj">
    <w:name w:val="dxj正文"/>
    <w:basedOn w:val="a9"/>
    <w:link w:val="dxjChar"/>
    <w:qFormat/>
    <w:pPr>
      <w:widowControl/>
      <w:spacing w:line="360" w:lineRule="auto"/>
      <w:ind w:firstLineChars="200" w:firstLine="200"/>
    </w:pPr>
    <w:rPr>
      <w:sz w:val="24"/>
    </w:rPr>
  </w:style>
  <w:style w:type="character" w:customStyle="1" w:styleId="1fff">
    <w:name w:val="结束语 字符1"/>
    <w:qFormat/>
    <w:rPr>
      <w:kern w:val="2"/>
      <w:sz w:val="21"/>
      <w:szCs w:val="24"/>
    </w:rPr>
  </w:style>
  <w:style w:type="character" w:customStyle="1" w:styleId="1fff0">
    <w:name w:val="脚注文本 字符1"/>
    <w:qFormat/>
    <w:rPr>
      <w:kern w:val="2"/>
      <w:sz w:val="18"/>
      <w:szCs w:val="18"/>
    </w:rPr>
  </w:style>
  <w:style w:type="character" w:customStyle="1" w:styleId="CharCharf1">
    <w:name w:val="正文样式 Char Char"/>
    <w:link w:val="afffffffff0"/>
    <w:qFormat/>
    <w:rPr>
      <w:sz w:val="24"/>
    </w:rPr>
  </w:style>
  <w:style w:type="paragraph" w:customStyle="1" w:styleId="afffffffff0">
    <w:name w:val="正文样式"/>
    <w:basedOn w:val="a9"/>
    <w:link w:val="CharCharf1"/>
    <w:qFormat/>
    <w:pPr>
      <w:widowControl/>
      <w:spacing w:line="400" w:lineRule="exact"/>
      <w:ind w:firstLineChars="200" w:firstLine="200"/>
    </w:pPr>
    <w:rPr>
      <w:sz w:val="24"/>
    </w:rPr>
  </w:style>
  <w:style w:type="character" w:customStyle="1" w:styleId="postbody1">
    <w:name w:val="postbody1"/>
    <w:qFormat/>
    <w:rPr>
      <w:sz w:val="21"/>
      <w:szCs w:val="21"/>
    </w:rPr>
  </w:style>
  <w:style w:type="character" w:customStyle="1" w:styleId="Charffffb">
    <w:name w:val="注释 Char"/>
    <w:link w:val="afffffffff1"/>
    <w:qFormat/>
    <w:rPr>
      <w:rFonts w:ascii="Arial" w:hAnsi="Arial"/>
      <w:color w:val="000000"/>
      <w:kern w:val="2"/>
      <w:sz w:val="18"/>
      <w:szCs w:val="18"/>
    </w:rPr>
  </w:style>
  <w:style w:type="paragraph" w:customStyle="1" w:styleId="afffffffff1">
    <w:name w:val="注释"/>
    <w:basedOn w:val="afffff5"/>
    <w:link w:val="Charffffb"/>
    <w:qFormat/>
    <w:pPr>
      <w:widowControl/>
      <w:jc w:val="both"/>
    </w:pPr>
    <w:rPr>
      <w:rFonts w:ascii="Arial" w:hAnsi="Arial"/>
      <w:color w:val="000000"/>
      <w:kern w:val="2"/>
      <w:sz w:val="18"/>
      <w:szCs w:val="18"/>
    </w:rPr>
  </w:style>
  <w:style w:type="character" w:customStyle="1" w:styleId="z-Char0">
    <w:name w:val="z-窗体顶端 Char"/>
    <w:link w:val="z-20"/>
    <w:qFormat/>
    <w:rPr>
      <w:rFonts w:ascii="Arial" w:hAnsi="Arial" w:cs="Arial"/>
      <w:vanish/>
      <w:sz w:val="16"/>
      <w:szCs w:val="16"/>
    </w:rPr>
  </w:style>
  <w:style w:type="paragraph" w:customStyle="1" w:styleId="z-20">
    <w:name w:val="z-窗体顶端2"/>
    <w:basedOn w:val="a9"/>
    <w:next w:val="a9"/>
    <w:link w:val="z-Char0"/>
    <w:qFormat/>
    <w:pPr>
      <w:widowControl/>
      <w:pBdr>
        <w:bottom w:val="single" w:sz="6" w:space="1" w:color="auto"/>
      </w:pBdr>
      <w:jc w:val="center"/>
    </w:pPr>
    <w:rPr>
      <w:rFonts w:ascii="Arial" w:hAnsi="Arial" w:cs="Arial"/>
      <w:vanish/>
      <w:sz w:val="16"/>
      <w:szCs w:val="16"/>
    </w:rPr>
  </w:style>
  <w:style w:type="character" w:customStyle="1" w:styleId="z-Char10">
    <w:name w:val="z-窗体顶端 Char1"/>
    <w:uiPriority w:val="99"/>
    <w:semiHidden/>
    <w:qFormat/>
    <w:rPr>
      <w:rFonts w:ascii="Arial" w:hAnsi="Arial" w:cs="Arial"/>
      <w:vanish/>
      <w:kern w:val="2"/>
      <w:sz w:val="16"/>
      <w:szCs w:val="16"/>
    </w:rPr>
  </w:style>
  <w:style w:type="character" w:customStyle="1" w:styleId="2Char12">
    <w:name w:val="正文文本 2 Char1"/>
    <w:qFormat/>
    <w:rPr>
      <w:rFonts w:ascii="Calibri" w:eastAsia="宋体" w:hAnsi="Calibri" w:cs="Times New Roman"/>
      <w:kern w:val="2"/>
      <w:sz w:val="28"/>
      <w:szCs w:val="28"/>
    </w:rPr>
  </w:style>
  <w:style w:type="character" w:customStyle="1" w:styleId="1Char9">
    <w:name w:val="标题1 Char"/>
    <w:qFormat/>
    <w:rPr>
      <w:rFonts w:eastAsia="黑体"/>
      <w:b/>
      <w:kern w:val="2"/>
      <w:sz w:val="24"/>
      <w:lang w:val="en-US" w:eastAsia="zh-CN" w:bidi="ar-SA"/>
    </w:rPr>
  </w:style>
  <w:style w:type="character" w:customStyle="1" w:styleId="lemmatitleh1">
    <w:name w:val="lemmatitleh1"/>
    <w:basedOn w:val="ab"/>
    <w:qFormat/>
  </w:style>
  <w:style w:type="character" w:customStyle="1" w:styleId="-11">
    <w:name w:val="表格标题-1"/>
    <w:qFormat/>
    <w:rPr>
      <w:rFonts w:eastAsia="宋体"/>
      <w:kern w:val="0"/>
      <w:sz w:val="24"/>
    </w:rPr>
  </w:style>
  <w:style w:type="character" w:customStyle="1" w:styleId="headline-content2">
    <w:name w:val="headline-content2"/>
    <w:basedOn w:val="ab"/>
    <w:qFormat/>
  </w:style>
  <w:style w:type="character" w:customStyle="1" w:styleId="1CharCharCharCharCharChar0">
    <w:name w:val="正文1 Char Char Char Char Char Char"/>
    <w:qFormat/>
    <w:rPr>
      <w:rFonts w:eastAsia="宋体"/>
      <w:kern w:val="2"/>
      <w:sz w:val="24"/>
      <w:szCs w:val="28"/>
      <w:lang w:val="en-US" w:eastAsia="zh-CN" w:bidi="ar-SA"/>
    </w:rPr>
  </w:style>
  <w:style w:type="character" w:customStyle="1" w:styleId="8Char1Char">
    <w:name w:val="8 Char1 Char"/>
    <w:link w:val="8Char1"/>
    <w:qFormat/>
    <w:rPr>
      <w:kern w:val="10"/>
      <w:sz w:val="24"/>
      <w:szCs w:val="24"/>
    </w:rPr>
  </w:style>
  <w:style w:type="paragraph" w:customStyle="1" w:styleId="8Char1">
    <w:name w:val="8 Char1"/>
    <w:basedOn w:val="a9"/>
    <w:link w:val="8Char1Char"/>
    <w:semiHidden/>
    <w:qFormat/>
    <w:pPr>
      <w:widowControl/>
      <w:spacing w:line="360" w:lineRule="auto"/>
      <w:ind w:firstLineChars="200" w:firstLine="480"/>
    </w:pPr>
    <w:rPr>
      <w:kern w:val="10"/>
      <w:sz w:val="24"/>
    </w:rPr>
  </w:style>
  <w:style w:type="character" w:customStyle="1" w:styleId="Charffffc">
    <w:name w:val="图题 Char"/>
    <w:link w:val="afffffffff2"/>
    <w:qFormat/>
    <w:locked/>
    <w:rPr>
      <w:rFonts w:ascii="宋体" w:hAnsi="宋体"/>
      <w:sz w:val="25"/>
      <w:szCs w:val="25"/>
    </w:rPr>
  </w:style>
  <w:style w:type="paragraph" w:customStyle="1" w:styleId="afffffffff2">
    <w:name w:val="图题"/>
    <w:link w:val="Charffffc"/>
    <w:qFormat/>
    <w:pPr>
      <w:tabs>
        <w:tab w:val="left" w:pos="480"/>
      </w:tabs>
      <w:spacing w:beforeLines="50" w:afterLines="50" w:line="360" w:lineRule="auto"/>
      <w:jc w:val="center"/>
    </w:pPr>
    <w:rPr>
      <w:rFonts w:ascii="宋体" w:hAnsi="宋体"/>
      <w:sz w:val="25"/>
      <w:szCs w:val="25"/>
    </w:rPr>
  </w:style>
  <w:style w:type="character" w:customStyle="1" w:styleId="CharChar92">
    <w:name w:val="Char Char92"/>
    <w:qFormat/>
    <w:rPr>
      <w:rFonts w:ascii="Arial" w:eastAsia="黑体" w:hAnsi="Arial"/>
      <w:sz w:val="24"/>
    </w:rPr>
  </w:style>
  <w:style w:type="character" w:customStyle="1" w:styleId="CharChar80">
    <w:name w:val="Char Char8"/>
    <w:qFormat/>
    <w:rPr>
      <w:rFonts w:eastAsia="宋体"/>
      <w:kern w:val="2"/>
      <w:sz w:val="21"/>
      <w:szCs w:val="24"/>
      <w:lang w:val="en-US" w:eastAsia="zh-CN" w:bidi="ar-SA"/>
    </w:rPr>
  </w:style>
  <w:style w:type="character" w:customStyle="1" w:styleId="1fff1">
    <w:name w:val="签名 字符1"/>
    <w:qFormat/>
    <w:rPr>
      <w:kern w:val="2"/>
      <w:sz w:val="21"/>
      <w:szCs w:val="24"/>
    </w:rPr>
  </w:style>
  <w:style w:type="character" w:customStyle="1" w:styleId="CharChar182">
    <w:name w:val="Char Char182"/>
    <w:qFormat/>
    <w:rPr>
      <w:rFonts w:ascii="Arial" w:eastAsia="宋体" w:hAnsi="Arial"/>
      <w:b/>
      <w:bCs/>
      <w:kern w:val="2"/>
      <w:sz w:val="32"/>
      <w:szCs w:val="32"/>
      <w:lang w:val="en-US" w:eastAsia="zh-CN" w:bidi="ar-SA"/>
    </w:rPr>
  </w:style>
  <w:style w:type="character" w:customStyle="1" w:styleId="CharChar82">
    <w:name w:val="Char Char82"/>
    <w:qFormat/>
    <w:rPr>
      <w:rFonts w:eastAsia="宋体"/>
      <w:kern w:val="2"/>
      <w:sz w:val="21"/>
      <w:szCs w:val="24"/>
      <w:lang w:val="en-US" w:eastAsia="zh-CN" w:bidi="ar-SA"/>
    </w:rPr>
  </w:style>
  <w:style w:type="character" w:customStyle="1" w:styleId="Charffffd">
    <w:name w:val="验收报告书正文 Char"/>
    <w:link w:val="afffffffff3"/>
    <w:qFormat/>
    <w:rPr>
      <w:bCs/>
      <w:snapToGrid/>
      <w:kern w:val="2"/>
      <w:sz w:val="24"/>
      <w:szCs w:val="22"/>
    </w:rPr>
  </w:style>
  <w:style w:type="paragraph" w:customStyle="1" w:styleId="afffffffff3">
    <w:name w:val="验收报告书正文"/>
    <w:basedOn w:val="affff7"/>
    <w:link w:val="Charffffd"/>
    <w:qFormat/>
    <w:rPr>
      <w:kern w:val="2"/>
      <w:szCs w:val="22"/>
    </w:rPr>
  </w:style>
  <w:style w:type="character" w:customStyle="1" w:styleId="CharChar12">
    <w:name w:val="Char Char12"/>
    <w:qFormat/>
    <w:rPr>
      <w:rFonts w:eastAsia="宋体"/>
      <w:kern w:val="2"/>
      <w:sz w:val="21"/>
      <w:szCs w:val="24"/>
      <w:lang w:val="en-US" w:eastAsia="zh-CN" w:bidi="ar-SA"/>
    </w:rPr>
  </w:style>
  <w:style w:type="character" w:customStyle="1" w:styleId="611">
    <w:name w:val="标题61"/>
    <w:basedOn w:val="ab"/>
    <w:qFormat/>
  </w:style>
  <w:style w:type="character" w:customStyle="1" w:styleId="CharChar181">
    <w:name w:val="Char Char181"/>
    <w:qFormat/>
    <w:rPr>
      <w:rFonts w:ascii="Arial" w:eastAsia="宋体" w:hAnsi="Arial"/>
      <w:b/>
      <w:bCs/>
      <w:kern w:val="2"/>
      <w:sz w:val="32"/>
      <w:szCs w:val="32"/>
      <w:lang w:val="en-US" w:eastAsia="zh-CN" w:bidi="ar-SA"/>
    </w:rPr>
  </w:style>
  <w:style w:type="character" w:customStyle="1" w:styleId="CharChar311">
    <w:name w:val="Char Char311"/>
    <w:qFormat/>
    <w:rPr>
      <w:kern w:val="2"/>
      <w:sz w:val="21"/>
      <w:szCs w:val="24"/>
    </w:rPr>
  </w:style>
  <w:style w:type="character" w:customStyle="1" w:styleId="CharChar111">
    <w:name w:val="Char Char111"/>
    <w:qFormat/>
    <w:rPr>
      <w:rFonts w:ascii="Times New Roman" w:eastAsia="宋体" w:hAnsi="Times New Roman" w:cs="Times New Roman"/>
      <w:snapToGrid/>
      <w:kern w:val="0"/>
      <w:sz w:val="24"/>
      <w:szCs w:val="20"/>
      <w:lang w:val="en-US" w:eastAsia="zh-CN" w:bidi="ar-SA"/>
    </w:rPr>
  </w:style>
  <w:style w:type="character" w:customStyle="1" w:styleId="CharChar41">
    <w:name w:val="Char Char41"/>
    <w:qFormat/>
    <w:rPr>
      <w:rFonts w:ascii="Times New Roman" w:eastAsia="宋体" w:hAnsi="Times New Roman" w:cs="Times New Roman"/>
      <w:snapToGrid/>
      <w:kern w:val="0"/>
      <w:sz w:val="24"/>
      <w:szCs w:val="20"/>
      <w:lang w:val="en-US" w:eastAsia="zh-CN" w:bidi="ar-SA"/>
    </w:rPr>
  </w:style>
  <w:style w:type="character" w:customStyle="1" w:styleId="Charffffe">
    <w:name w:val="报告书表格中文字 Char"/>
    <w:link w:val="afffffffff4"/>
    <w:qFormat/>
    <w:rPr>
      <w:sz w:val="18"/>
      <w:szCs w:val="18"/>
    </w:rPr>
  </w:style>
  <w:style w:type="paragraph" w:customStyle="1" w:styleId="afffffffff4">
    <w:name w:val="报告书表格中文字"/>
    <w:basedOn w:val="a9"/>
    <w:link w:val="Charffffe"/>
    <w:qFormat/>
    <w:pPr>
      <w:adjustRightInd w:val="0"/>
      <w:snapToGrid w:val="0"/>
      <w:jc w:val="center"/>
    </w:pPr>
    <w:rPr>
      <w:sz w:val="18"/>
      <w:szCs w:val="18"/>
    </w:rPr>
  </w:style>
  <w:style w:type="character" w:customStyle="1" w:styleId="2Char21">
    <w:name w:val="标题 2 Char2"/>
    <w:qFormat/>
    <w:rPr>
      <w:rFonts w:eastAsia="黑体"/>
      <w:b/>
      <w:kern w:val="2"/>
      <w:sz w:val="32"/>
    </w:rPr>
  </w:style>
  <w:style w:type="character" w:customStyle="1" w:styleId="Char2f">
    <w:name w:val="纯文本 Char2"/>
    <w:qFormat/>
    <w:locked/>
    <w:rPr>
      <w:rFonts w:ascii="宋体" w:eastAsia="宋体" w:hAnsi="Courier New"/>
      <w:kern w:val="2"/>
      <w:sz w:val="21"/>
      <w:lang w:val="en-US" w:eastAsia="zh-CN" w:bidi="ar-SA"/>
    </w:rPr>
  </w:style>
  <w:style w:type="character" w:customStyle="1" w:styleId="Charfffff">
    <w:name w:val="报告书表格文字 Char"/>
    <w:link w:val="afffffffff5"/>
    <w:qFormat/>
    <w:rPr>
      <w:bCs/>
      <w:color w:val="C00000"/>
      <w:sz w:val="18"/>
    </w:rPr>
  </w:style>
  <w:style w:type="paragraph" w:customStyle="1" w:styleId="afffffffff5">
    <w:name w:val="报告书表格文字"/>
    <w:basedOn w:val="a9"/>
    <w:link w:val="Charfffff"/>
    <w:qFormat/>
    <w:pPr>
      <w:widowControl/>
      <w:adjustRightInd w:val="0"/>
      <w:snapToGrid w:val="0"/>
      <w:jc w:val="center"/>
    </w:pPr>
    <w:rPr>
      <w:bCs/>
      <w:color w:val="C00000"/>
      <w:sz w:val="18"/>
    </w:rPr>
  </w:style>
  <w:style w:type="character" w:customStyle="1" w:styleId="112">
    <w:name w:val="未处理的提及11"/>
    <w:uiPriority w:val="99"/>
    <w:unhideWhenUsed/>
    <w:qFormat/>
    <w:rPr>
      <w:color w:val="605E5C"/>
      <w:shd w:val="clear" w:color="auto" w:fill="E1DFDD"/>
    </w:rPr>
  </w:style>
  <w:style w:type="paragraph" w:customStyle="1" w:styleId="CharCharCharChar4">
    <w:name w:val="Char Char Char Char4"/>
    <w:basedOn w:val="a9"/>
    <w:qFormat/>
    <w:pPr>
      <w:spacing w:line="360" w:lineRule="auto"/>
    </w:pPr>
  </w:style>
  <w:style w:type="paragraph" w:customStyle="1" w:styleId="afffffffff6">
    <w:name w:val="表格小五（窄）"/>
    <w:basedOn w:val="1e"/>
    <w:qFormat/>
    <w:pPr>
      <w:keepNext w:val="0"/>
      <w:keepLines w:val="0"/>
      <w:tabs>
        <w:tab w:val="clear" w:pos="360"/>
      </w:tabs>
      <w:snapToGrid/>
      <w:spacing w:before="0" w:after="0" w:line="340" w:lineRule="exact"/>
      <w:ind w:left="0" w:firstLine="0"/>
      <w:jc w:val="center"/>
      <w:textAlignment w:val="auto"/>
      <w:outlineLvl w:val="9"/>
    </w:pPr>
    <w:rPr>
      <w:rFonts w:ascii="Arial" w:eastAsia="仿宋_GB2312" w:hAnsi="Arial" w:cs="Arial"/>
      <w:b w:val="0"/>
      <w:snapToGrid w:val="0"/>
      <w:color w:val="000000"/>
      <w:kern w:val="32"/>
      <w:sz w:val="21"/>
      <w:szCs w:val="24"/>
    </w:rPr>
  </w:style>
  <w:style w:type="paragraph" w:customStyle="1" w:styleId="CharCharCharChar7">
    <w:name w:val="Char Char Char Char7"/>
    <w:basedOn w:val="a9"/>
    <w:qFormat/>
    <w:pPr>
      <w:spacing w:line="360" w:lineRule="auto"/>
    </w:pPr>
  </w:style>
  <w:style w:type="paragraph" w:customStyle="1" w:styleId="afffffffff7">
    <w:name w:val="表中居中文字"/>
    <w:basedOn w:val="a9"/>
    <w:semiHidden/>
    <w:qFormat/>
    <w:pPr>
      <w:widowControl/>
      <w:ind w:rightChars="-24" w:right="-58"/>
    </w:pPr>
    <w:rPr>
      <w:rFonts w:ascii="宋体" w:hAnsi="宋体" w:cs="Arial"/>
      <w:sz w:val="24"/>
    </w:rPr>
  </w:style>
  <w:style w:type="paragraph" w:customStyle="1" w:styleId="afffffffff8">
    <w:name w:val="二级条标题"/>
    <w:basedOn w:val="afffffffff9"/>
    <w:next w:val="a9"/>
    <w:qFormat/>
    <w:pPr>
      <w:tabs>
        <w:tab w:val="left" w:pos="2160"/>
      </w:tabs>
      <w:ind w:left="2160"/>
      <w:outlineLvl w:val="3"/>
    </w:pPr>
  </w:style>
  <w:style w:type="paragraph" w:customStyle="1" w:styleId="afffffffff9">
    <w:name w:val="一级条标题"/>
    <w:basedOn w:val="1"/>
    <w:next w:val="a9"/>
    <w:qFormat/>
    <w:pPr>
      <w:keepNext w:val="0"/>
      <w:keepLines w:val="0"/>
      <w:pageBreakBefore w:val="0"/>
      <w:widowControl/>
      <w:numPr>
        <w:numId w:val="0"/>
      </w:numPr>
      <w:tabs>
        <w:tab w:val="left" w:pos="360"/>
        <w:tab w:val="left" w:pos="1080"/>
        <w:tab w:val="left" w:pos="1740"/>
      </w:tabs>
      <w:spacing w:before="0" w:after="0" w:line="240" w:lineRule="auto"/>
      <w:ind w:left="1740" w:hanging="420"/>
      <w:outlineLvl w:val="2"/>
    </w:pPr>
    <w:rPr>
      <w:rFonts w:ascii="黑体" w:eastAsia="黑体"/>
      <w:b w:val="0"/>
      <w:kern w:val="0"/>
      <w:sz w:val="21"/>
    </w:rPr>
  </w:style>
  <w:style w:type="paragraph" w:customStyle="1" w:styleId="afffffffffa">
    <w:name w:val="文字框"/>
    <w:basedOn w:val="a9"/>
    <w:qFormat/>
    <w:pPr>
      <w:ind w:leftChars="-10" w:left="-21" w:rightChars="-10" w:right="-21"/>
      <w:jc w:val="center"/>
    </w:pPr>
    <w:rPr>
      <w:rFonts w:eastAsia="仿宋_GB2312"/>
    </w:rPr>
  </w:style>
  <w:style w:type="paragraph" w:customStyle="1" w:styleId="afffffffffb">
    <w:name w:val="表格（小）"/>
    <w:basedOn w:val="a9"/>
    <w:qFormat/>
    <w:pPr>
      <w:widowControl/>
      <w:adjustRightInd w:val="0"/>
      <w:snapToGrid w:val="0"/>
    </w:pPr>
    <w:rPr>
      <w:rFonts w:cs="宋体"/>
      <w:snapToGrid w:val="0"/>
      <w:sz w:val="24"/>
      <w:lang w:bidi="ne-NP"/>
    </w:rPr>
  </w:style>
  <w:style w:type="paragraph" w:customStyle="1" w:styleId="afffffffffc">
    <w:name w:val="表第一列"/>
    <w:basedOn w:val="af0"/>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 w:val="21"/>
    </w:rPr>
  </w:style>
  <w:style w:type="paragraph" w:customStyle="1" w:styleId="-3">
    <w:name w:val="表格文字-左"/>
    <w:basedOn w:val="a9"/>
    <w:qFormat/>
    <w:pPr>
      <w:widowControl/>
      <w:adjustRightInd w:val="0"/>
      <w:spacing w:line="400" w:lineRule="exact"/>
      <w:textAlignment w:val="center"/>
    </w:pPr>
    <w:rPr>
      <w:szCs w:val="21"/>
    </w:rPr>
  </w:style>
  <w:style w:type="paragraph" w:customStyle="1" w:styleId="Char210">
    <w:name w:val="Char21"/>
    <w:basedOn w:val="a9"/>
    <w:qFormat/>
    <w:pPr>
      <w:spacing w:line="360" w:lineRule="auto"/>
      <w:jc w:val="left"/>
    </w:pPr>
    <w:rPr>
      <w:rFonts w:ascii="宋体" w:hAnsi="宋体" w:cs="宋体"/>
      <w:sz w:val="24"/>
    </w:rPr>
  </w:style>
  <w:style w:type="paragraph" w:customStyle="1" w:styleId="75">
    <w:name w:val="7"/>
    <w:uiPriority w:val="60"/>
    <w:qFormat/>
    <w:pPr>
      <w:spacing w:line="360" w:lineRule="auto"/>
      <w:jc w:val="center"/>
    </w:pPr>
    <w:rPr>
      <w:rFonts w:ascii="Calibri" w:hAnsi="Calibri"/>
      <w:color w:val="943634"/>
    </w:rPr>
  </w:style>
  <w:style w:type="paragraph" w:customStyle="1" w:styleId="GB231220315">
    <w:name w:val="样式 样式 正文文本缩进 + 楷体_GB2312 首行缩进:  2 字符 段后: 0.3 行 行距: 1.5 倍行距 + 首行缩..."/>
    <w:basedOn w:val="a9"/>
    <w:qFormat/>
    <w:pPr>
      <w:widowControl/>
      <w:spacing w:afterLines="30" w:line="360" w:lineRule="auto"/>
      <w:ind w:firstLineChars="200" w:firstLine="200"/>
    </w:pPr>
    <w:rPr>
      <w:rFonts w:ascii="楷体_GB2312" w:eastAsia="楷体_GB2312" w:hAnsi="楷体_GB2312" w:cs="宋体"/>
      <w:sz w:val="24"/>
      <w:lang w:bidi="ne-NP"/>
    </w:rPr>
  </w:style>
  <w:style w:type="paragraph" w:customStyle="1" w:styleId="xl85">
    <w:name w:val="xl85"/>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fff2">
    <w:name w:val="正文文本首行缩进1"/>
    <w:basedOn w:val="afd"/>
    <w:pPr>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d">
    <w:name w:val="表格，五宋"/>
    <w:qFormat/>
    <w:pPr>
      <w:adjustRightInd w:val="0"/>
      <w:spacing w:line="360" w:lineRule="exact"/>
      <w:jc w:val="center"/>
    </w:pPr>
    <w:rPr>
      <w:sz w:val="21"/>
    </w:rPr>
  </w:style>
  <w:style w:type="paragraph" w:customStyle="1" w:styleId="5b">
    <w:name w:val="标题5"/>
    <w:basedOn w:val="4"/>
    <w:next w:val="a9"/>
    <w:qFormat/>
    <w:pPr>
      <w:keepNext/>
      <w:keepLines/>
      <w:widowControl/>
      <w:numPr>
        <w:ilvl w:val="0"/>
        <w:numId w:val="0"/>
      </w:numPr>
      <w:tabs>
        <w:tab w:val="left" w:pos="592"/>
        <w:tab w:val="left" w:pos="840"/>
        <w:tab w:val="left" w:pos="1567"/>
      </w:tabs>
      <w:spacing w:beforeLines="50" w:afterLines="50" w:line="240" w:lineRule="auto"/>
      <w:jc w:val="left"/>
    </w:pPr>
    <w:rPr>
      <w:rFonts w:ascii="黑体" w:eastAsia="黑体" w:hAnsi="Arial" w:cs="Arial"/>
      <w:b w:val="0"/>
      <w:bCs/>
      <w:kern w:val="44"/>
      <w:sz w:val="28"/>
    </w:rPr>
  </w:style>
  <w:style w:type="paragraph" w:customStyle="1" w:styleId="xl29">
    <w:name w:val="xl29"/>
    <w:basedOn w:val="a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Char1CharCharChar">
    <w:name w:val="Char1 Char Char Char"/>
    <w:basedOn w:val="a9"/>
    <w:qFormat/>
    <w:pPr>
      <w:widowControl/>
      <w:spacing w:after="160" w:line="240" w:lineRule="exact"/>
      <w:jc w:val="left"/>
    </w:pPr>
    <w:rPr>
      <w:rFonts w:ascii="Arial" w:eastAsia="Times New Roman" w:hAnsi="Arial" w:cs="Verdana"/>
      <w:b/>
      <w:sz w:val="24"/>
      <w:lang w:eastAsia="en-US"/>
    </w:rPr>
  </w:style>
  <w:style w:type="paragraph" w:customStyle="1" w:styleId="230">
    <w:name w:val="正文文本 23"/>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CharChar3Char">
    <w:name w:val="Char Char3 Char"/>
    <w:basedOn w:val="a9"/>
    <w:pPr>
      <w:spacing w:line="360" w:lineRule="auto"/>
      <w:ind w:firstLineChars="200" w:firstLine="200"/>
    </w:pPr>
    <w:rPr>
      <w:rFonts w:ascii="宋体" w:hAnsi="宋体" w:cs="宋体"/>
      <w:sz w:val="24"/>
    </w:rPr>
  </w:style>
  <w:style w:type="paragraph" w:customStyle="1" w:styleId="CharCharChar1CharCharCharCharCharCharCharCharCharChar2">
    <w:name w:val="Char Char Char1 Char Char Char Char Char Char Char Char Char Char2"/>
    <w:basedOn w:val="a9"/>
    <w:qFormat/>
    <w:pPr>
      <w:widowControl/>
    </w:pPr>
    <w:rPr>
      <w:rFonts w:cs="宋体"/>
      <w:sz w:val="24"/>
      <w:lang w:bidi="ne-NP"/>
    </w:rPr>
  </w:style>
  <w:style w:type="paragraph" w:customStyle="1" w:styleId="afffffffffe">
    <w:name w:val="工艺正文"/>
    <w:basedOn w:val="a9"/>
    <w:semiHidden/>
    <w:qFormat/>
    <w:pPr>
      <w:adjustRightInd w:val="0"/>
      <w:snapToGrid w:val="0"/>
      <w:spacing w:line="360" w:lineRule="auto"/>
      <w:ind w:firstLine="578"/>
    </w:pPr>
    <w:rPr>
      <w:rFonts w:ascii="宋体"/>
      <w:sz w:val="28"/>
    </w:rPr>
  </w:style>
  <w:style w:type="paragraph" w:customStyle="1" w:styleId="5Char">
    <w:name w:val="5Char"/>
    <w:basedOn w:val="5"/>
    <w:qFormat/>
    <w:pPr>
      <w:keepNext w:val="0"/>
      <w:numPr>
        <w:ilvl w:val="0"/>
        <w:numId w:val="0"/>
      </w:numPr>
      <w:tabs>
        <w:tab w:val="left" w:pos="482"/>
        <w:tab w:val="left" w:pos="726"/>
        <w:tab w:val="left" w:pos="1567"/>
        <w:tab w:val="left" w:pos="1997"/>
      </w:tabs>
      <w:adjustRightInd w:val="0"/>
      <w:spacing w:before="280" w:after="290" w:line="436" w:lineRule="exact"/>
    </w:pPr>
    <w:rPr>
      <w:rFonts w:ascii="Tahoma" w:eastAsia="华文中宋" w:hAnsi="Tahoma"/>
      <w:b w:val="0"/>
      <w:bCs/>
      <w:sz w:val="28"/>
      <w:szCs w:val="28"/>
    </w:rPr>
  </w:style>
  <w:style w:type="paragraph" w:customStyle="1" w:styleId="xl28">
    <w:name w:val="xl28"/>
    <w:basedOn w:val="a9"/>
    <w:qFormat/>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1Char20">
    <w:name w:val="样式 正文1 Char + 宋体 小四 首行缩进:  2 字符"/>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affffffffff">
    <w:name w:val="表格名称"/>
    <w:basedOn w:val="a9"/>
    <w:qFormat/>
    <w:pPr>
      <w:widowControl/>
      <w:spacing w:line="360" w:lineRule="auto"/>
      <w:ind w:left="11"/>
      <w:jc w:val="center"/>
    </w:pPr>
    <w:rPr>
      <w:rFonts w:eastAsia="黑体" w:cs="宋体"/>
      <w:b/>
      <w:snapToGrid w:val="0"/>
      <w:kern w:val="18"/>
      <w:sz w:val="24"/>
      <w:lang w:bidi="ne-NP"/>
    </w:rPr>
  </w:style>
  <w:style w:type="paragraph" w:customStyle="1" w:styleId="gray">
    <w:name w:val="gray"/>
    <w:basedOn w:val="a9"/>
    <w:qFormat/>
    <w:pPr>
      <w:widowControl/>
      <w:spacing w:before="100" w:beforeAutospacing="1" w:after="100" w:afterAutospacing="1" w:line="301" w:lineRule="atLeast"/>
      <w:jc w:val="left"/>
    </w:pPr>
    <w:rPr>
      <w:rFonts w:ascii="宋体" w:hAnsi="宋体"/>
      <w:color w:val="737373"/>
    </w:rPr>
  </w:style>
  <w:style w:type="paragraph" w:customStyle="1" w:styleId="affffffffff0">
    <w:name w:val="表格文字中对齐"/>
    <w:basedOn w:val="a9"/>
    <w:qFormat/>
    <w:pPr>
      <w:spacing w:line="300" w:lineRule="auto"/>
      <w:jc w:val="center"/>
    </w:pPr>
    <w:rPr>
      <w:rFonts w:ascii="Arial Narrow" w:eastAsia="仿宋_GB2312" w:hAnsi="Arial Narrow"/>
      <w:szCs w:val="21"/>
    </w:rPr>
  </w:style>
  <w:style w:type="paragraph" w:customStyle="1" w:styleId="newscontent">
    <w:name w:val="news_content"/>
    <w:basedOn w:val="a9"/>
    <w:qFormat/>
    <w:pPr>
      <w:widowControl/>
      <w:spacing w:before="100" w:beforeAutospacing="1" w:after="100" w:afterAutospacing="1"/>
      <w:jc w:val="left"/>
    </w:pPr>
    <w:rPr>
      <w:rFonts w:ascii="宋体" w:hAnsi="宋体" w:cs="宋体"/>
      <w:color w:val="000000"/>
      <w:sz w:val="24"/>
      <w:lang w:bidi="ne-NP"/>
    </w:rPr>
  </w:style>
  <w:style w:type="paragraph" w:customStyle="1" w:styleId="xl90">
    <w:name w:val="xl90"/>
    <w:basedOn w:val="a9"/>
    <w:qFormat/>
    <w:pPr>
      <w:widowControl/>
      <w:pBdr>
        <w:top w:val="single" w:sz="12"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13">
    <w:name w:val="修订11"/>
    <w:uiPriority w:val="99"/>
    <w:qFormat/>
    <w:pPr>
      <w:spacing w:line="360" w:lineRule="auto"/>
      <w:jc w:val="center"/>
    </w:pPr>
    <w:rPr>
      <w:kern w:val="2"/>
      <w:sz w:val="24"/>
      <w:szCs w:val="24"/>
    </w:rPr>
  </w:style>
  <w:style w:type="paragraph" w:customStyle="1" w:styleId="xl32">
    <w:name w:val="xl32"/>
    <w:basedOn w:val="a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affffffffff1">
    <w:name w:val="图文字"/>
    <w:basedOn w:val="a9"/>
    <w:qFormat/>
    <w:pPr>
      <w:widowControl/>
      <w:topLinePunct/>
      <w:spacing w:line="280" w:lineRule="exact"/>
      <w:jc w:val="center"/>
    </w:pPr>
    <w:rPr>
      <w:rFonts w:ascii="宋体" w:hAnsi="宋体"/>
      <w:sz w:val="24"/>
    </w:rPr>
  </w:style>
  <w:style w:type="paragraph" w:customStyle="1" w:styleId="CharCharCharCharCharChar2">
    <w:name w:val="Char Char Char Char Char Char2"/>
    <w:basedOn w:val="a9"/>
    <w:qFormat/>
    <w:pPr>
      <w:widowControl/>
    </w:pPr>
    <w:rPr>
      <w:rFonts w:cs="宋体"/>
      <w:sz w:val="24"/>
      <w:lang w:bidi="ne-NP"/>
    </w:rPr>
  </w:style>
  <w:style w:type="paragraph" w:customStyle="1" w:styleId="xl587">
    <w:name w:val="xl587"/>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CharChar1Char2">
    <w:name w:val="Char Char1 Char2"/>
    <w:basedOn w:val="a9"/>
    <w:qFormat/>
    <w:pPr>
      <w:spacing w:line="360" w:lineRule="auto"/>
      <w:ind w:firstLineChars="200" w:firstLine="200"/>
    </w:pPr>
    <w:rPr>
      <w:rFonts w:ascii="宋体" w:hAnsi="宋体" w:cs="宋体"/>
      <w:sz w:val="24"/>
    </w:rPr>
  </w:style>
  <w:style w:type="paragraph" w:customStyle="1" w:styleId="215">
    <w:name w:val="列出段落21"/>
    <w:basedOn w:val="a9"/>
    <w:qFormat/>
    <w:pPr>
      <w:widowControl/>
      <w:ind w:leftChars="200" w:left="480"/>
    </w:pPr>
    <w:rPr>
      <w:rFonts w:ascii="Calibri" w:eastAsia="PMingLiU" w:hAnsi="Calibri" w:cs="宋体"/>
      <w:sz w:val="24"/>
      <w:szCs w:val="22"/>
      <w:lang w:eastAsia="zh-TW" w:bidi="ne-NP"/>
    </w:rPr>
  </w:style>
  <w:style w:type="paragraph" w:customStyle="1" w:styleId="xl576">
    <w:name w:val="xl57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WPSPlain">
    <w:name w:val="WPS Plain"/>
    <w:qFormat/>
  </w:style>
  <w:style w:type="paragraph" w:customStyle="1" w:styleId="Lettre-8pts">
    <w:name w:val="Lettre-8pts"/>
    <w:basedOn w:val="a9"/>
    <w:qFormat/>
    <w:pPr>
      <w:keepLines/>
      <w:widowControl/>
      <w:tabs>
        <w:tab w:val="left" w:pos="1280"/>
      </w:tabs>
      <w:spacing w:before="160"/>
      <w:ind w:left="1280" w:hanging="720"/>
    </w:pPr>
    <w:rPr>
      <w:rFonts w:ascii="Arial" w:hAnsi="Arial" w:cs="宋体"/>
      <w:lang w:eastAsia="fr-FR" w:bidi="ne-NP"/>
    </w:rPr>
  </w:style>
  <w:style w:type="paragraph" w:customStyle="1" w:styleId="5c">
    <w:name w:val="样式5"/>
    <w:basedOn w:val="affff3"/>
    <w:qFormat/>
    <w:pPr>
      <w:spacing w:after="60" w:line="360" w:lineRule="auto"/>
    </w:pPr>
    <w:rPr>
      <w:b/>
    </w:rPr>
  </w:style>
  <w:style w:type="paragraph" w:customStyle="1" w:styleId="CharCharCharChar6">
    <w:name w:val="Char Char Char Char6"/>
    <w:basedOn w:val="a9"/>
    <w:qFormat/>
    <w:pPr>
      <w:spacing w:line="360" w:lineRule="auto"/>
    </w:pPr>
  </w:style>
  <w:style w:type="paragraph" w:customStyle="1" w:styleId="xl563">
    <w:name w:val="xl56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har50">
    <w:name w:val="Char5"/>
    <w:basedOn w:val="a9"/>
    <w:qFormat/>
    <w:pPr>
      <w:spacing w:line="360" w:lineRule="auto"/>
      <w:jc w:val="left"/>
    </w:pPr>
    <w:rPr>
      <w:rFonts w:ascii="宋体" w:hAnsi="宋体" w:cs="宋体"/>
      <w:sz w:val="24"/>
    </w:rPr>
  </w:style>
  <w:style w:type="paragraph" w:customStyle="1" w:styleId="xl571">
    <w:name w:val="xl57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bidi="ne-NP"/>
    </w:rPr>
  </w:style>
  <w:style w:type="paragraph" w:customStyle="1" w:styleId="xl68">
    <w:name w:val="xl6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color w:val="000000"/>
    </w:rPr>
  </w:style>
  <w:style w:type="paragraph" w:customStyle="1" w:styleId="Charfffff0">
    <w:name w:val="列表名称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4">
    <w:name w:val="样式 表内-文字 +"/>
    <w:basedOn w:val="-5"/>
    <w:qFormat/>
    <w:pPr>
      <w:tabs>
        <w:tab w:val="left" w:pos="1280"/>
      </w:tabs>
      <w:topLinePunct w:val="0"/>
    </w:pPr>
    <w:rPr>
      <w:bCs w:val="0"/>
      <w:lang w:bidi="ne-NP"/>
    </w:rPr>
  </w:style>
  <w:style w:type="paragraph" w:customStyle="1" w:styleId="-5">
    <w:name w:val="表内-文字"/>
    <w:basedOn w:val="a9"/>
    <w:qFormat/>
    <w:pPr>
      <w:widowControl/>
      <w:topLinePunct/>
      <w:spacing w:line="320" w:lineRule="exact"/>
      <w:jc w:val="center"/>
    </w:pPr>
    <w:rPr>
      <w:rFonts w:eastAsia="楷体_GB2312" w:cs="宋体"/>
      <w:bCs/>
      <w:color w:val="000000"/>
      <w:sz w:val="24"/>
      <w:szCs w:val="21"/>
    </w:rPr>
  </w:style>
  <w:style w:type="paragraph" w:customStyle="1" w:styleId="xl566">
    <w:name w:val="xl566"/>
    <w:basedOn w:val="a9"/>
    <w:qFormat/>
    <w:pPr>
      <w:widowControl/>
      <w:pBdr>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2f7">
    <w:name w:val="批注框文本2"/>
    <w:basedOn w:val="a9"/>
    <w:semiHidden/>
    <w:qFormat/>
    <w:pPr>
      <w:spacing w:line="360" w:lineRule="auto"/>
    </w:pPr>
    <w:rPr>
      <w:rFonts w:ascii="Tahoma" w:hAnsi="Tahoma" w:cs="Tahoma"/>
      <w:sz w:val="16"/>
      <w:szCs w:val="16"/>
    </w:rPr>
  </w:style>
  <w:style w:type="paragraph" w:customStyle="1" w:styleId="affffffffff2">
    <w:name w:val=".."/>
    <w:basedOn w:val="a9"/>
    <w:next w:val="a9"/>
    <w:qFormat/>
    <w:pPr>
      <w:autoSpaceDE w:val="0"/>
      <w:autoSpaceDN w:val="0"/>
      <w:adjustRightInd w:val="0"/>
      <w:jc w:val="left"/>
    </w:pPr>
    <w:rPr>
      <w:rFonts w:ascii="宋体"/>
      <w:sz w:val="24"/>
    </w:rPr>
  </w:style>
  <w:style w:type="paragraph" w:customStyle="1" w:styleId="affffffffff3">
    <w:name w:val="表"/>
    <w:basedOn w:val="a9"/>
    <w:qFormat/>
    <w:pPr>
      <w:snapToGrid w:val="0"/>
      <w:jc w:val="center"/>
    </w:pPr>
    <w:rPr>
      <w:spacing w:val="2"/>
    </w:rPr>
  </w:style>
  <w:style w:type="paragraph" w:customStyle="1" w:styleId="4d">
    <w:name w:val="标题样式4"/>
    <w:basedOn w:val="a9"/>
    <w:next w:val="a9"/>
    <w:qFormat/>
    <w:pPr>
      <w:tabs>
        <w:tab w:val="left" w:pos="720"/>
      </w:tabs>
      <w:spacing w:line="360" w:lineRule="auto"/>
      <w:ind w:left="720" w:hanging="720"/>
      <w:textAlignment w:val="baseline"/>
      <w:outlineLvl w:val="3"/>
    </w:pPr>
    <w:rPr>
      <w:sz w:val="24"/>
    </w:rPr>
  </w:style>
  <w:style w:type="paragraph" w:customStyle="1" w:styleId="LY1">
    <w:name w:val="LY标题1"/>
    <w:basedOn w:val="1"/>
    <w:next w:val="LY2"/>
    <w:qFormat/>
    <w:pPr>
      <w:pageBreakBefore w:val="0"/>
      <w:widowControl/>
      <w:numPr>
        <w:numId w:val="0"/>
      </w:numPr>
      <w:adjustRightInd w:val="0"/>
      <w:spacing w:before="120" w:after="120" w:line="400" w:lineRule="atLeast"/>
      <w:ind w:firstLine="288"/>
      <w:jc w:val="center"/>
      <w:textAlignment w:val="baseline"/>
      <w:outlineLvl w:val="9"/>
    </w:pPr>
    <w:rPr>
      <w:rFonts w:ascii="宋体"/>
      <w:spacing w:val="10"/>
      <w:kern w:val="0"/>
      <w:sz w:val="28"/>
    </w:rPr>
  </w:style>
  <w:style w:type="paragraph" w:customStyle="1" w:styleId="LY2">
    <w:name w:val="LY标题2"/>
    <w:basedOn w:val="2"/>
    <w:next w:val="LY"/>
    <w:qFormat/>
    <w:pPr>
      <w:keepNext/>
      <w:keepLines w:val="0"/>
      <w:widowControl/>
      <w:numPr>
        <w:ilvl w:val="0"/>
        <w:numId w:val="0"/>
      </w:numPr>
      <w:pBdr>
        <w:bottom w:val="none" w:sz="0" w:space="0" w:color="auto"/>
      </w:pBdr>
      <w:adjustRightInd w:val="0"/>
      <w:spacing w:before="0" w:after="0" w:line="360" w:lineRule="atLeast"/>
      <w:jc w:val="center"/>
      <w:textAlignment w:val="baseline"/>
      <w:outlineLvl w:val="9"/>
    </w:pPr>
    <w:rPr>
      <w:rFonts w:ascii="宋体" w:eastAsia="宋体"/>
      <w:spacing w:val="10"/>
      <w:sz w:val="24"/>
    </w:rPr>
  </w:style>
  <w:style w:type="paragraph" w:customStyle="1" w:styleId="LY">
    <w:name w:val="LY正文"/>
    <w:basedOn w:val="a9"/>
    <w:qFormat/>
    <w:pPr>
      <w:widowControl/>
      <w:adjustRightInd w:val="0"/>
      <w:spacing w:line="360" w:lineRule="atLeast"/>
      <w:ind w:firstLine="510"/>
      <w:jc w:val="left"/>
      <w:textAlignment w:val="baseline"/>
    </w:pPr>
    <w:rPr>
      <w:rFonts w:eastAsia="楷体_GB2312" w:cs="宋体"/>
      <w:spacing w:val="10"/>
      <w:sz w:val="24"/>
      <w:lang w:bidi="ne-NP"/>
    </w:rPr>
  </w:style>
  <w:style w:type="paragraph" w:customStyle="1" w:styleId="2f8">
    <w:name w:val="样式 小五 首行缩进:  2 字符"/>
    <w:basedOn w:val="a9"/>
    <w:qFormat/>
    <w:pPr>
      <w:widowControl/>
    </w:pPr>
    <w:rPr>
      <w:rFonts w:cs="宋体"/>
      <w:sz w:val="18"/>
      <w:lang w:bidi="ne-NP"/>
    </w:rPr>
  </w:style>
  <w:style w:type="paragraph" w:customStyle="1" w:styleId="affffffffff4">
    <w:name w:val="统一正文"/>
    <w:basedOn w:val="a9"/>
    <w:qFormat/>
    <w:pPr>
      <w:widowControl/>
      <w:autoSpaceDE w:val="0"/>
      <w:autoSpaceDN w:val="0"/>
      <w:spacing w:line="360" w:lineRule="auto"/>
      <w:ind w:firstLineChars="200" w:firstLine="200"/>
      <w:textAlignment w:val="baseline"/>
    </w:pPr>
    <w:rPr>
      <w:rFonts w:eastAsia="仿宋_GB2312" w:cs="宋体"/>
      <w:sz w:val="28"/>
      <w:lang w:bidi="he-IL"/>
    </w:rPr>
  </w:style>
  <w:style w:type="paragraph" w:customStyle="1" w:styleId="xl52">
    <w:name w:val="xl52"/>
    <w:basedOn w:val="a9"/>
    <w:qFormat/>
    <w:pPr>
      <w:widowControl/>
      <w:pBdr>
        <w:top w:val="single" w:sz="4" w:space="0" w:color="auto"/>
        <w:bottom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CharChar1Char4">
    <w:name w:val="Char Char1 Char4"/>
    <w:basedOn w:val="a9"/>
    <w:qFormat/>
    <w:pPr>
      <w:spacing w:line="360" w:lineRule="auto"/>
      <w:ind w:firstLineChars="200" w:firstLine="200"/>
    </w:pPr>
    <w:rPr>
      <w:rFonts w:ascii="宋体" w:hAnsi="宋体" w:cs="宋体"/>
      <w:sz w:val="24"/>
    </w:rPr>
  </w:style>
  <w:style w:type="paragraph" w:customStyle="1" w:styleId="xl125">
    <w:name w:val="xl125"/>
    <w:basedOn w:val="a9"/>
    <w:qFormat/>
    <w:pPr>
      <w:widowControl/>
      <w:pBdr>
        <w:bottom w:val="single" w:sz="8" w:space="0" w:color="auto"/>
      </w:pBdr>
      <w:spacing w:before="100" w:beforeAutospacing="1" w:after="100" w:afterAutospacing="1" w:line="360" w:lineRule="auto"/>
      <w:jc w:val="right"/>
      <w:textAlignment w:val="center"/>
    </w:pPr>
    <w:rPr>
      <w:rFonts w:ascii="宋体" w:hAnsi="宋体" w:cs="宋体"/>
      <w:color w:val="000000"/>
    </w:rPr>
  </w:style>
  <w:style w:type="paragraph" w:customStyle="1" w:styleId="250">
    <w:name w:val="样式 首行缩进  2 字符 + 首行缩进:  5 字符"/>
    <w:basedOn w:val="2f9"/>
    <w:qFormat/>
    <w:pPr>
      <w:ind w:firstLineChars="500" w:firstLine="1200"/>
    </w:pPr>
  </w:style>
  <w:style w:type="paragraph" w:customStyle="1" w:styleId="2f9">
    <w:name w:val="首行缩进  2 字符"/>
    <w:basedOn w:val="a9"/>
    <w:qFormat/>
    <w:pPr>
      <w:widowControl/>
      <w:topLinePunct/>
      <w:spacing w:line="480" w:lineRule="exact"/>
      <w:ind w:firstLineChars="200" w:firstLine="480"/>
    </w:pPr>
    <w:rPr>
      <w:rFonts w:ascii="宋体" w:hAnsi="宋体" w:cs="宋体"/>
      <w:sz w:val="24"/>
    </w:rPr>
  </w:style>
  <w:style w:type="paragraph" w:customStyle="1" w:styleId="affffffffff5">
    <w:name w:val="奉读大示，心折殊深。"/>
    <w:qFormat/>
    <w:pPr>
      <w:widowControl w:val="0"/>
      <w:spacing w:line="360" w:lineRule="auto"/>
      <w:jc w:val="both"/>
    </w:pPr>
    <w:rPr>
      <w:kern w:val="2"/>
      <w:sz w:val="21"/>
    </w:rPr>
  </w:style>
  <w:style w:type="paragraph" w:customStyle="1" w:styleId="affffffffff6">
    <w:name w:val="表字五号缩进"/>
    <w:basedOn w:val="affffffffff7"/>
    <w:qFormat/>
    <w:pPr>
      <w:spacing w:before="31" w:after="31"/>
      <w:ind w:firstLineChars="200" w:firstLine="420"/>
      <w:jc w:val="both"/>
    </w:pPr>
    <w:rPr>
      <w:color w:val="000000"/>
    </w:rPr>
  </w:style>
  <w:style w:type="paragraph" w:customStyle="1" w:styleId="affffffffff7">
    <w:name w:val="表字五号"/>
    <w:basedOn w:val="a9"/>
    <w:qFormat/>
    <w:pPr>
      <w:widowControl/>
      <w:autoSpaceDE w:val="0"/>
      <w:autoSpaceDN w:val="0"/>
      <w:adjustRightInd w:val="0"/>
      <w:snapToGrid w:val="0"/>
      <w:spacing w:beforeLines="10" w:afterLines="10"/>
      <w:jc w:val="center"/>
      <w:textAlignment w:val="bottom"/>
    </w:pPr>
    <w:rPr>
      <w:rFonts w:cs="宋体"/>
      <w:sz w:val="24"/>
      <w:lang w:bidi="ne-NP"/>
    </w:rPr>
  </w:style>
  <w:style w:type="paragraph" w:customStyle="1" w:styleId="affffffffff8">
    <w:name w:val="－列表"/>
    <w:basedOn w:val="affb"/>
    <w:qFormat/>
    <w:pPr>
      <w:widowControl/>
      <w:overflowPunct w:val="0"/>
      <w:autoSpaceDE w:val="0"/>
      <w:autoSpaceDN w:val="0"/>
      <w:adjustRightInd w:val="0"/>
      <w:snapToGrid w:val="0"/>
      <w:ind w:left="0" w:firstLine="0"/>
      <w:textAlignment w:val="baseline"/>
    </w:pPr>
    <w:rPr>
      <w:rFonts w:ascii="宋体" w:hAnsi="Arial"/>
      <w:snapToGrid w:val="0"/>
      <w:spacing w:val="-4"/>
      <w:sz w:val="22"/>
    </w:rPr>
  </w:style>
  <w:style w:type="paragraph" w:customStyle="1" w:styleId="Title4">
    <w:name w:val="Title 4"/>
    <w:basedOn w:val="4"/>
    <w:next w:val="a9"/>
    <w:qFormat/>
    <w:pPr>
      <w:keepNext/>
      <w:keepLines/>
      <w:widowControl/>
      <w:numPr>
        <w:ilvl w:val="0"/>
        <w:numId w:val="0"/>
      </w:numPr>
      <w:tabs>
        <w:tab w:val="left" w:pos="0"/>
        <w:tab w:val="left" w:pos="480"/>
        <w:tab w:val="left" w:pos="862"/>
        <w:tab w:val="left" w:pos="1567"/>
        <w:tab w:val="left" w:pos="1984"/>
      </w:tabs>
      <w:spacing w:before="120" w:after="0" w:line="400" w:lineRule="exact"/>
      <w:ind w:left="1984" w:hanging="708"/>
      <w:jc w:val="left"/>
    </w:pPr>
    <w:rPr>
      <w:rFonts w:ascii="宋体" w:eastAsia="黑体" w:hAnsi="宋体" w:cs="Arial"/>
      <w:b w:val="0"/>
      <w:bCs/>
      <w:lang w:bidi="ne-NP"/>
    </w:rPr>
  </w:style>
  <w:style w:type="paragraph" w:customStyle="1" w:styleId="Adresse">
    <w:name w:val="Adresse"/>
    <w:basedOn w:val="a9"/>
    <w:qFormat/>
    <w:pPr>
      <w:widowControl/>
      <w:spacing w:line="240" w:lineRule="atLeast"/>
      <w:jc w:val="left"/>
    </w:pPr>
    <w:rPr>
      <w:rFonts w:ascii="Arial" w:eastAsia="华文细黑" w:hAnsi="Arial" w:cs="宋体"/>
      <w:lang w:eastAsia="de-DE" w:bidi="ne-NP"/>
    </w:rPr>
  </w:style>
  <w:style w:type="paragraph" w:customStyle="1" w:styleId="xl50">
    <w:name w:val="xl50"/>
    <w:basedOn w:val="a9"/>
    <w:qFormat/>
    <w:pPr>
      <w:widowControl/>
      <w:pBdr>
        <w:left w:val="single" w:sz="4" w:space="0" w:color="auto"/>
        <w:right w:val="single" w:sz="4" w:space="0" w:color="auto"/>
      </w:pBdr>
      <w:spacing w:before="100" w:after="100"/>
      <w:jc w:val="center"/>
      <w:textAlignment w:val="center"/>
    </w:pPr>
    <w:rPr>
      <w:rFonts w:ascii="宋体" w:hAnsi="宋体"/>
      <w:sz w:val="24"/>
    </w:rPr>
  </w:style>
  <w:style w:type="paragraph" w:customStyle="1" w:styleId="affffffffff9">
    <w:name w:val="文档一级标题"/>
    <w:basedOn w:val="a9"/>
    <w:qFormat/>
    <w:rPr>
      <w:rFonts w:ascii="黑体" w:eastAsia="黑体" w:hAnsi="华文仿宋"/>
      <w:sz w:val="28"/>
    </w:rPr>
  </w:style>
  <w:style w:type="paragraph" w:customStyle="1" w:styleId="2fa">
    <w:name w:val="正文2"/>
    <w:basedOn w:val="26"/>
    <w:link w:val="2Char6"/>
    <w:qFormat/>
    <w:pPr>
      <w:snapToGrid/>
      <w:spacing w:after="120" w:line="480" w:lineRule="atLeast"/>
      <w:ind w:firstLine="567"/>
      <w:jc w:val="both"/>
    </w:pPr>
    <w:rPr>
      <w:spacing w:val="5"/>
      <w:sz w:val="28"/>
    </w:rPr>
  </w:style>
  <w:style w:type="paragraph" w:customStyle="1" w:styleId="Char2CharCharChar1">
    <w:name w:val="Char2 Char Char Char1"/>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afterLines="50" w:line="240" w:lineRule="auto"/>
      <w:ind w:leftChars="-12" w:left="542" w:firstLineChars="200" w:firstLine="200"/>
    </w:pPr>
    <w:rPr>
      <w:rFonts w:ascii="华文中宋" w:eastAsia="华文中宋" w:hAnsi="宋体"/>
      <w:b w:val="0"/>
      <w:snapToGrid w:val="0"/>
      <w:sz w:val="32"/>
      <w:szCs w:val="24"/>
    </w:rPr>
  </w:style>
  <w:style w:type="paragraph" w:customStyle="1" w:styleId="Char3CharCharChar2">
    <w:name w:val="Char3 Char Char Char2"/>
    <w:basedOn w:val="a9"/>
    <w:qFormat/>
    <w:pPr>
      <w:spacing w:line="360" w:lineRule="auto"/>
      <w:ind w:firstLineChars="200" w:firstLine="200"/>
    </w:pPr>
    <w:rPr>
      <w:rFonts w:ascii="宋体" w:hAnsi="宋体" w:cs="宋体"/>
      <w:sz w:val="24"/>
    </w:rPr>
  </w:style>
  <w:style w:type="paragraph" w:customStyle="1" w:styleId="122">
    <w:name w:val="样式 目录 1 + 首行缩进:  2 字符"/>
    <w:basedOn w:val="10"/>
    <w:qFormat/>
    <w:pPr>
      <w:widowControl/>
      <w:tabs>
        <w:tab w:val="right" w:leader="dot" w:pos="8720"/>
      </w:tabs>
      <w:spacing w:before="120" w:line="480" w:lineRule="exact"/>
    </w:pPr>
    <w:rPr>
      <w:rFonts w:ascii="Comic Sans MS" w:eastAsia="楷体_GB2312" w:hAnsi="Comic Sans MS" w:cs="宋体"/>
      <w:b w:val="0"/>
      <w:caps/>
      <w:lang w:bidi="ne-NP"/>
    </w:rPr>
  </w:style>
  <w:style w:type="paragraph" w:customStyle="1" w:styleId="CharCharCharChar3CharChar">
    <w:name w:val="居中表内文 Char Char Char Char3 Char Char"/>
    <w:basedOn w:val="a9"/>
    <w:qFormat/>
    <w:pPr>
      <w:widowControl/>
      <w:spacing w:line="240" w:lineRule="exact"/>
      <w:jc w:val="center"/>
    </w:pPr>
    <w:rPr>
      <w:rFonts w:cs="宋体"/>
      <w:sz w:val="18"/>
      <w:lang w:bidi="ne-NP"/>
    </w:rPr>
  </w:style>
  <w:style w:type="paragraph" w:customStyle="1" w:styleId="2H2Heading2HiddenHeading2CCBS2ndlevelh22Header">
    <w:name w:val="样式 标题 2H2Heading 2 HiddenHeading 2 CCBS2nd levelh22Header..."/>
    <w:basedOn w:val="2"/>
    <w:qFormat/>
    <w:pPr>
      <w:keepNext/>
      <w:widowControl/>
      <w:numPr>
        <w:ilvl w:val="0"/>
        <w:numId w:val="0"/>
      </w:numPr>
      <w:pBdr>
        <w:bottom w:val="none" w:sz="0" w:space="0" w:color="auto"/>
      </w:pBdr>
      <w:spacing w:before="120" w:after="120" w:line="440" w:lineRule="exact"/>
      <w:jc w:val="left"/>
    </w:pPr>
    <w:rPr>
      <w:rFonts w:ascii="Arial" w:hAnsi="Arial" w:cs="宋体"/>
      <w:bCs/>
      <w:sz w:val="24"/>
    </w:rPr>
  </w:style>
  <w:style w:type="paragraph" w:customStyle="1" w:styleId="CharChar3Char2">
    <w:name w:val="Char Char3 Char2"/>
    <w:basedOn w:val="a9"/>
    <w:qFormat/>
    <w:pPr>
      <w:widowControl/>
      <w:spacing w:line="360" w:lineRule="auto"/>
      <w:ind w:firstLineChars="200" w:firstLine="200"/>
    </w:pPr>
    <w:rPr>
      <w:rFonts w:ascii="宋体" w:hAnsi="宋体" w:cs="宋体"/>
      <w:sz w:val="24"/>
      <w:lang w:bidi="ne-NP"/>
    </w:rPr>
  </w:style>
  <w:style w:type="paragraph" w:customStyle="1" w:styleId="xl543">
    <w:name w:val="xl543"/>
    <w:basedOn w:val="a9"/>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color w:val="000000"/>
      <w:sz w:val="18"/>
      <w:szCs w:val="18"/>
      <w:lang w:bidi="ne-NP"/>
    </w:rPr>
  </w:style>
  <w:style w:type="paragraph" w:customStyle="1" w:styleId="CharCharf2">
    <w:name w:val="列表名称 Char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1210">
    <w:name w:val="样式 目录 1 + 首行缩进:  2 字符1"/>
    <w:basedOn w:val="10"/>
    <w:qFormat/>
    <w:pPr>
      <w:widowControl/>
      <w:tabs>
        <w:tab w:val="right" w:leader="dot" w:pos="8720"/>
      </w:tabs>
      <w:spacing w:before="120" w:line="480" w:lineRule="exact"/>
    </w:pPr>
    <w:rPr>
      <w:rFonts w:ascii="Comic Sans MS" w:eastAsia="楷体_GB2312" w:hAnsi="Comic Sans MS" w:cs="宋体"/>
      <w:b w:val="0"/>
      <w:caps/>
      <w:lang w:bidi="ne-NP"/>
    </w:rPr>
  </w:style>
  <w:style w:type="paragraph" w:customStyle="1" w:styleId="affffffffffa">
    <w:name w:val="正文编号"/>
    <w:basedOn w:val="a9"/>
    <w:qFormat/>
    <w:pPr>
      <w:widowControl/>
      <w:tabs>
        <w:tab w:val="left" w:pos="425"/>
      </w:tabs>
      <w:adjustRightInd w:val="0"/>
      <w:spacing w:line="360" w:lineRule="atLeast"/>
      <w:ind w:left="425" w:hanging="425"/>
      <w:textAlignment w:val="baseline"/>
    </w:pPr>
    <w:rPr>
      <w:rFonts w:eastAsia="楷体_GB2312" w:cs="宋体"/>
      <w:color w:val="000000"/>
      <w:spacing w:val="8"/>
      <w:sz w:val="28"/>
      <w:lang w:bidi="ne-NP"/>
    </w:rPr>
  </w:style>
  <w:style w:type="paragraph" w:customStyle="1" w:styleId="affffffffffb">
    <w:name w:val="摘要图体"/>
    <w:basedOn w:val="a9"/>
    <w:qFormat/>
    <w:pPr>
      <w:widowControl/>
      <w:tabs>
        <w:tab w:val="left" w:pos="480"/>
      </w:tabs>
      <w:spacing w:beforeLines="50" w:afterLines="50"/>
      <w:jc w:val="center"/>
    </w:pPr>
    <w:rPr>
      <w:rFonts w:ascii="宋体" w:hAnsi="宋体" w:cs="宋体"/>
      <w:sz w:val="25"/>
      <w:szCs w:val="25"/>
      <w:lang w:bidi="ne-NP"/>
    </w:rPr>
  </w:style>
  <w:style w:type="paragraph" w:customStyle="1" w:styleId="1051">
    <w:name w:val="样式 表头样式1 + 段前: 0.5 行1"/>
    <w:basedOn w:val="--"/>
    <w:qFormat/>
    <w:rPr>
      <w:rFonts w:cs="宋体"/>
      <w:bCs/>
    </w:rPr>
  </w:style>
  <w:style w:type="paragraph" w:customStyle="1" w:styleId="xl72">
    <w:name w:val="xl7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24"/>
    </w:rPr>
  </w:style>
  <w:style w:type="paragraph" w:customStyle="1" w:styleId="221">
    <w:name w:val="样式 标题 2 + 首行缩进:  2 字符"/>
    <w:basedOn w:val="2"/>
    <w:qFormat/>
    <w:pPr>
      <w:keepNext/>
      <w:keepLines w:val="0"/>
      <w:widowControl/>
      <w:numPr>
        <w:ilvl w:val="0"/>
        <w:numId w:val="0"/>
      </w:numPr>
      <w:pBdr>
        <w:bottom w:val="none" w:sz="0" w:space="0" w:color="auto"/>
      </w:pBdr>
      <w:tabs>
        <w:tab w:val="left" w:pos="1080"/>
      </w:tabs>
      <w:spacing w:before="0" w:after="120" w:line="360" w:lineRule="auto"/>
      <w:ind w:firstLineChars="100" w:firstLine="100"/>
      <w:jc w:val="left"/>
    </w:pPr>
    <w:rPr>
      <w:rFonts w:eastAsia="华文中宋" w:cs="宋体"/>
      <w:b w:val="0"/>
      <w:color w:val="000000"/>
      <w:sz w:val="30"/>
    </w:rPr>
  </w:style>
  <w:style w:type="paragraph" w:customStyle="1" w:styleId="affffffffffc">
    <w:name w:val="基准页眉样式"/>
    <w:basedOn w:val="afd"/>
    <w:qFormat/>
    <w:pPr>
      <w:spacing w:line="240" w:lineRule="atLeast"/>
      <w:ind w:firstLineChars="0" w:firstLine="0"/>
      <w:jc w:val="center"/>
    </w:pPr>
    <w:rPr>
      <w:rFonts w:ascii="宋体" w:hAnsi="Times New Roman"/>
      <w:color w:val="000000"/>
      <w:kern w:val="2"/>
      <w:sz w:val="21"/>
    </w:rPr>
  </w:style>
  <w:style w:type="paragraph" w:customStyle="1" w:styleId="charfffff1">
    <w:name w:val="char"/>
    <w:basedOn w:val="a9"/>
    <w:qFormat/>
    <w:pPr>
      <w:widowControl/>
      <w:spacing w:after="160" w:line="240" w:lineRule="exact"/>
      <w:jc w:val="left"/>
    </w:pPr>
    <w:rPr>
      <w:rFonts w:ascii="Verdana" w:eastAsia="仿宋_GB2312" w:hAnsi="Verdana" w:cs="”“Times New Roman”“"/>
      <w:sz w:val="24"/>
      <w:lang w:eastAsia="en-US" w:bidi="ne-NP"/>
    </w:rPr>
  </w:style>
  <w:style w:type="paragraph" w:customStyle="1" w:styleId="1fff3">
    <w:name w:val="编号1"/>
    <w:basedOn w:val="a9"/>
    <w:qFormat/>
    <w:pPr>
      <w:tabs>
        <w:tab w:val="left" w:pos="540"/>
      </w:tabs>
      <w:spacing w:line="360" w:lineRule="auto"/>
      <w:ind w:firstLineChars="64" w:firstLine="179"/>
    </w:pPr>
    <w:rPr>
      <w:sz w:val="28"/>
    </w:rPr>
  </w:style>
  <w:style w:type="paragraph" w:customStyle="1" w:styleId="330">
    <w:name w:val="正文文本缩进 33"/>
    <w:basedOn w:val="a9"/>
    <w:semiHidden/>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xl117">
    <w:name w:val="xl117"/>
    <w:basedOn w:val="a9"/>
    <w:qFormat/>
    <w:pPr>
      <w:widowControl/>
      <w:pBdr>
        <w:bottom w:val="single" w:sz="8" w:space="0" w:color="auto"/>
        <w:right w:val="single" w:sz="8" w:space="0" w:color="auto"/>
      </w:pBdr>
      <w:spacing w:before="100" w:beforeAutospacing="1" w:after="100" w:afterAutospacing="1" w:line="360" w:lineRule="auto"/>
      <w:textAlignment w:val="center"/>
    </w:pPr>
  </w:style>
  <w:style w:type="paragraph" w:customStyle="1" w:styleId="41111111Heading4Subsection4dash">
    <w:name w:val="样式 标题 4款标题1.1.1段款标题1.1.1.1四四级标题Heading4Subsection4 dash..."/>
    <w:basedOn w:val="4"/>
    <w:qFormat/>
    <w:pPr>
      <w:widowControl/>
      <w:numPr>
        <w:numId w:val="2"/>
      </w:numPr>
      <w:tabs>
        <w:tab w:val="clear" w:pos="432"/>
        <w:tab w:val="left" w:pos="425"/>
        <w:tab w:val="left" w:pos="1567"/>
      </w:tabs>
      <w:jc w:val="left"/>
    </w:pPr>
    <w:rPr>
      <w:bCs/>
      <w:lang w:bidi="ne-NP"/>
    </w:rPr>
  </w:style>
  <w:style w:type="paragraph" w:customStyle="1" w:styleId="630">
    <w:name w:val="样式 表格 + 段后: 6 磅3"/>
    <w:basedOn w:val="afffff5"/>
    <w:qFormat/>
    <w:pPr>
      <w:widowControl/>
      <w:spacing w:line="240" w:lineRule="auto"/>
      <w:jc w:val="both"/>
    </w:pPr>
    <w:rPr>
      <w:rFonts w:ascii="宋体" w:cs="宋体"/>
      <w:color w:val="000000"/>
      <w:kern w:val="2"/>
      <w:sz w:val="18"/>
      <w:szCs w:val="20"/>
    </w:rPr>
  </w:style>
  <w:style w:type="paragraph" w:customStyle="1" w:styleId="xl94">
    <w:name w:val="xl94"/>
    <w:basedOn w:val="a9"/>
    <w:qFormat/>
    <w:pPr>
      <w:widowControl/>
      <w:pBdr>
        <w:top w:val="single" w:sz="4"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Standardeinz">
    <w:name w:val="Standardeinz"/>
    <w:basedOn w:val="a9"/>
    <w:next w:val="36"/>
    <w:qFormat/>
    <w:pPr>
      <w:widowControl/>
      <w:spacing w:line="460" w:lineRule="exact"/>
      <w:ind w:leftChars="514" w:left="1079" w:firstLine="541"/>
    </w:pPr>
    <w:rPr>
      <w:rFonts w:ascii="宋体" w:hAnsi="宋体" w:cs="宋体"/>
      <w:sz w:val="24"/>
      <w:lang w:bidi="ne-NP"/>
    </w:rPr>
  </w:style>
  <w:style w:type="paragraph" w:customStyle="1" w:styleId="216">
    <w:name w:val="日期21"/>
    <w:basedOn w:val="a9"/>
    <w:next w:val="a9"/>
    <w:semiHidden/>
    <w:qFormat/>
    <w:pPr>
      <w:widowControl/>
      <w:adjustRightInd w:val="0"/>
      <w:spacing w:line="360" w:lineRule="auto"/>
      <w:ind w:firstLineChars="200" w:firstLine="576"/>
      <w:textAlignment w:val="baseline"/>
    </w:pPr>
    <w:rPr>
      <w:rFonts w:ascii="仿宋_GB2312" w:eastAsia="仿宋_GB2312" w:cs="宋体"/>
      <w:spacing w:val="4"/>
      <w:kern w:val="18"/>
      <w:sz w:val="28"/>
      <w:lang w:bidi="ne-NP"/>
    </w:rPr>
  </w:style>
  <w:style w:type="paragraph" w:customStyle="1" w:styleId="xl53">
    <w:name w:val="xl53"/>
    <w:basedOn w:val="a9"/>
    <w:qFormat/>
    <w:pPr>
      <w:widowControl/>
      <w:pBdr>
        <w:right w:val="single" w:sz="4" w:space="0" w:color="auto"/>
      </w:pBdr>
      <w:spacing w:before="100" w:beforeAutospacing="1" w:after="100" w:afterAutospacing="1" w:line="360" w:lineRule="auto"/>
      <w:jc w:val="center"/>
    </w:pPr>
    <w:rPr>
      <w:sz w:val="24"/>
    </w:rPr>
  </w:style>
  <w:style w:type="paragraph" w:customStyle="1" w:styleId="xl538">
    <w:name w:val="xl538"/>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color w:val="000000"/>
      <w:sz w:val="18"/>
      <w:szCs w:val="18"/>
      <w:lang w:bidi="ne-NP"/>
    </w:rPr>
  </w:style>
  <w:style w:type="paragraph" w:customStyle="1" w:styleId="1fff4">
    <w:name w:val="表格小五（1）"/>
    <w:basedOn w:val="a9"/>
    <w:qFormat/>
    <w:pPr>
      <w:adjustRightInd w:val="0"/>
      <w:snapToGrid w:val="0"/>
      <w:spacing w:line="320" w:lineRule="exact"/>
    </w:pPr>
    <w:rPr>
      <w:rFonts w:ascii="宋体" w:hAnsi="宋体"/>
      <w:sz w:val="18"/>
      <w:szCs w:val="18"/>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xl97">
    <w:name w:val="xl97"/>
    <w:basedOn w:val="a9"/>
    <w:qFormat/>
    <w:pPr>
      <w:widowControl/>
      <w:pBdr>
        <w:left w:val="single" w:sz="4"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567">
    <w:name w:val="xl567"/>
    <w:basedOn w:val="a9"/>
    <w:qFormat/>
    <w:pPr>
      <w:widowControl/>
      <w:pBdr>
        <w:top w:val="single" w:sz="4" w:space="0" w:color="auto"/>
        <w:left w:val="single" w:sz="4" w:space="0" w:color="auto"/>
        <w:right w:val="single" w:sz="4" w:space="0" w:color="auto"/>
      </w:pBdr>
      <w:shd w:val="clear" w:color="auto" w:fill="FF99CC"/>
      <w:spacing w:before="100" w:beforeAutospacing="1" w:after="100" w:afterAutospacing="1"/>
      <w:jc w:val="center"/>
    </w:pPr>
    <w:rPr>
      <w:rFonts w:ascii="宋体" w:hAnsi="宋体" w:cs="宋体"/>
      <w:lang w:bidi="ne-NP"/>
    </w:rPr>
  </w:style>
  <w:style w:type="paragraph" w:customStyle="1" w:styleId="xl119">
    <w:name w:val="xl119"/>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p18">
    <w:name w:val="p18"/>
    <w:basedOn w:val="a9"/>
    <w:qFormat/>
    <w:pPr>
      <w:widowControl/>
      <w:snapToGrid w:val="0"/>
      <w:spacing w:line="360" w:lineRule="auto"/>
      <w:ind w:firstLine="420"/>
    </w:pPr>
    <w:rPr>
      <w:rFonts w:ascii="宋体" w:hAnsi="宋体" w:cs="宋体"/>
      <w:sz w:val="28"/>
      <w:szCs w:val="28"/>
    </w:rPr>
  </w:style>
  <w:style w:type="paragraph" w:customStyle="1" w:styleId="Char2CharCharChar">
    <w:name w:val="Char2 Char Char Char"/>
    <w:basedOn w:val="3"/>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affffffffffd">
    <w:name w:val="样式"/>
    <w:basedOn w:val="a9"/>
    <w:next w:val="36"/>
    <w:qFormat/>
    <w:pPr>
      <w:tabs>
        <w:tab w:val="left" w:pos="6720"/>
      </w:tabs>
      <w:spacing w:line="360" w:lineRule="auto"/>
      <w:ind w:firstLineChars="200" w:firstLine="480"/>
    </w:pPr>
    <w:rPr>
      <w:rFonts w:ascii="楷体_GB2312" w:eastAsia="楷体_GB2312"/>
      <w:sz w:val="24"/>
    </w:rPr>
  </w:style>
  <w:style w:type="paragraph" w:customStyle="1" w:styleId="114">
    <w:name w:val="标题11"/>
    <w:basedOn w:val="1f3"/>
    <w:qFormat/>
    <w:pPr>
      <w:widowControl/>
      <w:spacing w:beforeLines="0" w:before="0"/>
    </w:pPr>
  </w:style>
  <w:style w:type="paragraph" w:customStyle="1" w:styleId="xl87">
    <w:name w:val="xl87"/>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3CharCharChar">
    <w:name w:val="标题3 Char Char Char"/>
    <w:basedOn w:val="a9"/>
    <w:qFormat/>
    <w:pPr>
      <w:widowControl/>
      <w:spacing w:afterLines="50" w:line="560" w:lineRule="exact"/>
    </w:pPr>
    <w:rPr>
      <w:rFonts w:eastAsia="黑体" w:cs="宋体"/>
      <w:sz w:val="30"/>
      <w:szCs w:val="30"/>
      <w:lang w:bidi="ne-NP"/>
    </w:rPr>
  </w:style>
  <w:style w:type="paragraph" w:customStyle="1" w:styleId="Char3CharCharChar6">
    <w:name w:val="Char3 Char Char Char6"/>
    <w:basedOn w:val="a9"/>
    <w:qFormat/>
    <w:pPr>
      <w:spacing w:line="360" w:lineRule="auto"/>
      <w:ind w:firstLineChars="200" w:firstLine="200"/>
    </w:pPr>
    <w:rPr>
      <w:rFonts w:ascii="宋体" w:hAnsi="宋体" w:cs="宋体"/>
      <w:sz w:val="24"/>
    </w:rPr>
  </w:style>
  <w:style w:type="paragraph" w:customStyle="1" w:styleId="xl96">
    <w:name w:val="xl96"/>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1fff5">
    <w:name w:val="修订1"/>
    <w:uiPriority w:val="99"/>
    <w:unhideWhenUsed/>
    <w:qFormat/>
    <w:pPr>
      <w:spacing w:line="360" w:lineRule="auto"/>
      <w:jc w:val="center"/>
    </w:pPr>
    <w:rPr>
      <w:kern w:val="2"/>
      <w:sz w:val="21"/>
      <w:szCs w:val="24"/>
    </w:rPr>
  </w:style>
  <w:style w:type="paragraph" w:customStyle="1" w:styleId="affffffffffe">
    <w:name w:val="表文字"/>
    <w:basedOn w:val="a9"/>
    <w:qFormat/>
    <w:pPr>
      <w:widowControl/>
      <w:overflowPunct w:val="0"/>
      <w:topLinePunct/>
      <w:autoSpaceDE w:val="0"/>
      <w:autoSpaceDN w:val="0"/>
      <w:adjustRightInd w:val="0"/>
      <w:spacing w:line="240" w:lineRule="atLeast"/>
      <w:contextualSpacing/>
      <w:jc w:val="center"/>
      <w:textAlignment w:val="baseline"/>
    </w:pPr>
    <w:rPr>
      <w:sz w:val="24"/>
    </w:rPr>
  </w:style>
  <w:style w:type="paragraph" w:customStyle="1" w:styleId="123">
    <w:name w:val="字元 字元12"/>
    <w:basedOn w:val="a9"/>
    <w:qFormat/>
    <w:pPr>
      <w:widowControl/>
      <w:spacing w:after="160" w:line="240" w:lineRule="exact"/>
    </w:pPr>
    <w:rPr>
      <w:rFonts w:ascii="Verdana" w:hAnsi="Verdana" w:cs="宋体"/>
      <w:lang w:eastAsia="en-US" w:bidi="ne-NP"/>
    </w:rPr>
  </w:style>
  <w:style w:type="paragraph" w:customStyle="1" w:styleId="font4">
    <w:name w:val="font4"/>
    <w:basedOn w:val="a9"/>
    <w:qFormat/>
    <w:pPr>
      <w:widowControl/>
      <w:spacing w:before="100" w:beforeAutospacing="1" w:after="100" w:afterAutospacing="1"/>
      <w:jc w:val="left"/>
    </w:pPr>
    <w:rPr>
      <w:rFonts w:ascii="宋体" w:hAnsi="宋体" w:cs="宋体"/>
      <w:b/>
      <w:bCs/>
      <w:sz w:val="24"/>
      <w:lang w:bidi="ne-NP"/>
    </w:rPr>
  </w:style>
  <w:style w:type="paragraph" w:customStyle="1" w:styleId="4e">
    <w:name w:val="纯文本4"/>
    <w:basedOn w:val="a9"/>
    <w:qFormat/>
    <w:pPr>
      <w:widowControl/>
      <w:adjustRightInd w:val="0"/>
      <w:textAlignment w:val="baseline"/>
    </w:pPr>
    <w:rPr>
      <w:rFonts w:ascii="宋体" w:cs="宋体"/>
      <w:sz w:val="24"/>
      <w:lang w:bidi="ne-NP"/>
    </w:rPr>
  </w:style>
  <w:style w:type="paragraph" w:customStyle="1" w:styleId="1098Char">
    <w:name w:val="样式 正文文本缩进正文文字缩进正文文字缩进1 + 首行缩进:  0.98 厘米 Char"/>
    <w:basedOn w:val="afe"/>
    <w:semiHidden/>
    <w:qFormat/>
    <w:pPr>
      <w:spacing w:line="460" w:lineRule="exact"/>
      <w:ind w:firstLine="556"/>
    </w:pPr>
    <w:rPr>
      <w:rFonts w:ascii="楷体_GB2312" w:eastAsia="楷体_GB2312"/>
      <w:bCs/>
      <w:color w:val="000000"/>
      <w:sz w:val="28"/>
      <w:szCs w:val="28"/>
    </w:rPr>
  </w:style>
  <w:style w:type="paragraph" w:customStyle="1" w:styleId="Char2f0">
    <w:name w:val="Char2"/>
    <w:basedOn w:val="a9"/>
    <w:pPr>
      <w:spacing w:line="360" w:lineRule="auto"/>
      <w:jc w:val="left"/>
    </w:pPr>
    <w:rPr>
      <w:rFonts w:ascii="宋体" w:hAnsi="宋体" w:cs="宋体"/>
      <w:sz w:val="24"/>
    </w:rPr>
  </w:style>
  <w:style w:type="paragraph" w:customStyle="1" w:styleId="CharCharCharCharCharChar1">
    <w:name w:val="Char Char Char Char Char Char1"/>
    <w:basedOn w:val="a9"/>
    <w:qFormat/>
    <w:pPr>
      <w:spacing w:line="360" w:lineRule="auto"/>
    </w:pPr>
    <w:rPr>
      <w:sz w:val="24"/>
    </w:rPr>
  </w:style>
  <w:style w:type="paragraph" w:customStyle="1" w:styleId="3f6">
    <w:name w:val="字元 字元3"/>
    <w:basedOn w:val="a9"/>
    <w:semiHidden/>
    <w:qFormat/>
    <w:pPr>
      <w:widowControl/>
    </w:pPr>
    <w:rPr>
      <w:rFonts w:cs="宋体"/>
      <w:sz w:val="24"/>
      <w:lang w:bidi="ne-NP"/>
    </w:rPr>
  </w:style>
  <w:style w:type="paragraph" w:customStyle="1" w:styleId="xl101">
    <w:name w:val="xl101"/>
    <w:basedOn w:val="a9"/>
    <w:qFormat/>
    <w:pPr>
      <w:widowControl/>
      <w:pBdr>
        <w:bottom w:val="single" w:sz="8" w:space="0" w:color="000000"/>
      </w:pBdr>
      <w:spacing w:before="100" w:beforeAutospacing="1" w:after="100" w:afterAutospacing="1" w:line="360" w:lineRule="auto"/>
      <w:jc w:val="center"/>
      <w:textAlignment w:val="center"/>
    </w:pPr>
    <w:rPr>
      <w:color w:val="FF0000"/>
      <w:sz w:val="18"/>
      <w:szCs w:val="18"/>
    </w:rPr>
  </w:style>
  <w:style w:type="paragraph" w:customStyle="1" w:styleId="484815">
    <w:name w:val="样式 (中文) 黑体 三号 加粗 段前: 48 磅 段后: 48 磅 底端: (单实线 自动设置  1.5 磅 行..."/>
    <w:basedOn w:val="10"/>
    <w:qFormat/>
    <w:pPr>
      <w:pBdr>
        <w:bottom w:val="single" w:sz="12" w:space="1" w:color="auto"/>
      </w:pBdr>
      <w:tabs>
        <w:tab w:val="right" w:leader="dot" w:pos="9652"/>
      </w:tabs>
      <w:spacing w:before="960" w:after="960"/>
    </w:pPr>
    <w:rPr>
      <w:rFonts w:eastAsia="黑体" w:cs="宋体"/>
      <w:b w:val="0"/>
      <w:bCs w:val="0"/>
      <w:caps/>
      <w:sz w:val="32"/>
    </w:rPr>
  </w:style>
  <w:style w:type="paragraph" w:customStyle="1" w:styleId="xl59">
    <w:name w:val="xl59"/>
    <w:basedOn w:val="a9"/>
    <w:qFormat/>
    <w:pPr>
      <w:widowControl/>
      <w:pBdr>
        <w:right w:val="single" w:sz="4" w:space="0" w:color="auto"/>
      </w:pBdr>
      <w:spacing w:before="100" w:beforeAutospacing="1" w:after="100" w:afterAutospacing="1"/>
      <w:jc w:val="left"/>
    </w:pPr>
    <w:rPr>
      <w:rFonts w:ascii="宋体" w:hAnsi="宋体" w:cs="宋体"/>
      <w:sz w:val="18"/>
      <w:szCs w:val="18"/>
      <w:lang w:bidi="ne-NP"/>
    </w:rPr>
  </w:style>
  <w:style w:type="paragraph" w:customStyle="1" w:styleId="xl568">
    <w:name w:val="xl568"/>
    <w:basedOn w:val="a9"/>
    <w:qFormat/>
    <w:pPr>
      <w:widowControl/>
      <w:spacing w:before="100" w:beforeAutospacing="1" w:after="100" w:afterAutospacing="1"/>
      <w:jc w:val="center"/>
    </w:pPr>
    <w:rPr>
      <w:rFonts w:ascii="宋体" w:hAnsi="宋体" w:cs="宋体"/>
      <w:sz w:val="18"/>
      <w:szCs w:val="18"/>
      <w:lang w:bidi="ne-NP"/>
    </w:rPr>
  </w:style>
  <w:style w:type="paragraph" w:customStyle="1" w:styleId="xl54">
    <w:name w:val="xl54"/>
    <w:basedOn w:val="a9"/>
    <w:qFormat/>
    <w:pPr>
      <w:widowControl/>
      <w:pBdr>
        <w:left w:val="single" w:sz="4" w:space="0" w:color="auto"/>
      </w:pBdr>
      <w:shd w:val="clear" w:color="auto" w:fill="FFFF00"/>
      <w:spacing w:before="100" w:beforeAutospacing="1" w:after="100" w:afterAutospacing="1"/>
      <w:jc w:val="center"/>
    </w:pPr>
    <w:rPr>
      <w:rFonts w:ascii="宋体" w:hAnsi="宋体" w:cs="宋体"/>
      <w:sz w:val="18"/>
      <w:szCs w:val="18"/>
      <w:lang w:bidi="ne-NP"/>
    </w:rPr>
  </w:style>
  <w:style w:type="paragraph" w:customStyle="1" w:styleId="xl545">
    <w:name w:val="xl545"/>
    <w:basedOn w:val="a9"/>
    <w:qFormat/>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w:hAnsi="Arial" w:cs="Arial"/>
      <w:lang w:bidi="ne-NP"/>
    </w:rPr>
  </w:style>
  <w:style w:type="paragraph" w:customStyle="1" w:styleId="afffffffffff">
    <w:name w:val="报告表表格文字"/>
    <w:basedOn w:val="a9"/>
    <w:link w:val="Charfffff2"/>
    <w:qFormat/>
    <w:pPr>
      <w:widowControl/>
      <w:adjustRightInd w:val="0"/>
      <w:snapToGrid w:val="0"/>
      <w:spacing w:line="360" w:lineRule="auto"/>
      <w:jc w:val="center"/>
    </w:pPr>
    <w:rPr>
      <w:rFonts w:eastAsia="楷体_GB2312"/>
      <w:sz w:val="18"/>
      <w:szCs w:val="18"/>
    </w:rPr>
  </w:style>
  <w:style w:type="paragraph" w:customStyle="1" w:styleId="1fff6">
    <w:name w:val="表1"/>
    <w:basedOn w:val="a9"/>
    <w:semiHidden/>
    <w:qFormat/>
    <w:pPr>
      <w:adjustRightInd w:val="0"/>
      <w:spacing w:line="0" w:lineRule="atLeast"/>
      <w:jc w:val="center"/>
      <w:textAlignment w:val="baseline"/>
    </w:pPr>
    <w:rPr>
      <w:sz w:val="28"/>
    </w:rPr>
  </w:style>
  <w:style w:type="paragraph" w:customStyle="1" w:styleId="xl189">
    <w:name w:val="xl189"/>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CharChar3Char5">
    <w:name w:val="Char Char3 Char5"/>
    <w:basedOn w:val="a9"/>
    <w:qFormat/>
    <w:pPr>
      <w:spacing w:line="360" w:lineRule="auto"/>
      <w:ind w:firstLineChars="200" w:firstLine="200"/>
    </w:pPr>
    <w:rPr>
      <w:rFonts w:ascii="宋体" w:hAnsi="宋体" w:cs="宋体"/>
      <w:sz w:val="24"/>
    </w:rPr>
  </w:style>
  <w:style w:type="paragraph" w:customStyle="1" w:styleId="CharCharCharCharCharCharChar2">
    <w:name w:val="Char Char Char Char Char Char Char2"/>
    <w:basedOn w:val="a9"/>
    <w:qFormat/>
    <w:pPr>
      <w:widowControl/>
      <w:spacing w:line="360" w:lineRule="auto"/>
      <w:ind w:firstLineChars="200" w:firstLine="200"/>
    </w:pPr>
    <w:rPr>
      <w:rFonts w:cs="宋体"/>
      <w:sz w:val="24"/>
      <w:lang w:bidi="ne-NP"/>
    </w:rPr>
  </w:style>
  <w:style w:type="paragraph" w:customStyle="1" w:styleId="Char2CharCharChar6">
    <w:name w:val="Char2 Char Char Char6"/>
    <w:basedOn w:val="3"/>
    <w:qFormat/>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CharChar1Char5">
    <w:name w:val="Char Char1 Char5"/>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1CharCharChar">
    <w:name w:val="Char Char Char Char Char Char Char1 Char Char Char"/>
    <w:basedOn w:val="a9"/>
    <w:qFormat/>
    <w:pPr>
      <w:widowControl/>
      <w:spacing w:line="360" w:lineRule="auto"/>
      <w:jc w:val="left"/>
    </w:pPr>
    <w:rPr>
      <w:rFonts w:ascii="宋体" w:hAnsi="宋体" w:cs="宋体"/>
      <w:sz w:val="24"/>
      <w:szCs w:val="21"/>
      <w:lang w:bidi="ne-NP"/>
    </w:rPr>
  </w:style>
  <w:style w:type="paragraph" w:customStyle="1" w:styleId="style2">
    <w:name w:val="style2"/>
    <w:basedOn w:val="a9"/>
    <w:qFormat/>
    <w:pPr>
      <w:widowControl/>
      <w:spacing w:before="100" w:beforeAutospacing="1" w:after="100" w:afterAutospacing="1"/>
      <w:jc w:val="left"/>
    </w:pPr>
    <w:rPr>
      <w:rFonts w:ascii="宋体" w:hAnsi="宋体"/>
      <w:sz w:val="24"/>
      <w:szCs w:val="28"/>
    </w:rPr>
  </w:style>
  <w:style w:type="paragraph" w:customStyle="1" w:styleId="afffffffffff0">
    <w:name w:val="本文１"/>
    <w:basedOn w:val="a9"/>
    <w:qFormat/>
    <w:pPr>
      <w:spacing w:line="360" w:lineRule="auto"/>
    </w:pPr>
    <w:rPr>
      <w:rFonts w:ascii="Century" w:eastAsia="MS Mincho" w:hAnsi="Century"/>
      <w:lang w:eastAsia="ja-JP"/>
    </w:rPr>
  </w:style>
  <w:style w:type="paragraph" w:customStyle="1" w:styleId="4f">
    <w:name w:val="4"/>
    <w:basedOn w:val="a9"/>
    <w:next w:val="36"/>
    <w:qFormat/>
    <w:pPr>
      <w:spacing w:after="80" w:line="480" w:lineRule="atLeast"/>
      <w:ind w:firstLine="560"/>
    </w:pPr>
    <w:rPr>
      <w:sz w:val="24"/>
    </w:rPr>
  </w:style>
  <w:style w:type="paragraph" w:customStyle="1" w:styleId="TabHead">
    <w:name w:val="TabHead"/>
    <w:basedOn w:val="a9"/>
    <w:qFormat/>
    <w:pPr>
      <w:spacing w:line="360" w:lineRule="auto"/>
      <w:ind w:firstLineChars="200" w:firstLine="480"/>
      <w:jc w:val="center"/>
    </w:pPr>
    <w:rPr>
      <w:sz w:val="24"/>
    </w:rPr>
  </w:style>
  <w:style w:type="paragraph" w:customStyle="1" w:styleId="xl115">
    <w:name w:val="xl115"/>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等线" w:eastAsia="等线" w:hAnsi="宋体" w:cs="宋体"/>
      <w:color w:val="FF0000"/>
      <w:sz w:val="24"/>
    </w:rPr>
  </w:style>
  <w:style w:type="paragraph" w:customStyle="1" w:styleId="afffffffffff1">
    <w:name w:val="表格文字两端对齐"/>
    <w:basedOn w:val="a9"/>
    <w:qFormat/>
    <w:pPr>
      <w:spacing w:line="300" w:lineRule="auto"/>
    </w:pPr>
  </w:style>
  <w:style w:type="paragraph" w:customStyle="1" w:styleId="afffffffffff2">
    <w:name w:val="列表标题"/>
    <w:basedOn w:val="a9"/>
    <w:next w:val="a9"/>
    <w:qFormat/>
    <w:pPr>
      <w:widowControl/>
      <w:jc w:val="center"/>
    </w:pPr>
    <w:rPr>
      <w:rFonts w:cs="宋体"/>
      <w:sz w:val="24"/>
      <w:lang w:bidi="ne-NP"/>
    </w:rPr>
  </w:style>
  <w:style w:type="paragraph" w:customStyle="1" w:styleId="Char3CharCharCharCharCharChar">
    <w:name w:val="Char3 Char Char Char Char Char Char"/>
    <w:basedOn w:val="a9"/>
    <w:qFormat/>
    <w:pPr>
      <w:spacing w:line="360" w:lineRule="auto"/>
      <w:ind w:firstLineChars="200" w:firstLine="200"/>
    </w:pPr>
    <w:rPr>
      <w:rFonts w:ascii="宋体" w:hAnsi="宋体" w:cs="宋体"/>
      <w:sz w:val="24"/>
    </w:rPr>
  </w:style>
  <w:style w:type="paragraph" w:customStyle="1" w:styleId="afffffffffff3">
    <w:name w:val="图片文字"/>
    <w:basedOn w:val="a9"/>
    <w:qFormat/>
    <w:pPr>
      <w:jc w:val="center"/>
    </w:pPr>
  </w:style>
  <w:style w:type="paragraph" w:customStyle="1" w:styleId="afffffffffff4">
    <w:name w:val="三级条标题"/>
    <w:basedOn w:val="afffffffff8"/>
    <w:next w:val="a9"/>
    <w:qFormat/>
    <w:pPr>
      <w:tabs>
        <w:tab w:val="clear" w:pos="2160"/>
        <w:tab w:val="left" w:pos="2580"/>
      </w:tabs>
      <w:ind w:left="2580"/>
      <w:outlineLvl w:val="4"/>
    </w:pPr>
  </w:style>
  <w:style w:type="paragraph" w:customStyle="1" w:styleId="xl92">
    <w:name w:val="xl92"/>
    <w:basedOn w:val="a9"/>
    <w:qFormat/>
    <w:pPr>
      <w:widowControl/>
      <w:pBdr>
        <w:lef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harCharf3">
    <w:name w:val="君邦正文 Char Char"/>
    <w:basedOn w:val="a9"/>
    <w:qFormat/>
    <w:pPr>
      <w:spacing w:after="60" w:line="360" w:lineRule="auto"/>
      <w:ind w:firstLineChars="200" w:firstLine="200"/>
    </w:pPr>
    <w:rPr>
      <w:sz w:val="24"/>
    </w:rPr>
  </w:style>
  <w:style w:type="paragraph" w:customStyle="1" w:styleId="1fff7">
    <w:name w:val="正文首行缩进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0">
    <w:name w:val="样式0"/>
    <w:basedOn w:val="aff7"/>
    <w:next w:val="aff7"/>
    <w:qFormat/>
    <w:pPr>
      <w:pBdr>
        <w:bottom w:val="thickThinSmallGap" w:sz="12" w:space="1" w:color="auto"/>
      </w:pBdr>
      <w:spacing w:line="360" w:lineRule="auto"/>
    </w:pPr>
    <w:rPr>
      <w:szCs w:val="20"/>
    </w:rPr>
  </w:style>
  <w:style w:type="paragraph" w:customStyle="1" w:styleId="CM94">
    <w:name w:val="CM94"/>
    <w:basedOn w:val="Default"/>
    <w:next w:val="Default"/>
    <w:qFormat/>
    <w:pPr>
      <w:spacing w:after="358" w:line="360" w:lineRule="auto"/>
      <w:jc w:val="both"/>
    </w:pPr>
    <w:rPr>
      <w:rFonts w:ascii="楷体_GB2312" w:eastAsia="楷体_GB2312" w:cs="Times New Roman"/>
      <w:color w:val="auto"/>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Title1">
    <w:name w:val="Title 1"/>
    <w:basedOn w:val="1"/>
    <w:next w:val="a9"/>
    <w:qFormat/>
    <w:pPr>
      <w:widowControl/>
      <w:numPr>
        <w:numId w:val="0"/>
      </w:numPr>
      <w:spacing w:before="480" w:after="360" w:line="240" w:lineRule="auto"/>
      <w:ind w:left="432" w:hanging="432"/>
      <w:jc w:val="center"/>
    </w:pPr>
    <w:rPr>
      <w:rFonts w:cs="Arial"/>
      <w:kern w:val="0"/>
    </w:rPr>
  </w:style>
  <w:style w:type="paragraph" w:customStyle="1" w:styleId="xl551">
    <w:name w:val="xl55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afffffffffff5">
    <w:name w:val="常用文本"/>
    <w:basedOn w:val="a9"/>
    <w:qFormat/>
    <w:pPr>
      <w:widowControl/>
      <w:spacing w:after="120"/>
      <w:ind w:firstLineChars="200" w:firstLine="200"/>
    </w:pPr>
    <w:rPr>
      <w:rFonts w:ascii="Arial" w:hAnsi="Arial" w:cs="宋体"/>
      <w:sz w:val="24"/>
      <w:lang w:bidi="ne-NP"/>
    </w:rPr>
  </w:style>
  <w:style w:type="paragraph" w:customStyle="1" w:styleId="CM5">
    <w:name w:val="CM5"/>
    <w:basedOn w:val="a9"/>
    <w:next w:val="a9"/>
    <w:qFormat/>
    <w:pPr>
      <w:autoSpaceDE w:val="0"/>
      <w:autoSpaceDN w:val="0"/>
      <w:adjustRightInd w:val="0"/>
      <w:spacing w:line="480" w:lineRule="atLeast"/>
      <w:jc w:val="left"/>
    </w:pPr>
    <w:rPr>
      <w:rFonts w:ascii="黑体" w:eastAsia="黑体"/>
      <w:sz w:val="24"/>
    </w:rPr>
  </w:style>
  <w:style w:type="paragraph" w:customStyle="1" w:styleId="xl562">
    <w:name w:val="xl56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afffffffffff6">
    <w:name w:val="正文大"/>
    <w:basedOn w:val="a9"/>
    <w:qFormat/>
    <w:pPr>
      <w:widowControl/>
      <w:spacing w:line="480" w:lineRule="auto"/>
      <w:ind w:firstLine="539"/>
    </w:pPr>
    <w:rPr>
      <w:rFonts w:cs="宋体"/>
      <w:b/>
      <w:sz w:val="24"/>
      <w:lang w:bidi="ne-NP"/>
    </w:rPr>
  </w:style>
  <w:style w:type="paragraph" w:customStyle="1" w:styleId="Charfffff3">
    <w:name w:val="列表项目 Char"/>
    <w:basedOn w:val="a9"/>
    <w:qFormat/>
    <w:pPr>
      <w:tabs>
        <w:tab w:val="left" w:pos="1080"/>
      </w:tabs>
      <w:spacing w:line="280" w:lineRule="atLeast"/>
      <w:ind w:left="567" w:hanging="567"/>
    </w:pPr>
  </w:style>
  <w:style w:type="paragraph" w:customStyle="1" w:styleId="xl91">
    <w:name w:val="xl91"/>
    <w:basedOn w:val="a9"/>
    <w:qFormat/>
    <w:pPr>
      <w:widowControl/>
      <w:pBdr>
        <w:top w:val="single" w:sz="4" w:space="0" w:color="auto"/>
        <w:lef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a">
    <w:name w:val="前言、引言标题"/>
    <w:next w:val="a9"/>
    <w:qFormat/>
    <w:pPr>
      <w:numPr>
        <w:numId w:val="4"/>
      </w:numPr>
      <w:shd w:val="clear" w:color="FFFFFF" w:fill="FFFFFF"/>
      <w:tabs>
        <w:tab w:val="left" w:pos="903"/>
      </w:tabs>
      <w:spacing w:before="640" w:after="560" w:line="360" w:lineRule="auto"/>
      <w:ind w:left="903" w:hanging="315"/>
      <w:jc w:val="center"/>
      <w:outlineLvl w:val="0"/>
    </w:pPr>
    <w:rPr>
      <w:rFonts w:ascii="黑体" w:eastAsia="黑体"/>
      <w:sz w:val="32"/>
    </w:rPr>
  </w:style>
  <w:style w:type="paragraph" w:customStyle="1" w:styleId="xl79">
    <w:name w:val="xl79"/>
    <w:basedOn w:val="a9"/>
    <w:qFormat/>
    <w:pPr>
      <w:widowControl/>
      <w:pBdr>
        <w:top w:val="single" w:sz="12" w:space="0" w:color="auto"/>
        <w:left w:val="single" w:sz="8"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49">
    <w:name w:val="xl49"/>
    <w:basedOn w:val="a9"/>
    <w:qFormat/>
    <w:pPr>
      <w:widowControl/>
      <w:pBdr>
        <w:left w:val="single" w:sz="4" w:space="0" w:color="auto"/>
        <w:bottom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afffffffffff7">
    <w:name w:val="表名称"/>
    <w:basedOn w:val="a9"/>
    <w:qFormat/>
    <w:pPr>
      <w:widowControl/>
      <w:suppressLineNumbers/>
      <w:suppressAutoHyphens/>
      <w:topLinePunct/>
      <w:adjustRightInd w:val="0"/>
      <w:snapToGrid w:val="0"/>
      <w:spacing w:beforeLines="50" w:afterLines="30"/>
      <w:ind w:firstLineChars="200" w:firstLine="480"/>
    </w:pPr>
    <w:rPr>
      <w:rFonts w:ascii="黑体" w:eastAsia="黑体" w:cs="宋体"/>
      <w:sz w:val="24"/>
      <w:lang w:bidi="ne-NP"/>
    </w:rPr>
  </w:style>
  <w:style w:type="paragraph" w:customStyle="1" w:styleId="afffffffffff8">
    <w:name w:val="图表"/>
    <w:basedOn w:val="affb"/>
    <w:qFormat/>
    <w:pPr>
      <w:spacing w:before="240" w:line="360" w:lineRule="auto"/>
      <w:ind w:left="0" w:firstLine="0"/>
      <w:jc w:val="center"/>
    </w:pPr>
    <w:rPr>
      <w:rFonts w:ascii="宋体"/>
      <w:color w:val="FF0000"/>
      <w:sz w:val="28"/>
      <w:szCs w:val="28"/>
    </w:rPr>
  </w:style>
  <w:style w:type="paragraph" w:customStyle="1" w:styleId="CharCharChar1CharCharCharCharCharCharCharCharCharChar">
    <w:name w:val="Char Char Char1 Char Char Char Char Char Char Char Char Char Char"/>
    <w:basedOn w:val="a9"/>
    <w:qFormat/>
  </w:style>
  <w:style w:type="paragraph" w:customStyle="1" w:styleId="font8">
    <w:name w:val="font8"/>
    <w:basedOn w:val="a9"/>
    <w:qFormat/>
    <w:pPr>
      <w:widowControl/>
      <w:spacing w:before="100" w:beforeAutospacing="1" w:after="100" w:afterAutospacing="1"/>
      <w:jc w:val="left"/>
    </w:pPr>
    <w:rPr>
      <w:rFonts w:ascii="宋体" w:hAnsi="宋体" w:cs="Arial Unicode MS" w:hint="eastAsia"/>
      <w:sz w:val="16"/>
      <w:szCs w:val="16"/>
    </w:rPr>
  </w:style>
  <w:style w:type="paragraph" w:customStyle="1" w:styleId="CharCharCharCharCharCharCharCharCharCharCharCharChar2">
    <w:name w:val="Char Char Char Char Char Char Char Char Char Char Char Char Char2"/>
    <w:basedOn w:val="a9"/>
    <w:qFormat/>
    <w:pPr>
      <w:widowControl/>
      <w:adjustRightInd w:val="0"/>
      <w:spacing w:line="360" w:lineRule="auto"/>
    </w:pPr>
    <w:rPr>
      <w:rFonts w:cs="宋体"/>
      <w:sz w:val="24"/>
      <w:lang w:bidi="ne-NP"/>
    </w:rPr>
  </w:style>
  <w:style w:type="paragraph" w:customStyle="1" w:styleId="afffffffffff9">
    <w:name w:val="图文框"/>
    <w:basedOn w:val="a9"/>
    <w:qFormat/>
    <w:pPr>
      <w:framePr w:hSpace="180" w:wrap="around" w:vAnchor="text" w:hAnchor="margin" w:y="207"/>
      <w:jc w:val="center"/>
    </w:pPr>
    <w:rPr>
      <w:rFonts w:ascii="宋体" w:hAnsi="宋体"/>
      <w:color w:val="000000"/>
      <w:sz w:val="18"/>
      <w:szCs w:val="18"/>
    </w:rPr>
  </w:style>
  <w:style w:type="paragraph" w:customStyle="1" w:styleId="afffffffffffa">
    <w:name w:val="四级条标题"/>
    <w:basedOn w:val="afffffffffff4"/>
    <w:next w:val="a9"/>
    <w:qFormat/>
    <w:pPr>
      <w:tabs>
        <w:tab w:val="clear" w:pos="2580"/>
        <w:tab w:val="left" w:pos="3000"/>
      </w:tabs>
      <w:ind w:left="3000"/>
      <w:outlineLvl w:val="5"/>
    </w:pPr>
  </w:style>
  <w:style w:type="paragraph" w:customStyle="1" w:styleId="afffffffffffb">
    <w:name w:val="工艺题目"/>
    <w:basedOn w:val="a9"/>
    <w:semiHidden/>
    <w:qFormat/>
    <w:pPr>
      <w:adjustRightInd w:val="0"/>
      <w:snapToGrid w:val="0"/>
      <w:spacing w:line="360" w:lineRule="auto"/>
    </w:pPr>
    <w:rPr>
      <w:b/>
      <w:sz w:val="28"/>
    </w:rPr>
  </w:style>
  <w:style w:type="paragraph" w:customStyle="1" w:styleId="xl60">
    <w:name w:val="xl60"/>
    <w:basedOn w:val="a9"/>
    <w:qFormat/>
    <w:pPr>
      <w:widowControl/>
      <w:pBdr>
        <w:top w:val="single" w:sz="12" w:space="0" w:color="auto"/>
        <w:bottom w:val="single" w:sz="8" w:space="0" w:color="auto"/>
      </w:pBdr>
      <w:spacing w:before="100" w:beforeAutospacing="1" w:after="100" w:afterAutospacing="1"/>
      <w:jc w:val="center"/>
    </w:pPr>
    <w:rPr>
      <w:rFonts w:cs="宋体"/>
      <w:sz w:val="18"/>
      <w:szCs w:val="18"/>
      <w:lang w:bidi="ne-NP"/>
    </w:rPr>
  </w:style>
  <w:style w:type="paragraph" w:customStyle="1" w:styleId="2fb">
    <w:name w:val="引用2"/>
    <w:basedOn w:val="a9"/>
    <w:next w:val="a9"/>
    <w:qFormat/>
    <w:pPr>
      <w:widowControl/>
      <w:spacing w:line="480" w:lineRule="exact"/>
      <w:ind w:firstLineChars="200" w:firstLine="200"/>
    </w:pPr>
    <w:rPr>
      <w:rFonts w:eastAsia="黑体"/>
      <w:i/>
      <w:iCs/>
      <w:color w:val="000000"/>
    </w:rPr>
  </w:style>
  <w:style w:type="paragraph" w:customStyle="1" w:styleId="405">
    <w:name w:val="样式 标题 4 + 段前: 0.5 行"/>
    <w:basedOn w:val="4"/>
    <w:qFormat/>
    <w:pPr>
      <w:numPr>
        <w:ilvl w:val="0"/>
        <w:numId w:val="0"/>
      </w:numPr>
      <w:tabs>
        <w:tab w:val="left" w:pos="0"/>
        <w:tab w:val="left" w:pos="480"/>
        <w:tab w:val="left" w:pos="862"/>
        <w:tab w:val="left" w:pos="1567"/>
        <w:tab w:val="left" w:pos="1680"/>
      </w:tabs>
      <w:adjustRightInd w:val="0"/>
      <w:snapToGrid w:val="0"/>
      <w:spacing w:beforeLines="50" w:after="0"/>
      <w:ind w:left="1680" w:firstLineChars="200" w:hanging="420"/>
    </w:pPr>
    <w:rPr>
      <w:rFonts w:eastAsia="黑体" w:cs="宋体"/>
      <w:b w:val="0"/>
      <w:lang w:bidi="ne-NP"/>
    </w:rPr>
  </w:style>
  <w:style w:type="paragraph" w:customStyle="1" w:styleId="xl83">
    <w:name w:val="xl83"/>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4f0">
    <w:name w:val="标题4"/>
    <w:basedOn w:val="a9"/>
    <w:next w:val="affff7"/>
    <w:uiPriority w:val="99"/>
    <w:qFormat/>
    <w:pPr>
      <w:tabs>
        <w:tab w:val="left" w:pos="851"/>
      </w:tabs>
      <w:spacing w:after="60" w:line="360" w:lineRule="auto"/>
      <w:ind w:left="851" w:hanging="851"/>
      <w:outlineLvl w:val="3"/>
    </w:pPr>
    <w:rPr>
      <w:b/>
      <w:sz w:val="24"/>
    </w:rPr>
  </w:style>
  <w:style w:type="paragraph" w:customStyle="1" w:styleId="xl552">
    <w:name w:val="xl55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xl559">
    <w:name w:val="xl55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141522">
    <w:name w:val="样式 样式 样式 (符号) 宋体 14 磅 行距: 1.5 倍行距 首行缩进:  2 字符 + 首行缩进:  2 字符 + 首行..."/>
    <w:basedOn w:val="a9"/>
    <w:qFormat/>
    <w:pPr>
      <w:widowControl/>
      <w:spacing w:line="400" w:lineRule="exact"/>
      <w:ind w:firstLineChars="200" w:firstLine="200"/>
    </w:pPr>
    <w:rPr>
      <w:rFonts w:hAnsi="宋体" w:cs="宋体"/>
      <w:sz w:val="24"/>
      <w:lang w:bidi="ne-NP"/>
    </w:rPr>
  </w:style>
  <w:style w:type="paragraph" w:customStyle="1" w:styleId="afffffffffffc">
    <w:name w:val="可用正文"/>
    <w:basedOn w:val="a9"/>
    <w:qFormat/>
    <w:pPr>
      <w:spacing w:line="360" w:lineRule="auto"/>
      <w:ind w:firstLineChars="200" w:firstLine="480"/>
    </w:pPr>
    <w:rPr>
      <w:sz w:val="24"/>
    </w:rPr>
  </w:style>
  <w:style w:type="paragraph" w:customStyle="1" w:styleId="xl106">
    <w:name w:val="xl106"/>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szCs w:val="21"/>
    </w:rPr>
  </w:style>
  <w:style w:type="paragraph" w:customStyle="1" w:styleId="000">
    <w:name w:val="正文00节能"/>
    <w:basedOn w:val="a9"/>
    <w:qFormat/>
    <w:pPr>
      <w:widowControl/>
      <w:spacing w:line="400" w:lineRule="exact"/>
      <w:ind w:firstLineChars="200" w:firstLine="480"/>
    </w:pPr>
    <w:rPr>
      <w:rFonts w:cs="宋体"/>
      <w:sz w:val="24"/>
      <w:lang w:bidi="ne-NP"/>
    </w:rPr>
  </w:style>
  <w:style w:type="paragraph" w:customStyle="1" w:styleId="1fff8">
    <w:name w:val="正文 1"/>
    <w:basedOn w:val="a9"/>
    <w:semiHidden/>
    <w:qFormat/>
    <w:pPr>
      <w:adjustRightInd w:val="0"/>
      <w:spacing w:line="480" w:lineRule="exact"/>
      <w:ind w:firstLine="567"/>
      <w:textAlignment w:val="baseline"/>
    </w:pPr>
    <w:rPr>
      <w:sz w:val="28"/>
    </w:rPr>
  </w:style>
  <w:style w:type="paragraph" w:customStyle="1" w:styleId="afffffffffffd">
    <w:name w:val="表格文字小四"/>
    <w:basedOn w:val="a9"/>
    <w:semiHidden/>
    <w:qFormat/>
    <w:pPr>
      <w:jc w:val="center"/>
    </w:pPr>
    <w:rPr>
      <w:rFonts w:ascii="Times" w:hAnsi="Times"/>
      <w:kern w:val="24"/>
      <w:sz w:val="24"/>
    </w:rPr>
  </w:style>
  <w:style w:type="paragraph" w:customStyle="1" w:styleId="afffffffffffe">
    <w:name w:val="表中正文"/>
    <w:basedOn w:val="a9"/>
    <w:qFormat/>
    <w:pPr>
      <w:widowControl/>
      <w:autoSpaceDE w:val="0"/>
      <w:autoSpaceDN w:val="0"/>
      <w:adjustRightInd w:val="0"/>
      <w:snapToGrid w:val="0"/>
      <w:spacing w:line="240" w:lineRule="atLeast"/>
    </w:pPr>
    <w:rPr>
      <w:rFonts w:ascii="宋体" w:cs="宋体"/>
      <w:sz w:val="24"/>
      <w:lang w:bidi="ne-NP"/>
    </w:rPr>
  </w:style>
  <w:style w:type="paragraph" w:customStyle="1" w:styleId="affffffffffff">
    <w:name w:val="表内式样"/>
    <w:qFormat/>
    <w:pPr>
      <w:widowControl w:val="0"/>
      <w:kinsoku w:val="0"/>
      <w:adjustRightInd w:val="0"/>
      <w:spacing w:line="360" w:lineRule="atLeast"/>
      <w:jc w:val="both"/>
      <w:textAlignment w:val="baseline"/>
    </w:pPr>
    <w:rPr>
      <w:rFonts w:ascii="宋体"/>
      <w:snapToGrid w:val="0"/>
      <w:sz w:val="21"/>
    </w:rPr>
  </w:style>
  <w:style w:type="paragraph" w:customStyle="1" w:styleId="affffffffffff0">
    <w:name w:val="文档二级标题"/>
    <w:basedOn w:val="a9"/>
    <w:qFormat/>
    <w:rPr>
      <w:rFonts w:ascii="楷体_GB2312" w:eastAsia="楷体_GB2312" w:hAnsi="华文仿宋"/>
      <w:sz w:val="28"/>
    </w:rPr>
  </w:style>
  <w:style w:type="paragraph" w:customStyle="1" w:styleId="Char33">
    <w:name w:val="Char33"/>
    <w:basedOn w:val="a9"/>
    <w:qFormat/>
    <w:pPr>
      <w:widowControl/>
      <w:spacing w:line="360" w:lineRule="auto"/>
      <w:ind w:firstLineChars="200" w:firstLine="200"/>
    </w:pPr>
    <w:rPr>
      <w:rFonts w:cs="宋体"/>
      <w:sz w:val="24"/>
      <w:lang w:bidi="ne-NP"/>
    </w:rPr>
  </w:style>
  <w:style w:type="paragraph" w:customStyle="1" w:styleId="CharCharCharChar">
    <w:name w:val="Char Char Char Char"/>
    <w:basedOn w:val="a9"/>
    <w:qFormat/>
    <w:pPr>
      <w:spacing w:beforeLines="20" w:before="20" w:line="440" w:lineRule="atLeast"/>
      <w:ind w:firstLineChars="200" w:firstLine="200"/>
    </w:pPr>
    <w:rPr>
      <w:sz w:val="24"/>
    </w:rPr>
  </w:style>
  <w:style w:type="paragraph" w:customStyle="1" w:styleId="1fff9">
    <w:name w:val="内容样式1"/>
    <w:basedOn w:val="a9"/>
    <w:qFormat/>
    <w:pPr>
      <w:adjustRightInd w:val="0"/>
      <w:snapToGrid w:val="0"/>
      <w:spacing w:line="360" w:lineRule="auto"/>
      <w:ind w:firstLineChars="200" w:firstLine="560"/>
    </w:pPr>
    <w:rPr>
      <w:rFonts w:ascii="宋体" w:hAnsi="宋体"/>
      <w:sz w:val="28"/>
    </w:rPr>
  </w:style>
  <w:style w:type="paragraph" w:customStyle="1" w:styleId="xl24">
    <w:name w:val="xl24"/>
    <w:basedOn w:val="a9"/>
    <w:qFormat/>
    <w:pPr>
      <w:widowControl/>
      <w:spacing w:before="100" w:beforeAutospacing="1" w:after="100" w:afterAutospacing="1"/>
      <w:jc w:val="left"/>
    </w:pPr>
    <w:rPr>
      <w:rFonts w:eastAsia="Arial Unicode MS"/>
      <w:sz w:val="24"/>
    </w:rPr>
  </w:style>
  <w:style w:type="paragraph" w:customStyle="1" w:styleId="Char110">
    <w:name w:val="Char11"/>
    <w:basedOn w:val="a9"/>
    <w:qFormat/>
    <w:pPr>
      <w:spacing w:line="360" w:lineRule="auto"/>
    </w:pPr>
  </w:style>
  <w:style w:type="paragraph" w:customStyle="1" w:styleId="1CharCharChar1Char">
    <w:name w:val="样式 正文1 Char Char + 字距调整七号 Char1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Char41">
    <w:name w:val="Char41"/>
    <w:basedOn w:val="a9"/>
    <w:qFormat/>
    <w:pPr>
      <w:spacing w:line="360" w:lineRule="auto"/>
      <w:ind w:firstLineChars="200" w:firstLine="200"/>
    </w:pPr>
    <w:rPr>
      <w:rFonts w:ascii="宋体" w:hAnsi="宋体" w:cs="宋体"/>
      <w:sz w:val="24"/>
    </w:rPr>
  </w:style>
  <w:style w:type="paragraph" w:customStyle="1" w:styleId="affffffffffff1">
    <w:name w:val="模板"/>
    <w:basedOn w:val="a9"/>
    <w:next w:val="a9"/>
    <w:semiHidden/>
    <w:qFormat/>
    <w:pPr>
      <w:spacing w:line="360" w:lineRule="auto"/>
      <w:ind w:left="420" w:firstLine="200"/>
    </w:pPr>
    <w:rPr>
      <w:rFonts w:ascii="宋体" w:hAnsi="宋体" w:cs="宋体"/>
    </w:rPr>
  </w:style>
  <w:style w:type="paragraph" w:customStyle="1" w:styleId="CM29">
    <w:name w:val="CM29"/>
    <w:basedOn w:val="Default"/>
    <w:next w:val="Default"/>
    <w:qFormat/>
    <w:rPr>
      <w:rFonts w:ascii="宋体" w:eastAsia="宋体" w:cs="Times New Roman"/>
      <w:color w:val="auto"/>
    </w:rPr>
  </w:style>
  <w:style w:type="paragraph" w:customStyle="1" w:styleId="affffffffffff2">
    <w:name w:val="表格文字左"/>
    <w:basedOn w:val="affffffffffff3"/>
    <w:semiHidden/>
    <w:qFormat/>
    <w:pPr>
      <w:ind w:rightChars="0" w:right="0"/>
      <w:jc w:val="left"/>
    </w:pPr>
    <w:rPr>
      <w:color w:val="000000"/>
    </w:rPr>
  </w:style>
  <w:style w:type="paragraph" w:customStyle="1" w:styleId="affffffffffff3">
    <w:name w:val="表格文字居中"/>
    <w:basedOn w:val="a9"/>
    <w:qFormat/>
    <w:pPr>
      <w:widowControl/>
      <w:adjustRightInd w:val="0"/>
      <w:ind w:rightChars="-11" w:right="-31"/>
      <w:jc w:val="center"/>
    </w:pPr>
    <w:rPr>
      <w:rFonts w:ascii="宋体" w:hAnsi="宋体"/>
      <w:sz w:val="24"/>
    </w:rPr>
  </w:style>
  <w:style w:type="paragraph" w:customStyle="1" w:styleId="CharChar2Char">
    <w:name w:val="Char Char2 Char"/>
    <w:basedOn w:val="a9"/>
    <w:pPr>
      <w:spacing w:line="360" w:lineRule="auto"/>
      <w:ind w:firstLineChars="200" w:firstLine="200"/>
    </w:pPr>
    <w:rPr>
      <w:rFonts w:ascii="宋体" w:hAnsi="宋体" w:cs="宋体"/>
      <w:sz w:val="24"/>
    </w:rPr>
  </w:style>
  <w:style w:type="paragraph" w:customStyle="1" w:styleId="xl61">
    <w:name w:val="xl61"/>
    <w:basedOn w:val="a9"/>
    <w:qFormat/>
    <w:pPr>
      <w:widowControl/>
      <w:pBdr>
        <w:top w:val="single" w:sz="8" w:space="0" w:color="auto"/>
        <w:bottom w:val="single" w:sz="8" w:space="0" w:color="auto"/>
      </w:pBdr>
      <w:spacing w:before="100" w:beforeAutospacing="1" w:after="100" w:afterAutospacing="1"/>
      <w:jc w:val="center"/>
    </w:pPr>
    <w:rPr>
      <w:rFonts w:cs="宋体"/>
      <w:sz w:val="18"/>
      <w:szCs w:val="18"/>
      <w:lang w:bidi="ne-NP"/>
    </w:rPr>
  </w:style>
  <w:style w:type="paragraph" w:customStyle="1" w:styleId="pic-info">
    <w:name w:val="pic-info"/>
    <w:basedOn w:val="a9"/>
    <w:qFormat/>
    <w:pPr>
      <w:widowControl/>
      <w:spacing w:before="100" w:beforeAutospacing="1" w:after="100" w:afterAutospacing="1" w:line="360" w:lineRule="auto"/>
      <w:jc w:val="left"/>
    </w:pPr>
    <w:rPr>
      <w:rFonts w:ascii="宋体" w:hAnsi="宋体" w:cs="宋体"/>
      <w:sz w:val="24"/>
    </w:rPr>
  </w:style>
  <w:style w:type="paragraph" w:customStyle="1" w:styleId="04">
    <w:name w:val="君邦正文04"/>
    <w:basedOn w:val="a9"/>
    <w:qFormat/>
    <w:pPr>
      <w:spacing w:after="60" w:line="360" w:lineRule="auto"/>
      <w:ind w:firstLineChars="200" w:firstLine="480"/>
      <w:jc w:val="left"/>
    </w:pPr>
    <w:rPr>
      <w:rFonts w:ascii="宋体" w:eastAsia="Times New Roman" w:hAnsi="宋体"/>
      <w:sz w:val="24"/>
    </w:rPr>
  </w:style>
  <w:style w:type="paragraph" w:customStyle="1" w:styleId="2fc">
    <w:name w:val="字元 字元2"/>
    <w:basedOn w:val="a9"/>
    <w:semiHidden/>
    <w:qFormat/>
    <w:pPr>
      <w:widowControl/>
    </w:pPr>
    <w:rPr>
      <w:rFonts w:cs="宋体"/>
      <w:sz w:val="24"/>
      <w:lang w:bidi="ne-NP"/>
    </w:rPr>
  </w:style>
  <w:style w:type="paragraph" w:customStyle="1" w:styleId="CharCharChar1CharCharChar1">
    <w:name w:val="Char Char Char1 Char Char Char1"/>
    <w:basedOn w:val="a9"/>
    <w:qFormat/>
    <w:pPr>
      <w:spacing w:line="360" w:lineRule="auto"/>
      <w:ind w:firstLineChars="200" w:firstLine="200"/>
    </w:pPr>
    <w:rPr>
      <w:rFonts w:ascii="宋体" w:hAnsi="宋体" w:cs="宋体"/>
      <w:sz w:val="24"/>
    </w:rPr>
  </w:style>
  <w:style w:type="paragraph" w:customStyle="1" w:styleId="320">
    <w:name w:val="样式 标题 3 + 首行缩进:  2 字符"/>
    <w:basedOn w:val="3"/>
    <w:next w:val="a9"/>
    <w:qFormat/>
    <w:pPr>
      <w:keepNext/>
      <w:keepLines/>
      <w:numPr>
        <w:ilvl w:val="0"/>
        <w:numId w:val="0"/>
      </w:numPr>
      <w:tabs>
        <w:tab w:val="clear" w:pos="720"/>
        <w:tab w:val="left" w:pos="731"/>
        <w:tab w:val="left" w:pos="862"/>
        <w:tab w:val="left" w:pos="1567"/>
      </w:tabs>
      <w:snapToGrid/>
      <w:spacing w:beforeLines="50" w:afterLines="50" w:line="240" w:lineRule="auto"/>
      <w:ind w:leftChars="1" w:left="14"/>
    </w:pPr>
    <w:rPr>
      <w:rFonts w:ascii="仿宋_GB2312" w:eastAsia="仿宋_GB2312" w:cs="宋体"/>
      <w:b w:val="0"/>
      <w:bCs/>
      <w:color w:val="000000"/>
      <w:sz w:val="32"/>
      <w:szCs w:val="24"/>
    </w:rPr>
  </w:style>
  <w:style w:type="paragraph" w:customStyle="1" w:styleId="Char2CharCharChar2">
    <w:name w:val="Char2 Char Char Char2"/>
    <w:basedOn w:val="3"/>
    <w:qFormat/>
    <w:pPr>
      <w:keepNext/>
      <w:keepLines/>
      <w:widowControl/>
      <w:numPr>
        <w:ilvl w:val="0"/>
        <w:numId w:val="0"/>
      </w:numPr>
      <w:tabs>
        <w:tab w:val="left" w:pos="0"/>
        <w:tab w:val="left" w:pos="360"/>
        <w:tab w:val="left" w:pos="862"/>
        <w:tab w:val="left" w:pos="900"/>
        <w:tab w:val="left" w:pos="1567"/>
      </w:tabs>
      <w:adjustRightInd w:val="0"/>
      <w:spacing w:before="120" w:after="120"/>
      <w:ind w:leftChars="-12" w:left="542" w:firstLineChars="200" w:firstLine="200"/>
    </w:pPr>
    <w:rPr>
      <w:rFonts w:cs="宋体"/>
      <w:b w:val="0"/>
      <w:snapToGrid w:val="0"/>
      <w:szCs w:val="24"/>
      <w:lang w:bidi="ne-NP"/>
    </w:rPr>
  </w:style>
  <w:style w:type="paragraph" w:customStyle="1" w:styleId="InTable">
    <w:name w:val="In Table"/>
    <w:basedOn w:val="a9"/>
    <w:qFormat/>
    <w:pPr>
      <w:tabs>
        <w:tab w:val="left" w:pos="2200"/>
        <w:tab w:val="left" w:pos="3960"/>
        <w:tab w:val="left" w:pos="5280"/>
      </w:tabs>
      <w:spacing w:before="96" w:after="96" w:line="0" w:lineRule="atLeast"/>
      <w:jc w:val="center"/>
    </w:pPr>
    <w:rPr>
      <w:rFonts w:ascii="Tahoma" w:eastAsia="华文中宋" w:hAnsi="Tahoma"/>
    </w:rPr>
  </w:style>
  <w:style w:type="paragraph" w:customStyle="1" w:styleId="xl120">
    <w:name w:val="xl120"/>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FF0000"/>
    </w:rPr>
  </w:style>
  <w:style w:type="paragraph" w:customStyle="1" w:styleId="affffffffffff4">
    <w:name w:val="附件"/>
    <w:basedOn w:val="a9"/>
    <w:qFormat/>
    <w:pPr>
      <w:widowControl/>
      <w:suppressLineNumbers/>
      <w:suppressAutoHyphens/>
      <w:topLinePunct/>
      <w:adjustRightInd w:val="0"/>
      <w:snapToGrid w:val="0"/>
      <w:spacing w:line="360" w:lineRule="auto"/>
      <w:ind w:firstLineChars="200" w:firstLine="560"/>
    </w:pPr>
    <w:rPr>
      <w:rFonts w:eastAsia="黑体" w:cs="宋体"/>
      <w:sz w:val="24"/>
      <w:lang w:bidi="ne-NP"/>
    </w:rPr>
  </w:style>
  <w:style w:type="paragraph" w:customStyle="1" w:styleId="xl69">
    <w:name w:val="xl69"/>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sz w:val="24"/>
    </w:rPr>
  </w:style>
  <w:style w:type="paragraph" w:customStyle="1" w:styleId="xl186">
    <w:name w:val="xl186"/>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CharChar2Char5">
    <w:name w:val="Char Char2 Char5"/>
    <w:basedOn w:val="a9"/>
    <w:qFormat/>
    <w:pPr>
      <w:spacing w:line="360" w:lineRule="auto"/>
      <w:ind w:firstLineChars="200" w:firstLine="200"/>
    </w:pPr>
    <w:rPr>
      <w:rFonts w:ascii="宋体" w:hAnsi="宋体" w:cs="宋体"/>
      <w:sz w:val="24"/>
    </w:rPr>
  </w:style>
  <w:style w:type="paragraph" w:customStyle="1" w:styleId="105">
    <w:name w:val="样式 表头样式1 + 段前: 0.5 行"/>
    <w:basedOn w:val="1f3"/>
    <w:qFormat/>
    <w:pPr>
      <w:snapToGrid w:val="0"/>
      <w:spacing w:beforeLines="0" w:before="120"/>
    </w:pPr>
    <w:rPr>
      <w:rFonts w:cs="宋体"/>
      <w:bCs/>
      <w:color w:val="000000"/>
      <w:szCs w:val="24"/>
    </w:rPr>
  </w:style>
  <w:style w:type="paragraph" w:customStyle="1" w:styleId="Style1143">
    <w:name w:val="_Style 1143"/>
    <w:basedOn w:val="a9"/>
    <w:next w:val="a9"/>
    <w:uiPriority w:val="39"/>
    <w:qFormat/>
    <w:pPr>
      <w:widowControl/>
      <w:ind w:left="1050"/>
    </w:pPr>
    <w:rPr>
      <w:rFonts w:cs="宋体"/>
      <w:sz w:val="24"/>
      <w:lang w:bidi="ne-NP"/>
    </w:rPr>
  </w:style>
  <w:style w:type="paragraph" w:customStyle="1" w:styleId="Char3CharCharChar">
    <w:name w:val="Char3 Char Char Char"/>
    <w:basedOn w:val="a9"/>
    <w:qFormat/>
    <w:pPr>
      <w:spacing w:line="360" w:lineRule="auto"/>
      <w:ind w:firstLineChars="200" w:firstLine="200"/>
    </w:pPr>
    <w:rPr>
      <w:rFonts w:ascii="宋体" w:hAnsi="宋体" w:cs="宋体"/>
      <w:sz w:val="24"/>
    </w:rPr>
  </w:style>
  <w:style w:type="paragraph" w:customStyle="1" w:styleId="affffffffffff5">
    <w:name w:val="报告书表格"/>
    <w:basedOn w:val="a9"/>
    <w:link w:val="Charfffff4"/>
    <w:qFormat/>
    <w:pPr>
      <w:adjustRightInd w:val="0"/>
      <w:spacing w:before="60" w:after="60" w:line="240" w:lineRule="atLeast"/>
      <w:jc w:val="center"/>
      <w:textAlignment w:val="baseline"/>
    </w:pPr>
  </w:style>
  <w:style w:type="paragraph" w:customStyle="1" w:styleId="affffffffffff6">
    <w:name w:val="表标"/>
    <w:basedOn w:val="a9"/>
    <w:next w:val="a9"/>
    <w:qFormat/>
    <w:pPr>
      <w:widowControl/>
      <w:adjustRightInd w:val="0"/>
      <w:snapToGrid w:val="0"/>
      <w:jc w:val="center"/>
      <w:textAlignment w:val="baseline"/>
    </w:pPr>
    <w:rPr>
      <w:rFonts w:cs="宋体"/>
      <w:sz w:val="24"/>
      <w:lang w:bidi="ne-NP"/>
    </w:rPr>
  </w:style>
  <w:style w:type="paragraph" w:customStyle="1" w:styleId="xl105">
    <w:name w:val="xl105"/>
    <w:basedOn w:val="a9"/>
    <w:qFormat/>
    <w:pPr>
      <w:widowControl/>
      <w:spacing w:before="100" w:beforeAutospacing="1" w:after="100" w:afterAutospacing="1" w:line="360" w:lineRule="auto"/>
      <w:jc w:val="center"/>
      <w:textAlignment w:val="center"/>
    </w:pPr>
    <w:rPr>
      <w:color w:val="000000"/>
      <w:sz w:val="18"/>
      <w:szCs w:val="18"/>
    </w:rPr>
  </w:style>
  <w:style w:type="paragraph" w:customStyle="1" w:styleId="reader-word-layerreader-word-s1-10">
    <w:name w:val="reader-word-layer reader-word-s1-10"/>
    <w:basedOn w:val="a9"/>
    <w:qFormat/>
    <w:pPr>
      <w:widowControl/>
      <w:spacing w:before="100" w:beforeAutospacing="1" w:after="100" w:afterAutospacing="1"/>
      <w:jc w:val="left"/>
    </w:pPr>
    <w:rPr>
      <w:rFonts w:ascii="宋体" w:hAnsi="宋体" w:cs="宋体"/>
      <w:sz w:val="24"/>
      <w:lang w:bidi="ne-NP"/>
    </w:rPr>
  </w:style>
  <w:style w:type="paragraph" w:customStyle="1" w:styleId="CharCharChar2">
    <w:name w:val="Char Char Char2"/>
    <w:basedOn w:val="af9"/>
    <w:next w:val="a9"/>
    <w:qFormat/>
    <w:pPr>
      <w:adjustRightInd w:val="0"/>
      <w:spacing w:line="436" w:lineRule="exact"/>
      <w:ind w:left="357"/>
      <w:jc w:val="left"/>
      <w:outlineLvl w:val="3"/>
    </w:pPr>
    <w:rPr>
      <w:rFonts w:ascii="Tahoma" w:hAnsi="Tahoma"/>
      <w:b/>
      <w:sz w:val="24"/>
    </w:rPr>
  </w:style>
  <w:style w:type="paragraph" w:customStyle="1" w:styleId="xl99">
    <w:name w:val="xl99"/>
    <w:basedOn w:val="a9"/>
    <w:qFormat/>
    <w:pPr>
      <w:widowControl/>
      <w:pBdr>
        <w:left w:val="single" w:sz="8" w:space="0" w:color="auto"/>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ardlist-value">
    <w:name w:val="cardlist-value"/>
    <w:basedOn w:val="a9"/>
    <w:qFormat/>
    <w:pPr>
      <w:widowControl/>
      <w:spacing w:before="100" w:beforeAutospacing="1" w:after="100" w:afterAutospacing="1"/>
      <w:jc w:val="left"/>
    </w:pPr>
    <w:rPr>
      <w:rFonts w:ascii="宋体" w:hAnsi="宋体" w:cs="宋体"/>
      <w:sz w:val="24"/>
      <w:lang w:bidi="ne-NP"/>
    </w:rPr>
  </w:style>
  <w:style w:type="paragraph" w:customStyle="1" w:styleId="Title2">
    <w:name w:val="Title 2"/>
    <w:basedOn w:val="2"/>
    <w:next w:val="a9"/>
    <w:qFormat/>
    <w:pPr>
      <w:keepLines w:val="0"/>
      <w:widowControl/>
      <w:numPr>
        <w:ilvl w:val="0"/>
        <w:numId w:val="0"/>
      </w:numPr>
      <w:pBdr>
        <w:bottom w:val="none" w:sz="0" w:space="0" w:color="auto"/>
      </w:pBdr>
      <w:spacing w:before="480" w:after="120" w:line="400" w:lineRule="exact"/>
      <w:ind w:hanging="567"/>
    </w:pPr>
    <w:rPr>
      <w:rFonts w:ascii="宋体" w:eastAsia="宋体" w:hAnsi="宋体" w:cs="Arial"/>
      <w:sz w:val="28"/>
      <w:szCs w:val="22"/>
    </w:rPr>
  </w:style>
  <w:style w:type="paragraph" w:customStyle="1" w:styleId="affffffffffff7">
    <w:name w:val="样式 表内格式 + 黑色 两端对齐"/>
    <w:basedOn w:val="affff6"/>
    <w:qFormat/>
    <w:pPr>
      <w:jc w:val="both"/>
    </w:pPr>
    <w:rPr>
      <w:rFonts w:cs="宋体"/>
      <w:color w:val="000000"/>
    </w:rPr>
  </w:style>
  <w:style w:type="paragraph" w:customStyle="1" w:styleId="1fffa">
    <w:name w:val="表格文字1"/>
    <w:basedOn w:val="a9"/>
    <w:semiHidden/>
    <w:qFormat/>
    <w:pPr>
      <w:tabs>
        <w:tab w:val="left" w:pos="0"/>
      </w:tabs>
      <w:autoSpaceDE w:val="0"/>
      <w:autoSpaceDN w:val="0"/>
      <w:adjustRightInd w:val="0"/>
      <w:spacing w:before="60"/>
      <w:ind w:left="57" w:right="57"/>
      <w:jc w:val="center"/>
      <w:textAlignment w:val="baseline"/>
    </w:pPr>
    <w:rPr>
      <w:rFonts w:ascii="宋体"/>
    </w:rPr>
  </w:style>
  <w:style w:type="paragraph" w:customStyle="1" w:styleId="Char80">
    <w:name w:val="Char8"/>
    <w:basedOn w:val="a9"/>
    <w:qFormat/>
    <w:pPr>
      <w:spacing w:line="360" w:lineRule="auto"/>
      <w:ind w:firstLineChars="200" w:firstLine="200"/>
    </w:pPr>
    <w:rPr>
      <w:rFonts w:ascii="宋体" w:hAnsi="宋体" w:cs="宋体"/>
      <w:sz w:val="24"/>
    </w:rPr>
  </w:style>
  <w:style w:type="paragraph" w:customStyle="1" w:styleId="1fffb">
    <w:name w:val="纯文本1"/>
    <w:basedOn w:val="a9"/>
    <w:pPr>
      <w:autoSpaceDE w:val="0"/>
      <w:autoSpaceDN w:val="0"/>
      <w:adjustRightInd w:val="0"/>
      <w:textAlignment w:val="baseline"/>
    </w:pPr>
    <w:rPr>
      <w:rFonts w:ascii="宋体" w:hAnsi="Tms Rmn"/>
    </w:rPr>
  </w:style>
  <w:style w:type="paragraph" w:customStyle="1" w:styleId="5d">
    <w:name w:val="工艺题目5级"/>
    <w:basedOn w:val="afffffffffe"/>
    <w:semiHidden/>
    <w:qFormat/>
    <w:pPr>
      <w:tabs>
        <w:tab w:val="left" w:pos="1260"/>
      </w:tabs>
      <w:ind w:left="1260" w:hanging="720"/>
    </w:pPr>
  </w:style>
  <w:style w:type="paragraph" w:customStyle="1" w:styleId="2110">
    <w:name w:val="正文文本缩进 211"/>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PlainText1">
    <w:name w:val="Plain Text1"/>
    <w:basedOn w:val="a9"/>
    <w:qFormat/>
    <w:pPr>
      <w:autoSpaceDE w:val="0"/>
      <w:autoSpaceDN w:val="0"/>
      <w:adjustRightInd w:val="0"/>
      <w:spacing w:line="360" w:lineRule="auto"/>
      <w:textAlignment w:val="baseline"/>
    </w:pPr>
    <w:rPr>
      <w:rFonts w:ascii="宋体" w:hAnsi="Tms Rmn"/>
    </w:rPr>
  </w:style>
  <w:style w:type="paragraph" w:customStyle="1" w:styleId="affffffffffff8">
    <w:name w:val="样式 题注 + 小四"/>
    <w:basedOn w:val="af6"/>
    <w:semiHidden/>
    <w:qFormat/>
    <w:pPr>
      <w:keepNext/>
      <w:spacing w:before="0" w:after="0" w:line="360" w:lineRule="auto"/>
    </w:pPr>
    <w:rPr>
      <w:rFonts w:ascii="Times New Roman" w:eastAsia="宋体" w:hAnsi="Times New Roman"/>
      <w:b/>
      <w:sz w:val="24"/>
    </w:rPr>
  </w:style>
  <w:style w:type="paragraph" w:customStyle="1" w:styleId="Char34">
    <w:name w:val="Char3"/>
    <w:basedOn w:val="a9"/>
    <w:pPr>
      <w:spacing w:line="360" w:lineRule="auto"/>
      <w:ind w:firstLineChars="200" w:firstLine="200"/>
    </w:pPr>
    <w:rPr>
      <w:sz w:val="24"/>
    </w:rPr>
  </w:style>
  <w:style w:type="paragraph" w:customStyle="1" w:styleId="2fd">
    <w:name w:val="正文文字缩进 2"/>
    <w:basedOn w:val="a9"/>
    <w:next w:val="a9"/>
    <w:qFormat/>
    <w:pPr>
      <w:autoSpaceDE w:val="0"/>
      <w:autoSpaceDN w:val="0"/>
      <w:adjustRightInd w:val="0"/>
      <w:jc w:val="left"/>
    </w:pPr>
    <w:rPr>
      <w:rFonts w:ascii="宋体"/>
      <w:sz w:val="24"/>
    </w:rPr>
  </w:style>
  <w:style w:type="paragraph" w:customStyle="1" w:styleId="affffffffffff9">
    <w:name w:val="表格居中"/>
    <w:basedOn w:val="a9"/>
    <w:semiHidden/>
    <w:qFormat/>
    <w:pPr>
      <w:jc w:val="center"/>
    </w:pPr>
    <w:rPr>
      <w:sz w:val="24"/>
    </w:rPr>
  </w:style>
  <w:style w:type="paragraph" w:customStyle="1" w:styleId="CharCharCharChar2">
    <w:name w:val="Char Char Char Char2"/>
    <w:basedOn w:val="3"/>
    <w:qFormat/>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100">
    <w:name w:val="10"/>
    <w:basedOn w:val="a9"/>
    <w:next w:val="afe"/>
    <w:qFormat/>
    <w:pPr>
      <w:widowControl/>
      <w:tabs>
        <w:tab w:val="left" w:pos="1280"/>
      </w:tabs>
      <w:adjustRightInd w:val="0"/>
      <w:snapToGrid w:val="0"/>
      <w:spacing w:line="360" w:lineRule="auto"/>
      <w:ind w:firstLineChars="200" w:firstLine="560"/>
    </w:pPr>
    <w:rPr>
      <w:rFonts w:ascii="仿宋_GB2312" w:eastAsia="仿宋_GB2312" w:cs="宋体"/>
      <w:sz w:val="28"/>
      <w:szCs w:val="28"/>
      <w:lang w:bidi="ne-NP"/>
    </w:rPr>
  </w:style>
  <w:style w:type="paragraph" w:customStyle="1" w:styleId="3f7">
    <w:name w:val="批注框文本3"/>
    <w:basedOn w:val="a9"/>
    <w:semiHidden/>
    <w:qFormat/>
    <w:pPr>
      <w:widowControl/>
    </w:pPr>
    <w:rPr>
      <w:rFonts w:ascii="Tahoma" w:hAnsi="Tahoma" w:cs="Tahoma"/>
      <w:sz w:val="16"/>
      <w:szCs w:val="16"/>
      <w:lang w:bidi="ne-NP"/>
    </w:rPr>
  </w:style>
  <w:style w:type="paragraph" w:customStyle="1" w:styleId="1CharCharChar">
    <w:name w:val="样式 正文1 Char Char + 字距调整七号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01-01">
    <w:name w:val="样式 表格1 + 左侧:  -0.1 字符 右侧:  -0.1 字符"/>
    <w:basedOn w:val="a9"/>
    <w:qFormat/>
    <w:pPr>
      <w:spacing w:line="340" w:lineRule="exact"/>
      <w:jc w:val="center"/>
    </w:pPr>
    <w:rPr>
      <w:rFonts w:ascii="宋体" w:hAnsi="宋体" w:cs="宋体"/>
    </w:rPr>
  </w:style>
  <w:style w:type="paragraph" w:customStyle="1" w:styleId="2fe">
    <w:name w:val="纯文本2"/>
    <w:basedOn w:val="a9"/>
    <w:qFormat/>
    <w:pPr>
      <w:autoSpaceDE w:val="0"/>
      <w:autoSpaceDN w:val="0"/>
      <w:adjustRightInd w:val="0"/>
      <w:spacing w:line="360" w:lineRule="auto"/>
      <w:textAlignment w:val="baseline"/>
    </w:pPr>
    <w:rPr>
      <w:rFonts w:ascii="宋体" w:hAnsi="Tms Rmn"/>
    </w:rPr>
  </w:style>
  <w:style w:type="paragraph" w:customStyle="1" w:styleId="xl95">
    <w:name w:val="xl95"/>
    <w:basedOn w:val="a9"/>
    <w:qFormat/>
    <w:pPr>
      <w:widowControl/>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01">
    <w:name w:val="0正文"/>
    <w:qFormat/>
    <w:pPr>
      <w:widowControl w:val="0"/>
      <w:spacing w:line="360" w:lineRule="auto"/>
      <w:ind w:firstLineChars="200" w:firstLine="720"/>
    </w:pPr>
    <w:rPr>
      <w:sz w:val="24"/>
      <w:szCs w:val="22"/>
    </w:rPr>
  </w:style>
  <w:style w:type="paragraph" w:customStyle="1" w:styleId="affffffffffffa">
    <w:name w:val="大标题"/>
    <w:basedOn w:val="4"/>
    <w:qFormat/>
    <w:pPr>
      <w:keepNext/>
      <w:keepLines/>
      <w:numPr>
        <w:ilvl w:val="0"/>
        <w:numId w:val="0"/>
      </w:numPr>
      <w:tabs>
        <w:tab w:val="left" w:pos="0"/>
        <w:tab w:val="left" w:pos="240"/>
        <w:tab w:val="left" w:pos="360"/>
        <w:tab w:val="left" w:pos="480"/>
        <w:tab w:val="left" w:pos="862"/>
        <w:tab w:val="left" w:pos="1567"/>
      </w:tabs>
      <w:autoSpaceDE w:val="0"/>
      <w:autoSpaceDN w:val="0"/>
      <w:adjustRightInd w:val="0"/>
      <w:spacing w:beforeLines="50" w:after="0" w:line="324" w:lineRule="auto"/>
    </w:pPr>
    <w:rPr>
      <w:rFonts w:ascii="Arial" w:cs="Arial"/>
      <w:snapToGrid w:val="0"/>
      <w:sz w:val="28"/>
      <w:szCs w:val="28"/>
      <w:shd w:val="pct10" w:color="auto" w:fill="FFFFFF"/>
      <w:lang w:val="zh-CN" w:bidi="ne-NP"/>
    </w:rPr>
  </w:style>
  <w:style w:type="paragraph" w:customStyle="1" w:styleId="font17">
    <w:name w:val="font17"/>
    <w:basedOn w:val="a9"/>
    <w:qFormat/>
    <w:pPr>
      <w:widowControl/>
      <w:spacing w:before="100" w:beforeAutospacing="1" w:after="100" w:afterAutospacing="1" w:line="360" w:lineRule="auto"/>
      <w:jc w:val="left"/>
    </w:pPr>
    <w:rPr>
      <w:color w:val="000000"/>
    </w:rPr>
  </w:style>
  <w:style w:type="paragraph" w:customStyle="1" w:styleId="Affffffffffffb">
    <w:name w:val="A"/>
    <w:basedOn w:val="1"/>
    <w:qFormat/>
    <w:pPr>
      <w:pageBreakBefore w:val="0"/>
      <w:widowControl/>
      <w:numPr>
        <w:numId w:val="0"/>
      </w:numPr>
      <w:tabs>
        <w:tab w:val="left" w:pos="3752"/>
      </w:tabs>
      <w:spacing w:before="340" w:after="330" w:line="578" w:lineRule="auto"/>
      <w:jc w:val="center"/>
    </w:pPr>
    <w:rPr>
      <w:rFonts w:eastAsia="黑体"/>
      <w:bCs/>
      <w:color w:val="000000"/>
      <w:sz w:val="44"/>
      <w:szCs w:val="44"/>
    </w:rPr>
  </w:style>
  <w:style w:type="paragraph" w:customStyle="1" w:styleId="xl564">
    <w:name w:val="xl56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xl31">
    <w:name w:val="xl31"/>
    <w:basedOn w:val="a9"/>
    <w:qFormat/>
    <w:pPr>
      <w:widowControl/>
      <w:spacing w:before="100" w:beforeAutospacing="1" w:after="100" w:afterAutospacing="1" w:line="348" w:lineRule="auto"/>
      <w:jc w:val="center"/>
      <w:textAlignment w:val="center"/>
    </w:pPr>
    <w:rPr>
      <w:rFonts w:ascii="Arial Unicode MS" w:eastAsia="Arial Unicode MS" w:hAnsi="Arial Unicode MS"/>
      <w:sz w:val="24"/>
    </w:rPr>
  </w:style>
  <w:style w:type="paragraph" w:customStyle="1" w:styleId="ParaCharCharCharCharCharCharCharCharCharChar">
    <w:name w:val="默认段落字体 Para Char Char Char Char Char Char Char Char Char Char"/>
    <w:basedOn w:val="3"/>
    <w:qFormat/>
    <w:pPr>
      <w:keepNext/>
      <w:keepLines/>
      <w:numPr>
        <w:ilvl w:val="0"/>
        <w:numId w:val="0"/>
      </w:numPr>
      <w:tabs>
        <w:tab w:val="left" w:pos="360"/>
        <w:tab w:val="left" w:pos="900"/>
      </w:tabs>
      <w:spacing w:before="120" w:after="120"/>
      <w:ind w:leftChars="-12" w:left="542" w:firstLineChars="200" w:firstLine="200"/>
      <w:jc w:val="left"/>
    </w:pPr>
    <w:rPr>
      <w:b w:val="0"/>
      <w:snapToGrid w:val="0"/>
      <w:szCs w:val="24"/>
    </w:rPr>
  </w:style>
  <w:style w:type="paragraph" w:customStyle="1" w:styleId="affffffffffffc">
    <w:name w:val="正文特点"/>
    <w:basedOn w:val="a9"/>
    <w:qFormat/>
    <w:pPr>
      <w:spacing w:line="360" w:lineRule="auto"/>
    </w:pPr>
    <w:rPr>
      <w:sz w:val="24"/>
    </w:rPr>
  </w:style>
  <w:style w:type="paragraph" w:customStyle="1" w:styleId="affffffffffffd">
    <w:name w:val="插图"/>
    <w:basedOn w:val="affd"/>
    <w:next w:val="a9"/>
    <w:qFormat/>
    <w:pPr>
      <w:widowControl/>
      <w:topLinePunct/>
      <w:spacing w:after="120" w:line="240" w:lineRule="auto"/>
      <w:ind w:leftChars="0" w:left="0" w:firstLineChars="0" w:firstLine="0"/>
      <w:jc w:val="center"/>
    </w:pPr>
    <w:rPr>
      <w:b/>
      <w:sz w:val="28"/>
    </w:rPr>
  </w:style>
  <w:style w:type="paragraph" w:customStyle="1" w:styleId="xl583">
    <w:name w:val="xl583"/>
    <w:basedOn w:val="a9"/>
    <w:qFormat/>
    <w:pPr>
      <w:widowControl/>
      <w:shd w:val="clear" w:color="auto" w:fill="CCFFFF"/>
      <w:spacing w:before="100" w:beforeAutospacing="1" w:after="100" w:afterAutospacing="1"/>
      <w:jc w:val="center"/>
    </w:pPr>
    <w:rPr>
      <w:rFonts w:ascii="宋体" w:hAnsi="宋体" w:cs="宋体"/>
      <w:sz w:val="18"/>
      <w:szCs w:val="18"/>
      <w:lang w:bidi="ne-NP"/>
    </w:rPr>
  </w:style>
  <w:style w:type="paragraph" w:customStyle="1" w:styleId="Char70">
    <w:name w:val="Char7"/>
    <w:basedOn w:val="a9"/>
    <w:qFormat/>
    <w:pPr>
      <w:spacing w:line="360" w:lineRule="auto"/>
      <w:ind w:firstLineChars="200" w:firstLine="200"/>
    </w:pPr>
    <w:rPr>
      <w:rFonts w:ascii="宋体" w:hAnsi="宋体" w:cs="宋体"/>
      <w:sz w:val="24"/>
    </w:rPr>
  </w:style>
  <w:style w:type="paragraph" w:customStyle="1" w:styleId="E">
    <w:name w:val="E"/>
    <w:basedOn w:val="5"/>
    <w:qFormat/>
    <w:pPr>
      <w:keepLines/>
      <w:widowControl/>
      <w:numPr>
        <w:ilvl w:val="0"/>
        <w:numId w:val="0"/>
      </w:numPr>
      <w:tabs>
        <w:tab w:val="left" w:pos="944"/>
        <w:tab w:val="left" w:pos="1567"/>
        <w:tab w:val="left" w:pos="1997"/>
      </w:tabs>
      <w:spacing w:after="0"/>
    </w:pPr>
    <w:rPr>
      <w:rFonts w:ascii="Arial" w:hAnsi="Arial"/>
      <w:b w:val="0"/>
      <w:color w:val="000000"/>
      <w:szCs w:val="24"/>
    </w:rPr>
  </w:style>
  <w:style w:type="paragraph" w:customStyle="1" w:styleId="affffffffffffe">
    <w:name w:val="表格式"/>
    <w:basedOn w:val="affb"/>
    <w:qFormat/>
    <w:pPr>
      <w:spacing w:beforeLines="50" w:afterLines="50" w:line="200" w:lineRule="exact"/>
      <w:ind w:left="0" w:firstLine="0"/>
      <w:jc w:val="center"/>
    </w:pPr>
  </w:style>
  <w:style w:type="paragraph" w:customStyle="1" w:styleId="ENFI">
    <w:name w:val="ENFI表体"/>
    <w:basedOn w:val="a9"/>
    <w:qFormat/>
    <w:pPr>
      <w:widowControl/>
      <w:adjustRightInd w:val="0"/>
      <w:snapToGrid w:val="0"/>
      <w:spacing w:line="240" w:lineRule="atLeast"/>
      <w:jc w:val="center"/>
    </w:pPr>
    <w:rPr>
      <w:rFonts w:eastAsia="仿宋_GB2312" w:cs="宋体"/>
      <w:sz w:val="24"/>
      <w:lang w:bidi="ne-NP"/>
    </w:rPr>
  </w:style>
  <w:style w:type="paragraph" w:customStyle="1" w:styleId="xl116">
    <w:name w:val="xl116"/>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000000"/>
    </w:rPr>
  </w:style>
  <w:style w:type="paragraph" w:customStyle="1" w:styleId="050520505">
    <w:name w:val="样式 样式 样式 段前: 0.5 行 段后: 0.5 行 + 首行缩进:  2 字符 段前: 0.5 行 段后: 0.5 行 +..."/>
    <w:basedOn w:val="a9"/>
    <w:qFormat/>
    <w:pPr>
      <w:snapToGrid w:val="0"/>
      <w:spacing w:beforeLines="50" w:afterLines="50" w:line="360" w:lineRule="auto"/>
      <w:ind w:firstLineChars="200" w:firstLine="480"/>
    </w:pPr>
    <w:rPr>
      <w:rFonts w:cs="宋体"/>
    </w:rPr>
  </w:style>
  <w:style w:type="paragraph" w:customStyle="1" w:styleId="1098">
    <w:name w:val="样式 正文文本缩进正文文字缩进正文文字缩进1 + 首行缩进:  0.98 厘米"/>
    <w:basedOn w:val="afe"/>
    <w:semiHidden/>
    <w:qFormat/>
    <w:pPr>
      <w:spacing w:line="460" w:lineRule="exact"/>
      <w:ind w:firstLine="556"/>
    </w:pPr>
    <w:rPr>
      <w:rFonts w:ascii="楷体_GB2312" w:eastAsia="楷体_GB2312"/>
      <w:bCs/>
      <w:color w:val="000000"/>
      <w:sz w:val="28"/>
      <w:szCs w:val="28"/>
    </w:rPr>
  </w:style>
  <w:style w:type="paragraph" w:customStyle="1" w:styleId="xl113">
    <w:name w:val="xl113"/>
    <w:basedOn w:val="a9"/>
    <w:qFormat/>
    <w:pPr>
      <w:widowControl/>
      <w:pBdr>
        <w:bottom w:val="single" w:sz="8" w:space="0" w:color="auto"/>
        <w:right w:val="single" w:sz="8" w:space="0" w:color="auto"/>
      </w:pBdr>
      <w:spacing w:before="100" w:beforeAutospacing="1" w:after="100" w:afterAutospacing="1" w:line="360" w:lineRule="auto"/>
      <w:jc w:val="left"/>
      <w:textAlignment w:val="center"/>
    </w:pPr>
    <w:rPr>
      <w:rFonts w:ascii="宋体" w:hAnsi="宋体" w:cs="宋体"/>
    </w:rPr>
  </w:style>
  <w:style w:type="paragraph" w:customStyle="1" w:styleId="33TimesNewRoman2">
    <w:name w:val="样式 标题 3标题 3 正式 + (西文) Times New Roman2"/>
    <w:basedOn w:val="3"/>
    <w:qFormat/>
    <w:pPr>
      <w:keepNext/>
      <w:keepLines/>
      <w:widowControl/>
      <w:numPr>
        <w:numId w:val="2"/>
      </w:numPr>
      <w:tabs>
        <w:tab w:val="clear" w:pos="432"/>
        <w:tab w:val="left" w:pos="0"/>
        <w:tab w:val="left" w:pos="425"/>
        <w:tab w:val="left" w:pos="454"/>
        <w:tab w:val="left" w:pos="1567"/>
      </w:tabs>
      <w:adjustRightInd w:val="0"/>
      <w:spacing w:before="120" w:after="120"/>
      <w:ind w:left="0" w:firstLine="200"/>
    </w:pPr>
    <w:rPr>
      <w:rFonts w:cs="宋体"/>
      <w:bCs/>
      <w:snapToGrid w:val="0"/>
      <w:spacing w:val="4"/>
      <w:sz w:val="28"/>
      <w:szCs w:val="28"/>
      <w:lang w:bidi="ne-NP"/>
    </w:rPr>
  </w:style>
  <w:style w:type="paragraph" w:customStyle="1" w:styleId="CharCharChar1CharCharChar2">
    <w:name w:val="Char Char Char1 Char Char Char2"/>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CharCharChar1">
    <w:name w:val="Char Char Char Char Char Char Char Char Char Char1"/>
    <w:basedOn w:val="a9"/>
    <w:qFormat/>
    <w:pPr>
      <w:widowControl/>
    </w:pPr>
    <w:rPr>
      <w:rFonts w:cs="宋体"/>
      <w:sz w:val="24"/>
      <w:lang w:bidi="ne-NP"/>
    </w:rPr>
  </w:style>
  <w:style w:type="paragraph" w:customStyle="1" w:styleId="XX">
    <w:name w:val="表X－X"/>
    <w:basedOn w:val="a9"/>
    <w:qFormat/>
    <w:pPr>
      <w:jc w:val="center"/>
    </w:pPr>
    <w:rPr>
      <w:rFonts w:ascii="黑体" w:eastAsia="黑体" w:hAnsi="华文仿宋"/>
      <w:sz w:val="28"/>
    </w:rPr>
  </w:style>
  <w:style w:type="paragraph" w:customStyle="1" w:styleId="xl75">
    <w:name w:val="xl7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har3CharCharChar3">
    <w:name w:val="Char3 Char Char Char3"/>
    <w:basedOn w:val="a9"/>
    <w:qFormat/>
    <w:pPr>
      <w:spacing w:line="360" w:lineRule="auto"/>
      <w:ind w:firstLineChars="200" w:firstLine="200"/>
    </w:pPr>
    <w:rPr>
      <w:rFonts w:ascii="宋体" w:hAnsi="宋体" w:cs="宋体"/>
      <w:sz w:val="24"/>
    </w:rPr>
  </w:style>
  <w:style w:type="paragraph" w:customStyle="1" w:styleId="CharCharChar1CharCharCharCharCharCharCharCharCharChar1">
    <w:name w:val="Char Char Char1 Char Char Char Char Char Char Char Char Char Char1"/>
    <w:basedOn w:val="a9"/>
    <w:qFormat/>
    <w:pPr>
      <w:spacing w:line="360" w:lineRule="auto"/>
    </w:pPr>
  </w:style>
  <w:style w:type="paragraph" w:customStyle="1" w:styleId="font0">
    <w:name w:val="font0"/>
    <w:basedOn w:val="a9"/>
    <w:qFormat/>
    <w:pPr>
      <w:widowControl/>
      <w:spacing w:before="100" w:beforeAutospacing="1" w:after="100" w:afterAutospacing="1"/>
      <w:jc w:val="left"/>
    </w:pPr>
    <w:rPr>
      <w:rFonts w:eastAsia="Arial Unicode MS"/>
      <w:sz w:val="24"/>
    </w:rPr>
  </w:style>
  <w:style w:type="paragraph" w:customStyle="1" w:styleId="CharCharCharCharCharChar1CharCharCharChar">
    <w:name w:val="Char Char Char Char Char Char1 Char Char Char Char"/>
    <w:basedOn w:val="a9"/>
    <w:qFormat/>
    <w:pPr>
      <w:widowControl/>
    </w:pPr>
    <w:rPr>
      <w:rFonts w:ascii="Tahoma" w:hAnsi="Tahoma" w:cs="宋体"/>
      <w:sz w:val="24"/>
      <w:lang w:bidi="ne-NP"/>
    </w:rPr>
  </w:style>
  <w:style w:type="paragraph" w:customStyle="1" w:styleId="Char3CharCharChar10">
    <w:name w:val="Char3 Char Char Char10"/>
    <w:basedOn w:val="a9"/>
    <w:pPr>
      <w:spacing w:line="360" w:lineRule="auto"/>
      <w:ind w:firstLineChars="200" w:firstLine="200"/>
    </w:pPr>
    <w:rPr>
      <w:rFonts w:ascii="宋体" w:hAnsi="宋体" w:cs="宋体"/>
      <w:sz w:val="24"/>
    </w:rPr>
  </w:style>
  <w:style w:type="paragraph" w:customStyle="1" w:styleId="1TimesNewRoman">
    <w:name w:val="样式 标题 1 + Times New Roman 非加粗"/>
    <w:basedOn w:val="1"/>
    <w:qFormat/>
    <w:pPr>
      <w:pageBreakBefore w:val="0"/>
      <w:widowControl/>
      <w:numPr>
        <w:numId w:val="0"/>
      </w:numPr>
      <w:shd w:val="clear" w:color="auto" w:fill="FFFFFF"/>
      <w:spacing w:beforeLines="200" w:after="120" w:line="560" w:lineRule="exact"/>
      <w:jc w:val="center"/>
    </w:pPr>
    <w:rPr>
      <w:rFonts w:ascii="黑体" w:eastAsia="黑体" w:hAnsi="Arial" w:cs="Arial"/>
      <w:b w:val="0"/>
      <w:kern w:val="32"/>
      <w:szCs w:val="24"/>
    </w:rPr>
  </w:style>
  <w:style w:type="paragraph" w:customStyle="1" w:styleId="xl561">
    <w:name w:val="xl56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harCharChar1">
    <w:name w:val="Char Char Char"/>
    <w:basedOn w:val="af9"/>
    <w:next w:val="a9"/>
    <w:pPr>
      <w:adjustRightInd w:val="0"/>
      <w:spacing w:line="436" w:lineRule="exact"/>
      <w:ind w:left="357"/>
      <w:jc w:val="left"/>
      <w:outlineLvl w:val="3"/>
    </w:pPr>
    <w:rPr>
      <w:rFonts w:ascii="Tahoma" w:hAnsi="Tahoma"/>
      <w:b/>
      <w:sz w:val="24"/>
    </w:rPr>
  </w:style>
  <w:style w:type="paragraph" w:customStyle="1" w:styleId="xl539">
    <w:name w:val="xl539"/>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sz w:val="18"/>
      <w:szCs w:val="18"/>
      <w:lang w:bidi="ne-NP"/>
    </w:rPr>
  </w:style>
  <w:style w:type="paragraph" w:customStyle="1" w:styleId="CharCharCharCharCharCharCharCharCharCharCharCharCharCharCharChar">
    <w:name w:val="Char Char Char Char Char Char Char Char Char Char Char Char Char Char Char Char"/>
    <w:basedOn w:val="a9"/>
    <w:qFormat/>
    <w:pPr>
      <w:widowControl/>
      <w:spacing w:line="360" w:lineRule="auto"/>
      <w:ind w:firstLineChars="200" w:firstLine="200"/>
    </w:pPr>
    <w:rPr>
      <w:rFonts w:ascii="宋体" w:hAnsi="宋体" w:cs="宋体"/>
      <w:sz w:val="24"/>
      <w:lang w:bidi="ne-NP"/>
    </w:rPr>
  </w:style>
  <w:style w:type="paragraph" w:customStyle="1" w:styleId="3f8">
    <w:name w:val="环科院标题3"/>
    <w:basedOn w:val="3"/>
    <w:qFormat/>
    <w:pPr>
      <w:keepNext/>
      <w:keepLines/>
      <w:numPr>
        <w:ilvl w:val="0"/>
        <w:numId w:val="0"/>
      </w:numPr>
      <w:tabs>
        <w:tab w:val="clear" w:pos="720"/>
        <w:tab w:val="left" w:pos="731"/>
        <w:tab w:val="left" w:pos="862"/>
        <w:tab w:val="left" w:pos="1567"/>
      </w:tabs>
      <w:snapToGrid/>
      <w:spacing w:beforeLines="50" w:afterLines="50" w:line="240" w:lineRule="auto"/>
      <w:ind w:left="2194" w:hanging="918"/>
    </w:pPr>
    <w:rPr>
      <w:rFonts w:ascii="华文中宋" w:eastAsia="华文中宋" w:hAnsi="华文中宋" w:cs="宋体"/>
      <w:b w:val="0"/>
      <w:bCs/>
      <w:sz w:val="28"/>
      <w:szCs w:val="28"/>
    </w:rPr>
  </w:style>
  <w:style w:type="paragraph" w:customStyle="1" w:styleId="1032">
    <w:name w:val="样式 表名1 + 段前: 0.3 行2"/>
    <w:basedOn w:val="a9"/>
    <w:qFormat/>
    <w:pPr>
      <w:widowControl/>
      <w:adjustRightInd w:val="0"/>
      <w:snapToGrid w:val="0"/>
      <w:spacing w:beforeLines="30" w:afterLines="20"/>
      <w:jc w:val="center"/>
    </w:pPr>
    <w:rPr>
      <w:rFonts w:eastAsia="黑体" w:cs="宋体"/>
      <w:color w:val="000000"/>
      <w:sz w:val="24"/>
      <w:lang w:bidi="ne-NP"/>
    </w:rPr>
  </w:style>
  <w:style w:type="paragraph" w:customStyle="1" w:styleId="style15">
    <w:name w:val="style15"/>
    <w:basedOn w:val="a9"/>
    <w:qFormat/>
    <w:pPr>
      <w:widowControl/>
      <w:spacing w:before="100" w:beforeAutospacing="1" w:after="100" w:afterAutospacing="1"/>
      <w:jc w:val="left"/>
    </w:pPr>
    <w:rPr>
      <w:rFonts w:ascii="Arial Unicode MS" w:eastAsia="Arial Unicode MS" w:hAnsi="Arial Unicode MS" w:cs="Arial Unicode MS"/>
      <w:sz w:val="24"/>
    </w:rPr>
  </w:style>
  <w:style w:type="paragraph" w:customStyle="1" w:styleId="Normal">
    <w:name w:val="正文Normal"/>
    <w:basedOn w:val="a9"/>
    <w:semiHidden/>
    <w:qFormat/>
    <w:pPr>
      <w:adjustRightInd w:val="0"/>
      <w:snapToGrid w:val="0"/>
      <w:spacing w:line="450" w:lineRule="atLeast"/>
    </w:pPr>
    <w:rPr>
      <w:rFonts w:ascii="宋体"/>
      <w:snapToGrid w:val="0"/>
      <w:spacing w:val="10"/>
      <w:sz w:val="28"/>
    </w:rPr>
  </w:style>
  <w:style w:type="paragraph" w:customStyle="1" w:styleId="xl129">
    <w:name w:val="xl129"/>
    <w:basedOn w:val="a9"/>
    <w:qFormat/>
    <w:pPr>
      <w:widowControl/>
      <w:pBdr>
        <w:bottom w:val="single" w:sz="12" w:space="0" w:color="auto"/>
      </w:pBdr>
      <w:spacing w:before="100" w:beforeAutospacing="1" w:after="100" w:afterAutospacing="1" w:line="360" w:lineRule="auto"/>
      <w:jc w:val="center"/>
      <w:textAlignment w:val="center"/>
    </w:pPr>
    <w:rPr>
      <w:rFonts w:ascii="宋体" w:hAnsi="宋体" w:cs="宋体"/>
      <w:color w:val="FF0000"/>
      <w:sz w:val="18"/>
      <w:szCs w:val="18"/>
    </w:rPr>
  </w:style>
  <w:style w:type="paragraph" w:customStyle="1" w:styleId="BodyTextFirstIndent1">
    <w:name w:val="Body Text First Indent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42">
    <w:name w:val="Char4"/>
    <w:basedOn w:val="a9"/>
    <w:pPr>
      <w:spacing w:line="360" w:lineRule="auto"/>
      <w:ind w:firstLineChars="200" w:firstLine="200"/>
    </w:pPr>
    <w:rPr>
      <w:rFonts w:ascii="宋体" w:hAnsi="宋体" w:cs="宋体"/>
      <w:sz w:val="24"/>
    </w:rPr>
  </w:style>
  <w:style w:type="paragraph" w:customStyle="1" w:styleId="afffffffffffff">
    <w:name w:val="表格文字五号"/>
    <w:basedOn w:val="a9"/>
    <w:semiHidden/>
    <w:qFormat/>
    <w:pPr>
      <w:jc w:val="center"/>
    </w:pPr>
    <w:rPr>
      <w:bCs/>
    </w:rPr>
  </w:style>
  <w:style w:type="paragraph" w:customStyle="1" w:styleId="-21">
    <w:name w:val="宏福正文-2"/>
    <w:basedOn w:val="af0"/>
    <w:qFormat/>
    <w:pPr>
      <w:snapToGrid w:val="0"/>
      <w:spacing w:before="240" w:after="0" w:line="400" w:lineRule="atLeast"/>
      <w:ind w:firstLineChars="0" w:firstLine="567"/>
    </w:pPr>
    <w:rPr>
      <w:sz w:val="28"/>
    </w:rPr>
  </w:style>
  <w:style w:type="paragraph" w:customStyle="1" w:styleId="1CharGB23122CharChar">
    <w:name w:val="样式 正文1 Char + 仿宋_GB2312 四号 首行缩进:  2 字符 Char Char"/>
    <w:basedOn w:val="a9"/>
    <w:qFormat/>
    <w:pPr>
      <w:widowControl/>
      <w:suppressLineNumbers/>
      <w:suppressAutoHyphens/>
      <w:topLinePunct/>
      <w:adjustRightInd w:val="0"/>
      <w:snapToGrid w:val="0"/>
      <w:spacing w:line="360" w:lineRule="auto"/>
      <w:ind w:firstLineChars="200" w:firstLine="560"/>
    </w:pPr>
    <w:rPr>
      <w:rFonts w:ascii="宋体" w:hAnsi="宋体" w:cs="宋体"/>
      <w:sz w:val="28"/>
      <w:szCs w:val="28"/>
      <w:lang w:bidi="ne-NP"/>
    </w:rPr>
  </w:style>
  <w:style w:type="paragraph" w:customStyle="1" w:styleId="afffffffffffff0">
    <w:name w:val="封面正文"/>
    <w:qFormat/>
    <w:pPr>
      <w:jc w:val="both"/>
    </w:pPr>
  </w:style>
  <w:style w:type="paragraph" w:customStyle="1" w:styleId="Style420">
    <w:name w:val="_Style 420"/>
    <w:uiPriority w:val="99"/>
    <w:unhideWhenUsed/>
    <w:qFormat/>
    <w:pPr>
      <w:spacing w:after="60" w:line="360" w:lineRule="auto"/>
      <w:jc w:val="both"/>
    </w:pPr>
    <w:rPr>
      <w:kern w:val="2"/>
      <w:sz w:val="21"/>
      <w:szCs w:val="24"/>
    </w:rPr>
  </w:style>
  <w:style w:type="paragraph" w:customStyle="1" w:styleId="contentnoteheader">
    <w:name w:val="contentnoteheader"/>
    <w:basedOn w:val="a9"/>
    <w:qFormat/>
    <w:pPr>
      <w:widowControl/>
      <w:spacing w:before="30" w:after="100" w:afterAutospacing="1" w:line="360" w:lineRule="auto"/>
      <w:ind w:left="90"/>
      <w:jc w:val="left"/>
    </w:pPr>
    <w:rPr>
      <w:rFonts w:ascii="宋体" w:hAnsi="宋体"/>
      <w:b/>
      <w:bCs/>
      <w:color w:val="990000"/>
      <w:sz w:val="18"/>
      <w:szCs w:val="18"/>
    </w:rPr>
  </w:style>
  <w:style w:type="paragraph" w:customStyle="1" w:styleId="Char3CharCharCharCharCharChar1">
    <w:name w:val="Char3 Char Char Char Char Char Char1"/>
    <w:basedOn w:val="a9"/>
    <w:qFormat/>
    <w:pPr>
      <w:spacing w:line="360" w:lineRule="auto"/>
      <w:ind w:firstLineChars="200" w:firstLine="200"/>
    </w:pPr>
    <w:rPr>
      <w:rFonts w:ascii="宋体" w:hAnsi="宋体" w:cs="宋体"/>
      <w:sz w:val="24"/>
    </w:rPr>
  </w:style>
  <w:style w:type="paragraph" w:customStyle="1" w:styleId="CharChar1Char1">
    <w:name w:val="Char Char1 Char1"/>
    <w:basedOn w:val="a9"/>
    <w:qFormat/>
    <w:pPr>
      <w:spacing w:line="360" w:lineRule="auto"/>
      <w:ind w:firstLineChars="200" w:firstLine="200"/>
    </w:pPr>
    <w:rPr>
      <w:rFonts w:ascii="宋体" w:hAnsi="宋体" w:cs="宋体"/>
      <w:sz w:val="24"/>
    </w:rPr>
  </w:style>
  <w:style w:type="paragraph" w:customStyle="1" w:styleId="0852">
    <w:name w:val="样式 左侧:  0.85 厘米 首行缩进:  2 字符"/>
    <w:basedOn w:val="a9"/>
    <w:qFormat/>
    <w:pPr>
      <w:widowControl/>
      <w:spacing w:line="480" w:lineRule="exact"/>
      <w:ind w:firstLineChars="200" w:firstLine="200"/>
    </w:pPr>
    <w:rPr>
      <w:rFonts w:cs="宋体"/>
      <w:sz w:val="24"/>
      <w:lang w:bidi="ne-NP"/>
    </w:rPr>
  </w:style>
  <w:style w:type="paragraph" w:customStyle="1" w:styleId="xl109">
    <w:name w:val="xl109"/>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FF0000"/>
      <w:sz w:val="18"/>
      <w:szCs w:val="1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9"/>
    <w:pPr>
      <w:spacing w:line="360" w:lineRule="auto"/>
      <w:ind w:firstLineChars="200" w:firstLine="200"/>
    </w:pPr>
    <w:rPr>
      <w:rFonts w:ascii="宋体" w:hAnsi="宋体" w:cs="宋体"/>
      <w:sz w:val="24"/>
    </w:rPr>
  </w:style>
  <w:style w:type="paragraph" w:customStyle="1" w:styleId="xl112">
    <w:name w:val="xl112"/>
    <w:basedOn w:val="a9"/>
    <w:qFormat/>
    <w:pPr>
      <w:widowControl/>
      <w:pBdr>
        <w:top w:val="single" w:sz="12" w:space="0" w:color="auto"/>
        <w:left w:val="single" w:sz="4" w:space="0" w:color="auto"/>
      </w:pBdr>
      <w:spacing w:before="100" w:beforeAutospacing="1" w:after="100" w:afterAutospacing="1" w:line="360" w:lineRule="auto"/>
      <w:jc w:val="center"/>
      <w:textAlignment w:val="center"/>
    </w:pPr>
    <w:rPr>
      <w:rFonts w:ascii="宋体" w:hAnsi="宋体" w:cs="宋体"/>
      <w:b/>
      <w:bCs/>
      <w:color w:val="000000"/>
      <w:sz w:val="18"/>
      <w:szCs w:val="18"/>
    </w:rPr>
  </w:style>
  <w:style w:type="paragraph" w:customStyle="1" w:styleId="xl590">
    <w:name w:val="xl590"/>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4125">
    <w:name w:val="样式 标题 4 + 行距: 多倍行距 1.25 字行"/>
    <w:basedOn w:val="4"/>
    <w:semiHidden/>
    <w:qFormat/>
    <w:pPr>
      <w:keepNext/>
      <w:keepLines/>
      <w:numPr>
        <w:ilvl w:val="0"/>
        <w:numId w:val="0"/>
      </w:numPr>
      <w:tabs>
        <w:tab w:val="left" w:pos="0"/>
        <w:tab w:val="left" w:pos="210"/>
        <w:tab w:val="left" w:pos="851"/>
      </w:tabs>
      <w:spacing w:after="0" w:line="300" w:lineRule="auto"/>
      <w:ind w:left="851" w:hanging="851"/>
    </w:pPr>
    <w:rPr>
      <w:rFonts w:ascii="Arial" w:hAnsi="Arial"/>
      <w:bCs/>
    </w:rPr>
  </w:style>
  <w:style w:type="paragraph" w:customStyle="1" w:styleId="CharChar3Char1">
    <w:name w:val="Char Char3 Char1"/>
    <w:basedOn w:val="a9"/>
    <w:qFormat/>
    <w:pPr>
      <w:spacing w:line="360" w:lineRule="auto"/>
      <w:ind w:firstLineChars="200" w:firstLine="200"/>
    </w:pPr>
    <w:rPr>
      <w:rFonts w:ascii="宋体" w:hAnsi="宋体" w:cs="宋体"/>
      <w:sz w:val="24"/>
    </w:rPr>
  </w:style>
  <w:style w:type="paragraph" w:customStyle="1" w:styleId="4Char0">
    <w:name w:val="标题4 Char"/>
    <w:basedOn w:val="a9"/>
    <w:next w:val="affff7"/>
    <w:semiHidden/>
    <w:qFormat/>
    <w:pPr>
      <w:tabs>
        <w:tab w:val="left" w:leader="dot" w:pos="0"/>
        <w:tab w:val="left" w:pos="720"/>
      </w:tabs>
      <w:spacing w:after="60" w:line="360" w:lineRule="auto"/>
      <w:ind w:left="720" w:hanging="720"/>
      <w:outlineLvl w:val="3"/>
    </w:pPr>
    <w:rPr>
      <w:b/>
      <w:sz w:val="24"/>
    </w:rPr>
  </w:style>
  <w:style w:type="paragraph" w:customStyle="1" w:styleId="xl98">
    <w:name w:val="xl98"/>
    <w:basedOn w:val="a9"/>
    <w:qFormat/>
    <w:pPr>
      <w:widowControl/>
      <w:pBdr>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15">
    <w:name w:val="字元 字元11"/>
    <w:basedOn w:val="a9"/>
    <w:qFormat/>
    <w:pPr>
      <w:widowControl/>
      <w:spacing w:after="160" w:line="240" w:lineRule="exact"/>
    </w:pPr>
    <w:rPr>
      <w:rFonts w:ascii="Verdana" w:hAnsi="Verdana" w:cs="宋体"/>
      <w:lang w:eastAsia="en-US" w:bidi="ne-NP"/>
    </w:rPr>
  </w:style>
  <w:style w:type="paragraph" w:customStyle="1" w:styleId="afffffffffffff1">
    <w:name w:val="图片"/>
    <w:basedOn w:val="a9"/>
    <w:qFormat/>
    <w:pPr>
      <w:adjustRightInd w:val="0"/>
      <w:snapToGrid w:val="0"/>
      <w:spacing w:beforeLines="50" w:before="156" w:afterLines="50" w:after="156"/>
      <w:jc w:val="center"/>
    </w:pPr>
    <w:rPr>
      <w:rFonts w:ascii="宋体" w:hAnsi="宋体"/>
      <w:color w:val="000000"/>
      <w:sz w:val="24"/>
    </w:rPr>
  </w:style>
  <w:style w:type="paragraph" w:customStyle="1" w:styleId="B">
    <w:name w:val="标题 B"/>
    <w:basedOn w:val="2"/>
    <w:link w:val="BChar"/>
    <w:qFormat/>
    <w:pPr>
      <w:keepNext/>
      <w:keepLines w:val="0"/>
      <w:widowControl/>
      <w:numPr>
        <w:ilvl w:val="0"/>
        <w:numId w:val="0"/>
      </w:numPr>
      <w:pBdr>
        <w:bottom w:val="none" w:sz="0" w:space="0" w:color="auto"/>
      </w:pBdr>
      <w:adjustRightInd w:val="0"/>
      <w:spacing w:before="840" w:after="240" w:line="400" w:lineRule="exact"/>
      <w:jc w:val="center"/>
      <w:textAlignment w:val="baseline"/>
      <w:outlineLvl w:val="9"/>
    </w:pPr>
    <w:rPr>
      <w:rFonts w:ascii="宋体" w:eastAsia="宋体"/>
      <w:b w:val="0"/>
      <w:spacing w:val="8"/>
      <w:sz w:val="30"/>
    </w:rPr>
  </w:style>
  <w:style w:type="paragraph" w:customStyle="1" w:styleId="xl66">
    <w:name w:val="xl6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18"/>
      <w:szCs w:val="18"/>
    </w:rPr>
  </w:style>
  <w:style w:type="paragraph" w:customStyle="1" w:styleId="xl77">
    <w:name w:val="xl77"/>
    <w:basedOn w:val="a9"/>
    <w:qFormat/>
    <w:pPr>
      <w:widowControl/>
      <w:pBdr>
        <w:top w:val="single" w:sz="12" w:space="0" w:color="auto"/>
        <w:right w:val="single" w:sz="8" w:space="0" w:color="auto"/>
      </w:pBdr>
      <w:spacing w:before="100" w:beforeAutospacing="1" w:after="100" w:afterAutospacing="1" w:line="360" w:lineRule="auto"/>
      <w:jc w:val="center"/>
      <w:textAlignment w:val="center"/>
    </w:pPr>
    <w:rPr>
      <w:rFonts w:ascii="宋体" w:hAnsi="宋体" w:cs="宋体"/>
      <w:b/>
      <w:bCs/>
      <w:color w:val="000000"/>
      <w:sz w:val="18"/>
      <w:szCs w:val="18"/>
    </w:rPr>
  </w:style>
  <w:style w:type="paragraph" w:customStyle="1" w:styleId="3CharCharCharCharCharChar1CharCharChar">
    <w:name w:val="标题3 Char Char Char Char Char Char1 Char Char Char"/>
    <w:basedOn w:val="a9"/>
    <w:qFormat/>
    <w:pPr>
      <w:widowControl/>
      <w:spacing w:afterLines="50" w:line="560" w:lineRule="exact"/>
    </w:pPr>
    <w:rPr>
      <w:rFonts w:eastAsia="黑体" w:cs="宋体"/>
      <w:sz w:val="30"/>
      <w:szCs w:val="30"/>
      <w:lang w:bidi="ne-NP"/>
    </w:rPr>
  </w:style>
  <w:style w:type="paragraph" w:customStyle="1" w:styleId="41111111Heading4Subsection4dash1">
    <w:name w:val="样式 标题 4款标题1.1.1段款标题1.1.1.1四四级标题Heading4Subsection4 dash...1"/>
    <w:basedOn w:val="4"/>
    <w:qFormat/>
    <w:pPr>
      <w:keepNext/>
      <w:keepLines/>
      <w:numPr>
        <w:ilvl w:val="0"/>
        <w:numId w:val="0"/>
      </w:numPr>
      <w:tabs>
        <w:tab w:val="left" w:pos="864"/>
        <w:tab w:val="left" w:pos="1567"/>
      </w:tabs>
      <w:spacing w:after="0"/>
      <w:ind w:left="864" w:hanging="864"/>
    </w:pPr>
    <w:rPr>
      <w:bCs/>
      <w:szCs w:val="28"/>
    </w:rPr>
  </w:style>
  <w:style w:type="paragraph" w:customStyle="1" w:styleId="xl536">
    <w:name w:val="xl53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DFKai-SB" w:eastAsia="DFKai-SB" w:hAnsi="宋体" w:cs="宋体"/>
      <w:lang w:bidi="ne-NP"/>
    </w:rPr>
  </w:style>
  <w:style w:type="paragraph" w:customStyle="1" w:styleId="66">
    <w:name w:val="6"/>
    <w:basedOn w:val="a9"/>
    <w:next w:val="36"/>
    <w:qFormat/>
    <w:pPr>
      <w:spacing w:after="80" w:line="480" w:lineRule="atLeast"/>
      <w:ind w:firstLine="560"/>
    </w:pPr>
    <w:rPr>
      <w:sz w:val="24"/>
    </w:rPr>
  </w:style>
  <w:style w:type="paragraph" w:customStyle="1" w:styleId="xl581">
    <w:name w:val="xl58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1110">
    <w:name w:val="1.1.1"/>
    <w:basedOn w:val="a9"/>
    <w:qFormat/>
    <w:rPr>
      <w:rFonts w:ascii="黑体"/>
      <w:sz w:val="24"/>
    </w:rPr>
  </w:style>
  <w:style w:type="paragraph" w:customStyle="1" w:styleId="afffffffffffff2">
    <w:name w:val="表格标题居中"/>
    <w:basedOn w:val="affffffffffff3"/>
    <w:semiHidden/>
    <w:qFormat/>
    <w:pPr>
      <w:ind w:rightChars="0" w:right="0"/>
    </w:pPr>
    <w:rPr>
      <w:rFonts w:eastAsia="黑体"/>
    </w:rPr>
  </w:style>
  <w:style w:type="paragraph" w:customStyle="1" w:styleId="afffffffffffff3">
    <w:name w:val="图名表名"/>
    <w:basedOn w:val="a9"/>
    <w:qFormat/>
    <w:pPr>
      <w:ind w:firstLineChars="200" w:firstLine="200"/>
      <w:jc w:val="center"/>
    </w:pPr>
    <w:rPr>
      <w:b/>
    </w:rPr>
  </w:style>
  <w:style w:type="paragraph" w:customStyle="1" w:styleId="font12">
    <w:name w:val="font12"/>
    <w:basedOn w:val="a9"/>
    <w:qFormat/>
    <w:pPr>
      <w:widowControl/>
      <w:spacing w:before="100" w:beforeAutospacing="1" w:after="100" w:afterAutospacing="1" w:line="360" w:lineRule="auto"/>
      <w:jc w:val="left"/>
    </w:pPr>
    <w:rPr>
      <w:rFonts w:ascii="Tahoma" w:hAnsi="Tahoma" w:cs="Tahoma"/>
      <w:sz w:val="18"/>
      <w:szCs w:val="18"/>
    </w:rPr>
  </w:style>
  <w:style w:type="paragraph" w:customStyle="1" w:styleId="Char3CharCharChar5">
    <w:name w:val="Char3 Char Char Char5"/>
    <w:basedOn w:val="a9"/>
    <w:qFormat/>
    <w:pPr>
      <w:spacing w:line="360" w:lineRule="auto"/>
      <w:ind w:firstLineChars="200" w:firstLine="200"/>
    </w:pPr>
    <w:rPr>
      <w:rFonts w:ascii="宋体" w:hAnsi="宋体" w:cs="宋体"/>
      <w:sz w:val="24"/>
    </w:rPr>
  </w:style>
  <w:style w:type="paragraph" w:customStyle="1" w:styleId="Char45">
    <w:name w:val="Char45"/>
    <w:basedOn w:val="a9"/>
    <w:qFormat/>
    <w:pPr>
      <w:spacing w:line="360" w:lineRule="auto"/>
      <w:ind w:firstLineChars="200" w:firstLine="200"/>
    </w:pPr>
    <w:rPr>
      <w:rFonts w:ascii="宋体" w:hAnsi="宋体" w:cs="宋体"/>
      <w:sz w:val="24"/>
    </w:rPr>
  </w:style>
  <w:style w:type="paragraph" w:customStyle="1" w:styleId="xl38">
    <w:name w:val="xl38"/>
    <w:basedOn w:val="a9"/>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CM12">
    <w:name w:val="CM12"/>
    <w:basedOn w:val="Default"/>
    <w:next w:val="Default"/>
    <w:qFormat/>
    <w:pPr>
      <w:spacing w:line="626" w:lineRule="atLeast"/>
    </w:pPr>
    <w:rPr>
      <w:rFonts w:ascii="宋体" w:eastAsia="宋体" w:cs="Times New Roman"/>
      <w:color w:val="auto"/>
    </w:rPr>
  </w:style>
  <w:style w:type="paragraph" w:customStyle="1" w:styleId="xl23">
    <w:name w:val="xl23"/>
    <w:basedOn w:val="a9"/>
    <w:qFormat/>
    <w:pPr>
      <w:widowControl/>
      <w:pBdr>
        <w:bottom w:val="single" w:sz="4" w:space="0" w:color="auto"/>
        <w:right w:val="single" w:sz="4" w:space="0" w:color="auto"/>
      </w:pBdr>
      <w:spacing w:before="100" w:beforeAutospacing="1" w:after="100" w:afterAutospacing="1"/>
      <w:jc w:val="center"/>
      <w:textAlignment w:val="center"/>
    </w:pPr>
    <w:rPr>
      <w:szCs w:val="21"/>
    </w:rPr>
  </w:style>
  <w:style w:type="paragraph" w:customStyle="1" w:styleId="afffffffffffff4">
    <w:name w:val="样式 正文（首行缩进两字） + 宋体"/>
    <w:basedOn w:val="aa"/>
    <w:qFormat/>
    <w:pPr>
      <w:adjustRightInd w:val="0"/>
      <w:spacing w:line="440" w:lineRule="exact"/>
      <w:ind w:firstLineChars="200" w:firstLine="560"/>
      <w:jc w:val="left"/>
    </w:pPr>
    <w:rPr>
      <w:spacing w:val="20"/>
      <w:szCs w:val="24"/>
    </w:rPr>
  </w:style>
  <w:style w:type="paragraph" w:customStyle="1" w:styleId="BalloonText1">
    <w:name w:val="Balloon Text1"/>
    <w:basedOn w:val="a9"/>
    <w:semiHidden/>
    <w:qFormat/>
    <w:rPr>
      <w:rFonts w:ascii="Tahoma" w:hAnsi="Tahoma" w:cs="Tahoma"/>
      <w:sz w:val="16"/>
      <w:szCs w:val="16"/>
    </w:rPr>
  </w:style>
  <w:style w:type="paragraph" w:customStyle="1" w:styleId="CharCharCharChar0">
    <w:name w:val="列表名称 Char Char Char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CharChar3CharCharCharChar">
    <w:name w:val="Char Char3 Char Char Char Char"/>
    <w:basedOn w:val="a9"/>
    <w:qFormat/>
    <w:rPr>
      <w:rFonts w:cs="宋体"/>
      <w:sz w:val="24"/>
    </w:rPr>
  </w:style>
  <w:style w:type="paragraph" w:customStyle="1" w:styleId="xl121">
    <w:name w:val="xl121"/>
    <w:basedOn w:val="a9"/>
    <w:qFormat/>
    <w:pPr>
      <w:widowControl/>
      <w:pBdr>
        <w:bottom w:val="single" w:sz="8" w:space="0" w:color="auto"/>
      </w:pBdr>
      <w:spacing w:before="100" w:beforeAutospacing="1" w:after="100" w:afterAutospacing="1" w:line="360" w:lineRule="auto"/>
      <w:jc w:val="center"/>
      <w:textAlignment w:val="center"/>
    </w:pPr>
    <w:rPr>
      <w:rFonts w:ascii="等线" w:eastAsia="等线" w:hAnsi="宋体" w:cs="宋体"/>
      <w:color w:val="FF0000"/>
      <w:sz w:val="24"/>
    </w:rPr>
  </w:style>
  <w:style w:type="paragraph" w:customStyle="1" w:styleId="2ff">
    <w:name w:val="目录2"/>
    <w:basedOn w:val="25"/>
    <w:qFormat/>
    <w:pPr>
      <w:widowControl/>
      <w:tabs>
        <w:tab w:val="clear" w:pos="840"/>
        <w:tab w:val="clear" w:pos="9628"/>
        <w:tab w:val="right" w:leader="dot" w:pos="8835"/>
      </w:tabs>
      <w:adjustRightInd w:val="0"/>
      <w:snapToGrid w:val="0"/>
      <w:spacing w:before="0" w:line="360" w:lineRule="auto"/>
      <w:ind w:left="0" w:firstLineChars="200" w:firstLine="480"/>
    </w:pPr>
    <w:rPr>
      <w:rFonts w:eastAsia="楷体_GB2312" w:cs="宋体"/>
      <w:b w:val="0"/>
      <w:i w:val="0"/>
      <w:iCs w:val="0"/>
      <w:smallCaps/>
      <w:spacing w:val="4"/>
      <w:kern w:val="18"/>
      <w:lang w:bidi="ne-NP"/>
    </w:rPr>
  </w:style>
  <w:style w:type="paragraph" w:customStyle="1" w:styleId="1fffc">
    <w:name w:val="插图1"/>
    <w:basedOn w:val="a9"/>
    <w:qFormat/>
    <w:pPr>
      <w:widowControl/>
      <w:suppressLineNumbers/>
      <w:suppressAutoHyphens/>
      <w:topLinePunct/>
      <w:adjustRightInd w:val="0"/>
      <w:snapToGrid w:val="0"/>
      <w:spacing w:beforeLines="20" w:line="360" w:lineRule="auto"/>
      <w:jc w:val="center"/>
    </w:pPr>
    <w:rPr>
      <w:rFonts w:cs="宋体"/>
      <w:b/>
      <w:sz w:val="24"/>
      <w:szCs w:val="21"/>
      <w:lang w:bidi="ne-NP"/>
    </w:rPr>
  </w:style>
  <w:style w:type="paragraph" w:customStyle="1" w:styleId="1CharCharCharChar0">
    <w:name w:val="样式 正文1 Char Char + 字距调整七号 Char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fffd">
    <w:name w:val="正文文本缩进1"/>
    <w:basedOn w:val="a9"/>
    <w:qFormat/>
    <w:pPr>
      <w:spacing w:line="360" w:lineRule="exact"/>
      <w:ind w:firstLineChars="200" w:firstLine="480"/>
    </w:pPr>
    <w:rPr>
      <w:sz w:val="24"/>
    </w:rPr>
  </w:style>
  <w:style w:type="paragraph" w:customStyle="1" w:styleId="xl93">
    <w:name w:val="xl93"/>
    <w:basedOn w:val="a9"/>
    <w:qFormat/>
    <w:pPr>
      <w:widowControl/>
      <w:pBdr>
        <w:left w:val="single" w:sz="8" w:space="0" w:color="000000"/>
        <w:bottom w:val="single" w:sz="12"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fffe">
    <w:name w:val="字元 字元1"/>
    <w:basedOn w:val="a9"/>
    <w:qFormat/>
    <w:pPr>
      <w:widowControl/>
      <w:spacing w:after="160" w:line="240" w:lineRule="exact"/>
      <w:jc w:val="left"/>
    </w:pPr>
    <w:rPr>
      <w:rFonts w:ascii="Verdana" w:hAnsi="Verdana" w:cs="宋体"/>
      <w:lang w:eastAsia="en-US" w:bidi="ne-NP"/>
    </w:rPr>
  </w:style>
  <w:style w:type="paragraph" w:customStyle="1" w:styleId="font9">
    <w:name w:val="font9"/>
    <w:basedOn w:val="a9"/>
    <w:qFormat/>
    <w:pPr>
      <w:widowControl/>
      <w:spacing w:before="100" w:beforeAutospacing="1" w:after="100" w:afterAutospacing="1"/>
      <w:jc w:val="left"/>
    </w:pPr>
    <w:rPr>
      <w:rFonts w:eastAsia="Arial Unicode MS"/>
      <w:sz w:val="16"/>
      <w:szCs w:val="16"/>
    </w:rPr>
  </w:style>
  <w:style w:type="paragraph" w:customStyle="1" w:styleId="reader-word-layerreader-word-s1-9">
    <w:name w:val="reader-word-layer reader-word-s1-9"/>
    <w:basedOn w:val="a9"/>
    <w:qFormat/>
    <w:pPr>
      <w:widowControl/>
      <w:spacing w:before="100" w:beforeAutospacing="1" w:after="100" w:afterAutospacing="1"/>
      <w:jc w:val="left"/>
    </w:pPr>
    <w:rPr>
      <w:rFonts w:ascii="宋体" w:hAnsi="宋体" w:cs="宋体"/>
      <w:sz w:val="24"/>
      <w:lang w:bidi="ne-NP"/>
    </w:rPr>
  </w:style>
  <w:style w:type="paragraph" w:customStyle="1" w:styleId="CharCharChar1CharCharCharCharCharCharCharCharCharChar5">
    <w:name w:val="Char Char Char1 Char Char Char Char Char Char Char Char Char Char5"/>
    <w:basedOn w:val="a9"/>
  </w:style>
  <w:style w:type="paragraph" w:customStyle="1" w:styleId="231">
    <w:name w:val="样式23"/>
    <w:basedOn w:val="a9"/>
    <w:qFormat/>
    <w:pPr>
      <w:adjustRightInd w:val="0"/>
      <w:spacing w:before="120" w:after="120" w:line="240" w:lineRule="atLeast"/>
      <w:jc w:val="center"/>
    </w:pPr>
    <w:rPr>
      <w:rFonts w:eastAsia="楷体_GB2312"/>
      <w:kern w:val="28"/>
    </w:rPr>
  </w:style>
  <w:style w:type="paragraph" w:customStyle="1" w:styleId="217">
    <w:name w:val="正文文本 21"/>
    <w:basedOn w:val="a9"/>
    <w:qFormat/>
    <w:pPr>
      <w:widowControl/>
      <w:autoSpaceDE w:val="0"/>
      <w:autoSpaceDN w:val="0"/>
      <w:adjustRightInd w:val="0"/>
      <w:spacing w:line="360" w:lineRule="atLeast"/>
      <w:ind w:firstLineChars="200" w:firstLine="454"/>
      <w:jc w:val="left"/>
      <w:textAlignment w:val="baseline"/>
    </w:pPr>
    <w:rPr>
      <w:rFonts w:ascii="宋体" w:eastAsia="仿宋_GB2312" w:hAnsi="Tms Rmn" w:cs="宋体"/>
      <w:spacing w:val="4"/>
      <w:sz w:val="28"/>
      <w:lang w:bidi="ne-NP"/>
    </w:rPr>
  </w:style>
  <w:style w:type="paragraph" w:customStyle="1" w:styleId="115615612">
    <w:name w:val="样式 样式 标题 1 + (中文) 黑体 段前: 15.6 磅 段后: 15.6 磅 行距: 最小值 12 磅 + 两端对齐"/>
    <w:basedOn w:val="a9"/>
    <w:qFormat/>
    <w:pPr>
      <w:keepNext/>
      <w:keepLines/>
      <w:widowControl/>
      <w:adjustRightInd w:val="0"/>
      <w:snapToGrid w:val="0"/>
      <w:spacing w:after="312"/>
      <w:outlineLvl w:val="0"/>
    </w:pPr>
    <w:rPr>
      <w:rFonts w:eastAsia="黑体" w:cs="宋体"/>
      <w:kern w:val="44"/>
      <w:sz w:val="32"/>
      <w:lang w:bidi="ne-NP"/>
    </w:rPr>
  </w:style>
  <w:style w:type="paragraph" w:customStyle="1" w:styleId="xl39">
    <w:name w:val="xl39"/>
    <w:basedOn w:val="a9"/>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27">
    <w:name w:val="xl27"/>
    <w:basedOn w:val="a9"/>
    <w:qFormat/>
    <w:pPr>
      <w:widowControl/>
      <w:pBdr>
        <w:top w:val="single" w:sz="12" w:space="0" w:color="auto"/>
        <w:left w:val="single" w:sz="4" w:space="0" w:color="auto"/>
        <w:bottom w:val="single" w:sz="4" w:space="0" w:color="auto"/>
        <w:right w:val="single" w:sz="4" w:space="0" w:color="auto"/>
      </w:pBdr>
      <w:shd w:val="clear" w:color="auto" w:fill="CCCCFF"/>
      <w:spacing w:before="100" w:beforeAutospacing="1" w:after="100" w:afterAutospacing="1"/>
      <w:jc w:val="center"/>
    </w:pPr>
    <w:rPr>
      <w:rFonts w:ascii="宋体" w:hAnsi="宋体"/>
      <w:sz w:val="24"/>
    </w:rPr>
  </w:style>
  <w:style w:type="paragraph" w:customStyle="1" w:styleId="3f9">
    <w:name w:val="污水处理3"/>
    <w:basedOn w:val="a9"/>
    <w:qFormat/>
    <w:pPr>
      <w:widowControl/>
      <w:adjustRightInd w:val="0"/>
      <w:spacing w:line="0" w:lineRule="atLeast"/>
      <w:jc w:val="center"/>
    </w:pPr>
    <w:rPr>
      <w:rFonts w:eastAsia="Times New Roman" w:cs="宋体"/>
      <w:spacing w:val="4"/>
      <w:kern w:val="18"/>
      <w:sz w:val="15"/>
      <w:szCs w:val="28"/>
      <w:lang w:bidi="ne-NP"/>
    </w:rPr>
  </w:style>
  <w:style w:type="paragraph" w:customStyle="1" w:styleId="3fa">
    <w:name w:val="日期3"/>
    <w:basedOn w:val="a9"/>
    <w:next w:val="a9"/>
    <w:semiHidden/>
    <w:qFormat/>
    <w:pPr>
      <w:widowControl/>
      <w:adjustRightInd w:val="0"/>
      <w:spacing w:line="360" w:lineRule="auto"/>
      <w:ind w:firstLineChars="200" w:firstLine="576"/>
      <w:textAlignment w:val="baseline"/>
    </w:pPr>
    <w:rPr>
      <w:rFonts w:ascii="仿宋_GB2312" w:eastAsia="仿宋_GB2312" w:cs="宋体"/>
      <w:spacing w:val="4"/>
      <w:kern w:val="18"/>
      <w:sz w:val="28"/>
      <w:lang w:bidi="ne-NP"/>
    </w:rPr>
  </w:style>
  <w:style w:type="paragraph" w:customStyle="1" w:styleId="CharCharChar1CharCharChar">
    <w:name w:val="Char Char Char1 Char Char Char"/>
    <w:basedOn w:val="a9"/>
    <w:pPr>
      <w:spacing w:line="360" w:lineRule="auto"/>
      <w:ind w:firstLineChars="200" w:firstLine="200"/>
    </w:pPr>
    <w:rPr>
      <w:rFonts w:ascii="宋体" w:hAnsi="宋体" w:cs="宋体"/>
      <w:sz w:val="24"/>
    </w:rPr>
  </w:style>
  <w:style w:type="paragraph" w:customStyle="1" w:styleId="afffffffffffff5">
    <w:name w:val="郧西正文"/>
    <w:basedOn w:val="a9"/>
    <w:qFormat/>
    <w:pPr>
      <w:widowControl/>
      <w:spacing w:line="440" w:lineRule="exact"/>
      <w:ind w:firstLineChars="200" w:firstLine="200"/>
    </w:pPr>
    <w:rPr>
      <w:rFonts w:ascii="Arial" w:hAnsi="Arial" w:cs="宋体"/>
      <w:sz w:val="24"/>
      <w:lang w:bidi="ne-NP"/>
    </w:rPr>
  </w:style>
  <w:style w:type="paragraph" w:customStyle="1" w:styleId="106628">
    <w:name w:val="样式 标题 1 + 首行缩进:  0 厘米 段前: 6 磅 段后: 6 磅 行距: 固定值 28 磅"/>
    <w:basedOn w:val="1"/>
    <w:qFormat/>
    <w:pPr>
      <w:widowControl/>
      <w:numPr>
        <w:numId w:val="0"/>
      </w:numPr>
      <w:tabs>
        <w:tab w:val="left" w:pos="1800"/>
      </w:tabs>
      <w:spacing w:beforeLines="200" w:after="120" w:line="560" w:lineRule="exact"/>
      <w:jc w:val="center"/>
    </w:pPr>
    <w:rPr>
      <w:rFonts w:ascii="黑体" w:eastAsia="黑体" w:cs="宋体"/>
      <w:b w:val="0"/>
      <w:bCs/>
      <w:color w:val="000000"/>
      <w:szCs w:val="32"/>
      <w:u w:color="000000"/>
    </w:rPr>
  </w:style>
  <w:style w:type="paragraph" w:customStyle="1" w:styleId="a4">
    <w:name w:val="表序号"/>
    <w:basedOn w:val="5"/>
    <w:qFormat/>
    <w:pPr>
      <w:keepLines/>
      <w:widowControl/>
      <w:numPr>
        <w:ilvl w:val="5"/>
        <w:numId w:val="5"/>
      </w:numPr>
      <w:tabs>
        <w:tab w:val="left" w:pos="944"/>
        <w:tab w:val="left" w:pos="1567"/>
        <w:tab w:val="left" w:pos="1997"/>
        <w:tab w:val="left" w:pos="2287"/>
      </w:tabs>
      <w:spacing w:after="0"/>
      <w:jc w:val="center"/>
    </w:pPr>
    <w:rPr>
      <w:rFonts w:ascii="仿宋_GB2312" w:eastAsia="仿宋_GB2312" w:hAnsi="Arial"/>
      <w:kern w:val="44"/>
      <w:sz w:val="28"/>
    </w:rPr>
  </w:style>
  <w:style w:type="paragraph" w:customStyle="1" w:styleId="xl586">
    <w:name w:val="xl586"/>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afffffffffffff6">
    <w:name w:val="表格小五"/>
    <w:basedOn w:val="a9"/>
    <w:qFormat/>
    <w:pPr>
      <w:adjustRightInd w:val="0"/>
      <w:snapToGrid w:val="0"/>
      <w:spacing w:line="320" w:lineRule="exact"/>
      <w:ind w:leftChars="-20" w:left="-42" w:rightChars="-20" w:right="-42"/>
      <w:jc w:val="center"/>
      <w:textAlignment w:val="baseline"/>
    </w:pPr>
    <w:rPr>
      <w:snapToGrid w:val="0"/>
      <w:color w:val="000000"/>
      <w:kern w:val="40"/>
      <w:sz w:val="18"/>
    </w:rPr>
  </w:style>
  <w:style w:type="paragraph" w:customStyle="1" w:styleId="xl547">
    <w:name w:val="xl54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105v">
    <w:name w:val="105v"/>
    <w:basedOn w:val="a9"/>
    <w:qFormat/>
    <w:pPr>
      <w:widowControl/>
      <w:spacing w:before="100" w:beforeAutospacing="1" w:after="100" w:afterAutospacing="1" w:line="360" w:lineRule="auto"/>
      <w:jc w:val="left"/>
    </w:pPr>
    <w:rPr>
      <w:rFonts w:ascii="宋体" w:hAnsi="宋体" w:cs="宋体"/>
      <w:szCs w:val="21"/>
    </w:rPr>
  </w:style>
  <w:style w:type="paragraph" w:customStyle="1" w:styleId="Charfffff5">
    <w:name w:val="图名 Char"/>
    <w:basedOn w:val="affb"/>
    <w:qFormat/>
    <w:pPr>
      <w:widowControl/>
      <w:spacing w:line="480" w:lineRule="exact"/>
      <w:ind w:left="0" w:firstLine="0"/>
      <w:jc w:val="center"/>
    </w:pPr>
    <w:rPr>
      <w:rFonts w:eastAsia="黑体"/>
      <w:sz w:val="24"/>
      <w:szCs w:val="24"/>
    </w:rPr>
  </w:style>
  <w:style w:type="paragraph" w:customStyle="1" w:styleId="afffffffffffff7">
    <w:name w:val="文本框"/>
    <w:basedOn w:val="afffffffffffff8"/>
    <w:semiHidden/>
    <w:qFormat/>
    <w:pPr>
      <w:widowControl/>
    </w:pPr>
    <w:rPr>
      <w:rFonts w:ascii="宋体" w:hAnsi="宋体"/>
    </w:rPr>
  </w:style>
  <w:style w:type="paragraph" w:customStyle="1" w:styleId="afffffffffffff8">
    <w:name w:val="五号"/>
    <w:basedOn w:val="a9"/>
    <w:semiHidden/>
    <w:qFormat/>
  </w:style>
  <w:style w:type="paragraph" w:customStyle="1" w:styleId="xl36">
    <w:name w:val="xl36"/>
    <w:basedOn w:val="a9"/>
    <w:qFormat/>
    <w:pPr>
      <w:widowControl/>
      <w:spacing w:before="100" w:beforeAutospacing="1" w:after="100" w:afterAutospacing="1"/>
      <w:jc w:val="center"/>
    </w:pPr>
    <w:rPr>
      <w:rFonts w:ascii="宋体" w:hAnsi="宋体"/>
      <w:sz w:val="24"/>
    </w:rPr>
  </w:style>
  <w:style w:type="paragraph" w:customStyle="1" w:styleId="layer4">
    <w:name w:val="layer4"/>
    <w:basedOn w:val="aa"/>
    <w:next w:val="aa"/>
    <w:qFormat/>
    <w:pPr>
      <w:tabs>
        <w:tab w:val="left" w:pos="360"/>
      </w:tabs>
      <w:spacing w:before="120" w:after="120" w:line="300" w:lineRule="auto"/>
      <w:ind w:firstLine="420"/>
    </w:pPr>
    <w:rPr>
      <w:rFonts w:ascii="Arial" w:eastAsia="楷体_GB2312" w:hAnsi="Arial"/>
      <w:sz w:val="30"/>
    </w:rPr>
  </w:style>
  <w:style w:type="paragraph" w:customStyle="1" w:styleId="2120">
    <w:name w:val="样式 样式 首行缩进:  2 字符1 + 首行缩进:  2 字符"/>
    <w:basedOn w:val="a9"/>
    <w:qFormat/>
    <w:pPr>
      <w:spacing w:line="480" w:lineRule="exact"/>
      <w:ind w:firstLineChars="200" w:firstLine="200"/>
    </w:pPr>
    <w:rPr>
      <w:rFonts w:eastAsia="楷体_GB2312"/>
      <w:sz w:val="24"/>
    </w:rPr>
  </w:style>
  <w:style w:type="paragraph" w:customStyle="1" w:styleId="xl127">
    <w:name w:val="xl127"/>
    <w:basedOn w:val="a9"/>
    <w:qFormat/>
    <w:pPr>
      <w:widowControl/>
      <w:pBdr>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color w:val="000000"/>
    </w:rPr>
  </w:style>
  <w:style w:type="paragraph" w:customStyle="1" w:styleId="-0">
    <w:name w:val="二级标题-预案"/>
    <w:basedOn w:val="a9"/>
    <w:qFormat/>
    <w:pPr>
      <w:numPr>
        <w:ilvl w:val="1"/>
        <w:numId w:val="6"/>
      </w:numPr>
      <w:adjustRightInd w:val="0"/>
      <w:snapToGrid w:val="0"/>
      <w:spacing w:before="120" w:after="60" w:line="360" w:lineRule="auto"/>
      <w:outlineLvl w:val="1"/>
    </w:pPr>
    <w:rPr>
      <w:rFonts w:eastAsia="黑体"/>
      <w:b/>
      <w:sz w:val="24"/>
    </w:rPr>
  </w:style>
  <w:style w:type="paragraph" w:customStyle="1" w:styleId="afffffffffffff9">
    <w:name w:val="表后"/>
    <w:basedOn w:val="a9"/>
    <w:qFormat/>
    <w:pPr>
      <w:widowControl/>
      <w:adjustRightInd w:val="0"/>
      <w:spacing w:before="120" w:line="400" w:lineRule="exact"/>
      <w:ind w:firstLine="601"/>
      <w:jc w:val="left"/>
      <w:textAlignment w:val="baseline"/>
    </w:pPr>
    <w:rPr>
      <w:rFonts w:eastAsia="楷体_GB2312" w:cs="宋体"/>
      <w:spacing w:val="8"/>
      <w:sz w:val="28"/>
      <w:lang w:bidi="ne-NP"/>
    </w:rPr>
  </w:style>
  <w:style w:type="paragraph" w:customStyle="1" w:styleId="font14">
    <w:name w:val="font14"/>
    <w:basedOn w:val="a9"/>
    <w:qFormat/>
    <w:pPr>
      <w:widowControl/>
      <w:spacing w:before="100" w:beforeAutospacing="1" w:after="100" w:afterAutospacing="1" w:line="360" w:lineRule="auto"/>
      <w:jc w:val="left"/>
    </w:pPr>
    <w:rPr>
      <w:rFonts w:ascii="宋体" w:hAnsi="宋体" w:cs="宋体"/>
      <w:color w:val="000000"/>
      <w:sz w:val="22"/>
      <w:szCs w:val="22"/>
    </w:rPr>
  </w:style>
  <w:style w:type="paragraph" w:customStyle="1" w:styleId="afffffffffffffa">
    <w:name w:val="a"/>
    <w:basedOn w:val="a9"/>
    <w:qFormat/>
    <w:pPr>
      <w:widowControl/>
      <w:spacing w:after="75" w:line="360" w:lineRule="auto"/>
      <w:jc w:val="left"/>
    </w:pPr>
    <w:rPr>
      <w:rFonts w:ascii="宋体" w:hAnsi="宋体" w:cs="宋体"/>
      <w:sz w:val="24"/>
    </w:rPr>
  </w:style>
  <w:style w:type="paragraph" w:customStyle="1" w:styleId="xl123">
    <w:name w:val="xl123"/>
    <w:basedOn w:val="a9"/>
    <w:qFormat/>
    <w:pPr>
      <w:widowControl/>
      <w:pBdr>
        <w:bottom w:val="single" w:sz="8" w:space="0" w:color="auto"/>
      </w:pBdr>
      <w:spacing w:before="100" w:beforeAutospacing="1" w:after="100" w:afterAutospacing="1" w:line="360" w:lineRule="auto"/>
      <w:jc w:val="right"/>
      <w:textAlignment w:val="center"/>
    </w:pPr>
    <w:rPr>
      <w:rFonts w:ascii="等线" w:eastAsia="等线" w:hAnsi="宋体" w:cs="宋体"/>
      <w:sz w:val="24"/>
    </w:rPr>
  </w:style>
  <w:style w:type="paragraph" w:customStyle="1" w:styleId="1ffff">
    <w:name w:val="污水处理1"/>
    <w:basedOn w:val="a9"/>
    <w:qFormat/>
    <w:pPr>
      <w:widowControl/>
      <w:adjustRightInd w:val="0"/>
      <w:spacing w:line="360" w:lineRule="auto"/>
      <w:jc w:val="center"/>
    </w:pPr>
    <w:rPr>
      <w:rFonts w:ascii="仿宋_GB2312" w:cs="宋体"/>
      <w:b/>
      <w:bCs/>
      <w:spacing w:val="4"/>
      <w:kern w:val="18"/>
      <w:sz w:val="24"/>
      <w:szCs w:val="28"/>
      <w:lang w:bidi="ne-NP"/>
    </w:rPr>
  </w:style>
  <w:style w:type="paragraph" w:customStyle="1" w:styleId="font1">
    <w:name w:val="font1"/>
    <w:basedOn w:val="a9"/>
    <w:qFormat/>
    <w:pPr>
      <w:widowControl/>
      <w:spacing w:before="100" w:beforeAutospacing="1" w:after="100" w:afterAutospacing="1"/>
    </w:pPr>
    <w:rPr>
      <w:sz w:val="24"/>
    </w:rPr>
  </w:style>
  <w:style w:type="paragraph" w:customStyle="1" w:styleId="xl124">
    <w:name w:val="xl124"/>
    <w:basedOn w:val="a9"/>
    <w:qFormat/>
    <w:pPr>
      <w:widowControl/>
      <w:pBdr>
        <w:bottom w:val="single" w:sz="8" w:space="0" w:color="auto"/>
      </w:pBdr>
      <w:spacing w:before="100" w:beforeAutospacing="1" w:after="100" w:afterAutospacing="1" w:line="360" w:lineRule="auto"/>
      <w:jc w:val="right"/>
      <w:textAlignment w:val="center"/>
    </w:pPr>
    <w:rPr>
      <w:rFonts w:ascii="等线" w:eastAsia="等线" w:hAnsi="宋体" w:cs="宋体"/>
      <w:color w:val="000000"/>
      <w:sz w:val="24"/>
    </w:rPr>
  </w:style>
  <w:style w:type="paragraph" w:customStyle="1" w:styleId="afffffffffffffb">
    <w:name w:val="字元 字元"/>
    <w:basedOn w:val="a9"/>
    <w:semiHidden/>
    <w:qFormat/>
    <w:pPr>
      <w:widowControl/>
    </w:pPr>
    <w:rPr>
      <w:rFonts w:cs="宋体"/>
      <w:sz w:val="24"/>
      <w:lang w:bidi="ne-NP"/>
    </w:rPr>
  </w:style>
  <w:style w:type="paragraph" w:customStyle="1" w:styleId="1ffff0">
    <w:name w:val="表格1(窄）"/>
    <w:basedOn w:val="a9"/>
    <w:qFormat/>
    <w:pPr>
      <w:spacing w:line="320" w:lineRule="exact"/>
      <w:ind w:leftChars="-10" w:left="-10" w:rightChars="-10" w:right="-10"/>
    </w:pPr>
    <w:rPr>
      <w:rFonts w:ascii="Arial" w:hAnsi="Arial"/>
      <w:szCs w:val="21"/>
    </w:rPr>
  </w:style>
  <w:style w:type="paragraph" w:customStyle="1" w:styleId="afffffffffffffc">
    <w:name w:val="注解"/>
    <w:basedOn w:val="a9"/>
    <w:qFormat/>
    <w:pPr>
      <w:adjustRightInd w:val="0"/>
      <w:snapToGrid w:val="0"/>
      <w:spacing w:line="360" w:lineRule="auto"/>
      <w:ind w:left="624" w:right="170" w:hanging="454"/>
    </w:pPr>
    <w:rPr>
      <w:rFonts w:ascii="宋体" w:hAnsi="宋体"/>
      <w:color w:val="000000"/>
      <w:sz w:val="15"/>
    </w:rPr>
  </w:style>
  <w:style w:type="paragraph" w:customStyle="1" w:styleId="CharCharCharCharCharCharCharCharCharChar0">
    <w:name w:val="Char Char Char Char Char Char Char Char Char Char"/>
    <w:basedOn w:val="a9"/>
    <w:qFormat/>
    <w:pPr>
      <w:shd w:val="pct25" w:color="auto" w:fill="A6A6A6"/>
      <w:spacing w:line="360" w:lineRule="auto"/>
    </w:pPr>
    <w:rPr>
      <w:rFonts w:ascii="宋体" w:hAnsi="宋体" w:cs="宋体"/>
      <w:sz w:val="24"/>
    </w:rPr>
  </w:style>
  <w:style w:type="paragraph" w:customStyle="1" w:styleId="font7">
    <w:name w:val="font7"/>
    <w:basedOn w:val="a9"/>
    <w:qFormat/>
    <w:pPr>
      <w:widowControl/>
      <w:spacing w:before="100" w:beforeAutospacing="1" w:after="100" w:afterAutospacing="1"/>
      <w:jc w:val="left"/>
    </w:pPr>
    <w:rPr>
      <w:rFonts w:eastAsia="Arial Unicode MS"/>
      <w:sz w:val="18"/>
      <w:szCs w:val="18"/>
    </w:rPr>
  </w:style>
  <w:style w:type="paragraph" w:customStyle="1" w:styleId="3Sottoparagrafo05">
    <w:name w:val="样式 标题 3Sottoparagrafo + 段前: 0.5 行"/>
    <w:basedOn w:val="3"/>
    <w:qFormat/>
    <w:pPr>
      <w:widowControl/>
      <w:numPr>
        <w:ilvl w:val="0"/>
        <w:numId w:val="0"/>
      </w:numPr>
      <w:tabs>
        <w:tab w:val="left" w:pos="0"/>
        <w:tab w:val="left" w:pos="862"/>
        <w:tab w:val="left" w:pos="1260"/>
        <w:tab w:val="left" w:pos="1567"/>
      </w:tabs>
      <w:adjustRightInd w:val="0"/>
      <w:spacing w:after="60"/>
      <w:ind w:left="1260" w:firstLineChars="200" w:hanging="420"/>
    </w:pPr>
    <w:rPr>
      <w:rFonts w:cs="宋体"/>
      <w:b w:val="0"/>
      <w:sz w:val="28"/>
      <w:lang w:bidi="ne-NP"/>
    </w:rPr>
  </w:style>
  <w:style w:type="paragraph" w:customStyle="1" w:styleId="313">
    <w:name w:val="正文首行缩进31"/>
    <w:basedOn w:val="afd"/>
    <w:qFormat/>
    <w:pPr>
      <w:widowControl/>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ffffd">
    <w:name w:val="正文（行首缩进）"/>
    <w:basedOn w:val="a9"/>
    <w:qFormat/>
    <w:pPr>
      <w:spacing w:afterLines="50" w:line="360" w:lineRule="auto"/>
      <w:ind w:firstLineChars="200" w:firstLine="200"/>
    </w:pPr>
    <w:rPr>
      <w:sz w:val="24"/>
    </w:rPr>
  </w:style>
  <w:style w:type="paragraph" w:customStyle="1" w:styleId="CharCharChar10">
    <w:name w:val="Char Char Char1"/>
    <w:basedOn w:val="af9"/>
    <w:next w:val="a9"/>
    <w:qFormat/>
    <w:pPr>
      <w:adjustRightInd w:val="0"/>
      <w:spacing w:line="436" w:lineRule="exact"/>
      <w:ind w:left="357"/>
      <w:jc w:val="left"/>
      <w:outlineLvl w:val="3"/>
    </w:pPr>
    <w:rPr>
      <w:rFonts w:ascii="Tahoma" w:hAnsi="Tahoma"/>
      <w:b/>
      <w:sz w:val="24"/>
    </w:rPr>
  </w:style>
  <w:style w:type="paragraph" w:customStyle="1" w:styleId="D0">
    <w:name w:val="D表内"/>
    <w:basedOn w:val="a9"/>
    <w:qFormat/>
    <w:pPr>
      <w:spacing w:before="40" w:after="40" w:line="360" w:lineRule="auto"/>
      <w:jc w:val="center"/>
    </w:pPr>
    <w:rPr>
      <w:szCs w:val="21"/>
    </w:rPr>
  </w:style>
  <w:style w:type="paragraph" w:customStyle="1" w:styleId="2ff0">
    <w:name w:val="正文首行缩进2"/>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CharCharCharCharCharCharCharCharCharCharCharChar">
    <w:name w:val="Char Char Char Char Char Char Char Char Char Char Char Char Char"/>
    <w:basedOn w:val="a9"/>
    <w:qFormat/>
    <w:pPr>
      <w:widowControl/>
      <w:adjustRightInd w:val="0"/>
      <w:spacing w:line="360" w:lineRule="auto"/>
    </w:pPr>
    <w:rPr>
      <w:rFonts w:cs="宋体"/>
      <w:sz w:val="24"/>
      <w:lang w:bidi="ne-NP"/>
    </w:rPr>
  </w:style>
  <w:style w:type="paragraph" w:customStyle="1" w:styleId="2ff1">
    <w:name w:val="污水处理2"/>
    <w:basedOn w:val="a9"/>
    <w:qFormat/>
    <w:pPr>
      <w:widowControl/>
      <w:adjustRightInd w:val="0"/>
      <w:spacing w:line="360" w:lineRule="auto"/>
      <w:jc w:val="center"/>
    </w:pPr>
    <w:rPr>
      <w:rFonts w:ascii="仿宋_GB2312" w:cs="宋体"/>
      <w:spacing w:val="4"/>
      <w:kern w:val="18"/>
      <w:sz w:val="24"/>
      <w:szCs w:val="28"/>
      <w:lang w:bidi="ne-NP"/>
    </w:rPr>
  </w:style>
  <w:style w:type="paragraph" w:customStyle="1" w:styleId="103">
    <w:name w:val="样式 标题 1 + 段后: 0.3 行"/>
    <w:basedOn w:val="1"/>
    <w:qFormat/>
    <w:pPr>
      <w:keepNext w:val="0"/>
      <w:keepLines w:val="0"/>
      <w:pageBreakBefore w:val="0"/>
      <w:widowControl/>
      <w:numPr>
        <w:numId w:val="0"/>
      </w:numPr>
      <w:tabs>
        <w:tab w:val="left" w:pos="0"/>
        <w:tab w:val="left" w:pos="1800"/>
      </w:tabs>
      <w:spacing w:beforeLines="50" w:afterLines="30" w:line="300" w:lineRule="auto"/>
      <w:ind w:firstLine="709"/>
      <w:jc w:val="center"/>
    </w:pPr>
    <w:rPr>
      <w:rFonts w:ascii="黑体" w:eastAsia="黑体" w:cs="Arial"/>
      <w:sz w:val="30"/>
      <w:szCs w:val="30"/>
    </w:rPr>
  </w:style>
  <w:style w:type="paragraph" w:customStyle="1" w:styleId="CharCharCharCharCharCharCharCharCharCharCharCharChar1">
    <w:name w:val="Char Char Char Char Char Char Char Char Char Char Char Char Char1"/>
    <w:basedOn w:val="a9"/>
    <w:qFormat/>
    <w:pPr>
      <w:widowControl/>
      <w:adjustRightInd w:val="0"/>
      <w:spacing w:line="360" w:lineRule="auto"/>
    </w:pPr>
    <w:rPr>
      <w:rFonts w:cs="宋体"/>
      <w:sz w:val="24"/>
      <w:lang w:bidi="ne-NP"/>
    </w:rPr>
  </w:style>
  <w:style w:type="paragraph" w:customStyle="1" w:styleId="222">
    <w:name w:val="正文文本 22"/>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xl25">
    <w:name w:val="xl2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18"/>
      <w:szCs w:val="18"/>
    </w:rPr>
  </w:style>
  <w:style w:type="paragraph" w:customStyle="1" w:styleId="4f1">
    <w:name w:val="样式4"/>
    <w:basedOn w:val="3"/>
    <w:link w:val="4Char3"/>
    <w:qFormat/>
    <w:pPr>
      <w:keepNext/>
      <w:keepLines/>
      <w:numPr>
        <w:ilvl w:val="0"/>
        <w:numId w:val="0"/>
      </w:numPr>
      <w:tabs>
        <w:tab w:val="left" w:pos="3794"/>
      </w:tabs>
      <w:spacing w:line="240" w:lineRule="atLeast"/>
      <w:jc w:val="center"/>
    </w:pPr>
    <w:rPr>
      <w:rFonts w:ascii="宋体" w:eastAsia="宋体" w:hAnsi="宋体"/>
      <w:b w:val="0"/>
      <w:sz w:val="21"/>
      <w:szCs w:val="21"/>
    </w:rPr>
  </w:style>
  <w:style w:type="paragraph" w:customStyle="1" w:styleId="xl103">
    <w:name w:val="xl103"/>
    <w:basedOn w:val="a9"/>
    <w:qFormat/>
    <w:pPr>
      <w:widowControl/>
      <w:pBdr>
        <w:bottom w:val="single" w:sz="8" w:space="0" w:color="000000"/>
        <w:right w:val="single" w:sz="8" w:space="0" w:color="000000"/>
      </w:pBdr>
      <w:spacing w:before="100" w:beforeAutospacing="1" w:after="100" w:afterAutospacing="1" w:line="360" w:lineRule="auto"/>
      <w:jc w:val="center"/>
      <w:textAlignment w:val="center"/>
    </w:pPr>
    <w:rPr>
      <w:color w:val="000000"/>
      <w:sz w:val="18"/>
      <w:szCs w:val="18"/>
    </w:rPr>
  </w:style>
  <w:style w:type="paragraph" w:customStyle="1" w:styleId="BodyText21">
    <w:name w:val="Body Text 21"/>
    <w:basedOn w:val="a9"/>
    <w:qFormat/>
    <w:pPr>
      <w:adjustRightInd w:val="0"/>
      <w:spacing w:line="360" w:lineRule="auto"/>
      <w:textAlignment w:val="baseline"/>
    </w:pPr>
    <w:rPr>
      <w:sz w:val="24"/>
    </w:rPr>
  </w:style>
  <w:style w:type="paragraph" w:customStyle="1" w:styleId="xl71">
    <w:name w:val="xl7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rPr>
  </w:style>
  <w:style w:type="paragraph" w:customStyle="1" w:styleId="-12">
    <w:name w:val="环科所-标题1"/>
    <w:basedOn w:val="aff1"/>
    <w:next w:val="a9"/>
    <w:qFormat/>
    <w:pPr>
      <w:pageBreakBefore/>
      <w:widowControl/>
      <w:tabs>
        <w:tab w:val="left" w:pos="360"/>
        <w:tab w:val="left" w:pos="900"/>
      </w:tabs>
      <w:snapToGrid w:val="0"/>
      <w:spacing w:before="960" w:after="960"/>
      <w:ind w:leftChars="-12" w:left="-12"/>
    </w:pPr>
    <w:rPr>
      <w:rFonts w:eastAsia="仿宋_GB2312" w:hAnsi="宋体" w:cs="宋体"/>
      <w:sz w:val="24"/>
      <w:szCs w:val="24"/>
    </w:rPr>
  </w:style>
  <w:style w:type="paragraph" w:customStyle="1" w:styleId="font6">
    <w:name w:val="font6"/>
    <w:basedOn w:val="a9"/>
    <w:qFormat/>
    <w:pPr>
      <w:widowControl/>
      <w:spacing w:before="100" w:beforeAutospacing="1" w:after="100" w:afterAutospacing="1"/>
      <w:jc w:val="left"/>
    </w:pPr>
    <w:rPr>
      <w:rFonts w:ascii="宋体" w:hAnsi="宋体" w:cs="Arial Unicode MS" w:hint="eastAsia"/>
      <w:sz w:val="18"/>
      <w:szCs w:val="18"/>
    </w:rPr>
  </w:style>
  <w:style w:type="paragraph" w:customStyle="1" w:styleId="TOC11">
    <w:name w:val="TOC 标题11"/>
    <w:basedOn w:val="1"/>
    <w:next w:val="a9"/>
    <w:uiPriority w:val="39"/>
    <w:unhideWhenUsed/>
    <w:qFormat/>
    <w:pPr>
      <w:pageBreakBefore w:val="0"/>
      <w:widowControl/>
      <w:numPr>
        <w:numId w:val="0"/>
      </w:numPr>
      <w:tabs>
        <w:tab w:val="left" w:pos="1080"/>
      </w:tabs>
      <w:spacing w:before="480" w:after="0" w:line="276" w:lineRule="auto"/>
      <w:jc w:val="left"/>
      <w:outlineLvl w:val="9"/>
    </w:pPr>
    <w:rPr>
      <w:rFonts w:ascii="Cambria" w:hAnsi="Cambria"/>
      <w:bCs/>
      <w:color w:val="365F91"/>
      <w:kern w:val="0"/>
      <w:sz w:val="28"/>
      <w:szCs w:val="28"/>
    </w:rPr>
  </w:style>
  <w:style w:type="paragraph" w:customStyle="1" w:styleId="4f2">
    <w:name w:val="列出段落4"/>
    <w:basedOn w:val="a9"/>
    <w:qFormat/>
    <w:pPr>
      <w:ind w:firstLineChars="200" w:firstLine="420"/>
    </w:pPr>
  </w:style>
  <w:style w:type="paragraph" w:customStyle="1" w:styleId="TableParagraph">
    <w:name w:val="Table Paragraph"/>
    <w:basedOn w:val="a9"/>
    <w:uiPriority w:val="1"/>
    <w:qFormat/>
    <w:pPr>
      <w:autoSpaceDE w:val="0"/>
      <w:autoSpaceDN w:val="0"/>
      <w:adjustRightInd w:val="0"/>
      <w:spacing w:line="360" w:lineRule="auto"/>
      <w:jc w:val="left"/>
    </w:pPr>
    <w:rPr>
      <w:sz w:val="24"/>
    </w:rPr>
  </w:style>
  <w:style w:type="paragraph" w:customStyle="1" w:styleId="CharCharf4">
    <w:name w:val="册除格式 Char Char"/>
    <w:qFormat/>
    <w:pPr>
      <w:spacing w:line="360" w:lineRule="auto"/>
      <w:ind w:firstLine="482"/>
      <w:jc w:val="center"/>
    </w:pPr>
    <w:rPr>
      <w:rFonts w:ascii="黑体" w:hAnsi="Arial"/>
      <w:snapToGrid w:val="0"/>
      <w:spacing w:val="4"/>
      <w:kern w:val="18"/>
      <w:sz w:val="24"/>
    </w:rPr>
  </w:style>
  <w:style w:type="paragraph" w:customStyle="1" w:styleId="afffffffffffffe">
    <w:name w:val="表后正文"/>
    <w:basedOn w:val="a9"/>
    <w:qFormat/>
    <w:pPr>
      <w:widowControl/>
      <w:suppressLineNumbers/>
      <w:suppressAutoHyphens/>
      <w:topLinePunct/>
      <w:adjustRightInd w:val="0"/>
      <w:snapToGrid w:val="0"/>
      <w:spacing w:beforeLines="70" w:line="360" w:lineRule="auto"/>
      <w:ind w:firstLineChars="200" w:firstLine="560"/>
    </w:pPr>
    <w:rPr>
      <w:rFonts w:cs="宋体"/>
      <w:sz w:val="24"/>
      <w:lang w:bidi="ne-NP"/>
    </w:rPr>
  </w:style>
  <w:style w:type="paragraph" w:customStyle="1" w:styleId="xl589">
    <w:name w:val="xl589"/>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font11">
    <w:name w:val="font11"/>
    <w:basedOn w:val="a9"/>
    <w:qFormat/>
    <w:pPr>
      <w:widowControl/>
      <w:spacing w:before="100" w:beforeAutospacing="1" w:after="100" w:afterAutospacing="1" w:line="360" w:lineRule="auto"/>
      <w:jc w:val="left"/>
    </w:pPr>
    <w:rPr>
      <w:rFonts w:ascii="宋体" w:hAnsi="宋体" w:cs="宋体"/>
      <w:color w:val="000000"/>
    </w:rPr>
  </w:style>
  <w:style w:type="paragraph" w:customStyle="1" w:styleId="1ffff1">
    <w:name w:val="表字1"/>
    <w:basedOn w:val="a9"/>
    <w:qFormat/>
    <w:pPr>
      <w:adjustRightInd w:val="0"/>
      <w:spacing w:line="360" w:lineRule="auto"/>
      <w:jc w:val="center"/>
      <w:textAlignment w:val="baseline"/>
    </w:pPr>
    <w:rPr>
      <w:rFonts w:ascii="宋体" w:cs="宋体"/>
    </w:rPr>
  </w:style>
  <w:style w:type="paragraph" w:customStyle="1" w:styleId="xl81">
    <w:name w:val="xl81"/>
    <w:basedOn w:val="a9"/>
    <w:qFormat/>
    <w:pPr>
      <w:widowControl/>
      <w:pBdr>
        <w:left w:val="single" w:sz="8" w:space="0" w:color="auto"/>
        <w:bottom w:val="single" w:sz="12"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M4">
    <w:name w:val="CM4"/>
    <w:basedOn w:val="a9"/>
    <w:next w:val="a9"/>
    <w:qFormat/>
    <w:pPr>
      <w:autoSpaceDE w:val="0"/>
      <w:autoSpaceDN w:val="0"/>
      <w:adjustRightInd w:val="0"/>
      <w:spacing w:line="480" w:lineRule="atLeast"/>
      <w:jc w:val="left"/>
    </w:pPr>
    <w:rPr>
      <w:rFonts w:ascii="黑体" w:eastAsia="黑体"/>
      <w:sz w:val="24"/>
    </w:rPr>
  </w:style>
  <w:style w:type="paragraph" w:customStyle="1" w:styleId="album-div">
    <w:name w:val="album-div"/>
    <w:basedOn w:val="a9"/>
    <w:qFormat/>
    <w:pPr>
      <w:widowControl/>
      <w:spacing w:before="100" w:beforeAutospacing="1" w:after="100" w:afterAutospacing="1"/>
      <w:jc w:val="left"/>
    </w:pPr>
    <w:rPr>
      <w:rFonts w:ascii="宋体" w:hAnsi="宋体" w:cs="宋体"/>
      <w:sz w:val="24"/>
      <w:lang w:bidi="ne-NP"/>
    </w:rPr>
  </w:style>
  <w:style w:type="paragraph" w:customStyle="1" w:styleId="xl78">
    <w:name w:val="xl78"/>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har3CharCharChar1">
    <w:name w:val="Char3 Char Char Char1"/>
    <w:basedOn w:val="a9"/>
    <w:qFormat/>
    <w:pPr>
      <w:spacing w:line="360" w:lineRule="auto"/>
      <w:ind w:firstLineChars="200" w:firstLine="200"/>
    </w:pPr>
    <w:rPr>
      <w:rFonts w:ascii="宋体" w:hAnsi="宋体" w:cs="宋体"/>
      <w:sz w:val="24"/>
    </w:rPr>
  </w:style>
  <w:style w:type="paragraph" w:customStyle="1" w:styleId="xl58">
    <w:name w:val="xl58"/>
    <w:basedOn w:val="a9"/>
    <w:qFormat/>
    <w:pPr>
      <w:widowControl/>
      <w:spacing w:before="100" w:beforeAutospacing="1" w:after="100" w:afterAutospacing="1"/>
      <w:jc w:val="center"/>
    </w:pPr>
    <w:rPr>
      <w:rFonts w:ascii="宋体" w:hAnsi="宋体" w:cs="宋体"/>
      <w:sz w:val="18"/>
      <w:szCs w:val="18"/>
      <w:lang w:bidi="ne-NP"/>
    </w:rPr>
  </w:style>
  <w:style w:type="paragraph" w:customStyle="1" w:styleId="affffffffffffff">
    <w:name w:val="工艺流程图"/>
    <w:basedOn w:val="a9"/>
    <w:qFormat/>
    <w:pPr>
      <w:widowControl/>
      <w:adjustRightInd w:val="0"/>
      <w:snapToGrid w:val="0"/>
      <w:spacing w:line="340" w:lineRule="atLeast"/>
      <w:jc w:val="center"/>
    </w:pPr>
    <w:rPr>
      <w:rFonts w:cs="宋体"/>
      <w:color w:val="FF0000"/>
      <w:kern w:val="18"/>
      <w:sz w:val="24"/>
      <w:szCs w:val="28"/>
      <w:lang w:bidi="ne-NP"/>
    </w:rPr>
  </w:style>
  <w:style w:type="paragraph" w:customStyle="1" w:styleId="76">
    <w:name w:val="样式7"/>
    <w:basedOn w:val="4f1"/>
    <w:qFormat/>
    <w:pPr>
      <w:keepNext w:val="0"/>
      <w:keepLines w:val="0"/>
      <w:tabs>
        <w:tab w:val="clear" w:pos="720"/>
        <w:tab w:val="clear" w:pos="3794"/>
        <w:tab w:val="left" w:pos="486"/>
        <w:tab w:val="left" w:pos="731"/>
        <w:tab w:val="left" w:pos="862"/>
        <w:tab w:val="left" w:pos="1080"/>
        <w:tab w:val="left" w:pos="1259"/>
        <w:tab w:val="left" w:pos="1418"/>
        <w:tab w:val="left" w:pos="1567"/>
        <w:tab w:val="left" w:pos="1701"/>
      </w:tabs>
      <w:snapToGrid/>
      <w:spacing w:beforeLines="50" w:afterLines="50" w:line="336" w:lineRule="auto"/>
      <w:ind w:firstLineChars="200" w:firstLine="539"/>
      <w:jc w:val="both"/>
      <w:outlineLvl w:val="9"/>
    </w:pPr>
    <w:rPr>
      <w:rFonts w:ascii="Times New Roman" w:eastAsia="华文中宋" w:hAnsi="Times New Roman"/>
      <w:color w:val="000000"/>
      <w:spacing w:val="10"/>
      <w:szCs w:val="20"/>
    </w:rPr>
  </w:style>
  <w:style w:type="paragraph" w:customStyle="1" w:styleId="xl560">
    <w:name w:val="xl56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affffffffffffff0">
    <w:name w:val="基准页脚样式"/>
    <w:basedOn w:val="afd"/>
    <w:qFormat/>
    <w:pPr>
      <w:snapToGrid w:val="0"/>
      <w:spacing w:line="240" w:lineRule="exact"/>
      <w:ind w:leftChars="-48" w:left="-101" w:rightChars="-58" w:right="-122" w:firstLineChars="0" w:firstLine="0"/>
      <w:jc w:val="center"/>
    </w:pPr>
    <w:rPr>
      <w:rFonts w:ascii="Times New Roman" w:hAnsi="Times New Roman"/>
      <w:kern w:val="2"/>
      <w:sz w:val="18"/>
    </w:rPr>
  </w:style>
  <w:style w:type="paragraph" w:customStyle="1" w:styleId="2ff2">
    <w:name w:val="日期2"/>
    <w:basedOn w:val="a9"/>
    <w:next w:val="a9"/>
    <w:semiHidden/>
    <w:qFormat/>
    <w:pPr>
      <w:widowControl/>
      <w:adjustRightInd w:val="0"/>
      <w:spacing w:line="360" w:lineRule="auto"/>
      <w:ind w:firstLineChars="200" w:firstLine="576"/>
      <w:jc w:val="left"/>
      <w:textAlignment w:val="baseline"/>
    </w:pPr>
    <w:rPr>
      <w:rFonts w:ascii="仿宋_GB2312" w:eastAsia="仿宋_GB2312" w:cs="宋体"/>
      <w:spacing w:val="4"/>
      <w:kern w:val="18"/>
      <w:sz w:val="28"/>
      <w:lang w:bidi="ne-NP"/>
    </w:rPr>
  </w:style>
  <w:style w:type="paragraph" w:customStyle="1" w:styleId="xl579">
    <w:name w:val="xl57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CharChar1Char">
    <w:name w:val="Char Char1 Char"/>
    <w:basedOn w:val="a9"/>
    <w:qFormat/>
    <w:pPr>
      <w:spacing w:line="360" w:lineRule="auto"/>
      <w:ind w:firstLineChars="200" w:firstLine="200"/>
    </w:pPr>
    <w:rPr>
      <w:rFonts w:ascii="宋体" w:hAnsi="宋体" w:cs="宋体"/>
      <w:sz w:val="24"/>
    </w:rPr>
  </w:style>
  <w:style w:type="paragraph" w:customStyle="1" w:styleId="1085">
    <w:name w:val="样式 表格1 + 左侧:  0.85 厘米"/>
    <w:basedOn w:val="1f"/>
    <w:qFormat/>
    <w:pPr>
      <w:widowControl w:val="0"/>
      <w:snapToGrid w:val="0"/>
      <w:textAlignment w:val="auto"/>
    </w:pPr>
    <w:rPr>
      <w:rFonts w:hAnsi="宋体" w:cs="宋体"/>
      <w:color w:val="000000"/>
      <w:kern w:val="2"/>
      <w:sz w:val="18"/>
    </w:rPr>
  </w:style>
  <w:style w:type="paragraph" w:customStyle="1" w:styleId="affffffffffffff1">
    <w:name w:val="中文报告书样式"/>
    <w:basedOn w:val="a9"/>
    <w:qFormat/>
    <w:pPr>
      <w:adjustRightInd w:val="0"/>
      <w:spacing w:line="480" w:lineRule="atLeast"/>
      <w:ind w:firstLine="482"/>
      <w:textAlignment w:val="baseline"/>
    </w:pPr>
    <w:rPr>
      <w:kern w:val="24"/>
      <w:sz w:val="24"/>
    </w:rPr>
  </w:style>
  <w:style w:type="paragraph" w:customStyle="1" w:styleId="affffffffffffff2">
    <w:name w:val="小四表文左齐"/>
    <w:basedOn w:val="a9"/>
    <w:qFormat/>
    <w:pPr>
      <w:widowControl/>
      <w:jc w:val="center"/>
    </w:pPr>
    <w:rPr>
      <w:rFonts w:ascii="仿宋_GB2312" w:eastAsia="仿宋_GB2312" w:hAnsi="宋体" w:cs="宋体"/>
      <w:sz w:val="24"/>
      <w:szCs w:val="21"/>
      <w:lang w:bidi="ne-NP"/>
    </w:rPr>
  </w:style>
  <w:style w:type="paragraph" w:customStyle="1" w:styleId="400">
    <w:name w:val="标题400"/>
    <w:basedOn w:val="a9"/>
    <w:next w:val="a9"/>
    <w:pPr>
      <w:spacing w:line="360" w:lineRule="auto"/>
    </w:pPr>
    <w:rPr>
      <w:rFonts w:eastAsia="黑体"/>
      <w:b/>
      <w:sz w:val="24"/>
    </w:rPr>
  </w:style>
  <w:style w:type="paragraph" w:customStyle="1" w:styleId="085">
    <w:name w:val="样式 表格 + 左侧:  0.85 厘米"/>
    <w:basedOn w:val="afffff5"/>
    <w:qFormat/>
    <w:pPr>
      <w:widowControl/>
      <w:spacing w:line="240" w:lineRule="auto"/>
      <w:jc w:val="both"/>
    </w:pPr>
    <w:rPr>
      <w:rFonts w:ascii="宋体" w:cs="宋体"/>
      <w:color w:val="000000"/>
      <w:kern w:val="2"/>
      <w:sz w:val="18"/>
      <w:szCs w:val="20"/>
    </w:rPr>
  </w:style>
  <w:style w:type="paragraph" w:customStyle="1" w:styleId="1CharCharCharCharChar1">
    <w:name w:val="正文1 Char Char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font10">
    <w:name w:val="font10"/>
    <w:basedOn w:val="a9"/>
    <w:qFormat/>
    <w:pPr>
      <w:widowControl/>
      <w:spacing w:before="100" w:beforeAutospacing="1" w:after="100" w:afterAutospacing="1"/>
      <w:jc w:val="left"/>
    </w:pPr>
    <w:rPr>
      <w:rFonts w:eastAsia="Arial Unicode MS"/>
      <w:sz w:val="16"/>
      <w:szCs w:val="16"/>
    </w:rPr>
  </w:style>
  <w:style w:type="paragraph" w:customStyle="1" w:styleId="CharChar1CharCharCharCharCharCharCharCharCharChar2">
    <w:name w:val="Char Char1 Char Char Char Char Char Char Char Char Char Char2"/>
    <w:basedOn w:val="a9"/>
    <w:qFormat/>
    <w:pPr>
      <w:widowControl/>
      <w:spacing w:line="360" w:lineRule="auto"/>
      <w:ind w:firstLineChars="200" w:firstLine="200"/>
    </w:pPr>
    <w:rPr>
      <w:rFonts w:ascii="宋体" w:hAnsi="宋体" w:cs="宋体"/>
      <w:sz w:val="24"/>
      <w:lang w:bidi="ne-NP"/>
    </w:rPr>
  </w:style>
  <w:style w:type="paragraph" w:customStyle="1" w:styleId="affffffffffffff3">
    <w:name w:val="简单回函地址"/>
    <w:basedOn w:val="a9"/>
    <w:qFormat/>
  </w:style>
  <w:style w:type="paragraph" w:customStyle="1" w:styleId="ParaCharCharCharCharCharCharCharCharCharCharCharCharChar">
    <w:name w:val="默认段落字体 Para Char Char Char Char Char Char Char Char Char Char Char Char Char"/>
    <w:basedOn w:val="a9"/>
    <w:qFormat/>
    <w:pPr>
      <w:spacing w:line="360" w:lineRule="auto"/>
    </w:pPr>
  </w:style>
  <w:style w:type="paragraph" w:customStyle="1" w:styleId="1ffff2">
    <w:name w:val="表中文字1"/>
    <w:semiHidden/>
    <w:qFormat/>
    <w:pPr>
      <w:widowControl w:val="0"/>
      <w:adjustRightInd w:val="0"/>
      <w:snapToGrid w:val="0"/>
      <w:spacing w:line="360" w:lineRule="auto"/>
      <w:jc w:val="center"/>
    </w:pPr>
    <w:rPr>
      <w:rFonts w:ascii="仿宋_GB2312" w:eastAsia="仿宋_GB2312" w:hAnsi="华文仿宋"/>
      <w:b/>
      <w:kern w:val="2"/>
      <w:sz w:val="21"/>
      <w:szCs w:val="21"/>
    </w:rPr>
  </w:style>
  <w:style w:type="paragraph" w:customStyle="1" w:styleId="1ffff3">
    <w:name w:val="题注1"/>
    <w:basedOn w:val="af6"/>
    <w:semiHidden/>
    <w:qFormat/>
    <w:pPr>
      <w:keepNext/>
      <w:widowControl/>
      <w:tabs>
        <w:tab w:val="left" w:pos="1727"/>
        <w:tab w:val="left" w:pos="1884"/>
      </w:tabs>
      <w:spacing w:before="0" w:after="0" w:line="360" w:lineRule="auto"/>
      <w:jc w:val="center"/>
    </w:pPr>
    <w:rPr>
      <w:sz w:val="24"/>
    </w:rPr>
  </w:style>
  <w:style w:type="paragraph" w:customStyle="1" w:styleId="ParaCharCharChar">
    <w:name w:val="默认段落字体 Para Char Char Char"/>
    <w:basedOn w:val="a9"/>
    <w:qFormat/>
    <w:pPr>
      <w:widowControl/>
    </w:pPr>
    <w:rPr>
      <w:rFonts w:ascii="宋体" w:cs="宋体"/>
      <w:sz w:val="28"/>
      <w:lang w:bidi="ne-NP"/>
    </w:rPr>
  </w:style>
  <w:style w:type="paragraph" w:customStyle="1" w:styleId="affffffffffffff4">
    <w:name w:val="圖標"/>
    <w:basedOn w:val="a9"/>
    <w:qFormat/>
    <w:pPr>
      <w:widowControl/>
      <w:tabs>
        <w:tab w:val="right" w:pos="4176"/>
        <w:tab w:val="right" w:pos="6960"/>
      </w:tabs>
      <w:wordWrap w:val="0"/>
      <w:adjustRightInd w:val="0"/>
      <w:spacing w:after="540" w:line="432" w:lineRule="exact"/>
      <w:jc w:val="center"/>
      <w:textAlignment w:val="baseline"/>
    </w:pPr>
    <w:rPr>
      <w:rFonts w:ascii="Arial" w:eastAsia="華康粗黑體" w:hAnsi="Arial" w:cs="宋体"/>
      <w:sz w:val="24"/>
      <w:lang w:eastAsia="zh-TW" w:bidi="ne-NP"/>
    </w:rPr>
  </w:style>
  <w:style w:type="paragraph" w:customStyle="1" w:styleId="1CharCharCharChar1">
    <w:name w:val="正文1 Char Char Char Char1"/>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xl65">
    <w:name w:val="xl6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rPr>
  </w:style>
  <w:style w:type="paragraph" w:customStyle="1" w:styleId="xl557">
    <w:name w:val="xl55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ustomunionstyle">
    <w:name w:val="custom_unionstyle"/>
    <w:basedOn w:val="a9"/>
    <w:pPr>
      <w:widowControl/>
      <w:spacing w:before="100" w:beforeAutospacing="1" w:after="100" w:afterAutospacing="1"/>
      <w:jc w:val="left"/>
    </w:pPr>
    <w:rPr>
      <w:rFonts w:ascii="宋体" w:hAnsi="宋体" w:cs="宋体"/>
      <w:sz w:val="24"/>
    </w:rPr>
  </w:style>
  <w:style w:type="paragraph" w:customStyle="1" w:styleId="93">
    <w:name w:val="9"/>
    <w:uiPriority w:val="60"/>
    <w:qFormat/>
    <w:pPr>
      <w:spacing w:line="360" w:lineRule="auto"/>
      <w:jc w:val="center"/>
    </w:pPr>
    <w:rPr>
      <w:rFonts w:ascii="Calibri" w:hAnsi="Calibri"/>
      <w:color w:val="943634"/>
    </w:rPr>
  </w:style>
  <w:style w:type="paragraph" w:customStyle="1" w:styleId="CharCharCharCharCharChar">
    <w:name w:val="Char Char Char Char Char Char"/>
    <w:basedOn w:val="a9"/>
    <w:qFormat/>
    <w:pPr>
      <w:spacing w:line="360" w:lineRule="auto"/>
    </w:pPr>
    <w:rPr>
      <w:sz w:val="24"/>
    </w:rPr>
  </w:style>
  <w:style w:type="paragraph" w:customStyle="1" w:styleId="CharCharChar1CharCharChar5">
    <w:name w:val="Char Char Char1 Char Char Char5"/>
    <w:basedOn w:val="a9"/>
    <w:qFormat/>
    <w:pPr>
      <w:spacing w:line="360" w:lineRule="auto"/>
      <w:ind w:firstLineChars="200" w:firstLine="200"/>
    </w:pPr>
    <w:rPr>
      <w:rFonts w:ascii="宋体" w:hAnsi="宋体" w:cs="宋体"/>
      <w:sz w:val="24"/>
    </w:rPr>
  </w:style>
  <w:style w:type="paragraph" w:customStyle="1" w:styleId="xl84">
    <w:name w:val="xl84"/>
    <w:basedOn w:val="a9"/>
    <w:qFormat/>
    <w:pPr>
      <w:widowControl/>
      <w:pBdr>
        <w:left w:val="single" w:sz="8" w:space="0" w:color="auto"/>
        <w:bottom w:val="single" w:sz="12"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2">
    <w:name w:val="1-表格表头"/>
    <w:basedOn w:val="a9"/>
    <w:qFormat/>
    <w:pPr>
      <w:spacing w:after="60" w:line="360" w:lineRule="auto"/>
      <w:jc w:val="center"/>
    </w:pPr>
    <w:rPr>
      <w:rFonts w:eastAsia="黑体"/>
      <w:b/>
      <w:sz w:val="24"/>
    </w:rPr>
  </w:style>
  <w:style w:type="paragraph" w:customStyle="1" w:styleId="D1">
    <w:name w:val="D"/>
    <w:basedOn w:val="4"/>
    <w:qFormat/>
    <w:pPr>
      <w:keepNext/>
      <w:keepLines/>
      <w:numPr>
        <w:ilvl w:val="0"/>
        <w:numId w:val="0"/>
      </w:numPr>
      <w:tabs>
        <w:tab w:val="left" w:pos="0"/>
        <w:tab w:val="left" w:pos="480"/>
        <w:tab w:val="left" w:pos="862"/>
        <w:tab w:val="left" w:pos="1567"/>
      </w:tabs>
      <w:spacing w:before="120" w:after="120"/>
    </w:pPr>
    <w:rPr>
      <w:rFonts w:ascii="Arial" w:hAnsi="Arial"/>
      <w:bCs/>
      <w:lang w:bidi="ne-NP"/>
    </w:rPr>
  </w:style>
  <w:style w:type="paragraph" w:customStyle="1" w:styleId="Char1f5">
    <w:name w:val="Char1"/>
    <w:basedOn w:val="a9"/>
  </w:style>
  <w:style w:type="paragraph" w:customStyle="1" w:styleId="z-1">
    <w:name w:val="z-窗体顶端1"/>
    <w:basedOn w:val="a9"/>
    <w:next w:val="a9"/>
    <w:qFormat/>
    <w:pPr>
      <w:widowControl/>
      <w:pBdr>
        <w:bottom w:val="single" w:sz="6" w:space="1" w:color="auto"/>
      </w:pBdr>
      <w:spacing w:line="360" w:lineRule="auto"/>
      <w:jc w:val="center"/>
    </w:pPr>
    <w:rPr>
      <w:rFonts w:ascii="Arial" w:hAnsi="Arial" w:cs="Arial"/>
      <w:vanish/>
      <w:sz w:val="16"/>
      <w:szCs w:val="16"/>
    </w:rPr>
  </w:style>
  <w:style w:type="paragraph" w:customStyle="1" w:styleId="05">
    <w:name w:val="样式 表格标题新 + 段前: 0.5 行"/>
    <w:basedOn w:val="affffffff8"/>
    <w:qFormat/>
    <w:pPr>
      <w:widowControl/>
      <w:adjustRightInd/>
      <w:spacing w:before="249"/>
    </w:pPr>
    <w:rPr>
      <w:rFonts w:hAnsi="宋体" w:cs="宋体"/>
      <w:bCs/>
      <w:spacing w:val="0"/>
    </w:rPr>
  </w:style>
  <w:style w:type="paragraph" w:customStyle="1" w:styleId="affffffffffffff5">
    <w:name w:val="表格样式（武华）"/>
    <w:basedOn w:val="afd"/>
    <w:qFormat/>
    <w:pPr>
      <w:adjustRightInd w:val="0"/>
      <w:snapToGrid w:val="0"/>
      <w:spacing w:line="340" w:lineRule="exact"/>
      <w:ind w:firstLineChars="0" w:firstLine="0"/>
      <w:jc w:val="center"/>
    </w:pPr>
    <w:rPr>
      <w:rFonts w:ascii="宋体" w:hAnsi="宋体"/>
      <w:kern w:val="20"/>
      <w:sz w:val="18"/>
      <w:szCs w:val="18"/>
    </w:rPr>
  </w:style>
  <w:style w:type="paragraph" w:customStyle="1" w:styleId="Char36">
    <w:name w:val="Char36"/>
    <w:basedOn w:val="2"/>
    <w:qFormat/>
    <w:pPr>
      <w:numPr>
        <w:numId w:val="0"/>
      </w:numPr>
      <w:tabs>
        <w:tab w:val="clear" w:pos="567"/>
        <w:tab w:val="left" w:pos="576"/>
      </w:tabs>
      <w:spacing w:beforeAutospacing="1" w:line="360" w:lineRule="auto"/>
      <w:ind w:left="576" w:firstLineChars="200" w:firstLine="200"/>
    </w:pPr>
    <w:rPr>
      <w:rFonts w:ascii="黑体"/>
      <w:sz w:val="28"/>
    </w:rPr>
  </w:style>
  <w:style w:type="paragraph" w:customStyle="1" w:styleId="CharCharCharChar5">
    <w:name w:val="Char Char Char Char5"/>
    <w:basedOn w:val="a9"/>
    <w:qFormat/>
    <w:pPr>
      <w:spacing w:line="360" w:lineRule="auto"/>
    </w:pPr>
  </w:style>
  <w:style w:type="paragraph" w:customStyle="1" w:styleId="10063">
    <w:name w:val="样式 表内文字 + 10 磅 首行缩进:  0.63 厘米"/>
    <w:basedOn w:val="aff1"/>
    <w:qFormat/>
    <w:pPr>
      <w:widowControl/>
      <w:adjustRightInd w:val="0"/>
      <w:snapToGrid w:val="0"/>
      <w:spacing w:line="320" w:lineRule="exact"/>
      <w:ind w:firstLine="360"/>
      <w:jc w:val="center"/>
    </w:pPr>
    <w:rPr>
      <w:rFonts w:ascii="Times New Roman" w:eastAsia="楷体_GB2312" w:hAnsi="Times New Roman"/>
    </w:rPr>
  </w:style>
  <w:style w:type="paragraph" w:customStyle="1" w:styleId="1ffff4">
    <w:name w:val="目录1"/>
    <w:basedOn w:val="a9"/>
    <w:next w:val="a9"/>
    <w:semiHidden/>
    <w:qFormat/>
    <w:pPr>
      <w:adjustRightInd w:val="0"/>
      <w:snapToGrid w:val="0"/>
      <w:spacing w:before="120" w:after="120" w:line="420" w:lineRule="atLeast"/>
    </w:pPr>
    <w:rPr>
      <w:b/>
      <w:sz w:val="24"/>
    </w:rPr>
  </w:style>
  <w:style w:type="paragraph" w:customStyle="1" w:styleId="reader-word-layerreader-word-s1-6">
    <w:name w:val="reader-word-layer reader-word-s1-6"/>
    <w:basedOn w:val="a9"/>
    <w:qFormat/>
    <w:pPr>
      <w:widowControl/>
      <w:spacing w:before="100" w:beforeAutospacing="1" w:after="100" w:afterAutospacing="1"/>
      <w:jc w:val="left"/>
    </w:pPr>
    <w:rPr>
      <w:rFonts w:ascii="宋体" w:hAnsi="宋体" w:cs="宋体"/>
      <w:sz w:val="24"/>
      <w:lang w:bidi="ne-NP"/>
    </w:rPr>
  </w:style>
  <w:style w:type="paragraph" w:customStyle="1" w:styleId="CharChar3CharCharCharCharCharCharChar">
    <w:name w:val="Char Char3 Char Char Char Char Char Char Char"/>
    <w:basedOn w:val="a9"/>
    <w:semiHidden/>
    <w:qFormat/>
    <w:pPr>
      <w:widowControl/>
      <w:spacing w:after="160" w:line="240" w:lineRule="exact"/>
      <w:jc w:val="left"/>
    </w:pPr>
    <w:rPr>
      <w:rFonts w:ascii="Verdana" w:hAnsi="Verdana"/>
      <w:lang w:eastAsia="en-US"/>
    </w:rPr>
  </w:style>
  <w:style w:type="paragraph" w:customStyle="1" w:styleId="3fb">
    <w:name w:val="正文文字 3"/>
    <w:basedOn w:val="a9"/>
    <w:semiHidden/>
    <w:qFormat/>
    <w:pPr>
      <w:widowControl/>
      <w:adjustRightInd w:val="0"/>
      <w:spacing w:line="280" w:lineRule="exact"/>
      <w:ind w:firstLineChars="200" w:firstLine="562"/>
      <w:jc w:val="center"/>
    </w:pPr>
    <w:rPr>
      <w:rFonts w:ascii="仿宋_GB2312" w:eastAsia="仿宋_GB2312" w:hAnsi="Arial Black" w:cs="仿宋_GB2312"/>
      <w:sz w:val="28"/>
      <w:szCs w:val="21"/>
      <w:lang w:bidi="ne-NP"/>
    </w:rPr>
  </w:style>
  <w:style w:type="paragraph" w:customStyle="1" w:styleId="xl130">
    <w:name w:val="xl13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宋体"/>
      <w:sz w:val="22"/>
      <w:szCs w:val="22"/>
      <w:lang w:bidi="ne-NP"/>
    </w:rPr>
  </w:style>
  <w:style w:type="paragraph" w:customStyle="1" w:styleId="2ff3">
    <w:name w:val="列出段落2"/>
    <w:basedOn w:val="a9"/>
    <w:qFormat/>
    <w:pPr>
      <w:widowControl/>
      <w:ind w:leftChars="200" w:left="480"/>
      <w:jc w:val="left"/>
    </w:pPr>
    <w:rPr>
      <w:rFonts w:ascii="Calibri" w:eastAsia="PMingLiU" w:hAnsi="Calibri" w:cs="宋体"/>
      <w:sz w:val="24"/>
      <w:szCs w:val="22"/>
      <w:lang w:eastAsia="zh-TW" w:bidi="ne-NP"/>
    </w:rPr>
  </w:style>
  <w:style w:type="paragraph" w:customStyle="1" w:styleId="xl73">
    <w:name w:val="xl7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style>
  <w:style w:type="paragraph" w:customStyle="1" w:styleId="3300">
    <w:name w:val="样式 标题 3 + 行距: 固定值 30 磅"/>
    <w:basedOn w:val="3"/>
    <w:qFormat/>
    <w:pPr>
      <w:keepNext/>
      <w:keepLines/>
      <w:numPr>
        <w:ilvl w:val="0"/>
        <w:numId w:val="0"/>
      </w:numPr>
      <w:tabs>
        <w:tab w:val="clear" w:pos="720"/>
        <w:tab w:val="left" w:pos="486"/>
        <w:tab w:val="left" w:pos="709"/>
        <w:tab w:val="left" w:pos="862"/>
        <w:tab w:val="left" w:pos="1567"/>
      </w:tabs>
      <w:snapToGrid/>
      <w:spacing w:beforeLines="50" w:afterLines="50" w:line="600" w:lineRule="exact"/>
      <w:ind w:left="567" w:hanging="709"/>
      <w:jc w:val="left"/>
    </w:pPr>
    <w:rPr>
      <w:rFonts w:ascii="华文中宋" w:eastAsia="华文中宋" w:hAnsi="宋体" w:cs="宋体"/>
      <w:b w:val="0"/>
      <w:bCs/>
      <w:sz w:val="28"/>
    </w:rPr>
  </w:style>
  <w:style w:type="paragraph" w:customStyle="1" w:styleId="2ff4">
    <w:name w:val="表格文字2"/>
    <w:basedOn w:val="a9"/>
    <w:qFormat/>
    <w:pPr>
      <w:tabs>
        <w:tab w:val="left" w:pos="277"/>
        <w:tab w:val="left" w:pos="600"/>
        <w:tab w:val="left" w:pos="780"/>
        <w:tab w:val="left" w:pos="2517"/>
      </w:tabs>
      <w:adjustRightInd w:val="0"/>
      <w:spacing w:before="60"/>
      <w:jc w:val="center"/>
      <w:textAlignment w:val="baseline"/>
    </w:pPr>
    <w:rPr>
      <w:szCs w:val="21"/>
    </w:rPr>
  </w:style>
  <w:style w:type="paragraph" w:customStyle="1" w:styleId="ST202">
    <w:name w:val="ST20_2"/>
    <w:basedOn w:val="a9"/>
    <w:qFormat/>
    <w:pPr>
      <w:widowControl/>
      <w:autoSpaceDE w:val="0"/>
      <w:autoSpaceDN w:val="0"/>
      <w:adjustRightInd w:val="0"/>
      <w:spacing w:line="360" w:lineRule="atLeast"/>
      <w:ind w:firstLineChars="200" w:firstLine="576"/>
      <w:jc w:val="left"/>
      <w:textAlignment w:val="baseline"/>
    </w:pPr>
    <w:rPr>
      <w:rFonts w:ascii="宋体" w:eastAsia="仿宋_GB2312" w:hAnsi="Tms Rmn" w:cs="宋体"/>
      <w:spacing w:val="4"/>
      <w:sz w:val="28"/>
      <w:lang w:bidi="ne-NP"/>
    </w:rPr>
  </w:style>
  <w:style w:type="paragraph" w:customStyle="1" w:styleId="67">
    <w:name w:val="样式6"/>
    <w:basedOn w:val="a9"/>
    <w:qFormat/>
    <w:pPr>
      <w:spacing w:line="400" w:lineRule="exact"/>
      <w:ind w:firstLineChars="200" w:firstLine="200"/>
    </w:pPr>
    <w:rPr>
      <w:spacing w:val="20"/>
      <w:sz w:val="24"/>
    </w:rPr>
  </w:style>
  <w:style w:type="paragraph" w:customStyle="1" w:styleId="124">
    <w:name w:val="引用12"/>
    <w:basedOn w:val="a9"/>
    <w:next w:val="a9"/>
    <w:qFormat/>
    <w:pPr>
      <w:widowControl/>
      <w:spacing w:line="480" w:lineRule="exact"/>
      <w:ind w:firstLineChars="200" w:firstLine="200"/>
    </w:pPr>
    <w:rPr>
      <w:rFonts w:eastAsia="黑体"/>
      <w:i/>
      <w:iCs/>
      <w:color w:val="000000"/>
    </w:rPr>
  </w:style>
  <w:style w:type="paragraph" w:customStyle="1" w:styleId="232">
    <w:name w:val="正文文本缩进 23"/>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nt">
    <w:name w:val="nt"/>
    <w:basedOn w:val="a9"/>
    <w:qFormat/>
    <w:pPr>
      <w:widowControl/>
      <w:spacing w:before="100" w:beforeAutospacing="1" w:after="100" w:afterAutospacing="1"/>
      <w:jc w:val="left"/>
    </w:pPr>
    <w:rPr>
      <w:rFonts w:ascii="宋体" w:hAnsi="宋体" w:cs="宋体"/>
      <w:sz w:val="24"/>
      <w:lang w:bidi="ne-NP"/>
    </w:rPr>
  </w:style>
  <w:style w:type="paragraph" w:customStyle="1" w:styleId="1CharChar2Char">
    <w:name w:val="正文1 Char Char2 Char"/>
    <w:basedOn w:val="a9"/>
    <w:qFormat/>
    <w:pPr>
      <w:widowControl/>
      <w:adjustRightInd w:val="0"/>
      <w:snapToGrid w:val="0"/>
      <w:spacing w:line="516" w:lineRule="exact"/>
      <w:ind w:firstLineChars="200" w:firstLine="200"/>
    </w:pPr>
    <w:rPr>
      <w:rFonts w:eastAsia="仿宋_GB2312" w:cs="宋体"/>
      <w:sz w:val="26"/>
      <w:szCs w:val="26"/>
      <w:lang w:bidi="ne-NP"/>
    </w:rPr>
  </w:style>
  <w:style w:type="paragraph" w:customStyle="1" w:styleId="03">
    <w:name w:val="标题03"/>
    <w:basedOn w:val="a9"/>
    <w:next w:val="a9"/>
    <w:semiHidden/>
    <w:qFormat/>
    <w:pPr>
      <w:spacing w:line="480" w:lineRule="atLeast"/>
      <w:ind w:firstLine="480"/>
    </w:pPr>
    <w:rPr>
      <w:b/>
      <w:sz w:val="24"/>
    </w:rPr>
  </w:style>
  <w:style w:type="paragraph" w:customStyle="1" w:styleId="GB23120">
    <w:name w:val="样式 仿宋_GB2312 小四 加粗"/>
    <w:qFormat/>
    <w:pPr>
      <w:spacing w:line="360" w:lineRule="auto"/>
      <w:ind w:firstLineChars="200" w:firstLine="482"/>
      <w:jc w:val="both"/>
    </w:pPr>
    <w:rPr>
      <w:rFonts w:ascii="仿宋_GB2312" w:eastAsia="仿宋_GB2312" w:cs="宋体"/>
      <w:b/>
      <w:bCs/>
      <w:kern w:val="2"/>
      <w:sz w:val="24"/>
    </w:rPr>
  </w:style>
  <w:style w:type="paragraph" w:customStyle="1" w:styleId="affffffffffffff6">
    <w:name w:val="鸿达公式"/>
    <w:basedOn w:val="a9"/>
    <w:qFormat/>
    <w:pPr>
      <w:spacing w:beforeLines="50" w:afterLines="50"/>
      <w:jc w:val="center"/>
    </w:pPr>
    <w:rPr>
      <w:sz w:val="24"/>
      <w:szCs w:val="28"/>
    </w:rPr>
  </w:style>
  <w:style w:type="paragraph" w:customStyle="1" w:styleId="116">
    <w:name w:val="1样式1"/>
    <w:basedOn w:val="1"/>
    <w:qFormat/>
    <w:pPr>
      <w:pageBreakBefore w:val="0"/>
      <w:numPr>
        <w:numId w:val="0"/>
      </w:numPr>
      <w:tabs>
        <w:tab w:val="left" w:pos="360"/>
      </w:tabs>
      <w:snapToGrid w:val="0"/>
      <w:spacing w:before="120" w:after="60" w:line="288" w:lineRule="auto"/>
      <w:ind w:left="1770" w:hanging="1770"/>
      <w:textAlignment w:val="baseline"/>
    </w:pPr>
  </w:style>
  <w:style w:type="paragraph" w:customStyle="1" w:styleId="xl555">
    <w:name w:val="xl555"/>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ST201">
    <w:name w:val="ST20_1"/>
    <w:basedOn w:val="a9"/>
    <w:qFormat/>
    <w:pPr>
      <w:autoSpaceDE w:val="0"/>
      <w:autoSpaceDN w:val="0"/>
      <w:adjustRightInd w:val="0"/>
      <w:spacing w:line="312" w:lineRule="atLeast"/>
      <w:jc w:val="center"/>
      <w:textAlignment w:val="baseline"/>
    </w:pPr>
    <w:rPr>
      <w:rFonts w:ascii="宋体" w:hAnsi="Tms Rmn"/>
      <w:sz w:val="24"/>
    </w:rPr>
  </w:style>
  <w:style w:type="paragraph" w:customStyle="1" w:styleId="-6">
    <w:name w:val="正文-报告书"/>
    <w:basedOn w:val="a9"/>
    <w:qFormat/>
    <w:pPr>
      <w:snapToGrid w:val="0"/>
      <w:spacing w:line="460" w:lineRule="exact"/>
      <w:ind w:firstLineChars="200" w:firstLine="480"/>
    </w:pPr>
    <w:rPr>
      <w:sz w:val="24"/>
    </w:rPr>
  </w:style>
  <w:style w:type="paragraph" w:customStyle="1" w:styleId="affffffffffffff7">
    <w:name w:val="标准"/>
    <w:basedOn w:val="a9"/>
    <w:qFormat/>
    <w:pPr>
      <w:widowControl/>
      <w:topLinePunct/>
      <w:adjustRightInd w:val="0"/>
      <w:spacing w:line="240" w:lineRule="atLeast"/>
      <w:textAlignment w:val="baseline"/>
    </w:pPr>
    <w:rPr>
      <w:rFonts w:ascii="仿宋_GB2312" w:eastAsia="仿宋_GB2312"/>
      <w:sz w:val="24"/>
    </w:rPr>
  </w:style>
  <w:style w:type="paragraph" w:customStyle="1" w:styleId="smjChar">
    <w:name w:val="smj Char"/>
    <w:basedOn w:val="a9"/>
    <w:qFormat/>
    <w:pPr>
      <w:spacing w:line="360" w:lineRule="auto"/>
    </w:pPr>
    <w:rPr>
      <w:rFonts w:eastAsia="黑体"/>
    </w:rPr>
  </w:style>
  <w:style w:type="paragraph" w:customStyle="1" w:styleId="affffffffffffff8">
    <w:name w:val="鸿达表加粗"/>
    <w:basedOn w:val="a9"/>
    <w:qFormat/>
    <w:pPr>
      <w:jc w:val="center"/>
    </w:pPr>
    <w:rPr>
      <w:rFonts w:cs="宋体"/>
      <w:b/>
      <w:color w:val="000000"/>
    </w:rPr>
  </w:style>
  <w:style w:type="paragraph" w:customStyle="1" w:styleId="xl118">
    <w:name w:val="xl118"/>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style>
  <w:style w:type="paragraph" w:customStyle="1" w:styleId="CM79">
    <w:name w:val="CM79"/>
    <w:basedOn w:val="a9"/>
    <w:next w:val="a9"/>
    <w:qFormat/>
    <w:pPr>
      <w:widowControl/>
      <w:autoSpaceDE w:val="0"/>
      <w:autoSpaceDN w:val="0"/>
      <w:adjustRightInd w:val="0"/>
      <w:spacing w:after="135"/>
      <w:jc w:val="left"/>
    </w:pPr>
    <w:rPr>
      <w:rFonts w:ascii="楷体_GB2312" w:eastAsia="楷体_GB2312" w:cs="宋体"/>
      <w:sz w:val="24"/>
      <w:lang w:eastAsia="zh-TW" w:bidi="ne-NP"/>
    </w:rPr>
  </w:style>
  <w:style w:type="paragraph" w:customStyle="1" w:styleId="xl544">
    <w:name w:val="xl544"/>
    <w:basedOn w:val="a9"/>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lang w:bidi="ne-NP"/>
    </w:rPr>
  </w:style>
  <w:style w:type="paragraph" w:customStyle="1" w:styleId="affffffffffffff9">
    <w:name w:val="表后文"/>
    <w:basedOn w:val="a9"/>
    <w:qFormat/>
    <w:pPr>
      <w:widowControl/>
      <w:adjustRightInd w:val="0"/>
      <w:spacing w:before="120" w:line="440" w:lineRule="exact"/>
      <w:ind w:firstLine="624"/>
    </w:pPr>
    <w:rPr>
      <w:rFonts w:cs="宋体"/>
      <w:snapToGrid w:val="0"/>
      <w:sz w:val="25"/>
      <w:lang w:bidi="ne-NP"/>
    </w:rPr>
  </w:style>
  <w:style w:type="paragraph" w:customStyle="1" w:styleId="CharCharChar6">
    <w:name w:val="Char Char Char6"/>
    <w:basedOn w:val="a9"/>
    <w:qFormat/>
    <w:rPr>
      <w:rFonts w:ascii="Tahoma" w:hAnsi="Tahoma"/>
      <w:sz w:val="24"/>
    </w:rPr>
  </w:style>
  <w:style w:type="paragraph" w:customStyle="1" w:styleId="xl64">
    <w:name w:val="xl6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harChar33">
    <w:name w:val="Char Char33"/>
    <w:basedOn w:val="a9"/>
    <w:semiHidden/>
    <w:qFormat/>
    <w:pPr>
      <w:widowControl/>
      <w:spacing w:afterLines="50" w:line="560" w:lineRule="exact"/>
    </w:pPr>
    <w:rPr>
      <w:rFonts w:eastAsia="黑体" w:cs="宋体"/>
      <w:sz w:val="30"/>
      <w:szCs w:val="30"/>
      <w:lang w:bidi="ne-NP"/>
    </w:rPr>
  </w:style>
  <w:style w:type="paragraph" w:customStyle="1" w:styleId="Char3CharCharCharCharCharChar2">
    <w:name w:val="Char3 Char Char Char Char Char Char2"/>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CharCharCharCharCharCharCharCharChar2">
    <w:name w:val="Char Char Char Char Char Char Char Char Char Char Char Char Char Char Char Char2"/>
    <w:basedOn w:val="a9"/>
    <w:qFormat/>
    <w:pPr>
      <w:widowControl/>
      <w:spacing w:line="360" w:lineRule="auto"/>
      <w:ind w:firstLineChars="200" w:firstLine="200"/>
    </w:pPr>
    <w:rPr>
      <w:rFonts w:cs="宋体"/>
      <w:sz w:val="24"/>
      <w:lang w:bidi="ne-NP"/>
    </w:rPr>
  </w:style>
  <w:style w:type="paragraph" w:customStyle="1" w:styleId="xl542">
    <w:name w:val="xl54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bidi="ne-NP"/>
    </w:rPr>
  </w:style>
  <w:style w:type="paragraph" w:customStyle="1" w:styleId="affffffffffffffa">
    <w:name w:val="－正文"/>
    <w:basedOn w:val="a9"/>
    <w:qFormat/>
    <w:pPr>
      <w:widowControl/>
      <w:spacing w:line="540" w:lineRule="atLeast"/>
      <w:ind w:firstLine="200"/>
      <w:jc w:val="left"/>
    </w:pPr>
    <w:rPr>
      <w:rFonts w:cs="宋体"/>
      <w:spacing w:val="8"/>
      <w:sz w:val="28"/>
      <w:lang w:bidi="ne-NP"/>
    </w:rPr>
  </w:style>
  <w:style w:type="paragraph" w:customStyle="1" w:styleId="affffffffffffffb">
    <w:name w:val="正文改动"/>
    <w:basedOn w:val="a9"/>
    <w:qFormat/>
    <w:pPr>
      <w:widowControl/>
    </w:pPr>
    <w:rPr>
      <w:rFonts w:cs="宋体"/>
      <w:color w:val="0000FF"/>
      <w:sz w:val="24"/>
      <w:lang w:bidi="ne-NP"/>
    </w:rPr>
  </w:style>
  <w:style w:type="paragraph" w:customStyle="1" w:styleId="1ffff5">
    <w:name w:val="批注框文本1"/>
    <w:basedOn w:val="a9"/>
    <w:semiHidden/>
    <w:qFormat/>
    <w:rPr>
      <w:rFonts w:ascii="Tahoma" w:hAnsi="Tahoma" w:cs="Tahoma"/>
      <w:sz w:val="16"/>
      <w:szCs w:val="16"/>
    </w:rPr>
  </w:style>
  <w:style w:type="paragraph" w:customStyle="1" w:styleId="CM100">
    <w:name w:val="CM100"/>
    <w:basedOn w:val="Default"/>
    <w:next w:val="Default"/>
    <w:qFormat/>
    <w:pPr>
      <w:spacing w:after="88" w:line="360" w:lineRule="auto"/>
      <w:jc w:val="both"/>
    </w:pPr>
    <w:rPr>
      <w:rFonts w:ascii="楷体_GB2312" w:eastAsia="楷体_GB2312" w:cs="Times New Roman"/>
      <w:color w:val="auto"/>
    </w:rPr>
  </w:style>
  <w:style w:type="paragraph" w:customStyle="1" w:styleId="affffffffffffffc">
    <w:name w:val="图头"/>
    <w:basedOn w:val="a9"/>
    <w:qFormat/>
    <w:pPr>
      <w:widowControl/>
      <w:spacing w:beforeLines="50" w:afterLines="50" w:line="520" w:lineRule="exact"/>
      <w:ind w:firstLineChars="200" w:firstLine="200"/>
    </w:pPr>
    <w:rPr>
      <w:rFonts w:ascii="黑体" w:eastAsia="黑体" w:cs="宋体"/>
      <w:b/>
      <w:bCs/>
      <w:sz w:val="24"/>
      <w:lang w:bidi="ne-NP"/>
    </w:rPr>
  </w:style>
  <w:style w:type="paragraph" w:customStyle="1" w:styleId="4848151">
    <w:name w:val="样式 (中文) 黑体 三号 加粗 段前: 48 磅 段后: 48 磅 底端: (单实线 自动设置  1.5 磅 行...1"/>
    <w:basedOn w:val="1"/>
    <w:qFormat/>
    <w:pPr>
      <w:pageBreakBefore w:val="0"/>
      <w:numPr>
        <w:numId w:val="0"/>
      </w:numPr>
      <w:pBdr>
        <w:bottom w:val="single" w:sz="12" w:space="1" w:color="auto"/>
      </w:pBdr>
      <w:spacing w:before="960" w:after="960" w:line="578" w:lineRule="auto"/>
    </w:pPr>
    <w:rPr>
      <w:rFonts w:eastAsia="黑体" w:cs="宋体"/>
      <w:b w:val="0"/>
    </w:rPr>
  </w:style>
  <w:style w:type="paragraph" w:customStyle="1" w:styleId="xl114">
    <w:name w:val="xl114"/>
    <w:basedOn w:val="a9"/>
    <w:qFormat/>
    <w:pPr>
      <w:widowControl/>
      <w:pBdr>
        <w:bottom w:val="single" w:sz="8" w:space="0" w:color="auto"/>
        <w:right w:val="single" w:sz="8" w:space="0" w:color="auto"/>
      </w:pBdr>
      <w:spacing w:before="100" w:beforeAutospacing="1" w:after="100" w:afterAutospacing="1" w:line="360" w:lineRule="auto"/>
      <w:textAlignment w:val="center"/>
    </w:pPr>
    <w:rPr>
      <w:rFonts w:ascii="宋体" w:hAnsi="宋体" w:cs="宋体"/>
    </w:rPr>
  </w:style>
  <w:style w:type="paragraph" w:customStyle="1" w:styleId="314">
    <w:name w:val="正文文本 31"/>
    <w:basedOn w:val="a9"/>
    <w:qFormat/>
    <w:pPr>
      <w:autoSpaceDE w:val="0"/>
      <w:autoSpaceDN w:val="0"/>
      <w:adjustRightInd w:val="0"/>
      <w:spacing w:line="312" w:lineRule="atLeast"/>
      <w:jc w:val="center"/>
      <w:textAlignment w:val="baseline"/>
    </w:pPr>
    <w:rPr>
      <w:rFonts w:ascii="楷体" w:eastAsia="楷体"/>
      <w:sz w:val="28"/>
    </w:rPr>
  </w:style>
  <w:style w:type="paragraph" w:customStyle="1" w:styleId="4f3">
    <w:name w:val="批注框文本4"/>
    <w:basedOn w:val="a9"/>
    <w:semiHidden/>
    <w:rPr>
      <w:rFonts w:ascii="Tahoma" w:hAnsi="Tahoma" w:cs="Tahoma"/>
      <w:sz w:val="16"/>
      <w:szCs w:val="16"/>
    </w:rPr>
  </w:style>
  <w:style w:type="paragraph" w:customStyle="1" w:styleId="411">
    <w:name w:val="小4仿宋居中行1"/>
    <w:qFormat/>
    <w:pPr>
      <w:widowControl w:val="0"/>
      <w:spacing w:after="60" w:line="360" w:lineRule="auto"/>
      <w:ind w:left="-573" w:right="-59" w:firstLine="494"/>
      <w:jc w:val="center"/>
    </w:pPr>
    <w:rPr>
      <w:rFonts w:eastAsia="仿宋_GB2312"/>
      <w:sz w:val="24"/>
    </w:rPr>
  </w:style>
  <w:style w:type="paragraph" w:customStyle="1" w:styleId="xl63">
    <w:name w:val="xl63"/>
    <w:basedOn w:val="a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宋体"/>
      <w:sz w:val="18"/>
      <w:szCs w:val="18"/>
      <w:lang w:bidi="ne-NP"/>
    </w:rPr>
  </w:style>
  <w:style w:type="paragraph" w:customStyle="1" w:styleId="3CharCharCharCharCharChar1Char">
    <w:name w:val="标题3 Char Char Char Char Char Char1 Char"/>
    <w:basedOn w:val="a9"/>
    <w:qFormat/>
    <w:pPr>
      <w:widowControl/>
      <w:spacing w:afterLines="50" w:line="560" w:lineRule="exact"/>
    </w:pPr>
    <w:rPr>
      <w:rFonts w:eastAsia="黑体" w:cs="宋体"/>
      <w:sz w:val="30"/>
      <w:szCs w:val="30"/>
      <w:lang w:bidi="ne-NP"/>
    </w:rPr>
  </w:style>
  <w:style w:type="paragraph" w:customStyle="1" w:styleId="affffffffffffffd">
    <w:name w:val="君邦报告表正文"/>
    <w:basedOn w:val="a9"/>
    <w:qFormat/>
    <w:pPr>
      <w:adjustRightInd w:val="0"/>
      <w:snapToGrid w:val="0"/>
      <w:spacing w:beforeLines="50" w:after="60" w:line="360" w:lineRule="auto"/>
      <w:ind w:firstLineChars="200" w:firstLine="480"/>
    </w:pPr>
    <w:rPr>
      <w:snapToGrid w:val="0"/>
      <w:color w:val="000000"/>
      <w:sz w:val="24"/>
    </w:rPr>
  </w:style>
  <w:style w:type="paragraph" w:customStyle="1" w:styleId="xl104">
    <w:name w:val="xl104"/>
    <w:basedOn w:val="a9"/>
    <w:qFormat/>
    <w:pPr>
      <w:widowControl/>
      <w:pBdr>
        <w:bottom w:val="single" w:sz="8" w:space="0" w:color="000000"/>
      </w:pBdr>
      <w:spacing w:before="100" w:beforeAutospacing="1" w:after="100" w:afterAutospacing="1" w:line="360" w:lineRule="auto"/>
      <w:jc w:val="center"/>
      <w:textAlignment w:val="center"/>
    </w:pPr>
    <w:rPr>
      <w:color w:val="000000"/>
      <w:sz w:val="18"/>
      <w:szCs w:val="18"/>
    </w:rPr>
  </w:style>
  <w:style w:type="paragraph" w:customStyle="1" w:styleId="CM11">
    <w:name w:val="CM11"/>
    <w:basedOn w:val="a9"/>
    <w:next w:val="a9"/>
    <w:qFormat/>
    <w:pPr>
      <w:autoSpaceDE w:val="0"/>
      <w:autoSpaceDN w:val="0"/>
      <w:adjustRightInd w:val="0"/>
      <w:spacing w:line="480" w:lineRule="atLeast"/>
      <w:jc w:val="left"/>
    </w:pPr>
    <w:rPr>
      <w:rFonts w:ascii="黑体" w:eastAsia="黑体"/>
      <w:sz w:val="24"/>
    </w:rPr>
  </w:style>
  <w:style w:type="paragraph" w:customStyle="1" w:styleId="xl37">
    <w:name w:val="xl37"/>
    <w:basedOn w:val="a9"/>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affffffffffffffe">
    <w:name w:val="表中文字"/>
    <w:basedOn w:val="a9"/>
    <w:link w:val="Char1f6"/>
    <w:qFormat/>
    <w:pPr>
      <w:widowControl/>
      <w:adjustRightInd w:val="0"/>
      <w:ind w:leftChars="2" w:left="4"/>
      <w:jc w:val="center"/>
      <w:textAlignment w:val="baseline"/>
    </w:pPr>
    <w:rPr>
      <w:rFonts w:cs="宋体"/>
      <w:sz w:val="24"/>
      <w:lang w:bidi="ne-NP"/>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9"/>
    <w:qFormat/>
    <w:pPr>
      <w:spacing w:line="360" w:lineRule="auto"/>
      <w:ind w:firstLineChars="200" w:firstLine="200"/>
    </w:pPr>
    <w:rPr>
      <w:rFonts w:ascii="宋体" w:hAnsi="宋体" w:cs="宋体"/>
      <w:sz w:val="24"/>
    </w:rPr>
  </w:style>
  <w:style w:type="paragraph" w:customStyle="1" w:styleId="xl592">
    <w:name w:val="xl592"/>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cs="宋体"/>
      <w:color w:val="000000"/>
      <w:sz w:val="18"/>
      <w:szCs w:val="18"/>
      <w:lang w:bidi="ne-NP"/>
    </w:rPr>
  </w:style>
  <w:style w:type="paragraph" w:customStyle="1" w:styleId="wenzi">
    <w:name w:val="wenzi"/>
    <w:basedOn w:val="a9"/>
    <w:qFormat/>
    <w:pPr>
      <w:widowControl/>
      <w:topLinePunct/>
      <w:spacing w:before="100" w:beforeAutospacing="1" w:after="100" w:afterAutospacing="1" w:line="360" w:lineRule="auto"/>
      <w:jc w:val="left"/>
    </w:pPr>
    <w:rPr>
      <w:rFonts w:ascii="宋体" w:hAnsi="宋体"/>
      <w:color w:val="000000"/>
      <w:sz w:val="18"/>
      <w:szCs w:val="18"/>
    </w:rPr>
  </w:style>
  <w:style w:type="paragraph" w:customStyle="1" w:styleId="a0">
    <w:name w:val="表前文"/>
    <w:basedOn w:val="a9"/>
    <w:qFormat/>
    <w:pPr>
      <w:widowControl/>
      <w:numPr>
        <w:numId w:val="7"/>
      </w:numPr>
      <w:tabs>
        <w:tab w:val="clear" w:pos="720"/>
      </w:tabs>
      <w:adjustRightInd w:val="0"/>
      <w:spacing w:after="120" w:line="312" w:lineRule="atLeast"/>
      <w:textAlignment w:val="baseline"/>
    </w:pPr>
    <w:rPr>
      <w:rFonts w:cs="宋体"/>
      <w:sz w:val="24"/>
      <w:lang w:bidi="ne-NP"/>
    </w:rPr>
  </w:style>
  <w:style w:type="paragraph" w:customStyle="1" w:styleId="xl537">
    <w:name w:val="xl537"/>
    <w:basedOn w:val="a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lang w:bidi="ne-NP"/>
    </w:rPr>
  </w:style>
  <w:style w:type="paragraph" w:customStyle="1" w:styleId="Char3CharCharChar7">
    <w:name w:val="Char3 Char Char Char7"/>
    <w:basedOn w:val="a9"/>
    <w:qFormat/>
    <w:pPr>
      <w:widowControl/>
      <w:spacing w:line="360" w:lineRule="auto"/>
      <w:ind w:firstLineChars="200" w:firstLine="200"/>
    </w:pPr>
    <w:rPr>
      <w:rFonts w:ascii="宋体" w:hAnsi="宋体" w:cs="宋体"/>
      <w:sz w:val="24"/>
      <w:lang w:bidi="ne-NP"/>
    </w:rPr>
  </w:style>
  <w:style w:type="paragraph" w:customStyle="1" w:styleId="CharChar1Char2CharCharChar1">
    <w:name w:val="Char Char1 Char2 Char Char Char1"/>
    <w:basedOn w:val="a9"/>
    <w:qFormat/>
    <w:pPr>
      <w:spacing w:line="360" w:lineRule="auto"/>
      <w:ind w:firstLineChars="200" w:firstLine="200"/>
    </w:pPr>
    <w:rPr>
      <w:rFonts w:ascii="宋体" w:hAnsi="宋体" w:cs="宋体"/>
      <w:sz w:val="24"/>
    </w:rPr>
  </w:style>
  <w:style w:type="paragraph" w:customStyle="1" w:styleId="xl46">
    <w:name w:val="xl46"/>
    <w:basedOn w:val="a9"/>
    <w:qFormat/>
    <w:pPr>
      <w:widowControl/>
      <w:pBdr>
        <w:lef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CharCharCharCharCharCharCharCharCharChar3">
    <w:name w:val="Char Char Char Char Char Char Char Char Char Char3"/>
    <w:basedOn w:val="a9"/>
    <w:qFormat/>
    <w:pPr>
      <w:widowControl/>
    </w:pPr>
    <w:rPr>
      <w:rFonts w:cs="宋体"/>
      <w:sz w:val="24"/>
      <w:lang w:bidi="ne-NP"/>
    </w:rPr>
  </w:style>
  <w:style w:type="paragraph" w:customStyle="1" w:styleId="xl549">
    <w:name w:val="xl54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tdbgmainall">
    <w:name w:val="tdbg_mainall"/>
    <w:basedOn w:val="a9"/>
    <w:qFormat/>
    <w:pPr>
      <w:widowControl/>
      <w:spacing w:before="100" w:beforeAutospacing="1" w:after="100" w:afterAutospacing="1"/>
      <w:jc w:val="left"/>
    </w:pPr>
    <w:rPr>
      <w:rFonts w:ascii="Arial Unicode MS" w:eastAsia="Arial Unicode MS" w:hAnsi="Arial Unicode MS" w:cs="Arial Unicode MS"/>
      <w:sz w:val="24"/>
    </w:rPr>
  </w:style>
  <w:style w:type="paragraph" w:customStyle="1" w:styleId="xl585">
    <w:name w:val="xl585"/>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afffffffffffffff">
    <w:name w:val="正文内容"/>
    <w:basedOn w:val="a9"/>
    <w:semiHidden/>
    <w:qFormat/>
    <w:pPr>
      <w:widowControl/>
      <w:adjustRightInd w:val="0"/>
      <w:snapToGrid w:val="0"/>
      <w:spacing w:line="360" w:lineRule="auto"/>
      <w:ind w:firstLineChars="200" w:firstLine="510"/>
      <w:jc w:val="left"/>
    </w:pPr>
    <w:rPr>
      <w:rFonts w:ascii="宋体" w:eastAsia="仿宋_GB2312" w:hAnsi="宋体" w:cs="宋体"/>
      <w:snapToGrid w:val="0"/>
      <w:spacing w:val="4"/>
      <w:sz w:val="24"/>
      <w:lang w:bidi="ne-NP"/>
    </w:rPr>
  </w:style>
  <w:style w:type="paragraph" w:customStyle="1" w:styleId="3fc">
    <w:name w:val="君邦标题3"/>
    <w:basedOn w:val="a9"/>
    <w:semiHidden/>
    <w:qFormat/>
  </w:style>
  <w:style w:type="paragraph" w:customStyle="1" w:styleId="reader-word-layerreader-word-s1-1">
    <w:name w:val="reader-word-layer reader-word-s1-1"/>
    <w:basedOn w:val="a9"/>
    <w:qFormat/>
    <w:pPr>
      <w:widowControl/>
      <w:spacing w:before="100" w:beforeAutospacing="1" w:after="100" w:afterAutospacing="1"/>
      <w:jc w:val="left"/>
    </w:pPr>
    <w:rPr>
      <w:rFonts w:ascii="宋体" w:hAnsi="宋体" w:cs="宋体"/>
      <w:sz w:val="24"/>
      <w:lang w:bidi="ne-NP"/>
    </w:rPr>
  </w:style>
  <w:style w:type="paragraph" w:customStyle="1" w:styleId="2TimesNewRoman0026">
    <w:name w:val="样式 标题 2 + Times New Roman 非加粗 段前: 0 磅 段后: 0 磅 行距: 固定值 26 磅"/>
    <w:basedOn w:val="2"/>
    <w:semiHidden/>
    <w:qFormat/>
    <w:pPr>
      <w:keepNext/>
      <w:numPr>
        <w:ilvl w:val="0"/>
        <w:numId w:val="0"/>
      </w:numPr>
      <w:pBdr>
        <w:bottom w:val="none" w:sz="0" w:space="0" w:color="auto"/>
      </w:pBdr>
      <w:spacing w:before="0" w:after="0" w:line="520" w:lineRule="exact"/>
    </w:pPr>
    <w:rPr>
      <w:rFonts w:eastAsia="仿宋_GB2312"/>
      <w:sz w:val="30"/>
    </w:rPr>
  </w:style>
  <w:style w:type="paragraph" w:customStyle="1" w:styleId="C">
    <w:name w:val="C"/>
    <w:basedOn w:val="3"/>
    <w:qFormat/>
    <w:pPr>
      <w:keepNext/>
      <w:keepLines/>
      <w:widowControl/>
      <w:numPr>
        <w:ilvl w:val="0"/>
        <w:numId w:val="0"/>
      </w:numPr>
      <w:tabs>
        <w:tab w:val="left" w:pos="0"/>
        <w:tab w:val="left" w:pos="862"/>
        <w:tab w:val="left" w:pos="1567"/>
        <w:tab w:val="left" w:pos="3752"/>
      </w:tabs>
      <w:snapToGrid/>
      <w:spacing w:before="120" w:after="120"/>
    </w:pPr>
    <w:rPr>
      <w:rFonts w:ascii="Arial" w:hAnsi="Arial" w:cs="宋体"/>
      <w:bCs/>
      <w:color w:val="000000"/>
      <w:sz w:val="28"/>
      <w:szCs w:val="28"/>
      <w:lang w:bidi="ne-NP"/>
    </w:rPr>
  </w:style>
  <w:style w:type="paragraph" w:customStyle="1" w:styleId="Char3CharCharChar4">
    <w:name w:val="Char3 Char Char Char4"/>
    <w:basedOn w:val="a9"/>
    <w:qFormat/>
    <w:pPr>
      <w:spacing w:line="360" w:lineRule="auto"/>
      <w:ind w:firstLineChars="200" w:firstLine="200"/>
    </w:pPr>
    <w:rPr>
      <w:rFonts w:ascii="宋体" w:hAnsi="宋体" w:cs="宋体"/>
      <w:sz w:val="24"/>
    </w:rPr>
  </w:style>
  <w:style w:type="paragraph" w:customStyle="1" w:styleId="l18">
    <w:name w:val="l18"/>
    <w:basedOn w:val="a9"/>
    <w:qFormat/>
    <w:pPr>
      <w:widowControl/>
      <w:spacing w:before="30" w:after="100" w:afterAutospacing="1" w:line="270" w:lineRule="atLeast"/>
      <w:ind w:left="90"/>
      <w:jc w:val="left"/>
    </w:pPr>
    <w:rPr>
      <w:rFonts w:ascii="宋体" w:hAnsi="宋体"/>
      <w:color w:val="000000"/>
      <w:sz w:val="18"/>
      <w:szCs w:val="18"/>
    </w:rPr>
  </w:style>
  <w:style w:type="paragraph" w:customStyle="1" w:styleId="CharChar1Char2CharCharChar">
    <w:name w:val="Char Char1 Char2 Char Char Char"/>
    <w:basedOn w:val="a9"/>
    <w:qFormat/>
    <w:pPr>
      <w:spacing w:line="360" w:lineRule="auto"/>
      <w:ind w:firstLineChars="200" w:firstLine="200"/>
    </w:pPr>
    <w:rPr>
      <w:rFonts w:ascii="宋体" w:hAnsi="宋体" w:cs="宋体"/>
      <w:sz w:val="24"/>
    </w:rPr>
  </w:style>
  <w:style w:type="paragraph" w:customStyle="1" w:styleId="1ffff6">
    <w:name w:val="样式 内容样式1 + 红色"/>
    <w:basedOn w:val="1fff9"/>
    <w:qFormat/>
    <w:pPr>
      <w:adjustRightInd/>
      <w:snapToGrid/>
      <w:spacing w:line="240" w:lineRule="auto"/>
    </w:pPr>
    <w:rPr>
      <w:color w:val="FF0000"/>
    </w:rPr>
  </w:style>
  <w:style w:type="paragraph" w:customStyle="1" w:styleId="CharChar32">
    <w:name w:val="Char Char32"/>
    <w:basedOn w:val="a9"/>
    <w:semiHidden/>
    <w:qFormat/>
    <w:pPr>
      <w:widowControl/>
      <w:spacing w:afterLines="50" w:line="560" w:lineRule="exact"/>
    </w:pPr>
    <w:rPr>
      <w:rFonts w:eastAsia="黑体" w:cs="宋体"/>
      <w:sz w:val="30"/>
      <w:szCs w:val="30"/>
      <w:lang w:bidi="ne-NP"/>
    </w:rPr>
  </w:style>
  <w:style w:type="paragraph" w:customStyle="1" w:styleId="223">
    <w:name w:val="样式 样式 宋体 小三 首行缩进:  2 字符 + 首行缩进:  2 字符"/>
    <w:basedOn w:val="a9"/>
    <w:semiHidden/>
    <w:qFormat/>
    <w:pPr>
      <w:spacing w:line="360" w:lineRule="auto"/>
      <w:ind w:firstLineChars="200" w:firstLine="200"/>
    </w:pPr>
    <w:rPr>
      <w:rFonts w:ascii="宋体" w:hAnsi="宋体" w:hint="eastAsia"/>
      <w:sz w:val="28"/>
    </w:rPr>
  </w:style>
  <w:style w:type="paragraph" w:customStyle="1" w:styleId="Numro-8pts">
    <w:name w:val="Numéro-8pts"/>
    <w:basedOn w:val="a9"/>
    <w:qFormat/>
    <w:pPr>
      <w:keepLines/>
      <w:widowControl/>
      <w:tabs>
        <w:tab w:val="left" w:pos="0"/>
      </w:tabs>
      <w:spacing w:before="160"/>
      <w:ind w:left="1418" w:hanging="284"/>
    </w:pPr>
    <w:rPr>
      <w:rFonts w:ascii="Arial" w:hAnsi="Arial" w:cs="宋体"/>
      <w:spacing w:val="-2"/>
      <w:lang w:eastAsia="fr-FR" w:bidi="ne-NP"/>
    </w:rPr>
  </w:style>
  <w:style w:type="paragraph" w:customStyle="1" w:styleId="CharChar2Char1">
    <w:name w:val="Char Char2 Char1"/>
    <w:basedOn w:val="a9"/>
    <w:qFormat/>
    <w:pPr>
      <w:spacing w:line="360" w:lineRule="auto"/>
      <w:ind w:firstLineChars="200" w:firstLine="200"/>
    </w:pPr>
    <w:rPr>
      <w:rFonts w:ascii="宋体" w:hAnsi="宋体" w:cs="宋体"/>
      <w:sz w:val="24"/>
    </w:rPr>
  </w:style>
  <w:style w:type="paragraph" w:customStyle="1" w:styleId="Normal1">
    <w:name w:val="Normal1"/>
    <w:qFormat/>
    <w:pPr>
      <w:widowControl w:val="0"/>
      <w:adjustRightInd w:val="0"/>
      <w:spacing w:after="60" w:line="312" w:lineRule="atLeast"/>
      <w:jc w:val="both"/>
      <w:textAlignment w:val="baseline"/>
    </w:pPr>
    <w:rPr>
      <w:rFonts w:ascii="宋体"/>
      <w:sz w:val="34"/>
    </w:rPr>
  </w:style>
  <w:style w:type="paragraph" w:customStyle="1" w:styleId="afffffffffffffff0">
    <w:name w:val="正文居中"/>
    <w:basedOn w:val="a9"/>
    <w:next w:val="a9"/>
    <w:qFormat/>
    <w:pPr>
      <w:widowControl/>
      <w:snapToGrid w:val="0"/>
      <w:spacing w:line="360" w:lineRule="auto"/>
      <w:jc w:val="center"/>
    </w:pPr>
    <w:rPr>
      <w:rFonts w:ascii="宋体" w:hAnsi="宋体"/>
      <w:spacing w:val="8"/>
      <w:kern w:val="21"/>
      <w:sz w:val="24"/>
    </w:rPr>
  </w:style>
  <w:style w:type="paragraph" w:customStyle="1" w:styleId="3Sottoparagrafo3CharTimesNewRoman">
    <w:name w:val="样式 标题 3Sottoparagrafo标题 3 Char + Times New Roman"/>
    <w:basedOn w:val="3"/>
    <w:qFormat/>
    <w:pPr>
      <w:keepNext/>
      <w:keepLines/>
      <w:widowControl/>
      <w:numPr>
        <w:ilvl w:val="0"/>
        <w:numId w:val="0"/>
      </w:numPr>
      <w:tabs>
        <w:tab w:val="left" w:pos="0"/>
        <w:tab w:val="left" w:pos="862"/>
        <w:tab w:val="left" w:pos="1567"/>
      </w:tabs>
      <w:snapToGrid/>
      <w:spacing w:beforeLines="50" w:after="60"/>
    </w:pPr>
    <w:rPr>
      <w:rFonts w:cs="宋体"/>
      <w:b w:val="0"/>
      <w:sz w:val="28"/>
      <w:lang w:bidi="ne-NP"/>
    </w:rPr>
  </w:style>
  <w:style w:type="paragraph" w:customStyle="1" w:styleId="22CharChar0305">
    <w:name w:val="样式 样式 标题 2标题 2 Char Char + 段前: 0.3 行 + 段前: 0.5 行"/>
    <w:basedOn w:val="22CharChar03"/>
    <w:qFormat/>
    <w:pPr>
      <w:spacing w:before="156"/>
    </w:pPr>
  </w:style>
  <w:style w:type="paragraph" w:customStyle="1" w:styleId="22CharChar03">
    <w:name w:val="样式 标题 2标题 2 Char Char + 段前: 0.3 行"/>
    <w:basedOn w:val="2"/>
    <w:qFormat/>
    <w:pPr>
      <w:keepLines w:val="0"/>
      <w:widowControl/>
      <w:numPr>
        <w:ilvl w:val="0"/>
        <w:numId w:val="0"/>
      </w:numPr>
      <w:pBdr>
        <w:bottom w:val="none" w:sz="0" w:space="0" w:color="auto"/>
      </w:pBdr>
      <w:tabs>
        <w:tab w:val="left" w:pos="1425"/>
      </w:tabs>
      <w:adjustRightInd w:val="0"/>
      <w:snapToGrid w:val="0"/>
      <w:spacing w:beforeLines="50" w:before="1200" w:after="0" w:line="360" w:lineRule="auto"/>
      <w:ind w:left="1425" w:hanging="1005"/>
    </w:pPr>
    <w:rPr>
      <w:rFonts w:ascii="黑体" w:hAnsi="Arial" w:cs="宋体"/>
      <w:b w:val="0"/>
      <w:sz w:val="28"/>
      <w:szCs w:val="28"/>
    </w:rPr>
  </w:style>
  <w:style w:type="paragraph" w:customStyle="1" w:styleId="1ffff7">
    <w:name w:val="表头1"/>
    <w:basedOn w:val="a9"/>
    <w:qFormat/>
    <w:pPr>
      <w:widowControl/>
      <w:tabs>
        <w:tab w:val="left" w:pos="540"/>
        <w:tab w:val="left" w:pos="2880"/>
      </w:tabs>
      <w:spacing w:beforeLines="50" w:line="480" w:lineRule="exact"/>
      <w:ind w:left="2880" w:hanging="360"/>
      <w:jc w:val="center"/>
    </w:pPr>
    <w:rPr>
      <w:rFonts w:ascii="黑体" w:eastAsia="黑体" w:hAnsi="华文细黑" w:cs="宋体"/>
      <w:b/>
      <w:color w:val="000000"/>
      <w:kern w:val="24"/>
      <w:sz w:val="24"/>
      <w:lang w:bidi="ne-NP"/>
    </w:rPr>
  </w:style>
  <w:style w:type="paragraph" w:customStyle="1" w:styleId="xl107">
    <w:name w:val="xl107"/>
    <w:basedOn w:val="a9"/>
    <w:qFormat/>
    <w:pPr>
      <w:widowControl/>
      <w:pBdr>
        <w:bottom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ffff8">
    <w:name w:val="1表格"/>
    <w:basedOn w:val="a9"/>
    <w:qFormat/>
    <w:pPr>
      <w:spacing w:line="160" w:lineRule="atLeast"/>
      <w:jc w:val="center"/>
    </w:pPr>
    <w:rPr>
      <w:rFonts w:eastAsia="仿宋_GB2312"/>
    </w:rPr>
  </w:style>
  <w:style w:type="paragraph" w:customStyle="1" w:styleId="xl593">
    <w:name w:val="xl593"/>
    <w:basedOn w:val="a9"/>
    <w:qFormat/>
    <w:pPr>
      <w:widowControl/>
      <w:spacing w:before="100" w:beforeAutospacing="1" w:after="100" w:afterAutospacing="1"/>
      <w:jc w:val="left"/>
    </w:pPr>
    <w:rPr>
      <w:rFonts w:ascii="Verdana" w:hAnsi="Verdana" w:cs="宋体"/>
      <w:color w:val="333333"/>
      <w:sz w:val="18"/>
      <w:szCs w:val="18"/>
      <w:lang w:bidi="ne-NP"/>
    </w:rPr>
  </w:style>
  <w:style w:type="paragraph" w:customStyle="1" w:styleId="xl588">
    <w:name w:val="xl588"/>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sz w:val="18"/>
      <w:szCs w:val="18"/>
      <w:lang w:bidi="ne-NP"/>
    </w:rPr>
  </w:style>
  <w:style w:type="paragraph" w:customStyle="1" w:styleId="MTDisplayEquation">
    <w:name w:val="MTDisplayEquation"/>
    <w:basedOn w:val="a9"/>
    <w:next w:val="a9"/>
    <w:qFormat/>
    <w:pPr>
      <w:tabs>
        <w:tab w:val="center" w:pos="4160"/>
        <w:tab w:val="right" w:pos="8320"/>
      </w:tabs>
      <w:spacing w:line="360" w:lineRule="auto"/>
      <w:ind w:firstLineChars="200" w:firstLine="480"/>
    </w:pPr>
    <w:rPr>
      <w:sz w:val="24"/>
    </w:rPr>
  </w:style>
  <w:style w:type="paragraph" w:customStyle="1" w:styleId="315">
    <w:name w:val="批注框文本31"/>
    <w:basedOn w:val="a9"/>
    <w:semiHidden/>
    <w:qFormat/>
    <w:pPr>
      <w:widowControl/>
    </w:pPr>
    <w:rPr>
      <w:rFonts w:ascii="Tahoma" w:hAnsi="Tahoma" w:cs="Tahoma"/>
      <w:sz w:val="16"/>
      <w:szCs w:val="16"/>
      <w:lang w:bidi="ne-NP"/>
    </w:rPr>
  </w:style>
  <w:style w:type="paragraph" w:customStyle="1" w:styleId="1ffff9">
    <w:name w:val="环科院标题1"/>
    <w:basedOn w:val="1"/>
    <w:qFormat/>
    <w:pPr>
      <w:pageBreakBefore w:val="0"/>
      <w:numPr>
        <w:numId w:val="0"/>
      </w:numPr>
      <w:tabs>
        <w:tab w:val="clear" w:pos="432"/>
        <w:tab w:val="left" w:pos="425"/>
        <w:tab w:val="left" w:pos="1080"/>
      </w:tabs>
      <w:spacing w:after="120" w:line="240" w:lineRule="auto"/>
      <w:ind w:left="425" w:hanging="425"/>
    </w:pPr>
    <w:rPr>
      <w:rFonts w:eastAsia="华文中宋"/>
      <w:bCs/>
      <w:sz w:val="44"/>
      <w:szCs w:val="44"/>
    </w:rPr>
  </w:style>
  <w:style w:type="paragraph" w:customStyle="1" w:styleId="z-10">
    <w:name w:val="z-窗体底端1"/>
    <w:basedOn w:val="a9"/>
    <w:next w:val="a9"/>
    <w:qFormat/>
    <w:pPr>
      <w:widowControl/>
      <w:pBdr>
        <w:top w:val="single" w:sz="6" w:space="1" w:color="auto"/>
      </w:pBdr>
      <w:spacing w:line="360" w:lineRule="auto"/>
      <w:jc w:val="center"/>
    </w:pPr>
    <w:rPr>
      <w:rFonts w:ascii="Arial" w:hAnsi="Arial" w:cs="Arial"/>
      <w:vanish/>
      <w:sz w:val="16"/>
      <w:szCs w:val="16"/>
    </w:rPr>
  </w:style>
  <w:style w:type="paragraph" w:customStyle="1" w:styleId="224">
    <w:name w:val="样式 首行缩进:  2 字符2"/>
    <w:basedOn w:val="a9"/>
    <w:qFormat/>
    <w:pPr>
      <w:widowControl/>
      <w:spacing w:line="480" w:lineRule="exact"/>
      <w:ind w:firstLineChars="200" w:firstLine="200"/>
    </w:pPr>
    <w:rPr>
      <w:rFonts w:eastAsia="楷体_GB2312" w:cs="宋体"/>
      <w:sz w:val="24"/>
      <w:lang w:bidi="ne-NP"/>
    </w:rPr>
  </w:style>
  <w:style w:type="paragraph" w:customStyle="1" w:styleId="050">
    <w:name w:val="样式 表名 + 段前: 0.5 行"/>
    <w:basedOn w:val="a9"/>
    <w:qFormat/>
    <w:pPr>
      <w:widowControl/>
      <w:spacing w:before="156" w:afterLines="30" w:line="360" w:lineRule="exact"/>
      <w:jc w:val="center"/>
    </w:pPr>
    <w:rPr>
      <w:rFonts w:eastAsia="黑体" w:cs="宋体"/>
      <w:sz w:val="24"/>
      <w:lang w:bidi="ne-NP"/>
    </w:rPr>
  </w:style>
  <w:style w:type="paragraph" w:customStyle="1" w:styleId="afffffffffffffff1">
    <w:name w:val="封面"/>
    <w:basedOn w:val="a9"/>
    <w:next w:val="afd"/>
    <w:qFormat/>
    <w:pPr>
      <w:widowControl/>
      <w:suppressLineNumbers/>
      <w:suppressAutoHyphens/>
      <w:topLinePunct/>
      <w:adjustRightInd w:val="0"/>
      <w:snapToGrid w:val="0"/>
      <w:spacing w:line="360" w:lineRule="auto"/>
      <w:ind w:firstLineChars="200" w:firstLine="480"/>
      <w:jc w:val="center"/>
    </w:pPr>
    <w:rPr>
      <w:rFonts w:ascii="宋体" w:cs="宋体"/>
      <w:b/>
      <w:color w:val="000000"/>
      <w:sz w:val="32"/>
      <w:lang w:bidi="ne-NP"/>
    </w:rPr>
  </w:style>
  <w:style w:type="paragraph" w:customStyle="1" w:styleId="afffffffffffffff2">
    <w:name w:val="价格变化趋"/>
    <w:basedOn w:val="a9"/>
    <w:qFormat/>
    <w:pPr>
      <w:widowControl/>
      <w:adjustRightInd w:val="0"/>
      <w:spacing w:line="315" w:lineRule="atLeast"/>
      <w:jc w:val="left"/>
      <w:textAlignment w:val="baseline"/>
    </w:pPr>
    <w:rPr>
      <w:rFonts w:ascii="宋体" w:cs="宋体"/>
      <w:sz w:val="24"/>
      <w:lang w:bidi="ne-NP"/>
    </w:rPr>
  </w:style>
  <w:style w:type="paragraph" w:customStyle="1" w:styleId="CharChar2Char2">
    <w:name w:val="Char Char2 Char2"/>
    <w:basedOn w:val="a9"/>
    <w:qFormat/>
    <w:pPr>
      <w:widowControl/>
      <w:spacing w:line="360" w:lineRule="auto"/>
      <w:ind w:firstLineChars="200" w:firstLine="200"/>
    </w:pPr>
    <w:rPr>
      <w:rFonts w:ascii="宋体" w:hAnsi="宋体" w:cs="宋体"/>
      <w:sz w:val="24"/>
      <w:lang w:bidi="ne-NP"/>
    </w:rPr>
  </w:style>
  <w:style w:type="paragraph" w:customStyle="1" w:styleId="CharChar1CharCharCharCharCharCharCharCharCharChar1">
    <w:name w:val="Char Char1 Char Char Char Char Char Char Char Char Char Char1"/>
    <w:basedOn w:val="a9"/>
    <w:qFormat/>
    <w:pPr>
      <w:spacing w:line="360" w:lineRule="auto"/>
      <w:ind w:firstLineChars="200" w:firstLine="200"/>
    </w:pPr>
    <w:rPr>
      <w:rFonts w:ascii="宋体" w:hAnsi="宋体" w:cs="宋体"/>
      <w:sz w:val="24"/>
    </w:rPr>
  </w:style>
  <w:style w:type="paragraph" w:customStyle="1" w:styleId="41111111Heading4Subsection4dashddas">
    <w:name w:val="样式 标题 4款标题1.1.1段款标题1.1.1.1四Heading4Subsection4 dashddas..."/>
    <w:basedOn w:val="4"/>
    <w:qFormat/>
    <w:pPr>
      <w:keepNext/>
      <w:keepLines/>
      <w:numPr>
        <w:ilvl w:val="0"/>
        <w:numId w:val="0"/>
      </w:numPr>
      <w:tabs>
        <w:tab w:val="left" w:pos="862"/>
        <w:tab w:val="left" w:pos="1567"/>
      </w:tabs>
      <w:spacing w:after="0"/>
      <w:ind w:left="720" w:hanging="720"/>
    </w:pPr>
    <w:rPr>
      <w:rFonts w:hAnsi="宋体" w:cs="宋体"/>
      <w:bCs/>
      <w:kern w:val="2"/>
    </w:rPr>
  </w:style>
  <w:style w:type="paragraph" w:customStyle="1" w:styleId="xl126">
    <w:name w:val="xl126"/>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color w:val="000000"/>
    </w:rPr>
  </w:style>
  <w:style w:type="paragraph" w:customStyle="1" w:styleId="Style5">
    <w:name w:val="_Style 5"/>
    <w:basedOn w:val="a9"/>
    <w:qFormat/>
    <w:pPr>
      <w:spacing w:line="360" w:lineRule="auto"/>
      <w:ind w:firstLineChars="200" w:firstLine="200"/>
    </w:pPr>
    <w:rPr>
      <w:rFonts w:ascii="Calibri" w:hAnsi="Calibri"/>
      <w:sz w:val="24"/>
    </w:rPr>
  </w:style>
  <w:style w:type="paragraph" w:customStyle="1" w:styleId="B0">
    <w:name w:val="正文B"/>
    <w:basedOn w:val="a9"/>
    <w:qFormat/>
    <w:pPr>
      <w:widowControl/>
      <w:adjustRightInd w:val="0"/>
      <w:spacing w:line="390" w:lineRule="exact"/>
      <w:ind w:firstLine="601"/>
      <w:textAlignment w:val="baseline"/>
    </w:pPr>
    <w:rPr>
      <w:rFonts w:eastAsia="楷体_GB2312" w:cs="宋体"/>
      <w:spacing w:val="8"/>
      <w:sz w:val="28"/>
      <w:lang w:bidi="ne-NP"/>
    </w:rPr>
  </w:style>
  <w:style w:type="paragraph" w:customStyle="1" w:styleId="CharCharChar4">
    <w:name w:val="Char Char Char4"/>
    <w:basedOn w:val="a9"/>
    <w:qFormat/>
    <w:pPr>
      <w:widowControl/>
      <w:spacing w:afterLines="50" w:line="560" w:lineRule="exact"/>
    </w:pPr>
    <w:rPr>
      <w:rFonts w:eastAsia="黑体" w:cs="宋体"/>
      <w:sz w:val="30"/>
      <w:szCs w:val="30"/>
      <w:lang w:bidi="ne-NP"/>
    </w:rPr>
  </w:style>
  <w:style w:type="paragraph" w:customStyle="1" w:styleId="15218218">
    <w:name w:val="样式 样式 正文文字缩进 + 行距: 1.5 倍行距 首行缩进:  2.18 字符 + 首行缩进:  2.18 字符"/>
    <w:basedOn w:val="a9"/>
    <w:qFormat/>
    <w:pPr>
      <w:spacing w:line="360" w:lineRule="auto"/>
      <w:ind w:firstLineChars="218" w:firstLine="523"/>
    </w:pPr>
    <w:rPr>
      <w:rFonts w:cs="宋体"/>
      <w:sz w:val="24"/>
    </w:rPr>
  </w:style>
  <w:style w:type="paragraph" w:customStyle="1" w:styleId="xl193">
    <w:name w:val="xl193"/>
    <w:basedOn w:val="a9"/>
    <w:qFormat/>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321">
    <w:name w:val="正文文本缩进 32"/>
    <w:basedOn w:val="a9"/>
    <w:semiHidden/>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afffffffffffffff3">
    <w:name w:val="图表文字"/>
    <w:basedOn w:val="a9"/>
    <w:qFormat/>
    <w:pPr>
      <w:adjustRightInd w:val="0"/>
      <w:spacing w:line="300" w:lineRule="exact"/>
      <w:jc w:val="center"/>
      <w:textAlignment w:val="baseline"/>
    </w:pPr>
    <w:rPr>
      <w:bCs/>
    </w:rPr>
  </w:style>
  <w:style w:type="paragraph" w:customStyle="1" w:styleId="xl26">
    <w:name w:val="xl2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18"/>
      <w:szCs w:val="18"/>
    </w:rPr>
  </w:style>
  <w:style w:type="paragraph" w:customStyle="1" w:styleId="xl22">
    <w:name w:val="xl2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szCs w:val="21"/>
    </w:rPr>
  </w:style>
  <w:style w:type="paragraph" w:customStyle="1" w:styleId="xl574">
    <w:name w:val="xl57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input1">
    <w:name w:val="input1"/>
    <w:basedOn w:val="a9"/>
    <w:qFormat/>
    <w:pPr>
      <w:widowControl/>
      <w:spacing w:before="100" w:beforeAutospacing="1" w:after="100" w:afterAutospacing="1" w:line="384" w:lineRule="auto"/>
      <w:jc w:val="left"/>
    </w:pPr>
    <w:rPr>
      <w:rFonts w:ascii="Arial" w:hAnsi="Arial"/>
      <w:sz w:val="18"/>
    </w:rPr>
  </w:style>
  <w:style w:type="paragraph" w:customStyle="1" w:styleId="xl40">
    <w:name w:val="xl40"/>
    <w:basedOn w:val="a9"/>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102">
    <w:name w:val="xl102"/>
    <w:basedOn w:val="a9"/>
    <w:qFormat/>
    <w:pPr>
      <w:widowControl/>
      <w:pBdr>
        <w:bottom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541">
    <w:name w:val="xl541"/>
    <w:basedOn w:val="a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lang w:bidi="ne-NP"/>
    </w:rPr>
  </w:style>
  <w:style w:type="paragraph" w:customStyle="1" w:styleId="84">
    <w:name w:val="8"/>
    <w:qFormat/>
    <w:pPr>
      <w:spacing w:line="360" w:lineRule="auto"/>
      <w:jc w:val="center"/>
    </w:pPr>
    <w:rPr>
      <w:rFonts w:ascii="Calibri" w:hAnsi="Calibri"/>
      <w:color w:val="943634"/>
    </w:rPr>
  </w:style>
  <w:style w:type="paragraph" w:customStyle="1" w:styleId="1ffffa">
    <w:name w:val="1君邦表头"/>
    <w:basedOn w:val="a9"/>
    <w:qFormat/>
    <w:pPr>
      <w:spacing w:before="120"/>
      <w:jc w:val="center"/>
    </w:pPr>
    <w:rPr>
      <w:rFonts w:eastAsia="黑体"/>
      <w:b/>
      <w:spacing w:val="6"/>
      <w:szCs w:val="22"/>
    </w:rPr>
  </w:style>
  <w:style w:type="paragraph" w:customStyle="1" w:styleId="1030">
    <w:name w:val="样式 表名1 + 段前: 0.3 行"/>
    <w:basedOn w:val="1ffffb"/>
    <w:qFormat/>
    <w:pPr>
      <w:spacing w:beforeLines="40"/>
    </w:pPr>
    <w:rPr>
      <w:bCs w:val="0"/>
    </w:rPr>
  </w:style>
  <w:style w:type="paragraph" w:customStyle="1" w:styleId="1ffffb">
    <w:name w:val="表名1"/>
    <w:basedOn w:val="a9"/>
    <w:qFormat/>
    <w:pPr>
      <w:widowControl/>
      <w:adjustRightInd w:val="0"/>
      <w:snapToGrid w:val="0"/>
      <w:spacing w:beforeLines="30" w:line="300" w:lineRule="auto"/>
      <w:jc w:val="center"/>
    </w:pPr>
    <w:rPr>
      <w:rFonts w:eastAsia="黑体" w:cs="宋体"/>
      <w:bCs/>
      <w:sz w:val="24"/>
      <w:lang w:bidi="ne-NP"/>
    </w:rPr>
  </w:style>
  <w:style w:type="paragraph" w:customStyle="1" w:styleId="xl48">
    <w:name w:val="xl48"/>
    <w:basedOn w:val="a9"/>
    <w:qFormat/>
    <w:pPr>
      <w:widowControl/>
      <w:pBdr>
        <w:top w:val="single" w:sz="4" w:space="0" w:color="auto"/>
        <w:left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xl51">
    <w:name w:val="xl51"/>
    <w:basedOn w:val="a9"/>
    <w:qFormat/>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s2">
    <w:name w:val="s标题2"/>
    <w:basedOn w:val="2"/>
    <w:qFormat/>
    <w:pPr>
      <w:keepLines w:val="0"/>
      <w:numPr>
        <w:ilvl w:val="0"/>
        <w:numId w:val="0"/>
      </w:numPr>
      <w:pBdr>
        <w:bottom w:val="none" w:sz="0" w:space="0" w:color="auto"/>
      </w:pBdr>
      <w:adjustRightInd w:val="0"/>
      <w:snapToGrid w:val="0"/>
      <w:spacing w:before="0" w:after="0" w:line="360" w:lineRule="auto"/>
      <w:jc w:val="left"/>
    </w:pPr>
    <w:rPr>
      <w:sz w:val="24"/>
      <w:szCs w:val="24"/>
    </w:rPr>
  </w:style>
  <w:style w:type="paragraph" w:customStyle="1" w:styleId="xl70">
    <w:name w:val="xl7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sz w:val="24"/>
    </w:rPr>
  </w:style>
  <w:style w:type="paragraph" w:customStyle="1" w:styleId="CharCharCharCharCharCharChar1CharCharChar1">
    <w:name w:val="Char Char Char Char Char Char Char1 Char Char Char1"/>
    <w:basedOn w:val="a9"/>
    <w:qFormat/>
    <w:pPr>
      <w:widowControl/>
      <w:spacing w:line="360" w:lineRule="auto"/>
    </w:pPr>
    <w:rPr>
      <w:rFonts w:cs="宋体"/>
      <w:sz w:val="24"/>
      <w:szCs w:val="21"/>
      <w:lang w:bidi="ne-NP"/>
    </w:rPr>
  </w:style>
  <w:style w:type="paragraph" w:customStyle="1" w:styleId="1ffffc">
    <w:name w:val="日期1"/>
    <w:basedOn w:val="a9"/>
    <w:next w:val="a9"/>
    <w:qFormat/>
    <w:pPr>
      <w:adjustRightInd w:val="0"/>
      <w:spacing w:line="312" w:lineRule="atLeast"/>
      <w:textAlignment w:val="baseline"/>
    </w:pPr>
    <w:rPr>
      <w:rFonts w:eastAsia="楷体_GB2312"/>
      <w:sz w:val="28"/>
    </w:rPr>
  </w:style>
  <w:style w:type="paragraph" w:customStyle="1" w:styleId="CharCharCharChar3">
    <w:name w:val="Char Char Char Char3"/>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afterLines="50" w:line="240" w:lineRule="auto"/>
      <w:ind w:leftChars="-12" w:left="542" w:firstLineChars="200" w:firstLine="200"/>
    </w:pPr>
    <w:rPr>
      <w:rFonts w:ascii="华文中宋" w:eastAsia="华文中宋" w:hAnsi="宋体"/>
      <w:b w:val="0"/>
      <w:snapToGrid w:val="0"/>
      <w:sz w:val="32"/>
      <w:szCs w:val="24"/>
    </w:rPr>
  </w:style>
  <w:style w:type="paragraph" w:customStyle="1" w:styleId="Char320">
    <w:name w:val="Char32"/>
    <w:basedOn w:val="a9"/>
    <w:qFormat/>
    <w:pPr>
      <w:spacing w:line="360" w:lineRule="auto"/>
      <w:ind w:firstLineChars="200" w:firstLine="200"/>
    </w:pPr>
    <w:rPr>
      <w:sz w:val="24"/>
    </w:rPr>
  </w:style>
  <w:style w:type="paragraph" w:customStyle="1" w:styleId="125">
    <w:name w:val="纯文本12"/>
    <w:basedOn w:val="a9"/>
    <w:qFormat/>
    <w:pPr>
      <w:autoSpaceDE w:val="0"/>
      <w:autoSpaceDN w:val="0"/>
      <w:adjustRightInd w:val="0"/>
      <w:textAlignment w:val="baseline"/>
    </w:pPr>
    <w:rPr>
      <w:rFonts w:ascii="宋体" w:hAnsi="Tms Rmn"/>
    </w:rPr>
  </w:style>
  <w:style w:type="paragraph" w:customStyle="1" w:styleId="xl56">
    <w:name w:val="xl56"/>
    <w:basedOn w:val="a9"/>
    <w:qFormat/>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cs="宋体"/>
      <w:sz w:val="18"/>
      <w:szCs w:val="18"/>
      <w:lang w:bidi="ne-NP"/>
    </w:rPr>
  </w:style>
  <w:style w:type="paragraph" w:customStyle="1" w:styleId="xl550">
    <w:name w:val="xl55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2ff5">
    <w:name w:val="样式 小五 居中 首行缩进:  2 字符"/>
    <w:basedOn w:val="a9"/>
    <w:qFormat/>
    <w:pPr>
      <w:widowControl/>
      <w:jc w:val="center"/>
    </w:pPr>
    <w:rPr>
      <w:rFonts w:cs="宋体"/>
      <w:sz w:val="18"/>
      <w:lang w:bidi="ne-NP"/>
    </w:rPr>
  </w:style>
  <w:style w:type="paragraph" w:customStyle="1" w:styleId="CharChar3CharCharCharChar2">
    <w:name w:val="Char Char3 Char Char Char Char2"/>
    <w:basedOn w:val="a9"/>
    <w:qFormat/>
    <w:rPr>
      <w:rFonts w:cs="宋体"/>
      <w:sz w:val="24"/>
    </w:rPr>
  </w:style>
  <w:style w:type="paragraph" w:customStyle="1" w:styleId="afffffffffffffff4">
    <w:name w:val="表中"/>
    <w:qFormat/>
    <w:pPr>
      <w:spacing w:after="60" w:line="280" w:lineRule="exact"/>
      <w:jc w:val="center"/>
    </w:pPr>
    <w:rPr>
      <w:color w:val="000000"/>
      <w:spacing w:val="20"/>
      <w:kern w:val="44"/>
      <w:sz w:val="18"/>
    </w:rPr>
  </w:style>
  <w:style w:type="paragraph" w:customStyle="1" w:styleId="afffffffffffffff5">
    <w:name w:val="表心"/>
    <w:basedOn w:val="a9"/>
    <w:qFormat/>
    <w:pPr>
      <w:widowControl/>
      <w:topLinePunct/>
      <w:adjustRightInd w:val="0"/>
      <w:spacing w:line="360" w:lineRule="exact"/>
      <w:ind w:leftChars="-30" w:left="-63" w:rightChars="-30" w:right="-63"/>
      <w:jc w:val="center"/>
      <w:textAlignment w:val="baseline"/>
    </w:pPr>
    <w:rPr>
      <w:rFonts w:ascii="华文新魏" w:eastAsia="华文新魏"/>
      <w:sz w:val="24"/>
    </w:rPr>
  </w:style>
  <w:style w:type="paragraph" w:customStyle="1" w:styleId="afffffffffffffff6">
    <w:name w:val="文本框文字"/>
    <w:basedOn w:val="a9"/>
    <w:qFormat/>
    <w:pPr>
      <w:jc w:val="center"/>
    </w:pPr>
  </w:style>
  <w:style w:type="paragraph" w:customStyle="1" w:styleId="CharCharCharCharCharChar1CharCharCharCha">
    <w:name w:val="样式 列表列表 Char列表 Char Char Char Char Char1列表 Char Char Char Cha..."/>
    <w:basedOn w:val="affb"/>
    <w:qFormat/>
    <w:pPr>
      <w:widowControl/>
      <w:spacing w:line="500" w:lineRule="exact"/>
      <w:ind w:left="0" w:firstLineChars="200" w:firstLine="200"/>
      <w:jc w:val="center"/>
    </w:pPr>
    <w:rPr>
      <w:rFonts w:eastAsia="黑体"/>
      <w:sz w:val="24"/>
      <w:szCs w:val="24"/>
    </w:rPr>
  </w:style>
  <w:style w:type="paragraph" w:customStyle="1" w:styleId="33Char121825">
    <w:name w:val="样式 标题 3小标题标题 3 Char头小节标题 + 段前: 12 磅 段后: 18 磅 行距: 固定值 25 磅"/>
    <w:basedOn w:val="3"/>
    <w:qFormat/>
    <w:pPr>
      <w:keepNext/>
      <w:keepLines/>
      <w:widowControl/>
      <w:numPr>
        <w:numId w:val="0"/>
      </w:numPr>
      <w:tabs>
        <w:tab w:val="left" w:pos="0"/>
        <w:tab w:val="left" w:pos="862"/>
        <w:tab w:val="left" w:pos="1567"/>
      </w:tabs>
      <w:snapToGrid/>
      <w:spacing w:before="120" w:after="120" w:line="440" w:lineRule="exact"/>
    </w:pPr>
    <w:rPr>
      <w:rFonts w:ascii="Arial" w:cs="宋体"/>
      <w:bCs/>
      <w:lang w:bidi="ne-NP"/>
    </w:rPr>
  </w:style>
  <w:style w:type="paragraph" w:customStyle="1" w:styleId="CharChar1Char2CharCharChar5">
    <w:name w:val="Char Char1 Char2 Char Char Char5"/>
    <w:basedOn w:val="a9"/>
    <w:pPr>
      <w:spacing w:line="360" w:lineRule="auto"/>
      <w:ind w:firstLineChars="200" w:firstLine="200"/>
    </w:pPr>
    <w:rPr>
      <w:rFonts w:ascii="宋体" w:hAnsi="宋体" w:cs="宋体"/>
      <w:sz w:val="24"/>
    </w:rPr>
  </w:style>
  <w:style w:type="paragraph" w:customStyle="1" w:styleId="126">
    <w:name w:val="样式 样式1 + 首行缩进:  2 字符"/>
    <w:basedOn w:val="1e"/>
    <w:qFormat/>
    <w:pPr>
      <w:keepNext w:val="0"/>
      <w:keepLines w:val="0"/>
      <w:tabs>
        <w:tab w:val="clear" w:pos="360"/>
      </w:tabs>
      <w:snapToGrid/>
      <w:spacing w:before="0" w:line="500" w:lineRule="exact"/>
      <w:ind w:left="0" w:firstLineChars="200" w:firstLine="480"/>
      <w:textAlignment w:val="auto"/>
      <w:outlineLvl w:val="9"/>
    </w:pPr>
    <w:rPr>
      <w:rFonts w:ascii="仿宋_GB2312" w:eastAsia="仿宋_GB2312" w:cs="宋体"/>
      <w:b w:val="0"/>
      <w:kern w:val="0"/>
      <w:sz w:val="24"/>
    </w:rPr>
  </w:style>
  <w:style w:type="paragraph" w:customStyle="1" w:styleId="afffffffffffffff7">
    <w:name w:val="实施日期"/>
    <w:basedOn w:val="a9"/>
    <w:qFormat/>
    <w:pPr>
      <w:framePr w:w="4000" w:h="473" w:hRule="exact" w:vSpace="180" w:wrap="around" w:hAnchor="margin" w:xAlign="right" w:y="13511" w:anchorLock="1"/>
      <w:widowControl/>
      <w:jc w:val="right"/>
    </w:pPr>
    <w:rPr>
      <w:rFonts w:eastAsia="黑体" w:cs="宋体"/>
      <w:sz w:val="28"/>
      <w:lang w:bidi="ne-NP"/>
    </w:rPr>
  </w:style>
  <w:style w:type="paragraph" w:customStyle="1" w:styleId="afffffffffffffff8">
    <w:name w:val="表格（第一行）"/>
    <w:basedOn w:val="afffff5"/>
    <w:next w:val="afffff5"/>
    <w:qFormat/>
    <w:pPr>
      <w:widowControl/>
      <w:tabs>
        <w:tab w:val="left" w:pos="1080"/>
      </w:tabs>
      <w:topLinePunct/>
    </w:pPr>
    <w:rPr>
      <w:rFonts w:ascii="Arial" w:hAnsi="Arial"/>
      <w:b/>
      <w:color w:val="000000"/>
      <w:kern w:val="2"/>
      <w:szCs w:val="18"/>
    </w:rPr>
  </w:style>
  <w:style w:type="paragraph" w:customStyle="1" w:styleId="Title20">
    <w:name w:val="Title.2"/>
    <w:qFormat/>
    <w:pPr>
      <w:keepNext/>
      <w:keepLines/>
      <w:spacing w:beforeLines="50" w:afterLines="50" w:line="360" w:lineRule="auto"/>
      <w:jc w:val="center"/>
      <w:outlineLvl w:val="1"/>
    </w:pPr>
    <w:rPr>
      <w:rFonts w:eastAsia="黑体"/>
      <w:sz w:val="28"/>
    </w:rPr>
  </w:style>
  <w:style w:type="paragraph" w:customStyle="1" w:styleId="xl128">
    <w:name w:val="xl128"/>
    <w:basedOn w:val="a9"/>
    <w:qFormat/>
    <w:pPr>
      <w:widowControl/>
      <w:pBdr>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3CharCharCharChar">
    <w:name w:val="标题3 Char Char Char Char"/>
    <w:basedOn w:val="a9"/>
    <w:qFormat/>
    <w:pPr>
      <w:spacing w:afterLines="50" w:after="148" w:line="560" w:lineRule="exact"/>
      <w:ind w:rightChars="583" w:right="1224" w:firstLineChars="250" w:firstLine="600"/>
    </w:pPr>
    <w:rPr>
      <w:rFonts w:eastAsia="黑体"/>
      <w:sz w:val="30"/>
      <w:szCs w:val="30"/>
    </w:rPr>
  </w:style>
  <w:style w:type="paragraph" w:customStyle="1" w:styleId="font16">
    <w:name w:val="font16"/>
    <w:basedOn w:val="a9"/>
    <w:qFormat/>
    <w:pPr>
      <w:widowControl/>
      <w:spacing w:before="100" w:beforeAutospacing="1" w:after="100" w:afterAutospacing="1" w:line="360" w:lineRule="auto"/>
      <w:jc w:val="left"/>
    </w:pPr>
    <w:rPr>
      <w:color w:val="000000"/>
    </w:rPr>
  </w:style>
  <w:style w:type="paragraph" w:customStyle="1" w:styleId="xl573">
    <w:name w:val="xl57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afffffffffffffff9">
    <w:name w:val="流程"/>
    <w:basedOn w:val="a9"/>
    <w:qFormat/>
    <w:pPr>
      <w:topLinePunct/>
      <w:adjustRightInd w:val="0"/>
      <w:snapToGrid w:val="0"/>
      <w:spacing w:line="360" w:lineRule="auto"/>
      <w:jc w:val="center"/>
    </w:pPr>
    <w:rPr>
      <w:color w:val="000000"/>
    </w:rPr>
  </w:style>
  <w:style w:type="paragraph" w:customStyle="1" w:styleId="afffffffffffffffa">
    <w:name w:val="插表文字五号"/>
    <w:basedOn w:val="affffffffff7"/>
    <w:qFormat/>
  </w:style>
  <w:style w:type="paragraph" w:customStyle="1" w:styleId="afffffffffffffffb">
    <w:name w:val="君邦目录"/>
    <w:qFormat/>
    <w:pPr>
      <w:pBdr>
        <w:bottom w:val="single" w:sz="12" w:space="1" w:color="auto"/>
      </w:pBdr>
      <w:spacing w:before="960" w:after="960"/>
      <w:ind w:left="567" w:hanging="567"/>
      <w:jc w:val="right"/>
      <w:outlineLvl w:val="1"/>
    </w:pPr>
    <w:rPr>
      <w:rFonts w:eastAsia="黑体"/>
      <w:b/>
      <w:sz w:val="32"/>
    </w:rPr>
  </w:style>
  <w:style w:type="paragraph" w:customStyle="1" w:styleId="xl108">
    <w:name w:val="xl108"/>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FF0000"/>
    </w:rPr>
  </w:style>
  <w:style w:type="paragraph" w:customStyle="1" w:styleId="afffffffffffffffc">
    <w:name w:val="污水处理"/>
    <w:basedOn w:val="217"/>
    <w:qFormat/>
    <w:pPr>
      <w:adjustRightInd/>
      <w:spacing w:line="240" w:lineRule="auto"/>
      <w:ind w:firstLineChars="0" w:firstLine="0"/>
      <w:jc w:val="center"/>
      <w:textAlignment w:val="auto"/>
    </w:pPr>
    <w:rPr>
      <w:kern w:val="2"/>
      <w:sz w:val="24"/>
      <w:szCs w:val="24"/>
    </w:rPr>
  </w:style>
  <w:style w:type="paragraph" w:customStyle="1" w:styleId="afffffffffffffffd">
    <w:name w:val="表格长征"/>
    <w:basedOn w:val="a9"/>
    <w:qFormat/>
    <w:pPr>
      <w:adjustRightInd w:val="0"/>
      <w:snapToGrid w:val="0"/>
      <w:spacing w:line="360" w:lineRule="auto"/>
      <w:jc w:val="center"/>
    </w:pPr>
    <w:rPr>
      <w:rFonts w:eastAsia="仿宋_GB2312"/>
      <w:szCs w:val="21"/>
      <w:lang w:val="zh-CN"/>
    </w:rPr>
  </w:style>
  <w:style w:type="paragraph" w:customStyle="1" w:styleId="xl575">
    <w:name w:val="xl575"/>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T0">
    <w:name w:val="T表头"/>
    <w:next w:val="a9"/>
    <w:qFormat/>
    <w:pPr>
      <w:keepNext/>
      <w:keepLines/>
      <w:spacing w:line="360" w:lineRule="auto"/>
      <w:jc w:val="center"/>
    </w:pPr>
    <w:rPr>
      <w:rFonts w:eastAsia="黑体"/>
      <w:sz w:val="28"/>
    </w:rPr>
  </w:style>
  <w:style w:type="paragraph" w:customStyle="1" w:styleId="afffffffffffffffe">
    <w:name w:val="自定义正文"/>
    <w:basedOn w:val="a9"/>
    <w:qFormat/>
    <w:pPr>
      <w:adjustRightInd w:val="0"/>
      <w:spacing w:line="360" w:lineRule="auto"/>
      <w:ind w:firstLineChars="200" w:firstLine="560"/>
      <w:textAlignment w:val="baseline"/>
    </w:pPr>
    <w:rPr>
      <w:sz w:val="28"/>
    </w:rPr>
  </w:style>
  <w:style w:type="paragraph" w:customStyle="1" w:styleId="Title3">
    <w:name w:val="Title.3"/>
    <w:next w:val="a9"/>
    <w:qFormat/>
    <w:pPr>
      <w:keepNext/>
      <w:keepLines/>
      <w:spacing w:beforeLines="50" w:line="360" w:lineRule="auto"/>
      <w:jc w:val="center"/>
      <w:outlineLvl w:val="2"/>
    </w:pPr>
    <w:rPr>
      <w:rFonts w:eastAsia="仿宋_GB2312"/>
      <w:b/>
      <w:sz w:val="28"/>
    </w:rPr>
  </w:style>
  <w:style w:type="paragraph" w:customStyle="1" w:styleId="Title30">
    <w:name w:val="Title 3"/>
    <w:basedOn w:val="3"/>
    <w:next w:val="a9"/>
    <w:qFormat/>
    <w:pPr>
      <w:keepNext/>
      <w:keepLines/>
      <w:widowControl/>
      <w:numPr>
        <w:ilvl w:val="0"/>
        <w:numId w:val="0"/>
      </w:numPr>
      <w:tabs>
        <w:tab w:val="left" w:pos="0"/>
        <w:tab w:val="left" w:pos="862"/>
        <w:tab w:val="left" w:pos="1418"/>
        <w:tab w:val="left" w:pos="1567"/>
      </w:tabs>
      <w:snapToGrid/>
      <w:spacing w:before="240" w:after="120" w:line="400" w:lineRule="exact"/>
      <w:ind w:left="1418" w:hanging="567"/>
      <w:jc w:val="left"/>
    </w:pPr>
    <w:rPr>
      <w:rFonts w:eastAsia="宋体" w:cs="Arial"/>
      <w:szCs w:val="26"/>
      <w:lang w:bidi="ne-NP"/>
    </w:rPr>
  </w:style>
  <w:style w:type="paragraph" w:customStyle="1" w:styleId="3fd">
    <w:name w:val="引用3"/>
    <w:basedOn w:val="a9"/>
    <w:next w:val="a9"/>
    <w:qFormat/>
    <w:pPr>
      <w:widowControl/>
      <w:spacing w:line="480" w:lineRule="exact"/>
      <w:ind w:firstLineChars="200" w:firstLine="200"/>
    </w:pPr>
    <w:rPr>
      <w:rFonts w:eastAsia="黑体"/>
      <w:i/>
      <w:iCs/>
      <w:color w:val="000000"/>
    </w:rPr>
  </w:style>
  <w:style w:type="paragraph" w:customStyle="1" w:styleId="xl89">
    <w:name w:val="xl89"/>
    <w:basedOn w:val="a9"/>
    <w:qFormat/>
    <w:pPr>
      <w:widowControl/>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CharChar1Char">
    <w:name w:val="正文1 Char Char1 Char"/>
    <w:basedOn w:val="a9"/>
    <w:qFormat/>
    <w:pPr>
      <w:widowControl/>
      <w:adjustRightInd w:val="0"/>
      <w:snapToGrid w:val="0"/>
      <w:spacing w:line="516" w:lineRule="exact"/>
      <w:ind w:firstLineChars="200" w:firstLine="200"/>
    </w:pPr>
    <w:rPr>
      <w:rFonts w:eastAsia="楷体_GB2312" w:cs="宋体"/>
      <w:sz w:val="26"/>
      <w:szCs w:val="26"/>
      <w:lang w:bidi="ne-NP"/>
    </w:rPr>
  </w:style>
  <w:style w:type="paragraph" w:customStyle="1" w:styleId="ParaCharCharCharChar">
    <w:name w:val="默认段落字体 Para Char Char Char Char"/>
    <w:basedOn w:val="a9"/>
    <w:qFormat/>
    <w:pPr>
      <w:widowControl/>
    </w:pPr>
    <w:rPr>
      <w:rFonts w:cs="宋体"/>
      <w:sz w:val="24"/>
      <w:lang w:bidi="ne-NP"/>
    </w:rPr>
  </w:style>
  <w:style w:type="paragraph" w:customStyle="1" w:styleId="1CharCharCharChar2">
    <w:name w:val="正文1 Char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Char120">
    <w:name w:val="Char12"/>
    <w:basedOn w:val="a9"/>
    <w:qFormat/>
    <w:pPr>
      <w:widowControl/>
    </w:pPr>
    <w:rPr>
      <w:rFonts w:cs="宋体"/>
      <w:sz w:val="24"/>
      <w:lang w:bidi="ne-NP"/>
    </w:rPr>
  </w:style>
  <w:style w:type="paragraph" w:customStyle="1" w:styleId="affffffffffffffff">
    <w:name w:val="加粗"/>
    <w:basedOn w:val="a9"/>
    <w:semiHidden/>
    <w:qFormat/>
    <w:pPr>
      <w:keepNext/>
      <w:spacing w:line="560" w:lineRule="atLeast"/>
      <w:ind w:firstLineChars="200" w:firstLine="200"/>
    </w:pPr>
    <w:rPr>
      <w:rFonts w:eastAsia="仿宋_GB2312"/>
      <w:b/>
      <w:sz w:val="28"/>
      <w:szCs w:val="18"/>
    </w:rPr>
  </w:style>
  <w:style w:type="paragraph" w:customStyle="1" w:styleId="1CharChar6">
    <w:name w:val="正文1 Char Char"/>
    <w:basedOn w:val="a9"/>
    <w:qFormat/>
    <w:pPr>
      <w:widowControl/>
      <w:suppressLineNumbers/>
      <w:suppressAutoHyphens/>
      <w:topLinePunct/>
      <w:adjustRightInd w:val="0"/>
      <w:snapToGrid w:val="0"/>
      <w:spacing w:beforeLines="50" w:line="300" w:lineRule="auto"/>
      <w:ind w:firstLineChars="180" w:firstLine="432"/>
    </w:pPr>
    <w:rPr>
      <w:rFonts w:eastAsia="楷体_GB2312" w:cs="宋体"/>
      <w:color w:val="000000"/>
      <w:sz w:val="24"/>
      <w:lang w:bidi="ne-NP"/>
    </w:rPr>
  </w:style>
  <w:style w:type="paragraph" w:customStyle="1" w:styleId="-13">
    <w:name w:val="君邦-标题1"/>
    <w:basedOn w:val="1"/>
    <w:next w:val="a9"/>
    <w:qFormat/>
    <w:pPr>
      <w:numPr>
        <w:numId w:val="0"/>
      </w:numPr>
      <w:tabs>
        <w:tab w:val="left" w:pos="360"/>
        <w:tab w:val="left" w:pos="900"/>
        <w:tab w:val="left" w:pos="1080"/>
      </w:tabs>
      <w:snapToGrid w:val="0"/>
      <w:spacing w:before="960" w:after="960" w:line="240" w:lineRule="auto"/>
      <w:ind w:leftChars="-12" w:left="-12" w:firstLineChars="200" w:firstLine="200"/>
    </w:pPr>
    <w:rPr>
      <w:rFonts w:ascii="楷体_GB2312" w:eastAsia="黑体"/>
      <w:b w:val="0"/>
      <w:snapToGrid w:val="0"/>
      <w:szCs w:val="24"/>
    </w:rPr>
  </w:style>
  <w:style w:type="paragraph" w:customStyle="1" w:styleId="CharCharCharCharCharChar1CharCharCharChar2">
    <w:name w:val="Char Char Char Char Char Char1 Char Char Char Char2"/>
    <w:basedOn w:val="a9"/>
    <w:qFormat/>
    <w:pPr>
      <w:widowControl/>
    </w:pPr>
    <w:rPr>
      <w:rFonts w:ascii="Tahoma" w:hAnsi="Tahoma" w:cs="宋体"/>
      <w:sz w:val="24"/>
      <w:lang w:bidi="ne-NP"/>
    </w:rPr>
  </w:style>
  <w:style w:type="paragraph" w:customStyle="1" w:styleId="3fe">
    <w:name w:val="正文首行缩进3"/>
    <w:basedOn w:val="afd"/>
    <w:qFormat/>
    <w:pPr>
      <w:widowControl/>
      <w:adjustRightInd w:val="0"/>
      <w:spacing w:after="120" w:line="312" w:lineRule="atLeast"/>
      <w:ind w:firstLineChars="0" w:firstLine="420"/>
      <w:textAlignment w:val="baseline"/>
    </w:pPr>
    <w:rPr>
      <w:rFonts w:ascii="Times New Roman" w:hAnsi="Times New Roman"/>
      <w:kern w:val="0"/>
      <w:sz w:val="27"/>
    </w:rPr>
  </w:style>
  <w:style w:type="paragraph" w:customStyle="1" w:styleId="Puce2-3pts">
    <w:name w:val="Puce2-3pts"/>
    <w:basedOn w:val="a9"/>
    <w:qFormat/>
    <w:pPr>
      <w:keepLines/>
      <w:widowControl/>
      <w:tabs>
        <w:tab w:val="left" w:pos="1200"/>
        <w:tab w:val="left" w:pos="1843"/>
      </w:tabs>
      <w:spacing w:before="60"/>
      <w:ind w:left="1843" w:hanging="720"/>
    </w:pPr>
    <w:rPr>
      <w:rFonts w:ascii="Arial" w:eastAsia="MS Mincho" w:hAnsi="Arial" w:cs="宋体"/>
      <w:lang w:eastAsia="fr-FR" w:bidi="ne-NP"/>
    </w:rPr>
  </w:style>
  <w:style w:type="paragraph" w:customStyle="1" w:styleId="xl100">
    <w:name w:val="xl100"/>
    <w:basedOn w:val="a9"/>
    <w:qFormat/>
    <w:pPr>
      <w:widowControl/>
      <w:pBdr>
        <w:bottom w:val="single" w:sz="8" w:space="0" w:color="000000"/>
        <w:right w:val="single" w:sz="8" w:space="0" w:color="000000"/>
      </w:pBdr>
      <w:spacing w:before="100" w:beforeAutospacing="1" w:after="100" w:afterAutospacing="1" w:line="360" w:lineRule="auto"/>
      <w:jc w:val="center"/>
      <w:textAlignment w:val="center"/>
    </w:pPr>
    <w:rPr>
      <w:color w:val="FF0000"/>
      <w:sz w:val="18"/>
      <w:szCs w:val="18"/>
    </w:rPr>
  </w:style>
  <w:style w:type="paragraph" w:customStyle="1" w:styleId="CharCharCharCharCharChar1CharCharCharChar1">
    <w:name w:val="Char Char Char Char Char Char1 Char Char Char Char1"/>
    <w:basedOn w:val="a9"/>
    <w:qFormat/>
    <w:pPr>
      <w:widowControl/>
    </w:pPr>
    <w:rPr>
      <w:rFonts w:ascii="Tahoma" w:hAnsi="Tahoma" w:cs="宋体"/>
      <w:sz w:val="24"/>
      <w:lang w:bidi="ne-NP"/>
    </w:rPr>
  </w:style>
  <w:style w:type="paragraph" w:customStyle="1" w:styleId="1ffffd">
    <w:name w:val="列出段落1"/>
    <w:basedOn w:val="a9"/>
    <w:uiPriority w:val="99"/>
    <w:qFormat/>
    <w:pPr>
      <w:spacing w:line="360" w:lineRule="auto"/>
      <w:ind w:firstLineChars="200" w:firstLine="420"/>
    </w:pPr>
    <w:rPr>
      <w:rFonts w:ascii="Calibri" w:hAnsi="Calibri"/>
      <w:szCs w:val="22"/>
    </w:rPr>
  </w:style>
  <w:style w:type="paragraph" w:customStyle="1" w:styleId="xl62">
    <w:name w:val="xl62"/>
    <w:basedOn w:val="a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宋体"/>
      <w:sz w:val="18"/>
      <w:szCs w:val="18"/>
      <w:lang w:bidi="ne-NP"/>
    </w:rPr>
  </w:style>
  <w:style w:type="paragraph" w:customStyle="1" w:styleId="3Sottoparagrafo3Char33Char1Char1So">
    <w:name w:val="样式 标题 3头小标题小节标题Sottoparagrafo标题 3 Char3标题 3 Char1 Char1So..."/>
    <w:basedOn w:val="3"/>
    <w:qFormat/>
    <w:pPr>
      <w:keepNext/>
      <w:keepLines/>
      <w:widowControl/>
      <w:numPr>
        <w:ilvl w:val="0"/>
        <w:numId w:val="0"/>
      </w:numPr>
      <w:tabs>
        <w:tab w:val="left" w:pos="0"/>
        <w:tab w:val="left" w:pos="862"/>
        <w:tab w:val="left" w:pos="1567"/>
      </w:tabs>
      <w:spacing w:before="240" w:after="240" w:line="480" w:lineRule="exact"/>
    </w:pPr>
    <w:rPr>
      <w:rFonts w:cs="宋体"/>
      <w:b w:val="0"/>
      <w:sz w:val="28"/>
      <w:lang w:bidi="ne-NP"/>
    </w:rPr>
  </w:style>
  <w:style w:type="paragraph" w:customStyle="1" w:styleId="Char220">
    <w:name w:val="Char22"/>
    <w:basedOn w:val="a9"/>
    <w:qFormat/>
    <w:pPr>
      <w:widowControl/>
      <w:spacing w:line="360" w:lineRule="auto"/>
      <w:jc w:val="left"/>
    </w:pPr>
    <w:rPr>
      <w:rFonts w:ascii="宋体" w:hAnsi="宋体" w:cs="宋体"/>
      <w:sz w:val="24"/>
      <w:lang w:bidi="ne-NP"/>
    </w:rPr>
  </w:style>
  <w:style w:type="paragraph" w:customStyle="1" w:styleId="xl80">
    <w:name w:val="xl80"/>
    <w:basedOn w:val="a9"/>
    <w:qFormat/>
    <w:pPr>
      <w:widowControl/>
      <w:pBdr>
        <w:left w:val="single" w:sz="8"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font13">
    <w:name w:val="font13"/>
    <w:basedOn w:val="a9"/>
    <w:qFormat/>
    <w:pPr>
      <w:widowControl/>
      <w:spacing w:before="100" w:beforeAutospacing="1" w:after="100" w:afterAutospacing="1" w:line="360" w:lineRule="auto"/>
      <w:jc w:val="left"/>
    </w:pPr>
    <w:rPr>
      <w:rFonts w:ascii="宋体" w:hAnsi="宋体" w:cs="宋体"/>
      <w:b/>
      <w:bCs/>
      <w:color w:val="000000"/>
      <w:sz w:val="22"/>
      <w:szCs w:val="22"/>
    </w:rPr>
  </w:style>
  <w:style w:type="paragraph" w:customStyle="1" w:styleId="4f4">
    <w:name w:val="封面4号仿宋居中"/>
    <w:basedOn w:val="a9"/>
    <w:qFormat/>
    <w:pPr>
      <w:spacing w:line="360" w:lineRule="auto"/>
      <w:jc w:val="center"/>
    </w:pPr>
    <w:rPr>
      <w:rFonts w:ascii="仿宋_GB2312" w:eastAsia="仿宋_GB2312"/>
      <w:sz w:val="28"/>
    </w:rPr>
  </w:style>
  <w:style w:type="paragraph" w:customStyle="1" w:styleId="xl82">
    <w:name w:val="xl82"/>
    <w:basedOn w:val="a9"/>
    <w:qFormat/>
    <w:pPr>
      <w:widowControl/>
      <w:pBdr>
        <w:top w:val="single" w:sz="12" w:space="0" w:color="auto"/>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
    <w:name w:val="三级标题-预案"/>
    <w:basedOn w:val="a9"/>
    <w:qFormat/>
    <w:pPr>
      <w:numPr>
        <w:ilvl w:val="2"/>
        <w:numId w:val="6"/>
      </w:numPr>
      <w:adjustRightInd w:val="0"/>
      <w:snapToGrid w:val="0"/>
      <w:spacing w:after="60" w:line="360" w:lineRule="auto"/>
      <w:outlineLvl w:val="2"/>
    </w:pPr>
    <w:rPr>
      <w:b/>
      <w:sz w:val="24"/>
    </w:rPr>
  </w:style>
  <w:style w:type="paragraph" w:customStyle="1" w:styleId="Char3CharCharCharCharCharChar5">
    <w:name w:val="Char3 Char Char Char Char Char Char5"/>
    <w:basedOn w:val="a9"/>
    <w:pPr>
      <w:spacing w:line="360" w:lineRule="auto"/>
      <w:ind w:firstLineChars="200" w:firstLine="200"/>
    </w:pPr>
    <w:rPr>
      <w:rFonts w:ascii="宋体" w:hAnsi="宋体" w:cs="宋体"/>
      <w:sz w:val="24"/>
    </w:rPr>
  </w:style>
  <w:style w:type="paragraph" w:customStyle="1" w:styleId="affffffffffffffff0">
    <w:name w:val="公式"/>
    <w:basedOn w:val="a9"/>
    <w:next w:val="a9"/>
    <w:qFormat/>
    <w:pPr>
      <w:spacing w:before="120" w:after="120" w:line="360" w:lineRule="auto"/>
      <w:jc w:val="center"/>
    </w:pPr>
    <w:rPr>
      <w:rFonts w:eastAsia="华文仿宋"/>
      <w:snapToGrid w:val="0"/>
      <w:sz w:val="28"/>
      <w:szCs w:val="18"/>
    </w:rPr>
  </w:style>
  <w:style w:type="paragraph" w:customStyle="1" w:styleId="CharCharCharCharCharCharChar">
    <w:name w:val="Char Char Char Char Char Char Char"/>
    <w:basedOn w:val="a9"/>
    <w:qFormat/>
    <w:pPr>
      <w:widowControl/>
      <w:spacing w:line="360" w:lineRule="auto"/>
      <w:ind w:firstLineChars="200" w:firstLine="200"/>
    </w:pPr>
    <w:rPr>
      <w:rFonts w:ascii="宋体" w:hAnsi="宋体" w:cs="宋体"/>
      <w:sz w:val="24"/>
      <w:lang w:bidi="ne-NP"/>
    </w:rPr>
  </w:style>
  <w:style w:type="paragraph" w:customStyle="1" w:styleId="affffffffffffffff1">
    <w:name w:val="五级条标题"/>
    <w:basedOn w:val="afffffffffffa"/>
    <w:next w:val="a9"/>
    <w:qFormat/>
    <w:pPr>
      <w:tabs>
        <w:tab w:val="clear" w:pos="3000"/>
        <w:tab w:val="left" w:pos="3420"/>
      </w:tabs>
      <w:ind w:left="3420"/>
      <w:outlineLvl w:val="6"/>
    </w:pPr>
  </w:style>
  <w:style w:type="paragraph" w:customStyle="1" w:styleId="xl47">
    <w:name w:val="xl47"/>
    <w:basedOn w:val="a9"/>
    <w:qFormat/>
    <w:pPr>
      <w:widowControl/>
      <w:pBdr>
        <w:top w:val="single" w:sz="4" w:space="0" w:color="auto"/>
        <w:bottom w:val="single" w:sz="4" w:space="0" w:color="auto"/>
      </w:pBdr>
      <w:spacing w:before="100" w:beforeAutospacing="1" w:after="100" w:afterAutospacing="1" w:line="360" w:lineRule="auto"/>
      <w:jc w:val="center"/>
    </w:pPr>
    <w:rPr>
      <w:rFonts w:ascii="宋体" w:hAnsi="宋体"/>
      <w:sz w:val="24"/>
    </w:rPr>
  </w:style>
  <w:style w:type="paragraph" w:customStyle="1" w:styleId="affffffffffffffff2">
    <w:name w:val="签署页标题"/>
    <w:basedOn w:val="a9"/>
    <w:semiHidden/>
    <w:qFormat/>
    <w:pPr>
      <w:widowControl/>
      <w:spacing w:line="360" w:lineRule="auto"/>
      <w:ind w:firstLine="3600"/>
    </w:pPr>
    <w:rPr>
      <w:rFonts w:ascii="黑体" w:eastAsia="黑体"/>
      <w:b/>
      <w:bCs/>
      <w:sz w:val="28"/>
      <w:szCs w:val="16"/>
    </w:rPr>
  </w:style>
  <w:style w:type="paragraph" w:customStyle="1" w:styleId="2ff6">
    <w:name w:val="样式 正文缩进 + 首行缩进:  2 字符"/>
    <w:basedOn w:val="aa"/>
    <w:qFormat/>
    <w:pPr>
      <w:snapToGrid w:val="0"/>
      <w:spacing w:after="60"/>
      <w:ind w:firstLineChars="200" w:firstLine="560"/>
    </w:pPr>
    <w:rPr>
      <w:rFonts w:ascii="宋体" w:hAnsi="宋体" w:cs="宋体"/>
      <w:sz w:val="28"/>
      <w:szCs w:val="28"/>
    </w:rPr>
  </w:style>
  <w:style w:type="paragraph" w:customStyle="1" w:styleId="Char1CharCharChar1">
    <w:name w:val="Char1 Char Char Char1"/>
    <w:basedOn w:val="a9"/>
    <w:qFormat/>
    <w:pPr>
      <w:widowControl/>
      <w:spacing w:after="160" w:line="240" w:lineRule="exact"/>
      <w:jc w:val="left"/>
    </w:pPr>
    <w:rPr>
      <w:rFonts w:ascii="Arial" w:eastAsia="Times New Roman" w:hAnsi="Arial" w:cs="Verdana"/>
      <w:b/>
      <w:sz w:val="24"/>
      <w:lang w:eastAsia="en-US"/>
    </w:rPr>
  </w:style>
  <w:style w:type="paragraph" w:customStyle="1" w:styleId="415">
    <w:name w:val="标题 4 黑体 四号 行距: 1.5 倍行距"/>
    <w:basedOn w:val="3Sottoparagrafo3CharTimesNewRoman"/>
    <w:qFormat/>
    <w:pPr>
      <w:spacing w:before="156"/>
    </w:pPr>
    <w:rPr>
      <w:b/>
    </w:rPr>
  </w:style>
  <w:style w:type="paragraph" w:customStyle="1" w:styleId="xl569">
    <w:name w:val="xl569"/>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color w:val="000000"/>
      <w:sz w:val="18"/>
      <w:szCs w:val="18"/>
      <w:lang w:bidi="ne-NP"/>
    </w:rPr>
  </w:style>
  <w:style w:type="paragraph" w:customStyle="1" w:styleId="CharChar1Char3">
    <w:name w:val="Char Char1 Char3"/>
    <w:basedOn w:val="a9"/>
    <w:qFormat/>
    <w:pPr>
      <w:spacing w:line="360" w:lineRule="auto"/>
      <w:ind w:firstLineChars="200" w:firstLine="200"/>
    </w:pPr>
    <w:rPr>
      <w:rFonts w:ascii="宋体" w:hAnsi="宋体" w:cs="宋体"/>
      <w:sz w:val="24"/>
    </w:rPr>
  </w:style>
  <w:style w:type="paragraph" w:customStyle="1" w:styleId="218">
    <w:name w:val="样式 首行缩进:  2 字符1"/>
    <w:basedOn w:val="a9"/>
    <w:link w:val="21Char1"/>
    <w:qFormat/>
    <w:pPr>
      <w:widowControl/>
      <w:spacing w:line="500" w:lineRule="exact"/>
      <w:ind w:firstLineChars="200" w:firstLine="200"/>
    </w:pPr>
    <w:rPr>
      <w:rFonts w:eastAsia="楷体_GB2312" w:cs="宋体"/>
      <w:sz w:val="24"/>
      <w:lang w:bidi="ne-NP"/>
    </w:rPr>
  </w:style>
  <w:style w:type="paragraph" w:customStyle="1" w:styleId="LY3">
    <w:name w:val="LY标题3"/>
    <w:basedOn w:val="LY"/>
    <w:next w:val="LY"/>
    <w:qFormat/>
  </w:style>
  <w:style w:type="paragraph" w:customStyle="1" w:styleId="322">
    <w:name w:val="表格 32"/>
    <w:basedOn w:val="a9"/>
    <w:qFormat/>
    <w:pPr>
      <w:autoSpaceDE w:val="0"/>
      <w:autoSpaceDN w:val="0"/>
      <w:adjustRightInd w:val="0"/>
      <w:spacing w:line="360" w:lineRule="auto"/>
      <w:jc w:val="center"/>
      <w:textAlignment w:val="baseline"/>
    </w:pPr>
  </w:style>
  <w:style w:type="paragraph" w:customStyle="1" w:styleId="affffffffffffffff3">
    <w:name w:val="表前文字"/>
    <w:basedOn w:val="a9"/>
    <w:semiHidden/>
    <w:qFormat/>
    <w:pPr>
      <w:spacing w:line="360" w:lineRule="auto"/>
      <w:jc w:val="center"/>
    </w:pPr>
    <w:rPr>
      <w:b/>
      <w:bCs/>
      <w:sz w:val="24"/>
      <w:szCs w:val="21"/>
    </w:rPr>
  </w:style>
  <w:style w:type="paragraph" w:customStyle="1" w:styleId="Title5">
    <w:name w:val="Title 5"/>
    <w:basedOn w:val="5"/>
    <w:next w:val="a9"/>
    <w:qFormat/>
    <w:pPr>
      <w:keepLines/>
      <w:widowControl/>
      <w:numPr>
        <w:ilvl w:val="0"/>
        <w:numId w:val="0"/>
      </w:numPr>
      <w:tabs>
        <w:tab w:val="clear" w:pos="1003"/>
        <w:tab w:val="left" w:pos="944"/>
        <w:tab w:val="left" w:pos="1008"/>
        <w:tab w:val="left" w:pos="1567"/>
        <w:tab w:val="left" w:pos="1997"/>
      </w:tabs>
      <w:spacing w:before="240" w:after="240" w:line="240" w:lineRule="auto"/>
      <w:jc w:val="left"/>
    </w:pPr>
    <w:rPr>
      <w:rFonts w:ascii="Arial" w:eastAsia="华文细黑" w:hAnsi="Arial"/>
      <w:b w:val="0"/>
      <w:sz w:val="20"/>
      <w:szCs w:val="26"/>
      <w:lang w:eastAsia="de-DE"/>
    </w:rPr>
  </w:style>
  <w:style w:type="paragraph" w:customStyle="1" w:styleId="3ff">
    <w:name w:val="列出段落3"/>
    <w:basedOn w:val="a9"/>
    <w:link w:val="Charfffff6"/>
    <w:uiPriority w:val="34"/>
    <w:qFormat/>
    <w:pPr>
      <w:widowControl/>
      <w:ind w:leftChars="200" w:left="480"/>
    </w:pPr>
    <w:rPr>
      <w:rFonts w:ascii="Calibri" w:eastAsia="PMingLiU" w:hAnsi="Calibri" w:cs="宋体"/>
      <w:sz w:val="24"/>
      <w:szCs w:val="22"/>
      <w:lang w:eastAsia="zh-TW" w:bidi="ne-NP"/>
    </w:rPr>
  </w:style>
  <w:style w:type="paragraph" w:customStyle="1" w:styleId="xl41">
    <w:name w:val="xl4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xl110">
    <w:name w:val="xl110"/>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24"/>
    </w:rPr>
  </w:style>
  <w:style w:type="paragraph" w:customStyle="1" w:styleId="1CharCharChar10">
    <w:name w:val="样式 正文1 Char Char + 字距调整七号 Char1"/>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ffffe">
    <w:name w:val="表格填充1"/>
    <w:basedOn w:val="a9"/>
    <w:qFormat/>
    <w:pPr>
      <w:snapToGrid w:val="0"/>
      <w:spacing w:line="360" w:lineRule="auto"/>
      <w:jc w:val="center"/>
    </w:pPr>
    <w:rPr>
      <w:rFonts w:eastAsia="仿宋_GB2312"/>
      <w:snapToGrid w:val="0"/>
      <w:color w:val="000000"/>
      <w:sz w:val="30"/>
      <w:szCs w:val="32"/>
    </w:rPr>
  </w:style>
  <w:style w:type="paragraph" w:customStyle="1" w:styleId="xl122">
    <w:name w:val="xl122"/>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affffffffffffffff4">
    <w:name w:val="新正文"/>
    <w:basedOn w:val="a9"/>
    <w:qFormat/>
    <w:pPr>
      <w:spacing w:line="480" w:lineRule="exact"/>
      <w:ind w:firstLine="567"/>
    </w:pPr>
    <w:rPr>
      <w:rFonts w:ascii="仿宋_GB2312" w:eastAsia="仿宋_GB2312"/>
      <w:bCs/>
      <w:sz w:val="28"/>
    </w:rPr>
  </w:style>
  <w:style w:type="paragraph" w:customStyle="1" w:styleId="CM93">
    <w:name w:val="CM93"/>
    <w:basedOn w:val="a9"/>
    <w:next w:val="a9"/>
    <w:qFormat/>
    <w:pPr>
      <w:widowControl/>
      <w:autoSpaceDE w:val="0"/>
      <w:autoSpaceDN w:val="0"/>
      <w:adjustRightInd w:val="0"/>
      <w:spacing w:after="233"/>
      <w:jc w:val="left"/>
    </w:pPr>
    <w:rPr>
      <w:rFonts w:ascii="黑体" w:eastAsia="黑体" w:cs="黑体"/>
      <w:sz w:val="24"/>
      <w:lang w:bidi="ne-NP"/>
    </w:rPr>
  </w:style>
  <w:style w:type="paragraph" w:customStyle="1" w:styleId="xl86">
    <w:name w:val="xl86"/>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015">
    <w:name w:val="样式 正文文字缩进 + 首行缩进:  0 厘米 行距: 1.5 倍行距"/>
    <w:basedOn w:val="afe"/>
    <w:qFormat/>
    <w:pPr>
      <w:snapToGrid/>
      <w:spacing w:line="360" w:lineRule="auto"/>
      <w:ind w:firstLine="0"/>
    </w:pPr>
    <w:rPr>
      <w:rFonts w:cs="宋体"/>
      <w:color w:val="auto"/>
      <w:sz w:val="24"/>
    </w:rPr>
  </w:style>
  <w:style w:type="paragraph" w:customStyle="1" w:styleId="xl580">
    <w:name w:val="xl58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lang w:bidi="ne-NP"/>
    </w:rPr>
  </w:style>
  <w:style w:type="paragraph" w:customStyle="1" w:styleId="ParaChar">
    <w:name w:val="默认段落字体 Para Char"/>
    <w:basedOn w:val="a9"/>
    <w:qFormat/>
    <w:rPr>
      <w:sz w:val="24"/>
    </w:rPr>
  </w:style>
  <w:style w:type="paragraph" w:customStyle="1" w:styleId="CharCharCharCharCharCharCharCharCharCharCharCharCharCharCharChar1">
    <w:name w:val="Char Char Char Char Char Char Char Char Char Char Char Char Char Char Char Char1"/>
    <w:basedOn w:val="a9"/>
    <w:qFormat/>
    <w:pPr>
      <w:widowControl/>
      <w:spacing w:line="360" w:lineRule="auto"/>
      <w:ind w:firstLineChars="200" w:firstLine="200"/>
    </w:pPr>
    <w:rPr>
      <w:rFonts w:cs="宋体"/>
      <w:sz w:val="24"/>
      <w:lang w:bidi="ne-NP"/>
    </w:rPr>
  </w:style>
  <w:style w:type="paragraph" w:customStyle="1" w:styleId="Charfffff7">
    <w:name w:val="列表 Char列表"/>
    <w:basedOn w:val="affb"/>
    <w:next w:val="21"/>
    <w:qFormat/>
    <w:pPr>
      <w:widowControl/>
      <w:spacing w:line="480" w:lineRule="exact"/>
      <w:ind w:left="0" w:firstLine="0"/>
      <w:jc w:val="center"/>
    </w:pPr>
    <w:rPr>
      <w:rFonts w:eastAsia="黑体"/>
      <w:sz w:val="24"/>
      <w:szCs w:val="24"/>
    </w:rPr>
  </w:style>
  <w:style w:type="paragraph" w:customStyle="1" w:styleId="1fffff">
    <w:name w:val="北正文1"/>
    <w:basedOn w:val="a9"/>
    <w:qFormat/>
    <w:pPr>
      <w:adjustRightInd w:val="0"/>
      <w:spacing w:before="40" w:after="40" w:line="300" w:lineRule="auto"/>
      <w:ind w:firstLine="510"/>
      <w:textAlignment w:val="baseline"/>
    </w:pPr>
    <w:rPr>
      <w:sz w:val="24"/>
    </w:rPr>
  </w:style>
  <w:style w:type="paragraph" w:customStyle="1" w:styleId="--0">
    <w:name w:val="- 页码 -"/>
    <w:qFormat/>
    <w:pPr>
      <w:widowControl w:val="0"/>
      <w:spacing w:line="360" w:lineRule="auto"/>
      <w:jc w:val="both"/>
    </w:pPr>
    <w:rPr>
      <w:kern w:val="2"/>
      <w:sz w:val="21"/>
    </w:rPr>
  </w:style>
  <w:style w:type="paragraph" w:customStyle="1" w:styleId="1CharCharChar0">
    <w:name w:val="正文1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affffffffffffffff5">
    <w:name w:val="样式 (中文) 华文楷体 四号"/>
    <w:basedOn w:val="a9"/>
    <w:qFormat/>
    <w:pPr>
      <w:adjustRightInd w:val="0"/>
      <w:spacing w:line="300" w:lineRule="auto"/>
      <w:textAlignment w:val="baseline"/>
    </w:pPr>
    <w:rPr>
      <w:rFonts w:eastAsia="华文楷体" w:cs="宋体"/>
      <w:sz w:val="28"/>
    </w:rPr>
  </w:style>
  <w:style w:type="paragraph" w:customStyle="1" w:styleId="ParaCharChar">
    <w:name w:val="默认段落字体 Para Char Char"/>
    <w:basedOn w:val="a9"/>
    <w:semiHidden/>
    <w:qFormat/>
    <w:pPr>
      <w:widowControl/>
    </w:pPr>
    <w:rPr>
      <w:rFonts w:cs="宋体"/>
      <w:sz w:val="24"/>
      <w:lang w:bidi="ne-NP"/>
    </w:rPr>
  </w:style>
  <w:style w:type="paragraph" w:customStyle="1" w:styleId="affffffffffffffff6">
    <w:name w:val="表格样式"/>
    <w:basedOn w:val="a9"/>
    <w:semiHidden/>
    <w:qFormat/>
    <w:pPr>
      <w:adjustRightInd w:val="0"/>
      <w:snapToGrid w:val="0"/>
      <w:jc w:val="center"/>
      <w:textAlignment w:val="baseline"/>
    </w:pPr>
    <w:rPr>
      <w:rFonts w:ascii="宋体"/>
      <w:snapToGrid w:val="0"/>
      <w:color w:val="000000"/>
      <w:sz w:val="24"/>
    </w:rPr>
  </w:style>
  <w:style w:type="paragraph" w:customStyle="1" w:styleId="xl570">
    <w:name w:val="xl57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316">
    <w:name w:val="正文文本缩进 31"/>
    <w:basedOn w:val="a9"/>
    <w:qFormat/>
    <w:pPr>
      <w:widowControl/>
      <w:autoSpaceDE w:val="0"/>
      <w:autoSpaceDN w:val="0"/>
      <w:adjustRightInd w:val="0"/>
      <w:spacing w:line="520" w:lineRule="exact"/>
      <w:ind w:firstLineChars="200" w:firstLine="540"/>
      <w:jc w:val="left"/>
      <w:textAlignment w:val="baseline"/>
    </w:pPr>
    <w:rPr>
      <w:rFonts w:ascii="宋体" w:eastAsia="仿宋_GB2312" w:hAnsi="Tms Rmn" w:cs="宋体"/>
      <w:spacing w:val="4"/>
      <w:sz w:val="28"/>
      <w:lang w:bidi="ne-NP"/>
    </w:rPr>
  </w:style>
  <w:style w:type="paragraph" w:customStyle="1" w:styleId="affffffffffffffff7">
    <w:name w:val="表的内容"/>
    <w:basedOn w:val="a9"/>
    <w:next w:val="a9"/>
    <w:qFormat/>
    <w:rPr>
      <w:position w:val="-20"/>
    </w:rPr>
  </w:style>
  <w:style w:type="paragraph" w:customStyle="1" w:styleId="contentlabel">
    <w:name w:val="contentlabel"/>
    <w:basedOn w:val="a9"/>
    <w:qFormat/>
    <w:pPr>
      <w:widowControl/>
      <w:spacing w:before="30" w:after="100" w:afterAutospacing="1" w:line="360" w:lineRule="auto"/>
      <w:ind w:left="90"/>
      <w:jc w:val="left"/>
    </w:pPr>
    <w:rPr>
      <w:rFonts w:ascii="宋体" w:hAnsi="宋体"/>
      <w:color w:val="336666"/>
      <w:sz w:val="18"/>
      <w:szCs w:val="18"/>
    </w:rPr>
  </w:style>
  <w:style w:type="paragraph" w:customStyle="1" w:styleId="T1">
    <w:name w:val="T表格"/>
    <w:qFormat/>
    <w:pPr>
      <w:spacing w:line="360" w:lineRule="auto"/>
      <w:jc w:val="both"/>
    </w:pPr>
    <w:rPr>
      <w:color w:val="333300"/>
      <w:sz w:val="21"/>
    </w:rPr>
  </w:style>
  <w:style w:type="paragraph" w:customStyle="1" w:styleId="xl192">
    <w:name w:val="xl192"/>
    <w:basedOn w:val="a9"/>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xl57">
    <w:name w:val="xl57"/>
    <w:basedOn w:val="a9"/>
    <w:qFormat/>
    <w:pPr>
      <w:widowControl/>
      <w:pBdr>
        <w:right w:val="single" w:sz="4" w:space="0" w:color="auto"/>
      </w:pBdr>
      <w:spacing w:before="100" w:beforeAutospacing="1" w:after="100" w:afterAutospacing="1"/>
      <w:jc w:val="center"/>
    </w:pPr>
    <w:rPr>
      <w:rFonts w:ascii="宋体" w:hAnsi="宋体" w:cs="宋体"/>
      <w:sz w:val="18"/>
      <w:szCs w:val="18"/>
      <w:lang w:bidi="ne-NP"/>
    </w:rPr>
  </w:style>
  <w:style w:type="paragraph" w:customStyle="1" w:styleId="reader-word-layer">
    <w:name w:val="reader-word-layer"/>
    <w:basedOn w:val="a9"/>
    <w:qFormat/>
    <w:pPr>
      <w:widowControl/>
      <w:spacing w:before="100" w:beforeAutospacing="1" w:after="100" w:afterAutospacing="1" w:line="360" w:lineRule="auto"/>
      <w:jc w:val="left"/>
    </w:pPr>
    <w:rPr>
      <w:rFonts w:ascii="宋体" w:hAnsi="宋体" w:cs="宋体"/>
      <w:sz w:val="24"/>
    </w:rPr>
  </w:style>
  <w:style w:type="paragraph" w:customStyle="1" w:styleId="affffffffffffffff8">
    <w:name w:val="鸿达表格文字"/>
    <w:basedOn w:val="a9"/>
    <w:qFormat/>
    <w:pPr>
      <w:contextualSpacing/>
      <w:jc w:val="center"/>
      <w:textAlignment w:val="baseline"/>
    </w:pPr>
    <w:rPr>
      <w:szCs w:val="21"/>
    </w:rPr>
  </w:style>
  <w:style w:type="paragraph" w:customStyle="1" w:styleId="affffffffffffffff9">
    <w:name w:val="表体"/>
    <w:basedOn w:val="aff1"/>
    <w:qFormat/>
    <w:pPr>
      <w:adjustRightInd w:val="0"/>
      <w:snapToGrid w:val="0"/>
      <w:spacing w:line="240" w:lineRule="atLeast"/>
      <w:ind w:left="-96" w:right="-85"/>
      <w:jc w:val="center"/>
      <w:textAlignment w:val="baseline"/>
    </w:pPr>
    <w:rPr>
      <w:spacing w:val="-6"/>
      <w:sz w:val="18"/>
      <w:szCs w:val="21"/>
    </w:rPr>
  </w:style>
  <w:style w:type="paragraph" w:customStyle="1" w:styleId="225">
    <w:name w:val="正文文本缩进 22"/>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CharChar1Char2CharCharChar2">
    <w:name w:val="Char Char1 Char2 Char Char Char2"/>
    <w:basedOn w:val="a9"/>
    <w:qFormat/>
    <w:pPr>
      <w:widowControl/>
      <w:spacing w:line="360" w:lineRule="auto"/>
      <w:ind w:firstLineChars="200" w:firstLine="200"/>
    </w:pPr>
    <w:rPr>
      <w:rFonts w:ascii="宋体" w:hAnsi="宋体" w:cs="宋体"/>
      <w:sz w:val="24"/>
      <w:lang w:bidi="ne-NP"/>
    </w:rPr>
  </w:style>
  <w:style w:type="paragraph" w:customStyle="1" w:styleId="Date1">
    <w:name w:val="Date1"/>
    <w:basedOn w:val="a9"/>
    <w:next w:val="a9"/>
    <w:qFormat/>
    <w:pPr>
      <w:widowControl/>
      <w:adjustRightInd w:val="0"/>
      <w:textAlignment w:val="baseline"/>
    </w:pPr>
    <w:rPr>
      <w:rFonts w:cs="宋体"/>
      <w:sz w:val="24"/>
      <w:lang w:bidi="ne-NP"/>
    </w:rPr>
  </w:style>
  <w:style w:type="paragraph" w:customStyle="1" w:styleId="3110">
    <w:name w:val="正文文本缩进 311"/>
    <w:basedOn w:val="a9"/>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affffffffffffffffa">
    <w:name w:val="大纲正文"/>
    <w:basedOn w:val="a9"/>
    <w:qFormat/>
    <w:pPr>
      <w:autoSpaceDE w:val="0"/>
      <w:autoSpaceDN w:val="0"/>
      <w:adjustRightInd w:val="0"/>
      <w:spacing w:line="300" w:lineRule="auto"/>
      <w:ind w:firstLineChars="200" w:firstLine="200"/>
    </w:pPr>
    <w:rPr>
      <w:rFonts w:ascii="宋体"/>
      <w:color w:val="000000"/>
      <w:sz w:val="24"/>
      <w:szCs w:val="28"/>
    </w:rPr>
  </w:style>
  <w:style w:type="paragraph" w:customStyle="1" w:styleId="1CharChar7">
    <w:name w:val="样式 正文1 Char Char + 字距调整七号"/>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xl45">
    <w:name w:val="xl4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sz w:val="22"/>
      <w:szCs w:val="22"/>
    </w:rPr>
  </w:style>
  <w:style w:type="paragraph" w:customStyle="1" w:styleId="2ff7">
    <w:name w:val="样式 标题 2 + 两端对齐"/>
    <w:basedOn w:val="2"/>
    <w:qFormat/>
    <w:pPr>
      <w:keepLines w:val="0"/>
      <w:widowControl/>
      <w:numPr>
        <w:ilvl w:val="0"/>
        <w:numId w:val="0"/>
      </w:numPr>
      <w:pBdr>
        <w:bottom w:val="none" w:sz="0" w:space="0" w:color="auto"/>
      </w:pBdr>
      <w:tabs>
        <w:tab w:val="left" w:pos="1702"/>
      </w:tabs>
      <w:spacing w:before="100" w:after="100" w:line="360" w:lineRule="auto"/>
      <w:ind w:left="846" w:hanging="846"/>
    </w:pPr>
    <w:rPr>
      <w:rFonts w:eastAsia="宋体" w:cs="宋体"/>
      <w:bCs/>
      <w:sz w:val="30"/>
    </w:rPr>
  </w:style>
  <w:style w:type="paragraph" w:customStyle="1" w:styleId="a30">
    <w:name w:val="a3"/>
    <w:basedOn w:val="a9"/>
    <w:qFormat/>
    <w:pPr>
      <w:widowControl/>
      <w:topLinePunct/>
      <w:spacing w:before="100" w:beforeAutospacing="1" w:after="100" w:afterAutospacing="1" w:line="360" w:lineRule="auto"/>
      <w:jc w:val="left"/>
    </w:pPr>
    <w:rPr>
      <w:rFonts w:ascii="宋体" w:hAnsi="宋体"/>
      <w:color w:val="000000"/>
      <w:sz w:val="24"/>
    </w:rPr>
  </w:style>
  <w:style w:type="paragraph" w:customStyle="1" w:styleId="affffffffffffffffb">
    <w:name w:val="`"/>
    <w:basedOn w:val="a9"/>
    <w:qFormat/>
    <w:pPr>
      <w:spacing w:line="480" w:lineRule="exact"/>
      <w:ind w:firstLineChars="200" w:firstLine="200"/>
    </w:pPr>
    <w:rPr>
      <w:sz w:val="24"/>
    </w:rPr>
  </w:style>
  <w:style w:type="paragraph" w:customStyle="1" w:styleId="xl540">
    <w:name w:val="xl54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bidi="ne-NP"/>
    </w:rPr>
  </w:style>
  <w:style w:type="paragraph" w:customStyle="1" w:styleId="3111h3H3level3PIM3Level3HeadHeading3-ol">
    <w:name w:val="样式 标题 3条标题1.1.1h3H3level_3PIM 3Level 3 HeadHeading 3 - ol..."/>
    <w:basedOn w:val="3"/>
    <w:qFormat/>
    <w:pPr>
      <w:keepNext/>
      <w:keepLines/>
      <w:numPr>
        <w:ilvl w:val="0"/>
        <w:numId w:val="0"/>
      </w:numPr>
      <w:tabs>
        <w:tab w:val="clear" w:pos="720"/>
        <w:tab w:val="left" w:pos="731"/>
        <w:tab w:val="left" w:pos="862"/>
        <w:tab w:val="left" w:pos="1567"/>
      </w:tabs>
      <w:snapToGrid/>
      <w:spacing w:beforeLines="50" w:afterLines="50" w:line="240" w:lineRule="auto"/>
      <w:textAlignment w:val="baseline"/>
    </w:pPr>
    <w:rPr>
      <w:rFonts w:ascii="华文中宋" w:eastAsia="仿宋_GB2312" w:hAnsi="宋体" w:cs="宋体"/>
      <w:b w:val="0"/>
      <w:bCs/>
      <w:sz w:val="28"/>
      <w:szCs w:val="28"/>
    </w:rPr>
  </w:style>
  <w:style w:type="paragraph" w:customStyle="1" w:styleId="CharChar1CharCharCharCharCharCharCharCharCharChar">
    <w:name w:val="Char Char1 Char Char Char Char Char Char Char Char Char Char"/>
    <w:basedOn w:val="a9"/>
    <w:qFormat/>
    <w:pPr>
      <w:spacing w:line="360" w:lineRule="auto"/>
      <w:ind w:firstLineChars="200" w:firstLine="200"/>
    </w:pPr>
    <w:rPr>
      <w:rFonts w:ascii="宋体" w:hAnsi="宋体" w:cs="宋体"/>
      <w:sz w:val="24"/>
    </w:rPr>
  </w:style>
  <w:style w:type="paragraph" w:customStyle="1" w:styleId="3ff0">
    <w:name w:val="小标题3"/>
    <w:basedOn w:val="2ff8"/>
    <w:qFormat/>
    <w:pPr>
      <w:spacing w:beforeLines="0"/>
    </w:pPr>
  </w:style>
  <w:style w:type="paragraph" w:customStyle="1" w:styleId="2ff8">
    <w:name w:val="小标题2"/>
    <w:basedOn w:val="a9"/>
    <w:next w:val="a9"/>
    <w:qFormat/>
    <w:pPr>
      <w:widowControl/>
      <w:tabs>
        <w:tab w:val="left" w:pos="1174"/>
      </w:tabs>
      <w:adjustRightInd w:val="0"/>
      <w:snapToGrid w:val="0"/>
      <w:spacing w:beforeLines="50" w:line="360" w:lineRule="auto"/>
      <w:ind w:firstLine="454"/>
      <w:jc w:val="left"/>
    </w:pPr>
    <w:rPr>
      <w:rFonts w:ascii="宋体" w:cs="宋体"/>
      <w:sz w:val="24"/>
      <w:lang w:bidi="ne-NP"/>
    </w:rPr>
  </w:style>
  <w:style w:type="paragraph" w:customStyle="1" w:styleId="xl554">
    <w:name w:val="xl55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xl131">
    <w:name w:val="xl131"/>
    <w:basedOn w:val="a9"/>
    <w:qFormat/>
    <w:pPr>
      <w:widowControl/>
      <w:spacing w:before="100" w:beforeAutospacing="1" w:after="100" w:afterAutospacing="1"/>
      <w:jc w:val="left"/>
    </w:pPr>
    <w:rPr>
      <w:rFonts w:ascii="Arial" w:hAnsi="Arial" w:cs="宋体"/>
      <w:color w:val="FFFFFF"/>
      <w:sz w:val="24"/>
      <w:lang w:bidi="ne-NP"/>
    </w:rPr>
  </w:style>
  <w:style w:type="paragraph" w:customStyle="1" w:styleId="Web1">
    <w:name w:val="普通(Web)1"/>
    <w:basedOn w:val="a9"/>
    <w:qFormat/>
    <w:pPr>
      <w:widowControl/>
      <w:spacing w:before="75" w:after="100" w:afterAutospacing="1"/>
      <w:jc w:val="left"/>
    </w:pPr>
    <w:rPr>
      <w:rFonts w:ascii="宋体" w:hAnsi="宋体" w:cs="宋体"/>
      <w:sz w:val="24"/>
      <w:lang w:bidi="ne-NP"/>
    </w:rPr>
  </w:style>
  <w:style w:type="paragraph" w:customStyle="1" w:styleId="20503">
    <w:name w:val="样式 表名称 + 首行缩进:  2 字符 段前: 0.5 行 段后: 0.3 行"/>
    <w:basedOn w:val="afffffffffff7"/>
    <w:qFormat/>
    <w:pPr>
      <w:suppressLineNumbers w:val="0"/>
      <w:suppressAutoHyphens w:val="0"/>
      <w:spacing w:beforeLines="30" w:after="30"/>
      <w:ind w:firstLine="200"/>
    </w:pPr>
  </w:style>
  <w:style w:type="paragraph" w:customStyle="1" w:styleId="font15">
    <w:name w:val="font15"/>
    <w:basedOn w:val="a9"/>
    <w:qFormat/>
    <w:pPr>
      <w:widowControl/>
      <w:spacing w:before="100" w:beforeAutospacing="1" w:after="100" w:afterAutospacing="1" w:line="360" w:lineRule="auto"/>
      <w:jc w:val="left"/>
    </w:pPr>
    <w:rPr>
      <w:color w:val="000000"/>
      <w:sz w:val="22"/>
      <w:szCs w:val="22"/>
    </w:rPr>
  </w:style>
  <w:style w:type="paragraph" w:customStyle="1" w:styleId="1061228">
    <w:name w:val="样式 标题 1 + 首行缩进:  0 厘米 段前: 6 磅 段后: 12 磅 行距: 最小值 28 磅"/>
    <w:basedOn w:val="1"/>
    <w:qFormat/>
    <w:pPr>
      <w:widowControl/>
      <w:numPr>
        <w:numId w:val="0"/>
      </w:numPr>
      <w:tabs>
        <w:tab w:val="left" w:pos="1800"/>
      </w:tabs>
      <w:spacing w:beforeLines="200" w:after="624" w:line="560" w:lineRule="exact"/>
      <w:jc w:val="center"/>
    </w:pPr>
    <w:rPr>
      <w:rFonts w:ascii="黑体" w:eastAsia="黑体" w:cs="宋体"/>
      <w:b w:val="0"/>
      <w:bCs/>
      <w:color w:val="000000"/>
      <w:szCs w:val="32"/>
      <w:u w:color="000000"/>
    </w:rPr>
  </w:style>
  <w:style w:type="paragraph" w:customStyle="1" w:styleId="font5">
    <w:name w:val="font5"/>
    <w:basedOn w:val="a9"/>
    <w:qFormat/>
    <w:pPr>
      <w:widowControl/>
      <w:spacing w:before="100" w:beforeAutospacing="1" w:after="100" w:afterAutospacing="1"/>
      <w:jc w:val="left"/>
    </w:pPr>
    <w:rPr>
      <w:rFonts w:ascii="宋体" w:hAnsi="宋体" w:cs="Arial Unicode MS" w:hint="eastAsia"/>
      <w:sz w:val="24"/>
    </w:rPr>
  </w:style>
  <w:style w:type="paragraph" w:customStyle="1" w:styleId="affffffffffffffffc">
    <w:name w:val="鸿达表格段落"/>
    <w:basedOn w:val="a9"/>
    <w:qFormat/>
    <w:pPr>
      <w:adjustRightInd w:val="0"/>
      <w:snapToGrid w:val="0"/>
      <w:ind w:firstLineChars="100" w:firstLine="100"/>
      <w:jc w:val="left"/>
    </w:pPr>
    <w:rPr>
      <w:snapToGrid w:val="0"/>
    </w:rPr>
  </w:style>
  <w:style w:type="paragraph" w:customStyle="1" w:styleId="xl88">
    <w:name w:val="xl88"/>
    <w:basedOn w:val="a9"/>
    <w:qFormat/>
    <w:pPr>
      <w:widowControl/>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CharCharCharCharCharCharChar1">
    <w:name w:val="Char Char Char Char Char Char Char1"/>
    <w:basedOn w:val="a9"/>
    <w:qFormat/>
    <w:pPr>
      <w:widowControl/>
      <w:spacing w:line="360" w:lineRule="auto"/>
      <w:ind w:firstLineChars="200" w:firstLine="200"/>
    </w:pPr>
    <w:rPr>
      <w:rFonts w:cs="宋体"/>
      <w:sz w:val="24"/>
      <w:lang w:bidi="ne-NP"/>
    </w:rPr>
  </w:style>
  <w:style w:type="paragraph" w:customStyle="1" w:styleId="1fffff0">
    <w:name w:val="列表项目符号1."/>
    <w:basedOn w:val="a9"/>
    <w:semiHidden/>
    <w:qFormat/>
    <w:pPr>
      <w:widowControl/>
      <w:adjustRightInd w:val="0"/>
      <w:spacing w:line="312" w:lineRule="atLeast"/>
      <w:ind w:left="425" w:hanging="425"/>
      <w:jc w:val="left"/>
      <w:textAlignment w:val="baseline"/>
    </w:pPr>
  </w:style>
  <w:style w:type="paragraph" w:customStyle="1" w:styleId="xl44">
    <w:name w:val="xl4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sz w:val="22"/>
      <w:szCs w:val="22"/>
    </w:rPr>
  </w:style>
  <w:style w:type="paragraph" w:customStyle="1" w:styleId="xl548">
    <w:name w:val="xl548"/>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xl546">
    <w:name w:val="xl54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BodyTextIndent21">
    <w:name w:val="Body Text Indent 21"/>
    <w:basedOn w:val="a9"/>
    <w:qFormat/>
    <w:pPr>
      <w:widowControl/>
      <w:adjustRightInd w:val="0"/>
      <w:spacing w:line="360" w:lineRule="auto"/>
      <w:ind w:firstLine="480"/>
      <w:textAlignment w:val="baseline"/>
    </w:pPr>
    <w:rPr>
      <w:rFonts w:ascii="宋体" w:cs="宋体"/>
      <w:sz w:val="24"/>
      <w:lang w:bidi="ne-NP"/>
    </w:rPr>
  </w:style>
  <w:style w:type="paragraph" w:customStyle="1" w:styleId="1fffff1">
    <w:name w:val="样式 正文首行缩进 + 首行缩进:  1 字符"/>
    <w:basedOn w:val="af0"/>
    <w:qFormat/>
    <w:pPr>
      <w:widowControl/>
      <w:snapToGrid w:val="0"/>
      <w:spacing w:line="240" w:lineRule="auto"/>
      <w:ind w:firstLineChars="100" w:firstLine="100"/>
      <w:contextualSpacing/>
    </w:pPr>
    <w:rPr>
      <w:rFonts w:cs="宋体"/>
      <w:sz w:val="32"/>
    </w:rPr>
  </w:style>
  <w:style w:type="paragraph" w:customStyle="1" w:styleId="CharCharCharCharCharChar1CharCharCharChaChar">
    <w:name w:val="样式 列表列表 Char列表 Char Char Char Char Char1列表 Char Char Char Cha... Char"/>
    <w:basedOn w:val="affb"/>
    <w:qFormat/>
    <w:pPr>
      <w:widowControl/>
      <w:spacing w:line="500" w:lineRule="exact"/>
      <w:ind w:left="0" w:firstLineChars="200" w:firstLine="200"/>
      <w:jc w:val="center"/>
    </w:pPr>
    <w:rPr>
      <w:rFonts w:eastAsia="黑体"/>
      <w:sz w:val="24"/>
      <w:szCs w:val="24"/>
    </w:rPr>
  </w:style>
  <w:style w:type="paragraph" w:customStyle="1" w:styleId="1031">
    <w:name w:val="样式 表名1 + 段前: 0.3 行1"/>
    <w:basedOn w:val="1ffffb"/>
    <w:qFormat/>
    <w:rPr>
      <w:bCs w:val="0"/>
    </w:rPr>
  </w:style>
  <w:style w:type="paragraph" w:customStyle="1" w:styleId="3ff1">
    <w:name w:val="样式 标题 3 + 小三 黑色"/>
    <w:basedOn w:val="3"/>
    <w:qFormat/>
    <w:pPr>
      <w:keepNext/>
      <w:keepLines/>
      <w:widowControl/>
      <w:numPr>
        <w:ilvl w:val="0"/>
        <w:numId w:val="0"/>
      </w:numPr>
      <w:tabs>
        <w:tab w:val="left" w:pos="0"/>
        <w:tab w:val="left" w:pos="862"/>
        <w:tab w:val="left" w:pos="1567"/>
      </w:tabs>
      <w:snapToGrid/>
      <w:spacing w:before="260" w:after="260" w:line="416" w:lineRule="auto"/>
    </w:pPr>
    <w:rPr>
      <w:rFonts w:eastAsia="宋体" w:cs="宋体"/>
      <w:bCs/>
      <w:color w:val="000000"/>
      <w:sz w:val="30"/>
      <w:szCs w:val="30"/>
      <w:lang w:bidi="ne-NP"/>
    </w:rPr>
  </w:style>
  <w:style w:type="paragraph" w:customStyle="1" w:styleId="affffffffffffffffd">
    <w:name w:val="质报书正文"/>
    <w:basedOn w:val="a9"/>
    <w:qFormat/>
    <w:rPr>
      <w:sz w:val="24"/>
    </w:rPr>
  </w:style>
  <w:style w:type="paragraph" w:customStyle="1" w:styleId="Char310">
    <w:name w:val="Char31"/>
    <w:basedOn w:val="2"/>
    <w:qFormat/>
    <w:pPr>
      <w:numPr>
        <w:numId w:val="0"/>
      </w:numPr>
      <w:tabs>
        <w:tab w:val="clear" w:pos="567"/>
        <w:tab w:val="left" w:pos="576"/>
      </w:tabs>
      <w:spacing w:beforeAutospacing="1" w:line="360" w:lineRule="auto"/>
      <w:ind w:left="576" w:firstLineChars="200" w:firstLine="200"/>
    </w:pPr>
    <w:rPr>
      <w:rFonts w:ascii="黑体"/>
      <w:sz w:val="28"/>
    </w:rPr>
  </w:style>
  <w:style w:type="paragraph" w:customStyle="1" w:styleId="p0">
    <w:name w:val="p0"/>
    <w:basedOn w:val="a9"/>
    <w:qFormat/>
    <w:pPr>
      <w:widowControl/>
      <w:spacing w:line="360" w:lineRule="auto"/>
    </w:pPr>
    <w:rPr>
      <w:szCs w:val="21"/>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9"/>
    <w:qFormat/>
    <w:pPr>
      <w:widowControl/>
      <w:spacing w:line="360" w:lineRule="auto"/>
      <w:ind w:firstLineChars="200" w:firstLine="200"/>
    </w:pPr>
    <w:rPr>
      <w:rFonts w:ascii="宋体" w:hAnsi="宋体" w:cs="宋体"/>
      <w:sz w:val="24"/>
      <w:lang w:bidi="ne-NP"/>
    </w:rPr>
  </w:style>
  <w:style w:type="paragraph" w:customStyle="1" w:styleId="3ff2">
    <w:name w:val="正文3"/>
    <w:basedOn w:val="a9"/>
    <w:link w:val="3Char10"/>
    <w:qFormat/>
    <w:pPr>
      <w:widowControl/>
      <w:adjustRightInd w:val="0"/>
      <w:snapToGrid w:val="0"/>
      <w:spacing w:line="560" w:lineRule="exact"/>
      <w:ind w:firstLineChars="200" w:firstLine="200"/>
    </w:pPr>
    <w:rPr>
      <w:rFonts w:eastAsia="仿宋_GB2312" w:cs="宋体"/>
      <w:sz w:val="28"/>
      <w:szCs w:val="28"/>
      <w:lang w:bidi="ne-NP"/>
    </w:rPr>
  </w:style>
  <w:style w:type="paragraph" w:customStyle="1" w:styleId="affffffffffffffffe">
    <w:name w:val="正文魏"/>
    <w:basedOn w:val="a9"/>
    <w:qFormat/>
    <w:pPr>
      <w:spacing w:line="360" w:lineRule="auto"/>
      <w:ind w:firstLineChars="200" w:firstLine="200"/>
    </w:pPr>
    <w:rPr>
      <w:sz w:val="24"/>
    </w:rPr>
  </w:style>
  <w:style w:type="paragraph" w:customStyle="1" w:styleId="afffffffffffffffff">
    <w:name w:val="首缩"/>
    <w:basedOn w:val="a9"/>
    <w:qFormat/>
    <w:pPr>
      <w:adjustRightInd w:val="0"/>
      <w:snapToGrid w:val="0"/>
      <w:spacing w:line="500" w:lineRule="exact"/>
      <w:ind w:firstLineChars="200" w:firstLine="200"/>
    </w:pPr>
    <w:rPr>
      <w:rFonts w:eastAsia="仿宋_GB2312"/>
      <w:snapToGrid w:val="0"/>
      <w:sz w:val="28"/>
    </w:rPr>
  </w:style>
  <w:style w:type="paragraph" w:customStyle="1" w:styleId="puce1-3pts">
    <w:name w:val="puce1-3pts"/>
    <w:basedOn w:val="a9"/>
    <w:qFormat/>
    <w:pPr>
      <w:widowControl/>
      <w:tabs>
        <w:tab w:val="left" w:pos="0"/>
        <w:tab w:val="left" w:pos="1560"/>
      </w:tabs>
      <w:spacing w:before="60"/>
      <w:ind w:left="1559" w:hanging="425"/>
    </w:pPr>
    <w:rPr>
      <w:rFonts w:ascii="Arial" w:eastAsia="MS Mincho" w:hAnsi="Arial" w:cs="宋体"/>
      <w:lang w:eastAsia="fr-FR" w:bidi="ne-NP"/>
    </w:rPr>
  </w:style>
  <w:style w:type="paragraph" w:customStyle="1" w:styleId="Puce2-8pts">
    <w:name w:val="Puce2-8pts"/>
    <w:basedOn w:val="a9"/>
    <w:qFormat/>
    <w:pPr>
      <w:keepLines/>
      <w:widowControl/>
      <w:tabs>
        <w:tab w:val="left" w:pos="-283"/>
        <w:tab w:val="left" w:pos="1200"/>
      </w:tabs>
      <w:spacing w:before="160"/>
      <w:ind w:left="1701" w:hanging="720"/>
    </w:pPr>
    <w:rPr>
      <w:rFonts w:ascii="Arial" w:hAnsi="Arial" w:cs="宋体"/>
      <w:lang w:eastAsia="fr-FR" w:bidi="ne-NP"/>
    </w:rPr>
  </w:style>
  <w:style w:type="paragraph" w:customStyle="1" w:styleId="2ff9">
    <w:name w:val="表格2"/>
    <w:basedOn w:val="afffff5"/>
    <w:qFormat/>
    <w:pPr>
      <w:jc w:val="both"/>
    </w:pPr>
    <w:rPr>
      <w:rFonts w:ascii="Arial" w:hAnsi="Arial"/>
      <w:kern w:val="2"/>
      <w:szCs w:val="21"/>
    </w:rPr>
  </w:style>
  <w:style w:type="paragraph" w:customStyle="1" w:styleId="xl565">
    <w:name w:val="xl565"/>
    <w:basedOn w:val="a9"/>
    <w:qFormat/>
    <w:pPr>
      <w:widowControl/>
      <w:pBdr>
        <w:left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xl188">
    <w:name w:val="xl188"/>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0101">
    <w:name w:val="样式 表字五号 + 段前: 0.1 行 段后: 0.1 行"/>
    <w:basedOn w:val="affffffffff7"/>
    <w:qFormat/>
    <w:pPr>
      <w:spacing w:before="31" w:after="31"/>
    </w:pPr>
    <w:rPr>
      <w:szCs w:val="21"/>
    </w:rPr>
  </w:style>
  <w:style w:type="paragraph" w:customStyle="1" w:styleId="CharCharCharCharCharCharChar1CharCharChar2">
    <w:name w:val="Char Char Char Char Char Char Char1 Char Char Char2"/>
    <w:basedOn w:val="a9"/>
    <w:qFormat/>
    <w:pPr>
      <w:widowControl/>
      <w:spacing w:line="360" w:lineRule="auto"/>
    </w:pPr>
    <w:rPr>
      <w:rFonts w:cs="宋体"/>
      <w:sz w:val="24"/>
      <w:szCs w:val="21"/>
      <w:lang w:bidi="ne-NP"/>
    </w:rPr>
  </w:style>
  <w:style w:type="paragraph" w:customStyle="1" w:styleId="xl67">
    <w:name w:val="xl67"/>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style>
  <w:style w:type="paragraph" w:customStyle="1" w:styleId="3ff3">
    <w:name w:val="样式 标题 3 + 黑色"/>
    <w:basedOn w:val="3"/>
    <w:qFormat/>
    <w:pPr>
      <w:keepNext/>
      <w:keepLines/>
      <w:numPr>
        <w:ilvl w:val="0"/>
        <w:numId w:val="0"/>
      </w:numPr>
      <w:tabs>
        <w:tab w:val="clear" w:pos="720"/>
        <w:tab w:val="left" w:pos="486"/>
        <w:tab w:val="left" w:pos="709"/>
        <w:tab w:val="left" w:pos="862"/>
        <w:tab w:val="left" w:pos="1567"/>
      </w:tabs>
      <w:snapToGrid/>
      <w:spacing w:beforeLines="50" w:afterLines="50" w:line="600" w:lineRule="exact"/>
      <w:ind w:left="567" w:hanging="709"/>
      <w:jc w:val="left"/>
    </w:pPr>
    <w:rPr>
      <w:rFonts w:ascii="华文中宋" w:eastAsia="华文中宋" w:hAnsi="宋体"/>
      <w:b w:val="0"/>
      <w:bCs/>
      <w:color w:val="000000"/>
      <w:sz w:val="28"/>
      <w:szCs w:val="32"/>
    </w:rPr>
  </w:style>
  <w:style w:type="paragraph" w:customStyle="1" w:styleId="xl30">
    <w:name w:val="xl30"/>
    <w:basedOn w:val="a9"/>
    <w:qFormat/>
    <w:pPr>
      <w:widowControl/>
      <w:spacing w:before="100" w:beforeAutospacing="1" w:after="100" w:afterAutospacing="1"/>
      <w:jc w:val="left"/>
      <w:textAlignment w:val="center"/>
    </w:pPr>
    <w:rPr>
      <w:rFonts w:ascii="Courier New" w:eastAsia="Arial Unicode MS" w:hAnsi="Courier New" w:cs="Courier New"/>
      <w:sz w:val="22"/>
      <w:szCs w:val="22"/>
    </w:rPr>
  </w:style>
  <w:style w:type="paragraph" w:customStyle="1" w:styleId="1222">
    <w:name w:val="样式 样式 正文1 + 首行缩进:  2 字符2 + 首行缩进:  2 字符"/>
    <w:basedOn w:val="a9"/>
    <w:qFormat/>
    <w:pPr>
      <w:widowControl/>
      <w:suppressLineNumbers/>
      <w:suppressAutoHyphens/>
      <w:adjustRightInd w:val="0"/>
      <w:snapToGrid w:val="0"/>
      <w:spacing w:beforeLines="10" w:afterLines="10" w:line="360" w:lineRule="auto"/>
      <w:ind w:firstLineChars="200" w:firstLine="480"/>
    </w:pPr>
    <w:rPr>
      <w:rFonts w:cs="宋体"/>
      <w:color w:val="000000"/>
      <w:sz w:val="24"/>
      <w:lang w:bidi="ne-NP"/>
    </w:rPr>
  </w:style>
  <w:style w:type="paragraph" w:customStyle="1" w:styleId="afffffffffffffffff0">
    <w:name w:val="目录"/>
    <w:basedOn w:val="affff7"/>
    <w:next w:val="affff7"/>
    <w:qFormat/>
    <w:pPr>
      <w:widowControl w:val="0"/>
      <w:pBdr>
        <w:bottom w:val="single" w:sz="12" w:space="1" w:color="auto"/>
      </w:pBdr>
      <w:spacing w:before="960" w:after="960"/>
      <w:ind w:firstLineChars="0" w:firstLine="0"/>
      <w:jc w:val="right"/>
    </w:pPr>
    <w:rPr>
      <w:rFonts w:eastAsia="黑体"/>
      <w:b/>
      <w:bCs w:val="0"/>
      <w:i/>
      <w:snapToGrid/>
      <w:kern w:val="2"/>
      <w:sz w:val="32"/>
    </w:rPr>
  </w:style>
  <w:style w:type="paragraph" w:customStyle="1" w:styleId="117">
    <w:name w:val="正文文本首行缩进1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CharCharChar8">
    <w:name w:val="Char Char Char Char8"/>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ind w:leftChars="-12" w:left="542" w:firstLineChars="200" w:firstLine="200"/>
    </w:pPr>
    <w:rPr>
      <w:rFonts w:ascii="宋体" w:eastAsia="宋体" w:hAnsi="宋体"/>
      <w:b w:val="0"/>
      <w:snapToGrid w:val="0"/>
      <w:szCs w:val="24"/>
    </w:rPr>
  </w:style>
  <w:style w:type="paragraph" w:customStyle="1" w:styleId="xl34">
    <w:name w:val="xl34"/>
    <w:basedOn w:val="a9"/>
    <w:qFormat/>
    <w:pPr>
      <w:widowControl/>
      <w:spacing w:before="100" w:beforeAutospacing="1" w:after="100" w:afterAutospacing="1"/>
      <w:jc w:val="left"/>
      <w:textAlignment w:val="center"/>
    </w:pPr>
    <w:rPr>
      <w:rFonts w:ascii="Arial Unicode MS" w:eastAsia="Arial Unicode MS" w:hAnsi="Arial Unicode MS"/>
      <w:sz w:val="24"/>
    </w:rPr>
  </w:style>
  <w:style w:type="paragraph" w:customStyle="1" w:styleId="2ffa">
    <w:name w:val="表格2（柞行）"/>
    <w:basedOn w:val="afffff5"/>
    <w:qFormat/>
    <w:pPr>
      <w:spacing w:line="320" w:lineRule="exact"/>
      <w:ind w:leftChars="-20" w:left="-10" w:rightChars="-20" w:right="-10"/>
    </w:pPr>
    <w:rPr>
      <w:rFonts w:ascii="Arial" w:hAnsi="Arial"/>
      <w:kern w:val="2"/>
      <w:szCs w:val="21"/>
    </w:rPr>
  </w:style>
  <w:style w:type="paragraph" w:customStyle="1" w:styleId="B1">
    <w:name w:val="B"/>
    <w:basedOn w:val="2"/>
    <w:qFormat/>
    <w:pPr>
      <w:keepNext/>
      <w:widowControl/>
      <w:numPr>
        <w:ilvl w:val="0"/>
        <w:numId w:val="0"/>
      </w:numPr>
      <w:pBdr>
        <w:bottom w:val="none" w:sz="0" w:space="0" w:color="auto"/>
      </w:pBdr>
      <w:tabs>
        <w:tab w:val="left" w:pos="3752"/>
      </w:tabs>
      <w:spacing w:before="260" w:after="260" w:line="415" w:lineRule="auto"/>
      <w:jc w:val="left"/>
    </w:pPr>
    <w:rPr>
      <w:rFonts w:ascii="Arial" w:hAnsi="Arial"/>
      <w:bCs/>
      <w:color w:val="000000"/>
      <w:szCs w:val="32"/>
    </w:rPr>
  </w:style>
  <w:style w:type="paragraph" w:customStyle="1" w:styleId="xl572">
    <w:name w:val="xl57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Pucefleche">
    <w:name w:val="Puce fleche"/>
    <w:basedOn w:val="afd"/>
    <w:qFormat/>
    <w:pPr>
      <w:widowControl/>
      <w:tabs>
        <w:tab w:val="left" w:pos="851"/>
      </w:tabs>
      <w:spacing w:before="60" w:line="240" w:lineRule="auto"/>
      <w:ind w:left="851" w:firstLineChars="0" w:hanging="851"/>
    </w:pPr>
    <w:rPr>
      <w:rFonts w:ascii="Arial" w:hAnsi="Arial"/>
      <w:kern w:val="0"/>
      <w:sz w:val="20"/>
      <w:lang w:val="en-GB" w:eastAsia="fr-FR"/>
    </w:rPr>
  </w:style>
  <w:style w:type="paragraph" w:customStyle="1" w:styleId="xl111">
    <w:name w:val="xl111"/>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FF0000"/>
      <w:sz w:val="24"/>
    </w:rPr>
  </w:style>
  <w:style w:type="paragraph" w:customStyle="1" w:styleId="219">
    <w:name w:val="正文文本缩进 21"/>
    <w:basedOn w:val="a9"/>
    <w:qFormat/>
    <w:pPr>
      <w:widowControl/>
      <w:autoSpaceDE w:val="0"/>
      <w:autoSpaceDN w:val="0"/>
      <w:adjustRightInd w:val="0"/>
      <w:spacing w:line="360" w:lineRule="auto"/>
      <w:ind w:firstLineChars="200" w:firstLine="570"/>
      <w:jc w:val="left"/>
      <w:textAlignment w:val="baseline"/>
    </w:pPr>
    <w:rPr>
      <w:rFonts w:ascii="宋体" w:eastAsia="仿宋_GB2312" w:hAnsi="Tms Rmn" w:cs="宋体"/>
      <w:spacing w:val="4"/>
      <w:sz w:val="28"/>
      <w:lang w:bidi="ne-NP"/>
    </w:rPr>
  </w:style>
  <w:style w:type="paragraph" w:customStyle="1" w:styleId="xl35">
    <w:name w:val="xl3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rPr>
  </w:style>
  <w:style w:type="paragraph" w:customStyle="1" w:styleId="-">
    <w:name w:val="一级标题-预案"/>
    <w:basedOn w:val="a9"/>
    <w:qFormat/>
    <w:pPr>
      <w:numPr>
        <w:numId w:val="6"/>
      </w:numPr>
      <w:adjustRightInd w:val="0"/>
      <w:snapToGrid w:val="0"/>
      <w:spacing w:beforeLines="50" w:afterLines="50" w:line="360" w:lineRule="auto"/>
      <w:outlineLvl w:val="0"/>
    </w:pPr>
    <w:rPr>
      <w:rFonts w:eastAsia="黑体"/>
      <w:b/>
      <w:sz w:val="32"/>
      <w:szCs w:val="32"/>
    </w:rPr>
  </w:style>
  <w:style w:type="paragraph" w:customStyle="1" w:styleId="01815">
    <w:name w:val="样式 (中文) 黑体 小四 加粗 黑色 居中 右侧:  0.18 厘米 行距: 1.5 倍行距"/>
    <w:basedOn w:val="a9"/>
    <w:qFormat/>
    <w:pPr>
      <w:spacing w:line="360" w:lineRule="auto"/>
      <w:ind w:right="102"/>
      <w:jc w:val="center"/>
    </w:pPr>
    <w:rPr>
      <w:rFonts w:eastAsia="黑体" w:cs="宋体"/>
      <w:b/>
      <w:bCs/>
      <w:color w:val="000000"/>
      <w:sz w:val="24"/>
    </w:rPr>
  </w:style>
  <w:style w:type="paragraph" w:customStyle="1" w:styleId="CharChar1CharCharCharCharCharCharCharCharCharChar5">
    <w:name w:val="Char Char1 Char Char Char Char Char Char Char Char Char Char5"/>
    <w:basedOn w:val="a9"/>
    <w:pPr>
      <w:spacing w:line="360" w:lineRule="auto"/>
      <w:ind w:firstLineChars="200" w:firstLine="200"/>
    </w:pPr>
    <w:rPr>
      <w:rFonts w:ascii="宋体" w:hAnsi="宋体" w:cs="宋体"/>
      <w:sz w:val="24"/>
    </w:rPr>
  </w:style>
  <w:style w:type="paragraph" w:customStyle="1" w:styleId="101">
    <w:name w:val="样式 标题 1 + 加粗 首行缩进:  0 厘米"/>
    <w:basedOn w:val="1"/>
    <w:qFormat/>
    <w:pPr>
      <w:pageBreakBefore w:val="0"/>
      <w:widowControl/>
      <w:numPr>
        <w:numId w:val="0"/>
      </w:numPr>
      <w:tabs>
        <w:tab w:val="left" w:pos="1800"/>
      </w:tabs>
      <w:spacing w:beforeLines="200" w:after="360" w:line="480" w:lineRule="atLeast"/>
      <w:jc w:val="center"/>
    </w:pPr>
    <w:rPr>
      <w:rFonts w:cs="宋体"/>
      <w:b w:val="0"/>
      <w:bCs/>
      <w:sz w:val="44"/>
      <w:szCs w:val="44"/>
    </w:rPr>
  </w:style>
  <w:style w:type="paragraph" w:customStyle="1" w:styleId="xl33">
    <w:name w:val="xl3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afffffffffffffffff1">
    <w:name w:val="图名"/>
    <w:basedOn w:val="a9"/>
    <w:qFormat/>
    <w:pPr>
      <w:spacing w:beforeLines="20" w:before="62" w:afterLines="20" w:after="62" w:line="440" w:lineRule="exact"/>
      <w:jc w:val="center"/>
    </w:pPr>
    <w:rPr>
      <w:b/>
      <w:bCs/>
      <w:sz w:val="24"/>
    </w:rPr>
  </w:style>
  <w:style w:type="paragraph" w:customStyle="1" w:styleId="Char170">
    <w:name w:val="Char17"/>
    <w:basedOn w:val="a9"/>
    <w:qFormat/>
  </w:style>
  <w:style w:type="paragraph" w:customStyle="1" w:styleId="afffffffffffffffff2">
    <w:name w:val="表题"/>
    <w:basedOn w:val="a9"/>
    <w:qFormat/>
    <w:pPr>
      <w:widowControl/>
      <w:topLinePunct/>
      <w:adjustRightInd w:val="0"/>
      <w:spacing w:before="72" w:afterLines="30" w:line="440" w:lineRule="exact"/>
      <w:ind w:firstLine="480"/>
      <w:jc w:val="center"/>
      <w:textAlignment w:val="baseline"/>
    </w:pPr>
    <w:rPr>
      <w:rFonts w:ascii="黑体" w:eastAsia="黑体" w:hAnsi="宋体"/>
      <w:sz w:val="24"/>
    </w:rPr>
  </w:style>
  <w:style w:type="paragraph" w:customStyle="1" w:styleId="xl76">
    <w:name w:val="xl76"/>
    <w:basedOn w:val="a9"/>
    <w:qFormat/>
    <w:pPr>
      <w:widowControl/>
      <w:spacing w:before="100" w:after="100"/>
      <w:jc w:val="center"/>
    </w:pPr>
    <w:rPr>
      <w:rFonts w:ascii="Arial" w:hAnsi="Arial"/>
      <w:sz w:val="28"/>
    </w:rPr>
  </w:style>
  <w:style w:type="paragraph" w:customStyle="1" w:styleId="xl187">
    <w:name w:val="xl187"/>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TimesNewRomanGB2312">
    <w:name w:val="样式 表格标题新 + (西文) Times New Roman (中文) 仿宋_GB2312 黑色"/>
    <w:basedOn w:val="affffffff8"/>
    <w:qFormat/>
    <w:pPr>
      <w:spacing w:beforeLines="0" w:line="500" w:lineRule="exact"/>
      <w:ind w:firstLine="480"/>
    </w:pPr>
    <w:rPr>
      <w:rFonts w:ascii="Times New Roman" w:hAnsi="黑体"/>
      <w:bCs/>
    </w:rPr>
  </w:style>
  <w:style w:type="paragraph" w:customStyle="1" w:styleId="102">
    <w:name w:val="样式10"/>
    <w:basedOn w:val="4"/>
    <w:qFormat/>
    <w:pPr>
      <w:numPr>
        <w:ilvl w:val="0"/>
        <w:numId w:val="0"/>
      </w:numPr>
      <w:tabs>
        <w:tab w:val="left" w:pos="0"/>
        <w:tab w:val="left" w:pos="480"/>
        <w:tab w:val="left" w:pos="596"/>
        <w:tab w:val="left" w:pos="851"/>
        <w:tab w:val="left" w:pos="1567"/>
      </w:tabs>
      <w:ind w:left="142"/>
    </w:pPr>
    <w:rPr>
      <w:lang w:bidi="ne-NP"/>
    </w:rPr>
  </w:style>
  <w:style w:type="paragraph" w:customStyle="1" w:styleId="CharCharCharCharCharCharCharCharCharChar2">
    <w:name w:val="Char Char Char Char Char Char Char Char Char Char2"/>
    <w:basedOn w:val="a9"/>
    <w:qFormat/>
    <w:pPr>
      <w:widowControl/>
    </w:pPr>
    <w:rPr>
      <w:rFonts w:cs="宋体"/>
      <w:sz w:val="24"/>
      <w:lang w:bidi="ne-NP"/>
    </w:rPr>
  </w:style>
  <w:style w:type="paragraph" w:customStyle="1" w:styleId="Char420">
    <w:name w:val="Char42"/>
    <w:basedOn w:val="a9"/>
    <w:qFormat/>
    <w:pPr>
      <w:widowControl/>
      <w:spacing w:line="360" w:lineRule="auto"/>
      <w:ind w:firstLineChars="200" w:firstLine="200"/>
    </w:pPr>
    <w:rPr>
      <w:rFonts w:ascii="宋体" w:hAnsi="宋体" w:cs="宋体"/>
      <w:sz w:val="24"/>
      <w:lang w:bidi="ne-NP"/>
    </w:rPr>
  </w:style>
  <w:style w:type="paragraph" w:customStyle="1" w:styleId="-2">
    <w:name w:val="四级标题-预案"/>
    <w:basedOn w:val="a9"/>
    <w:qFormat/>
    <w:pPr>
      <w:numPr>
        <w:ilvl w:val="3"/>
        <w:numId w:val="6"/>
      </w:numPr>
      <w:adjustRightInd w:val="0"/>
      <w:snapToGrid w:val="0"/>
      <w:spacing w:line="360" w:lineRule="auto"/>
      <w:outlineLvl w:val="3"/>
    </w:pPr>
    <w:rPr>
      <w:b/>
      <w:sz w:val="24"/>
    </w:rPr>
  </w:style>
  <w:style w:type="paragraph" w:customStyle="1" w:styleId="xl191">
    <w:name w:val="xl191"/>
    <w:basedOn w:val="a9"/>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4f5">
    <w:name w:val="样式 标题 4 + 宋体"/>
    <w:basedOn w:val="4"/>
    <w:semiHidden/>
    <w:qFormat/>
    <w:pPr>
      <w:keepNext/>
      <w:keepLines/>
      <w:numPr>
        <w:ilvl w:val="0"/>
        <w:numId w:val="0"/>
      </w:numPr>
      <w:spacing w:after="0" w:line="240" w:lineRule="auto"/>
    </w:pPr>
    <w:rPr>
      <w:rFonts w:ascii="宋体" w:hAnsi="宋体"/>
      <w:b w:val="0"/>
      <w:bCs/>
      <w:sz w:val="28"/>
      <w:szCs w:val="28"/>
    </w:rPr>
  </w:style>
  <w:style w:type="paragraph" w:customStyle="1" w:styleId="Char130">
    <w:name w:val="Char13"/>
    <w:basedOn w:val="a9"/>
    <w:qFormat/>
    <w:pPr>
      <w:widowControl/>
    </w:pPr>
    <w:rPr>
      <w:rFonts w:cs="宋体"/>
      <w:sz w:val="24"/>
      <w:lang w:bidi="ne-NP"/>
    </w:rPr>
  </w:style>
  <w:style w:type="paragraph" w:customStyle="1" w:styleId="xl556">
    <w:name w:val="xl55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2ffb">
    <w:name w:val="环科院标题2"/>
    <w:basedOn w:val="2"/>
    <w:qFormat/>
    <w:pPr>
      <w:keepNext/>
      <w:keepLines w:val="0"/>
      <w:numPr>
        <w:ilvl w:val="0"/>
        <w:numId w:val="0"/>
      </w:numPr>
      <w:pBdr>
        <w:bottom w:val="none" w:sz="0" w:space="0" w:color="auto"/>
      </w:pBdr>
      <w:tabs>
        <w:tab w:val="left" w:pos="1080"/>
      </w:tabs>
      <w:spacing w:beforeLines="50" w:before="1200" w:afterLines="50" w:line="360" w:lineRule="auto"/>
      <w:ind w:left="567" w:hanging="567"/>
    </w:pPr>
    <w:rPr>
      <w:rFonts w:eastAsia="华文中宋"/>
      <w:b w:val="0"/>
      <w:bCs/>
      <w:color w:val="000000"/>
      <w:sz w:val="44"/>
      <w:szCs w:val="32"/>
    </w:rPr>
  </w:style>
  <w:style w:type="paragraph" w:customStyle="1" w:styleId="226">
    <w:name w:val="样式 样式 首行缩进:  2 字符 + 首行缩进:  2 字符"/>
    <w:basedOn w:val="a9"/>
    <w:qFormat/>
    <w:pPr>
      <w:widowControl/>
      <w:spacing w:line="480" w:lineRule="exact"/>
      <w:ind w:firstLineChars="200" w:firstLine="200"/>
    </w:pPr>
    <w:rPr>
      <w:rFonts w:cs="宋体"/>
      <w:sz w:val="24"/>
      <w:lang w:bidi="ne-NP"/>
    </w:rPr>
  </w:style>
  <w:style w:type="paragraph" w:customStyle="1" w:styleId="xl582">
    <w:name w:val="xl58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Char250">
    <w:name w:val="Char25"/>
    <w:basedOn w:val="a9"/>
    <w:qFormat/>
    <w:pPr>
      <w:spacing w:line="360" w:lineRule="auto"/>
      <w:jc w:val="left"/>
    </w:pPr>
    <w:rPr>
      <w:rFonts w:ascii="宋体" w:hAnsi="宋体" w:cs="宋体"/>
      <w:sz w:val="24"/>
    </w:rPr>
  </w:style>
  <w:style w:type="paragraph" w:customStyle="1" w:styleId="CharChar1Char8">
    <w:name w:val="Char Char1 Char8"/>
    <w:basedOn w:val="a9"/>
    <w:pPr>
      <w:spacing w:line="360" w:lineRule="auto"/>
      <w:ind w:firstLineChars="200" w:firstLine="200"/>
    </w:pPr>
    <w:rPr>
      <w:rFonts w:ascii="宋体" w:hAnsi="宋体" w:cs="宋体"/>
      <w:sz w:val="24"/>
    </w:rPr>
  </w:style>
  <w:style w:type="paragraph" w:customStyle="1" w:styleId="1000111">
    <w:name w:val="1000111表格式"/>
    <w:basedOn w:val="afffffffff0"/>
    <w:semiHidden/>
    <w:qFormat/>
    <w:pPr>
      <w:spacing w:before="240" w:after="120" w:line="240" w:lineRule="auto"/>
      <w:ind w:firstLineChars="0" w:firstLine="0"/>
      <w:jc w:val="center"/>
    </w:pPr>
    <w:rPr>
      <w:rFonts w:cs="宋体"/>
      <w:sz w:val="22"/>
    </w:rPr>
  </w:style>
  <w:style w:type="paragraph" w:customStyle="1" w:styleId="afffffffffffffffff3">
    <w:name w:val="插表名称"/>
    <w:basedOn w:val="afffffffffff7"/>
    <w:qFormat/>
    <w:rPr>
      <w:rFonts w:ascii="Times New Roman"/>
    </w:rPr>
  </w:style>
  <w:style w:type="paragraph" w:customStyle="1" w:styleId="TOC1">
    <w:name w:val="TOC 标题1"/>
    <w:basedOn w:val="1"/>
    <w:next w:val="a9"/>
    <w:uiPriority w:val="39"/>
    <w:unhideWhenUsed/>
    <w:qFormat/>
    <w:pPr>
      <w:pageBreakBefore w:val="0"/>
      <w:widowControl/>
      <w:numPr>
        <w:numId w:val="0"/>
      </w:numPr>
      <w:spacing w:before="480" w:after="0" w:line="276" w:lineRule="auto"/>
      <w:jc w:val="left"/>
      <w:outlineLvl w:val="9"/>
    </w:pPr>
    <w:rPr>
      <w:rFonts w:ascii="Cambria" w:hAnsi="Cambria"/>
      <w:bCs/>
      <w:color w:val="365F91"/>
      <w:kern w:val="0"/>
      <w:sz w:val="28"/>
      <w:szCs w:val="28"/>
    </w:rPr>
  </w:style>
  <w:style w:type="paragraph" w:customStyle="1" w:styleId="xl577">
    <w:name w:val="xl57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afffffffffffffffff4">
    <w:name w:val="表字小五"/>
    <w:basedOn w:val="a9"/>
    <w:qFormat/>
    <w:pPr>
      <w:widowControl/>
      <w:autoSpaceDE w:val="0"/>
      <w:autoSpaceDN w:val="0"/>
      <w:adjustRightInd w:val="0"/>
      <w:snapToGrid w:val="0"/>
      <w:spacing w:beforeLines="10" w:afterLines="10"/>
      <w:jc w:val="center"/>
      <w:textAlignment w:val="bottom"/>
    </w:pPr>
    <w:rPr>
      <w:rFonts w:cs="宋体"/>
      <w:sz w:val="18"/>
      <w:szCs w:val="18"/>
      <w:lang w:bidi="ne-NP"/>
    </w:rPr>
  </w:style>
  <w:style w:type="paragraph" w:customStyle="1" w:styleId="xl74">
    <w:name w:val="xl7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color w:val="000000"/>
    </w:rPr>
  </w:style>
  <w:style w:type="paragraph" w:customStyle="1" w:styleId="afffffffffffffffff5">
    <w:name w:val="英方字母"/>
    <w:basedOn w:val="a9"/>
    <w:qFormat/>
    <w:pPr>
      <w:widowControl/>
      <w:tabs>
        <w:tab w:val="left" w:pos="360"/>
      </w:tabs>
      <w:autoSpaceDE w:val="0"/>
      <w:autoSpaceDN w:val="0"/>
      <w:adjustRightInd w:val="0"/>
      <w:spacing w:line="360" w:lineRule="auto"/>
    </w:pPr>
    <w:rPr>
      <w:rFonts w:ascii="Bookman Old Style" w:hAnsi="Bookman Old Style" w:cs="Arial"/>
      <w:sz w:val="24"/>
      <w:lang w:bidi="ne-NP"/>
    </w:rPr>
  </w:style>
  <w:style w:type="paragraph" w:customStyle="1" w:styleId="afffffffffffffffff6">
    <w:name w:val="段标"/>
    <w:basedOn w:val="a9"/>
    <w:qFormat/>
    <w:pPr>
      <w:widowControl/>
      <w:adjustRightInd w:val="0"/>
      <w:spacing w:line="360" w:lineRule="auto"/>
      <w:jc w:val="left"/>
      <w:textAlignment w:val="baseline"/>
    </w:pPr>
    <w:rPr>
      <w:sz w:val="28"/>
    </w:rPr>
  </w:style>
  <w:style w:type="paragraph" w:customStyle="1" w:styleId="GB231224">
    <w:name w:val="样式 楷体_GB2312 四号 行距: 固定值 24 磅"/>
    <w:basedOn w:val="a9"/>
    <w:qFormat/>
    <w:pPr>
      <w:widowControl/>
      <w:spacing w:line="300" w:lineRule="auto"/>
      <w:ind w:firstLineChars="200" w:firstLine="200"/>
    </w:pPr>
    <w:rPr>
      <w:rFonts w:ascii="楷体_GB2312" w:eastAsia="楷体_GB2312" w:cs="宋体"/>
      <w:sz w:val="28"/>
      <w:lang w:bidi="ne-NP"/>
    </w:rPr>
  </w:style>
  <w:style w:type="paragraph" w:customStyle="1" w:styleId="Char1CharCharChar2">
    <w:name w:val="Char1 Char Char Char2"/>
    <w:basedOn w:val="a9"/>
    <w:qFormat/>
    <w:pPr>
      <w:widowControl/>
      <w:spacing w:after="160" w:line="240" w:lineRule="exact"/>
      <w:jc w:val="left"/>
    </w:pPr>
    <w:rPr>
      <w:rFonts w:ascii="Arial" w:eastAsia="Times New Roman" w:hAnsi="Arial" w:cs="Verdana"/>
      <w:b/>
      <w:sz w:val="24"/>
      <w:lang w:eastAsia="en-US" w:bidi="ne-NP"/>
    </w:rPr>
  </w:style>
  <w:style w:type="paragraph" w:customStyle="1" w:styleId="xl42">
    <w:name w:val="xl4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CharCharCharChar16">
    <w:name w:val="Char Char Char Char16"/>
    <w:basedOn w:val="3"/>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2ffc">
    <w:name w:val="无间隔2"/>
    <w:uiPriority w:val="1"/>
    <w:qFormat/>
    <w:pPr>
      <w:widowControl w:val="0"/>
      <w:tabs>
        <w:tab w:val="left" w:pos="1263"/>
      </w:tabs>
      <w:adjustRightInd w:val="0"/>
      <w:snapToGrid w:val="0"/>
      <w:spacing w:line="360" w:lineRule="auto"/>
      <w:ind w:firstLineChars="200" w:firstLine="480"/>
      <w:jc w:val="both"/>
    </w:pPr>
    <w:rPr>
      <w:kern w:val="2"/>
      <w:sz w:val="24"/>
      <w:szCs w:val="18"/>
    </w:rPr>
  </w:style>
  <w:style w:type="paragraph" w:customStyle="1" w:styleId="85">
    <w:name w:val="样式8"/>
    <w:basedOn w:val="a9"/>
    <w:qFormat/>
    <w:pPr>
      <w:spacing w:beforeLines="50" w:afterLines="50" w:line="360" w:lineRule="auto"/>
      <w:ind w:firstLine="573"/>
    </w:pPr>
    <w:rPr>
      <w:rFonts w:ascii="Arial" w:hAnsi="Arial" w:cs="Arial"/>
      <w:color w:val="000000"/>
      <w:sz w:val="24"/>
    </w:rPr>
  </w:style>
  <w:style w:type="paragraph" w:customStyle="1" w:styleId="xl43">
    <w:name w:val="xl4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afffffffffffffffff7">
    <w:name w:val="备注"/>
    <w:basedOn w:val="a9"/>
    <w:qFormat/>
    <w:pPr>
      <w:widowControl/>
      <w:ind w:firstLineChars="200" w:firstLine="420"/>
    </w:pPr>
    <w:rPr>
      <w:rFonts w:cs="宋体"/>
      <w:sz w:val="18"/>
      <w:lang w:bidi="ne-NP"/>
    </w:rPr>
  </w:style>
  <w:style w:type="paragraph" w:customStyle="1" w:styleId="ParaCharCharCharCharCharCharCharCharCharCharChar">
    <w:name w:val="默认段落字体 Para Char Char Char Char Char Char Char Char Char Char Char"/>
    <w:basedOn w:val="3"/>
    <w:qFormat/>
    <w:pPr>
      <w:numPr>
        <w:ilvl w:val="0"/>
        <w:numId w:val="0"/>
      </w:numPr>
      <w:tabs>
        <w:tab w:val="left" w:pos="360"/>
        <w:tab w:val="left" w:pos="900"/>
      </w:tabs>
      <w:spacing w:before="120" w:after="120"/>
      <w:ind w:leftChars="-12" w:left="542" w:firstLineChars="200" w:firstLine="200"/>
    </w:pPr>
    <w:rPr>
      <w:rFonts w:ascii="楷体_GB2312"/>
      <w:b w:val="0"/>
      <w:snapToGrid w:val="0"/>
      <w:color w:val="FF0000"/>
      <w:szCs w:val="24"/>
    </w:rPr>
  </w:style>
  <w:style w:type="paragraph" w:customStyle="1" w:styleId="Puce1-8pts">
    <w:name w:val="Puce1-8 pts"/>
    <w:basedOn w:val="puce1-3pts"/>
    <w:qFormat/>
    <w:pPr>
      <w:keepLines/>
      <w:tabs>
        <w:tab w:val="left" w:pos="851"/>
      </w:tabs>
      <w:spacing w:before="160"/>
      <w:ind w:left="851" w:hanging="851"/>
    </w:pPr>
    <w:rPr>
      <w:lang w:eastAsia="zh-CN"/>
    </w:rPr>
  </w:style>
  <w:style w:type="paragraph" w:customStyle="1" w:styleId="afffffffffffffffff8">
    <w:name w:val="图形"/>
    <w:basedOn w:val="aa"/>
    <w:qFormat/>
    <w:pPr>
      <w:widowControl/>
      <w:adjustRightInd w:val="0"/>
      <w:snapToGrid w:val="0"/>
      <w:spacing w:after="60" w:line="348" w:lineRule="auto"/>
      <w:ind w:firstLineChars="200" w:firstLine="0"/>
      <w:jc w:val="left"/>
      <w:textAlignment w:val="baseline"/>
    </w:pPr>
    <w:rPr>
      <w:rFonts w:ascii="宋体" w:eastAsia="楷体_GB2312"/>
      <w:spacing w:val="8"/>
      <w:sz w:val="28"/>
    </w:rPr>
  </w:style>
  <w:style w:type="paragraph" w:customStyle="1" w:styleId="CharChar3CharCharCharChar1">
    <w:name w:val="Char Char3 Char Char Char Char1"/>
    <w:basedOn w:val="a9"/>
    <w:qFormat/>
    <w:rPr>
      <w:rFonts w:cs="宋体"/>
      <w:sz w:val="24"/>
    </w:rPr>
  </w:style>
  <w:style w:type="paragraph" w:customStyle="1" w:styleId="5e">
    <w:name w:val="表格（5号）"/>
    <w:basedOn w:val="a9"/>
    <w:qFormat/>
    <w:pPr>
      <w:spacing w:line="360" w:lineRule="exact"/>
      <w:ind w:left="-113" w:right="-113"/>
      <w:jc w:val="center"/>
    </w:pPr>
    <w:rPr>
      <w:rFonts w:ascii="宋体" w:hAnsi="宋体" w:cs="Courier New"/>
      <w:color w:val="000000"/>
      <w:sz w:val="18"/>
    </w:rPr>
  </w:style>
  <w:style w:type="paragraph" w:customStyle="1" w:styleId="xl55">
    <w:name w:val="xl55"/>
    <w:basedOn w:val="a9"/>
    <w:qFormat/>
    <w:pPr>
      <w:widowControl/>
      <w:pBdr>
        <w:top w:val="single" w:sz="4" w:space="0" w:color="auto"/>
        <w:left w:val="single" w:sz="4" w:space="0" w:color="auto"/>
      </w:pBdr>
      <w:spacing w:before="100" w:beforeAutospacing="1" w:after="100" w:afterAutospacing="1"/>
      <w:jc w:val="center"/>
    </w:pPr>
    <w:rPr>
      <w:rFonts w:ascii="宋体" w:hAnsi="宋体" w:cs="宋体"/>
      <w:sz w:val="18"/>
      <w:szCs w:val="18"/>
      <w:lang w:bidi="ne-NP"/>
    </w:rPr>
  </w:style>
  <w:style w:type="paragraph" w:customStyle="1" w:styleId="CharCharCharChar9">
    <w:name w:val="Char Char Char Char9"/>
    <w:basedOn w:val="a9"/>
    <w:semiHidden/>
    <w:qFormat/>
    <w:pPr>
      <w:widowControl/>
    </w:pPr>
    <w:rPr>
      <w:rFonts w:cs="宋体"/>
      <w:sz w:val="24"/>
      <w:lang w:bidi="ne-NP"/>
    </w:rPr>
  </w:style>
  <w:style w:type="paragraph" w:customStyle="1" w:styleId="afffffffffffffffff9">
    <w:name w:val="图标题"/>
    <w:basedOn w:val="a9"/>
    <w:qFormat/>
    <w:pPr>
      <w:widowControl/>
      <w:topLinePunct/>
      <w:adjustRightInd w:val="0"/>
      <w:spacing w:line="360" w:lineRule="auto"/>
      <w:jc w:val="center"/>
      <w:textAlignment w:val="baseline"/>
    </w:pPr>
    <w:rPr>
      <w:b/>
      <w:sz w:val="24"/>
    </w:rPr>
  </w:style>
  <w:style w:type="paragraph" w:customStyle="1" w:styleId="xl184">
    <w:name w:val="xl184"/>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p19">
    <w:name w:val="p19"/>
    <w:basedOn w:val="a9"/>
    <w:qFormat/>
    <w:pPr>
      <w:widowControl/>
      <w:spacing w:before="100" w:beforeAutospacing="1" w:after="100" w:afterAutospacing="1"/>
    </w:pPr>
    <w:rPr>
      <w:rFonts w:cs="宋体"/>
      <w:sz w:val="24"/>
    </w:rPr>
  </w:style>
  <w:style w:type="paragraph" w:customStyle="1" w:styleId="afffffffffffffffffa">
    <w:name w:val="表名"/>
    <w:basedOn w:val="a9"/>
    <w:qFormat/>
    <w:pPr>
      <w:widowControl/>
      <w:topLinePunct/>
      <w:adjustRightInd w:val="0"/>
      <w:snapToGrid w:val="0"/>
      <w:spacing w:line="360" w:lineRule="auto"/>
      <w:jc w:val="center"/>
    </w:pPr>
    <w:rPr>
      <w:rFonts w:eastAsia="楷体_GB2312"/>
      <w:szCs w:val="21"/>
    </w:rPr>
  </w:style>
  <w:style w:type="paragraph" w:customStyle="1" w:styleId="2ffd">
    <w:name w:val="样式 首行缩进:  2 字符"/>
    <w:basedOn w:val="a9"/>
    <w:qFormat/>
    <w:pPr>
      <w:spacing w:beforeLines="50" w:afterLines="50" w:line="360" w:lineRule="auto"/>
      <w:ind w:firstLineChars="200" w:firstLine="200"/>
    </w:pPr>
    <w:rPr>
      <w:rFonts w:cs="宋体"/>
      <w:sz w:val="24"/>
    </w:rPr>
  </w:style>
  <w:style w:type="paragraph" w:customStyle="1" w:styleId="xl553">
    <w:name w:val="xl55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p9copy">
    <w:name w:val="p9copy"/>
    <w:basedOn w:val="a9"/>
    <w:semiHidden/>
    <w:qFormat/>
    <w:pPr>
      <w:widowControl/>
      <w:adjustRightInd w:val="0"/>
      <w:spacing w:before="100" w:beforeAutospacing="1" w:after="100" w:afterAutospacing="1" w:line="360" w:lineRule="auto"/>
      <w:ind w:firstLineChars="200" w:firstLine="576"/>
      <w:jc w:val="left"/>
    </w:pPr>
    <w:rPr>
      <w:rFonts w:ascii="宋体" w:eastAsia="仿宋_GB2312" w:hAnsi="Arial Unicode MS" w:cs="Arial Unicode MS" w:hint="eastAsia"/>
      <w:color w:val="000000"/>
      <w:spacing w:val="4"/>
      <w:sz w:val="18"/>
      <w:szCs w:val="18"/>
      <w:lang w:bidi="ne-NP"/>
    </w:rPr>
  </w:style>
  <w:style w:type="paragraph" w:customStyle="1" w:styleId="reader-word-layerreader-word-s1-2">
    <w:name w:val="reader-word-layer reader-word-s1-2"/>
    <w:basedOn w:val="a9"/>
    <w:qFormat/>
    <w:pPr>
      <w:widowControl/>
      <w:spacing w:before="100" w:beforeAutospacing="1" w:after="100" w:afterAutospacing="1"/>
      <w:jc w:val="left"/>
    </w:pPr>
    <w:rPr>
      <w:rFonts w:ascii="宋体" w:hAnsi="宋体" w:cs="宋体"/>
      <w:sz w:val="24"/>
      <w:lang w:bidi="ne-NP"/>
    </w:rPr>
  </w:style>
  <w:style w:type="paragraph" w:customStyle="1" w:styleId="afffffffffffffffffb">
    <w:name w:val="正文楷体"/>
    <w:basedOn w:val="a9"/>
    <w:qFormat/>
    <w:pPr>
      <w:spacing w:line="360" w:lineRule="auto"/>
    </w:pPr>
    <w:rPr>
      <w:rFonts w:eastAsia="楷体_GB2312"/>
    </w:rPr>
  </w:style>
  <w:style w:type="paragraph" w:customStyle="1" w:styleId="PSPSPSPS">
    <w:name w:val="PSPSPSPS"/>
    <w:basedOn w:val="a9"/>
    <w:qFormat/>
    <w:pPr>
      <w:adjustRightInd w:val="0"/>
      <w:spacing w:line="600" w:lineRule="atLeast"/>
      <w:textAlignment w:val="baseline"/>
    </w:pPr>
    <w:rPr>
      <w:sz w:val="28"/>
    </w:rPr>
  </w:style>
  <w:style w:type="paragraph" w:customStyle="1" w:styleId="3ff4">
    <w:name w:val="纯文本3"/>
    <w:basedOn w:val="a9"/>
    <w:qFormat/>
    <w:pPr>
      <w:autoSpaceDE w:val="0"/>
      <w:autoSpaceDN w:val="0"/>
      <w:adjustRightInd w:val="0"/>
      <w:spacing w:line="360" w:lineRule="auto"/>
      <w:textAlignment w:val="baseline"/>
    </w:pPr>
    <w:rPr>
      <w:rFonts w:ascii="宋体" w:hAnsi="Tms Rmn"/>
    </w:rPr>
  </w:style>
  <w:style w:type="paragraph" w:customStyle="1" w:styleId="afffffffffffffffffc">
    <w:name w:val="样式 (符号) 宋体 居中 行距: 单倍行距"/>
    <w:basedOn w:val="a9"/>
    <w:uiPriority w:val="99"/>
    <w:qFormat/>
    <w:pPr>
      <w:widowControl/>
      <w:spacing w:line="360" w:lineRule="auto"/>
      <w:jc w:val="center"/>
      <w:textAlignment w:val="baseline"/>
    </w:pPr>
    <w:rPr>
      <w:rFonts w:cs="宋体"/>
      <w:color w:val="000000"/>
      <w:u w:color="000000"/>
    </w:rPr>
  </w:style>
  <w:style w:type="paragraph" w:customStyle="1" w:styleId="xl190">
    <w:name w:val="xl190"/>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lang w:bidi="ne-NP"/>
    </w:rPr>
  </w:style>
  <w:style w:type="paragraph" w:customStyle="1" w:styleId="afffffffffffffffffd">
    <w:name w:val="样式 君邦正文 + 黑色"/>
    <w:basedOn w:val="affff7"/>
    <w:qFormat/>
    <w:rPr>
      <w:bCs w:val="0"/>
      <w:color w:val="000000"/>
    </w:rPr>
  </w:style>
  <w:style w:type="paragraph" w:customStyle="1" w:styleId="1CharCharCharChar1Char">
    <w:name w:val="正文1 Char Char Char Char1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7">
    <w:name w:val="报告书-正文"/>
    <w:basedOn w:val="a9"/>
    <w:qFormat/>
    <w:pPr>
      <w:spacing w:after="60" w:line="360" w:lineRule="auto"/>
      <w:ind w:firstLineChars="200" w:firstLine="480"/>
    </w:pPr>
    <w:rPr>
      <w:rFonts w:cs="宋体"/>
      <w:sz w:val="24"/>
    </w:rPr>
  </w:style>
  <w:style w:type="paragraph" w:customStyle="1" w:styleId="3-1">
    <w:name w:val="标题 3-1"/>
    <w:basedOn w:val="3"/>
    <w:qFormat/>
    <w:pPr>
      <w:keepNext/>
      <w:keepLines/>
      <w:widowControl/>
      <w:numPr>
        <w:ilvl w:val="0"/>
        <w:numId w:val="0"/>
      </w:numPr>
      <w:tabs>
        <w:tab w:val="left" w:pos="0"/>
        <w:tab w:val="left" w:pos="862"/>
        <w:tab w:val="left" w:pos="1567"/>
      </w:tabs>
      <w:adjustRightInd w:val="0"/>
      <w:snapToGrid/>
      <w:spacing w:before="120" w:after="120" w:line="500" w:lineRule="exact"/>
      <w:ind w:firstLineChars="200" w:firstLine="200"/>
    </w:pPr>
    <w:rPr>
      <w:rFonts w:cs="宋体"/>
      <w:b w:val="0"/>
      <w:sz w:val="28"/>
      <w:lang w:bidi="ne-NP"/>
    </w:rPr>
  </w:style>
  <w:style w:type="paragraph" w:customStyle="1" w:styleId="xl584">
    <w:name w:val="xl584"/>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xl132">
    <w:name w:val="xl13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22"/>
      <w:szCs w:val="22"/>
      <w:lang w:bidi="ne-NP"/>
    </w:rPr>
  </w:style>
  <w:style w:type="paragraph" w:customStyle="1" w:styleId="xl558">
    <w:name w:val="xl55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lang w:bidi="ne-NP"/>
    </w:rPr>
  </w:style>
  <w:style w:type="paragraph" w:customStyle="1" w:styleId="xl591">
    <w:name w:val="xl591"/>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sz w:val="18"/>
      <w:szCs w:val="18"/>
      <w:lang w:bidi="ne-NP"/>
    </w:rPr>
  </w:style>
  <w:style w:type="paragraph" w:customStyle="1" w:styleId="xl185">
    <w:name w:val="xl185"/>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xl578">
    <w:name w:val="xl578"/>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2111">
    <w:name w:val="正文文本 211"/>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21a">
    <w:name w:val="引用21"/>
    <w:basedOn w:val="a9"/>
    <w:next w:val="a9"/>
    <w:qFormat/>
    <w:pPr>
      <w:widowControl/>
      <w:spacing w:line="480" w:lineRule="exact"/>
      <w:ind w:firstLineChars="200" w:firstLine="200"/>
    </w:pPr>
    <w:rPr>
      <w:rFonts w:eastAsia="黑体"/>
      <w:i/>
      <w:iCs/>
      <w:color w:val="000000"/>
    </w:rPr>
  </w:style>
  <w:style w:type="paragraph" w:customStyle="1" w:styleId="Style422">
    <w:name w:val="_Style 422"/>
    <w:basedOn w:val="1"/>
    <w:next w:val="a9"/>
    <w:uiPriority w:val="39"/>
    <w:unhideWhenUsed/>
    <w:qFormat/>
    <w:pPr>
      <w:pageBreakBefore w:val="0"/>
      <w:widowControl/>
      <w:numPr>
        <w:numId w:val="0"/>
      </w:numPr>
      <w:spacing w:before="480" w:after="0" w:line="276" w:lineRule="auto"/>
      <w:outlineLvl w:val="9"/>
    </w:pPr>
    <w:rPr>
      <w:rFonts w:ascii="Cambria" w:hAnsi="Cambria"/>
      <w:bCs/>
      <w:color w:val="365F91"/>
      <w:kern w:val="0"/>
      <w:sz w:val="28"/>
      <w:szCs w:val="28"/>
    </w:rPr>
  </w:style>
  <w:style w:type="table" w:customStyle="1" w:styleId="104">
    <w:name w:val="网格型10"/>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无格式表格 311"/>
    <w:basedOn w:val="ac"/>
    <w:uiPriority w:val="43"/>
    <w:qFormat/>
    <w:rPr>
      <w:rFonts w:ascii="Calibri" w:hAnsi="Calibri"/>
      <w:kern w:val="2"/>
      <w:sz w:val="21"/>
      <w:szCs w:val="22"/>
    </w:rPr>
    <w:tblPr>
      <w:tblInd w:w="0" w:type="dxa"/>
      <w:tblCellMar>
        <w:top w:w="0" w:type="dxa"/>
        <w:left w:w="108" w:type="dxa"/>
        <w:bottom w:w="0" w:type="dxa"/>
        <w:right w:w="108" w:type="dxa"/>
      </w:tblCellMar>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317">
    <w:name w:val="无格式表格 31"/>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afffffffffffffffffe">
    <w:name w:val="智汇元表格样式"/>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2">
    <w:name w:val="浅色底纹1"/>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Grid">
    <w:name w:val="TableGrid"/>
    <w:qFormat/>
    <w:pPr>
      <w:spacing w:after="60"/>
      <w:jc w:val="both"/>
    </w:pPr>
    <w:tblPr>
      <w:tblCellMar>
        <w:top w:w="0" w:type="dxa"/>
        <w:left w:w="0" w:type="dxa"/>
        <w:bottom w:w="0" w:type="dxa"/>
        <w:right w:w="0" w:type="dxa"/>
      </w:tblCellMar>
    </w:tblPr>
  </w:style>
  <w:style w:type="table" w:customStyle="1" w:styleId="711">
    <w:name w:val="网格型7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3">
    <w:name w:val="三线格1"/>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l2br w:val="nil"/>
          <w:tr2bl w:val="nil"/>
        </w:tcBorders>
      </w:tcPr>
    </w:tblStylePr>
  </w:style>
  <w:style w:type="table" w:customStyle="1" w:styleId="318">
    <w:name w:val="网格型31"/>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网格型1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网格型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ffe">
    <w:name w:val="表格样式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5">
    <w:name w:val="网格型3"/>
    <w:basedOn w:val="ac"/>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
    <w:name w:val="表格样式智汇元"/>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ffffffffffffffffff0">
    <w:name w:val="设计院"/>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4f6">
    <w:name w:val="网格型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1">
    <w:name w:val="三线格"/>
    <w:basedOn w:val="ac"/>
    <w:uiPriority w:val="99"/>
    <w:qFormat/>
    <w:rPr>
      <w:sz w:val="18"/>
    </w:rPr>
    <w:tblPr>
      <w:tblInd w:w="0" w:type="dxa"/>
      <w:tblBorders>
        <w:top w:val="single" w:sz="12" w:space="0" w:color="auto"/>
        <w:bottom w:val="single" w:sz="12" w:space="0" w:color="auto"/>
        <w:insideH w:val="single" w:sz="8" w:space="0" w:color="auto"/>
        <w:insideV w:val="single" w:sz="8" w:space="0" w:color="auto"/>
      </w:tblBorders>
      <w:tblCellMar>
        <w:top w:w="0" w:type="dxa"/>
        <w:left w:w="28" w:type="dxa"/>
        <w:bottom w:w="0" w:type="dxa"/>
        <w:right w:w="2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l2br w:val="nil"/>
          <w:tr2bl w:val="nil"/>
        </w:tcBorders>
      </w:tcPr>
    </w:tblStylePr>
  </w:style>
  <w:style w:type="table" w:customStyle="1" w:styleId="68">
    <w:name w:val="网格型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4">
    <w:name w:val="网格型1"/>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样式11"/>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11">
    <w:name w:val="网格型121"/>
    <w:basedOn w:val="ac"/>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2">
    <w:name w:val="君邦专用"/>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ffffffffffffffffff3">
    <w:name w:val="表格格式"/>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TableNormal4">
    <w:name w:val="Table Normal4"/>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fff">
    <w:name w:val="网格型2"/>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6">
    <w:name w:val="君邦专用3"/>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4">
    <w:name w:val="三线表"/>
    <w:basedOn w:val="ac"/>
    <w:qFormat/>
    <w:pPr>
      <w:widowControl w:val="0"/>
      <w:spacing w:afterLines="50"/>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等线 Light"/>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00">
    <w:name w:val="样式110"/>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2">
    <w:name w:val="网格型6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5">
    <w:name w:val="君邦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6">
    <w:name w:val="表格样式1"/>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网格型5"/>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网格型7"/>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10">
    <w:name w:val="浅色底纹 - 强调文字颜色 21"/>
    <w:basedOn w:val="ac"/>
    <w:uiPriority w:val="60"/>
    <w:qFormat/>
    <w:rPr>
      <w:rFonts w:ascii="Calibri" w:hAnsi="Calibri"/>
      <w:color w:val="943634"/>
      <w:kern w:val="2"/>
      <w:sz w:val="21"/>
      <w:szCs w:val="22"/>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customStyle="1" w:styleId="511">
    <w:name w:val="无格式表格 51"/>
    <w:basedOn w:val="ac"/>
    <w:uiPriority w:val="45"/>
    <w:qFormat/>
    <w:rPr>
      <w:rFonts w:ascii="Calibri" w:hAnsi="Calibri"/>
      <w:kern w:val="2"/>
      <w:sz w:val="21"/>
      <w:szCs w:val="22"/>
    </w:rPr>
    <w:tblPr>
      <w:tblInd w:w="0" w:type="dxa"/>
      <w:tblCellMar>
        <w:top w:w="0" w:type="dxa"/>
        <w:left w:w="108" w:type="dxa"/>
        <w:bottom w:w="0" w:type="dxa"/>
        <w:right w:w="108" w:type="dxa"/>
      </w:tblCellMar>
    </w:tblPr>
    <w:tblStylePr w:type="firstRow">
      <w:rPr>
        <w:rFonts w:eastAsia="Symbol" w:cs="Times New Roman"/>
        <w:i/>
        <w:iCs/>
        <w:sz w:val="26"/>
      </w:rPr>
      <w:tblPr/>
      <w:tcPr>
        <w:tcBorders>
          <w:top w:val="nil"/>
          <w:left w:val="nil"/>
          <w:bottom w:val="single" w:sz="4" w:space="0" w:color="7F7F7F"/>
          <w:right w:val="nil"/>
          <w:insideH w:val="nil"/>
          <w:insideV w:val="nil"/>
          <w:tl2br w:val="nil"/>
          <w:tr2bl w:val="nil"/>
        </w:tcBorders>
        <w:shd w:val="clear" w:color="auto" w:fill="FFFFFF"/>
      </w:tcPr>
    </w:tblStylePr>
    <w:tblStylePr w:type="lastRow">
      <w:rPr>
        <w:rFonts w:eastAsia="Symbol" w:cs="Times New Roman"/>
        <w:i/>
        <w:iCs/>
        <w:sz w:val="26"/>
      </w:rPr>
      <w:tblPr/>
      <w:tcPr>
        <w:tcBorders>
          <w:top w:val="single" w:sz="4" w:space="0" w:color="7F7F7F"/>
          <w:left w:val="nil"/>
          <w:bottom w:val="nil"/>
          <w:right w:val="nil"/>
          <w:insideH w:val="nil"/>
          <w:insideV w:val="nil"/>
          <w:tl2br w:val="nil"/>
          <w:tr2bl w:val="nil"/>
        </w:tcBorders>
        <w:shd w:val="clear" w:color="auto" w:fill="FFFFFF"/>
      </w:tcPr>
    </w:tblStylePr>
    <w:tblStylePr w:type="firstCol">
      <w:pPr>
        <w:jc w:val="right"/>
      </w:pPr>
      <w:rPr>
        <w:rFonts w:eastAsia="Symbol" w:cs="Times New Roman"/>
        <w:i/>
        <w:iCs/>
        <w:sz w:val="26"/>
      </w:rPr>
      <w:tblPr/>
      <w:tcPr>
        <w:tcBorders>
          <w:top w:val="nil"/>
          <w:left w:val="nil"/>
          <w:bottom w:val="nil"/>
          <w:right w:val="single" w:sz="4" w:space="0" w:color="7F7F7F"/>
          <w:insideH w:val="nil"/>
          <w:insideV w:val="nil"/>
          <w:tl2br w:val="nil"/>
          <w:tr2bl w:val="nil"/>
        </w:tcBorders>
        <w:shd w:val="clear" w:color="auto" w:fill="FFFFFF"/>
      </w:tcPr>
    </w:tblStylePr>
    <w:tblStylePr w:type="lastCol">
      <w:rPr>
        <w:rFonts w:eastAsia="Symbol" w:cs="Times New Roman"/>
        <w:i/>
        <w:iCs/>
        <w:sz w:val="26"/>
      </w:rPr>
      <w:tblPr/>
      <w:tcPr>
        <w:tcBorders>
          <w:top w:val="nil"/>
          <w:left w:val="single" w:sz="4" w:space="0" w:color="7F7F7F"/>
          <w:bottom w:val="nil"/>
          <w:right w:val="nil"/>
          <w:insideH w:val="nil"/>
          <w:insideV w:val="nil"/>
          <w:tl2br w:val="nil"/>
          <w:tr2bl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140">
    <w:name w:val="网格型14"/>
    <w:basedOn w:val="ac"/>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86">
    <w:name w:val="网格型8"/>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0">
    <w:name w:val="君邦专用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样式12"/>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fffff8">
    <w:name w:val="批注文字 Char"/>
    <w:qFormat/>
    <w:rPr>
      <w:kern w:val="2"/>
      <w:sz w:val="21"/>
      <w:szCs w:val="24"/>
    </w:rPr>
  </w:style>
  <w:style w:type="character" w:customStyle="1" w:styleId="unnamed51">
    <w:name w:val="unnamed51"/>
    <w:rPr>
      <w:rFonts w:ascii="宋体" w:eastAsia="宋体" w:hAnsi="宋体" w:hint="eastAsia"/>
      <w:sz w:val="24"/>
      <w:szCs w:val="24"/>
    </w:rPr>
  </w:style>
  <w:style w:type="paragraph" w:customStyle="1" w:styleId="my">
    <w:name w:val="正文my"/>
    <w:basedOn w:val="afe"/>
    <w:uiPriority w:val="99"/>
    <w:qFormat/>
    <w:pPr>
      <w:widowControl/>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snapToGrid/>
      <w:spacing w:before="60" w:line="480" w:lineRule="exact"/>
      <w:ind w:firstLineChars="200" w:firstLine="200"/>
      <w:jc w:val="left"/>
    </w:pPr>
    <w:rPr>
      <w:color w:val="auto"/>
      <w:sz w:val="24"/>
    </w:rPr>
  </w:style>
  <w:style w:type="paragraph" w:customStyle="1" w:styleId="affffffffffffffffff5">
    <w:name w:val="君邦表头"/>
    <w:basedOn w:val="1f3"/>
    <w:link w:val="Charfffff9"/>
    <w:qFormat/>
    <w:rPr>
      <w:szCs w:val="28"/>
    </w:rPr>
  </w:style>
  <w:style w:type="character" w:customStyle="1" w:styleId="Charfffff9">
    <w:name w:val="君邦表头 Char"/>
    <w:link w:val="affffffffffffffffff5"/>
    <w:qFormat/>
    <w:rPr>
      <w:rFonts w:eastAsia="黑体"/>
      <w:b/>
      <w:kern w:val="2"/>
      <w:sz w:val="24"/>
      <w:szCs w:val="28"/>
    </w:rPr>
  </w:style>
  <w:style w:type="paragraph" w:customStyle="1" w:styleId="lgy-">
    <w:name w:val="lgy-表格文字"/>
    <w:basedOn w:val="a9"/>
    <w:link w:val="lgy-Char"/>
    <w:qFormat/>
    <w:pPr>
      <w:adjustRightInd w:val="0"/>
      <w:snapToGrid w:val="0"/>
      <w:jc w:val="center"/>
    </w:pPr>
    <w:rPr>
      <w:bCs/>
      <w:sz w:val="18"/>
      <w:szCs w:val="18"/>
    </w:rPr>
  </w:style>
  <w:style w:type="character" w:customStyle="1" w:styleId="lgy-Char">
    <w:name w:val="lgy-表格文字 Char"/>
    <w:link w:val="lgy-"/>
    <w:qFormat/>
    <w:rPr>
      <w:bCs/>
      <w:sz w:val="18"/>
      <w:szCs w:val="18"/>
    </w:rPr>
  </w:style>
  <w:style w:type="paragraph" w:customStyle="1" w:styleId="1fffff7">
    <w:name w:val="1"/>
    <w:basedOn w:val="a9"/>
    <w:pPr>
      <w:adjustRightInd w:val="0"/>
      <w:snapToGrid w:val="0"/>
      <w:spacing w:line="360" w:lineRule="auto"/>
      <w:ind w:firstLineChars="200" w:firstLine="200"/>
      <w:jc w:val="left"/>
    </w:pPr>
    <w:rPr>
      <w:rFonts w:eastAsia="楷体_GB2312"/>
      <w:sz w:val="24"/>
      <w:szCs w:val="22"/>
    </w:rPr>
  </w:style>
  <w:style w:type="character" w:customStyle="1" w:styleId="lgyChar">
    <w:name w:val="lgy表名 Char"/>
    <w:link w:val="lgy"/>
    <w:qFormat/>
    <w:locked/>
    <w:rPr>
      <w:rFonts w:ascii="楷体_GB2312" w:eastAsia="楷体_GB2312"/>
      <w:b/>
      <w:color w:val="000000"/>
      <w:kern w:val="2"/>
      <w:sz w:val="21"/>
      <w:szCs w:val="21"/>
    </w:rPr>
  </w:style>
  <w:style w:type="paragraph" w:customStyle="1" w:styleId="lgy">
    <w:name w:val="lgy表名"/>
    <w:link w:val="lgyChar"/>
    <w:qFormat/>
    <w:pPr>
      <w:widowControl w:val="0"/>
      <w:adjustRightInd w:val="0"/>
      <w:snapToGrid w:val="0"/>
      <w:jc w:val="center"/>
    </w:pPr>
    <w:rPr>
      <w:rFonts w:ascii="楷体_GB2312" w:eastAsia="楷体_GB2312"/>
      <w:b/>
      <w:color w:val="000000"/>
      <w:kern w:val="2"/>
      <w:sz w:val="21"/>
      <w:szCs w:val="21"/>
    </w:rPr>
  </w:style>
  <w:style w:type="paragraph" w:customStyle="1" w:styleId="affffffffffffffffff6">
    <w:name w:val="【表格】"/>
    <w:next w:val="af0"/>
    <w:qFormat/>
    <w:pPr>
      <w:adjustRightInd w:val="0"/>
      <w:snapToGrid w:val="0"/>
      <w:jc w:val="center"/>
    </w:pPr>
    <w:rPr>
      <w:sz w:val="18"/>
      <w:szCs w:val="24"/>
    </w:rPr>
  </w:style>
  <w:style w:type="character" w:customStyle="1" w:styleId="2fff1">
    <w:name w:val="列表段落 字符2"/>
    <w:qFormat/>
    <w:rPr>
      <w:kern w:val="2"/>
      <w:sz w:val="24"/>
      <w:szCs w:val="24"/>
    </w:rPr>
  </w:style>
  <w:style w:type="character" w:customStyle="1" w:styleId="affffffffffffffffff7">
    <w:name w:val="宏文本 字符"/>
    <w:qFormat/>
    <w:rPr>
      <w:rFonts w:ascii="Courier New" w:hAnsi="Courier New" w:cs="Courier New"/>
      <w:sz w:val="24"/>
      <w:szCs w:val="24"/>
    </w:rPr>
  </w:style>
  <w:style w:type="character" w:customStyle="1" w:styleId="paragraph11">
    <w:name w:val="paragraph11"/>
    <w:qFormat/>
    <w:rPr>
      <w:color w:val="333333"/>
    </w:rPr>
  </w:style>
  <w:style w:type="character" w:customStyle="1" w:styleId="ltextChar">
    <w:name w:val="l_text Char"/>
    <w:link w:val="ltext"/>
    <w:qFormat/>
    <w:rPr>
      <w:rFonts w:ascii="宋体"/>
      <w:sz w:val="28"/>
      <w:lang w:val="en-GB"/>
    </w:rPr>
  </w:style>
  <w:style w:type="paragraph" w:customStyle="1" w:styleId="ltext">
    <w:name w:val="l_text"/>
    <w:basedOn w:val="a9"/>
    <w:link w:val="ltextChar"/>
    <w:qFormat/>
    <w:pPr>
      <w:widowControl/>
      <w:overflowPunct w:val="0"/>
      <w:autoSpaceDE w:val="0"/>
      <w:autoSpaceDN w:val="0"/>
      <w:adjustRightInd w:val="0"/>
      <w:spacing w:after="30" w:line="300" w:lineRule="auto"/>
      <w:ind w:left="170" w:firstLine="567"/>
      <w:textAlignment w:val="baseline"/>
    </w:pPr>
    <w:rPr>
      <w:rFonts w:ascii="宋体"/>
      <w:sz w:val="28"/>
      <w:lang w:val="en-GB"/>
    </w:rPr>
  </w:style>
  <w:style w:type="character" w:customStyle="1" w:styleId="Char1CharChar">
    <w:name w:val="正文缩进 Char1 Char Char"/>
    <w:qFormat/>
    <w:rPr>
      <w:rFonts w:eastAsia="仿宋_GB2312"/>
      <w:kern w:val="2"/>
      <w:sz w:val="28"/>
      <w:szCs w:val="28"/>
      <w:lang w:val="en-US" w:eastAsia="zh-CN" w:bidi="ar-SA"/>
    </w:rPr>
  </w:style>
  <w:style w:type="character" w:customStyle="1" w:styleId="3CharCharChar1">
    <w:name w:val="标题 3 Char Char Char1"/>
    <w:qFormat/>
    <w:rPr>
      <w:rFonts w:eastAsia="黑体" w:cs="Arial"/>
      <w:b/>
      <w:bCs/>
      <w:color w:val="000000"/>
      <w:kern w:val="2"/>
      <w:sz w:val="24"/>
      <w:szCs w:val="28"/>
      <w:lang w:val="en-US" w:eastAsia="zh-CN" w:bidi="ar-SA"/>
    </w:rPr>
  </w:style>
  <w:style w:type="character" w:customStyle="1" w:styleId="li21">
    <w:name w:val="li21"/>
    <w:qFormat/>
    <w:rPr>
      <w:spacing w:val="31680"/>
      <w:sz w:val="18"/>
      <w:szCs w:val="18"/>
    </w:rPr>
  </w:style>
  <w:style w:type="character" w:customStyle="1" w:styleId="BChar0">
    <w:name w:val="正文B Char 字元"/>
    <w:link w:val="BChar1"/>
    <w:qFormat/>
    <w:rPr>
      <w:rFonts w:ascii="Calibri" w:eastAsia="楷体_GB2312" w:hAnsi="Calibri"/>
      <w:spacing w:val="8"/>
      <w:kern w:val="2"/>
      <w:sz w:val="28"/>
      <w:szCs w:val="22"/>
    </w:rPr>
  </w:style>
  <w:style w:type="paragraph" w:customStyle="1" w:styleId="BChar1">
    <w:name w:val="正文B Char"/>
    <w:basedOn w:val="a9"/>
    <w:link w:val="BChar0"/>
    <w:qFormat/>
    <w:pPr>
      <w:adjustRightInd w:val="0"/>
      <w:spacing w:line="390" w:lineRule="exact"/>
      <w:ind w:firstLine="601"/>
    </w:pPr>
    <w:rPr>
      <w:rFonts w:ascii="Calibri" w:eastAsia="楷体_GB2312" w:hAnsi="Calibri"/>
      <w:spacing w:val="8"/>
      <w:kern w:val="2"/>
      <w:sz w:val="28"/>
      <w:szCs w:val="22"/>
    </w:rPr>
  </w:style>
  <w:style w:type="character" w:customStyle="1" w:styleId="WW8Num2z0">
    <w:name w:val="WW8Num2z0"/>
    <w:qFormat/>
    <w:rPr>
      <w:rFonts w:ascii="Wingdings" w:hAnsi="Wingdings"/>
    </w:rPr>
  </w:style>
  <w:style w:type="character" w:customStyle="1" w:styleId="compcontent">
    <w:name w:val="comp_content"/>
    <w:qFormat/>
  </w:style>
  <w:style w:type="character" w:customStyle="1" w:styleId="h3">
    <w:name w:val="h3 字元"/>
    <w:qFormat/>
    <w:rPr>
      <w:rFonts w:ascii="Arial Rounded MT Bold" w:eastAsia="文鼎大标宋简" w:hAnsi="Arial Rounded MT Bold" w:hint="default"/>
      <w:spacing w:val="8"/>
      <w:sz w:val="28"/>
      <w:lang w:val="en-US" w:eastAsia="zh-CN" w:bidi="ar-SA"/>
    </w:rPr>
  </w:style>
  <w:style w:type="character" w:customStyle="1" w:styleId="CharChar341">
    <w:name w:val="Char Char341"/>
    <w:qFormat/>
    <w:rPr>
      <w:kern w:val="2"/>
      <w:sz w:val="18"/>
      <w:szCs w:val="18"/>
    </w:rPr>
  </w:style>
  <w:style w:type="character" w:customStyle="1" w:styleId="1Chara">
    <w:name w:val="目录 1 Char"/>
    <w:qFormat/>
    <w:rPr>
      <w:rFonts w:ascii="黑体" w:eastAsia="黑体" w:hint="eastAsia"/>
      <w:caps/>
      <w:spacing w:val="8"/>
      <w:sz w:val="24"/>
      <w:lang w:val="en-US" w:eastAsia="zh-CN" w:bidi="ar-SA"/>
    </w:rPr>
  </w:style>
  <w:style w:type="character" w:customStyle="1" w:styleId="12pxboldblue1">
    <w:name w:val="12px_bold_blue1"/>
    <w:qFormat/>
    <w:rPr>
      <w:rFonts w:ascii="Verdana" w:hAnsi="Verdana" w:hint="default"/>
      <w:b/>
      <w:bCs/>
      <w:color w:val="000066"/>
      <w:sz w:val="18"/>
      <w:szCs w:val="18"/>
      <w:u w:val="none"/>
    </w:rPr>
  </w:style>
  <w:style w:type="character" w:customStyle="1" w:styleId="Char2f1">
    <w:name w:val="正文（首行缩进两字） Char2"/>
    <w:semiHidden/>
    <w:qFormat/>
  </w:style>
  <w:style w:type="character" w:customStyle="1" w:styleId="1Char12">
    <w:name w:val="页眉1 Char1"/>
    <w:qFormat/>
    <w:rPr>
      <w:rFonts w:eastAsia="仿宋_GB2312"/>
      <w:kern w:val="2"/>
      <w:sz w:val="18"/>
      <w:szCs w:val="28"/>
      <w:lang w:val="en-US" w:eastAsia="zh-CN" w:bidi="ar-SA"/>
    </w:rPr>
  </w:style>
  <w:style w:type="character" w:customStyle="1" w:styleId="word1">
    <w:name w:val="word1"/>
    <w:qFormat/>
    <w:rPr>
      <w:spacing w:val="31680"/>
      <w:sz w:val="20"/>
      <w:szCs w:val="20"/>
    </w:rPr>
  </w:style>
  <w:style w:type="character" w:customStyle="1" w:styleId="2CharChar1">
    <w:name w:val="字元2 Char Char1"/>
    <w:qFormat/>
    <w:rPr>
      <w:rFonts w:eastAsia="楷体_GB2312"/>
      <w:sz w:val="21"/>
      <w:lang w:val="en-US" w:eastAsia="zh-CN" w:bidi="ar-SA"/>
    </w:rPr>
  </w:style>
  <w:style w:type="character" w:customStyle="1" w:styleId="3CharCharCharCharCharCharCharCharCharCharCharCharCharCharChar">
    <w:name w:val="标题 3 Char Char Char Char Char Char Char Char Char Char Char Char Char Char Char"/>
    <w:qFormat/>
    <w:rPr>
      <w:rFonts w:eastAsia="宋体"/>
      <w:b/>
      <w:bCs/>
      <w:kern w:val="2"/>
      <w:sz w:val="32"/>
      <w:szCs w:val="32"/>
      <w:lang w:val="en-US" w:eastAsia="zh-CN" w:bidi="ar-SA"/>
    </w:rPr>
  </w:style>
  <w:style w:type="character" w:customStyle="1" w:styleId="Charfffffa">
    <w:name w:val="【正文】 Char"/>
    <w:link w:val="affffffffffffffffff8"/>
    <w:qFormat/>
    <w:rPr>
      <w:kern w:val="2"/>
      <w:sz w:val="24"/>
    </w:rPr>
  </w:style>
  <w:style w:type="paragraph" w:customStyle="1" w:styleId="affffffffffffffffff8">
    <w:name w:val="【正文】"/>
    <w:basedOn w:val="a9"/>
    <w:link w:val="Charfffffa"/>
    <w:qFormat/>
    <w:pPr>
      <w:spacing w:before="120" w:after="120" w:line="312" w:lineRule="auto"/>
      <w:ind w:firstLineChars="200" w:firstLine="200"/>
    </w:pPr>
    <w:rPr>
      <w:kern w:val="2"/>
      <w:sz w:val="24"/>
    </w:rPr>
  </w:style>
  <w:style w:type="character" w:customStyle="1" w:styleId="f1200001">
    <w:name w:val="f12_0000_1"/>
    <w:qFormat/>
  </w:style>
  <w:style w:type="character" w:customStyle="1" w:styleId="4Char4">
    <w:name w:val="正文4 Char"/>
    <w:link w:val="4f7"/>
    <w:qFormat/>
    <w:rPr>
      <w:rFonts w:ascii="Calibri" w:eastAsia="楷体_GB2312" w:hAnsi="Calibri"/>
      <w:spacing w:val="8"/>
      <w:kern w:val="2"/>
      <w:sz w:val="28"/>
      <w:szCs w:val="22"/>
    </w:rPr>
  </w:style>
  <w:style w:type="paragraph" w:customStyle="1" w:styleId="4f7">
    <w:name w:val="正文4"/>
    <w:basedOn w:val="a9"/>
    <w:link w:val="4Char4"/>
    <w:qFormat/>
    <w:pPr>
      <w:adjustRightInd w:val="0"/>
      <w:spacing w:line="440" w:lineRule="exact"/>
      <w:ind w:firstLine="601"/>
    </w:pPr>
    <w:rPr>
      <w:rFonts w:ascii="Calibri" w:eastAsia="楷体_GB2312" w:hAnsi="Calibri"/>
      <w:spacing w:val="8"/>
      <w:kern w:val="2"/>
      <w:sz w:val="28"/>
      <w:szCs w:val="22"/>
    </w:rPr>
  </w:style>
  <w:style w:type="character" w:customStyle="1" w:styleId="9Char0">
    <w:name w:val="标题 9 Char"/>
    <w:qFormat/>
    <w:rPr>
      <w:rFonts w:ascii="Arial" w:eastAsia="黑体" w:hAnsi="Arial"/>
      <w:sz w:val="24"/>
      <w:lang w:val="en-US" w:eastAsia="zh-CN" w:bidi="ar-SA"/>
    </w:rPr>
  </w:style>
  <w:style w:type="character" w:customStyle="1" w:styleId="CharChar14">
    <w:name w:val="君邦正文 Char Char1"/>
    <w:qFormat/>
    <w:rPr>
      <w:rFonts w:eastAsia="宋体"/>
      <w:bCs/>
      <w:snapToGrid/>
      <w:sz w:val="24"/>
      <w:szCs w:val="24"/>
      <w:lang w:val="en-US" w:eastAsia="zh-CN" w:bidi="ar-SA"/>
    </w:rPr>
  </w:style>
  <w:style w:type="character" w:customStyle="1" w:styleId="cont21">
    <w:name w:val="cont21"/>
    <w:qFormat/>
    <w:rPr>
      <w:sz w:val="23"/>
      <w:szCs w:val="23"/>
    </w:rPr>
  </w:style>
  <w:style w:type="character" w:customStyle="1" w:styleId="txt">
    <w:name w:val="txt"/>
    <w:qFormat/>
  </w:style>
  <w:style w:type="character" w:customStyle="1" w:styleId="index">
    <w:name w:val="index"/>
    <w:qFormat/>
  </w:style>
  <w:style w:type="character" w:customStyle="1" w:styleId="1CharCharChar2">
    <w:name w:val="标题 1 Char Char Char"/>
    <w:qFormat/>
    <w:rPr>
      <w:rFonts w:eastAsia="宋体"/>
      <w:b/>
      <w:kern w:val="44"/>
      <w:sz w:val="32"/>
      <w:lang w:val="en-US" w:eastAsia="zh-CN" w:bidi="ar-SA"/>
    </w:rPr>
  </w:style>
  <w:style w:type="character" w:customStyle="1" w:styleId="CharChar34">
    <w:name w:val="Char Char34"/>
    <w:qFormat/>
    <w:rPr>
      <w:kern w:val="2"/>
      <w:sz w:val="18"/>
      <w:szCs w:val="18"/>
    </w:rPr>
  </w:style>
  <w:style w:type="character" w:customStyle="1" w:styleId="3Char5">
    <w:name w:val="正文3 Char"/>
    <w:qFormat/>
    <w:rPr>
      <w:rFonts w:ascii="宋体" w:eastAsia="宋体" w:hAnsi="宋体" w:hint="eastAsia"/>
      <w:sz w:val="30"/>
      <w:lang w:val="en-US" w:eastAsia="zh-CN" w:bidi="ar-SA"/>
    </w:rPr>
  </w:style>
  <w:style w:type="character" w:customStyle="1" w:styleId="p15">
    <w:name w:val="p15"/>
    <w:qFormat/>
  </w:style>
  <w:style w:type="character" w:customStyle="1" w:styleId="p4">
    <w:name w:val="p4"/>
    <w:qFormat/>
  </w:style>
  <w:style w:type="character" w:customStyle="1" w:styleId="3CharChar0">
    <w:name w:val="样式3正文 Char Char"/>
    <w:qFormat/>
    <w:rPr>
      <w:kern w:val="2"/>
      <w:sz w:val="24"/>
      <w:szCs w:val="24"/>
    </w:rPr>
  </w:style>
  <w:style w:type="character" w:customStyle="1" w:styleId="Charfffffb">
    <w:name w:val="正文格式 Char"/>
    <w:link w:val="affffffffffffffffff9"/>
    <w:qFormat/>
    <w:rPr>
      <w:rFonts w:ascii="宋体" w:hAnsi="宋体"/>
      <w:kern w:val="2"/>
      <w:sz w:val="24"/>
      <w:szCs w:val="24"/>
    </w:rPr>
  </w:style>
  <w:style w:type="paragraph" w:customStyle="1" w:styleId="affffffffffffffffff9">
    <w:name w:val="正文格式"/>
    <w:basedOn w:val="a9"/>
    <w:link w:val="Charfffffb"/>
    <w:qFormat/>
    <w:pPr>
      <w:spacing w:line="360" w:lineRule="auto"/>
      <w:ind w:firstLine="482"/>
    </w:pPr>
    <w:rPr>
      <w:rFonts w:ascii="宋体" w:hAnsi="宋体"/>
      <w:kern w:val="2"/>
      <w:sz w:val="24"/>
      <w:szCs w:val="24"/>
    </w:rPr>
  </w:style>
  <w:style w:type="character" w:customStyle="1" w:styleId="tape21">
    <w:name w:val="tape21"/>
    <w:qFormat/>
    <w:rPr>
      <w:rFonts w:ascii="Verdana" w:hAnsi="Verdana" w:hint="default"/>
      <w:color w:val="666666"/>
      <w:sz w:val="17"/>
      <w:szCs w:val="17"/>
    </w:rPr>
  </w:style>
  <w:style w:type="character" w:customStyle="1" w:styleId="Char1f7">
    <w:name w:val="表格标题 Char1"/>
    <w:link w:val="CharCharCharCharCharCharChar11"/>
    <w:qFormat/>
    <w:rPr>
      <w:rFonts w:eastAsia="文鼎CS中宋"/>
      <w:spacing w:val="8"/>
      <w:sz w:val="24"/>
    </w:rPr>
  </w:style>
  <w:style w:type="paragraph" w:customStyle="1" w:styleId="CharCharCharCharCharCharChar11">
    <w:name w:val="正文（首行缩进两字） Char Char Char Char Char Char Char11"/>
    <w:basedOn w:val="a9"/>
    <w:link w:val="Char1f7"/>
    <w:qFormat/>
    <w:pPr>
      <w:adjustRightInd w:val="0"/>
      <w:spacing w:before="120" w:line="400" w:lineRule="exact"/>
      <w:jc w:val="center"/>
    </w:pPr>
    <w:rPr>
      <w:rFonts w:eastAsia="文鼎CS中宋"/>
      <w:spacing w:val="8"/>
      <w:sz w:val="24"/>
    </w:rPr>
  </w:style>
  <w:style w:type="character" w:customStyle="1" w:styleId="style3">
    <w:name w:val="style3"/>
    <w:qFormat/>
  </w:style>
  <w:style w:type="character" w:customStyle="1" w:styleId="Charfffffc">
    <w:name w:val="表头 Char 字元 字元"/>
    <w:link w:val="Charfffffd"/>
    <w:qFormat/>
    <w:rPr>
      <w:rFonts w:eastAsia="黑体"/>
      <w:spacing w:val="-10"/>
      <w:sz w:val="21"/>
    </w:rPr>
  </w:style>
  <w:style w:type="paragraph" w:customStyle="1" w:styleId="Charfffffd">
    <w:name w:val="表头 Char 字元"/>
    <w:basedOn w:val="a9"/>
    <w:link w:val="Charfffffc"/>
    <w:qFormat/>
    <w:pPr>
      <w:adjustRightInd w:val="0"/>
      <w:snapToGrid w:val="0"/>
      <w:spacing w:line="320" w:lineRule="atLeast"/>
      <w:jc w:val="center"/>
      <w:textAlignment w:val="baseline"/>
    </w:pPr>
    <w:rPr>
      <w:rFonts w:eastAsia="黑体"/>
      <w:spacing w:val="-10"/>
      <w:sz w:val="21"/>
    </w:rPr>
  </w:style>
  <w:style w:type="character" w:customStyle="1" w:styleId="-Char">
    <w:name w:val="正文- Char"/>
    <w:link w:val="-8"/>
    <w:qFormat/>
    <w:rPr>
      <w:bCs/>
      <w:sz w:val="24"/>
      <w:szCs w:val="22"/>
    </w:rPr>
  </w:style>
  <w:style w:type="paragraph" w:customStyle="1" w:styleId="-8">
    <w:name w:val="正文-"/>
    <w:basedOn w:val="a9"/>
    <w:link w:val="-Char"/>
    <w:qFormat/>
    <w:pPr>
      <w:spacing w:line="360" w:lineRule="auto"/>
      <w:ind w:firstLineChars="200" w:firstLine="200"/>
    </w:pPr>
    <w:rPr>
      <w:bCs/>
      <w:sz w:val="24"/>
      <w:szCs w:val="22"/>
    </w:rPr>
  </w:style>
  <w:style w:type="character" w:customStyle="1" w:styleId="CharCharf5">
    <w:name w:val="正文小四 Char Char"/>
    <w:qFormat/>
    <w:rPr>
      <w:rFonts w:eastAsia="宋体"/>
      <w:kern w:val="2"/>
      <w:sz w:val="24"/>
      <w:lang w:val="en-US" w:eastAsia="zh-CN" w:bidi="ar-SA"/>
    </w:rPr>
  </w:style>
  <w:style w:type="character" w:customStyle="1" w:styleId="affffffffffffffffffa">
    <w:name w:val="表蕊 字元"/>
    <w:qFormat/>
    <w:rPr>
      <w:rFonts w:eastAsia="楷体_GB2312"/>
      <w:spacing w:val="-10"/>
      <w:sz w:val="21"/>
    </w:rPr>
  </w:style>
  <w:style w:type="character" w:customStyle="1" w:styleId="style391">
    <w:name w:val="style391"/>
    <w:qFormat/>
    <w:rPr>
      <w:b/>
      <w:bCs/>
      <w:color w:val="005984"/>
      <w:sz w:val="18"/>
      <w:szCs w:val="18"/>
    </w:rPr>
  </w:style>
  <w:style w:type="character" w:customStyle="1" w:styleId="21b">
    <w:name w:val="正文首行缩进 2 字符1"/>
    <w:qFormat/>
    <w:rPr>
      <w:rFonts w:ascii="宋体" w:eastAsia="宋体"/>
      <w:kern w:val="2"/>
      <w:sz w:val="24"/>
      <w:szCs w:val="28"/>
      <w:lang w:val="en-US" w:eastAsia="zh-CN" w:bidi="ar-SA"/>
    </w:rPr>
  </w:style>
  <w:style w:type="character" w:customStyle="1" w:styleId="Charfffff4">
    <w:name w:val="报告书表格 Char"/>
    <w:link w:val="affffffffffff5"/>
    <w:qFormat/>
  </w:style>
  <w:style w:type="character" w:customStyle="1" w:styleId="3Char10">
    <w:name w:val="正文3 Char1"/>
    <w:link w:val="3ff2"/>
    <w:qFormat/>
    <w:rPr>
      <w:rFonts w:eastAsia="仿宋_GB2312" w:cs="宋体"/>
      <w:sz w:val="28"/>
      <w:szCs w:val="28"/>
      <w:lang w:bidi="ne-NP"/>
    </w:rPr>
  </w:style>
  <w:style w:type="character" w:customStyle="1" w:styleId="Charfffffe">
    <w:name w:val="表?内®æ¦¡ Char"/>
    <w:link w:val="affffffffffffffffffb"/>
    <w:qFormat/>
    <w:rPr>
      <w:kern w:val="2"/>
      <w:sz w:val="18"/>
      <w:szCs w:val="24"/>
    </w:rPr>
  </w:style>
  <w:style w:type="paragraph" w:customStyle="1" w:styleId="affffffffffffffffffb">
    <w:name w:val="表?内®æ¦"/>
    <w:basedOn w:val="a9"/>
    <w:link w:val="Charfffffe"/>
    <w:qFormat/>
    <w:pPr>
      <w:jc w:val="center"/>
    </w:pPr>
    <w:rPr>
      <w:kern w:val="2"/>
      <w:sz w:val="18"/>
      <w:szCs w:val="24"/>
    </w:rPr>
  </w:style>
  <w:style w:type="character" w:customStyle="1" w:styleId="scc">
    <w:name w:val="s c c"/>
    <w:qFormat/>
  </w:style>
  <w:style w:type="character" w:customStyle="1" w:styleId="BChar">
    <w:name w:val="标题 B Char"/>
    <w:link w:val="B"/>
    <w:qFormat/>
    <w:rPr>
      <w:rFonts w:ascii="宋体"/>
      <w:spacing w:val="8"/>
      <w:sz w:val="30"/>
    </w:rPr>
  </w:style>
  <w:style w:type="character" w:customStyle="1" w:styleId="CharCharf6">
    <w:name w:val="表内格式 Char Char"/>
    <w:qFormat/>
    <w:rPr>
      <w:rFonts w:eastAsia="宋体"/>
      <w:kern w:val="2"/>
      <w:sz w:val="18"/>
      <w:lang w:val="en-US" w:eastAsia="zh-CN" w:bidi="ar-SA"/>
    </w:rPr>
  </w:style>
  <w:style w:type="character" w:customStyle="1" w:styleId="2CharChar">
    <w:name w:val="字元2 Char Char"/>
    <w:qFormat/>
    <w:rPr>
      <w:rFonts w:eastAsia="楷体_GB2312"/>
      <w:sz w:val="21"/>
      <w:lang w:val="en-US" w:eastAsia="zh-CN" w:bidi="ar-SA"/>
    </w:rPr>
  </w:style>
  <w:style w:type="character" w:customStyle="1" w:styleId="middle1">
    <w:name w:val="middle1"/>
    <w:qFormat/>
    <w:rPr>
      <w:spacing w:val="31680"/>
      <w:sz w:val="22"/>
      <w:szCs w:val="22"/>
    </w:rPr>
  </w:style>
  <w:style w:type="character" w:customStyle="1" w:styleId="3CharCharChar0">
    <w:name w:val="标题 3 Char Char Char"/>
    <w:qFormat/>
    <w:rPr>
      <w:rFonts w:eastAsia="黑体"/>
      <w:bCs/>
      <w:kern w:val="2"/>
      <w:sz w:val="28"/>
      <w:szCs w:val="28"/>
      <w:lang w:val="en-US" w:eastAsia="zh-CN" w:bidi="ar-SA"/>
    </w:rPr>
  </w:style>
  <w:style w:type="character" w:customStyle="1" w:styleId="1Charb">
    <w:name w:val="标题 1 Char"/>
    <w:qFormat/>
    <w:rPr>
      <w:rFonts w:eastAsia="黑体"/>
      <w:bCs/>
      <w:kern w:val="44"/>
      <w:sz w:val="36"/>
      <w:szCs w:val="36"/>
      <w:lang w:val="en-US" w:eastAsia="zh-CN" w:bidi="ar-SA"/>
    </w:rPr>
  </w:style>
  <w:style w:type="character" w:customStyle="1" w:styleId="1CharChar8">
    <w:name w:val="标题 1 Char Char"/>
    <w:qFormat/>
    <w:rPr>
      <w:rFonts w:eastAsia="宋体"/>
      <w:b/>
      <w:bCs/>
      <w:kern w:val="44"/>
      <w:sz w:val="44"/>
      <w:szCs w:val="44"/>
      <w:lang w:val="en-US" w:eastAsia="zh-CN" w:bidi="ar-SA"/>
    </w:rPr>
  </w:style>
  <w:style w:type="character" w:customStyle="1" w:styleId="ArialPMingLiU">
    <w:name w:val="样式 (西文) Arial (中文) PMingLiU 加粗 黑色"/>
    <w:qFormat/>
    <w:rPr>
      <w:rFonts w:ascii="Arial" w:eastAsia="PMingLiU" w:hAnsi="Arial" w:cs="Arial" w:hint="default"/>
      <w:b/>
      <w:bCs/>
      <w:color w:val="000000"/>
      <w:shd w:val="clear" w:color="auto" w:fill="33CCCC"/>
    </w:rPr>
  </w:style>
  <w:style w:type="character" w:customStyle="1" w:styleId="1fffff8">
    <w:name w:val="尾注文本 字符1"/>
    <w:qFormat/>
    <w:rPr>
      <w:kern w:val="2"/>
      <w:sz w:val="21"/>
    </w:rPr>
  </w:style>
  <w:style w:type="character" w:customStyle="1" w:styleId="1fffff9">
    <w:name w:val="正文首行缩进 字符1"/>
    <w:qFormat/>
    <w:rPr>
      <w:rFonts w:eastAsia="宋体"/>
      <w:kern w:val="2"/>
      <w:sz w:val="24"/>
      <w:szCs w:val="24"/>
      <w:lang w:val="en-US" w:eastAsia="zh-CN" w:bidi="ar-SA"/>
    </w:rPr>
  </w:style>
  <w:style w:type="character" w:customStyle="1" w:styleId="CharCharChar3">
    <w:name w:val="普通文字 Char Char Char"/>
    <w:qFormat/>
    <w:rPr>
      <w:rFonts w:ascii="宋体" w:eastAsia="宋体" w:hAnsi="Courier New"/>
      <w:kern w:val="2"/>
      <w:sz w:val="21"/>
      <w:lang w:val="en-US" w:eastAsia="zh-CN" w:bidi="ar-SA"/>
    </w:rPr>
  </w:style>
  <w:style w:type="character" w:customStyle="1" w:styleId="ctChar">
    <w:name w:val="ct Char"/>
    <w:link w:val="ct"/>
    <w:qFormat/>
    <w:rPr>
      <w:rFonts w:eastAsia="黑体"/>
      <w:b/>
      <w:sz w:val="21"/>
      <w:szCs w:val="21"/>
      <w:lang w:bidi="en-US"/>
    </w:rPr>
  </w:style>
  <w:style w:type="paragraph" w:customStyle="1" w:styleId="ct">
    <w:name w:val="ct"/>
    <w:link w:val="ctChar"/>
    <w:qFormat/>
    <w:pPr>
      <w:jc w:val="center"/>
    </w:pPr>
    <w:rPr>
      <w:rFonts w:eastAsia="黑体"/>
      <w:b/>
      <w:sz w:val="21"/>
      <w:szCs w:val="21"/>
      <w:lang w:bidi="en-US"/>
    </w:rPr>
  </w:style>
  <w:style w:type="character" w:customStyle="1" w:styleId="pt121">
    <w:name w:val="pt121"/>
    <w:qFormat/>
    <w:rPr>
      <w:color w:val="333333"/>
      <w:spacing w:val="270"/>
      <w:sz w:val="18"/>
      <w:szCs w:val="18"/>
      <w:u w:val="none"/>
    </w:rPr>
  </w:style>
  <w:style w:type="character" w:customStyle="1" w:styleId="SimSun">
    <w:name w:val="正文文本 + SimSun"/>
    <w:qFormat/>
    <w:rPr>
      <w:rFonts w:ascii="宋体" w:eastAsia="宋体" w:hAnsi="宋体" w:cs="宋体"/>
      <w:color w:val="000000"/>
      <w:spacing w:val="0"/>
      <w:w w:val="100"/>
      <w:position w:val="0"/>
      <w:sz w:val="18"/>
      <w:szCs w:val="18"/>
      <w:u w:val="none"/>
      <w:lang w:val="zh-TW"/>
    </w:rPr>
  </w:style>
  <w:style w:type="character" w:customStyle="1" w:styleId="t-w2">
    <w:name w:val="t-w2"/>
    <w:qFormat/>
  </w:style>
  <w:style w:type="character" w:customStyle="1" w:styleId="indetail1">
    <w:name w:val="indetail1"/>
    <w:qFormat/>
    <w:rPr>
      <w:sz w:val="20"/>
      <w:szCs w:val="20"/>
      <w:bdr w:val="single" w:sz="6" w:space="0" w:color="E2E2E2"/>
    </w:rPr>
  </w:style>
  <w:style w:type="character" w:customStyle="1" w:styleId="detail1">
    <w:name w:val="detail1"/>
    <w:qFormat/>
    <w:rPr>
      <w:rFonts w:ascii="ˎ̥" w:hAnsi="ˎ̥" w:hint="default"/>
      <w:sz w:val="23"/>
      <w:szCs w:val="23"/>
      <w:u w:val="none"/>
    </w:rPr>
  </w:style>
  <w:style w:type="character" w:customStyle="1" w:styleId="Charffffff">
    <w:name w:val="纯文本 Char"/>
    <w:qFormat/>
    <w:rPr>
      <w:rFonts w:ascii="宋体" w:eastAsia="宋体" w:hAnsi="Courier New"/>
      <w:kern w:val="2"/>
      <w:sz w:val="21"/>
      <w:lang w:val="en-US" w:eastAsia="zh-CN" w:bidi="ar-SA"/>
    </w:rPr>
  </w:style>
  <w:style w:type="character" w:customStyle="1" w:styleId="bullet">
    <w:name w:val="bullet 字元"/>
    <w:qFormat/>
    <w:rPr>
      <w:rFonts w:ascii="文鼎CS细等线" w:eastAsia="文鼎CS细等线" w:hint="eastAsia"/>
      <w:b/>
      <w:spacing w:val="8"/>
      <w:sz w:val="28"/>
      <w:lang w:val="en-US" w:eastAsia="zh-CN" w:bidi="ar-SA"/>
    </w:rPr>
  </w:style>
  <w:style w:type="character" w:customStyle="1" w:styleId="Char1f8">
    <w:name w:val="普通文字 Char1"/>
    <w:qFormat/>
    <w:rPr>
      <w:rFonts w:ascii="宋体" w:eastAsia="宋体"/>
      <w:sz w:val="21"/>
      <w:lang w:val="en-US" w:eastAsia="zh-CN" w:bidi="ar-SA"/>
    </w:rPr>
  </w:style>
  <w:style w:type="character" w:customStyle="1" w:styleId="9pt1">
    <w:name w:val="9pt1"/>
    <w:qFormat/>
    <w:rPr>
      <w:rFonts w:ascii="Arial" w:hAnsi="Arial" w:cs="Arial" w:hint="default"/>
      <w:color w:val="000000"/>
      <w:spacing w:val="240"/>
      <w:sz w:val="18"/>
      <w:szCs w:val="18"/>
    </w:rPr>
  </w:style>
  <w:style w:type="character" w:customStyle="1" w:styleId="1fffffa">
    <w:name w:val="样式 (符号) 宋体 四号1"/>
    <w:qFormat/>
    <w:rPr>
      <w:rFonts w:ascii="宋体" w:eastAsia="宋体"/>
      <w:color w:val="auto"/>
      <w:kern w:val="2"/>
      <w:sz w:val="28"/>
      <w:szCs w:val="24"/>
      <w:lang w:val="en-US" w:eastAsia="zh-CN" w:bidi="ar-SA"/>
    </w:rPr>
  </w:style>
  <w:style w:type="character" w:customStyle="1" w:styleId="tape2copy1">
    <w:name w:val="tape2copy1"/>
    <w:qFormat/>
    <w:rPr>
      <w:rFonts w:ascii="Verdana" w:hAnsi="Verdana" w:hint="default"/>
      <w:b/>
      <w:bCs/>
      <w:color w:val="88AE1C"/>
      <w:sz w:val="17"/>
      <w:szCs w:val="17"/>
    </w:rPr>
  </w:style>
  <w:style w:type="character" w:customStyle="1" w:styleId="2Char6">
    <w:name w:val="正文2 Char"/>
    <w:link w:val="2fa"/>
    <w:qFormat/>
    <w:rPr>
      <w:spacing w:val="5"/>
      <w:sz w:val="28"/>
    </w:rPr>
  </w:style>
  <w:style w:type="character" w:customStyle="1" w:styleId="9pt">
    <w:name w:val="正文文本 + 9 pt"/>
    <w:qFormat/>
    <w:rPr>
      <w:rFonts w:ascii="Times New Roman" w:eastAsia="Times New Roman" w:hAnsi="Times New Roman" w:cs="Times New Roman"/>
      <w:color w:val="000000"/>
      <w:spacing w:val="0"/>
      <w:w w:val="100"/>
      <w:position w:val="0"/>
      <w:sz w:val="18"/>
      <w:szCs w:val="18"/>
      <w:u w:val="none"/>
      <w:lang w:val="en-US"/>
    </w:rPr>
  </w:style>
  <w:style w:type="character" w:customStyle="1" w:styleId="Char1f9">
    <w:name w:val="表蕊 Char1 字元"/>
    <w:qFormat/>
    <w:rPr>
      <w:rFonts w:eastAsia="楷体_GB2312"/>
      <w:spacing w:val="-10"/>
      <w:sz w:val="21"/>
    </w:rPr>
  </w:style>
  <w:style w:type="character" w:customStyle="1" w:styleId="85pt">
    <w:name w:val="正文文本 + 8.5 pt"/>
    <w:qFormat/>
    <w:rPr>
      <w:rFonts w:ascii="Times New Roman" w:eastAsia="Times New Roman" w:hAnsi="Times New Roman" w:cs="Times New Roman"/>
      <w:color w:val="000000"/>
      <w:spacing w:val="0"/>
      <w:w w:val="100"/>
      <w:position w:val="0"/>
      <w:sz w:val="17"/>
      <w:szCs w:val="17"/>
      <w:u w:val="none"/>
      <w:lang w:val="en-US"/>
    </w:rPr>
  </w:style>
  <w:style w:type="character" w:customStyle="1" w:styleId="WW8Num25z4">
    <w:name w:val="WW8Num25z4"/>
    <w:qFormat/>
    <w:rPr>
      <w:rFonts w:ascii="Times New Roman" w:eastAsia="宋体" w:hAnsi="Times New Roman"/>
      <w:b/>
      <w:sz w:val="24"/>
    </w:rPr>
  </w:style>
  <w:style w:type="character" w:customStyle="1" w:styleId="postbody">
    <w:name w:val="postbody"/>
    <w:qFormat/>
  </w:style>
  <w:style w:type="character" w:customStyle="1" w:styleId="texttitle1">
    <w:name w:val="texttitle1"/>
    <w:qFormat/>
    <w:rPr>
      <w:color w:val="0099FF"/>
      <w:sz w:val="24"/>
      <w:szCs w:val="24"/>
      <w:u w:val="none"/>
    </w:rPr>
  </w:style>
  <w:style w:type="character" w:customStyle="1" w:styleId="affffffffffffffffffc">
    <w:name w:val="发布"/>
    <w:qFormat/>
    <w:rPr>
      <w:rFonts w:ascii="黑体" w:eastAsia="黑体"/>
      <w:spacing w:val="22"/>
      <w:w w:val="100"/>
      <w:position w:val="3"/>
      <w:sz w:val="28"/>
    </w:rPr>
  </w:style>
  <w:style w:type="character" w:customStyle="1" w:styleId="javascript">
    <w:name w:val="javascript"/>
    <w:qFormat/>
  </w:style>
  <w:style w:type="paragraph" w:customStyle="1" w:styleId="119">
    <w:name w:val="列出段落11"/>
    <w:basedOn w:val="a9"/>
    <w:qFormat/>
    <w:pPr>
      <w:ind w:leftChars="200" w:left="480"/>
      <w:jc w:val="left"/>
    </w:pPr>
    <w:rPr>
      <w:rFonts w:ascii="Calibri" w:eastAsia="PMingLiU" w:hAnsi="Calibri"/>
      <w:kern w:val="2"/>
      <w:sz w:val="24"/>
      <w:szCs w:val="22"/>
      <w:lang w:eastAsia="zh-TW"/>
    </w:rPr>
  </w:style>
  <w:style w:type="paragraph" w:customStyle="1" w:styleId="affffffffffffffffffd">
    <w:name w:val="图标"/>
    <w:basedOn w:val="a9"/>
    <w:qFormat/>
    <w:pPr>
      <w:adjustRightInd w:val="0"/>
      <w:spacing w:after="60" w:line="400" w:lineRule="exact"/>
      <w:jc w:val="center"/>
    </w:pPr>
    <w:rPr>
      <w:rFonts w:eastAsia="文鼎CS中宋"/>
      <w:spacing w:val="8"/>
      <w:sz w:val="24"/>
    </w:rPr>
  </w:style>
  <w:style w:type="paragraph" w:customStyle="1" w:styleId="CM108">
    <w:name w:val="CM108"/>
    <w:basedOn w:val="Default"/>
    <w:next w:val="Default"/>
    <w:uiPriority w:val="99"/>
    <w:qFormat/>
    <w:pPr>
      <w:spacing w:after="838"/>
    </w:pPr>
    <w:rPr>
      <w:rFonts w:hAnsi="Calibri" w:cs="Times New Roman"/>
      <w:color w:val="auto"/>
    </w:rPr>
  </w:style>
  <w:style w:type="paragraph" w:customStyle="1" w:styleId="CM24">
    <w:name w:val="CM24"/>
    <w:basedOn w:val="Default"/>
    <w:next w:val="Default"/>
    <w:qFormat/>
    <w:pPr>
      <w:spacing w:line="548" w:lineRule="atLeast"/>
    </w:pPr>
    <w:rPr>
      <w:rFonts w:ascii="宋体" w:eastAsia="宋体" w:cs="Times New Roman"/>
      <w:color w:val="auto"/>
    </w:rPr>
  </w:style>
  <w:style w:type="paragraph" w:customStyle="1" w:styleId="1fffffb">
    <w:name w:val="证书1"/>
    <w:basedOn w:val="a9"/>
    <w:qFormat/>
    <w:pPr>
      <w:spacing w:line="500" w:lineRule="exact"/>
      <w:jc w:val="center"/>
    </w:pPr>
    <w:rPr>
      <w:rFonts w:ascii="隶书" w:eastAsia="隶书"/>
      <w:b/>
      <w:kern w:val="2"/>
      <w:sz w:val="36"/>
      <w:szCs w:val="36"/>
    </w:rPr>
  </w:style>
  <w:style w:type="paragraph" w:customStyle="1" w:styleId="CM55">
    <w:name w:val="CM55"/>
    <w:basedOn w:val="Default"/>
    <w:next w:val="Default"/>
    <w:uiPriority w:val="99"/>
    <w:qFormat/>
    <w:pPr>
      <w:spacing w:line="560" w:lineRule="atLeast"/>
    </w:pPr>
    <w:rPr>
      <w:rFonts w:hAnsi="Calibri" w:cs="Times New Roman"/>
      <w:color w:val="auto"/>
    </w:rPr>
  </w:style>
  <w:style w:type="paragraph" w:customStyle="1" w:styleId="152">
    <w:name w:val="样式 纯文本 + 幼圆 小四 行距: 1.5 倍行距"/>
    <w:basedOn w:val="aff1"/>
    <w:qFormat/>
    <w:pPr>
      <w:spacing w:line="360" w:lineRule="auto"/>
      <w:ind w:leftChars="412" w:left="989"/>
    </w:pPr>
    <w:rPr>
      <w:rFonts w:ascii="幼圆" w:eastAsia="幼圆" w:hAnsi="Dutch801 Rm BT" w:cs="宋体"/>
      <w:kern w:val="2"/>
      <w:sz w:val="24"/>
    </w:rPr>
  </w:style>
  <w:style w:type="paragraph" w:customStyle="1" w:styleId="129">
    <w:name w:val="字元12"/>
    <w:basedOn w:val="a9"/>
    <w:qFormat/>
    <w:rPr>
      <w:kern w:val="2"/>
      <w:sz w:val="21"/>
      <w:szCs w:val="21"/>
    </w:rPr>
  </w:style>
  <w:style w:type="paragraph" w:customStyle="1" w:styleId="CM40">
    <w:name w:val="CM40"/>
    <w:basedOn w:val="Default"/>
    <w:next w:val="Default"/>
    <w:uiPriority w:val="99"/>
    <w:qFormat/>
    <w:pPr>
      <w:spacing w:line="560" w:lineRule="atLeast"/>
    </w:pPr>
    <w:rPr>
      <w:rFonts w:hAnsi="Calibri" w:cs="Times New Roman"/>
      <w:color w:val="auto"/>
    </w:rPr>
  </w:style>
  <w:style w:type="paragraph" w:customStyle="1" w:styleId="CM104">
    <w:name w:val="CM104"/>
    <w:basedOn w:val="Default"/>
    <w:next w:val="Default"/>
    <w:uiPriority w:val="99"/>
    <w:qFormat/>
    <w:pPr>
      <w:spacing w:after="238"/>
    </w:pPr>
    <w:rPr>
      <w:rFonts w:hAnsi="Calibri" w:cs="Times New Roman"/>
      <w:color w:val="auto"/>
    </w:rPr>
  </w:style>
  <w:style w:type="paragraph" w:customStyle="1" w:styleId="CM43">
    <w:name w:val="CM43"/>
    <w:basedOn w:val="Default"/>
    <w:next w:val="Default"/>
    <w:uiPriority w:val="99"/>
    <w:qFormat/>
    <w:pPr>
      <w:spacing w:line="576" w:lineRule="atLeast"/>
    </w:pPr>
    <w:rPr>
      <w:rFonts w:hAnsi="Calibri" w:cs="Times New Roman"/>
      <w:color w:val="auto"/>
    </w:rPr>
  </w:style>
  <w:style w:type="paragraph" w:customStyle="1" w:styleId="affffffffffffffffffe">
    <w:name w:val="表芯"/>
    <w:basedOn w:val="a9"/>
    <w:next w:val="a9"/>
    <w:qFormat/>
    <w:pPr>
      <w:adjustRightInd w:val="0"/>
      <w:snapToGrid w:val="0"/>
      <w:spacing w:line="320" w:lineRule="atLeast"/>
      <w:jc w:val="center"/>
    </w:pPr>
    <w:rPr>
      <w:rFonts w:eastAsia="楷体_GB2312"/>
      <w:spacing w:val="-6"/>
      <w:sz w:val="21"/>
    </w:rPr>
  </w:style>
  <w:style w:type="paragraph" w:customStyle="1" w:styleId="CharCharChar1CharCharChar1CharCharChar1CharCharChar">
    <w:name w:val="Char Char Char1 Char Char Char1 Char Char Char1 Char Char Char 字元 字元"/>
    <w:basedOn w:val="a9"/>
    <w:qFormat/>
    <w:pPr>
      <w:spacing w:line="400" w:lineRule="exact"/>
      <w:ind w:firstLineChars="200" w:firstLine="200"/>
    </w:pPr>
    <w:rPr>
      <w:kern w:val="2"/>
      <w:sz w:val="28"/>
      <w:szCs w:val="28"/>
    </w:rPr>
  </w:style>
  <w:style w:type="paragraph" w:customStyle="1" w:styleId="titleshow">
    <w:name w:val="title_show"/>
    <w:basedOn w:val="a9"/>
    <w:qFormat/>
    <w:pPr>
      <w:widowControl/>
      <w:spacing w:before="100" w:beforeAutospacing="1" w:after="100" w:afterAutospacing="1"/>
      <w:jc w:val="left"/>
    </w:pPr>
    <w:rPr>
      <w:rFonts w:ascii="宋体" w:hAnsi="宋体" w:cs="宋体"/>
      <w:color w:val="000000"/>
      <w:sz w:val="24"/>
      <w:szCs w:val="24"/>
    </w:rPr>
  </w:style>
  <w:style w:type="paragraph" w:customStyle="1" w:styleId="afffffffffffffffffff">
    <w:name w:val="近年该"/>
    <w:basedOn w:val="a9"/>
    <w:qFormat/>
    <w:pPr>
      <w:adjustRightInd w:val="0"/>
      <w:spacing w:line="315" w:lineRule="atLeast"/>
      <w:ind w:firstLine="601"/>
      <w:jc w:val="left"/>
    </w:pPr>
    <w:rPr>
      <w:rFonts w:ascii="宋体" w:eastAsia="楷体_GB2312"/>
      <w:spacing w:val="8"/>
      <w:sz w:val="28"/>
    </w:rPr>
  </w:style>
  <w:style w:type="paragraph" w:customStyle="1" w:styleId="CM75">
    <w:name w:val="CM75"/>
    <w:basedOn w:val="Default"/>
    <w:next w:val="Default"/>
    <w:qFormat/>
    <w:pPr>
      <w:spacing w:after="500"/>
    </w:pPr>
    <w:rPr>
      <w:rFonts w:ascii="宋体" w:eastAsia="宋体" w:cs="Times New Roman"/>
      <w:color w:val="auto"/>
    </w:rPr>
  </w:style>
  <w:style w:type="paragraph" w:customStyle="1" w:styleId="CM32">
    <w:name w:val="CM32"/>
    <w:basedOn w:val="Default"/>
    <w:next w:val="Default"/>
    <w:uiPriority w:val="99"/>
    <w:qFormat/>
    <w:pPr>
      <w:spacing w:line="560" w:lineRule="atLeast"/>
    </w:pPr>
    <w:rPr>
      <w:rFonts w:hAnsi="Calibri" w:cs="Times New Roman"/>
      <w:color w:val="auto"/>
    </w:rPr>
  </w:style>
  <w:style w:type="paragraph" w:customStyle="1" w:styleId="Normal137">
    <w:name w:val="Normal_137"/>
    <w:qFormat/>
    <w:pPr>
      <w:spacing w:before="120" w:after="240"/>
      <w:jc w:val="both"/>
    </w:pPr>
    <w:rPr>
      <w:rFonts w:ascii="Calibri" w:eastAsia="Calibri" w:hAnsi="Calibri"/>
      <w:sz w:val="22"/>
      <w:szCs w:val="22"/>
      <w:lang w:val="ru-RU" w:eastAsia="en-US"/>
    </w:rPr>
  </w:style>
  <w:style w:type="paragraph" w:customStyle="1" w:styleId="CM38">
    <w:name w:val="CM38"/>
    <w:basedOn w:val="Default"/>
    <w:next w:val="Default"/>
    <w:uiPriority w:val="99"/>
    <w:qFormat/>
    <w:pPr>
      <w:spacing w:line="560" w:lineRule="atLeast"/>
    </w:pPr>
    <w:rPr>
      <w:rFonts w:hAnsi="Calibri" w:cs="Times New Roman"/>
      <w:color w:val="auto"/>
    </w:rPr>
  </w:style>
  <w:style w:type="paragraph" w:customStyle="1" w:styleId="CM3">
    <w:name w:val="CM3"/>
    <w:basedOn w:val="Default"/>
    <w:next w:val="Default"/>
    <w:qFormat/>
    <w:rPr>
      <w:rFonts w:ascii="宋体" w:eastAsia="宋体" w:cs="Times New Roman"/>
      <w:color w:val="auto"/>
    </w:rPr>
  </w:style>
  <w:style w:type="paragraph" w:customStyle="1" w:styleId="CM58">
    <w:name w:val="CM58"/>
    <w:basedOn w:val="Default"/>
    <w:next w:val="Default"/>
    <w:qFormat/>
    <w:pPr>
      <w:spacing w:after="710"/>
    </w:pPr>
    <w:rPr>
      <w:rFonts w:ascii="宋体" w:eastAsia="宋体" w:cs="Times New Roman"/>
      <w:color w:val="auto"/>
    </w:rPr>
  </w:style>
  <w:style w:type="paragraph" w:customStyle="1" w:styleId="afffffffffffffffffff0">
    <w:name w:val="插图标题"/>
    <w:basedOn w:val="a9"/>
    <w:qFormat/>
    <w:pPr>
      <w:adjustRightInd w:val="0"/>
      <w:spacing w:before="120" w:line="400" w:lineRule="exact"/>
      <w:jc w:val="center"/>
    </w:pPr>
    <w:rPr>
      <w:rFonts w:eastAsia="黑体"/>
      <w:color w:val="0000FF"/>
      <w:spacing w:val="8"/>
      <w:sz w:val="24"/>
    </w:rPr>
  </w:style>
  <w:style w:type="paragraph" w:customStyle="1" w:styleId="1fffffc">
    <w:name w:val="价格变化趋1"/>
    <w:basedOn w:val="a9"/>
    <w:qFormat/>
    <w:pPr>
      <w:adjustRightInd w:val="0"/>
      <w:spacing w:line="315" w:lineRule="atLeast"/>
      <w:jc w:val="left"/>
      <w:textAlignment w:val="baseline"/>
    </w:pPr>
    <w:rPr>
      <w:rFonts w:ascii="宋体"/>
      <w:sz w:val="21"/>
    </w:rPr>
  </w:style>
  <w:style w:type="paragraph" w:customStyle="1" w:styleId="TITLE-0">
    <w:name w:val="TITLE-0"/>
    <w:basedOn w:val="a9"/>
    <w:qFormat/>
    <w:pPr>
      <w:adjustRightInd w:val="0"/>
      <w:jc w:val="center"/>
    </w:pPr>
    <w:rPr>
      <w:rFonts w:ascii="華康隸書體" w:eastAsia="華康中楷體"/>
      <w:b/>
      <w:sz w:val="48"/>
      <w:lang w:eastAsia="zh-TW"/>
    </w:rPr>
  </w:style>
  <w:style w:type="paragraph" w:customStyle="1" w:styleId="TITLE-1">
    <w:name w:val="TITLE-1"/>
    <w:basedOn w:val="a9"/>
    <w:qFormat/>
    <w:pPr>
      <w:adjustRightInd w:val="0"/>
      <w:jc w:val="left"/>
    </w:pPr>
    <w:rPr>
      <w:rFonts w:ascii="華康隸書體" w:eastAsia="華康隸書體"/>
      <w:b/>
      <w:sz w:val="36"/>
      <w:lang w:eastAsia="zh-TW"/>
    </w:rPr>
  </w:style>
  <w:style w:type="paragraph" w:customStyle="1" w:styleId="afffffffffffffffffff1">
    <w:name w:val="表格内"/>
    <w:basedOn w:val="a9"/>
    <w:qFormat/>
    <w:pPr>
      <w:adjustRightInd w:val="0"/>
      <w:spacing w:line="240" w:lineRule="atLeast"/>
      <w:jc w:val="center"/>
      <w:textAlignment w:val="baseline"/>
    </w:pPr>
    <w:rPr>
      <w:rFonts w:ascii="宋体"/>
      <w:sz w:val="21"/>
    </w:rPr>
  </w:style>
  <w:style w:type="paragraph" w:customStyle="1" w:styleId="ListParagraph1">
    <w:name w:val="List Paragraph1"/>
    <w:basedOn w:val="a9"/>
    <w:qFormat/>
    <w:pPr>
      <w:ind w:leftChars="200" w:left="480"/>
      <w:jc w:val="left"/>
    </w:pPr>
    <w:rPr>
      <w:rFonts w:ascii="Calibri" w:eastAsia="PMingLiU" w:hAnsi="Calibri"/>
      <w:kern w:val="2"/>
      <w:sz w:val="24"/>
      <w:szCs w:val="22"/>
      <w:lang w:eastAsia="zh-TW"/>
    </w:rPr>
  </w:style>
  <w:style w:type="paragraph" w:customStyle="1" w:styleId="5f0">
    <w:name w:val="表格5号无缩"/>
    <w:basedOn w:val="a9"/>
    <w:qFormat/>
    <w:pPr>
      <w:spacing w:line="360" w:lineRule="exact"/>
      <w:jc w:val="center"/>
    </w:pPr>
    <w:rPr>
      <w:rFonts w:ascii="Arial" w:hAnsi="Arial"/>
      <w:kern w:val="2"/>
      <w:sz w:val="21"/>
      <w:szCs w:val="21"/>
    </w:rPr>
  </w:style>
  <w:style w:type="paragraph" w:customStyle="1" w:styleId="CM25">
    <w:name w:val="CM25"/>
    <w:basedOn w:val="Default"/>
    <w:next w:val="Default"/>
    <w:qFormat/>
    <w:pPr>
      <w:spacing w:line="548" w:lineRule="atLeast"/>
    </w:pPr>
    <w:rPr>
      <w:rFonts w:ascii="宋体" w:eastAsia="宋体" w:cs="Times New Roman"/>
      <w:color w:val="auto"/>
    </w:rPr>
  </w:style>
  <w:style w:type="paragraph" w:customStyle="1" w:styleId="CharChar1CharCharCharChar1">
    <w:name w:val="Char Char1 Char Char Char Char1"/>
    <w:basedOn w:val="a9"/>
    <w:qFormat/>
    <w:pPr>
      <w:spacing w:line="360" w:lineRule="auto"/>
      <w:ind w:firstLineChars="200" w:firstLine="200"/>
    </w:pPr>
    <w:rPr>
      <w:rFonts w:ascii="宋体" w:hAnsi="宋体" w:cs="宋体"/>
      <w:kern w:val="2"/>
      <w:sz w:val="24"/>
      <w:szCs w:val="24"/>
    </w:rPr>
  </w:style>
  <w:style w:type="paragraph" w:customStyle="1" w:styleId="CM41">
    <w:name w:val="CM41"/>
    <w:basedOn w:val="Default"/>
    <w:next w:val="Default"/>
    <w:uiPriority w:val="99"/>
    <w:qFormat/>
    <w:rPr>
      <w:rFonts w:hAnsi="Calibri" w:cs="Times New Roman"/>
      <w:color w:val="auto"/>
    </w:rPr>
  </w:style>
  <w:style w:type="paragraph" w:customStyle="1" w:styleId="afffffffffffffffffff2">
    <w:name w:val="表芯左"/>
    <w:basedOn w:val="a9"/>
    <w:qFormat/>
    <w:pPr>
      <w:adjustRightInd w:val="0"/>
      <w:spacing w:line="320" w:lineRule="atLeast"/>
      <w:jc w:val="left"/>
    </w:pPr>
    <w:rPr>
      <w:rFonts w:eastAsia="楷体_GB2312"/>
      <w:spacing w:val="-12"/>
      <w:sz w:val="21"/>
    </w:rPr>
  </w:style>
  <w:style w:type="paragraph" w:customStyle="1" w:styleId="afffffffffffffffffff3">
    <w:name w:val="正文王"/>
    <w:basedOn w:val="aff1"/>
    <w:qFormat/>
    <w:pPr>
      <w:snapToGrid w:val="0"/>
      <w:spacing w:line="440" w:lineRule="exact"/>
    </w:pPr>
    <w:rPr>
      <w:rFonts w:ascii="Arial" w:hAnsi="Arial"/>
      <w:sz w:val="24"/>
    </w:rPr>
  </w:style>
  <w:style w:type="paragraph" w:customStyle="1" w:styleId="afffffffffffffffffff4">
    <w:name w:val="说明文字"/>
    <w:basedOn w:val="a9"/>
    <w:qFormat/>
    <w:pPr>
      <w:shd w:val="pct10" w:color="auto" w:fill="FFFFFF"/>
      <w:adjustRightInd w:val="0"/>
      <w:spacing w:line="360" w:lineRule="atLeast"/>
      <w:ind w:firstLine="601"/>
      <w:outlineLvl w:val="0"/>
    </w:pPr>
    <w:rPr>
      <w:rFonts w:eastAsia="楷体_GB2312"/>
      <w:color w:val="FF0000"/>
      <w:spacing w:val="8"/>
      <w:sz w:val="28"/>
    </w:rPr>
  </w:style>
  <w:style w:type="paragraph" w:customStyle="1" w:styleId="CM13">
    <w:name w:val="CM13"/>
    <w:basedOn w:val="Default"/>
    <w:next w:val="Default"/>
    <w:qFormat/>
    <w:pPr>
      <w:spacing w:line="548" w:lineRule="atLeast"/>
    </w:pPr>
    <w:rPr>
      <w:rFonts w:ascii="宋体" w:eastAsia="宋体" w:cs="Times New Roman"/>
      <w:color w:val="auto"/>
    </w:rPr>
  </w:style>
  <w:style w:type="paragraph" w:customStyle="1" w:styleId="0850522">
    <w:name w:val="样式 首行缩进:  0.85 厘米 段后: 0.5 行 行距: 固定值 22 磅"/>
    <w:basedOn w:val="a9"/>
    <w:qFormat/>
    <w:pPr>
      <w:spacing w:after="156" w:line="440" w:lineRule="exact"/>
      <w:ind w:firstLine="480"/>
    </w:pPr>
    <w:rPr>
      <w:kern w:val="2"/>
      <w:sz w:val="21"/>
      <w:szCs w:val="24"/>
    </w:rPr>
  </w:style>
  <w:style w:type="paragraph" w:customStyle="1" w:styleId="ww">
    <w:name w:val="ww正文"/>
    <w:basedOn w:val="a9"/>
    <w:qFormat/>
    <w:pPr>
      <w:spacing w:line="360" w:lineRule="auto"/>
      <w:ind w:firstLineChars="200" w:firstLine="560"/>
    </w:pPr>
    <w:rPr>
      <w:rFonts w:cs="宋体"/>
      <w:kern w:val="2"/>
      <w:sz w:val="28"/>
    </w:rPr>
  </w:style>
  <w:style w:type="paragraph" w:customStyle="1" w:styleId="para1">
    <w:name w:val="para1"/>
    <w:basedOn w:val="a9"/>
    <w:qFormat/>
    <w:pPr>
      <w:widowControl/>
      <w:spacing w:before="100" w:beforeAutospacing="1" w:after="100" w:afterAutospacing="1" w:line="240" w:lineRule="atLeast"/>
      <w:jc w:val="left"/>
    </w:pPr>
    <w:rPr>
      <w:rFonts w:ascii="宋体" w:hAnsi="宋体" w:cs="宋体"/>
      <w:color w:val="333333"/>
      <w:sz w:val="21"/>
      <w:szCs w:val="21"/>
    </w:rPr>
  </w:style>
  <w:style w:type="paragraph" w:customStyle="1" w:styleId="CM67">
    <w:name w:val="CM67"/>
    <w:basedOn w:val="Default"/>
    <w:next w:val="Default"/>
    <w:uiPriority w:val="99"/>
    <w:qFormat/>
    <w:pPr>
      <w:spacing w:line="560" w:lineRule="atLeast"/>
    </w:pPr>
    <w:rPr>
      <w:rFonts w:hAnsi="Calibri" w:cs="Times New Roman"/>
      <w:color w:val="auto"/>
    </w:rPr>
  </w:style>
  <w:style w:type="paragraph" w:customStyle="1" w:styleId="afffffffffffffffffff5">
    <w:name w:val="草稿"/>
    <w:basedOn w:val="a9"/>
    <w:qFormat/>
    <w:pPr>
      <w:tabs>
        <w:tab w:val="left" w:pos="5015"/>
      </w:tabs>
      <w:adjustRightInd w:val="0"/>
      <w:ind w:firstLine="500"/>
    </w:pPr>
    <w:rPr>
      <w:sz w:val="24"/>
    </w:rPr>
  </w:style>
  <w:style w:type="paragraph" w:customStyle="1" w:styleId="afffffffffffffffffff6">
    <w:name w:val="条目"/>
    <w:basedOn w:val="aff1"/>
    <w:next w:val="afd"/>
    <w:qFormat/>
    <w:pPr>
      <w:tabs>
        <w:tab w:val="left" w:pos="2660"/>
      </w:tabs>
      <w:ind w:left="2660" w:hanging="420"/>
      <w:outlineLvl w:val="4"/>
    </w:pPr>
    <w:rPr>
      <w:kern w:val="2"/>
      <w:sz w:val="24"/>
    </w:rPr>
  </w:style>
  <w:style w:type="paragraph" w:customStyle="1" w:styleId="CM112">
    <w:name w:val="CM112"/>
    <w:basedOn w:val="Default"/>
    <w:next w:val="Default"/>
    <w:uiPriority w:val="99"/>
    <w:qFormat/>
    <w:pPr>
      <w:spacing w:after="625"/>
    </w:pPr>
    <w:rPr>
      <w:rFonts w:hAnsi="Calibri" w:cs="Times New Roman"/>
      <w:color w:val="auto"/>
    </w:rPr>
  </w:style>
  <w:style w:type="paragraph" w:customStyle="1" w:styleId="afffffffffffffffffff7">
    <w:name w:val="换行"/>
    <w:basedOn w:val="aa"/>
    <w:qFormat/>
    <w:pPr>
      <w:spacing w:after="156" w:line="240" w:lineRule="auto"/>
      <w:ind w:firstLineChars="200" w:firstLine="480"/>
    </w:pPr>
    <w:rPr>
      <w:rFonts w:eastAsia="仿宋_GB2312"/>
      <w:kern w:val="2"/>
      <w:sz w:val="18"/>
      <w:szCs w:val="24"/>
    </w:rPr>
  </w:style>
  <w:style w:type="paragraph" w:customStyle="1" w:styleId="CharChar1CharCharCharCharCharCharChar">
    <w:name w:val="Char Char1 Char Char Char Char Char Char Char"/>
    <w:basedOn w:val="a9"/>
    <w:qFormat/>
    <w:pPr>
      <w:spacing w:line="360" w:lineRule="auto"/>
      <w:ind w:firstLineChars="200" w:firstLine="200"/>
    </w:pPr>
    <w:rPr>
      <w:rFonts w:ascii="宋体" w:hAnsi="宋体" w:cs="宋体"/>
      <w:kern w:val="2"/>
      <w:sz w:val="24"/>
      <w:szCs w:val="24"/>
    </w:rPr>
  </w:style>
  <w:style w:type="paragraph" w:customStyle="1" w:styleId="1fffffd">
    <w:name w:val="字元1"/>
    <w:basedOn w:val="a9"/>
    <w:qFormat/>
    <w:rPr>
      <w:kern w:val="2"/>
      <w:sz w:val="21"/>
      <w:szCs w:val="21"/>
    </w:rPr>
  </w:style>
  <w:style w:type="paragraph" w:customStyle="1" w:styleId="11a">
    <w:name w:val="1.1"/>
    <w:basedOn w:val="a9"/>
    <w:qFormat/>
    <w:pPr>
      <w:widowControl/>
      <w:overflowPunct w:val="0"/>
      <w:autoSpaceDE w:val="0"/>
      <w:autoSpaceDN w:val="0"/>
      <w:adjustRightInd w:val="0"/>
      <w:spacing w:line="260" w:lineRule="atLeast"/>
      <w:ind w:left="822" w:hanging="822"/>
      <w:textAlignment w:val="baseline"/>
    </w:pPr>
    <w:rPr>
      <w:rFonts w:ascii="Century Gothic" w:hAnsi="Century Gothic"/>
      <w:b/>
      <w:sz w:val="24"/>
      <w:lang w:val="fr-FR" w:eastAsia="fr-FR"/>
    </w:rPr>
  </w:style>
  <w:style w:type="paragraph" w:customStyle="1" w:styleId="afffffffffffffffffff8">
    <w:name w:val="表题格式"/>
    <w:basedOn w:val="a9"/>
    <w:qFormat/>
    <w:pPr>
      <w:spacing w:line="440" w:lineRule="exact"/>
      <w:ind w:firstLineChars="377" w:firstLine="377"/>
    </w:pPr>
    <w:rPr>
      <w:rFonts w:eastAsia="黑体"/>
      <w:sz w:val="24"/>
    </w:rPr>
  </w:style>
  <w:style w:type="paragraph" w:customStyle="1" w:styleId="afffffffffffffffffff9">
    <w:name w:val="字元"/>
    <w:basedOn w:val="a9"/>
    <w:qFormat/>
    <w:rPr>
      <w:kern w:val="2"/>
      <w:sz w:val="24"/>
      <w:szCs w:val="24"/>
    </w:rPr>
  </w:style>
  <w:style w:type="paragraph" w:customStyle="1" w:styleId="CharCharCharChara">
    <w:name w:val="Char Char 字元 Char Char 字元"/>
    <w:basedOn w:val="a9"/>
    <w:qFormat/>
    <w:pPr>
      <w:spacing w:line="400" w:lineRule="exact"/>
      <w:ind w:firstLineChars="200" w:firstLine="200"/>
    </w:pPr>
    <w:rPr>
      <w:kern w:val="2"/>
      <w:sz w:val="28"/>
      <w:szCs w:val="28"/>
    </w:rPr>
  </w:style>
  <w:style w:type="paragraph" w:customStyle="1" w:styleId="CM103">
    <w:name w:val="CM103"/>
    <w:basedOn w:val="Default"/>
    <w:next w:val="Default"/>
    <w:uiPriority w:val="99"/>
    <w:qFormat/>
    <w:pPr>
      <w:spacing w:after="170"/>
    </w:pPr>
    <w:rPr>
      <w:rFonts w:hAnsi="Calibri" w:cs="Times New Roman"/>
      <w:color w:val="auto"/>
    </w:rPr>
  </w:style>
  <w:style w:type="paragraph" w:customStyle="1" w:styleId="1fffffe">
    <w:name w:val="表样式1"/>
    <w:basedOn w:val="a9"/>
    <w:qFormat/>
    <w:pPr>
      <w:snapToGrid w:val="0"/>
      <w:spacing w:line="360" w:lineRule="exact"/>
      <w:jc w:val="center"/>
    </w:pPr>
    <w:rPr>
      <w:bCs/>
      <w:kern w:val="2"/>
      <w:sz w:val="21"/>
      <w:szCs w:val="21"/>
      <w:u w:color="000000"/>
    </w:rPr>
  </w:style>
  <w:style w:type="paragraph" w:customStyle="1" w:styleId="CM34">
    <w:name w:val="CM34"/>
    <w:basedOn w:val="Default"/>
    <w:next w:val="Default"/>
    <w:uiPriority w:val="99"/>
    <w:qFormat/>
    <w:pPr>
      <w:spacing w:line="560" w:lineRule="atLeast"/>
    </w:pPr>
    <w:rPr>
      <w:rFonts w:hAnsi="Calibri" w:cs="Times New Roman"/>
      <w:color w:val="auto"/>
    </w:rPr>
  </w:style>
  <w:style w:type="paragraph" w:customStyle="1" w:styleId="CM114">
    <w:name w:val="CM114"/>
    <w:basedOn w:val="Default"/>
    <w:next w:val="Default"/>
    <w:uiPriority w:val="99"/>
    <w:qFormat/>
    <w:pPr>
      <w:spacing w:after="132"/>
    </w:pPr>
    <w:rPr>
      <w:rFonts w:hAnsi="Calibri" w:cs="Times New Roman"/>
      <w:color w:val="auto"/>
    </w:rPr>
  </w:style>
  <w:style w:type="paragraph" w:customStyle="1" w:styleId="CM64">
    <w:name w:val="CM64"/>
    <w:basedOn w:val="Default"/>
    <w:next w:val="Default"/>
    <w:qFormat/>
    <w:pPr>
      <w:spacing w:after="310"/>
    </w:pPr>
    <w:rPr>
      <w:rFonts w:ascii="宋体" w:eastAsia="宋体" w:cs="Times New Roman"/>
      <w:color w:val="auto"/>
    </w:rPr>
  </w:style>
  <w:style w:type="paragraph" w:customStyle="1" w:styleId="CM26">
    <w:name w:val="CM26"/>
    <w:basedOn w:val="Default"/>
    <w:next w:val="Default"/>
    <w:qFormat/>
    <w:pPr>
      <w:spacing w:line="548" w:lineRule="atLeast"/>
    </w:pPr>
    <w:rPr>
      <w:rFonts w:ascii="宋体" w:eastAsia="宋体" w:cs="Times New Roman"/>
      <w:color w:val="auto"/>
    </w:rPr>
  </w:style>
  <w:style w:type="paragraph" w:customStyle="1" w:styleId="CM20">
    <w:name w:val="CM20"/>
    <w:basedOn w:val="Default"/>
    <w:next w:val="Default"/>
    <w:uiPriority w:val="99"/>
    <w:qFormat/>
    <w:pPr>
      <w:spacing w:line="560" w:lineRule="atLeast"/>
    </w:pPr>
    <w:rPr>
      <w:rFonts w:hAnsi="Calibri" w:cs="Times New Roman"/>
      <w:color w:val="auto"/>
    </w:rPr>
  </w:style>
  <w:style w:type="paragraph" w:customStyle="1" w:styleId="afffffffffffffffffffa">
    <w:name w:val="发布部门"/>
    <w:next w:val="a9"/>
    <w:qFormat/>
    <w:pPr>
      <w:framePr w:w="7433" w:h="585" w:hRule="exact" w:hSpace="180" w:vSpace="180" w:wrap="around" w:hAnchor="margin" w:xAlign="center" w:y="14401" w:anchorLock="1"/>
      <w:jc w:val="center"/>
    </w:pPr>
    <w:rPr>
      <w:rFonts w:ascii="宋体"/>
      <w:b/>
      <w:spacing w:val="20"/>
      <w:w w:val="135"/>
      <w:sz w:val="36"/>
    </w:rPr>
  </w:style>
  <w:style w:type="paragraph" w:customStyle="1" w:styleId="3220">
    <w:name w:val="样式 表格 32 + 首行缩进:  2 字符"/>
    <w:basedOn w:val="a9"/>
    <w:qFormat/>
    <w:pPr>
      <w:autoSpaceDE w:val="0"/>
      <w:autoSpaceDN w:val="0"/>
      <w:adjustRightInd w:val="0"/>
      <w:spacing w:line="0" w:lineRule="atLeast"/>
      <w:jc w:val="center"/>
      <w:textAlignment w:val="baseline"/>
    </w:pPr>
    <w:rPr>
      <w:sz w:val="21"/>
      <w:szCs w:val="21"/>
    </w:rPr>
  </w:style>
  <w:style w:type="paragraph" w:customStyle="1" w:styleId="CM6">
    <w:name w:val="CM6"/>
    <w:basedOn w:val="Default"/>
    <w:next w:val="Default"/>
    <w:uiPriority w:val="99"/>
    <w:qFormat/>
    <w:pPr>
      <w:spacing w:line="560" w:lineRule="atLeast"/>
    </w:pPr>
    <w:rPr>
      <w:rFonts w:hAnsi="Calibri" w:cs="Times New Roman"/>
      <w:color w:val="auto"/>
    </w:rPr>
  </w:style>
  <w:style w:type="paragraph" w:customStyle="1" w:styleId="CM10">
    <w:name w:val="CM10"/>
    <w:basedOn w:val="Default"/>
    <w:next w:val="Default"/>
    <w:uiPriority w:val="99"/>
    <w:qFormat/>
    <w:rPr>
      <w:rFonts w:hAnsi="Calibri" w:cs="Times New Roman"/>
      <w:color w:val="auto"/>
    </w:rPr>
  </w:style>
  <w:style w:type="paragraph" w:customStyle="1" w:styleId="CharCharCharCharb">
    <w:name w:val="Char Char 字元 Char Char 字元 字元 字元"/>
    <w:basedOn w:val="a9"/>
    <w:qFormat/>
    <w:pPr>
      <w:spacing w:line="400" w:lineRule="exact"/>
      <w:ind w:firstLineChars="200" w:firstLine="200"/>
    </w:pPr>
    <w:rPr>
      <w:kern w:val="2"/>
      <w:sz w:val="28"/>
      <w:szCs w:val="28"/>
    </w:rPr>
  </w:style>
  <w:style w:type="paragraph" w:customStyle="1" w:styleId="CM8">
    <w:name w:val="CM8"/>
    <w:basedOn w:val="Default"/>
    <w:next w:val="Default"/>
    <w:uiPriority w:val="99"/>
    <w:qFormat/>
    <w:pPr>
      <w:spacing w:line="560" w:lineRule="atLeast"/>
    </w:pPr>
    <w:rPr>
      <w:rFonts w:hAnsi="Calibri" w:cs="Times New Roman"/>
      <w:color w:val="auto"/>
    </w:rPr>
  </w:style>
  <w:style w:type="paragraph" w:customStyle="1" w:styleId="Style14">
    <w:name w:val="_Style 14"/>
    <w:basedOn w:val="a9"/>
    <w:next w:val="afff"/>
    <w:pPr>
      <w:widowControl/>
      <w:spacing w:before="100" w:beforeAutospacing="1" w:after="100" w:afterAutospacing="1"/>
      <w:jc w:val="left"/>
    </w:pPr>
    <w:rPr>
      <w:rFonts w:ascii="宋体" w:hAnsi="宋体"/>
      <w:sz w:val="24"/>
      <w:szCs w:val="24"/>
    </w:rPr>
  </w:style>
  <w:style w:type="paragraph" w:customStyle="1" w:styleId="2fff2">
    <w:name w:val="封面2"/>
    <w:basedOn w:val="a9"/>
    <w:qFormat/>
    <w:pPr>
      <w:jc w:val="center"/>
    </w:pPr>
    <w:rPr>
      <w:b/>
      <w:kern w:val="2"/>
      <w:sz w:val="44"/>
      <w:szCs w:val="24"/>
    </w:rPr>
  </w:style>
  <w:style w:type="paragraph" w:customStyle="1" w:styleId="2fff3">
    <w:name w:val="字元2"/>
    <w:basedOn w:val="a9"/>
    <w:qFormat/>
    <w:rPr>
      <w:kern w:val="2"/>
      <w:sz w:val="24"/>
      <w:szCs w:val="24"/>
    </w:rPr>
  </w:style>
  <w:style w:type="paragraph" w:customStyle="1" w:styleId="02">
    <w:name w:val="标题02"/>
    <w:basedOn w:val="a9"/>
    <w:qFormat/>
    <w:pPr>
      <w:spacing w:before="60" w:line="480" w:lineRule="exact"/>
      <w:outlineLvl w:val="1"/>
    </w:pPr>
    <w:rPr>
      <w:b/>
      <w:kern w:val="2"/>
      <w:sz w:val="28"/>
    </w:rPr>
  </w:style>
  <w:style w:type="paragraph" w:customStyle="1" w:styleId="CM23">
    <w:name w:val="CM23"/>
    <w:basedOn w:val="Default"/>
    <w:next w:val="Default"/>
    <w:qFormat/>
    <w:pPr>
      <w:spacing w:line="548" w:lineRule="atLeast"/>
    </w:pPr>
    <w:rPr>
      <w:rFonts w:ascii="宋体" w:eastAsia="宋体" w:cs="Times New Roman"/>
      <w:color w:val="auto"/>
    </w:rPr>
  </w:style>
  <w:style w:type="paragraph" w:customStyle="1" w:styleId="CM35">
    <w:name w:val="CM35"/>
    <w:basedOn w:val="Default"/>
    <w:next w:val="Default"/>
    <w:uiPriority w:val="99"/>
    <w:qFormat/>
    <w:pPr>
      <w:spacing w:line="560" w:lineRule="atLeast"/>
    </w:pPr>
    <w:rPr>
      <w:rFonts w:hAnsi="Calibri" w:cs="Times New Roman"/>
      <w:color w:val="auto"/>
    </w:rPr>
  </w:style>
  <w:style w:type="paragraph" w:customStyle="1" w:styleId="CM22">
    <w:name w:val="CM22"/>
    <w:basedOn w:val="Default"/>
    <w:next w:val="Default"/>
    <w:qFormat/>
    <w:pPr>
      <w:spacing w:line="548" w:lineRule="atLeast"/>
    </w:pPr>
    <w:rPr>
      <w:rFonts w:ascii="宋体" w:eastAsia="宋体" w:cs="Times New Roman"/>
      <w:color w:val="auto"/>
    </w:rPr>
  </w:style>
  <w:style w:type="paragraph" w:customStyle="1" w:styleId="z-11">
    <w:name w:val="z-窗体顶端11"/>
    <w:basedOn w:val="a9"/>
    <w:next w:val="a9"/>
    <w:qFormat/>
    <w:pPr>
      <w:widowControl/>
      <w:pBdr>
        <w:bottom w:val="single" w:sz="6" w:space="1" w:color="auto"/>
      </w:pBdr>
      <w:jc w:val="center"/>
    </w:pPr>
    <w:rPr>
      <w:rFonts w:ascii="Arial" w:hAnsi="Arial"/>
      <w:vanish/>
      <w:sz w:val="16"/>
      <w:szCs w:val="16"/>
    </w:rPr>
  </w:style>
  <w:style w:type="paragraph" w:customStyle="1" w:styleId="TITLE-2">
    <w:name w:val="TITLE-2"/>
    <w:basedOn w:val="a9"/>
    <w:qFormat/>
    <w:pPr>
      <w:adjustRightInd w:val="0"/>
      <w:spacing w:line="480" w:lineRule="atLeast"/>
      <w:ind w:left="284" w:hanging="284"/>
    </w:pPr>
    <w:rPr>
      <w:rFonts w:ascii="華康中楷體" w:eastAsia="華康中楷體"/>
      <w:sz w:val="28"/>
      <w:lang w:eastAsia="zh-TW"/>
    </w:rPr>
  </w:style>
  <w:style w:type="paragraph" w:customStyle="1" w:styleId="CM15">
    <w:name w:val="CM15"/>
    <w:basedOn w:val="Default"/>
    <w:next w:val="Default"/>
    <w:uiPriority w:val="99"/>
    <w:qFormat/>
    <w:pPr>
      <w:spacing w:line="560" w:lineRule="atLeast"/>
    </w:pPr>
    <w:rPr>
      <w:rFonts w:hAnsi="Calibri" w:cs="Times New Roman"/>
      <w:color w:val="auto"/>
    </w:rPr>
  </w:style>
  <w:style w:type="paragraph" w:customStyle="1" w:styleId="CM72">
    <w:name w:val="CM72"/>
    <w:basedOn w:val="Default"/>
    <w:next w:val="Default"/>
    <w:uiPriority w:val="99"/>
    <w:qFormat/>
    <w:pPr>
      <w:spacing w:line="560" w:lineRule="atLeast"/>
    </w:pPr>
    <w:rPr>
      <w:rFonts w:hAnsi="Calibri" w:cs="Times New Roman"/>
      <w:color w:val="auto"/>
    </w:rPr>
  </w:style>
  <w:style w:type="paragraph" w:customStyle="1" w:styleId="CM129">
    <w:name w:val="CM129"/>
    <w:basedOn w:val="Default"/>
    <w:next w:val="Default"/>
    <w:uiPriority w:val="99"/>
    <w:qFormat/>
    <w:pPr>
      <w:spacing w:after="340"/>
    </w:pPr>
    <w:rPr>
      <w:rFonts w:hAnsi="Calibri" w:cs="Times New Roman"/>
      <w:color w:val="auto"/>
    </w:rPr>
  </w:style>
  <w:style w:type="paragraph" w:customStyle="1" w:styleId="HTML9">
    <w:name w:val="HTML 预先格式化"/>
    <w:basedOn w:val="a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customStyle="1" w:styleId="afffffffffffffffffffb">
    <w:name w:val="表注"/>
    <w:basedOn w:val="a9"/>
    <w:qFormat/>
    <w:pPr>
      <w:adjustRightInd w:val="0"/>
      <w:spacing w:after="120" w:line="400" w:lineRule="exact"/>
      <w:ind w:firstLine="640"/>
    </w:pPr>
    <w:rPr>
      <w:rFonts w:eastAsia="幼圆"/>
      <w:color w:val="0000FF"/>
      <w:spacing w:val="8"/>
      <w:sz w:val="18"/>
    </w:rPr>
  </w:style>
  <w:style w:type="paragraph" w:customStyle="1" w:styleId="afffffffffffffffffffc">
    <w:name w:val="封面标准代替信息"/>
    <w:basedOn w:val="2fff4"/>
    <w:qFormat/>
    <w:pPr>
      <w:framePr w:wrap="around"/>
      <w:spacing w:before="57"/>
    </w:pPr>
    <w:rPr>
      <w:rFonts w:ascii="宋体"/>
      <w:sz w:val="21"/>
    </w:rPr>
  </w:style>
  <w:style w:type="paragraph" w:customStyle="1" w:styleId="2fff4">
    <w:name w:val="封面标准号2"/>
    <w:basedOn w:val="a9"/>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sz w:val="28"/>
    </w:rPr>
  </w:style>
  <w:style w:type="paragraph" w:customStyle="1" w:styleId="CharChar1CharCharCharChar">
    <w:name w:val="Char Char1 Char Char Char Char"/>
    <w:basedOn w:val="a9"/>
    <w:qFormat/>
    <w:pPr>
      <w:spacing w:line="360" w:lineRule="auto"/>
      <w:ind w:firstLineChars="200" w:firstLine="200"/>
    </w:pPr>
    <w:rPr>
      <w:rFonts w:ascii="宋体" w:hAnsi="宋体" w:cs="宋体"/>
      <w:kern w:val="2"/>
      <w:sz w:val="24"/>
      <w:szCs w:val="24"/>
    </w:rPr>
  </w:style>
  <w:style w:type="paragraph" w:customStyle="1" w:styleId="CM63">
    <w:name w:val="CM63"/>
    <w:basedOn w:val="Default"/>
    <w:next w:val="Default"/>
    <w:uiPriority w:val="99"/>
    <w:qFormat/>
    <w:pPr>
      <w:spacing w:line="600" w:lineRule="atLeast"/>
    </w:pPr>
    <w:rPr>
      <w:rFonts w:hAnsi="Calibri" w:cs="Times New Roman"/>
      <w:color w:val="auto"/>
    </w:rPr>
  </w:style>
  <w:style w:type="paragraph" w:customStyle="1" w:styleId="CharChar15">
    <w:name w:val="Char Char 字元1"/>
    <w:basedOn w:val="a9"/>
    <w:qFormat/>
    <w:pPr>
      <w:spacing w:line="400" w:lineRule="exact"/>
      <w:ind w:firstLineChars="200" w:firstLine="200"/>
    </w:pPr>
    <w:rPr>
      <w:kern w:val="2"/>
      <w:sz w:val="28"/>
      <w:szCs w:val="28"/>
    </w:rPr>
  </w:style>
  <w:style w:type="paragraph" w:customStyle="1" w:styleId="afffffffffffffffffffd">
    <w:name w:val="表芯右"/>
    <w:basedOn w:val="a9"/>
    <w:qFormat/>
    <w:pPr>
      <w:adjustRightInd w:val="0"/>
      <w:spacing w:line="320" w:lineRule="atLeast"/>
      <w:jc w:val="right"/>
    </w:pPr>
    <w:rPr>
      <w:rFonts w:eastAsia="楷体_GB2312"/>
      <w:spacing w:val="-12"/>
      <w:sz w:val="21"/>
    </w:rPr>
  </w:style>
  <w:style w:type="paragraph" w:customStyle="1" w:styleId="CharCharChar1CharCharChar1CharCharChar1CharCharCharCharChar">
    <w:name w:val="Char Char Char1 Char Char Char1 Char Char Char1 Char Char Char 字元 字元 Char Char 字元 字元 字元 字元"/>
    <w:basedOn w:val="a9"/>
    <w:qFormat/>
    <w:pPr>
      <w:spacing w:line="400" w:lineRule="exact"/>
      <w:ind w:firstLineChars="200" w:firstLine="200"/>
    </w:pPr>
    <w:rPr>
      <w:kern w:val="2"/>
      <w:sz w:val="28"/>
      <w:szCs w:val="28"/>
    </w:rPr>
  </w:style>
  <w:style w:type="paragraph" w:customStyle="1" w:styleId="TimesNewRoman2">
    <w:name w:val="样式 (西文) Times New Roman 小四 黑色 两端对齐 首行缩进:  2 字符"/>
    <w:basedOn w:val="a9"/>
    <w:qFormat/>
    <w:pPr>
      <w:spacing w:line="360" w:lineRule="auto"/>
      <w:ind w:firstLineChars="200" w:firstLine="480"/>
    </w:pPr>
    <w:rPr>
      <w:rFonts w:cs="宋体"/>
      <w:color w:val="000000"/>
      <w:kern w:val="2"/>
      <w:sz w:val="28"/>
    </w:rPr>
  </w:style>
  <w:style w:type="paragraph" w:customStyle="1" w:styleId="afffffffffffffffffffe">
    <w:name w:val="附录"/>
    <w:basedOn w:val="25"/>
    <w:qFormat/>
    <w:pPr>
      <w:tabs>
        <w:tab w:val="clear" w:pos="840"/>
        <w:tab w:val="clear" w:pos="9628"/>
        <w:tab w:val="left" w:pos="8505"/>
      </w:tabs>
      <w:adjustRightInd w:val="0"/>
      <w:spacing w:before="0" w:line="400" w:lineRule="exact"/>
      <w:ind w:left="420"/>
      <w:jc w:val="both"/>
    </w:pPr>
    <w:rPr>
      <w:rFonts w:ascii="宋体" w:eastAsia="楷体_GB2312" w:hAnsi="宋体"/>
      <w:iCs w:val="0"/>
      <w:smallCaps/>
    </w:rPr>
  </w:style>
  <w:style w:type="paragraph" w:customStyle="1" w:styleId="affffffffffffffffffff">
    <w:name w:val="标准称谓"/>
    <w:next w:val="a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CM105">
    <w:name w:val="CM105"/>
    <w:basedOn w:val="Default"/>
    <w:next w:val="Default"/>
    <w:uiPriority w:val="99"/>
    <w:qFormat/>
    <w:pPr>
      <w:spacing w:after="683"/>
    </w:pPr>
    <w:rPr>
      <w:rFonts w:hAnsi="Calibri" w:cs="Times New Roman"/>
      <w:color w:val="auto"/>
    </w:rPr>
  </w:style>
  <w:style w:type="paragraph" w:customStyle="1" w:styleId="CM61">
    <w:name w:val="CM61"/>
    <w:basedOn w:val="Default"/>
    <w:next w:val="Default"/>
    <w:uiPriority w:val="99"/>
    <w:qFormat/>
    <w:pPr>
      <w:spacing w:after="358"/>
    </w:pPr>
    <w:rPr>
      <w:rFonts w:ascii="宋体" w:eastAsia="宋体" w:cs="Times New Roman"/>
      <w:color w:val="auto"/>
    </w:rPr>
  </w:style>
  <w:style w:type="paragraph" w:customStyle="1" w:styleId="a10">
    <w:name w:val="a1"/>
    <w:basedOn w:val="a9"/>
    <w:qFormat/>
    <w:pPr>
      <w:widowControl/>
      <w:spacing w:before="100" w:after="100" w:line="400" w:lineRule="atLeast"/>
      <w:jc w:val="left"/>
    </w:pPr>
    <w:rPr>
      <w:rFonts w:ascii="Arial" w:hAnsi="Arial"/>
      <w:b/>
      <w:color w:val="FF0000"/>
      <w:sz w:val="24"/>
    </w:rPr>
  </w:style>
  <w:style w:type="paragraph" w:customStyle="1" w:styleId="affffffffffffffffffff0">
    <w:name w:val="文档正文"/>
    <w:basedOn w:val="a9"/>
    <w:qFormat/>
    <w:pPr>
      <w:adjustRightInd w:val="0"/>
      <w:spacing w:line="480" w:lineRule="atLeast"/>
      <w:ind w:firstLine="567"/>
    </w:pPr>
    <w:rPr>
      <w:rFonts w:ascii="宋体" w:eastAsia="楷体_GB2312"/>
      <w:spacing w:val="8"/>
      <w:sz w:val="24"/>
    </w:rPr>
  </w:style>
  <w:style w:type="paragraph" w:customStyle="1" w:styleId="affffffffffffffffffff1">
    <w:name w:val="行文"/>
    <w:basedOn w:val="a9"/>
    <w:qFormat/>
    <w:pPr>
      <w:adjustRightInd w:val="0"/>
      <w:spacing w:line="480" w:lineRule="exact"/>
      <w:ind w:firstLine="624"/>
    </w:pPr>
    <w:rPr>
      <w:rFonts w:eastAsia="仿宋_GB2312"/>
      <w:spacing w:val="8"/>
      <w:sz w:val="30"/>
    </w:rPr>
  </w:style>
  <w:style w:type="paragraph" w:customStyle="1" w:styleId="Normal136">
    <w:name w:val="Normal_136"/>
    <w:qFormat/>
    <w:pPr>
      <w:spacing w:before="120" w:after="240"/>
      <w:jc w:val="both"/>
    </w:pPr>
    <w:rPr>
      <w:rFonts w:ascii="Calibri" w:eastAsia="Calibri" w:hAnsi="Calibri"/>
      <w:sz w:val="22"/>
      <w:szCs w:val="22"/>
      <w:lang w:val="ru-RU" w:eastAsia="en-US"/>
    </w:rPr>
  </w:style>
  <w:style w:type="paragraph" w:customStyle="1" w:styleId="affffffffffffffffffff2">
    <w:name w:val="小四表格"/>
    <w:basedOn w:val="a9"/>
    <w:qFormat/>
    <w:pPr>
      <w:keepNext/>
      <w:autoSpaceDE w:val="0"/>
      <w:autoSpaceDN w:val="0"/>
      <w:adjustRightInd w:val="0"/>
      <w:spacing w:line="480" w:lineRule="atLeast"/>
      <w:jc w:val="center"/>
    </w:pPr>
    <w:rPr>
      <w:color w:val="000000"/>
      <w:kern w:val="2"/>
      <w:sz w:val="24"/>
    </w:rPr>
  </w:style>
  <w:style w:type="paragraph" w:customStyle="1" w:styleId="CM68">
    <w:name w:val="CM68"/>
    <w:basedOn w:val="Default"/>
    <w:next w:val="Default"/>
    <w:uiPriority w:val="99"/>
    <w:qFormat/>
    <w:rPr>
      <w:rFonts w:hAnsi="Calibri" w:cs="Times New Roman"/>
      <w:color w:val="auto"/>
    </w:rPr>
  </w:style>
  <w:style w:type="paragraph" w:customStyle="1" w:styleId="CharCharCharChar10">
    <w:name w:val="Char Char 字元 Char Char 字元 字元 字元1"/>
    <w:basedOn w:val="a9"/>
    <w:qFormat/>
    <w:pPr>
      <w:spacing w:line="400" w:lineRule="exact"/>
      <w:ind w:firstLineChars="200" w:firstLine="200"/>
    </w:pPr>
    <w:rPr>
      <w:kern w:val="2"/>
      <w:sz w:val="28"/>
      <w:szCs w:val="28"/>
    </w:rPr>
  </w:style>
  <w:style w:type="paragraph" w:customStyle="1" w:styleId="susan">
    <w:name w:val="susan正文"/>
    <w:basedOn w:val="a9"/>
    <w:qFormat/>
    <w:pPr>
      <w:adjustRightInd w:val="0"/>
      <w:spacing w:line="360" w:lineRule="atLeast"/>
      <w:ind w:firstLine="510"/>
    </w:pPr>
    <w:rPr>
      <w:rFonts w:ascii="宋体" w:eastAsia="楷体_GB2312"/>
      <w:spacing w:val="20"/>
      <w:sz w:val="24"/>
    </w:rPr>
  </w:style>
  <w:style w:type="paragraph" w:customStyle="1" w:styleId="CharChar1CharCharCharCharCharCharChar1">
    <w:name w:val="Char Char1 Char Char Char Char Char Char Char1"/>
    <w:basedOn w:val="a9"/>
    <w:qFormat/>
    <w:pPr>
      <w:spacing w:line="360" w:lineRule="auto"/>
      <w:ind w:firstLineChars="200" w:firstLine="200"/>
    </w:pPr>
    <w:rPr>
      <w:rFonts w:ascii="宋体" w:hAnsi="宋体" w:cs="宋体"/>
      <w:kern w:val="2"/>
      <w:sz w:val="24"/>
      <w:szCs w:val="24"/>
    </w:rPr>
  </w:style>
  <w:style w:type="paragraph" w:customStyle="1" w:styleId="affffffffffffffffffff3">
    <w:name w:val="正常文"/>
    <w:basedOn w:val="affffffffffffffffffff1"/>
    <w:qFormat/>
    <w:rPr>
      <w:rFonts w:eastAsia="宋体"/>
    </w:rPr>
  </w:style>
  <w:style w:type="paragraph" w:customStyle="1" w:styleId="11b">
    <w:name w:val="日期11"/>
    <w:basedOn w:val="a9"/>
    <w:next w:val="a9"/>
    <w:semiHidden/>
    <w:qFormat/>
    <w:pPr>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11c">
    <w:name w:val="纯文本11"/>
    <w:basedOn w:val="a9"/>
    <w:qFormat/>
    <w:pPr>
      <w:adjustRightInd w:val="0"/>
      <w:textAlignment w:val="baseline"/>
    </w:pPr>
    <w:rPr>
      <w:rFonts w:ascii="宋体"/>
      <w:sz w:val="21"/>
    </w:rPr>
  </w:style>
  <w:style w:type="paragraph" w:customStyle="1" w:styleId="CharCharCharChar13">
    <w:name w:val="Char Char 字元 Char Char 字元1"/>
    <w:basedOn w:val="a9"/>
    <w:qFormat/>
    <w:pPr>
      <w:spacing w:line="400" w:lineRule="exact"/>
      <w:ind w:firstLineChars="200" w:firstLine="200"/>
    </w:pPr>
    <w:rPr>
      <w:kern w:val="2"/>
      <w:sz w:val="28"/>
      <w:szCs w:val="28"/>
    </w:rPr>
  </w:style>
  <w:style w:type="paragraph" w:customStyle="1" w:styleId="1050">
    <w:name w:val="样式 表头样式1 + 非加粗 段前: 0.5 行"/>
    <w:basedOn w:val="1f3"/>
    <w:qFormat/>
    <w:pPr>
      <w:spacing w:before="0"/>
    </w:pPr>
    <w:rPr>
      <w:rFonts w:eastAsia="宋体" w:hAnsi="宋体"/>
      <w:kern w:val="2"/>
    </w:rPr>
  </w:style>
  <w:style w:type="paragraph" w:customStyle="1" w:styleId="CM115">
    <w:name w:val="CM115"/>
    <w:basedOn w:val="Default"/>
    <w:next w:val="Default"/>
    <w:uiPriority w:val="99"/>
    <w:qFormat/>
    <w:pPr>
      <w:spacing w:after="308"/>
    </w:pPr>
    <w:rPr>
      <w:rFonts w:hAnsi="Calibri" w:cs="Times New Roman"/>
      <w:color w:val="auto"/>
    </w:rPr>
  </w:style>
  <w:style w:type="paragraph" w:customStyle="1" w:styleId="CM56">
    <w:name w:val="CM56"/>
    <w:basedOn w:val="Default"/>
    <w:next w:val="Default"/>
    <w:qFormat/>
    <w:pPr>
      <w:spacing w:line="471" w:lineRule="atLeast"/>
    </w:pPr>
    <w:rPr>
      <w:rFonts w:cs="Times New Roman"/>
      <w:color w:val="auto"/>
      <w:szCs w:val="20"/>
    </w:rPr>
  </w:style>
  <w:style w:type="paragraph" w:customStyle="1" w:styleId="CM126">
    <w:name w:val="CM126"/>
    <w:basedOn w:val="Default"/>
    <w:next w:val="Default"/>
    <w:uiPriority w:val="99"/>
    <w:qFormat/>
    <w:pPr>
      <w:spacing w:after="2648"/>
    </w:pPr>
    <w:rPr>
      <w:rFonts w:hAnsi="Calibri" w:cs="Times New Roman"/>
      <w:color w:val="auto"/>
    </w:rPr>
  </w:style>
  <w:style w:type="paragraph" w:customStyle="1" w:styleId="2fff5">
    <w:name w:val="价格变化趋2"/>
    <w:basedOn w:val="a9"/>
    <w:qFormat/>
    <w:pPr>
      <w:adjustRightInd w:val="0"/>
      <w:spacing w:line="315" w:lineRule="atLeast"/>
      <w:jc w:val="left"/>
      <w:textAlignment w:val="baseline"/>
    </w:pPr>
    <w:rPr>
      <w:rFonts w:ascii="宋体"/>
      <w:sz w:val="21"/>
    </w:rPr>
  </w:style>
  <w:style w:type="paragraph" w:customStyle="1" w:styleId="word">
    <w:name w:val="word"/>
    <w:basedOn w:val="a9"/>
    <w:qFormat/>
    <w:pPr>
      <w:widowControl/>
      <w:spacing w:before="100" w:beforeAutospacing="1" w:after="100" w:afterAutospacing="1" w:line="375" w:lineRule="atLeast"/>
      <w:jc w:val="left"/>
    </w:pPr>
    <w:rPr>
      <w:rFonts w:ascii="Arial" w:hAnsi="Arial" w:cs="Arial"/>
      <w:color w:val="333333"/>
      <w:sz w:val="18"/>
      <w:szCs w:val="18"/>
    </w:rPr>
  </w:style>
  <w:style w:type="paragraph" w:customStyle="1" w:styleId="CM31">
    <w:name w:val="CM31"/>
    <w:basedOn w:val="Default"/>
    <w:next w:val="Default"/>
    <w:uiPriority w:val="99"/>
    <w:qFormat/>
    <w:pPr>
      <w:spacing w:line="560" w:lineRule="atLeast"/>
    </w:pPr>
    <w:rPr>
      <w:rFonts w:hAnsi="Calibri" w:cs="Times New Roman"/>
      <w:color w:val="auto"/>
    </w:rPr>
  </w:style>
  <w:style w:type="paragraph" w:customStyle="1" w:styleId="CM110">
    <w:name w:val="CM110"/>
    <w:basedOn w:val="Default"/>
    <w:next w:val="Default"/>
    <w:uiPriority w:val="99"/>
    <w:qFormat/>
    <w:pPr>
      <w:spacing w:after="558"/>
    </w:pPr>
    <w:rPr>
      <w:rFonts w:hAnsi="Calibri" w:cs="Times New Roman"/>
      <w:color w:val="auto"/>
    </w:rPr>
  </w:style>
  <w:style w:type="paragraph" w:customStyle="1" w:styleId="CM109">
    <w:name w:val="CM109"/>
    <w:basedOn w:val="Default"/>
    <w:next w:val="Default"/>
    <w:uiPriority w:val="99"/>
    <w:qFormat/>
    <w:pPr>
      <w:spacing w:after="72"/>
    </w:pPr>
    <w:rPr>
      <w:rFonts w:hAnsi="Calibri" w:cs="Times New Roman"/>
      <w:color w:val="auto"/>
    </w:rPr>
  </w:style>
  <w:style w:type="paragraph" w:customStyle="1" w:styleId="CM28">
    <w:name w:val="CM28"/>
    <w:basedOn w:val="Default"/>
    <w:next w:val="Default"/>
    <w:uiPriority w:val="99"/>
    <w:qFormat/>
    <w:rPr>
      <w:rFonts w:hAnsi="Calibri" w:cs="Times New Roman"/>
      <w:color w:val="auto"/>
    </w:rPr>
  </w:style>
  <w:style w:type="paragraph" w:customStyle="1" w:styleId="5f1">
    <w:name w:val="样式 标题5"/>
    <w:basedOn w:val="a9"/>
    <w:qFormat/>
    <w:pPr>
      <w:spacing w:before="60" w:after="60" w:line="400" w:lineRule="exact"/>
      <w:ind w:left="482"/>
    </w:pPr>
    <w:rPr>
      <w:rFonts w:ascii="黑体" w:eastAsia="黑体"/>
      <w:kern w:val="2"/>
      <w:sz w:val="24"/>
    </w:rPr>
  </w:style>
  <w:style w:type="paragraph" w:customStyle="1" w:styleId="affffffffffffffffffff4">
    <w:name w:val="第×节"/>
    <w:basedOn w:val="a9"/>
    <w:qFormat/>
    <w:pPr>
      <w:adjustRightInd w:val="0"/>
      <w:spacing w:line="400" w:lineRule="exact"/>
    </w:pPr>
    <w:rPr>
      <w:rFonts w:eastAsia="文鼎CS行楷"/>
      <w:color w:val="008000"/>
      <w:spacing w:val="8"/>
      <w:sz w:val="30"/>
    </w:rPr>
  </w:style>
  <w:style w:type="paragraph" w:customStyle="1" w:styleId="affffffffffffffffffff5">
    <w:name w:val="我的正文"/>
    <w:qFormat/>
    <w:pPr>
      <w:spacing w:line="360" w:lineRule="auto"/>
      <w:ind w:firstLineChars="200" w:firstLine="200"/>
    </w:pPr>
    <w:rPr>
      <w:rFonts w:eastAsia="仿宋_GB2312"/>
      <w:kern w:val="2"/>
      <w:sz w:val="24"/>
      <w:szCs w:val="24"/>
    </w:rPr>
  </w:style>
  <w:style w:type="paragraph" w:customStyle="1" w:styleId="CM7">
    <w:name w:val="CM7"/>
    <w:basedOn w:val="Default"/>
    <w:next w:val="Default"/>
    <w:uiPriority w:val="99"/>
    <w:qFormat/>
    <w:pPr>
      <w:spacing w:line="560" w:lineRule="atLeast"/>
    </w:pPr>
    <w:rPr>
      <w:rFonts w:hAnsi="Calibri" w:cs="Times New Roman"/>
      <w:color w:val="auto"/>
    </w:rPr>
  </w:style>
  <w:style w:type="paragraph" w:customStyle="1" w:styleId="CM27">
    <w:name w:val="CM27"/>
    <w:basedOn w:val="Default"/>
    <w:next w:val="Default"/>
    <w:uiPriority w:val="99"/>
    <w:qFormat/>
    <w:pPr>
      <w:spacing w:line="560" w:lineRule="atLeast"/>
    </w:pPr>
    <w:rPr>
      <w:rFonts w:hAnsi="Calibri" w:cs="Times New Roman"/>
      <w:color w:val="auto"/>
    </w:rPr>
  </w:style>
  <w:style w:type="paragraph" w:customStyle="1" w:styleId="11d">
    <w:name w:val="引用11"/>
    <w:basedOn w:val="a9"/>
    <w:next w:val="a9"/>
    <w:qFormat/>
    <w:pPr>
      <w:widowControl/>
      <w:spacing w:line="480" w:lineRule="exact"/>
      <w:ind w:firstLineChars="200" w:firstLine="200"/>
    </w:pPr>
    <w:rPr>
      <w:rFonts w:eastAsia="黑体"/>
      <w:i/>
      <w:iCs/>
      <w:color w:val="000000"/>
      <w:kern w:val="2"/>
      <w:sz w:val="21"/>
      <w:szCs w:val="24"/>
    </w:rPr>
  </w:style>
  <w:style w:type="paragraph" w:customStyle="1" w:styleId="CM30">
    <w:name w:val="CM30"/>
    <w:basedOn w:val="Default"/>
    <w:next w:val="Default"/>
    <w:uiPriority w:val="99"/>
    <w:qFormat/>
    <w:pPr>
      <w:spacing w:line="560" w:lineRule="atLeast"/>
    </w:pPr>
    <w:rPr>
      <w:rFonts w:hAnsi="Calibri" w:cs="Times New Roman"/>
      <w:color w:val="auto"/>
    </w:rPr>
  </w:style>
  <w:style w:type="paragraph" w:customStyle="1" w:styleId="affffffffffffffffffff6">
    <w:name w:val="第×章"/>
    <w:basedOn w:val="a9"/>
    <w:qFormat/>
    <w:pPr>
      <w:adjustRightInd w:val="0"/>
      <w:spacing w:line="400" w:lineRule="exact"/>
    </w:pPr>
    <w:rPr>
      <w:rFonts w:ascii="楷体_GB2312" w:eastAsia="楷体_GB2312"/>
      <w:b/>
      <w:color w:val="800080"/>
      <w:spacing w:val="8"/>
      <w:sz w:val="32"/>
    </w:rPr>
  </w:style>
  <w:style w:type="paragraph" w:customStyle="1" w:styleId="affffffffffffffffffff7">
    <w:name w:val="文献分类号"/>
    <w:qFormat/>
    <w:pPr>
      <w:framePr w:hSpace="180" w:vSpace="180" w:wrap="around" w:hAnchor="margin" w:y="1" w:anchorLock="1"/>
      <w:widowControl w:val="0"/>
      <w:textAlignment w:val="center"/>
    </w:pPr>
    <w:rPr>
      <w:rFonts w:eastAsia="黑体"/>
      <w:sz w:val="21"/>
    </w:rPr>
  </w:style>
  <w:style w:type="paragraph" w:customStyle="1" w:styleId="12a">
    <w:name w:val="列出段落12"/>
    <w:basedOn w:val="a9"/>
    <w:qFormat/>
    <w:pPr>
      <w:ind w:left="720"/>
      <w:contextualSpacing/>
    </w:pPr>
    <w:rPr>
      <w:b/>
      <w:bCs/>
      <w:kern w:val="2"/>
      <w:sz w:val="24"/>
      <w:szCs w:val="24"/>
    </w:rPr>
  </w:style>
  <w:style w:type="paragraph" w:customStyle="1" w:styleId="CM113">
    <w:name w:val="CM113"/>
    <w:basedOn w:val="Default"/>
    <w:next w:val="Default"/>
    <w:uiPriority w:val="99"/>
    <w:qFormat/>
    <w:pPr>
      <w:spacing w:after="78"/>
    </w:pPr>
    <w:rPr>
      <w:rFonts w:hAnsi="Calibri" w:cs="Times New Roman"/>
      <w:color w:val="auto"/>
    </w:rPr>
  </w:style>
  <w:style w:type="paragraph" w:customStyle="1" w:styleId="11e">
    <w:name w:val="正文首行缩进1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fffffffffff8">
    <w:name w:val="我的样式（正文）"/>
    <w:basedOn w:val="a9"/>
    <w:qFormat/>
    <w:pPr>
      <w:spacing w:line="440" w:lineRule="exact"/>
    </w:pPr>
    <w:rPr>
      <w:rFonts w:ascii="宋体"/>
      <w:kern w:val="2"/>
      <w:sz w:val="28"/>
    </w:rPr>
  </w:style>
  <w:style w:type="paragraph" w:customStyle="1" w:styleId="Style77">
    <w:name w:val="_Style 77"/>
    <w:basedOn w:val="a9"/>
    <w:pPr>
      <w:spacing w:line="360" w:lineRule="auto"/>
      <w:ind w:firstLineChars="200" w:firstLine="200"/>
    </w:pPr>
    <w:rPr>
      <w:rFonts w:ascii="宋体" w:hAnsi="宋体" w:cs="宋体"/>
      <w:kern w:val="2"/>
      <w:sz w:val="24"/>
      <w:szCs w:val="24"/>
    </w:rPr>
  </w:style>
  <w:style w:type="paragraph" w:customStyle="1" w:styleId="CM33">
    <w:name w:val="CM33"/>
    <w:basedOn w:val="Default"/>
    <w:next w:val="Default"/>
    <w:uiPriority w:val="99"/>
    <w:qFormat/>
    <w:pPr>
      <w:spacing w:line="560" w:lineRule="atLeast"/>
    </w:pPr>
    <w:rPr>
      <w:rFonts w:hAnsi="Calibri" w:cs="Times New Roman"/>
      <w:color w:val="auto"/>
    </w:rPr>
  </w:style>
  <w:style w:type="paragraph" w:customStyle="1" w:styleId="Bb">
    <w:name w:val="标题 Bb"/>
    <w:basedOn w:val="B"/>
    <w:qFormat/>
    <w:pPr>
      <w:keepNext w:val="0"/>
      <w:widowControl w:val="0"/>
      <w:spacing w:before="0" w:after="0"/>
      <w:textAlignment w:val="auto"/>
    </w:pPr>
    <w:rPr>
      <w:rFonts w:ascii="Times New Roman" w:eastAsia="黑体"/>
      <w:b/>
      <w:bCs/>
      <w:spacing w:val="24"/>
      <w:kern w:val="2"/>
      <w:sz w:val="32"/>
      <w:szCs w:val="22"/>
    </w:rPr>
  </w:style>
  <w:style w:type="paragraph" w:customStyle="1" w:styleId="affffffffffffffffffff9">
    <w:name w:val="图"/>
    <w:basedOn w:val="affff9"/>
    <w:qFormat/>
    <w:pPr>
      <w:tabs>
        <w:tab w:val="clear" w:pos="1418"/>
        <w:tab w:val="left" w:pos="1008"/>
      </w:tabs>
      <w:spacing w:before="0" w:after="0"/>
      <w:ind w:left="1008" w:right="0" w:hanging="1008"/>
    </w:pPr>
    <w:rPr>
      <w:sz w:val="21"/>
    </w:rPr>
  </w:style>
  <w:style w:type="paragraph" w:customStyle="1" w:styleId="affffffffffffffffffffa">
    <w:name w:val="可研报告"/>
    <w:basedOn w:val="1"/>
    <w:next w:val="2"/>
    <w:qFormat/>
    <w:pPr>
      <w:pageBreakBefore w:val="0"/>
      <w:numPr>
        <w:numId w:val="0"/>
      </w:numPr>
      <w:tabs>
        <w:tab w:val="left" w:pos="1080"/>
      </w:tabs>
      <w:spacing w:before="260" w:after="260" w:line="412" w:lineRule="auto"/>
      <w:ind w:left="3960"/>
    </w:pPr>
    <w:rPr>
      <w:rFonts w:ascii="宋体" w:hAnsi="宋体"/>
      <w:kern w:val="2"/>
      <w:sz w:val="21"/>
      <w:szCs w:val="21"/>
    </w:rPr>
  </w:style>
  <w:style w:type="paragraph" w:customStyle="1" w:styleId="CharCharChar1CharCharChar1CharCharChar1CharCharCharCharChar0">
    <w:name w:val="Char Char Char1 Char Char Char1 Char Char Char1 Char Char Char 字元 字元 Char Char 字元"/>
    <w:basedOn w:val="a9"/>
    <w:qFormat/>
    <w:pPr>
      <w:spacing w:line="400" w:lineRule="exact"/>
      <w:ind w:firstLineChars="200" w:firstLine="200"/>
    </w:pPr>
    <w:rPr>
      <w:kern w:val="2"/>
      <w:sz w:val="28"/>
      <w:szCs w:val="28"/>
    </w:rPr>
  </w:style>
  <w:style w:type="paragraph" w:customStyle="1" w:styleId="1ffffff">
    <w:name w:val="项目正文1"/>
    <w:basedOn w:val="a9"/>
    <w:qFormat/>
    <w:pPr>
      <w:tabs>
        <w:tab w:val="left" w:pos="992"/>
      </w:tabs>
      <w:adjustRightInd w:val="0"/>
      <w:spacing w:line="400" w:lineRule="exact"/>
      <w:ind w:left="425" w:firstLine="142"/>
    </w:pPr>
    <w:rPr>
      <w:rFonts w:eastAsia="楷体_GB2312"/>
      <w:spacing w:val="8"/>
      <w:sz w:val="28"/>
    </w:rPr>
  </w:style>
  <w:style w:type="paragraph" w:customStyle="1" w:styleId="CM111">
    <w:name w:val="CM111"/>
    <w:basedOn w:val="Default"/>
    <w:next w:val="Default"/>
    <w:uiPriority w:val="99"/>
    <w:qFormat/>
    <w:pPr>
      <w:spacing w:after="388"/>
    </w:pPr>
    <w:rPr>
      <w:rFonts w:hAnsi="Calibri" w:cs="Times New Roman"/>
      <w:color w:val="auto"/>
    </w:rPr>
  </w:style>
  <w:style w:type="paragraph" w:customStyle="1" w:styleId="CharCharCharCharCharCharChar1CharCharChar3">
    <w:name w:val="Char Char Char Char Char Char Char1 Char Char Char3"/>
    <w:basedOn w:val="a9"/>
    <w:qFormat/>
    <w:pPr>
      <w:widowControl/>
      <w:spacing w:line="360" w:lineRule="auto"/>
      <w:jc w:val="left"/>
    </w:pPr>
    <w:rPr>
      <w:rFonts w:ascii="宋体" w:hAnsi="宋体" w:cs="宋体"/>
      <w:sz w:val="24"/>
      <w:szCs w:val="21"/>
    </w:rPr>
  </w:style>
  <w:style w:type="paragraph" w:customStyle="1" w:styleId="Char2CharCharChar3">
    <w:name w:val="Char2 Char Char Char3"/>
    <w:basedOn w:val="3"/>
    <w:qFormat/>
    <w:pPr>
      <w:keepNext/>
      <w:keepLines/>
      <w:numPr>
        <w:ilvl w:val="0"/>
        <w:numId w:val="0"/>
      </w:numPr>
      <w:tabs>
        <w:tab w:val="clear" w:pos="720"/>
        <w:tab w:val="left" w:pos="360"/>
        <w:tab w:val="left" w:pos="709"/>
        <w:tab w:val="left" w:pos="900"/>
      </w:tabs>
      <w:spacing w:before="60" w:after="120"/>
      <w:ind w:firstLineChars="200" w:firstLine="200"/>
      <w:jc w:val="left"/>
    </w:pPr>
    <w:rPr>
      <w:bCs/>
      <w:snapToGrid w:val="0"/>
      <w:kern w:val="2"/>
      <w:szCs w:val="24"/>
    </w:rPr>
  </w:style>
  <w:style w:type="paragraph" w:customStyle="1" w:styleId="11f">
    <w:name w:val="字元11"/>
    <w:basedOn w:val="a9"/>
    <w:qFormat/>
    <w:rPr>
      <w:kern w:val="2"/>
      <w:sz w:val="21"/>
      <w:szCs w:val="21"/>
    </w:rPr>
  </w:style>
  <w:style w:type="paragraph" w:customStyle="1" w:styleId="CM69">
    <w:name w:val="CM69"/>
    <w:basedOn w:val="Default"/>
    <w:next w:val="Default"/>
    <w:uiPriority w:val="99"/>
    <w:qFormat/>
    <w:pPr>
      <w:spacing w:after="130"/>
    </w:pPr>
    <w:rPr>
      <w:rFonts w:ascii="宋体" w:eastAsia="宋体" w:cs="Times New Roman"/>
      <w:color w:val="auto"/>
    </w:rPr>
  </w:style>
  <w:style w:type="paragraph" w:customStyle="1" w:styleId="3ff7">
    <w:name w:val="字元3"/>
    <w:basedOn w:val="a9"/>
    <w:qFormat/>
    <w:rPr>
      <w:kern w:val="2"/>
      <w:sz w:val="24"/>
      <w:szCs w:val="24"/>
    </w:rPr>
  </w:style>
  <w:style w:type="paragraph" w:customStyle="1" w:styleId="CM48">
    <w:name w:val="CM48"/>
    <w:basedOn w:val="Default"/>
    <w:next w:val="Default"/>
    <w:uiPriority w:val="99"/>
    <w:qFormat/>
    <w:pPr>
      <w:spacing w:line="560" w:lineRule="atLeast"/>
    </w:pPr>
    <w:rPr>
      <w:rFonts w:hAnsi="Calibri" w:cs="Times New Roman"/>
      <w:color w:val="auto"/>
    </w:rPr>
  </w:style>
  <w:style w:type="paragraph" w:customStyle="1" w:styleId="x">
    <w:name w:val="标题 x"/>
    <w:basedOn w:val="2"/>
    <w:qFormat/>
    <w:pPr>
      <w:keepNext/>
      <w:keepLines w:val="0"/>
      <w:numPr>
        <w:ilvl w:val="0"/>
        <w:numId w:val="0"/>
      </w:numPr>
      <w:pBdr>
        <w:bottom w:val="none" w:sz="0" w:space="0" w:color="auto"/>
      </w:pBdr>
      <w:adjustRightInd w:val="0"/>
      <w:spacing w:before="120" w:after="240" w:line="400" w:lineRule="exact"/>
    </w:pPr>
    <w:rPr>
      <w:rFonts w:ascii="大标宋" w:eastAsia="大标宋" w:hAnsi="Arial Rounded MT Bold"/>
      <w:b w:val="0"/>
      <w:spacing w:val="40"/>
      <w:sz w:val="36"/>
    </w:rPr>
  </w:style>
  <w:style w:type="paragraph" w:customStyle="1" w:styleId="affffffffffffffffffffb">
    <w:name w:val="第×段"/>
    <w:basedOn w:val="a9"/>
    <w:qFormat/>
    <w:pPr>
      <w:adjustRightInd w:val="0"/>
      <w:spacing w:line="400" w:lineRule="exact"/>
    </w:pPr>
    <w:rPr>
      <w:rFonts w:eastAsia="楷体_GB2312"/>
      <w:b/>
      <w:color w:val="0000FF"/>
      <w:spacing w:val="8"/>
      <w:sz w:val="24"/>
    </w:rPr>
  </w:style>
  <w:style w:type="paragraph" w:customStyle="1" w:styleId="CM59">
    <w:name w:val="CM59"/>
    <w:basedOn w:val="Default"/>
    <w:next w:val="Default"/>
    <w:qFormat/>
    <w:pPr>
      <w:spacing w:after="195"/>
    </w:pPr>
    <w:rPr>
      <w:rFonts w:ascii="宋体" w:eastAsia="宋体" w:cs="Times New Roman"/>
      <w:color w:val="auto"/>
    </w:rPr>
  </w:style>
  <w:style w:type="paragraph" w:customStyle="1" w:styleId="B2">
    <w:name w:val="目录B"/>
    <w:basedOn w:val="25"/>
    <w:qFormat/>
    <w:pPr>
      <w:tabs>
        <w:tab w:val="clear" w:pos="840"/>
        <w:tab w:val="clear" w:pos="9628"/>
        <w:tab w:val="left" w:pos="2835"/>
        <w:tab w:val="left" w:pos="8505"/>
      </w:tabs>
      <w:adjustRightInd w:val="0"/>
      <w:spacing w:before="0" w:line="400" w:lineRule="exact"/>
      <w:ind w:left="420"/>
    </w:pPr>
    <w:rPr>
      <w:rFonts w:ascii="宋体" w:eastAsia="楷体_GB2312" w:hAnsi="宋体"/>
      <w:iCs w:val="0"/>
      <w:smallCaps/>
      <w:spacing w:val="8"/>
    </w:rPr>
  </w:style>
  <w:style w:type="paragraph" w:customStyle="1" w:styleId="CM39">
    <w:name w:val="CM39"/>
    <w:basedOn w:val="Default"/>
    <w:next w:val="Default"/>
    <w:uiPriority w:val="99"/>
    <w:qFormat/>
    <w:pPr>
      <w:spacing w:line="593" w:lineRule="atLeast"/>
    </w:pPr>
    <w:rPr>
      <w:rFonts w:hAnsi="Calibri" w:cs="Times New Roman"/>
      <w:color w:val="auto"/>
    </w:rPr>
  </w:style>
  <w:style w:type="paragraph" w:customStyle="1" w:styleId="x0">
    <w:name w:val="标题x"/>
    <w:basedOn w:val="2"/>
    <w:qFormat/>
    <w:pPr>
      <w:keepNext/>
      <w:keepLines w:val="0"/>
      <w:numPr>
        <w:ilvl w:val="0"/>
        <w:numId w:val="0"/>
      </w:numPr>
      <w:pBdr>
        <w:bottom w:val="none" w:sz="0" w:space="0" w:color="auto"/>
      </w:pBdr>
      <w:adjustRightInd w:val="0"/>
      <w:spacing w:before="120" w:after="240" w:line="400" w:lineRule="exact"/>
    </w:pPr>
    <w:rPr>
      <w:rFonts w:ascii="文鼎CS大宋" w:eastAsia="文鼎CS大宋" w:hAnsi="Arial Rounded MT Bold"/>
      <w:b w:val="0"/>
      <w:spacing w:val="40"/>
      <w:sz w:val="36"/>
    </w:rPr>
  </w:style>
  <w:style w:type="paragraph" w:customStyle="1" w:styleId="affffffffffffffffffffc">
    <w:name w:val="列表内容"/>
    <w:basedOn w:val="46"/>
    <w:qFormat/>
    <w:pPr>
      <w:widowControl/>
      <w:adjustRightInd w:val="0"/>
      <w:spacing w:before="60" w:after="60"/>
      <w:ind w:leftChars="0" w:left="0" w:firstLineChars="0" w:firstLine="0"/>
      <w:jc w:val="left"/>
      <w:textAlignment w:val="baseline"/>
    </w:pPr>
    <w:rPr>
      <w:rFonts w:ascii="宋体"/>
      <w:sz w:val="24"/>
    </w:rPr>
  </w:style>
  <w:style w:type="paragraph" w:customStyle="1" w:styleId="CM86">
    <w:name w:val="CM86"/>
    <w:basedOn w:val="Default"/>
    <w:next w:val="Default"/>
    <w:uiPriority w:val="99"/>
    <w:qFormat/>
    <w:pPr>
      <w:spacing w:line="546" w:lineRule="atLeast"/>
    </w:pPr>
    <w:rPr>
      <w:rFonts w:hAnsi="Calibri" w:cs="Times New Roman"/>
      <w:color w:val="auto"/>
    </w:rPr>
  </w:style>
  <w:style w:type="paragraph" w:customStyle="1" w:styleId="CharCharCharCharCharCharCharCharCharCharCharCharCharCharCharChar3">
    <w:name w:val="Char Char Char Char Char Char Char Char Char Char Char Char Char Char Char Char3"/>
    <w:basedOn w:val="a9"/>
    <w:qFormat/>
    <w:pPr>
      <w:keepNext/>
      <w:keepLines/>
      <w:tabs>
        <w:tab w:val="left" w:pos="2160"/>
      </w:tabs>
      <w:adjustRightInd w:val="0"/>
      <w:snapToGrid w:val="0"/>
      <w:spacing w:before="120" w:after="120" w:line="360" w:lineRule="auto"/>
      <w:ind w:left="2160" w:hanging="420"/>
      <w:outlineLvl w:val="3"/>
    </w:pPr>
    <w:rPr>
      <w:rFonts w:ascii="Arial" w:eastAsia="楷体_GB2312" w:hAnsi="Arial"/>
      <w:bCs/>
      <w:spacing w:val="8"/>
      <w:sz w:val="28"/>
      <w:szCs w:val="21"/>
    </w:rPr>
  </w:style>
  <w:style w:type="paragraph" w:customStyle="1" w:styleId="affffffffffffffffffffd">
    <w:name w:val="规范正文"/>
    <w:basedOn w:val="a9"/>
    <w:next w:val="a9"/>
    <w:qFormat/>
    <w:pPr>
      <w:autoSpaceDE w:val="0"/>
      <w:autoSpaceDN w:val="0"/>
      <w:adjustRightInd w:val="0"/>
      <w:jc w:val="left"/>
    </w:pPr>
    <w:rPr>
      <w:rFonts w:ascii="黑体" w:eastAsia="黑体"/>
    </w:rPr>
  </w:style>
  <w:style w:type="paragraph" w:customStyle="1" w:styleId="CM57">
    <w:name w:val="CM57"/>
    <w:basedOn w:val="Default"/>
    <w:next w:val="Default"/>
    <w:uiPriority w:val="99"/>
    <w:qFormat/>
    <w:pPr>
      <w:spacing w:after="548"/>
    </w:pPr>
    <w:rPr>
      <w:rFonts w:ascii="宋体" w:eastAsia="宋体" w:cs="Times New Roman"/>
      <w:color w:val="auto"/>
    </w:rPr>
  </w:style>
  <w:style w:type="paragraph" w:customStyle="1" w:styleId="5GB23122">
    <w:name w:val="样式 标题 5 + 仿宋_GB2312 首行缩进:  2 字符"/>
    <w:basedOn w:val="5"/>
    <w:qFormat/>
    <w:pPr>
      <w:keepNext w:val="0"/>
      <w:numPr>
        <w:ilvl w:val="0"/>
        <w:numId w:val="0"/>
      </w:numPr>
      <w:tabs>
        <w:tab w:val="clear" w:pos="1003"/>
        <w:tab w:val="left" w:pos="0"/>
        <w:tab w:val="left" w:pos="840"/>
        <w:tab w:val="left" w:pos="906"/>
        <w:tab w:val="left" w:pos="944"/>
        <w:tab w:val="left" w:pos="1146"/>
      </w:tabs>
      <w:snapToGrid w:val="0"/>
      <w:spacing w:after="0" w:line="600" w:lineRule="atLeast"/>
      <w:ind w:left="2"/>
      <w:outlineLvl w:val="9"/>
    </w:pPr>
    <w:rPr>
      <w:b w:val="0"/>
      <w:kern w:val="2"/>
      <w:sz w:val="28"/>
      <w:szCs w:val="28"/>
    </w:rPr>
  </w:style>
  <w:style w:type="paragraph" w:customStyle="1" w:styleId="affffffffffffffffffffe">
    <w:name w:val="环评正文"/>
    <w:basedOn w:val="aff2"/>
    <w:qFormat/>
    <w:pPr>
      <w:spacing w:line="500" w:lineRule="exact"/>
      <w:ind w:firstLineChars="200" w:firstLine="560"/>
    </w:pPr>
    <w:rPr>
      <w:rFonts w:ascii="仿宋_GB2312" w:eastAsia="仿宋_GB2312"/>
      <w:kern w:val="2"/>
      <w:sz w:val="28"/>
    </w:rPr>
  </w:style>
  <w:style w:type="paragraph" w:customStyle="1" w:styleId="z-110">
    <w:name w:val="z-窗体底端11"/>
    <w:basedOn w:val="a9"/>
    <w:next w:val="a9"/>
    <w:qFormat/>
    <w:pPr>
      <w:widowControl/>
      <w:pBdr>
        <w:top w:val="single" w:sz="6" w:space="1" w:color="auto"/>
      </w:pBdr>
      <w:jc w:val="center"/>
    </w:pPr>
    <w:rPr>
      <w:rFonts w:ascii="Arial" w:hAnsi="Arial"/>
      <w:vanish/>
      <w:sz w:val="16"/>
      <w:szCs w:val="16"/>
    </w:rPr>
  </w:style>
  <w:style w:type="paragraph" w:customStyle="1" w:styleId="afffffffffffffffffffff">
    <w:name w:val="原料"/>
    <w:basedOn w:val="afffffffffffffffffff"/>
    <w:qFormat/>
  </w:style>
  <w:style w:type="paragraph" w:customStyle="1" w:styleId="afffffffffffffffffffff0">
    <w:name w:val="正文段落"/>
    <w:basedOn w:val="a9"/>
    <w:link w:val="Charffffff0"/>
    <w:qFormat/>
    <w:pPr>
      <w:autoSpaceDE w:val="0"/>
      <w:autoSpaceDN w:val="0"/>
      <w:adjustRightInd w:val="0"/>
      <w:spacing w:line="500" w:lineRule="exact"/>
      <w:ind w:firstLineChars="200" w:firstLine="200"/>
      <w:textAlignment w:val="baseline"/>
    </w:pPr>
    <w:rPr>
      <w:rFonts w:ascii="宋体" w:eastAsia="仿宋_GB2312" w:hAnsi="Tms Rmn"/>
      <w:sz w:val="28"/>
    </w:rPr>
  </w:style>
  <w:style w:type="paragraph" w:customStyle="1" w:styleId="CM131">
    <w:name w:val="CM131"/>
    <w:basedOn w:val="Default"/>
    <w:next w:val="Default"/>
    <w:uiPriority w:val="99"/>
    <w:qFormat/>
    <w:pPr>
      <w:spacing w:after="7408"/>
    </w:pPr>
    <w:rPr>
      <w:rFonts w:hAnsi="Calibri" w:cs="Times New Roman"/>
      <w:color w:val="auto"/>
    </w:rPr>
  </w:style>
  <w:style w:type="paragraph" w:customStyle="1" w:styleId="CharCharf7">
    <w:name w:val="Char Char 字元"/>
    <w:basedOn w:val="a9"/>
    <w:qFormat/>
    <w:pPr>
      <w:spacing w:line="400" w:lineRule="exact"/>
      <w:ind w:firstLineChars="200" w:firstLine="200"/>
    </w:pPr>
    <w:rPr>
      <w:kern w:val="2"/>
      <w:sz w:val="28"/>
      <w:szCs w:val="28"/>
    </w:rPr>
  </w:style>
  <w:style w:type="paragraph" w:customStyle="1" w:styleId="CONT-1">
    <w:name w:val="CONT-1"/>
    <w:basedOn w:val="a9"/>
    <w:qFormat/>
    <w:pPr>
      <w:adjustRightInd w:val="0"/>
      <w:spacing w:line="480" w:lineRule="atLeast"/>
      <w:ind w:firstLine="567"/>
    </w:pPr>
    <w:rPr>
      <w:rFonts w:ascii="華康中楷體" w:eastAsia="華康中楷體"/>
      <w:sz w:val="28"/>
      <w:lang w:eastAsia="zh-TW"/>
    </w:rPr>
  </w:style>
  <w:style w:type="paragraph" w:customStyle="1" w:styleId="afffffffffffffffffffff1">
    <w:name w:val="条文"/>
    <w:basedOn w:val="5"/>
    <w:next w:val="a9"/>
    <w:qFormat/>
    <w:pPr>
      <w:keepNext w:val="0"/>
      <w:keepLines/>
      <w:numPr>
        <w:ilvl w:val="0"/>
        <w:numId w:val="0"/>
      </w:numPr>
      <w:tabs>
        <w:tab w:val="clear" w:pos="1003"/>
        <w:tab w:val="left" w:pos="0"/>
        <w:tab w:val="left" w:pos="840"/>
        <w:tab w:val="left" w:pos="944"/>
        <w:tab w:val="left" w:pos="1146"/>
        <w:tab w:val="left" w:pos="2100"/>
      </w:tabs>
      <w:spacing w:before="120" w:after="0" w:line="240" w:lineRule="auto"/>
      <w:ind w:left="2100" w:hanging="420"/>
    </w:pPr>
    <w:rPr>
      <w:rFonts w:ascii="楷体_GB2312" w:hint="eastAsia"/>
      <w:b w:val="0"/>
    </w:rPr>
  </w:style>
  <w:style w:type="paragraph" w:customStyle="1" w:styleId="512">
    <w:name w:val="标题 51"/>
    <w:basedOn w:val="a9"/>
    <w:next w:val="aa"/>
    <w:qFormat/>
    <w:pPr>
      <w:keepNext/>
      <w:tabs>
        <w:tab w:val="left" w:pos="720"/>
        <w:tab w:val="left" w:pos="944"/>
      </w:tabs>
      <w:spacing w:after="60" w:line="360" w:lineRule="auto"/>
      <w:ind w:left="224"/>
    </w:pPr>
    <w:rPr>
      <w:b/>
      <w:kern w:val="2"/>
      <w:sz w:val="24"/>
    </w:rPr>
  </w:style>
  <w:style w:type="paragraph" w:customStyle="1" w:styleId="1ffffff0">
    <w:name w:val="正文1"/>
    <w:uiPriority w:val="99"/>
    <w:qFormat/>
    <w:pPr>
      <w:autoSpaceDE w:val="0"/>
      <w:autoSpaceDN w:val="0"/>
      <w:adjustRightInd w:val="0"/>
      <w:spacing w:line="360" w:lineRule="atLeast"/>
      <w:ind w:firstLine="539"/>
      <w:jc w:val="both"/>
    </w:pPr>
    <w:rPr>
      <w:rFonts w:ascii="宋体"/>
      <w:spacing w:val="30"/>
      <w:sz w:val="24"/>
    </w:rPr>
  </w:style>
  <w:style w:type="paragraph" w:customStyle="1" w:styleId="CM2">
    <w:name w:val="CM2"/>
    <w:basedOn w:val="Default"/>
    <w:next w:val="Default"/>
    <w:uiPriority w:val="99"/>
    <w:qFormat/>
    <w:pPr>
      <w:spacing w:line="560" w:lineRule="atLeast"/>
    </w:pPr>
    <w:rPr>
      <w:rFonts w:hAnsi="Calibri" w:cs="Times New Roman"/>
      <w:color w:val="auto"/>
    </w:rPr>
  </w:style>
  <w:style w:type="paragraph" w:customStyle="1" w:styleId="CM14">
    <w:name w:val="CM14"/>
    <w:basedOn w:val="Default"/>
    <w:next w:val="Default"/>
    <w:uiPriority w:val="99"/>
    <w:qFormat/>
    <w:pPr>
      <w:spacing w:line="548" w:lineRule="atLeast"/>
    </w:pPr>
    <w:rPr>
      <w:rFonts w:ascii="宋体" w:eastAsia="宋体" w:cs="Times New Roman"/>
      <w:color w:val="auto"/>
    </w:rPr>
  </w:style>
  <w:style w:type="paragraph" w:customStyle="1" w:styleId="CharCharChar1CharCharChar1CharCharChar1Char">
    <w:name w:val="Char Char Char1 Char Char Char1 Char Char Char1 Char"/>
    <w:basedOn w:val="a9"/>
    <w:qFormat/>
    <w:pPr>
      <w:spacing w:line="400" w:lineRule="exact"/>
      <w:ind w:firstLineChars="200" w:firstLine="200"/>
    </w:pPr>
    <w:rPr>
      <w:kern w:val="2"/>
      <w:sz w:val="28"/>
      <w:szCs w:val="28"/>
    </w:rPr>
  </w:style>
  <w:style w:type="paragraph" w:customStyle="1" w:styleId="20505">
    <w:name w:val="样式 标题 2 + 宋体 段前: 0.5 行 段后: 0.5 行"/>
    <w:basedOn w:val="a9"/>
    <w:next w:val="a9"/>
    <w:qFormat/>
    <w:pPr>
      <w:autoSpaceDE w:val="0"/>
      <w:autoSpaceDN w:val="0"/>
      <w:adjustRightInd w:val="0"/>
      <w:spacing w:before="120" w:after="120"/>
      <w:jc w:val="left"/>
    </w:pPr>
    <w:rPr>
      <w:rFonts w:ascii="宋体"/>
      <w:sz w:val="24"/>
      <w:szCs w:val="24"/>
    </w:rPr>
  </w:style>
  <w:style w:type="paragraph" w:customStyle="1" w:styleId="afffffffffffffffffffff2">
    <w:name w:val="条题"/>
    <w:basedOn w:val="a9"/>
    <w:qFormat/>
    <w:pPr>
      <w:tabs>
        <w:tab w:val="left" w:pos="1512"/>
      </w:tabs>
      <w:spacing w:line="360" w:lineRule="auto"/>
    </w:pPr>
    <w:rPr>
      <w:rFonts w:eastAsia="黑体"/>
      <w:bCs/>
      <w:color w:val="993300"/>
      <w:sz w:val="30"/>
    </w:rPr>
  </w:style>
  <w:style w:type="paragraph" w:customStyle="1" w:styleId="afffffffffffffffffffff3">
    <w:name w:val="项目"/>
    <w:basedOn w:val="a9"/>
    <w:qFormat/>
    <w:pPr>
      <w:adjustRightInd w:val="0"/>
      <w:spacing w:line="400" w:lineRule="exact"/>
      <w:jc w:val="left"/>
    </w:pPr>
    <w:rPr>
      <w:rFonts w:eastAsia="楷体_GB2312"/>
      <w:spacing w:val="8"/>
      <w:sz w:val="28"/>
    </w:rPr>
  </w:style>
  <w:style w:type="character" w:customStyle="1" w:styleId="1ffffff1">
    <w:name w:val="不明显强调1"/>
    <w:uiPriority w:val="19"/>
    <w:qFormat/>
    <w:rPr>
      <w:rFonts w:eastAsia="宋体" w:cs="Times New Roman"/>
      <w:i/>
      <w:iCs/>
      <w:color w:val="808080"/>
      <w:szCs w:val="22"/>
      <w:lang w:eastAsia="zh-CN"/>
    </w:rPr>
  </w:style>
  <w:style w:type="character" w:customStyle="1" w:styleId="Charffffff1">
    <w:name w:val="表头文字 Char"/>
    <w:qFormat/>
    <w:rPr>
      <w:rFonts w:eastAsia="宋体"/>
      <w:b/>
      <w:sz w:val="24"/>
      <w:szCs w:val="24"/>
      <w:lang w:val="en-US" w:eastAsia="zh-CN" w:bidi="ar-SA"/>
    </w:rPr>
  </w:style>
  <w:style w:type="character" w:customStyle="1" w:styleId="Charffffff2">
    <w:name w:val="紧凑表格 Char"/>
    <w:link w:val="afffffffffffffffffffff4"/>
    <w:uiPriority w:val="9"/>
    <w:qFormat/>
    <w:rPr>
      <w:sz w:val="21"/>
      <w:szCs w:val="21"/>
    </w:rPr>
  </w:style>
  <w:style w:type="paragraph" w:customStyle="1" w:styleId="afffffffffffffffffffff4">
    <w:name w:val="紧凑表格"/>
    <w:basedOn w:val="a9"/>
    <w:link w:val="Charffffff2"/>
    <w:uiPriority w:val="9"/>
    <w:qFormat/>
    <w:pPr>
      <w:jc w:val="center"/>
    </w:pPr>
    <w:rPr>
      <w:sz w:val="21"/>
      <w:szCs w:val="21"/>
    </w:rPr>
  </w:style>
  <w:style w:type="character" w:customStyle="1" w:styleId="Char1f6">
    <w:name w:val="表中文字 Char1"/>
    <w:link w:val="affffffffffffffe"/>
    <w:qFormat/>
    <w:rPr>
      <w:rFonts w:cs="宋体"/>
      <w:sz w:val="24"/>
      <w:lang w:bidi="ne-NP"/>
    </w:rPr>
  </w:style>
  <w:style w:type="character" w:customStyle="1" w:styleId="13Char0">
    <w:name w:val="正文小四首缩1.3行距 Char"/>
    <w:link w:val="132"/>
    <w:qFormat/>
    <w:rPr>
      <w:sz w:val="24"/>
      <w:szCs w:val="24"/>
    </w:rPr>
  </w:style>
  <w:style w:type="paragraph" w:customStyle="1" w:styleId="132">
    <w:name w:val="正文小四首缩1.3行距"/>
    <w:basedOn w:val="a9"/>
    <w:link w:val="13Char0"/>
    <w:qFormat/>
    <w:pPr>
      <w:spacing w:line="360" w:lineRule="auto"/>
      <w:ind w:firstLineChars="200" w:firstLine="480"/>
    </w:pPr>
    <w:rPr>
      <w:sz w:val="24"/>
      <w:szCs w:val="24"/>
    </w:rPr>
  </w:style>
  <w:style w:type="character" w:customStyle="1" w:styleId="3Char20">
    <w:name w:val="标题 3 Char2"/>
    <w:qFormat/>
    <w:rPr>
      <w:rFonts w:eastAsia="宋体"/>
      <w:b/>
      <w:bCs/>
      <w:kern w:val="2"/>
      <w:sz w:val="32"/>
      <w:szCs w:val="32"/>
    </w:rPr>
  </w:style>
  <w:style w:type="character" w:customStyle="1" w:styleId="13Char1">
    <w:name w:val="首缩正文1.3行距 Char"/>
    <w:link w:val="133"/>
    <w:qFormat/>
    <w:rPr>
      <w:rFonts w:cs="宋体"/>
      <w:sz w:val="24"/>
    </w:rPr>
  </w:style>
  <w:style w:type="paragraph" w:customStyle="1" w:styleId="133">
    <w:name w:val="首缩正文1.3行距"/>
    <w:basedOn w:val="a9"/>
    <w:link w:val="13Char1"/>
    <w:unhideWhenUsed/>
    <w:qFormat/>
    <w:pPr>
      <w:spacing w:line="312" w:lineRule="auto"/>
      <w:ind w:firstLineChars="200" w:firstLine="480"/>
    </w:pPr>
    <w:rPr>
      <w:rFonts w:cs="宋体"/>
      <w:sz w:val="24"/>
    </w:rPr>
  </w:style>
  <w:style w:type="character" w:customStyle="1" w:styleId="Charffffff3">
    <w:name w:val="首缩编号 Char"/>
    <w:link w:val="a6"/>
    <w:uiPriority w:val="10"/>
    <w:qFormat/>
    <w:rPr>
      <w:kern w:val="2"/>
      <w:sz w:val="24"/>
      <w:szCs w:val="24"/>
    </w:rPr>
  </w:style>
  <w:style w:type="paragraph" w:customStyle="1" w:styleId="a6">
    <w:name w:val="首缩编号"/>
    <w:basedOn w:val="132"/>
    <w:link w:val="Charffffff3"/>
    <w:uiPriority w:val="10"/>
    <w:qFormat/>
    <w:pPr>
      <w:numPr>
        <w:numId w:val="8"/>
      </w:numPr>
      <w:ind w:firstLineChars="0" w:firstLine="0"/>
    </w:pPr>
    <w:rPr>
      <w:kern w:val="2"/>
    </w:rPr>
  </w:style>
  <w:style w:type="character" w:customStyle="1" w:styleId="15Char0">
    <w:name w:val="正文15 Char"/>
    <w:link w:val="153"/>
    <w:qFormat/>
    <w:rPr>
      <w:kern w:val="2"/>
      <w:sz w:val="28"/>
      <w:szCs w:val="28"/>
    </w:rPr>
  </w:style>
  <w:style w:type="paragraph" w:customStyle="1" w:styleId="153">
    <w:name w:val="正文15"/>
    <w:basedOn w:val="a9"/>
    <w:link w:val="15Char0"/>
    <w:qFormat/>
    <w:pPr>
      <w:overflowPunct w:val="0"/>
      <w:topLinePunct/>
      <w:snapToGrid w:val="0"/>
      <w:spacing w:line="360" w:lineRule="auto"/>
      <w:ind w:firstLine="567"/>
    </w:pPr>
    <w:rPr>
      <w:kern w:val="2"/>
      <w:sz w:val="28"/>
      <w:szCs w:val="28"/>
    </w:rPr>
  </w:style>
  <w:style w:type="character" w:customStyle="1" w:styleId="Charffffff0">
    <w:name w:val="正文段落 Char"/>
    <w:link w:val="afffffffffffffffffffff0"/>
    <w:qFormat/>
    <w:rPr>
      <w:rFonts w:ascii="宋体" w:eastAsia="仿宋_GB2312" w:hAnsi="Tms Rmn"/>
      <w:sz w:val="28"/>
    </w:rPr>
  </w:style>
  <w:style w:type="character" w:customStyle="1" w:styleId="Charffffff4">
    <w:name w:val="表中文字 Char"/>
    <w:qFormat/>
    <w:rPr>
      <w:rFonts w:ascii="宋体" w:eastAsia="宋体" w:hAnsi="宋体"/>
      <w:snapToGrid/>
      <w:kern w:val="2"/>
      <w:sz w:val="21"/>
      <w:lang w:val="en-US" w:eastAsia="zh-TW" w:bidi="ar-SA"/>
    </w:rPr>
  </w:style>
  <w:style w:type="character" w:customStyle="1" w:styleId="afffffffffffffffffffff5">
    <w:name w:val="样式 (符号) 宋体"/>
    <w:qFormat/>
    <w:rPr>
      <w:rFonts w:ascii="Times New Roman" w:eastAsia="宋体" w:hAnsi="Times New Roman"/>
      <w:sz w:val="24"/>
    </w:rPr>
  </w:style>
  <w:style w:type="paragraph" w:customStyle="1" w:styleId="afffffffffffffffffffff6">
    <w:name w:val="表头文字（五号）"/>
    <w:basedOn w:val="afffffb"/>
    <w:qFormat/>
    <w:pPr>
      <w:widowControl/>
      <w:tabs>
        <w:tab w:val="left" w:pos="1008"/>
      </w:tabs>
      <w:snapToGrid/>
      <w:spacing w:line="360" w:lineRule="auto"/>
      <w:ind w:left="648" w:hanging="360"/>
    </w:pPr>
    <w:rPr>
      <w:sz w:val="21"/>
      <w:szCs w:val="21"/>
    </w:rPr>
  </w:style>
  <w:style w:type="paragraph" w:customStyle="1" w:styleId="-9">
    <w:name w:val="表格-小四"/>
    <w:basedOn w:val="a9"/>
    <w:qFormat/>
    <w:pPr>
      <w:spacing w:before="100" w:beforeAutospacing="1" w:after="100" w:afterAutospacing="1" w:line="312" w:lineRule="auto"/>
      <w:jc w:val="center"/>
      <w:textAlignment w:val="baseline"/>
    </w:pPr>
    <w:rPr>
      <w:rFonts w:ascii="宋体"/>
      <w:sz w:val="21"/>
      <w:szCs w:val="24"/>
    </w:rPr>
  </w:style>
  <w:style w:type="paragraph" w:customStyle="1" w:styleId="afffffffffffffffffffff7">
    <w:name w:val="插图编号"/>
    <w:basedOn w:val="afffffb"/>
    <w:qFormat/>
    <w:pPr>
      <w:widowControl/>
      <w:tabs>
        <w:tab w:val="left" w:pos="1008"/>
      </w:tabs>
      <w:snapToGrid/>
      <w:spacing w:line="240" w:lineRule="auto"/>
    </w:pPr>
    <w:rPr>
      <w:rFonts w:ascii="宋体"/>
      <w:sz w:val="28"/>
    </w:rPr>
  </w:style>
  <w:style w:type="paragraph" w:customStyle="1" w:styleId="afffffffffffffffffffff8">
    <w:name w:val="第七章插图序号"/>
    <w:basedOn w:val="a9"/>
    <w:qFormat/>
    <w:pPr>
      <w:spacing w:line="312" w:lineRule="atLeast"/>
      <w:jc w:val="center"/>
      <w:textAlignment w:val="baseline"/>
    </w:pPr>
    <w:rPr>
      <w:rFonts w:ascii="宋体"/>
      <w:b/>
      <w:sz w:val="28"/>
      <w:szCs w:val="28"/>
    </w:rPr>
  </w:style>
  <w:style w:type="paragraph" w:customStyle="1" w:styleId="Charffffff5">
    <w:name w:val="环评正文 Char"/>
    <w:semiHidden/>
    <w:qFormat/>
    <w:pPr>
      <w:spacing w:line="440" w:lineRule="exact"/>
      <w:ind w:firstLineChars="200" w:firstLine="200"/>
    </w:pPr>
    <w:rPr>
      <w:kern w:val="2"/>
      <w:sz w:val="24"/>
    </w:rPr>
  </w:style>
  <w:style w:type="paragraph" w:customStyle="1" w:styleId="a8">
    <w:name w:val="插图格式"/>
    <w:basedOn w:val="a9"/>
    <w:qFormat/>
    <w:pPr>
      <w:numPr>
        <w:numId w:val="9"/>
      </w:numPr>
      <w:tabs>
        <w:tab w:val="clear" w:pos="4586"/>
        <w:tab w:val="left" w:pos="2660"/>
      </w:tabs>
      <w:spacing w:line="360" w:lineRule="atLeast"/>
      <w:ind w:left="3080" w:hanging="840"/>
      <w:jc w:val="center"/>
      <w:textAlignment w:val="baseline"/>
    </w:pPr>
    <w:rPr>
      <w:rFonts w:ascii="宋体"/>
      <w:sz w:val="21"/>
      <w:szCs w:val="21"/>
    </w:rPr>
  </w:style>
  <w:style w:type="paragraph" w:customStyle="1" w:styleId="-a">
    <w:name w:val="表格-六号"/>
    <w:basedOn w:val="-b"/>
    <w:qFormat/>
    <w:pPr>
      <w:spacing w:before="0" w:beforeAutospacing="0" w:after="0" w:afterAutospacing="0" w:line="312" w:lineRule="atLeast"/>
    </w:pPr>
    <w:rPr>
      <w:sz w:val="15"/>
      <w:szCs w:val="20"/>
    </w:rPr>
  </w:style>
  <w:style w:type="paragraph" w:customStyle="1" w:styleId="-b">
    <w:name w:val="表格-五号"/>
    <w:basedOn w:val="a9"/>
    <w:qFormat/>
    <w:pPr>
      <w:adjustRightInd w:val="0"/>
      <w:spacing w:before="100" w:beforeAutospacing="1" w:after="100" w:afterAutospacing="1" w:line="312" w:lineRule="auto"/>
      <w:jc w:val="center"/>
      <w:textAlignment w:val="baseline"/>
    </w:pPr>
    <w:rPr>
      <w:rFonts w:ascii="宋体"/>
      <w:sz w:val="21"/>
      <w:szCs w:val="24"/>
    </w:rPr>
  </w:style>
  <w:style w:type="paragraph" w:customStyle="1" w:styleId="afffffffffffffffffffff9">
    <w:name w:val="表标题"/>
    <w:basedOn w:val="a9"/>
    <w:qFormat/>
    <w:pPr>
      <w:jc w:val="center"/>
    </w:pPr>
    <w:rPr>
      <w:b/>
      <w:color w:val="0000FF"/>
      <w:kern w:val="2"/>
      <w:sz w:val="21"/>
      <w:szCs w:val="21"/>
    </w:rPr>
  </w:style>
  <w:style w:type="paragraph" w:customStyle="1" w:styleId="afffffffffffffffffffffa">
    <w:name w:val="较紧表格"/>
    <w:basedOn w:val="afffffffffffffffffffff4"/>
    <w:uiPriority w:val="2"/>
    <w:qFormat/>
    <w:pPr>
      <w:spacing w:beforeLines="10" w:afterLines="10"/>
    </w:pPr>
    <w:rPr>
      <w:kern w:val="2"/>
    </w:rPr>
  </w:style>
  <w:style w:type="paragraph" w:customStyle="1" w:styleId="CharCharCharCharCharCharCharCharCharCharCharCharCharCharCharCharCharChar">
    <w:name w:val="Char Char Char Char Char Char Char Char Char Char Char Char Char Char Char Char Char Char"/>
    <w:basedOn w:val="a9"/>
    <w:qFormat/>
    <w:rPr>
      <w:kern w:val="2"/>
      <w:sz w:val="21"/>
      <w:szCs w:val="24"/>
    </w:rPr>
  </w:style>
  <w:style w:type="paragraph" w:customStyle="1" w:styleId="ZW">
    <w:name w:val="ZW"/>
    <w:basedOn w:val="a9"/>
    <w:qFormat/>
    <w:pPr>
      <w:spacing w:before="73"/>
      <w:ind w:firstLineChars="200" w:firstLine="480"/>
    </w:pPr>
    <w:rPr>
      <w:rFonts w:cs="宋体"/>
      <w:kern w:val="2"/>
      <w:sz w:val="21"/>
      <w:szCs w:val="21"/>
    </w:rPr>
  </w:style>
  <w:style w:type="paragraph" w:customStyle="1" w:styleId="DecimalAligned">
    <w:name w:val="Decimal Aligned"/>
    <w:basedOn w:val="a9"/>
    <w:uiPriority w:val="40"/>
    <w:unhideWhenUsed/>
    <w:qFormat/>
    <w:pPr>
      <w:widowControl/>
      <w:tabs>
        <w:tab w:val="decimal" w:pos="360"/>
      </w:tabs>
      <w:spacing w:after="200" w:line="276" w:lineRule="auto"/>
      <w:jc w:val="left"/>
    </w:pPr>
    <w:rPr>
      <w:sz w:val="22"/>
      <w:szCs w:val="21"/>
    </w:rPr>
  </w:style>
  <w:style w:type="paragraph" w:customStyle="1" w:styleId="afffffffffffffffffffffb">
    <w:name w:val="小五表格"/>
    <w:basedOn w:val="a9"/>
    <w:uiPriority w:val="9"/>
    <w:qFormat/>
    <w:pPr>
      <w:widowControl/>
      <w:adjustRightInd w:val="0"/>
      <w:jc w:val="center"/>
      <w:textAlignment w:val="baseline"/>
    </w:pPr>
    <w:rPr>
      <w:sz w:val="18"/>
    </w:rPr>
  </w:style>
  <w:style w:type="paragraph" w:customStyle="1" w:styleId="a3">
    <w:name w:val="编号正文"/>
    <w:basedOn w:val="a9"/>
    <w:qFormat/>
    <w:pPr>
      <w:numPr>
        <w:numId w:val="10"/>
      </w:numPr>
      <w:spacing w:line="312" w:lineRule="auto"/>
      <w:jc w:val="left"/>
    </w:pPr>
    <w:rPr>
      <w:rFonts w:cs="宋体"/>
      <w:kern w:val="2"/>
      <w:sz w:val="24"/>
    </w:rPr>
  </w:style>
  <w:style w:type="paragraph" w:customStyle="1" w:styleId="afffffffffffffffffffffc">
    <w:name w:val="【表头】"/>
    <w:basedOn w:val="a9"/>
    <w:qFormat/>
    <w:pPr>
      <w:spacing w:before="120"/>
      <w:jc w:val="center"/>
    </w:pPr>
    <w:rPr>
      <w:rFonts w:eastAsia="黑体" w:cs="Arial"/>
      <w:kern w:val="2"/>
      <w:sz w:val="24"/>
      <w:szCs w:val="24"/>
    </w:rPr>
  </w:style>
  <w:style w:type="paragraph" w:customStyle="1" w:styleId="afffffffffffffffffffffd">
    <w:name w:val="【图片】"/>
    <w:next w:val="af0"/>
    <w:qFormat/>
    <w:pPr>
      <w:jc w:val="center"/>
    </w:pPr>
    <w:rPr>
      <w:rFonts w:ascii="宋体" w:hAnsi="宋体" w:cs="宋体"/>
      <w:sz w:val="24"/>
      <w:szCs w:val="24"/>
    </w:rPr>
  </w:style>
  <w:style w:type="paragraph" w:customStyle="1" w:styleId="gb1">
    <w:name w:val="gb1"/>
    <w:basedOn w:val="a9"/>
    <w:qFormat/>
    <w:pPr>
      <w:widowControl/>
      <w:tabs>
        <w:tab w:val="left" w:pos="227"/>
      </w:tabs>
      <w:overflowPunct w:val="0"/>
      <w:autoSpaceDE w:val="0"/>
      <w:autoSpaceDN w:val="0"/>
      <w:adjustRightInd w:val="0"/>
      <w:spacing w:before="120" w:after="120"/>
      <w:textAlignment w:val="baseline"/>
    </w:pPr>
    <w:rPr>
      <w:rFonts w:ascii="Arial" w:eastAsia="仿宋体" w:hAnsi="Arial"/>
      <w:sz w:val="21"/>
    </w:rPr>
  </w:style>
  <w:style w:type="paragraph" w:customStyle="1" w:styleId="afffffffffffffffffffffe">
    <w:name w:val="【图题】"/>
    <w:next w:val="a9"/>
    <w:qFormat/>
    <w:pPr>
      <w:spacing w:beforeLines="50" w:afterLines="50"/>
      <w:jc w:val="center"/>
    </w:pPr>
    <w:rPr>
      <w:rFonts w:eastAsia="黑体" w:cs="宋体"/>
      <w:sz w:val="24"/>
      <w:szCs w:val="24"/>
    </w:rPr>
  </w:style>
  <w:style w:type="paragraph" w:customStyle="1" w:styleId="154">
    <w:name w:val="样式 表格文字 + 居中 行距: 固定值 15 磅"/>
    <w:basedOn w:val="afffffff7"/>
    <w:qFormat/>
    <w:pPr>
      <w:widowControl/>
      <w:snapToGrid/>
      <w:spacing w:line="300" w:lineRule="exact"/>
      <w:jc w:val="center"/>
    </w:pPr>
    <w:rPr>
      <w:rFonts w:cs="宋体"/>
      <w:sz w:val="21"/>
    </w:rPr>
  </w:style>
  <w:style w:type="paragraph" w:customStyle="1" w:styleId="-c">
    <w:name w:val="表格-小五"/>
    <w:basedOn w:val="-b"/>
    <w:qFormat/>
    <w:pPr>
      <w:spacing w:before="0" w:beforeAutospacing="0" w:after="0" w:afterAutospacing="0" w:line="312" w:lineRule="atLeast"/>
    </w:pPr>
    <w:rPr>
      <w:sz w:val="18"/>
      <w:szCs w:val="18"/>
    </w:rPr>
  </w:style>
  <w:style w:type="paragraph" w:customStyle="1" w:styleId="12b">
    <w:name w:val="样式 正文首行缩进 + 首行缩进:  1 字符2"/>
    <w:basedOn w:val="af0"/>
    <w:qFormat/>
    <w:pPr>
      <w:spacing w:line="500" w:lineRule="exact"/>
    </w:pPr>
    <w:rPr>
      <w:kern w:val="2"/>
    </w:rPr>
  </w:style>
  <w:style w:type="paragraph" w:customStyle="1" w:styleId="0850">
    <w:name w:val="样式 (符号) 宋体 首行缩进:  0.85 厘米"/>
    <w:basedOn w:val="a9"/>
    <w:qFormat/>
    <w:pPr>
      <w:adjustRightInd w:val="0"/>
      <w:ind w:firstLine="482"/>
      <w:textAlignment w:val="baseline"/>
    </w:pPr>
    <w:rPr>
      <w:rFonts w:cs="宋体"/>
      <w:b/>
      <w:sz w:val="28"/>
      <w:szCs w:val="28"/>
    </w:rPr>
  </w:style>
  <w:style w:type="paragraph" w:customStyle="1" w:styleId="155">
    <w:name w:val="样式 (符号) 宋体 行距: 1.5 倍行距"/>
    <w:basedOn w:val="a9"/>
    <w:qFormat/>
    <w:pPr>
      <w:adjustRightInd w:val="0"/>
      <w:spacing w:line="360" w:lineRule="auto"/>
      <w:textAlignment w:val="baseline"/>
    </w:pPr>
    <w:rPr>
      <w:rFonts w:ascii="宋体" w:hAnsi="宋体" w:cs="宋体"/>
      <w:sz w:val="24"/>
    </w:rPr>
  </w:style>
  <w:style w:type="paragraph" w:customStyle="1" w:styleId="156">
    <w:name w:val="样式 行距: 1.5 倍行距"/>
    <w:basedOn w:val="a9"/>
    <w:qFormat/>
    <w:pPr>
      <w:adjustRightInd w:val="0"/>
      <w:spacing w:line="360" w:lineRule="auto"/>
      <w:ind w:firstLineChars="200" w:firstLine="200"/>
      <w:textAlignment w:val="baseline"/>
    </w:pPr>
    <w:rPr>
      <w:rFonts w:ascii="宋体" w:cs="宋体"/>
      <w:sz w:val="24"/>
    </w:rPr>
  </w:style>
  <w:style w:type="paragraph" w:customStyle="1" w:styleId="a1">
    <w:name w:val="第七章表格序号"/>
    <w:basedOn w:val="-9"/>
    <w:qFormat/>
    <w:pPr>
      <w:numPr>
        <w:numId w:val="11"/>
      </w:numPr>
      <w:adjustRightInd w:val="0"/>
      <w:spacing w:beforeLines="50" w:beforeAutospacing="0" w:afterLines="50" w:afterAutospacing="0" w:line="360" w:lineRule="auto"/>
    </w:pPr>
    <w:rPr>
      <w:b/>
      <w:bCs/>
      <w:sz w:val="24"/>
      <w:szCs w:val="20"/>
    </w:rPr>
  </w:style>
  <w:style w:type="paragraph" w:customStyle="1" w:styleId="2220">
    <w:name w:val="样式 列表 2 + 宋体 居中 左侧:  2 字符 悬挂缩进: 2 字符"/>
    <w:basedOn w:val="21"/>
    <w:qFormat/>
    <w:pPr>
      <w:adjustRightInd w:val="0"/>
      <w:spacing w:line="360" w:lineRule="exact"/>
      <w:ind w:leftChars="0" w:left="0" w:firstLineChars="0" w:firstLine="0"/>
      <w:jc w:val="center"/>
      <w:textAlignment w:val="baseline"/>
    </w:pPr>
    <w:rPr>
      <w:rFonts w:ascii="宋体" w:hAnsi="宋体" w:cs="宋体"/>
      <w:snapToGrid w:val="0"/>
      <w:sz w:val="21"/>
      <w:szCs w:val="21"/>
    </w:rPr>
  </w:style>
  <w:style w:type="paragraph" w:customStyle="1" w:styleId="affffffffffffffffffffff">
    <w:name w:val="首行缩进"/>
    <w:basedOn w:val="a9"/>
    <w:qFormat/>
    <w:pPr>
      <w:snapToGrid w:val="0"/>
      <w:spacing w:before="100" w:beforeAutospacing="1" w:after="100" w:afterAutospacing="1" w:line="312" w:lineRule="auto"/>
      <w:ind w:firstLine="425"/>
    </w:pPr>
    <w:rPr>
      <w:rFonts w:ascii="宋体"/>
      <w:kern w:val="2"/>
      <w:sz w:val="24"/>
    </w:rPr>
  </w:style>
  <w:style w:type="paragraph" w:customStyle="1" w:styleId="2fff6">
    <w:name w:val="样式 列表编号 + 居中2"/>
    <w:basedOn w:val="af5"/>
    <w:qFormat/>
    <w:pPr>
      <w:tabs>
        <w:tab w:val="clear" w:pos="360"/>
        <w:tab w:val="left" w:pos="902"/>
      </w:tabs>
      <w:ind w:left="480" w:firstLineChars="0" w:hanging="480"/>
      <w:jc w:val="center"/>
    </w:pPr>
    <w:rPr>
      <w:rFonts w:hAnsi="宋体"/>
      <w:kern w:val="2"/>
      <w:szCs w:val="28"/>
    </w:rPr>
  </w:style>
  <w:style w:type="paragraph" w:customStyle="1" w:styleId="40">
    <w:name w:val="样式 列表编号 + 居中4"/>
    <w:basedOn w:val="af5"/>
    <w:qFormat/>
    <w:pPr>
      <w:numPr>
        <w:numId w:val="12"/>
      </w:numPr>
      <w:tabs>
        <w:tab w:val="clear" w:pos="360"/>
        <w:tab w:val="left" w:pos="5000"/>
      </w:tabs>
      <w:ind w:left="4280" w:firstLineChars="0" w:firstLine="0"/>
      <w:jc w:val="center"/>
    </w:pPr>
    <w:rPr>
      <w:rFonts w:hAnsi="宋体"/>
      <w:kern w:val="2"/>
      <w:szCs w:val="28"/>
    </w:rPr>
  </w:style>
  <w:style w:type="paragraph" w:customStyle="1" w:styleId="106">
    <w:name w:val="插图格式10"/>
    <w:basedOn w:val="a9"/>
    <w:qFormat/>
    <w:pPr>
      <w:tabs>
        <w:tab w:val="left" w:pos="7700"/>
      </w:tabs>
      <w:adjustRightInd w:val="0"/>
      <w:spacing w:line="360" w:lineRule="atLeast"/>
      <w:ind w:left="7700" w:hanging="420"/>
      <w:jc w:val="center"/>
      <w:textAlignment w:val="baseline"/>
    </w:pPr>
    <w:rPr>
      <w:rFonts w:ascii="宋体"/>
      <w:sz w:val="24"/>
    </w:rPr>
  </w:style>
  <w:style w:type="paragraph" w:customStyle="1" w:styleId="affffffffffffffffffffff0">
    <w:name w:val="样式 列表编号 + 居中"/>
    <w:basedOn w:val="af5"/>
    <w:qFormat/>
    <w:pPr>
      <w:tabs>
        <w:tab w:val="clear" w:pos="360"/>
      </w:tabs>
      <w:ind w:left="0" w:firstLineChars="0" w:firstLine="482"/>
      <w:jc w:val="center"/>
    </w:pPr>
    <w:rPr>
      <w:rFonts w:hAnsi="宋体" w:cs="宋体"/>
      <w:kern w:val="2"/>
      <w:szCs w:val="28"/>
    </w:rPr>
  </w:style>
  <w:style w:type="paragraph" w:customStyle="1" w:styleId="affffffffffffffffffffff1">
    <w:name w:val="表格标题—小四"/>
    <w:basedOn w:val="a9"/>
    <w:qFormat/>
    <w:pPr>
      <w:spacing w:before="100" w:beforeAutospacing="1" w:after="100" w:afterAutospacing="1" w:line="312" w:lineRule="auto"/>
      <w:jc w:val="center"/>
    </w:pPr>
    <w:rPr>
      <w:b/>
      <w:kern w:val="2"/>
      <w:sz w:val="24"/>
      <w:szCs w:val="24"/>
    </w:rPr>
  </w:style>
  <w:style w:type="paragraph" w:customStyle="1" w:styleId="affffffffffffffffffffff2">
    <w:name w:val="无缩进居中"/>
    <w:basedOn w:val="a9"/>
    <w:qFormat/>
    <w:pPr>
      <w:adjustRightInd w:val="0"/>
      <w:spacing w:line="312" w:lineRule="atLeast"/>
      <w:jc w:val="center"/>
      <w:textAlignment w:val="baseline"/>
    </w:pPr>
    <w:rPr>
      <w:rFonts w:ascii="宋体" w:cs="宋体"/>
      <w:sz w:val="28"/>
    </w:rPr>
  </w:style>
  <w:style w:type="paragraph" w:customStyle="1" w:styleId="ArialGB231266">
    <w:name w:val="样式 (西文) Arial (中文) 仿宋_GB2312 四号 段前: 6 磅 段后: 6 磅"/>
    <w:basedOn w:val="a9"/>
    <w:qFormat/>
    <w:pPr>
      <w:adjustRightInd w:val="0"/>
      <w:spacing w:before="120" w:after="120" w:line="312" w:lineRule="atLeast"/>
      <w:textAlignment w:val="baseline"/>
    </w:pPr>
    <w:rPr>
      <w:rFonts w:ascii="Arial" w:eastAsia="仿宋_GB2312" w:hAnsi="Arial" w:cs="宋体"/>
      <w:sz w:val="28"/>
    </w:rPr>
  </w:style>
  <w:style w:type="paragraph" w:customStyle="1" w:styleId="CharCharCharCharCharCharCharCharCharCharCharChar">
    <w:name w:val="Char Char Char Char Char Char Char Char Char Char Char Char"/>
    <w:basedOn w:val="a9"/>
    <w:qFormat/>
    <w:rPr>
      <w:kern w:val="2"/>
      <w:sz w:val="21"/>
      <w:szCs w:val="24"/>
    </w:rPr>
  </w:style>
  <w:style w:type="paragraph" w:customStyle="1" w:styleId="31113CharCharHeading3-oldH3">
    <w:name w:val="样式 标题 31.1.1条标题 3 Char Char三级标题，黑粗，四号，序号Heading 3 - oldH3..."/>
    <w:basedOn w:val="3"/>
    <w:qFormat/>
    <w:pPr>
      <w:keepNext/>
      <w:keepLines/>
      <w:tabs>
        <w:tab w:val="clear" w:pos="720"/>
      </w:tabs>
      <w:snapToGrid/>
      <w:spacing w:before="120" w:after="120" w:line="460" w:lineRule="exact"/>
      <w:ind w:left="0" w:firstLine="482"/>
    </w:pPr>
    <w:rPr>
      <w:rFonts w:ascii="Arial" w:eastAsia="宋体" w:cs="宋体"/>
      <w:bCs/>
      <w:kern w:val="2"/>
    </w:rPr>
  </w:style>
  <w:style w:type="paragraph" w:customStyle="1" w:styleId="4111141111H4h4subsubheadi1">
    <w:name w:val="样式 标题 41.1.1.1标题 4.1.1.1.1款四级标题，黑粗，小四，序号H4h4 sub sub headi...1"/>
    <w:basedOn w:val="4"/>
    <w:qFormat/>
    <w:pPr>
      <w:keepNext/>
      <w:keepLines/>
      <w:numPr>
        <w:numId w:val="0"/>
      </w:numPr>
      <w:spacing w:before="120" w:after="120" w:line="240" w:lineRule="auto"/>
    </w:pPr>
    <w:rPr>
      <w:bCs/>
      <w:color w:val="auto"/>
      <w:kern w:val="2"/>
      <w:szCs w:val="24"/>
    </w:rPr>
  </w:style>
  <w:style w:type="character" w:customStyle="1" w:styleId="2CharChar2">
    <w:name w:val="字元2 Char Char2"/>
    <w:qFormat/>
    <w:rPr>
      <w:rFonts w:eastAsia="楷体_GB2312"/>
      <w:sz w:val="21"/>
      <w:lang w:val="en-US" w:eastAsia="zh-CN" w:bidi="ar-SA"/>
    </w:rPr>
  </w:style>
  <w:style w:type="character" w:customStyle="1" w:styleId="5Char2">
    <w:name w:val="标题 5 Char2"/>
    <w:qFormat/>
    <w:rPr>
      <w:rFonts w:eastAsia="宋体"/>
      <w:b/>
      <w:kern w:val="2"/>
      <w:sz w:val="24"/>
      <w:lang w:val="en-US" w:eastAsia="zh-CN" w:bidi="ar-SA"/>
    </w:rPr>
  </w:style>
  <w:style w:type="character" w:customStyle="1" w:styleId="Char2f2">
    <w:name w:val="列表 Char2"/>
    <w:qFormat/>
    <w:rPr>
      <w:rFonts w:eastAsia="宋体"/>
      <w:kern w:val="2"/>
      <w:sz w:val="21"/>
      <w:lang w:val="en-US" w:eastAsia="zh-CN" w:bidi="ar-SA"/>
    </w:rPr>
  </w:style>
  <w:style w:type="character" w:customStyle="1" w:styleId="bulletChar">
    <w:name w:val="bullet Char"/>
    <w:qFormat/>
    <w:rPr>
      <w:rFonts w:ascii="Arial" w:eastAsia="黑体" w:hAnsi="Arial"/>
      <w:b/>
      <w:bCs/>
      <w:kern w:val="2"/>
      <w:sz w:val="28"/>
      <w:szCs w:val="28"/>
      <w:lang w:val="en-US" w:eastAsia="zh-CN" w:bidi="ar-SA"/>
    </w:rPr>
  </w:style>
  <w:style w:type="paragraph" w:customStyle="1" w:styleId="3ff8">
    <w:name w:val="价格变化趋3"/>
    <w:basedOn w:val="a9"/>
    <w:qFormat/>
    <w:pPr>
      <w:adjustRightInd w:val="0"/>
      <w:spacing w:line="315" w:lineRule="atLeast"/>
      <w:jc w:val="left"/>
      <w:textAlignment w:val="baseline"/>
    </w:pPr>
    <w:rPr>
      <w:rFonts w:ascii="宋体"/>
      <w:sz w:val="21"/>
    </w:rPr>
  </w:style>
  <w:style w:type="paragraph" w:customStyle="1" w:styleId="4f8">
    <w:name w:val="字元4"/>
    <w:basedOn w:val="a9"/>
    <w:qFormat/>
    <w:rPr>
      <w:kern w:val="2"/>
      <w:sz w:val="24"/>
      <w:szCs w:val="24"/>
    </w:rPr>
  </w:style>
  <w:style w:type="paragraph" w:customStyle="1" w:styleId="134">
    <w:name w:val="字元13"/>
    <w:basedOn w:val="a9"/>
    <w:qFormat/>
    <w:rPr>
      <w:kern w:val="2"/>
      <w:sz w:val="21"/>
      <w:szCs w:val="21"/>
    </w:rPr>
  </w:style>
  <w:style w:type="paragraph" w:customStyle="1" w:styleId="CharChar24">
    <w:name w:val="Char Char 字元2"/>
    <w:basedOn w:val="a9"/>
    <w:qFormat/>
    <w:pPr>
      <w:spacing w:line="400" w:lineRule="exact"/>
      <w:ind w:firstLineChars="200" w:firstLine="200"/>
    </w:pPr>
    <w:rPr>
      <w:kern w:val="2"/>
      <w:sz w:val="28"/>
      <w:szCs w:val="28"/>
    </w:rPr>
  </w:style>
  <w:style w:type="paragraph" w:customStyle="1" w:styleId="CharCharCharChar20">
    <w:name w:val="Char Char 字元 Char Char 字元 字元 字元2"/>
    <w:basedOn w:val="a9"/>
    <w:qFormat/>
    <w:pPr>
      <w:spacing w:line="400" w:lineRule="exact"/>
      <w:ind w:firstLineChars="200" w:firstLine="200"/>
    </w:pPr>
    <w:rPr>
      <w:kern w:val="2"/>
      <w:sz w:val="28"/>
      <w:szCs w:val="28"/>
    </w:rPr>
  </w:style>
  <w:style w:type="paragraph" w:customStyle="1" w:styleId="CharCharCharChar21">
    <w:name w:val="Char Char 字元 Char Char 字元2"/>
    <w:basedOn w:val="a9"/>
    <w:qFormat/>
    <w:pPr>
      <w:spacing w:line="400" w:lineRule="exact"/>
      <w:ind w:firstLineChars="200" w:firstLine="200"/>
    </w:pPr>
    <w:rPr>
      <w:kern w:val="2"/>
      <w:sz w:val="28"/>
      <w:szCs w:val="28"/>
    </w:rPr>
  </w:style>
  <w:style w:type="character" w:customStyle="1" w:styleId="WW8Num30z0">
    <w:name w:val="WW8Num30z0"/>
    <w:qFormat/>
    <w:rPr>
      <w:rFonts w:ascii="Wingdings" w:hAnsi="Wingdings"/>
    </w:rPr>
  </w:style>
  <w:style w:type="paragraph" w:customStyle="1" w:styleId="1Dqe05">
    <w:name w:val="样¦¡ ªí头样¦¡1 + «D¥[²Ê ¬q«e: 0.5 ¦æ"/>
    <w:basedOn w:val="a9"/>
    <w:qFormat/>
    <w:pPr>
      <w:spacing w:beforeLines="50"/>
      <w:jc w:val="center"/>
    </w:pPr>
    <w:rPr>
      <w:rFonts w:hAnsi="宋体"/>
      <w:b/>
      <w:bCs/>
      <w:kern w:val="2"/>
      <w:sz w:val="24"/>
      <w:szCs w:val="24"/>
    </w:rPr>
  </w:style>
  <w:style w:type="character" w:customStyle="1" w:styleId="1CharChar9">
    <w:name w:val="样式 标题1 Char Char"/>
    <w:link w:val="1ffffff2"/>
    <w:qFormat/>
    <w:rPr>
      <w:rFonts w:ascii="宋体" w:hAnsi="宋体"/>
      <w:b/>
      <w:color w:val="000000"/>
      <w:kern w:val="2"/>
      <w:sz w:val="28"/>
      <w:szCs w:val="28"/>
    </w:rPr>
  </w:style>
  <w:style w:type="paragraph" w:customStyle="1" w:styleId="1ffffff2">
    <w:name w:val="样式 标题1"/>
    <w:basedOn w:val="a9"/>
    <w:link w:val="1CharChar9"/>
    <w:qFormat/>
    <w:pPr>
      <w:tabs>
        <w:tab w:val="left" w:pos="360"/>
        <w:tab w:val="left" w:pos="425"/>
      </w:tabs>
      <w:spacing w:line="360" w:lineRule="auto"/>
      <w:ind w:left="360" w:hanging="360"/>
      <w:outlineLvl w:val="0"/>
    </w:pPr>
    <w:rPr>
      <w:rFonts w:ascii="宋体" w:hAnsi="宋体"/>
      <w:b/>
      <w:color w:val="000000"/>
      <w:kern w:val="2"/>
      <w:sz w:val="28"/>
      <w:szCs w:val="28"/>
    </w:rPr>
  </w:style>
  <w:style w:type="paragraph" w:customStyle="1" w:styleId="reader-word-layerreader-word-s1-19">
    <w:name w:val="reader-word-layer reader-word-s1-19"/>
    <w:basedOn w:val="a9"/>
    <w:qFormat/>
    <w:pPr>
      <w:widowControl/>
      <w:spacing w:before="100" w:beforeAutospacing="1" w:after="100" w:afterAutospacing="1"/>
      <w:jc w:val="left"/>
    </w:pPr>
    <w:rPr>
      <w:rFonts w:ascii="宋体" w:hAnsi="宋体" w:cs="宋体"/>
      <w:sz w:val="24"/>
      <w:szCs w:val="24"/>
    </w:rPr>
  </w:style>
  <w:style w:type="character" w:customStyle="1" w:styleId="CharChar35">
    <w:name w:val="普通文字 Char Char3"/>
    <w:qFormat/>
    <w:locked/>
    <w:rPr>
      <w:rFonts w:ascii="宋体" w:eastAsia="宋体" w:hAnsi="Courier New"/>
      <w:kern w:val="2"/>
      <w:sz w:val="21"/>
      <w:lang w:val="en-US" w:eastAsia="zh-CN" w:bidi="ar-SA"/>
    </w:rPr>
  </w:style>
  <w:style w:type="character" w:customStyle="1" w:styleId="123YJCharChar">
    <w:name w:val="123YJ Char Char"/>
    <w:qFormat/>
    <w:rPr>
      <w:rFonts w:eastAsia="宋体"/>
      <w:kern w:val="2"/>
      <w:sz w:val="18"/>
      <w:szCs w:val="18"/>
      <w:lang w:val="en-US" w:eastAsia="zh-CN" w:bidi="ar-SA"/>
    </w:rPr>
  </w:style>
  <w:style w:type="character" w:customStyle="1" w:styleId="CharChar321">
    <w:name w:val="Char Char321"/>
    <w:qFormat/>
    <w:rPr>
      <w:rFonts w:eastAsia="宋体"/>
      <w:kern w:val="2"/>
      <w:sz w:val="18"/>
      <w:szCs w:val="18"/>
      <w:lang w:val="en-US" w:eastAsia="zh-CN" w:bidi="ar-SA"/>
    </w:rPr>
  </w:style>
  <w:style w:type="character" w:customStyle="1" w:styleId="CharCharf8">
    <w:name w:val="表 头 Char Char"/>
    <w:qFormat/>
    <w:rPr>
      <w:rFonts w:ascii="Arial" w:eastAsia="黑体" w:hAnsi="Arial"/>
      <w:b/>
      <w:color w:val="0000FF"/>
    </w:rPr>
  </w:style>
  <w:style w:type="character" w:customStyle="1" w:styleId="2CharChar0">
    <w:name w:val="样式2 Char Char"/>
    <w:qFormat/>
    <w:rPr>
      <w:rFonts w:ascii="Arial" w:eastAsia="宋体" w:hAnsi="Arial" w:cs="Arial"/>
      <w:b/>
      <w:kern w:val="2"/>
      <w:sz w:val="24"/>
      <w:szCs w:val="24"/>
      <w:lang w:val="en-US" w:eastAsia="zh-CN" w:bidi="ar-SA"/>
    </w:rPr>
  </w:style>
  <w:style w:type="character" w:customStyle="1" w:styleId="CharCharf9">
    <w:name w:val="表、图名 Char Char"/>
    <w:link w:val="affffffffffffffffffffff3"/>
    <w:qFormat/>
    <w:rPr>
      <w:rFonts w:eastAsia="黑体"/>
      <w:sz w:val="21"/>
      <w:szCs w:val="21"/>
    </w:rPr>
  </w:style>
  <w:style w:type="paragraph" w:customStyle="1" w:styleId="affffffffffffffffffffff3">
    <w:name w:val="表、图名"/>
    <w:basedOn w:val="a9"/>
    <w:link w:val="CharCharf9"/>
    <w:qFormat/>
    <w:pPr>
      <w:adjustRightInd w:val="0"/>
      <w:snapToGrid w:val="0"/>
      <w:jc w:val="center"/>
    </w:pPr>
    <w:rPr>
      <w:rFonts w:eastAsia="黑体"/>
      <w:sz w:val="21"/>
      <w:szCs w:val="21"/>
    </w:rPr>
  </w:style>
  <w:style w:type="character" w:customStyle="1" w:styleId="9CharChar">
    <w:name w:val="标题 9 Char Char"/>
    <w:qFormat/>
    <w:rPr>
      <w:rFonts w:ascii="Arial" w:eastAsia="黑体" w:hAnsi="Arial"/>
      <w:kern w:val="2"/>
      <w:sz w:val="21"/>
      <w:szCs w:val="21"/>
      <w:lang w:val="en-US" w:eastAsia="zh-CN" w:bidi="ar-SA"/>
    </w:rPr>
  </w:style>
  <w:style w:type="character" w:customStyle="1" w:styleId="ACharChar">
    <w:name w:val="表格A Char Char"/>
    <w:qFormat/>
    <w:rPr>
      <w:kern w:val="2"/>
      <w:sz w:val="21"/>
    </w:rPr>
  </w:style>
  <w:style w:type="character" w:customStyle="1" w:styleId="CharCharfa">
    <w:name w:val="图框 Char Char"/>
    <w:qFormat/>
    <w:rPr>
      <w:rFonts w:ascii="Arial" w:eastAsia="宋体" w:hAnsi="Arial"/>
      <w:kern w:val="2"/>
      <w:sz w:val="21"/>
      <w:szCs w:val="21"/>
      <w:lang w:val="en-US" w:eastAsia="zh-CN" w:bidi="ar-SA"/>
    </w:rPr>
  </w:style>
  <w:style w:type="character" w:customStyle="1" w:styleId="1CharCharChar3">
    <w:name w:val="样式1 Char Char Char"/>
    <w:qFormat/>
    <w:rPr>
      <w:rFonts w:ascii="Arial" w:eastAsia="宋体" w:hAnsi="Arial" w:cs="Arial"/>
      <w:color w:val="000000"/>
      <w:kern w:val="2"/>
      <w:sz w:val="24"/>
      <w:szCs w:val="24"/>
      <w:lang w:val="en-US" w:eastAsia="zh-CN" w:bidi="ar-SA"/>
    </w:rPr>
  </w:style>
  <w:style w:type="character" w:customStyle="1" w:styleId="1CharChara">
    <w:name w:val="样式 表头样式1 + 非加粗 Char Char"/>
    <w:qFormat/>
    <w:rPr>
      <w:rFonts w:eastAsia="黑体" w:hAnsi="黑体"/>
      <w:b/>
      <w:kern w:val="2"/>
      <w:sz w:val="24"/>
      <w:lang w:val="en-US" w:eastAsia="zh-CN" w:bidi="ar-SA"/>
    </w:rPr>
  </w:style>
  <w:style w:type="character" w:customStyle="1" w:styleId="CharCharChar5">
    <w:name w:val="表头 Char Char Char"/>
    <w:qFormat/>
    <w:rPr>
      <w:rFonts w:ascii="Arial" w:eastAsia="黑体" w:hAnsi="Arial"/>
      <w:b/>
      <w:kern w:val="2"/>
      <w:sz w:val="21"/>
      <w:szCs w:val="24"/>
      <w:lang w:val="en-US" w:eastAsia="zh-CN" w:bidi="ar-SA"/>
    </w:rPr>
  </w:style>
  <w:style w:type="character" w:customStyle="1" w:styleId="5CharChar">
    <w:name w:val="表格（小5号） Char Char"/>
    <w:link w:val="5f2"/>
    <w:qFormat/>
    <w:rPr>
      <w:rFonts w:ascii="Arial" w:hAnsi="Arial"/>
      <w:color w:val="000000"/>
      <w:kern w:val="18"/>
      <w:sz w:val="18"/>
    </w:rPr>
  </w:style>
  <w:style w:type="paragraph" w:customStyle="1" w:styleId="5f2">
    <w:name w:val="表格（小5号）"/>
    <w:basedOn w:val="a9"/>
    <w:link w:val="5CharChar"/>
    <w:qFormat/>
    <w:pPr>
      <w:tabs>
        <w:tab w:val="left" w:pos="900"/>
      </w:tabs>
      <w:spacing w:line="240" w:lineRule="atLeast"/>
      <w:jc w:val="center"/>
    </w:pPr>
    <w:rPr>
      <w:rFonts w:ascii="Arial" w:hAnsi="Arial"/>
      <w:color w:val="000000"/>
      <w:kern w:val="18"/>
      <w:sz w:val="18"/>
    </w:rPr>
  </w:style>
  <w:style w:type="character" w:customStyle="1" w:styleId="Char1">
    <w:name w:val="宏文本 Char"/>
    <w:link w:val="af2"/>
    <w:qFormat/>
    <w:rPr>
      <w:rFonts w:ascii="Courier New" w:hAnsi="Courier New" w:cs="Courier New"/>
      <w:kern w:val="2"/>
      <w:sz w:val="24"/>
      <w:szCs w:val="24"/>
    </w:rPr>
  </w:style>
  <w:style w:type="paragraph" w:customStyle="1" w:styleId="visio">
    <w:name w:val="visio图"/>
    <w:basedOn w:val="a9"/>
    <w:qFormat/>
    <w:pPr>
      <w:tabs>
        <w:tab w:val="left" w:pos="1418"/>
      </w:tabs>
      <w:spacing w:line="360" w:lineRule="auto"/>
      <w:jc w:val="center"/>
    </w:pPr>
    <w:rPr>
      <w:rFonts w:ascii="Arial" w:eastAsia="黑体" w:hAnsi="Arial"/>
      <w:b/>
      <w:kern w:val="2"/>
      <w:sz w:val="21"/>
      <w:szCs w:val="24"/>
    </w:rPr>
  </w:style>
  <w:style w:type="paragraph" w:customStyle="1" w:styleId="New">
    <w:name w:val="君邦正文 New"/>
    <w:qFormat/>
    <w:pPr>
      <w:spacing w:after="60" w:line="360" w:lineRule="auto"/>
      <w:ind w:firstLineChars="200" w:firstLine="480"/>
      <w:jc w:val="both"/>
    </w:pPr>
    <w:rPr>
      <w:bCs/>
      <w:snapToGrid w:val="0"/>
      <w:kern w:val="2"/>
      <w:sz w:val="24"/>
      <w:szCs w:val="22"/>
    </w:rPr>
  </w:style>
  <w:style w:type="paragraph" w:customStyle="1" w:styleId="NewNewNew">
    <w:name w:val="正文 New New New"/>
    <w:qFormat/>
    <w:pPr>
      <w:widowControl w:val="0"/>
      <w:jc w:val="both"/>
    </w:pPr>
    <w:rPr>
      <w:kern w:val="2"/>
      <w:sz w:val="21"/>
      <w:szCs w:val="24"/>
    </w:rPr>
  </w:style>
  <w:style w:type="paragraph" w:customStyle="1" w:styleId="1NewNew">
    <w:name w:val="样式1 New New"/>
    <w:basedOn w:val="NewNew"/>
    <w:qFormat/>
    <w:pPr>
      <w:spacing w:line="500" w:lineRule="exact"/>
      <w:ind w:firstLineChars="200" w:firstLine="420"/>
    </w:pPr>
    <w:rPr>
      <w:rFonts w:ascii="Arial" w:hAnsi="Arial" w:cs="Arial"/>
      <w:sz w:val="24"/>
    </w:rPr>
  </w:style>
  <w:style w:type="paragraph" w:customStyle="1" w:styleId="NewNew">
    <w:name w:val="正文 New New"/>
    <w:qFormat/>
    <w:pPr>
      <w:widowControl w:val="0"/>
      <w:jc w:val="both"/>
    </w:pPr>
    <w:rPr>
      <w:kern w:val="2"/>
      <w:sz w:val="21"/>
      <w:szCs w:val="24"/>
    </w:rPr>
  </w:style>
  <w:style w:type="paragraph" w:customStyle="1" w:styleId="affffffffffffffffffffff4">
    <w:name w:val="表格产业园"/>
    <w:basedOn w:val="a9"/>
    <w:qFormat/>
    <w:pPr>
      <w:widowControl/>
      <w:jc w:val="center"/>
    </w:pPr>
    <w:rPr>
      <w:rFonts w:ascii="宋体" w:hAnsi="宋体"/>
      <w:color w:val="000000"/>
      <w:kern w:val="2"/>
      <w:sz w:val="21"/>
      <w:szCs w:val="21"/>
    </w:rPr>
  </w:style>
  <w:style w:type="paragraph" w:customStyle="1" w:styleId="NormalNewNewNewNewNewNewNewNewNewNewNew">
    <w:name w:val="Normal New New New New New New New New New New New"/>
    <w:qFormat/>
    <w:pPr>
      <w:jc w:val="both"/>
    </w:pPr>
    <w:rPr>
      <w:kern w:val="2"/>
      <w:sz w:val="21"/>
    </w:rPr>
  </w:style>
  <w:style w:type="paragraph" w:customStyle="1" w:styleId="1NewNew0">
    <w:name w:val="表头样式1 New New"/>
    <w:basedOn w:val="a9"/>
    <w:qFormat/>
    <w:pPr>
      <w:spacing w:beforeLines="50"/>
      <w:jc w:val="center"/>
    </w:pPr>
    <w:rPr>
      <w:rFonts w:eastAsia="黑体"/>
      <w:b/>
      <w:kern w:val="2"/>
      <w:sz w:val="24"/>
      <w:szCs w:val="24"/>
    </w:rPr>
  </w:style>
  <w:style w:type="paragraph" w:customStyle="1" w:styleId="affffffffffffffffffffff5">
    <w:name w:val="注×："/>
    <w:qFormat/>
    <w:pPr>
      <w:widowControl w:val="0"/>
      <w:tabs>
        <w:tab w:val="left" w:pos="630"/>
      </w:tabs>
      <w:autoSpaceDE w:val="0"/>
      <w:autoSpaceDN w:val="0"/>
      <w:jc w:val="both"/>
    </w:pPr>
    <w:rPr>
      <w:rFonts w:ascii="宋体"/>
      <w:sz w:val="18"/>
    </w:rPr>
  </w:style>
  <w:style w:type="paragraph" w:customStyle="1" w:styleId="NormalNewNewNewNewNewNewNewNewNew">
    <w:name w:val="Normal New New New New New New New New New"/>
    <w:qFormat/>
    <w:pPr>
      <w:jc w:val="both"/>
    </w:pPr>
    <w:rPr>
      <w:kern w:val="2"/>
      <w:sz w:val="21"/>
    </w:rPr>
  </w:style>
  <w:style w:type="paragraph" w:customStyle="1" w:styleId="NewNew0">
    <w:name w:val="表头 New New"/>
    <w:basedOn w:val="a9"/>
    <w:qFormat/>
    <w:pPr>
      <w:spacing w:line="500" w:lineRule="exact"/>
      <w:jc w:val="center"/>
    </w:pPr>
    <w:rPr>
      <w:rFonts w:ascii="Arial" w:eastAsia="黑体" w:hAnsi="Arial"/>
      <w:b/>
      <w:kern w:val="2"/>
      <w:sz w:val="21"/>
      <w:szCs w:val="24"/>
    </w:rPr>
  </w:style>
  <w:style w:type="paragraph" w:customStyle="1" w:styleId="NormalNewNewNewNewNewNewNewNewNewNew">
    <w:name w:val="Normal New New New New New New New New New New"/>
    <w:qFormat/>
    <w:pPr>
      <w:jc w:val="both"/>
    </w:pPr>
    <w:rPr>
      <w:kern w:val="2"/>
      <w:sz w:val="21"/>
    </w:rPr>
  </w:style>
  <w:style w:type="paragraph" w:customStyle="1" w:styleId="5New">
    <w:name w:val="标题 5 New"/>
    <w:basedOn w:val="NewNewNewNewNew"/>
    <w:next w:val="NewNewNewNewNew"/>
    <w:qFormat/>
    <w:pPr>
      <w:keepNext/>
      <w:keepLines/>
      <w:spacing w:before="120" w:line="500" w:lineRule="exact"/>
      <w:outlineLvl w:val="4"/>
    </w:pPr>
    <w:rPr>
      <w:rFonts w:ascii="Arial" w:eastAsia="黑体" w:hAnsi="Arial"/>
      <w:b/>
      <w:bCs/>
      <w:sz w:val="24"/>
      <w:szCs w:val="28"/>
    </w:rPr>
  </w:style>
  <w:style w:type="paragraph" w:customStyle="1" w:styleId="NewNewNewNewNew">
    <w:name w:val="正文 New New New New New"/>
    <w:qFormat/>
    <w:pPr>
      <w:widowControl w:val="0"/>
      <w:jc w:val="both"/>
    </w:pPr>
    <w:rPr>
      <w:kern w:val="2"/>
      <w:sz w:val="21"/>
      <w:szCs w:val="24"/>
    </w:rPr>
  </w:style>
  <w:style w:type="paragraph" w:customStyle="1" w:styleId="NormalNewNewNewNewNew">
    <w:name w:val="Normal New New New New New"/>
    <w:qFormat/>
    <w:pPr>
      <w:jc w:val="both"/>
    </w:pPr>
    <w:rPr>
      <w:kern w:val="2"/>
      <w:sz w:val="21"/>
    </w:rPr>
  </w:style>
  <w:style w:type="paragraph" w:customStyle="1" w:styleId="NormalNewNewNewNewNewNewNewNewNewNewNewNewNewNewNewNewNewNew">
    <w:name w:val="Normal New New New New New New New New New New New New New New New New New New"/>
    <w:qFormat/>
    <w:pPr>
      <w:jc w:val="both"/>
    </w:pPr>
    <w:rPr>
      <w:kern w:val="2"/>
      <w:sz w:val="21"/>
    </w:rPr>
  </w:style>
  <w:style w:type="paragraph" w:customStyle="1" w:styleId="NormalNewNewNewNewNewNewNewNewNewNewNewNew">
    <w:name w:val="Normal New New New New New New New New New New New New"/>
    <w:qFormat/>
    <w:pPr>
      <w:jc w:val="both"/>
    </w:pPr>
    <w:rPr>
      <w:kern w:val="2"/>
      <w:sz w:val="21"/>
    </w:rPr>
  </w:style>
  <w:style w:type="paragraph" w:customStyle="1" w:styleId="p16">
    <w:name w:val="p16"/>
    <w:basedOn w:val="a9"/>
    <w:qFormat/>
    <w:pPr>
      <w:widowControl/>
      <w:spacing w:line="500" w:lineRule="atLeast"/>
      <w:ind w:firstLine="420"/>
      <w:jc w:val="left"/>
    </w:pPr>
    <w:rPr>
      <w:rFonts w:ascii="Arial" w:hAnsi="Arial" w:cs="Arial"/>
      <w:color w:val="000000"/>
      <w:sz w:val="24"/>
      <w:szCs w:val="24"/>
    </w:rPr>
  </w:style>
  <w:style w:type="paragraph" w:customStyle="1" w:styleId="5NewNew">
    <w:name w:val="标题 5 New New"/>
    <w:basedOn w:val="a9"/>
    <w:next w:val="New0"/>
    <w:qFormat/>
    <w:pPr>
      <w:keepNext/>
      <w:numPr>
        <w:ilvl w:val="4"/>
        <w:numId w:val="11"/>
      </w:numPr>
      <w:tabs>
        <w:tab w:val="left" w:pos="974"/>
      </w:tabs>
      <w:spacing w:after="60" w:line="360" w:lineRule="auto"/>
      <w:ind w:left="974" w:hanging="974"/>
      <w:outlineLvl w:val="4"/>
    </w:pPr>
    <w:rPr>
      <w:b/>
      <w:kern w:val="2"/>
      <w:sz w:val="24"/>
      <w:szCs w:val="24"/>
    </w:rPr>
  </w:style>
  <w:style w:type="paragraph" w:customStyle="1" w:styleId="New0">
    <w:name w:val="正文缩进 New"/>
    <w:basedOn w:val="a9"/>
    <w:qFormat/>
    <w:pPr>
      <w:spacing w:line="360" w:lineRule="auto"/>
      <w:ind w:firstLine="482"/>
    </w:pPr>
    <w:rPr>
      <w:kern w:val="2"/>
      <w:sz w:val="24"/>
      <w:szCs w:val="24"/>
    </w:rPr>
  </w:style>
  <w:style w:type="paragraph" w:customStyle="1" w:styleId="NewNewNewNew">
    <w:name w:val="君邦正文 New New New New"/>
    <w:qFormat/>
    <w:pPr>
      <w:spacing w:after="60" w:line="360" w:lineRule="auto"/>
      <w:ind w:firstLineChars="200" w:firstLine="480"/>
      <w:jc w:val="both"/>
    </w:pPr>
    <w:rPr>
      <w:bCs/>
      <w:snapToGrid w:val="0"/>
      <w:sz w:val="24"/>
    </w:rPr>
  </w:style>
  <w:style w:type="paragraph" w:customStyle="1" w:styleId="CharCharCharCharCharChar1CharCharCharCharCharChar1Char">
    <w:name w:val="Char Char Char Char Char Char1 Char Char Char Char Char Char1 Char"/>
    <w:basedOn w:val="a9"/>
    <w:qFormat/>
    <w:pPr>
      <w:spacing w:afterLines="50" w:line="560" w:lineRule="exact"/>
    </w:pPr>
    <w:rPr>
      <w:rFonts w:eastAsia="黑体"/>
      <w:kern w:val="2"/>
      <w:sz w:val="30"/>
      <w:szCs w:val="30"/>
    </w:rPr>
  </w:style>
  <w:style w:type="paragraph" w:customStyle="1" w:styleId="New1">
    <w:name w:val="表内格式 New"/>
    <w:basedOn w:val="a9"/>
    <w:qFormat/>
    <w:pPr>
      <w:jc w:val="center"/>
    </w:pPr>
    <w:rPr>
      <w:kern w:val="2"/>
      <w:sz w:val="18"/>
      <w:szCs w:val="24"/>
    </w:rPr>
  </w:style>
  <w:style w:type="paragraph" w:customStyle="1" w:styleId="CharCharCharCharCharChar1CharCharCharCharCharChar1Char1">
    <w:name w:val="Char Char Char Char Char Char1 Char Char Char Char Char Char1 Char1"/>
    <w:basedOn w:val="a9"/>
    <w:qFormat/>
    <w:pPr>
      <w:spacing w:afterLines="50" w:line="560" w:lineRule="exact"/>
    </w:pPr>
    <w:rPr>
      <w:rFonts w:eastAsia="黑体"/>
      <w:kern w:val="2"/>
      <w:sz w:val="30"/>
      <w:szCs w:val="30"/>
    </w:rPr>
  </w:style>
  <w:style w:type="paragraph" w:customStyle="1" w:styleId="NormalNewNewNewNew">
    <w:name w:val="Normal New New New New"/>
    <w:qFormat/>
    <w:pPr>
      <w:jc w:val="both"/>
    </w:pPr>
    <w:rPr>
      <w:kern w:val="2"/>
      <w:sz w:val="21"/>
    </w:rPr>
  </w:style>
  <w:style w:type="paragraph" w:customStyle="1" w:styleId="NormalNewNewNewNewNewNewNewNewNewNewNewNewNewNewNewNewNewNewNewNewNewNew">
    <w:name w:val="Normal New New New New New New New New New New New New New New New New New New New New New New"/>
    <w:qFormat/>
    <w:pPr>
      <w:jc w:val="both"/>
    </w:pPr>
    <w:rPr>
      <w:kern w:val="2"/>
      <w:sz w:val="21"/>
    </w:rPr>
  </w:style>
  <w:style w:type="paragraph" w:customStyle="1" w:styleId="NormalNewNewNewNewNewNewNewNew">
    <w:name w:val="Normal New New New New New New New New"/>
    <w:qFormat/>
    <w:pPr>
      <w:jc w:val="both"/>
    </w:pPr>
    <w:rPr>
      <w:kern w:val="2"/>
      <w:sz w:val="21"/>
    </w:rPr>
  </w:style>
  <w:style w:type="paragraph" w:customStyle="1" w:styleId="1NewNewNew">
    <w:name w:val="样式1 New New New"/>
    <w:basedOn w:val="NewNewNew"/>
    <w:qFormat/>
    <w:pPr>
      <w:spacing w:line="500" w:lineRule="exact"/>
      <w:ind w:firstLineChars="200" w:firstLine="420"/>
    </w:pPr>
    <w:rPr>
      <w:rFonts w:ascii="Arial" w:hAnsi="Arial" w:cs="Arial"/>
      <w:sz w:val="24"/>
    </w:rPr>
  </w:style>
  <w:style w:type="paragraph" w:customStyle="1" w:styleId="p17">
    <w:name w:val="p17"/>
    <w:basedOn w:val="a9"/>
    <w:qFormat/>
    <w:pPr>
      <w:widowControl/>
      <w:spacing w:after="60" w:line="360" w:lineRule="auto"/>
      <w:ind w:firstLine="420"/>
    </w:pPr>
    <w:rPr>
      <w:sz w:val="24"/>
      <w:szCs w:val="24"/>
    </w:rPr>
  </w:style>
  <w:style w:type="paragraph" w:customStyle="1" w:styleId="1ffffff3">
    <w:name w:val="表格 1"/>
    <w:basedOn w:val="afffff5"/>
    <w:qFormat/>
    <w:rPr>
      <w:rFonts w:ascii="Arial" w:hAnsi="Arial" w:cs="宋体"/>
      <w:kern w:val="2"/>
      <w:szCs w:val="20"/>
    </w:rPr>
  </w:style>
  <w:style w:type="paragraph" w:customStyle="1" w:styleId="4New">
    <w:name w:val="标题 4 New"/>
    <w:basedOn w:val="NewNewNewNewNew"/>
    <w:next w:val="NewNewNewNewNew"/>
    <w:qFormat/>
    <w:pPr>
      <w:keepNext/>
      <w:keepLines/>
      <w:spacing w:before="180" w:after="60" w:line="500" w:lineRule="exact"/>
      <w:outlineLvl w:val="3"/>
    </w:pPr>
    <w:rPr>
      <w:rFonts w:ascii="Arial" w:eastAsia="黑体" w:hAnsi="Arial"/>
      <w:b/>
      <w:bCs/>
      <w:sz w:val="28"/>
      <w:szCs w:val="28"/>
    </w:rPr>
  </w:style>
  <w:style w:type="paragraph" w:customStyle="1" w:styleId="p21">
    <w:name w:val="p21"/>
    <w:basedOn w:val="a9"/>
    <w:qFormat/>
    <w:pPr>
      <w:widowControl/>
      <w:spacing w:after="60" w:line="360" w:lineRule="auto"/>
      <w:ind w:firstLine="420"/>
    </w:pPr>
    <w:rPr>
      <w:rFonts w:ascii="Calibri" w:hAnsi="Calibri" w:cs="宋体"/>
      <w:sz w:val="24"/>
      <w:szCs w:val="24"/>
    </w:rPr>
  </w:style>
  <w:style w:type="paragraph" w:customStyle="1" w:styleId="NormalNewNewNewNewNewNewNewNewNewNewNewNewNew">
    <w:name w:val="Normal New New New New New New New New New New New New New"/>
    <w:qFormat/>
    <w:pPr>
      <w:jc w:val="both"/>
    </w:pPr>
    <w:rPr>
      <w:kern w:val="2"/>
      <w:sz w:val="21"/>
    </w:rPr>
  </w:style>
  <w:style w:type="paragraph" w:customStyle="1" w:styleId="NewNewNewNewNewNew">
    <w:name w:val="正文 New New New New New New"/>
    <w:qFormat/>
    <w:pPr>
      <w:widowControl w:val="0"/>
      <w:jc w:val="both"/>
    </w:pPr>
    <w:rPr>
      <w:kern w:val="2"/>
      <w:sz w:val="21"/>
      <w:szCs w:val="24"/>
    </w:rPr>
  </w:style>
  <w:style w:type="paragraph" w:customStyle="1" w:styleId="NormalNewNew">
    <w:name w:val="Normal New New"/>
    <w:qFormat/>
    <w:pPr>
      <w:jc w:val="both"/>
    </w:pPr>
    <w:rPr>
      <w:kern w:val="2"/>
      <w:sz w:val="21"/>
    </w:rPr>
  </w:style>
  <w:style w:type="paragraph" w:customStyle="1" w:styleId="Style110">
    <w:name w:val="_Style 11"/>
    <w:basedOn w:val="a9"/>
    <w:next w:val="aff1"/>
    <w:rPr>
      <w:rFonts w:hAnsi="Courier New"/>
      <w:kern w:val="2"/>
      <w:sz w:val="21"/>
    </w:rPr>
  </w:style>
  <w:style w:type="paragraph" w:customStyle="1" w:styleId="NewNewNew0">
    <w:name w:val="君邦正文 New New New"/>
    <w:qFormat/>
    <w:pPr>
      <w:spacing w:after="60" w:line="360" w:lineRule="auto"/>
      <w:ind w:firstLineChars="200" w:firstLine="480"/>
      <w:jc w:val="both"/>
    </w:pPr>
    <w:rPr>
      <w:bCs/>
      <w:snapToGrid w:val="0"/>
      <w:sz w:val="24"/>
    </w:rPr>
  </w:style>
  <w:style w:type="paragraph" w:customStyle="1" w:styleId="NormalNewNewNewNewNewNewNewNewNewNewNewNewNewNewNewNew">
    <w:name w:val="Normal New New New New New New New New New New New New New New New New"/>
    <w:qFormat/>
    <w:pPr>
      <w:jc w:val="both"/>
    </w:pPr>
    <w:rPr>
      <w:kern w:val="2"/>
      <w:sz w:val="21"/>
    </w:rPr>
  </w:style>
  <w:style w:type="paragraph" w:customStyle="1" w:styleId="NormalNew">
    <w:name w:val="Normal New"/>
    <w:qFormat/>
    <w:pPr>
      <w:jc w:val="both"/>
    </w:pPr>
    <w:rPr>
      <w:kern w:val="2"/>
      <w:sz w:val="21"/>
    </w:rPr>
  </w:style>
  <w:style w:type="paragraph" w:customStyle="1" w:styleId="New2">
    <w:name w:val="表头 New"/>
    <w:basedOn w:val="a9"/>
    <w:qFormat/>
    <w:pPr>
      <w:spacing w:line="500" w:lineRule="exact"/>
      <w:jc w:val="center"/>
    </w:pPr>
    <w:rPr>
      <w:rFonts w:ascii="Arial" w:eastAsia="黑体" w:hAnsi="Arial"/>
      <w:b/>
      <w:kern w:val="2"/>
      <w:sz w:val="21"/>
      <w:szCs w:val="24"/>
    </w:rPr>
  </w:style>
  <w:style w:type="paragraph" w:customStyle="1" w:styleId="NormalNewNewNewNewNewNewNewNewNewNewNewNewNewNew">
    <w:name w:val="Normal New New New New New New New New New New New New New New"/>
    <w:qFormat/>
    <w:pPr>
      <w:jc w:val="both"/>
    </w:pPr>
    <w:rPr>
      <w:kern w:val="2"/>
      <w:sz w:val="21"/>
    </w:rPr>
  </w:style>
  <w:style w:type="paragraph" w:customStyle="1" w:styleId="NewNew1">
    <w:name w:val="表 头 New New"/>
    <w:basedOn w:val="NewNew"/>
    <w:qFormat/>
    <w:pPr>
      <w:tabs>
        <w:tab w:val="left" w:pos="1418"/>
      </w:tabs>
      <w:adjustRightInd w:val="0"/>
      <w:spacing w:before="120" w:after="120" w:line="360" w:lineRule="atLeast"/>
      <w:ind w:right="-120"/>
      <w:jc w:val="center"/>
    </w:pPr>
    <w:rPr>
      <w:rFonts w:ascii="Arial" w:eastAsia="黑体"/>
      <w:b/>
      <w:color w:val="0000FF"/>
    </w:rPr>
  </w:style>
  <w:style w:type="paragraph" w:customStyle="1" w:styleId="NormalNewNewNewNewNewNewNewNewNewNewNewNewNewNewNewNewNewNewNew">
    <w:name w:val="Normal New New New New New New New New New New New New New New New New New New New"/>
    <w:qFormat/>
    <w:pPr>
      <w:jc w:val="both"/>
    </w:pPr>
    <w:rPr>
      <w:kern w:val="2"/>
      <w:sz w:val="21"/>
    </w:rPr>
  </w:style>
  <w:style w:type="paragraph" w:customStyle="1" w:styleId="NormalNewNewNewNewNewNewNewNewNewNewNewNewNewNewNewNewNewNewNewNewNew">
    <w:name w:val="Normal New New New New New New New New New New New New New New New New New New New New New"/>
    <w:qFormat/>
    <w:pPr>
      <w:jc w:val="both"/>
    </w:pPr>
    <w:rPr>
      <w:kern w:val="2"/>
      <w:sz w:val="21"/>
    </w:rPr>
  </w:style>
  <w:style w:type="paragraph" w:customStyle="1" w:styleId="1New">
    <w:name w:val="表头样式1 New"/>
    <w:basedOn w:val="NewNew"/>
    <w:qFormat/>
    <w:pPr>
      <w:spacing w:beforeLines="50"/>
      <w:jc w:val="center"/>
    </w:pPr>
    <w:rPr>
      <w:rFonts w:eastAsia="黑体"/>
      <w:b/>
      <w:sz w:val="24"/>
    </w:rPr>
  </w:style>
  <w:style w:type="paragraph" w:customStyle="1" w:styleId="NormalNewNewNew">
    <w:name w:val="Normal New New New"/>
    <w:qFormat/>
    <w:pPr>
      <w:jc w:val="both"/>
    </w:pPr>
    <w:rPr>
      <w:kern w:val="2"/>
      <w:sz w:val="21"/>
    </w:rPr>
  </w:style>
  <w:style w:type="paragraph" w:customStyle="1" w:styleId="NormalNewNewNewNewNewNewNewNewNewNewNewNewNewNewNew">
    <w:name w:val="Normal New New New New New New New New New New New New New New New"/>
    <w:qFormat/>
    <w:pPr>
      <w:jc w:val="both"/>
    </w:pPr>
    <w:rPr>
      <w:kern w:val="2"/>
      <w:sz w:val="21"/>
    </w:rPr>
  </w:style>
  <w:style w:type="paragraph" w:customStyle="1" w:styleId="010">
    <w:name w:val="正文01"/>
    <w:basedOn w:val="a9"/>
    <w:qFormat/>
    <w:pPr>
      <w:spacing w:before="60" w:line="460" w:lineRule="exact"/>
      <w:ind w:firstLineChars="200" w:firstLine="200"/>
    </w:pPr>
    <w:rPr>
      <w:kern w:val="2"/>
      <w:sz w:val="24"/>
      <w:szCs w:val="24"/>
    </w:rPr>
  </w:style>
  <w:style w:type="paragraph" w:customStyle="1" w:styleId="NewNew2">
    <w:name w:val="君邦正文 New New"/>
    <w:qFormat/>
    <w:pPr>
      <w:spacing w:after="60" w:line="360" w:lineRule="auto"/>
      <w:ind w:firstLineChars="200" w:firstLine="480"/>
      <w:jc w:val="both"/>
    </w:pPr>
    <w:rPr>
      <w:bCs/>
      <w:snapToGrid w:val="0"/>
      <w:kern w:val="2"/>
      <w:sz w:val="24"/>
      <w:szCs w:val="22"/>
    </w:rPr>
  </w:style>
  <w:style w:type="paragraph" w:customStyle="1" w:styleId="NormalNewNewNewNewNewNewNewNewNewNewNewNewNewNewNewNewNew">
    <w:name w:val="Normal New New New New New New New New New New New New New New New New New"/>
    <w:qFormat/>
    <w:pPr>
      <w:jc w:val="both"/>
    </w:pPr>
    <w:rPr>
      <w:kern w:val="2"/>
      <w:sz w:val="21"/>
    </w:rPr>
  </w:style>
  <w:style w:type="character" w:customStyle="1" w:styleId="CharChar342">
    <w:name w:val="Char Char342"/>
    <w:qFormat/>
    <w:rPr>
      <w:kern w:val="2"/>
      <w:sz w:val="18"/>
      <w:szCs w:val="18"/>
    </w:rPr>
  </w:style>
  <w:style w:type="paragraph" w:customStyle="1" w:styleId="TOC2">
    <w:name w:val="TOC 标题2"/>
    <w:basedOn w:val="1"/>
    <w:next w:val="a9"/>
    <w:uiPriority w:val="39"/>
    <w:unhideWhenUsed/>
    <w:qFormat/>
    <w:pPr>
      <w:pageBreakBefore w:val="0"/>
      <w:widowControl/>
      <w:numPr>
        <w:numId w:val="0"/>
      </w:numPr>
      <w:spacing w:before="480" w:after="0" w:line="276" w:lineRule="auto"/>
      <w:jc w:val="center"/>
      <w:outlineLvl w:val="9"/>
    </w:pPr>
    <w:rPr>
      <w:rFonts w:ascii="Cambria" w:hAnsi="Cambria"/>
      <w:bCs/>
      <w:color w:val="365F91"/>
      <w:kern w:val="0"/>
      <w:szCs w:val="28"/>
    </w:rPr>
  </w:style>
  <w:style w:type="character" w:customStyle="1" w:styleId="bg">
    <w:name w:val="bg"/>
    <w:qFormat/>
    <w:rPr>
      <w:color w:val="FFFFFF"/>
      <w:sz w:val="33"/>
      <w:szCs w:val="33"/>
      <w:shd w:val="clear" w:color="auto" w:fill="A30000"/>
    </w:rPr>
  </w:style>
  <w:style w:type="character" w:customStyle="1" w:styleId="bdsmore1">
    <w:name w:val="bds_more1"/>
    <w:qFormat/>
  </w:style>
  <w:style w:type="character" w:customStyle="1" w:styleId="font111">
    <w:name w:val="font111"/>
    <w:qFormat/>
    <w:rPr>
      <w:rFonts w:ascii="Times New Roman" w:hAnsi="Times New Roman" w:cs="Times New Roman" w:hint="default"/>
      <w:color w:val="000000"/>
      <w:sz w:val="24"/>
      <w:szCs w:val="24"/>
      <w:u w:val="none"/>
      <w:vertAlign w:val="superscript"/>
    </w:rPr>
  </w:style>
  <w:style w:type="character" w:customStyle="1" w:styleId="ydx">
    <w:name w:val="ydx"/>
    <w:qFormat/>
    <w:rPr>
      <w:shd w:val="clear" w:color="auto" w:fill="CC6600"/>
    </w:rPr>
  </w:style>
  <w:style w:type="character" w:customStyle="1" w:styleId="lab2">
    <w:name w:val="lab2"/>
    <w:qFormat/>
  </w:style>
  <w:style w:type="character" w:customStyle="1" w:styleId="btna-s3">
    <w:name w:val="btna-s3"/>
    <w:qFormat/>
    <w:rPr>
      <w:color w:val="FFFFFF"/>
      <w:u w:val="none"/>
      <w:shd w:val="clear" w:color="auto" w:fill="0378C8"/>
    </w:rPr>
  </w:style>
  <w:style w:type="character" w:customStyle="1" w:styleId="lab">
    <w:name w:val="lab"/>
    <w:qFormat/>
  </w:style>
  <w:style w:type="character" w:customStyle="1" w:styleId="skim1">
    <w:name w:val="skim1"/>
    <w:qFormat/>
  </w:style>
  <w:style w:type="character" w:customStyle="1" w:styleId="bdsnopic">
    <w:name w:val="bds_nopic"/>
    <w:qFormat/>
  </w:style>
  <w:style w:type="character" w:customStyle="1" w:styleId="btna-s9">
    <w:name w:val="btna-s9"/>
    <w:qFormat/>
    <w:rPr>
      <w:color w:val="FFFFFF"/>
      <w:u w:val="none"/>
    </w:rPr>
  </w:style>
  <w:style w:type="character" w:customStyle="1" w:styleId="zhiwen">
    <w:name w:val="zhiwen"/>
    <w:qFormat/>
  </w:style>
  <w:style w:type="character" w:customStyle="1" w:styleId="content">
    <w:name w:val="content"/>
    <w:qFormat/>
  </w:style>
  <w:style w:type="character" w:customStyle="1" w:styleId="orangebg">
    <w:name w:val="orangebg"/>
    <w:qFormat/>
  </w:style>
  <w:style w:type="character" w:customStyle="1" w:styleId="bg12">
    <w:name w:val="bg12"/>
    <w:qFormat/>
    <w:rPr>
      <w:color w:val="FFFFFF"/>
      <w:sz w:val="33"/>
      <w:szCs w:val="33"/>
      <w:shd w:val="clear" w:color="auto" w:fill="A30000"/>
    </w:rPr>
  </w:style>
  <w:style w:type="character" w:customStyle="1" w:styleId="here42">
    <w:name w:val="here42"/>
    <w:qFormat/>
    <w:rPr>
      <w:b/>
      <w:color w:val="FFFFFF"/>
      <w:sz w:val="24"/>
      <w:szCs w:val="24"/>
    </w:rPr>
  </w:style>
  <w:style w:type="character" w:customStyle="1" w:styleId="bdsmore3">
    <w:name w:val="bds_more3"/>
    <w:qFormat/>
    <w:rPr>
      <w:rFonts w:ascii="宋体" w:eastAsia="宋体" w:hAnsi="宋体" w:cs="宋体" w:hint="eastAsia"/>
    </w:rPr>
  </w:style>
  <w:style w:type="character" w:customStyle="1" w:styleId="buy">
    <w:name w:val="buy"/>
    <w:qFormat/>
  </w:style>
  <w:style w:type="character" w:customStyle="1" w:styleId="bdsmore6">
    <w:name w:val="bds_more6"/>
    <w:qFormat/>
  </w:style>
  <w:style w:type="character" w:customStyle="1" w:styleId="Charffffff6">
    <w:name w:val="样式 正文正文右 + Char"/>
    <w:link w:val="affffffffffffffffffffff6"/>
    <w:qFormat/>
    <w:rPr>
      <w:rFonts w:ascii="仿宋_GB2312" w:eastAsia="仿宋_GB2312" w:hAnsi="仿宋_GB2312"/>
      <w:sz w:val="28"/>
      <w:szCs w:val="24"/>
    </w:rPr>
  </w:style>
  <w:style w:type="paragraph" w:customStyle="1" w:styleId="affffffffffffffffffffff6">
    <w:name w:val="样式 正文正文右 +"/>
    <w:basedOn w:val="a9"/>
    <w:link w:val="Charffffff6"/>
    <w:qFormat/>
    <w:pPr>
      <w:widowControl/>
      <w:spacing w:line="360" w:lineRule="auto"/>
      <w:ind w:firstLineChars="200" w:firstLine="200"/>
      <w:jc w:val="left"/>
    </w:pPr>
    <w:rPr>
      <w:rFonts w:ascii="仿宋_GB2312" w:eastAsia="仿宋_GB2312" w:hAnsi="仿宋_GB2312"/>
      <w:sz w:val="28"/>
      <w:szCs w:val="24"/>
    </w:rPr>
  </w:style>
  <w:style w:type="character" w:customStyle="1" w:styleId="extendlink12">
    <w:name w:val="extendlink12"/>
    <w:qFormat/>
    <w:rPr>
      <w:sz w:val="18"/>
      <w:szCs w:val="18"/>
    </w:rPr>
  </w:style>
  <w:style w:type="character" w:customStyle="1" w:styleId="red8">
    <w:name w:val="red8"/>
    <w:qFormat/>
  </w:style>
  <w:style w:type="character" w:customStyle="1" w:styleId="biaoti">
    <w:name w:val="biaoti"/>
    <w:qFormat/>
  </w:style>
  <w:style w:type="character" w:customStyle="1" w:styleId="price">
    <w:name w:val="price"/>
    <w:qFormat/>
  </w:style>
  <w:style w:type="character" w:customStyle="1" w:styleId="bdsnopic1">
    <w:name w:val="bds_nopic1"/>
    <w:qFormat/>
  </w:style>
  <w:style w:type="character" w:customStyle="1" w:styleId="bg10">
    <w:name w:val="bg10"/>
    <w:qFormat/>
    <w:rPr>
      <w:color w:val="FFFFFF"/>
      <w:sz w:val="33"/>
      <w:szCs w:val="33"/>
      <w:shd w:val="clear" w:color="auto" w:fill="A30000"/>
    </w:rPr>
  </w:style>
  <w:style w:type="character" w:customStyle="1" w:styleId="sp2">
    <w:name w:val="sp2"/>
    <w:qFormat/>
  </w:style>
  <w:style w:type="character" w:customStyle="1" w:styleId="btna-s5">
    <w:name w:val="btna-s5"/>
    <w:qFormat/>
    <w:rPr>
      <w:color w:val="FFFFFF"/>
      <w:u w:val="none"/>
      <w:shd w:val="clear" w:color="auto" w:fill="0378C8"/>
    </w:rPr>
  </w:style>
  <w:style w:type="character" w:customStyle="1" w:styleId="l">
    <w:name w:val="l"/>
    <w:qFormat/>
  </w:style>
  <w:style w:type="character" w:customStyle="1" w:styleId="favor1">
    <w:name w:val="favor1"/>
    <w:qFormat/>
    <w:rPr>
      <w:color w:val="727171"/>
    </w:rPr>
  </w:style>
  <w:style w:type="character" w:customStyle="1" w:styleId="bdsmore5">
    <w:name w:val="bds_more5"/>
    <w:qFormat/>
  </w:style>
  <w:style w:type="character" w:customStyle="1" w:styleId="disabled2">
    <w:name w:val="disabled2"/>
    <w:qFormat/>
    <w:rPr>
      <w:color w:val="CCCCCC"/>
      <w:bdr w:val="single" w:sz="6" w:space="0" w:color="CCCCCC"/>
    </w:rPr>
  </w:style>
  <w:style w:type="character" w:customStyle="1" w:styleId="bdsmore2">
    <w:name w:val="bds_more2"/>
    <w:qFormat/>
  </w:style>
  <w:style w:type="character" w:customStyle="1" w:styleId="btna-s1">
    <w:name w:val="btna-s1"/>
    <w:qFormat/>
    <w:rPr>
      <w:u w:val="none"/>
    </w:rPr>
  </w:style>
  <w:style w:type="character" w:customStyle="1" w:styleId="first11">
    <w:name w:val="first11"/>
    <w:qFormat/>
  </w:style>
  <w:style w:type="character" w:customStyle="1" w:styleId="morelink5">
    <w:name w:val="morelink5"/>
    <w:qFormat/>
  </w:style>
  <w:style w:type="character" w:customStyle="1" w:styleId="btna-s">
    <w:name w:val="btna-s"/>
    <w:qFormat/>
    <w:rPr>
      <w:color w:val="FFFFFF"/>
      <w:u w:val="none"/>
    </w:rPr>
  </w:style>
  <w:style w:type="character" w:customStyle="1" w:styleId="price1">
    <w:name w:val="price1"/>
    <w:qFormat/>
  </w:style>
  <w:style w:type="character" w:customStyle="1" w:styleId="px14">
    <w:name w:val="px14"/>
    <w:qFormat/>
  </w:style>
  <w:style w:type="character" w:customStyle="1" w:styleId="btna-s2">
    <w:name w:val="btna-s2"/>
    <w:qFormat/>
    <w:rPr>
      <w:color w:val="000000"/>
      <w:u w:val="none"/>
    </w:rPr>
  </w:style>
  <w:style w:type="character" w:customStyle="1" w:styleId="r1">
    <w:name w:val="r1"/>
    <w:qFormat/>
  </w:style>
  <w:style w:type="character" w:customStyle="1" w:styleId="btna-s12">
    <w:name w:val="btna-s12"/>
    <w:qFormat/>
    <w:rPr>
      <w:color w:val="FFFFFF"/>
      <w:u w:val="none"/>
    </w:rPr>
  </w:style>
  <w:style w:type="character" w:customStyle="1" w:styleId="sp1">
    <w:name w:val="sp1"/>
    <w:qFormat/>
  </w:style>
  <w:style w:type="character" w:customStyle="1" w:styleId="red10">
    <w:name w:val="red10"/>
    <w:qFormat/>
  </w:style>
  <w:style w:type="character" w:customStyle="1" w:styleId="bsharetext">
    <w:name w:val="bsharetext"/>
    <w:qFormat/>
  </w:style>
  <w:style w:type="character" w:customStyle="1" w:styleId="btna-s11">
    <w:name w:val="btna-s11"/>
    <w:qFormat/>
    <w:rPr>
      <w:color w:val="666666"/>
      <w:u w:val="none"/>
    </w:rPr>
  </w:style>
  <w:style w:type="character" w:customStyle="1" w:styleId="fontstrikethrough">
    <w:name w:val="fontstrikethrough"/>
    <w:qFormat/>
    <w:rPr>
      <w:strike/>
    </w:rPr>
  </w:style>
  <w:style w:type="character" w:customStyle="1" w:styleId="extendlink14">
    <w:name w:val="extendlink14"/>
    <w:qFormat/>
    <w:rPr>
      <w:sz w:val="18"/>
      <w:szCs w:val="18"/>
    </w:rPr>
  </w:style>
  <w:style w:type="character" w:customStyle="1" w:styleId="morelink">
    <w:name w:val="morelink"/>
    <w:qFormat/>
  </w:style>
  <w:style w:type="character" w:customStyle="1" w:styleId="r">
    <w:name w:val="r"/>
    <w:qFormat/>
  </w:style>
  <w:style w:type="character" w:customStyle="1" w:styleId="red">
    <w:name w:val="red"/>
    <w:qFormat/>
  </w:style>
  <w:style w:type="character" w:customStyle="1" w:styleId="current">
    <w:name w:val="current"/>
    <w:qFormat/>
    <w:rPr>
      <w:b/>
      <w:color w:val="000000"/>
      <w:bdr w:val="single" w:sz="6" w:space="0" w:color="CCCCCC"/>
      <w:shd w:val="clear" w:color="auto" w:fill="E89954"/>
    </w:rPr>
  </w:style>
  <w:style w:type="character" w:customStyle="1" w:styleId="bdsmore">
    <w:name w:val="bds_more"/>
    <w:qFormat/>
    <w:rPr>
      <w:rFonts w:ascii="宋体" w:eastAsia="宋体" w:hAnsi="宋体" w:cs="宋体" w:hint="eastAsia"/>
    </w:rPr>
  </w:style>
  <w:style w:type="character" w:customStyle="1" w:styleId="favor">
    <w:name w:val="favor"/>
    <w:qFormat/>
    <w:rPr>
      <w:color w:val="727171"/>
    </w:rPr>
  </w:style>
  <w:style w:type="character" w:customStyle="1" w:styleId="skim2">
    <w:name w:val="skim2"/>
    <w:qFormat/>
  </w:style>
  <w:style w:type="character" w:customStyle="1" w:styleId="morelink1">
    <w:name w:val="morelink1"/>
    <w:qFormat/>
  </w:style>
  <w:style w:type="character" w:customStyle="1" w:styleId="morelink4">
    <w:name w:val="morelink4"/>
    <w:qFormat/>
  </w:style>
  <w:style w:type="character" w:customStyle="1" w:styleId="btna-s10">
    <w:name w:val="btna-s10"/>
    <w:qFormat/>
    <w:rPr>
      <w:color w:val="FFFFFF"/>
      <w:u w:val="none"/>
    </w:rPr>
  </w:style>
  <w:style w:type="character" w:customStyle="1" w:styleId="style41">
    <w:name w:val="style41"/>
    <w:qFormat/>
    <w:rPr>
      <w:rFonts w:ascii="宋体" w:eastAsia="宋体" w:hAnsi="宋体" w:hint="eastAsia"/>
    </w:rPr>
  </w:style>
  <w:style w:type="character" w:customStyle="1" w:styleId="buy1">
    <w:name w:val="buy1"/>
    <w:qFormat/>
  </w:style>
  <w:style w:type="character" w:customStyle="1" w:styleId="sp21">
    <w:name w:val="sp21"/>
    <w:qFormat/>
  </w:style>
  <w:style w:type="character" w:customStyle="1" w:styleId="c0">
    <w:name w:val="c"/>
    <w:qFormat/>
    <w:rPr>
      <w:color w:val="FFFFFF"/>
      <w:shd w:val="clear" w:color="auto" w:fill="94B5D2"/>
    </w:rPr>
  </w:style>
  <w:style w:type="character" w:customStyle="1" w:styleId="extendlink13">
    <w:name w:val="extendlink13"/>
    <w:qFormat/>
    <w:rPr>
      <w:sz w:val="18"/>
      <w:szCs w:val="18"/>
    </w:rPr>
  </w:style>
  <w:style w:type="character" w:customStyle="1" w:styleId="bdsnopic2">
    <w:name w:val="bds_nopic2"/>
    <w:qFormat/>
  </w:style>
  <w:style w:type="character" w:customStyle="1" w:styleId="h11">
    <w:name w:val="h11"/>
    <w:qFormat/>
    <w:rPr>
      <w:rFonts w:ascii="宋体" w:eastAsia="宋体" w:hAnsi="宋体" w:hint="eastAsia"/>
      <w:color w:val="666666"/>
      <w:sz w:val="24"/>
      <w:szCs w:val="24"/>
    </w:rPr>
  </w:style>
  <w:style w:type="character" w:customStyle="1" w:styleId="btn8">
    <w:name w:val="btn8"/>
    <w:qFormat/>
  </w:style>
  <w:style w:type="character" w:customStyle="1" w:styleId="btna-s6">
    <w:name w:val="btna-s6"/>
    <w:qFormat/>
    <w:rPr>
      <w:color w:val="FFFFFF"/>
      <w:u w:val="none"/>
      <w:shd w:val="clear" w:color="auto" w:fill="0378C8"/>
    </w:rPr>
  </w:style>
  <w:style w:type="character" w:customStyle="1" w:styleId="clh15">
    <w:name w:val="c lh15"/>
    <w:qFormat/>
  </w:style>
  <w:style w:type="character" w:customStyle="1" w:styleId="graybg">
    <w:name w:val="graybg"/>
    <w:qFormat/>
  </w:style>
  <w:style w:type="character" w:customStyle="1" w:styleId="extendlink15">
    <w:name w:val="extendlink15"/>
    <w:qFormat/>
    <w:rPr>
      <w:sz w:val="18"/>
      <w:szCs w:val="18"/>
    </w:rPr>
  </w:style>
  <w:style w:type="character" w:customStyle="1" w:styleId="morelink12">
    <w:name w:val="morelink12"/>
    <w:qFormat/>
  </w:style>
  <w:style w:type="character" w:customStyle="1" w:styleId="skim">
    <w:name w:val="skim"/>
    <w:qFormat/>
  </w:style>
  <w:style w:type="character" w:customStyle="1" w:styleId="morelink2">
    <w:name w:val="morelink2"/>
    <w:qFormat/>
  </w:style>
  <w:style w:type="character" w:customStyle="1" w:styleId="morelink3">
    <w:name w:val="morelink3"/>
    <w:qFormat/>
  </w:style>
  <w:style w:type="character" w:customStyle="1" w:styleId="btna-s8">
    <w:name w:val="btna-s8"/>
    <w:qFormat/>
    <w:rPr>
      <w:color w:val="FFFFFF"/>
      <w:u w:val="none"/>
    </w:rPr>
  </w:style>
  <w:style w:type="character" w:customStyle="1" w:styleId="btna-s4">
    <w:name w:val="btna-s4"/>
    <w:qFormat/>
    <w:rPr>
      <w:color w:val="0068B7"/>
      <w:u w:val="none"/>
      <w:shd w:val="clear" w:color="auto" w:fill="0378C8"/>
    </w:rPr>
  </w:style>
  <w:style w:type="character" w:customStyle="1" w:styleId="inv1">
    <w:name w:val="inv1"/>
    <w:qFormat/>
    <w:rPr>
      <w:color w:val="FFFFFF"/>
      <w:sz w:val="2"/>
      <w:szCs w:val="2"/>
    </w:rPr>
  </w:style>
  <w:style w:type="character" w:customStyle="1" w:styleId="biaodan011">
    <w:name w:val="biaodan011"/>
    <w:qFormat/>
    <w:rPr>
      <w:color w:val="000000"/>
      <w:sz w:val="18"/>
    </w:rPr>
  </w:style>
  <w:style w:type="character" w:customStyle="1" w:styleId="zcjy">
    <w:name w:val="zcjy"/>
    <w:qFormat/>
    <w:rPr>
      <w:shd w:val="clear" w:color="auto" w:fill="266EB4"/>
    </w:rPr>
  </w:style>
  <w:style w:type="character" w:customStyle="1" w:styleId="disabled1">
    <w:name w:val="disabled1"/>
    <w:qFormat/>
    <w:rPr>
      <w:color w:val="DDDDDD"/>
      <w:bdr w:val="single" w:sz="6" w:space="0" w:color="EEEEEE"/>
    </w:rPr>
  </w:style>
  <w:style w:type="character" w:customStyle="1" w:styleId="here36">
    <w:name w:val="here36"/>
    <w:qFormat/>
    <w:rPr>
      <w:b/>
      <w:color w:val="FFFFFF"/>
      <w:sz w:val="24"/>
      <w:szCs w:val="24"/>
    </w:rPr>
  </w:style>
  <w:style w:type="character" w:customStyle="1" w:styleId="Charffffff7">
    <w:name w:val="正文（首行缩进两字） Char"/>
    <w:qFormat/>
    <w:rPr>
      <w:rFonts w:eastAsia="宋体"/>
      <w:spacing w:val="20"/>
      <w:sz w:val="28"/>
      <w:lang w:val="en-US" w:eastAsia="zh-CN" w:bidi="ar-SA"/>
    </w:rPr>
  </w:style>
  <w:style w:type="character" w:customStyle="1" w:styleId="btn7">
    <w:name w:val="btn7"/>
    <w:qFormat/>
  </w:style>
  <w:style w:type="character" w:customStyle="1" w:styleId="lab1">
    <w:name w:val="lab1"/>
    <w:qFormat/>
  </w:style>
  <w:style w:type="character" w:customStyle="1" w:styleId="qq">
    <w:name w:val="qq"/>
    <w:qFormat/>
    <w:rPr>
      <w:color w:val="727171"/>
    </w:rPr>
  </w:style>
  <w:style w:type="character" w:customStyle="1" w:styleId="btna-s13">
    <w:name w:val="btna-s13"/>
    <w:qFormat/>
    <w:rPr>
      <w:color w:val="FFFFFF"/>
      <w:u w:val="none"/>
    </w:rPr>
  </w:style>
  <w:style w:type="character" w:customStyle="1" w:styleId="qq1">
    <w:name w:val="qq1"/>
    <w:qFormat/>
    <w:rPr>
      <w:color w:val="727171"/>
    </w:rPr>
  </w:style>
  <w:style w:type="character" w:customStyle="1" w:styleId="sp3">
    <w:name w:val="sp3"/>
    <w:qFormat/>
  </w:style>
  <w:style w:type="character" w:customStyle="1" w:styleId="extendlink17">
    <w:name w:val="extendlink17"/>
    <w:qFormat/>
    <w:rPr>
      <w:sz w:val="18"/>
      <w:szCs w:val="18"/>
    </w:rPr>
  </w:style>
  <w:style w:type="character" w:customStyle="1" w:styleId="Char1fa">
    <w:name w:val="正文文本 Char1"/>
    <w:qFormat/>
    <w:rPr>
      <w:kern w:val="2"/>
      <w:sz w:val="21"/>
      <w:szCs w:val="24"/>
    </w:rPr>
  </w:style>
  <w:style w:type="character" w:customStyle="1" w:styleId="extendlink16">
    <w:name w:val="extendlink16"/>
    <w:qFormat/>
    <w:rPr>
      <w:sz w:val="18"/>
      <w:szCs w:val="18"/>
    </w:rPr>
  </w:style>
  <w:style w:type="character" w:customStyle="1" w:styleId="bdsmore4">
    <w:name w:val="bds_more4"/>
    <w:qFormat/>
  </w:style>
  <w:style w:type="character" w:customStyle="1" w:styleId="btna-s7">
    <w:name w:val="btna-s7"/>
    <w:qFormat/>
    <w:rPr>
      <w:color w:val="FFFFFF"/>
      <w:u w:val="none"/>
    </w:rPr>
  </w:style>
  <w:style w:type="character" w:customStyle="1" w:styleId="disabled">
    <w:name w:val="disabled"/>
    <w:qFormat/>
    <w:rPr>
      <w:color w:val="CCCCCC"/>
      <w:bdr w:val="single" w:sz="6" w:space="0" w:color="CCCCCC"/>
    </w:rPr>
  </w:style>
  <w:style w:type="character" w:customStyle="1" w:styleId="btna-s14">
    <w:name w:val="btna-s14"/>
    <w:qFormat/>
    <w:rPr>
      <w:color w:val="000000"/>
      <w:u w:val="none"/>
    </w:rPr>
  </w:style>
  <w:style w:type="character" w:customStyle="1" w:styleId="cword101">
    <w:name w:val="cword101"/>
    <w:qFormat/>
    <w:rPr>
      <w:rFonts w:hint="default"/>
      <w:color w:val="333333"/>
      <w:sz w:val="24"/>
      <w:szCs w:val="24"/>
    </w:rPr>
  </w:style>
  <w:style w:type="character" w:customStyle="1" w:styleId="fontborder">
    <w:name w:val="fontborder"/>
    <w:qFormat/>
    <w:rPr>
      <w:bdr w:val="single" w:sz="6" w:space="0" w:color="000000"/>
    </w:rPr>
  </w:style>
  <w:style w:type="character" w:customStyle="1" w:styleId="11pt1">
    <w:name w:val="11pt1"/>
    <w:qFormat/>
    <w:rPr>
      <w:rFonts w:ascii="Arial" w:hAnsi="Arial" w:cs="Arial" w:hint="default"/>
      <w:color w:val="000000"/>
      <w:sz w:val="21"/>
      <w:szCs w:val="21"/>
    </w:rPr>
  </w:style>
  <w:style w:type="character" w:customStyle="1" w:styleId="Char2f3">
    <w:name w:val="正文文本 Char2"/>
    <w:qFormat/>
    <w:rPr>
      <w:kern w:val="2"/>
      <w:sz w:val="28"/>
      <w:szCs w:val="24"/>
    </w:rPr>
  </w:style>
  <w:style w:type="paragraph" w:customStyle="1" w:styleId="CharCharCharCharCharCharCharCharCharCharCharChar1">
    <w:name w:val="Char Char Char Char Char Char Char Char Char Char Char Char1"/>
    <w:basedOn w:val="a9"/>
    <w:qFormat/>
    <w:pPr>
      <w:widowControl/>
      <w:spacing w:after="160" w:line="240" w:lineRule="exact"/>
      <w:jc w:val="left"/>
    </w:pPr>
    <w:rPr>
      <w:rFonts w:ascii="Arial" w:eastAsia="Times New Roman" w:hAnsi="Arial" w:cs="Verdana"/>
      <w:b/>
      <w:sz w:val="24"/>
      <w:lang w:eastAsia="en-US"/>
    </w:rPr>
  </w:style>
  <w:style w:type="paragraph" w:customStyle="1" w:styleId="CharCharCharCharCharChar1Char">
    <w:name w:val="Char Char Char Char Char Char1 Char"/>
    <w:basedOn w:val="a9"/>
    <w:qFormat/>
    <w:pPr>
      <w:widowControl/>
      <w:spacing w:after="160" w:line="240" w:lineRule="exact"/>
      <w:jc w:val="left"/>
    </w:pPr>
    <w:rPr>
      <w:rFonts w:ascii="Arial" w:eastAsia="Times New Roman" w:hAnsi="Arial" w:cs="Calibri"/>
      <w:b/>
      <w:sz w:val="24"/>
      <w:lang w:eastAsia="en-US"/>
    </w:rPr>
  </w:style>
  <w:style w:type="paragraph" w:customStyle="1" w:styleId="reader-word-layerreader-word-s4-17">
    <w:name w:val="reader-word-layer reader-word-s4-17"/>
    <w:basedOn w:val="a9"/>
    <w:qFormat/>
    <w:pPr>
      <w:widowControl/>
      <w:spacing w:before="100" w:beforeAutospacing="1" w:after="100" w:afterAutospacing="1" w:line="360" w:lineRule="auto"/>
      <w:jc w:val="left"/>
    </w:pPr>
    <w:rPr>
      <w:rFonts w:ascii="宋体" w:hAnsi="宋体" w:cs="宋体"/>
      <w:sz w:val="24"/>
      <w:szCs w:val="24"/>
    </w:rPr>
  </w:style>
  <w:style w:type="paragraph" w:customStyle="1" w:styleId="hcr3">
    <w:name w:val="hcr3"/>
    <w:qFormat/>
    <w:pPr>
      <w:ind w:firstLineChars="200" w:firstLine="200"/>
    </w:pPr>
    <w:rPr>
      <w:rFonts w:ascii="仿宋_GB2312" w:eastAsia="仿宋_GB2312" w:hAnsi="Calibri" w:cs="Calibri"/>
      <w:bCs/>
      <w:sz w:val="28"/>
    </w:rPr>
  </w:style>
  <w:style w:type="paragraph" w:customStyle="1" w:styleId="hcr2">
    <w:name w:val="hcr2"/>
    <w:qFormat/>
    <w:pPr>
      <w:spacing w:beforeLines="150"/>
    </w:pPr>
    <w:rPr>
      <w:rFonts w:ascii="仿宋_GB2312" w:eastAsia="仿宋_GB2312" w:hAnsi="Calibri" w:cs="Calibri"/>
      <w:b/>
      <w:bCs/>
      <w:sz w:val="28"/>
    </w:rPr>
  </w:style>
  <w:style w:type="character" w:customStyle="1" w:styleId="Char1fb">
    <w:name w:val="正文文本缩进 Char1"/>
    <w:qFormat/>
    <w:rPr>
      <w:rFonts w:ascii="宋体" w:hAnsi="宋体"/>
      <w:color w:val="000000"/>
      <w:kern w:val="2"/>
      <w:sz w:val="28"/>
      <w:szCs w:val="24"/>
    </w:rPr>
  </w:style>
  <w:style w:type="paragraph" w:customStyle="1" w:styleId="hcr4">
    <w:name w:val="hcr4"/>
    <w:qFormat/>
    <w:pPr>
      <w:ind w:firstLineChars="200" w:firstLine="200"/>
    </w:pPr>
    <w:rPr>
      <w:rFonts w:ascii="仿宋_GB2312" w:eastAsia="仿宋_GB2312" w:hAnsi="Calibri" w:cs="Calibri"/>
      <w:bCs/>
      <w:sz w:val="28"/>
    </w:rPr>
  </w:style>
  <w:style w:type="paragraph" w:customStyle="1" w:styleId="style1">
    <w:name w:val="style1"/>
    <w:basedOn w:val="a9"/>
    <w:qFormat/>
    <w:pPr>
      <w:widowControl/>
      <w:spacing w:before="100" w:beforeAutospacing="1" w:after="100" w:afterAutospacing="1" w:line="360" w:lineRule="auto"/>
      <w:jc w:val="left"/>
    </w:pPr>
    <w:rPr>
      <w:rFonts w:ascii="宋体" w:hAnsi="宋体" w:cs="Calibri"/>
      <w:sz w:val="18"/>
      <w:szCs w:val="18"/>
    </w:rPr>
  </w:style>
  <w:style w:type="paragraph" w:customStyle="1" w:styleId="a7">
    <w:name w:val="正文正文"/>
    <w:basedOn w:val="a9"/>
    <w:qFormat/>
    <w:pPr>
      <w:widowControl/>
      <w:numPr>
        <w:ilvl w:val="3"/>
        <w:numId w:val="13"/>
      </w:numPr>
      <w:spacing w:line="360" w:lineRule="auto"/>
      <w:ind w:left="0" w:firstLineChars="200" w:firstLine="560"/>
      <w:jc w:val="left"/>
    </w:pPr>
    <w:rPr>
      <w:rFonts w:ascii="Calibri" w:hAnsi="Calibri" w:cs="Calibri"/>
      <w:kern w:val="2"/>
      <w:sz w:val="24"/>
    </w:rPr>
  </w:style>
  <w:style w:type="paragraph" w:customStyle="1" w:styleId="11f0">
    <w:name w:val="样式 宋体 四号 首行缩进:  1.1 厘米"/>
    <w:basedOn w:val="a9"/>
    <w:qFormat/>
    <w:pPr>
      <w:spacing w:line="360" w:lineRule="auto"/>
      <w:ind w:leftChars="-1" w:left="-2" w:firstLine="722"/>
    </w:pPr>
    <w:rPr>
      <w:rFonts w:ascii="宋体" w:hAnsi="宋体" w:cs="Calibri"/>
      <w:kern w:val="2"/>
      <w:sz w:val="24"/>
      <w:szCs w:val="28"/>
    </w:rPr>
  </w:style>
  <w:style w:type="paragraph" w:customStyle="1" w:styleId="f14">
    <w:name w:val="f14"/>
    <w:basedOn w:val="a9"/>
    <w:qFormat/>
    <w:pPr>
      <w:widowControl/>
      <w:spacing w:before="100" w:beforeAutospacing="1" w:after="100" w:afterAutospacing="1" w:line="312" w:lineRule="auto"/>
      <w:jc w:val="left"/>
    </w:pPr>
    <w:rPr>
      <w:rFonts w:ascii="宋体" w:hAnsi="宋体" w:cs="宋体"/>
      <w:sz w:val="24"/>
      <w:szCs w:val="24"/>
    </w:rPr>
  </w:style>
  <w:style w:type="paragraph" w:customStyle="1" w:styleId="160">
    <w:name w:val="样式 小四 行距: 固定值 16 磅"/>
    <w:basedOn w:val="a9"/>
    <w:qFormat/>
    <w:pPr>
      <w:snapToGrid w:val="0"/>
      <w:spacing w:line="400" w:lineRule="exact"/>
      <w:ind w:firstLineChars="200" w:firstLine="480"/>
    </w:pPr>
    <w:rPr>
      <w:rFonts w:ascii="Calibri" w:hAnsi="Calibri" w:cs="Calibri"/>
      <w:kern w:val="2"/>
      <w:sz w:val="24"/>
    </w:rPr>
  </w:style>
  <w:style w:type="paragraph" w:customStyle="1" w:styleId="affffffffffffffffffffff7">
    <w:name w:val="节以下标题样式"/>
    <w:basedOn w:val="affffffffffffffffffffff8"/>
    <w:qFormat/>
    <w:pPr>
      <w:ind w:firstLine="0"/>
    </w:pPr>
  </w:style>
  <w:style w:type="paragraph" w:customStyle="1" w:styleId="affffffffffffffffffffff8">
    <w:name w:val="新正文样式"/>
    <w:basedOn w:val="a9"/>
    <w:qFormat/>
    <w:pPr>
      <w:tabs>
        <w:tab w:val="left" w:pos="567"/>
      </w:tabs>
      <w:spacing w:line="360" w:lineRule="auto"/>
      <w:ind w:firstLine="567"/>
    </w:pPr>
    <w:rPr>
      <w:rFonts w:ascii="Calibri" w:hAnsi="Calibri" w:cs="Calibri"/>
      <w:spacing w:val="20"/>
      <w:kern w:val="2"/>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9"/>
    <w:qFormat/>
    <w:pPr>
      <w:widowControl/>
      <w:spacing w:after="160" w:line="240" w:lineRule="exact"/>
      <w:jc w:val="left"/>
    </w:pPr>
    <w:rPr>
      <w:rFonts w:ascii="Verdana" w:eastAsia="仿宋_GB2312" w:hAnsi="Verdana" w:cs="Calibri"/>
      <w:sz w:val="24"/>
      <w:lang w:eastAsia="en-US"/>
    </w:rPr>
  </w:style>
  <w:style w:type="paragraph" w:customStyle="1" w:styleId="affffffffffffffffffffff9">
    <w:name w:val="基准篇眉"/>
    <w:basedOn w:val="a9"/>
    <w:qFormat/>
    <w:pPr>
      <w:keepLines/>
      <w:widowControl/>
      <w:pBdr>
        <w:bottom w:val="single" w:sz="6" w:space="4" w:color="auto"/>
      </w:pBdr>
      <w:tabs>
        <w:tab w:val="center" w:pos="4320"/>
        <w:tab w:val="right" w:pos="8640"/>
      </w:tabs>
      <w:overflowPunct w:val="0"/>
      <w:autoSpaceDE w:val="0"/>
      <w:autoSpaceDN w:val="0"/>
      <w:adjustRightInd w:val="0"/>
      <w:spacing w:line="360" w:lineRule="auto"/>
      <w:jc w:val="left"/>
      <w:textAlignment w:val="baseline"/>
    </w:pPr>
    <w:rPr>
      <w:rFonts w:ascii="Arial" w:hAnsi="Arial" w:cs="Calibri"/>
      <w:b/>
      <w:caps/>
      <w:spacing w:val="20"/>
      <w:sz w:val="18"/>
    </w:rPr>
  </w:style>
  <w:style w:type="paragraph" w:customStyle="1" w:styleId="Style10">
    <w:name w:val="_Style 1"/>
    <w:basedOn w:val="a9"/>
    <w:uiPriority w:val="34"/>
    <w:qFormat/>
    <w:pPr>
      <w:spacing w:line="360" w:lineRule="auto"/>
      <w:ind w:firstLineChars="200" w:firstLine="420"/>
    </w:pPr>
    <w:rPr>
      <w:rFonts w:ascii="Calibri" w:hAnsi="Calibri" w:cs="Calibri"/>
      <w:kern w:val="2"/>
      <w:sz w:val="21"/>
      <w:szCs w:val="24"/>
    </w:rPr>
  </w:style>
  <w:style w:type="paragraph" w:customStyle="1" w:styleId="reader-word-layerreader-word-s4-16">
    <w:name w:val="reader-word-layer reader-word-s4-16"/>
    <w:basedOn w:val="a9"/>
    <w:qFormat/>
    <w:pPr>
      <w:widowControl/>
      <w:spacing w:before="100" w:beforeAutospacing="1" w:after="100" w:afterAutospacing="1" w:line="360" w:lineRule="auto"/>
      <w:jc w:val="left"/>
    </w:pPr>
    <w:rPr>
      <w:rFonts w:ascii="宋体" w:hAnsi="宋体" w:cs="宋体"/>
      <w:sz w:val="24"/>
      <w:szCs w:val="24"/>
    </w:rPr>
  </w:style>
  <w:style w:type="paragraph" w:customStyle="1" w:styleId="Char4CharCharChar">
    <w:name w:val="Char4 Char Char Char"/>
    <w:basedOn w:val="a9"/>
    <w:qFormat/>
    <w:pPr>
      <w:adjustRightInd w:val="0"/>
      <w:snapToGrid w:val="0"/>
      <w:spacing w:line="360" w:lineRule="auto"/>
      <w:ind w:firstLineChars="200" w:firstLine="200"/>
    </w:pPr>
    <w:rPr>
      <w:rFonts w:ascii="宋体" w:eastAsia="仿宋_GB2312" w:hAnsi="宋体" w:cs="宋体"/>
      <w:kern w:val="2"/>
      <w:sz w:val="24"/>
      <w:szCs w:val="26"/>
    </w:rPr>
  </w:style>
  <w:style w:type="paragraph" w:customStyle="1" w:styleId="affffffffffffffffffffffa">
    <w:name w:val="新标题样式"/>
    <w:basedOn w:val="a9"/>
    <w:qFormat/>
    <w:pPr>
      <w:tabs>
        <w:tab w:val="left" w:pos="567"/>
      </w:tabs>
      <w:spacing w:line="360" w:lineRule="auto"/>
    </w:pPr>
    <w:rPr>
      <w:rFonts w:ascii="Calibri" w:eastAsia="黑体" w:hAnsi="Calibri" w:cs="Calibri"/>
      <w:b/>
      <w:spacing w:val="20"/>
      <w:kern w:val="2"/>
      <w:sz w:val="24"/>
    </w:rPr>
  </w:style>
  <w:style w:type="table" w:customStyle="1" w:styleId="11f1">
    <w:name w:val="网格型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正文表中文字"/>
    <w:basedOn w:val="a9"/>
    <w:next w:val="afe"/>
    <w:qFormat/>
    <w:rPr>
      <w:rFonts w:ascii="宋体"/>
      <w:kern w:val="2"/>
      <w:sz w:val="28"/>
    </w:rPr>
  </w:style>
  <w:style w:type="character" w:customStyle="1" w:styleId="s1">
    <w:name w:val="s1"/>
    <w:qFormat/>
    <w:rPr>
      <w:sz w:val="18"/>
      <w:szCs w:val="18"/>
    </w:rPr>
  </w:style>
  <w:style w:type="character" w:customStyle="1" w:styleId="f141">
    <w:name w:val="f141"/>
    <w:qFormat/>
    <w:rPr>
      <w:sz w:val="21"/>
      <w:szCs w:val="21"/>
    </w:rPr>
  </w:style>
  <w:style w:type="character" w:customStyle="1" w:styleId="main1">
    <w:name w:val="main1"/>
    <w:qFormat/>
    <w:rPr>
      <w:color w:val="333333"/>
      <w:sz w:val="18"/>
      <w:szCs w:val="18"/>
    </w:rPr>
  </w:style>
  <w:style w:type="character" w:customStyle="1" w:styleId="cnpxa1">
    <w:name w:val="cnpxa1"/>
    <w:qFormat/>
    <w:rPr>
      <w:rFonts w:ascii="ˎ̥" w:hAnsi="ˎ̥" w:hint="default"/>
      <w:sz w:val="18"/>
      <w:szCs w:val="18"/>
    </w:rPr>
  </w:style>
  <w:style w:type="paragraph" w:customStyle="1" w:styleId="a5">
    <w:name w:val="段落编号"/>
    <w:basedOn w:val="23"/>
    <w:qFormat/>
    <w:pPr>
      <w:numPr>
        <w:numId w:val="14"/>
      </w:numPr>
      <w:adjustRightInd w:val="0"/>
      <w:spacing w:before="60" w:after="60" w:line="500" w:lineRule="exact"/>
      <w:ind w:leftChars="0" w:left="0"/>
      <w:textAlignment w:val="baseline"/>
    </w:pPr>
    <w:rPr>
      <w:rFonts w:ascii="宋体" w:hAnsi="Roman 10cpi"/>
      <w:spacing w:val="6"/>
      <w:sz w:val="28"/>
    </w:rPr>
  </w:style>
  <w:style w:type="paragraph" w:customStyle="1" w:styleId="affffffffffffffffffffffc">
    <w:name w:val="武生正文"/>
    <w:basedOn w:val="a9"/>
    <w:next w:val="a9"/>
    <w:qFormat/>
    <w:pPr>
      <w:spacing w:line="360" w:lineRule="auto"/>
      <w:ind w:firstLineChars="200" w:firstLine="560"/>
      <w:jc w:val="left"/>
    </w:pPr>
    <w:rPr>
      <w:rFonts w:cs="宋体"/>
      <w:kern w:val="2"/>
      <w:sz w:val="28"/>
      <w:szCs w:val="28"/>
    </w:rPr>
  </w:style>
  <w:style w:type="paragraph" w:customStyle="1" w:styleId="09515">
    <w:name w:val="样式 小四 首行缩进:  0.95 厘米 行距: 1.5 倍行距"/>
    <w:basedOn w:val="a9"/>
    <w:next w:val="a9"/>
    <w:qFormat/>
    <w:pPr>
      <w:spacing w:line="360" w:lineRule="auto"/>
      <w:ind w:firstLine="539"/>
    </w:pPr>
    <w:rPr>
      <w:rFonts w:cs="宋体"/>
      <w:sz w:val="28"/>
    </w:rPr>
  </w:style>
  <w:style w:type="paragraph" w:customStyle="1" w:styleId="xl133">
    <w:name w:val="xl133"/>
    <w:basedOn w:val="a9"/>
    <w:qFormat/>
    <w:pPr>
      <w:widowControl/>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34">
    <w:name w:val="xl134"/>
    <w:basedOn w:val="a9"/>
    <w:qFormat/>
    <w:pPr>
      <w:widowControl/>
      <w:pBdr>
        <w:left w:val="single" w:sz="4" w:space="0" w:color="auto"/>
        <w:bottom w:val="single" w:sz="4" w:space="0" w:color="auto"/>
      </w:pBdr>
      <w:shd w:val="clear" w:color="auto" w:fill="FFFF00"/>
      <w:spacing w:before="100" w:beforeAutospacing="1" w:after="100" w:afterAutospacing="1"/>
      <w:jc w:val="left"/>
    </w:pPr>
  </w:style>
  <w:style w:type="paragraph" w:customStyle="1" w:styleId="xl135">
    <w:name w:val="xl135"/>
    <w:basedOn w:val="a9"/>
    <w:qFormat/>
    <w:pPr>
      <w:widowControl/>
      <w:pBdr>
        <w:left w:val="single" w:sz="4" w:space="0" w:color="auto"/>
      </w:pBdr>
      <w:shd w:val="clear" w:color="auto" w:fill="FFFF99"/>
      <w:spacing w:before="100" w:beforeAutospacing="1" w:after="100" w:afterAutospacing="1"/>
      <w:jc w:val="left"/>
    </w:pPr>
    <w:rPr>
      <w:rFonts w:ascii="宋体" w:hAnsi="宋体" w:cs="宋体"/>
    </w:rPr>
  </w:style>
  <w:style w:type="paragraph" w:customStyle="1" w:styleId="xl136">
    <w:name w:val="xl136"/>
    <w:basedOn w:val="a9"/>
    <w:qFormat/>
    <w:pPr>
      <w:widowControl/>
      <w:pBdr>
        <w:left w:val="single" w:sz="4" w:space="0" w:color="auto"/>
      </w:pBdr>
      <w:shd w:val="clear" w:color="auto" w:fill="FFFF99"/>
      <w:spacing w:before="100" w:beforeAutospacing="1" w:after="100" w:afterAutospacing="1"/>
      <w:jc w:val="left"/>
    </w:pPr>
  </w:style>
  <w:style w:type="paragraph" w:customStyle="1" w:styleId="xl137">
    <w:name w:val="xl137"/>
    <w:basedOn w:val="a9"/>
    <w:qFormat/>
    <w:pPr>
      <w:widowControl/>
      <w:pBdr>
        <w:left w:val="single" w:sz="4" w:space="0" w:color="auto"/>
        <w:bottom w:val="single" w:sz="4" w:space="0" w:color="auto"/>
      </w:pBdr>
      <w:shd w:val="clear" w:color="auto" w:fill="FFFF99"/>
      <w:spacing w:before="100" w:beforeAutospacing="1" w:after="100" w:afterAutospacing="1"/>
      <w:jc w:val="left"/>
    </w:pPr>
  </w:style>
  <w:style w:type="character" w:customStyle="1" w:styleId="CharCharfb">
    <w:name w:val="环科院正文 Char Char"/>
    <w:qFormat/>
    <w:rPr>
      <w:rFonts w:eastAsia="宋体" w:hAnsi="宋体" w:cs="宋体"/>
      <w:sz w:val="24"/>
      <w:szCs w:val="21"/>
      <w:lang w:val="en-US" w:eastAsia="zh-CN" w:bidi="ar-SA"/>
    </w:rPr>
  </w:style>
  <w:style w:type="character" w:customStyle="1" w:styleId="CharCharfc">
    <w:name w:val="表一 Char Char"/>
    <w:link w:val="affffffffffffffffffffffd"/>
    <w:qFormat/>
    <w:rPr>
      <w:kern w:val="2"/>
      <w:sz w:val="18"/>
      <w:szCs w:val="18"/>
    </w:rPr>
  </w:style>
  <w:style w:type="paragraph" w:customStyle="1" w:styleId="affffffffffffffffffffffd">
    <w:name w:val="表一"/>
    <w:basedOn w:val="a9"/>
    <w:link w:val="CharCharfc"/>
    <w:qFormat/>
    <w:pPr>
      <w:jc w:val="center"/>
    </w:pPr>
    <w:rPr>
      <w:kern w:val="2"/>
      <w:sz w:val="18"/>
      <w:szCs w:val="18"/>
    </w:rPr>
  </w:style>
  <w:style w:type="table" w:customStyle="1" w:styleId="1120">
    <w:name w:val="网格型112"/>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精巧型 1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c">
    <w:name w:val="立体型 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9">
    <w:name w:val="立体型 3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d">
    <w:name w:val="竖列型 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
    <w:name w:val="竖列型 4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2fff7">
    <w:name w:val="正文首行缩进 2 字符"/>
    <w:qFormat/>
    <w:rPr>
      <w:rFonts w:ascii="宋体" w:eastAsia="宋体"/>
      <w:sz w:val="24"/>
      <w:szCs w:val="28"/>
    </w:rPr>
  </w:style>
  <w:style w:type="character" w:customStyle="1" w:styleId="affffffffffffffffffffffe">
    <w:name w:val="正文首行缩进 字符"/>
    <w:qFormat/>
    <w:rPr>
      <w:rFonts w:eastAsia="宋体"/>
      <w:sz w:val="24"/>
      <w:szCs w:val="24"/>
    </w:rPr>
  </w:style>
  <w:style w:type="character" w:customStyle="1" w:styleId="2Char13">
    <w:name w:val="正文首行缩进 2 Char1"/>
    <w:uiPriority w:val="99"/>
    <w:semiHidden/>
    <w:qFormat/>
  </w:style>
  <w:style w:type="character" w:customStyle="1" w:styleId="Char35">
    <w:name w:val="纯文本 Char3"/>
    <w:uiPriority w:val="99"/>
    <w:semiHidden/>
    <w:qFormat/>
    <w:rPr>
      <w:rFonts w:ascii="宋体" w:eastAsia="宋体" w:hAnsi="Courier New" w:cs="Courier New"/>
      <w:szCs w:val="21"/>
    </w:rPr>
  </w:style>
  <w:style w:type="character" w:customStyle="1" w:styleId="HTMLChar1">
    <w:name w:val="HTML 地址 Char1"/>
    <w:uiPriority w:val="99"/>
    <w:semiHidden/>
    <w:qFormat/>
    <w:rPr>
      <w:i/>
      <w:iCs/>
    </w:rPr>
  </w:style>
  <w:style w:type="character" w:customStyle="1" w:styleId="Char1fc">
    <w:name w:val="电子邮件签名 Char1"/>
    <w:uiPriority w:val="99"/>
    <w:semiHidden/>
    <w:qFormat/>
  </w:style>
  <w:style w:type="character" w:customStyle="1" w:styleId="3Char11">
    <w:name w:val="正文文本 3 Char1"/>
    <w:uiPriority w:val="99"/>
    <w:semiHidden/>
    <w:qFormat/>
    <w:rPr>
      <w:sz w:val="16"/>
      <w:szCs w:val="16"/>
    </w:rPr>
  </w:style>
  <w:style w:type="character" w:customStyle="1" w:styleId="Char1fd">
    <w:name w:val="签名 Char1"/>
    <w:uiPriority w:val="99"/>
    <w:semiHidden/>
    <w:qFormat/>
  </w:style>
  <w:style w:type="character" w:customStyle="1" w:styleId="Char1fe">
    <w:name w:val="信息标题 Char1"/>
    <w:uiPriority w:val="99"/>
    <w:semiHidden/>
    <w:qFormat/>
    <w:rPr>
      <w:rFonts w:ascii="Cambria" w:eastAsia="宋体" w:hAnsi="Cambria" w:cs="Times New Roman"/>
      <w:sz w:val="24"/>
      <w:szCs w:val="24"/>
      <w:shd w:val="pct20" w:color="auto" w:fill="auto"/>
    </w:rPr>
  </w:style>
  <w:style w:type="character" w:customStyle="1" w:styleId="Char1ff">
    <w:name w:val="脚注文本 Char1"/>
    <w:uiPriority w:val="99"/>
    <w:semiHidden/>
    <w:qFormat/>
    <w:rPr>
      <w:sz w:val="18"/>
      <w:szCs w:val="18"/>
    </w:rPr>
  </w:style>
  <w:style w:type="character" w:customStyle="1" w:styleId="Char1ff0">
    <w:name w:val="称呼 Char1"/>
    <w:uiPriority w:val="99"/>
    <w:semiHidden/>
    <w:qFormat/>
  </w:style>
  <w:style w:type="character" w:customStyle="1" w:styleId="Char1ff1">
    <w:name w:val="文档结构图 Char1"/>
    <w:uiPriority w:val="99"/>
    <w:semiHidden/>
    <w:qFormat/>
    <w:rPr>
      <w:rFonts w:ascii="宋体" w:eastAsia="宋体"/>
      <w:sz w:val="18"/>
      <w:szCs w:val="18"/>
    </w:rPr>
  </w:style>
  <w:style w:type="character" w:customStyle="1" w:styleId="3Char12">
    <w:name w:val="正文文本缩进 3 Char1"/>
    <w:uiPriority w:val="99"/>
    <w:semiHidden/>
    <w:qFormat/>
    <w:rPr>
      <w:sz w:val="16"/>
      <w:szCs w:val="16"/>
    </w:rPr>
  </w:style>
  <w:style w:type="character" w:customStyle="1" w:styleId="Char1ff2">
    <w:name w:val="结束语 Char1"/>
    <w:uiPriority w:val="99"/>
    <w:semiHidden/>
    <w:qFormat/>
  </w:style>
  <w:style w:type="character" w:customStyle="1" w:styleId="Char1ff3">
    <w:name w:val="副标题 Char1"/>
    <w:uiPriority w:val="11"/>
    <w:qFormat/>
    <w:rPr>
      <w:rFonts w:ascii="Cambria" w:eastAsia="宋体" w:hAnsi="Cambria" w:cs="Times New Roman"/>
      <w:b/>
      <w:bCs/>
      <w:kern w:val="28"/>
      <w:sz w:val="32"/>
      <w:szCs w:val="32"/>
    </w:rPr>
  </w:style>
  <w:style w:type="character" w:customStyle="1" w:styleId="Char1ff4">
    <w:name w:val="尾注文本 Char1"/>
    <w:uiPriority w:val="99"/>
    <w:semiHidden/>
    <w:qFormat/>
  </w:style>
  <w:style w:type="character" w:customStyle="1" w:styleId="HTMLChar10">
    <w:name w:val="HTML 预设格式 Char1"/>
    <w:uiPriority w:val="99"/>
    <w:semiHidden/>
    <w:qFormat/>
    <w:rPr>
      <w:rFonts w:ascii="Courier New" w:hAnsi="Courier New" w:cs="Courier New"/>
      <w:sz w:val="20"/>
      <w:szCs w:val="20"/>
    </w:rPr>
  </w:style>
  <w:style w:type="character" w:customStyle="1" w:styleId="Char2f4">
    <w:name w:val="正文首行缩进 Char2"/>
    <w:uiPriority w:val="99"/>
    <w:semiHidden/>
    <w:qFormat/>
    <w:rPr>
      <w:kern w:val="2"/>
      <w:sz w:val="21"/>
      <w:szCs w:val="24"/>
    </w:rPr>
  </w:style>
  <w:style w:type="table" w:customStyle="1" w:styleId="1ffffff4">
    <w:name w:val="三线表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paragraph" w:customStyle="1" w:styleId="Char81">
    <w:name w:val="Char81"/>
    <w:basedOn w:val="a9"/>
    <w:link w:val="CharChar141"/>
    <w:qFormat/>
    <w:pPr>
      <w:widowControl/>
      <w:jc w:val="left"/>
    </w:pPr>
    <w:rPr>
      <w:kern w:val="2"/>
      <w:sz w:val="21"/>
      <w:szCs w:val="24"/>
    </w:rPr>
  </w:style>
  <w:style w:type="paragraph" w:customStyle="1" w:styleId="Char140">
    <w:name w:val="Char14"/>
    <w:basedOn w:val="a9"/>
    <w:qFormat/>
    <w:pPr>
      <w:widowControl/>
      <w:jc w:val="left"/>
    </w:pPr>
    <w:rPr>
      <w:kern w:val="2"/>
      <w:sz w:val="24"/>
      <w:szCs w:val="24"/>
    </w:rPr>
  </w:style>
  <w:style w:type="paragraph" w:customStyle="1" w:styleId="CharCharChar1CharCharCharCharCharCharCharCharCharChar31">
    <w:name w:val="Char Char Char1 Char Char Char Char Char Char Char Char Char Char31"/>
    <w:basedOn w:val="a9"/>
    <w:qFormat/>
    <w:pPr>
      <w:widowControl/>
      <w:jc w:val="left"/>
    </w:pPr>
    <w:rPr>
      <w:kern w:val="2"/>
      <w:sz w:val="24"/>
      <w:szCs w:val="24"/>
    </w:rPr>
  </w:style>
  <w:style w:type="paragraph" w:customStyle="1" w:styleId="Char3CharCharCharCharCharChar31">
    <w:name w:val="Char3 Char Char Char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2Char31">
    <w:name w:val="Char Char2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141">
    <w:name w:val="Char Char141"/>
    <w:link w:val="Char81"/>
    <w:qFormat/>
    <w:rPr>
      <w:kern w:val="2"/>
      <w:sz w:val="21"/>
      <w:szCs w:val="24"/>
    </w:rPr>
  </w:style>
  <w:style w:type="paragraph" w:customStyle="1" w:styleId="Char431">
    <w:name w:val="Char4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341">
    <w:name w:val="Char341"/>
    <w:basedOn w:val="a9"/>
    <w:qFormat/>
    <w:pPr>
      <w:widowControl/>
      <w:spacing w:line="360" w:lineRule="auto"/>
      <w:ind w:firstLineChars="200" w:firstLine="200"/>
      <w:jc w:val="left"/>
    </w:pPr>
    <w:rPr>
      <w:kern w:val="2"/>
      <w:sz w:val="24"/>
    </w:rPr>
  </w:style>
  <w:style w:type="paragraph" w:customStyle="1" w:styleId="413">
    <w:name w:val="批注框文本41"/>
    <w:basedOn w:val="a9"/>
    <w:semiHidden/>
    <w:qFormat/>
    <w:pPr>
      <w:widowControl/>
      <w:jc w:val="left"/>
    </w:pPr>
    <w:rPr>
      <w:rFonts w:ascii="Tahoma" w:hAnsi="Tahoma" w:cs="Tahoma"/>
      <w:kern w:val="2"/>
      <w:sz w:val="16"/>
      <w:szCs w:val="16"/>
    </w:rPr>
  </w:style>
  <w:style w:type="paragraph" w:customStyle="1" w:styleId="CharChar1Char41">
    <w:name w:val="Char Char1 Char4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3Char31">
    <w:name w:val="Char Char3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231">
    <w:name w:val="Char Char231"/>
    <w:qFormat/>
    <w:rPr>
      <w:rFonts w:eastAsia="宋体"/>
      <w:kern w:val="2"/>
      <w:sz w:val="18"/>
      <w:lang w:val="en-US" w:eastAsia="zh-CN" w:bidi="ar-SA"/>
    </w:rPr>
  </w:style>
  <w:style w:type="paragraph" w:customStyle="1" w:styleId="Char231">
    <w:name w:val="Char231"/>
    <w:basedOn w:val="a9"/>
    <w:qFormat/>
    <w:pPr>
      <w:widowControl/>
      <w:spacing w:line="360" w:lineRule="auto"/>
      <w:jc w:val="left"/>
    </w:pPr>
    <w:rPr>
      <w:rFonts w:ascii="宋体" w:hAnsi="宋体" w:cs="宋体"/>
      <w:kern w:val="2"/>
      <w:sz w:val="24"/>
      <w:szCs w:val="24"/>
    </w:rPr>
  </w:style>
  <w:style w:type="paragraph" w:customStyle="1" w:styleId="CharChar1CharCharCharCharCharCharCharCharCharCharCharCharCharCharCharCharCharCharCharChar1Char31">
    <w:name w:val="Char Char1 Char Char Char Char Char Char Char Char Char Char Char Char Char Char Char Char Char Char Char Char1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2CharCharChar31">
    <w:name w:val="Char Char1 Char2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CharCharCharCharCharCharCharCharChar31">
    <w:name w:val="Char Char1 Char Char Char Char Char Char Char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2CharCharChar41">
    <w:name w:val="Char2 Char Char Char41"/>
    <w:basedOn w:val="3"/>
    <w:qFormat/>
    <w:pPr>
      <w:keepNext/>
      <w:keepLines/>
      <w:widowControl/>
      <w:numPr>
        <w:ilvl w:val="0"/>
        <w:numId w:val="0"/>
      </w:numPr>
      <w:tabs>
        <w:tab w:val="left" w:pos="360"/>
        <w:tab w:val="left" w:pos="900"/>
      </w:tabs>
      <w:spacing w:before="120" w:after="120"/>
      <w:ind w:leftChars="-12" w:left="542" w:firstLineChars="200" w:firstLine="200"/>
      <w:jc w:val="left"/>
    </w:pPr>
    <w:rPr>
      <w:b w:val="0"/>
      <w:snapToGrid w:val="0"/>
      <w:kern w:val="2"/>
      <w:szCs w:val="24"/>
    </w:rPr>
  </w:style>
  <w:style w:type="character" w:customStyle="1" w:styleId="CharCharCharChar131">
    <w:name w:val="Char Char Char Char131"/>
    <w:qFormat/>
    <w:rPr>
      <w:rFonts w:eastAsia="宋体"/>
      <w:color w:val="000000"/>
      <w:kern w:val="2"/>
      <w:sz w:val="18"/>
      <w:szCs w:val="24"/>
      <w:lang w:val="en-US" w:eastAsia="zh-CN" w:bidi="ar-SA"/>
    </w:rPr>
  </w:style>
  <w:style w:type="paragraph" w:customStyle="1" w:styleId="CharCharChar1CharCharChar31">
    <w:name w:val="Char Char Char1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2031">
    <w:name w:val="Char Char2031"/>
    <w:qFormat/>
    <w:rPr>
      <w:rFonts w:ascii="宋体" w:eastAsia="宋体" w:hAnsi="宋体" w:cs="Times New Roman"/>
      <w:sz w:val="32"/>
      <w:szCs w:val="20"/>
    </w:rPr>
  </w:style>
  <w:style w:type="paragraph" w:customStyle="1" w:styleId="Char3CharCharChar31">
    <w:name w:val="Char3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ffffff8">
    <w:name w:val="王向东正文 Char"/>
    <w:link w:val="afffffffffffffffffffffff"/>
    <w:qFormat/>
    <w:rPr>
      <w:rFonts w:eastAsia="Times New Roman" w:cs="幼圆"/>
      <w:sz w:val="24"/>
      <w:szCs w:val="28"/>
    </w:rPr>
  </w:style>
  <w:style w:type="paragraph" w:customStyle="1" w:styleId="afffffffffffffffffffffff">
    <w:name w:val="王向东正文"/>
    <w:link w:val="Charffffff8"/>
    <w:qFormat/>
    <w:pPr>
      <w:adjustRightInd w:val="0"/>
      <w:snapToGrid w:val="0"/>
      <w:spacing w:beforeLines="30" w:afterLines="30" w:line="360" w:lineRule="auto"/>
      <w:ind w:firstLineChars="200" w:firstLine="200"/>
      <w:jc w:val="both"/>
    </w:pPr>
    <w:rPr>
      <w:rFonts w:eastAsia="Times New Roman" w:cs="幼圆"/>
      <w:sz w:val="24"/>
      <w:szCs w:val="28"/>
    </w:rPr>
  </w:style>
  <w:style w:type="paragraph" w:customStyle="1" w:styleId="afffffffffffffffffffffff0">
    <w:name w:val="青山正文"/>
    <w:basedOn w:val="a9"/>
    <w:qFormat/>
    <w:pPr>
      <w:widowControl/>
      <w:tabs>
        <w:tab w:val="left" w:pos="2145"/>
      </w:tabs>
      <w:adjustRightInd w:val="0"/>
      <w:snapToGrid w:val="0"/>
      <w:spacing w:line="360" w:lineRule="auto"/>
      <w:ind w:firstLineChars="200" w:firstLine="200"/>
      <w:jc w:val="left"/>
    </w:pPr>
    <w:rPr>
      <w:kern w:val="2"/>
      <w:sz w:val="28"/>
      <w:szCs w:val="28"/>
    </w:rPr>
  </w:style>
  <w:style w:type="paragraph" w:customStyle="1" w:styleId="afffffffffffffffffffffff1">
    <w:name w:val="正文文字"/>
    <w:basedOn w:val="a9"/>
    <w:qFormat/>
    <w:pPr>
      <w:widowControl/>
      <w:spacing w:after="156" w:line="360" w:lineRule="auto"/>
      <w:jc w:val="left"/>
      <w:outlineLvl w:val="0"/>
    </w:pPr>
    <w:rPr>
      <w:rFonts w:ascii="宋体" w:hAnsi="宋体"/>
      <w:b/>
      <w:kern w:val="2"/>
      <w:sz w:val="28"/>
      <w:szCs w:val="28"/>
    </w:rPr>
  </w:style>
  <w:style w:type="paragraph" w:customStyle="1" w:styleId="1520">
    <w:name w:val="样式 四号 行距: 1.5 倍行距 首行缩进:  2 字符"/>
    <w:basedOn w:val="a9"/>
    <w:qFormat/>
    <w:pPr>
      <w:widowControl/>
      <w:spacing w:line="360" w:lineRule="auto"/>
      <w:ind w:firstLineChars="200" w:firstLine="560"/>
      <w:jc w:val="left"/>
    </w:pPr>
    <w:rPr>
      <w:rFonts w:cs="宋体"/>
      <w:kern w:val="2"/>
      <w:sz w:val="28"/>
    </w:rPr>
  </w:style>
  <w:style w:type="paragraph" w:customStyle="1" w:styleId="CM146">
    <w:name w:val="CM146"/>
    <w:basedOn w:val="Default"/>
    <w:next w:val="Default"/>
    <w:qFormat/>
    <w:pPr>
      <w:spacing w:after="188"/>
    </w:pPr>
    <w:rPr>
      <w:rFonts w:ascii="宋体" w:eastAsia="宋体" w:cs="宋体"/>
      <w:color w:val="auto"/>
    </w:rPr>
  </w:style>
  <w:style w:type="paragraph" w:customStyle="1" w:styleId="Char13CharCharCharCharCharChar">
    <w:name w:val="Char13 Char Char Char Char Char Char"/>
    <w:basedOn w:val="a9"/>
    <w:qFormat/>
    <w:pPr>
      <w:widowControl/>
      <w:jc w:val="left"/>
    </w:pPr>
    <w:rPr>
      <w:rFonts w:ascii="Tahoma" w:hAnsi="Tahoma"/>
      <w:kern w:val="2"/>
      <w:sz w:val="24"/>
    </w:rPr>
  </w:style>
  <w:style w:type="character" w:customStyle="1" w:styleId="CharChar731">
    <w:name w:val="Char Char731"/>
    <w:qFormat/>
    <w:rPr>
      <w:kern w:val="2"/>
      <w:sz w:val="21"/>
      <w:szCs w:val="24"/>
    </w:rPr>
  </w:style>
  <w:style w:type="paragraph" w:customStyle="1" w:styleId="afffffffffffffffffffffff2">
    <w:name w:val="表项目及备注栏"/>
    <w:basedOn w:val="a9"/>
    <w:qFormat/>
    <w:pPr>
      <w:widowControl/>
      <w:jc w:val="left"/>
    </w:pPr>
    <w:rPr>
      <w:rFonts w:eastAsia="仿宋_GB2312"/>
      <w:kern w:val="2"/>
      <w:sz w:val="24"/>
      <w:szCs w:val="24"/>
    </w:rPr>
  </w:style>
  <w:style w:type="character" w:customStyle="1" w:styleId="td71">
    <w:name w:val="td71"/>
    <w:qFormat/>
    <w:rPr>
      <w:color w:val="3B3B3B"/>
      <w:sz w:val="21"/>
      <w:szCs w:val="21"/>
    </w:rPr>
  </w:style>
  <w:style w:type="paragraph" w:customStyle="1" w:styleId="CharCharCharCharCharCharCharCharChar1CharCharCharCharCharChar">
    <w:name w:val="Char Char Char Char Char Char Char Char Char1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newsbody">
    <w:name w:val="newsbody"/>
    <w:qFormat/>
  </w:style>
  <w:style w:type="character" w:customStyle="1" w:styleId="articlebody">
    <w:name w:val="articlebody"/>
    <w:qFormat/>
  </w:style>
  <w:style w:type="paragraph" w:customStyle="1" w:styleId="CharCharCharCharCharCharCharCharChar1CharCharChar">
    <w:name w:val="Char Char Char Char Char Char Char Char Char1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
    <w:name w:val="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2CharChar">
    <w:name w:val="Char2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CharChar">
    <w:name w:val="Char Char 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17">
    <w:name w:val="c17"/>
    <w:basedOn w:val="a9"/>
    <w:qFormat/>
    <w:pPr>
      <w:widowControl/>
      <w:autoSpaceDE w:val="0"/>
      <w:autoSpaceDN w:val="0"/>
      <w:adjustRightInd w:val="0"/>
      <w:spacing w:line="240" w:lineRule="atLeast"/>
      <w:jc w:val="center"/>
      <w:textAlignment w:val="baseline"/>
    </w:pPr>
    <w:rPr>
      <w:sz w:val="24"/>
      <w:szCs w:val="24"/>
    </w:rPr>
  </w:style>
  <w:style w:type="paragraph" w:customStyle="1" w:styleId="CharCharCharCharCharCharCharCharChar1">
    <w:name w:val="Char Char Char Char Char Char Char Char Char1"/>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1ffffff5">
    <w:name w:val="标题 1+宋体"/>
    <w:qFormat/>
    <w:rPr>
      <w:rFonts w:eastAsia="宋体"/>
      <w:kern w:val="44"/>
      <w:sz w:val="28"/>
      <w:szCs w:val="28"/>
      <w:lang w:val="en-US" w:eastAsia="zh-CN" w:bidi="ar-SA"/>
    </w:rPr>
  </w:style>
  <w:style w:type="character" w:customStyle="1" w:styleId="arr1">
    <w:name w:val="arr1"/>
    <w:qFormat/>
  </w:style>
  <w:style w:type="character" w:customStyle="1" w:styleId="t11">
    <w:name w:val="t11"/>
    <w:qFormat/>
    <w:rPr>
      <w:b/>
      <w:bCs/>
      <w:sz w:val="27"/>
      <w:szCs w:val="27"/>
      <w:shd w:val="clear" w:color="auto" w:fill="FFFFFF"/>
    </w:rPr>
  </w:style>
  <w:style w:type="paragraph" w:customStyle="1" w:styleId="CharCharCharCharChar0">
    <w:name w:val="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11">
    <w:name w:val="Char Char Char Char Char Char Char Char Char11"/>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zw14">
    <w:name w:val="zw14"/>
    <w:qFormat/>
  </w:style>
  <w:style w:type="paragraph" w:customStyle="1" w:styleId="Char13CharCharChar">
    <w:name w:val="Char13 Char Char Char"/>
    <w:basedOn w:val="a9"/>
    <w:qFormat/>
    <w:pPr>
      <w:widowControl/>
      <w:jc w:val="left"/>
    </w:pPr>
    <w:rPr>
      <w:rFonts w:ascii="Tahoma" w:hAnsi="Tahoma"/>
      <w:kern w:val="2"/>
      <w:sz w:val="24"/>
    </w:rPr>
  </w:style>
  <w:style w:type="paragraph" w:customStyle="1" w:styleId="CharCharCharCharCharChar1CharCharCharCharCharCharCharCharCharCharCharCharCharCharCharCharCharChar1CharCharCharCharCharCharCharCharCharCharCharCharCharCharCharChar2">
    <w:name w:val="Char Char Char Char Char Char1 Char Char Char Char Char Char Char Char Char Char Char Char Char Char Char Char Char Char1 Char Char Char Char Char Char Char Char Char Char Char Char Char Char Char Char2"/>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19Char">
    <w:name w:val="Char Char19 Char"/>
    <w:basedOn w:val="a9"/>
    <w:qFormat/>
    <w:pPr>
      <w:widowControl/>
      <w:jc w:val="left"/>
    </w:pPr>
    <w:rPr>
      <w:rFonts w:ascii="Tahoma" w:hAnsi="Tahoma"/>
      <w:kern w:val="2"/>
      <w:sz w:val="24"/>
    </w:rPr>
  </w:style>
  <w:style w:type="paragraph" w:customStyle="1" w:styleId="afffffffffffffffffffffff3">
    <w:name w:val="清除格式"/>
    <w:next w:val="a9"/>
    <w:qFormat/>
    <w:pPr>
      <w:overflowPunct w:val="0"/>
      <w:adjustRightInd w:val="0"/>
      <w:snapToGrid w:val="0"/>
      <w:textAlignment w:val="center"/>
    </w:pPr>
    <w:rPr>
      <w:snapToGrid w:val="0"/>
      <w:color w:val="000000"/>
      <w:sz w:val="21"/>
    </w:rPr>
  </w:style>
  <w:style w:type="paragraph" w:customStyle="1" w:styleId="CharCharChar1CharCharCharCharCharCharChar">
    <w:name w:val="Char Char Char1 Char Char Char Char Char Char Char"/>
    <w:basedOn w:val="a9"/>
    <w:qFormat/>
    <w:pPr>
      <w:widowControl/>
      <w:spacing w:beforeLines="100" w:after="160" w:line="240" w:lineRule="exact"/>
      <w:jc w:val="left"/>
    </w:pPr>
    <w:rPr>
      <w:rFonts w:ascii="Verdana" w:hAnsi="Verdana"/>
      <w:sz w:val="32"/>
      <w:szCs w:val="32"/>
      <w:lang w:eastAsia="en-US"/>
    </w:rPr>
  </w:style>
  <w:style w:type="paragraph" w:customStyle="1" w:styleId="CharCharCharCharCharCharCharCharCharCharChar1">
    <w:name w:val="Char Char Char Char Char Char Char Char Char Char Char1"/>
    <w:qFormat/>
    <w:pPr>
      <w:widowControl w:val="0"/>
      <w:spacing w:line="300" w:lineRule="auto"/>
      <w:ind w:firstLineChars="200" w:firstLine="480"/>
      <w:jc w:val="both"/>
    </w:pPr>
    <w:rPr>
      <w:rFonts w:eastAsia="仿宋_GB2312"/>
      <w:kern w:val="2"/>
      <w:sz w:val="24"/>
      <w:szCs w:val="24"/>
    </w:rPr>
  </w:style>
  <w:style w:type="paragraph" w:customStyle="1" w:styleId="2fff8">
    <w:name w:val="样式 标题 2 + 四号"/>
    <w:basedOn w:val="2"/>
    <w:qFormat/>
    <w:pPr>
      <w:keepNext/>
      <w:widowControl/>
      <w:numPr>
        <w:ilvl w:val="0"/>
        <w:numId w:val="0"/>
      </w:numPr>
      <w:pBdr>
        <w:bottom w:val="none" w:sz="0" w:space="0" w:color="auto"/>
      </w:pBdr>
      <w:tabs>
        <w:tab w:val="left" w:pos="142"/>
      </w:tabs>
      <w:spacing w:before="260" w:after="260"/>
      <w:ind w:rightChars="100" w:right="210" w:firstLineChars="49" w:firstLine="103"/>
      <w:jc w:val="left"/>
    </w:pPr>
    <w:rPr>
      <w:rFonts w:ascii="宋体" w:eastAsia="宋体" w:hAnsi="宋体"/>
      <w:b w:val="0"/>
      <w:bCs/>
      <w:kern w:val="2"/>
      <w:sz w:val="21"/>
      <w:szCs w:val="30"/>
    </w:rPr>
  </w:style>
  <w:style w:type="paragraph" w:customStyle="1" w:styleId="CharChar1Char1CharChar">
    <w:name w:val="Char Char1 Char1 Char Char"/>
    <w:basedOn w:val="a9"/>
    <w:qFormat/>
    <w:pPr>
      <w:widowControl/>
      <w:jc w:val="left"/>
    </w:pPr>
    <w:rPr>
      <w:rFonts w:ascii="Arial" w:hAnsi="Arial"/>
      <w:kern w:val="2"/>
      <w:sz w:val="24"/>
      <w:szCs w:val="24"/>
    </w:rPr>
  </w:style>
  <w:style w:type="paragraph" w:customStyle="1" w:styleId="Char2CharCharChar2CharCharChar1CharChar">
    <w:name w:val="Char2 Char Char Char2 Char Char Char1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1ffffff6">
    <w:name w:val="样式 正文首行缩进 + 四号 首行缩进:  1 字符"/>
    <w:basedOn w:val="af0"/>
    <w:qFormat/>
    <w:pPr>
      <w:widowControl/>
      <w:spacing w:after="0" w:line="500" w:lineRule="exact"/>
      <w:ind w:firstLine="480"/>
      <w:jc w:val="left"/>
    </w:pPr>
    <w:rPr>
      <w:kern w:val="2"/>
      <w:szCs w:val="24"/>
    </w:rPr>
  </w:style>
  <w:style w:type="paragraph" w:customStyle="1" w:styleId="Char131">
    <w:name w:val="Char131"/>
    <w:basedOn w:val="a9"/>
    <w:qFormat/>
    <w:pPr>
      <w:widowControl/>
      <w:jc w:val="left"/>
    </w:pPr>
    <w:rPr>
      <w:rFonts w:ascii="Tahoma" w:hAnsi="Tahoma"/>
      <w:kern w:val="2"/>
      <w:sz w:val="24"/>
    </w:rPr>
  </w:style>
  <w:style w:type="paragraph" w:customStyle="1" w:styleId="Char2CharCharChar11">
    <w:name w:val="Char2 Char Char Char11"/>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2CharCharChar2CharCharChar">
    <w:name w:val="Char2 Char Char Char2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1CharCharCharCharCharCharCharCharCharCharCharCharCharCharCharCharCharChar1CharCharCharCharCharCharCharCharCharCharCharChar">
    <w:name w:val="Char Char Char Char Char Char1 Char Char Char Char Char Char Char Char Char Char Char Char Char Char Char Char Char Char1 Char Char Char Char Char Char Char Char Char Char Char Char"/>
    <w:basedOn w:val="a9"/>
    <w:qFormat/>
    <w:pPr>
      <w:widowControl/>
      <w:jc w:val="left"/>
    </w:pPr>
    <w:rPr>
      <w:rFonts w:ascii="Arial" w:hAnsi="Arial"/>
      <w:kern w:val="2"/>
      <w:sz w:val="24"/>
      <w:szCs w:val="24"/>
    </w:rPr>
  </w:style>
  <w:style w:type="paragraph" w:customStyle="1" w:styleId="Char2CharCharCharCharCharCharCharCharChar">
    <w:name w:val="Char2 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question-title">
    <w:name w:val="question-title"/>
    <w:qFormat/>
  </w:style>
  <w:style w:type="paragraph" w:customStyle="1" w:styleId="CharCharCharCharCharChar31">
    <w:name w:val="Char Char Char Char Char Char31"/>
    <w:basedOn w:val="a9"/>
    <w:qFormat/>
    <w:pPr>
      <w:widowControl/>
      <w:jc w:val="left"/>
    </w:pPr>
    <w:rPr>
      <w:kern w:val="2"/>
      <w:sz w:val="24"/>
      <w:szCs w:val="24"/>
    </w:rPr>
  </w:style>
  <w:style w:type="paragraph" w:customStyle="1" w:styleId="Char1CharCharChar31">
    <w:name w:val="Char1 Char Char Char31"/>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xl138">
    <w:name w:val="xl138"/>
    <w:basedOn w:val="a9"/>
    <w:qFormat/>
    <w:pPr>
      <w:widowControl/>
      <w:pBdr>
        <w:right w:val="single" w:sz="8" w:space="0" w:color="000000"/>
      </w:pBdr>
      <w:spacing w:before="100" w:beforeAutospacing="1" w:after="100" w:afterAutospacing="1"/>
      <w:jc w:val="center"/>
    </w:pPr>
    <w:rPr>
      <w:sz w:val="18"/>
      <w:szCs w:val="18"/>
    </w:rPr>
  </w:style>
  <w:style w:type="paragraph" w:customStyle="1" w:styleId="xl139">
    <w:name w:val="xl139"/>
    <w:basedOn w:val="a9"/>
    <w:qFormat/>
    <w:pPr>
      <w:widowControl/>
      <w:pBdr>
        <w:top w:val="single" w:sz="8" w:space="0" w:color="000000"/>
        <w:left w:val="single" w:sz="8" w:space="0" w:color="auto"/>
      </w:pBdr>
      <w:spacing w:before="100" w:beforeAutospacing="1" w:after="100" w:afterAutospacing="1"/>
      <w:jc w:val="center"/>
    </w:pPr>
    <w:rPr>
      <w:sz w:val="18"/>
      <w:szCs w:val="18"/>
    </w:rPr>
  </w:style>
  <w:style w:type="paragraph" w:customStyle="1" w:styleId="xl140">
    <w:name w:val="xl140"/>
    <w:basedOn w:val="a9"/>
    <w:qFormat/>
    <w:pPr>
      <w:widowControl/>
      <w:pBdr>
        <w:left w:val="single" w:sz="8" w:space="0" w:color="auto"/>
      </w:pBdr>
      <w:spacing w:before="100" w:beforeAutospacing="1" w:after="100" w:afterAutospacing="1"/>
      <w:jc w:val="center"/>
    </w:pPr>
    <w:rPr>
      <w:sz w:val="18"/>
      <w:szCs w:val="18"/>
    </w:rPr>
  </w:style>
  <w:style w:type="paragraph" w:customStyle="1" w:styleId="xl141">
    <w:name w:val="xl141"/>
    <w:basedOn w:val="a9"/>
    <w:qFormat/>
    <w:pPr>
      <w:widowControl/>
      <w:pBdr>
        <w:left w:val="single" w:sz="8" w:space="0" w:color="auto"/>
        <w:bottom w:val="single" w:sz="8" w:space="0" w:color="000000"/>
      </w:pBdr>
      <w:spacing w:before="100" w:beforeAutospacing="1" w:after="100" w:afterAutospacing="1"/>
      <w:jc w:val="center"/>
    </w:pPr>
    <w:rPr>
      <w:sz w:val="18"/>
      <w:szCs w:val="18"/>
    </w:rPr>
  </w:style>
  <w:style w:type="paragraph" w:customStyle="1" w:styleId="xl142">
    <w:name w:val="xl142"/>
    <w:basedOn w:val="a9"/>
    <w:qFormat/>
    <w:pPr>
      <w:widowControl/>
      <w:pBdr>
        <w:top w:val="single" w:sz="8" w:space="0" w:color="000000"/>
        <w:left w:val="single" w:sz="8" w:space="0" w:color="000000"/>
        <w:bottom w:val="single" w:sz="8" w:space="0" w:color="000000"/>
      </w:pBdr>
      <w:spacing w:before="100" w:beforeAutospacing="1" w:after="100" w:afterAutospacing="1"/>
      <w:jc w:val="center"/>
    </w:pPr>
    <w:rPr>
      <w:rFonts w:ascii="宋体" w:hAnsi="宋体" w:cs="宋体"/>
      <w:sz w:val="18"/>
      <w:szCs w:val="18"/>
    </w:rPr>
  </w:style>
  <w:style w:type="paragraph" w:customStyle="1" w:styleId="xl143">
    <w:name w:val="xl143"/>
    <w:basedOn w:val="a9"/>
    <w:qFormat/>
    <w:pPr>
      <w:widowControl/>
      <w:pBdr>
        <w:top w:val="single" w:sz="8" w:space="0" w:color="000000"/>
        <w:bottom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44">
    <w:name w:val="xl144"/>
    <w:basedOn w:val="a9"/>
    <w:qFormat/>
    <w:pPr>
      <w:widowControl/>
      <w:pBdr>
        <w:left w:val="single" w:sz="8" w:space="0" w:color="000000"/>
        <w:bottom w:val="single" w:sz="8" w:space="0" w:color="000000"/>
      </w:pBdr>
      <w:spacing w:before="100" w:beforeAutospacing="1" w:after="100" w:afterAutospacing="1"/>
      <w:jc w:val="center"/>
    </w:pPr>
    <w:rPr>
      <w:sz w:val="18"/>
      <w:szCs w:val="18"/>
    </w:rPr>
  </w:style>
  <w:style w:type="paragraph" w:customStyle="1" w:styleId="xl145">
    <w:name w:val="xl145"/>
    <w:basedOn w:val="a9"/>
    <w:qFormat/>
    <w:pPr>
      <w:widowControl/>
      <w:pBdr>
        <w:bottom w:val="single" w:sz="8" w:space="0" w:color="000000"/>
      </w:pBdr>
      <w:spacing w:before="100" w:beforeAutospacing="1" w:after="100" w:afterAutospacing="1"/>
      <w:jc w:val="center"/>
    </w:pPr>
    <w:rPr>
      <w:sz w:val="18"/>
      <w:szCs w:val="18"/>
    </w:rPr>
  </w:style>
  <w:style w:type="paragraph" w:customStyle="1" w:styleId="xl146">
    <w:name w:val="xl146"/>
    <w:basedOn w:val="a9"/>
    <w:qFormat/>
    <w:pPr>
      <w:widowControl/>
      <w:pBdr>
        <w:top w:val="single" w:sz="12" w:space="0" w:color="000000"/>
        <w:left w:val="single" w:sz="8" w:space="0" w:color="auto"/>
      </w:pBdr>
      <w:spacing w:before="100" w:beforeAutospacing="1" w:after="100" w:afterAutospacing="1"/>
      <w:jc w:val="center"/>
    </w:pPr>
    <w:rPr>
      <w:rFonts w:ascii="宋体" w:hAnsi="宋体" w:cs="宋体"/>
      <w:sz w:val="18"/>
      <w:szCs w:val="18"/>
    </w:rPr>
  </w:style>
  <w:style w:type="paragraph" w:customStyle="1" w:styleId="xl147">
    <w:name w:val="xl147"/>
    <w:basedOn w:val="a9"/>
    <w:qFormat/>
    <w:pPr>
      <w:widowControl/>
      <w:pBdr>
        <w:left w:val="single" w:sz="8" w:space="0" w:color="auto"/>
        <w:bottom w:val="single" w:sz="12" w:space="0" w:color="000000"/>
      </w:pBdr>
      <w:spacing w:before="100" w:beforeAutospacing="1" w:after="100" w:afterAutospacing="1"/>
      <w:jc w:val="center"/>
    </w:pPr>
    <w:rPr>
      <w:rFonts w:ascii="宋体" w:hAnsi="宋体" w:cs="宋体"/>
      <w:sz w:val="18"/>
      <w:szCs w:val="18"/>
    </w:rPr>
  </w:style>
  <w:style w:type="paragraph" w:customStyle="1" w:styleId="xl148">
    <w:name w:val="xl148"/>
    <w:basedOn w:val="a9"/>
    <w:qFormat/>
    <w:pPr>
      <w:widowControl/>
      <w:pBdr>
        <w:top w:val="single" w:sz="12" w:space="0" w:color="000000"/>
        <w:right w:val="single" w:sz="8" w:space="0" w:color="000000"/>
      </w:pBdr>
      <w:spacing w:before="100" w:beforeAutospacing="1" w:after="100" w:afterAutospacing="1"/>
      <w:jc w:val="center"/>
    </w:pPr>
    <w:rPr>
      <w:sz w:val="18"/>
      <w:szCs w:val="18"/>
    </w:rPr>
  </w:style>
  <w:style w:type="paragraph" w:customStyle="1" w:styleId="xl149">
    <w:name w:val="xl149"/>
    <w:basedOn w:val="a9"/>
    <w:qFormat/>
    <w:pPr>
      <w:widowControl/>
      <w:pBdr>
        <w:top w:val="single" w:sz="12" w:space="0" w:color="000000"/>
        <w:left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0">
    <w:name w:val="xl150"/>
    <w:basedOn w:val="a9"/>
    <w:qFormat/>
    <w:pPr>
      <w:widowControl/>
      <w:pBdr>
        <w:top w:val="single" w:sz="12" w:space="0" w:color="000000"/>
        <w:left w:val="single" w:sz="8" w:space="0" w:color="000000"/>
      </w:pBdr>
      <w:spacing w:before="100" w:beforeAutospacing="1" w:after="100" w:afterAutospacing="1"/>
      <w:jc w:val="center"/>
    </w:pPr>
    <w:rPr>
      <w:sz w:val="18"/>
      <w:szCs w:val="18"/>
    </w:rPr>
  </w:style>
  <w:style w:type="paragraph" w:customStyle="1" w:styleId="xl151">
    <w:name w:val="xl151"/>
    <w:basedOn w:val="a9"/>
    <w:qFormat/>
    <w:pPr>
      <w:widowControl/>
      <w:pBdr>
        <w:top w:val="single" w:sz="12" w:space="0" w:color="000000"/>
      </w:pBdr>
      <w:spacing w:before="100" w:beforeAutospacing="1" w:after="100" w:afterAutospacing="1"/>
      <w:jc w:val="center"/>
    </w:pPr>
    <w:rPr>
      <w:sz w:val="18"/>
      <w:szCs w:val="18"/>
    </w:rPr>
  </w:style>
  <w:style w:type="paragraph" w:customStyle="1" w:styleId="xl152">
    <w:name w:val="xl152"/>
    <w:basedOn w:val="a9"/>
    <w:qFormat/>
    <w:pPr>
      <w:widowControl/>
      <w:pBdr>
        <w:top w:val="single" w:sz="12" w:space="0" w:color="000000"/>
        <w:left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3">
    <w:name w:val="xl153"/>
    <w:basedOn w:val="a9"/>
    <w:qFormat/>
    <w:pPr>
      <w:widowControl/>
      <w:pBdr>
        <w:top w:val="single" w:sz="12" w:space="0" w:color="000000"/>
        <w:left w:val="single" w:sz="8" w:space="0" w:color="auto"/>
      </w:pBdr>
      <w:spacing w:before="100" w:beforeAutospacing="1" w:after="100" w:afterAutospacing="1"/>
      <w:jc w:val="center"/>
    </w:pPr>
    <w:rPr>
      <w:sz w:val="18"/>
      <w:szCs w:val="18"/>
    </w:rPr>
  </w:style>
  <w:style w:type="paragraph" w:customStyle="1" w:styleId="xl154">
    <w:name w:val="xl154"/>
    <w:basedOn w:val="a9"/>
    <w:qFormat/>
    <w:pPr>
      <w:widowControl/>
      <w:pBdr>
        <w:top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5">
    <w:name w:val="xl155"/>
    <w:basedOn w:val="a9"/>
    <w:qFormat/>
    <w:pPr>
      <w:widowControl/>
      <w:pBdr>
        <w:left w:val="single" w:sz="8" w:space="0" w:color="000000"/>
        <w:bottom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6">
    <w:name w:val="xl156"/>
    <w:basedOn w:val="a9"/>
    <w:qFormat/>
    <w:pPr>
      <w:widowControl/>
      <w:pBdr>
        <w:top w:val="single" w:sz="12" w:space="0" w:color="000000"/>
        <w:left w:val="single" w:sz="8" w:space="0" w:color="000000"/>
      </w:pBdr>
      <w:spacing w:before="100" w:beforeAutospacing="1" w:after="100" w:afterAutospacing="1"/>
      <w:jc w:val="center"/>
    </w:pPr>
    <w:rPr>
      <w:rFonts w:ascii="宋体" w:hAnsi="宋体" w:cs="宋体"/>
      <w:sz w:val="18"/>
      <w:szCs w:val="18"/>
    </w:rPr>
  </w:style>
  <w:style w:type="paragraph" w:customStyle="1" w:styleId="xl157">
    <w:name w:val="xl157"/>
    <w:basedOn w:val="a9"/>
    <w:qFormat/>
    <w:pPr>
      <w:widowControl/>
      <w:pBdr>
        <w:top w:val="single" w:sz="12" w:space="0" w:color="000000"/>
      </w:pBdr>
      <w:spacing w:before="100" w:beforeAutospacing="1" w:after="100" w:afterAutospacing="1"/>
      <w:jc w:val="center"/>
    </w:pPr>
    <w:rPr>
      <w:rFonts w:ascii="宋体" w:hAnsi="宋体" w:cs="宋体"/>
      <w:sz w:val="18"/>
      <w:szCs w:val="18"/>
    </w:rPr>
  </w:style>
  <w:style w:type="paragraph" w:customStyle="1" w:styleId="xl158">
    <w:name w:val="xl158"/>
    <w:basedOn w:val="a9"/>
    <w:qFormat/>
    <w:pPr>
      <w:widowControl/>
      <w:pBdr>
        <w:left w:val="single" w:sz="8" w:space="0" w:color="000000"/>
        <w:bottom w:val="single" w:sz="12" w:space="0" w:color="000000"/>
      </w:pBdr>
      <w:spacing w:before="100" w:beforeAutospacing="1" w:after="100" w:afterAutospacing="1"/>
      <w:jc w:val="center"/>
    </w:pPr>
    <w:rPr>
      <w:rFonts w:ascii="宋体" w:hAnsi="宋体" w:cs="宋体"/>
      <w:sz w:val="18"/>
      <w:szCs w:val="18"/>
    </w:rPr>
  </w:style>
  <w:style w:type="paragraph" w:customStyle="1" w:styleId="xl159">
    <w:name w:val="xl159"/>
    <w:basedOn w:val="a9"/>
    <w:qFormat/>
    <w:pPr>
      <w:widowControl/>
      <w:pBdr>
        <w:bottom w:val="single" w:sz="12" w:space="0" w:color="000000"/>
      </w:pBdr>
      <w:spacing w:before="100" w:beforeAutospacing="1" w:after="100" w:afterAutospacing="1"/>
      <w:jc w:val="center"/>
    </w:pPr>
    <w:rPr>
      <w:rFonts w:ascii="宋体" w:hAnsi="宋体" w:cs="宋体"/>
      <w:sz w:val="18"/>
      <w:szCs w:val="18"/>
    </w:rPr>
  </w:style>
  <w:style w:type="paragraph" w:customStyle="1" w:styleId="xl160">
    <w:name w:val="xl160"/>
    <w:basedOn w:val="a9"/>
    <w:qFormat/>
    <w:pPr>
      <w:widowControl/>
      <w:pBdr>
        <w:top w:val="single" w:sz="12" w:space="0" w:color="000000"/>
        <w:left w:val="single" w:sz="8" w:space="0" w:color="000000"/>
      </w:pBdr>
      <w:spacing w:before="100" w:beforeAutospacing="1" w:after="100" w:afterAutospacing="1"/>
      <w:jc w:val="center"/>
    </w:pPr>
    <w:rPr>
      <w:rFonts w:ascii="宋体" w:hAnsi="宋体" w:cs="宋体"/>
      <w:sz w:val="18"/>
      <w:szCs w:val="18"/>
    </w:rPr>
  </w:style>
  <w:style w:type="paragraph" w:customStyle="1" w:styleId="xl161">
    <w:name w:val="xl161"/>
    <w:basedOn w:val="a9"/>
    <w:qFormat/>
    <w:pPr>
      <w:widowControl/>
      <w:pBdr>
        <w:top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62">
    <w:name w:val="xl162"/>
    <w:basedOn w:val="a9"/>
    <w:qFormat/>
    <w:pPr>
      <w:widowControl/>
      <w:pBdr>
        <w:top w:val="single" w:sz="12" w:space="0" w:color="000000"/>
        <w:left w:val="single" w:sz="8" w:space="0" w:color="000000"/>
        <w:bottom w:val="single" w:sz="8" w:space="0" w:color="auto"/>
      </w:pBdr>
      <w:spacing w:before="100" w:beforeAutospacing="1" w:after="100" w:afterAutospacing="1"/>
      <w:jc w:val="center"/>
    </w:pPr>
    <w:rPr>
      <w:rFonts w:ascii="宋体" w:hAnsi="宋体" w:cs="宋体"/>
      <w:sz w:val="18"/>
      <w:szCs w:val="18"/>
    </w:rPr>
  </w:style>
  <w:style w:type="paragraph" w:customStyle="1" w:styleId="xl163">
    <w:name w:val="xl163"/>
    <w:basedOn w:val="a9"/>
    <w:qFormat/>
    <w:pPr>
      <w:widowControl/>
      <w:pBdr>
        <w:top w:val="single" w:sz="12" w:space="0" w:color="000000"/>
        <w:bottom w:val="single" w:sz="8" w:space="0" w:color="auto"/>
      </w:pBdr>
      <w:spacing w:before="100" w:beforeAutospacing="1" w:after="100" w:afterAutospacing="1"/>
      <w:jc w:val="center"/>
    </w:pPr>
    <w:rPr>
      <w:rFonts w:ascii="宋体" w:hAnsi="宋体" w:cs="宋体"/>
      <w:sz w:val="18"/>
      <w:szCs w:val="18"/>
    </w:rPr>
  </w:style>
  <w:style w:type="paragraph" w:customStyle="1" w:styleId="xl164">
    <w:name w:val="xl164"/>
    <w:basedOn w:val="a9"/>
    <w:qFormat/>
    <w:pPr>
      <w:widowControl/>
      <w:pBdr>
        <w:top w:val="single" w:sz="12" w:space="0" w:color="000000"/>
        <w:bottom w:val="single" w:sz="8" w:space="0" w:color="auto"/>
        <w:right w:val="single" w:sz="8" w:space="0" w:color="auto"/>
      </w:pBdr>
      <w:spacing w:before="100" w:beforeAutospacing="1" w:after="100" w:afterAutospacing="1"/>
      <w:jc w:val="center"/>
    </w:pPr>
    <w:rPr>
      <w:rFonts w:ascii="宋体" w:hAnsi="宋体" w:cs="宋体"/>
      <w:sz w:val="18"/>
      <w:szCs w:val="18"/>
    </w:rPr>
  </w:style>
  <w:style w:type="paragraph" w:customStyle="1" w:styleId="xl165">
    <w:name w:val="xl165"/>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66">
    <w:name w:val="xl166"/>
    <w:basedOn w:val="a9"/>
    <w:qFormat/>
    <w:pPr>
      <w:widowControl/>
      <w:pBdr>
        <w:top w:val="single" w:sz="8" w:space="0" w:color="000000"/>
      </w:pBdr>
      <w:spacing w:before="100" w:beforeAutospacing="1" w:after="100" w:afterAutospacing="1"/>
      <w:jc w:val="center"/>
    </w:pPr>
    <w:rPr>
      <w:rFonts w:ascii="宋体" w:hAnsi="宋体" w:cs="宋体"/>
      <w:sz w:val="18"/>
      <w:szCs w:val="18"/>
    </w:rPr>
  </w:style>
  <w:style w:type="paragraph" w:customStyle="1" w:styleId="xl167">
    <w:name w:val="xl167"/>
    <w:basedOn w:val="a9"/>
    <w:qFormat/>
    <w:pPr>
      <w:widowControl/>
      <w:spacing w:before="100" w:beforeAutospacing="1" w:after="100" w:afterAutospacing="1"/>
      <w:jc w:val="center"/>
    </w:pPr>
    <w:rPr>
      <w:rFonts w:ascii="宋体" w:hAnsi="宋体" w:cs="宋体"/>
      <w:sz w:val="18"/>
      <w:szCs w:val="18"/>
    </w:rPr>
  </w:style>
  <w:style w:type="paragraph" w:customStyle="1" w:styleId="xl168">
    <w:name w:val="xl168"/>
    <w:basedOn w:val="a9"/>
    <w:qFormat/>
    <w:pPr>
      <w:widowControl/>
      <w:spacing w:before="100" w:beforeAutospacing="1" w:after="100" w:afterAutospacing="1"/>
      <w:jc w:val="center"/>
    </w:pPr>
    <w:rPr>
      <w:rFonts w:ascii="宋体" w:hAnsi="宋体" w:cs="宋体"/>
      <w:sz w:val="24"/>
      <w:szCs w:val="24"/>
    </w:rPr>
  </w:style>
  <w:style w:type="paragraph" w:customStyle="1" w:styleId="xl169">
    <w:name w:val="xl169"/>
    <w:basedOn w:val="a9"/>
    <w:qFormat/>
    <w:pPr>
      <w:widowControl/>
      <w:pBdr>
        <w:top w:val="single" w:sz="12" w:space="0" w:color="000000"/>
      </w:pBdr>
      <w:spacing w:before="100" w:beforeAutospacing="1" w:after="100" w:afterAutospacing="1"/>
      <w:jc w:val="center"/>
    </w:pPr>
    <w:rPr>
      <w:rFonts w:ascii="宋体" w:hAnsi="宋体" w:cs="宋体"/>
      <w:sz w:val="24"/>
      <w:szCs w:val="24"/>
    </w:rPr>
  </w:style>
  <w:style w:type="paragraph" w:customStyle="1" w:styleId="xl170">
    <w:name w:val="xl170"/>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1">
    <w:name w:val="xl171"/>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2">
    <w:name w:val="xl172"/>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3">
    <w:name w:val="xl173"/>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4">
    <w:name w:val="xl174"/>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5">
    <w:name w:val="xl175"/>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6">
    <w:name w:val="xl176"/>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7">
    <w:name w:val="xl177"/>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8">
    <w:name w:val="xl178"/>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9">
    <w:name w:val="xl179"/>
    <w:basedOn w:val="a9"/>
    <w:qFormat/>
    <w:pPr>
      <w:widowControl/>
      <w:pBdr>
        <w:bottom w:val="single" w:sz="8" w:space="0" w:color="000000"/>
        <w:right w:val="single" w:sz="8" w:space="0" w:color="000000"/>
      </w:pBdr>
      <w:shd w:val="clear" w:color="000000" w:fill="FFFF00"/>
      <w:spacing w:before="100" w:beforeAutospacing="1" w:after="100" w:afterAutospacing="1"/>
      <w:jc w:val="center"/>
    </w:pPr>
    <w:rPr>
      <w:sz w:val="18"/>
      <w:szCs w:val="18"/>
    </w:rPr>
  </w:style>
  <w:style w:type="character" w:customStyle="1" w:styleId="st1">
    <w:name w:val="st1"/>
    <w:qFormat/>
  </w:style>
  <w:style w:type="paragraph" w:customStyle="1" w:styleId="CharCharCharCharCharCharChar31">
    <w:name w:val="Char Char Char Char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1831">
    <w:name w:val="Char Char1831"/>
    <w:qFormat/>
    <w:rPr>
      <w:rFonts w:ascii="Arial" w:eastAsia="宋体" w:hAnsi="Arial"/>
      <w:b/>
      <w:bCs/>
      <w:kern w:val="2"/>
      <w:sz w:val="32"/>
      <w:szCs w:val="32"/>
      <w:lang w:val="en-US" w:eastAsia="zh-CN" w:bidi="ar-SA"/>
    </w:rPr>
  </w:style>
  <w:style w:type="paragraph" w:customStyle="1" w:styleId="CharCharCharCharCharChar1CharCharCharChar31">
    <w:name w:val="Char Char Char Char Char Char1 Char Char Char Char31"/>
    <w:basedOn w:val="a9"/>
    <w:qFormat/>
    <w:pPr>
      <w:widowControl/>
      <w:jc w:val="left"/>
    </w:pPr>
    <w:rPr>
      <w:rFonts w:ascii="Tahoma" w:hAnsi="Tahoma"/>
      <w:kern w:val="2"/>
      <w:sz w:val="24"/>
    </w:rPr>
  </w:style>
  <w:style w:type="paragraph" w:customStyle="1" w:styleId="CM71">
    <w:name w:val="CM71"/>
    <w:basedOn w:val="Default"/>
    <w:next w:val="Default"/>
    <w:qFormat/>
    <w:pPr>
      <w:spacing w:after="210"/>
    </w:pPr>
    <w:rPr>
      <w:rFonts w:ascii="仿宋_GB2312" w:eastAsia="仿宋_GB2312" w:cs="Times New Roman"/>
      <w:color w:val="auto"/>
    </w:rPr>
  </w:style>
  <w:style w:type="paragraph" w:customStyle="1" w:styleId="CM19">
    <w:name w:val="CM19"/>
    <w:basedOn w:val="Default"/>
    <w:next w:val="Default"/>
    <w:qFormat/>
    <w:pPr>
      <w:spacing w:line="460" w:lineRule="atLeast"/>
    </w:pPr>
    <w:rPr>
      <w:rFonts w:ascii="仿宋_GB2312" w:eastAsia="仿宋_GB2312" w:cs="Times New Roman"/>
      <w:color w:val="auto"/>
    </w:rPr>
  </w:style>
  <w:style w:type="paragraph" w:customStyle="1" w:styleId="CM21">
    <w:name w:val="CM21"/>
    <w:basedOn w:val="Default"/>
    <w:next w:val="Default"/>
    <w:qFormat/>
    <w:pPr>
      <w:spacing w:line="460" w:lineRule="atLeast"/>
    </w:pPr>
    <w:rPr>
      <w:rFonts w:ascii="仿宋_GB2312" w:eastAsia="仿宋_GB2312" w:cs="Times New Roman"/>
      <w:color w:val="auto"/>
    </w:rPr>
  </w:style>
  <w:style w:type="paragraph" w:customStyle="1" w:styleId="CM83">
    <w:name w:val="CM83"/>
    <w:basedOn w:val="a9"/>
    <w:next w:val="a9"/>
    <w:qFormat/>
    <w:pPr>
      <w:widowControl/>
      <w:autoSpaceDE w:val="0"/>
      <w:autoSpaceDN w:val="0"/>
      <w:adjustRightInd w:val="0"/>
      <w:spacing w:after="128"/>
      <w:jc w:val="left"/>
    </w:pPr>
    <w:rPr>
      <w:rFonts w:ascii="Arial Unicode MS" w:eastAsia="Arial Unicode MS" w:hAnsi="Calibri" w:cs="Arial Unicode MS"/>
      <w:sz w:val="24"/>
      <w:szCs w:val="24"/>
    </w:rPr>
  </w:style>
  <w:style w:type="paragraph" w:customStyle="1" w:styleId="CharCharCharCharCharCharCharCharCharChar41">
    <w:name w:val="Char Char Char Char Char Char Char Char Char Char41"/>
    <w:basedOn w:val="a9"/>
    <w:qFormat/>
    <w:pPr>
      <w:widowControl/>
      <w:jc w:val="left"/>
    </w:pPr>
    <w:rPr>
      <w:kern w:val="2"/>
      <w:sz w:val="24"/>
      <w:szCs w:val="24"/>
    </w:rPr>
  </w:style>
  <w:style w:type="character" w:customStyle="1" w:styleId="keyword1">
    <w:name w:val="keyword1"/>
    <w:qFormat/>
    <w:rPr>
      <w:color w:val="FF0000"/>
    </w:rPr>
  </w:style>
  <w:style w:type="character" w:customStyle="1" w:styleId="Char11">
    <w:name w:val="普通(网站) Char1"/>
    <w:link w:val="afff"/>
    <w:uiPriority w:val="99"/>
    <w:qFormat/>
    <w:rPr>
      <w:rFonts w:ascii="Arial Unicode MS" w:eastAsia="Arial Unicode MS" w:hAnsi="Arial Unicode MS" w:cs="Arial Unicode MS"/>
      <w:sz w:val="24"/>
    </w:rPr>
  </w:style>
  <w:style w:type="character" w:customStyle="1" w:styleId="highlight1">
    <w:name w:val="highlight1"/>
    <w:semiHidden/>
    <w:qFormat/>
    <w:rPr>
      <w:sz w:val="21"/>
      <w:szCs w:val="21"/>
    </w:rPr>
  </w:style>
  <w:style w:type="character" w:customStyle="1" w:styleId="21e">
    <w:name w:val="字元 字元21"/>
    <w:semiHidden/>
    <w:qFormat/>
    <w:rPr>
      <w:rFonts w:ascii="Arial" w:eastAsia="黑体" w:hAnsi="Arial"/>
      <w:b/>
      <w:bCs/>
      <w:kern w:val="2"/>
      <w:sz w:val="32"/>
      <w:szCs w:val="32"/>
      <w:lang w:val="en-US" w:eastAsia="zh-CN" w:bidi="ar-SA"/>
    </w:rPr>
  </w:style>
  <w:style w:type="character" w:customStyle="1" w:styleId="135">
    <w:name w:val="字元 字元13"/>
    <w:semiHidden/>
    <w:qFormat/>
    <w:rPr>
      <w:rFonts w:eastAsia="宋体"/>
      <w:b/>
      <w:bCs/>
      <w:kern w:val="2"/>
      <w:sz w:val="32"/>
      <w:szCs w:val="32"/>
      <w:lang w:val="en-US" w:eastAsia="zh-CN" w:bidi="ar-SA"/>
    </w:rPr>
  </w:style>
  <w:style w:type="character" w:customStyle="1" w:styleId="4f9">
    <w:name w:val="字元 字元4"/>
    <w:semiHidden/>
    <w:qFormat/>
    <w:rPr>
      <w:rFonts w:eastAsia="宋体"/>
      <w:kern w:val="2"/>
      <w:sz w:val="21"/>
      <w:szCs w:val="24"/>
      <w:lang w:val="en-US" w:eastAsia="zh-CN" w:bidi="ar-SA"/>
    </w:rPr>
  </w:style>
  <w:style w:type="paragraph" w:customStyle="1" w:styleId="DefaultText">
    <w:name w:val="Default Text"/>
    <w:basedOn w:val="a9"/>
    <w:semiHidden/>
    <w:qFormat/>
    <w:pPr>
      <w:widowControl/>
      <w:overflowPunct w:val="0"/>
      <w:autoSpaceDE w:val="0"/>
      <w:autoSpaceDN w:val="0"/>
      <w:adjustRightInd w:val="0"/>
      <w:jc w:val="left"/>
      <w:textAlignment w:val="baseline"/>
    </w:pPr>
    <w:rPr>
      <w:rFonts w:ascii="MingLiU" w:eastAsia="MingLiU"/>
      <w:sz w:val="24"/>
      <w:lang w:eastAsia="zh-TW"/>
    </w:rPr>
  </w:style>
  <w:style w:type="paragraph" w:customStyle="1" w:styleId="style4">
    <w:name w:val="style4"/>
    <w:basedOn w:val="a9"/>
    <w:semiHidden/>
    <w:qFormat/>
    <w:pPr>
      <w:widowControl/>
      <w:spacing w:before="100" w:beforeAutospacing="1" w:after="100" w:afterAutospacing="1"/>
      <w:jc w:val="left"/>
    </w:pPr>
    <w:rPr>
      <w:rFonts w:ascii="宋体" w:hAnsi="宋体"/>
      <w:b/>
      <w:bCs/>
      <w:color w:val="000000"/>
      <w:sz w:val="24"/>
      <w:szCs w:val="24"/>
    </w:rPr>
  </w:style>
  <w:style w:type="table" w:customStyle="1" w:styleId="afffffffffffffffffffffff4">
    <w:name w:val="君邦表格"/>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afffffffffffffffffffffff5">
    <w:name w:val="君邦表格（表）"/>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f1">
    <w:name w:val="f1"/>
    <w:basedOn w:val="a9"/>
    <w:qFormat/>
    <w:pPr>
      <w:widowControl/>
      <w:spacing w:before="100" w:beforeAutospacing="1" w:after="100" w:afterAutospacing="1"/>
      <w:jc w:val="left"/>
    </w:pPr>
    <w:rPr>
      <w:rFonts w:ascii="宋体" w:hAnsi="宋体" w:cs="宋体"/>
      <w:color w:val="6C0000"/>
      <w:sz w:val="24"/>
      <w:szCs w:val="24"/>
    </w:rPr>
  </w:style>
  <w:style w:type="paragraph" w:customStyle="1" w:styleId="Char4CharCharChar1">
    <w:name w:val="Char4 Char Char Char1"/>
    <w:basedOn w:val="a9"/>
    <w:qFormat/>
    <w:pPr>
      <w:widowControl/>
      <w:spacing w:line="360" w:lineRule="auto"/>
      <w:jc w:val="left"/>
    </w:pPr>
    <w:rPr>
      <w:rFonts w:ascii="宋体" w:hAnsi="宋体" w:cs="宋体"/>
      <w:kern w:val="2"/>
      <w:sz w:val="24"/>
      <w:szCs w:val="24"/>
    </w:rPr>
  </w:style>
  <w:style w:type="paragraph" w:customStyle="1" w:styleId="CharCharCharCharCharCharCharCharCharCharCharCharChar11">
    <w:name w:val="Char Char Char Char Char Char Char Char Char Char Char Char Char11"/>
    <w:basedOn w:val="a9"/>
    <w:qFormat/>
    <w:pPr>
      <w:widowControl/>
      <w:spacing w:afterLines="50" w:line="560" w:lineRule="exact"/>
      <w:jc w:val="left"/>
    </w:pPr>
    <w:rPr>
      <w:rFonts w:ascii="Verdana" w:eastAsia="仿宋_GB2312" w:hAnsi="Verdana"/>
      <w:sz w:val="28"/>
      <w:lang w:eastAsia="en-US"/>
    </w:rPr>
  </w:style>
  <w:style w:type="paragraph" w:customStyle="1" w:styleId="afffffffffffffffffffffff6">
    <w:name w:val="样式 君邦正文 + 蓝色"/>
    <w:basedOn w:val="affff7"/>
    <w:qFormat/>
    <w:pPr>
      <w:widowControl w:val="0"/>
    </w:pPr>
    <w:rPr>
      <w:snapToGrid/>
      <w:color w:val="0000FF"/>
      <w:kern w:val="2"/>
      <w:szCs w:val="24"/>
      <w:lang w:val="pt-BR"/>
    </w:rPr>
  </w:style>
  <w:style w:type="paragraph" w:customStyle="1" w:styleId="CharCharCharCharCharCharChar1CharCharChar4">
    <w:name w:val="Char Char Char Char Char Char Char1 Char Char Char4"/>
    <w:basedOn w:val="a9"/>
    <w:qFormat/>
    <w:pPr>
      <w:widowControl/>
      <w:spacing w:line="360" w:lineRule="auto"/>
      <w:jc w:val="left"/>
    </w:pPr>
    <w:rPr>
      <w:rFonts w:ascii="宋体" w:hAnsi="宋体" w:cs="宋体"/>
      <w:sz w:val="24"/>
      <w:szCs w:val="21"/>
    </w:rPr>
  </w:style>
  <w:style w:type="character" w:customStyle="1" w:styleId="4Char3">
    <w:name w:val="样式4 Char"/>
    <w:link w:val="4f1"/>
    <w:qFormat/>
    <w:rPr>
      <w:rFonts w:ascii="宋体" w:hAnsi="宋体"/>
      <w:sz w:val="21"/>
      <w:szCs w:val="21"/>
    </w:rPr>
  </w:style>
  <w:style w:type="paragraph" w:customStyle="1" w:styleId="ParaCharCharCharCharCharCharChar">
    <w:name w:val="默认段落字体 Para Char Char Char Char Char Char Char"/>
    <w:basedOn w:val="a9"/>
    <w:qFormat/>
    <w:pPr>
      <w:widowControl/>
      <w:jc w:val="left"/>
    </w:pPr>
    <w:rPr>
      <w:kern w:val="2"/>
      <w:sz w:val="24"/>
      <w:szCs w:val="24"/>
    </w:rPr>
  </w:style>
  <w:style w:type="paragraph" w:customStyle="1" w:styleId="zxz5">
    <w:name w:val="zxz5"/>
    <w:next w:val="a9"/>
    <w:qFormat/>
    <w:pPr>
      <w:tabs>
        <w:tab w:val="left" w:pos="0"/>
      </w:tabs>
      <w:jc w:val="center"/>
    </w:pPr>
    <w:rPr>
      <w:rFonts w:ascii="宋体" w:eastAsia="Times New Roman" w:hAnsi="宋体" w:cs="宋体"/>
      <w:bCs/>
      <w:kern w:val="2"/>
      <w:sz w:val="18"/>
      <w:szCs w:val="18"/>
    </w:rPr>
  </w:style>
  <w:style w:type="paragraph" w:customStyle="1" w:styleId="CharChar1CharCharCharCharCharCharChar2">
    <w:name w:val="Char Char1 Char Char Char Char Char Char Char2"/>
    <w:basedOn w:val="a9"/>
    <w:qFormat/>
    <w:pPr>
      <w:widowControl/>
      <w:spacing w:line="360" w:lineRule="auto"/>
      <w:ind w:firstLineChars="200" w:firstLine="200"/>
      <w:jc w:val="left"/>
    </w:pPr>
    <w:rPr>
      <w:rFonts w:ascii="宋体" w:hAnsi="宋体" w:cs="宋体"/>
      <w:kern w:val="2"/>
      <w:sz w:val="24"/>
      <w:szCs w:val="24"/>
    </w:rPr>
  </w:style>
  <w:style w:type="character" w:customStyle="1" w:styleId="xbt4">
    <w:name w:val="xbt4"/>
    <w:qFormat/>
  </w:style>
  <w:style w:type="character" w:customStyle="1" w:styleId="CharChar631">
    <w:name w:val="Char Char631"/>
    <w:qFormat/>
    <w:rPr>
      <w:rFonts w:eastAsia="宋体"/>
      <w:kern w:val="2"/>
      <w:sz w:val="24"/>
      <w:lang w:val="en-US" w:eastAsia="zh-CN" w:bidi="ar-SA"/>
    </w:rPr>
  </w:style>
  <w:style w:type="paragraph" w:customStyle="1" w:styleId="jie">
    <w:name w:val="jie"/>
    <w:basedOn w:val="a9"/>
    <w:qFormat/>
    <w:pPr>
      <w:widowControl/>
      <w:spacing w:before="100" w:beforeAutospacing="1" w:after="100" w:afterAutospacing="1"/>
      <w:jc w:val="left"/>
    </w:pPr>
    <w:rPr>
      <w:rFonts w:ascii="宋体" w:hAnsi="宋体"/>
      <w:sz w:val="24"/>
      <w:szCs w:val="24"/>
    </w:rPr>
  </w:style>
  <w:style w:type="character" w:customStyle="1" w:styleId="CharCharfd">
    <w:name w:val="君邦表内格式 Char Char"/>
    <w:link w:val="afffffffffffffffffffffff7"/>
    <w:qFormat/>
    <w:rPr>
      <w:sz w:val="18"/>
    </w:rPr>
  </w:style>
  <w:style w:type="paragraph" w:customStyle="1" w:styleId="afffffffffffffffffffffff7">
    <w:name w:val="君邦表内格式"/>
    <w:basedOn w:val="a9"/>
    <w:link w:val="CharCharfd"/>
    <w:qFormat/>
    <w:pPr>
      <w:widowControl/>
      <w:jc w:val="center"/>
    </w:pPr>
    <w:rPr>
      <w:sz w:val="18"/>
    </w:rPr>
  </w:style>
  <w:style w:type="character" w:customStyle="1" w:styleId="doctitle">
    <w:name w:val="doc_title"/>
    <w:qFormat/>
  </w:style>
  <w:style w:type="character" w:customStyle="1" w:styleId="CharChar25">
    <w:name w:val="Char Char25"/>
    <w:qFormat/>
    <w:rPr>
      <w:rFonts w:eastAsia="宋体"/>
      <w:kern w:val="2"/>
      <w:sz w:val="21"/>
      <w:szCs w:val="24"/>
      <w:lang w:val="en-US" w:eastAsia="zh-CN" w:bidi="ar-SA"/>
    </w:rPr>
  </w:style>
  <w:style w:type="character" w:customStyle="1" w:styleId="CharChar43">
    <w:name w:val="Char Char43"/>
    <w:qFormat/>
    <w:rPr>
      <w:rFonts w:eastAsia="宋体"/>
      <w:kern w:val="2"/>
      <w:sz w:val="18"/>
      <w:szCs w:val="18"/>
      <w:lang w:val="en-US" w:eastAsia="zh-CN" w:bidi="ar-SA"/>
    </w:rPr>
  </w:style>
  <w:style w:type="character" w:customStyle="1" w:styleId="CharChar19">
    <w:name w:val="Char Char19"/>
    <w:semiHidden/>
    <w:qFormat/>
    <w:rPr>
      <w:rFonts w:eastAsia="宋体"/>
      <w:kern w:val="2"/>
      <w:sz w:val="18"/>
      <w:szCs w:val="18"/>
      <w:lang w:val="en-US" w:eastAsia="zh-CN" w:bidi="ar-SA"/>
    </w:rPr>
  </w:style>
  <w:style w:type="character" w:customStyle="1" w:styleId="CharChar36">
    <w:name w:val="Char Char36"/>
    <w:qFormat/>
    <w:locked/>
    <w:rPr>
      <w:rFonts w:ascii="宋体" w:eastAsia="宋体" w:hAnsi="Courier New"/>
      <w:kern w:val="2"/>
      <w:sz w:val="21"/>
      <w:lang w:val="en-US" w:eastAsia="zh-CN" w:bidi="ar-SA"/>
    </w:rPr>
  </w:style>
  <w:style w:type="character" w:customStyle="1" w:styleId="CharChar931">
    <w:name w:val="Char Char931"/>
    <w:qFormat/>
    <w:rPr>
      <w:rFonts w:ascii="Arial" w:eastAsia="黑体" w:hAnsi="Arial"/>
      <w:sz w:val="24"/>
    </w:rPr>
  </w:style>
  <w:style w:type="character" w:customStyle="1" w:styleId="CharChar131">
    <w:name w:val="Char Char131"/>
    <w:qFormat/>
    <w:rPr>
      <w:rFonts w:ascii="Arial" w:eastAsia="黑体" w:hAnsi="Arial"/>
      <w:b/>
      <w:bCs/>
      <w:kern w:val="2"/>
      <w:sz w:val="32"/>
      <w:szCs w:val="32"/>
    </w:rPr>
  </w:style>
  <w:style w:type="character" w:customStyle="1" w:styleId="CharChar103">
    <w:name w:val="Char Char103"/>
    <w:semiHidden/>
    <w:qFormat/>
    <w:rPr>
      <w:rFonts w:eastAsia="宋体"/>
      <w:kern w:val="2"/>
      <w:sz w:val="16"/>
      <w:szCs w:val="16"/>
      <w:lang w:val="en-US" w:eastAsia="zh-CN" w:bidi="ar-SA"/>
    </w:rPr>
  </w:style>
  <w:style w:type="character" w:customStyle="1" w:styleId="CharChar28">
    <w:name w:val="Char Char28"/>
    <w:qFormat/>
    <w:rPr>
      <w:rFonts w:ascii="Times" w:eastAsia="宋体" w:hAnsi="Times"/>
      <w:kern w:val="24"/>
      <w:sz w:val="24"/>
      <w:szCs w:val="24"/>
      <w:lang w:val="en-US" w:eastAsia="zh-CN" w:bidi="ar-SA"/>
    </w:rPr>
  </w:style>
  <w:style w:type="character" w:customStyle="1" w:styleId="CharChar140">
    <w:name w:val="Char Char14"/>
    <w:qFormat/>
    <w:rPr>
      <w:rFonts w:eastAsia="宋体"/>
      <w:kern w:val="2"/>
      <w:sz w:val="16"/>
      <w:szCs w:val="16"/>
      <w:lang w:val="en-US" w:eastAsia="zh-CN" w:bidi="ar-SA"/>
    </w:rPr>
  </w:style>
  <w:style w:type="character" w:customStyle="1" w:styleId="CharChar831">
    <w:name w:val="Char Char831"/>
    <w:qFormat/>
    <w:rPr>
      <w:rFonts w:eastAsia="宋体"/>
      <w:kern w:val="2"/>
      <w:sz w:val="21"/>
      <w:szCs w:val="24"/>
      <w:lang w:val="en-US" w:eastAsia="zh-CN" w:bidi="ar-SA"/>
    </w:rPr>
  </w:style>
  <w:style w:type="character" w:customStyle="1" w:styleId="CharChar16">
    <w:name w:val="Char Char16"/>
    <w:qFormat/>
    <w:rPr>
      <w:rFonts w:eastAsia="宋体"/>
      <w:kern w:val="2"/>
      <w:sz w:val="21"/>
      <w:lang w:val="en-US" w:eastAsia="zh-CN" w:bidi="ar-SA"/>
    </w:rPr>
  </w:style>
  <w:style w:type="character" w:customStyle="1" w:styleId="CharChar322">
    <w:name w:val="Char Char322"/>
    <w:qFormat/>
    <w:rPr>
      <w:rFonts w:eastAsia="宋体"/>
      <w:kern w:val="2"/>
      <w:sz w:val="18"/>
      <w:szCs w:val="18"/>
      <w:lang w:val="en-US" w:eastAsia="zh-CN" w:bidi="ar-SA"/>
    </w:rPr>
  </w:style>
  <w:style w:type="character" w:customStyle="1" w:styleId="CharChar39">
    <w:name w:val="Char Char39"/>
    <w:qFormat/>
    <w:rPr>
      <w:rFonts w:eastAsia="宋体"/>
      <w:kern w:val="2"/>
      <w:sz w:val="21"/>
      <w:lang w:val="en-US" w:eastAsia="zh-CN" w:bidi="ar-SA"/>
    </w:rPr>
  </w:style>
  <w:style w:type="character" w:customStyle="1" w:styleId="2CharChar3">
    <w:name w:val="字元2 Char Char3"/>
    <w:qFormat/>
    <w:rPr>
      <w:rFonts w:eastAsia="楷体_GB2312"/>
      <w:sz w:val="21"/>
      <w:lang w:val="en-US" w:eastAsia="zh-CN" w:bidi="ar-SA"/>
    </w:rPr>
  </w:style>
  <w:style w:type="character" w:customStyle="1" w:styleId="CharChar350">
    <w:name w:val="Char Char35"/>
    <w:qFormat/>
    <w:rPr>
      <w:rFonts w:ascii="Arial" w:eastAsia="黑体" w:hAnsi="Arial" w:cs="Arial"/>
      <w:kern w:val="2"/>
      <w:lang w:val="en-US" w:eastAsia="zh-CN" w:bidi="ar-SA"/>
    </w:rPr>
  </w:style>
  <w:style w:type="character" w:customStyle="1" w:styleId="CharChar240">
    <w:name w:val="Char Char24"/>
    <w:qFormat/>
    <w:rPr>
      <w:rFonts w:eastAsia="楷体_GB2312"/>
      <w:spacing w:val="8"/>
      <w:sz w:val="28"/>
      <w:lang w:val="en-US" w:eastAsia="zh-CN" w:bidi="ar-SA"/>
    </w:rPr>
  </w:style>
  <w:style w:type="character" w:customStyle="1" w:styleId="CharChar421">
    <w:name w:val="Char Char421"/>
    <w:qFormat/>
    <w:rPr>
      <w:rFonts w:eastAsia="宋体"/>
      <w:color w:val="008000"/>
      <w:kern w:val="2"/>
      <w:sz w:val="21"/>
      <w:lang w:val="en-US" w:eastAsia="zh-CN" w:bidi="ar-SA"/>
    </w:rPr>
  </w:style>
  <w:style w:type="character" w:customStyle="1" w:styleId="CharChar3131">
    <w:name w:val="Char Char3131"/>
    <w:qFormat/>
    <w:rPr>
      <w:kern w:val="2"/>
      <w:sz w:val="21"/>
      <w:szCs w:val="24"/>
    </w:rPr>
  </w:style>
  <w:style w:type="character" w:customStyle="1" w:styleId="21Char1">
    <w:name w:val="样式 首行缩进:  2 字符1 Char1"/>
    <w:link w:val="218"/>
    <w:qFormat/>
    <w:rPr>
      <w:rFonts w:eastAsia="楷体_GB2312" w:cs="宋体"/>
      <w:sz w:val="24"/>
      <w:lang w:bidi="ne-NP"/>
    </w:rPr>
  </w:style>
  <w:style w:type="character" w:customStyle="1" w:styleId="bodytextnarrow1">
    <w:name w:val="bodytextnarrow1"/>
    <w:qFormat/>
    <w:rPr>
      <w:rFonts w:ascii="Arial" w:hAnsi="Arial" w:cs="Arial" w:hint="default"/>
      <w:color w:val="606060"/>
      <w:sz w:val="20"/>
      <w:szCs w:val="20"/>
    </w:rPr>
  </w:style>
  <w:style w:type="paragraph" w:customStyle="1" w:styleId="78">
    <w:name w:val="正文7"/>
    <w:qFormat/>
    <w:pPr>
      <w:autoSpaceDE w:val="0"/>
      <w:autoSpaceDN w:val="0"/>
      <w:adjustRightInd w:val="0"/>
      <w:spacing w:line="360" w:lineRule="atLeast"/>
      <w:ind w:firstLine="539"/>
      <w:jc w:val="both"/>
    </w:pPr>
    <w:rPr>
      <w:rFonts w:ascii="宋体"/>
      <w:spacing w:val="30"/>
      <w:sz w:val="24"/>
    </w:rPr>
  </w:style>
  <w:style w:type="paragraph" w:customStyle="1" w:styleId="afffffffffffffffffffffff8">
    <w:name w:val="正文表标题"/>
    <w:next w:val="a9"/>
    <w:qFormat/>
    <w:pPr>
      <w:tabs>
        <w:tab w:val="left" w:pos="720"/>
      </w:tabs>
      <w:jc w:val="center"/>
    </w:pPr>
    <w:rPr>
      <w:rFonts w:ascii="黑体" w:eastAsia="黑体"/>
      <w:sz w:val="21"/>
    </w:rPr>
  </w:style>
  <w:style w:type="paragraph" w:customStyle="1" w:styleId="141">
    <w:name w:val="字元14"/>
    <w:basedOn w:val="a9"/>
    <w:qFormat/>
    <w:pPr>
      <w:widowControl/>
      <w:jc w:val="left"/>
    </w:pPr>
    <w:rPr>
      <w:kern w:val="2"/>
      <w:sz w:val="21"/>
      <w:szCs w:val="21"/>
    </w:rPr>
  </w:style>
  <w:style w:type="paragraph" w:customStyle="1" w:styleId="340">
    <w:name w:val="正文文本缩进 34"/>
    <w:basedOn w:val="a9"/>
    <w:semiHidden/>
    <w:qFormat/>
    <w:pPr>
      <w:widowControl/>
      <w:autoSpaceDE w:val="0"/>
      <w:autoSpaceDN w:val="0"/>
      <w:adjustRightInd w:val="0"/>
      <w:spacing w:line="520" w:lineRule="exact"/>
      <w:ind w:firstLineChars="200" w:firstLine="540"/>
      <w:jc w:val="left"/>
      <w:textAlignment w:val="baseline"/>
    </w:pPr>
    <w:rPr>
      <w:rFonts w:ascii="宋体" w:eastAsia="仿宋_GB2312" w:hAnsi="Tms Rmn"/>
      <w:spacing w:val="4"/>
      <w:sz w:val="28"/>
    </w:rPr>
  </w:style>
  <w:style w:type="paragraph" w:customStyle="1" w:styleId="CharCharCharCharCharChar1CharCharCharCharCharChar1Char2">
    <w:name w:val="Char Char Char Char Char Char1 Char Char Char Char Char Char1 Char2"/>
    <w:basedOn w:val="a9"/>
    <w:qFormat/>
    <w:pPr>
      <w:widowControl/>
      <w:spacing w:afterLines="50" w:line="560" w:lineRule="exact"/>
      <w:jc w:val="left"/>
    </w:pPr>
    <w:rPr>
      <w:rFonts w:eastAsia="黑体"/>
      <w:kern w:val="2"/>
      <w:sz w:val="30"/>
      <w:szCs w:val="30"/>
    </w:rPr>
  </w:style>
  <w:style w:type="paragraph" w:customStyle="1" w:styleId="4fa">
    <w:name w:val="正文缩进4"/>
    <w:basedOn w:val="a9"/>
    <w:qFormat/>
    <w:pPr>
      <w:widowControl/>
      <w:autoSpaceDE w:val="0"/>
      <w:autoSpaceDN w:val="0"/>
      <w:ind w:firstLine="420"/>
      <w:jc w:val="left"/>
      <w:textAlignment w:val="baseline"/>
    </w:pPr>
    <w:rPr>
      <w:rFonts w:hint="eastAsia"/>
      <w:kern w:val="2"/>
      <w:sz w:val="21"/>
      <w:szCs w:val="24"/>
    </w:rPr>
  </w:style>
  <w:style w:type="paragraph" w:customStyle="1" w:styleId="CharCharCharChar30">
    <w:name w:val="Char Char 字元 Char Char 字元 字元 字元3"/>
    <w:basedOn w:val="a9"/>
    <w:qFormat/>
    <w:pPr>
      <w:widowControl/>
      <w:spacing w:line="400" w:lineRule="exact"/>
      <w:ind w:firstLineChars="200" w:firstLine="200"/>
      <w:jc w:val="left"/>
    </w:pPr>
    <w:rPr>
      <w:kern w:val="2"/>
      <w:sz w:val="28"/>
      <w:szCs w:val="28"/>
    </w:rPr>
  </w:style>
  <w:style w:type="paragraph" w:customStyle="1" w:styleId="CharCharCharCharCharCharCharCharCharCharCharCharCharCharCharChar41">
    <w:name w:val="Char Char Char Char Char Char Char Char Char Char Char Char Char Char Char Char41"/>
    <w:basedOn w:val="a9"/>
    <w:qFormat/>
    <w:pPr>
      <w:widowControl/>
      <w:spacing w:line="360" w:lineRule="auto"/>
      <w:ind w:firstLineChars="200" w:firstLine="200"/>
      <w:jc w:val="left"/>
    </w:pPr>
    <w:rPr>
      <w:rFonts w:ascii="宋体" w:hAnsi="宋体" w:cs="宋体"/>
      <w:kern w:val="2"/>
      <w:sz w:val="24"/>
      <w:szCs w:val="24"/>
    </w:rPr>
  </w:style>
  <w:style w:type="paragraph" w:customStyle="1" w:styleId="5f3">
    <w:name w:val="字元5"/>
    <w:basedOn w:val="a9"/>
    <w:qFormat/>
    <w:pPr>
      <w:widowControl/>
      <w:jc w:val="left"/>
    </w:pPr>
    <w:rPr>
      <w:kern w:val="2"/>
      <w:sz w:val="24"/>
      <w:szCs w:val="24"/>
    </w:rPr>
  </w:style>
  <w:style w:type="paragraph" w:customStyle="1" w:styleId="4fb">
    <w:name w:val="价格变化趋4"/>
    <w:basedOn w:val="a9"/>
    <w:qFormat/>
    <w:pPr>
      <w:widowControl/>
      <w:adjustRightInd w:val="0"/>
      <w:spacing w:line="315" w:lineRule="atLeast"/>
      <w:jc w:val="left"/>
      <w:textAlignment w:val="baseline"/>
    </w:pPr>
    <w:rPr>
      <w:rFonts w:ascii="宋体"/>
      <w:sz w:val="21"/>
    </w:rPr>
  </w:style>
  <w:style w:type="paragraph" w:customStyle="1" w:styleId="CharChar37">
    <w:name w:val="Char Char 字元3"/>
    <w:basedOn w:val="a9"/>
    <w:qFormat/>
    <w:pPr>
      <w:widowControl/>
      <w:spacing w:line="400" w:lineRule="exact"/>
      <w:ind w:firstLineChars="200" w:firstLine="200"/>
      <w:jc w:val="left"/>
    </w:pPr>
    <w:rPr>
      <w:kern w:val="2"/>
      <w:sz w:val="28"/>
      <w:szCs w:val="28"/>
    </w:rPr>
  </w:style>
  <w:style w:type="paragraph" w:customStyle="1" w:styleId="CharCharCharChar31">
    <w:name w:val="Char Char 字元 Char Char 字元3"/>
    <w:basedOn w:val="a9"/>
    <w:qFormat/>
    <w:pPr>
      <w:widowControl/>
      <w:spacing w:line="400" w:lineRule="exact"/>
      <w:ind w:firstLineChars="200" w:firstLine="200"/>
      <w:jc w:val="left"/>
    </w:pPr>
    <w:rPr>
      <w:kern w:val="2"/>
      <w:sz w:val="28"/>
      <w:szCs w:val="28"/>
    </w:rPr>
  </w:style>
  <w:style w:type="paragraph" w:customStyle="1" w:styleId="022">
    <w:name w:val="样式 0 + 四号 行距: 固定值 22 磅"/>
    <w:basedOn w:val="a9"/>
    <w:qFormat/>
    <w:pPr>
      <w:widowControl/>
      <w:snapToGrid w:val="0"/>
      <w:spacing w:line="480" w:lineRule="exact"/>
      <w:ind w:firstLineChars="200" w:firstLine="200"/>
      <w:jc w:val="left"/>
    </w:pPr>
    <w:rPr>
      <w:spacing w:val="8"/>
      <w:sz w:val="28"/>
    </w:rPr>
  </w:style>
  <w:style w:type="character" w:customStyle="1" w:styleId="SubtitleChar">
    <w:name w:val="Subtitle Char"/>
    <w:uiPriority w:val="99"/>
    <w:qFormat/>
    <w:locked/>
    <w:rPr>
      <w:rFonts w:ascii="Cambria" w:eastAsia="宋体" w:hAnsi="Cambria" w:cs="Times New Roman"/>
      <w:b/>
      <w:bCs/>
      <w:kern w:val="28"/>
      <w:sz w:val="32"/>
      <w:szCs w:val="32"/>
      <w:lang w:val="zh-CN" w:eastAsia="zh-CN"/>
    </w:rPr>
  </w:style>
  <w:style w:type="character" w:customStyle="1" w:styleId="CommentTextChar">
    <w:name w:val="Comment Text Char"/>
    <w:qFormat/>
    <w:locked/>
    <w:rPr>
      <w:rFonts w:ascii="Times New Roman" w:eastAsia="宋体" w:hAnsi="Times New Roman" w:cs="Times New Roman"/>
      <w:sz w:val="24"/>
      <w:szCs w:val="24"/>
    </w:rPr>
  </w:style>
  <w:style w:type="character" w:customStyle="1" w:styleId="CaptionChar">
    <w:name w:val="Caption Char"/>
    <w:qFormat/>
    <w:locked/>
    <w:rPr>
      <w:rFonts w:ascii="Times New Roman" w:eastAsia="黑体" w:hAnsi="Times New Roman"/>
      <w:sz w:val="20"/>
    </w:rPr>
  </w:style>
  <w:style w:type="character" w:customStyle="1" w:styleId="CharChar531">
    <w:name w:val="Char Char531"/>
    <w:qFormat/>
    <w:rPr>
      <w:rFonts w:eastAsia="PMingLiU"/>
      <w:b/>
      <w:kern w:val="2"/>
      <w:sz w:val="32"/>
      <w:szCs w:val="24"/>
      <w:lang w:val="en-US" w:eastAsia="zh-TW" w:bidi="ar-SA"/>
    </w:rPr>
  </w:style>
  <w:style w:type="paragraph" w:customStyle="1" w:styleId="CharChar370">
    <w:name w:val="Char Char37"/>
    <w:basedOn w:val="a9"/>
    <w:semiHidden/>
    <w:qFormat/>
    <w:pPr>
      <w:widowControl/>
      <w:spacing w:afterLines="50" w:line="560" w:lineRule="exact"/>
      <w:jc w:val="left"/>
    </w:pPr>
    <w:rPr>
      <w:rFonts w:eastAsia="黑体"/>
      <w:kern w:val="2"/>
      <w:sz w:val="30"/>
      <w:szCs w:val="30"/>
    </w:rPr>
  </w:style>
  <w:style w:type="paragraph" w:customStyle="1" w:styleId="afffffffffffffffffffffff9">
    <w:name w:val="【表格文字】"/>
    <w:qFormat/>
    <w:locked/>
    <w:pPr>
      <w:jc w:val="center"/>
    </w:pPr>
    <w:rPr>
      <w:rFonts w:cs="宋体"/>
      <w:sz w:val="21"/>
    </w:rPr>
  </w:style>
  <w:style w:type="character" w:customStyle="1" w:styleId="Char1ff5">
    <w:name w:val="常用正文样式 Char1"/>
    <w:link w:val="afffffffffffffffffffffffa"/>
    <w:qFormat/>
    <w:rPr>
      <w:rFonts w:ascii="宋体" w:eastAsia="仿宋_GB2312" w:hAnsi="新宋体"/>
      <w:sz w:val="24"/>
      <w:szCs w:val="24"/>
    </w:rPr>
  </w:style>
  <w:style w:type="paragraph" w:customStyle="1" w:styleId="afffffffffffffffffffffffa">
    <w:name w:val="常用正文样式"/>
    <w:link w:val="Char1ff5"/>
    <w:qFormat/>
    <w:pPr>
      <w:widowControl w:val="0"/>
      <w:spacing w:line="360" w:lineRule="auto"/>
      <w:ind w:firstLine="454"/>
      <w:jc w:val="both"/>
    </w:pPr>
    <w:rPr>
      <w:rFonts w:ascii="宋体" w:eastAsia="仿宋_GB2312" w:hAnsi="新宋体"/>
      <w:sz w:val="24"/>
      <w:szCs w:val="24"/>
    </w:rPr>
  </w:style>
  <w:style w:type="character" w:customStyle="1" w:styleId="CharChar183">
    <w:name w:val="Char Char183"/>
    <w:qFormat/>
    <w:rPr>
      <w:rFonts w:ascii="Arial" w:eastAsia="宋体" w:hAnsi="Arial"/>
      <w:b/>
      <w:bCs/>
      <w:kern w:val="2"/>
      <w:sz w:val="32"/>
      <w:szCs w:val="32"/>
      <w:lang w:val="en-US" w:eastAsia="zh-CN" w:bidi="ar-SA"/>
    </w:rPr>
  </w:style>
  <w:style w:type="character" w:customStyle="1" w:styleId="CharChar203">
    <w:name w:val="Char Char203"/>
    <w:qFormat/>
    <w:rPr>
      <w:rFonts w:ascii="宋体" w:eastAsia="宋体" w:hAnsi="宋体" w:cs="Times New Roman"/>
      <w:sz w:val="32"/>
      <w:szCs w:val="20"/>
    </w:rPr>
  </w:style>
  <w:style w:type="character" w:customStyle="1" w:styleId="CharChar93">
    <w:name w:val="Char Char93"/>
    <w:qFormat/>
    <w:rPr>
      <w:rFonts w:ascii="Arial" w:eastAsia="黑体" w:hAnsi="Arial"/>
      <w:sz w:val="24"/>
    </w:rPr>
  </w:style>
  <w:style w:type="character" w:customStyle="1" w:styleId="CharChar73">
    <w:name w:val="Char Char73"/>
    <w:qFormat/>
    <w:rPr>
      <w:rFonts w:eastAsia="宋体"/>
      <w:kern w:val="2"/>
      <w:sz w:val="21"/>
      <w:szCs w:val="24"/>
      <w:lang w:val="en-US" w:eastAsia="zh-CN" w:bidi="ar-SA"/>
    </w:rPr>
  </w:style>
  <w:style w:type="character" w:customStyle="1" w:styleId="CharChar313">
    <w:name w:val="Char Char313"/>
    <w:qFormat/>
    <w:rPr>
      <w:kern w:val="2"/>
      <w:sz w:val="21"/>
      <w:szCs w:val="24"/>
    </w:rPr>
  </w:style>
  <w:style w:type="character" w:customStyle="1" w:styleId="-CharChar">
    <w:name w:val="表格文字-居中 Char Char"/>
    <w:link w:val="-d"/>
    <w:qFormat/>
    <w:rPr>
      <w:szCs w:val="21"/>
    </w:rPr>
  </w:style>
  <w:style w:type="paragraph" w:customStyle="1" w:styleId="-d">
    <w:name w:val="表格文字-居中"/>
    <w:basedOn w:val="afffffb"/>
    <w:link w:val="-CharChar"/>
    <w:qFormat/>
    <w:pPr>
      <w:widowControl/>
      <w:snapToGrid/>
      <w:textAlignment w:val="center"/>
    </w:pPr>
    <w:rPr>
      <w:b w:val="0"/>
      <w:szCs w:val="21"/>
    </w:rPr>
  </w:style>
  <w:style w:type="character" w:customStyle="1" w:styleId="CharCharfe">
    <w:name w:val="表内文字边 Char Char"/>
    <w:link w:val="Charffffff9"/>
    <w:qFormat/>
    <w:rPr>
      <w:rFonts w:ascii="宋体"/>
      <w:color w:val="000000"/>
      <w:szCs w:val="21"/>
    </w:rPr>
  </w:style>
  <w:style w:type="paragraph" w:customStyle="1" w:styleId="Charffffff9">
    <w:name w:val="表内文字边 Char"/>
    <w:basedOn w:val="a9"/>
    <w:link w:val="CharCharfe"/>
    <w:qFormat/>
    <w:pPr>
      <w:widowControl/>
      <w:adjustRightInd w:val="0"/>
      <w:snapToGrid w:val="0"/>
      <w:spacing w:line="240" w:lineRule="atLeast"/>
      <w:ind w:leftChars="-10" w:left="-24" w:rightChars="-20" w:right="-48"/>
      <w:jc w:val="left"/>
    </w:pPr>
    <w:rPr>
      <w:rFonts w:ascii="宋体"/>
      <w:color w:val="000000"/>
      <w:szCs w:val="21"/>
    </w:rPr>
  </w:style>
  <w:style w:type="character" w:customStyle="1" w:styleId="Charffffffa">
    <w:name w:val="燕山正文 Char"/>
    <w:link w:val="afffffffffffffffffffffffb"/>
    <w:qFormat/>
    <w:rPr>
      <w:rFonts w:ascii="宋体" w:hAnsi="宋体"/>
      <w:color w:val="000000"/>
      <w:sz w:val="24"/>
      <w:szCs w:val="24"/>
    </w:rPr>
  </w:style>
  <w:style w:type="paragraph" w:customStyle="1" w:styleId="afffffffffffffffffffffffb">
    <w:name w:val="燕山正文"/>
    <w:basedOn w:val="a9"/>
    <w:link w:val="Charffffffa"/>
    <w:qFormat/>
    <w:pPr>
      <w:widowControl/>
      <w:tabs>
        <w:tab w:val="left" w:pos="4680"/>
      </w:tabs>
      <w:adjustRightInd w:val="0"/>
      <w:snapToGrid w:val="0"/>
      <w:spacing w:line="360" w:lineRule="auto"/>
      <w:ind w:firstLineChars="200" w:firstLine="480"/>
      <w:jc w:val="left"/>
    </w:pPr>
    <w:rPr>
      <w:rFonts w:ascii="宋体" w:hAnsi="宋体"/>
      <w:color w:val="000000"/>
      <w:sz w:val="24"/>
      <w:szCs w:val="24"/>
    </w:rPr>
  </w:style>
  <w:style w:type="character" w:customStyle="1" w:styleId="CharCharff">
    <w:name w:val="图表名称 Char Char"/>
    <w:link w:val="Charffffffb"/>
    <w:qFormat/>
    <w:rPr>
      <w:rFonts w:ascii="宋体" w:hAnsi="宋体"/>
      <w:color w:val="000000"/>
      <w:sz w:val="18"/>
      <w:szCs w:val="18"/>
    </w:rPr>
  </w:style>
  <w:style w:type="paragraph" w:customStyle="1" w:styleId="Charffffffb">
    <w:name w:val="图表名称 Char"/>
    <w:basedOn w:val="af0"/>
    <w:link w:val="CharCharff"/>
    <w:qFormat/>
    <w:pPr>
      <w:widowControl/>
      <w:adjustRightInd w:val="0"/>
      <w:snapToGrid w:val="0"/>
      <w:spacing w:after="0" w:line="240" w:lineRule="auto"/>
      <w:ind w:firstLineChars="0" w:firstLine="0"/>
      <w:jc w:val="center"/>
    </w:pPr>
    <w:rPr>
      <w:rFonts w:ascii="宋体" w:hAnsi="宋体"/>
      <w:color w:val="000000"/>
      <w:sz w:val="18"/>
      <w:szCs w:val="18"/>
    </w:rPr>
  </w:style>
  <w:style w:type="character" w:customStyle="1" w:styleId="2Char7">
    <w:name w:val="样式 正文 首行缩进 + 首行缩进:  2 字符 行距: 单倍行距 Char"/>
    <w:link w:val="2fff9"/>
    <w:qFormat/>
    <w:rPr>
      <w:rFonts w:cs="宋体"/>
    </w:rPr>
  </w:style>
  <w:style w:type="paragraph" w:customStyle="1" w:styleId="2fff9">
    <w:name w:val="样式 正文 首行缩进 + 首行缩进:  2 字符 行距: 单倍行距"/>
    <w:basedOn w:val="a9"/>
    <w:link w:val="2Char7"/>
    <w:qFormat/>
    <w:pPr>
      <w:widowControl/>
      <w:ind w:firstLineChars="200" w:firstLine="200"/>
      <w:jc w:val="left"/>
    </w:pPr>
    <w:rPr>
      <w:rFonts w:cs="宋体"/>
    </w:rPr>
  </w:style>
  <w:style w:type="character" w:customStyle="1" w:styleId="Charffffffc">
    <w:name w:val="环保篇正文 Char"/>
    <w:link w:val="afffffffffffffffffffffffc"/>
    <w:qFormat/>
    <w:rPr>
      <w:sz w:val="28"/>
      <w:szCs w:val="28"/>
    </w:rPr>
  </w:style>
  <w:style w:type="paragraph" w:customStyle="1" w:styleId="afffffffffffffffffffffffc">
    <w:name w:val="环保篇正文"/>
    <w:basedOn w:val="a9"/>
    <w:link w:val="Charffffffc"/>
    <w:qFormat/>
    <w:pPr>
      <w:widowControl/>
      <w:spacing w:line="360" w:lineRule="auto"/>
      <w:ind w:firstLineChars="200" w:firstLine="200"/>
      <w:jc w:val="left"/>
    </w:pPr>
    <w:rPr>
      <w:sz w:val="28"/>
      <w:szCs w:val="28"/>
    </w:rPr>
  </w:style>
  <w:style w:type="character" w:customStyle="1" w:styleId="Charffffffd">
    <w:name w:val="报告正文 Char"/>
    <w:link w:val="afffffffffffffffffffffffd"/>
    <w:qFormat/>
    <w:rPr>
      <w:rFonts w:cs="宋体"/>
      <w:snapToGrid w:val="0"/>
      <w:kern w:val="24"/>
      <w:sz w:val="24"/>
      <w:szCs w:val="21"/>
    </w:rPr>
  </w:style>
  <w:style w:type="paragraph" w:customStyle="1" w:styleId="afffffffffffffffffffffffd">
    <w:name w:val="报告正文"/>
    <w:basedOn w:val="a9"/>
    <w:link w:val="Charffffffd"/>
    <w:qFormat/>
    <w:pPr>
      <w:widowControl/>
      <w:adjustRightInd w:val="0"/>
      <w:spacing w:beforeLines="25" w:line="360" w:lineRule="auto"/>
      <w:ind w:firstLine="482"/>
      <w:jc w:val="left"/>
      <w:textAlignment w:val="baseline"/>
    </w:pPr>
    <w:rPr>
      <w:rFonts w:cs="宋体"/>
      <w:snapToGrid w:val="0"/>
      <w:kern w:val="24"/>
      <w:sz w:val="24"/>
      <w:szCs w:val="21"/>
    </w:rPr>
  </w:style>
  <w:style w:type="character" w:customStyle="1" w:styleId="2TimesNewRomanChar">
    <w:name w:val="正文首行缩进 2 + Times New Roman Char"/>
    <w:link w:val="2TimesNewRoman"/>
    <w:qFormat/>
    <w:rPr>
      <w:sz w:val="24"/>
      <w:szCs w:val="24"/>
    </w:rPr>
  </w:style>
  <w:style w:type="paragraph" w:customStyle="1" w:styleId="2TimesNewRoman">
    <w:name w:val="正文首行缩进 2 + Times New Roman"/>
    <w:basedOn w:val="a9"/>
    <w:link w:val="2TimesNewRomanChar"/>
    <w:qFormat/>
    <w:pPr>
      <w:widowControl/>
      <w:tabs>
        <w:tab w:val="left" w:pos="0"/>
        <w:tab w:val="left" w:pos="870"/>
        <w:tab w:val="left" w:pos="3150"/>
      </w:tabs>
      <w:autoSpaceDE w:val="0"/>
      <w:autoSpaceDN w:val="0"/>
      <w:spacing w:line="360" w:lineRule="auto"/>
      <w:ind w:firstLineChars="200" w:firstLine="480"/>
      <w:jc w:val="left"/>
    </w:pPr>
    <w:rPr>
      <w:sz w:val="24"/>
      <w:szCs w:val="24"/>
    </w:rPr>
  </w:style>
  <w:style w:type="character" w:customStyle="1" w:styleId="CharChar3121">
    <w:name w:val="Char Char3121"/>
    <w:qFormat/>
    <w:rPr>
      <w:rFonts w:ascii="Times New Roman" w:eastAsia="宋体" w:hAnsi="Times New Roman" w:cs="Times New Roman"/>
      <w:sz w:val="24"/>
      <w:szCs w:val="24"/>
    </w:rPr>
  </w:style>
  <w:style w:type="character" w:customStyle="1" w:styleId="Charffffffe">
    <w:name w:val="常用表头样式 Char"/>
    <w:link w:val="afffffffffffffffffffffffe"/>
    <w:qFormat/>
    <w:rPr>
      <w:rFonts w:ascii="黑体" w:eastAsia="仿宋_GB2312"/>
      <w:b/>
      <w:szCs w:val="21"/>
    </w:rPr>
  </w:style>
  <w:style w:type="paragraph" w:customStyle="1" w:styleId="afffffffffffffffffffffffe">
    <w:name w:val="常用表头样式"/>
    <w:basedOn w:val="af0"/>
    <w:link w:val="Charffffffe"/>
    <w:qFormat/>
    <w:pPr>
      <w:widowControl/>
      <w:overflowPunct w:val="0"/>
      <w:autoSpaceDE w:val="0"/>
      <w:autoSpaceDN w:val="0"/>
      <w:adjustRightInd w:val="0"/>
      <w:spacing w:after="0"/>
      <w:ind w:firstLineChars="0" w:firstLine="0"/>
      <w:jc w:val="center"/>
      <w:textAlignment w:val="baseline"/>
    </w:pPr>
    <w:rPr>
      <w:rFonts w:ascii="黑体" w:eastAsia="仿宋_GB2312"/>
      <w:b/>
      <w:sz w:val="20"/>
      <w:szCs w:val="21"/>
    </w:rPr>
  </w:style>
  <w:style w:type="character" w:customStyle="1" w:styleId="unnamedstyle0echar">
    <w:name w:val="unnamedstyle0e__char"/>
    <w:qFormat/>
  </w:style>
  <w:style w:type="character" w:customStyle="1" w:styleId="4Char5">
    <w:name w:val="4正  文 Char"/>
    <w:link w:val="4fc"/>
    <w:qFormat/>
    <w:rPr>
      <w:rFonts w:ascii="仿宋_GB2312" w:eastAsia="仿宋_GB2312"/>
      <w:b/>
      <w:spacing w:val="-4"/>
      <w:sz w:val="32"/>
    </w:rPr>
  </w:style>
  <w:style w:type="paragraph" w:customStyle="1" w:styleId="4fc">
    <w:name w:val="4正  文"/>
    <w:basedOn w:val="a9"/>
    <w:link w:val="4Char5"/>
    <w:qFormat/>
    <w:pPr>
      <w:widowControl/>
      <w:tabs>
        <w:tab w:val="left" w:pos="3798"/>
        <w:tab w:val="left" w:pos="7596"/>
      </w:tabs>
      <w:snapToGrid w:val="0"/>
      <w:spacing w:line="540" w:lineRule="exact"/>
      <w:ind w:firstLineChars="200" w:firstLine="200"/>
      <w:jc w:val="left"/>
    </w:pPr>
    <w:rPr>
      <w:rFonts w:ascii="仿宋_GB2312" w:eastAsia="仿宋_GB2312"/>
      <w:b/>
      <w:spacing w:val="-4"/>
      <w:sz w:val="32"/>
    </w:rPr>
  </w:style>
  <w:style w:type="character" w:customStyle="1" w:styleId="CharCharCharChar121">
    <w:name w:val="Char Char Char Char121"/>
    <w:qFormat/>
    <w:rPr>
      <w:rFonts w:eastAsia="宋体"/>
      <w:color w:val="000000"/>
      <w:kern w:val="2"/>
      <w:sz w:val="18"/>
      <w:szCs w:val="24"/>
      <w:lang w:val="en-US" w:eastAsia="zh-CN" w:bidi="ar-SA"/>
    </w:rPr>
  </w:style>
  <w:style w:type="character" w:customStyle="1" w:styleId="CharCharChar21">
    <w:name w:val="Char Char Char21"/>
    <w:qFormat/>
    <w:rPr>
      <w:rFonts w:eastAsia="宋体"/>
      <w:b/>
      <w:bCs/>
      <w:kern w:val="44"/>
      <w:sz w:val="44"/>
      <w:szCs w:val="44"/>
      <w:lang w:val="en-US" w:eastAsia="zh-CN" w:bidi="ar-SA"/>
    </w:rPr>
  </w:style>
  <w:style w:type="character" w:customStyle="1" w:styleId="CharChar83">
    <w:name w:val="Char Char83"/>
    <w:qFormat/>
    <w:rPr>
      <w:rFonts w:eastAsia="宋体"/>
      <w:kern w:val="2"/>
      <w:sz w:val="21"/>
      <w:szCs w:val="24"/>
      <w:lang w:val="en-US" w:eastAsia="zh-CN" w:bidi="ar-SA"/>
    </w:rPr>
  </w:style>
  <w:style w:type="character" w:customStyle="1" w:styleId="CharChar53">
    <w:name w:val="Char Char53"/>
    <w:qFormat/>
    <w:rPr>
      <w:rFonts w:eastAsia="PMingLiU"/>
      <w:b/>
      <w:kern w:val="2"/>
      <w:sz w:val="32"/>
      <w:szCs w:val="24"/>
      <w:lang w:val="en-US" w:eastAsia="zh-TW" w:bidi="ar-SA"/>
    </w:rPr>
  </w:style>
  <w:style w:type="character" w:customStyle="1" w:styleId="CharChar232">
    <w:name w:val="Char Char232"/>
    <w:qFormat/>
    <w:rPr>
      <w:rFonts w:eastAsia="宋体"/>
      <w:kern w:val="2"/>
      <w:sz w:val="18"/>
      <w:lang w:val="en-US" w:eastAsia="zh-CN" w:bidi="ar-SA"/>
    </w:rPr>
  </w:style>
  <w:style w:type="character" w:customStyle="1" w:styleId="CharChar142">
    <w:name w:val="Char Char142"/>
    <w:link w:val="Char100"/>
    <w:qFormat/>
    <w:rPr>
      <w:szCs w:val="24"/>
    </w:rPr>
  </w:style>
  <w:style w:type="paragraph" w:customStyle="1" w:styleId="Char100">
    <w:name w:val="Char10"/>
    <w:basedOn w:val="a9"/>
    <w:link w:val="CharChar142"/>
    <w:qFormat/>
    <w:pPr>
      <w:widowControl/>
      <w:jc w:val="left"/>
    </w:pPr>
    <w:rPr>
      <w:szCs w:val="24"/>
    </w:rPr>
  </w:style>
  <w:style w:type="character" w:customStyle="1" w:styleId="CharCharCharChar130">
    <w:name w:val="Char Char Char Char13"/>
    <w:qFormat/>
    <w:rPr>
      <w:rFonts w:eastAsia="宋体"/>
      <w:color w:val="000000"/>
      <w:kern w:val="2"/>
      <w:sz w:val="18"/>
      <w:szCs w:val="24"/>
      <w:lang w:val="en-US" w:eastAsia="zh-CN" w:bidi="ar-SA"/>
    </w:rPr>
  </w:style>
  <w:style w:type="paragraph" w:customStyle="1" w:styleId="31a">
    <w:name w:val="纯文本31"/>
    <w:basedOn w:val="a9"/>
    <w:qFormat/>
    <w:pPr>
      <w:widowControl/>
      <w:adjustRightInd w:val="0"/>
      <w:jc w:val="left"/>
      <w:textAlignment w:val="baseline"/>
    </w:pPr>
    <w:rPr>
      <w:rFonts w:ascii="宋体"/>
      <w:sz w:val="21"/>
    </w:rPr>
  </w:style>
  <w:style w:type="paragraph" w:customStyle="1" w:styleId="085Arial2">
    <w:name w:val="样式 样式 首行缩进:  0.85 厘米 + Arial 首行缩进:  2 字符"/>
    <w:basedOn w:val="a9"/>
    <w:qFormat/>
    <w:pPr>
      <w:widowControl/>
      <w:spacing w:before="120" w:after="120" w:line="360" w:lineRule="auto"/>
      <w:ind w:firstLineChars="200" w:firstLine="200"/>
      <w:jc w:val="left"/>
    </w:pPr>
    <w:rPr>
      <w:rFonts w:ascii="Arial" w:hAnsi="Arial" w:cs="宋体"/>
      <w:kern w:val="2"/>
      <w:sz w:val="24"/>
    </w:rPr>
  </w:style>
  <w:style w:type="paragraph" w:customStyle="1" w:styleId="1310">
    <w:name w:val="字元 字元131"/>
    <w:basedOn w:val="a9"/>
    <w:qFormat/>
    <w:pPr>
      <w:widowControl/>
      <w:spacing w:after="160" w:line="240" w:lineRule="exact"/>
      <w:jc w:val="left"/>
    </w:pPr>
    <w:rPr>
      <w:rFonts w:ascii="Verdana" w:hAnsi="Verdana"/>
      <w:lang w:eastAsia="en-US"/>
    </w:rPr>
  </w:style>
  <w:style w:type="paragraph" w:customStyle="1" w:styleId="Char43">
    <w:name w:val="Char4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4">
    <w:name w:val="Char Char Char Char Char Char Char4"/>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2CharCharChar3">
    <w:name w:val="Char Char1 Char2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31b">
    <w:name w:val="引用31"/>
    <w:basedOn w:val="a9"/>
    <w:next w:val="a9"/>
    <w:qFormat/>
    <w:pPr>
      <w:widowControl/>
      <w:spacing w:line="480" w:lineRule="exact"/>
      <w:ind w:firstLineChars="200" w:firstLine="200"/>
      <w:jc w:val="left"/>
    </w:pPr>
    <w:rPr>
      <w:rFonts w:eastAsia="黑体"/>
      <w:i/>
      <w:iCs/>
      <w:color w:val="000000"/>
      <w:kern w:val="2"/>
      <w:sz w:val="21"/>
      <w:szCs w:val="24"/>
    </w:rPr>
  </w:style>
  <w:style w:type="paragraph" w:customStyle="1" w:styleId="CharCharCharCharCharCharChar3">
    <w:name w:val="Char Char Char Char Char Char Char3"/>
    <w:basedOn w:val="a9"/>
    <w:qFormat/>
    <w:pPr>
      <w:widowControl/>
      <w:spacing w:after="160" w:line="240" w:lineRule="exact"/>
      <w:jc w:val="left"/>
    </w:pPr>
    <w:rPr>
      <w:rFonts w:ascii="Verdana" w:hAnsi="Verdana"/>
      <w:lang w:eastAsia="en-US"/>
    </w:rPr>
  </w:style>
  <w:style w:type="paragraph" w:customStyle="1" w:styleId="CharChar3Char3">
    <w:name w:val="Char Char3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affffffffffffffffffffffff">
    <w:name w:val="环保篇"/>
    <w:basedOn w:val="a9"/>
    <w:next w:val="a9"/>
    <w:qFormat/>
    <w:pPr>
      <w:widowControl/>
      <w:spacing w:line="360" w:lineRule="auto"/>
      <w:ind w:firstLineChars="200" w:firstLine="200"/>
      <w:jc w:val="left"/>
    </w:pPr>
    <w:rPr>
      <w:kern w:val="2"/>
      <w:sz w:val="28"/>
      <w:szCs w:val="24"/>
    </w:rPr>
  </w:style>
  <w:style w:type="paragraph" w:customStyle="1" w:styleId="InTableII">
    <w:name w:val="In Table (II)"/>
    <w:basedOn w:val="InTable"/>
    <w:qFormat/>
    <w:pPr>
      <w:widowControl/>
      <w:tabs>
        <w:tab w:val="clear" w:pos="2200"/>
        <w:tab w:val="clear" w:pos="3960"/>
        <w:tab w:val="clear" w:pos="5280"/>
      </w:tabs>
      <w:spacing w:before="0" w:after="0"/>
      <w:ind w:left="48"/>
    </w:pPr>
    <w:rPr>
      <w:rFonts w:ascii="Arial" w:eastAsia="宋体" w:hAnsi="Arial"/>
      <w:kern w:val="2"/>
      <w:sz w:val="24"/>
    </w:rPr>
  </w:style>
  <w:style w:type="paragraph" w:customStyle="1" w:styleId="affffffffffffffffffffffff0">
    <w:name w:val="表内文字小"/>
    <w:basedOn w:val="a9"/>
    <w:qFormat/>
    <w:pPr>
      <w:widowControl/>
      <w:adjustRightInd w:val="0"/>
      <w:snapToGrid w:val="0"/>
      <w:spacing w:line="300" w:lineRule="exact"/>
      <w:jc w:val="center"/>
    </w:pPr>
    <w:rPr>
      <w:rFonts w:ascii="宋体" w:hAnsi="Times"/>
      <w:kern w:val="2"/>
      <w:sz w:val="21"/>
    </w:rPr>
  </w:style>
  <w:style w:type="paragraph" w:customStyle="1" w:styleId="5f4">
    <w:name w:val="表内5"/>
    <w:basedOn w:val="a9"/>
    <w:qFormat/>
    <w:pPr>
      <w:widowControl/>
      <w:adjustRightInd w:val="0"/>
      <w:snapToGrid w:val="0"/>
      <w:spacing w:line="360" w:lineRule="exact"/>
      <w:jc w:val="center"/>
    </w:pPr>
    <w:rPr>
      <w:rFonts w:ascii="宋体" w:hAnsi="宋体"/>
      <w:color w:val="000000"/>
      <w:kern w:val="2"/>
      <w:sz w:val="21"/>
      <w:szCs w:val="21"/>
    </w:rPr>
  </w:style>
  <w:style w:type="paragraph" w:customStyle="1" w:styleId="CharCharCharCharCharChar1Char2">
    <w:name w:val="Char Char Char Char Char Char1 Char2"/>
    <w:basedOn w:val="a9"/>
    <w:qFormat/>
    <w:pPr>
      <w:widowControl/>
      <w:spacing w:after="160" w:line="240" w:lineRule="exact"/>
      <w:jc w:val="left"/>
    </w:pPr>
    <w:rPr>
      <w:rFonts w:ascii="Arial" w:eastAsia="Times New Roman" w:hAnsi="Arial" w:cs="Verdana"/>
      <w:b/>
      <w:sz w:val="24"/>
      <w:lang w:eastAsia="en-US"/>
    </w:rPr>
  </w:style>
  <w:style w:type="paragraph" w:customStyle="1" w:styleId="affffffffffffffffffffffff1">
    <w:name w:val="表内"/>
    <w:basedOn w:val="a9"/>
    <w:qFormat/>
    <w:pPr>
      <w:widowControl/>
      <w:jc w:val="center"/>
      <w:textAlignment w:val="center"/>
    </w:pPr>
    <w:rPr>
      <w:rFonts w:ascii="Arial" w:eastAsia="楷体_GB2312" w:hAnsi="Arial"/>
      <w:kern w:val="2"/>
      <w:sz w:val="21"/>
      <w:szCs w:val="21"/>
    </w:rPr>
  </w:style>
  <w:style w:type="paragraph" w:customStyle="1" w:styleId="CharChar2CharCharCharCharCharChar">
    <w:name w:val="Char Char2 Char Char Char Char Char Char"/>
    <w:basedOn w:val="a9"/>
    <w:qFormat/>
    <w:pPr>
      <w:widowControl/>
      <w:spacing w:line="360" w:lineRule="auto"/>
      <w:jc w:val="left"/>
    </w:pPr>
    <w:rPr>
      <w:rFonts w:ascii="宋体" w:hAnsi="宋体"/>
      <w:kern w:val="2"/>
      <w:sz w:val="22"/>
      <w:szCs w:val="24"/>
    </w:rPr>
  </w:style>
  <w:style w:type="paragraph" w:customStyle="1" w:styleId="227">
    <w:name w:val="样式 样式 样式 正文 首行缩进 + 首行缩进:  2 字符 行距: 单倍行距 + 首行缩进:  2 字符 + 小四 首行缩进..."/>
    <w:basedOn w:val="a9"/>
    <w:qFormat/>
    <w:pPr>
      <w:widowControl/>
      <w:spacing w:line="312" w:lineRule="auto"/>
      <w:ind w:firstLineChars="200" w:firstLine="480"/>
      <w:jc w:val="left"/>
    </w:pPr>
    <w:rPr>
      <w:rFonts w:cs="宋体"/>
      <w:kern w:val="2"/>
      <w:sz w:val="24"/>
    </w:rPr>
  </w:style>
  <w:style w:type="paragraph" w:customStyle="1" w:styleId="CharCharCharCharCharChar1CharCharCharChar3">
    <w:name w:val="Char Char Char Char Char Char1 Char Char Char Char3"/>
    <w:basedOn w:val="a9"/>
    <w:qFormat/>
    <w:pPr>
      <w:widowControl/>
      <w:jc w:val="left"/>
    </w:pPr>
    <w:rPr>
      <w:rFonts w:ascii="Tahoma" w:hAnsi="Tahoma"/>
      <w:kern w:val="2"/>
      <w:sz w:val="24"/>
    </w:rPr>
  </w:style>
  <w:style w:type="paragraph" w:customStyle="1" w:styleId="affffffffffffffffffffffff2">
    <w:name w:val="表中文字右"/>
    <w:basedOn w:val="a9"/>
    <w:qFormat/>
    <w:pPr>
      <w:widowControl/>
      <w:jc w:val="center"/>
    </w:pPr>
    <w:rPr>
      <w:rFonts w:ascii="宋体"/>
      <w:color w:val="0000FF"/>
      <w:sz w:val="21"/>
      <w:szCs w:val="21"/>
    </w:rPr>
  </w:style>
  <w:style w:type="paragraph" w:customStyle="1" w:styleId="affffffffffffffffffffffff3">
    <w:name w:val="表中文字修改"/>
    <w:basedOn w:val="a9"/>
    <w:qFormat/>
    <w:pPr>
      <w:widowControl/>
      <w:adjustRightInd w:val="0"/>
      <w:jc w:val="left"/>
    </w:pPr>
    <w:rPr>
      <w:rFonts w:ascii="宋体"/>
      <w:color w:val="000000"/>
      <w:sz w:val="21"/>
      <w:szCs w:val="21"/>
    </w:rPr>
  </w:style>
  <w:style w:type="paragraph" w:customStyle="1" w:styleId="CharChar2CharCharCharCharCharChar1">
    <w:name w:val="Char Char2 Char Char Char Char Char Char1"/>
    <w:basedOn w:val="a9"/>
    <w:qFormat/>
    <w:pPr>
      <w:widowControl/>
      <w:spacing w:line="360" w:lineRule="auto"/>
      <w:jc w:val="left"/>
    </w:pPr>
    <w:rPr>
      <w:rFonts w:ascii="宋体" w:hAnsi="宋体"/>
      <w:kern w:val="2"/>
      <w:sz w:val="22"/>
      <w:szCs w:val="24"/>
    </w:rPr>
  </w:style>
  <w:style w:type="paragraph" w:customStyle="1" w:styleId="CharCharCharCharCharChar1Char1">
    <w:name w:val="Char Char Char Char Char Char1 Char1"/>
    <w:basedOn w:val="a9"/>
    <w:qFormat/>
    <w:pPr>
      <w:widowControl/>
      <w:spacing w:after="160" w:line="240" w:lineRule="exact"/>
      <w:jc w:val="left"/>
    </w:pPr>
    <w:rPr>
      <w:rFonts w:ascii="Arial" w:eastAsia="Times New Roman" w:hAnsi="Arial" w:cs="Verdana"/>
      <w:b/>
      <w:sz w:val="24"/>
      <w:lang w:eastAsia="en-US"/>
    </w:rPr>
  </w:style>
  <w:style w:type="paragraph" w:customStyle="1" w:styleId="13Arial215">
    <w:name w:val="样式 正文小四首缩1.3行距 + Arial 首行缩进:  2 字符 行距: 1.5 倍行距"/>
    <w:basedOn w:val="132"/>
    <w:qFormat/>
    <w:pPr>
      <w:widowControl/>
      <w:jc w:val="left"/>
    </w:pPr>
    <w:rPr>
      <w:rFonts w:ascii="Arial" w:hAnsi="Arial" w:cs="宋体"/>
      <w:szCs w:val="20"/>
    </w:rPr>
  </w:style>
  <w:style w:type="paragraph" w:customStyle="1" w:styleId="affffffffffffffffffffffff4">
    <w:name w:val="表字"/>
    <w:basedOn w:val="a9"/>
    <w:next w:val="a9"/>
    <w:qFormat/>
    <w:pPr>
      <w:keepNext/>
      <w:widowControl/>
      <w:spacing w:line="360" w:lineRule="atLeast"/>
      <w:jc w:val="center"/>
    </w:pPr>
    <w:rPr>
      <w:rFonts w:ascii="Arial" w:hAnsi="Arial"/>
      <w:kern w:val="2"/>
      <w:sz w:val="21"/>
    </w:rPr>
  </w:style>
  <w:style w:type="paragraph" w:customStyle="1" w:styleId="affffffffffffffffffffffff5">
    <w:name w:val="魏秀珍 表格"/>
    <w:basedOn w:val="a9"/>
    <w:qFormat/>
    <w:pPr>
      <w:widowControl/>
      <w:adjustRightInd w:val="0"/>
      <w:snapToGrid w:val="0"/>
      <w:spacing w:before="120"/>
      <w:jc w:val="center"/>
    </w:pPr>
    <w:rPr>
      <w:rFonts w:hAnsi="宋体"/>
      <w:b/>
      <w:bCs/>
      <w:sz w:val="24"/>
    </w:rPr>
  </w:style>
  <w:style w:type="paragraph" w:customStyle="1" w:styleId="5f5">
    <w:name w:val="表格小5缩"/>
    <w:basedOn w:val="a9"/>
    <w:uiPriority w:val="99"/>
    <w:qFormat/>
    <w:pPr>
      <w:widowControl/>
      <w:spacing w:line="360" w:lineRule="exact"/>
      <w:ind w:left="-57" w:right="-57"/>
      <w:jc w:val="center"/>
    </w:pPr>
    <w:rPr>
      <w:rFonts w:ascii="Arial" w:hAnsi="Arial"/>
      <w:kern w:val="2"/>
      <w:sz w:val="18"/>
      <w:szCs w:val="18"/>
    </w:rPr>
  </w:style>
  <w:style w:type="paragraph" w:customStyle="1" w:styleId="21f">
    <w:name w:val="纯文本21"/>
    <w:basedOn w:val="a9"/>
    <w:qFormat/>
    <w:pPr>
      <w:widowControl/>
      <w:adjustRightInd w:val="0"/>
      <w:jc w:val="left"/>
      <w:textAlignment w:val="baseline"/>
    </w:pPr>
    <w:rPr>
      <w:rFonts w:ascii="宋体"/>
      <w:sz w:val="21"/>
    </w:rPr>
  </w:style>
  <w:style w:type="paragraph" w:customStyle="1" w:styleId="affffffffffffffffffffffff6">
    <w:name w:val="页号"/>
    <w:basedOn w:val="aff5"/>
    <w:qFormat/>
    <w:pPr>
      <w:widowControl/>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CharCharChar1CharCharCharCharCharCharCharCharCharChar3">
    <w:name w:val="Char Char Char1 Char Char Char Char Char Char Char Char Char Char3"/>
    <w:basedOn w:val="a9"/>
    <w:qFormat/>
    <w:pPr>
      <w:widowControl/>
      <w:jc w:val="left"/>
    </w:pPr>
    <w:rPr>
      <w:kern w:val="2"/>
      <w:sz w:val="21"/>
      <w:szCs w:val="24"/>
    </w:rPr>
  </w:style>
  <w:style w:type="paragraph" w:customStyle="1" w:styleId="Char3CharCharCharCharCharChar3">
    <w:name w:val="Char3 Char Char Char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CharCharCharCharCharCharCharCharChar4">
    <w:name w:val="Char Char Char Char Char Char Char Char Char Char Char Char Char Char Char Char4"/>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CharCharChar4">
    <w:name w:val="Char Char Char Char Char Char Char Char Char Char4"/>
    <w:basedOn w:val="a9"/>
    <w:qFormat/>
    <w:pPr>
      <w:widowControl/>
      <w:jc w:val="left"/>
    </w:pPr>
    <w:rPr>
      <w:kern w:val="2"/>
      <w:sz w:val="21"/>
      <w:szCs w:val="24"/>
    </w:rPr>
  </w:style>
  <w:style w:type="paragraph" w:customStyle="1" w:styleId="Char2CharCharChar4">
    <w:name w:val="Char2 Char Char Char4"/>
    <w:basedOn w:val="3"/>
    <w:qFormat/>
    <w:pPr>
      <w:keepNext/>
      <w:keepLines/>
      <w:widowControl/>
      <w:numPr>
        <w:ilvl w:val="0"/>
        <w:numId w:val="0"/>
      </w:numPr>
      <w:tabs>
        <w:tab w:val="left" w:pos="360"/>
        <w:tab w:val="left" w:pos="900"/>
      </w:tabs>
      <w:adjustRightInd w:val="0"/>
      <w:spacing w:before="120" w:after="120"/>
      <w:ind w:leftChars="-12" w:left="542" w:firstLineChars="200" w:firstLine="200"/>
      <w:jc w:val="left"/>
    </w:pPr>
    <w:rPr>
      <w:b w:val="0"/>
      <w:snapToGrid w:val="0"/>
      <w:kern w:val="2"/>
      <w:szCs w:val="24"/>
    </w:rPr>
  </w:style>
  <w:style w:type="paragraph" w:customStyle="1" w:styleId="CharChar1CharCharCharCharCharCharCharCharCharChar3">
    <w:name w:val="Char Char1 Char Char Char Char Char Char Char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1CharCharChar3">
    <w:name w:val="Char Char Char1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3">
    <w:name w:val="Char Char Char Char Char Char3"/>
    <w:basedOn w:val="a9"/>
    <w:qFormat/>
    <w:pPr>
      <w:widowControl/>
      <w:jc w:val="left"/>
    </w:pPr>
    <w:rPr>
      <w:kern w:val="2"/>
      <w:sz w:val="21"/>
      <w:szCs w:val="24"/>
    </w:rPr>
  </w:style>
  <w:style w:type="paragraph" w:customStyle="1" w:styleId="Char340">
    <w:name w:val="Char34"/>
    <w:basedOn w:val="a9"/>
    <w:qFormat/>
    <w:pPr>
      <w:widowControl/>
      <w:spacing w:line="360" w:lineRule="auto"/>
      <w:ind w:firstLineChars="200" w:firstLine="200"/>
      <w:jc w:val="left"/>
    </w:pPr>
    <w:rPr>
      <w:kern w:val="2"/>
      <w:sz w:val="24"/>
    </w:rPr>
  </w:style>
  <w:style w:type="paragraph" w:customStyle="1" w:styleId="Char1CharCharChar3">
    <w:name w:val="Char1 Char Char Char3"/>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2Char3">
    <w:name w:val="Char Char2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230">
    <w:name w:val="Char23"/>
    <w:basedOn w:val="a9"/>
    <w:qFormat/>
    <w:pPr>
      <w:widowControl/>
      <w:spacing w:line="360" w:lineRule="auto"/>
      <w:jc w:val="left"/>
    </w:pPr>
    <w:rPr>
      <w:rFonts w:ascii="宋体" w:hAnsi="宋体" w:cs="宋体"/>
      <w:kern w:val="2"/>
      <w:sz w:val="24"/>
      <w:szCs w:val="24"/>
    </w:rPr>
  </w:style>
  <w:style w:type="table" w:customStyle="1" w:styleId="11110">
    <w:name w:val="网格型11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11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网格型113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9Char1">
    <w:name w:val="Char Char19 Char1"/>
    <w:basedOn w:val="a9"/>
    <w:qFormat/>
    <w:pPr>
      <w:widowControl/>
      <w:jc w:val="left"/>
    </w:pPr>
    <w:rPr>
      <w:rFonts w:ascii="Tahoma" w:hAnsi="Tahoma"/>
      <w:kern w:val="2"/>
      <w:sz w:val="24"/>
    </w:rPr>
  </w:style>
  <w:style w:type="character" w:customStyle="1" w:styleId="161">
    <w:name w:val="16"/>
    <w:qFormat/>
    <w:rPr>
      <w:rFonts w:ascii="Times New Roman" w:hAnsi="Times New Roman" w:cs="Times New Roman" w:hint="default"/>
      <w:sz w:val="24"/>
      <w:szCs w:val="24"/>
    </w:rPr>
  </w:style>
  <w:style w:type="character" w:customStyle="1" w:styleId="170">
    <w:name w:val="17"/>
    <w:qFormat/>
    <w:rPr>
      <w:rFonts w:ascii="Times New Roman" w:eastAsia="黑体" w:hAnsi="Times New Roman" w:cs="Times New Roman" w:hint="default"/>
      <w:b/>
      <w:bCs/>
      <w:kern w:val="2"/>
      <w:sz w:val="24"/>
      <w:szCs w:val="24"/>
    </w:rPr>
  </w:style>
  <w:style w:type="character" w:customStyle="1" w:styleId="180">
    <w:name w:val="18"/>
    <w:qFormat/>
    <w:rPr>
      <w:rFonts w:ascii="Times New Roman" w:eastAsia="黑体" w:hAnsi="Times New Roman" w:cs="Times New Roman" w:hint="default"/>
      <w:b/>
      <w:bCs/>
      <w:kern w:val="2"/>
      <w:sz w:val="24"/>
      <w:szCs w:val="24"/>
    </w:rPr>
  </w:style>
  <w:style w:type="table" w:customStyle="1" w:styleId="1ffffff7">
    <w:name w:val="网格型!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表格主题1"/>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彩色型 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f0">
    <w:name w:val="彩色型 2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c">
    <w:name w:val="彩色型 3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ffff9">
    <w:name w:val="典雅型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4">
    <w:name w:val="古典型 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1">
    <w:name w:val="古典型 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d">
    <w:name w:val="古典型 3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4">
    <w:name w:val="古典型 4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5">
    <w:name w:val="简明型 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f2">
    <w:name w:val="简明型 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e">
    <w:name w:val="简明型 3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f3">
    <w:name w:val="精巧型 2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6">
    <w:name w:val="立体型 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7">
    <w:name w:val="列表型 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4">
    <w:name w:val="列表型 2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
    <w:name w:val="列表型 3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6">
    <w:name w:val="列表型 4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3">
    <w:name w:val="列表型 5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3">
    <w:name w:val="列表型 6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
    <w:name w:val="列表型 7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1">
    <w:name w:val="列表型 8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ffffa">
    <w:name w:val="流行型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8">
    <w:name w:val="竖列型 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0">
    <w:name w:val="竖列型 3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4">
    <w:name w:val="竖列型 5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9">
    <w:name w:val="网格型 11"/>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5">
    <w:name w:val="网格型 2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f1">
    <w:name w:val="网格型 3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7">
    <w:name w:val="网格型 4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5">
    <w:name w:val="网格型 51"/>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4">
    <w:name w:val="网格型 6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
    <w:name w:val="网格型 7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
    <w:name w:val="网格型 8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fa">
    <w:name w:val="网页型 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6">
    <w:name w:val="网页型 2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f2">
    <w:name w:val="网页型 3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ffb">
    <w:name w:val="专业型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fb">
    <w:name w:val="君邦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c">
    <w:name w:val="君邦专用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表格样式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c">
    <w:name w:val="表格样式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0">
    <w:name w:val="网格型11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网格型21"/>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d">
    <w:name w:val="君邦表格1"/>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ffffffe">
    <w:name w:val="君邦表格（表）1"/>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TOC21">
    <w:name w:val="TOC 标题21"/>
    <w:basedOn w:val="1"/>
    <w:next w:val="a9"/>
    <w:uiPriority w:val="39"/>
    <w:unhideWhenUsed/>
    <w:qFormat/>
    <w:pPr>
      <w:pageBreakBefore w:val="0"/>
      <w:widowControl/>
      <w:numPr>
        <w:numId w:val="0"/>
      </w:numPr>
      <w:spacing w:before="480" w:after="0" w:line="276" w:lineRule="auto"/>
      <w:jc w:val="center"/>
      <w:outlineLvl w:val="9"/>
    </w:pPr>
    <w:rPr>
      <w:rFonts w:ascii="Cambria" w:hAnsi="Cambria"/>
      <w:bCs/>
      <w:color w:val="365F91"/>
      <w:kern w:val="0"/>
      <w:szCs w:val="28"/>
    </w:rPr>
  </w:style>
  <w:style w:type="table" w:customStyle="1" w:styleId="4110">
    <w:name w:val="列表型 4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paragraph" w:customStyle="1" w:styleId="4fd">
    <w:name w:val="正文首行缩进4"/>
    <w:basedOn w:val="afd"/>
    <w:qFormat/>
    <w:pPr>
      <w:widowControl/>
      <w:adjustRightInd w:val="0"/>
      <w:spacing w:after="120" w:line="312" w:lineRule="atLeast"/>
      <w:ind w:firstLineChars="0" w:firstLine="420"/>
      <w:jc w:val="left"/>
      <w:textAlignment w:val="baseline"/>
    </w:pPr>
    <w:rPr>
      <w:rFonts w:ascii="Times New Roman" w:hAnsi="Times New Roman"/>
      <w:kern w:val="0"/>
      <w:sz w:val="27"/>
    </w:rPr>
  </w:style>
  <w:style w:type="paragraph" w:customStyle="1" w:styleId="5f6">
    <w:name w:val="批注框文本5"/>
    <w:basedOn w:val="a9"/>
    <w:semiHidden/>
    <w:qFormat/>
    <w:pPr>
      <w:widowControl/>
      <w:jc w:val="left"/>
    </w:pPr>
    <w:rPr>
      <w:rFonts w:ascii="Tahoma" w:hAnsi="Tahoma" w:cs="Tahoma"/>
      <w:kern w:val="2"/>
      <w:sz w:val="16"/>
      <w:szCs w:val="16"/>
    </w:rPr>
  </w:style>
  <w:style w:type="table" w:customStyle="1" w:styleId="1112">
    <w:name w:val="简明型 111"/>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3">
    <w:name w:val="彩色型 111"/>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
    <w:name w:val="彩色型 211"/>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
    <w:name w:val="彩色型 311"/>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d">
    <w:name w:val="典雅型11"/>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4">
    <w:name w:val="古典型 11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
    <w:name w:val="古典型 21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
    <w:name w:val="古典型 311"/>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
    <w:name w:val="古典型 411"/>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4">
    <w:name w:val="简明型 21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4">
    <w:name w:val="简明型 3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5">
    <w:name w:val="精巧型 11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5">
    <w:name w:val="精巧型 211"/>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6">
    <w:name w:val="立体型 11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6">
    <w:name w:val="立体型 21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5">
    <w:name w:val="立体型 31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7">
    <w:name w:val="列表型 111"/>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7">
    <w:name w:val="列表型 211"/>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6">
    <w:name w:val="列表型 311"/>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0">
    <w:name w:val="列表型 5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0">
    <w:name w:val="列表型 6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0">
    <w:name w:val="列表型 711"/>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0">
    <w:name w:val="列表型 8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e">
    <w:name w:val="流行型11"/>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
    <w:name w:val="竖列型 11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8">
    <w:name w:val="竖列型 21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7">
    <w:name w:val="竖列型 311"/>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竖列型 41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竖列型 511"/>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9">
    <w:name w:val="网格型 1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9">
    <w:name w:val="网格型 211"/>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8">
    <w:name w:val="网格型 311"/>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 411"/>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fffa">
    <w:name w:val="君邦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
    <w:name w:val="网格型 6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网格型 71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
    <w:name w:val="网格型 811"/>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a">
    <w:name w:val="网页型 111"/>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a">
    <w:name w:val="网页型 211"/>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9">
    <w:name w:val="网页型 311"/>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f">
    <w:name w:val="专业型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87">
    <w:name w:val="正文8"/>
    <w:qFormat/>
    <w:pPr>
      <w:autoSpaceDE w:val="0"/>
      <w:autoSpaceDN w:val="0"/>
      <w:adjustRightInd w:val="0"/>
      <w:spacing w:line="360" w:lineRule="atLeast"/>
      <w:ind w:firstLine="539"/>
      <w:jc w:val="both"/>
    </w:pPr>
    <w:rPr>
      <w:rFonts w:ascii="宋体"/>
      <w:spacing w:val="30"/>
      <w:sz w:val="24"/>
    </w:rPr>
  </w:style>
  <w:style w:type="paragraph" w:customStyle="1" w:styleId="4fe">
    <w:name w:val="引用4"/>
    <w:basedOn w:val="a9"/>
    <w:next w:val="a9"/>
    <w:qFormat/>
    <w:pPr>
      <w:widowControl/>
      <w:spacing w:line="480" w:lineRule="exact"/>
      <w:ind w:firstLineChars="200" w:firstLine="200"/>
      <w:jc w:val="left"/>
    </w:pPr>
    <w:rPr>
      <w:rFonts w:eastAsia="黑体"/>
      <w:i/>
      <w:iCs/>
      <w:color w:val="000000"/>
      <w:kern w:val="2"/>
      <w:sz w:val="21"/>
      <w:szCs w:val="24"/>
    </w:rPr>
  </w:style>
  <w:style w:type="paragraph" w:customStyle="1" w:styleId="240">
    <w:name w:val="正文文本缩进 24"/>
    <w:basedOn w:val="a9"/>
    <w:semiHidden/>
    <w:qFormat/>
    <w:pPr>
      <w:widowControl/>
      <w:autoSpaceDE w:val="0"/>
      <w:autoSpaceDN w:val="0"/>
      <w:adjustRightInd w:val="0"/>
      <w:spacing w:line="360" w:lineRule="auto"/>
      <w:ind w:firstLineChars="200" w:firstLine="570"/>
      <w:jc w:val="left"/>
      <w:textAlignment w:val="baseline"/>
    </w:pPr>
    <w:rPr>
      <w:rFonts w:ascii="宋体" w:eastAsia="仿宋_GB2312" w:hAnsi="Tms Rmn"/>
      <w:spacing w:val="4"/>
      <w:sz w:val="28"/>
    </w:rPr>
  </w:style>
  <w:style w:type="paragraph" w:customStyle="1" w:styleId="4ff">
    <w:name w:val="日期4"/>
    <w:basedOn w:val="a9"/>
    <w:next w:val="a9"/>
    <w:semiHidden/>
    <w:qFormat/>
    <w:pPr>
      <w:widowControl/>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241">
    <w:name w:val="正文文本 24"/>
    <w:basedOn w:val="a9"/>
    <w:semiHidden/>
    <w:qFormat/>
    <w:pPr>
      <w:widowControl/>
      <w:autoSpaceDE w:val="0"/>
      <w:autoSpaceDN w:val="0"/>
      <w:adjustRightInd w:val="0"/>
      <w:spacing w:line="360" w:lineRule="atLeast"/>
      <w:ind w:firstLineChars="200" w:firstLine="454"/>
      <w:jc w:val="left"/>
      <w:textAlignment w:val="baseline"/>
    </w:pPr>
    <w:rPr>
      <w:rFonts w:ascii="宋体" w:eastAsia="仿宋_GB2312" w:hAnsi="Tms Rmn"/>
      <w:spacing w:val="4"/>
      <w:sz w:val="28"/>
    </w:rPr>
  </w:style>
  <w:style w:type="paragraph" w:customStyle="1" w:styleId="350">
    <w:name w:val="正文文本缩进 35"/>
    <w:basedOn w:val="a9"/>
    <w:semiHidden/>
    <w:qFormat/>
    <w:pPr>
      <w:widowControl/>
      <w:autoSpaceDE w:val="0"/>
      <w:autoSpaceDN w:val="0"/>
      <w:adjustRightInd w:val="0"/>
      <w:spacing w:line="520" w:lineRule="exact"/>
      <w:ind w:firstLineChars="200" w:firstLine="540"/>
      <w:jc w:val="left"/>
      <w:textAlignment w:val="baseline"/>
    </w:pPr>
    <w:rPr>
      <w:rFonts w:ascii="宋体" w:eastAsia="仿宋_GB2312" w:hAnsi="Tms Rmn"/>
      <w:spacing w:val="4"/>
      <w:sz w:val="28"/>
    </w:rPr>
  </w:style>
  <w:style w:type="table" w:customStyle="1" w:styleId="111b">
    <w:name w:val="君邦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b">
    <w:name w:val="表格样式2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z-Char2">
    <w:name w:val="z-窗体顶端 Char2"/>
    <w:uiPriority w:val="99"/>
    <w:semiHidden/>
    <w:qFormat/>
    <w:rPr>
      <w:rFonts w:ascii="Arial" w:hAnsi="Arial" w:cs="Arial"/>
      <w:vanish/>
      <w:kern w:val="2"/>
      <w:sz w:val="16"/>
      <w:szCs w:val="16"/>
    </w:rPr>
  </w:style>
  <w:style w:type="character" w:customStyle="1" w:styleId="z-">
    <w:name w:val="z-窗体顶端 字符"/>
    <w:qFormat/>
    <w:rPr>
      <w:rFonts w:ascii="Arial" w:hAnsi="Arial" w:cs="Arial"/>
      <w:vanish/>
      <w:sz w:val="16"/>
      <w:szCs w:val="16"/>
    </w:rPr>
  </w:style>
  <w:style w:type="character" w:customStyle="1" w:styleId="z-Char20">
    <w:name w:val="z-窗体底端 Char2"/>
    <w:uiPriority w:val="99"/>
    <w:semiHidden/>
    <w:qFormat/>
    <w:rPr>
      <w:rFonts w:ascii="Arial" w:hAnsi="Arial" w:cs="Arial"/>
      <w:vanish/>
      <w:kern w:val="2"/>
      <w:sz w:val="16"/>
      <w:szCs w:val="16"/>
    </w:rPr>
  </w:style>
  <w:style w:type="character" w:customStyle="1" w:styleId="z-0">
    <w:name w:val="z-窗体底端 字符"/>
    <w:qFormat/>
    <w:rPr>
      <w:sz w:val="18"/>
      <w:szCs w:val="18"/>
    </w:rPr>
  </w:style>
  <w:style w:type="paragraph" w:customStyle="1" w:styleId="2fffb">
    <w:name w:val="修订2"/>
    <w:rPr>
      <w:kern w:val="2"/>
      <w:sz w:val="24"/>
      <w:szCs w:val="24"/>
    </w:rPr>
  </w:style>
  <w:style w:type="table" w:customStyle="1" w:styleId="11ff0">
    <w:name w:val="三线表11"/>
    <w:basedOn w:val="ac"/>
    <w:qFormat/>
    <w:pPr>
      <w:widowControl w:val="0"/>
      <w:spacing w:afterLines="50" w:line="360"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paragraph" w:customStyle="1" w:styleId="5f7">
    <w:name w:val="正文缩进5"/>
    <w:basedOn w:val="a9"/>
    <w:qFormat/>
    <w:pPr>
      <w:widowControl/>
      <w:autoSpaceDE w:val="0"/>
      <w:autoSpaceDN w:val="0"/>
      <w:ind w:firstLine="420"/>
      <w:jc w:val="left"/>
      <w:textAlignment w:val="baseline"/>
    </w:pPr>
    <w:rPr>
      <w:rFonts w:hint="eastAsia"/>
      <w:kern w:val="2"/>
      <w:sz w:val="21"/>
      <w:szCs w:val="24"/>
    </w:rPr>
  </w:style>
  <w:style w:type="paragraph" w:customStyle="1" w:styleId="-e">
    <w:name w:val="报告书-表内格式"/>
    <w:basedOn w:val="a9"/>
    <w:qFormat/>
    <w:pPr>
      <w:widowControl/>
      <w:jc w:val="center"/>
    </w:pPr>
    <w:rPr>
      <w:kern w:val="2"/>
      <w:sz w:val="18"/>
    </w:rPr>
  </w:style>
  <w:style w:type="paragraph" w:customStyle="1" w:styleId="CharCharCharCharCharCharCharCharCharChar5">
    <w:name w:val="Char Char Char Char Char Char Char Char Char Char5"/>
    <w:basedOn w:val="a9"/>
    <w:qFormat/>
    <w:pPr>
      <w:widowControl/>
      <w:jc w:val="left"/>
    </w:pPr>
    <w:rPr>
      <w:kern w:val="2"/>
      <w:sz w:val="21"/>
      <w:szCs w:val="24"/>
    </w:rPr>
  </w:style>
  <w:style w:type="table" w:customStyle="1" w:styleId="12c">
    <w:name w:val="精巧型 1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8">
    <w:name w:val="立体型 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
    <w:name w:val="立体型 3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9">
    <w:name w:val="竖列型 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0">
    <w:name w:val="竖列型 4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fffc">
    <w:name w:val="三线表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0">
    <w:name w:val="网格型11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网格型11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网格型113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君邦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
    <w:name w:val="表格样式2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c">
    <w:name w:val="表格样式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1">
    <w:name w:val="君邦1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0">
    <w:name w:val="表格样式2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d">
    <w:name w:val="表格主题2"/>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character" w:customStyle="1" w:styleId="LP1Char">
    <w:name w:val="LP正文1 Char"/>
    <w:link w:val="LP1"/>
    <w:qFormat/>
    <w:rPr>
      <w:kern w:val="2"/>
      <w:sz w:val="24"/>
      <w:szCs w:val="24"/>
    </w:rPr>
  </w:style>
  <w:style w:type="paragraph" w:customStyle="1" w:styleId="LP1">
    <w:name w:val="LP正文1"/>
    <w:basedOn w:val="a9"/>
    <w:link w:val="LP1Char"/>
    <w:qFormat/>
    <w:pPr>
      <w:adjustRightInd w:val="0"/>
      <w:snapToGrid w:val="0"/>
      <w:spacing w:line="360" w:lineRule="auto"/>
      <w:ind w:firstLineChars="200" w:firstLine="480"/>
    </w:pPr>
    <w:rPr>
      <w:kern w:val="2"/>
      <w:sz w:val="24"/>
      <w:szCs w:val="24"/>
    </w:rPr>
  </w:style>
  <w:style w:type="character" w:customStyle="1" w:styleId="Charfffff2">
    <w:name w:val="报告表表格文字 Char"/>
    <w:link w:val="afffffffffff"/>
    <w:qFormat/>
    <w:rPr>
      <w:rFonts w:eastAsia="楷体_GB2312"/>
      <w:sz w:val="18"/>
      <w:szCs w:val="18"/>
    </w:rPr>
  </w:style>
  <w:style w:type="table" w:customStyle="1" w:styleId="-100">
    <w:name w:val="君邦-1.0"/>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customStyle="1" w:styleId="affffffffffffffffffffffff7">
    <w:name w:val="图中文字"/>
    <w:basedOn w:val="a9"/>
    <w:link w:val="Charfffffff"/>
    <w:qFormat/>
    <w:pPr>
      <w:jc w:val="center"/>
    </w:pPr>
    <w:rPr>
      <w:rFonts w:eastAsia="Times New Roman"/>
      <w:kern w:val="2"/>
      <w:sz w:val="18"/>
      <w:szCs w:val="18"/>
    </w:rPr>
  </w:style>
  <w:style w:type="character" w:customStyle="1" w:styleId="Charfffffff">
    <w:name w:val="图中文字 Char"/>
    <w:link w:val="affffffffffffffffffffffff7"/>
    <w:qFormat/>
    <w:rPr>
      <w:rFonts w:eastAsia="Times New Roman"/>
      <w:kern w:val="2"/>
      <w:sz w:val="18"/>
      <w:szCs w:val="18"/>
    </w:rPr>
  </w:style>
  <w:style w:type="paragraph" w:customStyle="1" w:styleId="Char160">
    <w:name w:val="Char16"/>
    <w:basedOn w:val="a9"/>
    <w:link w:val="CharChar150"/>
    <w:qFormat/>
    <w:rPr>
      <w:kern w:val="2"/>
      <w:sz w:val="21"/>
      <w:szCs w:val="24"/>
    </w:rPr>
  </w:style>
  <w:style w:type="paragraph" w:customStyle="1" w:styleId="Char150">
    <w:name w:val="Char15"/>
    <w:basedOn w:val="a9"/>
    <w:qFormat/>
    <w:rPr>
      <w:kern w:val="2"/>
      <w:sz w:val="21"/>
      <w:szCs w:val="24"/>
    </w:rPr>
  </w:style>
  <w:style w:type="paragraph" w:customStyle="1" w:styleId="CharCharChar1CharCharCharCharCharCharCharCharCharChar4">
    <w:name w:val="Char Char Char1 Char Char Char Char Char Char Char Char Char Char4"/>
    <w:basedOn w:val="a9"/>
    <w:qFormat/>
    <w:rPr>
      <w:kern w:val="2"/>
      <w:sz w:val="21"/>
      <w:szCs w:val="24"/>
    </w:rPr>
  </w:style>
  <w:style w:type="paragraph" w:customStyle="1" w:styleId="Char3CharCharCharCharCharChar4">
    <w:name w:val="Char3 Char Char Char Char Char Char4"/>
    <w:basedOn w:val="a9"/>
    <w:qFormat/>
    <w:pPr>
      <w:spacing w:line="360" w:lineRule="auto"/>
      <w:ind w:firstLineChars="200" w:firstLine="200"/>
    </w:pPr>
    <w:rPr>
      <w:rFonts w:ascii="宋体" w:hAnsi="宋体" w:cs="宋体"/>
      <w:kern w:val="2"/>
      <w:sz w:val="24"/>
      <w:szCs w:val="24"/>
    </w:rPr>
  </w:style>
  <w:style w:type="paragraph" w:customStyle="1" w:styleId="CharChar2Char4">
    <w:name w:val="Char Char2 Char4"/>
    <w:basedOn w:val="a9"/>
    <w:qFormat/>
    <w:pPr>
      <w:spacing w:line="360" w:lineRule="auto"/>
      <w:ind w:firstLineChars="200" w:firstLine="200"/>
    </w:pPr>
    <w:rPr>
      <w:rFonts w:ascii="宋体" w:hAnsi="宋体" w:cs="宋体"/>
      <w:kern w:val="2"/>
      <w:sz w:val="24"/>
      <w:szCs w:val="24"/>
    </w:rPr>
  </w:style>
  <w:style w:type="character" w:customStyle="1" w:styleId="CharChar150">
    <w:name w:val="Char Char15"/>
    <w:link w:val="Char160"/>
    <w:qFormat/>
    <w:rPr>
      <w:kern w:val="2"/>
      <w:sz w:val="21"/>
      <w:szCs w:val="24"/>
    </w:rPr>
  </w:style>
  <w:style w:type="paragraph" w:customStyle="1" w:styleId="Char44">
    <w:name w:val="Char44"/>
    <w:basedOn w:val="a9"/>
    <w:qFormat/>
    <w:pPr>
      <w:spacing w:line="360" w:lineRule="auto"/>
      <w:ind w:firstLineChars="200" w:firstLine="200"/>
    </w:pPr>
    <w:rPr>
      <w:rFonts w:ascii="宋体" w:hAnsi="宋体" w:cs="宋体"/>
      <w:kern w:val="2"/>
      <w:sz w:val="24"/>
      <w:szCs w:val="24"/>
    </w:rPr>
  </w:style>
  <w:style w:type="paragraph" w:customStyle="1" w:styleId="Char350">
    <w:name w:val="Char35"/>
    <w:basedOn w:val="a9"/>
    <w:qFormat/>
    <w:pPr>
      <w:spacing w:line="360" w:lineRule="auto"/>
      <w:ind w:firstLineChars="200" w:firstLine="200"/>
    </w:pPr>
    <w:rPr>
      <w:kern w:val="2"/>
      <w:sz w:val="24"/>
    </w:rPr>
  </w:style>
  <w:style w:type="paragraph" w:customStyle="1" w:styleId="5f8">
    <w:name w:val="正文首行缩进5"/>
    <w:basedOn w:val="afd"/>
    <w:qFormat/>
    <w:pPr>
      <w:adjustRightInd w:val="0"/>
      <w:spacing w:after="120" w:line="312" w:lineRule="atLeast"/>
      <w:ind w:firstLineChars="0" w:firstLine="420"/>
      <w:textAlignment w:val="baseline"/>
    </w:pPr>
    <w:rPr>
      <w:rFonts w:ascii="Times New Roman" w:hAnsi="Times New Roman"/>
      <w:kern w:val="0"/>
      <w:sz w:val="27"/>
      <w:lang w:val="zh-CN"/>
    </w:rPr>
  </w:style>
  <w:style w:type="character" w:customStyle="1" w:styleId="95">
    <w:name w:val="标题9"/>
    <w:qFormat/>
  </w:style>
  <w:style w:type="paragraph" w:customStyle="1" w:styleId="69">
    <w:name w:val="批注框文本6"/>
    <w:basedOn w:val="a9"/>
    <w:semiHidden/>
    <w:qFormat/>
    <w:rPr>
      <w:rFonts w:ascii="Tahoma" w:hAnsi="Tahoma" w:cs="Tahoma"/>
      <w:kern w:val="2"/>
      <w:sz w:val="16"/>
      <w:szCs w:val="16"/>
    </w:rPr>
  </w:style>
  <w:style w:type="paragraph" w:customStyle="1" w:styleId="CharChar3Char4">
    <w:name w:val="Char Char3 Char4"/>
    <w:basedOn w:val="a9"/>
    <w:qFormat/>
    <w:pPr>
      <w:spacing w:line="360" w:lineRule="auto"/>
      <w:ind w:firstLineChars="200" w:firstLine="200"/>
    </w:pPr>
    <w:rPr>
      <w:rFonts w:ascii="宋体" w:hAnsi="宋体" w:cs="宋体"/>
      <w:kern w:val="2"/>
      <w:sz w:val="24"/>
      <w:szCs w:val="24"/>
    </w:rPr>
  </w:style>
  <w:style w:type="character" w:customStyle="1" w:styleId="CharChar26">
    <w:name w:val="Char Char26"/>
    <w:qFormat/>
    <w:rPr>
      <w:rFonts w:eastAsia="宋体"/>
      <w:kern w:val="2"/>
      <w:sz w:val="18"/>
      <w:lang w:val="en-US" w:eastAsia="zh-CN" w:bidi="ar-SA"/>
    </w:rPr>
  </w:style>
  <w:style w:type="paragraph" w:customStyle="1" w:styleId="5f9">
    <w:name w:val="纯文本5"/>
    <w:basedOn w:val="a9"/>
    <w:qFormat/>
    <w:pPr>
      <w:adjustRightInd w:val="0"/>
      <w:textAlignment w:val="baseline"/>
    </w:pPr>
    <w:rPr>
      <w:rFonts w:ascii="宋体"/>
      <w:sz w:val="21"/>
    </w:rPr>
  </w:style>
  <w:style w:type="paragraph" w:customStyle="1" w:styleId="CharChar38">
    <w:name w:val="Char Char38"/>
    <w:basedOn w:val="a9"/>
    <w:semiHidden/>
    <w:qFormat/>
    <w:pPr>
      <w:spacing w:afterLines="50" w:after="156" w:line="560" w:lineRule="exact"/>
    </w:pPr>
    <w:rPr>
      <w:rFonts w:eastAsia="黑体"/>
      <w:kern w:val="2"/>
      <w:sz w:val="30"/>
      <w:szCs w:val="30"/>
    </w:rPr>
  </w:style>
  <w:style w:type="paragraph" w:customStyle="1" w:styleId="CharCharCharCharCharCharChar5">
    <w:name w:val="Char Char Char Char Char Char Char5"/>
    <w:basedOn w:val="a9"/>
    <w:qFormat/>
    <w:pPr>
      <w:spacing w:line="360" w:lineRule="auto"/>
      <w:ind w:firstLineChars="200" w:firstLine="200"/>
    </w:pPr>
    <w:rPr>
      <w:rFonts w:ascii="宋体" w:hAnsi="宋体" w:cs="宋体"/>
      <w:kern w:val="2"/>
      <w:sz w:val="24"/>
      <w:szCs w:val="24"/>
    </w:rPr>
  </w:style>
  <w:style w:type="character" w:customStyle="1" w:styleId="CharChar184">
    <w:name w:val="Char Char184"/>
    <w:qFormat/>
    <w:rPr>
      <w:rFonts w:ascii="Arial" w:eastAsia="宋体" w:hAnsi="Arial"/>
      <w:b/>
      <w:bCs/>
      <w:kern w:val="2"/>
      <w:sz w:val="32"/>
      <w:szCs w:val="32"/>
      <w:lang w:val="en-US" w:eastAsia="zh-CN" w:bidi="ar-SA"/>
    </w:rPr>
  </w:style>
  <w:style w:type="paragraph" w:customStyle="1" w:styleId="CharCharCharCharCharChar1CharCharCharChar4">
    <w:name w:val="Char Char Char Char Char Char1 Char Char Char Char4"/>
    <w:basedOn w:val="a9"/>
    <w:qFormat/>
    <w:rPr>
      <w:rFonts w:ascii="Tahoma" w:hAnsi="Tahoma"/>
      <w:kern w:val="2"/>
      <w:sz w:val="24"/>
    </w:rPr>
  </w:style>
  <w:style w:type="paragraph" w:customStyle="1" w:styleId="96">
    <w:name w:val="正文9"/>
    <w:qFormat/>
    <w:pPr>
      <w:autoSpaceDE w:val="0"/>
      <w:autoSpaceDN w:val="0"/>
      <w:adjustRightInd w:val="0"/>
      <w:spacing w:line="360" w:lineRule="atLeast"/>
      <w:ind w:firstLine="539"/>
      <w:jc w:val="both"/>
    </w:pPr>
    <w:rPr>
      <w:rFonts w:ascii="宋体"/>
      <w:spacing w:val="30"/>
      <w:sz w:val="24"/>
    </w:rPr>
  </w:style>
  <w:style w:type="paragraph" w:customStyle="1" w:styleId="5fa">
    <w:name w:val="价格变化趋5"/>
    <w:basedOn w:val="a9"/>
    <w:qFormat/>
    <w:pPr>
      <w:adjustRightInd w:val="0"/>
      <w:spacing w:line="315" w:lineRule="atLeast"/>
      <w:jc w:val="left"/>
      <w:textAlignment w:val="baseline"/>
    </w:pPr>
    <w:rPr>
      <w:rFonts w:ascii="宋体"/>
      <w:sz w:val="21"/>
    </w:rPr>
  </w:style>
  <w:style w:type="paragraph" w:customStyle="1" w:styleId="6a">
    <w:name w:val="字元6"/>
    <w:basedOn w:val="a9"/>
    <w:qFormat/>
    <w:rPr>
      <w:kern w:val="2"/>
      <w:sz w:val="24"/>
      <w:szCs w:val="24"/>
    </w:rPr>
  </w:style>
  <w:style w:type="paragraph" w:customStyle="1" w:styleId="157">
    <w:name w:val="字元15"/>
    <w:basedOn w:val="a9"/>
    <w:qFormat/>
    <w:rPr>
      <w:kern w:val="2"/>
      <w:sz w:val="21"/>
      <w:szCs w:val="21"/>
    </w:rPr>
  </w:style>
  <w:style w:type="character" w:customStyle="1" w:styleId="2CharChar4">
    <w:name w:val="字元2 Char Char4"/>
    <w:qFormat/>
    <w:rPr>
      <w:rFonts w:eastAsia="楷体_GB2312"/>
      <w:sz w:val="21"/>
      <w:lang w:val="en-US" w:eastAsia="zh-CN" w:bidi="ar-SA"/>
    </w:rPr>
  </w:style>
  <w:style w:type="paragraph" w:customStyle="1" w:styleId="Char240">
    <w:name w:val="Char24"/>
    <w:basedOn w:val="a9"/>
    <w:qFormat/>
    <w:pPr>
      <w:spacing w:line="360" w:lineRule="auto"/>
      <w:jc w:val="left"/>
    </w:pPr>
    <w:rPr>
      <w:rFonts w:ascii="宋体" w:hAnsi="宋体" w:cs="宋体"/>
      <w:kern w:val="2"/>
      <w:sz w:val="24"/>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9"/>
    <w:qFormat/>
    <w:pPr>
      <w:spacing w:line="360" w:lineRule="auto"/>
      <w:ind w:firstLineChars="200" w:firstLine="200"/>
    </w:pPr>
    <w:rPr>
      <w:rFonts w:ascii="宋体" w:hAnsi="宋体" w:cs="宋体"/>
      <w:kern w:val="2"/>
      <w:sz w:val="24"/>
      <w:szCs w:val="24"/>
    </w:rPr>
  </w:style>
  <w:style w:type="paragraph" w:customStyle="1" w:styleId="CharChar1Char2CharCharChar4">
    <w:name w:val="Char Char1 Char2 Char Char Char4"/>
    <w:basedOn w:val="a9"/>
    <w:qFormat/>
    <w:pPr>
      <w:spacing w:line="360" w:lineRule="auto"/>
      <w:ind w:firstLineChars="200" w:firstLine="200"/>
    </w:pPr>
    <w:rPr>
      <w:rFonts w:ascii="宋体" w:hAnsi="宋体" w:cs="宋体"/>
      <w:kern w:val="2"/>
      <w:sz w:val="24"/>
      <w:szCs w:val="24"/>
    </w:rPr>
  </w:style>
  <w:style w:type="paragraph" w:customStyle="1" w:styleId="CharChar1CharCharCharCharCharCharCharCharCharChar4">
    <w:name w:val="Char Char1 Char Char Char Char Char Char Char Char Char Char4"/>
    <w:basedOn w:val="a9"/>
    <w:qFormat/>
    <w:pPr>
      <w:spacing w:line="360" w:lineRule="auto"/>
      <w:ind w:firstLineChars="200" w:firstLine="200"/>
    </w:pPr>
    <w:rPr>
      <w:rFonts w:ascii="宋体" w:hAnsi="宋体" w:cs="宋体"/>
      <w:kern w:val="2"/>
      <w:sz w:val="24"/>
      <w:szCs w:val="24"/>
    </w:rPr>
  </w:style>
  <w:style w:type="paragraph" w:customStyle="1" w:styleId="Char2CharCharChar5">
    <w:name w:val="Char2 Char Char Char5"/>
    <w:basedOn w:val="3"/>
    <w:qFormat/>
    <w:pPr>
      <w:keepNext/>
      <w:keepLines/>
      <w:numPr>
        <w:ilvl w:val="0"/>
        <w:numId w:val="0"/>
      </w:numPr>
      <w:tabs>
        <w:tab w:val="clear" w:pos="720"/>
        <w:tab w:val="left" w:pos="360"/>
        <w:tab w:val="left" w:pos="900"/>
      </w:tabs>
      <w:spacing w:before="120" w:after="120"/>
      <w:ind w:leftChars="-12" w:left="542" w:firstLineChars="200" w:firstLine="200"/>
    </w:pPr>
    <w:rPr>
      <w:b w:val="0"/>
      <w:snapToGrid w:val="0"/>
      <w:kern w:val="2"/>
      <w:szCs w:val="24"/>
      <w:lang w:val="zh-CN"/>
    </w:rPr>
  </w:style>
  <w:style w:type="paragraph" w:customStyle="1" w:styleId="5fb">
    <w:name w:val="引用5"/>
    <w:basedOn w:val="a9"/>
    <w:next w:val="a9"/>
    <w:qFormat/>
    <w:pPr>
      <w:widowControl/>
      <w:spacing w:line="480" w:lineRule="exact"/>
      <w:ind w:firstLineChars="200" w:firstLine="200"/>
    </w:pPr>
    <w:rPr>
      <w:rFonts w:eastAsia="黑体"/>
      <w:i/>
      <w:iCs/>
      <w:color w:val="000000"/>
      <w:kern w:val="2"/>
      <w:sz w:val="21"/>
      <w:szCs w:val="24"/>
    </w:rPr>
  </w:style>
  <w:style w:type="character" w:customStyle="1" w:styleId="CharChar44">
    <w:name w:val="Char Char44"/>
    <w:qFormat/>
    <w:rPr>
      <w:rFonts w:ascii="Times New Roman" w:eastAsia="宋体" w:hAnsi="Times New Roman" w:cs="Times New Roman"/>
      <w:sz w:val="18"/>
      <w:szCs w:val="18"/>
    </w:rPr>
  </w:style>
  <w:style w:type="character" w:customStyle="1" w:styleId="CharCharCharChar14">
    <w:name w:val="Char Char Char Char14"/>
    <w:qFormat/>
    <w:rPr>
      <w:rFonts w:eastAsia="宋体"/>
      <w:color w:val="000000"/>
      <w:kern w:val="2"/>
      <w:sz w:val="18"/>
      <w:szCs w:val="24"/>
      <w:lang w:val="en-US" w:eastAsia="zh-CN" w:bidi="ar-SA"/>
    </w:rPr>
  </w:style>
  <w:style w:type="paragraph" w:customStyle="1" w:styleId="CharCharChar1CharCharChar4">
    <w:name w:val="Char Char Char1 Char Char Char4"/>
    <w:basedOn w:val="a9"/>
    <w:qFormat/>
    <w:pPr>
      <w:spacing w:line="360" w:lineRule="auto"/>
      <w:ind w:firstLineChars="200" w:firstLine="200"/>
    </w:pPr>
    <w:rPr>
      <w:rFonts w:ascii="宋体" w:hAnsi="宋体" w:cs="宋体"/>
      <w:kern w:val="2"/>
      <w:sz w:val="24"/>
      <w:szCs w:val="24"/>
    </w:rPr>
  </w:style>
  <w:style w:type="character" w:customStyle="1" w:styleId="CharChar204">
    <w:name w:val="Char Char204"/>
    <w:qFormat/>
    <w:rPr>
      <w:rFonts w:ascii="宋体" w:eastAsia="宋体" w:hAnsi="宋体" w:cs="Times New Roman"/>
      <w:sz w:val="32"/>
      <w:szCs w:val="20"/>
    </w:rPr>
  </w:style>
  <w:style w:type="paragraph" w:customStyle="1" w:styleId="CharChar40">
    <w:name w:val="Char Char 字元4"/>
    <w:basedOn w:val="a9"/>
    <w:qFormat/>
    <w:pPr>
      <w:spacing w:line="400" w:lineRule="exact"/>
      <w:ind w:firstLineChars="200" w:firstLine="200"/>
    </w:pPr>
    <w:rPr>
      <w:kern w:val="2"/>
      <w:sz w:val="28"/>
      <w:szCs w:val="28"/>
    </w:rPr>
  </w:style>
  <w:style w:type="paragraph" w:customStyle="1" w:styleId="CharCharCharChar40">
    <w:name w:val="Char Char 字元 Char Char 字元 字元 字元4"/>
    <w:basedOn w:val="a9"/>
    <w:qFormat/>
    <w:pPr>
      <w:spacing w:line="400" w:lineRule="exact"/>
      <w:ind w:firstLineChars="200" w:firstLine="200"/>
    </w:pPr>
    <w:rPr>
      <w:kern w:val="2"/>
      <w:sz w:val="28"/>
      <w:szCs w:val="28"/>
    </w:rPr>
  </w:style>
  <w:style w:type="paragraph" w:customStyle="1" w:styleId="CharCharCharChar41">
    <w:name w:val="Char Char 字元 Char Char 字元4"/>
    <w:basedOn w:val="a9"/>
    <w:qFormat/>
    <w:pPr>
      <w:spacing w:line="400" w:lineRule="exact"/>
      <w:ind w:firstLineChars="200" w:firstLine="200"/>
    </w:pPr>
    <w:rPr>
      <w:kern w:val="2"/>
      <w:sz w:val="28"/>
      <w:szCs w:val="28"/>
    </w:rPr>
  </w:style>
  <w:style w:type="paragraph" w:customStyle="1" w:styleId="CharCharCharCharCharCharCharCharCharChar6">
    <w:name w:val="Char Char Char Char Char Char Char Char Char Char6"/>
    <w:basedOn w:val="a9"/>
    <w:qFormat/>
    <w:rPr>
      <w:kern w:val="2"/>
      <w:sz w:val="21"/>
      <w:szCs w:val="24"/>
    </w:rPr>
  </w:style>
  <w:style w:type="character" w:customStyle="1" w:styleId="CharCharff0">
    <w:name w:val="段 Char Char"/>
    <w:qFormat/>
    <w:rPr>
      <w:rFonts w:ascii="宋体" w:eastAsia="宋体"/>
      <w:sz w:val="21"/>
      <w:lang w:val="en-US" w:eastAsia="zh-CN" w:bidi="ar-SA"/>
    </w:rPr>
  </w:style>
  <w:style w:type="character" w:customStyle="1" w:styleId="z-12">
    <w:name w:val="z-窗体顶端 字符1"/>
    <w:link w:val="z-3"/>
    <w:qFormat/>
    <w:rPr>
      <w:rFonts w:ascii="Arial" w:hAnsi="Arial" w:cs="Arial"/>
      <w:vanish/>
      <w:kern w:val="2"/>
      <w:sz w:val="16"/>
      <w:szCs w:val="16"/>
    </w:rPr>
  </w:style>
  <w:style w:type="paragraph" w:customStyle="1" w:styleId="z-3">
    <w:name w:val="z-窗体顶端3"/>
    <w:basedOn w:val="a9"/>
    <w:next w:val="a9"/>
    <w:link w:val="z-12"/>
    <w:pPr>
      <w:widowControl/>
      <w:pBdr>
        <w:bottom w:val="single" w:sz="6" w:space="1" w:color="auto"/>
      </w:pBdr>
      <w:spacing w:line="0" w:lineRule="atLeast"/>
      <w:jc w:val="center"/>
    </w:pPr>
    <w:rPr>
      <w:rFonts w:ascii="Arial" w:hAnsi="Arial" w:cs="Arial"/>
      <w:vanish/>
      <w:kern w:val="2"/>
      <w:sz w:val="16"/>
      <w:szCs w:val="16"/>
    </w:rPr>
  </w:style>
  <w:style w:type="character" w:customStyle="1" w:styleId="z-13">
    <w:name w:val="z-窗体底端 字符1"/>
    <w:link w:val="z-30"/>
    <w:qFormat/>
    <w:rPr>
      <w:rFonts w:ascii="Arial" w:hAnsi="Arial" w:cs="Arial"/>
      <w:vanish/>
      <w:kern w:val="2"/>
      <w:sz w:val="16"/>
      <w:szCs w:val="16"/>
    </w:rPr>
  </w:style>
  <w:style w:type="paragraph" w:customStyle="1" w:styleId="z-30">
    <w:name w:val="z-窗体底端3"/>
    <w:basedOn w:val="a9"/>
    <w:next w:val="a9"/>
    <w:link w:val="z-13"/>
    <w:pPr>
      <w:widowControl/>
      <w:pBdr>
        <w:top w:val="single" w:sz="6" w:space="1" w:color="auto"/>
      </w:pBdr>
      <w:spacing w:line="0" w:lineRule="atLeast"/>
      <w:jc w:val="center"/>
    </w:pPr>
    <w:rPr>
      <w:rFonts w:ascii="Arial" w:hAnsi="Arial" w:cs="Arial"/>
      <w:vanish/>
      <w:kern w:val="2"/>
      <w:sz w:val="16"/>
      <w:szCs w:val="16"/>
    </w:rPr>
  </w:style>
  <w:style w:type="paragraph" w:customStyle="1" w:styleId="TOC3">
    <w:name w:val="TOC 标题3"/>
    <w:basedOn w:val="1"/>
    <w:next w:val="a9"/>
    <w:qFormat/>
    <w:pPr>
      <w:pageBreakBefore w:val="0"/>
      <w:widowControl/>
      <w:numPr>
        <w:numId w:val="0"/>
      </w:numPr>
      <w:spacing w:before="480" w:after="0" w:line="276" w:lineRule="auto"/>
      <w:jc w:val="center"/>
      <w:outlineLvl w:val="9"/>
    </w:pPr>
    <w:rPr>
      <w:rFonts w:ascii="Cambria" w:hAnsi="Cambria"/>
      <w:bCs/>
      <w:color w:val="365F91"/>
      <w:kern w:val="0"/>
      <w:szCs w:val="28"/>
      <w:lang w:val="zh-CN"/>
    </w:rPr>
  </w:style>
  <w:style w:type="character" w:customStyle="1" w:styleId="1fffffff">
    <w:name w:val="明显参考1"/>
    <w:uiPriority w:val="32"/>
    <w:qFormat/>
    <w:rPr>
      <w:b/>
      <w:bCs/>
      <w:smallCaps/>
      <w:color w:val="4472C4"/>
      <w:spacing w:val="5"/>
    </w:rPr>
  </w:style>
  <w:style w:type="character" w:customStyle="1" w:styleId="CharCharff1">
    <w:name w:val="图表脚注 Char Char"/>
    <w:link w:val="affffffffffffffffffffffff8"/>
    <w:qFormat/>
    <w:rPr>
      <w:rFonts w:ascii="宋体"/>
      <w:sz w:val="18"/>
      <w:vertAlign w:val="superscript"/>
    </w:rPr>
  </w:style>
  <w:style w:type="paragraph" w:customStyle="1" w:styleId="affffffffffffffffffffffff8">
    <w:name w:val="图表脚注"/>
    <w:next w:val="4"/>
    <w:link w:val="CharCharff1"/>
    <w:qFormat/>
    <w:pPr>
      <w:ind w:leftChars="200" w:left="740" w:hangingChars="100" w:hanging="180"/>
      <w:jc w:val="both"/>
    </w:pPr>
    <w:rPr>
      <w:rFonts w:ascii="宋体"/>
      <w:sz w:val="18"/>
      <w:vertAlign w:val="superscript"/>
    </w:rPr>
  </w:style>
  <w:style w:type="paragraph" w:customStyle="1" w:styleId="2fffe">
    <w:name w:val="正文首行缩进2字符，报告书"/>
    <w:basedOn w:val="a9"/>
    <w:qFormat/>
    <w:pPr>
      <w:spacing w:line="336" w:lineRule="auto"/>
      <w:ind w:firstLine="482"/>
    </w:pPr>
    <w:rPr>
      <w:rFonts w:ascii="Calibri" w:hAnsi="Calibri" w:cs="黑体"/>
      <w:kern w:val="2"/>
      <w:sz w:val="24"/>
    </w:rPr>
  </w:style>
  <w:style w:type="character" w:customStyle="1" w:styleId="Char1ff6">
    <w:name w:val="题注 Char1"/>
    <w:qFormat/>
    <w:rPr>
      <w:rFonts w:ascii="Arial" w:eastAsia="黑体" w:hAnsi="Arial" w:cs="Arial"/>
      <w:lang w:val="en-US" w:eastAsia="zh-CN" w:bidi="ar-SA"/>
    </w:rPr>
  </w:style>
  <w:style w:type="character" w:customStyle="1" w:styleId="CharCharff2">
    <w:name w:val="条文首行缩进 Char Char"/>
    <w:link w:val="affffffffffffffffffffffff9"/>
    <w:qFormat/>
    <w:rPr>
      <w:rFonts w:ascii="Arial" w:hAnsi="Arial"/>
      <w:kern w:val="2"/>
      <w:sz w:val="24"/>
      <w:szCs w:val="24"/>
    </w:rPr>
  </w:style>
  <w:style w:type="paragraph" w:customStyle="1" w:styleId="affffffffffffffffffffffff9">
    <w:name w:val="条文首行缩进"/>
    <w:basedOn w:val="a9"/>
    <w:link w:val="CharCharff2"/>
    <w:qFormat/>
    <w:pPr>
      <w:ind w:firstLineChars="200" w:firstLine="480"/>
    </w:pPr>
    <w:rPr>
      <w:rFonts w:ascii="Arial" w:hAnsi="Arial"/>
      <w:kern w:val="2"/>
      <w:sz w:val="24"/>
      <w:szCs w:val="24"/>
    </w:rPr>
  </w:style>
  <w:style w:type="paragraph" w:customStyle="1" w:styleId="affffffffffffffffffffffffa">
    <w:name w:val="报告书表格格式"/>
    <w:basedOn w:val="a9"/>
    <w:qFormat/>
    <w:pPr>
      <w:adjustRightInd w:val="0"/>
      <w:snapToGrid w:val="0"/>
      <w:jc w:val="center"/>
    </w:pPr>
    <w:rPr>
      <w:kern w:val="2"/>
      <w:sz w:val="18"/>
      <w:szCs w:val="18"/>
    </w:rPr>
  </w:style>
  <w:style w:type="character" w:customStyle="1" w:styleId="Charfffffff0">
    <w:name w:val="正文（报告书） Char"/>
    <w:link w:val="affffffffffffffffffffffffb"/>
    <w:qFormat/>
    <w:rPr>
      <w:bCs/>
      <w:snapToGrid w:val="0"/>
      <w:sz w:val="24"/>
    </w:rPr>
  </w:style>
  <w:style w:type="paragraph" w:customStyle="1" w:styleId="affffffffffffffffffffffffb">
    <w:name w:val="正文（报告书）"/>
    <w:link w:val="Charfffffff0"/>
    <w:pPr>
      <w:spacing w:after="60" w:line="360" w:lineRule="auto"/>
      <w:ind w:firstLineChars="200" w:firstLine="200"/>
      <w:jc w:val="both"/>
    </w:pPr>
    <w:rPr>
      <w:bCs/>
      <w:snapToGrid w:val="0"/>
      <w:sz w:val="24"/>
    </w:rPr>
  </w:style>
  <w:style w:type="character" w:customStyle="1" w:styleId="Charfffffff1">
    <w:name w:val="标题 Char"/>
    <w:qFormat/>
    <w:rPr>
      <w:rFonts w:ascii="Cambria" w:hAnsi="Cambria" w:cs="Times New Roman"/>
      <w:b/>
      <w:bCs/>
      <w:kern w:val="2"/>
      <w:sz w:val="32"/>
      <w:szCs w:val="32"/>
    </w:rPr>
  </w:style>
  <w:style w:type="character" w:customStyle="1" w:styleId="15CharChar">
    <w:name w:val="样式 (符号) 宋体 四号 黑色 行距: 1.5 倍行距 Char Char"/>
    <w:link w:val="158"/>
    <w:uiPriority w:val="99"/>
    <w:qFormat/>
    <w:locked/>
    <w:rPr>
      <w:rFonts w:hAnsi="宋体"/>
      <w:color w:val="000000"/>
      <w:kern w:val="2"/>
      <w:sz w:val="28"/>
    </w:rPr>
  </w:style>
  <w:style w:type="paragraph" w:customStyle="1" w:styleId="158">
    <w:name w:val="样式 (符号) 宋体 四号 黑色 行距: 1.5 倍行距"/>
    <w:basedOn w:val="a9"/>
    <w:next w:val="a9"/>
    <w:link w:val="15CharChar"/>
    <w:uiPriority w:val="99"/>
    <w:qFormat/>
    <w:pPr>
      <w:spacing w:line="360" w:lineRule="auto"/>
      <w:ind w:firstLineChars="200" w:firstLine="560"/>
    </w:pPr>
    <w:rPr>
      <w:rFonts w:hAnsi="宋体"/>
      <w:color w:val="000000"/>
      <w:kern w:val="2"/>
      <w:sz w:val="28"/>
    </w:rPr>
  </w:style>
  <w:style w:type="character" w:customStyle="1" w:styleId="Charfffffff2">
    <w:name w:val="副标题 Char"/>
    <w:qFormat/>
    <w:rPr>
      <w:rFonts w:ascii="Cambria" w:hAnsi="Cambria" w:cs="Times New Roman"/>
      <w:b/>
      <w:bCs/>
      <w:kern w:val="28"/>
      <w:sz w:val="32"/>
      <w:szCs w:val="32"/>
    </w:rPr>
  </w:style>
  <w:style w:type="character" w:customStyle="1" w:styleId="hl">
    <w:name w:val="hl"/>
    <w:qFormat/>
  </w:style>
  <w:style w:type="character" w:customStyle="1" w:styleId="CharCharff3">
    <w:name w:val="三级标题 Char Char"/>
    <w:uiPriority w:val="99"/>
    <w:qFormat/>
    <w:locked/>
    <w:rPr>
      <w:rFonts w:ascii="仿宋_GB2312" w:eastAsia="仿宋_GB2312" w:hAnsi="仿宋"/>
      <w:b/>
      <w:kern w:val="2"/>
      <w:sz w:val="30"/>
    </w:rPr>
  </w:style>
  <w:style w:type="character" w:customStyle="1" w:styleId="3CharCharChar2">
    <w:name w:val="样式3 Char Char Char"/>
    <w:uiPriority w:val="99"/>
    <w:qFormat/>
    <w:rPr>
      <w:rFonts w:ascii="宋体" w:eastAsia="宋体" w:hAnsi="宋体"/>
      <w:sz w:val="28"/>
      <w:lang w:val="en-US" w:eastAsia="zh-CN"/>
    </w:rPr>
  </w:style>
  <w:style w:type="character" w:customStyle="1" w:styleId="font112">
    <w:name w:val="font112"/>
    <w:qFormat/>
    <w:rPr>
      <w:rFonts w:ascii="宋体" w:eastAsia="宋体" w:hAnsi="宋体" w:cs="宋体" w:hint="eastAsia"/>
      <w:color w:val="0000FF"/>
      <w:sz w:val="20"/>
      <w:szCs w:val="20"/>
      <w:u w:val="none"/>
    </w:rPr>
  </w:style>
  <w:style w:type="character" w:customStyle="1" w:styleId="3Char21">
    <w:name w:val="样式3 Char2"/>
    <w:qFormat/>
    <w:rPr>
      <w:rFonts w:eastAsia="宋体"/>
      <w:sz w:val="24"/>
      <w:szCs w:val="28"/>
      <w:lang w:val="en-US" w:eastAsia="zh-CN" w:bidi="ar-SA"/>
    </w:rPr>
  </w:style>
  <w:style w:type="character" w:customStyle="1" w:styleId="1TimesNewRomanChar">
    <w:name w:val="样式1 + (西文) Times New Roman (中文) 新宋体 Char"/>
    <w:link w:val="1TimesNewRoman0"/>
    <w:qFormat/>
    <w:rPr>
      <w:sz w:val="24"/>
      <w:szCs w:val="21"/>
    </w:rPr>
  </w:style>
  <w:style w:type="paragraph" w:customStyle="1" w:styleId="1TimesNewRoman0">
    <w:name w:val="样式1 + (西文) Times New Roman (中文) 新宋体"/>
    <w:basedOn w:val="a9"/>
    <w:next w:val="a9"/>
    <w:link w:val="1TimesNewRomanChar"/>
    <w:qFormat/>
    <w:pPr>
      <w:spacing w:line="500" w:lineRule="exact"/>
      <w:ind w:firstLineChars="200" w:firstLine="200"/>
    </w:pPr>
    <w:rPr>
      <w:sz w:val="24"/>
      <w:szCs w:val="21"/>
    </w:rPr>
  </w:style>
  <w:style w:type="character" w:customStyle="1" w:styleId="BodyText2Char">
    <w:name w:val="Body Text 2 Char"/>
    <w:uiPriority w:val="99"/>
    <w:qFormat/>
    <w:locked/>
    <w:rPr>
      <w:rFonts w:eastAsia="宋体"/>
      <w:kern w:val="2"/>
      <w:sz w:val="28"/>
      <w:lang w:val="en-US" w:eastAsia="zh-CN"/>
    </w:rPr>
  </w:style>
  <w:style w:type="character" w:customStyle="1" w:styleId="font161">
    <w:name w:val="font161"/>
    <w:qFormat/>
    <w:rPr>
      <w:rFonts w:ascii="宋体" w:eastAsia="宋体" w:hAnsi="宋体" w:cs="宋体" w:hint="eastAsia"/>
      <w:color w:val="000000"/>
      <w:sz w:val="20"/>
      <w:szCs w:val="20"/>
      <w:u w:val="none"/>
      <w:vertAlign w:val="superscript"/>
    </w:rPr>
  </w:style>
  <w:style w:type="character" w:customStyle="1" w:styleId="3Char13">
    <w:name w:val="样式3 Char1"/>
    <w:qFormat/>
    <w:rPr>
      <w:rFonts w:eastAsia="黑体"/>
      <w:kern w:val="2"/>
      <w:sz w:val="24"/>
    </w:rPr>
  </w:style>
  <w:style w:type="character" w:customStyle="1" w:styleId="Charfffffff3">
    <w:name w:val="尾注文本 Char"/>
    <w:qFormat/>
    <w:rPr>
      <w:kern w:val="2"/>
      <w:sz w:val="21"/>
    </w:rPr>
  </w:style>
  <w:style w:type="character" w:customStyle="1" w:styleId="FooterChar">
    <w:name w:val="Footer Char"/>
    <w:uiPriority w:val="99"/>
    <w:qFormat/>
    <w:locked/>
    <w:rPr>
      <w:sz w:val="18"/>
    </w:rPr>
  </w:style>
  <w:style w:type="character" w:customStyle="1" w:styleId="TitleChar">
    <w:name w:val="Title Char"/>
    <w:uiPriority w:val="99"/>
    <w:qFormat/>
    <w:locked/>
    <w:rPr>
      <w:rFonts w:ascii="Cambria" w:eastAsia="宋体" w:hAnsi="Cambria"/>
      <w:b/>
      <w:kern w:val="2"/>
      <w:sz w:val="32"/>
      <w:lang w:val="en-US" w:eastAsia="zh-CN"/>
    </w:rPr>
  </w:style>
  <w:style w:type="character" w:customStyle="1" w:styleId="Charfffffff4">
    <w:name w:val="页脚 Char"/>
    <w:uiPriority w:val="99"/>
    <w:qFormat/>
    <w:rPr>
      <w:rFonts w:eastAsia="Calibri"/>
      <w:sz w:val="21"/>
    </w:rPr>
  </w:style>
  <w:style w:type="character" w:customStyle="1" w:styleId="lineheigh201">
    <w:name w:val="lineheigh201"/>
    <w:uiPriority w:val="99"/>
    <w:qFormat/>
  </w:style>
  <w:style w:type="paragraph" w:customStyle="1" w:styleId="3GB23122">
    <w:name w:val="样式 样式3 + 仿宋_GB2312 首行缩进:  2 字符"/>
    <w:basedOn w:val="3f2"/>
    <w:qFormat/>
    <w:pPr>
      <w:keepNext w:val="0"/>
      <w:keepLines w:val="0"/>
      <w:widowControl/>
      <w:tabs>
        <w:tab w:val="clear" w:pos="709"/>
      </w:tabs>
      <w:snapToGrid/>
      <w:spacing w:before="0" w:line="360" w:lineRule="auto"/>
      <w:ind w:left="0" w:firstLineChars="200" w:firstLine="480"/>
      <w:jc w:val="left"/>
      <w:outlineLvl w:val="9"/>
    </w:pPr>
    <w:rPr>
      <w:rFonts w:ascii="仿宋_GB2312" w:eastAsia="仿宋_GB2312" w:cs="宋体"/>
      <w:sz w:val="28"/>
    </w:rPr>
  </w:style>
  <w:style w:type="paragraph" w:customStyle="1" w:styleId="CharCharChar1CharCharChar1CharCharCharCharCharCharCharCharCharCharCharChar1CharCharCharCharCharCharChar">
    <w:name w:val="Char Char Char1 Char Char Char1 Char Char Char Char Char Char Char Char Char Char Char Char1 Char Char Char Char Char Char Char"/>
    <w:basedOn w:val="a9"/>
    <w:qFormat/>
    <w:pPr>
      <w:widowControl/>
      <w:spacing w:after="160" w:line="240" w:lineRule="exact"/>
      <w:jc w:val="left"/>
    </w:pPr>
    <w:rPr>
      <w:kern w:val="2"/>
      <w:sz w:val="21"/>
    </w:rPr>
  </w:style>
  <w:style w:type="paragraph" w:customStyle="1" w:styleId="font19">
    <w:name w:val="font19"/>
    <w:basedOn w:val="a9"/>
    <w:qFormat/>
    <w:pPr>
      <w:widowControl/>
      <w:spacing w:before="100" w:beforeAutospacing="1" w:after="100" w:afterAutospacing="1"/>
      <w:jc w:val="left"/>
    </w:pPr>
    <w:rPr>
      <w:rFonts w:ascii="宋体" w:hAnsi="宋体" w:cs="宋体"/>
      <w:color w:val="FF00FF"/>
      <w:sz w:val="24"/>
      <w:szCs w:val="24"/>
    </w:rPr>
  </w:style>
  <w:style w:type="paragraph" w:customStyle="1" w:styleId="font22">
    <w:name w:val="font22"/>
    <w:basedOn w:val="a9"/>
    <w:qFormat/>
    <w:pPr>
      <w:widowControl/>
      <w:spacing w:before="100" w:beforeAutospacing="1" w:after="100" w:afterAutospacing="1"/>
      <w:jc w:val="left"/>
    </w:pPr>
    <w:rPr>
      <w:rFonts w:ascii="宋体" w:hAnsi="宋体" w:cs="宋体"/>
      <w:sz w:val="18"/>
      <w:szCs w:val="18"/>
    </w:rPr>
  </w:style>
  <w:style w:type="paragraph" w:customStyle="1" w:styleId="NormalWeb1">
    <w:name w:val="Normal (Web)1"/>
    <w:basedOn w:val="a9"/>
    <w:qFormat/>
    <w:pPr>
      <w:widowControl/>
      <w:spacing w:before="100" w:beforeAutospacing="1" w:after="100" w:afterAutospacing="1"/>
      <w:jc w:val="left"/>
    </w:pPr>
    <w:rPr>
      <w:rFonts w:ascii="宋体" w:hAnsi="宋体" w:cs="宋体"/>
      <w:sz w:val="24"/>
      <w:szCs w:val="24"/>
    </w:rPr>
  </w:style>
  <w:style w:type="paragraph" w:customStyle="1" w:styleId="font18">
    <w:name w:val="font18"/>
    <w:basedOn w:val="a9"/>
    <w:qFormat/>
    <w:pPr>
      <w:widowControl/>
      <w:spacing w:before="100" w:beforeAutospacing="1" w:after="100" w:afterAutospacing="1"/>
      <w:jc w:val="left"/>
    </w:pPr>
    <w:rPr>
      <w:rFonts w:ascii="宋体" w:hAnsi="宋体" w:cs="宋体"/>
      <w:b/>
      <w:bCs/>
      <w:sz w:val="24"/>
      <w:szCs w:val="24"/>
    </w:rPr>
  </w:style>
  <w:style w:type="paragraph" w:customStyle="1" w:styleId="3210">
    <w:name w:val="样式 样式3 + 首行缩进:  2 字符1"/>
    <w:basedOn w:val="3f2"/>
    <w:uiPriority w:val="99"/>
    <w:qFormat/>
    <w:pPr>
      <w:keepNext w:val="0"/>
      <w:keepLines w:val="0"/>
      <w:tabs>
        <w:tab w:val="clear" w:pos="709"/>
      </w:tabs>
      <w:spacing w:before="0" w:line="300" w:lineRule="auto"/>
      <w:ind w:left="0" w:firstLineChars="200" w:firstLine="200"/>
      <w:jc w:val="left"/>
      <w:outlineLvl w:val="9"/>
    </w:pPr>
    <w:rPr>
      <w:rFonts w:eastAsia="宋体" w:cs="宋体"/>
      <w:sz w:val="21"/>
    </w:rPr>
  </w:style>
  <w:style w:type="paragraph" w:customStyle="1" w:styleId="affffffffffffffffffffffffc">
    <w:name w:val="表格五（窄）"/>
    <w:basedOn w:val="a9"/>
    <w:qFormat/>
    <w:pPr>
      <w:spacing w:line="240" w:lineRule="exact"/>
      <w:jc w:val="center"/>
    </w:pPr>
    <w:rPr>
      <w:snapToGrid w:val="0"/>
      <w:color w:val="000000"/>
      <w:kern w:val="32"/>
      <w:sz w:val="21"/>
    </w:rPr>
  </w:style>
  <w:style w:type="paragraph" w:customStyle="1" w:styleId="0010">
    <w:name w:val="表格001"/>
    <w:basedOn w:val="a9"/>
    <w:qFormat/>
    <w:pPr>
      <w:jc w:val="center"/>
    </w:pPr>
    <w:rPr>
      <w:kern w:val="2"/>
      <w:sz w:val="21"/>
    </w:rPr>
  </w:style>
  <w:style w:type="paragraph" w:customStyle="1" w:styleId="3ff9">
    <w:name w:val="样式 样式3 + 小四"/>
    <w:basedOn w:val="3f2"/>
    <w:qFormat/>
    <w:pPr>
      <w:keepNext w:val="0"/>
      <w:keepLines w:val="0"/>
      <w:tabs>
        <w:tab w:val="clear" w:pos="709"/>
      </w:tabs>
      <w:snapToGrid/>
      <w:spacing w:before="0" w:line="360" w:lineRule="auto"/>
      <w:ind w:left="0" w:firstLineChars="200" w:firstLine="200"/>
      <w:jc w:val="left"/>
      <w:outlineLvl w:val="9"/>
    </w:pPr>
    <w:rPr>
      <w:rFonts w:ascii="宋体" w:eastAsia="宋体" w:hAnsi="宋体"/>
      <w:kern w:val="2"/>
      <w:szCs w:val="24"/>
    </w:rPr>
  </w:style>
  <w:style w:type="paragraph" w:customStyle="1" w:styleId="affffffffffffffffffffffffd">
    <w:name w:val="首行缩进两字"/>
    <w:basedOn w:val="a9"/>
    <w:qFormat/>
    <w:pPr>
      <w:spacing w:line="600" w:lineRule="exact"/>
      <w:ind w:firstLine="566"/>
      <w:jc w:val="left"/>
    </w:pPr>
    <w:rPr>
      <w:rFonts w:ascii="宋体" w:hAnsi="宋体"/>
      <w:kern w:val="2"/>
      <w:sz w:val="28"/>
    </w:rPr>
  </w:style>
  <w:style w:type="paragraph" w:customStyle="1" w:styleId="Style100">
    <w:name w:val="_Style 100"/>
    <w:basedOn w:val="a9"/>
    <w:next w:val="a9"/>
    <w:uiPriority w:val="39"/>
    <w:qFormat/>
    <w:pPr>
      <w:ind w:left="840"/>
      <w:jc w:val="left"/>
    </w:pPr>
    <w:rPr>
      <w:kern w:val="2"/>
      <w:sz w:val="18"/>
      <w:szCs w:val="18"/>
    </w:rPr>
  </w:style>
  <w:style w:type="paragraph" w:customStyle="1" w:styleId="zw0">
    <w:name w:val="zw"/>
    <w:basedOn w:val="a9"/>
    <w:qFormat/>
    <w:pPr>
      <w:widowControl/>
      <w:spacing w:before="100" w:beforeAutospacing="1" w:after="100" w:afterAutospacing="1" w:line="440" w:lineRule="atLeast"/>
      <w:jc w:val="left"/>
    </w:pPr>
    <w:rPr>
      <w:rFonts w:ascii="宋体" w:hAnsi="宋体" w:cs="宋体"/>
      <w:sz w:val="22"/>
      <w:szCs w:val="22"/>
    </w:rPr>
  </w:style>
  <w:style w:type="paragraph" w:customStyle="1" w:styleId="font20">
    <w:name w:val="font20"/>
    <w:basedOn w:val="a9"/>
    <w:qFormat/>
    <w:pPr>
      <w:widowControl/>
      <w:spacing w:before="100" w:beforeAutospacing="1" w:after="100" w:afterAutospacing="1"/>
      <w:jc w:val="left"/>
    </w:pPr>
    <w:rPr>
      <w:rFonts w:ascii="宋体" w:hAnsi="宋体" w:cs="宋体"/>
      <w:b/>
      <w:bCs/>
      <w:color w:val="FF00FF"/>
      <w:sz w:val="24"/>
      <w:szCs w:val="24"/>
    </w:rPr>
  </w:style>
  <w:style w:type="paragraph" w:customStyle="1" w:styleId="22a">
    <w:name w:val="样式 样式2 + 首行缩进:  2 字符"/>
    <w:basedOn w:val="2f3"/>
    <w:qFormat/>
    <w:pPr>
      <w:pBdr>
        <w:bottom w:val="none" w:sz="0" w:space="0" w:color="auto"/>
      </w:pBdr>
      <w:adjustRightInd/>
      <w:snapToGrid/>
      <w:spacing w:before="120" w:after="120" w:line="360" w:lineRule="auto"/>
      <w:ind w:left="0" w:firstLine="0"/>
      <w:jc w:val="both"/>
      <w:textAlignment w:val="auto"/>
    </w:pPr>
    <w:rPr>
      <w:rFonts w:ascii="Arial" w:eastAsia="宋体" w:hAnsi="Arial" w:cs="宋体"/>
      <w:bCs/>
      <w:kern w:val="2"/>
      <w:sz w:val="28"/>
    </w:rPr>
  </w:style>
  <w:style w:type="paragraph" w:customStyle="1" w:styleId="GB231225">
    <w:name w:val="样式 (中文) 楷体_GB2312 四号 行距: 固定值 25 磅"/>
    <w:basedOn w:val="a9"/>
    <w:uiPriority w:val="99"/>
    <w:qFormat/>
    <w:pPr>
      <w:spacing w:line="500" w:lineRule="exact"/>
      <w:ind w:firstLineChars="200" w:firstLine="560"/>
      <w:jc w:val="left"/>
    </w:pPr>
    <w:rPr>
      <w:sz w:val="28"/>
    </w:rPr>
  </w:style>
  <w:style w:type="paragraph" w:customStyle="1" w:styleId="324">
    <w:name w:val="样式 样式3 + 首行缩进:  2 字符"/>
    <w:basedOn w:val="3f2"/>
    <w:qFormat/>
    <w:pPr>
      <w:keepNext w:val="0"/>
      <w:keepLines w:val="0"/>
      <w:tabs>
        <w:tab w:val="clear" w:pos="709"/>
      </w:tabs>
      <w:snapToGrid/>
      <w:spacing w:before="0" w:line="360" w:lineRule="auto"/>
      <w:ind w:left="0" w:firstLineChars="200" w:firstLine="200"/>
      <w:outlineLvl w:val="9"/>
    </w:pPr>
    <w:rPr>
      <w:rFonts w:eastAsia="宋体" w:hAnsi="宋体" w:cs="宋体"/>
      <w:kern w:val="2"/>
    </w:rPr>
  </w:style>
  <w:style w:type="paragraph" w:customStyle="1" w:styleId="CharCharCharCharCharCharCharCharCharCharCharCharCharCharCharCharCharCharChar">
    <w:name w:val="Char Char Char Char Char Char Char Char Char Char Char Char Char Char Char Char Char Char Char"/>
    <w:basedOn w:val="a9"/>
    <w:uiPriority w:val="99"/>
    <w:qFormat/>
    <w:rPr>
      <w:kern w:val="2"/>
      <w:sz w:val="21"/>
      <w:szCs w:val="24"/>
    </w:rPr>
  </w:style>
  <w:style w:type="paragraph" w:customStyle="1" w:styleId="Style17">
    <w:name w:val="_Style 17"/>
    <w:basedOn w:val="a9"/>
    <w:pPr>
      <w:adjustRightInd w:val="0"/>
      <w:snapToGrid w:val="0"/>
      <w:spacing w:line="360" w:lineRule="auto"/>
      <w:ind w:firstLineChars="200" w:firstLine="200"/>
      <w:jc w:val="left"/>
    </w:pPr>
    <w:rPr>
      <w:rFonts w:eastAsia="楷体_GB2312"/>
      <w:sz w:val="24"/>
      <w:szCs w:val="22"/>
    </w:rPr>
  </w:style>
  <w:style w:type="paragraph" w:customStyle="1" w:styleId="msonormal0">
    <w:name w:val="msonormal"/>
    <w:basedOn w:val="a9"/>
    <w:qFormat/>
    <w:pPr>
      <w:widowControl/>
      <w:spacing w:before="100" w:beforeAutospacing="1" w:after="100" w:afterAutospacing="1"/>
      <w:jc w:val="left"/>
    </w:pPr>
    <w:rPr>
      <w:rFonts w:ascii="宋体" w:hAnsi="宋体" w:cs="宋体"/>
      <w:sz w:val="24"/>
      <w:szCs w:val="24"/>
    </w:rPr>
  </w:style>
  <w:style w:type="table" w:customStyle="1" w:styleId="1124">
    <w:name w:val="精巧型 1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立体型 2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0">
    <w:name w:val="立体型 3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3">
    <w:name w:val="竖列型 2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竖列型 4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0">
    <w:name w:val="列表型 4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2">
    <w:name w:val="简明型 11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3">
    <w:name w:val="彩色型 11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1">
    <w:name w:val="彩色型 211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0">
    <w:name w:val="彩色型 311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d">
    <w:name w:val="典雅型11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4">
    <w:name w:val="古典型 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
    <w:name w:val="古典型 2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1">
    <w:name w:val="古典型 311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1">
    <w:name w:val="古典型 411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3">
    <w:name w:val="简明型 2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2">
    <w:name w:val="简明型 3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5">
    <w:name w:val="精巧型 11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4">
    <w:name w:val="精巧型 211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6">
    <w:name w:val="立体型 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5">
    <w:name w:val="立体型 2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3">
    <w:name w:val="立体型 3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7">
    <w:name w:val="列表型 11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6">
    <w:name w:val="列表型 211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4">
    <w:name w:val="列表型 311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0">
    <w:name w:val="列表型 5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0">
    <w:name w:val="列表型 6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0">
    <w:name w:val="列表型 711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0">
    <w:name w:val="列表型 8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e">
    <w:name w:val="流行型11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8">
    <w:name w:val="竖列型 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7">
    <w:name w:val="竖列型 21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5">
    <w:name w:val="竖列型 311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
    <w:name w:val="竖列型 41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竖列型 511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9">
    <w:name w:val="网格型 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8">
    <w:name w:val="网格型 211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6">
    <w:name w:val="网格型 311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3">
    <w:name w:val="网格型 411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f9">
    <w:name w:val="君邦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1">
    <w:name w:val="网格型 6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
    <w:name w:val="网格型 811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a">
    <w:name w:val="网页型 11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9">
    <w:name w:val="网页型 211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7">
    <w:name w:val="网页型 311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
    <w:name w:val="专业型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1">
    <w:name w:val="君邦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0">
    <w:name w:val="表格样式2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z-21">
    <w:name w:val="z-窗体顶端21"/>
    <w:basedOn w:val="a9"/>
    <w:next w:val="a9"/>
    <w:qFormat/>
    <w:pPr>
      <w:widowControl/>
      <w:pBdr>
        <w:bottom w:val="single" w:sz="6" w:space="1" w:color="auto"/>
      </w:pBdr>
      <w:jc w:val="center"/>
    </w:pPr>
    <w:rPr>
      <w:rFonts w:ascii="Arial" w:hAnsi="Arial" w:cs="Arial"/>
      <w:vanish/>
      <w:sz w:val="16"/>
      <w:szCs w:val="16"/>
    </w:rPr>
  </w:style>
  <w:style w:type="paragraph" w:customStyle="1" w:styleId="z-210">
    <w:name w:val="z-窗体底端21"/>
    <w:basedOn w:val="a9"/>
    <w:next w:val="a9"/>
    <w:qFormat/>
    <w:pPr>
      <w:widowControl/>
      <w:pBdr>
        <w:top w:val="single" w:sz="6" w:space="1" w:color="auto"/>
      </w:pBdr>
      <w:jc w:val="center"/>
    </w:pPr>
    <w:rPr>
      <w:sz w:val="18"/>
      <w:szCs w:val="18"/>
    </w:rPr>
  </w:style>
  <w:style w:type="paragraph" w:customStyle="1" w:styleId="21fa">
    <w:name w:val="修订21"/>
    <w:qFormat/>
    <w:rPr>
      <w:kern w:val="2"/>
      <w:sz w:val="24"/>
      <w:szCs w:val="24"/>
    </w:rPr>
  </w:style>
  <w:style w:type="table" w:customStyle="1" w:styleId="1212">
    <w:name w:val="精巧型 12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0">
    <w:name w:val="立体型 22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
    <w:name w:val="立体型 3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竖列型 22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竖列型 4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0">
    <w:name w:val="君邦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0">
    <w:name w:val="表格样式2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
    <w:name w:val="君邦-1.01"/>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customStyle="1" w:styleId="TOC31">
    <w:name w:val="TOC 标题31"/>
    <w:basedOn w:val="1"/>
    <w:next w:val="a9"/>
    <w:qFormat/>
    <w:pPr>
      <w:pageBreakBefore w:val="0"/>
      <w:widowControl/>
      <w:numPr>
        <w:numId w:val="0"/>
      </w:numPr>
      <w:spacing w:before="480" w:after="0" w:line="276" w:lineRule="auto"/>
      <w:jc w:val="center"/>
      <w:outlineLvl w:val="9"/>
    </w:pPr>
    <w:rPr>
      <w:rFonts w:ascii="Cambria" w:hAnsi="Cambria"/>
      <w:bCs/>
      <w:color w:val="365F91"/>
      <w:kern w:val="0"/>
      <w:szCs w:val="28"/>
      <w:lang w:val="zh-CN"/>
    </w:rPr>
  </w:style>
  <w:style w:type="character" w:customStyle="1" w:styleId="11ff1">
    <w:name w:val="明显参考11"/>
    <w:uiPriority w:val="32"/>
    <w:qFormat/>
    <w:rPr>
      <w:b/>
      <w:bCs/>
      <w:smallCaps/>
      <w:color w:val="4472C4"/>
      <w:spacing w:val="5"/>
    </w:rPr>
  </w:style>
  <w:style w:type="paragraph" w:customStyle="1" w:styleId="Q-">
    <w:name w:val="Q-正文"/>
    <w:basedOn w:val="a9"/>
    <w:next w:val="a9"/>
    <w:qFormat/>
    <w:pPr>
      <w:spacing w:line="500" w:lineRule="exact"/>
      <w:ind w:firstLineChars="200" w:firstLine="200"/>
    </w:pPr>
    <w:rPr>
      <w:kern w:val="2"/>
      <w:sz w:val="24"/>
      <w:szCs w:val="22"/>
    </w:rPr>
  </w:style>
  <w:style w:type="character" w:customStyle="1" w:styleId="Charfffffff5">
    <w:name w:val="页眉 Char"/>
    <w:uiPriority w:val="99"/>
    <w:rPr>
      <w:rFonts w:eastAsia="宋体"/>
      <w:kern w:val="2"/>
      <w:sz w:val="18"/>
      <w:szCs w:val="18"/>
      <w:lang w:val="en-US" w:eastAsia="zh-CN" w:bidi="ar-SA"/>
    </w:rPr>
  </w:style>
  <w:style w:type="paragraph" w:customStyle="1" w:styleId="y2">
    <w:name w:val="y样式2"/>
    <w:basedOn w:val="a9"/>
    <w:qFormat/>
    <w:pPr>
      <w:spacing w:after="60" w:line="360" w:lineRule="auto"/>
    </w:pPr>
    <w:rPr>
      <w:rFonts w:ascii="Calibri" w:eastAsia="黑体" w:hAnsi="Calibri"/>
      <w:b/>
      <w:kern w:val="2"/>
      <w:sz w:val="24"/>
      <w:szCs w:val="24"/>
    </w:rPr>
  </w:style>
  <w:style w:type="table" w:customStyle="1" w:styleId="1133">
    <w:name w:val="精巧型 11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0">
    <w:name w:val="立体型 2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0">
    <w:name w:val="立体型 31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
    <w:name w:val="竖列型 21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0">
    <w:name w:val="竖列型 41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0">
    <w:name w:val="列表型 4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2">
    <w:name w:val="简明型 1112"/>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3">
    <w:name w:val="彩色型 1112"/>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1">
    <w:name w:val="彩色型 2112"/>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0">
    <w:name w:val="彩色型 3112"/>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5">
    <w:name w:val="典雅型112"/>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4">
    <w:name w:val="古典型 111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
    <w:name w:val="古典型 211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1">
    <w:name w:val="古典型 3112"/>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1">
    <w:name w:val="古典型 4112"/>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3">
    <w:name w:val="简明型 211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2">
    <w:name w:val="简明型 3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5">
    <w:name w:val="精巧型 111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4">
    <w:name w:val="精巧型 2112"/>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6">
    <w:name w:val="立体型 111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5">
    <w:name w:val="立体型 211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3">
    <w:name w:val="立体型 311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7">
    <w:name w:val="列表型 1112"/>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6">
    <w:name w:val="列表型 2112"/>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4">
    <w:name w:val="列表型 3112"/>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
    <w:name w:val="列表型 5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
    <w:name w:val="列表型 6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
    <w:name w:val="列表型 7112"/>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
    <w:name w:val="列表型 8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6">
    <w:name w:val="流行型112"/>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8">
    <w:name w:val="竖列型 111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7">
    <w:name w:val="竖列型 211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5">
    <w:name w:val="竖列型 3112"/>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
    <w:name w:val="竖列型 411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竖列型 5112"/>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9">
    <w:name w:val="网格型 1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8">
    <w:name w:val="网格型 2112"/>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6">
    <w:name w:val="网格型 3112"/>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3">
    <w:name w:val="网格型 4112"/>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b">
    <w:name w:val="君邦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0">
    <w:name w:val="网格型 6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0">
    <w:name w:val="网格型 711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0">
    <w:name w:val="网格型 8112"/>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a">
    <w:name w:val="网页型 1112"/>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9">
    <w:name w:val="网页型 2112"/>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7">
    <w:name w:val="网页型 3112"/>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7">
    <w:name w:val="专业型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0">
    <w:name w:val="君邦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0">
    <w:name w:val="表格样式2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0">
    <w:name w:val="精巧型 1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
    <w:name w:val="立体型 2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
    <w:name w:val="立体型 3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
    <w:name w:val="竖列型 2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
    <w:name w:val="竖列型 4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0">
    <w:name w:val="君邦111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0">
    <w:name w:val="表格样式211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
    <w:name w:val="君邦-1.02"/>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character" w:customStyle="1" w:styleId="-REDChar">
    <w:name w:val="正文-RED Char"/>
    <w:link w:val="-RED"/>
    <w:rPr>
      <w:kern w:val="2"/>
      <w:sz w:val="24"/>
      <w:szCs w:val="22"/>
    </w:rPr>
  </w:style>
  <w:style w:type="paragraph" w:customStyle="1" w:styleId="-RED">
    <w:name w:val="正文-RED"/>
    <w:basedOn w:val="a9"/>
    <w:link w:val="-REDChar"/>
    <w:pPr>
      <w:widowControl/>
      <w:spacing w:line="360" w:lineRule="auto"/>
      <w:ind w:firstLine="420"/>
    </w:pPr>
    <w:rPr>
      <w:kern w:val="2"/>
      <w:sz w:val="24"/>
      <w:szCs w:val="22"/>
    </w:rPr>
  </w:style>
  <w:style w:type="character" w:customStyle="1" w:styleId="325">
    <w:name w:val="正文文本缩进 3 字符2"/>
    <w:rPr>
      <w:kern w:val="2"/>
      <w:sz w:val="16"/>
      <w:szCs w:val="16"/>
    </w:rPr>
  </w:style>
  <w:style w:type="character" w:customStyle="1" w:styleId="5Char0">
    <w:name w:val="表格（5号） Char"/>
    <w:rPr>
      <w:rFonts w:ascii="Arial" w:hAnsi="Arial" w:cs="宋体" w:hint="default"/>
      <w:color w:val="000000"/>
      <w:kern w:val="18"/>
      <w:sz w:val="18"/>
    </w:rPr>
  </w:style>
  <w:style w:type="character" w:customStyle="1" w:styleId="Charfffff6">
    <w:name w:val="列出段落 Char"/>
    <w:link w:val="3ff"/>
    <w:uiPriority w:val="34"/>
    <w:qFormat/>
    <w:rPr>
      <w:rFonts w:ascii="Calibri" w:eastAsia="PMingLiU" w:hAnsi="Calibri" w:cs="宋体"/>
      <w:sz w:val="24"/>
      <w:szCs w:val="22"/>
      <w:lang w:eastAsia="zh-TW" w:bidi="ne-NP"/>
    </w:rPr>
  </w:style>
  <w:style w:type="character" w:customStyle="1" w:styleId="3Char6">
    <w:name w:val="标题 3 Char"/>
    <w:rPr>
      <w:rFonts w:ascii="等线" w:eastAsia="黑体" w:hAnsi="等线" w:cs="宋体" w:hint="eastAsia"/>
      <w:b/>
      <w:kern w:val="2"/>
      <w:sz w:val="24"/>
    </w:rPr>
  </w:style>
  <w:style w:type="character" w:customStyle="1" w:styleId="5Char3">
    <w:name w:val="标题 5 Char"/>
    <w:rPr>
      <w:rFonts w:ascii="等线" w:eastAsia="等线" w:hAnsi="等线" w:cs="宋体" w:hint="eastAsia"/>
      <w:b/>
      <w:kern w:val="2"/>
      <w:sz w:val="24"/>
    </w:rPr>
  </w:style>
  <w:style w:type="character" w:customStyle="1" w:styleId="5Char30">
    <w:name w:val="标题 5 Char3"/>
    <w:rPr>
      <w:rFonts w:ascii="等线" w:eastAsia="等线" w:hAnsi="等线" w:cs="宋体" w:hint="eastAsia"/>
      <w:b/>
      <w:kern w:val="2"/>
      <w:sz w:val="24"/>
    </w:rPr>
  </w:style>
  <w:style w:type="character" w:customStyle="1" w:styleId="4Char6">
    <w:name w:val="标题 4 Char"/>
    <w:rPr>
      <w:rFonts w:ascii="宋体" w:eastAsia="宋体" w:hAnsi="宋体" w:cs="宋体" w:hint="eastAsia"/>
      <w:b/>
      <w:snapToGrid w:val="0"/>
      <w:sz w:val="24"/>
    </w:rPr>
  </w:style>
  <w:style w:type="character" w:customStyle="1" w:styleId="5Char4">
    <w:name w:val="标题 5 Char4"/>
    <w:rPr>
      <w:rFonts w:ascii="宋体" w:eastAsia="宋体" w:hAnsi="宋体" w:cs="宋体" w:hint="eastAsia"/>
      <w:b/>
      <w:sz w:val="24"/>
    </w:rPr>
  </w:style>
  <w:style w:type="character" w:customStyle="1" w:styleId="Char111">
    <w:name w:val="正文缩进 Char11"/>
    <w:rPr>
      <w:kern w:val="2"/>
      <w:sz w:val="21"/>
    </w:rPr>
  </w:style>
  <w:style w:type="character" w:customStyle="1" w:styleId="5Char5">
    <w:name w:val="标题 5 Char5"/>
    <w:rPr>
      <w:rFonts w:ascii="等线" w:eastAsia="等线" w:hAnsi="等线" w:cs="宋体" w:hint="eastAsia"/>
      <w:b/>
      <w:kern w:val="2"/>
      <w:sz w:val="24"/>
    </w:rPr>
  </w:style>
  <w:style w:type="character" w:customStyle="1" w:styleId="lgy0">
    <w:name w:val="lgy表名 字符"/>
    <w:qFormat/>
    <w:rPr>
      <w:rFonts w:eastAsia="楷体_GB2312"/>
      <w:b/>
      <w:color w:val="000000"/>
      <w:kern w:val="2"/>
      <w:sz w:val="24"/>
      <w:szCs w:val="21"/>
    </w:rPr>
  </w:style>
  <w:style w:type="character" w:customStyle="1" w:styleId="0000Char0">
    <w:name w:val="表格标题0000 Char"/>
    <w:link w:val="00000"/>
    <w:rPr>
      <w:rFonts w:eastAsia="黑体"/>
      <w:b/>
      <w:sz w:val="21"/>
    </w:rPr>
  </w:style>
  <w:style w:type="paragraph" w:customStyle="1" w:styleId="00000">
    <w:name w:val="表格标题0000"/>
    <w:basedOn w:val="a9"/>
    <w:link w:val="0000Char0"/>
    <w:pPr>
      <w:jc w:val="center"/>
    </w:pPr>
    <w:rPr>
      <w:rFonts w:eastAsia="黑体"/>
      <w:b/>
      <w:sz w:val="21"/>
    </w:rPr>
  </w:style>
  <w:style w:type="paragraph" w:customStyle="1" w:styleId="affffffffffffffffffffffffe">
    <w:name w:val="表内文本样式"/>
    <w:qFormat/>
    <w:pPr>
      <w:widowControl w:val="0"/>
      <w:adjustRightInd w:val="0"/>
      <w:snapToGrid w:val="0"/>
      <w:jc w:val="center"/>
    </w:pPr>
    <w:rPr>
      <w:rFonts w:ascii="宋体" w:hAnsi="宋体"/>
      <w:kern w:val="2"/>
      <w:sz w:val="18"/>
    </w:rPr>
  </w:style>
  <w:style w:type="table" w:customStyle="1" w:styleId="TableGrid1">
    <w:name w:val="TableGrid1"/>
    <w:rPr>
      <w:rFonts w:ascii="等线" w:eastAsia="等线" w:hAnsi="等线"/>
      <w:kern w:val="2"/>
      <w:sz w:val="21"/>
      <w:szCs w:val="22"/>
    </w:rPr>
    <w:tblPr>
      <w:tblCellMar>
        <w:top w:w="0" w:type="dxa"/>
        <w:left w:w="0" w:type="dxa"/>
        <w:bottom w:w="0" w:type="dxa"/>
        <w:right w:w="0" w:type="dxa"/>
      </w:tblCellMar>
    </w:tblPr>
  </w:style>
  <w:style w:type="table" w:customStyle="1" w:styleId="TableGrid2">
    <w:name w:val="TableGrid2"/>
    <w:rPr>
      <w:rFonts w:ascii="等线" w:eastAsia="等线" w:hAnsi="等线"/>
      <w:kern w:val="2"/>
      <w:sz w:val="21"/>
      <w:szCs w:val="22"/>
    </w:rPr>
    <w:tblPr>
      <w:tblCellMar>
        <w:top w:w="0" w:type="dxa"/>
        <w:left w:w="0" w:type="dxa"/>
        <w:bottom w:w="0" w:type="dxa"/>
        <w:right w:w="0" w:type="dxa"/>
      </w:tblCellMar>
    </w:tblPr>
  </w:style>
  <w:style w:type="table" w:customStyle="1" w:styleId="TableGrid3">
    <w:name w:val="TableGrid3"/>
    <w:rPr>
      <w:rFonts w:ascii="等线" w:eastAsia="等线" w:hAnsi="等线"/>
      <w:kern w:val="2"/>
      <w:sz w:val="21"/>
      <w:szCs w:val="22"/>
    </w:rPr>
    <w:tblPr>
      <w:tblCellMar>
        <w:top w:w="0" w:type="dxa"/>
        <w:left w:w="0" w:type="dxa"/>
        <w:bottom w:w="0" w:type="dxa"/>
        <w:right w:w="0" w:type="dxa"/>
      </w:tblCellMar>
    </w:tblPr>
  </w:style>
  <w:style w:type="table" w:customStyle="1" w:styleId="TableGrid4">
    <w:name w:val="TableGrid4"/>
    <w:rPr>
      <w:rFonts w:ascii="等线" w:eastAsia="等线" w:hAnsi="等线"/>
      <w:kern w:val="2"/>
      <w:sz w:val="21"/>
      <w:szCs w:val="22"/>
    </w:rPr>
    <w:tblPr>
      <w:tblCellMar>
        <w:top w:w="0" w:type="dxa"/>
        <w:left w:w="0" w:type="dxa"/>
        <w:bottom w:w="0" w:type="dxa"/>
        <w:right w:w="0" w:type="dxa"/>
      </w:tblCellMar>
    </w:tblPr>
  </w:style>
  <w:style w:type="table" w:customStyle="1" w:styleId="TableGrid5">
    <w:name w:val="TableGrid5"/>
    <w:rPr>
      <w:rFonts w:ascii="等线" w:eastAsia="等线" w:hAnsi="等线"/>
      <w:kern w:val="2"/>
      <w:sz w:val="21"/>
      <w:szCs w:val="22"/>
    </w:rPr>
    <w:tblPr>
      <w:tblCellMar>
        <w:top w:w="0" w:type="dxa"/>
        <w:left w:w="0" w:type="dxa"/>
        <w:bottom w:w="0" w:type="dxa"/>
        <w:right w:w="0" w:type="dxa"/>
      </w:tblCellMar>
    </w:tblPr>
  </w:style>
  <w:style w:type="paragraph" w:customStyle="1" w:styleId="afffffffffffffffffffffffff">
    <w:name w:val="图/表"/>
    <w:basedOn w:val="a9"/>
    <w:uiPriority w:val="1"/>
    <w:qFormat/>
    <w:pPr>
      <w:kinsoku w:val="0"/>
      <w:overflowPunct w:val="0"/>
      <w:autoSpaceDE w:val="0"/>
      <w:autoSpaceDN w:val="0"/>
      <w:adjustRightInd w:val="0"/>
      <w:snapToGrid w:val="0"/>
      <w:spacing w:beforeLines="25" w:before="25" w:afterLines="25" w:after="25"/>
      <w:jc w:val="center"/>
    </w:pPr>
    <w:rPr>
      <w:rFonts w:eastAsia="黑体"/>
      <w:sz w:val="24"/>
      <w:szCs w:val="24"/>
    </w:rPr>
  </w:style>
  <w:style w:type="paragraph" w:customStyle="1" w:styleId="3ffa">
    <w:name w:val="修订3"/>
    <w:hidden/>
    <w:uiPriority w:val="99"/>
    <w:semiHidden/>
    <w:rPr>
      <w:kern w:val="2"/>
      <w:sz w:val="21"/>
      <w:szCs w:val="24"/>
    </w:rPr>
  </w:style>
  <w:style w:type="table" w:customStyle="1" w:styleId="423">
    <w:name w:val="列表型 4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d">
    <w:name w:val="简明型 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e">
    <w:name w:val="彩色型 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c">
    <w:name w:val="彩色型 2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6">
    <w:name w:val="彩色型 3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ffff">
    <w:name w:val="典雅型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f">
    <w:name w:val="古典型 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d">
    <w:name w:val="古典型 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7">
    <w:name w:val="古典型 3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4">
    <w:name w:val="古典型 4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e">
    <w:name w:val="简明型 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8">
    <w:name w:val="简明型 3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6">
    <w:name w:val="精巧型 13"/>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f">
    <w:name w:val="精巧型 2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f0">
    <w:name w:val="列表型 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f0">
    <w:name w:val="列表型 2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9">
    <w:name w:val="列表型 3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0">
    <w:name w:val="列表型 5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0">
    <w:name w:val="列表型 6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0">
    <w:name w:val="列表型 7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
    <w:name w:val="列表型 8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ffff0">
    <w:name w:val="流行型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f1">
    <w:name w:val="竖列型 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
    <w:name w:val="竖列型 23"/>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a">
    <w:name w:val="竖列型 3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0">
    <w:name w:val="竖列型 43"/>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网格型 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1">
    <w:name w:val="网格型 2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b">
    <w:name w:val="网格型 3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5">
    <w:name w:val="网格型 4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2">
    <w:name w:val="网格型 5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
    <w:name w:val="网格型 6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
    <w:name w:val="网格型 7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
    <w:name w:val="网格型 8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f3">
    <w:name w:val="网页型 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2">
    <w:name w:val="网页型 2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c">
    <w:name w:val="网页型 3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f1">
    <w:name w:val="专业型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f4">
    <w:name w:val="表格样式12"/>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0">
    <w:name w:val="君邦专用4"/>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CharCharChar30">
    <w:name w:val="Char Char Char3"/>
    <w:basedOn w:val="af9"/>
    <w:next w:val="a9"/>
    <w:qFormat/>
    <w:pPr>
      <w:adjustRightInd w:val="0"/>
      <w:spacing w:line="436" w:lineRule="exact"/>
      <w:ind w:left="357"/>
      <w:jc w:val="left"/>
      <w:outlineLvl w:val="3"/>
    </w:pPr>
    <w:rPr>
      <w:rFonts w:ascii="Tahoma" w:hAnsi="Tahoma"/>
      <w:b/>
      <w:kern w:val="2"/>
      <w:sz w:val="24"/>
      <w:szCs w:val="24"/>
      <w:lang w:val="zh-CN"/>
    </w:rPr>
  </w:style>
  <w:style w:type="character" w:customStyle="1" w:styleId="3ffb">
    <w:name w:val="正文缩进 字符3"/>
    <w:qFormat/>
    <w:rPr>
      <w:rFonts w:eastAsia="宋体"/>
      <w:kern w:val="2"/>
      <w:sz w:val="24"/>
      <w:lang w:val="en-US" w:eastAsia="zh-CN" w:bidi="ar-SA"/>
    </w:rPr>
  </w:style>
  <w:style w:type="character" w:customStyle="1" w:styleId="1fffffff0">
    <w:name w:val="已访问的超链接1"/>
    <w:rPr>
      <w:color w:val="800080"/>
      <w:u w:val="single"/>
    </w:rPr>
  </w:style>
  <w:style w:type="paragraph" w:customStyle="1" w:styleId="11ff2">
    <w:name w:val="批注框文本11"/>
    <w:basedOn w:val="a9"/>
    <w:semiHidden/>
    <w:pPr>
      <w:widowControl/>
      <w:spacing w:line="0" w:lineRule="atLeast"/>
      <w:jc w:val="left"/>
    </w:pPr>
    <w:rPr>
      <w:rFonts w:ascii="Tahoma" w:hAnsi="Tahoma" w:cs="Tahoma"/>
      <w:kern w:val="2"/>
      <w:sz w:val="16"/>
      <w:szCs w:val="16"/>
    </w:rPr>
  </w:style>
  <w:style w:type="paragraph" w:customStyle="1" w:styleId="2ffff2">
    <w:name w:val="项目概要标题2"/>
    <w:basedOn w:val="a9"/>
    <w:pPr>
      <w:widowControl/>
      <w:spacing w:before="60" w:line="0" w:lineRule="atLeast"/>
      <w:jc w:val="center"/>
    </w:pPr>
    <w:rPr>
      <w:kern w:val="2"/>
      <w:sz w:val="21"/>
    </w:rPr>
  </w:style>
  <w:style w:type="paragraph" w:customStyle="1" w:styleId="CharChar2CharChar">
    <w:name w:val="Char Char2 Char Char"/>
    <w:basedOn w:val="a9"/>
    <w:pPr>
      <w:widowControl/>
      <w:spacing w:line="360" w:lineRule="auto"/>
      <w:ind w:firstLineChars="200" w:firstLine="200"/>
      <w:jc w:val="left"/>
    </w:pPr>
    <w:rPr>
      <w:rFonts w:ascii="宋体" w:hAnsi="宋体" w:cs="宋体"/>
      <w:kern w:val="2"/>
      <w:sz w:val="24"/>
      <w:szCs w:val="24"/>
    </w:rPr>
  </w:style>
  <w:style w:type="character" w:customStyle="1" w:styleId="2ffff3">
    <w:name w:val="脚注文本 字符2"/>
    <w:rPr>
      <w:kern w:val="2"/>
      <w:sz w:val="18"/>
      <w:szCs w:val="18"/>
    </w:rPr>
  </w:style>
  <w:style w:type="paragraph" w:customStyle="1" w:styleId="afffffffffffffffffffffffff0">
    <w:name w:val="样式 君邦正文 + 字距调整小五"/>
    <w:basedOn w:val="affff7"/>
    <w:link w:val="Charfffffff6"/>
    <w:rPr>
      <w:bCs w:val="0"/>
      <w:kern w:val="18"/>
      <w:lang w:val="zh-CN"/>
    </w:rPr>
  </w:style>
  <w:style w:type="character" w:customStyle="1" w:styleId="Charfffffff6">
    <w:name w:val="样式 君邦正文 + 字距调整小五 Char"/>
    <w:link w:val="afffffffffffffffffffffffff0"/>
    <w:rPr>
      <w:snapToGrid w:val="0"/>
      <w:kern w:val="18"/>
      <w:sz w:val="24"/>
      <w:lang w:val="zh-CN"/>
    </w:rPr>
  </w:style>
  <w:style w:type="paragraph" w:customStyle="1" w:styleId="10515">
    <w:name w:val="样式 表头样式1 + 段前: 0.5 行 行距: 1.5 倍行距"/>
    <w:basedOn w:val="1f3"/>
    <w:pPr>
      <w:widowControl/>
      <w:spacing w:before="0" w:line="360" w:lineRule="auto"/>
    </w:pPr>
    <w:rPr>
      <w:rFonts w:cs="宋体"/>
      <w:bCs/>
      <w:kern w:val="2"/>
    </w:rPr>
  </w:style>
  <w:style w:type="paragraph" w:customStyle="1" w:styleId="-05-05-05">
    <w:name w:val="样式 样式 表内格式 + 左  -0.5 字符 + 左侧:  -0.5 字符 右侧:  -0.5 字符"/>
    <w:basedOn w:val="-05"/>
    <w:link w:val="-05-05-05Char"/>
    <w:pPr>
      <w:widowControl/>
    </w:pPr>
    <w:rPr>
      <w:kern w:val="2"/>
      <w:lang w:val="zh-CN"/>
    </w:rPr>
  </w:style>
  <w:style w:type="character" w:customStyle="1" w:styleId="-05-05-05Char">
    <w:name w:val="样式 样式 表内格式 + 左  -0.5 字符 + 左侧:  -0.5 字符 右侧:  -0.5 字符 Char"/>
    <w:link w:val="-05-05-05"/>
    <w:rPr>
      <w:color w:val="0000FF"/>
      <w:kern w:val="2"/>
      <w:sz w:val="18"/>
      <w:szCs w:val="18"/>
      <w:lang w:val="zh-CN"/>
    </w:rPr>
  </w:style>
  <w:style w:type="paragraph" w:customStyle="1" w:styleId="afffffffffffffffffffffffff1">
    <w:name w:val="样式 报告表正文 + (中文) 宋体"/>
    <w:basedOn w:val="afffff1"/>
    <w:link w:val="Charfffffff7"/>
    <w:pPr>
      <w:widowControl/>
      <w:adjustRightInd/>
      <w:spacing w:line="360" w:lineRule="auto"/>
      <w:ind w:left="0" w:right="0" w:firstLineChars="200" w:firstLine="480"/>
      <w:jc w:val="left"/>
      <w:textAlignment w:val="auto"/>
    </w:pPr>
    <w:rPr>
      <w:kern w:val="2"/>
      <w:lang w:val="zh-CN"/>
    </w:rPr>
  </w:style>
  <w:style w:type="character" w:customStyle="1" w:styleId="Charfffffff7">
    <w:name w:val="样式 报告表正文 + (中文) 宋体 Char"/>
    <w:link w:val="afffffffffffffffffffffffff1"/>
    <w:rPr>
      <w:kern w:val="2"/>
      <w:sz w:val="24"/>
      <w:lang w:val="zh-CN"/>
    </w:rPr>
  </w:style>
  <w:style w:type="paragraph" w:customStyle="1" w:styleId="331">
    <w:name w:val="表格 33"/>
    <w:basedOn w:val="a9"/>
    <w:pPr>
      <w:widowControl/>
      <w:autoSpaceDE w:val="0"/>
      <w:autoSpaceDN w:val="0"/>
      <w:adjustRightInd w:val="0"/>
      <w:spacing w:line="0" w:lineRule="atLeast"/>
      <w:jc w:val="center"/>
      <w:textAlignment w:val="baseline"/>
    </w:pPr>
    <w:rPr>
      <w:rFonts w:eastAsia="楷体"/>
      <w:sz w:val="21"/>
    </w:rPr>
  </w:style>
  <w:style w:type="paragraph" w:customStyle="1" w:styleId="31f3">
    <w:name w:val="表格 31"/>
    <w:pPr>
      <w:widowControl w:val="0"/>
      <w:autoSpaceDE w:val="0"/>
      <w:autoSpaceDN w:val="0"/>
      <w:adjustRightInd w:val="0"/>
      <w:spacing w:line="0" w:lineRule="atLeast"/>
      <w:jc w:val="center"/>
      <w:textAlignment w:val="baseline"/>
    </w:pPr>
    <w:rPr>
      <w:rFonts w:eastAsia="楷体"/>
      <w:sz w:val="28"/>
    </w:rPr>
  </w:style>
  <w:style w:type="character" w:customStyle="1" w:styleId="equal">
    <w:name w:val="equal"/>
  </w:style>
  <w:style w:type="character" w:customStyle="1" w:styleId="2ffff4">
    <w:name w:val="文档结构图 字符2"/>
    <w:rPr>
      <w:kern w:val="2"/>
      <w:sz w:val="21"/>
      <w:szCs w:val="24"/>
      <w:shd w:val="clear" w:color="auto" w:fill="000080"/>
    </w:rPr>
  </w:style>
  <w:style w:type="character" w:customStyle="1" w:styleId="5Char7">
    <w:name w:val="标题 5表头 Char"/>
    <w:rPr>
      <w:rFonts w:ascii="宋体"/>
      <w:b/>
      <w:spacing w:val="6"/>
      <w:kern w:val="2"/>
      <w:sz w:val="26"/>
      <w:szCs w:val="26"/>
    </w:rPr>
  </w:style>
  <w:style w:type="character" w:customStyle="1" w:styleId="622">
    <w:name w:val="标题 6 字符2"/>
    <w:rPr>
      <w:rFonts w:ascii="宋体"/>
      <w:kern w:val="2"/>
      <w:sz w:val="24"/>
      <w:lang w:val="zh-CN" w:eastAsia="zh-CN"/>
    </w:rPr>
  </w:style>
  <w:style w:type="character" w:customStyle="1" w:styleId="722">
    <w:name w:val="标题 7 字符2"/>
    <w:rPr>
      <w:color w:val="008000"/>
      <w:kern w:val="2"/>
      <w:sz w:val="28"/>
      <w:lang w:val="zh-CN" w:eastAsia="zh-CN"/>
    </w:rPr>
  </w:style>
  <w:style w:type="character" w:customStyle="1" w:styleId="823">
    <w:name w:val="标题 8 字符2"/>
    <w:qFormat/>
    <w:rPr>
      <w:color w:val="008000"/>
      <w:kern w:val="2"/>
      <w:sz w:val="28"/>
      <w:lang w:val="zh-CN" w:eastAsia="zh-CN"/>
    </w:rPr>
  </w:style>
  <w:style w:type="character" w:customStyle="1" w:styleId="920">
    <w:name w:val="标题 9 字符2"/>
    <w:rPr>
      <w:rFonts w:ascii="Arial" w:eastAsia="黑体" w:hAnsi="Arial"/>
      <w:sz w:val="24"/>
      <w:lang w:val="zh-CN" w:eastAsia="zh-CN"/>
    </w:rPr>
  </w:style>
  <w:style w:type="paragraph" w:customStyle="1" w:styleId="afffffffffffffffffffffffff2">
    <w:name w:val="方程"/>
    <w:basedOn w:val="a9"/>
    <w:pPr>
      <w:widowControl/>
      <w:overflowPunct w:val="0"/>
      <w:adjustRightInd w:val="0"/>
      <w:spacing w:before="60" w:after="60" w:line="440" w:lineRule="atLeast"/>
      <w:ind w:firstLine="482"/>
      <w:jc w:val="center"/>
      <w:textAlignment w:val="bottom"/>
    </w:pPr>
    <w:rPr>
      <w:rFonts w:ascii="CG Times (W1)" w:hAnsi="CG Times (W1)"/>
      <w:sz w:val="28"/>
    </w:rPr>
  </w:style>
  <w:style w:type="character" w:customStyle="1" w:styleId="Charfffffff8">
    <w:name w:val="表、图名 Char"/>
    <w:rPr>
      <w:b/>
      <w:kern w:val="2"/>
      <w:sz w:val="21"/>
      <w:szCs w:val="21"/>
    </w:rPr>
  </w:style>
  <w:style w:type="paragraph" w:customStyle="1" w:styleId="afffffffffffffffffffffffff3">
    <w:name w:val="应填表格"/>
    <w:basedOn w:val="a9"/>
    <w:pPr>
      <w:widowControl/>
      <w:adjustRightInd w:val="0"/>
      <w:spacing w:before="40" w:after="40" w:line="0" w:lineRule="atLeast"/>
      <w:jc w:val="left"/>
      <w:textAlignment w:val="baseline"/>
    </w:pPr>
    <w:rPr>
      <w:sz w:val="24"/>
    </w:rPr>
  </w:style>
  <w:style w:type="paragraph" w:customStyle="1" w:styleId="afffffffffffffffffffffffff4">
    <w:name w:val="已有表格"/>
    <w:basedOn w:val="a9"/>
    <w:pPr>
      <w:widowControl/>
      <w:adjustRightInd w:val="0"/>
      <w:spacing w:before="40" w:after="40" w:line="0" w:lineRule="atLeast"/>
      <w:jc w:val="center"/>
      <w:textAlignment w:val="baseline"/>
    </w:pPr>
    <w:rPr>
      <w:b/>
      <w:sz w:val="24"/>
    </w:rPr>
  </w:style>
  <w:style w:type="paragraph" w:customStyle="1" w:styleId="300">
    <w:name w:val="样式 标题 3 + 四号 段前: 0 磅 段后: 0 磅 行距: 单倍行距"/>
    <w:basedOn w:val="3"/>
    <w:pPr>
      <w:keepNext/>
      <w:keepLines/>
      <w:widowControl/>
      <w:numPr>
        <w:ilvl w:val="0"/>
        <w:numId w:val="0"/>
      </w:numPr>
      <w:tabs>
        <w:tab w:val="clear" w:pos="720"/>
      </w:tabs>
      <w:snapToGrid/>
      <w:spacing w:beforeLines="50" w:before="120" w:line="240" w:lineRule="auto"/>
      <w:jc w:val="left"/>
    </w:pPr>
    <w:rPr>
      <w:rFonts w:eastAsia="宋体" w:hAnsi="黑体" w:cs="宋体"/>
      <w:snapToGrid w:val="0"/>
      <w:kern w:val="2"/>
      <w:sz w:val="28"/>
      <w:szCs w:val="28"/>
      <w:lang w:val="zh-CN"/>
    </w:rPr>
  </w:style>
  <w:style w:type="character" w:customStyle="1" w:styleId="2ffff5">
    <w:name w:val="正文文本缩进 字符2"/>
    <w:qFormat/>
    <w:rPr>
      <w:color w:val="008000"/>
      <w:kern w:val="2"/>
      <w:sz w:val="21"/>
    </w:rPr>
  </w:style>
  <w:style w:type="paragraph" w:customStyle="1" w:styleId="205205">
    <w:name w:val="样式 样式 左侧:  2 字符 段后: 0.5 行 + 首行缩进:  2 字符 段后: 0.5 行"/>
    <w:basedOn w:val="a9"/>
    <w:pPr>
      <w:widowControl/>
      <w:spacing w:after="156" w:line="0" w:lineRule="atLeast"/>
      <w:ind w:firstLineChars="200" w:firstLine="560"/>
      <w:jc w:val="left"/>
    </w:pPr>
    <w:rPr>
      <w:rFonts w:eastAsia="仿宋_GB2312"/>
      <w:kern w:val="2"/>
      <w:sz w:val="28"/>
    </w:rPr>
  </w:style>
  <w:style w:type="paragraph" w:customStyle="1" w:styleId="CharChar1CharCharCharCharCharCharCharCharCharCharCharCharCharChar">
    <w:name w:val="Char Char1 Char Char Char Char Char Char Char Char Char Char Char Char Char Char"/>
    <w:basedOn w:val="a9"/>
    <w:pPr>
      <w:widowControl/>
      <w:spacing w:beforeLines="100" w:after="160" w:line="240" w:lineRule="exact"/>
      <w:jc w:val="left"/>
    </w:pPr>
    <w:rPr>
      <w:rFonts w:ascii="Verdana" w:hAnsi="Verdana"/>
      <w:sz w:val="32"/>
      <w:szCs w:val="32"/>
      <w:lang w:eastAsia="en-US"/>
    </w:rPr>
  </w:style>
  <w:style w:type="character" w:customStyle="1" w:styleId="2ffff6">
    <w:name w:val="正文文本 字符2"/>
    <w:qFormat/>
    <w:rPr>
      <w:rFonts w:ascii="Times" w:hAnsi="Times"/>
      <w:kern w:val="24"/>
      <w:sz w:val="24"/>
      <w:szCs w:val="24"/>
    </w:rPr>
  </w:style>
  <w:style w:type="character" w:customStyle="1" w:styleId="hongse381">
    <w:name w:val="hongse381"/>
    <w:rPr>
      <w:sz w:val="19"/>
      <w:szCs w:val="19"/>
    </w:rPr>
  </w:style>
  <w:style w:type="paragraph" w:customStyle="1" w:styleId="1CharCharCharCharCharCharCharCharCharCharCharCharChar">
    <w:name w:val="1 Char Char Char Char Char Char Char Char Char Char Char Char Char"/>
    <w:basedOn w:val="a9"/>
    <w:semiHidden/>
    <w:pPr>
      <w:widowControl/>
      <w:spacing w:line="0" w:lineRule="atLeast"/>
      <w:jc w:val="left"/>
    </w:pPr>
    <w:rPr>
      <w:kern w:val="2"/>
      <w:sz w:val="21"/>
      <w:szCs w:val="24"/>
    </w:rPr>
  </w:style>
  <w:style w:type="paragraph" w:customStyle="1" w:styleId="107">
    <w:name w:val="样式 标题 1 + 华文中宋 两端对齐 左侧:  0 厘米"/>
    <w:basedOn w:val="1"/>
    <w:pPr>
      <w:pageBreakBefore w:val="0"/>
      <w:widowControl/>
      <w:numPr>
        <w:numId w:val="0"/>
      </w:numPr>
      <w:tabs>
        <w:tab w:val="left" w:pos="576"/>
      </w:tabs>
      <w:spacing w:before="340" w:after="330" w:line="240" w:lineRule="auto"/>
      <w:ind w:left="434" w:hanging="432"/>
      <w:jc w:val="left"/>
    </w:pPr>
    <w:rPr>
      <w:rFonts w:ascii="华文中宋" w:eastAsia="华文中宋" w:hAnsi="华文中宋" w:cs="宋体"/>
      <w:bCs/>
      <w:sz w:val="44"/>
      <w:szCs w:val="44"/>
      <w:lang w:val="zh-CN"/>
    </w:rPr>
  </w:style>
  <w:style w:type="paragraph" w:customStyle="1" w:styleId="textfont">
    <w:name w:val="textfont"/>
    <w:basedOn w:val="a9"/>
    <w:pPr>
      <w:widowControl/>
      <w:spacing w:before="100" w:beforeAutospacing="1" w:after="100" w:afterAutospacing="1" w:line="0" w:lineRule="atLeast"/>
      <w:jc w:val="left"/>
    </w:pPr>
    <w:rPr>
      <w:rFonts w:ascii="宋体" w:hAnsi="宋体"/>
      <w:sz w:val="24"/>
      <w:szCs w:val="24"/>
    </w:rPr>
  </w:style>
  <w:style w:type="character" w:customStyle="1" w:styleId="tt41">
    <w:name w:val="tt41"/>
    <w:qFormat/>
  </w:style>
  <w:style w:type="paragraph" w:customStyle="1" w:styleId="8--">
    <w:name w:val="8--"/>
    <w:basedOn w:val="a9"/>
    <w:pPr>
      <w:widowControl/>
      <w:adjustRightInd w:val="0"/>
      <w:spacing w:line="360" w:lineRule="atLeast"/>
      <w:jc w:val="left"/>
      <w:textAlignment w:val="baseline"/>
    </w:pPr>
    <w:rPr>
      <w:sz w:val="24"/>
    </w:rPr>
  </w:style>
  <w:style w:type="character" w:customStyle="1" w:styleId="p141">
    <w:name w:val="p141"/>
    <w:rPr>
      <w:color w:val="000000"/>
      <w:sz w:val="21"/>
      <w:szCs w:val="21"/>
      <w:u w:val="none"/>
    </w:rPr>
  </w:style>
  <w:style w:type="paragraph" w:customStyle="1" w:styleId="afffffffffffffffffffffffff5">
    <w:name w:val="图表说明"/>
    <w:basedOn w:val="a9"/>
    <w:pPr>
      <w:widowControl/>
      <w:adjustRightInd w:val="0"/>
      <w:snapToGrid w:val="0"/>
      <w:spacing w:line="360" w:lineRule="auto"/>
      <w:jc w:val="center"/>
    </w:pPr>
    <w:rPr>
      <w:rFonts w:hAnsi="宋体"/>
      <w:kern w:val="2"/>
      <w:sz w:val="21"/>
      <w:szCs w:val="21"/>
    </w:rPr>
  </w:style>
  <w:style w:type="paragraph" w:customStyle="1" w:styleId="Char4CharCharCharCharCharChar1">
    <w:name w:val="Char4 Char Char Char Char Char Char1"/>
    <w:basedOn w:val="a9"/>
    <w:pPr>
      <w:widowControl/>
      <w:spacing w:line="360" w:lineRule="auto"/>
      <w:ind w:firstLineChars="200" w:firstLine="200"/>
      <w:jc w:val="left"/>
    </w:pPr>
    <w:rPr>
      <w:rFonts w:ascii="宋体" w:hAnsi="宋体" w:cs="宋体"/>
      <w:kern w:val="2"/>
      <w:sz w:val="24"/>
      <w:szCs w:val="24"/>
    </w:rPr>
  </w:style>
  <w:style w:type="character" w:customStyle="1" w:styleId="2ffff7">
    <w:name w:val="批注主题 字符2"/>
    <w:uiPriority w:val="99"/>
    <w:rPr>
      <w:b/>
      <w:bCs/>
      <w:kern w:val="2"/>
      <w:sz w:val="21"/>
      <w:szCs w:val="24"/>
    </w:rPr>
  </w:style>
  <w:style w:type="paragraph" w:customStyle="1" w:styleId="Char1CharChar0">
    <w:name w:val="Char1 Char Char"/>
    <w:basedOn w:val="a9"/>
    <w:qFormat/>
    <w:pPr>
      <w:widowControl/>
      <w:spacing w:line="0" w:lineRule="atLeast"/>
      <w:jc w:val="left"/>
    </w:pPr>
    <w:rPr>
      <w:kern w:val="2"/>
      <w:sz w:val="21"/>
      <w:szCs w:val="24"/>
    </w:rPr>
  </w:style>
  <w:style w:type="character" w:customStyle="1" w:styleId="duanluo2">
    <w:name w:val="duanluo2"/>
    <w:rPr>
      <w:rFonts w:ascii="_GB2312" w:hAnsi="_GB2312" w:hint="default"/>
      <w:color w:val="000000"/>
      <w:spacing w:val="432"/>
      <w:sz w:val="21"/>
      <w:szCs w:val="21"/>
    </w:rPr>
  </w:style>
  <w:style w:type="paragraph" w:customStyle="1" w:styleId="afffffffffffffffffffffffff6">
    <w:name w:val="小表文居中"/>
    <w:basedOn w:val="a9"/>
    <w:pPr>
      <w:widowControl/>
      <w:autoSpaceDE w:val="0"/>
      <w:autoSpaceDN w:val="0"/>
      <w:adjustRightInd w:val="0"/>
      <w:spacing w:before="20" w:line="0" w:lineRule="atLeast"/>
      <w:jc w:val="center"/>
      <w:textAlignment w:val="baseline"/>
    </w:pPr>
    <w:rPr>
      <w:sz w:val="18"/>
    </w:rPr>
  </w:style>
  <w:style w:type="paragraph" w:customStyle="1" w:styleId="1fffffff1">
    <w:name w:val="框图文字1"/>
    <w:basedOn w:val="a9"/>
    <w:pPr>
      <w:widowControl/>
      <w:adjustRightInd w:val="0"/>
      <w:snapToGrid w:val="0"/>
      <w:spacing w:before="78" w:line="0" w:lineRule="atLeast"/>
      <w:jc w:val="center"/>
    </w:pPr>
    <w:rPr>
      <w:kern w:val="2"/>
      <w:sz w:val="18"/>
    </w:rPr>
  </w:style>
  <w:style w:type="character" w:customStyle="1" w:styleId="css-text3">
    <w:name w:val="css-text3"/>
  </w:style>
  <w:style w:type="character" w:customStyle="1" w:styleId="css1">
    <w:name w:val="css1"/>
    <w:rPr>
      <w:sz w:val="20"/>
      <w:szCs w:val="20"/>
      <w:u w:val="none"/>
    </w:rPr>
  </w:style>
  <w:style w:type="paragraph" w:customStyle="1" w:styleId="-f">
    <w:name w:val="正文-第几条"/>
    <w:basedOn w:val="a9"/>
    <w:pPr>
      <w:widowControl/>
      <w:tabs>
        <w:tab w:val="left" w:pos="1200"/>
      </w:tabs>
      <w:spacing w:line="360" w:lineRule="auto"/>
      <w:ind w:leftChars="400" w:left="1200" w:hangingChars="200" w:hanging="360"/>
      <w:jc w:val="left"/>
    </w:pPr>
    <w:rPr>
      <w:kern w:val="2"/>
      <w:sz w:val="24"/>
      <w:szCs w:val="24"/>
    </w:rPr>
  </w:style>
  <w:style w:type="paragraph" w:customStyle="1" w:styleId="afffffffffffffffffffffffff7">
    <w:name w:val="附录二级条标题"/>
    <w:basedOn w:val="afffffffffffffffffffffffff8"/>
    <w:next w:val="a9"/>
    <w:pPr>
      <w:tabs>
        <w:tab w:val="left" w:pos="360"/>
        <w:tab w:val="left" w:pos="1680"/>
      </w:tabs>
      <w:ind w:left="360" w:hanging="360"/>
      <w:outlineLvl w:val="3"/>
    </w:pPr>
  </w:style>
  <w:style w:type="paragraph" w:customStyle="1" w:styleId="afffffffffffffffffffffffff8">
    <w:name w:val="附录一级条标题"/>
    <w:basedOn w:val="afffffffffffffffffffffffff9"/>
    <w:next w:val="a9"/>
    <w:pPr>
      <w:tabs>
        <w:tab w:val="clear" w:pos="840"/>
        <w:tab w:val="left" w:pos="828"/>
        <w:tab w:val="left" w:pos="1260"/>
      </w:tabs>
      <w:autoSpaceDN w:val="0"/>
      <w:spacing w:beforeLines="0" w:afterLines="0"/>
      <w:ind w:left="828" w:hanging="240"/>
      <w:outlineLvl w:val="2"/>
    </w:pPr>
  </w:style>
  <w:style w:type="paragraph" w:customStyle="1" w:styleId="afffffffffffffffffffffffff9">
    <w:name w:val="附录章标题"/>
    <w:next w:val="a9"/>
    <w:pPr>
      <w:tabs>
        <w:tab w:val="left" w:pos="840"/>
      </w:tabs>
      <w:wordWrap w:val="0"/>
      <w:overflowPunct w:val="0"/>
      <w:autoSpaceDE w:val="0"/>
      <w:spacing w:beforeLines="50" w:afterLines="50" w:line="0" w:lineRule="atLeast"/>
      <w:ind w:left="840" w:hanging="420"/>
      <w:jc w:val="both"/>
      <w:textAlignment w:val="baseline"/>
      <w:outlineLvl w:val="1"/>
    </w:pPr>
    <w:rPr>
      <w:rFonts w:ascii="黑体" w:eastAsia="黑体"/>
      <w:kern w:val="21"/>
      <w:sz w:val="21"/>
    </w:rPr>
  </w:style>
  <w:style w:type="paragraph" w:customStyle="1" w:styleId="afffffffffffffffffffffffffa">
    <w:name w:val="附录三级条标题"/>
    <w:basedOn w:val="afffffffffffffffffffffffff7"/>
    <w:next w:val="a9"/>
    <w:pPr>
      <w:tabs>
        <w:tab w:val="clear" w:pos="360"/>
        <w:tab w:val="left" w:pos="1068"/>
        <w:tab w:val="left" w:pos="2100"/>
      </w:tabs>
      <w:ind w:left="1068"/>
      <w:outlineLvl w:val="4"/>
    </w:pPr>
  </w:style>
  <w:style w:type="paragraph" w:customStyle="1" w:styleId="afffffffffffffffffffffffffb">
    <w:name w:val="附录四级条标题"/>
    <w:basedOn w:val="afffffffffffffffffffffffffa"/>
    <w:next w:val="a9"/>
    <w:pPr>
      <w:tabs>
        <w:tab w:val="clear" w:pos="1068"/>
        <w:tab w:val="left" w:pos="960"/>
        <w:tab w:val="left" w:pos="2520"/>
      </w:tabs>
      <w:ind w:left="960"/>
      <w:outlineLvl w:val="5"/>
    </w:pPr>
  </w:style>
  <w:style w:type="paragraph" w:customStyle="1" w:styleId="afffffffffffffffffffffffffc">
    <w:name w:val="附录五级条标题"/>
    <w:basedOn w:val="afffffffffffffffffffffffffb"/>
    <w:next w:val="a9"/>
    <w:pPr>
      <w:tabs>
        <w:tab w:val="clear" w:pos="960"/>
        <w:tab w:val="left" w:pos="435"/>
        <w:tab w:val="left" w:pos="2940"/>
      </w:tabs>
      <w:ind w:left="435" w:hanging="165"/>
      <w:outlineLvl w:val="6"/>
    </w:pPr>
  </w:style>
  <w:style w:type="paragraph" w:customStyle="1" w:styleId="afffffffffffffffffffffffffd">
    <w:name w:val="附录标识"/>
    <w:basedOn w:val="a"/>
    <w:pPr>
      <w:numPr>
        <w:numId w:val="0"/>
      </w:numPr>
      <w:tabs>
        <w:tab w:val="clear" w:pos="903"/>
        <w:tab w:val="left" w:pos="6405"/>
      </w:tabs>
      <w:spacing w:after="200" w:line="0" w:lineRule="atLeast"/>
    </w:pPr>
    <w:rPr>
      <w:sz w:val="21"/>
    </w:rPr>
  </w:style>
  <w:style w:type="paragraph" w:customStyle="1" w:styleId="afffffffffffffffffffffffffe">
    <w:name w:val="二级无标题条"/>
    <w:basedOn w:val="a9"/>
    <w:pPr>
      <w:widowControl/>
      <w:spacing w:line="0" w:lineRule="atLeast"/>
      <w:jc w:val="left"/>
    </w:pPr>
    <w:rPr>
      <w:kern w:val="2"/>
      <w:sz w:val="21"/>
      <w:szCs w:val="24"/>
    </w:rPr>
  </w:style>
  <w:style w:type="paragraph" w:customStyle="1" w:styleId="affffffffffffffffffffffffff">
    <w:name w:val="列项·"/>
    <w:pPr>
      <w:tabs>
        <w:tab w:val="left" w:pos="840"/>
      </w:tabs>
      <w:spacing w:line="0" w:lineRule="atLeast"/>
      <w:ind w:leftChars="200" w:left="840" w:hangingChars="200" w:hanging="420"/>
      <w:jc w:val="both"/>
    </w:pPr>
    <w:rPr>
      <w:rFonts w:ascii="宋体"/>
      <w:sz w:val="21"/>
    </w:rPr>
  </w:style>
  <w:style w:type="paragraph" w:customStyle="1" w:styleId="-f0">
    <w:name w:val="正文-叶"/>
    <w:basedOn w:val="a9"/>
    <w:pPr>
      <w:widowControl/>
      <w:topLinePunct/>
      <w:spacing w:line="312" w:lineRule="auto"/>
      <w:ind w:firstLine="465"/>
      <w:jc w:val="left"/>
    </w:pPr>
    <w:rPr>
      <w:kern w:val="2"/>
      <w:sz w:val="24"/>
    </w:rPr>
  </w:style>
  <w:style w:type="paragraph" w:customStyle="1" w:styleId="Item1">
    <w:name w:val="Item1"/>
    <w:basedOn w:val="a9"/>
    <w:pPr>
      <w:widowControl/>
      <w:spacing w:line="0" w:lineRule="atLeast"/>
      <w:jc w:val="left"/>
    </w:pPr>
    <w:rPr>
      <w:kern w:val="2"/>
      <w:sz w:val="21"/>
      <w:szCs w:val="24"/>
    </w:rPr>
  </w:style>
  <w:style w:type="character" w:customStyle="1" w:styleId="a20">
    <w:name w:val="a2"/>
  </w:style>
  <w:style w:type="paragraph" w:customStyle="1" w:styleId="affffffffffffffffffffffffff0">
    <w:name w:val="表文"/>
    <w:basedOn w:val="a9"/>
    <w:pPr>
      <w:widowControl/>
      <w:overflowPunct w:val="0"/>
      <w:spacing w:line="0" w:lineRule="atLeast"/>
      <w:jc w:val="center"/>
      <w:textAlignment w:val="baseline"/>
    </w:pPr>
    <w:rPr>
      <w:kern w:val="2"/>
      <w:sz w:val="21"/>
    </w:rPr>
  </w:style>
  <w:style w:type="character" w:customStyle="1" w:styleId="white">
    <w:name w:val="white"/>
  </w:style>
  <w:style w:type="paragraph" w:customStyle="1" w:styleId="ourfont3">
    <w:name w:val="ourfont3"/>
    <w:basedOn w:val="a9"/>
    <w:pPr>
      <w:widowControl/>
      <w:spacing w:before="100" w:beforeAutospacing="1" w:after="100" w:afterAutospacing="1" w:line="0" w:lineRule="atLeast"/>
      <w:jc w:val="left"/>
    </w:pPr>
    <w:rPr>
      <w:rFonts w:ascii="宋体" w:hAnsi="宋体" w:cs="宋体"/>
      <w:sz w:val="24"/>
      <w:szCs w:val="24"/>
    </w:rPr>
  </w:style>
  <w:style w:type="paragraph" w:customStyle="1" w:styleId="indent">
    <w:name w:val="indent"/>
    <w:basedOn w:val="a9"/>
    <w:pPr>
      <w:widowControl/>
      <w:spacing w:before="100" w:beforeAutospacing="1" w:after="100" w:afterAutospacing="1" w:line="0" w:lineRule="atLeast"/>
      <w:ind w:firstLine="525"/>
      <w:jc w:val="left"/>
    </w:pPr>
    <w:rPr>
      <w:rFonts w:ascii="宋体" w:hAnsi="宋体" w:cs="宋体"/>
      <w:sz w:val="24"/>
      <w:szCs w:val="24"/>
    </w:rPr>
  </w:style>
  <w:style w:type="paragraph" w:customStyle="1" w:styleId="-70">
    <w:name w:val="文-7"/>
    <w:basedOn w:val="a9"/>
    <w:pPr>
      <w:widowControl/>
      <w:tabs>
        <w:tab w:val="right" w:leader="dot" w:pos="8789"/>
      </w:tabs>
      <w:spacing w:before="120" w:line="0" w:lineRule="atLeast"/>
      <w:ind w:left="1701" w:firstLine="482"/>
      <w:jc w:val="left"/>
    </w:pPr>
    <w:rPr>
      <w:kern w:val="2"/>
      <w:sz w:val="24"/>
      <w:szCs w:val="24"/>
    </w:rPr>
  </w:style>
  <w:style w:type="character" w:customStyle="1" w:styleId="Char37">
    <w:name w:val="正文缩进 Char3"/>
    <w:rPr>
      <w:rFonts w:ascii="Arial" w:eastAsia="宋体" w:hAnsi="Arial"/>
      <w:kern w:val="2"/>
      <w:sz w:val="24"/>
      <w:lang w:val="en-US" w:eastAsia="zh-CN" w:bidi="ar-SA"/>
    </w:rPr>
  </w:style>
  <w:style w:type="paragraph" w:customStyle="1" w:styleId="085175">
    <w:name w:val="样式 宋体 小四 首行缩进:  0.85 厘米 行距: 多倍行距 1.75 字行"/>
    <w:basedOn w:val="a9"/>
    <w:pPr>
      <w:widowControl/>
      <w:adjustRightInd w:val="0"/>
      <w:spacing w:line="360" w:lineRule="auto"/>
      <w:ind w:firstLine="340"/>
      <w:jc w:val="left"/>
    </w:pPr>
    <w:rPr>
      <w:rFonts w:ascii="宋体" w:hAnsi="宋体"/>
      <w:kern w:val="2"/>
      <w:sz w:val="24"/>
    </w:rPr>
  </w:style>
  <w:style w:type="character" w:customStyle="1" w:styleId="u150">
    <w:name w:val="u150"/>
  </w:style>
  <w:style w:type="table" w:customStyle="1" w:styleId="AAA">
    <w:name w:val="AAA"/>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paragraph" w:customStyle="1" w:styleId="CharChar2CharCharCharChar">
    <w:name w:val="Char Char2 Char Char Char Char"/>
    <w:basedOn w:val="a9"/>
    <w:pPr>
      <w:widowControl/>
      <w:spacing w:after="160" w:line="240" w:lineRule="exact"/>
      <w:jc w:val="left"/>
    </w:pPr>
    <w:rPr>
      <w:rFonts w:ascii="Verdana" w:eastAsia="仿宋_GB2312" w:hAnsi="Verdana"/>
      <w:sz w:val="24"/>
      <w:lang w:eastAsia="en-US"/>
    </w:rPr>
  </w:style>
  <w:style w:type="character" w:customStyle="1" w:styleId="titlefront1">
    <w:name w:val="titlefront1"/>
    <w:rPr>
      <w:sz w:val="19"/>
      <w:szCs w:val="19"/>
    </w:rPr>
  </w:style>
  <w:style w:type="paragraph" w:customStyle="1" w:styleId="affffffffffffffffffffffffff1">
    <w:name w:val="文章附标题"/>
    <w:basedOn w:val="a9"/>
    <w:next w:val="1"/>
    <w:pPr>
      <w:widowControl/>
      <w:spacing w:before="104" w:after="104" w:line="0" w:lineRule="atLeast"/>
      <w:ind w:left="1"/>
      <w:jc w:val="center"/>
      <w:textAlignment w:val="bottom"/>
    </w:pPr>
    <w:rPr>
      <w:sz w:val="36"/>
    </w:rPr>
  </w:style>
  <w:style w:type="character" w:customStyle="1" w:styleId="style441">
    <w:name w:val="style441"/>
    <w:rPr>
      <w:sz w:val="18"/>
      <w:szCs w:val="18"/>
    </w:rPr>
  </w:style>
  <w:style w:type="character" w:customStyle="1" w:styleId="z-22">
    <w:name w:val="z-窗体顶端 字符2"/>
    <w:uiPriority w:val="99"/>
    <w:semiHidden/>
    <w:rPr>
      <w:rFonts w:ascii="Arial" w:hAnsi="Arial" w:cs="Arial"/>
      <w:vanish/>
      <w:kern w:val="2"/>
      <w:sz w:val="16"/>
      <w:szCs w:val="16"/>
    </w:rPr>
  </w:style>
  <w:style w:type="character" w:customStyle="1" w:styleId="z-23">
    <w:name w:val="z-窗体底端 字符2"/>
    <w:uiPriority w:val="99"/>
    <w:semiHidden/>
    <w:rPr>
      <w:rFonts w:ascii="Arial" w:hAnsi="Arial" w:cs="Arial"/>
      <w:vanish/>
      <w:kern w:val="2"/>
      <w:sz w:val="16"/>
      <w:szCs w:val="16"/>
    </w:rPr>
  </w:style>
  <w:style w:type="character" w:customStyle="1" w:styleId="3CharChar2">
    <w:name w:val="正文文字缩进 3 Char Char"/>
    <w:rPr>
      <w:kern w:val="2"/>
      <w:sz w:val="16"/>
      <w:szCs w:val="16"/>
    </w:rPr>
  </w:style>
  <w:style w:type="character" w:customStyle="1" w:styleId="art-postmetadataheader">
    <w:name w:val="art-postmetadataheader"/>
  </w:style>
  <w:style w:type="paragraph" w:customStyle="1" w:styleId="Charfffffff9">
    <w:name w:val="册除格式 Char"/>
    <w:pPr>
      <w:spacing w:line="360" w:lineRule="auto"/>
      <w:ind w:firstLine="482"/>
    </w:pPr>
    <w:rPr>
      <w:rFonts w:ascii="黑体" w:hAnsi="Arial" w:cs="Arial"/>
      <w:snapToGrid w:val="0"/>
      <w:spacing w:val="4"/>
      <w:kern w:val="18"/>
      <w:sz w:val="24"/>
      <w:szCs w:val="28"/>
    </w:rPr>
  </w:style>
  <w:style w:type="character" w:customStyle="1" w:styleId="HTML12">
    <w:name w:val="HTML 定义1"/>
    <w:rPr>
      <w:i/>
      <w:iCs/>
    </w:rPr>
  </w:style>
  <w:style w:type="paragraph" w:customStyle="1" w:styleId="affffffffffffffffffffffffff2">
    <w:name w:val="陈光的正文"/>
    <w:basedOn w:val="a9"/>
    <w:pPr>
      <w:adjustRightInd w:val="0"/>
      <w:snapToGrid w:val="0"/>
      <w:spacing w:beforeLines="10" w:afterLines="10" w:line="360" w:lineRule="auto"/>
      <w:ind w:firstLineChars="200" w:firstLine="560"/>
    </w:pPr>
    <w:rPr>
      <w:kern w:val="2"/>
      <w:sz w:val="28"/>
    </w:rPr>
  </w:style>
  <w:style w:type="character" w:customStyle="1" w:styleId="2ffff8">
    <w:name w:val="标题 字符2"/>
    <w:rPr>
      <w:rFonts w:ascii="Arial" w:hAnsi="Arial" w:cs="Arial"/>
      <w:b/>
      <w:bCs/>
      <w:kern w:val="2"/>
      <w:sz w:val="32"/>
      <w:szCs w:val="32"/>
    </w:rPr>
  </w:style>
  <w:style w:type="character" w:customStyle="1" w:styleId="Charfffffffa">
    <w:name w:val="芯创正文 Char"/>
    <w:link w:val="affffffffffffffffffffffffff3"/>
    <w:rPr>
      <w:rFonts w:eastAsia="华文仿宋"/>
      <w:bCs/>
      <w:kern w:val="2"/>
      <w:sz w:val="24"/>
      <w:szCs w:val="24"/>
    </w:rPr>
  </w:style>
  <w:style w:type="paragraph" w:customStyle="1" w:styleId="affffffffffffffffffffffffff3">
    <w:name w:val="芯创正文"/>
    <w:basedOn w:val="affffb"/>
    <w:link w:val="Charfffffffa"/>
    <w:qFormat/>
    <w:pPr>
      <w:widowControl w:val="0"/>
      <w:adjustRightInd w:val="0"/>
      <w:snapToGrid w:val="0"/>
      <w:textAlignment w:val="baseline"/>
    </w:pPr>
    <w:rPr>
      <w:rFonts w:eastAsia="华文仿宋"/>
      <w:bCs/>
      <w:kern w:val="2"/>
      <w:szCs w:val="24"/>
      <w:lang w:val="en-US" w:bidi="ar-SA"/>
    </w:rPr>
  </w:style>
  <w:style w:type="character" w:customStyle="1" w:styleId="Charfffffffb">
    <w:name w:val="报告书正文 Char"/>
    <w:rPr>
      <w:rFonts w:ascii="仿宋_GB2312" w:eastAsia="仿宋_GB2312"/>
      <w:bCs/>
      <w:color w:val="0000FF"/>
      <w:kern w:val="2"/>
      <w:sz w:val="24"/>
      <w:szCs w:val="24"/>
    </w:rPr>
  </w:style>
  <w:style w:type="paragraph" w:customStyle="1" w:styleId="affffffffffffffffffffffffff4">
    <w:name w:val="正文定"/>
    <w:basedOn w:val="afd"/>
    <w:uiPriority w:val="99"/>
    <w:pPr>
      <w:spacing w:beforeLines="100"/>
      <w:ind w:firstLineChars="212" w:firstLine="594"/>
    </w:pPr>
    <w:rPr>
      <w:rFonts w:ascii="Times New Roman" w:hAnsi="Times New Roman"/>
      <w:kern w:val="2"/>
      <w:sz w:val="28"/>
      <w:szCs w:val="24"/>
      <w:lang w:val="zh-CN"/>
    </w:rPr>
  </w:style>
  <w:style w:type="character" w:customStyle="1" w:styleId="HTML20">
    <w:name w:val="HTML 预设格式 字符2"/>
    <w:rPr>
      <w:rFonts w:ascii="黑体" w:eastAsia="黑体" w:hAnsi="Courier New" w:cs="Courier New"/>
    </w:rPr>
  </w:style>
  <w:style w:type="paragraph" w:customStyle="1" w:styleId="2240">
    <w:name w:val="样式 正文文字 + 首行缩进:  2 字符 行距: 最小值 24 磅"/>
    <w:basedOn w:val="a9"/>
    <w:link w:val="224Char"/>
    <w:pPr>
      <w:adjustRightInd w:val="0"/>
      <w:snapToGrid w:val="0"/>
      <w:spacing w:line="480" w:lineRule="atLeast"/>
      <w:ind w:firstLineChars="200" w:firstLine="480"/>
    </w:pPr>
    <w:rPr>
      <w:kern w:val="2"/>
      <w:sz w:val="24"/>
      <w:lang w:val="zh-CN"/>
    </w:rPr>
  </w:style>
  <w:style w:type="character" w:customStyle="1" w:styleId="224Char">
    <w:name w:val="样式 正文文字 + 首行缩进:  2 字符 行距: 最小值 24 磅 Char"/>
    <w:link w:val="2240"/>
    <w:rPr>
      <w:kern w:val="2"/>
      <w:sz w:val="24"/>
      <w:lang w:val="zh-CN"/>
    </w:rPr>
  </w:style>
  <w:style w:type="paragraph" w:customStyle="1" w:styleId="2ffff9">
    <w:name w:val="首行缩进2字符"/>
    <w:basedOn w:val="a9"/>
    <w:pPr>
      <w:spacing w:line="460" w:lineRule="exact"/>
      <w:ind w:firstLine="200"/>
    </w:pPr>
    <w:rPr>
      <w:kern w:val="2"/>
      <w:sz w:val="28"/>
    </w:rPr>
  </w:style>
  <w:style w:type="table" w:customStyle="1" w:styleId="418">
    <w:name w:val="网格型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网格型5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网格型115"/>
    <w:basedOn w:val="ac"/>
    <w:uiPriority w:val="5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网格型15"/>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网格型1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网格型11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网格型1211"/>
    <w:basedOn w:val="ac"/>
    <w:uiPriority w:val="5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3">
    <w:name w:val="网格型22"/>
    <w:basedOn w:val="ac"/>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网格型311"/>
    <w:basedOn w:val="ac"/>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13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网格型1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君邦专用2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4">
    <w:name w:val="君邦专用3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c">
    <w:name w:val="三线表3"/>
    <w:basedOn w:val="ac"/>
    <w:pPr>
      <w:widowControl w:val="0"/>
      <w:spacing w:afterLines="50"/>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f5">
    <w:name w:val="君邦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f4">
    <w:name w:val="表格样式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
    <w:name w:val="TableGrid6"/>
    <w:qFormat/>
    <w:pPr>
      <w:spacing w:after="60"/>
      <w:jc w:val="both"/>
    </w:pPr>
    <w:tblPr>
      <w:tblCellMar>
        <w:top w:w="0" w:type="dxa"/>
        <w:left w:w="0" w:type="dxa"/>
        <w:bottom w:w="0" w:type="dxa"/>
        <w:right w:w="0" w:type="dxa"/>
      </w:tblCellMar>
    </w:tblPr>
  </w:style>
  <w:style w:type="character" w:customStyle="1" w:styleId="4ff1">
    <w:name w:val="页码4"/>
  </w:style>
  <w:style w:type="character" w:customStyle="1" w:styleId="CharChar64">
    <w:name w:val="Char Char64"/>
    <w:qFormat/>
    <w:rPr>
      <w:rFonts w:eastAsia="宋体"/>
      <w:kern w:val="2"/>
      <w:sz w:val="24"/>
      <w:lang w:val="en-US" w:eastAsia="zh-CN" w:bidi="ar-SA"/>
    </w:rPr>
  </w:style>
  <w:style w:type="character" w:customStyle="1" w:styleId="CharChar113">
    <w:name w:val="Char Char113"/>
    <w:qFormat/>
    <w:rPr>
      <w:rFonts w:eastAsia="宋体"/>
      <w:bCs/>
      <w:snapToGrid w:val="0"/>
      <w:sz w:val="24"/>
      <w:lang w:val="en-US" w:eastAsia="zh-CN" w:bidi="ar-SA"/>
    </w:rPr>
  </w:style>
  <w:style w:type="paragraph" w:customStyle="1" w:styleId="CharCharCharChar100">
    <w:name w:val="Char Char Char Char10"/>
    <w:basedOn w:val="a9"/>
    <w:qFormat/>
    <w:pPr>
      <w:widowControl/>
      <w:spacing w:after="60"/>
      <w:ind w:firstLineChars="200" w:firstLine="200"/>
    </w:pPr>
    <w:rPr>
      <w:rFonts w:cs="宋体"/>
      <w:sz w:val="24"/>
      <w:szCs w:val="24"/>
      <w:lang w:bidi="ne-NP"/>
    </w:rPr>
  </w:style>
  <w:style w:type="paragraph" w:customStyle="1" w:styleId="CharCharCharCharCharCharCharCharCharCharCharCharChar3">
    <w:name w:val="Char Char Char Char Char Char Char Char Char Char Char Char Char3"/>
    <w:basedOn w:val="a9"/>
    <w:qFormat/>
    <w:pPr>
      <w:widowControl/>
      <w:adjustRightInd w:val="0"/>
      <w:spacing w:after="60" w:line="360" w:lineRule="auto"/>
      <w:ind w:firstLineChars="200" w:firstLine="200"/>
    </w:pPr>
    <w:rPr>
      <w:rFonts w:cs="宋体"/>
      <w:sz w:val="24"/>
      <w:szCs w:val="24"/>
      <w:lang w:bidi="ne-NP"/>
    </w:rPr>
  </w:style>
  <w:style w:type="paragraph" w:customStyle="1" w:styleId="CharChar1Char6">
    <w:name w:val="Char Char1 Char6"/>
    <w:basedOn w:val="a9"/>
    <w:qFormat/>
    <w:pPr>
      <w:widowControl/>
      <w:spacing w:after="60" w:line="360" w:lineRule="auto"/>
      <w:ind w:firstLineChars="200" w:firstLine="200"/>
    </w:pPr>
    <w:rPr>
      <w:rFonts w:ascii="宋体" w:hAnsi="宋体" w:cs="宋体"/>
      <w:sz w:val="24"/>
      <w:szCs w:val="24"/>
      <w:lang w:bidi="ne-NP"/>
    </w:rPr>
  </w:style>
  <w:style w:type="paragraph" w:customStyle="1" w:styleId="CharChar3CharCharCharChar3">
    <w:name w:val="Char Char3 Char Char Char Char3"/>
    <w:basedOn w:val="a9"/>
    <w:qFormat/>
    <w:pPr>
      <w:spacing w:after="60"/>
      <w:ind w:firstLineChars="200" w:firstLine="200"/>
    </w:pPr>
    <w:rPr>
      <w:rFonts w:cs="宋体"/>
      <w:sz w:val="24"/>
      <w:szCs w:val="24"/>
    </w:rPr>
  </w:style>
  <w:style w:type="paragraph" w:customStyle="1" w:styleId="Char3CharCharChar8">
    <w:name w:val="Char3 Char Char Char8"/>
    <w:basedOn w:val="a9"/>
    <w:qFormat/>
    <w:pPr>
      <w:widowControl/>
      <w:spacing w:after="60" w:line="360" w:lineRule="auto"/>
      <w:ind w:firstLineChars="200" w:firstLine="200"/>
    </w:pPr>
    <w:rPr>
      <w:rFonts w:ascii="宋体" w:hAnsi="宋体" w:cs="宋体"/>
      <w:sz w:val="24"/>
      <w:szCs w:val="24"/>
      <w:lang w:bidi="ne-NP"/>
    </w:rPr>
  </w:style>
  <w:style w:type="character" w:customStyle="1" w:styleId="affffffffffffffffffffffffff5">
    <w:name w:val="正文格式 字符"/>
    <w:qFormat/>
    <w:rPr>
      <w:kern w:val="2"/>
      <w:sz w:val="24"/>
      <w:szCs w:val="28"/>
    </w:rPr>
  </w:style>
  <w:style w:type="paragraph" w:customStyle="1" w:styleId="Style1611">
    <w:name w:val="_Style 1611"/>
    <w:pPr>
      <w:widowControl w:val="0"/>
      <w:jc w:val="both"/>
    </w:pPr>
    <w:rPr>
      <w:rFonts w:ascii="宋体" w:hAnsi="宋体" w:cs="宋体"/>
      <w:sz w:val="24"/>
      <w:szCs w:val="24"/>
      <w:lang w:bidi="ne-NP"/>
    </w:rPr>
  </w:style>
  <w:style w:type="character" w:customStyle="1" w:styleId="CharChar314">
    <w:name w:val="Char Char314"/>
    <w:qFormat/>
    <w:rPr>
      <w:kern w:val="2"/>
      <w:sz w:val="21"/>
      <w:szCs w:val="24"/>
    </w:rPr>
  </w:style>
  <w:style w:type="character" w:customStyle="1" w:styleId="CharChar54">
    <w:name w:val="Char Char54"/>
    <w:qFormat/>
    <w:rPr>
      <w:rFonts w:eastAsia="PMingLiU"/>
      <w:b/>
      <w:kern w:val="2"/>
      <w:sz w:val="32"/>
      <w:szCs w:val="24"/>
      <w:lang w:val="en-US" w:eastAsia="zh-TW" w:bidi="ar-SA"/>
    </w:rPr>
  </w:style>
  <w:style w:type="character" w:customStyle="1" w:styleId="5fc">
    <w:name w:val="页码5"/>
  </w:style>
  <w:style w:type="character" w:customStyle="1" w:styleId="2Char8">
    <w:name w:val="正文文本 2 Char"/>
    <w:rPr>
      <w:rFonts w:eastAsia="宋体"/>
      <w:spacing w:val="-8"/>
      <w:kern w:val="2"/>
      <w:sz w:val="18"/>
      <w:szCs w:val="24"/>
      <w:lang w:val="en-US" w:eastAsia="zh-CN" w:bidi="ar-SA"/>
    </w:rPr>
  </w:style>
  <w:style w:type="character" w:customStyle="1" w:styleId="Charfffffffc">
    <w:name w:val="电子邮件签名 Char"/>
    <w:qFormat/>
    <w:rPr>
      <w:rFonts w:eastAsia="宋体"/>
      <w:kern w:val="2"/>
      <w:sz w:val="21"/>
      <w:szCs w:val="24"/>
      <w:lang w:val="en-US" w:eastAsia="zh-CN" w:bidi="ar-SA"/>
    </w:rPr>
  </w:style>
  <w:style w:type="character" w:customStyle="1" w:styleId="108">
    <w:name w:val="标题10"/>
    <w:qFormat/>
  </w:style>
  <w:style w:type="character" w:customStyle="1" w:styleId="CharChar65">
    <w:name w:val="Char Char65"/>
    <w:qFormat/>
    <w:rPr>
      <w:rFonts w:eastAsia="宋体"/>
      <w:kern w:val="2"/>
      <w:sz w:val="24"/>
      <w:lang w:val="en-US" w:eastAsia="zh-CN" w:bidi="ar-SA"/>
    </w:rPr>
  </w:style>
  <w:style w:type="character" w:customStyle="1" w:styleId="Charfffffffd">
    <w:name w:val="信息标题 Char"/>
    <w:rPr>
      <w:rFonts w:ascii="Arial" w:eastAsia="宋体" w:hAnsi="Arial" w:cs="Arial"/>
      <w:kern w:val="2"/>
      <w:sz w:val="24"/>
      <w:szCs w:val="24"/>
      <w:lang w:val="en-US" w:eastAsia="zh-CN" w:bidi="ar-SA"/>
    </w:rPr>
  </w:style>
  <w:style w:type="character" w:customStyle="1" w:styleId="CharChar114">
    <w:name w:val="Char Char114"/>
    <w:qFormat/>
    <w:rPr>
      <w:rFonts w:eastAsia="宋体"/>
      <w:bCs/>
      <w:snapToGrid w:val="0"/>
      <w:sz w:val="24"/>
      <w:lang w:val="en-US" w:eastAsia="zh-CN" w:bidi="ar-SA"/>
    </w:rPr>
  </w:style>
  <w:style w:type="character" w:customStyle="1" w:styleId="CharChar104">
    <w:name w:val="Char Char104"/>
    <w:semiHidden/>
    <w:rPr>
      <w:rFonts w:eastAsia="宋体"/>
      <w:kern w:val="2"/>
      <w:sz w:val="16"/>
      <w:szCs w:val="16"/>
      <w:lang w:val="en-US" w:eastAsia="zh-CN" w:bidi="ar-SA"/>
    </w:rPr>
  </w:style>
  <w:style w:type="character" w:customStyle="1" w:styleId="2Char9">
    <w:name w:val="正文首行缩进 2 Char"/>
    <w:rPr>
      <w:rFonts w:ascii="宋体" w:eastAsia="宋体"/>
      <w:kern w:val="2"/>
      <w:sz w:val="24"/>
      <w:szCs w:val="28"/>
      <w:lang w:val="en-US" w:eastAsia="zh-CN" w:bidi="ar-SA"/>
    </w:rPr>
  </w:style>
  <w:style w:type="character" w:customStyle="1" w:styleId="3Char7">
    <w:name w:val="正文文本 3 Char"/>
    <w:rPr>
      <w:rFonts w:eastAsia="宋体"/>
      <w:kern w:val="2"/>
      <w:sz w:val="28"/>
      <w:szCs w:val="24"/>
      <w:lang w:val="en-US" w:eastAsia="zh-CN" w:bidi="ar-SA"/>
    </w:rPr>
  </w:style>
  <w:style w:type="character" w:customStyle="1" w:styleId="HTMLChar0">
    <w:name w:val="HTML 地址 Char"/>
    <w:rPr>
      <w:rFonts w:eastAsia="宋体"/>
      <w:i/>
      <w:iCs/>
      <w:kern w:val="2"/>
      <w:sz w:val="21"/>
      <w:szCs w:val="24"/>
      <w:lang w:val="en-US" w:eastAsia="zh-CN" w:bidi="ar-SA"/>
    </w:rPr>
  </w:style>
  <w:style w:type="character" w:customStyle="1" w:styleId="Char1ff7">
    <w:name w:val="正文首行缩进 Char1"/>
    <w:rPr>
      <w:rFonts w:eastAsia="宋体"/>
      <w:kern w:val="2"/>
      <w:sz w:val="24"/>
      <w:szCs w:val="24"/>
      <w:lang w:val="en-US" w:eastAsia="zh-CN" w:bidi="ar-SA"/>
    </w:rPr>
  </w:style>
  <w:style w:type="character" w:customStyle="1" w:styleId="Charfffffffe">
    <w:name w:val="称呼 Char"/>
    <w:rPr>
      <w:rFonts w:eastAsia="宋体"/>
      <w:kern w:val="2"/>
      <w:sz w:val="21"/>
      <w:szCs w:val="24"/>
      <w:lang w:val="en-US" w:eastAsia="zh-CN" w:bidi="ar-SA"/>
    </w:rPr>
  </w:style>
  <w:style w:type="character" w:customStyle="1" w:styleId="Charffffffff">
    <w:name w:val="结束语 Char"/>
    <w:rPr>
      <w:rFonts w:eastAsia="宋体"/>
      <w:kern w:val="2"/>
      <w:sz w:val="21"/>
      <w:szCs w:val="24"/>
      <w:lang w:val="en-US" w:eastAsia="zh-CN" w:bidi="ar-SA"/>
    </w:rPr>
  </w:style>
  <w:style w:type="character" w:customStyle="1" w:styleId="CharChar74">
    <w:name w:val="Char Char74"/>
    <w:qFormat/>
    <w:rPr>
      <w:rFonts w:eastAsia="宋体"/>
      <w:kern w:val="2"/>
      <w:sz w:val="21"/>
      <w:szCs w:val="24"/>
      <w:lang w:val="en-US" w:eastAsia="zh-CN" w:bidi="ar-SA"/>
    </w:rPr>
  </w:style>
  <w:style w:type="character" w:customStyle="1" w:styleId="Charffffffff0">
    <w:name w:val="日期 Char"/>
    <w:uiPriority w:val="99"/>
    <w:qFormat/>
    <w:rPr>
      <w:rFonts w:eastAsia="宋体"/>
      <w:kern w:val="2"/>
      <w:sz w:val="21"/>
      <w:lang w:val="en-US" w:eastAsia="zh-CN" w:bidi="ar-SA"/>
    </w:rPr>
  </w:style>
  <w:style w:type="character" w:customStyle="1" w:styleId="CharChar94">
    <w:name w:val="Char Char94"/>
    <w:qFormat/>
    <w:rPr>
      <w:rFonts w:ascii="Arial" w:eastAsia="黑体" w:hAnsi="Arial"/>
      <w:sz w:val="24"/>
    </w:rPr>
  </w:style>
  <w:style w:type="character" w:customStyle="1" w:styleId="CharChar84">
    <w:name w:val="Char Char84"/>
    <w:rPr>
      <w:rFonts w:eastAsia="宋体"/>
      <w:kern w:val="2"/>
      <w:sz w:val="21"/>
      <w:szCs w:val="24"/>
      <w:lang w:val="en-US" w:eastAsia="zh-CN" w:bidi="ar-SA"/>
    </w:rPr>
  </w:style>
  <w:style w:type="character" w:customStyle="1" w:styleId="Charffffffff1">
    <w:name w:val="签名 Char"/>
    <w:rPr>
      <w:rFonts w:eastAsia="宋体"/>
      <w:kern w:val="2"/>
      <w:sz w:val="21"/>
      <w:szCs w:val="24"/>
      <w:lang w:val="en-US" w:eastAsia="zh-CN" w:bidi="ar-SA"/>
    </w:rPr>
  </w:style>
  <w:style w:type="character" w:customStyle="1" w:styleId="Charffffffff2">
    <w:name w:val="注释标题 Char"/>
    <w:rPr>
      <w:rFonts w:eastAsia="宋体"/>
      <w:kern w:val="2"/>
      <w:sz w:val="21"/>
      <w:szCs w:val="24"/>
      <w:lang w:val="en-US" w:eastAsia="zh-CN" w:bidi="ar-SA"/>
    </w:rPr>
  </w:style>
  <w:style w:type="paragraph" w:customStyle="1" w:styleId="1fffffff2">
    <w:name w:val="列表段落1"/>
    <w:basedOn w:val="a9"/>
    <w:qFormat/>
    <w:pPr>
      <w:widowControl/>
      <w:ind w:leftChars="200" w:left="480"/>
      <w:jc w:val="left"/>
    </w:pPr>
    <w:rPr>
      <w:rFonts w:ascii="Calibri" w:eastAsia="PMingLiU" w:hAnsi="Calibri" w:cs="宋体"/>
      <w:sz w:val="24"/>
      <w:szCs w:val="22"/>
      <w:lang w:eastAsia="zh-TW" w:bidi="ne-NP"/>
    </w:rPr>
  </w:style>
  <w:style w:type="paragraph" w:customStyle="1" w:styleId="CharCharCharChar15">
    <w:name w:val="Char Char Char Char15"/>
    <w:basedOn w:val="a9"/>
    <w:qFormat/>
    <w:pPr>
      <w:widowControl/>
    </w:pPr>
    <w:rPr>
      <w:rFonts w:cs="宋体"/>
      <w:sz w:val="24"/>
      <w:szCs w:val="24"/>
      <w:lang w:bidi="ne-NP"/>
    </w:rPr>
  </w:style>
  <w:style w:type="paragraph" w:customStyle="1" w:styleId="251">
    <w:name w:val="正文文本 25"/>
    <w:basedOn w:val="a9"/>
    <w:semiHidden/>
    <w:qFormat/>
    <w:pPr>
      <w:widowControl/>
      <w:autoSpaceDE w:val="0"/>
      <w:autoSpaceDN w:val="0"/>
      <w:adjustRightInd w:val="0"/>
      <w:spacing w:line="360" w:lineRule="atLeast"/>
      <w:ind w:firstLineChars="200" w:firstLine="454"/>
      <w:jc w:val="left"/>
      <w:textAlignment w:val="baseline"/>
    </w:pPr>
    <w:rPr>
      <w:rFonts w:ascii="宋体" w:eastAsia="仿宋_GB2312" w:hAnsi="Tms Rmn" w:cs="宋体"/>
      <w:spacing w:val="4"/>
      <w:sz w:val="28"/>
      <w:lang w:bidi="ne-NP"/>
    </w:rPr>
  </w:style>
  <w:style w:type="paragraph" w:customStyle="1" w:styleId="142">
    <w:name w:val="字元 字元14"/>
    <w:basedOn w:val="a9"/>
    <w:qFormat/>
    <w:pPr>
      <w:widowControl/>
      <w:spacing w:after="160" w:line="240" w:lineRule="exact"/>
      <w:jc w:val="left"/>
    </w:pPr>
    <w:rPr>
      <w:rFonts w:ascii="Verdana" w:hAnsi="Verdana" w:cs="宋体"/>
      <w:lang w:eastAsia="en-US" w:bidi="ne-NP"/>
    </w:rPr>
  </w:style>
  <w:style w:type="paragraph" w:customStyle="1" w:styleId="5fd">
    <w:name w:val="字元 字元5"/>
    <w:basedOn w:val="a9"/>
    <w:semiHidden/>
    <w:qFormat/>
    <w:pPr>
      <w:widowControl/>
    </w:pPr>
    <w:rPr>
      <w:rFonts w:cs="宋体"/>
      <w:sz w:val="24"/>
      <w:szCs w:val="24"/>
      <w:lang w:bidi="ne-NP"/>
    </w:rPr>
  </w:style>
  <w:style w:type="paragraph" w:customStyle="1" w:styleId="CharCharCharCharCharCharCharCharCharCharCharCharChar4">
    <w:name w:val="Char Char Char Char Char Char Char Char Char Char Char Char Char4"/>
    <w:basedOn w:val="a9"/>
    <w:qFormat/>
    <w:pPr>
      <w:widowControl/>
      <w:adjustRightInd w:val="0"/>
      <w:spacing w:line="360" w:lineRule="auto"/>
    </w:pPr>
    <w:rPr>
      <w:rFonts w:cs="宋体"/>
      <w:sz w:val="24"/>
      <w:szCs w:val="24"/>
      <w:lang w:bidi="ne-NP"/>
    </w:rPr>
  </w:style>
  <w:style w:type="paragraph" w:customStyle="1" w:styleId="Char1CharCharChar4">
    <w:name w:val="Char1 Char Char Char4"/>
    <w:basedOn w:val="a9"/>
    <w:qFormat/>
    <w:pPr>
      <w:widowControl/>
      <w:spacing w:after="160" w:line="240" w:lineRule="exact"/>
      <w:jc w:val="left"/>
    </w:pPr>
    <w:rPr>
      <w:rFonts w:ascii="Arial" w:eastAsia="Times New Roman" w:hAnsi="Arial" w:cs="Verdana"/>
      <w:b/>
      <w:sz w:val="24"/>
      <w:szCs w:val="24"/>
      <w:lang w:eastAsia="en-US" w:bidi="ne-NP"/>
    </w:rPr>
  </w:style>
  <w:style w:type="paragraph" w:customStyle="1" w:styleId="CharChar1Char7">
    <w:name w:val="Char Char1 Char7"/>
    <w:basedOn w:val="a9"/>
    <w:qFormat/>
    <w:pPr>
      <w:widowControl/>
      <w:spacing w:line="360" w:lineRule="auto"/>
      <w:ind w:firstLineChars="200" w:firstLine="200"/>
    </w:pPr>
    <w:rPr>
      <w:rFonts w:ascii="宋体" w:hAnsi="宋体" w:cs="宋体"/>
      <w:sz w:val="24"/>
      <w:szCs w:val="24"/>
      <w:lang w:bidi="ne-NP"/>
    </w:rPr>
  </w:style>
  <w:style w:type="paragraph" w:customStyle="1" w:styleId="CharCharCharCharCharChar4">
    <w:name w:val="Char Char Char Char Char Char4"/>
    <w:basedOn w:val="a9"/>
    <w:qFormat/>
    <w:pPr>
      <w:widowControl/>
    </w:pPr>
    <w:rPr>
      <w:rFonts w:cs="宋体"/>
      <w:sz w:val="24"/>
      <w:szCs w:val="24"/>
      <w:lang w:bidi="ne-NP"/>
    </w:rPr>
  </w:style>
  <w:style w:type="paragraph" w:customStyle="1" w:styleId="5fe">
    <w:name w:val="日期5"/>
    <w:basedOn w:val="a9"/>
    <w:next w:val="a9"/>
    <w:semiHidden/>
    <w:qFormat/>
    <w:pPr>
      <w:widowControl/>
      <w:adjustRightInd w:val="0"/>
      <w:spacing w:line="360" w:lineRule="auto"/>
      <w:ind w:firstLineChars="200" w:firstLine="576"/>
      <w:jc w:val="left"/>
      <w:textAlignment w:val="baseline"/>
    </w:pPr>
    <w:rPr>
      <w:rFonts w:ascii="仿宋_GB2312" w:eastAsia="仿宋_GB2312" w:cs="宋体"/>
      <w:spacing w:val="4"/>
      <w:kern w:val="18"/>
      <w:sz w:val="28"/>
      <w:lang w:bidi="ne-NP"/>
    </w:rPr>
  </w:style>
  <w:style w:type="paragraph" w:customStyle="1" w:styleId="252">
    <w:name w:val="正文文本缩进 25"/>
    <w:basedOn w:val="a9"/>
    <w:semiHidden/>
    <w:qFormat/>
    <w:pPr>
      <w:widowControl/>
      <w:autoSpaceDE w:val="0"/>
      <w:autoSpaceDN w:val="0"/>
      <w:adjustRightInd w:val="0"/>
      <w:spacing w:line="360" w:lineRule="auto"/>
      <w:ind w:firstLineChars="200" w:firstLine="570"/>
      <w:jc w:val="left"/>
      <w:textAlignment w:val="baseline"/>
    </w:pPr>
    <w:rPr>
      <w:rFonts w:ascii="宋体" w:eastAsia="仿宋_GB2312" w:hAnsi="Tms Rmn" w:cs="宋体"/>
      <w:spacing w:val="4"/>
      <w:sz w:val="28"/>
      <w:lang w:bidi="ne-NP"/>
    </w:rPr>
  </w:style>
  <w:style w:type="paragraph" w:customStyle="1" w:styleId="6b">
    <w:name w:val="纯文本6"/>
    <w:basedOn w:val="a9"/>
    <w:qFormat/>
    <w:pPr>
      <w:widowControl/>
      <w:adjustRightInd w:val="0"/>
      <w:textAlignment w:val="baseline"/>
    </w:pPr>
    <w:rPr>
      <w:rFonts w:ascii="宋体" w:cs="宋体"/>
      <w:sz w:val="24"/>
      <w:lang w:bidi="ne-NP"/>
    </w:rPr>
  </w:style>
  <w:style w:type="paragraph" w:customStyle="1" w:styleId="CharChar3CharCharCharChar4">
    <w:name w:val="Char Char3 Char Char Char Char4"/>
    <w:basedOn w:val="a9"/>
    <w:qFormat/>
    <w:rPr>
      <w:rFonts w:cs="宋体"/>
      <w:sz w:val="24"/>
      <w:szCs w:val="24"/>
    </w:rPr>
  </w:style>
  <w:style w:type="paragraph" w:customStyle="1" w:styleId="CharCharChar50">
    <w:name w:val="Char Char Char5"/>
    <w:basedOn w:val="a9"/>
    <w:qFormat/>
    <w:pPr>
      <w:widowControl/>
      <w:spacing w:afterLines="50" w:after="60" w:line="560" w:lineRule="exact"/>
    </w:pPr>
    <w:rPr>
      <w:rFonts w:eastAsia="黑体" w:cs="宋体"/>
      <w:sz w:val="30"/>
      <w:szCs w:val="30"/>
      <w:lang w:bidi="ne-NP"/>
    </w:rPr>
  </w:style>
  <w:style w:type="paragraph" w:customStyle="1" w:styleId="Char3CharCharChar9">
    <w:name w:val="Char3 Char Char Char9"/>
    <w:basedOn w:val="a9"/>
    <w:qFormat/>
    <w:pPr>
      <w:widowControl/>
      <w:spacing w:line="360" w:lineRule="auto"/>
      <w:ind w:firstLineChars="200" w:firstLine="200"/>
    </w:pPr>
    <w:rPr>
      <w:rFonts w:ascii="宋体" w:hAnsi="宋体" w:cs="宋体"/>
      <w:sz w:val="24"/>
      <w:szCs w:val="24"/>
      <w:lang w:bidi="ne-NP"/>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9"/>
    <w:qFormat/>
    <w:pPr>
      <w:widowControl/>
      <w:spacing w:line="360" w:lineRule="auto"/>
      <w:ind w:firstLineChars="200" w:firstLine="200"/>
    </w:pPr>
    <w:rPr>
      <w:rFonts w:ascii="宋体" w:hAnsi="宋体" w:cs="宋体"/>
      <w:sz w:val="24"/>
      <w:szCs w:val="24"/>
      <w:lang w:bidi="ne-NP"/>
    </w:rPr>
  </w:style>
  <w:style w:type="character" w:customStyle="1" w:styleId="x-">
    <w:name w:val="x-图表 字符"/>
    <w:link w:val="x-0"/>
    <w:qFormat/>
    <w:rPr>
      <w:rFonts w:ascii="Arial" w:hAnsi="Arial"/>
      <w:szCs w:val="21"/>
    </w:rPr>
  </w:style>
  <w:style w:type="paragraph" w:customStyle="1" w:styleId="x-0">
    <w:name w:val="x-图表"/>
    <w:basedOn w:val="a9"/>
    <w:link w:val="x-"/>
    <w:qFormat/>
    <w:pPr>
      <w:jc w:val="center"/>
    </w:pPr>
    <w:rPr>
      <w:rFonts w:ascii="Arial" w:hAnsi="Arial"/>
      <w:szCs w:val="21"/>
    </w:rPr>
  </w:style>
  <w:style w:type="paragraph" w:customStyle="1" w:styleId="affffffffffffffffffffffffff6">
    <w:name w:val="表格文本 小五 居中"/>
    <w:basedOn w:val="affffffff0"/>
    <w:pPr>
      <w:widowControl w:val="0"/>
      <w:spacing w:line="264" w:lineRule="auto"/>
    </w:pPr>
    <w:rPr>
      <w:rFonts w:ascii="Times New Roman" w:hAnsi="Times New Roman" w:cs="宋体"/>
      <w:kern w:val="2"/>
      <w:sz w:val="21"/>
      <w:szCs w:val="18"/>
    </w:rPr>
  </w:style>
  <w:style w:type="paragraph" w:customStyle="1" w:styleId="affffffffffffffffffffffffff7">
    <w:name w:val="君邦表格表头"/>
    <w:basedOn w:val="af6"/>
    <w:link w:val="affffffffffffffffffffffffff8"/>
    <w:qFormat/>
    <w:pPr>
      <w:keepNext/>
      <w:spacing w:beforeLines="50" w:before="50" w:after="0" w:line="360" w:lineRule="auto"/>
      <w:jc w:val="center"/>
    </w:pPr>
    <w:rPr>
      <w:rFonts w:cs="Times New Roman"/>
      <w:b/>
      <w:kern w:val="2"/>
      <w:sz w:val="24"/>
      <w:lang w:val="zh-CN"/>
    </w:rPr>
  </w:style>
  <w:style w:type="character" w:customStyle="1" w:styleId="2ffffa">
    <w:name w:val="未处理的提及2"/>
    <w:uiPriority w:val="99"/>
    <w:semiHidden/>
    <w:unhideWhenUsed/>
    <w:rPr>
      <w:color w:val="605E5C"/>
      <w:shd w:val="clear" w:color="auto" w:fill="E1DFDD"/>
    </w:rPr>
  </w:style>
  <w:style w:type="character" w:customStyle="1" w:styleId="affffffffffffffffffffffffff8">
    <w:name w:val="君邦表格表头 字符"/>
    <w:link w:val="affffffffffffffffffffffffff7"/>
    <w:rPr>
      <w:rFonts w:ascii="Arial" w:eastAsia="黑体" w:hAnsi="Arial"/>
      <w:b/>
      <w:kern w:val="2"/>
      <w:sz w:val="24"/>
      <w:lang w:val="zh-CN"/>
    </w:rPr>
  </w:style>
  <w:style w:type="paragraph" w:customStyle="1" w:styleId="innerbg">
    <w:name w:val="innerbg"/>
    <w:basedOn w:val="a9"/>
    <w:pPr>
      <w:widowControl/>
      <w:shd w:val="clear" w:color="auto" w:fill="F7F7F7"/>
      <w:jc w:val="left"/>
    </w:pPr>
    <w:rPr>
      <w:rFonts w:ascii="宋体" w:hAnsi="宋体" w:cs="宋体"/>
      <w:sz w:val="24"/>
      <w:szCs w:val="24"/>
    </w:rPr>
  </w:style>
  <w:style w:type="character" w:customStyle="1" w:styleId="Char2f5">
    <w:name w:val="批注文字 Char2"/>
    <w:qFormat/>
    <w:rPr>
      <w:kern w:val="2"/>
      <w:sz w:val="21"/>
      <w:szCs w:val="24"/>
    </w:rPr>
  </w:style>
  <w:style w:type="character" w:customStyle="1" w:styleId="Charffffffff3">
    <w:name w:val="题注 Char"/>
    <w:qFormat/>
    <w:rPr>
      <w:rFonts w:ascii="Times New Roman" w:eastAsia="黑体" w:hAnsi="Times New Roman" w:cs="Arial"/>
      <w:b/>
      <w:sz w:val="21"/>
      <w:szCs w:val="24"/>
    </w:rPr>
  </w:style>
  <w:style w:type="table" w:customStyle="1" w:styleId="5ff">
    <w:name w:val="君邦专用5"/>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62">
    <w:name w:val="网格型1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d">
    <w:name w:val="表格主题3"/>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彩色型 13"/>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34">
    <w:name w:val="彩色型 23"/>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2">
    <w:name w:val="彩色型 3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fe">
    <w:name w:val="典雅型3"/>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8">
    <w:name w:val="古典型 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古典型 2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3">
    <w:name w:val="古典型 3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31">
    <w:name w:val="古典型 43"/>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9">
    <w:name w:val="简明型 1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36">
    <w:name w:val="简明型 2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简明型 3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3">
    <w:name w:val="精巧型 14"/>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7">
    <w:name w:val="精巧型 23"/>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f6">
    <w:name w:val="立体型 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8">
    <w:name w:val="立体型 2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5">
    <w:name w:val="立体型 3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a">
    <w:name w:val="列表型 13"/>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列表型 23"/>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6">
    <w:name w:val="列表型 3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32">
    <w:name w:val="列表型 4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30">
    <w:name w:val="列表型 5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31">
    <w:name w:val="列表型 6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0">
    <w:name w:val="列表型 73"/>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30">
    <w:name w:val="列表型 8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
    <w:name w:val="流行型3"/>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b">
    <w:name w:val="竖列型 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2">
    <w:name w:val="竖列型 24"/>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7">
    <w:name w:val="竖列型 3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40">
    <w:name w:val="竖列型 44"/>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竖列型 53"/>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c">
    <w:name w:val="网格型 13"/>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a">
    <w:name w:val="网格型 23"/>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8">
    <w:name w:val="网格型 3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3">
    <w:name w:val="网格型 43"/>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32">
    <w:name w:val="网格型 53"/>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32">
    <w:name w:val="网格型 6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
    <w:name w:val="网格型 7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1">
    <w:name w:val="网格型 83"/>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3d">
    <w:name w:val="网页型 13"/>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b">
    <w:name w:val="网页型 23"/>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9">
    <w:name w:val="网页型 3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fff0">
    <w:name w:val="专业型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
    <w:name w:val="浅色底纹 - 着色 21"/>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2f6">
    <w:name w:val="页脚 Char2"/>
    <w:qFormat/>
    <w:rPr>
      <w:rFonts w:eastAsia="宋体"/>
      <w:kern w:val="2"/>
      <w:sz w:val="18"/>
      <w:szCs w:val="18"/>
      <w:lang w:val="en-US" w:eastAsia="zh-CN" w:bidi="ar-SA"/>
    </w:rPr>
  </w:style>
  <w:style w:type="character" w:customStyle="1" w:styleId="Char38">
    <w:name w:val="批注文字 Char3"/>
    <w:qFormat/>
    <w:rPr>
      <w:rFonts w:eastAsia="宋体"/>
      <w:kern w:val="2"/>
      <w:sz w:val="21"/>
      <w:szCs w:val="24"/>
      <w:lang w:val="en-US" w:eastAsia="zh-CN" w:bidi="ar-SA"/>
    </w:rPr>
  </w:style>
  <w:style w:type="character" w:customStyle="1" w:styleId="Char1ff8">
    <w:name w:val="页眉 Char1"/>
    <w:uiPriority w:val="99"/>
    <w:qFormat/>
    <w:rPr>
      <w:rFonts w:eastAsia="宋体"/>
      <w:kern w:val="2"/>
      <w:sz w:val="18"/>
      <w:szCs w:val="18"/>
      <w:lang w:val="en-US" w:eastAsia="zh-CN" w:bidi="ar-SA"/>
    </w:rPr>
  </w:style>
  <w:style w:type="table" w:customStyle="1" w:styleId="171">
    <w:name w:val="网格型17"/>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君邦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c">
    <w:name w:val="君邦专用6"/>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3c">
    <w:name w:val="表格样式2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f">
    <w:name w:val="表格样式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2">
    <w:name w:val="三线表4"/>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60">
    <w:name w:val="网格型11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d">
    <w:name w:val="网格型23"/>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网格型12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网格型111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网格型1123"/>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网格型1133"/>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精巧型 11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0">
    <w:name w:val="立体型 2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0">
    <w:name w:val="立体型 31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1">
    <w:name w:val="竖列型 21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40">
    <w:name w:val="竖列型 41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7">
    <w:name w:val="三线表1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2ffffb">
    <w:name w:val="君邦表格2"/>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2ffffc">
    <w:name w:val="君邦表格（表）2"/>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1111">
    <w:name w:val="网格型111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网格型112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网格型113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3">
    <w:name w:val="网格型!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表格主题11"/>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彩色型 1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24">
    <w:name w:val="彩色型 21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21">
    <w:name w:val="彩色型 31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f8">
    <w:name w:val="典雅型1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9">
    <w:name w:val="古典型 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5">
    <w:name w:val="古典型 2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22">
    <w:name w:val="古典型 31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21">
    <w:name w:val="古典型 41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a">
    <w:name w:val="简明型 1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6">
    <w:name w:val="简明型 2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3">
    <w:name w:val="简明型 3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27">
    <w:name w:val="精巧型 21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b">
    <w:name w:val="立体型 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c">
    <w:name w:val="列表型 1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8">
    <w:name w:val="列表型 21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4">
    <w:name w:val="列表型 31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22">
    <w:name w:val="列表型 4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20">
    <w:name w:val="列表型 5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20">
    <w:name w:val="列表型 6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0">
    <w:name w:val="列表型 71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20">
    <w:name w:val="列表型 8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2f9">
    <w:name w:val="流行型1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2d">
    <w:name w:val="竖列型 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5">
    <w:name w:val="竖列型 31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21">
    <w:name w:val="竖列型 51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e">
    <w:name w:val="网格型 112"/>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9">
    <w:name w:val="网格型 21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26">
    <w:name w:val="网格型 31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3">
    <w:name w:val="网格型 41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13">
    <w:name w:val="网格型 511"/>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21">
    <w:name w:val="网格型 6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1">
    <w:name w:val="网格型 81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2f">
    <w:name w:val="网页型 1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2a">
    <w:name w:val="网页型 21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7">
    <w:name w:val="网页型 31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2fa">
    <w:name w:val="专业型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20">
    <w:name w:val="网格型132"/>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君邦1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5">
    <w:name w:val="君邦专用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表格样式2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f0">
    <w:name w:val="表格样式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0">
    <w:name w:val="网格型11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c">
    <w:name w:val="网格型211"/>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网格型12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君邦表格11"/>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ff7">
    <w:name w:val="君邦表格（表）11"/>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41130">
    <w:name w:val="列表型 4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32">
    <w:name w:val="简明型 1113"/>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33">
    <w:name w:val="彩色型 1113"/>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31">
    <w:name w:val="彩色型 2113"/>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30">
    <w:name w:val="彩色型 3113"/>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35">
    <w:name w:val="典雅型113"/>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4">
    <w:name w:val="古典型 1113"/>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2">
    <w:name w:val="古典型 2113"/>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1">
    <w:name w:val="古典型 3113"/>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1">
    <w:name w:val="古典型 4113"/>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33">
    <w:name w:val="简明型 2113"/>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2">
    <w:name w:val="简明型 3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35">
    <w:name w:val="精巧型 111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4">
    <w:name w:val="精巧型 2113"/>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36">
    <w:name w:val="立体型 11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35">
    <w:name w:val="立体型 21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33">
    <w:name w:val="立体型 3113"/>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37">
    <w:name w:val="列表型 1113"/>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6">
    <w:name w:val="列表型 2113"/>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34">
    <w:name w:val="列表型 3113"/>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30">
    <w:name w:val="列表型 5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3">
    <w:name w:val="列表型 6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3">
    <w:name w:val="列表型 7113"/>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3">
    <w:name w:val="列表型 8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36">
    <w:name w:val="流行型113"/>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38">
    <w:name w:val="竖列型 1113"/>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7">
    <w:name w:val="竖列型 211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35">
    <w:name w:val="竖列型 3113"/>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32">
    <w:name w:val="竖列型 411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竖列型 5113"/>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39">
    <w:name w:val="网格型 1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38">
    <w:name w:val="网格型 2113"/>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36">
    <w:name w:val="网格型 3113"/>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3">
    <w:name w:val="网格型 4113"/>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3e">
    <w:name w:val="君邦2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30">
    <w:name w:val="网格型 6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30">
    <w:name w:val="网格型 7113"/>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0">
    <w:name w:val="网格型 8113"/>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a">
    <w:name w:val="网页型 1113"/>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39">
    <w:name w:val="网页型 2113"/>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37">
    <w:name w:val="网页型 3113"/>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37">
    <w:name w:val="专业型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41">
    <w:name w:val="君邦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40">
    <w:name w:val="表格样式2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f0">
    <w:name w:val="三线表11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2d">
    <w:name w:val="网格型3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网格型14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精巧型 12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0">
    <w:name w:val="立体型 22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0">
    <w:name w:val="立体型 32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1">
    <w:name w:val="竖列型 22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0">
    <w:name w:val="竖列型 42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fc">
    <w:name w:val="三线表2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10">
    <w:name w:val="网格型111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网格型112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网格型113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君邦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0">
    <w:name w:val="表格样式2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b">
    <w:name w:val="表格样式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30">
    <w:name w:val="君邦1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30">
    <w:name w:val="表格样式2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6">
    <w:name w:val="网格型42"/>
    <w:basedOn w:val="ac"/>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d">
    <w:name w:val="表格主题21"/>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03">
    <w:name w:val="君邦-1.03"/>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character" w:customStyle="1" w:styleId="z-Char3">
    <w:name w:val="z-窗体顶端 Char3"/>
    <w:link w:val="z-31"/>
    <w:qFormat/>
    <w:rPr>
      <w:rFonts w:ascii="Arial" w:hAnsi="Arial" w:cs="Arial"/>
      <w:vanish/>
      <w:sz w:val="16"/>
      <w:szCs w:val="16"/>
    </w:rPr>
  </w:style>
  <w:style w:type="paragraph" w:customStyle="1" w:styleId="z-31">
    <w:name w:val="z-窗体顶端31"/>
    <w:basedOn w:val="a9"/>
    <w:next w:val="a9"/>
    <w:link w:val="z-Char3"/>
    <w:pPr>
      <w:widowControl/>
      <w:pBdr>
        <w:bottom w:val="single" w:sz="6" w:space="1" w:color="auto"/>
      </w:pBdr>
      <w:spacing w:line="0" w:lineRule="atLeast"/>
      <w:jc w:val="center"/>
    </w:pPr>
    <w:rPr>
      <w:rFonts w:ascii="Arial" w:hAnsi="Arial" w:cs="Arial"/>
      <w:vanish/>
      <w:sz w:val="16"/>
      <w:szCs w:val="16"/>
    </w:rPr>
  </w:style>
  <w:style w:type="character" w:customStyle="1" w:styleId="z-Char30">
    <w:name w:val="z-窗体底端 Char3"/>
    <w:link w:val="z-310"/>
    <w:qFormat/>
    <w:rPr>
      <w:rFonts w:ascii="Arial" w:hAnsi="Arial" w:cs="Arial"/>
      <w:vanish/>
      <w:sz w:val="16"/>
      <w:szCs w:val="16"/>
    </w:rPr>
  </w:style>
  <w:style w:type="paragraph" w:customStyle="1" w:styleId="z-310">
    <w:name w:val="z-窗体底端31"/>
    <w:basedOn w:val="a9"/>
    <w:next w:val="a9"/>
    <w:link w:val="z-Char30"/>
    <w:pPr>
      <w:widowControl/>
      <w:pBdr>
        <w:top w:val="single" w:sz="6" w:space="1" w:color="auto"/>
      </w:pBdr>
      <w:spacing w:line="0" w:lineRule="atLeast"/>
      <w:jc w:val="center"/>
    </w:pPr>
    <w:rPr>
      <w:rFonts w:ascii="Arial" w:hAnsi="Arial" w:cs="Arial"/>
      <w:vanish/>
      <w:sz w:val="16"/>
      <w:szCs w:val="16"/>
    </w:rPr>
  </w:style>
  <w:style w:type="table" w:customStyle="1" w:styleId="523">
    <w:name w:val="网格型52"/>
    <w:basedOn w:val="ac"/>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f5">
    <w:name w:val="君邦专用2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精巧型 112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11">
    <w:name w:val="立体型 212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10">
    <w:name w:val="立体型 31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12">
    <w:name w:val="竖列型 212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10">
    <w:name w:val="竖列型 41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10">
    <w:name w:val="列表型 4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12">
    <w:name w:val="简明型 111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13">
    <w:name w:val="彩色型 111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11">
    <w:name w:val="彩色型 2111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10">
    <w:name w:val="彩色型 3111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1c">
    <w:name w:val="典雅型111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14">
    <w:name w:val="古典型 1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12">
    <w:name w:val="古典型 2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11">
    <w:name w:val="古典型 3111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11">
    <w:name w:val="古典型 4111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13">
    <w:name w:val="简明型 21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12">
    <w:name w:val="简明型 3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15">
    <w:name w:val="精巧型 111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14">
    <w:name w:val="精巧型 2111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16">
    <w:name w:val="立体型 1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15">
    <w:name w:val="立体型 2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13">
    <w:name w:val="立体型 31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17">
    <w:name w:val="列表型 111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16">
    <w:name w:val="列表型 2111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14">
    <w:name w:val="列表型 3111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10">
    <w:name w:val="列表型 5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10">
    <w:name w:val="列表型 6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10">
    <w:name w:val="列表型 7111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10">
    <w:name w:val="列表型 8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1d">
    <w:name w:val="流行型111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18">
    <w:name w:val="竖列型 1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17">
    <w:name w:val="竖列型 211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15">
    <w:name w:val="竖列型 3111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12">
    <w:name w:val="竖列型 411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竖列型 5111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19">
    <w:name w:val="网格型 1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18">
    <w:name w:val="网格型 2111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16">
    <w:name w:val="网格型 3111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13">
    <w:name w:val="网格型 4111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1d">
    <w:name w:val="君邦2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11">
    <w:name w:val="网格型 6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1">
    <w:name w:val="网格型 7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1">
    <w:name w:val="网格型 8111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a">
    <w:name w:val="网页型 111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19">
    <w:name w:val="网页型 2111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17">
    <w:name w:val="网页型 3111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1e">
    <w:name w:val="专业型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11">
    <w:name w:val="君邦1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10">
    <w:name w:val="表格样式2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1">
    <w:name w:val="精巧型 12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0">
    <w:name w:val="立体型 22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0">
    <w:name w:val="立体型 32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1">
    <w:name w:val="竖列型 22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1">
    <w:name w:val="竖列型 42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10">
    <w:name w:val="君邦1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10">
    <w:name w:val="表格样式2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1">
    <w:name w:val="君邦-1.011"/>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7">
    <w:name w:val="TableGrid7"/>
    <w:qFormat/>
    <w:tblPr>
      <w:tblCellMar>
        <w:top w:w="0" w:type="dxa"/>
        <w:left w:w="0" w:type="dxa"/>
        <w:bottom w:w="0" w:type="dxa"/>
        <w:right w:w="0" w:type="dxa"/>
      </w:tblCellMar>
    </w:tblPr>
  </w:style>
  <w:style w:type="table" w:customStyle="1" w:styleId="32e">
    <w:name w:val="君邦专用3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精巧型 113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0">
    <w:name w:val="立体型 213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1">
    <w:name w:val="立体型 313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1">
    <w:name w:val="竖列型 213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1">
    <w:name w:val="竖列型 413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10">
    <w:name w:val="列表型 4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12">
    <w:name w:val="简明型 11121"/>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13">
    <w:name w:val="彩色型 11121"/>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11">
    <w:name w:val="彩色型 21121"/>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10">
    <w:name w:val="彩色型 31121"/>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13">
    <w:name w:val="典雅型1121"/>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14">
    <w:name w:val="古典型 1112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12">
    <w:name w:val="古典型 2112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11">
    <w:name w:val="古典型 31121"/>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11">
    <w:name w:val="古典型 41121"/>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13">
    <w:name w:val="简明型 2112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12">
    <w:name w:val="简明型 3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15">
    <w:name w:val="精巧型 1112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14">
    <w:name w:val="精巧型 21121"/>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16">
    <w:name w:val="立体型 111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15">
    <w:name w:val="立体型 211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13">
    <w:name w:val="立体型 3112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17">
    <w:name w:val="列表型 11121"/>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16">
    <w:name w:val="列表型 21121"/>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14">
    <w:name w:val="列表型 31121"/>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1">
    <w:name w:val="列表型 5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1">
    <w:name w:val="列表型 6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1">
    <w:name w:val="列表型 71121"/>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1">
    <w:name w:val="列表型 8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14">
    <w:name w:val="流行型1121"/>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18">
    <w:name w:val="竖列型 1112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17">
    <w:name w:val="竖列型 211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15">
    <w:name w:val="竖列型 31121"/>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12">
    <w:name w:val="竖列型 411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0">
    <w:name w:val="竖列型 51121"/>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19">
    <w:name w:val="网格型 1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18">
    <w:name w:val="网格型 21121"/>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16">
    <w:name w:val="网格型 31121"/>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13">
    <w:name w:val="网格型 41121"/>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12">
    <w:name w:val="君邦2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10">
    <w:name w:val="网格型 6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10">
    <w:name w:val="网格型 7112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10">
    <w:name w:val="网格型 81121"/>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a">
    <w:name w:val="网页型 11121"/>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19">
    <w:name w:val="网页型 21121"/>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17">
    <w:name w:val="网页型 31121"/>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15">
    <w:name w:val="专业型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10">
    <w:name w:val="君邦1113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10">
    <w:name w:val="表格样式2113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0">
    <w:name w:val="精巧型 122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0">
    <w:name w:val="立体型 22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0">
    <w:name w:val="立体型 32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1">
    <w:name w:val="竖列型 22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1">
    <w:name w:val="竖列型 422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1">
    <w:name w:val="君邦111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1">
    <w:name w:val="表格样式211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1">
    <w:name w:val="君邦-1.021"/>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11">
    <w:name w:val="TableGrid11"/>
    <w:rPr>
      <w:rFonts w:ascii="等线" w:eastAsia="等线" w:hAnsi="等线"/>
    </w:rPr>
    <w:tblPr>
      <w:tblCellMar>
        <w:top w:w="0" w:type="dxa"/>
        <w:left w:w="0" w:type="dxa"/>
        <w:bottom w:w="0" w:type="dxa"/>
        <w:right w:w="0" w:type="dxa"/>
      </w:tblCellMar>
    </w:tblPr>
  </w:style>
  <w:style w:type="table" w:customStyle="1" w:styleId="TableGrid21">
    <w:name w:val="TableGrid21"/>
    <w:rPr>
      <w:rFonts w:ascii="等线" w:eastAsia="等线" w:hAnsi="等线"/>
    </w:rPr>
    <w:tblPr>
      <w:tblCellMar>
        <w:top w:w="0" w:type="dxa"/>
        <w:left w:w="0" w:type="dxa"/>
        <w:bottom w:w="0" w:type="dxa"/>
        <w:right w:w="0" w:type="dxa"/>
      </w:tblCellMar>
    </w:tblPr>
  </w:style>
  <w:style w:type="table" w:customStyle="1" w:styleId="TableGrid31">
    <w:name w:val="TableGrid31"/>
    <w:rPr>
      <w:rFonts w:ascii="等线" w:eastAsia="等线" w:hAnsi="等线"/>
    </w:rPr>
    <w:tblPr>
      <w:tblCellMar>
        <w:top w:w="0" w:type="dxa"/>
        <w:left w:w="0" w:type="dxa"/>
        <w:bottom w:w="0" w:type="dxa"/>
        <w:right w:w="0" w:type="dxa"/>
      </w:tblCellMar>
    </w:tblPr>
  </w:style>
  <w:style w:type="table" w:customStyle="1" w:styleId="TableGrid41">
    <w:name w:val="TableGrid41"/>
    <w:rPr>
      <w:rFonts w:ascii="等线" w:eastAsia="等线" w:hAnsi="等线"/>
    </w:rPr>
    <w:tblPr>
      <w:tblCellMar>
        <w:top w:w="0" w:type="dxa"/>
        <w:left w:w="0" w:type="dxa"/>
        <w:bottom w:w="0" w:type="dxa"/>
        <w:right w:w="0" w:type="dxa"/>
      </w:tblCellMar>
    </w:tblPr>
  </w:style>
  <w:style w:type="table" w:customStyle="1" w:styleId="TableGrid51">
    <w:name w:val="TableGrid51"/>
    <w:rPr>
      <w:rFonts w:ascii="等线" w:eastAsia="等线" w:hAnsi="等线"/>
    </w:rPr>
    <w:tblPr>
      <w:tblCellMar>
        <w:top w:w="0" w:type="dxa"/>
        <w:left w:w="0" w:type="dxa"/>
        <w:bottom w:w="0" w:type="dxa"/>
        <w:right w:w="0" w:type="dxa"/>
      </w:tblCellMar>
    </w:tblPr>
  </w:style>
  <w:style w:type="paragraph" w:customStyle="1" w:styleId="31f5">
    <w:name w:val="修订31"/>
    <w:hidden/>
    <w:uiPriority w:val="99"/>
    <w:semiHidden/>
    <w:rPr>
      <w:kern w:val="2"/>
      <w:sz w:val="21"/>
      <w:szCs w:val="24"/>
    </w:rPr>
  </w:style>
  <w:style w:type="table" w:customStyle="1" w:styleId="4210">
    <w:name w:val="列表型 4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13">
    <w:name w:val="简明型 12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14">
    <w:name w:val="彩色型 12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13">
    <w:name w:val="彩色型 22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2">
    <w:name w:val="彩色型 32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e">
    <w:name w:val="典雅型2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5">
    <w:name w:val="古典型 1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4">
    <w:name w:val="古典型 2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3">
    <w:name w:val="古典型 32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2">
    <w:name w:val="古典型 42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15">
    <w:name w:val="简明型 2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4">
    <w:name w:val="简明型 3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2">
    <w:name w:val="精巧型 13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6">
    <w:name w:val="精巧型 22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6">
    <w:name w:val="列表型 12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7">
    <w:name w:val="列表型 22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5">
    <w:name w:val="列表型 32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0">
    <w:name w:val="列表型 5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0">
    <w:name w:val="列表型 6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0">
    <w:name w:val="列表型 72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0">
    <w:name w:val="列表型 8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f">
    <w:name w:val="流行型2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7">
    <w:name w:val="竖列型 12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0">
    <w:name w:val="竖列型 23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6">
    <w:name w:val="竖列型 32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0">
    <w:name w:val="竖列型 43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竖列型 52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8">
    <w:name w:val="网格型 1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8">
    <w:name w:val="网格型 22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7">
    <w:name w:val="网格型 32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
    <w:name w:val="网格型 42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12">
    <w:name w:val="网格型 5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1">
    <w:name w:val="网格型 6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网格型 82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9">
    <w:name w:val="网页型 12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9">
    <w:name w:val="网页型 22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8">
    <w:name w:val="网页型 32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f0">
    <w:name w:val="专业型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a">
    <w:name w:val="表格样式121"/>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君邦专用41"/>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AA1">
    <w:name w:val="AAA1"/>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character" w:customStyle="1" w:styleId="z-Char4">
    <w:name w:val="z-窗体顶端 Char4"/>
    <w:uiPriority w:val="99"/>
    <w:semiHidden/>
    <w:rPr>
      <w:rFonts w:ascii="Arial" w:eastAsia="宋体" w:hAnsi="Arial" w:cs="Arial"/>
      <w:vanish/>
      <w:sz w:val="16"/>
      <w:szCs w:val="16"/>
    </w:rPr>
  </w:style>
  <w:style w:type="character" w:customStyle="1" w:styleId="z-Char40">
    <w:name w:val="z-窗体底端 Char4"/>
    <w:uiPriority w:val="99"/>
    <w:semiHidden/>
    <w:rPr>
      <w:rFonts w:ascii="Arial" w:eastAsia="宋体" w:hAnsi="Arial" w:cs="Arial"/>
      <w:vanish/>
      <w:sz w:val="16"/>
      <w:szCs w:val="16"/>
    </w:rPr>
  </w:style>
  <w:style w:type="table" w:customStyle="1" w:styleId="1fffffff3">
    <w:name w:val="表格样式智汇元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ff8">
    <w:name w:val="浅色底纹11"/>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8">
    <w:name w:val="网格型3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型4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网格型5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623">
    <w:name w:val="网格型6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网格型7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网格型8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1">
    <w:name w:val="Table Normal4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21">
    <w:name w:val="Table Normal2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fffffff4">
    <w:name w:val="设计院1"/>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1151">
    <w:name w:val="网格型1151"/>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网格型122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网格型1113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9">
    <w:name w:val="无格式表格 312"/>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ffffd">
    <w:name w:val="三线格2"/>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TableNormal51">
    <w:name w:val="Table Normal5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21110">
    <w:name w:val="网格型12111"/>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a">
    <w:name w:val="网格型22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8">
    <w:name w:val="网格型31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浅色底纹 - 强调文字颜色 211"/>
    <w:basedOn w:val="ac"/>
    <w:uiPriority w:val="60"/>
    <w:qFormat/>
    <w:rPr>
      <w:rFonts w:ascii="Calibri" w:hAnsi="Calibri"/>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5">
    <w:name w:val="无格式表格 511"/>
    <w:basedOn w:val="ac"/>
    <w:uiPriority w:val="45"/>
    <w:qFormat/>
    <w:rPr>
      <w:rFonts w:ascii="Calibri" w:hAnsi="Calibri"/>
    </w:rPr>
    <w:tblPr>
      <w:tblInd w:w="0" w:type="dxa"/>
      <w:tblCellMar>
        <w:top w:w="0" w:type="dxa"/>
        <w:left w:w="108" w:type="dxa"/>
        <w:bottom w:w="0" w:type="dxa"/>
        <w:right w:w="108" w:type="dxa"/>
      </w:tblCellMar>
    </w:tblPr>
    <w:tblStylePr w:type="firstRow">
      <w:rPr>
        <w:rFonts w:ascii="仿宋_GB2312" w:eastAsia="宋体" w:hAnsi="仿宋_GB2312" w:cs="Times New Roman"/>
        <w:i/>
        <w:iCs/>
        <w:sz w:val="26"/>
      </w:rPr>
      <w:tblPr/>
      <w:tcPr>
        <w:tcBorders>
          <w:bottom w:val="single" w:sz="4" w:space="0" w:color="7F7F7F"/>
        </w:tcBorders>
        <w:shd w:val="clear" w:color="auto" w:fill="FFFFFF"/>
      </w:tcPr>
    </w:tblStylePr>
    <w:tblStylePr w:type="lastRow">
      <w:rPr>
        <w:rFonts w:ascii="仿宋_GB2312" w:eastAsia="宋体" w:hAnsi="仿宋_GB2312" w:cs="Times New Roman"/>
        <w:i/>
        <w:iCs/>
        <w:sz w:val="26"/>
      </w:rPr>
      <w:tblPr/>
      <w:tcPr>
        <w:tcBorders>
          <w:top w:val="single" w:sz="4" w:space="0" w:color="7F7F7F"/>
        </w:tcBorders>
        <w:shd w:val="clear" w:color="auto" w:fill="FFFFFF"/>
      </w:tcPr>
    </w:tblStylePr>
    <w:tblStylePr w:type="firstCol">
      <w:pPr>
        <w:jc w:val="right"/>
      </w:pPr>
      <w:rPr>
        <w:rFonts w:ascii="仿宋_GB2312" w:eastAsia="宋体" w:hAnsi="仿宋_GB2312" w:cs="Times New Roman"/>
        <w:i/>
        <w:iCs/>
        <w:sz w:val="26"/>
      </w:rPr>
      <w:tblPr/>
      <w:tcPr>
        <w:tcBorders>
          <w:right w:val="single" w:sz="4" w:space="0" w:color="7F7F7F"/>
        </w:tcBorders>
        <w:shd w:val="clear" w:color="auto" w:fill="FFFFFF"/>
      </w:tcPr>
    </w:tblStylePr>
    <w:tblStylePr w:type="lastCol">
      <w:rPr>
        <w:rFonts w:ascii="仿宋_GB2312" w:eastAsia="宋体" w:hAnsi="仿宋_GB2312"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19">
    <w:name w:val="无格式表格 3111"/>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01">
    <w:name w:val="样式1101"/>
    <w:basedOn w:val="ac"/>
    <w:uiPriority w:val="9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14">
    <w:name w:val="网格型6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网格型13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网格型7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网格型14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智汇元表格样式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11">
    <w:name w:val="网格型91"/>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e">
    <w:name w:val="君邦专用21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b">
    <w:name w:val="君邦专用31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网格型101"/>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9">
    <w:name w:val="三线格11"/>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1fffffff6">
    <w:name w:val="表格格式1"/>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31f6">
    <w:name w:val="三线表31"/>
    <w:basedOn w:val="ac"/>
    <w:pPr>
      <w:widowControl w:val="0"/>
      <w:spacing w:afterLines="50"/>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1b">
    <w:name w:val="君邦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b">
    <w:name w:val="表格样式2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1">
    <w:name w:val="TableGrid61"/>
    <w:qFormat/>
    <w:pPr>
      <w:spacing w:after="60"/>
      <w:jc w:val="both"/>
    </w:pPr>
    <w:tblPr>
      <w:tblCellMar>
        <w:top w:w="0" w:type="dxa"/>
        <w:left w:w="0" w:type="dxa"/>
        <w:bottom w:w="0" w:type="dxa"/>
        <w:right w:w="0" w:type="dxa"/>
      </w:tblCellMar>
    </w:tblPr>
  </w:style>
  <w:style w:type="character" w:customStyle="1" w:styleId="3fff1">
    <w:name w:val="未处理的提及3"/>
    <w:uiPriority w:val="99"/>
    <w:semiHidden/>
    <w:unhideWhenUsed/>
    <w:rPr>
      <w:color w:val="605E5C"/>
      <w:shd w:val="clear" w:color="auto" w:fill="E1DFDD"/>
    </w:rPr>
  </w:style>
  <w:style w:type="table" w:customStyle="1" w:styleId="lgy1">
    <w:name w:val="三线表lgy"/>
    <w:basedOn w:val="ac"/>
    <w:uiPriority w:val="99"/>
    <w:qFormat/>
    <w:pPr>
      <w:jc w:val="center"/>
    </w:pPr>
    <w:rPr>
      <w:rFonts w:eastAsia="楷体_GB2312"/>
      <w:sz w:val="18"/>
    </w:rPr>
    <w:tblPr>
      <w:jc w:val="cente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eastAsia="宋体"/>
        <w:sz w:val="21"/>
      </w:rPr>
      <w:tblPr/>
      <w:tcPr>
        <w:tcBorders>
          <w:top w:val="single" w:sz="4" w:space="0" w:color="auto"/>
          <w:bottom w:val="single" w:sz="4" w:space="0" w:color="auto"/>
          <w:insideH w:val="nil"/>
          <w:insideV w:val="single" w:sz="4" w:space="0" w:color="auto"/>
        </w:tcBorders>
      </w:tcPr>
    </w:tblStylePr>
    <w:tblStylePr w:type="lastRow">
      <w:pPr>
        <w:jc w:val="center"/>
      </w:pPr>
      <w:tblPr/>
      <w:tcPr>
        <w:tcBorders>
          <w:top w:val="single" w:sz="8" w:space="0" w:color="auto"/>
          <w:left w:val="nil"/>
          <w:bottom w:val="single" w:sz="4" w:space="0" w:color="auto"/>
          <w:right w:val="nil"/>
          <w:insideH w:val="nil"/>
          <w:insideV w:val="single" w:sz="8" w:space="0" w:color="auto"/>
          <w:tl2br w:val="nil"/>
          <w:tr2bl w:val="nil"/>
        </w:tcBorders>
      </w:tcPr>
    </w:tblStylePr>
  </w:style>
  <w:style w:type="table" w:customStyle="1" w:styleId="181">
    <w:name w:val="网格型18"/>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3">
    <w:name w:val="表格主题4"/>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彩色型 14"/>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43">
    <w:name w:val="彩色型 24"/>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41">
    <w:name w:val="彩色型 34"/>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ff4">
    <w:name w:val="典雅型4"/>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5">
    <w:name w:val="古典型 14"/>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4">
    <w:name w:val="古典型 24"/>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42">
    <w:name w:val="古典型 34"/>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41">
    <w:name w:val="古典型 44"/>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6">
    <w:name w:val="简明型 14"/>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45">
    <w:name w:val="简明型 2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3">
    <w:name w:val="简明型 3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5a">
    <w:name w:val="精巧型 15"/>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6">
    <w:name w:val="精巧型 24"/>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f0">
    <w:name w:val="立体型 1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47">
    <w:name w:val="立体型 24"/>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4">
    <w:name w:val="立体型 3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7">
    <w:name w:val="列表型 14"/>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8">
    <w:name w:val="列表型 24"/>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5">
    <w:name w:val="列表型 34"/>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42">
    <w:name w:val="列表型 4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40">
    <w:name w:val="列表型 5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40">
    <w:name w:val="列表型 6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0">
    <w:name w:val="列表型 74"/>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40">
    <w:name w:val="列表型 8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ff5">
    <w:name w:val="流行型4"/>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8">
    <w:name w:val="竖列型 14"/>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3">
    <w:name w:val="竖列型 25"/>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6">
    <w:name w:val="竖列型 34"/>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50">
    <w:name w:val="竖列型 45"/>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竖列型 54"/>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9">
    <w:name w:val="网格型 14"/>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9">
    <w:name w:val="网格型 24"/>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47">
    <w:name w:val="网格型 34"/>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3">
    <w:name w:val="网格型 44"/>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2">
    <w:name w:val="网格型 54"/>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1">
    <w:name w:val="网格型 6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1">
    <w:name w:val="网格型 74"/>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1">
    <w:name w:val="网格型 84"/>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4a">
    <w:name w:val="网页型 14"/>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4a">
    <w:name w:val="网页型 24"/>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8">
    <w:name w:val="网页型 34"/>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f6">
    <w:name w:val="专业型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
    <w:name w:val="浅色底纹 - 着色 22"/>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90">
    <w:name w:val="网格型19"/>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b">
    <w:name w:val="君邦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9">
    <w:name w:val="君邦专用7"/>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4b">
    <w:name w:val="表格样式2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c">
    <w:name w:val="表格样式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f0">
    <w:name w:val="三线表5"/>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70">
    <w:name w:val="网格型117"/>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c">
    <w:name w:val="网格型24"/>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网格型12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网格型1115"/>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网格型112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0">
    <w:name w:val="网格型113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精巧型 115"/>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50">
    <w:name w:val="立体型 215"/>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50">
    <w:name w:val="立体型 315"/>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51">
    <w:name w:val="竖列型 215"/>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50">
    <w:name w:val="竖列型 415"/>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f1">
    <w:name w:val="三线表13"/>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fff2">
    <w:name w:val="君邦表格3"/>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3fff3">
    <w:name w:val="君邦表格（表）3"/>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1122">
    <w:name w:val="网格型111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网格型112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网格型113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b">
    <w:name w:val="网格型!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c">
    <w:name w:val="表格主题12"/>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彩色型 113"/>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33">
    <w:name w:val="彩色型 213"/>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32">
    <w:name w:val="彩色型 31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f2">
    <w:name w:val="典雅型13"/>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9">
    <w:name w:val="古典型 1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4">
    <w:name w:val="古典型 2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33">
    <w:name w:val="古典型 31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32">
    <w:name w:val="古典型 413"/>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a">
    <w:name w:val="简明型 11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35">
    <w:name w:val="简明型 21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4">
    <w:name w:val="简明型 3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36">
    <w:name w:val="精巧型 213"/>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b">
    <w:name w:val="立体型 11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c">
    <w:name w:val="列表型 113"/>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7">
    <w:name w:val="列表型 213"/>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5">
    <w:name w:val="列表型 31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33">
    <w:name w:val="列表型 4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30">
    <w:name w:val="列表型 5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30">
    <w:name w:val="列表型 6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0">
    <w:name w:val="列表型 713"/>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30">
    <w:name w:val="列表型 8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3f3">
    <w:name w:val="流行型13"/>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3d">
    <w:name w:val="竖列型 1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6">
    <w:name w:val="竖列型 31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31">
    <w:name w:val="竖列型 513"/>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e">
    <w:name w:val="网格型 113"/>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8">
    <w:name w:val="网格型 213"/>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37">
    <w:name w:val="网格型 31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34">
    <w:name w:val="网格型 413"/>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22">
    <w:name w:val="网格型 512"/>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31">
    <w:name w:val="网格型 6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1">
    <w:name w:val="网格型 7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31">
    <w:name w:val="网格型 813"/>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3f">
    <w:name w:val="网页型 113"/>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39">
    <w:name w:val="网页型 213"/>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38">
    <w:name w:val="网页型 31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f4">
    <w:name w:val="专业型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30">
    <w:name w:val="网格型133"/>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君邦1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d">
    <w:name w:val="君邦专用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表格样式2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f0">
    <w:name w:val="表格样式1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20">
    <w:name w:val="网格型114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b">
    <w:name w:val="网格型212"/>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网格型12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e">
    <w:name w:val="君邦表格12"/>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2ff">
    <w:name w:val="君邦表格（表）12"/>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41140">
    <w:name w:val="列表型 4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42">
    <w:name w:val="简明型 1114"/>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43">
    <w:name w:val="彩色型 1114"/>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41">
    <w:name w:val="彩色型 2114"/>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40">
    <w:name w:val="彩色型 3114"/>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43">
    <w:name w:val="典雅型114"/>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44">
    <w:name w:val="古典型 1114"/>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42">
    <w:name w:val="古典型 2114"/>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41">
    <w:name w:val="古典型 3114"/>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41">
    <w:name w:val="古典型 4114"/>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43">
    <w:name w:val="简明型 2114"/>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42">
    <w:name w:val="简明型 3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45">
    <w:name w:val="精巧型 111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4">
    <w:name w:val="精巧型 2114"/>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46">
    <w:name w:val="立体型 11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45">
    <w:name w:val="立体型 21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43">
    <w:name w:val="立体型 3114"/>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47">
    <w:name w:val="列表型 1114"/>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46">
    <w:name w:val="列表型 2114"/>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44">
    <w:name w:val="列表型 3114"/>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40">
    <w:name w:val="列表型 5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40">
    <w:name w:val="列表型 6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40">
    <w:name w:val="列表型 7114"/>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4">
    <w:name w:val="列表型 8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44">
    <w:name w:val="流行型114"/>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48">
    <w:name w:val="竖列型 1114"/>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7">
    <w:name w:val="竖列型 211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45">
    <w:name w:val="竖列型 3114"/>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42">
    <w:name w:val="竖列型 411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1">
    <w:name w:val="竖列型 5114"/>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49">
    <w:name w:val="网格型 1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48">
    <w:name w:val="网格型 2114"/>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46">
    <w:name w:val="网格型 3114"/>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43">
    <w:name w:val="网格型 4114"/>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4d">
    <w:name w:val="君邦2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41">
    <w:name w:val="网格型 6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41">
    <w:name w:val="网格型 7114"/>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40">
    <w:name w:val="网格型 8114"/>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a">
    <w:name w:val="网页型 1114"/>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49">
    <w:name w:val="网页型 2114"/>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47">
    <w:name w:val="网页型 3114"/>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45">
    <w:name w:val="专业型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51">
    <w:name w:val="君邦1115"/>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50">
    <w:name w:val="表格样式2115"/>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f1">
    <w:name w:val="三线表11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3a">
    <w:name w:val="网格型33"/>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网格型143"/>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精巧型 12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1">
    <w:name w:val="立体型 22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0">
    <w:name w:val="立体型 32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2">
    <w:name w:val="竖列型 22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0">
    <w:name w:val="竖列型 42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2f6">
    <w:name w:val="三线表2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20">
    <w:name w:val="网格型111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网格型112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网格型113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君邦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0">
    <w:name w:val="表格样式2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b">
    <w:name w:val="表格样式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40">
    <w:name w:val="君邦1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40">
    <w:name w:val="表格样式2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4">
    <w:name w:val="网格型43"/>
    <w:basedOn w:val="ac"/>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7">
    <w:name w:val="表格主题22"/>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04">
    <w:name w:val="君邦-1.04"/>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533">
    <w:name w:val="网格型53"/>
    <w:basedOn w:val="ac"/>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f">
    <w:name w:val="君邦专用2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精巧型 112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1">
    <w:name w:val="立体型 212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20">
    <w:name w:val="立体型 31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2">
    <w:name w:val="竖列型 212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20">
    <w:name w:val="竖列型 412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20">
    <w:name w:val="列表型 4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23">
    <w:name w:val="简明型 111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24">
    <w:name w:val="彩色型 111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22">
    <w:name w:val="彩色型 2111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20">
    <w:name w:val="彩色型 3111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2c">
    <w:name w:val="典雅型111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25">
    <w:name w:val="古典型 11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3">
    <w:name w:val="古典型 21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1">
    <w:name w:val="古典型 3111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21">
    <w:name w:val="古典型 4111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24">
    <w:name w:val="简明型 211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22">
    <w:name w:val="简明型 3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26">
    <w:name w:val="精巧型 111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25">
    <w:name w:val="精巧型 2111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27">
    <w:name w:val="立体型 11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26">
    <w:name w:val="立体型 21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23">
    <w:name w:val="立体型 311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28">
    <w:name w:val="列表型 111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27">
    <w:name w:val="列表型 2111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24">
    <w:name w:val="列表型 3111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2">
    <w:name w:val="列表型 5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2">
    <w:name w:val="列表型 6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2">
    <w:name w:val="列表型 7111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2">
    <w:name w:val="列表型 8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2d">
    <w:name w:val="流行型111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29">
    <w:name w:val="竖列型 11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28">
    <w:name w:val="竖列型 211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25">
    <w:name w:val="竖列型 3111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2">
    <w:name w:val="竖列型 411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0">
    <w:name w:val="竖列型 5111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2a">
    <w:name w:val="网格型 1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29">
    <w:name w:val="网格型 2111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26">
    <w:name w:val="网格型 3111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23">
    <w:name w:val="网格型 4111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2c">
    <w:name w:val="君邦2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20">
    <w:name w:val="网格型 6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20">
    <w:name w:val="网格型 71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20">
    <w:name w:val="网格型 8111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b">
    <w:name w:val="网页型 111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2a">
    <w:name w:val="网页型 2111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27">
    <w:name w:val="网页型 3111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2e">
    <w:name w:val="专业型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21">
    <w:name w:val="君邦1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20">
    <w:name w:val="表格样式2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1">
    <w:name w:val="精巧型 12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20">
    <w:name w:val="立体型 22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20">
    <w:name w:val="立体型 32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21">
    <w:name w:val="竖列型 22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20">
    <w:name w:val="竖列型 42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20">
    <w:name w:val="君邦11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20">
    <w:name w:val="表格样式21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2">
    <w:name w:val="君邦-1.012"/>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8">
    <w:name w:val="TableGrid8"/>
    <w:qFormat/>
    <w:tblPr>
      <w:tblCellMar>
        <w:top w:w="0" w:type="dxa"/>
        <w:left w:w="0" w:type="dxa"/>
        <w:bottom w:w="0" w:type="dxa"/>
        <w:right w:w="0" w:type="dxa"/>
      </w:tblCellMar>
    </w:tblPr>
  </w:style>
  <w:style w:type="table" w:customStyle="1" w:styleId="33b">
    <w:name w:val="君邦专用3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精巧型 113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20">
    <w:name w:val="立体型 213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20">
    <w:name w:val="立体型 313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21">
    <w:name w:val="竖列型 213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20">
    <w:name w:val="竖列型 413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20">
    <w:name w:val="列表型 4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22">
    <w:name w:val="简明型 11122"/>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23">
    <w:name w:val="彩色型 11122"/>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21">
    <w:name w:val="彩色型 21122"/>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20">
    <w:name w:val="彩色型 31122"/>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24">
    <w:name w:val="典雅型1122"/>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24">
    <w:name w:val="古典型 1112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2">
    <w:name w:val="古典型 2112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21">
    <w:name w:val="古典型 31122"/>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21">
    <w:name w:val="古典型 41122"/>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23">
    <w:name w:val="简明型 2112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22">
    <w:name w:val="简明型 3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25">
    <w:name w:val="精巧型 111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24">
    <w:name w:val="精巧型 21122"/>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26">
    <w:name w:val="立体型 111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25">
    <w:name w:val="立体型 211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23">
    <w:name w:val="立体型 3112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27">
    <w:name w:val="列表型 11122"/>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26">
    <w:name w:val="列表型 21122"/>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24">
    <w:name w:val="列表型 31122"/>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2">
    <w:name w:val="列表型 5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2">
    <w:name w:val="列表型 6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2">
    <w:name w:val="列表型 71122"/>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2">
    <w:name w:val="列表型 8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25">
    <w:name w:val="流行型1122"/>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28">
    <w:name w:val="竖列型 1112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27">
    <w:name w:val="竖列型 211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25">
    <w:name w:val="竖列型 31122"/>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2">
    <w:name w:val="竖列型 411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0">
    <w:name w:val="竖列型 51122"/>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29">
    <w:name w:val="网格型 1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28">
    <w:name w:val="网格型 21122"/>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26">
    <w:name w:val="网格型 31122"/>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23">
    <w:name w:val="网格型 41122"/>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23">
    <w:name w:val="君邦2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20">
    <w:name w:val="网格型 6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20">
    <w:name w:val="网格型 7112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20">
    <w:name w:val="网格型 81122"/>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a">
    <w:name w:val="网页型 11122"/>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29">
    <w:name w:val="网页型 21122"/>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27">
    <w:name w:val="网页型 31122"/>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26">
    <w:name w:val="专业型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20">
    <w:name w:val="君邦1113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20">
    <w:name w:val="表格样式2113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20">
    <w:name w:val="精巧型 12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0">
    <w:name w:val="立体型 22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2">
    <w:name w:val="立体型 32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1">
    <w:name w:val="竖列型 22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2">
    <w:name w:val="竖列型 42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20">
    <w:name w:val="君邦111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20">
    <w:name w:val="表格样式211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2">
    <w:name w:val="君邦-1.022"/>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12">
    <w:name w:val="TableGrid12"/>
    <w:rPr>
      <w:rFonts w:ascii="等线" w:eastAsia="等线" w:hAnsi="等线"/>
    </w:rPr>
    <w:tblPr>
      <w:tblCellMar>
        <w:top w:w="0" w:type="dxa"/>
        <w:left w:w="0" w:type="dxa"/>
        <w:bottom w:w="0" w:type="dxa"/>
        <w:right w:w="0" w:type="dxa"/>
      </w:tblCellMar>
    </w:tblPr>
  </w:style>
  <w:style w:type="table" w:customStyle="1" w:styleId="TableGrid22">
    <w:name w:val="TableGrid22"/>
    <w:rPr>
      <w:rFonts w:ascii="等线" w:eastAsia="等线" w:hAnsi="等线"/>
    </w:rPr>
    <w:tblPr>
      <w:tblCellMar>
        <w:top w:w="0" w:type="dxa"/>
        <w:left w:w="0" w:type="dxa"/>
        <w:bottom w:w="0" w:type="dxa"/>
        <w:right w:w="0" w:type="dxa"/>
      </w:tblCellMar>
    </w:tblPr>
  </w:style>
  <w:style w:type="table" w:customStyle="1" w:styleId="TableGrid32">
    <w:name w:val="TableGrid32"/>
    <w:rPr>
      <w:rFonts w:ascii="等线" w:eastAsia="等线" w:hAnsi="等线"/>
    </w:rPr>
    <w:tblPr>
      <w:tblCellMar>
        <w:top w:w="0" w:type="dxa"/>
        <w:left w:w="0" w:type="dxa"/>
        <w:bottom w:w="0" w:type="dxa"/>
        <w:right w:w="0" w:type="dxa"/>
      </w:tblCellMar>
    </w:tblPr>
  </w:style>
  <w:style w:type="table" w:customStyle="1" w:styleId="TableGrid42">
    <w:name w:val="TableGrid42"/>
    <w:rPr>
      <w:rFonts w:ascii="等线" w:eastAsia="等线" w:hAnsi="等线"/>
    </w:rPr>
    <w:tblPr>
      <w:tblCellMar>
        <w:top w:w="0" w:type="dxa"/>
        <w:left w:w="0" w:type="dxa"/>
        <w:bottom w:w="0" w:type="dxa"/>
        <w:right w:w="0" w:type="dxa"/>
      </w:tblCellMar>
    </w:tblPr>
  </w:style>
  <w:style w:type="table" w:customStyle="1" w:styleId="TableGrid52">
    <w:name w:val="TableGrid52"/>
    <w:rPr>
      <w:rFonts w:ascii="等线" w:eastAsia="等线" w:hAnsi="等线"/>
    </w:rPr>
    <w:tblPr>
      <w:tblCellMar>
        <w:top w:w="0" w:type="dxa"/>
        <w:left w:w="0" w:type="dxa"/>
        <w:bottom w:w="0" w:type="dxa"/>
        <w:right w:w="0" w:type="dxa"/>
      </w:tblCellMar>
    </w:tblPr>
  </w:style>
  <w:style w:type="table" w:customStyle="1" w:styleId="4220">
    <w:name w:val="列表型 4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23">
    <w:name w:val="简明型 12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24">
    <w:name w:val="彩色型 12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24">
    <w:name w:val="彩色型 22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3">
    <w:name w:val="彩色型 32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f8">
    <w:name w:val="典雅型2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5">
    <w:name w:val="古典型 1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5">
    <w:name w:val="古典型 2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4">
    <w:name w:val="古典型 32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3">
    <w:name w:val="古典型 42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6">
    <w:name w:val="简明型 2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5">
    <w:name w:val="简明型 3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1">
    <w:name w:val="精巧型 13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7">
    <w:name w:val="精巧型 22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6">
    <w:name w:val="列表型 12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8">
    <w:name w:val="列表型 22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26">
    <w:name w:val="列表型 32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列表型 5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0">
    <w:name w:val="列表型 6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0">
    <w:name w:val="列表型 72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0">
    <w:name w:val="列表型 8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f9">
    <w:name w:val="流行型2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7">
    <w:name w:val="竖列型 12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0">
    <w:name w:val="竖列型 23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7">
    <w:name w:val="竖列型 32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0">
    <w:name w:val="竖列型 43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竖列型 52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28">
    <w:name w:val="网格型 1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29">
    <w:name w:val="网格型 22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8">
    <w:name w:val="网格型 32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4">
    <w:name w:val="网格型 42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22">
    <w:name w:val="网格型 5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21">
    <w:name w:val="网格型 6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1">
    <w:name w:val="网格型 72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1">
    <w:name w:val="网格型 82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9">
    <w:name w:val="网页型 12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a">
    <w:name w:val="网页型 22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9">
    <w:name w:val="网页型 32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a">
    <w:name w:val="专业型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a">
    <w:name w:val="表格样式122"/>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君邦专用42"/>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AA2">
    <w:name w:val="AAA2"/>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table" w:customStyle="1" w:styleId="2ffffe">
    <w:name w:val="表格样式智汇元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ff0">
    <w:name w:val="浅色底纹12"/>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9">
    <w:name w:val="网格型3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网格型4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网格型5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633">
    <w:name w:val="网格型6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网格型7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网格型8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2">
    <w:name w:val="Table Normal4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22">
    <w:name w:val="Table Normal2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fffff">
    <w:name w:val="设计院2"/>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11520">
    <w:name w:val="网格型1152"/>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网格型152"/>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网格型12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网格型1113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a">
    <w:name w:val="无格式表格 313"/>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fff4">
    <w:name w:val="三线格3"/>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TableNormal52">
    <w:name w:val="Table Normal5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2112">
    <w:name w:val="网格型12112"/>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b">
    <w:name w:val="网格型2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8">
    <w:name w:val="网格型31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浅色底纹 - 强调文字颜色 212"/>
    <w:basedOn w:val="ac"/>
    <w:uiPriority w:val="60"/>
    <w:qFormat/>
    <w:rPr>
      <w:rFonts w:ascii="Calibri" w:hAnsi="Calibri"/>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4">
    <w:name w:val="无格式表格 512"/>
    <w:basedOn w:val="ac"/>
    <w:uiPriority w:val="45"/>
    <w:qFormat/>
    <w:rPr>
      <w:rFonts w:ascii="Calibri" w:hAnsi="Calibri"/>
    </w:rPr>
    <w:tblPr>
      <w:tblInd w:w="0" w:type="dxa"/>
      <w:tblCellMar>
        <w:top w:w="0" w:type="dxa"/>
        <w:left w:w="108" w:type="dxa"/>
        <w:bottom w:w="0" w:type="dxa"/>
        <w:right w:w="108" w:type="dxa"/>
      </w:tblCellMar>
    </w:tblPr>
    <w:tblStylePr w:type="firstRow">
      <w:rPr>
        <w:rFonts w:ascii="仿宋_GB2312" w:eastAsia="宋体" w:hAnsi="仿宋_GB2312" w:cs="Times New Roman"/>
        <w:i/>
        <w:iCs/>
        <w:sz w:val="26"/>
      </w:rPr>
      <w:tblPr/>
      <w:tcPr>
        <w:tcBorders>
          <w:bottom w:val="single" w:sz="4" w:space="0" w:color="7F7F7F"/>
        </w:tcBorders>
        <w:shd w:val="clear" w:color="auto" w:fill="FFFFFF"/>
      </w:tcPr>
    </w:tblStylePr>
    <w:tblStylePr w:type="lastRow">
      <w:rPr>
        <w:rFonts w:ascii="仿宋_GB2312" w:eastAsia="宋体" w:hAnsi="仿宋_GB2312" w:cs="Times New Roman"/>
        <w:i/>
        <w:iCs/>
        <w:sz w:val="26"/>
      </w:rPr>
      <w:tblPr/>
      <w:tcPr>
        <w:tcBorders>
          <w:top w:val="single" w:sz="4" w:space="0" w:color="7F7F7F"/>
        </w:tcBorders>
        <w:shd w:val="clear" w:color="auto" w:fill="FFFFFF"/>
      </w:tcPr>
    </w:tblStylePr>
    <w:tblStylePr w:type="firstCol">
      <w:pPr>
        <w:jc w:val="right"/>
      </w:pPr>
      <w:rPr>
        <w:rFonts w:ascii="仿宋_GB2312" w:eastAsia="宋体" w:hAnsi="仿宋_GB2312" w:cs="Times New Roman"/>
        <w:i/>
        <w:iCs/>
        <w:sz w:val="26"/>
      </w:rPr>
      <w:tblPr/>
      <w:tcPr>
        <w:tcBorders>
          <w:right w:val="single" w:sz="4" w:space="0" w:color="7F7F7F"/>
        </w:tcBorders>
        <w:shd w:val="clear" w:color="auto" w:fill="FFFFFF"/>
      </w:tcPr>
    </w:tblStylePr>
    <w:tblStylePr w:type="lastCol">
      <w:rPr>
        <w:rFonts w:ascii="仿宋_GB2312" w:eastAsia="宋体" w:hAnsi="仿宋_GB2312"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29">
    <w:name w:val="无格式表格 3112"/>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02">
    <w:name w:val="样式1102"/>
    <w:basedOn w:val="ac"/>
    <w:uiPriority w:val="9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22">
    <w:name w:val="网格型6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网格型13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网格型7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网格型14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0">
    <w:name w:val="智汇元表格样式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21">
    <w:name w:val="网格型92"/>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d">
    <w:name w:val="君邦专用21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a">
    <w:name w:val="君邦专用31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网格型102"/>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1">
    <w:name w:val="三线格12"/>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2fffff1">
    <w:name w:val="表格格式2"/>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32f">
    <w:name w:val="三线表32"/>
    <w:basedOn w:val="ac"/>
    <w:pPr>
      <w:widowControl w:val="0"/>
      <w:spacing w:afterLines="50"/>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2b">
    <w:name w:val="君邦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2c">
    <w:name w:val="表格样式2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2">
    <w:name w:val="TableGrid62"/>
    <w:qFormat/>
    <w:pPr>
      <w:spacing w:after="60"/>
      <w:jc w:val="both"/>
    </w:pPr>
    <w:tblPr>
      <w:tblCellMar>
        <w:top w:w="0" w:type="dxa"/>
        <w:left w:w="0" w:type="dxa"/>
        <w:bottom w:w="0" w:type="dxa"/>
        <w:right w:w="0" w:type="dxa"/>
      </w:tblCellMar>
    </w:tblPr>
  </w:style>
  <w:style w:type="table" w:customStyle="1" w:styleId="88">
    <w:name w:val="君邦专用8"/>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4ff7">
    <w:name w:val="未处理的提及4"/>
    <w:uiPriority w:val="99"/>
    <w:semiHidden/>
    <w:unhideWhenUsed/>
    <w:rPr>
      <w:color w:val="605E5C"/>
      <w:shd w:val="clear" w:color="auto" w:fill="E1DFDD"/>
    </w:rPr>
  </w:style>
  <w:style w:type="paragraph" w:customStyle="1" w:styleId="Charffffffff4">
    <w:name w:val="普通(网站) Char"/>
    <w:basedOn w:val="a9"/>
    <w:pPr>
      <w:spacing w:before="100" w:beforeAutospacing="1" w:after="100" w:afterAutospacing="1"/>
      <w:jc w:val="left"/>
    </w:pPr>
    <w:rPr>
      <w:rFonts w:ascii="宋体" w:hAnsi="宋体" w:hint="eastAsia"/>
      <w:sz w:val="24"/>
      <w:szCs w:val="24"/>
    </w:rPr>
  </w:style>
  <w:style w:type="paragraph" w:customStyle="1" w:styleId="4ff8">
    <w:name w:val="修订4"/>
    <w:hidden/>
    <w:uiPriority w:val="99"/>
    <w:unhideWhenUsed/>
  </w:style>
  <w:style w:type="table" w:customStyle="1" w:styleId="lgy2">
    <w:name w:val="lgy表格"/>
    <w:basedOn w:val="16"/>
    <w:rsid w:val="0008113A"/>
    <w:pPr>
      <w:adjustRightInd w:val="0"/>
      <w:snapToGrid w:val="0"/>
      <w:jc w:val="center"/>
    </w:pPr>
    <w:rPr>
      <w:rFonts w:eastAsia="楷体_GB2312"/>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tblPr/>
      <w:tcPr>
        <w:tcBorders>
          <w:top w:val="single" w:sz="12" w:space="0" w:color="auto"/>
          <w:left w:val="nil"/>
          <w:bottom w:val="single" w:sz="12" w:space="0" w:color="auto"/>
          <w:right w:val="nil"/>
          <w:insideH w:val="single" w:sz="4" w:space="0" w:color="auto"/>
          <w:insideV w:val="single" w:sz="4" w:space="0" w:color="auto"/>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style>
  <w:style w:type="table" w:customStyle="1" w:styleId="4ff9">
    <w:name w:val="君邦表格4"/>
    <w:basedOn w:val="ac"/>
    <w:pPr>
      <w:adjustRightInd w:val="0"/>
      <w:snapToGrid w:val="0"/>
      <w:jc w:val="center"/>
    </w:pPr>
    <w:rPr>
      <w:sz w:val="18"/>
    </w:rPr>
    <w:tblPr>
      <w:tblInd w:w="0" w:type="dxa"/>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3fff5">
    <w:name w:val="标题3"/>
    <w:basedOn w:val="a9"/>
    <w:next w:val="a9"/>
    <w:uiPriority w:val="99"/>
    <w:qFormat/>
    <w:pPr>
      <w:tabs>
        <w:tab w:val="left" w:pos="851"/>
      </w:tabs>
      <w:snapToGrid w:val="0"/>
      <w:spacing w:after="60" w:line="360" w:lineRule="auto"/>
      <w:outlineLvl w:val="2"/>
    </w:pPr>
    <w:rPr>
      <w:b/>
      <w:kern w:val="2"/>
      <w:sz w:val="24"/>
      <w:szCs w:val="22"/>
    </w:rPr>
  </w:style>
  <w:style w:type="numbering" w:customStyle="1" w:styleId="15">
    <w:name w:val="样式15"/>
    <w:uiPriority w:val="99"/>
    <w:rsid w:val="0045661A"/>
    <w:pPr>
      <w:numPr>
        <w:numId w:val="44"/>
      </w:numPr>
    </w:pPr>
  </w:style>
  <w:style w:type="table" w:customStyle="1" w:styleId="lgy10">
    <w:name w:val="lgy表格1"/>
    <w:basedOn w:val="16"/>
    <w:rsid w:val="00F679CB"/>
    <w:pPr>
      <w:adjustRightInd w:val="0"/>
      <w:snapToGrid w:val="0"/>
      <w:jc w:val="center"/>
    </w:pPr>
    <w:rPr>
      <w:rFonts w:eastAsia="楷体_GB2312"/>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tblPr/>
      <w:tcPr>
        <w:tcBorders>
          <w:top w:val="none" w:sz="0" w:space="0" w:color="auto"/>
          <w:left w:val="none" w:sz="0" w:space="0" w:color="auto"/>
          <w:bottom w:val="single" w:sz="12" w:space="0" w:color="auto"/>
          <w:right w:val="none" w:sz="0" w:space="0" w:color="auto"/>
          <w:insideH w:val="none" w:sz="0" w:space="0" w:color="auto"/>
          <w:insideV w:val="none" w:sz="0" w:space="0" w:color="auto"/>
          <w:tl2br w:val="none" w:sz="0" w:space="0" w:color="auto"/>
          <w:tr2bl w:val="none" w:sz="0" w:space="0" w:color="auto"/>
        </w:tcBorders>
        <w:shd w:val="clear" w:color="auto" w:fill="auto"/>
      </w:tcPr>
    </w:tblStylePr>
    <w:tblStylePr w:type="lastRow">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auto"/>
      </w:tcPr>
    </w:tblStylePr>
  </w:style>
  <w:style w:type="character" w:customStyle="1" w:styleId="affffffffffffffffffffffffff9">
    <w:name w:val="表格标题 字符"/>
    <w:uiPriority w:val="99"/>
    <w:qFormat/>
    <w:rsid w:val="00F531DF"/>
    <w:rPr>
      <w:rFonts w:ascii="Times New Roman" w:eastAsia="黑体" w:hAnsi="Times New Roman" w:cs="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annotation reference" w:uiPriority="99"/>
    <w:lsdException w:name="endnote reference" w:uiPriority="99"/>
    <w:lsdException w:name="Default Paragraph Font" w:uiPriority="1" w:unhideWhenUsed="1"/>
    <w:lsdException w:name="Date" w:uiPriority="99"/>
    <w:lsdException w:name="Hyperlink" w:uiPriority="99"/>
    <w:lsdException w:name="FollowedHyperlink" w:uiPriority="99"/>
    <w:lsdException w:name="Strong" w:uiPriority="22"/>
    <w:lsdException w:name="HTML Top of Form" w:semiHidden="1" w:uiPriority="99" w:unhideWhenUsed="1" w:qFormat="0"/>
    <w:lsdException w:name="HTML Bottom of Form" w:semiHidden="1" w:uiPriority="99" w:unhideWhenUsed="1" w:qFormat="0"/>
    <w:lsdException w:name="Normal (Web)" w:uiPriority="99"/>
    <w:lsdException w:name="HTML Keyboard"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Quote" w:uiPriority="99" w:qFormat="0"/>
    <w:lsdException w:name="Intense Quote" w:uiPriority="99"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9">
    <w:name w:val="Normal"/>
    <w:qFormat/>
    <w:pPr>
      <w:widowControl w:val="0"/>
      <w:jc w:val="both"/>
    </w:pPr>
  </w:style>
  <w:style w:type="paragraph" w:styleId="1">
    <w:name w:val="heading 1"/>
    <w:basedOn w:val="a9"/>
    <w:next w:val="a9"/>
    <w:link w:val="1Char2"/>
    <w:qFormat/>
    <w:pPr>
      <w:keepNext/>
      <w:keepLines/>
      <w:pageBreakBefore/>
      <w:numPr>
        <w:numId w:val="1"/>
      </w:numPr>
      <w:spacing w:before="240" w:after="240" w:line="360" w:lineRule="auto"/>
      <w:outlineLvl w:val="0"/>
    </w:pPr>
    <w:rPr>
      <w:b/>
      <w:kern w:val="44"/>
      <w:sz w:val="32"/>
    </w:rPr>
  </w:style>
  <w:style w:type="paragraph" w:styleId="2">
    <w:name w:val="heading 2"/>
    <w:basedOn w:val="a9"/>
    <w:next w:val="aa"/>
    <w:link w:val="2Char"/>
    <w:qFormat/>
    <w:pPr>
      <w:keepLines/>
      <w:numPr>
        <w:ilvl w:val="1"/>
        <w:numId w:val="1"/>
      </w:numPr>
      <w:pBdr>
        <w:bottom w:val="single" w:sz="12" w:space="1" w:color="auto"/>
      </w:pBdr>
      <w:tabs>
        <w:tab w:val="left" w:pos="432"/>
      </w:tabs>
      <w:spacing w:before="960" w:after="960"/>
      <w:outlineLvl w:val="1"/>
    </w:pPr>
    <w:rPr>
      <w:rFonts w:eastAsia="黑体"/>
      <w:b/>
      <w:sz w:val="32"/>
    </w:rPr>
  </w:style>
  <w:style w:type="paragraph" w:styleId="3">
    <w:name w:val="heading 3"/>
    <w:basedOn w:val="a9"/>
    <w:next w:val="aa"/>
    <w:link w:val="3Char1"/>
    <w:qFormat/>
    <w:pPr>
      <w:numPr>
        <w:ilvl w:val="2"/>
        <w:numId w:val="1"/>
      </w:numPr>
      <w:tabs>
        <w:tab w:val="left" w:pos="432"/>
      </w:tabs>
      <w:snapToGrid w:val="0"/>
      <w:spacing w:line="360" w:lineRule="auto"/>
      <w:outlineLvl w:val="2"/>
    </w:pPr>
    <w:rPr>
      <w:rFonts w:eastAsia="黑体"/>
      <w:b/>
      <w:sz w:val="24"/>
    </w:rPr>
  </w:style>
  <w:style w:type="paragraph" w:styleId="4">
    <w:name w:val="heading 4"/>
    <w:basedOn w:val="a9"/>
    <w:next w:val="aa"/>
    <w:link w:val="4Char2"/>
    <w:qFormat/>
    <w:pPr>
      <w:numPr>
        <w:ilvl w:val="3"/>
        <w:numId w:val="1"/>
      </w:numPr>
      <w:tabs>
        <w:tab w:val="left" w:pos="432"/>
      </w:tabs>
      <w:spacing w:after="60" w:line="360" w:lineRule="auto"/>
      <w:outlineLvl w:val="3"/>
    </w:pPr>
    <w:rPr>
      <w:b/>
      <w:color w:val="000000"/>
      <w:sz w:val="24"/>
    </w:rPr>
  </w:style>
  <w:style w:type="paragraph" w:styleId="5">
    <w:name w:val="heading 5"/>
    <w:basedOn w:val="a9"/>
    <w:next w:val="aa"/>
    <w:link w:val="5Char6"/>
    <w:qFormat/>
    <w:pPr>
      <w:keepNext/>
      <w:numPr>
        <w:ilvl w:val="4"/>
        <w:numId w:val="1"/>
      </w:numPr>
      <w:tabs>
        <w:tab w:val="left" w:pos="432"/>
        <w:tab w:val="left" w:pos="1003"/>
      </w:tabs>
      <w:spacing w:after="60" w:line="360" w:lineRule="auto"/>
      <w:outlineLvl w:val="4"/>
    </w:pPr>
    <w:rPr>
      <w:b/>
      <w:sz w:val="24"/>
    </w:rPr>
  </w:style>
  <w:style w:type="paragraph" w:styleId="6">
    <w:name w:val="heading 6"/>
    <w:basedOn w:val="a9"/>
    <w:next w:val="aa"/>
    <w:link w:val="6Char"/>
    <w:qFormat/>
    <w:pPr>
      <w:keepNext/>
      <w:numPr>
        <w:ilvl w:val="5"/>
        <w:numId w:val="1"/>
      </w:numPr>
      <w:tabs>
        <w:tab w:val="left" w:pos="432"/>
      </w:tabs>
      <w:snapToGrid w:val="0"/>
      <w:spacing w:line="360" w:lineRule="auto"/>
      <w:outlineLvl w:val="5"/>
    </w:pPr>
    <w:rPr>
      <w:rFonts w:ascii="宋体"/>
      <w:sz w:val="24"/>
    </w:rPr>
  </w:style>
  <w:style w:type="paragraph" w:styleId="7">
    <w:name w:val="heading 7"/>
    <w:basedOn w:val="a9"/>
    <w:next w:val="aa"/>
    <w:link w:val="7Char"/>
    <w:qFormat/>
    <w:pPr>
      <w:keepNext/>
      <w:numPr>
        <w:ilvl w:val="6"/>
        <w:numId w:val="1"/>
      </w:numPr>
      <w:tabs>
        <w:tab w:val="left" w:pos="432"/>
      </w:tabs>
      <w:snapToGrid w:val="0"/>
      <w:spacing w:line="360" w:lineRule="auto"/>
      <w:outlineLvl w:val="6"/>
    </w:pPr>
    <w:rPr>
      <w:color w:val="008000"/>
      <w:sz w:val="28"/>
    </w:rPr>
  </w:style>
  <w:style w:type="paragraph" w:styleId="8">
    <w:name w:val="heading 8"/>
    <w:basedOn w:val="a9"/>
    <w:next w:val="aa"/>
    <w:link w:val="8Char"/>
    <w:qFormat/>
    <w:pPr>
      <w:keepNext/>
      <w:numPr>
        <w:ilvl w:val="7"/>
        <w:numId w:val="1"/>
      </w:numPr>
      <w:tabs>
        <w:tab w:val="left" w:pos="432"/>
      </w:tabs>
      <w:snapToGrid w:val="0"/>
      <w:spacing w:line="360" w:lineRule="auto"/>
      <w:outlineLvl w:val="7"/>
    </w:pPr>
    <w:rPr>
      <w:color w:val="008000"/>
      <w:sz w:val="28"/>
    </w:rPr>
  </w:style>
  <w:style w:type="paragraph" w:styleId="9">
    <w:name w:val="heading 9"/>
    <w:basedOn w:val="a9"/>
    <w:next w:val="a9"/>
    <w:link w:val="9Char2"/>
    <w:qFormat/>
    <w:pPr>
      <w:keepNext/>
      <w:keepLines/>
      <w:numPr>
        <w:ilvl w:val="8"/>
        <w:numId w:val="1"/>
      </w:numPr>
      <w:tabs>
        <w:tab w:val="left" w:pos="432"/>
      </w:tabs>
      <w:adjustRightInd w:val="0"/>
      <w:spacing w:before="240" w:after="64" w:line="320" w:lineRule="atLeast"/>
      <w:jc w:val="left"/>
      <w:textAlignment w:val="baseline"/>
      <w:outlineLvl w:val="8"/>
    </w:pPr>
    <w:rPr>
      <w:rFonts w:ascii="Arial" w:eastAsia="黑体" w:hAnsi="Arial"/>
      <w:sz w:val="24"/>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Normal Indent"/>
    <w:basedOn w:val="a9"/>
    <w:link w:val="Char"/>
    <w:qFormat/>
    <w:pPr>
      <w:spacing w:line="360" w:lineRule="auto"/>
      <w:ind w:firstLine="482"/>
    </w:pPr>
    <w:rPr>
      <w:sz w:val="24"/>
    </w:rPr>
  </w:style>
  <w:style w:type="paragraph" w:styleId="30">
    <w:name w:val="List 3"/>
    <w:basedOn w:val="a9"/>
    <w:qFormat/>
    <w:pPr>
      <w:ind w:leftChars="400" w:left="100" w:hangingChars="200" w:hanging="200"/>
    </w:pPr>
  </w:style>
  <w:style w:type="paragraph" w:styleId="ae">
    <w:name w:val="annotation subject"/>
    <w:basedOn w:val="af"/>
    <w:next w:val="af"/>
    <w:link w:val="Char0"/>
    <w:uiPriority w:val="99"/>
    <w:qFormat/>
    <w:rPr>
      <w:b/>
      <w:bCs/>
    </w:rPr>
  </w:style>
  <w:style w:type="paragraph" w:styleId="af">
    <w:name w:val="annotation text"/>
    <w:basedOn w:val="a9"/>
    <w:link w:val="Char4"/>
    <w:qFormat/>
    <w:pPr>
      <w:jc w:val="left"/>
    </w:pPr>
  </w:style>
  <w:style w:type="paragraph" w:styleId="70">
    <w:name w:val="toc 7"/>
    <w:basedOn w:val="a9"/>
    <w:next w:val="a9"/>
    <w:uiPriority w:val="39"/>
    <w:qFormat/>
    <w:pPr>
      <w:ind w:left="1260"/>
      <w:jc w:val="left"/>
    </w:pPr>
  </w:style>
  <w:style w:type="paragraph" w:styleId="af0">
    <w:name w:val="Body Text First Indent"/>
    <w:basedOn w:val="a9"/>
    <w:link w:val="Char3"/>
    <w:qFormat/>
    <w:pPr>
      <w:spacing w:after="120" w:line="360" w:lineRule="auto"/>
      <w:ind w:firstLineChars="200" w:firstLine="200"/>
    </w:pPr>
    <w:rPr>
      <w:sz w:val="24"/>
    </w:rPr>
  </w:style>
  <w:style w:type="paragraph" w:styleId="20">
    <w:name w:val="List Number 2"/>
    <w:basedOn w:val="a9"/>
    <w:qFormat/>
    <w:pPr>
      <w:tabs>
        <w:tab w:val="left" w:pos="780"/>
      </w:tabs>
      <w:ind w:leftChars="200" w:left="780" w:hangingChars="200" w:hanging="360"/>
    </w:pPr>
  </w:style>
  <w:style w:type="paragraph" w:styleId="af1">
    <w:name w:val="table of authorities"/>
    <w:basedOn w:val="a9"/>
    <w:next w:val="a9"/>
    <w:qFormat/>
    <w:pPr>
      <w:ind w:leftChars="200" w:left="420"/>
    </w:pPr>
    <w:rPr>
      <w:kern w:val="2"/>
      <w:sz w:val="21"/>
      <w:szCs w:val="24"/>
    </w:rPr>
  </w:style>
  <w:style w:type="paragraph" w:styleId="af2">
    <w:name w:val="macro"/>
    <w:link w:val="Char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3">
    <w:name w:val="Note Heading"/>
    <w:basedOn w:val="a9"/>
    <w:next w:val="a9"/>
    <w:link w:val="Char2"/>
    <w:qFormat/>
    <w:pPr>
      <w:jc w:val="center"/>
    </w:pPr>
  </w:style>
  <w:style w:type="paragraph" w:styleId="41">
    <w:name w:val="List Bullet 4"/>
    <w:basedOn w:val="a9"/>
    <w:qFormat/>
    <w:pPr>
      <w:tabs>
        <w:tab w:val="left" w:pos="1620"/>
      </w:tabs>
      <w:ind w:leftChars="600" w:left="1620" w:hangingChars="200" w:hanging="360"/>
    </w:pPr>
  </w:style>
  <w:style w:type="paragraph" w:styleId="80">
    <w:name w:val="index 8"/>
    <w:basedOn w:val="a9"/>
    <w:next w:val="a9"/>
    <w:qFormat/>
    <w:pPr>
      <w:adjustRightInd w:val="0"/>
      <w:spacing w:line="400" w:lineRule="exact"/>
      <w:ind w:left="2940"/>
    </w:pPr>
    <w:rPr>
      <w:rFonts w:eastAsia="楷体_GB2312"/>
      <w:spacing w:val="8"/>
      <w:sz w:val="28"/>
    </w:rPr>
  </w:style>
  <w:style w:type="paragraph" w:styleId="af4">
    <w:name w:val="E-mail Signature"/>
    <w:basedOn w:val="a9"/>
    <w:link w:val="Char20"/>
    <w:qFormat/>
  </w:style>
  <w:style w:type="paragraph" w:styleId="af5">
    <w:name w:val="List Number"/>
    <w:basedOn w:val="a9"/>
    <w:qFormat/>
    <w:pPr>
      <w:tabs>
        <w:tab w:val="left" w:pos="360"/>
      </w:tabs>
      <w:spacing w:line="360" w:lineRule="auto"/>
      <w:ind w:left="360" w:hangingChars="200" w:hanging="360"/>
    </w:pPr>
    <w:rPr>
      <w:sz w:val="24"/>
    </w:rPr>
  </w:style>
  <w:style w:type="paragraph" w:styleId="af6">
    <w:name w:val="caption"/>
    <w:basedOn w:val="a9"/>
    <w:next w:val="a9"/>
    <w:link w:val="Char21"/>
    <w:qFormat/>
    <w:pPr>
      <w:spacing w:before="152" w:after="160"/>
    </w:pPr>
    <w:rPr>
      <w:rFonts w:ascii="Arial" w:eastAsia="黑体" w:hAnsi="Arial" w:cs="Arial"/>
    </w:rPr>
  </w:style>
  <w:style w:type="paragraph" w:styleId="50">
    <w:name w:val="index 5"/>
    <w:basedOn w:val="a9"/>
    <w:next w:val="a9"/>
    <w:qFormat/>
    <w:pPr>
      <w:ind w:leftChars="800" w:left="800"/>
    </w:pPr>
  </w:style>
  <w:style w:type="paragraph" w:styleId="af7">
    <w:name w:val="List Bullet"/>
    <w:basedOn w:val="a9"/>
    <w:qFormat/>
    <w:pPr>
      <w:tabs>
        <w:tab w:val="left" w:pos="360"/>
      </w:tabs>
      <w:ind w:left="360" w:hangingChars="200" w:hanging="360"/>
    </w:pPr>
  </w:style>
  <w:style w:type="paragraph" w:styleId="af8">
    <w:name w:val="envelope address"/>
    <w:basedOn w:val="a9"/>
    <w:qFormat/>
    <w:pPr>
      <w:framePr w:w="7920" w:h="1980" w:hRule="exact" w:hSpace="180" w:wrap="around" w:hAnchor="page" w:xAlign="center" w:yAlign="bottom"/>
      <w:snapToGrid w:val="0"/>
      <w:ind w:leftChars="1400" w:left="100"/>
    </w:pPr>
    <w:rPr>
      <w:rFonts w:ascii="Arial" w:hAnsi="Arial" w:cs="Arial"/>
      <w:sz w:val="24"/>
    </w:rPr>
  </w:style>
  <w:style w:type="paragraph" w:styleId="af9">
    <w:name w:val="Document Map"/>
    <w:basedOn w:val="a9"/>
    <w:link w:val="Char5"/>
    <w:qFormat/>
    <w:pPr>
      <w:shd w:val="clear" w:color="auto" w:fill="000080"/>
    </w:pPr>
  </w:style>
  <w:style w:type="paragraph" w:styleId="afa">
    <w:name w:val="toa heading"/>
    <w:basedOn w:val="a9"/>
    <w:next w:val="a9"/>
    <w:qFormat/>
    <w:pPr>
      <w:spacing w:before="120" w:line="360" w:lineRule="auto"/>
    </w:pPr>
    <w:rPr>
      <w:rFonts w:ascii="Arial" w:hAnsi="Arial" w:cs="Arial"/>
      <w:sz w:val="24"/>
    </w:rPr>
  </w:style>
  <w:style w:type="paragraph" w:styleId="60">
    <w:name w:val="index 6"/>
    <w:basedOn w:val="a9"/>
    <w:next w:val="a9"/>
    <w:qFormat/>
    <w:pPr>
      <w:ind w:leftChars="1000" w:left="1000"/>
    </w:pPr>
  </w:style>
  <w:style w:type="paragraph" w:styleId="afb">
    <w:name w:val="Salutation"/>
    <w:basedOn w:val="a9"/>
    <w:next w:val="a9"/>
    <w:link w:val="Char30"/>
    <w:qFormat/>
  </w:style>
  <w:style w:type="paragraph" w:styleId="31">
    <w:name w:val="Body Text 3"/>
    <w:basedOn w:val="a9"/>
    <w:link w:val="3Char2"/>
    <w:qFormat/>
    <w:rPr>
      <w:sz w:val="28"/>
    </w:rPr>
  </w:style>
  <w:style w:type="paragraph" w:styleId="afc">
    <w:name w:val="Closing"/>
    <w:basedOn w:val="a9"/>
    <w:link w:val="Char22"/>
    <w:qFormat/>
    <w:pPr>
      <w:ind w:leftChars="2100" w:left="100"/>
    </w:pPr>
  </w:style>
  <w:style w:type="paragraph" w:styleId="32">
    <w:name w:val="List Bullet 3"/>
    <w:basedOn w:val="a9"/>
    <w:qFormat/>
    <w:pPr>
      <w:tabs>
        <w:tab w:val="left" w:pos="1200"/>
      </w:tabs>
      <w:ind w:leftChars="400" w:left="1200" w:hangingChars="200" w:hanging="360"/>
    </w:pPr>
  </w:style>
  <w:style w:type="paragraph" w:styleId="afd">
    <w:name w:val="Body Text"/>
    <w:basedOn w:val="a9"/>
    <w:link w:val="Char6"/>
    <w:qFormat/>
    <w:pPr>
      <w:spacing w:line="360" w:lineRule="auto"/>
      <w:ind w:firstLineChars="200" w:firstLine="200"/>
    </w:pPr>
    <w:rPr>
      <w:rFonts w:ascii="Times" w:hAnsi="Times"/>
      <w:kern w:val="24"/>
      <w:sz w:val="24"/>
    </w:rPr>
  </w:style>
  <w:style w:type="paragraph" w:styleId="afe">
    <w:name w:val="Body Text Indent"/>
    <w:basedOn w:val="a9"/>
    <w:link w:val="Char23"/>
    <w:qFormat/>
    <w:pPr>
      <w:snapToGrid w:val="0"/>
      <w:ind w:firstLine="600"/>
    </w:pPr>
    <w:rPr>
      <w:color w:val="008000"/>
    </w:rPr>
  </w:style>
  <w:style w:type="paragraph" w:styleId="33">
    <w:name w:val="List Number 3"/>
    <w:basedOn w:val="a9"/>
    <w:qFormat/>
    <w:pPr>
      <w:tabs>
        <w:tab w:val="left" w:pos="1200"/>
      </w:tabs>
      <w:ind w:leftChars="400" w:left="1200" w:hangingChars="200" w:hanging="360"/>
    </w:pPr>
  </w:style>
  <w:style w:type="paragraph" w:styleId="21">
    <w:name w:val="List 2"/>
    <w:basedOn w:val="a9"/>
    <w:link w:val="2Char0"/>
    <w:qFormat/>
    <w:pPr>
      <w:ind w:leftChars="200" w:left="100" w:hangingChars="200" w:hanging="200"/>
    </w:pPr>
  </w:style>
  <w:style w:type="paragraph" w:styleId="aff">
    <w:name w:val="List Continue"/>
    <w:basedOn w:val="a9"/>
    <w:qFormat/>
    <w:pPr>
      <w:spacing w:after="120"/>
      <w:ind w:leftChars="200" w:left="420"/>
    </w:pPr>
  </w:style>
  <w:style w:type="paragraph" w:styleId="aff0">
    <w:name w:val="Block Text"/>
    <w:basedOn w:val="a9"/>
    <w:qFormat/>
    <w:pPr>
      <w:spacing w:after="120"/>
      <w:ind w:leftChars="700" w:left="1440" w:rightChars="700" w:right="1440"/>
    </w:pPr>
  </w:style>
  <w:style w:type="paragraph" w:styleId="22">
    <w:name w:val="List Bullet 2"/>
    <w:basedOn w:val="a9"/>
    <w:qFormat/>
    <w:pPr>
      <w:tabs>
        <w:tab w:val="left" w:pos="780"/>
      </w:tabs>
      <w:ind w:leftChars="200" w:left="780" w:hangingChars="200" w:hanging="360"/>
    </w:pPr>
  </w:style>
  <w:style w:type="paragraph" w:styleId="HTML">
    <w:name w:val="HTML Address"/>
    <w:basedOn w:val="a9"/>
    <w:link w:val="HTMLChar2"/>
    <w:qFormat/>
    <w:rPr>
      <w:i/>
      <w:iCs/>
    </w:rPr>
  </w:style>
  <w:style w:type="paragraph" w:styleId="42">
    <w:name w:val="index 4"/>
    <w:basedOn w:val="a9"/>
    <w:next w:val="a9"/>
    <w:qFormat/>
    <w:pPr>
      <w:adjustRightInd w:val="0"/>
      <w:spacing w:line="400" w:lineRule="exact"/>
      <w:ind w:left="1260"/>
    </w:pPr>
    <w:rPr>
      <w:rFonts w:eastAsia="楷体_GB2312"/>
      <w:spacing w:val="8"/>
      <w:sz w:val="28"/>
    </w:rPr>
  </w:style>
  <w:style w:type="paragraph" w:styleId="51">
    <w:name w:val="toc 5"/>
    <w:basedOn w:val="a9"/>
    <w:next w:val="a9"/>
    <w:uiPriority w:val="39"/>
    <w:qFormat/>
    <w:pPr>
      <w:ind w:left="840"/>
      <w:jc w:val="left"/>
    </w:pPr>
  </w:style>
  <w:style w:type="paragraph" w:styleId="34">
    <w:name w:val="toc 3"/>
    <w:basedOn w:val="a9"/>
    <w:next w:val="a9"/>
    <w:uiPriority w:val="39"/>
    <w:qFormat/>
    <w:pPr>
      <w:tabs>
        <w:tab w:val="left" w:pos="1050"/>
        <w:tab w:val="right" w:leader="hyphen" w:pos="9628"/>
      </w:tabs>
      <w:spacing w:line="360" w:lineRule="auto"/>
      <w:ind w:left="420"/>
      <w:jc w:val="left"/>
    </w:pPr>
  </w:style>
  <w:style w:type="paragraph" w:styleId="aff1">
    <w:name w:val="Plain Text"/>
    <w:basedOn w:val="a9"/>
    <w:link w:val="Char10"/>
    <w:qFormat/>
    <w:rPr>
      <w:rFonts w:ascii="宋体" w:hAnsi="Courier New"/>
    </w:rPr>
  </w:style>
  <w:style w:type="paragraph" w:styleId="52">
    <w:name w:val="List Bullet 5"/>
    <w:basedOn w:val="a9"/>
    <w:qFormat/>
    <w:pPr>
      <w:tabs>
        <w:tab w:val="left" w:pos="2040"/>
      </w:tabs>
      <w:ind w:leftChars="800" w:left="2040" w:hangingChars="200" w:hanging="360"/>
    </w:pPr>
  </w:style>
  <w:style w:type="paragraph" w:styleId="43">
    <w:name w:val="List Number 4"/>
    <w:basedOn w:val="a9"/>
    <w:qFormat/>
    <w:pPr>
      <w:tabs>
        <w:tab w:val="left" w:pos="1620"/>
      </w:tabs>
      <w:ind w:leftChars="600" w:left="1620" w:hangingChars="200" w:hanging="360"/>
    </w:pPr>
  </w:style>
  <w:style w:type="paragraph" w:styleId="81">
    <w:name w:val="toc 8"/>
    <w:basedOn w:val="a9"/>
    <w:next w:val="a9"/>
    <w:uiPriority w:val="39"/>
    <w:qFormat/>
    <w:pPr>
      <w:ind w:left="1470"/>
      <w:jc w:val="left"/>
    </w:pPr>
  </w:style>
  <w:style w:type="paragraph" w:styleId="35">
    <w:name w:val="index 3"/>
    <w:basedOn w:val="a9"/>
    <w:next w:val="a9"/>
    <w:qFormat/>
    <w:pPr>
      <w:ind w:leftChars="400" w:left="400"/>
    </w:pPr>
    <w:rPr>
      <w:kern w:val="2"/>
      <w:sz w:val="21"/>
      <w:szCs w:val="24"/>
    </w:rPr>
  </w:style>
  <w:style w:type="paragraph" w:styleId="aff2">
    <w:name w:val="Date"/>
    <w:basedOn w:val="a9"/>
    <w:next w:val="a9"/>
    <w:link w:val="Char24"/>
    <w:uiPriority w:val="99"/>
    <w:qFormat/>
  </w:style>
  <w:style w:type="paragraph" w:styleId="23">
    <w:name w:val="Body Text Indent 2"/>
    <w:basedOn w:val="a9"/>
    <w:link w:val="2Char1"/>
    <w:qFormat/>
    <w:pPr>
      <w:spacing w:after="120" w:line="480" w:lineRule="auto"/>
      <w:ind w:leftChars="200" w:left="420"/>
    </w:pPr>
  </w:style>
  <w:style w:type="paragraph" w:styleId="aff3">
    <w:name w:val="endnote text"/>
    <w:basedOn w:val="a9"/>
    <w:link w:val="Char25"/>
    <w:qFormat/>
    <w:pPr>
      <w:widowControl/>
      <w:snapToGrid w:val="0"/>
      <w:jc w:val="left"/>
    </w:pPr>
    <w:rPr>
      <w:rFonts w:ascii="宋体" w:hAnsi="宋体" w:cs="宋体"/>
      <w:sz w:val="24"/>
      <w:lang w:bidi="ne-NP"/>
    </w:rPr>
  </w:style>
  <w:style w:type="paragraph" w:styleId="53">
    <w:name w:val="List Continue 5"/>
    <w:basedOn w:val="a9"/>
    <w:qFormat/>
    <w:pPr>
      <w:spacing w:after="120"/>
      <w:ind w:leftChars="1000" w:left="2100"/>
    </w:pPr>
  </w:style>
  <w:style w:type="paragraph" w:styleId="aff4">
    <w:name w:val="Balloon Text"/>
    <w:basedOn w:val="a9"/>
    <w:link w:val="Char7"/>
    <w:uiPriority w:val="99"/>
    <w:qFormat/>
    <w:rPr>
      <w:sz w:val="18"/>
      <w:szCs w:val="18"/>
    </w:rPr>
  </w:style>
  <w:style w:type="paragraph" w:styleId="aff5">
    <w:name w:val="footer"/>
    <w:basedOn w:val="a9"/>
    <w:link w:val="Char31"/>
    <w:uiPriority w:val="99"/>
    <w:qFormat/>
    <w:pPr>
      <w:tabs>
        <w:tab w:val="center" w:pos="4153"/>
        <w:tab w:val="right" w:pos="8306"/>
      </w:tabs>
      <w:snapToGrid w:val="0"/>
      <w:jc w:val="left"/>
    </w:pPr>
    <w:rPr>
      <w:sz w:val="18"/>
      <w:szCs w:val="18"/>
    </w:rPr>
  </w:style>
  <w:style w:type="paragraph" w:styleId="aff6">
    <w:name w:val="envelope return"/>
    <w:basedOn w:val="a9"/>
    <w:qFormat/>
    <w:pPr>
      <w:snapToGrid w:val="0"/>
    </w:pPr>
    <w:rPr>
      <w:rFonts w:ascii="Arial" w:hAnsi="Arial" w:cs="Arial"/>
    </w:rPr>
  </w:style>
  <w:style w:type="paragraph" w:styleId="24">
    <w:name w:val="Body Text First Indent 2"/>
    <w:basedOn w:val="afe"/>
    <w:link w:val="2Char2"/>
    <w:qFormat/>
    <w:pPr>
      <w:tabs>
        <w:tab w:val="left" w:pos="420"/>
        <w:tab w:val="left" w:pos="870"/>
        <w:tab w:val="left" w:pos="3150"/>
      </w:tabs>
      <w:autoSpaceDE w:val="0"/>
      <w:autoSpaceDN w:val="0"/>
      <w:adjustRightInd w:val="0"/>
      <w:snapToGrid/>
      <w:spacing w:beforeLines="25" w:before="60" w:line="336" w:lineRule="auto"/>
      <w:ind w:firstLine="527"/>
      <w:textAlignment w:val="baseline"/>
    </w:pPr>
    <w:rPr>
      <w:rFonts w:ascii="宋体"/>
      <w:color w:val="auto"/>
      <w:sz w:val="24"/>
      <w:szCs w:val="28"/>
    </w:rPr>
  </w:style>
  <w:style w:type="paragraph" w:styleId="aff7">
    <w:name w:val="header"/>
    <w:basedOn w:val="a9"/>
    <w:link w:val="Char32"/>
    <w:uiPriority w:val="99"/>
    <w:qFormat/>
    <w:pPr>
      <w:pBdr>
        <w:bottom w:val="single" w:sz="6" w:space="1" w:color="auto"/>
      </w:pBdr>
      <w:tabs>
        <w:tab w:val="center" w:pos="4153"/>
        <w:tab w:val="right" w:pos="8306"/>
      </w:tabs>
      <w:snapToGrid w:val="0"/>
      <w:jc w:val="center"/>
    </w:pPr>
    <w:rPr>
      <w:sz w:val="18"/>
      <w:szCs w:val="18"/>
    </w:rPr>
  </w:style>
  <w:style w:type="paragraph" w:styleId="aff8">
    <w:name w:val="Signature"/>
    <w:basedOn w:val="a9"/>
    <w:link w:val="Char26"/>
    <w:qFormat/>
    <w:pPr>
      <w:ind w:leftChars="2100" w:left="100"/>
    </w:pPr>
  </w:style>
  <w:style w:type="paragraph" w:styleId="10">
    <w:name w:val="toc 1"/>
    <w:basedOn w:val="a9"/>
    <w:next w:val="a9"/>
    <w:uiPriority w:val="39"/>
    <w:qFormat/>
    <w:pPr>
      <w:spacing w:before="240" w:after="120"/>
      <w:jc w:val="left"/>
    </w:pPr>
    <w:rPr>
      <w:b/>
      <w:bCs/>
    </w:rPr>
  </w:style>
  <w:style w:type="paragraph" w:styleId="44">
    <w:name w:val="List Continue 4"/>
    <w:basedOn w:val="a9"/>
    <w:qFormat/>
    <w:pPr>
      <w:spacing w:after="120"/>
      <w:ind w:leftChars="800" w:left="1680"/>
    </w:pPr>
  </w:style>
  <w:style w:type="paragraph" w:styleId="45">
    <w:name w:val="toc 4"/>
    <w:basedOn w:val="a9"/>
    <w:next w:val="a9"/>
    <w:uiPriority w:val="39"/>
    <w:qFormat/>
    <w:pPr>
      <w:ind w:left="630"/>
      <w:jc w:val="left"/>
    </w:pPr>
  </w:style>
  <w:style w:type="paragraph" w:styleId="aff9">
    <w:name w:val="index heading"/>
    <w:basedOn w:val="a9"/>
    <w:next w:val="11"/>
    <w:qFormat/>
    <w:pPr>
      <w:adjustRightInd w:val="0"/>
      <w:spacing w:line="400" w:lineRule="exact"/>
      <w:ind w:firstLine="601"/>
    </w:pPr>
    <w:rPr>
      <w:rFonts w:eastAsia="楷体_GB2312"/>
      <w:spacing w:val="8"/>
      <w:sz w:val="28"/>
    </w:rPr>
  </w:style>
  <w:style w:type="paragraph" w:styleId="11">
    <w:name w:val="index 1"/>
    <w:basedOn w:val="a9"/>
    <w:next w:val="a9"/>
    <w:semiHidden/>
    <w:qFormat/>
    <w:pPr>
      <w:snapToGrid w:val="0"/>
      <w:spacing w:line="360" w:lineRule="auto"/>
      <w:ind w:firstLine="660"/>
    </w:pPr>
    <w:rPr>
      <w:sz w:val="24"/>
    </w:rPr>
  </w:style>
  <w:style w:type="paragraph" w:styleId="affa">
    <w:name w:val="Subtitle"/>
    <w:basedOn w:val="a9"/>
    <w:link w:val="Char27"/>
    <w:qFormat/>
    <w:pPr>
      <w:spacing w:before="240" w:after="60" w:line="312" w:lineRule="auto"/>
      <w:jc w:val="center"/>
      <w:outlineLvl w:val="1"/>
    </w:pPr>
    <w:rPr>
      <w:rFonts w:ascii="Arial" w:hAnsi="Arial" w:cs="Arial"/>
      <w:b/>
      <w:bCs/>
      <w:kern w:val="28"/>
      <w:sz w:val="32"/>
      <w:szCs w:val="32"/>
    </w:rPr>
  </w:style>
  <w:style w:type="paragraph" w:styleId="54">
    <w:name w:val="List Number 5"/>
    <w:basedOn w:val="a9"/>
    <w:qFormat/>
    <w:pPr>
      <w:tabs>
        <w:tab w:val="left" w:pos="360"/>
      </w:tabs>
      <w:ind w:left="360" w:hanging="360"/>
      <w:jc w:val="center"/>
    </w:pPr>
    <w:rPr>
      <w:b/>
      <w:sz w:val="28"/>
    </w:rPr>
  </w:style>
  <w:style w:type="paragraph" w:styleId="affb">
    <w:name w:val="List"/>
    <w:basedOn w:val="a9"/>
    <w:link w:val="Char8"/>
    <w:qFormat/>
    <w:pPr>
      <w:ind w:left="420" w:hanging="420"/>
    </w:pPr>
  </w:style>
  <w:style w:type="paragraph" w:styleId="affc">
    <w:name w:val="footnote text"/>
    <w:basedOn w:val="a9"/>
    <w:link w:val="Char9"/>
    <w:qFormat/>
    <w:pPr>
      <w:snapToGrid w:val="0"/>
      <w:jc w:val="left"/>
    </w:pPr>
    <w:rPr>
      <w:sz w:val="18"/>
      <w:szCs w:val="18"/>
    </w:rPr>
  </w:style>
  <w:style w:type="paragraph" w:styleId="61">
    <w:name w:val="toc 6"/>
    <w:basedOn w:val="a9"/>
    <w:next w:val="a9"/>
    <w:uiPriority w:val="39"/>
    <w:qFormat/>
    <w:pPr>
      <w:ind w:left="1050"/>
      <w:jc w:val="left"/>
    </w:pPr>
  </w:style>
  <w:style w:type="paragraph" w:styleId="55">
    <w:name w:val="List 5"/>
    <w:basedOn w:val="a9"/>
    <w:qFormat/>
    <w:pPr>
      <w:ind w:leftChars="800" w:left="100" w:hangingChars="200" w:hanging="200"/>
    </w:pPr>
  </w:style>
  <w:style w:type="paragraph" w:styleId="36">
    <w:name w:val="Body Text Indent 3"/>
    <w:basedOn w:val="a9"/>
    <w:link w:val="3Char"/>
    <w:qFormat/>
    <w:pPr>
      <w:spacing w:after="120"/>
      <w:ind w:leftChars="200" w:left="420"/>
    </w:pPr>
    <w:rPr>
      <w:sz w:val="16"/>
      <w:szCs w:val="16"/>
    </w:rPr>
  </w:style>
  <w:style w:type="paragraph" w:styleId="71">
    <w:name w:val="index 7"/>
    <w:basedOn w:val="a9"/>
    <w:next w:val="a9"/>
    <w:qFormat/>
    <w:pPr>
      <w:adjustRightInd w:val="0"/>
      <w:spacing w:line="400" w:lineRule="exact"/>
      <w:ind w:left="2520"/>
    </w:pPr>
    <w:rPr>
      <w:rFonts w:eastAsia="楷体_GB2312"/>
      <w:spacing w:val="8"/>
      <w:sz w:val="28"/>
    </w:rPr>
  </w:style>
  <w:style w:type="paragraph" w:styleId="90">
    <w:name w:val="index 9"/>
    <w:basedOn w:val="a9"/>
    <w:next w:val="a9"/>
    <w:qFormat/>
    <w:pPr>
      <w:adjustRightInd w:val="0"/>
      <w:spacing w:line="400" w:lineRule="exact"/>
      <w:ind w:left="3360"/>
    </w:pPr>
    <w:rPr>
      <w:rFonts w:eastAsia="楷体_GB2312"/>
      <w:spacing w:val="8"/>
      <w:sz w:val="28"/>
    </w:rPr>
  </w:style>
  <w:style w:type="paragraph" w:styleId="affd">
    <w:name w:val="table of figures"/>
    <w:basedOn w:val="a9"/>
    <w:next w:val="a9"/>
    <w:qFormat/>
    <w:pPr>
      <w:spacing w:line="360" w:lineRule="auto"/>
      <w:ind w:leftChars="200" w:left="200" w:hangingChars="200" w:hanging="200"/>
    </w:pPr>
    <w:rPr>
      <w:sz w:val="24"/>
    </w:rPr>
  </w:style>
  <w:style w:type="paragraph" w:styleId="25">
    <w:name w:val="toc 2"/>
    <w:basedOn w:val="a9"/>
    <w:next w:val="a9"/>
    <w:uiPriority w:val="39"/>
    <w:qFormat/>
    <w:pPr>
      <w:tabs>
        <w:tab w:val="left" w:pos="840"/>
        <w:tab w:val="right" w:leader="hyphen" w:pos="9628"/>
      </w:tabs>
      <w:spacing w:before="120" w:line="440" w:lineRule="exact"/>
      <w:ind w:left="210"/>
      <w:jc w:val="left"/>
    </w:pPr>
    <w:rPr>
      <w:b/>
      <w:i/>
      <w:iCs/>
      <w:sz w:val="24"/>
    </w:rPr>
  </w:style>
  <w:style w:type="paragraph" w:styleId="91">
    <w:name w:val="toc 9"/>
    <w:basedOn w:val="a9"/>
    <w:next w:val="a9"/>
    <w:uiPriority w:val="39"/>
    <w:qFormat/>
    <w:pPr>
      <w:ind w:left="1680"/>
      <w:jc w:val="left"/>
    </w:pPr>
  </w:style>
  <w:style w:type="paragraph" w:styleId="26">
    <w:name w:val="Body Text 2"/>
    <w:basedOn w:val="a9"/>
    <w:link w:val="2Char20"/>
    <w:qFormat/>
    <w:pPr>
      <w:snapToGrid w:val="0"/>
      <w:jc w:val="distribute"/>
    </w:pPr>
    <w:rPr>
      <w:spacing w:val="-8"/>
      <w:sz w:val="18"/>
    </w:rPr>
  </w:style>
  <w:style w:type="paragraph" w:styleId="46">
    <w:name w:val="List 4"/>
    <w:basedOn w:val="a9"/>
    <w:qFormat/>
    <w:pPr>
      <w:ind w:leftChars="600" w:left="100" w:hangingChars="200" w:hanging="200"/>
    </w:pPr>
  </w:style>
  <w:style w:type="paragraph" w:styleId="27">
    <w:name w:val="List Continue 2"/>
    <w:basedOn w:val="a9"/>
    <w:qFormat/>
    <w:pPr>
      <w:spacing w:after="120"/>
      <w:ind w:leftChars="400" w:left="840"/>
    </w:pPr>
  </w:style>
  <w:style w:type="paragraph" w:styleId="affe">
    <w:name w:val="Message Header"/>
    <w:basedOn w:val="a9"/>
    <w:link w:val="Char2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HTML0">
    <w:name w:val="HTML Preformatted"/>
    <w:basedOn w:val="a9"/>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rPr>
  </w:style>
  <w:style w:type="paragraph" w:styleId="afff">
    <w:name w:val="Normal (Web)"/>
    <w:basedOn w:val="a9"/>
    <w:link w:val="Char11"/>
    <w:uiPriority w:val="99"/>
    <w:qFormat/>
    <w:pPr>
      <w:widowControl/>
      <w:spacing w:before="100" w:beforeAutospacing="1" w:after="100" w:afterAutospacing="1"/>
      <w:jc w:val="left"/>
    </w:pPr>
    <w:rPr>
      <w:rFonts w:ascii="Arial Unicode MS" w:eastAsia="Arial Unicode MS" w:hAnsi="Arial Unicode MS" w:cs="Arial Unicode MS"/>
      <w:sz w:val="24"/>
    </w:rPr>
  </w:style>
  <w:style w:type="paragraph" w:styleId="37">
    <w:name w:val="List Continue 3"/>
    <w:basedOn w:val="a9"/>
    <w:qFormat/>
    <w:pPr>
      <w:spacing w:after="120"/>
      <w:ind w:leftChars="600" w:left="1260"/>
    </w:pPr>
  </w:style>
  <w:style w:type="paragraph" w:styleId="28">
    <w:name w:val="index 2"/>
    <w:basedOn w:val="a9"/>
    <w:next w:val="a9"/>
    <w:qFormat/>
    <w:pPr>
      <w:adjustRightInd w:val="0"/>
      <w:spacing w:line="400" w:lineRule="exact"/>
      <w:ind w:left="420"/>
    </w:pPr>
    <w:rPr>
      <w:rFonts w:eastAsia="楷体_GB2312"/>
      <w:spacing w:val="8"/>
      <w:sz w:val="28"/>
    </w:rPr>
  </w:style>
  <w:style w:type="paragraph" w:styleId="afff0">
    <w:name w:val="Title"/>
    <w:basedOn w:val="a9"/>
    <w:link w:val="Char29"/>
    <w:qFormat/>
    <w:pPr>
      <w:spacing w:before="240" w:after="60"/>
      <w:jc w:val="center"/>
      <w:outlineLvl w:val="0"/>
    </w:pPr>
    <w:rPr>
      <w:rFonts w:ascii="Arial" w:hAnsi="Arial" w:cs="Arial"/>
      <w:b/>
      <w:bCs/>
      <w:sz w:val="32"/>
      <w:szCs w:val="32"/>
    </w:rPr>
  </w:style>
  <w:style w:type="character" w:styleId="afff1">
    <w:name w:val="Strong"/>
    <w:uiPriority w:val="22"/>
    <w:qFormat/>
    <w:rPr>
      <w:b/>
      <w:bCs/>
    </w:rPr>
  </w:style>
  <w:style w:type="character" w:styleId="afff2">
    <w:name w:val="endnote reference"/>
    <w:uiPriority w:val="99"/>
    <w:qFormat/>
    <w:rPr>
      <w:vertAlign w:val="superscript"/>
    </w:rPr>
  </w:style>
  <w:style w:type="character" w:styleId="afff3">
    <w:name w:val="page number"/>
    <w:basedOn w:val="ab"/>
    <w:qFormat/>
  </w:style>
  <w:style w:type="character" w:styleId="afff4">
    <w:name w:val="FollowedHyperlink"/>
    <w:uiPriority w:val="99"/>
    <w:qFormat/>
    <w:rPr>
      <w:color w:val="800080"/>
      <w:u w:val="single"/>
    </w:rPr>
  </w:style>
  <w:style w:type="character" w:styleId="afff5">
    <w:name w:val="Emphasis"/>
    <w:qFormat/>
    <w:rPr>
      <w:i/>
      <w:iCs/>
    </w:rPr>
  </w:style>
  <w:style w:type="character" w:styleId="afff6">
    <w:name w:val="line number"/>
    <w:basedOn w:val="ab"/>
    <w:qFormat/>
  </w:style>
  <w:style w:type="character" w:styleId="HTML1">
    <w:name w:val="HTML Definition"/>
    <w:qFormat/>
    <w:rPr>
      <w:i/>
      <w:iCs/>
    </w:rPr>
  </w:style>
  <w:style w:type="character" w:styleId="HTML2">
    <w:name w:val="HTML Typewriter"/>
    <w:qFormat/>
    <w:rPr>
      <w:rFonts w:ascii="Courier New" w:hAnsi="Courier New" w:cs="Courier New"/>
      <w:sz w:val="20"/>
      <w:szCs w:val="20"/>
    </w:rPr>
  </w:style>
  <w:style w:type="character" w:styleId="HTML3">
    <w:name w:val="HTML Acronym"/>
    <w:basedOn w:val="ab"/>
    <w:qFormat/>
  </w:style>
  <w:style w:type="character" w:styleId="HTML4">
    <w:name w:val="HTML Variable"/>
    <w:qFormat/>
    <w:rPr>
      <w:i/>
      <w:iCs/>
    </w:rPr>
  </w:style>
  <w:style w:type="character" w:styleId="afff7">
    <w:name w:val="Hyperlink"/>
    <w:uiPriority w:val="99"/>
    <w:qFormat/>
    <w:rPr>
      <w:color w:val="0000FF"/>
      <w:u w:val="single"/>
    </w:rPr>
  </w:style>
  <w:style w:type="character" w:styleId="HTML5">
    <w:name w:val="HTML Code"/>
    <w:qFormat/>
    <w:rPr>
      <w:rFonts w:ascii="Courier New" w:hAnsi="Courier New" w:cs="Courier New"/>
      <w:sz w:val="20"/>
      <w:szCs w:val="20"/>
    </w:rPr>
  </w:style>
  <w:style w:type="character" w:styleId="afff8">
    <w:name w:val="annotation reference"/>
    <w:uiPriority w:val="99"/>
    <w:qFormat/>
    <w:rPr>
      <w:sz w:val="21"/>
      <w:szCs w:val="21"/>
    </w:rPr>
  </w:style>
  <w:style w:type="character" w:styleId="HTML6">
    <w:name w:val="HTML Cite"/>
    <w:qFormat/>
    <w:rPr>
      <w:i/>
      <w:iCs/>
    </w:rPr>
  </w:style>
  <w:style w:type="character" w:styleId="afff9">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a">
    <w:name w:val="Table Grid"/>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b">
    <w:name w:val="Table Theme"/>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c">
    <w:name w:val="Table Elegant"/>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6">
    <w:name w:val="Table Simple 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7">
    <w:name w:val="Table Subtle 1"/>
    <w:basedOn w:val="ac"/>
    <w:semiHidden/>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3D effects 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c"/>
    <w:semiHidden/>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c"/>
    <w:semiHidden/>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List 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d">
    <w:name w:val="Table Contemporary"/>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a">
    <w:name w:val="Table Columns 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c"/>
    <w:semiHidden/>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c"/>
    <w:semiHidden/>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c">
    <w:name w:val="Table Web 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e">
    <w:name w:val="Table Professional"/>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0">
    <w:name w:val="Light Shading Accent 2"/>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customStyle="1" w:styleId="1CharChar">
    <w:name w:val="样式1 Char Char"/>
    <w:qFormat/>
    <w:rPr>
      <w:rFonts w:ascii="仿宋_GB2312" w:eastAsia="仿宋_GB2312"/>
      <w:sz w:val="28"/>
      <w:lang w:val="en-US" w:eastAsia="zh-CN" w:bidi="ar-SA"/>
    </w:rPr>
  </w:style>
  <w:style w:type="character" w:customStyle="1" w:styleId="Chara">
    <w:name w:val="+正文 Char"/>
    <w:link w:val="affff"/>
    <w:qFormat/>
    <w:rPr>
      <w:kern w:val="2"/>
      <w:sz w:val="24"/>
      <w:szCs w:val="24"/>
    </w:rPr>
  </w:style>
  <w:style w:type="paragraph" w:customStyle="1" w:styleId="affff">
    <w:name w:val="+正文"/>
    <w:basedOn w:val="a9"/>
    <w:link w:val="Chara"/>
    <w:qFormat/>
    <w:pPr>
      <w:adjustRightInd w:val="0"/>
      <w:snapToGrid w:val="0"/>
      <w:spacing w:line="360" w:lineRule="auto"/>
      <w:ind w:firstLineChars="200" w:firstLine="480"/>
    </w:pPr>
    <w:rPr>
      <w:sz w:val="24"/>
    </w:rPr>
  </w:style>
  <w:style w:type="character" w:customStyle="1" w:styleId="Charb">
    <w:name w:val="五号 Char"/>
    <w:semiHidden/>
    <w:qFormat/>
    <w:rPr>
      <w:rFonts w:eastAsia="宋体"/>
      <w:kern w:val="2"/>
      <w:sz w:val="21"/>
      <w:szCs w:val="24"/>
      <w:lang w:val="en-US" w:eastAsia="zh-CN" w:bidi="ar-SA"/>
    </w:rPr>
  </w:style>
  <w:style w:type="character" w:customStyle="1" w:styleId="style31">
    <w:name w:val="style31"/>
    <w:qFormat/>
    <w:rPr>
      <w:b/>
      <w:bCs/>
      <w:color w:val="3795D2"/>
      <w:sz w:val="21"/>
      <w:szCs w:val="21"/>
    </w:rPr>
  </w:style>
  <w:style w:type="character" w:customStyle="1" w:styleId="Charc">
    <w:name w:val="文本框 Char"/>
    <w:semiHidden/>
    <w:qFormat/>
    <w:rPr>
      <w:rFonts w:ascii="宋体" w:eastAsia="宋体" w:hAnsi="宋体"/>
      <w:kern w:val="2"/>
      <w:sz w:val="21"/>
      <w:szCs w:val="24"/>
      <w:lang w:val="en-US" w:eastAsia="zh-CN" w:bidi="ar-SA"/>
    </w:rPr>
  </w:style>
  <w:style w:type="character" w:customStyle="1" w:styleId="unnamed2">
    <w:name w:val="unnamed2"/>
    <w:basedOn w:val="ab"/>
    <w:qFormat/>
  </w:style>
  <w:style w:type="character" w:customStyle="1" w:styleId="Chard">
    <w:name w:val="报告 Char"/>
    <w:link w:val="affff0"/>
    <w:qFormat/>
    <w:rPr>
      <w:rFonts w:eastAsia="宋体"/>
      <w:sz w:val="24"/>
      <w:lang w:val="en-US" w:eastAsia="zh-CN" w:bidi="ar-SA"/>
    </w:rPr>
  </w:style>
  <w:style w:type="paragraph" w:customStyle="1" w:styleId="affff0">
    <w:name w:val="报告"/>
    <w:basedOn w:val="a9"/>
    <w:link w:val="Chard"/>
    <w:semiHidden/>
    <w:qFormat/>
    <w:pPr>
      <w:overflowPunct w:val="0"/>
      <w:autoSpaceDE w:val="0"/>
      <w:autoSpaceDN w:val="0"/>
      <w:adjustRightInd w:val="0"/>
      <w:spacing w:before="120" w:after="120" w:line="400" w:lineRule="atLeast"/>
      <w:ind w:leftChars="400" w:left="840"/>
      <w:textAlignment w:val="baseline"/>
    </w:pPr>
    <w:rPr>
      <w:sz w:val="24"/>
    </w:rPr>
  </w:style>
  <w:style w:type="character" w:customStyle="1" w:styleId="QuoteChar">
    <w:name w:val="Quote Char"/>
    <w:link w:val="1d"/>
    <w:qFormat/>
    <w:locked/>
    <w:rPr>
      <w:rFonts w:eastAsia="黑体"/>
      <w:i/>
      <w:iCs/>
      <w:color w:val="000000"/>
      <w:kern w:val="2"/>
      <w:sz w:val="21"/>
      <w:szCs w:val="24"/>
      <w:lang w:val="en-US" w:eastAsia="zh-CN" w:bidi="ar-SA"/>
    </w:rPr>
  </w:style>
  <w:style w:type="paragraph" w:customStyle="1" w:styleId="1d">
    <w:name w:val="引用1"/>
    <w:basedOn w:val="a9"/>
    <w:next w:val="a9"/>
    <w:link w:val="QuoteChar"/>
    <w:pPr>
      <w:widowControl/>
      <w:spacing w:line="480" w:lineRule="exact"/>
      <w:ind w:firstLineChars="200" w:firstLine="200"/>
    </w:pPr>
    <w:rPr>
      <w:rFonts w:eastAsia="黑体"/>
      <w:i/>
      <w:iCs/>
      <w:color w:val="000000"/>
    </w:rPr>
  </w:style>
  <w:style w:type="character" w:customStyle="1" w:styleId="Chare">
    <w:name w:val="表蕊 Char"/>
    <w:link w:val="affff1"/>
    <w:qFormat/>
    <w:locked/>
    <w:rPr>
      <w:rFonts w:eastAsia="宋体"/>
      <w:kern w:val="2"/>
      <w:sz w:val="21"/>
      <w:szCs w:val="21"/>
      <w:lang w:val="en-US" w:eastAsia="zh-CN" w:bidi="ar-SA"/>
    </w:rPr>
  </w:style>
  <w:style w:type="paragraph" w:customStyle="1" w:styleId="affff1">
    <w:name w:val="表蕊"/>
    <w:basedOn w:val="a9"/>
    <w:link w:val="Chare"/>
    <w:qFormat/>
    <w:pPr>
      <w:widowControl/>
      <w:spacing w:line="320" w:lineRule="exact"/>
      <w:jc w:val="center"/>
    </w:pPr>
    <w:rPr>
      <w:szCs w:val="21"/>
    </w:rPr>
  </w:style>
  <w:style w:type="character" w:customStyle="1" w:styleId="Char">
    <w:name w:val="正文缩进 Char"/>
    <w:link w:val="aa"/>
    <w:qFormat/>
    <w:rPr>
      <w:rFonts w:eastAsia="宋体"/>
      <w:kern w:val="2"/>
      <w:sz w:val="24"/>
      <w:lang w:val="en-US" w:eastAsia="zh-CN" w:bidi="ar-SA"/>
    </w:rPr>
  </w:style>
  <w:style w:type="character" w:customStyle="1" w:styleId="Char10">
    <w:name w:val="纯文本 Char1"/>
    <w:link w:val="aff1"/>
    <w:qFormat/>
    <w:rPr>
      <w:rFonts w:ascii="宋体" w:eastAsia="宋体" w:hAnsi="Courier New"/>
      <w:kern w:val="2"/>
      <w:sz w:val="21"/>
      <w:lang w:val="en-US" w:eastAsia="zh-CN" w:bidi="ar-SA"/>
    </w:rPr>
  </w:style>
  <w:style w:type="character" w:customStyle="1" w:styleId="font31">
    <w:name w:val="font31"/>
    <w:qFormat/>
    <w:rPr>
      <w:rFonts w:ascii="宋体" w:eastAsia="宋体" w:hAnsi="宋体" w:cs="宋体" w:hint="eastAsia"/>
      <w:color w:val="FF0000"/>
      <w:sz w:val="20"/>
      <w:szCs w:val="20"/>
      <w:u w:val="none"/>
    </w:rPr>
  </w:style>
  <w:style w:type="character" w:customStyle="1" w:styleId="Charf">
    <w:name w:val="废物方框 Char"/>
    <w:link w:val="affff2"/>
    <w:qFormat/>
    <w:rPr>
      <w:rFonts w:ascii="宋体"/>
      <w:snapToGrid/>
      <w:spacing w:val="4"/>
      <w:kern w:val="2"/>
      <w:sz w:val="18"/>
      <w:szCs w:val="18"/>
    </w:rPr>
  </w:style>
  <w:style w:type="paragraph" w:customStyle="1" w:styleId="affff2">
    <w:name w:val="废物方框"/>
    <w:basedOn w:val="affff3"/>
    <w:link w:val="Charf"/>
    <w:qFormat/>
    <w:pPr>
      <w:widowControl/>
      <w:snapToGrid w:val="0"/>
      <w:spacing w:beforeLines="0" w:before="120" w:afterLines="0" w:after="60" w:line="240" w:lineRule="auto"/>
    </w:pPr>
    <w:rPr>
      <w:rFonts w:ascii="宋体" w:eastAsia="宋体"/>
      <w:snapToGrid w:val="0"/>
      <w:spacing w:val="4"/>
      <w:sz w:val="18"/>
      <w:szCs w:val="18"/>
    </w:rPr>
  </w:style>
  <w:style w:type="paragraph" w:customStyle="1" w:styleId="affff3">
    <w:name w:val="表头"/>
    <w:basedOn w:val="1e"/>
    <w:link w:val="CharChar2"/>
    <w:qFormat/>
    <w:pPr>
      <w:keepNext w:val="0"/>
      <w:keepLines w:val="0"/>
      <w:adjustRightInd w:val="0"/>
      <w:snapToGrid/>
      <w:spacing w:beforeLines="30" w:before="93" w:afterLines="30" w:after="93" w:line="440" w:lineRule="exact"/>
      <w:ind w:left="0" w:firstLine="0"/>
      <w:jc w:val="center"/>
      <w:outlineLvl w:val="9"/>
    </w:pPr>
    <w:rPr>
      <w:rFonts w:eastAsia="黑体"/>
      <w:b w:val="0"/>
      <w:kern w:val="2"/>
      <w:sz w:val="24"/>
      <w:szCs w:val="24"/>
    </w:rPr>
  </w:style>
  <w:style w:type="paragraph" w:customStyle="1" w:styleId="1e">
    <w:name w:val="样式1"/>
    <w:basedOn w:val="1"/>
    <w:link w:val="1Char"/>
    <w:qFormat/>
    <w:pPr>
      <w:pageBreakBefore w:val="0"/>
      <w:numPr>
        <w:numId w:val="0"/>
      </w:numPr>
      <w:tabs>
        <w:tab w:val="left" w:pos="360"/>
      </w:tabs>
      <w:snapToGrid w:val="0"/>
      <w:spacing w:before="120" w:after="60" w:line="288" w:lineRule="auto"/>
      <w:ind w:left="1770" w:hanging="1770"/>
      <w:textAlignment w:val="baseline"/>
    </w:pPr>
  </w:style>
  <w:style w:type="character" w:customStyle="1" w:styleId="1CharCharChar1CharChar">
    <w:name w:val="样式 正文1 Char Char + 字距调整七号 Char1 Char Char"/>
    <w:qFormat/>
    <w:rPr>
      <w:rFonts w:eastAsia="宋体"/>
      <w:kern w:val="11"/>
      <w:sz w:val="24"/>
      <w:szCs w:val="28"/>
      <w:lang w:val="en-US" w:eastAsia="zh-CN" w:bidi="ar-SA"/>
    </w:rPr>
  </w:style>
  <w:style w:type="character" w:customStyle="1" w:styleId="1CharCharCharCharCharCharCharChar">
    <w:name w:val="正文缩进1 Char Char Char Char Char Char Char Char"/>
    <w:link w:val="1CharCharCharCharCharCharChar"/>
    <w:qFormat/>
    <w:rPr>
      <w:rFonts w:cs="宋体"/>
      <w:kern w:val="2"/>
      <w:sz w:val="24"/>
    </w:rPr>
  </w:style>
  <w:style w:type="paragraph" w:customStyle="1" w:styleId="1CharCharCharCharCharCharChar">
    <w:name w:val="正文缩进1 Char Char Char Char Char Char Char"/>
    <w:basedOn w:val="a9"/>
    <w:link w:val="1CharCharCharCharCharCharCharChar"/>
    <w:qFormat/>
    <w:pPr>
      <w:widowControl/>
      <w:spacing w:line="360" w:lineRule="auto"/>
      <w:ind w:firstLineChars="200" w:firstLine="200"/>
    </w:pPr>
    <w:rPr>
      <w:rFonts w:cs="宋体"/>
      <w:sz w:val="24"/>
    </w:rPr>
  </w:style>
  <w:style w:type="character" w:customStyle="1" w:styleId="Charf0">
    <w:name w:val="样式 环科所表内格式 + 五号 Char"/>
    <w:link w:val="affff4"/>
    <w:qFormat/>
    <w:rPr>
      <w:rFonts w:eastAsia="仿宋_GB2312"/>
      <w:kern w:val="2"/>
      <w:sz w:val="21"/>
      <w:szCs w:val="21"/>
    </w:rPr>
  </w:style>
  <w:style w:type="paragraph" w:customStyle="1" w:styleId="affff4">
    <w:name w:val="样式 环科所表内格式 + 五号"/>
    <w:basedOn w:val="affff5"/>
    <w:link w:val="Charf0"/>
    <w:qFormat/>
    <w:pPr>
      <w:widowControl/>
    </w:pPr>
    <w:rPr>
      <w:sz w:val="21"/>
      <w:szCs w:val="21"/>
    </w:rPr>
  </w:style>
  <w:style w:type="paragraph" w:customStyle="1" w:styleId="affff5">
    <w:name w:val="环科所表内格式"/>
    <w:basedOn w:val="affff6"/>
    <w:link w:val="Charf1"/>
    <w:qFormat/>
    <w:pPr>
      <w:ind w:leftChars="-50" w:left="-50" w:rightChars="-50" w:right="-50"/>
    </w:pPr>
    <w:rPr>
      <w:rFonts w:eastAsia="仿宋_GB2312"/>
    </w:rPr>
  </w:style>
  <w:style w:type="paragraph" w:customStyle="1" w:styleId="affff6">
    <w:name w:val="表内格式"/>
    <w:basedOn w:val="a9"/>
    <w:link w:val="Char12"/>
    <w:qFormat/>
    <w:pPr>
      <w:jc w:val="center"/>
    </w:pPr>
    <w:rPr>
      <w:sz w:val="18"/>
    </w:rPr>
  </w:style>
  <w:style w:type="character" w:customStyle="1" w:styleId="1CharChar4">
    <w:name w:val="正文1 Char Char4"/>
    <w:qFormat/>
    <w:rPr>
      <w:rFonts w:eastAsia="宋体"/>
      <w:kern w:val="2"/>
      <w:sz w:val="24"/>
      <w:szCs w:val="28"/>
      <w:lang w:val="en-US" w:eastAsia="zh-CN" w:bidi="ar-SA"/>
    </w:rPr>
  </w:style>
  <w:style w:type="character" w:customStyle="1" w:styleId="12Char">
    <w:name w:val="样式12君邦正文 Char"/>
    <w:link w:val="120"/>
    <w:qFormat/>
    <w:rPr>
      <w:bCs/>
      <w:snapToGrid/>
      <w:sz w:val="24"/>
      <w:szCs w:val="24"/>
    </w:rPr>
  </w:style>
  <w:style w:type="paragraph" w:customStyle="1" w:styleId="120">
    <w:name w:val="样式12君邦正文"/>
    <w:basedOn w:val="affff7"/>
    <w:link w:val="12Char"/>
    <w:qFormat/>
    <w:rPr>
      <w:szCs w:val="24"/>
    </w:rPr>
  </w:style>
  <w:style w:type="paragraph" w:customStyle="1" w:styleId="affff7">
    <w:name w:val="君邦正文"/>
    <w:link w:val="Char2a"/>
    <w:qFormat/>
    <w:pPr>
      <w:spacing w:after="60" w:line="360" w:lineRule="auto"/>
      <w:ind w:firstLineChars="200" w:firstLine="480"/>
      <w:jc w:val="both"/>
    </w:pPr>
    <w:rPr>
      <w:bCs/>
      <w:snapToGrid w:val="0"/>
      <w:sz w:val="24"/>
    </w:rPr>
  </w:style>
  <w:style w:type="character" w:customStyle="1" w:styleId="1Char0">
    <w:name w:val="表格1 Char"/>
    <w:link w:val="1f"/>
    <w:qFormat/>
    <w:rPr>
      <w:rFonts w:ascii="宋体"/>
      <w:sz w:val="24"/>
    </w:rPr>
  </w:style>
  <w:style w:type="paragraph" w:customStyle="1" w:styleId="1f">
    <w:name w:val="表格1"/>
    <w:basedOn w:val="a9"/>
    <w:link w:val="1Char0"/>
    <w:qFormat/>
    <w:pPr>
      <w:widowControl/>
      <w:adjustRightInd w:val="0"/>
      <w:jc w:val="center"/>
      <w:textAlignment w:val="baseline"/>
    </w:pPr>
    <w:rPr>
      <w:rFonts w:ascii="宋体"/>
      <w:sz w:val="24"/>
    </w:rPr>
  </w:style>
  <w:style w:type="character" w:customStyle="1" w:styleId="Char13">
    <w:name w:val="页脚 Char1"/>
    <w:qFormat/>
    <w:rPr>
      <w:rFonts w:eastAsia="宋体"/>
      <w:kern w:val="2"/>
      <w:sz w:val="18"/>
      <w:szCs w:val="18"/>
      <w:lang w:val="en-US" w:eastAsia="zh-CN" w:bidi="ar-SA"/>
    </w:rPr>
  </w:style>
  <w:style w:type="character" w:customStyle="1" w:styleId="3Char0">
    <w:name w:val="标题 3 正式 Char"/>
    <w:qFormat/>
    <w:rPr>
      <w:rFonts w:ascii="Arial" w:eastAsia="黑体" w:hAnsi="Arial"/>
      <w:b/>
      <w:bCs/>
      <w:snapToGrid/>
      <w:spacing w:val="4"/>
      <w:sz w:val="28"/>
      <w:szCs w:val="28"/>
      <w:lang w:val="en-US" w:eastAsia="zh-CN" w:bidi="ar-SA"/>
    </w:rPr>
  </w:style>
  <w:style w:type="character" w:customStyle="1" w:styleId="310">
    <w:name w:val="正文文本 3 字符1"/>
    <w:qFormat/>
    <w:rPr>
      <w:kern w:val="2"/>
      <w:sz w:val="28"/>
      <w:szCs w:val="24"/>
    </w:rPr>
  </w:style>
  <w:style w:type="character" w:customStyle="1" w:styleId="richtextmngstyle1">
    <w:name w:val="richtextmngstyle1"/>
    <w:qFormat/>
    <w:rPr>
      <w:color w:val="000000"/>
      <w:spacing w:val="18"/>
      <w:sz w:val="25"/>
      <w:szCs w:val="25"/>
      <w:u w:val="none"/>
    </w:rPr>
  </w:style>
  <w:style w:type="character" w:customStyle="1" w:styleId="TimesNewRoman20CharChar">
    <w:name w:val="样式 (西文) Times New Roman (中文) 宋体 (符号) 宋体 行距: 固定值 20 磅 首行缩进:  ... Char Char"/>
    <w:link w:val="TimesNewRoman20"/>
    <w:qFormat/>
    <w:rPr>
      <w:rFonts w:hAnsi="宋体"/>
      <w:sz w:val="24"/>
      <w:lang w:eastAsia="de-DE"/>
    </w:rPr>
  </w:style>
  <w:style w:type="paragraph" w:customStyle="1" w:styleId="TimesNewRoman20">
    <w:name w:val="样式 (西文) Times New Roman (中文) 宋体 (符号) 宋体 行距: 固定值 20 磅 首行缩进:  ..."/>
    <w:basedOn w:val="a9"/>
    <w:link w:val="TimesNewRoman20CharChar"/>
    <w:qFormat/>
    <w:pPr>
      <w:widowControl/>
      <w:spacing w:line="400" w:lineRule="exact"/>
      <w:ind w:firstLineChars="200" w:firstLine="200"/>
    </w:pPr>
    <w:rPr>
      <w:rFonts w:hAnsi="宋体"/>
      <w:sz w:val="24"/>
      <w:lang w:eastAsia="de-DE"/>
    </w:rPr>
  </w:style>
  <w:style w:type="character" w:customStyle="1" w:styleId="h21">
    <w:name w:val="h21"/>
    <w:basedOn w:val="ab"/>
    <w:qFormat/>
  </w:style>
  <w:style w:type="character" w:customStyle="1" w:styleId="TimesNewRomanChar">
    <w:name w:val="样式 环科 所正文 + Times New Roman Char"/>
    <w:link w:val="TimesNewRoman"/>
    <w:qFormat/>
    <w:rPr>
      <w:rFonts w:eastAsia="仿宋_GB2312" w:cs="宋体"/>
      <w:sz w:val="24"/>
      <w:szCs w:val="24"/>
    </w:rPr>
  </w:style>
  <w:style w:type="paragraph" w:customStyle="1" w:styleId="TimesNewRoman">
    <w:name w:val="样式 环科 所正文 + Times New Roman"/>
    <w:basedOn w:val="affff8"/>
    <w:link w:val="TimesNewRomanChar"/>
    <w:qFormat/>
    <w:rPr>
      <w:rFonts w:ascii="Times New Roman" w:hAnsi="Times New Roman"/>
      <w:lang w:bidi="ar-SA"/>
    </w:rPr>
  </w:style>
  <w:style w:type="paragraph" w:customStyle="1" w:styleId="affff8">
    <w:name w:val="环科 所正文"/>
    <w:basedOn w:val="a9"/>
    <w:qFormat/>
    <w:pPr>
      <w:widowControl/>
      <w:spacing w:line="360" w:lineRule="auto"/>
      <w:ind w:firstLineChars="200" w:firstLine="200"/>
    </w:pPr>
    <w:rPr>
      <w:rFonts w:ascii="宋体" w:eastAsia="仿宋_GB2312" w:hAnsi="宋体" w:cs="宋体"/>
      <w:sz w:val="24"/>
      <w:lang w:bidi="ne-NP"/>
    </w:rPr>
  </w:style>
  <w:style w:type="character" w:customStyle="1" w:styleId="puntext">
    <w:name w:val="puntext"/>
    <w:qFormat/>
    <w:rPr>
      <w:rFonts w:eastAsia="黑体"/>
      <w:kern w:val="2"/>
      <w:sz w:val="30"/>
      <w:szCs w:val="30"/>
      <w:lang w:val="en-US" w:eastAsia="zh-CN" w:bidi="ar-SA"/>
    </w:rPr>
  </w:style>
  <w:style w:type="character" w:customStyle="1" w:styleId="Charf2">
    <w:name w:val="表 头 Char"/>
    <w:link w:val="affff9"/>
    <w:qFormat/>
    <w:rPr>
      <w:rFonts w:ascii="Arial" w:eastAsia="黑体" w:cs="Arial"/>
      <w:b/>
      <w:kern w:val="2"/>
      <w:sz w:val="21"/>
      <w:szCs w:val="21"/>
    </w:rPr>
  </w:style>
  <w:style w:type="paragraph" w:customStyle="1" w:styleId="affff9">
    <w:name w:val="表 头"/>
    <w:basedOn w:val="a9"/>
    <w:link w:val="Charf2"/>
    <w:qFormat/>
    <w:pPr>
      <w:tabs>
        <w:tab w:val="left" w:pos="1418"/>
      </w:tabs>
      <w:adjustRightInd w:val="0"/>
      <w:spacing w:before="120" w:after="120" w:line="360" w:lineRule="atLeast"/>
      <w:ind w:right="-120"/>
      <w:jc w:val="center"/>
    </w:pPr>
    <w:rPr>
      <w:rFonts w:ascii="Arial" w:eastAsia="黑体" w:cs="Arial"/>
      <w:b/>
      <w:szCs w:val="21"/>
    </w:rPr>
  </w:style>
  <w:style w:type="character" w:customStyle="1" w:styleId="1CharCharCharCharChar">
    <w:name w:val="表格文字1 Char Char Char Char Char"/>
    <w:link w:val="1CharCharCharChar"/>
    <w:qFormat/>
    <w:rPr>
      <w:rFonts w:ascii="宋体" w:eastAsia="宋体-方正超大字符集" w:hAnsi="宋体"/>
      <w:kern w:val="2"/>
      <w:sz w:val="21"/>
      <w:szCs w:val="21"/>
    </w:rPr>
  </w:style>
  <w:style w:type="paragraph" w:customStyle="1" w:styleId="1CharCharCharChar">
    <w:name w:val="表格文字1 Char Char Char Char"/>
    <w:basedOn w:val="a9"/>
    <w:link w:val="1CharCharCharCharChar"/>
    <w:semiHidden/>
    <w:qFormat/>
    <w:pPr>
      <w:widowControl/>
      <w:adjustRightInd w:val="0"/>
      <w:snapToGrid w:val="0"/>
      <w:jc w:val="center"/>
    </w:pPr>
    <w:rPr>
      <w:rFonts w:ascii="宋体" w:eastAsia="宋体-方正超大字符集" w:hAnsi="宋体"/>
      <w:szCs w:val="21"/>
    </w:rPr>
  </w:style>
  <w:style w:type="character" w:customStyle="1" w:styleId="1Char1">
    <w:name w:val="章标题 1 Char1"/>
    <w:qFormat/>
    <w:rPr>
      <w:b/>
      <w:kern w:val="44"/>
      <w:sz w:val="32"/>
    </w:rPr>
  </w:style>
  <w:style w:type="character" w:customStyle="1" w:styleId="3CharCharCharCharCharCharCharCharCharCharChar">
    <w:name w:val="标题 3 Char Char Char Char Char Char Char Char Char Char Char"/>
    <w:qFormat/>
    <w:rPr>
      <w:rFonts w:eastAsia="宋体"/>
      <w:b/>
      <w:bCs/>
      <w:kern w:val="2"/>
      <w:sz w:val="32"/>
      <w:szCs w:val="32"/>
      <w:lang w:val="en-US" w:eastAsia="zh-CN" w:bidi="ar-SA"/>
    </w:rPr>
  </w:style>
  <w:style w:type="character" w:customStyle="1" w:styleId="1f0">
    <w:name w:val="称呼 字符1"/>
    <w:qFormat/>
    <w:rPr>
      <w:kern w:val="2"/>
      <w:sz w:val="21"/>
      <w:szCs w:val="24"/>
    </w:rPr>
  </w:style>
  <w:style w:type="character" w:customStyle="1" w:styleId="Charf3">
    <w:name w:val="表格(张曦) Char"/>
    <w:link w:val="affffa"/>
    <w:uiPriority w:val="99"/>
    <w:qFormat/>
    <w:locked/>
    <w:rPr>
      <w:kern w:val="2"/>
      <w:sz w:val="24"/>
      <w:szCs w:val="24"/>
    </w:rPr>
  </w:style>
  <w:style w:type="paragraph" w:customStyle="1" w:styleId="affffa">
    <w:name w:val="表格(张曦)"/>
    <w:basedOn w:val="a9"/>
    <w:link w:val="Charf3"/>
    <w:uiPriority w:val="99"/>
    <w:qFormat/>
    <w:pPr>
      <w:snapToGrid w:val="0"/>
      <w:jc w:val="center"/>
    </w:pPr>
    <w:rPr>
      <w:sz w:val="24"/>
    </w:rPr>
  </w:style>
  <w:style w:type="character" w:customStyle="1" w:styleId="CharChar72">
    <w:name w:val="Char Char72"/>
    <w:qFormat/>
    <w:rPr>
      <w:rFonts w:eastAsia="宋体"/>
      <w:kern w:val="2"/>
      <w:sz w:val="21"/>
      <w:szCs w:val="24"/>
      <w:lang w:val="en-US" w:eastAsia="zh-CN" w:bidi="ar-SA"/>
    </w:rPr>
  </w:style>
  <w:style w:type="character" w:customStyle="1" w:styleId="CharChar">
    <w:name w:val="正文文本 Char Char"/>
    <w:qFormat/>
    <w:rPr>
      <w:rFonts w:ascii="Arial" w:eastAsia="华文细黑" w:hAnsi="Arial"/>
      <w:sz w:val="22"/>
      <w:szCs w:val="21"/>
      <w:lang w:val="en-US" w:eastAsia="de-DE" w:bidi="ar-SA"/>
    </w:rPr>
  </w:style>
  <w:style w:type="character" w:customStyle="1" w:styleId="p148">
    <w:name w:val="p148"/>
    <w:basedOn w:val="ab"/>
    <w:qFormat/>
  </w:style>
  <w:style w:type="character" w:customStyle="1" w:styleId="PlainTextChar">
    <w:name w:val="Plain Text Char"/>
    <w:qFormat/>
    <w:locked/>
    <w:rPr>
      <w:rFonts w:ascii="宋体" w:eastAsia="宋体" w:hAnsi="Courier New"/>
      <w:kern w:val="2"/>
      <w:sz w:val="21"/>
      <w:lang w:val="en-US" w:eastAsia="zh-CN" w:bidi="ar-SA"/>
    </w:rPr>
  </w:style>
  <w:style w:type="character" w:customStyle="1" w:styleId="timu1">
    <w:name w:val="timu1"/>
    <w:qFormat/>
    <w:rPr>
      <w:rFonts w:eastAsia="黑体"/>
      <w:kern w:val="2"/>
      <w:sz w:val="24"/>
      <w:szCs w:val="24"/>
      <w:lang w:val="en-US" w:eastAsia="zh-CN" w:bidi="ar-SA"/>
    </w:rPr>
  </w:style>
  <w:style w:type="character" w:customStyle="1" w:styleId="btcontent1">
    <w:name w:val="bt_content1"/>
    <w:qFormat/>
    <w:rPr>
      <w:sz w:val="24"/>
      <w:szCs w:val="24"/>
    </w:rPr>
  </w:style>
  <w:style w:type="character" w:customStyle="1" w:styleId="HeaderChar">
    <w:name w:val="Header Char"/>
    <w:qFormat/>
    <w:locked/>
    <w:rPr>
      <w:rFonts w:cs="Times New Roman"/>
      <w:sz w:val="18"/>
      <w:szCs w:val="18"/>
    </w:rPr>
  </w:style>
  <w:style w:type="character" w:customStyle="1" w:styleId="1CharChar2">
    <w:name w:val="正文1 Char Char2"/>
    <w:qFormat/>
    <w:rPr>
      <w:rFonts w:eastAsia="仿宋_GB2312"/>
      <w:kern w:val="2"/>
      <w:sz w:val="28"/>
      <w:szCs w:val="28"/>
      <w:lang w:val="en-US" w:eastAsia="zh-CN" w:bidi="ar-SA"/>
    </w:rPr>
  </w:style>
  <w:style w:type="character" w:customStyle="1" w:styleId="fontgray1">
    <w:name w:val="fontgray1"/>
    <w:qFormat/>
    <w:rPr>
      <w:rFonts w:hint="default"/>
      <w:color w:val="666666"/>
      <w:sz w:val="18"/>
      <w:szCs w:val="18"/>
    </w:rPr>
  </w:style>
  <w:style w:type="character" w:customStyle="1" w:styleId="1CharCharCharCharCharChar">
    <w:name w:val="正文（首行缩进两字）1 Char Char Char Char Char Char"/>
    <w:qFormat/>
    <w:rPr>
      <w:rFonts w:eastAsia="仿宋_GB2312"/>
      <w:kern w:val="2"/>
      <w:sz w:val="28"/>
      <w:szCs w:val="28"/>
      <w:lang w:val="en-US" w:eastAsia="zh-CN" w:bidi="ar-SA"/>
    </w:rPr>
  </w:style>
  <w:style w:type="character" w:customStyle="1" w:styleId="headline-content">
    <w:name w:val="headline-content"/>
    <w:basedOn w:val="ab"/>
    <w:qFormat/>
  </w:style>
  <w:style w:type="character" w:customStyle="1" w:styleId="ttl1">
    <w:name w:val="ttl1"/>
    <w:basedOn w:val="ab"/>
    <w:qFormat/>
  </w:style>
  <w:style w:type="character" w:customStyle="1" w:styleId="CharChar23">
    <w:name w:val="Char Char23"/>
    <w:qFormat/>
    <w:rPr>
      <w:rFonts w:eastAsia="宋体"/>
      <w:kern w:val="2"/>
      <w:sz w:val="18"/>
      <w:lang w:val="en-US" w:eastAsia="zh-CN" w:bidi="ar-SA"/>
    </w:rPr>
  </w:style>
  <w:style w:type="character" w:customStyle="1" w:styleId="CharChar91">
    <w:name w:val="Char Char91"/>
    <w:qFormat/>
    <w:rPr>
      <w:rFonts w:ascii="Arial" w:eastAsia="黑体" w:hAnsi="Arial"/>
      <w:sz w:val="24"/>
    </w:rPr>
  </w:style>
  <w:style w:type="character" w:customStyle="1" w:styleId="1CharCharChar1">
    <w:name w:val="正文1 Char Char Char1"/>
    <w:qFormat/>
    <w:rPr>
      <w:rFonts w:eastAsia="仿宋_GB2312"/>
      <w:color w:val="000000"/>
      <w:kern w:val="2"/>
      <w:sz w:val="28"/>
      <w:szCs w:val="28"/>
      <w:lang w:val="en-US" w:eastAsia="zh-CN" w:bidi="ar-SA"/>
    </w:rPr>
  </w:style>
  <w:style w:type="character" w:customStyle="1" w:styleId="xxxxxx">
    <w:name w:val="xxxxxx"/>
    <w:qFormat/>
    <w:rPr>
      <w:rFonts w:eastAsia="黑体"/>
      <w:kern w:val="2"/>
      <w:sz w:val="30"/>
      <w:szCs w:val="30"/>
      <w:lang w:val="en-US" w:eastAsia="zh-CN" w:bidi="ar-SA"/>
    </w:rPr>
  </w:style>
  <w:style w:type="character" w:customStyle="1" w:styleId="CharChar20">
    <w:name w:val="Char Char20"/>
    <w:qFormat/>
    <w:rPr>
      <w:rFonts w:ascii="宋体" w:eastAsia="宋体" w:hAnsi="宋体" w:cs="Times New Roman"/>
      <w:sz w:val="32"/>
      <w:szCs w:val="20"/>
    </w:rPr>
  </w:style>
  <w:style w:type="character" w:customStyle="1" w:styleId="Char14">
    <w:name w:val="表头 Char1"/>
    <w:qFormat/>
    <w:rPr>
      <w:rFonts w:ascii="黑体" w:eastAsia="黑体"/>
      <w:kern w:val="2"/>
      <w:sz w:val="24"/>
      <w:szCs w:val="24"/>
      <w:lang w:val="en-US" w:eastAsia="zh-CN" w:bidi="ar-SA"/>
    </w:rPr>
  </w:style>
  <w:style w:type="character" w:customStyle="1" w:styleId="CharChar42">
    <w:name w:val="Char Char42"/>
    <w:link w:val="59"/>
    <w:qFormat/>
    <w:rPr>
      <w:bCs/>
      <w:snapToGrid/>
      <w:sz w:val="24"/>
    </w:rPr>
  </w:style>
  <w:style w:type="paragraph" w:customStyle="1" w:styleId="59">
    <w:name w:val="正文5"/>
    <w:link w:val="CharChar42"/>
    <w:qFormat/>
    <w:pPr>
      <w:spacing w:after="60" w:line="360" w:lineRule="auto"/>
      <w:jc w:val="both"/>
    </w:pPr>
    <w:rPr>
      <w:bCs/>
      <w:snapToGrid w:val="0"/>
      <w:sz w:val="24"/>
    </w:rPr>
  </w:style>
  <w:style w:type="character" w:customStyle="1" w:styleId="CharChar102">
    <w:name w:val="Char Char102"/>
    <w:semiHidden/>
    <w:qFormat/>
    <w:rPr>
      <w:rFonts w:eastAsia="宋体"/>
      <w:kern w:val="2"/>
      <w:sz w:val="16"/>
      <w:szCs w:val="16"/>
      <w:lang w:val="en-US" w:eastAsia="zh-CN" w:bidi="ar-SA"/>
    </w:rPr>
  </w:style>
  <w:style w:type="character" w:customStyle="1" w:styleId="CharChar202">
    <w:name w:val="Char Char202"/>
    <w:qFormat/>
    <w:rPr>
      <w:rFonts w:ascii="宋体" w:eastAsia="宋体" w:hAnsi="宋体" w:cs="Times New Roman"/>
      <w:sz w:val="32"/>
      <w:szCs w:val="20"/>
    </w:rPr>
  </w:style>
  <w:style w:type="character" w:customStyle="1" w:styleId="1CharChar1">
    <w:name w:val="正文1 Char Char1"/>
    <w:qFormat/>
    <w:rPr>
      <w:rFonts w:eastAsia="仿宋_GB2312"/>
      <w:snapToGrid/>
      <w:kern w:val="2"/>
      <w:sz w:val="28"/>
      <w:szCs w:val="28"/>
      <w:lang w:val="en-US" w:eastAsia="zh-CN" w:bidi="ar-SA"/>
    </w:rPr>
  </w:style>
  <w:style w:type="character" w:customStyle="1" w:styleId="CharChar0">
    <w:name w:val="报告书正文 Char Char"/>
    <w:link w:val="affffb"/>
    <w:qFormat/>
    <w:locked/>
    <w:rPr>
      <w:sz w:val="24"/>
      <w:lang w:val="zh-CN" w:bidi="ne-NP"/>
    </w:rPr>
  </w:style>
  <w:style w:type="paragraph" w:customStyle="1" w:styleId="affffb">
    <w:name w:val="报告书正文"/>
    <w:basedOn w:val="a9"/>
    <w:link w:val="CharChar0"/>
    <w:qFormat/>
    <w:pPr>
      <w:widowControl/>
      <w:spacing w:line="360" w:lineRule="auto"/>
      <w:ind w:firstLineChars="200" w:firstLine="200"/>
    </w:pPr>
    <w:rPr>
      <w:sz w:val="24"/>
      <w:lang w:val="zh-CN" w:bidi="ne-NP"/>
    </w:rPr>
  </w:style>
  <w:style w:type="character" w:customStyle="1" w:styleId="CharChar101">
    <w:name w:val="Char Char101"/>
    <w:semiHidden/>
    <w:qFormat/>
    <w:rPr>
      <w:rFonts w:eastAsia="宋体"/>
      <w:kern w:val="2"/>
      <w:sz w:val="16"/>
      <w:szCs w:val="16"/>
      <w:lang w:val="en-US" w:eastAsia="zh-CN" w:bidi="ar-SA"/>
    </w:rPr>
  </w:style>
  <w:style w:type="character" w:customStyle="1" w:styleId="CharChar81">
    <w:name w:val="Char Char81"/>
    <w:qFormat/>
    <w:rPr>
      <w:rFonts w:eastAsia="宋体"/>
      <w:kern w:val="2"/>
      <w:sz w:val="21"/>
      <w:szCs w:val="24"/>
      <w:lang w:val="en-US" w:eastAsia="zh-CN" w:bidi="ar-SA"/>
    </w:rPr>
  </w:style>
  <w:style w:type="character" w:customStyle="1" w:styleId="2f2">
    <w:name w:val="页码2"/>
    <w:basedOn w:val="ab"/>
    <w:qFormat/>
  </w:style>
  <w:style w:type="character" w:customStyle="1" w:styleId="CharChar201">
    <w:name w:val="Char Char201"/>
    <w:qFormat/>
    <w:rPr>
      <w:rFonts w:ascii="宋体" w:eastAsia="宋体" w:hAnsi="宋体" w:cs="Times New Roman"/>
      <w:sz w:val="32"/>
      <w:szCs w:val="20"/>
    </w:rPr>
  </w:style>
  <w:style w:type="character" w:customStyle="1" w:styleId="CharChar4">
    <w:name w:val="Char Char4"/>
    <w:qFormat/>
    <w:rPr>
      <w:rFonts w:ascii="Times New Roman" w:eastAsia="宋体" w:hAnsi="Times New Roman" w:cs="Times New Roman"/>
      <w:sz w:val="18"/>
      <w:szCs w:val="18"/>
    </w:rPr>
  </w:style>
  <w:style w:type="character" w:customStyle="1" w:styleId="1Char3">
    <w:name w:val="样式 君邦正文 + 蓝色1 Char"/>
    <w:link w:val="1f1"/>
    <w:qFormat/>
    <w:rPr>
      <w:rFonts w:eastAsia="宋体"/>
      <w:bCs/>
      <w:snapToGrid w:val="0"/>
      <w:color w:val="0000FF"/>
      <w:sz w:val="24"/>
      <w:lang w:val="en-US" w:eastAsia="zh-CN" w:bidi="ar-SA"/>
    </w:rPr>
  </w:style>
  <w:style w:type="paragraph" w:customStyle="1" w:styleId="1f1">
    <w:name w:val="样式 君邦正文 + 蓝色1"/>
    <w:basedOn w:val="affff7"/>
    <w:link w:val="1Char3"/>
    <w:qFormat/>
    <w:rPr>
      <w:bCs w:val="0"/>
      <w:color w:val="0000FF"/>
    </w:rPr>
  </w:style>
  <w:style w:type="character" w:customStyle="1" w:styleId="CharChar1">
    <w:name w:val="表头 Char Char"/>
    <w:qFormat/>
    <w:rPr>
      <w:rFonts w:ascii="黑体" w:eastAsia="黑体"/>
      <w:bCs/>
      <w:sz w:val="24"/>
      <w:lang w:val="en-US" w:eastAsia="zh-CN" w:bidi="ar-SA"/>
    </w:rPr>
  </w:style>
  <w:style w:type="character" w:customStyle="1" w:styleId="3f0">
    <w:name w:val="页码3"/>
    <w:basedOn w:val="ab"/>
    <w:qFormat/>
  </w:style>
  <w:style w:type="character" w:customStyle="1" w:styleId="CharCharCharChar1">
    <w:name w:val="Char Char Char Char1"/>
    <w:qFormat/>
    <w:rPr>
      <w:rFonts w:eastAsia="宋体"/>
      <w:color w:val="000000"/>
      <w:kern w:val="2"/>
      <w:sz w:val="18"/>
      <w:szCs w:val="24"/>
      <w:lang w:val="en-US" w:eastAsia="zh-CN" w:bidi="ar-SA"/>
    </w:rPr>
  </w:style>
  <w:style w:type="character" w:customStyle="1" w:styleId="2CharCharCharChar">
    <w:name w:val="样式 首行缩进:  2 字符 Char Char Char Char"/>
    <w:link w:val="2CharCharChar"/>
    <w:qFormat/>
    <w:rPr>
      <w:rFonts w:eastAsia="创艺简仿宋"/>
      <w:kern w:val="2"/>
      <w:sz w:val="24"/>
      <w:szCs w:val="24"/>
    </w:rPr>
  </w:style>
  <w:style w:type="paragraph" w:customStyle="1" w:styleId="2CharCharChar">
    <w:name w:val="样式 首行缩进:  2 字符 Char Char Char"/>
    <w:basedOn w:val="a9"/>
    <w:link w:val="2CharCharCharChar"/>
    <w:qFormat/>
    <w:pPr>
      <w:widowControl/>
      <w:topLinePunct/>
      <w:spacing w:line="360" w:lineRule="auto"/>
      <w:ind w:firstLineChars="200" w:firstLine="200"/>
    </w:pPr>
    <w:rPr>
      <w:rFonts w:eastAsia="创艺简仿宋"/>
      <w:sz w:val="24"/>
    </w:rPr>
  </w:style>
  <w:style w:type="character" w:customStyle="1" w:styleId="74">
    <w:name w:val="标题7"/>
    <w:basedOn w:val="ab"/>
    <w:qFormat/>
  </w:style>
  <w:style w:type="character" w:customStyle="1" w:styleId="1Char4">
    <w:name w:val="1. Char"/>
    <w:link w:val="1f2"/>
    <w:qFormat/>
    <w:locked/>
    <w:rPr>
      <w:rFonts w:ascii="Arial" w:eastAsia="MS Gothic" w:hAnsi="Arial"/>
      <w:sz w:val="24"/>
      <w:lang w:eastAsia="ja-JP"/>
    </w:rPr>
  </w:style>
  <w:style w:type="paragraph" w:customStyle="1" w:styleId="1f2">
    <w:name w:val="1."/>
    <w:basedOn w:val="a9"/>
    <w:link w:val="1Char4"/>
    <w:qFormat/>
    <w:pPr>
      <w:widowControl/>
      <w:tabs>
        <w:tab w:val="left" w:pos="805"/>
        <w:tab w:val="left" w:pos="4536"/>
        <w:tab w:val="left" w:pos="4820"/>
      </w:tabs>
      <w:adjustRightInd w:val="0"/>
      <w:spacing w:line="368" w:lineRule="exact"/>
      <w:ind w:left="567" w:hanging="567"/>
      <w:textAlignment w:val="baseline"/>
    </w:pPr>
    <w:rPr>
      <w:rFonts w:ascii="Arial" w:eastAsia="MS Gothic" w:hAnsi="Arial"/>
      <w:sz w:val="24"/>
      <w:lang w:eastAsia="ja-JP"/>
    </w:rPr>
  </w:style>
  <w:style w:type="character" w:customStyle="1" w:styleId="Char2b">
    <w:name w:val="页眉 Char2"/>
    <w:semiHidden/>
    <w:qFormat/>
    <w:rPr>
      <w:rFonts w:eastAsia="宋体"/>
      <w:kern w:val="2"/>
      <w:sz w:val="18"/>
      <w:szCs w:val="18"/>
      <w:lang w:val="en-US" w:eastAsia="zh-CN" w:bidi="ar-SA"/>
    </w:rPr>
  </w:style>
  <w:style w:type="character" w:customStyle="1" w:styleId="hangju">
    <w:name w:val="hangju"/>
    <w:basedOn w:val="ab"/>
    <w:qFormat/>
  </w:style>
  <w:style w:type="character" w:customStyle="1" w:styleId="Charf4">
    <w:name w:val="君邦表头格式 Char"/>
    <w:link w:val="affffc"/>
    <w:qFormat/>
    <w:rPr>
      <w:rFonts w:eastAsia="黑体" w:hAnsi="黑体" w:cs="宋体"/>
      <w:b/>
      <w:bCs/>
      <w:sz w:val="24"/>
    </w:rPr>
  </w:style>
  <w:style w:type="paragraph" w:customStyle="1" w:styleId="affffc">
    <w:name w:val="君邦表头格式"/>
    <w:basedOn w:val="1f3"/>
    <w:link w:val="Charf4"/>
    <w:qFormat/>
    <w:pPr>
      <w:spacing w:beforeLines="0" w:before="50"/>
    </w:pPr>
    <w:rPr>
      <w:rFonts w:hAnsi="黑体" w:cs="宋体"/>
      <w:bCs/>
    </w:rPr>
  </w:style>
  <w:style w:type="paragraph" w:customStyle="1" w:styleId="1f3">
    <w:name w:val="表头样式1"/>
    <w:basedOn w:val="a9"/>
    <w:link w:val="1Char10"/>
    <w:qFormat/>
    <w:pPr>
      <w:spacing w:beforeLines="50" w:before="156"/>
      <w:jc w:val="center"/>
    </w:pPr>
    <w:rPr>
      <w:rFonts w:eastAsia="黑体"/>
      <w:b/>
      <w:sz w:val="24"/>
    </w:rPr>
  </w:style>
  <w:style w:type="character" w:customStyle="1" w:styleId="p121">
    <w:name w:val="p121"/>
    <w:semiHidden/>
    <w:qFormat/>
    <w:rPr>
      <w:rFonts w:ascii="宋体" w:eastAsia="宋体" w:hint="eastAsia"/>
      <w:b/>
      <w:bCs/>
      <w:color w:val="000000"/>
      <w:sz w:val="18"/>
      <w:szCs w:val="18"/>
    </w:rPr>
  </w:style>
  <w:style w:type="character" w:customStyle="1" w:styleId="Charf5">
    <w:name w:val="环保正文 Char"/>
    <w:link w:val="affffd"/>
    <w:qFormat/>
    <w:rPr>
      <w:b/>
      <w:sz w:val="24"/>
      <w:szCs w:val="24"/>
    </w:rPr>
  </w:style>
  <w:style w:type="paragraph" w:customStyle="1" w:styleId="affffd">
    <w:name w:val="环保正文"/>
    <w:basedOn w:val="a9"/>
    <w:link w:val="Charf5"/>
    <w:qFormat/>
    <w:pPr>
      <w:tabs>
        <w:tab w:val="left" w:pos="0"/>
        <w:tab w:val="left" w:pos="7012"/>
      </w:tabs>
      <w:autoSpaceDE w:val="0"/>
      <w:autoSpaceDN w:val="0"/>
      <w:spacing w:line="360" w:lineRule="auto"/>
      <w:ind w:firstLineChars="200" w:firstLine="200"/>
    </w:pPr>
    <w:rPr>
      <w:b/>
      <w:sz w:val="24"/>
    </w:rPr>
  </w:style>
  <w:style w:type="character" w:customStyle="1" w:styleId="HTML10">
    <w:name w:val="HTML 地址 字符1"/>
    <w:qFormat/>
    <w:rPr>
      <w:i/>
      <w:iCs/>
      <w:kern w:val="2"/>
      <w:sz w:val="21"/>
      <w:szCs w:val="24"/>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top-main1">
    <w:name w:val="top-main1"/>
    <w:qFormat/>
    <w:rPr>
      <w:rFonts w:ascii="Arial" w:hAnsi="Arial" w:cs="Arial" w:hint="default"/>
      <w:color w:val="000000"/>
      <w:sz w:val="18"/>
      <w:szCs w:val="18"/>
      <w:u w:val="none"/>
    </w:rPr>
  </w:style>
  <w:style w:type="character" w:customStyle="1" w:styleId="Char15">
    <w:name w:val="标题 Char1"/>
    <w:uiPriority w:val="10"/>
    <w:qFormat/>
    <w:rPr>
      <w:rFonts w:ascii="Cambria" w:eastAsia="宋体" w:hAnsi="Cambria" w:cs="Times New Roman"/>
      <w:b/>
      <w:bCs/>
      <w:sz w:val="32"/>
      <w:szCs w:val="32"/>
    </w:rPr>
  </w:style>
  <w:style w:type="character" w:customStyle="1" w:styleId="610">
    <w:name w:val="标题 6 字符1"/>
    <w:qFormat/>
    <w:rPr>
      <w:rFonts w:ascii="宋体"/>
      <w:kern w:val="2"/>
      <w:sz w:val="24"/>
    </w:rPr>
  </w:style>
  <w:style w:type="character" w:customStyle="1" w:styleId="810">
    <w:name w:val="标题 8 字符1"/>
    <w:qFormat/>
    <w:rPr>
      <w:color w:val="008000"/>
      <w:kern w:val="2"/>
      <w:sz w:val="28"/>
    </w:rPr>
  </w:style>
  <w:style w:type="character" w:customStyle="1" w:styleId="Charf6">
    <w:name w:val="报告书表头 Char"/>
    <w:link w:val="affffe"/>
    <w:qFormat/>
    <w:locked/>
    <w:rPr>
      <w:rFonts w:ascii="黑体" w:eastAsia="黑体" w:hAnsi="黑体"/>
      <w:b/>
      <w:sz w:val="24"/>
    </w:rPr>
  </w:style>
  <w:style w:type="paragraph" w:customStyle="1" w:styleId="affffe">
    <w:name w:val="报告书表头"/>
    <w:basedOn w:val="a9"/>
    <w:link w:val="Charf6"/>
    <w:qFormat/>
    <w:pPr>
      <w:adjustRightInd w:val="0"/>
      <w:snapToGrid w:val="0"/>
      <w:jc w:val="center"/>
    </w:pPr>
    <w:rPr>
      <w:rFonts w:ascii="黑体" w:eastAsia="黑体" w:hAnsi="黑体"/>
      <w:b/>
      <w:sz w:val="24"/>
    </w:rPr>
  </w:style>
  <w:style w:type="character" w:customStyle="1" w:styleId="1f4">
    <w:name w:val="正文文本 字符1"/>
    <w:qFormat/>
    <w:rPr>
      <w:rFonts w:ascii="Times" w:hAnsi="Times"/>
      <w:kern w:val="24"/>
      <w:sz w:val="24"/>
      <w:szCs w:val="24"/>
    </w:rPr>
  </w:style>
  <w:style w:type="character" w:customStyle="1" w:styleId="Charf7">
    <w:name w:val="表格内字体 Char"/>
    <w:link w:val="afffff"/>
    <w:qFormat/>
    <w:rPr>
      <w:rFonts w:eastAsia="楷体_GB2312"/>
      <w:kern w:val="2"/>
      <w:sz w:val="18"/>
    </w:rPr>
  </w:style>
  <w:style w:type="paragraph" w:customStyle="1" w:styleId="afffff">
    <w:name w:val="表格内字体"/>
    <w:basedOn w:val="a9"/>
    <w:link w:val="Charf7"/>
    <w:qFormat/>
    <w:pPr>
      <w:jc w:val="center"/>
    </w:pPr>
    <w:rPr>
      <w:rFonts w:eastAsia="楷体_GB2312"/>
      <w:sz w:val="18"/>
    </w:rPr>
  </w:style>
  <w:style w:type="character" w:customStyle="1" w:styleId="Charf8">
    <w:name w:val="表头样式 Char"/>
    <w:link w:val="afffff0"/>
    <w:qFormat/>
    <w:rPr>
      <w:rFonts w:eastAsia="楷体_GB2312"/>
      <w:b/>
      <w:kern w:val="2"/>
      <w:sz w:val="24"/>
      <w:szCs w:val="24"/>
    </w:rPr>
  </w:style>
  <w:style w:type="paragraph" w:customStyle="1" w:styleId="afffff0">
    <w:name w:val="表头样式"/>
    <w:basedOn w:val="a9"/>
    <w:next w:val="afffff1"/>
    <w:link w:val="Charf8"/>
    <w:qFormat/>
    <w:pPr>
      <w:snapToGrid w:val="0"/>
      <w:jc w:val="center"/>
    </w:pPr>
    <w:rPr>
      <w:rFonts w:eastAsia="楷体_GB2312"/>
      <w:b/>
      <w:sz w:val="24"/>
    </w:rPr>
  </w:style>
  <w:style w:type="paragraph" w:customStyle="1" w:styleId="afffff1">
    <w:name w:val="报告表正文"/>
    <w:basedOn w:val="a9"/>
    <w:link w:val="Char16"/>
    <w:qFormat/>
    <w:pPr>
      <w:adjustRightInd w:val="0"/>
      <w:spacing w:line="300" w:lineRule="auto"/>
      <w:ind w:left="113" w:right="113"/>
      <w:textAlignment w:val="baseline"/>
    </w:pPr>
    <w:rPr>
      <w:sz w:val="24"/>
    </w:rPr>
  </w:style>
  <w:style w:type="character" w:customStyle="1" w:styleId="nfont14black">
    <w:name w:val="nfont14black"/>
    <w:basedOn w:val="ab"/>
    <w:qFormat/>
  </w:style>
  <w:style w:type="character" w:customStyle="1" w:styleId="00Char">
    <w:name w:val="正文00 Char"/>
    <w:link w:val="00"/>
    <w:rPr>
      <w:bCs/>
      <w:snapToGrid/>
      <w:sz w:val="24"/>
    </w:rPr>
  </w:style>
  <w:style w:type="paragraph" w:customStyle="1" w:styleId="00">
    <w:name w:val="正文00"/>
    <w:basedOn w:val="affff7"/>
    <w:link w:val="00Char"/>
    <w:qFormat/>
    <w:pPr>
      <w:widowControl w:val="0"/>
      <w:spacing w:after="0"/>
    </w:pPr>
  </w:style>
  <w:style w:type="character" w:customStyle="1" w:styleId="titledetailstyle10">
    <w:name w:val="title detail style10"/>
    <w:basedOn w:val="ab"/>
    <w:qFormat/>
  </w:style>
  <w:style w:type="character" w:customStyle="1" w:styleId="CharChar3">
    <w:name w:val="表格文字 Char Char"/>
    <w:qFormat/>
    <w:rPr>
      <w:rFonts w:ascii="宋体" w:hAnsi="宋体" w:cs="宋体"/>
      <w:sz w:val="24"/>
      <w:lang w:bidi="ne-NP"/>
    </w:rPr>
  </w:style>
  <w:style w:type="character" w:customStyle="1" w:styleId="CharCharTimesNewRomanChar">
    <w:name w:val="样式 环科院正文 Char Char + Times New Roman Char"/>
    <w:link w:val="CharCharTimesNewRoman"/>
    <w:qFormat/>
    <w:rPr>
      <w:bCs/>
      <w:sz w:val="24"/>
      <w:szCs w:val="24"/>
    </w:rPr>
  </w:style>
  <w:style w:type="paragraph" w:customStyle="1" w:styleId="CharCharTimesNewRoman">
    <w:name w:val="样式 环科院正文 Char Char + Times New Roman"/>
    <w:basedOn w:val="a9"/>
    <w:link w:val="CharCharTimesNewRomanChar"/>
    <w:qFormat/>
    <w:pPr>
      <w:spacing w:line="300" w:lineRule="auto"/>
      <w:ind w:firstLineChars="200" w:firstLine="200"/>
    </w:pPr>
    <w:rPr>
      <w:bCs/>
      <w:sz w:val="24"/>
    </w:rPr>
  </w:style>
  <w:style w:type="character" w:customStyle="1" w:styleId="GB2312Char">
    <w:name w:val="样式 (中文) 楷体_GB2312 小五 居中 Char"/>
    <w:link w:val="GB2312"/>
    <w:qFormat/>
    <w:locked/>
    <w:rPr>
      <w:rFonts w:ascii="楷体_GB2312" w:eastAsia="楷体_GB2312" w:cs="宋体"/>
      <w:sz w:val="18"/>
    </w:rPr>
  </w:style>
  <w:style w:type="paragraph" w:customStyle="1" w:styleId="GB2312">
    <w:name w:val="样式 (中文) 楷体_GB2312 小五 居中"/>
    <w:basedOn w:val="a9"/>
    <w:link w:val="GB2312Char"/>
    <w:qFormat/>
    <w:pPr>
      <w:jc w:val="center"/>
    </w:pPr>
    <w:rPr>
      <w:rFonts w:ascii="楷体_GB2312" w:eastAsia="楷体_GB2312" w:cs="宋体"/>
      <w:sz w:val="18"/>
    </w:rPr>
  </w:style>
  <w:style w:type="character" w:customStyle="1" w:styleId="4086466CharChar">
    <w:name w:val="样式 标题 4 + 左侧:  0 厘米 悬挂缩进: 8.64 字符 段前: 6 磅 段后: 6 磅 行距: 单倍行距 Char Char"/>
    <w:link w:val="4086466"/>
    <w:qFormat/>
    <w:rPr>
      <w:rFonts w:ascii="Arial" w:eastAsia="黑体" w:hAnsi="Arial"/>
      <w:b/>
      <w:kern w:val="2"/>
      <w:sz w:val="24"/>
    </w:rPr>
  </w:style>
  <w:style w:type="paragraph" w:customStyle="1" w:styleId="4086466">
    <w:name w:val="样式 标题 4 + 左侧:  0 厘米 悬挂缩进: 8.64 字符 段前: 6 磅 段后: 6 磅 行距: 单倍行距"/>
    <w:basedOn w:val="4"/>
    <w:link w:val="4086466CharChar"/>
    <w:qFormat/>
    <w:pPr>
      <w:keepNext/>
      <w:keepLines/>
      <w:numPr>
        <w:ilvl w:val="0"/>
        <w:numId w:val="0"/>
      </w:numPr>
      <w:tabs>
        <w:tab w:val="left" w:pos="0"/>
        <w:tab w:val="left" w:pos="592"/>
        <w:tab w:val="left" w:pos="840"/>
        <w:tab w:val="left" w:pos="1567"/>
        <w:tab w:val="left" w:pos="2152"/>
      </w:tabs>
      <w:spacing w:beforeLines="50" w:afterLines="50" w:line="312" w:lineRule="auto"/>
      <w:ind w:left="2152" w:hanging="420"/>
    </w:pPr>
    <w:rPr>
      <w:rFonts w:ascii="Arial" w:eastAsia="黑体" w:hAnsi="Arial"/>
      <w:kern w:val="2"/>
    </w:rPr>
  </w:style>
  <w:style w:type="character" w:customStyle="1" w:styleId="font141">
    <w:name w:val="font141"/>
    <w:qFormat/>
    <w:rPr>
      <w:rFonts w:ascii="宋体" w:eastAsia="宋体" w:hAnsi="宋体" w:cs="宋体" w:hint="eastAsia"/>
      <w:color w:val="000000"/>
      <w:sz w:val="20"/>
      <w:szCs w:val="20"/>
      <w:u w:val="none"/>
      <w:vertAlign w:val="superscript"/>
    </w:rPr>
  </w:style>
  <w:style w:type="character" w:customStyle="1" w:styleId="Charf9">
    <w:name w:val="君邦正文 Char"/>
    <w:qFormat/>
    <w:rPr>
      <w:rFonts w:eastAsia="宋体"/>
      <w:bCs/>
      <w:snapToGrid w:val="0"/>
      <w:sz w:val="24"/>
      <w:lang w:val="en-US" w:eastAsia="zh-CN" w:bidi="ar-SA"/>
    </w:rPr>
  </w:style>
  <w:style w:type="character" w:customStyle="1" w:styleId="Charfa">
    <w:name w:val="表内容 Char"/>
    <w:link w:val="afffff2"/>
    <w:qFormat/>
    <w:locked/>
    <w:rPr>
      <w:rFonts w:eastAsia="仿宋_GB2312"/>
      <w:kern w:val="2"/>
      <w:sz w:val="24"/>
      <w:szCs w:val="24"/>
    </w:rPr>
  </w:style>
  <w:style w:type="paragraph" w:customStyle="1" w:styleId="afffff2">
    <w:name w:val="表内容"/>
    <w:basedOn w:val="a9"/>
    <w:link w:val="Charfa"/>
    <w:qFormat/>
    <w:pPr>
      <w:jc w:val="center"/>
    </w:pPr>
    <w:rPr>
      <w:rFonts w:eastAsia="仿宋_GB2312"/>
      <w:sz w:val="24"/>
    </w:rPr>
  </w:style>
  <w:style w:type="character" w:customStyle="1" w:styleId="font131">
    <w:name w:val="font131"/>
    <w:qFormat/>
    <w:rPr>
      <w:rFonts w:ascii="宋体" w:eastAsia="宋体" w:hAnsi="宋体" w:cs="宋体" w:hint="eastAsia"/>
      <w:color w:val="000000"/>
      <w:sz w:val="20"/>
      <w:szCs w:val="20"/>
      <w:u w:val="none"/>
      <w:vertAlign w:val="subscript"/>
    </w:rPr>
  </w:style>
  <w:style w:type="character" w:customStyle="1" w:styleId="Charfb">
    <w:name w:val="表头 Char"/>
    <w:qFormat/>
    <w:rPr>
      <w:rFonts w:eastAsia="黑体"/>
      <w:kern w:val="2"/>
      <w:sz w:val="24"/>
      <w:szCs w:val="24"/>
      <w:lang w:val="en-US" w:eastAsia="zh-CN" w:bidi="ar-SA"/>
    </w:rPr>
  </w:style>
  <w:style w:type="character" w:customStyle="1" w:styleId="Char17">
    <w:name w:val="正文缩进 Char1"/>
    <w:qFormat/>
    <w:rPr>
      <w:rFonts w:eastAsia="宋体"/>
      <w:kern w:val="2"/>
      <w:sz w:val="24"/>
      <w:lang w:val="en-US" w:eastAsia="zh-CN" w:bidi="ar-SA"/>
    </w:rPr>
  </w:style>
  <w:style w:type="character" w:customStyle="1" w:styleId="Charfc">
    <w:name w:val="报告表正文 Char"/>
    <w:qFormat/>
    <w:rPr>
      <w:rFonts w:eastAsia="楷体_GB2312"/>
      <w:kern w:val="2"/>
      <w:sz w:val="24"/>
      <w:szCs w:val="24"/>
      <w:lang w:val="en-US" w:eastAsia="zh-CN" w:bidi="ar-SA"/>
    </w:rPr>
  </w:style>
  <w:style w:type="character" w:customStyle="1" w:styleId="zhengwen1">
    <w:name w:val="zhengwen1"/>
    <w:qFormat/>
    <w:rPr>
      <w:rFonts w:hint="default"/>
      <w:sz w:val="18"/>
      <w:szCs w:val="18"/>
      <w:u w:val="none"/>
    </w:rPr>
  </w:style>
  <w:style w:type="character" w:customStyle="1" w:styleId="1f5">
    <w:name w:val="列表 字符1"/>
    <w:qFormat/>
    <w:rPr>
      <w:rFonts w:eastAsia="宋体"/>
      <w:kern w:val="2"/>
      <w:sz w:val="21"/>
      <w:lang w:val="en-US" w:eastAsia="zh-CN" w:bidi="ar-SA"/>
    </w:rPr>
  </w:style>
  <w:style w:type="character" w:customStyle="1" w:styleId="Char25">
    <w:name w:val="尾注文本 Char2"/>
    <w:link w:val="aff3"/>
    <w:qFormat/>
    <w:rPr>
      <w:rFonts w:ascii="宋体" w:hAnsi="宋体" w:cs="宋体"/>
      <w:sz w:val="24"/>
      <w:lang w:bidi="ne-NP"/>
    </w:rPr>
  </w:style>
  <w:style w:type="character" w:customStyle="1" w:styleId="5Char1">
    <w:name w:val="标题 5 Char1"/>
    <w:qFormat/>
    <w:rPr>
      <w:rFonts w:eastAsia="宋体"/>
      <w:b/>
      <w:kern w:val="2"/>
      <w:sz w:val="24"/>
      <w:lang w:val="en-US" w:eastAsia="zh-CN" w:bidi="ar-SA"/>
    </w:rPr>
  </w:style>
  <w:style w:type="character" w:customStyle="1" w:styleId="Char32">
    <w:name w:val="页眉 Char3"/>
    <w:link w:val="aff7"/>
    <w:uiPriority w:val="99"/>
    <w:qFormat/>
    <w:rPr>
      <w:rFonts w:eastAsia="宋体"/>
      <w:kern w:val="2"/>
      <w:sz w:val="18"/>
      <w:szCs w:val="18"/>
      <w:lang w:val="en-US" w:eastAsia="zh-CN" w:bidi="ar-SA"/>
    </w:rPr>
  </w:style>
  <w:style w:type="character" w:customStyle="1" w:styleId="5Char6">
    <w:name w:val="标题 5 Char6"/>
    <w:link w:val="5"/>
    <w:qFormat/>
    <w:rPr>
      <w:b/>
      <w:sz w:val="24"/>
    </w:rPr>
  </w:style>
  <w:style w:type="character" w:customStyle="1" w:styleId="1Char5">
    <w:name w:val="正文1 Char"/>
    <w:qFormat/>
    <w:rPr>
      <w:rFonts w:eastAsia="宋体"/>
      <w:kern w:val="2"/>
      <w:sz w:val="24"/>
      <w:lang w:val="en-US" w:eastAsia="zh-CN" w:bidi="ar-SA"/>
    </w:rPr>
  </w:style>
  <w:style w:type="character" w:customStyle="1" w:styleId="4CharChar">
    <w:name w:val="标题4 Char Char"/>
    <w:semiHidden/>
    <w:qFormat/>
    <w:rPr>
      <w:rFonts w:eastAsia="宋体"/>
      <w:b/>
      <w:kern w:val="2"/>
      <w:sz w:val="24"/>
      <w:szCs w:val="24"/>
      <w:lang w:val="en-US" w:eastAsia="zh-CN" w:bidi="ar-SA"/>
    </w:rPr>
  </w:style>
  <w:style w:type="character" w:customStyle="1" w:styleId="zhou11">
    <w:name w:val="zhou11"/>
    <w:semiHidden/>
    <w:qFormat/>
    <w:rPr>
      <w:color w:val="000000"/>
      <w:sz w:val="21"/>
      <w:szCs w:val="21"/>
    </w:rPr>
  </w:style>
  <w:style w:type="character" w:customStyle="1" w:styleId="Charfd">
    <w:name w:val="报告书：正文 Char"/>
    <w:link w:val="afffff3"/>
    <w:qFormat/>
    <w:rPr>
      <w:sz w:val="24"/>
    </w:rPr>
  </w:style>
  <w:style w:type="paragraph" w:customStyle="1" w:styleId="afffff3">
    <w:name w:val="报告书：正文"/>
    <w:basedOn w:val="a9"/>
    <w:link w:val="Charfd"/>
    <w:qFormat/>
    <w:pPr>
      <w:spacing w:line="360" w:lineRule="auto"/>
      <w:ind w:firstLineChars="200" w:firstLine="200"/>
    </w:pPr>
    <w:rPr>
      <w:sz w:val="24"/>
    </w:rPr>
  </w:style>
  <w:style w:type="character" w:customStyle="1" w:styleId="font71">
    <w:name w:val="font71"/>
    <w:qFormat/>
    <w:rPr>
      <w:rFonts w:ascii="Times New Roman" w:hAnsi="Times New Roman" w:cs="Times New Roman" w:hint="default"/>
      <w:color w:val="000000"/>
      <w:sz w:val="20"/>
      <w:szCs w:val="20"/>
      <w:u w:val="none"/>
    </w:rPr>
  </w:style>
  <w:style w:type="character" w:customStyle="1" w:styleId="2Char11">
    <w:name w:val="标题 2 Char1"/>
    <w:qFormat/>
    <w:rPr>
      <w:rFonts w:ascii="Arial" w:eastAsia="黑体" w:hAnsi="Arial"/>
      <w:b/>
      <w:bCs/>
      <w:kern w:val="2"/>
      <w:sz w:val="28"/>
      <w:szCs w:val="32"/>
      <w:lang w:val="en-US" w:eastAsia="zh-CN" w:bidi="ar-SA"/>
    </w:rPr>
  </w:style>
  <w:style w:type="character" w:customStyle="1" w:styleId="4Char1">
    <w:name w:val="标题 4 Char1"/>
    <w:qFormat/>
    <w:rPr>
      <w:rFonts w:eastAsia="宋体"/>
      <w:b/>
      <w:kern w:val="2"/>
      <w:sz w:val="24"/>
      <w:lang w:val="en-US" w:eastAsia="zh-CN" w:bidi="ar-SA"/>
    </w:rPr>
  </w:style>
  <w:style w:type="character" w:customStyle="1" w:styleId="font121">
    <w:name w:val="font121"/>
    <w:qFormat/>
    <w:rPr>
      <w:rFonts w:ascii="宋体" w:eastAsia="宋体" w:hAnsi="宋体" w:cs="宋体" w:hint="eastAsia"/>
      <w:color w:val="000000"/>
      <w:sz w:val="20"/>
      <w:szCs w:val="20"/>
      <w:u w:val="none"/>
      <w:vertAlign w:val="superscript"/>
    </w:rPr>
  </w:style>
  <w:style w:type="character" w:customStyle="1" w:styleId="font81">
    <w:name w:val="font81"/>
    <w:qFormat/>
    <w:rPr>
      <w:rFonts w:ascii="宋体" w:eastAsia="宋体" w:hAnsi="宋体" w:cs="宋体" w:hint="eastAsia"/>
      <w:color w:val="000000"/>
      <w:sz w:val="20"/>
      <w:szCs w:val="20"/>
      <w:u w:val="none"/>
    </w:rPr>
  </w:style>
  <w:style w:type="character" w:customStyle="1" w:styleId="1Char6">
    <w:name w:val="表头样式1 Char"/>
    <w:qFormat/>
    <w:rPr>
      <w:rFonts w:eastAsia="黑体"/>
      <w:b/>
      <w:kern w:val="2"/>
      <w:sz w:val="24"/>
      <w:lang w:val="en-US" w:eastAsia="zh-CN" w:bidi="ar-SA"/>
    </w:rPr>
  </w:style>
  <w:style w:type="character" w:customStyle="1" w:styleId="3CharChar1">
    <w:name w:val="标题 3 Char Char1"/>
    <w:semiHidden/>
    <w:qFormat/>
    <w:rPr>
      <w:rFonts w:ascii="Arial" w:eastAsia="宋体" w:hAnsi="Arial"/>
      <w:b/>
      <w:bCs/>
      <w:kern w:val="2"/>
      <w:sz w:val="28"/>
      <w:szCs w:val="28"/>
      <w:lang w:val="en-US" w:eastAsia="zh-CN" w:bidi="ar-SA"/>
    </w:rPr>
  </w:style>
  <w:style w:type="character" w:customStyle="1" w:styleId="Charfe">
    <w:name w:val="正文首行缩进 Char"/>
    <w:qFormat/>
    <w:rPr>
      <w:rFonts w:ascii="宋体" w:eastAsia="宋体" w:hAnsi="宋体"/>
      <w:kern w:val="2"/>
      <w:sz w:val="24"/>
      <w:szCs w:val="24"/>
      <w:lang w:val="en-US" w:eastAsia="zh-CN" w:bidi="ar-SA"/>
    </w:rPr>
  </w:style>
  <w:style w:type="character" w:customStyle="1" w:styleId="Charff">
    <w:name w:val="表内格式 Char"/>
    <w:qFormat/>
    <w:rPr>
      <w:rFonts w:eastAsia="宋体"/>
      <w:kern w:val="2"/>
      <w:sz w:val="18"/>
      <w:lang w:val="en-US" w:eastAsia="zh-CN" w:bidi="ar-SA"/>
    </w:rPr>
  </w:style>
  <w:style w:type="character" w:customStyle="1" w:styleId="Char18">
    <w:name w:val="君邦正文 Char1"/>
    <w:qFormat/>
    <w:rPr>
      <w:rFonts w:eastAsia="宋体"/>
      <w:bCs/>
      <w:snapToGrid w:val="0"/>
      <w:sz w:val="24"/>
      <w:lang w:val="en-US" w:eastAsia="zh-CN" w:bidi="ar-SA"/>
    </w:rPr>
  </w:style>
  <w:style w:type="character" w:customStyle="1" w:styleId="4Char2">
    <w:name w:val="标题 4 Char2"/>
    <w:link w:val="4"/>
    <w:qFormat/>
    <w:rPr>
      <w:b/>
      <w:color w:val="000000"/>
      <w:sz w:val="24"/>
    </w:rPr>
  </w:style>
  <w:style w:type="character" w:customStyle="1" w:styleId="unnamed1">
    <w:name w:val="unnamed1"/>
    <w:basedOn w:val="ab"/>
    <w:qFormat/>
  </w:style>
  <w:style w:type="character" w:customStyle="1" w:styleId="Char19">
    <w:name w:val="表头字体 Char1"/>
    <w:link w:val="afffff4"/>
    <w:qFormat/>
    <w:rPr>
      <w:rFonts w:eastAsia="黑体"/>
      <w:b/>
      <w:bCs/>
      <w:color w:val="000000"/>
      <w:sz w:val="24"/>
      <w:szCs w:val="24"/>
      <w:lang w:val="zh-CN" w:eastAsia="zh-CN" w:bidi="ar-SA"/>
    </w:rPr>
  </w:style>
  <w:style w:type="paragraph" w:customStyle="1" w:styleId="afffff4">
    <w:name w:val="表头字体"/>
    <w:basedOn w:val="4"/>
    <w:next w:val="affff7"/>
    <w:link w:val="Char19"/>
    <w:qFormat/>
    <w:pPr>
      <w:numPr>
        <w:ilvl w:val="0"/>
        <w:numId w:val="0"/>
      </w:numPr>
      <w:snapToGrid w:val="0"/>
      <w:spacing w:after="0" w:line="240" w:lineRule="auto"/>
      <w:jc w:val="center"/>
      <w:outlineLvl w:val="9"/>
    </w:pPr>
    <w:rPr>
      <w:rFonts w:eastAsia="黑体"/>
      <w:bCs/>
      <w:szCs w:val="24"/>
      <w:lang w:val="zh-CN"/>
    </w:rPr>
  </w:style>
  <w:style w:type="character" w:customStyle="1" w:styleId="9p1">
    <w:name w:val="9p1"/>
    <w:qFormat/>
    <w:rPr>
      <w:sz w:val="18"/>
      <w:szCs w:val="18"/>
    </w:rPr>
  </w:style>
  <w:style w:type="character" w:customStyle="1" w:styleId="Char2a">
    <w:name w:val="君邦正文 Char2"/>
    <w:link w:val="affff7"/>
    <w:qFormat/>
    <w:rPr>
      <w:rFonts w:eastAsia="宋体"/>
      <w:bCs/>
      <w:snapToGrid w:val="0"/>
      <w:sz w:val="24"/>
      <w:lang w:val="en-US" w:eastAsia="zh-CN" w:bidi="ar-SA"/>
    </w:rPr>
  </w:style>
  <w:style w:type="character" w:customStyle="1" w:styleId="Charff0">
    <w:name w:val="表格 Char"/>
    <w:link w:val="afffff5"/>
    <w:qFormat/>
    <w:rPr>
      <w:rFonts w:eastAsia="宋体" w:hAnsi="宋体"/>
      <w:sz w:val="21"/>
      <w:szCs w:val="24"/>
      <w:lang w:val="en-US" w:eastAsia="zh-CN" w:bidi="ar-SA"/>
    </w:rPr>
  </w:style>
  <w:style w:type="paragraph" w:customStyle="1" w:styleId="afffff5">
    <w:name w:val="表格"/>
    <w:basedOn w:val="1e"/>
    <w:link w:val="Charff0"/>
    <w:qFormat/>
    <w:pPr>
      <w:keepNext w:val="0"/>
      <w:keepLines w:val="0"/>
      <w:snapToGrid/>
      <w:spacing w:before="0" w:after="0" w:line="360" w:lineRule="exact"/>
      <w:ind w:left="0" w:firstLine="0"/>
      <w:jc w:val="center"/>
      <w:textAlignment w:val="auto"/>
      <w:outlineLvl w:val="9"/>
    </w:pPr>
    <w:rPr>
      <w:rFonts w:hAnsi="宋体"/>
      <w:b w:val="0"/>
      <w:kern w:val="0"/>
      <w:sz w:val="21"/>
      <w:szCs w:val="24"/>
    </w:rPr>
  </w:style>
  <w:style w:type="character" w:customStyle="1" w:styleId="1Char10">
    <w:name w:val="表头样式1 Char1"/>
    <w:link w:val="1f3"/>
    <w:qFormat/>
    <w:rPr>
      <w:rFonts w:eastAsia="黑体"/>
      <w:b/>
      <w:kern w:val="2"/>
      <w:sz w:val="24"/>
      <w:lang w:val="en-US" w:eastAsia="zh-CN" w:bidi="ar-SA"/>
    </w:rPr>
  </w:style>
  <w:style w:type="character" w:customStyle="1" w:styleId="1Char">
    <w:name w:val="样式1 Char"/>
    <w:link w:val="1e"/>
    <w:qFormat/>
    <w:rPr>
      <w:rFonts w:eastAsia="宋体"/>
      <w:b/>
      <w:kern w:val="44"/>
      <w:sz w:val="32"/>
      <w:lang w:val="en-US" w:eastAsia="zh-CN" w:bidi="ar-SA"/>
    </w:rPr>
  </w:style>
  <w:style w:type="character" w:customStyle="1" w:styleId="Charff1">
    <w:name w:val="正文小四 Char"/>
    <w:link w:val="afffff6"/>
    <w:qFormat/>
    <w:locked/>
    <w:rPr>
      <w:rFonts w:eastAsia="宋体"/>
      <w:snapToGrid w:val="0"/>
      <w:sz w:val="24"/>
      <w:lang w:val="en-US" w:eastAsia="zh-CN" w:bidi="ar-SA"/>
    </w:rPr>
  </w:style>
  <w:style w:type="paragraph" w:customStyle="1" w:styleId="afffff6">
    <w:name w:val="正文小四"/>
    <w:basedOn w:val="a9"/>
    <w:link w:val="Charff1"/>
    <w:qFormat/>
    <w:pPr>
      <w:adjustRightInd w:val="0"/>
      <w:snapToGrid w:val="0"/>
      <w:spacing w:line="360" w:lineRule="auto"/>
      <w:ind w:firstLineChars="200" w:firstLine="482"/>
      <w:textAlignment w:val="baseline"/>
    </w:pPr>
    <w:rPr>
      <w:snapToGrid w:val="0"/>
      <w:sz w:val="24"/>
    </w:rPr>
  </w:style>
  <w:style w:type="character" w:customStyle="1" w:styleId="CharChar10">
    <w:name w:val="Char Char1"/>
    <w:link w:val="Char180"/>
    <w:qFormat/>
    <w:rPr>
      <w:rFonts w:eastAsia="宋体"/>
      <w:kern w:val="2"/>
      <w:sz w:val="21"/>
      <w:szCs w:val="24"/>
      <w:lang w:val="en-US" w:eastAsia="zh-CN" w:bidi="ar-SA"/>
    </w:rPr>
  </w:style>
  <w:style w:type="paragraph" w:customStyle="1" w:styleId="Char180">
    <w:name w:val="Char18"/>
    <w:basedOn w:val="a9"/>
    <w:link w:val="CharChar10"/>
  </w:style>
  <w:style w:type="character" w:customStyle="1" w:styleId="Char12">
    <w:name w:val="表内格式 Char1"/>
    <w:link w:val="affff6"/>
    <w:qFormat/>
    <w:rPr>
      <w:rFonts w:eastAsia="宋体"/>
      <w:kern w:val="2"/>
      <w:sz w:val="18"/>
      <w:lang w:val="en-US" w:eastAsia="zh-CN" w:bidi="ar-SA"/>
    </w:rPr>
  </w:style>
  <w:style w:type="character" w:customStyle="1" w:styleId="CharChar5">
    <w:name w:val="表格（可改） Char Char"/>
    <w:link w:val="afffff7"/>
    <w:qFormat/>
    <w:rPr>
      <w:rFonts w:eastAsia="Arial"/>
      <w:kern w:val="2"/>
      <w:sz w:val="21"/>
      <w:szCs w:val="21"/>
      <w:lang w:val="en-US" w:eastAsia="zh-CN" w:bidi="ar-SA"/>
    </w:rPr>
  </w:style>
  <w:style w:type="paragraph" w:customStyle="1" w:styleId="afffff7">
    <w:name w:val="表格（可改）"/>
    <w:basedOn w:val="a9"/>
    <w:link w:val="CharChar5"/>
    <w:qFormat/>
    <w:pPr>
      <w:spacing w:line="360" w:lineRule="exact"/>
      <w:jc w:val="center"/>
    </w:pPr>
    <w:rPr>
      <w:rFonts w:eastAsia="Arial"/>
      <w:szCs w:val="21"/>
    </w:rPr>
  </w:style>
  <w:style w:type="character" w:customStyle="1" w:styleId="unnamed11">
    <w:name w:val="unnamed11"/>
    <w:qFormat/>
    <w:rPr>
      <w:color w:val="333333"/>
      <w:sz w:val="18"/>
      <w:szCs w:val="18"/>
      <w:u w:val="none"/>
    </w:rPr>
  </w:style>
  <w:style w:type="character" w:customStyle="1" w:styleId="linkw1">
    <w:name w:val="link_w1"/>
    <w:qFormat/>
    <w:rPr>
      <w:color w:val="FFFFFF"/>
      <w:sz w:val="18"/>
      <w:szCs w:val="18"/>
    </w:rPr>
  </w:style>
  <w:style w:type="character" w:customStyle="1" w:styleId="style51">
    <w:name w:val="style51"/>
    <w:qFormat/>
    <w:rPr>
      <w:b/>
      <w:bCs/>
      <w:color w:val="FF0000"/>
      <w:sz w:val="24"/>
      <w:szCs w:val="24"/>
    </w:rPr>
  </w:style>
  <w:style w:type="character" w:customStyle="1" w:styleId="style21">
    <w:name w:val="style21"/>
    <w:qFormat/>
    <w:rPr>
      <w:sz w:val="21"/>
      <w:szCs w:val="21"/>
    </w:rPr>
  </w:style>
  <w:style w:type="character" w:customStyle="1" w:styleId="1f6">
    <w:name w:val="标题1"/>
    <w:basedOn w:val="ab"/>
    <w:qFormat/>
  </w:style>
  <w:style w:type="character" w:customStyle="1" w:styleId="ps01">
    <w:name w:val="ps01"/>
    <w:basedOn w:val="ab"/>
    <w:qFormat/>
  </w:style>
  <w:style w:type="character" w:customStyle="1" w:styleId="user0011">
    <w:name w:val="user0011"/>
    <w:qFormat/>
    <w:rPr>
      <w:sz w:val="18"/>
      <w:szCs w:val="18"/>
    </w:rPr>
  </w:style>
  <w:style w:type="character" w:customStyle="1" w:styleId="style11">
    <w:name w:val="style11"/>
    <w:qFormat/>
    <w:rPr>
      <w:color w:val="FF0000"/>
    </w:rPr>
  </w:style>
  <w:style w:type="character" w:customStyle="1" w:styleId="normal--char1">
    <w:name w:val="normal--char1"/>
    <w:qFormat/>
    <w:rPr>
      <w:rFonts w:ascii="Times New Roman" w:hAnsi="Times New Roman" w:cs="Times New Roman" w:hint="default"/>
      <w:sz w:val="20"/>
      <w:szCs w:val="20"/>
      <w:u w:val="none"/>
    </w:rPr>
  </w:style>
  <w:style w:type="character" w:customStyle="1" w:styleId="CharChar6">
    <w:name w:val="报告表正文 Char Char"/>
    <w:qFormat/>
    <w:rPr>
      <w:rFonts w:eastAsia="楷体_GB2312"/>
      <w:kern w:val="2"/>
      <w:sz w:val="24"/>
      <w:szCs w:val="24"/>
      <w:lang w:val="en-US" w:eastAsia="zh-CN" w:bidi="ar-SA"/>
    </w:rPr>
  </w:style>
  <w:style w:type="character" w:customStyle="1" w:styleId="CharChar21">
    <w:name w:val="Char Char2"/>
    <w:qFormat/>
    <w:rPr>
      <w:rFonts w:eastAsia="宋体"/>
      <w:kern w:val="2"/>
      <w:sz w:val="18"/>
      <w:lang w:val="en-US" w:eastAsia="zh-CN" w:bidi="ar-SA"/>
    </w:rPr>
  </w:style>
  <w:style w:type="character" w:customStyle="1" w:styleId="110">
    <w:name w:val="页码11"/>
    <w:basedOn w:val="ab"/>
    <w:qFormat/>
  </w:style>
  <w:style w:type="character" w:customStyle="1" w:styleId="2Char3">
    <w:name w:val="样式2 Char"/>
    <w:link w:val="2f3"/>
    <w:qFormat/>
    <w:rPr>
      <w:rFonts w:eastAsia="黑体"/>
      <w:b/>
      <w:kern w:val="44"/>
      <w:sz w:val="32"/>
      <w:lang w:val="en-US" w:eastAsia="zh-CN" w:bidi="ar-SA"/>
    </w:rPr>
  </w:style>
  <w:style w:type="paragraph" w:customStyle="1" w:styleId="2f3">
    <w:name w:val="样式2"/>
    <w:basedOn w:val="2"/>
    <w:link w:val="2Char3"/>
    <w:qFormat/>
    <w:pPr>
      <w:keepNext/>
      <w:numPr>
        <w:ilvl w:val="0"/>
        <w:numId w:val="0"/>
      </w:numPr>
      <w:adjustRightInd w:val="0"/>
      <w:snapToGrid w:val="0"/>
      <w:spacing w:before="60" w:after="0" w:line="288" w:lineRule="auto"/>
      <w:ind w:left="567" w:hanging="567"/>
      <w:jc w:val="left"/>
      <w:textAlignment w:val="baseline"/>
    </w:pPr>
  </w:style>
  <w:style w:type="character" w:customStyle="1" w:styleId="abstractpagetext">
    <w:name w:val="abstract_page_text"/>
    <w:basedOn w:val="ab"/>
    <w:qFormat/>
  </w:style>
  <w:style w:type="character" w:customStyle="1" w:styleId="h31">
    <w:name w:val="h31"/>
    <w:qFormat/>
    <w:rPr>
      <w:sz w:val="21"/>
      <w:szCs w:val="21"/>
    </w:rPr>
  </w:style>
  <w:style w:type="character" w:customStyle="1" w:styleId="tpccontent">
    <w:name w:val="tpc_content"/>
    <w:basedOn w:val="ab"/>
    <w:qFormat/>
  </w:style>
  <w:style w:type="character" w:customStyle="1" w:styleId="2Char1">
    <w:name w:val="正文文本缩进 2 Char"/>
    <w:link w:val="23"/>
    <w:qFormat/>
    <w:rPr>
      <w:rFonts w:eastAsia="宋体"/>
      <w:kern w:val="2"/>
      <w:sz w:val="21"/>
      <w:szCs w:val="24"/>
      <w:lang w:val="en-US" w:eastAsia="zh-CN" w:bidi="ar-SA"/>
    </w:rPr>
  </w:style>
  <w:style w:type="character" w:customStyle="1" w:styleId="Charff2">
    <w:name w:val="表格内文字 Char"/>
    <w:link w:val="afffff8"/>
    <w:qFormat/>
    <w:rPr>
      <w:rFonts w:eastAsia="宋体"/>
      <w:spacing w:val="6"/>
      <w:sz w:val="24"/>
      <w:lang w:val="en-US" w:eastAsia="zh-CN" w:bidi="ar-SA"/>
    </w:rPr>
  </w:style>
  <w:style w:type="paragraph" w:customStyle="1" w:styleId="afffff8">
    <w:name w:val="表格内文字"/>
    <w:basedOn w:val="a9"/>
    <w:link w:val="Charff2"/>
    <w:qFormat/>
    <w:pPr>
      <w:adjustRightInd w:val="0"/>
      <w:snapToGrid w:val="0"/>
      <w:spacing w:before="80" w:line="240" w:lineRule="exact"/>
      <w:jc w:val="center"/>
    </w:pPr>
    <w:rPr>
      <w:spacing w:val="6"/>
      <w:sz w:val="24"/>
    </w:rPr>
  </w:style>
  <w:style w:type="character" w:customStyle="1" w:styleId="Char40">
    <w:name w:val="君邦正文 Char4"/>
    <w:qFormat/>
    <w:rPr>
      <w:rFonts w:ascii="宋体" w:eastAsia="宋体" w:hAnsi="宋体" w:cs="宋体"/>
      <w:kern w:val="2"/>
      <w:sz w:val="24"/>
      <w:szCs w:val="24"/>
      <w:lang w:val="en-US" w:eastAsia="zh-CN" w:bidi="ar-SA"/>
    </w:rPr>
  </w:style>
  <w:style w:type="character" w:customStyle="1" w:styleId="CharChar7">
    <w:name w:val="表头字体 Char Char"/>
    <w:link w:val="Charff3"/>
    <w:qFormat/>
    <w:rPr>
      <w:rFonts w:eastAsia="黑体"/>
      <w:b/>
      <w:kern w:val="2"/>
      <w:sz w:val="24"/>
      <w:szCs w:val="24"/>
      <w:lang w:val="en-US" w:eastAsia="zh-CN" w:bidi="ar-SA"/>
    </w:rPr>
  </w:style>
  <w:style w:type="paragraph" w:customStyle="1" w:styleId="Charff3">
    <w:name w:val="表头字体 Char"/>
    <w:basedOn w:val="a9"/>
    <w:next w:val="a9"/>
    <w:link w:val="CharChar7"/>
    <w:qFormat/>
    <w:pPr>
      <w:jc w:val="center"/>
    </w:pPr>
    <w:rPr>
      <w:rFonts w:eastAsia="黑体"/>
      <w:b/>
      <w:sz w:val="24"/>
    </w:rPr>
  </w:style>
  <w:style w:type="character" w:customStyle="1" w:styleId="textcontents">
    <w:name w:val="textcontents"/>
    <w:basedOn w:val="ab"/>
    <w:qFormat/>
  </w:style>
  <w:style w:type="character" w:customStyle="1" w:styleId="biaoge">
    <w:name w:val="biaoge"/>
    <w:basedOn w:val="ab"/>
    <w:qFormat/>
  </w:style>
  <w:style w:type="character" w:customStyle="1" w:styleId="ecmean1">
    <w:name w:val="ec_mean1"/>
    <w:basedOn w:val="ab"/>
    <w:qFormat/>
  </w:style>
  <w:style w:type="character" w:customStyle="1" w:styleId="3Char1">
    <w:name w:val="标题 3 Char1"/>
    <w:link w:val="3"/>
    <w:qFormat/>
    <w:rPr>
      <w:rFonts w:eastAsia="黑体"/>
      <w:b/>
      <w:sz w:val="24"/>
    </w:rPr>
  </w:style>
  <w:style w:type="character" w:customStyle="1" w:styleId="Char8">
    <w:name w:val="列表 Char"/>
    <w:link w:val="affb"/>
    <w:qFormat/>
    <w:rPr>
      <w:rFonts w:eastAsia="宋体"/>
      <w:kern w:val="2"/>
      <w:sz w:val="21"/>
      <w:lang w:val="en-US" w:eastAsia="zh-CN" w:bidi="ar-SA"/>
    </w:rPr>
  </w:style>
  <w:style w:type="character" w:customStyle="1" w:styleId="topic21">
    <w:name w:val="topic21"/>
    <w:qFormat/>
    <w:rPr>
      <w:b/>
      <w:bCs/>
      <w:color w:val="FFFFFF"/>
      <w:sz w:val="24"/>
      <w:szCs w:val="24"/>
      <w:u w:val="none"/>
    </w:rPr>
  </w:style>
  <w:style w:type="character" w:customStyle="1" w:styleId="content11">
    <w:name w:val="content11"/>
    <w:qFormat/>
    <w:rPr>
      <w:sz w:val="16"/>
      <w:szCs w:val="16"/>
    </w:rPr>
  </w:style>
  <w:style w:type="character" w:customStyle="1" w:styleId="asg">
    <w:name w:val="asg"/>
    <w:basedOn w:val="ab"/>
    <w:qFormat/>
  </w:style>
  <w:style w:type="character" w:customStyle="1" w:styleId="Charff4">
    <w:name w:val="图框 Char"/>
    <w:link w:val="afffff9"/>
    <w:qFormat/>
    <w:rPr>
      <w:rFonts w:ascii="仿宋_GB2312" w:eastAsia="仿宋_GB2312"/>
      <w:kern w:val="2"/>
      <w:szCs w:val="24"/>
      <w:lang w:val="en-US" w:eastAsia="zh-CN" w:bidi="ar-SA"/>
    </w:rPr>
  </w:style>
  <w:style w:type="paragraph" w:customStyle="1" w:styleId="afffff9">
    <w:name w:val="图框"/>
    <w:basedOn w:val="a9"/>
    <w:link w:val="Charff4"/>
    <w:semiHidden/>
    <w:qFormat/>
    <w:pPr>
      <w:jc w:val="center"/>
    </w:pPr>
    <w:rPr>
      <w:rFonts w:ascii="仿宋_GB2312" w:eastAsia="仿宋_GB2312"/>
    </w:rPr>
  </w:style>
  <w:style w:type="character" w:customStyle="1" w:styleId="Charff5">
    <w:name w:val="表内字体 Char"/>
    <w:link w:val="afffffa"/>
    <w:qFormat/>
    <w:rPr>
      <w:rFonts w:eastAsia="宋体"/>
      <w:sz w:val="18"/>
      <w:szCs w:val="18"/>
      <w:lang w:val="en-US" w:eastAsia="zh-CN" w:bidi="ar-SA"/>
    </w:rPr>
  </w:style>
  <w:style w:type="paragraph" w:customStyle="1" w:styleId="afffffa">
    <w:name w:val="表内字体"/>
    <w:basedOn w:val="afffffb"/>
    <w:next w:val="affff7"/>
    <w:link w:val="Charff5"/>
    <w:qFormat/>
    <w:pPr>
      <w:spacing w:line="240" w:lineRule="auto"/>
    </w:pPr>
    <w:rPr>
      <w:b w:val="0"/>
      <w:sz w:val="18"/>
      <w:szCs w:val="18"/>
    </w:rPr>
  </w:style>
  <w:style w:type="paragraph" w:customStyle="1" w:styleId="afffffb">
    <w:name w:val="表头文字"/>
    <w:basedOn w:val="a9"/>
    <w:qFormat/>
    <w:pPr>
      <w:adjustRightInd w:val="0"/>
      <w:snapToGrid w:val="0"/>
      <w:spacing w:line="400" w:lineRule="exact"/>
      <w:jc w:val="center"/>
      <w:textAlignment w:val="baseline"/>
    </w:pPr>
    <w:rPr>
      <w:b/>
    </w:rPr>
  </w:style>
  <w:style w:type="character" w:customStyle="1" w:styleId="1Char2">
    <w:name w:val="标题 1 Char2"/>
    <w:link w:val="1"/>
    <w:uiPriority w:val="9"/>
    <w:qFormat/>
    <w:rPr>
      <w:b/>
      <w:kern w:val="44"/>
      <w:sz w:val="32"/>
    </w:rPr>
  </w:style>
  <w:style w:type="character" w:customStyle="1" w:styleId="subsm1">
    <w:name w:val="subsm1"/>
    <w:qFormat/>
    <w:rPr>
      <w:sz w:val="20"/>
      <w:szCs w:val="20"/>
      <w:vertAlign w:val="subscript"/>
    </w:rPr>
  </w:style>
  <w:style w:type="character" w:customStyle="1" w:styleId="ziti21">
    <w:name w:val="ziti21"/>
    <w:qFormat/>
    <w:rPr>
      <w:rFonts w:ascii="ˎ̥" w:hAnsi="ˎ̥" w:hint="default"/>
      <w:color w:val="000000"/>
      <w:sz w:val="21"/>
      <w:szCs w:val="21"/>
      <w:u w:val="none"/>
    </w:rPr>
  </w:style>
  <w:style w:type="character" w:customStyle="1" w:styleId="Char4">
    <w:name w:val="批注文字 Char4"/>
    <w:link w:val="af"/>
    <w:uiPriority w:val="99"/>
    <w:qFormat/>
    <w:rPr>
      <w:kern w:val="2"/>
      <w:sz w:val="21"/>
      <w:szCs w:val="24"/>
    </w:rPr>
  </w:style>
  <w:style w:type="character" w:customStyle="1" w:styleId="Char2c">
    <w:name w:val="正文缩进 Char2"/>
    <w:qFormat/>
    <w:rPr>
      <w:rFonts w:eastAsia="宋体"/>
      <w:kern w:val="2"/>
      <w:sz w:val="24"/>
      <w:lang w:val="en-US" w:eastAsia="zh-CN" w:bidi="ar-SA"/>
    </w:rPr>
  </w:style>
  <w:style w:type="character" w:customStyle="1" w:styleId="1-Char">
    <w:name w:val="1-表内样式 Char"/>
    <w:link w:val="1-"/>
    <w:qFormat/>
    <w:rPr>
      <w:rFonts w:cs="宋体"/>
      <w:sz w:val="18"/>
      <w:szCs w:val="18"/>
    </w:rPr>
  </w:style>
  <w:style w:type="paragraph" w:customStyle="1" w:styleId="1-">
    <w:name w:val="1-表内样式"/>
    <w:basedOn w:val="a9"/>
    <w:link w:val="1-Char"/>
    <w:qFormat/>
    <w:pPr>
      <w:framePr w:hSpace="181" w:wrap="around" w:vAnchor="page" w:hAnchor="page" w:xAlign="center" w:y="1725"/>
      <w:adjustRightInd w:val="0"/>
      <w:snapToGrid w:val="0"/>
      <w:jc w:val="center"/>
    </w:pPr>
    <w:rPr>
      <w:rFonts w:cs="宋体"/>
      <w:sz w:val="18"/>
      <w:szCs w:val="18"/>
    </w:rPr>
  </w:style>
  <w:style w:type="character" w:customStyle="1" w:styleId="CharChar9">
    <w:name w:val="Char Char9"/>
    <w:qFormat/>
    <w:rPr>
      <w:rFonts w:ascii="Arial" w:eastAsia="黑体" w:hAnsi="Arial" w:cs="Arial"/>
      <w:b/>
      <w:bCs/>
      <w:kern w:val="2"/>
      <w:sz w:val="32"/>
      <w:szCs w:val="32"/>
    </w:rPr>
  </w:style>
  <w:style w:type="character" w:customStyle="1" w:styleId="Charff6">
    <w:name w:val="环科院正文 Char"/>
    <w:link w:val="afffffc"/>
    <w:qFormat/>
    <w:rPr>
      <w:sz w:val="21"/>
      <w:szCs w:val="21"/>
      <w:u w:color="000000"/>
    </w:rPr>
  </w:style>
  <w:style w:type="paragraph" w:customStyle="1" w:styleId="afffffc">
    <w:name w:val="环科院正文"/>
    <w:basedOn w:val="a9"/>
    <w:link w:val="Charff6"/>
    <w:qFormat/>
    <w:pPr>
      <w:spacing w:line="300" w:lineRule="auto"/>
      <w:ind w:firstLineChars="200" w:firstLine="420"/>
    </w:pPr>
    <w:rPr>
      <w:szCs w:val="21"/>
      <w:u w:color="000000"/>
    </w:rPr>
  </w:style>
  <w:style w:type="character" w:customStyle="1" w:styleId="font41">
    <w:name w:val="font41"/>
    <w:qFormat/>
    <w:rPr>
      <w:rFonts w:ascii="宋体" w:eastAsia="宋体" w:hAnsi="宋体" w:cs="宋体" w:hint="eastAsia"/>
      <w:color w:val="FF0000"/>
      <w:sz w:val="18"/>
      <w:szCs w:val="18"/>
      <w:u w:val="none"/>
      <w:vertAlign w:val="superscript"/>
    </w:rPr>
  </w:style>
  <w:style w:type="character" w:customStyle="1" w:styleId="Char21">
    <w:name w:val="题注 Char2"/>
    <w:link w:val="af6"/>
    <w:qFormat/>
    <w:rPr>
      <w:rFonts w:ascii="Arial" w:eastAsia="黑体" w:hAnsi="Arial" w:cs="Arial"/>
      <w:kern w:val="2"/>
    </w:rPr>
  </w:style>
  <w:style w:type="character" w:customStyle="1" w:styleId="Charff7">
    <w:name w:val="表格正文 Char"/>
    <w:link w:val="afffffd"/>
    <w:qFormat/>
    <w:rPr>
      <w:rFonts w:ascii="宋体" w:hAnsi="宋体"/>
      <w:kern w:val="2"/>
      <w:sz w:val="24"/>
      <w:szCs w:val="24"/>
    </w:rPr>
  </w:style>
  <w:style w:type="paragraph" w:customStyle="1" w:styleId="afffffd">
    <w:name w:val="表格正文"/>
    <w:basedOn w:val="a9"/>
    <w:link w:val="Charff7"/>
    <w:qFormat/>
    <w:pPr>
      <w:jc w:val="center"/>
    </w:pPr>
    <w:rPr>
      <w:rFonts w:ascii="宋体" w:hAnsi="宋体"/>
      <w:sz w:val="24"/>
    </w:rPr>
  </w:style>
  <w:style w:type="character" w:customStyle="1" w:styleId="150">
    <w:name w:val="15"/>
    <w:qFormat/>
    <w:rPr>
      <w:rFonts w:ascii="Calibri" w:hAnsi="Calibri" w:hint="default"/>
      <w:sz w:val="24"/>
      <w:szCs w:val="24"/>
    </w:rPr>
  </w:style>
  <w:style w:type="character" w:customStyle="1" w:styleId="copyright1">
    <w:name w:val="copyright1"/>
    <w:qFormat/>
    <w:rPr>
      <w:rFonts w:hint="default"/>
      <w:color w:val="000000"/>
    </w:rPr>
  </w:style>
  <w:style w:type="character" w:customStyle="1" w:styleId="Heading1Char">
    <w:name w:val="Heading 1 Char"/>
    <w:qFormat/>
    <w:locked/>
    <w:rPr>
      <w:rFonts w:ascii="宋体" w:eastAsia="宋体" w:hAnsi="宋体" w:cs="Times New Roman"/>
      <w:sz w:val="20"/>
      <w:szCs w:val="20"/>
    </w:rPr>
  </w:style>
  <w:style w:type="character" w:customStyle="1" w:styleId="-05-05-05-0Char">
    <w:name w:val="样式 样式 样式 表内格式 + 左  -0.5 字符 + 左侧:  -0.5 字符 右侧:  -0.5 字符 + 左侧:  -0... Char"/>
    <w:link w:val="-05-05-05-0"/>
    <w:qFormat/>
    <w:rPr>
      <w:rFonts w:cs="宋体"/>
      <w:kern w:val="2"/>
      <w:sz w:val="18"/>
      <w:szCs w:val="18"/>
    </w:rPr>
  </w:style>
  <w:style w:type="paragraph" w:customStyle="1" w:styleId="-05-05-05-0">
    <w:name w:val="样式 样式 样式 表内格式 + 左  -0.5 字符 + 左侧:  -0.5 字符 右侧:  -0.5 字符 + 左侧:  -0..."/>
    <w:basedOn w:val="a9"/>
    <w:link w:val="-05-05-05-0Char"/>
    <w:qFormat/>
    <w:pPr>
      <w:jc w:val="center"/>
    </w:pPr>
    <w:rPr>
      <w:rFonts w:cs="宋体"/>
      <w:sz w:val="18"/>
      <w:szCs w:val="18"/>
    </w:rPr>
  </w:style>
  <w:style w:type="character" w:customStyle="1" w:styleId="Char1a">
    <w:name w:val="列表 Char1"/>
    <w:qFormat/>
    <w:rPr>
      <w:rFonts w:eastAsia="黑体"/>
      <w:kern w:val="2"/>
      <w:sz w:val="22"/>
      <w:szCs w:val="22"/>
      <w:lang w:val="en-US" w:eastAsia="zh-CN" w:bidi="ar-SA"/>
    </w:rPr>
  </w:style>
  <w:style w:type="character" w:customStyle="1" w:styleId="Char31">
    <w:name w:val="页脚 Char3"/>
    <w:link w:val="aff5"/>
    <w:uiPriority w:val="99"/>
    <w:qFormat/>
    <w:rPr>
      <w:kern w:val="2"/>
      <w:sz w:val="18"/>
      <w:szCs w:val="18"/>
    </w:rPr>
  </w:style>
  <w:style w:type="character" w:customStyle="1" w:styleId="Charff8">
    <w:name w:val="三级标题 Char"/>
    <w:qFormat/>
    <w:rPr>
      <w:rFonts w:eastAsia="黑体" w:cs="Arial"/>
      <w:b/>
      <w:bCs/>
      <w:color w:val="000000"/>
      <w:kern w:val="2"/>
      <w:sz w:val="24"/>
      <w:szCs w:val="28"/>
      <w:lang w:val="en-US" w:eastAsia="zh-CN" w:bidi="ar-SA"/>
    </w:rPr>
  </w:style>
  <w:style w:type="character" w:customStyle="1" w:styleId="Char7">
    <w:name w:val="批注框文本 Char"/>
    <w:link w:val="aff4"/>
    <w:uiPriority w:val="99"/>
    <w:qFormat/>
    <w:rPr>
      <w:kern w:val="2"/>
      <w:sz w:val="18"/>
      <w:szCs w:val="18"/>
    </w:rPr>
  </w:style>
  <w:style w:type="character" w:customStyle="1" w:styleId="1CharChar5">
    <w:name w:val="正文1 Char Char5"/>
    <w:qFormat/>
    <w:rPr>
      <w:rFonts w:ascii="宋体" w:eastAsia="宋体" w:hAnsi="宋体"/>
      <w:kern w:val="2"/>
      <w:sz w:val="21"/>
      <w:szCs w:val="21"/>
      <w:lang w:val="en-US" w:eastAsia="zh-CN" w:bidi="ar-SA"/>
    </w:rPr>
  </w:style>
  <w:style w:type="character" w:customStyle="1" w:styleId="font01">
    <w:name w:val="font01"/>
    <w:qFormat/>
    <w:rPr>
      <w:rFonts w:ascii="宋体" w:eastAsia="宋体" w:hAnsi="宋体" w:hint="eastAsia"/>
      <w:color w:val="000000"/>
      <w:sz w:val="18"/>
      <w:szCs w:val="18"/>
      <w:u w:val="none"/>
    </w:rPr>
  </w:style>
  <w:style w:type="character" w:customStyle="1" w:styleId="CharChar1CharCharCharCharCharCharCharCharCharCharCharCharCharCharCharCharCharCharCharChar1CharChar1">
    <w:name w:val="Char Char1 Char Char Char Char Char Char Char Char Char Char Char Char Char Char Char Char Char Char Char Char1 Char Char1"/>
    <w:link w:val="CharChar1CharCharCharCharCharCharCharCharCharCharCharCharCharCharCharCharCharCharCharChar1Char1"/>
    <w:qFormat/>
    <w:rPr>
      <w:rFonts w:ascii="宋体" w:hAnsi="宋体" w:cs="宋体"/>
      <w:kern w:val="2"/>
      <w:sz w:val="24"/>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9"/>
    <w:link w:val="CharChar1CharCharCharCharCharCharCharCharCharCharCharCharCharCharCharCharCharCharCharChar1CharChar1"/>
    <w:qFormat/>
    <w:pPr>
      <w:spacing w:line="360" w:lineRule="auto"/>
      <w:ind w:firstLineChars="200" w:firstLine="200"/>
    </w:pPr>
    <w:rPr>
      <w:rFonts w:ascii="宋体" w:hAnsi="宋体" w:cs="宋体"/>
      <w:sz w:val="24"/>
    </w:rPr>
  </w:style>
  <w:style w:type="character" w:customStyle="1" w:styleId="font21">
    <w:name w:val="font21"/>
    <w:qFormat/>
    <w:rPr>
      <w:rFonts w:ascii="Times New Roman" w:hAnsi="Times New Roman" w:cs="Times New Roman" w:hint="default"/>
      <w:color w:val="000000"/>
      <w:sz w:val="18"/>
      <w:szCs w:val="18"/>
      <w:u w:val="none"/>
    </w:rPr>
  </w:style>
  <w:style w:type="character" w:customStyle="1" w:styleId="lemmatitleh11">
    <w:name w:val="lemmatitleh11"/>
    <w:basedOn w:val="ab"/>
    <w:qFormat/>
  </w:style>
  <w:style w:type="character" w:customStyle="1" w:styleId="Char16">
    <w:name w:val="报告表正文 Char1"/>
    <w:link w:val="afffff1"/>
    <w:qFormat/>
    <w:rPr>
      <w:sz w:val="24"/>
    </w:rPr>
  </w:style>
  <w:style w:type="character" w:customStyle="1" w:styleId="85pt5">
    <w:name w:val="正文文本 + 8.5 pt5"/>
    <w:qFormat/>
    <w:rPr>
      <w:rFonts w:ascii="MingLiU" w:eastAsia="MingLiU" w:cs="MingLiU"/>
      <w:b/>
      <w:bCs/>
      <w:spacing w:val="0"/>
      <w:kern w:val="2"/>
      <w:sz w:val="17"/>
      <w:szCs w:val="17"/>
      <w:u w:val="none"/>
      <w:lang w:val="en-US" w:eastAsia="zh-CN" w:bidi="ar-SA"/>
    </w:rPr>
  </w:style>
  <w:style w:type="character" w:customStyle="1" w:styleId="GB23122Char">
    <w:name w:val="样式 报告表正文 + (符号) 楷体_GB2312 首行缩进:  2 字符 Char"/>
    <w:link w:val="GB23122"/>
    <w:qFormat/>
    <w:rPr>
      <w:rFonts w:eastAsia="楷体_GB2312"/>
      <w:kern w:val="2"/>
      <w:sz w:val="24"/>
      <w:szCs w:val="24"/>
    </w:rPr>
  </w:style>
  <w:style w:type="paragraph" w:customStyle="1" w:styleId="GB23122">
    <w:name w:val="样式 报告表正文 + (符号) 楷体_GB2312 首行缩进:  2 字符"/>
    <w:basedOn w:val="a9"/>
    <w:link w:val="GB23122Char"/>
    <w:qFormat/>
    <w:pPr>
      <w:spacing w:line="360" w:lineRule="auto"/>
      <w:ind w:firstLine="482"/>
    </w:pPr>
    <w:rPr>
      <w:rFonts w:eastAsia="楷体_GB2312"/>
      <w:sz w:val="24"/>
    </w:rPr>
  </w:style>
  <w:style w:type="character" w:customStyle="1" w:styleId="CharChar8">
    <w:name w:val="正 Char Char"/>
    <w:link w:val="afffffe"/>
    <w:qFormat/>
    <w:rPr>
      <w:kern w:val="2"/>
      <w:sz w:val="24"/>
    </w:rPr>
  </w:style>
  <w:style w:type="paragraph" w:customStyle="1" w:styleId="afffffe">
    <w:name w:val="正"/>
    <w:basedOn w:val="a9"/>
    <w:link w:val="CharChar8"/>
    <w:qFormat/>
    <w:pPr>
      <w:widowControl/>
      <w:spacing w:after="60" w:line="360" w:lineRule="auto"/>
      <w:ind w:firstLineChars="200" w:firstLine="200"/>
      <w:jc w:val="left"/>
    </w:pPr>
    <w:rPr>
      <w:kern w:val="2"/>
      <w:sz w:val="24"/>
    </w:rPr>
  </w:style>
  <w:style w:type="character" w:customStyle="1" w:styleId="Charff9">
    <w:name w:val="市环科院正文 Char"/>
    <w:link w:val="affffff"/>
    <w:qFormat/>
    <w:rPr>
      <w:sz w:val="24"/>
      <w:szCs w:val="24"/>
    </w:rPr>
  </w:style>
  <w:style w:type="paragraph" w:customStyle="1" w:styleId="affffff">
    <w:name w:val="市环科院正文"/>
    <w:basedOn w:val="a9"/>
    <w:link w:val="Charff9"/>
    <w:qFormat/>
    <w:pPr>
      <w:spacing w:line="300" w:lineRule="auto"/>
      <w:ind w:firstLineChars="200" w:firstLine="480"/>
    </w:pPr>
    <w:rPr>
      <w:sz w:val="24"/>
    </w:rPr>
  </w:style>
  <w:style w:type="character" w:customStyle="1" w:styleId="2Char4">
    <w:name w:val="表格标题2 Char"/>
    <w:link w:val="2f4"/>
    <w:qFormat/>
    <w:rPr>
      <w:b/>
      <w:bCs/>
      <w:color w:val="000000"/>
      <w:kern w:val="2"/>
      <w:sz w:val="24"/>
      <w:szCs w:val="24"/>
    </w:rPr>
  </w:style>
  <w:style w:type="paragraph" w:customStyle="1" w:styleId="2f4">
    <w:name w:val="表格标题2"/>
    <w:basedOn w:val="23"/>
    <w:link w:val="2Char4"/>
    <w:qFormat/>
    <w:pPr>
      <w:adjustRightInd w:val="0"/>
      <w:snapToGrid w:val="0"/>
      <w:spacing w:after="0" w:line="360" w:lineRule="auto"/>
      <w:ind w:leftChars="0" w:left="0"/>
      <w:jc w:val="center"/>
    </w:pPr>
    <w:rPr>
      <w:b/>
      <w:bCs/>
      <w:color w:val="000000"/>
      <w:sz w:val="24"/>
    </w:rPr>
  </w:style>
  <w:style w:type="character" w:customStyle="1" w:styleId="1-Char0">
    <w:name w:val="1-君邦正文格式 Char"/>
    <w:link w:val="1-0"/>
    <w:qFormat/>
    <w:locked/>
    <w:rPr>
      <w:bCs/>
      <w:sz w:val="24"/>
    </w:rPr>
  </w:style>
  <w:style w:type="paragraph" w:customStyle="1" w:styleId="1-0">
    <w:name w:val="1-君邦正文格式"/>
    <w:basedOn w:val="a9"/>
    <w:link w:val="1-Char0"/>
    <w:qFormat/>
    <w:pPr>
      <w:widowControl/>
      <w:spacing w:after="60" w:line="360" w:lineRule="auto"/>
      <w:ind w:firstLineChars="200" w:firstLine="480"/>
    </w:pPr>
    <w:rPr>
      <w:bCs/>
      <w:sz w:val="24"/>
    </w:rPr>
  </w:style>
  <w:style w:type="character" w:customStyle="1" w:styleId="Char1b">
    <w:name w:val="列出段落 Char1"/>
    <w:qFormat/>
    <w:rPr>
      <w:kern w:val="2"/>
      <w:sz w:val="24"/>
      <w:szCs w:val="24"/>
    </w:rPr>
  </w:style>
  <w:style w:type="character" w:customStyle="1" w:styleId="affffff0">
    <w:name w:val="题注 字符"/>
    <w:qFormat/>
    <w:locked/>
    <w:rPr>
      <w:rFonts w:ascii="Arial" w:eastAsia="黑体" w:hAnsi="Arial"/>
    </w:rPr>
  </w:style>
  <w:style w:type="character" w:customStyle="1" w:styleId="affffff1">
    <w:name w:val="表格正文 字符"/>
    <w:qFormat/>
    <w:rPr>
      <w:rFonts w:ascii="仿宋_GB2312" w:eastAsia="仿宋_GB2312"/>
      <w:snapToGrid/>
      <w:sz w:val="24"/>
    </w:rPr>
  </w:style>
  <w:style w:type="character" w:customStyle="1" w:styleId="Char2">
    <w:name w:val="注释标题 Char2"/>
    <w:link w:val="af3"/>
    <w:qFormat/>
    <w:rPr>
      <w:kern w:val="2"/>
      <w:sz w:val="21"/>
      <w:szCs w:val="24"/>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affffff2">
    <w:name w:val="批注文字 字符"/>
    <w:qFormat/>
    <w:locked/>
    <w:rPr>
      <w:rFonts w:ascii="Times New Roman" w:hAnsi="Times New Roman" w:cs="Times New Roman"/>
      <w:kern w:val="2"/>
      <w:sz w:val="21"/>
    </w:rPr>
  </w:style>
  <w:style w:type="character" w:customStyle="1" w:styleId="fontstyle11">
    <w:name w:val="fontstyle11"/>
    <w:qFormat/>
    <w:rPr>
      <w:rFonts w:ascii="宋体" w:eastAsia="宋体" w:hAnsi="宋体" w:hint="eastAsia"/>
      <w:color w:val="000000"/>
      <w:sz w:val="24"/>
      <w:szCs w:val="24"/>
    </w:rPr>
  </w:style>
  <w:style w:type="character" w:customStyle="1" w:styleId="Charffa">
    <w:name w:val="表格内容 Char"/>
    <w:link w:val="affffff3"/>
    <w:qFormat/>
    <w:rPr>
      <w:rFonts w:ascii="宋体"/>
      <w:bCs/>
      <w:sz w:val="21"/>
    </w:rPr>
  </w:style>
  <w:style w:type="paragraph" w:customStyle="1" w:styleId="affffff3">
    <w:name w:val="表格内容"/>
    <w:basedOn w:val="a9"/>
    <w:link w:val="Charffa"/>
    <w:qFormat/>
    <w:pPr>
      <w:widowControl/>
      <w:spacing w:line="240" w:lineRule="atLeast"/>
      <w:ind w:rightChars="-45" w:right="-108"/>
      <w:jc w:val="left"/>
    </w:pPr>
    <w:rPr>
      <w:rFonts w:ascii="宋体"/>
      <w:bCs/>
    </w:rPr>
  </w:style>
  <w:style w:type="character" w:customStyle="1" w:styleId="210">
    <w:name w:val="标题 2 字符1"/>
    <w:qFormat/>
    <w:rPr>
      <w:rFonts w:eastAsia="黑体"/>
      <w:b/>
      <w:kern w:val="2"/>
      <w:sz w:val="32"/>
    </w:rPr>
  </w:style>
  <w:style w:type="character" w:customStyle="1" w:styleId="1f7">
    <w:name w:val="未处理的提及1"/>
    <w:uiPriority w:val="99"/>
    <w:unhideWhenUsed/>
    <w:qFormat/>
    <w:rPr>
      <w:color w:val="605E5C"/>
      <w:shd w:val="clear" w:color="auto" w:fill="E1DFDD"/>
    </w:rPr>
  </w:style>
  <w:style w:type="character" w:customStyle="1" w:styleId="affffff4">
    <w:name w:val="列出段落 字符"/>
    <w:qFormat/>
    <w:locked/>
    <w:rPr>
      <w:rFonts w:ascii="Times New Roman" w:hAnsi="Times New Roman" w:cs="Times New Roman"/>
      <w:sz w:val="24"/>
    </w:rPr>
  </w:style>
  <w:style w:type="character" w:customStyle="1" w:styleId="0000Char">
    <w:name w:val="表格0000 Char"/>
    <w:link w:val="0000"/>
    <w:qFormat/>
    <w:rPr>
      <w:sz w:val="18"/>
    </w:rPr>
  </w:style>
  <w:style w:type="paragraph" w:customStyle="1" w:styleId="0000">
    <w:name w:val="表格0000"/>
    <w:basedOn w:val="a9"/>
    <w:link w:val="0000Char"/>
    <w:qFormat/>
    <w:pPr>
      <w:jc w:val="center"/>
      <w:textAlignment w:val="center"/>
    </w:pPr>
    <w:rPr>
      <w:sz w:val="18"/>
    </w:rPr>
  </w:style>
  <w:style w:type="character" w:styleId="affffff5">
    <w:name w:val="Placeholder Text"/>
    <w:uiPriority w:val="99"/>
    <w:qFormat/>
    <w:rPr>
      <w:color w:val="808080"/>
    </w:rPr>
  </w:style>
  <w:style w:type="character" w:customStyle="1" w:styleId="ksfindclass">
    <w:name w:val="ksfind_class"/>
    <w:qFormat/>
  </w:style>
  <w:style w:type="character" w:customStyle="1" w:styleId="Charffb">
    <w:name w:val="样式表内容 Char"/>
    <w:link w:val="affffff6"/>
    <w:qFormat/>
    <w:rPr>
      <w:rFonts w:ascii="宋体" w:hAnsi="宋体"/>
      <w:kern w:val="2"/>
      <w:sz w:val="18"/>
      <w:szCs w:val="18"/>
      <w:lang w:val="zh-CN"/>
    </w:rPr>
  </w:style>
  <w:style w:type="paragraph" w:customStyle="1" w:styleId="affffff6">
    <w:name w:val="样式表内容"/>
    <w:basedOn w:val="a9"/>
    <w:link w:val="Charffb"/>
    <w:qFormat/>
    <w:pPr>
      <w:widowControl/>
      <w:spacing w:line="240" w:lineRule="exact"/>
      <w:ind w:leftChars="-51" w:left="-107" w:rightChars="-49" w:right="-103"/>
      <w:jc w:val="center"/>
    </w:pPr>
    <w:rPr>
      <w:rFonts w:ascii="宋体" w:hAnsi="宋体"/>
      <w:sz w:val="18"/>
      <w:szCs w:val="18"/>
      <w:lang w:val="zh-CN"/>
    </w:rPr>
  </w:style>
  <w:style w:type="character" w:customStyle="1" w:styleId="ksfindclassselect">
    <w:name w:val="ksfind_class_select"/>
    <w:qFormat/>
  </w:style>
  <w:style w:type="character" w:customStyle="1" w:styleId="1f8">
    <w:name w:val="日期 字符1"/>
    <w:uiPriority w:val="99"/>
    <w:qFormat/>
    <w:rPr>
      <w:kern w:val="2"/>
      <w:sz w:val="21"/>
    </w:rPr>
  </w:style>
  <w:style w:type="character" w:customStyle="1" w:styleId="affffff7">
    <w:name w:val="样式 (西文) 黑体 (中文) 黑体 二号"/>
    <w:qFormat/>
    <w:rPr>
      <w:rFonts w:ascii="黑体" w:eastAsia="黑体" w:hAnsi="黑体"/>
      <w:sz w:val="44"/>
    </w:rPr>
  </w:style>
  <w:style w:type="character" w:customStyle="1" w:styleId="Char1c">
    <w:name w:val="表格文字 Char1"/>
    <w:qFormat/>
    <w:rPr>
      <w:rFonts w:ascii="Times New Roman" w:eastAsia="宋体" w:hAnsi="Times New Roman" w:cs="Times New Roman"/>
      <w:szCs w:val="24"/>
    </w:rPr>
  </w:style>
  <w:style w:type="character" w:customStyle="1" w:styleId="affffff8">
    <w:name w:val="纯文本 字符"/>
    <w:qFormat/>
    <w:rPr>
      <w:rFonts w:ascii="宋体" w:eastAsia="宋体" w:hAnsi="Courier New" w:cs="Courier New"/>
      <w:kern w:val="2"/>
      <w:sz w:val="21"/>
      <w:szCs w:val="21"/>
      <w:lang w:val="en-US" w:eastAsia="zh-CN" w:bidi="ar-SA"/>
    </w:rPr>
  </w:style>
  <w:style w:type="character" w:customStyle="1" w:styleId="affffff9">
    <w:name w:val="图表标题 字符"/>
    <w:qFormat/>
    <w:rPr>
      <w:rFonts w:ascii="Times New Roman" w:hAnsi="Times New Roman" w:cs="Times New Roman"/>
      <w:b/>
      <w:sz w:val="24"/>
    </w:rPr>
  </w:style>
  <w:style w:type="character" w:customStyle="1" w:styleId="affffffa">
    <w:name w:val="页眉 字符"/>
    <w:qFormat/>
    <w:rPr>
      <w:sz w:val="18"/>
      <w:szCs w:val="18"/>
    </w:rPr>
  </w:style>
  <w:style w:type="character" w:customStyle="1" w:styleId="affffffb">
    <w:name w:val="页脚 字符"/>
    <w:uiPriority w:val="99"/>
    <w:qFormat/>
    <w:rPr>
      <w:sz w:val="18"/>
      <w:szCs w:val="18"/>
    </w:rPr>
  </w:style>
  <w:style w:type="character" w:customStyle="1" w:styleId="1f9">
    <w:name w:val="标题 1 字符"/>
    <w:qFormat/>
    <w:rPr>
      <w:b/>
      <w:bCs/>
      <w:kern w:val="44"/>
      <w:sz w:val="44"/>
      <w:szCs w:val="44"/>
    </w:rPr>
  </w:style>
  <w:style w:type="character" w:customStyle="1" w:styleId="2Char">
    <w:name w:val="标题 2 Char"/>
    <w:link w:val="2"/>
    <w:qFormat/>
    <w:rPr>
      <w:rFonts w:eastAsia="黑体"/>
      <w:b/>
      <w:sz w:val="32"/>
    </w:rPr>
  </w:style>
  <w:style w:type="character" w:customStyle="1" w:styleId="3f1">
    <w:name w:val="标题 3 字符"/>
    <w:qFormat/>
    <w:rPr>
      <w:b/>
      <w:bCs/>
      <w:sz w:val="32"/>
      <w:szCs w:val="32"/>
    </w:rPr>
  </w:style>
  <w:style w:type="character" w:customStyle="1" w:styleId="4b">
    <w:name w:val="标题 4 字符"/>
    <w:qFormat/>
    <w:rPr>
      <w:rFonts w:ascii="等线 Light" w:eastAsia="等线 Light" w:hAnsi="等线 Light" w:cs="Times New Roman"/>
      <w:b/>
      <w:bCs/>
      <w:sz w:val="28"/>
      <w:szCs w:val="28"/>
    </w:rPr>
  </w:style>
  <w:style w:type="character" w:customStyle="1" w:styleId="5a">
    <w:name w:val="标题 5 字符"/>
    <w:qFormat/>
    <w:rPr>
      <w:b/>
      <w:bCs/>
      <w:sz w:val="28"/>
      <w:szCs w:val="28"/>
    </w:rPr>
  </w:style>
  <w:style w:type="character" w:customStyle="1" w:styleId="6Char">
    <w:name w:val="标题 6 Char"/>
    <w:link w:val="6"/>
    <w:qFormat/>
    <w:rPr>
      <w:rFonts w:ascii="宋体"/>
      <w:sz w:val="24"/>
    </w:rPr>
  </w:style>
  <w:style w:type="character" w:customStyle="1" w:styleId="7Char">
    <w:name w:val="标题 7 Char"/>
    <w:link w:val="7"/>
    <w:qFormat/>
    <w:rPr>
      <w:color w:val="008000"/>
      <w:sz w:val="28"/>
    </w:rPr>
  </w:style>
  <w:style w:type="character" w:customStyle="1" w:styleId="8Char">
    <w:name w:val="标题 8 Char"/>
    <w:link w:val="8"/>
    <w:qFormat/>
    <w:rPr>
      <w:color w:val="008000"/>
      <w:sz w:val="28"/>
    </w:rPr>
  </w:style>
  <w:style w:type="character" w:customStyle="1" w:styleId="9Char2">
    <w:name w:val="标题 9 Char2"/>
    <w:link w:val="9"/>
    <w:qFormat/>
    <w:rPr>
      <w:rFonts w:ascii="Arial" w:eastAsia="黑体" w:hAnsi="Arial"/>
      <w:sz w:val="24"/>
    </w:rPr>
  </w:style>
  <w:style w:type="character" w:customStyle="1" w:styleId="Char23">
    <w:name w:val="正文文本缩进 Char2"/>
    <w:link w:val="afe"/>
    <w:uiPriority w:val="99"/>
    <w:qFormat/>
    <w:rPr>
      <w:color w:val="008000"/>
      <w:kern w:val="2"/>
      <w:sz w:val="21"/>
    </w:rPr>
  </w:style>
  <w:style w:type="character" w:customStyle="1" w:styleId="Char6">
    <w:name w:val="正文文本 Char"/>
    <w:link w:val="afd"/>
    <w:qFormat/>
    <w:rPr>
      <w:rFonts w:ascii="Times" w:hAnsi="Times"/>
      <w:kern w:val="24"/>
      <w:sz w:val="24"/>
      <w:szCs w:val="24"/>
    </w:rPr>
  </w:style>
  <w:style w:type="character" w:customStyle="1" w:styleId="Char5">
    <w:name w:val="文档结构图 Char"/>
    <w:link w:val="af9"/>
    <w:qFormat/>
    <w:rPr>
      <w:kern w:val="2"/>
      <w:sz w:val="21"/>
      <w:szCs w:val="24"/>
      <w:shd w:val="clear" w:color="auto" w:fill="000080"/>
    </w:rPr>
  </w:style>
  <w:style w:type="character" w:customStyle="1" w:styleId="affffffc">
    <w:name w:val="批注框文本 字符"/>
    <w:qFormat/>
    <w:rPr>
      <w:sz w:val="18"/>
      <w:szCs w:val="18"/>
    </w:rPr>
  </w:style>
  <w:style w:type="character" w:customStyle="1" w:styleId="Char24">
    <w:name w:val="日期 Char2"/>
    <w:link w:val="aff2"/>
    <w:qFormat/>
    <w:rPr>
      <w:kern w:val="2"/>
      <w:sz w:val="21"/>
    </w:rPr>
  </w:style>
  <w:style w:type="character" w:customStyle="1" w:styleId="Char0">
    <w:name w:val="批注主题 Char"/>
    <w:link w:val="ae"/>
    <w:qFormat/>
    <w:rPr>
      <w:b/>
      <w:bCs/>
      <w:kern w:val="2"/>
      <w:sz w:val="21"/>
      <w:szCs w:val="24"/>
    </w:rPr>
  </w:style>
  <w:style w:type="character" w:customStyle="1" w:styleId="2Char2">
    <w:name w:val="正文首行缩进 2 Char2"/>
    <w:link w:val="24"/>
    <w:qFormat/>
    <w:rPr>
      <w:rFonts w:ascii="宋体"/>
      <w:kern w:val="2"/>
      <w:sz w:val="24"/>
      <w:szCs w:val="28"/>
    </w:rPr>
  </w:style>
  <w:style w:type="character" w:customStyle="1" w:styleId="2Char20">
    <w:name w:val="正文文本 2 Char2"/>
    <w:link w:val="26"/>
    <w:qFormat/>
    <w:rPr>
      <w:spacing w:val="-8"/>
      <w:kern w:val="2"/>
      <w:sz w:val="18"/>
      <w:szCs w:val="24"/>
    </w:rPr>
  </w:style>
  <w:style w:type="character" w:customStyle="1" w:styleId="Char3">
    <w:name w:val="正文首行缩进 Char3"/>
    <w:link w:val="af0"/>
    <w:qFormat/>
    <w:rPr>
      <w:kern w:val="2"/>
      <w:sz w:val="24"/>
      <w:szCs w:val="24"/>
    </w:rPr>
  </w:style>
  <w:style w:type="character" w:customStyle="1" w:styleId="3Char2">
    <w:name w:val="正文文本 3 Char2"/>
    <w:link w:val="31"/>
    <w:qFormat/>
    <w:rPr>
      <w:kern w:val="2"/>
      <w:sz w:val="28"/>
      <w:szCs w:val="24"/>
    </w:rPr>
  </w:style>
  <w:style w:type="character" w:customStyle="1" w:styleId="HTMLChar2">
    <w:name w:val="HTML 地址 Char2"/>
    <w:link w:val="HTML"/>
    <w:qFormat/>
    <w:rPr>
      <w:i/>
      <w:iCs/>
      <w:kern w:val="2"/>
      <w:sz w:val="21"/>
      <w:szCs w:val="24"/>
    </w:rPr>
  </w:style>
  <w:style w:type="character" w:customStyle="1" w:styleId="Char29">
    <w:name w:val="标题 Char2"/>
    <w:link w:val="afff0"/>
    <w:uiPriority w:val="10"/>
    <w:qFormat/>
    <w:rPr>
      <w:rFonts w:ascii="Arial" w:hAnsi="Arial" w:cs="Arial"/>
      <w:b/>
      <w:bCs/>
      <w:kern w:val="2"/>
      <w:sz w:val="32"/>
      <w:szCs w:val="32"/>
    </w:rPr>
  </w:style>
  <w:style w:type="character" w:customStyle="1" w:styleId="Char30">
    <w:name w:val="称呼 Char3"/>
    <w:link w:val="afb"/>
    <w:qFormat/>
    <w:rPr>
      <w:kern w:val="2"/>
      <w:sz w:val="21"/>
      <w:szCs w:val="24"/>
    </w:rPr>
  </w:style>
  <w:style w:type="character" w:customStyle="1" w:styleId="Char20">
    <w:name w:val="电子邮件签名 Char2"/>
    <w:link w:val="af4"/>
    <w:qFormat/>
    <w:rPr>
      <w:kern w:val="2"/>
      <w:sz w:val="21"/>
      <w:szCs w:val="24"/>
    </w:rPr>
  </w:style>
  <w:style w:type="character" w:customStyle="1" w:styleId="Char27">
    <w:name w:val="副标题 Char2"/>
    <w:link w:val="affa"/>
    <w:qFormat/>
    <w:rPr>
      <w:rFonts w:ascii="Arial" w:hAnsi="Arial" w:cs="Arial"/>
      <w:b/>
      <w:bCs/>
      <w:kern w:val="28"/>
      <w:sz w:val="32"/>
      <w:szCs w:val="32"/>
    </w:rPr>
  </w:style>
  <w:style w:type="character" w:customStyle="1" w:styleId="Char22">
    <w:name w:val="结束语 Char2"/>
    <w:link w:val="afc"/>
    <w:qFormat/>
    <w:rPr>
      <w:kern w:val="2"/>
      <w:sz w:val="21"/>
      <w:szCs w:val="24"/>
    </w:rPr>
  </w:style>
  <w:style w:type="character" w:customStyle="1" w:styleId="Char26">
    <w:name w:val="签名 Char2"/>
    <w:link w:val="aff8"/>
    <w:qFormat/>
    <w:rPr>
      <w:kern w:val="2"/>
      <w:sz w:val="21"/>
      <w:szCs w:val="24"/>
    </w:rPr>
  </w:style>
  <w:style w:type="character" w:customStyle="1" w:styleId="Char28">
    <w:name w:val="信息标题 Char2"/>
    <w:link w:val="affe"/>
    <w:qFormat/>
    <w:rPr>
      <w:rFonts w:ascii="Arial" w:hAnsi="Arial" w:cs="Arial"/>
      <w:kern w:val="2"/>
      <w:sz w:val="24"/>
      <w:szCs w:val="24"/>
      <w:shd w:val="pct20" w:color="auto" w:fill="auto"/>
    </w:rPr>
  </w:style>
  <w:style w:type="character" w:customStyle="1" w:styleId="3Char">
    <w:name w:val="正文文本缩进 3 Char"/>
    <w:link w:val="36"/>
    <w:qFormat/>
    <w:rPr>
      <w:kern w:val="2"/>
      <w:sz w:val="16"/>
      <w:szCs w:val="16"/>
    </w:rPr>
  </w:style>
  <w:style w:type="character" w:customStyle="1" w:styleId="2f5">
    <w:name w:val="正文文本缩进 2 字符"/>
    <w:qFormat/>
  </w:style>
  <w:style w:type="character" w:customStyle="1" w:styleId="HTMLChar">
    <w:name w:val="HTML 预设格式 Char"/>
    <w:link w:val="HTML0"/>
    <w:qFormat/>
    <w:rPr>
      <w:rFonts w:ascii="黑体" w:eastAsia="黑体" w:hAnsi="Courier New" w:cs="Courier New"/>
    </w:rPr>
  </w:style>
  <w:style w:type="character" w:customStyle="1" w:styleId="Char9">
    <w:name w:val="脚注文本 Char"/>
    <w:link w:val="affc"/>
    <w:qFormat/>
    <w:rPr>
      <w:kern w:val="2"/>
      <w:sz w:val="18"/>
      <w:szCs w:val="18"/>
    </w:rPr>
  </w:style>
  <w:style w:type="character" w:customStyle="1" w:styleId="410">
    <w:name w:val="标题 4 字符1"/>
    <w:qFormat/>
    <w:rPr>
      <w:rFonts w:ascii="Times New Roman" w:eastAsia="宋体" w:hAnsi="Times New Roman" w:cs="Times New Roman"/>
      <w:b/>
      <w:kern w:val="0"/>
      <w:sz w:val="24"/>
      <w:szCs w:val="24"/>
    </w:rPr>
  </w:style>
  <w:style w:type="character" w:customStyle="1" w:styleId="510">
    <w:name w:val="标题 5 字符1"/>
    <w:qFormat/>
    <w:rPr>
      <w:rFonts w:ascii="Times New Roman" w:eastAsia="宋体" w:hAnsi="Times New Roman" w:cs="Times New Roman"/>
      <w:b/>
      <w:sz w:val="24"/>
      <w:szCs w:val="20"/>
    </w:rPr>
  </w:style>
  <w:style w:type="character" w:customStyle="1" w:styleId="CharChar17">
    <w:name w:val="Char Char17"/>
    <w:link w:val="Charffc"/>
    <w:qFormat/>
    <w:rPr>
      <w:rFonts w:ascii="宋体" w:hAnsi="宋体" w:cs="宋体"/>
      <w:kern w:val="2"/>
      <w:sz w:val="24"/>
      <w:szCs w:val="24"/>
    </w:rPr>
  </w:style>
  <w:style w:type="paragraph" w:customStyle="1" w:styleId="Charffc">
    <w:name w:val="Char"/>
    <w:basedOn w:val="a9"/>
    <w:link w:val="CharChar17"/>
    <w:qFormat/>
    <w:pPr>
      <w:spacing w:line="360" w:lineRule="auto"/>
      <w:jc w:val="left"/>
    </w:pPr>
    <w:rPr>
      <w:rFonts w:ascii="宋体" w:hAnsi="宋体" w:cs="宋体"/>
      <w:sz w:val="24"/>
    </w:rPr>
  </w:style>
  <w:style w:type="character" w:customStyle="1" w:styleId="121">
    <w:name w:val="标题12"/>
    <w:qFormat/>
  </w:style>
  <w:style w:type="character" w:customStyle="1" w:styleId="CharChar27">
    <w:name w:val="Char Char27"/>
    <w:qFormat/>
    <w:rPr>
      <w:rFonts w:eastAsia="宋体"/>
      <w:kern w:val="2"/>
      <w:sz w:val="18"/>
      <w:lang w:val="en-US" w:eastAsia="zh-CN" w:bidi="ar-SA"/>
    </w:rPr>
  </w:style>
  <w:style w:type="character" w:customStyle="1" w:styleId="211">
    <w:name w:val="正文文本缩进 2 字符1"/>
    <w:qFormat/>
    <w:rPr>
      <w:rFonts w:ascii="Times New Roman" w:eastAsia="宋体" w:hAnsi="Times New Roman" w:cs="Times New Roman"/>
      <w:szCs w:val="24"/>
    </w:rPr>
  </w:style>
  <w:style w:type="character" w:customStyle="1" w:styleId="1fa">
    <w:name w:val="纯文本 字符1"/>
    <w:qFormat/>
    <w:rPr>
      <w:rFonts w:ascii="宋体" w:eastAsia="宋体" w:hAnsi="Courier New" w:cs="Times New Roman"/>
      <w:szCs w:val="20"/>
    </w:rPr>
  </w:style>
  <w:style w:type="character" w:customStyle="1" w:styleId="affffffd">
    <w:name w:val="正文缩进 字符"/>
    <w:qFormat/>
    <w:rPr>
      <w:rFonts w:ascii="Times New Roman" w:eastAsia="宋体" w:hAnsi="Times New Roman" w:cs="Times New Roman"/>
      <w:sz w:val="24"/>
      <w:szCs w:val="20"/>
    </w:rPr>
  </w:style>
  <w:style w:type="character" w:customStyle="1" w:styleId="311">
    <w:name w:val="标题 3 字符1"/>
    <w:qFormat/>
    <w:rPr>
      <w:rFonts w:ascii="Times New Roman" w:eastAsia="黑体" w:hAnsi="Times New Roman" w:cs="Times New Roman"/>
      <w:b/>
      <w:sz w:val="24"/>
      <w:szCs w:val="20"/>
    </w:rPr>
  </w:style>
  <w:style w:type="character" w:customStyle="1" w:styleId="CharChar45">
    <w:name w:val="Char Char45"/>
    <w:qFormat/>
    <w:rPr>
      <w:rFonts w:ascii="Times New Roman" w:eastAsia="宋体" w:hAnsi="Times New Roman" w:cs="Times New Roman"/>
      <w:sz w:val="18"/>
      <w:szCs w:val="18"/>
    </w:rPr>
  </w:style>
  <w:style w:type="character" w:customStyle="1" w:styleId="affffffe">
    <w:name w:val="列表 字符"/>
    <w:qFormat/>
    <w:rPr>
      <w:rFonts w:ascii="Times New Roman" w:eastAsia="宋体" w:hAnsi="Times New Roman" w:cs="Times New Roman"/>
      <w:szCs w:val="20"/>
    </w:rPr>
  </w:style>
  <w:style w:type="character" w:customStyle="1" w:styleId="CharCharCharChar17">
    <w:name w:val="Char Char Char Char17"/>
    <w:qFormat/>
    <w:rPr>
      <w:rFonts w:eastAsia="宋体"/>
      <w:color w:val="000000"/>
      <w:kern w:val="2"/>
      <w:sz w:val="18"/>
      <w:szCs w:val="24"/>
      <w:lang w:val="en-US" w:eastAsia="zh-CN" w:bidi="ar-SA"/>
    </w:rPr>
  </w:style>
  <w:style w:type="character" w:customStyle="1" w:styleId="111">
    <w:name w:val="标题 1 字符1"/>
    <w:uiPriority w:val="9"/>
    <w:qFormat/>
    <w:rPr>
      <w:rFonts w:ascii="Times New Roman" w:eastAsia="宋体" w:hAnsi="Times New Roman" w:cs="Times New Roman"/>
      <w:b/>
      <w:kern w:val="44"/>
      <w:sz w:val="32"/>
      <w:szCs w:val="20"/>
    </w:rPr>
  </w:style>
  <w:style w:type="character" w:customStyle="1" w:styleId="1fb">
    <w:name w:val="批注框文本 字符1"/>
    <w:uiPriority w:val="99"/>
    <w:qFormat/>
    <w:rPr>
      <w:rFonts w:ascii="Times New Roman" w:eastAsia="宋体" w:hAnsi="Times New Roman" w:cs="Times New Roman"/>
      <w:sz w:val="18"/>
      <w:szCs w:val="18"/>
    </w:rPr>
  </w:style>
  <w:style w:type="character" w:customStyle="1" w:styleId="ksfindclass1">
    <w:name w:val="ksfind_class1"/>
    <w:qFormat/>
    <w:rPr>
      <w:color w:val="000000"/>
      <w:shd w:val="clear" w:color="auto" w:fill="FFF497"/>
    </w:rPr>
  </w:style>
  <w:style w:type="character" w:customStyle="1" w:styleId="apple-converted-space">
    <w:name w:val="apple-converted-space"/>
    <w:qFormat/>
  </w:style>
  <w:style w:type="character" w:customStyle="1" w:styleId="infodetail1">
    <w:name w:val="infodetail1"/>
    <w:semiHidden/>
    <w:qFormat/>
    <w:rPr>
      <w:color w:val="000000"/>
      <w:spacing w:val="31680"/>
      <w:sz w:val="24"/>
      <w:szCs w:val="24"/>
      <w:u w:val="none"/>
    </w:rPr>
  </w:style>
  <w:style w:type="character" w:customStyle="1" w:styleId="1fc">
    <w:name w:val="批注文字 字符1"/>
    <w:qFormat/>
    <w:locked/>
    <w:rPr>
      <w:kern w:val="2"/>
      <w:sz w:val="21"/>
      <w:szCs w:val="24"/>
    </w:rPr>
  </w:style>
  <w:style w:type="character" w:customStyle="1" w:styleId="unnamed21">
    <w:name w:val="unnamed21"/>
    <w:qFormat/>
    <w:rPr>
      <w:rFonts w:ascii="宋体" w:eastAsia="宋体" w:hAnsi="宋体" w:hint="eastAsia"/>
      <w:sz w:val="18"/>
      <w:szCs w:val="18"/>
      <w:u w:val="none"/>
    </w:rPr>
  </w:style>
  <w:style w:type="character" w:customStyle="1" w:styleId="1fd">
    <w:name w:val="不明显参考1"/>
    <w:uiPriority w:val="31"/>
    <w:qFormat/>
    <w:rPr>
      <w:smallCaps/>
      <w:color w:val="5A5A5A"/>
    </w:rPr>
  </w:style>
  <w:style w:type="character" w:customStyle="1" w:styleId="Char2d">
    <w:name w:val="列出段落 Char2"/>
    <w:link w:val="afffffff"/>
    <w:qFormat/>
    <w:rPr>
      <w:b/>
      <w:bCs/>
      <w:kern w:val="2"/>
      <w:sz w:val="24"/>
      <w:szCs w:val="24"/>
    </w:rPr>
  </w:style>
  <w:style w:type="paragraph" w:styleId="afffffff">
    <w:name w:val="List Paragraph"/>
    <w:basedOn w:val="a9"/>
    <w:link w:val="Char2d"/>
    <w:qFormat/>
    <w:pPr>
      <w:ind w:left="720"/>
      <w:contextualSpacing/>
    </w:pPr>
    <w:rPr>
      <w:b/>
      <w:bCs/>
      <w:sz w:val="24"/>
    </w:rPr>
  </w:style>
  <w:style w:type="character" w:customStyle="1" w:styleId="NormalCharacter">
    <w:name w:val="NormalCharacter"/>
    <w:qFormat/>
  </w:style>
  <w:style w:type="character" w:customStyle="1" w:styleId="1fe">
    <w:name w:val="正文缩进 字符1"/>
    <w:qFormat/>
    <w:rPr>
      <w:kern w:val="2"/>
      <w:sz w:val="24"/>
    </w:rPr>
  </w:style>
  <w:style w:type="character" w:customStyle="1" w:styleId="1ff">
    <w:name w:val="页眉 字符1"/>
    <w:uiPriority w:val="99"/>
    <w:qFormat/>
    <w:rPr>
      <w:rFonts w:eastAsia="宋体"/>
      <w:kern w:val="2"/>
      <w:sz w:val="18"/>
      <w:szCs w:val="18"/>
      <w:lang w:val="en-US" w:eastAsia="zh-CN" w:bidi="ar-SA"/>
    </w:rPr>
  </w:style>
  <w:style w:type="character" w:customStyle="1" w:styleId="font151">
    <w:name w:val="font151"/>
    <w:qFormat/>
    <w:rPr>
      <w:rFonts w:ascii="宋体" w:eastAsia="宋体" w:hAnsi="宋体" w:cs="宋体" w:hint="eastAsia"/>
      <w:color w:val="000000"/>
      <w:sz w:val="20"/>
      <w:szCs w:val="20"/>
      <w:u w:val="none"/>
      <w:vertAlign w:val="superscript"/>
    </w:rPr>
  </w:style>
  <w:style w:type="character" w:customStyle="1" w:styleId="font51">
    <w:name w:val="font51"/>
    <w:qFormat/>
    <w:rPr>
      <w:rFonts w:ascii="宋体" w:eastAsia="宋体" w:hAnsi="宋体" w:cs="宋体" w:hint="eastAsia"/>
      <w:color w:val="000000"/>
      <w:sz w:val="20"/>
      <w:szCs w:val="20"/>
      <w:u w:val="none"/>
    </w:rPr>
  </w:style>
  <w:style w:type="character" w:customStyle="1" w:styleId="font61">
    <w:name w:val="font61"/>
    <w:qFormat/>
    <w:rPr>
      <w:rFonts w:ascii="仿宋" w:eastAsia="仿宋" w:hAnsi="仿宋" w:cs="仿宋"/>
      <w:b/>
      <w:color w:val="000000"/>
      <w:sz w:val="21"/>
      <w:szCs w:val="21"/>
      <w:u w:val="none"/>
    </w:rPr>
  </w:style>
  <w:style w:type="character" w:customStyle="1" w:styleId="1ff0">
    <w:name w:val="页脚 字符1"/>
    <w:uiPriority w:val="99"/>
    <w:qFormat/>
    <w:rPr>
      <w:kern w:val="2"/>
      <w:sz w:val="18"/>
      <w:szCs w:val="18"/>
    </w:rPr>
  </w:style>
  <w:style w:type="character" w:customStyle="1" w:styleId="--Char">
    <w:name w:val="表头-报告书-君邦 Char"/>
    <w:link w:val="--"/>
    <w:qFormat/>
    <w:rPr>
      <w:rFonts w:eastAsia="黑体"/>
      <w:b/>
      <w:kern w:val="2"/>
      <w:sz w:val="24"/>
    </w:rPr>
  </w:style>
  <w:style w:type="paragraph" w:customStyle="1" w:styleId="--">
    <w:name w:val="表头-报告书-君邦"/>
    <w:basedOn w:val="a9"/>
    <w:link w:val="--Char"/>
    <w:qFormat/>
    <w:pPr>
      <w:spacing w:beforeLines="50" w:line="360" w:lineRule="auto"/>
      <w:jc w:val="center"/>
    </w:pPr>
    <w:rPr>
      <w:rFonts w:eastAsia="黑体"/>
      <w:b/>
      <w:sz w:val="24"/>
    </w:rPr>
  </w:style>
  <w:style w:type="character" w:customStyle="1" w:styleId="show-img-bd">
    <w:name w:val="show-img-bd"/>
    <w:basedOn w:val="ab"/>
    <w:qFormat/>
  </w:style>
  <w:style w:type="character" w:customStyle="1" w:styleId="1ff1">
    <w:name w:val="标题 字符1"/>
    <w:qFormat/>
    <w:rPr>
      <w:rFonts w:ascii="Arial" w:hAnsi="Arial" w:cs="Arial"/>
      <w:b/>
      <w:bCs/>
      <w:kern w:val="2"/>
      <w:sz w:val="32"/>
      <w:szCs w:val="32"/>
    </w:rPr>
  </w:style>
  <w:style w:type="character" w:customStyle="1" w:styleId="3Char3">
    <w:name w:val="样式3 Char"/>
    <w:link w:val="3f2"/>
    <w:qFormat/>
    <w:rPr>
      <w:rFonts w:eastAsia="黑体"/>
      <w:kern w:val="2"/>
      <w:sz w:val="24"/>
    </w:rPr>
  </w:style>
  <w:style w:type="paragraph" w:customStyle="1" w:styleId="3f2">
    <w:name w:val="样式3"/>
    <w:basedOn w:val="3"/>
    <w:link w:val="3Char3"/>
    <w:qFormat/>
    <w:pPr>
      <w:keepNext/>
      <w:keepLines/>
      <w:numPr>
        <w:ilvl w:val="0"/>
        <w:numId w:val="0"/>
      </w:numPr>
      <w:tabs>
        <w:tab w:val="clear" w:pos="720"/>
        <w:tab w:val="left" w:pos="709"/>
      </w:tabs>
      <w:spacing w:before="60" w:line="240" w:lineRule="atLeast"/>
      <w:ind w:left="709" w:hanging="709"/>
    </w:pPr>
    <w:rPr>
      <w:b w:val="0"/>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01">
    <w:name w:val="font101"/>
    <w:qFormat/>
    <w:rPr>
      <w:rFonts w:ascii="宋体" w:eastAsia="宋体" w:hAnsi="宋体" w:cs="宋体" w:hint="eastAsia"/>
      <w:color w:val="000000"/>
      <w:sz w:val="20"/>
      <w:szCs w:val="20"/>
      <w:u w:val="none"/>
      <w:vertAlign w:val="subscript"/>
    </w:rPr>
  </w:style>
  <w:style w:type="character" w:customStyle="1" w:styleId="Char1d">
    <w:name w:val="批注文字 Char1"/>
    <w:uiPriority w:val="99"/>
    <w:qFormat/>
    <w:rPr>
      <w:rFonts w:eastAsia="宋体"/>
      <w:kern w:val="2"/>
      <w:sz w:val="21"/>
      <w:szCs w:val="24"/>
      <w:lang w:val="en-US" w:eastAsia="zh-CN" w:bidi="ar-SA"/>
    </w:rPr>
  </w:style>
  <w:style w:type="character" w:customStyle="1" w:styleId="Charffd">
    <w:name w:val="君邦正文格式 Char"/>
    <w:link w:val="afffffff0"/>
    <w:qFormat/>
    <w:rPr>
      <w:bCs/>
      <w:snapToGrid/>
      <w:sz w:val="24"/>
    </w:rPr>
  </w:style>
  <w:style w:type="paragraph" w:customStyle="1" w:styleId="afffffff0">
    <w:name w:val="君邦正文格式"/>
    <w:basedOn w:val="affff7"/>
    <w:link w:val="Charffd"/>
    <w:qFormat/>
  </w:style>
  <w:style w:type="character" w:customStyle="1" w:styleId="3CharChar">
    <w:name w:val="样式3 Char Char"/>
    <w:qFormat/>
    <w:rPr>
      <w:kern w:val="2"/>
      <w:sz w:val="24"/>
      <w:szCs w:val="24"/>
    </w:rPr>
  </w:style>
  <w:style w:type="character" w:customStyle="1" w:styleId="1ff2">
    <w:name w:val="题注 字符1"/>
    <w:qFormat/>
    <w:rPr>
      <w:rFonts w:ascii="Arial" w:eastAsia="黑体" w:hAnsi="Arial" w:cs="Arial"/>
      <w:kern w:val="2"/>
    </w:rPr>
  </w:style>
  <w:style w:type="character" w:customStyle="1" w:styleId="-05Char">
    <w:name w:val="样式 表内格式 + 左  -0.5 字符 Char"/>
    <w:link w:val="-05"/>
    <w:qFormat/>
    <w:rPr>
      <w:color w:val="0000FF"/>
      <w:sz w:val="18"/>
      <w:szCs w:val="18"/>
    </w:rPr>
  </w:style>
  <w:style w:type="paragraph" w:customStyle="1" w:styleId="-05">
    <w:name w:val="样式 表内格式 + 左  -0.5 字符"/>
    <w:basedOn w:val="affff6"/>
    <w:link w:val="-05Char"/>
    <w:qFormat/>
    <w:pPr>
      <w:spacing w:line="0" w:lineRule="atLeast"/>
      <w:ind w:leftChars="-50" w:left="-105" w:rightChars="-50" w:right="-105"/>
    </w:pPr>
    <w:rPr>
      <w:color w:val="0000FF"/>
      <w:szCs w:val="18"/>
    </w:rPr>
  </w:style>
  <w:style w:type="character" w:customStyle="1" w:styleId="3f3">
    <w:name w:val="正文文本 (3)_"/>
    <w:link w:val="3f4"/>
    <w:qFormat/>
    <w:rPr>
      <w:rFonts w:ascii="宋体" w:hAnsi="宋体" w:cs="宋体"/>
      <w:color w:val="000000"/>
      <w:sz w:val="30"/>
      <w:szCs w:val="30"/>
      <w:shd w:val="clear" w:color="auto" w:fill="FFFFFF"/>
      <w:lang w:val="zh-CN" w:bidi="zh-CN"/>
    </w:rPr>
  </w:style>
  <w:style w:type="paragraph" w:customStyle="1" w:styleId="3f4">
    <w:name w:val="正文文本 (3)"/>
    <w:basedOn w:val="a9"/>
    <w:link w:val="3f3"/>
    <w:qFormat/>
    <w:pPr>
      <w:shd w:val="clear" w:color="auto" w:fill="FFFFFF"/>
      <w:spacing w:after="180" w:line="0" w:lineRule="atLeast"/>
      <w:jc w:val="right"/>
    </w:pPr>
    <w:rPr>
      <w:rFonts w:ascii="宋体" w:hAnsi="宋体" w:cs="宋体"/>
      <w:color w:val="000000"/>
      <w:sz w:val="30"/>
      <w:szCs w:val="30"/>
      <w:shd w:val="clear" w:color="auto" w:fill="FFFFFF"/>
      <w:lang w:val="zh-CN" w:bidi="zh-CN"/>
    </w:rPr>
  </w:style>
  <w:style w:type="character" w:customStyle="1" w:styleId="1ff3">
    <w:name w:val="列表段落 字符1"/>
    <w:link w:val="Style2508"/>
    <w:qFormat/>
    <w:rPr>
      <w:b/>
      <w:bCs/>
      <w:kern w:val="2"/>
      <w:sz w:val="24"/>
      <w:szCs w:val="24"/>
    </w:rPr>
  </w:style>
  <w:style w:type="paragraph" w:customStyle="1" w:styleId="Style2508">
    <w:name w:val="_Style 2508"/>
    <w:basedOn w:val="a9"/>
    <w:next w:val="afffffff"/>
    <w:link w:val="1ff3"/>
    <w:qFormat/>
    <w:pPr>
      <w:ind w:left="720"/>
      <w:contextualSpacing/>
    </w:pPr>
    <w:rPr>
      <w:b/>
      <w:bCs/>
      <w:kern w:val="2"/>
      <w:sz w:val="24"/>
      <w:szCs w:val="24"/>
    </w:rPr>
  </w:style>
  <w:style w:type="character" w:customStyle="1" w:styleId="Charffe">
    <w:name w:val="正文表格 Char"/>
    <w:link w:val="afffffff1"/>
    <w:qFormat/>
    <w:rPr>
      <w:kern w:val="2"/>
      <w:sz w:val="21"/>
      <w:szCs w:val="21"/>
    </w:rPr>
  </w:style>
  <w:style w:type="paragraph" w:customStyle="1" w:styleId="afffffff1">
    <w:name w:val="正文表格"/>
    <w:basedOn w:val="a9"/>
    <w:link w:val="Charffe"/>
    <w:qFormat/>
    <w:pPr>
      <w:spacing w:line="360" w:lineRule="auto"/>
      <w:jc w:val="center"/>
    </w:pPr>
    <w:rPr>
      <w:szCs w:val="21"/>
    </w:rPr>
  </w:style>
  <w:style w:type="character" w:customStyle="1" w:styleId="Charfff">
    <w:name w:val="正文表头 Char"/>
    <w:link w:val="afffffff2"/>
    <w:qFormat/>
    <w:rPr>
      <w:b/>
      <w:color w:val="000000"/>
      <w:sz w:val="24"/>
      <w:szCs w:val="24"/>
    </w:rPr>
  </w:style>
  <w:style w:type="paragraph" w:customStyle="1" w:styleId="afffffff2">
    <w:name w:val="正文表头"/>
    <w:basedOn w:val="a9"/>
    <w:link w:val="Charfff"/>
    <w:qFormat/>
    <w:pPr>
      <w:autoSpaceDE w:val="0"/>
      <w:autoSpaceDN w:val="0"/>
      <w:adjustRightInd w:val="0"/>
      <w:spacing w:line="360" w:lineRule="auto"/>
      <w:jc w:val="center"/>
    </w:pPr>
    <w:rPr>
      <w:b/>
      <w:color w:val="000000"/>
      <w:sz w:val="24"/>
    </w:rPr>
  </w:style>
  <w:style w:type="character" w:customStyle="1" w:styleId="CharCharCharCharCharCharCharCharCharChar">
    <w:name w:val="正文缩进 Char Char Char Char Char Char  Char Char Char Char"/>
    <w:qFormat/>
    <w:rPr>
      <w:rFonts w:eastAsia="宋体"/>
      <w:kern w:val="2"/>
      <w:sz w:val="24"/>
      <w:lang w:val="en-US" w:eastAsia="zh-CN" w:bidi="ar-SA"/>
    </w:rPr>
  </w:style>
  <w:style w:type="character" w:customStyle="1" w:styleId="710">
    <w:name w:val="标题 7 字符1"/>
    <w:qFormat/>
    <w:rPr>
      <w:color w:val="008000"/>
      <w:kern w:val="2"/>
      <w:sz w:val="28"/>
    </w:rPr>
  </w:style>
  <w:style w:type="character" w:customStyle="1" w:styleId="910">
    <w:name w:val="标题 9 字符1"/>
    <w:qFormat/>
    <w:rPr>
      <w:rFonts w:ascii="Arial" w:eastAsia="黑体" w:hAnsi="Arial"/>
      <w:sz w:val="24"/>
    </w:rPr>
  </w:style>
  <w:style w:type="character" w:customStyle="1" w:styleId="p111">
    <w:name w:val="p111"/>
    <w:qFormat/>
    <w:rPr>
      <w:color w:val="000000"/>
      <w:sz w:val="18"/>
      <w:szCs w:val="18"/>
    </w:rPr>
  </w:style>
  <w:style w:type="character" w:customStyle="1" w:styleId="Charfff0">
    <w:name w:val="上标 Char"/>
    <w:link w:val="afffffff3"/>
    <w:qFormat/>
    <w:rPr>
      <w:rFonts w:ascii="宋体"/>
      <w:kern w:val="2"/>
      <w:sz w:val="28"/>
      <w:szCs w:val="28"/>
      <w:vertAlign w:val="superscript"/>
    </w:rPr>
  </w:style>
  <w:style w:type="paragraph" w:customStyle="1" w:styleId="afffffff3">
    <w:name w:val="上标"/>
    <w:basedOn w:val="a9"/>
    <w:link w:val="Charfff0"/>
    <w:qFormat/>
    <w:pPr>
      <w:spacing w:line="360" w:lineRule="auto"/>
      <w:ind w:firstLineChars="200" w:firstLine="480"/>
    </w:pPr>
    <w:rPr>
      <w:rFonts w:ascii="宋体"/>
      <w:sz w:val="28"/>
      <w:szCs w:val="28"/>
      <w:vertAlign w:val="superscript"/>
    </w:rPr>
  </w:style>
  <w:style w:type="character" w:customStyle="1" w:styleId="Charfff1">
    <w:name w:val="郭彬 Char"/>
    <w:link w:val="afffffff4"/>
    <w:qFormat/>
    <w:rPr>
      <w:rFonts w:ascii="宋体" w:hAnsi="宋体"/>
      <w:kern w:val="2"/>
      <w:sz w:val="24"/>
      <w:szCs w:val="24"/>
    </w:rPr>
  </w:style>
  <w:style w:type="paragraph" w:customStyle="1" w:styleId="afffffff4">
    <w:name w:val="郭彬"/>
    <w:basedOn w:val="a9"/>
    <w:link w:val="Charfff1"/>
    <w:qFormat/>
    <w:pPr>
      <w:spacing w:line="600" w:lineRule="exact"/>
      <w:jc w:val="center"/>
    </w:pPr>
    <w:rPr>
      <w:rFonts w:ascii="宋体" w:hAnsi="宋体"/>
      <w:sz w:val="24"/>
    </w:rPr>
  </w:style>
  <w:style w:type="character" w:customStyle="1" w:styleId="CharChara">
    <w:name w:val="表内字体 Char Char"/>
    <w:qFormat/>
    <w:rPr>
      <w:rFonts w:eastAsia="宋体"/>
      <w:kern w:val="2"/>
      <w:sz w:val="18"/>
      <w:szCs w:val="24"/>
      <w:lang w:val="en-US" w:eastAsia="zh-CN" w:bidi="ar-SA"/>
    </w:rPr>
  </w:style>
  <w:style w:type="character" w:customStyle="1" w:styleId="zw1">
    <w:name w:val="zw1"/>
    <w:qFormat/>
    <w:rPr>
      <w:rFonts w:ascii="宋体" w:eastAsia="宋体" w:hAnsi="宋体" w:hint="eastAsia"/>
      <w:spacing w:val="400"/>
      <w:sz w:val="22"/>
      <w:szCs w:val="22"/>
    </w:rPr>
  </w:style>
  <w:style w:type="character" w:customStyle="1" w:styleId="style421">
    <w:name w:val="style421"/>
    <w:qFormat/>
    <w:rPr>
      <w:b/>
      <w:bCs/>
      <w:sz w:val="36"/>
      <w:szCs w:val="36"/>
    </w:rPr>
  </w:style>
  <w:style w:type="character" w:customStyle="1" w:styleId="1ff4">
    <w:name w:val="正文文本首行缩进 字符1"/>
    <w:qFormat/>
    <w:rPr>
      <w:kern w:val="2"/>
      <w:sz w:val="24"/>
      <w:szCs w:val="24"/>
    </w:rPr>
  </w:style>
  <w:style w:type="character" w:customStyle="1" w:styleId="CharCharb">
    <w:name w:val="标准条文 Char Char"/>
    <w:link w:val="afffffff5"/>
    <w:qFormat/>
    <w:rPr>
      <w:kern w:val="2"/>
      <w:sz w:val="21"/>
    </w:rPr>
  </w:style>
  <w:style w:type="paragraph" w:customStyle="1" w:styleId="afffffff5">
    <w:name w:val="标准条文"/>
    <w:link w:val="CharCharb"/>
    <w:qFormat/>
    <w:pPr>
      <w:spacing w:beforeLines="20" w:afterLines="20" w:line="360" w:lineRule="auto"/>
      <w:ind w:firstLineChars="200" w:firstLine="200"/>
      <w:jc w:val="center"/>
    </w:pPr>
    <w:rPr>
      <w:kern w:val="2"/>
      <w:sz w:val="21"/>
    </w:rPr>
  </w:style>
  <w:style w:type="character" w:customStyle="1" w:styleId="82Char">
    <w:name w:val="样式 表标8.2 + 黑体 四号 Char"/>
    <w:link w:val="820"/>
    <w:qFormat/>
    <w:rPr>
      <w:rFonts w:ascii="黑体" w:eastAsia="黑体" w:hAnsi="黑体"/>
      <w:b/>
      <w:color w:val="000000"/>
      <w:kern w:val="2"/>
      <w:sz w:val="28"/>
    </w:rPr>
  </w:style>
  <w:style w:type="paragraph" w:customStyle="1" w:styleId="820">
    <w:name w:val="样式 表标8.2 + 黑体 四号"/>
    <w:basedOn w:val="a9"/>
    <w:link w:val="82Char"/>
    <w:qFormat/>
    <w:pPr>
      <w:widowControl/>
      <w:tabs>
        <w:tab w:val="left" w:pos="360"/>
        <w:tab w:val="left" w:pos="1341"/>
        <w:tab w:val="left" w:pos="8207"/>
      </w:tabs>
      <w:adjustRightInd w:val="0"/>
      <w:snapToGrid w:val="0"/>
      <w:spacing w:before="120" w:line="0" w:lineRule="atLeast"/>
      <w:ind w:left="1341"/>
      <w:jc w:val="center"/>
      <w:textAlignment w:val="baseline"/>
    </w:pPr>
    <w:rPr>
      <w:rFonts w:ascii="黑体" w:eastAsia="黑体" w:hAnsi="黑体"/>
      <w:b/>
      <w:color w:val="000000"/>
      <w:sz w:val="28"/>
    </w:rPr>
  </w:style>
  <w:style w:type="character" w:customStyle="1" w:styleId="22Char">
    <w:name w:val="样式 题注 + 首行缩进:  2 字符2 Char"/>
    <w:link w:val="220"/>
    <w:qFormat/>
    <w:rPr>
      <w:rFonts w:ascii="黑体" w:eastAsia="黑体" w:hAnsi="宋体"/>
      <w:kern w:val="2"/>
      <w:sz w:val="24"/>
    </w:rPr>
  </w:style>
  <w:style w:type="paragraph" w:customStyle="1" w:styleId="220">
    <w:name w:val="样式 题注 + 首行缩进:  2 字符2"/>
    <w:basedOn w:val="af6"/>
    <w:link w:val="22Char"/>
    <w:qFormat/>
    <w:pPr>
      <w:keepNext/>
      <w:adjustRightInd w:val="0"/>
      <w:snapToGrid w:val="0"/>
      <w:spacing w:before="0" w:after="0" w:line="360" w:lineRule="auto"/>
      <w:jc w:val="center"/>
    </w:pPr>
    <w:rPr>
      <w:rFonts w:ascii="黑体" w:hAnsi="宋体" w:cs="Times New Roman"/>
      <w:sz w:val="24"/>
    </w:rPr>
  </w:style>
  <w:style w:type="character" w:customStyle="1" w:styleId="Charfff2">
    <w:name w:val="图表标题 Char"/>
    <w:link w:val="afffffff6"/>
    <w:qFormat/>
    <w:rPr>
      <w:rFonts w:ascii="黑体" w:eastAsia="黑体"/>
      <w:b/>
      <w:color w:val="000000"/>
      <w:kern w:val="2"/>
      <w:sz w:val="24"/>
    </w:rPr>
  </w:style>
  <w:style w:type="paragraph" w:customStyle="1" w:styleId="afffffff6">
    <w:name w:val="图表标题"/>
    <w:basedOn w:val="afffffff7"/>
    <w:link w:val="Charfff2"/>
    <w:qFormat/>
    <w:pPr>
      <w:spacing w:line="360" w:lineRule="auto"/>
      <w:jc w:val="center"/>
      <w:textAlignment w:val="auto"/>
    </w:pPr>
    <w:rPr>
      <w:rFonts w:ascii="黑体" w:eastAsia="黑体"/>
      <w:b/>
      <w:color w:val="000000"/>
      <w:kern w:val="2"/>
      <w:sz w:val="24"/>
    </w:rPr>
  </w:style>
  <w:style w:type="paragraph" w:customStyle="1" w:styleId="afffffff7">
    <w:name w:val="表格文字"/>
    <w:basedOn w:val="a9"/>
    <w:link w:val="Charfff3"/>
    <w:qFormat/>
    <w:pPr>
      <w:adjustRightInd w:val="0"/>
      <w:snapToGrid w:val="0"/>
      <w:spacing w:line="400" w:lineRule="exact"/>
      <w:jc w:val="left"/>
      <w:textAlignment w:val="baseline"/>
    </w:pPr>
  </w:style>
  <w:style w:type="character" w:customStyle="1" w:styleId="CharCharc">
    <w:name w:val="正文文字 Char Char"/>
    <w:qFormat/>
    <w:rPr>
      <w:rFonts w:ascii="Times" w:eastAsia="宋体" w:hAnsi="Times"/>
      <w:kern w:val="24"/>
      <w:sz w:val="24"/>
      <w:szCs w:val="24"/>
      <w:lang w:val="en-US" w:eastAsia="zh-CN" w:bidi="ar-SA"/>
    </w:rPr>
  </w:style>
  <w:style w:type="character" w:customStyle="1" w:styleId="Charfff4">
    <w:name w:val="表格标题 Char"/>
    <w:link w:val="afffffff8"/>
    <w:uiPriority w:val="99"/>
    <w:qFormat/>
    <w:rPr>
      <w:rFonts w:ascii="黑体" w:eastAsia="黑体"/>
      <w:color w:val="000000"/>
      <w:sz w:val="28"/>
      <w:szCs w:val="28"/>
    </w:rPr>
  </w:style>
  <w:style w:type="paragraph" w:customStyle="1" w:styleId="afffffff8">
    <w:name w:val="表格标题"/>
    <w:basedOn w:val="a9"/>
    <w:link w:val="Charfff4"/>
    <w:uiPriority w:val="99"/>
    <w:qFormat/>
    <w:pPr>
      <w:autoSpaceDE w:val="0"/>
      <w:autoSpaceDN w:val="0"/>
      <w:adjustRightInd w:val="0"/>
      <w:spacing w:beforeLines="50" w:before="50" w:afterLines="50" w:after="50"/>
      <w:jc w:val="center"/>
    </w:pPr>
    <w:rPr>
      <w:rFonts w:ascii="黑体" w:eastAsia="黑体"/>
      <w:color w:val="000000"/>
      <w:sz w:val="28"/>
      <w:szCs w:val="28"/>
    </w:rPr>
  </w:style>
  <w:style w:type="character" w:customStyle="1" w:styleId="apple-style-span">
    <w:name w:val="apple-style-span"/>
    <w:basedOn w:val="ab"/>
    <w:qFormat/>
  </w:style>
  <w:style w:type="character" w:customStyle="1" w:styleId="CharChar50">
    <w:name w:val="Char Char5"/>
    <w:qFormat/>
    <w:rPr>
      <w:rFonts w:eastAsia="PMingLiU"/>
      <w:b/>
      <w:kern w:val="2"/>
      <w:sz w:val="32"/>
      <w:szCs w:val="24"/>
      <w:lang w:val="en-US" w:eastAsia="zh-TW" w:bidi="ar-SA"/>
    </w:rPr>
  </w:style>
  <w:style w:type="character" w:customStyle="1" w:styleId="f9wen1">
    <w:name w:val="f9wen1"/>
    <w:qFormat/>
    <w:rPr>
      <w:spacing w:val="13"/>
      <w:sz w:val="18"/>
      <w:szCs w:val="18"/>
      <w:u w:val="none"/>
    </w:rPr>
  </w:style>
  <w:style w:type="character" w:customStyle="1" w:styleId="maintdbg800">
    <w:name w:val="main_tdbg_800"/>
    <w:basedOn w:val="ab"/>
    <w:qFormat/>
  </w:style>
  <w:style w:type="character" w:customStyle="1" w:styleId="CharChar30">
    <w:name w:val="Char Char3"/>
    <w:qFormat/>
    <w:rPr>
      <w:rFonts w:ascii="Arial" w:eastAsia="黑体" w:hAnsi="Arial"/>
      <w:sz w:val="24"/>
      <w:lang w:val="en-US" w:eastAsia="zh-CN" w:bidi="ar-SA"/>
    </w:rPr>
  </w:style>
  <w:style w:type="character" w:customStyle="1" w:styleId="Charfff5">
    <w:name w:val="图 Char"/>
    <w:qFormat/>
    <w:rPr>
      <w:rFonts w:eastAsia="仿宋_GB2312"/>
      <w:w w:val="90"/>
      <w:kern w:val="2"/>
      <w:sz w:val="21"/>
      <w:szCs w:val="21"/>
      <w:lang w:val="en-US" w:eastAsia="zh-CN" w:bidi="ar-SA"/>
    </w:rPr>
  </w:style>
  <w:style w:type="character" w:customStyle="1" w:styleId="headeroddChar1">
    <w:name w:val="header odd Char1"/>
    <w:qFormat/>
    <w:rPr>
      <w:rFonts w:eastAsia="宋体"/>
      <w:kern w:val="2"/>
      <w:sz w:val="18"/>
      <w:szCs w:val="18"/>
      <w:lang w:val="en-US" w:eastAsia="zh-CN" w:bidi="ar-SA"/>
    </w:rPr>
  </w:style>
  <w:style w:type="character" w:customStyle="1" w:styleId="mainmattertd41">
    <w:name w:val="main_matter_td_41"/>
    <w:qFormat/>
    <w:rPr>
      <w:color w:val="0D357E"/>
      <w:sz w:val="18"/>
      <w:szCs w:val="18"/>
    </w:rPr>
  </w:style>
  <w:style w:type="character" w:customStyle="1" w:styleId="CharChar70">
    <w:name w:val="Char Char7"/>
    <w:qFormat/>
    <w:rPr>
      <w:rFonts w:eastAsia="宋体"/>
      <w:kern w:val="2"/>
      <w:sz w:val="21"/>
      <w:szCs w:val="24"/>
      <w:lang w:val="en-US" w:eastAsia="zh-CN" w:bidi="ar-SA"/>
    </w:rPr>
  </w:style>
  <w:style w:type="character" w:customStyle="1" w:styleId="Char1e">
    <w:name w:val="文本条款 Char1"/>
    <w:qFormat/>
    <w:rPr>
      <w:rFonts w:eastAsia="宋体"/>
      <w:kern w:val="2"/>
      <w:sz w:val="24"/>
      <w:lang w:val="en-US" w:eastAsia="zh-CN" w:bidi="ar-SA"/>
    </w:rPr>
  </w:style>
  <w:style w:type="character" w:customStyle="1" w:styleId="Charfff6">
    <w:name w:val="环科院表格标题 Char"/>
    <w:link w:val="afffffff9"/>
    <w:qFormat/>
    <w:rPr>
      <w:rFonts w:eastAsia="黑体"/>
      <w:kern w:val="2"/>
      <w:sz w:val="24"/>
      <w:szCs w:val="24"/>
    </w:rPr>
  </w:style>
  <w:style w:type="paragraph" w:customStyle="1" w:styleId="afffffff9">
    <w:name w:val="环科院表格标题"/>
    <w:basedOn w:val="a9"/>
    <w:link w:val="Charfff6"/>
    <w:qFormat/>
    <w:pPr>
      <w:widowControl/>
      <w:topLinePunct/>
      <w:spacing w:beforeLines="50" w:line="360" w:lineRule="auto"/>
      <w:jc w:val="center"/>
    </w:pPr>
    <w:rPr>
      <w:rFonts w:eastAsia="黑体"/>
      <w:sz w:val="24"/>
    </w:rPr>
  </w:style>
  <w:style w:type="character" w:customStyle="1" w:styleId="4Char">
    <w:name w:val="环科院标题4 Char"/>
    <w:link w:val="4c"/>
    <w:qFormat/>
    <w:rPr>
      <w:rFonts w:hAnsi="宋体"/>
      <w:kern w:val="2"/>
      <w:sz w:val="24"/>
      <w:szCs w:val="24"/>
    </w:rPr>
  </w:style>
  <w:style w:type="paragraph" w:customStyle="1" w:styleId="4c">
    <w:name w:val="环科院标题4"/>
    <w:basedOn w:val="a9"/>
    <w:link w:val="4Char"/>
    <w:qFormat/>
    <w:pPr>
      <w:spacing w:line="300" w:lineRule="auto"/>
      <w:ind w:firstLineChars="177" w:firstLine="425"/>
    </w:pPr>
    <w:rPr>
      <w:rFonts w:hAnsi="宋体"/>
      <w:sz w:val="24"/>
    </w:rPr>
  </w:style>
  <w:style w:type="character" w:customStyle="1" w:styleId="AChar">
    <w:name w:val="表格A Char"/>
    <w:link w:val="Afffffffa"/>
    <w:qFormat/>
    <w:rPr>
      <w:kern w:val="2"/>
      <w:sz w:val="21"/>
      <w:szCs w:val="21"/>
    </w:rPr>
  </w:style>
  <w:style w:type="paragraph" w:customStyle="1" w:styleId="Afffffffa">
    <w:name w:val="表格A"/>
    <w:basedOn w:val="a9"/>
    <w:link w:val="AChar"/>
    <w:qFormat/>
    <w:pPr>
      <w:adjustRightInd w:val="0"/>
      <w:snapToGrid w:val="0"/>
      <w:spacing w:beforeLines="30" w:afterLines="30" w:line="360" w:lineRule="auto"/>
      <w:jc w:val="center"/>
    </w:pPr>
    <w:rPr>
      <w:szCs w:val="21"/>
    </w:rPr>
  </w:style>
  <w:style w:type="character" w:customStyle="1" w:styleId="3zw">
    <w:name w:val="3zw"/>
    <w:basedOn w:val="ab"/>
    <w:qFormat/>
  </w:style>
  <w:style w:type="character" w:customStyle="1" w:styleId="312">
    <w:name w:val="正文文本缩进 3 字符1"/>
    <w:qFormat/>
    <w:rPr>
      <w:kern w:val="2"/>
      <w:sz w:val="16"/>
      <w:szCs w:val="16"/>
    </w:rPr>
  </w:style>
  <w:style w:type="character" w:customStyle="1" w:styleId="001Char">
    <w:name w:val="正文001 Char"/>
    <w:link w:val="001"/>
    <w:semiHidden/>
    <w:qFormat/>
    <w:rPr>
      <w:kern w:val="2"/>
      <w:sz w:val="24"/>
    </w:rPr>
  </w:style>
  <w:style w:type="paragraph" w:customStyle="1" w:styleId="001">
    <w:name w:val="正文001"/>
    <w:basedOn w:val="a9"/>
    <w:link w:val="001Char"/>
    <w:semiHidden/>
    <w:qFormat/>
    <w:pPr>
      <w:spacing w:before="60" w:line="420" w:lineRule="exact"/>
      <w:ind w:firstLine="482"/>
    </w:pPr>
    <w:rPr>
      <w:sz w:val="24"/>
    </w:rPr>
  </w:style>
  <w:style w:type="character" w:customStyle="1" w:styleId="Charfff7">
    <w:name w:val="正文突出 Char"/>
    <w:link w:val="afffffffb"/>
    <w:qFormat/>
    <w:rPr>
      <w:rFonts w:ascii="宋体" w:hAnsi="宋体"/>
      <w:b/>
      <w:color w:val="000000"/>
      <w:kern w:val="2"/>
      <w:sz w:val="24"/>
      <w:szCs w:val="24"/>
    </w:rPr>
  </w:style>
  <w:style w:type="paragraph" w:customStyle="1" w:styleId="afffffffb">
    <w:name w:val="正文突出"/>
    <w:basedOn w:val="001"/>
    <w:link w:val="Charfff7"/>
    <w:qFormat/>
    <w:pPr>
      <w:tabs>
        <w:tab w:val="left" w:pos="5200"/>
      </w:tabs>
      <w:spacing w:before="0" w:line="360" w:lineRule="auto"/>
      <w:ind w:leftChars="-50" w:left="-105" w:rightChars="-50" w:right="-105" w:firstLineChars="250" w:firstLine="602"/>
    </w:pPr>
    <w:rPr>
      <w:rFonts w:ascii="宋体" w:hAnsi="宋体"/>
      <w:b/>
      <w:color w:val="000000"/>
      <w:szCs w:val="24"/>
    </w:rPr>
  </w:style>
  <w:style w:type="character" w:customStyle="1" w:styleId="CharChar11">
    <w:name w:val="Char Char11"/>
    <w:link w:val="Char60"/>
    <w:qFormat/>
    <w:rPr>
      <w:kern w:val="2"/>
      <w:sz w:val="21"/>
      <w:szCs w:val="24"/>
    </w:rPr>
  </w:style>
  <w:style w:type="paragraph" w:customStyle="1" w:styleId="Char60">
    <w:name w:val="Char6"/>
    <w:basedOn w:val="a9"/>
    <w:link w:val="CharChar11"/>
    <w:qFormat/>
    <w:pPr>
      <w:spacing w:line="360" w:lineRule="auto"/>
    </w:pPr>
  </w:style>
  <w:style w:type="character" w:customStyle="1" w:styleId="CharChar210">
    <w:name w:val="Char Char21"/>
    <w:qFormat/>
    <w:rPr>
      <w:rFonts w:eastAsia="宋体"/>
      <w:kern w:val="2"/>
      <w:sz w:val="18"/>
      <w:lang w:val="en-US" w:eastAsia="zh-CN" w:bidi="ar-SA"/>
    </w:rPr>
  </w:style>
  <w:style w:type="character" w:customStyle="1" w:styleId="CharCharCharChar11">
    <w:name w:val="Char Char Char Char11"/>
    <w:qFormat/>
    <w:rPr>
      <w:rFonts w:eastAsia="宋体"/>
      <w:color w:val="000000"/>
      <w:kern w:val="2"/>
      <w:sz w:val="18"/>
      <w:szCs w:val="24"/>
      <w:lang w:val="en-US" w:eastAsia="zh-CN" w:bidi="ar-SA"/>
    </w:rPr>
  </w:style>
  <w:style w:type="character" w:customStyle="1" w:styleId="CharChar51">
    <w:name w:val="Char Char51"/>
    <w:qFormat/>
    <w:rPr>
      <w:rFonts w:eastAsia="PMingLiU"/>
      <w:b/>
      <w:kern w:val="2"/>
      <w:sz w:val="32"/>
      <w:szCs w:val="24"/>
      <w:lang w:val="en-US" w:eastAsia="zh-TW" w:bidi="ar-SA"/>
    </w:rPr>
  </w:style>
  <w:style w:type="character" w:customStyle="1" w:styleId="CharChar31">
    <w:name w:val="Char Char31"/>
    <w:qFormat/>
    <w:rPr>
      <w:rFonts w:ascii="Arial" w:eastAsia="黑体" w:hAnsi="Arial"/>
      <w:sz w:val="24"/>
      <w:lang w:val="en-US" w:eastAsia="zh-CN" w:bidi="ar-SA"/>
    </w:rPr>
  </w:style>
  <w:style w:type="character" w:customStyle="1" w:styleId="CharChar71">
    <w:name w:val="Char Char71"/>
    <w:qFormat/>
    <w:rPr>
      <w:rFonts w:eastAsia="宋体"/>
      <w:kern w:val="2"/>
      <w:sz w:val="21"/>
      <w:szCs w:val="24"/>
      <w:lang w:val="en-US" w:eastAsia="zh-CN" w:bidi="ar-SA"/>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2"/>
    <w:qFormat/>
    <w:rPr>
      <w:rFonts w:ascii="宋体" w:hAnsi="宋体" w:cs="宋体"/>
      <w:kern w:val="2"/>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9"/>
    <w:link w:val="CharChar1CharCharCharCharCharCharCharCharCharCharCharCharCharCharCharCharCharCharCharChar1CharChar"/>
    <w:qFormat/>
    <w:pPr>
      <w:spacing w:line="360" w:lineRule="auto"/>
      <w:ind w:firstLineChars="200" w:firstLine="200"/>
    </w:pPr>
    <w:rPr>
      <w:rFonts w:ascii="宋体" w:hAnsi="宋体" w:cs="宋体"/>
      <w:sz w:val="24"/>
    </w:rPr>
  </w:style>
  <w:style w:type="character" w:customStyle="1" w:styleId="CharChar22">
    <w:name w:val="Char Char22"/>
    <w:qFormat/>
    <w:rPr>
      <w:rFonts w:eastAsia="宋体"/>
      <w:kern w:val="2"/>
      <w:sz w:val="21"/>
      <w:szCs w:val="24"/>
      <w:lang w:val="en-US" w:eastAsia="zh-CN" w:bidi="ar-SA"/>
    </w:rPr>
  </w:style>
  <w:style w:type="character" w:customStyle="1" w:styleId="2Char0">
    <w:name w:val="列表 2 Char"/>
    <w:link w:val="21"/>
    <w:qFormat/>
    <w:rPr>
      <w:kern w:val="2"/>
      <w:sz w:val="21"/>
      <w:szCs w:val="24"/>
    </w:rPr>
  </w:style>
  <w:style w:type="character" w:customStyle="1" w:styleId="afffffffc">
    <w:name w:val="链接"/>
    <w:qFormat/>
    <w:rPr>
      <w:rFonts w:ascii="Times New Roman" w:eastAsia="宋体"/>
      <w:color w:val="0000FF"/>
      <w:sz w:val="21"/>
      <w:u w:val="single" w:color="0000FF"/>
      <w:vertAlign w:val="baseline"/>
      <w:lang w:val="en-US" w:eastAsia="zh-CN"/>
    </w:rPr>
  </w:style>
  <w:style w:type="character" w:customStyle="1" w:styleId="CharChard">
    <w:name w:val="表格 Char Char"/>
    <w:qFormat/>
    <w:rPr>
      <w:rFonts w:eastAsia="宋体"/>
      <w:spacing w:val="-4"/>
      <w:kern w:val="2"/>
      <w:sz w:val="24"/>
      <w:szCs w:val="24"/>
      <w:lang w:val="en-US" w:eastAsia="zh-CN" w:bidi="ar-SA"/>
    </w:rPr>
  </w:style>
  <w:style w:type="character" w:customStyle="1" w:styleId="1ff5">
    <w:name w:val="副标题 字符1"/>
    <w:qFormat/>
    <w:rPr>
      <w:rFonts w:ascii="Arial" w:hAnsi="Arial" w:cs="Arial"/>
      <w:b/>
      <w:bCs/>
      <w:kern w:val="28"/>
      <w:sz w:val="32"/>
      <w:szCs w:val="32"/>
    </w:rPr>
  </w:style>
  <w:style w:type="character" w:customStyle="1" w:styleId="line1">
    <w:name w:val="line1"/>
    <w:qFormat/>
    <w:rPr>
      <w:spacing w:val="270"/>
      <w:sz w:val="18"/>
      <w:szCs w:val="18"/>
    </w:rPr>
  </w:style>
  <w:style w:type="character" w:customStyle="1" w:styleId="Charfff8">
    <w:name w:val="正文文本缩进 Char"/>
    <w:qFormat/>
    <w:rPr>
      <w:rFonts w:ascii="宋体" w:eastAsia="宋体"/>
      <w:w w:val="135"/>
      <w:kern w:val="2"/>
      <w:sz w:val="21"/>
      <w:lang w:val="en-US" w:eastAsia="zh-CN" w:bidi="ar-SA"/>
    </w:rPr>
  </w:style>
  <w:style w:type="character" w:customStyle="1" w:styleId="p12">
    <w:name w:val="p12"/>
    <w:qFormat/>
    <w:rPr>
      <w:sz w:val="12"/>
      <w:szCs w:val="12"/>
    </w:rPr>
  </w:style>
  <w:style w:type="character" w:customStyle="1" w:styleId="1Char7">
    <w:name w:val="样式 表头样式1 + Char"/>
    <w:link w:val="1ff6"/>
    <w:qFormat/>
    <w:rPr>
      <w:rFonts w:eastAsia="黑体"/>
      <w:b/>
      <w:bCs/>
      <w:kern w:val="2"/>
      <w:sz w:val="24"/>
    </w:rPr>
  </w:style>
  <w:style w:type="paragraph" w:customStyle="1" w:styleId="1ff6">
    <w:name w:val="样式 表头样式1 +"/>
    <w:basedOn w:val="1f3"/>
    <w:link w:val="1Char7"/>
    <w:qFormat/>
    <w:pPr>
      <w:widowControl/>
      <w:spacing w:beforeLines="0" w:before="0"/>
    </w:pPr>
    <w:rPr>
      <w:bCs/>
    </w:rPr>
  </w:style>
  <w:style w:type="character" w:customStyle="1" w:styleId="1ff7">
    <w:name w:val="正文文本缩进 字符1"/>
    <w:qFormat/>
    <w:rPr>
      <w:color w:val="008000"/>
      <w:kern w:val="2"/>
      <w:sz w:val="21"/>
    </w:rPr>
  </w:style>
  <w:style w:type="character" w:customStyle="1" w:styleId="Charfff9">
    <w:name w:val="正文(首行缩进) Char"/>
    <w:link w:val="afffffffd"/>
    <w:qFormat/>
    <w:rPr>
      <w:snapToGrid/>
      <w:sz w:val="24"/>
      <w:szCs w:val="24"/>
    </w:rPr>
  </w:style>
  <w:style w:type="paragraph" w:customStyle="1" w:styleId="afffffffd">
    <w:name w:val="正文(首行缩进)"/>
    <w:basedOn w:val="a9"/>
    <w:link w:val="Charfff9"/>
    <w:qFormat/>
    <w:pPr>
      <w:spacing w:line="360" w:lineRule="auto"/>
    </w:pPr>
    <w:rPr>
      <w:snapToGrid w:val="0"/>
      <w:sz w:val="24"/>
    </w:rPr>
  </w:style>
  <w:style w:type="character" w:customStyle="1" w:styleId="Charfffa">
    <w:name w:val="表格表头 Char"/>
    <w:link w:val="afffffffe"/>
    <w:qFormat/>
    <w:rPr>
      <w:rFonts w:ascii="宋体" w:hAnsi="宋体"/>
      <w:b/>
      <w:bCs/>
      <w:snapToGrid/>
      <w:sz w:val="24"/>
    </w:rPr>
  </w:style>
  <w:style w:type="paragraph" w:customStyle="1" w:styleId="afffffffe">
    <w:name w:val="表格表头"/>
    <w:basedOn w:val="affff7"/>
    <w:link w:val="Charfffa"/>
    <w:qFormat/>
    <w:pPr>
      <w:spacing w:after="0"/>
      <w:ind w:firstLineChars="0" w:firstLine="0"/>
      <w:jc w:val="center"/>
    </w:pPr>
    <w:rPr>
      <w:rFonts w:ascii="宋体" w:hAnsi="宋体"/>
      <w:b/>
    </w:rPr>
  </w:style>
  <w:style w:type="character" w:customStyle="1" w:styleId="Charfffb">
    <w:name w:val="图标标题 Char"/>
    <w:link w:val="affffffff"/>
    <w:qFormat/>
    <w:rPr>
      <w:rFonts w:ascii="黑体"/>
      <w:b/>
      <w:color w:val="000000"/>
      <w:sz w:val="24"/>
      <w:szCs w:val="28"/>
    </w:rPr>
  </w:style>
  <w:style w:type="paragraph" w:customStyle="1" w:styleId="affffffff">
    <w:name w:val="图标标题"/>
    <w:basedOn w:val="a9"/>
    <w:link w:val="Charfffb"/>
    <w:qFormat/>
    <w:pPr>
      <w:autoSpaceDE w:val="0"/>
      <w:autoSpaceDN w:val="0"/>
      <w:spacing w:line="360" w:lineRule="auto"/>
      <w:jc w:val="center"/>
    </w:pPr>
    <w:rPr>
      <w:rFonts w:ascii="黑体"/>
      <w:b/>
      <w:color w:val="000000"/>
      <w:sz w:val="24"/>
      <w:szCs w:val="28"/>
    </w:rPr>
  </w:style>
  <w:style w:type="character" w:customStyle="1" w:styleId="3Char4">
    <w:name w:val="样式3正文 Char"/>
    <w:link w:val="3f5"/>
    <w:qFormat/>
    <w:rPr>
      <w:kern w:val="2"/>
      <w:sz w:val="24"/>
      <w:szCs w:val="24"/>
    </w:rPr>
  </w:style>
  <w:style w:type="paragraph" w:customStyle="1" w:styleId="3f5">
    <w:name w:val="样式3正文"/>
    <w:basedOn w:val="a9"/>
    <w:link w:val="3Char4"/>
    <w:qFormat/>
    <w:pPr>
      <w:spacing w:line="360" w:lineRule="auto"/>
      <w:ind w:firstLineChars="200" w:firstLine="480"/>
    </w:pPr>
    <w:rPr>
      <w:sz w:val="24"/>
    </w:rPr>
  </w:style>
  <w:style w:type="character" w:customStyle="1" w:styleId="Charfffc">
    <w:name w:val="无间隔 Char"/>
    <w:link w:val="affffffff0"/>
    <w:uiPriority w:val="1"/>
    <w:qFormat/>
    <w:rPr>
      <w:rFonts w:ascii="Calibri" w:hAnsi="Calibri"/>
      <w:sz w:val="22"/>
      <w:szCs w:val="22"/>
    </w:rPr>
  </w:style>
  <w:style w:type="paragraph" w:styleId="affffffff0">
    <w:name w:val="No Spacing"/>
    <w:link w:val="Charfffc"/>
    <w:uiPriority w:val="1"/>
    <w:qFormat/>
    <w:pPr>
      <w:spacing w:line="360" w:lineRule="auto"/>
      <w:jc w:val="center"/>
    </w:pPr>
    <w:rPr>
      <w:rFonts w:ascii="Calibri" w:hAnsi="Calibri"/>
      <w:sz w:val="22"/>
      <w:szCs w:val="22"/>
    </w:rPr>
  </w:style>
  <w:style w:type="character" w:customStyle="1" w:styleId="font">
    <w:name w:val="font"/>
    <w:basedOn w:val="ab"/>
    <w:qFormat/>
  </w:style>
  <w:style w:type="character" w:customStyle="1" w:styleId="Charfffd">
    <w:name w:val="正文加粗 Char"/>
    <w:link w:val="affffffff1"/>
    <w:qFormat/>
    <w:rPr>
      <w:b/>
      <w:snapToGrid/>
      <w:sz w:val="24"/>
      <w:szCs w:val="24"/>
    </w:rPr>
  </w:style>
  <w:style w:type="paragraph" w:customStyle="1" w:styleId="affffffff1">
    <w:name w:val="正文加粗"/>
    <w:basedOn w:val="1f1"/>
    <w:link w:val="Charfffd"/>
    <w:qFormat/>
    <w:pPr>
      <w:spacing w:after="0"/>
      <w:ind w:firstLine="200"/>
    </w:pPr>
    <w:rPr>
      <w:b/>
      <w:color w:val="auto"/>
      <w:szCs w:val="24"/>
    </w:rPr>
  </w:style>
  <w:style w:type="character" w:customStyle="1" w:styleId="Charfff3">
    <w:name w:val="表格文字 Char"/>
    <w:link w:val="afffffff7"/>
    <w:qFormat/>
    <w:rPr>
      <w:sz w:val="21"/>
    </w:rPr>
  </w:style>
  <w:style w:type="character" w:customStyle="1" w:styleId="1ff8">
    <w:name w:val="批注主题 字符1"/>
    <w:uiPriority w:val="99"/>
    <w:qFormat/>
    <w:rPr>
      <w:b/>
      <w:bCs/>
      <w:kern w:val="2"/>
      <w:sz w:val="21"/>
      <w:szCs w:val="24"/>
    </w:rPr>
  </w:style>
  <w:style w:type="character" w:customStyle="1" w:styleId="1ff9">
    <w:name w:val="注释标题 字符1"/>
    <w:qFormat/>
    <w:rPr>
      <w:kern w:val="2"/>
      <w:sz w:val="21"/>
      <w:szCs w:val="24"/>
    </w:rPr>
  </w:style>
  <w:style w:type="character" w:customStyle="1" w:styleId="affffffff2">
    <w:name w:val="单位 字符"/>
    <w:link w:val="affffffff3"/>
    <w:qFormat/>
    <w:rPr>
      <w:rFonts w:eastAsia="黑体"/>
      <w:kern w:val="2"/>
      <w:sz w:val="21"/>
      <w:szCs w:val="21"/>
      <w:lang w:val="zh-CN"/>
    </w:rPr>
  </w:style>
  <w:style w:type="paragraph" w:customStyle="1" w:styleId="affffffff3">
    <w:name w:val="单位"/>
    <w:basedOn w:val="a9"/>
    <w:link w:val="affffffff2"/>
    <w:qFormat/>
    <w:pPr>
      <w:spacing w:line="360" w:lineRule="auto"/>
      <w:ind w:right="420" w:firstLine="420"/>
      <w:jc w:val="right"/>
    </w:pPr>
    <w:rPr>
      <w:rFonts w:eastAsia="黑体"/>
      <w:szCs w:val="21"/>
      <w:lang w:val="zh-CN"/>
    </w:rPr>
  </w:style>
  <w:style w:type="character" w:customStyle="1" w:styleId="zwbChar">
    <w:name w:val="zwb_正文 Char"/>
    <w:link w:val="zwb"/>
    <w:qFormat/>
    <w:rPr>
      <w:sz w:val="24"/>
      <w:szCs w:val="24"/>
    </w:rPr>
  </w:style>
  <w:style w:type="paragraph" w:customStyle="1" w:styleId="zwb">
    <w:name w:val="zwb_正文"/>
    <w:basedOn w:val="a9"/>
    <w:link w:val="zwbChar"/>
    <w:qFormat/>
    <w:pPr>
      <w:spacing w:line="360" w:lineRule="auto"/>
      <w:ind w:firstLineChars="200" w:firstLine="200"/>
    </w:pPr>
    <w:rPr>
      <w:sz w:val="24"/>
    </w:rPr>
  </w:style>
  <w:style w:type="character" w:customStyle="1" w:styleId="DCharCharChar">
    <w:name w:val="D正文 Char Char Char"/>
    <w:link w:val="D"/>
    <w:qFormat/>
    <w:rPr>
      <w:sz w:val="24"/>
      <w:szCs w:val="24"/>
    </w:rPr>
  </w:style>
  <w:style w:type="paragraph" w:customStyle="1" w:styleId="D">
    <w:name w:val="D正文"/>
    <w:basedOn w:val="a9"/>
    <w:link w:val="DCharCharChar"/>
    <w:qFormat/>
    <w:pPr>
      <w:spacing w:line="360" w:lineRule="auto"/>
      <w:ind w:firstLineChars="200" w:firstLine="200"/>
    </w:pPr>
    <w:rPr>
      <w:sz w:val="24"/>
    </w:rPr>
  </w:style>
  <w:style w:type="character" w:customStyle="1" w:styleId="Char2e">
    <w:name w:val="称呼 Char2"/>
    <w:uiPriority w:val="99"/>
    <w:semiHidden/>
    <w:qFormat/>
    <w:rPr>
      <w:kern w:val="2"/>
      <w:sz w:val="21"/>
      <w:szCs w:val="22"/>
    </w:rPr>
  </w:style>
  <w:style w:type="character" w:customStyle="1" w:styleId="ng-binding">
    <w:name w:val="ng-binding"/>
    <w:basedOn w:val="ab"/>
    <w:qFormat/>
  </w:style>
  <w:style w:type="character" w:customStyle="1" w:styleId="fontstyle21">
    <w:name w:val="fontstyle21"/>
    <w:qFormat/>
    <w:rPr>
      <w:rFonts w:ascii="TimesNewRomanPSMT" w:hAnsi="TimesNewRomanPSMT" w:hint="default"/>
      <w:color w:val="000000"/>
      <w:sz w:val="22"/>
      <w:szCs w:val="22"/>
    </w:rPr>
  </w:style>
  <w:style w:type="character" w:customStyle="1" w:styleId="Char1f">
    <w:name w:val="批注框文本 Char1"/>
    <w:qFormat/>
    <w:rPr>
      <w:kern w:val="2"/>
      <w:sz w:val="18"/>
      <w:szCs w:val="18"/>
    </w:rPr>
  </w:style>
  <w:style w:type="character" w:customStyle="1" w:styleId="Char1f0">
    <w:name w:val="日期 Char1"/>
    <w:qFormat/>
    <w:rPr>
      <w:kern w:val="2"/>
      <w:sz w:val="21"/>
    </w:rPr>
  </w:style>
  <w:style w:type="character" w:customStyle="1" w:styleId="Char1f1">
    <w:name w:val="批注主题 Char1"/>
    <w:qFormat/>
    <w:rPr>
      <w:b/>
      <w:bCs/>
      <w:kern w:val="2"/>
      <w:sz w:val="21"/>
      <w:szCs w:val="24"/>
    </w:rPr>
  </w:style>
  <w:style w:type="character" w:customStyle="1" w:styleId="Char1f2">
    <w:name w:val="注释标题 Char1"/>
    <w:qFormat/>
    <w:rPr>
      <w:kern w:val="2"/>
      <w:sz w:val="21"/>
      <w:szCs w:val="24"/>
    </w:rPr>
  </w:style>
  <w:style w:type="character" w:customStyle="1" w:styleId="1ffa">
    <w:name w:val="文档结构图 字符1"/>
    <w:qFormat/>
    <w:rPr>
      <w:kern w:val="2"/>
      <w:sz w:val="21"/>
      <w:szCs w:val="24"/>
      <w:shd w:val="clear" w:color="auto" w:fill="000080"/>
    </w:rPr>
  </w:style>
  <w:style w:type="character" w:customStyle="1" w:styleId="m17">
    <w:name w:val="m_17"/>
    <w:basedOn w:val="ab"/>
    <w:qFormat/>
  </w:style>
  <w:style w:type="character" w:customStyle="1" w:styleId="Charf1">
    <w:name w:val="环科所表内格式 Char"/>
    <w:link w:val="affff5"/>
    <w:qFormat/>
    <w:rPr>
      <w:rFonts w:eastAsia="仿宋_GB2312"/>
      <w:kern w:val="2"/>
      <w:sz w:val="18"/>
    </w:rPr>
  </w:style>
  <w:style w:type="character" w:customStyle="1" w:styleId="m3">
    <w:name w:val="m_3"/>
    <w:basedOn w:val="ab"/>
    <w:qFormat/>
  </w:style>
  <w:style w:type="character" w:customStyle="1" w:styleId="m10">
    <w:name w:val="m_10"/>
    <w:basedOn w:val="ab"/>
    <w:qFormat/>
  </w:style>
  <w:style w:type="character" w:customStyle="1" w:styleId="m35">
    <w:name w:val="m_35"/>
    <w:basedOn w:val="ab"/>
    <w:qFormat/>
  </w:style>
  <w:style w:type="character" w:customStyle="1" w:styleId="1Char8">
    <w:name w:val="样式 表头样式1 + 非加粗 Char"/>
    <w:link w:val="1ffb"/>
    <w:qFormat/>
  </w:style>
  <w:style w:type="paragraph" w:customStyle="1" w:styleId="1ffb">
    <w:name w:val="样式 表头样式1 + 非加粗"/>
    <w:basedOn w:val="--"/>
    <w:link w:val="1Char8"/>
    <w:qFormat/>
    <w:pPr>
      <w:spacing w:beforeLines="0"/>
    </w:pPr>
    <w:rPr>
      <w:rFonts w:eastAsia="宋体"/>
      <w:b w:val="0"/>
      <w:sz w:val="20"/>
    </w:rPr>
  </w:style>
  <w:style w:type="character" w:customStyle="1" w:styleId="m1">
    <w:name w:val="m_1"/>
    <w:basedOn w:val="ab"/>
    <w:qFormat/>
  </w:style>
  <w:style w:type="character" w:customStyle="1" w:styleId="m0">
    <w:name w:val="m_0"/>
    <w:basedOn w:val="ab"/>
    <w:qFormat/>
  </w:style>
  <w:style w:type="character" w:customStyle="1" w:styleId="Charfffe">
    <w:name w:val="报告表标题 Char"/>
    <w:link w:val="affffffff4"/>
    <w:qFormat/>
    <w:rPr>
      <w:b/>
      <w:kern w:val="2"/>
      <w:sz w:val="28"/>
      <w:szCs w:val="28"/>
    </w:rPr>
  </w:style>
  <w:style w:type="paragraph" w:customStyle="1" w:styleId="affffffff4">
    <w:name w:val="报告表标题"/>
    <w:basedOn w:val="a9"/>
    <w:next w:val="a9"/>
    <w:link w:val="Charfffe"/>
    <w:qFormat/>
    <w:pPr>
      <w:snapToGrid w:val="0"/>
      <w:spacing w:line="360" w:lineRule="auto"/>
    </w:pPr>
    <w:rPr>
      <w:b/>
      <w:sz w:val="28"/>
      <w:szCs w:val="28"/>
    </w:rPr>
  </w:style>
  <w:style w:type="character" w:customStyle="1" w:styleId="isellp">
    <w:name w:val="isellp"/>
    <w:basedOn w:val="ab"/>
    <w:qFormat/>
  </w:style>
  <w:style w:type="character" w:customStyle="1" w:styleId="m34">
    <w:name w:val="m_34"/>
    <w:basedOn w:val="ab"/>
    <w:qFormat/>
  </w:style>
  <w:style w:type="character" w:customStyle="1" w:styleId="12Char0">
    <w:name w:val="样式12 Char"/>
    <w:qFormat/>
    <w:rPr>
      <w:rFonts w:ascii="宋体" w:eastAsia="宋体" w:hAnsi="宋体"/>
      <w:b/>
      <w:spacing w:val="20"/>
      <w:kern w:val="2"/>
      <w:sz w:val="24"/>
      <w:szCs w:val="24"/>
      <w:lang w:val="en-US" w:eastAsia="zh-CN" w:bidi="ar-SA"/>
    </w:rPr>
  </w:style>
  <w:style w:type="character" w:customStyle="1" w:styleId="m38">
    <w:name w:val="m_38"/>
    <w:basedOn w:val="ab"/>
    <w:qFormat/>
  </w:style>
  <w:style w:type="character" w:customStyle="1" w:styleId="m42">
    <w:name w:val="m_42"/>
    <w:basedOn w:val="ab"/>
    <w:qFormat/>
  </w:style>
  <w:style w:type="character" w:customStyle="1" w:styleId="m19">
    <w:name w:val="m_19"/>
    <w:basedOn w:val="ab"/>
    <w:qFormat/>
  </w:style>
  <w:style w:type="character" w:customStyle="1" w:styleId="m48">
    <w:name w:val="m_48"/>
    <w:basedOn w:val="ab"/>
    <w:qFormat/>
  </w:style>
  <w:style w:type="character" w:customStyle="1" w:styleId="m44">
    <w:name w:val="m_44"/>
    <w:basedOn w:val="ab"/>
    <w:qFormat/>
  </w:style>
  <w:style w:type="character" w:customStyle="1" w:styleId="m37">
    <w:name w:val="m_37"/>
    <w:basedOn w:val="ab"/>
    <w:qFormat/>
  </w:style>
  <w:style w:type="character" w:customStyle="1" w:styleId="m5">
    <w:name w:val="m_5"/>
    <w:basedOn w:val="ab"/>
    <w:qFormat/>
  </w:style>
  <w:style w:type="character" w:customStyle="1" w:styleId="m43">
    <w:name w:val="m_43"/>
    <w:basedOn w:val="ab"/>
    <w:qFormat/>
  </w:style>
  <w:style w:type="character" w:customStyle="1" w:styleId="CharChar60">
    <w:name w:val="Char Char6"/>
    <w:qFormat/>
    <w:rPr>
      <w:rFonts w:eastAsia="宋体"/>
      <w:kern w:val="2"/>
      <w:sz w:val="24"/>
      <w:lang w:val="en-US" w:eastAsia="zh-CN" w:bidi="ar-SA"/>
    </w:rPr>
  </w:style>
  <w:style w:type="character" w:customStyle="1" w:styleId="m40">
    <w:name w:val="m_40"/>
    <w:basedOn w:val="ab"/>
    <w:qFormat/>
  </w:style>
  <w:style w:type="character" w:customStyle="1" w:styleId="m33">
    <w:name w:val="m_33"/>
    <w:basedOn w:val="ab"/>
    <w:qFormat/>
  </w:style>
  <w:style w:type="character" w:customStyle="1" w:styleId="m36">
    <w:name w:val="m_36"/>
    <w:basedOn w:val="ab"/>
    <w:qFormat/>
  </w:style>
  <w:style w:type="character" w:customStyle="1" w:styleId="m32">
    <w:name w:val="m_32"/>
    <w:basedOn w:val="ab"/>
    <w:qFormat/>
  </w:style>
  <w:style w:type="character" w:customStyle="1" w:styleId="m16">
    <w:name w:val="m_16"/>
    <w:basedOn w:val="ab"/>
    <w:qFormat/>
  </w:style>
  <w:style w:type="character" w:customStyle="1" w:styleId="titlestyle1">
    <w:name w:val="titlestyle1"/>
    <w:qFormat/>
    <w:rPr>
      <w:rFonts w:ascii="Verdana" w:hAnsi="Verdana" w:hint="default"/>
      <w:b/>
      <w:bCs/>
      <w:color w:val="000000"/>
      <w:sz w:val="28"/>
      <w:szCs w:val="28"/>
    </w:rPr>
  </w:style>
  <w:style w:type="character" w:customStyle="1" w:styleId="affffffff5">
    <w:name w:val="表头 字元"/>
    <w:qFormat/>
    <w:rPr>
      <w:rFonts w:eastAsia="黑体"/>
      <w:kern w:val="2"/>
      <w:sz w:val="24"/>
      <w:szCs w:val="24"/>
    </w:rPr>
  </w:style>
  <w:style w:type="character" w:customStyle="1" w:styleId="m26">
    <w:name w:val="m_26"/>
    <w:basedOn w:val="ab"/>
    <w:qFormat/>
  </w:style>
  <w:style w:type="character" w:customStyle="1" w:styleId="m2">
    <w:name w:val="m_2"/>
    <w:basedOn w:val="ab"/>
    <w:qFormat/>
  </w:style>
  <w:style w:type="character" w:customStyle="1" w:styleId="tpccontent1">
    <w:name w:val="tpc_content1"/>
    <w:qFormat/>
    <w:rPr>
      <w:sz w:val="20"/>
      <w:szCs w:val="20"/>
    </w:rPr>
  </w:style>
  <w:style w:type="character" w:customStyle="1" w:styleId="CharChar62">
    <w:name w:val="Char Char62"/>
    <w:qFormat/>
    <w:rPr>
      <w:rFonts w:eastAsia="宋体"/>
      <w:kern w:val="2"/>
      <w:sz w:val="24"/>
      <w:lang w:val="en-US" w:eastAsia="zh-CN" w:bidi="ar-SA"/>
    </w:rPr>
  </w:style>
  <w:style w:type="character" w:customStyle="1" w:styleId="m18">
    <w:name w:val="m_18"/>
    <w:basedOn w:val="ab"/>
    <w:qFormat/>
  </w:style>
  <w:style w:type="character" w:customStyle="1" w:styleId="m20">
    <w:name w:val="m_20"/>
    <w:basedOn w:val="ab"/>
    <w:qFormat/>
  </w:style>
  <w:style w:type="character" w:customStyle="1" w:styleId="CharChar61">
    <w:name w:val="Char Char61"/>
    <w:qFormat/>
    <w:rPr>
      <w:rFonts w:eastAsia="宋体"/>
      <w:kern w:val="2"/>
      <w:sz w:val="24"/>
      <w:lang w:val="en-US" w:eastAsia="zh-CN" w:bidi="ar-SA"/>
    </w:rPr>
  </w:style>
  <w:style w:type="character" w:customStyle="1" w:styleId="Charffff">
    <w:name w:val="样式 表内格式 + 蓝色 Char"/>
    <w:link w:val="affffffff6"/>
    <w:qFormat/>
    <w:rPr>
      <w:color w:val="0000FF"/>
      <w:kern w:val="2"/>
      <w:sz w:val="18"/>
    </w:rPr>
  </w:style>
  <w:style w:type="paragraph" w:customStyle="1" w:styleId="affffffff6">
    <w:name w:val="样式 表内格式 + 蓝色"/>
    <w:basedOn w:val="affff6"/>
    <w:link w:val="Charffff"/>
    <w:qFormat/>
    <w:pPr>
      <w:widowControl/>
    </w:pPr>
    <w:rPr>
      <w:color w:val="0000FF"/>
    </w:rPr>
  </w:style>
  <w:style w:type="character" w:customStyle="1" w:styleId="9Char">
    <w:name w:val="样式9 Char"/>
    <w:link w:val="92"/>
    <w:qFormat/>
    <w:rPr>
      <w:rFonts w:ascii="宋体"/>
      <w:snapToGrid/>
      <w:kern w:val="2"/>
      <w:sz w:val="21"/>
      <w:szCs w:val="21"/>
    </w:rPr>
  </w:style>
  <w:style w:type="paragraph" w:customStyle="1" w:styleId="92">
    <w:name w:val="样式9"/>
    <w:basedOn w:val="a9"/>
    <w:link w:val="9Char"/>
    <w:qFormat/>
    <w:pPr>
      <w:widowControl/>
      <w:tabs>
        <w:tab w:val="left" w:pos="432"/>
      </w:tabs>
      <w:adjustRightInd w:val="0"/>
      <w:snapToGrid w:val="0"/>
      <w:jc w:val="center"/>
      <w:textAlignment w:val="baseline"/>
    </w:pPr>
    <w:rPr>
      <w:rFonts w:ascii="宋体"/>
      <w:snapToGrid w:val="0"/>
      <w:szCs w:val="21"/>
    </w:rPr>
  </w:style>
  <w:style w:type="character" w:customStyle="1" w:styleId="1Char11">
    <w:name w:val="标题 1 Char1"/>
    <w:uiPriority w:val="9"/>
    <w:qFormat/>
    <w:rPr>
      <w:b/>
      <w:kern w:val="44"/>
      <w:sz w:val="32"/>
    </w:rPr>
  </w:style>
  <w:style w:type="character" w:customStyle="1" w:styleId="9Char1">
    <w:name w:val="标题 9 Char1"/>
    <w:qFormat/>
    <w:rPr>
      <w:rFonts w:ascii="Arial" w:eastAsia="黑体" w:hAnsi="Arial"/>
      <w:sz w:val="24"/>
    </w:rPr>
  </w:style>
  <w:style w:type="character" w:customStyle="1" w:styleId="CharChar13">
    <w:name w:val="Char Char13"/>
    <w:link w:val="Char90"/>
    <w:qFormat/>
    <w:rPr>
      <w:kern w:val="2"/>
      <w:sz w:val="21"/>
      <w:szCs w:val="24"/>
    </w:rPr>
  </w:style>
  <w:style w:type="paragraph" w:customStyle="1" w:styleId="Char90">
    <w:name w:val="Char9"/>
    <w:basedOn w:val="a9"/>
    <w:link w:val="CharChar13"/>
    <w:qFormat/>
    <w:pPr>
      <w:widowControl/>
    </w:pPr>
  </w:style>
  <w:style w:type="character" w:customStyle="1" w:styleId="1CharCharCharCharChar0">
    <w:name w:val="样式 正文1 Char Char + 字距调整七号 Char Char Char"/>
    <w:qFormat/>
    <w:rPr>
      <w:rFonts w:eastAsia="宋体"/>
      <w:kern w:val="11"/>
      <w:sz w:val="24"/>
      <w:szCs w:val="28"/>
      <w:lang w:val="en-US" w:eastAsia="zh-CN" w:bidi="ar-SA"/>
    </w:rPr>
  </w:style>
  <w:style w:type="character" w:customStyle="1" w:styleId="z-Char">
    <w:name w:val="z-窗体底端 Char"/>
    <w:link w:val="z-2"/>
    <w:qFormat/>
    <w:rPr>
      <w:rFonts w:ascii="Arial" w:hAnsi="Arial" w:cs="Arial"/>
      <w:vanish/>
      <w:sz w:val="16"/>
      <w:szCs w:val="16"/>
    </w:rPr>
  </w:style>
  <w:style w:type="paragraph" w:customStyle="1" w:styleId="z-2">
    <w:name w:val="z-窗体底端2"/>
    <w:basedOn w:val="a9"/>
    <w:next w:val="a9"/>
    <w:link w:val="z-Char"/>
    <w:qFormat/>
    <w:pPr>
      <w:widowControl/>
      <w:pBdr>
        <w:top w:val="single" w:sz="6" w:space="1" w:color="auto"/>
      </w:pBdr>
      <w:jc w:val="center"/>
    </w:pPr>
    <w:rPr>
      <w:rFonts w:ascii="Arial" w:hAnsi="Arial" w:cs="Arial"/>
      <w:vanish/>
      <w:sz w:val="16"/>
      <w:szCs w:val="16"/>
    </w:rPr>
  </w:style>
  <w:style w:type="character" w:customStyle="1" w:styleId="z-Char1">
    <w:name w:val="z-窗体底端 Char1"/>
    <w:uiPriority w:val="99"/>
    <w:semiHidden/>
    <w:qFormat/>
    <w:rPr>
      <w:rFonts w:ascii="Arial" w:hAnsi="Arial" w:cs="Arial"/>
      <w:vanish/>
      <w:kern w:val="2"/>
      <w:sz w:val="16"/>
      <w:szCs w:val="16"/>
    </w:rPr>
  </w:style>
  <w:style w:type="character" w:customStyle="1" w:styleId="CharChar312">
    <w:name w:val="Char Char312"/>
    <w:qFormat/>
    <w:rPr>
      <w:kern w:val="2"/>
      <w:sz w:val="21"/>
      <w:szCs w:val="24"/>
    </w:rPr>
  </w:style>
  <w:style w:type="character" w:customStyle="1" w:styleId="text">
    <w:name w:val="text"/>
    <w:basedOn w:val="ab"/>
    <w:qFormat/>
  </w:style>
  <w:style w:type="character" w:customStyle="1" w:styleId="14Char">
    <w:name w:val="样式14 Char"/>
    <w:link w:val="14"/>
    <w:qFormat/>
    <w:rPr>
      <w:b/>
      <w:sz w:val="24"/>
    </w:rPr>
  </w:style>
  <w:style w:type="paragraph" w:customStyle="1" w:styleId="14">
    <w:name w:val="样式14"/>
    <w:basedOn w:val="5"/>
    <w:link w:val="14Char"/>
    <w:qFormat/>
    <w:pPr>
      <w:widowControl/>
      <w:numPr>
        <w:numId w:val="2"/>
      </w:numPr>
      <w:tabs>
        <w:tab w:val="clear" w:pos="432"/>
        <w:tab w:val="left" w:pos="425"/>
        <w:tab w:val="left" w:pos="720"/>
        <w:tab w:val="left" w:pos="944"/>
        <w:tab w:val="left" w:pos="1567"/>
      </w:tabs>
      <w:ind w:left="426"/>
    </w:pPr>
  </w:style>
  <w:style w:type="character" w:customStyle="1" w:styleId="CharChar52">
    <w:name w:val="Char Char52"/>
    <w:qFormat/>
    <w:rPr>
      <w:rFonts w:eastAsia="PMingLiU"/>
      <w:b/>
      <w:kern w:val="2"/>
      <w:sz w:val="32"/>
      <w:szCs w:val="24"/>
      <w:lang w:val="en-US" w:eastAsia="zh-TW" w:bidi="ar-SA"/>
    </w:rPr>
  </w:style>
  <w:style w:type="character" w:customStyle="1" w:styleId="-1Char">
    <w:name w:val="正文-1 Char"/>
    <w:link w:val="-10"/>
    <w:qFormat/>
    <w:rPr>
      <w:spacing w:val="4"/>
      <w:kern w:val="18"/>
      <w:sz w:val="24"/>
      <w:szCs w:val="30"/>
    </w:rPr>
  </w:style>
  <w:style w:type="paragraph" w:customStyle="1" w:styleId="-10">
    <w:name w:val="正文-1"/>
    <w:basedOn w:val="afe"/>
    <w:link w:val="-1Char"/>
    <w:qFormat/>
    <w:pPr>
      <w:widowControl/>
      <w:spacing w:line="360" w:lineRule="auto"/>
      <w:ind w:firstLineChars="180" w:firstLine="180"/>
    </w:pPr>
    <w:rPr>
      <w:color w:val="auto"/>
      <w:spacing w:val="4"/>
      <w:kern w:val="18"/>
      <w:sz w:val="24"/>
      <w:szCs w:val="30"/>
    </w:rPr>
  </w:style>
  <w:style w:type="character" w:customStyle="1" w:styleId="CharChar18">
    <w:name w:val="Char Char18"/>
    <w:qFormat/>
    <w:rPr>
      <w:rFonts w:ascii="Arial" w:eastAsia="宋体" w:hAnsi="Arial"/>
      <w:b/>
      <w:bCs/>
      <w:kern w:val="2"/>
      <w:sz w:val="32"/>
      <w:szCs w:val="32"/>
      <w:lang w:val="en-US" w:eastAsia="zh-CN" w:bidi="ar-SA"/>
    </w:rPr>
  </w:style>
  <w:style w:type="character" w:customStyle="1" w:styleId="15Char">
    <w:name w:val="表内样式15 Char"/>
    <w:link w:val="151"/>
    <w:qFormat/>
  </w:style>
  <w:style w:type="paragraph" w:customStyle="1" w:styleId="151">
    <w:name w:val="表内样式15"/>
    <w:basedOn w:val="affff6"/>
    <w:link w:val="15Char"/>
    <w:qFormat/>
    <w:pPr>
      <w:widowControl/>
      <w:ind w:leftChars="-50" w:left="-50" w:rightChars="-50" w:right="-50"/>
    </w:pPr>
    <w:rPr>
      <w:sz w:val="20"/>
    </w:rPr>
  </w:style>
  <w:style w:type="character" w:customStyle="1" w:styleId="text1">
    <w:name w:val="text1"/>
    <w:qFormat/>
  </w:style>
  <w:style w:type="character" w:customStyle="1" w:styleId="Char1f3">
    <w:name w:val="正文(首行缩进) Char1"/>
    <w:qFormat/>
    <w:locked/>
    <w:rPr>
      <w:rFonts w:eastAsia="宋体"/>
      <w:snapToGrid/>
      <w:sz w:val="24"/>
      <w:szCs w:val="24"/>
      <w:lang w:val="en-US" w:eastAsia="zh-CN" w:bidi="ar-SA"/>
    </w:rPr>
  </w:style>
  <w:style w:type="character" w:customStyle="1" w:styleId="2ParagrafoTimesNewRoman00Char">
    <w:name w:val="样式 标题 2Paragrafo + Times New Roman 非加粗 左侧:  0 厘米 首行缩进:  0 厘米... Char"/>
    <w:link w:val="2ParagrafoTimesNewRoman00"/>
    <w:qFormat/>
    <w:rPr>
      <w:rFonts w:eastAsia="黑体" w:cs="宋体"/>
      <w:b/>
      <w:kern w:val="2"/>
      <w:sz w:val="30"/>
    </w:rPr>
  </w:style>
  <w:style w:type="paragraph" w:customStyle="1" w:styleId="2ParagrafoTimesNewRoman00">
    <w:name w:val="样式 标题 2Paragrafo + Times New Roman 非加粗 左侧:  0 厘米 首行缩进:  0 厘米..."/>
    <w:basedOn w:val="2"/>
    <w:link w:val="2ParagrafoTimesNewRoman00Char"/>
    <w:qFormat/>
    <w:pPr>
      <w:keepNext/>
      <w:widowControl/>
      <w:numPr>
        <w:ilvl w:val="0"/>
        <w:numId w:val="0"/>
      </w:numPr>
      <w:pBdr>
        <w:bottom w:val="none" w:sz="0" w:space="0" w:color="auto"/>
      </w:pBdr>
      <w:spacing w:before="120" w:after="120" w:line="360" w:lineRule="auto"/>
    </w:pPr>
    <w:rPr>
      <w:rFonts w:cs="宋体"/>
      <w:sz w:val="30"/>
    </w:rPr>
  </w:style>
  <w:style w:type="character" w:customStyle="1" w:styleId="test">
    <w:name w:val="test"/>
    <w:basedOn w:val="ab"/>
    <w:qFormat/>
  </w:style>
  <w:style w:type="character" w:customStyle="1" w:styleId="hb1Char">
    <w:name w:val="hb1 Char"/>
    <w:link w:val="hb1"/>
    <w:qFormat/>
    <w:rPr>
      <w:rFonts w:ascii="宋体" w:hAnsi="宋体"/>
      <w:color w:val="000000"/>
      <w:kern w:val="2"/>
      <w:sz w:val="24"/>
    </w:rPr>
  </w:style>
  <w:style w:type="paragraph" w:customStyle="1" w:styleId="hb1">
    <w:name w:val="hb1"/>
    <w:basedOn w:val="afd"/>
    <w:link w:val="hb1Char"/>
    <w:qFormat/>
    <w:pPr>
      <w:widowControl/>
      <w:spacing w:line="460" w:lineRule="exact"/>
      <w:ind w:firstLineChars="0" w:firstLine="482"/>
    </w:pPr>
    <w:rPr>
      <w:rFonts w:ascii="宋体" w:hAnsi="宋体"/>
      <w:color w:val="000000"/>
      <w:kern w:val="2"/>
    </w:rPr>
  </w:style>
  <w:style w:type="character" w:customStyle="1" w:styleId="Char1f4">
    <w:name w:val="表蕊 Char1"/>
    <w:qFormat/>
    <w:rPr>
      <w:rFonts w:eastAsia="楷体_GB2312"/>
      <w:spacing w:val="-12"/>
      <w:sz w:val="21"/>
      <w:lang w:val="en-US" w:eastAsia="zh-CN" w:bidi="ar-SA"/>
    </w:rPr>
  </w:style>
  <w:style w:type="character" w:customStyle="1" w:styleId="1CharChar0">
    <w:name w:val="表头样式1 Char Char"/>
    <w:qFormat/>
    <w:rPr>
      <w:rFonts w:eastAsia="黑体"/>
      <w:b/>
      <w:kern w:val="2"/>
      <w:sz w:val="24"/>
      <w:lang w:val="en-US" w:eastAsia="zh-CN" w:bidi="ar-SA"/>
    </w:rPr>
  </w:style>
  <w:style w:type="character" w:customStyle="1" w:styleId="1ffc">
    <w:name w:val="页码1"/>
    <w:basedOn w:val="ab"/>
    <w:qFormat/>
  </w:style>
  <w:style w:type="character" w:customStyle="1" w:styleId="Charffff0">
    <w:name w:val="导则正文 Char"/>
    <w:link w:val="affffffff7"/>
    <w:qFormat/>
    <w:rPr>
      <w:szCs w:val="21"/>
    </w:rPr>
  </w:style>
  <w:style w:type="paragraph" w:customStyle="1" w:styleId="affffffff7">
    <w:name w:val="导则正文"/>
    <w:basedOn w:val="a9"/>
    <w:link w:val="Charffff0"/>
    <w:qFormat/>
    <w:pPr>
      <w:spacing w:line="360" w:lineRule="auto"/>
      <w:ind w:firstLineChars="200" w:firstLine="482"/>
    </w:pPr>
    <w:rPr>
      <w:szCs w:val="21"/>
    </w:rPr>
  </w:style>
  <w:style w:type="character" w:customStyle="1" w:styleId="textediteditable-title">
    <w:name w:val="text_edit editable-title"/>
    <w:basedOn w:val="ab"/>
    <w:qFormat/>
  </w:style>
  <w:style w:type="character" w:customStyle="1" w:styleId="212">
    <w:name w:val="正文文本 2 字符1"/>
    <w:qFormat/>
    <w:rPr>
      <w:spacing w:val="-8"/>
      <w:kern w:val="2"/>
      <w:sz w:val="18"/>
      <w:szCs w:val="24"/>
    </w:rPr>
  </w:style>
  <w:style w:type="character" w:customStyle="1" w:styleId="51b5sub-bulletsb4CharChar4Char15ChaChar">
    <w:name w:val="样式 标题 5一级项1b5 sub-bulletsb4 Char Char4 Char五1)项标5 Cha... Char"/>
    <w:link w:val="51b5sub-bulletsb4CharChar4Char15Cha"/>
    <w:qFormat/>
    <w:rPr>
      <w:rFonts w:eastAsia="黑体"/>
      <w:b/>
      <w:bCs/>
      <w:kern w:val="2"/>
      <w:sz w:val="24"/>
    </w:rPr>
  </w:style>
  <w:style w:type="paragraph" w:customStyle="1" w:styleId="51b5sub-bulletsb4CharChar4Char15Cha">
    <w:name w:val="样式 标题 5一级项1b5 sub-bulletsb4 Char Char4 Char五1)项标5 Cha..."/>
    <w:basedOn w:val="5"/>
    <w:link w:val="51b5sub-bulletsb4CharChar4Char15ChaChar"/>
    <w:qFormat/>
    <w:pPr>
      <w:keepNext w:val="0"/>
      <w:numPr>
        <w:numId w:val="0"/>
      </w:numPr>
      <w:tabs>
        <w:tab w:val="left" w:pos="0"/>
        <w:tab w:val="left" w:pos="1080"/>
        <w:tab w:val="left" w:pos="1567"/>
        <w:tab w:val="left" w:pos="1997"/>
      </w:tabs>
      <w:spacing w:beforeLines="50" w:after="0"/>
    </w:pPr>
    <w:rPr>
      <w:rFonts w:eastAsia="黑体"/>
      <w:bCs/>
    </w:rPr>
  </w:style>
  <w:style w:type="character" w:customStyle="1" w:styleId="213">
    <w:name w:val="标题 21"/>
    <w:qFormat/>
    <w:rPr>
      <w:rFonts w:ascii="黑体" w:eastAsia="黑体" w:hAnsi="Arial"/>
      <w:kern w:val="2"/>
      <w:sz w:val="30"/>
      <w:szCs w:val="30"/>
      <w:lang w:val="en-US" w:eastAsia="zh-CN" w:bidi="ar-SA"/>
    </w:rPr>
  </w:style>
  <w:style w:type="character" w:customStyle="1" w:styleId="1-1Char">
    <w:name w:val="正文1-1 Char"/>
    <w:link w:val="1-1"/>
    <w:qFormat/>
    <w:rPr>
      <w:rFonts w:ascii="宋体" w:eastAsia="仿宋_GB2312" w:hAnsi="宋体" w:cs="宋体"/>
      <w:sz w:val="28"/>
      <w:szCs w:val="24"/>
    </w:rPr>
  </w:style>
  <w:style w:type="paragraph" w:customStyle="1" w:styleId="1-1">
    <w:name w:val="正文1-1"/>
    <w:basedOn w:val="a9"/>
    <w:link w:val="1-1Char"/>
    <w:qFormat/>
    <w:pPr>
      <w:widowControl/>
      <w:snapToGrid w:val="0"/>
      <w:spacing w:line="360" w:lineRule="auto"/>
      <w:ind w:firstLineChars="200" w:firstLine="200"/>
      <w:jc w:val="left"/>
    </w:pPr>
    <w:rPr>
      <w:rFonts w:ascii="宋体" w:eastAsia="仿宋_GB2312" w:hAnsi="宋体" w:cs="宋体"/>
      <w:sz w:val="28"/>
    </w:rPr>
  </w:style>
  <w:style w:type="character" w:customStyle="1" w:styleId="CharCharCharCharChar">
    <w:name w:val="列表名称 Char Char Char Char Char"/>
    <w:qFormat/>
    <w:rPr>
      <w:rFonts w:eastAsia="黑体"/>
      <w:bCs/>
      <w:kern w:val="2"/>
      <w:sz w:val="24"/>
      <w:szCs w:val="24"/>
      <w:lang w:val="en-US" w:eastAsia="zh-CN" w:bidi="ar-SA"/>
    </w:rPr>
  </w:style>
  <w:style w:type="character" w:customStyle="1" w:styleId="1CharCharCharChar1CharChar">
    <w:name w:val="正文1 Char Char Char Char1 Char Char"/>
    <w:qFormat/>
    <w:rPr>
      <w:rFonts w:eastAsia="宋体"/>
      <w:kern w:val="2"/>
      <w:sz w:val="24"/>
      <w:szCs w:val="28"/>
      <w:lang w:val="en-US" w:eastAsia="zh-CN" w:bidi="ar-SA"/>
    </w:rPr>
  </w:style>
  <w:style w:type="character" w:customStyle="1" w:styleId="TimesNewRomanChar0">
    <w:name w:val="样式 表格标题新 + (西文) Times New Roman Char"/>
    <w:link w:val="TimesNewRoman0"/>
    <w:qFormat/>
    <w:rPr>
      <w:rFonts w:ascii="仿宋_GB2312" w:eastAsia="黑体"/>
      <w:b/>
      <w:bCs/>
      <w:snapToGrid/>
      <w:spacing w:val="4"/>
      <w:sz w:val="24"/>
      <w:szCs w:val="24"/>
    </w:rPr>
  </w:style>
  <w:style w:type="paragraph" w:customStyle="1" w:styleId="TimesNewRoman0">
    <w:name w:val="样式 表格标题新 + (西文) Times New Roman"/>
    <w:basedOn w:val="affffffff8"/>
    <w:link w:val="TimesNewRomanChar0"/>
    <w:qFormat/>
    <w:pPr>
      <w:widowControl/>
      <w:spacing w:beforeLines="0"/>
      <w:ind w:firstLine="561"/>
    </w:pPr>
    <w:rPr>
      <w:bCs/>
    </w:rPr>
  </w:style>
  <w:style w:type="paragraph" w:customStyle="1" w:styleId="affffffff8">
    <w:name w:val="表格标题新"/>
    <w:basedOn w:val="afffff8"/>
    <w:link w:val="Charffff1"/>
    <w:qFormat/>
    <w:pPr>
      <w:tabs>
        <w:tab w:val="left" w:pos="0"/>
      </w:tabs>
      <w:spacing w:beforeLines="50" w:line="240" w:lineRule="auto"/>
      <w:ind w:firstLine="562"/>
    </w:pPr>
    <w:rPr>
      <w:rFonts w:ascii="仿宋_GB2312" w:eastAsia="黑体"/>
      <w:b/>
      <w:snapToGrid w:val="0"/>
      <w:spacing w:val="4"/>
      <w:szCs w:val="24"/>
    </w:rPr>
  </w:style>
  <w:style w:type="character" w:customStyle="1" w:styleId="Charffff1">
    <w:name w:val="表格标题新 Char"/>
    <w:link w:val="affffffff8"/>
    <w:qFormat/>
    <w:rPr>
      <w:rFonts w:ascii="仿宋_GB2312" w:eastAsia="黑体"/>
      <w:b/>
      <w:snapToGrid/>
      <w:spacing w:val="4"/>
      <w:sz w:val="24"/>
      <w:szCs w:val="24"/>
    </w:rPr>
  </w:style>
  <w:style w:type="character" w:customStyle="1" w:styleId="count">
    <w:name w:val="count"/>
    <w:basedOn w:val="ab"/>
    <w:qFormat/>
  </w:style>
  <w:style w:type="character" w:customStyle="1" w:styleId="dectext1">
    <w:name w:val="dectext1"/>
    <w:qFormat/>
    <w:rPr>
      <w:rFonts w:ascii="宋体" w:eastAsia="宋体" w:hAnsi="宋体" w:hint="eastAsia"/>
      <w:color w:val="333333"/>
      <w:kern w:val="2"/>
      <w:sz w:val="21"/>
      <w:szCs w:val="21"/>
      <w:u w:val="none"/>
      <w:lang w:val="en-US" w:eastAsia="zh-CN" w:bidi="ar-SA"/>
    </w:rPr>
  </w:style>
  <w:style w:type="character" w:customStyle="1" w:styleId="style81">
    <w:name w:val="style81"/>
    <w:qFormat/>
    <w:rPr>
      <w:sz w:val="21"/>
      <w:szCs w:val="21"/>
    </w:rPr>
  </w:style>
  <w:style w:type="character" w:customStyle="1" w:styleId="CharChare">
    <w:name w:val="表名 Char Char"/>
    <w:link w:val="Charffff2"/>
    <w:qFormat/>
    <w:rPr>
      <w:rFonts w:eastAsia="黑体"/>
      <w:kern w:val="2"/>
      <w:sz w:val="24"/>
      <w:szCs w:val="24"/>
    </w:rPr>
  </w:style>
  <w:style w:type="paragraph" w:customStyle="1" w:styleId="Charffff2">
    <w:name w:val="表名 Char"/>
    <w:basedOn w:val="a9"/>
    <w:link w:val="CharChare"/>
    <w:qFormat/>
    <w:pPr>
      <w:widowControl/>
      <w:spacing w:line="480" w:lineRule="exact"/>
      <w:jc w:val="center"/>
    </w:pPr>
    <w:rPr>
      <w:rFonts w:eastAsia="黑体"/>
      <w:sz w:val="24"/>
    </w:rPr>
  </w:style>
  <w:style w:type="character" w:customStyle="1" w:styleId="CharCharCharChar12">
    <w:name w:val="Char Char Char Char12"/>
    <w:qFormat/>
    <w:rPr>
      <w:rFonts w:eastAsia="宋体"/>
      <w:color w:val="000000"/>
      <w:kern w:val="2"/>
      <w:sz w:val="18"/>
      <w:szCs w:val="24"/>
      <w:lang w:val="en-US" w:eastAsia="zh-CN" w:bidi="ar-SA"/>
    </w:rPr>
  </w:style>
  <w:style w:type="character" w:customStyle="1" w:styleId="1ffd">
    <w:name w:val="电子邮件签名 字符1"/>
    <w:qFormat/>
    <w:rPr>
      <w:kern w:val="2"/>
      <w:sz w:val="21"/>
      <w:szCs w:val="24"/>
    </w:rPr>
  </w:style>
  <w:style w:type="character" w:customStyle="1" w:styleId="64">
    <w:name w:val="标题6"/>
    <w:basedOn w:val="ab"/>
    <w:qFormat/>
  </w:style>
  <w:style w:type="character" w:customStyle="1" w:styleId="CharChar63">
    <w:name w:val="Char Char63"/>
    <w:qFormat/>
    <w:rPr>
      <w:rFonts w:eastAsia="宋体"/>
      <w:kern w:val="2"/>
      <w:sz w:val="24"/>
      <w:lang w:val="en-US" w:eastAsia="zh-CN" w:bidi="ar-SA"/>
    </w:rPr>
  </w:style>
  <w:style w:type="character" w:customStyle="1" w:styleId="1ffe">
    <w:name w:val="信息标题 字符1"/>
    <w:qFormat/>
    <w:rPr>
      <w:rFonts w:ascii="Arial" w:hAnsi="Arial" w:cs="Arial"/>
      <w:kern w:val="2"/>
      <w:sz w:val="24"/>
      <w:szCs w:val="24"/>
      <w:shd w:val="pct20" w:color="auto" w:fill="auto"/>
    </w:rPr>
  </w:style>
  <w:style w:type="character" w:customStyle="1" w:styleId="CharCharf">
    <w:name w:val="列表 Char Char"/>
    <w:qFormat/>
    <w:rPr>
      <w:rFonts w:eastAsia="黑体"/>
      <w:kern w:val="2"/>
      <w:sz w:val="24"/>
      <w:szCs w:val="22"/>
      <w:lang w:val="en-US" w:eastAsia="zh-CN" w:bidi="ar-SA"/>
    </w:rPr>
  </w:style>
  <w:style w:type="character" w:customStyle="1" w:styleId="HTML11">
    <w:name w:val="HTML 预设格式 字符1"/>
    <w:qFormat/>
    <w:rPr>
      <w:rFonts w:ascii="黑体" w:eastAsia="黑体" w:hAnsi="Courier New" w:cs="Courier New"/>
    </w:rPr>
  </w:style>
  <w:style w:type="character" w:customStyle="1" w:styleId="CharCharCharCharCharChar1CharCharCharChaCharChar">
    <w:name w:val="样式 列表列表 Char列表 Char Char Char Char Char1列表 Char Char Char Cha... Char Char"/>
    <w:qFormat/>
    <w:rPr>
      <w:rFonts w:eastAsia="黑体"/>
      <w:kern w:val="2"/>
      <w:sz w:val="24"/>
      <w:szCs w:val="24"/>
      <w:lang w:val="en-US" w:eastAsia="zh-CN" w:bidi="ar-SA"/>
    </w:rPr>
  </w:style>
  <w:style w:type="character" w:customStyle="1" w:styleId="CharCharChar">
    <w:name w:val="页眉 Char Char Char"/>
    <w:qFormat/>
    <w:rPr>
      <w:rFonts w:ascii="Arial" w:eastAsia="华文细黑" w:hAnsi="Arial"/>
      <w:b/>
      <w:sz w:val="24"/>
      <w:lang w:eastAsia="de-DE"/>
    </w:rPr>
  </w:style>
  <w:style w:type="character" w:customStyle="1" w:styleId="Charffff3">
    <w:name w:val="工艺方框 Char"/>
    <w:link w:val="affffffff9"/>
    <w:qFormat/>
    <w:rPr>
      <w:rFonts w:ascii="宋体"/>
      <w:snapToGrid/>
      <w:kern w:val="2"/>
      <w:sz w:val="21"/>
      <w:szCs w:val="21"/>
    </w:rPr>
  </w:style>
  <w:style w:type="paragraph" w:customStyle="1" w:styleId="affffffff9">
    <w:name w:val="工艺方框"/>
    <w:basedOn w:val="affff3"/>
    <w:link w:val="Charffff3"/>
    <w:qFormat/>
    <w:pPr>
      <w:widowControl/>
      <w:snapToGrid w:val="0"/>
      <w:spacing w:beforeLines="50" w:before="120" w:afterLines="0" w:after="60" w:line="240" w:lineRule="auto"/>
    </w:pPr>
    <w:rPr>
      <w:rFonts w:ascii="宋体" w:eastAsia="宋体"/>
      <w:snapToGrid w:val="0"/>
      <w:sz w:val="21"/>
      <w:szCs w:val="21"/>
    </w:rPr>
  </w:style>
  <w:style w:type="character" w:customStyle="1" w:styleId="CharChar2">
    <w:name w:val="表头 Char Char2"/>
    <w:link w:val="affff3"/>
    <w:qFormat/>
    <w:rPr>
      <w:rFonts w:eastAsia="黑体"/>
      <w:kern w:val="2"/>
      <w:sz w:val="24"/>
      <w:szCs w:val="24"/>
    </w:rPr>
  </w:style>
  <w:style w:type="character" w:customStyle="1" w:styleId="smll">
    <w:name w:val="smll"/>
    <w:basedOn w:val="ab"/>
    <w:qFormat/>
  </w:style>
  <w:style w:type="character" w:customStyle="1" w:styleId="13Char">
    <w:name w:val="样式13 Char"/>
    <w:link w:val="130"/>
    <w:qFormat/>
    <w:rPr>
      <w:b/>
      <w:color w:val="000000"/>
      <w:sz w:val="24"/>
      <w:szCs w:val="24"/>
      <w:lang w:bidi="ne-NP"/>
    </w:rPr>
  </w:style>
  <w:style w:type="paragraph" w:customStyle="1" w:styleId="130">
    <w:name w:val="样式13"/>
    <w:basedOn w:val="4"/>
    <w:link w:val="13Char"/>
    <w:qFormat/>
    <w:pPr>
      <w:numPr>
        <w:ilvl w:val="0"/>
        <w:numId w:val="0"/>
      </w:numPr>
      <w:tabs>
        <w:tab w:val="left" w:pos="0"/>
        <w:tab w:val="left" w:pos="480"/>
        <w:tab w:val="left" w:pos="596"/>
        <w:tab w:val="left" w:pos="851"/>
        <w:tab w:val="left" w:pos="1567"/>
      </w:tabs>
      <w:ind w:left="142"/>
    </w:pPr>
    <w:rPr>
      <w:lang w:bidi="ne-NP"/>
    </w:rPr>
  </w:style>
  <w:style w:type="character" w:customStyle="1" w:styleId="text11">
    <w:name w:val="text11"/>
    <w:qFormat/>
    <w:rPr>
      <w:sz w:val="25"/>
      <w:szCs w:val="25"/>
    </w:rPr>
  </w:style>
  <w:style w:type="character" w:customStyle="1" w:styleId="CharChar112">
    <w:name w:val="Char Char112"/>
    <w:link w:val="65"/>
    <w:qFormat/>
    <w:rPr>
      <w:bCs/>
      <w:snapToGrid/>
      <w:sz w:val="24"/>
    </w:rPr>
  </w:style>
  <w:style w:type="paragraph" w:customStyle="1" w:styleId="65">
    <w:name w:val="正文6"/>
    <w:link w:val="CharChar112"/>
    <w:qFormat/>
    <w:pPr>
      <w:spacing w:after="60" w:line="360" w:lineRule="auto"/>
      <w:jc w:val="both"/>
    </w:pPr>
    <w:rPr>
      <w:bCs/>
      <w:snapToGrid w:val="0"/>
      <w:sz w:val="24"/>
    </w:rPr>
  </w:style>
  <w:style w:type="character" w:customStyle="1" w:styleId="textnew">
    <w:name w:val="text_new"/>
    <w:basedOn w:val="ab"/>
    <w:qFormat/>
  </w:style>
  <w:style w:type="character" w:customStyle="1" w:styleId="11p1">
    <w:name w:val="11p1"/>
    <w:qFormat/>
    <w:rPr>
      <w:sz w:val="24"/>
      <w:szCs w:val="24"/>
    </w:rPr>
  </w:style>
  <w:style w:type="character" w:customStyle="1" w:styleId="CharCharf0">
    <w:name w:val="强制性条文 Char Char"/>
    <w:link w:val="affffffffa"/>
    <w:qFormat/>
    <w:rPr>
      <w:rFonts w:ascii="黑体" w:eastAsia="黑体" w:hAnsi="黑体" w:cs="宋体"/>
      <w:b/>
      <w:kern w:val="2"/>
      <w:sz w:val="24"/>
    </w:rPr>
  </w:style>
  <w:style w:type="paragraph" w:customStyle="1" w:styleId="affffffffa">
    <w:name w:val="强制性条文"/>
    <w:basedOn w:val="1CharCharCharCharCharCharChar"/>
    <w:link w:val="CharCharf0"/>
    <w:qFormat/>
    <w:pPr>
      <w:ind w:firstLine="482"/>
    </w:pPr>
    <w:rPr>
      <w:rFonts w:ascii="黑体" w:eastAsia="黑体" w:hAnsi="黑体"/>
      <w:b/>
    </w:rPr>
  </w:style>
  <w:style w:type="character" w:customStyle="1" w:styleId="Charffff4">
    <w:name w:val="表格头 Char"/>
    <w:link w:val="affffffffb"/>
    <w:qFormat/>
    <w:rPr>
      <w:rFonts w:ascii="Arial" w:hAnsi="Arial"/>
      <w:kern w:val="2"/>
      <w:sz w:val="21"/>
      <w:szCs w:val="21"/>
    </w:rPr>
  </w:style>
  <w:style w:type="paragraph" w:customStyle="1" w:styleId="affffffffb">
    <w:name w:val="表格头"/>
    <w:basedOn w:val="afffff5"/>
    <w:link w:val="Charffff4"/>
    <w:qFormat/>
    <w:pPr>
      <w:spacing w:line="280" w:lineRule="exact"/>
      <w:ind w:leftChars="-20" w:left="-20" w:rightChars="-20" w:right="-20"/>
    </w:pPr>
    <w:rPr>
      <w:rFonts w:ascii="Arial" w:hAnsi="Arial"/>
      <w:kern w:val="2"/>
      <w:szCs w:val="21"/>
    </w:rPr>
  </w:style>
  <w:style w:type="character" w:customStyle="1" w:styleId="Charffff5">
    <w:name w:val="报告表格 Char"/>
    <w:link w:val="affffffffc"/>
    <w:qFormat/>
    <w:rPr>
      <w:sz w:val="21"/>
    </w:rPr>
  </w:style>
  <w:style w:type="paragraph" w:customStyle="1" w:styleId="affffffffc">
    <w:name w:val="报告表格"/>
    <w:basedOn w:val="a9"/>
    <w:link w:val="Charffff5"/>
    <w:qFormat/>
    <w:pPr>
      <w:autoSpaceDE w:val="0"/>
      <w:autoSpaceDN w:val="0"/>
      <w:adjustRightInd w:val="0"/>
      <w:spacing w:before="40" w:after="40" w:line="360" w:lineRule="auto"/>
      <w:jc w:val="center"/>
      <w:textAlignment w:val="bottom"/>
    </w:pPr>
  </w:style>
  <w:style w:type="character" w:customStyle="1" w:styleId="span14">
    <w:name w:val="span14"/>
    <w:qFormat/>
  </w:style>
  <w:style w:type="character" w:customStyle="1" w:styleId="CharChar100">
    <w:name w:val="Char Char10"/>
    <w:qFormat/>
    <w:rPr>
      <w:rFonts w:eastAsia="宋体"/>
      <w:kern w:val="2"/>
      <w:sz w:val="16"/>
      <w:szCs w:val="16"/>
      <w:lang w:val="en-US" w:eastAsia="zh-CN" w:bidi="ar-SA"/>
    </w:rPr>
  </w:style>
  <w:style w:type="character" w:customStyle="1" w:styleId="CharCharChar0">
    <w:name w:val="列表名称 Char Char Char"/>
    <w:qFormat/>
    <w:rPr>
      <w:rFonts w:eastAsia="黑体"/>
      <w:bCs/>
      <w:kern w:val="2"/>
      <w:sz w:val="24"/>
      <w:szCs w:val="24"/>
      <w:lang w:val="en-US" w:eastAsia="zh-CN" w:bidi="ar-SA"/>
    </w:rPr>
  </w:style>
  <w:style w:type="character" w:customStyle="1" w:styleId="2Char5">
    <w:name w:val="样式 君邦正文 + 蓝色2 Char"/>
    <w:link w:val="2f6"/>
    <w:qFormat/>
    <w:rPr>
      <w:bCs/>
      <w:snapToGrid/>
      <w:color w:val="0000FF"/>
      <w:sz w:val="24"/>
    </w:rPr>
  </w:style>
  <w:style w:type="paragraph" w:customStyle="1" w:styleId="2f6">
    <w:name w:val="样式 君邦正文 + 蓝色2"/>
    <w:basedOn w:val="affff7"/>
    <w:link w:val="2Char5"/>
    <w:qFormat/>
    <w:pPr>
      <w:spacing w:after="0" w:line="240" w:lineRule="atLeast"/>
      <w:ind w:firstLineChars="0" w:firstLine="0"/>
      <w:jc w:val="center"/>
    </w:pPr>
    <w:rPr>
      <w:color w:val="0000FF"/>
    </w:rPr>
  </w:style>
  <w:style w:type="character" w:customStyle="1" w:styleId="214">
    <w:name w:val="正文文本首行缩进 2 字符1"/>
    <w:qFormat/>
    <w:rPr>
      <w:rFonts w:ascii="宋体"/>
      <w:kern w:val="2"/>
      <w:sz w:val="24"/>
      <w:szCs w:val="28"/>
    </w:rPr>
  </w:style>
  <w:style w:type="character" w:customStyle="1" w:styleId="Charffff6">
    <w:name w:val="二级标题 Char"/>
    <w:link w:val="affffffffd"/>
    <w:qFormat/>
    <w:rPr>
      <w:rFonts w:eastAsia="宋体" w:cs="Arial"/>
      <w:bCs/>
      <w:color w:val="000000"/>
      <w:kern w:val="44"/>
      <w:sz w:val="28"/>
      <w:szCs w:val="28"/>
      <w:lang w:val="en-US" w:eastAsia="zh-CN" w:bidi="ar-SA"/>
    </w:rPr>
  </w:style>
  <w:style w:type="paragraph" w:customStyle="1" w:styleId="affffffffd">
    <w:name w:val="二级标题"/>
    <w:basedOn w:val="1"/>
    <w:link w:val="Charffff6"/>
    <w:qFormat/>
    <w:pPr>
      <w:pageBreakBefore w:val="0"/>
      <w:numPr>
        <w:numId w:val="0"/>
      </w:numPr>
      <w:tabs>
        <w:tab w:val="left" w:pos="567"/>
      </w:tabs>
      <w:spacing w:beforeLines="200" w:after="0"/>
      <w:ind w:left="567" w:hanging="567"/>
      <w:jc w:val="center"/>
    </w:pPr>
    <w:rPr>
      <w:rFonts w:cs="Arial"/>
      <w:b w:val="0"/>
      <w:bCs/>
      <w:color w:val="000000"/>
      <w:sz w:val="28"/>
      <w:szCs w:val="28"/>
    </w:rPr>
  </w:style>
  <w:style w:type="character" w:customStyle="1" w:styleId="ttag">
    <w:name w:val="t_tag"/>
    <w:basedOn w:val="ab"/>
    <w:qFormat/>
  </w:style>
  <w:style w:type="character" w:customStyle="1" w:styleId="TimesNewRoman20Char">
    <w:name w:val="样式 (西文) Times New Roman (中文) 宋体 (符号) 宋体 行距: 固定值 20 磅 首行缩进:  ... Char"/>
    <w:qFormat/>
    <w:rPr>
      <w:rFonts w:hAnsi="宋体" w:cs="宋体"/>
      <w:sz w:val="24"/>
      <w:lang w:eastAsia="de-DE"/>
    </w:rPr>
  </w:style>
  <w:style w:type="character" w:customStyle="1" w:styleId="1C0">
    <w:name w:val="列表1 C"/>
    <w:qFormat/>
    <w:rPr>
      <w:rFonts w:eastAsia="黑体"/>
      <w:kern w:val="2"/>
      <w:sz w:val="22"/>
      <w:szCs w:val="22"/>
      <w:lang w:val="en-US" w:eastAsia="zh-CN" w:bidi="ar-SA"/>
    </w:rPr>
  </w:style>
  <w:style w:type="character" w:customStyle="1" w:styleId="fontblue1">
    <w:name w:val="fontblue1"/>
    <w:qFormat/>
    <w:rPr>
      <w:rFonts w:ascii="ˎ̥" w:hAnsi="ˎ̥" w:hint="default"/>
      <w:color w:val="0000FF"/>
      <w:sz w:val="18"/>
      <w:szCs w:val="18"/>
    </w:rPr>
  </w:style>
  <w:style w:type="character" w:customStyle="1" w:styleId="Charffff7">
    <w:name w:val="表名称 Char"/>
    <w:qFormat/>
    <w:rPr>
      <w:rFonts w:ascii="黑体" w:eastAsia="黑体"/>
      <w:kern w:val="2"/>
      <w:sz w:val="24"/>
      <w:szCs w:val="28"/>
      <w:lang w:val="en-US" w:eastAsia="zh-CN" w:bidi="ar-SA"/>
    </w:rPr>
  </w:style>
  <w:style w:type="character" w:customStyle="1" w:styleId="1CharChar3">
    <w:name w:val="正文1 Char Char3"/>
    <w:qFormat/>
    <w:rPr>
      <w:rFonts w:eastAsia="仿宋_GB2312"/>
      <w:kern w:val="2"/>
      <w:sz w:val="28"/>
      <w:szCs w:val="28"/>
      <w:lang w:val="en-US" w:eastAsia="zh-CN" w:bidi="ar-SA"/>
    </w:rPr>
  </w:style>
  <w:style w:type="character" w:customStyle="1" w:styleId="Charffff8">
    <w:name w:val="数据来源 Char"/>
    <w:link w:val="affffffffe"/>
    <w:qFormat/>
    <w:locked/>
    <w:rPr>
      <w:rFonts w:ascii="宋体" w:eastAsia="楷体_GB2312" w:hAnsi="宋体"/>
      <w:sz w:val="18"/>
      <w:szCs w:val="24"/>
    </w:rPr>
  </w:style>
  <w:style w:type="paragraph" w:customStyle="1" w:styleId="affffffffe">
    <w:name w:val="数据来源"/>
    <w:basedOn w:val="a9"/>
    <w:next w:val="a9"/>
    <w:link w:val="Charffff8"/>
    <w:qFormat/>
    <w:pPr>
      <w:widowControl/>
      <w:tabs>
        <w:tab w:val="left" w:pos="1440"/>
      </w:tabs>
      <w:spacing w:line="240" w:lineRule="atLeast"/>
      <w:ind w:leftChars="400" w:left="960"/>
    </w:pPr>
    <w:rPr>
      <w:rFonts w:ascii="宋体" w:eastAsia="楷体_GB2312" w:hAnsi="宋体"/>
      <w:sz w:val="18"/>
    </w:rPr>
  </w:style>
  <w:style w:type="character" w:customStyle="1" w:styleId="BalloonTextChar">
    <w:name w:val="Balloon Text Char"/>
    <w:semiHidden/>
    <w:qFormat/>
    <w:locked/>
    <w:rPr>
      <w:rFonts w:ascii="Times New Roman" w:eastAsia="宋体" w:hAnsi="Times New Roman" w:cs="Times New Roman"/>
      <w:sz w:val="18"/>
      <w:szCs w:val="18"/>
    </w:rPr>
  </w:style>
  <w:style w:type="character" w:customStyle="1" w:styleId="searchcontent1">
    <w:name w:val="search_content1"/>
    <w:qFormat/>
    <w:rPr>
      <w:sz w:val="20"/>
      <w:szCs w:val="20"/>
    </w:rPr>
  </w:style>
  <w:style w:type="character" w:customStyle="1" w:styleId="Charffff9">
    <w:name w:val="图标准 Char"/>
    <w:link w:val="afffffffff"/>
    <w:qFormat/>
    <w:rPr>
      <w:rFonts w:ascii="仿宋_GB2312" w:eastAsia="黑体"/>
      <w:b/>
      <w:snapToGrid/>
      <w:spacing w:val="4"/>
      <w:sz w:val="24"/>
      <w:szCs w:val="28"/>
    </w:rPr>
  </w:style>
  <w:style w:type="paragraph" w:customStyle="1" w:styleId="afffffffff">
    <w:name w:val="图标准"/>
    <w:basedOn w:val="affffffff8"/>
    <w:link w:val="Charffff9"/>
    <w:qFormat/>
    <w:pPr>
      <w:widowControl/>
      <w:spacing w:beforeLines="100" w:line="360" w:lineRule="auto"/>
    </w:pPr>
    <w:rPr>
      <w:szCs w:val="28"/>
    </w:rPr>
  </w:style>
  <w:style w:type="character" w:customStyle="1" w:styleId="Charffffa">
    <w:name w:val="附录图标题 Char"/>
    <w:link w:val="a2"/>
    <w:qFormat/>
    <w:rPr>
      <w:rFonts w:ascii="黑体" w:eastAsia="黑体"/>
      <w:sz w:val="21"/>
    </w:rPr>
  </w:style>
  <w:style w:type="paragraph" w:customStyle="1" w:styleId="a2">
    <w:name w:val="附录图标题"/>
    <w:next w:val="4"/>
    <w:link w:val="Charffffa"/>
    <w:qFormat/>
    <w:pPr>
      <w:numPr>
        <w:numId w:val="3"/>
      </w:numPr>
      <w:jc w:val="center"/>
    </w:pPr>
    <w:rPr>
      <w:rFonts w:ascii="黑体" w:eastAsia="黑体"/>
      <w:sz w:val="21"/>
    </w:rPr>
  </w:style>
  <w:style w:type="character" w:customStyle="1" w:styleId="dxjChar">
    <w:name w:val="dxj正文 Char"/>
    <w:link w:val="dxj"/>
    <w:qFormat/>
    <w:rPr>
      <w:kern w:val="2"/>
      <w:sz w:val="24"/>
      <w:szCs w:val="24"/>
    </w:rPr>
  </w:style>
  <w:style w:type="paragraph" w:customStyle="1" w:styleId="dxj">
    <w:name w:val="dxj正文"/>
    <w:basedOn w:val="a9"/>
    <w:link w:val="dxjChar"/>
    <w:qFormat/>
    <w:pPr>
      <w:widowControl/>
      <w:spacing w:line="360" w:lineRule="auto"/>
      <w:ind w:firstLineChars="200" w:firstLine="200"/>
    </w:pPr>
    <w:rPr>
      <w:sz w:val="24"/>
    </w:rPr>
  </w:style>
  <w:style w:type="character" w:customStyle="1" w:styleId="1fff">
    <w:name w:val="结束语 字符1"/>
    <w:qFormat/>
    <w:rPr>
      <w:kern w:val="2"/>
      <w:sz w:val="21"/>
      <w:szCs w:val="24"/>
    </w:rPr>
  </w:style>
  <w:style w:type="character" w:customStyle="1" w:styleId="1fff0">
    <w:name w:val="脚注文本 字符1"/>
    <w:qFormat/>
    <w:rPr>
      <w:kern w:val="2"/>
      <w:sz w:val="18"/>
      <w:szCs w:val="18"/>
    </w:rPr>
  </w:style>
  <w:style w:type="character" w:customStyle="1" w:styleId="CharCharf1">
    <w:name w:val="正文样式 Char Char"/>
    <w:link w:val="afffffffff0"/>
    <w:qFormat/>
    <w:rPr>
      <w:sz w:val="24"/>
    </w:rPr>
  </w:style>
  <w:style w:type="paragraph" w:customStyle="1" w:styleId="afffffffff0">
    <w:name w:val="正文样式"/>
    <w:basedOn w:val="a9"/>
    <w:link w:val="CharCharf1"/>
    <w:qFormat/>
    <w:pPr>
      <w:widowControl/>
      <w:spacing w:line="400" w:lineRule="exact"/>
      <w:ind w:firstLineChars="200" w:firstLine="200"/>
    </w:pPr>
    <w:rPr>
      <w:sz w:val="24"/>
    </w:rPr>
  </w:style>
  <w:style w:type="character" w:customStyle="1" w:styleId="postbody1">
    <w:name w:val="postbody1"/>
    <w:qFormat/>
    <w:rPr>
      <w:sz w:val="21"/>
      <w:szCs w:val="21"/>
    </w:rPr>
  </w:style>
  <w:style w:type="character" w:customStyle="1" w:styleId="Charffffb">
    <w:name w:val="注释 Char"/>
    <w:link w:val="afffffffff1"/>
    <w:qFormat/>
    <w:rPr>
      <w:rFonts w:ascii="Arial" w:hAnsi="Arial"/>
      <w:color w:val="000000"/>
      <w:kern w:val="2"/>
      <w:sz w:val="18"/>
      <w:szCs w:val="18"/>
    </w:rPr>
  </w:style>
  <w:style w:type="paragraph" w:customStyle="1" w:styleId="afffffffff1">
    <w:name w:val="注释"/>
    <w:basedOn w:val="afffff5"/>
    <w:link w:val="Charffffb"/>
    <w:qFormat/>
    <w:pPr>
      <w:widowControl/>
      <w:jc w:val="both"/>
    </w:pPr>
    <w:rPr>
      <w:rFonts w:ascii="Arial" w:hAnsi="Arial"/>
      <w:color w:val="000000"/>
      <w:kern w:val="2"/>
      <w:sz w:val="18"/>
      <w:szCs w:val="18"/>
    </w:rPr>
  </w:style>
  <w:style w:type="character" w:customStyle="1" w:styleId="z-Char0">
    <w:name w:val="z-窗体顶端 Char"/>
    <w:link w:val="z-20"/>
    <w:qFormat/>
    <w:rPr>
      <w:rFonts w:ascii="Arial" w:hAnsi="Arial" w:cs="Arial"/>
      <w:vanish/>
      <w:sz w:val="16"/>
      <w:szCs w:val="16"/>
    </w:rPr>
  </w:style>
  <w:style w:type="paragraph" w:customStyle="1" w:styleId="z-20">
    <w:name w:val="z-窗体顶端2"/>
    <w:basedOn w:val="a9"/>
    <w:next w:val="a9"/>
    <w:link w:val="z-Char0"/>
    <w:qFormat/>
    <w:pPr>
      <w:widowControl/>
      <w:pBdr>
        <w:bottom w:val="single" w:sz="6" w:space="1" w:color="auto"/>
      </w:pBdr>
      <w:jc w:val="center"/>
    </w:pPr>
    <w:rPr>
      <w:rFonts w:ascii="Arial" w:hAnsi="Arial" w:cs="Arial"/>
      <w:vanish/>
      <w:sz w:val="16"/>
      <w:szCs w:val="16"/>
    </w:rPr>
  </w:style>
  <w:style w:type="character" w:customStyle="1" w:styleId="z-Char10">
    <w:name w:val="z-窗体顶端 Char1"/>
    <w:uiPriority w:val="99"/>
    <w:semiHidden/>
    <w:qFormat/>
    <w:rPr>
      <w:rFonts w:ascii="Arial" w:hAnsi="Arial" w:cs="Arial"/>
      <w:vanish/>
      <w:kern w:val="2"/>
      <w:sz w:val="16"/>
      <w:szCs w:val="16"/>
    </w:rPr>
  </w:style>
  <w:style w:type="character" w:customStyle="1" w:styleId="2Char12">
    <w:name w:val="正文文本 2 Char1"/>
    <w:qFormat/>
    <w:rPr>
      <w:rFonts w:ascii="Calibri" w:eastAsia="宋体" w:hAnsi="Calibri" w:cs="Times New Roman"/>
      <w:kern w:val="2"/>
      <w:sz w:val="28"/>
      <w:szCs w:val="28"/>
    </w:rPr>
  </w:style>
  <w:style w:type="character" w:customStyle="1" w:styleId="1Char9">
    <w:name w:val="标题1 Char"/>
    <w:qFormat/>
    <w:rPr>
      <w:rFonts w:eastAsia="黑体"/>
      <w:b/>
      <w:kern w:val="2"/>
      <w:sz w:val="24"/>
      <w:lang w:val="en-US" w:eastAsia="zh-CN" w:bidi="ar-SA"/>
    </w:rPr>
  </w:style>
  <w:style w:type="character" w:customStyle="1" w:styleId="lemmatitleh1">
    <w:name w:val="lemmatitleh1"/>
    <w:basedOn w:val="ab"/>
    <w:qFormat/>
  </w:style>
  <w:style w:type="character" w:customStyle="1" w:styleId="-11">
    <w:name w:val="表格标题-1"/>
    <w:qFormat/>
    <w:rPr>
      <w:rFonts w:eastAsia="宋体"/>
      <w:kern w:val="0"/>
      <w:sz w:val="24"/>
    </w:rPr>
  </w:style>
  <w:style w:type="character" w:customStyle="1" w:styleId="headline-content2">
    <w:name w:val="headline-content2"/>
    <w:basedOn w:val="ab"/>
    <w:qFormat/>
  </w:style>
  <w:style w:type="character" w:customStyle="1" w:styleId="1CharCharCharCharCharChar0">
    <w:name w:val="正文1 Char Char Char Char Char Char"/>
    <w:qFormat/>
    <w:rPr>
      <w:rFonts w:eastAsia="宋体"/>
      <w:kern w:val="2"/>
      <w:sz w:val="24"/>
      <w:szCs w:val="28"/>
      <w:lang w:val="en-US" w:eastAsia="zh-CN" w:bidi="ar-SA"/>
    </w:rPr>
  </w:style>
  <w:style w:type="character" w:customStyle="1" w:styleId="8Char1Char">
    <w:name w:val="8 Char1 Char"/>
    <w:link w:val="8Char1"/>
    <w:qFormat/>
    <w:rPr>
      <w:kern w:val="10"/>
      <w:sz w:val="24"/>
      <w:szCs w:val="24"/>
    </w:rPr>
  </w:style>
  <w:style w:type="paragraph" w:customStyle="1" w:styleId="8Char1">
    <w:name w:val="8 Char1"/>
    <w:basedOn w:val="a9"/>
    <w:link w:val="8Char1Char"/>
    <w:semiHidden/>
    <w:qFormat/>
    <w:pPr>
      <w:widowControl/>
      <w:spacing w:line="360" w:lineRule="auto"/>
      <w:ind w:firstLineChars="200" w:firstLine="480"/>
    </w:pPr>
    <w:rPr>
      <w:kern w:val="10"/>
      <w:sz w:val="24"/>
    </w:rPr>
  </w:style>
  <w:style w:type="character" w:customStyle="1" w:styleId="Charffffc">
    <w:name w:val="图题 Char"/>
    <w:link w:val="afffffffff2"/>
    <w:qFormat/>
    <w:locked/>
    <w:rPr>
      <w:rFonts w:ascii="宋体" w:hAnsi="宋体"/>
      <w:sz w:val="25"/>
      <w:szCs w:val="25"/>
    </w:rPr>
  </w:style>
  <w:style w:type="paragraph" w:customStyle="1" w:styleId="afffffffff2">
    <w:name w:val="图题"/>
    <w:link w:val="Charffffc"/>
    <w:qFormat/>
    <w:pPr>
      <w:tabs>
        <w:tab w:val="left" w:pos="480"/>
      </w:tabs>
      <w:spacing w:beforeLines="50" w:afterLines="50" w:line="360" w:lineRule="auto"/>
      <w:jc w:val="center"/>
    </w:pPr>
    <w:rPr>
      <w:rFonts w:ascii="宋体" w:hAnsi="宋体"/>
      <w:sz w:val="25"/>
      <w:szCs w:val="25"/>
    </w:rPr>
  </w:style>
  <w:style w:type="character" w:customStyle="1" w:styleId="CharChar92">
    <w:name w:val="Char Char92"/>
    <w:qFormat/>
    <w:rPr>
      <w:rFonts w:ascii="Arial" w:eastAsia="黑体" w:hAnsi="Arial"/>
      <w:sz w:val="24"/>
    </w:rPr>
  </w:style>
  <w:style w:type="character" w:customStyle="1" w:styleId="CharChar80">
    <w:name w:val="Char Char8"/>
    <w:qFormat/>
    <w:rPr>
      <w:rFonts w:eastAsia="宋体"/>
      <w:kern w:val="2"/>
      <w:sz w:val="21"/>
      <w:szCs w:val="24"/>
      <w:lang w:val="en-US" w:eastAsia="zh-CN" w:bidi="ar-SA"/>
    </w:rPr>
  </w:style>
  <w:style w:type="character" w:customStyle="1" w:styleId="1fff1">
    <w:name w:val="签名 字符1"/>
    <w:qFormat/>
    <w:rPr>
      <w:kern w:val="2"/>
      <w:sz w:val="21"/>
      <w:szCs w:val="24"/>
    </w:rPr>
  </w:style>
  <w:style w:type="character" w:customStyle="1" w:styleId="CharChar182">
    <w:name w:val="Char Char182"/>
    <w:qFormat/>
    <w:rPr>
      <w:rFonts w:ascii="Arial" w:eastAsia="宋体" w:hAnsi="Arial"/>
      <w:b/>
      <w:bCs/>
      <w:kern w:val="2"/>
      <w:sz w:val="32"/>
      <w:szCs w:val="32"/>
      <w:lang w:val="en-US" w:eastAsia="zh-CN" w:bidi="ar-SA"/>
    </w:rPr>
  </w:style>
  <w:style w:type="character" w:customStyle="1" w:styleId="CharChar82">
    <w:name w:val="Char Char82"/>
    <w:qFormat/>
    <w:rPr>
      <w:rFonts w:eastAsia="宋体"/>
      <w:kern w:val="2"/>
      <w:sz w:val="21"/>
      <w:szCs w:val="24"/>
      <w:lang w:val="en-US" w:eastAsia="zh-CN" w:bidi="ar-SA"/>
    </w:rPr>
  </w:style>
  <w:style w:type="character" w:customStyle="1" w:styleId="Charffffd">
    <w:name w:val="验收报告书正文 Char"/>
    <w:link w:val="afffffffff3"/>
    <w:qFormat/>
    <w:rPr>
      <w:bCs/>
      <w:snapToGrid/>
      <w:kern w:val="2"/>
      <w:sz w:val="24"/>
      <w:szCs w:val="22"/>
    </w:rPr>
  </w:style>
  <w:style w:type="paragraph" w:customStyle="1" w:styleId="afffffffff3">
    <w:name w:val="验收报告书正文"/>
    <w:basedOn w:val="affff7"/>
    <w:link w:val="Charffffd"/>
    <w:qFormat/>
    <w:rPr>
      <w:kern w:val="2"/>
      <w:szCs w:val="22"/>
    </w:rPr>
  </w:style>
  <w:style w:type="character" w:customStyle="1" w:styleId="CharChar12">
    <w:name w:val="Char Char12"/>
    <w:qFormat/>
    <w:rPr>
      <w:rFonts w:eastAsia="宋体"/>
      <w:kern w:val="2"/>
      <w:sz w:val="21"/>
      <w:szCs w:val="24"/>
      <w:lang w:val="en-US" w:eastAsia="zh-CN" w:bidi="ar-SA"/>
    </w:rPr>
  </w:style>
  <w:style w:type="character" w:customStyle="1" w:styleId="611">
    <w:name w:val="标题61"/>
    <w:basedOn w:val="ab"/>
    <w:qFormat/>
  </w:style>
  <w:style w:type="character" w:customStyle="1" w:styleId="CharChar181">
    <w:name w:val="Char Char181"/>
    <w:qFormat/>
    <w:rPr>
      <w:rFonts w:ascii="Arial" w:eastAsia="宋体" w:hAnsi="Arial"/>
      <w:b/>
      <w:bCs/>
      <w:kern w:val="2"/>
      <w:sz w:val="32"/>
      <w:szCs w:val="32"/>
      <w:lang w:val="en-US" w:eastAsia="zh-CN" w:bidi="ar-SA"/>
    </w:rPr>
  </w:style>
  <w:style w:type="character" w:customStyle="1" w:styleId="CharChar311">
    <w:name w:val="Char Char311"/>
    <w:qFormat/>
    <w:rPr>
      <w:kern w:val="2"/>
      <w:sz w:val="21"/>
      <w:szCs w:val="24"/>
    </w:rPr>
  </w:style>
  <w:style w:type="character" w:customStyle="1" w:styleId="CharChar111">
    <w:name w:val="Char Char111"/>
    <w:qFormat/>
    <w:rPr>
      <w:rFonts w:ascii="Times New Roman" w:eastAsia="宋体" w:hAnsi="Times New Roman" w:cs="Times New Roman"/>
      <w:snapToGrid/>
      <w:kern w:val="0"/>
      <w:sz w:val="24"/>
      <w:szCs w:val="20"/>
      <w:lang w:val="en-US" w:eastAsia="zh-CN" w:bidi="ar-SA"/>
    </w:rPr>
  </w:style>
  <w:style w:type="character" w:customStyle="1" w:styleId="CharChar41">
    <w:name w:val="Char Char41"/>
    <w:qFormat/>
    <w:rPr>
      <w:rFonts w:ascii="Times New Roman" w:eastAsia="宋体" w:hAnsi="Times New Roman" w:cs="Times New Roman"/>
      <w:snapToGrid/>
      <w:kern w:val="0"/>
      <w:sz w:val="24"/>
      <w:szCs w:val="20"/>
      <w:lang w:val="en-US" w:eastAsia="zh-CN" w:bidi="ar-SA"/>
    </w:rPr>
  </w:style>
  <w:style w:type="character" w:customStyle="1" w:styleId="Charffffe">
    <w:name w:val="报告书表格中文字 Char"/>
    <w:link w:val="afffffffff4"/>
    <w:qFormat/>
    <w:rPr>
      <w:sz w:val="18"/>
      <w:szCs w:val="18"/>
    </w:rPr>
  </w:style>
  <w:style w:type="paragraph" w:customStyle="1" w:styleId="afffffffff4">
    <w:name w:val="报告书表格中文字"/>
    <w:basedOn w:val="a9"/>
    <w:link w:val="Charffffe"/>
    <w:qFormat/>
    <w:pPr>
      <w:adjustRightInd w:val="0"/>
      <w:snapToGrid w:val="0"/>
      <w:jc w:val="center"/>
    </w:pPr>
    <w:rPr>
      <w:sz w:val="18"/>
      <w:szCs w:val="18"/>
    </w:rPr>
  </w:style>
  <w:style w:type="character" w:customStyle="1" w:styleId="2Char21">
    <w:name w:val="标题 2 Char2"/>
    <w:qFormat/>
    <w:rPr>
      <w:rFonts w:eastAsia="黑体"/>
      <w:b/>
      <w:kern w:val="2"/>
      <w:sz w:val="32"/>
    </w:rPr>
  </w:style>
  <w:style w:type="character" w:customStyle="1" w:styleId="Char2f">
    <w:name w:val="纯文本 Char2"/>
    <w:qFormat/>
    <w:locked/>
    <w:rPr>
      <w:rFonts w:ascii="宋体" w:eastAsia="宋体" w:hAnsi="Courier New"/>
      <w:kern w:val="2"/>
      <w:sz w:val="21"/>
      <w:lang w:val="en-US" w:eastAsia="zh-CN" w:bidi="ar-SA"/>
    </w:rPr>
  </w:style>
  <w:style w:type="character" w:customStyle="1" w:styleId="Charfffff">
    <w:name w:val="报告书表格文字 Char"/>
    <w:link w:val="afffffffff5"/>
    <w:qFormat/>
    <w:rPr>
      <w:bCs/>
      <w:color w:val="C00000"/>
      <w:sz w:val="18"/>
    </w:rPr>
  </w:style>
  <w:style w:type="paragraph" w:customStyle="1" w:styleId="afffffffff5">
    <w:name w:val="报告书表格文字"/>
    <w:basedOn w:val="a9"/>
    <w:link w:val="Charfffff"/>
    <w:qFormat/>
    <w:pPr>
      <w:widowControl/>
      <w:adjustRightInd w:val="0"/>
      <w:snapToGrid w:val="0"/>
      <w:jc w:val="center"/>
    </w:pPr>
    <w:rPr>
      <w:bCs/>
      <w:color w:val="C00000"/>
      <w:sz w:val="18"/>
    </w:rPr>
  </w:style>
  <w:style w:type="character" w:customStyle="1" w:styleId="112">
    <w:name w:val="未处理的提及11"/>
    <w:uiPriority w:val="99"/>
    <w:unhideWhenUsed/>
    <w:qFormat/>
    <w:rPr>
      <w:color w:val="605E5C"/>
      <w:shd w:val="clear" w:color="auto" w:fill="E1DFDD"/>
    </w:rPr>
  </w:style>
  <w:style w:type="paragraph" w:customStyle="1" w:styleId="CharCharCharChar4">
    <w:name w:val="Char Char Char Char4"/>
    <w:basedOn w:val="a9"/>
    <w:qFormat/>
    <w:pPr>
      <w:spacing w:line="360" w:lineRule="auto"/>
    </w:pPr>
  </w:style>
  <w:style w:type="paragraph" w:customStyle="1" w:styleId="afffffffff6">
    <w:name w:val="表格小五（窄）"/>
    <w:basedOn w:val="1e"/>
    <w:qFormat/>
    <w:pPr>
      <w:keepNext w:val="0"/>
      <w:keepLines w:val="0"/>
      <w:tabs>
        <w:tab w:val="clear" w:pos="360"/>
      </w:tabs>
      <w:snapToGrid/>
      <w:spacing w:before="0" w:after="0" w:line="340" w:lineRule="exact"/>
      <w:ind w:left="0" w:firstLine="0"/>
      <w:jc w:val="center"/>
      <w:textAlignment w:val="auto"/>
      <w:outlineLvl w:val="9"/>
    </w:pPr>
    <w:rPr>
      <w:rFonts w:ascii="Arial" w:eastAsia="仿宋_GB2312" w:hAnsi="Arial" w:cs="Arial"/>
      <w:b w:val="0"/>
      <w:snapToGrid w:val="0"/>
      <w:color w:val="000000"/>
      <w:kern w:val="32"/>
      <w:sz w:val="21"/>
      <w:szCs w:val="24"/>
    </w:rPr>
  </w:style>
  <w:style w:type="paragraph" w:customStyle="1" w:styleId="CharCharCharChar7">
    <w:name w:val="Char Char Char Char7"/>
    <w:basedOn w:val="a9"/>
    <w:qFormat/>
    <w:pPr>
      <w:spacing w:line="360" w:lineRule="auto"/>
    </w:pPr>
  </w:style>
  <w:style w:type="paragraph" w:customStyle="1" w:styleId="afffffffff7">
    <w:name w:val="表中居中文字"/>
    <w:basedOn w:val="a9"/>
    <w:semiHidden/>
    <w:qFormat/>
    <w:pPr>
      <w:widowControl/>
      <w:ind w:rightChars="-24" w:right="-58"/>
    </w:pPr>
    <w:rPr>
      <w:rFonts w:ascii="宋体" w:hAnsi="宋体" w:cs="Arial"/>
      <w:sz w:val="24"/>
    </w:rPr>
  </w:style>
  <w:style w:type="paragraph" w:customStyle="1" w:styleId="afffffffff8">
    <w:name w:val="二级条标题"/>
    <w:basedOn w:val="afffffffff9"/>
    <w:next w:val="a9"/>
    <w:qFormat/>
    <w:pPr>
      <w:tabs>
        <w:tab w:val="left" w:pos="2160"/>
      </w:tabs>
      <w:ind w:left="2160"/>
      <w:outlineLvl w:val="3"/>
    </w:pPr>
  </w:style>
  <w:style w:type="paragraph" w:customStyle="1" w:styleId="afffffffff9">
    <w:name w:val="一级条标题"/>
    <w:basedOn w:val="1"/>
    <w:next w:val="a9"/>
    <w:qFormat/>
    <w:pPr>
      <w:keepNext w:val="0"/>
      <w:keepLines w:val="0"/>
      <w:pageBreakBefore w:val="0"/>
      <w:widowControl/>
      <w:numPr>
        <w:numId w:val="0"/>
      </w:numPr>
      <w:tabs>
        <w:tab w:val="left" w:pos="360"/>
        <w:tab w:val="left" w:pos="1080"/>
        <w:tab w:val="left" w:pos="1740"/>
      </w:tabs>
      <w:spacing w:before="0" w:after="0" w:line="240" w:lineRule="auto"/>
      <w:ind w:left="1740" w:hanging="420"/>
      <w:outlineLvl w:val="2"/>
    </w:pPr>
    <w:rPr>
      <w:rFonts w:ascii="黑体" w:eastAsia="黑体"/>
      <w:b w:val="0"/>
      <w:kern w:val="0"/>
      <w:sz w:val="21"/>
    </w:rPr>
  </w:style>
  <w:style w:type="paragraph" w:customStyle="1" w:styleId="afffffffffa">
    <w:name w:val="文字框"/>
    <w:basedOn w:val="a9"/>
    <w:qFormat/>
    <w:pPr>
      <w:ind w:leftChars="-10" w:left="-21" w:rightChars="-10" w:right="-21"/>
      <w:jc w:val="center"/>
    </w:pPr>
    <w:rPr>
      <w:rFonts w:eastAsia="仿宋_GB2312"/>
    </w:rPr>
  </w:style>
  <w:style w:type="paragraph" w:customStyle="1" w:styleId="afffffffffb">
    <w:name w:val="表格（小）"/>
    <w:basedOn w:val="a9"/>
    <w:qFormat/>
    <w:pPr>
      <w:widowControl/>
      <w:adjustRightInd w:val="0"/>
      <w:snapToGrid w:val="0"/>
    </w:pPr>
    <w:rPr>
      <w:rFonts w:cs="宋体"/>
      <w:snapToGrid w:val="0"/>
      <w:sz w:val="24"/>
      <w:lang w:bidi="ne-NP"/>
    </w:rPr>
  </w:style>
  <w:style w:type="paragraph" w:customStyle="1" w:styleId="afffffffffc">
    <w:name w:val="表第一列"/>
    <w:basedOn w:val="af0"/>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 w:val="21"/>
    </w:rPr>
  </w:style>
  <w:style w:type="paragraph" w:customStyle="1" w:styleId="-3">
    <w:name w:val="表格文字-左"/>
    <w:basedOn w:val="a9"/>
    <w:qFormat/>
    <w:pPr>
      <w:widowControl/>
      <w:adjustRightInd w:val="0"/>
      <w:spacing w:line="400" w:lineRule="exact"/>
      <w:textAlignment w:val="center"/>
    </w:pPr>
    <w:rPr>
      <w:szCs w:val="21"/>
    </w:rPr>
  </w:style>
  <w:style w:type="paragraph" w:customStyle="1" w:styleId="Char210">
    <w:name w:val="Char21"/>
    <w:basedOn w:val="a9"/>
    <w:qFormat/>
    <w:pPr>
      <w:spacing w:line="360" w:lineRule="auto"/>
      <w:jc w:val="left"/>
    </w:pPr>
    <w:rPr>
      <w:rFonts w:ascii="宋体" w:hAnsi="宋体" w:cs="宋体"/>
      <w:sz w:val="24"/>
    </w:rPr>
  </w:style>
  <w:style w:type="paragraph" w:customStyle="1" w:styleId="75">
    <w:name w:val="7"/>
    <w:uiPriority w:val="60"/>
    <w:qFormat/>
    <w:pPr>
      <w:spacing w:line="360" w:lineRule="auto"/>
      <w:jc w:val="center"/>
    </w:pPr>
    <w:rPr>
      <w:rFonts w:ascii="Calibri" w:hAnsi="Calibri"/>
      <w:color w:val="943634"/>
    </w:rPr>
  </w:style>
  <w:style w:type="paragraph" w:customStyle="1" w:styleId="GB231220315">
    <w:name w:val="样式 样式 正文文本缩进 + 楷体_GB2312 首行缩进:  2 字符 段后: 0.3 行 行距: 1.5 倍行距 + 首行缩..."/>
    <w:basedOn w:val="a9"/>
    <w:qFormat/>
    <w:pPr>
      <w:widowControl/>
      <w:spacing w:afterLines="30" w:line="360" w:lineRule="auto"/>
      <w:ind w:firstLineChars="200" w:firstLine="200"/>
    </w:pPr>
    <w:rPr>
      <w:rFonts w:ascii="楷体_GB2312" w:eastAsia="楷体_GB2312" w:hAnsi="楷体_GB2312" w:cs="宋体"/>
      <w:sz w:val="24"/>
      <w:lang w:bidi="ne-NP"/>
    </w:rPr>
  </w:style>
  <w:style w:type="paragraph" w:customStyle="1" w:styleId="xl85">
    <w:name w:val="xl85"/>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fff2">
    <w:name w:val="正文文本首行缩进1"/>
    <w:basedOn w:val="afd"/>
    <w:pPr>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d">
    <w:name w:val="表格，五宋"/>
    <w:qFormat/>
    <w:pPr>
      <w:adjustRightInd w:val="0"/>
      <w:spacing w:line="360" w:lineRule="exact"/>
      <w:jc w:val="center"/>
    </w:pPr>
    <w:rPr>
      <w:sz w:val="21"/>
    </w:rPr>
  </w:style>
  <w:style w:type="paragraph" w:customStyle="1" w:styleId="5b">
    <w:name w:val="标题5"/>
    <w:basedOn w:val="4"/>
    <w:next w:val="a9"/>
    <w:qFormat/>
    <w:pPr>
      <w:keepNext/>
      <w:keepLines/>
      <w:widowControl/>
      <w:numPr>
        <w:ilvl w:val="0"/>
        <w:numId w:val="0"/>
      </w:numPr>
      <w:tabs>
        <w:tab w:val="left" w:pos="592"/>
        <w:tab w:val="left" w:pos="840"/>
        <w:tab w:val="left" w:pos="1567"/>
      </w:tabs>
      <w:spacing w:beforeLines="50" w:afterLines="50" w:line="240" w:lineRule="auto"/>
      <w:jc w:val="left"/>
    </w:pPr>
    <w:rPr>
      <w:rFonts w:ascii="黑体" w:eastAsia="黑体" w:hAnsi="Arial" w:cs="Arial"/>
      <w:b w:val="0"/>
      <w:bCs/>
      <w:kern w:val="44"/>
      <w:sz w:val="28"/>
    </w:rPr>
  </w:style>
  <w:style w:type="paragraph" w:customStyle="1" w:styleId="xl29">
    <w:name w:val="xl29"/>
    <w:basedOn w:val="a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Char1CharCharChar">
    <w:name w:val="Char1 Char Char Char"/>
    <w:basedOn w:val="a9"/>
    <w:qFormat/>
    <w:pPr>
      <w:widowControl/>
      <w:spacing w:after="160" w:line="240" w:lineRule="exact"/>
      <w:jc w:val="left"/>
    </w:pPr>
    <w:rPr>
      <w:rFonts w:ascii="Arial" w:eastAsia="Times New Roman" w:hAnsi="Arial" w:cs="Verdana"/>
      <w:b/>
      <w:sz w:val="24"/>
      <w:lang w:eastAsia="en-US"/>
    </w:rPr>
  </w:style>
  <w:style w:type="paragraph" w:customStyle="1" w:styleId="230">
    <w:name w:val="正文文本 23"/>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CharChar3Char">
    <w:name w:val="Char Char3 Char"/>
    <w:basedOn w:val="a9"/>
    <w:pPr>
      <w:spacing w:line="360" w:lineRule="auto"/>
      <w:ind w:firstLineChars="200" w:firstLine="200"/>
    </w:pPr>
    <w:rPr>
      <w:rFonts w:ascii="宋体" w:hAnsi="宋体" w:cs="宋体"/>
      <w:sz w:val="24"/>
    </w:rPr>
  </w:style>
  <w:style w:type="paragraph" w:customStyle="1" w:styleId="CharCharChar1CharCharCharCharCharCharCharCharCharChar2">
    <w:name w:val="Char Char Char1 Char Char Char Char Char Char Char Char Char Char2"/>
    <w:basedOn w:val="a9"/>
    <w:qFormat/>
    <w:pPr>
      <w:widowControl/>
    </w:pPr>
    <w:rPr>
      <w:rFonts w:cs="宋体"/>
      <w:sz w:val="24"/>
      <w:lang w:bidi="ne-NP"/>
    </w:rPr>
  </w:style>
  <w:style w:type="paragraph" w:customStyle="1" w:styleId="afffffffffe">
    <w:name w:val="工艺正文"/>
    <w:basedOn w:val="a9"/>
    <w:semiHidden/>
    <w:qFormat/>
    <w:pPr>
      <w:adjustRightInd w:val="0"/>
      <w:snapToGrid w:val="0"/>
      <w:spacing w:line="360" w:lineRule="auto"/>
      <w:ind w:firstLine="578"/>
    </w:pPr>
    <w:rPr>
      <w:rFonts w:ascii="宋体"/>
      <w:sz w:val="28"/>
    </w:rPr>
  </w:style>
  <w:style w:type="paragraph" w:customStyle="1" w:styleId="5Char">
    <w:name w:val="5Char"/>
    <w:basedOn w:val="5"/>
    <w:qFormat/>
    <w:pPr>
      <w:keepNext w:val="0"/>
      <w:numPr>
        <w:ilvl w:val="0"/>
        <w:numId w:val="0"/>
      </w:numPr>
      <w:tabs>
        <w:tab w:val="left" w:pos="482"/>
        <w:tab w:val="left" w:pos="726"/>
        <w:tab w:val="left" w:pos="1567"/>
        <w:tab w:val="left" w:pos="1997"/>
      </w:tabs>
      <w:adjustRightInd w:val="0"/>
      <w:spacing w:before="280" w:after="290" w:line="436" w:lineRule="exact"/>
    </w:pPr>
    <w:rPr>
      <w:rFonts w:ascii="Tahoma" w:eastAsia="华文中宋" w:hAnsi="Tahoma"/>
      <w:b w:val="0"/>
      <w:bCs/>
      <w:sz w:val="28"/>
      <w:szCs w:val="28"/>
    </w:rPr>
  </w:style>
  <w:style w:type="paragraph" w:customStyle="1" w:styleId="xl28">
    <w:name w:val="xl28"/>
    <w:basedOn w:val="a9"/>
    <w:qFormat/>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1Char20">
    <w:name w:val="样式 正文1 Char + 宋体 小四 首行缩进:  2 字符"/>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affffffffff">
    <w:name w:val="表格名称"/>
    <w:basedOn w:val="a9"/>
    <w:qFormat/>
    <w:pPr>
      <w:widowControl/>
      <w:spacing w:line="360" w:lineRule="auto"/>
      <w:ind w:left="11"/>
      <w:jc w:val="center"/>
    </w:pPr>
    <w:rPr>
      <w:rFonts w:eastAsia="黑体" w:cs="宋体"/>
      <w:b/>
      <w:snapToGrid w:val="0"/>
      <w:kern w:val="18"/>
      <w:sz w:val="24"/>
      <w:lang w:bidi="ne-NP"/>
    </w:rPr>
  </w:style>
  <w:style w:type="paragraph" w:customStyle="1" w:styleId="gray">
    <w:name w:val="gray"/>
    <w:basedOn w:val="a9"/>
    <w:qFormat/>
    <w:pPr>
      <w:widowControl/>
      <w:spacing w:before="100" w:beforeAutospacing="1" w:after="100" w:afterAutospacing="1" w:line="301" w:lineRule="atLeast"/>
      <w:jc w:val="left"/>
    </w:pPr>
    <w:rPr>
      <w:rFonts w:ascii="宋体" w:hAnsi="宋体"/>
      <w:color w:val="737373"/>
    </w:rPr>
  </w:style>
  <w:style w:type="paragraph" w:customStyle="1" w:styleId="affffffffff0">
    <w:name w:val="表格文字中对齐"/>
    <w:basedOn w:val="a9"/>
    <w:qFormat/>
    <w:pPr>
      <w:spacing w:line="300" w:lineRule="auto"/>
      <w:jc w:val="center"/>
    </w:pPr>
    <w:rPr>
      <w:rFonts w:ascii="Arial Narrow" w:eastAsia="仿宋_GB2312" w:hAnsi="Arial Narrow"/>
      <w:szCs w:val="21"/>
    </w:rPr>
  </w:style>
  <w:style w:type="paragraph" w:customStyle="1" w:styleId="newscontent">
    <w:name w:val="news_content"/>
    <w:basedOn w:val="a9"/>
    <w:qFormat/>
    <w:pPr>
      <w:widowControl/>
      <w:spacing w:before="100" w:beforeAutospacing="1" w:after="100" w:afterAutospacing="1"/>
      <w:jc w:val="left"/>
    </w:pPr>
    <w:rPr>
      <w:rFonts w:ascii="宋体" w:hAnsi="宋体" w:cs="宋体"/>
      <w:color w:val="000000"/>
      <w:sz w:val="24"/>
      <w:lang w:bidi="ne-NP"/>
    </w:rPr>
  </w:style>
  <w:style w:type="paragraph" w:customStyle="1" w:styleId="xl90">
    <w:name w:val="xl90"/>
    <w:basedOn w:val="a9"/>
    <w:qFormat/>
    <w:pPr>
      <w:widowControl/>
      <w:pBdr>
        <w:top w:val="single" w:sz="12"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13">
    <w:name w:val="修订11"/>
    <w:uiPriority w:val="99"/>
    <w:qFormat/>
    <w:pPr>
      <w:spacing w:line="360" w:lineRule="auto"/>
      <w:jc w:val="center"/>
    </w:pPr>
    <w:rPr>
      <w:kern w:val="2"/>
      <w:sz w:val="24"/>
      <w:szCs w:val="24"/>
    </w:rPr>
  </w:style>
  <w:style w:type="paragraph" w:customStyle="1" w:styleId="xl32">
    <w:name w:val="xl32"/>
    <w:basedOn w:val="a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affffffffff1">
    <w:name w:val="图文字"/>
    <w:basedOn w:val="a9"/>
    <w:qFormat/>
    <w:pPr>
      <w:widowControl/>
      <w:topLinePunct/>
      <w:spacing w:line="280" w:lineRule="exact"/>
      <w:jc w:val="center"/>
    </w:pPr>
    <w:rPr>
      <w:rFonts w:ascii="宋体" w:hAnsi="宋体"/>
      <w:sz w:val="24"/>
    </w:rPr>
  </w:style>
  <w:style w:type="paragraph" w:customStyle="1" w:styleId="CharCharCharCharCharChar2">
    <w:name w:val="Char Char Char Char Char Char2"/>
    <w:basedOn w:val="a9"/>
    <w:qFormat/>
    <w:pPr>
      <w:widowControl/>
    </w:pPr>
    <w:rPr>
      <w:rFonts w:cs="宋体"/>
      <w:sz w:val="24"/>
      <w:lang w:bidi="ne-NP"/>
    </w:rPr>
  </w:style>
  <w:style w:type="paragraph" w:customStyle="1" w:styleId="xl587">
    <w:name w:val="xl587"/>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CharChar1Char2">
    <w:name w:val="Char Char1 Char2"/>
    <w:basedOn w:val="a9"/>
    <w:qFormat/>
    <w:pPr>
      <w:spacing w:line="360" w:lineRule="auto"/>
      <w:ind w:firstLineChars="200" w:firstLine="200"/>
    </w:pPr>
    <w:rPr>
      <w:rFonts w:ascii="宋体" w:hAnsi="宋体" w:cs="宋体"/>
      <w:sz w:val="24"/>
    </w:rPr>
  </w:style>
  <w:style w:type="paragraph" w:customStyle="1" w:styleId="215">
    <w:name w:val="列出段落21"/>
    <w:basedOn w:val="a9"/>
    <w:qFormat/>
    <w:pPr>
      <w:widowControl/>
      <w:ind w:leftChars="200" w:left="480"/>
    </w:pPr>
    <w:rPr>
      <w:rFonts w:ascii="Calibri" w:eastAsia="PMingLiU" w:hAnsi="Calibri" w:cs="宋体"/>
      <w:sz w:val="24"/>
      <w:szCs w:val="22"/>
      <w:lang w:eastAsia="zh-TW" w:bidi="ne-NP"/>
    </w:rPr>
  </w:style>
  <w:style w:type="paragraph" w:customStyle="1" w:styleId="xl576">
    <w:name w:val="xl57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WPSPlain">
    <w:name w:val="WPS Plain"/>
    <w:qFormat/>
  </w:style>
  <w:style w:type="paragraph" w:customStyle="1" w:styleId="Lettre-8pts">
    <w:name w:val="Lettre-8pts"/>
    <w:basedOn w:val="a9"/>
    <w:qFormat/>
    <w:pPr>
      <w:keepLines/>
      <w:widowControl/>
      <w:tabs>
        <w:tab w:val="left" w:pos="1280"/>
      </w:tabs>
      <w:spacing w:before="160"/>
      <w:ind w:left="1280" w:hanging="720"/>
    </w:pPr>
    <w:rPr>
      <w:rFonts w:ascii="Arial" w:hAnsi="Arial" w:cs="宋体"/>
      <w:lang w:eastAsia="fr-FR" w:bidi="ne-NP"/>
    </w:rPr>
  </w:style>
  <w:style w:type="paragraph" w:customStyle="1" w:styleId="5c">
    <w:name w:val="样式5"/>
    <w:basedOn w:val="affff3"/>
    <w:qFormat/>
    <w:pPr>
      <w:spacing w:after="60" w:line="360" w:lineRule="auto"/>
    </w:pPr>
    <w:rPr>
      <w:b/>
    </w:rPr>
  </w:style>
  <w:style w:type="paragraph" w:customStyle="1" w:styleId="CharCharCharChar6">
    <w:name w:val="Char Char Char Char6"/>
    <w:basedOn w:val="a9"/>
    <w:qFormat/>
    <w:pPr>
      <w:spacing w:line="360" w:lineRule="auto"/>
    </w:pPr>
  </w:style>
  <w:style w:type="paragraph" w:customStyle="1" w:styleId="xl563">
    <w:name w:val="xl56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har50">
    <w:name w:val="Char5"/>
    <w:basedOn w:val="a9"/>
    <w:qFormat/>
    <w:pPr>
      <w:spacing w:line="360" w:lineRule="auto"/>
      <w:jc w:val="left"/>
    </w:pPr>
    <w:rPr>
      <w:rFonts w:ascii="宋体" w:hAnsi="宋体" w:cs="宋体"/>
      <w:sz w:val="24"/>
    </w:rPr>
  </w:style>
  <w:style w:type="paragraph" w:customStyle="1" w:styleId="xl571">
    <w:name w:val="xl57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bidi="ne-NP"/>
    </w:rPr>
  </w:style>
  <w:style w:type="paragraph" w:customStyle="1" w:styleId="xl68">
    <w:name w:val="xl6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color w:val="000000"/>
    </w:rPr>
  </w:style>
  <w:style w:type="paragraph" w:customStyle="1" w:styleId="Charfffff0">
    <w:name w:val="列表名称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4">
    <w:name w:val="样式 表内-文字 +"/>
    <w:basedOn w:val="-5"/>
    <w:qFormat/>
    <w:pPr>
      <w:tabs>
        <w:tab w:val="left" w:pos="1280"/>
      </w:tabs>
      <w:topLinePunct w:val="0"/>
    </w:pPr>
    <w:rPr>
      <w:bCs w:val="0"/>
      <w:lang w:bidi="ne-NP"/>
    </w:rPr>
  </w:style>
  <w:style w:type="paragraph" w:customStyle="1" w:styleId="-5">
    <w:name w:val="表内-文字"/>
    <w:basedOn w:val="a9"/>
    <w:qFormat/>
    <w:pPr>
      <w:widowControl/>
      <w:topLinePunct/>
      <w:spacing w:line="320" w:lineRule="exact"/>
      <w:jc w:val="center"/>
    </w:pPr>
    <w:rPr>
      <w:rFonts w:eastAsia="楷体_GB2312" w:cs="宋体"/>
      <w:bCs/>
      <w:color w:val="000000"/>
      <w:sz w:val="24"/>
      <w:szCs w:val="21"/>
    </w:rPr>
  </w:style>
  <w:style w:type="paragraph" w:customStyle="1" w:styleId="xl566">
    <w:name w:val="xl566"/>
    <w:basedOn w:val="a9"/>
    <w:qFormat/>
    <w:pPr>
      <w:widowControl/>
      <w:pBdr>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2f7">
    <w:name w:val="批注框文本2"/>
    <w:basedOn w:val="a9"/>
    <w:semiHidden/>
    <w:qFormat/>
    <w:pPr>
      <w:spacing w:line="360" w:lineRule="auto"/>
    </w:pPr>
    <w:rPr>
      <w:rFonts w:ascii="Tahoma" w:hAnsi="Tahoma" w:cs="Tahoma"/>
      <w:sz w:val="16"/>
      <w:szCs w:val="16"/>
    </w:rPr>
  </w:style>
  <w:style w:type="paragraph" w:customStyle="1" w:styleId="affffffffff2">
    <w:name w:val=".."/>
    <w:basedOn w:val="a9"/>
    <w:next w:val="a9"/>
    <w:qFormat/>
    <w:pPr>
      <w:autoSpaceDE w:val="0"/>
      <w:autoSpaceDN w:val="0"/>
      <w:adjustRightInd w:val="0"/>
      <w:jc w:val="left"/>
    </w:pPr>
    <w:rPr>
      <w:rFonts w:ascii="宋体"/>
      <w:sz w:val="24"/>
    </w:rPr>
  </w:style>
  <w:style w:type="paragraph" w:customStyle="1" w:styleId="affffffffff3">
    <w:name w:val="表"/>
    <w:basedOn w:val="a9"/>
    <w:qFormat/>
    <w:pPr>
      <w:snapToGrid w:val="0"/>
      <w:jc w:val="center"/>
    </w:pPr>
    <w:rPr>
      <w:spacing w:val="2"/>
    </w:rPr>
  </w:style>
  <w:style w:type="paragraph" w:customStyle="1" w:styleId="4d">
    <w:name w:val="标题样式4"/>
    <w:basedOn w:val="a9"/>
    <w:next w:val="a9"/>
    <w:qFormat/>
    <w:pPr>
      <w:tabs>
        <w:tab w:val="left" w:pos="720"/>
      </w:tabs>
      <w:spacing w:line="360" w:lineRule="auto"/>
      <w:ind w:left="720" w:hanging="720"/>
      <w:textAlignment w:val="baseline"/>
      <w:outlineLvl w:val="3"/>
    </w:pPr>
    <w:rPr>
      <w:sz w:val="24"/>
    </w:rPr>
  </w:style>
  <w:style w:type="paragraph" w:customStyle="1" w:styleId="LY1">
    <w:name w:val="LY标题1"/>
    <w:basedOn w:val="1"/>
    <w:next w:val="LY2"/>
    <w:qFormat/>
    <w:pPr>
      <w:pageBreakBefore w:val="0"/>
      <w:widowControl/>
      <w:numPr>
        <w:numId w:val="0"/>
      </w:numPr>
      <w:adjustRightInd w:val="0"/>
      <w:spacing w:before="120" w:after="120" w:line="400" w:lineRule="atLeast"/>
      <w:ind w:firstLine="288"/>
      <w:jc w:val="center"/>
      <w:textAlignment w:val="baseline"/>
      <w:outlineLvl w:val="9"/>
    </w:pPr>
    <w:rPr>
      <w:rFonts w:ascii="宋体"/>
      <w:spacing w:val="10"/>
      <w:kern w:val="0"/>
      <w:sz w:val="28"/>
    </w:rPr>
  </w:style>
  <w:style w:type="paragraph" w:customStyle="1" w:styleId="LY2">
    <w:name w:val="LY标题2"/>
    <w:basedOn w:val="2"/>
    <w:next w:val="LY"/>
    <w:qFormat/>
    <w:pPr>
      <w:keepNext/>
      <w:keepLines w:val="0"/>
      <w:widowControl/>
      <w:numPr>
        <w:ilvl w:val="0"/>
        <w:numId w:val="0"/>
      </w:numPr>
      <w:pBdr>
        <w:bottom w:val="none" w:sz="0" w:space="0" w:color="auto"/>
      </w:pBdr>
      <w:adjustRightInd w:val="0"/>
      <w:spacing w:before="0" w:after="0" w:line="360" w:lineRule="atLeast"/>
      <w:jc w:val="center"/>
      <w:textAlignment w:val="baseline"/>
      <w:outlineLvl w:val="9"/>
    </w:pPr>
    <w:rPr>
      <w:rFonts w:ascii="宋体" w:eastAsia="宋体"/>
      <w:spacing w:val="10"/>
      <w:sz w:val="24"/>
    </w:rPr>
  </w:style>
  <w:style w:type="paragraph" w:customStyle="1" w:styleId="LY">
    <w:name w:val="LY正文"/>
    <w:basedOn w:val="a9"/>
    <w:qFormat/>
    <w:pPr>
      <w:widowControl/>
      <w:adjustRightInd w:val="0"/>
      <w:spacing w:line="360" w:lineRule="atLeast"/>
      <w:ind w:firstLine="510"/>
      <w:jc w:val="left"/>
      <w:textAlignment w:val="baseline"/>
    </w:pPr>
    <w:rPr>
      <w:rFonts w:eastAsia="楷体_GB2312" w:cs="宋体"/>
      <w:spacing w:val="10"/>
      <w:sz w:val="24"/>
      <w:lang w:bidi="ne-NP"/>
    </w:rPr>
  </w:style>
  <w:style w:type="paragraph" w:customStyle="1" w:styleId="2f8">
    <w:name w:val="样式 小五 首行缩进:  2 字符"/>
    <w:basedOn w:val="a9"/>
    <w:qFormat/>
    <w:pPr>
      <w:widowControl/>
    </w:pPr>
    <w:rPr>
      <w:rFonts w:cs="宋体"/>
      <w:sz w:val="18"/>
      <w:lang w:bidi="ne-NP"/>
    </w:rPr>
  </w:style>
  <w:style w:type="paragraph" w:customStyle="1" w:styleId="affffffffff4">
    <w:name w:val="统一正文"/>
    <w:basedOn w:val="a9"/>
    <w:qFormat/>
    <w:pPr>
      <w:widowControl/>
      <w:autoSpaceDE w:val="0"/>
      <w:autoSpaceDN w:val="0"/>
      <w:spacing w:line="360" w:lineRule="auto"/>
      <w:ind w:firstLineChars="200" w:firstLine="200"/>
      <w:textAlignment w:val="baseline"/>
    </w:pPr>
    <w:rPr>
      <w:rFonts w:eastAsia="仿宋_GB2312" w:cs="宋体"/>
      <w:sz w:val="28"/>
      <w:lang w:bidi="he-IL"/>
    </w:rPr>
  </w:style>
  <w:style w:type="paragraph" w:customStyle="1" w:styleId="xl52">
    <w:name w:val="xl52"/>
    <w:basedOn w:val="a9"/>
    <w:qFormat/>
    <w:pPr>
      <w:widowControl/>
      <w:pBdr>
        <w:top w:val="single" w:sz="4" w:space="0" w:color="auto"/>
        <w:bottom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CharChar1Char4">
    <w:name w:val="Char Char1 Char4"/>
    <w:basedOn w:val="a9"/>
    <w:qFormat/>
    <w:pPr>
      <w:spacing w:line="360" w:lineRule="auto"/>
      <w:ind w:firstLineChars="200" w:firstLine="200"/>
    </w:pPr>
    <w:rPr>
      <w:rFonts w:ascii="宋体" w:hAnsi="宋体" w:cs="宋体"/>
      <w:sz w:val="24"/>
    </w:rPr>
  </w:style>
  <w:style w:type="paragraph" w:customStyle="1" w:styleId="xl125">
    <w:name w:val="xl125"/>
    <w:basedOn w:val="a9"/>
    <w:qFormat/>
    <w:pPr>
      <w:widowControl/>
      <w:pBdr>
        <w:bottom w:val="single" w:sz="8" w:space="0" w:color="auto"/>
      </w:pBdr>
      <w:spacing w:before="100" w:beforeAutospacing="1" w:after="100" w:afterAutospacing="1" w:line="360" w:lineRule="auto"/>
      <w:jc w:val="right"/>
      <w:textAlignment w:val="center"/>
    </w:pPr>
    <w:rPr>
      <w:rFonts w:ascii="宋体" w:hAnsi="宋体" w:cs="宋体"/>
      <w:color w:val="000000"/>
    </w:rPr>
  </w:style>
  <w:style w:type="paragraph" w:customStyle="1" w:styleId="250">
    <w:name w:val="样式 首行缩进  2 字符 + 首行缩进:  5 字符"/>
    <w:basedOn w:val="2f9"/>
    <w:qFormat/>
    <w:pPr>
      <w:ind w:firstLineChars="500" w:firstLine="1200"/>
    </w:pPr>
  </w:style>
  <w:style w:type="paragraph" w:customStyle="1" w:styleId="2f9">
    <w:name w:val="首行缩进  2 字符"/>
    <w:basedOn w:val="a9"/>
    <w:qFormat/>
    <w:pPr>
      <w:widowControl/>
      <w:topLinePunct/>
      <w:spacing w:line="480" w:lineRule="exact"/>
      <w:ind w:firstLineChars="200" w:firstLine="480"/>
    </w:pPr>
    <w:rPr>
      <w:rFonts w:ascii="宋体" w:hAnsi="宋体" w:cs="宋体"/>
      <w:sz w:val="24"/>
    </w:rPr>
  </w:style>
  <w:style w:type="paragraph" w:customStyle="1" w:styleId="affffffffff5">
    <w:name w:val="奉读大示，心折殊深。"/>
    <w:qFormat/>
    <w:pPr>
      <w:widowControl w:val="0"/>
      <w:spacing w:line="360" w:lineRule="auto"/>
      <w:jc w:val="both"/>
    </w:pPr>
    <w:rPr>
      <w:kern w:val="2"/>
      <w:sz w:val="21"/>
    </w:rPr>
  </w:style>
  <w:style w:type="paragraph" w:customStyle="1" w:styleId="affffffffff6">
    <w:name w:val="表字五号缩进"/>
    <w:basedOn w:val="affffffffff7"/>
    <w:qFormat/>
    <w:pPr>
      <w:spacing w:before="31" w:after="31"/>
      <w:ind w:firstLineChars="200" w:firstLine="420"/>
      <w:jc w:val="both"/>
    </w:pPr>
    <w:rPr>
      <w:color w:val="000000"/>
    </w:rPr>
  </w:style>
  <w:style w:type="paragraph" w:customStyle="1" w:styleId="affffffffff7">
    <w:name w:val="表字五号"/>
    <w:basedOn w:val="a9"/>
    <w:qFormat/>
    <w:pPr>
      <w:widowControl/>
      <w:autoSpaceDE w:val="0"/>
      <w:autoSpaceDN w:val="0"/>
      <w:adjustRightInd w:val="0"/>
      <w:snapToGrid w:val="0"/>
      <w:spacing w:beforeLines="10" w:afterLines="10"/>
      <w:jc w:val="center"/>
      <w:textAlignment w:val="bottom"/>
    </w:pPr>
    <w:rPr>
      <w:rFonts w:cs="宋体"/>
      <w:sz w:val="24"/>
      <w:lang w:bidi="ne-NP"/>
    </w:rPr>
  </w:style>
  <w:style w:type="paragraph" w:customStyle="1" w:styleId="affffffffff8">
    <w:name w:val="－列表"/>
    <w:basedOn w:val="affb"/>
    <w:qFormat/>
    <w:pPr>
      <w:widowControl/>
      <w:overflowPunct w:val="0"/>
      <w:autoSpaceDE w:val="0"/>
      <w:autoSpaceDN w:val="0"/>
      <w:adjustRightInd w:val="0"/>
      <w:snapToGrid w:val="0"/>
      <w:ind w:left="0" w:firstLine="0"/>
      <w:textAlignment w:val="baseline"/>
    </w:pPr>
    <w:rPr>
      <w:rFonts w:ascii="宋体" w:hAnsi="Arial"/>
      <w:snapToGrid w:val="0"/>
      <w:spacing w:val="-4"/>
      <w:sz w:val="22"/>
    </w:rPr>
  </w:style>
  <w:style w:type="paragraph" w:customStyle="1" w:styleId="Title4">
    <w:name w:val="Title 4"/>
    <w:basedOn w:val="4"/>
    <w:next w:val="a9"/>
    <w:qFormat/>
    <w:pPr>
      <w:keepNext/>
      <w:keepLines/>
      <w:widowControl/>
      <w:numPr>
        <w:ilvl w:val="0"/>
        <w:numId w:val="0"/>
      </w:numPr>
      <w:tabs>
        <w:tab w:val="left" w:pos="0"/>
        <w:tab w:val="left" w:pos="480"/>
        <w:tab w:val="left" w:pos="862"/>
        <w:tab w:val="left" w:pos="1567"/>
        <w:tab w:val="left" w:pos="1984"/>
      </w:tabs>
      <w:spacing w:before="120" w:after="0" w:line="400" w:lineRule="exact"/>
      <w:ind w:left="1984" w:hanging="708"/>
      <w:jc w:val="left"/>
    </w:pPr>
    <w:rPr>
      <w:rFonts w:ascii="宋体" w:eastAsia="黑体" w:hAnsi="宋体" w:cs="Arial"/>
      <w:b w:val="0"/>
      <w:bCs/>
      <w:lang w:bidi="ne-NP"/>
    </w:rPr>
  </w:style>
  <w:style w:type="paragraph" w:customStyle="1" w:styleId="Adresse">
    <w:name w:val="Adresse"/>
    <w:basedOn w:val="a9"/>
    <w:qFormat/>
    <w:pPr>
      <w:widowControl/>
      <w:spacing w:line="240" w:lineRule="atLeast"/>
      <w:jc w:val="left"/>
    </w:pPr>
    <w:rPr>
      <w:rFonts w:ascii="Arial" w:eastAsia="华文细黑" w:hAnsi="Arial" w:cs="宋体"/>
      <w:lang w:eastAsia="de-DE" w:bidi="ne-NP"/>
    </w:rPr>
  </w:style>
  <w:style w:type="paragraph" w:customStyle="1" w:styleId="xl50">
    <w:name w:val="xl50"/>
    <w:basedOn w:val="a9"/>
    <w:qFormat/>
    <w:pPr>
      <w:widowControl/>
      <w:pBdr>
        <w:left w:val="single" w:sz="4" w:space="0" w:color="auto"/>
        <w:right w:val="single" w:sz="4" w:space="0" w:color="auto"/>
      </w:pBdr>
      <w:spacing w:before="100" w:after="100"/>
      <w:jc w:val="center"/>
      <w:textAlignment w:val="center"/>
    </w:pPr>
    <w:rPr>
      <w:rFonts w:ascii="宋体" w:hAnsi="宋体"/>
      <w:sz w:val="24"/>
    </w:rPr>
  </w:style>
  <w:style w:type="paragraph" w:customStyle="1" w:styleId="affffffffff9">
    <w:name w:val="文档一级标题"/>
    <w:basedOn w:val="a9"/>
    <w:qFormat/>
    <w:rPr>
      <w:rFonts w:ascii="黑体" w:eastAsia="黑体" w:hAnsi="华文仿宋"/>
      <w:sz w:val="28"/>
    </w:rPr>
  </w:style>
  <w:style w:type="paragraph" w:customStyle="1" w:styleId="2fa">
    <w:name w:val="正文2"/>
    <w:basedOn w:val="26"/>
    <w:link w:val="2Char6"/>
    <w:qFormat/>
    <w:pPr>
      <w:snapToGrid/>
      <w:spacing w:after="120" w:line="480" w:lineRule="atLeast"/>
      <w:ind w:firstLine="567"/>
      <w:jc w:val="both"/>
    </w:pPr>
    <w:rPr>
      <w:spacing w:val="5"/>
      <w:sz w:val="28"/>
    </w:rPr>
  </w:style>
  <w:style w:type="paragraph" w:customStyle="1" w:styleId="Char2CharCharChar1">
    <w:name w:val="Char2 Char Char Char1"/>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afterLines="50" w:line="240" w:lineRule="auto"/>
      <w:ind w:leftChars="-12" w:left="542" w:firstLineChars="200" w:firstLine="200"/>
    </w:pPr>
    <w:rPr>
      <w:rFonts w:ascii="华文中宋" w:eastAsia="华文中宋" w:hAnsi="宋体"/>
      <w:b w:val="0"/>
      <w:snapToGrid w:val="0"/>
      <w:sz w:val="32"/>
      <w:szCs w:val="24"/>
    </w:rPr>
  </w:style>
  <w:style w:type="paragraph" w:customStyle="1" w:styleId="Char3CharCharChar2">
    <w:name w:val="Char3 Char Char Char2"/>
    <w:basedOn w:val="a9"/>
    <w:qFormat/>
    <w:pPr>
      <w:spacing w:line="360" w:lineRule="auto"/>
      <w:ind w:firstLineChars="200" w:firstLine="200"/>
    </w:pPr>
    <w:rPr>
      <w:rFonts w:ascii="宋体" w:hAnsi="宋体" w:cs="宋体"/>
      <w:sz w:val="24"/>
    </w:rPr>
  </w:style>
  <w:style w:type="paragraph" w:customStyle="1" w:styleId="122">
    <w:name w:val="样式 目录 1 + 首行缩进:  2 字符"/>
    <w:basedOn w:val="10"/>
    <w:qFormat/>
    <w:pPr>
      <w:widowControl/>
      <w:tabs>
        <w:tab w:val="right" w:leader="dot" w:pos="8720"/>
      </w:tabs>
      <w:spacing w:before="120" w:line="480" w:lineRule="exact"/>
    </w:pPr>
    <w:rPr>
      <w:rFonts w:ascii="Comic Sans MS" w:eastAsia="楷体_GB2312" w:hAnsi="Comic Sans MS" w:cs="宋体"/>
      <w:b w:val="0"/>
      <w:caps/>
      <w:lang w:bidi="ne-NP"/>
    </w:rPr>
  </w:style>
  <w:style w:type="paragraph" w:customStyle="1" w:styleId="CharCharCharChar3CharChar">
    <w:name w:val="居中表内文 Char Char Char Char3 Char Char"/>
    <w:basedOn w:val="a9"/>
    <w:qFormat/>
    <w:pPr>
      <w:widowControl/>
      <w:spacing w:line="240" w:lineRule="exact"/>
      <w:jc w:val="center"/>
    </w:pPr>
    <w:rPr>
      <w:rFonts w:cs="宋体"/>
      <w:sz w:val="18"/>
      <w:lang w:bidi="ne-NP"/>
    </w:rPr>
  </w:style>
  <w:style w:type="paragraph" w:customStyle="1" w:styleId="2H2Heading2HiddenHeading2CCBS2ndlevelh22Header">
    <w:name w:val="样式 标题 2H2Heading 2 HiddenHeading 2 CCBS2nd levelh22Header..."/>
    <w:basedOn w:val="2"/>
    <w:qFormat/>
    <w:pPr>
      <w:keepNext/>
      <w:widowControl/>
      <w:numPr>
        <w:ilvl w:val="0"/>
        <w:numId w:val="0"/>
      </w:numPr>
      <w:pBdr>
        <w:bottom w:val="none" w:sz="0" w:space="0" w:color="auto"/>
      </w:pBdr>
      <w:spacing w:before="120" w:after="120" w:line="440" w:lineRule="exact"/>
      <w:jc w:val="left"/>
    </w:pPr>
    <w:rPr>
      <w:rFonts w:ascii="Arial" w:hAnsi="Arial" w:cs="宋体"/>
      <w:bCs/>
      <w:sz w:val="24"/>
    </w:rPr>
  </w:style>
  <w:style w:type="paragraph" w:customStyle="1" w:styleId="CharChar3Char2">
    <w:name w:val="Char Char3 Char2"/>
    <w:basedOn w:val="a9"/>
    <w:qFormat/>
    <w:pPr>
      <w:widowControl/>
      <w:spacing w:line="360" w:lineRule="auto"/>
      <w:ind w:firstLineChars="200" w:firstLine="200"/>
    </w:pPr>
    <w:rPr>
      <w:rFonts w:ascii="宋体" w:hAnsi="宋体" w:cs="宋体"/>
      <w:sz w:val="24"/>
      <w:lang w:bidi="ne-NP"/>
    </w:rPr>
  </w:style>
  <w:style w:type="paragraph" w:customStyle="1" w:styleId="xl543">
    <w:name w:val="xl543"/>
    <w:basedOn w:val="a9"/>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color w:val="000000"/>
      <w:sz w:val="18"/>
      <w:szCs w:val="18"/>
      <w:lang w:bidi="ne-NP"/>
    </w:rPr>
  </w:style>
  <w:style w:type="paragraph" w:customStyle="1" w:styleId="CharCharf2">
    <w:name w:val="列表名称 Char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1210">
    <w:name w:val="样式 目录 1 + 首行缩进:  2 字符1"/>
    <w:basedOn w:val="10"/>
    <w:qFormat/>
    <w:pPr>
      <w:widowControl/>
      <w:tabs>
        <w:tab w:val="right" w:leader="dot" w:pos="8720"/>
      </w:tabs>
      <w:spacing w:before="120" w:line="480" w:lineRule="exact"/>
    </w:pPr>
    <w:rPr>
      <w:rFonts w:ascii="Comic Sans MS" w:eastAsia="楷体_GB2312" w:hAnsi="Comic Sans MS" w:cs="宋体"/>
      <w:b w:val="0"/>
      <w:caps/>
      <w:lang w:bidi="ne-NP"/>
    </w:rPr>
  </w:style>
  <w:style w:type="paragraph" w:customStyle="1" w:styleId="affffffffffa">
    <w:name w:val="正文编号"/>
    <w:basedOn w:val="a9"/>
    <w:qFormat/>
    <w:pPr>
      <w:widowControl/>
      <w:tabs>
        <w:tab w:val="left" w:pos="425"/>
      </w:tabs>
      <w:adjustRightInd w:val="0"/>
      <w:spacing w:line="360" w:lineRule="atLeast"/>
      <w:ind w:left="425" w:hanging="425"/>
      <w:textAlignment w:val="baseline"/>
    </w:pPr>
    <w:rPr>
      <w:rFonts w:eastAsia="楷体_GB2312" w:cs="宋体"/>
      <w:color w:val="000000"/>
      <w:spacing w:val="8"/>
      <w:sz w:val="28"/>
      <w:lang w:bidi="ne-NP"/>
    </w:rPr>
  </w:style>
  <w:style w:type="paragraph" w:customStyle="1" w:styleId="affffffffffb">
    <w:name w:val="摘要图体"/>
    <w:basedOn w:val="a9"/>
    <w:qFormat/>
    <w:pPr>
      <w:widowControl/>
      <w:tabs>
        <w:tab w:val="left" w:pos="480"/>
      </w:tabs>
      <w:spacing w:beforeLines="50" w:afterLines="50"/>
      <w:jc w:val="center"/>
    </w:pPr>
    <w:rPr>
      <w:rFonts w:ascii="宋体" w:hAnsi="宋体" w:cs="宋体"/>
      <w:sz w:val="25"/>
      <w:szCs w:val="25"/>
      <w:lang w:bidi="ne-NP"/>
    </w:rPr>
  </w:style>
  <w:style w:type="paragraph" w:customStyle="1" w:styleId="1051">
    <w:name w:val="样式 表头样式1 + 段前: 0.5 行1"/>
    <w:basedOn w:val="--"/>
    <w:qFormat/>
    <w:rPr>
      <w:rFonts w:cs="宋体"/>
      <w:bCs/>
    </w:rPr>
  </w:style>
  <w:style w:type="paragraph" w:customStyle="1" w:styleId="xl72">
    <w:name w:val="xl7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24"/>
    </w:rPr>
  </w:style>
  <w:style w:type="paragraph" w:customStyle="1" w:styleId="221">
    <w:name w:val="样式 标题 2 + 首行缩进:  2 字符"/>
    <w:basedOn w:val="2"/>
    <w:qFormat/>
    <w:pPr>
      <w:keepNext/>
      <w:keepLines w:val="0"/>
      <w:widowControl/>
      <w:numPr>
        <w:ilvl w:val="0"/>
        <w:numId w:val="0"/>
      </w:numPr>
      <w:pBdr>
        <w:bottom w:val="none" w:sz="0" w:space="0" w:color="auto"/>
      </w:pBdr>
      <w:tabs>
        <w:tab w:val="left" w:pos="1080"/>
      </w:tabs>
      <w:spacing w:before="0" w:after="120" w:line="360" w:lineRule="auto"/>
      <w:ind w:firstLineChars="100" w:firstLine="100"/>
      <w:jc w:val="left"/>
    </w:pPr>
    <w:rPr>
      <w:rFonts w:eastAsia="华文中宋" w:cs="宋体"/>
      <w:b w:val="0"/>
      <w:color w:val="000000"/>
      <w:sz w:val="30"/>
    </w:rPr>
  </w:style>
  <w:style w:type="paragraph" w:customStyle="1" w:styleId="affffffffffc">
    <w:name w:val="基准页眉样式"/>
    <w:basedOn w:val="afd"/>
    <w:qFormat/>
    <w:pPr>
      <w:spacing w:line="240" w:lineRule="atLeast"/>
      <w:ind w:firstLineChars="0" w:firstLine="0"/>
      <w:jc w:val="center"/>
    </w:pPr>
    <w:rPr>
      <w:rFonts w:ascii="宋体" w:hAnsi="Times New Roman"/>
      <w:color w:val="000000"/>
      <w:kern w:val="2"/>
      <w:sz w:val="21"/>
    </w:rPr>
  </w:style>
  <w:style w:type="paragraph" w:customStyle="1" w:styleId="charfffff1">
    <w:name w:val="char"/>
    <w:basedOn w:val="a9"/>
    <w:qFormat/>
    <w:pPr>
      <w:widowControl/>
      <w:spacing w:after="160" w:line="240" w:lineRule="exact"/>
      <w:jc w:val="left"/>
    </w:pPr>
    <w:rPr>
      <w:rFonts w:ascii="Verdana" w:eastAsia="仿宋_GB2312" w:hAnsi="Verdana" w:cs="”“Times New Roman”“"/>
      <w:sz w:val="24"/>
      <w:lang w:eastAsia="en-US" w:bidi="ne-NP"/>
    </w:rPr>
  </w:style>
  <w:style w:type="paragraph" w:customStyle="1" w:styleId="1fff3">
    <w:name w:val="编号1"/>
    <w:basedOn w:val="a9"/>
    <w:qFormat/>
    <w:pPr>
      <w:tabs>
        <w:tab w:val="left" w:pos="540"/>
      </w:tabs>
      <w:spacing w:line="360" w:lineRule="auto"/>
      <w:ind w:firstLineChars="64" w:firstLine="179"/>
    </w:pPr>
    <w:rPr>
      <w:sz w:val="28"/>
    </w:rPr>
  </w:style>
  <w:style w:type="paragraph" w:customStyle="1" w:styleId="330">
    <w:name w:val="正文文本缩进 33"/>
    <w:basedOn w:val="a9"/>
    <w:semiHidden/>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xl117">
    <w:name w:val="xl117"/>
    <w:basedOn w:val="a9"/>
    <w:qFormat/>
    <w:pPr>
      <w:widowControl/>
      <w:pBdr>
        <w:bottom w:val="single" w:sz="8" w:space="0" w:color="auto"/>
        <w:right w:val="single" w:sz="8" w:space="0" w:color="auto"/>
      </w:pBdr>
      <w:spacing w:before="100" w:beforeAutospacing="1" w:after="100" w:afterAutospacing="1" w:line="360" w:lineRule="auto"/>
      <w:textAlignment w:val="center"/>
    </w:pPr>
  </w:style>
  <w:style w:type="paragraph" w:customStyle="1" w:styleId="41111111Heading4Subsection4dash">
    <w:name w:val="样式 标题 4款标题1.1.1段款标题1.1.1.1四四级标题Heading4Subsection4 dash..."/>
    <w:basedOn w:val="4"/>
    <w:qFormat/>
    <w:pPr>
      <w:widowControl/>
      <w:numPr>
        <w:numId w:val="2"/>
      </w:numPr>
      <w:tabs>
        <w:tab w:val="clear" w:pos="432"/>
        <w:tab w:val="left" w:pos="425"/>
        <w:tab w:val="left" w:pos="1567"/>
      </w:tabs>
      <w:jc w:val="left"/>
    </w:pPr>
    <w:rPr>
      <w:bCs/>
      <w:lang w:bidi="ne-NP"/>
    </w:rPr>
  </w:style>
  <w:style w:type="paragraph" w:customStyle="1" w:styleId="630">
    <w:name w:val="样式 表格 + 段后: 6 磅3"/>
    <w:basedOn w:val="afffff5"/>
    <w:qFormat/>
    <w:pPr>
      <w:widowControl/>
      <w:spacing w:line="240" w:lineRule="auto"/>
      <w:jc w:val="both"/>
    </w:pPr>
    <w:rPr>
      <w:rFonts w:ascii="宋体" w:cs="宋体"/>
      <w:color w:val="000000"/>
      <w:kern w:val="2"/>
      <w:sz w:val="18"/>
      <w:szCs w:val="20"/>
    </w:rPr>
  </w:style>
  <w:style w:type="paragraph" w:customStyle="1" w:styleId="xl94">
    <w:name w:val="xl94"/>
    <w:basedOn w:val="a9"/>
    <w:qFormat/>
    <w:pPr>
      <w:widowControl/>
      <w:pBdr>
        <w:top w:val="single" w:sz="4"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Standardeinz">
    <w:name w:val="Standardeinz"/>
    <w:basedOn w:val="a9"/>
    <w:next w:val="36"/>
    <w:qFormat/>
    <w:pPr>
      <w:widowControl/>
      <w:spacing w:line="460" w:lineRule="exact"/>
      <w:ind w:leftChars="514" w:left="1079" w:firstLine="541"/>
    </w:pPr>
    <w:rPr>
      <w:rFonts w:ascii="宋体" w:hAnsi="宋体" w:cs="宋体"/>
      <w:sz w:val="24"/>
      <w:lang w:bidi="ne-NP"/>
    </w:rPr>
  </w:style>
  <w:style w:type="paragraph" w:customStyle="1" w:styleId="216">
    <w:name w:val="日期21"/>
    <w:basedOn w:val="a9"/>
    <w:next w:val="a9"/>
    <w:semiHidden/>
    <w:qFormat/>
    <w:pPr>
      <w:widowControl/>
      <w:adjustRightInd w:val="0"/>
      <w:spacing w:line="360" w:lineRule="auto"/>
      <w:ind w:firstLineChars="200" w:firstLine="576"/>
      <w:textAlignment w:val="baseline"/>
    </w:pPr>
    <w:rPr>
      <w:rFonts w:ascii="仿宋_GB2312" w:eastAsia="仿宋_GB2312" w:cs="宋体"/>
      <w:spacing w:val="4"/>
      <w:kern w:val="18"/>
      <w:sz w:val="28"/>
      <w:lang w:bidi="ne-NP"/>
    </w:rPr>
  </w:style>
  <w:style w:type="paragraph" w:customStyle="1" w:styleId="xl53">
    <w:name w:val="xl53"/>
    <w:basedOn w:val="a9"/>
    <w:qFormat/>
    <w:pPr>
      <w:widowControl/>
      <w:pBdr>
        <w:right w:val="single" w:sz="4" w:space="0" w:color="auto"/>
      </w:pBdr>
      <w:spacing w:before="100" w:beforeAutospacing="1" w:after="100" w:afterAutospacing="1" w:line="360" w:lineRule="auto"/>
      <w:jc w:val="center"/>
    </w:pPr>
    <w:rPr>
      <w:sz w:val="24"/>
    </w:rPr>
  </w:style>
  <w:style w:type="paragraph" w:customStyle="1" w:styleId="xl538">
    <w:name w:val="xl538"/>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color w:val="000000"/>
      <w:sz w:val="18"/>
      <w:szCs w:val="18"/>
      <w:lang w:bidi="ne-NP"/>
    </w:rPr>
  </w:style>
  <w:style w:type="paragraph" w:customStyle="1" w:styleId="1fff4">
    <w:name w:val="表格小五（1）"/>
    <w:basedOn w:val="a9"/>
    <w:qFormat/>
    <w:pPr>
      <w:adjustRightInd w:val="0"/>
      <w:snapToGrid w:val="0"/>
      <w:spacing w:line="320" w:lineRule="exact"/>
    </w:pPr>
    <w:rPr>
      <w:rFonts w:ascii="宋体" w:hAnsi="宋体"/>
      <w:sz w:val="18"/>
      <w:szCs w:val="18"/>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xl97">
    <w:name w:val="xl97"/>
    <w:basedOn w:val="a9"/>
    <w:qFormat/>
    <w:pPr>
      <w:widowControl/>
      <w:pBdr>
        <w:left w:val="single" w:sz="4"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567">
    <w:name w:val="xl567"/>
    <w:basedOn w:val="a9"/>
    <w:qFormat/>
    <w:pPr>
      <w:widowControl/>
      <w:pBdr>
        <w:top w:val="single" w:sz="4" w:space="0" w:color="auto"/>
        <w:left w:val="single" w:sz="4" w:space="0" w:color="auto"/>
        <w:right w:val="single" w:sz="4" w:space="0" w:color="auto"/>
      </w:pBdr>
      <w:shd w:val="clear" w:color="auto" w:fill="FF99CC"/>
      <w:spacing w:before="100" w:beforeAutospacing="1" w:after="100" w:afterAutospacing="1"/>
      <w:jc w:val="center"/>
    </w:pPr>
    <w:rPr>
      <w:rFonts w:ascii="宋体" w:hAnsi="宋体" w:cs="宋体"/>
      <w:lang w:bidi="ne-NP"/>
    </w:rPr>
  </w:style>
  <w:style w:type="paragraph" w:customStyle="1" w:styleId="xl119">
    <w:name w:val="xl119"/>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p18">
    <w:name w:val="p18"/>
    <w:basedOn w:val="a9"/>
    <w:qFormat/>
    <w:pPr>
      <w:widowControl/>
      <w:snapToGrid w:val="0"/>
      <w:spacing w:line="360" w:lineRule="auto"/>
      <w:ind w:firstLine="420"/>
    </w:pPr>
    <w:rPr>
      <w:rFonts w:ascii="宋体" w:hAnsi="宋体" w:cs="宋体"/>
      <w:sz w:val="28"/>
      <w:szCs w:val="28"/>
    </w:rPr>
  </w:style>
  <w:style w:type="paragraph" w:customStyle="1" w:styleId="Char2CharCharChar">
    <w:name w:val="Char2 Char Char Char"/>
    <w:basedOn w:val="3"/>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affffffffffd">
    <w:name w:val="样式"/>
    <w:basedOn w:val="a9"/>
    <w:next w:val="36"/>
    <w:qFormat/>
    <w:pPr>
      <w:tabs>
        <w:tab w:val="left" w:pos="6720"/>
      </w:tabs>
      <w:spacing w:line="360" w:lineRule="auto"/>
      <w:ind w:firstLineChars="200" w:firstLine="480"/>
    </w:pPr>
    <w:rPr>
      <w:rFonts w:ascii="楷体_GB2312" w:eastAsia="楷体_GB2312"/>
      <w:sz w:val="24"/>
    </w:rPr>
  </w:style>
  <w:style w:type="paragraph" w:customStyle="1" w:styleId="114">
    <w:name w:val="标题11"/>
    <w:basedOn w:val="1f3"/>
    <w:qFormat/>
    <w:pPr>
      <w:widowControl/>
      <w:spacing w:beforeLines="0" w:before="0"/>
    </w:pPr>
  </w:style>
  <w:style w:type="paragraph" w:customStyle="1" w:styleId="xl87">
    <w:name w:val="xl87"/>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3CharCharChar">
    <w:name w:val="标题3 Char Char Char"/>
    <w:basedOn w:val="a9"/>
    <w:qFormat/>
    <w:pPr>
      <w:widowControl/>
      <w:spacing w:afterLines="50" w:line="560" w:lineRule="exact"/>
    </w:pPr>
    <w:rPr>
      <w:rFonts w:eastAsia="黑体" w:cs="宋体"/>
      <w:sz w:val="30"/>
      <w:szCs w:val="30"/>
      <w:lang w:bidi="ne-NP"/>
    </w:rPr>
  </w:style>
  <w:style w:type="paragraph" w:customStyle="1" w:styleId="Char3CharCharChar6">
    <w:name w:val="Char3 Char Char Char6"/>
    <w:basedOn w:val="a9"/>
    <w:qFormat/>
    <w:pPr>
      <w:spacing w:line="360" w:lineRule="auto"/>
      <w:ind w:firstLineChars="200" w:firstLine="200"/>
    </w:pPr>
    <w:rPr>
      <w:rFonts w:ascii="宋体" w:hAnsi="宋体" w:cs="宋体"/>
      <w:sz w:val="24"/>
    </w:rPr>
  </w:style>
  <w:style w:type="paragraph" w:customStyle="1" w:styleId="xl96">
    <w:name w:val="xl96"/>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1fff5">
    <w:name w:val="修订1"/>
    <w:uiPriority w:val="99"/>
    <w:unhideWhenUsed/>
    <w:qFormat/>
    <w:pPr>
      <w:spacing w:line="360" w:lineRule="auto"/>
      <w:jc w:val="center"/>
    </w:pPr>
    <w:rPr>
      <w:kern w:val="2"/>
      <w:sz w:val="21"/>
      <w:szCs w:val="24"/>
    </w:rPr>
  </w:style>
  <w:style w:type="paragraph" w:customStyle="1" w:styleId="affffffffffe">
    <w:name w:val="表文字"/>
    <w:basedOn w:val="a9"/>
    <w:qFormat/>
    <w:pPr>
      <w:widowControl/>
      <w:overflowPunct w:val="0"/>
      <w:topLinePunct/>
      <w:autoSpaceDE w:val="0"/>
      <w:autoSpaceDN w:val="0"/>
      <w:adjustRightInd w:val="0"/>
      <w:spacing w:line="240" w:lineRule="atLeast"/>
      <w:contextualSpacing/>
      <w:jc w:val="center"/>
      <w:textAlignment w:val="baseline"/>
    </w:pPr>
    <w:rPr>
      <w:sz w:val="24"/>
    </w:rPr>
  </w:style>
  <w:style w:type="paragraph" w:customStyle="1" w:styleId="123">
    <w:name w:val="字元 字元12"/>
    <w:basedOn w:val="a9"/>
    <w:qFormat/>
    <w:pPr>
      <w:widowControl/>
      <w:spacing w:after="160" w:line="240" w:lineRule="exact"/>
    </w:pPr>
    <w:rPr>
      <w:rFonts w:ascii="Verdana" w:hAnsi="Verdana" w:cs="宋体"/>
      <w:lang w:eastAsia="en-US" w:bidi="ne-NP"/>
    </w:rPr>
  </w:style>
  <w:style w:type="paragraph" w:customStyle="1" w:styleId="font4">
    <w:name w:val="font4"/>
    <w:basedOn w:val="a9"/>
    <w:qFormat/>
    <w:pPr>
      <w:widowControl/>
      <w:spacing w:before="100" w:beforeAutospacing="1" w:after="100" w:afterAutospacing="1"/>
      <w:jc w:val="left"/>
    </w:pPr>
    <w:rPr>
      <w:rFonts w:ascii="宋体" w:hAnsi="宋体" w:cs="宋体"/>
      <w:b/>
      <w:bCs/>
      <w:sz w:val="24"/>
      <w:lang w:bidi="ne-NP"/>
    </w:rPr>
  </w:style>
  <w:style w:type="paragraph" w:customStyle="1" w:styleId="4e">
    <w:name w:val="纯文本4"/>
    <w:basedOn w:val="a9"/>
    <w:qFormat/>
    <w:pPr>
      <w:widowControl/>
      <w:adjustRightInd w:val="0"/>
      <w:textAlignment w:val="baseline"/>
    </w:pPr>
    <w:rPr>
      <w:rFonts w:ascii="宋体" w:cs="宋体"/>
      <w:sz w:val="24"/>
      <w:lang w:bidi="ne-NP"/>
    </w:rPr>
  </w:style>
  <w:style w:type="paragraph" w:customStyle="1" w:styleId="1098Char">
    <w:name w:val="样式 正文文本缩进正文文字缩进正文文字缩进1 + 首行缩进:  0.98 厘米 Char"/>
    <w:basedOn w:val="afe"/>
    <w:semiHidden/>
    <w:qFormat/>
    <w:pPr>
      <w:spacing w:line="460" w:lineRule="exact"/>
      <w:ind w:firstLine="556"/>
    </w:pPr>
    <w:rPr>
      <w:rFonts w:ascii="楷体_GB2312" w:eastAsia="楷体_GB2312"/>
      <w:bCs/>
      <w:color w:val="000000"/>
      <w:sz w:val="28"/>
      <w:szCs w:val="28"/>
    </w:rPr>
  </w:style>
  <w:style w:type="paragraph" w:customStyle="1" w:styleId="Char2f0">
    <w:name w:val="Char2"/>
    <w:basedOn w:val="a9"/>
    <w:pPr>
      <w:spacing w:line="360" w:lineRule="auto"/>
      <w:jc w:val="left"/>
    </w:pPr>
    <w:rPr>
      <w:rFonts w:ascii="宋体" w:hAnsi="宋体" w:cs="宋体"/>
      <w:sz w:val="24"/>
    </w:rPr>
  </w:style>
  <w:style w:type="paragraph" w:customStyle="1" w:styleId="CharCharCharCharCharChar1">
    <w:name w:val="Char Char Char Char Char Char1"/>
    <w:basedOn w:val="a9"/>
    <w:qFormat/>
    <w:pPr>
      <w:spacing w:line="360" w:lineRule="auto"/>
    </w:pPr>
    <w:rPr>
      <w:sz w:val="24"/>
    </w:rPr>
  </w:style>
  <w:style w:type="paragraph" w:customStyle="1" w:styleId="3f6">
    <w:name w:val="字元 字元3"/>
    <w:basedOn w:val="a9"/>
    <w:semiHidden/>
    <w:qFormat/>
    <w:pPr>
      <w:widowControl/>
    </w:pPr>
    <w:rPr>
      <w:rFonts w:cs="宋体"/>
      <w:sz w:val="24"/>
      <w:lang w:bidi="ne-NP"/>
    </w:rPr>
  </w:style>
  <w:style w:type="paragraph" w:customStyle="1" w:styleId="xl101">
    <w:name w:val="xl101"/>
    <w:basedOn w:val="a9"/>
    <w:qFormat/>
    <w:pPr>
      <w:widowControl/>
      <w:pBdr>
        <w:bottom w:val="single" w:sz="8" w:space="0" w:color="000000"/>
      </w:pBdr>
      <w:spacing w:before="100" w:beforeAutospacing="1" w:after="100" w:afterAutospacing="1" w:line="360" w:lineRule="auto"/>
      <w:jc w:val="center"/>
      <w:textAlignment w:val="center"/>
    </w:pPr>
    <w:rPr>
      <w:color w:val="FF0000"/>
      <w:sz w:val="18"/>
      <w:szCs w:val="18"/>
    </w:rPr>
  </w:style>
  <w:style w:type="paragraph" w:customStyle="1" w:styleId="484815">
    <w:name w:val="样式 (中文) 黑体 三号 加粗 段前: 48 磅 段后: 48 磅 底端: (单实线 自动设置  1.5 磅 行..."/>
    <w:basedOn w:val="10"/>
    <w:qFormat/>
    <w:pPr>
      <w:pBdr>
        <w:bottom w:val="single" w:sz="12" w:space="1" w:color="auto"/>
      </w:pBdr>
      <w:tabs>
        <w:tab w:val="right" w:leader="dot" w:pos="9652"/>
      </w:tabs>
      <w:spacing w:before="960" w:after="960"/>
    </w:pPr>
    <w:rPr>
      <w:rFonts w:eastAsia="黑体" w:cs="宋体"/>
      <w:b w:val="0"/>
      <w:bCs w:val="0"/>
      <w:caps/>
      <w:sz w:val="32"/>
    </w:rPr>
  </w:style>
  <w:style w:type="paragraph" w:customStyle="1" w:styleId="xl59">
    <w:name w:val="xl59"/>
    <w:basedOn w:val="a9"/>
    <w:qFormat/>
    <w:pPr>
      <w:widowControl/>
      <w:pBdr>
        <w:right w:val="single" w:sz="4" w:space="0" w:color="auto"/>
      </w:pBdr>
      <w:spacing w:before="100" w:beforeAutospacing="1" w:after="100" w:afterAutospacing="1"/>
      <w:jc w:val="left"/>
    </w:pPr>
    <w:rPr>
      <w:rFonts w:ascii="宋体" w:hAnsi="宋体" w:cs="宋体"/>
      <w:sz w:val="18"/>
      <w:szCs w:val="18"/>
      <w:lang w:bidi="ne-NP"/>
    </w:rPr>
  </w:style>
  <w:style w:type="paragraph" w:customStyle="1" w:styleId="xl568">
    <w:name w:val="xl568"/>
    <w:basedOn w:val="a9"/>
    <w:qFormat/>
    <w:pPr>
      <w:widowControl/>
      <w:spacing w:before="100" w:beforeAutospacing="1" w:after="100" w:afterAutospacing="1"/>
      <w:jc w:val="center"/>
    </w:pPr>
    <w:rPr>
      <w:rFonts w:ascii="宋体" w:hAnsi="宋体" w:cs="宋体"/>
      <w:sz w:val="18"/>
      <w:szCs w:val="18"/>
      <w:lang w:bidi="ne-NP"/>
    </w:rPr>
  </w:style>
  <w:style w:type="paragraph" w:customStyle="1" w:styleId="xl54">
    <w:name w:val="xl54"/>
    <w:basedOn w:val="a9"/>
    <w:qFormat/>
    <w:pPr>
      <w:widowControl/>
      <w:pBdr>
        <w:left w:val="single" w:sz="4" w:space="0" w:color="auto"/>
      </w:pBdr>
      <w:shd w:val="clear" w:color="auto" w:fill="FFFF00"/>
      <w:spacing w:before="100" w:beforeAutospacing="1" w:after="100" w:afterAutospacing="1"/>
      <w:jc w:val="center"/>
    </w:pPr>
    <w:rPr>
      <w:rFonts w:ascii="宋体" w:hAnsi="宋体" w:cs="宋体"/>
      <w:sz w:val="18"/>
      <w:szCs w:val="18"/>
      <w:lang w:bidi="ne-NP"/>
    </w:rPr>
  </w:style>
  <w:style w:type="paragraph" w:customStyle="1" w:styleId="xl545">
    <w:name w:val="xl545"/>
    <w:basedOn w:val="a9"/>
    <w:qFormat/>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w:hAnsi="Arial" w:cs="Arial"/>
      <w:lang w:bidi="ne-NP"/>
    </w:rPr>
  </w:style>
  <w:style w:type="paragraph" w:customStyle="1" w:styleId="afffffffffff">
    <w:name w:val="报告表表格文字"/>
    <w:basedOn w:val="a9"/>
    <w:link w:val="Charfffff2"/>
    <w:qFormat/>
    <w:pPr>
      <w:widowControl/>
      <w:adjustRightInd w:val="0"/>
      <w:snapToGrid w:val="0"/>
      <w:spacing w:line="360" w:lineRule="auto"/>
      <w:jc w:val="center"/>
    </w:pPr>
    <w:rPr>
      <w:rFonts w:eastAsia="楷体_GB2312"/>
      <w:sz w:val="18"/>
      <w:szCs w:val="18"/>
    </w:rPr>
  </w:style>
  <w:style w:type="paragraph" w:customStyle="1" w:styleId="1fff6">
    <w:name w:val="表1"/>
    <w:basedOn w:val="a9"/>
    <w:semiHidden/>
    <w:qFormat/>
    <w:pPr>
      <w:adjustRightInd w:val="0"/>
      <w:spacing w:line="0" w:lineRule="atLeast"/>
      <w:jc w:val="center"/>
      <w:textAlignment w:val="baseline"/>
    </w:pPr>
    <w:rPr>
      <w:sz w:val="28"/>
    </w:rPr>
  </w:style>
  <w:style w:type="paragraph" w:customStyle="1" w:styleId="xl189">
    <w:name w:val="xl189"/>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CharChar3Char5">
    <w:name w:val="Char Char3 Char5"/>
    <w:basedOn w:val="a9"/>
    <w:qFormat/>
    <w:pPr>
      <w:spacing w:line="360" w:lineRule="auto"/>
      <w:ind w:firstLineChars="200" w:firstLine="200"/>
    </w:pPr>
    <w:rPr>
      <w:rFonts w:ascii="宋体" w:hAnsi="宋体" w:cs="宋体"/>
      <w:sz w:val="24"/>
    </w:rPr>
  </w:style>
  <w:style w:type="paragraph" w:customStyle="1" w:styleId="CharCharCharCharCharCharChar2">
    <w:name w:val="Char Char Char Char Char Char Char2"/>
    <w:basedOn w:val="a9"/>
    <w:qFormat/>
    <w:pPr>
      <w:widowControl/>
      <w:spacing w:line="360" w:lineRule="auto"/>
      <w:ind w:firstLineChars="200" w:firstLine="200"/>
    </w:pPr>
    <w:rPr>
      <w:rFonts w:cs="宋体"/>
      <w:sz w:val="24"/>
      <w:lang w:bidi="ne-NP"/>
    </w:rPr>
  </w:style>
  <w:style w:type="paragraph" w:customStyle="1" w:styleId="Char2CharCharChar6">
    <w:name w:val="Char2 Char Char Char6"/>
    <w:basedOn w:val="3"/>
    <w:qFormat/>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CharChar1Char5">
    <w:name w:val="Char Char1 Char5"/>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1CharCharChar">
    <w:name w:val="Char Char Char Char Char Char Char1 Char Char Char"/>
    <w:basedOn w:val="a9"/>
    <w:qFormat/>
    <w:pPr>
      <w:widowControl/>
      <w:spacing w:line="360" w:lineRule="auto"/>
      <w:jc w:val="left"/>
    </w:pPr>
    <w:rPr>
      <w:rFonts w:ascii="宋体" w:hAnsi="宋体" w:cs="宋体"/>
      <w:sz w:val="24"/>
      <w:szCs w:val="21"/>
      <w:lang w:bidi="ne-NP"/>
    </w:rPr>
  </w:style>
  <w:style w:type="paragraph" w:customStyle="1" w:styleId="style2">
    <w:name w:val="style2"/>
    <w:basedOn w:val="a9"/>
    <w:qFormat/>
    <w:pPr>
      <w:widowControl/>
      <w:spacing w:before="100" w:beforeAutospacing="1" w:after="100" w:afterAutospacing="1"/>
      <w:jc w:val="left"/>
    </w:pPr>
    <w:rPr>
      <w:rFonts w:ascii="宋体" w:hAnsi="宋体"/>
      <w:sz w:val="24"/>
      <w:szCs w:val="28"/>
    </w:rPr>
  </w:style>
  <w:style w:type="paragraph" w:customStyle="1" w:styleId="afffffffffff0">
    <w:name w:val="本文１"/>
    <w:basedOn w:val="a9"/>
    <w:qFormat/>
    <w:pPr>
      <w:spacing w:line="360" w:lineRule="auto"/>
    </w:pPr>
    <w:rPr>
      <w:rFonts w:ascii="Century" w:eastAsia="MS Mincho" w:hAnsi="Century"/>
      <w:lang w:eastAsia="ja-JP"/>
    </w:rPr>
  </w:style>
  <w:style w:type="paragraph" w:customStyle="1" w:styleId="4f">
    <w:name w:val="4"/>
    <w:basedOn w:val="a9"/>
    <w:next w:val="36"/>
    <w:qFormat/>
    <w:pPr>
      <w:spacing w:after="80" w:line="480" w:lineRule="atLeast"/>
      <w:ind w:firstLine="560"/>
    </w:pPr>
    <w:rPr>
      <w:sz w:val="24"/>
    </w:rPr>
  </w:style>
  <w:style w:type="paragraph" w:customStyle="1" w:styleId="TabHead">
    <w:name w:val="TabHead"/>
    <w:basedOn w:val="a9"/>
    <w:qFormat/>
    <w:pPr>
      <w:spacing w:line="360" w:lineRule="auto"/>
      <w:ind w:firstLineChars="200" w:firstLine="480"/>
      <w:jc w:val="center"/>
    </w:pPr>
    <w:rPr>
      <w:sz w:val="24"/>
    </w:rPr>
  </w:style>
  <w:style w:type="paragraph" w:customStyle="1" w:styleId="xl115">
    <w:name w:val="xl115"/>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等线" w:eastAsia="等线" w:hAnsi="宋体" w:cs="宋体"/>
      <w:color w:val="FF0000"/>
      <w:sz w:val="24"/>
    </w:rPr>
  </w:style>
  <w:style w:type="paragraph" w:customStyle="1" w:styleId="afffffffffff1">
    <w:name w:val="表格文字两端对齐"/>
    <w:basedOn w:val="a9"/>
    <w:qFormat/>
    <w:pPr>
      <w:spacing w:line="300" w:lineRule="auto"/>
    </w:pPr>
  </w:style>
  <w:style w:type="paragraph" w:customStyle="1" w:styleId="afffffffffff2">
    <w:name w:val="列表标题"/>
    <w:basedOn w:val="a9"/>
    <w:next w:val="a9"/>
    <w:qFormat/>
    <w:pPr>
      <w:widowControl/>
      <w:jc w:val="center"/>
    </w:pPr>
    <w:rPr>
      <w:rFonts w:cs="宋体"/>
      <w:sz w:val="24"/>
      <w:lang w:bidi="ne-NP"/>
    </w:rPr>
  </w:style>
  <w:style w:type="paragraph" w:customStyle="1" w:styleId="Char3CharCharCharCharCharChar">
    <w:name w:val="Char3 Char Char Char Char Char Char"/>
    <w:basedOn w:val="a9"/>
    <w:qFormat/>
    <w:pPr>
      <w:spacing w:line="360" w:lineRule="auto"/>
      <w:ind w:firstLineChars="200" w:firstLine="200"/>
    </w:pPr>
    <w:rPr>
      <w:rFonts w:ascii="宋体" w:hAnsi="宋体" w:cs="宋体"/>
      <w:sz w:val="24"/>
    </w:rPr>
  </w:style>
  <w:style w:type="paragraph" w:customStyle="1" w:styleId="afffffffffff3">
    <w:name w:val="图片文字"/>
    <w:basedOn w:val="a9"/>
    <w:qFormat/>
    <w:pPr>
      <w:jc w:val="center"/>
    </w:pPr>
  </w:style>
  <w:style w:type="paragraph" w:customStyle="1" w:styleId="afffffffffff4">
    <w:name w:val="三级条标题"/>
    <w:basedOn w:val="afffffffff8"/>
    <w:next w:val="a9"/>
    <w:qFormat/>
    <w:pPr>
      <w:tabs>
        <w:tab w:val="clear" w:pos="2160"/>
        <w:tab w:val="left" w:pos="2580"/>
      </w:tabs>
      <w:ind w:left="2580"/>
      <w:outlineLvl w:val="4"/>
    </w:pPr>
  </w:style>
  <w:style w:type="paragraph" w:customStyle="1" w:styleId="xl92">
    <w:name w:val="xl92"/>
    <w:basedOn w:val="a9"/>
    <w:qFormat/>
    <w:pPr>
      <w:widowControl/>
      <w:pBdr>
        <w:lef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harCharf3">
    <w:name w:val="君邦正文 Char Char"/>
    <w:basedOn w:val="a9"/>
    <w:qFormat/>
    <w:pPr>
      <w:spacing w:after="60" w:line="360" w:lineRule="auto"/>
      <w:ind w:firstLineChars="200" w:firstLine="200"/>
    </w:pPr>
    <w:rPr>
      <w:sz w:val="24"/>
    </w:rPr>
  </w:style>
  <w:style w:type="paragraph" w:customStyle="1" w:styleId="1fff7">
    <w:name w:val="正文首行缩进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0">
    <w:name w:val="样式0"/>
    <w:basedOn w:val="aff7"/>
    <w:next w:val="aff7"/>
    <w:qFormat/>
    <w:pPr>
      <w:pBdr>
        <w:bottom w:val="thickThinSmallGap" w:sz="12" w:space="1" w:color="auto"/>
      </w:pBdr>
      <w:spacing w:line="360" w:lineRule="auto"/>
    </w:pPr>
    <w:rPr>
      <w:szCs w:val="20"/>
    </w:rPr>
  </w:style>
  <w:style w:type="paragraph" w:customStyle="1" w:styleId="CM94">
    <w:name w:val="CM94"/>
    <w:basedOn w:val="Default"/>
    <w:next w:val="Default"/>
    <w:qFormat/>
    <w:pPr>
      <w:spacing w:after="358" w:line="360" w:lineRule="auto"/>
      <w:jc w:val="both"/>
    </w:pPr>
    <w:rPr>
      <w:rFonts w:ascii="楷体_GB2312" w:eastAsia="楷体_GB2312" w:cs="Times New Roman"/>
      <w:color w:val="auto"/>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Title1">
    <w:name w:val="Title 1"/>
    <w:basedOn w:val="1"/>
    <w:next w:val="a9"/>
    <w:qFormat/>
    <w:pPr>
      <w:widowControl/>
      <w:numPr>
        <w:numId w:val="0"/>
      </w:numPr>
      <w:spacing w:before="480" w:after="360" w:line="240" w:lineRule="auto"/>
      <w:ind w:left="432" w:hanging="432"/>
      <w:jc w:val="center"/>
    </w:pPr>
    <w:rPr>
      <w:rFonts w:cs="Arial"/>
      <w:kern w:val="0"/>
    </w:rPr>
  </w:style>
  <w:style w:type="paragraph" w:customStyle="1" w:styleId="xl551">
    <w:name w:val="xl55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afffffffffff5">
    <w:name w:val="常用文本"/>
    <w:basedOn w:val="a9"/>
    <w:qFormat/>
    <w:pPr>
      <w:widowControl/>
      <w:spacing w:after="120"/>
      <w:ind w:firstLineChars="200" w:firstLine="200"/>
    </w:pPr>
    <w:rPr>
      <w:rFonts w:ascii="Arial" w:hAnsi="Arial" w:cs="宋体"/>
      <w:sz w:val="24"/>
      <w:lang w:bidi="ne-NP"/>
    </w:rPr>
  </w:style>
  <w:style w:type="paragraph" w:customStyle="1" w:styleId="CM5">
    <w:name w:val="CM5"/>
    <w:basedOn w:val="a9"/>
    <w:next w:val="a9"/>
    <w:qFormat/>
    <w:pPr>
      <w:autoSpaceDE w:val="0"/>
      <w:autoSpaceDN w:val="0"/>
      <w:adjustRightInd w:val="0"/>
      <w:spacing w:line="480" w:lineRule="atLeast"/>
      <w:jc w:val="left"/>
    </w:pPr>
    <w:rPr>
      <w:rFonts w:ascii="黑体" w:eastAsia="黑体"/>
      <w:sz w:val="24"/>
    </w:rPr>
  </w:style>
  <w:style w:type="paragraph" w:customStyle="1" w:styleId="xl562">
    <w:name w:val="xl56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afffffffffff6">
    <w:name w:val="正文大"/>
    <w:basedOn w:val="a9"/>
    <w:qFormat/>
    <w:pPr>
      <w:widowControl/>
      <w:spacing w:line="480" w:lineRule="auto"/>
      <w:ind w:firstLine="539"/>
    </w:pPr>
    <w:rPr>
      <w:rFonts w:cs="宋体"/>
      <w:b/>
      <w:sz w:val="24"/>
      <w:lang w:bidi="ne-NP"/>
    </w:rPr>
  </w:style>
  <w:style w:type="paragraph" w:customStyle="1" w:styleId="Charfffff3">
    <w:name w:val="列表项目 Char"/>
    <w:basedOn w:val="a9"/>
    <w:qFormat/>
    <w:pPr>
      <w:tabs>
        <w:tab w:val="left" w:pos="1080"/>
      </w:tabs>
      <w:spacing w:line="280" w:lineRule="atLeast"/>
      <w:ind w:left="567" w:hanging="567"/>
    </w:pPr>
  </w:style>
  <w:style w:type="paragraph" w:customStyle="1" w:styleId="xl91">
    <w:name w:val="xl91"/>
    <w:basedOn w:val="a9"/>
    <w:qFormat/>
    <w:pPr>
      <w:widowControl/>
      <w:pBdr>
        <w:top w:val="single" w:sz="4" w:space="0" w:color="auto"/>
        <w:lef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a">
    <w:name w:val="前言、引言标题"/>
    <w:next w:val="a9"/>
    <w:qFormat/>
    <w:pPr>
      <w:numPr>
        <w:numId w:val="4"/>
      </w:numPr>
      <w:shd w:val="clear" w:color="FFFFFF" w:fill="FFFFFF"/>
      <w:tabs>
        <w:tab w:val="left" w:pos="903"/>
      </w:tabs>
      <w:spacing w:before="640" w:after="560" w:line="360" w:lineRule="auto"/>
      <w:ind w:left="903" w:hanging="315"/>
      <w:jc w:val="center"/>
      <w:outlineLvl w:val="0"/>
    </w:pPr>
    <w:rPr>
      <w:rFonts w:ascii="黑体" w:eastAsia="黑体"/>
      <w:sz w:val="32"/>
    </w:rPr>
  </w:style>
  <w:style w:type="paragraph" w:customStyle="1" w:styleId="xl79">
    <w:name w:val="xl79"/>
    <w:basedOn w:val="a9"/>
    <w:qFormat/>
    <w:pPr>
      <w:widowControl/>
      <w:pBdr>
        <w:top w:val="single" w:sz="12" w:space="0" w:color="auto"/>
        <w:left w:val="single" w:sz="8"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49">
    <w:name w:val="xl49"/>
    <w:basedOn w:val="a9"/>
    <w:qFormat/>
    <w:pPr>
      <w:widowControl/>
      <w:pBdr>
        <w:left w:val="single" w:sz="4" w:space="0" w:color="auto"/>
        <w:bottom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afffffffffff7">
    <w:name w:val="表名称"/>
    <w:basedOn w:val="a9"/>
    <w:qFormat/>
    <w:pPr>
      <w:widowControl/>
      <w:suppressLineNumbers/>
      <w:suppressAutoHyphens/>
      <w:topLinePunct/>
      <w:adjustRightInd w:val="0"/>
      <w:snapToGrid w:val="0"/>
      <w:spacing w:beforeLines="50" w:afterLines="30"/>
      <w:ind w:firstLineChars="200" w:firstLine="480"/>
    </w:pPr>
    <w:rPr>
      <w:rFonts w:ascii="黑体" w:eastAsia="黑体" w:cs="宋体"/>
      <w:sz w:val="24"/>
      <w:lang w:bidi="ne-NP"/>
    </w:rPr>
  </w:style>
  <w:style w:type="paragraph" w:customStyle="1" w:styleId="afffffffffff8">
    <w:name w:val="图表"/>
    <w:basedOn w:val="affb"/>
    <w:qFormat/>
    <w:pPr>
      <w:spacing w:before="240" w:line="360" w:lineRule="auto"/>
      <w:ind w:left="0" w:firstLine="0"/>
      <w:jc w:val="center"/>
    </w:pPr>
    <w:rPr>
      <w:rFonts w:ascii="宋体"/>
      <w:color w:val="FF0000"/>
      <w:sz w:val="28"/>
      <w:szCs w:val="28"/>
    </w:rPr>
  </w:style>
  <w:style w:type="paragraph" w:customStyle="1" w:styleId="CharCharChar1CharCharCharCharCharCharCharCharCharChar">
    <w:name w:val="Char Char Char1 Char Char Char Char Char Char Char Char Char Char"/>
    <w:basedOn w:val="a9"/>
    <w:qFormat/>
  </w:style>
  <w:style w:type="paragraph" w:customStyle="1" w:styleId="font8">
    <w:name w:val="font8"/>
    <w:basedOn w:val="a9"/>
    <w:qFormat/>
    <w:pPr>
      <w:widowControl/>
      <w:spacing w:before="100" w:beforeAutospacing="1" w:after="100" w:afterAutospacing="1"/>
      <w:jc w:val="left"/>
    </w:pPr>
    <w:rPr>
      <w:rFonts w:ascii="宋体" w:hAnsi="宋体" w:cs="Arial Unicode MS" w:hint="eastAsia"/>
      <w:sz w:val="16"/>
      <w:szCs w:val="16"/>
    </w:rPr>
  </w:style>
  <w:style w:type="paragraph" w:customStyle="1" w:styleId="CharCharCharCharCharCharCharCharCharCharCharCharChar2">
    <w:name w:val="Char Char Char Char Char Char Char Char Char Char Char Char Char2"/>
    <w:basedOn w:val="a9"/>
    <w:qFormat/>
    <w:pPr>
      <w:widowControl/>
      <w:adjustRightInd w:val="0"/>
      <w:spacing w:line="360" w:lineRule="auto"/>
    </w:pPr>
    <w:rPr>
      <w:rFonts w:cs="宋体"/>
      <w:sz w:val="24"/>
      <w:lang w:bidi="ne-NP"/>
    </w:rPr>
  </w:style>
  <w:style w:type="paragraph" w:customStyle="1" w:styleId="afffffffffff9">
    <w:name w:val="图文框"/>
    <w:basedOn w:val="a9"/>
    <w:qFormat/>
    <w:pPr>
      <w:framePr w:hSpace="180" w:wrap="around" w:vAnchor="text" w:hAnchor="margin" w:y="207"/>
      <w:jc w:val="center"/>
    </w:pPr>
    <w:rPr>
      <w:rFonts w:ascii="宋体" w:hAnsi="宋体"/>
      <w:color w:val="000000"/>
      <w:sz w:val="18"/>
      <w:szCs w:val="18"/>
    </w:rPr>
  </w:style>
  <w:style w:type="paragraph" w:customStyle="1" w:styleId="afffffffffffa">
    <w:name w:val="四级条标题"/>
    <w:basedOn w:val="afffffffffff4"/>
    <w:next w:val="a9"/>
    <w:qFormat/>
    <w:pPr>
      <w:tabs>
        <w:tab w:val="clear" w:pos="2580"/>
        <w:tab w:val="left" w:pos="3000"/>
      </w:tabs>
      <w:ind w:left="3000"/>
      <w:outlineLvl w:val="5"/>
    </w:pPr>
  </w:style>
  <w:style w:type="paragraph" w:customStyle="1" w:styleId="afffffffffffb">
    <w:name w:val="工艺题目"/>
    <w:basedOn w:val="a9"/>
    <w:semiHidden/>
    <w:qFormat/>
    <w:pPr>
      <w:adjustRightInd w:val="0"/>
      <w:snapToGrid w:val="0"/>
      <w:spacing w:line="360" w:lineRule="auto"/>
    </w:pPr>
    <w:rPr>
      <w:b/>
      <w:sz w:val="28"/>
    </w:rPr>
  </w:style>
  <w:style w:type="paragraph" w:customStyle="1" w:styleId="xl60">
    <w:name w:val="xl60"/>
    <w:basedOn w:val="a9"/>
    <w:qFormat/>
    <w:pPr>
      <w:widowControl/>
      <w:pBdr>
        <w:top w:val="single" w:sz="12" w:space="0" w:color="auto"/>
        <w:bottom w:val="single" w:sz="8" w:space="0" w:color="auto"/>
      </w:pBdr>
      <w:spacing w:before="100" w:beforeAutospacing="1" w:after="100" w:afterAutospacing="1"/>
      <w:jc w:val="center"/>
    </w:pPr>
    <w:rPr>
      <w:rFonts w:cs="宋体"/>
      <w:sz w:val="18"/>
      <w:szCs w:val="18"/>
      <w:lang w:bidi="ne-NP"/>
    </w:rPr>
  </w:style>
  <w:style w:type="paragraph" w:customStyle="1" w:styleId="2fb">
    <w:name w:val="引用2"/>
    <w:basedOn w:val="a9"/>
    <w:next w:val="a9"/>
    <w:qFormat/>
    <w:pPr>
      <w:widowControl/>
      <w:spacing w:line="480" w:lineRule="exact"/>
      <w:ind w:firstLineChars="200" w:firstLine="200"/>
    </w:pPr>
    <w:rPr>
      <w:rFonts w:eastAsia="黑体"/>
      <w:i/>
      <w:iCs/>
      <w:color w:val="000000"/>
    </w:rPr>
  </w:style>
  <w:style w:type="paragraph" w:customStyle="1" w:styleId="405">
    <w:name w:val="样式 标题 4 + 段前: 0.5 行"/>
    <w:basedOn w:val="4"/>
    <w:qFormat/>
    <w:pPr>
      <w:numPr>
        <w:ilvl w:val="0"/>
        <w:numId w:val="0"/>
      </w:numPr>
      <w:tabs>
        <w:tab w:val="left" w:pos="0"/>
        <w:tab w:val="left" w:pos="480"/>
        <w:tab w:val="left" w:pos="862"/>
        <w:tab w:val="left" w:pos="1567"/>
        <w:tab w:val="left" w:pos="1680"/>
      </w:tabs>
      <w:adjustRightInd w:val="0"/>
      <w:snapToGrid w:val="0"/>
      <w:spacing w:beforeLines="50" w:after="0"/>
      <w:ind w:left="1680" w:firstLineChars="200" w:hanging="420"/>
    </w:pPr>
    <w:rPr>
      <w:rFonts w:eastAsia="黑体" w:cs="宋体"/>
      <w:b w:val="0"/>
      <w:lang w:bidi="ne-NP"/>
    </w:rPr>
  </w:style>
  <w:style w:type="paragraph" w:customStyle="1" w:styleId="xl83">
    <w:name w:val="xl83"/>
    <w:basedOn w:val="a9"/>
    <w:qFormat/>
    <w:pPr>
      <w:widowControl/>
      <w:pBdr>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4f0">
    <w:name w:val="标题4"/>
    <w:basedOn w:val="a9"/>
    <w:next w:val="affff7"/>
    <w:uiPriority w:val="99"/>
    <w:qFormat/>
    <w:pPr>
      <w:tabs>
        <w:tab w:val="left" w:pos="851"/>
      </w:tabs>
      <w:spacing w:after="60" w:line="360" w:lineRule="auto"/>
      <w:ind w:left="851" w:hanging="851"/>
      <w:outlineLvl w:val="3"/>
    </w:pPr>
    <w:rPr>
      <w:b/>
      <w:sz w:val="24"/>
    </w:rPr>
  </w:style>
  <w:style w:type="paragraph" w:customStyle="1" w:styleId="xl552">
    <w:name w:val="xl55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xl559">
    <w:name w:val="xl55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141522">
    <w:name w:val="样式 样式 样式 (符号) 宋体 14 磅 行距: 1.5 倍行距 首行缩进:  2 字符 + 首行缩进:  2 字符 + 首行..."/>
    <w:basedOn w:val="a9"/>
    <w:qFormat/>
    <w:pPr>
      <w:widowControl/>
      <w:spacing w:line="400" w:lineRule="exact"/>
      <w:ind w:firstLineChars="200" w:firstLine="200"/>
    </w:pPr>
    <w:rPr>
      <w:rFonts w:hAnsi="宋体" w:cs="宋体"/>
      <w:sz w:val="24"/>
      <w:lang w:bidi="ne-NP"/>
    </w:rPr>
  </w:style>
  <w:style w:type="paragraph" w:customStyle="1" w:styleId="afffffffffffc">
    <w:name w:val="可用正文"/>
    <w:basedOn w:val="a9"/>
    <w:qFormat/>
    <w:pPr>
      <w:spacing w:line="360" w:lineRule="auto"/>
      <w:ind w:firstLineChars="200" w:firstLine="480"/>
    </w:pPr>
    <w:rPr>
      <w:sz w:val="24"/>
    </w:rPr>
  </w:style>
  <w:style w:type="paragraph" w:customStyle="1" w:styleId="xl106">
    <w:name w:val="xl106"/>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szCs w:val="21"/>
    </w:rPr>
  </w:style>
  <w:style w:type="paragraph" w:customStyle="1" w:styleId="000">
    <w:name w:val="正文00节能"/>
    <w:basedOn w:val="a9"/>
    <w:qFormat/>
    <w:pPr>
      <w:widowControl/>
      <w:spacing w:line="400" w:lineRule="exact"/>
      <w:ind w:firstLineChars="200" w:firstLine="480"/>
    </w:pPr>
    <w:rPr>
      <w:rFonts w:cs="宋体"/>
      <w:sz w:val="24"/>
      <w:lang w:bidi="ne-NP"/>
    </w:rPr>
  </w:style>
  <w:style w:type="paragraph" w:customStyle="1" w:styleId="1fff8">
    <w:name w:val="正文 1"/>
    <w:basedOn w:val="a9"/>
    <w:semiHidden/>
    <w:qFormat/>
    <w:pPr>
      <w:adjustRightInd w:val="0"/>
      <w:spacing w:line="480" w:lineRule="exact"/>
      <w:ind w:firstLine="567"/>
      <w:textAlignment w:val="baseline"/>
    </w:pPr>
    <w:rPr>
      <w:sz w:val="28"/>
    </w:rPr>
  </w:style>
  <w:style w:type="paragraph" w:customStyle="1" w:styleId="afffffffffffd">
    <w:name w:val="表格文字小四"/>
    <w:basedOn w:val="a9"/>
    <w:semiHidden/>
    <w:qFormat/>
    <w:pPr>
      <w:jc w:val="center"/>
    </w:pPr>
    <w:rPr>
      <w:rFonts w:ascii="Times" w:hAnsi="Times"/>
      <w:kern w:val="24"/>
      <w:sz w:val="24"/>
    </w:rPr>
  </w:style>
  <w:style w:type="paragraph" w:customStyle="1" w:styleId="afffffffffffe">
    <w:name w:val="表中正文"/>
    <w:basedOn w:val="a9"/>
    <w:qFormat/>
    <w:pPr>
      <w:widowControl/>
      <w:autoSpaceDE w:val="0"/>
      <w:autoSpaceDN w:val="0"/>
      <w:adjustRightInd w:val="0"/>
      <w:snapToGrid w:val="0"/>
      <w:spacing w:line="240" w:lineRule="atLeast"/>
    </w:pPr>
    <w:rPr>
      <w:rFonts w:ascii="宋体" w:cs="宋体"/>
      <w:sz w:val="24"/>
      <w:lang w:bidi="ne-NP"/>
    </w:rPr>
  </w:style>
  <w:style w:type="paragraph" w:customStyle="1" w:styleId="affffffffffff">
    <w:name w:val="表内式样"/>
    <w:qFormat/>
    <w:pPr>
      <w:widowControl w:val="0"/>
      <w:kinsoku w:val="0"/>
      <w:adjustRightInd w:val="0"/>
      <w:spacing w:line="360" w:lineRule="atLeast"/>
      <w:jc w:val="both"/>
      <w:textAlignment w:val="baseline"/>
    </w:pPr>
    <w:rPr>
      <w:rFonts w:ascii="宋体"/>
      <w:snapToGrid w:val="0"/>
      <w:sz w:val="21"/>
    </w:rPr>
  </w:style>
  <w:style w:type="paragraph" w:customStyle="1" w:styleId="affffffffffff0">
    <w:name w:val="文档二级标题"/>
    <w:basedOn w:val="a9"/>
    <w:qFormat/>
    <w:rPr>
      <w:rFonts w:ascii="楷体_GB2312" w:eastAsia="楷体_GB2312" w:hAnsi="华文仿宋"/>
      <w:sz w:val="28"/>
    </w:rPr>
  </w:style>
  <w:style w:type="paragraph" w:customStyle="1" w:styleId="Char33">
    <w:name w:val="Char33"/>
    <w:basedOn w:val="a9"/>
    <w:qFormat/>
    <w:pPr>
      <w:widowControl/>
      <w:spacing w:line="360" w:lineRule="auto"/>
      <w:ind w:firstLineChars="200" w:firstLine="200"/>
    </w:pPr>
    <w:rPr>
      <w:rFonts w:cs="宋体"/>
      <w:sz w:val="24"/>
      <w:lang w:bidi="ne-NP"/>
    </w:rPr>
  </w:style>
  <w:style w:type="paragraph" w:customStyle="1" w:styleId="CharCharCharChar">
    <w:name w:val="Char Char Char Char"/>
    <w:basedOn w:val="a9"/>
    <w:qFormat/>
    <w:pPr>
      <w:spacing w:beforeLines="20" w:before="20" w:line="440" w:lineRule="atLeast"/>
      <w:ind w:firstLineChars="200" w:firstLine="200"/>
    </w:pPr>
    <w:rPr>
      <w:sz w:val="24"/>
    </w:rPr>
  </w:style>
  <w:style w:type="paragraph" w:customStyle="1" w:styleId="1fff9">
    <w:name w:val="内容样式1"/>
    <w:basedOn w:val="a9"/>
    <w:qFormat/>
    <w:pPr>
      <w:adjustRightInd w:val="0"/>
      <w:snapToGrid w:val="0"/>
      <w:spacing w:line="360" w:lineRule="auto"/>
      <w:ind w:firstLineChars="200" w:firstLine="560"/>
    </w:pPr>
    <w:rPr>
      <w:rFonts w:ascii="宋体" w:hAnsi="宋体"/>
      <w:sz w:val="28"/>
    </w:rPr>
  </w:style>
  <w:style w:type="paragraph" w:customStyle="1" w:styleId="xl24">
    <w:name w:val="xl24"/>
    <w:basedOn w:val="a9"/>
    <w:qFormat/>
    <w:pPr>
      <w:widowControl/>
      <w:spacing w:before="100" w:beforeAutospacing="1" w:after="100" w:afterAutospacing="1"/>
      <w:jc w:val="left"/>
    </w:pPr>
    <w:rPr>
      <w:rFonts w:eastAsia="Arial Unicode MS"/>
      <w:sz w:val="24"/>
    </w:rPr>
  </w:style>
  <w:style w:type="paragraph" w:customStyle="1" w:styleId="Char110">
    <w:name w:val="Char11"/>
    <w:basedOn w:val="a9"/>
    <w:qFormat/>
    <w:pPr>
      <w:spacing w:line="360" w:lineRule="auto"/>
    </w:pPr>
  </w:style>
  <w:style w:type="paragraph" w:customStyle="1" w:styleId="1CharCharChar1Char">
    <w:name w:val="样式 正文1 Char Char + 字距调整七号 Char1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Char41">
    <w:name w:val="Char41"/>
    <w:basedOn w:val="a9"/>
    <w:qFormat/>
    <w:pPr>
      <w:spacing w:line="360" w:lineRule="auto"/>
      <w:ind w:firstLineChars="200" w:firstLine="200"/>
    </w:pPr>
    <w:rPr>
      <w:rFonts w:ascii="宋体" w:hAnsi="宋体" w:cs="宋体"/>
      <w:sz w:val="24"/>
    </w:rPr>
  </w:style>
  <w:style w:type="paragraph" w:customStyle="1" w:styleId="affffffffffff1">
    <w:name w:val="模板"/>
    <w:basedOn w:val="a9"/>
    <w:next w:val="a9"/>
    <w:semiHidden/>
    <w:qFormat/>
    <w:pPr>
      <w:spacing w:line="360" w:lineRule="auto"/>
      <w:ind w:left="420" w:firstLine="200"/>
    </w:pPr>
    <w:rPr>
      <w:rFonts w:ascii="宋体" w:hAnsi="宋体" w:cs="宋体"/>
    </w:rPr>
  </w:style>
  <w:style w:type="paragraph" w:customStyle="1" w:styleId="CM29">
    <w:name w:val="CM29"/>
    <w:basedOn w:val="Default"/>
    <w:next w:val="Default"/>
    <w:qFormat/>
    <w:rPr>
      <w:rFonts w:ascii="宋体" w:eastAsia="宋体" w:cs="Times New Roman"/>
      <w:color w:val="auto"/>
    </w:rPr>
  </w:style>
  <w:style w:type="paragraph" w:customStyle="1" w:styleId="affffffffffff2">
    <w:name w:val="表格文字左"/>
    <w:basedOn w:val="affffffffffff3"/>
    <w:semiHidden/>
    <w:qFormat/>
    <w:pPr>
      <w:ind w:rightChars="0" w:right="0"/>
      <w:jc w:val="left"/>
    </w:pPr>
    <w:rPr>
      <w:color w:val="000000"/>
    </w:rPr>
  </w:style>
  <w:style w:type="paragraph" w:customStyle="1" w:styleId="affffffffffff3">
    <w:name w:val="表格文字居中"/>
    <w:basedOn w:val="a9"/>
    <w:qFormat/>
    <w:pPr>
      <w:widowControl/>
      <w:adjustRightInd w:val="0"/>
      <w:ind w:rightChars="-11" w:right="-31"/>
      <w:jc w:val="center"/>
    </w:pPr>
    <w:rPr>
      <w:rFonts w:ascii="宋体" w:hAnsi="宋体"/>
      <w:sz w:val="24"/>
    </w:rPr>
  </w:style>
  <w:style w:type="paragraph" w:customStyle="1" w:styleId="CharChar2Char">
    <w:name w:val="Char Char2 Char"/>
    <w:basedOn w:val="a9"/>
    <w:pPr>
      <w:spacing w:line="360" w:lineRule="auto"/>
      <w:ind w:firstLineChars="200" w:firstLine="200"/>
    </w:pPr>
    <w:rPr>
      <w:rFonts w:ascii="宋体" w:hAnsi="宋体" w:cs="宋体"/>
      <w:sz w:val="24"/>
    </w:rPr>
  </w:style>
  <w:style w:type="paragraph" w:customStyle="1" w:styleId="xl61">
    <w:name w:val="xl61"/>
    <w:basedOn w:val="a9"/>
    <w:qFormat/>
    <w:pPr>
      <w:widowControl/>
      <w:pBdr>
        <w:top w:val="single" w:sz="8" w:space="0" w:color="auto"/>
        <w:bottom w:val="single" w:sz="8" w:space="0" w:color="auto"/>
      </w:pBdr>
      <w:spacing w:before="100" w:beforeAutospacing="1" w:after="100" w:afterAutospacing="1"/>
      <w:jc w:val="center"/>
    </w:pPr>
    <w:rPr>
      <w:rFonts w:cs="宋体"/>
      <w:sz w:val="18"/>
      <w:szCs w:val="18"/>
      <w:lang w:bidi="ne-NP"/>
    </w:rPr>
  </w:style>
  <w:style w:type="paragraph" w:customStyle="1" w:styleId="pic-info">
    <w:name w:val="pic-info"/>
    <w:basedOn w:val="a9"/>
    <w:qFormat/>
    <w:pPr>
      <w:widowControl/>
      <w:spacing w:before="100" w:beforeAutospacing="1" w:after="100" w:afterAutospacing="1" w:line="360" w:lineRule="auto"/>
      <w:jc w:val="left"/>
    </w:pPr>
    <w:rPr>
      <w:rFonts w:ascii="宋体" w:hAnsi="宋体" w:cs="宋体"/>
      <w:sz w:val="24"/>
    </w:rPr>
  </w:style>
  <w:style w:type="paragraph" w:customStyle="1" w:styleId="04">
    <w:name w:val="君邦正文04"/>
    <w:basedOn w:val="a9"/>
    <w:qFormat/>
    <w:pPr>
      <w:spacing w:after="60" w:line="360" w:lineRule="auto"/>
      <w:ind w:firstLineChars="200" w:firstLine="480"/>
      <w:jc w:val="left"/>
    </w:pPr>
    <w:rPr>
      <w:rFonts w:ascii="宋体" w:eastAsia="Times New Roman" w:hAnsi="宋体"/>
      <w:sz w:val="24"/>
    </w:rPr>
  </w:style>
  <w:style w:type="paragraph" w:customStyle="1" w:styleId="2fc">
    <w:name w:val="字元 字元2"/>
    <w:basedOn w:val="a9"/>
    <w:semiHidden/>
    <w:qFormat/>
    <w:pPr>
      <w:widowControl/>
    </w:pPr>
    <w:rPr>
      <w:rFonts w:cs="宋体"/>
      <w:sz w:val="24"/>
      <w:lang w:bidi="ne-NP"/>
    </w:rPr>
  </w:style>
  <w:style w:type="paragraph" w:customStyle="1" w:styleId="CharCharChar1CharCharChar1">
    <w:name w:val="Char Char Char1 Char Char Char1"/>
    <w:basedOn w:val="a9"/>
    <w:qFormat/>
    <w:pPr>
      <w:spacing w:line="360" w:lineRule="auto"/>
      <w:ind w:firstLineChars="200" w:firstLine="200"/>
    </w:pPr>
    <w:rPr>
      <w:rFonts w:ascii="宋体" w:hAnsi="宋体" w:cs="宋体"/>
      <w:sz w:val="24"/>
    </w:rPr>
  </w:style>
  <w:style w:type="paragraph" w:customStyle="1" w:styleId="320">
    <w:name w:val="样式 标题 3 + 首行缩进:  2 字符"/>
    <w:basedOn w:val="3"/>
    <w:next w:val="a9"/>
    <w:qFormat/>
    <w:pPr>
      <w:keepNext/>
      <w:keepLines/>
      <w:numPr>
        <w:ilvl w:val="0"/>
        <w:numId w:val="0"/>
      </w:numPr>
      <w:tabs>
        <w:tab w:val="clear" w:pos="720"/>
        <w:tab w:val="left" w:pos="731"/>
        <w:tab w:val="left" w:pos="862"/>
        <w:tab w:val="left" w:pos="1567"/>
      </w:tabs>
      <w:snapToGrid/>
      <w:spacing w:beforeLines="50" w:afterLines="50" w:line="240" w:lineRule="auto"/>
      <w:ind w:leftChars="1" w:left="14"/>
    </w:pPr>
    <w:rPr>
      <w:rFonts w:ascii="仿宋_GB2312" w:eastAsia="仿宋_GB2312" w:cs="宋体"/>
      <w:b w:val="0"/>
      <w:bCs/>
      <w:color w:val="000000"/>
      <w:sz w:val="32"/>
      <w:szCs w:val="24"/>
    </w:rPr>
  </w:style>
  <w:style w:type="paragraph" w:customStyle="1" w:styleId="Char2CharCharChar2">
    <w:name w:val="Char2 Char Char Char2"/>
    <w:basedOn w:val="3"/>
    <w:qFormat/>
    <w:pPr>
      <w:keepNext/>
      <w:keepLines/>
      <w:widowControl/>
      <w:numPr>
        <w:ilvl w:val="0"/>
        <w:numId w:val="0"/>
      </w:numPr>
      <w:tabs>
        <w:tab w:val="left" w:pos="0"/>
        <w:tab w:val="left" w:pos="360"/>
        <w:tab w:val="left" w:pos="862"/>
        <w:tab w:val="left" w:pos="900"/>
        <w:tab w:val="left" w:pos="1567"/>
      </w:tabs>
      <w:adjustRightInd w:val="0"/>
      <w:spacing w:before="120" w:after="120"/>
      <w:ind w:leftChars="-12" w:left="542" w:firstLineChars="200" w:firstLine="200"/>
    </w:pPr>
    <w:rPr>
      <w:rFonts w:cs="宋体"/>
      <w:b w:val="0"/>
      <w:snapToGrid w:val="0"/>
      <w:szCs w:val="24"/>
      <w:lang w:bidi="ne-NP"/>
    </w:rPr>
  </w:style>
  <w:style w:type="paragraph" w:customStyle="1" w:styleId="InTable">
    <w:name w:val="In Table"/>
    <w:basedOn w:val="a9"/>
    <w:qFormat/>
    <w:pPr>
      <w:tabs>
        <w:tab w:val="left" w:pos="2200"/>
        <w:tab w:val="left" w:pos="3960"/>
        <w:tab w:val="left" w:pos="5280"/>
      </w:tabs>
      <w:spacing w:before="96" w:after="96" w:line="0" w:lineRule="atLeast"/>
      <w:jc w:val="center"/>
    </w:pPr>
    <w:rPr>
      <w:rFonts w:ascii="Tahoma" w:eastAsia="华文中宋" w:hAnsi="Tahoma"/>
    </w:rPr>
  </w:style>
  <w:style w:type="paragraph" w:customStyle="1" w:styleId="xl120">
    <w:name w:val="xl120"/>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FF0000"/>
    </w:rPr>
  </w:style>
  <w:style w:type="paragraph" w:customStyle="1" w:styleId="affffffffffff4">
    <w:name w:val="附件"/>
    <w:basedOn w:val="a9"/>
    <w:qFormat/>
    <w:pPr>
      <w:widowControl/>
      <w:suppressLineNumbers/>
      <w:suppressAutoHyphens/>
      <w:topLinePunct/>
      <w:adjustRightInd w:val="0"/>
      <w:snapToGrid w:val="0"/>
      <w:spacing w:line="360" w:lineRule="auto"/>
      <w:ind w:firstLineChars="200" w:firstLine="560"/>
    </w:pPr>
    <w:rPr>
      <w:rFonts w:eastAsia="黑体" w:cs="宋体"/>
      <w:sz w:val="24"/>
      <w:lang w:bidi="ne-NP"/>
    </w:rPr>
  </w:style>
  <w:style w:type="paragraph" w:customStyle="1" w:styleId="xl69">
    <w:name w:val="xl69"/>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sz w:val="24"/>
    </w:rPr>
  </w:style>
  <w:style w:type="paragraph" w:customStyle="1" w:styleId="xl186">
    <w:name w:val="xl186"/>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CharChar2Char5">
    <w:name w:val="Char Char2 Char5"/>
    <w:basedOn w:val="a9"/>
    <w:qFormat/>
    <w:pPr>
      <w:spacing w:line="360" w:lineRule="auto"/>
      <w:ind w:firstLineChars="200" w:firstLine="200"/>
    </w:pPr>
    <w:rPr>
      <w:rFonts w:ascii="宋体" w:hAnsi="宋体" w:cs="宋体"/>
      <w:sz w:val="24"/>
    </w:rPr>
  </w:style>
  <w:style w:type="paragraph" w:customStyle="1" w:styleId="105">
    <w:name w:val="样式 表头样式1 + 段前: 0.5 行"/>
    <w:basedOn w:val="1f3"/>
    <w:qFormat/>
    <w:pPr>
      <w:snapToGrid w:val="0"/>
      <w:spacing w:beforeLines="0" w:before="120"/>
    </w:pPr>
    <w:rPr>
      <w:rFonts w:cs="宋体"/>
      <w:bCs/>
      <w:color w:val="000000"/>
      <w:szCs w:val="24"/>
    </w:rPr>
  </w:style>
  <w:style w:type="paragraph" w:customStyle="1" w:styleId="Style1143">
    <w:name w:val="_Style 1143"/>
    <w:basedOn w:val="a9"/>
    <w:next w:val="a9"/>
    <w:uiPriority w:val="39"/>
    <w:qFormat/>
    <w:pPr>
      <w:widowControl/>
      <w:ind w:left="1050"/>
    </w:pPr>
    <w:rPr>
      <w:rFonts w:cs="宋体"/>
      <w:sz w:val="24"/>
      <w:lang w:bidi="ne-NP"/>
    </w:rPr>
  </w:style>
  <w:style w:type="paragraph" w:customStyle="1" w:styleId="Char3CharCharChar">
    <w:name w:val="Char3 Char Char Char"/>
    <w:basedOn w:val="a9"/>
    <w:qFormat/>
    <w:pPr>
      <w:spacing w:line="360" w:lineRule="auto"/>
      <w:ind w:firstLineChars="200" w:firstLine="200"/>
    </w:pPr>
    <w:rPr>
      <w:rFonts w:ascii="宋体" w:hAnsi="宋体" w:cs="宋体"/>
      <w:sz w:val="24"/>
    </w:rPr>
  </w:style>
  <w:style w:type="paragraph" w:customStyle="1" w:styleId="affffffffffff5">
    <w:name w:val="报告书表格"/>
    <w:basedOn w:val="a9"/>
    <w:link w:val="Charfffff4"/>
    <w:qFormat/>
    <w:pPr>
      <w:adjustRightInd w:val="0"/>
      <w:spacing w:before="60" w:after="60" w:line="240" w:lineRule="atLeast"/>
      <w:jc w:val="center"/>
      <w:textAlignment w:val="baseline"/>
    </w:pPr>
  </w:style>
  <w:style w:type="paragraph" w:customStyle="1" w:styleId="affffffffffff6">
    <w:name w:val="表标"/>
    <w:basedOn w:val="a9"/>
    <w:next w:val="a9"/>
    <w:qFormat/>
    <w:pPr>
      <w:widowControl/>
      <w:adjustRightInd w:val="0"/>
      <w:snapToGrid w:val="0"/>
      <w:jc w:val="center"/>
      <w:textAlignment w:val="baseline"/>
    </w:pPr>
    <w:rPr>
      <w:rFonts w:cs="宋体"/>
      <w:sz w:val="24"/>
      <w:lang w:bidi="ne-NP"/>
    </w:rPr>
  </w:style>
  <w:style w:type="paragraph" w:customStyle="1" w:styleId="xl105">
    <w:name w:val="xl105"/>
    <w:basedOn w:val="a9"/>
    <w:qFormat/>
    <w:pPr>
      <w:widowControl/>
      <w:spacing w:before="100" w:beforeAutospacing="1" w:after="100" w:afterAutospacing="1" w:line="360" w:lineRule="auto"/>
      <w:jc w:val="center"/>
      <w:textAlignment w:val="center"/>
    </w:pPr>
    <w:rPr>
      <w:color w:val="000000"/>
      <w:sz w:val="18"/>
      <w:szCs w:val="18"/>
    </w:rPr>
  </w:style>
  <w:style w:type="paragraph" w:customStyle="1" w:styleId="reader-word-layerreader-word-s1-10">
    <w:name w:val="reader-word-layer reader-word-s1-10"/>
    <w:basedOn w:val="a9"/>
    <w:qFormat/>
    <w:pPr>
      <w:widowControl/>
      <w:spacing w:before="100" w:beforeAutospacing="1" w:after="100" w:afterAutospacing="1"/>
      <w:jc w:val="left"/>
    </w:pPr>
    <w:rPr>
      <w:rFonts w:ascii="宋体" w:hAnsi="宋体" w:cs="宋体"/>
      <w:sz w:val="24"/>
      <w:lang w:bidi="ne-NP"/>
    </w:rPr>
  </w:style>
  <w:style w:type="paragraph" w:customStyle="1" w:styleId="CharCharChar2">
    <w:name w:val="Char Char Char2"/>
    <w:basedOn w:val="af9"/>
    <w:next w:val="a9"/>
    <w:qFormat/>
    <w:pPr>
      <w:adjustRightInd w:val="0"/>
      <w:spacing w:line="436" w:lineRule="exact"/>
      <w:ind w:left="357"/>
      <w:jc w:val="left"/>
      <w:outlineLvl w:val="3"/>
    </w:pPr>
    <w:rPr>
      <w:rFonts w:ascii="Tahoma" w:hAnsi="Tahoma"/>
      <w:b/>
      <w:sz w:val="24"/>
    </w:rPr>
  </w:style>
  <w:style w:type="paragraph" w:customStyle="1" w:styleId="xl99">
    <w:name w:val="xl99"/>
    <w:basedOn w:val="a9"/>
    <w:qFormat/>
    <w:pPr>
      <w:widowControl/>
      <w:pBdr>
        <w:left w:val="single" w:sz="8" w:space="0" w:color="auto"/>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ardlist-value">
    <w:name w:val="cardlist-value"/>
    <w:basedOn w:val="a9"/>
    <w:qFormat/>
    <w:pPr>
      <w:widowControl/>
      <w:spacing w:before="100" w:beforeAutospacing="1" w:after="100" w:afterAutospacing="1"/>
      <w:jc w:val="left"/>
    </w:pPr>
    <w:rPr>
      <w:rFonts w:ascii="宋体" w:hAnsi="宋体" w:cs="宋体"/>
      <w:sz w:val="24"/>
      <w:lang w:bidi="ne-NP"/>
    </w:rPr>
  </w:style>
  <w:style w:type="paragraph" w:customStyle="1" w:styleId="Title2">
    <w:name w:val="Title 2"/>
    <w:basedOn w:val="2"/>
    <w:next w:val="a9"/>
    <w:qFormat/>
    <w:pPr>
      <w:keepLines w:val="0"/>
      <w:widowControl/>
      <w:numPr>
        <w:ilvl w:val="0"/>
        <w:numId w:val="0"/>
      </w:numPr>
      <w:pBdr>
        <w:bottom w:val="none" w:sz="0" w:space="0" w:color="auto"/>
      </w:pBdr>
      <w:spacing w:before="480" w:after="120" w:line="400" w:lineRule="exact"/>
      <w:ind w:hanging="567"/>
    </w:pPr>
    <w:rPr>
      <w:rFonts w:ascii="宋体" w:eastAsia="宋体" w:hAnsi="宋体" w:cs="Arial"/>
      <w:sz w:val="28"/>
      <w:szCs w:val="22"/>
    </w:rPr>
  </w:style>
  <w:style w:type="paragraph" w:customStyle="1" w:styleId="affffffffffff7">
    <w:name w:val="样式 表内格式 + 黑色 两端对齐"/>
    <w:basedOn w:val="affff6"/>
    <w:qFormat/>
    <w:pPr>
      <w:jc w:val="both"/>
    </w:pPr>
    <w:rPr>
      <w:rFonts w:cs="宋体"/>
      <w:color w:val="000000"/>
    </w:rPr>
  </w:style>
  <w:style w:type="paragraph" w:customStyle="1" w:styleId="1fffa">
    <w:name w:val="表格文字1"/>
    <w:basedOn w:val="a9"/>
    <w:semiHidden/>
    <w:qFormat/>
    <w:pPr>
      <w:tabs>
        <w:tab w:val="left" w:pos="0"/>
      </w:tabs>
      <w:autoSpaceDE w:val="0"/>
      <w:autoSpaceDN w:val="0"/>
      <w:adjustRightInd w:val="0"/>
      <w:spacing w:before="60"/>
      <w:ind w:left="57" w:right="57"/>
      <w:jc w:val="center"/>
      <w:textAlignment w:val="baseline"/>
    </w:pPr>
    <w:rPr>
      <w:rFonts w:ascii="宋体"/>
    </w:rPr>
  </w:style>
  <w:style w:type="paragraph" w:customStyle="1" w:styleId="Char80">
    <w:name w:val="Char8"/>
    <w:basedOn w:val="a9"/>
    <w:qFormat/>
    <w:pPr>
      <w:spacing w:line="360" w:lineRule="auto"/>
      <w:ind w:firstLineChars="200" w:firstLine="200"/>
    </w:pPr>
    <w:rPr>
      <w:rFonts w:ascii="宋体" w:hAnsi="宋体" w:cs="宋体"/>
      <w:sz w:val="24"/>
    </w:rPr>
  </w:style>
  <w:style w:type="paragraph" w:customStyle="1" w:styleId="1fffb">
    <w:name w:val="纯文本1"/>
    <w:basedOn w:val="a9"/>
    <w:pPr>
      <w:autoSpaceDE w:val="0"/>
      <w:autoSpaceDN w:val="0"/>
      <w:adjustRightInd w:val="0"/>
      <w:textAlignment w:val="baseline"/>
    </w:pPr>
    <w:rPr>
      <w:rFonts w:ascii="宋体" w:hAnsi="Tms Rmn"/>
    </w:rPr>
  </w:style>
  <w:style w:type="paragraph" w:customStyle="1" w:styleId="5d">
    <w:name w:val="工艺题目5级"/>
    <w:basedOn w:val="afffffffffe"/>
    <w:semiHidden/>
    <w:qFormat/>
    <w:pPr>
      <w:tabs>
        <w:tab w:val="left" w:pos="1260"/>
      </w:tabs>
      <w:ind w:left="1260" w:hanging="720"/>
    </w:pPr>
  </w:style>
  <w:style w:type="paragraph" w:customStyle="1" w:styleId="2110">
    <w:name w:val="正文文本缩进 211"/>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PlainText1">
    <w:name w:val="Plain Text1"/>
    <w:basedOn w:val="a9"/>
    <w:qFormat/>
    <w:pPr>
      <w:autoSpaceDE w:val="0"/>
      <w:autoSpaceDN w:val="0"/>
      <w:adjustRightInd w:val="0"/>
      <w:spacing w:line="360" w:lineRule="auto"/>
      <w:textAlignment w:val="baseline"/>
    </w:pPr>
    <w:rPr>
      <w:rFonts w:ascii="宋体" w:hAnsi="Tms Rmn"/>
    </w:rPr>
  </w:style>
  <w:style w:type="paragraph" w:customStyle="1" w:styleId="affffffffffff8">
    <w:name w:val="样式 题注 + 小四"/>
    <w:basedOn w:val="af6"/>
    <w:semiHidden/>
    <w:qFormat/>
    <w:pPr>
      <w:keepNext/>
      <w:spacing w:before="0" w:after="0" w:line="360" w:lineRule="auto"/>
    </w:pPr>
    <w:rPr>
      <w:rFonts w:ascii="Times New Roman" w:eastAsia="宋体" w:hAnsi="Times New Roman"/>
      <w:b/>
      <w:sz w:val="24"/>
    </w:rPr>
  </w:style>
  <w:style w:type="paragraph" w:customStyle="1" w:styleId="Char34">
    <w:name w:val="Char3"/>
    <w:basedOn w:val="a9"/>
    <w:pPr>
      <w:spacing w:line="360" w:lineRule="auto"/>
      <w:ind w:firstLineChars="200" w:firstLine="200"/>
    </w:pPr>
    <w:rPr>
      <w:sz w:val="24"/>
    </w:rPr>
  </w:style>
  <w:style w:type="paragraph" w:customStyle="1" w:styleId="2fd">
    <w:name w:val="正文文字缩进 2"/>
    <w:basedOn w:val="a9"/>
    <w:next w:val="a9"/>
    <w:qFormat/>
    <w:pPr>
      <w:autoSpaceDE w:val="0"/>
      <w:autoSpaceDN w:val="0"/>
      <w:adjustRightInd w:val="0"/>
      <w:jc w:val="left"/>
    </w:pPr>
    <w:rPr>
      <w:rFonts w:ascii="宋体"/>
      <w:sz w:val="24"/>
    </w:rPr>
  </w:style>
  <w:style w:type="paragraph" w:customStyle="1" w:styleId="affffffffffff9">
    <w:name w:val="表格居中"/>
    <w:basedOn w:val="a9"/>
    <w:semiHidden/>
    <w:qFormat/>
    <w:pPr>
      <w:jc w:val="center"/>
    </w:pPr>
    <w:rPr>
      <w:sz w:val="24"/>
    </w:rPr>
  </w:style>
  <w:style w:type="paragraph" w:customStyle="1" w:styleId="CharCharCharChar2">
    <w:name w:val="Char Char Char Char2"/>
    <w:basedOn w:val="3"/>
    <w:qFormat/>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100">
    <w:name w:val="10"/>
    <w:basedOn w:val="a9"/>
    <w:next w:val="afe"/>
    <w:qFormat/>
    <w:pPr>
      <w:widowControl/>
      <w:tabs>
        <w:tab w:val="left" w:pos="1280"/>
      </w:tabs>
      <w:adjustRightInd w:val="0"/>
      <w:snapToGrid w:val="0"/>
      <w:spacing w:line="360" w:lineRule="auto"/>
      <w:ind w:firstLineChars="200" w:firstLine="560"/>
    </w:pPr>
    <w:rPr>
      <w:rFonts w:ascii="仿宋_GB2312" w:eastAsia="仿宋_GB2312" w:cs="宋体"/>
      <w:sz w:val="28"/>
      <w:szCs w:val="28"/>
      <w:lang w:bidi="ne-NP"/>
    </w:rPr>
  </w:style>
  <w:style w:type="paragraph" w:customStyle="1" w:styleId="3f7">
    <w:name w:val="批注框文本3"/>
    <w:basedOn w:val="a9"/>
    <w:semiHidden/>
    <w:qFormat/>
    <w:pPr>
      <w:widowControl/>
    </w:pPr>
    <w:rPr>
      <w:rFonts w:ascii="Tahoma" w:hAnsi="Tahoma" w:cs="Tahoma"/>
      <w:sz w:val="16"/>
      <w:szCs w:val="16"/>
      <w:lang w:bidi="ne-NP"/>
    </w:rPr>
  </w:style>
  <w:style w:type="paragraph" w:customStyle="1" w:styleId="1CharCharChar">
    <w:name w:val="样式 正文1 Char Char + 字距调整七号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01-01">
    <w:name w:val="样式 表格1 + 左侧:  -0.1 字符 右侧:  -0.1 字符"/>
    <w:basedOn w:val="a9"/>
    <w:qFormat/>
    <w:pPr>
      <w:spacing w:line="340" w:lineRule="exact"/>
      <w:jc w:val="center"/>
    </w:pPr>
    <w:rPr>
      <w:rFonts w:ascii="宋体" w:hAnsi="宋体" w:cs="宋体"/>
    </w:rPr>
  </w:style>
  <w:style w:type="paragraph" w:customStyle="1" w:styleId="2fe">
    <w:name w:val="纯文本2"/>
    <w:basedOn w:val="a9"/>
    <w:qFormat/>
    <w:pPr>
      <w:autoSpaceDE w:val="0"/>
      <w:autoSpaceDN w:val="0"/>
      <w:adjustRightInd w:val="0"/>
      <w:spacing w:line="360" w:lineRule="auto"/>
      <w:textAlignment w:val="baseline"/>
    </w:pPr>
    <w:rPr>
      <w:rFonts w:ascii="宋体" w:hAnsi="Tms Rmn"/>
    </w:rPr>
  </w:style>
  <w:style w:type="paragraph" w:customStyle="1" w:styleId="xl95">
    <w:name w:val="xl95"/>
    <w:basedOn w:val="a9"/>
    <w:qFormat/>
    <w:pPr>
      <w:widowControl/>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01">
    <w:name w:val="0正文"/>
    <w:qFormat/>
    <w:pPr>
      <w:widowControl w:val="0"/>
      <w:spacing w:line="360" w:lineRule="auto"/>
      <w:ind w:firstLineChars="200" w:firstLine="720"/>
    </w:pPr>
    <w:rPr>
      <w:sz w:val="24"/>
      <w:szCs w:val="22"/>
    </w:rPr>
  </w:style>
  <w:style w:type="paragraph" w:customStyle="1" w:styleId="affffffffffffa">
    <w:name w:val="大标题"/>
    <w:basedOn w:val="4"/>
    <w:qFormat/>
    <w:pPr>
      <w:keepNext/>
      <w:keepLines/>
      <w:numPr>
        <w:ilvl w:val="0"/>
        <w:numId w:val="0"/>
      </w:numPr>
      <w:tabs>
        <w:tab w:val="left" w:pos="0"/>
        <w:tab w:val="left" w:pos="240"/>
        <w:tab w:val="left" w:pos="360"/>
        <w:tab w:val="left" w:pos="480"/>
        <w:tab w:val="left" w:pos="862"/>
        <w:tab w:val="left" w:pos="1567"/>
      </w:tabs>
      <w:autoSpaceDE w:val="0"/>
      <w:autoSpaceDN w:val="0"/>
      <w:adjustRightInd w:val="0"/>
      <w:spacing w:beforeLines="50" w:after="0" w:line="324" w:lineRule="auto"/>
    </w:pPr>
    <w:rPr>
      <w:rFonts w:ascii="Arial" w:cs="Arial"/>
      <w:snapToGrid w:val="0"/>
      <w:sz w:val="28"/>
      <w:szCs w:val="28"/>
      <w:shd w:val="pct10" w:color="auto" w:fill="FFFFFF"/>
      <w:lang w:val="zh-CN" w:bidi="ne-NP"/>
    </w:rPr>
  </w:style>
  <w:style w:type="paragraph" w:customStyle="1" w:styleId="font17">
    <w:name w:val="font17"/>
    <w:basedOn w:val="a9"/>
    <w:qFormat/>
    <w:pPr>
      <w:widowControl/>
      <w:spacing w:before="100" w:beforeAutospacing="1" w:after="100" w:afterAutospacing="1" w:line="360" w:lineRule="auto"/>
      <w:jc w:val="left"/>
    </w:pPr>
    <w:rPr>
      <w:color w:val="000000"/>
    </w:rPr>
  </w:style>
  <w:style w:type="paragraph" w:customStyle="1" w:styleId="Affffffffffffb">
    <w:name w:val="A"/>
    <w:basedOn w:val="1"/>
    <w:qFormat/>
    <w:pPr>
      <w:pageBreakBefore w:val="0"/>
      <w:widowControl/>
      <w:numPr>
        <w:numId w:val="0"/>
      </w:numPr>
      <w:tabs>
        <w:tab w:val="left" w:pos="3752"/>
      </w:tabs>
      <w:spacing w:before="340" w:after="330" w:line="578" w:lineRule="auto"/>
      <w:jc w:val="center"/>
    </w:pPr>
    <w:rPr>
      <w:rFonts w:eastAsia="黑体"/>
      <w:bCs/>
      <w:color w:val="000000"/>
      <w:sz w:val="44"/>
      <w:szCs w:val="44"/>
    </w:rPr>
  </w:style>
  <w:style w:type="paragraph" w:customStyle="1" w:styleId="xl564">
    <w:name w:val="xl56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xl31">
    <w:name w:val="xl31"/>
    <w:basedOn w:val="a9"/>
    <w:qFormat/>
    <w:pPr>
      <w:widowControl/>
      <w:spacing w:before="100" w:beforeAutospacing="1" w:after="100" w:afterAutospacing="1" w:line="348" w:lineRule="auto"/>
      <w:jc w:val="center"/>
      <w:textAlignment w:val="center"/>
    </w:pPr>
    <w:rPr>
      <w:rFonts w:ascii="Arial Unicode MS" w:eastAsia="Arial Unicode MS" w:hAnsi="Arial Unicode MS"/>
      <w:sz w:val="24"/>
    </w:rPr>
  </w:style>
  <w:style w:type="paragraph" w:customStyle="1" w:styleId="ParaCharCharCharCharCharCharCharCharCharChar">
    <w:name w:val="默认段落字体 Para Char Char Char Char Char Char Char Char Char Char"/>
    <w:basedOn w:val="3"/>
    <w:qFormat/>
    <w:pPr>
      <w:keepNext/>
      <w:keepLines/>
      <w:numPr>
        <w:ilvl w:val="0"/>
        <w:numId w:val="0"/>
      </w:numPr>
      <w:tabs>
        <w:tab w:val="left" w:pos="360"/>
        <w:tab w:val="left" w:pos="900"/>
      </w:tabs>
      <w:spacing w:before="120" w:after="120"/>
      <w:ind w:leftChars="-12" w:left="542" w:firstLineChars="200" w:firstLine="200"/>
      <w:jc w:val="left"/>
    </w:pPr>
    <w:rPr>
      <w:b w:val="0"/>
      <w:snapToGrid w:val="0"/>
      <w:szCs w:val="24"/>
    </w:rPr>
  </w:style>
  <w:style w:type="paragraph" w:customStyle="1" w:styleId="affffffffffffc">
    <w:name w:val="正文特点"/>
    <w:basedOn w:val="a9"/>
    <w:qFormat/>
    <w:pPr>
      <w:spacing w:line="360" w:lineRule="auto"/>
    </w:pPr>
    <w:rPr>
      <w:sz w:val="24"/>
    </w:rPr>
  </w:style>
  <w:style w:type="paragraph" w:customStyle="1" w:styleId="affffffffffffd">
    <w:name w:val="插图"/>
    <w:basedOn w:val="affd"/>
    <w:next w:val="a9"/>
    <w:qFormat/>
    <w:pPr>
      <w:widowControl/>
      <w:topLinePunct/>
      <w:spacing w:after="120" w:line="240" w:lineRule="auto"/>
      <w:ind w:leftChars="0" w:left="0" w:firstLineChars="0" w:firstLine="0"/>
      <w:jc w:val="center"/>
    </w:pPr>
    <w:rPr>
      <w:b/>
      <w:sz w:val="28"/>
    </w:rPr>
  </w:style>
  <w:style w:type="paragraph" w:customStyle="1" w:styleId="xl583">
    <w:name w:val="xl583"/>
    <w:basedOn w:val="a9"/>
    <w:qFormat/>
    <w:pPr>
      <w:widowControl/>
      <w:shd w:val="clear" w:color="auto" w:fill="CCFFFF"/>
      <w:spacing w:before="100" w:beforeAutospacing="1" w:after="100" w:afterAutospacing="1"/>
      <w:jc w:val="center"/>
    </w:pPr>
    <w:rPr>
      <w:rFonts w:ascii="宋体" w:hAnsi="宋体" w:cs="宋体"/>
      <w:sz w:val="18"/>
      <w:szCs w:val="18"/>
      <w:lang w:bidi="ne-NP"/>
    </w:rPr>
  </w:style>
  <w:style w:type="paragraph" w:customStyle="1" w:styleId="Char70">
    <w:name w:val="Char7"/>
    <w:basedOn w:val="a9"/>
    <w:qFormat/>
    <w:pPr>
      <w:spacing w:line="360" w:lineRule="auto"/>
      <w:ind w:firstLineChars="200" w:firstLine="200"/>
    </w:pPr>
    <w:rPr>
      <w:rFonts w:ascii="宋体" w:hAnsi="宋体" w:cs="宋体"/>
      <w:sz w:val="24"/>
    </w:rPr>
  </w:style>
  <w:style w:type="paragraph" w:customStyle="1" w:styleId="E">
    <w:name w:val="E"/>
    <w:basedOn w:val="5"/>
    <w:qFormat/>
    <w:pPr>
      <w:keepLines/>
      <w:widowControl/>
      <w:numPr>
        <w:ilvl w:val="0"/>
        <w:numId w:val="0"/>
      </w:numPr>
      <w:tabs>
        <w:tab w:val="left" w:pos="944"/>
        <w:tab w:val="left" w:pos="1567"/>
        <w:tab w:val="left" w:pos="1997"/>
      </w:tabs>
      <w:spacing w:after="0"/>
    </w:pPr>
    <w:rPr>
      <w:rFonts w:ascii="Arial" w:hAnsi="Arial"/>
      <w:b w:val="0"/>
      <w:color w:val="000000"/>
      <w:szCs w:val="24"/>
    </w:rPr>
  </w:style>
  <w:style w:type="paragraph" w:customStyle="1" w:styleId="affffffffffffe">
    <w:name w:val="表格式"/>
    <w:basedOn w:val="affb"/>
    <w:qFormat/>
    <w:pPr>
      <w:spacing w:beforeLines="50" w:afterLines="50" w:line="200" w:lineRule="exact"/>
      <w:ind w:left="0" w:firstLine="0"/>
      <w:jc w:val="center"/>
    </w:pPr>
  </w:style>
  <w:style w:type="paragraph" w:customStyle="1" w:styleId="ENFI">
    <w:name w:val="ENFI表体"/>
    <w:basedOn w:val="a9"/>
    <w:qFormat/>
    <w:pPr>
      <w:widowControl/>
      <w:adjustRightInd w:val="0"/>
      <w:snapToGrid w:val="0"/>
      <w:spacing w:line="240" w:lineRule="atLeast"/>
      <w:jc w:val="center"/>
    </w:pPr>
    <w:rPr>
      <w:rFonts w:eastAsia="仿宋_GB2312" w:cs="宋体"/>
      <w:sz w:val="24"/>
      <w:lang w:bidi="ne-NP"/>
    </w:rPr>
  </w:style>
  <w:style w:type="paragraph" w:customStyle="1" w:styleId="xl116">
    <w:name w:val="xl116"/>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000000"/>
    </w:rPr>
  </w:style>
  <w:style w:type="paragraph" w:customStyle="1" w:styleId="050520505">
    <w:name w:val="样式 样式 样式 段前: 0.5 行 段后: 0.5 行 + 首行缩进:  2 字符 段前: 0.5 行 段后: 0.5 行 +..."/>
    <w:basedOn w:val="a9"/>
    <w:qFormat/>
    <w:pPr>
      <w:snapToGrid w:val="0"/>
      <w:spacing w:beforeLines="50" w:afterLines="50" w:line="360" w:lineRule="auto"/>
      <w:ind w:firstLineChars="200" w:firstLine="480"/>
    </w:pPr>
    <w:rPr>
      <w:rFonts w:cs="宋体"/>
    </w:rPr>
  </w:style>
  <w:style w:type="paragraph" w:customStyle="1" w:styleId="1098">
    <w:name w:val="样式 正文文本缩进正文文字缩进正文文字缩进1 + 首行缩进:  0.98 厘米"/>
    <w:basedOn w:val="afe"/>
    <w:semiHidden/>
    <w:qFormat/>
    <w:pPr>
      <w:spacing w:line="460" w:lineRule="exact"/>
      <w:ind w:firstLine="556"/>
    </w:pPr>
    <w:rPr>
      <w:rFonts w:ascii="楷体_GB2312" w:eastAsia="楷体_GB2312"/>
      <w:bCs/>
      <w:color w:val="000000"/>
      <w:sz w:val="28"/>
      <w:szCs w:val="28"/>
    </w:rPr>
  </w:style>
  <w:style w:type="paragraph" w:customStyle="1" w:styleId="xl113">
    <w:name w:val="xl113"/>
    <w:basedOn w:val="a9"/>
    <w:qFormat/>
    <w:pPr>
      <w:widowControl/>
      <w:pBdr>
        <w:bottom w:val="single" w:sz="8" w:space="0" w:color="auto"/>
        <w:right w:val="single" w:sz="8" w:space="0" w:color="auto"/>
      </w:pBdr>
      <w:spacing w:before="100" w:beforeAutospacing="1" w:after="100" w:afterAutospacing="1" w:line="360" w:lineRule="auto"/>
      <w:jc w:val="left"/>
      <w:textAlignment w:val="center"/>
    </w:pPr>
    <w:rPr>
      <w:rFonts w:ascii="宋体" w:hAnsi="宋体" w:cs="宋体"/>
    </w:rPr>
  </w:style>
  <w:style w:type="paragraph" w:customStyle="1" w:styleId="33TimesNewRoman2">
    <w:name w:val="样式 标题 3标题 3 正式 + (西文) Times New Roman2"/>
    <w:basedOn w:val="3"/>
    <w:qFormat/>
    <w:pPr>
      <w:keepNext/>
      <w:keepLines/>
      <w:widowControl/>
      <w:numPr>
        <w:numId w:val="2"/>
      </w:numPr>
      <w:tabs>
        <w:tab w:val="clear" w:pos="432"/>
        <w:tab w:val="left" w:pos="0"/>
        <w:tab w:val="left" w:pos="425"/>
        <w:tab w:val="left" w:pos="454"/>
        <w:tab w:val="left" w:pos="1567"/>
      </w:tabs>
      <w:adjustRightInd w:val="0"/>
      <w:spacing w:before="120" w:after="120"/>
      <w:ind w:left="0" w:firstLine="200"/>
    </w:pPr>
    <w:rPr>
      <w:rFonts w:cs="宋体"/>
      <w:bCs/>
      <w:snapToGrid w:val="0"/>
      <w:spacing w:val="4"/>
      <w:sz w:val="28"/>
      <w:szCs w:val="28"/>
      <w:lang w:bidi="ne-NP"/>
    </w:rPr>
  </w:style>
  <w:style w:type="paragraph" w:customStyle="1" w:styleId="CharCharChar1CharCharChar2">
    <w:name w:val="Char Char Char1 Char Char Char2"/>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CharCharChar1">
    <w:name w:val="Char Char Char Char Char Char Char Char Char Char1"/>
    <w:basedOn w:val="a9"/>
    <w:qFormat/>
    <w:pPr>
      <w:widowControl/>
    </w:pPr>
    <w:rPr>
      <w:rFonts w:cs="宋体"/>
      <w:sz w:val="24"/>
      <w:lang w:bidi="ne-NP"/>
    </w:rPr>
  </w:style>
  <w:style w:type="paragraph" w:customStyle="1" w:styleId="XX">
    <w:name w:val="表X－X"/>
    <w:basedOn w:val="a9"/>
    <w:qFormat/>
    <w:pPr>
      <w:jc w:val="center"/>
    </w:pPr>
    <w:rPr>
      <w:rFonts w:ascii="黑体" w:eastAsia="黑体" w:hAnsi="华文仿宋"/>
      <w:sz w:val="28"/>
    </w:rPr>
  </w:style>
  <w:style w:type="paragraph" w:customStyle="1" w:styleId="xl75">
    <w:name w:val="xl7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har3CharCharChar3">
    <w:name w:val="Char3 Char Char Char3"/>
    <w:basedOn w:val="a9"/>
    <w:qFormat/>
    <w:pPr>
      <w:spacing w:line="360" w:lineRule="auto"/>
      <w:ind w:firstLineChars="200" w:firstLine="200"/>
    </w:pPr>
    <w:rPr>
      <w:rFonts w:ascii="宋体" w:hAnsi="宋体" w:cs="宋体"/>
      <w:sz w:val="24"/>
    </w:rPr>
  </w:style>
  <w:style w:type="paragraph" w:customStyle="1" w:styleId="CharCharChar1CharCharCharCharCharCharCharCharCharChar1">
    <w:name w:val="Char Char Char1 Char Char Char Char Char Char Char Char Char Char1"/>
    <w:basedOn w:val="a9"/>
    <w:qFormat/>
    <w:pPr>
      <w:spacing w:line="360" w:lineRule="auto"/>
    </w:pPr>
  </w:style>
  <w:style w:type="paragraph" w:customStyle="1" w:styleId="font0">
    <w:name w:val="font0"/>
    <w:basedOn w:val="a9"/>
    <w:qFormat/>
    <w:pPr>
      <w:widowControl/>
      <w:spacing w:before="100" w:beforeAutospacing="1" w:after="100" w:afterAutospacing="1"/>
      <w:jc w:val="left"/>
    </w:pPr>
    <w:rPr>
      <w:rFonts w:eastAsia="Arial Unicode MS"/>
      <w:sz w:val="24"/>
    </w:rPr>
  </w:style>
  <w:style w:type="paragraph" w:customStyle="1" w:styleId="CharCharCharCharCharChar1CharCharCharChar">
    <w:name w:val="Char Char Char Char Char Char1 Char Char Char Char"/>
    <w:basedOn w:val="a9"/>
    <w:qFormat/>
    <w:pPr>
      <w:widowControl/>
    </w:pPr>
    <w:rPr>
      <w:rFonts w:ascii="Tahoma" w:hAnsi="Tahoma" w:cs="宋体"/>
      <w:sz w:val="24"/>
      <w:lang w:bidi="ne-NP"/>
    </w:rPr>
  </w:style>
  <w:style w:type="paragraph" w:customStyle="1" w:styleId="Char3CharCharChar10">
    <w:name w:val="Char3 Char Char Char10"/>
    <w:basedOn w:val="a9"/>
    <w:pPr>
      <w:spacing w:line="360" w:lineRule="auto"/>
      <w:ind w:firstLineChars="200" w:firstLine="200"/>
    </w:pPr>
    <w:rPr>
      <w:rFonts w:ascii="宋体" w:hAnsi="宋体" w:cs="宋体"/>
      <w:sz w:val="24"/>
    </w:rPr>
  </w:style>
  <w:style w:type="paragraph" w:customStyle="1" w:styleId="1TimesNewRoman">
    <w:name w:val="样式 标题 1 + Times New Roman 非加粗"/>
    <w:basedOn w:val="1"/>
    <w:qFormat/>
    <w:pPr>
      <w:pageBreakBefore w:val="0"/>
      <w:widowControl/>
      <w:numPr>
        <w:numId w:val="0"/>
      </w:numPr>
      <w:shd w:val="clear" w:color="auto" w:fill="FFFFFF"/>
      <w:spacing w:beforeLines="200" w:after="120" w:line="560" w:lineRule="exact"/>
      <w:jc w:val="center"/>
    </w:pPr>
    <w:rPr>
      <w:rFonts w:ascii="黑体" w:eastAsia="黑体" w:hAnsi="Arial" w:cs="Arial"/>
      <w:b w:val="0"/>
      <w:kern w:val="32"/>
      <w:szCs w:val="24"/>
    </w:rPr>
  </w:style>
  <w:style w:type="paragraph" w:customStyle="1" w:styleId="xl561">
    <w:name w:val="xl56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harCharChar1">
    <w:name w:val="Char Char Char"/>
    <w:basedOn w:val="af9"/>
    <w:next w:val="a9"/>
    <w:pPr>
      <w:adjustRightInd w:val="0"/>
      <w:spacing w:line="436" w:lineRule="exact"/>
      <w:ind w:left="357"/>
      <w:jc w:val="left"/>
      <w:outlineLvl w:val="3"/>
    </w:pPr>
    <w:rPr>
      <w:rFonts w:ascii="Tahoma" w:hAnsi="Tahoma"/>
      <w:b/>
      <w:sz w:val="24"/>
    </w:rPr>
  </w:style>
  <w:style w:type="paragraph" w:customStyle="1" w:styleId="xl539">
    <w:name w:val="xl539"/>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hAnsi="宋体" w:cs="宋体"/>
      <w:color w:val="000000"/>
      <w:sz w:val="18"/>
      <w:szCs w:val="18"/>
      <w:lang w:bidi="ne-NP"/>
    </w:rPr>
  </w:style>
  <w:style w:type="paragraph" w:customStyle="1" w:styleId="CharCharCharCharCharCharCharCharCharCharCharCharCharCharCharChar">
    <w:name w:val="Char Char Char Char Char Char Char Char Char Char Char Char Char Char Char Char"/>
    <w:basedOn w:val="a9"/>
    <w:qFormat/>
    <w:pPr>
      <w:widowControl/>
      <w:spacing w:line="360" w:lineRule="auto"/>
      <w:ind w:firstLineChars="200" w:firstLine="200"/>
    </w:pPr>
    <w:rPr>
      <w:rFonts w:ascii="宋体" w:hAnsi="宋体" w:cs="宋体"/>
      <w:sz w:val="24"/>
      <w:lang w:bidi="ne-NP"/>
    </w:rPr>
  </w:style>
  <w:style w:type="paragraph" w:customStyle="1" w:styleId="3f8">
    <w:name w:val="环科院标题3"/>
    <w:basedOn w:val="3"/>
    <w:qFormat/>
    <w:pPr>
      <w:keepNext/>
      <w:keepLines/>
      <w:numPr>
        <w:ilvl w:val="0"/>
        <w:numId w:val="0"/>
      </w:numPr>
      <w:tabs>
        <w:tab w:val="clear" w:pos="720"/>
        <w:tab w:val="left" w:pos="731"/>
        <w:tab w:val="left" w:pos="862"/>
        <w:tab w:val="left" w:pos="1567"/>
      </w:tabs>
      <w:snapToGrid/>
      <w:spacing w:beforeLines="50" w:afterLines="50" w:line="240" w:lineRule="auto"/>
      <w:ind w:left="2194" w:hanging="918"/>
    </w:pPr>
    <w:rPr>
      <w:rFonts w:ascii="华文中宋" w:eastAsia="华文中宋" w:hAnsi="华文中宋" w:cs="宋体"/>
      <w:b w:val="0"/>
      <w:bCs/>
      <w:sz w:val="28"/>
      <w:szCs w:val="28"/>
    </w:rPr>
  </w:style>
  <w:style w:type="paragraph" w:customStyle="1" w:styleId="1032">
    <w:name w:val="样式 表名1 + 段前: 0.3 行2"/>
    <w:basedOn w:val="a9"/>
    <w:qFormat/>
    <w:pPr>
      <w:widowControl/>
      <w:adjustRightInd w:val="0"/>
      <w:snapToGrid w:val="0"/>
      <w:spacing w:beforeLines="30" w:afterLines="20"/>
      <w:jc w:val="center"/>
    </w:pPr>
    <w:rPr>
      <w:rFonts w:eastAsia="黑体" w:cs="宋体"/>
      <w:color w:val="000000"/>
      <w:sz w:val="24"/>
      <w:lang w:bidi="ne-NP"/>
    </w:rPr>
  </w:style>
  <w:style w:type="paragraph" w:customStyle="1" w:styleId="style15">
    <w:name w:val="style15"/>
    <w:basedOn w:val="a9"/>
    <w:qFormat/>
    <w:pPr>
      <w:widowControl/>
      <w:spacing w:before="100" w:beforeAutospacing="1" w:after="100" w:afterAutospacing="1"/>
      <w:jc w:val="left"/>
    </w:pPr>
    <w:rPr>
      <w:rFonts w:ascii="Arial Unicode MS" w:eastAsia="Arial Unicode MS" w:hAnsi="Arial Unicode MS" w:cs="Arial Unicode MS"/>
      <w:sz w:val="24"/>
    </w:rPr>
  </w:style>
  <w:style w:type="paragraph" w:customStyle="1" w:styleId="Normal">
    <w:name w:val="正文Normal"/>
    <w:basedOn w:val="a9"/>
    <w:semiHidden/>
    <w:qFormat/>
    <w:pPr>
      <w:adjustRightInd w:val="0"/>
      <w:snapToGrid w:val="0"/>
      <w:spacing w:line="450" w:lineRule="atLeast"/>
    </w:pPr>
    <w:rPr>
      <w:rFonts w:ascii="宋体"/>
      <w:snapToGrid w:val="0"/>
      <w:spacing w:val="10"/>
      <w:sz w:val="28"/>
    </w:rPr>
  </w:style>
  <w:style w:type="paragraph" w:customStyle="1" w:styleId="xl129">
    <w:name w:val="xl129"/>
    <w:basedOn w:val="a9"/>
    <w:qFormat/>
    <w:pPr>
      <w:widowControl/>
      <w:pBdr>
        <w:bottom w:val="single" w:sz="12" w:space="0" w:color="auto"/>
      </w:pBdr>
      <w:spacing w:before="100" w:beforeAutospacing="1" w:after="100" w:afterAutospacing="1" w:line="360" w:lineRule="auto"/>
      <w:jc w:val="center"/>
      <w:textAlignment w:val="center"/>
    </w:pPr>
    <w:rPr>
      <w:rFonts w:ascii="宋体" w:hAnsi="宋体" w:cs="宋体"/>
      <w:color w:val="FF0000"/>
      <w:sz w:val="18"/>
      <w:szCs w:val="18"/>
    </w:rPr>
  </w:style>
  <w:style w:type="paragraph" w:customStyle="1" w:styleId="BodyTextFirstIndent1">
    <w:name w:val="Body Text First Indent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42">
    <w:name w:val="Char4"/>
    <w:basedOn w:val="a9"/>
    <w:pPr>
      <w:spacing w:line="360" w:lineRule="auto"/>
      <w:ind w:firstLineChars="200" w:firstLine="200"/>
    </w:pPr>
    <w:rPr>
      <w:rFonts w:ascii="宋体" w:hAnsi="宋体" w:cs="宋体"/>
      <w:sz w:val="24"/>
    </w:rPr>
  </w:style>
  <w:style w:type="paragraph" w:customStyle="1" w:styleId="afffffffffffff">
    <w:name w:val="表格文字五号"/>
    <w:basedOn w:val="a9"/>
    <w:semiHidden/>
    <w:qFormat/>
    <w:pPr>
      <w:jc w:val="center"/>
    </w:pPr>
    <w:rPr>
      <w:bCs/>
    </w:rPr>
  </w:style>
  <w:style w:type="paragraph" w:customStyle="1" w:styleId="-21">
    <w:name w:val="宏福正文-2"/>
    <w:basedOn w:val="af0"/>
    <w:qFormat/>
    <w:pPr>
      <w:snapToGrid w:val="0"/>
      <w:spacing w:before="240" w:after="0" w:line="400" w:lineRule="atLeast"/>
      <w:ind w:firstLineChars="0" w:firstLine="567"/>
    </w:pPr>
    <w:rPr>
      <w:sz w:val="28"/>
    </w:rPr>
  </w:style>
  <w:style w:type="paragraph" w:customStyle="1" w:styleId="1CharGB23122CharChar">
    <w:name w:val="样式 正文1 Char + 仿宋_GB2312 四号 首行缩进:  2 字符 Char Char"/>
    <w:basedOn w:val="a9"/>
    <w:qFormat/>
    <w:pPr>
      <w:widowControl/>
      <w:suppressLineNumbers/>
      <w:suppressAutoHyphens/>
      <w:topLinePunct/>
      <w:adjustRightInd w:val="0"/>
      <w:snapToGrid w:val="0"/>
      <w:spacing w:line="360" w:lineRule="auto"/>
      <w:ind w:firstLineChars="200" w:firstLine="560"/>
    </w:pPr>
    <w:rPr>
      <w:rFonts w:ascii="宋体" w:hAnsi="宋体" w:cs="宋体"/>
      <w:sz w:val="28"/>
      <w:szCs w:val="28"/>
      <w:lang w:bidi="ne-NP"/>
    </w:rPr>
  </w:style>
  <w:style w:type="paragraph" w:customStyle="1" w:styleId="afffffffffffff0">
    <w:name w:val="封面正文"/>
    <w:qFormat/>
    <w:pPr>
      <w:jc w:val="both"/>
    </w:pPr>
  </w:style>
  <w:style w:type="paragraph" w:customStyle="1" w:styleId="Style420">
    <w:name w:val="_Style 420"/>
    <w:uiPriority w:val="99"/>
    <w:unhideWhenUsed/>
    <w:qFormat/>
    <w:pPr>
      <w:spacing w:after="60" w:line="360" w:lineRule="auto"/>
      <w:jc w:val="both"/>
    </w:pPr>
    <w:rPr>
      <w:kern w:val="2"/>
      <w:sz w:val="21"/>
      <w:szCs w:val="24"/>
    </w:rPr>
  </w:style>
  <w:style w:type="paragraph" w:customStyle="1" w:styleId="contentnoteheader">
    <w:name w:val="contentnoteheader"/>
    <w:basedOn w:val="a9"/>
    <w:qFormat/>
    <w:pPr>
      <w:widowControl/>
      <w:spacing w:before="30" w:after="100" w:afterAutospacing="1" w:line="360" w:lineRule="auto"/>
      <w:ind w:left="90"/>
      <w:jc w:val="left"/>
    </w:pPr>
    <w:rPr>
      <w:rFonts w:ascii="宋体" w:hAnsi="宋体"/>
      <w:b/>
      <w:bCs/>
      <w:color w:val="990000"/>
      <w:sz w:val="18"/>
      <w:szCs w:val="18"/>
    </w:rPr>
  </w:style>
  <w:style w:type="paragraph" w:customStyle="1" w:styleId="Char3CharCharCharCharCharChar1">
    <w:name w:val="Char3 Char Char Char Char Char Char1"/>
    <w:basedOn w:val="a9"/>
    <w:qFormat/>
    <w:pPr>
      <w:spacing w:line="360" w:lineRule="auto"/>
      <w:ind w:firstLineChars="200" w:firstLine="200"/>
    </w:pPr>
    <w:rPr>
      <w:rFonts w:ascii="宋体" w:hAnsi="宋体" w:cs="宋体"/>
      <w:sz w:val="24"/>
    </w:rPr>
  </w:style>
  <w:style w:type="paragraph" w:customStyle="1" w:styleId="CharChar1Char1">
    <w:name w:val="Char Char1 Char1"/>
    <w:basedOn w:val="a9"/>
    <w:qFormat/>
    <w:pPr>
      <w:spacing w:line="360" w:lineRule="auto"/>
      <w:ind w:firstLineChars="200" w:firstLine="200"/>
    </w:pPr>
    <w:rPr>
      <w:rFonts w:ascii="宋体" w:hAnsi="宋体" w:cs="宋体"/>
      <w:sz w:val="24"/>
    </w:rPr>
  </w:style>
  <w:style w:type="paragraph" w:customStyle="1" w:styleId="0852">
    <w:name w:val="样式 左侧:  0.85 厘米 首行缩进:  2 字符"/>
    <w:basedOn w:val="a9"/>
    <w:qFormat/>
    <w:pPr>
      <w:widowControl/>
      <w:spacing w:line="480" w:lineRule="exact"/>
      <w:ind w:firstLineChars="200" w:firstLine="200"/>
    </w:pPr>
    <w:rPr>
      <w:rFonts w:cs="宋体"/>
      <w:sz w:val="24"/>
      <w:lang w:bidi="ne-NP"/>
    </w:rPr>
  </w:style>
  <w:style w:type="paragraph" w:customStyle="1" w:styleId="xl109">
    <w:name w:val="xl109"/>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color w:val="FF0000"/>
      <w:sz w:val="18"/>
      <w:szCs w:val="1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9"/>
    <w:pPr>
      <w:spacing w:line="360" w:lineRule="auto"/>
      <w:ind w:firstLineChars="200" w:firstLine="200"/>
    </w:pPr>
    <w:rPr>
      <w:rFonts w:ascii="宋体" w:hAnsi="宋体" w:cs="宋体"/>
      <w:sz w:val="24"/>
    </w:rPr>
  </w:style>
  <w:style w:type="paragraph" w:customStyle="1" w:styleId="xl112">
    <w:name w:val="xl112"/>
    <w:basedOn w:val="a9"/>
    <w:qFormat/>
    <w:pPr>
      <w:widowControl/>
      <w:pBdr>
        <w:top w:val="single" w:sz="12" w:space="0" w:color="auto"/>
        <w:left w:val="single" w:sz="4" w:space="0" w:color="auto"/>
      </w:pBdr>
      <w:spacing w:before="100" w:beforeAutospacing="1" w:after="100" w:afterAutospacing="1" w:line="360" w:lineRule="auto"/>
      <w:jc w:val="center"/>
      <w:textAlignment w:val="center"/>
    </w:pPr>
    <w:rPr>
      <w:rFonts w:ascii="宋体" w:hAnsi="宋体" w:cs="宋体"/>
      <w:b/>
      <w:bCs/>
      <w:color w:val="000000"/>
      <w:sz w:val="18"/>
      <w:szCs w:val="18"/>
    </w:rPr>
  </w:style>
  <w:style w:type="paragraph" w:customStyle="1" w:styleId="xl590">
    <w:name w:val="xl590"/>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4125">
    <w:name w:val="样式 标题 4 + 行距: 多倍行距 1.25 字行"/>
    <w:basedOn w:val="4"/>
    <w:semiHidden/>
    <w:qFormat/>
    <w:pPr>
      <w:keepNext/>
      <w:keepLines/>
      <w:numPr>
        <w:ilvl w:val="0"/>
        <w:numId w:val="0"/>
      </w:numPr>
      <w:tabs>
        <w:tab w:val="left" w:pos="0"/>
        <w:tab w:val="left" w:pos="210"/>
        <w:tab w:val="left" w:pos="851"/>
      </w:tabs>
      <w:spacing w:after="0" w:line="300" w:lineRule="auto"/>
      <w:ind w:left="851" w:hanging="851"/>
    </w:pPr>
    <w:rPr>
      <w:rFonts w:ascii="Arial" w:hAnsi="Arial"/>
      <w:bCs/>
    </w:rPr>
  </w:style>
  <w:style w:type="paragraph" w:customStyle="1" w:styleId="CharChar3Char1">
    <w:name w:val="Char Char3 Char1"/>
    <w:basedOn w:val="a9"/>
    <w:qFormat/>
    <w:pPr>
      <w:spacing w:line="360" w:lineRule="auto"/>
      <w:ind w:firstLineChars="200" w:firstLine="200"/>
    </w:pPr>
    <w:rPr>
      <w:rFonts w:ascii="宋体" w:hAnsi="宋体" w:cs="宋体"/>
      <w:sz w:val="24"/>
    </w:rPr>
  </w:style>
  <w:style w:type="paragraph" w:customStyle="1" w:styleId="4Char0">
    <w:name w:val="标题4 Char"/>
    <w:basedOn w:val="a9"/>
    <w:next w:val="affff7"/>
    <w:semiHidden/>
    <w:qFormat/>
    <w:pPr>
      <w:tabs>
        <w:tab w:val="left" w:leader="dot" w:pos="0"/>
        <w:tab w:val="left" w:pos="720"/>
      </w:tabs>
      <w:spacing w:after="60" w:line="360" w:lineRule="auto"/>
      <w:ind w:left="720" w:hanging="720"/>
      <w:outlineLvl w:val="3"/>
    </w:pPr>
    <w:rPr>
      <w:b/>
      <w:sz w:val="24"/>
    </w:rPr>
  </w:style>
  <w:style w:type="paragraph" w:customStyle="1" w:styleId="xl98">
    <w:name w:val="xl98"/>
    <w:basedOn w:val="a9"/>
    <w:qFormat/>
    <w:pPr>
      <w:widowControl/>
      <w:pBdr>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15">
    <w:name w:val="字元 字元11"/>
    <w:basedOn w:val="a9"/>
    <w:qFormat/>
    <w:pPr>
      <w:widowControl/>
      <w:spacing w:after="160" w:line="240" w:lineRule="exact"/>
    </w:pPr>
    <w:rPr>
      <w:rFonts w:ascii="Verdana" w:hAnsi="Verdana" w:cs="宋体"/>
      <w:lang w:eastAsia="en-US" w:bidi="ne-NP"/>
    </w:rPr>
  </w:style>
  <w:style w:type="paragraph" w:customStyle="1" w:styleId="afffffffffffff1">
    <w:name w:val="图片"/>
    <w:basedOn w:val="a9"/>
    <w:qFormat/>
    <w:pPr>
      <w:adjustRightInd w:val="0"/>
      <w:snapToGrid w:val="0"/>
      <w:spacing w:beforeLines="50" w:before="156" w:afterLines="50" w:after="156"/>
      <w:jc w:val="center"/>
    </w:pPr>
    <w:rPr>
      <w:rFonts w:ascii="宋体" w:hAnsi="宋体"/>
      <w:color w:val="000000"/>
      <w:sz w:val="24"/>
    </w:rPr>
  </w:style>
  <w:style w:type="paragraph" w:customStyle="1" w:styleId="B">
    <w:name w:val="标题 B"/>
    <w:basedOn w:val="2"/>
    <w:link w:val="BChar"/>
    <w:qFormat/>
    <w:pPr>
      <w:keepNext/>
      <w:keepLines w:val="0"/>
      <w:widowControl/>
      <w:numPr>
        <w:ilvl w:val="0"/>
        <w:numId w:val="0"/>
      </w:numPr>
      <w:pBdr>
        <w:bottom w:val="none" w:sz="0" w:space="0" w:color="auto"/>
      </w:pBdr>
      <w:adjustRightInd w:val="0"/>
      <w:spacing w:before="840" w:after="240" w:line="400" w:lineRule="exact"/>
      <w:jc w:val="center"/>
      <w:textAlignment w:val="baseline"/>
      <w:outlineLvl w:val="9"/>
    </w:pPr>
    <w:rPr>
      <w:rFonts w:ascii="宋体" w:eastAsia="宋体"/>
      <w:b w:val="0"/>
      <w:spacing w:val="8"/>
      <w:sz w:val="30"/>
    </w:rPr>
  </w:style>
  <w:style w:type="paragraph" w:customStyle="1" w:styleId="xl66">
    <w:name w:val="xl6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18"/>
      <w:szCs w:val="18"/>
    </w:rPr>
  </w:style>
  <w:style w:type="paragraph" w:customStyle="1" w:styleId="xl77">
    <w:name w:val="xl77"/>
    <w:basedOn w:val="a9"/>
    <w:qFormat/>
    <w:pPr>
      <w:widowControl/>
      <w:pBdr>
        <w:top w:val="single" w:sz="12" w:space="0" w:color="auto"/>
        <w:right w:val="single" w:sz="8" w:space="0" w:color="auto"/>
      </w:pBdr>
      <w:spacing w:before="100" w:beforeAutospacing="1" w:after="100" w:afterAutospacing="1" w:line="360" w:lineRule="auto"/>
      <w:jc w:val="center"/>
      <w:textAlignment w:val="center"/>
    </w:pPr>
    <w:rPr>
      <w:rFonts w:ascii="宋体" w:hAnsi="宋体" w:cs="宋体"/>
      <w:b/>
      <w:bCs/>
      <w:color w:val="000000"/>
      <w:sz w:val="18"/>
      <w:szCs w:val="18"/>
    </w:rPr>
  </w:style>
  <w:style w:type="paragraph" w:customStyle="1" w:styleId="3CharCharCharCharCharChar1CharCharChar">
    <w:name w:val="标题3 Char Char Char Char Char Char1 Char Char Char"/>
    <w:basedOn w:val="a9"/>
    <w:qFormat/>
    <w:pPr>
      <w:widowControl/>
      <w:spacing w:afterLines="50" w:line="560" w:lineRule="exact"/>
    </w:pPr>
    <w:rPr>
      <w:rFonts w:eastAsia="黑体" w:cs="宋体"/>
      <w:sz w:val="30"/>
      <w:szCs w:val="30"/>
      <w:lang w:bidi="ne-NP"/>
    </w:rPr>
  </w:style>
  <w:style w:type="paragraph" w:customStyle="1" w:styleId="41111111Heading4Subsection4dash1">
    <w:name w:val="样式 标题 4款标题1.1.1段款标题1.1.1.1四四级标题Heading4Subsection4 dash...1"/>
    <w:basedOn w:val="4"/>
    <w:qFormat/>
    <w:pPr>
      <w:keepNext/>
      <w:keepLines/>
      <w:numPr>
        <w:ilvl w:val="0"/>
        <w:numId w:val="0"/>
      </w:numPr>
      <w:tabs>
        <w:tab w:val="left" w:pos="864"/>
        <w:tab w:val="left" w:pos="1567"/>
      </w:tabs>
      <w:spacing w:after="0"/>
      <w:ind w:left="864" w:hanging="864"/>
    </w:pPr>
    <w:rPr>
      <w:bCs/>
      <w:szCs w:val="28"/>
    </w:rPr>
  </w:style>
  <w:style w:type="paragraph" w:customStyle="1" w:styleId="xl536">
    <w:name w:val="xl53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DFKai-SB" w:eastAsia="DFKai-SB" w:hAnsi="宋体" w:cs="宋体"/>
      <w:lang w:bidi="ne-NP"/>
    </w:rPr>
  </w:style>
  <w:style w:type="paragraph" w:customStyle="1" w:styleId="66">
    <w:name w:val="6"/>
    <w:basedOn w:val="a9"/>
    <w:next w:val="36"/>
    <w:qFormat/>
    <w:pPr>
      <w:spacing w:after="80" w:line="480" w:lineRule="atLeast"/>
      <w:ind w:firstLine="560"/>
    </w:pPr>
    <w:rPr>
      <w:sz w:val="24"/>
    </w:rPr>
  </w:style>
  <w:style w:type="paragraph" w:customStyle="1" w:styleId="xl581">
    <w:name w:val="xl581"/>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1110">
    <w:name w:val="1.1.1"/>
    <w:basedOn w:val="a9"/>
    <w:qFormat/>
    <w:rPr>
      <w:rFonts w:ascii="黑体"/>
      <w:sz w:val="24"/>
    </w:rPr>
  </w:style>
  <w:style w:type="paragraph" w:customStyle="1" w:styleId="afffffffffffff2">
    <w:name w:val="表格标题居中"/>
    <w:basedOn w:val="affffffffffff3"/>
    <w:semiHidden/>
    <w:qFormat/>
    <w:pPr>
      <w:ind w:rightChars="0" w:right="0"/>
    </w:pPr>
    <w:rPr>
      <w:rFonts w:eastAsia="黑体"/>
    </w:rPr>
  </w:style>
  <w:style w:type="paragraph" w:customStyle="1" w:styleId="afffffffffffff3">
    <w:name w:val="图名表名"/>
    <w:basedOn w:val="a9"/>
    <w:qFormat/>
    <w:pPr>
      <w:ind w:firstLineChars="200" w:firstLine="200"/>
      <w:jc w:val="center"/>
    </w:pPr>
    <w:rPr>
      <w:b/>
    </w:rPr>
  </w:style>
  <w:style w:type="paragraph" w:customStyle="1" w:styleId="font12">
    <w:name w:val="font12"/>
    <w:basedOn w:val="a9"/>
    <w:qFormat/>
    <w:pPr>
      <w:widowControl/>
      <w:spacing w:before="100" w:beforeAutospacing="1" w:after="100" w:afterAutospacing="1" w:line="360" w:lineRule="auto"/>
      <w:jc w:val="left"/>
    </w:pPr>
    <w:rPr>
      <w:rFonts w:ascii="Tahoma" w:hAnsi="Tahoma" w:cs="Tahoma"/>
      <w:sz w:val="18"/>
      <w:szCs w:val="18"/>
    </w:rPr>
  </w:style>
  <w:style w:type="paragraph" w:customStyle="1" w:styleId="Char3CharCharChar5">
    <w:name w:val="Char3 Char Char Char5"/>
    <w:basedOn w:val="a9"/>
    <w:qFormat/>
    <w:pPr>
      <w:spacing w:line="360" w:lineRule="auto"/>
      <w:ind w:firstLineChars="200" w:firstLine="200"/>
    </w:pPr>
    <w:rPr>
      <w:rFonts w:ascii="宋体" w:hAnsi="宋体" w:cs="宋体"/>
      <w:sz w:val="24"/>
    </w:rPr>
  </w:style>
  <w:style w:type="paragraph" w:customStyle="1" w:styleId="Char45">
    <w:name w:val="Char45"/>
    <w:basedOn w:val="a9"/>
    <w:qFormat/>
    <w:pPr>
      <w:spacing w:line="360" w:lineRule="auto"/>
      <w:ind w:firstLineChars="200" w:firstLine="200"/>
    </w:pPr>
    <w:rPr>
      <w:rFonts w:ascii="宋体" w:hAnsi="宋体" w:cs="宋体"/>
      <w:sz w:val="24"/>
    </w:rPr>
  </w:style>
  <w:style w:type="paragraph" w:customStyle="1" w:styleId="xl38">
    <w:name w:val="xl38"/>
    <w:basedOn w:val="a9"/>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CM12">
    <w:name w:val="CM12"/>
    <w:basedOn w:val="Default"/>
    <w:next w:val="Default"/>
    <w:qFormat/>
    <w:pPr>
      <w:spacing w:line="626" w:lineRule="atLeast"/>
    </w:pPr>
    <w:rPr>
      <w:rFonts w:ascii="宋体" w:eastAsia="宋体" w:cs="Times New Roman"/>
      <w:color w:val="auto"/>
    </w:rPr>
  </w:style>
  <w:style w:type="paragraph" w:customStyle="1" w:styleId="xl23">
    <w:name w:val="xl23"/>
    <w:basedOn w:val="a9"/>
    <w:qFormat/>
    <w:pPr>
      <w:widowControl/>
      <w:pBdr>
        <w:bottom w:val="single" w:sz="4" w:space="0" w:color="auto"/>
        <w:right w:val="single" w:sz="4" w:space="0" w:color="auto"/>
      </w:pBdr>
      <w:spacing w:before="100" w:beforeAutospacing="1" w:after="100" w:afterAutospacing="1"/>
      <w:jc w:val="center"/>
      <w:textAlignment w:val="center"/>
    </w:pPr>
    <w:rPr>
      <w:szCs w:val="21"/>
    </w:rPr>
  </w:style>
  <w:style w:type="paragraph" w:customStyle="1" w:styleId="afffffffffffff4">
    <w:name w:val="样式 正文（首行缩进两字） + 宋体"/>
    <w:basedOn w:val="aa"/>
    <w:qFormat/>
    <w:pPr>
      <w:adjustRightInd w:val="0"/>
      <w:spacing w:line="440" w:lineRule="exact"/>
      <w:ind w:firstLineChars="200" w:firstLine="560"/>
      <w:jc w:val="left"/>
    </w:pPr>
    <w:rPr>
      <w:spacing w:val="20"/>
      <w:szCs w:val="24"/>
    </w:rPr>
  </w:style>
  <w:style w:type="paragraph" w:customStyle="1" w:styleId="BalloonText1">
    <w:name w:val="Balloon Text1"/>
    <w:basedOn w:val="a9"/>
    <w:semiHidden/>
    <w:qFormat/>
    <w:rPr>
      <w:rFonts w:ascii="Tahoma" w:hAnsi="Tahoma" w:cs="Tahoma"/>
      <w:sz w:val="16"/>
      <w:szCs w:val="16"/>
    </w:rPr>
  </w:style>
  <w:style w:type="paragraph" w:customStyle="1" w:styleId="CharCharCharChar0">
    <w:name w:val="列表名称 Char Char Char Char"/>
    <w:basedOn w:val="a9"/>
    <w:qFormat/>
    <w:pPr>
      <w:widowControl/>
      <w:tabs>
        <w:tab w:val="left" w:pos="3777"/>
        <w:tab w:val="left" w:pos="5106"/>
        <w:tab w:val="left" w:pos="6313"/>
        <w:tab w:val="left" w:pos="7998"/>
        <w:tab w:val="left" w:pos="9238"/>
      </w:tabs>
      <w:spacing w:line="480" w:lineRule="exact"/>
      <w:jc w:val="center"/>
    </w:pPr>
    <w:rPr>
      <w:rFonts w:eastAsia="黑体" w:cs="宋体"/>
      <w:bCs/>
      <w:sz w:val="24"/>
      <w:lang w:bidi="ne-NP"/>
    </w:rPr>
  </w:style>
  <w:style w:type="paragraph" w:customStyle="1" w:styleId="CharChar3CharCharCharChar">
    <w:name w:val="Char Char3 Char Char Char Char"/>
    <w:basedOn w:val="a9"/>
    <w:qFormat/>
    <w:rPr>
      <w:rFonts w:cs="宋体"/>
      <w:sz w:val="24"/>
    </w:rPr>
  </w:style>
  <w:style w:type="paragraph" w:customStyle="1" w:styleId="xl121">
    <w:name w:val="xl121"/>
    <w:basedOn w:val="a9"/>
    <w:qFormat/>
    <w:pPr>
      <w:widowControl/>
      <w:pBdr>
        <w:bottom w:val="single" w:sz="8" w:space="0" w:color="auto"/>
      </w:pBdr>
      <w:spacing w:before="100" w:beforeAutospacing="1" w:after="100" w:afterAutospacing="1" w:line="360" w:lineRule="auto"/>
      <w:jc w:val="center"/>
      <w:textAlignment w:val="center"/>
    </w:pPr>
    <w:rPr>
      <w:rFonts w:ascii="等线" w:eastAsia="等线" w:hAnsi="宋体" w:cs="宋体"/>
      <w:color w:val="FF0000"/>
      <w:sz w:val="24"/>
    </w:rPr>
  </w:style>
  <w:style w:type="paragraph" w:customStyle="1" w:styleId="2ff">
    <w:name w:val="目录2"/>
    <w:basedOn w:val="25"/>
    <w:qFormat/>
    <w:pPr>
      <w:widowControl/>
      <w:tabs>
        <w:tab w:val="clear" w:pos="840"/>
        <w:tab w:val="clear" w:pos="9628"/>
        <w:tab w:val="right" w:leader="dot" w:pos="8835"/>
      </w:tabs>
      <w:adjustRightInd w:val="0"/>
      <w:snapToGrid w:val="0"/>
      <w:spacing w:before="0" w:line="360" w:lineRule="auto"/>
      <w:ind w:left="0" w:firstLineChars="200" w:firstLine="480"/>
    </w:pPr>
    <w:rPr>
      <w:rFonts w:eastAsia="楷体_GB2312" w:cs="宋体"/>
      <w:b w:val="0"/>
      <w:i w:val="0"/>
      <w:iCs w:val="0"/>
      <w:smallCaps/>
      <w:spacing w:val="4"/>
      <w:kern w:val="18"/>
      <w:lang w:bidi="ne-NP"/>
    </w:rPr>
  </w:style>
  <w:style w:type="paragraph" w:customStyle="1" w:styleId="1fffc">
    <w:name w:val="插图1"/>
    <w:basedOn w:val="a9"/>
    <w:qFormat/>
    <w:pPr>
      <w:widowControl/>
      <w:suppressLineNumbers/>
      <w:suppressAutoHyphens/>
      <w:topLinePunct/>
      <w:adjustRightInd w:val="0"/>
      <w:snapToGrid w:val="0"/>
      <w:spacing w:beforeLines="20" w:line="360" w:lineRule="auto"/>
      <w:jc w:val="center"/>
    </w:pPr>
    <w:rPr>
      <w:rFonts w:cs="宋体"/>
      <w:b/>
      <w:sz w:val="24"/>
      <w:szCs w:val="21"/>
      <w:lang w:bidi="ne-NP"/>
    </w:rPr>
  </w:style>
  <w:style w:type="paragraph" w:customStyle="1" w:styleId="1CharCharCharChar0">
    <w:name w:val="样式 正文1 Char Char + 字距调整七号 Char Char"/>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fffd">
    <w:name w:val="正文文本缩进1"/>
    <w:basedOn w:val="a9"/>
    <w:qFormat/>
    <w:pPr>
      <w:spacing w:line="360" w:lineRule="exact"/>
      <w:ind w:firstLineChars="200" w:firstLine="480"/>
    </w:pPr>
    <w:rPr>
      <w:sz w:val="24"/>
    </w:rPr>
  </w:style>
  <w:style w:type="paragraph" w:customStyle="1" w:styleId="xl93">
    <w:name w:val="xl93"/>
    <w:basedOn w:val="a9"/>
    <w:qFormat/>
    <w:pPr>
      <w:widowControl/>
      <w:pBdr>
        <w:left w:val="single" w:sz="8" w:space="0" w:color="000000"/>
        <w:bottom w:val="single" w:sz="12"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fffe">
    <w:name w:val="字元 字元1"/>
    <w:basedOn w:val="a9"/>
    <w:qFormat/>
    <w:pPr>
      <w:widowControl/>
      <w:spacing w:after="160" w:line="240" w:lineRule="exact"/>
      <w:jc w:val="left"/>
    </w:pPr>
    <w:rPr>
      <w:rFonts w:ascii="Verdana" w:hAnsi="Verdana" w:cs="宋体"/>
      <w:lang w:eastAsia="en-US" w:bidi="ne-NP"/>
    </w:rPr>
  </w:style>
  <w:style w:type="paragraph" w:customStyle="1" w:styleId="font9">
    <w:name w:val="font9"/>
    <w:basedOn w:val="a9"/>
    <w:qFormat/>
    <w:pPr>
      <w:widowControl/>
      <w:spacing w:before="100" w:beforeAutospacing="1" w:after="100" w:afterAutospacing="1"/>
      <w:jc w:val="left"/>
    </w:pPr>
    <w:rPr>
      <w:rFonts w:eastAsia="Arial Unicode MS"/>
      <w:sz w:val="16"/>
      <w:szCs w:val="16"/>
    </w:rPr>
  </w:style>
  <w:style w:type="paragraph" w:customStyle="1" w:styleId="reader-word-layerreader-word-s1-9">
    <w:name w:val="reader-word-layer reader-word-s1-9"/>
    <w:basedOn w:val="a9"/>
    <w:qFormat/>
    <w:pPr>
      <w:widowControl/>
      <w:spacing w:before="100" w:beforeAutospacing="1" w:after="100" w:afterAutospacing="1"/>
      <w:jc w:val="left"/>
    </w:pPr>
    <w:rPr>
      <w:rFonts w:ascii="宋体" w:hAnsi="宋体" w:cs="宋体"/>
      <w:sz w:val="24"/>
      <w:lang w:bidi="ne-NP"/>
    </w:rPr>
  </w:style>
  <w:style w:type="paragraph" w:customStyle="1" w:styleId="CharCharChar1CharCharCharCharCharCharCharCharCharChar5">
    <w:name w:val="Char Char Char1 Char Char Char Char Char Char Char Char Char Char5"/>
    <w:basedOn w:val="a9"/>
  </w:style>
  <w:style w:type="paragraph" w:customStyle="1" w:styleId="231">
    <w:name w:val="样式23"/>
    <w:basedOn w:val="a9"/>
    <w:qFormat/>
    <w:pPr>
      <w:adjustRightInd w:val="0"/>
      <w:spacing w:before="120" w:after="120" w:line="240" w:lineRule="atLeast"/>
      <w:jc w:val="center"/>
    </w:pPr>
    <w:rPr>
      <w:rFonts w:eastAsia="楷体_GB2312"/>
      <w:kern w:val="28"/>
    </w:rPr>
  </w:style>
  <w:style w:type="paragraph" w:customStyle="1" w:styleId="217">
    <w:name w:val="正文文本 21"/>
    <w:basedOn w:val="a9"/>
    <w:qFormat/>
    <w:pPr>
      <w:widowControl/>
      <w:autoSpaceDE w:val="0"/>
      <w:autoSpaceDN w:val="0"/>
      <w:adjustRightInd w:val="0"/>
      <w:spacing w:line="360" w:lineRule="atLeast"/>
      <w:ind w:firstLineChars="200" w:firstLine="454"/>
      <w:jc w:val="left"/>
      <w:textAlignment w:val="baseline"/>
    </w:pPr>
    <w:rPr>
      <w:rFonts w:ascii="宋体" w:eastAsia="仿宋_GB2312" w:hAnsi="Tms Rmn" w:cs="宋体"/>
      <w:spacing w:val="4"/>
      <w:sz w:val="28"/>
      <w:lang w:bidi="ne-NP"/>
    </w:rPr>
  </w:style>
  <w:style w:type="paragraph" w:customStyle="1" w:styleId="115615612">
    <w:name w:val="样式 样式 标题 1 + (中文) 黑体 段前: 15.6 磅 段后: 15.6 磅 行距: 最小值 12 磅 + 两端对齐"/>
    <w:basedOn w:val="a9"/>
    <w:qFormat/>
    <w:pPr>
      <w:keepNext/>
      <w:keepLines/>
      <w:widowControl/>
      <w:adjustRightInd w:val="0"/>
      <w:snapToGrid w:val="0"/>
      <w:spacing w:after="312"/>
      <w:outlineLvl w:val="0"/>
    </w:pPr>
    <w:rPr>
      <w:rFonts w:eastAsia="黑体" w:cs="宋体"/>
      <w:kern w:val="44"/>
      <w:sz w:val="32"/>
      <w:lang w:bidi="ne-NP"/>
    </w:rPr>
  </w:style>
  <w:style w:type="paragraph" w:customStyle="1" w:styleId="xl39">
    <w:name w:val="xl39"/>
    <w:basedOn w:val="a9"/>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27">
    <w:name w:val="xl27"/>
    <w:basedOn w:val="a9"/>
    <w:qFormat/>
    <w:pPr>
      <w:widowControl/>
      <w:pBdr>
        <w:top w:val="single" w:sz="12" w:space="0" w:color="auto"/>
        <w:left w:val="single" w:sz="4" w:space="0" w:color="auto"/>
        <w:bottom w:val="single" w:sz="4" w:space="0" w:color="auto"/>
        <w:right w:val="single" w:sz="4" w:space="0" w:color="auto"/>
      </w:pBdr>
      <w:shd w:val="clear" w:color="auto" w:fill="CCCCFF"/>
      <w:spacing w:before="100" w:beforeAutospacing="1" w:after="100" w:afterAutospacing="1"/>
      <w:jc w:val="center"/>
    </w:pPr>
    <w:rPr>
      <w:rFonts w:ascii="宋体" w:hAnsi="宋体"/>
      <w:sz w:val="24"/>
    </w:rPr>
  </w:style>
  <w:style w:type="paragraph" w:customStyle="1" w:styleId="3f9">
    <w:name w:val="污水处理3"/>
    <w:basedOn w:val="a9"/>
    <w:qFormat/>
    <w:pPr>
      <w:widowControl/>
      <w:adjustRightInd w:val="0"/>
      <w:spacing w:line="0" w:lineRule="atLeast"/>
      <w:jc w:val="center"/>
    </w:pPr>
    <w:rPr>
      <w:rFonts w:eastAsia="Times New Roman" w:cs="宋体"/>
      <w:spacing w:val="4"/>
      <w:kern w:val="18"/>
      <w:sz w:val="15"/>
      <w:szCs w:val="28"/>
      <w:lang w:bidi="ne-NP"/>
    </w:rPr>
  </w:style>
  <w:style w:type="paragraph" w:customStyle="1" w:styleId="3fa">
    <w:name w:val="日期3"/>
    <w:basedOn w:val="a9"/>
    <w:next w:val="a9"/>
    <w:semiHidden/>
    <w:qFormat/>
    <w:pPr>
      <w:widowControl/>
      <w:adjustRightInd w:val="0"/>
      <w:spacing w:line="360" w:lineRule="auto"/>
      <w:ind w:firstLineChars="200" w:firstLine="576"/>
      <w:textAlignment w:val="baseline"/>
    </w:pPr>
    <w:rPr>
      <w:rFonts w:ascii="仿宋_GB2312" w:eastAsia="仿宋_GB2312" w:cs="宋体"/>
      <w:spacing w:val="4"/>
      <w:kern w:val="18"/>
      <w:sz w:val="28"/>
      <w:lang w:bidi="ne-NP"/>
    </w:rPr>
  </w:style>
  <w:style w:type="paragraph" w:customStyle="1" w:styleId="CharCharChar1CharCharChar">
    <w:name w:val="Char Char Char1 Char Char Char"/>
    <w:basedOn w:val="a9"/>
    <w:pPr>
      <w:spacing w:line="360" w:lineRule="auto"/>
      <w:ind w:firstLineChars="200" w:firstLine="200"/>
    </w:pPr>
    <w:rPr>
      <w:rFonts w:ascii="宋体" w:hAnsi="宋体" w:cs="宋体"/>
      <w:sz w:val="24"/>
    </w:rPr>
  </w:style>
  <w:style w:type="paragraph" w:customStyle="1" w:styleId="afffffffffffff5">
    <w:name w:val="郧西正文"/>
    <w:basedOn w:val="a9"/>
    <w:qFormat/>
    <w:pPr>
      <w:widowControl/>
      <w:spacing w:line="440" w:lineRule="exact"/>
      <w:ind w:firstLineChars="200" w:firstLine="200"/>
    </w:pPr>
    <w:rPr>
      <w:rFonts w:ascii="Arial" w:hAnsi="Arial" w:cs="宋体"/>
      <w:sz w:val="24"/>
      <w:lang w:bidi="ne-NP"/>
    </w:rPr>
  </w:style>
  <w:style w:type="paragraph" w:customStyle="1" w:styleId="106628">
    <w:name w:val="样式 标题 1 + 首行缩进:  0 厘米 段前: 6 磅 段后: 6 磅 行距: 固定值 28 磅"/>
    <w:basedOn w:val="1"/>
    <w:qFormat/>
    <w:pPr>
      <w:widowControl/>
      <w:numPr>
        <w:numId w:val="0"/>
      </w:numPr>
      <w:tabs>
        <w:tab w:val="left" w:pos="1800"/>
      </w:tabs>
      <w:spacing w:beforeLines="200" w:after="120" w:line="560" w:lineRule="exact"/>
      <w:jc w:val="center"/>
    </w:pPr>
    <w:rPr>
      <w:rFonts w:ascii="黑体" w:eastAsia="黑体" w:cs="宋体"/>
      <w:b w:val="0"/>
      <w:bCs/>
      <w:color w:val="000000"/>
      <w:szCs w:val="32"/>
      <w:u w:color="000000"/>
    </w:rPr>
  </w:style>
  <w:style w:type="paragraph" w:customStyle="1" w:styleId="a4">
    <w:name w:val="表序号"/>
    <w:basedOn w:val="5"/>
    <w:qFormat/>
    <w:pPr>
      <w:keepLines/>
      <w:widowControl/>
      <w:numPr>
        <w:ilvl w:val="5"/>
        <w:numId w:val="5"/>
      </w:numPr>
      <w:tabs>
        <w:tab w:val="left" w:pos="944"/>
        <w:tab w:val="left" w:pos="1567"/>
        <w:tab w:val="left" w:pos="1997"/>
        <w:tab w:val="left" w:pos="2287"/>
      </w:tabs>
      <w:spacing w:after="0"/>
      <w:jc w:val="center"/>
    </w:pPr>
    <w:rPr>
      <w:rFonts w:ascii="仿宋_GB2312" w:eastAsia="仿宋_GB2312" w:hAnsi="Arial"/>
      <w:kern w:val="44"/>
      <w:sz w:val="28"/>
    </w:rPr>
  </w:style>
  <w:style w:type="paragraph" w:customStyle="1" w:styleId="xl586">
    <w:name w:val="xl586"/>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afffffffffffff6">
    <w:name w:val="表格小五"/>
    <w:basedOn w:val="a9"/>
    <w:qFormat/>
    <w:pPr>
      <w:adjustRightInd w:val="0"/>
      <w:snapToGrid w:val="0"/>
      <w:spacing w:line="320" w:lineRule="exact"/>
      <w:ind w:leftChars="-20" w:left="-42" w:rightChars="-20" w:right="-42"/>
      <w:jc w:val="center"/>
      <w:textAlignment w:val="baseline"/>
    </w:pPr>
    <w:rPr>
      <w:snapToGrid w:val="0"/>
      <w:color w:val="000000"/>
      <w:kern w:val="40"/>
      <w:sz w:val="18"/>
    </w:rPr>
  </w:style>
  <w:style w:type="paragraph" w:customStyle="1" w:styleId="xl547">
    <w:name w:val="xl54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105v">
    <w:name w:val="105v"/>
    <w:basedOn w:val="a9"/>
    <w:qFormat/>
    <w:pPr>
      <w:widowControl/>
      <w:spacing w:before="100" w:beforeAutospacing="1" w:after="100" w:afterAutospacing="1" w:line="360" w:lineRule="auto"/>
      <w:jc w:val="left"/>
    </w:pPr>
    <w:rPr>
      <w:rFonts w:ascii="宋体" w:hAnsi="宋体" w:cs="宋体"/>
      <w:szCs w:val="21"/>
    </w:rPr>
  </w:style>
  <w:style w:type="paragraph" w:customStyle="1" w:styleId="Charfffff5">
    <w:name w:val="图名 Char"/>
    <w:basedOn w:val="affb"/>
    <w:qFormat/>
    <w:pPr>
      <w:widowControl/>
      <w:spacing w:line="480" w:lineRule="exact"/>
      <w:ind w:left="0" w:firstLine="0"/>
      <w:jc w:val="center"/>
    </w:pPr>
    <w:rPr>
      <w:rFonts w:eastAsia="黑体"/>
      <w:sz w:val="24"/>
      <w:szCs w:val="24"/>
    </w:rPr>
  </w:style>
  <w:style w:type="paragraph" w:customStyle="1" w:styleId="afffffffffffff7">
    <w:name w:val="文本框"/>
    <w:basedOn w:val="afffffffffffff8"/>
    <w:semiHidden/>
    <w:qFormat/>
    <w:pPr>
      <w:widowControl/>
    </w:pPr>
    <w:rPr>
      <w:rFonts w:ascii="宋体" w:hAnsi="宋体"/>
    </w:rPr>
  </w:style>
  <w:style w:type="paragraph" w:customStyle="1" w:styleId="afffffffffffff8">
    <w:name w:val="五号"/>
    <w:basedOn w:val="a9"/>
    <w:semiHidden/>
    <w:qFormat/>
  </w:style>
  <w:style w:type="paragraph" w:customStyle="1" w:styleId="xl36">
    <w:name w:val="xl36"/>
    <w:basedOn w:val="a9"/>
    <w:qFormat/>
    <w:pPr>
      <w:widowControl/>
      <w:spacing w:before="100" w:beforeAutospacing="1" w:after="100" w:afterAutospacing="1"/>
      <w:jc w:val="center"/>
    </w:pPr>
    <w:rPr>
      <w:rFonts w:ascii="宋体" w:hAnsi="宋体"/>
      <w:sz w:val="24"/>
    </w:rPr>
  </w:style>
  <w:style w:type="paragraph" w:customStyle="1" w:styleId="layer4">
    <w:name w:val="layer4"/>
    <w:basedOn w:val="aa"/>
    <w:next w:val="aa"/>
    <w:qFormat/>
    <w:pPr>
      <w:tabs>
        <w:tab w:val="left" w:pos="360"/>
      </w:tabs>
      <w:spacing w:before="120" w:after="120" w:line="300" w:lineRule="auto"/>
      <w:ind w:firstLine="420"/>
    </w:pPr>
    <w:rPr>
      <w:rFonts w:ascii="Arial" w:eastAsia="楷体_GB2312" w:hAnsi="Arial"/>
      <w:sz w:val="30"/>
    </w:rPr>
  </w:style>
  <w:style w:type="paragraph" w:customStyle="1" w:styleId="2120">
    <w:name w:val="样式 样式 首行缩进:  2 字符1 + 首行缩进:  2 字符"/>
    <w:basedOn w:val="a9"/>
    <w:qFormat/>
    <w:pPr>
      <w:spacing w:line="480" w:lineRule="exact"/>
      <w:ind w:firstLineChars="200" w:firstLine="200"/>
    </w:pPr>
    <w:rPr>
      <w:rFonts w:eastAsia="楷体_GB2312"/>
      <w:sz w:val="24"/>
    </w:rPr>
  </w:style>
  <w:style w:type="paragraph" w:customStyle="1" w:styleId="xl127">
    <w:name w:val="xl127"/>
    <w:basedOn w:val="a9"/>
    <w:qFormat/>
    <w:pPr>
      <w:widowControl/>
      <w:pBdr>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color w:val="000000"/>
    </w:rPr>
  </w:style>
  <w:style w:type="paragraph" w:customStyle="1" w:styleId="-0">
    <w:name w:val="二级标题-预案"/>
    <w:basedOn w:val="a9"/>
    <w:qFormat/>
    <w:pPr>
      <w:numPr>
        <w:ilvl w:val="1"/>
        <w:numId w:val="6"/>
      </w:numPr>
      <w:adjustRightInd w:val="0"/>
      <w:snapToGrid w:val="0"/>
      <w:spacing w:before="120" w:after="60" w:line="360" w:lineRule="auto"/>
      <w:outlineLvl w:val="1"/>
    </w:pPr>
    <w:rPr>
      <w:rFonts w:eastAsia="黑体"/>
      <w:b/>
      <w:sz w:val="24"/>
    </w:rPr>
  </w:style>
  <w:style w:type="paragraph" w:customStyle="1" w:styleId="afffffffffffff9">
    <w:name w:val="表后"/>
    <w:basedOn w:val="a9"/>
    <w:qFormat/>
    <w:pPr>
      <w:widowControl/>
      <w:adjustRightInd w:val="0"/>
      <w:spacing w:before="120" w:line="400" w:lineRule="exact"/>
      <w:ind w:firstLine="601"/>
      <w:jc w:val="left"/>
      <w:textAlignment w:val="baseline"/>
    </w:pPr>
    <w:rPr>
      <w:rFonts w:eastAsia="楷体_GB2312" w:cs="宋体"/>
      <w:spacing w:val="8"/>
      <w:sz w:val="28"/>
      <w:lang w:bidi="ne-NP"/>
    </w:rPr>
  </w:style>
  <w:style w:type="paragraph" w:customStyle="1" w:styleId="font14">
    <w:name w:val="font14"/>
    <w:basedOn w:val="a9"/>
    <w:qFormat/>
    <w:pPr>
      <w:widowControl/>
      <w:spacing w:before="100" w:beforeAutospacing="1" w:after="100" w:afterAutospacing="1" w:line="360" w:lineRule="auto"/>
      <w:jc w:val="left"/>
    </w:pPr>
    <w:rPr>
      <w:rFonts w:ascii="宋体" w:hAnsi="宋体" w:cs="宋体"/>
      <w:color w:val="000000"/>
      <w:sz w:val="22"/>
      <w:szCs w:val="22"/>
    </w:rPr>
  </w:style>
  <w:style w:type="paragraph" w:customStyle="1" w:styleId="afffffffffffffa">
    <w:name w:val="a"/>
    <w:basedOn w:val="a9"/>
    <w:qFormat/>
    <w:pPr>
      <w:widowControl/>
      <w:spacing w:after="75" w:line="360" w:lineRule="auto"/>
      <w:jc w:val="left"/>
    </w:pPr>
    <w:rPr>
      <w:rFonts w:ascii="宋体" w:hAnsi="宋体" w:cs="宋体"/>
      <w:sz w:val="24"/>
    </w:rPr>
  </w:style>
  <w:style w:type="paragraph" w:customStyle="1" w:styleId="xl123">
    <w:name w:val="xl123"/>
    <w:basedOn w:val="a9"/>
    <w:qFormat/>
    <w:pPr>
      <w:widowControl/>
      <w:pBdr>
        <w:bottom w:val="single" w:sz="8" w:space="0" w:color="auto"/>
      </w:pBdr>
      <w:spacing w:before="100" w:beforeAutospacing="1" w:after="100" w:afterAutospacing="1" w:line="360" w:lineRule="auto"/>
      <w:jc w:val="right"/>
      <w:textAlignment w:val="center"/>
    </w:pPr>
    <w:rPr>
      <w:rFonts w:ascii="等线" w:eastAsia="等线" w:hAnsi="宋体" w:cs="宋体"/>
      <w:sz w:val="24"/>
    </w:rPr>
  </w:style>
  <w:style w:type="paragraph" w:customStyle="1" w:styleId="1ffff">
    <w:name w:val="污水处理1"/>
    <w:basedOn w:val="a9"/>
    <w:qFormat/>
    <w:pPr>
      <w:widowControl/>
      <w:adjustRightInd w:val="0"/>
      <w:spacing w:line="360" w:lineRule="auto"/>
      <w:jc w:val="center"/>
    </w:pPr>
    <w:rPr>
      <w:rFonts w:ascii="仿宋_GB2312" w:cs="宋体"/>
      <w:b/>
      <w:bCs/>
      <w:spacing w:val="4"/>
      <w:kern w:val="18"/>
      <w:sz w:val="24"/>
      <w:szCs w:val="28"/>
      <w:lang w:bidi="ne-NP"/>
    </w:rPr>
  </w:style>
  <w:style w:type="paragraph" w:customStyle="1" w:styleId="font1">
    <w:name w:val="font1"/>
    <w:basedOn w:val="a9"/>
    <w:qFormat/>
    <w:pPr>
      <w:widowControl/>
      <w:spacing w:before="100" w:beforeAutospacing="1" w:after="100" w:afterAutospacing="1"/>
    </w:pPr>
    <w:rPr>
      <w:sz w:val="24"/>
    </w:rPr>
  </w:style>
  <w:style w:type="paragraph" w:customStyle="1" w:styleId="xl124">
    <w:name w:val="xl124"/>
    <w:basedOn w:val="a9"/>
    <w:qFormat/>
    <w:pPr>
      <w:widowControl/>
      <w:pBdr>
        <w:bottom w:val="single" w:sz="8" w:space="0" w:color="auto"/>
      </w:pBdr>
      <w:spacing w:before="100" w:beforeAutospacing="1" w:after="100" w:afterAutospacing="1" w:line="360" w:lineRule="auto"/>
      <w:jc w:val="right"/>
      <w:textAlignment w:val="center"/>
    </w:pPr>
    <w:rPr>
      <w:rFonts w:ascii="等线" w:eastAsia="等线" w:hAnsi="宋体" w:cs="宋体"/>
      <w:color w:val="000000"/>
      <w:sz w:val="24"/>
    </w:rPr>
  </w:style>
  <w:style w:type="paragraph" w:customStyle="1" w:styleId="afffffffffffffb">
    <w:name w:val="字元 字元"/>
    <w:basedOn w:val="a9"/>
    <w:semiHidden/>
    <w:qFormat/>
    <w:pPr>
      <w:widowControl/>
    </w:pPr>
    <w:rPr>
      <w:rFonts w:cs="宋体"/>
      <w:sz w:val="24"/>
      <w:lang w:bidi="ne-NP"/>
    </w:rPr>
  </w:style>
  <w:style w:type="paragraph" w:customStyle="1" w:styleId="1ffff0">
    <w:name w:val="表格1(窄）"/>
    <w:basedOn w:val="a9"/>
    <w:qFormat/>
    <w:pPr>
      <w:spacing w:line="320" w:lineRule="exact"/>
      <w:ind w:leftChars="-10" w:left="-10" w:rightChars="-10" w:right="-10"/>
    </w:pPr>
    <w:rPr>
      <w:rFonts w:ascii="Arial" w:hAnsi="Arial"/>
      <w:szCs w:val="21"/>
    </w:rPr>
  </w:style>
  <w:style w:type="paragraph" w:customStyle="1" w:styleId="afffffffffffffc">
    <w:name w:val="注解"/>
    <w:basedOn w:val="a9"/>
    <w:qFormat/>
    <w:pPr>
      <w:adjustRightInd w:val="0"/>
      <w:snapToGrid w:val="0"/>
      <w:spacing w:line="360" w:lineRule="auto"/>
      <w:ind w:left="624" w:right="170" w:hanging="454"/>
    </w:pPr>
    <w:rPr>
      <w:rFonts w:ascii="宋体" w:hAnsi="宋体"/>
      <w:color w:val="000000"/>
      <w:sz w:val="15"/>
    </w:rPr>
  </w:style>
  <w:style w:type="paragraph" w:customStyle="1" w:styleId="CharCharCharCharCharCharCharCharCharChar0">
    <w:name w:val="Char Char Char Char Char Char Char Char Char Char"/>
    <w:basedOn w:val="a9"/>
    <w:qFormat/>
    <w:pPr>
      <w:shd w:val="pct25" w:color="auto" w:fill="A6A6A6"/>
      <w:spacing w:line="360" w:lineRule="auto"/>
    </w:pPr>
    <w:rPr>
      <w:rFonts w:ascii="宋体" w:hAnsi="宋体" w:cs="宋体"/>
      <w:sz w:val="24"/>
    </w:rPr>
  </w:style>
  <w:style w:type="paragraph" w:customStyle="1" w:styleId="font7">
    <w:name w:val="font7"/>
    <w:basedOn w:val="a9"/>
    <w:qFormat/>
    <w:pPr>
      <w:widowControl/>
      <w:spacing w:before="100" w:beforeAutospacing="1" w:after="100" w:afterAutospacing="1"/>
      <w:jc w:val="left"/>
    </w:pPr>
    <w:rPr>
      <w:rFonts w:eastAsia="Arial Unicode MS"/>
      <w:sz w:val="18"/>
      <w:szCs w:val="18"/>
    </w:rPr>
  </w:style>
  <w:style w:type="paragraph" w:customStyle="1" w:styleId="3Sottoparagrafo05">
    <w:name w:val="样式 标题 3Sottoparagrafo + 段前: 0.5 行"/>
    <w:basedOn w:val="3"/>
    <w:qFormat/>
    <w:pPr>
      <w:widowControl/>
      <w:numPr>
        <w:ilvl w:val="0"/>
        <w:numId w:val="0"/>
      </w:numPr>
      <w:tabs>
        <w:tab w:val="left" w:pos="0"/>
        <w:tab w:val="left" w:pos="862"/>
        <w:tab w:val="left" w:pos="1260"/>
        <w:tab w:val="left" w:pos="1567"/>
      </w:tabs>
      <w:adjustRightInd w:val="0"/>
      <w:spacing w:after="60"/>
      <w:ind w:left="1260" w:firstLineChars="200" w:hanging="420"/>
    </w:pPr>
    <w:rPr>
      <w:rFonts w:cs="宋体"/>
      <w:b w:val="0"/>
      <w:sz w:val="28"/>
      <w:lang w:bidi="ne-NP"/>
    </w:rPr>
  </w:style>
  <w:style w:type="paragraph" w:customStyle="1" w:styleId="313">
    <w:name w:val="正文首行缩进31"/>
    <w:basedOn w:val="afd"/>
    <w:qFormat/>
    <w:pPr>
      <w:widowControl/>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ffffd">
    <w:name w:val="正文（行首缩进）"/>
    <w:basedOn w:val="a9"/>
    <w:qFormat/>
    <w:pPr>
      <w:spacing w:afterLines="50" w:line="360" w:lineRule="auto"/>
      <w:ind w:firstLineChars="200" w:firstLine="200"/>
    </w:pPr>
    <w:rPr>
      <w:sz w:val="24"/>
    </w:rPr>
  </w:style>
  <w:style w:type="paragraph" w:customStyle="1" w:styleId="CharCharChar10">
    <w:name w:val="Char Char Char1"/>
    <w:basedOn w:val="af9"/>
    <w:next w:val="a9"/>
    <w:qFormat/>
    <w:pPr>
      <w:adjustRightInd w:val="0"/>
      <w:spacing w:line="436" w:lineRule="exact"/>
      <w:ind w:left="357"/>
      <w:jc w:val="left"/>
      <w:outlineLvl w:val="3"/>
    </w:pPr>
    <w:rPr>
      <w:rFonts w:ascii="Tahoma" w:hAnsi="Tahoma"/>
      <w:b/>
      <w:sz w:val="24"/>
    </w:rPr>
  </w:style>
  <w:style w:type="paragraph" w:customStyle="1" w:styleId="D0">
    <w:name w:val="D表内"/>
    <w:basedOn w:val="a9"/>
    <w:qFormat/>
    <w:pPr>
      <w:spacing w:before="40" w:after="40" w:line="360" w:lineRule="auto"/>
      <w:jc w:val="center"/>
    </w:pPr>
    <w:rPr>
      <w:szCs w:val="21"/>
    </w:rPr>
  </w:style>
  <w:style w:type="paragraph" w:customStyle="1" w:styleId="2ff0">
    <w:name w:val="正文首行缩进2"/>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CharCharCharCharCharCharCharCharCharCharCharChar">
    <w:name w:val="Char Char Char Char Char Char Char Char Char Char Char Char Char"/>
    <w:basedOn w:val="a9"/>
    <w:qFormat/>
    <w:pPr>
      <w:widowControl/>
      <w:adjustRightInd w:val="0"/>
      <w:spacing w:line="360" w:lineRule="auto"/>
    </w:pPr>
    <w:rPr>
      <w:rFonts w:cs="宋体"/>
      <w:sz w:val="24"/>
      <w:lang w:bidi="ne-NP"/>
    </w:rPr>
  </w:style>
  <w:style w:type="paragraph" w:customStyle="1" w:styleId="2ff1">
    <w:name w:val="污水处理2"/>
    <w:basedOn w:val="a9"/>
    <w:qFormat/>
    <w:pPr>
      <w:widowControl/>
      <w:adjustRightInd w:val="0"/>
      <w:spacing w:line="360" w:lineRule="auto"/>
      <w:jc w:val="center"/>
    </w:pPr>
    <w:rPr>
      <w:rFonts w:ascii="仿宋_GB2312" w:cs="宋体"/>
      <w:spacing w:val="4"/>
      <w:kern w:val="18"/>
      <w:sz w:val="24"/>
      <w:szCs w:val="28"/>
      <w:lang w:bidi="ne-NP"/>
    </w:rPr>
  </w:style>
  <w:style w:type="paragraph" w:customStyle="1" w:styleId="103">
    <w:name w:val="样式 标题 1 + 段后: 0.3 行"/>
    <w:basedOn w:val="1"/>
    <w:qFormat/>
    <w:pPr>
      <w:keepNext w:val="0"/>
      <w:keepLines w:val="0"/>
      <w:pageBreakBefore w:val="0"/>
      <w:widowControl/>
      <w:numPr>
        <w:numId w:val="0"/>
      </w:numPr>
      <w:tabs>
        <w:tab w:val="left" w:pos="0"/>
        <w:tab w:val="left" w:pos="1800"/>
      </w:tabs>
      <w:spacing w:beforeLines="50" w:afterLines="30" w:line="300" w:lineRule="auto"/>
      <w:ind w:firstLine="709"/>
      <w:jc w:val="center"/>
    </w:pPr>
    <w:rPr>
      <w:rFonts w:ascii="黑体" w:eastAsia="黑体" w:cs="Arial"/>
      <w:sz w:val="30"/>
      <w:szCs w:val="30"/>
    </w:rPr>
  </w:style>
  <w:style w:type="paragraph" w:customStyle="1" w:styleId="CharCharCharCharCharCharCharCharCharCharCharCharChar1">
    <w:name w:val="Char Char Char Char Char Char Char Char Char Char Char Char Char1"/>
    <w:basedOn w:val="a9"/>
    <w:qFormat/>
    <w:pPr>
      <w:widowControl/>
      <w:adjustRightInd w:val="0"/>
      <w:spacing w:line="360" w:lineRule="auto"/>
    </w:pPr>
    <w:rPr>
      <w:rFonts w:cs="宋体"/>
      <w:sz w:val="24"/>
      <w:lang w:bidi="ne-NP"/>
    </w:rPr>
  </w:style>
  <w:style w:type="paragraph" w:customStyle="1" w:styleId="222">
    <w:name w:val="正文文本 22"/>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xl25">
    <w:name w:val="xl2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18"/>
      <w:szCs w:val="18"/>
    </w:rPr>
  </w:style>
  <w:style w:type="paragraph" w:customStyle="1" w:styleId="4f1">
    <w:name w:val="样式4"/>
    <w:basedOn w:val="3"/>
    <w:link w:val="4Char3"/>
    <w:qFormat/>
    <w:pPr>
      <w:keepNext/>
      <w:keepLines/>
      <w:numPr>
        <w:ilvl w:val="0"/>
        <w:numId w:val="0"/>
      </w:numPr>
      <w:tabs>
        <w:tab w:val="left" w:pos="3794"/>
      </w:tabs>
      <w:spacing w:line="240" w:lineRule="atLeast"/>
      <w:jc w:val="center"/>
    </w:pPr>
    <w:rPr>
      <w:rFonts w:ascii="宋体" w:eastAsia="宋体" w:hAnsi="宋体"/>
      <w:b w:val="0"/>
      <w:sz w:val="21"/>
      <w:szCs w:val="21"/>
    </w:rPr>
  </w:style>
  <w:style w:type="paragraph" w:customStyle="1" w:styleId="xl103">
    <w:name w:val="xl103"/>
    <w:basedOn w:val="a9"/>
    <w:qFormat/>
    <w:pPr>
      <w:widowControl/>
      <w:pBdr>
        <w:bottom w:val="single" w:sz="8" w:space="0" w:color="000000"/>
        <w:right w:val="single" w:sz="8" w:space="0" w:color="000000"/>
      </w:pBdr>
      <w:spacing w:before="100" w:beforeAutospacing="1" w:after="100" w:afterAutospacing="1" w:line="360" w:lineRule="auto"/>
      <w:jc w:val="center"/>
      <w:textAlignment w:val="center"/>
    </w:pPr>
    <w:rPr>
      <w:color w:val="000000"/>
      <w:sz w:val="18"/>
      <w:szCs w:val="18"/>
    </w:rPr>
  </w:style>
  <w:style w:type="paragraph" w:customStyle="1" w:styleId="BodyText21">
    <w:name w:val="Body Text 21"/>
    <w:basedOn w:val="a9"/>
    <w:qFormat/>
    <w:pPr>
      <w:adjustRightInd w:val="0"/>
      <w:spacing w:line="360" w:lineRule="auto"/>
      <w:textAlignment w:val="baseline"/>
    </w:pPr>
    <w:rPr>
      <w:sz w:val="24"/>
    </w:rPr>
  </w:style>
  <w:style w:type="paragraph" w:customStyle="1" w:styleId="xl71">
    <w:name w:val="xl7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rPr>
  </w:style>
  <w:style w:type="paragraph" w:customStyle="1" w:styleId="-12">
    <w:name w:val="环科所-标题1"/>
    <w:basedOn w:val="aff1"/>
    <w:next w:val="a9"/>
    <w:qFormat/>
    <w:pPr>
      <w:pageBreakBefore/>
      <w:widowControl/>
      <w:tabs>
        <w:tab w:val="left" w:pos="360"/>
        <w:tab w:val="left" w:pos="900"/>
      </w:tabs>
      <w:snapToGrid w:val="0"/>
      <w:spacing w:before="960" w:after="960"/>
      <w:ind w:leftChars="-12" w:left="-12"/>
    </w:pPr>
    <w:rPr>
      <w:rFonts w:eastAsia="仿宋_GB2312" w:hAnsi="宋体" w:cs="宋体"/>
      <w:sz w:val="24"/>
      <w:szCs w:val="24"/>
    </w:rPr>
  </w:style>
  <w:style w:type="paragraph" w:customStyle="1" w:styleId="font6">
    <w:name w:val="font6"/>
    <w:basedOn w:val="a9"/>
    <w:qFormat/>
    <w:pPr>
      <w:widowControl/>
      <w:spacing w:before="100" w:beforeAutospacing="1" w:after="100" w:afterAutospacing="1"/>
      <w:jc w:val="left"/>
    </w:pPr>
    <w:rPr>
      <w:rFonts w:ascii="宋体" w:hAnsi="宋体" w:cs="Arial Unicode MS" w:hint="eastAsia"/>
      <w:sz w:val="18"/>
      <w:szCs w:val="18"/>
    </w:rPr>
  </w:style>
  <w:style w:type="paragraph" w:customStyle="1" w:styleId="TOC11">
    <w:name w:val="TOC 标题11"/>
    <w:basedOn w:val="1"/>
    <w:next w:val="a9"/>
    <w:uiPriority w:val="39"/>
    <w:unhideWhenUsed/>
    <w:qFormat/>
    <w:pPr>
      <w:pageBreakBefore w:val="0"/>
      <w:widowControl/>
      <w:numPr>
        <w:numId w:val="0"/>
      </w:numPr>
      <w:tabs>
        <w:tab w:val="left" w:pos="1080"/>
      </w:tabs>
      <w:spacing w:before="480" w:after="0" w:line="276" w:lineRule="auto"/>
      <w:jc w:val="left"/>
      <w:outlineLvl w:val="9"/>
    </w:pPr>
    <w:rPr>
      <w:rFonts w:ascii="Cambria" w:hAnsi="Cambria"/>
      <w:bCs/>
      <w:color w:val="365F91"/>
      <w:kern w:val="0"/>
      <w:sz w:val="28"/>
      <w:szCs w:val="28"/>
    </w:rPr>
  </w:style>
  <w:style w:type="paragraph" w:customStyle="1" w:styleId="4f2">
    <w:name w:val="列出段落4"/>
    <w:basedOn w:val="a9"/>
    <w:qFormat/>
    <w:pPr>
      <w:ind w:firstLineChars="200" w:firstLine="420"/>
    </w:pPr>
  </w:style>
  <w:style w:type="paragraph" w:customStyle="1" w:styleId="TableParagraph">
    <w:name w:val="Table Paragraph"/>
    <w:basedOn w:val="a9"/>
    <w:uiPriority w:val="1"/>
    <w:qFormat/>
    <w:pPr>
      <w:autoSpaceDE w:val="0"/>
      <w:autoSpaceDN w:val="0"/>
      <w:adjustRightInd w:val="0"/>
      <w:spacing w:line="360" w:lineRule="auto"/>
      <w:jc w:val="left"/>
    </w:pPr>
    <w:rPr>
      <w:sz w:val="24"/>
    </w:rPr>
  </w:style>
  <w:style w:type="paragraph" w:customStyle="1" w:styleId="CharCharf4">
    <w:name w:val="册除格式 Char Char"/>
    <w:qFormat/>
    <w:pPr>
      <w:spacing w:line="360" w:lineRule="auto"/>
      <w:ind w:firstLine="482"/>
      <w:jc w:val="center"/>
    </w:pPr>
    <w:rPr>
      <w:rFonts w:ascii="黑体" w:hAnsi="Arial"/>
      <w:snapToGrid w:val="0"/>
      <w:spacing w:val="4"/>
      <w:kern w:val="18"/>
      <w:sz w:val="24"/>
    </w:rPr>
  </w:style>
  <w:style w:type="paragraph" w:customStyle="1" w:styleId="afffffffffffffe">
    <w:name w:val="表后正文"/>
    <w:basedOn w:val="a9"/>
    <w:qFormat/>
    <w:pPr>
      <w:widowControl/>
      <w:suppressLineNumbers/>
      <w:suppressAutoHyphens/>
      <w:topLinePunct/>
      <w:adjustRightInd w:val="0"/>
      <w:snapToGrid w:val="0"/>
      <w:spacing w:beforeLines="70" w:line="360" w:lineRule="auto"/>
      <w:ind w:firstLineChars="200" w:firstLine="560"/>
    </w:pPr>
    <w:rPr>
      <w:rFonts w:cs="宋体"/>
      <w:sz w:val="24"/>
      <w:lang w:bidi="ne-NP"/>
    </w:rPr>
  </w:style>
  <w:style w:type="paragraph" w:customStyle="1" w:styleId="xl589">
    <w:name w:val="xl589"/>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font11">
    <w:name w:val="font11"/>
    <w:basedOn w:val="a9"/>
    <w:qFormat/>
    <w:pPr>
      <w:widowControl/>
      <w:spacing w:before="100" w:beforeAutospacing="1" w:after="100" w:afterAutospacing="1" w:line="360" w:lineRule="auto"/>
      <w:jc w:val="left"/>
    </w:pPr>
    <w:rPr>
      <w:rFonts w:ascii="宋体" w:hAnsi="宋体" w:cs="宋体"/>
      <w:color w:val="000000"/>
    </w:rPr>
  </w:style>
  <w:style w:type="paragraph" w:customStyle="1" w:styleId="1ffff1">
    <w:name w:val="表字1"/>
    <w:basedOn w:val="a9"/>
    <w:qFormat/>
    <w:pPr>
      <w:adjustRightInd w:val="0"/>
      <w:spacing w:line="360" w:lineRule="auto"/>
      <w:jc w:val="center"/>
      <w:textAlignment w:val="baseline"/>
    </w:pPr>
    <w:rPr>
      <w:rFonts w:ascii="宋体" w:cs="宋体"/>
    </w:rPr>
  </w:style>
  <w:style w:type="paragraph" w:customStyle="1" w:styleId="xl81">
    <w:name w:val="xl81"/>
    <w:basedOn w:val="a9"/>
    <w:qFormat/>
    <w:pPr>
      <w:widowControl/>
      <w:pBdr>
        <w:left w:val="single" w:sz="8" w:space="0" w:color="auto"/>
        <w:bottom w:val="single" w:sz="12"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CM4">
    <w:name w:val="CM4"/>
    <w:basedOn w:val="a9"/>
    <w:next w:val="a9"/>
    <w:qFormat/>
    <w:pPr>
      <w:autoSpaceDE w:val="0"/>
      <w:autoSpaceDN w:val="0"/>
      <w:adjustRightInd w:val="0"/>
      <w:spacing w:line="480" w:lineRule="atLeast"/>
      <w:jc w:val="left"/>
    </w:pPr>
    <w:rPr>
      <w:rFonts w:ascii="黑体" w:eastAsia="黑体"/>
      <w:sz w:val="24"/>
    </w:rPr>
  </w:style>
  <w:style w:type="paragraph" w:customStyle="1" w:styleId="album-div">
    <w:name w:val="album-div"/>
    <w:basedOn w:val="a9"/>
    <w:qFormat/>
    <w:pPr>
      <w:widowControl/>
      <w:spacing w:before="100" w:beforeAutospacing="1" w:after="100" w:afterAutospacing="1"/>
      <w:jc w:val="left"/>
    </w:pPr>
    <w:rPr>
      <w:rFonts w:ascii="宋体" w:hAnsi="宋体" w:cs="宋体"/>
      <w:sz w:val="24"/>
      <w:lang w:bidi="ne-NP"/>
    </w:rPr>
  </w:style>
  <w:style w:type="paragraph" w:customStyle="1" w:styleId="xl78">
    <w:name w:val="xl78"/>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har3CharCharChar1">
    <w:name w:val="Char3 Char Char Char1"/>
    <w:basedOn w:val="a9"/>
    <w:qFormat/>
    <w:pPr>
      <w:spacing w:line="360" w:lineRule="auto"/>
      <w:ind w:firstLineChars="200" w:firstLine="200"/>
    </w:pPr>
    <w:rPr>
      <w:rFonts w:ascii="宋体" w:hAnsi="宋体" w:cs="宋体"/>
      <w:sz w:val="24"/>
    </w:rPr>
  </w:style>
  <w:style w:type="paragraph" w:customStyle="1" w:styleId="xl58">
    <w:name w:val="xl58"/>
    <w:basedOn w:val="a9"/>
    <w:qFormat/>
    <w:pPr>
      <w:widowControl/>
      <w:spacing w:before="100" w:beforeAutospacing="1" w:after="100" w:afterAutospacing="1"/>
      <w:jc w:val="center"/>
    </w:pPr>
    <w:rPr>
      <w:rFonts w:ascii="宋体" w:hAnsi="宋体" w:cs="宋体"/>
      <w:sz w:val="18"/>
      <w:szCs w:val="18"/>
      <w:lang w:bidi="ne-NP"/>
    </w:rPr>
  </w:style>
  <w:style w:type="paragraph" w:customStyle="1" w:styleId="affffffffffffff">
    <w:name w:val="工艺流程图"/>
    <w:basedOn w:val="a9"/>
    <w:qFormat/>
    <w:pPr>
      <w:widowControl/>
      <w:adjustRightInd w:val="0"/>
      <w:snapToGrid w:val="0"/>
      <w:spacing w:line="340" w:lineRule="atLeast"/>
      <w:jc w:val="center"/>
    </w:pPr>
    <w:rPr>
      <w:rFonts w:cs="宋体"/>
      <w:color w:val="FF0000"/>
      <w:kern w:val="18"/>
      <w:sz w:val="24"/>
      <w:szCs w:val="28"/>
      <w:lang w:bidi="ne-NP"/>
    </w:rPr>
  </w:style>
  <w:style w:type="paragraph" w:customStyle="1" w:styleId="76">
    <w:name w:val="样式7"/>
    <w:basedOn w:val="4f1"/>
    <w:qFormat/>
    <w:pPr>
      <w:keepNext w:val="0"/>
      <w:keepLines w:val="0"/>
      <w:tabs>
        <w:tab w:val="clear" w:pos="720"/>
        <w:tab w:val="clear" w:pos="3794"/>
        <w:tab w:val="left" w:pos="486"/>
        <w:tab w:val="left" w:pos="731"/>
        <w:tab w:val="left" w:pos="862"/>
        <w:tab w:val="left" w:pos="1080"/>
        <w:tab w:val="left" w:pos="1259"/>
        <w:tab w:val="left" w:pos="1418"/>
        <w:tab w:val="left" w:pos="1567"/>
        <w:tab w:val="left" w:pos="1701"/>
      </w:tabs>
      <w:snapToGrid/>
      <w:spacing w:beforeLines="50" w:afterLines="50" w:line="336" w:lineRule="auto"/>
      <w:ind w:firstLineChars="200" w:firstLine="539"/>
      <w:jc w:val="both"/>
      <w:outlineLvl w:val="9"/>
    </w:pPr>
    <w:rPr>
      <w:rFonts w:ascii="Times New Roman" w:eastAsia="华文中宋" w:hAnsi="Times New Roman"/>
      <w:color w:val="000000"/>
      <w:spacing w:val="10"/>
      <w:szCs w:val="20"/>
    </w:rPr>
  </w:style>
  <w:style w:type="paragraph" w:customStyle="1" w:styleId="xl560">
    <w:name w:val="xl56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affffffffffffff0">
    <w:name w:val="基准页脚样式"/>
    <w:basedOn w:val="afd"/>
    <w:qFormat/>
    <w:pPr>
      <w:snapToGrid w:val="0"/>
      <w:spacing w:line="240" w:lineRule="exact"/>
      <w:ind w:leftChars="-48" w:left="-101" w:rightChars="-58" w:right="-122" w:firstLineChars="0" w:firstLine="0"/>
      <w:jc w:val="center"/>
    </w:pPr>
    <w:rPr>
      <w:rFonts w:ascii="Times New Roman" w:hAnsi="Times New Roman"/>
      <w:kern w:val="2"/>
      <w:sz w:val="18"/>
    </w:rPr>
  </w:style>
  <w:style w:type="paragraph" w:customStyle="1" w:styleId="2ff2">
    <w:name w:val="日期2"/>
    <w:basedOn w:val="a9"/>
    <w:next w:val="a9"/>
    <w:semiHidden/>
    <w:qFormat/>
    <w:pPr>
      <w:widowControl/>
      <w:adjustRightInd w:val="0"/>
      <w:spacing w:line="360" w:lineRule="auto"/>
      <w:ind w:firstLineChars="200" w:firstLine="576"/>
      <w:jc w:val="left"/>
      <w:textAlignment w:val="baseline"/>
    </w:pPr>
    <w:rPr>
      <w:rFonts w:ascii="仿宋_GB2312" w:eastAsia="仿宋_GB2312" w:cs="宋体"/>
      <w:spacing w:val="4"/>
      <w:kern w:val="18"/>
      <w:sz w:val="28"/>
      <w:lang w:bidi="ne-NP"/>
    </w:rPr>
  </w:style>
  <w:style w:type="paragraph" w:customStyle="1" w:styleId="xl579">
    <w:name w:val="xl57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CharChar1Char">
    <w:name w:val="Char Char1 Char"/>
    <w:basedOn w:val="a9"/>
    <w:qFormat/>
    <w:pPr>
      <w:spacing w:line="360" w:lineRule="auto"/>
      <w:ind w:firstLineChars="200" w:firstLine="200"/>
    </w:pPr>
    <w:rPr>
      <w:rFonts w:ascii="宋体" w:hAnsi="宋体" w:cs="宋体"/>
      <w:sz w:val="24"/>
    </w:rPr>
  </w:style>
  <w:style w:type="paragraph" w:customStyle="1" w:styleId="1085">
    <w:name w:val="样式 表格1 + 左侧:  0.85 厘米"/>
    <w:basedOn w:val="1f"/>
    <w:qFormat/>
    <w:pPr>
      <w:widowControl w:val="0"/>
      <w:snapToGrid w:val="0"/>
      <w:textAlignment w:val="auto"/>
    </w:pPr>
    <w:rPr>
      <w:rFonts w:hAnsi="宋体" w:cs="宋体"/>
      <w:color w:val="000000"/>
      <w:kern w:val="2"/>
      <w:sz w:val="18"/>
    </w:rPr>
  </w:style>
  <w:style w:type="paragraph" w:customStyle="1" w:styleId="affffffffffffff1">
    <w:name w:val="中文报告书样式"/>
    <w:basedOn w:val="a9"/>
    <w:qFormat/>
    <w:pPr>
      <w:adjustRightInd w:val="0"/>
      <w:spacing w:line="480" w:lineRule="atLeast"/>
      <w:ind w:firstLine="482"/>
      <w:textAlignment w:val="baseline"/>
    </w:pPr>
    <w:rPr>
      <w:kern w:val="24"/>
      <w:sz w:val="24"/>
    </w:rPr>
  </w:style>
  <w:style w:type="paragraph" w:customStyle="1" w:styleId="affffffffffffff2">
    <w:name w:val="小四表文左齐"/>
    <w:basedOn w:val="a9"/>
    <w:qFormat/>
    <w:pPr>
      <w:widowControl/>
      <w:jc w:val="center"/>
    </w:pPr>
    <w:rPr>
      <w:rFonts w:ascii="仿宋_GB2312" w:eastAsia="仿宋_GB2312" w:hAnsi="宋体" w:cs="宋体"/>
      <w:sz w:val="24"/>
      <w:szCs w:val="21"/>
      <w:lang w:bidi="ne-NP"/>
    </w:rPr>
  </w:style>
  <w:style w:type="paragraph" w:customStyle="1" w:styleId="400">
    <w:name w:val="标题400"/>
    <w:basedOn w:val="a9"/>
    <w:next w:val="a9"/>
    <w:pPr>
      <w:spacing w:line="360" w:lineRule="auto"/>
    </w:pPr>
    <w:rPr>
      <w:rFonts w:eastAsia="黑体"/>
      <w:b/>
      <w:sz w:val="24"/>
    </w:rPr>
  </w:style>
  <w:style w:type="paragraph" w:customStyle="1" w:styleId="085">
    <w:name w:val="样式 表格 + 左侧:  0.85 厘米"/>
    <w:basedOn w:val="afffff5"/>
    <w:qFormat/>
    <w:pPr>
      <w:widowControl/>
      <w:spacing w:line="240" w:lineRule="auto"/>
      <w:jc w:val="both"/>
    </w:pPr>
    <w:rPr>
      <w:rFonts w:ascii="宋体" w:cs="宋体"/>
      <w:color w:val="000000"/>
      <w:kern w:val="2"/>
      <w:sz w:val="18"/>
      <w:szCs w:val="20"/>
    </w:rPr>
  </w:style>
  <w:style w:type="paragraph" w:customStyle="1" w:styleId="1CharCharCharCharChar1">
    <w:name w:val="正文1 Char Char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font10">
    <w:name w:val="font10"/>
    <w:basedOn w:val="a9"/>
    <w:qFormat/>
    <w:pPr>
      <w:widowControl/>
      <w:spacing w:before="100" w:beforeAutospacing="1" w:after="100" w:afterAutospacing="1"/>
      <w:jc w:val="left"/>
    </w:pPr>
    <w:rPr>
      <w:rFonts w:eastAsia="Arial Unicode MS"/>
      <w:sz w:val="16"/>
      <w:szCs w:val="16"/>
    </w:rPr>
  </w:style>
  <w:style w:type="paragraph" w:customStyle="1" w:styleId="CharChar1CharCharCharCharCharCharCharCharCharChar2">
    <w:name w:val="Char Char1 Char Char Char Char Char Char Char Char Char Char2"/>
    <w:basedOn w:val="a9"/>
    <w:qFormat/>
    <w:pPr>
      <w:widowControl/>
      <w:spacing w:line="360" w:lineRule="auto"/>
      <w:ind w:firstLineChars="200" w:firstLine="200"/>
    </w:pPr>
    <w:rPr>
      <w:rFonts w:ascii="宋体" w:hAnsi="宋体" w:cs="宋体"/>
      <w:sz w:val="24"/>
      <w:lang w:bidi="ne-NP"/>
    </w:rPr>
  </w:style>
  <w:style w:type="paragraph" w:customStyle="1" w:styleId="affffffffffffff3">
    <w:name w:val="简单回函地址"/>
    <w:basedOn w:val="a9"/>
    <w:qFormat/>
  </w:style>
  <w:style w:type="paragraph" w:customStyle="1" w:styleId="ParaCharCharCharCharCharCharCharCharCharCharCharCharChar">
    <w:name w:val="默认段落字体 Para Char Char Char Char Char Char Char Char Char Char Char Char Char"/>
    <w:basedOn w:val="a9"/>
    <w:qFormat/>
    <w:pPr>
      <w:spacing w:line="360" w:lineRule="auto"/>
    </w:pPr>
  </w:style>
  <w:style w:type="paragraph" w:customStyle="1" w:styleId="1ffff2">
    <w:name w:val="表中文字1"/>
    <w:semiHidden/>
    <w:qFormat/>
    <w:pPr>
      <w:widowControl w:val="0"/>
      <w:adjustRightInd w:val="0"/>
      <w:snapToGrid w:val="0"/>
      <w:spacing w:line="360" w:lineRule="auto"/>
      <w:jc w:val="center"/>
    </w:pPr>
    <w:rPr>
      <w:rFonts w:ascii="仿宋_GB2312" w:eastAsia="仿宋_GB2312" w:hAnsi="华文仿宋"/>
      <w:b/>
      <w:kern w:val="2"/>
      <w:sz w:val="21"/>
      <w:szCs w:val="21"/>
    </w:rPr>
  </w:style>
  <w:style w:type="paragraph" w:customStyle="1" w:styleId="1ffff3">
    <w:name w:val="题注1"/>
    <w:basedOn w:val="af6"/>
    <w:semiHidden/>
    <w:qFormat/>
    <w:pPr>
      <w:keepNext/>
      <w:widowControl/>
      <w:tabs>
        <w:tab w:val="left" w:pos="1727"/>
        <w:tab w:val="left" w:pos="1884"/>
      </w:tabs>
      <w:spacing w:before="0" w:after="0" w:line="360" w:lineRule="auto"/>
      <w:jc w:val="center"/>
    </w:pPr>
    <w:rPr>
      <w:sz w:val="24"/>
    </w:rPr>
  </w:style>
  <w:style w:type="paragraph" w:customStyle="1" w:styleId="ParaCharCharChar">
    <w:name w:val="默认段落字体 Para Char Char Char"/>
    <w:basedOn w:val="a9"/>
    <w:qFormat/>
    <w:pPr>
      <w:widowControl/>
    </w:pPr>
    <w:rPr>
      <w:rFonts w:ascii="宋体" w:cs="宋体"/>
      <w:sz w:val="28"/>
      <w:lang w:bidi="ne-NP"/>
    </w:rPr>
  </w:style>
  <w:style w:type="paragraph" w:customStyle="1" w:styleId="affffffffffffff4">
    <w:name w:val="圖標"/>
    <w:basedOn w:val="a9"/>
    <w:qFormat/>
    <w:pPr>
      <w:widowControl/>
      <w:tabs>
        <w:tab w:val="right" w:pos="4176"/>
        <w:tab w:val="right" w:pos="6960"/>
      </w:tabs>
      <w:wordWrap w:val="0"/>
      <w:adjustRightInd w:val="0"/>
      <w:spacing w:after="540" w:line="432" w:lineRule="exact"/>
      <w:jc w:val="center"/>
      <w:textAlignment w:val="baseline"/>
    </w:pPr>
    <w:rPr>
      <w:rFonts w:ascii="Arial" w:eastAsia="華康粗黑體" w:hAnsi="Arial" w:cs="宋体"/>
      <w:sz w:val="24"/>
      <w:lang w:eastAsia="zh-TW" w:bidi="ne-NP"/>
    </w:rPr>
  </w:style>
  <w:style w:type="paragraph" w:customStyle="1" w:styleId="1CharCharCharChar1">
    <w:name w:val="正文1 Char Char Char Char1"/>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xl65">
    <w:name w:val="xl6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rPr>
  </w:style>
  <w:style w:type="paragraph" w:customStyle="1" w:styleId="xl557">
    <w:name w:val="xl55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customunionstyle">
    <w:name w:val="custom_unionstyle"/>
    <w:basedOn w:val="a9"/>
    <w:pPr>
      <w:widowControl/>
      <w:spacing w:before="100" w:beforeAutospacing="1" w:after="100" w:afterAutospacing="1"/>
      <w:jc w:val="left"/>
    </w:pPr>
    <w:rPr>
      <w:rFonts w:ascii="宋体" w:hAnsi="宋体" w:cs="宋体"/>
      <w:sz w:val="24"/>
    </w:rPr>
  </w:style>
  <w:style w:type="paragraph" w:customStyle="1" w:styleId="93">
    <w:name w:val="9"/>
    <w:uiPriority w:val="60"/>
    <w:qFormat/>
    <w:pPr>
      <w:spacing w:line="360" w:lineRule="auto"/>
      <w:jc w:val="center"/>
    </w:pPr>
    <w:rPr>
      <w:rFonts w:ascii="Calibri" w:hAnsi="Calibri"/>
      <w:color w:val="943634"/>
    </w:rPr>
  </w:style>
  <w:style w:type="paragraph" w:customStyle="1" w:styleId="CharCharCharCharCharChar">
    <w:name w:val="Char Char Char Char Char Char"/>
    <w:basedOn w:val="a9"/>
    <w:qFormat/>
    <w:pPr>
      <w:spacing w:line="360" w:lineRule="auto"/>
    </w:pPr>
    <w:rPr>
      <w:sz w:val="24"/>
    </w:rPr>
  </w:style>
  <w:style w:type="paragraph" w:customStyle="1" w:styleId="CharCharChar1CharCharChar5">
    <w:name w:val="Char Char Char1 Char Char Char5"/>
    <w:basedOn w:val="a9"/>
    <w:qFormat/>
    <w:pPr>
      <w:spacing w:line="360" w:lineRule="auto"/>
      <w:ind w:firstLineChars="200" w:firstLine="200"/>
    </w:pPr>
    <w:rPr>
      <w:rFonts w:ascii="宋体" w:hAnsi="宋体" w:cs="宋体"/>
      <w:sz w:val="24"/>
    </w:rPr>
  </w:style>
  <w:style w:type="paragraph" w:customStyle="1" w:styleId="xl84">
    <w:name w:val="xl84"/>
    <w:basedOn w:val="a9"/>
    <w:qFormat/>
    <w:pPr>
      <w:widowControl/>
      <w:pBdr>
        <w:left w:val="single" w:sz="8" w:space="0" w:color="auto"/>
        <w:bottom w:val="single" w:sz="12"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2">
    <w:name w:val="1-表格表头"/>
    <w:basedOn w:val="a9"/>
    <w:qFormat/>
    <w:pPr>
      <w:spacing w:after="60" w:line="360" w:lineRule="auto"/>
      <w:jc w:val="center"/>
    </w:pPr>
    <w:rPr>
      <w:rFonts w:eastAsia="黑体"/>
      <w:b/>
      <w:sz w:val="24"/>
    </w:rPr>
  </w:style>
  <w:style w:type="paragraph" w:customStyle="1" w:styleId="D1">
    <w:name w:val="D"/>
    <w:basedOn w:val="4"/>
    <w:qFormat/>
    <w:pPr>
      <w:keepNext/>
      <w:keepLines/>
      <w:numPr>
        <w:ilvl w:val="0"/>
        <w:numId w:val="0"/>
      </w:numPr>
      <w:tabs>
        <w:tab w:val="left" w:pos="0"/>
        <w:tab w:val="left" w:pos="480"/>
        <w:tab w:val="left" w:pos="862"/>
        <w:tab w:val="left" w:pos="1567"/>
      </w:tabs>
      <w:spacing w:before="120" w:after="120"/>
    </w:pPr>
    <w:rPr>
      <w:rFonts w:ascii="Arial" w:hAnsi="Arial"/>
      <w:bCs/>
      <w:lang w:bidi="ne-NP"/>
    </w:rPr>
  </w:style>
  <w:style w:type="paragraph" w:customStyle="1" w:styleId="Char1f5">
    <w:name w:val="Char1"/>
    <w:basedOn w:val="a9"/>
  </w:style>
  <w:style w:type="paragraph" w:customStyle="1" w:styleId="z-1">
    <w:name w:val="z-窗体顶端1"/>
    <w:basedOn w:val="a9"/>
    <w:next w:val="a9"/>
    <w:qFormat/>
    <w:pPr>
      <w:widowControl/>
      <w:pBdr>
        <w:bottom w:val="single" w:sz="6" w:space="1" w:color="auto"/>
      </w:pBdr>
      <w:spacing w:line="360" w:lineRule="auto"/>
      <w:jc w:val="center"/>
    </w:pPr>
    <w:rPr>
      <w:rFonts w:ascii="Arial" w:hAnsi="Arial" w:cs="Arial"/>
      <w:vanish/>
      <w:sz w:val="16"/>
      <w:szCs w:val="16"/>
    </w:rPr>
  </w:style>
  <w:style w:type="paragraph" w:customStyle="1" w:styleId="05">
    <w:name w:val="样式 表格标题新 + 段前: 0.5 行"/>
    <w:basedOn w:val="affffffff8"/>
    <w:qFormat/>
    <w:pPr>
      <w:widowControl/>
      <w:adjustRightInd/>
      <w:spacing w:before="249"/>
    </w:pPr>
    <w:rPr>
      <w:rFonts w:hAnsi="宋体" w:cs="宋体"/>
      <w:bCs/>
      <w:spacing w:val="0"/>
    </w:rPr>
  </w:style>
  <w:style w:type="paragraph" w:customStyle="1" w:styleId="affffffffffffff5">
    <w:name w:val="表格样式（武华）"/>
    <w:basedOn w:val="afd"/>
    <w:qFormat/>
    <w:pPr>
      <w:adjustRightInd w:val="0"/>
      <w:snapToGrid w:val="0"/>
      <w:spacing w:line="340" w:lineRule="exact"/>
      <w:ind w:firstLineChars="0" w:firstLine="0"/>
      <w:jc w:val="center"/>
    </w:pPr>
    <w:rPr>
      <w:rFonts w:ascii="宋体" w:hAnsi="宋体"/>
      <w:kern w:val="20"/>
      <w:sz w:val="18"/>
      <w:szCs w:val="18"/>
    </w:rPr>
  </w:style>
  <w:style w:type="paragraph" w:customStyle="1" w:styleId="Char36">
    <w:name w:val="Char36"/>
    <w:basedOn w:val="2"/>
    <w:qFormat/>
    <w:pPr>
      <w:numPr>
        <w:numId w:val="0"/>
      </w:numPr>
      <w:tabs>
        <w:tab w:val="clear" w:pos="567"/>
        <w:tab w:val="left" w:pos="576"/>
      </w:tabs>
      <w:spacing w:beforeAutospacing="1" w:line="360" w:lineRule="auto"/>
      <w:ind w:left="576" w:firstLineChars="200" w:firstLine="200"/>
    </w:pPr>
    <w:rPr>
      <w:rFonts w:ascii="黑体"/>
      <w:sz w:val="28"/>
    </w:rPr>
  </w:style>
  <w:style w:type="paragraph" w:customStyle="1" w:styleId="CharCharCharChar5">
    <w:name w:val="Char Char Char Char5"/>
    <w:basedOn w:val="a9"/>
    <w:qFormat/>
    <w:pPr>
      <w:spacing w:line="360" w:lineRule="auto"/>
    </w:pPr>
  </w:style>
  <w:style w:type="paragraph" w:customStyle="1" w:styleId="10063">
    <w:name w:val="样式 表内文字 + 10 磅 首行缩进:  0.63 厘米"/>
    <w:basedOn w:val="aff1"/>
    <w:qFormat/>
    <w:pPr>
      <w:widowControl/>
      <w:adjustRightInd w:val="0"/>
      <w:snapToGrid w:val="0"/>
      <w:spacing w:line="320" w:lineRule="exact"/>
      <w:ind w:firstLine="360"/>
      <w:jc w:val="center"/>
    </w:pPr>
    <w:rPr>
      <w:rFonts w:ascii="Times New Roman" w:eastAsia="楷体_GB2312" w:hAnsi="Times New Roman"/>
    </w:rPr>
  </w:style>
  <w:style w:type="paragraph" w:customStyle="1" w:styleId="1ffff4">
    <w:name w:val="目录1"/>
    <w:basedOn w:val="a9"/>
    <w:next w:val="a9"/>
    <w:semiHidden/>
    <w:qFormat/>
    <w:pPr>
      <w:adjustRightInd w:val="0"/>
      <w:snapToGrid w:val="0"/>
      <w:spacing w:before="120" w:after="120" w:line="420" w:lineRule="atLeast"/>
    </w:pPr>
    <w:rPr>
      <w:b/>
      <w:sz w:val="24"/>
    </w:rPr>
  </w:style>
  <w:style w:type="paragraph" w:customStyle="1" w:styleId="reader-word-layerreader-word-s1-6">
    <w:name w:val="reader-word-layer reader-word-s1-6"/>
    <w:basedOn w:val="a9"/>
    <w:qFormat/>
    <w:pPr>
      <w:widowControl/>
      <w:spacing w:before="100" w:beforeAutospacing="1" w:after="100" w:afterAutospacing="1"/>
      <w:jc w:val="left"/>
    </w:pPr>
    <w:rPr>
      <w:rFonts w:ascii="宋体" w:hAnsi="宋体" w:cs="宋体"/>
      <w:sz w:val="24"/>
      <w:lang w:bidi="ne-NP"/>
    </w:rPr>
  </w:style>
  <w:style w:type="paragraph" w:customStyle="1" w:styleId="CharChar3CharCharCharCharCharCharChar">
    <w:name w:val="Char Char3 Char Char Char Char Char Char Char"/>
    <w:basedOn w:val="a9"/>
    <w:semiHidden/>
    <w:qFormat/>
    <w:pPr>
      <w:widowControl/>
      <w:spacing w:after="160" w:line="240" w:lineRule="exact"/>
      <w:jc w:val="left"/>
    </w:pPr>
    <w:rPr>
      <w:rFonts w:ascii="Verdana" w:hAnsi="Verdana"/>
      <w:lang w:eastAsia="en-US"/>
    </w:rPr>
  </w:style>
  <w:style w:type="paragraph" w:customStyle="1" w:styleId="3fb">
    <w:name w:val="正文文字 3"/>
    <w:basedOn w:val="a9"/>
    <w:semiHidden/>
    <w:qFormat/>
    <w:pPr>
      <w:widowControl/>
      <w:adjustRightInd w:val="0"/>
      <w:spacing w:line="280" w:lineRule="exact"/>
      <w:ind w:firstLineChars="200" w:firstLine="562"/>
      <w:jc w:val="center"/>
    </w:pPr>
    <w:rPr>
      <w:rFonts w:ascii="仿宋_GB2312" w:eastAsia="仿宋_GB2312" w:hAnsi="Arial Black" w:cs="仿宋_GB2312"/>
      <w:sz w:val="28"/>
      <w:szCs w:val="21"/>
      <w:lang w:bidi="ne-NP"/>
    </w:rPr>
  </w:style>
  <w:style w:type="paragraph" w:customStyle="1" w:styleId="xl130">
    <w:name w:val="xl13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宋体"/>
      <w:sz w:val="22"/>
      <w:szCs w:val="22"/>
      <w:lang w:bidi="ne-NP"/>
    </w:rPr>
  </w:style>
  <w:style w:type="paragraph" w:customStyle="1" w:styleId="2ff3">
    <w:name w:val="列出段落2"/>
    <w:basedOn w:val="a9"/>
    <w:qFormat/>
    <w:pPr>
      <w:widowControl/>
      <w:ind w:leftChars="200" w:left="480"/>
      <w:jc w:val="left"/>
    </w:pPr>
    <w:rPr>
      <w:rFonts w:ascii="Calibri" w:eastAsia="PMingLiU" w:hAnsi="Calibri" w:cs="宋体"/>
      <w:sz w:val="24"/>
      <w:szCs w:val="22"/>
      <w:lang w:eastAsia="zh-TW" w:bidi="ne-NP"/>
    </w:rPr>
  </w:style>
  <w:style w:type="paragraph" w:customStyle="1" w:styleId="xl73">
    <w:name w:val="xl7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style>
  <w:style w:type="paragraph" w:customStyle="1" w:styleId="3300">
    <w:name w:val="样式 标题 3 + 行距: 固定值 30 磅"/>
    <w:basedOn w:val="3"/>
    <w:qFormat/>
    <w:pPr>
      <w:keepNext/>
      <w:keepLines/>
      <w:numPr>
        <w:ilvl w:val="0"/>
        <w:numId w:val="0"/>
      </w:numPr>
      <w:tabs>
        <w:tab w:val="clear" w:pos="720"/>
        <w:tab w:val="left" w:pos="486"/>
        <w:tab w:val="left" w:pos="709"/>
        <w:tab w:val="left" w:pos="862"/>
        <w:tab w:val="left" w:pos="1567"/>
      </w:tabs>
      <w:snapToGrid/>
      <w:spacing w:beforeLines="50" w:afterLines="50" w:line="600" w:lineRule="exact"/>
      <w:ind w:left="567" w:hanging="709"/>
      <w:jc w:val="left"/>
    </w:pPr>
    <w:rPr>
      <w:rFonts w:ascii="华文中宋" w:eastAsia="华文中宋" w:hAnsi="宋体" w:cs="宋体"/>
      <w:b w:val="0"/>
      <w:bCs/>
      <w:sz w:val="28"/>
    </w:rPr>
  </w:style>
  <w:style w:type="paragraph" w:customStyle="1" w:styleId="2ff4">
    <w:name w:val="表格文字2"/>
    <w:basedOn w:val="a9"/>
    <w:qFormat/>
    <w:pPr>
      <w:tabs>
        <w:tab w:val="left" w:pos="277"/>
        <w:tab w:val="left" w:pos="600"/>
        <w:tab w:val="left" w:pos="780"/>
        <w:tab w:val="left" w:pos="2517"/>
      </w:tabs>
      <w:adjustRightInd w:val="0"/>
      <w:spacing w:before="60"/>
      <w:jc w:val="center"/>
      <w:textAlignment w:val="baseline"/>
    </w:pPr>
    <w:rPr>
      <w:szCs w:val="21"/>
    </w:rPr>
  </w:style>
  <w:style w:type="paragraph" w:customStyle="1" w:styleId="ST202">
    <w:name w:val="ST20_2"/>
    <w:basedOn w:val="a9"/>
    <w:qFormat/>
    <w:pPr>
      <w:widowControl/>
      <w:autoSpaceDE w:val="0"/>
      <w:autoSpaceDN w:val="0"/>
      <w:adjustRightInd w:val="0"/>
      <w:spacing w:line="360" w:lineRule="atLeast"/>
      <w:ind w:firstLineChars="200" w:firstLine="576"/>
      <w:jc w:val="left"/>
      <w:textAlignment w:val="baseline"/>
    </w:pPr>
    <w:rPr>
      <w:rFonts w:ascii="宋体" w:eastAsia="仿宋_GB2312" w:hAnsi="Tms Rmn" w:cs="宋体"/>
      <w:spacing w:val="4"/>
      <w:sz w:val="28"/>
      <w:lang w:bidi="ne-NP"/>
    </w:rPr>
  </w:style>
  <w:style w:type="paragraph" w:customStyle="1" w:styleId="67">
    <w:name w:val="样式6"/>
    <w:basedOn w:val="a9"/>
    <w:qFormat/>
    <w:pPr>
      <w:spacing w:line="400" w:lineRule="exact"/>
      <w:ind w:firstLineChars="200" w:firstLine="200"/>
    </w:pPr>
    <w:rPr>
      <w:spacing w:val="20"/>
      <w:sz w:val="24"/>
    </w:rPr>
  </w:style>
  <w:style w:type="paragraph" w:customStyle="1" w:styleId="124">
    <w:name w:val="引用12"/>
    <w:basedOn w:val="a9"/>
    <w:next w:val="a9"/>
    <w:qFormat/>
    <w:pPr>
      <w:widowControl/>
      <w:spacing w:line="480" w:lineRule="exact"/>
      <w:ind w:firstLineChars="200" w:firstLine="200"/>
    </w:pPr>
    <w:rPr>
      <w:rFonts w:eastAsia="黑体"/>
      <w:i/>
      <w:iCs/>
      <w:color w:val="000000"/>
    </w:rPr>
  </w:style>
  <w:style w:type="paragraph" w:customStyle="1" w:styleId="232">
    <w:name w:val="正文文本缩进 23"/>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nt">
    <w:name w:val="nt"/>
    <w:basedOn w:val="a9"/>
    <w:qFormat/>
    <w:pPr>
      <w:widowControl/>
      <w:spacing w:before="100" w:beforeAutospacing="1" w:after="100" w:afterAutospacing="1"/>
      <w:jc w:val="left"/>
    </w:pPr>
    <w:rPr>
      <w:rFonts w:ascii="宋体" w:hAnsi="宋体" w:cs="宋体"/>
      <w:sz w:val="24"/>
      <w:lang w:bidi="ne-NP"/>
    </w:rPr>
  </w:style>
  <w:style w:type="paragraph" w:customStyle="1" w:styleId="1CharChar2Char">
    <w:name w:val="正文1 Char Char2 Char"/>
    <w:basedOn w:val="a9"/>
    <w:qFormat/>
    <w:pPr>
      <w:widowControl/>
      <w:adjustRightInd w:val="0"/>
      <w:snapToGrid w:val="0"/>
      <w:spacing w:line="516" w:lineRule="exact"/>
      <w:ind w:firstLineChars="200" w:firstLine="200"/>
    </w:pPr>
    <w:rPr>
      <w:rFonts w:eastAsia="仿宋_GB2312" w:cs="宋体"/>
      <w:sz w:val="26"/>
      <w:szCs w:val="26"/>
      <w:lang w:bidi="ne-NP"/>
    </w:rPr>
  </w:style>
  <w:style w:type="paragraph" w:customStyle="1" w:styleId="03">
    <w:name w:val="标题03"/>
    <w:basedOn w:val="a9"/>
    <w:next w:val="a9"/>
    <w:semiHidden/>
    <w:qFormat/>
    <w:pPr>
      <w:spacing w:line="480" w:lineRule="atLeast"/>
      <w:ind w:firstLine="480"/>
    </w:pPr>
    <w:rPr>
      <w:b/>
      <w:sz w:val="24"/>
    </w:rPr>
  </w:style>
  <w:style w:type="paragraph" w:customStyle="1" w:styleId="GB23120">
    <w:name w:val="样式 仿宋_GB2312 小四 加粗"/>
    <w:qFormat/>
    <w:pPr>
      <w:spacing w:line="360" w:lineRule="auto"/>
      <w:ind w:firstLineChars="200" w:firstLine="482"/>
      <w:jc w:val="both"/>
    </w:pPr>
    <w:rPr>
      <w:rFonts w:ascii="仿宋_GB2312" w:eastAsia="仿宋_GB2312" w:cs="宋体"/>
      <w:b/>
      <w:bCs/>
      <w:kern w:val="2"/>
      <w:sz w:val="24"/>
    </w:rPr>
  </w:style>
  <w:style w:type="paragraph" w:customStyle="1" w:styleId="affffffffffffff6">
    <w:name w:val="鸿达公式"/>
    <w:basedOn w:val="a9"/>
    <w:qFormat/>
    <w:pPr>
      <w:spacing w:beforeLines="50" w:afterLines="50"/>
      <w:jc w:val="center"/>
    </w:pPr>
    <w:rPr>
      <w:sz w:val="24"/>
      <w:szCs w:val="28"/>
    </w:rPr>
  </w:style>
  <w:style w:type="paragraph" w:customStyle="1" w:styleId="116">
    <w:name w:val="1样式1"/>
    <w:basedOn w:val="1"/>
    <w:qFormat/>
    <w:pPr>
      <w:pageBreakBefore w:val="0"/>
      <w:numPr>
        <w:numId w:val="0"/>
      </w:numPr>
      <w:tabs>
        <w:tab w:val="left" w:pos="360"/>
      </w:tabs>
      <w:snapToGrid w:val="0"/>
      <w:spacing w:before="120" w:after="60" w:line="288" w:lineRule="auto"/>
      <w:ind w:left="1770" w:hanging="1770"/>
      <w:textAlignment w:val="baseline"/>
    </w:pPr>
  </w:style>
  <w:style w:type="paragraph" w:customStyle="1" w:styleId="xl555">
    <w:name w:val="xl555"/>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ST201">
    <w:name w:val="ST20_1"/>
    <w:basedOn w:val="a9"/>
    <w:qFormat/>
    <w:pPr>
      <w:autoSpaceDE w:val="0"/>
      <w:autoSpaceDN w:val="0"/>
      <w:adjustRightInd w:val="0"/>
      <w:spacing w:line="312" w:lineRule="atLeast"/>
      <w:jc w:val="center"/>
      <w:textAlignment w:val="baseline"/>
    </w:pPr>
    <w:rPr>
      <w:rFonts w:ascii="宋体" w:hAnsi="Tms Rmn"/>
      <w:sz w:val="24"/>
    </w:rPr>
  </w:style>
  <w:style w:type="paragraph" w:customStyle="1" w:styleId="-6">
    <w:name w:val="正文-报告书"/>
    <w:basedOn w:val="a9"/>
    <w:qFormat/>
    <w:pPr>
      <w:snapToGrid w:val="0"/>
      <w:spacing w:line="460" w:lineRule="exact"/>
      <w:ind w:firstLineChars="200" w:firstLine="480"/>
    </w:pPr>
    <w:rPr>
      <w:sz w:val="24"/>
    </w:rPr>
  </w:style>
  <w:style w:type="paragraph" w:customStyle="1" w:styleId="affffffffffffff7">
    <w:name w:val="标准"/>
    <w:basedOn w:val="a9"/>
    <w:qFormat/>
    <w:pPr>
      <w:widowControl/>
      <w:topLinePunct/>
      <w:adjustRightInd w:val="0"/>
      <w:spacing w:line="240" w:lineRule="atLeast"/>
      <w:textAlignment w:val="baseline"/>
    </w:pPr>
    <w:rPr>
      <w:rFonts w:ascii="仿宋_GB2312" w:eastAsia="仿宋_GB2312"/>
      <w:sz w:val="24"/>
    </w:rPr>
  </w:style>
  <w:style w:type="paragraph" w:customStyle="1" w:styleId="smjChar">
    <w:name w:val="smj Char"/>
    <w:basedOn w:val="a9"/>
    <w:qFormat/>
    <w:pPr>
      <w:spacing w:line="360" w:lineRule="auto"/>
    </w:pPr>
    <w:rPr>
      <w:rFonts w:eastAsia="黑体"/>
    </w:rPr>
  </w:style>
  <w:style w:type="paragraph" w:customStyle="1" w:styleId="affffffffffffff8">
    <w:name w:val="鸿达表加粗"/>
    <w:basedOn w:val="a9"/>
    <w:qFormat/>
    <w:pPr>
      <w:jc w:val="center"/>
    </w:pPr>
    <w:rPr>
      <w:rFonts w:cs="宋体"/>
      <w:b/>
      <w:color w:val="000000"/>
    </w:rPr>
  </w:style>
  <w:style w:type="paragraph" w:customStyle="1" w:styleId="xl118">
    <w:name w:val="xl118"/>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style>
  <w:style w:type="paragraph" w:customStyle="1" w:styleId="CM79">
    <w:name w:val="CM79"/>
    <w:basedOn w:val="a9"/>
    <w:next w:val="a9"/>
    <w:qFormat/>
    <w:pPr>
      <w:widowControl/>
      <w:autoSpaceDE w:val="0"/>
      <w:autoSpaceDN w:val="0"/>
      <w:adjustRightInd w:val="0"/>
      <w:spacing w:after="135"/>
      <w:jc w:val="left"/>
    </w:pPr>
    <w:rPr>
      <w:rFonts w:ascii="楷体_GB2312" w:eastAsia="楷体_GB2312" w:cs="宋体"/>
      <w:sz w:val="24"/>
      <w:lang w:eastAsia="zh-TW" w:bidi="ne-NP"/>
    </w:rPr>
  </w:style>
  <w:style w:type="paragraph" w:customStyle="1" w:styleId="xl544">
    <w:name w:val="xl544"/>
    <w:basedOn w:val="a9"/>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hAnsi="Arial" w:cs="Arial"/>
      <w:lang w:bidi="ne-NP"/>
    </w:rPr>
  </w:style>
  <w:style w:type="paragraph" w:customStyle="1" w:styleId="affffffffffffff9">
    <w:name w:val="表后文"/>
    <w:basedOn w:val="a9"/>
    <w:qFormat/>
    <w:pPr>
      <w:widowControl/>
      <w:adjustRightInd w:val="0"/>
      <w:spacing w:before="120" w:line="440" w:lineRule="exact"/>
      <w:ind w:firstLine="624"/>
    </w:pPr>
    <w:rPr>
      <w:rFonts w:cs="宋体"/>
      <w:snapToGrid w:val="0"/>
      <w:sz w:val="25"/>
      <w:lang w:bidi="ne-NP"/>
    </w:rPr>
  </w:style>
  <w:style w:type="paragraph" w:customStyle="1" w:styleId="CharCharChar6">
    <w:name w:val="Char Char Char6"/>
    <w:basedOn w:val="a9"/>
    <w:qFormat/>
    <w:rPr>
      <w:rFonts w:ascii="Tahoma" w:hAnsi="Tahoma"/>
      <w:sz w:val="24"/>
    </w:rPr>
  </w:style>
  <w:style w:type="paragraph" w:customStyle="1" w:styleId="xl64">
    <w:name w:val="xl6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s="宋体"/>
      <w:sz w:val="18"/>
      <w:szCs w:val="18"/>
    </w:rPr>
  </w:style>
  <w:style w:type="paragraph" w:customStyle="1" w:styleId="CharChar33">
    <w:name w:val="Char Char33"/>
    <w:basedOn w:val="a9"/>
    <w:semiHidden/>
    <w:qFormat/>
    <w:pPr>
      <w:widowControl/>
      <w:spacing w:afterLines="50" w:line="560" w:lineRule="exact"/>
    </w:pPr>
    <w:rPr>
      <w:rFonts w:eastAsia="黑体" w:cs="宋体"/>
      <w:sz w:val="30"/>
      <w:szCs w:val="30"/>
      <w:lang w:bidi="ne-NP"/>
    </w:rPr>
  </w:style>
  <w:style w:type="paragraph" w:customStyle="1" w:styleId="Char3CharCharCharCharCharChar2">
    <w:name w:val="Char3 Char Char Char Char Char Char2"/>
    <w:basedOn w:val="a9"/>
    <w:qFormat/>
    <w:pPr>
      <w:widowControl/>
      <w:spacing w:line="360" w:lineRule="auto"/>
      <w:ind w:firstLineChars="200" w:firstLine="200"/>
    </w:pPr>
    <w:rPr>
      <w:rFonts w:ascii="宋体" w:hAnsi="宋体" w:cs="宋体"/>
      <w:sz w:val="24"/>
      <w:lang w:bidi="ne-NP"/>
    </w:rPr>
  </w:style>
  <w:style w:type="paragraph" w:customStyle="1" w:styleId="CharCharCharCharCharCharCharCharCharCharCharCharCharCharCharChar2">
    <w:name w:val="Char Char Char Char Char Char Char Char Char Char Char Char Char Char Char Char2"/>
    <w:basedOn w:val="a9"/>
    <w:qFormat/>
    <w:pPr>
      <w:widowControl/>
      <w:spacing w:line="360" w:lineRule="auto"/>
      <w:ind w:firstLineChars="200" w:firstLine="200"/>
    </w:pPr>
    <w:rPr>
      <w:rFonts w:cs="宋体"/>
      <w:sz w:val="24"/>
      <w:lang w:bidi="ne-NP"/>
    </w:rPr>
  </w:style>
  <w:style w:type="paragraph" w:customStyle="1" w:styleId="xl542">
    <w:name w:val="xl54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bidi="ne-NP"/>
    </w:rPr>
  </w:style>
  <w:style w:type="paragraph" w:customStyle="1" w:styleId="affffffffffffffa">
    <w:name w:val="－正文"/>
    <w:basedOn w:val="a9"/>
    <w:qFormat/>
    <w:pPr>
      <w:widowControl/>
      <w:spacing w:line="540" w:lineRule="atLeast"/>
      <w:ind w:firstLine="200"/>
      <w:jc w:val="left"/>
    </w:pPr>
    <w:rPr>
      <w:rFonts w:cs="宋体"/>
      <w:spacing w:val="8"/>
      <w:sz w:val="28"/>
      <w:lang w:bidi="ne-NP"/>
    </w:rPr>
  </w:style>
  <w:style w:type="paragraph" w:customStyle="1" w:styleId="affffffffffffffb">
    <w:name w:val="正文改动"/>
    <w:basedOn w:val="a9"/>
    <w:qFormat/>
    <w:pPr>
      <w:widowControl/>
    </w:pPr>
    <w:rPr>
      <w:rFonts w:cs="宋体"/>
      <w:color w:val="0000FF"/>
      <w:sz w:val="24"/>
      <w:lang w:bidi="ne-NP"/>
    </w:rPr>
  </w:style>
  <w:style w:type="paragraph" w:customStyle="1" w:styleId="1ffff5">
    <w:name w:val="批注框文本1"/>
    <w:basedOn w:val="a9"/>
    <w:semiHidden/>
    <w:qFormat/>
    <w:rPr>
      <w:rFonts w:ascii="Tahoma" w:hAnsi="Tahoma" w:cs="Tahoma"/>
      <w:sz w:val="16"/>
      <w:szCs w:val="16"/>
    </w:rPr>
  </w:style>
  <w:style w:type="paragraph" w:customStyle="1" w:styleId="CM100">
    <w:name w:val="CM100"/>
    <w:basedOn w:val="Default"/>
    <w:next w:val="Default"/>
    <w:qFormat/>
    <w:pPr>
      <w:spacing w:after="88" w:line="360" w:lineRule="auto"/>
      <w:jc w:val="both"/>
    </w:pPr>
    <w:rPr>
      <w:rFonts w:ascii="楷体_GB2312" w:eastAsia="楷体_GB2312" w:cs="Times New Roman"/>
      <w:color w:val="auto"/>
    </w:rPr>
  </w:style>
  <w:style w:type="paragraph" w:customStyle="1" w:styleId="affffffffffffffc">
    <w:name w:val="图头"/>
    <w:basedOn w:val="a9"/>
    <w:qFormat/>
    <w:pPr>
      <w:widowControl/>
      <w:spacing w:beforeLines="50" w:afterLines="50" w:line="520" w:lineRule="exact"/>
      <w:ind w:firstLineChars="200" w:firstLine="200"/>
    </w:pPr>
    <w:rPr>
      <w:rFonts w:ascii="黑体" w:eastAsia="黑体" w:cs="宋体"/>
      <w:b/>
      <w:bCs/>
      <w:sz w:val="24"/>
      <w:lang w:bidi="ne-NP"/>
    </w:rPr>
  </w:style>
  <w:style w:type="paragraph" w:customStyle="1" w:styleId="4848151">
    <w:name w:val="样式 (中文) 黑体 三号 加粗 段前: 48 磅 段后: 48 磅 底端: (单实线 自动设置  1.5 磅 行...1"/>
    <w:basedOn w:val="1"/>
    <w:qFormat/>
    <w:pPr>
      <w:pageBreakBefore w:val="0"/>
      <w:numPr>
        <w:numId w:val="0"/>
      </w:numPr>
      <w:pBdr>
        <w:bottom w:val="single" w:sz="12" w:space="1" w:color="auto"/>
      </w:pBdr>
      <w:spacing w:before="960" w:after="960" w:line="578" w:lineRule="auto"/>
    </w:pPr>
    <w:rPr>
      <w:rFonts w:eastAsia="黑体" w:cs="宋体"/>
      <w:b w:val="0"/>
    </w:rPr>
  </w:style>
  <w:style w:type="paragraph" w:customStyle="1" w:styleId="xl114">
    <w:name w:val="xl114"/>
    <w:basedOn w:val="a9"/>
    <w:qFormat/>
    <w:pPr>
      <w:widowControl/>
      <w:pBdr>
        <w:bottom w:val="single" w:sz="8" w:space="0" w:color="auto"/>
        <w:right w:val="single" w:sz="8" w:space="0" w:color="auto"/>
      </w:pBdr>
      <w:spacing w:before="100" w:beforeAutospacing="1" w:after="100" w:afterAutospacing="1" w:line="360" w:lineRule="auto"/>
      <w:textAlignment w:val="center"/>
    </w:pPr>
    <w:rPr>
      <w:rFonts w:ascii="宋体" w:hAnsi="宋体" w:cs="宋体"/>
    </w:rPr>
  </w:style>
  <w:style w:type="paragraph" w:customStyle="1" w:styleId="314">
    <w:name w:val="正文文本 31"/>
    <w:basedOn w:val="a9"/>
    <w:qFormat/>
    <w:pPr>
      <w:autoSpaceDE w:val="0"/>
      <w:autoSpaceDN w:val="0"/>
      <w:adjustRightInd w:val="0"/>
      <w:spacing w:line="312" w:lineRule="atLeast"/>
      <w:jc w:val="center"/>
      <w:textAlignment w:val="baseline"/>
    </w:pPr>
    <w:rPr>
      <w:rFonts w:ascii="楷体" w:eastAsia="楷体"/>
      <w:sz w:val="28"/>
    </w:rPr>
  </w:style>
  <w:style w:type="paragraph" w:customStyle="1" w:styleId="4f3">
    <w:name w:val="批注框文本4"/>
    <w:basedOn w:val="a9"/>
    <w:semiHidden/>
    <w:rPr>
      <w:rFonts w:ascii="Tahoma" w:hAnsi="Tahoma" w:cs="Tahoma"/>
      <w:sz w:val="16"/>
      <w:szCs w:val="16"/>
    </w:rPr>
  </w:style>
  <w:style w:type="paragraph" w:customStyle="1" w:styleId="411">
    <w:name w:val="小4仿宋居中行1"/>
    <w:qFormat/>
    <w:pPr>
      <w:widowControl w:val="0"/>
      <w:spacing w:after="60" w:line="360" w:lineRule="auto"/>
      <w:ind w:left="-573" w:right="-59" w:firstLine="494"/>
      <w:jc w:val="center"/>
    </w:pPr>
    <w:rPr>
      <w:rFonts w:eastAsia="仿宋_GB2312"/>
      <w:sz w:val="24"/>
    </w:rPr>
  </w:style>
  <w:style w:type="paragraph" w:customStyle="1" w:styleId="xl63">
    <w:name w:val="xl63"/>
    <w:basedOn w:val="a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宋体"/>
      <w:sz w:val="18"/>
      <w:szCs w:val="18"/>
      <w:lang w:bidi="ne-NP"/>
    </w:rPr>
  </w:style>
  <w:style w:type="paragraph" w:customStyle="1" w:styleId="3CharCharCharCharCharChar1Char">
    <w:name w:val="标题3 Char Char Char Char Char Char1 Char"/>
    <w:basedOn w:val="a9"/>
    <w:qFormat/>
    <w:pPr>
      <w:widowControl/>
      <w:spacing w:afterLines="50" w:line="560" w:lineRule="exact"/>
    </w:pPr>
    <w:rPr>
      <w:rFonts w:eastAsia="黑体" w:cs="宋体"/>
      <w:sz w:val="30"/>
      <w:szCs w:val="30"/>
      <w:lang w:bidi="ne-NP"/>
    </w:rPr>
  </w:style>
  <w:style w:type="paragraph" w:customStyle="1" w:styleId="affffffffffffffd">
    <w:name w:val="君邦报告表正文"/>
    <w:basedOn w:val="a9"/>
    <w:qFormat/>
    <w:pPr>
      <w:adjustRightInd w:val="0"/>
      <w:snapToGrid w:val="0"/>
      <w:spacing w:beforeLines="50" w:after="60" w:line="360" w:lineRule="auto"/>
      <w:ind w:firstLineChars="200" w:firstLine="480"/>
    </w:pPr>
    <w:rPr>
      <w:snapToGrid w:val="0"/>
      <w:color w:val="000000"/>
      <w:sz w:val="24"/>
    </w:rPr>
  </w:style>
  <w:style w:type="paragraph" w:customStyle="1" w:styleId="xl104">
    <w:name w:val="xl104"/>
    <w:basedOn w:val="a9"/>
    <w:qFormat/>
    <w:pPr>
      <w:widowControl/>
      <w:pBdr>
        <w:bottom w:val="single" w:sz="8" w:space="0" w:color="000000"/>
      </w:pBdr>
      <w:spacing w:before="100" w:beforeAutospacing="1" w:after="100" w:afterAutospacing="1" w:line="360" w:lineRule="auto"/>
      <w:jc w:val="center"/>
      <w:textAlignment w:val="center"/>
    </w:pPr>
    <w:rPr>
      <w:color w:val="000000"/>
      <w:sz w:val="18"/>
      <w:szCs w:val="18"/>
    </w:rPr>
  </w:style>
  <w:style w:type="paragraph" w:customStyle="1" w:styleId="CM11">
    <w:name w:val="CM11"/>
    <w:basedOn w:val="a9"/>
    <w:next w:val="a9"/>
    <w:qFormat/>
    <w:pPr>
      <w:autoSpaceDE w:val="0"/>
      <w:autoSpaceDN w:val="0"/>
      <w:adjustRightInd w:val="0"/>
      <w:spacing w:line="480" w:lineRule="atLeast"/>
      <w:jc w:val="left"/>
    </w:pPr>
    <w:rPr>
      <w:rFonts w:ascii="黑体" w:eastAsia="黑体"/>
      <w:sz w:val="24"/>
    </w:rPr>
  </w:style>
  <w:style w:type="paragraph" w:customStyle="1" w:styleId="xl37">
    <w:name w:val="xl37"/>
    <w:basedOn w:val="a9"/>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affffffffffffffe">
    <w:name w:val="表中文字"/>
    <w:basedOn w:val="a9"/>
    <w:link w:val="Char1f6"/>
    <w:qFormat/>
    <w:pPr>
      <w:widowControl/>
      <w:adjustRightInd w:val="0"/>
      <w:ind w:leftChars="2" w:left="4"/>
      <w:jc w:val="center"/>
      <w:textAlignment w:val="baseline"/>
    </w:pPr>
    <w:rPr>
      <w:rFonts w:cs="宋体"/>
      <w:sz w:val="24"/>
      <w:lang w:bidi="ne-NP"/>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9"/>
    <w:qFormat/>
    <w:pPr>
      <w:spacing w:line="360" w:lineRule="auto"/>
      <w:ind w:firstLineChars="200" w:firstLine="200"/>
    </w:pPr>
    <w:rPr>
      <w:rFonts w:ascii="宋体" w:hAnsi="宋体" w:cs="宋体"/>
      <w:sz w:val="24"/>
    </w:rPr>
  </w:style>
  <w:style w:type="paragraph" w:customStyle="1" w:styleId="xl592">
    <w:name w:val="xl592"/>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cs="宋体"/>
      <w:color w:val="000000"/>
      <w:sz w:val="18"/>
      <w:szCs w:val="18"/>
      <w:lang w:bidi="ne-NP"/>
    </w:rPr>
  </w:style>
  <w:style w:type="paragraph" w:customStyle="1" w:styleId="wenzi">
    <w:name w:val="wenzi"/>
    <w:basedOn w:val="a9"/>
    <w:qFormat/>
    <w:pPr>
      <w:widowControl/>
      <w:topLinePunct/>
      <w:spacing w:before="100" w:beforeAutospacing="1" w:after="100" w:afterAutospacing="1" w:line="360" w:lineRule="auto"/>
      <w:jc w:val="left"/>
    </w:pPr>
    <w:rPr>
      <w:rFonts w:ascii="宋体" w:hAnsi="宋体"/>
      <w:color w:val="000000"/>
      <w:sz w:val="18"/>
      <w:szCs w:val="18"/>
    </w:rPr>
  </w:style>
  <w:style w:type="paragraph" w:customStyle="1" w:styleId="a0">
    <w:name w:val="表前文"/>
    <w:basedOn w:val="a9"/>
    <w:qFormat/>
    <w:pPr>
      <w:widowControl/>
      <w:numPr>
        <w:numId w:val="7"/>
      </w:numPr>
      <w:tabs>
        <w:tab w:val="clear" w:pos="720"/>
      </w:tabs>
      <w:adjustRightInd w:val="0"/>
      <w:spacing w:after="120" w:line="312" w:lineRule="atLeast"/>
      <w:textAlignment w:val="baseline"/>
    </w:pPr>
    <w:rPr>
      <w:rFonts w:cs="宋体"/>
      <w:sz w:val="24"/>
      <w:lang w:bidi="ne-NP"/>
    </w:rPr>
  </w:style>
  <w:style w:type="paragraph" w:customStyle="1" w:styleId="xl537">
    <w:name w:val="xl537"/>
    <w:basedOn w:val="a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lang w:bidi="ne-NP"/>
    </w:rPr>
  </w:style>
  <w:style w:type="paragraph" w:customStyle="1" w:styleId="Char3CharCharChar7">
    <w:name w:val="Char3 Char Char Char7"/>
    <w:basedOn w:val="a9"/>
    <w:qFormat/>
    <w:pPr>
      <w:widowControl/>
      <w:spacing w:line="360" w:lineRule="auto"/>
      <w:ind w:firstLineChars="200" w:firstLine="200"/>
    </w:pPr>
    <w:rPr>
      <w:rFonts w:ascii="宋体" w:hAnsi="宋体" w:cs="宋体"/>
      <w:sz w:val="24"/>
      <w:lang w:bidi="ne-NP"/>
    </w:rPr>
  </w:style>
  <w:style w:type="paragraph" w:customStyle="1" w:styleId="CharChar1Char2CharCharChar1">
    <w:name w:val="Char Char1 Char2 Char Char Char1"/>
    <w:basedOn w:val="a9"/>
    <w:qFormat/>
    <w:pPr>
      <w:spacing w:line="360" w:lineRule="auto"/>
      <w:ind w:firstLineChars="200" w:firstLine="200"/>
    </w:pPr>
    <w:rPr>
      <w:rFonts w:ascii="宋体" w:hAnsi="宋体" w:cs="宋体"/>
      <w:sz w:val="24"/>
    </w:rPr>
  </w:style>
  <w:style w:type="paragraph" w:customStyle="1" w:styleId="xl46">
    <w:name w:val="xl46"/>
    <w:basedOn w:val="a9"/>
    <w:qFormat/>
    <w:pPr>
      <w:widowControl/>
      <w:pBdr>
        <w:lef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CharCharCharCharCharCharCharCharCharChar3">
    <w:name w:val="Char Char Char Char Char Char Char Char Char Char3"/>
    <w:basedOn w:val="a9"/>
    <w:qFormat/>
    <w:pPr>
      <w:widowControl/>
    </w:pPr>
    <w:rPr>
      <w:rFonts w:cs="宋体"/>
      <w:sz w:val="24"/>
      <w:lang w:bidi="ne-NP"/>
    </w:rPr>
  </w:style>
  <w:style w:type="paragraph" w:customStyle="1" w:styleId="xl549">
    <w:name w:val="xl549"/>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tdbgmainall">
    <w:name w:val="tdbg_mainall"/>
    <w:basedOn w:val="a9"/>
    <w:qFormat/>
    <w:pPr>
      <w:widowControl/>
      <w:spacing w:before="100" w:beforeAutospacing="1" w:after="100" w:afterAutospacing="1"/>
      <w:jc w:val="left"/>
    </w:pPr>
    <w:rPr>
      <w:rFonts w:ascii="Arial Unicode MS" w:eastAsia="Arial Unicode MS" w:hAnsi="Arial Unicode MS" w:cs="Arial Unicode MS"/>
      <w:sz w:val="24"/>
    </w:rPr>
  </w:style>
  <w:style w:type="paragraph" w:customStyle="1" w:styleId="xl585">
    <w:name w:val="xl585"/>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afffffffffffffff">
    <w:name w:val="正文内容"/>
    <w:basedOn w:val="a9"/>
    <w:semiHidden/>
    <w:qFormat/>
    <w:pPr>
      <w:widowControl/>
      <w:adjustRightInd w:val="0"/>
      <w:snapToGrid w:val="0"/>
      <w:spacing w:line="360" w:lineRule="auto"/>
      <w:ind w:firstLineChars="200" w:firstLine="510"/>
      <w:jc w:val="left"/>
    </w:pPr>
    <w:rPr>
      <w:rFonts w:ascii="宋体" w:eastAsia="仿宋_GB2312" w:hAnsi="宋体" w:cs="宋体"/>
      <w:snapToGrid w:val="0"/>
      <w:spacing w:val="4"/>
      <w:sz w:val="24"/>
      <w:lang w:bidi="ne-NP"/>
    </w:rPr>
  </w:style>
  <w:style w:type="paragraph" w:customStyle="1" w:styleId="3fc">
    <w:name w:val="君邦标题3"/>
    <w:basedOn w:val="a9"/>
    <w:semiHidden/>
    <w:qFormat/>
  </w:style>
  <w:style w:type="paragraph" w:customStyle="1" w:styleId="reader-word-layerreader-word-s1-1">
    <w:name w:val="reader-word-layer reader-word-s1-1"/>
    <w:basedOn w:val="a9"/>
    <w:qFormat/>
    <w:pPr>
      <w:widowControl/>
      <w:spacing w:before="100" w:beforeAutospacing="1" w:after="100" w:afterAutospacing="1"/>
      <w:jc w:val="left"/>
    </w:pPr>
    <w:rPr>
      <w:rFonts w:ascii="宋体" w:hAnsi="宋体" w:cs="宋体"/>
      <w:sz w:val="24"/>
      <w:lang w:bidi="ne-NP"/>
    </w:rPr>
  </w:style>
  <w:style w:type="paragraph" w:customStyle="1" w:styleId="2TimesNewRoman0026">
    <w:name w:val="样式 标题 2 + Times New Roman 非加粗 段前: 0 磅 段后: 0 磅 行距: 固定值 26 磅"/>
    <w:basedOn w:val="2"/>
    <w:semiHidden/>
    <w:qFormat/>
    <w:pPr>
      <w:keepNext/>
      <w:numPr>
        <w:ilvl w:val="0"/>
        <w:numId w:val="0"/>
      </w:numPr>
      <w:pBdr>
        <w:bottom w:val="none" w:sz="0" w:space="0" w:color="auto"/>
      </w:pBdr>
      <w:spacing w:before="0" w:after="0" w:line="520" w:lineRule="exact"/>
    </w:pPr>
    <w:rPr>
      <w:rFonts w:eastAsia="仿宋_GB2312"/>
      <w:sz w:val="30"/>
    </w:rPr>
  </w:style>
  <w:style w:type="paragraph" w:customStyle="1" w:styleId="C">
    <w:name w:val="C"/>
    <w:basedOn w:val="3"/>
    <w:qFormat/>
    <w:pPr>
      <w:keepNext/>
      <w:keepLines/>
      <w:widowControl/>
      <w:numPr>
        <w:ilvl w:val="0"/>
        <w:numId w:val="0"/>
      </w:numPr>
      <w:tabs>
        <w:tab w:val="left" w:pos="0"/>
        <w:tab w:val="left" w:pos="862"/>
        <w:tab w:val="left" w:pos="1567"/>
        <w:tab w:val="left" w:pos="3752"/>
      </w:tabs>
      <w:snapToGrid/>
      <w:spacing w:before="120" w:after="120"/>
    </w:pPr>
    <w:rPr>
      <w:rFonts w:ascii="Arial" w:hAnsi="Arial" w:cs="宋体"/>
      <w:bCs/>
      <w:color w:val="000000"/>
      <w:sz w:val="28"/>
      <w:szCs w:val="28"/>
      <w:lang w:bidi="ne-NP"/>
    </w:rPr>
  </w:style>
  <w:style w:type="paragraph" w:customStyle="1" w:styleId="Char3CharCharChar4">
    <w:name w:val="Char3 Char Char Char4"/>
    <w:basedOn w:val="a9"/>
    <w:qFormat/>
    <w:pPr>
      <w:spacing w:line="360" w:lineRule="auto"/>
      <w:ind w:firstLineChars="200" w:firstLine="200"/>
    </w:pPr>
    <w:rPr>
      <w:rFonts w:ascii="宋体" w:hAnsi="宋体" w:cs="宋体"/>
      <w:sz w:val="24"/>
    </w:rPr>
  </w:style>
  <w:style w:type="paragraph" w:customStyle="1" w:styleId="l18">
    <w:name w:val="l18"/>
    <w:basedOn w:val="a9"/>
    <w:qFormat/>
    <w:pPr>
      <w:widowControl/>
      <w:spacing w:before="30" w:after="100" w:afterAutospacing="1" w:line="270" w:lineRule="atLeast"/>
      <w:ind w:left="90"/>
      <w:jc w:val="left"/>
    </w:pPr>
    <w:rPr>
      <w:rFonts w:ascii="宋体" w:hAnsi="宋体"/>
      <w:color w:val="000000"/>
      <w:sz w:val="18"/>
      <w:szCs w:val="18"/>
    </w:rPr>
  </w:style>
  <w:style w:type="paragraph" w:customStyle="1" w:styleId="CharChar1Char2CharCharChar">
    <w:name w:val="Char Char1 Char2 Char Char Char"/>
    <w:basedOn w:val="a9"/>
    <w:qFormat/>
    <w:pPr>
      <w:spacing w:line="360" w:lineRule="auto"/>
      <w:ind w:firstLineChars="200" w:firstLine="200"/>
    </w:pPr>
    <w:rPr>
      <w:rFonts w:ascii="宋体" w:hAnsi="宋体" w:cs="宋体"/>
      <w:sz w:val="24"/>
    </w:rPr>
  </w:style>
  <w:style w:type="paragraph" w:customStyle="1" w:styleId="1ffff6">
    <w:name w:val="样式 内容样式1 + 红色"/>
    <w:basedOn w:val="1fff9"/>
    <w:qFormat/>
    <w:pPr>
      <w:adjustRightInd/>
      <w:snapToGrid/>
      <w:spacing w:line="240" w:lineRule="auto"/>
    </w:pPr>
    <w:rPr>
      <w:color w:val="FF0000"/>
    </w:rPr>
  </w:style>
  <w:style w:type="paragraph" w:customStyle="1" w:styleId="CharChar32">
    <w:name w:val="Char Char32"/>
    <w:basedOn w:val="a9"/>
    <w:semiHidden/>
    <w:qFormat/>
    <w:pPr>
      <w:widowControl/>
      <w:spacing w:afterLines="50" w:line="560" w:lineRule="exact"/>
    </w:pPr>
    <w:rPr>
      <w:rFonts w:eastAsia="黑体" w:cs="宋体"/>
      <w:sz w:val="30"/>
      <w:szCs w:val="30"/>
      <w:lang w:bidi="ne-NP"/>
    </w:rPr>
  </w:style>
  <w:style w:type="paragraph" w:customStyle="1" w:styleId="223">
    <w:name w:val="样式 样式 宋体 小三 首行缩进:  2 字符 + 首行缩进:  2 字符"/>
    <w:basedOn w:val="a9"/>
    <w:semiHidden/>
    <w:qFormat/>
    <w:pPr>
      <w:spacing w:line="360" w:lineRule="auto"/>
      <w:ind w:firstLineChars="200" w:firstLine="200"/>
    </w:pPr>
    <w:rPr>
      <w:rFonts w:ascii="宋体" w:hAnsi="宋体" w:hint="eastAsia"/>
      <w:sz w:val="28"/>
    </w:rPr>
  </w:style>
  <w:style w:type="paragraph" w:customStyle="1" w:styleId="Numro-8pts">
    <w:name w:val="Numéro-8pts"/>
    <w:basedOn w:val="a9"/>
    <w:qFormat/>
    <w:pPr>
      <w:keepLines/>
      <w:widowControl/>
      <w:tabs>
        <w:tab w:val="left" w:pos="0"/>
      </w:tabs>
      <w:spacing w:before="160"/>
      <w:ind w:left="1418" w:hanging="284"/>
    </w:pPr>
    <w:rPr>
      <w:rFonts w:ascii="Arial" w:hAnsi="Arial" w:cs="宋体"/>
      <w:spacing w:val="-2"/>
      <w:lang w:eastAsia="fr-FR" w:bidi="ne-NP"/>
    </w:rPr>
  </w:style>
  <w:style w:type="paragraph" w:customStyle="1" w:styleId="CharChar2Char1">
    <w:name w:val="Char Char2 Char1"/>
    <w:basedOn w:val="a9"/>
    <w:qFormat/>
    <w:pPr>
      <w:spacing w:line="360" w:lineRule="auto"/>
      <w:ind w:firstLineChars="200" w:firstLine="200"/>
    </w:pPr>
    <w:rPr>
      <w:rFonts w:ascii="宋体" w:hAnsi="宋体" w:cs="宋体"/>
      <w:sz w:val="24"/>
    </w:rPr>
  </w:style>
  <w:style w:type="paragraph" w:customStyle="1" w:styleId="Normal1">
    <w:name w:val="Normal1"/>
    <w:qFormat/>
    <w:pPr>
      <w:widowControl w:val="0"/>
      <w:adjustRightInd w:val="0"/>
      <w:spacing w:after="60" w:line="312" w:lineRule="atLeast"/>
      <w:jc w:val="both"/>
      <w:textAlignment w:val="baseline"/>
    </w:pPr>
    <w:rPr>
      <w:rFonts w:ascii="宋体"/>
      <w:sz w:val="34"/>
    </w:rPr>
  </w:style>
  <w:style w:type="paragraph" w:customStyle="1" w:styleId="afffffffffffffff0">
    <w:name w:val="正文居中"/>
    <w:basedOn w:val="a9"/>
    <w:next w:val="a9"/>
    <w:qFormat/>
    <w:pPr>
      <w:widowControl/>
      <w:snapToGrid w:val="0"/>
      <w:spacing w:line="360" w:lineRule="auto"/>
      <w:jc w:val="center"/>
    </w:pPr>
    <w:rPr>
      <w:rFonts w:ascii="宋体" w:hAnsi="宋体"/>
      <w:spacing w:val="8"/>
      <w:kern w:val="21"/>
      <w:sz w:val="24"/>
    </w:rPr>
  </w:style>
  <w:style w:type="paragraph" w:customStyle="1" w:styleId="3Sottoparagrafo3CharTimesNewRoman">
    <w:name w:val="样式 标题 3Sottoparagrafo标题 3 Char + Times New Roman"/>
    <w:basedOn w:val="3"/>
    <w:qFormat/>
    <w:pPr>
      <w:keepNext/>
      <w:keepLines/>
      <w:widowControl/>
      <w:numPr>
        <w:ilvl w:val="0"/>
        <w:numId w:val="0"/>
      </w:numPr>
      <w:tabs>
        <w:tab w:val="left" w:pos="0"/>
        <w:tab w:val="left" w:pos="862"/>
        <w:tab w:val="left" w:pos="1567"/>
      </w:tabs>
      <w:snapToGrid/>
      <w:spacing w:beforeLines="50" w:after="60"/>
    </w:pPr>
    <w:rPr>
      <w:rFonts w:cs="宋体"/>
      <w:b w:val="0"/>
      <w:sz w:val="28"/>
      <w:lang w:bidi="ne-NP"/>
    </w:rPr>
  </w:style>
  <w:style w:type="paragraph" w:customStyle="1" w:styleId="22CharChar0305">
    <w:name w:val="样式 样式 标题 2标题 2 Char Char + 段前: 0.3 行 + 段前: 0.5 行"/>
    <w:basedOn w:val="22CharChar03"/>
    <w:qFormat/>
    <w:pPr>
      <w:spacing w:before="156"/>
    </w:pPr>
  </w:style>
  <w:style w:type="paragraph" w:customStyle="1" w:styleId="22CharChar03">
    <w:name w:val="样式 标题 2标题 2 Char Char + 段前: 0.3 行"/>
    <w:basedOn w:val="2"/>
    <w:qFormat/>
    <w:pPr>
      <w:keepLines w:val="0"/>
      <w:widowControl/>
      <w:numPr>
        <w:ilvl w:val="0"/>
        <w:numId w:val="0"/>
      </w:numPr>
      <w:pBdr>
        <w:bottom w:val="none" w:sz="0" w:space="0" w:color="auto"/>
      </w:pBdr>
      <w:tabs>
        <w:tab w:val="left" w:pos="1425"/>
      </w:tabs>
      <w:adjustRightInd w:val="0"/>
      <w:snapToGrid w:val="0"/>
      <w:spacing w:beforeLines="50" w:before="1200" w:after="0" w:line="360" w:lineRule="auto"/>
      <w:ind w:left="1425" w:hanging="1005"/>
    </w:pPr>
    <w:rPr>
      <w:rFonts w:ascii="黑体" w:hAnsi="Arial" w:cs="宋体"/>
      <w:b w:val="0"/>
      <w:sz w:val="28"/>
      <w:szCs w:val="28"/>
    </w:rPr>
  </w:style>
  <w:style w:type="paragraph" w:customStyle="1" w:styleId="1ffff7">
    <w:name w:val="表头1"/>
    <w:basedOn w:val="a9"/>
    <w:qFormat/>
    <w:pPr>
      <w:widowControl/>
      <w:tabs>
        <w:tab w:val="left" w:pos="540"/>
        <w:tab w:val="left" w:pos="2880"/>
      </w:tabs>
      <w:spacing w:beforeLines="50" w:line="480" w:lineRule="exact"/>
      <w:ind w:left="2880" w:hanging="360"/>
      <w:jc w:val="center"/>
    </w:pPr>
    <w:rPr>
      <w:rFonts w:ascii="黑体" w:eastAsia="黑体" w:hAnsi="华文细黑" w:cs="宋体"/>
      <w:b/>
      <w:color w:val="000000"/>
      <w:kern w:val="24"/>
      <w:sz w:val="24"/>
      <w:lang w:bidi="ne-NP"/>
    </w:rPr>
  </w:style>
  <w:style w:type="paragraph" w:customStyle="1" w:styleId="xl107">
    <w:name w:val="xl107"/>
    <w:basedOn w:val="a9"/>
    <w:qFormat/>
    <w:pPr>
      <w:widowControl/>
      <w:pBdr>
        <w:bottom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ffff8">
    <w:name w:val="1表格"/>
    <w:basedOn w:val="a9"/>
    <w:qFormat/>
    <w:pPr>
      <w:spacing w:line="160" w:lineRule="atLeast"/>
      <w:jc w:val="center"/>
    </w:pPr>
    <w:rPr>
      <w:rFonts w:eastAsia="仿宋_GB2312"/>
    </w:rPr>
  </w:style>
  <w:style w:type="paragraph" w:customStyle="1" w:styleId="xl593">
    <w:name w:val="xl593"/>
    <w:basedOn w:val="a9"/>
    <w:qFormat/>
    <w:pPr>
      <w:widowControl/>
      <w:spacing w:before="100" w:beforeAutospacing="1" w:after="100" w:afterAutospacing="1"/>
      <w:jc w:val="left"/>
    </w:pPr>
    <w:rPr>
      <w:rFonts w:ascii="Verdana" w:hAnsi="Verdana" w:cs="宋体"/>
      <w:color w:val="333333"/>
      <w:sz w:val="18"/>
      <w:szCs w:val="18"/>
      <w:lang w:bidi="ne-NP"/>
    </w:rPr>
  </w:style>
  <w:style w:type="paragraph" w:customStyle="1" w:styleId="xl588">
    <w:name w:val="xl588"/>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sz w:val="18"/>
      <w:szCs w:val="18"/>
      <w:lang w:bidi="ne-NP"/>
    </w:rPr>
  </w:style>
  <w:style w:type="paragraph" w:customStyle="1" w:styleId="MTDisplayEquation">
    <w:name w:val="MTDisplayEquation"/>
    <w:basedOn w:val="a9"/>
    <w:next w:val="a9"/>
    <w:qFormat/>
    <w:pPr>
      <w:tabs>
        <w:tab w:val="center" w:pos="4160"/>
        <w:tab w:val="right" w:pos="8320"/>
      </w:tabs>
      <w:spacing w:line="360" w:lineRule="auto"/>
      <w:ind w:firstLineChars="200" w:firstLine="480"/>
    </w:pPr>
    <w:rPr>
      <w:sz w:val="24"/>
    </w:rPr>
  </w:style>
  <w:style w:type="paragraph" w:customStyle="1" w:styleId="315">
    <w:name w:val="批注框文本31"/>
    <w:basedOn w:val="a9"/>
    <w:semiHidden/>
    <w:qFormat/>
    <w:pPr>
      <w:widowControl/>
    </w:pPr>
    <w:rPr>
      <w:rFonts w:ascii="Tahoma" w:hAnsi="Tahoma" w:cs="Tahoma"/>
      <w:sz w:val="16"/>
      <w:szCs w:val="16"/>
      <w:lang w:bidi="ne-NP"/>
    </w:rPr>
  </w:style>
  <w:style w:type="paragraph" w:customStyle="1" w:styleId="1ffff9">
    <w:name w:val="环科院标题1"/>
    <w:basedOn w:val="1"/>
    <w:qFormat/>
    <w:pPr>
      <w:pageBreakBefore w:val="0"/>
      <w:numPr>
        <w:numId w:val="0"/>
      </w:numPr>
      <w:tabs>
        <w:tab w:val="clear" w:pos="432"/>
        <w:tab w:val="left" w:pos="425"/>
        <w:tab w:val="left" w:pos="1080"/>
      </w:tabs>
      <w:spacing w:after="120" w:line="240" w:lineRule="auto"/>
      <w:ind w:left="425" w:hanging="425"/>
    </w:pPr>
    <w:rPr>
      <w:rFonts w:eastAsia="华文中宋"/>
      <w:bCs/>
      <w:sz w:val="44"/>
      <w:szCs w:val="44"/>
    </w:rPr>
  </w:style>
  <w:style w:type="paragraph" w:customStyle="1" w:styleId="z-10">
    <w:name w:val="z-窗体底端1"/>
    <w:basedOn w:val="a9"/>
    <w:next w:val="a9"/>
    <w:qFormat/>
    <w:pPr>
      <w:widowControl/>
      <w:pBdr>
        <w:top w:val="single" w:sz="6" w:space="1" w:color="auto"/>
      </w:pBdr>
      <w:spacing w:line="360" w:lineRule="auto"/>
      <w:jc w:val="center"/>
    </w:pPr>
    <w:rPr>
      <w:rFonts w:ascii="Arial" w:hAnsi="Arial" w:cs="Arial"/>
      <w:vanish/>
      <w:sz w:val="16"/>
      <w:szCs w:val="16"/>
    </w:rPr>
  </w:style>
  <w:style w:type="paragraph" w:customStyle="1" w:styleId="224">
    <w:name w:val="样式 首行缩进:  2 字符2"/>
    <w:basedOn w:val="a9"/>
    <w:qFormat/>
    <w:pPr>
      <w:widowControl/>
      <w:spacing w:line="480" w:lineRule="exact"/>
      <w:ind w:firstLineChars="200" w:firstLine="200"/>
    </w:pPr>
    <w:rPr>
      <w:rFonts w:eastAsia="楷体_GB2312" w:cs="宋体"/>
      <w:sz w:val="24"/>
      <w:lang w:bidi="ne-NP"/>
    </w:rPr>
  </w:style>
  <w:style w:type="paragraph" w:customStyle="1" w:styleId="050">
    <w:name w:val="样式 表名 + 段前: 0.5 行"/>
    <w:basedOn w:val="a9"/>
    <w:qFormat/>
    <w:pPr>
      <w:widowControl/>
      <w:spacing w:before="156" w:afterLines="30" w:line="360" w:lineRule="exact"/>
      <w:jc w:val="center"/>
    </w:pPr>
    <w:rPr>
      <w:rFonts w:eastAsia="黑体" w:cs="宋体"/>
      <w:sz w:val="24"/>
      <w:lang w:bidi="ne-NP"/>
    </w:rPr>
  </w:style>
  <w:style w:type="paragraph" w:customStyle="1" w:styleId="afffffffffffffff1">
    <w:name w:val="封面"/>
    <w:basedOn w:val="a9"/>
    <w:next w:val="afd"/>
    <w:qFormat/>
    <w:pPr>
      <w:widowControl/>
      <w:suppressLineNumbers/>
      <w:suppressAutoHyphens/>
      <w:topLinePunct/>
      <w:adjustRightInd w:val="0"/>
      <w:snapToGrid w:val="0"/>
      <w:spacing w:line="360" w:lineRule="auto"/>
      <w:ind w:firstLineChars="200" w:firstLine="480"/>
      <w:jc w:val="center"/>
    </w:pPr>
    <w:rPr>
      <w:rFonts w:ascii="宋体" w:cs="宋体"/>
      <w:b/>
      <w:color w:val="000000"/>
      <w:sz w:val="32"/>
      <w:lang w:bidi="ne-NP"/>
    </w:rPr>
  </w:style>
  <w:style w:type="paragraph" w:customStyle="1" w:styleId="afffffffffffffff2">
    <w:name w:val="价格变化趋"/>
    <w:basedOn w:val="a9"/>
    <w:qFormat/>
    <w:pPr>
      <w:widowControl/>
      <w:adjustRightInd w:val="0"/>
      <w:spacing w:line="315" w:lineRule="atLeast"/>
      <w:jc w:val="left"/>
      <w:textAlignment w:val="baseline"/>
    </w:pPr>
    <w:rPr>
      <w:rFonts w:ascii="宋体" w:cs="宋体"/>
      <w:sz w:val="24"/>
      <w:lang w:bidi="ne-NP"/>
    </w:rPr>
  </w:style>
  <w:style w:type="paragraph" w:customStyle="1" w:styleId="CharChar2Char2">
    <w:name w:val="Char Char2 Char2"/>
    <w:basedOn w:val="a9"/>
    <w:qFormat/>
    <w:pPr>
      <w:widowControl/>
      <w:spacing w:line="360" w:lineRule="auto"/>
      <w:ind w:firstLineChars="200" w:firstLine="200"/>
    </w:pPr>
    <w:rPr>
      <w:rFonts w:ascii="宋体" w:hAnsi="宋体" w:cs="宋体"/>
      <w:sz w:val="24"/>
      <w:lang w:bidi="ne-NP"/>
    </w:rPr>
  </w:style>
  <w:style w:type="paragraph" w:customStyle="1" w:styleId="CharChar1CharCharCharCharCharCharCharCharCharChar1">
    <w:name w:val="Char Char1 Char Char Char Char Char Char Char Char Char Char1"/>
    <w:basedOn w:val="a9"/>
    <w:qFormat/>
    <w:pPr>
      <w:spacing w:line="360" w:lineRule="auto"/>
      <w:ind w:firstLineChars="200" w:firstLine="200"/>
    </w:pPr>
    <w:rPr>
      <w:rFonts w:ascii="宋体" w:hAnsi="宋体" w:cs="宋体"/>
      <w:sz w:val="24"/>
    </w:rPr>
  </w:style>
  <w:style w:type="paragraph" w:customStyle="1" w:styleId="41111111Heading4Subsection4dashddas">
    <w:name w:val="样式 标题 4款标题1.1.1段款标题1.1.1.1四Heading4Subsection4 dashddas..."/>
    <w:basedOn w:val="4"/>
    <w:qFormat/>
    <w:pPr>
      <w:keepNext/>
      <w:keepLines/>
      <w:numPr>
        <w:ilvl w:val="0"/>
        <w:numId w:val="0"/>
      </w:numPr>
      <w:tabs>
        <w:tab w:val="left" w:pos="862"/>
        <w:tab w:val="left" w:pos="1567"/>
      </w:tabs>
      <w:spacing w:after="0"/>
      <w:ind w:left="720" w:hanging="720"/>
    </w:pPr>
    <w:rPr>
      <w:rFonts w:hAnsi="宋体" w:cs="宋体"/>
      <w:bCs/>
      <w:kern w:val="2"/>
    </w:rPr>
  </w:style>
  <w:style w:type="paragraph" w:customStyle="1" w:styleId="xl126">
    <w:name w:val="xl126"/>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color w:val="000000"/>
    </w:rPr>
  </w:style>
  <w:style w:type="paragraph" w:customStyle="1" w:styleId="Style5">
    <w:name w:val="_Style 5"/>
    <w:basedOn w:val="a9"/>
    <w:qFormat/>
    <w:pPr>
      <w:spacing w:line="360" w:lineRule="auto"/>
      <w:ind w:firstLineChars="200" w:firstLine="200"/>
    </w:pPr>
    <w:rPr>
      <w:rFonts w:ascii="Calibri" w:hAnsi="Calibri"/>
      <w:sz w:val="24"/>
    </w:rPr>
  </w:style>
  <w:style w:type="paragraph" w:customStyle="1" w:styleId="B0">
    <w:name w:val="正文B"/>
    <w:basedOn w:val="a9"/>
    <w:qFormat/>
    <w:pPr>
      <w:widowControl/>
      <w:adjustRightInd w:val="0"/>
      <w:spacing w:line="390" w:lineRule="exact"/>
      <w:ind w:firstLine="601"/>
      <w:textAlignment w:val="baseline"/>
    </w:pPr>
    <w:rPr>
      <w:rFonts w:eastAsia="楷体_GB2312" w:cs="宋体"/>
      <w:spacing w:val="8"/>
      <w:sz w:val="28"/>
      <w:lang w:bidi="ne-NP"/>
    </w:rPr>
  </w:style>
  <w:style w:type="paragraph" w:customStyle="1" w:styleId="CharCharChar4">
    <w:name w:val="Char Char Char4"/>
    <w:basedOn w:val="a9"/>
    <w:qFormat/>
    <w:pPr>
      <w:widowControl/>
      <w:spacing w:afterLines="50" w:line="560" w:lineRule="exact"/>
    </w:pPr>
    <w:rPr>
      <w:rFonts w:eastAsia="黑体" w:cs="宋体"/>
      <w:sz w:val="30"/>
      <w:szCs w:val="30"/>
      <w:lang w:bidi="ne-NP"/>
    </w:rPr>
  </w:style>
  <w:style w:type="paragraph" w:customStyle="1" w:styleId="15218218">
    <w:name w:val="样式 样式 正文文字缩进 + 行距: 1.5 倍行距 首行缩进:  2.18 字符 + 首行缩进:  2.18 字符"/>
    <w:basedOn w:val="a9"/>
    <w:qFormat/>
    <w:pPr>
      <w:spacing w:line="360" w:lineRule="auto"/>
      <w:ind w:firstLineChars="218" w:firstLine="523"/>
    </w:pPr>
    <w:rPr>
      <w:rFonts w:cs="宋体"/>
      <w:sz w:val="24"/>
    </w:rPr>
  </w:style>
  <w:style w:type="paragraph" w:customStyle="1" w:styleId="xl193">
    <w:name w:val="xl193"/>
    <w:basedOn w:val="a9"/>
    <w:qFormat/>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321">
    <w:name w:val="正文文本缩进 32"/>
    <w:basedOn w:val="a9"/>
    <w:semiHidden/>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afffffffffffffff3">
    <w:name w:val="图表文字"/>
    <w:basedOn w:val="a9"/>
    <w:qFormat/>
    <w:pPr>
      <w:adjustRightInd w:val="0"/>
      <w:spacing w:line="300" w:lineRule="exact"/>
      <w:jc w:val="center"/>
      <w:textAlignment w:val="baseline"/>
    </w:pPr>
    <w:rPr>
      <w:bCs/>
    </w:rPr>
  </w:style>
  <w:style w:type="paragraph" w:customStyle="1" w:styleId="xl26">
    <w:name w:val="xl2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18"/>
      <w:szCs w:val="18"/>
    </w:rPr>
  </w:style>
  <w:style w:type="paragraph" w:customStyle="1" w:styleId="xl22">
    <w:name w:val="xl2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szCs w:val="21"/>
    </w:rPr>
  </w:style>
  <w:style w:type="paragraph" w:customStyle="1" w:styleId="xl574">
    <w:name w:val="xl57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input1">
    <w:name w:val="input1"/>
    <w:basedOn w:val="a9"/>
    <w:qFormat/>
    <w:pPr>
      <w:widowControl/>
      <w:spacing w:before="100" w:beforeAutospacing="1" w:after="100" w:afterAutospacing="1" w:line="384" w:lineRule="auto"/>
      <w:jc w:val="left"/>
    </w:pPr>
    <w:rPr>
      <w:rFonts w:ascii="Arial" w:hAnsi="Arial"/>
      <w:sz w:val="18"/>
    </w:rPr>
  </w:style>
  <w:style w:type="paragraph" w:customStyle="1" w:styleId="xl40">
    <w:name w:val="xl40"/>
    <w:basedOn w:val="a9"/>
    <w:qFormat/>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102">
    <w:name w:val="xl102"/>
    <w:basedOn w:val="a9"/>
    <w:qFormat/>
    <w:pPr>
      <w:widowControl/>
      <w:pBdr>
        <w:bottom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xl541">
    <w:name w:val="xl541"/>
    <w:basedOn w:val="a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lang w:bidi="ne-NP"/>
    </w:rPr>
  </w:style>
  <w:style w:type="paragraph" w:customStyle="1" w:styleId="84">
    <w:name w:val="8"/>
    <w:qFormat/>
    <w:pPr>
      <w:spacing w:line="360" w:lineRule="auto"/>
      <w:jc w:val="center"/>
    </w:pPr>
    <w:rPr>
      <w:rFonts w:ascii="Calibri" w:hAnsi="Calibri"/>
      <w:color w:val="943634"/>
    </w:rPr>
  </w:style>
  <w:style w:type="paragraph" w:customStyle="1" w:styleId="1ffffa">
    <w:name w:val="1君邦表头"/>
    <w:basedOn w:val="a9"/>
    <w:qFormat/>
    <w:pPr>
      <w:spacing w:before="120"/>
      <w:jc w:val="center"/>
    </w:pPr>
    <w:rPr>
      <w:rFonts w:eastAsia="黑体"/>
      <w:b/>
      <w:spacing w:val="6"/>
      <w:szCs w:val="22"/>
    </w:rPr>
  </w:style>
  <w:style w:type="paragraph" w:customStyle="1" w:styleId="1030">
    <w:name w:val="样式 表名1 + 段前: 0.3 行"/>
    <w:basedOn w:val="1ffffb"/>
    <w:qFormat/>
    <w:pPr>
      <w:spacing w:beforeLines="40"/>
    </w:pPr>
    <w:rPr>
      <w:bCs w:val="0"/>
    </w:rPr>
  </w:style>
  <w:style w:type="paragraph" w:customStyle="1" w:styleId="1ffffb">
    <w:name w:val="表名1"/>
    <w:basedOn w:val="a9"/>
    <w:qFormat/>
    <w:pPr>
      <w:widowControl/>
      <w:adjustRightInd w:val="0"/>
      <w:snapToGrid w:val="0"/>
      <w:spacing w:beforeLines="30" w:line="300" w:lineRule="auto"/>
      <w:jc w:val="center"/>
    </w:pPr>
    <w:rPr>
      <w:rFonts w:eastAsia="黑体" w:cs="宋体"/>
      <w:bCs/>
      <w:sz w:val="24"/>
      <w:lang w:bidi="ne-NP"/>
    </w:rPr>
  </w:style>
  <w:style w:type="paragraph" w:customStyle="1" w:styleId="xl48">
    <w:name w:val="xl48"/>
    <w:basedOn w:val="a9"/>
    <w:qFormat/>
    <w:pPr>
      <w:widowControl/>
      <w:pBdr>
        <w:top w:val="single" w:sz="4" w:space="0" w:color="auto"/>
        <w:left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xl51">
    <w:name w:val="xl51"/>
    <w:basedOn w:val="a9"/>
    <w:qFormat/>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仿宋_GB2312" w:eastAsia="仿宋_GB2312" w:hAnsi="宋体" w:hint="eastAsia"/>
      <w:szCs w:val="21"/>
    </w:rPr>
  </w:style>
  <w:style w:type="paragraph" w:customStyle="1" w:styleId="s2">
    <w:name w:val="s标题2"/>
    <w:basedOn w:val="2"/>
    <w:qFormat/>
    <w:pPr>
      <w:keepLines w:val="0"/>
      <w:numPr>
        <w:ilvl w:val="0"/>
        <w:numId w:val="0"/>
      </w:numPr>
      <w:pBdr>
        <w:bottom w:val="none" w:sz="0" w:space="0" w:color="auto"/>
      </w:pBdr>
      <w:adjustRightInd w:val="0"/>
      <w:snapToGrid w:val="0"/>
      <w:spacing w:before="0" w:after="0" w:line="360" w:lineRule="auto"/>
      <w:jc w:val="left"/>
    </w:pPr>
    <w:rPr>
      <w:sz w:val="24"/>
      <w:szCs w:val="24"/>
    </w:rPr>
  </w:style>
  <w:style w:type="paragraph" w:customStyle="1" w:styleId="xl70">
    <w:name w:val="xl7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sz w:val="24"/>
    </w:rPr>
  </w:style>
  <w:style w:type="paragraph" w:customStyle="1" w:styleId="CharCharCharCharCharCharChar1CharCharChar1">
    <w:name w:val="Char Char Char Char Char Char Char1 Char Char Char1"/>
    <w:basedOn w:val="a9"/>
    <w:qFormat/>
    <w:pPr>
      <w:widowControl/>
      <w:spacing w:line="360" w:lineRule="auto"/>
    </w:pPr>
    <w:rPr>
      <w:rFonts w:cs="宋体"/>
      <w:sz w:val="24"/>
      <w:szCs w:val="21"/>
      <w:lang w:bidi="ne-NP"/>
    </w:rPr>
  </w:style>
  <w:style w:type="paragraph" w:customStyle="1" w:styleId="1ffffc">
    <w:name w:val="日期1"/>
    <w:basedOn w:val="a9"/>
    <w:next w:val="a9"/>
    <w:qFormat/>
    <w:pPr>
      <w:adjustRightInd w:val="0"/>
      <w:spacing w:line="312" w:lineRule="atLeast"/>
      <w:textAlignment w:val="baseline"/>
    </w:pPr>
    <w:rPr>
      <w:rFonts w:eastAsia="楷体_GB2312"/>
      <w:sz w:val="28"/>
    </w:rPr>
  </w:style>
  <w:style w:type="paragraph" w:customStyle="1" w:styleId="CharCharCharChar3">
    <w:name w:val="Char Char Char Char3"/>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afterLines="50" w:line="240" w:lineRule="auto"/>
      <w:ind w:leftChars="-12" w:left="542" w:firstLineChars="200" w:firstLine="200"/>
    </w:pPr>
    <w:rPr>
      <w:rFonts w:ascii="华文中宋" w:eastAsia="华文中宋" w:hAnsi="宋体"/>
      <w:b w:val="0"/>
      <w:snapToGrid w:val="0"/>
      <w:sz w:val="32"/>
      <w:szCs w:val="24"/>
    </w:rPr>
  </w:style>
  <w:style w:type="paragraph" w:customStyle="1" w:styleId="Char320">
    <w:name w:val="Char32"/>
    <w:basedOn w:val="a9"/>
    <w:qFormat/>
    <w:pPr>
      <w:spacing w:line="360" w:lineRule="auto"/>
      <w:ind w:firstLineChars="200" w:firstLine="200"/>
    </w:pPr>
    <w:rPr>
      <w:sz w:val="24"/>
    </w:rPr>
  </w:style>
  <w:style w:type="paragraph" w:customStyle="1" w:styleId="125">
    <w:name w:val="纯文本12"/>
    <w:basedOn w:val="a9"/>
    <w:qFormat/>
    <w:pPr>
      <w:autoSpaceDE w:val="0"/>
      <w:autoSpaceDN w:val="0"/>
      <w:adjustRightInd w:val="0"/>
      <w:textAlignment w:val="baseline"/>
    </w:pPr>
    <w:rPr>
      <w:rFonts w:ascii="宋体" w:hAnsi="Tms Rmn"/>
    </w:rPr>
  </w:style>
  <w:style w:type="paragraph" w:customStyle="1" w:styleId="xl56">
    <w:name w:val="xl56"/>
    <w:basedOn w:val="a9"/>
    <w:qFormat/>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cs="宋体"/>
      <w:sz w:val="18"/>
      <w:szCs w:val="18"/>
      <w:lang w:bidi="ne-NP"/>
    </w:rPr>
  </w:style>
  <w:style w:type="paragraph" w:customStyle="1" w:styleId="xl550">
    <w:name w:val="xl55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2ff5">
    <w:name w:val="样式 小五 居中 首行缩进:  2 字符"/>
    <w:basedOn w:val="a9"/>
    <w:qFormat/>
    <w:pPr>
      <w:widowControl/>
      <w:jc w:val="center"/>
    </w:pPr>
    <w:rPr>
      <w:rFonts w:cs="宋体"/>
      <w:sz w:val="18"/>
      <w:lang w:bidi="ne-NP"/>
    </w:rPr>
  </w:style>
  <w:style w:type="paragraph" w:customStyle="1" w:styleId="CharChar3CharCharCharChar2">
    <w:name w:val="Char Char3 Char Char Char Char2"/>
    <w:basedOn w:val="a9"/>
    <w:qFormat/>
    <w:rPr>
      <w:rFonts w:cs="宋体"/>
      <w:sz w:val="24"/>
    </w:rPr>
  </w:style>
  <w:style w:type="paragraph" w:customStyle="1" w:styleId="afffffffffffffff4">
    <w:name w:val="表中"/>
    <w:qFormat/>
    <w:pPr>
      <w:spacing w:after="60" w:line="280" w:lineRule="exact"/>
      <w:jc w:val="center"/>
    </w:pPr>
    <w:rPr>
      <w:color w:val="000000"/>
      <w:spacing w:val="20"/>
      <w:kern w:val="44"/>
      <w:sz w:val="18"/>
    </w:rPr>
  </w:style>
  <w:style w:type="paragraph" w:customStyle="1" w:styleId="afffffffffffffff5">
    <w:name w:val="表心"/>
    <w:basedOn w:val="a9"/>
    <w:qFormat/>
    <w:pPr>
      <w:widowControl/>
      <w:topLinePunct/>
      <w:adjustRightInd w:val="0"/>
      <w:spacing w:line="360" w:lineRule="exact"/>
      <w:ind w:leftChars="-30" w:left="-63" w:rightChars="-30" w:right="-63"/>
      <w:jc w:val="center"/>
      <w:textAlignment w:val="baseline"/>
    </w:pPr>
    <w:rPr>
      <w:rFonts w:ascii="华文新魏" w:eastAsia="华文新魏"/>
      <w:sz w:val="24"/>
    </w:rPr>
  </w:style>
  <w:style w:type="paragraph" w:customStyle="1" w:styleId="afffffffffffffff6">
    <w:name w:val="文本框文字"/>
    <w:basedOn w:val="a9"/>
    <w:qFormat/>
    <w:pPr>
      <w:jc w:val="center"/>
    </w:pPr>
  </w:style>
  <w:style w:type="paragraph" w:customStyle="1" w:styleId="CharCharCharCharCharChar1CharCharCharCha">
    <w:name w:val="样式 列表列表 Char列表 Char Char Char Char Char1列表 Char Char Char Cha..."/>
    <w:basedOn w:val="affb"/>
    <w:qFormat/>
    <w:pPr>
      <w:widowControl/>
      <w:spacing w:line="500" w:lineRule="exact"/>
      <w:ind w:left="0" w:firstLineChars="200" w:firstLine="200"/>
      <w:jc w:val="center"/>
    </w:pPr>
    <w:rPr>
      <w:rFonts w:eastAsia="黑体"/>
      <w:sz w:val="24"/>
      <w:szCs w:val="24"/>
    </w:rPr>
  </w:style>
  <w:style w:type="paragraph" w:customStyle="1" w:styleId="33Char121825">
    <w:name w:val="样式 标题 3小标题标题 3 Char头小节标题 + 段前: 12 磅 段后: 18 磅 行距: 固定值 25 磅"/>
    <w:basedOn w:val="3"/>
    <w:qFormat/>
    <w:pPr>
      <w:keepNext/>
      <w:keepLines/>
      <w:widowControl/>
      <w:numPr>
        <w:numId w:val="0"/>
      </w:numPr>
      <w:tabs>
        <w:tab w:val="left" w:pos="0"/>
        <w:tab w:val="left" w:pos="862"/>
        <w:tab w:val="left" w:pos="1567"/>
      </w:tabs>
      <w:snapToGrid/>
      <w:spacing w:before="120" w:after="120" w:line="440" w:lineRule="exact"/>
    </w:pPr>
    <w:rPr>
      <w:rFonts w:ascii="Arial" w:cs="宋体"/>
      <w:bCs/>
      <w:lang w:bidi="ne-NP"/>
    </w:rPr>
  </w:style>
  <w:style w:type="paragraph" w:customStyle="1" w:styleId="CharChar1Char2CharCharChar5">
    <w:name w:val="Char Char1 Char2 Char Char Char5"/>
    <w:basedOn w:val="a9"/>
    <w:pPr>
      <w:spacing w:line="360" w:lineRule="auto"/>
      <w:ind w:firstLineChars="200" w:firstLine="200"/>
    </w:pPr>
    <w:rPr>
      <w:rFonts w:ascii="宋体" w:hAnsi="宋体" w:cs="宋体"/>
      <w:sz w:val="24"/>
    </w:rPr>
  </w:style>
  <w:style w:type="paragraph" w:customStyle="1" w:styleId="126">
    <w:name w:val="样式 样式1 + 首行缩进:  2 字符"/>
    <w:basedOn w:val="1e"/>
    <w:qFormat/>
    <w:pPr>
      <w:keepNext w:val="0"/>
      <w:keepLines w:val="0"/>
      <w:tabs>
        <w:tab w:val="clear" w:pos="360"/>
      </w:tabs>
      <w:snapToGrid/>
      <w:spacing w:before="0" w:line="500" w:lineRule="exact"/>
      <w:ind w:left="0" w:firstLineChars="200" w:firstLine="480"/>
      <w:textAlignment w:val="auto"/>
      <w:outlineLvl w:val="9"/>
    </w:pPr>
    <w:rPr>
      <w:rFonts w:ascii="仿宋_GB2312" w:eastAsia="仿宋_GB2312" w:cs="宋体"/>
      <w:b w:val="0"/>
      <w:kern w:val="0"/>
      <w:sz w:val="24"/>
    </w:rPr>
  </w:style>
  <w:style w:type="paragraph" w:customStyle="1" w:styleId="afffffffffffffff7">
    <w:name w:val="实施日期"/>
    <w:basedOn w:val="a9"/>
    <w:qFormat/>
    <w:pPr>
      <w:framePr w:w="4000" w:h="473" w:hRule="exact" w:vSpace="180" w:wrap="around" w:hAnchor="margin" w:xAlign="right" w:y="13511" w:anchorLock="1"/>
      <w:widowControl/>
      <w:jc w:val="right"/>
    </w:pPr>
    <w:rPr>
      <w:rFonts w:eastAsia="黑体" w:cs="宋体"/>
      <w:sz w:val="28"/>
      <w:lang w:bidi="ne-NP"/>
    </w:rPr>
  </w:style>
  <w:style w:type="paragraph" w:customStyle="1" w:styleId="afffffffffffffff8">
    <w:name w:val="表格（第一行）"/>
    <w:basedOn w:val="afffff5"/>
    <w:next w:val="afffff5"/>
    <w:qFormat/>
    <w:pPr>
      <w:widowControl/>
      <w:tabs>
        <w:tab w:val="left" w:pos="1080"/>
      </w:tabs>
      <w:topLinePunct/>
    </w:pPr>
    <w:rPr>
      <w:rFonts w:ascii="Arial" w:hAnsi="Arial"/>
      <w:b/>
      <w:color w:val="000000"/>
      <w:kern w:val="2"/>
      <w:szCs w:val="18"/>
    </w:rPr>
  </w:style>
  <w:style w:type="paragraph" w:customStyle="1" w:styleId="Title20">
    <w:name w:val="Title.2"/>
    <w:qFormat/>
    <w:pPr>
      <w:keepNext/>
      <w:keepLines/>
      <w:spacing w:beforeLines="50" w:afterLines="50" w:line="360" w:lineRule="auto"/>
      <w:jc w:val="center"/>
      <w:outlineLvl w:val="1"/>
    </w:pPr>
    <w:rPr>
      <w:rFonts w:eastAsia="黑体"/>
      <w:sz w:val="28"/>
    </w:rPr>
  </w:style>
  <w:style w:type="paragraph" w:customStyle="1" w:styleId="xl128">
    <w:name w:val="xl128"/>
    <w:basedOn w:val="a9"/>
    <w:qFormat/>
    <w:pPr>
      <w:widowControl/>
      <w:pBdr>
        <w:bottom w:val="single" w:sz="12" w:space="0" w:color="auto"/>
        <w:right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3CharCharCharChar">
    <w:name w:val="标题3 Char Char Char Char"/>
    <w:basedOn w:val="a9"/>
    <w:qFormat/>
    <w:pPr>
      <w:spacing w:afterLines="50" w:after="148" w:line="560" w:lineRule="exact"/>
      <w:ind w:rightChars="583" w:right="1224" w:firstLineChars="250" w:firstLine="600"/>
    </w:pPr>
    <w:rPr>
      <w:rFonts w:eastAsia="黑体"/>
      <w:sz w:val="30"/>
      <w:szCs w:val="30"/>
    </w:rPr>
  </w:style>
  <w:style w:type="paragraph" w:customStyle="1" w:styleId="font16">
    <w:name w:val="font16"/>
    <w:basedOn w:val="a9"/>
    <w:qFormat/>
    <w:pPr>
      <w:widowControl/>
      <w:spacing w:before="100" w:beforeAutospacing="1" w:after="100" w:afterAutospacing="1" w:line="360" w:lineRule="auto"/>
      <w:jc w:val="left"/>
    </w:pPr>
    <w:rPr>
      <w:color w:val="000000"/>
    </w:rPr>
  </w:style>
  <w:style w:type="paragraph" w:customStyle="1" w:styleId="xl573">
    <w:name w:val="xl57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afffffffffffffff9">
    <w:name w:val="流程"/>
    <w:basedOn w:val="a9"/>
    <w:qFormat/>
    <w:pPr>
      <w:topLinePunct/>
      <w:adjustRightInd w:val="0"/>
      <w:snapToGrid w:val="0"/>
      <w:spacing w:line="360" w:lineRule="auto"/>
      <w:jc w:val="center"/>
    </w:pPr>
    <w:rPr>
      <w:color w:val="000000"/>
    </w:rPr>
  </w:style>
  <w:style w:type="paragraph" w:customStyle="1" w:styleId="afffffffffffffffa">
    <w:name w:val="插表文字五号"/>
    <w:basedOn w:val="affffffffff7"/>
    <w:qFormat/>
  </w:style>
  <w:style w:type="paragraph" w:customStyle="1" w:styleId="afffffffffffffffb">
    <w:name w:val="君邦目录"/>
    <w:qFormat/>
    <w:pPr>
      <w:pBdr>
        <w:bottom w:val="single" w:sz="12" w:space="1" w:color="auto"/>
      </w:pBdr>
      <w:spacing w:before="960" w:after="960"/>
      <w:ind w:left="567" w:hanging="567"/>
      <w:jc w:val="right"/>
      <w:outlineLvl w:val="1"/>
    </w:pPr>
    <w:rPr>
      <w:rFonts w:eastAsia="黑体"/>
      <w:b/>
      <w:sz w:val="32"/>
    </w:rPr>
  </w:style>
  <w:style w:type="paragraph" w:customStyle="1" w:styleId="xl108">
    <w:name w:val="xl108"/>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FF0000"/>
    </w:rPr>
  </w:style>
  <w:style w:type="paragraph" w:customStyle="1" w:styleId="afffffffffffffffc">
    <w:name w:val="污水处理"/>
    <w:basedOn w:val="217"/>
    <w:qFormat/>
    <w:pPr>
      <w:adjustRightInd/>
      <w:spacing w:line="240" w:lineRule="auto"/>
      <w:ind w:firstLineChars="0" w:firstLine="0"/>
      <w:jc w:val="center"/>
      <w:textAlignment w:val="auto"/>
    </w:pPr>
    <w:rPr>
      <w:kern w:val="2"/>
      <w:sz w:val="24"/>
      <w:szCs w:val="24"/>
    </w:rPr>
  </w:style>
  <w:style w:type="paragraph" w:customStyle="1" w:styleId="afffffffffffffffd">
    <w:name w:val="表格长征"/>
    <w:basedOn w:val="a9"/>
    <w:qFormat/>
    <w:pPr>
      <w:adjustRightInd w:val="0"/>
      <w:snapToGrid w:val="0"/>
      <w:spacing w:line="360" w:lineRule="auto"/>
      <w:jc w:val="center"/>
    </w:pPr>
    <w:rPr>
      <w:rFonts w:eastAsia="仿宋_GB2312"/>
      <w:szCs w:val="21"/>
      <w:lang w:val="zh-CN"/>
    </w:rPr>
  </w:style>
  <w:style w:type="paragraph" w:customStyle="1" w:styleId="xl575">
    <w:name w:val="xl575"/>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T0">
    <w:name w:val="T表头"/>
    <w:next w:val="a9"/>
    <w:qFormat/>
    <w:pPr>
      <w:keepNext/>
      <w:keepLines/>
      <w:spacing w:line="360" w:lineRule="auto"/>
      <w:jc w:val="center"/>
    </w:pPr>
    <w:rPr>
      <w:rFonts w:eastAsia="黑体"/>
      <w:sz w:val="28"/>
    </w:rPr>
  </w:style>
  <w:style w:type="paragraph" w:customStyle="1" w:styleId="afffffffffffffffe">
    <w:name w:val="自定义正文"/>
    <w:basedOn w:val="a9"/>
    <w:qFormat/>
    <w:pPr>
      <w:adjustRightInd w:val="0"/>
      <w:spacing w:line="360" w:lineRule="auto"/>
      <w:ind w:firstLineChars="200" w:firstLine="560"/>
      <w:textAlignment w:val="baseline"/>
    </w:pPr>
    <w:rPr>
      <w:sz w:val="28"/>
    </w:rPr>
  </w:style>
  <w:style w:type="paragraph" w:customStyle="1" w:styleId="Title3">
    <w:name w:val="Title.3"/>
    <w:next w:val="a9"/>
    <w:qFormat/>
    <w:pPr>
      <w:keepNext/>
      <w:keepLines/>
      <w:spacing w:beforeLines="50" w:line="360" w:lineRule="auto"/>
      <w:jc w:val="center"/>
      <w:outlineLvl w:val="2"/>
    </w:pPr>
    <w:rPr>
      <w:rFonts w:eastAsia="仿宋_GB2312"/>
      <w:b/>
      <w:sz w:val="28"/>
    </w:rPr>
  </w:style>
  <w:style w:type="paragraph" w:customStyle="1" w:styleId="Title30">
    <w:name w:val="Title 3"/>
    <w:basedOn w:val="3"/>
    <w:next w:val="a9"/>
    <w:qFormat/>
    <w:pPr>
      <w:keepNext/>
      <w:keepLines/>
      <w:widowControl/>
      <w:numPr>
        <w:ilvl w:val="0"/>
        <w:numId w:val="0"/>
      </w:numPr>
      <w:tabs>
        <w:tab w:val="left" w:pos="0"/>
        <w:tab w:val="left" w:pos="862"/>
        <w:tab w:val="left" w:pos="1418"/>
        <w:tab w:val="left" w:pos="1567"/>
      </w:tabs>
      <w:snapToGrid/>
      <w:spacing w:before="240" w:after="120" w:line="400" w:lineRule="exact"/>
      <w:ind w:left="1418" w:hanging="567"/>
      <w:jc w:val="left"/>
    </w:pPr>
    <w:rPr>
      <w:rFonts w:eastAsia="宋体" w:cs="Arial"/>
      <w:szCs w:val="26"/>
      <w:lang w:bidi="ne-NP"/>
    </w:rPr>
  </w:style>
  <w:style w:type="paragraph" w:customStyle="1" w:styleId="3fd">
    <w:name w:val="引用3"/>
    <w:basedOn w:val="a9"/>
    <w:next w:val="a9"/>
    <w:qFormat/>
    <w:pPr>
      <w:widowControl/>
      <w:spacing w:line="480" w:lineRule="exact"/>
      <w:ind w:firstLineChars="200" w:firstLine="200"/>
    </w:pPr>
    <w:rPr>
      <w:rFonts w:eastAsia="黑体"/>
      <w:i/>
      <w:iCs/>
      <w:color w:val="000000"/>
    </w:rPr>
  </w:style>
  <w:style w:type="paragraph" w:customStyle="1" w:styleId="xl89">
    <w:name w:val="xl89"/>
    <w:basedOn w:val="a9"/>
    <w:qFormat/>
    <w:pPr>
      <w:widowControl/>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1CharChar1Char">
    <w:name w:val="正文1 Char Char1 Char"/>
    <w:basedOn w:val="a9"/>
    <w:qFormat/>
    <w:pPr>
      <w:widowControl/>
      <w:adjustRightInd w:val="0"/>
      <w:snapToGrid w:val="0"/>
      <w:spacing w:line="516" w:lineRule="exact"/>
      <w:ind w:firstLineChars="200" w:firstLine="200"/>
    </w:pPr>
    <w:rPr>
      <w:rFonts w:eastAsia="楷体_GB2312" w:cs="宋体"/>
      <w:sz w:val="26"/>
      <w:szCs w:val="26"/>
      <w:lang w:bidi="ne-NP"/>
    </w:rPr>
  </w:style>
  <w:style w:type="paragraph" w:customStyle="1" w:styleId="ParaCharCharCharChar">
    <w:name w:val="默认段落字体 Para Char Char Char Char"/>
    <w:basedOn w:val="a9"/>
    <w:qFormat/>
    <w:pPr>
      <w:widowControl/>
    </w:pPr>
    <w:rPr>
      <w:rFonts w:cs="宋体"/>
      <w:sz w:val="24"/>
      <w:lang w:bidi="ne-NP"/>
    </w:rPr>
  </w:style>
  <w:style w:type="paragraph" w:customStyle="1" w:styleId="1CharCharCharChar2">
    <w:name w:val="正文1 Char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Char120">
    <w:name w:val="Char12"/>
    <w:basedOn w:val="a9"/>
    <w:qFormat/>
    <w:pPr>
      <w:widowControl/>
    </w:pPr>
    <w:rPr>
      <w:rFonts w:cs="宋体"/>
      <w:sz w:val="24"/>
      <w:lang w:bidi="ne-NP"/>
    </w:rPr>
  </w:style>
  <w:style w:type="paragraph" w:customStyle="1" w:styleId="affffffffffffffff">
    <w:name w:val="加粗"/>
    <w:basedOn w:val="a9"/>
    <w:semiHidden/>
    <w:qFormat/>
    <w:pPr>
      <w:keepNext/>
      <w:spacing w:line="560" w:lineRule="atLeast"/>
      <w:ind w:firstLineChars="200" w:firstLine="200"/>
    </w:pPr>
    <w:rPr>
      <w:rFonts w:eastAsia="仿宋_GB2312"/>
      <w:b/>
      <w:sz w:val="28"/>
      <w:szCs w:val="18"/>
    </w:rPr>
  </w:style>
  <w:style w:type="paragraph" w:customStyle="1" w:styleId="1CharChar6">
    <w:name w:val="正文1 Char Char"/>
    <w:basedOn w:val="a9"/>
    <w:qFormat/>
    <w:pPr>
      <w:widowControl/>
      <w:suppressLineNumbers/>
      <w:suppressAutoHyphens/>
      <w:topLinePunct/>
      <w:adjustRightInd w:val="0"/>
      <w:snapToGrid w:val="0"/>
      <w:spacing w:beforeLines="50" w:line="300" w:lineRule="auto"/>
      <w:ind w:firstLineChars="180" w:firstLine="432"/>
    </w:pPr>
    <w:rPr>
      <w:rFonts w:eastAsia="楷体_GB2312" w:cs="宋体"/>
      <w:color w:val="000000"/>
      <w:sz w:val="24"/>
      <w:lang w:bidi="ne-NP"/>
    </w:rPr>
  </w:style>
  <w:style w:type="paragraph" w:customStyle="1" w:styleId="-13">
    <w:name w:val="君邦-标题1"/>
    <w:basedOn w:val="1"/>
    <w:next w:val="a9"/>
    <w:qFormat/>
    <w:pPr>
      <w:numPr>
        <w:numId w:val="0"/>
      </w:numPr>
      <w:tabs>
        <w:tab w:val="left" w:pos="360"/>
        <w:tab w:val="left" w:pos="900"/>
        <w:tab w:val="left" w:pos="1080"/>
      </w:tabs>
      <w:snapToGrid w:val="0"/>
      <w:spacing w:before="960" w:after="960" w:line="240" w:lineRule="auto"/>
      <w:ind w:leftChars="-12" w:left="-12" w:firstLineChars="200" w:firstLine="200"/>
    </w:pPr>
    <w:rPr>
      <w:rFonts w:ascii="楷体_GB2312" w:eastAsia="黑体"/>
      <w:b w:val="0"/>
      <w:snapToGrid w:val="0"/>
      <w:szCs w:val="24"/>
    </w:rPr>
  </w:style>
  <w:style w:type="paragraph" w:customStyle="1" w:styleId="CharCharCharCharCharChar1CharCharCharChar2">
    <w:name w:val="Char Char Char Char Char Char1 Char Char Char Char2"/>
    <w:basedOn w:val="a9"/>
    <w:qFormat/>
    <w:pPr>
      <w:widowControl/>
    </w:pPr>
    <w:rPr>
      <w:rFonts w:ascii="Tahoma" w:hAnsi="Tahoma" w:cs="宋体"/>
      <w:sz w:val="24"/>
      <w:lang w:bidi="ne-NP"/>
    </w:rPr>
  </w:style>
  <w:style w:type="paragraph" w:customStyle="1" w:styleId="3fe">
    <w:name w:val="正文首行缩进3"/>
    <w:basedOn w:val="afd"/>
    <w:qFormat/>
    <w:pPr>
      <w:widowControl/>
      <w:adjustRightInd w:val="0"/>
      <w:spacing w:after="120" w:line="312" w:lineRule="atLeast"/>
      <w:ind w:firstLineChars="0" w:firstLine="420"/>
      <w:textAlignment w:val="baseline"/>
    </w:pPr>
    <w:rPr>
      <w:rFonts w:ascii="Times New Roman" w:hAnsi="Times New Roman"/>
      <w:kern w:val="0"/>
      <w:sz w:val="27"/>
    </w:rPr>
  </w:style>
  <w:style w:type="paragraph" w:customStyle="1" w:styleId="Puce2-3pts">
    <w:name w:val="Puce2-3pts"/>
    <w:basedOn w:val="a9"/>
    <w:qFormat/>
    <w:pPr>
      <w:keepLines/>
      <w:widowControl/>
      <w:tabs>
        <w:tab w:val="left" w:pos="1200"/>
        <w:tab w:val="left" w:pos="1843"/>
      </w:tabs>
      <w:spacing w:before="60"/>
      <w:ind w:left="1843" w:hanging="720"/>
    </w:pPr>
    <w:rPr>
      <w:rFonts w:ascii="Arial" w:eastAsia="MS Mincho" w:hAnsi="Arial" w:cs="宋体"/>
      <w:lang w:eastAsia="fr-FR" w:bidi="ne-NP"/>
    </w:rPr>
  </w:style>
  <w:style w:type="paragraph" w:customStyle="1" w:styleId="xl100">
    <w:name w:val="xl100"/>
    <w:basedOn w:val="a9"/>
    <w:qFormat/>
    <w:pPr>
      <w:widowControl/>
      <w:pBdr>
        <w:bottom w:val="single" w:sz="8" w:space="0" w:color="000000"/>
        <w:right w:val="single" w:sz="8" w:space="0" w:color="000000"/>
      </w:pBdr>
      <w:spacing w:before="100" w:beforeAutospacing="1" w:after="100" w:afterAutospacing="1" w:line="360" w:lineRule="auto"/>
      <w:jc w:val="center"/>
      <w:textAlignment w:val="center"/>
    </w:pPr>
    <w:rPr>
      <w:color w:val="FF0000"/>
      <w:sz w:val="18"/>
      <w:szCs w:val="18"/>
    </w:rPr>
  </w:style>
  <w:style w:type="paragraph" w:customStyle="1" w:styleId="CharCharCharCharCharChar1CharCharCharChar1">
    <w:name w:val="Char Char Char Char Char Char1 Char Char Char Char1"/>
    <w:basedOn w:val="a9"/>
    <w:qFormat/>
    <w:pPr>
      <w:widowControl/>
    </w:pPr>
    <w:rPr>
      <w:rFonts w:ascii="Tahoma" w:hAnsi="Tahoma" w:cs="宋体"/>
      <w:sz w:val="24"/>
      <w:lang w:bidi="ne-NP"/>
    </w:rPr>
  </w:style>
  <w:style w:type="paragraph" w:customStyle="1" w:styleId="1ffffd">
    <w:name w:val="列出段落1"/>
    <w:basedOn w:val="a9"/>
    <w:uiPriority w:val="99"/>
    <w:qFormat/>
    <w:pPr>
      <w:spacing w:line="360" w:lineRule="auto"/>
      <w:ind w:firstLineChars="200" w:firstLine="420"/>
    </w:pPr>
    <w:rPr>
      <w:rFonts w:ascii="Calibri" w:hAnsi="Calibri"/>
      <w:szCs w:val="22"/>
    </w:rPr>
  </w:style>
  <w:style w:type="paragraph" w:customStyle="1" w:styleId="xl62">
    <w:name w:val="xl62"/>
    <w:basedOn w:val="a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宋体"/>
      <w:sz w:val="18"/>
      <w:szCs w:val="18"/>
      <w:lang w:bidi="ne-NP"/>
    </w:rPr>
  </w:style>
  <w:style w:type="paragraph" w:customStyle="1" w:styleId="3Sottoparagrafo3Char33Char1Char1So">
    <w:name w:val="样式 标题 3头小标题小节标题Sottoparagrafo标题 3 Char3标题 3 Char1 Char1So..."/>
    <w:basedOn w:val="3"/>
    <w:qFormat/>
    <w:pPr>
      <w:keepNext/>
      <w:keepLines/>
      <w:widowControl/>
      <w:numPr>
        <w:ilvl w:val="0"/>
        <w:numId w:val="0"/>
      </w:numPr>
      <w:tabs>
        <w:tab w:val="left" w:pos="0"/>
        <w:tab w:val="left" w:pos="862"/>
        <w:tab w:val="left" w:pos="1567"/>
      </w:tabs>
      <w:spacing w:before="240" w:after="240" w:line="480" w:lineRule="exact"/>
    </w:pPr>
    <w:rPr>
      <w:rFonts w:cs="宋体"/>
      <w:b w:val="0"/>
      <w:sz w:val="28"/>
      <w:lang w:bidi="ne-NP"/>
    </w:rPr>
  </w:style>
  <w:style w:type="paragraph" w:customStyle="1" w:styleId="Char220">
    <w:name w:val="Char22"/>
    <w:basedOn w:val="a9"/>
    <w:qFormat/>
    <w:pPr>
      <w:widowControl/>
      <w:spacing w:line="360" w:lineRule="auto"/>
      <w:jc w:val="left"/>
    </w:pPr>
    <w:rPr>
      <w:rFonts w:ascii="宋体" w:hAnsi="宋体" w:cs="宋体"/>
      <w:sz w:val="24"/>
      <w:lang w:bidi="ne-NP"/>
    </w:rPr>
  </w:style>
  <w:style w:type="paragraph" w:customStyle="1" w:styleId="xl80">
    <w:name w:val="xl80"/>
    <w:basedOn w:val="a9"/>
    <w:qFormat/>
    <w:pPr>
      <w:widowControl/>
      <w:pBdr>
        <w:left w:val="single" w:sz="8" w:space="0" w:color="auto"/>
        <w:right w:val="single" w:sz="8" w:space="0" w:color="000000"/>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font13">
    <w:name w:val="font13"/>
    <w:basedOn w:val="a9"/>
    <w:qFormat/>
    <w:pPr>
      <w:widowControl/>
      <w:spacing w:before="100" w:beforeAutospacing="1" w:after="100" w:afterAutospacing="1" w:line="360" w:lineRule="auto"/>
      <w:jc w:val="left"/>
    </w:pPr>
    <w:rPr>
      <w:rFonts w:ascii="宋体" w:hAnsi="宋体" w:cs="宋体"/>
      <w:b/>
      <w:bCs/>
      <w:color w:val="000000"/>
      <w:sz w:val="22"/>
      <w:szCs w:val="22"/>
    </w:rPr>
  </w:style>
  <w:style w:type="paragraph" w:customStyle="1" w:styleId="4f4">
    <w:name w:val="封面4号仿宋居中"/>
    <w:basedOn w:val="a9"/>
    <w:qFormat/>
    <w:pPr>
      <w:spacing w:line="360" w:lineRule="auto"/>
      <w:jc w:val="center"/>
    </w:pPr>
    <w:rPr>
      <w:rFonts w:ascii="仿宋_GB2312" w:eastAsia="仿宋_GB2312"/>
      <w:sz w:val="28"/>
    </w:rPr>
  </w:style>
  <w:style w:type="paragraph" w:customStyle="1" w:styleId="xl82">
    <w:name w:val="xl82"/>
    <w:basedOn w:val="a9"/>
    <w:qFormat/>
    <w:pPr>
      <w:widowControl/>
      <w:pBdr>
        <w:top w:val="single" w:sz="12" w:space="0" w:color="auto"/>
        <w:left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1">
    <w:name w:val="三级标题-预案"/>
    <w:basedOn w:val="a9"/>
    <w:qFormat/>
    <w:pPr>
      <w:numPr>
        <w:ilvl w:val="2"/>
        <w:numId w:val="6"/>
      </w:numPr>
      <w:adjustRightInd w:val="0"/>
      <w:snapToGrid w:val="0"/>
      <w:spacing w:after="60" w:line="360" w:lineRule="auto"/>
      <w:outlineLvl w:val="2"/>
    </w:pPr>
    <w:rPr>
      <w:b/>
      <w:sz w:val="24"/>
    </w:rPr>
  </w:style>
  <w:style w:type="paragraph" w:customStyle="1" w:styleId="Char3CharCharCharCharCharChar5">
    <w:name w:val="Char3 Char Char Char Char Char Char5"/>
    <w:basedOn w:val="a9"/>
    <w:pPr>
      <w:spacing w:line="360" w:lineRule="auto"/>
      <w:ind w:firstLineChars="200" w:firstLine="200"/>
    </w:pPr>
    <w:rPr>
      <w:rFonts w:ascii="宋体" w:hAnsi="宋体" w:cs="宋体"/>
      <w:sz w:val="24"/>
    </w:rPr>
  </w:style>
  <w:style w:type="paragraph" w:customStyle="1" w:styleId="affffffffffffffff0">
    <w:name w:val="公式"/>
    <w:basedOn w:val="a9"/>
    <w:next w:val="a9"/>
    <w:qFormat/>
    <w:pPr>
      <w:spacing w:before="120" w:after="120" w:line="360" w:lineRule="auto"/>
      <w:jc w:val="center"/>
    </w:pPr>
    <w:rPr>
      <w:rFonts w:eastAsia="华文仿宋"/>
      <w:snapToGrid w:val="0"/>
      <w:sz w:val="28"/>
      <w:szCs w:val="18"/>
    </w:rPr>
  </w:style>
  <w:style w:type="paragraph" w:customStyle="1" w:styleId="CharCharCharCharCharCharChar">
    <w:name w:val="Char Char Char Char Char Char Char"/>
    <w:basedOn w:val="a9"/>
    <w:qFormat/>
    <w:pPr>
      <w:widowControl/>
      <w:spacing w:line="360" w:lineRule="auto"/>
      <w:ind w:firstLineChars="200" w:firstLine="200"/>
    </w:pPr>
    <w:rPr>
      <w:rFonts w:ascii="宋体" w:hAnsi="宋体" w:cs="宋体"/>
      <w:sz w:val="24"/>
      <w:lang w:bidi="ne-NP"/>
    </w:rPr>
  </w:style>
  <w:style w:type="paragraph" w:customStyle="1" w:styleId="affffffffffffffff1">
    <w:name w:val="五级条标题"/>
    <w:basedOn w:val="afffffffffffa"/>
    <w:next w:val="a9"/>
    <w:qFormat/>
    <w:pPr>
      <w:tabs>
        <w:tab w:val="clear" w:pos="3000"/>
        <w:tab w:val="left" w:pos="3420"/>
      </w:tabs>
      <w:ind w:left="3420"/>
      <w:outlineLvl w:val="6"/>
    </w:pPr>
  </w:style>
  <w:style w:type="paragraph" w:customStyle="1" w:styleId="xl47">
    <w:name w:val="xl47"/>
    <w:basedOn w:val="a9"/>
    <w:qFormat/>
    <w:pPr>
      <w:widowControl/>
      <w:pBdr>
        <w:top w:val="single" w:sz="4" w:space="0" w:color="auto"/>
        <w:bottom w:val="single" w:sz="4" w:space="0" w:color="auto"/>
      </w:pBdr>
      <w:spacing w:before="100" w:beforeAutospacing="1" w:after="100" w:afterAutospacing="1" w:line="360" w:lineRule="auto"/>
      <w:jc w:val="center"/>
    </w:pPr>
    <w:rPr>
      <w:rFonts w:ascii="宋体" w:hAnsi="宋体"/>
      <w:sz w:val="24"/>
    </w:rPr>
  </w:style>
  <w:style w:type="paragraph" w:customStyle="1" w:styleId="affffffffffffffff2">
    <w:name w:val="签署页标题"/>
    <w:basedOn w:val="a9"/>
    <w:semiHidden/>
    <w:qFormat/>
    <w:pPr>
      <w:widowControl/>
      <w:spacing w:line="360" w:lineRule="auto"/>
      <w:ind w:firstLine="3600"/>
    </w:pPr>
    <w:rPr>
      <w:rFonts w:ascii="黑体" w:eastAsia="黑体"/>
      <w:b/>
      <w:bCs/>
      <w:sz w:val="28"/>
      <w:szCs w:val="16"/>
    </w:rPr>
  </w:style>
  <w:style w:type="paragraph" w:customStyle="1" w:styleId="2ff6">
    <w:name w:val="样式 正文缩进 + 首行缩进:  2 字符"/>
    <w:basedOn w:val="aa"/>
    <w:qFormat/>
    <w:pPr>
      <w:snapToGrid w:val="0"/>
      <w:spacing w:after="60"/>
      <w:ind w:firstLineChars="200" w:firstLine="560"/>
    </w:pPr>
    <w:rPr>
      <w:rFonts w:ascii="宋体" w:hAnsi="宋体" w:cs="宋体"/>
      <w:sz w:val="28"/>
      <w:szCs w:val="28"/>
    </w:rPr>
  </w:style>
  <w:style w:type="paragraph" w:customStyle="1" w:styleId="Char1CharCharChar1">
    <w:name w:val="Char1 Char Char Char1"/>
    <w:basedOn w:val="a9"/>
    <w:qFormat/>
    <w:pPr>
      <w:widowControl/>
      <w:spacing w:after="160" w:line="240" w:lineRule="exact"/>
      <w:jc w:val="left"/>
    </w:pPr>
    <w:rPr>
      <w:rFonts w:ascii="Arial" w:eastAsia="Times New Roman" w:hAnsi="Arial" w:cs="Verdana"/>
      <w:b/>
      <w:sz w:val="24"/>
      <w:lang w:eastAsia="en-US"/>
    </w:rPr>
  </w:style>
  <w:style w:type="paragraph" w:customStyle="1" w:styleId="415">
    <w:name w:val="标题 4 黑体 四号 行距: 1.5 倍行距"/>
    <w:basedOn w:val="3Sottoparagrafo3CharTimesNewRoman"/>
    <w:qFormat/>
    <w:pPr>
      <w:spacing w:before="156"/>
    </w:pPr>
    <w:rPr>
      <w:b/>
    </w:rPr>
  </w:style>
  <w:style w:type="paragraph" w:customStyle="1" w:styleId="xl569">
    <w:name w:val="xl569"/>
    <w:basedOn w:val="a9"/>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color w:val="000000"/>
      <w:sz w:val="18"/>
      <w:szCs w:val="18"/>
      <w:lang w:bidi="ne-NP"/>
    </w:rPr>
  </w:style>
  <w:style w:type="paragraph" w:customStyle="1" w:styleId="CharChar1Char3">
    <w:name w:val="Char Char1 Char3"/>
    <w:basedOn w:val="a9"/>
    <w:qFormat/>
    <w:pPr>
      <w:spacing w:line="360" w:lineRule="auto"/>
      <w:ind w:firstLineChars="200" w:firstLine="200"/>
    </w:pPr>
    <w:rPr>
      <w:rFonts w:ascii="宋体" w:hAnsi="宋体" w:cs="宋体"/>
      <w:sz w:val="24"/>
    </w:rPr>
  </w:style>
  <w:style w:type="paragraph" w:customStyle="1" w:styleId="218">
    <w:name w:val="样式 首行缩进:  2 字符1"/>
    <w:basedOn w:val="a9"/>
    <w:link w:val="21Char1"/>
    <w:qFormat/>
    <w:pPr>
      <w:widowControl/>
      <w:spacing w:line="500" w:lineRule="exact"/>
      <w:ind w:firstLineChars="200" w:firstLine="200"/>
    </w:pPr>
    <w:rPr>
      <w:rFonts w:eastAsia="楷体_GB2312" w:cs="宋体"/>
      <w:sz w:val="24"/>
      <w:lang w:bidi="ne-NP"/>
    </w:rPr>
  </w:style>
  <w:style w:type="paragraph" w:customStyle="1" w:styleId="LY3">
    <w:name w:val="LY标题3"/>
    <w:basedOn w:val="LY"/>
    <w:next w:val="LY"/>
    <w:qFormat/>
  </w:style>
  <w:style w:type="paragraph" w:customStyle="1" w:styleId="322">
    <w:name w:val="表格 32"/>
    <w:basedOn w:val="a9"/>
    <w:qFormat/>
    <w:pPr>
      <w:autoSpaceDE w:val="0"/>
      <w:autoSpaceDN w:val="0"/>
      <w:adjustRightInd w:val="0"/>
      <w:spacing w:line="360" w:lineRule="auto"/>
      <w:jc w:val="center"/>
      <w:textAlignment w:val="baseline"/>
    </w:pPr>
  </w:style>
  <w:style w:type="paragraph" w:customStyle="1" w:styleId="affffffffffffffff3">
    <w:name w:val="表前文字"/>
    <w:basedOn w:val="a9"/>
    <w:semiHidden/>
    <w:qFormat/>
    <w:pPr>
      <w:spacing w:line="360" w:lineRule="auto"/>
      <w:jc w:val="center"/>
    </w:pPr>
    <w:rPr>
      <w:b/>
      <w:bCs/>
      <w:sz w:val="24"/>
      <w:szCs w:val="21"/>
    </w:rPr>
  </w:style>
  <w:style w:type="paragraph" w:customStyle="1" w:styleId="Title5">
    <w:name w:val="Title 5"/>
    <w:basedOn w:val="5"/>
    <w:next w:val="a9"/>
    <w:qFormat/>
    <w:pPr>
      <w:keepLines/>
      <w:widowControl/>
      <w:numPr>
        <w:ilvl w:val="0"/>
        <w:numId w:val="0"/>
      </w:numPr>
      <w:tabs>
        <w:tab w:val="clear" w:pos="1003"/>
        <w:tab w:val="left" w:pos="944"/>
        <w:tab w:val="left" w:pos="1008"/>
        <w:tab w:val="left" w:pos="1567"/>
        <w:tab w:val="left" w:pos="1997"/>
      </w:tabs>
      <w:spacing w:before="240" w:after="240" w:line="240" w:lineRule="auto"/>
      <w:jc w:val="left"/>
    </w:pPr>
    <w:rPr>
      <w:rFonts w:ascii="Arial" w:eastAsia="华文细黑" w:hAnsi="Arial"/>
      <w:b w:val="0"/>
      <w:sz w:val="20"/>
      <w:szCs w:val="26"/>
      <w:lang w:eastAsia="de-DE"/>
    </w:rPr>
  </w:style>
  <w:style w:type="paragraph" w:customStyle="1" w:styleId="3ff">
    <w:name w:val="列出段落3"/>
    <w:basedOn w:val="a9"/>
    <w:link w:val="Charfffff6"/>
    <w:uiPriority w:val="34"/>
    <w:qFormat/>
    <w:pPr>
      <w:widowControl/>
      <w:ind w:leftChars="200" w:left="480"/>
    </w:pPr>
    <w:rPr>
      <w:rFonts w:ascii="Calibri" w:eastAsia="PMingLiU" w:hAnsi="Calibri" w:cs="宋体"/>
      <w:sz w:val="24"/>
      <w:szCs w:val="22"/>
      <w:lang w:eastAsia="zh-TW" w:bidi="ne-NP"/>
    </w:rPr>
  </w:style>
  <w:style w:type="paragraph" w:customStyle="1" w:styleId="xl41">
    <w:name w:val="xl4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xl110">
    <w:name w:val="xl110"/>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24"/>
    </w:rPr>
  </w:style>
  <w:style w:type="paragraph" w:customStyle="1" w:styleId="1CharCharChar10">
    <w:name w:val="样式 正文1 Char Char + 字距调整七号 Char1"/>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1ffffe">
    <w:name w:val="表格填充1"/>
    <w:basedOn w:val="a9"/>
    <w:qFormat/>
    <w:pPr>
      <w:snapToGrid w:val="0"/>
      <w:spacing w:line="360" w:lineRule="auto"/>
      <w:jc w:val="center"/>
    </w:pPr>
    <w:rPr>
      <w:rFonts w:eastAsia="仿宋_GB2312"/>
      <w:snapToGrid w:val="0"/>
      <w:color w:val="000000"/>
      <w:sz w:val="30"/>
      <w:szCs w:val="32"/>
    </w:rPr>
  </w:style>
  <w:style w:type="paragraph" w:customStyle="1" w:styleId="xl122">
    <w:name w:val="xl122"/>
    <w:basedOn w:val="a9"/>
    <w:qFormat/>
    <w:pPr>
      <w:widowControl/>
      <w:pBdr>
        <w:bottom w:val="single" w:sz="8" w:space="0" w:color="auto"/>
      </w:pBdr>
      <w:spacing w:before="100" w:beforeAutospacing="1" w:after="100" w:afterAutospacing="1" w:line="360" w:lineRule="auto"/>
      <w:jc w:val="center"/>
      <w:textAlignment w:val="center"/>
    </w:pPr>
    <w:rPr>
      <w:rFonts w:ascii="宋体" w:hAnsi="宋体" w:cs="宋体"/>
    </w:rPr>
  </w:style>
  <w:style w:type="paragraph" w:customStyle="1" w:styleId="affffffffffffffff4">
    <w:name w:val="新正文"/>
    <w:basedOn w:val="a9"/>
    <w:qFormat/>
    <w:pPr>
      <w:spacing w:line="480" w:lineRule="exact"/>
      <w:ind w:firstLine="567"/>
    </w:pPr>
    <w:rPr>
      <w:rFonts w:ascii="仿宋_GB2312" w:eastAsia="仿宋_GB2312"/>
      <w:bCs/>
      <w:sz w:val="28"/>
    </w:rPr>
  </w:style>
  <w:style w:type="paragraph" w:customStyle="1" w:styleId="CM93">
    <w:name w:val="CM93"/>
    <w:basedOn w:val="a9"/>
    <w:next w:val="a9"/>
    <w:qFormat/>
    <w:pPr>
      <w:widowControl/>
      <w:autoSpaceDE w:val="0"/>
      <w:autoSpaceDN w:val="0"/>
      <w:adjustRightInd w:val="0"/>
      <w:spacing w:after="233"/>
      <w:jc w:val="left"/>
    </w:pPr>
    <w:rPr>
      <w:rFonts w:ascii="黑体" w:eastAsia="黑体" w:cs="黑体"/>
      <w:sz w:val="24"/>
      <w:lang w:bidi="ne-NP"/>
    </w:rPr>
  </w:style>
  <w:style w:type="paragraph" w:customStyle="1" w:styleId="xl86">
    <w:name w:val="xl86"/>
    <w:basedOn w:val="a9"/>
    <w:qFormat/>
    <w:pPr>
      <w:widowControl/>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000000"/>
      <w:sz w:val="18"/>
      <w:szCs w:val="18"/>
    </w:rPr>
  </w:style>
  <w:style w:type="paragraph" w:customStyle="1" w:styleId="015">
    <w:name w:val="样式 正文文字缩进 + 首行缩进:  0 厘米 行距: 1.5 倍行距"/>
    <w:basedOn w:val="afe"/>
    <w:qFormat/>
    <w:pPr>
      <w:snapToGrid/>
      <w:spacing w:line="360" w:lineRule="auto"/>
      <w:ind w:firstLine="0"/>
    </w:pPr>
    <w:rPr>
      <w:rFonts w:cs="宋体"/>
      <w:color w:val="auto"/>
      <w:sz w:val="24"/>
    </w:rPr>
  </w:style>
  <w:style w:type="paragraph" w:customStyle="1" w:styleId="xl580">
    <w:name w:val="xl58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lang w:bidi="ne-NP"/>
    </w:rPr>
  </w:style>
  <w:style w:type="paragraph" w:customStyle="1" w:styleId="ParaChar">
    <w:name w:val="默认段落字体 Para Char"/>
    <w:basedOn w:val="a9"/>
    <w:qFormat/>
    <w:rPr>
      <w:sz w:val="24"/>
    </w:rPr>
  </w:style>
  <w:style w:type="paragraph" w:customStyle="1" w:styleId="CharCharCharCharCharCharCharCharCharCharCharCharCharCharCharChar1">
    <w:name w:val="Char Char Char Char Char Char Char Char Char Char Char Char Char Char Char Char1"/>
    <w:basedOn w:val="a9"/>
    <w:qFormat/>
    <w:pPr>
      <w:widowControl/>
      <w:spacing w:line="360" w:lineRule="auto"/>
      <w:ind w:firstLineChars="200" w:firstLine="200"/>
    </w:pPr>
    <w:rPr>
      <w:rFonts w:cs="宋体"/>
      <w:sz w:val="24"/>
      <w:lang w:bidi="ne-NP"/>
    </w:rPr>
  </w:style>
  <w:style w:type="paragraph" w:customStyle="1" w:styleId="Charfffff7">
    <w:name w:val="列表 Char列表"/>
    <w:basedOn w:val="affb"/>
    <w:next w:val="21"/>
    <w:qFormat/>
    <w:pPr>
      <w:widowControl/>
      <w:spacing w:line="480" w:lineRule="exact"/>
      <w:ind w:left="0" w:firstLine="0"/>
      <w:jc w:val="center"/>
    </w:pPr>
    <w:rPr>
      <w:rFonts w:eastAsia="黑体"/>
      <w:sz w:val="24"/>
      <w:szCs w:val="24"/>
    </w:rPr>
  </w:style>
  <w:style w:type="paragraph" w:customStyle="1" w:styleId="1fffff">
    <w:name w:val="北正文1"/>
    <w:basedOn w:val="a9"/>
    <w:qFormat/>
    <w:pPr>
      <w:adjustRightInd w:val="0"/>
      <w:spacing w:before="40" w:after="40" w:line="300" w:lineRule="auto"/>
      <w:ind w:firstLine="510"/>
      <w:textAlignment w:val="baseline"/>
    </w:pPr>
    <w:rPr>
      <w:sz w:val="24"/>
    </w:rPr>
  </w:style>
  <w:style w:type="paragraph" w:customStyle="1" w:styleId="--0">
    <w:name w:val="- 页码 -"/>
    <w:qFormat/>
    <w:pPr>
      <w:widowControl w:val="0"/>
      <w:spacing w:line="360" w:lineRule="auto"/>
      <w:jc w:val="both"/>
    </w:pPr>
    <w:rPr>
      <w:kern w:val="2"/>
      <w:sz w:val="21"/>
    </w:rPr>
  </w:style>
  <w:style w:type="paragraph" w:customStyle="1" w:styleId="1CharCharChar0">
    <w:name w:val="正文1 Char Char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affffffffffffffff5">
    <w:name w:val="样式 (中文) 华文楷体 四号"/>
    <w:basedOn w:val="a9"/>
    <w:qFormat/>
    <w:pPr>
      <w:adjustRightInd w:val="0"/>
      <w:spacing w:line="300" w:lineRule="auto"/>
      <w:textAlignment w:val="baseline"/>
    </w:pPr>
    <w:rPr>
      <w:rFonts w:eastAsia="华文楷体" w:cs="宋体"/>
      <w:sz w:val="28"/>
    </w:rPr>
  </w:style>
  <w:style w:type="paragraph" w:customStyle="1" w:styleId="ParaCharChar">
    <w:name w:val="默认段落字体 Para Char Char"/>
    <w:basedOn w:val="a9"/>
    <w:semiHidden/>
    <w:qFormat/>
    <w:pPr>
      <w:widowControl/>
    </w:pPr>
    <w:rPr>
      <w:rFonts w:cs="宋体"/>
      <w:sz w:val="24"/>
      <w:lang w:bidi="ne-NP"/>
    </w:rPr>
  </w:style>
  <w:style w:type="paragraph" w:customStyle="1" w:styleId="affffffffffffffff6">
    <w:name w:val="表格样式"/>
    <w:basedOn w:val="a9"/>
    <w:semiHidden/>
    <w:qFormat/>
    <w:pPr>
      <w:adjustRightInd w:val="0"/>
      <w:snapToGrid w:val="0"/>
      <w:jc w:val="center"/>
      <w:textAlignment w:val="baseline"/>
    </w:pPr>
    <w:rPr>
      <w:rFonts w:ascii="宋体"/>
      <w:snapToGrid w:val="0"/>
      <w:color w:val="000000"/>
      <w:sz w:val="24"/>
    </w:rPr>
  </w:style>
  <w:style w:type="paragraph" w:customStyle="1" w:styleId="xl570">
    <w:name w:val="xl570"/>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316">
    <w:name w:val="正文文本缩进 31"/>
    <w:basedOn w:val="a9"/>
    <w:qFormat/>
    <w:pPr>
      <w:widowControl/>
      <w:autoSpaceDE w:val="0"/>
      <w:autoSpaceDN w:val="0"/>
      <w:adjustRightInd w:val="0"/>
      <w:spacing w:line="520" w:lineRule="exact"/>
      <w:ind w:firstLineChars="200" w:firstLine="540"/>
      <w:jc w:val="left"/>
      <w:textAlignment w:val="baseline"/>
    </w:pPr>
    <w:rPr>
      <w:rFonts w:ascii="宋体" w:eastAsia="仿宋_GB2312" w:hAnsi="Tms Rmn" w:cs="宋体"/>
      <w:spacing w:val="4"/>
      <w:sz w:val="28"/>
      <w:lang w:bidi="ne-NP"/>
    </w:rPr>
  </w:style>
  <w:style w:type="paragraph" w:customStyle="1" w:styleId="affffffffffffffff7">
    <w:name w:val="表的内容"/>
    <w:basedOn w:val="a9"/>
    <w:next w:val="a9"/>
    <w:qFormat/>
    <w:rPr>
      <w:position w:val="-20"/>
    </w:rPr>
  </w:style>
  <w:style w:type="paragraph" w:customStyle="1" w:styleId="contentlabel">
    <w:name w:val="contentlabel"/>
    <w:basedOn w:val="a9"/>
    <w:qFormat/>
    <w:pPr>
      <w:widowControl/>
      <w:spacing w:before="30" w:after="100" w:afterAutospacing="1" w:line="360" w:lineRule="auto"/>
      <w:ind w:left="90"/>
      <w:jc w:val="left"/>
    </w:pPr>
    <w:rPr>
      <w:rFonts w:ascii="宋体" w:hAnsi="宋体"/>
      <w:color w:val="336666"/>
      <w:sz w:val="18"/>
      <w:szCs w:val="18"/>
    </w:rPr>
  </w:style>
  <w:style w:type="paragraph" w:customStyle="1" w:styleId="T1">
    <w:name w:val="T表格"/>
    <w:qFormat/>
    <w:pPr>
      <w:spacing w:line="360" w:lineRule="auto"/>
      <w:jc w:val="both"/>
    </w:pPr>
    <w:rPr>
      <w:color w:val="333300"/>
      <w:sz w:val="21"/>
    </w:rPr>
  </w:style>
  <w:style w:type="paragraph" w:customStyle="1" w:styleId="xl192">
    <w:name w:val="xl192"/>
    <w:basedOn w:val="a9"/>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xl57">
    <w:name w:val="xl57"/>
    <w:basedOn w:val="a9"/>
    <w:qFormat/>
    <w:pPr>
      <w:widowControl/>
      <w:pBdr>
        <w:right w:val="single" w:sz="4" w:space="0" w:color="auto"/>
      </w:pBdr>
      <w:spacing w:before="100" w:beforeAutospacing="1" w:after="100" w:afterAutospacing="1"/>
      <w:jc w:val="center"/>
    </w:pPr>
    <w:rPr>
      <w:rFonts w:ascii="宋体" w:hAnsi="宋体" w:cs="宋体"/>
      <w:sz w:val="18"/>
      <w:szCs w:val="18"/>
      <w:lang w:bidi="ne-NP"/>
    </w:rPr>
  </w:style>
  <w:style w:type="paragraph" w:customStyle="1" w:styleId="reader-word-layer">
    <w:name w:val="reader-word-layer"/>
    <w:basedOn w:val="a9"/>
    <w:qFormat/>
    <w:pPr>
      <w:widowControl/>
      <w:spacing w:before="100" w:beforeAutospacing="1" w:after="100" w:afterAutospacing="1" w:line="360" w:lineRule="auto"/>
      <w:jc w:val="left"/>
    </w:pPr>
    <w:rPr>
      <w:rFonts w:ascii="宋体" w:hAnsi="宋体" w:cs="宋体"/>
      <w:sz w:val="24"/>
    </w:rPr>
  </w:style>
  <w:style w:type="paragraph" w:customStyle="1" w:styleId="affffffffffffffff8">
    <w:name w:val="鸿达表格文字"/>
    <w:basedOn w:val="a9"/>
    <w:qFormat/>
    <w:pPr>
      <w:contextualSpacing/>
      <w:jc w:val="center"/>
      <w:textAlignment w:val="baseline"/>
    </w:pPr>
    <w:rPr>
      <w:szCs w:val="21"/>
    </w:rPr>
  </w:style>
  <w:style w:type="paragraph" w:customStyle="1" w:styleId="affffffffffffffff9">
    <w:name w:val="表体"/>
    <w:basedOn w:val="aff1"/>
    <w:qFormat/>
    <w:pPr>
      <w:adjustRightInd w:val="0"/>
      <w:snapToGrid w:val="0"/>
      <w:spacing w:line="240" w:lineRule="atLeast"/>
      <w:ind w:left="-96" w:right="-85"/>
      <w:jc w:val="center"/>
      <w:textAlignment w:val="baseline"/>
    </w:pPr>
    <w:rPr>
      <w:spacing w:val="-6"/>
      <w:sz w:val="18"/>
      <w:szCs w:val="21"/>
    </w:rPr>
  </w:style>
  <w:style w:type="paragraph" w:customStyle="1" w:styleId="225">
    <w:name w:val="正文文本缩进 22"/>
    <w:basedOn w:val="a9"/>
    <w:semiHidden/>
    <w:qFormat/>
    <w:pPr>
      <w:widowControl/>
      <w:autoSpaceDE w:val="0"/>
      <w:autoSpaceDN w:val="0"/>
      <w:adjustRightInd w:val="0"/>
      <w:spacing w:line="360" w:lineRule="auto"/>
      <w:ind w:firstLineChars="200" w:firstLine="570"/>
      <w:textAlignment w:val="baseline"/>
    </w:pPr>
    <w:rPr>
      <w:rFonts w:eastAsia="仿宋_GB2312" w:hAnsi="Tms Rmn" w:cs="宋体"/>
      <w:spacing w:val="4"/>
      <w:sz w:val="28"/>
      <w:lang w:bidi="ne-NP"/>
    </w:rPr>
  </w:style>
  <w:style w:type="paragraph" w:customStyle="1" w:styleId="CharChar1Char2CharCharChar2">
    <w:name w:val="Char Char1 Char2 Char Char Char2"/>
    <w:basedOn w:val="a9"/>
    <w:qFormat/>
    <w:pPr>
      <w:widowControl/>
      <w:spacing w:line="360" w:lineRule="auto"/>
      <w:ind w:firstLineChars="200" w:firstLine="200"/>
    </w:pPr>
    <w:rPr>
      <w:rFonts w:ascii="宋体" w:hAnsi="宋体" w:cs="宋体"/>
      <w:sz w:val="24"/>
      <w:lang w:bidi="ne-NP"/>
    </w:rPr>
  </w:style>
  <w:style w:type="paragraph" w:customStyle="1" w:styleId="Date1">
    <w:name w:val="Date1"/>
    <w:basedOn w:val="a9"/>
    <w:next w:val="a9"/>
    <w:qFormat/>
    <w:pPr>
      <w:widowControl/>
      <w:adjustRightInd w:val="0"/>
      <w:textAlignment w:val="baseline"/>
    </w:pPr>
    <w:rPr>
      <w:rFonts w:cs="宋体"/>
      <w:sz w:val="24"/>
      <w:lang w:bidi="ne-NP"/>
    </w:rPr>
  </w:style>
  <w:style w:type="paragraph" w:customStyle="1" w:styleId="3110">
    <w:name w:val="正文文本缩进 311"/>
    <w:basedOn w:val="a9"/>
    <w:qFormat/>
    <w:pPr>
      <w:widowControl/>
      <w:autoSpaceDE w:val="0"/>
      <w:autoSpaceDN w:val="0"/>
      <w:adjustRightInd w:val="0"/>
      <w:spacing w:line="520" w:lineRule="exact"/>
      <w:ind w:firstLineChars="200" w:firstLine="540"/>
      <w:textAlignment w:val="baseline"/>
    </w:pPr>
    <w:rPr>
      <w:rFonts w:eastAsia="仿宋_GB2312" w:hAnsi="Tms Rmn" w:cs="宋体"/>
      <w:spacing w:val="4"/>
      <w:sz w:val="28"/>
      <w:lang w:bidi="ne-NP"/>
    </w:rPr>
  </w:style>
  <w:style w:type="paragraph" w:customStyle="1" w:styleId="affffffffffffffffa">
    <w:name w:val="大纲正文"/>
    <w:basedOn w:val="a9"/>
    <w:qFormat/>
    <w:pPr>
      <w:autoSpaceDE w:val="0"/>
      <w:autoSpaceDN w:val="0"/>
      <w:adjustRightInd w:val="0"/>
      <w:spacing w:line="300" w:lineRule="auto"/>
      <w:ind w:firstLineChars="200" w:firstLine="200"/>
    </w:pPr>
    <w:rPr>
      <w:rFonts w:ascii="宋体"/>
      <w:color w:val="000000"/>
      <w:sz w:val="24"/>
      <w:szCs w:val="28"/>
    </w:rPr>
  </w:style>
  <w:style w:type="paragraph" w:customStyle="1" w:styleId="1CharChar7">
    <w:name w:val="样式 正文1 Char Char + 字距调整七号"/>
    <w:basedOn w:val="a9"/>
    <w:qFormat/>
    <w:pPr>
      <w:widowControl/>
      <w:suppressLineNumbers/>
      <w:suppressAutoHyphens/>
      <w:topLinePunct/>
      <w:adjustRightInd w:val="0"/>
      <w:snapToGrid w:val="0"/>
      <w:spacing w:line="360" w:lineRule="auto"/>
      <w:ind w:firstLineChars="200" w:firstLine="480"/>
    </w:pPr>
    <w:rPr>
      <w:rFonts w:cs="宋体"/>
      <w:kern w:val="11"/>
      <w:sz w:val="24"/>
      <w:lang w:bidi="ne-NP"/>
    </w:rPr>
  </w:style>
  <w:style w:type="paragraph" w:customStyle="1" w:styleId="xl45">
    <w:name w:val="xl4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sz w:val="22"/>
      <w:szCs w:val="22"/>
    </w:rPr>
  </w:style>
  <w:style w:type="paragraph" w:customStyle="1" w:styleId="2ff7">
    <w:name w:val="样式 标题 2 + 两端对齐"/>
    <w:basedOn w:val="2"/>
    <w:qFormat/>
    <w:pPr>
      <w:keepLines w:val="0"/>
      <w:widowControl/>
      <w:numPr>
        <w:ilvl w:val="0"/>
        <w:numId w:val="0"/>
      </w:numPr>
      <w:pBdr>
        <w:bottom w:val="none" w:sz="0" w:space="0" w:color="auto"/>
      </w:pBdr>
      <w:tabs>
        <w:tab w:val="left" w:pos="1702"/>
      </w:tabs>
      <w:spacing w:before="100" w:after="100" w:line="360" w:lineRule="auto"/>
      <w:ind w:left="846" w:hanging="846"/>
    </w:pPr>
    <w:rPr>
      <w:rFonts w:eastAsia="宋体" w:cs="宋体"/>
      <w:bCs/>
      <w:sz w:val="30"/>
    </w:rPr>
  </w:style>
  <w:style w:type="paragraph" w:customStyle="1" w:styleId="a30">
    <w:name w:val="a3"/>
    <w:basedOn w:val="a9"/>
    <w:qFormat/>
    <w:pPr>
      <w:widowControl/>
      <w:topLinePunct/>
      <w:spacing w:before="100" w:beforeAutospacing="1" w:after="100" w:afterAutospacing="1" w:line="360" w:lineRule="auto"/>
      <w:jc w:val="left"/>
    </w:pPr>
    <w:rPr>
      <w:rFonts w:ascii="宋体" w:hAnsi="宋体"/>
      <w:color w:val="000000"/>
      <w:sz w:val="24"/>
    </w:rPr>
  </w:style>
  <w:style w:type="paragraph" w:customStyle="1" w:styleId="affffffffffffffffb">
    <w:name w:val="`"/>
    <w:basedOn w:val="a9"/>
    <w:qFormat/>
    <w:pPr>
      <w:spacing w:line="480" w:lineRule="exact"/>
      <w:ind w:firstLineChars="200" w:firstLine="200"/>
    </w:pPr>
    <w:rPr>
      <w:sz w:val="24"/>
    </w:rPr>
  </w:style>
  <w:style w:type="paragraph" w:customStyle="1" w:styleId="xl540">
    <w:name w:val="xl54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bidi="ne-NP"/>
    </w:rPr>
  </w:style>
  <w:style w:type="paragraph" w:customStyle="1" w:styleId="3111h3H3level3PIM3Level3HeadHeading3-ol">
    <w:name w:val="样式 标题 3条标题1.1.1h3H3level_3PIM 3Level 3 HeadHeading 3 - ol..."/>
    <w:basedOn w:val="3"/>
    <w:qFormat/>
    <w:pPr>
      <w:keepNext/>
      <w:keepLines/>
      <w:numPr>
        <w:ilvl w:val="0"/>
        <w:numId w:val="0"/>
      </w:numPr>
      <w:tabs>
        <w:tab w:val="clear" w:pos="720"/>
        <w:tab w:val="left" w:pos="731"/>
        <w:tab w:val="left" w:pos="862"/>
        <w:tab w:val="left" w:pos="1567"/>
      </w:tabs>
      <w:snapToGrid/>
      <w:spacing w:beforeLines="50" w:afterLines="50" w:line="240" w:lineRule="auto"/>
      <w:textAlignment w:val="baseline"/>
    </w:pPr>
    <w:rPr>
      <w:rFonts w:ascii="华文中宋" w:eastAsia="仿宋_GB2312" w:hAnsi="宋体" w:cs="宋体"/>
      <w:b w:val="0"/>
      <w:bCs/>
      <w:sz w:val="28"/>
      <w:szCs w:val="28"/>
    </w:rPr>
  </w:style>
  <w:style w:type="paragraph" w:customStyle="1" w:styleId="CharChar1CharCharCharCharCharCharCharCharCharChar">
    <w:name w:val="Char Char1 Char Char Char Char Char Char Char Char Char Char"/>
    <w:basedOn w:val="a9"/>
    <w:qFormat/>
    <w:pPr>
      <w:spacing w:line="360" w:lineRule="auto"/>
      <w:ind w:firstLineChars="200" w:firstLine="200"/>
    </w:pPr>
    <w:rPr>
      <w:rFonts w:ascii="宋体" w:hAnsi="宋体" w:cs="宋体"/>
      <w:sz w:val="24"/>
    </w:rPr>
  </w:style>
  <w:style w:type="paragraph" w:customStyle="1" w:styleId="3ff0">
    <w:name w:val="小标题3"/>
    <w:basedOn w:val="2ff8"/>
    <w:qFormat/>
    <w:pPr>
      <w:spacing w:beforeLines="0"/>
    </w:pPr>
  </w:style>
  <w:style w:type="paragraph" w:customStyle="1" w:styleId="2ff8">
    <w:name w:val="小标题2"/>
    <w:basedOn w:val="a9"/>
    <w:next w:val="a9"/>
    <w:qFormat/>
    <w:pPr>
      <w:widowControl/>
      <w:tabs>
        <w:tab w:val="left" w:pos="1174"/>
      </w:tabs>
      <w:adjustRightInd w:val="0"/>
      <w:snapToGrid w:val="0"/>
      <w:spacing w:beforeLines="50" w:line="360" w:lineRule="auto"/>
      <w:ind w:firstLine="454"/>
      <w:jc w:val="left"/>
    </w:pPr>
    <w:rPr>
      <w:rFonts w:ascii="宋体" w:cs="宋体"/>
      <w:sz w:val="24"/>
      <w:lang w:bidi="ne-NP"/>
    </w:rPr>
  </w:style>
  <w:style w:type="paragraph" w:customStyle="1" w:styleId="xl554">
    <w:name w:val="xl554"/>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24"/>
      <w:lang w:bidi="ne-NP"/>
    </w:rPr>
  </w:style>
  <w:style w:type="paragraph" w:customStyle="1" w:styleId="xl131">
    <w:name w:val="xl131"/>
    <w:basedOn w:val="a9"/>
    <w:qFormat/>
    <w:pPr>
      <w:widowControl/>
      <w:spacing w:before="100" w:beforeAutospacing="1" w:after="100" w:afterAutospacing="1"/>
      <w:jc w:val="left"/>
    </w:pPr>
    <w:rPr>
      <w:rFonts w:ascii="Arial" w:hAnsi="Arial" w:cs="宋体"/>
      <w:color w:val="FFFFFF"/>
      <w:sz w:val="24"/>
      <w:lang w:bidi="ne-NP"/>
    </w:rPr>
  </w:style>
  <w:style w:type="paragraph" w:customStyle="1" w:styleId="Web1">
    <w:name w:val="普通(Web)1"/>
    <w:basedOn w:val="a9"/>
    <w:qFormat/>
    <w:pPr>
      <w:widowControl/>
      <w:spacing w:before="75" w:after="100" w:afterAutospacing="1"/>
      <w:jc w:val="left"/>
    </w:pPr>
    <w:rPr>
      <w:rFonts w:ascii="宋体" w:hAnsi="宋体" w:cs="宋体"/>
      <w:sz w:val="24"/>
      <w:lang w:bidi="ne-NP"/>
    </w:rPr>
  </w:style>
  <w:style w:type="paragraph" w:customStyle="1" w:styleId="20503">
    <w:name w:val="样式 表名称 + 首行缩进:  2 字符 段前: 0.5 行 段后: 0.3 行"/>
    <w:basedOn w:val="afffffffffff7"/>
    <w:qFormat/>
    <w:pPr>
      <w:suppressLineNumbers w:val="0"/>
      <w:suppressAutoHyphens w:val="0"/>
      <w:spacing w:beforeLines="30" w:after="30"/>
      <w:ind w:firstLine="200"/>
    </w:pPr>
  </w:style>
  <w:style w:type="paragraph" w:customStyle="1" w:styleId="font15">
    <w:name w:val="font15"/>
    <w:basedOn w:val="a9"/>
    <w:qFormat/>
    <w:pPr>
      <w:widowControl/>
      <w:spacing w:before="100" w:beforeAutospacing="1" w:after="100" w:afterAutospacing="1" w:line="360" w:lineRule="auto"/>
      <w:jc w:val="left"/>
    </w:pPr>
    <w:rPr>
      <w:color w:val="000000"/>
      <w:sz w:val="22"/>
      <w:szCs w:val="22"/>
    </w:rPr>
  </w:style>
  <w:style w:type="paragraph" w:customStyle="1" w:styleId="1061228">
    <w:name w:val="样式 标题 1 + 首行缩进:  0 厘米 段前: 6 磅 段后: 12 磅 行距: 最小值 28 磅"/>
    <w:basedOn w:val="1"/>
    <w:qFormat/>
    <w:pPr>
      <w:widowControl/>
      <w:numPr>
        <w:numId w:val="0"/>
      </w:numPr>
      <w:tabs>
        <w:tab w:val="left" w:pos="1800"/>
      </w:tabs>
      <w:spacing w:beforeLines="200" w:after="624" w:line="560" w:lineRule="exact"/>
      <w:jc w:val="center"/>
    </w:pPr>
    <w:rPr>
      <w:rFonts w:ascii="黑体" w:eastAsia="黑体" w:cs="宋体"/>
      <w:b w:val="0"/>
      <w:bCs/>
      <w:color w:val="000000"/>
      <w:szCs w:val="32"/>
      <w:u w:color="000000"/>
    </w:rPr>
  </w:style>
  <w:style w:type="paragraph" w:customStyle="1" w:styleId="font5">
    <w:name w:val="font5"/>
    <w:basedOn w:val="a9"/>
    <w:qFormat/>
    <w:pPr>
      <w:widowControl/>
      <w:spacing w:before="100" w:beforeAutospacing="1" w:after="100" w:afterAutospacing="1"/>
      <w:jc w:val="left"/>
    </w:pPr>
    <w:rPr>
      <w:rFonts w:ascii="宋体" w:hAnsi="宋体" w:cs="Arial Unicode MS" w:hint="eastAsia"/>
      <w:sz w:val="24"/>
    </w:rPr>
  </w:style>
  <w:style w:type="paragraph" w:customStyle="1" w:styleId="affffffffffffffffc">
    <w:name w:val="鸿达表格段落"/>
    <w:basedOn w:val="a9"/>
    <w:qFormat/>
    <w:pPr>
      <w:adjustRightInd w:val="0"/>
      <w:snapToGrid w:val="0"/>
      <w:ind w:firstLineChars="100" w:firstLine="100"/>
      <w:jc w:val="left"/>
    </w:pPr>
    <w:rPr>
      <w:snapToGrid w:val="0"/>
    </w:rPr>
  </w:style>
  <w:style w:type="paragraph" w:customStyle="1" w:styleId="xl88">
    <w:name w:val="xl88"/>
    <w:basedOn w:val="a9"/>
    <w:qFormat/>
    <w:pPr>
      <w:widowControl/>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color w:val="000000"/>
      <w:sz w:val="18"/>
      <w:szCs w:val="18"/>
    </w:rPr>
  </w:style>
  <w:style w:type="paragraph" w:customStyle="1" w:styleId="CharCharCharCharCharCharChar1">
    <w:name w:val="Char Char Char Char Char Char Char1"/>
    <w:basedOn w:val="a9"/>
    <w:qFormat/>
    <w:pPr>
      <w:widowControl/>
      <w:spacing w:line="360" w:lineRule="auto"/>
      <w:ind w:firstLineChars="200" w:firstLine="200"/>
    </w:pPr>
    <w:rPr>
      <w:rFonts w:cs="宋体"/>
      <w:sz w:val="24"/>
      <w:lang w:bidi="ne-NP"/>
    </w:rPr>
  </w:style>
  <w:style w:type="paragraph" w:customStyle="1" w:styleId="1fffff0">
    <w:name w:val="列表项目符号1."/>
    <w:basedOn w:val="a9"/>
    <w:semiHidden/>
    <w:qFormat/>
    <w:pPr>
      <w:widowControl/>
      <w:adjustRightInd w:val="0"/>
      <w:spacing w:line="312" w:lineRule="atLeast"/>
      <w:ind w:left="425" w:hanging="425"/>
      <w:jc w:val="left"/>
      <w:textAlignment w:val="baseline"/>
    </w:pPr>
  </w:style>
  <w:style w:type="paragraph" w:customStyle="1" w:styleId="xl44">
    <w:name w:val="xl4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sz w:val="22"/>
      <w:szCs w:val="22"/>
    </w:rPr>
  </w:style>
  <w:style w:type="paragraph" w:customStyle="1" w:styleId="xl548">
    <w:name w:val="xl548"/>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xl546">
    <w:name w:val="xl54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BodyTextIndent21">
    <w:name w:val="Body Text Indent 21"/>
    <w:basedOn w:val="a9"/>
    <w:qFormat/>
    <w:pPr>
      <w:widowControl/>
      <w:adjustRightInd w:val="0"/>
      <w:spacing w:line="360" w:lineRule="auto"/>
      <w:ind w:firstLine="480"/>
      <w:textAlignment w:val="baseline"/>
    </w:pPr>
    <w:rPr>
      <w:rFonts w:ascii="宋体" w:cs="宋体"/>
      <w:sz w:val="24"/>
      <w:lang w:bidi="ne-NP"/>
    </w:rPr>
  </w:style>
  <w:style w:type="paragraph" w:customStyle="1" w:styleId="1fffff1">
    <w:name w:val="样式 正文首行缩进 + 首行缩进:  1 字符"/>
    <w:basedOn w:val="af0"/>
    <w:qFormat/>
    <w:pPr>
      <w:widowControl/>
      <w:snapToGrid w:val="0"/>
      <w:spacing w:line="240" w:lineRule="auto"/>
      <w:ind w:firstLineChars="100" w:firstLine="100"/>
      <w:contextualSpacing/>
    </w:pPr>
    <w:rPr>
      <w:rFonts w:cs="宋体"/>
      <w:sz w:val="32"/>
    </w:rPr>
  </w:style>
  <w:style w:type="paragraph" w:customStyle="1" w:styleId="CharCharCharCharCharChar1CharCharCharChaChar">
    <w:name w:val="样式 列表列表 Char列表 Char Char Char Char Char1列表 Char Char Char Cha... Char"/>
    <w:basedOn w:val="affb"/>
    <w:qFormat/>
    <w:pPr>
      <w:widowControl/>
      <w:spacing w:line="500" w:lineRule="exact"/>
      <w:ind w:left="0" w:firstLineChars="200" w:firstLine="200"/>
      <w:jc w:val="center"/>
    </w:pPr>
    <w:rPr>
      <w:rFonts w:eastAsia="黑体"/>
      <w:sz w:val="24"/>
      <w:szCs w:val="24"/>
    </w:rPr>
  </w:style>
  <w:style w:type="paragraph" w:customStyle="1" w:styleId="1031">
    <w:name w:val="样式 表名1 + 段前: 0.3 行1"/>
    <w:basedOn w:val="1ffffb"/>
    <w:qFormat/>
    <w:rPr>
      <w:bCs w:val="0"/>
    </w:rPr>
  </w:style>
  <w:style w:type="paragraph" w:customStyle="1" w:styleId="3ff1">
    <w:name w:val="样式 标题 3 + 小三 黑色"/>
    <w:basedOn w:val="3"/>
    <w:qFormat/>
    <w:pPr>
      <w:keepNext/>
      <w:keepLines/>
      <w:widowControl/>
      <w:numPr>
        <w:ilvl w:val="0"/>
        <w:numId w:val="0"/>
      </w:numPr>
      <w:tabs>
        <w:tab w:val="left" w:pos="0"/>
        <w:tab w:val="left" w:pos="862"/>
        <w:tab w:val="left" w:pos="1567"/>
      </w:tabs>
      <w:snapToGrid/>
      <w:spacing w:before="260" w:after="260" w:line="416" w:lineRule="auto"/>
    </w:pPr>
    <w:rPr>
      <w:rFonts w:eastAsia="宋体" w:cs="宋体"/>
      <w:bCs/>
      <w:color w:val="000000"/>
      <w:sz w:val="30"/>
      <w:szCs w:val="30"/>
      <w:lang w:bidi="ne-NP"/>
    </w:rPr>
  </w:style>
  <w:style w:type="paragraph" w:customStyle="1" w:styleId="affffffffffffffffd">
    <w:name w:val="质报书正文"/>
    <w:basedOn w:val="a9"/>
    <w:qFormat/>
    <w:rPr>
      <w:sz w:val="24"/>
    </w:rPr>
  </w:style>
  <w:style w:type="paragraph" w:customStyle="1" w:styleId="Char310">
    <w:name w:val="Char31"/>
    <w:basedOn w:val="2"/>
    <w:qFormat/>
    <w:pPr>
      <w:numPr>
        <w:numId w:val="0"/>
      </w:numPr>
      <w:tabs>
        <w:tab w:val="clear" w:pos="567"/>
        <w:tab w:val="left" w:pos="576"/>
      </w:tabs>
      <w:spacing w:beforeAutospacing="1" w:line="360" w:lineRule="auto"/>
      <w:ind w:left="576" w:firstLineChars="200" w:firstLine="200"/>
    </w:pPr>
    <w:rPr>
      <w:rFonts w:ascii="黑体"/>
      <w:sz w:val="28"/>
    </w:rPr>
  </w:style>
  <w:style w:type="paragraph" w:customStyle="1" w:styleId="p0">
    <w:name w:val="p0"/>
    <w:basedOn w:val="a9"/>
    <w:qFormat/>
    <w:pPr>
      <w:widowControl/>
      <w:spacing w:line="360" w:lineRule="auto"/>
    </w:pPr>
    <w:rPr>
      <w:szCs w:val="21"/>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9"/>
    <w:qFormat/>
    <w:pPr>
      <w:widowControl/>
      <w:spacing w:line="360" w:lineRule="auto"/>
      <w:ind w:firstLineChars="200" w:firstLine="200"/>
    </w:pPr>
    <w:rPr>
      <w:rFonts w:ascii="宋体" w:hAnsi="宋体" w:cs="宋体"/>
      <w:sz w:val="24"/>
      <w:lang w:bidi="ne-NP"/>
    </w:rPr>
  </w:style>
  <w:style w:type="paragraph" w:customStyle="1" w:styleId="3ff2">
    <w:name w:val="正文3"/>
    <w:basedOn w:val="a9"/>
    <w:link w:val="3Char10"/>
    <w:qFormat/>
    <w:pPr>
      <w:widowControl/>
      <w:adjustRightInd w:val="0"/>
      <w:snapToGrid w:val="0"/>
      <w:spacing w:line="560" w:lineRule="exact"/>
      <w:ind w:firstLineChars="200" w:firstLine="200"/>
    </w:pPr>
    <w:rPr>
      <w:rFonts w:eastAsia="仿宋_GB2312" w:cs="宋体"/>
      <w:sz w:val="28"/>
      <w:szCs w:val="28"/>
      <w:lang w:bidi="ne-NP"/>
    </w:rPr>
  </w:style>
  <w:style w:type="paragraph" w:customStyle="1" w:styleId="affffffffffffffffe">
    <w:name w:val="正文魏"/>
    <w:basedOn w:val="a9"/>
    <w:qFormat/>
    <w:pPr>
      <w:spacing w:line="360" w:lineRule="auto"/>
      <w:ind w:firstLineChars="200" w:firstLine="200"/>
    </w:pPr>
    <w:rPr>
      <w:sz w:val="24"/>
    </w:rPr>
  </w:style>
  <w:style w:type="paragraph" w:customStyle="1" w:styleId="afffffffffffffffff">
    <w:name w:val="首缩"/>
    <w:basedOn w:val="a9"/>
    <w:qFormat/>
    <w:pPr>
      <w:adjustRightInd w:val="0"/>
      <w:snapToGrid w:val="0"/>
      <w:spacing w:line="500" w:lineRule="exact"/>
      <w:ind w:firstLineChars="200" w:firstLine="200"/>
    </w:pPr>
    <w:rPr>
      <w:rFonts w:eastAsia="仿宋_GB2312"/>
      <w:snapToGrid w:val="0"/>
      <w:sz w:val="28"/>
    </w:rPr>
  </w:style>
  <w:style w:type="paragraph" w:customStyle="1" w:styleId="puce1-3pts">
    <w:name w:val="puce1-3pts"/>
    <w:basedOn w:val="a9"/>
    <w:qFormat/>
    <w:pPr>
      <w:widowControl/>
      <w:tabs>
        <w:tab w:val="left" w:pos="0"/>
        <w:tab w:val="left" w:pos="1560"/>
      </w:tabs>
      <w:spacing w:before="60"/>
      <w:ind w:left="1559" w:hanging="425"/>
    </w:pPr>
    <w:rPr>
      <w:rFonts w:ascii="Arial" w:eastAsia="MS Mincho" w:hAnsi="Arial" w:cs="宋体"/>
      <w:lang w:eastAsia="fr-FR" w:bidi="ne-NP"/>
    </w:rPr>
  </w:style>
  <w:style w:type="paragraph" w:customStyle="1" w:styleId="Puce2-8pts">
    <w:name w:val="Puce2-8pts"/>
    <w:basedOn w:val="a9"/>
    <w:qFormat/>
    <w:pPr>
      <w:keepLines/>
      <w:widowControl/>
      <w:tabs>
        <w:tab w:val="left" w:pos="-283"/>
        <w:tab w:val="left" w:pos="1200"/>
      </w:tabs>
      <w:spacing w:before="160"/>
      <w:ind w:left="1701" w:hanging="720"/>
    </w:pPr>
    <w:rPr>
      <w:rFonts w:ascii="Arial" w:hAnsi="Arial" w:cs="宋体"/>
      <w:lang w:eastAsia="fr-FR" w:bidi="ne-NP"/>
    </w:rPr>
  </w:style>
  <w:style w:type="paragraph" w:customStyle="1" w:styleId="2ff9">
    <w:name w:val="表格2"/>
    <w:basedOn w:val="afffff5"/>
    <w:qFormat/>
    <w:pPr>
      <w:jc w:val="both"/>
    </w:pPr>
    <w:rPr>
      <w:rFonts w:ascii="Arial" w:hAnsi="Arial"/>
      <w:kern w:val="2"/>
      <w:szCs w:val="21"/>
    </w:rPr>
  </w:style>
  <w:style w:type="paragraph" w:customStyle="1" w:styleId="xl565">
    <w:name w:val="xl565"/>
    <w:basedOn w:val="a9"/>
    <w:qFormat/>
    <w:pPr>
      <w:widowControl/>
      <w:pBdr>
        <w:left w:val="single" w:sz="4" w:space="0" w:color="auto"/>
        <w:right w:val="single" w:sz="4" w:space="0" w:color="auto"/>
      </w:pBdr>
      <w:shd w:val="clear" w:color="auto" w:fill="FF99CC"/>
      <w:spacing w:before="100" w:beforeAutospacing="1" w:after="100" w:afterAutospacing="1"/>
      <w:jc w:val="center"/>
    </w:pPr>
    <w:rPr>
      <w:rFonts w:ascii="Arial" w:hAnsi="Arial" w:cs="Arial"/>
      <w:lang w:bidi="ne-NP"/>
    </w:rPr>
  </w:style>
  <w:style w:type="paragraph" w:customStyle="1" w:styleId="xl188">
    <w:name w:val="xl188"/>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0101">
    <w:name w:val="样式 表字五号 + 段前: 0.1 行 段后: 0.1 行"/>
    <w:basedOn w:val="affffffffff7"/>
    <w:qFormat/>
    <w:pPr>
      <w:spacing w:before="31" w:after="31"/>
    </w:pPr>
    <w:rPr>
      <w:szCs w:val="21"/>
    </w:rPr>
  </w:style>
  <w:style w:type="paragraph" w:customStyle="1" w:styleId="CharCharCharCharCharCharChar1CharCharChar2">
    <w:name w:val="Char Char Char Char Char Char Char1 Char Char Char2"/>
    <w:basedOn w:val="a9"/>
    <w:qFormat/>
    <w:pPr>
      <w:widowControl/>
      <w:spacing w:line="360" w:lineRule="auto"/>
    </w:pPr>
    <w:rPr>
      <w:rFonts w:cs="宋体"/>
      <w:sz w:val="24"/>
      <w:szCs w:val="21"/>
      <w:lang w:bidi="ne-NP"/>
    </w:rPr>
  </w:style>
  <w:style w:type="paragraph" w:customStyle="1" w:styleId="xl67">
    <w:name w:val="xl67"/>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style>
  <w:style w:type="paragraph" w:customStyle="1" w:styleId="3ff3">
    <w:name w:val="样式 标题 3 + 黑色"/>
    <w:basedOn w:val="3"/>
    <w:qFormat/>
    <w:pPr>
      <w:keepNext/>
      <w:keepLines/>
      <w:numPr>
        <w:ilvl w:val="0"/>
        <w:numId w:val="0"/>
      </w:numPr>
      <w:tabs>
        <w:tab w:val="clear" w:pos="720"/>
        <w:tab w:val="left" w:pos="486"/>
        <w:tab w:val="left" w:pos="709"/>
        <w:tab w:val="left" w:pos="862"/>
        <w:tab w:val="left" w:pos="1567"/>
      </w:tabs>
      <w:snapToGrid/>
      <w:spacing w:beforeLines="50" w:afterLines="50" w:line="600" w:lineRule="exact"/>
      <w:ind w:left="567" w:hanging="709"/>
      <w:jc w:val="left"/>
    </w:pPr>
    <w:rPr>
      <w:rFonts w:ascii="华文中宋" w:eastAsia="华文中宋" w:hAnsi="宋体"/>
      <w:b w:val="0"/>
      <w:bCs/>
      <w:color w:val="000000"/>
      <w:sz w:val="28"/>
      <w:szCs w:val="32"/>
    </w:rPr>
  </w:style>
  <w:style w:type="paragraph" w:customStyle="1" w:styleId="xl30">
    <w:name w:val="xl30"/>
    <w:basedOn w:val="a9"/>
    <w:qFormat/>
    <w:pPr>
      <w:widowControl/>
      <w:spacing w:before="100" w:beforeAutospacing="1" w:after="100" w:afterAutospacing="1"/>
      <w:jc w:val="left"/>
      <w:textAlignment w:val="center"/>
    </w:pPr>
    <w:rPr>
      <w:rFonts w:ascii="Courier New" w:eastAsia="Arial Unicode MS" w:hAnsi="Courier New" w:cs="Courier New"/>
      <w:sz w:val="22"/>
      <w:szCs w:val="22"/>
    </w:rPr>
  </w:style>
  <w:style w:type="paragraph" w:customStyle="1" w:styleId="1222">
    <w:name w:val="样式 样式 正文1 + 首行缩进:  2 字符2 + 首行缩进:  2 字符"/>
    <w:basedOn w:val="a9"/>
    <w:qFormat/>
    <w:pPr>
      <w:widowControl/>
      <w:suppressLineNumbers/>
      <w:suppressAutoHyphens/>
      <w:adjustRightInd w:val="0"/>
      <w:snapToGrid w:val="0"/>
      <w:spacing w:beforeLines="10" w:afterLines="10" w:line="360" w:lineRule="auto"/>
      <w:ind w:firstLineChars="200" w:firstLine="480"/>
    </w:pPr>
    <w:rPr>
      <w:rFonts w:cs="宋体"/>
      <w:color w:val="000000"/>
      <w:sz w:val="24"/>
      <w:lang w:bidi="ne-NP"/>
    </w:rPr>
  </w:style>
  <w:style w:type="paragraph" w:customStyle="1" w:styleId="afffffffffffffffff0">
    <w:name w:val="目录"/>
    <w:basedOn w:val="affff7"/>
    <w:next w:val="affff7"/>
    <w:qFormat/>
    <w:pPr>
      <w:widowControl w:val="0"/>
      <w:pBdr>
        <w:bottom w:val="single" w:sz="12" w:space="1" w:color="auto"/>
      </w:pBdr>
      <w:spacing w:before="960" w:after="960"/>
      <w:ind w:firstLineChars="0" w:firstLine="0"/>
      <w:jc w:val="right"/>
    </w:pPr>
    <w:rPr>
      <w:rFonts w:eastAsia="黑体"/>
      <w:b/>
      <w:bCs w:val="0"/>
      <w:i/>
      <w:snapToGrid/>
      <w:kern w:val="2"/>
      <w:sz w:val="32"/>
    </w:rPr>
  </w:style>
  <w:style w:type="paragraph" w:customStyle="1" w:styleId="117">
    <w:name w:val="正文文本首行缩进1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CharCharCharChar8">
    <w:name w:val="Char Char Char Char8"/>
    <w:basedOn w:val="3"/>
    <w:qFormat/>
    <w:pPr>
      <w:keepNext/>
      <w:keepLines/>
      <w:numPr>
        <w:ilvl w:val="0"/>
        <w:numId w:val="0"/>
      </w:numPr>
      <w:tabs>
        <w:tab w:val="clear" w:pos="720"/>
        <w:tab w:val="left" w:pos="360"/>
        <w:tab w:val="left" w:pos="731"/>
        <w:tab w:val="left" w:pos="862"/>
        <w:tab w:val="left" w:pos="900"/>
        <w:tab w:val="left" w:pos="1567"/>
      </w:tabs>
      <w:adjustRightInd w:val="0"/>
      <w:spacing w:beforeLines="50"/>
      <w:ind w:leftChars="-12" w:left="542" w:firstLineChars="200" w:firstLine="200"/>
    </w:pPr>
    <w:rPr>
      <w:rFonts w:ascii="宋体" w:eastAsia="宋体" w:hAnsi="宋体"/>
      <w:b w:val="0"/>
      <w:snapToGrid w:val="0"/>
      <w:szCs w:val="24"/>
    </w:rPr>
  </w:style>
  <w:style w:type="paragraph" w:customStyle="1" w:styleId="xl34">
    <w:name w:val="xl34"/>
    <w:basedOn w:val="a9"/>
    <w:qFormat/>
    <w:pPr>
      <w:widowControl/>
      <w:spacing w:before="100" w:beforeAutospacing="1" w:after="100" w:afterAutospacing="1"/>
      <w:jc w:val="left"/>
      <w:textAlignment w:val="center"/>
    </w:pPr>
    <w:rPr>
      <w:rFonts w:ascii="Arial Unicode MS" w:eastAsia="Arial Unicode MS" w:hAnsi="Arial Unicode MS"/>
      <w:sz w:val="24"/>
    </w:rPr>
  </w:style>
  <w:style w:type="paragraph" w:customStyle="1" w:styleId="2ffa">
    <w:name w:val="表格2（柞行）"/>
    <w:basedOn w:val="afffff5"/>
    <w:qFormat/>
    <w:pPr>
      <w:spacing w:line="320" w:lineRule="exact"/>
      <w:ind w:leftChars="-20" w:left="-10" w:rightChars="-20" w:right="-10"/>
    </w:pPr>
    <w:rPr>
      <w:rFonts w:ascii="Arial" w:hAnsi="Arial"/>
      <w:kern w:val="2"/>
      <w:szCs w:val="21"/>
    </w:rPr>
  </w:style>
  <w:style w:type="paragraph" w:customStyle="1" w:styleId="B1">
    <w:name w:val="B"/>
    <w:basedOn w:val="2"/>
    <w:qFormat/>
    <w:pPr>
      <w:keepNext/>
      <w:widowControl/>
      <w:numPr>
        <w:ilvl w:val="0"/>
        <w:numId w:val="0"/>
      </w:numPr>
      <w:pBdr>
        <w:bottom w:val="none" w:sz="0" w:space="0" w:color="auto"/>
      </w:pBdr>
      <w:tabs>
        <w:tab w:val="left" w:pos="3752"/>
      </w:tabs>
      <w:spacing w:before="260" w:after="260" w:line="415" w:lineRule="auto"/>
      <w:jc w:val="left"/>
    </w:pPr>
    <w:rPr>
      <w:rFonts w:ascii="Arial" w:hAnsi="Arial"/>
      <w:bCs/>
      <w:color w:val="000000"/>
      <w:szCs w:val="32"/>
    </w:rPr>
  </w:style>
  <w:style w:type="paragraph" w:customStyle="1" w:styleId="xl572">
    <w:name w:val="xl57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8"/>
      <w:szCs w:val="18"/>
      <w:lang w:bidi="ne-NP"/>
    </w:rPr>
  </w:style>
  <w:style w:type="paragraph" w:customStyle="1" w:styleId="Pucefleche">
    <w:name w:val="Puce fleche"/>
    <w:basedOn w:val="afd"/>
    <w:qFormat/>
    <w:pPr>
      <w:widowControl/>
      <w:tabs>
        <w:tab w:val="left" w:pos="851"/>
      </w:tabs>
      <w:spacing w:before="60" w:line="240" w:lineRule="auto"/>
      <w:ind w:left="851" w:firstLineChars="0" w:hanging="851"/>
    </w:pPr>
    <w:rPr>
      <w:rFonts w:ascii="Arial" w:hAnsi="Arial"/>
      <w:kern w:val="0"/>
      <w:sz w:val="20"/>
      <w:lang w:val="en-GB" w:eastAsia="fr-FR"/>
    </w:rPr>
  </w:style>
  <w:style w:type="paragraph" w:customStyle="1" w:styleId="xl111">
    <w:name w:val="xl111"/>
    <w:basedOn w:val="a9"/>
    <w:qFormat/>
    <w:pPr>
      <w:widowControl/>
      <w:pBdr>
        <w:bottom w:val="single" w:sz="8" w:space="0" w:color="auto"/>
        <w:right w:val="single" w:sz="8" w:space="0" w:color="auto"/>
      </w:pBdr>
      <w:spacing w:before="100" w:beforeAutospacing="1" w:after="100" w:afterAutospacing="1" w:line="360" w:lineRule="auto"/>
      <w:jc w:val="center"/>
      <w:textAlignment w:val="center"/>
    </w:pPr>
    <w:rPr>
      <w:rFonts w:ascii="宋体" w:hAnsi="宋体" w:cs="宋体"/>
      <w:color w:val="FF0000"/>
      <w:sz w:val="24"/>
    </w:rPr>
  </w:style>
  <w:style w:type="paragraph" w:customStyle="1" w:styleId="219">
    <w:name w:val="正文文本缩进 21"/>
    <w:basedOn w:val="a9"/>
    <w:qFormat/>
    <w:pPr>
      <w:widowControl/>
      <w:autoSpaceDE w:val="0"/>
      <w:autoSpaceDN w:val="0"/>
      <w:adjustRightInd w:val="0"/>
      <w:spacing w:line="360" w:lineRule="auto"/>
      <w:ind w:firstLineChars="200" w:firstLine="570"/>
      <w:jc w:val="left"/>
      <w:textAlignment w:val="baseline"/>
    </w:pPr>
    <w:rPr>
      <w:rFonts w:ascii="宋体" w:eastAsia="仿宋_GB2312" w:hAnsi="Tms Rmn" w:cs="宋体"/>
      <w:spacing w:val="4"/>
      <w:sz w:val="28"/>
      <w:lang w:bidi="ne-NP"/>
    </w:rPr>
  </w:style>
  <w:style w:type="paragraph" w:customStyle="1" w:styleId="xl35">
    <w:name w:val="xl3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rPr>
  </w:style>
  <w:style w:type="paragraph" w:customStyle="1" w:styleId="-">
    <w:name w:val="一级标题-预案"/>
    <w:basedOn w:val="a9"/>
    <w:qFormat/>
    <w:pPr>
      <w:numPr>
        <w:numId w:val="6"/>
      </w:numPr>
      <w:adjustRightInd w:val="0"/>
      <w:snapToGrid w:val="0"/>
      <w:spacing w:beforeLines="50" w:afterLines="50" w:line="360" w:lineRule="auto"/>
      <w:outlineLvl w:val="0"/>
    </w:pPr>
    <w:rPr>
      <w:rFonts w:eastAsia="黑体"/>
      <w:b/>
      <w:sz w:val="32"/>
      <w:szCs w:val="32"/>
    </w:rPr>
  </w:style>
  <w:style w:type="paragraph" w:customStyle="1" w:styleId="01815">
    <w:name w:val="样式 (中文) 黑体 小四 加粗 黑色 居中 右侧:  0.18 厘米 行距: 1.5 倍行距"/>
    <w:basedOn w:val="a9"/>
    <w:qFormat/>
    <w:pPr>
      <w:spacing w:line="360" w:lineRule="auto"/>
      <w:ind w:right="102"/>
      <w:jc w:val="center"/>
    </w:pPr>
    <w:rPr>
      <w:rFonts w:eastAsia="黑体" w:cs="宋体"/>
      <w:b/>
      <w:bCs/>
      <w:color w:val="000000"/>
      <w:sz w:val="24"/>
    </w:rPr>
  </w:style>
  <w:style w:type="paragraph" w:customStyle="1" w:styleId="CharChar1CharCharCharCharCharCharCharCharCharChar5">
    <w:name w:val="Char Char1 Char Char Char Char Char Char Char Char Char Char5"/>
    <w:basedOn w:val="a9"/>
    <w:pPr>
      <w:spacing w:line="360" w:lineRule="auto"/>
      <w:ind w:firstLineChars="200" w:firstLine="200"/>
    </w:pPr>
    <w:rPr>
      <w:rFonts w:ascii="宋体" w:hAnsi="宋体" w:cs="宋体"/>
      <w:sz w:val="24"/>
    </w:rPr>
  </w:style>
  <w:style w:type="paragraph" w:customStyle="1" w:styleId="101">
    <w:name w:val="样式 标题 1 + 加粗 首行缩进:  0 厘米"/>
    <w:basedOn w:val="1"/>
    <w:qFormat/>
    <w:pPr>
      <w:pageBreakBefore w:val="0"/>
      <w:widowControl/>
      <w:numPr>
        <w:numId w:val="0"/>
      </w:numPr>
      <w:tabs>
        <w:tab w:val="left" w:pos="1800"/>
      </w:tabs>
      <w:spacing w:beforeLines="200" w:after="360" w:line="480" w:lineRule="atLeast"/>
      <w:jc w:val="center"/>
    </w:pPr>
    <w:rPr>
      <w:rFonts w:cs="宋体"/>
      <w:b w:val="0"/>
      <w:bCs/>
      <w:sz w:val="44"/>
      <w:szCs w:val="44"/>
    </w:rPr>
  </w:style>
  <w:style w:type="paragraph" w:customStyle="1" w:styleId="xl33">
    <w:name w:val="xl3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eastAsia="Arial Unicode MS" w:hAnsi="Courier New" w:cs="Courier New"/>
      <w:sz w:val="22"/>
      <w:szCs w:val="22"/>
    </w:rPr>
  </w:style>
  <w:style w:type="paragraph" w:customStyle="1" w:styleId="afffffffffffffffff1">
    <w:name w:val="图名"/>
    <w:basedOn w:val="a9"/>
    <w:qFormat/>
    <w:pPr>
      <w:spacing w:beforeLines="20" w:before="62" w:afterLines="20" w:after="62" w:line="440" w:lineRule="exact"/>
      <w:jc w:val="center"/>
    </w:pPr>
    <w:rPr>
      <w:b/>
      <w:bCs/>
      <w:sz w:val="24"/>
    </w:rPr>
  </w:style>
  <w:style w:type="paragraph" w:customStyle="1" w:styleId="Char170">
    <w:name w:val="Char17"/>
    <w:basedOn w:val="a9"/>
    <w:qFormat/>
  </w:style>
  <w:style w:type="paragraph" w:customStyle="1" w:styleId="afffffffffffffffff2">
    <w:name w:val="表题"/>
    <w:basedOn w:val="a9"/>
    <w:qFormat/>
    <w:pPr>
      <w:widowControl/>
      <w:topLinePunct/>
      <w:adjustRightInd w:val="0"/>
      <w:spacing w:before="72" w:afterLines="30" w:line="440" w:lineRule="exact"/>
      <w:ind w:firstLine="480"/>
      <w:jc w:val="center"/>
      <w:textAlignment w:val="baseline"/>
    </w:pPr>
    <w:rPr>
      <w:rFonts w:ascii="黑体" w:eastAsia="黑体" w:hAnsi="宋体"/>
      <w:sz w:val="24"/>
    </w:rPr>
  </w:style>
  <w:style w:type="paragraph" w:customStyle="1" w:styleId="xl76">
    <w:name w:val="xl76"/>
    <w:basedOn w:val="a9"/>
    <w:qFormat/>
    <w:pPr>
      <w:widowControl/>
      <w:spacing w:before="100" w:after="100"/>
      <w:jc w:val="center"/>
    </w:pPr>
    <w:rPr>
      <w:rFonts w:ascii="Arial" w:hAnsi="Arial"/>
      <w:sz w:val="28"/>
    </w:rPr>
  </w:style>
  <w:style w:type="paragraph" w:customStyle="1" w:styleId="xl187">
    <w:name w:val="xl187"/>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lang w:bidi="ne-NP"/>
    </w:rPr>
  </w:style>
  <w:style w:type="paragraph" w:customStyle="1" w:styleId="TimesNewRomanGB2312">
    <w:name w:val="样式 表格标题新 + (西文) Times New Roman (中文) 仿宋_GB2312 黑色"/>
    <w:basedOn w:val="affffffff8"/>
    <w:qFormat/>
    <w:pPr>
      <w:spacing w:beforeLines="0" w:line="500" w:lineRule="exact"/>
      <w:ind w:firstLine="480"/>
    </w:pPr>
    <w:rPr>
      <w:rFonts w:ascii="Times New Roman" w:hAnsi="黑体"/>
      <w:bCs/>
    </w:rPr>
  </w:style>
  <w:style w:type="paragraph" w:customStyle="1" w:styleId="102">
    <w:name w:val="样式10"/>
    <w:basedOn w:val="4"/>
    <w:qFormat/>
    <w:pPr>
      <w:numPr>
        <w:ilvl w:val="0"/>
        <w:numId w:val="0"/>
      </w:numPr>
      <w:tabs>
        <w:tab w:val="left" w:pos="0"/>
        <w:tab w:val="left" w:pos="480"/>
        <w:tab w:val="left" w:pos="596"/>
        <w:tab w:val="left" w:pos="851"/>
        <w:tab w:val="left" w:pos="1567"/>
      </w:tabs>
      <w:ind w:left="142"/>
    </w:pPr>
    <w:rPr>
      <w:lang w:bidi="ne-NP"/>
    </w:rPr>
  </w:style>
  <w:style w:type="paragraph" w:customStyle="1" w:styleId="CharCharCharCharCharCharCharCharCharChar2">
    <w:name w:val="Char Char Char Char Char Char Char Char Char Char2"/>
    <w:basedOn w:val="a9"/>
    <w:qFormat/>
    <w:pPr>
      <w:widowControl/>
    </w:pPr>
    <w:rPr>
      <w:rFonts w:cs="宋体"/>
      <w:sz w:val="24"/>
      <w:lang w:bidi="ne-NP"/>
    </w:rPr>
  </w:style>
  <w:style w:type="paragraph" w:customStyle="1" w:styleId="Char420">
    <w:name w:val="Char42"/>
    <w:basedOn w:val="a9"/>
    <w:qFormat/>
    <w:pPr>
      <w:widowControl/>
      <w:spacing w:line="360" w:lineRule="auto"/>
      <w:ind w:firstLineChars="200" w:firstLine="200"/>
    </w:pPr>
    <w:rPr>
      <w:rFonts w:ascii="宋体" w:hAnsi="宋体" w:cs="宋体"/>
      <w:sz w:val="24"/>
      <w:lang w:bidi="ne-NP"/>
    </w:rPr>
  </w:style>
  <w:style w:type="paragraph" w:customStyle="1" w:styleId="-2">
    <w:name w:val="四级标题-预案"/>
    <w:basedOn w:val="a9"/>
    <w:qFormat/>
    <w:pPr>
      <w:numPr>
        <w:ilvl w:val="3"/>
        <w:numId w:val="6"/>
      </w:numPr>
      <w:adjustRightInd w:val="0"/>
      <w:snapToGrid w:val="0"/>
      <w:spacing w:line="360" w:lineRule="auto"/>
      <w:outlineLvl w:val="3"/>
    </w:pPr>
    <w:rPr>
      <w:b/>
      <w:sz w:val="24"/>
    </w:rPr>
  </w:style>
  <w:style w:type="paragraph" w:customStyle="1" w:styleId="xl191">
    <w:name w:val="xl191"/>
    <w:basedOn w:val="a9"/>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4f5">
    <w:name w:val="样式 标题 4 + 宋体"/>
    <w:basedOn w:val="4"/>
    <w:semiHidden/>
    <w:qFormat/>
    <w:pPr>
      <w:keepNext/>
      <w:keepLines/>
      <w:numPr>
        <w:ilvl w:val="0"/>
        <w:numId w:val="0"/>
      </w:numPr>
      <w:spacing w:after="0" w:line="240" w:lineRule="auto"/>
    </w:pPr>
    <w:rPr>
      <w:rFonts w:ascii="宋体" w:hAnsi="宋体"/>
      <w:b w:val="0"/>
      <w:bCs/>
      <w:sz w:val="28"/>
      <w:szCs w:val="28"/>
    </w:rPr>
  </w:style>
  <w:style w:type="paragraph" w:customStyle="1" w:styleId="Char130">
    <w:name w:val="Char13"/>
    <w:basedOn w:val="a9"/>
    <w:qFormat/>
    <w:pPr>
      <w:widowControl/>
    </w:pPr>
    <w:rPr>
      <w:rFonts w:cs="宋体"/>
      <w:sz w:val="24"/>
      <w:lang w:bidi="ne-NP"/>
    </w:rPr>
  </w:style>
  <w:style w:type="paragraph" w:customStyle="1" w:styleId="xl556">
    <w:name w:val="xl556"/>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sz w:val="18"/>
      <w:szCs w:val="18"/>
      <w:lang w:bidi="ne-NP"/>
    </w:rPr>
  </w:style>
  <w:style w:type="paragraph" w:customStyle="1" w:styleId="2ffb">
    <w:name w:val="环科院标题2"/>
    <w:basedOn w:val="2"/>
    <w:qFormat/>
    <w:pPr>
      <w:keepNext/>
      <w:keepLines w:val="0"/>
      <w:numPr>
        <w:ilvl w:val="0"/>
        <w:numId w:val="0"/>
      </w:numPr>
      <w:pBdr>
        <w:bottom w:val="none" w:sz="0" w:space="0" w:color="auto"/>
      </w:pBdr>
      <w:tabs>
        <w:tab w:val="left" w:pos="1080"/>
      </w:tabs>
      <w:spacing w:beforeLines="50" w:before="1200" w:afterLines="50" w:line="360" w:lineRule="auto"/>
      <w:ind w:left="567" w:hanging="567"/>
    </w:pPr>
    <w:rPr>
      <w:rFonts w:eastAsia="华文中宋"/>
      <w:b w:val="0"/>
      <w:bCs/>
      <w:color w:val="000000"/>
      <w:sz w:val="44"/>
      <w:szCs w:val="32"/>
    </w:rPr>
  </w:style>
  <w:style w:type="paragraph" w:customStyle="1" w:styleId="226">
    <w:name w:val="样式 样式 首行缩进:  2 字符 + 首行缩进:  2 字符"/>
    <w:basedOn w:val="a9"/>
    <w:qFormat/>
    <w:pPr>
      <w:widowControl/>
      <w:spacing w:line="480" w:lineRule="exact"/>
      <w:ind w:firstLineChars="200" w:firstLine="200"/>
    </w:pPr>
    <w:rPr>
      <w:rFonts w:cs="宋体"/>
      <w:sz w:val="24"/>
      <w:lang w:bidi="ne-NP"/>
    </w:rPr>
  </w:style>
  <w:style w:type="paragraph" w:customStyle="1" w:styleId="xl582">
    <w:name w:val="xl582"/>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Char250">
    <w:name w:val="Char25"/>
    <w:basedOn w:val="a9"/>
    <w:qFormat/>
    <w:pPr>
      <w:spacing w:line="360" w:lineRule="auto"/>
      <w:jc w:val="left"/>
    </w:pPr>
    <w:rPr>
      <w:rFonts w:ascii="宋体" w:hAnsi="宋体" w:cs="宋体"/>
      <w:sz w:val="24"/>
    </w:rPr>
  </w:style>
  <w:style w:type="paragraph" w:customStyle="1" w:styleId="CharChar1Char8">
    <w:name w:val="Char Char1 Char8"/>
    <w:basedOn w:val="a9"/>
    <w:pPr>
      <w:spacing w:line="360" w:lineRule="auto"/>
      <w:ind w:firstLineChars="200" w:firstLine="200"/>
    </w:pPr>
    <w:rPr>
      <w:rFonts w:ascii="宋体" w:hAnsi="宋体" w:cs="宋体"/>
      <w:sz w:val="24"/>
    </w:rPr>
  </w:style>
  <w:style w:type="paragraph" w:customStyle="1" w:styleId="1000111">
    <w:name w:val="1000111表格式"/>
    <w:basedOn w:val="afffffffff0"/>
    <w:semiHidden/>
    <w:qFormat/>
    <w:pPr>
      <w:spacing w:before="240" w:after="120" w:line="240" w:lineRule="auto"/>
      <w:ind w:firstLineChars="0" w:firstLine="0"/>
      <w:jc w:val="center"/>
    </w:pPr>
    <w:rPr>
      <w:rFonts w:cs="宋体"/>
      <w:sz w:val="22"/>
    </w:rPr>
  </w:style>
  <w:style w:type="paragraph" w:customStyle="1" w:styleId="afffffffffffffffff3">
    <w:name w:val="插表名称"/>
    <w:basedOn w:val="afffffffffff7"/>
    <w:qFormat/>
    <w:rPr>
      <w:rFonts w:ascii="Times New Roman"/>
    </w:rPr>
  </w:style>
  <w:style w:type="paragraph" w:customStyle="1" w:styleId="TOC1">
    <w:name w:val="TOC 标题1"/>
    <w:basedOn w:val="1"/>
    <w:next w:val="a9"/>
    <w:uiPriority w:val="39"/>
    <w:unhideWhenUsed/>
    <w:qFormat/>
    <w:pPr>
      <w:pageBreakBefore w:val="0"/>
      <w:widowControl/>
      <w:numPr>
        <w:numId w:val="0"/>
      </w:numPr>
      <w:spacing w:before="480" w:after="0" w:line="276" w:lineRule="auto"/>
      <w:jc w:val="left"/>
      <w:outlineLvl w:val="9"/>
    </w:pPr>
    <w:rPr>
      <w:rFonts w:ascii="Cambria" w:hAnsi="Cambria"/>
      <w:bCs/>
      <w:color w:val="365F91"/>
      <w:kern w:val="0"/>
      <w:sz w:val="28"/>
      <w:szCs w:val="28"/>
    </w:rPr>
  </w:style>
  <w:style w:type="paragraph" w:customStyle="1" w:styleId="xl577">
    <w:name w:val="xl577"/>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afffffffffffffffff4">
    <w:name w:val="表字小五"/>
    <w:basedOn w:val="a9"/>
    <w:qFormat/>
    <w:pPr>
      <w:widowControl/>
      <w:autoSpaceDE w:val="0"/>
      <w:autoSpaceDN w:val="0"/>
      <w:adjustRightInd w:val="0"/>
      <w:snapToGrid w:val="0"/>
      <w:spacing w:beforeLines="10" w:afterLines="10"/>
      <w:jc w:val="center"/>
      <w:textAlignment w:val="bottom"/>
    </w:pPr>
    <w:rPr>
      <w:rFonts w:cs="宋体"/>
      <w:sz w:val="18"/>
      <w:szCs w:val="18"/>
      <w:lang w:bidi="ne-NP"/>
    </w:rPr>
  </w:style>
  <w:style w:type="paragraph" w:customStyle="1" w:styleId="xl74">
    <w:name w:val="xl7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color w:val="000000"/>
    </w:rPr>
  </w:style>
  <w:style w:type="paragraph" w:customStyle="1" w:styleId="afffffffffffffffff5">
    <w:name w:val="英方字母"/>
    <w:basedOn w:val="a9"/>
    <w:qFormat/>
    <w:pPr>
      <w:widowControl/>
      <w:tabs>
        <w:tab w:val="left" w:pos="360"/>
      </w:tabs>
      <w:autoSpaceDE w:val="0"/>
      <w:autoSpaceDN w:val="0"/>
      <w:adjustRightInd w:val="0"/>
      <w:spacing w:line="360" w:lineRule="auto"/>
    </w:pPr>
    <w:rPr>
      <w:rFonts w:ascii="Bookman Old Style" w:hAnsi="Bookman Old Style" w:cs="Arial"/>
      <w:sz w:val="24"/>
      <w:lang w:bidi="ne-NP"/>
    </w:rPr>
  </w:style>
  <w:style w:type="paragraph" w:customStyle="1" w:styleId="afffffffffffffffff6">
    <w:name w:val="段标"/>
    <w:basedOn w:val="a9"/>
    <w:qFormat/>
    <w:pPr>
      <w:widowControl/>
      <w:adjustRightInd w:val="0"/>
      <w:spacing w:line="360" w:lineRule="auto"/>
      <w:jc w:val="left"/>
      <w:textAlignment w:val="baseline"/>
    </w:pPr>
    <w:rPr>
      <w:sz w:val="28"/>
    </w:rPr>
  </w:style>
  <w:style w:type="paragraph" w:customStyle="1" w:styleId="GB231224">
    <w:name w:val="样式 楷体_GB2312 四号 行距: 固定值 24 磅"/>
    <w:basedOn w:val="a9"/>
    <w:qFormat/>
    <w:pPr>
      <w:widowControl/>
      <w:spacing w:line="300" w:lineRule="auto"/>
      <w:ind w:firstLineChars="200" w:firstLine="200"/>
    </w:pPr>
    <w:rPr>
      <w:rFonts w:ascii="楷体_GB2312" w:eastAsia="楷体_GB2312" w:cs="宋体"/>
      <w:sz w:val="28"/>
      <w:lang w:bidi="ne-NP"/>
    </w:rPr>
  </w:style>
  <w:style w:type="paragraph" w:customStyle="1" w:styleId="Char1CharCharChar2">
    <w:name w:val="Char1 Char Char Char2"/>
    <w:basedOn w:val="a9"/>
    <w:qFormat/>
    <w:pPr>
      <w:widowControl/>
      <w:spacing w:after="160" w:line="240" w:lineRule="exact"/>
      <w:jc w:val="left"/>
    </w:pPr>
    <w:rPr>
      <w:rFonts w:ascii="Arial" w:eastAsia="Times New Roman" w:hAnsi="Arial" w:cs="Verdana"/>
      <w:b/>
      <w:sz w:val="24"/>
      <w:lang w:eastAsia="en-US" w:bidi="ne-NP"/>
    </w:rPr>
  </w:style>
  <w:style w:type="paragraph" w:customStyle="1" w:styleId="xl42">
    <w:name w:val="xl4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CharCharCharChar16">
    <w:name w:val="Char Char Char Char16"/>
    <w:basedOn w:val="3"/>
    <w:pPr>
      <w:keepNext/>
      <w:keepLines/>
      <w:numPr>
        <w:ilvl w:val="0"/>
        <w:numId w:val="0"/>
      </w:numPr>
      <w:tabs>
        <w:tab w:val="left" w:pos="360"/>
        <w:tab w:val="left" w:pos="900"/>
      </w:tabs>
      <w:spacing w:before="120" w:after="120"/>
      <w:ind w:leftChars="-12" w:left="542" w:firstLineChars="200" w:firstLine="200"/>
    </w:pPr>
    <w:rPr>
      <w:b w:val="0"/>
      <w:snapToGrid w:val="0"/>
      <w:szCs w:val="24"/>
    </w:rPr>
  </w:style>
  <w:style w:type="paragraph" w:customStyle="1" w:styleId="2ffc">
    <w:name w:val="无间隔2"/>
    <w:uiPriority w:val="1"/>
    <w:qFormat/>
    <w:pPr>
      <w:widowControl w:val="0"/>
      <w:tabs>
        <w:tab w:val="left" w:pos="1263"/>
      </w:tabs>
      <w:adjustRightInd w:val="0"/>
      <w:snapToGrid w:val="0"/>
      <w:spacing w:line="360" w:lineRule="auto"/>
      <w:ind w:firstLineChars="200" w:firstLine="480"/>
      <w:jc w:val="both"/>
    </w:pPr>
    <w:rPr>
      <w:kern w:val="2"/>
      <w:sz w:val="24"/>
      <w:szCs w:val="18"/>
    </w:rPr>
  </w:style>
  <w:style w:type="paragraph" w:customStyle="1" w:styleId="85">
    <w:name w:val="样式8"/>
    <w:basedOn w:val="a9"/>
    <w:qFormat/>
    <w:pPr>
      <w:spacing w:beforeLines="50" w:afterLines="50" w:line="360" w:lineRule="auto"/>
      <w:ind w:firstLine="573"/>
    </w:pPr>
    <w:rPr>
      <w:rFonts w:ascii="Arial" w:hAnsi="Arial" w:cs="Arial"/>
      <w:color w:val="000000"/>
      <w:sz w:val="24"/>
    </w:rPr>
  </w:style>
  <w:style w:type="paragraph" w:customStyle="1" w:styleId="xl43">
    <w:name w:val="xl4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2"/>
      <w:szCs w:val="22"/>
    </w:rPr>
  </w:style>
  <w:style w:type="paragraph" w:customStyle="1" w:styleId="afffffffffffffffff7">
    <w:name w:val="备注"/>
    <w:basedOn w:val="a9"/>
    <w:qFormat/>
    <w:pPr>
      <w:widowControl/>
      <w:ind w:firstLineChars="200" w:firstLine="420"/>
    </w:pPr>
    <w:rPr>
      <w:rFonts w:cs="宋体"/>
      <w:sz w:val="18"/>
      <w:lang w:bidi="ne-NP"/>
    </w:rPr>
  </w:style>
  <w:style w:type="paragraph" w:customStyle="1" w:styleId="ParaCharCharCharCharCharCharCharCharCharCharChar">
    <w:name w:val="默认段落字体 Para Char Char Char Char Char Char Char Char Char Char Char"/>
    <w:basedOn w:val="3"/>
    <w:qFormat/>
    <w:pPr>
      <w:numPr>
        <w:ilvl w:val="0"/>
        <w:numId w:val="0"/>
      </w:numPr>
      <w:tabs>
        <w:tab w:val="left" w:pos="360"/>
        <w:tab w:val="left" w:pos="900"/>
      </w:tabs>
      <w:spacing w:before="120" w:after="120"/>
      <w:ind w:leftChars="-12" w:left="542" w:firstLineChars="200" w:firstLine="200"/>
    </w:pPr>
    <w:rPr>
      <w:rFonts w:ascii="楷体_GB2312"/>
      <w:b w:val="0"/>
      <w:snapToGrid w:val="0"/>
      <w:color w:val="FF0000"/>
      <w:szCs w:val="24"/>
    </w:rPr>
  </w:style>
  <w:style w:type="paragraph" w:customStyle="1" w:styleId="Puce1-8pts">
    <w:name w:val="Puce1-8 pts"/>
    <w:basedOn w:val="puce1-3pts"/>
    <w:qFormat/>
    <w:pPr>
      <w:keepLines/>
      <w:tabs>
        <w:tab w:val="left" w:pos="851"/>
      </w:tabs>
      <w:spacing w:before="160"/>
      <w:ind w:left="851" w:hanging="851"/>
    </w:pPr>
    <w:rPr>
      <w:lang w:eastAsia="zh-CN"/>
    </w:rPr>
  </w:style>
  <w:style w:type="paragraph" w:customStyle="1" w:styleId="afffffffffffffffff8">
    <w:name w:val="图形"/>
    <w:basedOn w:val="aa"/>
    <w:qFormat/>
    <w:pPr>
      <w:widowControl/>
      <w:adjustRightInd w:val="0"/>
      <w:snapToGrid w:val="0"/>
      <w:spacing w:after="60" w:line="348" w:lineRule="auto"/>
      <w:ind w:firstLineChars="200" w:firstLine="0"/>
      <w:jc w:val="left"/>
      <w:textAlignment w:val="baseline"/>
    </w:pPr>
    <w:rPr>
      <w:rFonts w:ascii="宋体" w:eastAsia="楷体_GB2312"/>
      <w:spacing w:val="8"/>
      <w:sz w:val="28"/>
    </w:rPr>
  </w:style>
  <w:style w:type="paragraph" w:customStyle="1" w:styleId="CharChar3CharCharCharChar1">
    <w:name w:val="Char Char3 Char Char Char Char1"/>
    <w:basedOn w:val="a9"/>
    <w:qFormat/>
    <w:rPr>
      <w:rFonts w:cs="宋体"/>
      <w:sz w:val="24"/>
    </w:rPr>
  </w:style>
  <w:style w:type="paragraph" w:customStyle="1" w:styleId="5e">
    <w:name w:val="表格（5号）"/>
    <w:basedOn w:val="a9"/>
    <w:qFormat/>
    <w:pPr>
      <w:spacing w:line="360" w:lineRule="exact"/>
      <w:ind w:left="-113" w:right="-113"/>
      <w:jc w:val="center"/>
    </w:pPr>
    <w:rPr>
      <w:rFonts w:ascii="宋体" w:hAnsi="宋体" w:cs="Courier New"/>
      <w:color w:val="000000"/>
      <w:sz w:val="18"/>
    </w:rPr>
  </w:style>
  <w:style w:type="paragraph" w:customStyle="1" w:styleId="xl55">
    <w:name w:val="xl55"/>
    <w:basedOn w:val="a9"/>
    <w:qFormat/>
    <w:pPr>
      <w:widowControl/>
      <w:pBdr>
        <w:top w:val="single" w:sz="4" w:space="0" w:color="auto"/>
        <w:left w:val="single" w:sz="4" w:space="0" w:color="auto"/>
      </w:pBdr>
      <w:spacing w:before="100" w:beforeAutospacing="1" w:after="100" w:afterAutospacing="1"/>
      <w:jc w:val="center"/>
    </w:pPr>
    <w:rPr>
      <w:rFonts w:ascii="宋体" w:hAnsi="宋体" w:cs="宋体"/>
      <w:sz w:val="18"/>
      <w:szCs w:val="18"/>
      <w:lang w:bidi="ne-NP"/>
    </w:rPr>
  </w:style>
  <w:style w:type="paragraph" w:customStyle="1" w:styleId="CharCharCharChar9">
    <w:name w:val="Char Char Char Char9"/>
    <w:basedOn w:val="a9"/>
    <w:semiHidden/>
    <w:qFormat/>
    <w:pPr>
      <w:widowControl/>
    </w:pPr>
    <w:rPr>
      <w:rFonts w:cs="宋体"/>
      <w:sz w:val="24"/>
      <w:lang w:bidi="ne-NP"/>
    </w:rPr>
  </w:style>
  <w:style w:type="paragraph" w:customStyle="1" w:styleId="afffffffffffffffff9">
    <w:name w:val="图标题"/>
    <w:basedOn w:val="a9"/>
    <w:qFormat/>
    <w:pPr>
      <w:widowControl/>
      <w:topLinePunct/>
      <w:adjustRightInd w:val="0"/>
      <w:spacing w:line="360" w:lineRule="auto"/>
      <w:jc w:val="center"/>
      <w:textAlignment w:val="baseline"/>
    </w:pPr>
    <w:rPr>
      <w:b/>
      <w:sz w:val="24"/>
    </w:rPr>
  </w:style>
  <w:style w:type="paragraph" w:customStyle="1" w:styleId="xl184">
    <w:name w:val="xl184"/>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p19">
    <w:name w:val="p19"/>
    <w:basedOn w:val="a9"/>
    <w:qFormat/>
    <w:pPr>
      <w:widowControl/>
      <w:spacing w:before="100" w:beforeAutospacing="1" w:after="100" w:afterAutospacing="1"/>
    </w:pPr>
    <w:rPr>
      <w:rFonts w:cs="宋体"/>
      <w:sz w:val="24"/>
    </w:rPr>
  </w:style>
  <w:style w:type="paragraph" w:customStyle="1" w:styleId="afffffffffffffffffa">
    <w:name w:val="表名"/>
    <w:basedOn w:val="a9"/>
    <w:qFormat/>
    <w:pPr>
      <w:widowControl/>
      <w:topLinePunct/>
      <w:adjustRightInd w:val="0"/>
      <w:snapToGrid w:val="0"/>
      <w:spacing w:line="360" w:lineRule="auto"/>
      <w:jc w:val="center"/>
    </w:pPr>
    <w:rPr>
      <w:rFonts w:eastAsia="楷体_GB2312"/>
      <w:szCs w:val="21"/>
    </w:rPr>
  </w:style>
  <w:style w:type="paragraph" w:customStyle="1" w:styleId="2ffd">
    <w:name w:val="样式 首行缩进:  2 字符"/>
    <w:basedOn w:val="a9"/>
    <w:qFormat/>
    <w:pPr>
      <w:spacing w:beforeLines="50" w:afterLines="50" w:line="360" w:lineRule="auto"/>
      <w:ind w:firstLineChars="200" w:firstLine="200"/>
    </w:pPr>
    <w:rPr>
      <w:rFonts w:cs="宋体"/>
      <w:sz w:val="24"/>
    </w:rPr>
  </w:style>
  <w:style w:type="paragraph" w:customStyle="1" w:styleId="xl553">
    <w:name w:val="xl553"/>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color w:val="000000"/>
      <w:sz w:val="18"/>
      <w:szCs w:val="18"/>
      <w:lang w:bidi="ne-NP"/>
    </w:rPr>
  </w:style>
  <w:style w:type="paragraph" w:customStyle="1" w:styleId="p9copy">
    <w:name w:val="p9copy"/>
    <w:basedOn w:val="a9"/>
    <w:semiHidden/>
    <w:qFormat/>
    <w:pPr>
      <w:widowControl/>
      <w:adjustRightInd w:val="0"/>
      <w:spacing w:before="100" w:beforeAutospacing="1" w:after="100" w:afterAutospacing="1" w:line="360" w:lineRule="auto"/>
      <w:ind w:firstLineChars="200" w:firstLine="576"/>
      <w:jc w:val="left"/>
    </w:pPr>
    <w:rPr>
      <w:rFonts w:ascii="宋体" w:eastAsia="仿宋_GB2312" w:hAnsi="Arial Unicode MS" w:cs="Arial Unicode MS" w:hint="eastAsia"/>
      <w:color w:val="000000"/>
      <w:spacing w:val="4"/>
      <w:sz w:val="18"/>
      <w:szCs w:val="18"/>
      <w:lang w:bidi="ne-NP"/>
    </w:rPr>
  </w:style>
  <w:style w:type="paragraph" w:customStyle="1" w:styleId="reader-word-layerreader-word-s1-2">
    <w:name w:val="reader-word-layer reader-word-s1-2"/>
    <w:basedOn w:val="a9"/>
    <w:qFormat/>
    <w:pPr>
      <w:widowControl/>
      <w:spacing w:before="100" w:beforeAutospacing="1" w:after="100" w:afterAutospacing="1"/>
      <w:jc w:val="left"/>
    </w:pPr>
    <w:rPr>
      <w:rFonts w:ascii="宋体" w:hAnsi="宋体" w:cs="宋体"/>
      <w:sz w:val="24"/>
      <w:lang w:bidi="ne-NP"/>
    </w:rPr>
  </w:style>
  <w:style w:type="paragraph" w:customStyle="1" w:styleId="afffffffffffffffffb">
    <w:name w:val="正文楷体"/>
    <w:basedOn w:val="a9"/>
    <w:qFormat/>
    <w:pPr>
      <w:spacing w:line="360" w:lineRule="auto"/>
    </w:pPr>
    <w:rPr>
      <w:rFonts w:eastAsia="楷体_GB2312"/>
    </w:rPr>
  </w:style>
  <w:style w:type="paragraph" w:customStyle="1" w:styleId="PSPSPSPS">
    <w:name w:val="PSPSPSPS"/>
    <w:basedOn w:val="a9"/>
    <w:qFormat/>
    <w:pPr>
      <w:adjustRightInd w:val="0"/>
      <w:spacing w:line="600" w:lineRule="atLeast"/>
      <w:textAlignment w:val="baseline"/>
    </w:pPr>
    <w:rPr>
      <w:sz w:val="28"/>
    </w:rPr>
  </w:style>
  <w:style w:type="paragraph" w:customStyle="1" w:styleId="3ff4">
    <w:name w:val="纯文本3"/>
    <w:basedOn w:val="a9"/>
    <w:qFormat/>
    <w:pPr>
      <w:autoSpaceDE w:val="0"/>
      <w:autoSpaceDN w:val="0"/>
      <w:adjustRightInd w:val="0"/>
      <w:spacing w:line="360" w:lineRule="auto"/>
      <w:textAlignment w:val="baseline"/>
    </w:pPr>
    <w:rPr>
      <w:rFonts w:ascii="宋体" w:hAnsi="Tms Rmn"/>
    </w:rPr>
  </w:style>
  <w:style w:type="paragraph" w:customStyle="1" w:styleId="afffffffffffffffffc">
    <w:name w:val="样式 (符号) 宋体 居中 行距: 单倍行距"/>
    <w:basedOn w:val="a9"/>
    <w:uiPriority w:val="99"/>
    <w:qFormat/>
    <w:pPr>
      <w:widowControl/>
      <w:spacing w:line="360" w:lineRule="auto"/>
      <w:jc w:val="center"/>
      <w:textAlignment w:val="baseline"/>
    </w:pPr>
    <w:rPr>
      <w:rFonts w:cs="宋体"/>
      <w:color w:val="000000"/>
      <w:u w:color="000000"/>
    </w:rPr>
  </w:style>
  <w:style w:type="paragraph" w:customStyle="1" w:styleId="xl190">
    <w:name w:val="xl190"/>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lang w:bidi="ne-NP"/>
    </w:rPr>
  </w:style>
  <w:style w:type="paragraph" w:customStyle="1" w:styleId="afffffffffffffffffd">
    <w:name w:val="样式 君邦正文 + 黑色"/>
    <w:basedOn w:val="affff7"/>
    <w:qFormat/>
    <w:rPr>
      <w:bCs w:val="0"/>
      <w:color w:val="000000"/>
    </w:rPr>
  </w:style>
  <w:style w:type="paragraph" w:customStyle="1" w:styleId="1CharCharCharChar1Char">
    <w:name w:val="正文1 Char Char Char Char1 Char"/>
    <w:basedOn w:val="a9"/>
    <w:qFormat/>
    <w:pPr>
      <w:widowControl/>
      <w:suppressLineNumbers/>
      <w:suppressAutoHyphens/>
      <w:topLinePunct/>
      <w:adjustRightInd w:val="0"/>
      <w:snapToGrid w:val="0"/>
      <w:spacing w:line="360" w:lineRule="auto"/>
      <w:ind w:firstLineChars="200" w:firstLine="480"/>
    </w:pPr>
    <w:rPr>
      <w:rFonts w:cs="宋体"/>
      <w:sz w:val="24"/>
      <w:lang w:bidi="ne-NP"/>
    </w:rPr>
  </w:style>
  <w:style w:type="paragraph" w:customStyle="1" w:styleId="-7">
    <w:name w:val="报告书-正文"/>
    <w:basedOn w:val="a9"/>
    <w:qFormat/>
    <w:pPr>
      <w:spacing w:after="60" w:line="360" w:lineRule="auto"/>
      <w:ind w:firstLineChars="200" w:firstLine="480"/>
    </w:pPr>
    <w:rPr>
      <w:rFonts w:cs="宋体"/>
      <w:sz w:val="24"/>
    </w:rPr>
  </w:style>
  <w:style w:type="paragraph" w:customStyle="1" w:styleId="3-1">
    <w:name w:val="标题 3-1"/>
    <w:basedOn w:val="3"/>
    <w:qFormat/>
    <w:pPr>
      <w:keepNext/>
      <w:keepLines/>
      <w:widowControl/>
      <w:numPr>
        <w:ilvl w:val="0"/>
        <w:numId w:val="0"/>
      </w:numPr>
      <w:tabs>
        <w:tab w:val="left" w:pos="0"/>
        <w:tab w:val="left" w:pos="862"/>
        <w:tab w:val="left" w:pos="1567"/>
      </w:tabs>
      <w:adjustRightInd w:val="0"/>
      <w:snapToGrid/>
      <w:spacing w:before="120" w:after="120" w:line="500" w:lineRule="exact"/>
      <w:ind w:firstLineChars="200" w:firstLine="200"/>
    </w:pPr>
    <w:rPr>
      <w:rFonts w:cs="宋体"/>
      <w:b w:val="0"/>
      <w:sz w:val="28"/>
      <w:lang w:bidi="ne-NP"/>
    </w:rPr>
  </w:style>
  <w:style w:type="paragraph" w:customStyle="1" w:styleId="xl584">
    <w:name w:val="xl584"/>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color w:val="000000"/>
      <w:sz w:val="18"/>
      <w:szCs w:val="18"/>
      <w:lang w:bidi="ne-NP"/>
    </w:rPr>
  </w:style>
  <w:style w:type="paragraph" w:customStyle="1" w:styleId="xl132">
    <w:name w:val="xl13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22"/>
      <w:szCs w:val="22"/>
      <w:lang w:bidi="ne-NP"/>
    </w:rPr>
  </w:style>
  <w:style w:type="paragraph" w:customStyle="1" w:styleId="xl558">
    <w:name w:val="xl55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lang w:bidi="ne-NP"/>
    </w:rPr>
  </w:style>
  <w:style w:type="paragraph" w:customStyle="1" w:styleId="xl591">
    <w:name w:val="xl591"/>
    <w:basedOn w:val="a9"/>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sz w:val="18"/>
      <w:szCs w:val="18"/>
      <w:lang w:bidi="ne-NP"/>
    </w:rPr>
  </w:style>
  <w:style w:type="paragraph" w:customStyle="1" w:styleId="xl185">
    <w:name w:val="xl185"/>
    <w:basedOn w:val="a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lang w:bidi="ne-NP"/>
    </w:rPr>
  </w:style>
  <w:style w:type="paragraph" w:customStyle="1" w:styleId="xl578">
    <w:name w:val="xl578"/>
    <w:basedOn w:val="a9"/>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hAnsi="宋体" w:cs="宋体"/>
      <w:color w:val="000000"/>
      <w:sz w:val="18"/>
      <w:szCs w:val="18"/>
      <w:lang w:bidi="ne-NP"/>
    </w:rPr>
  </w:style>
  <w:style w:type="paragraph" w:customStyle="1" w:styleId="2111">
    <w:name w:val="正文文本 211"/>
    <w:basedOn w:val="a9"/>
    <w:semiHidden/>
    <w:qFormat/>
    <w:pPr>
      <w:widowControl/>
      <w:autoSpaceDE w:val="0"/>
      <w:autoSpaceDN w:val="0"/>
      <w:adjustRightInd w:val="0"/>
      <w:spacing w:line="360" w:lineRule="atLeast"/>
      <w:ind w:firstLineChars="200" w:firstLine="454"/>
      <w:textAlignment w:val="baseline"/>
    </w:pPr>
    <w:rPr>
      <w:rFonts w:eastAsia="仿宋_GB2312" w:hAnsi="Tms Rmn" w:cs="宋体"/>
      <w:spacing w:val="4"/>
      <w:sz w:val="28"/>
      <w:lang w:bidi="ne-NP"/>
    </w:rPr>
  </w:style>
  <w:style w:type="paragraph" w:customStyle="1" w:styleId="21a">
    <w:name w:val="引用21"/>
    <w:basedOn w:val="a9"/>
    <w:next w:val="a9"/>
    <w:qFormat/>
    <w:pPr>
      <w:widowControl/>
      <w:spacing w:line="480" w:lineRule="exact"/>
      <w:ind w:firstLineChars="200" w:firstLine="200"/>
    </w:pPr>
    <w:rPr>
      <w:rFonts w:eastAsia="黑体"/>
      <w:i/>
      <w:iCs/>
      <w:color w:val="000000"/>
    </w:rPr>
  </w:style>
  <w:style w:type="paragraph" w:customStyle="1" w:styleId="Style422">
    <w:name w:val="_Style 422"/>
    <w:basedOn w:val="1"/>
    <w:next w:val="a9"/>
    <w:uiPriority w:val="39"/>
    <w:unhideWhenUsed/>
    <w:qFormat/>
    <w:pPr>
      <w:pageBreakBefore w:val="0"/>
      <w:widowControl/>
      <w:numPr>
        <w:numId w:val="0"/>
      </w:numPr>
      <w:spacing w:before="480" w:after="0" w:line="276" w:lineRule="auto"/>
      <w:outlineLvl w:val="9"/>
    </w:pPr>
    <w:rPr>
      <w:rFonts w:ascii="Cambria" w:hAnsi="Cambria"/>
      <w:bCs/>
      <w:color w:val="365F91"/>
      <w:kern w:val="0"/>
      <w:sz w:val="28"/>
      <w:szCs w:val="28"/>
    </w:rPr>
  </w:style>
  <w:style w:type="table" w:customStyle="1" w:styleId="104">
    <w:name w:val="网格型10"/>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无格式表格 311"/>
    <w:basedOn w:val="ac"/>
    <w:uiPriority w:val="43"/>
    <w:qFormat/>
    <w:rPr>
      <w:rFonts w:ascii="Calibri" w:hAnsi="Calibri"/>
      <w:kern w:val="2"/>
      <w:sz w:val="21"/>
      <w:szCs w:val="22"/>
    </w:rPr>
    <w:tblPr>
      <w:tblInd w:w="0" w:type="dxa"/>
      <w:tblCellMar>
        <w:top w:w="0" w:type="dxa"/>
        <w:left w:w="108" w:type="dxa"/>
        <w:bottom w:w="0" w:type="dxa"/>
        <w:right w:w="108" w:type="dxa"/>
      </w:tblCellMar>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317">
    <w:name w:val="无格式表格 31"/>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afffffffffffffffffe">
    <w:name w:val="智汇元表格样式"/>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2">
    <w:name w:val="浅色底纹1"/>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Grid">
    <w:name w:val="TableGrid"/>
    <w:qFormat/>
    <w:pPr>
      <w:spacing w:after="60"/>
      <w:jc w:val="both"/>
    </w:pPr>
    <w:tblPr>
      <w:tblCellMar>
        <w:top w:w="0" w:type="dxa"/>
        <w:left w:w="0" w:type="dxa"/>
        <w:bottom w:w="0" w:type="dxa"/>
        <w:right w:w="0" w:type="dxa"/>
      </w:tblCellMar>
    </w:tblPr>
  </w:style>
  <w:style w:type="table" w:customStyle="1" w:styleId="711">
    <w:name w:val="网格型7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3">
    <w:name w:val="三线格1"/>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l2br w:val="nil"/>
          <w:tr2bl w:val="nil"/>
        </w:tcBorders>
      </w:tcPr>
    </w:tblStylePr>
  </w:style>
  <w:style w:type="table" w:customStyle="1" w:styleId="318">
    <w:name w:val="网格型31"/>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网格型1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网格型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ffe">
    <w:name w:val="表格样式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5">
    <w:name w:val="网格型3"/>
    <w:basedOn w:val="ac"/>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
    <w:name w:val="表格样式智汇元"/>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ffffffffffffffffff0">
    <w:name w:val="设计院"/>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4f6">
    <w:name w:val="网格型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1">
    <w:name w:val="三线格"/>
    <w:basedOn w:val="ac"/>
    <w:uiPriority w:val="99"/>
    <w:qFormat/>
    <w:rPr>
      <w:sz w:val="18"/>
    </w:rPr>
    <w:tblPr>
      <w:tblInd w:w="0" w:type="dxa"/>
      <w:tblBorders>
        <w:top w:val="single" w:sz="12" w:space="0" w:color="auto"/>
        <w:bottom w:val="single" w:sz="12" w:space="0" w:color="auto"/>
        <w:insideH w:val="single" w:sz="8" w:space="0" w:color="auto"/>
        <w:insideV w:val="single" w:sz="8" w:space="0" w:color="auto"/>
      </w:tblBorders>
      <w:tblCellMar>
        <w:top w:w="0" w:type="dxa"/>
        <w:left w:w="28" w:type="dxa"/>
        <w:bottom w:w="0" w:type="dxa"/>
        <w:right w:w="2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l2br w:val="nil"/>
          <w:tr2bl w:val="nil"/>
        </w:tcBorders>
      </w:tcPr>
    </w:tblStylePr>
  </w:style>
  <w:style w:type="table" w:customStyle="1" w:styleId="68">
    <w:name w:val="网格型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4">
    <w:name w:val="网格型1"/>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样式11"/>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11">
    <w:name w:val="网格型121"/>
    <w:basedOn w:val="ac"/>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2">
    <w:name w:val="君邦专用"/>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ffffffffffffffffff3">
    <w:name w:val="表格格式"/>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TableNormal4">
    <w:name w:val="Table Normal4"/>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fff">
    <w:name w:val="网格型2"/>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6">
    <w:name w:val="君邦专用3"/>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4">
    <w:name w:val="三线表"/>
    <w:basedOn w:val="ac"/>
    <w:qFormat/>
    <w:pPr>
      <w:widowControl w:val="0"/>
      <w:spacing w:afterLines="50"/>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等线 Light"/>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00">
    <w:name w:val="样式110"/>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2">
    <w:name w:val="网格型6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5">
    <w:name w:val="君邦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6">
    <w:name w:val="表格样式1"/>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网格型5"/>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网格型7"/>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10">
    <w:name w:val="浅色底纹 - 强调文字颜色 21"/>
    <w:basedOn w:val="ac"/>
    <w:uiPriority w:val="60"/>
    <w:qFormat/>
    <w:rPr>
      <w:rFonts w:ascii="Calibri" w:hAnsi="Calibri"/>
      <w:color w:val="943634"/>
      <w:kern w:val="2"/>
      <w:sz w:val="21"/>
      <w:szCs w:val="22"/>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customStyle="1" w:styleId="511">
    <w:name w:val="无格式表格 51"/>
    <w:basedOn w:val="ac"/>
    <w:uiPriority w:val="45"/>
    <w:qFormat/>
    <w:rPr>
      <w:rFonts w:ascii="Calibri" w:hAnsi="Calibri"/>
      <w:kern w:val="2"/>
      <w:sz w:val="21"/>
      <w:szCs w:val="22"/>
    </w:rPr>
    <w:tblPr>
      <w:tblInd w:w="0" w:type="dxa"/>
      <w:tblCellMar>
        <w:top w:w="0" w:type="dxa"/>
        <w:left w:w="108" w:type="dxa"/>
        <w:bottom w:w="0" w:type="dxa"/>
        <w:right w:w="108" w:type="dxa"/>
      </w:tblCellMar>
    </w:tblPr>
    <w:tblStylePr w:type="firstRow">
      <w:rPr>
        <w:rFonts w:eastAsia="Symbol" w:cs="Times New Roman"/>
        <w:i/>
        <w:iCs/>
        <w:sz w:val="26"/>
      </w:rPr>
      <w:tblPr/>
      <w:tcPr>
        <w:tcBorders>
          <w:top w:val="nil"/>
          <w:left w:val="nil"/>
          <w:bottom w:val="single" w:sz="4" w:space="0" w:color="7F7F7F"/>
          <w:right w:val="nil"/>
          <w:insideH w:val="nil"/>
          <w:insideV w:val="nil"/>
          <w:tl2br w:val="nil"/>
          <w:tr2bl w:val="nil"/>
        </w:tcBorders>
        <w:shd w:val="clear" w:color="auto" w:fill="FFFFFF"/>
      </w:tcPr>
    </w:tblStylePr>
    <w:tblStylePr w:type="lastRow">
      <w:rPr>
        <w:rFonts w:eastAsia="Symbol" w:cs="Times New Roman"/>
        <w:i/>
        <w:iCs/>
        <w:sz w:val="26"/>
      </w:rPr>
      <w:tblPr/>
      <w:tcPr>
        <w:tcBorders>
          <w:top w:val="single" w:sz="4" w:space="0" w:color="7F7F7F"/>
          <w:left w:val="nil"/>
          <w:bottom w:val="nil"/>
          <w:right w:val="nil"/>
          <w:insideH w:val="nil"/>
          <w:insideV w:val="nil"/>
          <w:tl2br w:val="nil"/>
          <w:tr2bl w:val="nil"/>
        </w:tcBorders>
        <w:shd w:val="clear" w:color="auto" w:fill="FFFFFF"/>
      </w:tcPr>
    </w:tblStylePr>
    <w:tblStylePr w:type="firstCol">
      <w:pPr>
        <w:jc w:val="right"/>
      </w:pPr>
      <w:rPr>
        <w:rFonts w:eastAsia="Symbol" w:cs="Times New Roman"/>
        <w:i/>
        <w:iCs/>
        <w:sz w:val="26"/>
      </w:rPr>
      <w:tblPr/>
      <w:tcPr>
        <w:tcBorders>
          <w:top w:val="nil"/>
          <w:left w:val="nil"/>
          <w:bottom w:val="nil"/>
          <w:right w:val="single" w:sz="4" w:space="0" w:color="7F7F7F"/>
          <w:insideH w:val="nil"/>
          <w:insideV w:val="nil"/>
          <w:tl2br w:val="nil"/>
          <w:tr2bl w:val="nil"/>
        </w:tcBorders>
        <w:shd w:val="clear" w:color="auto" w:fill="FFFFFF"/>
      </w:tcPr>
    </w:tblStylePr>
    <w:tblStylePr w:type="lastCol">
      <w:rPr>
        <w:rFonts w:eastAsia="Symbol" w:cs="Times New Roman"/>
        <w:i/>
        <w:iCs/>
        <w:sz w:val="26"/>
      </w:rPr>
      <w:tblPr/>
      <w:tcPr>
        <w:tcBorders>
          <w:top w:val="nil"/>
          <w:left w:val="single" w:sz="4" w:space="0" w:color="7F7F7F"/>
          <w:bottom w:val="nil"/>
          <w:right w:val="nil"/>
          <w:insideH w:val="nil"/>
          <w:insideV w:val="nil"/>
          <w:tl2br w:val="nil"/>
          <w:tr2bl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140">
    <w:name w:val="网格型14"/>
    <w:basedOn w:val="ac"/>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86">
    <w:name w:val="网格型8"/>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0">
    <w:name w:val="君邦专用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样式12"/>
    <w:basedOn w:val="ac"/>
    <w:uiPriority w:val="9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fffff8">
    <w:name w:val="批注文字 Char"/>
    <w:qFormat/>
    <w:rPr>
      <w:kern w:val="2"/>
      <w:sz w:val="21"/>
      <w:szCs w:val="24"/>
    </w:rPr>
  </w:style>
  <w:style w:type="character" w:customStyle="1" w:styleId="unnamed51">
    <w:name w:val="unnamed51"/>
    <w:rPr>
      <w:rFonts w:ascii="宋体" w:eastAsia="宋体" w:hAnsi="宋体" w:hint="eastAsia"/>
      <w:sz w:val="24"/>
      <w:szCs w:val="24"/>
    </w:rPr>
  </w:style>
  <w:style w:type="paragraph" w:customStyle="1" w:styleId="my">
    <w:name w:val="正文my"/>
    <w:basedOn w:val="afe"/>
    <w:uiPriority w:val="99"/>
    <w:qFormat/>
    <w:pPr>
      <w:widowControl/>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snapToGrid/>
      <w:spacing w:before="60" w:line="480" w:lineRule="exact"/>
      <w:ind w:firstLineChars="200" w:firstLine="200"/>
      <w:jc w:val="left"/>
    </w:pPr>
    <w:rPr>
      <w:color w:val="auto"/>
      <w:sz w:val="24"/>
    </w:rPr>
  </w:style>
  <w:style w:type="paragraph" w:customStyle="1" w:styleId="affffffffffffffffff5">
    <w:name w:val="君邦表头"/>
    <w:basedOn w:val="1f3"/>
    <w:link w:val="Charfffff9"/>
    <w:qFormat/>
    <w:rPr>
      <w:szCs w:val="28"/>
    </w:rPr>
  </w:style>
  <w:style w:type="character" w:customStyle="1" w:styleId="Charfffff9">
    <w:name w:val="君邦表头 Char"/>
    <w:link w:val="affffffffffffffffff5"/>
    <w:qFormat/>
    <w:rPr>
      <w:rFonts w:eastAsia="黑体"/>
      <w:b/>
      <w:kern w:val="2"/>
      <w:sz w:val="24"/>
      <w:szCs w:val="28"/>
    </w:rPr>
  </w:style>
  <w:style w:type="paragraph" w:customStyle="1" w:styleId="lgy-">
    <w:name w:val="lgy-表格文字"/>
    <w:basedOn w:val="a9"/>
    <w:link w:val="lgy-Char"/>
    <w:qFormat/>
    <w:pPr>
      <w:adjustRightInd w:val="0"/>
      <w:snapToGrid w:val="0"/>
      <w:jc w:val="center"/>
    </w:pPr>
    <w:rPr>
      <w:bCs/>
      <w:sz w:val="18"/>
      <w:szCs w:val="18"/>
    </w:rPr>
  </w:style>
  <w:style w:type="character" w:customStyle="1" w:styleId="lgy-Char">
    <w:name w:val="lgy-表格文字 Char"/>
    <w:link w:val="lgy-"/>
    <w:qFormat/>
    <w:rPr>
      <w:bCs/>
      <w:sz w:val="18"/>
      <w:szCs w:val="18"/>
    </w:rPr>
  </w:style>
  <w:style w:type="paragraph" w:customStyle="1" w:styleId="1fffff7">
    <w:name w:val="1"/>
    <w:basedOn w:val="a9"/>
    <w:pPr>
      <w:adjustRightInd w:val="0"/>
      <w:snapToGrid w:val="0"/>
      <w:spacing w:line="360" w:lineRule="auto"/>
      <w:ind w:firstLineChars="200" w:firstLine="200"/>
      <w:jc w:val="left"/>
    </w:pPr>
    <w:rPr>
      <w:rFonts w:eastAsia="楷体_GB2312"/>
      <w:sz w:val="24"/>
      <w:szCs w:val="22"/>
    </w:rPr>
  </w:style>
  <w:style w:type="character" w:customStyle="1" w:styleId="lgyChar">
    <w:name w:val="lgy表名 Char"/>
    <w:link w:val="lgy"/>
    <w:qFormat/>
    <w:locked/>
    <w:rPr>
      <w:rFonts w:ascii="楷体_GB2312" w:eastAsia="楷体_GB2312"/>
      <w:b/>
      <w:color w:val="000000"/>
      <w:kern w:val="2"/>
      <w:sz w:val="21"/>
      <w:szCs w:val="21"/>
    </w:rPr>
  </w:style>
  <w:style w:type="paragraph" w:customStyle="1" w:styleId="lgy">
    <w:name w:val="lgy表名"/>
    <w:link w:val="lgyChar"/>
    <w:qFormat/>
    <w:pPr>
      <w:widowControl w:val="0"/>
      <w:adjustRightInd w:val="0"/>
      <w:snapToGrid w:val="0"/>
      <w:jc w:val="center"/>
    </w:pPr>
    <w:rPr>
      <w:rFonts w:ascii="楷体_GB2312" w:eastAsia="楷体_GB2312"/>
      <w:b/>
      <w:color w:val="000000"/>
      <w:kern w:val="2"/>
      <w:sz w:val="21"/>
      <w:szCs w:val="21"/>
    </w:rPr>
  </w:style>
  <w:style w:type="paragraph" w:customStyle="1" w:styleId="affffffffffffffffff6">
    <w:name w:val="【表格】"/>
    <w:next w:val="af0"/>
    <w:qFormat/>
    <w:pPr>
      <w:adjustRightInd w:val="0"/>
      <w:snapToGrid w:val="0"/>
      <w:jc w:val="center"/>
    </w:pPr>
    <w:rPr>
      <w:sz w:val="18"/>
      <w:szCs w:val="24"/>
    </w:rPr>
  </w:style>
  <w:style w:type="character" w:customStyle="1" w:styleId="2fff1">
    <w:name w:val="列表段落 字符2"/>
    <w:qFormat/>
    <w:rPr>
      <w:kern w:val="2"/>
      <w:sz w:val="24"/>
      <w:szCs w:val="24"/>
    </w:rPr>
  </w:style>
  <w:style w:type="character" w:customStyle="1" w:styleId="affffffffffffffffff7">
    <w:name w:val="宏文本 字符"/>
    <w:qFormat/>
    <w:rPr>
      <w:rFonts w:ascii="Courier New" w:hAnsi="Courier New" w:cs="Courier New"/>
      <w:sz w:val="24"/>
      <w:szCs w:val="24"/>
    </w:rPr>
  </w:style>
  <w:style w:type="character" w:customStyle="1" w:styleId="paragraph11">
    <w:name w:val="paragraph11"/>
    <w:qFormat/>
    <w:rPr>
      <w:color w:val="333333"/>
    </w:rPr>
  </w:style>
  <w:style w:type="character" w:customStyle="1" w:styleId="ltextChar">
    <w:name w:val="l_text Char"/>
    <w:link w:val="ltext"/>
    <w:qFormat/>
    <w:rPr>
      <w:rFonts w:ascii="宋体"/>
      <w:sz w:val="28"/>
      <w:lang w:val="en-GB"/>
    </w:rPr>
  </w:style>
  <w:style w:type="paragraph" w:customStyle="1" w:styleId="ltext">
    <w:name w:val="l_text"/>
    <w:basedOn w:val="a9"/>
    <w:link w:val="ltextChar"/>
    <w:qFormat/>
    <w:pPr>
      <w:widowControl/>
      <w:overflowPunct w:val="0"/>
      <w:autoSpaceDE w:val="0"/>
      <w:autoSpaceDN w:val="0"/>
      <w:adjustRightInd w:val="0"/>
      <w:spacing w:after="30" w:line="300" w:lineRule="auto"/>
      <w:ind w:left="170" w:firstLine="567"/>
      <w:textAlignment w:val="baseline"/>
    </w:pPr>
    <w:rPr>
      <w:rFonts w:ascii="宋体"/>
      <w:sz w:val="28"/>
      <w:lang w:val="en-GB"/>
    </w:rPr>
  </w:style>
  <w:style w:type="character" w:customStyle="1" w:styleId="Char1CharChar">
    <w:name w:val="正文缩进 Char1 Char Char"/>
    <w:qFormat/>
    <w:rPr>
      <w:rFonts w:eastAsia="仿宋_GB2312"/>
      <w:kern w:val="2"/>
      <w:sz w:val="28"/>
      <w:szCs w:val="28"/>
      <w:lang w:val="en-US" w:eastAsia="zh-CN" w:bidi="ar-SA"/>
    </w:rPr>
  </w:style>
  <w:style w:type="character" w:customStyle="1" w:styleId="3CharCharChar1">
    <w:name w:val="标题 3 Char Char Char1"/>
    <w:qFormat/>
    <w:rPr>
      <w:rFonts w:eastAsia="黑体" w:cs="Arial"/>
      <w:b/>
      <w:bCs/>
      <w:color w:val="000000"/>
      <w:kern w:val="2"/>
      <w:sz w:val="24"/>
      <w:szCs w:val="28"/>
      <w:lang w:val="en-US" w:eastAsia="zh-CN" w:bidi="ar-SA"/>
    </w:rPr>
  </w:style>
  <w:style w:type="character" w:customStyle="1" w:styleId="li21">
    <w:name w:val="li21"/>
    <w:qFormat/>
    <w:rPr>
      <w:spacing w:val="31680"/>
      <w:sz w:val="18"/>
      <w:szCs w:val="18"/>
    </w:rPr>
  </w:style>
  <w:style w:type="character" w:customStyle="1" w:styleId="BChar0">
    <w:name w:val="正文B Char 字元"/>
    <w:link w:val="BChar1"/>
    <w:qFormat/>
    <w:rPr>
      <w:rFonts w:ascii="Calibri" w:eastAsia="楷体_GB2312" w:hAnsi="Calibri"/>
      <w:spacing w:val="8"/>
      <w:kern w:val="2"/>
      <w:sz w:val="28"/>
      <w:szCs w:val="22"/>
    </w:rPr>
  </w:style>
  <w:style w:type="paragraph" w:customStyle="1" w:styleId="BChar1">
    <w:name w:val="正文B Char"/>
    <w:basedOn w:val="a9"/>
    <w:link w:val="BChar0"/>
    <w:qFormat/>
    <w:pPr>
      <w:adjustRightInd w:val="0"/>
      <w:spacing w:line="390" w:lineRule="exact"/>
      <w:ind w:firstLine="601"/>
    </w:pPr>
    <w:rPr>
      <w:rFonts w:ascii="Calibri" w:eastAsia="楷体_GB2312" w:hAnsi="Calibri"/>
      <w:spacing w:val="8"/>
      <w:kern w:val="2"/>
      <w:sz w:val="28"/>
      <w:szCs w:val="22"/>
    </w:rPr>
  </w:style>
  <w:style w:type="character" w:customStyle="1" w:styleId="WW8Num2z0">
    <w:name w:val="WW8Num2z0"/>
    <w:qFormat/>
    <w:rPr>
      <w:rFonts w:ascii="Wingdings" w:hAnsi="Wingdings"/>
    </w:rPr>
  </w:style>
  <w:style w:type="character" w:customStyle="1" w:styleId="compcontent">
    <w:name w:val="comp_content"/>
    <w:qFormat/>
  </w:style>
  <w:style w:type="character" w:customStyle="1" w:styleId="h3">
    <w:name w:val="h3 字元"/>
    <w:qFormat/>
    <w:rPr>
      <w:rFonts w:ascii="Arial Rounded MT Bold" w:eastAsia="文鼎大标宋简" w:hAnsi="Arial Rounded MT Bold" w:hint="default"/>
      <w:spacing w:val="8"/>
      <w:sz w:val="28"/>
      <w:lang w:val="en-US" w:eastAsia="zh-CN" w:bidi="ar-SA"/>
    </w:rPr>
  </w:style>
  <w:style w:type="character" w:customStyle="1" w:styleId="CharChar341">
    <w:name w:val="Char Char341"/>
    <w:qFormat/>
    <w:rPr>
      <w:kern w:val="2"/>
      <w:sz w:val="18"/>
      <w:szCs w:val="18"/>
    </w:rPr>
  </w:style>
  <w:style w:type="character" w:customStyle="1" w:styleId="1Chara">
    <w:name w:val="目录 1 Char"/>
    <w:qFormat/>
    <w:rPr>
      <w:rFonts w:ascii="黑体" w:eastAsia="黑体" w:hint="eastAsia"/>
      <w:caps/>
      <w:spacing w:val="8"/>
      <w:sz w:val="24"/>
      <w:lang w:val="en-US" w:eastAsia="zh-CN" w:bidi="ar-SA"/>
    </w:rPr>
  </w:style>
  <w:style w:type="character" w:customStyle="1" w:styleId="12pxboldblue1">
    <w:name w:val="12px_bold_blue1"/>
    <w:qFormat/>
    <w:rPr>
      <w:rFonts w:ascii="Verdana" w:hAnsi="Verdana" w:hint="default"/>
      <w:b/>
      <w:bCs/>
      <w:color w:val="000066"/>
      <w:sz w:val="18"/>
      <w:szCs w:val="18"/>
      <w:u w:val="none"/>
    </w:rPr>
  </w:style>
  <w:style w:type="character" w:customStyle="1" w:styleId="Char2f1">
    <w:name w:val="正文（首行缩进两字） Char2"/>
    <w:semiHidden/>
    <w:qFormat/>
  </w:style>
  <w:style w:type="character" w:customStyle="1" w:styleId="1Char12">
    <w:name w:val="页眉1 Char1"/>
    <w:qFormat/>
    <w:rPr>
      <w:rFonts w:eastAsia="仿宋_GB2312"/>
      <w:kern w:val="2"/>
      <w:sz w:val="18"/>
      <w:szCs w:val="28"/>
      <w:lang w:val="en-US" w:eastAsia="zh-CN" w:bidi="ar-SA"/>
    </w:rPr>
  </w:style>
  <w:style w:type="character" w:customStyle="1" w:styleId="word1">
    <w:name w:val="word1"/>
    <w:qFormat/>
    <w:rPr>
      <w:spacing w:val="31680"/>
      <w:sz w:val="20"/>
      <w:szCs w:val="20"/>
    </w:rPr>
  </w:style>
  <w:style w:type="character" w:customStyle="1" w:styleId="2CharChar1">
    <w:name w:val="字元2 Char Char1"/>
    <w:qFormat/>
    <w:rPr>
      <w:rFonts w:eastAsia="楷体_GB2312"/>
      <w:sz w:val="21"/>
      <w:lang w:val="en-US" w:eastAsia="zh-CN" w:bidi="ar-SA"/>
    </w:rPr>
  </w:style>
  <w:style w:type="character" w:customStyle="1" w:styleId="3CharCharCharCharCharCharCharCharCharCharCharCharCharCharChar">
    <w:name w:val="标题 3 Char Char Char Char Char Char Char Char Char Char Char Char Char Char Char"/>
    <w:qFormat/>
    <w:rPr>
      <w:rFonts w:eastAsia="宋体"/>
      <w:b/>
      <w:bCs/>
      <w:kern w:val="2"/>
      <w:sz w:val="32"/>
      <w:szCs w:val="32"/>
      <w:lang w:val="en-US" w:eastAsia="zh-CN" w:bidi="ar-SA"/>
    </w:rPr>
  </w:style>
  <w:style w:type="character" w:customStyle="1" w:styleId="Charfffffa">
    <w:name w:val="【正文】 Char"/>
    <w:link w:val="affffffffffffffffff8"/>
    <w:qFormat/>
    <w:rPr>
      <w:kern w:val="2"/>
      <w:sz w:val="24"/>
    </w:rPr>
  </w:style>
  <w:style w:type="paragraph" w:customStyle="1" w:styleId="affffffffffffffffff8">
    <w:name w:val="【正文】"/>
    <w:basedOn w:val="a9"/>
    <w:link w:val="Charfffffa"/>
    <w:qFormat/>
    <w:pPr>
      <w:spacing w:before="120" w:after="120" w:line="312" w:lineRule="auto"/>
      <w:ind w:firstLineChars="200" w:firstLine="200"/>
    </w:pPr>
    <w:rPr>
      <w:kern w:val="2"/>
      <w:sz w:val="24"/>
    </w:rPr>
  </w:style>
  <w:style w:type="character" w:customStyle="1" w:styleId="f1200001">
    <w:name w:val="f12_0000_1"/>
    <w:qFormat/>
  </w:style>
  <w:style w:type="character" w:customStyle="1" w:styleId="4Char4">
    <w:name w:val="正文4 Char"/>
    <w:link w:val="4f7"/>
    <w:qFormat/>
    <w:rPr>
      <w:rFonts w:ascii="Calibri" w:eastAsia="楷体_GB2312" w:hAnsi="Calibri"/>
      <w:spacing w:val="8"/>
      <w:kern w:val="2"/>
      <w:sz w:val="28"/>
      <w:szCs w:val="22"/>
    </w:rPr>
  </w:style>
  <w:style w:type="paragraph" w:customStyle="1" w:styleId="4f7">
    <w:name w:val="正文4"/>
    <w:basedOn w:val="a9"/>
    <w:link w:val="4Char4"/>
    <w:qFormat/>
    <w:pPr>
      <w:adjustRightInd w:val="0"/>
      <w:spacing w:line="440" w:lineRule="exact"/>
      <w:ind w:firstLine="601"/>
    </w:pPr>
    <w:rPr>
      <w:rFonts w:ascii="Calibri" w:eastAsia="楷体_GB2312" w:hAnsi="Calibri"/>
      <w:spacing w:val="8"/>
      <w:kern w:val="2"/>
      <w:sz w:val="28"/>
      <w:szCs w:val="22"/>
    </w:rPr>
  </w:style>
  <w:style w:type="character" w:customStyle="1" w:styleId="9Char0">
    <w:name w:val="标题 9 Char"/>
    <w:qFormat/>
    <w:rPr>
      <w:rFonts w:ascii="Arial" w:eastAsia="黑体" w:hAnsi="Arial"/>
      <w:sz w:val="24"/>
      <w:lang w:val="en-US" w:eastAsia="zh-CN" w:bidi="ar-SA"/>
    </w:rPr>
  </w:style>
  <w:style w:type="character" w:customStyle="1" w:styleId="CharChar14">
    <w:name w:val="君邦正文 Char Char1"/>
    <w:qFormat/>
    <w:rPr>
      <w:rFonts w:eastAsia="宋体"/>
      <w:bCs/>
      <w:snapToGrid/>
      <w:sz w:val="24"/>
      <w:szCs w:val="24"/>
      <w:lang w:val="en-US" w:eastAsia="zh-CN" w:bidi="ar-SA"/>
    </w:rPr>
  </w:style>
  <w:style w:type="character" w:customStyle="1" w:styleId="cont21">
    <w:name w:val="cont21"/>
    <w:qFormat/>
    <w:rPr>
      <w:sz w:val="23"/>
      <w:szCs w:val="23"/>
    </w:rPr>
  </w:style>
  <w:style w:type="character" w:customStyle="1" w:styleId="txt">
    <w:name w:val="txt"/>
    <w:qFormat/>
  </w:style>
  <w:style w:type="character" w:customStyle="1" w:styleId="index">
    <w:name w:val="index"/>
    <w:qFormat/>
  </w:style>
  <w:style w:type="character" w:customStyle="1" w:styleId="1CharCharChar2">
    <w:name w:val="标题 1 Char Char Char"/>
    <w:qFormat/>
    <w:rPr>
      <w:rFonts w:eastAsia="宋体"/>
      <w:b/>
      <w:kern w:val="44"/>
      <w:sz w:val="32"/>
      <w:lang w:val="en-US" w:eastAsia="zh-CN" w:bidi="ar-SA"/>
    </w:rPr>
  </w:style>
  <w:style w:type="character" w:customStyle="1" w:styleId="CharChar34">
    <w:name w:val="Char Char34"/>
    <w:qFormat/>
    <w:rPr>
      <w:kern w:val="2"/>
      <w:sz w:val="18"/>
      <w:szCs w:val="18"/>
    </w:rPr>
  </w:style>
  <w:style w:type="character" w:customStyle="1" w:styleId="3Char5">
    <w:name w:val="正文3 Char"/>
    <w:qFormat/>
    <w:rPr>
      <w:rFonts w:ascii="宋体" w:eastAsia="宋体" w:hAnsi="宋体" w:hint="eastAsia"/>
      <w:sz w:val="30"/>
      <w:lang w:val="en-US" w:eastAsia="zh-CN" w:bidi="ar-SA"/>
    </w:rPr>
  </w:style>
  <w:style w:type="character" w:customStyle="1" w:styleId="p15">
    <w:name w:val="p15"/>
    <w:qFormat/>
  </w:style>
  <w:style w:type="character" w:customStyle="1" w:styleId="p4">
    <w:name w:val="p4"/>
    <w:qFormat/>
  </w:style>
  <w:style w:type="character" w:customStyle="1" w:styleId="3CharChar0">
    <w:name w:val="样式3正文 Char Char"/>
    <w:qFormat/>
    <w:rPr>
      <w:kern w:val="2"/>
      <w:sz w:val="24"/>
      <w:szCs w:val="24"/>
    </w:rPr>
  </w:style>
  <w:style w:type="character" w:customStyle="1" w:styleId="Charfffffb">
    <w:name w:val="正文格式 Char"/>
    <w:link w:val="affffffffffffffffff9"/>
    <w:qFormat/>
    <w:rPr>
      <w:rFonts w:ascii="宋体" w:hAnsi="宋体"/>
      <w:kern w:val="2"/>
      <w:sz w:val="24"/>
      <w:szCs w:val="24"/>
    </w:rPr>
  </w:style>
  <w:style w:type="paragraph" w:customStyle="1" w:styleId="affffffffffffffffff9">
    <w:name w:val="正文格式"/>
    <w:basedOn w:val="a9"/>
    <w:link w:val="Charfffffb"/>
    <w:qFormat/>
    <w:pPr>
      <w:spacing w:line="360" w:lineRule="auto"/>
      <w:ind w:firstLine="482"/>
    </w:pPr>
    <w:rPr>
      <w:rFonts w:ascii="宋体" w:hAnsi="宋体"/>
      <w:kern w:val="2"/>
      <w:sz w:val="24"/>
      <w:szCs w:val="24"/>
    </w:rPr>
  </w:style>
  <w:style w:type="character" w:customStyle="1" w:styleId="tape21">
    <w:name w:val="tape21"/>
    <w:qFormat/>
    <w:rPr>
      <w:rFonts w:ascii="Verdana" w:hAnsi="Verdana" w:hint="default"/>
      <w:color w:val="666666"/>
      <w:sz w:val="17"/>
      <w:szCs w:val="17"/>
    </w:rPr>
  </w:style>
  <w:style w:type="character" w:customStyle="1" w:styleId="Char1f7">
    <w:name w:val="表格标题 Char1"/>
    <w:link w:val="CharCharCharCharCharCharChar11"/>
    <w:qFormat/>
    <w:rPr>
      <w:rFonts w:eastAsia="文鼎CS中宋"/>
      <w:spacing w:val="8"/>
      <w:sz w:val="24"/>
    </w:rPr>
  </w:style>
  <w:style w:type="paragraph" w:customStyle="1" w:styleId="CharCharCharCharCharCharChar11">
    <w:name w:val="正文（首行缩进两字） Char Char Char Char Char Char Char11"/>
    <w:basedOn w:val="a9"/>
    <w:link w:val="Char1f7"/>
    <w:qFormat/>
    <w:pPr>
      <w:adjustRightInd w:val="0"/>
      <w:spacing w:before="120" w:line="400" w:lineRule="exact"/>
      <w:jc w:val="center"/>
    </w:pPr>
    <w:rPr>
      <w:rFonts w:eastAsia="文鼎CS中宋"/>
      <w:spacing w:val="8"/>
      <w:sz w:val="24"/>
    </w:rPr>
  </w:style>
  <w:style w:type="character" w:customStyle="1" w:styleId="style3">
    <w:name w:val="style3"/>
    <w:qFormat/>
  </w:style>
  <w:style w:type="character" w:customStyle="1" w:styleId="Charfffffc">
    <w:name w:val="表头 Char 字元 字元"/>
    <w:link w:val="Charfffffd"/>
    <w:qFormat/>
    <w:rPr>
      <w:rFonts w:eastAsia="黑体"/>
      <w:spacing w:val="-10"/>
      <w:sz w:val="21"/>
    </w:rPr>
  </w:style>
  <w:style w:type="paragraph" w:customStyle="1" w:styleId="Charfffffd">
    <w:name w:val="表头 Char 字元"/>
    <w:basedOn w:val="a9"/>
    <w:link w:val="Charfffffc"/>
    <w:qFormat/>
    <w:pPr>
      <w:adjustRightInd w:val="0"/>
      <w:snapToGrid w:val="0"/>
      <w:spacing w:line="320" w:lineRule="atLeast"/>
      <w:jc w:val="center"/>
      <w:textAlignment w:val="baseline"/>
    </w:pPr>
    <w:rPr>
      <w:rFonts w:eastAsia="黑体"/>
      <w:spacing w:val="-10"/>
      <w:sz w:val="21"/>
    </w:rPr>
  </w:style>
  <w:style w:type="character" w:customStyle="1" w:styleId="-Char">
    <w:name w:val="正文- Char"/>
    <w:link w:val="-8"/>
    <w:qFormat/>
    <w:rPr>
      <w:bCs/>
      <w:sz w:val="24"/>
      <w:szCs w:val="22"/>
    </w:rPr>
  </w:style>
  <w:style w:type="paragraph" w:customStyle="1" w:styleId="-8">
    <w:name w:val="正文-"/>
    <w:basedOn w:val="a9"/>
    <w:link w:val="-Char"/>
    <w:qFormat/>
    <w:pPr>
      <w:spacing w:line="360" w:lineRule="auto"/>
      <w:ind w:firstLineChars="200" w:firstLine="200"/>
    </w:pPr>
    <w:rPr>
      <w:bCs/>
      <w:sz w:val="24"/>
      <w:szCs w:val="22"/>
    </w:rPr>
  </w:style>
  <w:style w:type="character" w:customStyle="1" w:styleId="CharCharf5">
    <w:name w:val="正文小四 Char Char"/>
    <w:qFormat/>
    <w:rPr>
      <w:rFonts w:eastAsia="宋体"/>
      <w:kern w:val="2"/>
      <w:sz w:val="24"/>
      <w:lang w:val="en-US" w:eastAsia="zh-CN" w:bidi="ar-SA"/>
    </w:rPr>
  </w:style>
  <w:style w:type="character" w:customStyle="1" w:styleId="affffffffffffffffffa">
    <w:name w:val="表蕊 字元"/>
    <w:qFormat/>
    <w:rPr>
      <w:rFonts w:eastAsia="楷体_GB2312"/>
      <w:spacing w:val="-10"/>
      <w:sz w:val="21"/>
    </w:rPr>
  </w:style>
  <w:style w:type="character" w:customStyle="1" w:styleId="style391">
    <w:name w:val="style391"/>
    <w:qFormat/>
    <w:rPr>
      <w:b/>
      <w:bCs/>
      <w:color w:val="005984"/>
      <w:sz w:val="18"/>
      <w:szCs w:val="18"/>
    </w:rPr>
  </w:style>
  <w:style w:type="character" w:customStyle="1" w:styleId="21b">
    <w:name w:val="正文首行缩进 2 字符1"/>
    <w:qFormat/>
    <w:rPr>
      <w:rFonts w:ascii="宋体" w:eastAsia="宋体"/>
      <w:kern w:val="2"/>
      <w:sz w:val="24"/>
      <w:szCs w:val="28"/>
      <w:lang w:val="en-US" w:eastAsia="zh-CN" w:bidi="ar-SA"/>
    </w:rPr>
  </w:style>
  <w:style w:type="character" w:customStyle="1" w:styleId="Charfffff4">
    <w:name w:val="报告书表格 Char"/>
    <w:link w:val="affffffffffff5"/>
    <w:qFormat/>
  </w:style>
  <w:style w:type="character" w:customStyle="1" w:styleId="3Char10">
    <w:name w:val="正文3 Char1"/>
    <w:link w:val="3ff2"/>
    <w:qFormat/>
    <w:rPr>
      <w:rFonts w:eastAsia="仿宋_GB2312" w:cs="宋体"/>
      <w:sz w:val="28"/>
      <w:szCs w:val="28"/>
      <w:lang w:bidi="ne-NP"/>
    </w:rPr>
  </w:style>
  <w:style w:type="character" w:customStyle="1" w:styleId="Charfffffe">
    <w:name w:val="表?内®æ¦¡ Char"/>
    <w:link w:val="affffffffffffffffffb"/>
    <w:qFormat/>
    <w:rPr>
      <w:kern w:val="2"/>
      <w:sz w:val="18"/>
      <w:szCs w:val="24"/>
    </w:rPr>
  </w:style>
  <w:style w:type="paragraph" w:customStyle="1" w:styleId="affffffffffffffffffb">
    <w:name w:val="表?内®æ¦"/>
    <w:basedOn w:val="a9"/>
    <w:link w:val="Charfffffe"/>
    <w:qFormat/>
    <w:pPr>
      <w:jc w:val="center"/>
    </w:pPr>
    <w:rPr>
      <w:kern w:val="2"/>
      <w:sz w:val="18"/>
      <w:szCs w:val="24"/>
    </w:rPr>
  </w:style>
  <w:style w:type="character" w:customStyle="1" w:styleId="scc">
    <w:name w:val="s c c"/>
    <w:qFormat/>
  </w:style>
  <w:style w:type="character" w:customStyle="1" w:styleId="BChar">
    <w:name w:val="标题 B Char"/>
    <w:link w:val="B"/>
    <w:qFormat/>
    <w:rPr>
      <w:rFonts w:ascii="宋体"/>
      <w:spacing w:val="8"/>
      <w:sz w:val="30"/>
    </w:rPr>
  </w:style>
  <w:style w:type="character" w:customStyle="1" w:styleId="CharCharf6">
    <w:name w:val="表内格式 Char Char"/>
    <w:qFormat/>
    <w:rPr>
      <w:rFonts w:eastAsia="宋体"/>
      <w:kern w:val="2"/>
      <w:sz w:val="18"/>
      <w:lang w:val="en-US" w:eastAsia="zh-CN" w:bidi="ar-SA"/>
    </w:rPr>
  </w:style>
  <w:style w:type="character" w:customStyle="1" w:styleId="2CharChar">
    <w:name w:val="字元2 Char Char"/>
    <w:qFormat/>
    <w:rPr>
      <w:rFonts w:eastAsia="楷体_GB2312"/>
      <w:sz w:val="21"/>
      <w:lang w:val="en-US" w:eastAsia="zh-CN" w:bidi="ar-SA"/>
    </w:rPr>
  </w:style>
  <w:style w:type="character" w:customStyle="1" w:styleId="middle1">
    <w:name w:val="middle1"/>
    <w:qFormat/>
    <w:rPr>
      <w:spacing w:val="31680"/>
      <w:sz w:val="22"/>
      <w:szCs w:val="22"/>
    </w:rPr>
  </w:style>
  <w:style w:type="character" w:customStyle="1" w:styleId="3CharCharChar0">
    <w:name w:val="标题 3 Char Char Char"/>
    <w:qFormat/>
    <w:rPr>
      <w:rFonts w:eastAsia="黑体"/>
      <w:bCs/>
      <w:kern w:val="2"/>
      <w:sz w:val="28"/>
      <w:szCs w:val="28"/>
      <w:lang w:val="en-US" w:eastAsia="zh-CN" w:bidi="ar-SA"/>
    </w:rPr>
  </w:style>
  <w:style w:type="character" w:customStyle="1" w:styleId="1Charb">
    <w:name w:val="标题 1 Char"/>
    <w:qFormat/>
    <w:rPr>
      <w:rFonts w:eastAsia="黑体"/>
      <w:bCs/>
      <w:kern w:val="44"/>
      <w:sz w:val="36"/>
      <w:szCs w:val="36"/>
      <w:lang w:val="en-US" w:eastAsia="zh-CN" w:bidi="ar-SA"/>
    </w:rPr>
  </w:style>
  <w:style w:type="character" w:customStyle="1" w:styleId="1CharChar8">
    <w:name w:val="标题 1 Char Char"/>
    <w:qFormat/>
    <w:rPr>
      <w:rFonts w:eastAsia="宋体"/>
      <w:b/>
      <w:bCs/>
      <w:kern w:val="44"/>
      <w:sz w:val="44"/>
      <w:szCs w:val="44"/>
      <w:lang w:val="en-US" w:eastAsia="zh-CN" w:bidi="ar-SA"/>
    </w:rPr>
  </w:style>
  <w:style w:type="character" w:customStyle="1" w:styleId="ArialPMingLiU">
    <w:name w:val="样式 (西文) Arial (中文) PMingLiU 加粗 黑色"/>
    <w:qFormat/>
    <w:rPr>
      <w:rFonts w:ascii="Arial" w:eastAsia="PMingLiU" w:hAnsi="Arial" w:cs="Arial" w:hint="default"/>
      <w:b/>
      <w:bCs/>
      <w:color w:val="000000"/>
      <w:shd w:val="clear" w:color="auto" w:fill="33CCCC"/>
    </w:rPr>
  </w:style>
  <w:style w:type="character" w:customStyle="1" w:styleId="1fffff8">
    <w:name w:val="尾注文本 字符1"/>
    <w:qFormat/>
    <w:rPr>
      <w:kern w:val="2"/>
      <w:sz w:val="21"/>
    </w:rPr>
  </w:style>
  <w:style w:type="character" w:customStyle="1" w:styleId="1fffff9">
    <w:name w:val="正文首行缩进 字符1"/>
    <w:qFormat/>
    <w:rPr>
      <w:rFonts w:eastAsia="宋体"/>
      <w:kern w:val="2"/>
      <w:sz w:val="24"/>
      <w:szCs w:val="24"/>
      <w:lang w:val="en-US" w:eastAsia="zh-CN" w:bidi="ar-SA"/>
    </w:rPr>
  </w:style>
  <w:style w:type="character" w:customStyle="1" w:styleId="CharCharChar3">
    <w:name w:val="普通文字 Char Char Char"/>
    <w:qFormat/>
    <w:rPr>
      <w:rFonts w:ascii="宋体" w:eastAsia="宋体" w:hAnsi="Courier New"/>
      <w:kern w:val="2"/>
      <w:sz w:val="21"/>
      <w:lang w:val="en-US" w:eastAsia="zh-CN" w:bidi="ar-SA"/>
    </w:rPr>
  </w:style>
  <w:style w:type="character" w:customStyle="1" w:styleId="ctChar">
    <w:name w:val="ct Char"/>
    <w:link w:val="ct"/>
    <w:qFormat/>
    <w:rPr>
      <w:rFonts w:eastAsia="黑体"/>
      <w:b/>
      <w:sz w:val="21"/>
      <w:szCs w:val="21"/>
      <w:lang w:bidi="en-US"/>
    </w:rPr>
  </w:style>
  <w:style w:type="paragraph" w:customStyle="1" w:styleId="ct">
    <w:name w:val="ct"/>
    <w:link w:val="ctChar"/>
    <w:qFormat/>
    <w:pPr>
      <w:jc w:val="center"/>
    </w:pPr>
    <w:rPr>
      <w:rFonts w:eastAsia="黑体"/>
      <w:b/>
      <w:sz w:val="21"/>
      <w:szCs w:val="21"/>
      <w:lang w:bidi="en-US"/>
    </w:rPr>
  </w:style>
  <w:style w:type="character" w:customStyle="1" w:styleId="pt121">
    <w:name w:val="pt121"/>
    <w:qFormat/>
    <w:rPr>
      <w:color w:val="333333"/>
      <w:spacing w:val="270"/>
      <w:sz w:val="18"/>
      <w:szCs w:val="18"/>
      <w:u w:val="none"/>
    </w:rPr>
  </w:style>
  <w:style w:type="character" w:customStyle="1" w:styleId="SimSun">
    <w:name w:val="正文文本 + SimSun"/>
    <w:qFormat/>
    <w:rPr>
      <w:rFonts w:ascii="宋体" w:eastAsia="宋体" w:hAnsi="宋体" w:cs="宋体"/>
      <w:color w:val="000000"/>
      <w:spacing w:val="0"/>
      <w:w w:val="100"/>
      <w:position w:val="0"/>
      <w:sz w:val="18"/>
      <w:szCs w:val="18"/>
      <w:u w:val="none"/>
      <w:lang w:val="zh-TW"/>
    </w:rPr>
  </w:style>
  <w:style w:type="character" w:customStyle="1" w:styleId="t-w2">
    <w:name w:val="t-w2"/>
    <w:qFormat/>
  </w:style>
  <w:style w:type="character" w:customStyle="1" w:styleId="indetail1">
    <w:name w:val="indetail1"/>
    <w:qFormat/>
    <w:rPr>
      <w:sz w:val="20"/>
      <w:szCs w:val="20"/>
      <w:bdr w:val="single" w:sz="6" w:space="0" w:color="E2E2E2"/>
    </w:rPr>
  </w:style>
  <w:style w:type="character" w:customStyle="1" w:styleId="detail1">
    <w:name w:val="detail1"/>
    <w:qFormat/>
    <w:rPr>
      <w:rFonts w:ascii="ˎ̥" w:hAnsi="ˎ̥" w:hint="default"/>
      <w:sz w:val="23"/>
      <w:szCs w:val="23"/>
      <w:u w:val="none"/>
    </w:rPr>
  </w:style>
  <w:style w:type="character" w:customStyle="1" w:styleId="Charffffff">
    <w:name w:val="纯文本 Char"/>
    <w:qFormat/>
    <w:rPr>
      <w:rFonts w:ascii="宋体" w:eastAsia="宋体" w:hAnsi="Courier New"/>
      <w:kern w:val="2"/>
      <w:sz w:val="21"/>
      <w:lang w:val="en-US" w:eastAsia="zh-CN" w:bidi="ar-SA"/>
    </w:rPr>
  </w:style>
  <w:style w:type="character" w:customStyle="1" w:styleId="bullet">
    <w:name w:val="bullet 字元"/>
    <w:qFormat/>
    <w:rPr>
      <w:rFonts w:ascii="文鼎CS细等线" w:eastAsia="文鼎CS细等线" w:hint="eastAsia"/>
      <w:b/>
      <w:spacing w:val="8"/>
      <w:sz w:val="28"/>
      <w:lang w:val="en-US" w:eastAsia="zh-CN" w:bidi="ar-SA"/>
    </w:rPr>
  </w:style>
  <w:style w:type="character" w:customStyle="1" w:styleId="Char1f8">
    <w:name w:val="普通文字 Char1"/>
    <w:qFormat/>
    <w:rPr>
      <w:rFonts w:ascii="宋体" w:eastAsia="宋体"/>
      <w:sz w:val="21"/>
      <w:lang w:val="en-US" w:eastAsia="zh-CN" w:bidi="ar-SA"/>
    </w:rPr>
  </w:style>
  <w:style w:type="character" w:customStyle="1" w:styleId="9pt1">
    <w:name w:val="9pt1"/>
    <w:qFormat/>
    <w:rPr>
      <w:rFonts w:ascii="Arial" w:hAnsi="Arial" w:cs="Arial" w:hint="default"/>
      <w:color w:val="000000"/>
      <w:spacing w:val="240"/>
      <w:sz w:val="18"/>
      <w:szCs w:val="18"/>
    </w:rPr>
  </w:style>
  <w:style w:type="character" w:customStyle="1" w:styleId="1fffffa">
    <w:name w:val="样式 (符号) 宋体 四号1"/>
    <w:qFormat/>
    <w:rPr>
      <w:rFonts w:ascii="宋体" w:eastAsia="宋体"/>
      <w:color w:val="auto"/>
      <w:kern w:val="2"/>
      <w:sz w:val="28"/>
      <w:szCs w:val="24"/>
      <w:lang w:val="en-US" w:eastAsia="zh-CN" w:bidi="ar-SA"/>
    </w:rPr>
  </w:style>
  <w:style w:type="character" w:customStyle="1" w:styleId="tape2copy1">
    <w:name w:val="tape2copy1"/>
    <w:qFormat/>
    <w:rPr>
      <w:rFonts w:ascii="Verdana" w:hAnsi="Verdana" w:hint="default"/>
      <w:b/>
      <w:bCs/>
      <w:color w:val="88AE1C"/>
      <w:sz w:val="17"/>
      <w:szCs w:val="17"/>
    </w:rPr>
  </w:style>
  <w:style w:type="character" w:customStyle="1" w:styleId="2Char6">
    <w:name w:val="正文2 Char"/>
    <w:link w:val="2fa"/>
    <w:qFormat/>
    <w:rPr>
      <w:spacing w:val="5"/>
      <w:sz w:val="28"/>
    </w:rPr>
  </w:style>
  <w:style w:type="character" w:customStyle="1" w:styleId="9pt">
    <w:name w:val="正文文本 + 9 pt"/>
    <w:qFormat/>
    <w:rPr>
      <w:rFonts w:ascii="Times New Roman" w:eastAsia="Times New Roman" w:hAnsi="Times New Roman" w:cs="Times New Roman"/>
      <w:color w:val="000000"/>
      <w:spacing w:val="0"/>
      <w:w w:val="100"/>
      <w:position w:val="0"/>
      <w:sz w:val="18"/>
      <w:szCs w:val="18"/>
      <w:u w:val="none"/>
      <w:lang w:val="en-US"/>
    </w:rPr>
  </w:style>
  <w:style w:type="character" w:customStyle="1" w:styleId="Char1f9">
    <w:name w:val="表蕊 Char1 字元"/>
    <w:qFormat/>
    <w:rPr>
      <w:rFonts w:eastAsia="楷体_GB2312"/>
      <w:spacing w:val="-10"/>
      <w:sz w:val="21"/>
    </w:rPr>
  </w:style>
  <w:style w:type="character" w:customStyle="1" w:styleId="85pt">
    <w:name w:val="正文文本 + 8.5 pt"/>
    <w:qFormat/>
    <w:rPr>
      <w:rFonts w:ascii="Times New Roman" w:eastAsia="Times New Roman" w:hAnsi="Times New Roman" w:cs="Times New Roman"/>
      <w:color w:val="000000"/>
      <w:spacing w:val="0"/>
      <w:w w:val="100"/>
      <w:position w:val="0"/>
      <w:sz w:val="17"/>
      <w:szCs w:val="17"/>
      <w:u w:val="none"/>
      <w:lang w:val="en-US"/>
    </w:rPr>
  </w:style>
  <w:style w:type="character" w:customStyle="1" w:styleId="WW8Num25z4">
    <w:name w:val="WW8Num25z4"/>
    <w:qFormat/>
    <w:rPr>
      <w:rFonts w:ascii="Times New Roman" w:eastAsia="宋体" w:hAnsi="Times New Roman"/>
      <w:b/>
      <w:sz w:val="24"/>
    </w:rPr>
  </w:style>
  <w:style w:type="character" w:customStyle="1" w:styleId="postbody">
    <w:name w:val="postbody"/>
    <w:qFormat/>
  </w:style>
  <w:style w:type="character" w:customStyle="1" w:styleId="texttitle1">
    <w:name w:val="texttitle1"/>
    <w:qFormat/>
    <w:rPr>
      <w:color w:val="0099FF"/>
      <w:sz w:val="24"/>
      <w:szCs w:val="24"/>
      <w:u w:val="none"/>
    </w:rPr>
  </w:style>
  <w:style w:type="character" w:customStyle="1" w:styleId="affffffffffffffffffc">
    <w:name w:val="发布"/>
    <w:qFormat/>
    <w:rPr>
      <w:rFonts w:ascii="黑体" w:eastAsia="黑体"/>
      <w:spacing w:val="22"/>
      <w:w w:val="100"/>
      <w:position w:val="3"/>
      <w:sz w:val="28"/>
    </w:rPr>
  </w:style>
  <w:style w:type="character" w:customStyle="1" w:styleId="javascript">
    <w:name w:val="javascript"/>
    <w:qFormat/>
  </w:style>
  <w:style w:type="paragraph" w:customStyle="1" w:styleId="119">
    <w:name w:val="列出段落11"/>
    <w:basedOn w:val="a9"/>
    <w:qFormat/>
    <w:pPr>
      <w:ind w:leftChars="200" w:left="480"/>
      <w:jc w:val="left"/>
    </w:pPr>
    <w:rPr>
      <w:rFonts w:ascii="Calibri" w:eastAsia="PMingLiU" w:hAnsi="Calibri"/>
      <w:kern w:val="2"/>
      <w:sz w:val="24"/>
      <w:szCs w:val="22"/>
      <w:lang w:eastAsia="zh-TW"/>
    </w:rPr>
  </w:style>
  <w:style w:type="paragraph" w:customStyle="1" w:styleId="affffffffffffffffffd">
    <w:name w:val="图标"/>
    <w:basedOn w:val="a9"/>
    <w:qFormat/>
    <w:pPr>
      <w:adjustRightInd w:val="0"/>
      <w:spacing w:after="60" w:line="400" w:lineRule="exact"/>
      <w:jc w:val="center"/>
    </w:pPr>
    <w:rPr>
      <w:rFonts w:eastAsia="文鼎CS中宋"/>
      <w:spacing w:val="8"/>
      <w:sz w:val="24"/>
    </w:rPr>
  </w:style>
  <w:style w:type="paragraph" w:customStyle="1" w:styleId="CM108">
    <w:name w:val="CM108"/>
    <w:basedOn w:val="Default"/>
    <w:next w:val="Default"/>
    <w:uiPriority w:val="99"/>
    <w:qFormat/>
    <w:pPr>
      <w:spacing w:after="838"/>
    </w:pPr>
    <w:rPr>
      <w:rFonts w:hAnsi="Calibri" w:cs="Times New Roman"/>
      <w:color w:val="auto"/>
    </w:rPr>
  </w:style>
  <w:style w:type="paragraph" w:customStyle="1" w:styleId="CM24">
    <w:name w:val="CM24"/>
    <w:basedOn w:val="Default"/>
    <w:next w:val="Default"/>
    <w:qFormat/>
    <w:pPr>
      <w:spacing w:line="548" w:lineRule="atLeast"/>
    </w:pPr>
    <w:rPr>
      <w:rFonts w:ascii="宋体" w:eastAsia="宋体" w:cs="Times New Roman"/>
      <w:color w:val="auto"/>
    </w:rPr>
  </w:style>
  <w:style w:type="paragraph" w:customStyle="1" w:styleId="1fffffb">
    <w:name w:val="证书1"/>
    <w:basedOn w:val="a9"/>
    <w:qFormat/>
    <w:pPr>
      <w:spacing w:line="500" w:lineRule="exact"/>
      <w:jc w:val="center"/>
    </w:pPr>
    <w:rPr>
      <w:rFonts w:ascii="隶书" w:eastAsia="隶书"/>
      <w:b/>
      <w:kern w:val="2"/>
      <w:sz w:val="36"/>
      <w:szCs w:val="36"/>
    </w:rPr>
  </w:style>
  <w:style w:type="paragraph" w:customStyle="1" w:styleId="CM55">
    <w:name w:val="CM55"/>
    <w:basedOn w:val="Default"/>
    <w:next w:val="Default"/>
    <w:uiPriority w:val="99"/>
    <w:qFormat/>
    <w:pPr>
      <w:spacing w:line="560" w:lineRule="atLeast"/>
    </w:pPr>
    <w:rPr>
      <w:rFonts w:hAnsi="Calibri" w:cs="Times New Roman"/>
      <w:color w:val="auto"/>
    </w:rPr>
  </w:style>
  <w:style w:type="paragraph" w:customStyle="1" w:styleId="152">
    <w:name w:val="样式 纯文本 + 幼圆 小四 行距: 1.5 倍行距"/>
    <w:basedOn w:val="aff1"/>
    <w:qFormat/>
    <w:pPr>
      <w:spacing w:line="360" w:lineRule="auto"/>
      <w:ind w:leftChars="412" w:left="989"/>
    </w:pPr>
    <w:rPr>
      <w:rFonts w:ascii="幼圆" w:eastAsia="幼圆" w:hAnsi="Dutch801 Rm BT" w:cs="宋体"/>
      <w:kern w:val="2"/>
      <w:sz w:val="24"/>
    </w:rPr>
  </w:style>
  <w:style w:type="paragraph" w:customStyle="1" w:styleId="129">
    <w:name w:val="字元12"/>
    <w:basedOn w:val="a9"/>
    <w:qFormat/>
    <w:rPr>
      <w:kern w:val="2"/>
      <w:sz w:val="21"/>
      <w:szCs w:val="21"/>
    </w:rPr>
  </w:style>
  <w:style w:type="paragraph" w:customStyle="1" w:styleId="CM40">
    <w:name w:val="CM40"/>
    <w:basedOn w:val="Default"/>
    <w:next w:val="Default"/>
    <w:uiPriority w:val="99"/>
    <w:qFormat/>
    <w:pPr>
      <w:spacing w:line="560" w:lineRule="atLeast"/>
    </w:pPr>
    <w:rPr>
      <w:rFonts w:hAnsi="Calibri" w:cs="Times New Roman"/>
      <w:color w:val="auto"/>
    </w:rPr>
  </w:style>
  <w:style w:type="paragraph" w:customStyle="1" w:styleId="CM104">
    <w:name w:val="CM104"/>
    <w:basedOn w:val="Default"/>
    <w:next w:val="Default"/>
    <w:uiPriority w:val="99"/>
    <w:qFormat/>
    <w:pPr>
      <w:spacing w:after="238"/>
    </w:pPr>
    <w:rPr>
      <w:rFonts w:hAnsi="Calibri" w:cs="Times New Roman"/>
      <w:color w:val="auto"/>
    </w:rPr>
  </w:style>
  <w:style w:type="paragraph" w:customStyle="1" w:styleId="CM43">
    <w:name w:val="CM43"/>
    <w:basedOn w:val="Default"/>
    <w:next w:val="Default"/>
    <w:uiPriority w:val="99"/>
    <w:qFormat/>
    <w:pPr>
      <w:spacing w:line="576" w:lineRule="atLeast"/>
    </w:pPr>
    <w:rPr>
      <w:rFonts w:hAnsi="Calibri" w:cs="Times New Roman"/>
      <w:color w:val="auto"/>
    </w:rPr>
  </w:style>
  <w:style w:type="paragraph" w:customStyle="1" w:styleId="affffffffffffffffffe">
    <w:name w:val="表芯"/>
    <w:basedOn w:val="a9"/>
    <w:next w:val="a9"/>
    <w:qFormat/>
    <w:pPr>
      <w:adjustRightInd w:val="0"/>
      <w:snapToGrid w:val="0"/>
      <w:spacing w:line="320" w:lineRule="atLeast"/>
      <w:jc w:val="center"/>
    </w:pPr>
    <w:rPr>
      <w:rFonts w:eastAsia="楷体_GB2312"/>
      <w:spacing w:val="-6"/>
      <w:sz w:val="21"/>
    </w:rPr>
  </w:style>
  <w:style w:type="paragraph" w:customStyle="1" w:styleId="CharCharChar1CharCharChar1CharCharChar1CharCharChar">
    <w:name w:val="Char Char Char1 Char Char Char1 Char Char Char1 Char Char Char 字元 字元"/>
    <w:basedOn w:val="a9"/>
    <w:qFormat/>
    <w:pPr>
      <w:spacing w:line="400" w:lineRule="exact"/>
      <w:ind w:firstLineChars="200" w:firstLine="200"/>
    </w:pPr>
    <w:rPr>
      <w:kern w:val="2"/>
      <w:sz w:val="28"/>
      <w:szCs w:val="28"/>
    </w:rPr>
  </w:style>
  <w:style w:type="paragraph" w:customStyle="1" w:styleId="titleshow">
    <w:name w:val="title_show"/>
    <w:basedOn w:val="a9"/>
    <w:qFormat/>
    <w:pPr>
      <w:widowControl/>
      <w:spacing w:before="100" w:beforeAutospacing="1" w:after="100" w:afterAutospacing="1"/>
      <w:jc w:val="left"/>
    </w:pPr>
    <w:rPr>
      <w:rFonts w:ascii="宋体" w:hAnsi="宋体" w:cs="宋体"/>
      <w:color w:val="000000"/>
      <w:sz w:val="24"/>
      <w:szCs w:val="24"/>
    </w:rPr>
  </w:style>
  <w:style w:type="paragraph" w:customStyle="1" w:styleId="afffffffffffffffffff">
    <w:name w:val="近年该"/>
    <w:basedOn w:val="a9"/>
    <w:qFormat/>
    <w:pPr>
      <w:adjustRightInd w:val="0"/>
      <w:spacing w:line="315" w:lineRule="atLeast"/>
      <w:ind w:firstLine="601"/>
      <w:jc w:val="left"/>
    </w:pPr>
    <w:rPr>
      <w:rFonts w:ascii="宋体" w:eastAsia="楷体_GB2312"/>
      <w:spacing w:val="8"/>
      <w:sz w:val="28"/>
    </w:rPr>
  </w:style>
  <w:style w:type="paragraph" w:customStyle="1" w:styleId="CM75">
    <w:name w:val="CM75"/>
    <w:basedOn w:val="Default"/>
    <w:next w:val="Default"/>
    <w:qFormat/>
    <w:pPr>
      <w:spacing w:after="500"/>
    </w:pPr>
    <w:rPr>
      <w:rFonts w:ascii="宋体" w:eastAsia="宋体" w:cs="Times New Roman"/>
      <w:color w:val="auto"/>
    </w:rPr>
  </w:style>
  <w:style w:type="paragraph" w:customStyle="1" w:styleId="CM32">
    <w:name w:val="CM32"/>
    <w:basedOn w:val="Default"/>
    <w:next w:val="Default"/>
    <w:uiPriority w:val="99"/>
    <w:qFormat/>
    <w:pPr>
      <w:spacing w:line="560" w:lineRule="atLeast"/>
    </w:pPr>
    <w:rPr>
      <w:rFonts w:hAnsi="Calibri" w:cs="Times New Roman"/>
      <w:color w:val="auto"/>
    </w:rPr>
  </w:style>
  <w:style w:type="paragraph" w:customStyle="1" w:styleId="Normal137">
    <w:name w:val="Normal_137"/>
    <w:qFormat/>
    <w:pPr>
      <w:spacing w:before="120" w:after="240"/>
      <w:jc w:val="both"/>
    </w:pPr>
    <w:rPr>
      <w:rFonts w:ascii="Calibri" w:eastAsia="Calibri" w:hAnsi="Calibri"/>
      <w:sz w:val="22"/>
      <w:szCs w:val="22"/>
      <w:lang w:val="ru-RU" w:eastAsia="en-US"/>
    </w:rPr>
  </w:style>
  <w:style w:type="paragraph" w:customStyle="1" w:styleId="CM38">
    <w:name w:val="CM38"/>
    <w:basedOn w:val="Default"/>
    <w:next w:val="Default"/>
    <w:uiPriority w:val="99"/>
    <w:qFormat/>
    <w:pPr>
      <w:spacing w:line="560" w:lineRule="atLeast"/>
    </w:pPr>
    <w:rPr>
      <w:rFonts w:hAnsi="Calibri" w:cs="Times New Roman"/>
      <w:color w:val="auto"/>
    </w:rPr>
  </w:style>
  <w:style w:type="paragraph" w:customStyle="1" w:styleId="CM3">
    <w:name w:val="CM3"/>
    <w:basedOn w:val="Default"/>
    <w:next w:val="Default"/>
    <w:qFormat/>
    <w:rPr>
      <w:rFonts w:ascii="宋体" w:eastAsia="宋体" w:cs="Times New Roman"/>
      <w:color w:val="auto"/>
    </w:rPr>
  </w:style>
  <w:style w:type="paragraph" w:customStyle="1" w:styleId="CM58">
    <w:name w:val="CM58"/>
    <w:basedOn w:val="Default"/>
    <w:next w:val="Default"/>
    <w:qFormat/>
    <w:pPr>
      <w:spacing w:after="710"/>
    </w:pPr>
    <w:rPr>
      <w:rFonts w:ascii="宋体" w:eastAsia="宋体" w:cs="Times New Roman"/>
      <w:color w:val="auto"/>
    </w:rPr>
  </w:style>
  <w:style w:type="paragraph" w:customStyle="1" w:styleId="afffffffffffffffffff0">
    <w:name w:val="插图标题"/>
    <w:basedOn w:val="a9"/>
    <w:qFormat/>
    <w:pPr>
      <w:adjustRightInd w:val="0"/>
      <w:spacing w:before="120" w:line="400" w:lineRule="exact"/>
      <w:jc w:val="center"/>
    </w:pPr>
    <w:rPr>
      <w:rFonts w:eastAsia="黑体"/>
      <w:color w:val="0000FF"/>
      <w:spacing w:val="8"/>
      <w:sz w:val="24"/>
    </w:rPr>
  </w:style>
  <w:style w:type="paragraph" w:customStyle="1" w:styleId="1fffffc">
    <w:name w:val="价格变化趋1"/>
    <w:basedOn w:val="a9"/>
    <w:qFormat/>
    <w:pPr>
      <w:adjustRightInd w:val="0"/>
      <w:spacing w:line="315" w:lineRule="atLeast"/>
      <w:jc w:val="left"/>
      <w:textAlignment w:val="baseline"/>
    </w:pPr>
    <w:rPr>
      <w:rFonts w:ascii="宋体"/>
      <w:sz w:val="21"/>
    </w:rPr>
  </w:style>
  <w:style w:type="paragraph" w:customStyle="1" w:styleId="TITLE-0">
    <w:name w:val="TITLE-0"/>
    <w:basedOn w:val="a9"/>
    <w:qFormat/>
    <w:pPr>
      <w:adjustRightInd w:val="0"/>
      <w:jc w:val="center"/>
    </w:pPr>
    <w:rPr>
      <w:rFonts w:ascii="華康隸書體" w:eastAsia="華康中楷體"/>
      <w:b/>
      <w:sz w:val="48"/>
      <w:lang w:eastAsia="zh-TW"/>
    </w:rPr>
  </w:style>
  <w:style w:type="paragraph" w:customStyle="1" w:styleId="TITLE-1">
    <w:name w:val="TITLE-1"/>
    <w:basedOn w:val="a9"/>
    <w:qFormat/>
    <w:pPr>
      <w:adjustRightInd w:val="0"/>
      <w:jc w:val="left"/>
    </w:pPr>
    <w:rPr>
      <w:rFonts w:ascii="華康隸書體" w:eastAsia="華康隸書體"/>
      <w:b/>
      <w:sz w:val="36"/>
      <w:lang w:eastAsia="zh-TW"/>
    </w:rPr>
  </w:style>
  <w:style w:type="paragraph" w:customStyle="1" w:styleId="afffffffffffffffffff1">
    <w:name w:val="表格内"/>
    <w:basedOn w:val="a9"/>
    <w:qFormat/>
    <w:pPr>
      <w:adjustRightInd w:val="0"/>
      <w:spacing w:line="240" w:lineRule="atLeast"/>
      <w:jc w:val="center"/>
      <w:textAlignment w:val="baseline"/>
    </w:pPr>
    <w:rPr>
      <w:rFonts w:ascii="宋体"/>
      <w:sz w:val="21"/>
    </w:rPr>
  </w:style>
  <w:style w:type="paragraph" w:customStyle="1" w:styleId="ListParagraph1">
    <w:name w:val="List Paragraph1"/>
    <w:basedOn w:val="a9"/>
    <w:qFormat/>
    <w:pPr>
      <w:ind w:leftChars="200" w:left="480"/>
      <w:jc w:val="left"/>
    </w:pPr>
    <w:rPr>
      <w:rFonts w:ascii="Calibri" w:eastAsia="PMingLiU" w:hAnsi="Calibri"/>
      <w:kern w:val="2"/>
      <w:sz w:val="24"/>
      <w:szCs w:val="22"/>
      <w:lang w:eastAsia="zh-TW"/>
    </w:rPr>
  </w:style>
  <w:style w:type="paragraph" w:customStyle="1" w:styleId="5f0">
    <w:name w:val="表格5号无缩"/>
    <w:basedOn w:val="a9"/>
    <w:qFormat/>
    <w:pPr>
      <w:spacing w:line="360" w:lineRule="exact"/>
      <w:jc w:val="center"/>
    </w:pPr>
    <w:rPr>
      <w:rFonts w:ascii="Arial" w:hAnsi="Arial"/>
      <w:kern w:val="2"/>
      <w:sz w:val="21"/>
      <w:szCs w:val="21"/>
    </w:rPr>
  </w:style>
  <w:style w:type="paragraph" w:customStyle="1" w:styleId="CM25">
    <w:name w:val="CM25"/>
    <w:basedOn w:val="Default"/>
    <w:next w:val="Default"/>
    <w:qFormat/>
    <w:pPr>
      <w:spacing w:line="548" w:lineRule="atLeast"/>
    </w:pPr>
    <w:rPr>
      <w:rFonts w:ascii="宋体" w:eastAsia="宋体" w:cs="Times New Roman"/>
      <w:color w:val="auto"/>
    </w:rPr>
  </w:style>
  <w:style w:type="paragraph" w:customStyle="1" w:styleId="CharChar1CharCharCharChar1">
    <w:name w:val="Char Char1 Char Char Char Char1"/>
    <w:basedOn w:val="a9"/>
    <w:qFormat/>
    <w:pPr>
      <w:spacing w:line="360" w:lineRule="auto"/>
      <w:ind w:firstLineChars="200" w:firstLine="200"/>
    </w:pPr>
    <w:rPr>
      <w:rFonts w:ascii="宋体" w:hAnsi="宋体" w:cs="宋体"/>
      <w:kern w:val="2"/>
      <w:sz w:val="24"/>
      <w:szCs w:val="24"/>
    </w:rPr>
  </w:style>
  <w:style w:type="paragraph" w:customStyle="1" w:styleId="CM41">
    <w:name w:val="CM41"/>
    <w:basedOn w:val="Default"/>
    <w:next w:val="Default"/>
    <w:uiPriority w:val="99"/>
    <w:qFormat/>
    <w:rPr>
      <w:rFonts w:hAnsi="Calibri" w:cs="Times New Roman"/>
      <w:color w:val="auto"/>
    </w:rPr>
  </w:style>
  <w:style w:type="paragraph" w:customStyle="1" w:styleId="afffffffffffffffffff2">
    <w:name w:val="表芯左"/>
    <w:basedOn w:val="a9"/>
    <w:qFormat/>
    <w:pPr>
      <w:adjustRightInd w:val="0"/>
      <w:spacing w:line="320" w:lineRule="atLeast"/>
      <w:jc w:val="left"/>
    </w:pPr>
    <w:rPr>
      <w:rFonts w:eastAsia="楷体_GB2312"/>
      <w:spacing w:val="-12"/>
      <w:sz w:val="21"/>
    </w:rPr>
  </w:style>
  <w:style w:type="paragraph" w:customStyle="1" w:styleId="afffffffffffffffffff3">
    <w:name w:val="正文王"/>
    <w:basedOn w:val="aff1"/>
    <w:qFormat/>
    <w:pPr>
      <w:snapToGrid w:val="0"/>
      <w:spacing w:line="440" w:lineRule="exact"/>
    </w:pPr>
    <w:rPr>
      <w:rFonts w:ascii="Arial" w:hAnsi="Arial"/>
      <w:sz w:val="24"/>
    </w:rPr>
  </w:style>
  <w:style w:type="paragraph" w:customStyle="1" w:styleId="afffffffffffffffffff4">
    <w:name w:val="说明文字"/>
    <w:basedOn w:val="a9"/>
    <w:qFormat/>
    <w:pPr>
      <w:shd w:val="pct10" w:color="auto" w:fill="FFFFFF"/>
      <w:adjustRightInd w:val="0"/>
      <w:spacing w:line="360" w:lineRule="atLeast"/>
      <w:ind w:firstLine="601"/>
      <w:outlineLvl w:val="0"/>
    </w:pPr>
    <w:rPr>
      <w:rFonts w:eastAsia="楷体_GB2312"/>
      <w:color w:val="FF0000"/>
      <w:spacing w:val="8"/>
      <w:sz w:val="28"/>
    </w:rPr>
  </w:style>
  <w:style w:type="paragraph" w:customStyle="1" w:styleId="CM13">
    <w:name w:val="CM13"/>
    <w:basedOn w:val="Default"/>
    <w:next w:val="Default"/>
    <w:qFormat/>
    <w:pPr>
      <w:spacing w:line="548" w:lineRule="atLeast"/>
    </w:pPr>
    <w:rPr>
      <w:rFonts w:ascii="宋体" w:eastAsia="宋体" w:cs="Times New Roman"/>
      <w:color w:val="auto"/>
    </w:rPr>
  </w:style>
  <w:style w:type="paragraph" w:customStyle="1" w:styleId="0850522">
    <w:name w:val="样式 首行缩进:  0.85 厘米 段后: 0.5 行 行距: 固定值 22 磅"/>
    <w:basedOn w:val="a9"/>
    <w:qFormat/>
    <w:pPr>
      <w:spacing w:after="156" w:line="440" w:lineRule="exact"/>
      <w:ind w:firstLine="480"/>
    </w:pPr>
    <w:rPr>
      <w:kern w:val="2"/>
      <w:sz w:val="21"/>
      <w:szCs w:val="24"/>
    </w:rPr>
  </w:style>
  <w:style w:type="paragraph" w:customStyle="1" w:styleId="ww">
    <w:name w:val="ww正文"/>
    <w:basedOn w:val="a9"/>
    <w:qFormat/>
    <w:pPr>
      <w:spacing w:line="360" w:lineRule="auto"/>
      <w:ind w:firstLineChars="200" w:firstLine="560"/>
    </w:pPr>
    <w:rPr>
      <w:rFonts w:cs="宋体"/>
      <w:kern w:val="2"/>
      <w:sz w:val="28"/>
    </w:rPr>
  </w:style>
  <w:style w:type="paragraph" w:customStyle="1" w:styleId="para1">
    <w:name w:val="para1"/>
    <w:basedOn w:val="a9"/>
    <w:qFormat/>
    <w:pPr>
      <w:widowControl/>
      <w:spacing w:before="100" w:beforeAutospacing="1" w:after="100" w:afterAutospacing="1" w:line="240" w:lineRule="atLeast"/>
      <w:jc w:val="left"/>
    </w:pPr>
    <w:rPr>
      <w:rFonts w:ascii="宋体" w:hAnsi="宋体" w:cs="宋体"/>
      <w:color w:val="333333"/>
      <w:sz w:val="21"/>
      <w:szCs w:val="21"/>
    </w:rPr>
  </w:style>
  <w:style w:type="paragraph" w:customStyle="1" w:styleId="CM67">
    <w:name w:val="CM67"/>
    <w:basedOn w:val="Default"/>
    <w:next w:val="Default"/>
    <w:uiPriority w:val="99"/>
    <w:qFormat/>
    <w:pPr>
      <w:spacing w:line="560" w:lineRule="atLeast"/>
    </w:pPr>
    <w:rPr>
      <w:rFonts w:hAnsi="Calibri" w:cs="Times New Roman"/>
      <w:color w:val="auto"/>
    </w:rPr>
  </w:style>
  <w:style w:type="paragraph" w:customStyle="1" w:styleId="afffffffffffffffffff5">
    <w:name w:val="草稿"/>
    <w:basedOn w:val="a9"/>
    <w:qFormat/>
    <w:pPr>
      <w:tabs>
        <w:tab w:val="left" w:pos="5015"/>
      </w:tabs>
      <w:adjustRightInd w:val="0"/>
      <w:ind w:firstLine="500"/>
    </w:pPr>
    <w:rPr>
      <w:sz w:val="24"/>
    </w:rPr>
  </w:style>
  <w:style w:type="paragraph" w:customStyle="1" w:styleId="afffffffffffffffffff6">
    <w:name w:val="条目"/>
    <w:basedOn w:val="aff1"/>
    <w:next w:val="afd"/>
    <w:qFormat/>
    <w:pPr>
      <w:tabs>
        <w:tab w:val="left" w:pos="2660"/>
      </w:tabs>
      <w:ind w:left="2660" w:hanging="420"/>
      <w:outlineLvl w:val="4"/>
    </w:pPr>
    <w:rPr>
      <w:kern w:val="2"/>
      <w:sz w:val="24"/>
    </w:rPr>
  </w:style>
  <w:style w:type="paragraph" w:customStyle="1" w:styleId="CM112">
    <w:name w:val="CM112"/>
    <w:basedOn w:val="Default"/>
    <w:next w:val="Default"/>
    <w:uiPriority w:val="99"/>
    <w:qFormat/>
    <w:pPr>
      <w:spacing w:after="625"/>
    </w:pPr>
    <w:rPr>
      <w:rFonts w:hAnsi="Calibri" w:cs="Times New Roman"/>
      <w:color w:val="auto"/>
    </w:rPr>
  </w:style>
  <w:style w:type="paragraph" w:customStyle="1" w:styleId="afffffffffffffffffff7">
    <w:name w:val="换行"/>
    <w:basedOn w:val="aa"/>
    <w:qFormat/>
    <w:pPr>
      <w:spacing w:after="156" w:line="240" w:lineRule="auto"/>
      <w:ind w:firstLineChars="200" w:firstLine="480"/>
    </w:pPr>
    <w:rPr>
      <w:rFonts w:eastAsia="仿宋_GB2312"/>
      <w:kern w:val="2"/>
      <w:sz w:val="18"/>
      <w:szCs w:val="24"/>
    </w:rPr>
  </w:style>
  <w:style w:type="paragraph" w:customStyle="1" w:styleId="CharChar1CharCharCharCharCharCharChar">
    <w:name w:val="Char Char1 Char Char Char Char Char Char Char"/>
    <w:basedOn w:val="a9"/>
    <w:qFormat/>
    <w:pPr>
      <w:spacing w:line="360" w:lineRule="auto"/>
      <w:ind w:firstLineChars="200" w:firstLine="200"/>
    </w:pPr>
    <w:rPr>
      <w:rFonts w:ascii="宋体" w:hAnsi="宋体" w:cs="宋体"/>
      <w:kern w:val="2"/>
      <w:sz w:val="24"/>
      <w:szCs w:val="24"/>
    </w:rPr>
  </w:style>
  <w:style w:type="paragraph" w:customStyle="1" w:styleId="1fffffd">
    <w:name w:val="字元1"/>
    <w:basedOn w:val="a9"/>
    <w:qFormat/>
    <w:rPr>
      <w:kern w:val="2"/>
      <w:sz w:val="21"/>
      <w:szCs w:val="21"/>
    </w:rPr>
  </w:style>
  <w:style w:type="paragraph" w:customStyle="1" w:styleId="11a">
    <w:name w:val="1.1"/>
    <w:basedOn w:val="a9"/>
    <w:qFormat/>
    <w:pPr>
      <w:widowControl/>
      <w:overflowPunct w:val="0"/>
      <w:autoSpaceDE w:val="0"/>
      <w:autoSpaceDN w:val="0"/>
      <w:adjustRightInd w:val="0"/>
      <w:spacing w:line="260" w:lineRule="atLeast"/>
      <w:ind w:left="822" w:hanging="822"/>
      <w:textAlignment w:val="baseline"/>
    </w:pPr>
    <w:rPr>
      <w:rFonts w:ascii="Century Gothic" w:hAnsi="Century Gothic"/>
      <w:b/>
      <w:sz w:val="24"/>
      <w:lang w:val="fr-FR" w:eastAsia="fr-FR"/>
    </w:rPr>
  </w:style>
  <w:style w:type="paragraph" w:customStyle="1" w:styleId="afffffffffffffffffff8">
    <w:name w:val="表题格式"/>
    <w:basedOn w:val="a9"/>
    <w:qFormat/>
    <w:pPr>
      <w:spacing w:line="440" w:lineRule="exact"/>
      <w:ind w:firstLineChars="377" w:firstLine="377"/>
    </w:pPr>
    <w:rPr>
      <w:rFonts w:eastAsia="黑体"/>
      <w:sz w:val="24"/>
    </w:rPr>
  </w:style>
  <w:style w:type="paragraph" w:customStyle="1" w:styleId="afffffffffffffffffff9">
    <w:name w:val="字元"/>
    <w:basedOn w:val="a9"/>
    <w:qFormat/>
    <w:rPr>
      <w:kern w:val="2"/>
      <w:sz w:val="24"/>
      <w:szCs w:val="24"/>
    </w:rPr>
  </w:style>
  <w:style w:type="paragraph" w:customStyle="1" w:styleId="CharCharCharChara">
    <w:name w:val="Char Char 字元 Char Char 字元"/>
    <w:basedOn w:val="a9"/>
    <w:qFormat/>
    <w:pPr>
      <w:spacing w:line="400" w:lineRule="exact"/>
      <w:ind w:firstLineChars="200" w:firstLine="200"/>
    </w:pPr>
    <w:rPr>
      <w:kern w:val="2"/>
      <w:sz w:val="28"/>
      <w:szCs w:val="28"/>
    </w:rPr>
  </w:style>
  <w:style w:type="paragraph" w:customStyle="1" w:styleId="CM103">
    <w:name w:val="CM103"/>
    <w:basedOn w:val="Default"/>
    <w:next w:val="Default"/>
    <w:uiPriority w:val="99"/>
    <w:qFormat/>
    <w:pPr>
      <w:spacing w:after="170"/>
    </w:pPr>
    <w:rPr>
      <w:rFonts w:hAnsi="Calibri" w:cs="Times New Roman"/>
      <w:color w:val="auto"/>
    </w:rPr>
  </w:style>
  <w:style w:type="paragraph" w:customStyle="1" w:styleId="1fffffe">
    <w:name w:val="表样式1"/>
    <w:basedOn w:val="a9"/>
    <w:qFormat/>
    <w:pPr>
      <w:snapToGrid w:val="0"/>
      <w:spacing w:line="360" w:lineRule="exact"/>
      <w:jc w:val="center"/>
    </w:pPr>
    <w:rPr>
      <w:bCs/>
      <w:kern w:val="2"/>
      <w:sz w:val="21"/>
      <w:szCs w:val="21"/>
      <w:u w:color="000000"/>
    </w:rPr>
  </w:style>
  <w:style w:type="paragraph" w:customStyle="1" w:styleId="CM34">
    <w:name w:val="CM34"/>
    <w:basedOn w:val="Default"/>
    <w:next w:val="Default"/>
    <w:uiPriority w:val="99"/>
    <w:qFormat/>
    <w:pPr>
      <w:spacing w:line="560" w:lineRule="atLeast"/>
    </w:pPr>
    <w:rPr>
      <w:rFonts w:hAnsi="Calibri" w:cs="Times New Roman"/>
      <w:color w:val="auto"/>
    </w:rPr>
  </w:style>
  <w:style w:type="paragraph" w:customStyle="1" w:styleId="CM114">
    <w:name w:val="CM114"/>
    <w:basedOn w:val="Default"/>
    <w:next w:val="Default"/>
    <w:uiPriority w:val="99"/>
    <w:qFormat/>
    <w:pPr>
      <w:spacing w:after="132"/>
    </w:pPr>
    <w:rPr>
      <w:rFonts w:hAnsi="Calibri" w:cs="Times New Roman"/>
      <w:color w:val="auto"/>
    </w:rPr>
  </w:style>
  <w:style w:type="paragraph" w:customStyle="1" w:styleId="CM64">
    <w:name w:val="CM64"/>
    <w:basedOn w:val="Default"/>
    <w:next w:val="Default"/>
    <w:qFormat/>
    <w:pPr>
      <w:spacing w:after="310"/>
    </w:pPr>
    <w:rPr>
      <w:rFonts w:ascii="宋体" w:eastAsia="宋体" w:cs="Times New Roman"/>
      <w:color w:val="auto"/>
    </w:rPr>
  </w:style>
  <w:style w:type="paragraph" w:customStyle="1" w:styleId="CM26">
    <w:name w:val="CM26"/>
    <w:basedOn w:val="Default"/>
    <w:next w:val="Default"/>
    <w:qFormat/>
    <w:pPr>
      <w:spacing w:line="548" w:lineRule="atLeast"/>
    </w:pPr>
    <w:rPr>
      <w:rFonts w:ascii="宋体" w:eastAsia="宋体" w:cs="Times New Roman"/>
      <w:color w:val="auto"/>
    </w:rPr>
  </w:style>
  <w:style w:type="paragraph" w:customStyle="1" w:styleId="CM20">
    <w:name w:val="CM20"/>
    <w:basedOn w:val="Default"/>
    <w:next w:val="Default"/>
    <w:uiPriority w:val="99"/>
    <w:qFormat/>
    <w:pPr>
      <w:spacing w:line="560" w:lineRule="atLeast"/>
    </w:pPr>
    <w:rPr>
      <w:rFonts w:hAnsi="Calibri" w:cs="Times New Roman"/>
      <w:color w:val="auto"/>
    </w:rPr>
  </w:style>
  <w:style w:type="paragraph" w:customStyle="1" w:styleId="afffffffffffffffffffa">
    <w:name w:val="发布部门"/>
    <w:next w:val="a9"/>
    <w:qFormat/>
    <w:pPr>
      <w:framePr w:w="7433" w:h="585" w:hRule="exact" w:hSpace="180" w:vSpace="180" w:wrap="around" w:hAnchor="margin" w:xAlign="center" w:y="14401" w:anchorLock="1"/>
      <w:jc w:val="center"/>
    </w:pPr>
    <w:rPr>
      <w:rFonts w:ascii="宋体"/>
      <w:b/>
      <w:spacing w:val="20"/>
      <w:w w:val="135"/>
      <w:sz w:val="36"/>
    </w:rPr>
  </w:style>
  <w:style w:type="paragraph" w:customStyle="1" w:styleId="3220">
    <w:name w:val="样式 表格 32 + 首行缩进:  2 字符"/>
    <w:basedOn w:val="a9"/>
    <w:qFormat/>
    <w:pPr>
      <w:autoSpaceDE w:val="0"/>
      <w:autoSpaceDN w:val="0"/>
      <w:adjustRightInd w:val="0"/>
      <w:spacing w:line="0" w:lineRule="atLeast"/>
      <w:jc w:val="center"/>
      <w:textAlignment w:val="baseline"/>
    </w:pPr>
    <w:rPr>
      <w:sz w:val="21"/>
      <w:szCs w:val="21"/>
    </w:rPr>
  </w:style>
  <w:style w:type="paragraph" w:customStyle="1" w:styleId="CM6">
    <w:name w:val="CM6"/>
    <w:basedOn w:val="Default"/>
    <w:next w:val="Default"/>
    <w:uiPriority w:val="99"/>
    <w:qFormat/>
    <w:pPr>
      <w:spacing w:line="560" w:lineRule="atLeast"/>
    </w:pPr>
    <w:rPr>
      <w:rFonts w:hAnsi="Calibri" w:cs="Times New Roman"/>
      <w:color w:val="auto"/>
    </w:rPr>
  </w:style>
  <w:style w:type="paragraph" w:customStyle="1" w:styleId="CM10">
    <w:name w:val="CM10"/>
    <w:basedOn w:val="Default"/>
    <w:next w:val="Default"/>
    <w:uiPriority w:val="99"/>
    <w:qFormat/>
    <w:rPr>
      <w:rFonts w:hAnsi="Calibri" w:cs="Times New Roman"/>
      <w:color w:val="auto"/>
    </w:rPr>
  </w:style>
  <w:style w:type="paragraph" w:customStyle="1" w:styleId="CharCharCharCharb">
    <w:name w:val="Char Char 字元 Char Char 字元 字元 字元"/>
    <w:basedOn w:val="a9"/>
    <w:qFormat/>
    <w:pPr>
      <w:spacing w:line="400" w:lineRule="exact"/>
      <w:ind w:firstLineChars="200" w:firstLine="200"/>
    </w:pPr>
    <w:rPr>
      <w:kern w:val="2"/>
      <w:sz w:val="28"/>
      <w:szCs w:val="28"/>
    </w:rPr>
  </w:style>
  <w:style w:type="paragraph" w:customStyle="1" w:styleId="CM8">
    <w:name w:val="CM8"/>
    <w:basedOn w:val="Default"/>
    <w:next w:val="Default"/>
    <w:uiPriority w:val="99"/>
    <w:qFormat/>
    <w:pPr>
      <w:spacing w:line="560" w:lineRule="atLeast"/>
    </w:pPr>
    <w:rPr>
      <w:rFonts w:hAnsi="Calibri" w:cs="Times New Roman"/>
      <w:color w:val="auto"/>
    </w:rPr>
  </w:style>
  <w:style w:type="paragraph" w:customStyle="1" w:styleId="Style14">
    <w:name w:val="_Style 14"/>
    <w:basedOn w:val="a9"/>
    <w:next w:val="afff"/>
    <w:pPr>
      <w:widowControl/>
      <w:spacing w:before="100" w:beforeAutospacing="1" w:after="100" w:afterAutospacing="1"/>
      <w:jc w:val="left"/>
    </w:pPr>
    <w:rPr>
      <w:rFonts w:ascii="宋体" w:hAnsi="宋体"/>
      <w:sz w:val="24"/>
      <w:szCs w:val="24"/>
    </w:rPr>
  </w:style>
  <w:style w:type="paragraph" w:customStyle="1" w:styleId="2fff2">
    <w:name w:val="封面2"/>
    <w:basedOn w:val="a9"/>
    <w:qFormat/>
    <w:pPr>
      <w:jc w:val="center"/>
    </w:pPr>
    <w:rPr>
      <w:b/>
      <w:kern w:val="2"/>
      <w:sz w:val="44"/>
      <w:szCs w:val="24"/>
    </w:rPr>
  </w:style>
  <w:style w:type="paragraph" w:customStyle="1" w:styleId="2fff3">
    <w:name w:val="字元2"/>
    <w:basedOn w:val="a9"/>
    <w:qFormat/>
    <w:rPr>
      <w:kern w:val="2"/>
      <w:sz w:val="24"/>
      <w:szCs w:val="24"/>
    </w:rPr>
  </w:style>
  <w:style w:type="paragraph" w:customStyle="1" w:styleId="02">
    <w:name w:val="标题02"/>
    <w:basedOn w:val="a9"/>
    <w:qFormat/>
    <w:pPr>
      <w:spacing w:before="60" w:line="480" w:lineRule="exact"/>
      <w:outlineLvl w:val="1"/>
    </w:pPr>
    <w:rPr>
      <w:b/>
      <w:kern w:val="2"/>
      <w:sz w:val="28"/>
    </w:rPr>
  </w:style>
  <w:style w:type="paragraph" w:customStyle="1" w:styleId="CM23">
    <w:name w:val="CM23"/>
    <w:basedOn w:val="Default"/>
    <w:next w:val="Default"/>
    <w:qFormat/>
    <w:pPr>
      <w:spacing w:line="548" w:lineRule="atLeast"/>
    </w:pPr>
    <w:rPr>
      <w:rFonts w:ascii="宋体" w:eastAsia="宋体" w:cs="Times New Roman"/>
      <w:color w:val="auto"/>
    </w:rPr>
  </w:style>
  <w:style w:type="paragraph" w:customStyle="1" w:styleId="CM35">
    <w:name w:val="CM35"/>
    <w:basedOn w:val="Default"/>
    <w:next w:val="Default"/>
    <w:uiPriority w:val="99"/>
    <w:qFormat/>
    <w:pPr>
      <w:spacing w:line="560" w:lineRule="atLeast"/>
    </w:pPr>
    <w:rPr>
      <w:rFonts w:hAnsi="Calibri" w:cs="Times New Roman"/>
      <w:color w:val="auto"/>
    </w:rPr>
  </w:style>
  <w:style w:type="paragraph" w:customStyle="1" w:styleId="CM22">
    <w:name w:val="CM22"/>
    <w:basedOn w:val="Default"/>
    <w:next w:val="Default"/>
    <w:qFormat/>
    <w:pPr>
      <w:spacing w:line="548" w:lineRule="atLeast"/>
    </w:pPr>
    <w:rPr>
      <w:rFonts w:ascii="宋体" w:eastAsia="宋体" w:cs="Times New Roman"/>
      <w:color w:val="auto"/>
    </w:rPr>
  </w:style>
  <w:style w:type="paragraph" w:customStyle="1" w:styleId="z-11">
    <w:name w:val="z-窗体顶端11"/>
    <w:basedOn w:val="a9"/>
    <w:next w:val="a9"/>
    <w:qFormat/>
    <w:pPr>
      <w:widowControl/>
      <w:pBdr>
        <w:bottom w:val="single" w:sz="6" w:space="1" w:color="auto"/>
      </w:pBdr>
      <w:jc w:val="center"/>
    </w:pPr>
    <w:rPr>
      <w:rFonts w:ascii="Arial" w:hAnsi="Arial"/>
      <w:vanish/>
      <w:sz w:val="16"/>
      <w:szCs w:val="16"/>
    </w:rPr>
  </w:style>
  <w:style w:type="paragraph" w:customStyle="1" w:styleId="TITLE-2">
    <w:name w:val="TITLE-2"/>
    <w:basedOn w:val="a9"/>
    <w:qFormat/>
    <w:pPr>
      <w:adjustRightInd w:val="0"/>
      <w:spacing w:line="480" w:lineRule="atLeast"/>
      <w:ind w:left="284" w:hanging="284"/>
    </w:pPr>
    <w:rPr>
      <w:rFonts w:ascii="華康中楷體" w:eastAsia="華康中楷體"/>
      <w:sz w:val="28"/>
      <w:lang w:eastAsia="zh-TW"/>
    </w:rPr>
  </w:style>
  <w:style w:type="paragraph" w:customStyle="1" w:styleId="CM15">
    <w:name w:val="CM15"/>
    <w:basedOn w:val="Default"/>
    <w:next w:val="Default"/>
    <w:uiPriority w:val="99"/>
    <w:qFormat/>
    <w:pPr>
      <w:spacing w:line="560" w:lineRule="atLeast"/>
    </w:pPr>
    <w:rPr>
      <w:rFonts w:hAnsi="Calibri" w:cs="Times New Roman"/>
      <w:color w:val="auto"/>
    </w:rPr>
  </w:style>
  <w:style w:type="paragraph" w:customStyle="1" w:styleId="CM72">
    <w:name w:val="CM72"/>
    <w:basedOn w:val="Default"/>
    <w:next w:val="Default"/>
    <w:uiPriority w:val="99"/>
    <w:qFormat/>
    <w:pPr>
      <w:spacing w:line="560" w:lineRule="atLeast"/>
    </w:pPr>
    <w:rPr>
      <w:rFonts w:hAnsi="Calibri" w:cs="Times New Roman"/>
      <w:color w:val="auto"/>
    </w:rPr>
  </w:style>
  <w:style w:type="paragraph" w:customStyle="1" w:styleId="CM129">
    <w:name w:val="CM129"/>
    <w:basedOn w:val="Default"/>
    <w:next w:val="Default"/>
    <w:uiPriority w:val="99"/>
    <w:qFormat/>
    <w:pPr>
      <w:spacing w:after="340"/>
    </w:pPr>
    <w:rPr>
      <w:rFonts w:hAnsi="Calibri" w:cs="Times New Roman"/>
      <w:color w:val="auto"/>
    </w:rPr>
  </w:style>
  <w:style w:type="paragraph" w:customStyle="1" w:styleId="HTML9">
    <w:name w:val="HTML 预先格式化"/>
    <w:basedOn w:val="a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customStyle="1" w:styleId="afffffffffffffffffffb">
    <w:name w:val="表注"/>
    <w:basedOn w:val="a9"/>
    <w:qFormat/>
    <w:pPr>
      <w:adjustRightInd w:val="0"/>
      <w:spacing w:after="120" w:line="400" w:lineRule="exact"/>
      <w:ind w:firstLine="640"/>
    </w:pPr>
    <w:rPr>
      <w:rFonts w:eastAsia="幼圆"/>
      <w:color w:val="0000FF"/>
      <w:spacing w:val="8"/>
      <w:sz w:val="18"/>
    </w:rPr>
  </w:style>
  <w:style w:type="paragraph" w:customStyle="1" w:styleId="afffffffffffffffffffc">
    <w:name w:val="封面标准代替信息"/>
    <w:basedOn w:val="2fff4"/>
    <w:qFormat/>
    <w:pPr>
      <w:framePr w:wrap="around"/>
      <w:spacing w:before="57"/>
    </w:pPr>
    <w:rPr>
      <w:rFonts w:ascii="宋体"/>
      <w:sz w:val="21"/>
    </w:rPr>
  </w:style>
  <w:style w:type="paragraph" w:customStyle="1" w:styleId="2fff4">
    <w:name w:val="封面标准号2"/>
    <w:basedOn w:val="a9"/>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sz w:val="28"/>
    </w:rPr>
  </w:style>
  <w:style w:type="paragraph" w:customStyle="1" w:styleId="CharChar1CharCharCharChar">
    <w:name w:val="Char Char1 Char Char Char Char"/>
    <w:basedOn w:val="a9"/>
    <w:qFormat/>
    <w:pPr>
      <w:spacing w:line="360" w:lineRule="auto"/>
      <w:ind w:firstLineChars="200" w:firstLine="200"/>
    </w:pPr>
    <w:rPr>
      <w:rFonts w:ascii="宋体" w:hAnsi="宋体" w:cs="宋体"/>
      <w:kern w:val="2"/>
      <w:sz w:val="24"/>
      <w:szCs w:val="24"/>
    </w:rPr>
  </w:style>
  <w:style w:type="paragraph" w:customStyle="1" w:styleId="CM63">
    <w:name w:val="CM63"/>
    <w:basedOn w:val="Default"/>
    <w:next w:val="Default"/>
    <w:uiPriority w:val="99"/>
    <w:qFormat/>
    <w:pPr>
      <w:spacing w:line="600" w:lineRule="atLeast"/>
    </w:pPr>
    <w:rPr>
      <w:rFonts w:hAnsi="Calibri" w:cs="Times New Roman"/>
      <w:color w:val="auto"/>
    </w:rPr>
  </w:style>
  <w:style w:type="paragraph" w:customStyle="1" w:styleId="CharChar15">
    <w:name w:val="Char Char 字元1"/>
    <w:basedOn w:val="a9"/>
    <w:qFormat/>
    <w:pPr>
      <w:spacing w:line="400" w:lineRule="exact"/>
      <w:ind w:firstLineChars="200" w:firstLine="200"/>
    </w:pPr>
    <w:rPr>
      <w:kern w:val="2"/>
      <w:sz w:val="28"/>
      <w:szCs w:val="28"/>
    </w:rPr>
  </w:style>
  <w:style w:type="paragraph" w:customStyle="1" w:styleId="afffffffffffffffffffd">
    <w:name w:val="表芯右"/>
    <w:basedOn w:val="a9"/>
    <w:qFormat/>
    <w:pPr>
      <w:adjustRightInd w:val="0"/>
      <w:spacing w:line="320" w:lineRule="atLeast"/>
      <w:jc w:val="right"/>
    </w:pPr>
    <w:rPr>
      <w:rFonts w:eastAsia="楷体_GB2312"/>
      <w:spacing w:val="-12"/>
      <w:sz w:val="21"/>
    </w:rPr>
  </w:style>
  <w:style w:type="paragraph" w:customStyle="1" w:styleId="CharCharChar1CharCharChar1CharCharChar1CharCharCharCharChar">
    <w:name w:val="Char Char Char1 Char Char Char1 Char Char Char1 Char Char Char 字元 字元 Char Char 字元 字元 字元 字元"/>
    <w:basedOn w:val="a9"/>
    <w:qFormat/>
    <w:pPr>
      <w:spacing w:line="400" w:lineRule="exact"/>
      <w:ind w:firstLineChars="200" w:firstLine="200"/>
    </w:pPr>
    <w:rPr>
      <w:kern w:val="2"/>
      <w:sz w:val="28"/>
      <w:szCs w:val="28"/>
    </w:rPr>
  </w:style>
  <w:style w:type="paragraph" w:customStyle="1" w:styleId="TimesNewRoman2">
    <w:name w:val="样式 (西文) Times New Roman 小四 黑色 两端对齐 首行缩进:  2 字符"/>
    <w:basedOn w:val="a9"/>
    <w:qFormat/>
    <w:pPr>
      <w:spacing w:line="360" w:lineRule="auto"/>
      <w:ind w:firstLineChars="200" w:firstLine="480"/>
    </w:pPr>
    <w:rPr>
      <w:rFonts w:cs="宋体"/>
      <w:color w:val="000000"/>
      <w:kern w:val="2"/>
      <w:sz w:val="28"/>
    </w:rPr>
  </w:style>
  <w:style w:type="paragraph" w:customStyle="1" w:styleId="afffffffffffffffffffe">
    <w:name w:val="附录"/>
    <w:basedOn w:val="25"/>
    <w:qFormat/>
    <w:pPr>
      <w:tabs>
        <w:tab w:val="clear" w:pos="840"/>
        <w:tab w:val="clear" w:pos="9628"/>
        <w:tab w:val="left" w:pos="8505"/>
      </w:tabs>
      <w:adjustRightInd w:val="0"/>
      <w:spacing w:before="0" w:line="400" w:lineRule="exact"/>
      <w:ind w:left="420"/>
      <w:jc w:val="both"/>
    </w:pPr>
    <w:rPr>
      <w:rFonts w:ascii="宋体" w:eastAsia="楷体_GB2312" w:hAnsi="宋体"/>
      <w:iCs w:val="0"/>
      <w:smallCaps/>
    </w:rPr>
  </w:style>
  <w:style w:type="paragraph" w:customStyle="1" w:styleId="affffffffffffffffffff">
    <w:name w:val="标准称谓"/>
    <w:next w:val="a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CM105">
    <w:name w:val="CM105"/>
    <w:basedOn w:val="Default"/>
    <w:next w:val="Default"/>
    <w:uiPriority w:val="99"/>
    <w:qFormat/>
    <w:pPr>
      <w:spacing w:after="683"/>
    </w:pPr>
    <w:rPr>
      <w:rFonts w:hAnsi="Calibri" w:cs="Times New Roman"/>
      <w:color w:val="auto"/>
    </w:rPr>
  </w:style>
  <w:style w:type="paragraph" w:customStyle="1" w:styleId="CM61">
    <w:name w:val="CM61"/>
    <w:basedOn w:val="Default"/>
    <w:next w:val="Default"/>
    <w:uiPriority w:val="99"/>
    <w:qFormat/>
    <w:pPr>
      <w:spacing w:after="358"/>
    </w:pPr>
    <w:rPr>
      <w:rFonts w:ascii="宋体" w:eastAsia="宋体" w:cs="Times New Roman"/>
      <w:color w:val="auto"/>
    </w:rPr>
  </w:style>
  <w:style w:type="paragraph" w:customStyle="1" w:styleId="a10">
    <w:name w:val="a1"/>
    <w:basedOn w:val="a9"/>
    <w:qFormat/>
    <w:pPr>
      <w:widowControl/>
      <w:spacing w:before="100" w:after="100" w:line="400" w:lineRule="atLeast"/>
      <w:jc w:val="left"/>
    </w:pPr>
    <w:rPr>
      <w:rFonts w:ascii="Arial" w:hAnsi="Arial"/>
      <w:b/>
      <w:color w:val="FF0000"/>
      <w:sz w:val="24"/>
    </w:rPr>
  </w:style>
  <w:style w:type="paragraph" w:customStyle="1" w:styleId="affffffffffffffffffff0">
    <w:name w:val="文档正文"/>
    <w:basedOn w:val="a9"/>
    <w:qFormat/>
    <w:pPr>
      <w:adjustRightInd w:val="0"/>
      <w:spacing w:line="480" w:lineRule="atLeast"/>
      <w:ind w:firstLine="567"/>
    </w:pPr>
    <w:rPr>
      <w:rFonts w:ascii="宋体" w:eastAsia="楷体_GB2312"/>
      <w:spacing w:val="8"/>
      <w:sz w:val="24"/>
    </w:rPr>
  </w:style>
  <w:style w:type="paragraph" w:customStyle="1" w:styleId="affffffffffffffffffff1">
    <w:name w:val="行文"/>
    <w:basedOn w:val="a9"/>
    <w:qFormat/>
    <w:pPr>
      <w:adjustRightInd w:val="0"/>
      <w:spacing w:line="480" w:lineRule="exact"/>
      <w:ind w:firstLine="624"/>
    </w:pPr>
    <w:rPr>
      <w:rFonts w:eastAsia="仿宋_GB2312"/>
      <w:spacing w:val="8"/>
      <w:sz w:val="30"/>
    </w:rPr>
  </w:style>
  <w:style w:type="paragraph" w:customStyle="1" w:styleId="Normal136">
    <w:name w:val="Normal_136"/>
    <w:qFormat/>
    <w:pPr>
      <w:spacing w:before="120" w:after="240"/>
      <w:jc w:val="both"/>
    </w:pPr>
    <w:rPr>
      <w:rFonts w:ascii="Calibri" w:eastAsia="Calibri" w:hAnsi="Calibri"/>
      <w:sz w:val="22"/>
      <w:szCs w:val="22"/>
      <w:lang w:val="ru-RU" w:eastAsia="en-US"/>
    </w:rPr>
  </w:style>
  <w:style w:type="paragraph" w:customStyle="1" w:styleId="affffffffffffffffffff2">
    <w:name w:val="小四表格"/>
    <w:basedOn w:val="a9"/>
    <w:qFormat/>
    <w:pPr>
      <w:keepNext/>
      <w:autoSpaceDE w:val="0"/>
      <w:autoSpaceDN w:val="0"/>
      <w:adjustRightInd w:val="0"/>
      <w:spacing w:line="480" w:lineRule="atLeast"/>
      <w:jc w:val="center"/>
    </w:pPr>
    <w:rPr>
      <w:color w:val="000000"/>
      <w:kern w:val="2"/>
      <w:sz w:val="24"/>
    </w:rPr>
  </w:style>
  <w:style w:type="paragraph" w:customStyle="1" w:styleId="CM68">
    <w:name w:val="CM68"/>
    <w:basedOn w:val="Default"/>
    <w:next w:val="Default"/>
    <w:uiPriority w:val="99"/>
    <w:qFormat/>
    <w:rPr>
      <w:rFonts w:hAnsi="Calibri" w:cs="Times New Roman"/>
      <w:color w:val="auto"/>
    </w:rPr>
  </w:style>
  <w:style w:type="paragraph" w:customStyle="1" w:styleId="CharCharCharChar10">
    <w:name w:val="Char Char 字元 Char Char 字元 字元 字元1"/>
    <w:basedOn w:val="a9"/>
    <w:qFormat/>
    <w:pPr>
      <w:spacing w:line="400" w:lineRule="exact"/>
      <w:ind w:firstLineChars="200" w:firstLine="200"/>
    </w:pPr>
    <w:rPr>
      <w:kern w:val="2"/>
      <w:sz w:val="28"/>
      <w:szCs w:val="28"/>
    </w:rPr>
  </w:style>
  <w:style w:type="paragraph" w:customStyle="1" w:styleId="susan">
    <w:name w:val="susan正文"/>
    <w:basedOn w:val="a9"/>
    <w:qFormat/>
    <w:pPr>
      <w:adjustRightInd w:val="0"/>
      <w:spacing w:line="360" w:lineRule="atLeast"/>
      <w:ind w:firstLine="510"/>
    </w:pPr>
    <w:rPr>
      <w:rFonts w:ascii="宋体" w:eastAsia="楷体_GB2312"/>
      <w:spacing w:val="20"/>
      <w:sz w:val="24"/>
    </w:rPr>
  </w:style>
  <w:style w:type="paragraph" w:customStyle="1" w:styleId="CharChar1CharCharCharCharCharCharChar1">
    <w:name w:val="Char Char1 Char Char Char Char Char Char Char1"/>
    <w:basedOn w:val="a9"/>
    <w:qFormat/>
    <w:pPr>
      <w:spacing w:line="360" w:lineRule="auto"/>
      <w:ind w:firstLineChars="200" w:firstLine="200"/>
    </w:pPr>
    <w:rPr>
      <w:rFonts w:ascii="宋体" w:hAnsi="宋体" w:cs="宋体"/>
      <w:kern w:val="2"/>
      <w:sz w:val="24"/>
      <w:szCs w:val="24"/>
    </w:rPr>
  </w:style>
  <w:style w:type="paragraph" w:customStyle="1" w:styleId="affffffffffffffffffff3">
    <w:name w:val="正常文"/>
    <w:basedOn w:val="affffffffffffffffffff1"/>
    <w:qFormat/>
    <w:rPr>
      <w:rFonts w:eastAsia="宋体"/>
    </w:rPr>
  </w:style>
  <w:style w:type="paragraph" w:customStyle="1" w:styleId="11b">
    <w:name w:val="日期11"/>
    <w:basedOn w:val="a9"/>
    <w:next w:val="a9"/>
    <w:semiHidden/>
    <w:qFormat/>
    <w:pPr>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11c">
    <w:name w:val="纯文本11"/>
    <w:basedOn w:val="a9"/>
    <w:qFormat/>
    <w:pPr>
      <w:adjustRightInd w:val="0"/>
      <w:textAlignment w:val="baseline"/>
    </w:pPr>
    <w:rPr>
      <w:rFonts w:ascii="宋体"/>
      <w:sz w:val="21"/>
    </w:rPr>
  </w:style>
  <w:style w:type="paragraph" w:customStyle="1" w:styleId="CharCharCharChar13">
    <w:name w:val="Char Char 字元 Char Char 字元1"/>
    <w:basedOn w:val="a9"/>
    <w:qFormat/>
    <w:pPr>
      <w:spacing w:line="400" w:lineRule="exact"/>
      <w:ind w:firstLineChars="200" w:firstLine="200"/>
    </w:pPr>
    <w:rPr>
      <w:kern w:val="2"/>
      <w:sz w:val="28"/>
      <w:szCs w:val="28"/>
    </w:rPr>
  </w:style>
  <w:style w:type="paragraph" w:customStyle="1" w:styleId="1050">
    <w:name w:val="样式 表头样式1 + 非加粗 段前: 0.5 行"/>
    <w:basedOn w:val="1f3"/>
    <w:qFormat/>
    <w:pPr>
      <w:spacing w:before="0"/>
    </w:pPr>
    <w:rPr>
      <w:rFonts w:eastAsia="宋体" w:hAnsi="宋体"/>
      <w:kern w:val="2"/>
    </w:rPr>
  </w:style>
  <w:style w:type="paragraph" w:customStyle="1" w:styleId="CM115">
    <w:name w:val="CM115"/>
    <w:basedOn w:val="Default"/>
    <w:next w:val="Default"/>
    <w:uiPriority w:val="99"/>
    <w:qFormat/>
    <w:pPr>
      <w:spacing w:after="308"/>
    </w:pPr>
    <w:rPr>
      <w:rFonts w:hAnsi="Calibri" w:cs="Times New Roman"/>
      <w:color w:val="auto"/>
    </w:rPr>
  </w:style>
  <w:style w:type="paragraph" w:customStyle="1" w:styleId="CM56">
    <w:name w:val="CM56"/>
    <w:basedOn w:val="Default"/>
    <w:next w:val="Default"/>
    <w:qFormat/>
    <w:pPr>
      <w:spacing w:line="471" w:lineRule="atLeast"/>
    </w:pPr>
    <w:rPr>
      <w:rFonts w:cs="Times New Roman"/>
      <w:color w:val="auto"/>
      <w:szCs w:val="20"/>
    </w:rPr>
  </w:style>
  <w:style w:type="paragraph" w:customStyle="1" w:styleId="CM126">
    <w:name w:val="CM126"/>
    <w:basedOn w:val="Default"/>
    <w:next w:val="Default"/>
    <w:uiPriority w:val="99"/>
    <w:qFormat/>
    <w:pPr>
      <w:spacing w:after="2648"/>
    </w:pPr>
    <w:rPr>
      <w:rFonts w:hAnsi="Calibri" w:cs="Times New Roman"/>
      <w:color w:val="auto"/>
    </w:rPr>
  </w:style>
  <w:style w:type="paragraph" w:customStyle="1" w:styleId="2fff5">
    <w:name w:val="价格变化趋2"/>
    <w:basedOn w:val="a9"/>
    <w:qFormat/>
    <w:pPr>
      <w:adjustRightInd w:val="0"/>
      <w:spacing w:line="315" w:lineRule="atLeast"/>
      <w:jc w:val="left"/>
      <w:textAlignment w:val="baseline"/>
    </w:pPr>
    <w:rPr>
      <w:rFonts w:ascii="宋体"/>
      <w:sz w:val="21"/>
    </w:rPr>
  </w:style>
  <w:style w:type="paragraph" w:customStyle="1" w:styleId="word">
    <w:name w:val="word"/>
    <w:basedOn w:val="a9"/>
    <w:qFormat/>
    <w:pPr>
      <w:widowControl/>
      <w:spacing w:before="100" w:beforeAutospacing="1" w:after="100" w:afterAutospacing="1" w:line="375" w:lineRule="atLeast"/>
      <w:jc w:val="left"/>
    </w:pPr>
    <w:rPr>
      <w:rFonts w:ascii="Arial" w:hAnsi="Arial" w:cs="Arial"/>
      <w:color w:val="333333"/>
      <w:sz w:val="18"/>
      <w:szCs w:val="18"/>
    </w:rPr>
  </w:style>
  <w:style w:type="paragraph" w:customStyle="1" w:styleId="CM31">
    <w:name w:val="CM31"/>
    <w:basedOn w:val="Default"/>
    <w:next w:val="Default"/>
    <w:uiPriority w:val="99"/>
    <w:qFormat/>
    <w:pPr>
      <w:spacing w:line="560" w:lineRule="atLeast"/>
    </w:pPr>
    <w:rPr>
      <w:rFonts w:hAnsi="Calibri" w:cs="Times New Roman"/>
      <w:color w:val="auto"/>
    </w:rPr>
  </w:style>
  <w:style w:type="paragraph" w:customStyle="1" w:styleId="CM110">
    <w:name w:val="CM110"/>
    <w:basedOn w:val="Default"/>
    <w:next w:val="Default"/>
    <w:uiPriority w:val="99"/>
    <w:qFormat/>
    <w:pPr>
      <w:spacing w:after="558"/>
    </w:pPr>
    <w:rPr>
      <w:rFonts w:hAnsi="Calibri" w:cs="Times New Roman"/>
      <w:color w:val="auto"/>
    </w:rPr>
  </w:style>
  <w:style w:type="paragraph" w:customStyle="1" w:styleId="CM109">
    <w:name w:val="CM109"/>
    <w:basedOn w:val="Default"/>
    <w:next w:val="Default"/>
    <w:uiPriority w:val="99"/>
    <w:qFormat/>
    <w:pPr>
      <w:spacing w:after="72"/>
    </w:pPr>
    <w:rPr>
      <w:rFonts w:hAnsi="Calibri" w:cs="Times New Roman"/>
      <w:color w:val="auto"/>
    </w:rPr>
  </w:style>
  <w:style w:type="paragraph" w:customStyle="1" w:styleId="CM28">
    <w:name w:val="CM28"/>
    <w:basedOn w:val="Default"/>
    <w:next w:val="Default"/>
    <w:uiPriority w:val="99"/>
    <w:qFormat/>
    <w:rPr>
      <w:rFonts w:hAnsi="Calibri" w:cs="Times New Roman"/>
      <w:color w:val="auto"/>
    </w:rPr>
  </w:style>
  <w:style w:type="paragraph" w:customStyle="1" w:styleId="5f1">
    <w:name w:val="样式 标题5"/>
    <w:basedOn w:val="a9"/>
    <w:qFormat/>
    <w:pPr>
      <w:spacing w:before="60" w:after="60" w:line="400" w:lineRule="exact"/>
      <w:ind w:left="482"/>
    </w:pPr>
    <w:rPr>
      <w:rFonts w:ascii="黑体" w:eastAsia="黑体"/>
      <w:kern w:val="2"/>
      <w:sz w:val="24"/>
    </w:rPr>
  </w:style>
  <w:style w:type="paragraph" w:customStyle="1" w:styleId="affffffffffffffffffff4">
    <w:name w:val="第×节"/>
    <w:basedOn w:val="a9"/>
    <w:qFormat/>
    <w:pPr>
      <w:adjustRightInd w:val="0"/>
      <w:spacing w:line="400" w:lineRule="exact"/>
    </w:pPr>
    <w:rPr>
      <w:rFonts w:eastAsia="文鼎CS行楷"/>
      <w:color w:val="008000"/>
      <w:spacing w:val="8"/>
      <w:sz w:val="30"/>
    </w:rPr>
  </w:style>
  <w:style w:type="paragraph" w:customStyle="1" w:styleId="affffffffffffffffffff5">
    <w:name w:val="我的正文"/>
    <w:qFormat/>
    <w:pPr>
      <w:spacing w:line="360" w:lineRule="auto"/>
      <w:ind w:firstLineChars="200" w:firstLine="200"/>
    </w:pPr>
    <w:rPr>
      <w:rFonts w:eastAsia="仿宋_GB2312"/>
      <w:kern w:val="2"/>
      <w:sz w:val="24"/>
      <w:szCs w:val="24"/>
    </w:rPr>
  </w:style>
  <w:style w:type="paragraph" w:customStyle="1" w:styleId="CM7">
    <w:name w:val="CM7"/>
    <w:basedOn w:val="Default"/>
    <w:next w:val="Default"/>
    <w:uiPriority w:val="99"/>
    <w:qFormat/>
    <w:pPr>
      <w:spacing w:line="560" w:lineRule="atLeast"/>
    </w:pPr>
    <w:rPr>
      <w:rFonts w:hAnsi="Calibri" w:cs="Times New Roman"/>
      <w:color w:val="auto"/>
    </w:rPr>
  </w:style>
  <w:style w:type="paragraph" w:customStyle="1" w:styleId="CM27">
    <w:name w:val="CM27"/>
    <w:basedOn w:val="Default"/>
    <w:next w:val="Default"/>
    <w:uiPriority w:val="99"/>
    <w:qFormat/>
    <w:pPr>
      <w:spacing w:line="560" w:lineRule="atLeast"/>
    </w:pPr>
    <w:rPr>
      <w:rFonts w:hAnsi="Calibri" w:cs="Times New Roman"/>
      <w:color w:val="auto"/>
    </w:rPr>
  </w:style>
  <w:style w:type="paragraph" w:customStyle="1" w:styleId="11d">
    <w:name w:val="引用11"/>
    <w:basedOn w:val="a9"/>
    <w:next w:val="a9"/>
    <w:qFormat/>
    <w:pPr>
      <w:widowControl/>
      <w:spacing w:line="480" w:lineRule="exact"/>
      <w:ind w:firstLineChars="200" w:firstLine="200"/>
    </w:pPr>
    <w:rPr>
      <w:rFonts w:eastAsia="黑体"/>
      <w:i/>
      <w:iCs/>
      <w:color w:val="000000"/>
      <w:kern w:val="2"/>
      <w:sz w:val="21"/>
      <w:szCs w:val="24"/>
    </w:rPr>
  </w:style>
  <w:style w:type="paragraph" w:customStyle="1" w:styleId="CM30">
    <w:name w:val="CM30"/>
    <w:basedOn w:val="Default"/>
    <w:next w:val="Default"/>
    <w:uiPriority w:val="99"/>
    <w:qFormat/>
    <w:pPr>
      <w:spacing w:line="560" w:lineRule="atLeast"/>
    </w:pPr>
    <w:rPr>
      <w:rFonts w:hAnsi="Calibri" w:cs="Times New Roman"/>
      <w:color w:val="auto"/>
    </w:rPr>
  </w:style>
  <w:style w:type="paragraph" w:customStyle="1" w:styleId="affffffffffffffffffff6">
    <w:name w:val="第×章"/>
    <w:basedOn w:val="a9"/>
    <w:qFormat/>
    <w:pPr>
      <w:adjustRightInd w:val="0"/>
      <w:spacing w:line="400" w:lineRule="exact"/>
    </w:pPr>
    <w:rPr>
      <w:rFonts w:ascii="楷体_GB2312" w:eastAsia="楷体_GB2312"/>
      <w:b/>
      <w:color w:val="800080"/>
      <w:spacing w:val="8"/>
      <w:sz w:val="32"/>
    </w:rPr>
  </w:style>
  <w:style w:type="paragraph" w:customStyle="1" w:styleId="affffffffffffffffffff7">
    <w:name w:val="文献分类号"/>
    <w:qFormat/>
    <w:pPr>
      <w:framePr w:hSpace="180" w:vSpace="180" w:wrap="around" w:hAnchor="margin" w:y="1" w:anchorLock="1"/>
      <w:widowControl w:val="0"/>
      <w:textAlignment w:val="center"/>
    </w:pPr>
    <w:rPr>
      <w:rFonts w:eastAsia="黑体"/>
      <w:sz w:val="21"/>
    </w:rPr>
  </w:style>
  <w:style w:type="paragraph" w:customStyle="1" w:styleId="12a">
    <w:name w:val="列出段落12"/>
    <w:basedOn w:val="a9"/>
    <w:qFormat/>
    <w:pPr>
      <w:ind w:left="720"/>
      <w:contextualSpacing/>
    </w:pPr>
    <w:rPr>
      <w:b/>
      <w:bCs/>
      <w:kern w:val="2"/>
      <w:sz w:val="24"/>
      <w:szCs w:val="24"/>
    </w:rPr>
  </w:style>
  <w:style w:type="paragraph" w:customStyle="1" w:styleId="CM113">
    <w:name w:val="CM113"/>
    <w:basedOn w:val="Default"/>
    <w:next w:val="Default"/>
    <w:uiPriority w:val="99"/>
    <w:qFormat/>
    <w:pPr>
      <w:spacing w:after="78"/>
    </w:pPr>
    <w:rPr>
      <w:rFonts w:hAnsi="Calibri" w:cs="Times New Roman"/>
      <w:color w:val="auto"/>
    </w:rPr>
  </w:style>
  <w:style w:type="paragraph" w:customStyle="1" w:styleId="11e">
    <w:name w:val="正文首行缩进11"/>
    <w:basedOn w:val="afd"/>
    <w:qFormat/>
    <w:pPr>
      <w:adjustRightInd w:val="0"/>
      <w:spacing w:after="120" w:line="312" w:lineRule="atLeast"/>
      <w:ind w:firstLineChars="0" w:firstLine="420"/>
      <w:textAlignment w:val="baseline"/>
    </w:pPr>
    <w:rPr>
      <w:rFonts w:ascii="Times New Roman" w:hAnsi="Times New Roman"/>
      <w:kern w:val="0"/>
      <w:sz w:val="27"/>
    </w:rPr>
  </w:style>
  <w:style w:type="paragraph" w:customStyle="1" w:styleId="affffffffffffffffffff8">
    <w:name w:val="我的样式（正文）"/>
    <w:basedOn w:val="a9"/>
    <w:qFormat/>
    <w:pPr>
      <w:spacing w:line="440" w:lineRule="exact"/>
    </w:pPr>
    <w:rPr>
      <w:rFonts w:ascii="宋体"/>
      <w:kern w:val="2"/>
      <w:sz w:val="28"/>
    </w:rPr>
  </w:style>
  <w:style w:type="paragraph" w:customStyle="1" w:styleId="Style77">
    <w:name w:val="_Style 77"/>
    <w:basedOn w:val="a9"/>
    <w:pPr>
      <w:spacing w:line="360" w:lineRule="auto"/>
      <w:ind w:firstLineChars="200" w:firstLine="200"/>
    </w:pPr>
    <w:rPr>
      <w:rFonts w:ascii="宋体" w:hAnsi="宋体" w:cs="宋体"/>
      <w:kern w:val="2"/>
      <w:sz w:val="24"/>
      <w:szCs w:val="24"/>
    </w:rPr>
  </w:style>
  <w:style w:type="paragraph" w:customStyle="1" w:styleId="CM33">
    <w:name w:val="CM33"/>
    <w:basedOn w:val="Default"/>
    <w:next w:val="Default"/>
    <w:uiPriority w:val="99"/>
    <w:qFormat/>
    <w:pPr>
      <w:spacing w:line="560" w:lineRule="atLeast"/>
    </w:pPr>
    <w:rPr>
      <w:rFonts w:hAnsi="Calibri" w:cs="Times New Roman"/>
      <w:color w:val="auto"/>
    </w:rPr>
  </w:style>
  <w:style w:type="paragraph" w:customStyle="1" w:styleId="Bb">
    <w:name w:val="标题 Bb"/>
    <w:basedOn w:val="B"/>
    <w:qFormat/>
    <w:pPr>
      <w:keepNext w:val="0"/>
      <w:widowControl w:val="0"/>
      <w:spacing w:before="0" w:after="0"/>
      <w:textAlignment w:val="auto"/>
    </w:pPr>
    <w:rPr>
      <w:rFonts w:ascii="Times New Roman" w:eastAsia="黑体"/>
      <w:b/>
      <w:bCs/>
      <w:spacing w:val="24"/>
      <w:kern w:val="2"/>
      <w:sz w:val="32"/>
      <w:szCs w:val="22"/>
    </w:rPr>
  </w:style>
  <w:style w:type="paragraph" w:customStyle="1" w:styleId="affffffffffffffffffff9">
    <w:name w:val="图"/>
    <w:basedOn w:val="affff9"/>
    <w:qFormat/>
    <w:pPr>
      <w:tabs>
        <w:tab w:val="clear" w:pos="1418"/>
        <w:tab w:val="left" w:pos="1008"/>
      </w:tabs>
      <w:spacing w:before="0" w:after="0"/>
      <w:ind w:left="1008" w:right="0" w:hanging="1008"/>
    </w:pPr>
    <w:rPr>
      <w:sz w:val="21"/>
    </w:rPr>
  </w:style>
  <w:style w:type="paragraph" w:customStyle="1" w:styleId="affffffffffffffffffffa">
    <w:name w:val="可研报告"/>
    <w:basedOn w:val="1"/>
    <w:next w:val="2"/>
    <w:qFormat/>
    <w:pPr>
      <w:pageBreakBefore w:val="0"/>
      <w:numPr>
        <w:numId w:val="0"/>
      </w:numPr>
      <w:tabs>
        <w:tab w:val="left" w:pos="1080"/>
      </w:tabs>
      <w:spacing w:before="260" w:after="260" w:line="412" w:lineRule="auto"/>
      <w:ind w:left="3960"/>
    </w:pPr>
    <w:rPr>
      <w:rFonts w:ascii="宋体" w:hAnsi="宋体"/>
      <w:kern w:val="2"/>
      <w:sz w:val="21"/>
      <w:szCs w:val="21"/>
    </w:rPr>
  </w:style>
  <w:style w:type="paragraph" w:customStyle="1" w:styleId="CharCharChar1CharCharChar1CharCharChar1CharCharCharCharChar0">
    <w:name w:val="Char Char Char1 Char Char Char1 Char Char Char1 Char Char Char 字元 字元 Char Char 字元"/>
    <w:basedOn w:val="a9"/>
    <w:qFormat/>
    <w:pPr>
      <w:spacing w:line="400" w:lineRule="exact"/>
      <w:ind w:firstLineChars="200" w:firstLine="200"/>
    </w:pPr>
    <w:rPr>
      <w:kern w:val="2"/>
      <w:sz w:val="28"/>
      <w:szCs w:val="28"/>
    </w:rPr>
  </w:style>
  <w:style w:type="paragraph" w:customStyle="1" w:styleId="1ffffff">
    <w:name w:val="项目正文1"/>
    <w:basedOn w:val="a9"/>
    <w:qFormat/>
    <w:pPr>
      <w:tabs>
        <w:tab w:val="left" w:pos="992"/>
      </w:tabs>
      <w:adjustRightInd w:val="0"/>
      <w:spacing w:line="400" w:lineRule="exact"/>
      <w:ind w:left="425" w:firstLine="142"/>
    </w:pPr>
    <w:rPr>
      <w:rFonts w:eastAsia="楷体_GB2312"/>
      <w:spacing w:val="8"/>
      <w:sz w:val="28"/>
    </w:rPr>
  </w:style>
  <w:style w:type="paragraph" w:customStyle="1" w:styleId="CM111">
    <w:name w:val="CM111"/>
    <w:basedOn w:val="Default"/>
    <w:next w:val="Default"/>
    <w:uiPriority w:val="99"/>
    <w:qFormat/>
    <w:pPr>
      <w:spacing w:after="388"/>
    </w:pPr>
    <w:rPr>
      <w:rFonts w:hAnsi="Calibri" w:cs="Times New Roman"/>
      <w:color w:val="auto"/>
    </w:rPr>
  </w:style>
  <w:style w:type="paragraph" w:customStyle="1" w:styleId="CharCharCharCharCharCharChar1CharCharChar3">
    <w:name w:val="Char Char Char Char Char Char Char1 Char Char Char3"/>
    <w:basedOn w:val="a9"/>
    <w:qFormat/>
    <w:pPr>
      <w:widowControl/>
      <w:spacing w:line="360" w:lineRule="auto"/>
      <w:jc w:val="left"/>
    </w:pPr>
    <w:rPr>
      <w:rFonts w:ascii="宋体" w:hAnsi="宋体" w:cs="宋体"/>
      <w:sz w:val="24"/>
      <w:szCs w:val="21"/>
    </w:rPr>
  </w:style>
  <w:style w:type="paragraph" w:customStyle="1" w:styleId="Char2CharCharChar3">
    <w:name w:val="Char2 Char Char Char3"/>
    <w:basedOn w:val="3"/>
    <w:qFormat/>
    <w:pPr>
      <w:keepNext/>
      <w:keepLines/>
      <w:numPr>
        <w:ilvl w:val="0"/>
        <w:numId w:val="0"/>
      </w:numPr>
      <w:tabs>
        <w:tab w:val="clear" w:pos="720"/>
        <w:tab w:val="left" w:pos="360"/>
        <w:tab w:val="left" w:pos="709"/>
        <w:tab w:val="left" w:pos="900"/>
      </w:tabs>
      <w:spacing w:before="60" w:after="120"/>
      <w:ind w:firstLineChars="200" w:firstLine="200"/>
      <w:jc w:val="left"/>
    </w:pPr>
    <w:rPr>
      <w:bCs/>
      <w:snapToGrid w:val="0"/>
      <w:kern w:val="2"/>
      <w:szCs w:val="24"/>
    </w:rPr>
  </w:style>
  <w:style w:type="paragraph" w:customStyle="1" w:styleId="11f">
    <w:name w:val="字元11"/>
    <w:basedOn w:val="a9"/>
    <w:qFormat/>
    <w:rPr>
      <w:kern w:val="2"/>
      <w:sz w:val="21"/>
      <w:szCs w:val="21"/>
    </w:rPr>
  </w:style>
  <w:style w:type="paragraph" w:customStyle="1" w:styleId="CM69">
    <w:name w:val="CM69"/>
    <w:basedOn w:val="Default"/>
    <w:next w:val="Default"/>
    <w:uiPriority w:val="99"/>
    <w:qFormat/>
    <w:pPr>
      <w:spacing w:after="130"/>
    </w:pPr>
    <w:rPr>
      <w:rFonts w:ascii="宋体" w:eastAsia="宋体" w:cs="Times New Roman"/>
      <w:color w:val="auto"/>
    </w:rPr>
  </w:style>
  <w:style w:type="paragraph" w:customStyle="1" w:styleId="3ff7">
    <w:name w:val="字元3"/>
    <w:basedOn w:val="a9"/>
    <w:qFormat/>
    <w:rPr>
      <w:kern w:val="2"/>
      <w:sz w:val="24"/>
      <w:szCs w:val="24"/>
    </w:rPr>
  </w:style>
  <w:style w:type="paragraph" w:customStyle="1" w:styleId="CM48">
    <w:name w:val="CM48"/>
    <w:basedOn w:val="Default"/>
    <w:next w:val="Default"/>
    <w:uiPriority w:val="99"/>
    <w:qFormat/>
    <w:pPr>
      <w:spacing w:line="560" w:lineRule="atLeast"/>
    </w:pPr>
    <w:rPr>
      <w:rFonts w:hAnsi="Calibri" w:cs="Times New Roman"/>
      <w:color w:val="auto"/>
    </w:rPr>
  </w:style>
  <w:style w:type="paragraph" w:customStyle="1" w:styleId="x">
    <w:name w:val="标题 x"/>
    <w:basedOn w:val="2"/>
    <w:qFormat/>
    <w:pPr>
      <w:keepNext/>
      <w:keepLines w:val="0"/>
      <w:numPr>
        <w:ilvl w:val="0"/>
        <w:numId w:val="0"/>
      </w:numPr>
      <w:pBdr>
        <w:bottom w:val="none" w:sz="0" w:space="0" w:color="auto"/>
      </w:pBdr>
      <w:adjustRightInd w:val="0"/>
      <w:spacing w:before="120" w:after="240" w:line="400" w:lineRule="exact"/>
    </w:pPr>
    <w:rPr>
      <w:rFonts w:ascii="大标宋" w:eastAsia="大标宋" w:hAnsi="Arial Rounded MT Bold"/>
      <w:b w:val="0"/>
      <w:spacing w:val="40"/>
      <w:sz w:val="36"/>
    </w:rPr>
  </w:style>
  <w:style w:type="paragraph" w:customStyle="1" w:styleId="affffffffffffffffffffb">
    <w:name w:val="第×段"/>
    <w:basedOn w:val="a9"/>
    <w:qFormat/>
    <w:pPr>
      <w:adjustRightInd w:val="0"/>
      <w:spacing w:line="400" w:lineRule="exact"/>
    </w:pPr>
    <w:rPr>
      <w:rFonts w:eastAsia="楷体_GB2312"/>
      <w:b/>
      <w:color w:val="0000FF"/>
      <w:spacing w:val="8"/>
      <w:sz w:val="24"/>
    </w:rPr>
  </w:style>
  <w:style w:type="paragraph" w:customStyle="1" w:styleId="CM59">
    <w:name w:val="CM59"/>
    <w:basedOn w:val="Default"/>
    <w:next w:val="Default"/>
    <w:qFormat/>
    <w:pPr>
      <w:spacing w:after="195"/>
    </w:pPr>
    <w:rPr>
      <w:rFonts w:ascii="宋体" w:eastAsia="宋体" w:cs="Times New Roman"/>
      <w:color w:val="auto"/>
    </w:rPr>
  </w:style>
  <w:style w:type="paragraph" w:customStyle="1" w:styleId="B2">
    <w:name w:val="目录B"/>
    <w:basedOn w:val="25"/>
    <w:qFormat/>
    <w:pPr>
      <w:tabs>
        <w:tab w:val="clear" w:pos="840"/>
        <w:tab w:val="clear" w:pos="9628"/>
        <w:tab w:val="left" w:pos="2835"/>
        <w:tab w:val="left" w:pos="8505"/>
      </w:tabs>
      <w:adjustRightInd w:val="0"/>
      <w:spacing w:before="0" w:line="400" w:lineRule="exact"/>
      <w:ind w:left="420"/>
    </w:pPr>
    <w:rPr>
      <w:rFonts w:ascii="宋体" w:eastAsia="楷体_GB2312" w:hAnsi="宋体"/>
      <w:iCs w:val="0"/>
      <w:smallCaps/>
      <w:spacing w:val="8"/>
    </w:rPr>
  </w:style>
  <w:style w:type="paragraph" w:customStyle="1" w:styleId="CM39">
    <w:name w:val="CM39"/>
    <w:basedOn w:val="Default"/>
    <w:next w:val="Default"/>
    <w:uiPriority w:val="99"/>
    <w:qFormat/>
    <w:pPr>
      <w:spacing w:line="593" w:lineRule="atLeast"/>
    </w:pPr>
    <w:rPr>
      <w:rFonts w:hAnsi="Calibri" w:cs="Times New Roman"/>
      <w:color w:val="auto"/>
    </w:rPr>
  </w:style>
  <w:style w:type="paragraph" w:customStyle="1" w:styleId="x0">
    <w:name w:val="标题x"/>
    <w:basedOn w:val="2"/>
    <w:qFormat/>
    <w:pPr>
      <w:keepNext/>
      <w:keepLines w:val="0"/>
      <w:numPr>
        <w:ilvl w:val="0"/>
        <w:numId w:val="0"/>
      </w:numPr>
      <w:pBdr>
        <w:bottom w:val="none" w:sz="0" w:space="0" w:color="auto"/>
      </w:pBdr>
      <w:adjustRightInd w:val="0"/>
      <w:spacing w:before="120" w:after="240" w:line="400" w:lineRule="exact"/>
    </w:pPr>
    <w:rPr>
      <w:rFonts w:ascii="文鼎CS大宋" w:eastAsia="文鼎CS大宋" w:hAnsi="Arial Rounded MT Bold"/>
      <w:b w:val="0"/>
      <w:spacing w:val="40"/>
      <w:sz w:val="36"/>
    </w:rPr>
  </w:style>
  <w:style w:type="paragraph" w:customStyle="1" w:styleId="affffffffffffffffffffc">
    <w:name w:val="列表内容"/>
    <w:basedOn w:val="46"/>
    <w:qFormat/>
    <w:pPr>
      <w:widowControl/>
      <w:adjustRightInd w:val="0"/>
      <w:spacing w:before="60" w:after="60"/>
      <w:ind w:leftChars="0" w:left="0" w:firstLineChars="0" w:firstLine="0"/>
      <w:jc w:val="left"/>
      <w:textAlignment w:val="baseline"/>
    </w:pPr>
    <w:rPr>
      <w:rFonts w:ascii="宋体"/>
      <w:sz w:val="24"/>
    </w:rPr>
  </w:style>
  <w:style w:type="paragraph" w:customStyle="1" w:styleId="CM86">
    <w:name w:val="CM86"/>
    <w:basedOn w:val="Default"/>
    <w:next w:val="Default"/>
    <w:uiPriority w:val="99"/>
    <w:qFormat/>
    <w:pPr>
      <w:spacing w:line="546" w:lineRule="atLeast"/>
    </w:pPr>
    <w:rPr>
      <w:rFonts w:hAnsi="Calibri" w:cs="Times New Roman"/>
      <w:color w:val="auto"/>
    </w:rPr>
  </w:style>
  <w:style w:type="paragraph" w:customStyle="1" w:styleId="CharCharCharCharCharCharCharCharCharCharCharCharCharCharCharChar3">
    <w:name w:val="Char Char Char Char Char Char Char Char Char Char Char Char Char Char Char Char3"/>
    <w:basedOn w:val="a9"/>
    <w:qFormat/>
    <w:pPr>
      <w:keepNext/>
      <w:keepLines/>
      <w:tabs>
        <w:tab w:val="left" w:pos="2160"/>
      </w:tabs>
      <w:adjustRightInd w:val="0"/>
      <w:snapToGrid w:val="0"/>
      <w:spacing w:before="120" w:after="120" w:line="360" w:lineRule="auto"/>
      <w:ind w:left="2160" w:hanging="420"/>
      <w:outlineLvl w:val="3"/>
    </w:pPr>
    <w:rPr>
      <w:rFonts w:ascii="Arial" w:eastAsia="楷体_GB2312" w:hAnsi="Arial"/>
      <w:bCs/>
      <w:spacing w:val="8"/>
      <w:sz w:val="28"/>
      <w:szCs w:val="21"/>
    </w:rPr>
  </w:style>
  <w:style w:type="paragraph" w:customStyle="1" w:styleId="affffffffffffffffffffd">
    <w:name w:val="规范正文"/>
    <w:basedOn w:val="a9"/>
    <w:next w:val="a9"/>
    <w:qFormat/>
    <w:pPr>
      <w:autoSpaceDE w:val="0"/>
      <w:autoSpaceDN w:val="0"/>
      <w:adjustRightInd w:val="0"/>
      <w:jc w:val="left"/>
    </w:pPr>
    <w:rPr>
      <w:rFonts w:ascii="黑体" w:eastAsia="黑体"/>
    </w:rPr>
  </w:style>
  <w:style w:type="paragraph" w:customStyle="1" w:styleId="CM57">
    <w:name w:val="CM57"/>
    <w:basedOn w:val="Default"/>
    <w:next w:val="Default"/>
    <w:uiPriority w:val="99"/>
    <w:qFormat/>
    <w:pPr>
      <w:spacing w:after="548"/>
    </w:pPr>
    <w:rPr>
      <w:rFonts w:ascii="宋体" w:eastAsia="宋体" w:cs="Times New Roman"/>
      <w:color w:val="auto"/>
    </w:rPr>
  </w:style>
  <w:style w:type="paragraph" w:customStyle="1" w:styleId="5GB23122">
    <w:name w:val="样式 标题 5 + 仿宋_GB2312 首行缩进:  2 字符"/>
    <w:basedOn w:val="5"/>
    <w:qFormat/>
    <w:pPr>
      <w:keepNext w:val="0"/>
      <w:numPr>
        <w:ilvl w:val="0"/>
        <w:numId w:val="0"/>
      </w:numPr>
      <w:tabs>
        <w:tab w:val="clear" w:pos="1003"/>
        <w:tab w:val="left" w:pos="0"/>
        <w:tab w:val="left" w:pos="840"/>
        <w:tab w:val="left" w:pos="906"/>
        <w:tab w:val="left" w:pos="944"/>
        <w:tab w:val="left" w:pos="1146"/>
      </w:tabs>
      <w:snapToGrid w:val="0"/>
      <w:spacing w:after="0" w:line="600" w:lineRule="atLeast"/>
      <w:ind w:left="2"/>
      <w:outlineLvl w:val="9"/>
    </w:pPr>
    <w:rPr>
      <w:b w:val="0"/>
      <w:kern w:val="2"/>
      <w:sz w:val="28"/>
      <w:szCs w:val="28"/>
    </w:rPr>
  </w:style>
  <w:style w:type="paragraph" w:customStyle="1" w:styleId="affffffffffffffffffffe">
    <w:name w:val="环评正文"/>
    <w:basedOn w:val="aff2"/>
    <w:qFormat/>
    <w:pPr>
      <w:spacing w:line="500" w:lineRule="exact"/>
      <w:ind w:firstLineChars="200" w:firstLine="560"/>
    </w:pPr>
    <w:rPr>
      <w:rFonts w:ascii="仿宋_GB2312" w:eastAsia="仿宋_GB2312"/>
      <w:kern w:val="2"/>
      <w:sz w:val="28"/>
    </w:rPr>
  </w:style>
  <w:style w:type="paragraph" w:customStyle="1" w:styleId="z-110">
    <w:name w:val="z-窗体底端11"/>
    <w:basedOn w:val="a9"/>
    <w:next w:val="a9"/>
    <w:qFormat/>
    <w:pPr>
      <w:widowControl/>
      <w:pBdr>
        <w:top w:val="single" w:sz="6" w:space="1" w:color="auto"/>
      </w:pBdr>
      <w:jc w:val="center"/>
    </w:pPr>
    <w:rPr>
      <w:rFonts w:ascii="Arial" w:hAnsi="Arial"/>
      <w:vanish/>
      <w:sz w:val="16"/>
      <w:szCs w:val="16"/>
    </w:rPr>
  </w:style>
  <w:style w:type="paragraph" w:customStyle="1" w:styleId="afffffffffffffffffffff">
    <w:name w:val="原料"/>
    <w:basedOn w:val="afffffffffffffffffff"/>
    <w:qFormat/>
  </w:style>
  <w:style w:type="paragraph" w:customStyle="1" w:styleId="afffffffffffffffffffff0">
    <w:name w:val="正文段落"/>
    <w:basedOn w:val="a9"/>
    <w:link w:val="Charffffff0"/>
    <w:qFormat/>
    <w:pPr>
      <w:autoSpaceDE w:val="0"/>
      <w:autoSpaceDN w:val="0"/>
      <w:adjustRightInd w:val="0"/>
      <w:spacing w:line="500" w:lineRule="exact"/>
      <w:ind w:firstLineChars="200" w:firstLine="200"/>
      <w:textAlignment w:val="baseline"/>
    </w:pPr>
    <w:rPr>
      <w:rFonts w:ascii="宋体" w:eastAsia="仿宋_GB2312" w:hAnsi="Tms Rmn"/>
      <w:sz w:val="28"/>
    </w:rPr>
  </w:style>
  <w:style w:type="paragraph" w:customStyle="1" w:styleId="CM131">
    <w:name w:val="CM131"/>
    <w:basedOn w:val="Default"/>
    <w:next w:val="Default"/>
    <w:uiPriority w:val="99"/>
    <w:qFormat/>
    <w:pPr>
      <w:spacing w:after="7408"/>
    </w:pPr>
    <w:rPr>
      <w:rFonts w:hAnsi="Calibri" w:cs="Times New Roman"/>
      <w:color w:val="auto"/>
    </w:rPr>
  </w:style>
  <w:style w:type="paragraph" w:customStyle="1" w:styleId="CharCharf7">
    <w:name w:val="Char Char 字元"/>
    <w:basedOn w:val="a9"/>
    <w:qFormat/>
    <w:pPr>
      <w:spacing w:line="400" w:lineRule="exact"/>
      <w:ind w:firstLineChars="200" w:firstLine="200"/>
    </w:pPr>
    <w:rPr>
      <w:kern w:val="2"/>
      <w:sz w:val="28"/>
      <w:szCs w:val="28"/>
    </w:rPr>
  </w:style>
  <w:style w:type="paragraph" w:customStyle="1" w:styleId="CONT-1">
    <w:name w:val="CONT-1"/>
    <w:basedOn w:val="a9"/>
    <w:qFormat/>
    <w:pPr>
      <w:adjustRightInd w:val="0"/>
      <w:spacing w:line="480" w:lineRule="atLeast"/>
      <w:ind w:firstLine="567"/>
    </w:pPr>
    <w:rPr>
      <w:rFonts w:ascii="華康中楷體" w:eastAsia="華康中楷體"/>
      <w:sz w:val="28"/>
      <w:lang w:eastAsia="zh-TW"/>
    </w:rPr>
  </w:style>
  <w:style w:type="paragraph" w:customStyle="1" w:styleId="afffffffffffffffffffff1">
    <w:name w:val="条文"/>
    <w:basedOn w:val="5"/>
    <w:next w:val="a9"/>
    <w:qFormat/>
    <w:pPr>
      <w:keepNext w:val="0"/>
      <w:keepLines/>
      <w:numPr>
        <w:ilvl w:val="0"/>
        <w:numId w:val="0"/>
      </w:numPr>
      <w:tabs>
        <w:tab w:val="clear" w:pos="1003"/>
        <w:tab w:val="left" w:pos="0"/>
        <w:tab w:val="left" w:pos="840"/>
        <w:tab w:val="left" w:pos="944"/>
        <w:tab w:val="left" w:pos="1146"/>
        <w:tab w:val="left" w:pos="2100"/>
      </w:tabs>
      <w:spacing w:before="120" w:after="0" w:line="240" w:lineRule="auto"/>
      <w:ind w:left="2100" w:hanging="420"/>
    </w:pPr>
    <w:rPr>
      <w:rFonts w:ascii="楷体_GB2312" w:hint="eastAsia"/>
      <w:b w:val="0"/>
    </w:rPr>
  </w:style>
  <w:style w:type="paragraph" w:customStyle="1" w:styleId="512">
    <w:name w:val="标题 51"/>
    <w:basedOn w:val="a9"/>
    <w:next w:val="aa"/>
    <w:qFormat/>
    <w:pPr>
      <w:keepNext/>
      <w:tabs>
        <w:tab w:val="left" w:pos="720"/>
        <w:tab w:val="left" w:pos="944"/>
      </w:tabs>
      <w:spacing w:after="60" w:line="360" w:lineRule="auto"/>
      <w:ind w:left="224"/>
    </w:pPr>
    <w:rPr>
      <w:b/>
      <w:kern w:val="2"/>
      <w:sz w:val="24"/>
    </w:rPr>
  </w:style>
  <w:style w:type="paragraph" w:customStyle="1" w:styleId="1ffffff0">
    <w:name w:val="正文1"/>
    <w:uiPriority w:val="99"/>
    <w:qFormat/>
    <w:pPr>
      <w:autoSpaceDE w:val="0"/>
      <w:autoSpaceDN w:val="0"/>
      <w:adjustRightInd w:val="0"/>
      <w:spacing w:line="360" w:lineRule="atLeast"/>
      <w:ind w:firstLine="539"/>
      <w:jc w:val="both"/>
    </w:pPr>
    <w:rPr>
      <w:rFonts w:ascii="宋体"/>
      <w:spacing w:val="30"/>
      <w:sz w:val="24"/>
    </w:rPr>
  </w:style>
  <w:style w:type="paragraph" w:customStyle="1" w:styleId="CM2">
    <w:name w:val="CM2"/>
    <w:basedOn w:val="Default"/>
    <w:next w:val="Default"/>
    <w:uiPriority w:val="99"/>
    <w:qFormat/>
    <w:pPr>
      <w:spacing w:line="560" w:lineRule="atLeast"/>
    </w:pPr>
    <w:rPr>
      <w:rFonts w:hAnsi="Calibri" w:cs="Times New Roman"/>
      <w:color w:val="auto"/>
    </w:rPr>
  </w:style>
  <w:style w:type="paragraph" w:customStyle="1" w:styleId="CM14">
    <w:name w:val="CM14"/>
    <w:basedOn w:val="Default"/>
    <w:next w:val="Default"/>
    <w:uiPriority w:val="99"/>
    <w:qFormat/>
    <w:pPr>
      <w:spacing w:line="548" w:lineRule="atLeast"/>
    </w:pPr>
    <w:rPr>
      <w:rFonts w:ascii="宋体" w:eastAsia="宋体" w:cs="Times New Roman"/>
      <w:color w:val="auto"/>
    </w:rPr>
  </w:style>
  <w:style w:type="paragraph" w:customStyle="1" w:styleId="CharCharChar1CharCharChar1CharCharChar1Char">
    <w:name w:val="Char Char Char1 Char Char Char1 Char Char Char1 Char"/>
    <w:basedOn w:val="a9"/>
    <w:qFormat/>
    <w:pPr>
      <w:spacing w:line="400" w:lineRule="exact"/>
      <w:ind w:firstLineChars="200" w:firstLine="200"/>
    </w:pPr>
    <w:rPr>
      <w:kern w:val="2"/>
      <w:sz w:val="28"/>
      <w:szCs w:val="28"/>
    </w:rPr>
  </w:style>
  <w:style w:type="paragraph" w:customStyle="1" w:styleId="20505">
    <w:name w:val="样式 标题 2 + 宋体 段前: 0.5 行 段后: 0.5 行"/>
    <w:basedOn w:val="a9"/>
    <w:next w:val="a9"/>
    <w:qFormat/>
    <w:pPr>
      <w:autoSpaceDE w:val="0"/>
      <w:autoSpaceDN w:val="0"/>
      <w:adjustRightInd w:val="0"/>
      <w:spacing w:before="120" w:after="120"/>
      <w:jc w:val="left"/>
    </w:pPr>
    <w:rPr>
      <w:rFonts w:ascii="宋体"/>
      <w:sz w:val="24"/>
      <w:szCs w:val="24"/>
    </w:rPr>
  </w:style>
  <w:style w:type="paragraph" w:customStyle="1" w:styleId="afffffffffffffffffffff2">
    <w:name w:val="条题"/>
    <w:basedOn w:val="a9"/>
    <w:qFormat/>
    <w:pPr>
      <w:tabs>
        <w:tab w:val="left" w:pos="1512"/>
      </w:tabs>
      <w:spacing w:line="360" w:lineRule="auto"/>
    </w:pPr>
    <w:rPr>
      <w:rFonts w:eastAsia="黑体"/>
      <w:bCs/>
      <w:color w:val="993300"/>
      <w:sz w:val="30"/>
    </w:rPr>
  </w:style>
  <w:style w:type="paragraph" w:customStyle="1" w:styleId="afffffffffffffffffffff3">
    <w:name w:val="项目"/>
    <w:basedOn w:val="a9"/>
    <w:qFormat/>
    <w:pPr>
      <w:adjustRightInd w:val="0"/>
      <w:spacing w:line="400" w:lineRule="exact"/>
      <w:jc w:val="left"/>
    </w:pPr>
    <w:rPr>
      <w:rFonts w:eastAsia="楷体_GB2312"/>
      <w:spacing w:val="8"/>
      <w:sz w:val="28"/>
    </w:rPr>
  </w:style>
  <w:style w:type="character" w:customStyle="1" w:styleId="1ffffff1">
    <w:name w:val="不明显强调1"/>
    <w:uiPriority w:val="19"/>
    <w:qFormat/>
    <w:rPr>
      <w:rFonts w:eastAsia="宋体" w:cs="Times New Roman"/>
      <w:i/>
      <w:iCs/>
      <w:color w:val="808080"/>
      <w:szCs w:val="22"/>
      <w:lang w:eastAsia="zh-CN"/>
    </w:rPr>
  </w:style>
  <w:style w:type="character" w:customStyle="1" w:styleId="Charffffff1">
    <w:name w:val="表头文字 Char"/>
    <w:qFormat/>
    <w:rPr>
      <w:rFonts w:eastAsia="宋体"/>
      <w:b/>
      <w:sz w:val="24"/>
      <w:szCs w:val="24"/>
      <w:lang w:val="en-US" w:eastAsia="zh-CN" w:bidi="ar-SA"/>
    </w:rPr>
  </w:style>
  <w:style w:type="character" w:customStyle="1" w:styleId="Charffffff2">
    <w:name w:val="紧凑表格 Char"/>
    <w:link w:val="afffffffffffffffffffff4"/>
    <w:uiPriority w:val="9"/>
    <w:qFormat/>
    <w:rPr>
      <w:sz w:val="21"/>
      <w:szCs w:val="21"/>
    </w:rPr>
  </w:style>
  <w:style w:type="paragraph" w:customStyle="1" w:styleId="afffffffffffffffffffff4">
    <w:name w:val="紧凑表格"/>
    <w:basedOn w:val="a9"/>
    <w:link w:val="Charffffff2"/>
    <w:uiPriority w:val="9"/>
    <w:qFormat/>
    <w:pPr>
      <w:jc w:val="center"/>
    </w:pPr>
    <w:rPr>
      <w:sz w:val="21"/>
      <w:szCs w:val="21"/>
    </w:rPr>
  </w:style>
  <w:style w:type="character" w:customStyle="1" w:styleId="Char1f6">
    <w:name w:val="表中文字 Char1"/>
    <w:link w:val="affffffffffffffe"/>
    <w:qFormat/>
    <w:rPr>
      <w:rFonts w:cs="宋体"/>
      <w:sz w:val="24"/>
      <w:lang w:bidi="ne-NP"/>
    </w:rPr>
  </w:style>
  <w:style w:type="character" w:customStyle="1" w:styleId="13Char0">
    <w:name w:val="正文小四首缩1.3行距 Char"/>
    <w:link w:val="132"/>
    <w:qFormat/>
    <w:rPr>
      <w:sz w:val="24"/>
      <w:szCs w:val="24"/>
    </w:rPr>
  </w:style>
  <w:style w:type="paragraph" w:customStyle="1" w:styleId="132">
    <w:name w:val="正文小四首缩1.3行距"/>
    <w:basedOn w:val="a9"/>
    <w:link w:val="13Char0"/>
    <w:qFormat/>
    <w:pPr>
      <w:spacing w:line="360" w:lineRule="auto"/>
      <w:ind w:firstLineChars="200" w:firstLine="480"/>
    </w:pPr>
    <w:rPr>
      <w:sz w:val="24"/>
      <w:szCs w:val="24"/>
    </w:rPr>
  </w:style>
  <w:style w:type="character" w:customStyle="1" w:styleId="3Char20">
    <w:name w:val="标题 3 Char2"/>
    <w:qFormat/>
    <w:rPr>
      <w:rFonts w:eastAsia="宋体"/>
      <w:b/>
      <w:bCs/>
      <w:kern w:val="2"/>
      <w:sz w:val="32"/>
      <w:szCs w:val="32"/>
    </w:rPr>
  </w:style>
  <w:style w:type="character" w:customStyle="1" w:styleId="13Char1">
    <w:name w:val="首缩正文1.3行距 Char"/>
    <w:link w:val="133"/>
    <w:qFormat/>
    <w:rPr>
      <w:rFonts w:cs="宋体"/>
      <w:sz w:val="24"/>
    </w:rPr>
  </w:style>
  <w:style w:type="paragraph" w:customStyle="1" w:styleId="133">
    <w:name w:val="首缩正文1.3行距"/>
    <w:basedOn w:val="a9"/>
    <w:link w:val="13Char1"/>
    <w:unhideWhenUsed/>
    <w:qFormat/>
    <w:pPr>
      <w:spacing w:line="312" w:lineRule="auto"/>
      <w:ind w:firstLineChars="200" w:firstLine="480"/>
    </w:pPr>
    <w:rPr>
      <w:rFonts w:cs="宋体"/>
      <w:sz w:val="24"/>
    </w:rPr>
  </w:style>
  <w:style w:type="character" w:customStyle="1" w:styleId="Charffffff3">
    <w:name w:val="首缩编号 Char"/>
    <w:link w:val="a6"/>
    <w:uiPriority w:val="10"/>
    <w:qFormat/>
    <w:rPr>
      <w:kern w:val="2"/>
      <w:sz w:val="24"/>
      <w:szCs w:val="24"/>
    </w:rPr>
  </w:style>
  <w:style w:type="paragraph" w:customStyle="1" w:styleId="a6">
    <w:name w:val="首缩编号"/>
    <w:basedOn w:val="132"/>
    <w:link w:val="Charffffff3"/>
    <w:uiPriority w:val="10"/>
    <w:qFormat/>
    <w:pPr>
      <w:numPr>
        <w:numId w:val="8"/>
      </w:numPr>
      <w:ind w:firstLineChars="0" w:firstLine="0"/>
    </w:pPr>
    <w:rPr>
      <w:kern w:val="2"/>
    </w:rPr>
  </w:style>
  <w:style w:type="character" w:customStyle="1" w:styleId="15Char0">
    <w:name w:val="正文15 Char"/>
    <w:link w:val="153"/>
    <w:qFormat/>
    <w:rPr>
      <w:kern w:val="2"/>
      <w:sz w:val="28"/>
      <w:szCs w:val="28"/>
    </w:rPr>
  </w:style>
  <w:style w:type="paragraph" w:customStyle="1" w:styleId="153">
    <w:name w:val="正文15"/>
    <w:basedOn w:val="a9"/>
    <w:link w:val="15Char0"/>
    <w:qFormat/>
    <w:pPr>
      <w:overflowPunct w:val="0"/>
      <w:topLinePunct/>
      <w:snapToGrid w:val="0"/>
      <w:spacing w:line="360" w:lineRule="auto"/>
      <w:ind w:firstLine="567"/>
    </w:pPr>
    <w:rPr>
      <w:kern w:val="2"/>
      <w:sz w:val="28"/>
      <w:szCs w:val="28"/>
    </w:rPr>
  </w:style>
  <w:style w:type="character" w:customStyle="1" w:styleId="Charffffff0">
    <w:name w:val="正文段落 Char"/>
    <w:link w:val="afffffffffffffffffffff0"/>
    <w:qFormat/>
    <w:rPr>
      <w:rFonts w:ascii="宋体" w:eastAsia="仿宋_GB2312" w:hAnsi="Tms Rmn"/>
      <w:sz w:val="28"/>
    </w:rPr>
  </w:style>
  <w:style w:type="character" w:customStyle="1" w:styleId="Charffffff4">
    <w:name w:val="表中文字 Char"/>
    <w:qFormat/>
    <w:rPr>
      <w:rFonts w:ascii="宋体" w:eastAsia="宋体" w:hAnsi="宋体"/>
      <w:snapToGrid/>
      <w:kern w:val="2"/>
      <w:sz w:val="21"/>
      <w:lang w:val="en-US" w:eastAsia="zh-TW" w:bidi="ar-SA"/>
    </w:rPr>
  </w:style>
  <w:style w:type="character" w:customStyle="1" w:styleId="afffffffffffffffffffff5">
    <w:name w:val="样式 (符号) 宋体"/>
    <w:qFormat/>
    <w:rPr>
      <w:rFonts w:ascii="Times New Roman" w:eastAsia="宋体" w:hAnsi="Times New Roman"/>
      <w:sz w:val="24"/>
    </w:rPr>
  </w:style>
  <w:style w:type="paragraph" w:customStyle="1" w:styleId="afffffffffffffffffffff6">
    <w:name w:val="表头文字（五号）"/>
    <w:basedOn w:val="afffffb"/>
    <w:qFormat/>
    <w:pPr>
      <w:widowControl/>
      <w:tabs>
        <w:tab w:val="left" w:pos="1008"/>
      </w:tabs>
      <w:snapToGrid/>
      <w:spacing w:line="360" w:lineRule="auto"/>
      <w:ind w:left="648" w:hanging="360"/>
    </w:pPr>
    <w:rPr>
      <w:sz w:val="21"/>
      <w:szCs w:val="21"/>
    </w:rPr>
  </w:style>
  <w:style w:type="paragraph" w:customStyle="1" w:styleId="-9">
    <w:name w:val="表格-小四"/>
    <w:basedOn w:val="a9"/>
    <w:qFormat/>
    <w:pPr>
      <w:spacing w:before="100" w:beforeAutospacing="1" w:after="100" w:afterAutospacing="1" w:line="312" w:lineRule="auto"/>
      <w:jc w:val="center"/>
      <w:textAlignment w:val="baseline"/>
    </w:pPr>
    <w:rPr>
      <w:rFonts w:ascii="宋体"/>
      <w:sz w:val="21"/>
      <w:szCs w:val="24"/>
    </w:rPr>
  </w:style>
  <w:style w:type="paragraph" w:customStyle="1" w:styleId="afffffffffffffffffffff7">
    <w:name w:val="插图编号"/>
    <w:basedOn w:val="afffffb"/>
    <w:qFormat/>
    <w:pPr>
      <w:widowControl/>
      <w:tabs>
        <w:tab w:val="left" w:pos="1008"/>
      </w:tabs>
      <w:snapToGrid/>
      <w:spacing w:line="240" w:lineRule="auto"/>
    </w:pPr>
    <w:rPr>
      <w:rFonts w:ascii="宋体"/>
      <w:sz w:val="28"/>
    </w:rPr>
  </w:style>
  <w:style w:type="paragraph" w:customStyle="1" w:styleId="afffffffffffffffffffff8">
    <w:name w:val="第七章插图序号"/>
    <w:basedOn w:val="a9"/>
    <w:qFormat/>
    <w:pPr>
      <w:spacing w:line="312" w:lineRule="atLeast"/>
      <w:jc w:val="center"/>
      <w:textAlignment w:val="baseline"/>
    </w:pPr>
    <w:rPr>
      <w:rFonts w:ascii="宋体"/>
      <w:b/>
      <w:sz w:val="28"/>
      <w:szCs w:val="28"/>
    </w:rPr>
  </w:style>
  <w:style w:type="paragraph" w:customStyle="1" w:styleId="Charffffff5">
    <w:name w:val="环评正文 Char"/>
    <w:semiHidden/>
    <w:qFormat/>
    <w:pPr>
      <w:spacing w:line="440" w:lineRule="exact"/>
      <w:ind w:firstLineChars="200" w:firstLine="200"/>
    </w:pPr>
    <w:rPr>
      <w:kern w:val="2"/>
      <w:sz w:val="24"/>
    </w:rPr>
  </w:style>
  <w:style w:type="paragraph" w:customStyle="1" w:styleId="a8">
    <w:name w:val="插图格式"/>
    <w:basedOn w:val="a9"/>
    <w:qFormat/>
    <w:pPr>
      <w:numPr>
        <w:numId w:val="9"/>
      </w:numPr>
      <w:tabs>
        <w:tab w:val="clear" w:pos="4586"/>
        <w:tab w:val="left" w:pos="2660"/>
      </w:tabs>
      <w:spacing w:line="360" w:lineRule="atLeast"/>
      <w:ind w:left="3080" w:hanging="840"/>
      <w:jc w:val="center"/>
      <w:textAlignment w:val="baseline"/>
    </w:pPr>
    <w:rPr>
      <w:rFonts w:ascii="宋体"/>
      <w:sz w:val="21"/>
      <w:szCs w:val="21"/>
    </w:rPr>
  </w:style>
  <w:style w:type="paragraph" w:customStyle="1" w:styleId="-a">
    <w:name w:val="表格-六号"/>
    <w:basedOn w:val="-b"/>
    <w:qFormat/>
    <w:pPr>
      <w:spacing w:before="0" w:beforeAutospacing="0" w:after="0" w:afterAutospacing="0" w:line="312" w:lineRule="atLeast"/>
    </w:pPr>
    <w:rPr>
      <w:sz w:val="15"/>
      <w:szCs w:val="20"/>
    </w:rPr>
  </w:style>
  <w:style w:type="paragraph" w:customStyle="1" w:styleId="-b">
    <w:name w:val="表格-五号"/>
    <w:basedOn w:val="a9"/>
    <w:qFormat/>
    <w:pPr>
      <w:adjustRightInd w:val="0"/>
      <w:spacing w:before="100" w:beforeAutospacing="1" w:after="100" w:afterAutospacing="1" w:line="312" w:lineRule="auto"/>
      <w:jc w:val="center"/>
      <w:textAlignment w:val="baseline"/>
    </w:pPr>
    <w:rPr>
      <w:rFonts w:ascii="宋体"/>
      <w:sz w:val="21"/>
      <w:szCs w:val="24"/>
    </w:rPr>
  </w:style>
  <w:style w:type="paragraph" w:customStyle="1" w:styleId="afffffffffffffffffffff9">
    <w:name w:val="表标题"/>
    <w:basedOn w:val="a9"/>
    <w:qFormat/>
    <w:pPr>
      <w:jc w:val="center"/>
    </w:pPr>
    <w:rPr>
      <w:b/>
      <w:color w:val="0000FF"/>
      <w:kern w:val="2"/>
      <w:sz w:val="21"/>
      <w:szCs w:val="21"/>
    </w:rPr>
  </w:style>
  <w:style w:type="paragraph" w:customStyle="1" w:styleId="afffffffffffffffffffffa">
    <w:name w:val="较紧表格"/>
    <w:basedOn w:val="afffffffffffffffffffff4"/>
    <w:uiPriority w:val="2"/>
    <w:qFormat/>
    <w:pPr>
      <w:spacing w:beforeLines="10" w:afterLines="10"/>
    </w:pPr>
    <w:rPr>
      <w:kern w:val="2"/>
    </w:rPr>
  </w:style>
  <w:style w:type="paragraph" w:customStyle="1" w:styleId="CharCharCharCharCharCharCharCharCharCharCharCharCharCharCharCharCharChar">
    <w:name w:val="Char Char Char Char Char Char Char Char Char Char Char Char Char Char Char Char Char Char"/>
    <w:basedOn w:val="a9"/>
    <w:qFormat/>
    <w:rPr>
      <w:kern w:val="2"/>
      <w:sz w:val="21"/>
      <w:szCs w:val="24"/>
    </w:rPr>
  </w:style>
  <w:style w:type="paragraph" w:customStyle="1" w:styleId="ZW">
    <w:name w:val="ZW"/>
    <w:basedOn w:val="a9"/>
    <w:qFormat/>
    <w:pPr>
      <w:spacing w:before="73"/>
      <w:ind w:firstLineChars="200" w:firstLine="480"/>
    </w:pPr>
    <w:rPr>
      <w:rFonts w:cs="宋体"/>
      <w:kern w:val="2"/>
      <w:sz w:val="21"/>
      <w:szCs w:val="21"/>
    </w:rPr>
  </w:style>
  <w:style w:type="paragraph" w:customStyle="1" w:styleId="DecimalAligned">
    <w:name w:val="Decimal Aligned"/>
    <w:basedOn w:val="a9"/>
    <w:uiPriority w:val="40"/>
    <w:unhideWhenUsed/>
    <w:qFormat/>
    <w:pPr>
      <w:widowControl/>
      <w:tabs>
        <w:tab w:val="decimal" w:pos="360"/>
      </w:tabs>
      <w:spacing w:after="200" w:line="276" w:lineRule="auto"/>
      <w:jc w:val="left"/>
    </w:pPr>
    <w:rPr>
      <w:sz w:val="22"/>
      <w:szCs w:val="21"/>
    </w:rPr>
  </w:style>
  <w:style w:type="paragraph" w:customStyle="1" w:styleId="afffffffffffffffffffffb">
    <w:name w:val="小五表格"/>
    <w:basedOn w:val="a9"/>
    <w:uiPriority w:val="9"/>
    <w:qFormat/>
    <w:pPr>
      <w:widowControl/>
      <w:adjustRightInd w:val="0"/>
      <w:jc w:val="center"/>
      <w:textAlignment w:val="baseline"/>
    </w:pPr>
    <w:rPr>
      <w:sz w:val="18"/>
    </w:rPr>
  </w:style>
  <w:style w:type="paragraph" w:customStyle="1" w:styleId="a3">
    <w:name w:val="编号正文"/>
    <w:basedOn w:val="a9"/>
    <w:qFormat/>
    <w:pPr>
      <w:numPr>
        <w:numId w:val="10"/>
      </w:numPr>
      <w:spacing w:line="312" w:lineRule="auto"/>
      <w:jc w:val="left"/>
    </w:pPr>
    <w:rPr>
      <w:rFonts w:cs="宋体"/>
      <w:kern w:val="2"/>
      <w:sz w:val="24"/>
    </w:rPr>
  </w:style>
  <w:style w:type="paragraph" w:customStyle="1" w:styleId="afffffffffffffffffffffc">
    <w:name w:val="【表头】"/>
    <w:basedOn w:val="a9"/>
    <w:qFormat/>
    <w:pPr>
      <w:spacing w:before="120"/>
      <w:jc w:val="center"/>
    </w:pPr>
    <w:rPr>
      <w:rFonts w:eastAsia="黑体" w:cs="Arial"/>
      <w:kern w:val="2"/>
      <w:sz w:val="24"/>
      <w:szCs w:val="24"/>
    </w:rPr>
  </w:style>
  <w:style w:type="paragraph" w:customStyle="1" w:styleId="afffffffffffffffffffffd">
    <w:name w:val="【图片】"/>
    <w:next w:val="af0"/>
    <w:qFormat/>
    <w:pPr>
      <w:jc w:val="center"/>
    </w:pPr>
    <w:rPr>
      <w:rFonts w:ascii="宋体" w:hAnsi="宋体" w:cs="宋体"/>
      <w:sz w:val="24"/>
      <w:szCs w:val="24"/>
    </w:rPr>
  </w:style>
  <w:style w:type="paragraph" w:customStyle="1" w:styleId="gb1">
    <w:name w:val="gb1"/>
    <w:basedOn w:val="a9"/>
    <w:qFormat/>
    <w:pPr>
      <w:widowControl/>
      <w:tabs>
        <w:tab w:val="left" w:pos="227"/>
      </w:tabs>
      <w:overflowPunct w:val="0"/>
      <w:autoSpaceDE w:val="0"/>
      <w:autoSpaceDN w:val="0"/>
      <w:adjustRightInd w:val="0"/>
      <w:spacing w:before="120" w:after="120"/>
      <w:textAlignment w:val="baseline"/>
    </w:pPr>
    <w:rPr>
      <w:rFonts w:ascii="Arial" w:eastAsia="仿宋体" w:hAnsi="Arial"/>
      <w:sz w:val="21"/>
    </w:rPr>
  </w:style>
  <w:style w:type="paragraph" w:customStyle="1" w:styleId="afffffffffffffffffffffe">
    <w:name w:val="【图题】"/>
    <w:next w:val="a9"/>
    <w:qFormat/>
    <w:pPr>
      <w:spacing w:beforeLines="50" w:afterLines="50"/>
      <w:jc w:val="center"/>
    </w:pPr>
    <w:rPr>
      <w:rFonts w:eastAsia="黑体" w:cs="宋体"/>
      <w:sz w:val="24"/>
      <w:szCs w:val="24"/>
    </w:rPr>
  </w:style>
  <w:style w:type="paragraph" w:customStyle="1" w:styleId="154">
    <w:name w:val="样式 表格文字 + 居中 行距: 固定值 15 磅"/>
    <w:basedOn w:val="afffffff7"/>
    <w:qFormat/>
    <w:pPr>
      <w:widowControl/>
      <w:snapToGrid/>
      <w:spacing w:line="300" w:lineRule="exact"/>
      <w:jc w:val="center"/>
    </w:pPr>
    <w:rPr>
      <w:rFonts w:cs="宋体"/>
      <w:sz w:val="21"/>
    </w:rPr>
  </w:style>
  <w:style w:type="paragraph" w:customStyle="1" w:styleId="-c">
    <w:name w:val="表格-小五"/>
    <w:basedOn w:val="-b"/>
    <w:qFormat/>
    <w:pPr>
      <w:spacing w:before="0" w:beforeAutospacing="0" w:after="0" w:afterAutospacing="0" w:line="312" w:lineRule="atLeast"/>
    </w:pPr>
    <w:rPr>
      <w:sz w:val="18"/>
      <w:szCs w:val="18"/>
    </w:rPr>
  </w:style>
  <w:style w:type="paragraph" w:customStyle="1" w:styleId="12b">
    <w:name w:val="样式 正文首行缩进 + 首行缩进:  1 字符2"/>
    <w:basedOn w:val="af0"/>
    <w:qFormat/>
    <w:pPr>
      <w:spacing w:line="500" w:lineRule="exact"/>
    </w:pPr>
    <w:rPr>
      <w:kern w:val="2"/>
    </w:rPr>
  </w:style>
  <w:style w:type="paragraph" w:customStyle="1" w:styleId="0850">
    <w:name w:val="样式 (符号) 宋体 首行缩进:  0.85 厘米"/>
    <w:basedOn w:val="a9"/>
    <w:qFormat/>
    <w:pPr>
      <w:adjustRightInd w:val="0"/>
      <w:ind w:firstLine="482"/>
      <w:textAlignment w:val="baseline"/>
    </w:pPr>
    <w:rPr>
      <w:rFonts w:cs="宋体"/>
      <w:b/>
      <w:sz w:val="28"/>
      <w:szCs w:val="28"/>
    </w:rPr>
  </w:style>
  <w:style w:type="paragraph" w:customStyle="1" w:styleId="155">
    <w:name w:val="样式 (符号) 宋体 行距: 1.5 倍行距"/>
    <w:basedOn w:val="a9"/>
    <w:qFormat/>
    <w:pPr>
      <w:adjustRightInd w:val="0"/>
      <w:spacing w:line="360" w:lineRule="auto"/>
      <w:textAlignment w:val="baseline"/>
    </w:pPr>
    <w:rPr>
      <w:rFonts w:ascii="宋体" w:hAnsi="宋体" w:cs="宋体"/>
      <w:sz w:val="24"/>
    </w:rPr>
  </w:style>
  <w:style w:type="paragraph" w:customStyle="1" w:styleId="156">
    <w:name w:val="样式 行距: 1.5 倍行距"/>
    <w:basedOn w:val="a9"/>
    <w:qFormat/>
    <w:pPr>
      <w:adjustRightInd w:val="0"/>
      <w:spacing w:line="360" w:lineRule="auto"/>
      <w:ind w:firstLineChars="200" w:firstLine="200"/>
      <w:textAlignment w:val="baseline"/>
    </w:pPr>
    <w:rPr>
      <w:rFonts w:ascii="宋体" w:cs="宋体"/>
      <w:sz w:val="24"/>
    </w:rPr>
  </w:style>
  <w:style w:type="paragraph" w:customStyle="1" w:styleId="a1">
    <w:name w:val="第七章表格序号"/>
    <w:basedOn w:val="-9"/>
    <w:qFormat/>
    <w:pPr>
      <w:numPr>
        <w:numId w:val="11"/>
      </w:numPr>
      <w:adjustRightInd w:val="0"/>
      <w:spacing w:beforeLines="50" w:beforeAutospacing="0" w:afterLines="50" w:afterAutospacing="0" w:line="360" w:lineRule="auto"/>
    </w:pPr>
    <w:rPr>
      <w:b/>
      <w:bCs/>
      <w:sz w:val="24"/>
      <w:szCs w:val="20"/>
    </w:rPr>
  </w:style>
  <w:style w:type="paragraph" w:customStyle="1" w:styleId="2220">
    <w:name w:val="样式 列表 2 + 宋体 居中 左侧:  2 字符 悬挂缩进: 2 字符"/>
    <w:basedOn w:val="21"/>
    <w:qFormat/>
    <w:pPr>
      <w:adjustRightInd w:val="0"/>
      <w:spacing w:line="360" w:lineRule="exact"/>
      <w:ind w:leftChars="0" w:left="0" w:firstLineChars="0" w:firstLine="0"/>
      <w:jc w:val="center"/>
      <w:textAlignment w:val="baseline"/>
    </w:pPr>
    <w:rPr>
      <w:rFonts w:ascii="宋体" w:hAnsi="宋体" w:cs="宋体"/>
      <w:snapToGrid w:val="0"/>
      <w:sz w:val="21"/>
      <w:szCs w:val="21"/>
    </w:rPr>
  </w:style>
  <w:style w:type="paragraph" w:customStyle="1" w:styleId="affffffffffffffffffffff">
    <w:name w:val="首行缩进"/>
    <w:basedOn w:val="a9"/>
    <w:qFormat/>
    <w:pPr>
      <w:snapToGrid w:val="0"/>
      <w:spacing w:before="100" w:beforeAutospacing="1" w:after="100" w:afterAutospacing="1" w:line="312" w:lineRule="auto"/>
      <w:ind w:firstLine="425"/>
    </w:pPr>
    <w:rPr>
      <w:rFonts w:ascii="宋体"/>
      <w:kern w:val="2"/>
      <w:sz w:val="24"/>
    </w:rPr>
  </w:style>
  <w:style w:type="paragraph" w:customStyle="1" w:styleId="2fff6">
    <w:name w:val="样式 列表编号 + 居中2"/>
    <w:basedOn w:val="af5"/>
    <w:qFormat/>
    <w:pPr>
      <w:tabs>
        <w:tab w:val="clear" w:pos="360"/>
        <w:tab w:val="left" w:pos="902"/>
      </w:tabs>
      <w:ind w:left="480" w:firstLineChars="0" w:hanging="480"/>
      <w:jc w:val="center"/>
    </w:pPr>
    <w:rPr>
      <w:rFonts w:hAnsi="宋体"/>
      <w:kern w:val="2"/>
      <w:szCs w:val="28"/>
    </w:rPr>
  </w:style>
  <w:style w:type="paragraph" w:customStyle="1" w:styleId="40">
    <w:name w:val="样式 列表编号 + 居中4"/>
    <w:basedOn w:val="af5"/>
    <w:qFormat/>
    <w:pPr>
      <w:numPr>
        <w:numId w:val="12"/>
      </w:numPr>
      <w:tabs>
        <w:tab w:val="clear" w:pos="360"/>
        <w:tab w:val="left" w:pos="5000"/>
      </w:tabs>
      <w:ind w:left="4280" w:firstLineChars="0" w:firstLine="0"/>
      <w:jc w:val="center"/>
    </w:pPr>
    <w:rPr>
      <w:rFonts w:hAnsi="宋体"/>
      <w:kern w:val="2"/>
      <w:szCs w:val="28"/>
    </w:rPr>
  </w:style>
  <w:style w:type="paragraph" w:customStyle="1" w:styleId="106">
    <w:name w:val="插图格式10"/>
    <w:basedOn w:val="a9"/>
    <w:qFormat/>
    <w:pPr>
      <w:tabs>
        <w:tab w:val="left" w:pos="7700"/>
      </w:tabs>
      <w:adjustRightInd w:val="0"/>
      <w:spacing w:line="360" w:lineRule="atLeast"/>
      <w:ind w:left="7700" w:hanging="420"/>
      <w:jc w:val="center"/>
      <w:textAlignment w:val="baseline"/>
    </w:pPr>
    <w:rPr>
      <w:rFonts w:ascii="宋体"/>
      <w:sz w:val="24"/>
    </w:rPr>
  </w:style>
  <w:style w:type="paragraph" w:customStyle="1" w:styleId="affffffffffffffffffffff0">
    <w:name w:val="样式 列表编号 + 居中"/>
    <w:basedOn w:val="af5"/>
    <w:qFormat/>
    <w:pPr>
      <w:tabs>
        <w:tab w:val="clear" w:pos="360"/>
      </w:tabs>
      <w:ind w:left="0" w:firstLineChars="0" w:firstLine="482"/>
      <w:jc w:val="center"/>
    </w:pPr>
    <w:rPr>
      <w:rFonts w:hAnsi="宋体" w:cs="宋体"/>
      <w:kern w:val="2"/>
      <w:szCs w:val="28"/>
    </w:rPr>
  </w:style>
  <w:style w:type="paragraph" w:customStyle="1" w:styleId="affffffffffffffffffffff1">
    <w:name w:val="表格标题—小四"/>
    <w:basedOn w:val="a9"/>
    <w:qFormat/>
    <w:pPr>
      <w:spacing w:before="100" w:beforeAutospacing="1" w:after="100" w:afterAutospacing="1" w:line="312" w:lineRule="auto"/>
      <w:jc w:val="center"/>
    </w:pPr>
    <w:rPr>
      <w:b/>
      <w:kern w:val="2"/>
      <w:sz w:val="24"/>
      <w:szCs w:val="24"/>
    </w:rPr>
  </w:style>
  <w:style w:type="paragraph" w:customStyle="1" w:styleId="affffffffffffffffffffff2">
    <w:name w:val="无缩进居中"/>
    <w:basedOn w:val="a9"/>
    <w:qFormat/>
    <w:pPr>
      <w:adjustRightInd w:val="0"/>
      <w:spacing w:line="312" w:lineRule="atLeast"/>
      <w:jc w:val="center"/>
      <w:textAlignment w:val="baseline"/>
    </w:pPr>
    <w:rPr>
      <w:rFonts w:ascii="宋体" w:cs="宋体"/>
      <w:sz w:val="28"/>
    </w:rPr>
  </w:style>
  <w:style w:type="paragraph" w:customStyle="1" w:styleId="ArialGB231266">
    <w:name w:val="样式 (西文) Arial (中文) 仿宋_GB2312 四号 段前: 6 磅 段后: 6 磅"/>
    <w:basedOn w:val="a9"/>
    <w:qFormat/>
    <w:pPr>
      <w:adjustRightInd w:val="0"/>
      <w:spacing w:before="120" w:after="120" w:line="312" w:lineRule="atLeast"/>
      <w:textAlignment w:val="baseline"/>
    </w:pPr>
    <w:rPr>
      <w:rFonts w:ascii="Arial" w:eastAsia="仿宋_GB2312" w:hAnsi="Arial" w:cs="宋体"/>
      <w:sz w:val="28"/>
    </w:rPr>
  </w:style>
  <w:style w:type="paragraph" w:customStyle="1" w:styleId="CharCharCharCharCharCharCharCharCharCharCharChar">
    <w:name w:val="Char Char Char Char Char Char Char Char Char Char Char Char"/>
    <w:basedOn w:val="a9"/>
    <w:qFormat/>
    <w:rPr>
      <w:kern w:val="2"/>
      <w:sz w:val="21"/>
      <w:szCs w:val="24"/>
    </w:rPr>
  </w:style>
  <w:style w:type="paragraph" w:customStyle="1" w:styleId="31113CharCharHeading3-oldH3">
    <w:name w:val="样式 标题 31.1.1条标题 3 Char Char三级标题，黑粗，四号，序号Heading 3 - oldH3..."/>
    <w:basedOn w:val="3"/>
    <w:qFormat/>
    <w:pPr>
      <w:keepNext/>
      <w:keepLines/>
      <w:tabs>
        <w:tab w:val="clear" w:pos="720"/>
      </w:tabs>
      <w:snapToGrid/>
      <w:spacing w:before="120" w:after="120" w:line="460" w:lineRule="exact"/>
      <w:ind w:left="0" w:firstLine="482"/>
    </w:pPr>
    <w:rPr>
      <w:rFonts w:ascii="Arial" w:eastAsia="宋体" w:cs="宋体"/>
      <w:bCs/>
      <w:kern w:val="2"/>
    </w:rPr>
  </w:style>
  <w:style w:type="paragraph" w:customStyle="1" w:styleId="4111141111H4h4subsubheadi1">
    <w:name w:val="样式 标题 41.1.1.1标题 4.1.1.1.1款四级标题，黑粗，小四，序号H4h4 sub sub headi...1"/>
    <w:basedOn w:val="4"/>
    <w:qFormat/>
    <w:pPr>
      <w:keepNext/>
      <w:keepLines/>
      <w:numPr>
        <w:numId w:val="0"/>
      </w:numPr>
      <w:spacing w:before="120" w:after="120" w:line="240" w:lineRule="auto"/>
    </w:pPr>
    <w:rPr>
      <w:bCs/>
      <w:color w:val="auto"/>
      <w:kern w:val="2"/>
      <w:szCs w:val="24"/>
    </w:rPr>
  </w:style>
  <w:style w:type="character" w:customStyle="1" w:styleId="2CharChar2">
    <w:name w:val="字元2 Char Char2"/>
    <w:qFormat/>
    <w:rPr>
      <w:rFonts w:eastAsia="楷体_GB2312"/>
      <w:sz w:val="21"/>
      <w:lang w:val="en-US" w:eastAsia="zh-CN" w:bidi="ar-SA"/>
    </w:rPr>
  </w:style>
  <w:style w:type="character" w:customStyle="1" w:styleId="5Char2">
    <w:name w:val="标题 5 Char2"/>
    <w:qFormat/>
    <w:rPr>
      <w:rFonts w:eastAsia="宋体"/>
      <w:b/>
      <w:kern w:val="2"/>
      <w:sz w:val="24"/>
      <w:lang w:val="en-US" w:eastAsia="zh-CN" w:bidi="ar-SA"/>
    </w:rPr>
  </w:style>
  <w:style w:type="character" w:customStyle="1" w:styleId="Char2f2">
    <w:name w:val="列表 Char2"/>
    <w:qFormat/>
    <w:rPr>
      <w:rFonts w:eastAsia="宋体"/>
      <w:kern w:val="2"/>
      <w:sz w:val="21"/>
      <w:lang w:val="en-US" w:eastAsia="zh-CN" w:bidi="ar-SA"/>
    </w:rPr>
  </w:style>
  <w:style w:type="character" w:customStyle="1" w:styleId="bulletChar">
    <w:name w:val="bullet Char"/>
    <w:qFormat/>
    <w:rPr>
      <w:rFonts w:ascii="Arial" w:eastAsia="黑体" w:hAnsi="Arial"/>
      <w:b/>
      <w:bCs/>
      <w:kern w:val="2"/>
      <w:sz w:val="28"/>
      <w:szCs w:val="28"/>
      <w:lang w:val="en-US" w:eastAsia="zh-CN" w:bidi="ar-SA"/>
    </w:rPr>
  </w:style>
  <w:style w:type="paragraph" w:customStyle="1" w:styleId="3ff8">
    <w:name w:val="价格变化趋3"/>
    <w:basedOn w:val="a9"/>
    <w:qFormat/>
    <w:pPr>
      <w:adjustRightInd w:val="0"/>
      <w:spacing w:line="315" w:lineRule="atLeast"/>
      <w:jc w:val="left"/>
      <w:textAlignment w:val="baseline"/>
    </w:pPr>
    <w:rPr>
      <w:rFonts w:ascii="宋体"/>
      <w:sz w:val="21"/>
    </w:rPr>
  </w:style>
  <w:style w:type="paragraph" w:customStyle="1" w:styleId="4f8">
    <w:name w:val="字元4"/>
    <w:basedOn w:val="a9"/>
    <w:qFormat/>
    <w:rPr>
      <w:kern w:val="2"/>
      <w:sz w:val="24"/>
      <w:szCs w:val="24"/>
    </w:rPr>
  </w:style>
  <w:style w:type="paragraph" w:customStyle="1" w:styleId="134">
    <w:name w:val="字元13"/>
    <w:basedOn w:val="a9"/>
    <w:qFormat/>
    <w:rPr>
      <w:kern w:val="2"/>
      <w:sz w:val="21"/>
      <w:szCs w:val="21"/>
    </w:rPr>
  </w:style>
  <w:style w:type="paragraph" w:customStyle="1" w:styleId="CharChar24">
    <w:name w:val="Char Char 字元2"/>
    <w:basedOn w:val="a9"/>
    <w:qFormat/>
    <w:pPr>
      <w:spacing w:line="400" w:lineRule="exact"/>
      <w:ind w:firstLineChars="200" w:firstLine="200"/>
    </w:pPr>
    <w:rPr>
      <w:kern w:val="2"/>
      <w:sz w:val="28"/>
      <w:szCs w:val="28"/>
    </w:rPr>
  </w:style>
  <w:style w:type="paragraph" w:customStyle="1" w:styleId="CharCharCharChar20">
    <w:name w:val="Char Char 字元 Char Char 字元 字元 字元2"/>
    <w:basedOn w:val="a9"/>
    <w:qFormat/>
    <w:pPr>
      <w:spacing w:line="400" w:lineRule="exact"/>
      <w:ind w:firstLineChars="200" w:firstLine="200"/>
    </w:pPr>
    <w:rPr>
      <w:kern w:val="2"/>
      <w:sz w:val="28"/>
      <w:szCs w:val="28"/>
    </w:rPr>
  </w:style>
  <w:style w:type="paragraph" w:customStyle="1" w:styleId="CharCharCharChar21">
    <w:name w:val="Char Char 字元 Char Char 字元2"/>
    <w:basedOn w:val="a9"/>
    <w:qFormat/>
    <w:pPr>
      <w:spacing w:line="400" w:lineRule="exact"/>
      <w:ind w:firstLineChars="200" w:firstLine="200"/>
    </w:pPr>
    <w:rPr>
      <w:kern w:val="2"/>
      <w:sz w:val="28"/>
      <w:szCs w:val="28"/>
    </w:rPr>
  </w:style>
  <w:style w:type="character" w:customStyle="1" w:styleId="WW8Num30z0">
    <w:name w:val="WW8Num30z0"/>
    <w:qFormat/>
    <w:rPr>
      <w:rFonts w:ascii="Wingdings" w:hAnsi="Wingdings"/>
    </w:rPr>
  </w:style>
  <w:style w:type="paragraph" w:customStyle="1" w:styleId="1Dqe05">
    <w:name w:val="样¦¡ ªí头样¦¡1 + «D¥[²Ê ¬q«e: 0.5 ¦æ"/>
    <w:basedOn w:val="a9"/>
    <w:qFormat/>
    <w:pPr>
      <w:spacing w:beforeLines="50"/>
      <w:jc w:val="center"/>
    </w:pPr>
    <w:rPr>
      <w:rFonts w:hAnsi="宋体"/>
      <w:b/>
      <w:bCs/>
      <w:kern w:val="2"/>
      <w:sz w:val="24"/>
      <w:szCs w:val="24"/>
    </w:rPr>
  </w:style>
  <w:style w:type="character" w:customStyle="1" w:styleId="1CharChar9">
    <w:name w:val="样式 标题1 Char Char"/>
    <w:link w:val="1ffffff2"/>
    <w:qFormat/>
    <w:rPr>
      <w:rFonts w:ascii="宋体" w:hAnsi="宋体"/>
      <w:b/>
      <w:color w:val="000000"/>
      <w:kern w:val="2"/>
      <w:sz w:val="28"/>
      <w:szCs w:val="28"/>
    </w:rPr>
  </w:style>
  <w:style w:type="paragraph" w:customStyle="1" w:styleId="1ffffff2">
    <w:name w:val="样式 标题1"/>
    <w:basedOn w:val="a9"/>
    <w:link w:val="1CharChar9"/>
    <w:qFormat/>
    <w:pPr>
      <w:tabs>
        <w:tab w:val="left" w:pos="360"/>
        <w:tab w:val="left" w:pos="425"/>
      </w:tabs>
      <w:spacing w:line="360" w:lineRule="auto"/>
      <w:ind w:left="360" w:hanging="360"/>
      <w:outlineLvl w:val="0"/>
    </w:pPr>
    <w:rPr>
      <w:rFonts w:ascii="宋体" w:hAnsi="宋体"/>
      <w:b/>
      <w:color w:val="000000"/>
      <w:kern w:val="2"/>
      <w:sz w:val="28"/>
      <w:szCs w:val="28"/>
    </w:rPr>
  </w:style>
  <w:style w:type="paragraph" w:customStyle="1" w:styleId="reader-word-layerreader-word-s1-19">
    <w:name w:val="reader-word-layer reader-word-s1-19"/>
    <w:basedOn w:val="a9"/>
    <w:qFormat/>
    <w:pPr>
      <w:widowControl/>
      <w:spacing w:before="100" w:beforeAutospacing="1" w:after="100" w:afterAutospacing="1"/>
      <w:jc w:val="left"/>
    </w:pPr>
    <w:rPr>
      <w:rFonts w:ascii="宋体" w:hAnsi="宋体" w:cs="宋体"/>
      <w:sz w:val="24"/>
      <w:szCs w:val="24"/>
    </w:rPr>
  </w:style>
  <w:style w:type="character" w:customStyle="1" w:styleId="CharChar35">
    <w:name w:val="普通文字 Char Char3"/>
    <w:qFormat/>
    <w:locked/>
    <w:rPr>
      <w:rFonts w:ascii="宋体" w:eastAsia="宋体" w:hAnsi="Courier New"/>
      <w:kern w:val="2"/>
      <w:sz w:val="21"/>
      <w:lang w:val="en-US" w:eastAsia="zh-CN" w:bidi="ar-SA"/>
    </w:rPr>
  </w:style>
  <w:style w:type="character" w:customStyle="1" w:styleId="123YJCharChar">
    <w:name w:val="123YJ Char Char"/>
    <w:qFormat/>
    <w:rPr>
      <w:rFonts w:eastAsia="宋体"/>
      <w:kern w:val="2"/>
      <w:sz w:val="18"/>
      <w:szCs w:val="18"/>
      <w:lang w:val="en-US" w:eastAsia="zh-CN" w:bidi="ar-SA"/>
    </w:rPr>
  </w:style>
  <w:style w:type="character" w:customStyle="1" w:styleId="CharChar321">
    <w:name w:val="Char Char321"/>
    <w:qFormat/>
    <w:rPr>
      <w:rFonts w:eastAsia="宋体"/>
      <w:kern w:val="2"/>
      <w:sz w:val="18"/>
      <w:szCs w:val="18"/>
      <w:lang w:val="en-US" w:eastAsia="zh-CN" w:bidi="ar-SA"/>
    </w:rPr>
  </w:style>
  <w:style w:type="character" w:customStyle="1" w:styleId="CharCharf8">
    <w:name w:val="表 头 Char Char"/>
    <w:qFormat/>
    <w:rPr>
      <w:rFonts w:ascii="Arial" w:eastAsia="黑体" w:hAnsi="Arial"/>
      <w:b/>
      <w:color w:val="0000FF"/>
    </w:rPr>
  </w:style>
  <w:style w:type="character" w:customStyle="1" w:styleId="2CharChar0">
    <w:name w:val="样式2 Char Char"/>
    <w:qFormat/>
    <w:rPr>
      <w:rFonts w:ascii="Arial" w:eastAsia="宋体" w:hAnsi="Arial" w:cs="Arial"/>
      <w:b/>
      <w:kern w:val="2"/>
      <w:sz w:val="24"/>
      <w:szCs w:val="24"/>
      <w:lang w:val="en-US" w:eastAsia="zh-CN" w:bidi="ar-SA"/>
    </w:rPr>
  </w:style>
  <w:style w:type="character" w:customStyle="1" w:styleId="CharCharf9">
    <w:name w:val="表、图名 Char Char"/>
    <w:link w:val="affffffffffffffffffffff3"/>
    <w:qFormat/>
    <w:rPr>
      <w:rFonts w:eastAsia="黑体"/>
      <w:sz w:val="21"/>
      <w:szCs w:val="21"/>
    </w:rPr>
  </w:style>
  <w:style w:type="paragraph" w:customStyle="1" w:styleId="affffffffffffffffffffff3">
    <w:name w:val="表、图名"/>
    <w:basedOn w:val="a9"/>
    <w:link w:val="CharCharf9"/>
    <w:qFormat/>
    <w:pPr>
      <w:adjustRightInd w:val="0"/>
      <w:snapToGrid w:val="0"/>
      <w:jc w:val="center"/>
    </w:pPr>
    <w:rPr>
      <w:rFonts w:eastAsia="黑体"/>
      <w:sz w:val="21"/>
      <w:szCs w:val="21"/>
    </w:rPr>
  </w:style>
  <w:style w:type="character" w:customStyle="1" w:styleId="9CharChar">
    <w:name w:val="标题 9 Char Char"/>
    <w:qFormat/>
    <w:rPr>
      <w:rFonts w:ascii="Arial" w:eastAsia="黑体" w:hAnsi="Arial"/>
      <w:kern w:val="2"/>
      <w:sz w:val="21"/>
      <w:szCs w:val="21"/>
      <w:lang w:val="en-US" w:eastAsia="zh-CN" w:bidi="ar-SA"/>
    </w:rPr>
  </w:style>
  <w:style w:type="character" w:customStyle="1" w:styleId="ACharChar">
    <w:name w:val="表格A Char Char"/>
    <w:qFormat/>
    <w:rPr>
      <w:kern w:val="2"/>
      <w:sz w:val="21"/>
    </w:rPr>
  </w:style>
  <w:style w:type="character" w:customStyle="1" w:styleId="CharCharfa">
    <w:name w:val="图框 Char Char"/>
    <w:qFormat/>
    <w:rPr>
      <w:rFonts w:ascii="Arial" w:eastAsia="宋体" w:hAnsi="Arial"/>
      <w:kern w:val="2"/>
      <w:sz w:val="21"/>
      <w:szCs w:val="21"/>
      <w:lang w:val="en-US" w:eastAsia="zh-CN" w:bidi="ar-SA"/>
    </w:rPr>
  </w:style>
  <w:style w:type="character" w:customStyle="1" w:styleId="1CharCharChar3">
    <w:name w:val="样式1 Char Char Char"/>
    <w:qFormat/>
    <w:rPr>
      <w:rFonts w:ascii="Arial" w:eastAsia="宋体" w:hAnsi="Arial" w:cs="Arial"/>
      <w:color w:val="000000"/>
      <w:kern w:val="2"/>
      <w:sz w:val="24"/>
      <w:szCs w:val="24"/>
      <w:lang w:val="en-US" w:eastAsia="zh-CN" w:bidi="ar-SA"/>
    </w:rPr>
  </w:style>
  <w:style w:type="character" w:customStyle="1" w:styleId="1CharChara">
    <w:name w:val="样式 表头样式1 + 非加粗 Char Char"/>
    <w:qFormat/>
    <w:rPr>
      <w:rFonts w:eastAsia="黑体" w:hAnsi="黑体"/>
      <w:b/>
      <w:kern w:val="2"/>
      <w:sz w:val="24"/>
      <w:lang w:val="en-US" w:eastAsia="zh-CN" w:bidi="ar-SA"/>
    </w:rPr>
  </w:style>
  <w:style w:type="character" w:customStyle="1" w:styleId="CharCharChar5">
    <w:name w:val="表头 Char Char Char"/>
    <w:qFormat/>
    <w:rPr>
      <w:rFonts w:ascii="Arial" w:eastAsia="黑体" w:hAnsi="Arial"/>
      <w:b/>
      <w:kern w:val="2"/>
      <w:sz w:val="21"/>
      <w:szCs w:val="24"/>
      <w:lang w:val="en-US" w:eastAsia="zh-CN" w:bidi="ar-SA"/>
    </w:rPr>
  </w:style>
  <w:style w:type="character" w:customStyle="1" w:styleId="5CharChar">
    <w:name w:val="表格（小5号） Char Char"/>
    <w:link w:val="5f2"/>
    <w:qFormat/>
    <w:rPr>
      <w:rFonts w:ascii="Arial" w:hAnsi="Arial"/>
      <w:color w:val="000000"/>
      <w:kern w:val="18"/>
      <w:sz w:val="18"/>
    </w:rPr>
  </w:style>
  <w:style w:type="paragraph" w:customStyle="1" w:styleId="5f2">
    <w:name w:val="表格（小5号）"/>
    <w:basedOn w:val="a9"/>
    <w:link w:val="5CharChar"/>
    <w:qFormat/>
    <w:pPr>
      <w:tabs>
        <w:tab w:val="left" w:pos="900"/>
      </w:tabs>
      <w:spacing w:line="240" w:lineRule="atLeast"/>
      <w:jc w:val="center"/>
    </w:pPr>
    <w:rPr>
      <w:rFonts w:ascii="Arial" w:hAnsi="Arial"/>
      <w:color w:val="000000"/>
      <w:kern w:val="18"/>
      <w:sz w:val="18"/>
    </w:rPr>
  </w:style>
  <w:style w:type="character" w:customStyle="1" w:styleId="Char1">
    <w:name w:val="宏文本 Char"/>
    <w:link w:val="af2"/>
    <w:qFormat/>
    <w:rPr>
      <w:rFonts w:ascii="Courier New" w:hAnsi="Courier New" w:cs="Courier New"/>
      <w:kern w:val="2"/>
      <w:sz w:val="24"/>
      <w:szCs w:val="24"/>
    </w:rPr>
  </w:style>
  <w:style w:type="paragraph" w:customStyle="1" w:styleId="visio">
    <w:name w:val="visio图"/>
    <w:basedOn w:val="a9"/>
    <w:qFormat/>
    <w:pPr>
      <w:tabs>
        <w:tab w:val="left" w:pos="1418"/>
      </w:tabs>
      <w:spacing w:line="360" w:lineRule="auto"/>
      <w:jc w:val="center"/>
    </w:pPr>
    <w:rPr>
      <w:rFonts w:ascii="Arial" w:eastAsia="黑体" w:hAnsi="Arial"/>
      <w:b/>
      <w:kern w:val="2"/>
      <w:sz w:val="21"/>
      <w:szCs w:val="24"/>
    </w:rPr>
  </w:style>
  <w:style w:type="paragraph" w:customStyle="1" w:styleId="New">
    <w:name w:val="君邦正文 New"/>
    <w:qFormat/>
    <w:pPr>
      <w:spacing w:after="60" w:line="360" w:lineRule="auto"/>
      <w:ind w:firstLineChars="200" w:firstLine="480"/>
      <w:jc w:val="both"/>
    </w:pPr>
    <w:rPr>
      <w:bCs/>
      <w:snapToGrid w:val="0"/>
      <w:kern w:val="2"/>
      <w:sz w:val="24"/>
      <w:szCs w:val="22"/>
    </w:rPr>
  </w:style>
  <w:style w:type="paragraph" w:customStyle="1" w:styleId="NewNewNew">
    <w:name w:val="正文 New New New"/>
    <w:qFormat/>
    <w:pPr>
      <w:widowControl w:val="0"/>
      <w:jc w:val="both"/>
    </w:pPr>
    <w:rPr>
      <w:kern w:val="2"/>
      <w:sz w:val="21"/>
      <w:szCs w:val="24"/>
    </w:rPr>
  </w:style>
  <w:style w:type="paragraph" w:customStyle="1" w:styleId="1NewNew">
    <w:name w:val="样式1 New New"/>
    <w:basedOn w:val="NewNew"/>
    <w:qFormat/>
    <w:pPr>
      <w:spacing w:line="500" w:lineRule="exact"/>
      <w:ind w:firstLineChars="200" w:firstLine="420"/>
    </w:pPr>
    <w:rPr>
      <w:rFonts w:ascii="Arial" w:hAnsi="Arial" w:cs="Arial"/>
      <w:sz w:val="24"/>
    </w:rPr>
  </w:style>
  <w:style w:type="paragraph" w:customStyle="1" w:styleId="NewNew">
    <w:name w:val="正文 New New"/>
    <w:qFormat/>
    <w:pPr>
      <w:widowControl w:val="0"/>
      <w:jc w:val="both"/>
    </w:pPr>
    <w:rPr>
      <w:kern w:val="2"/>
      <w:sz w:val="21"/>
      <w:szCs w:val="24"/>
    </w:rPr>
  </w:style>
  <w:style w:type="paragraph" w:customStyle="1" w:styleId="affffffffffffffffffffff4">
    <w:name w:val="表格产业园"/>
    <w:basedOn w:val="a9"/>
    <w:qFormat/>
    <w:pPr>
      <w:widowControl/>
      <w:jc w:val="center"/>
    </w:pPr>
    <w:rPr>
      <w:rFonts w:ascii="宋体" w:hAnsi="宋体"/>
      <w:color w:val="000000"/>
      <w:kern w:val="2"/>
      <w:sz w:val="21"/>
      <w:szCs w:val="21"/>
    </w:rPr>
  </w:style>
  <w:style w:type="paragraph" w:customStyle="1" w:styleId="NormalNewNewNewNewNewNewNewNewNewNewNew">
    <w:name w:val="Normal New New New New New New New New New New New"/>
    <w:qFormat/>
    <w:pPr>
      <w:jc w:val="both"/>
    </w:pPr>
    <w:rPr>
      <w:kern w:val="2"/>
      <w:sz w:val="21"/>
    </w:rPr>
  </w:style>
  <w:style w:type="paragraph" w:customStyle="1" w:styleId="1NewNew0">
    <w:name w:val="表头样式1 New New"/>
    <w:basedOn w:val="a9"/>
    <w:qFormat/>
    <w:pPr>
      <w:spacing w:beforeLines="50"/>
      <w:jc w:val="center"/>
    </w:pPr>
    <w:rPr>
      <w:rFonts w:eastAsia="黑体"/>
      <w:b/>
      <w:kern w:val="2"/>
      <w:sz w:val="24"/>
      <w:szCs w:val="24"/>
    </w:rPr>
  </w:style>
  <w:style w:type="paragraph" w:customStyle="1" w:styleId="affffffffffffffffffffff5">
    <w:name w:val="注×："/>
    <w:qFormat/>
    <w:pPr>
      <w:widowControl w:val="0"/>
      <w:tabs>
        <w:tab w:val="left" w:pos="630"/>
      </w:tabs>
      <w:autoSpaceDE w:val="0"/>
      <w:autoSpaceDN w:val="0"/>
      <w:jc w:val="both"/>
    </w:pPr>
    <w:rPr>
      <w:rFonts w:ascii="宋体"/>
      <w:sz w:val="18"/>
    </w:rPr>
  </w:style>
  <w:style w:type="paragraph" w:customStyle="1" w:styleId="NormalNewNewNewNewNewNewNewNewNew">
    <w:name w:val="Normal New New New New New New New New New"/>
    <w:qFormat/>
    <w:pPr>
      <w:jc w:val="both"/>
    </w:pPr>
    <w:rPr>
      <w:kern w:val="2"/>
      <w:sz w:val="21"/>
    </w:rPr>
  </w:style>
  <w:style w:type="paragraph" w:customStyle="1" w:styleId="NewNew0">
    <w:name w:val="表头 New New"/>
    <w:basedOn w:val="a9"/>
    <w:qFormat/>
    <w:pPr>
      <w:spacing w:line="500" w:lineRule="exact"/>
      <w:jc w:val="center"/>
    </w:pPr>
    <w:rPr>
      <w:rFonts w:ascii="Arial" w:eastAsia="黑体" w:hAnsi="Arial"/>
      <w:b/>
      <w:kern w:val="2"/>
      <w:sz w:val="21"/>
      <w:szCs w:val="24"/>
    </w:rPr>
  </w:style>
  <w:style w:type="paragraph" w:customStyle="1" w:styleId="NormalNewNewNewNewNewNewNewNewNewNew">
    <w:name w:val="Normal New New New New New New New New New New"/>
    <w:qFormat/>
    <w:pPr>
      <w:jc w:val="both"/>
    </w:pPr>
    <w:rPr>
      <w:kern w:val="2"/>
      <w:sz w:val="21"/>
    </w:rPr>
  </w:style>
  <w:style w:type="paragraph" w:customStyle="1" w:styleId="5New">
    <w:name w:val="标题 5 New"/>
    <w:basedOn w:val="NewNewNewNewNew"/>
    <w:next w:val="NewNewNewNewNew"/>
    <w:qFormat/>
    <w:pPr>
      <w:keepNext/>
      <w:keepLines/>
      <w:spacing w:before="120" w:line="500" w:lineRule="exact"/>
      <w:outlineLvl w:val="4"/>
    </w:pPr>
    <w:rPr>
      <w:rFonts w:ascii="Arial" w:eastAsia="黑体" w:hAnsi="Arial"/>
      <w:b/>
      <w:bCs/>
      <w:sz w:val="24"/>
      <w:szCs w:val="28"/>
    </w:rPr>
  </w:style>
  <w:style w:type="paragraph" w:customStyle="1" w:styleId="NewNewNewNewNew">
    <w:name w:val="正文 New New New New New"/>
    <w:qFormat/>
    <w:pPr>
      <w:widowControl w:val="0"/>
      <w:jc w:val="both"/>
    </w:pPr>
    <w:rPr>
      <w:kern w:val="2"/>
      <w:sz w:val="21"/>
      <w:szCs w:val="24"/>
    </w:rPr>
  </w:style>
  <w:style w:type="paragraph" w:customStyle="1" w:styleId="NormalNewNewNewNewNew">
    <w:name w:val="Normal New New New New New"/>
    <w:qFormat/>
    <w:pPr>
      <w:jc w:val="both"/>
    </w:pPr>
    <w:rPr>
      <w:kern w:val="2"/>
      <w:sz w:val="21"/>
    </w:rPr>
  </w:style>
  <w:style w:type="paragraph" w:customStyle="1" w:styleId="NormalNewNewNewNewNewNewNewNewNewNewNewNewNewNewNewNewNewNew">
    <w:name w:val="Normal New New New New New New New New New New New New New New New New New New"/>
    <w:qFormat/>
    <w:pPr>
      <w:jc w:val="both"/>
    </w:pPr>
    <w:rPr>
      <w:kern w:val="2"/>
      <w:sz w:val="21"/>
    </w:rPr>
  </w:style>
  <w:style w:type="paragraph" w:customStyle="1" w:styleId="NormalNewNewNewNewNewNewNewNewNewNewNewNew">
    <w:name w:val="Normal New New New New New New New New New New New New"/>
    <w:qFormat/>
    <w:pPr>
      <w:jc w:val="both"/>
    </w:pPr>
    <w:rPr>
      <w:kern w:val="2"/>
      <w:sz w:val="21"/>
    </w:rPr>
  </w:style>
  <w:style w:type="paragraph" w:customStyle="1" w:styleId="p16">
    <w:name w:val="p16"/>
    <w:basedOn w:val="a9"/>
    <w:qFormat/>
    <w:pPr>
      <w:widowControl/>
      <w:spacing w:line="500" w:lineRule="atLeast"/>
      <w:ind w:firstLine="420"/>
      <w:jc w:val="left"/>
    </w:pPr>
    <w:rPr>
      <w:rFonts w:ascii="Arial" w:hAnsi="Arial" w:cs="Arial"/>
      <w:color w:val="000000"/>
      <w:sz w:val="24"/>
      <w:szCs w:val="24"/>
    </w:rPr>
  </w:style>
  <w:style w:type="paragraph" w:customStyle="1" w:styleId="5NewNew">
    <w:name w:val="标题 5 New New"/>
    <w:basedOn w:val="a9"/>
    <w:next w:val="New0"/>
    <w:qFormat/>
    <w:pPr>
      <w:keepNext/>
      <w:numPr>
        <w:ilvl w:val="4"/>
        <w:numId w:val="11"/>
      </w:numPr>
      <w:tabs>
        <w:tab w:val="left" w:pos="974"/>
      </w:tabs>
      <w:spacing w:after="60" w:line="360" w:lineRule="auto"/>
      <w:ind w:left="974" w:hanging="974"/>
      <w:outlineLvl w:val="4"/>
    </w:pPr>
    <w:rPr>
      <w:b/>
      <w:kern w:val="2"/>
      <w:sz w:val="24"/>
      <w:szCs w:val="24"/>
    </w:rPr>
  </w:style>
  <w:style w:type="paragraph" w:customStyle="1" w:styleId="New0">
    <w:name w:val="正文缩进 New"/>
    <w:basedOn w:val="a9"/>
    <w:qFormat/>
    <w:pPr>
      <w:spacing w:line="360" w:lineRule="auto"/>
      <w:ind w:firstLine="482"/>
    </w:pPr>
    <w:rPr>
      <w:kern w:val="2"/>
      <w:sz w:val="24"/>
      <w:szCs w:val="24"/>
    </w:rPr>
  </w:style>
  <w:style w:type="paragraph" w:customStyle="1" w:styleId="NewNewNewNew">
    <w:name w:val="君邦正文 New New New New"/>
    <w:qFormat/>
    <w:pPr>
      <w:spacing w:after="60" w:line="360" w:lineRule="auto"/>
      <w:ind w:firstLineChars="200" w:firstLine="480"/>
      <w:jc w:val="both"/>
    </w:pPr>
    <w:rPr>
      <w:bCs/>
      <w:snapToGrid w:val="0"/>
      <w:sz w:val="24"/>
    </w:rPr>
  </w:style>
  <w:style w:type="paragraph" w:customStyle="1" w:styleId="CharCharCharCharCharChar1CharCharCharCharCharChar1Char">
    <w:name w:val="Char Char Char Char Char Char1 Char Char Char Char Char Char1 Char"/>
    <w:basedOn w:val="a9"/>
    <w:qFormat/>
    <w:pPr>
      <w:spacing w:afterLines="50" w:line="560" w:lineRule="exact"/>
    </w:pPr>
    <w:rPr>
      <w:rFonts w:eastAsia="黑体"/>
      <w:kern w:val="2"/>
      <w:sz w:val="30"/>
      <w:szCs w:val="30"/>
    </w:rPr>
  </w:style>
  <w:style w:type="paragraph" w:customStyle="1" w:styleId="New1">
    <w:name w:val="表内格式 New"/>
    <w:basedOn w:val="a9"/>
    <w:qFormat/>
    <w:pPr>
      <w:jc w:val="center"/>
    </w:pPr>
    <w:rPr>
      <w:kern w:val="2"/>
      <w:sz w:val="18"/>
      <w:szCs w:val="24"/>
    </w:rPr>
  </w:style>
  <w:style w:type="paragraph" w:customStyle="1" w:styleId="CharCharCharCharCharChar1CharCharCharCharCharChar1Char1">
    <w:name w:val="Char Char Char Char Char Char1 Char Char Char Char Char Char1 Char1"/>
    <w:basedOn w:val="a9"/>
    <w:qFormat/>
    <w:pPr>
      <w:spacing w:afterLines="50" w:line="560" w:lineRule="exact"/>
    </w:pPr>
    <w:rPr>
      <w:rFonts w:eastAsia="黑体"/>
      <w:kern w:val="2"/>
      <w:sz w:val="30"/>
      <w:szCs w:val="30"/>
    </w:rPr>
  </w:style>
  <w:style w:type="paragraph" w:customStyle="1" w:styleId="NormalNewNewNewNew">
    <w:name w:val="Normal New New New New"/>
    <w:qFormat/>
    <w:pPr>
      <w:jc w:val="both"/>
    </w:pPr>
    <w:rPr>
      <w:kern w:val="2"/>
      <w:sz w:val="21"/>
    </w:rPr>
  </w:style>
  <w:style w:type="paragraph" w:customStyle="1" w:styleId="NormalNewNewNewNewNewNewNewNewNewNewNewNewNewNewNewNewNewNewNewNewNewNew">
    <w:name w:val="Normal New New New New New New New New New New New New New New New New New New New New New New"/>
    <w:qFormat/>
    <w:pPr>
      <w:jc w:val="both"/>
    </w:pPr>
    <w:rPr>
      <w:kern w:val="2"/>
      <w:sz w:val="21"/>
    </w:rPr>
  </w:style>
  <w:style w:type="paragraph" w:customStyle="1" w:styleId="NormalNewNewNewNewNewNewNewNew">
    <w:name w:val="Normal New New New New New New New New"/>
    <w:qFormat/>
    <w:pPr>
      <w:jc w:val="both"/>
    </w:pPr>
    <w:rPr>
      <w:kern w:val="2"/>
      <w:sz w:val="21"/>
    </w:rPr>
  </w:style>
  <w:style w:type="paragraph" w:customStyle="1" w:styleId="1NewNewNew">
    <w:name w:val="样式1 New New New"/>
    <w:basedOn w:val="NewNewNew"/>
    <w:qFormat/>
    <w:pPr>
      <w:spacing w:line="500" w:lineRule="exact"/>
      <w:ind w:firstLineChars="200" w:firstLine="420"/>
    </w:pPr>
    <w:rPr>
      <w:rFonts w:ascii="Arial" w:hAnsi="Arial" w:cs="Arial"/>
      <w:sz w:val="24"/>
    </w:rPr>
  </w:style>
  <w:style w:type="paragraph" w:customStyle="1" w:styleId="p17">
    <w:name w:val="p17"/>
    <w:basedOn w:val="a9"/>
    <w:qFormat/>
    <w:pPr>
      <w:widowControl/>
      <w:spacing w:after="60" w:line="360" w:lineRule="auto"/>
      <w:ind w:firstLine="420"/>
    </w:pPr>
    <w:rPr>
      <w:sz w:val="24"/>
      <w:szCs w:val="24"/>
    </w:rPr>
  </w:style>
  <w:style w:type="paragraph" w:customStyle="1" w:styleId="1ffffff3">
    <w:name w:val="表格 1"/>
    <w:basedOn w:val="afffff5"/>
    <w:qFormat/>
    <w:rPr>
      <w:rFonts w:ascii="Arial" w:hAnsi="Arial" w:cs="宋体"/>
      <w:kern w:val="2"/>
      <w:szCs w:val="20"/>
    </w:rPr>
  </w:style>
  <w:style w:type="paragraph" w:customStyle="1" w:styleId="4New">
    <w:name w:val="标题 4 New"/>
    <w:basedOn w:val="NewNewNewNewNew"/>
    <w:next w:val="NewNewNewNewNew"/>
    <w:qFormat/>
    <w:pPr>
      <w:keepNext/>
      <w:keepLines/>
      <w:spacing w:before="180" w:after="60" w:line="500" w:lineRule="exact"/>
      <w:outlineLvl w:val="3"/>
    </w:pPr>
    <w:rPr>
      <w:rFonts w:ascii="Arial" w:eastAsia="黑体" w:hAnsi="Arial"/>
      <w:b/>
      <w:bCs/>
      <w:sz w:val="28"/>
      <w:szCs w:val="28"/>
    </w:rPr>
  </w:style>
  <w:style w:type="paragraph" w:customStyle="1" w:styleId="p21">
    <w:name w:val="p21"/>
    <w:basedOn w:val="a9"/>
    <w:qFormat/>
    <w:pPr>
      <w:widowControl/>
      <w:spacing w:after="60" w:line="360" w:lineRule="auto"/>
      <w:ind w:firstLine="420"/>
    </w:pPr>
    <w:rPr>
      <w:rFonts w:ascii="Calibri" w:hAnsi="Calibri" w:cs="宋体"/>
      <w:sz w:val="24"/>
      <w:szCs w:val="24"/>
    </w:rPr>
  </w:style>
  <w:style w:type="paragraph" w:customStyle="1" w:styleId="NormalNewNewNewNewNewNewNewNewNewNewNewNewNew">
    <w:name w:val="Normal New New New New New New New New New New New New New"/>
    <w:qFormat/>
    <w:pPr>
      <w:jc w:val="both"/>
    </w:pPr>
    <w:rPr>
      <w:kern w:val="2"/>
      <w:sz w:val="21"/>
    </w:rPr>
  </w:style>
  <w:style w:type="paragraph" w:customStyle="1" w:styleId="NewNewNewNewNewNew">
    <w:name w:val="正文 New New New New New New"/>
    <w:qFormat/>
    <w:pPr>
      <w:widowControl w:val="0"/>
      <w:jc w:val="both"/>
    </w:pPr>
    <w:rPr>
      <w:kern w:val="2"/>
      <w:sz w:val="21"/>
      <w:szCs w:val="24"/>
    </w:rPr>
  </w:style>
  <w:style w:type="paragraph" w:customStyle="1" w:styleId="NormalNewNew">
    <w:name w:val="Normal New New"/>
    <w:qFormat/>
    <w:pPr>
      <w:jc w:val="both"/>
    </w:pPr>
    <w:rPr>
      <w:kern w:val="2"/>
      <w:sz w:val="21"/>
    </w:rPr>
  </w:style>
  <w:style w:type="paragraph" w:customStyle="1" w:styleId="Style110">
    <w:name w:val="_Style 11"/>
    <w:basedOn w:val="a9"/>
    <w:next w:val="aff1"/>
    <w:rPr>
      <w:rFonts w:hAnsi="Courier New"/>
      <w:kern w:val="2"/>
      <w:sz w:val="21"/>
    </w:rPr>
  </w:style>
  <w:style w:type="paragraph" w:customStyle="1" w:styleId="NewNewNew0">
    <w:name w:val="君邦正文 New New New"/>
    <w:qFormat/>
    <w:pPr>
      <w:spacing w:after="60" w:line="360" w:lineRule="auto"/>
      <w:ind w:firstLineChars="200" w:firstLine="480"/>
      <w:jc w:val="both"/>
    </w:pPr>
    <w:rPr>
      <w:bCs/>
      <w:snapToGrid w:val="0"/>
      <w:sz w:val="24"/>
    </w:rPr>
  </w:style>
  <w:style w:type="paragraph" w:customStyle="1" w:styleId="NormalNewNewNewNewNewNewNewNewNewNewNewNewNewNewNewNew">
    <w:name w:val="Normal New New New New New New New New New New New New New New New New"/>
    <w:qFormat/>
    <w:pPr>
      <w:jc w:val="both"/>
    </w:pPr>
    <w:rPr>
      <w:kern w:val="2"/>
      <w:sz w:val="21"/>
    </w:rPr>
  </w:style>
  <w:style w:type="paragraph" w:customStyle="1" w:styleId="NormalNew">
    <w:name w:val="Normal New"/>
    <w:qFormat/>
    <w:pPr>
      <w:jc w:val="both"/>
    </w:pPr>
    <w:rPr>
      <w:kern w:val="2"/>
      <w:sz w:val="21"/>
    </w:rPr>
  </w:style>
  <w:style w:type="paragraph" w:customStyle="1" w:styleId="New2">
    <w:name w:val="表头 New"/>
    <w:basedOn w:val="a9"/>
    <w:qFormat/>
    <w:pPr>
      <w:spacing w:line="500" w:lineRule="exact"/>
      <w:jc w:val="center"/>
    </w:pPr>
    <w:rPr>
      <w:rFonts w:ascii="Arial" w:eastAsia="黑体" w:hAnsi="Arial"/>
      <w:b/>
      <w:kern w:val="2"/>
      <w:sz w:val="21"/>
      <w:szCs w:val="24"/>
    </w:rPr>
  </w:style>
  <w:style w:type="paragraph" w:customStyle="1" w:styleId="NormalNewNewNewNewNewNewNewNewNewNewNewNewNewNew">
    <w:name w:val="Normal New New New New New New New New New New New New New New"/>
    <w:qFormat/>
    <w:pPr>
      <w:jc w:val="both"/>
    </w:pPr>
    <w:rPr>
      <w:kern w:val="2"/>
      <w:sz w:val="21"/>
    </w:rPr>
  </w:style>
  <w:style w:type="paragraph" w:customStyle="1" w:styleId="NewNew1">
    <w:name w:val="表 头 New New"/>
    <w:basedOn w:val="NewNew"/>
    <w:qFormat/>
    <w:pPr>
      <w:tabs>
        <w:tab w:val="left" w:pos="1418"/>
      </w:tabs>
      <w:adjustRightInd w:val="0"/>
      <w:spacing w:before="120" w:after="120" w:line="360" w:lineRule="atLeast"/>
      <w:ind w:right="-120"/>
      <w:jc w:val="center"/>
    </w:pPr>
    <w:rPr>
      <w:rFonts w:ascii="Arial" w:eastAsia="黑体"/>
      <w:b/>
      <w:color w:val="0000FF"/>
    </w:rPr>
  </w:style>
  <w:style w:type="paragraph" w:customStyle="1" w:styleId="NormalNewNewNewNewNewNewNewNewNewNewNewNewNewNewNewNewNewNewNew">
    <w:name w:val="Normal New New New New New New New New New New New New New New New New New New New"/>
    <w:qFormat/>
    <w:pPr>
      <w:jc w:val="both"/>
    </w:pPr>
    <w:rPr>
      <w:kern w:val="2"/>
      <w:sz w:val="21"/>
    </w:rPr>
  </w:style>
  <w:style w:type="paragraph" w:customStyle="1" w:styleId="NormalNewNewNewNewNewNewNewNewNewNewNewNewNewNewNewNewNewNewNewNewNew">
    <w:name w:val="Normal New New New New New New New New New New New New New New New New New New New New New"/>
    <w:qFormat/>
    <w:pPr>
      <w:jc w:val="both"/>
    </w:pPr>
    <w:rPr>
      <w:kern w:val="2"/>
      <w:sz w:val="21"/>
    </w:rPr>
  </w:style>
  <w:style w:type="paragraph" w:customStyle="1" w:styleId="1New">
    <w:name w:val="表头样式1 New"/>
    <w:basedOn w:val="NewNew"/>
    <w:qFormat/>
    <w:pPr>
      <w:spacing w:beforeLines="50"/>
      <w:jc w:val="center"/>
    </w:pPr>
    <w:rPr>
      <w:rFonts w:eastAsia="黑体"/>
      <w:b/>
      <w:sz w:val="24"/>
    </w:rPr>
  </w:style>
  <w:style w:type="paragraph" w:customStyle="1" w:styleId="NormalNewNewNew">
    <w:name w:val="Normal New New New"/>
    <w:qFormat/>
    <w:pPr>
      <w:jc w:val="both"/>
    </w:pPr>
    <w:rPr>
      <w:kern w:val="2"/>
      <w:sz w:val="21"/>
    </w:rPr>
  </w:style>
  <w:style w:type="paragraph" w:customStyle="1" w:styleId="NormalNewNewNewNewNewNewNewNewNewNewNewNewNewNewNew">
    <w:name w:val="Normal New New New New New New New New New New New New New New New"/>
    <w:qFormat/>
    <w:pPr>
      <w:jc w:val="both"/>
    </w:pPr>
    <w:rPr>
      <w:kern w:val="2"/>
      <w:sz w:val="21"/>
    </w:rPr>
  </w:style>
  <w:style w:type="paragraph" w:customStyle="1" w:styleId="010">
    <w:name w:val="正文01"/>
    <w:basedOn w:val="a9"/>
    <w:qFormat/>
    <w:pPr>
      <w:spacing w:before="60" w:line="460" w:lineRule="exact"/>
      <w:ind w:firstLineChars="200" w:firstLine="200"/>
    </w:pPr>
    <w:rPr>
      <w:kern w:val="2"/>
      <w:sz w:val="24"/>
      <w:szCs w:val="24"/>
    </w:rPr>
  </w:style>
  <w:style w:type="paragraph" w:customStyle="1" w:styleId="NewNew2">
    <w:name w:val="君邦正文 New New"/>
    <w:qFormat/>
    <w:pPr>
      <w:spacing w:after="60" w:line="360" w:lineRule="auto"/>
      <w:ind w:firstLineChars="200" w:firstLine="480"/>
      <w:jc w:val="both"/>
    </w:pPr>
    <w:rPr>
      <w:bCs/>
      <w:snapToGrid w:val="0"/>
      <w:kern w:val="2"/>
      <w:sz w:val="24"/>
      <w:szCs w:val="22"/>
    </w:rPr>
  </w:style>
  <w:style w:type="paragraph" w:customStyle="1" w:styleId="NormalNewNewNewNewNewNewNewNewNewNewNewNewNewNewNewNewNew">
    <w:name w:val="Normal New New New New New New New New New New New New New New New New New"/>
    <w:qFormat/>
    <w:pPr>
      <w:jc w:val="both"/>
    </w:pPr>
    <w:rPr>
      <w:kern w:val="2"/>
      <w:sz w:val="21"/>
    </w:rPr>
  </w:style>
  <w:style w:type="character" w:customStyle="1" w:styleId="CharChar342">
    <w:name w:val="Char Char342"/>
    <w:qFormat/>
    <w:rPr>
      <w:kern w:val="2"/>
      <w:sz w:val="18"/>
      <w:szCs w:val="18"/>
    </w:rPr>
  </w:style>
  <w:style w:type="paragraph" w:customStyle="1" w:styleId="TOC2">
    <w:name w:val="TOC 标题2"/>
    <w:basedOn w:val="1"/>
    <w:next w:val="a9"/>
    <w:uiPriority w:val="39"/>
    <w:unhideWhenUsed/>
    <w:qFormat/>
    <w:pPr>
      <w:pageBreakBefore w:val="0"/>
      <w:widowControl/>
      <w:numPr>
        <w:numId w:val="0"/>
      </w:numPr>
      <w:spacing w:before="480" w:after="0" w:line="276" w:lineRule="auto"/>
      <w:jc w:val="center"/>
      <w:outlineLvl w:val="9"/>
    </w:pPr>
    <w:rPr>
      <w:rFonts w:ascii="Cambria" w:hAnsi="Cambria"/>
      <w:bCs/>
      <w:color w:val="365F91"/>
      <w:kern w:val="0"/>
      <w:szCs w:val="28"/>
    </w:rPr>
  </w:style>
  <w:style w:type="character" w:customStyle="1" w:styleId="bg">
    <w:name w:val="bg"/>
    <w:qFormat/>
    <w:rPr>
      <w:color w:val="FFFFFF"/>
      <w:sz w:val="33"/>
      <w:szCs w:val="33"/>
      <w:shd w:val="clear" w:color="auto" w:fill="A30000"/>
    </w:rPr>
  </w:style>
  <w:style w:type="character" w:customStyle="1" w:styleId="bdsmore1">
    <w:name w:val="bds_more1"/>
    <w:qFormat/>
  </w:style>
  <w:style w:type="character" w:customStyle="1" w:styleId="font111">
    <w:name w:val="font111"/>
    <w:qFormat/>
    <w:rPr>
      <w:rFonts w:ascii="Times New Roman" w:hAnsi="Times New Roman" w:cs="Times New Roman" w:hint="default"/>
      <w:color w:val="000000"/>
      <w:sz w:val="24"/>
      <w:szCs w:val="24"/>
      <w:u w:val="none"/>
      <w:vertAlign w:val="superscript"/>
    </w:rPr>
  </w:style>
  <w:style w:type="character" w:customStyle="1" w:styleId="ydx">
    <w:name w:val="ydx"/>
    <w:qFormat/>
    <w:rPr>
      <w:shd w:val="clear" w:color="auto" w:fill="CC6600"/>
    </w:rPr>
  </w:style>
  <w:style w:type="character" w:customStyle="1" w:styleId="lab2">
    <w:name w:val="lab2"/>
    <w:qFormat/>
  </w:style>
  <w:style w:type="character" w:customStyle="1" w:styleId="btna-s3">
    <w:name w:val="btna-s3"/>
    <w:qFormat/>
    <w:rPr>
      <w:color w:val="FFFFFF"/>
      <w:u w:val="none"/>
      <w:shd w:val="clear" w:color="auto" w:fill="0378C8"/>
    </w:rPr>
  </w:style>
  <w:style w:type="character" w:customStyle="1" w:styleId="lab">
    <w:name w:val="lab"/>
    <w:qFormat/>
  </w:style>
  <w:style w:type="character" w:customStyle="1" w:styleId="skim1">
    <w:name w:val="skim1"/>
    <w:qFormat/>
  </w:style>
  <w:style w:type="character" w:customStyle="1" w:styleId="bdsnopic">
    <w:name w:val="bds_nopic"/>
    <w:qFormat/>
  </w:style>
  <w:style w:type="character" w:customStyle="1" w:styleId="btna-s9">
    <w:name w:val="btna-s9"/>
    <w:qFormat/>
    <w:rPr>
      <w:color w:val="FFFFFF"/>
      <w:u w:val="none"/>
    </w:rPr>
  </w:style>
  <w:style w:type="character" w:customStyle="1" w:styleId="zhiwen">
    <w:name w:val="zhiwen"/>
    <w:qFormat/>
  </w:style>
  <w:style w:type="character" w:customStyle="1" w:styleId="content">
    <w:name w:val="content"/>
    <w:qFormat/>
  </w:style>
  <w:style w:type="character" w:customStyle="1" w:styleId="orangebg">
    <w:name w:val="orangebg"/>
    <w:qFormat/>
  </w:style>
  <w:style w:type="character" w:customStyle="1" w:styleId="bg12">
    <w:name w:val="bg12"/>
    <w:qFormat/>
    <w:rPr>
      <w:color w:val="FFFFFF"/>
      <w:sz w:val="33"/>
      <w:szCs w:val="33"/>
      <w:shd w:val="clear" w:color="auto" w:fill="A30000"/>
    </w:rPr>
  </w:style>
  <w:style w:type="character" w:customStyle="1" w:styleId="here42">
    <w:name w:val="here42"/>
    <w:qFormat/>
    <w:rPr>
      <w:b/>
      <w:color w:val="FFFFFF"/>
      <w:sz w:val="24"/>
      <w:szCs w:val="24"/>
    </w:rPr>
  </w:style>
  <w:style w:type="character" w:customStyle="1" w:styleId="bdsmore3">
    <w:name w:val="bds_more3"/>
    <w:qFormat/>
    <w:rPr>
      <w:rFonts w:ascii="宋体" w:eastAsia="宋体" w:hAnsi="宋体" w:cs="宋体" w:hint="eastAsia"/>
    </w:rPr>
  </w:style>
  <w:style w:type="character" w:customStyle="1" w:styleId="buy">
    <w:name w:val="buy"/>
    <w:qFormat/>
  </w:style>
  <w:style w:type="character" w:customStyle="1" w:styleId="bdsmore6">
    <w:name w:val="bds_more6"/>
    <w:qFormat/>
  </w:style>
  <w:style w:type="character" w:customStyle="1" w:styleId="Charffffff6">
    <w:name w:val="样式 正文正文右 + Char"/>
    <w:link w:val="affffffffffffffffffffff6"/>
    <w:qFormat/>
    <w:rPr>
      <w:rFonts w:ascii="仿宋_GB2312" w:eastAsia="仿宋_GB2312" w:hAnsi="仿宋_GB2312"/>
      <w:sz w:val="28"/>
      <w:szCs w:val="24"/>
    </w:rPr>
  </w:style>
  <w:style w:type="paragraph" w:customStyle="1" w:styleId="affffffffffffffffffffff6">
    <w:name w:val="样式 正文正文右 +"/>
    <w:basedOn w:val="a9"/>
    <w:link w:val="Charffffff6"/>
    <w:qFormat/>
    <w:pPr>
      <w:widowControl/>
      <w:spacing w:line="360" w:lineRule="auto"/>
      <w:ind w:firstLineChars="200" w:firstLine="200"/>
      <w:jc w:val="left"/>
    </w:pPr>
    <w:rPr>
      <w:rFonts w:ascii="仿宋_GB2312" w:eastAsia="仿宋_GB2312" w:hAnsi="仿宋_GB2312"/>
      <w:sz w:val="28"/>
      <w:szCs w:val="24"/>
    </w:rPr>
  </w:style>
  <w:style w:type="character" w:customStyle="1" w:styleId="extendlink12">
    <w:name w:val="extendlink12"/>
    <w:qFormat/>
    <w:rPr>
      <w:sz w:val="18"/>
      <w:szCs w:val="18"/>
    </w:rPr>
  </w:style>
  <w:style w:type="character" w:customStyle="1" w:styleId="red8">
    <w:name w:val="red8"/>
    <w:qFormat/>
  </w:style>
  <w:style w:type="character" w:customStyle="1" w:styleId="biaoti">
    <w:name w:val="biaoti"/>
    <w:qFormat/>
  </w:style>
  <w:style w:type="character" w:customStyle="1" w:styleId="price">
    <w:name w:val="price"/>
    <w:qFormat/>
  </w:style>
  <w:style w:type="character" w:customStyle="1" w:styleId="bdsnopic1">
    <w:name w:val="bds_nopic1"/>
    <w:qFormat/>
  </w:style>
  <w:style w:type="character" w:customStyle="1" w:styleId="bg10">
    <w:name w:val="bg10"/>
    <w:qFormat/>
    <w:rPr>
      <w:color w:val="FFFFFF"/>
      <w:sz w:val="33"/>
      <w:szCs w:val="33"/>
      <w:shd w:val="clear" w:color="auto" w:fill="A30000"/>
    </w:rPr>
  </w:style>
  <w:style w:type="character" w:customStyle="1" w:styleId="sp2">
    <w:name w:val="sp2"/>
    <w:qFormat/>
  </w:style>
  <w:style w:type="character" w:customStyle="1" w:styleId="btna-s5">
    <w:name w:val="btna-s5"/>
    <w:qFormat/>
    <w:rPr>
      <w:color w:val="FFFFFF"/>
      <w:u w:val="none"/>
      <w:shd w:val="clear" w:color="auto" w:fill="0378C8"/>
    </w:rPr>
  </w:style>
  <w:style w:type="character" w:customStyle="1" w:styleId="l">
    <w:name w:val="l"/>
    <w:qFormat/>
  </w:style>
  <w:style w:type="character" w:customStyle="1" w:styleId="favor1">
    <w:name w:val="favor1"/>
    <w:qFormat/>
    <w:rPr>
      <w:color w:val="727171"/>
    </w:rPr>
  </w:style>
  <w:style w:type="character" w:customStyle="1" w:styleId="bdsmore5">
    <w:name w:val="bds_more5"/>
    <w:qFormat/>
  </w:style>
  <w:style w:type="character" w:customStyle="1" w:styleId="disabled2">
    <w:name w:val="disabled2"/>
    <w:qFormat/>
    <w:rPr>
      <w:color w:val="CCCCCC"/>
      <w:bdr w:val="single" w:sz="6" w:space="0" w:color="CCCCCC"/>
    </w:rPr>
  </w:style>
  <w:style w:type="character" w:customStyle="1" w:styleId="bdsmore2">
    <w:name w:val="bds_more2"/>
    <w:qFormat/>
  </w:style>
  <w:style w:type="character" w:customStyle="1" w:styleId="btna-s1">
    <w:name w:val="btna-s1"/>
    <w:qFormat/>
    <w:rPr>
      <w:u w:val="none"/>
    </w:rPr>
  </w:style>
  <w:style w:type="character" w:customStyle="1" w:styleId="first11">
    <w:name w:val="first11"/>
    <w:qFormat/>
  </w:style>
  <w:style w:type="character" w:customStyle="1" w:styleId="morelink5">
    <w:name w:val="morelink5"/>
    <w:qFormat/>
  </w:style>
  <w:style w:type="character" w:customStyle="1" w:styleId="btna-s">
    <w:name w:val="btna-s"/>
    <w:qFormat/>
    <w:rPr>
      <w:color w:val="FFFFFF"/>
      <w:u w:val="none"/>
    </w:rPr>
  </w:style>
  <w:style w:type="character" w:customStyle="1" w:styleId="price1">
    <w:name w:val="price1"/>
    <w:qFormat/>
  </w:style>
  <w:style w:type="character" w:customStyle="1" w:styleId="px14">
    <w:name w:val="px14"/>
    <w:qFormat/>
  </w:style>
  <w:style w:type="character" w:customStyle="1" w:styleId="btna-s2">
    <w:name w:val="btna-s2"/>
    <w:qFormat/>
    <w:rPr>
      <w:color w:val="000000"/>
      <w:u w:val="none"/>
    </w:rPr>
  </w:style>
  <w:style w:type="character" w:customStyle="1" w:styleId="r1">
    <w:name w:val="r1"/>
    <w:qFormat/>
  </w:style>
  <w:style w:type="character" w:customStyle="1" w:styleId="btna-s12">
    <w:name w:val="btna-s12"/>
    <w:qFormat/>
    <w:rPr>
      <w:color w:val="FFFFFF"/>
      <w:u w:val="none"/>
    </w:rPr>
  </w:style>
  <w:style w:type="character" w:customStyle="1" w:styleId="sp1">
    <w:name w:val="sp1"/>
    <w:qFormat/>
  </w:style>
  <w:style w:type="character" w:customStyle="1" w:styleId="red10">
    <w:name w:val="red10"/>
    <w:qFormat/>
  </w:style>
  <w:style w:type="character" w:customStyle="1" w:styleId="bsharetext">
    <w:name w:val="bsharetext"/>
    <w:qFormat/>
  </w:style>
  <w:style w:type="character" w:customStyle="1" w:styleId="btna-s11">
    <w:name w:val="btna-s11"/>
    <w:qFormat/>
    <w:rPr>
      <w:color w:val="666666"/>
      <w:u w:val="none"/>
    </w:rPr>
  </w:style>
  <w:style w:type="character" w:customStyle="1" w:styleId="fontstrikethrough">
    <w:name w:val="fontstrikethrough"/>
    <w:qFormat/>
    <w:rPr>
      <w:strike/>
    </w:rPr>
  </w:style>
  <w:style w:type="character" w:customStyle="1" w:styleId="extendlink14">
    <w:name w:val="extendlink14"/>
    <w:qFormat/>
    <w:rPr>
      <w:sz w:val="18"/>
      <w:szCs w:val="18"/>
    </w:rPr>
  </w:style>
  <w:style w:type="character" w:customStyle="1" w:styleId="morelink">
    <w:name w:val="morelink"/>
    <w:qFormat/>
  </w:style>
  <w:style w:type="character" w:customStyle="1" w:styleId="r">
    <w:name w:val="r"/>
    <w:qFormat/>
  </w:style>
  <w:style w:type="character" w:customStyle="1" w:styleId="red">
    <w:name w:val="red"/>
    <w:qFormat/>
  </w:style>
  <w:style w:type="character" w:customStyle="1" w:styleId="current">
    <w:name w:val="current"/>
    <w:qFormat/>
    <w:rPr>
      <w:b/>
      <w:color w:val="000000"/>
      <w:bdr w:val="single" w:sz="6" w:space="0" w:color="CCCCCC"/>
      <w:shd w:val="clear" w:color="auto" w:fill="E89954"/>
    </w:rPr>
  </w:style>
  <w:style w:type="character" w:customStyle="1" w:styleId="bdsmore">
    <w:name w:val="bds_more"/>
    <w:qFormat/>
    <w:rPr>
      <w:rFonts w:ascii="宋体" w:eastAsia="宋体" w:hAnsi="宋体" w:cs="宋体" w:hint="eastAsia"/>
    </w:rPr>
  </w:style>
  <w:style w:type="character" w:customStyle="1" w:styleId="favor">
    <w:name w:val="favor"/>
    <w:qFormat/>
    <w:rPr>
      <w:color w:val="727171"/>
    </w:rPr>
  </w:style>
  <w:style w:type="character" w:customStyle="1" w:styleId="skim2">
    <w:name w:val="skim2"/>
    <w:qFormat/>
  </w:style>
  <w:style w:type="character" w:customStyle="1" w:styleId="morelink1">
    <w:name w:val="morelink1"/>
    <w:qFormat/>
  </w:style>
  <w:style w:type="character" w:customStyle="1" w:styleId="morelink4">
    <w:name w:val="morelink4"/>
    <w:qFormat/>
  </w:style>
  <w:style w:type="character" w:customStyle="1" w:styleId="btna-s10">
    <w:name w:val="btna-s10"/>
    <w:qFormat/>
    <w:rPr>
      <w:color w:val="FFFFFF"/>
      <w:u w:val="none"/>
    </w:rPr>
  </w:style>
  <w:style w:type="character" w:customStyle="1" w:styleId="style41">
    <w:name w:val="style41"/>
    <w:qFormat/>
    <w:rPr>
      <w:rFonts w:ascii="宋体" w:eastAsia="宋体" w:hAnsi="宋体" w:hint="eastAsia"/>
    </w:rPr>
  </w:style>
  <w:style w:type="character" w:customStyle="1" w:styleId="buy1">
    <w:name w:val="buy1"/>
    <w:qFormat/>
  </w:style>
  <w:style w:type="character" w:customStyle="1" w:styleId="sp21">
    <w:name w:val="sp21"/>
    <w:qFormat/>
  </w:style>
  <w:style w:type="character" w:customStyle="1" w:styleId="c0">
    <w:name w:val="c"/>
    <w:qFormat/>
    <w:rPr>
      <w:color w:val="FFFFFF"/>
      <w:shd w:val="clear" w:color="auto" w:fill="94B5D2"/>
    </w:rPr>
  </w:style>
  <w:style w:type="character" w:customStyle="1" w:styleId="extendlink13">
    <w:name w:val="extendlink13"/>
    <w:qFormat/>
    <w:rPr>
      <w:sz w:val="18"/>
      <w:szCs w:val="18"/>
    </w:rPr>
  </w:style>
  <w:style w:type="character" w:customStyle="1" w:styleId="bdsnopic2">
    <w:name w:val="bds_nopic2"/>
    <w:qFormat/>
  </w:style>
  <w:style w:type="character" w:customStyle="1" w:styleId="h11">
    <w:name w:val="h11"/>
    <w:qFormat/>
    <w:rPr>
      <w:rFonts w:ascii="宋体" w:eastAsia="宋体" w:hAnsi="宋体" w:hint="eastAsia"/>
      <w:color w:val="666666"/>
      <w:sz w:val="24"/>
      <w:szCs w:val="24"/>
    </w:rPr>
  </w:style>
  <w:style w:type="character" w:customStyle="1" w:styleId="btn8">
    <w:name w:val="btn8"/>
    <w:qFormat/>
  </w:style>
  <w:style w:type="character" w:customStyle="1" w:styleId="btna-s6">
    <w:name w:val="btna-s6"/>
    <w:qFormat/>
    <w:rPr>
      <w:color w:val="FFFFFF"/>
      <w:u w:val="none"/>
      <w:shd w:val="clear" w:color="auto" w:fill="0378C8"/>
    </w:rPr>
  </w:style>
  <w:style w:type="character" w:customStyle="1" w:styleId="clh15">
    <w:name w:val="c lh15"/>
    <w:qFormat/>
  </w:style>
  <w:style w:type="character" w:customStyle="1" w:styleId="graybg">
    <w:name w:val="graybg"/>
    <w:qFormat/>
  </w:style>
  <w:style w:type="character" w:customStyle="1" w:styleId="extendlink15">
    <w:name w:val="extendlink15"/>
    <w:qFormat/>
    <w:rPr>
      <w:sz w:val="18"/>
      <w:szCs w:val="18"/>
    </w:rPr>
  </w:style>
  <w:style w:type="character" w:customStyle="1" w:styleId="morelink12">
    <w:name w:val="morelink12"/>
    <w:qFormat/>
  </w:style>
  <w:style w:type="character" w:customStyle="1" w:styleId="skim">
    <w:name w:val="skim"/>
    <w:qFormat/>
  </w:style>
  <w:style w:type="character" w:customStyle="1" w:styleId="morelink2">
    <w:name w:val="morelink2"/>
    <w:qFormat/>
  </w:style>
  <w:style w:type="character" w:customStyle="1" w:styleId="morelink3">
    <w:name w:val="morelink3"/>
    <w:qFormat/>
  </w:style>
  <w:style w:type="character" w:customStyle="1" w:styleId="btna-s8">
    <w:name w:val="btna-s8"/>
    <w:qFormat/>
    <w:rPr>
      <w:color w:val="FFFFFF"/>
      <w:u w:val="none"/>
    </w:rPr>
  </w:style>
  <w:style w:type="character" w:customStyle="1" w:styleId="btna-s4">
    <w:name w:val="btna-s4"/>
    <w:qFormat/>
    <w:rPr>
      <w:color w:val="0068B7"/>
      <w:u w:val="none"/>
      <w:shd w:val="clear" w:color="auto" w:fill="0378C8"/>
    </w:rPr>
  </w:style>
  <w:style w:type="character" w:customStyle="1" w:styleId="inv1">
    <w:name w:val="inv1"/>
    <w:qFormat/>
    <w:rPr>
      <w:color w:val="FFFFFF"/>
      <w:sz w:val="2"/>
      <w:szCs w:val="2"/>
    </w:rPr>
  </w:style>
  <w:style w:type="character" w:customStyle="1" w:styleId="biaodan011">
    <w:name w:val="biaodan011"/>
    <w:qFormat/>
    <w:rPr>
      <w:color w:val="000000"/>
      <w:sz w:val="18"/>
    </w:rPr>
  </w:style>
  <w:style w:type="character" w:customStyle="1" w:styleId="zcjy">
    <w:name w:val="zcjy"/>
    <w:qFormat/>
    <w:rPr>
      <w:shd w:val="clear" w:color="auto" w:fill="266EB4"/>
    </w:rPr>
  </w:style>
  <w:style w:type="character" w:customStyle="1" w:styleId="disabled1">
    <w:name w:val="disabled1"/>
    <w:qFormat/>
    <w:rPr>
      <w:color w:val="DDDDDD"/>
      <w:bdr w:val="single" w:sz="6" w:space="0" w:color="EEEEEE"/>
    </w:rPr>
  </w:style>
  <w:style w:type="character" w:customStyle="1" w:styleId="here36">
    <w:name w:val="here36"/>
    <w:qFormat/>
    <w:rPr>
      <w:b/>
      <w:color w:val="FFFFFF"/>
      <w:sz w:val="24"/>
      <w:szCs w:val="24"/>
    </w:rPr>
  </w:style>
  <w:style w:type="character" w:customStyle="1" w:styleId="Charffffff7">
    <w:name w:val="正文（首行缩进两字） Char"/>
    <w:qFormat/>
    <w:rPr>
      <w:rFonts w:eastAsia="宋体"/>
      <w:spacing w:val="20"/>
      <w:sz w:val="28"/>
      <w:lang w:val="en-US" w:eastAsia="zh-CN" w:bidi="ar-SA"/>
    </w:rPr>
  </w:style>
  <w:style w:type="character" w:customStyle="1" w:styleId="btn7">
    <w:name w:val="btn7"/>
    <w:qFormat/>
  </w:style>
  <w:style w:type="character" w:customStyle="1" w:styleId="lab1">
    <w:name w:val="lab1"/>
    <w:qFormat/>
  </w:style>
  <w:style w:type="character" w:customStyle="1" w:styleId="qq">
    <w:name w:val="qq"/>
    <w:qFormat/>
    <w:rPr>
      <w:color w:val="727171"/>
    </w:rPr>
  </w:style>
  <w:style w:type="character" w:customStyle="1" w:styleId="btna-s13">
    <w:name w:val="btna-s13"/>
    <w:qFormat/>
    <w:rPr>
      <w:color w:val="FFFFFF"/>
      <w:u w:val="none"/>
    </w:rPr>
  </w:style>
  <w:style w:type="character" w:customStyle="1" w:styleId="qq1">
    <w:name w:val="qq1"/>
    <w:qFormat/>
    <w:rPr>
      <w:color w:val="727171"/>
    </w:rPr>
  </w:style>
  <w:style w:type="character" w:customStyle="1" w:styleId="sp3">
    <w:name w:val="sp3"/>
    <w:qFormat/>
  </w:style>
  <w:style w:type="character" w:customStyle="1" w:styleId="extendlink17">
    <w:name w:val="extendlink17"/>
    <w:qFormat/>
    <w:rPr>
      <w:sz w:val="18"/>
      <w:szCs w:val="18"/>
    </w:rPr>
  </w:style>
  <w:style w:type="character" w:customStyle="1" w:styleId="Char1fa">
    <w:name w:val="正文文本 Char1"/>
    <w:qFormat/>
    <w:rPr>
      <w:kern w:val="2"/>
      <w:sz w:val="21"/>
      <w:szCs w:val="24"/>
    </w:rPr>
  </w:style>
  <w:style w:type="character" w:customStyle="1" w:styleId="extendlink16">
    <w:name w:val="extendlink16"/>
    <w:qFormat/>
    <w:rPr>
      <w:sz w:val="18"/>
      <w:szCs w:val="18"/>
    </w:rPr>
  </w:style>
  <w:style w:type="character" w:customStyle="1" w:styleId="bdsmore4">
    <w:name w:val="bds_more4"/>
    <w:qFormat/>
  </w:style>
  <w:style w:type="character" w:customStyle="1" w:styleId="btna-s7">
    <w:name w:val="btna-s7"/>
    <w:qFormat/>
    <w:rPr>
      <w:color w:val="FFFFFF"/>
      <w:u w:val="none"/>
    </w:rPr>
  </w:style>
  <w:style w:type="character" w:customStyle="1" w:styleId="disabled">
    <w:name w:val="disabled"/>
    <w:qFormat/>
    <w:rPr>
      <w:color w:val="CCCCCC"/>
      <w:bdr w:val="single" w:sz="6" w:space="0" w:color="CCCCCC"/>
    </w:rPr>
  </w:style>
  <w:style w:type="character" w:customStyle="1" w:styleId="btna-s14">
    <w:name w:val="btna-s14"/>
    <w:qFormat/>
    <w:rPr>
      <w:color w:val="000000"/>
      <w:u w:val="none"/>
    </w:rPr>
  </w:style>
  <w:style w:type="character" w:customStyle="1" w:styleId="cword101">
    <w:name w:val="cword101"/>
    <w:qFormat/>
    <w:rPr>
      <w:rFonts w:hint="default"/>
      <w:color w:val="333333"/>
      <w:sz w:val="24"/>
      <w:szCs w:val="24"/>
    </w:rPr>
  </w:style>
  <w:style w:type="character" w:customStyle="1" w:styleId="fontborder">
    <w:name w:val="fontborder"/>
    <w:qFormat/>
    <w:rPr>
      <w:bdr w:val="single" w:sz="6" w:space="0" w:color="000000"/>
    </w:rPr>
  </w:style>
  <w:style w:type="character" w:customStyle="1" w:styleId="11pt1">
    <w:name w:val="11pt1"/>
    <w:qFormat/>
    <w:rPr>
      <w:rFonts w:ascii="Arial" w:hAnsi="Arial" w:cs="Arial" w:hint="default"/>
      <w:color w:val="000000"/>
      <w:sz w:val="21"/>
      <w:szCs w:val="21"/>
    </w:rPr>
  </w:style>
  <w:style w:type="character" w:customStyle="1" w:styleId="Char2f3">
    <w:name w:val="正文文本 Char2"/>
    <w:qFormat/>
    <w:rPr>
      <w:kern w:val="2"/>
      <w:sz w:val="28"/>
      <w:szCs w:val="24"/>
    </w:rPr>
  </w:style>
  <w:style w:type="paragraph" w:customStyle="1" w:styleId="CharCharCharCharCharCharCharCharCharCharCharChar1">
    <w:name w:val="Char Char Char Char Char Char Char Char Char Char Char Char1"/>
    <w:basedOn w:val="a9"/>
    <w:qFormat/>
    <w:pPr>
      <w:widowControl/>
      <w:spacing w:after="160" w:line="240" w:lineRule="exact"/>
      <w:jc w:val="left"/>
    </w:pPr>
    <w:rPr>
      <w:rFonts w:ascii="Arial" w:eastAsia="Times New Roman" w:hAnsi="Arial" w:cs="Verdana"/>
      <w:b/>
      <w:sz w:val="24"/>
      <w:lang w:eastAsia="en-US"/>
    </w:rPr>
  </w:style>
  <w:style w:type="paragraph" w:customStyle="1" w:styleId="CharCharCharCharCharChar1Char">
    <w:name w:val="Char Char Char Char Char Char1 Char"/>
    <w:basedOn w:val="a9"/>
    <w:qFormat/>
    <w:pPr>
      <w:widowControl/>
      <w:spacing w:after="160" w:line="240" w:lineRule="exact"/>
      <w:jc w:val="left"/>
    </w:pPr>
    <w:rPr>
      <w:rFonts w:ascii="Arial" w:eastAsia="Times New Roman" w:hAnsi="Arial" w:cs="Calibri"/>
      <w:b/>
      <w:sz w:val="24"/>
      <w:lang w:eastAsia="en-US"/>
    </w:rPr>
  </w:style>
  <w:style w:type="paragraph" w:customStyle="1" w:styleId="reader-word-layerreader-word-s4-17">
    <w:name w:val="reader-word-layer reader-word-s4-17"/>
    <w:basedOn w:val="a9"/>
    <w:qFormat/>
    <w:pPr>
      <w:widowControl/>
      <w:spacing w:before="100" w:beforeAutospacing="1" w:after="100" w:afterAutospacing="1" w:line="360" w:lineRule="auto"/>
      <w:jc w:val="left"/>
    </w:pPr>
    <w:rPr>
      <w:rFonts w:ascii="宋体" w:hAnsi="宋体" w:cs="宋体"/>
      <w:sz w:val="24"/>
      <w:szCs w:val="24"/>
    </w:rPr>
  </w:style>
  <w:style w:type="paragraph" w:customStyle="1" w:styleId="hcr3">
    <w:name w:val="hcr3"/>
    <w:qFormat/>
    <w:pPr>
      <w:ind w:firstLineChars="200" w:firstLine="200"/>
    </w:pPr>
    <w:rPr>
      <w:rFonts w:ascii="仿宋_GB2312" w:eastAsia="仿宋_GB2312" w:hAnsi="Calibri" w:cs="Calibri"/>
      <w:bCs/>
      <w:sz w:val="28"/>
    </w:rPr>
  </w:style>
  <w:style w:type="paragraph" w:customStyle="1" w:styleId="hcr2">
    <w:name w:val="hcr2"/>
    <w:qFormat/>
    <w:pPr>
      <w:spacing w:beforeLines="150"/>
    </w:pPr>
    <w:rPr>
      <w:rFonts w:ascii="仿宋_GB2312" w:eastAsia="仿宋_GB2312" w:hAnsi="Calibri" w:cs="Calibri"/>
      <w:b/>
      <w:bCs/>
      <w:sz w:val="28"/>
    </w:rPr>
  </w:style>
  <w:style w:type="character" w:customStyle="1" w:styleId="Char1fb">
    <w:name w:val="正文文本缩进 Char1"/>
    <w:qFormat/>
    <w:rPr>
      <w:rFonts w:ascii="宋体" w:hAnsi="宋体"/>
      <w:color w:val="000000"/>
      <w:kern w:val="2"/>
      <w:sz w:val="28"/>
      <w:szCs w:val="24"/>
    </w:rPr>
  </w:style>
  <w:style w:type="paragraph" w:customStyle="1" w:styleId="hcr4">
    <w:name w:val="hcr4"/>
    <w:qFormat/>
    <w:pPr>
      <w:ind w:firstLineChars="200" w:firstLine="200"/>
    </w:pPr>
    <w:rPr>
      <w:rFonts w:ascii="仿宋_GB2312" w:eastAsia="仿宋_GB2312" w:hAnsi="Calibri" w:cs="Calibri"/>
      <w:bCs/>
      <w:sz w:val="28"/>
    </w:rPr>
  </w:style>
  <w:style w:type="paragraph" w:customStyle="1" w:styleId="style1">
    <w:name w:val="style1"/>
    <w:basedOn w:val="a9"/>
    <w:qFormat/>
    <w:pPr>
      <w:widowControl/>
      <w:spacing w:before="100" w:beforeAutospacing="1" w:after="100" w:afterAutospacing="1" w:line="360" w:lineRule="auto"/>
      <w:jc w:val="left"/>
    </w:pPr>
    <w:rPr>
      <w:rFonts w:ascii="宋体" w:hAnsi="宋体" w:cs="Calibri"/>
      <w:sz w:val="18"/>
      <w:szCs w:val="18"/>
    </w:rPr>
  </w:style>
  <w:style w:type="paragraph" w:customStyle="1" w:styleId="a7">
    <w:name w:val="正文正文"/>
    <w:basedOn w:val="a9"/>
    <w:qFormat/>
    <w:pPr>
      <w:widowControl/>
      <w:numPr>
        <w:ilvl w:val="3"/>
        <w:numId w:val="13"/>
      </w:numPr>
      <w:spacing w:line="360" w:lineRule="auto"/>
      <w:ind w:left="0" w:firstLineChars="200" w:firstLine="560"/>
      <w:jc w:val="left"/>
    </w:pPr>
    <w:rPr>
      <w:rFonts w:ascii="Calibri" w:hAnsi="Calibri" w:cs="Calibri"/>
      <w:kern w:val="2"/>
      <w:sz w:val="24"/>
    </w:rPr>
  </w:style>
  <w:style w:type="paragraph" w:customStyle="1" w:styleId="11f0">
    <w:name w:val="样式 宋体 四号 首行缩进:  1.1 厘米"/>
    <w:basedOn w:val="a9"/>
    <w:qFormat/>
    <w:pPr>
      <w:spacing w:line="360" w:lineRule="auto"/>
      <w:ind w:leftChars="-1" w:left="-2" w:firstLine="722"/>
    </w:pPr>
    <w:rPr>
      <w:rFonts w:ascii="宋体" w:hAnsi="宋体" w:cs="Calibri"/>
      <w:kern w:val="2"/>
      <w:sz w:val="24"/>
      <w:szCs w:val="28"/>
    </w:rPr>
  </w:style>
  <w:style w:type="paragraph" w:customStyle="1" w:styleId="f14">
    <w:name w:val="f14"/>
    <w:basedOn w:val="a9"/>
    <w:qFormat/>
    <w:pPr>
      <w:widowControl/>
      <w:spacing w:before="100" w:beforeAutospacing="1" w:after="100" w:afterAutospacing="1" w:line="312" w:lineRule="auto"/>
      <w:jc w:val="left"/>
    </w:pPr>
    <w:rPr>
      <w:rFonts w:ascii="宋体" w:hAnsi="宋体" w:cs="宋体"/>
      <w:sz w:val="24"/>
      <w:szCs w:val="24"/>
    </w:rPr>
  </w:style>
  <w:style w:type="paragraph" w:customStyle="1" w:styleId="160">
    <w:name w:val="样式 小四 行距: 固定值 16 磅"/>
    <w:basedOn w:val="a9"/>
    <w:qFormat/>
    <w:pPr>
      <w:snapToGrid w:val="0"/>
      <w:spacing w:line="400" w:lineRule="exact"/>
      <w:ind w:firstLineChars="200" w:firstLine="480"/>
    </w:pPr>
    <w:rPr>
      <w:rFonts w:ascii="Calibri" w:hAnsi="Calibri" w:cs="Calibri"/>
      <w:kern w:val="2"/>
      <w:sz w:val="24"/>
    </w:rPr>
  </w:style>
  <w:style w:type="paragraph" w:customStyle="1" w:styleId="affffffffffffffffffffff7">
    <w:name w:val="节以下标题样式"/>
    <w:basedOn w:val="affffffffffffffffffffff8"/>
    <w:qFormat/>
    <w:pPr>
      <w:ind w:firstLine="0"/>
    </w:pPr>
  </w:style>
  <w:style w:type="paragraph" w:customStyle="1" w:styleId="affffffffffffffffffffff8">
    <w:name w:val="新正文样式"/>
    <w:basedOn w:val="a9"/>
    <w:qFormat/>
    <w:pPr>
      <w:tabs>
        <w:tab w:val="left" w:pos="567"/>
      </w:tabs>
      <w:spacing w:line="360" w:lineRule="auto"/>
      <w:ind w:firstLine="567"/>
    </w:pPr>
    <w:rPr>
      <w:rFonts w:ascii="Calibri" w:hAnsi="Calibri" w:cs="Calibri"/>
      <w:spacing w:val="20"/>
      <w:kern w:val="2"/>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9"/>
    <w:qFormat/>
    <w:pPr>
      <w:widowControl/>
      <w:spacing w:after="160" w:line="240" w:lineRule="exact"/>
      <w:jc w:val="left"/>
    </w:pPr>
    <w:rPr>
      <w:rFonts w:ascii="Verdana" w:eastAsia="仿宋_GB2312" w:hAnsi="Verdana" w:cs="Calibri"/>
      <w:sz w:val="24"/>
      <w:lang w:eastAsia="en-US"/>
    </w:rPr>
  </w:style>
  <w:style w:type="paragraph" w:customStyle="1" w:styleId="affffffffffffffffffffff9">
    <w:name w:val="基准篇眉"/>
    <w:basedOn w:val="a9"/>
    <w:qFormat/>
    <w:pPr>
      <w:keepLines/>
      <w:widowControl/>
      <w:pBdr>
        <w:bottom w:val="single" w:sz="6" w:space="4" w:color="auto"/>
      </w:pBdr>
      <w:tabs>
        <w:tab w:val="center" w:pos="4320"/>
        <w:tab w:val="right" w:pos="8640"/>
      </w:tabs>
      <w:overflowPunct w:val="0"/>
      <w:autoSpaceDE w:val="0"/>
      <w:autoSpaceDN w:val="0"/>
      <w:adjustRightInd w:val="0"/>
      <w:spacing w:line="360" w:lineRule="auto"/>
      <w:jc w:val="left"/>
      <w:textAlignment w:val="baseline"/>
    </w:pPr>
    <w:rPr>
      <w:rFonts w:ascii="Arial" w:hAnsi="Arial" w:cs="Calibri"/>
      <w:b/>
      <w:caps/>
      <w:spacing w:val="20"/>
      <w:sz w:val="18"/>
    </w:rPr>
  </w:style>
  <w:style w:type="paragraph" w:customStyle="1" w:styleId="Style10">
    <w:name w:val="_Style 1"/>
    <w:basedOn w:val="a9"/>
    <w:uiPriority w:val="34"/>
    <w:qFormat/>
    <w:pPr>
      <w:spacing w:line="360" w:lineRule="auto"/>
      <w:ind w:firstLineChars="200" w:firstLine="420"/>
    </w:pPr>
    <w:rPr>
      <w:rFonts w:ascii="Calibri" w:hAnsi="Calibri" w:cs="Calibri"/>
      <w:kern w:val="2"/>
      <w:sz w:val="21"/>
      <w:szCs w:val="24"/>
    </w:rPr>
  </w:style>
  <w:style w:type="paragraph" w:customStyle="1" w:styleId="reader-word-layerreader-word-s4-16">
    <w:name w:val="reader-word-layer reader-word-s4-16"/>
    <w:basedOn w:val="a9"/>
    <w:qFormat/>
    <w:pPr>
      <w:widowControl/>
      <w:spacing w:before="100" w:beforeAutospacing="1" w:after="100" w:afterAutospacing="1" w:line="360" w:lineRule="auto"/>
      <w:jc w:val="left"/>
    </w:pPr>
    <w:rPr>
      <w:rFonts w:ascii="宋体" w:hAnsi="宋体" w:cs="宋体"/>
      <w:sz w:val="24"/>
      <w:szCs w:val="24"/>
    </w:rPr>
  </w:style>
  <w:style w:type="paragraph" w:customStyle="1" w:styleId="Char4CharCharChar">
    <w:name w:val="Char4 Char Char Char"/>
    <w:basedOn w:val="a9"/>
    <w:qFormat/>
    <w:pPr>
      <w:adjustRightInd w:val="0"/>
      <w:snapToGrid w:val="0"/>
      <w:spacing w:line="360" w:lineRule="auto"/>
      <w:ind w:firstLineChars="200" w:firstLine="200"/>
    </w:pPr>
    <w:rPr>
      <w:rFonts w:ascii="宋体" w:eastAsia="仿宋_GB2312" w:hAnsi="宋体" w:cs="宋体"/>
      <w:kern w:val="2"/>
      <w:sz w:val="24"/>
      <w:szCs w:val="26"/>
    </w:rPr>
  </w:style>
  <w:style w:type="paragraph" w:customStyle="1" w:styleId="affffffffffffffffffffffa">
    <w:name w:val="新标题样式"/>
    <w:basedOn w:val="a9"/>
    <w:qFormat/>
    <w:pPr>
      <w:tabs>
        <w:tab w:val="left" w:pos="567"/>
      </w:tabs>
      <w:spacing w:line="360" w:lineRule="auto"/>
    </w:pPr>
    <w:rPr>
      <w:rFonts w:ascii="Calibri" w:eastAsia="黑体" w:hAnsi="Calibri" w:cs="Calibri"/>
      <w:b/>
      <w:spacing w:val="20"/>
      <w:kern w:val="2"/>
      <w:sz w:val="24"/>
    </w:rPr>
  </w:style>
  <w:style w:type="table" w:customStyle="1" w:styleId="11f1">
    <w:name w:val="网格型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正文表中文字"/>
    <w:basedOn w:val="a9"/>
    <w:next w:val="afe"/>
    <w:qFormat/>
    <w:rPr>
      <w:rFonts w:ascii="宋体"/>
      <w:kern w:val="2"/>
      <w:sz w:val="28"/>
    </w:rPr>
  </w:style>
  <w:style w:type="character" w:customStyle="1" w:styleId="s1">
    <w:name w:val="s1"/>
    <w:qFormat/>
    <w:rPr>
      <w:sz w:val="18"/>
      <w:szCs w:val="18"/>
    </w:rPr>
  </w:style>
  <w:style w:type="character" w:customStyle="1" w:styleId="f141">
    <w:name w:val="f141"/>
    <w:qFormat/>
    <w:rPr>
      <w:sz w:val="21"/>
      <w:szCs w:val="21"/>
    </w:rPr>
  </w:style>
  <w:style w:type="character" w:customStyle="1" w:styleId="main1">
    <w:name w:val="main1"/>
    <w:qFormat/>
    <w:rPr>
      <w:color w:val="333333"/>
      <w:sz w:val="18"/>
      <w:szCs w:val="18"/>
    </w:rPr>
  </w:style>
  <w:style w:type="character" w:customStyle="1" w:styleId="cnpxa1">
    <w:name w:val="cnpxa1"/>
    <w:qFormat/>
    <w:rPr>
      <w:rFonts w:ascii="ˎ̥" w:hAnsi="ˎ̥" w:hint="default"/>
      <w:sz w:val="18"/>
      <w:szCs w:val="18"/>
    </w:rPr>
  </w:style>
  <w:style w:type="paragraph" w:customStyle="1" w:styleId="a5">
    <w:name w:val="段落编号"/>
    <w:basedOn w:val="23"/>
    <w:qFormat/>
    <w:pPr>
      <w:numPr>
        <w:numId w:val="14"/>
      </w:numPr>
      <w:adjustRightInd w:val="0"/>
      <w:spacing w:before="60" w:after="60" w:line="500" w:lineRule="exact"/>
      <w:ind w:leftChars="0" w:left="0"/>
      <w:textAlignment w:val="baseline"/>
    </w:pPr>
    <w:rPr>
      <w:rFonts w:ascii="宋体" w:hAnsi="Roman 10cpi"/>
      <w:spacing w:val="6"/>
      <w:sz w:val="28"/>
    </w:rPr>
  </w:style>
  <w:style w:type="paragraph" w:customStyle="1" w:styleId="affffffffffffffffffffffc">
    <w:name w:val="武生正文"/>
    <w:basedOn w:val="a9"/>
    <w:next w:val="a9"/>
    <w:qFormat/>
    <w:pPr>
      <w:spacing w:line="360" w:lineRule="auto"/>
      <w:ind w:firstLineChars="200" w:firstLine="560"/>
      <w:jc w:val="left"/>
    </w:pPr>
    <w:rPr>
      <w:rFonts w:cs="宋体"/>
      <w:kern w:val="2"/>
      <w:sz w:val="28"/>
      <w:szCs w:val="28"/>
    </w:rPr>
  </w:style>
  <w:style w:type="paragraph" w:customStyle="1" w:styleId="09515">
    <w:name w:val="样式 小四 首行缩进:  0.95 厘米 行距: 1.5 倍行距"/>
    <w:basedOn w:val="a9"/>
    <w:next w:val="a9"/>
    <w:qFormat/>
    <w:pPr>
      <w:spacing w:line="360" w:lineRule="auto"/>
      <w:ind w:firstLine="539"/>
    </w:pPr>
    <w:rPr>
      <w:rFonts w:cs="宋体"/>
      <w:sz w:val="28"/>
    </w:rPr>
  </w:style>
  <w:style w:type="paragraph" w:customStyle="1" w:styleId="xl133">
    <w:name w:val="xl133"/>
    <w:basedOn w:val="a9"/>
    <w:qFormat/>
    <w:pPr>
      <w:widowControl/>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34">
    <w:name w:val="xl134"/>
    <w:basedOn w:val="a9"/>
    <w:qFormat/>
    <w:pPr>
      <w:widowControl/>
      <w:pBdr>
        <w:left w:val="single" w:sz="4" w:space="0" w:color="auto"/>
        <w:bottom w:val="single" w:sz="4" w:space="0" w:color="auto"/>
      </w:pBdr>
      <w:shd w:val="clear" w:color="auto" w:fill="FFFF00"/>
      <w:spacing w:before="100" w:beforeAutospacing="1" w:after="100" w:afterAutospacing="1"/>
      <w:jc w:val="left"/>
    </w:pPr>
  </w:style>
  <w:style w:type="paragraph" w:customStyle="1" w:styleId="xl135">
    <w:name w:val="xl135"/>
    <w:basedOn w:val="a9"/>
    <w:qFormat/>
    <w:pPr>
      <w:widowControl/>
      <w:pBdr>
        <w:left w:val="single" w:sz="4" w:space="0" w:color="auto"/>
      </w:pBdr>
      <w:shd w:val="clear" w:color="auto" w:fill="FFFF99"/>
      <w:spacing w:before="100" w:beforeAutospacing="1" w:after="100" w:afterAutospacing="1"/>
      <w:jc w:val="left"/>
    </w:pPr>
    <w:rPr>
      <w:rFonts w:ascii="宋体" w:hAnsi="宋体" w:cs="宋体"/>
    </w:rPr>
  </w:style>
  <w:style w:type="paragraph" w:customStyle="1" w:styleId="xl136">
    <w:name w:val="xl136"/>
    <w:basedOn w:val="a9"/>
    <w:qFormat/>
    <w:pPr>
      <w:widowControl/>
      <w:pBdr>
        <w:left w:val="single" w:sz="4" w:space="0" w:color="auto"/>
      </w:pBdr>
      <w:shd w:val="clear" w:color="auto" w:fill="FFFF99"/>
      <w:spacing w:before="100" w:beforeAutospacing="1" w:after="100" w:afterAutospacing="1"/>
      <w:jc w:val="left"/>
    </w:pPr>
  </w:style>
  <w:style w:type="paragraph" w:customStyle="1" w:styleId="xl137">
    <w:name w:val="xl137"/>
    <w:basedOn w:val="a9"/>
    <w:qFormat/>
    <w:pPr>
      <w:widowControl/>
      <w:pBdr>
        <w:left w:val="single" w:sz="4" w:space="0" w:color="auto"/>
        <w:bottom w:val="single" w:sz="4" w:space="0" w:color="auto"/>
      </w:pBdr>
      <w:shd w:val="clear" w:color="auto" w:fill="FFFF99"/>
      <w:spacing w:before="100" w:beforeAutospacing="1" w:after="100" w:afterAutospacing="1"/>
      <w:jc w:val="left"/>
    </w:pPr>
  </w:style>
  <w:style w:type="character" w:customStyle="1" w:styleId="CharCharfb">
    <w:name w:val="环科院正文 Char Char"/>
    <w:qFormat/>
    <w:rPr>
      <w:rFonts w:eastAsia="宋体" w:hAnsi="宋体" w:cs="宋体"/>
      <w:sz w:val="24"/>
      <w:szCs w:val="21"/>
      <w:lang w:val="en-US" w:eastAsia="zh-CN" w:bidi="ar-SA"/>
    </w:rPr>
  </w:style>
  <w:style w:type="character" w:customStyle="1" w:styleId="CharCharfc">
    <w:name w:val="表一 Char Char"/>
    <w:link w:val="affffffffffffffffffffffd"/>
    <w:qFormat/>
    <w:rPr>
      <w:kern w:val="2"/>
      <w:sz w:val="18"/>
      <w:szCs w:val="18"/>
    </w:rPr>
  </w:style>
  <w:style w:type="paragraph" w:customStyle="1" w:styleId="affffffffffffffffffffffd">
    <w:name w:val="表一"/>
    <w:basedOn w:val="a9"/>
    <w:link w:val="CharCharfc"/>
    <w:qFormat/>
    <w:pPr>
      <w:jc w:val="center"/>
    </w:pPr>
    <w:rPr>
      <w:kern w:val="2"/>
      <w:sz w:val="18"/>
      <w:szCs w:val="18"/>
    </w:rPr>
  </w:style>
  <w:style w:type="table" w:customStyle="1" w:styleId="1120">
    <w:name w:val="网格型112"/>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c"/>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精巧型 1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c">
    <w:name w:val="立体型 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9">
    <w:name w:val="立体型 3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d">
    <w:name w:val="竖列型 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
    <w:name w:val="竖列型 4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2fff7">
    <w:name w:val="正文首行缩进 2 字符"/>
    <w:qFormat/>
    <w:rPr>
      <w:rFonts w:ascii="宋体" w:eastAsia="宋体"/>
      <w:sz w:val="24"/>
      <w:szCs w:val="28"/>
    </w:rPr>
  </w:style>
  <w:style w:type="character" w:customStyle="1" w:styleId="affffffffffffffffffffffe">
    <w:name w:val="正文首行缩进 字符"/>
    <w:qFormat/>
    <w:rPr>
      <w:rFonts w:eastAsia="宋体"/>
      <w:sz w:val="24"/>
      <w:szCs w:val="24"/>
    </w:rPr>
  </w:style>
  <w:style w:type="character" w:customStyle="1" w:styleId="2Char13">
    <w:name w:val="正文首行缩进 2 Char1"/>
    <w:uiPriority w:val="99"/>
    <w:semiHidden/>
    <w:qFormat/>
  </w:style>
  <w:style w:type="character" w:customStyle="1" w:styleId="Char35">
    <w:name w:val="纯文本 Char3"/>
    <w:uiPriority w:val="99"/>
    <w:semiHidden/>
    <w:qFormat/>
    <w:rPr>
      <w:rFonts w:ascii="宋体" w:eastAsia="宋体" w:hAnsi="Courier New" w:cs="Courier New"/>
      <w:szCs w:val="21"/>
    </w:rPr>
  </w:style>
  <w:style w:type="character" w:customStyle="1" w:styleId="HTMLChar1">
    <w:name w:val="HTML 地址 Char1"/>
    <w:uiPriority w:val="99"/>
    <w:semiHidden/>
    <w:qFormat/>
    <w:rPr>
      <w:i/>
      <w:iCs/>
    </w:rPr>
  </w:style>
  <w:style w:type="character" w:customStyle="1" w:styleId="Char1fc">
    <w:name w:val="电子邮件签名 Char1"/>
    <w:uiPriority w:val="99"/>
    <w:semiHidden/>
    <w:qFormat/>
  </w:style>
  <w:style w:type="character" w:customStyle="1" w:styleId="3Char11">
    <w:name w:val="正文文本 3 Char1"/>
    <w:uiPriority w:val="99"/>
    <w:semiHidden/>
    <w:qFormat/>
    <w:rPr>
      <w:sz w:val="16"/>
      <w:szCs w:val="16"/>
    </w:rPr>
  </w:style>
  <w:style w:type="character" w:customStyle="1" w:styleId="Char1fd">
    <w:name w:val="签名 Char1"/>
    <w:uiPriority w:val="99"/>
    <w:semiHidden/>
    <w:qFormat/>
  </w:style>
  <w:style w:type="character" w:customStyle="1" w:styleId="Char1fe">
    <w:name w:val="信息标题 Char1"/>
    <w:uiPriority w:val="99"/>
    <w:semiHidden/>
    <w:qFormat/>
    <w:rPr>
      <w:rFonts w:ascii="Cambria" w:eastAsia="宋体" w:hAnsi="Cambria" w:cs="Times New Roman"/>
      <w:sz w:val="24"/>
      <w:szCs w:val="24"/>
      <w:shd w:val="pct20" w:color="auto" w:fill="auto"/>
    </w:rPr>
  </w:style>
  <w:style w:type="character" w:customStyle="1" w:styleId="Char1ff">
    <w:name w:val="脚注文本 Char1"/>
    <w:uiPriority w:val="99"/>
    <w:semiHidden/>
    <w:qFormat/>
    <w:rPr>
      <w:sz w:val="18"/>
      <w:szCs w:val="18"/>
    </w:rPr>
  </w:style>
  <w:style w:type="character" w:customStyle="1" w:styleId="Char1ff0">
    <w:name w:val="称呼 Char1"/>
    <w:uiPriority w:val="99"/>
    <w:semiHidden/>
    <w:qFormat/>
  </w:style>
  <w:style w:type="character" w:customStyle="1" w:styleId="Char1ff1">
    <w:name w:val="文档结构图 Char1"/>
    <w:uiPriority w:val="99"/>
    <w:semiHidden/>
    <w:qFormat/>
    <w:rPr>
      <w:rFonts w:ascii="宋体" w:eastAsia="宋体"/>
      <w:sz w:val="18"/>
      <w:szCs w:val="18"/>
    </w:rPr>
  </w:style>
  <w:style w:type="character" w:customStyle="1" w:styleId="3Char12">
    <w:name w:val="正文文本缩进 3 Char1"/>
    <w:uiPriority w:val="99"/>
    <w:semiHidden/>
    <w:qFormat/>
    <w:rPr>
      <w:sz w:val="16"/>
      <w:szCs w:val="16"/>
    </w:rPr>
  </w:style>
  <w:style w:type="character" w:customStyle="1" w:styleId="Char1ff2">
    <w:name w:val="结束语 Char1"/>
    <w:uiPriority w:val="99"/>
    <w:semiHidden/>
    <w:qFormat/>
  </w:style>
  <w:style w:type="character" w:customStyle="1" w:styleId="Char1ff3">
    <w:name w:val="副标题 Char1"/>
    <w:uiPriority w:val="11"/>
    <w:qFormat/>
    <w:rPr>
      <w:rFonts w:ascii="Cambria" w:eastAsia="宋体" w:hAnsi="Cambria" w:cs="Times New Roman"/>
      <w:b/>
      <w:bCs/>
      <w:kern w:val="28"/>
      <w:sz w:val="32"/>
      <w:szCs w:val="32"/>
    </w:rPr>
  </w:style>
  <w:style w:type="character" w:customStyle="1" w:styleId="Char1ff4">
    <w:name w:val="尾注文本 Char1"/>
    <w:uiPriority w:val="99"/>
    <w:semiHidden/>
    <w:qFormat/>
  </w:style>
  <w:style w:type="character" w:customStyle="1" w:styleId="HTMLChar10">
    <w:name w:val="HTML 预设格式 Char1"/>
    <w:uiPriority w:val="99"/>
    <w:semiHidden/>
    <w:qFormat/>
    <w:rPr>
      <w:rFonts w:ascii="Courier New" w:hAnsi="Courier New" w:cs="Courier New"/>
      <w:sz w:val="20"/>
      <w:szCs w:val="20"/>
    </w:rPr>
  </w:style>
  <w:style w:type="character" w:customStyle="1" w:styleId="Char2f4">
    <w:name w:val="正文首行缩进 Char2"/>
    <w:uiPriority w:val="99"/>
    <w:semiHidden/>
    <w:qFormat/>
    <w:rPr>
      <w:kern w:val="2"/>
      <w:sz w:val="21"/>
      <w:szCs w:val="24"/>
    </w:rPr>
  </w:style>
  <w:style w:type="table" w:customStyle="1" w:styleId="1ffffff4">
    <w:name w:val="三线表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paragraph" w:customStyle="1" w:styleId="Char81">
    <w:name w:val="Char81"/>
    <w:basedOn w:val="a9"/>
    <w:link w:val="CharChar141"/>
    <w:qFormat/>
    <w:pPr>
      <w:widowControl/>
      <w:jc w:val="left"/>
    </w:pPr>
    <w:rPr>
      <w:kern w:val="2"/>
      <w:sz w:val="21"/>
      <w:szCs w:val="24"/>
    </w:rPr>
  </w:style>
  <w:style w:type="paragraph" w:customStyle="1" w:styleId="Char140">
    <w:name w:val="Char14"/>
    <w:basedOn w:val="a9"/>
    <w:qFormat/>
    <w:pPr>
      <w:widowControl/>
      <w:jc w:val="left"/>
    </w:pPr>
    <w:rPr>
      <w:kern w:val="2"/>
      <w:sz w:val="24"/>
      <w:szCs w:val="24"/>
    </w:rPr>
  </w:style>
  <w:style w:type="paragraph" w:customStyle="1" w:styleId="CharCharChar1CharCharCharCharCharCharCharCharCharChar31">
    <w:name w:val="Char Char Char1 Char Char Char Char Char Char Char Char Char Char31"/>
    <w:basedOn w:val="a9"/>
    <w:qFormat/>
    <w:pPr>
      <w:widowControl/>
      <w:jc w:val="left"/>
    </w:pPr>
    <w:rPr>
      <w:kern w:val="2"/>
      <w:sz w:val="24"/>
      <w:szCs w:val="24"/>
    </w:rPr>
  </w:style>
  <w:style w:type="paragraph" w:customStyle="1" w:styleId="Char3CharCharCharCharCharChar31">
    <w:name w:val="Char3 Char Char Char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2Char31">
    <w:name w:val="Char Char2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141">
    <w:name w:val="Char Char141"/>
    <w:link w:val="Char81"/>
    <w:qFormat/>
    <w:rPr>
      <w:kern w:val="2"/>
      <w:sz w:val="21"/>
      <w:szCs w:val="24"/>
    </w:rPr>
  </w:style>
  <w:style w:type="paragraph" w:customStyle="1" w:styleId="Char431">
    <w:name w:val="Char4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341">
    <w:name w:val="Char341"/>
    <w:basedOn w:val="a9"/>
    <w:qFormat/>
    <w:pPr>
      <w:widowControl/>
      <w:spacing w:line="360" w:lineRule="auto"/>
      <w:ind w:firstLineChars="200" w:firstLine="200"/>
      <w:jc w:val="left"/>
    </w:pPr>
    <w:rPr>
      <w:kern w:val="2"/>
      <w:sz w:val="24"/>
    </w:rPr>
  </w:style>
  <w:style w:type="paragraph" w:customStyle="1" w:styleId="413">
    <w:name w:val="批注框文本41"/>
    <w:basedOn w:val="a9"/>
    <w:semiHidden/>
    <w:qFormat/>
    <w:pPr>
      <w:widowControl/>
      <w:jc w:val="left"/>
    </w:pPr>
    <w:rPr>
      <w:rFonts w:ascii="Tahoma" w:hAnsi="Tahoma" w:cs="Tahoma"/>
      <w:kern w:val="2"/>
      <w:sz w:val="16"/>
      <w:szCs w:val="16"/>
    </w:rPr>
  </w:style>
  <w:style w:type="paragraph" w:customStyle="1" w:styleId="CharChar1Char41">
    <w:name w:val="Char Char1 Char4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3Char31">
    <w:name w:val="Char Char3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231">
    <w:name w:val="Char Char231"/>
    <w:qFormat/>
    <w:rPr>
      <w:rFonts w:eastAsia="宋体"/>
      <w:kern w:val="2"/>
      <w:sz w:val="18"/>
      <w:lang w:val="en-US" w:eastAsia="zh-CN" w:bidi="ar-SA"/>
    </w:rPr>
  </w:style>
  <w:style w:type="paragraph" w:customStyle="1" w:styleId="Char231">
    <w:name w:val="Char231"/>
    <w:basedOn w:val="a9"/>
    <w:qFormat/>
    <w:pPr>
      <w:widowControl/>
      <w:spacing w:line="360" w:lineRule="auto"/>
      <w:jc w:val="left"/>
    </w:pPr>
    <w:rPr>
      <w:rFonts w:ascii="宋体" w:hAnsi="宋体" w:cs="宋体"/>
      <w:kern w:val="2"/>
      <w:sz w:val="24"/>
      <w:szCs w:val="24"/>
    </w:rPr>
  </w:style>
  <w:style w:type="paragraph" w:customStyle="1" w:styleId="CharChar1CharCharCharCharCharCharCharCharCharCharCharCharCharCharCharCharCharCharCharChar1Char31">
    <w:name w:val="Char Char1 Char Char Char Char Char Char Char Char Char Char Char Char Char Char Char Char Char Char Char Char1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2CharCharChar31">
    <w:name w:val="Char Char1 Char2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CharCharCharCharCharCharCharCharChar31">
    <w:name w:val="Char Char1 Char Char Char Char Char Char Char Char Char Char31"/>
    <w:basedOn w:val="a9"/>
    <w:qFormat/>
    <w:pPr>
      <w:widowControl/>
      <w:spacing w:line="360" w:lineRule="auto"/>
      <w:ind w:firstLineChars="200" w:firstLine="200"/>
      <w:jc w:val="left"/>
    </w:pPr>
    <w:rPr>
      <w:rFonts w:ascii="宋体" w:hAnsi="宋体" w:cs="宋体"/>
      <w:kern w:val="2"/>
      <w:sz w:val="24"/>
      <w:szCs w:val="24"/>
    </w:rPr>
  </w:style>
  <w:style w:type="paragraph" w:customStyle="1" w:styleId="Char2CharCharChar41">
    <w:name w:val="Char2 Char Char Char41"/>
    <w:basedOn w:val="3"/>
    <w:qFormat/>
    <w:pPr>
      <w:keepNext/>
      <w:keepLines/>
      <w:widowControl/>
      <w:numPr>
        <w:ilvl w:val="0"/>
        <w:numId w:val="0"/>
      </w:numPr>
      <w:tabs>
        <w:tab w:val="left" w:pos="360"/>
        <w:tab w:val="left" w:pos="900"/>
      </w:tabs>
      <w:spacing w:before="120" w:after="120"/>
      <w:ind w:leftChars="-12" w:left="542" w:firstLineChars="200" w:firstLine="200"/>
      <w:jc w:val="left"/>
    </w:pPr>
    <w:rPr>
      <w:b w:val="0"/>
      <w:snapToGrid w:val="0"/>
      <w:kern w:val="2"/>
      <w:szCs w:val="24"/>
    </w:rPr>
  </w:style>
  <w:style w:type="character" w:customStyle="1" w:styleId="CharCharCharChar131">
    <w:name w:val="Char Char Char Char131"/>
    <w:qFormat/>
    <w:rPr>
      <w:rFonts w:eastAsia="宋体"/>
      <w:color w:val="000000"/>
      <w:kern w:val="2"/>
      <w:sz w:val="18"/>
      <w:szCs w:val="24"/>
      <w:lang w:val="en-US" w:eastAsia="zh-CN" w:bidi="ar-SA"/>
    </w:rPr>
  </w:style>
  <w:style w:type="paragraph" w:customStyle="1" w:styleId="CharCharChar1CharCharChar31">
    <w:name w:val="Char Char Char1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2031">
    <w:name w:val="Char Char2031"/>
    <w:qFormat/>
    <w:rPr>
      <w:rFonts w:ascii="宋体" w:eastAsia="宋体" w:hAnsi="宋体" w:cs="Times New Roman"/>
      <w:sz w:val="32"/>
      <w:szCs w:val="20"/>
    </w:rPr>
  </w:style>
  <w:style w:type="paragraph" w:customStyle="1" w:styleId="Char3CharCharChar31">
    <w:name w:val="Char3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ffffff8">
    <w:name w:val="王向东正文 Char"/>
    <w:link w:val="afffffffffffffffffffffff"/>
    <w:qFormat/>
    <w:rPr>
      <w:rFonts w:eastAsia="Times New Roman" w:cs="幼圆"/>
      <w:sz w:val="24"/>
      <w:szCs w:val="28"/>
    </w:rPr>
  </w:style>
  <w:style w:type="paragraph" w:customStyle="1" w:styleId="afffffffffffffffffffffff">
    <w:name w:val="王向东正文"/>
    <w:link w:val="Charffffff8"/>
    <w:qFormat/>
    <w:pPr>
      <w:adjustRightInd w:val="0"/>
      <w:snapToGrid w:val="0"/>
      <w:spacing w:beforeLines="30" w:afterLines="30" w:line="360" w:lineRule="auto"/>
      <w:ind w:firstLineChars="200" w:firstLine="200"/>
      <w:jc w:val="both"/>
    </w:pPr>
    <w:rPr>
      <w:rFonts w:eastAsia="Times New Roman" w:cs="幼圆"/>
      <w:sz w:val="24"/>
      <w:szCs w:val="28"/>
    </w:rPr>
  </w:style>
  <w:style w:type="paragraph" w:customStyle="1" w:styleId="afffffffffffffffffffffff0">
    <w:name w:val="青山正文"/>
    <w:basedOn w:val="a9"/>
    <w:qFormat/>
    <w:pPr>
      <w:widowControl/>
      <w:tabs>
        <w:tab w:val="left" w:pos="2145"/>
      </w:tabs>
      <w:adjustRightInd w:val="0"/>
      <w:snapToGrid w:val="0"/>
      <w:spacing w:line="360" w:lineRule="auto"/>
      <w:ind w:firstLineChars="200" w:firstLine="200"/>
      <w:jc w:val="left"/>
    </w:pPr>
    <w:rPr>
      <w:kern w:val="2"/>
      <w:sz w:val="28"/>
      <w:szCs w:val="28"/>
    </w:rPr>
  </w:style>
  <w:style w:type="paragraph" w:customStyle="1" w:styleId="afffffffffffffffffffffff1">
    <w:name w:val="正文文字"/>
    <w:basedOn w:val="a9"/>
    <w:qFormat/>
    <w:pPr>
      <w:widowControl/>
      <w:spacing w:after="156" w:line="360" w:lineRule="auto"/>
      <w:jc w:val="left"/>
      <w:outlineLvl w:val="0"/>
    </w:pPr>
    <w:rPr>
      <w:rFonts w:ascii="宋体" w:hAnsi="宋体"/>
      <w:b/>
      <w:kern w:val="2"/>
      <w:sz w:val="28"/>
      <w:szCs w:val="28"/>
    </w:rPr>
  </w:style>
  <w:style w:type="paragraph" w:customStyle="1" w:styleId="1520">
    <w:name w:val="样式 四号 行距: 1.5 倍行距 首行缩进:  2 字符"/>
    <w:basedOn w:val="a9"/>
    <w:qFormat/>
    <w:pPr>
      <w:widowControl/>
      <w:spacing w:line="360" w:lineRule="auto"/>
      <w:ind w:firstLineChars="200" w:firstLine="560"/>
      <w:jc w:val="left"/>
    </w:pPr>
    <w:rPr>
      <w:rFonts w:cs="宋体"/>
      <w:kern w:val="2"/>
      <w:sz w:val="28"/>
    </w:rPr>
  </w:style>
  <w:style w:type="paragraph" w:customStyle="1" w:styleId="CM146">
    <w:name w:val="CM146"/>
    <w:basedOn w:val="Default"/>
    <w:next w:val="Default"/>
    <w:qFormat/>
    <w:pPr>
      <w:spacing w:after="188"/>
    </w:pPr>
    <w:rPr>
      <w:rFonts w:ascii="宋体" w:eastAsia="宋体" w:cs="宋体"/>
      <w:color w:val="auto"/>
    </w:rPr>
  </w:style>
  <w:style w:type="paragraph" w:customStyle="1" w:styleId="Char13CharCharCharCharCharChar">
    <w:name w:val="Char13 Char Char Char Char Char Char"/>
    <w:basedOn w:val="a9"/>
    <w:qFormat/>
    <w:pPr>
      <w:widowControl/>
      <w:jc w:val="left"/>
    </w:pPr>
    <w:rPr>
      <w:rFonts w:ascii="Tahoma" w:hAnsi="Tahoma"/>
      <w:kern w:val="2"/>
      <w:sz w:val="24"/>
    </w:rPr>
  </w:style>
  <w:style w:type="character" w:customStyle="1" w:styleId="CharChar731">
    <w:name w:val="Char Char731"/>
    <w:qFormat/>
    <w:rPr>
      <w:kern w:val="2"/>
      <w:sz w:val="21"/>
      <w:szCs w:val="24"/>
    </w:rPr>
  </w:style>
  <w:style w:type="paragraph" w:customStyle="1" w:styleId="afffffffffffffffffffffff2">
    <w:name w:val="表项目及备注栏"/>
    <w:basedOn w:val="a9"/>
    <w:qFormat/>
    <w:pPr>
      <w:widowControl/>
      <w:jc w:val="left"/>
    </w:pPr>
    <w:rPr>
      <w:rFonts w:eastAsia="仿宋_GB2312"/>
      <w:kern w:val="2"/>
      <w:sz w:val="24"/>
      <w:szCs w:val="24"/>
    </w:rPr>
  </w:style>
  <w:style w:type="character" w:customStyle="1" w:styleId="td71">
    <w:name w:val="td71"/>
    <w:qFormat/>
    <w:rPr>
      <w:color w:val="3B3B3B"/>
      <w:sz w:val="21"/>
      <w:szCs w:val="21"/>
    </w:rPr>
  </w:style>
  <w:style w:type="paragraph" w:customStyle="1" w:styleId="CharCharCharCharCharCharCharCharChar1CharCharCharCharCharChar">
    <w:name w:val="Char Char Char Char Char Char Char Char Char1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newsbody">
    <w:name w:val="newsbody"/>
    <w:qFormat/>
  </w:style>
  <w:style w:type="character" w:customStyle="1" w:styleId="articlebody">
    <w:name w:val="articlebody"/>
    <w:qFormat/>
  </w:style>
  <w:style w:type="paragraph" w:customStyle="1" w:styleId="CharCharCharCharCharCharCharCharChar1CharCharChar">
    <w:name w:val="Char Char Char Char Char Char Char Char Char1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
    <w:name w:val="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2CharChar">
    <w:name w:val="Char2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CharChar">
    <w:name w:val="Char Char 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17">
    <w:name w:val="c17"/>
    <w:basedOn w:val="a9"/>
    <w:qFormat/>
    <w:pPr>
      <w:widowControl/>
      <w:autoSpaceDE w:val="0"/>
      <w:autoSpaceDN w:val="0"/>
      <w:adjustRightInd w:val="0"/>
      <w:spacing w:line="240" w:lineRule="atLeast"/>
      <w:jc w:val="center"/>
      <w:textAlignment w:val="baseline"/>
    </w:pPr>
    <w:rPr>
      <w:sz w:val="24"/>
      <w:szCs w:val="24"/>
    </w:rPr>
  </w:style>
  <w:style w:type="paragraph" w:customStyle="1" w:styleId="CharCharCharCharCharCharCharCharChar1">
    <w:name w:val="Char Char Char Char Char Char Char Char Char1"/>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1ffffff5">
    <w:name w:val="标题 1+宋体"/>
    <w:qFormat/>
    <w:rPr>
      <w:rFonts w:eastAsia="宋体"/>
      <w:kern w:val="44"/>
      <w:sz w:val="28"/>
      <w:szCs w:val="28"/>
      <w:lang w:val="en-US" w:eastAsia="zh-CN" w:bidi="ar-SA"/>
    </w:rPr>
  </w:style>
  <w:style w:type="character" w:customStyle="1" w:styleId="arr1">
    <w:name w:val="arr1"/>
    <w:qFormat/>
  </w:style>
  <w:style w:type="character" w:customStyle="1" w:styleId="t11">
    <w:name w:val="t11"/>
    <w:qFormat/>
    <w:rPr>
      <w:b/>
      <w:bCs/>
      <w:sz w:val="27"/>
      <w:szCs w:val="27"/>
      <w:shd w:val="clear" w:color="auto" w:fill="FFFFFF"/>
    </w:rPr>
  </w:style>
  <w:style w:type="paragraph" w:customStyle="1" w:styleId="CharCharCharCharChar0">
    <w:name w:val="Char Char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CharCharChar11">
    <w:name w:val="Char Char Char Char Char Char Char Char Char11"/>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zw14">
    <w:name w:val="zw14"/>
    <w:qFormat/>
  </w:style>
  <w:style w:type="paragraph" w:customStyle="1" w:styleId="Char13CharCharChar">
    <w:name w:val="Char13 Char Char Char"/>
    <w:basedOn w:val="a9"/>
    <w:qFormat/>
    <w:pPr>
      <w:widowControl/>
      <w:jc w:val="left"/>
    </w:pPr>
    <w:rPr>
      <w:rFonts w:ascii="Tahoma" w:hAnsi="Tahoma"/>
      <w:kern w:val="2"/>
      <w:sz w:val="24"/>
    </w:rPr>
  </w:style>
  <w:style w:type="paragraph" w:customStyle="1" w:styleId="CharCharCharCharCharChar1CharCharCharCharCharCharCharCharCharCharCharCharCharCharCharCharCharChar1CharCharCharCharCharCharCharCharCharCharCharCharCharCharCharChar2">
    <w:name w:val="Char Char Char Char Char Char1 Char Char Char Char Char Char Char Char Char Char Char Char Char Char Char Char Char Char1 Char Char Char Char Char Char Char Char Char Char Char Char Char Char Char Char2"/>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19Char">
    <w:name w:val="Char Char19 Char"/>
    <w:basedOn w:val="a9"/>
    <w:qFormat/>
    <w:pPr>
      <w:widowControl/>
      <w:jc w:val="left"/>
    </w:pPr>
    <w:rPr>
      <w:rFonts w:ascii="Tahoma" w:hAnsi="Tahoma"/>
      <w:kern w:val="2"/>
      <w:sz w:val="24"/>
    </w:rPr>
  </w:style>
  <w:style w:type="paragraph" w:customStyle="1" w:styleId="afffffffffffffffffffffff3">
    <w:name w:val="清除格式"/>
    <w:next w:val="a9"/>
    <w:qFormat/>
    <w:pPr>
      <w:overflowPunct w:val="0"/>
      <w:adjustRightInd w:val="0"/>
      <w:snapToGrid w:val="0"/>
      <w:textAlignment w:val="center"/>
    </w:pPr>
    <w:rPr>
      <w:snapToGrid w:val="0"/>
      <w:color w:val="000000"/>
      <w:sz w:val="21"/>
    </w:rPr>
  </w:style>
  <w:style w:type="paragraph" w:customStyle="1" w:styleId="CharCharChar1CharCharCharCharCharCharChar">
    <w:name w:val="Char Char Char1 Char Char Char Char Char Char Char"/>
    <w:basedOn w:val="a9"/>
    <w:qFormat/>
    <w:pPr>
      <w:widowControl/>
      <w:spacing w:beforeLines="100" w:after="160" w:line="240" w:lineRule="exact"/>
      <w:jc w:val="left"/>
    </w:pPr>
    <w:rPr>
      <w:rFonts w:ascii="Verdana" w:hAnsi="Verdana"/>
      <w:sz w:val="32"/>
      <w:szCs w:val="32"/>
      <w:lang w:eastAsia="en-US"/>
    </w:rPr>
  </w:style>
  <w:style w:type="paragraph" w:customStyle="1" w:styleId="CharCharCharCharCharCharCharCharCharCharChar1">
    <w:name w:val="Char Char Char Char Char Char Char Char Char Char Char1"/>
    <w:qFormat/>
    <w:pPr>
      <w:widowControl w:val="0"/>
      <w:spacing w:line="300" w:lineRule="auto"/>
      <w:ind w:firstLineChars="200" w:firstLine="480"/>
      <w:jc w:val="both"/>
    </w:pPr>
    <w:rPr>
      <w:rFonts w:eastAsia="仿宋_GB2312"/>
      <w:kern w:val="2"/>
      <w:sz w:val="24"/>
      <w:szCs w:val="24"/>
    </w:rPr>
  </w:style>
  <w:style w:type="paragraph" w:customStyle="1" w:styleId="2fff8">
    <w:name w:val="样式 标题 2 + 四号"/>
    <w:basedOn w:val="2"/>
    <w:qFormat/>
    <w:pPr>
      <w:keepNext/>
      <w:widowControl/>
      <w:numPr>
        <w:ilvl w:val="0"/>
        <w:numId w:val="0"/>
      </w:numPr>
      <w:pBdr>
        <w:bottom w:val="none" w:sz="0" w:space="0" w:color="auto"/>
      </w:pBdr>
      <w:tabs>
        <w:tab w:val="left" w:pos="142"/>
      </w:tabs>
      <w:spacing w:before="260" w:after="260"/>
      <w:ind w:rightChars="100" w:right="210" w:firstLineChars="49" w:firstLine="103"/>
      <w:jc w:val="left"/>
    </w:pPr>
    <w:rPr>
      <w:rFonts w:ascii="宋体" w:eastAsia="宋体" w:hAnsi="宋体"/>
      <w:b w:val="0"/>
      <w:bCs/>
      <w:kern w:val="2"/>
      <w:sz w:val="21"/>
      <w:szCs w:val="30"/>
    </w:rPr>
  </w:style>
  <w:style w:type="paragraph" w:customStyle="1" w:styleId="CharChar1Char1CharChar">
    <w:name w:val="Char Char1 Char1 Char Char"/>
    <w:basedOn w:val="a9"/>
    <w:qFormat/>
    <w:pPr>
      <w:widowControl/>
      <w:jc w:val="left"/>
    </w:pPr>
    <w:rPr>
      <w:rFonts w:ascii="Arial" w:hAnsi="Arial"/>
      <w:kern w:val="2"/>
      <w:sz w:val="24"/>
      <w:szCs w:val="24"/>
    </w:rPr>
  </w:style>
  <w:style w:type="paragraph" w:customStyle="1" w:styleId="Char2CharCharChar2CharCharChar1CharChar">
    <w:name w:val="Char2 Char Char Char2 Char Char Char1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1ffffff6">
    <w:name w:val="样式 正文首行缩进 + 四号 首行缩进:  1 字符"/>
    <w:basedOn w:val="af0"/>
    <w:qFormat/>
    <w:pPr>
      <w:widowControl/>
      <w:spacing w:after="0" w:line="500" w:lineRule="exact"/>
      <w:ind w:firstLine="480"/>
      <w:jc w:val="left"/>
    </w:pPr>
    <w:rPr>
      <w:kern w:val="2"/>
      <w:szCs w:val="24"/>
    </w:rPr>
  </w:style>
  <w:style w:type="paragraph" w:customStyle="1" w:styleId="Char131">
    <w:name w:val="Char131"/>
    <w:basedOn w:val="a9"/>
    <w:qFormat/>
    <w:pPr>
      <w:widowControl/>
      <w:jc w:val="left"/>
    </w:pPr>
    <w:rPr>
      <w:rFonts w:ascii="Tahoma" w:hAnsi="Tahoma"/>
      <w:kern w:val="2"/>
      <w:sz w:val="24"/>
    </w:rPr>
  </w:style>
  <w:style w:type="paragraph" w:customStyle="1" w:styleId="Char2CharCharChar11">
    <w:name w:val="Char2 Char Char Char11"/>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2CharCharChar2CharCharChar">
    <w:name w:val="Char2 Char Char Char2 Char Char Char"/>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CharCharCharChar1CharCharCharCharCharCharCharCharCharCharCharCharCharCharCharCharCharChar1CharCharCharCharCharCharCharCharCharCharCharChar">
    <w:name w:val="Char Char Char Char Char Char1 Char Char Char Char Char Char Char Char Char Char Char Char Char Char Char Char Char Char1 Char Char Char Char Char Char Char Char Char Char Char Char"/>
    <w:basedOn w:val="a9"/>
    <w:qFormat/>
    <w:pPr>
      <w:widowControl/>
      <w:jc w:val="left"/>
    </w:pPr>
    <w:rPr>
      <w:rFonts w:ascii="Arial" w:hAnsi="Arial"/>
      <w:kern w:val="2"/>
      <w:sz w:val="24"/>
      <w:szCs w:val="24"/>
    </w:rPr>
  </w:style>
  <w:style w:type="paragraph" w:customStyle="1" w:styleId="Char2CharCharCharCharCharCharCharCharChar">
    <w:name w:val="Char2 Char Char Char Char Char Char Char Char Char"/>
    <w:basedOn w:val="a9"/>
    <w:qFormat/>
    <w:pPr>
      <w:widowControl/>
      <w:spacing w:after="160" w:line="240" w:lineRule="exact"/>
      <w:jc w:val="left"/>
    </w:pPr>
    <w:rPr>
      <w:rFonts w:ascii="Arial" w:eastAsia="Times New Roman" w:hAnsi="Arial" w:cs="Verdana"/>
      <w:b/>
      <w:sz w:val="24"/>
      <w:szCs w:val="24"/>
      <w:lang w:eastAsia="en-US"/>
    </w:rPr>
  </w:style>
  <w:style w:type="character" w:customStyle="1" w:styleId="question-title">
    <w:name w:val="question-title"/>
    <w:qFormat/>
  </w:style>
  <w:style w:type="paragraph" w:customStyle="1" w:styleId="CharCharCharCharCharChar31">
    <w:name w:val="Char Char Char Char Char Char31"/>
    <w:basedOn w:val="a9"/>
    <w:qFormat/>
    <w:pPr>
      <w:widowControl/>
      <w:jc w:val="left"/>
    </w:pPr>
    <w:rPr>
      <w:kern w:val="2"/>
      <w:sz w:val="24"/>
      <w:szCs w:val="24"/>
    </w:rPr>
  </w:style>
  <w:style w:type="paragraph" w:customStyle="1" w:styleId="Char1CharCharChar31">
    <w:name w:val="Char1 Char Char Char31"/>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xl138">
    <w:name w:val="xl138"/>
    <w:basedOn w:val="a9"/>
    <w:qFormat/>
    <w:pPr>
      <w:widowControl/>
      <w:pBdr>
        <w:right w:val="single" w:sz="8" w:space="0" w:color="000000"/>
      </w:pBdr>
      <w:spacing w:before="100" w:beforeAutospacing="1" w:after="100" w:afterAutospacing="1"/>
      <w:jc w:val="center"/>
    </w:pPr>
    <w:rPr>
      <w:sz w:val="18"/>
      <w:szCs w:val="18"/>
    </w:rPr>
  </w:style>
  <w:style w:type="paragraph" w:customStyle="1" w:styleId="xl139">
    <w:name w:val="xl139"/>
    <w:basedOn w:val="a9"/>
    <w:qFormat/>
    <w:pPr>
      <w:widowControl/>
      <w:pBdr>
        <w:top w:val="single" w:sz="8" w:space="0" w:color="000000"/>
        <w:left w:val="single" w:sz="8" w:space="0" w:color="auto"/>
      </w:pBdr>
      <w:spacing w:before="100" w:beforeAutospacing="1" w:after="100" w:afterAutospacing="1"/>
      <w:jc w:val="center"/>
    </w:pPr>
    <w:rPr>
      <w:sz w:val="18"/>
      <w:szCs w:val="18"/>
    </w:rPr>
  </w:style>
  <w:style w:type="paragraph" w:customStyle="1" w:styleId="xl140">
    <w:name w:val="xl140"/>
    <w:basedOn w:val="a9"/>
    <w:qFormat/>
    <w:pPr>
      <w:widowControl/>
      <w:pBdr>
        <w:left w:val="single" w:sz="8" w:space="0" w:color="auto"/>
      </w:pBdr>
      <w:spacing w:before="100" w:beforeAutospacing="1" w:after="100" w:afterAutospacing="1"/>
      <w:jc w:val="center"/>
    </w:pPr>
    <w:rPr>
      <w:sz w:val="18"/>
      <w:szCs w:val="18"/>
    </w:rPr>
  </w:style>
  <w:style w:type="paragraph" w:customStyle="1" w:styleId="xl141">
    <w:name w:val="xl141"/>
    <w:basedOn w:val="a9"/>
    <w:qFormat/>
    <w:pPr>
      <w:widowControl/>
      <w:pBdr>
        <w:left w:val="single" w:sz="8" w:space="0" w:color="auto"/>
        <w:bottom w:val="single" w:sz="8" w:space="0" w:color="000000"/>
      </w:pBdr>
      <w:spacing w:before="100" w:beforeAutospacing="1" w:after="100" w:afterAutospacing="1"/>
      <w:jc w:val="center"/>
    </w:pPr>
    <w:rPr>
      <w:sz w:val="18"/>
      <w:szCs w:val="18"/>
    </w:rPr>
  </w:style>
  <w:style w:type="paragraph" w:customStyle="1" w:styleId="xl142">
    <w:name w:val="xl142"/>
    <w:basedOn w:val="a9"/>
    <w:qFormat/>
    <w:pPr>
      <w:widowControl/>
      <w:pBdr>
        <w:top w:val="single" w:sz="8" w:space="0" w:color="000000"/>
        <w:left w:val="single" w:sz="8" w:space="0" w:color="000000"/>
        <w:bottom w:val="single" w:sz="8" w:space="0" w:color="000000"/>
      </w:pBdr>
      <w:spacing w:before="100" w:beforeAutospacing="1" w:after="100" w:afterAutospacing="1"/>
      <w:jc w:val="center"/>
    </w:pPr>
    <w:rPr>
      <w:rFonts w:ascii="宋体" w:hAnsi="宋体" w:cs="宋体"/>
      <w:sz w:val="18"/>
      <w:szCs w:val="18"/>
    </w:rPr>
  </w:style>
  <w:style w:type="paragraph" w:customStyle="1" w:styleId="xl143">
    <w:name w:val="xl143"/>
    <w:basedOn w:val="a9"/>
    <w:qFormat/>
    <w:pPr>
      <w:widowControl/>
      <w:pBdr>
        <w:top w:val="single" w:sz="8" w:space="0" w:color="000000"/>
        <w:bottom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44">
    <w:name w:val="xl144"/>
    <w:basedOn w:val="a9"/>
    <w:qFormat/>
    <w:pPr>
      <w:widowControl/>
      <w:pBdr>
        <w:left w:val="single" w:sz="8" w:space="0" w:color="000000"/>
        <w:bottom w:val="single" w:sz="8" w:space="0" w:color="000000"/>
      </w:pBdr>
      <w:spacing w:before="100" w:beforeAutospacing="1" w:after="100" w:afterAutospacing="1"/>
      <w:jc w:val="center"/>
    </w:pPr>
    <w:rPr>
      <w:sz w:val="18"/>
      <w:szCs w:val="18"/>
    </w:rPr>
  </w:style>
  <w:style w:type="paragraph" w:customStyle="1" w:styleId="xl145">
    <w:name w:val="xl145"/>
    <w:basedOn w:val="a9"/>
    <w:qFormat/>
    <w:pPr>
      <w:widowControl/>
      <w:pBdr>
        <w:bottom w:val="single" w:sz="8" w:space="0" w:color="000000"/>
      </w:pBdr>
      <w:spacing w:before="100" w:beforeAutospacing="1" w:after="100" w:afterAutospacing="1"/>
      <w:jc w:val="center"/>
    </w:pPr>
    <w:rPr>
      <w:sz w:val="18"/>
      <w:szCs w:val="18"/>
    </w:rPr>
  </w:style>
  <w:style w:type="paragraph" w:customStyle="1" w:styleId="xl146">
    <w:name w:val="xl146"/>
    <w:basedOn w:val="a9"/>
    <w:qFormat/>
    <w:pPr>
      <w:widowControl/>
      <w:pBdr>
        <w:top w:val="single" w:sz="12" w:space="0" w:color="000000"/>
        <w:left w:val="single" w:sz="8" w:space="0" w:color="auto"/>
      </w:pBdr>
      <w:spacing w:before="100" w:beforeAutospacing="1" w:after="100" w:afterAutospacing="1"/>
      <w:jc w:val="center"/>
    </w:pPr>
    <w:rPr>
      <w:rFonts w:ascii="宋体" w:hAnsi="宋体" w:cs="宋体"/>
      <w:sz w:val="18"/>
      <w:szCs w:val="18"/>
    </w:rPr>
  </w:style>
  <w:style w:type="paragraph" w:customStyle="1" w:styleId="xl147">
    <w:name w:val="xl147"/>
    <w:basedOn w:val="a9"/>
    <w:qFormat/>
    <w:pPr>
      <w:widowControl/>
      <w:pBdr>
        <w:left w:val="single" w:sz="8" w:space="0" w:color="auto"/>
        <w:bottom w:val="single" w:sz="12" w:space="0" w:color="000000"/>
      </w:pBdr>
      <w:spacing w:before="100" w:beforeAutospacing="1" w:after="100" w:afterAutospacing="1"/>
      <w:jc w:val="center"/>
    </w:pPr>
    <w:rPr>
      <w:rFonts w:ascii="宋体" w:hAnsi="宋体" w:cs="宋体"/>
      <w:sz w:val="18"/>
      <w:szCs w:val="18"/>
    </w:rPr>
  </w:style>
  <w:style w:type="paragraph" w:customStyle="1" w:styleId="xl148">
    <w:name w:val="xl148"/>
    <w:basedOn w:val="a9"/>
    <w:qFormat/>
    <w:pPr>
      <w:widowControl/>
      <w:pBdr>
        <w:top w:val="single" w:sz="12" w:space="0" w:color="000000"/>
        <w:right w:val="single" w:sz="8" w:space="0" w:color="000000"/>
      </w:pBdr>
      <w:spacing w:before="100" w:beforeAutospacing="1" w:after="100" w:afterAutospacing="1"/>
      <w:jc w:val="center"/>
    </w:pPr>
    <w:rPr>
      <w:sz w:val="18"/>
      <w:szCs w:val="18"/>
    </w:rPr>
  </w:style>
  <w:style w:type="paragraph" w:customStyle="1" w:styleId="xl149">
    <w:name w:val="xl149"/>
    <w:basedOn w:val="a9"/>
    <w:qFormat/>
    <w:pPr>
      <w:widowControl/>
      <w:pBdr>
        <w:top w:val="single" w:sz="12" w:space="0" w:color="000000"/>
        <w:left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0">
    <w:name w:val="xl150"/>
    <w:basedOn w:val="a9"/>
    <w:qFormat/>
    <w:pPr>
      <w:widowControl/>
      <w:pBdr>
        <w:top w:val="single" w:sz="12" w:space="0" w:color="000000"/>
        <w:left w:val="single" w:sz="8" w:space="0" w:color="000000"/>
      </w:pBdr>
      <w:spacing w:before="100" w:beforeAutospacing="1" w:after="100" w:afterAutospacing="1"/>
      <w:jc w:val="center"/>
    </w:pPr>
    <w:rPr>
      <w:sz w:val="18"/>
      <w:szCs w:val="18"/>
    </w:rPr>
  </w:style>
  <w:style w:type="paragraph" w:customStyle="1" w:styleId="xl151">
    <w:name w:val="xl151"/>
    <w:basedOn w:val="a9"/>
    <w:qFormat/>
    <w:pPr>
      <w:widowControl/>
      <w:pBdr>
        <w:top w:val="single" w:sz="12" w:space="0" w:color="000000"/>
      </w:pBdr>
      <w:spacing w:before="100" w:beforeAutospacing="1" w:after="100" w:afterAutospacing="1"/>
      <w:jc w:val="center"/>
    </w:pPr>
    <w:rPr>
      <w:sz w:val="18"/>
      <w:szCs w:val="18"/>
    </w:rPr>
  </w:style>
  <w:style w:type="paragraph" w:customStyle="1" w:styleId="xl152">
    <w:name w:val="xl152"/>
    <w:basedOn w:val="a9"/>
    <w:qFormat/>
    <w:pPr>
      <w:widowControl/>
      <w:pBdr>
        <w:top w:val="single" w:sz="12" w:space="0" w:color="000000"/>
        <w:left w:val="single" w:sz="8"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3">
    <w:name w:val="xl153"/>
    <w:basedOn w:val="a9"/>
    <w:qFormat/>
    <w:pPr>
      <w:widowControl/>
      <w:pBdr>
        <w:top w:val="single" w:sz="12" w:space="0" w:color="000000"/>
        <w:left w:val="single" w:sz="8" w:space="0" w:color="auto"/>
      </w:pBdr>
      <w:spacing w:before="100" w:beforeAutospacing="1" w:after="100" w:afterAutospacing="1"/>
      <w:jc w:val="center"/>
    </w:pPr>
    <w:rPr>
      <w:sz w:val="18"/>
      <w:szCs w:val="18"/>
    </w:rPr>
  </w:style>
  <w:style w:type="paragraph" w:customStyle="1" w:styleId="xl154">
    <w:name w:val="xl154"/>
    <w:basedOn w:val="a9"/>
    <w:qFormat/>
    <w:pPr>
      <w:widowControl/>
      <w:pBdr>
        <w:top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5">
    <w:name w:val="xl155"/>
    <w:basedOn w:val="a9"/>
    <w:qFormat/>
    <w:pPr>
      <w:widowControl/>
      <w:pBdr>
        <w:left w:val="single" w:sz="8" w:space="0" w:color="000000"/>
        <w:bottom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56">
    <w:name w:val="xl156"/>
    <w:basedOn w:val="a9"/>
    <w:qFormat/>
    <w:pPr>
      <w:widowControl/>
      <w:pBdr>
        <w:top w:val="single" w:sz="12" w:space="0" w:color="000000"/>
        <w:left w:val="single" w:sz="8" w:space="0" w:color="000000"/>
      </w:pBdr>
      <w:spacing w:before="100" w:beforeAutospacing="1" w:after="100" w:afterAutospacing="1"/>
      <w:jc w:val="center"/>
    </w:pPr>
    <w:rPr>
      <w:rFonts w:ascii="宋体" w:hAnsi="宋体" w:cs="宋体"/>
      <w:sz w:val="18"/>
      <w:szCs w:val="18"/>
    </w:rPr>
  </w:style>
  <w:style w:type="paragraph" w:customStyle="1" w:styleId="xl157">
    <w:name w:val="xl157"/>
    <w:basedOn w:val="a9"/>
    <w:qFormat/>
    <w:pPr>
      <w:widowControl/>
      <w:pBdr>
        <w:top w:val="single" w:sz="12" w:space="0" w:color="000000"/>
      </w:pBdr>
      <w:spacing w:before="100" w:beforeAutospacing="1" w:after="100" w:afterAutospacing="1"/>
      <w:jc w:val="center"/>
    </w:pPr>
    <w:rPr>
      <w:rFonts w:ascii="宋体" w:hAnsi="宋体" w:cs="宋体"/>
      <w:sz w:val="18"/>
      <w:szCs w:val="18"/>
    </w:rPr>
  </w:style>
  <w:style w:type="paragraph" w:customStyle="1" w:styleId="xl158">
    <w:name w:val="xl158"/>
    <w:basedOn w:val="a9"/>
    <w:qFormat/>
    <w:pPr>
      <w:widowControl/>
      <w:pBdr>
        <w:left w:val="single" w:sz="8" w:space="0" w:color="000000"/>
        <w:bottom w:val="single" w:sz="12" w:space="0" w:color="000000"/>
      </w:pBdr>
      <w:spacing w:before="100" w:beforeAutospacing="1" w:after="100" w:afterAutospacing="1"/>
      <w:jc w:val="center"/>
    </w:pPr>
    <w:rPr>
      <w:rFonts w:ascii="宋体" w:hAnsi="宋体" w:cs="宋体"/>
      <w:sz w:val="18"/>
      <w:szCs w:val="18"/>
    </w:rPr>
  </w:style>
  <w:style w:type="paragraph" w:customStyle="1" w:styleId="xl159">
    <w:name w:val="xl159"/>
    <w:basedOn w:val="a9"/>
    <w:qFormat/>
    <w:pPr>
      <w:widowControl/>
      <w:pBdr>
        <w:bottom w:val="single" w:sz="12" w:space="0" w:color="000000"/>
      </w:pBdr>
      <w:spacing w:before="100" w:beforeAutospacing="1" w:after="100" w:afterAutospacing="1"/>
      <w:jc w:val="center"/>
    </w:pPr>
    <w:rPr>
      <w:rFonts w:ascii="宋体" w:hAnsi="宋体" w:cs="宋体"/>
      <w:sz w:val="18"/>
      <w:szCs w:val="18"/>
    </w:rPr>
  </w:style>
  <w:style w:type="paragraph" w:customStyle="1" w:styleId="xl160">
    <w:name w:val="xl160"/>
    <w:basedOn w:val="a9"/>
    <w:qFormat/>
    <w:pPr>
      <w:widowControl/>
      <w:pBdr>
        <w:top w:val="single" w:sz="12" w:space="0" w:color="000000"/>
        <w:left w:val="single" w:sz="8" w:space="0" w:color="000000"/>
      </w:pBdr>
      <w:spacing w:before="100" w:beforeAutospacing="1" w:after="100" w:afterAutospacing="1"/>
      <w:jc w:val="center"/>
    </w:pPr>
    <w:rPr>
      <w:rFonts w:ascii="宋体" w:hAnsi="宋体" w:cs="宋体"/>
      <w:sz w:val="18"/>
      <w:szCs w:val="18"/>
    </w:rPr>
  </w:style>
  <w:style w:type="paragraph" w:customStyle="1" w:styleId="xl161">
    <w:name w:val="xl161"/>
    <w:basedOn w:val="a9"/>
    <w:qFormat/>
    <w:pPr>
      <w:widowControl/>
      <w:pBdr>
        <w:top w:val="single" w:sz="12" w:space="0" w:color="000000"/>
        <w:right w:val="single" w:sz="8" w:space="0" w:color="000000"/>
      </w:pBdr>
      <w:spacing w:before="100" w:beforeAutospacing="1" w:after="100" w:afterAutospacing="1"/>
      <w:jc w:val="center"/>
    </w:pPr>
    <w:rPr>
      <w:rFonts w:ascii="宋体" w:hAnsi="宋体" w:cs="宋体"/>
      <w:sz w:val="18"/>
      <w:szCs w:val="18"/>
    </w:rPr>
  </w:style>
  <w:style w:type="paragraph" w:customStyle="1" w:styleId="xl162">
    <w:name w:val="xl162"/>
    <w:basedOn w:val="a9"/>
    <w:qFormat/>
    <w:pPr>
      <w:widowControl/>
      <w:pBdr>
        <w:top w:val="single" w:sz="12" w:space="0" w:color="000000"/>
        <w:left w:val="single" w:sz="8" w:space="0" w:color="000000"/>
        <w:bottom w:val="single" w:sz="8" w:space="0" w:color="auto"/>
      </w:pBdr>
      <w:spacing w:before="100" w:beforeAutospacing="1" w:after="100" w:afterAutospacing="1"/>
      <w:jc w:val="center"/>
    </w:pPr>
    <w:rPr>
      <w:rFonts w:ascii="宋体" w:hAnsi="宋体" w:cs="宋体"/>
      <w:sz w:val="18"/>
      <w:szCs w:val="18"/>
    </w:rPr>
  </w:style>
  <w:style w:type="paragraph" w:customStyle="1" w:styleId="xl163">
    <w:name w:val="xl163"/>
    <w:basedOn w:val="a9"/>
    <w:qFormat/>
    <w:pPr>
      <w:widowControl/>
      <w:pBdr>
        <w:top w:val="single" w:sz="12" w:space="0" w:color="000000"/>
        <w:bottom w:val="single" w:sz="8" w:space="0" w:color="auto"/>
      </w:pBdr>
      <w:spacing w:before="100" w:beforeAutospacing="1" w:after="100" w:afterAutospacing="1"/>
      <w:jc w:val="center"/>
    </w:pPr>
    <w:rPr>
      <w:rFonts w:ascii="宋体" w:hAnsi="宋体" w:cs="宋体"/>
      <w:sz w:val="18"/>
      <w:szCs w:val="18"/>
    </w:rPr>
  </w:style>
  <w:style w:type="paragraph" w:customStyle="1" w:styleId="xl164">
    <w:name w:val="xl164"/>
    <w:basedOn w:val="a9"/>
    <w:qFormat/>
    <w:pPr>
      <w:widowControl/>
      <w:pBdr>
        <w:top w:val="single" w:sz="12" w:space="0" w:color="000000"/>
        <w:bottom w:val="single" w:sz="8" w:space="0" w:color="auto"/>
        <w:right w:val="single" w:sz="8" w:space="0" w:color="auto"/>
      </w:pBdr>
      <w:spacing w:before="100" w:beforeAutospacing="1" w:after="100" w:afterAutospacing="1"/>
      <w:jc w:val="center"/>
    </w:pPr>
    <w:rPr>
      <w:rFonts w:ascii="宋体" w:hAnsi="宋体" w:cs="宋体"/>
      <w:sz w:val="18"/>
      <w:szCs w:val="18"/>
    </w:rPr>
  </w:style>
  <w:style w:type="paragraph" w:customStyle="1" w:styleId="xl165">
    <w:name w:val="xl165"/>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66">
    <w:name w:val="xl166"/>
    <w:basedOn w:val="a9"/>
    <w:qFormat/>
    <w:pPr>
      <w:widowControl/>
      <w:pBdr>
        <w:top w:val="single" w:sz="8" w:space="0" w:color="000000"/>
      </w:pBdr>
      <w:spacing w:before="100" w:beforeAutospacing="1" w:after="100" w:afterAutospacing="1"/>
      <w:jc w:val="center"/>
    </w:pPr>
    <w:rPr>
      <w:rFonts w:ascii="宋体" w:hAnsi="宋体" w:cs="宋体"/>
      <w:sz w:val="18"/>
      <w:szCs w:val="18"/>
    </w:rPr>
  </w:style>
  <w:style w:type="paragraph" w:customStyle="1" w:styleId="xl167">
    <w:name w:val="xl167"/>
    <w:basedOn w:val="a9"/>
    <w:qFormat/>
    <w:pPr>
      <w:widowControl/>
      <w:spacing w:before="100" w:beforeAutospacing="1" w:after="100" w:afterAutospacing="1"/>
      <w:jc w:val="center"/>
    </w:pPr>
    <w:rPr>
      <w:rFonts w:ascii="宋体" w:hAnsi="宋体" w:cs="宋体"/>
      <w:sz w:val="18"/>
      <w:szCs w:val="18"/>
    </w:rPr>
  </w:style>
  <w:style w:type="paragraph" w:customStyle="1" w:styleId="xl168">
    <w:name w:val="xl168"/>
    <w:basedOn w:val="a9"/>
    <w:qFormat/>
    <w:pPr>
      <w:widowControl/>
      <w:spacing w:before="100" w:beforeAutospacing="1" w:after="100" w:afterAutospacing="1"/>
      <w:jc w:val="center"/>
    </w:pPr>
    <w:rPr>
      <w:rFonts w:ascii="宋体" w:hAnsi="宋体" w:cs="宋体"/>
      <w:sz w:val="24"/>
      <w:szCs w:val="24"/>
    </w:rPr>
  </w:style>
  <w:style w:type="paragraph" w:customStyle="1" w:styleId="xl169">
    <w:name w:val="xl169"/>
    <w:basedOn w:val="a9"/>
    <w:qFormat/>
    <w:pPr>
      <w:widowControl/>
      <w:pBdr>
        <w:top w:val="single" w:sz="12" w:space="0" w:color="000000"/>
      </w:pBdr>
      <w:spacing w:before="100" w:beforeAutospacing="1" w:after="100" w:afterAutospacing="1"/>
      <w:jc w:val="center"/>
    </w:pPr>
    <w:rPr>
      <w:rFonts w:ascii="宋体" w:hAnsi="宋体" w:cs="宋体"/>
      <w:sz w:val="24"/>
      <w:szCs w:val="24"/>
    </w:rPr>
  </w:style>
  <w:style w:type="paragraph" w:customStyle="1" w:styleId="xl170">
    <w:name w:val="xl170"/>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1">
    <w:name w:val="xl171"/>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2">
    <w:name w:val="xl172"/>
    <w:basedOn w:val="a9"/>
    <w:qFormat/>
    <w:pPr>
      <w:widowControl/>
      <w:pBdr>
        <w:bottom w:val="single" w:sz="8" w:space="0" w:color="auto"/>
        <w:right w:val="single" w:sz="8" w:space="0" w:color="000000"/>
      </w:pBdr>
      <w:spacing w:before="100" w:beforeAutospacing="1" w:after="100" w:afterAutospacing="1"/>
      <w:jc w:val="center"/>
    </w:pPr>
    <w:rPr>
      <w:sz w:val="18"/>
      <w:szCs w:val="18"/>
    </w:rPr>
  </w:style>
  <w:style w:type="paragraph" w:customStyle="1" w:styleId="xl173">
    <w:name w:val="xl173"/>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4">
    <w:name w:val="xl174"/>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5">
    <w:name w:val="xl175"/>
    <w:basedOn w:val="a9"/>
    <w:qFormat/>
    <w:pPr>
      <w:widowControl/>
      <w:pBdr>
        <w:bottom w:val="single" w:sz="8" w:space="0" w:color="000000"/>
        <w:right w:val="single" w:sz="8" w:space="0" w:color="000000"/>
      </w:pBdr>
      <w:spacing w:before="100" w:beforeAutospacing="1" w:after="100" w:afterAutospacing="1"/>
      <w:jc w:val="center"/>
    </w:pPr>
    <w:rPr>
      <w:sz w:val="18"/>
      <w:szCs w:val="18"/>
    </w:rPr>
  </w:style>
  <w:style w:type="paragraph" w:customStyle="1" w:styleId="xl176">
    <w:name w:val="xl176"/>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7">
    <w:name w:val="xl177"/>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8">
    <w:name w:val="xl178"/>
    <w:basedOn w:val="a9"/>
    <w:qFormat/>
    <w:pPr>
      <w:widowControl/>
      <w:pBdr>
        <w:bottom w:val="single" w:sz="8" w:space="0" w:color="auto"/>
        <w:right w:val="single" w:sz="8" w:space="0" w:color="000000"/>
      </w:pBdr>
      <w:shd w:val="clear" w:color="000000" w:fill="FFFF00"/>
      <w:spacing w:before="100" w:beforeAutospacing="1" w:after="100" w:afterAutospacing="1"/>
      <w:jc w:val="center"/>
    </w:pPr>
    <w:rPr>
      <w:sz w:val="18"/>
      <w:szCs w:val="18"/>
    </w:rPr>
  </w:style>
  <w:style w:type="paragraph" w:customStyle="1" w:styleId="xl179">
    <w:name w:val="xl179"/>
    <w:basedOn w:val="a9"/>
    <w:qFormat/>
    <w:pPr>
      <w:widowControl/>
      <w:pBdr>
        <w:bottom w:val="single" w:sz="8" w:space="0" w:color="000000"/>
        <w:right w:val="single" w:sz="8" w:space="0" w:color="000000"/>
      </w:pBdr>
      <w:shd w:val="clear" w:color="000000" w:fill="FFFF00"/>
      <w:spacing w:before="100" w:beforeAutospacing="1" w:after="100" w:afterAutospacing="1"/>
      <w:jc w:val="center"/>
    </w:pPr>
    <w:rPr>
      <w:sz w:val="18"/>
      <w:szCs w:val="18"/>
    </w:rPr>
  </w:style>
  <w:style w:type="character" w:customStyle="1" w:styleId="st1">
    <w:name w:val="st1"/>
    <w:qFormat/>
  </w:style>
  <w:style w:type="paragraph" w:customStyle="1" w:styleId="CharCharCharCharCharCharChar31">
    <w:name w:val="Char Char Char Char Char Char Char31"/>
    <w:basedOn w:val="a9"/>
    <w:qFormat/>
    <w:pPr>
      <w:widowControl/>
      <w:spacing w:line="360" w:lineRule="auto"/>
      <w:ind w:firstLineChars="200" w:firstLine="200"/>
      <w:jc w:val="left"/>
    </w:pPr>
    <w:rPr>
      <w:rFonts w:ascii="宋体" w:hAnsi="宋体" w:cs="宋体"/>
      <w:kern w:val="2"/>
      <w:sz w:val="24"/>
      <w:szCs w:val="24"/>
    </w:rPr>
  </w:style>
  <w:style w:type="character" w:customStyle="1" w:styleId="CharChar1831">
    <w:name w:val="Char Char1831"/>
    <w:qFormat/>
    <w:rPr>
      <w:rFonts w:ascii="Arial" w:eastAsia="宋体" w:hAnsi="Arial"/>
      <w:b/>
      <w:bCs/>
      <w:kern w:val="2"/>
      <w:sz w:val="32"/>
      <w:szCs w:val="32"/>
      <w:lang w:val="en-US" w:eastAsia="zh-CN" w:bidi="ar-SA"/>
    </w:rPr>
  </w:style>
  <w:style w:type="paragraph" w:customStyle="1" w:styleId="CharCharCharCharCharChar1CharCharCharChar31">
    <w:name w:val="Char Char Char Char Char Char1 Char Char Char Char31"/>
    <w:basedOn w:val="a9"/>
    <w:qFormat/>
    <w:pPr>
      <w:widowControl/>
      <w:jc w:val="left"/>
    </w:pPr>
    <w:rPr>
      <w:rFonts w:ascii="Tahoma" w:hAnsi="Tahoma"/>
      <w:kern w:val="2"/>
      <w:sz w:val="24"/>
    </w:rPr>
  </w:style>
  <w:style w:type="paragraph" w:customStyle="1" w:styleId="CM71">
    <w:name w:val="CM71"/>
    <w:basedOn w:val="Default"/>
    <w:next w:val="Default"/>
    <w:qFormat/>
    <w:pPr>
      <w:spacing w:after="210"/>
    </w:pPr>
    <w:rPr>
      <w:rFonts w:ascii="仿宋_GB2312" w:eastAsia="仿宋_GB2312" w:cs="Times New Roman"/>
      <w:color w:val="auto"/>
    </w:rPr>
  </w:style>
  <w:style w:type="paragraph" w:customStyle="1" w:styleId="CM19">
    <w:name w:val="CM19"/>
    <w:basedOn w:val="Default"/>
    <w:next w:val="Default"/>
    <w:qFormat/>
    <w:pPr>
      <w:spacing w:line="460" w:lineRule="atLeast"/>
    </w:pPr>
    <w:rPr>
      <w:rFonts w:ascii="仿宋_GB2312" w:eastAsia="仿宋_GB2312" w:cs="Times New Roman"/>
      <w:color w:val="auto"/>
    </w:rPr>
  </w:style>
  <w:style w:type="paragraph" w:customStyle="1" w:styleId="CM21">
    <w:name w:val="CM21"/>
    <w:basedOn w:val="Default"/>
    <w:next w:val="Default"/>
    <w:qFormat/>
    <w:pPr>
      <w:spacing w:line="460" w:lineRule="atLeast"/>
    </w:pPr>
    <w:rPr>
      <w:rFonts w:ascii="仿宋_GB2312" w:eastAsia="仿宋_GB2312" w:cs="Times New Roman"/>
      <w:color w:val="auto"/>
    </w:rPr>
  </w:style>
  <w:style w:type="paragraph" w:customStyle="1" w:styleId="CM83">
    <w:name w:val="CM83"/>
    <w:basedOn w:val="a9"/>
    <w:next w:val="a9"/>
    <w:qFormat/>
    <w:pPr>
      <w:widowControl/>
      <w:autoSpaceDE w:val="0"/>
      <w:autoSpaceDN w:val="0"/>
      <w:adjustRightInd w:val="0"/>
      <w:spacing w:after="128"/>
      <w:jc w:val="left"/>
    </w:pPr>
    <w:rPr>
      <w:rFonts w:ascii="Arial Unicode MS" w:eastAsia="Arial Unicode MS" w:hAnsi="Calibri" w:cs="Arial Unicode MS"/>
      <w:sz w:val="24"/>
      <w:szCs w:val="24"/>
    </w:rPr>
  </w:style>
  <w:style w:type="paragraph" w:customStyle="1" w:styleId="CharCharCharCharCharCharCharCharCharChar41">
    <w:name w:val="Char Char Char Char Char Char Char Char Char Char41"/>
    <w:basedOn w:val="a9"/>
    <w:qFormat/>
    <w:pPr>
      <w:widowControl/>
      <w:jc w:val="left"/>
    </w:pPr>
    <w:rPr>
      <w:kern w:val="2"/>
      <w:sz w:val="24"/>
      <w:szCs w:val="24"/>
    </w:rPr>
  </w:style>
  <w:style w:type="character" w:customStyle="1" w:styleId="keyword1">
    <w:name w:val="keyword1"/>
    <w:qFormat/>
    <w:rPr>
      <w:color w:val="FF0000"/>
    </w:rPr>
  </w:style>
  <w:style w:type="character" w:customStyle="1" w:styleId="Char11">
    <w:name w:val="普通(网站) Char1"/>
    <w:link w:val="afff"/>
    <w:uiPriority w:val="99"/>
    <w:qFormat/>
    <w:rPr>
      <w:rFonts w:ascii="Arial Unicode MS" w:eastAsia="Arial Unicode MS" w:hAnsi="Arial Unicode MS" w:cs="Arial Unicode MS"/>
      <w:sz w:val="24"/>
    </w:rPr>
  </w:style>
  <w:style w:type="character" w:customStyle="1" w:styleId="highlight1">
    <w:name w:val="highlight1"/>
    <w:semiHidden/>
    <w:qFormat/>
    <w:rPr>
      <w:sz w:val="21"/>
      <w:szCs w:val="21"/>
    </w:rPr>
  </w:style>
  <w:style w:type="character" w:customStyle="1" w:styleId="21e">
    <w:name w:val="字元 字元21"/>
    <w:semiHidden/>
    <w:qFormat/>
    <w:rPr>
      <w:rFonts w:ascii="Arial" w:eastAsia="黑体" w:hAnsi="Arial"/>
      <w:b/>
      <w:bCs/>
      <w:kern w:val="2"/>
      <w:sz w:val="32"/>
      <w:szCs w:val="32"/>
      <w:lang w:val="en-US" w:eastAsia="zh-CN" w:bidi="ar-SA"/>
    </w:rPr>
  </w:style>
  <w:style w:type="character" w:customStyle="1" w:styleId="135">
    <w:name w:val="字元 字元13"/>
    <w:semiHidden/>
    <w:qFormat/>
    <w:rPr>
      <w:rFonts w:eastAsia="宋体"/>
      <w:b/>
      <w:bCs/>
      <w:kern w:val="2"/>
      <w:sz w:val="32"/>
      <w:szCs w:val="32"/>
      <w:lang w:val="en-US" w:eastAsia="zh-CN" w:bidi="ar-SA"/>
    </w:rPr>
  </w:style>
  <w:style w:type="character" w:customStyle="1" w:styleId="4f9">
    <w:name w:val="字元 字元4"/>
    <w:semiHidden/>
    <w:qFormat/>
    <w:rPr>
      <w:rFonts w:eastAsia="宋体"/>
      <w:kern w:val="2"/>
      <w:sz w:val="21"/>
      <w:szCs w:val="24"/>
      <w:lang w:val="en-US" w:eastAsia="zh-CN" w:bidi="ar-SA"/>
    </w:rPr>
  </w:style>
  <w:style w:type="paragraph" w:customStyle="1" w:styleId="DefaultText">
    <w:name w:val="Default Text"/>
    <w:basedOn w:val="a9"/>
    <w:semiHidden/>
    <w:qFormat/>
    <w:pPr>
      <w:widowControl/>
      <w:overflowPunct w:val="0"/>
      <w:autoSpaceDE w:val="0"/>
      <w:autoSpaceDN w:val="0"/>
      <w:adjustRightInd w:val="0"/>
      <w:jc w:val="left"/>
      <w:textAlignment w:val="baseline"/>
    </w:pPr>
    <w:rPr>
      <w:rFonts w:ascii="MingLiU" w:eastAsia="MingLiU"/>
      <w:sz w:val="24"/>
      <w:lang w:eastAsia="zh-TW"/>
    </w:rPr>
  </w:style>
  <w:style w:type="paragraph" w:customStyle="1" w:styleId="style4">
    <w:name w:val="style4"/>
    <w:basedOn w:val="a9"/>
    <w:semiHidden/>
    <w:qFormat/>
    <w:pPr>
      <w:widowControl/>
      <w:spacing w:before="100" w:beforeAutospacing="1" w:after="100" w:afterAutospacing="1"/>
      <w:jc w:val="left"/>
    </w:pPr>
    <w:rPr>
      <w:rFonts w:ascii="宋体" w:hAnsi="宋体"/>
      <w:b/>
      <w:bCs/>
      <w:color w:val="000000"/>
      <w:sz w:val="24"/>
      <w:szCs w:val="24"/>
    </w:rPr>
  </w:style>
  <w:style w:type="table" w:customStyle="1" w:styleId="afffffffffffffffffffffff4">
    <w:name w:val="君邦表格"/>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afffffffffffffffffffffff5">
    <w:name w:val="君邦表格（表）"/>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f1">
    <w:name w:val="f1"/>
    <w:basedOn w:val="a9"/>
    <w:qFormat/>
    <w:pPr>
      <w:widowControl/>
      <w:spacing w:before="100" w:beforeAutospacing="1" w:after="100" w:afterAutospacing="1"/>
      <w:jc w:val="left"/>
    </w:pPr>
    <w:rPr>
      <w:rFonts w:ascii="宋体" w:hAnsi="宋体" w:cs="宋体"/>
      <w:color w:val="6C0000"/>
      <w:sz w:val="24"/>
      <w:szCs w:val="24"/>
    </w:rPr>
  </w:style>
  <w:style w:type="paragraph" w:customStyle="1" w:styleId="Char4CharCharChar1">
    <w:name w:val="Char4 Char Char Char1"/>
    <w:basedOn w:val="a9"/>
    <w:qFormat/>
    <w:pPr>
      <w:widowControl/>
      <w:spacing w:line="360" w:lineRule="auto"/>
      <w:jc w:val="left"/>
    </w:pPr>
    <w:rPr>
      <w:rFonts w:ascii="宋体" w:hAnsi="宋体" w:cs="宋体"/>
      <w:kern w:val="2"/>
      <w:sz w:val="24"/>
      <w:szCs w:val="24"/>
    </w:rPr>
  </w:style>
  <w:style w:type="paragraph" w:customStyle="1" w:styleId="CharCharCharCharCharCharCharCharCharCharCharCharChar11">
    <w:name w:val="Char Char Char Char Char Char Char Char Char Char Char Char Char11"/>
    <w:basedOn w:val="a9"/>
    <w:qFormat/>
    <w:pPr>
      <w:widowControl/>
      <w:spacing w:afterLines="50" w:line="560" w:lineRule="exact"/>
      <w:jc w:val="left"/>
    </w:pPr>
    <w:rPr>
      <w:rFonts w:ascii="Verdana" w:eastAsia="仿宋_GB2312" w:hAnsi="Verdana"/>
      <w:sz w:val="28"/>
      <w:lang w:eastAsia="en-US"/>
    </w:rPr>
  </w:style>
  <w:style w:type="paragraph" w:customStyle="1" w:styleId="afffffffffffffffffffffff6">
    <w:name w:val="样式 君邦正文 + 蓝色"/>
    <w:basedOn w:val="affff7"/>
    <w:qFormat/>
    <w:pPr>
      <w:widowControl w:val="0"/>
    </w:pPr>
    <w:rPr>
      <w:snapToGrid/>
      <w:color w:val="0000FF"/>
      <w:kern w:val="2"/>
      <w:szCs w:val="24"/>
      <w:lang w:val="pt-BR"/>
    </w:rPr>
  </w:style>
  <w:style w:type="paragraph" w:customStyle="1" w:styleId="CharCharCharCharCharCharChar1CharCharChar4">
    <w:name w:val="Char Char Char Char Char Char Char1 Char Char Char4"/>
    <w:basedOn w:val="a9"/>
    <w:qFormat/>
    <w:pPr>
      <w:widowControl/>
      <w:spacing w:line="360" w:lineRule="auto"/>
      <w:jc w:val="left"/>
    </w:pPr>
    <w:rPr>
      <w:rFonts w:ascii="宋体" w:hAnsi="宋体" w:cs="宋体"/>
      <w:sz w:val="24"/>
      <w:szCs w:val="21"/>
    </w:rPr>
  </w:style>
  <w:style w:type="character" w:customStyle="1" w:styleId="4Char3">
    <w:name w:val="样式4 Char"/>
    <w:link w:val="4f1"/>
    <w:qFormat/>
    <w:rPr>
      <w:rFonts w:ascii="宋体" w:hAnsi="宋体"/>
      <w:sz w:val="21"/>
      <w:szCs w:val="21"/>
    </w:rPr>
  </w:style>
  <w:style w:type="paragraph" w:customStyle="1" w:styleId="ParaCharCharCharCharCharCharChar">
    <w:name w:val="默认段落字体 Para Char Char Char Char Char Char Char"/>
    <w:basedOn w:val="a9"/>
    <w:qFormat/>
    <w:pPr>
      <w:widowControl/>
      <w:jc w:val="left"/>
    </w:pPr>
    <w:rPr>
      <w:kern w:val="2"/>
      <w:sz w:val="24"/>
      <w:szCs w:val="24"/>
    </w:rPr>
  </w:style>
  <w:style w:type="paragraph" w:customStyle="1" w:styleId="zxz5">
    <w:name w:val="zxz5"/>
    <w:next w:val="a9"/>
    <w:qFormat/>
    <w:pPr>
      <w:tabs>
        <w:tab w:val="left" w:pos="0"/>
      </w:tabs>
      <w:jc w:val="center"/>
    </w:pPr>
    <w:rPr>
      <w:rFonts w:ascii="宋体" w:eastAsia="Times New Roman" w:hAnsi="宋体" w:cs="宋体"/>
      <w:bCs/>
      <w:kern w:val="2"/>
      <w:sz w:val="18"/>
      <w:szCs w:val="18"/>
    </w:rPr>
  </w:style>
  <w:style w:type="paragraph" w:customStyle="1" w:styleId="CharChar1CharCharCharCharCharCharChar2">
    <w:name w:val="Char Char1 Char Char Char Char Char Char Char2"/>
    <w:basedOn w:val="a9"/>
    <w:qFormat/>
    <w:pPr>
      <w:widowControl/>
      <w:spacing w:line="360" w:lineRule="auto"/>
      <w:ind w:firstLineChars="200" w:firstLine="200"/>
      <w:jc w:val="left"/>
    </w:pPr>
    <w:rPr>
      <w:rFonts w:ascii="宋体" w:hAnsi="宋体" w:cs="宋体"/>
      <w:kern w:val="2"/>
      <w:sz w:val="24"/>
      <w:szCs w:val="24"/>
    </w:rPr>
  </w:style>
  <w:style w:type="character" w:customStyle="1" w:styleId="xbt4">
    <w:name w:val="xbt4"/>
    <w:qFormat/>
  </w:style>
  <w:style w:type="character" w:customStyle="1" w:styleId="CharChar631">
    <w:name w:val="Char Char631"/>
    <w:qFormat/>
    <w:rPr>
      <w:rFonts w:eastAsia="宋体"/>
      <w:kern w:val="2"/>
      <w:sz w:val="24"/>
      <w:lang w:val="en-US" w:eastAsia="zh-CN" w:bidi="ar-SA"/>
    </w:rPr>
  </w:style>
  <w:style w:type="paragraph" w:customStyle="1" w:styleId="jie">
    <w:name w:val="jie"/>
    <w:basedOn w:val="a9"/>
    <w:qFormat/>
    <w:pPr>
      <w:widowControl/>
      <w:spacing w:before="100" w:beforeAutospacing="1" w:after="100" w:afterAutospacing="1"/>
      <w:jc w:val="left"/>
    </w:pPr>
    <w:rPr>
      <w:rFonts w:ascii="宋体" w:hAnsi="宋体"/>
      <w:sz w:val="24"/>
      <w:szCs w:val="24"/>
    </w:rPr>
  </w:style>
  <w:style w:type="character" w:customStyle="1" w:styleId="CharCharfd">
    <w:name w:val="君邦表内格式 Char Char"/>
    <w:link w:val="afffffffffffffffffffffff7"/>
    <w:qFormat/>
    <w:rPr>
      <w:sz w:val="18"/>
    </w:rPr>
  </w:style>
  <w:style w:type="paragraph" w:customStyle="1" w:styleId="afffffffffffffffffffffff7">
    <w:name w:val="君邦表内格式"/>
    <w:basedOn w:val="a9"/>
    <w:link w:val="CharCharfd"/>
    <w:qFormat/>
    <w:pPr>
      <w:widowControl/>
      <w:jc w:val="center"/>
    </w:pPr>
    <w:rPr>
      <w:sz w:val="18"/>
    </w:rPr>
  </w:style>
  <w:style w:type="character" w:customStyle="1" w:styleId="doctitle">
    <w:name w:val="doc_title"/>
    <w:qFormat/>
  </w:style>
  <w:style w:type="character" w:customStyle="1" w:styleId="CharChar25">
    <w:name w:val="Char Char25"/>
    <w:qFormat/>
    <w:rPr>
      <w:rFonts w:eastAsia="宋体"/>
      <w:kern w:val="2"/>
      <w:sz w:val="21"/>
      <w:szCs w:val="24"/>
      <w:lang w:val="en-US" w:eastAsia="zh-CN" w:bidi="ar-SA"/>
    </w:rPr>
  </w:style>
  <w:style w:type="character" w:customStyle="1" w:styleId="CharChar43">
    <w:name w:val="Char Char43"/>
    <w:qFormat/>
    <w:rPr>
      <w:rFonts w:eastAsia="宋体"/>
      <w:kern w:val="2"/>
      <w:sz w:val="18"/>
      <w:szCs w:val="18"/>
      <w:lang w:val="en-US" w:eastAsia="zh-CN" w:bidi="ar-SA"/>
    </w:rPr>
  </w:style>
  <w:style w:type="character" w:customStyle="1" w:styleId="CharChar19">
    <w:name w:val="Char Char19"/>
    <w:semiHidden/>
    <w:qFormat/>
    <w:rPr>
      <w:rFonts w:eastAsia="宋体"/>
      <w:kern w:val="2"/>
      <w:sz w:val="18"/>
      <w:szCs w:val="18"/>
      <w:lang w:val="en-US" w:eastAsia="zh-CN" w:bidi="ar-SA"/>
    </w:rPr>
  </w:style>
  <w:style w:type="character" w:customStyle="1" w:styleId="CharChar36">
    <w:name w:val="Char Char36"/>
    <w:qFormat/>
    <w:locked/>
    <w:rPr>
      <w:rFonts w:ascii="宋体" w:eastAsia="宋体" w:hAnsi="Courier New"/>
      <w:kern w:val="2"/>
      <w:sz w:val="21"/>
      <w:lang w:val="en-US" w:eastAsia="zh-CN" w:bidi="ar-SA"/>
    </w:rPr>
  </w:style>
  <w:style w:type="character" w:customStyle="1" w:styleId="CharChar931">
    <w:name w:val="Char Char931"/>
    <w:qFormat/>
    <w:rPr>
      <w:rFonts w:ascii="Arial" w:eastAsia="黑体" w:hAnsi="Arial"/>
      <w:sz w:val="24"/>
    </w:rPr>
  </w:style>
  <w:style w:type="character" w:customStyle="1" w:styleId="CharChar131">
    <w:name w:val="Char Char131"/>
    <w:qFormat/>
    <w:rPr>
      <w:rFonts w:ascii="Arial" w:eastAsia="黑体" w:hAnsi="Arial"/>
      <w:b/>
      <w:bCs/>
      <w:kern w:val="2"/>
      <w:sz w:val="32"/>
      <w:szCs w:val="32"/>
    </w:rPr>
  </w:style>
  <w:style w:type="character" w:customStyle="1" w:styleId="CharChar103">
    <w:name w:val="Char Char103"/>
    <w:semiHidden/>
    <w:qFormat/>
    <w:rPr>
      <w:rFonts w:eastAsia="宋体"/>
      <w:kern w:val="2"/>
      <w:sz w:val="16"/>
      <w:szCs w:val="16"/>
      <w:lang w:val="en-US" w:eastAsia="zh-CN" w:bidi="ar-SA"/>
    </w:rPr>
  </w:style>
  <w:style w:type="character" w:customStyle="1" w:styleId="CharChar28">
    <w:name w:val="Char Char28"/>
    <w:qFormat/>
    <w:rPr>
      <w:rFonts w:ascii="Times" w:eastAsia="宋体" w:hAnsi="Times"/>
      <w:kern w:val="24"/>
      <w:sz w:val="24"/>
      <w:szCs w:val="24"/>
      <w:lang w:val="en-US" w:eastAsia="zh-CN" w:bidi="ar-SA"/>
    </w:rPr>
  </w:style>
  <w:style w:type="character" w:customStyle="1" w:styleId="CharChar140">
    <w:name w:val="Char Char14"/>
    <w:qFormat/>
    <w:rPr>
      <w:rFonts w:eastAsia="宋体"/>
      <w:kern w:val="2"/>
      <w:sz w:val="16"/>
      <w:szCs w:val="16"/>
      <w:lang w:val="en-US" w:eastAsia="zh-CN" w:bidi="ar-SA"/>
    </w:rPr>
  </w:style>
  <w:style w:type="character" w:customStyle="1" w:styleId="CharChar831">
    <w:name w:val="Char Char831"/>
    <w:qFormat/>
    <w:rPr>
      <w:rFonts w:eastAsia="宋体"/>
      <w:kern w:val="2"/>
      <w:sz w:val="21"/>
      <w:szCs w:val="24"/>
      <w:lang w:val="en-US" w:eastAsia="zh-CN" w:bidi="ar-SA"/>
    </w:rPr>
  </w:style>
  <w:style w:type="character" w:customStyle="1" w:styleId="CharChar16">
    <w:name w:val="Char Char16"/>
    <w:qFormat/>
    <w:rPr>
      <w:rFonts w:eastAsia="宋体"/>
      <w:kern w:val="2"/>
      <w:sz w:val="21"/>
      <w:lang w:val="en-US" w:eastAsia="zh-CN" w:bidi="ar-SA"/>
    </w:rPr>
  </w:style>
  <w:style w:type="character" w:customStyle="1" w:styleId="CharChar322">
    <w:name w:val="Char Char322"/>
    <w:qFormat/>
    <w:rPr>
      <w:rFonts w:eastAsia="宋体"/>
      <w:kern w:val="2"/>
      <w:sz w:val="18"/>
      <w:szCs w:val="18"/>
      <w:lang w:val="en-US" w:eastAsia="zh-CN" w:bidi="ar-SA"/>
    </w:rPr>
  </w:style>
  <w:style w:type="character" w:customStyle="1" w:styleId="CharChar39">
    <w:name w:val="Char Char39"/>
    <w:qFormat/>
    <w:rPr>
      <w:rFonts w:eastAsia="宋体"/>
      <w:kern w:val="2"/>
      <w:sz w:val="21"/>
      <w:lang w:val="en-US" w:eastAsia="zh-CN" w:bidi="ar-SA"/>
    </w:rPr>
  </w:style>
  <w:style w:type="character" w:customStyle="1" w:styleId="2CharChar3">
    <w:name w:val="字元2 Char Char3"/>
    <w:qFormat/>
    <w:rPr>
      <w:rFonts w:eastAsia="楷体_GB2312"/>
      <w:sz w:val="21"/>
      <w:lang w:val="en-US" w:eastAsia="zh-CN" w:bidi="ar-SA"/>
    </w:rPr>
  </w:style>
  <w:style w:type="character" w:customStyle="1" w:styleId="CharChar350">
    <w:name w:val="Char Char35"/>
    <w:qFormat/>
    <w:rPr>
      <w:rFonts w:ascii="Arial" w:eastAsia="黑体" w:hAnsi="Arial" w:cs="Arial"/>
      <w:kern w:val="2"/>
      <w:lang w:val="en-US" w:eastAsia="zh-CN" w:bidi="ar-SA"/>
    </w:rPr>
  </w:style>
  <w:style w:type="character" w:customStyle="1" w:styleId="CharChar240">
    <w:name w:val="Char Char24"/>
    <w:qFormat/>
    <w:rPr>
      <w:rFonts w:eastAsia="楷体_GB2312"/>
      <w:spacing w:val="8"/>
      <w:sz w:val="28"/>
      <w:lang w:val="en-US" w:eastAsia="zh-CN" w:bidi="ar-SA"/>
    </w:rPr>
  </w:style>
  <w:style w:type="character" w:customStyle="1" w:styleId="CharChar421">
    <w:name w:val="Char Char421"/>
    <w:qFormat/>
    <w:rPr>
      <w:rFonts w:eastAsia="宋体"/>
      <w:color w:val="008000"/>
      <w:kern w:val="2"/>
      <w:sz w:val="21"/>
      <w:lang w:val="en-US" w:eastAsia="zh-CN" w:bidi="ar-SA"/>
    </w:rPr>
  </w:style>
  <w:style w:type="character" w:customStyle="1" w:styleId="CharChar3131">
    <w:name w:val="Char Char3131"/>
    <w:qFormat/>
    <w:rPr>
      <w:kern w:val="2"/>
      <w:sz w:val="21"/>
      <w:szCs w:val="24"/>
    </w:rPr>
  </w:style>
  <w:style w:type="character" w:customStyle="1" w:styleId="21Char1">
    <w:name w:val="样式 首行缩进:  2 字符1 Char1"/>
    <w:link w:val="218"/>
    <w:qFormat/>
    <w:rPr>
      <w:rFonts w:eastAsia="楷体_GB2312" w:cs="宋体"/>
      <w:sz w:val="24"/>
      <w:lang w:bidi="ne-NP"/>
    </w:rPr>
  </w:style>
  <w:style w:type="character" w:customStyle="1" w:styleId="bodytextnarrow1">
    <w:name w:val="bodytextnarrow1"/>
    <w:qFormat/>
    <w:rPr>
      <w:rFonts w:ascii="Arial" w:hAnsi="Arial" w:cs="Arial" w:hint="default"/>
      <w:color w:val="606060"/>
      <w:sz w:val="20"/>
      <w:szCs w:val="20"/>
    </w:rPr>
  </w:style>
  <w:style w:type="paragraph" w:customStyle="1" w:styleId="78">
    <w:name w:val="正文7"/>
    <w:qFormat/>
    <w:pPr>
      <w:autoSpaceDE w:val="0"/>
      <w:autoSpaceDN w:val="0"/>
      <w:adjustRightInd w:val="0"/>
      <w:spacing w:line="360" w:lineRule="atLeast"/>
      <w:ind w:firstLine="539"/>
      <w:jc w:val="both"/>
    </w:pPr>
    <w:rPr>
      <w:rFonts w:ascii="宋体"/>
      <w:spacing w:val="30"/>
      <w:sz w:val="24"/>
    </w:rPr>
  </w:style>
  <w:style w:type="paragraph" w:customStyle="1" w:styleId="afffffffffffffffffffffff8">
    <w:name w:val="正文表标题"/>
    <w:next w:val="a9"/>
    <w:qFormat/>
    <w:pPr>
      <w:tabs>
        <w:tab w:val="left" w:pos="720"/>
      </w:tabs>
      <w:jc w:val="center"/>
    </w:pPr>
    <w:rPr>
      <w:rFonts w:ascii="黑体" w:eastAsia="黑体"/>
      <w:sz w:val="21"/>
    </w:rPr>
  </w:style>
  <w:style w:type="paragraph" w:customStyle="1" w:styleId="141">
    <w:name w:val="字元14"/>
    <w:basedOn w:val="a9"/>
    <w:qFormat/>
    <w:pPr>
      <w:widowControl/>
      <w:jc w:val="left"/>
    </w:pPr>
    <w:rPr>
      <w:kern w:val="2"/>
      <w:sz w:val="21"/>
      <w:szCs w:val="21"/>
    </w:rPr>
  </w:style>
  <w:style w:type="paragraph" w:customStyle="1" w:styleId="340">
    <w:name w:val="正文文本缩进 34"/>
    <w:basedOn w:val="a9"/>
    <w:semiHidden/>
    <w:qFormat/>
    <w:pPr>
      <w:widowControl/>
      <w:autoSpaceDE w:val="0"/>
      <w:autoSpaceDN w:val="0"/>
      <w:adjustRightInd w:val="0"/>
      <w:spacing w:line="520" w:lineRule="exact"/>
      <w:ind w:firstLineChars="200" w:firstLine="540"/>
      <w:jc w:val="left"/>
      <w:textAlignment w:val="baseline"/>
    </w:pPr>
    <w:rPr>
      <w:rFonts w:ascii="宋体" w:eastAsia="仿宋_GB2312" w:hAnsi="Tms Rmn"/>
      <w:spacing w:val="4"/>
      <w:sz w:val="28"/>
    </w:rPr>
  </w:style>
  <w:style w:type="paragraph" w:customStyle="1" w:styleId="CharCharCharCharCharChar1CharCharCharCharCharChar1Char2">
    <w:name w:val="Char Char Char Char Char Char1 Char Char Char Char Char Char1 Char2"/>
    <w:basedOn w:val="a9"/>
    <w:qFormat/>
    <w:pPr>
      <w:widowControl/>
      <w:spacing w:afterLines="50" w:line="560" w:lineRule="exact"/>
      <w:jc w:val="left"/>
    </w:pPr>
    <w:rPr>
      <w:rFonts w:eastAsia="黑体"/>
      <w:kern w:val="2"/>
      <w:sz w:val="30"/>
      <w:szCs w:val="30"/>
    </w:rPr>
  </w:style>
  <w:style w:type="paragraph" w:customStyle="1" w:styleId="4fa">
    <w:name w:val="正文缩进4"/>
    <w:basedOn w:val="a9"/>
    <w:qFormat/>
    <w:pPr>
      <w:widowControl/>
      <w:autoSpaceDE w:val="0"/>
      <w:autoSpaceDN w:val="0"/>
      <w:ind w:firstLine="420"/>
      <w:jc w:val="left"/>
      <w:textAlignment w:val="baseline"/>
    </w:pPr>
    <w:rPr>
      <w:rFonts w:hint="eastAsia"/>
      <w:kern w:val="2"/>
      <w:sz w:val="21"/>
      <w:szCs w:val="24"/>
    </w:rPr>
  </w:style>
  <w:style w:type="paragraph" w:customStyle="1" w:styleId="CharCharCharChar30">
    <w:name w:val="Char Char 字元 Char Char 字元 字元 字元3"/>
    <w:basedOn w:val="a9"/>
    <w:qFormat/>
    <w:pPr>
      <w:widowControl/>
      <w:spacing w:line="400" w:lineRule="exact"/>
      <w:ind w:firstLineChars="200" w:firstLine="200"/>
      <w:jc w:val="left"/>
    </w:pPr>
    <w:rPr>
      <w:kern w:val="2"/>
      <w:sz w:val="28"/>
      <w:szCs w:val="28"/>
    </w:rPr>
  </w:style>
  <w:style w:type="paragraph" w:customStyle="1" w:styleId="CharCharCharCharCharCharCharCharCharCharCharCharCharCharCharChar41">
    <w:name w:val="Char Char Char Char Char Char Char Char Char Char Char Char Char Char Char Char41"/>
    <w:basedOn w:val="a9"/>
    <w:qFormat/>
    <w:pPr>
      <w:widowControl/>
      <w:spacing w:line="360" w:lineRule="auto"/>
      <w:ind w:firstLineChars="200" w:firstLine="200"/>
      <w:jc w:val="left"/>
    </w:pPr>
    <w:rPr>
      <w:rFonts w:ascii="宋体" w:hAnsi="宋体" w:cs="宋体"/>
      <w:kern w:val="2"/>
      <w:sz w:val="24"/>
      <w:szCs w:val="24"/>
    </w:rPr>
  </w:style>
  <w:style w:type="paragraph" w:customStyle="1" w:styleId="5f3">
    <w:name w:val="字元5"/>
    <w:basedOn w:val="a9"/>
    <w:qFormat/>
    <w:pPr>
      <w:widowControl/>
      <w:jc w:val="left"/>
    </w:pPr>
    <w:rPr>
      <w:kern w:val="2"/>
      <w:sz w:val="24"/>
      <w:szCs w:val="24"/>
    </w:rPr>
  </w:style>
  <w:style w:type="paragraph" w:customStyle="1" w:styleId="4fb">
    <w:name w:val="价格变化趋4"/>
    <w:basedOn w:val="a9"/>
    <w:qFormat/>
    <w:pPr>
      <w:widowControl/>
      <w:adjustRightInd w:val="0"/>
      <w:spacing w:line="315" w:lineRule="atLeast"/>
      <w:jc w:val="left"/>
      <w:textAlignment w:val="baseline"/>
    </w:pPr>
    <w:rPr>
      <w:rFonts w:ascii="宋体"/>
      <w:sz w:val="21"/>
    </w:rPr>
  </w:style>
  <w:style w:type="paragraph" w:customStyle="1" w:styleId="CharChar37">
    <w:name w:val="Char Char 字元3"/>
    <w:basedOn w:val="a9"/>
    <w:qFormat/>
    <w:pPr>
      <w:widowControl/>
      <w:spacing w:line="400" w:lineRule="exact"/>
      <w:ind w:firstLineChars="200" w:firstLine="200"/>
      <w:jc w:val="left"/>
    </w:pPr>
    <w:rPr>
      <w:kern w:val="2"/>
      <w:sz w:val="28"/>
      <w:szCs w:val="28"/>
    </w:rPr>
  </w:style>
  <w:style w:type="paragraph" w:customStyle="1" w:styleId="CharCharCharChar31">
    <w:name w:val="Char Char 字元 Char Char 字元3"/>
    <w:basedOn w:val="a9"/>
    <w:qFormat/>
    <w:pPr>
      <w:widowControl/>
      <w:spacing w:line="400" w:lineRule="exact"/>
      <w:ind w:firstLineChars="200" w:firstLine="200"/>
      <w:jc w:val="left"/>
    </w:pPr>
    <w:rPr>
      <w:kern w:val="2"/>
      <w:sz w:val="28"/>
      <w:szCs w:val="28"/>
    </w:rPr>
  </w:style>
  <w:style w:type="paragraph" w:customStyle="1" w:styleId="022">
    <w:name w:val="样式 0 + 四号 行距: 固定值 22 磅"/>
    <w:basedOn w:val="a9"/>
    <w:qFormat/>
    <w:pPr>
      <w:widowControl/>
      <w:snapToGrid w:val="0"/>
      <w:spacing w:line="480" w:lineRule="exact"/>
      <w:ind w:firstLineChars="200" w:firstLine="200"/>
      <w:jc w:val="left"/>
    </w:pPr>
    <w:rPr>
      <w:spacing w:val="8"/>
      <w:sz w:val="28"/>
    </w:rPr>
  </w:style>
  <w:style w:type="character" w:customStyle="1" w:styleId="SubtitleChar">
    <w:name w:val="Subtitle Char"/>
    <w:uiPriority w:val="99"/>
    <w:qFormat/>
    <w:locked/>
    <w:rPr>
      <w:rFonts w:ascii="Cambria" w:eastAsia="宋体" w:hAnsi="Cambria" w:cs="Times New Roman"/>
      <w:b/>
      <w:bCs/>
      <w:kern w:val="28"/>
      <w:sz w:val="32"/>
      <w:szCs w:val="32"/>
      <w:lang w:val="zh-CN" w:eastAsia="zh-CN"/>
    </w:rPr>
  </w:style>
  <w:style w:type="character" w:customStyle="1" w:styleId="CommentTextChar">
    <w:name w:val="Comment Text Char"/>
    <w:qFormat/>
    <w:locked/>
    <w:rPr>
      <w:rFonts w:ascii="Times New Roman" w:eastAsia="宋体" w:hAnsi="Times New Roman" w:cs="Times New Roman"/>
      <w:sz w:val="24"/>
      <w:szCs w:val="24"/>
    </w:rPr>
  </w:style>
  <w:style w:type="character" w:customStyle="1" w:styleId="CaptionChar">
    <w:name w:val="Caption Char"/>
    <w:qFormat/>
    <w:locked/>
    <w:rPr>
      <w:rFonts w:ascii="Times New Roman" w:eastAsia="黑体" w:hAnsi="Times New Roman"/>
      <w:sz w:val="20"/>
    </w:rPr>
  </w:style>
  <w:style w:type="character" w:customStyle="1" w:styleId="CharChar531">
    <w:name w:val="Char Char531"/>
    <w:qFormat/>
    <w:rPr>
      <w:rFonts w:eastAsia="PMingLiU"/>
      <w:b/>
      <w:kern w:val="2"/>
      <w:sz w:val="32"/>
      <w:szCs w:val="24"/>
      <w:lang w:val="en-US" w:eastAsia="zh-TW" w:bidi="ar-SA"/>
    </w:rPr>
  </w:style>
  <w:style w:type="paragraph" w:customStyle="1" w:styleId="CharChar370">
    <w:name w:val="Char Char37"/>
    <w:basedOn w:val="a9"/>
    <w:semiHidden/>
    <w:qFormat/>
    <w:pPr>
      <w:widowControl/>
      <w:spacing w:afterLines="50" w:line="560" w:lineRule="exact"/>
      <w:jc w:val="left"/>
    </w:pPr>
    <w:rPr>
      <w:rFonts w:eastAsia="黑体"/>
      <w:kern w:val="2"/>
      <w:sz w:val="30"/>
      <w:szCs w:val="30"/>
    </w:rPr>
  </w:style>
  <w:style w:type="paragraph" w:customStyle="1" w:styleId="afffffffffffffffffffffff9">
    <w:name w:val="【表格文字】"/>
    <w:qFormat/>
    <w:locked/>
    <w:pPr>
      <w:jc w:val="center"/>
    </w:pPr>
    <w:rPr>
      <w:rFonts w:cs="宋体"/>
      <w:sz w:val="21"/>
    </w:rPr>
  </w:style>
  <w:style w:type="character" w:customStyle="1" w:styleId="Char1ff5">
    <w:name w:val="常用正文样式 Char1"/>
    <w:link w:val="afffffffffffffffffffffffa"/>
    <w:qFormat/>
    <w:rPr>
      <w:rFonts w:ascii="宋体" w:eastAsia="仿宋_GB2312" w:hAnsi="新宋体"/>
      <w:sz w:val="24"/>
      <w:szCs w:val="24"/>
    </w:rPr>
  </w:style>
  <w:style w:type="paragraph" w:customStyle="1" w:styleId="afffffffffffffffffffffffa">
    <w:name w:val="常用正文样式"/>
    <w:link w:val="Char1ff5"/>
    <w:qFormat/>
    <w:pPr>
      <w:widowControl w:val="0"/>
      <w:spacing w:line="360" w:lineRule="auto"/>
      <w:ind w:firstLine="454"/>
      <w:jc w:val="both"/>
    </w:pPr>
    <w:rPr>
      <w:rFonts w:ascii="宋体" w:eastAsia="仿宋_GB2312" w:hAnsi="新宋体"/>
      <w:sz w:val="24"/>
      <w:szCs w:val="24"/>
    </w:rPr>
  </w:style>
  <w:style w:type="character" w:customStyle="1" w:styleId="CharChar183">
    <w:name w:val="Char Char183"/>
    <w:qFormat/>
    <w:rPr>
      <w:rFonts w:ascii="Arial" w:eastAsia="宋体" w:hAnsi="Arial"/>
      <w:b/>
      <w:bCs/>
      <w:kern w:val="2"/>
      <w:sz w:val="32"/>
      <w:szCs w:val="32"/>
      <w:lang w:val="en-US" w:eastAsia="zh-CN" w:bidi="ar-SA"/>
    </w:rPr>
  </w:style>
  <w:style w:type="character" w:customStyle="1" w:styleId="CharChar203">
    <w:name w:val="Char Char203"/>
    <w:qFormat/>
    <w:rPr>
      <w:rFonts w:ascii="宋体" w:eastAsia="宋体" w:hAnsi="宋体" w:cs="Times New Roman"/>
      <w:sz w:val="32"/>
      <w:szCs w:val="20"/>
    </w:rPr>
  </w:style>
  <w:style w:type="character" w:customStyle="1" w:styleId="CharChar93">
    <w:name w:val="Char Char93"/>
    <w:qFormat/>
    <w:rPr>
      <w:rFonts w:ascii="Arial" w:eastAsia="黑体" w:hAnsi="Arial"/>
      <w:sz w:val="24"/>
    </w:rPr>
  </w:style>
  <w:style w:type="character" w:customStyle="1" w:styleId="CharChar73">
    <w:name w:val="Char Char73"/>
    <w:qFormat/>
    <w:rPr>
      <w:rFonts w:eastAsia="宋体"/>
      <w:kern w:val="2"/>
      <w:sz w:val="21"/>
      <w:szCs w:val="24"/>
      <w:lang w:val="en-US" w:eastAsia="zh-CN" w:bidi="ar-SA"/>
    </w:rPr>
  </w:style>
  <w:style w:type="character" w:customStyle="1" w:styleId="CharChar313">
    <w:name w:val="Char Char313"/>
    <w:qFormat/>
    <w:rPr>
      <w:kern w:val="2"/>
      <w:sz w:val="21"/>
      <w:szCs w:val="24"/>
    </w:rPr>
  </w:style>
  <w:style w:type="character" w:customStyle="1" w:styleId="-CharChar">
    <w:name w:val="表格文字-居中 Char Char"/>
    <w:link w:val="-d"/>
    <w:qFormat/>
    <w:rPr>
      <w:szCs w:val="21"/>
    </w:rPr>
  </w:style>
  <w:style w:type="paragraph" w:customStyle="1" w:styleId="-d">
    <w:name w:val="表格文字-居中"/>
    <w:basedOn w:val="afffffb"/>
    <w:link w:val="-CharChar"/>
    <w:qFormat/>
    <w:pPr>
      <w:widowControl/>
      <w:snapToGrid/>
      <w:textAlignment w:val="center"/>
    </w:pPr>
    <w:rPr>
      <w:b w:val="0"/>
      <w:szCs w:val="21"/>
    </w:rPr>
  </w:style>
  <w:style w:type="character" w:customStyle="1" w:styleId="CharCharfe">
    <w:name w:val="表内文字边 Char Char"/>
    <w:link w:val="Charffffff9"/>
    <w:qFormat/>
    <w:rPr>
      <w:rFonts w:ascii="宋体"/>
      <w:color w:val="000000"/>
      <w:szCs w:val="21"/>
    </w:rPr>
  </w:style>
  <w:style w:type="paragraph" w:customStyle="1" w:styleId="Charffffff9">
    <w:name w:val="表内文字边 Char"/>
    <w:basedOn w:val="a9"/>
    <w:link w:val="CharCharfe"/>
    <w:qFormat/>
    <w:pPr>
      <w:widowControl/>
      <w:adjustRightInd w:val="0"/>
      <w:snapToGrid w:val="0"/>
      <w:spacing w:line="240" w:lineRule="atLeast"/>
      <w:ind w:leftChars="-10" w:left="-24" w:rightChars="-20" w:right="-48"/>
      <w:jc w:val="left"/>
    </w:pPr>
    <w:rPr>
      <w:rFonts w:ascii="宋体"/>
      <w:color w:val="000000"/>
      <w:szCs w:val="21"/>
    </w:rPr>
  </w:style>
  <w:style w:type="character" w:customStyle="1" w:styleId="Charffffffa">
    <w:name w:val="燕山正文 Char"/>
    <w:link w:val="afffffffffffffffffffffffb"/>
    <w:qFormat/>
    <w:rPr>
      <w:rFonts w:ascii="宋体" w:hAnsi="宋体"/>
      <w:color w:val="000000"/>
      <w:sz w:val="24"/>
      <w:szCs w:val="24"/>
    </w:rPr>
  </w:style>
  <w:style w:type="paragraph" w:customStyle="1" w:styleId="afffffffffffffffffffffffb">
    <w:name w:val="燕山正文"/>
    <w:basedOn w:val="a9"/>
    <w:link w:val="Charffffffa"/>
    <w:qFormat/>
    <w:pPr>
      <w:widowControl/>
      <w:tabs>
        <w:tab w:val="left" w:pos="4680"/>
      </w:tabs>
      <w:adjustRightInd w:val="0"/>
      <w:snapToGrid w:val="0"/>
      <w:spacing w:line="360" w:lineRule="auto"/>
      <w:ind w:firstLineChars="200" w:firstLine="480"/>
      <w:jc w:val="left"/>
    </w:pPr>
    <w:rPr>
      <w:rFonts w:ascii="宋体" w:hAnsi="宋体"/>
      <w:color w:val="000000"/>
      <w:sz w:val="24"/>
      <w:szCs w:val="24"/>
    </w:rPr>
  </w:style>
  <w:style w:type="character" w:customStyle="1" w:styleId="CharCharff">
    <w:name w:val="图表名称 Char Char"/>
    <w:link w:val="Charffffffb"/>
    <w:qFormat/>
    <w:rPr>
      <w:rFonts w:ascii="宋体" w:hAnsi="宋体"/>
      <w:color w:val="000000"/>
      <w:sz w:val="18"/>
      <w:szCs w:val="18"/>
    </w:rPr>
  </w:style>
  <w:style w:type="paragraph" w:customStyle="1" w:styleId="Charffffffb">
    <w:name w:val="图表名称 Char"/>
    <w:basedOn w:val="af0"/>
    <w:link w:val="CharCharff"/>
    <w:qFormat/>
    <w:pPr>
      <w:widowControl/>
      <w:adjustRightInd w:val="0"/>
      <w:snapToGrid w:val="0"/>
      <w:spacing w:after="0" w:line="240" w:lineRule="auto"/>
      <w:ind w:firstLineChars="0" w:firstLine="0"/>
      <w:jc w:val="center"/>
    </w:pPr>
    <w:rPr>
      <w:rFonts w:ascii="宋体" w:hAnsi="宋体"/>
      <w:color w:val="000000"/>
      <w:sz w:val="18"/>
      <w:szCs w:val="18"/>
    </w:rPr>
  </w:style>
  <w:style w:type="character" w:customStyle="1" w:styleId="2Char7">
    <w:name w:val="样式 正文 首行缩进 + 首行缩进:  2 字符 行距: 单倍行距 Char"/>
    <w:link w:val="2fff9"/>
    <w:qFormat/>
    <w:rPr>
      <w:rFonts w:cs="宋体"/>
    </w:rPr>
  </w:style>
  <w:style w:type="paragraph" w:customStyle="1" w:styleId="2fff9">
    <w:name w:val="样式 正文 首行缩进 + 首行缩进:  2 字符 行距: 单倍行距"/>
    <w:basedOn w:val="a9"/>
    <w:link w:val="2Char7"/>
    <w:qFormat/>
    <w:pPr>
      <w:widowControl/>
      <w:ind w:firstLineChars="200" w:firstLine="200"/>
      <w:jc w:val="left"/>
    </w:pPr>
    <w:rPr>
      <w:rFonts w:cs="宋体"/>
    </w:rPr>
  </w:style>
  <w:style w:type="character" w:customStyle="1" w:styleId="Charffffffc">
    <w:name w:val="环保篇正文 Char"/>
    <w:link w:val="afffffffffffffffffffffffc"/>
    <w:qFormat/>
    <w:rPr>
      <w:sz w:val="28"/>
      <w:szCs w:val="28"/>
    </w:rPr>
  </w:style>
  <w:style w:type="paragraph" w:customStyle="1" w:styleId="afffffffffffffffffffffffc">
    <w:name w:val="环保篇正文"/>
    <w:basedOn w:val="a9"/>
    <w:link w:val="Charffffffc"/>
    <w:qFormat/>
    <w:pPr>
      <w:widowControl/>
      <w:spacing w:line="360" w:lineRule="auto"/>
      <w:ind w:firstLineChars="200" w:firstLine="200"/>
      <w:jc w:val="left"/>
    </w:pPr>
    <w:rPr>
      <w:sz w:val="28"/>
      <w:szCs w:val="28"/>
    </w:rPr>
  </w:style>
  <w:style w:type="character" w:customStyle="1" w:styleId="Charffffffd">
    <w:name w:val="报告正文 Char"/>
    <w:link w:val="afffffffffffffffffffffffd"/>
    <w:qFormat/>
    <w:rPr>
      <w:rFonts w:cs="宋体"/>
      <w:snapToGrid w:val="0"/>
      <w:kern w:val="24"/>
      <w:sz w:val="24"/>
      <w:szCs w:val="21"/>
    </w:rPr>
  </w:style>
  <w:style w:type="paragraph" w:customStyle="1" w:styleId="afffffffffffffffffffffffd">
    <w:name w:val="报告正文"/>
    <w:basedOn w:val="a9"/>
    <w:link w:val="Charffffffd"/>
    <w:qFormat/>
    <w:pPr>
      <w:widowControl/>
      <w:adjustRightInd w:val="0"/>
      <w:spacing w:beforeLines="25" w:line="360" w:lineRule="auto"/>
      <w:ind w:firstLine="482"/>
      <w:jc w:val="left"/>
      <w:textAlignment w:val="baseline"/>
    </w:pPr>
    <w:rPr>
      <w:rFonts w:cs="宋体"/>
      <w:snapToGrid w:val="0"/>
      <w:kern w:val="24"/>
      <w:sz w:val="24"/>
      <w:szCs w:val="21"/>
    </w:rPr>
  </w:style>
  <w:style w:type="character" w:customStyle="1" w:styleId="2TimesNewRomanChar">
    <w:name w:val="正文首行缩进 2 + Times New Roman Char"/>
    <w:link w:val="2TimesNewRoman"/>
    <w:qFormat/>
    <w:rPr>
      <w:sz w:val="24"/>
      <w:szCs w:val="24"/>
    </w:rPr>
  </w:style>
  <w:style w:type="paragraph" w:customStyle="1" w:styleId="2TimesNewRoman">
    <w:name w:val="正文首行缩进 2 + Times New Roman"/>
    <w:basedOn w:val="a9"/>
    <w:link w:val="2TimesNewRomanChar"/>
    <w:qFormat/>
    <w:pPr>
      <w:widowControl/>
      <w:tabs>
        <w:tab w:val="left" w:pos="0"/>
        <w:tab w:val="left" w:pos="870"/>
        <w:tab w:val="left" w:pos="3150"/>
      </w:tabs>
      <w:autoSpaceDE w:val="0"/>
      <w:autoSpaceDN w:val="0"/>
      <w:spacing w:line="360" w:lineRule="auto"/>
      <w:ind w:firstLineChars="200" w:firstLine="480"/>
      <w:jc w:val="left"/>
    </w:pPr>
    <w:rPr>
      <w:sz w:val="24"/>
      <w:szCs w:val="24"/>
    </w:rPr>
  </w:style>
  <w:style w:type="character" w:customStyle="1" w:styleId="CharChar3121">
    <w:name w:val="Char Char3121"/>
    <w:qFormat/>
    <w:rPr>
      <w:rFonts w:ascii="Times New Roman" w:eastAsia="宋体" w:hAnsi="Times New Roman" w:cs="Times New Roman"/>
      <w:sz w:val="24"/>
      <w:szCs w:val="24"/>
    </w:rPr>
  </w:style>
  <w:style w:type="character" w:customStyle="1" w:styleId="Charffffffe">
    <w:name w:val="常用表头样式 Char"/>
    <w:link w:val="afffffffffffffffffffffffe"/>
    <w:qFormat/>
    <w:rPr>
      <w:rFonts w:ascii="黑体" w:eastAsia="仿宋_GB2312"/>
      <w:b/>
      <w:szCs w:val="21"/>
    </w:rPr>
  </w:style>
  <w:style w:type="paragraph" w:customStyle="1" w:styleId="afffffffffffffffffffffffe">
    <w:name w:val="常用表头样式"/>
    <w:basedOn w:val="af0"/>
    <w:link w:val="Charffffffe"/>
    <w:qFormat/>
    <w:pPr>
      <w:widowControl/>
      <w:overflowPunct w:val="0"/>
      <w:autoSpaceDE w:val="0"/>
      <w:autoSpaceDN w:val="0"/>
      <w:adjustRightInd w:val="0"/>
      <w:spacing w:after="0"/>
      <w:ind w:firstLineChars="0" w:firstLine="0"/>
      <w:jc w:val="center"/>
      <w:textAlignment w:val="baseline"/>
    </w:pPr>
    <w:rPr>
      <w:rFonts w:ascii="黑体" w:eastAsia="仿宋_GB2312"/>
      <w:b/>
      <w:sz w:val="20"/>
      <w:szCs w:val="21"/>
    </w:rPr>
  </w:style>
  <w:style w:type="character" w:customStyle="1" w:styleId="unnamedstyle0echar">
    <w:name w:val="unnamedstyle0e__char"/>
    <w:qFormat/>
  </w:style>
  <w:style w:type="character" w:customStyle="1" w:styleId="4Char5">
    <w:name w:val="4正  文 Char"/>
    <w:link w:val="4fc"/>
    <w:qFormat/>
    <w:rPr>
      <w:rFonts w:ascii="仿宋_GB2312" w:eastAsia="仿宋_GB2312"/>
      <w:b/>
      <w:spacing w:val="-4"/>
      <w:sz w:val="32"/>
    </w:rPr>
  </w:style>
  <w:style w:type="paragraph" w:customStyle="1" w:styleId="4fc">
    <w:name w:val="4正  文"/>
    <w:basedOn w:val="a9"/>
    <w:link w:val="4Char5"/>
    <w:qFormat/>
    <w:pPr>
      <w:widowControl/>
      <w:tabs>
        <w:tab w:val="left" w:pos="3798"/>
        <w:tab w:val="left" w:pos="7596"/>
      </w:tabs>
      <w:snapToGrid w:val="0"/>
      <w:spacing w:line="540" w:lineRule="exact"/>
      <w:ind w:firstLineChars="200" w:firstLine="200"/>
      <w:jc w:val="left"/>
    </w:pPr>
    <w:rPr>
      <w:rFonts w:ascii="仿宋_GB2312" w:eastAsia="仿宋_GB2312"/>
      <w:b/>
      <w:spacing w:val="-4"/>
      <w:sz w:val="32"/>
    </w:rPr>
  </w:style>
  <w:style w:type="character" w:customStyle="1" w:styleId="CharCharCharChar121">
    <w:name w:val="Char Char Char Char121"/>
    <w:qFormat/>
    <w:rPr>
      <w:rFonts w:eastAsia="宋体"/>
      <w:color w:val="000000"/>
      <w:kern w:val="2"/>
      <w:sz w:val="18"/>
      <w:szCs w:val="24"/>
      <w:lang w:val="en-US" w:eastAsia="zh-CN" w:bidi="ar-SA"/>
    </w:rPr>
  </w:style>
  <w:style w:type="character" w:customStyle="1" w:styleId="CharCharChar21">
    <w:name w:val="Char Char Char21"/>
    <w:qFormat/>
    <w:rPr>
      <w:rFonts w:eastAsia="宋体"/>
      <w:b/>
      <w:bCs/>
      <w:kern w:val="44"/>
      <w:sz w:val="44"/>
      <w:szCs w:val="44"/>
      <w:lang w:val="en-US" w:eastAsia="zh-CN" w:bidi="ar-SA"/>
    </w:rPr>
  </w:style>
  <w:style w:type="character" w:customStyle="1" w:styleId="CharChar83">
    <w:name w:val="Char Char83"/>
    <w:qFormat/>
    <w:rPr>
      <w:rFonts w:eastAsia="宋体"/>
      <w:kern w:val="2"/>
      <w:sz w:val="21"/>
      <w:szCs w:val="24"/>
      <w:lang w:val="en-US" w:eastAsia="zh-CN" w:bidi="ar-SA"/>
    </w:rPr>
  </w:style>
  <w:style w:type="character" w:customStyle="1" w:styleId="CharChar53">
    <w:name w:val="Char Char53"/>
    <w:qFormat/>
    <w:rPr>
      <w:rFonts w:eastAsia="PMingLiU"/>
      <w:b/>
      <w:kern w:val="2"/>
      <w:sz w:val="32"/>
      <w:szCs w:val="24"/>
      <w:lang w:val="en-US" w:eastAsia="zh-TW" w:bidi="ar-SA"/>
    </w:rPr>
  </w:style>
  <w:style w:type="character" w:customStyle="1" w:styleId="CharChar232">
    <w:name w:val="Char Char232"/>
    <w:qFormat/>
    <w:rPr>
      <w:rFonts w:eastAsia="宋体"/>
      <w:kern w:val="2"/>
      <w:sz w:val="18"/>
      <w:lang w:val="en-US" w:eastAsia="zh-CN" w:bidi="ar-SA"/>
    </w:rPr>
  </w:style>
  <w:style w:type="character" w:customStyle="1" w:styleId="CharChar142">
    <w:name w:val="Char Char142"/>
    <w:link w:val="Char100"/>
    <w:qFormat/>
    <w:rPr>
      <w:szCs w:val="24"/>
    </w:rPr>
  </w:style>
  <w:style w:type="paragraph" w:customStyle="1" w:styleId="Char100">
    <w:name w:val="Char10"/>
    <w:basedOn w:val="a9"/>
    <w:link w:val="CharChar142"/>
    <w:qFormat/>
    <w:pPr>
      <w:widowControl/>
      <w:jc w:val="left"/>
    </w:pPr>
    <w:rPr>
      <w:szCs w:val="24"/>
    </w:rPr>
  </w:style>
  <w:style w:type="character" w:customStyle="1" w:styleId="CharCharCharChar130">
    <w:name w:val="Char Char Char Char13"/>
    <w:qFormat/>
    <w:rPr>
      <w:rFonts w:eastAsia="宋体"/>
      <w:color w:val="000000"/>
      <w:kern w:val="2"/>
      <w:sz w:val="18"/>
      <w:szCs w:val="24"/>
      <w:lang w:val="en-US" w:eastAsia="zh-CN" w:bidi="ar-SA"/>
    </w:rPr>
  </w:style>
  <w:style w:type="paragraph" w:customStyle="1" w:styleId="31a">
    <w:name w:val="纯文本31"/>
    <w:basedOn w:val="a9"/>
    <w:qFormat/>
    <w:pPr>
      <w:widowControl/>
      <w:adjustRightInd w:val="0"/>
      <w:jc w:val="left"/>
      <w:textAlignment w:val="baseline"/>
    </w:pPr>
    <w:rPr>
      <w:rFonts w:ascii="宋体"/>
      <w:sz w:val="21"/>
    </w:rPr>
  </w:style>
  <w:style w:type="paragraph" w:customStyle="1" w:styleId="085Arial2">
    <w:name w:val="样式 样式 首行缩进:  0.85 厘米 + Arial 首行缩进:  2 字符"/>
    <w:basedOn w:val="a9"/>
    <w:qFormat/>
    <w:pPr>
      <w:widowControl/>
      <w:spacing w:before="120" w:after="120" w:line="360" w:lineRule="auto"/>
      <w:ind w:firstLineChars="200" w:firstLine="200"/>
      <w:jc w:val="left"/>
    </w:pPr>
    <w:rPr>
      <w:rFonts w:ascii="Arial" w:hAnsi="Arial" w:cs="宋体"/>
      <w:kern w:val="2"/>
      <w:sz w:val="24"/>
    </w:rPr>
  </w:style>
  <w:style w:type="paragraph" w:customStyle="1" w:styleId="1310">
    <w:name w:val="字元 字元131"/>
    <w:basedOn w:val="a9"/>
    <w:qFormat/>
    <w:pPr>
      <w:widowControl/>
      <w:spacing w:after="160" w:line="240" w:lineRule="exact"/>
      <w:jc w:val="left"/>
    </w:pPr>
    <w:rPr>
      <w:rFonts w:ascii="Verdana" w:hAnsi="Verdana"/>
      <w:lang w:eastAsia="en-US"/>
    </w:rPr>
  </w:style>
  <w:style w:type="paragraph" w:customStyle="1" w:styleId="Char43">
    <w:name w:val="Char4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4">
    <w:name w:val="Char Char Char Char Char Char Char4"/>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1Char2CharCharChar3">
    <w:name w:val="Char Char1 Char2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31b">
    <w:name w:val="引用31"/>
    <w:basedOn w:val="a9"/>
    <w:next w:val="a9"/>
    <w:qFormat/>
    <w:pPr>
      <w:widowControl/>
      <w:spacing w:line="480" w:lineRule="exact"/>
      <w:ind w:firstLineChars="200" w:firstLine="200"/>
      <w:jc w:val="left"/>
    </w:pPr>
    <w:rPr>
      <w:rFonts w:eastAsia="黑体"/>
      <w:i/>
      <w:iCs/>
      <w:color w:val="000000"/>
      <w:kern w:val="2"/>
      <w:sz w:val="21"/>
      <w:szCs w:val="24"/>
    </w:rPr>
  </w:style>
  <w:style w:type="paragraph" w:customStyle="1" w:styleId="CharCharCharCharCharCharChar3">
    <w:name w:val="Char Char Char Char Char Char Char3"/>
    <w:basedOn w:val="a9"/>
    <w:qFormat/>
    <w:pPr>
      <w:widowControl/>
      <w:spacing w:after="160" w:line="240" w:lineRule="exact"/>
      <w:jc w:val="left"/>
    </w:pPr>
    <w:rPr>
      <w:rFonts w:ascii="Verdana" w:hAnsi="Verdana"/>
      <w:lang w:eastAsia="en-US"/>
    </w:rPr>
  </w:style>
  <w:style w:type="paragraph" w:customStyle="1" w:styleId="CharChar3Char3">
    <w:name w:val="Char Char3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affffffffffffffffffffffff">
    <w:name w:val="环保篇"/>
    <w:basedOn w:val="a9"/>
    <w:next w:val="a9"/>
    <w:qFormat/>
    <w:pPr>
      <w:widowControl/>
      <w:spacing w:line="360" w:lineRule="auto"/>
      <w:ind w:firstLineChars="200" w:firstLine="200"/>
      <w:jc w:val="left"/>
    </w:pPr>
    <w:rPr>
      <w:kern w:val="2"/>
      <w:sz w:val="28"/>
      <w:szCs w:val="24"/>
    </w:rPr>
  </w:style>
  <w:style w:type="paragraph" w:customStyle="1" w:styleId="InTableII">
    <w:name w:val="In Table (II)"/>
    <w:basedOn w:val="InTable"/>
    <w:qFormat/>
    <w:pPr>
      <w:widowControl/>
      <w:tabs>
        <w:tab w:val="clear" w:pos="2200"/>
        <w:tab w:val="clear" w:pos="3960"/>
        <w:tab w:val="clear" w:pos="5280"/>
      </w:tabs>
      <w:spacing w:before="0" w:after="0"/>
      <w:ind w:left="48"/>
    </w:pPr>
    <w:rPr>
      <w:rFonts w:ascii="Arial" w:eastAsia="宋体" w:hAnsi="Arial"/>
      <w:kern w:val="2"/>
      <w:sz w:val="24"/>
    </w:rPr>
  </w:style>
  <w:style w:type="paragraph" w:customStyle="1" w:styleId="affffffffffffffffffffffff0">
    <w:name w:val="表内文字小"/>
    <w:basedOn w:val="a9"/>
    <w:qFormat/>
    <w:pPr>
      <w:widowControl/>
      <w:adjustRightInd w:val="0"/>
      <w:snapToGrid w:val="0"/>
      <w:spacing w:line="300" w:lineRule="exact"/>
      <w:jc w:val="center"/>
    </w:pPr>
    <w:rPr>
      <w:rFonts w:ascii="宋体" w:hAnsi="Times"/>
      <w:kern w:val="2"/>
      <w:sz w:val="21"/>
    </w:rPr>
  </w:style>
  <w:style w:type="paragraph" w:customStyle="1" w:styleId="5f4">
    <w:name w:val="表内5"/>
    <w:basedOn w:val="a9"/>
    <w:qFormat/>
    <w:pPr>
      <w:widowControl/>
      <w:adjustRightInd w:val="0"/>
      <w:snapToGrid w:val="0"/>
      <w:spacing w:line="360" w:lineRule="exact"/>
      <w:jc w:val="center"/>
    </w:pPr>
    <w:rPr>
      <w:rFonts w:ascii="宋体" w:hAnsi="宋体"/>
      <w:color w:val="000000"/>
      <w:kern w:val="2"/>
      <w:sz w:val="21"/>
      <w:szCs w:val="21"/>
    </w:rPr>
  </w:style>
  <w:style w:type="paragraph" w:customStyle="1" w:styleId="CharCharCharCharCharChar1Char2">
    <w:name w:val="Char Char Char Char Char Char1 Char2"/>
    <w:basedOn w:val="a9"/>
    <w:qFormat/>
    <w:pPr>
      <w:widowControl/>
      <w:spacing w:after="160" w:line="240" w:lineRule="exact"/>
      <w:jc w:val="left"/>
    </w:pPr>
    <w:rPr>
      <w:rFonts w:ascii="Arial" w:eastAsia="Times New Roman" w:hAnsi="Arial" w:cs="Verdana"/>
      <w:b/>
      <w:sz w:val="24"/>
      <w:lang w:eastAsia="en-US"/>
    </w:rPr>
  </w:style>
  <w:style w:type="paragraph" w:customStyle="1" w:styleId="affffffffffffffffffffffff1">
    <w:name w:val="表内"/>
    <w:basedOn w:val="a9"/>
    <w:qFormat/>
    <w:pPr>
      <w:widowControl/>
      <w:jc w:val="center"/>
      <w:textAlignment w:val="center"/>
    </w:pPr>
    <w:rPr>
      <w:rFonts w:ascii="Arial" w:eastAsia="楷体_GB2312" w:hAnsi="Arial"/>
      <w:kern w:val="2"/>
      <w:sz w:val="21"/>
      <w:szCs w:val="21"/>
    </w:rPr>
  </w:style>
  <w:style w:type="paragraph" w:customStyle="1" w:styleId="CharChar2CharCharCharCharCharChar">
    <w:name w:val="Char Char2 Char Char Char Char Char Char"/>
    <w:basedOn w:val="a9"/>
    <w:qFormat/>
    <w:pPr>
      <w:widowControl/>
      <w:spacing w:line="360" w:lineRule="auto"/>
      <w:jc w:val="left"/>
    </w:pPr>
    <w:rPr>
      <w:rFonts w:ascii="宋体" w:hAnsi="宋体"/>
      <w:kern w:val="2"/>
      <w:sz w:val="22"/>
      <w:szCs w:val="24"/>
    </w:rPr>
  </w:style>
  <w:style w:type="paragraph" w:customStyle="1" w:styleId="227">
    <w:name w:val="样式 样式 样式 正文 首行缩进 + 首行缩进:  2 字符 行距: 单倍行距 + 首行缩进:  2 字符 + 小四 首行缩进..."/>
    <w:basedOn w:val="a9"/>
    <w:qFormat/>
    <w:pPr>
      <w:widowControl/>
      <w:spacing w:line="312" w:lineRule="auto"/>
      <w:ind w:firstLineChars="200" w:firstLine="480"/>
      <w:jc w:val="left"/>
    </w:pPr>
    <w:rPr>
      <w:rFonts w:cs="宋体"/>
      <w:kern w:val="2"/>
      <w:sz w:val="24"/>
    </w:rPr>
  </w:style>
  <w:style w:type="paragraph" w:customStyle="1" w:styleId="CharCharCharCharCharChar1CharCharCharChar3">
    <w:name w:val="Char Char Char Char Char Char1 Char Char Char Char3"/>
    <w:basedOn w:val="a9"/>
    <w:qFormat/>
    <w:pPr>
      <w:widowControl/>
      <w:jc w:val="left"/>
    </w:pPr>
    <w:rPr>
      <w:rFonts w:ascii="Tahoma" w:hAnsi="Tahoma"/>
      <w:kern w:val="2"/>
      <w:sz w:val="24"/>
    </w:rPr>
  </w:style>
  <w:style w:type="paragraph" w:customStyle="1" w:styleId="affffffffffffffffffffffff2">
    <w:name w:val="表中文字右"/>
    <w:basedOn w:val="a9"/>
    <w:qFormat/>
    <w:pPr>
      <w:widowControl/>
      <w:jc w:val="center"/>
    </w:pPr>
    <w:rPr>
      <w:rFonts w:ascii="宋体"/>
      <w:color w:val="0000FF"/>
      <w:sz w:val="21"/>
      <w:szCs w:val="21"/>
    </w:rPr>
  </w:style>
  <w:style w:type="paragraph" w:customStyle="1" w:styleId="affffffffffffffffffffffff3">
    <w:name w:val="表中文字修改"/>
    <w:basedOn w:val="a9"/>
    <w:qFormat/>
    <w:pPr>
      <w:widowControl/>
      <w:adjustRightInd w:val="0"/>
      <w:jc w:val="left"/>
    </w:pPr>
    <w:rPr>
      <w:rFonts w:ascii="宋体"/>
      <w:color w:val="000000"/>
      <w:sz w:val="21"/>
      <w:szCs w:val="21"/>
    </w:rPr>
  </w:style>
  <w:style w:type="paragraph" w:customStyle="1" w:styleId="CharChar2CharCharCharCharCharChar1">
    <w:name w:val="Char Char2 Char Char Char Char Char Char1"/>
    <w:basedOn w:val="a9"/>
    <w:qFormat/>
    <w:pPr>
      <w:widowControl/>
      <w:spacing w:line="360" w:lineRule="auto"/>
      <w:jc w:val="left"/>
    </w:pPr>
    <w:rPr>
      <w:rFonts w:ascii="宋体" w:hAnsi="宋体"/>
      <w:kern w:val="2"/>
      <w:sz w:val="22"/>
      <w:szCs w:val="24"/>
    </w:rPr>
  </w:style>
  <w:style w:type="paragraph" w:customStyle="1" w:styleId="CharCharCharCharCharChar1Char1">
    <w:name w:val="Char Char Char Char Char Char1 Char1"/>
    <w:basedOn w:val="a9"/>
    <w:qFormat/>
    <w:pPr>
      <w:widowControl/>
      <w:spacing w:after="160" w:line="240" w:lineRule="exact"/>
      <w:jc w:val="left"/>
    </w:pPr>
    <w:rPr>
      <w:rFonts w:ascii="Arial" w:eastAsia="Times New Roman" w:hAnsi="Arial" w:cs="Verdana"/>
      <w:b/>
      <w:sz w:val="24"/>
      <w:lang w:eastAsia="en-US"/>
    </w:rPr>
  </w:style>
  <w:style w:type="paragraph" w:customStyle="1" w:styleId="13Arial215">
    <w:name w:val="样式 正文小四首缩1.3行距 + Arial 首行缩进:  2 字符 行距: 1.5 倍行距"/>
    <w:basedOn w:val="132"/>
    <w:qFormat/>
    <w:pPr>
      <w:widowControl/>
      <w:jc w:val="left"/>
    </w:pPr>
    <w:rPr>
      <w:rFonts w:ascii="Arial" w:hAnsi="Arial" w:cs="宋体"/>
      <w:szCs w:val="20"/>
    </w:rPr>
  </w:style>
  <w:style w:type="paragraph" w:customStyle="1" w:styleId="affffffffffffffffffffffff4">
    <w:name w:val="表字"/>
    <w:basedOn w:val="a9"/>
    <w:next w:val="a9"/>
    <w:qFormat/>
    <w:pPr>
      <w:keepNext/>
      <w:widowControl/>
      <w:spacing w:line="360" w:lineRule="atLeast"/>
      <w:jc w:val="center"/>
    </w:pPr>
    <w:rPr>
      <w:rFonts w:ascii="Arial" w:hAnsi="Arial"/>
      <w:kern w:val="2"/>
      <w:sz w:val="21"/>
    </w:rPr>
  </w:style>
  <w:style w:type="paragraph" w:customStyle="1" w:styleId="affffffffffffffffffffffff5">
    <w:name w:val="魏秀珍 表格"/>
    <w:basedOn w:val="a9"/>
    <w:qFormat/>
    <w:pPr>
      <w:widowControl/>
      <w:adjustRightInd w:val="0"/>
      <w:snapToGrid w:val="0"/>
      <w:spacing w:before="120"/>
      <w:jc w:val="center"/>
    </w:pPr>
    <w:rPr>
      <w:rFonts w:hAnsi="宋体"/>
      <w:b/>
      <w:bCs/>
      <w:sz w:val="24"/>
    </w:rPr>
  </w:style>
  <w:style w:type="paragraph" w:customStyle="1" w:styleId="5f5">
    <w:name w:val="表格小5缩"/>
    <w:basedOn w:val="a9"/>
    <w:uiPriority w:val="99"/>
    <w:qFormat/>
    <w:pPr>
      <w:widowControl/>
      <w:spacing w:line="360" w:lineRule="exact"/>
      <w:ind w:left="-57" w:right="-57"/>
      <w:jc w:val="center"/>
    </w:pPr>
    <w:rPr>
      <w:rFonts w:ascii="Arial" w:hAnsi="Arial"/>
      <w:kern w:val="2"/>
      <w:sz w:val="18"/>
      <w:szCs w:val="18"/>
    </w:rPr>
  </w:style>
  <w:style w:type="paragraph" w:customStyle="1" w:styleId="21f">
    <w:name w:val="纯文本21"/>
    <w:basedOn w:val="a9"/>
    <w:qFormat/>
    <w:pPr>
      <w:widowControl/>
      <w:adjustRightInd w:val="0"/>
      <w:jc w:val="left"/>
      <w:textAlignment w:val="baseline"/>
    </w:pPr>
    <w:rPr>
      <w:rFonts w:ascii="宋体"/>
      <w:sz w:val="21"/>
    </w:rPr>
  </w:style>
  <w:style w:type="paragraph" w:customStyle="1" w:styleId="affffffffffffffffffffffff6">
    <w:name w:val="页号"/>
    <w:basedOn w:val="aff5"/>
    <w:qFormat/>
    <w:pPr>
      <w:widowControl/>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CharCharChar1CharCharCharCharCharCharCharCharCharChar3">
    <w:name w:val="Char Char Char1 Char Char Char Char Char Char Char Char Char Char3"/>
    <w:basedOn w:val="a9"/>
    <w:qFormat/>
    <w:pPr>
      <w:widowControl/>
      <w:jc w:val="left"/>
    </w:pPr>
    <w:rPr>
      <w:kern w:val="2"/>
      <w:sz w:val="21"/>
      <w:szCs w:val="24"/>
    </w:rPr>
  </w:style>
  <w:style w:type="paragraph" w:customStyle="1" w:styleId="Char3CharCharCharCharCharChar3">
    <w:name w:val="Char3 Char Char Char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CharCharCharCharCharCharCharCharChar4">
    <w:name w:val="Char Char Char Char Char Char Char Char Char Char Char Char Char Char Char Char4"/>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CharCharCharChar4">
    <w:name w:val="Char Char Char Char Char Char Char Char Char Char4"/>
    <w:basedOn w:val="a9"/>
    <w:qFormat/>
    <w:pPr>
      <w:widowControl/>
      <w:jc w:val="left"/>
    </w:pPr>
    <w:rPr>
      <w:kern w:val="2"/>
      <w:sz w:val="21"/>
      <w:szCs w:val="24"/>
    </w:rPr>
  </w:style>
  <w:style w:type="paragraph" w:customStyle="1" w:styleId="Char2CharCharChar4">
    <w:name w:val="Char2 Char Char Char4"/>
    <w:basedOn w:val="3"/>
    <w:qFormat/>
    <w:pPr>
      <w:keepNext/>
      <w:keepLines/>
      <w:widowControl/>
      <w:numPr>
        <w:ilvl w:val="0"/>
        <w:numId w:val="0"/>
      </w:numPr>
      <w:tabs>
        <w:tab w:val="left" w:pos="360"/>
        <w:tab w:val="left" w:pos="900"/>
      </w:tabs>
      <w:adjustRightInd w:val="0"/>
      <w:spacing w:before="120" w:after="120"/>
      <w:ind w:leftChars="-12" w:left="542" w:firstLineChars="200" w:firstLine="200"/>
      <w:jc w:val="left"/>
    </w:pPr>
    <w:rPr>
      <w:b w:val="0"/>
      <w:snapToGrid w:val="0"/>
      <w:kern w:val="2"/>
      <w:szCs w:val="24"/>
    </w:rPr>
  </w:style>
  <w:style w:type="paragraph" w:customStyle="1" w:styleId="CharChar1CharCharCharCharCharCharCharCharCharChar3">
    <w:name w:val="Char Char1 Char Char Char Char Char Char Char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1CharCharChar3">
    <w:name w:val="Char Char Char1 Char Char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CharCharCharCharChar3">
    <w:name w:val="Char Char Char Char Char Char3"/>
    <w:basedOn w:val="a9"/>
    <w:qFormat/>
    <w:pPr>
      <w:widowControl/>
      <w:jc w:val="left"/>
    </w:pPr>
    <w:rPr>
      <w:kern w:val="2"/>
      <w:sz w:val="21"/>
      <w:szCs w:val="24"/>
    </w:rPr>
  </w:style>
  <w:style w:type="paragraph" w:customStyle="1" w:styleId="Char340">
    <w:name w:val="Char34"/>
    <w:basedOn w:val="a9"/>
    <w:qFormat/>
    <w:pPr>
      <w:widowControl/>
      <w:spacing w:line="360" w:lineRule="auto"/>
      <w:ind w:firstLineChars="200" w:firstLine="200"/>
      <w:jc w:val="left"/>
    </w:pPr>
    <w:rPr>
      <w:kern w:val="2"/>
      <w:sz w:val="24"/>
    </w:rPr>
  </w:style>
  <w:style w:type="paragraph" w:customStyle="1" w:styleId="Char1CharCharChar3">
    <w:name w:val="Char1 Char Char Char3"/>
    <w:basedOn w:val="a9"/>
    <w:qFormat/>
    <w:pPr>
      <w:widowControl/>
      <w:spacing w:after="160" w:line="240" w:lineRule="exact"/>
      <w:jc w:val="left"/>
    </w:pPr>
    <w:rPr>
      <w:rFonts w:ascii="Arial" w:eastAsia="Times New Roman" w:hAnsi="Arial" w:cs="Verdana"/>
      <w:b/>
      <w:sz w:val="24"/>
      <w:szCs w:val="24"/>
      <w:lang w:eastAsia="en-US"/>
    </w:rPr>
  </w:style>
  <w:style w:type="paragraph" w:customStyle="1" w:styleId="CharChar2Char3">
    <w:name w:val="Char Char2 Char3"/>
    <w:basedOn w:val="a9"/>
    <w:qFormat/>
    <w:pPr>
      <w:widowControl/>
      <w:spacing w:line="360" w:lineRule="auto"/>
      <w:ind w:firstLineChars="200" w:firstLine="200"/>
      <w:jc w:val="left"/>
    </w:pPr>
    <w:rPr>
      <w:rFonts w:ascii="宋体" w:hAnsi="宋体" w:cs="宋体"/>
      <w:kern w:val="2"/>
      <w:sz w:val="24"/>
      <w:szCs w:val="24"/>
    </w:rPr>
  </w:style>
  <w:style w:type="paragraph" w:customStyle="1" w:styleId="Char230">
    <w:name w:val="Char23"/>
    <w:basedOn w:val="a9"/>
    <w:qFormat/>
    <w:pPr>
      <w:widowControl/>
      <w:spacing w:line="360" w:lineRule="auto"/>
      <w:jc w:val="left"/>
    </w:pPr>
    <w:rPr>
      <w:rFonts w:ascii="宋体" w:hAnsi="宋体" w:cs="宋体"/>
      <w:kern w:val="2"/>
      <w:sz w:val="24"/>
      <w:szCs w:val="24"/>
    </w:rPr>
  </w:style>
  <w:style w:type="table" w:customStyle="1" w:styleId="11110">
    <w:name w:val="网格型11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11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网格型113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9Char1">
    <w:name w:val="Char Char19 Char1"/>
    <w:basedOn w:val="a9"/>
    <w:qFormat/>
    <w:pPr>
      <w:widowControl/>
      <w:jc w:val="left"/>
    </w:pPr>
    <w:rPr>
      <w:rFonts w:ascii="Tahoma" w:hAnsi="Tahoma"/>
      <w:kern w:val="2"/>
      <w:sz w:val="24"/>
    </w:rPr>
  </w:style>
  <w:style w:type="character" w:customStyle="1" w:styleId="161">
    <w:name w:val="16"/>
    <w:qFormat/>
    <w:rPr>
      <w:rFonts w:ascii="Times New Roman" w:hAnsi="Times New Roman" w:cs="Times New Roman" w:hint="default"/>
      <w:sz w:val="24"/>
      <w:szCs w:val="24"/>
    </w:rPr>
  </w:style>
  <w:style w:type="character" w:customStyle="1" w:styleId="170">
    <w:name w:val="17"/>
    <w:qFormat/>
    <w:rPr>
      <w:rFonts w:ascii="Times New Roman" w:eastAsia="黑体" w:hAnsi="Times New Roman" w:cs="Times New Roman" w:hint="default"/>
      <w:b/>
      <w:bCs/>
      <w:kern w:val="2"/>
      <w:sz w:val="24"/>
      <w:szCs w:val="24"/>
    </w:rPr>
  </w:style>
  <w:style w:type="character" w:customStyle="1" w:styleId="180">
    <w:name w:val="18"/>
    <w:qFormat/>
    <w:rPr>
      <w:rFonts w:ascii="Times New Roman" w:eastAsia="黑体" w:hAnsi="Times New Roman" w:cs="Times New Roman" w:hint="default"/>
      <w:b/>
      <w:bCs/>
      <w:kern w:val="2"/>
      <w:sz w:val="24"/>
      <w:szCs w:val="24"/>
    </w:rPr>
  </w:style>
  <w:style w:type="table" w:customStyle="1" w:styleId="1ffffff7">
    <w:name w:val="网格型!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表格主题1"/>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彩色型 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f0">
    <w:name w:val="彩色型 2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c">
    <w:name w:val="彩色型 3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ffff9">
    <w:name w:val="典雅型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4">
    <w:name w:val="古典型 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1">
    <w:name w:val="古典型 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d">
    <w:name w:val="古典型 3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4">
    <w:name w:val="古典型 4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5">
    <w:name w:val="简明型 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f2">
    <w:name w:val="简明型 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e">
    <w:name w:val="简明型 3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f3">
    <w:name w:val="精巧型 2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6">
    <w:name w:val="立体型 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7">
    <w:name w:val="列表型 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4">
    <w:name w:val="列表型 2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
    <w:name w:val="列表型 3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6">
    <w:name w:val="列表型 4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3">
    <w:name w:val="列表型 5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3">
    <w:name w:val="列表型 6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
    <w:name w:val="列表型 7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1">
    <w:name w:val="列表型 8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ffffa">
    <w:name w:val="流行型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8">
    <w:name w:val="竖列型 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0">
    <w:name w:val="竖列型 3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4">
    <w:name w:val="竖列型 5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9">
    <w:name w:val="网格型 11"/>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5">
    <w:name w:val="网格型 2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f1">
    <w:name w:val="网格型 3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7">
    <w:name w:val="网格型 4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5">
    <w:name w:val="网格型 51"/>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4">
    <w:name w:val="网格型 6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
    <w:name w:val="网格型 7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
    <w:name w:val="网格型 8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fa">
    <w:name w:val="网页型 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6">
    <w:name w:val="网页型 2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f2">
    <w:name w:val="网页型 3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ffb">
    <w:name w:val="专业型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fb">
    <w:name w:val="君邦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c">
    <w:name w:val="君邦专用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表格样式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c">
    <w:name w:val="表格样式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0">
    <w:name w:val="网格型11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网格型21"/>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d">
    <w:name w:val="君邦表格1"/>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ffffffe">
    <w:name w:val="君邦表格（表）1"/>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TOC21">
    <w:name w:val="TOC 标题21"/>
    <w:basedOn w:val="1"/>
    <w:next w:val="a9"/>
    <w:uiPriority w:val="39"/>
    <w:unhideWhenUsed/>
    <w:qFormat/>
    <w:pPr>
      <w:pageBreakBefore w:val="0"/>
      <w:widowControl/>
      <w:numPr>
        <w:numId w:val="0"/>
      </w:numPr>
      <w:spacing w:before="480" w:after="0" w:line="276" w:lineRule="auto"/>
      <w:jc w:val="center"/>
      <w:outlineLvl w:val="9"/>
    </w:pPr>
    <w:rPr>
      <w:rFonts w:ascii="Cambria" w:hAnsi="Cambria"/>
      <w:bCs/>
      <w:color w:val="365F91"/>
      <w:kern w:val="0"/>
      <w:szCs w:val="28"/>
    </w:rPr>
  </w:style>
  <w:style w:type="table" w:customStyle="1" w:styleId="4110">
    <w:name w:val="列表型 4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paragraph" w:customStyle="1" w:styleId="4fd">
    <w:name w:val="正文首行缩进4"/>
    <w:basedOn w:val="afd"/>
    <w:qFormat/>
    <w:pPr>
      <w:widowControl/>
      <w:adjustRightInd w:val="0"/>
      <w:spacing w:after="120" w:line="312" w:lineRule="atLeast"/>
      <w:ind w:firstLineChars="0" w:firstLine="420"/>
      <w:jc w:val="left"/>
      <w:textAlignment w:val="baseline"/>
    </w:pPr>
    <w:rPr>
      <w:rFonts w:ascii="Times New Roman" w:hAnsi="Times New Roman"/>
      <w:kern w:val="0"/>
      <w:sz w:val="27"/>
    </w:rPr>
  </w:style>
  <w:style w:type="paragraph" w:customStyle="1" w:styleId="5f6">
    <w:name w:val="批注框文本5"/>
    <w:basedOn w:val="a9"/>
    <w:semiHidden/>
    <w:qFormat/>
    <w:pPr>
      <w:widowControl/>
      <w:jc w:val="left"/>
    </w:pPr>
    <w:rPr>
      <w:rFonts w:ascii="Tahoma" w:hAnsi="Tahoma" w:cs="Tahoma"/>
      <w:kern w:val="2"/>
      <w:sz w:val="16"/>
      <w:szCs w:val="16"/>
    </w:rPr>
  </w:style>
  <w:style w:type="table" w:customStyle="1" w:styleId="1112">
    <w:name w:val="简明型 111"/>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3">
    <w:name w:val="彩色型 111"/>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
    <w:name w:val="彩色型 211"/>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
    <w:name w:val="彩色型 311"/>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d">
    <w:name w:val="典雅型11"/>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4">
    <w:name w:val="古典型 11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
    <w:name w:val="古典型 21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
    <w:name w:val="古典型 311"/>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
    <w:name w:val="古典型 411"/>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4">
    <w:name w:val="简明型 21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4">
    <w:name w:val="简明型 3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5">
    <w:name w:val="精巧型 11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5">
    <w:name w:val="精巧型 211"/>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6">
    <w:name w:val="立体型 11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6">
    <w:name w:val="立体型 21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5">
    <w:name w:val="立体型 31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7">
    <w:name w:val="列表型 111"/>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7">
    <w:name w:val="列表型 211"/>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6">
    <w:name w:val="列表型 311"/>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0">
    <w:name w:val="列表型 5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0">
    <w:name w:val="列表型 6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0">
    <w:name w:val="列表型 711"/>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0">
    <w:name w:val="列表型 8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e">
    <w:name w:val="流行型11"/>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
    <w:name w:val="竖列型 11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8">
    <w:name w:val="竖列型 21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7">
    <w:name w:val="竖列型 311"/>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竖列型 41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竖列型 511"/>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9">
    <w:name w:val="网格型 1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9">
    <w:name w:val="网格型 211"/>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8">
    <w:name w:val="网格型 311"/>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 411"/>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fffa">
    <w:name w:val="君邦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
    <w:name w:val="网格型 61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网格型 71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
    <w:name w:val="网格型 811"/>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a">
    <w:name w:val="网页型 111"/>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a">
    <w:name w:val="网页型 211"/>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9">
    <w:name w:val="网页型 311"/>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f">
    <w:name w:val="专业型1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87">
    <w:name w:val="正文8"/>
    <w:qFormat/>
    <w:pPr>
      <w:autoSpaceDE w:val="0"/>
      <w:autoSpaceDN w:val="0"/>
      <w:adjustRightInd w:val="0"/>
      <w:spacing w:line="360" w:lineRule="atLeast"/>
      <w:ind w:firstLine="539"/>
      <w:jc w:val="both"/>
    </w:pPr>
    <w:rPr>
      <w:rFonts w:ascii="宋体"/>
      <w:spacing w:val="30"/>
      <w:sz w:val="24"/>
    </w:rPr>
  </w:style>
  <w:style w:type="paragraph" w:customStyle="1" w:styleId="4fe">
    <w:name w:val="引用4"/>
    <w:basedOn w:val="a9"/>
    <w:next w:val="a9"/>
    <w:qFormat/>
    <w:pPr>
      <w:widowControl/>
      <w:spacing w:line="480" w:lineRule="exact"/>
      <w:ind w:firstLineChars="200" w:firstLine="200"/>
      <w:jc w:val="left"/>
    </w:pPr>
    <w:rPr>
      <w:rFonts w:eastAsia="黑体"/>
      <w:i/>
      <w:iCs/>
      <w:color w:val="000000"/>
      <w:kern w:val="2"/>
      <w:sz w:val="21"/>
      <w:szCs w:val="24"/>
    </w:rPr>
  </w:style>
  <w:style w:type="paragraph" w:customStyle="1" w:styleId="240">
    <w:name w:val="正文文本缩进 24"/>
    <w:basedOn w:val="a9"/>
    <w:semiHidden/>
    <w:qFormat/>
    <w:pPr>
      <w:widowControl/>
      <w:autoSpaceDE w:val="0"/>
      <w:autoSpaceDN w:val="0"/>
      <w:adjustRightInd w:val="0"/>
      <w:spacing w:line="360" w:lineRule="auto"/>
      <w:ind w:firstLineChars="200" w:firstLine="570"/>
      <w:jc w:val="left"/>
      <w:textAlignment w:val="baseline"/>
    </w:pPr>
    <w:rPr>
      <w:rFonts w:ascii="宋体" w:eastAsia="仿宋_GB2312" w:hAnsi="Tms Rmn"/>
      <w:spacing w:val="4"/>
      <w:sz w:val="28"/>
    </w:rPr>
  </w:style>
  <w:style w:type="paragraph" w:customStyle="1" w:styleId="4ff">
    <w:name w:val="日期4"/>
    <w:basedOn w:val="a9"/>
    <w:next w:val="a9"/>
    <w:semiHidden/>
    <w:qFormat/>
    <w:pPr>
      <w:widowControl/>
      <w:adjustRightInd w:val="0"/>
      <w:spacing w:line="360" w:lineRule="auto"/>
      <w:ind w:firstLineChars="200" w:firstLine="576"/>
      <w:jc w:val="left"/>
      <w:textAlignment w:val="baseline"/>
    </w:pPr>
    <w:rPr>
      <w:rFonts w:ascii="仿宋_GB2312" w:eastAsia="仿宋_GB2312"/>
      <w:spacing w:val="4"/>
      <w:kern w:val="18"/>
      <w:sz w:val="28"/>
    </w:rPr>
  </w:style>
  <w:style w:type="paragraph" w:customStyle="1" w:styleId="241">
    <w:name w:val="正文文本 24"/>
    <w:basedOn w:val="a9"/>
    <w:semiHidden/>
    <w:qFormat/>
    <w:pPr>
      <w:widowControl/>
      <w:autoSpaceDE w:val="0"/>
      <w:autoSpaceDN w:val="0"/>
      <w:adjustRightInd w:val="0"/>
      <w:spacing w:line="360" w:lineRule="atLeast"/>
      <w:ind w:firstLineChars="200" w:firstLine="454"/>
      <w:jc w:val="left"/>
      <w:textAlignment w:val="baseline"/>
    </w:pPr>
    <w:rPr>
      <w:rFonts w:ascii="宋体" w:eastAsia="仿宋_GB2312" w:hAnsi="Tms Rmn"/>
      <w:spacing w:val="4"/>
      <w:sz w:val="28"/>
    </w:rPr>
  </w:style>
  <w:style w:type="paragraph" w:customStyle="1" w:styleId="350">
    <w:name w:val="正文文本缩进 35"/>
    <w:basedOn w:val="a9"/>
    <w:semiHidden/>
    <w:qFormat/>
    <w:pPr>
      <w:widowControl/>
      <w:autoSpaceDE w:val="0"/>
      <w:autoSpaceDN w:val="0"/>
      <w:adjustRightInd w:val="0"/>
      <w:spacing w:line="520" w:lineRule="exact"/>
      <w:ind w:firstLineChars="200" w:firstLine="540"/>
      <w:jc w:val="left"/>
      <w:textAlignment w:val="baseline"/>
    </w:pPr>
    <w:rPr>
      <w:rFonts w:ascii="宋体" w:eastAsia="仿宋_GB2312" w:hAnsi="Tms Rmn"/>
      <w:spacing w:val="4"/>
      <w:sz w:val="28"/>
    </w:rPr>
  </w:style>
  <w:style w:type="table" w:customStyle="1" w:styleId="111b">
    <w:name w:val="君邦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b">
    <w:name w:val="表格样式2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z-Char2">
    <w:name w:val="z-窗体顶端 Char2"/>
    <w:uiPriority w:val="99"/>
    <w:semiHidden/>
    <w:qFormat/>
    <w:rPr>
      <w:rFonts w:ascii="Arial" w:hAnsi="Arial" w:cs="Arial"/>
      <w:vanish/>
      <w:kern w:val="2"/>
      <w:sz w:val="16"/>
      <w:szCs w:val="16"/>
    </w:rPr>
  </w:style>
  <w:style w:type="character" w:customStyle="1" w:styleId="z-">
    <w:name w:val="z-窗体顶端 字符"/>
    <w:qFormat/>
    <w:rPr>
      <w:rFonts w:ascii="Arial" w:hAnsi="Arial" w:cs="Arial"/>
      <w:vanish/>
      <w:sz w:val="16"/>
      <w:szCs w:val="16"/>
    </w:rPr>
  </w:style>
  <w:style w:type="character" w:customStyle="1" w:styleId="z-Char20">
    <w:name w:val="z-窗体底端 Char2"/>
    <w:uiPriority w:val="99"/>
    <w:semiHidden/>
    <w:qFormat/>
    <w:rPr>
      <w:rFonts w:ascii="Arial" w:hAnsi="Arial" w:cs="Arial"/>
      <w:vanish/>
      <w:kern w:val="2"/>
      <w:sz w:val="16"/>
      <w:szCs w:val="16"/>
    </w:rPr>
  </w:style>
  <w:style w:type="character" w:customStyle="1" w:styleId="z-0">
    <w:name w:val="z-窗体底端 字符"/>
    <w:qFormat/>
    <w:rPr>
      <w:sz w:val="18"/>
      <w:szCs w:val="18"/>
    </w:rPr>
  </w:style>
  <w:style w:type="paragraph" w:customStyle="1" w:styleId="2fffb">
    <w:name w:val="修订2"/>
    <w:rPr>
      <w:kern w:val="2"/>
      <w:sz w:val="24"/>
      <w:szCs w:val="24"/>
    </w:rPr>
  </w:style>
  <w:style w:type="table" w:customStyle="1" w:styleId="11ff0">
    <w:name w:val="三线表11"/>
    <w:basedOn w:val="ac"/>
    <w:qFormat/>
    <w:pPr>
      <w:widowControl w:val="0"/>
      <w:spacing w:afterLines="50" w:line="360"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paragraph" w:customStyle="1" w:styleId="5f7">
    <w:name w:val="正文缩进5"/>
    <w:basedOn w:val="a9"/>
    <w:qFormat/>
    <w:pPr>
      <w:widowControl/>
      <w:autoSpaceDE w:val="0"/>
      <w:autoSpaceDN w:val="0"/>
      <w:ind w:firstLine="420"/>
      <w:jc w:val="left"/>
      <w:textAlignment w:val="baseline"/>
    </w:pPr>
    <w:rPr>
      <w:rFonts w:hint="eastAsia"/>
      <w:kern w:val="2"/>
      <w:sz w:val="21"/>
      <w:szCs w:val="24"/>
    </w:rPr>
  </w:style>
  <w:style w:type="paragraph" w:customStyle="1" w:styleId="-e">
    <w:name w:val="报告书-表内格式"/>
    <w:basedOn w:val="a9"/>
    <w:qFormat/>
    <w:pPr>
      <w:widowControl/>
      <w:jc w:val="center"/>
    </w:pPr>
    <w:rPr>
      <w:kern w:val="2"/>
      <w:sz w:val="18"/>
    </w:rPr>
  </w:style>
  <w:style w:type="paragraph" w:customStyle="1" w:styleId="CharCharCharCharCharCharCharCharCharChar5">
    <w:name w:val="Char Char Char Char Char Char Char Char Char Char5"/>
    <w:basedOn w:val="a9"/>
    <w:qFormat/>
    <w:pPr>
      <w:widowControl/>
      <w:jc w:val="left"/>
    </w:pPr>
    <w:rPr>
      <w:kern w:val="2"/>
      <w:sz w:val="21"/>
      <w:szCs w:val="24"/>
    </w:rPr>
  </w:style>
  <w:style w:type="table" w:customStyle="1" w:styleId="12c">
    <w:name w:val="精巧型 1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8">
    <w:name w:val="立体型 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
    <w:name w:val="立体型 3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9">
    <w:name w:val="竖列型 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0">
    <w:name w:val="竖列型 4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fffc">
    <w:name w:val="三线表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0">
    <w:name w:val="网格型11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网格型11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网格型113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君邦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
    <w:name w:val="表格样式2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c">
    <w:name w:val="表格样式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1">
    <w:name w:val="君邦1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0">
    <w:name w:val="表格样式211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d">
    <w:name w:val="表格主题2"/>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character" w:customStyle="1" w:styleId="LP1Char">
    <w:name w:val="LP正文1 Char"/>
    <w:link w:val="LP1"/>
    <w:qFormat/>
    <w:rPr>
      <w:kern w:val="2"/>
      <w:sz w:val="24"/>
      <w:szCs w:val="24"/>
    </w:rPr>
  </w:style>
  <w:style w:type="paragraph" w:customStyle="1" w:styleId="LP1">
    <w:name w:val="LP正文1"/>
    <w:basedOn w:val="a9"/>
    <w:link w:val="LP1Char"/>
    <w:qFormat/>
    <w:pPr>
      <w:adjustRightInd w:val="0"/>
      <w:snapToGrid w:val="0"/>
      <w:spacing w:line="360" w:lineRule="auto"/>
      <w:ind w:firstLineChars="200" w:firstLine="480"/>
    </w:pPr>
    <w:rPr>
      <w:kern w:val="2"/>
      <w:sz w:val="24"/>
      <w:szCs w:val="24"/>
    </w:rPr>
  </w:style>
  <w:style w:type="character" w:customStyle="1" w:styleId="Charfffff2">
    <w:name w:val="报告表表格文字 Char"/>
    <w:link w:val="afffffffffff"/>
    <w:qFormat/>
    <w:rPr>
      <w:rFonts w:eastAsia="楷体_GB2312"/>
      <w:sz w:val="18"/>
      <w:szCs w:val="18"/>
    </w:rPr>
  </w:style>
  <w:style w:type="table" w:customStyle="1" w:styleId="-100">
    <w:name w:val="君邦-1.0"/>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customStyle="1" w:styleId="affffffffffffffffffffffff7">
    <w:name w:val="图中文字"/>
    <w:basedOn w:val="a9"/>
    <w:link w:val="Charfffffff"/>
    <w:qFormat/>
    <w:pPr>
      <w:jc w:val="center"/>
    </w:pPr>
    <w:rPr>
      <w:rFonts w:eastAsia="Times New Roman"/>
      <w:kern w:val="2"/>
      <w:sz w:val="18"/>
      <w:szCs w:val="18"/>
    </w:rPr>
  </w:style>
  <w:style w:type="character" w:customStyle="1" w:styleId="Charfffffff">
    <w:name w:val="图中文字 Char"/>
    <w:link w:val="affffffffffffffffffffffff7"/>
    <w:qFormat/>
    <w:rPr>
      <w:rFonts w:eastAsia="Times New Roman"/>
      <w:kern w:val="2"/>
      <w:sz w:val="18"/>
      <w:szCs w:val="18"/>
    </w:rPr>
  </w:style>
  <w:style w:type="paragraph" w:customStyle="1" w:styleId="Char160">
    <w:name w:val="Char16"/>
    <w:basedOn w:val="a9"/>
    <w:link w:val="CharChar150"/>
    <w:qFormat/>
    <w:rPr>
      <w:kern w:val="2"/>
      <w:sz w:val="21"/>
      <w:szCs w:val="24"/>
    </w:rPr>
  </w:style>
  <w:style w:type="paragraph" w:customStyle="1" w:styleId="Char150">
    <w:name w:val="Char15"/>
    <w:basedOn w:val="a9"/>
    <w:qFormat/>
    <w:rPr>
      <w:kern w:val="2"/>
      <w:sz w:val="21"/>
      <w:szCs w:val="24"/>
    </w:rPr>
  </w:style>
  <w:style w:type="paragraph" w:customStyle="1" w:styleId="CharCharChar1CharCharCharCharCharCharCharCharCharChar4">
    <w:name w:val="Char Char Char1 Char Char Char Char Char Char Char Char Char Char4"/>
    <w:basedOn w:val="a9"/>
    <w:qFormat/>
    <w:rPr>
      <w:kern w:val="2"/>
      <w:sz w:val="21"/>
      <w:szCs w:val="24"/>
    </w:rPr>
  </w:style>
  <w:style w:type="paragraph" w:customStyle="1" w:styleId="Char3CharCharCharCharCharChar4">
    <w:name w:val="Char3 Char Char Char Char Char Char4"/>
    <w:basedOn w:val="a9"/>
    <w:qFormat/>
    <w:pPr>
      <w:spacing w:line="360" w:lineRule="auto"/>
      <w:ind w:firstLineChars="200" w:firstLine="200"/>
    </w:pPr>
    <w:rPr>
      <w:rFonts w:ascii="宋体" w:hAnsi="宋体" w:cs="宋体"/>
      <w:kern w:val="2"/>
      <w:sz w:val="24"/>
      <w:szCs w:val="24"/>
    </w:rPr>
  </w:style>
  <w:style w:type="paragraph" w:customStyle="1" w:styleId="CharChar2Char4">
    <w:name w:val="Char Char2 Char4"/>
    <w:basedOn w:val="a9"/>
    <w:qFormat/>
    <w:pPr>
      <w:spacing w:line="360" w:lineRule="auto"/>
      <w:ind w:firstLineChars="200" w:firstLine="200"/>
    </w:pPr>
    <w:rPr>
      <w:rFonts w:ascii="宋体" w:hAnsi="宋体" w:cs="宋体"/>
      <w:kern w:val="2"/>
      <w:sz w:val="24"/>
      <w:szCs w:val="24"/>
    </w:rPr>
  </w:style>
  <w:style w:type="character" w:customStyle="1" w:styleId="CharChar150">
    <w:name w:val="Char Char15"/>
    <w:link w:val="Char160"/>
    <w:qFormat/>
    <w:rPr>
      <w:kern w:val="2"/>
      <w:sz w:val="21"/>
      <w:szCs w:val="24"/>
    </w:rPr>
  </w:style>
  <w:style w:type="paragraph" w:customStyle="1" w:styleId="Char44">
    <w:name w:val="Char44"/>
    <w:basedOn w:val="a9"/>
    <w:qFormat/>
    <w:pPr>
      <w:spacing w:line="360" w:lineRule="auto"/>
      <w:ind w:firstLineChars="200" w:firstLine="200"/>
    </w:pPr>
    <w:rPr>
      <w:rFonts w:ascii="宋体" w:hAnsi="宋体" w:cs="宋体"/>
      <w:kern w:val="2"/>
      <w:sz w:val="24"/>
      <w:szCs w:val="24"/>
    </w:rPr>
  </w:style>
  <w:style w:type="paragraph" w:customStyle="1" w:styleId="Char350">
    <w:name w:val="Char35"/>
    <w:basedOn w:val="a9"/>
    <w:qFormat/>
    <w:pPr>
      <w:spacing w:line="360" w:lineRule="auto"/>
      <w:ind w:firstLineChars="200" w:firstLine="200"/>
    </w:pPr>
    <w:rPr>
      <w:kern w:val="2"/>
      <w:sz w:val="24"/>
    </w:rPr>
  </w:style>
  <w:style w:type="paragraph" w:customStyle="1" w:styleId="5f8">
    <w:name w:val="正文首行缩进5"/>
    <w:basedOn w:val="afd"/>
    <w:qFormat/>
    <w:pPr>
      <w:adjustRightInd w:val="0"/>
      <w:spacing w:after="120" w:line="312" w:lineRule="atLeast"/>
      <w:ind w:firstLineChars="0" w:firstLine="420"/>
      <w:textAlignment w:val="baseline"/>
    </w:pPr>
    <w:rPr>
      <w:rFonts w:ascii="Times New Roman" w:hAnsi="Times New Roman"/>
      <w:kern w:val="0"/>
      <w:sz w:val="27"/>
      <w:lang w:val="zh-CN"/>
    </w:rPr>
  </w:style>
  <w:style w:type="character" w:customStyle="1" w:styleId="95">
    <w:name w:val="标题9"/>
    <w:qFormat/>
  </w:style>
  <w:style w:type="paragraph" w:customStyle="1" w:styleId="69">
    <w:name w:val="批注框文本6"/>
    <w:basedOn w:val="a9"/>
    <w:semiHidden/>
    <w:qFormat/>
    <w:rPr>
      <w:rFonts w:ascii="Tahoma" w:hAnsi="Tahoma" w:cs="Tahoma"/>
      <w:kern w:val="2"/>
      <w:sz w:val="16"/>
      <w:szCs w:val="16"/>
    </w:rPr>
  </w:style>
  <w:style w:type="paragraph" w:customStyle="1" w:styleId="CharChar3Char4">
    <w:name w:val="Char Char3 Char4"/>
    <w:basedOn w:val="a9"/>
    <w:qFormat/>
    <w:pPr>
      <w:spacing w:line="360" w:lineRule="auto"/>
      <w:ind w:firstLineChars="200" w:firstLine="200"/>
    </w:pPr>
    <w:rPr>
      <w:rFonts w:ascii="宋体" w:hAnsi="宋体" w:cs="宋体"/>
      <w:kern w:val="2"/>
      <w:sz w:val="24"/>
      <w:szCs w:val="24"/>
    </w:rPr>
  </w:style>
  <w:style w:type="character" w:customStyle="1" w:styleId="CharChar26">
    <w:name w:val="Char Char26"/>
    <w:qFormat/>
    <w:rPr>
      <w:rFonts w:eastAsia="宋体"/>
      <w:kern w:val="2"/>
      <w:sz w:val="18"/>
      <w:lang w:val="en-US" w:eastAsia="zh-CN" w:bidi="ar-SA"/>
    </w:rPr>
  </w:style>
  <w:style w:type="paragraph" w:customStyle="1" w:styleId="5f9">
    <w:name w:val="纯文本5"/>
    <w:basedOn w:val="a9"/>
    <w:qFormat/>
    <w:pPr>
      <w:adjustRightInd w:val="0"/>
      <w:textAlignment w:val="baseline"/>
    </w:pPr>
    <w:rPr>
      <w:rFonts w:ascii="宋体"/>
      <w:sz w:val="21"/>
    </w:rPr>
  </w:style>
  <w:style w:type="paragraph" w:customStyle="1" w:styleId="CharChar38">
    <w:name w:val="Char Char38"/>
    <w:basedOn w:val="a9"/>
    <w:semiHidden/>
    <w:qFormat/>
    <w:pPr>
      <w:spacing w:afterLines="50" w:after="156" w:line="560" w:lineRule="exact"/>
    </w:pPr>
    <w:rPr>
      <w:rFonts w:eastAsia="黑体"/>
      <w:kern w:val="2"/>
      <w:sz w:val="30"/>
      <w:szCs w:val="30"/>
    </w:rPr>
  </w:style>
  <w:style w:type="paragraph" w:customStyle="1" w:styleId="CharCharCharCharCharCharChar5">
    <w:name w:val="Char Char Char Char Char Char Char5"/>
    <w:basedOn w:val="a9"/>
    <w:qFormat/>
    <w:pPr>
      <w:spacing w:line="360" w:lineRule="auto"/>
      <w:ind w:firstLineChars="200" w:firstLine="200"/>
    </w:pPr>
    <w:rPr>
      <w:rFonts w:ascii="宋体" w:hAnsi="宋体" w:cs="宋体"/>
      <w:kern w:val="2"/>
      <w:sz w:val="24"/>
      <w:szCs w:val="24"/>
    </w:rPr>
  </w:style>
  <w:style w:type="character" w:customStyle="1" w:styleId="CharChar184">
    <w:name w:val="Char Char184"/>
    <w:qFormat/>
    <w:rPr>
      <w:rFonts w:ascii="Arial" w:eastAsia="宋体" w:hAnsi="Arial"/>
      <w:b/>
      <w:bCs/>
      <w:kern w:val="2"/>
      <w:sz w:val="32"/>
      <w:szCs w:val="32"/>
      <w:lang w:val="en-US" w:eastAsia="zh-CN" w:bidi="ar-SA"/>
    </w:rPr>
  </w:style>
  <w:style w:type="paragraph" w:customStyle="1" w:styleId="CharCharCharCharCharChar1CharCharCharChar4">
    <w:name w:val="Char Char Char Char Char Char1 Char Char Char Char4"/>
    <w:basedOn w:val="a9"/>
    <w:qFormat/>
    <w:rPr>
      <w:rFonts w:ascii="Tahoma" w:hAnsi="Tahoma"/>
      <w:kern w:val="2"/>
      <w:sz w:val="24"/>
    </w:rPr>
  </w:style>
  <w:style w:type="paragraph" w:customStyle="1" w:styleId="96">
    <w:name w:val="正文9"/>
    <w:qFormat/>
    <w:pPr>
      <w:autoSpaceDE w:val="0"/>
      <w:autoSpaceDN w:val="0"/>
      <w:adjustRightInd w:val="0"/>
      <w:spacing w:line="360" w:lineRule="atLeast"/>
      <w:ind w:firstLine="539"/>
      <w:jc w:val="both"/>
    </w:pPr>
    <w:rPr>
      <w:rFonts w:ascii="宋体"/>
      <w:spacing w:val="30"/>
      <w:sz w:val="24"/>
    </w:rPr>
  </w:style>
  <w:style w:type="paragraph" w:customStyle="1" w:styleId="5fa">
    <w:name w:val="价格变化趋5"/>
    <w:basedOn w:val="a9"/>
    <w:qFormat/>
    <w:pPr>
      <w:adjustRightInd w:val="0"/>
      <w:spacing w:line="315" w:lineRule="atLeast"/>
      <w:jc w:val="left"/>
      <w:textAlignment w:val="baseline"/>
    </w:pPr>
    <w:rPr>
      <w:rFonts w:ascii="宋体"/>
      <w:sz w:val="21"/>
    </w:rPr>
  </w:style>
  <w:style w:type="paragraph" w:customStyle="1" w:styleId="6a">
    <w:name w:val="字元6"/>
    <w:basedOn w:val="a9"/>
    <w:qFormat/>
    <w:rPr>
      <w:kern w:val="2"/>
      <w:sz w:val="24"/>
      <w:szCs w:val="24"/>
    </w:rPr>
  </w:style>
  <w:style w:type="paragraph" w:customStyle="1" w:styleId="157">
    <w:name w:val="字元15"/>
    <w:basedOn w:val="a9"/>
    <w:qFormat/>
    <w:rPr>
      <w:kern w:val="2"/>
      <w:sz w:val="21"/>
      <w:szCs w:val="21"/>
    </w:rPr>
  </w:style>
  <w:style w:type="character" w:customStyle="1" w:styleId="2CharChar4">
    <w:name w:val="字元2 Char Char4"/>
    <w:qFormat/>
    <w:rPr>
      <w:rFonts w:eastAsia="楷体_GB2312"/>
      <w:sz w:val="21"/>
      <w:lang w:val="en-US" w:eastAsia="zh-CN" w:bidi="ar-SA"/>
    </w:rPr>
  </w:style>
  <w:style w:type="paragraph" w:customStyle="1" w:styleId="Char240">
    <w:name w:val="Char24"/>
    <w:basedOn w:val="a9"/>
    <w:qFormat/>
    <w:pPr>
      <w:spacing w:line="360" w:lineRule="auto"/>
      <w:jc w:val="left"/>
    </w:pPr>
    <w:rPr>
      <w:rFonts w:ascii="宋体" w:hAnsi="宋体" w:cs="宋体"/>
      <w:kern w:val="2"/>
      <w:sz w:val="24"/>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9"/>
    <w:qFormat/>
    <w:pPr>
      <w:spacing w:line="360" w:lineRule="auto"/>
      <w:ind w:firstLineChars="200" w:firstLine="200"/>
    </w:pPr>
    <w:rPr>
      <w:rFonts w:ascii="宋体" w:hAnsi="宋体" w:cs="宋体"/>
      <w:kern w:val="2"/>
      <w:sz w:val="24"/>
      <w:szCs w:val="24"/>
    </w:rPr>
  </w:style>
  <w:style w:type="paragraph" w:customStyle="1" w:styleId="CharChar1Char2CharCharChar4">
    <w:name w:val="Char Char1 Char2 Char Char Char4"/>
    <w:basedOn w:val="a9"/>
    <w:qFormat/>
    <w:pPr>
      <w:spacing w:line="360" w:lineRule="auto"/>
      <w:ind w:firstLineChars="200" w:firstLine="200"/>
    </w:pPr>
    <w:rPr>
      <w:rFonts w:ascii="宋体" w:hAnsi="宋体" w:cs="宋体"/>
      <w:kern w:val="2"/>
      <w:sz w:val="24"/>
      <w:szCs w:val="24"/>
    </w:rPr>
  </w:style>
  <w:style w:type="paragraph" w:customStyle="1" w:styleId="CharChar1CharCharCharCharCharCharCharCharCharChar4">
    <w:name w:val="Char Char1 Char Char Char Char Char Char Char Char Char Char4"/>
    <w:basedOn w:val="a9"/>
    <w:qFormat/>
    <w:pPr>
      <w:spacing w:line="360" w:lineRule="auto"/>
      <w:ind w:firstLineChars="200" w:firstLine="200"/>
    </w:pPr>
    <w:rPr>
      <w:rFonts w:ascii="宋体" w:hAnsi="宋体" w:cs="宋体"/>
      <w:kern w:val="2"/>
      <w:sz w:val="24"/>
      <w:szCs w:val="24"/>
    </w:rPr>
  </w:style>
  <w:style w:type="paragraph" w:customStyle="1" w:styleId="Char2CharCharChar5">
    <w:name w:val="Char2 Char Char Char5"/>
    <w:basedOn w:val="3"/>
    <w:qFormat/>
    <w:pPr>
      <w:keepNext/>
      <w:keepLines/>
      <w:numPr>
        <w:ilvl w:val="0"/>
        <w:numId w:val="0"/>
      </w:numPr>
      <w:tabs>
        <w:tab w:val="clear" w:pos="720"/>
        <w:tab w:val="left" w:pos="360"/>
        <w:tab w:val="left" w:pos="900"/>
      </w:tabs>
      <w:spacing w:before="120" w:after="120"/>
      <w:ind w:leftChars="-12" w:left="542" w:firstLineChars="200" w:firstLine="200"/>
    </w:pPr>
    <w:rPr>
      <w:b w:val="0"/>
      <w:snapToGrid w:val="0"/>
      <w:kern w:val="2"/>
      <w:szCs w:val="24"/>
      <w:lang w:val="zh-CN"/>
    </w:rPr>
  </w:style>
  <w:style w:type="paragraph" w:customStyle="1" w:styleId="5fb">
    <w:name w:val="引用5"/>
    <w:basedOn w:val="a9"/>
    <w:next w:val="a9"/>
    <w:qFormat/>
    <w:pPr>
      <w:widowControl/>
      <w:spacing w:line="480" w:lineRule="exact"/>
      <w:ind w:firstLineChars="200" w:firstLine="200"/>
    </w:pPr>
    <w:rPr>
      <w:rFonts w:eastAsia="黑体"/>
      <w:i/>
      <w:iCs/>
      <w:color w:val="000000"/>
      <w:kern w:val="2"/>
      <w:sz w:val="21"/>
      <w:szCs w:val="24"/>
    </w:rPr>
  </w:style>
  <w:style w:type="character" w:customStyle="1" w:styleId="CharChar44">
    <w:name w:val="Char Char44"/>
    <w:qFormat/>
    <w:rPr>
      <w:rFonts w:ascii="Times New Roman" w:eastAsia="宋体" w:hAnsi="Times New Roman" w:cs="Times New Roman"/>
      <w:sz w:val="18"/>
      <w:szCs w:val="18"/>
    </w:rPr>
  </w:style>
  <w:style w:type="character" w:customStyle="1" w:styleId="CharCharCharChar14">
    <w:name w:val="Char Char Char Char14"/>
    <w:qFormat/>
    <w:rPr>
      <w:rFonts w:eastAsia="宋体"/>
      <w:color w:val="000000"/>
      <w:kern w:val="2"/>
      <w:sz w:val="18"/>
      <w:szCs w:val="24"/>
      <w:lang w:val="en-US" w:eastAsia="zh-CN" w:bidi="ar-SA"/>
    </w:rPr>
  </w:style>
  <w:style w:type="paragraph" w:customStyle="1" w:styleId="CharCharChar1CharCharChar4">
    <w:name w:val="Char Char Char1 Char Char Char4"/>
    <w:basedOn w:val="a9"/>
    <w:qFormat/>
    <w:pPr>
      <w:spacing w:line="360" w:lineRule="auto"/>
      <w:ind w:firstLineChars="200" w:firstLine="200"/>
    </w:pPr>
    <w:rPr>
      <w:rFonts w:ascii="宋体" w:hAnsi="宋体" w:cs="宋体"/>
      <w:kern w:val="2"/>
      <w:sz w:val="24"/>
      <w:szCs w:val="24"/>
    </w:rPr>
  </w:style>
  <w:style w:type="character" w:customStyle="1" w:styleId="CharChar204">
    <w:name w:val="Char Char204"/>
    <w:qFormat/>
    <w:rPr>
      <w:rFonts w:ascii="宋体" w:eastAsia="宋体" w:hAnsi="宋体" w:cs="Times New Roman"/>
      <w:sz w:val="32"/>
      <w:szCs w:val="20"/>
    </w:rPr>
  </w:style>
  <w:style w:type="paragraph" w:customStyle="1" w:styleId="CharChar40">
    <w:name w:val="Char Char 字元4"/>
    <w:basedOn w:val="a9"/>
    <w:qFormat/>
    <w:pPr>
      <w:spacing w:line="400" w:lineRule="exact"/>
      <w:ind w:firstLineChars="200" w:firstLine="200"/>
    </w:pPr>
    <w:rPr>
      <w:kern w:val="2"/>
      <w:sz w:val="28"/>
      <w:szCs w:val="28"/>
    </w:rPr>
  </w:style>
  <w:style w:type="paragraph" w:customStyle="1" w:styleId="CharCharCharChar40">
    <w:name w:val="Char Char 字元 Char Char 字元 字元 字元4"/>
    <w:basedOn w:val="a9"/>
    <w:qFormat/>
    <w:pPr>
      <w:spacing w:line="400" w:lineRule="exact"/>
      <w:ind w:firstLineChars="200" w:firstLine="200"/>
    </w:pPr>
    <w:rPr>
      <w:kern w:val="2"/>
      <w:sz w:val="28"/>
      <w:szCs w:val="28"/>
    </w:rPr>
  </w:style>
  <w:style w:type="paragraph" w:customStyle="1" w:styleId="CharCharCharChar41">
    <w:name w:val="Char Char 字元 Char Char 字元4"/>
    <w:basedOn w:val="a9"/>
    <w:qFormat/>
    <w:pPr>
      <w:spacing w:line="400" w:lineRule="exact"/>
      <w:ind w:firstLineChars="200" w:firstLine="200"/>
    </w:pPr>
    <w:rPr>
      <w:kern w:val="2"/>
      <w:sz w:val="28"/>
      <w:szCs w:val="28"/>
    </w:rPr>
  </w:style>
  <w:style w:type="paragraph" w:customStyle="1" w:styleId="CharCharCharCharCharCharCharCharCharChar6">
    <w:name w:val="Char Char Char Char Char Char Char Char Char Char6"/>
    <w:basedOn w:val="a9"/>
    <w:qFormat/>
    <w:rPr>
      <w:kern w:val="2"/>
      <w:sz w:val="21"/>
      <w:szCs w:val="24"/>
    </w:rPr>
  </w:style>
  <w:style w:type="character" w:customStyle="1" w:styleId="CharCharff0">
    <w:name w:val="段 Char Char"/>
    <w:qFormat/>
    <w:rPr>
      <w:rFonts w:ascii="宋体" w:eastAsia="宋体"/>
      <w:sz w:val="21"/>
      <w:lang w:val="en-US" w:eastAsia="zh-CN" w:bidi="ar-SA"/>
    </w:rPr>
  </w:style>
  <w:style w:type="character" w:customStyle="1" w:styleId="z-12">
    <w:name w:val="z-窗体顶端 字符1"/>
    <w:link w:val="z-3"/>
    <w:qFormat/>
    <w:rPr>
      <w:rFonts w:ascii="Arial" w:hAnsi="Arial" w:cs="Arial"/>
      <w:vanish/>
      <w:kern w:val="2"/>
      <w:sz w:val="16"/>
      <w:szCs w:val="16"/>
    </w:rPr>
  </w:style>
  <w:style w:type="paragraph" w:customStyle="1" w:styleId="z-3">
    <w:name w:val="z-窗体顶端3"/>
    <w:basedOn w:val="a9"/>
    <w:next w:val="a9"/>
    <w:link w:val="z-12"/>
    <w:pPr>
      <w:widowControl/>
      <w:pBdr>
        <w:bottom w:val="single" w:sz="6" w:space="1" w:color="auto"/>
      </w:pBdr>
      <w:spacing w:line="0" w:lineRule="atLeast"/>
      <w:jc w:val="center"/>
    </w:pPr>
    <w:rPr>
      <w:rFonts w:ascii="Arial" w:hAnsi="Arial" w:cs="Arial"/>
      <w:vanish/>
      <w:kern w:val="2"/>
      <w:sz w:val="16"/>
      <w:szCs w:val="16"/>
    </w:rPr>
  </w:style>
  <w:style w:type="character" w:customStyle="1" w:styleId="z-13">
    <w:name w:val="z-窗体底端 字符1"/>
    <w:link w:val="z-30"/>
    <w:qFormat/>
    <w:rPr>
      <w:rFonts w:ascii="Arial" w:hAnsi="Arial" w:cs="Arial"/>
      <w:vanish/>
      <w:kern w:val="2"/>
      <w:sz w:val="16"/>
      <w:szCs w:val="16"/>
    </w:rPr>
  </w:style>
  <w:style w:type="paragraph" w:customStyle="1" w:styleId="z-30">
    <w:name w:val="z-窗体底端3"/>
    <w:basedOn w:val="a9"/>
    <w:next w:val="a9"/>
    <w:link w:val="z-13"/>
    <w:pPr>
      <w:widowControl/>
      <w:pBdr>
        <w:top w:val="single" w:sz="6" w:space="1" w:color="auto"/>
      </w:pBdr>
      <w:spacing w:line="0" w:lineRule="atLeast"/>
      <w:jc w:val="center"/>
    </w:pPr>
    <w:rPr>
      <w:rFonts w:ascii="Arial" w:hAnsi="Arial" w:cs="Arial"/>
      <w:vanish/>
      <w:kern w:val="2"/>
      <w:sz w:val="16"/>
      <w:szCs w:val="16"/>
    </w:rPr>
  </w:style>
  <w:style w:type="paragraph" w:customStyle="1" w:styleId="TOC3">
    <w:name w:val="TOC 标题3"/>
    <w:basedOn w:val="1"/>
    <w:next w:val="a9"/>
    <w:qFormat/>
    <w:pPr>
      <w:pageBreakBefore w:val="0"/>
      <w:widowControl/>
      <w:numPr>
        <w:numId w:val="0"/>
      </w:numPr>
      <w:spacing w:before="480" w:after="0" w:line="276" w:lineRule="auto"/>
      <w:jc w:val="center"/>
      <w:outlineLvl w:val="9"/>
    </w:pPr>
    <w:rPr>
      <w:rFonts w:ascii="Cambria" w:hAnsi="Cambria"/>
      <w:bCs/>
      <w:color w:val="365F91"/>
      <w:kern w:val="0"/>
      <w:szCs w:val="28"/>
      <w:lang w:val="zh-CN"/>
    </w:rPr>
  </w:style>
  <w:style w:type="character" w:customStyle="1" w:styleId="1fffffff">
    <w:name w:val="明显参考1"/>
    <w:uiPriority w:val="32"/>
    <w:qFormat/>
    <w:rPr>
      <w:b/>
      <w:bCs/>
      <w:smallCaps/>
      <w:color w:val="4472C4"/>
      <w:spacing w:val="5"/>
    </w:rPr>
  </w:style>
  <w:style w:type="character" w:customStyle="1" w:styleId="CharCharff1">
    <w:name w:val="图表脚注 Char Char"/>
    <w:link w:val="affffffffffffffffffffffff8"/>
    <w:qFormat/>
    <w:rPr>
      <w:rFonts w:ascii="宋体"/>
      <w:sz w:val="18"/>
      <w:vertAlign w:val="superscript"/>
    </w:rPr>
  </w:style>
  <w:style w:type="paragraph" w:customStyle="1" w:styleId="affffffffffffffffffffffff8">
    <w:name w:val="图表脚注"/>
    <w:next w:val="4"/>
    <w:link w:val="CharCharff1"/>
    <w:qFormat/>
    <w:pPr>
      <w:ind w:leftChars="200" w:left="740" w:hangingChars="100" w:hanging="180"/>
      <w:jc w:val="both"/>
    </w:pPr>
    <w:rPr>
      <w:rFonts w:ascii="宋体"/>
      <w:sz w:val="18"/>
      <w:vertAlign w:val="superscript"/>
    </w:rPr>
  </w:style>
  <w:style w:type="paragraph" w:customStyle="1" w:styleId="2fffe">
    <w:name w:val="正文首行缩进2字符，报告书"/>
    <w:basedOn w:val="a9"/>
    <w:qFormat/>
    <w:pPr>
      <w:spacing w:line="336" w:lineRule="auto"/>
      <w:ind w:firstLine="482"/>
    </w:pPr>
    <w:rPr>
      <w:rFonts w:ascii="Calibri" w:hAnsi="Calibri" w:cs="黑体"/>
      <w:kern w:val="2"/>
      <w:sz w:val="24"/>
    </w:rPr>
  </w:style>
  <w:style w:type="character" w:customStyle="1" w:styleId="Char1ff6">
    <w:name w:val="题注 Char1"/>
    <w:qFormat/>
    <w:rPr>
      <w:rFonts w:ascii="Arial" w:eastAsia="黑体" w:hAnsi="Arial" w:cs="Arial"/>
      <w:lang w:val="en-US" w:eastAsia="zh-CN" w:bidi="ar-SA"/>
    </w:rPr>
  </w:style>
  <w:style w:type="character" w:customStyle="1" w:styleId="CharCharff2">
    <w:name w:val="条文首行缩进 Char Char"/>
    <w:link w:val="affffffffffffffffffffffff9"/>
    <w:qFormat/>
    <w:rPr>
      <w:rFonts w:ascii="Arial" w:hAnsi="Arial"/>
      <w:kern w:val="2"/>
      <w:sz w:val="24"/>
      <w:szCs w:val="24"/>
    </w:rPr>
  </w:style>
  <w:style w:type="paragraph" w:customStyle="1" w:styleId="affffffffffffffffffffffff9">
    <w:name w:val="条文首行缩进"/>
    <w:basedOn w:val="a9"/>
    <w:link w:val="CharCharff2"/>
    <w:qFormat/>
    <w:pPr>
      <w:ind w:firstLineChars="200" w:firstLine="480"/>
    </w:pPr>
    <w:rPr>
      <w:rFonts w:ascii="Arial" w:hAnsi="Arial"/>
      <w:kern w:val="2"/>
      <w:sz w:val="24"/>
      <w:szCs w:val="24"/>
    </w:rPr>
  </w:style>
  <w:style w:type="paragraph" w:customStyle="1" w:styleId="affffffffffffffffffffffffa">
    <w:name w:val="报告书表格格式"/>
    <w:basedOn w:val="a9"/>
    <w:qFormat/>
    <w:pPr>
      <w:adjustRightInd w:val="0"/>
      <w:snapToGrid w:val="0"/>
      <w:jc w:val="center"/>
    </w:pPr>
    <w:rPr>
      <w:kern w:val="2"/>
      <w:sz w:val="18"/>
      <w:szCs w:val="18"/>
    </w:rPr>
  </w:style>
  <w:style w:type="character" w:customStyle="1" w:styleId="Charfffffff0">
    <w:name w:val="正文（报告书） Char"/>
    <w:link w:val="affffffffffffffffffffffffb"/>
    <w:qFormat/>
    <w:rPr>
      <w:bCs/>
      <w:snapToGrid w:val="0"/>
      <w:sz w:val="24"/>
    </w:rPr>
  </w:style>
  <w:style w:type="paragraph" w:customStyle="1" w:styleId="affffffffffffffffffffffffb">
    <w:name w:val="正文（报告书）"/>
    <w:link w:val="Charfffffff0"/>
    <w:pPr>
      <w:spacing w:after="60" w:line="360" w:lineRule="auto"/>
      <w:ind w:firstLineChars="200" w:firstLine="200"/>
      <w:jc w:val="both"/>
    </w:pPr>
    <w:rPr>
      <w:bCs/>
      <w:snapToGrid w:val="0"/>
      <w:sz w:val="24"/>
    </w:rPr>
  </w:style>
  <w:style w:type="character" w:customStyle="1" w:styleId="Charfffffff1">
    <w:name w:val="标题 Char"/>
    <w:qFormat/>
    <w:rPr>
      <w:rFonts w:ascii="Cambria" w:hAnsi="Cambria" w:cs="Times New Roman"/>
      <w:b/>
      <w:bCs/>
      <w:kern w:val="2"/>
      <w:sz w:val="32"/>
      <w:szCs w:val="32"/>
    </w:rPr>
  </w:style>
  <w:style w:type="character" w:customStyle="1" w:styleId="15CharChar">
    <w:name w:val="样式 (符号) 宋体 四号 黑色 行距: 1.5 倍行距 Char Char"/>
    <w:link w:val="158"/>
    <w:uiPriority w:val="99"/>
    <w:qFormat/>
    <w:locked/>
    <w:rPr>
      <w:rFonts w:hAnsi="宋体"/>
      <w:color w:val="000000"/>
      <w:kern w:val="2"/>
      <w:sz w:val="28"/>
    </w:rPr>
  </w:style>
  <w:style w:type="paragraph" w:customStyle="1" w:styleId="158">
    <w:name w:val="样式 (符号) 宋体 四号 黑色 行距: 1.5 倍行距"/>
    <w:basedOn w:val="a9"/>
    <w:next w:val="a9"/>
    <w:link w:val="15CharChar"/>
    <w:uiPriority w:val="99"/>
    <w:qFormat/>
    <w:pPr>
      <w:spacing w:line="360" w:lineRule="auto"/>
      <w:ind w:firstLineChars="200" w:firstLine="560"/>
    </w:pPr>
    <w:rPr>
      <w:rFonts w:hAnsi="宋体"/>
      <w:color w:val="000000"/>
      <w:kern w:val="2"/>
      <w:sz w:val="28"/>
    </w:rPr>
  </w:style>
  <w:style w:type="character" w:customStyle="1" w:styleId="Charfffffff2">
    <w:name w:val="副标题 Char"/>
    <w:qFormat/>
    <w:rPr>
      <w:rFonts w:ascii="Cambria" w:hAnsi="Cambria" w:cs="Times New Roman"/>
      <w:b/>
      <w:bCs/>
      <w:kern w:val="28"/>
      <w:sz w:val="32"/>
      <w:szCs w:val="32"/>
    </w:rPr>
  </w:style>
  <w:style w:type="character" w:customStyle="1" w:styleId="hl">
    <w:name w:val="hl"/>
    <w:qFormat/>
  </w:style>
  <w:style w:type="character" w:customStyle="1" w:styleId="CharCharff3">
    <w:name w:val="三级标题 Char Char"/>
    <w:uiPriority w:val="99"/>
    <w:qFormat/>
    <w:locked/>
    <w:rPr>
      <w:rFonts w:ascii="仿宋_GB2312" w:eastAsia="仿宋_GB2312" w:hAnsi="仿宋"/>
      <w:b/>
      <w:kern w:val="2"/>
      <w:sz w:val="30"/>
    </w:rPr>
  </w:style>
  <w:style w:type="character" w:customStyle="1" w:styleId="3CharCharChar2">
    <w:name w:val="样式3 Char Char Char"/>
    <w:uiPriority w:val="99"/>
    <w:qFormat/>
    <w:rPr>
      <w:rFonts w:ascii="宋体" w:eastAsia="宋体" w:hAnsi="宋体"/>
      <w:sz w:val="28"/>
      <w:lang w:val="en-US" w:eastAsia="zh-CN"/>
    </w:rPr>
  </w:style>
  <w:style w:type="character" w:customStyle="1" w:styleId="font112">
    <w:name w:val="font112"/>
    <w:qFormat/>
    <w:rPr>
      <w:rFonts w:ascii="宋体" w:eastAsia="宋体" w:hAnsi="宋体" w:cs="宋体" w:hint="eastAsia"/>
      <w:color w:val="0000FF"/>
      <w:sz w:val="20"/>
      <w:szCs w:val="20"/>
      <w:u w:val="none"/>
    </w:rPr>
  </w:style>
  <w:style w:type="character" w:customStyle="1" w:styleId="3Char21">
    <w:name w:val="样式3 Char2"/>
    <w:qFormat/>
    <w:rPr>
      <w:rFonts w:eastAsia="宋体"/>
      <w:sz w:val="24"/>
      <w:szCs w:val="28"/>
      <w:lang w:val="en-US" w:eastAsia="zh-CN" w:bidi="ar-SA"/>
    </w:rPr>
  </w:style>
  <w:style w:type="character" w:customStyle="1" w:styleId="1TimesNewRomanChar">
    <w:name w:val="样式1 + (西文) Times New Roman (中文) 新宋体 Char"/>
    <w:link w:val="1TimesNewRoman0"/>
    <w:qFormat/>
    <w:rPr>
      <w:sz w:val="24"/>
      <w:szCs w:val="21"/>
    </w:rPr>
  </w:style>
  <w:style w:type="paragraph" w:customStyle="1" w:styleId="1TimesNewRoman0">
    <w:name w:val="样式1 + (西文) Times New Roman (中文) 新宋体"/>
    <w:basedOn w:val="a9"/>
    <w:next w:val="a9"/>
    <w:link w:val="1TimesNewRomanChar"/>
    <w:qFormat/>
    <w:pPr>
      <w:spacing w:line="500" w:lineRule="exact"/>
      <w:ind w:firstLineChars="200" w:firstLine="200"/>
    </w:pPr>
    <w:rPr>
      <w:sz w:val="24"/>
      <w:szCs w:val="21"/>
    </w:rPr>
  </w:style>
  <w:style w:type="character" w:customStyle="1" w:styleId="BodyText2Char">
    <w:name w:val="Body Text 2 Char"/>
    <w:uiPriority w:val="99"/>
    <w:qFormat/>
    <w:locked/>
    <w:rPr>
      <w:rFonts w:eastAsia="宋体"/>
      <w:kern w:val="2"/>
      <w:sz w:val="28"/>
      <w:lang w:val="en-US" w:eastAsia="zh-CN"/>
    </w:rPr>
  </w:style>
  <w:style w:type="character" w:customStyle="1" w:styleId="font161">
    <w:name w:val="font161"/>
    <w:qFormat/>
    <w:rPr>
      <w:rFonts w:ascii="宋体" w:eastAsia="宋体" w:hAnsi="宋体" w:cs="宋体" w:hint="eastAsia"/>
      <w:color w:val="000000"/>
      <w:sz w:val="20"/>
      <w:szCs w:val="20"/>
      <w:u w:val="none"/>
      <w:vertAlign w:val="superscript"/>
    </w:rPr>
  </w:style>
  <w:style w:type="character" w:customStyle="1" w:styleId="3Char13">
    <w:name w:val="样式3 Char1"/>
    <w:qFormat/>
    <w:rPr>
      <w:rFonts w:eastAsia="黑体"/>
      <w:kern w:val="2"/>
      <w:sz w:val="24"/>
    </w:rPr>
  </w:style>
  <w:style w:type="character" w:customStyle="1" w:styleId="Charfffffff3">
    <w:name w:val="尾注文本 Char"/>
    <w:qFormat/>
    <w:rPr>
      <w:kern w:val="2"/>
      <w:sz w:val="21"/>
    </w:rPr>
  </w:style>
  <w:style w:type="character" w:customStyle="1" w:styleId="FooterChar">
    <w:name w:val="Footer Char"/>
    <w:uiPriority w:val="99"/>
    <w:qFormat/>
    <w:locked/>
    <w:rPr>
      <w:sz w:val="18"/>
    </w:rPr>
  </w:style>
  <w:style w:type="character" w:customStyle="1" w:styleId="TitleChar">
    <w:name w:val="Title Char"/>
    <w:uiPriority w:val="99"/>
    <w:qFormat/>
    <w:locked/>
    <w:rPr>
      <w:rFonts w:ascii="Cambria" w:eastAsia="宋体" w:hAnsi="Cambria"/>
      <w:b/>
      <w:kern w:val="2"/>
      <w:sz w:val="32"/>
      <w:lang w:val="en-US" w:eastAsia="zh-CN"/>
    </w:rPr>
  </w:style>
  <w:style w:type="character" w:customStyle="1" w:styleId="Charfffffff4">
    <w:name w:val="页脚 Char"/>
    <w:uiPriority w:val="99"/>
    <w:qFormat/>
    <w:rPr>
      <w:rFonts w:eastAsia="Calibri"/>
      <w:sz w:val="21"/>
    </w:rPr>
  </w:style>
  <w:style w:type="character" w:customStyle="1" w:styleId="lineheigh201">
    <w:name w:val="lineheigh201"/>
    <w:uiPriority w:val="99"/>
    <w:qFormat/>
  </w:style>
  <w:style w:type="paragraph" w:customStyle="1" w:styleId="3GB23122">
    <w:name w:val="样式 样式3 + 仿宋_GB2312 首行缩进:  2 字符"/>
    <w:basedOn w:val="3f2"/>
    <w:qFormat/>
    <w:pPr>
      <w:keepNext w:val="0"/>
      <w:keepLines w:val="0"/>
      <w:widowControl/>
      <w:tabs>
        <w:tab w:val="clear" w:pos="709"/>
      </w:tabs>
      <w:snapToGrid/>
      <w:spacing w:before="0" w:line="360" w:lineRule="auto"/>
      <w:ind w:left="0" w:firstLineChars="200" w:firstLine="480"/>
      <w:jc w:val="left"/>
      <w:outlineLvl w:val="9"/>
    </w:pPr>
    <w:rPr>
      <w:rFonts w:ascii="仿宋_GB2312" w:eastAsia="仿宋_GB2312" w:cs="宋体"/>
      <w:sz w:val="28"/>
    </w:rPr>
  </w:style>
  <w:style w:type="paragraph" w:customStyle="1" w:styleId="CharCharChar1CharCharChar1CharCharCharCharCharCharCharCharCharCharCharChar1CharCharCharCharCharCharChar">
    <w:name w:val="Char Char Char1 Char Char Char1 Char Char Char Char Char Char Char Char Char Char Char Char1 Char Char Char Char Char Char Char"/>
    <w:basedOn w:val="a9"/>
    <w:qFormat/>
    <w:pPr>
      <w:widowControl/>
      <w:spacing w:after="160" w:line="240" w:lineRule="exact"/>
      <w:jc w:val="left"/>
    </w:pPr>
    <w:rPr>
      <w:kern w:val="2"/>
      <w:sz w:val="21"/>
    </w:rPr>
  </w:style>
  <w:style w:type="paragraph" w:customStyle="1" w:styleId="font19">
    <w:name w:val="font19"/>
    <w:basedOn w:val="a9"/>
    <w:qFormat/>
    <w:pPr>
      <w:widowControl/>
      <w:spacing w:before="100" w:beforeAutospacing="1" w:after="100" w:afterAutospacing="1"/>
      <w:jc w:val="left"/>
    </w:pPr>
    <w:rPr>
      <w:rFonts w:ascii="宋体" w:hAnsi="宋体" w:cs="宋体"/>
      <w:color w:val="FF00FF"/>
      <w:sz w:val="24"/>
      <w:szCs w:val="24"/>
    </w:rPr>
  </w:style>
  <w:style w:type="paragraph" w:customStyle="1" w:styleId="font22">
    <w:name w:val="font22"/>
    <w:basedOn w:val="a9"/>
    <w:qFormat/>
    <w:pPr>
      <w:widowControl/>
      <w:spacing w:before="100" w:beforeAutospacing="1" w:after="100" w:afterAutospacing="1"/>
      <w:jc w:val="left"/>
    </w:pPr>
    <w:rPr>
      <w:rFonts w:ascii="宋体" w:hAnsi="宋体" w:cs="宋体"/>
      <w:sz w:val="18"/>
      <w:szCs w:val="18"/>
    </w:rPr>
  </w:style>
  <w:style w:type="paragraph" w:customStyle="1" w:styleId="NormalWeb1">
    <w:name w:val="Normal (Web)1"/>
    <w:basedOn w:val="a9"/>
    <w:qFormat/>
    <w:pPr>
      <w:widowControl/>
      <w:spacing w:before="100" w:beforeAutospacing="1" w:after="100" w:afterAutospacing="1"/>
      <w:jc w:val="left"/>
    </w:pPr>
    <w:rPr>
      <w:rFonts w:ascii="宋体" w:hAnsi="宋体" w:cs="宋体"/>
      <w:sz w:val="24"/>
      <w:szCs w:val="24"/>
    </w:rPr>
  </w:style>
  <w:style w:type="paragraph" w:customStyle="1" w:styleId="font18">
    <w:name w:val="font18"/>
    <w:basedOn w:val="a9"/>
    <w:qFormat/>
    <w:pPr>
      <w:widowControl/>
      <w:spacing w:before="100" w:beforeAutospacing="1" w:after="100" w:afterAutospacing="1"/>
      <w:jc w:val="left"/>
    </w:pPr>
    <w:rPr>
      <w:rFonts w:ascii="宋体" w:hAnsi="宋体" w:cs="宋体"/>
      <w:b/>
      <w:bCs/>
      <w:sz w:val="24"/>
      <w:szCs w:val="24"/>
    </w:rPr>
  </w:style>
  <w:style w:type="paragraph" w:customStyle="1" w:styleId="3210">
    <w:name w:val="样式 样式3 + 首行缩进:  2 字符1"/>
    <w:basedOn w:val="3f2"/>
    <w:uiPriority w:val="99"/>
    <w:qFormat/>
    <w:pPr>
      <w:keepNext w:val="0"/>
      <w:keepLines w:val="0"/>
      <w:tabs>
        <w:tab w:val="clear" w:pos="709"/>
      </w:tabs>
      <w:spacing w:before="0" w:line="300" w:lineRule="auto"/>
      <w:ind w:left="0" w:firstLineChars="200" w:firstLine="200"/>
      <w:jc w:val="left"/>
      <w:outlineLvl w:val="9"/>
    </w:pPr>
    <w:rPr>
      <w:rFonts w:eastAsia="宋体" w:cs="宋体"/>
      <w:sz w:val="21"/>
    </w:rPr>
  </w:style>
  <w:style w:type="paragraph" w:customStyle="1" w:styleId="affffffffffffffffffffffffc">
    <w:name w:val="表格五（窄）"/>
    <w:basedOn w:val="a9"/>
    <w:qFormat/>
    <w:pPr>
      <w:spacing w:line="240" w:lineRule="exact"/>
      <w:jc w:val="center"/>
    </w:pPr>
    <w:rPr>
      <w:snapToGrid w:val="0"/>
      <w:color w:val="000000"/>
      <w:kern w:val="32"/>
      <w:sz w:val="21"/>
    </w:rPr>
  </w:style>
  <w:style w:type="paragraph" w:customStyle="1" w:styleId="0010">
    <w:name w:val="表格001"/>
    <w:basedOn w:val="a9"/>
    <w:qFormat/>
    <w:pPr>
      <w:jc w:val="center"/>
    </w:pPr>
    <w:rPr>
      <w:kern w:val="2"/>
      <w:sz w:val="21"/>
    </w:rPr>
  </w:style>
  <w:style w:type="paragraph" w:customStyle="1" w:styleId="3ff9">
    <w:name w:val="样式 样式3 + 小四"/>
    <w:basedOn w:val="3f2"/>
    <w:qFormat/>
    <w:pPr>
      <w:keepNext w:val="0"/>
      <w:keepLines w:val="0"/>
      <w:tabs>
        <w:tab w:val="clear" w:pos="709"/>
      </w:tabs>
      <w:snapToGrid/>
      <w:spacing w:before="0" w:line="360" w:lineRule="auto"/>
      <w:ind w:left="0" w:firstLineChars="200" w:firstLine="200"/>
      <w:jc w:val="left"/>
      <w:outlineLvl w:val="9"/>
    </w:pPr>
    <w:rPr>
      <w:rFonts w:ascii="宋体" w:eastAsia="宋体" w:hAnsi="宋体"/>
      <w:kern w:val="2"/>
      <w:szCs w:val="24"/>
    </w:rPr>
  </w:style>
  <w:style w:type="paragraph" w:customStyle="1" w:styleId="affffffffffffffffffffffffd">
    <w:name w:val="首行缩进两字"/>
    <w:basedOn w:val="a9"/>
    <w:qFormat/>
    <w:pPr>
      <w:spacing w:line="600" w:lineRule="exact"/>
      <w:ind w:firstLine="566"/>
      <w:jc w:val="left"/>
    </w:pPr>
    <w:rPr>
      <w:rFonts w:ascii="宋体" w:hAnsi="宋体"/>
      <w:kern w:val="2"/>
      <w:sz w:val="28"/>
    </w:rPr>
  </w:style>
  <w:style w:type="paragraph" w:customStyle="1" w:styleId="Style100">
    <w:name w:val="_Style 100"/>
    <w:basedOn w:val="a9"/>
    <w:next w:val="a9"/>
    <w:uiPriority w:val="39"/>
    <w:qFormat/>
    <w:pPr>
      <w:ind w:left="840"/>
      <w:jc w:val="left"/>
    </w:pPr>
    <w:rPr>
      <w:kern w:val="2"/>
      <w:sz w:val="18"/>
      <w:szCs w:val="18"/>
    </w:rPr>
  </w:style>
  <w:style w:type="paragraph" w:customStyle="1" w:styleId="zw0">
    <w:name w:val="zw"/>
    <w:basedOn w:val="a9"/>
    <w:qFormat/>
    <w:pPr>
      <w:widowControl/>
      <w:spacing w:before="100" w:beforeAutospacing="1" w:after="100" w:afterAutospacing="1" w:line="440" w:lineRule="atLeast"/>
      <w:jc w:val="left"/>
    </w:pPr>
    <w:rPr>
      <w:rFonts w:ascii="宋体" w:hAnsi="宋体" w:cs="宋体"/>
      <w:sz w:val="22"/>
      <w:szCs w:val="22"/>
    </w:rPr>
  </w:style>
  <w:style w:type="paragraph" w:customStyle="1" w:styleId="font20">
    <w:name w:val="font20"/>
    <w:basedOn w:val="a9"/>
    <w:qFormat/>
    <w:pPr>
      <w:widowControl/>
      <w:spacing w:before="100" w:beforeAutospacing="1" w:after="100" w:afterAutospacing="1"/>
      <w:jc w:val="left"/>
    </w:pPr>
    <w:rPr>
      <w:rFonts w:ascii="宋体" w:hAnsi="宋体" w:cs="宋体"/>
      <w:b/>
      <w:bCs/>
      <w:color w:val="FF00FF"/>
      <w:sz w:val="24"/>
      <w:szCs w:val="24"/>
    </w:rPr>
  </w:style>
  <w:style w:type="paragraph" w:customStyle="1" w:styleId="22a">
    <w:name w:val="样式 样式2 + 首行缩进:  2 字符"/>
    <w:basedOn w:val="2f3"/>
    <w:qFormat/>
    <w:pPr>
      <w:pBdr>
        <w:bottom w:val="none" w:sz="0" w:space="0" w:color="auto"/>
      </w:pBdr>
      <w:adjustRightInd/>
      <w:snapToGrid/>
      <w:spacing w:before="120" w:after="120" w:line="360" w:lineRule="auto"/>
      <w:ind w:left="0" w:firstLine="0"/>
      <w:jc w:val="both"/>
      <w:textAlignment w:val="auto"/>
    </w:pPr>
    <w:rPr>
      <w:rFonts w:ascii="Arial" w:eastAsia="宋体" w:hAnsi="Arial" w:cs="宋体"/>
      <w:bCs/>
      <w:kern w:val="2"/>
      <w:sz w:val="28"/>
    </w:rPr>
  </w:style>
  <w:style w:type="paragraph" w:customStyle="1" w:styleId="GB231225">
    <w:name w:val="样式 (中文) 楷体_GB2312 四号 行距: 固定值 25 磅"/>
    <w:basedOn w:val="a9"/>
    <w:uiPriority w:val="99"/>
    <w:qFormat/>
    <w:pPr>
      <w:spacing w:line="500" w:lineRule="exact"/>
      <w:ind w:firstLineChars="200" w:firstLine="560"/>
      <w:jc w:val="left"/>
    </w:pPr>
    <w:rPr>
      <w:sz w:val="28"/>
    </w:rPr>
  </w:style>
  <w:style w:type="paragraph" w:customStyle="1" w:styleId="324">
    <w:name w:val="样式 样式3 + 首行缩进:  2 字符"/>
    <w:basedOn w:val="3f2"/>
    <w:qFormat/>
    <w:pPr>
      <w:keepNext w:val="0"/>
      <w:keepLines w:val="0"/>
      <w:tabs>
        <w:tab w:val="clear" w:pos="709"/>
      </w:tabs>
      <w:snapToGrid/>
      <w:spacing w:before="0" w:line="360" w:lineRule="auto"/>
      <w:ind w:left="0" w:firstLineChars="200" w:firstLine="200"/>
      <w:outlineLvl w:val="9"/>
    </w:pPr>
    <w:rPr>
      <w:rFonts w:eastAsia="宋体" w:hAnsi="宋体" w:cs="宋体"/>
      <w:kern w:val="2"/>
    </w:rPr>
  </w:style>
  <w:style w:type="paragraph" w:customStyle="1" w:styleId="CharCharCharCharCharCharCharCharCharCharCharCharCharCharCharCharCharCharChar">
    <w:name w:val="Char Char Char Char Char Char Char Char Char Char Char Char Char Char Char Char Char Char Char"/>
    <w:basedOn w:val="a9"/>
    <w:uiPriority w:val="99"/>
    <w:qFormat/>
    <w:rPr>
      <w:kern w:val="2"/>
      <w:sz w:val="21"/>
      <w:szCs w:val="24"/>
    </w:rPr>
  </w:style>
  <w:style w:type="paragraph" w:customStyle="1" w:styleId="Style17">
    <w:name w:val="_Style 17"/>
    <w:basedOn w:val="a9"/>
    <w:pPr>
      <w:adjustRightInd w:val="0"/>
      <w:snapToGrid w:val="0"/>
      <w:spacing w:line="360" w:lineRule="auto"/>
      <w:ind w:firstLineChars="200" w:firstLine="200"/>
      <w:jc w:val="left"/>
    </w:pPr>
    <w:rPr>
      <w:rFonts w:eastAsia="楷体_GB2312"/>
      <w:sz w:val="24"/>
      <w:szCs w:val="22"/>
    </w:rPr>
  </w:style>
  <w:style w:type="paragraph" w:customStyle="1" w:styleId="msonormal0">
    <w:name w:val="msonormal"/>
    <w:basedOn w:val="a9"/>
    <w:qFormat/>
    <w:pPr>
      <w:widowControl/>
      <w:spacing w:before="100" w:beforeAutospacing="1" w:after="100" w:afterAutospacing="1"/>
      <w:jc w:val="left"/>
    </w:pPr>
    <w:rPr>
      <w:rFonts w:ascii="宋体" w:hAnsi="宋体" w:cs="宋体"/>
      <w:sz w:val="24"/>
      <w:szCs w:val="24"/>
    </w:rPr>
  </w:style>
  <w:style w:type="table" w:customStyle="1" w:styleId="1124">
    <w:name w:val="精巧型 1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立体型 2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0">
    <w:name w:val="立体型 3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3">
    <w:name w:val="竖列型 2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竖列型 4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0">
    <w:name w:val="列表型 4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2">
    <w:name w:val="简明型 11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3">
    <w:name w:val="彩色型 11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1">
    <w:name w:val="彩色型 211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0">
    <w:name w:val="彩色型 311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d">
    <w:name w:val="典雅型11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4">
    <w:name w:val="古典型 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
    <w:name w:val="古典型 2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1">
    <w:name w:val="古典型 311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1">
    <w:name w:val="古典型 411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3">
    <w:name w:val="简明型 2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2">
    <w:name w:val="简明型 3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5">
    <w:name w:val="精巧型 11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4">
    <w:name w:val="精巧型 211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6">
    <w:name w:val="立体型 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5">
    <w:name w:val="立体型 2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3">
    <w:name w:val="立体型 3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7">
    <w:name w:val="列表型 11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6">
    <w:name w:val="列表型 211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4">
    <w:name w:val="列表型 311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0">
    <w:name w:val="列表型 5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0">
    <w:name w:val="列表型 6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0">
    <w:name w:val="列表型 711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0">
    <w:name w:val="列表型 8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e">
    <w:name w:val="流行型11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8">
    <w:name w:val="竖列型 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7">
    <w:name w:val="竖列型 21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5">
    <w:name w:val="竖列型 311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
    <w:name w:val="竖列型 41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竖列型 511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9">
    <w:name w:val="网格型 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8">
    <w:name w:val="网格型 211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6">
    <w:name w:val="网格型 311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3">
    <w:name w:val="网格型 411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f9">
    <w:name w:val="君邦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1">
    <w:name w:val="网格型 6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
    <w:name w:val="网格型 811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a">
    <w:name w:val="网页型 11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9">
    <w:name w:val="网页型 211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7">
    <w:name w:val="网页型 311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
    <w:name w:val="专业型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1">
    <w:name w:val="君邦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0">
    <w:name w:val="表格样式2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z-21">
    <w:name w:val="z-窗体顶端21"/>
    <w:basedOn w:val="a9"/>
    <w:next w:val="a9"/>
    <w:qFormat/>
    <w:pPr>
      <w:widowControl/>
      <w:pBdr>
        <w:bottom w:val="single" w:sz="6" w:space="1" w:color="auto"/>
      </w:pBdr>
      <w:jc w:val="center"/>
    </w:pPr>
    <w:rPr>
      <w:rFonts w:ascii="Arial" w:hAnsi="Arial" w:cs="Arial"/>
      <w:vanish/>
      <w:sz w:val="16"/>
      <w:szCs w:val="16"/>
    </w:rPr>
  </w:style>
  <w:style w:type="paragraph" w:customStyle="1" w:styleId="z-210">
    <w:name w:val="z-窗体底端21"/>
    <w:basedOn w:val="a9"/>
    <w:next w:val="a9"/>
    <w:qFormat/>
    <w:pPr>
      <w:widowControl/>
      <w:pBdr>
        <w:top w:val="single" w:sz="6" w:space="1" w:color="auto"/>
      </w:pBdr>
      <w:jc w:val="center"/>
    </w:pPr>
    <w:rPr>
      <w:sz w:val="18"/>
      <w:szCs w:val="18"/>
    </w:rPr>
  </w:style>
  <w:style w:type="paragraph" w:customStyle="1" w:styleId="21fa">
    <w:name w:val="修订21"/>
    <w:qFormat/>
    <w:rPr>
      <w:kern w:val="2"/>
      <w:sz w:val="24"/>
      <w:szCs w:val="24"/>
    </w:rPr>
  </w:style>
  <w:style w:type="table" w:customStyle="1" w:styleId="1212">
    <w:name w:val="精巧型 12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0">
    <w:name w:val="立体型 22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
    <w:name w:val="立体型 3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竖列型 22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竖列型 4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0">
    <w:name w:val="君邦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0">
    <w:name w:val="表格样式2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
    <w:name w:val="君邦-1.01"/>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customStyle="1" w:styleId="TOC31">
    <w:name w:val="TOC 标题31"/>
    <w:basedOn w:val="1"/>
    <w:next w:val="a9"/>
    <w:qFormat/>
    <w:pPr>
      <w:pageBreakBefore w:val="0"/>
      <w:widowControl/>
      <w:numPr>
        <w:numId w:val="0"/>
      </w:numPr>
      <w:spacing w:before="480" w:after="0" w:line="276" w:lineRule="auto"/>
      <w:jc w:val="center"/>
      <w:outlineLvl w:val="9"/>
    </w:pPr>
    <w:rPr>
      <w:rFonts w:ascii="Cambria" w:hAnsi="Cambria"/>
      <w:bCs/>
      <w:color w:val="365F91"/>
      <w:kern w:val="0"/>
      <w:szCs w:val="28"/>
      <w:lang w:val="zh-CN"/>
    </w:rPr>
  </w:style>
  <w:style w:type="character" w:customStyle="1" w:styleId="11ff1">
    <w:name w:val="明显参考11"/>
    <w:uiPriority w:val="32"/>
    <w:qFormat/>
    <w:rPr>
      <w:b/>
      <w:bCs/>
      <w:smallCaps/>
      <w:color w:val="4472C4"/>
      <w:spacing w:val="5"/>
    </w:rPr>
  </w:style>
  <w:style w:type="paragraph" w:customStyle="1" w:styleId="Q-">
    <w:name w:val="Q-正文"/>
    <w:basedOn w:val="a9"/>
    <w:next w:val="a9"/>
    <w:qFormat/>
    <w:pPr>
      <w:spacing w:line="500" w:lineRule="exact"/>
      <w:ind w:firstLineChars="200" w:firstLine="200"/>
    </w:pPr>
    <w:rPr>
      <w:kern w:val="2"/>
      <w:sz w:val="24"/>
      <w:szCs w:val="22"/>
    </w:rPr>
  </w:style>
  <w:style w:type="character" w:customStyle="1" w:styleId="Charfffffff5">
    <w:name w:val="页眉 Char"/>
    <w:uiPriority w:val="99"/>
    <w:rPr>
      <w:rFonts w:eastAsia="宋体"/>
      <w:kern w:val="2"/>
      <w:sz w:val="18"/>
      <w:szCs w:val="18"/>
      <w:lang w:val="en-US" w:eastAsia="zh-CN" w:bidi="ar-SA"/>
    </w:rPr>
  </w:style>
  <w:style w:type="paragraph" w:customStyle="1" w:styleId="y2">
    <w:name w:val="y样式2"/>
    <w:basedOn w:val="a9"/>
    <w:qFormat/>
    <w:pPr>
      <w:spacing w:after="60" w:line="360" w:lineRule="auto"/>
    </w:pPr>
    <w:rPr>
      <w:rFonts w:ascii="Calibri" w:eastAsia="黑体" w:hAnsi="Calibri"/>
      <w:b/>
      <w:kern w:val="2"/>
      <w:sz w:val="24"/>
      <w:szCs w:val="24"/>
    </w:rPr>
  </w:style>
  <w:style w:type="table" w:customStyle="1" w:styleId="1133">
    <w:name w:val="精巧型 11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0">
    <w:name w:val="立体型 2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0">
    <w:name w:val="立体型 31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
    <w:name w:val="竖列型 21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0">
    <w:name w:val="竖列型 41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0">
    <w:name w:val="列表型 4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2">
    <w:name w:val="简明型 1112"/>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3">
    <w:name w:val="彩色型 1112"/>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1">
    <w:name w:val="彩色型 2112"/>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0">
    <w:name w:val="彩色型 3112"/>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5">
    <w:name w:val="典雅型112"/>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4">
    <w:name w:val="古典型 111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
    <w:name w:val="古典型 211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1">
    <w:name w:val="古典型 3112"/>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1">
    <w:name w:val="古典型 4112"/>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3">
    <w:name w:val="简明型 211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2">
    <w:name w:val="简明型 3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5">
    <w:name w:val="精巧型 111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4">
    <w:name w:val="精巧型 2112"/>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6">
    <w:name w:val="立体型 111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5">
    <w:name w:val="立体型 211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3">
    <w:name w:val="立体型 311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7">
    <w:name w:val="列表型 1112"/>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6">
    <w:name w:val="列表型 2112"/>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4">
    <w:name w:val="列表型 3112"/>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
    <w:name w:val="列表型 5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
    <w:name w:val="列表型 6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
    <w:name w:val="列表型 7112"/>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
    <w:name w:val="列表型 8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6">
    <w:name w:val="流行型112"/>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8">
    <w:name w:val="竖列型 111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7">
    <w:name w:val="竖列型 211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5">
    <w:name w:val="竖列型 3112"/>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
    <w:name w:val="竖列型 411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竖列型 5112"/>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9">
    <w:name w:val="网格型 1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8">
    <w:name w:val="网格型 2112"/>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6">
    <w:name w:val="网格型 3112"/>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3">
    <w:name w:val="网格型 4112"/>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b">
    <w:name w:val="君邦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0">
    <w:name w:val="网格型 611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0">
    <w:name w:val="网格型 711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0">
    <w:name w:val="网格型 8112"/>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a">
    <w:name w:val="网页型 1112"/>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9">
    <w:name w:val="网页型 2112"/>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7">
    <w:name w:val="网页型 3112"/>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7">
    <w:name w:val="专业型11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0">
    <w:name w:val="君邦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0">
    <w:name w:val="表格样式2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0">
    <w:name w:val="精巧型 1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
    <w:name w:val="立体型 2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
    <w:name w:val="立体型 3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
    <w:name w:val="竖列型 2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
    <w:name w:val="竖列型 4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0">
    <w:name w:val="君邦111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0">
    <w:name w:val="表格样式211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
    <w:name w:val="君邦-1.02"/>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character" w:customStyle="1" w:styleId="-REDChar">
    <w:name w:val="正文-RED Char"/>
    <w:link w:val="-RED"/>
    <w:rPr>
      <w:kern w:val="2"/>
      <w:sz w:val="24"/>
      <w:szCs w:val="22"/>
    </w:rPr>
  </w:style>
  <w:style w:type="paragraph" w:customStyle="1" w:styleId="-RED">
    <w:name w:val="正文-RED"/>
    <w:basedOn w:val="a9"/>
    <w:link w:val="-REDChar"/>
    <w:pPr>
      <w:widowControl/>
      <w:spacing w:line="360" w:lineRule="auto"/>
      <w:ind w:firstLine="420"/>
    </w:pPr>
    <w:rPr>
      <w:kern w:val="2"/>
      <w:sz w:val="24"/>
      <w:szCs w:val="22"/>
    </w:rPr>
  </w:style>
  <w:style w:type="character" w:customStyle="1" w:styleId="325">
    <w:name w:val="正文文本缩进 3 字符2"/>
    <w:rPr>
      <w:kern w:val="2"/>
      <w:sz w:val="16"/>
      <w:szCs w:val="16"/>
    </w:rPr>
  </w:style>
  <w:style w:type="character" w:customStyle="1" w:styleId="5Char0">
    <w:name w:val="表格（5号） Char"/>
    <w:rPr>
      <w:rFonts w:ascii="Arial" w:hAnsi="Arial" w:cs="宋体" w:hint="default"/>
      <w:color w:val="000000"/>
      <w:kern w:val="18"/>
      <w:sz w:val="18"/>
    </w:rPr>
  </w:style>
  <w:style w:type="character" w:customStyle="1" w:styleId="Charfffff6">
    <w:name w:val="列出段落 Char"/>
    <w:link w:val="3ff"/>
    <w:uiPriority w:val="34"/>
    <w:qFormat/>
    <w:rPr>
      <w:rFonts w:ascii="Calibri" w:eastAsia="PMingLiU" w:hAnsi="Calibri" w:cs="宋体"/>
      <w:sz w:val="24"/>
      <w:szCs w:val="22"/>
      <w:lang w:eastAsia="zh-TW" w:bidi="ne-NP"/>
    </w:rPr>
  </w:style>
  <w:style w:type="character" w:customStyle="1" w:styleId="3Char6">
    <w:name w:val="标题 3 Char"/>
    <w:rPr>
      <w:rFonts w:ascii="等线" w:eastAsia="黑体" w:hAnsi="等线" w:cs="宋体" w:hint="eastAsia"/>
      <w:b/>
      <w:kern w:val="2"/>
      <w:sz w:val="24"/>
    </w:rPr>
  </w:style>
  <w:style w:type="character" w:customStyle="1" w:styleId="5Char3">
    <w:name w:val="标题 5 Char"/>
    <w:rPr>
      <w:rFonts w:ascii="等线" w:eastAsia="等线" w:hAnsi="等线" w:cs="宋体" w:hint="eastAsia"/>
      <w:b/>
      <w:kern w:val="2"/>
      <w:sz w:val="24"/>
    </w:rPr>
  </w:style>
  <w:style w:type="character" w:customStyle="1" w:styleId="5Char30">
    <w:name w:val="标题 5 Char3"/>
    <w:rPr>
      <w:rFonts w:ascii="等线" w:eastAsia="等线" w:hAnsi="等线" w:cs="宋体" w:hint="eastAsia"/>
      <w:b/>
      <w:kern w:val="2"/>
      <w:sz w:val="24"/>
    </w:rPr>
  </w:style>
  <w:style w:type="character" w:customStyle="1" w:styleId="4Char6">
    <w:name w:val="标题 4 Char"/>
    <w:rPr>
      <w:rFonts w:ascii="宋体" w:eastAsia="宋体" w:hAnsi="宋体" w:cs="宋体" w:hint="eastAsia"/>
      <w:b/>
      <w:snapToGrid w:val="0"/>
      <w:sz w:val="24"/>
    </w:rPr>
  </w:style>
  <w:style w:type="character" w:customStyle="1" w:styleId="5Char4">
    <w:name w:val="标题 5 Char4"/>
    <w:rPr>
      <w:rFonts w:ascii="宋体" w:eastAsia="宋体" w:hAnsi="宋体" w:cs="宋体" w:hint="eastAsia"/>
      <w:b/>
      <w:sz w:val="24"/>
    </w:rPr>
  </w:style>
  <w:style w:type="character" w:customStyle="1" w:styleId="Char111">
    <w:name w:val="正文缩进 Char11"/>
    <w:rPr>
      <w:kern w:val="2"/>
      <w:sz w:val="21"/>
    </w:rPr>
  </w:style>
  <w:style w:type="character" w:customStyle="1" w:styleId="5Char5">
    <w:name w:val="标题 5 Char5"/>
    <w:rPr>
      <w:rFonts w:ascii="等线" w:eastAsia="等线" w:hAnsi="等线" w:cs="宋体" w:hint="eastAsia"/>
      <w:b/>
      <w:kern w:val="2"/>
      <w:sz w:val="24"/>
    </w:rPr>
  </w:style>
  <w:style w:type="character" w:customStyle="1" w:styleId="lgy0">
    <w:name w:val="lgy表名 字符"/>
    <w:qFormat/>
    <w:rPr>
      <w:rFonts w:eastAsia="楷体_GB2312"/>
      <w:b/>
      <w:color w:val="000000"/>
      <w:kern w:val="2"/>
      <w:sz w:val="24"/>
      <w:szCs w:val="21"/>
    </w:rPr>
  </w:style>
  <w:style w:type="character" w:customStyle="1" w:styleId="0000Char0">
    <w:name w:val="表格标题0000 Char"/>
    <w:link w:val="00000"/>
    <w:rPr>
      <w:rFonts w:eastAsia="黑体"/>
      <w:b/>
      <w:sz w:val="21"/>
    </w:rPr>
  </w:style>
  <w:style w:type="paragraph" w:customStyle="1" w:styleId="00000">
    <w:name w:val="表格标题0000"/>
    <w:basedOn w:val="a9"/>
    <w:link w:val="0000Char0"/>
    <w:pPr>
      <w:jc w:val="center"/>
    </w:pPr>
    <w:rPr>
      <w:rFonts w:eastAsia="黑体"/>
      <w:b/>
      <w:sz w:val="21"/>
    </w:rPr>
  </w:style>
  <w:style w:type="paragraph" w:customStyle="1" w:styleId="affffffffffffffffffffffffe">
    <w:name w:val="表内文本样式"/>
    <w:qFormat/>
    <w:pPr>
      <w:widowControl w:val="0"/>
      <w:adjustRightInd w:val="0"/>
      <w:snapToGrid w:val="0"/>
      <w:jc w:val="center"/>
    </w:pPr>
    <w:rPr>
      <w:rFonts w:ascii="宋体" w:hAnsi="宋体"/>
      <w:kern w:val="2"/>
      <w:sz w:val="18"/>
    </w:rPr>
  </w:style>
  <w:style w:type="table" w:customStyle="1" w:styleId="TableGrid1">
    <w:name w:val="TableGrid1"/>
    <w:rPr>
      <w:rFonts w:ascii="等线" w:eastAsia="等线" w:hAnsi="等线"/>
      <w:kern w:val="2"/>
      <w:sz w:val="21"/>
      <w:szCs w:val="22"/>
    </w:rPr>
    <w:tblPr>
      <w:tblCellMar>
        <w:top w:w="0" w:type="dxa"/>
        <w:left w:w="0" w:type="dxa"/>
        <w:bottom w:w="0" w:type="dxa"/>
        <w:right w:w="0" w:type="dxa"/>
      </w:tblCellMar>
    </w:tblPr>
  </w:style>
  <w:style w:type="table" w:customStyle="1" w:styleId="TableGrid2">
    <w:name w:val="TableGrid2"/>
    <w:rPr>
      <w:rFonts w:ascii="等线" w:eastAsia="等线" w:hAnsi="等线"/>
      <w:kern w:val="2"/>
      <w:sz w:val="21"/>
      <w:szCs w:val="22"/>
    </w:rPr>
    <w:tblPr>
      <w:tblCellMar>
        <w:top w:w="0" w:type="dxa"/>
        <w:left w:w="0" w:type="dxa"/>
        <w:bottom w:w="0" w:type="dxa"/>
        <w:right w:w="0" w:type="dxa"/>
      </w:tblCellMar>
    </w:tblPr>
  </w:style>
  <w:style w:type="table" w:customStyle="1" w:styleId="TableGrid3">
    <w:name w:val="TableGrid3"/>
    <w:rPr>
      <w:rFonts w:ascii="等线" w:eastAsia="等线" w:hAnsi="等线"/>
      <w:kern w:val="2"/>
      <w:sz w:val="21"/>
      <w:szCs w:val="22"/>
    </w:rPr>
    <w:tblPr>
      <w:tblCellMar>
        <w:top w:w="0" w:type="dxa"/>
        <w:left w:w="0" w:type="dxa"/>
        <w:bottom w:w="0" w:type="dxa"/>
        <w:right w:w="0" w:type="dxa"/>
      </w:tblCellMar>
    </w:tblPr>
  </w:style>
  <w:style w:type="table" w:customStyle="1" w:styleId="TableGrid4">
    <w:name w:val="TableGrid4"/>
    <w:rPr>
      <w:rFonts w:ascii="等线" w:eastAsia="等线" w:hAnsi="等线"/>
      <w:kern w:val="2"/>
      <w:sz w:val="21"/>
      <w:szCs w:val="22"/>
    </w:rPr>
    <w:tblPr>
      <w:tblCellMar>
        <w:top w:w="0" w:type="dxa"/>
        <w:left w:w="0" w:type="dxa"/>
        <w:bottom w:w="0" w:type="dxa"/>
        <w:right w:w="0" w:type="dxa"/>
      </w:tblCellMar>
    </w:tblPr>
  </w:style>
  <w:style w:type="table" w:customStyle="1" w:styleId="TableGrid5">
    <w:name w:val="TableGrid5"/>
    <w:rPr>
      <w:rFonts w:ascii="等线" w:eastAsia="等线" w:hAnsi="等线"/>
      <w:kern w:val="2"/>
      <w:sz w:val="21"/>
      <w:szCs w:val="22"/>
    </w:rPr>
    <w:tblPr>
      <w:tblCellMar>
        <w:top w:w="0" w:type="dxa"/>
        <w:left w:w="0" w:type="dxa"/>
        <w:bottom w:w="0" w:type="dxa"/>
        <w:right w:w="0" w:type="dxa"/>
      </w:tblCellMar>
    </w:tblPr>
  </w:style>
  <w:style w:type="paragraph" w:customStyle="1" w:styleId="afffffffffffffffffffffffff">
    <w:name w:val="图/表"/>
    <w:basedOn w:val="a9"/>
    <w:uiPriority w:val="1"/>
    <w:qFormat/>
    <w:pPr>
      <w:kinsoku w:val="0"/>
      <w:overflowPunct w:val="0"/>
      <w:autoSpaceDE w:val="0"/>
      <w:autoSpaceDN w:val="0"/>
      <w:adjustRightInd w:val="0"/>
      <w:snapToGrid w:val="0"/>
      <w:spacing w:beforeLines="25" w:before="25" w:afterLines="25" w:after="25"/>
      <w:jc w:val="center"/>
    </w:pPr>
    <w:rPr>
      <w:rFonts w:eastAsia="黑体"/>
      <w:sz w:val="24"/>
      <w:szCs w:val="24"/>
    </w:rPr>
  </w:style>
  <w:style w:type="paragraph" w:customStyle="1" w:styleId="3ffa">
    <w:name w:val="修订3"/>
    <w:hidden/>
    <w:uiPriority w:val="99"/>
    <w:semiHidden/>
    <w:rPr>
      <w:kern w:val="2"/>
      <w:sz w:val="21"/>
      <w:szCs w:val="24"/>
    </w:rPr>
  </w:style>
  <w:style w:type="table" w:customStyle="1" w:styleId="423">
    <w:name w:val="列表型 4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d">
    <w:name w:val="简明型 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e">
    <w:name w:val="彩色型 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c">
    <w:name w:val="彩色型 2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6">
    <w:name w:val="彩色型 3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ffff">
    <w:name w:val="典雅型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f">
    <w:name w:val="古典型 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d">
    <w:name w:val="古典型 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7">
    <w:name w:val="古典型 3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4">
    <w:name w:val="古典型 4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e">
    <w:name w:val="简明型 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8">
    <w:name w:val="简明型 3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6">
    <w:name w:val="精巧型 13"/>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f">
    <w:name w:val="精巧型 2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f0">
    <w:name w:val="列表型 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f0">
    <w:name w:val="列表型 2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9">
    <w:name w:val="列表型 3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0">
    <w:name w:val="列表型 5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0">
    <w:name w:val="列表型 6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0">
    <w:name w:val="列表型 7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
    <w:name w:val="列表型 8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ffff0">
    <w:name w:val="流行型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f1">
    <w:name w:val="竖列型 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3">
    <w:name w:val="竖列型 23"/>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a">
    <w:name w:val="竖列型 3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0">
    <w:name w:val="竖列型 43"/>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竖列型 5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网格型 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1">
    <w:name w:val="网格型 2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b">
    <w:name w:val="网格型 3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5">
    <w:name w:val="网格型 4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2">
    <w:name w:val="网格型 5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
    <w:name w:val="网格型 6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
    <w:name w:val="网格型 7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
    <w:name w:val="网格型 8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f3">
    <w:name w:val="网页型 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2">
    <w:name w:val="网页型 2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c">
    <w:name w:val="网页型 3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f1">
    <w:name w:val="专业型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f4">
    <w:name w:val="表格样式12"/>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0">
    <w:name w:val="君邦专用4"/>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CharCharChar30">
    <w:name w:val="Char Char Char3"/>
    <w:basedOn w:val="af9"/>
    <w:next w:val="a9"/>
    <w:qFormat/>
    <w:pPr>
      <w:adjustRightInd w:val="0"/>
      <w:spacing w:line="436" w:lineRule="exact"/>
      <w:ind w:left="357"/>
      <w:jc w:val="left"/>
      <w:outlineLvl w:val="3"/>
    </w:pPr>
    <w:rPr>
      <w:rFonts w:ascii="Tahoma" w:hAnsi="Tahoma"/>
      <w:b/>
      <w:kern w:val="2"/>
      <w:sz w:val="24"/>
      <w:szCs w:val="24"/>
      <w:lang w:val="zh-CN"/>
    </w:rPr>
  </w:style>
  <w:style w:type="character" w:customStyle="1" w:styleId="3ffb">
    <w:name w:val="正文缩进 字符3"/>
    <w:qFormat/>
    <w:rPr>
      <w:rFonts w:eastAsia="宋体"/>
      <w:kern w:val="2"/>
      <w:sz w:val="24"/>
      <w:lang w:val="en-US" w:eastAsia="zh-CN" w:bidi="ar-SA"/>
    </w:rPr>
  </w:style>
  <w:style w:type="character" w:customStyle="1" w:styleId="1fffffff0">
    <w:name w:val="已访问的超链接1"/>
    <w:rPr>
      <w:color w:val="800080"/>
      <w:u w:val="single"/>
    </w:rPr>
  </w:style>
  <w:style w:type="paragraph" w:customStyle="1" w:styleId="11ff2">
    <w:name w:val="批注框文本11"/>
    <w:basedOn w:val="a9"/>
    <w:semiHidden/>
    <w:pPr>
      <w:widowControl/>
      <w:spacing w:line="0" w:lineRule="atLeast"/>
      <w:jc w:val="left"/>
    </w:pPr>
    <w:rPr>
      <w:rFonts w:ascii="Tahoma" w:hAnsi="Tahoma" w:cs="Tahoma"/>
      <w:kern w:val="2"/>
      <w:sz w:val="16"/>
      <w:szCs w:val="16"/>
    </w:rPr>
  </w:style>
  <w:style w:type="paragraph" w:customStyle="1" w:styleId="2ffff2">
    <w:name w:val="项目概要标题2"/>
    <w:basedOn w:val="a9"/>
    <w:pPr>
      <w:widowControl/>
      <w:spacing w:before="60" w:line="0" w:lineRule="atLeast"/>
      <w:jc w:val="center"/>
    </w:pPr>
    <w:rPr>
      <w:kern w:val="2"/>
      <w:sz w:val="21"/>
    </w:rPr>
  </w:style>
  <w:style w:type="paragraph" w:customStyle="1" w:styleId="CharChar2CharChar">
    <w:name w:val="Char Char2 Char Char"/>
    <w:basedOn w:val="a9"/>
    <w:pPr>
      <w:widowControl/>
      <w:spacing w:line="360" w:lineRule="auto"/>
      <w:ind w:firstLineChars="200" w:firstLine="200"/>
      <w:jc w:val="left"/>
    </w:pPr>
    <w:rPr>
      <w:rFonts w:ascii="宋体" w:hAnsi="宋体" w:cs="宋体"/>
      <w:kern w:val="2"/>
      <w:sz w:val="24"/>
      <w:szCs w:val="24"/>
    </w:rPr>
  </w:style>
  <w:style w:type="character" w:customStyle="1" w:styleId="2ffff3">
    <w:name w:val="脚注文本 字符2"/>
    <w:rPr>
      <w:kern w:val="2"/>
      <w:sz w:val="18"/>
      <w:szCs w:val="18"/>
    </w:rPr>
  </w:style>
  <w:style w:type="paragraph" w:customStyle="1" w:styleId="afffffffffffffffffffffffff0">
    <w:name w:val="样式 君邦正文 + 字距调整小五"/>
    <w:basedOn w:val="affff7"/>
    <w:link w:val="Charfffffff6"/>
    <w:rPr>
      <w:bCs w:val="0"/>
      <w:kern w:val="18"/>
      <w:lang w:val="zh-CN"/>
    </w:rPr>
  </w:style>
  <w:style w:type="character" w:customStyle="1" w:styleId="Charfffffff6">
    <w:name w:val="样式 君邦正文 + 字距调整小五 Char"/>
    <w:link w:val="afffffffffffffffffffffffff0"/>
    <w:rPr>
      <w:snapToGrid w:val="0"/>
      <w:kern w:val="18"/>
      <w:sz w:val="24"/>
      <w:lang w:val="zh-CN"/>
    </w:rPr>
  </w:style>
  <w:style w:type="paragraph" w:customStyle="1" w:styleId="10515">
    <w:name w:val="样式 表头样式1 + 段前: 0.5 行 行距: 1.5 倍行距"/>
    <w:basedOn w:val="1f3"/>
    <w:pPr>
      <w:widowControl/>
      <w:spacing w:before="0" w:line="360" w:lineRule="auto"/>
    </w:pPr>
    <w:rPr>
      <w:rFonts w:cs="宋体"/>
      <w:bCs/>
      <w:kern w:val="2"/>
    </w:rPr>
  </w:style>
  <w:style w:type="paragraph" w:customStyle="1" w:styleId="-05-05-05">
    <w:name w:val="样式 样式 表内格式 + 左  -0.5 字符 + 左侧:  -0.5 字符 右侧:  -0.5 字符"/>
    <w:basedOn w:val="-05"/>
    <w:link w:val="-05-05-05Char"/>
    <w:pPr>
      <w:widowControl/>
    </w:pPr>
    <w:rPr>
      <w:kern w:val="2"/>
      <w:lang w:val="zh-CN"/>
    </w:rPr>
  </w:style>
  <w:style w:type="character" w:customStyle="1" w:styleId="-05-05-05Char">
    <w:name w:val="样式 样式 表内格式 + 左  -0.5 字符 + 左侧:  -0.5 字符 右侧:  -0.5 字符 Char"/>
    <w:link w:val="-05-05-05"/>
    <w:rPr>
      <w:color w:val="0000FF"/>
      <w:kern w:val="2"/>
      <w:sz w:val="18"/>
      <w:szCs w:val="18"/>
      <w:lang w:val="zh-CN"/>
    </w:rPr>
  </w:style>
  <w:style w:type="paragraph" w:customStyle="1" w:styleId="afffffffffffffffffffffffff1">
    <w:name w:val="样式 报告表正文 + (中文) 宋体"/>
    <w:basedOn w:val="afffff1"/>
    <w:link w:val="Charfffffff7"/>
    <w:pPr>
      <w:widowControl/>
      <w:adjustRightInd/>
      <w:spacing w:line="360" w:lineRule="auto"/>
      <w:ind w:left="0" w:right="0" w:firstLineChars="200" w:firstLine="480"/>
      <w:jc w:val="left"/>
      <w:textAlignment w:val="auto"/>
    </w:pPr>
    <w:rPr>
      <w:kern w:val="2"/>
      <w:lang w:val="zh-CN"/>
    </w:rPr>
  </w:style>
  <w:style w:type="character" w:customStyle="1" w:styleId="Charfffffff7">
    <w:name w:val="样式 报告表正文 + (中文) 宋体 Char"/>
    <w:link w:val="afffffffffffffffffffffffff1"/>
    <w:rPr>
      <w:kern w:val="2"/>
      <w:sz w:val="24"/>
      <w:lang w:val="zh-CN"/>
    </w:rPr>
  </w:style>
  <w:style w:type="paragraph" w:customStyle="1" w:styleId="331">
    <w:name w:val="表格 33"/>
    <w:basedOn w:val="a9"/>
    <w:pPr>
      <w:widowControl/>
      <w:autoSpaceDE w:val="0"/>
      <w:autoSpaceDN w:val="0"/>
      <w:adjustRightInd w:val="0"/>
      <w:spacing w:line="0" w:lineRule="atLeast"/>
      <w:jc w:val="center"/>
      <w:textAlignment w:val="baseline"/>
    </w:pPr>
    <w:rPr>
      <w:rFonts w:eastAsia="楷体"/>
      <w:sz w:val="21"/>
    </w:rPr>
  </w:style>
  <w:style w:type="paragraph" w:customStyle="1" w:styleId="31f3">
    <w:name w:val="表格 31"/>
    <w:pPr>
      <w:widowControl w:val="0"/>
      <w:autoSpaceDE w:val="0"/>
      <w:autoSpaceDN w:val="0"/>
      <w:adjustRightInd w:val="0"/>
      <w:spacing w:line="0" w:lineRule="atLeast"/>
      <w:jc w:val="center"/>
      <w:textAlignment w:val="baseline"/>
    </w:pPr>
    <w:rPr>
      <w:rFonts w:eastAsia="楷体"/>
      <w:sz w:val="28"/>
    </w:rPr>
  </w:style>
  <w:style w:type="character" w:customStyle="1" w:styleId="equal">
    <w:name w:val="equal"/>
  </w:style>
  <w:style w:type="character" w:customStyle="1" w:styleId="2ffff4">
    <w:name w:val="文档结构图 字符2"/>
    <w:rPr>
      <w:kern w:val="2"/>
      <w:sz w:val="21"/>
      <w:szCs w:val="24"/>
      <w:shd w:val="clear" w:color="auto" w:fill="000080"/>
    </w:rPr>
  </w:style>
  <w:style w:type="character" w:customStyle="1" w:styleId="5Char7">
    <w:name w:val="标题 5表头 Char"/>
    <w:rPr>
      <w:rFonts w:ascii="宋体"/>
      <w:b/>
      <w:spacing w:val="6"/>
      <w:kern w:val="2"/>
      <w:sz w:val="26"/>
      <w:szCs w:val="26"/>
    </w:rPr>
  </w:style>
  <w:style w:type="character" w:customStyle="1" w:styleId="622">
    <w:name w:val="标题 6 字符2"/>
    <w:rPr>
      <w:rFonts w:ascii="宋体"/>
      <w:kern w:val="2"/>
      <w:sz w:val="24"/>
      <w:lang w:val="zh-CN" w:eastAsia="zh-CN"/>
    </w:rPr>
  </w:style>
  <w:style w:type="character" w:customStyle="1" w:styleId="722">
    <w:name w:val="标题 7 字符2"/>
    <w:rPr>
      <w:color w:val="008000"/>
      <w:kern w:val="2"/>
      <w:sz w:val="28"/>
      <w:lang w:val="zh-CN" w:eastAsia="zh-CN"/>
    </w:rPr>
  </w:style>
  <w:style w:type="character" w:customStyle="1" w:styleId="823">
    <w:name w:val="标题 8 字符2"/>
    <w:qFormat/>
    <w:rPr>
      <w:color w:val="008000"/>
      <w:kern w:val="2"/>
      <w:sz w:val="28"/>
      <w:lang w:val="zh-CN" w:eastAsia="zh-CN"/>
    </w:rPr>
  </w:style>
  <w:style w:type="character" w:customStyle="1" w:styleId="920">
    <w:name w:val="标题 9 字符2"/>
    <w:rPr>
      <w:rFonts w:ascii="Arial" w:eastAsia="黑体" w:hAnsi="Arial"/>
      <w:sz w:val="24"/>
      <w:lang w:val="zh-CN" w:eastAsia="zh-CN"/>
    </w:rPr>
  </w:style>
  <w:style w:type="paragraph" w:customStyle="1" w:styleId="afffffffffffffffffffffffff2">
    <w:name w:val="方程"/>
    <w:basedOn w:val="a9"/>
    <w:pPr>
      <w:widowControl/>
      <w:overflowPunct w:val="0"/>
      <w:adjustRightInd w:val="0"/>
      <w:spacing w:before="60" w:after="60" w:line="440" w:lineRule="atLeast"/>
      <w:ind w:firstLine="482"/>
      <w:jc w:val="center"/>
      <w:textAlignment w:val="bottom"/>
    </w:pPr>
    <w:rPr>
      <w:rFonts w:ascii="CG Times (W1)" w:hAnsi="CG Times (W1)"/>
      <w:sz w:val="28"/>
    </w:rPr>
  </w:style>
  <w:style w:type="character" w:customStyle="1" w:styleId="Charfffffff8">
    <w:name w:val="表、图名 Char"/>
    <w:rPr>
      <w:b/>
      <w:kern w:val="2"/>
      <w:sz w:val="21"/>
      <w:szCs w:val="21"/>
    </w:rPr>
  </w:style>
  <w:style w:type="paragraph" w:customStyle="1" w:styleId="afffffffffffffffffffffffff3">
    <w:name w:val="应填表格"/>
    <w:basedOn w:val="a9"/>
    <w:pPr>
      <w:widowControl/>
      <w:adjustRightInd w:val="0"/>
      <w:spacing w:before="40" w:after="40" w:line="0" w:lineRule="atLeast"/>
      <w:jc w:val="left"/>
      <w:textAlignment w:val="baseline"/>
    </w:pPr>
    <w:rPr>
      <w:sz w:val="24"/>
    </w:rPr>
  </w:style>
  <w:style w:type="paragraph" w:customStyle="1" w:styleId="afffffffffffffffffffffffff4">
    <w:name w:val="已有表格"/>
    <w:basedOn w:val="a9"/>
    <w:pPr>
      <w:widowControl/>
      <w:adjustRightInd w:val="0"/>
      <w:spacing w:before="40" w:after="40" w:line="0" w:lineRule="atLeast"/>
      <w:jc w:val="center"/>
      <w:textAlignment w:val="baseline"/>
    </w:pPr>
    <w:rPr>
      <w:b/>
      <w:sz w:val="24"/>
    </w:rPr>
  </w:style>
  <w:style w:type="paragraph" w:customStyle="1" w:styleId="300">
    <w:name w:val="样式 标题 3 + 四号 段前: 0 磅 段后: 0 磅 行距: 单倍行距"/>
    <w:basedOn w:val="3"/>
    <w:pPr>
      <w:keepNext/>
      <w:keepLines/>
      <w:widowControl/>
      <w:numPr>
        <w:ilvl w:val="0"/>
        <w:numId w:val="0"/>
      </w:numPr>
      <w:tabs>
        <w:tab w:val="clear" w:pos="720"/>
      </w:tabs>
      <w:snapToGrid/>
      <w:spacing w:beforeLines="50" w:before="120" w:line="240" w:lineRule="auto"/>
      <w:jc w:val="left"/>
    </w:pPr>
    <w:rPr>
      <w:rFonts w:eastAsia="宋体" w:hAnsi="黑体" w:cs="宋体"/>
      <w:snapToGrid w:val="0"/>
      <w:kern w:val="2"/>
      <w:sz w:val="28"/>
      <w:szCs w:val="28"/>
      <w:lang w:val="zh-CN"/>
    </w:rPr>
  </w:style>
  <w:style w:type="character" w:customStyle="1" w:styleId="2ffff5">
    <w:name w:val="正文文本缩进 字符2"/>
    <w:qFormat/>
    <w:rPr>
      <w:color w:val="008000"/>
      <w:kern w:val="2"/>
      <w:sz w:val="21"/>
    </w:rPr>
  </w:style>
  <w:style w:type="paragraph" w:customStyle="1" w:styleId="205205">
    <w:name w:val="样式 样式 左侧:  2 字符 段后: 0.5 行 + 首行缩进:  2 字符 段后: 0.5 行"/>
    <w:basedOn w:val="a9"/>
    <w:pPr>
      <w:widowControl/>
      <w:spacing w:after="156" w:line="0" w:lineRule="atLeast"/>
      <w:ind w:firstLineChars="200" w:firstLine="560"/>
      <w:jc w:val="left"/>
    </w:pPr>
    <w:rPr>
      <w:rFonts w:eastAsia="仿宋_GB2312"/>
      <w:kern w:val="2"/>
      <w:sz w:val="28"/>
    </w:rPr>
  </w:style>
  <w:style w:type="paragraph" w:customStyle="1" w:styleId="CharChar1CharCharCharCharCharCharCharCharCharCharCharCharCharChar">
    <w:name w:val="Char Char1 Char Char Char Char Char Char Char Char Char Char Char Char Char Char"/>
    <w:basedOn w:val="a9"/>
    <w:pPr>
      <w:widowControl/>
      <w:spacing w:beforeLines="100" w:after="160" w:line="240" w:lineRule="exact"/>
      <w:jc w:val="left"/>
    </w:pPr>
    <w:rPr>
      <w:rFonts w:ascii="Verdana" w:hAnsi="Verdana"/>
      <w:sz w:val="32"/>
      <w:szCs w:val="32"/>
      <w:lang w:eastAsia="en-US"/>
    </w:rPr>
  </w:style>
  <w:style w:type="character" w:customStyle="1" w:styleId="2ffff6">
    <w:name w:val="正文文本 字符2"/>
    <w:qFormat/>
    <w:rPr>
      <w:rFonts w:ascii="Times" w:hAnsi="Times"/>
      <w:kern w:val="24"/>
      <w:sz w:val="24"/>
      <w:szCs w:val="24"/>
    </w:rPr>
  </w:style>
  <w:style w:type="character" w:customStyle="1" w:styleId="hongse381">
    <w:name w:val="hongse381"/>
    <w:rPr>
      <w:sz w:val="19"/>
      <w:szCs w:val="19"/>
    </w:rPr>
  </w:style>
  <w:style w:type="paragraph" w:customStyle="1" w:styleId="1CharCharCharCharCharCharCharCharCharCharCharCharChar">
    <w:name w:val="1 Char Char Char Char Char Char Char Char Char Char Char Char Char"/>
    <w:basedOn w:val="a9"/>
    <w:semiHidden/>
    <w:pPr>
      <w:widowControl/>
      <w:spacing w:line="0" w:lineRule="atLeast"/>
      <w:jc w:val="left"/>
    </w:pPr>
    <w:rPr>
      <w:kern w:val="2"/>
      <w:sz w:val="21"/>
      <w:szCs w:val="24"/>
    </w:rPr>
  </w:style>
  <w:style w:type="paragraph" w:customStyle="1" w:styleId="107">
    <w:name w:val="样式 标题 1 + 华文中宋 两端对齐 左侧:  0 厘米"/>
    <w:basedOn w:val="1"/>
    <w:pPr>
      <w:pageBreakBefore w:val="0"/>
      <w:widowControl/>
      <w:numPr>
        <w:numId w:val="0"/>
      </w:numPr>
      <w:tabs>
        <w:tab w:val="left" w:pos="576"/>
      </w:tabs>
      <w:spacing w:before="340" w:after="330" w:line="240" w:lineRule="auto"/>
      <w:ind w:left="434" w:hanging="432"/>
      <w:jc w:val="left"/>
    </w:pPr>
    <w:rPr>
      <w:rFonts w:ascii="华文中宋" w:eastAsia="华文中宋" w:hAnsi="华文中宋" w:cs="宋体"/>
      <w:bCs/>
      <w:sz w:val="44"/>
      <w:szCs w:val="44"/>
      <w:lang w:val="zh-CN"/>
    </w:rPr>
  </w:style>
  <w:style w:type="paragraph" w:customStyle="1" w:styleId="textfont">
    <w:name w:val="textfont"/>
    <w:basedOn w:val="a9"/>
    <w:pPr>
      <w:widowControl/>
      <w:spacing w:before="100" w:beforeAutospacing="1" w:after="100" w:afterAutospacing="1" w:line="0" w:lineRule="atLeast"/>
      <w:jc w:val="left"/>
    </w:pPr>
    <w:rPr>
      <w:rFonts w:ascii="宋体" w:hAnsi="宋体"/>
      <w:sz w:val="24"/>
      <w:szCs w:val="24"/>
    </w:rPr>
  </w:style>
  <w:style w:type="character" w:customStyle="1" w:styleId="tt41">
    <w:name w:val="tt41"/>
    <w:qFormat/>
  </w:style>
  <w:style w:type="paragraph" w:customStyle="1" w:styleId="8--">
    <w:name w:val="8--"/>
    <w:basedOn w:val="a9"/>
    <w:pPr>
      <w:widowControl/>
      <w:adjustRightInd w:val="0"/>
      <w:spacing w:line="360" w:lineRule="atLeast"/>
      <w:jc w:val="left"/>
      <w:textAlignment w:val="baseline"/>
    </w:pPr>
    <w:rPr>
      <w:sz w:val="24"/>
    </w:rPr>
  </w:style>
  <w:style w:type="character" w:customStyle="1" w:styleId="p141">
    <w:name w:val="p141"/>
    <w:rPr>
      <w:color w:val="000000"/>
      <w:sz w:val="21"/>
      <w:szCs w:val="21"/>
      <w:u w:val="none"/>
    </w:rPr>
  </w:style>
  <w:style w:type="paragraph" w:customStyle="1" w:styleId="afffffffffffffffffffffffff5">
    <w:name w:val="图表说明"/>
    <w:basedOn w:val="a9"/>
    <w:pPr>
      <w:widowControl/>
      <w:adjustRightInd w:val="0"/>
      <w:snapToGrid w:val="0"/>
      <w:spacing w:line="360" w:lineRule="auto"/>
      <w:jc w:val="center"/>
    </w:pPr>
    <w:rPr>
      <w:rFonts w:hAnsi="宋体"/>
      <w:kern w:val="2"/>
      <w:sz w:val="21"/>
      <w:szCs w:val="21"/>
    </w:rPr>
  </w:style>
  <w:style w:type="paragraph" w:customStyle="1" w:styleId="Char4CharCharCharCharCharChar1">
    <w:name w:val="Char4 Char Char Char Char Char Char1"/>
    <w:basedOn w:val="a9"/>
    <w:pPr>
      <w:widowControl/>
      <w:spacing w:line="360" w:lineRule="auto"/>
      <w:ind w:firstLineChars="200" w:firstLine="200"/>
      <w:jc w:val="left"/>
    </w:pPr>
    <w:rPr>
      <w:rFonts w:ascii="宋体" w:hAnsi="宋体" w:cs="宋体"/>
      <w:kern w:val="2"/>
      <w:sz w:val="24"/>
      <w:szCs w:val="24"/>
    </w:rPr>
  </w:style>
  <w:style w:type="character" w:customStyle="1" w:styleId="2ffff7">
    <w:name w:val="批注主题 字符2"/>
    <w:uiPriority w:val="99"/>
    <w:rPr>
      <w:b/>
      <w:bCs/>
      <w:kern w:val="2"/>
      <w:sz w:val="21"/>
      <w:szCs w:val="24"/>
    </w:rPr>
  </w:style>
  <w:style w:type="paragraph" w:customStyle="1" w:styleId="Char1CharChar0">
    <w:name w:val="Char1 Char Char"/>
    <w:basedOn w:val="a9"/>
    <w:qFormat/>
    <w:pPr>
      <w:widowControl/>
      <w:spacing w:line="0" w:lineRule="atLeast"/>
      <w:jc w:val="left"/>
    </w:pPr>
    <w:rPr>
      <w:kern w:val="2"/>
      <w:sz w:val="21"/>
      <w:szCs w:val="24"/>
    </w:rPr>
  </w:style>
  <w:style w:type="character" w:customStyle="1" w:styleId="duanluo2">
    <w:name w:val="duanluo2"/>
    <w:rPr>
      <w:rFonts w:ascii="_GB2312" w:hAnsi="_GB2312" w:hint="default"/>
      <w:color w:val="000000"/>
      <w:spacing w:val="432"/>
      <w:sz w:val="21"/>
      <w:szCs w:val="21"/>
    </w:rPr>
  </w:style>
  <w:style w:type="paragraph" w:customStyle="1" w:styleId="afffffffffffffffffffffffff6">
    <w:name w:val="小表文居中"/>
    <w:basedOn w:val="a9"/>
    <w:pPr>
      <w:widowControl/>
      <w:autoSpaceDE w:val="0"/>
      <w:autoSpaceDN w:val="0"/>
      <w:adjustRightInd w:val="0"/>
      <w:spacing w:before="20" w:line="0" w:lineRule="atLeast"/>
      <w:jc w:val="center"/>
      <w:textAlignment w:val="baseline"/>
    </w:pPr>
    <w:rPr>
      <w:sz w:val="18"/>
    </w:rPr>
  </w:style>
  <w:style w:type="paragraph" w:customStyle="1" w:styleId="1fffffff1">
    <w:name w:val="框图文字1"/>
    <w:basedOn w:val="a9"/>
    <w:pPr>
      <w:widowControl/>
      <w:adjustRightInd w:val="0"/>
      <w:snapToGrid w:val="0"/>
      <w:spacing w:before="78" w:line="0" w:lineRule="atLeast"/>
      <w:jc w:val="center"/>
    </w:pPr>
    <w:rPr>
      <w:kern w:val="2"/>
      <w:sz w:val="18"/>
    </w:rPr>
  </w:style>
  <w:style w:type="character" w:customStyle="1" w:styleId="css-text3">
    <w:name w:val="css-text3"/>
  </w:style>
  <w:style w:type="character" w:customStyle="1" w:styleId="css1">
    <w:name w:val="css1"/>
    <w:rPr>
      <w:sz w:val="20"/>
      <w:szCs w:val="20"/>
      <w:u w:val="none"/>
    </w:rPr>
  </w:style>
  <w:style w:type="paragraph" w:customStyle="1" w:styleId="-f">
    <w:name w:val="正文-第几条"/>
    <w:basedOn w:val="a9"/>
    <w:pPr>
      <w:widowControl/>
      <w:tabs>
        <w:tab w:val="left" w:pos="1200"/>
      </w:tabs>
      <w:spacing w:line="360" w:lineRule="auto"/>
      <w:ind w:leftChars="400" w:left="1200" w:hangingChars="200" w:hanging="360"/>
      <w:jc w:val="left"/>
    </w:pPr>
    <w:rPr>
      <w:kern w:val="2"/>
      <w:sz w:val="24"/>
      <w:szCs w:val="24"/>
    </w:rPr>
  </w:style>
  <w:style w:type="paragraph" w:customStyle="1" w:styleId="afffffffffffffffffffffffff7">
    <w:name w:val="附录二级条标题"/>
    <w:basedOn w:val="afffffffffffffffffffffffff8"/>
    <w:next w:val="a9"/>
    <w:pPr>
      <w:tabs>
        <w:tab w:val="left" w:pos="360"/>
        <w:tab w:val="left" w:pos="1680"/>
      </w:tabs>
      <w:ind w:left="360" w:hanging="360"/>
      <w:outlineLvl w:val="3"/>
    </w:pPr>
  </w:style>
  <w:style w:type="paragraph" w:customStyle="1" w:styleId="afffffffffffffffffffffffff8">
    <w:name w:val="附录一级条标题"/>
    <w:basedOn w:val="afffffffffffffffffffffffff9"/>
    <w:next w:val="a9"/>
    <w:pPr>
      <w:tabs>
        <w:tab w:val="clear" w:pos="840"/>
        <w:tab w:val="left" w:pos="828"/>
        <w:tab w:val="left" w:pos="1260"/>
      </w:tabs>
      <w:autoSpaceDN w:val="0"/>
      <w:spacing w:beforeLines="0" w:afterLines="0"/>
      <w:ind w:left="828" w:hanging="240"/>
      <w:outlineLvl w:val="2"/>
    </w:pPr>
  </w:style>
  <w:style w:type="paragraph" w:customStyle="1" w:styleId="afffffffffffffffffffffffff9">
    <w:name w:val="附录章标题"/>
    <w:next w:val="a9"/>
    <w:pPr>
      <w:tabs>
        <w:tab w:val="left" w:pos="840"/>
      </w:tabs>
      <w:wordWrap w:val="0"/>
      <w:overflowPunct w:val="0"/>
      <w:autoSpaceDE w:val="0"/>
      <w:spacing w:beforeLines="50" w:afterLines="50" w:line="0" w:lineRule="atLeast"/>
      <w:ind w:left="840" w:hanging="420"/>
      <w:jc w:val="both"/>
      <w:textAlignment w:val="baseline"/>
      <w:outlineLvl w:val="1"/>
    </w:pPr>
    <w:rPr>
      <w:rFonts w:ascii="黑体" w:eastAsia="黑体"/>
      <w:kern w:val="21"/>
      <w:sz w:val="21"/>
    </w:rPr>
  </w:style>
  <w:style w:type="paragraph" w:customStyle="1" w:styleId="afffffffffffffffffffffffffa">
    <w:name w:val="附录三级条标题"/>
    <w:basedOn w:val="afffffffffffffffffffffffff7"/>
    <w:next w:val="a9"/>
    <w:pPr>
      <w:tabs>
        <w:tab w:val="clear" w:pos="360"/>
        <w:tab w:val="left" w:pos="1068"/>
        <w:tab w:val="left" w:pos="2100"/>
      </w:tabs>
      <w:ind w:left="1068"/>
      <w:outlineLvl w:val="4"/>
    </w:pPr>
  </w:style>
  <w:style w:type="paragraph" w:customStyle="1" w:styleId="afffffffffffffffffffffffffb">
    <w:name w:val="附录四级条标题"/>
    <w:basedOn w:val="afffffffffffffffffffffffffa"/>
    <w:next w:val="a9"/>
    <w:pPr>
      <w:tabs>
        <w:tab w:val="clear" w:pos="1068"/>
        <w:tab w:val="left" w:pos="960"/>
        <w:tab w:val="left" w:pos="2520"/>
      </w:tabs>
      <w:ind w:left="960"/>
      <w:outlineLvl w:val="5"/>
    </w:pPr>
  </w:style>
  <w:style w:type="paragraph" w:customStyle="1" w:styleId="afffffffffffffffffffffffffc">
    <w:name w:val="附录五级条标题"/>
    <w:basedOn w:val="afffffffffffffffffffffffffb"/>
    <w:next w:val="a9"/>
    <w:pPr>
      <w:tabs>
        <w:tab w:val="clear" w:pos="960"/>
        <w:tab w:val="left" w:pos="435"/>
        <w:tab w:val="left" w:pos="2940"/>
      </w:tabs>
      <w:ind w:left="435" w:hanging="165"/>
      <w:outlineLvl w:val="6"/>
    </w:pPr>
  </w:style>
  <w:style w:type="paragraph" w:customStyle="1" w:styleId="afffffffffffffffffffffffffd">
    <w:name w:val="附录标识"/>
    <w:basedOn w:val="a"/>
    <w:pPr>
      <w:numPr>
        <w:numId w:val="0"/>
      </w:numPr>
      <w:tabs>
        <w:tab w:val="clear" w:pos="903"/>
        <w:tab w:val="left" w:pos="6405"/>
      </w:tabs>
      <w:spacing w:after="200" w:line="0" w:lineRule="atLeast"/>
    </w:pPr>
    <w:rPr>
      <w:sz w:val="21"/>
    </w:rPr>
  </w:style>
  <w:style w:type="paragraph" w:customStyle="1" w:styleId="afffffffffffffffffffffffffe">
    <w:name w:val="二级无标题条"/>
    <w:basedOn w:val="a9"/>
    <w:pPr>
      <w:widowControl/>
      <w:spacing w:line="0" w:lineRule="atLeast"/>
      <w:jc w:val="left"/>
    </w:pPr>
    <w:rPr>
      <w:kern w:val="2"/>
      <w:sz w:val="21"/>
      <w:szCs w:val="24"/>
    </w:rPr>
  </w:style>
  <w:style w:type="paragraph" w:customStyle="1" w:styleId="affffffffffffffffffffffffff">
    <w:name w:val="列项·"/>
    <w:pPr>
      <w:tabs>
        <w:tab w:val="left" w:pos="840"/>
      </w:tabs>
      <w:spacing w:line="0" w:lineRule="atLeast"/>
      <w:ind w:leftChars="200" w:left="840" w:hangingChars="200" w:hanging="420"/>
      <w:jc w:val="both"/>
    </w:pPr>
    <w:rPr>
      <w:rFonts w:ascii="宋体"/>
      <w:sz w:val="21"/>
    </w:rPr>
  </w:style>
  <w:style w:type="paragraph" w:customStyle="1" w:styleId="-f0">
    <w:name w:val="正文-叶"/>
    <w:basedOn w:val="a9"/>
    <w:pPr>
      <w:widowControl/>
      <w:topLinePunct/>
      <w:spacing w:line="312" w:lineRule="auto"/>
      <w:ind w:firstLine="465"/>
      <w:jc w:val="left"/>
    </w:pPr>
    <w:rPr>
      <w:kern w:val="2"/>
      <w:sz w:val="24"/>
    </w:rPr>
  </w:style>
  <w:style w:type="paragraph" w:customStyle="1" w:styleId="Item1">
    <w:name w:val="Item1"/>
    <w:basedOn w:val="a9"/>
    <w:pPr>
      <w:widowControl/>
      <w:spacing w:line="0" w:lineRule="atLeast"/>
      <w:jc w:val="left"/>
    </w:pPr>
    <w:rPr>
      <w:kern w:val="2"/>
      <w:sz w:val="21"/>
      <w:szCs w:val="24"/>
    </w:rPr>
  </w:style>
  <w:style w:type="character" w:customStyle="1" w:styleId="a20">
    <w:name w:val="a2"/>
  </w:style>
  <w:style w:type="paragraph" w:customStyle="1" w:styleId="affffffffffffffffffffffffff0">
    <w:name w:val="表文"/>
    <w:basedOn w:val="a9"/>
    <w:pPr>
      <w:widowControl/>
      <w:overflowPunct w:val="0"/>
      <w:spacing w:line="0" w:lineRule="atLeast"/>
      <w:jc w:val="center"/>
      <w:textAlignment w:val="baseline"/>
    </w:pPr>
    <w:rPr>
      <w:kern w:val="2"/>
      <w:sz w:val="21"/>
    </w:rPr>
  </w:style>
  <w:style w:type="character" w:customStyle="1" w:styleId="white">
    <w:name w:val="white"/>
  </w:style>
  <w:style w:type="paragraph" w:customStyle="1" w:styleId="ourfont3">
    <w:name w:val="ourfont3"/>
    <w:basedOn w:val="a9"/>
    <w:pPr>
      <w:widowControl/>
      <w:spacing w:before="100" w:beforeAutospacing="1" w:after="100" w:afterAutospacing="1" w:line="0" w:lineRule="atLeast"/>
      <w:jc w:val="left"/>
    </w:pPr>
    <w:rPr>
      <w:rFonts w:ascii="宋体" w:hAnsi="宋体" w:cs="宋体"/>
      <w:sz w:val="24"/>
      <w:szCs w:val="24"/>
    </w:rPr>
  </w:style>
  <w:style w:type="paragraph" w:customStyle="1" w:styleId="indent">
    <w:name w:val="indent"/>
    <w:basedOn w:val="a9"/>
    <w:pPr>
      <w:widowControl/>
      <w:spacing w:before="100" w:beforeAutospacing="1" w:after="100" w:afterAutospacing="1" w:line="0" w:lineRule="atLeast"/>
      <w:ind w:firstLine="525"/>
      <w:jc w:val="left"/>
    </w:pPr>
    <w:rPr>
      <w:rFonts w:ascii="宋体" w:hAnsi="宋体" w:cs="宋体"/>
      <w:sz w:val="24"/>
      <w:szCs w:val="24"/>
    </w:rPr>
  </w:style>
  <w:style w:type="paragraph" w:customStyle="1" w:styleId="-70">
    <w:name w:val="文-7"/>
    <w:basedOn w:val="a9"/>
    <w:pPr>
      <w:widowControl/>
      <w:tabs>
        <w:tab w:val="right" w:leader="dot" w:pos="8789"/>
      </w:tabs>
      <w:spacing w:before="120" w:line="0" w:lineRule="atLeast"/>
      <w:ind w:left="1701" w:firstLine="482"/>
      <w:jc w:val="left"/>
    </w:pPr>
    <w:rPr>
      <w:kern w:val="2"/>
      <w:sz w:val="24"/>
      <w:szCs w:val="24"/>
    </w:rPr>
  </w:style>
  <w:style w:type="character" w:customStyle="1" w:styleId="Char37">
    <w:name w:val="正文缩进 Char3"/>
    <w:rPr>
      <w:rFonts w:ascii="Arial" w:eastAsia="宋体" w:hAnsi="Arial"/>
      <w:kern w:val="2"/>
      <w:sz w:val="24"/>
      <w:lang w:val="en-US" w:eastAsia="zh-CN" w:bidi="ar-SA"/>
    </w:rPr>
  </w:style>
  <w:style w:type="paragraph" w:customStyle="1" w:styleId="085175">
    <w:name w:val="样式 宋体 小四 首行缩进:  0.85 厘米 行距: 多倍行距 1.75 字行"/>
    <w:basedOn w:val="a9"/>
    <w:pPr>
      <w:widowControl/>
      <w:adjustRightInd w:val="0"/>
      <w:spacing w:line="360" w:lineRule="auto"/>
      <w:ind w:firstLine="340"/>
      <w:jc w:val="left"/>
    </w:pPr>
    <w:rPr>
      <w:rFonts w:ascii="宋体" w:hAnsi="宋体"/>
      <w:kern w:val="2"/>
      <w:sz w:val="24"/>
    </w:rPr>
  </w:style>
  <w:style w:type="character" w:customStyle="1" w:styleId="u150">
    <w:name w:val="u150"/>
  </w:style>
  <w:style w:type="table" w:customStyle="1" w:styleId="AAA">
    <w:name w:val="AAA"/>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paragraph" w:customStyle="1" w:styleId="CharChar2CharCharCharChar">
    <w:name w:val="Char Char2 Char Char Char Char"/>
    <w:basedOn w:val="a9"/>
    <w:pPr>
      <w:widowControl/>
      <w:spacing w:after="160" w:line="240" w:lineRule="exact"/>
      <w:jc w:val="left"/>
    </w:pPr>
    <w:rPr>
      <w:rFonts w:ascii="Verdana" w:eastAsia="仿宋_GB2312" w:hAnsi="Verdana"/>
      <w:sz w:val="24"/>
      <w:lang w:eastAsia="en-US"/>
    </w:rPr>
  </w:style>
  <w:style w:type="character" w:customStyle="1" w:styleId="titlefront1">
    <w:name w:val="titlefront1"/>
    <w:rPr>
      <w:sz w:val="19"/>
      <w:szCs w:val="19"/>
    </w:rPr>
  </w:style>
  <w:style w:type="paragraph" w:customStyle="1" w:styleId="affffffffffffffffffffffffff1">
    <w:name w:val="文章附标题"/>
    <w:basedOn w:val="a9"/>
    <w:next w:val="1"/>
    <w:pPr>
      <w:widowControl/>
      <w:spacing w:before="104" w:after="104" w:line="0" w:lineRule="atLeast"/>
      <w:ind w:left="1"/>
      <w:jc w:val="center"/>
      <w:textAlignment w:val="bottom"/>
    </w:pPr>
    <w:rPr>
      <w:sz w:val="36"/>
    </w:rPr>
  </w:style>
  <w:style w:type="character" w:customStyle="1" w:styleId="style441">
    <w:name w:val="style441"/>
    <w:rPr>
      <w:sz w:val="18"/>
      <w:szCs w:val="18"/>
    </w:rPr>
  </w:style>
  <w:style w:type="character" w:customStyle="1" w:styleId="z-22">
    <w:name w:val="z-窗体顶端 字符2"/>
    <w:uiPriority w:val="99"/>
    <w:semiHidden/>
    <w:rPr>
      <w:rFonts w:ascii="Arial" w:hAnsi="Arial" w:cs="Arial"/>
      <w:vanish/>
      <w:kern w:val="2"/>
      <w:sz w:val="16"/>
      <w:szCs w:val="16"/>
    </w:rPr>
  </w:style>
  <w:style w:type="character" w:customStyle="1" w:styleId="z-23">
    <w:name w:val="z-窗体底端 字符2"/>
    <w:uiPriority w:val="99"/>
    <w:semiHidden/>
    <w:rPr>
      <w:rFonts w:ascii="Arial" w:hAnsi="Arial" w:cs="Arial"/>
      <w:vanish/>
      <w:kern w:val="2"/>
      <w:sz w:val="16"/>
      <w:szCs w:val="16"/>
    </w:rPr>
  </w:style>
  <w:style w:type="character" w:customStyle="1" w:styleId="3CharChar2">
    <w:name w:val="正文文字缩进 3 Char Char"/>
    <w:rPr>
      <w:kern w:val="2"/>
      <w:sz w:val="16"/>
      <w:szCs w:val="16"/>
    </w:rPr>
  </w:style>
  <w:style w:type="character" w:customStyle="1" w:styleId="art-postmetadataheader">
    <w:name w:val="art-postmetadataheader"/>
  </w:style>
  <w:style w:type="paragraph" w:customStyle="1" w:styleId="Charfffffff9">
    <w:name w:val="册除格式 Char"/>
    <w:pPr>
      <w:spacing w:line="360" w:lineRule="auto"/>
      <w:ind w:firstLine="482"/>
    </w:pPr>
    <w:rPr>
      <w:rFonts w:ascii="黑体" w:hAnsi="Arial" w:cs="Arial"/>
      <w:snapToGrid w:val="0"/>
      <w:spacing w:val="4"/>
      <w:kern w:val="18"/>
      <w:sz w:val="24"/>
      <w:szCs w:val="28"/>
    </w:rPr>
  </w:style>
  <w:style w:type="character" w:customStyle="1" w:styleId="HTML12">
    <w:name w:val="HTML 定义1"/>
    <w:rPr>
      <w:i/>
      <w:iCs/>
    </w:rPr>
  </w:style>
  <w:style w:type="paragraph" w:customStyle="1" w:styleId="affffffffffffffffffffffffff2">
    <w:name w:val="陈光的正文"/>
    <w:basedOn w:val="a9"/>
    <w:pPr>
      <w:adjustRightInd w:val="0"/>
      <w:snapToGrid w:val="0"/>
      <w:spacing w:beforeLines="10" w:afterLines="10" w:line="360" w:lineRule="auto"/>
      <w:ind w:firstLineChars="200" w:firstLine="560"/>
    </w:pPr>
    <w:rPr>
      <w:kern w:val="2"/>
      <w:sz w:val="28"/>
    </w:rPr>
  </w:style>
  <w:style w:type="character" w:customStyle="1" w:styleId="2ffff8">
    <w:name w:val="标题 字符2"/>
    <w:rPr>
      <w:rFonts w:ascii="Arial" w:hAnsi="Arial" w:cs="Arial"/>
      <w:b/>
      <w:bCs/>
      <w:kern w:val="2"/>
      <w:sz w:val="32"/>
      <w:szCs w:val="32"/>
    </w:rPr>
  </w:style>
  <w:style w:type="character" w:customStyle="1" w:styleId="Charfffffffa">
    <w:name w:val="芯创正文 Char"/>
    <w:link w:val="affffffffffffffffffffffffff3"/>
    <w:rPr>
      <w:rFonts w:eastAsia="华文仿宋"/>
      <w:bCs/>
      <w:kern w:val="2"/>
      <w:sz w:val="24"/>
      <w:szCs w:val="24"/>
    </w:rPr>
  </w:style>
  <w:style w:type="paragraph" w:customStyle="1" w:styleId="affffffffffffffffffffffffff3">
    <w:name w:val="芯创正文"/>
    <w:basedOn w:val="affffb"/>
    <w:link w:val="Charfffffffa"/>
    <w:qFormat/>
    <w:pPr>
      <w:widowControl w:val="0"/>
      <w:adjustRightInd w:val="0"/>
      <w:snapToGrid w:val="0"/>
      <w:textAlignment w:val="baseline"/>
    </w:pPr>
    <w:rPr>
      <w:rFonts w:eastAsia="华文仿宋"/>
      <w:bCs/>
      <w:kern w:val="2"/>
      <w:szCs w:val="24"/>
      <w:lang w:val="en-US" w:bidi="ar-SA"/>
    </w:rPr>
  </w:style>
  <w:style w:type="character" w:customStyle="1" w:styleId="Charfffffffb">
    <w:name w:val="报告书正文 Char"/>
    <w:rPr>
      <w:rFonts w:ascii="仿宋_GB2312" w:eastAsia="仿宋_GB2312"/>
      <w:bCs/>
      <w:color w:val="0000FF"/>
      <w:kern w:val="2"/>
      <w:sz w:val="24"/>
      <w:szCs w:val="24"/>
    </w:rPr>
  </w:style>
  <w:style w:type="paragraph" w:customStyle="1" w:styleId="affffffffffffffffffffffffff4">
    <w:name w:val="正文定"/>
    <w:basedOn w:val="afd"/>
    <w:uiPriority w:val="99"/>
    <w:pPr>
      <w:spacing w:beforeLines="100"/>
      <w:ind w:firstLineChars="212" w:firstLine="594"/>
    </w:pPr>
    <w:rPr>
      <w:rFonts w:ascii="Times New Roman" w:hAnsi="Times New Roman"/>
      <w:kern w:val="2"/>
      <w:sz w:val="28"/>
      <w:szCs w:val="24"/>
      <w:lang w:val="zh-CN"/>
    </w:rPr>
  </w:style>
  <w:style w:type="character" w:customStyle="1" w:styleId="HTML20">
    <w:name w:val="HTML 预设格式 字符2"/>
    <w:rPr>
      <w:rFonts w:ascii="黑体" w:eastAsia="黑体" w:hAnsi="Courier New" w:cs="Courier New"/>
    </w:rPr>
  </w:style>
  <w:style w:type="paragraph" w:customStyle="1" w:styleId="2240">
    <w:name w:val="样式 正文文字 + 首行缩进:  2 字符 行距: 最小值 24 磅"/>
    <w:basedOn w:val="a9"/>
    <w:link w:val="224Char"/>
    <w:pPr>
      <w:adjustRightInd w:val="0"/>
      <w:snapToGrid w:val="0"/>
      <w:spacing w:line="480" w:lineRule="atLeast"/>
      <w:ind w:firstLineChars="200" w:firstLine="480"/>
    </w:pPr>
    <w:rPr>
      <w:kern w:val="2"/>
      <w:sz w:val="24"/>
      <w:lang w:val="zh-CN"/>
    </w:rPr>
  </w:style>
  <w:style w:type="character" w:customStyle="1" w:styleId="224Char">
    <w:name w:val="样式 正文文字 + 首行缩进:  2 字符 行距: 最小值 24 磅 Char"/>
    <w:link w:val="2240"/>
    <w:rPr>
      <w:kern w:val="2"/>
      <w:sz w:val="24"/>
      <w:lang w:val="zh-CN"/>
    </w:rPr>
  </w:style>
  <w:style w:type="paragraph" w:customStyle="1" w:styleId="2ffff9">
    <w:name w:val="首行缩进2字符"/>
    <w:basedOn w:val="a9"/>
    <w:pPr>
      <w:spacing w:line="460" w:lineRule="exact"/>
      <w:ind w:firstLine="200"/>
    </w:pPr>
    <w:rPr>
      <w:kern w:val="2"/>
      <w:sz w:val="28"/>
    </w:rPr>
  </w:style>
  <w:style w:type="table" w:customStyle="1" w:styleId="418">
    <w:name w:val="网格型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网格型5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网格型115"/>
    <w:basedOn w:val="ac"/>
    <w:uiPriority w:val="5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网格型15"/>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网格型1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网格型11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网格型1211"/>
    <w:basedOn w:val="ac"/>
    <w:uiPriority w:val="59"/>
    <w:qFormat/>
    <w:rPr>
      <w:rFonts w:ascii="Calibri" w:hAnsi="Calibri"/>
      <w:kern w:val="2"/>
      <w:sz w:val="21"/>
      <w:szCs w:val="22"/>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3">
    <w:name w:val="网格型22"/>
    <w:basedOn w:val="ac"/>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网格型311"/>
    <w:basedOn w:val="ac"/>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13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网格型1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君邦专用2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4">
    <w:name w:val="君邦专用3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c">
    <w:name w:val="三线表3"/>
    <w:basedOn w:val="ac"/>
    <w:pPr>
      <w:widowControl w:val="0"/>
      <w:spacing w:afterLines="50"/>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f5">
    <w:name w:val="君邦1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f4">
    <w:name w:val="表格样式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
    <w:name w:val="TableGrid6"/>
    <w:qFormat/>
    <w:pPr>
      <w:spacing w:after="60"/>
      <w:jc w:val="both"/>
    </w:pPr>
    <w:tblPr>
      <w:tblCellMar>
        <w:top w:w="0" w:type="dxa"/>
        <w:left w:w="0" w:type="dxa"/>
        <w:bottom w:w="0" w:type="dxa"/>
        <w:right w:w="0" w:type="dxa"/>
      </w:tblCellMar>
    </w:tblPr>
  </w:style>
  <w:style w:type="character" w:customStyle="1" w:styleId="4ff1">
    <w:name w:val="页码4"/>
  </w:style>
  <w:style w:type="character" w:customStyle="1" w:styleId="CharChar64">
    <w:name w:val="Char Char64"/>
    <w:qFormat/>
    <w:rPr>
      <w:rFonts w:eastAsia="宋体"/>
      <w:kern w:val="2"/>
      <w:sz w:val="24"/>
      <w:lang w:val="en-US" w:eastAsia="zh-CN" w:bidi="ar-SA"/>
    </w:rPr>
  </w:style>
  <w:style w:type="character" w:customStyle="1" w:styleId="CharChar113">
    <w:name w:val="Char Char113"/>
    <w:qFormat/>
    <w:rPr>
      <w:rFonts w:eastAsia="宋体"/>
      <w:bCs/>
      <w:snapToGrid w:val="0"/>
      <w:sz w:val="24"/>
      <w:lang w:val="en-US" w:eastAsia="zh-CN" w:bidi="ar-SA"/>
    </w:rPr>
  </w:style>
  <w:style w:type="paragraph" w:customStyle="1" w:styleId="CharCharCharChar100">
    <w:name w:val="Char Char Char Char10"/>
    <w:basedOn w:val="a9"/>
    <w:qFormat/>
    <w:pPr>
      <w:widowControl/>
      <w:spacing w:after="60"/>
      <w:ind w:firstLineChars="200" w:firstLine="200"/>
    </w:pPr>
    <w:rPr>
      <w:rFonts w:cs="宋体"/>
      <w:sz w:val="24"/>
      <w:szCs w:val="24"/>
      <w:lang w:bidi="ne-NP"/>
    </w:rPr>
  </w:style>
  <w:style w:type="paragraph" w:customStyle="1" w:styleId="CharCharCharCharCharCharCharCharCharCharCharCharChar3">
    <w:name w:val="Char Char Char Char Char Char Char Char Char Char Char Char Char3"/>
    <w:basedOn w:val="a9"/>
    <w:qFormat/>
    <w:pPr>
      <w:widowControl/>
      <w:adjustRightInd w:val="0"/>
      <w:spacing w:after="60" w:line="360" w:lineRule="auto"/>
      <w:ind w:firstLineChars="200" w:firstLine="200"/>
    </w:pPr>
    <w:rPr>
      <w:rFonts w:cs="宋体"/>
      <w:sz w:val="24"/>
      <w:szCs w:val="24"/>
      <w:lang w:bidi="ne-NP"/>
    </w:rPr>
  </w:style>
  <w:style w:type="paragraph" w:customStyle="1" w:styleId="CharChar1Char6">
    <w:name w:val="Char Char1 Char6"/>
    <w:basedOn w:val="a9"/>
    <w:qFormat/>
    <w:pPr>
      <w:widowControl/>
      <w:spacing w:after="60" w:line="360" w:lineRule="auto"/>
      <w:ind w:firstLineChars="200" w:firstLine="200"/>
    </w:pPr>
    <w:rPr>
      <w:rFonts w:ascii="宋体" w:hAnsi="宋体" w:cs="宋体"/>
      <w:sz w:val="24"/>
      <w:szCs w:val="24"/>
      <w:lang w:bidi="ne-NP"/>
    </w:rPr>
  </w:style>
  <w:style w:type="paragraph" w:customStyle="1" w:styleId="CharChar3CharCharCharChar3">
    <w:name w:val="Char Char3 Char Char Char Char3"/>
    <w:basedOn w:val="a9"/>
    <w:qFormat/>
    <w:pPr>
      <w:spacing w:after="60"/>
      <w:ind w:firstLineChars="200" w:firstLine="200"/>
    </w:pPr>
    <w:rPr>
      <w:rFonts w:cs="宋体"/>
      <w:sz w:val="24"/>
      <w:szCs w:val="24"/>
    </w:rPr>
  </w:style>
  <w:style w:type="paragraph" w:customStyle="1" w:styleId="Char3CharCharChar8">
    <w:name w:val="Char3 Char Char Char8"/>
    <w:basedOn w:val="a9"/>
    <w:qFormat/>
    <w:pPr>
      <w:widowControl/>
      <w:spacing w:after="60" w:line="360" w:lineRule="auto"/>
      <w:ind w:firstLineChars="200" w:firstLine="200"/>
    </w:pPr>
    <w:rPr>
      <w:rFonts w:ascii="宋体" w:hAnsi="宋体" w:cs="宋体"/>
      <w:sz w:val="24"/>
      <w:szCs w:val="24"/>
      <w:lang w:bidi="ne-NP"/>
    </w:rPr>
  </w:style>
  <w:style w:type="character" w:customStyle="1" w:styleId="affffffffffffffffffffffffff5">
    <w:name w:val="正文格式 字符"/>
    <w:qFormat/>
    <w:rPr>
      <w:kern w:val="2"/>
      <w:sz w:val="24"/>
      <w:szCs w:val="28"/>
    </w:rPr>
  </w:style>
  <w:style w:type="paragraph" w:customStyle="1" w:styleId="Style1611">
    <w:name w:val="_Style 1611"/>
    <w:pPr>
      <w:widowControl w:val="0"/>
      <w:jc w:val="both"/>
    </w:pPr>
    <w:rPr>
      <w:rFonts w:ascii="宋体" w:hAnsi="宋体" w:cs="宋体"/>
      <w:sz w:val="24"/>
      <w:szCs w:val="24"/>
      <w:lang w:bidi="ne-NP"/>
    </w:rPr>
  </w:style>
  <w:style w:type="character" w:customStyle="1" w:styleId="CharChar314">
    <w:name w:val="Char Char314"/>
    <w:qFormat/>
    <w:rPr>
      <w:kern w:val="2"/>
      <w:sz w:val="21"/>
      <w:szCs w:val="24"/>
    </w:rPr>
  </w:style>
  <w:style w:type="character" w:customStyle="1" w:styleId="CharChar54">
    <w:name w:val="Char Char54"/>
    <w:qFormat/>
    <w:rPr>
      <w:rFonts w:eastAsia="PMingLiU"/>
      <w:b/>
      <w:kern w:val="2"/>
      <w:sz w:val="32"/>
      <w:szCs w:val="24"/>
      <w:lang w:val="en-US" w:eastAsia="zh-TW" w:bidi="ar-SA"/>
    </w:rPr>
  </w:style>
  <w:style w:type="character" w:customStyle="1" w:styleId="5fc">
    <w:name w:val="页码5"/>
  </w:style>
  <w:style w:type="character" w:customStyle="1" w:styleId="2Char8">
    <w:name w:val="正文文本 2 Char"/>
    <w:rPr>
      <w:rFonts w:eastAsia="宋体"/>
      <w:spacing w:val="-8"/>
      <w:kern w:val="2"/>
      <w:sz w:val="18"/>
      <w:szCs w:val="24"/>
      <w:lang w:val="en-US" w:eastAsia="zh-CN" w:bidi="ar-SA"/>
    </w:rPr>
  </w:style>
  <w:style w:type="character" w:customStyle="1" w:styleId="Charfffffffc">
    <w:name w:val="电子邮件签名 Char"/>
    <w:qFormat/>
    <w:rPr>
      <w:rFonts w:eastAsia="宋体"/>
      <w:kern w:val="2"/>
      <w:sz w:val="21"/>
      <w:szCs w:val="24"/>
      <w:lang w:val="en-US" w:eastAsia="zh-CN" w:bidi="ar-SA"/>
    </w:rPr>
  </w:style>
  <w:style w:type="character" w:customStyle="1" w:styleId="108">
    <w:name w:val="标题10"/>
    <w:qFormat/>
  </w:style>
  <w:style w:type="character" w:customStyle="1" w:styleId="CharChar65">
    <w:name w:val="Char Char65"/>
    <w:qFormat/>
    <w:rPr>
      <w:rFonts w:eastAsia="宋体"/>
      <w:kern w:val="2"/>
      <w:sz w:val="24"/>
      <w:lang w:val="en-US" w:eastAsia="zh-CN" w:bidi="ar-SA"/>
    </w:rPr>
  </w:style>
  <w:style w:type="character" w:customStyle="1" w:styleId="Charfffffffd">
    <w:name w:val="信息标题 Char"/>
    <w:rPr>
      <w:rFonts w:ascii="Arial" w:eastAsia="宋体" w:hAnsi="Arial" w:cs="Arial"/>
      <w:kern w:val="2"/>
      <w:sz w:val="24"/>
      <w:szCs w:val="24"/>
      <w:lang w:val="en-US" w:eastAsia="zh-CN" w:bidi="ar-SA"/>
    </w:rPr>
  </w:style>
  <w:style w:type="character" w:customStyle="1" w:styleId="CharChar114">
    <w:name w:val="Char Char114"/>
    <w:qFormat/>
    <w:rPr>
      <w:rFonts w:eastAsia="宋体"/>
      <w:bCs/>
      <w:snapToGrid w:val="0"/>
      <w:sz w:val="24"/>
      <w:lang w:val="en-US" w:eastAsia="zh-CN" w:bidi="ar-SA"/>
    </w:rPr>
  </w:style>
  <w:style w:type="character" w:customStyle="1" w:styleId="CharChar104">
    <w:name w:val="Char Char104"/>
    <w:semiHidden/>
    <w:rPr>
      <w:rFonts w:eastAsia="宋体"/>
      <w:kern w:val="2"/>
      <w:sz w:val="16"/>
      <w:szCs w:val="16"/>
      <w:lang w:val="en-US" w:eastAsia="zh-CN" w:bidi="ar-SA"/>
    </w:rPr>
  </w:style>
  <w:style w:type="character" w:customStyle="1" w:styleId="2Char9">
    <w:name w:val="正文首行缩进 2 Char"/>
    <w:rPr>
      <w:rFonts w:ascii="宋体" w:eastAsia="宋体"/>
      <w:kern w:val="2"/>
      <w:sz w:val="24"/>
      <w:szCs w:val="28"/>
      <w:lang w:val="en-US" w:eastAsia="zh-CN" w:bidi="ar-SA"/>
    </w:rPr>
  </w:style>
  <w:style w:type="character" w:customStyle="1" w:styleId="3Char7">
    <w:name w:val="正文文本 3 Char"/>
    <w:rPr>
      <w:rFonts w:eastAsia="宋体"/>
      <w:kern w:val="2"/>
      <w:sz w:val="28"/>
      <w:szCs w:val="24"/>
      <w:lang w:val="en-US" w:eastAsia="zh-CN" w:bidi="ar-SA"/>
    </w:rPr>
  </w:style>
  <w:style w:type="character" w:customStyle="1" w:styleId="HTMLChar0">
    <w:name w:val="HTML 地址 Char"/>
    <w:rPr>
      <w:rFonts w:eastAsia="宋体"/>
      <w:i/>
      <w:iCs/>
      <w:kern w:val="2"/>
      <w:sz w:val="21"/>
      <w:szCs w:val="24"/>
      <w:lang w:val="en-US" w:eastAsia="zh-CN" w:bidi="ar-SA"/>
    </w:rPr>
  </w:style>
  <w:style w:type="character" w:customStyle="1" w:styleId="Char1ff7">
    <w:name w:val="正文首行缩进 Char1"/>
    <w:rPr>
      <w:rFonts w:eastAsia="宋体"/>
      <w:kern w:val="2"/>
      <w:sz w:val="24"/>
      <w:szCs w:val="24"/>
      <w:lang w:val="en-US" w:eastAsia="zh-CN" w:bidi="ar-SA"/>
    </w:rPr>
  </w:style>
  <w:style w:type="character" w:customStyle="1" w:styleId="Charfffffffe">
    <w:name w:val="称呼 Char"/>
    <w:rPr>
      <w:rFonts w:eastAsia="宋体"/>
      <w:kern w:val="2"/>
      <w:sz w:val="21"/>
      <w:szCs w:val="24"/>
      <w:lang w:val="en-US" w:eastAsia="zh-CN" w:bidi="ar-SA"/>
    </w:rPr>
  </w:style>
  <w:style w:type="character" w:customStyle="1" w:styleId="Charffffffff">
    <w:name w:val="结束语 Char"/>
    <w:rPr>
      <w:rFonts w:eastAsia="宋体"/>
      <w:kern w:val="2"/>
      <w:sz w:val="21"/>
      <w:szCs w:val="24"/>
      <w:lang w:val="en-US" w:eastAsia="zh-CN" w:bidi="ar-SA"/>
    </w:rPr>
  </w:style>
  <w:style w:type="character" w:customStyle="1" w:styleId="CharChar74">
    <w:name w:val="Char Char74"/>
    <w:qFormat/>
    <w:rPr>
      <w:rFonts w:eastAsia="宋体"/>
      <w:kern w:val="2"/>
      <w:sz w:val="21"/>
      <w:szCs w:val="24"/>
      <w:lang w:val="en-US" w:eastAsia="zh-CN" w:bidi="ar-SA"/>
    </w:rPr>
  </w:style>
  <w:style w:type="character" w:customStyle="1" w:styleId="Charffffffff0">
    <w:name w:val="日期 Char"/>
    <w:uiPriority w:val="99"/>
    <w:qFormat/>
    <w:rPr>
      <w:rFonts w:eastAsia="宋体"/>
      <w:kern w:val="2"/>
      <w:sz w:val="21"/>
      <w:lang w:val="en-US" w:eastAsia="zh-CN" w:bidi="ar-SA"/>
    </w:rPr>
  </w:style>
  <w:style w:type="character" w:customStyle="1" w:styleId="CharChar94">
    <w:name w:val="Char Char94"/>
    <w:qFormat/>
    <w:rPr>
      <w:rFonts w:ascii="Arial" w:eastAsia="黑体" w:hAnsi="Arial"/>
      <w:sz w:val="24"/>
    </w:rPr>
  </w:style>
  <w:style w:type="character" w:customStyle="1" w:styleId="CharChar84">
    <w:name w:val="Char Char84"/>
    <w:rPr>
      <w:rFonts w:eastAsia="宋体"/>
      <w:kern w:val="2"/>
      <w:sz w:val="21"/>
      <w:szCs w:val="24"/>
      <w:lang w:val="en-US" w:eastAsia="zh-CN" w:bidi="ar-SA"/>
    </w:rPr>
  </w:style>
  <w:style w:type="character" w:customStyle="1" w:styleId="Charffffffff1">
    <w:name w:val="签名 Char"/>
    <w:rPr>
      <w:rFonts w:eastAsia="宋体"/>
      <w:kern w:val="2"/>
      <w:sz w:val="21"/>
      <w:szCs w:val="24"/>
      <w:lang w:val="en-US" w:eastAsia="zh-CN" w:bidi="ar-SA"/>
    </w:rPr>
  </w:style>
  <w:style w:type="character" w:customStyle="1" w:styleId="Charffffffff2">
    <w:name w:val="注释标题 Char"/>
    <w:rPr>
      <w:rFonts w:eastAsia="宋体"/>
      <w:kern w:val="2"/>
      <w:sz w:val="21"/>
      <w:szCs w:val="24"/>
      <w:lang w:val="en-US" w:eastAsia="zh-CN" w:bidi="ar-SA"/>
    </w:rPr>
  </w:style>
  <w:style w:type="paragraph" w:customStyle="1" w:styleId="1fffffff2">
    <w:name w:val="列表段落1"/>
    <w:basedOn w:val="a9"/>
    <w:qFormat/>
    <w:pPr>
      <w:widowControl/>
      <w:ind w:leftChars="200" w:left="480"/>
      <w:jc w:val="left"/>
    </w:pPr>
    <w:rPr>
      <w:rFonts w:ascii="Calibri" w:eastAsia="PMingLiU" w:hAnsi="Calibri" w:cs="宋体"/>
      <w:sz w:val="24"/>
      <w:szCs w:val="22"/>
      <w:lang w:eastAsia="zh-TW" w:bidi="ne-NP"/>
    </w:rPr>
  </w:style>
  <w:style w:type="paragraph" w:customStyle="1" w:styleId="CharCharCharChar15">
    <w:name w:val="Char Char Char Char15"/>
    <w:basedOn w:val="a9"/>
    <w:qFormat/>
    <w:pPr>
      <w:widowControl/>
    </w:pPr>
    <w:rPr>
      <w:rFonts w:cs="宋体"/>
      <w:sz w:val="24"/>
      <w:szCs w:val="24"/>
      <w:lang w:bidi="ne-NP"/>
    </w:rPr>
  </w:style>
  <w:style w:type="paragraph" w:customStyle="1" w:styleId="251">
    <w:name w:val="正文文本 25"/>
    <w:basedOn w:val="a9"/>
    <w:semiHidden/>
    <w:qFormat/>
    <w:pPr>
      <w:widowControl/>
      <w:autoSpaceDE w:val="0"/>
      <w:autoSpaceDN w:val="0"/>
      <w:adjustRightInd w:val="0"/>
      <w:spacing w:line="360" w:lineRule="atLeast"/>
      <w:ind w:firstLineChars="200" w:firstLine="454"/>
      <w:jc w:val="left"/>
      <w:textAlignment w:val="baseline"/>
    </w:pPr>
    <w:rPr>
      <w:rFonts w:ascii="宋体" w:eastAsia="仿宋_GB2312" w:hAnsi="Tms Rmn" w:cs="宋体"/>
      <w:spacing w:val="4"/>
      <w:sz w:val="28"/>
      <w:lang w:bidi="ne-NP"/>
    </w:rPr>
  </w:style>
  <w:style w:type="paragraph" w:customStyle="1" w:styleId="142">
    <w:name w:val="字元 字元14"/>
    <w:basedOn w:val="a9"/>
    <w:qFormat/>
    <w:pPr>
      <w:widowControl/>
      <w:spacing w:after="160" w:line="240" w:lineRule="exact"/>
      <w:jc w:val="left"/>
    </w:pPr>
    <w:rPr>
      <w:rFonts w:ascii="Verdana" w:hAnsi="Verdana" w:cs="宋体"/>
      <w:lang w:eastAsia="en-US" w:bidi="ne-NP"/>
    </w:rPr>
  </w:style>
  <w:style w:type="paragraph" w:customStyle="1" w:styleId="5fd">
    <w:name w:val="字元 字元5"/>
    <w:basedOn w:val="a9"/>
    <w:semiHidden/>
    <w:qFormat/>
    <w:pPr>
      <w:widowControl/>
    </w:pPr>
    <w:rPr>
      <w:rFonts w:cs="宋体"/>
      <w:sz w:val="24"/>
      <w:szCs w:val="24"/>
      <w:lang w:bidi="ne-NP"/>
    </w:rPr>
  </w:style>
  <w:style w:type="paragraph" w:customStyle="1" w:styleId="CharCharCharCharCharCharCharCharCharCharCharCharChar4">
    <w:name w:val="Char Char Char Char Char Char Char Char Char Char Char Char Char4"/>
    <w:basedOn w:val="a9"/>
    <w:qFormat/>
    <w:pPr>
      <w:widowControl/>
      <w:adjustRightInd w:val="0"/>
      <w:spacing w:line="360" w:lineRule="auto"/>
    </w:pPr>
    <w:rPr>
      <w:rFonts w:cs="宋体"/>
      <w:sz w:val="24"/>
      <w:szCs w:val="24"/>
      <w:lang w:bidi="ne-NP"/>
    </w:rPr>
  </w:style>
  <w:style w:type="paragraph" w:customStyle="1" w:styleId="Char1CharCharChar4">
    <w:name w:val="Char1 Char Char Char4"/>
    <w:basedOn w:val="a9"/>
    <w:qFormat/>
    <w:pPr>
      <w:widowControl/>
      <w:spacing w:after="160" w:line="240" w:lineRule="exact"/>
      <w:jc w:val="left"/>
    </w:pPr>
    <w:rPr>
      <w:rFonts w:ascii="Arial" w:eastAsia="Times New Roman" w:hAnsi="Arial" w:cs="Verdana"/>
      <w:b/>
      <w:sz w:val="24"/>
      <w:szCs w:val="24"/>
      <w:lang w:eastAsia="en-US" w:bidi="ne-NP"/>
    </w:rPr>
  </w:style>
  <w:style w:type="paragraph" w:customStyle="1" w:styleId="CharChar1Char7">
    <w:name w:val="Char Char1 Char7"/>
    <w:basedOn w:val="a9"/>
    <w:qFormat/>
    <w:pPr>
      <w:widowControl/>
      <w:spacing w:line="360" w:lineRule="auto"/>
      <w:ind w:firstLineChars="200" w:firstLine="200"/>
    </w:pPr>
    <w:rPr>
      <w:rFonts w:ascii="宋体" w:hAnsi="宋体" w:cs="宋体"/>
      <w:sz w:val="24"/>
      <w:szCs w:val="24"/>
      <w:lang w:bidi="ne-NP"/>
    </w:rPr>
  </w:style>
  <w:style w:type="paragraph" w:customStyle="1" w:styleId="CharCharCharCharCharChar4">
    <w:name w:val="Char Char Char Char Char Char4"/>
    <w:basedOn w:val="a9"/>
    <w:qFormat/>
    <w:pPr>
      <w:widowControl/>
    </w:pPr>
    <w:rPr>
      <w:rFonts w:cs="宋体"/>
      <w:sz w:val="24"/>
      <w:szCs w:val="24"/>
      <w:lang w:bidi="ne-NP"/>
    </w:rPr>
  </w:style>
  <w:style w:type="paragraph" w:customStyle="1" w:styleId="5fe">
    <w:name w:val="日期5"/>
    <w:basedOn w:val="a9"/>
    <w:next w:val="a9"/>
    <w:semiHidden/>
    <w:qFormat/>
    <w:pPr>
      <w:widowControl/>
      <w:adjustRightInd w:val="0"/>
      <w:spacing w:line="360" w:lineRule="auto"/>
      <w:ind w:firstLineChars="200" w:firstLine="576"/>
      <w:jc w:val="left"/>
      <w:textAlignment w:val="baseline"/>
    </w:pPr>
    <w:rPr>
      <w:rFonts w:ascii="仿宋_GB2312" w:eastAsia="仿宋_GB2312" w:cs="宋体"/>
      <w:spacing w:val="4"/>
      <w:kern w:val="18"/>
      <w:sz w:val="28"/>
      <w:lang w:bidi="ne-NP"/>
    </w:rPr>
  </w:style>
  <w:style w:type="paragraph" w:customStyle="1" w:styleId="252">
    <w:name w:val="正文文本缩进 25"/>
    <w:basedOn w:val="a9"/>
    <w:semiHidden/>
    <w:qFormat/>
    <w:pPr>
      <w:widowControl/>
      <w:autoSpaceDE w:val="0"/>
      <w:autoSpaceDN w:val="0"/>
      <w:adjustRightInd w:val="0"/>
      <w:spacing w:line="360" w:lineRule="auto"/>
      <w:ind w:firstLineChars="200" w:firstLine="570"/>
      <w:jc w:val="left"/>
      <w:textAlignment w:val="baseline"/>
    </w:pPr>
    <w:rPr>
      <w:rFonts w:ascii="宋体" w:eastAsia="仿宋_GB2312" w:hAnsi="Tms Rmn" w:cs="宋体"/>
      <w:spacing w:val="4"/>
      <w:sz w:val="28"/>
      <w:lang w:bidi="ne-NP"/>
    </w:rPr>
  </w:style>
  <w:style w:type="paragraph" w:customStyle="1" w:styleId="6b">
    <w:name w:val="纯文本6"/>
    <w:basedOn w:val="a9"/>
    <w:qFormat/>
    <w:pPr>
      <w:widowControl/>
      <w:adjustRightInd w:val="0"/>
      <w:textAlignment w:val="baseline"/>
    </w:pPr>
    <w:rPr>
      <w:rFonts w:ascii="宋体" w:cs="宋体"/>
      <w:sz w:val="24"/>
      <w:lang w:bidi="ne-NP"/>
    </w:rPr>
  </w:style>
  <w:style w:type="paragraph" w:customStyle="1" w:styleId="CharChar3CharCharCharChar4">
    <w:name w:val="Char Char3 Char Char Char Char4"/>
    <w:basedOn w:val="a9"/>
    <w:qFormat/>
    <w:rPr>
      <w:rFonts w:cs="宋体"/>
      <w:sz w:val="24"/>
      <w:szCs w:val="24"/>
    </w:rPr>
  </w:style>
  <w:style w:type="paragraph" w:customStyle="1" w:styleId="CharCharChar50">
    <w:name w:val="Char Char Char5"/>
    <w:basedOn w:val="a9"/>
    <w:qFormat/>
    <w:pPr>
      <w:widowControl/>
      <w:spacing w:afterLines="50" w:after="60" w:line="560" w:lineRule="exact"/>
    </w:pPr>
    <w:rPr>
      <w:rFonts w:eastAsia="黑体" w:cs="宋体"/>
      <w:sz w:val="30"/>
      <w:szCs w:val="30"/>
      <w:lang w:bidi="ne-NP"/>
    </w:rPr>
  </w:style>
  <w:style w:type="paragraph" w:customStyle="1" w:styleId="Char3CharCharChar9">
    <w:name w:val="Char3 Char Char Char9"/>
    <w:basedOn w:val="a9"/>
    <w:qFormat/>
    <w:pPr>
      <w:widowControl/>
      <w:spacing w:line="360" w:lineRule="auto"/>
      <w:ind w:firstLineChars="200" w:firstLine="200"/>
    </w:pPr>
    <w:rPr>
      <w:rFonts w:ascii="宋体" w:hAnsi="宋体" w:cs="宋体"/>
      <w:sz w:val="24"/>
      <w:szCs w:val="24"/>
      <w:lang w:bidi="ne-NP"/>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9"/>
    <w:qFormat/>
    <w:pPr>
      <w:widowControl/>
      <w:spacing w:line="360" w:lineRule="auto"/>
      <w:ind w:firstLineChars="200" w:firstLine="200"/>
    </w:pPr>
    <w:rPr>
      <w:rFonts w:ascii="宋体" w:hAnsi="宋体" w:cs="宋体"/>
      <w:sz w:val="24"/>
      <w:szCs w:val="24"/>
      <w:lang w:bidi="ne-NP"/>
    </w:rPr>
  </w:style>
  <w:style w:type="character" w:customStyle="1" w:styleId="x-">
    <w:name w:val="x-图表 字符"/>
    <w:link w:val="x-0"/>
    <w:qFormat/>
    <w:rPr>
      <w:rFonts w:ascii="Arial" w:hAnsi="Arial"/>
      <w:szCs w:val="21"/>
    </w:rPr>
  </w:style>
  <w:style w:type="paragraph" w:customStyle="1" w:styleId="x-0">
    <w:name w:val="x-图表"/>
    <w:basedOn w:val="a9"/>
    <w:link w:val="x-"/>
    <w:qFormat/>
    <w:pPr>
      <w:jc w:val="center"/>
    </w:pPr>
    <w:rPr>
      <w:rFonts w:ascii="Arial" w:hAnsi="Arial"/>
      <w:szCs w:val="21"/>
    </w:rPr>
  </w:style>
  <w:style w:type="paragraph" w:customStyle="1" w:styleId="affffffffffffffffffffffffff6">
    <w:name w:val="表格文本 小五 居中"/>
    <w:basedOn w:val="affffffff0"/>
    <w:pPr>
      <w:widowControl w:val="0"/>
      <w:spacing w:line="264" w:lineRule="auto"/>
    </w:pPr>
    <w:rPr>
      <w:rFonts w:ascii="Times New Roman" w:hAnsi="Times New Roman" w:cs="宋体"/>
      <w:kern w:val="2"/>
      <w:sz w:val="21"/>
      <w:szCs w:val="18"/>
    </w:rPr>
  </w:style>
  <w:style w:type="paragraph" w:customStyle="1" w:styleId="affffffffffffffffffffffffff7">
    <w:name w:val="君邦表格表头"/>
    <w:basedOn w:val="af6"/>
    <w:link w:val="affffffffffffffffffffffffff8"/>
    <w:qFormat/>
    <w:pPr>
      <w:keepNext/>
      <w:spacing w:beforeLines="50" w:before="50" w:after="0" w:line="360" w:lineRule="auto"/>
      <w:jc w:val="center"/>
    </w:pPr>
    <w:rPr>
      <w:rFonts w:cs="Times New Roman"/>
      <w:b/>
      <w:kern w:val="2"/>
      <w:sz w:val="24"/>
      <w:lang w:val="zh-CN"/>
    </w:rPr>
  </w:style>
  <w:style w:type="character" w:customStyle="1" w:styleId="2ffffa">
    <w:name w:val="未处理的提及2"/>
    <w:uiPriority w:val="99"/>
    <w:semiHidden/>
    <w:unhideWhenUsed/>
    <w:rPr>
      <w:color w:val="605E5C"/>
      <w:shd w:val="clear" w:color="auto" w:fill="E1DFDD"/>
    </w:rPr>
  </w:style>
  <w:style w:type="character" w:customStyle="1" w:styleId="affffffffffffffffffffffffff8">
    <w:name w:val="君邦表格表头 字符"/>
    <w:link w:val="affffffffffffffffffffffffff7"/>
    <w:rPr>
      <w:rFonts w:ascii="Arial" w:eastAsia="黑体" w:hAnsi="Arial"/>
      <w:b/>
      <w:kern w:val="2"/>
      <w:sz w:val="24"/>
      <w:lang w:val="zh-CN"/>
    </w:rPr>
  </w:style>
  <w:style w:type="paragraph" w:customStyle="1" w:styleId="innerbg">
    <w:name w:val="innerbg"/>
    <w:basedOn w:val="a9"/>
    <w:pPr>
      <w:widowControl/>
      <w:shd w:val="clear" w:color="auto" w:fill="F7F7F7"/>
      <w:jc w:val="left"/>
    </w:pPr>
    <w:rPr>
      <w:rFonts w:ascii="宋体" w:hAnsi="宋体" w:cs="宋体"/>
      <w:sz w:val="24"/>
      <w:szCs w:val="24"/>
    </w:rPr>
  </w:style>
  <w:style w:type="character" w:customStyle="1" w:styleId="Char2f5">
    <w:name w:val="批注文字 Char2"/>
    <w:qFormat/>
    <w:rPr>
      <w:kern w:val="2"/>
      <w:sz w:val="21"/>
      <w:szCs w:val="24"/>
    </w:rPr>
  </w:style>
  <w:style w:type="character" w:customStyle="1" w:styleId="Charffffffff3">
    <w:name w:val="题注 Char"/>
    <w:qFormat/>
    <w:rPr>
      <w:rFonts w:ascii="Times New Roman" w:eastAsia="黑体" w:hAnsi="Times New Roman" w:cs="Arial"/>
      <w:b/>
      <w:sz w:val="21"/>
      <w:szCs w:val="24"/>
    </w:rPr>
  </w:style>
  <w:style w:type="table" w:customStyle="1" w:styleId="5ff">
    <w:name w:val="君邦专用5"/>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62">
    <w:name w:val="网格型1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d">
    <w:name w:val="表格主题3"/>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彩色型 13"/>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34">
    <w:name w:val="彩色型 23"/>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2">
    <w:name w:val="彩色型 3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fe">
    <w:name w:val="典雅型3"/>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8">
    <w:name w:val="古典型 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古典型 2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3">
    <w:name w:val="古典型 3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31">
    <w:name w:val="古典型 43"/>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9">
    <w:name w:val="简明型 1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36">
    <w:name w:val="简明型 2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简明型 3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3">
    <w:name w:val="精巧型 14"/>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7">
    <w:name w:val="精巧型 23"/>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f6">
    <w:name w:val="立体型 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8">
    <w:name w:val="立体型 2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5">
    <w:name w:val="立体型 3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a">
    <w:name w:val="列表型 13"/>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列表型 23"/>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6">
    <w:name w:val="列表型 3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32">
    <w:name w:val="列表型 4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30">
    <w:name w:val="列表型 5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31">
    <w:name w:val="列表型 6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0">
    <w:name w:val="列表型 73"/>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30">
    <w:name w:val="列表型 8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
    <w:name w:val="流行型3"/>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b">
    <w:name w:val="竖列型 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2">
    <w:name w:val="竖列型 24"/>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7">
    <w:name w:val="竖列型 3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40">
    <w:name w:val="竖列型 44"/>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竖列型 53"/>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c">
    <w:name w:val="网格型 13"/>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a">
    <w:name w:val="网格型 23"/>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8">
    <w:name w:val="网格型 3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3">
    <w:name w:val="网格型 43"/>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32">
    <w:name w:val="网格型 53"/>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32">
    <w:name w:val="网格型 6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
    <w:name w:val="网格型 7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1">
    <w:name w:val="网格型 83"/>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3d">
    <w:name w:val="网页型 13"/>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b">
    <w:name w:val="网页型 23"/>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9">
    <w:name w:val="网页型 3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fff0">
    <w:name w:val="专业型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
    <w:name w:val="浅色底纹 - 着色 21"/>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2f6">
    <w:name w:val="页脚 Char2"/>
    <w:qFormat/>
    <w:rPr>
      <w:rFonts w:eastAsia="宋体"/>
      <w:kern w:val="2"/>
      <w:sz w:val="18"/>
      <w:szCs w:val="18"/>
      <w:lang w:val="en-US" w:eastAsia="zh-CN" w:bidi="ar-SA"/>
    </w:rPr>
  </w:style>
  <w:style w:type="character" w:customStyle="1" w:styleId="Char38">
    <w:name w:val="批注文字 Char3"/>
    <w:qFormat/>
    <w:rPr>
      <w:rFonts w:eastAsia="宋体"/>
      <w:kern w:val="2"/>
      <w:sz w:val="21"/>
      <w:szCs w:val="24"/>
      <w:lang w:val="en-US" w:eastAsia="zh-CN" w:bidi="ar-SA"/>
    </w:rPr>
  </w:style>
  <w:style w:type="character" w:customStyle="1" w:styleId="Char1ff8">
    <w:name w:val="页眉 Char1"/>
    <w:uiPriority w:val="99"/>
    <w:qFormat/>
    <w:rPr>
      <w:rFonts w:eastAsia="宋体"/>
      <w:kern w:val="2"/>
      <w:sz w:val="18"/>
      <w:szCs w:val="18"/>
      <w:lang w:val="en-US" w:eastAsia="zh-CN" w:bidi="ar-SA"/>
    </w:rPr>
  </w:style>
  <w:style w:type="table" w:customStyle="1" w:styleId="171">
    <w:name w:val="网格型17"/>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君邦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c">
    <w:name w:val="君邦专用6"/>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3c">
    <w:name w:val="表格样式2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f">
    <w:name w:val="表格样式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2">
    <w:name w:val="三线表4"/>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60">
    <w:name w:val="网格型116"/>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d">
    <w:name w:val="网格型23"/>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网格型12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网格型111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网格型1123"/>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网格型1133"/>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精巧型 11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0">
    <w:name w:val="立体型 2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40">
    <w:name w:val="立体型 31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1">
    <w:name w:val="竖列型 21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40">
    <w:name w:val="竖列型 41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7">
    <w:name w:val="三线表1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2ffffb">
    <w:name w:val="君邦表格2"/>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2ffffc">
    <w:name w:val="君邦表格（表）2"/>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1111">
    <w:name w:val="网格型111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网格型112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网格型1131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3">
    <w:name w:val="网格型!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表格主题11"/>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彩色型 1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24">
    <w:name w:val="彩色型 21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21">
    <w:name w:val="彩色型 31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f8">
    <w:name w:val="典雅型1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9">
    <w:name w:val="古典型 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5">
    <w:name w:val="古典型 2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22">
    <w:name w:val="古典型 31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21">
    <w:name w:val="古典型 41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a">
    <w:name w:val="简明型 1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6">
    <w:name w:val="简明型 2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3">
    <w:name w:val="简明型 3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27">
    <w:name w:val="精巧型 21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b">
    <w:name w:val="立体型 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2c">
    <w:name w:val="列表型 1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8">
    <w:name w:val="列表型 21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4">
    <w:name w:val="列表型 31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22">
    <w:name w:val="列表型 4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20">
    <w:name w:val="列表型 5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20">
    <w:name w:val="列表型 6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0">
    <w:name w:val="列表型 71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20">
    <w:name w:val="列表型 8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2f9">
    <w:name w:val="流行型1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2d">
    <w:name w:val="竖列型 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5">
    <w:name w:val="竖列型 31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21">
    <w:name w:val="竖列型 51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e">
    <w:name w:val="网格型 112"/>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9">
    <w:name w:val="网格型 21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26">
    <w:name w:val="网格型 31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3">
    <w:name w:val="网格型 41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13">
    <w:name w:val="网格型 511"/>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21">
    <w:name w:val="网格型 6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1">
    <w:name w:val="网格型 81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2f">
    <w:name w:val="网页型 1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2a">
    <w:name w:val="网页型 21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7">
    <w:name w:val="网页型 31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2fa">
    <w:name w:val="专业型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20">
    <w:name w:val="网格型132"/>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君邦1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5">
    <w:name w:val="君邦专用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表格样式2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f0">
    <w:name w:val="表格样式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0">
    <w:name w:val="网格型114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c">
    <w:name w:val="网格型211"/>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网格型12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君邦表格11"/>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ff7">
    <w:name w:val="君邦表格（表）11"/>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41130">
    <w:name w:val="列表型 4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32">
    <w:name w:val="简明型 1113"/>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33">
    <w:name w:val="彩色型 1113"/>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31">
    <w:name w:val="彩色型 2113"/>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30">
    <w:name w:val="彩色型 3113"/>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35">
    <w:name w:val="典雅型113"/>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34">
    <w:name w:val="古典型 1113"/>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32">
    <w:name w:val="古典型 2113"/>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31">
    <w:name w:val="古典型 3113"/>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1">
    <w:name w:val="古典型 4113"/>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33">
    <w:name w:val="简明型 2113"/>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32">
    <w:name w:val="简明型 3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35">
    <w:name w:val="精巧型 111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4">
    <w:name w:val="精巧型 2113"/>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36">
    <w:name w:val="立体型 11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35">
    <w:name w:val="立体型 211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33">
    <w:name w:val="立体型 3113"/>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37">
    <w:name w:val="列表型 1113"/>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6">
    <w:name w:val="列表型 2113"/>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34">
    <w:name w:val="列表型 3113"/>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30">
    <w:name w:val="列表型 5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3">
    <w:name w:val="列表型 6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3">
    <w:name w:val="列表型 7113"/>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3">
    <w:name w:val="列表型 8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36">
    <w:name w:val="流行型113"/>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38">
    <w:name w:val="竖列型 1113"/>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37">
    <w:name w:val="竖列型 211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35">
    <w:name w:val="竖列型 3113"/>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32">
    <w:name w:val="竖列型 411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竖列型 5113"/>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39">
    <w:name w:val="网格型 1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38">
    <w:name w:val="网格型 2113"/>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36">
    <w:name w:val="网格型 3113"/>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33">
    <w:name w:val="网格型 4113"/>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3e">
    <w:name w:val="君邦2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30">
    <w:name w:val="网格型 6113"/>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30">
    <w:name w:val="网格型 7113"/>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0">
    <w:name w:val="网格型 8113"/>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a">
    <w:name w:val="网页型 1113"/>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39">
    <w:name w:val="网页型 2113"/>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37">
    <w:name w:val="网页型 3113"/>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37">
    <w:name w:val="专业型113"/>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41">
    <w:name w:val="君邦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40">
    <w:name w:val="表格样式2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f0">
    <w:name w:val="三线表11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2d">
    <w:name w:val="网格型3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网格型14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精巧型 123"/>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0">
    <w:name w:val="立体型 223"/>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30">
    <w:name w:val="立体型 32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1">
    <w:name w:val="竖列型 223"/>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0">
    <w:name w:val="竖列型 423"/>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fc">
    <w:name w:val="三线表21"/>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10">
    <w:name w:val="网格型111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网格型112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网格型11321"/>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君邦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0">
    <w:name w:val="表格样式2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b">
    <w:name w:val="表格样式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30">
    <w:name w:val="君邦1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30">
    <w:name w:val="表格样式21113"/>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6">
    <w:name w:val="网格型42"/>
    <w:basedOn w:val="ac"/>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d">
    <w:name w:val="表格主题21"/>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03">
    <w:name w:val="君邦-1.03"/>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character" w:customStyle="1" w:styleId="z-Char3">
    <w:name w:val="z-窗体顶端 Char3"/>
    <w:link w:val="z-31"/>
    <w:qFormat/>
    <w:rPr>
      <w:rFonts w:ascii="Arial" w:hAnsi="Arial" w:cs="Arial"/>
      <w:vanish/>
      <w:sz w:val="16"/>
      <w:szCs w:val="16"/>
    </w:rPr>
  </w:style>
  <w:style w:type="paragraph" w:customStyle="1" w:styleId="z-31">
    <w:name w:val="z-窗体顶端31"/>
    <w:basedOn w:val="a9"/>
    <w:next w:val="a9"/>
    <w:link w:val="z-Char3"/>
    <w:pPr>
      <w:widowControl/>
      <w:pBdr>
        <w:bottom w:val="single" w:sz="6" w:space="1" w:color="auto"/>
      </w:pBdr>
      <w:spacing w:line="0" w:lineRule="atLeast"/>
      <w:jc w:val="center"/>
    </w:pPr>
    <w:rPr>
      <w:rFonts w:ascii="Arial" w:hAnsi="Arial" w:cs="Arial"/>
      <w:vanish/>
      <w:sz w:val="16"/>
      <w:szCs w:val="16"/>
    </w:rPr>
  </w:style>
  <w:style w:type="character" w:customStyle="1" w:styleId="z-Char30">
    <w:name w:val="z-窗体底端 Char3"/>
    <w:link w:val="z-310"/>
    <w:qFormat/>
    <w:rPr>
      <w:rFonts w:ascii="Arial" w:hAnsi="Arial" w:cs="Arial"/>
      <w:vanish/>
      <w:sz w:val="16"/>
      <w:szCs w:val="16"/>
    </w:rPr>
  </w:style>
  <w:style w:type="paragraph" w:customStyle="1" w:styleId="z-310">
    <w:name w:val="z-窗体底端31"/>
    <w:basedOn w:val="a9"/>
    <w:next w:val="a9"/>
    <w:link w:val="z-Char30"/>
    <w:pPr>
      <w:widowControl/>
      <w:pBdr>
        <w:top w:val="single" w:sz="6" w:space="1" w:color="auto"/>
      </w:pBdr>
      <w:spacing w:line="0" w:lineRule="atLeast"/>
      <w:jc w:val="center"/>
    </w:pPr>
    <w:rPr>
      <w:rFonts w:ascii="Arial" w:hAnsi="Arial" w:cs="Arial"/>
      <w:vanish/>
      <w:sz w:val="16"/>
      <w:szCs w:val="16"/>
    </w:rPr>
  </w:style>
  <w:style w:type="table" w:customStyle="1" w:styleId="523">
    <w:name w:val="网格型52"/>
    <w:basedOn w:val="ac"/>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f5">
    <w:name w:val="君邦专用2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精巧型 112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11">
    <w:name w:val="立体型 212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10">
    <w:name w:val="立体型 31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12">
    <w:name w:val="竖列型 212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10">
    <w:name w:val="竖列型 41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10">
    <w:name w:val="列表型 4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12">
    <w:name w:val="简明型 1111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13">
    <w:name w:val="彩色型 1111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11">
    <w:name w:val="彩色型 2111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10">
    <w:name w:val="彩色型 3111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1c">
    <w:name w:val="典雅型111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14">
    <w:name w:val="古典型 1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12">
    <w:name w:val="古典型 2111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11">
    <w:name w:val="古典型 3111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11">
    <w:name w:val="古典型 4111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13">
    <w:name w:val="简明型 21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12">
    <w:name w:val="简明型 3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15">
    <w:name w:val="精巧型 111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14">
    <w:name w:val="精巧型 2111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16">
    <w:name w:val="立体型 1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15">
    <w:name w:val="立体型 211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13">
    <w:name w:val="立体型 311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17">
    <w:name w:val="列表型 1111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16">
    <w:name w:val="列表型 2111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14">
    <w:name w:val="列表型 3111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10">
    <w:name w:val="列表型 5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10">
    <w:name w:val="列表型 6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10">
    <w:name w:val="列表型 7111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10">
    <w:name w:val="列表型 8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1d">
    <w:name w:val="流行型111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18">
    <w:name w:val="竖列型 1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17">
    <w:name w:val="竖列型 211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15">
    <w:name w:val="竖列型 3111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12">
    <w:name w:val="竖列型 411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竖列型 5111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19">
    <w:name w:val="网格型 1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18">
    <w:name w:val="网格型 2111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16">
    <w:name w:val="网格型 3111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13">
    <w:name w:val="网格型 4111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1d">
    <w:name w:val="君邦2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11">
    <w:name w:val="网格型 6111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11">
    <w:name w:val="网格型 7111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11">
    <w:name w:val="网格型 8111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a">
    <w:name w:val="网页型 1111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19">
    <w:name w:val="网页型 2111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17">
    <w:name w:val="网页型 3111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1e">
    <w:name w:val="专业型111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11">
    <w:name w:val="君邦1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10">
    <w:name w:val="表格样式2112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1">
    <w:name w:val="精巧型 121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0">
    <w:name w:val="立体型 2211"/>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0">
    <w:name w:val="立体型 321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1">
    <w:name w:val="竖列型 221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1">
    <w:name w:val="竖列型 421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10">
    <w:name w:val="君邦1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10">
    <w:name w:val="表格样式21111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1">
    <w:name w:val="君邦-1.011"/>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7">
    <w:name w:val="TableGrid7"/>
    <w:qFormat/>
    <w:tblPr>
      <w:tblCellMar>
        <w:top w:w="0" w:type="dxa"/>
        <w:left w:w="0" w:type="dxa"/>
        <w:bottom w:w="0" w:type="dxa"/>
        <w:right w:w="0" w:type="dxa"/>
      </w:tblCellMar>
    </w:tblPr>
  </w:style>
  <w:style w:type="table" w:customStyle="1" w:styleId="32e">
    <w:name w:val="君邦专用3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精巧型 113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0">
    <w:name w:val="立体型 213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1">
    <w:name w:val="立体型 313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11">
    <w:name w:val="竖列型 213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1">
    <w:name w:val="竖列型 413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10">
    <w:name w:val="列表型 4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12">
    <w:name w:val="简明型 11121"/>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13">
    <w:name w:val="彩色型 11121"/>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11">
    <w:name w:val="彩色型 21121"/>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10">
    <w:name w:val="彩色型 31121"/>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13">
    <w:name w:val="典雅型1121"/>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14">
    <w:name w:val="古典型 1112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12">
    <w:name w:val="古典型 21121"/>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11">
    <w:name w:val="古典型 31121"/>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11">
    <w:name w:val="古典型 41121"/>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13">
    <w:name w:val="简明型 2112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12">
    <w:name w:val="简明型 3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15">
    <w:name w:val="精巧型 1112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14">
    <w:name w:val="精巧型 21121"/>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16">
    <w:name w:val="立体型 111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15">
    <w:name w:val="立体型 211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13">
    <w:name w:val="立体型 31121"/>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17">
    <w:name w:val="列表型 11121"/>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16">
    <w:name w:val="列表型 21121"/>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14">
    <w:name w:val="列表型 31121"/>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1">
    <w:name w:val="列表型 5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1">
    <w:name w:val="列表型 6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1">
    <w:name w:val="列表型 71121"/>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1">
    <w:name w:val="列表型 8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14">
    <w:name w:val="流行型1121"/>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18">
    <w:name w:val="竖列型 1112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17">
    <w:name w:val="竖列型 211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15">
    <w:name w:val="竖列型 31121"/>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12">
    <w:name w:val="竖列型 4112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0">
    <w:name w:val="竖列型 51121"/>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19">
    <w:name w:val="网格型 1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18">
    <w:name w:val="网格型 21121"/>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16">
    <w:name w:val="网格型 31121"/>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13">
    <w:name w:val="网格型 41121"/>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12">
    <w:name w:val="君邦2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10">
    <w:name w:val="网格型 61121"/>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10">
    <w:name w:val="网格型 71121"/>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10">
    <w:name w:val="网格型 81121"/>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a">
    <w:name w:val="网页型 11121"/>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19">
    <w:name w:val="网页型 21121"/>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17">
    <w:name w:val="网页型 31121"/>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15">
    <w:name w:val="专业型1121"/>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10">
    <w:name w:val="君邦1113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10">
    <w:name w:val="表格样式2113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0">
    <w:name w:val="精巧型 1221"/>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0">
    <w:name w:val="立体型 2221"/>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0">
    <w:name w:val="立体型 32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1">
    <w:name w:val="竖列型 2221"/>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1">
    <w:name w:val="竖列型 4221"/>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1">
    <w:name w:val="君邦111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1">
    <w:name w:val="表格样式211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1">
    <w:name w:val="君邦-1.021"/>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11">
    <w:name w:val="TableGrid11"/>
    <w:rPr>
      <w:rFonts w:ascii="等线" w:eastAsia="等线" w:hAnsi="等线"/>
    </w:rPr>
    <w:tblPr>
      <w:tblCellMar>
        <w:top w:w="0" w:type="dxa"/>
        <w:left w:w="0" w:type="dxa"/>
        <w:bottom w:w="0" w:type="dxa"/>
        <w:right w:w="0" w:type="dxa"/>
      </w:tblCellMar>
    </w:tblPr>
  </w:style>
  <w:style w:type="table" w:customStyle="1" w:styleId="TableGrid21">
    <w:name w:val="TableGrid21"/>
    <w:rPr>
      <w:rFonts w:ascii="等线" w:eastAsia="等线" w:hAnsi="等线"/>
    </w:rPr>
    <w:tblPr>
      <w:tblCellMar>
        <w:top w:w="0" w:type="dxa"/>
        <w:left w:w="0" w:type="dxa"/>
        <w:bottom w:w="0" w:type="dxa"/>
        <w:right w:w="0" w:type="dxa"/>
      </w:tblCellMar>
    </w:tblPr>
  </w:style>
  <w:style w:type="table" w:customStyle="1" w:styleId="TableGrid31">
    <w:name w:val="TableGrid31"/>
    <w:rPr>
      <w:rFonts w:ascii="等线" w:eastAsia="等线" w:hAnsi="等线"/>
    </w:rPr>
    <w:tblPr>
      <w:tblCellMar>
        <w:top w:w="0" w:type="dxa"/>
        <w:left w:w="0" w:type="dxa"/>
        <w:bottom w:w="0" w:type="dxa"/>
        <w:right w:w="0" w:type="dxa"/>
      </w:tblCellMar>
    </w:tblPr>
  </w:style>
  <w:style w:type="table" w:customStyle="1" w:styleId="TableGrid41">
    <w:name w:val="TableGrid41"/>
    <w:rPr>
      <w:rFonts w:ascii="等线" w:eastAsia="等线" w:hAnsi="等线"/>
    </w:rPr>
    <w:tblPr>
      <w:tblCellMar>
        <w:top w:w="0" w:type="dxa"/>
        <w:left w:w="0" w:type="dxa"/>
        <w:bottom w:w="0" w:type="dxa"/>
        <w:right w:w="0" w:type="dxa"/>
      </w:tblCellMar>
    </w:tblPr>
  </w:style>
  <w:style w:type="table" w:customStyle="1" w:styleId="TableGrid51">
    <w:name w:val="TableGrid51"/>
    <w:rPr>
      <w:rFonts w:ascii="等线" w:eastAsia="等线" w:hAnsi="等线"/>
    </w:rPr>
    <w:tblPr>
      <w:tblCellMar>
        <w:top w:w="0" w:type="dxa"/>
        <w:left w:w="0" w:type="dxa"/>
        <w:bottom w:w="0" w:type="dxa"/>
        <w:right w:w="0" w:type="dxa"/>
      </w:tblCellMar>
    </w:tblPr>
  </w:style>
  <w:style w:type="paragraph" w:customStyle="1" w:styleId="31f5">
    <w:name w:val="修订31"/>
    <w:hidden/>
    <w:uiPriority w:val="99"/>
    <w:semiHidden/>
    <w:rPr>
      <w:kern w:val="2"/>
      <w:sz w:val="21"/>
      <w:szCs w:val="24"/>
    </w:rPr>
  </w:style>
  <w:style w:type="table" w:customStyle="1" w:styleId="4210">
    <w:name w:val="列表型 4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13">
    <w:name w:val="简明型 12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14">
    <w:name w:val="彩色型 121"/>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13">
    <w:name w:val="彩色型 221"/>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2">
    <w:name w:val="彩色型 321"/>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e">
    <w:name w:val="典雅型21"/>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15">
    <w:name w:val="古典型 1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4">
    <w:name w:val="古典型 221"/>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3">
    <w:name w:val="古典型 321"/>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2">
    <w:name w:val="古典型 421"/>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15">
    <w:name w:val="简明型 221"/>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4">
    <w:name w:val="简明型 3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2">
    <w:name w:val="精巧型 131"/>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6">
    <w:name w:val="精巧型 221"/>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6">
    <w:name w:val="列表型 121"/>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7">
    <w:name w:val="列表型 221"/>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5">
    <w:name w:val="列表型 321"/>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0">
    <w:name w:val="列表型 5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0">
    <w:name w:val="列表型 6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0">
    <w:name w:val="列表型 721"/>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0">
    <w:name w:val="列表型 8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f">
    <w:name w:val="流行型21"/>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7">
    <w:name w:val="竖列型 12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0">
    <w:name w:val="竖列型 231"/>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6">
    <w:name w:val="竖列型 321"/>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0">
    <w:name w:val="竖列型 431"/>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竖列型 521"/>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8">
    <w:name w:val="网格型 1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8">
    <w:name w:val="网格型 221"/>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7">
    <w:name w:val="网格型 321"/>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3">
    <w:name w:val="网格型 421"/>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12">
    <w:name w:val="网格型 5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1">
    <w:name w:val="网格型 621"/>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网格型 821"/>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9">
    <w:name w:val="网页型 121"/>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9">
    <w:name w:val="网页型 221"/>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8">
    <w:name w:val="网页型 321"/>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f0">
    <w:name w:val="专业型21"/>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1a">
    <w:name w:val="表格样式121"/>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君邦专用41"/>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AA1">
    <w:name w:val="AAA1"/>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character" w:customStyle="1" w:styleId="z-Char4">
    <w:name w:val="z-窗体顶端 Char4"/>
    <w:uiPriority w:val="99"/>
    <w:semiHidden/>
    <w:rPr>
      <w:rFonts w:ascii="Arial" w:eastAsia="宋体" w:hAnsi="Arial" w:cs="Arial"/>
      <w:vanish/>
      <w:sz w:val="16"/>
      <w:szCs w:val="16"/>
    </w:rPr>
  </w:style>
  <w:style w:type="character" w:customStyle="1" w:styleId="z-Char40">
    <w:name w:val="z-窗体底端 Char4"/>
    <w:uiPriority w:val="99"/>
    <w:semiHidden/>
    <w:rPr>
      <w:rFonts w:ascii="Arial" w:eastAsia="宋体" w:hAnsi="Arial" w:cs="Arial"/>
      <w:vanish/>
      <w:sz w:val="16"/>
      <w:szCs w:val="16"/>
    </w:rPr>
  </w:style>
  <w:style w:type="table" w:customStyle="1" w:styleId="1fffffff3">
    <w:name w:val="表格样式智汇元1"/>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ff8">
    <w:name w:val="浅色底纹11"/>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8">
    <w:name w:val="网格型3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型4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网格型5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623">
    <w:name w:val="网格型6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网格型7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网格型8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1">
    <w:name w:val="Table Normal4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21">
    <w:name w:val="Table Normal2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fffffff4">
    <w:name w:val="设计院1"/>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1151">
    <w:name w:val="网格型1151"/>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网格型122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网格型1113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9">
    <w:name w:val="无格式表格 312"/>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ffffd">
    <w:name w:val="三线格2"/>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TableNormal51">
    <w:name w:val="Table Normal51"/>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21110">
    <w:name w:val="网格型12111"/>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a">
    <w:name w:val="网格型22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8">
    <w:name w:val="网格型31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浅色底纹 - 强调文字颜色 211"/>
    <w:basedOn w:val="ac"/>
    <w:uiPriority w:val="60"/>
    <w:qFormat/>
    <w:rPr>
      <w:rFonts w:ascii="Calibri" w:hAnsi="Calibri"/>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5">
    <w:name w:val="无格式表格 511"/>
    <w:basedOn w:val="ac"/>
    <w:uiPriority w:val="45"/>
    <w:qFormat/>
    <w:rPr>
      <w:rFonts w:ascii="Calibri" w:hAnsi="Calibri"/>
    </w:rPr>
    <w:tblPr>
      <w:tblInd w:w="0" w:type="dxa"/>
      <w:tblCellMar>
        <w:top w:w="0" w:type="dxa"/>
        <w:left w:w="108" w:type="dxa"/>
        <w:bottom w:w="0" w:type="dxa"/>
        <w:right w:w="108" w:type="dxa"/>
      </w:tblCellMar>
    </w:tblPr>
    <w:tblStylePr w:type="firstRow">
      <w:rPr>
        <w:rFonts w:ascii="仿宋_GB2312" w:eastAsia="宋体" w:hAnsi="仿宋_GB2312" w:cs="Times New Roman"/>
        <w:i/>
        <w:iCs/>
        <w:sz w:val="26"/>
      </w:rPr>
      <w:tblPr/>
      <w:tcPr>
        <w:tcBorders>
          <w:bottom w:val="single" w:sz="4" w:space="0" w:color="7F7F7F"/>
        </w:tcBorders>
        <w:shd w:val="clear" w:color="auto" w:fill="FFFFFF"/>
      </w:tcPr>
    </w:tblStylePr>
    <w:tblStylePr w:type="lastRow">
      <w:rPr>
        <w:rFonts w:ascii="仿宋_GB2312" w:eastAsia="宋体" w:hAnsi="仿宋_GB2312" w:cs="Times New Roman"/>
        <w:i/>
        <w:iCs/>
        <w:sz w:val="26"/>
      </w:rPr>
      <w:tblPr/>
      <w:tcPr>
        <w:tcBorders>
          <w:top w:val="single" w:sz="4" w:space="0" w:color="7F7F7F"/>
        </w:tcBorders>
        <w:shd w:val="clear" w:color="auto" w:fill="FFFFFF"/>
      </w:tcPr>
    </w:tblStylePr>
    <w:tblStylePr w:type="firstCol">
      <w:pPr>
        <w:jc w:val="right"/>
      </w:pPr>
      <w:rPr>
        <w:rFonts w:ascii="仿宋_GB2312" w:eastAsia="宋体" w:hAnsi="仿宋_GB2312" w:cs="Times New Roman"/>
        <w:i/>
        <w:iCs/>
        <w:sz w:val="26"/>
      </w:rPr>
      <w:tblPr/>
      <w:tcPr>
        <w:tcBorders>
          <w:right w:val="single" w:sz="4" w:space="0" w:color="7F7F7F"/>
        </w:tcBorders>
        <w:shd w:val="clear" w:color="auto" w:fill="FFFFFF"/>
      </w:tcPr>
    </w:tblStylePr>
    <w:tblStylePr w:type="lastCol">
      <w:rPr>
        <w:rFonts w:ascii="仿宋_GB2312" w:eastAsia="宋体" w:hAnsi="仿宋_GB2312"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19">
    <w:name w:val="无格式表格 3111"/>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01">
    <w:name w:val="样式1101"/>
    <w:basedOn w:val="ac"/>
    <w:uiPriority w:val="9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14">
    <w:name w:val="网格型6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网格型13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网格型711"/>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网格型1411"/>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智汇元表格样式1"/>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11">
    <w:name w:val="网格型91"/>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e">
    <w:name w:val="君邦专用21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b">
    <w:name w:val="君邦专用311"/>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网格型101"/>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9">
    <w:name w:val="三线格11"/>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1fffffff6">
    <w:name w:val="表格格式1"/>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31f6">
    <w:name w:val="三线表31"/>
    <w:basedOn w:val="ac"/>
    <w:pPr>
      <w:widowControl w:val="0"/>
      <w:spacing w:afterLines="50"/>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1b">
    <w:name w:val="君邦1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b">
    <w:name w:val="表格样式221"/>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1">
    <w:name w:val="TableGrid61"/>
    <w:qFormat/>
    <w:pPr>
      <w:spacing w:after="60"/>
      <w:jc w:val="both"/>
    </w:pPr>
    <w:tblPr>
      <w:tblCellMar>
        <w:top w:w="0" w:type="dxa"/>
        <w:left w:w="0" w:type="dxa"/>
        <w:bottom w:w="0" w:type="dxa"/>
        <w:right w:w="0" w:type="dxa"/>
      </w:tblCellMar>
    </w:tblPr>
  </w:style>
  <w:style w:type="character" w:customStyle="1" w:styleId="3fff1">
    <w:name w:val="未处理的提及3"/>
    <w:uiPriority w:val="99"/>
    <w:semiHidden/>
    <w:unhideWhenUsed/>
    <w:rPr>
      <w:color w:val="605E5C"/>
      <w:shd w:val="clear" w:color="auto" w:fill="E1DFDD"/>
    </w:rPr>
  </w:style>
  <w:style w:type="table" w:customStyle="1" w:styleId="lgy1">
    <w:name w:val="三线表lgy"/>
    <w:basedOn w:val="ac"/>
    <w:uiPriority w:val="99"/>
    <w:qFormat/>
    <w:pPr>
      <w:jc w:val="center"/>
    </w:pPr>
    <w:rPr>
      <w:rFonts w:eastAsia="楷体_GB2312"/>
      <w:sz w:val="18"/>
    </w:rPr>
    <w:tblPr>
      <w:jc w:val="cente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eastAsia="宋体"/>
        <w:sz w:val="21"/>
      </w:rPr>
      <w:tblPr/>
      <w:tcPr>
        <w:tcBorders>
          <w:top w:val="single" w:sz="4" w:space="0" w:color="auto"/>
          <w:bottom w:val="single" w:sz="4" w:space="0" w:color="auto"/>
          <w:insideH w:val="nil"/>
          <w:insideV w:val="single" w:sz="4" w:space="0" w:color="auto"/>
        </w:tcBorders>
      </w:tcPr>
    </w:tblStylePr>
    <w:tblStylePr w:type="lastRow">
      <w:pPr>
        <w:jc w:val="center"/>
      </w:pPr>
      <w:tblPr/>
      <w:tcPr>
        <w:tcBorders>
          <w:top w:val="single" w:sz="8" w:space="0" w:color="auto"/>
          <w:left w:val="nil"/>
          <w:bottom w:val="single" w:sz="4" w:space="0" w:color="auto"/>
          <w:right w:val="nil"/>
          <w:insideH w:val="nil"/>
          <w:insideV w:val="single" w:sz="8" w:space="0" w:color="auto"/>
          <w:tl2br w:val="nil"/>
          <w:tr2bl w:val="nil"/>
        </w:tcBorders>
      </w:tcPr>
    </w:tblStylePr>
  </w:style>
  <w:style w:type="table" w:customStyle="1" w:styleId="181">
    <w:name w:val="网格型18"/>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3">
    <w:name w:val="表格主题4"/>
    <w:basedOn w:val="ac"/>
    <w:uiPriority w:val="99"/>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彩色型 14"/>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43">
    <w:name w:val="彩色型 24"/>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41">
    <w:name w:val="彩色型 34"/>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4ff4">
    <w:name w:val="典雅型4"/>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5">
    <w:name w:val="古典型 14"/>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4">
    <w:name w:val="古典型 24"/>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42">
    <w:name w:val="古典型 34"/>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41">
    <w:name w:val="古典型 44"/>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6">
    <w:name w:val="简明型 14"/>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45">
    <w:name w:val="简明型 2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3">
    <w:name w:val="简明型 3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5a">
    <w:name w:val="精巧型 15"/>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6">
    <w:name w:val="精巧型 24"/>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f0">
    <w:name w:val="立体型 1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47">
    <w:name w:val="立体型 24"/>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4">
    <w:name w:val="立体型 3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7">
    <w:name w:val="列表型 14"/>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8">
    <w:name w:val="列表型 24"/>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5">
    <w:name w:val="列表型 34"/>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42">
    <w:name w:val="列表型 4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40">
    <w:name w:val="列表型 5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40">
    <w:name w:val="列表型 6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0">
    <w:name w:val="列表型 74"/>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40">
    <w:name w:val="列表型 8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ff5">
    <w:name w:val="流行型4"/>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8">
    <w:name w:val="竖列型 14"/>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3">
    <w:name w:val="竖列型 25"/>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6">
    <w:name w:val="竖列型 34"/>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50">
    <w:name w:val="竖列型 45"/>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竖列型 54"/>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9">
    <w:name w:val="网格型 14"/>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9">
    <w:name w:val="网格型 24"/>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47">
    <w:name w:val="网格型 34"/>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3">
    <w:name w:val="网格型 44"/>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2">
    <w:name w:val="网格型 54"/>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1">
    <w:name w:val="网格型 64"/>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1">
    <w:name w:val="网格型 74"/>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1">
    <w:name w:val="网格型 84"/>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4a">
    <w:name w:val="网页型 14"/>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4a">
    <w:name w:val="网页型 24"/>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8">
    <w:name w:val="网页型 34"/>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f6">
    <w:name w:val="专业型4"/>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
    <w:name w:val="浅色底纹 - 着色 22"/>
    <w:basedOn w:val="ac"/>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90">
    <w:name w:val="网格型19"/>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b">
    <w:name w:val="君邦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9">
    <w:name w:val="君邦专用7"/>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4b">
    <w:name w:val="表格样式2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c">
    <w:name w:val="表格样式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f0">
    <w:name w:val="三线表5"/>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70">
    <w:name w:val="网格型117"/>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c">
    <w:name w:val="网格型24"/>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网格型124"/>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网格型1115"/>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网格型112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0">
    <w:name w:val="网格型1134"/>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精巧型 115"/>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50">
    <w:name w:val="立体型 215"/>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50">
    <w:name w:val="立体型 315"/>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51">
    <w:name w:val="竖列型 215"/>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50">
    <w:name w:val="竖列型 415"/>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f1">
    <w:name w:val="三线表13"/>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fff2">
    <w:name w:val="君邦表格3"/>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3fff3">
    <w:name w:val="君邦表格（表）3"/>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11122">
    <w:name w:val="网格型111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网格型112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网格型1131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b">
    <w:name w:val="网格型!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c">
    <w:name w:val="表格主题12"/>
    <w:basedOn w:val="ac"/>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彩色型 113"/>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133">
    <w:name w:val="彩色型 213"/>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32">
    <w:name w:val="彩色型 313"/>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f2">
    <w:name w:val="典雅型13"/>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9">
    <w:name w:val="古典型 1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4">
    <w:name w:val="古典型 213"/>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33">
    <w:name w:val="古典型 313"/>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32">
    <w:name w:val="古典型 413"/>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a">
    <w:name w:val="简明型 11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35">
    <w:name w:val="简明型 213"/>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4">
    <w:name w:val="简明型 3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36">
    <w:name w:val="精巧型 213"/>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b">
    <w:name w:val="立体型 113"/>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c">
    <w:name w:val="列表型 113"/>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7">
    <w:name w:val="列表型 213"/>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5">
    <w:name w:val="列表型 313"/>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33">
    <w:name w:val="列表型 4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130">
    <w:name w:val="列表型 5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30">
    <w:name w:val="列表型 6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0">
    <w:name w:val="列表型 713"/>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30">
    <w:name w:val="列表型 8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3f3">
    <w:name w:val="流行型13"/>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3d">
    <w:name w:val="竖列型 1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6">
    <w:name w:val="竖列型 313"/>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131">
    <w:name w:val="竖列型 513"/>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e">
    <w:name w:val="网格型 113"/>
    <w:basedOn w:val="ac"/>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8">
    <w:name w:val="网格型 213"/>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37">
    <w:name w:val="网格型 313"/>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34">
    <w:name w:val="网格型 413"/>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22">
    <w:name w:val="网格型 512"/>
    <w:basedOn w:val="ac"/>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31">
    <w:name w:val="网格型 613"/>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1">
    <w:name w:val="网格型 713"/>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31">
    <w:name w:val="网格型 813"/>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3f">
    <w:name w:val="网页型 113"/>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39">
    <w:name w:val="网页型 213"/>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38">
    <w:name w:val="网页型 313"/>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3f4">
    <w:name w:val="专业型13"/>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30">
    <w:name w:val="网格型133"/>
    <w:basedOn w:val="ac"/>
    <w:qFormat/>
    <w:pPr>
      <w:widowControl w:val="0"/>
      <w:spacing w:line="360" w:lineRule="auto"/>
      <w:ind w:firstLineChars="200" w:firstLine="4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君邦1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d">
    <w:name w:val="君邦专用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表格样式214"/>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f0">
    <w:name w:val="表格样式113"/>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20">
    <w:name w:val="网格型114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b">
    <w:name w:val="网格型212"/>
    <w:basedOn w:val="ac"/>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网格型12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e">
    <w:name w:val="君邦表格12"/>
    <w:basedOn w:val="ac"/>
    <w:qFormat/>
    <w:pPr>
      <w:adjustRightInd w:val="0"/>
      <w:snapToGrid w:val="0"/>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12ff">
    <w:name w:val="君邦表格（表）12"/>
    <w:basedOn w:val="afffa"/>
    <w:qFormat/>
    <w:pPr>
      <w:jc w:val="center"/>
    </w:pPr>
    <w:rPr>
      <w:rFonts w:eastAsia="楷体_GB2312"/>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eastAsia="仿宋"/>
        <w:sz w:val="18"/>
      </w:rPr>
      <w:tblPr/>
      <w:tcPr>
        <w:tcBorders>
          <w:top w:val="single" w:sz="8" w:space="0" w:color="auto"/>
          <w:bottom w:val="single" w:sz="8" w:space="0" w:color="auto"/>
        </w:tcBorders>
        <w:vAlign w:val="center"/>
      </w:tcPr>
    </w:tblStylePr>
    <w:tblStylePr w:type="lastRow">
      <w:rPr>
        <w:rFonts w:eastAsia="仿宋"/>
        <w:sz w:val="18"/>
      </w:rPr>
      <w:tblPr/>
      <w:tcPr>
        <w:tcBorders>
          <w:bottom w:val="single" w:sz="8" w:space="0" w:color="auto"/>
        </w:tcBorders>
      </w:tcPr>
    </w:tblStylePr>
    <w:tblStylePr w:type="firstCol">
      <w:tblPr/>
      <w:tcPr>
        <w:tcBorders>
          <w:left w:val="nil"/>
        </w:tcBorders>
      </w:tcPr>
    </w:tblStylePr>
    <w:tblStylePr w:type="lastCol">
      <w:tblPr/>
      <w:tcPr>
        <w:tcBorders>
          <w:right w:val="nil"/>
        </w:tcBorders>
      </w:tcPr>
    </w:tblStylePr>
  </w:style>
  <w:style w:type="table" w:customStyle="1" w:styleId="41140">
    <w:name w:val="列表型 4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42">
    <w:name w:val="简明型 1114"/>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43">
    <w:name w:val="彩色型 1114"/>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41">
    <w:name w:val="彩色型 2114"/>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40">
    <w:name w:val="彩色型 3114"/>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43">
    <w:name w:val="典雅型114"/>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44">
    <w:name w:val="古典型 1114"/>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42">
    <w:name w:val="古典型 2114"/>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41">
    <w:name w:val="古典型 3114"/>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41">
    <w:name w:val="古典型 4114"/>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43">
    <w:name w:val="简明型 2114"/>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42">
    <w:name w:val="简明型 3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45">
    <w:name w:val="精巧型 111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4">
    <w:name w:val="精巧型 2114"/>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46">
    <w:name w:val="立体型 11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45">
    <w:name w:val="立体型 211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43">
    <w:name w:val="立体型 3114"/>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47">
    <w:name w:val="列表型 1114"/>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46">
    <w:name w:val="列表型 2114"/>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44">
    <w:name w:val="列表型 3114"/>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40">
    <w:name w:val="列表型 5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40">
    <w:name w:val="列表型 6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40">
    <w:name w:val="列表型 7114"/>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4">
    <w:name w:val="列表型 8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44">
    <w:name w:val="流行型114"/>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48">
    <w:name w:val="竖列型 1114"/>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47">
    <w:name w:val="竖列型 211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45">
    <w:name w:val="竖列型 3114"/>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42">
    <w:name w:val="竖列型 411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1">
    <w:name w:val="竖列型 5114"/>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49">
    <w:name w:val="网格型 1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48">
    <w:name w:val="网格型 2114"/>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46">
    <w:name w:val="网格型 3114"/>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43">
    <w:name w:val="网格型 4114"/>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4d">
    <w:name w:val="君邦2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41">
    <w:name w:val="网格型 6114"/>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41">
    <w:name w:val="网格型 7114"/>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40">
    <w:name w:val="网格型 8114"/>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a">
    <w:name w:val="网页型 1114"/>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49">
    <w:name w:val="网页型 2114"/>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47">
    <w:name w:val="网页型 3114"/>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45">
    <w:name w:val="专业型114"/>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51">
    <w:name w:val="君邦1115"/>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50">
    <w:name w:val="表格样式2115"/>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f1">
    <w:name w:val="三线表11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黑体"/>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33a">
    <w:name w:val="网格型33"/>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网格型143"/>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精巧型 124"/>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1">
    <w:name w:val="立体型 224"/>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0">
    <w:name w:val="立体型 324"/>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42">
    <w:name w:val="竖列型 224"/>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40">
    <w:name w:val="竖列型 424"/>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2f6">
    <w:name w:val="三线表22"/>
    <w:basedOn w:val="ac"/>
    <w:qFormat/>
    <w:pPr>
      <w:widowControl w:val="0"/>
      <w:spacing w:afterLines="50" w:line="360" w:lineRule="auto"/>
      <w:jc w:val="center"/>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Helvetica"/>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11220">
    <w:name w:val="网格型111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网格型112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网格型11322"/>
    <w:basedOn w:val="ac"/>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君邦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0">
    <w:name w:val="表格样式2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b">
    <w:name w:val="表格样式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40">
    <w:name w:val="君邦1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40">
    <w:name w:val="表格样式21114"/>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4">
    <w:name w:val="网格型43"/>
    <w:basedOn w:val="ac"/>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7">
    <w:name w:val="表格主题22"/>
    <w:basedOn w:val="ac"/>
    <w:qFormat/>
    <w:pPr>
      <w:widowControl w:val="0"/>
      <w:jc w:val="center"/>
    </w:p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04">
    <w:name w:val="君邦-1.04"/>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533">
    <w:name w:val="网格型53"/>
    <w:basedOn w:val="ac"/>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f">
    <w:name w:val="君邦专用2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精巧型 112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1">
    <w:name w:val="立体型 212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20">
    <w:name w:val="立体型 31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2">
    <w:name w:val="竖列型 212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20">
    <w:name w:val="竖列型 412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120">
    <w:name w:val="列表型 4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123">
    <w:name w:val="简明型 1111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24">
    <w:name w:val="彩色型 1111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22">
    <w:name w:val="彩色型 2111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120">
    <w:name w:val="彩色型 3111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2c">
    <w:name w:val="典雅型111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125">
    <w:name w:val="古典型 11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23">
    <w:name w:val="古典型 2111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1">
    <w:name w:val="古典型 3111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21">
    <w:name w:val="古典型 4111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24">
    <w:name w:val="简明型 211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22">
    <w:name w:val="简明型 3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126">
    <w:name w:val="精巧型 111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25">
    <w:name w:val="精巧型 2111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27">
    <w:name w:val="立体型 11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126">
    <w:name w:val="立体型 211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123">
    <w:name w:val="立体型 311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28">
    <w:name w:val="列表型 1111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27">
    <w:name w:val="列表型 2111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24">
    <w:name w:val="列表型 3111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2">
    <w:name w:val="列表型 5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2">
    <w:name w:val="列表型 6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2">
    <w:name w:val="列表型 7111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2">
    <w:name w:val="列表型 8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2d">
    <w:name w:val="流行型111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29">
    <w:name w:val="竖列型 11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128">
    <w:name w:val="竖列型 211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25">
    <w:name w:val="竖列型 3111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22">
    <w:name w:val="竖列型 411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0">
    <w:name w:val="竖列型 5111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12a">
    <w:name w:val="网格型 1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129">
    <w:name w:val="网格型 2111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26">
    <w:name w:val="网格型 3111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23">
    <w:name w:val="网格型 4111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12c">
    <w:name w:val="君邦2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20">
    <w:name w:val="网格型 6111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20">
    <w:name w:val="网格型 7111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20">
    <w:name w:val="网格型 8111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b">
    <w:name w:val="网页型 1111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2a">
    <w:name w:val="网页型 2111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27">
    <w:name w:val="网页型 3111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2e">
    <w:name w:val="专业型111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221">
    <w:name w:val="君邦1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20">
    <w:name w:val="表格样式2112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1">
    <w:name w:val="精巧型 121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20">
    <w:name w:val="立体型 2212"/>
    <w:basedOn w:val="ac"/>
    <w:semiHidden/>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20">
    <w:name w:val="立体型 321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21">
    <w:name w:val="竖列型 221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20">
    <w:name w:val="竖列型 421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120">
    <w:name w:val="君邦11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20">
    <w:name w:val="表格样式21111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2">
    <w:name w:val="君邦-1.012"/>
    <w:basedOn w:val="ac"/>
    <w:qFormat/>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8">
    <w:name w:val="TableGrid8"/>
    <w:qFormat/>
    <w:tblPr>
      <w:tblCellMar>
        <w:top w:w="0" w:type="dxa"/>
        <w:left w:w="0" w:type="dxa"/>
        <w:bottom w:w="0" w:type="dxa"/>
        <w:right w:w="0" w:type="dxa"/>
      </w:tblCellMar>
    </w:tblPr>
  </w:style>
  <w:style w:type="table" w:customStyle="1" w:styleId="33b">
    <w:name w:val="君邦专用33"/>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精巧型 113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20">
    <w:name w:val="立体型 213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20">
    <w:name w:val="立体型 313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321">
    <w:name w:val="竖列型 213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20">
    <w:name w:val="竖列型 413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11220">
    <w:name w:val="列表型 4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11222">
    <w:name w:val="简明型 11122"/>
    <w:basedOn w:val="ac"/>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23">
    <w:name w:val="彩色型 11122"/>
    <w:basedOn w:val="ac"/>
    <w:semiHidden/>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221">
    <w:name w:val="彩色型 21122"/>
    <w:basedOn w:val="ac"/>
    <w:semiHidden/>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220">
    <w:name w:val="彩色型 31122"/>
    <w:basedOn w:val="ac"/>
    <w:semiHidden/>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24">
    <w:name w:val="典雅型1122"/>
    <w:basedOn w:val="ac"/>
    <w:semiHidden/>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1224">
    <w:name w:val="古典型 1112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222">
    <w:name w:val="古典型 21122"/>
    <w:basedOn w:val="ac"/>
    <w:semiHidden/>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221">
    <w:name w:val="古典型 31122"/>
    <w:basedOn w:val="ac"/>
    <w:semiHidden/>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221">
    <w:name w:val="古典型 41122"/>
    <w:basedOn w:val="ac"/>
    <w:semiHidden/>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223">
    <w:name w:val="简明型 2112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222">
    <w:name w:val="简明型 3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225">
    <w:name w:val="精巧型 111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24">
    <w:name w:val="精巧型 21122"/>
    <w:basedOn w:val="ac"/>
    <w:semiHidden/>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226">
    <w:name w:val="立体型 111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225">
    <w:name w:val="立体型 211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223">
    <w:name w:val="立体型 31122"/>
    <w:basedOn w:val="ac"/>
    <w:semiHidden/>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227">
    <w:name w:val="列表型 11122"/>
    <w:basedOn w:val="ac"/>
    <w:semiHidden/>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226">
    <w:name w:val="列表型 21122"/>
    <w:basedOn w:val="ac"/>
    <w:semiHidden/>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224">
    <w:name w:val="列表型 31122"/>
    <w:basedOn w:val="ac"/>
    <w:semiHidden/>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22">
    <w:name w:val="列表型 5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22">
    <w:name w:val="列表型 6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22">
    <w:name w:val="列表型 71122"/>
    <w:basedOn w:val="ac"/>
    <w:semiHidden/>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22">
    <w:name w:val="列表型 8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25">
    <w:name w:val="流行型1122"/>
    <w:basedOn w:val="ac"/>
    <w:semiHidden/>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228">
    <w:name w:val="竖列型 1112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227">
    <w:name w:val="竖列型 211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225">
    <w:name w:val="竖列型 31122"/>
    <w:basedOn w:val="ac"/>
    <w:semiHidden/>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22">
    <w:name w:val="竖列型 411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0">
    <w:name w:val="竖列型 51122"/>
    <w:basedOn w:val="ac"/>
    <w:semiHidden/>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229">
    <w:name w:val="网格型 1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228">
    <w:name w:val="网格型 21122"/>
    <w:basedOn w:val="ac"/>
    <w:semiHidden/>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226">
    <w:name w:val="网格型 31122"/>
    <w:basedOn w:val="ac"/>
    <w:semiHidden/>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23">
    <w:name w:val="网格型 41122"/>
    <w:basedOn w:val="ac"/>
    <w:semiHidden/>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2223">
    <w:name w:val="君邦2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220">
    <w:name w:val="网格型 61122"/>
    <w:basedOn w:val="ac"/>
    <w:semiHidden/>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20">
    <w:name w:val="网格型 71122"/>
    <w:basedOn w:val="ac"/>
    <w:semiHidden/>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220">
    <w:name w:val="网格型 81122"/>
    <w:basedOn w:val="ac"/>
    <w:semiHidden/>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a">
    <w:name w:val="网页型 11122"/>
    <w:basedOn w:val="ac"/>
    <w:semiHidden/>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229">
    <w:name w:val="网页型 21122"/>
    <w:basedOn w:val="ac"/>
    <w:semiHidden/>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227">
    <w:name w:val="网页型 31122"/>
    <w:basedOn w:val="ac"/>
    <w:semiHidden/>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226">
    <w:name w:val="专业型1122"/>
    <w:basedOn w:val="ac"/>
    <w:semiHidden/>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320">
    <w:name w:val="君邦1113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20">
    <w:name w:val="表格样式2113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20">
    <w:name w:val="精巧型 1222"/>
    <w:basedOn w:val="ac"/>
    <w:semiHidden/>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0">
    <w:name w:val="立体型 2222"/>
    <w:basedOn w:val="ac"/>
    <w:semiHidden/>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2">
    <w:name w:val="立体型 32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21">
    <w:name w:val="竖列型 2222"/>
    <w:basedOn w:val="ac"/>
    <w:semiHidden/>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2">
    <w:name w:val="竖列型 4222"/>
    <w:basedOn w:val="ac"/>
    <w:semiHidden/>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11220">
    <w:name w:val="君邦111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220">
    <w:name w:val="表格样式211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2">
    <w:name w:val="君邦-1.022"/>
    <w:basedOn w:val="ac"/>
    <w:rPr>
      <w:rFonts w:eastAsia="Times New Roman"/>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TableGrid12">
    <w:name w:val="TableGrid12"/>
    <w:rPr>
      <w:rFonts w:ascii="等线" w:eastAsia="等线" w:hAnsi="等线"/>
    </w:rPr>
    <w:tblPr>
      <w:tblCellMar>
        <w:top w:w="0" w:type="dxa"/>
        <w:left w:w="0" w:type="dxa"/>
        <w:bottom w:w="0" w:type="dxa"/>
        <w:right w:w="0" w:type="dxa"/>
      </w:tblCellMar>
    </w:tblPr>
  </w:style>
  <w:style w:type="table" w:customStyle="1" w:styleId="TableGrid22">
    <w:name w:val="TableGrid22"/>
    <w:rPr>
      <w:rFonts w:ascii="等线" w:eastAsia="等线" w:hAnsi="等线"/>
    </w:rPr>
    <w:tblPr>
      <w:tblCellMar>
        <w:top w:w="0" w:type="dxa"/>
        <w:left w:w="0" w:type="dxa"/>
        <w:bottom w:w="0" w:type="dxa"/>
        <w:right w:w="0" w:type="dxa"/>
      </w:tblCellMar>
    </w:tblPr>
  </w:style>
  <w:style w:type="table" w:customStyle="1" w:styleId="TableGrid32">
    <w:name w:val="TableGrid32"/>
    <w:rPr>
      <w:rFonts w:ascii="等线" w:eastAsia="等线" w:hAnsi="等线"/>
    </w:rPr>
    <w:tblPr>
      <w:tblCellMar>
        <w:top w:w="0" w:type="dxa"/>
        <w:left w:w="0" w:type="dxa"/>
        <w:bottom w:w="0" w:type="dxa"/>
        <w:right w:w="0" w:type="dxa"/>
      </w:tblCellMar>
    </w:tblPr>
  </w:style>
  <w:style w:type="table" w:customStyle="1" w:styleId="TableGrid42">
    <w:name w:val="TableGrid42"/>
    <w:rPr>
      <w:rFonts w:ascii="等线" w:eastAsia="等线" w:hAnsi="等线"/>
    </w:rPr>
    <w:tblPr>
      <w:tblCellMar>
        <w:top w:w="0" w:type="dxa"/>
        <w:left w:w="0" w:type="dxa"/>
        <w:bottom w:w="0" w:type="dxa"/>
        <w:right w:w="0" w:type="dxa"/>
      </w:tblCellMar>
    </w:tblPr>
  </w:style>
  <w:style w:type="table" w:customStyle="1" w:styleId="TableGrid52">
    <w:name w:val="TableGrid52"/>
    <w:rPr>
      <w:rFonts w:ascii="等线" w:eastAsia="等线" w:hAnsi="等线"/>
    </w:rPr>
    <w:tblPr>
      <w:tblCellMar>
        <w:top w:w="0" w:type="dxa"/>
        <w:left w:w="0" w:type="dxa"/>
        <w:bottom w:w="0" w:type="dxa"/>
        <w:right w:w="0" w:type="dxa"/>
      </w:tblCellMar>
    </w:tblPr>
  </w:style>
  <w:style w:type="table" w:customStyle="1" w:styleId="4220">
    <w:name w:val="列表型 4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1223">
    <w:name w:val="简明型 12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24">
    <w:name w:val="彩色型 122"/>
    <w:basedOn w:val="ac"/>
    <w:semiHidden/>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24">
    <w:name w:val="彩色型 222"/>
    <w:basedOn w:val="ac"/>
    <w:semiHidden/>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3">
    <w:name w:val="彩色型 322"/>
    <w:basedOn w:val="ac"/>
    <w:semiHidden/>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2f8">
    <w:name w:val="典雅型22"/>
    <w:basedOn w:val="ac"/>
    <w:semiHidden/>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225">
    <w:name w:val="古典型 1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5">
    <w:name w:val="古典型 222"/>
    <w:basedOn w:val="ac"/>
    <w:semiHidden/>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4">
    <w:name w:val="古典型 322"/>
    <w:basedOn w:val="ac"/>
    <w:semiHidden/>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3">
    <w:name w:val="古典型 422"/>
    <w:basedOn w:val="ac"/>
    <w:semiHidden/>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6">
    <w:name w:val="简明型 222"/>
    <w:basedOn w:val="ac"/>
    <w:semiHidden/>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5">
    <w:name w:val="简明型 3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1">
    <w:name w:val="精巧型 132"/>
    <w:basedOn w:val="ac"/>
    <w:semiHidden/>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7">
    <w:name w:val="精巧型 222"/>
    <w:basedOn w:val="ac"/>
    <w:semiHidden/>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26">
    <w:name w:val="列表型 122"/>
    <w:basedOn w:val="ac"/>
    <w:semiHidden/>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8">
    <w:name w:val="列表型 222"/>
    <w:basedOn w:val="ac"/>
    <w:semiHidden/>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26">
    <w:name w:val="列表型 322"/>
    <w:basedOn w:val="ac"/>
    <w:semiHidden/>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列表型 5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20">
    <w:name w:val="列表型 6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20">
    <w:name w:val="列表型 722"/>
    <w:basedOn w:val="ac"/>
    <w:semiHidden/>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0">
    <w:name w:val="列表型 8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2f9">
    <w:name w:val="流行型22"/>
    <w:basedOn w:val="ac"/>
    <w:semiHidden/>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7">
    <w:name w:val="竖列型 12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0">
    <w:name w:val="竖列型 232"/>
    <w:basedOn w:val="ac"/>
    <w:semiHidden/>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7">
    <w:name w:val="竖列型 322"/>
    <w:basedOn w:val="ac"/>
    <w:semiHidden/>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0">
    <w:name w:val="竖列型 432"/>
    <w:basedOn w:val="ac"/>
    <w:semiHidden/>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竖列型 522"/>
    <w:basedOn w:val="ac"/>
    <w:semiHidden/>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28">
    <w:name w:val="网格型 1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29">
    <w:name w:val="网格型 222"/>
    <w:basedOn w:val="ac"/>
    <w:semiHidden/>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28">
    <w:name w:val="网格型 322"/>
    <w:basedOn w:val="ac"/>
    <w:semiHidden/>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24">
    <w:name w:val="网格型 422"/>
    <w:basedOn w:val="ac"/>
    <w:semiHidden/>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22">
    <w:name w:val="网格型 5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21">
    <w:name w:val="网格型 622"/>
    <w:basedOn w:val="ac"/>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1">
    <w:name w:val="网格型 722"/>
    <w:basedOn w:val="ac"/>
    <w:semiHidden/>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1">
    <w:name w:val="网格型 822"/>
    <w:basedOn w:val="ac"/>
    <w:semiHidden/>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9">
    <w:name w:val="网页型 122"/>
    <w:basedOn w:val="ac"/>
    <w:semiHidden/>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a">
    <w:name w:val="网页型 222"/>
    <w:basedOn w:val="ac"/>
    <w:semiHidden/>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9">
    <w:name w:val="网页型 322"/>
    <w:basedOn w:val="ac"/>
    <w:semiHidden/>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a">
    <w:name w:val="专业型22"/>
    <w:basedOn w:val="ac"/>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2a">
    <w:name w:val="表格样式122"/>
    <w:basedOn w:val="afff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君邦专用42"/>
    <w:basedOn w:val="afffa"/>
    <w:qFormat/>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AAA2">
    <w:name w:val="AAA2"/>
    <w:basedOn w:val="afffa"/>
    <w:pPr>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table" w:customStyle="1" w:styleId="2ffffe">
    <w:name w:val="表格样式智汇元2"/>
    <w:basedOn w:val="ac"/>
    <w:qFormat/>
    <w:pPr>
      <w:widowControl w:val="0"/>
      <w:jc w:val="both"/>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ff0">
    <w:name w:val="浅色底纹12"/>
    <w:basedOn w:val="ac"/>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9">
    <w:name w:val="网格型31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网格型4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网格型5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633">
    <w:name w:val="网格型6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网格型73"/>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网格型8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2">
    <w:name w:val="Table Normal4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22">
    <w:name w:val="Table Normal2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fffff">
    <w:name w:val="设计院2"/>
    <w:basedOn w:val="afffb"/>
    <w:qFormat/>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table" w:customStyle="1" w:styleId="11520">
    <w:name w:val="网格型1152"/>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网格型152"/>
    <w:basedOn w:val="ac"/>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网格型12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网格型1113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a">
    <w:name w:val="无格式表格 313"/>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fff4">
    <w:name w:val="三线格3"/>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TableNormal52">
    <w:name w:val="Table Normal52"/>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12112">
    <w:name w:val="网格型12112"/>
    <w:basedOn w:val="ac"/>
    <w:uiPriority w:val="5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b">
    <w:name w:val="网格型22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8">
    <w:name w:val="网格型31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浅色底纹 - 强调文字颜色 212"/>
    <w:basedOn w:val="ac"/>
    <w:uiPriority w:val="60"/>
    <w:qFormat/>
    <w:rPr>
      <w:rFonts w:ascii="Calibri" w:hAnsi="Calibri"/>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4">
    <w:name w:val="无格式表格 512"/>
    <w:basedOn w:val="ac"/>
    <w:uiPriority w:val="45"/>
    <w:qFormat/>
    <w:rPr>
      <w:rFonts w:ascii="Calibri" w:hAnsi="Calibri"/>
    </w:rPr>
    <w:tblPr>
      <w:tblInd w:w="0" w:type="dxa"/>
      <w:tblCellMar>
        <w:top w:w="0" w:type="dxa"/>
        <w:left w:w="108" w:type="dxa"/>
        <w:bottom w:w="0" w:type="dxa"/>
        <w:right w:w="108" w:type="dxa"/>
      </w:tblCellMar>
    </w:tblPr>
    <w:tblStylePr w:type="firstRow">
      <w:rPr>
        <w:rFonts w:ascii="仿宋_GB2312" w:eastAsia="宋体" w:hAnsi="仿宋_GB2312" w:cs="Times New Roman"/>
        <w:i/>
        <w:iCs/>
        <w:sz w:val="26"/>
      </w:rPr>
      <w:tblPr/>
      <w:tcPr>
        <w:tcBorders>
          <w:bottom w:val="single" w:sz="4" w:space="0" w:color="7F7F7F"/>
        </w:tcBorders>
        <w:shd w:val="clear" w:color="auto" w:fill="FFFFFF"/>
      </w:tcPr>
    </w:tblStylePr>
    <w:tblStylePr w:type="lastRow">
      <w:rPr>
        <w:rFonts w:ascii="仿宋_GB2312" w:eastAsia="宋体" w:hAnsi="仿宋_GB2312" w:cs="Times New Roman"/>
        <w:i/>
        <w:iCs/>
        <w:sz w:val="26"/>
      </w:rPr>
      <w:tblPr/>
      <w:tcPr>
        <w:tcBorders>
          <w:top w:val="single" w:sz="4" w:space="0" w:color="7F7F7F"/>
        </w:tcBorders>
        <w:shd w:val="clear" w:color="auto" w:fill="FFFFFF"/>
      </w:tcPr>
    </w:tblStylePr>
    <w:tblStylePr w:type="firstCol">
      <w:pPr>
        <w:jc w:val="right"/>
      </w:pPr>
      <w:rPr>
        <w:rFonts w:ascii="仿宋_GB2312" w:eastAsia="宋体" w:hAnsi="仿宋_GB2312" w:cs="Times New Roman"/>
        <w:i/>
        <w:iCs/>
        <w:sz w:val="26"/>
      </w:rPr>
      <w:tblPr/>
      <w:tcPr>
        <w:tcBorders>
          <w:right w:val="single" w:sz="4" w:space="0" w:color="7F7F7F"/>
        </w:tcBorders>
        <w:shd w:val="clear" w:color="auto" w:fill="FFFFFF"/>
      </w:tcPr>
    </w:tblStylePr>
    <w:tblStylePr w:type="lastCol">
      <w:rPr>
        <w:rFonts w:ascii="仿宋_GB2312" w:eastAsia="宋体" w:hAnsi="仿宋_GB2312"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29">
    <w:name w:val="无格式表格 3112"/>
    <w:basedOn w:val="ac"/>
    <w:uiPriority w:val="43"/>
    <w:qFormat/>
    <w:rPr>
      <w:rFonts w:ascii="Calibri" w:hAnsi="Calibri"/>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02">
    <w:name w:val="样式1102"/>
    <w:basedOn w:val="ac"/>
    <w:uiPriority w:val="99"/>
    <w:qFormat/>
    <w:rPr>
      <w:rFonts w:ascii="Calibri" w:hAnsi="Calibri"/>
    </w:r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6122">
    <w:name w:val="网格型6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网格型13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网格型712"/>
    <w:basedOn w:val="ac"/>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网格型1412"/>
    <w:basedOn w:val="ac"/>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0">
    <w:name w:val="智汇元表格样式2"/>
    <w:basedOn w:val="58"/>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21">
    <w:name w:val="网格型92"/>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d">
    <w:name w:val="君邦专用21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a">
    <w:name w:val="君邦专用312"/>
    <w:basedOn w:val="ac"/>
    <w:qFormat/>
    <w:pPr>
      <w:widowControl w:val="0"/>
      <w:jc w:val="both"/>
    </w:pPr>
    <w:tblPr>
      <w:tblInd w:w="0" w:type="dxa"/>
      <w:tblBorders>
        <w:top w:val="thinThickSmallGap" w:sz="12" w:space="0" w:color="auto"/>
        <w:bottom w:val="thickThinSmallGap"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网格型102"/>
    <w:basedOn w:val="ac"/>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1">
    <w:name w:val="三线格12"/>
    <w:basedOn w:val="ac"/>
    <w:uiPriority w:val="99"/>
    <w:qFormat/>
    <w:rPr>
      <w:rFonts w:ascii="Calibri" w:hAnsi="Calibri"/>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000000"/>
          <w:left w:val="nil"/>
          <w:bottom w:val="single" w:sz="12" w:space="0" w:color="000000"/>
          <w:right w:val="nil"/>
          <w:insideH w:val="single" w:sz="4" w:space="0" w:color="auto"/>
          <w:insideV w:val="single" w:sz="4" w:space="0" w:color="auto"/>
        </w:tcBorders>
      </w:tcPr>
    </w:tblStylePr>
  </w:style>
  <w:style w:type="table" w:customStyle="1" w:styleId="2fffff1">
    <w:name w:val="表格格式2"/>
    <w:basedOn w:val="afffb"/>
    <w:qFormat/>
    <w:pPr>
      <w:widowControl/>
      <w:jc w:val="center"/>
    </w:pPr>
    <w:rPr>
      <w:sz w:val="18"/>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32f">
    <w:name w:val="三线表32"/>
    <w:basedOn w:val="ac"/>
    <w:pPr>
      <w:widowControl w:val="0"/>
      <w:spacing w:afterLines="50"/>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tblStylePr w:type="firstRow">
      <w:rPr>
        <w:rFonts w:eastAsia="Batang"/>
        <w:sz w:val="24"/>
      </w:r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style>
  <w:style w:type="table" w:customStyle="1" w:styleId="122b">
    <w:name w:val="君邦1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2c">
    <w:name w:val="表格样式222"/>
    <w:basedOn w:val="5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62">
    <w:name w:val="TableGrid62"/>
    <w:qFormat/>
    <w:pPr>
      <w:spacing w:after="60"/>
      <w:jc w:val="both"/>
    </w:pPr>
    <w:tblPr>
      <w:tblCellMar>
        <w:top w:w="0" w:type="dxa"/>
        <w:left w:w="0" w:type="dxa"/>
        <w:bottom w:w="0" w:type="dxa"/>
        <w:right w:w="0" w:type="dxa"/>
      </w:tblCellMar>
    </w:tblPr>
  </w:style>
  <w:style w:type="table" w:customStyle="1" w:styleId="88">
    <w:name w:val="君邦专用8"/>
    <w:basedOn w:val="ac"/>
    <w:qFormat/>
    <w:pPr>
      <w:widowControl w:val="0"/>
      <w:jc w:val="center"/>
    </w:pPr>
    <w:rPr>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4ff7">
    <w:name w:val="未处理的提及4"/>
    <w:uiPriority w:val="99"/>
    <w:semiHidden/>
    <w:unhideWhenUsed/>
    <w:rPr>
      <w:color w:val="605E5C"/>
      <w:shd w:val="clear" w:color="auto" w:fill="E1DFDD"/>
    </w:rPr>
  </w:style>
  <w:style w:type="paragraph" w:customStyle="1" w:styleId="Charffffffff4">
    <w:name w:val="普通(网站) Char"/>
    <w:basedOn w:val="a9"/>
    <w:pPr>
      <w:spacing w:before="100" w:beforeAutospacing="1" w:after="100" w:afterAutospacing="1"/>
      <w:jc w:val="left"/>
    </w:pPr>
    <w:rPr>
      <w:rFonts w:ascii="宋体" w:hAnsi="宋体" w:hint="eastAsia"/>
      <w:sz w:val="24"/>
      <w:szCs w:val="24"/>
    </w:rPr>
  </w:style>
  <w:style w:type="paragraph" w:customStyle="1" w:styleId="4ff8">
    <w:name w:val="修订4"/>
    <w:hidden/>
    <w:uiPriority w:val="99"/>
    <w:unhideWhenUsed/>
  </w:style>
  <w:style w:type="table" w:customStyle="1" w:styleId="lgy2">
    <w:name w:val="lgy表格"/>
    <w:basedOn w:val="16"/>
    <w:rsid w:val="0008113A"/>
    <w:pPr>
      <w:adjustRightInd w:val="0"/>
      <w:snapToGrid w:val="0"/>
      <w:jc w:val="center"/>
    </w:pPr>
    <w:rPr>
      <w:rFonts w:eastAsia="楷体_GB2312"/>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tblPr/>
      <w:tcPr>
        <w:tcBorders>
          <w:top w:val="single" w:sz="12" w:space="0" w:color="auto"/>
          <w:left w:val="nil"/>
          <w:bottom w:val="single" w:sz="12" w:space="0" w:color="auto"/>
          <w:right w:val="nil"/>
          <w:insideH w:val="single" w:sz="4" w:space="0" w:color="auto"/>
          <w:insideV w:val="single" w:sz="4" w:space="0" w:color="auto"/>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style>
  <w:style w:type="table" w:customStyle="1" w:styleId="4ff9">
    <w:name w:val="君邦表格4"/>
    <w:basedOn w:val="ac"/>
    <w:pPr>
      <w:adjustRightInd w:val="0"/>
      <w:snapToGrid w:val="0"/>
      <w:jc w:val="center"/>
    </w:pPr>
    <w:rPr>
      <w:sz w:val="18"/>
    </w:rPr>
    <w:tblPr>
      <w:tblInd w:w="0" w:type="dxa"/>
      <w:tblBorders>
        <w:top w:val="single" w:sz="4" w:space="0" w:color="auto"/>
        <w:left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bottom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3fff5">
    <w:name w:val="标题3"/>
    <w:basedOn w:val="a9"/>
    <w:next w:val="a9"/>
    <w:uiPriority w:val="99"/>
    <w:qFormat/>
    <w:pPr>
      <w:tabs>
        <w:tab w:val="left" w:pos="851"/>
      </w:tabs>
      <w:snapToGrid w:val="0"/>
      <w:spacing w:after="60" w:line="360" w:lineRule="auto"/>
      <w:outlineLvl w:val="2"/>
    </w:pPr>
    <w:rPr>
      <w:b/>
      <w:kern w:val="2"/>
      <w:sz w:val="24"/>
      <w:szCs w:val="22"/>
    </w:rPr>
  </w:style>
  <w:style w:type="numbering" w:customStyle="1" w:styleId="15">
    <w:name w:val="样式15"/>
    <w:uiPriority w:val="99"/>
    <w:rsid w:val="0045661A"/>
    <w:pPr>
      <w:numPr>
        <w:numId w:val="44"/>
      </w:numPr>
    </w:pPr>
  </w:style>
  <w:style w:type="table" w:customStyle="1" w:styleId="lgy10">
    <w:name w:val="lgy表格1"/>
    <w:basedOn w:val="16"/>
    <w:rsid w:val="00F679CB"/>
    <w:pPr>
      <w:adjustRightInd w:val="0"/>
      <w:snapToGrid w:val="0"/>
      <w:jc w:val="center"/>
    </w:pPr>
    <w:rPr>
      <w:rFonts w:eastAsia="楷体_GB2312"/>
      <w:sz w:val="18"/>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tblPr/>
      <w:tcPr>
        <w:tcBorders>
          <w:top w:val="none" w:sz="0" w:space="0" w:color="auto"/>
          <w:left w:val="none" w:sz="0" w:space="0" w:color="auto"/>
          <w:bottom w:val="single" w:sz="12" w:space="0" w:color="auto"/>
          <w:right w:val="none" w:sz="0" w:space="0" w:color="auto"/>
          <w:insideH w:val="none" w:sz="0" w:space="0" w:color="auto"/>
          <w:insideV w:val="none" w:sz="0" w:space="0" w:color="auto"/>
          <w:tl2br w:val="none" w:sz="0" w:space="0" w:color="auto"/>
          <w:tr2bl w:val="none" w:sz="0" w:space="0" w:color="auto"/>
        </w:tcBorders>
        <w:shd w:val="clear" w:color="auto" w:fill="auto"/>
      </w:tcPr>
    </w:tblStylePr>
    <w:tblStylePr w:type="lastRow">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auto"/>
      </w:tcPr>
    </w:tblStylePr>
  </w:style>
  <w:style w:type="character" w:customStyle="1" w:styleId="affffffffffffffffffffffffff9">
    <w:name w:val="表格标题 字符"/>
    <w:uiPriority w:val="99"/>
    <w:qFormat/>
    <w:rsid w:val="00F531DF"/>
    <w:rPr>
      <w:rFonts w:ascii="Times New Roman" w:eastAsia="黑体"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647">
      <w:bodyDiv w:val="1"/>
      <w:marLeft w:val="0"/>
      <w:marRight w:val="0"/>
      <w:marTop w:val="0"/>
      <w:marBottom w:val="0"/>
      <w:divBdr>
        <w:top w:val="none" w:sz="0" w:space="0" w:color="auto"/>
        <w:left w:val="none" w:sz="0" w:space="0" w:color="auto"/>
        <w:bottom w:val="none" w:sz="0" w:space="0" w:color="auto"/>
        <w:right w:val="none" w:sz="0" w:space="0" w:color="auto"/>
      </w:divBdr>
    </w:div>
    <w:div w:id="129058182">
      <w:bodyDiv w:val="1"/>
      <w:marLeft w:val="0"/>
      <w:marRight w:val="0"/>
      <w:marTop w:val="0"/>
      <w:marBottom w:val="0"/>
      <w:divBdr>
        <w:top w:val="none" w:sz="0" w:space="0" w:color="auto"/>
        <w:left w:val="none" w:sz="0" w:space="0" w:color="auto"/>
        <w:bottom w:val="none" w:sz="0" w:space="0" w:color="auto"/>
        <w:right w:val="none" w:sz="0" w:space="0" w:color="auto"/>
      </w:divBdr>
    </w:div>
    <w:div w:id="159389877">
      <w:bodyDiv w:val="1"/>
      <w:marLeft w:val="0"/>
      <w:marRight w:val="0"/>
      <w:marTop w:val="0"/>
      <w:marBottom w:val="0"/>
      <w:divBdr>
        <w:top w:val="none" w:sz="0" w:space="0" w:color="auto"/>
        <w:left w:val="none" w:sz="0" w:space="0" w:color="auto"/>
        <w:bottom w:val="none" w:sz="0" w:space="0" w:color="auto"/>
        <w:right w:val="none" w:sz="0" w:space="0" w:color="auto"/>
      </w:divBdr>
    </w:div>
    <w:div w:id="212081226">
      <w:bodyDiv w:val="1"/>
      <w:marLeft w:val="0"/>
      <w:marRight w:val="0"/>
      <w:marTop w:val="0"/>
      <w:marBottom w:val="0"/>
      <w:divBdr>
        <w:top w:val="none" w:sz="0" w:space="0" w:color="auto"/>
        <w:left w:val="none" w:sz="0" w:space="0" w:color="auto"/>
        <w:bottom w:val="none" w:sz="0" w:space="0" w:color="auto"/>
        <w:right w:val="none" w:sz="0" w:space="0" w:color="auto"/>
      </w:divBdr>
    </w:div>
    <w:div w:id="304237992">
      <w:bodyDiv w:val="1"/>
      <w:marLeft w:val="0"/>
      <w:marRight w:val="0"/>
      <w:marTop w:val="0"/>
      <w:marBottom w:val="0"/>
      <w:divBdr>
        <w:top w:val="none" w:sz="0" w:space="0" w:color="auto"/>
        <w:left w:val="none" w:sz="0" w:space="0" w:color="auto"/>
        <w:bottom w:val="none" w:sz="0" w:space="0" w:color="auto"/>
        <w:right w:val="none" w:sz="0" w:space="0" w:color="auto"/>
      </w:divBdr>
    </w:div>
    <w:div w:id="387458685">
      <w:bodyDiv w:val="1"/>
      <w:marLeft w:val="0"/>
      <w:marRight w:val="0"/>
      <w:marTop w:val="0"/>
      <w:marBottom w:val="0"/>
      <w:divBdr>
        <w:top w:val="none" w:sz="0" w:space="0" w:color="auto"/>
        <w:left w:val="none" w:sz="0" w:space="0" w:color="auto"/>
        <w:bottom w:val="none" w:sz="0" w:space="0" w:color="auto"/>
        <w:right w:val="none" w:sz="0" w:space="0" w:color="auto"/>
      </w:divBdr>
    </w:div>
    <w:div w:id="478612872">
      <w:bodyDiv w:val="1"/>
      <w:marLeft w:val="0"/>
      <w:marRight w:val="0"/>
      <w:marTop w:val="0"/>
      <w:marBottom w:val="0"/>
      <w:divBdr>
        <w:top w:val="none" w:sz="0" w:space="0" w:color="auto"/>
        <w:left w:val="none" w:sz="0" w:space="0" w:color="auto"/>
        <w:bottom w:val="none" w:sz="0" w:space="0" w:color="auto"/>
        <w:right w:val="none" w:sz="0" w:space="0" w:color="auto"/>
      </w:divBdr>
    </w:div>
    <w:div w:id="485556893">
      <w:bodyDiv w:val="1"/>
      <w:marLeft w:val="0"/>
      <w:marRight w:val="0"/>
      <w:marTop w:val="0"/>
      <w:marBottom w:val="0"/>
      <w:divBdr>
        <w:top w:val="none" w:sz="0" w:space="0" w:color="auto"/>
        <w:left w:val="none" w:sz="0" w:space="0" w:color="auto"/>
        <w:bottom w:val="none" w:sz="0" w:space="0" w:color="auto"/>
        <w:right w:val="none" w:sz="0" w:space="0" w:color="auto"/>
      </w:divBdr>
    </w:div>
    <w:div w:id="509030129">
      <w:bodyDiv w:val="1"/>
      <w:marLeft w:val="0"/>
      <w:marRight w:val="0"/>
      <w:marTop w:val="0"/>
      <w:marBottom w:val="0"/>
      <w:divBdr>
        <w:top w:val="none" w:sz="0" w:space="0" w:color="auto"/>
        <w:left w:val="none" w:sz="0" w:space="0" w:color="auto"/>
        <w:bottom w:val="none" w:sz="0" w:space="0" w:color="auto"/>
        <w:right w:val="none" w:sz="0" w:space="0" w:color="auto"/>
      </w:divBdr>
    </w:div>
    <w:div w:id="568464545">
      <w:bodyDiv w:val="1"/>
      <w:marLeft w:val="0"/>
      <w:marRight w:val="0"/>
      <w:marTop w:val="0"/>
      <w:marBottom w:val="0"/>
      <w:divBdr>
        <w:top w:val="none" w:sz="0" w:space="0" w:color="auto"/>
        <w:left w:val="none" w:sz="0" w:space="0" w:color="auto"/>
        <w:bottom w:val="none" w:sz="0" w:space="0" w:color="auto"/>
        <w:right w:val="none" w:sz="0" w:space="0" w:color="auto"/>
      </w:divBdr>
    </w:div>
    <w:div w:id="619997457">
      <w:bodyDiv w:val="1"/>
      <w:marLeft w:val="0"/>
      <w:marRight w:val="0"/>
      <w:marTop w:val="0"/>
      <w:marBottom w:val="0"/>
      <w:divBdr>
        <w:top w:val="none" w:sz="0" w:space="0" w:color="auto"/>
        <w:left w:val="none" w:sz="0" w:space="0" w:color="auto"/>
        <w:bottom w:val="none" w:sz="0" w:space="0" w:color="auto"/>
        <w:right w:val="none" w:sz="0" w:space="0" w:color="auto"/>
      </w:divBdr>
    </w:div>
    <w:div w:id="710305515">
      <w:bodyDiv w:val="1"/>
      <w:marLeft w:val="0"/>
      <w:marRight w:val="0"/>
      <w:marTop w:val="0"/>
      <w:marBottom w:val="0"/>
      <w:divBdr>
        <w:top w:val="none" w:sz="0" w:space="0" w:color="auto"/>
        <w:left w:val="none" w:sz="0" w:space="0" w:color="auto"/>
        <w:bottom w:val="none" w:sz="0" w:space="0" w:color="auto"/>
        <w:right w:val="none" w:sz="0" w:space="0" w:color="auto"/>
      </w:divBdr>
    </w:div>
    <w:div w:id="785076653">
      <w:bodyDiv w:val="1"/>
      <w:marLeft w:val="0"/>
      <w:marRight w:val="0"/>
      <w:marTop w:val="0"/>
      <w:marBottom w:val="0"/>
      <w:divBdr>
        <w:top w:val="none" w:sz="0" w:space="0" w:color="auto"/>
        <w:left w:val="none" w:sz="0" w:space="0" w:color="auto"/>
        <w:bottom w:val="none" w:sz="0" w:space="0" w:color="auto"/>
        <w:right w:val="none" w:sz="0" w:space="0" w:color="auto"/>
      </w:divBdr>
    </w:div>
    <w:div w:id="794180407">
      <w:bodyDiv w:val="1"/>
      <w:marLeft w:val="0"/>
      <w:marRight w:val="0"/>
      <w:marTop w:val="0"/>
      <w:marBottom w:val="0"/>
      <w:divBdr>
        <w:top w:val="none" w:sz="0" w:space="0" w:color="auto"/>
        <w:left w:val="none" w:sz="0" w:space="0" w:color="auto"/>
        <w:bottom w:val="none" w:sz="0" w:space="0" w:color="auto"/>
        <w:right w:val="none" w:sz="0" w:space="0" w:color="auto"/>
      </w:divBdr>
    </w:div>
    <w:div w:id="883325049">
      <w:bodyDiv w:val="1"/>
      <w:marLeft w:val="0"/>
      <w:marRight w:val="0"/>
      <w:marTop w:val="0"/>
      <w:marBottom w:val="0"/>
      <w:divBdr>
        <w:top w:val="none" w:sz="0" w:space="0" w:color="auto"/>
        <w:left w:val="none" w:sz="0" w:space="0" w:color="auto"/>
        <w:bottom w:val="none" w:sz="0" w:space="0" w:color="auto"/>
        <w:right w:val="none" w:sz="0" w:space="0" w:color="auto"/>
      </w:divBdr>
    </w:div>
    <w:div w:id="908539631">
      <w:bodyDiv w:val="1"/>
      <w:marLeft w:val="0"/>
      <w:marRight w:val="0"/>
      <w:marTop w:val="0"/>
      <w:marBottom w:val="0"/>
      <w:divBdr>
        <w:top w:val="none" w:sz="0" w:space="0" w:color="auto"/>
        <w:left w:val="none" w:sz="0" w:space="0" w:color="auto"/>
        <w:bottom w:val="none" w:sz="0" w:space="0" w:color="auto"/>
        <w:right w:val="none" w:sz="0" w:space="0" w:color="auto"/>
      </w:divBdr>
    </w:div>
    <w:div w:id="1065880938">
      <w:bodyDiv w:val="1"/>
      <w:marLeft w:val="0"/>
      <w:marRight w:val="0"/>
      <w:marTop w:val="0"/>
      <w:marBottom w:val="0"/>
      <w:divBdr>
        <w:top w:val="none" w:sz="0" w:space="0" w:color="auto"/>
        <w:left w:val="none" w:sz="0" w:space="0" w:color="auto"/>
        <w:bottom w:val="none" w:sz="0" w:space="0" w:color="auto"/>
        <w:right w:val="none" w:sz="0" w:space="0" w:color="auto"/>
      </w:divBdr>
    </w:div>
    <w:div w:id="1480733501">
      <w:bodyDiv w:val="1"/>
      <w:marLeft w:val="0"/>
      <w:marRight w:val="0"/>
      <w:marTop w:val="0"/>
      <w:marBottom w:val="0"/>
      <w:divBdr>
        <w:top w:val="none" w:sz="0" w:space="0" w:color="auto"/>
        <w:left w:val="none" w:sz="0" w:space="0" w:color="auto"/>
        <w:bottom w:val="none" w:sz="0" w:space="0" w:color="auto"/>
        <w:right w:val="none" w:sz="0" w:space="0" w:color="auto"/>
      </w:divBdr>
    </w:div>
    <w:div w:id="1525634994">
      <w:bodyDiv w:val="1"/>
      <w:marLeft w:val="0"/>
      <w:marRight w:val="0"/>
      <w:marTop w:val="0"/>
      <w:marBottom w:val="0"/>
      <w:divBdr>
        <w:top w:val="none" w:sz="0" w:space="0" w:color="auto"/>
        <w:left w:val="none" w:sz="0" w:space="0" w:color="auto"/>
        <w:bottom w:val="none" w:sz="0" w:space="0" w:color="auto"/>
        <w:right w:val="none" w:sz="0" w:space="0" w:color="auto"/>
      </w:divBdr>
    </w:div>
    <w:div w:id="1569606378">
      <w:bodyDiv w:val="1"/>
      <w:marLeft w:val="0"/>
      <w:marRight w:val="0"/>
      <w:marTop w:val="0"/>
      <w:marBottom w:val="0"/>
      <w:divBdr>
        <w:top w:val="none" w:sz="0" w:space="0" w:color="auto"/>
        <w:left w:val="none" w:sz="0" w:space="0" w:color="auto"/>
        <w:bottom w:val="none" w:sz="0" w:space="0" w:color="auto"/>
        <w:right w:val="none" w:sz="0" w:space="0" w:color="auto"/>
      </w:divBdr>
    </w:div>
    <w:div w:id="1768426299">
      <w:bodyDiv w:val="1"/>
      <w:marLeft w:val="0"/>
      <w:marRight w:val="0"/>
      <w:marTop w:val="0"/>
      <w:marBottom w:val="0"/>
      <w:divBdr>
        <w:top w:val="none" w:sz="0" w:space="0" w:color="auto"/>
        <w:left w:val="none" w:sz="0" w:space="0" w:color="auto"/>
        <w:bottom w:val="none" w:sz="0" w:space="0" w:color="auto"/>
        <w:right w:val="none" w:sz="0" w:space="0" w:color="auto"/>
      </w:divBdr>
    </w:div>
    <w:div w:id="1855923580">
      <w:bodyDiv w:val="1"/>
      <w:marLeft w:val="0"/>
      <w:marRight w:val="0"/>
      <w:marTop w:val="0"/>
      <w:marBottom w:val="0"/>
      <w:divBdr>
        <w:top w:val="none" w:sz="0" w:space="0" w:color="auto"/>
        <w:left w:val="none" w:sz="0" w:space="0" w:color="auto"/>
        <w:bottom w:val="none" w:sz="0" w:space="0" w:color="auto"/>
        <w:right w:val="none" w:sz="0" w:space="0" w:color="auto"/>
      </w:divBdr>
    </w:div>
    <w:div w:id="2125494930">
      <w:bodyDiv w:val="1"/>
      <w:marLeft w:val="0"/>
      <w:marRight w:val="0"/>
      <w:marTop w:val="0"/>
      <w:marBottom w:val="0"/>
      <w:divBdr>
        <w:top w:val="none" w:sz="0" w:space="0" w:color="auto"/>
        <w:left w:val="none" w:sz="0" w:space="0" w:color="auto"/>
        <w:bottom w:val="none" w:sz="0" w:space="0" w:color="auto"/>
        <w:right w:val="none" w:sz="0" w:space="0" w:color="auto"/>
      </w:divBdr>
    </w:div>
    <w:div w:id="2131974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wmf"/><Relationship Id="rId68" Type="http://schemas.openxmlformats.org/officeDocument/2006/relationships/image" Target="media/image41.png"/><Relationship Id="rId84" Type="http://schemas.openxmlformats.org/officeDocument/2006/relationships/header" Target="header9.xml"/><Relationship Id="rId89" Type="http://schemas.openxmlformats.org/officeDocument/2006/relationships/oleObject" Target="embeddings/oleObject8.bin"/><Relationship Id="rId112" Type="http://schemas.openxmlformats.org/officeDocument/2006/relationships/header" Target="header13.xml"/><Relationship Id="rId16" Type="http://schemas.openxmlformats.org/officeDocument/2006/relationships/header" Target="header3.xml"/><Relationship Id="rId107" Type="http://schemas.openxmlformats.org/officeDocument/2006/relationships/image" Target="media/image72.w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7.xml"/><Relationship Id="rId37" Type="http://schemas.openxmlformats.org/officeDocument/2006/relationships/image" Target="media/image13.wmf"/><Relationship Id="rId40" Type="http://schemas.openxmlformats.org/officeDocument/2006/relationships/header" Target="header8.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9.emf"/><Relationship Id="rId74" Type="http://schemas.openxmlformats.org/officeDocument/2006/relationships/image" Target="media/image47.jpeg"/><Relationship Id="rId79" Type="http://schemas.openxmlformats.org/officeDocument/2006/relationships/image" Target="media/image51.wmf"/><Relationship Id="rId87" Type="http://schemas.openxmlformats.org/officeDocument/2006/relationships/image" Target="media/image57.wmf"/><Relationship Id="rId102" Type="http://schemas.openxmlformats.org/officeDocument/2006/relationships/chart" Target="charts/chart1.xml"/><Relationship Id="rId110" Type="http://schemas.openxmlformats.org/officeDocument/2006/relationships/header" Target="header11.xml"/><Relationship Id="rId115" Type="http://schemas.openxmlformats.org/officeDocument/2006/relationships/header" Target="header16.xml"/><Relationship Id="rId5" Type="http://schemas.openxmlformats.org/officeDocument/2006/relationships/styles" Target="styles.xml"/><Relationship Id="rId61" Type="http://schemas.openxmlformats.org/officeDocument/2006/relationships/image" Target="media/image35.jpeg"/><Relationship Id="rId82" Type="http://schemas.openxmlformats.org/officeDocument/2006/relationships/image" Target="media/image54.png"/><Relationship Id="rId90" Type="http://schemas.openxmlformats.org/officeDocument/2006/relationships/image" Target="media/image59.wmf"/><Relationship Id="rId95" Type="http://schemas.openxmlformats.org/officeDocument/2006/relationships/image" Target="media/image62.png"/><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2.wmf"/><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oleObject" Target="embeddings/oleObject5.bin"/><Relationship Id="rId69" Type="http://schemas.openxmlformats.org/officeDocument/2006/relationships/image" Target="media/image42.png"/><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image" Target="media/image70.jpeg"/><Relationship Id="rId113"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media/image45.jpeg"/><Relationship Id="rId80" Type="http://schemas.openxmlformats.org/officeDocument/2006/relationships/image" Target="media/image52.png"/><Relationship Id="rId85" Type="http://schemas.openxmlformats.org/officeDocument/2006/relationships/image" Target="media/image56.wmf"/><Relationship Id="rId93" Type="http://schemas.openxmlformats.org/officeDocument/2006/relationships/oleObject" Target="embeddings/oleObject10.bin"/><Relationship Id="rId98" Type="http://schemas.openxmlformats.org/officeDocument/2006/relationships/image" Target="media/image65.png"/><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1.wmf"/><Relationship Id="rId25" Type="http://schemas.openxmlformats.org/officeDocument/2006/relationships/header" Target="header6.xml"/><Relationship Id="rId33" Type="http://schemas.openxmlformats.org/officeDocument/2006/relationships/image" Target="media/image11.wmf"/><Relationship Id="rId38" Type="http://schemas.openxmlformats.org/officeDocument/2006/relationships/oleObject" Target="embeddings/oleObject4.bin"/><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0.png"/><Relationship Id="rId103" Type="http://schemas.openxmlformats.org/officeDocument/2006/relationships/image" Target="media/image69.emf"/><Relationship Id="rId108" Type="http://schemas.openxmlformats.org/officeDocument/2006/relationships/image" Target="media/image73.wmf"/><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3.png"/><Relationship Id="rId75" Type="http://schemas.openxmlformats.org/officeDocument/2006/relationships/image" Target="media/image48.wmf"/><Relationship Id="rId83" Type="http://schemas.openxmlformats.org/officeDocument/2006/relationships/image" Target="media/image55.png"/><Relationship Id="rId88" Type="http://schemas.openxmlformats.org/officeDocument/2006/relationships/image" Target="media/image58.wmf"/><Relationship Id="rId91" Type="http://schemas.openxmlformats.org/officeDocument/2006/relationships/oleObject" Target="embeddings/oleObject9.bin"/><Relationship Id="rId96" Type="http://schemas.openxmlformats.org/officeDocument/2006/relationships/image" Target="media/image63.png"/><Relationship Id="rId111" Type="http://schemas.openxmlformats.org/officeDocument/2006/relationships/header" Target="header12.xm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oleObject" Target="embeddings/oleObject3.bin"/><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71.wmf"/><Relationship Id="rId114"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6.jpeg"/><Relationship Id="rId78" Type="http://schemas.openxmlformats.org/officeDocument/2006/relationships/image" Target="media/image50.wmf"/><Relationship Id="rId81" Type="http://schemas.openxmlformats.org/officeDocument/2006/relationships/image" Target="media/image53.png"/><Relationship Id="rId86" Type="http://schemas.openxmlformats.org/officeDocument/2006/relationships/oleObject" Target="embeddings/oleObject7.bin"/><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14.png"/><Relationship Id="rId109" Type="http://schemas.openxmlformats.org/officeDocument/2006/relationships/image" Target="media/image74.png"/><Relationship Id="rId34" Type="http://schemas.openxmlformats.org/officeDocument/2006/relationships/oleObject" Target="embeddings/oleObject2.bin"/><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oleObject" Target="embeddings/oleObject6.bin"/><Relationship Id="rId97" Type="http://schemas.openxmlformats.org/officeDocument/2006/relationships/image" Target="media/image64.png"/><Relationship Id="rId104"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0.wmf"/><Relationship Id="rId2" Type="http://schemas.openxmlformats.org/officeDocument/2006/relationships/customXml" Target="../customXml/item1.xml"/><Relationship Id="rId29"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F:\&#22320;&#19979;&#27700;-&#36719;&#20214;.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45048914340301"/>
          <c:y val="9.0716652993693206E-2"/>
          <c:w val="0.79997384872345501"/>
          <c:h val="0.73076762996634204"/>
        </c:manualLayout>
      </c:layout>
      <c:scatterChart>
        <c:scatterStyle val="smoothMarker"/>
        <c:varyColors val="0"/>
        <c:ser>
          <c:idx val="2"/>
          <c:order val="0"/>
          <c:tx>
            <c:strRef>
              <c:f>100天预测浓度</c:f>
              <c:strCache>
                <c:ptCount val="1"/>
                <c:pt idx="0">
                  <c:v>100天预测浓度</c:v>
                </c:pt>
              </c:strCache>
            </c:strRef>
          </c:tx>
          <c:marker>
            <c:symbol val="none"/>
          </c:marker>
          <c:xVal>
            <c:numRef>
              <c:f>'地下水预测 硝酸盐'!$P$20:$P$60</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xVal>
          <c:yVal>
            <c:numRef>
              <c:f>'地下水预测 硝酸盐'!$Q$20:$Q$320</c:f>
              <c:numCache>
                <c:formatCode>0.00E+00</c:formatCode>
                <c:ptCount val="301"/>
                <c:pt idx="0">
                  <c:v>14500</c:v>
                </c:pt>
                <c:pt idx="1">
                  <c:v>5780</c:v>
                </c:pt>
                <c:pt idx="2">
                  <c:v>288</c:v>
                </c:pt>
                <c:pt idx="3">
                  <c:v>1.78</c:v>
                </c:pt>
                <c:pt idx="4">
                  <c:v>1.3799999999999999E-3</c:v>
                </c:pt>
                <c:pt idx="5">
                  <c:v>1.3199999999999999E-7</c:v>
                </c:pt>
                <c:pt idx="6">
                  <c:v>1.5799999999999999E-12</c:v>
                </c:pt>
                <c:pt idx="7">
                  <c:v>2.3600000000000002E-18</c:v>
                </c:pt>
                <c:pt idx="8">
                  <c:v>4.3800000000000005E-25</c:v>
                </c:pt>
                <c:pt idx="9">
                  <c:v>1.01E-32</c:v>
                </c:pt>
                <c:pt idx="10">
                  <c:v>2.9100000000000001E-41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extLst xmlns:c16r2="http://schemas.microsoft.com/office/drawing/2015/06/chart">
            <c:ext xmlns:c16="http://schemas.microsoft.com/office/drawing/2014/chart" uri="{C3380CC4-5D6E-409C-BE32-E72D297353CC}">
              <c16:uniqueId val="{00000000-BEFA-497A-ABA5-6140E6E7D3A2}"/>
            </c:ext>
          </c:extLst>
        </c:ser>
        <c:ser>
          <c:idx val="4"/>
          <c:order val="1"/>
          <c:tx>
            <c:strRef>
              <c:f>1000天预测浓度</c:f>
              <c:strCache>
                <c:ptCount val="1"/>
                <c:pt idx="0">
                  <c:v>1000天预测浓度</c:v>
                </c:pt>
              </c:strCache>
            </c:strRef>
          </c:tx>
          <c:marker>
            <c:symbol val="none"/>
          </c:marker>
          <c:xVal>
            <c:numRef>
              <c:f>'地下水预测 硝酸盐'!$P$20:$P$320</c:f>
              <c:numCache>
                <c:formatCode>General</c:formatCode>
                <c:ptCount val="3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xVal>
          <c:yVal>
            <c:numRef>
              <c:f>'地下水预测 硝酸盐'!$R$20:$R$320</c:f>
              <c:numCache>
                <c:formatCode>0.00E+00</c:formatCode>
                <c:ptCount val="301"/>
                <c:pt idx="0">
                  <c:v>4420</c:v>
                </c:pt>
                <c:pt idx="1">
                  <c:v>4510</c:v>
                </c:pt>
                <c:pt idx="2">
                  <c:v>3740</c:v>
                </c:pt>
                <c:pt idx="3">
                  <c:v>2520</c:v>
                </c:pt>
                <c:pt idx="4">
                  <c:v>1380</c:v>
                </c:pt>
                <c:pt idx="5">
                  <c:v>611</c:v>
                </c:pt>
                <c:pt idx="6">
                  <c:v>220</c:v>
                </c:pt>
                <c:pt idx="7">
                  <c:v>64.400000000000006</c:v>
                </c:pt>
                <c:pt idx="8">
                  <c:v>15.3</c:v>
                </c:pt>
                <c:pt idx="9">
                  <c:v>2.95</c:v>
                </c:pt>
                <c:pt idx="10">
                  <c:v>0.46200000000000002</c:v>
                </c:pt>
                <c:pt idx="11">
                  <c:v>5.8700000000000002E-2</c:v>
                </c:pt>
                <c:pt idx="12">
                  <c:v>6.0600000000000003E-3</c:v>
                </c:pt>
                <c:pt idx="13">
                  <c:v>5.0799999999999999E-4</c:v>
                </c:pt>
                <c:pt idx="14">
                  <c:v>3.4600000000000001E-5</c:v>
                </c:pt>
                <c:pt idx="15">
                  <c:v>1.9099999999999999E-6</c:v>
                </c:pt>
                <c:pt idx="16">
                  <c:v>8.5700000000000006E-8</c:v>
                </c:pt>
                <c:pt idx="17">
                  <c:v>3.12E-9</c:v>
                </c:pt>
                <c:pt idx="18">
                  <c:v>9.2299999999999994E-11</c:v>
                </c:pt>
                <c:pt idx="19">
                  <c:v>2.2199999999999998E-12</c:v>
                </c:pt>
                <c:pt idx="20">
                  <c:v>4.3200000000000001E-14</c:v>
                </c:pt>
                <c:pt idx="21">
                  <c:v>6.8399999999999997E-16</c:v>
                </c:pt>
                <c:pt idx="22">
                  <c:v>8.7900000000000002E-18</c:v>
                </c:pt>
                <c:pt idx="23">
                  <c:v>9.1699999999999999E-20</c:v>
                </c:pt>
                <c:pt idx="24">
                  <c:v>7.7699999999999999E-22</c:v>
                </c:pt>
                <c:pt idx="25">
                  <c:v>5.3499999999999999E-24</c:v>
                </c:pt>
                <c:pt idx="26">
                  <c:v>2.9900000000000001E-26</c:v>
                </c:pt>
                <c:pt idx="27">
                  <c:v>1.3499999999999999E-28</c:v>
                </c:pt>
                <c:pt idx="28">
                  <c:v>4.9900000000000001E-31</c:v>
                </c:pt>
                <c:pt idx="29">
                  <c:v>1.4899999999999999E-33</c:v>
                </c:pt>
                <c:pt idx="30">
                  <c:v>3.6199999999999997E-36</c:v>
                </c:pt>
                <c:pt idx="31">
                  <c:v>7.1399999999999997E-39</c:v>
                </c:pt>
                <c:pt idx="32">
                  <c:v>1.14E-41</c:v>
                </c:pt>
                <c:pt idx="33">
                  <c:v>1.5400000000000001E-44</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extLst xmlns:c16r2="http://schemas.microsoft.com/office/drawing/2015/06/chart">
            <c:ext xmlns:c16="http://schemas.microsoft.com/office/drawing/2014/chart" uri="{C3380CC4-5D6E-409C-BE32-E72D297353CC}">
              <c16:uniqueId val="{00000001-BEFA-497A-ABA5-6140E6E7D3A2}"/>
            </c:ext>
          </c:extLst>
        </c:ser>
        <c:ser>
          <c:idx val="6"/>
          <c:order val="2"/>
          <c:tx>
            <c:strRef>
              <c:f>1825天预测浓度</c:f>
              <c:strCache>
                <c:ptCount val="1"/>
                <c:pt idx="0">
                  <c:v>1825天预测浓度</c:v>
                </c:pt>
              </c:strCache>
            </c:strRef>
          </c:tx>
          <c:marker>
            <c:symbol val="none"/>
          </c:marker>
          <c:xVal>
            <c:numRef>
              <c:f>'地下水预测 硝酸盐'!$P$20:$P$320</c:f>
              <c:numCache>
                <c:formatCode>General</c:formatCode>
                <c:ptCount val="3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xVal>
          <c:yVal>
            <c:numRef>
              <c:f>'地下水预测 硝酸盐'!$S$20:$S$320</c:f>
              <c:numCache>
                <c:formatCode>0.00E+00</c:formatCode>
                <c:ptCount val="301"/>
                <c:pt idx="0">
                  <c:v>3170</c:v>
                </c:pt>
                <c:pt idx="1">
                  <c:v>3390</c:v>
                </c:pt>
                <c:pt idx="2">
                  <c:v>3240</c:v>
                </c:pt>
                <c:pt idx="3">
                  <c:v>2760</c:v>
                </c:pt>
                <c:pt idx="4">
                  <c:v>2100</c:v>
                </c:pt>
                <c:pt idx="5">
                  <c:v>1420</c:v>
                </c:pt>
                <c:pt idx="6">
                  <c:v>860</c:v>
                </c:pt>
                <c:pt idx="7">
                  <c:v>464</c:v>
                </c:pt>
                <c:pt idx="8">
                  <c:v>223</c:v>
                </c:pt>
                <c:pt idx="9">
                  <c:v>95.9</c:v>
                </c:pt>
                <c:pt idx="10">
                  <c:v>36.799999999999997</c:v>
                </c:pt>
                <c:pt idx="11">
                  <c:v>12.6</c:v>
                </c:pt>
                <c:pt idx="12">
                  <c:v>3.83</c:v>
                </c:pt>
                <c:pt idx="13">
                  <c:v>1.04</c:v>
                </c:pt>
                <c:pt idx="14">
                  <c:v>0.253</c:v>
                </c:pt>
                <c:pt idx="15">
                  <c:v>5.4699999999999999E-2</c:v>
                </c:pt>
                <c:pt idx="16">
                  <c:v>1.06E-2</c:v>
                </c:pt>
                <c:pt idx="17">
                  <c:v>1.82E-3</c:v>
                </c:pt>
                <c:pt idx="18">
                  <c:v>2.7999999999999998E-4</c:v>
                </c:pt>
                <c:pt idx="19">
                  <c:v>3.8399999999999998E-5</c:v>
                </c:pt>
                <c:pt idx="20">
                  <c:v>4.69E-6</c:v>
                </c:pt>
                <c:pt idx="21">
                  <c:v>5.1200000000000003E-7</c:v>
                </c:pt>
                <c:pt idx="22">
                  <c:v>4.9899999999999997E-8</c:v>
                </c:pt>
                <c:pt idx="23">
                  <c:v>4.3299999999999997E-9</c:v>
                </c:pt>
                <c:pt idx="24">
                  <c:v>3.3599999999999998E-10</c:v>
                </c:pt>
                <c:pt idx="25">
                  <c:v>2.3200000000000001E-11</c:v>
                </c:pt>
                <c:pt idx="26">
                  <c:v>1.43E-12</c:v>
                </c:pt>
                <c:pt idx="27">
                  <c:v>7.8699999999999995E-14</c:v>
                </c:pt>
                <c:pt idx="28">
                  <c:v>3.8599999999999996E-15</c:v>
                </c:pt>
                <c:pt idx="29">
                  <c:v>1.6900000000000001E-16</c:v>
                </c:pt>
                <c:pt idx="30">
                  <c:v>6.6100000000000003E-18</c:v>
                </c:pt>
                <c:pt idx="31">
                  <c:v>2.2999999999999998E-19</c:v>
                </c:pt>
                <c:pt idx="32">
                  <c:v>7.1600000000000003E-21</c:v>
                </c:pt>
                <c:pt idx="33">
                  <c:v>1.9899999999999999E-22</c:v>
                </c:pt>
                <c:pt idx="34">
                  <c:v>4.9099999999999997E-24</c:v>
                </c:pt>
                <c:pt idx="35">
                  <c:v>1.0799999999999999E-25</c:v>
                </c:pt>
                <c:pt idx="36">
                  <c:v>2.1400000000000001E-27</c:v>
                </c:pt>
                <c:pt idx="37">
                  <c:v>3.75E-29</c:v>
                </c:pt>
                <c:pt idx="38">
                  <c:v>5.8799999999999998E-31</c:v>
                </c:pt>
                <c:pt idx="39">
                  <c:v>8.2300000000000007E-33</c:v>
                </c:pt>
                <c:pt idx="40">
                  <c:v>1.03E-34</c:v>
                </c:pt>
                <c:pt idx="41">
                  <c:v>1.1399999999999999E-36</c:v>
                </c:pt>
                <c:pt idx="42">
                  <c:v>1.13E-38</c:v>
                </c:pt>
                <c:pt idx="43">
                  <c:v>9.9999999999999993E-41</c:v>
                </c:pt>
                <c:pt idx="44">
                  <c:v>7.9300000000000002E-43</c:v>
                </c:pt>
                <c:pt idx="45">
                  <c:v>5.6100000000000003E-45</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extLst xmlns:c16r2="http://schemas.microsoft.com/office/drawing/2015/06/chart">
            <c:ext xmlns:c16="http://schemas.microsoft.com/office/drawing/2014/chart" uri="{C3380CC4-5D6E-409C-BE32-E72D297353CC}">
              <c16:uniqueId val="{00000002-BEFA-497A-ABA5-6140E6E7D3A2}"/>
            </c:ext>
          </c:extLst>
        </c:ser>
        <c:ser>
          <c:idx val="8"/>
          <c:order val="3"/>
          <c:tx>
            <c:strRef>
              <c:f>3650天预测浓度</c:f>
              <c:strCache>
                <c:ptCount val="1"/>
                <c:pt idx="0">
                  <c:v>3650天预测浓度</c:v>
                </c:pt>
              </c:strCache>
            </c:strRef>
          </c:tx>
          <c:marker>
            <c:symbol val="none"/>
          </c:marker>
          <c:xVal>
            <c:numRef>
              <c:f>'地下水预测 硝酸盐'!$P$20:$P$320</c:f>
              <c:numCache>
                <c:formatCode>General</c:formatCode>
                <c:ptCount val="3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xVal>
          <c:yVal>
            <c:numRef>
              <c:f>'地下水预测 硝酸盐'!$T$20:$T$320</c:f>
              <c:numCache>
                <c:formatCode>0.00E+00</c:formatCode>
                <c:ptCount val="301"/>
                <c:pt idx="0">
                  <c:v>2090</c:v>
                </c:pt>
                <c:pt idx="1">
                  <c:v>2310</c:v>
                </c:pt>
                <c:pt idx="2">
                  <c:v>2400</c:v>
                </c:pt>
                <c:pt idx="3">
                  <c:v>2360</c:v>
                </c:pt>
                <c:pt idx="4">
                  <c:v>2190</c:v>
                </c:pt>
                <c:pt idx="5">
                  <c:v>1920</c:v>
                </c:pt>
                <c:pt idx="6">
                  <c:v>1590</c:v>
                </c:pt>
                <c:pt idx="7">
                  <c:v>1240</c:v>
                </c:pt>
                <c:pt idx="8">
                  <c:v>916</c:v>
                </c:pt>
                <c:pt idx="9">
                  <c:v>639</c:v>
                </c:pt>
                <c:pt idx="10">
                  <c:v>421</c:v>
                </c:pt>
                <c:pt idx="11">
                  <c:v>262</c:v>
                </c:pt>
                <c:pt idx="12">
                  <c:v>154</c:v>
                </c:pt>
                <c:pt idx="13">
                  <c:v>85.5</c:v>
                </c:pt>
                <c:pt idx="14">
                  <c:v>44.9</c:v>
                </c:pt>
                <c:pt idx="15">
                  <c:v>22.2</c:v>
                </c:pt>
                <c:pt idx="16">
                  <c:v>10.4</c:v>
                </c:pt>
                <c:pt idx="17">
                  <c:v>4.59</c:v>
                </c:pt>
                <c:pt idx="18">
                  <c:v>1.92</c:v>
                </c:pt>
                <c:pt idx="19">
                  <c:v>0.755</c:v>
                </c:pt>
                <c:pt idx="20">
                  <c:v>0.28100000000000003</c:v>
                </c:pt>
                <c:pt idx="21">
                  <c:v>9.8900000000000002E-2</c:v>
                </c:pt>
                <c:pt idx="22">
                  <c:v>3.2800000000000003E-2</c:v>
                </c:pt>
                <c:pt idx="23">
                  <c:v>1.03E-2</c:v>
                </c:pt>
                <c:pt idx="24">
                  <c:v>3.0500000000000002E-3</c:v>
                </c:pt>
                <c:pt idx="25">
                  <c:v>8.5499999999999997E-4</c:v>
                </c:pt>
                <c:pt idx="26">
                  <c:v>2.2599999999999999E-4</c:v>
                </c:pt>
                <c:pt idx="27">
                  <c:v>5.6400000000000002E-5</c:v>
                </c:pt>
                <c:pt idx="28">
                  <c:v>1.33E-5</c:v>
                </c:pt>
                <c:pt idx="29">
                  <c:v>2.96E-6</c:v>
                </c:pt>
                <c:pt idx="30">
                  <c:v>6.2300000000000001E-7</c:v>
                </c:pt>
                <c:pt idx="31">
                  <c:v>1.24E-7</c:v>
                </c:pt>
                <c:pt idx="32">
                  <c:v>2.33E-8</c:v>
                </c:pt>
                <c:pt idx="33">
                  <c:v>4.1199999999999998E-9</c:v>
                </c:pt>
                <c:pt idx="34">
                  <c:v>6.9E-10</c:v>
                </c:pt>
                <c:pt idx="35">
                  <c:v>1.09E-10</c:v>
                </c:pt>
                <c:pt idx="36">
                  <c:v>1.6300000000000001E-11</c:v>
                </c:pt>
                <c:pt idx="37">
                  <c:v>2.2999999999999999E-12</c:v>
                </c:pt>
                <c:pt idx="38">
                  <c:v>3.07E-13</c:v>
                </c:pt>
                <c:pt idx="39">
                  <c:v>3.8600000000000001E-14</c:v>
                </c:pt>
                <c:pt idx="40">
                  <c:v>4.59E-15</c:v>
                </c:pt>
                <c:pt idx="41">
                  <c:v>5.1499999999999999E-16</c:v>
                </c:pt>
                <c:pt idx="42">
                  <c:v>5.47E-17</c:v>
                </c:pt>
                <c:pt idx="43">
                  <c:v>5.4800000000000001E-18</c:v>
                </c:pt>
                <c:pt idx="44">
                  <c:v>5.1799999999999996E-19</c:v>
                </c:pt>
                <c:pt idx="45">
                  <c:v>4.6300000000000002E-20</c:v>
                </c:pt>
                <c:pt idx="46">
                  <c:v>3.91E-21</c:v>
                </c:pt>
                <c:pt idx="47">
                  <c:v>3.12E-22</c:v>
                </c:pt>
                <c:pt idx="48">
                  <c:v>2.35E-23</c:v>
                </c:pt>
                <c:pt idx="49">
                  <c:v>1.67E-24</c:v>
                </c:pt>
                <c:pt idx="50">
                  <c:v>1.12E-25</c:v>
                </c:pt>
                <c:pt idx="51">
                  <c:v>7.1200000000000005E-27</c:v>
                </c:pt>
                <c:pt idx="52">
                  <c:v>4.2600000000000002E-28</c:v>
                </c:pt>
                <c:pt idx="53">
                  <c:v>2.4099999999999999E-29</c:v>
                </c:pt>
                <c:pt idx="54">
                  <c:v>1.29E-30</c:v>
                </c:pt>
                <c:pt idx="55">
                  <c:v>6.5199999999999996E-32</c:v>
                </c:pt>
                <c:pt idx="56">
                  <c:v>3.1099999999999999E-33</c:v>
                </c:pt>
                <c:pt idx="57">
                  <c:v>1.4E-34</c:v>
                </c:pt>
                <c:pt idx="58">
                  <c:v>5.9600000000000002E-36</c:v>
                </c:pt>
                <c:pt idx="59">
                  <c:v>2.3999999999999999E-37</c:v>
                </c:pt>
                <c:pt idx="60">
                  <c:v>9.0999999999999996E-39</c:v>
                </c:pt>
                <c:pt idx="61">
                  <c:v>3.2599999999999999E-40</c:v>
                </c:pt>
                <c:pt idx="62">
                  <c:v>1.1E-41</c:v>
                </c:pt>
                <c:pt idx="63">
                  <c:v>3.5299999999999999E-43</c:v>
                </c:pt>
                <c:pt idx="64">
                  <c:v>1.1200000000000001E-44</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extLst xmlns:c16r2="http://schemas.microsoft.com/office/drawing/2015/06/chart">
            <c:ext xmlns:c16="http://schemas.microsoft.com/office/drawing/2014/chart" uri="{C3380CC4-5D6E-409C-BE32-E72D297353CC}">
              <c16:uniqueId val="{00000003-BEFA-497A-ABA5-6140E6E7D3A2}"/>
            </c:ext>
          </c:extLst>
        </c:ser>
        <c:ser>
          <c:idx val="0"/>
          <c:order val="4"/>
          <c:tx>
            <c:strRef>
              <c:f>7300天预测浓度</c:f>
              <c:strCache>
                <c:ptCount val="1"/>
                <c:pt idx="0">
                  <c:v>7300天预测浓度</c:v>
                </c:pt>
              </c:strCache>
            </c:strRef>
          </c:tx>
          <c:marker>
            <c:symbol val="none"/>
          </c:marker>
          <c:xVal>
            <c:numRef>
              <c:f>'地下水预测 硝酸盐'!$P$20:$P$220</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xVal>
          <c:yVal>
            <c:numRef>
              <c:f>'地下水预测 硝酸盐'!$U$20:$U$220</c:f>
              <c:numCache>
                <c:formatCode>0.00E+00</c:formatCode>
                <c:ptCount val="201"/>
                <c:pt idx="0">
                  <c:v>1290</c:v>
                </c:pt>
                <c:pt idx="1">
                  <c:v>1440</c:v>
                </c:pt>
                <c:pt idx="2">
                  <c:v>1570</c:v>
                </c:pt>
                <c:pt idx="3">
                  <c:v>1650</c:v>
                </c:pt>
                <c:pt idx="4">
                  <c:v>1690</c:v>
                </c:pt>
                <c:pt idx="5">
                  <c:v>1690</c:v>
                </c:pt>
                <c:pt idx="6">
                  <c:v>1640</c:v>
                </c:pt>
                <c:pt idx="7">
                  <c:v>1540</c:v>
                </c:pt>
                <c:pt idx="8">
                  <c:v>1410</c:v>
                </c:pt>
                <c:pt idx="9">
                  <c:v>1250</c:v>
                </c:pt>
                <c:pt idx="10">
                  <c:v>1080</c:v>
                </c:pt>
                <c:pt idx="11">
                  <c:v>909</c:v>
                </c:pt>
                <c:pt idx="12">
                  <c:v>742</c:v>
                </c:pt>
                <c:pt idx="13">
                  <c:v>588</c:v>
                </c:pt>
                <c:pt idx="14">
                  <c:v>453</c:v>
                </c:pt>
                <c:pt idx="15">
                  <c:v>340</c:v>
                </c:pt>
                <c:pt idx="16">
                  <c:v>247</c:v>
                </c:pt>
                <c:pt idx="17">
                  <c:v>175</c:v>
                </c:pt>
                <c:pt idx="18">
                  <c:v>120</c:v>
                </c:pt>
                <c:pt idx="19">
                  <c:v>80.400000000000006</c:v>
                </c:pt>
                <c:pt idx="20">
                  <c:v>52.2</c:v>
                </c:pt>
                <c:pt idx="21">
                  <c:v>33</c:v>
                </c:pt>
                <c:pt idx="22">
                  <c:v>20.2</c:v>
                </c:pt>
                <c:pt idx="23">
                  <c:v>12.1</c:v>
                </c:pt>
                <c:pt idx="24">
                  <c:v>6.99</c:v>
                </c:pt>
                <c:pt idx="25">
                  <c:v>3.94</c:v>
                </c:pt>
                <c:pt idx="26">
                  <c:v>2.15</c:v>
                </c:pt>
                <c:pt idx="27">
                  <c:v>1.1499999999999999</c:v>
                </c:pt>
                <c:pt idx="28">
                  <c:v>0.59199999999999997</c:v>
                </c:pt>
                <c:pt idx="29">
                  <c:v>0.29799999999999999</c:v>
                </c:pt>
                <c:pt idx="30">
                  <c:v>0.14499999999999999</c:v>
                </c:pt>
                <c:pt idx="31">
                  <c:v>6.8900000000000003E-2</c:v>
                </c:pt>
                <c:pt idx="32">
                  <c:v>3.1800000000000002E-2</c:v>
                </c:pt>
                <c:pt idx="33">
                  <c:v>1.43E-2</c:v>
                </c:pt>
                <c:pt idx="34">
                  <c:v>6.2100000000000002E-3</c:v>
                </c:pt>
                <c:pt idx="35">
                  <c:v>2.63E-3</c:v>
                </c:pt>
                <c:pt idx="36">
                  <c:v>1.08E-3</c:v>
                </c:pt>
                <c:pt idx="37">
                  <c:v>4.3199999999999998E-4</c:v>
                </c:pt>
                <c:pt idx="38">
                  <c:v>1.6799999999999999E-4</c:v>
                </c:pt>
                <c:pt idx="39">
                  <c:v>6.3399999999999996E-5</c:v>
                </c:pt>
                <c:pt idx="40">
                  <c:v>2.3300000000000001E-5</c:v>
                </c:pt>
                <c:pt idx="41">
                  <c:v>8.3100000000000001E-6</c:v>
                </c:pt>
                <c:pt idx="42">
                  <c:v>2.88E-6</c:v>
                </c:pt>
                <c:pt idx="43">
                  <c:v>9.7000000000000003E-7</c:v>
                </c:pt>
                <c:pt idx="44">
                  <c:v>3.1800000000000002E-7</c:v>
                </c:pt>
                <c:pt idx="45">
                  <c:v>1.01E-7</c:v>
                </c:pt>
                <c:pt idx="46">
                  <c:v>3.1300000000000002E-8</c:v>
                </c:pt>
                <c:pt idx="47">
                  <c:v>9.3999999999999998E-9</c:v>
                </c:pt>
                <c:pt idx="48">
                  <c:v>2.7499999999999998E-9</c:v>
                </c:pt>
                <c:pt idx="49">
                  <c:v>7.7999999999999999E-10</c:v>
                </c:pt>
                <c:pt idx="50">
                  <c:v>2.1500000000000001E-10</c:v>
                </c:pt>
                <c:pt idx="51">
                  <c:v>5.7699999999999998E-11</c:v>
                </c:pt>
                <c:pt idx="52">
                  <c:v>1.5E-11</c:v>
                </c:pt>
                <c:pt idx="53">
                  <c:v>3.8100000000000001E-12</c:v>
                </c:pt>
                <c:pt idx="54">
                  <c:v>9.3699999999999995E-13</c:v>
                </c:pt>
                <c:pt idx="55">
                  <c:v>2.24E-13</c:v>
                </c:pt>
                <c:pt idx="56">
                  <c:v>5.21E-14</c:v>
                </c:pt>
                <c:pt idx="57">
                  <c:v>1.1799999999999999E-14</c:v>
                </c:pt>
                <c:pt idx="58">
                  <c:v>2.5899999999999999E-15</c:v>
                </c:pt>
                <c:pt idx="59">
                  <c:v>5.52E-16</c:v>
                </c:pt>
                <c:pt idx="60">
                  <c:v>1.14E-16</c:v>
                </c:pt>
                <c:pt idx="61">
                  <c:v>2.3099999999999999E-17</c:v>
                </c:pt>
                <c:pt idx="62">
                  <c:v>4.5199999999999998E-18</c:v>
                </c:pt>
                <c:pt idx="63">
                  <c:v>8.6099999999999998E-19</c:v>
                </c:pt>
                <c:pt idx="64">
                  <c:v>1.5900000000000001E-19</c:v>
                </c:pt>
                <c:pt idx="65">
                  <c:v>2.8599999999999999E-20</c:v>
                </c:pt>
                <c:pt idx="66">
                  <c:v>4.9999999999999997E-21</c:v>
                </c:pt>
                <c:pt idx="67">
                  <c:v>8.5000000000000001E-22</c:v>
                </c:pt>
                <c:pt idx="68">
                  <c:v>1.4E-22</c:v>
                </c:pt>
                <c:pt idx="69">
                  <c:v>2.2499999999999999E-23</c:v>
                </c:pt>
                <c:pt idx="70">
                  <c:v>3.51E-24</c:v>
                </c:pt>
                <c:pt idx="71">
                  <c:v>5.3199999999999996E-25</c:v>
                </c:pt>
                <c:pt idx="72">
                  <c:v>7.8299999999999996E-26</c:v>
                </c:pt>
                <c:pt idx="73">
                  <c:v>1.12E-26</c:v>
                </c:pt>
                <c:pt idx="74">
                  <c:v>1.56E-27</c:v>
                </c:pt>
                <c:pt idx="75">
                  <c:v>2.1099999999999998E-28</c:v>
                </c:pt>
                <c:pt idx="76">
                  <c:v>2.77E-29</c:v>
                </c:pt>
                <c:pt idx="77">
                  <c:v>3.54E-30</c:v>
                </c:pt>
                <c:pt idx="78">
                  <c:v>4.3899999999999999E-31</c:v>
                </c:pt>
                <c:pt idx="79">
                  <c:v>5.2900000000000002E-32</c:v>
                </c:pt>
                <c:pt idx="80">
                  <c:v>6.1999999999999999E-33</c:v>
                </c:pt>
                <c:pt idx="81">
                  <c:v>7.0600000000000003E-34</c:v>
                </c:pt>
                <c:pt idx="82">
                  <c:v>7.8200000000000001E-35</c:v>
                </c:pt>
                <c:pt idx="83">
                  <c:v>8.4099999999999993E-36</c:v>
                </c:pt>
                <c:pt idx="84">
                  <c:v>8.8000000000000001E-37</c:v>
                </c:pt>
                <c:pt idx="85">
                  <c:v>8.94E-38</c:v>
                </c:pt>
                <c:pt idx="86">
                  <c:v>8.8299999999999996E-39</c:v>
                </c:pt>
                <c:pt idx="87">
                  <c:v>8.4699999999999993E-40</c:v>
                </c:pt>
                <c:pt idx="88">
                  <c:v>7.8999999999999999E-41</c:v>
                </c:pt>
                <c:pt idx="89">
                  <c:v>7.1599999999999996E-42</c:v>
                </c:pt>
                <c:pt idx="90">
                  <c:v>6.3099999999999999E-43</c:v>
                </c:pt>
                <c:pt idx="91">
                  <c:v>5.47E-44</c:v>
                </c:pt>
                <c:pt idx="92">
                  <c:v>4.1999999999999999E-45</c:v>
                </c:pt>
                <c:pt idx="93">
                  <c:v>0</c:v>
                </c:pt>
                <c:pt idx="94">
                  <c:v>0</c:v>
                </c:pt>
                <c:pt idx="95">
                  <c:v>0</c:v>
                </c:pt>
                <c:pt idx="96">
                  <c:v>0</c:v>
                </c:pt>
                <c:pt idx="97">
                  <c:v>0</c:v>
                </c:pt>
                <c:pt idx="98">
                  <c:v>0</c:v>
                </c:pt>
                <c:pt idx="99">
                  <c:v>0</c:v>
                </c:pt>
                <c:pt idx="100">
                  <c:v>0</c:v>
                </c:pt>
              </c:numCache>
            </c:numRef>
          </c:yVal>
          <c:smooth val="1"/>
          <c:extLst xmlns:c16r2="http://schemas.microsoft.com/office/drawing/2015/06/chart">
            <c:ext xmlns:c16="http://schemas.microsoft.com/office/drawing/2014/chart" uri="{C3380CC4-5D6E-409C-BE32-E72D297353CC}">
              <c16:uniqueId val="{00000004-BEFA-497A-ABA5-6140E6E7D3A2}"/>
            </c:ext>
          </c:extLst>
        </c:ser>
        <c:ser>
          <c:idx val="3"/>
          <c:order val="5"/>
          <c:tx>
            <c:strRef>
              <c:f>硝酸盐Ⅳ类限值</c:f>
              <c:strCache>
                <c:ptCount val="1"/>
                <c:pt idx="0">
                  <c:v>硝酸盐Ⅳ类限值</c:v>
                </c:pt>
              </c:strCache>
            </c:strRef>
          </c:tx>
          <c:spPr>
            <a:ln w="19050" cap="rnd" cmpd="sng" algn="ctr">
              <a:solidFill>
                <a:srgbClr val="FF0000"/>
              </a:solidFill>
              <a:prstDash val="solid"/>
              <a:round/>
            </a:ln>
          </c:spPr>
          <c:marker>
            <c:symbol val="none"/>
          </c:marker>
          <c:xVal>
            <c:numRef>
              <c:f>'地下水预测 硝酸盐'!$P$20:$P$320</c:f>
              <c:numCache>
                <c:formatCode>General</c:formatCode>
                <c:ptCount val="3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xVal>
          <c:yVal>
            <c:numRef>
              <c:f>'地下水预测 硝酸盐'!$V$20:$V$320</c:f>
              <c:numCache>
                <c:formatCode>General</c:formatCode>
                <c:ptCount val="301"/>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numCache>
            </c:numRef>
          </c:yVal>
          <c:smooth val="1"/>
          <c:extLst xmlns:c16r2="http://schemas.microsoft.com/office/drawing/2015/06/chart">
            <c:ext xmlns:c16="http://schemas.microsoft.com/office/drawing/2014/chart" uri="{C3380CC4-5D6E-409C-BE32-E72D297353CC}">
              <c16:uniqueId val="{00000005-BEFA-497A-ABA5-6140E6E7D3A2}"/>
            </c:ext>
          </c:extLst>
        </c:ser>
        <c:dLbls>
          <c:showLegendKey val="0"/>
          <c:showVal val="0"/>
          <c:showCatName val="0"/>
          <c:showSerName val="0"/>
          <c:showPercent val="0"/>
          <c:showBubbleSize val="0"/>
        </c:dLbls>
        <c:axId val="474860928"/>
        <c:axId val="474867200"/>
      </c:scatterChart>
      <c:valAx>
        <c:axId val="474860928"/>
        <c:scaling>
          <c:orientation val="minMax"/>
          <c:max val="700"/>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p>
            </c:rich>
          </c:tx>
          <c:overlay val="0"/>
        </c:title>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474867200"/>
        <c:crosses val="autoZero"/>
        <c:crossBetween val="midCat"/>
        <c:majorUnit val="100"/>
        <c:minorUnit val="5"/>
      </c:valAx>
      <c:valAx>
        <c:axId val="474867200"/>
        <c:scaling>
          <c:orientation val="minMax"/>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en-US" altLang="zh-CN"/>
                  <a:t>mg/L</a:t>
                </a:r>
                <a:r>
                  <a:rPr lang="zh-CN" altLang="en-US"/>
                  <a: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4860928"/>
        <c:crosses val="autoZero"/>
        <c:crossBetween val="midCat"/>
      </c:valAx>
      <c:spPr>
        <a:noFill/>
        <a:ln w="25400">
          <a:noFill/>
        </a:ln>
      </c:spPr>
    </c:plotArea>
    <c:legend>
      <c:legendPos val="r"/>
      <c:layout>
        <c:manualLayout>
          <c:xMode val="edge"/>
          <c:yMode val="edge"/>
          <c:x val="0.64112475051326401"/>
          <c:y val="0.13441349339529299"/>
          <c:w val="0.239548232514493"/>
          <c:h val="0.456538703153908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34F30F-D996-4FA6-A480-4E27ABF32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17729</TotalTime>
  <Pages>232</Pages>
  <Words>34278</Words>
  <Characters>195390</Characters>
  <Application>Microsoft Office Word</Application>
  <DocSecurity>0</DocSecurity>
  <Lines>1628</Lines>
  <Paragraphs>458</Paragraphs>
  <ScaleCrop>false</ScaleCrop>
  <Company>SEI</Company>
  <LinksUpToDate>false</LinksUpToDate>
  <CharactersWithSpaces>229210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陈梅</cp:lastModifiedBy>
  <cp:revision>596</cp:revision>
  <cp:lastPrinted>2022-12-05T06:20:00Z</cp:lastPrinted>
  <dcterms:created xsi:type="dcterms:W3CDTF">2022-08-28T09:30:00Z</dcterms:created>
  <dcterms:modified xsi:type="dcterms:W3CDTF">2022-12-12T00:28:00Z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出版商">
    <vt:lpwstr>湖北君邦</vt:lpwstr>
  </property>
  <property fmtid="{D5CDD505-2E9C-101B-9397-08002B2CF9AE}" pid="3" name="KSOProductBuildVer">
    <vt:lpwstr>2052-11.8.2.8053</vt:lpwstr>
  </property>
</Properties>
</file>